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1D3B1DA">
      <w:pPr>
        <w:spacing w:after="0" w:line="259" w:lineRule="auto"/>
        <w:ind w:left="-220" w:leftChars="0" w:right="817" w:firstLine="0" w:firstLineChars="0"/>
        <w:jc w:val="left"/>
      </w:pPr>
      <w:bookmarkStart w:id="0" w:name="_Toc116032510"/>
      <w:r>
        <w:drawing>
          <wp:inline distT="0" distB="0" distL="114300" distR="114300">
            <wp:extent cx="6960870" cy="8905875"/>
            <wp:effectExtent l="0" t="0" r="11430" b="9525"/>
            <wp:docPr id="3" name="Изображение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Изображение 2"/>
                    <pic:cNvPicPr>
                      <a:picLocks noChangeAspect="1"/>
                    </pic:cNvPicPr>
                  </pic:nvPicPr>
                  <pic:blipFill>
                    <a:blip r:embed="rId10"/>
                    <a:stretch>
                      <a:fillRect/>
                    </a:stretch>
                  </pic:blipFill>
                  <pic:spPr>
                    <a:xfrm>
                      <a:off x="0" y="0"/>
                      <a:ext cx="6960870" cy="8905875"/>
                    </a:xfrm>
                    <a:prstGeom prst="rect">
                      <a:avLst/>
                    </a:prstGeom>
                    <a:noFill/>
                    <a:ln>
                      <a:noFill/>
                    </a:ln>
                  </pic:spPr>
                </pic:pic>
              </a:graphicData>
            </a:graphic>
          </wp:inline>
        </w:drawing>
      </w:r>
    </w:p>
    <w:p w14:paraId="0401AD16">
      <w:pPr>
        <w:widowControl/>
        <w:suppressAutoHyphens/>
        <w:spacing w:after="0" w:line="360" w:lineRule="auto"/>
        <w:jc w:val="center"/>
        <w:outlineLvl w:val="8"/>
        <w:rPr>
          <w:rFonts w:ascii="Times New Roman" w:hAnsi="Times New Roman"/>
          <w:b/>
          <w:kern w:val="2"/>
        </w:rPr>
      </w:pPr>
    </w:p>
    <w:p w14:paraId="4510B66F">
      <w:pPr>
        <w:widowControl/>
        <w:suppressAutoHyphens/>
        <w:spacing w:after="0" w:line="360" w:lineRule="auto"/>
        <w:jc w:val="center"/>
        <w:outlineLvl w:val="8"/>
        <w:rPr>
          <w:rFonts w:ascii="Times New Roman" w:hAnsi="Times New Roman"/>
          <w:b/>
          <w:kern w:val="2"/>
        </w:rPr>
      </w:pPr>
    </w:p>
    <w:tbl>
      <w:tblPr>
        <w:tblStyle w:val="13"/>
        <w:tblW w:w="9889" w:type="dxa"/>
        <w:tblInd w:w="0" w:type="dxa"/>
        <w:tblLayout w:type="fixed"/>
        <w:tblCellMar>
          <w:top w:w="0" w:type="dxa"/>
          <w:left w:w="108" w:type="dxa"/>
          <w:bottom w:w="0" w:type="dxa"/>
          <w:right w:w="108" w:type="dxa"/>
        </w:tblCellMar>
      </w:tblPr>
      <w:tblGrid>
        <w:gridCol w:w="959"/>
        <w:gridCol w:w="7938"/>
        <w:gridCol w:w="992"/>
      </w:tblGrid>
      <w:tr w14:paraId="5BAEEA29">
        <w:tblPrEx>
          <w:tblCellMar>
            <w:top w:w="0" w:type="dxa"/>
            <w:left w:w="108" w:type="dxa"/>
            <w:bottom w:w="0" w:type="dxa"/>
            <w:right w:w="108" w:type="dxa"/>
          </w:tblCellMar>
        </w:tblPrEx>
        <w:tc>
          <w:tcPr>
            <w:tcW w:w="959" w:type="dxa"/>
          </w:tcPr>
          <w:p w14:paraId="00A96F8E">
            <w:pPr>
              <w:ind w:left="-142" w:right="-108" w:firstLine="142"/>
              <w:jc w:val="both"/>
              <w:rPr>
                <w:rFonts w:ascii="Times New Roman" w:hAnsi="Times New Roman"/>
                <w:b/>
              </w:rPr>
            </w:pPr>
            <w:r>
              <w:rPr>
                <w:rFonts w:ascii="Times New Roman" w:hAnsi="Times New Roman"/>
              </w:rPr>
              <w:br w:type="page"/>
            </w:r>
            <w:r>
              <w:rPr>
                <w:rFonts w:ascii="Times New Roman" w:hAnsi="Times New Roman"/>
                <w:b/>
              </w:rPr>
              <w:t>№ п/п</w:t>
            </w:r>
          </w:p>
        </w:tc>
        <w:tc>
          <w:tcPr>
            <w:tcW w:w="7938" w:type="dxa"/>
          </w:tcPr>
          <w:p w14:paraId="726934DE">
            <w:pPr>
              <w:jc w:val="center"/>
              <w:rPr>
                <w:rFonts w:ascii="Times New Roman" w:hAnsi="Times New Roman"/>
                <w:b/>
              </w:rPr>
            </w:pPr>
            <w:r>
              <w:rPr>
                <w:rFonts w:ascii="Times New Roman" w:hAnsi="Times New Roman"/>
                <w:b/>
              </w:rPr>
              <w:t>СОДЕРЖАНИЕ</w:t>
            </w:r>
          </w:p>
        </w:tc>
        <w:tc>
          <w:tcPr>
            <w:tcW w:w="992" w:type="dxa"/>
          </w:tcPr>
          <w:p w14:paraId="09BD871E">
            <w:pPr>
              <w:ind w:right="-100"/>
              <w:jc w:val="center"/>
              <w:rPr>
                <w:rFonts w:ascii="Times New Roman" w:hAnsi="Times New Roman"/>
                <w:b/>
              </w:rPr>
            </w:pPr>
            <w:r>
              <w:rPr>
                <w:rFonts w:ascii="Times New Roman" w:hAnsi="Times New Roman"/>
                <w:b/>
              </w:rPr>
              <w:t>Стр.</w:t>
            </w:r>
          </w:p>
        </w:tc>
      </w:tr>
      <w:tr w14:paraId="11F0F383">
        <w:tblPrEx>
          <w:tblCellMar>
            <w:top w:w="0" w:type="dxa"/>
            <w:left w:w="108" w:type="dxa"/>
            <w:bottom w:w="0" w:type="dxa"/>
            <w:right w:w="108" w:type="dxa"/>
          </w:tblCellMar>
        </w:tblPrEx>
        <w:trPr>
          <w:trHeight w:val="339" w:hRule="atLeast"/>
        </w:trPr>
        <w:tc>
          <w:tcPr>
            <w:tcW w:w="959" w:type="dxa"/>
          </w:tcPr>
          <w:p w14:paraId="5FA7CE06">
            <w:pPr>
              <w:ind w:right="-9"/>
              <w:rPr>
                <w:rFonts w:ascii="Times New Roman" w:hAnsi="Times New Roman"/>
                <w:b/>
              </w:rPr>
            </w:pPr>
            <w:r>
              <w:rPr>
                <w:rFonts w:ascii="Times New Roman" w:hAnsi="Times New Roman"/>
                <w:b/>
              </w:rPr>
              <w:t>I</w:t>
            </w:r>
          </w:p>
        </w:tc>
        <w:tc>
          <w:tcPr>
            <w:tcW w:w="7938" w:type="dxa"/>
          </w:tcPr>
          <w:p w14:paraId="15A7150C">
            <w:pPr>
              <w:pStyle w:val="67"/>
              <w:ind w:left="0"/>
              <w:rPr>
                <w:rFonts w:ascii="Times New Roman" w:hAnsi="Times New Roman"/>
                <w:b/>
              </w:rPr>
            </w:pPr>
            <w:r>
              <w:rPr>
                <w:rFonts w:ascii="Times New Roman" w:hAnsi="Times New Roman"/>
                <w:b/>
              </w:rPr>
              <w:t>ЦЕЛЕВОЙ РАЗДЕЛ</w:t>
            </w:r>
            <w:r>
              <w:rPr>
                <w:rFonts w:ascii="Times New Roman" w:hAnsi="Times New Roman"/>
              </w:rPr>
              <w:t xml:space="preserve"> </w:t>
            </w:r>
          </w:p>
        </w:tc>
        <w:tc>
          <w:tcPr>
            <w:tcW w:w="992" w:type="dxa"/>
          </w:tcPr>
          <w:p w14:paraId="4A0467DE">
            <w:pPr>
              <w:ind w:right="-100"/>
              <w:jc w:val="center"/>
              <w:rPr>
                <w:rFonts w:ascii="Times New Roman" w:hAnsi="Times New Roman"/>
              </w:rPr>
            </w:pPr>
            <w:r>
              <w:rPr>
                <w:rFonts w:ascii="Times New Roman" w:hAnsi="Times New Roman"/>
              </w:rPr>
              <w:t>4</w:t>
            </w:r>
          </w:p>
        </w:tc>
      </w:tr>
      <w:tr w14:paraId="4A03D6F9">
        <w:tblPrEx>
          <w:tblCellMar>
            <w:top w:w="0" w:type="dxa"/>
            <w:left w:w="108" w:type="dxa"/>
            <w:bottom w:w="0" w:type="dxa"/>
            <w:right w:w="108" w:type="dxa"/>
          </w:tblCellMar>
        </w:tblPrEx>
        <w:tc>
          <w:tcPr>
            <w:tcW w:w="959" w:type="dxa"/>
          </w:tcPr>
          <w:p w14:paraId="0A31CEE5">
            <w:pPr>
              <w:ind w:right="-9"/>
              <w:rPr>
                <w:rFonts w:ascii="Times New Roman" w:hAnsi="Times New Roman"/>
              </w:rPr>
            </w:pPr>
            <w:r>
              <w:rPr>
                <w:rFonts w:ascii="Times New Roman" w:hAnsi="Times New Roman"/>
              </w:rPr>
              <w:t>1.1</w:t>
            </w:r>
          </w:p>
        </w:tc>
        <w:tc>
          <w:tcPr>
            <w:tcW w:w="7938" w:type="dxa"/>
          </w:tcPr>
          <w:p w14:paraId="71A6D56A">
            <w:pPr>
              <w:rPr>
                <w:rFonts w:ascii="Times New Roman" w:hAnsi="Times New Roman"/>
              </w:rPr>
            </w:pPr>
            <w:r>
              <w:rPr>
                <w:rFonts w:ascii="Times New Roman" w:hAnsi="Times New Roman"/>
              </w:rPr>
              <w:t>Пояснительная записка</w:t>
            </w:r>
          </w:p>
        </w:tc>
        <w:tc>
          <w:tcPr>
            <w:tcW w:w="992" w:type="dxa"/>
          </w:tcPr>
          <w:p w14:paraId="034E502F">
            <w:pPr>
              <w:ind w:right="-100"/>
              <w:jc w:val="center"/>
              <w:rPr>
                <w:rFonts w:ascii="Times New Roman" w:hAnsi="Times New Roman"/>
              </w:rPr>
            </w:pPr>
            <w:r>
              <w:rPr>
                <w:rFonts w:ascii="Times New Roman" w:hAnsi="Times New Roman"/>
              </w:rPr>
              <w:t>5</w:t>
            </w:r>
          </w:p>
        </w:tc>
      </w:tr>
      <w:tr w14:paraId="5E7D2BCE">
        <w:tblPrEx>
          <w:tblCellMar>
            <w:top w:w="0" w:type="dxa"/>
            <w:left w:w="108" w:type="dxa"/>
            <w:bottom w:w="0" w:type="dxa"/>
            <w:right w:w="108" w:type="dxa"/>
          </w:tblCellMar>
        </w:tblPrEx>
        <w:tc>
          <w:tcPr>
            <w:tcW w:w="959" w:type="dxa"/>
          </w:tcPr>
          <w:p w14:paraId="7A049434">
            <w:pPr>
              <w:ind w:right="-9"/>
              <w:rPr>
                <w:rFonts w:ascii="Times New Roman" w:hAnsi="Times New Roman"/>
              </w:rPr>
            </w:pPr>
            <w:r>
              <w:rPr>
                <w:rFonts w:ascii="Times New Roman" w:hAnsi="Times New Roman"/>
              </w:rPr>
              <w:t>1.2.</w:t>
            </w:r>
          </w:p>
        </w:tc>
        <w:tc>
          <w:tcPr>
            <w:tcW w:w="7938" w:type="dxa"/>
          </w:tcPr>
          <w:p w14:paraId="07A1C930">
            <w:pPr>
              <w:rPr>
                <w:rFonts w:ascii="Times New Roman" w:hAnsi="Times New Roman"/>
              </w:rPr>
            </w:pPr>
            <w:r>
              <w:rPr>
                <w:rFonts w:ascii="Times New Roman" w:hAnsi="Times New Roman"/>
              </w:rPr>
              <w:t>Цели реализации программы ООО</w:t>
            </w:r>
          </w:p>
        </w:tc>
        <w:tc>
          <w:tcPr>
            <w:tcW w:w="992" w:type="dxa"/>
          </w:tcPr>
          <w:p w14:paraId="39468D68">
            <w:pPr>
              <w:ind w:right="-100"/>
              <w:jc w:val="center"/>
              <w:rPr>
                <w:rFonts w:ascii="Times New Roman" w:hAnsi="Times New Roman"/>
              </w:rPr>
            </w:pPr>
            <w:r>
              <w:rPr>
                <w:rFonts w:ascii="Times New Roman" w:hAnsi="Times New Roman"/>
              </w:rPr>
              <w:t>5</w:t>
            </w:r>
          </w:p>
        </w:tc>
      </w:tr>
      <w:tr w14:paraId="4D756149">
        <w:tblPrEx>
          <w:tblCellMar>
            <w:top w:w="0" w:type="dxa"/>
            <w:left w:w="108" w:type="dxa"/>
            <w:bottom w:w="0" w:type="dxa"/>
            <w:right w:w="108" w:type="dxa"/>
          </w:tblCellMar>
        </w:tblPrEx>
        <w:tc>
          <w:tcPr>
            <w:tcW w:w="959" w:type="dxa"/>
          </w:tcPr>
          <w:p w14:paraId="66A314FC">
            <w:pPr>
              <w:ind w:right="-9"/>
              <w:rPr>
                <w:rFonts w:ascii="Times New Roman" w:hAnsi="Times New Roman"/>
              </w:rPr>
            </w:pPr>
            <w:r>
              <w:rPr>
                <w:rFonts w:ascii="Times New Roman" w:hAnsi="Times New Roman"/>
              </w:rPr>
              <w:t>1.3.</w:t>
            </w:r>
          </w:p>
        </w:tc>
        <w:tc>
          <w:tcPr>
            <w:tcW w:w="7938" w:type="dxa"/>
          </w:tcPr>
          <w:p w14:paraId="3926E05C">
            <w:pPr>
              <w:rPr>
                <w:rFonts w:ascii="Times New Roman" w:hAnsi="Times New Roman"/>
              </w:rPr>
            </w:pPr>
            <w:r>
              <w:rPr>
                <w:rFonts w:ascii="Times New Roman" w:hAnsi="Times New Roman"/>
              </w:rPr>
              <w:t>Задачи реализации программы ООО</w:t>
            </w:r>
          </w:p>
        </w:tc>
        <w:tc>
          <w:tcPr>
            <w:tcW w:w="992" w:type="dxa"/>
          </w:tcPr>
          <w:p w14:paraId="48F7E982">
            <w:pPr>
              <w:ind w:right="-100"/>
              <w:jc w:val="center"/>
              <w:rPr>
                <w:rFonts w:ascii="Times New Roman" w:hAnsi="Times New Roman"/>
              </w:rPr>
            </w:pPr>
            <w:r>
              <w:rPr>
                <w:rFonts w:ascii="Times New Roman" w:hAnsi="Times New Roman"/>
              </w:rPr>
              <w:t>5</w:t>
            </w:r>
          </w:p>
        </w:tc>
      </w:tr>
      <w:tr w14:paraId="04B0E0EC">
        <w:tblPrEx>
          <w:tblCellMar>
            <w:top w:w="0" w:type="dxa"/>
            <w:left w:w="108" w:type="dxa"/>
            <w:bottom w:w="0" w:type="dxa"/>
            <w:right w:w="108" w:type="dxa"/>
          </w:tblCellMar>
        </w:tblPrEx>
        <w:tc>
          <w:tcPr>
            <w:tcW w:w="959" w:type="dxa"/>
          </w:tcPr>
          <w:p w14:paraId="40CC29A1">
            <w:pPr>
              <w:ind w:right="-9"/>
              <w:rPr>
                <w:rFonts w:ascii="Times New Roman" w:hAnsi="Times New Roman"/>
              </w:rPr>
            </w:pPr>
            <w:r>
              <w:rPr>
                <w:rFonts w:ascii="Times New Roman" w:hAnsi="Times New Roman"/>
              </w:rPr>
              <w:t>1.4</w:t>
            </w:r>
          </w:p>
        </w:tc>
        <w:tc>
          <w:tcPr>
            <w:tcW w:w="7938" w:type="dxa"/>
          </w:tcPr>
          <w:p w14:paraId="1DF1BAC8">
            <w:pPr>
              <w:rPr>
                <w:rFonts w:ascii="Times New Roman" w:hAnsi="Times New Roman"/>
              </w:rPr>
            </w:pPr>
            <w:r>
              <w:rPr>
                <w:rFonts w:ascii="Times New Roman" w:hAnsi="Times New Roman"/>
              </w:rPr>
              <w:t>Принципы формирования и механизмы реализации программы ООО</w:t>
            </w:r>
          </w:p>
        </w:tc>
        <w:tc>
          <w:tcPr>
            <w:tcW w:w="992" w:type="dxa"/>
          </w:tcPr>
          <w:p w14:paraId="2766AC79">
            <w:pPr>
              <w:ind w:right="-100"/>
              <w:jc w:val="center"/>
              <w:rPr>
                <w:rFonts w:ascii="Times New Roman" w:hAnsi="Times New Roman"/>
              </w:rPr>
            </w:pPr>
            <w:r>
              <w:rPr>
                <w:rFonts w:ascii="Times New Roman" w:hAnsi="Times New Roman"/>
              </w:rPr>
              <w:t>5</w:t>
            </w:r>
          </w:p>
        </w:tc>
      </w:tr>
      <w:tr w14:paraId="79893811">
        <w:tblPrEx>
          <w:tblCellMar>
            <w:top w:w="0" w:type="dxa"/>
            <w:left w:w="108" w:type="dxa"/>
            <w:bottom w:w="0" w:type="dxa"/>
            <w:right w:w="108" w:type="dxa"/>
          </w:tblCellMar>
        </w:tblPrEx>
        <w:tc>
          <w:tcPr>
            <w:tcW w:w="959" w:type="dxa"/>
          </w:tcPr>
          <w:p w14:paraId="001877A2">
            <w:pPr>
              <w:ind w:right="-9"/>
              <w:rPr>
                <w:rFonts w:ascii="Times New Roman" w:hAnsi="Times New Roman"/>
              </w:rPr>
            </w:pPr>
            <w:r>
              <w:rPr>
                <w:rFonts w:ascii="Times New Roman" w:hAnsi="Times New Roman"/>
              </w:rPr>
              <w:t>1.7</w:t>
            </w:r>
          </w:p>
        </w:tc>
        <w:tc>
          <w:tcPr>
            <w:tcW w:w="7938" w:type="dxa"/>
          </w:tcPr>
          <w:p w14:paraId="3B346029">
            <w:pPr>
              <w:rPr>
                <w:rFonts w:ascii="Times New Roman" w:hAnsi="Times New Roman"/>
              </w:rPr>
            </w:pPr>
            <w:r>
              <w:rPr>
                <w:rFonts w:ascii="Times New Roman" w:hAnsi="Times New Roman"/>
              </w:rPr>
              <w:t>Планируемые результаты освоения обучающимися программы ООО</w:t>
            </w:r>
          </w:p>
        </w:tc>
        <w:tc>
          <w:tcPr>
            <w:tcW w:w="992" w:type="dxa"/>
          </w:tcPr>
          <w:p w14:paraId="44C933F5">
            <w:pPr>
              <w:ind w:right="-100"/>
              <w:jc w:val="center"/>
              <w:rPr>
                <w:rFonts w:ascii="Times New Roman" w:hAnsi="Times New Roman"/>
              </w:rPr>
            </w:pPr>
            <w:r>
              <w:rPr>
                <w:rFonts w:ascii="Times New Roman" w:hAnsi="Times New Roman"/>
              </w:rPr>
              <w:t>7</w:t>
            </w:r>
          </w:p>
        </w:tc>
      </w:tr>
      <w:tr w14:paraId="4303416B">
        <w:tblPrEx>
          <w:tblCellMar>
            <w:top w:w="0" w:type="dxa"/>
            <w:left w:w="108" w:type="dxa"/>
            <w:bottom w:w="0" w:type="dxa"/>
            <w:right w:w="108" w:type="dxa"/>
          </w:tblCellMar>
        </w:tblPrEx>
        <w:tc>
          <w:tcPr>
            <w:tcW w:w="959" w:type="dxa"/>
          </w:tcPr>
          <w:p w14:paraId="27D49B3A">
            <w:pPr>
              <w:ind w:right="-9"/>
              <w:rPr>
                <w:rFonts w:ascii="Times New Roman" w:hAnsi="Times New Roman"/>
              </w:rPr>
            </w:pPr>
            <w:r>
              <w:rPr>
                <w:rFonts w:ascii="Times New Roman" w:hAnsi="Times New Roman"/>
              </w:rPr>
              <w:t>1.8</w:t>
            </w:r>
          </w:p>
        </w:tc>
        <w:tc>
          <w:tcPr>
            <w:tcW w:w="7938" w:type="dxa"/>
          </w:tcPr>
          <w:p w14:paraId="677462ED">
            <w:pPr>
              <w:rPr>
                <w:rFonts w:ascii="Times New Roman" w:hAnsi="Times New Roman"/>
              </w:rPr>
            </w:pPr>
            <w:r>
              <w:rPr>
                <w:rFonts w:ascii="Times New Roman" w:hAnsi="Times New Roman"/>
              </w:rPr>
              <w:t>Система оценки достижения планируемых результатов освоения программы ООО</w:t>
            </w:r>
          </w:p>
        </w:tc>
        <w:tc>
          <w:tcPr>
            <w:tcW w:w="992" w:type="dxa"/>
          </w:tcPr>
          <w:p w14:paraId="39A6F36D">
            <w:pPr>
              <w:ind w:right="-100"/>
              <w:jc w:val="center"/>
              <w:rPr>
                <w:rFonts w:ascii="Times New Roman" w:hAnsi="Times New Roman"/>
              </w:rPr>
            </w:pPr>
            <w:r>
              <w:rPr>
                <w:rFonts w:ascii="Times New Roman" w:hAnsi="Times New Roman"/>
              </w:rPr>
              <w:t>8</w:t>
            </w:r>
          </w:p>
        </w:tc>
      </w:tr>
      <w:tr w14:paraId="70E5E68A">
        <w:tblPrEx>
          <w:tblCellMar>
            <w:top w:w="0" w:type="dxa"/>
            <w:left w:w="108" w:type="dxa"/>
            <w:bottom w:w="0" w:type="dxa"/>
            <w:right w:w="108" w:type="dxa"/>
          </w:tblCellMar>
        </w:tblPrEx>
        <w:tc>
          <w:tcPr>
            <w:tcW w:w="959" w:type="dxa"/>
          </w:tcPr>
          <w:p w14:paraId="6CBEC7BD">
            <w:pPr>
              <w:ind w:right="-9"/>
              <w:rPr>
                <w:rFonts w:ascii="Times New Roman" w:hAnsi="Times New Roman"/>
                <w:b/>
              </w:rPr>
            </w:pPr>
            <w:r>
              <w:rPr>
                <w:rFonts w:ascii="Times New Roman" w:hAnsi="Times New Roman"/>
                <w:b/>
              </w:rPr>
              <w:t>II</w:t>
            </w:r>
          </w:p>
        </w:tc>
        <w:tc>
          <w:tcPr>
            <w:tcW w:w="7938" w:type="dxa"/>
          </w:tcPr>
          <w:p w14:paraId="0DBF38DF">
            <w:pPr>
              <w:rPr>
                <w:rFonts w:ascii="Times New Roman" w:hAnsi="Times New Roman"/>
                <w:b/>
              </w:rPr>
            </w:pPr>
            <w:r>
              <w:rPr>
                <w:rFonts w:ascii="Times New Roman" w:hAnsi="Times New Roman"/>
                <w:b/>
              </w:rPr>
              <w:t>СОДЕРЖАТЕЛЬНЫЙ РАЗДЕЛ</w:t>
            </w:r>
          </w:p>
        </w:tc>
        <w:tc>
          <w:tcPr>
            <w:tcW w:w="992" w:type="dxa"/>
          </w:tcPr>
          <w:p w14:paraId="7B5EC99B">
            <w:pPr>
              <w:tabs>
                <w:tab w:val="left" w:pos="225"/>
                <w:tab w:val="center" w:pos="365"/>
              </w:tabs>
              <w:ind w:right="-100"/>
              <w:jc w:val="center"/>
              <w:rPr>
                <w:rFonts w:ascii="Times New Roman" w:hAnsi="Times New Roman"/>
              </w:rPr>
            </w:pPr>
            <w:r>
              <w:rPr>
                <w:rFonts w:ascii="Times New Roman" w:hAnsi="Times New Roman"/>
              </w:rPr>
              <w:t>16</w:t>
            </w:r>
          </w:p>
        </w:tc>
      </w:tr>
      <w:tr w14:paraId="73A7E49C">
        <w:tblPrEx>
          <w:tblCellMar>
            <w:top w:w="0" w:type="dxa"/>
            <w:left w:w="108" w:type="dxa"/>
            <w:bottom w:w="0" w:type="dxa"/>
            <w:right w:w="108" w:type="dxa"/>
          </w:tblCellMar>
        </w:tblPrEx>
        <w:trPr>
          <w:trHeight w:val="460" w:hRule="atLeast"/>
        </w:trPr>
        <w:tc>
          <w:tcPr>
            <w:tcW w:w="959" w:type="dxa"/>
          </w:tcPr>
          <w:p w14:paraId="0F0C5551">
            <w:pPr>
              <w:ind w:right="-9"/>
              <w:rPr>
                <w:rFonts w:ascii="Times New Roman" w:hAnsi="Times New Roman"/>
              </w:rPr>
            </w:pPr>
          </w:p>
          <w:p w14:paraId="6211B4AB">
            <w:pPr>
              <w:ind w:right="-9"/>
              <w:rPr>
                <w:rFonts w:ascii="Times New Roman" w:hAnsi="Times New Roman"/>
              </w:rPr>
            </w:pPr>
            <w:r>
              <w:rPr>
                <w:rFonts w:ascii="Times New Roman" w:hAnsi="Times New Roman"/>
              </w:rPr>
              <w:t>2</w:t>
            </w:r>
          </w:p>
        </w:tc>
        <w:tc>
          <w:tcPr>
            <w:tcW w:w="7938" w:type="dxa"/>
          </w:tcPr>
          <w:p w14:paraId="20A1F687">
            <w:pPr>
              <w:rPr>
                <w:rFonts w:ascii="Times New Roman" w:hAnsi="Times New Roman"/>
              </w:rPr>
            </w:pPr>
            <w:r>
              <w:rPr>
                <w:rFonts w:ascii="Times New Roman" w:hAnsi="Times New Roman"/>
              </w:rPr>
              <w:t>Рабочая программа учебного предмета «Русский язык»</w:t>
            </w:r>
          </w:p>
        </w:tc>
        <w:tc>
          <w:tcPr>
            <w:tcW w:w="992" w:type="dxa"/>
          </w:tcPr>
          <w:p w14:paraId="1EA224C3">
            <w:pPr>
              <w:ind w:right="-100"/>
              <w:jc w:val="center"/>
              <w:rPr>
                <w:rFonts w:ascii="Times New Roman" w:hAnsi="Times New Roman"/>
              </w:rPr>
            </w:pPr>
            <w:r>
              <w:rPr>
                <w:rFonts w:ascii="Times New Roman" w:hAnsi="Times New Roman"/>
              </w:rPr>
              <w:t>16</w:t>
            </w:r>
          </w:p>
        </w:tc>
      </w:tr>
      <w:tr w14:paraId="0F2EA7CA">
        <w:tblPrEx>
          <w:tblCellMar>
            <w:top w:w="0" w:type="dxa"/>
            <w:left w:w="108" w:type="dxa"/>
            <w:bottom w:w="0" w:type="dxa"/>
            <w:right w:w="108" w:type="dxa"/>
          </w:tblCellMar>
        </w:tblPrEx>
        <w:tc>
          <w:tcPr>
            <w:tcW w:w="959" w:type="dxa"/>
          </w:tcPr>
          <w:p w14:paraId="51DE8EA3">
            <w:pPr>
              <w:ind w:right="-9"/>
              <w:rPr>
                <w:rFonts w:ascii="Times New Roman" w:hAnsi="Times New Roman"/>
              </w:rPr>
            </w:pPr>
            <w:r>
              <w:rPr>
                <w:rFonts w:ascii="Times New Roman" w:hAnsi="Times New Roman"/>
              </w:rPr>
              <w:t>3</w:t>
            </w:r>
          </w:p>
        </w:tc>
        <w:tc>
          <w:tcPr>
            <w:tcW w:w="7938" w:type="dxa"/>
          </w:tcPr>
          <w:p w14:paraId="558F2272">
            <w:pPr>
              <w:rPr>
                <w:rFonts w:ascii="Times New Roman" w:hAnsi="Times New Roman"/>
              </w:rPr>
            </w:pPr>
            <w:r>
              <w:rPr>
                <w:rFonts w:ascii="Times New Roman" w:hAnsi="Times New Roman"/>
              </w:rPr>
              <w:t>Рабочая программа учебного предмета «Литературное чтение»</w:t>
            </w:r>
          </w:p>
        </w:tc>
        <w:tc>
          <w:tcPr>
            <w:tcW w:w="992" w:type="dxa"/>
          </w:tcPr>
          <w:p w14:paraId="64102B7C">
            <w:pPr>
              <w:ind w:right="-100"/>
              <w:jc w:val="center"/>
              <w:rPr>
                <w:rFonts w:ascii="Times New Roman" w:hAnsi="Times New Roman"/>
              </w:rPr>
            </w:pPr>
            <w:r>
              <w:rPr>
                <w:rFonts w:ascii="Times New Roman" w:hAnsi="Times New Roman"/>
              </w:rPr>
              <w:t>144</w:t>
            </w:r>
          </w:p>
        </w:tc>
      </w:tr>
      <w:tr w14:paraId="51023541">
        <w:tblPrEx>
          <w:tblCellMar>
            <w:top w:w="0" w:type="dxa"/>
            <w:left w:w="108" w:type="dxa"/>
            <w:bottom w:w="0" w:type="dxa"/>
            <w:right w:w="108" w:type="dxa"/>
          </w:tblCellMar>
        </w:tblPrEx>
        <w:tc>
          <w:tcPr>
            <w:tcW w:w="959" w:type="dxa"/>
          </w:tcPr>
          <w:p w14:paraId="3587E8E8">
            <w:pPr>
              <w:ind w:right="-9"/>
              <w:rPr>
                <w:rFonts w:ascii="Times New Roman" w:hAnsi="Times New Roman"/>
              </w:rPr>
            </w:pPr>
            <w:r>
              <w:rPr>
                <w:rFonts w:ascii="Times New Roman" w:hAnsi="Times New Roman"/>
              </w:rPr>
              <w:t>4</w:t>
            </w:r>
          </w:p>
          <w:p w14:paraId="11EBC97A">
            <w:pPr>
              <w:ind w:right="-9"/>
              <w:rPr>
                <w:rFonts w:ascii="Times New Roman" w:hAnsi="Times New Roman"/>
              </w:rPr>
            </w:pPr>
            <w:r>
              <w:rPr>
                <w:rFonts w:ascii="Times New Roman" w:hAnsi="Times New Roman"/>
              </w:rPr>
              <w:t>5</w:t>
            </w:r>
          </w:p>
        </w:tc>
        <w:tc>
          <w:tcPr>
            <w:tcW w:w="7938" w:type="dxa"/>
          </w:tcPr>
          <w:p w14:paraId="33A1A227">
            <w:pPr>
              <w:rPr>
                <w:rFonts w:ascii="Times New Roman" w:hAnsi="Times New Roman"/>
              </w:rPr>
            </w:pPr>
            <w:r>
              <w:rPr>
                <w:rFonts w:ascii="Times New Roman" w:hAnsi="Times New Roman"/>
              </w:rPr>
              <w:t>Рабочая программа учебного предмета «Родной (чувашский) язык»</w:t>
            </w:r>
          </w:p>
        </w:tc>
        <w:tc>
          <w:tcPr>
            <w:tcW w:w="992" w:type="dxa"/>
          </w:tcPr>
          <w:p w14:paraId="30368B2E">
            <w:pPr>
              <w:ind w:right="-100"/>
              <w:jc w:val="center"/>
              <w:rPr>
                <w:rFonts w:ascii="Times New Roman" w:hAnsi="Times New Roman"/>
              </w:rPr>
            </w:pPr>
            <w:r>
              <w:rPr>
                <w:rFonts w:ascii="Times New Roman" w:hAnsi="Times New Roman"/>
              </w:rPr>
              <w:t>256</w:t>
            </w:r>
          </w:p>
        </w:tc>
      </w:tr>
      <w:tr w14:paraId="6ECFF8E8">
        <w:tblPrEx>
          <w:tblCellMar>
            <w:top w:w="0" w:type="dxa"/>
            <w:left w:w="108" w:type="dxa"/>
            <w:bottom w:w="0" w:type="dxa"/>
            <w:right w:w="108" w:type="dxa"/>
          </w:tblCellMar>
        </w:tblPrEx>
        <w:tc>
          <w:tcPr>
            <w:tcW w:w="959" w:type="dxa"/>
          </w:tcPr>
          <w:p w14:paraId="23B58626">
            <w:pPr>
              <w:ind w:right="-9"/>
              <w:rPr>
                <w:rFonts w:ascii="Times New Roman" w:hAnsi="Times New Roman"/>
              </w:rPr>
            </w:pPr>
            <w:r>
              <w:rPr>
                <w:rFonts w:ascii="Times New Roman" w:hAnsi="Times New Roman"/>
              </w:rPr>
              <w:t>6</w:t>
            </w:r>
          </w:p>
        </w:tc>
        <w:tc>
          <w:tcPr>
            <w:tcW w:w="7938" w:type="dxa"/>
          </w:tcPr>
          <w:p w14:paraId="3E5CB49C">
            <w:pPr>
              <w:widowControl/>
              <w:spacing w:after="0" w:line="240" w:lineRule="auto"/>
              <w:ind w:firstLine="34"/>
              <w:contextualSpacing/>
              <w:jc w:val="both"/>
              <w:rPr>
                <w:rFonts w:ascii="Times New Roman" w:hAnsi="Times New Roman"/>
              </w:rPr>
            </w:pPr>
            <w:r>
              <w:rPr>
                <w:rFonts w:ascii="Times New Roman" w:hAnsi="Times New Roman"/>
              </w:rPr>
              <w:t>Рабочая программа учебного предмета «Родная (чувашская) литература»</w:t>
            </w:r>
          </w:p>
        </w:tc>
        <w:tc>
          <w:tcPr>
            <w:tcW w:w="992" w:type="dxa"/>
          </w:tcPr>
          <w:p w14:paraId="55A6E393">
            <w:pPr>
              <w:ind w:right="-100"/>
              <w:jc w:val="center"/>
              <w:rPr>
                <w:rFonts w:ascii="Times New Roman" w:hAnsi="Times New Roman"/>
              </w:rPr>
            </w:pPr>
            <w:r>
              <w:rPr>
                <w:rFonts w:ascii="Times New Roman" w:hAnsi="Times New Roman"/>
              </w:rPr>
              <w:t>290</w:t>
            </w:r>
          </w:p>
        </w:tc>
      </w:tr>
      <w:tr w14:paraId="21F05B5E">
        <w:tblPrEx>
          <w:tblCellMar>
            <w:top w:w="0" w:type="dxa"/>
            <w:left w:w="108" w:type="dxa"/>
            <w:bottom w:w="0" w:type="dxa"/>
            <w:right w:w="108" w:type="dxa"/>
          </w:tblCellMar>
        </w:tblPrEx>
        <w:tc>
          <w:tcPr>
            <w:tcW w:w="959" w:type="dxa"/>
          </w:tcPr>
          <w:p w14:paraId="00E71720">
            <w:pPr>
              <w:ind w:right="-9"/>
              <w:rPr>
                <w:rFonts w:ascii="Times New Roman" w:hAnsi="Times New Roman"/>
              </w:rPr>
            </w:pPr>
            <w:r>
              <w:rPr>
                <w:rFonts w:ascii="Times New Roman" w:hAnsi="Times New Roman"/>
              </w:rPr>
              <w:t>7</w:t>
            </w:r>
          </w:p>
        </w:tc>
        <w:tc>
          <w:tcPr>
            <w:tcW w:w="7938" w:type="dxa"/>
          </w:tcPr>
          <w:p w14:paraId="1A5175EA">
            <w:pPr>
              <w:rPr>
                <w:rFonts w:ascii="Times New Roman" w:hAnsi="Times New Roman"/>
              </w:rPr>
            </w:pPr>
            <w:r>
              <w:rPr>
                <w:rFonts w:ascii="Times New Roman" w:hAnsi="Times New Roman"/>
              </w:rPr>
              <w:t>Рабочая программа учебного предмета «Иностранный (английский) язык»</w:t>
            </w:r>
          </w:p>
        </w:tc>
        <w:tc>
          <w:tcPr>
            <w:tcW w:w="992" w:type="dxa"/>
          </w:tcPr>
          <w:p w14:paraId="36D04894">
            <w:pPr>
              <w:ind w:right="-100"/>
              <w:jc w:val="center"/>
              <w:rPr>
                <w:rFonts w:ascii="Times New Roman" w:hAnsi="Times New Roman"/>
              </w:rPr>
            </w:pPr>
            <w:r>
              <w:rPr>
                <w:rFonts w:ascii="Times New Roman" w:hAnsi="Times New Roman"/>
              </w:rPr>
              <w:t>324</w:t>
            </w:r>
          </w:p>
        </w:tc>
      </w:tr>
      <w:tr w14:paraId="5871C784">
        <w:tblPrEx>
          <w:tblCellMar>
            <w:top w:w="0" w:type="dxa"/>
            <w:left w:w="108" w:type="dxa"/>
            <w:bottom w:w="0" w:type="dxa"/>
            <w:right w:w="108" w:type="dxa"/>
          </w:tblCellMar>
        </w:tblPrEx>
        <w:tc>
          <w:tcPr>
            <w:tcW w:w="959" w:type="dxa"/>
          </w:tcPr>
          <w:p w14:paraId="14F70A74">
            <w:pPr>
              <w:ind w:right="-9"/>
              <w:rPr>
                <w:rFonts w:ascii="Times New Roman" w:hAnsi="Times New Roman"/>
              </w:rPr>
            </w:pPr>
            <w:r>
              <w:rPr>
                <w:rFonts w:ascii="Times New Roman" w:hAnsi="Times New Roman"/>
              </w:rPr>
              <w:t>8</w:t>
            </w:r>
          </w:p>
        </w:tc>
        <w:tc>
          <w:tcPr>
            <w:tcW w:w="7938" w:type="dxa"/>
          </w:tcPr>
          <w:p w14:paraId="6C967C26">
            <w:pPr>
              <w:rPr>
                <w:rFonts w:ascii="Times New Roman" w:hAnsi="Times New Roman"/>
              </w:rPr>
            </w:pPr>
            <w:r>
              <w:rPr>
                <w:rFonts w:ascii="Times New Roman" w:hAnsi="Times New Roman"/>
              </w:rPr>
              <w:t xml:space="preserve">Рабочая программа учебного предмета «Математика» </w:t>
            </w:r>
          </w:p>
        </w:tc>
        <w:tc>
          <w:tcPr>
            <w:tcW w:w="992" w:type="dxa"/>
          </w:tcPr>
          <w:p w14:paraId="532AD53A">
            <w:pPr>
              <w:ind w:right="-100"/>
              <w:jc w:val="center"/>
              <w:rPr>
                <w:rFonts w:ascii="Times New Roman" w:hAnsi="Times New Roman"/>
              </w:rPr>
            </w:pPr>
            <w:r>
              <w:rPr>
                <w:rFonts w:ascii="Times New Roman" w:hAnsi="Times New Roman"/>
              </w:rPr>
              <w:t>375</w:t>
            </w:r>
          </w:p>
        </w:tc>
      </w:tr>
      <w:tr w14:paraId="2790C5E0">
        <w:tblPrEx>
          <w:tblCellMar>
            <w:top w:w="0" w:type="dxa"/>
            <w:left w:w="108" w:type="dxa"/>
            <w:bottom w:w="0" w:type="dxa"/>
            <w:right w:w="108" w:type="dxa"/>
          </w:tblCellMar>
        </w:tblPrEx>
        <w:tc>
          <w:tcPr>
            <w:tcW w:w="959" w:type="dxa"/>
          </w:tcPr>
          <w:p w14:paraId="3921F417">
            <w:pPr>
              <w:ind w:right="-9"/>
              <w:rPr>
                <w:rFonts w:ascii="Times New Roman" w:hAnsi="Times New Roman"/>
              </w:rPr>
            </w:pPr>
            <w:r>
              <w:rPr>
                <w:rFonts w:ascii="Times New Roman" w:hAnsi="Times New Roman"/>
              </w:rPr>
              <w:t>9</w:t>
            </w:r>
          </w:p>
        </w:tc>
        <w:tc>
          <w:tcPr>
            <w:tcW w:w="7938" w:type="dxa"/>
          </w:tcPr>
          <w:p w14:paraId="3B15C703">
            <w:pPr>
              <w:rPr>
                <w:rFonts w:ascii="Times New Roman" w:hAnsi="Times New Roman"/>
              </w:rPr>
            </w:pPr>
            <w:r>
              <w:rPr>
                <w:rFonts w:ascii="Times New Roman" w:hAnsi="Times New Roman"/>
              </w:rPr>
              <w:t>Рабочая программа учебного предмета «Окружающий мир»</w:t>
            </w:r>
          </w:p>
        </w:tc>
        <w:tc>
          <w:tcPr>
            <w:tcW w:w="992" w:type="dxa"/>
          </w:tcPr>
          <w:p w14:paraId="0AA42CAC">
            <w:pPr>
              <w:ind w:right="-100"/>
              <w:jc w:val="center"/>
              <w:rPr>
                <w:rFonts w:ascii="Times New Roman" w:hAnsi="Times New Roman"/>
              </w:rPr>
            </w:pPr>
            <w:r>
              <w:rPr>
                <w:rFonts w:ascii="Times New Roman" w:hAnsi="Times New Roman"/>
              </w:rPr>
              <w:t>408</w:t>
            </w:r>
          </w:p>
        </w:tc>
      </w:tr>
      <w:tr w14:paraId="51D574BE">
        <w:tblPrEx>
          <w:tblCellMar>
            <w:top w:w="0" w:type="dxa"/>
            <w:left w:w="108" w:type="dxa"/>
            <w:bottom w:w="0" w:type="dxa"/>
            <w:right w:w="108" w:type="dxa"/>
          </w:tblCellMar>
        </w:tblPrEx>
        <w:tc>
          <w:tcPr>
            <w:tcW w:w="959" w:type="dxa"/>
          </w:tcPr>
          <w:p w14:paraId="1276210B">
            <w:pPr>
              <w:ind w:right="-9"/>
              <w:rPr>
                <w:rFonts w:ascii="Times New Roman" w:hAnsi="Times New Roman"/>
              </w:rPr>
            </w:pPr>
            <w:r>
              <w:rPr>
                <w:rFonts w:ascii="Times New Roman" w:hAnsi="Times New Roman"/>
              </w:rPr>
              <w:t>10</w:t>
            </w:r>
          </w:p>
        </w:tc>
        <w:tc>
          <w:tcPr>
            <w:tcW w:w="7938" w:type="dxa"/>
          </w:tcPr>
          <w:p w14:paraId="73F24A16">
            <w:pPr>
              <w:rPr>
                <w:rFonts w:ascii="Times New Roman" w:hAnsi="Times New Roman"/>
              </w:rPr>
            </w:pPr>
            <w:r>
              <w:rPr>
                <w:rFonts w:ascii="Times New Roman" w:hAnsi="Times New Roman"/>
              </w:rPr>
              <w:t>Рабочая программа учебного предмета «Основы религиозных культур и светской этики»</w:t>
            </w:r>
          </w:p>
        </w:tc>
        <w:tc>
          <w:tcPr>
            <w:tcW w:w="992" w:type="dxa"/>
          </w:tcPr>
          <w:p w14:paraId="59A52564">
            <w:pPr>
              <w:ind w:right="-100"/>
              <w:jc w:val="center"/>
              <w:rPr>
                <w:rFonts w:ascii="Times New Roman" w:hAnsi="Times New Roman"/>
              </w:rPr>
            </w:pPr>
            <w:r>
              <w:rPr>
                <w:rFonts w:ascii="Times New Roman" w:hAnsi="Times New Roman"/>
              </w:rPr>
              <w:t>480</w:t>
            </w:r>
          </w:p>
        </w:tc>
      </w:tr>
      <w:tr w14:paraId="26B0E115">
        <w:tblPrEx>
          <w:tblCellMar>
            <w:top w:w="0" w:type="dxa"/>
            <w:left w:w="108" w:type="dxa"/>
            <w:bottom w:w="0" w:type="dxa"/>
            <w:right w:w="108" w:type="dxa"/>
          </w:tblCellMar>
        </w:tblPrEx>
        <w:tc>
          <w:tcPr>
            <w:tcW w:w="959" w:type="dxa"/>
          </w:tcPr>
          <w:p w14:paraId="1146392E">
            <w:pPr>
              <w:ind w:right="-9"/>
              <w:rPr>
                <w:rFonts w:ascii="Times New Roman" w:hAnsi="Times New Roman"/>
              </w:rPr>
            </w:pPr>
            <w:r>
              <w:rPr>
                <w:rFonts w:ascii="Times New Roman" w:hAnsi="Times New Roman"/>
              </w:rPr>
              <w:t>11</w:t>
            </w:r>
          </w:p>
        </w:tc>
        <w:tc>
          <w:tcPr>
            <w:tcW w:w="7938" w:type="dxa"/>
          </w:tcPr>
          <w:p w14:paraId="35CA1FCB">
            <w:pPr>
              <w:rPr>
                <w:rFonts w:ascii="Times New Roman" w:hAnsi="Times New Roman"/>
              </w:rPr>
            </w:pPr>
            <w:r>
              <w:rPr>
                <w:rFonts w:ascii="Times New Roman" w:hAnsi="Times New Roman"/>
              </w:rPr>
              <w:t>Рабочая программа учебного предмета «Изобразительное искусство»</w:t>
            </w:r>
          </w:p>
        </w:tc>
        <w:tc>
          <w:tcPr>
            <w:tcW w:w="992" w:type="dxa"/>
          </w:tcPr>
          <w:p w14:paraId="564ED52E">
            <w:pPr>
              <w:ind w:right="-100"/>
              <w:jc w:val="center"/>
              <w:rPr>
                <w:rFonts w:ascii="Times New Roman" w:hAnsi="Times New Roman"/>
              </w:rPr>
            </w:pPr>
            <w:r>
              <w:rPr>
                <w:rFonts w:ascii="Times New Roman" w:hAnsi="Times New Roman"/>
              </w:rPr>
              <w:t>495</w:t>
            </w:r>
          </w:p>
        </w:tc>
      </w:tr>
      <w:tr w14:paraId="7D3930B1">
        <w:tblPrEx>
          <w:tblCellMar>
            <w:top w:w="0" w:type="dxa"/>
            <w:left w:w="108" w:type="dxa"/>
            <w:bottom w:w="0" w:type="dxa"/>
            <w:right w:w="108" w:type="dxa"/>
          </w:tblCellMar>
        </w:tblPrEx>
        <w:tc>
          <w:tcPr>
            <w:tcW w:w="959" w:type="dxa"/>
          </w:tcPr>
          <w:p w14:paraId="28070C97">
            <w:pPr>
              <w:ind w:right="-9"/>
              <w:rPr>
                <w:rFonts w:ascii="Times New Roman" w:hAnsi="Times New Roman"/>
              </w:rPr>
            </w:pPr>
            <w:r>
              <w:rPr>
                <w:rFonts w:ascii="Times New Roman" w:hAnsi="Times New Roman"/>
              </w:rPr>
              <w:t>12</w:t>
            </w:r>
          </w:p>
        </w:tc>
        <w:tc>
          <w:tcPr>
            <w:tcW w:w="7938" w:type="dxa"/>
          </w:tcPr>
          <w:p w14:paraId="4C377232">
            <w:pPr>
              <w:rPr>
                <w:rFonts w:ascii="Times New Roman" w:hAnsi="Times New Roman"/>
              </w:rPr>
            </w:pPr>
            <w:r>
              <w:rPr>
                <w:rFonts w:ascii="Times New Roman" w:hAnsi="Times New Roman"/>
              </w:rPr>
              <w:t>Рабочая программа учебного предмета «Музыка»</w:t>
            </w:r>
          </w:p>
        </w:tc>
        <w:tc>
          <w:tcPr>
            <w:tcW w:w="992" w:type="dxa"/>
          </w:tcPr>
          <w:p w14:paraId="0F5B85A7">
            <w:pPr>
              <w:ind w:right="-100"/>
              <w:jc w:val="center"/>
              <w:rPr>
                <w:rFonts w:ascii="Times New Roman" w:hAnsi="Times New Roman"/>
              </w:rPr>
            </w:pPr>
            <w:r>
              <w:rPr>
                <w:rFonts w:ascii="Times New Roman" w:hAnsi="Times New Roman"/>
              </w:rPr>
              <w:t>518</w:t>
            </w:r>
          </w:p>
        </w:tc>
      </w:tr>
      <w:tr w14:paraId="2AE4265C">
        <w:tblPrEx>
          <w:tblCellMar>
            <w:top w:w="0" w:type="dxa"/>
            <w:left w:w="108" w:type="dxa"/>
            <w:bottom w:w="0" w:type="dxa"/>
            <w:right w:w="108" w:type="dxa"/>
          </w:tblCellMar>
        </w:tblPrEx>
        <w:tc>
          <w:tcPr>
            <w:tcW w:w="959" w:type="dxa"/>
          </w:tcPr>
          <w:p w14:paraId="213B246E">
            <w:pPr>
              <w:ind w:right="-9"/>
              <w:rPr>
                <w:rFonts w:ascii="Times New Roman" w:hAnsi="Times New Roman"/>
              </w:rPr>
            </w:pPr>
            <w:r>
              <w:rPr>
                <w:rFonts w:ascii="Times New Roman" w:hAnsi="Times New Roman"/>
              </w:rPr>
              <w:t>13</w:t>
            </w:r>
          </w:p>
        </w:tc>
        <w:tc>
          <w:tcPr>
            <w:tcW w:w="7938" w:type="dxa"/>
          </w:tcPr>
          <w:p w14:paraId="3F21044F">
            <w:pPr>
              <w:rPr>
                <w:rFonts w:ascii="Times New Roman" w:hAnsi="Times New Roman"/>
              </w:rPr>
            </w:pPr>
            <w:r>
              <w:rPr>
                <w:rFonts w:ascii="Times New Roman" w:hAnsi="Times New Roman"/>
              </w:rPr>
              <w:t>Рабочая программа учебного предмета "Труд (технология)"</w:t>
            </w:r>
          </w:p>
        </w:tc>
        <w:tc>
          <w:tcPr>
            <w:tcW w:w="992" w:type="dxa"/>
          </w:tcPr>
          <w:p w14:paraId="2BA5BA2E">
            <w:pPr>
              <w:ind w:right="-100"/>
              <w:jc w:val="center"/>
              <w:rPr>
                <w:rFonts w:ascii="Times New Roman" w:hAnsi="Times New Roman"/>
              </w:rPr>
            </w:pPr>
            <w:r>
              <w:rPr>
                <w:rFonts w:ascii="Times New Roman" w:hAnsi="Times New Roman"/>
              </w:rPr>
              <w:t>536</w:t>
            </w:r>
          </w:p>
        </w:tc>
      </w:tr>
      <w:tr w14:paraId="15C42734">
        <w:tblPrEx>
          <w:tblCellMar>
            <w:top w:w="0" w:type="dxa"/>
            <w:left w:w="108" w:type="dxa"/>
            <w:bottom w:w="0" w:type="dxa"/>
            <w:right w:w="108" w:type="dxa"/>
          </w:tblCellMar>
        </w:tblPrEx>
        <w:tc>
          <w:tcPr>
            <w:tcW w:w="959" w:type="dxa"/>
          </w:tcPr>
          <w:p w14:paraId="53C18910">
            <w:pPr>
              <w:ind w:right="-9"/>
              <w:rPr>
                <w:rFonts w:ascii="Times New Roman" w:hAnsi="Times New Roman"/>
              </w:rPr>
            </w:pPr>
            <w:r>
              <w:rPr>
                <w:rFonts w:ascii="Times New Roman" w:hAnsi="Times New Roman"/>
              </w:rPr>
              <w:t>14</w:t>
            </w:r>
          </w:p>
        </w:tc>
        <w:tc>
          <w:tcPr>
            <w:tcW w:w="7938" w:type="dxa"/>
          </w:tcPr>
          <w:p w14:paraId="71DD4F11">
            <w:pPr>
              <w:rPr>
                <w:rFonts w:ascii="Times New Roman" w:hAnsi="Times New Roman"/>
              </w:rPr>
            </w:pPr>
            <w:r>
              <w:rPr>
                <w:rFonts w:ascii="Times New Roman" w:hAnsi="Times New Roman"/>
              </w:rPr>
              <w:t>Рабочая программа учебного предмета «Физическая культура»</w:t>
            </w:r>
          </w:p>
        </w:tc>
        <w:tc>
          <w:tcPr>
            <w:tcW w:w="992" w:type="dxa"/>
          </w:tcPr>
          <w:p w14:paraId="20C25202">
            <w:pPr>
              <w:ind w:right="-100"/>
              <w:jc w:val="center"/>
              <w:rPr>
                <w:rFonts w:ascii="Times New Roman" w:hAnsi="Times New Roman"/>
              </w:rPr>
            </w:pPr>
            <w:r>
              <w:rPr>
                <w:rFonts w:ascii="Times New Roman" w:hAnsi="Times New Roman"/>
              </w:rPr>
              <w:t>565</w:t>
            </w:r>
          </w:p>
        </w:tc>
      </w:tr>
      <w:tr w14:paraId="2CE305CB">
        <w:tblPrEx>
          <w:tblCellMar>
            <w:top w:w="0" w:type="dxa"/>
            <w:left w:w="108" w:type="dxa"/>
            <w:bottom w:w="0" w:type="dxa"/>
            <w:right w:w="108" w:type="dxa"/>
          </w:tblCellMar>
        </w:tblPrEx>
        <w:tc>
          <w:tcPr>
            <w:tcW w:w="959" w:type="dxa"/>
          </w:tcPr>
          <w:p w14:paraId="1EEC8B1C">
            <w:pPr>
              <w:ind w:right="-9"/>
              <w:rPr>
                <w:rFonts w:ascii="Times New Roman" w:hAnsi="Times New Roman"/>
              </w:rPr>
            </w:pPr>
            <w:r>
              <w:rPr>
                <w:rFonts w:ascii="Times New Roman" w:hAnsi="Times New Roman"/>
              </w:rPr>
              <w:t>15</w:t>
            </w:r>
          </w:p>
        </w:tc>
        <w:tc>
          <w:tcPr>
            <w:tcW w:w="7938" w:type="dxa"/>
          </w:tcPr>
          <w:p w14:paraId="62E1BC6F">
            <w:pPr>
              <w:rPr>
                <w:rFonts w:ascii="Times New Roman" w:hAnsi="Times New Roman"/>
              </w:rPr>
            </w:pPr>
            <w:r>
              <w:rPr>
                <w:rFonts w:ascii="Times New Roman" w:hAnsi="Times New Roman"/>
              </w:rPr>
              <w:t>Программа формирования УУД у обучающихся</w:t>
            </w:r>
          </w:p>
        </w:tc>
        <w:tc>
          <w:tcPr>
            <w:tcW w:w="992" w:type="dxa"/>
          </w:tcPr>
          <w:p w14:paraId="4D0B9237">
            <w:pPr>
              <w:ind w:right="-100"/>
              <w:jc w:val="center"/>
              <w:rPr>
                <w:rFonts w:ascii="Times New Roman" w:hAnsi="Times New Roman"/>
              </w:rPr>
            </w:pPr>
            <w:r>
              <w:rPr>
                <w:rFonts w:ascii="Times New Roman" w:hAnsi="Times New Roman"/>
              </w:rPr>
              <w:t>753</w:t>
            </w:r>
          </w:p>
        </w:tc>
      </w:tr>
      <w:tr w14:paraId="7C2CBBF5">
        <w:tblPrEx>
          <w:tblCellMar>
            <w:top w:w="0" w:type="dxa"/>
            <w:left w:w="108" w:type="dxa"/>
            <w:bottom w:w="0" w:type="dxa"/>
            <w:right w:w="108" w:type="dxa"/>
          </w:tblCellMar>
        </w:tblPrEx>
        <w:tc>
          <w:tcPr>
            <w:tcW w:w="959" w:type="dxa"/>
          </w:tcPr>
          <w:p w14:paraId="1C53D990">
            <w:pPr>
              <w:ind w:right="-9"/>
              <w:rPr>
                <w:rFonts w:ascii="Times New Roman" w:hAnsi="Times New Roman"/>
              </w:rPr>
            </w:pPr>
            <w:r>
              <w:rPr>
                <w:rFonts w:ascii="Times New Roman" w:hAnsi="Times New Roman"/>
              </w:rPr>
              <w:t>16</w:t>
            </w:r>
          </w:p>
        </w:tc>
        <w:tc>
          <w:tcPr>
            <w:tcW w:w="7938" w:type="dxa"/>
          </w:tcPr>
          <w:p w14:paraId="15F96286">
            <w:pPr>
              <w:rPr>
                <w:rFonts w:ascii="Times New Roman" w:hAnsi="Times New Roman"/>
              </w:rPr>
            </w:pPr>
            <w:r>
              <w:rPr>
                <w:rFonts w:ascii="Times New Roman" w:hAnsi="Times New Roman"/>
              </w:rPr>
              <w:t>Рабочая программа воспитания</w:t>
            </w:r>
          </w:p>
        </w:tc>
        <w:tc>
          <w:tcPr>
            <w:tcW w:w="992" w:type="dxa"/>
          </w:tcPr>
          <w:p w14:paraId="6A16C2CF">
            <w:pPr>
              <w:ind w:right="-100"/>
              <w:jc w:val="center"/>
              <w:rPr>
                <w:rFonts w:ascii="Times New Roman" w:hAnsi="Times New Roman"/>
              </w:rPr>
            </w:pPr>
            <w:r>
              <w:rPr>
                <w:rFonts w:ascii="Times New Roman" w:hAnsi="Times New Roman"/>
              </w:rPr>
              <w:t>758</w:t>
            </w:r>
          </w:p>
        </w:tc>
      </w:tr>
      <w:tr w14:paraId="612BE7B1">
        <w:tblPrEx>
          <w:tblCellMar>
            <w:top w:w="0" w:type="dxa"/>
            <w:left w:w="108" w:type="dxa"/>
            <w:bottom w:w="0" w:type="dxa"/>
            <w:right w:w="108" w:type="dxa"/>
          </w:tblCellMar>
        </w:tblPrEx>
        <w:tc>
          <w:tcPr>
            <w:tcW w:w="959" w:type="dxa"/>
          </w:tcPr>
          <w:p w14:paraId="392FE338">
            <w:pPr>
              <w:ind w:right="-9"/>
              <w:rPr>
                <w:rFonts w:ascii="Times New Roman" w:hAnsi="Times New Roman"/>
              </w:rPr>
            </w:pPr>
            <w:r>
              <w:rPr>
                <w:rFonts w:ascii="Times New Roman" w:hAnsi="Times New Roman"/>
              </w:rPr>
              <w:t>16.1</w:t>
            </w:r>
          </w:p>
        </w:tc>
        <w:tc>
          <w:tcPr>
            <w:tcW w:w="7938" w:type="dxa"/>
          </w:tcPr>
          <w:p w14:paraId="1EBFF203">
            <w:pPr>
              <w:rPr>
                <w:rFonts w:ascii="Times New Roman" w:hAnsi="Times New Roman"/>
              </w:rPr>
            </w:pPr>
            <w:r>
              <w:rPr>
                <w:rFonts w:ascii="Times New Roman" w:hAnsi="Times New Roman"/>
              </w:rPr>
              <w:t>Пояснительная записка</w:t>
            </w:r>
          </w:p>
        </w:tc>
        <w:tc>
          <w:tcPr>
            <w:tcW w:w="992" w:type="dxa"/>
          </w:tcPr>
          <w:p w14:paraId="7A259D82">
            <w:pPr>
              <w:ind w:right="-100"/>
              <w:jc w:val="center"/>
              <w:rPr>
                <w:rFonts w:ascii="Times New Roman" w:hAnsi="Times New Roman"/>
              </w:rPr>
            </w:pPr>
            <w:r>
              <w:rPr>
                <w:rFonts w:ascii="Times New Roman" w:hAnsi="Times New Roman"/>
              </w:rPr>
              <w:t>758</w:t>
            </w:r>
          </w:p>
        </w:tc>
      </w:tr>
      <w:tr w14:paraId="34AC7092">
        <w:tblPrEx>
          <w:tblCellMar>
            <w:top w:w="0" w:type="dxa"/>
            <w:left w:w="108" w:type="dxa"/>
            <w:bottom w:w="0" w:type="dxa"/>
            <w:right w:w="108" w:type="dxa"/>
          </w:tblCellMar>
        </w:tblPrEx>
        <w:tc>
          <w:tcPr>
            <w:tcW w:w="959" w:type="dxa"/>
          </w:tcPr>
          <w:p w14:paraId="33536663">
            <w:pPr>
              <w:ind w:right="-9"/>
              <w:rPr>
                <w:rFonts w:ascii="Times New Roman" w:hAnsi="Times New Roman"/>
              </w:rPr>
            </w:pPr>
            <w:r>
              <w:rPr>
                <w:rFonts w:ascii="Times New Roman" w:hAnsi="Times New Roman"/>
              </w:rPr>
              <w:t>16.2</w:t>
            </w:r>
          </w:p>
        </w:tc>
        <w:tc>
          <w:tcPr>
            <w:tcW w:w="7938" w:type="dxa"/>
          </w:tcPr>
          <w:p w14:paraId="69B3CC7F">
            <w:pPr>
              <w:rPr>
                <w:rFonts w:ascii="Times New Roman" w:hAnsi="Times New Roman"/>
              </w:rPr>
            </w:pPr>
            <w:r>
              <w:rPr>
                <w:rFonts w:ascii="Times New Roman" w:hAnsi="Times New Roman"/>
              </w:rPr>
              <w:t>Целевой раздел</w:t>
            </w:r>
          </w:p>
        </w:tc>
        <w:tc>
          <w:tcPr>
            <w:tcW w:w="992" w:type="dxa"/>
          </w:tcPr>
          <w:p w14:paraId="7E6F4684">
            <w:pPr>
              <w:ind w:right="-100"/>
              <w:jc w:val="center"/>
              <w:rPr>
                <w:rFonts w:ascii="Times New Roman" w:hAnsi="Times New Roman"/>
              </w:rPr>
            </w:pPr>
            <w:r>
              <w:rPr>
                <w:rFonts w:ascii="Times New Roman" w:hAnsi="Times New Roman"/>
              </w:rPr>
              <w:t>760</w:t>
            </w:r>
          </w:p>
        </w:tc>
      </w:tr>
      <w:tr w14:paraId="5531427F">
        <w:tblPrEx>
          <w:tblCellMar>
            <w:top w:w="0" w:type="dxa"/>
            <w:left w:w="108" w:type="dxa"/>
            <w:bottom w:w="0" w:type="dxa"/>
            <w:right w:w="108" w:type="dxa"/>
          </w:tblCellMar>
        </w:tblPrEx>
        <w:tc>
          <w:tcPr>
            <w:tcW w:w="959" w:type="dxa"/>
          </w:tcPr>
          <w:p w14:paraId="4D080A32">
            <w:pPr>
              <w:ind w:right="-9"/>
              <w:rPr>
                <w:rFonts w:ascii="Times New Roman" w:hAnsi="Times New Roman"/>
              </w:rPr>
            </w:pPr>
            <w:r>
              <w:rPr>
                <w:rFonts w:ascii="Times New Roman" w:hAnsi="Times New Roman"/>
              </w:rPr>
              <w:t>16.3</w:t>
            </w:r>
          </w:p>
        </w:tc>
        <w:tc>
          <w:tcPr>
            <w:tcW w:w="7938" w:type="dxa"/>
          </w:tcPr>
          <w:p w14:paraId="4BE4EE4F">
            <w:pPr>
              <w:rPr>
                <w:rFonts w:ascii="Times New Roman" w:hAnsi="Times New Roman"/>
              </w:rPr>
            </w:pPr>
            <w:r>
              <w:rPr>
                <w:rFonts w:ascii="Times New Roman" w:hAnsi="Times New Roman"/>
              </w:rPr>
              <w:t xml:space="preserve">Содержательный раздел </w:t>
            </w:r>
          </w:p>
        </w:tc>
        <w:tc>
          <w:tcPr>
            <w:tcW w:w="992" w:type="dxa"/>
          </w:tcPr>
          <w:p w14:paraId="41EADDD7">
            <w:pPr>
              <w:ind w:right="-100"/>
              <w:jc w:val="center"/>
              <w:rPr>
                <w:rFonts w:ascii="Times New Roman" w:hAnsi="Times New Roman"/>
              </w:rPr>
            </w:pPr>
            <w:r>
              <w:rPr>
                <w:rFonts w:ascii="Times New Roman" w:hAnsi="Times New Roman"/>
              </w:rPr>
              <w:t>766</w:t>
            </w:r>
          </w:p>
        </w:tc>
      </w:tr>
      <w:tr w14:paraId="3450D949">
        <w:tblPrEx>
          <w:tblCellMar>
            <w:top w:w="0" w:type="dxa"/>
            <w:left w:w="108" w:type="dxa"/>
            <w:bottom w:w="0" w:type="dxa"/>
            <w:right w:w="108" w:type="dxa"/>
          </w:tblCellMar>
        </w:tblPrEx>
        <w:tc>
          <w:tcPr>
            <w:tcW w:w="959" w:type="dxa"/>
          </w:tcPr>
          <w:p w14:paraId="50E630DA">
            <w:pPr>
              <w:ind w:right="-9"/>
              <w:rPr>
                <w:rFonts w:ascii="Times New Roman" w:hAnsi="Times New Roman"/>
              </w:rPr>
            </w:pPr>
            <w:r>
              <w:rPr>
                <w:rFonts w:ascii="Times New Roman" w:hAnsi="Times New Roman"/>
              </w:rPr>
              <w:t>16.4</w:t>
            </w:r>
          </w:p>
        </w:tc>
        <w:tc>
          <w:tcPr>
            <w:tcW w:w="7938" w:type="dxa"/>
          </w:tcPr>
          <w:p w14:paraId="4140A292">
            <w:pPr>
              <w:rPr>
                <w:rFonts w:ascii="Times New Roman" w:hAnsi="Times New Roman"/>
              </w:rPr>
            </w:pPr>
            <w:r>
              <w:rPr>
                <w:rFonts w:ascii="Times New Roman" w:hAnsi="Times New Roman"/>
              </w:rPr>
              <w:t xml:space="preserve">Организационный раздел </w:t>
            </w:r>
          </w:p>
        </w:tc>
        <w:tc>
          <w:tcPr>
            <w:tcW w:w="992" w:type="dxa"/>
          </w:tcPr>
          <w:p w14:paraId="40AA1558">
            <w:pPr>
              <w:ind w:right="-100"/>
              <w:jc w:val="center"/>
              <w:rPr>
                <w:rFonts w:ascii="Times New Roman" w:hAnsi="Times New Roman"/>
              </w:rPr>
            </w:pPr>
            <w:r>
              <w:rPr>
                <w:rFonts w:ascii="Times New Roman" w:hAnsi="Times New Roman"/>
              </w:rPr>
              <w:t>777</w:t>
            </w:r>
          </w:p>
        </w:tc>
      </w:tr>
      <w:tr w14:paraId="2F4EE8A1">
        <w:tblPrEx>
          <w:tblCellMar>
            <w:top w:w="0" w:type="dxa"/>
            <w:left w:w="108" w:type="dxa"/>
            <w:bottom w:w="0" w:type="dxa"/>
            <w:right w:w="108" w:type="dxa"/>
          </w:tblCellMar>
        </w:tblPrEx>
        <w:tc>
          <w:tcPr>
            <w:tcW w:w="959" w:type="dxa"/>
          </w:tcPr>
          <w:p w14:paraId="0C1EC864">
            <w:pPr>
              <w:ind w:right="-9"/>
              <w:rPr>
                <w:rFonts w:ascii="Times New Roman" w:hAnsi="Times New Roman"/>
              </w:rPr>
            </w:pPr>
            <w:r>
              <w:rPr>
                <w:rFonts w:ascii="Times New Roman" w:hAnsi="Times New Roman"/>
              </w:rPr>
              <w:t>16.5</w:t>
            </w:r>
          </w:p>
        </w:tc>
        <w:tc>
          <w:tcPr>
            <w:tcW w:w="7938" w:type="dxa"/>
          </w:tcPr>
          <w:p w14:paraId="15A95294">
            <w:pPr>
              <w:rPr>
                <w:rFonts w:ascii="Times New Roman" w:hAnsi="Times New Roman"/>
              </w:rPr>
            </w:pPr>
            <w:r>
              <w:rPr>
                <w:rFonts w:ascii="Times New Roman" w:hAnsi="Times New Roman"/>
              </w:rPr>
              <w:t>Система поощрений социальной успешности и проявлений активной жизненной позиции обучающихся</w:t>
            </w:r>
          </w:p>
        </w:tc>
        <w:tc>
          <w:tcPr>
            <w:tcW w:w="992" w:type="dxa"/>
          </w:tcPr>
          <w:p w14:paraId="03CBB82E">
            <w:pPr>
              <w:ind w:right="-100"/>
              <w:jc w:val="center"/>
              <w:rPr>
                <w:rFonts w:ascii="Times New Roman" w:hAnsi="Times New Roman"/>
              </w:rPr>
            </w:pPr>
            <w:r>
              <w:rPr>
                <w:rFonts w:ascii="Times New Roman" w:hAnsi="Times New Roman"/>
              </w:rPr>
              <w:t>780</w:t>
            </w:r>
          </w:p>
        </w:tc>
      </w:tr>
      <w:tr w14:paraId="51DB4C76">
        <w:tblPrEx>
          <w:tblCellMar>
            <w:top w:w="0" w:type="dxa"/>
            <w:left w:w="108" w:type="dxa"/>
            <w:bottom w:w="0" w:type="dxa"/>
            <w:right w:w="108" w:type="dxa"/>
          </w:tblCellMar>
        </w:tblPrEx>
        <w:tc>
          <w:tcPr>
            <w:tcW w:w="959" w:type="dxa"/>
          </w:tcPr>
          <w:p w14:paraId="5ACB7FC8">
            <w:pPr>
              <w:ind w:right="-9"/>
              <w:rPr>
                <w:rFonts w:ascii="Times New Roman" w:hAnsi="Times New Roman"/>
              </w:rPr>
            </w:pPr>
            <w:r>
              <w:rPr>
                <w:rFonts w:ascii="Times New Roman" w:hAnsi="Times New Roman"/>
              </w:rPr>
              <w:t>16.6</w:t>
            </w:r>
          </w:p>
        </w:tc>
        <w:tc>
          <w:tcPr>
            <w:tcW w:w="7938" w:type="dxa"/>
          </w:tcPr>
          <w:p w14:paraId="56540F3B">
            <w:pPr>
              <w:rPr>
                <w:rFonts w:ascii="Times New Roman" w:hAnsi="Times New Roman"/>
              </w:rPr>
            </w:pPr>
            <w:r>
              <w:rPr>
                <w:rFonts w:ascii="Times New Roman" w:hAnsi="Times New Roman"/>
              </w:rPr>
              <w:t>Анализ воспитательной работы</w:t>
            </w:r>
          </w:p>
        </w:tc>
        <w:tc>
          <w:tcPr>
            <w:tcW w:w="992" w:type="dxa"/>
          </w:tcPr>
          <w:p w14:paraId="024762FF">
            <w:pPr>
              <w:ind w:right="-100"/>
              <w:jc w:val="center"/>
              <w:rPr>
                <w:rFonts w:ascii="Times New Roman" w:hAnsi="Times New Roman"/>
              </w:rPr>
            </w:pPr>
            <w:r>
              <w:rPr>
                <w:rFonts w:ascii="Times New Roman" w:hAnsi="Times New Roman"/>
              </w:rPr>
              <w:t>781</w:t>
            </w:r>
          </w:p>
        </w:tc>
      </w:tr>
      <w:tr w14:paraId="4EFC543D">
        <w:tblPrEx>
          <w:tblCellMar>
            <w:top w:w="0" w:type="dxa"/>
            <w:left w:w="108" w:type="dxa"/>
            <w:bottom w:w="0" w:type="dxa"/>
            <w:right w:w="108" w:type="dxa"/>
          </w:tblCellMar>
        </w:tblPrEx>
        <w:tc>
          <w:tcPr>
            <w:tcW w:w="959" w:type="dxa"/>
          </w:tcPr>
          <w:p w14:paraId="682BAEF8">
            <w:pPr>
              <w:ind w:right="-9"/>
              <w:rPr>
                <w:rFonts w:ascii="Times New Roman" w:hAnsi="Times New Roman"/>
                <w:b/>
              </w:rPr>
            </w:pPr>
            <w:r>
              <w:rPr>
                <w:rFonts w:ascii="Times New Roman" w:hAnsi="Times New Roman"/>
                <w:b/>
              </w:rPr>
              <w:t>III</w:t>
            </w:r>
          </w:p>
        </w:tc>
        <w:tc>
          <w:tcPr>
            <w:tcW w:w="7938" w:type="dxa"/>
          </w:tcPr>
          <w:p w14:paraId="62AD523E">
            <w:pPr>
              <w:rPr>
                <w:rFonts w:ascii="Times New Roman" w:hAnsi="Times New Roman"/>
                <w:b/>
              </w:rPr>
            </w:pPr>
            <w:r>
              <w:rPr>
                <w:rFonts w:ascii="Times New Roman" w:hAnsi="Times New Roman"/>
                <w:b/>
              </w:rPr>
              <w:t>ОРГАНИЗАЦИОННЫЙ РАЗДЕЛ</w:t>
            </w:r>
          </w:p>
        </w:tc>
        <w:tc>
          <w:tcPr>
            <w:tcW w:w="992" w:type="dxa"/>
          </w:tcPr>
          <w:p w14:paraId="4E78EC5D">
            <w:pPr>
              <w:ind w:right="-100"/>
              <w:jc w:val="center"/>
              <w:rPr>
                <w:rFonts w:ascii="Times New Roman" w:hAnsi="Times New Roman"/>
              </w:rPr>
            </w:pPr>
            <w:r>
              <w:rPr>
                <w:rFonts w:ascii="Times New Roman" w:hAnsi="Times New Roman"/>
              </w:rPr>
              <w:t>784</w:t>
            </w:r>
          </w:p>
        </w:tc>
      </w:tr>
      <w:tr w14:paraId="2BF70A6E">
        <w:tblPrEx>
          <w:tblCellMar>
            <w:top w:w="0" w:type="dxa"/>
            <w:left w:w="108" w:type="dxa"/>
            <w:bottom w:w="0" w:type="dxa"/>
            <w:right w:w="108" w:type="dxa"/>
          </w:tblCellMar>
        </w:tblPrEx>
        <w:tc>
          <w:tcPr>
            <w:tcW w:w="959" w:type="dxa"/>
          </w:tcPr>
          <w:p w14:paraId="1784972F">
            <w:pPr>
              <w:ind w:right="-9"/>
              <w:rPr>
                <w:rFonts w:ascii="Times New Roman" w:hAnsi="Times New Roman"/>
              </w:rPr>
            </w:pPr>
            <w:r>
              <w:rPr>
                <w:rFonts w:ascii="Times New Roman" w:hAnsi="Times New Roman"/>
              </w:rPr>
              <w:t>17</w:t>
            </w:r>
          </w:p>
        </w:tc>
        <w:tc>
          <w:tcPr>
            <w:tcW w:w="7938" w:type="dxa"/>
          </w:tcPr>
          <w:p w14:paraId="43308C89">
            <w:pPr>
              <w:rPr>
                <w:rFonts w:ascii="Times New Roman" w:hAnsi="Times New Roman"/>
              </w:rPr>
            </w:pPr>
            <w:r>
              <w:rPr>
                <w:rFonts w:ascii="Times New Roman" w:hAnsi="Times New Roman"/>
              </w:rPr>
              <w:t>Учебный план</w:t>
            </w:r>
          </w:p>
        </w:tc>
        <w:tc>
          <w:tcPr>
            <w:tcW w:w="992" w:type="dxa"/>
          </w:tcPr>
          <w:p w14:paraId="565CF896">
            <w:pPr>
              <w:ind w:right="-100"/>
              <w:jc w:val="center"/>
              <w:rPr>
                <w:rFonts w:ascii="Times New Roman" w:hAnsi="Times New Roman"/>
              </w:rPr>
            </w:pPr>
            <w:r>
              <w:rPr>
                <w:rFonts w:ascii="Times New Roman" w:hAnsi="Times New Roman"/>
              </w:rPr>
              <w:t>784</w:t>
            </w:r>
          </w:p>
        </w:tc>
      </w:tr>
      <w:tr w14:paraId="36E669BB">
        <w:tblPrEx>
          <w:tblCellMar>
            <w:top w:w="0" w:type="dxa"/>
            <w:left w:w="108" w:type="dxa"/>
            <w:bottom w:w="0" w:type="dxa"/>
            <w:right w:w="108" w:type="dxa"/>
          </w:tblCellMar>
        </w:tblPrEx>
        <w:tc>
          <w:tcPr>
            <w:tcW w:w="959" w:type="dxa"/>
          </w:tcPr>
          <w:p w14:paraId="3E67FC52">
            <w:pPr>
              <w:ind w:right="-9"/>
              <w:rPr>
                <w:rFonts w:ascii="Times New Roman" w:hAnsi="Times New Roman"/>
              </w:rPr>
            </w:pPr>
            <w:r>
              <w:rPr>
                <w:rFonts w:ascii="Times New Roman" w:hAnsi="Times New Roman"/>
              </w:rPr>
              <w:t>18</w:t>
            </w:r>
          </w:p>
        </w:tc>
        <w:tc>
          <w:tcPr>
            <w:tcW w:w="7938" w:type="dxa"/>
          </w:tcPr>
          <w:p w14:paraId="2405CC5D">
            <w:pPr>
              <w:rPr>
                <w:rFonts w:ascii="Times New Roman" w:hAnsi="Times New Roman"/>
              </w:rPr>
            </w:pPr>
            <w:r>
              <w:rPr>
                <w:rFonts w:ascii="Times New Roman" w:hAnsi="Times New Roman"/>
              </w:rPr>
              <w:t>Календарный учебный график</w:t>
            </w:r>
          </w:p>
        </w:tc>
        <w:tc>
          <w:tcPr>
            <w:tcW w:w="992" w:type="dxa"/>
          </w:tcPr>
          <w:p w14:paraId="387D559A">
            <w:pPr>
              <w:ind w:right="-100"/>
              <w:jc w:val="center"/>
              <w:rPr>
                <w:rFonts w:ascii="Times New Roman" w:hAnsi="Times New Roman"/>
              </w:rPr>
            </w:pPr>
            <w:r>
              <w:rPr>
                <w:rFonts w:ascii="Times New Roman" w:hAnsi="Times New Roman"/>
              </w:rPr>
              <w:t>789</w:t>
            </w:r>
          </w:p>
        </w:tc>
      </w:tr>
      <w:tr w14:paraId="19FB27DE">
        <w:tblPrEx>
          <w:tblCellMar>
            <w:top w:w="0" w:type="dxa"/>
            <w:left w:w="108" w:type="dxa"/>
            <w:bottom w:w="0" w:type="dxa"/>
            <w:right w:w="108" w:type="dxa"/>
          </w:tblCellMar>
        </w:tblPrEx>
        <w:tc>
          <w:tcPr>
            <w:tcW w:w="959" w:type="dxa"/>
          </w:tcPr>
          <w:p w14:paraId="3E1ED83A">
            <w:pPr>
              <w:ind w:right="-9"/>
              <w:rPr>
                <w:rFonts w:ascii="Times New Roman" w:hAnsi="Times New Roman"/>
              </w:rPr>
            </w:pPr>
            <w:r>
              <w:rPr>
                <w:rFonts w:ascii="Times New Roman" w:hAnsi="Times New Roman"/>
              </w:rPr>
              <w:t>19</w:t>
            </w:r>
          </w:p>
        </w:tc>
        <w:tc>
          <w:tcPr>
            <w:tcW w:w="7938" w:type="dxa"/>
          </w:tcPr>
          <w:p w14:paraId="3D97D4CD">
            <w:pPr>
              <w:rPr>
                <w:rFonts w:ascii="Times New Roman" w:hAnsi="Times New Roman"/>
              </w:rPr>
            </w:pPr>
            <w:r>
              <w:rPr>
                <w:rFonts w:ascii="Times New Roman" w:hAnsi="Times New Roman"/>
              </w:rPr>
              <w:t>План внеурочной деятельности</w:t>
            </w:r>
          </w:p>
        </w:tc>
        <w:tc>
          <w:tcPr>
            <w:tcW w:w="992" w:type="dxa"/>
          </w:tcPr>
          <w:p w14:paraId="2BBAA416">
            <w:pPr>
              <w:ind w:right="-100"/>
              <w:jc w:val="center"/>
              <w:rPr>
                <w:rFonts w:ascii="Times New Roman" w:hAnsi="Times New Roman"/>
              </w:rPr>
            </w:pPr>
            <w:r>
              <w:rPr>
                <w:rFonts w:ascii="Times New Roman" w:hAnsi="Times New Roman"/>
              </w:rPr>
              <w:t>789</w:t>
            </w:r>
          </w:p>
        </w:tc>
      </w:tr>
      <w:tr w14:paraId="083ABE18">
        <w:tblPrEx>
          <w:tblCellMar>
            <w:top w:w="0" w:type="dxa"/>
            <w:left w:w="108" w:type="dxa"/>
            <w:bottom w:w="0" w:type="dxa"/>
            <w:right w:w="108" w:type="dxa"/>
          </w:tblCellMar>
        </w:tblPrEx>
        <w:tc>
          <w:tcPr>
            <w:tcW w:w="959" w:type="dxa"/>
          </w:tcPr>
          <w:p w14:paraId="4FBC1873">
            <w:pPr>
              <w:ind w:right="-9"/>
              <w:rPr>
                <w:rFonts w:ascii="Times New Roman" w:hAnsi="Times New Roman"/>
              </w:rPr>
            </w:pPr>
            <w:r>
              <w:rPr>
                <w:rFonts w:ascii="Times New Roman" w:hAnsi="Times New Roman"/>
              </w:rPr>
              <w:t>20</w:t>
            </w:r>
          </w:p>
        </w:tc>
        <w:tc>
          <w:tcPr>
            <w:tcW w:w="7938" w:type="dxa"/>
          </w:tcPr>
          <w:p w14:paraId="08072163">
            <w:pPr>
              <w:rPr>
                <w:rFonts w:ascii="Times New Roman" w:hAnsi="Times New Roman"/>
              </w:rPr>
            </w:pPr>
            <w:r>
              <w:rPr>
                <w:rFonts w:ascii="Times New Roman" w:hAnsi="Times New Roman"/>
              </w:rPr>
              <w:t>Календарный план воспитательной работы</w:t>
            </w:r>
          </w:p>
        </w:tc>
        <w:tc>
          <w:tcPr>
            <w:tcW w:w="992" w:type="dxa"/>
          </w:tcPr>
          <w:p w14:paraId="62391BAE">
            <w:pPr>
              <w:ind w:right="-100"/>
              <w:jc w:val="center"/>
              <w:rPr>
                <w:rFonts w:hint="default" w:ascii="Times New Roman" w:hAnsi="Times New Roman"/>
                <w:lang w:val="ru-RU"/>
              </w:rPr>
            </w:pPr>
            <w:r>
              <w:rPr>
                <w:rFonts w:ascii="Times New Roman" w:hAnsi="Times New Roman"/>
              </w:rPr>
              <w:t>79</w:t>
            </w:r>
            <w:r>
              <w:rPr>
                <w:rFonts w:hint="default" w:ascii="Times New Roman" w:hAnsi="Times New Roman"/>
                <w:lang w:val="ru-RU"/>
              </w:rPr>
              <w:t>0</w:t>
            </w:r>
            <w:bookmarkStart w:id="317" w:name="_GoBack"/>
            <w:bookmarkEnd w:id="317"/>
          </w:p>
        </w:tc>
      </w:tr>
    </w:tbl>
    <w:p w14:paraId="7D1783AD">
      <w:pPr>
        <w:widowControl/>
        <w:suppressAutoHyphens/>
        <w:spacing w:after="0" w:line="360" w:lineRule="auto"/>
        <w:jc w:val="center"/>
        <w:outlineLvl w:val="8"/>
        <w:rPr>
          <w:rFonts w:ascii="Times New Roman" w:hAnsi="Times New Roman"/>
          <w:b/>
          <w:kern w:val="2"/>
        </w:rPr>
      </w:pPr>
    </w:p>
    <w:p w14:paraId="47923854">
      <w:pPr>
        <w:widowControl/>
        <w:suppressAutoHyphens/>
        <w:spacing w:after="0" w:line="360" w:lineRule="auto"/>
        <w:jc w:val="center"/>
        <w:outlineLvl w:val="8"/>
        <w:rPr>
          <w:rFonts w:ascii="Times New Roman" w:hAnsi="Times New Roman"/>
          <w:b/>
          <w:kern w:val="2"/>
        </w:rPr>
      </w:pPr>
    </w:p>
    <w:p w14:paraId="2DE8EF70">
      <w:pPr>
        <w:widowControl/>
        <w:suppressAutoHyphens/>
        <w:spacing w:after="0" w:line="360" w:lineRule="auto"/>
        <w:jc w:val="center"/>
        <w:outlineLvl w:val="8"/>
        <w:rPr>
          <w:rFonts w:ascii="Times New Roman" w:hAnsi="Times New Roman"/>
          <w:b/>
          <w:kern w:val="2"/>
        </w:rPr>
      </w:pPr>
    </w:p>
    <w:p w14:paraId="4BDE3A8C">
      <w:pPr>
        <w:widowControl/>
        <w:suppressAutoHyphens/>
        <w:spacing w:after="0" w:line="360" w:lineRule="auto"/>
        <w:jc w:val="center"/>
        <w:outlineLvl w:val="8"/>
        <w:rPr>
          <w:rFonts w:ascii="Times New Roman" w:hAnsi="Times New Roman"/>
          <w:b/>
          <w:kern w:val="2"/>
        </w:rPr>
      </w:pPr>
    </w:p>
    <w:p w14:paraId="4899DF4C">
      <w:pPr>
        <w:widowControl/>
        <w:suppressAutoHyphens/>
        <w:spacing w:after="0" w:line="360" w:lineRule="auto"/>
        <w:jc w:val="center"/>
        <w:outlineLvl w:val="8"/>
        <w:rPr>
          <w:rFonts w:ascii="Times New Roman" w:hAnsi="Times New Roman"/>
          <w:b/>
          <w:kern w:val="2"/>
        </w:rPr>
      </w:pPr>
    </w:p>
    <w:p w14:paraId="5DDC4E2A">
      <w:pPr>
        <w:widowControl/>
        <w:suppressAutoHyphens/>
        <w:spacing w:after="0" w:line="360" w:lineRule="auto"/>
        <w:jc w:val="center"/>
        <w:outlineLvl w:val="8"/>
        <w:rPr>
          <w:rFonts w:ascii="Times New Roman" w:hAnsi="Times New Roman"/>
          <w:b/>
          <w:kern w:val="2"/>
        </w:rPr>
      </w:pPr>
    </w:p>
    <w:p w14:paraId="65338C69">
      <w:pPr>
        <w:widowControl/>
        <w:suppressAutoHyphens/>
        <w:spacing w:after="0" w:line="360" w:lineRule="auto"/>
        <w:jc w:val="center"/>
        <w:outlineLvl w:val="8"/>
        <w:rPr>
          <w:rFonts w:ascii="Times New Roman" w:hAnsi="Times New Roman"/>
          <w:b/>
          <w:kern w:val="2"/>
        </w:rPr>
      </w:pPr>
    </w:p>
    <w:p w14:paraId="0235B443">
      <w:pPr>
        <w:widowControl/>
        <w:suppressAutoHyphens/>
        <w:spacing w:after="0" w:line="360" w:lineRule="auto"/>
        <w:jc w:val="center"/>
        <w:outlineLvl w:val="8"/>
        <w:rPr>
          <w:rFonts w:ascii="Times New Roman" w:hAnsi="Times New Roman"/>
          <w:b/>
          <w:kern w:val="2"/>
        </w:rPr>
      </w:pPr>
    </w:p>
    <w:p w14:paraId="01580A22">
      <w:pPr>
        <w:widowControl/>
        <w:suppressAutoHyphens/>
        <w:spacing w:after="0" w:line="360" w:lineRule="auto"/>
        <w:jc w:val="center"/>
        <w:outlineLvl w:val="8"/>
        <w:rPr>
          <w:rFonts w:ascii="Times New Roman" w:hAnsi="Times New Roman"/>
          <w:b/>
          <w:kern w:val="2"/>
        </w:rPr>
      </w:pPr>
    </w:p>
    <w:p w14:paraId="0D741416">
      <w:pPr>
        <w:widowControl/>
        <w:suppressAutoHyphens/>
        <w:spacing w:after="0" w:line="360" w:lineRule="auto"/>
        <w:jc w:val="center"/>
        <w:outlineLvl w:val="8"/>
        <w:rPr>
          <w:rFonts w:ascii="Times New Roman" w:hAnsi="Times New Roman"/>
          <w:b/>
          <w:kern w:val="2"/>
        </w:rPr>
      </w:pPr>
    </w:p>
    <w:p w14:paraId="3A406150">
      <w:pPr>
        <w:widowControl/>
        <w:suppressAutoHyphens/>
        <w:spacing w:after="0" w:line="360" w:lineRule="auto"/>
        <w:jc w:val="center"/>
        <w:outlineLvl w:val="8"/>
        <w:rPr>
          <w:rFonts w:ascii="Times New Roman" w:hAnsi="Times New Roman"/>
          <w:b/>
          <w:kern w:val="2"/>
        </w:rPr>
      </w:pPr>
    </w:p>
    <w:p w14:paraId="523385A5">
      <w:pPr>
        <w:widowControl/>
        <w:suppressAutoHyphens/>
        <w:spacing w:after="0" w:line="360" w:lineRule="auto"/>
        <w:jc w:val="center"/>
        <w:outlineLvl w:val="8"/>
        <w:rPr>
          <w:rFonts w:ascii="Times New Roman" w:hAnsi="Times New Roman"/>
          <w:b/>
          <w:kern w:val="2"/>
        </w:rPr>
      </w:pPr>
    </w:p>
    <w:p w14:paraId="72C7ADC1">
      <w:pPr>
        <w:widowControl/>
        <w:suppressAutoHyphens/>
        <w:spacing w:after="0" w:line="360" w:lineRule="auto"/>
        <w:jc w:val="center"/>
        <w:outlineLvl w:val="8"/>
        <w:rPr>
          <w:rFonts w:ascii="Times New Roman" w:hAnsi="Times New Roman"/>
          <w:b/>
          <w:kern w:val="2"/>
        </w:rPr>
      </w:pPr>
    </w:p>
    <w:p w14:paraId="5C33AEB6">
      <w:pPr>
        <w:widowControl/>
        <w:suppressAutoHyphens/>
        <w:spacing w:after="0" w:line="360" w:lineRule="auto"/>
        <w:jc w:val="center"/>
        <w:outlineLvl w:val="8"/>
        <w:rPr>
          <w:rFonts w:ascii="Times New Roman" w:hAnsi="Times New Roman"/>
          <w:b/>
          <w:kern w:val="2"/>
        </w:rPr>
      </w:pPr>
    </w:p>
    <w:p w14:paraId="59211DFD">
      <w:pPr>
        <w:widowControl/>
        <w:suppressAutoHyphens/>
        <w:spacing w:after="0" w:line="360" w:lineRule="auto"/>
        <w:jc w:val="center"/>
        <w:outlineLvl w:val="8"/>
        <w:rPr>
          <w:rFonts w:ascii="Times New Roman" w:hAnsi="Times New Roman"/>
          <w:b/>
          <w:kern w:val="2"/>
        </w:rPr>
      </w:pPr>
    </w:p>
    <w:p w14:paraId="6C70B561">
      <w:pPr>
        <w:widowControl/>
        <w:suppressAutoHyphens/>
        <w:spacing w:after="0" w:line="360" w:lineRule="auto"/>
        <w:jc w:val="center"/>
        <w:outlineLvl w:val="8"/>
        <w:rPr>
          <w:rFonts w:ascii="Times New Roman" w:hAnsi="Times New Roman"/>
          <w:b/>
          <w:kern w:val="2"/>
        </w:rPr>
      </w:pPr>
    </w:p>
    <w:p w14:paraId="6E4914E1">
      <w:pPr>
        <w:widowControl/>
        <w:suppressAutoHyphens/>
        <w:spacing w:after="0" w:line="360" w:lineRule="auto"/>
        <w:jc w:val="center"/>
        <w:outlineLvl w:val="8"/>
        <w:rPr>
          <w:rFonts w:ascii="Times New Roman" w:hAnsi="Times New Roman"/>
          <w:b/>
          <w:kern w:val="2"/>
        </w:rPr>
      </w:pPr>
    </w:p>
    <w:p w14:paraId="4CCB12C5">
      <w:pPr>
        <w:widowControl/>
        <w:suppressAutoHyphens/>
        <w:spacing w:after="0" w:line="360" w:lineRule="auto"/>
        <w:jc w:val="center"/>
        <w:outlineLvl w:val="8"/>
        <w:rPr>
          <w:rFonts w:ascii="Times New Roman" w:hAnsi="Times New Roman"/>
          <w:b/>
          <w:kern w:val="2"/>
        </w:rPr>
      </w:pPr>
    </w:p>
    <w:p w14:paraId="7A1DF086">
      <w:pPr>
        <w:widowControl/>
        <w:suppressAutoHyphens/>
        <w:spacing w:after="0" w:line="360" w:lineRule="auto"/>
        <w:jc w:val="center"/>
        <w:outlineLvl w:val="8"/>
        <w:rPr>
          <w:rFonts w:ascii="Times New Roman" w:hAnsi="Times New Roman"/>
          <w:b/>
          <w:kern w:val="2"/>
        </w:rPr>
      </w:pPr>
    </w:p>
    <w:p w14:paraId="0629BD68">
      <w:pPr>
        <w:widowControl/>
        <w:suppressAutoHyphens/>
        <w:spacing w:after="0" w:line="360" w:lineRule="auto"/>
        <w:jc w:val="center"/>
        <w:outlineLvl w:val="8"/>
        <w:rPr>
          <w:rFonts w:ascii="Times New Roman" w:hAnsi="Times New Roman"/>
          <w:b/>
          <w:kern w:val="2"/>
        </w:rPr>
      </w:pPr>
    </w:p>
    <w:p w14:paraId="003BD40C">
      <w:pPr>
        <w:widowControl/>
        <w:suppressAutoHyphens/>
        <w:spacing w:after="0" w:line="360" w:lineRule="auto"/>
        <w:jc w:val="center"/>
        <w:outlineLvl w:val="8"/>
        <w:rPr>
          <w:rFonts w:ascii="Times New Roman" w:hAnsi="Times New Roman"/>
          <w:b/>
          <w:kern w:val="2"/>
        </w:rPr>
      </w:pPr>
    </w:p>
    <w:p w14:paraId="60B4288E">
      <w:pPr>
        <w:widowControl/>
        <w:suppressAutoHyphens/>
        <w:spacing w:after="0" w:line="360" w:lineRule="auto"/>
        <w:jc w:val="center"/>
        <w:outlineLvl w:val="8"/>
        <w:rPr>
          <w:rFonts w:ascii="Times New Roman" w:hAnsi="Times New Roman"/>
          <w:b/>
          <w:kern w:val="2"/>
        </w:rPr>
      </w:pPr>
    </w:p>
    <w:p w14:paraId="08677979">
      <w:pPr>
        <w:widowControl/>
        <w:suppressAutoHyphens/>
        <w:spacing w:after="0" w:line="360" w:lineRule="auto"/>
        <w:jc w:val="center"/>
        <w:outlineLvl w:val="8"/>
        <w:rPr>
          <w:rFonts w:ascii="Times New Roman" w:hAnsi="Times New Roman"/>
          <w:b/>
          <w:kern w:val="2"/>
        </w:rPr>
      </w:pPr>
    </w:p>
    <w:p w14:paraId="1CED4E5E">
      <w:pPr>
        <w:widowControl/>
        <w:suppressAutoHyphens/>
        <w:spacing w:after="0" w:line="360" w:lineRule="auto"/>
        <w:jc w:val="center"/>
        <w:outlineLvl w:val="8"/>
        <w:rPr>
          <w:rFonts w:ascii="Times New Roman" w:hAnsi="Times New Roman"/>
          <w:b/>
          <w:kern w:val="2"/>
        </w:rPr>
      </w:pPr>
    </w:p>
    <w:p w14:paraId="0E56C82A">
      <w:pPr>
        <w:widowControl/>
        <w:suppressAutoHyphens/>
        <w:spacing w:after="0" w:line="360" w:lineRule="auto"/>
        <w:jc w:val="center"/>
        <w:outlineLvl w:val="8"/>
        <w:rPr>
          <w:rFonts w:ascii="Times New Roman" w:hAnsi="Times New Roman"/>
          <w:b/>
          <w:kern w:val="2"/>
        </w:rPr>
      </w:pPr>
    </w:p>
    <w:p w14:paraId="3BBDEF9B">
      <w:pPr>
        <w:widowControl/>
        <w:suppressAutoHyphens/>
        <w:spacing w:after="0" w:line="360" w:lineRule="auto"/>
        <w:jc w:val="center"/>
        <w:outlineLvl w:val="8"/>
        <w:rPr>
          <w:rFonts w:ascii="Times New Roman" w:hAnsi="Times New Roman"/>
          <w:b/>
          <w:kern w:val="2"/>
        </w:rPr>
      </w:pPr>
    </w:p>
    <w:p w14:paraId="5169C9ED">
      <w:pPr>
        <w:widowControl/>
        <w:suppressAutoHyphens/>
        <w:spacing w:after="0" w:line="360" w:lineRule="auto"/>
        <w:jc w:val="center"/>
        <w:outlineLvl w:val="8"/>
        <w:rPr>
          <w:rFonts w:ascii="Times New Roman" w:hAnsi="Times New Roman"/>
          <w:b/>
          <w:kern w:val="2"/>
        </w:rPr>
      </w:pPr>
    </w:p>
    <w:p w14:paraId="47906658">
      <w:pPr>
        <w:widowControl/>
        <w:suppressAutoHyphens/>
        <w:spacing w:after="0" w:line="360" w:lineRule="auto"/>
        <w:jc w:val="center"/>
        <w:outlineLvl w:val="8"/>
        <w:rPr>
          <w:rFonts w:ascii="Times New Roman" w:hAnsi="Times New Roman"/>
          <w:b/>
          <w:kern w:val="2"/>
        </w:rPr>
      </w:pPr>
    </w:p>
    <w:p w14:paraId="376184CF">
      <w:pPr>
        <w:widowControl/>
        <w:suppressAutoHyphens/>
        <w:spacing w:after="0" w:line="360" w:lineRule="auto"/>
        <w:jc w:val="center"/>
        <w:outlineLvl w:val="8"/>
        <w:rPr>
          <w:rFonts w:ascii="Times New Roman" w:hAnsi="Times New Roman" w:eastAsia="OfficinaSansBoldITC"/>
          <w:b/>
        </w:rPr>
      </w:pPr>
      <w:r>
        <w:rPr>
          <w:rFonts w:ascii="Times New Roman" w:hAnsi="Times New Roman" w:eastAsia="OfficinaSansBoldITC"/>
          <w:b/>
        </w:rPr>
        <w:t>I. Целевой раздел ООП НОО</w:t>
      </w:r>
    </w:p>
    <w:p w14:paraId="45611118">
      <w:pPr>
        <w:spacing w:after="0" w:line="355" w:lineRule="auto"/>
        <w:ind w:firstLine="709"/>
        <w:jc w:val="both"/>
        <w:rPr>
          <w:rFonts w:ascii="Times New Roman" w:hAnsi="Times New Roman" w:eastAsia="SchoolBookSanPin"/>
        </w:rPr>
      </w:pPr>
      <w:r>
        <w:rPr>
          <w:rFonts w:ascii="Times New Roman" w:hAnsi="Times New Roman" w:eastAsia="SchoolBookSanPin"/>
        </w:rPr>
        <w:t>1.1. Пояснительная записка.</w:t>
      </w:r>
    </w:p>
    <w:p w14:paraId="674348AD">
      <w:pPr>
        <w:pStyle w:val="128"/>
        <w:spacing w:after="290"/>
        <w:jc w:val="both"/>
        <w:rPr>
          <w:rFonts w:ascii="Times New Roman" w:hAnsi="Times New Roman" w:eastAsia="SchoolBookSanPin"/>
          <w:b/>
          <w:sz w:val="22"/>
          <w:szCs w:val="22"/>
        </w:rPr>
      </w:pPr>
      <w:r>
        <w:rPr>
          <w:rFonts w:ascii="Times New Roman" w:hAnsi="Times New Roman" w:eastAsia="SchoolBookSanPin"/>
          <w:sz w:val="22"/>
          <w:szCs w:val="22"/>
        </w:rPr>
        <w:t xml:space="preserve">Образовательная программа начального общего образования разработана в соответствии </w:t>
      </w:r>
      <w:r>
        <w:rPr>
          <w:rFonts w:ascii="Times New Roman" w:hAnsi="Times New Roman"/>
          <w:spacing w:val="-4"/>
          <w:sz w:val="22"/>
          <w:szCs w:val="22"/>
        </w:rPr>
        <w:t xml:space="preserve">с </w:t>
      </w:r>
      <w:r>
        <w:rPr>
          <w:rFonts w:ascii="Times New Roman" w:hAnsi="Times New Roman"/>
          <w:sz w:val="22"/>
          <w:szCs w:val="22"/>
        </w:rPr>
        <w:t xml:space="preserve">Порядком </w:t>
      </w:r>
      <w:r>
        <w:rPr>
          <w:rFonts w:ascii="Times New Roman" w:hAnsi="Times New Roman"/>
          <w:spacing w:val="-4"/>
          <w:sz w:val="22"/>
          <w:szCs w:val="22"/>
        </w:rPr>
        <w:t>разработки и утверждения федеральных основных общеобразовательных программ</w:t>
      </w:r>
      <w:r>
        <w:rPr>
          <w:rFonts w:ascii="Times New Roman" w:hAnsi="Times New Roman"/>
          <w:sz w:val="22"/>
          <w:szCs w:val="22"/>
        </w:rPr>
        <w:t>, утверждённым приказом Министерства просвещения Российской Федерации от 30 сентября 2022 г. № 874 (зарегистрирован Министерством юстиции Российской Федерации 2 ноября 2022 г., регистрационный № 70809), приказом Министерства просвещения Российской Федерации от 19 марта 2024 г. № 171 (зарегистрирован Министерством юстиции Российской Федерации 11 апреля 2024 г., регистрационный № 77830) «О внесении изменений в некоторые приказы Министерства просвещения Российской Федерации, касающиеся федеральных образовательных программ начального общего образования, основного общего образования и среднего общего образования»,</w:t>
      </w:r>
      <w:r>
        <w:rPr>
          <w:rFonts w:ascii="Times New Roman" w:hAnsi="Times New Roman"/>
          <w:b/>
          <w:sz w:val="22"/>
          <w:szCs w:val="22"/>
        </w:rPr>
        <w:t xml:space="preserve"> </w:t>
      </w:r>
      <w:r>
        <w:rPr>
          <w:rStyle w:val="2534"/>
          <w:sz w:val="22"/>
          <w:szCs w:val="22"/>
        </w:rPr>
        <w:t>приказом Министерства просвещения Российской Федерации от 09 октября 2024 г. № 704 (зарегистрирован Министерством юстиции Российской Федерации 11 февраля 2025г., регистрационный № 81220) «О внесении изменений в некоторые приказы Министерства просвещения Российской Федерации, касающиеся федеральных образовательных программ</w:t>
      </w:r>
      <w:r>
        <w:rPr>
          <w:rStyle w:val="2534"/>
          <w:sz w:val="22"/>
          <w:szCs w:val="22"/>
        </w:rPr>
        <w:br w:type="textWrapping"/>
      </w:r>
      <w:r>
        <w:rPr>
          <w:rStyle w:val="2534"/>
          <w:sz w:val="22"/>
          <w:szCs w:val="22"/>
        </w:rPr>
        <w:t>начального общего образования, основного общего образования</w:t>
      </w:r>
      <w:r>
        <w:rPr>
          <w:rStyle w:val="2534"/>
          <w:sz w:val="22"/>
          <w:szCs w:val="22"/>
        </w:rPr>
        <w:br w:type="textWrapping"/>
      </w:r>
      <w:r>
        <w:rPr>
          <w:rStyle w:val="2534"/>
          <w:sz w:val="22"/>
          <w:szCs w:val="22"/>
        </w:rPr>
        <w:t xml:space="preserve">и среднего общего образования», </w:t>
      </w:r>
      <w:r>
        <w:rPr>
          <w:rFonts w:ascii="Times New Roman" w:hAnsi="Times New Roman"/>
          <w:sz w:val="22"/>
          <w:szCs w:val="22"/>
        </w:rPr>
        <w:t xml:space="preserve"> </w:t>
      </w:r>
      <w:r>
        <w:rPr>
          <w:rFonts w:ascii="Times New Roman" w:hAnsi="Times New Roman" w:eastAsia="SchoolBookSanPin"/>
          <w:sz w:val="22"/>
          <w:szCs w:val="22"/>
        </w:rPr>
        <w:t>санитарными правилами и нормами СанПиН 1.2.3685-21 «Гигиенические нормативы и требования к обеспечению безопасности и (или) безвредности для человека факторов среды обитания», утвержденными постановлением Главного государственного санитарного врача Российской Федерации от 28 января 2021 г. № 2 (зарегистрировано Министерством юстиции Российской Федерации 29 января 2021 г., регистрационный № 62296) с изменениями, внесенными постановлением Главного государственного санитарного врача Россйской Федерации от 30 декабря 2022 г. № 24 (зарегистрирован Министерством юстиции Российской Федерации 9 марта 2023 г., регситрационный № 72558), действующими до 1 марта 2027 г. (далее – Гигиенические нормативы), и санитарными правилами СП 2.4.3648-20 «Санитарно-эпидемиологические требования к организациям воспитания и обучения, отдыха и оздоровления детей и молодежи», утвержденными постановлением Главного государственного санитарного врача Российской Федерации от 28 сентября 2020 г. № 28 (зарегистрировано Министерством юстиции Российской Федерации 18 декабря 2020 г., регистрационный № 61573), действующими до 1 января 2027 г. (далее – Санитарно-эпидемиологические требования).</w:t>
      </w:r>
    </w:p>
    <w:p w14:paraId="4D510A97">
      <w:pPr>
        <w:spacing w:after="48" w:line="274" w:lineRule="auto"/>
        <w:ind w:left="0" w:right="10" w:firstLine="708"/>
        <w:jc w:val="left"/>
        <w:rPr>
          <w:rFonts w:hint="default" w:ascii="Times New Roman" w:hAnsi="Times New Roman" w:eastAsia="SchoolBookSanPin" w:cs="Times New Roman"/>
          <w:sz w:val="22"/>
          <w:szCs w:val="22"/>
          <w:lang w:val="ru-RU"/>
        </w:rPr>
      </w:pPr>
      <w:r>
        <w:rPr>
          <w:rFonts w:hint="default" w:ascii="Times New Roman" w:hAnsi="Times New Roman" w:eastAsia="SchoolBookSanPin" w:cs="Times New Roman"/>
          <w:sz w:val="22"/>
          <w:szCs w:val="22"/>
        </w:rPr>
        <w:t xml:space="preserve">При разработке ООП НОО образовательная организация предусматривает непосредственное применение при реализации обязательной части ООП НОО федеральных рабочих программ по учебным предметам </w:t>
      </w:r>
      <w:r>
        <w:rPr>
          <w:rFonts w:hint="default" w:ascii="Times New Roman" w:hAnsi="Times New Roman" w:cs="Times New Roman"/>
          <w:sz w:val="22"/>
          <w:szCs w:val="22"/>
        </w:rPr>
        <w:t>Русский язык, Математика, Литературное чтение,  Окружающий мир</w:t>
      </w:r>
      <w:r>
        <w:rPr>
          <w:rFonts w:hint="default" w:ascii="Times New Roman" w:hAnsi="Times New Roman" w:cs="Times New Roman"/>
          <w:sz w:val="22"/>
          <w:szCs w:val="22"/>
          <w:vertAlign w:val="superscript"/>
        </w:rPr>
        <w:t>1</w:t>
      </w:r>
      <w:r>
        <w:rPr>
          <w:rFonts w:hint="default" w:ascii="Times New Roman" w:hAnsi="Times New Roman" w:cs="Times New Roman"/>
          <w:sz w:val="22"/>
          <w:szCs w:val="22"/>
        </w:rPr>
        <w:t xml:space="preserve">, Иностранный язык, </w:t>
      </w:r>
      <w:r>
        <w:rPr>
          <w:rFonts w:hint="default" w:ascii="Times New Roman" w:hAnsi="Times New Roman" w:cs="Times New Roman"/>
          <w:sz w:val="22"/>
          <w:szCs w:val="22"/>
          <w:lang w:val="ru-RU"/>
        </w:rPr>
        <w:t>Труд (т</w:t>
      </w:r>
      <w:r>
        <w:rPr>
          <w:rFonts w:hint="default" w:ascii="Times New Roman" w:hAnsi="Times New Roman" w:cs="Times New Roman"/>
          <w:sz w:val="22"/>
          <w:szCs w:val="22"/>
        </w:rPr>
        <w:t>ехнология</w:t>
      </w:r>
      <w:r>
        <w:rPr>
          <w:rFonts w:hint="default" w:ascii="Times New Roman" w:hAnsi="Times New Roman" w:cs="Times New Roman"/>
          <w:sz w:val="22"/>
          <w:szCs w:val="22"/>
          <w:lang w:val="ru-RU"/>
        </w:rPr>
        <w:t>)</w:t>
      </w:r>
      <w:r>
        <w:rPr>
          <w:rFonts w:hint="default" w:ascii="Times New Roman" w:hAnsi="Times New Roman" w:cs="Times New Roman"/>
          <w:sz w:val="22"/>
          <w:szCs w:val="22"/>
        </w:rPr>
        <w:t>, Изобразительное иску</w:t>
      </w:r>
      <w:r>
        <w:rPr>
          <w:rFonts w:hint="default" w:ascii="Times New Roman" w:hAnsi="Times New Roman" w:cs="Times New Roman"/>
          <w:sz w:val="22"/>
          <w:szCs w:val="22"/>
          <w:lang w:val="ru-RU"/>
        </w:rPr>
        <w:t>с</w:t>
      </w:r>
      <w:r>
        <w:rPr>
          <w:rFonts w:hint="default" w:ascii="Times New Roman" w:hAnsi="Times New Roman" w:cs="Times New Roman"/>
          <w:sz w:val="22"/>
          <w:szCs w:val="22"/>
        </w:rPr>
        <w:t>ство,</w:t>
      </w:r>
      <w:r>
        <w:rPr>
          <w:rFonts w:hint="default" w:ascii="Times New Roman" w:hAnsi="Times New Roman" w:cs="Times New Roman"/>
          <w:sz w:val="22"/>
          <w:szCs w:val="22"/>
          <w:lang w:val="ru-RU"/>
        </w:rPr>
        <w:t xml:space="preserve"> Музыка,</w:t>
      </w:r>
      <w:r>
        <w:rPr>
          <w:rFonts w:hint="default" w:ascii="Times New Roman" w:hAnsi="Times New Roman" w:cs="Times New Roman"/>
          <w:sz w:val="22"/>
          <w:szCs w:val="22"/>
        </w:rPr>
        <w:t xml:space="preserve"> Физическая культура</w:t>
      </w:r>
      <w:r>
        <w:rPr>
          <w:rFonts w:hint="default" w:ascii="Times New Roman" w:hAnsi="Times New Roman" w:cs="Times New Roman"/>
          <w:sz w:val="22"/>
          <w:szCs w:val="22"/>
          <w:lang w:val="ru-RU"/>
        </w:rPr>
        <w:t>.</w:t>
      </w:r>
    </w:p>
    <w:p w14:paraId="0698D628">
      <w:pPr>
        <w:spacing w:after="0" w:line="355" w:lineRule="auto"/>
        <w:ind w:firstLine="709"/>
        <w:jc w:val="both"/>
        <w:rPr>
          <w:rFonts w:ascii="Times New Roman" w:hAnsi="Times New Roman" w:eastAsia="SchoolBookSanPin"/>
        </w:rPr>
      </w:pPr>
      <w:r>
        <w:rPr>
          <w:rFonts w:ascii="Times New Roman" w:hAnsi="Times New Roman" w:eastAsia="SchoolBookSanPin"/>
        </w:rPr>
        <w:t>1.1.2. ООП НОО включает три раздела: целевой, содержательный, организационный.</w:t>
      </w:r>
    </w:p>
    <w:p w14:paraId="6E6A0938">
      <w:pPr>
        <w:spacing w:after="0" w:line="355" w:lineRule="auto"/>
        <w:ind w:firstLine="709"/>
        <w:jc w:val="both"/>
        <w:rPr>
          <w:rFonts w:ascii="Times New Roman" w:hAnsi="Times New Roman" w:eastAsia="SchoolBookSanPin"/>
        </w:rPr>
      </w:pPr>
      <w:r>
        <w:rPr>
          <w:rFonts w:ascii="Times New Roman" w:hAnsi="Times New Roman" w:eastAsia="SchoolBookSanPin"/>
        </w:rPr>
        <w:t>1.1.3. Целевой раздел определяет общее назначение, цели, задачи и планируемые результаты реализации ООП</w:t>
      </w:r>
      <w:r>
        <w:rPr>
          <w:rFonts w:hint="default" w:ascii="Times New Roman" w:hAnsi="Times New Roman" w:eastAsia="SchoolBookSanPin"/>
          <w:lang w:val="ru-RU"/>
        </w:rPr>
        <w:t xml:space="preserve"> </w:t>
      </w:r>
      <w:r>
        <w:rPr>
          <w:rFonts w:ascii="Times New Roman" w:hAnsi="Times New Roman" w:eastAsia="SchoolBookSanPin"/>
        </w:rPr>
        <w:t xml:space="preserve"> НОО, а также способы определения достижения этих целей и результатов.</w:t>
      </w:r>
    </w:p>
    <w:p w14:paraId="08C0EA85">
      <w:pPr>
        <w:spacing w:after="0" w:line="360" w:lineRule="auto"/>
        <w:ind w:firstLine="709"/>
        <w:jc w:val="both"/>
        <w:rPr>
          <w:rFonts w:ascii="Times New Roman" w:hAnsi="Times New Roman" w:eastAsia="SchoolBookSanPin"/>
        </w:rPr>
      </w:pPr>
      <w:r>
        <w:rPr>
          <w:rFonts w:ascii="Times New Roman" w:hAnsi="Times New Roman" w:eastAsia="SchoolBookSanPin"/>
        </w:rPr>
        <w:t>1.1.4. Целевой раздел ООП НОО включает:</w:t>
      </w:r>
    </w:p>
    <w:p w14:paraId="1682DA98">
      <w:pPr>
        <w:spacing w:after="0" w:line="360" w:lineRule="auto"/>
        <w:ind w:firstLine="709"/>
        <w:jc w:val="both"/>
        <w:rPr>
          <w:rFonts w:ascii="Times New Roman" w:hAnsi="Times New Roman" w:eastAsia="SchoolBookSanPin"/>
        </w:rPr>
      </w:pPr>
      <w:r>
        <w:rPr>
          <w:rFonts w:ascii="Times New Roman" w:hAnsi="Times New Roman" w:eastAsia="SchoolBookSanPin"/>
        </w:rPr>
        <w:t>пояснительную записку;</w:t>
      </w:r>
    </w:p>
    <w:p w14:paraId="20CF4017">
      <w:pPr>
        <w:spacing w:after="0" w:line="360" w:lineRule="auto"/>
        <w:ind w:firstLine="709"/>
        <w:jc w:val="both"/>
        <w:rPr>
          <w:rFonts w:ascii="Times New Roman" w:hAnsi="Times New Roman" w:eastAsia="SchoolBookSanPin"/>
        </w:rPr>
      </w:pPr>
      <w:r>
        <w:rPr>
          <w:rFonts w:ascii="Times New Roman" w:hAnsi="Times New Roman" w:eastAsia="SchoolBookSanPin"/>
        </w:rPr>
        <w:t>планируемые результаты освоения обучающимися ООП НОО;</w:t>
      </w:r>
    </w:p>
    <w:p w14:paraId="54D8D0DB">
      <w:pPr>
        <w:spacing w:after="0" w:line="360" w:lineRule="auto"/>
        <w:ind w:firstLine="709"/>
        <w:jc w:val="both"/>
        <w:rPr>
          <w:rFonts w:ascii="Times New Roman" w:hAnsi="Times New Roman" w:eastAsia="SchoolBookSanPin"/>
        </w:rPr>
      </w:pPr>
      <w:r>
        <w:rPr>
          <w:rFonts w:ascii="Times New Roman" w:hAnsi="Times New Roman" w:eastAsia="SchoolBookSanPin"/>
        </w:rPr>
        <w:t>систему оценки достижения планируемых результатов освоения ООП НОО.</w:t>
      </w:r>
    </w:p>
    <w:p w14:paraId="2827DD56">
      <w:pPr>
        <w:spacing w:after="0" w:line="360" w:lineRule="auto"/>
        <w:ind w:firstLine="709"/>
        <w:jc w:val="both"/>
        <w:rPr>
          <w:rFonts w:ascii="Times New Roman" w:hAnsi="Times New Roman" w:eastAsia="SchoolBookSanPin"/>
        </w:rPr>
      </w:pPr>
      <w:r>
        <w:rPr>
          <w:rFonts w:ascii="Times New Roman" w:hAnsi="Times New Roman" w:eastAsia="SchoolBookSanPin"/>
        </w:rPr>
        <w:t>1.1.5. Пояснительная записка целевого раздела ООП НОО раскрывает:</w:t>
      </w:r>
    </w:p>
    <w:p w14:paraId="4F4E0BD1">
      <w:pPr>
        <w:spacing w:after="0" w:line="360" w:lineRule="auto"/>
        <w:ind w:firstLine="709"/>
        <w:jc w:val="both"/>
        <w:rPr>
          <w:rFonts w:ascii="Times New Roman" w:hAnsi="Times New Roman" w:eastAsia="SchoolBookSanPin"/>
        </w:rPr>
      </w:pPr>
      <w:r>
        <w:rPr>
          <w:rFonts w:ascii="Times New Roman" w:hAnsi="Times New Roman" w:eastAsia="SchoolBookSanPin"/>
        </w:rPr>
        <w:t>цели реализации ООП НОО, конкретизированные в соответствии с требованиями ФГОС НОО к результатам освоения обучающимися программы начального общего образования;</w:t>
      </w:r>
    </w:p>
    <w:p w14:paraId="01B47C4B">
      <w:pPr>
        <w:spacing w:after="0" w:line="360" w:lineRule="auto"/>
        <w:ind w:firstLine="709"/>
        <w:jc w:val="both"/>
        <w:rPr>
          <w:rFonts w:ascii="Times New Roman" w:hAnsi="Times New Roman" w:eastAsia="SchoolBookSanPin"/>
        </w:rPr>
      </w:pPr>
      <w:r>
        <w:rPr>
          <w:rFonts w:ascii="Times New Roman" w:hAnsi="Times New Roman" w:eastAsia="SchoolBookSanPin"/>
        </w:rPr>
        <w:t>принципы формирования и механизмы реализации ООП НОО, в том числе посредством реализации индивидуальных учебных планов;</w:t>
      </w:r>
    </w:p>
    <w:p w14:paraId="1FF4A89D">
      <w:pPr>
        <w:spacing w:after="0" w:line="360" w:lineRule="auto"/>
        <w:ind w:firstLine="709"/>
        <w:jc w:val="both"/>
        <w:rPr>
          <w:rFonts w:ascii="Times New Roman" w:hAnsi="Times New Roman" w:eastAsia="SchoolBookSanPin"/>
        </w:rPr>
      </w:pPr>
      <w:r>
        <w:rPr>
          <w:rFonts w:ascii="Times New Roman" w:hAnsi="Times New Roman" w:eastAsia="SchoolBookSanPin"/>
        </w:rPr>
        <w:t>общую характеристику ООП НОО.</w:t>
      </w:r>
    </w:p>
    <w:p w14:paraId="2B5F7677">
      <w:pPr>
        <w:spacing w:after="0" w:line="355" w:lineRule="auto"/>
        <w:ind w:firstLine="709"/>
        <w:jc w:val="both"/>
        <w:rPr>
          <w:rFonts w:ascii="Times New Roman" w:hAnsi="Times New Roman" w:eastAsia="SchoolBookSanPin"/>
        </w:rPr>
      </w:pPr>
      <w:r>
        <w:rPr>
          <w:rFonts w:ascii="Times New Roman" w:hAnsi="Times New Roman" w:eastAsia="SchoolBookSanPin"/>
        </w:rPr>
        <w:t>1.1.6. ООП НОО является основным документом, определяющим содержание общего образования, а также регламентирующим образовательную деятельность организации в единстве урочной и внеурочной деятельности при учете установленного ФГОС НОО соотношения обязательной части программы и части, формируемой участниками образовательного процесса.</w:t>
      </w:r>
    </w:p>
    <w:p w14:paraId="233B55BE">
      <w:pPr>
        <w:spacing w:after="0" w:line="355" w:lineRule="auto"/>
        <w:ind w:firstLine="709"/>
        <w:jc w:val="both"/>
        <w:rPr>
          <w:rFonts w:ascii="Times New Roman" w:hAnsi="Times New Roman" w:eastAsia="SchoolBookSanPin"/>
        </w:rPr>
      </w:pPr>
      <w:r>
        <w:rPr>
          <w:rFonts w:ascii="Times New Roman" w:hAnsi="Times New Roman" w:eastAsia="SchoolBookSanPin"/>
          <w:bCs/>
        </w:rPr>
        <w:t>1.2. Целями</w:t>
      </w:r>
      <w:r>
        <w:rPr>
          <w:rFonts w:ascii="Times New Roman" w:hAnsi="Times New Roman" w:eastAsia="SchoolBookSanPin"/>
        </w:rPr>
        <w:t xml:space="preserve"> реализации ООП НОО являются:</w:t>
      </w:r>
    </w:p>
    <w:p w14:paraId="0F0C3224">
      <w:pPr>
        <w:spacing w:after="0" w:line="355" w:lineRule="auto"/>
        <w:ind w:firstLine="709"/>
        <w:jc w:val="both"/>
        <w:rPr>
          <w:rFonts w:ascii="Times New Roman" w:hAnsi="Times New Roman" w:eastAsia="SchoolBookSanPin"/>
        </w:rPr>
      </w:pPr>
      <w:r>
        <w:rPr>
          <w:rFonts w:ascii="Times New Roman" w:hAnsi="Times New Roman" w:eastAsia="SchoolBookSanPin"/>
        </w:rPr>
        <w:t>обеспечение реализации конституционного права каждого гражданина Российской Федерации на получение качественного образования, включающего обучение, развитие и воспитание каждого обучающегося;</w:t>
      </w:r>
    </w:p>
    <w:p w14:paraId="2FD2D528">
      <w:pPr>
        <w:spacing w:after="0" w:line="355" w:lineRule="auto"/>
        <w:ind w:firstLine="709"/>
        <w:jc w:val="both"/>
        <w:rPr>
          <w:rFonts w:ascii="Times New Roman" w:hAnsi="Times New Roman" w:eastAsia="SchoolBookSanPin"/>
        </w:rPr>
      </w:pPr>
      <w:r>
        <w:rPr>
          <w:rFonts w:ascii="Times New Roman" w:hAnsi="Times New Roman" w:eastAsia="SchoolBookSanPin"/>
        </w:rPr>
        <w:t>развитие единого образовательного пространства Российской Федерации на основе общих принципов формирования содержания обучения и воспитания, организации образовательного процесса;</w:t>
      </w:r>
    </w:p>
    <w:p w14:paraId="2AA066EF">
      <w:pPr>
        <w:spacing w:after="0" w:line="355" w:lineRule="auto"/>
        <w:ind w:firstLine="709"/>
        <w:jc w:val="both"/>
        <w:rPr>
          <w:rFonts w:ascii="Times New Roman" w:hAnsi="Times New Roman" w:eastAsia="SchoolBookSanPin"/>
        </w:rPr>
      </w:pPr>
      <w:r>
        <w:rPr>
          <w:rFonts w:ascii="Times New Roman" w:hAnsi="Times New Roman" w:eastAsia="SchoolBookSanPin"/>
        </w:rPr>
        <w:t>организация образовательного процесса с учётом целей, содержания и планируемых результатов начального общего образования, отражённых в ФГОС НОО;</w:t>
      </w:r>
    </w:p>
    <w:p w14:paraId="659F7921">
      <w:pPr>
        <w:spacing w:after="0" w:line="355" w:lineRule="auto"/>
        <w:ind w:firstLine="709"/>
        <w:jc w:val="both"/>
        <w:rPr>
          <w:rFonts w:ascii="Times New Roman" w:hAnsi="Times New Roman" w:eastAsia="SchoolBookSanPin"/>
        </w:rPr>
      </w:pPr>
      <w:r>
        <w:rPr>
          <w:rFonts w:ascii="Times New Roman" w:hAnsi="Times New Roman" w:eastAsia="SchoolBookSanPin"/>
        </w:rPr>
        <w:t xml:space="preserve">создание условий для свободного развития каждого обучающегося с учётом его потребностей, возможностей и стремления к самореализации; </w:t>
      </w:r>
    </w:p>
    <w:p w14:paraId="1F0A74B2">
      <w:pPr>
        <w:spacing w:after="0" w:line="355" w:lineRule="auto"/>
        <w:ind w:firstLine="709"/>
        <w:jc w:val="both"/>
        <w:rPr>
          <w:rFonts w:ascii="Times New Roman" w:hAnsi="Times New Roman" w:eastAsia="SchoolBookSanPin"/>
        </w:rPr>
      </w:pPr>
      <w:r>
        <w:rPr>
          <w:rFonts w:ascii="Times New Roman" w:hAnsi="Times New Roman" w:eastAsia="SchoolBookSanPin"/>
        </w:rPr>
        <w:t>организация деятельности педагогического коллектива по созданию индивидуальных программ и учебных планов для одарённых, успешных обучающихся и (или) для детей социальных групп, нуждающихся в особом внимании и поддержке.</w:t>
      </w:r>
    </w:p>
    <w:p w14:paraId="11044318">
      <w:pPr>
        <w:spacing w:after="0" w:line="355" w:lineRule="auto"/>
        <w:ind w:firstLine="709"/>
        <w:jc w:val="both"/>
        <w:rPr>
          <w:rFonts w:ascii="Times New Roman" w:hAnsi="Times New Roman" w:eastAsia="SchoolBookSanPin"/>
        </w:rPr>
      </w:pPr>
      <w:r>
        <w:rPr>
          <w:rFonts w:ascii="Times New Roman" w:hAnsi="Times New Roman" w:eastAsia="SchoolBookSanPin"/>
        </w:rPr>
        <w:t xml:space="preserve">1.3. Достижение поставленных целей реализации ООП НОО предусматривает решение следующих основных задач: </w:t>
      </w:r>
    </w:p>
    <w:p w14:paraId="56CDB72F">
      <w:pPr>
        <w:spacing w:after="0" w:line="355" w:lineRule="auto"/>
        <w:ind w:firstLine="709"/>
        <w:jc w:val="both"/>
        <w:rPr>
          <w:rFonts w:ascii="Times New Roman" w:hAnsi="Times New Roman" w:eastAsia="SchoolBookSanPin"/>
        </w:rPr>
      </w:pPr>
      <w:r>
        <w:rPr>
          <w:rFonts w:ascii="Times New Roman" w:hAnsi="Times New Roman" w:eastAsia="SchoolBookSanPin"/>
        </w:rPr>
        <w:t>формирование общей культуры, гражданско-патриотическое, духовно-нравственное воспитание, интеллектуальное развитие, становление творческих способностей, сохранение и укрепление здоровья;</w:t>
      </w:r>
    </w:p>
    <w:p w14:paraId="0886FD85">
      <w:pPr>
        <w:spacing w:after="0" w:line="355" w:lineRule="auto"/>
        <w:ind w:firstLine="709"/>
        <w:jc w:val="both"/>
        <w:rPr>
          <w:rFonts w:ascii="Times New Roman" w:hAnsi="Times New Roman" w:eastAsia="SchoolBookSanPin"/>
        </w:rPr>
      </w:pPr>
      <w:r>
        <w:rPr>
          <w:rFonts w:ascii="Times New Roman" w:hAnsi="Times New Roman" w:eastAsia="SchoolBookSanPin"/>
        </w:rPr>
        <w:t xml:space="preserve">обеспечение планируемых результатов по освоению обучающимися целевых установок, приобретению знаний, умений, навыков, определяемых личностными, семейными, общественными, государственными потребностями и возможностями обучающегося, индивидуальными особенностями его развития и состояния здоровья; </w:t>
      </w:r>
    </w:p>
    <w:p w14:paraId="169EEB95">
      <w:pPr>
        <w:spacing w:after="0" w:line="355" w:lineRule="auto"/>
        <w:ind w:firstLine="709"/>
        <w:jc w:val="both"/>
        <w:rPr>
          <w:rFonts w:ascii="Times New Roman" w:hAnsi="Times New Roman" w:eastAsia="SchoolBookSanPin"/>
        </w:rPr>
      </w:pPr>
      <w:r>
        <w:rPr>
          <w:rFonts w:ascii="Times New Roman" w:hAnsi="Times New Roman" w:eastAsia="SchoolBookSanPin"/>
        </w:rPr>
        <w:t xml:space="preserve">становление и развитие личности в ее индивидуальности, самобытности, уникальности и неповторимости; </w:t>
      </w:r>
    </w:p>
    <w:p w14:paraId="3E1CF278">
      <w:pPr>
        <w:spacing w:after="0" w:line="355" w:lineRule="auto"/>
        <w:ind w:firstLine="709"/>
        <w:jc w:val="both"/>
        <w:rPr>
          <w:rFonts w:ascii="Times New Roman" w:hAnsi="Times New Roman" w:eastAsia="SchoolBookSanPin"/>
        </w:rPr>
      </w:pPr>
      <w:r>
        <w:rPr>
          <w:rFonts w:ascii="Times New Roman" w:hAnsi="Times New Roman" w:eastAsia="SchoolBookSanPin"/>
        </w:rPr>
        <w:t xml:space="preserve">обеспечение преемственности начального общего и основного общего образования; </w:t>
      </w:r>
    </w:p>
    <w:p w14:paraId="184CD639">
      <w:pPr>
        <w:spacing w:after="0" w:line="355" w:lineRule="auto"/>
        <w:ind w:firstLine="709"/>
        <w:jc w:val="both"/>
        <w:rPr>
          <w:rFonts w:ascii="Times New Roman" w:hAnsi="Times New Roman" w:eastAsia="SchoolBookSanPin"/>
        </w:rPr>
      </w:pPr>
      <w:r>
        <w:rPr>
          <w:rFonts w:ascii="Times New Roman" w:hAnsi="Times New Roman" w:eastAsia="SchoolBookSanPin"/>
        </w:rPr>
        <w:t xml:space="preserve">достижение планируемых результатов освоения ООП НОО всеми обучающимися, в том числе обучающимися с ограниченными возможностями здоровья (далее – обучающиеся с ОВЗ); </w:t>
      </w:r>
    </w:p>
    <w:p w14:paraId="22637EAE">
      <w:pPr>
        <w:spacing w:after="0" w:line="355" w:lineRule="auto"/>
        <w:ind w:firstLine="709"/>
        <w:jc w:val="both"/>
        <w:rPr>
          <w:rFonts w:ascii="Times New Roman" w:hAnsi="Times New Roman" w:eastAsia="SchoolBookSanPin"/>
        </w:rPr>
      </w:pPr>
      <w:r>
        <w:rPr>
          <w:rFonts w:ascii="Times New Roman" w:hAnsi="Times New Roman" w:eastAsia="SchoolBookSanPin"/>
        </w:rPr>
        <w:t xml:space="preserve">обеспечение доступности получения качественного начального общего образования; </w:t>
      </w:r>
    </w:p>
    <w:p w14:paraId="46D807E2">
      <w:pPr>
        <w:spacing w:after="0" w:line="355" w:lineRule="auto"/>
        <w:ind w:firstLine="709"/>
        <w:jc w:val="both"/>
        <w:rPr>
          <w:rFonts w:ascii="Times New Roman" w:hAnsi="Times New Roman" w:eastAsia="SchoolBookSanPin"/>
        </w:rPr>
      </w:pPr>
      <w:r>
        <w:rPr>
          <w:rFonts w:ascii="Times New Roman" w:hAnsi="Times New Roman" w:eastAsia="SchoolBookSanPin"/>
        </w:rPr>
        <w:t xml:space="preserve">выявление и развитие способностей обучающихся, в том числе лиц, проявивших выдающиеся способности, через систему клубов, секций, студий и других, организацию общественно полезной деятельности; </w:t>
      </w:r>
    </w:p>
    <w:p w14:paraId="1C648707">
      <w:pPr>
        <w:spacing w:after="0" w:line="355" w:lineRule="auto"/>
        <w:ind w:firstLine="709"/>
        <w:jc w:val="both"/>
        <w:rPr>
          <w:rFonts w:ascii="Times New Roman" w:hAnsi="Times New Roman" w:eastAsia="SchoolBookSanPin"/>
        </w:rPr>
      </w:pPr>
      <w:r>
        <w:rPr>
          <w:rFonts w:ascii="Times New Roman" w:hAnsi="Times New Roman" w:eastAsia="SchoolBookSanPin"/>
        </w:rPr>
        <w:t>организация интеллектуальных и творческих соревнований, научно-технического творчества и проектно-исследовательской деятельности;</w:t>
      </w:r>
    </w:p>
    <w:p w14:paraId="77F22326">
      <w:pPr>
        <w:spacing w:after="0" w:line="355" w:lineRule="auto"/>
        <w:ind w:firstLine="709"/>
        <w:jc w:val="both"/>
        <w:rPr>
          <w:rFonts w:ascii="Times New Roman" w:hAnsi="Times New Roman" w:eastAsia="SchoolBookSanPin"/>
        </w:rPr>
      </w:pPr>
      <w:r>
        <w:rPr>
          <w:rFonts w:ascii="Times New Roman" w:hAnsi="Times New Roman" w:eastAsia="SchoolBookSanPin"/>
        </w:rPr>
        <w:t>участие обучающихся, их родителей (законных представителей), педагогических работников в проектировании и развитии социальной среды образовательной организации.</w:t>
      </w:r>
    </w:p>
    <w:p w14:paraId="6AFDAE01">
      <w:pPr>
        <w:pStyle w:val="85"/>
        <w:spacing w:before="200"/>
        <w:ind w:firstLine="540"/>
        <w:jc w:val="both"/>
        <w:rPr>
          <w:color w:val="auto"/>
          <w:sz w:val="22"/>
          <w:szCs w:val="22"/>
        </w:rPr>
      </w:pPr>
      <w:r>
        <w:rPr>
          <w:rFonts w:eastAsia="SchoolBookSanPin"/>
          <w:color w:val="auto"/>
          <w:sz w:val="22"/>
          <w:szCs w:val="22"/>
        </w:rPr>
        <w:t>1.4. </w:t>
      </w:r>
      <w:r>
        <w:rPr>
          <w:color w:val="auto"/>
          <w:sz w:val="22"/>
          <w:szCs w:val="22"/>
        </w:rPr>
        <w:t>ФОП НОО учитывает следующие принципы:</w:t>
      </w:r>
    </w:p>
    <w:p w14:paraId="646DD853">
      <w:pPr>
        <w:pStyle w:val="85"/>
        <w:spacing w:before="200"/>
        <w:ind w:firstLine="540"/>
        <w:jc w:val="both"/>
        <w:rPr>
          <w:color w:val="auto"/>
          <w:sz w:val="22"/>
          <w:szCs w:val="22"/>
        </w:rPr>
      </w:pPr>
      <w:r>
        <w:rPr>
          <w:color w:val="auto"/>
          <w:sz w:val="22"/>
          <w:szCs w:val="22"/>
        </w:rPr>
        <w:t>1) принцип учета ФГОС НОО: ФОП НОО базируется на требованиях, предъявляемых ФГОС НОО к целям, содержанию, планируемым результатам и условиям обучения на уровне начального общего образования;</w:t>
      </w:r>
    </w:p>
    <w:p w14:paraId="7B7B0F62">
      <w:pPr>
        <w:pStyle w:val="85"/>
        <w:spacing w:before="200"/>
        <w:ind w:firstLine="540"/>
        <w:jc w:val="both"/>
        <w:rPr>
          <w:color w:val="auto"/>
          <w:sz w:val="22"/>
          <w:szCs w:val="22"/>
        </w:rPr>
      </w:pPr>
      <w:r>
        <w:rPr>
          <w:color w:val="auto"/>
          <w:sz w:val="22"/>
          <w:szCs w:val="22"/>
        </w:rPr>
        <w:t>2) принцип учета языка обучения: с учетом условий функционирования образовательной организации ФОП НОО характеризует право получения образования на родном языке из числа языков народов Российской Федерации и отражает механизмы реализации данного принципа в учебных планах, планах внеурочной деятельности;</w:t>
      </w:r>
    </w:p>
    <w:p w14:paraId="4967E90E">
      <w:pPr>
        <w:pStyle w:val="85"/>
        <w:spacing w:before="200"/>
        <w:ind w:firstLine="540"/>
        <w:jc w:val="both"/>
        <w:rPr>
          <w:color w:val="auto"/>
          <w:sz w:val="22"/>
          <w:szCs w:val="22"/>
        </w:rPr>
      </w:pPr>
      <w:r>
        <w:rPr>
          <w:color w:val="auto"/>
          <w:sz w:val="22"/>
          <w:szCs w:val="22"/>
        </w:rPr>
        <w:t>3) принцип учета ведущей деятельности обучающегося: программа обеспечивает конструирование учебного процесса в структуре учебной деятельности, предусматривает механизмы формирования всех компонентов учебной деятельности (мотив, цель, учебная задача, учебные операции, контроль и самоконтроль);</w:t>
      </w:r>
    </w:p>
    <w:p w14:paraId="63415ADA">
      <w:pPr>
        <w:pStyle w:val="85"/>
        <w:spacing w:before="200"/>
        <w:ind w:firstLine="540"/>
        <w:jc w:val="both"/>
        <w:rPr>
          <w:color w:val="auto"/>
          <w:sz w:val="22"/>
          <w:szCs w:val="22"/>
        </w:rPr>
      </w:pPr>
      <w:r>
        <w:rPr>
          <w:color w:val="auto"/>
          <w:sz w:val="22"/>
          <w:szCs w:val="22"/>
        </w:rPr>
        <w:t>4) принцип индивидуализации обучения: программа предусматривает возможность и механизмы разработки индивидуальных программ и учебных планов для обучения детей с особыми способностями, потребностями и интересами с учетом мнения родителей (законных представителей) обучающегося;</w:t>
      </w:r>
    </w:p>
    <w:p w14:paraId="29C5E314">
      <w:pPr>
        <w:pStyle w:val="85"/>
        <w:spacing w:before="200"/>
        <w:ind w:firstLine="540"/>
        <w:jc w:val="both"/>
        <w:rPr>
          <w:color w:val="auto"/>
          <w:sz w:val="22"/>
          <w:szCs w:val="22"/>
        </w:rPr>
      </w:pPr>
      <w:r>
        <w:rPr>
          <w:color w:val="auto"/>
          <w:sz w:val="22"/>
          <w:szCs w:val="22"/>
        </w:rPr>
        <w:t>5) принцип преемственности и перспективности: программа обеспечивает связь и динамику в формировании знаний, умений и способов деятельности, а также успешную адаптацию обучающихся к обучению по образовательным программам основного общего образования, единые подходы между их обучением и развитием на уровнях начального общего и основного общего образования;</w:t>
      </w:r>
    </w:p>
    <w:p w14:paraId="56310355">
      <w:pPr>
        <w:pStyle w:val="85"/>
        <w:spacing w:before="200"/>
        <w:ind w:firstLine="540"/>
        <w:jc w:val="both"/>
        <w:rPr>
          <w:color w:val="auto"/>
          <w:sz w:val="22"/>
          <w:szCs w:val="22"/>
        </w:rPr>
      </w:pPr>
      <w:r>
        <w:rPr>
          <w:color w:val="auto"/>
          <w:sz w:val="22"/>
          <w:szCs w:val="22"/>
        </w:rPr>
        <w:t>6) принцип здоровьесбережения: при организации образовательной деятельности не допускается использование технологий, которые могут нанести вред физическому и (или) психическому здоровью обучающихся, приоритет использования здоровьесберегающих педагогических технологий;</w:t>
      </w:r>
    </w:p>
    <w:p w14:paraId="7D11FF75">
      <w:pPr>
        <w:spacing w:after="0" w:line="355" w:lineRule="auto"/>
        <w:ind w:firstLine="709"/>
        <w:jc w:val="both"/>
        <w:rPr>
          <w:rFonts w:ascii="Times New Roman" w:hAnsi="Times New Roman"/>
        </w:rPr>
      </w:pPr>
      <w:r>
        <w:rPr>
          <w:rFonts w:ascii="Times New Roman" w:hAnsi="Times New Roman"/>
        </w:rPr>
        <w:t xml:space="preserve">7) принцип обеспечения санитарно-эпидемиологической безопасности обучающихся в соответствии с требованиями, предусмотренным санитарными правилами и нормами </w:t>
      </w:r>
      <w:r>
        <w:fldChar w:fldCharType="begin"/>
      </w:r>
      <w:r>
        <w:instrText xml:space="preserve"> HYPERLINK "https://login.consultant.ru/link/?req=doc&amp;base=LAW&amp;n=441707&amp;dst=100137" \o "Постановление Главного государственного санитарного врача РФ от 28.01.2021 N 2 (ред. от 30.12.2022) "Об утверждении санитарных правил и норм СанПиН 1.2.3685-21 "Гигиенические нормативы и требования к обеспечению безопасности и (или) безвредности для человека ф" \h </w:instrText>
      </w:r>
      <w:r>
        <w:fldChar w:fldCharType="separate"/>
      </w:r>
      <w:r>
        <w:rPr>
          <w:rFonts w:ascii="Times New Roman" w:hAnsi="Times New Roman"/>
        </w:rPr>
        <w:t>СанПиН 1.2.3685-21</w:t>
      </w:r>
      <w:r>
        <w:rPr>
          <w:rFonts w:ascii="Times New Roman" w:hAnsi="Times New Roman"/>
        </w:rPr>
        <w:fldChar w:fldCharType="end"/>
      </w:r>
      <w:r>
        <w:rPr>
          <w:rFonts w:ascii="Times New Roman" w:hAnsi="Times New Roman"/>
        </w:rPr>
        <w:t xml:space="preserve"> "Гигиенические нормативы и требования к обеспечению безопасности и (или) безвредности для человека факторов среды обитания", утвержденными постановлением Главного государственного санитарного врача Российской Федерации от 28 января 2021 г. N 2 (зарегистрировано Министерством юстиции Российской Федерации 29 января 2021 г., регистрационный N 62296), с изменениями, внесенными постановлением Главного государственного санитарного врача Российской Федерации от 30 декабря 2022 г. N 24 (зарегистрировано Министерством юстиции Российской Федерации 9 марта 2023 г., регистрационный N 72558), действующими до 1 марта 2027 г. (далее - Гигиенические нормативы), и санитарными правилами </w:t>
      </w:r>
      <w:r>
        <w:fldChar w:fldCharType="begin"/>
      </w:r>
      <w:r>
        <w:instrText xml:space="preserve"> HYPERLINK "https://login.consultant.ru/link/?req=doc&amp;base=LAW&amp;n=486034&amp;dst=100047" \o "Постановление Главного государственного санитарного врача РФ от 28.09.2020 N 28 (ред. от 30.08.2024) "Об утверждении санитарных правил СП 2.4.3648-20 "Санитарно-эпидемиологические требования к организациям воспитания и обучения, отдыха и оздоровления детей и м" \h </w:instrText>
      </w:r>
      <w:r>
        <w:fldChar w:fldCharType="separate"/>
      </w:r>
      <w:r>
        <w:rPr>
          <w:rFonts w:ascii="Times New Roman" w:hAnsi="Times New Roman"/>
        </w:rPr>
        <w:t>СП 2.4.3648-20</w:t>
      </w:r>
      <w:r>
        <w:rPr>
          <w:rFonts w:ascii="Times New Roman" w:hAnsi="Times New Roman"/>
        </w:rPr>
        <w:fldChar w:fldCharType="end"/>
      </w:r>
      <w:r>
        <w:rPr>
          <w:rFonts w:ascii="Times New Roman" w:hAnsi="Times New Roman"/>
        </w:rPr>
        <w:t xml:space="preserve"> "Санитарно-эпидемиологические требования к организациям воспитания и обучения, отдыха и оздоровления детей и молодежи", утвержденными постановлением Главного государственного санитарного врача Российской Федерации от 28 сентября 2020 г. N 28 (зарегистрировано Министерством юстиции Российской Федерации 18 декабря 2020 г., регистрационный N 61573), действующими до 1 января 2027 г. (далее - Санитарно-эпидемиологические требования)</w:t>
      </w:r>
    </w:p>
    <w:p w14:paraId="2D063666">
      <w:pPr>
        <w:spacing w:after="0" w:line="355" w:lineRule="auto"/>
        <w:ind w:firstLine="709"/>
        <w:jc w:val="both"/>
        <w:rPr>
          <w:rFonts w:ascii="Times New Roman" w:hAnsi="Times New Roman" w:eastAsia="SchoolBookSanPin"/>
        </w:rPr>
      </w:pPr>
      <w:r>
        <w:rPr>
          <w:rFonts w:ascii="Times New Roman" w:hAnsi="Times New Roman" w:eastAsia="SchoolBookSanPin"/>
        </w:rPr>
        <w:t>1.5. ООП НОО учитывает возрастные и психологические особенности обучающихся. Наиболее адаптивным сроком освоения ООП НОО является четыре года. Общий объём аудиторной работы обучающихся за четыре учебных года не может составлять менее 2954 академических часов в соответствии с требованиями к организации образовательного процесса к учебной нагрузке при 5-дневной учебной неделе, предусмотренными Гигиеническими нормативами и Санитарно-эпидемиологическими требованиями.</w:t>
      </w:r>
    </w:p>
    <w:p w14:paraId="2E1A10F4">
      <w:pPr>
        <w:spacing w:after="0" w:line="355" w:lineRule="auto"/>
        <w:ind w:firstLine="709"/>
        <w:jc w:val="both"/>
        <w:rPr>
          <w:rFonts w:ascii="Times New Roman" w:hAnsi="Times New Roman" w:eastAsia="SchoolBookSanPin"/>
        </w:rPr>
      </w:pPr>
      <w:r>
        <w:rPr>
          <w:rFonts w:ascii="Times New Roman" w:hAnsi="Times New Roman"/>
        </w:rPr>
        <w:t xml:space="preserve">При реализации трехгодичного срока обучения на уровне начального общего образования необходимо равномерно распределять образовательную нагрузку на три года обучения, корректировать общий объем аудиторной нагрузки обучающихся по индивидуальным учебным планам в соответствии с Гигиеническими </w:t>
      </w:r>
      <w:r>
        <w:fldChar w:fldCharType="begin"/>
      </w:r>
      <w:r>
        <w:instrText xml:space="preserve"> HYPERLINK "https://login.consultant.ru/link/?req=doc&amp;base=LAW&amp;n=441707&amp;dst=100137" \o "Постановление Главного государственного санитарного врача РФ от 28.01.2021 N 2 (ред. от 30.12.2022) "Об утверждении санитарных правил и норм СанПиН 1.2.3685-21 "Гигиенические нормативы и требования к обеспечению безопасности и (или) безвредности для человека ф" \h </w:instrText>
      </w:r>
      <w:r>
        <w:fldChar w:fldCharType="separate"/>
      </w:r>
      <w:r>
        <w:rPr>
          <w:rFonts w:ascii="Times New Roman" w:hAnsi="Times New Roman"/>
        </w:rPr>
        <w:t>нормативами</w:t>
      </w:r>
      <w:r>
        <w:rPr>
          <w:rFonts w:ascii="Times New Roman" w:hAnsi="Times New Roman"/>
        </w:rPr>
        <w:fldChar w:fldCharType="end"/>
      </w:r>
      <w:r>
        <w:rPr>
          <w:rFonts w:ascii="Times New Roman" w:hAnsi="Times New Roman"/>
        </w:rPr>
        <w:t xml:space="preserve"> и Санитарно-эпидемиологическими </w:t>
      </w:r>
      <w:r>
        <w:fldChar w:fldCharType="begin"/>
      </w:r>
      <w:r>
        <w:instrText xml:space="preserve"> HYPERLINK "https://login.consultant.ru/link/?req=doc&amp;base=LAW&amp;n=486034&amp;dst=100047" \o "Постановление Главного государственного санитарного врача РФ от 28.09.2020 N 28 (ред. от 30.08.2024) "Об утверждении санитарных правил СП 2.4.3648-20 "Санитарно-эпидемиологические требования к организациям воспитания и обучения, отдыха и оздоровления детей и м" \h </w:instrText>
      </w:r>
      <w:r>
        <w:fldChar w:fldCharType="separate"/>
      </w:r>
      <w:r>
        <w:rPr>
          <w:rFonts w:ascii="Times New Roman" w:hAnsi="Times New Roman"/>
        </w:rPr>
        <w:t>требованиями</w:t>
      </w:r>
      <w:r>
        <w:rPr>
          <w:rFonts w:ascii="Times New Roman" w:hAnsi="Times New Roman"/>
        </w:rPr>
        <w:fldChar w:fldCharType="end"/>
      </w:r>
      <w:r>
        <w:rPr>
          <w:rFonts w:ascii="Times New Roman" w:hAnsi="Times New Roman"/>
        </w:rPr>
        <w:t>.</w:t>
      </w:r>
    </w:p>
    <w:p w14:paraId="59E7F71C">
      <w:pPr>
        <w:spacing w:after="0" w:line="355" w:lineRule="auto"/>
        <w:ind w:firstLine="709"/>
        <w:jc w:val="both"/>
        <w:rPr>
          <w:rFonts w:ascii="Times New Roman" w:hAnsi="Times New Roman" w:eastAsia="SchoolBookSanPin"/>
        </w:rPr>
      </w:pPr>
      <w:r>
        <w:rPr>
          <w:rFonts w:ascii="Times New Roman" w:hAnsi="Times New Roman"/>
        </w:rPr>
        <w:t xml:space="preserve">1.6. В целях удовлетворения образовательных потребностей и интересов обучающихся могут разрабатываться индивидуальные учебные планы, в том числе для ускоренного обучения, в пределах осваиваемой программы начального общего образования в порядке, установленном локальными нормативными актами образовательной организации. При формировании индивидуальных учебных планов, в том числе для ускоренного обучения, объём дневной и недельной учебной нагрузки, организация учебных и внеурочных мероприятий, расписание занятий, объём домашних заданий должны соответствовать требованиям, предусмотренным </w:t>
      </w:r>
      <w:r>
        <w:rPr>
          <w:rFonts w:ascii="Times New Roman" w:hAnsi="Times New Roman" w:eastAsia="SchoolBookSanPin"/>
        </w:rPr>
        <w:t>Гигиеническими нормативами и Санитарно-эпидемиологическими требованиями.</w:t>
      </w:r>
    </w:p>
    <w:p w14:paraId="016927C8">
      <w:pPr>
        <w:spacing w:after="0" w:line="355" w:lineRule="auto"/>
        <w:ind w:firstLine="709"/>
        <w:jc w:val="both"/>
        <w:rPr>
          <w:rFonts w:ascii="Times New Roman" w:hAnsi="Times New Roman"/>
        </w:rPr>
      </w:pPr>
      <w:r>
        <w:rPr>
          <w:rFonts w:ascii="Times New Roman" w:hAnsi="Times New Roman"/>
        </w:rPr>
        <w:t>1.7. Планируемые результаты освоения ООП НОО.</w:t>
      </w:r>
    </w:p>
    <w:p w14:paraId="56B212B5">
      <w:pPr>
        <w:spacing w:after="0" w:line="355" w:lineRule="auto"/>
        <w:ind w:firstLine="709"/>
        <w:jc w:val="both"/>
        <w:rPr>
          <w:rFonts w:ascii="Times New Roman" w:hAnsi="Times New Roman" w:eastAsia="SchoolBookSanPin"/>
        </w:rPr>
      </w:pPr>
      <w:r>
        <w:rPr>
          <w:rFonts w:ascii="Times New Roman" w:hAnsi="Times New Roman" w:eastAsia="SchoolBookSanPin"/>
        </w:rPr>
        <w:t xml:space="preserve">1.7.1. Планируемые результаты освоения ООП НОО соответствуют современным целям начального общего образования, представленным во ФГОС НОО как система личностных, метапредметных и предметных достижений обучающегося. </w:t>
      </w:r>
    </w:p>
    <w:p w14:paraId="6A117958">
      <w:pPr>
        <w:spacing w:after="0" w:line="355" w:lineRule="auto"/>
        <w:ind w:firstLine="709"/>
        <w:jc w:val="both"/>
        <w:rPr>
          <w:rFonts w:ascii="Times New Roman" w:hAnsi="Times New Roman" w:eastAsia="SchoolBookSanPin"/>
        </w:rPr>
      </w:pPr>
      <w:r>
        <w:rPr>
          <w:rFonts w:ascii="Times New Roman" w:hAnsi="Times New Roman" w:eastAsia="SchoolBookSanPin"/>
        </w:rPr>
        <w:t>1.7.2. Личностные результаты освоения ООП НОО достигаются в единстве учебной и воспитательной деятельности образовательной организации в соответствии с традиционными российскими социокультурными и духовно-нравственными ценностями, принятыми в обществе правилами и нормами поведения и способствуют процессам самопознания, самовоспитания и саморазвития, формирования внутренней позиции личности.</w:t>
      </w:r>
    </w:p>
    <w:p w14:paraId="3C3770EC">
      <w:pPr>
        <w:spacing w:after="0" w:line="355" w:lineRule="auto"/>
        <w:ind w:firstLine="709"/>
        <w:jc w:val="both"/>
        <w:rPr>
          <w:rFonts w:ascii="Times New Roman" w:hAnsi="Times New Roman" w:eastAsia="SchoolBookSanPin"/>
        </w:rPr>
      </w:pPr>
      <w:r>
        <w:rPr>
          <w:rFonts w:ascii="Times New Roman" w:hAnsi="Times New Roman" w:eastAsia="SchoolBookSanPin"/>
        </w:rPr>
        <w:t xml:space="preserve">1.7.3. Метапредметные результаты характеризуют уровень сформированности познавательных, коммуникативных и регулятивных универсальных действий, которые обеспечивают успешность изучения учебных предметов, а также становление способности к самообразованию и саморазвитию. В результате освоения содержания программы начального общего образования обучающиеся овладевают рядом междисциплинарных понятий, а также различными знаково-символическими средствами, которые помогают обучающимся применять знания, как в типовых, так и в новых, нестандартных учебных ситуациях. </w:t>
      </w:r>
    </w:p>
    <w:p w14:paraId="6D80E51E">
      <w:pPr>
        <w:spacing w:after="0" w:line="352" w:lineRule="auto"/>
        <w:ind w:firstLine="709"/>
        <w:jc w:val="both"/>
        <w:rPr>
          <w:rFonts w:ascii="Times New Roman" w:hAnsi="Times New Roman" w:eastAsia="SchoolBookSanPin"/>
        </w:rPr>
      </w:pPr>
      <w:r>
        <w:rPr>
          <w:rFonts w:ascii="Times New Roman" w:hAnsi="Times New Roman" w:eastAsia="SchoolBookSanPin"/>
        </w:rPr>
        <w:t>1.8. Система оценки достижения планируемых результатов освоения ООП НОО.</w:t>
      </w:r>
    </w:p>
    <w:p w14:paraId="7106DD15">
      <w:pPr>
        <w:spacing w:after="0" w:line="352" w:lineRule="auto"/>
        <w:ind w:firstLine="709"/>
        <w:jc w:val="both"/>
        <w:rPr>
          <w:rFonts w:ascii="Times New Roman" w:hAnsi="Times New Roman" w:eastAsia="SchoolBookSanPin"/>
        </w:rPr>
      </w:pPr>
      <w:r>
        <w:rPr>
          <w:rFonts w:ascii="Times New Roman" w:hAnsi="Times New Roman" w:eastAsia="SchoolBookSanPin"/>
        </w:rPr>
        <w:t>1.8.1. Основой объективной оценки соответствия установленным требованиям образовательной деятельности и подготовки обучающихся, освоивших ООП НОО, является ФГОС НОО независимо от формы получения начального общего образования и формы обучения. Таким образом, ФГОС НОО определяет основные требования к образовательным результатам обучающихся и средствам оценки их достижения.</w:t>
      </w:r>
    </w:p>
    <w:p w14:paraId="0C70394A">
      <w:pPr>
        <w:spacing w:after="0" w:line="352" w:lineRule="auto"/>
        <w:ind w:firstLine="709"/>
        <w:jc w:val="both"/>
        <w:rPr>
          <w:rFonts w:ascii="Times New Roman" w:hAnsi="Times New Roman" w:eastAsia="SchoolBookSanPin"/>
        </w:rPr>
      </w:pPr>
      <w:r>
        <w:rPr>
          <w:rFonts w:ascii="Times New Roman" w:hAnsi="Times New Roman" w:eastAsia="SchoolBookSanPin"/>
        </w:rPr>
        <w:t>1.8.2. Система оценки достижения планируемых результатов (далее – система оценки) является частью системы оценки и управления качеством образования в образовательной организации и служит основой при разработке образовательной организацией соответствующего локального акта.</w:t>
      </w:r>
    </w:p>
    <w:p w14:paraId="7F00F189">
      <w:pPr>
        <w:spacing w:after="0" w:line="352" w:lineRule="auto"/>
        <w:ind w:firstLine="709"/>
        <w:jc w:val="both"/>
        <w:rPr>
          <w:rFonts w:ascii="Times New Roman" w:hAnsi="Times New Roman" w:eastAsia="SchoolBookSanPin"/>
        </w:rPr>
      </w:pPr>
      <w:r>
        <w:rPr>
          <w:rFonts w:ascii="Times New Roman" w:hAnsi="Times New Roman" w:eastAsia="SchoolBookSanPin"/>
        </w:rPr>
        <w:t xml:space="preserve">1.8.3. Система оценки призвана способствовать поддержанию единства всей системы образования, обеспечению преемственности в системе непрерывного образования. Её основными </w:t>
      </w:r>
      <w:r>
        <w:rPr>
          <w:rFonts w:ascii="Times New Roman" w:hAnsi="Times New Roman" w:eastAsia="SchoolBookSanPin"/>
          <w:bCs/>
        </w:rPr>
        <w:t xml:space="preserve">функциями </w:t>
      </w:r>
      <w:r>
        <w:rPr>
          <w:rFonts w:ascii="Times New Roman" w:hAnsi="Times New Roman" w:eastAsia="SchoolBookSanPin"/>
        </w:rPr>
        <w:t xml:space="preserve">являются: </w:t>
      </w:r>
      <w:r>
        <w:rPr>
          <w:rFonts w:ascii="Times New Roman" w:hAnsi="Times New Roman" w:eastAsia="SchoolBookSanPin"/>
          <w:bCs/>
        </w:rPr>
        <w:t xml:space="preserve">ориентация образовательного процесса </w:t>
      </w:r>
      <w:r>
        <w:rPr>
          <w:rFonts w:ascii="Times New Roman" w:hAnsi="Times New Roman" w:eastAsia="SchoolBookSanPin"/>
        </w:rPr>
        <w:t xml:space="preserve">на достижение планируемых результатов освоения ООП НОО и обеспечение эффективной </w:t>
      </w:r>
      <w:r>
        <w:rPr>
          <w:rFonts w:ascii="Times New Roman" w:hAnsi="Times New Roman" w:eastAsia="SchoolBookSanPin"/>
          <w:bCs/>
        </w:rPr>
        <w:t>обратной связи</w:t>
      </w:r>
      <w:r>
        <w:rPr>
          <w:rFonts w:ascii="Times New Roman" w:hAnsi="Times New Roman" w:eastAsia="SchoolBookSanPin"/>
        </w:rPr>
        <w:t xml:space="preserve">, позволяющей осуществлять </w:t>
      </w:r>
      <w:r>
        <w:rPr>
          <w:rFonts w:ascii="Times New Roman" w:hAnsi="Times New Roman" w:eastAsia="SchoolBookSanPin"/>
          <w:bCs/>
        </w:rPr>
        <w:t>управление образовательным процессом.</w:t>
      </w:r>
    </w:p>
    <w:p w14:paraId="4D8B401F">
      <w:pPr>
        <w:spacing w:after="0" w:line="352" w:lineRule="auto"/>
        <w:ind w:firstLine="709"/>
        <w:jc w:val="both"/>
        <w:rPr>
          <w:rFonts w:ascii="Times New Roman" w:hAnsi="Times New Roman" w:eastAsia="SchoolBookSanPin"/>
        </w:rPr>
      </w:pPr>
      <w:r>
        <w:rPr>
          <w:rFonts w:ascii="Times New Roman" w:hAnsi="Times New Roman" w:eastAsia="SchoolBookSanPin"/>
          <w:bCs/>
        </w:rPr>
        <w:t xml:space="preserve">1.8.4. Основными направлениями и целями оценочной деятельности </w:t>
      </w:r>
      <w:r>
        <w:rPr>
          <w:rFonts w:ascii="Times New Roman" w:hAnsi="Times New Roman" w:eastAsia="SchoolBookSanPin"/>
        </w:rPr>
        <w:t>в образовательной организации являются:</w:t>
      </w:r>
    </w:p>
    <w:p w14:paraId="155D4625">
      <w:pPr>
        <w:spacing w:after="0" w:line="352" w:lineRule="auto"/>
        <w:ind w:firstLine="709"/>
        <w:jc w:val="both"/>
        <w:rPr>
          <w:rFonts w:ascii="Times New Roman" w:hAnsi="Times New Roman" w:eastAsia="SchoolBookSanPin"/>
        </w:rPr>
      </w:pPr>
      <w:r>
        <w:rPr>
          <w:rFonts w:ascii="Times New Roman" w:hAnsi="Times New Roman" w:eastAsia="SchoolBookSanPin"/>
        </w:rPr>
        <w:t>оценка образовательных достижений обучающихся на различных этапах обучения как основа их промежуточной и итоговой аттестации, а также основа процедур внутреннего мониторинга образовательной организации, мониторинговых исследований муниципального, регионального и федерального уровней;</w:t>
      </w:r>
    </w:p>
    <w:p w14:paraId="2A85E3FF">
      <w:pPr>
        <w:spacing w:after="0" w:line="352" w:lineRule="auto"/>
        <w:ind w:firstLine="709"/>
        <w:jc w:val="both"/>
        <w:rPr>
          <w:rFonts w:ascii="Times New Roman" w:hAnsi="Times New Roman" w:eastAsia="SchoolBookSanPin"/>
        </w:rPr>
      </w:pPr>
      <w:r>
        <w:rPr>
          <w:rFonts w:ascii="Times New Roman" w:hAnsi="Times New Roman" w:eastAsia="SchoolBookSanPin"/>
        </w:rPr>
        <w:t>оценка результатов деятельности педагогических работников как основа аттестационных процедур;</w:t>
      </w:r>
    </w:p>
    <w:p w14:paraId="21845264">
      <w:pPr>
        <w:spacing w:after="0" w:line="352" w:lineRule="auto"/>
        <w:ind w:firstLine="709"/>
        <w:jc w:val="both"/>
        <w:rPr>
          <w:rFonts w:ascii="Times New Roman" w:hAnsi="Times New Roman" w:eastAsia="SchoolBookSanPin"/>
        </w:rPr>
      </w:pPr>
      <w:r>
        <w:rPr>
          <w:rFonts w:ascii="Times New Roman" w:hAnsi="Times New Roman" w:eastAsia="SchoolBookSanPin"/>
        </w:rPr>
        <w:t>оценка результатов деятельности образовательной организации как основа аккредитационных процедур.</w:t>
      </w:r>
    </w:p>
    <w:p w14:paraId="26C77EAC">
      <w:pPr>
        <w:spacing w:after="0" w:line="352" w:lineRule="auto"/>
        <w:ind w:firstLine="709"/>
        <w:jc w:val="both"/>
        <w:rPr>
          <w:rFonts w:ascii="Times New Roman" w:hAnsi="Times New Roman" w:eastAsia="SchoolBookSanPin"/>
        </w:rPr>
      </w:pPr>
      <w:r>
        <w:rPr>
          <w:rFonts w:ascii="Times New Roman" w:hAnsi="Times New Roman" w:eastAsia="SchoolBookSanPin"/>
          <w:bCs/>
        </w:rPr>
        <w:t>1.8.5. Основным объектом системы оценки</w:t>
      </w:r>
      <w:r>
        <w:rPr>
          <w:rFonts w:ascii="Times New Roman" w:hAnsi="Times New Roman" w:eastAsia="SchoolBookSanPin"/>
        </w:rPr>
        <w:t>, её содержательной и критериальной базой выступают требования ФГОС НОО, которые конкретизируются в планируемых результатах освоения обучающимися ООП НОО.</w:t>
      </w:r>
    </w:p>
    <w:p w14:paraId="5E90BD5E">
      <w:pPr>
        <w:spacing w:after="0" w:line="352" w:lineRule="auto"/>
        <w:ind w:firstLine="709"/>
        <w:jc w:val="both"/>
        <w:rPr>
          <w:rFonts w:ascii="Times New Roman" w:hAnsi="Times New Roman" w:eastAsia="SchoolBookSanPin"/>
        </w:rPr>
      </w:pPr>
      <w:r>
        <w:rPr>
          <w:rFonts w:ascii="Times New Roman" w:hAnsi="Times New Roman" w:eastAsia="SchoolBookSanPin"/>
        </w:rPr>
        <w:t>1.8.6. Система оценки включает процедуры внутренней и внешней оценки.</w:t>
      </w:r>
    </w:p>
    <w:p w14:paraId="408F3DBC">
      <w:pPr>
        <w:pStyle w:val="85"/>
        <w:spacing w:before="200"/>
        <w:ind w:firstLine="540"/>
        <w:jc w:val="both"/>
        <w:rPr>
          <w:color w:val="auto"/>
          <w:sz w:val="22"/>
          <w:szCs w:val="22"/>
        </w:rPr>
      </w:pPr>
      <w:r>
        <w:rPr>
          <w:rFonts w:eastAsia="SchoolBookSanPin"/>
          <w:bCs/>
          <w:color w:val="auto"/>
          <w:sz w:val="22"/>
          <w:szCs w:val="22"/>
        </w:rPr>
        <w:t>1.8.7. </w:t>
      </w:r>
      <w:r>
        <w:rPr>
          <w:color w:val="auto"/>
          <w:sz w:val="22"/>
          <w:szCs w:val="22"/>
        </w:rPr>
        <w:t>Внутренняя оценка включает:</w:t>
      </w:r>
    </w:p>
    <w:p w14:paraId="411C0EE7">
      <w:pPr>
        <w:pStyle w:val="85"/>
        <w:spacing w:before="200"/>
        <w:ind w:firstLine="540"/>
        <w:jc w:val="both"/>
        <w:rPr>
          <w:color w:val="auto"/>
          <w:sz w:val="22"/>
          <w:szCs w:val="22"/>
        </w:rPr>
      </w:pPr>
      <w:r>
        <w:rPr>
          <w:color w:val="auto"/>
          <w:sz w:val="22"/>
          <w:szCs w:val="22"/>
        </w:rPr>
        <w:t>стартовую диагностику;</w:t>
      </w:r>
    </w:p>
    <w:p w14:paraId="0C8FC424">
      <w:pPr>
        <w:pStyle w:val="85"/>
        <w:spacing w:before="200"/>
        <w:ind w:firstLine="540"/>
        <w:jc w:val="both"/>
        <w:rPr>
          <w:color w:val="auto"/>
          <w:sz w:val="22"/>
          <w:szCs w:val="22"/>
        </w:rPr>
      </w:pPr>
      <w:r>
        <w:rPr>
          <w:color w:val="auto"/>
          <w:sz w:val="22"/>
          <w:szCs w:val="22"/>
        </w:rPr>
        <w:t>текущую и тематическую оценки;</w:t>
      </w:r>
    </w:p>
    <w:p w14:paraId="71E87948">
      <w:pPr>
        <w:pStyle w:val="85"/>
        <w:spacing w:before="200"/>
        <w:ind w:firstLine="540"/>
        <w:jc w:val="both"/>
        <w:rPr>
          <w:color w:val="auto"/>
          <w:sz w:val="22"/>
          <w:szCs w:val="22"/>
        </w:rPr>
      </w:pPr>
      <w:r>
        <w:rPr>
          <w:color w:val="auto"/>
          <w:sz w:val="22"/>
          <w:szCs w:val="22"/>
        </w:rPr>
        <w:t>итоговую оценку;</w:t>
      </w:r>
    </w:p>
    <w:p w14:paraId="77750A85">
      <w:pPr>
        <w:pStyle w:val="85"/>
        <w:spacing w:before="200"/>
        <w:ind w:firstLine="540"/>
        <w:jc w:val="both"/>
        <w:rPr>
          <w:color w:val="auto"/>
          <w:sz w:val="22"/>
          <w:szCs w:val="22"/>
        </w:rPr>
      </w:pPr>
      <w:r>
        <w:rPr>
          <w:color w:val="auto"/>
          <w:sz w:val="22"/>
          <w:szCs w:val="22"/>
        </w:rPr>
        <w:t>промежуточную аттестацию;</w:t>
      </w:r>
    </w:p>
    <w:p w14:paraId="73DB1FE4">
      <w:pPr>
        <w:pStyle w:val="85"/>
        <w:spacing w:before="200"/>
        <w:ind w:firstLine="540"/>
        <w:jc w:val="both"/>
        <w:rPr>
          <w:color w:val="auto"/>
          <w:sz w:val="22"/>
          <w:szCs w:val="22"/>
        </w:rPr>
      </w:pPr>
      <w:r>
        <w:rPr>
          <w:color w:val="auto"/>
          <w:sz w:val="22"/>
          <w:szCs w:val="22"/>
        </w:rPr>
        <w:t>психолого-педагогическое наблюдение;</w:t>
      </w:r>
    </w:p>
    <w:p w14:paraId="744A075E">
      <w:pPr>
        <w:pStyle w:val="85"/>
        <w:spacing w:before="200"/>
        <w:ind w:firstLine="540"/>
        <w:jc w:val="both"/>
        <w:rPr>
          <w:color w:val="auto"/>
          <w:sz w:val="22"/>
          <w:szCs w:val="22"/>
        </w:rPr>
      </w:pPr>
      <w:r>
        <w:rPr>
          <w:color w:val="auto"/>
          <w:sz w:val="22"/>
          <w:szCs w:val="22"/>
        </w:rPr>
        <w:t>внутренний мониторинг образовательных достижений обучающихся.</w:t>
      </w:r>
    </w:p>
    <w:p w14:paraId="4A00010F">
      <w:pPr>
        <w:pStyle w:val="85"/>
        <w:spacing w:before="200"/>
        <w:ind w:firstLine="540"/>
        <w:jc w:val="both"/>
        <w:rPr>
          <w:color w:val="auto"/>
          <w:sz w:val="22"/>
          <w:szCs w:val="22"/>
        </w:rPr>
      </w:pPr>
      <w:r>
        <w:rPr>
          <w:color w:val="auto"/>
          <w:sz w:val="22"/>
          <w:szCs w:val="22"/>
        </w:rPr>
        <w:t>Длительность контрольной работы, являющейся формой письменной проверки результатов обучения с целью оценки уровня достижения предметных и (или) метапредметных результатов, составляет один урок (не более чем 45 минут), контрольные работы проводятся, начиная со 2 класса.</w:t>
      </w:r>
    </w:p>
    <w:p w14:paraId="5C207F98">
      <w:pPr>
        <w:spacing w:after="0" w:line="352" w:lineRule="auto"/>
        <w:ind w:firstLine="709"/>
        <w:jc w:val="both"/>
        <w:rPr>
          <w:rFonts w:ascii="Times New Roman" w:hAnsi="Times New Roman"/>
        </w:rPr>
      </w:pPr>
      <w:r>
        <w:rPr>
          <w:rFonts w:ascii="Times New Roman" w:hAnsi="Times New Roman"/>
        </w:rPr>
        <w:t>При этом объем учебного времени, затрачиваемого на проведение оценочных процедур, не должен превышать 10% от всего объема учебного времени, отводимого на изучение данного учебного предмета в данном классе в текущем учебном году.</w:t>
      </w:r>
    </w:p>
    <w:p w14:paraId="5834B7B1">
      <w:pPr>
        <w:spacing w:after="0" w:line="352" w:lineRule="auto"/>
        <w:ind w:firstLine="709"/>
        <w:jc w:val="both"/>
        <w:rPr>
          <w:rFonts w:ascii="Times New Roman" w:hAnsi="Times New Roman" w:eastAsia="SchoolBookSanPin"/>
        </w:rPr>
      </w:pPr>
      <w:r>
        <w:rPr>
          <w:rFonts w:ascii="Times New Roman" w:hAnsi="Times New Roman" w:eastAsia="SchoolBookSanPin"/>
        </w:rPr>
        <w:t>1.8. Внешняя оценка включает:</w:t>
      </w:r>
    </w:p>
    <w:p w14:paraId="2CDB34A7">
      <w:pPr>
        <w:tabs>
          <w:tab w:val="left" w:pos="709"/>
          <w:tab w:val="left" w:pos="851"/>
        </w:tabs>
        <w:spacing w:after="0" w:line="350" w:lineRule="auto"/>
        <w:ind w:firstLine="709"/>
        <w:jc w:val="both"/>
        <w:rPr>
          <w:rFonts w:ascii="Times New Roman" w:hAnsi="Times New Roman" w:eastAsia="SchoolBookSanPin"/>
        </w:rPr>
      </w:pPr>
      <w:r>
        <w:rPr>
          <w:rFonts w:ascii="Times New Roman" w:hAnsi="Times New Roman" w:eastAsia="SchoolBookSanPin"/>
        </w:rPr>
        <w:t>независимую оценку качества подготовки обучающихся;</w:t>
      </w:r>
    </w:p>
    <w:p w14:paraId="173597D8">
      <w:pPr>
        <w:tabs>
          <w:tab w:val="left" w:pos="709"/>
          <w:tab w:val="left" w:pos="851"/>
        </w:tabs>
        <w:spacing w:after="0" w:line="350" w:lineRule="auto"/>
        <w:ind w:firstLine="709"/>
        <w:jc w:val="both"/>
        <w:rPr>
          <w:rFonts w:ascii="Times New Roman" w:hAnsi="Times New Roman" w:eastAsia="SchoolBookSanPin"/>
        </w:rPr>
      </w:pPr>
      <w:r>
        <w:rPr>
          <w:rFonts w:ascii="Times New Roman" w:hAnsi="Times New Roman" w:eastAsia="SchoolBookSanPin"/>
        </w:rPr>
        <w:t>итоговую аттестацию.</w:t>
      </w:r>
    </w:p>
    <w:p w14:paraId="4FD3FFAC">
      <w:pPr>
        <w:spacing w:after="0" w:line="352" w:lineRule="auto"/>
        <w:ind w:firstLine="709"/>
        <w:jc w:val="both"/>
        <w:rPr>
          <w:rFonts w:ascii="Times New Roman" w:hAnsi="Times New Roman" w:eastAsia="SchoolBookSanPin"/>
        </w:rPr>
      </w:pPr>
      <w:r>
        <w:rPr>
          <w:rFonts w:ascii="Times New Roman" w:hAnsi="Times New Roman" w:eastAsia="SchoolBookSanPin"/>
        </w:rPr>
        <w:t>1.8.9. В соответствии с ФГОС НОО система оценки образовательной организации реализует системно-деятельностный, уровневый и комплексный подходы к оценке образовательных достижений.</w:t>
      </w:r>
    </w:p>
    <w:p w14:paraId="063A02E3">
      <w:pPr>
        <w:spacing w:after="0" w:line="352" w:lineRule="auto"/>
        <w:ind w:firstLine="709"/>
        <w:jc w:val="both"/>
        <w:rPr>
          <w:rFonts w:ascii="Times New Roman" w:hAnsi="Times New Roman" w:eastAsia="SchoolBookSanPin"/>
        </w:rPr>
      </w:pPr>
      <w:r>
        <w:rPr>
          <w:rFonts w:ascii="Times New Roman" w:hAnsi="Times New Roman" w:eastAsia="SchoolBookSanPin"/>
          <w:bCs/>
        </w:rPr>
        <w:t xml:space="preserve">1.8.10. Системно-деятельностный подход </w:t>
      </w:r>
      <w:r>
        <w:rPr>
          <w:rFonts w:ascii="Times New Roman" w:hAnsi="Times New Roman" w:eastAsia="SchoolBookSanPin"/>
        </w:rPr>
        <w:t>к оценке образовательных достижений обучающихся проявляется в оценке способности обучающихся к решению учебно-познавательных и учебно-практических задач, а также в оценке уровня функциональной грамотности обучающихся. Он обеспечивается содержанием и критериями оценки, в качестве которых выступают планируемые результаты обучения, выраженные в деятельностной форме.</w:t>
      </w:r>
    </w:p>
    <w:p w14:paraId="6C3EE626">
      <w:pPr>
        <w:spacing w:after="0" w:line="352" w:lineRule="auto"/>
        <w:ind w:firstLine="709"/>
        <w:jc w:val="both"/>
        <w:rPr>
          <w:rFonts w:ascii="Times New Roman" w:hAnsi="Times New Roman" w:eastAsia="SchoolBookSanPin"/>
        </w:rPr>
      </w:pPr>
      <w:r>
        <w:rPr>
          <w:rFonts w:ascii="Times New Roman" w:hAnsi="Times New Roman" w:eastAsia="SchoolBookSanPin"/>
          <w:bCs/>
        </w:rPr>
        <w:t xml:space="preserve">1.8.11. Уровневый подход </w:t>
      </w:r>
      <w:r>
        <w:rPr>
          <w:rFonts w:ascii="Times New Roman" w:hAnsi="Times New Roman" w:eastAsia="SchoolBookSanPin"/>
        </w:rPr>
        <w:t>к оценке образовательных достижений обучающихся служит основой для организации индивидуальной работы с обучающимися. Он реализуется как по отношению к содержанию оценки, так и к представлению и интерпретации результатов измерений.</w:t>
      </w:r>
    </w:p>
    <w:p w14:paraId="0EBD96C4">
      <w:pPr>
        <w:spacing w:after="0" w:line="352" w:lineRule="auto"/>
        <w:ind w:firstLine="709"/>
        <w:jc w:val="both"/>
        <w:rPr>
          <w:rFonts w:ascii="Times New Roman" w:hAnsi="Times New Roman" w:eastAsia="SchoolBookSanPin"/>
        </w:rPr>
      </w:pPr>
      <w:r>
        <w:rPr>
          <w:rFonts w:ascii="Times New Roman" w:hAnsi="Times New Roman" w:eastAsia="SchoolBookSanPin"/>
        </w:rPr>
        <w:t>1.8.12. Уровневый подход к оценке образовательных достижений обучающихся реализуется за счёт фиксации различных уровней достижения обучающимися планируемых результатов. Достижение базового уровня свидетельствует о способности обучающихся решать типовые учебные задачи, целенаправленно отрабатываемые со всеми обучающимися в ходе учебного процесса, выступает достаточным для продолжения обучения и усвоения последующего учебного материала.</w:t>
      </w:r>
    </w:p>
    <w:p w14:paraId="0D756F55">
      <w:pPr>
        <w:spacing w:after="0" w:line="352" w:lineRule="auto"/>
        <w:ind w:firstLine="709"/>
        <w:jc w:val="both"/>
        <w:rPr>
          <w:rFonts w:ascii="Times New Roman" w:hAnsi="Times New Roman" w:eastAsia="SchoolBookSanPin"/>
        </w:rPr>
      </w:pPr>
      <w:r>
        <w:rPr>
          <w:rFonts w:ascii="Times New Roman" w:hAnsi="Times New Roman" w:eastAsia="SchoolBookSanPin"/>
          <w:bCs/>
        </w:rPr>
        <w:t xml:space="preserve">1.8.13. Комплексный подход </w:t>
      </w:r>
      <w:r>
        <w:rPr>
          <w:rFonts w:ascii="Times New Roman" w:hAnsi="Times New Roman" w:eastAsia="SchoolBookSanPin"/>
        </w:rPr>
        <w:t>к оценке образовательных достижений реализуется через:</w:t>
      </w:r>
    </w:p>
    <w:p w14:paraId="15A42673">
      <w:pPr>
        <w:tabs>
          <w:tab w:val="left" w:pos="851"/>
        </w:tabs>
        <w:spacing w:after="0" w:line="352" w:lineRule="auto"/>
        <w:ind w:firstLine="709"/>
        <w:jc w:val="both"/>
        <w:rPr>
          <w:rFonts w:ascii="Times New Roman" w:hAnsi="Times New Roman" w:eastAsia="SchoolBookSanPin"/>
        </w:rPr>
      </w:pPr>
      <w:r>
        <w:rPr>
          <w:rFonts w:ascii="Times New Roman" w:hAnsi="Times New Roman" w:eastAsia="SchoolBookSanPin"/>
        </w:rPr>
        <w:t>оценку предметных и метапредметных результатов;</w:t>
      </w:r>
    </w:p>
    <w:p w14:paraId="63B34008">
      <w:pPr>
        <w:tabs>
          <w:tab w:val="left" w:pos="851"/>
        </w:tabs>
        <w:spacing w:after="0" w:line="352" w:lineRule="auto"/>
        <w:ind w:firstLine="709"/>
        <w:jc w:val="both"/>
        <w:rPr>
          <w:rFonts w:ascii="Times New Roman" w:hAnsi="Times New Roman" w:eastAsia="SchoolBookSanPin"/>
        </w:rPr>
      </w:pPr>
      <w:r>
        <w:rPr>
          <w:rFonts w:ascii="Times New Roman" w:hAnsi="Times New Roman" w:eastAsia="SchoolBookSanPin"/>
        </w:rPr>
        <w:t>использование комплекса оценочных процедур как основы для оценки динамики индивидуальных образовательных достижений обучающихся и для итоговой оценки; использование контекстной информации (об особенностях обучающихся, условиях и процессе обучения и другие) для интерпретации полученных результатов в целях управления качеством образования;</w:t>
      </w:r>
    </w:p>
    <w:p w14:paraId="282451F9">
      <w:pPr>
        <w:tabs>
          <w:tab w:val="left" w:pos="851"/>
        </w:tabs>
        <w:spacing w:after="0" w:line="352" w:lineRule="auto"/>
        <w:ind w:firstLine="709"/>
        <w:jc w:val="both"/>
        <w:rPr>
          <w:rFonts w:ascii="Times New Roman" w:hAnsi="Times New Roman" w:eastAsia="SchoolBookSanPin"/>
        </w:rPr>
      </w:pPr>
      <w:r>
        <w:rPr>
          <w:rFonts w:ascii="Times New Roman" w:hAnsi="Times New Roman" w:eastAsia="SchoolBookSanPin"/>
        </w:rPr>
        <w:t>использование разнообразных методов и форм оценки, взаимно дополняющих друг друга, в том числе оценок творческих работ, наблюдения;</w:t>
      </w:r>
    </w:p>
    <w:p w14:paraId="3DA156F8">
      <w:pPr>
        <w:tabs>
          <w:tab w:val="left" w:pos="851"/>
        </w:tabs>
        <w:spacing w:after="0" w:line="352" w:lineRule="auto"/>
        <w:ind w:firstLine="709"/>
        <w:jc w:val="both"/>
        <w:rPr>
          <w:rFonts w:ascii="Times New Roman" w:hAnsi="Times New Roman" w:eastAsia="SchoolBookSanPin"/>
        </w:rPr>
      </w:pPr>
      <w:r>
        <w:rPr>
          <w:rFonts w:ascii="Times New Roman" w:hAnsi="Times New Roman" w:eastAsia="SchoolBookSanPin"/>
        </w:rPr>
        <w:t>использование форм работы, обеспечивающих возможность включения обучающихся в самостоятельную оценочную деятельность (самоанализ, самооценка, взаимооценка);</w:t>
      </w:r>
    </w:p>
    <w:p w14:paraId="0DBEECFA">
      <w:pPr>
        <w:tabs>
          <w:tab w:val="left" w:pos="851"/>
        </w:tabs>
        <w:spacing w:after="0" w:line="352" w:lineRule="auto"/>
        <w:ind w:firstLine="709"/>
        <w:jc w:val="both"/>
        <w:rPr>
          <w:rFonts w:ascii="Times New Roman" w:hAnsi="Times New Roman"/>
        </w:rPr>
      </w:pPr>
      <w:r>
        <w:rPr>
          <w:rFonts w:ascii="Times New Roman" w:hAnsi="Times New Roman" w:eastAsia="SchoolBookSanPin"/>
        </w:rPr>
        <w:t>использование мониторинга динамических показателей освоения умений и знаний, в том числе формируемых с использованием информационно-коммуникационных (цифровых) технологий.</w:t>
      </w:r>
      <w:r>
        <w:rPr>
          <w:rFonts w:ascii="Times New Roman" w:hAnsi="Times New Roman"/>
        </w:rPr>
        <w:t xml:space="preserve"> </w:t>
      </w:r>
    </w:p>
    <w:p w14:paraId="5EE206FC">
      <w:pPr>
        <w:spacing w:after="0" w:line="352" w:lineRule="auto"/>
        <w:ind w:firstLine="709"/>
        <w:jc w:val="both"/>
        <w:rPr>
          <w:rFonts w:ascii="Times New Roman" w:hAnsi="Times New Roman"/>
        </w:rPr>
      </w:pPr>
      <w:r>
        <w:rPr>
          <w:rFonts w:ascii="Times New Roman" w:hAnsi="Times New Roman"/>
        </w:rPr>
        <w:t>1.8.14. Целью оценки личностных достижений обучающихся является получение общего представления о воспитательной деятельности образовательной организации и её влиянии на коллектив обучающихся.</w:t>
      </w:r>
    </w:p>
    <w:p w14:paraId="5DA2E09A">
      <w:pPr>
        <w:spacing w:after="0" w:line="352" w:lineRule="auto"/>
        <w:ind w:firstLine="709"/>
        <w:jc w:val="both"/>
        <w:rPr>
          <w:rFonts w:ascii="Times New Roman" w:hAnsi="Times New Roman"/>
        </w:rPr>
      </w:pPr>
      <w:r>
        <w:rPr>
          <w:rFonts w:ascii="Times New Roman" w:hAnsi="Times New Roman"/>
        </w:rPr>
        <w:t>1.8.15. При оценке личностных результатов необходимо соблюдение этических норм и правил взаимодействия с обучающимся с учётом его индивидуально-психологических особенностей развития.</w:t>
      </w:r>
    </w:p>
    <w:p w14:paraId="529C5F93">
      <w:pPr>
        <w:spacing w:after="0" w:line="352" w:lineRule="auto"/>
        <w:ind w:firstLine="709"/>
        <w:jc w:val="both"/>
        <w:rPr>
          <w:rFonts w:ascii="Times New Roman" w:hAnsi="Times New Roman"/>
        </w:rPr>
      </w:pPr>
      <w:r>
        <w:rPr>
          <w:rFonts w:ascii="Times New Roman" w:hAnsi="Times New Roman"/>
        </w:rPr>
        <w:t xml:space="preserve">1.8.16. Личностные достижения обучающихся, освоивших ООП НОО, включают две группы результатов: </w:t>
      </w:r>
    </w:p>
    <w:p w14:paraId="37691C3D">
      <w:pPr>
        <w:spacing w:after="0" w:line="352" w:lineRule="auto"/>
        <w:ind w:firstLine="709"/>
        <w:jc w:val="both"/>
        <w:rPr>
          <w:rFonts w:ascii="Times New Roman" w:hAnsi="Times New Roman"/>
        </w:rPr>
      </w:pPr>
      <w:r>
        <w:rPr>
          <w:rFonts w:ascii="Times New Roman" w:hAnsi="Times New Roman"/>
        </w:rPr>
        <w:t xml:space="preserve">основы российской гражданской идентичности, ценностные установки и социально значимые качества личности; </w:t>
      </w:r>
    </w:p>
    <w:p w14:paraId="31C724D2">
      <w:pPr>
        <w:spacing w:after="0" w:line="352" w:lineRule="auto"/>
        <w:ind w:firstLine="709"/>
        <w:jc w:val="both"/>
        <w:rPr>
          <w:rFonts w:ascii="Times New Roman" w:hAnsi="Times New Roman"/>
        </w:rPr>
      </w:pPr>
      <w:r>
        <w:rPr>
          <w:rFonts w:ascii="Times New Roman" w:hAnsi="Times New Roman"/>
        </w:rPr>
        <w:t>готовность обучающихся к саморазвитию, мотивация к познанию и обучению, активное участие в социально значимой деятельности.</w:t>
      </w:r>
    </w:p>
    <w:p w14:paraId="0459A3AA">
      <w:pPr>
        <w:spacing w:after="0" w:line="352" w:lineRule="auto"/>
        <w:ind w:firstLine="709"/>
        <w:jc w:val="both"/>
        <w:rPr>
          <w:rFonts w:ascii="Times New Roman" w:hAnsi="Times New Roman"/>
        </w:rPr>
      </w:pPr>
      <w:r>
        <w:rPr>
          <w:rFonts w:ascii="Times New Roman" w:hAnsi="Times New Roman"/>
        </w:rPr>
        <w:t xml:space="preserve">1.8.17. Учитывая особенности групп личностных результатов, учитель может осуществлять оценку только следующих качеств: </w:t>
      </w:r>
    </w:p>
    <w:p w14:paraId="226C92A0">
      <w:pPr>
        <w:spacing w:after="0" w:line="352" w:lineRule="auto"/>
        <w:ind w:firstLine="709"/>
        <w:jc w:val="both"/>
        <w:rPr>
          <w:rFonts w:ascii="Times New Roman" w:hAnsi="Times New Roman"/>
        </w:rPr>
      </w:pPr>
      <w:r>
        <w:rPr>
          <w:rFonts w:ascii="Times New Roman" w:hAnsi="Times New Roman"/>
        </w:rPr>
        <w:t>наличие и характеристика мотива познания и учения;</w:t>
      </w:r>
    </w:p>
    <w:p w14:paraId="43BB2209">
      <w:pPr>
        <w:spacing w:after="0" w:line="352" w:lineRule="auto"/>
        <w:ind w:firstLine="709"/>
        <w:jc w:val="both"/>
        <w:rPr>
          <w:rFonts w:ascii="Times New Roman" w:hAnsi="Times New Roman"/>
        </w:rPr>
      </w:pPr>
      <w:r>
        <w:rPr>
          <w:rFonts w:ascii="Times New Roman" w:hAnsi="Times New Roman"/>
        </w:rPr>
        <w:t>наличие умений принимать и удерживать учебную задачу, планировать учебные действия;</w:t>
      </w:r>
    </w:p>
    <w:p w14:paraId="49EC6BC4">
      <w:pPr>
        <w:spacing w:after="0" w:line="352" w:lineRule="auto"/>
        <w:ind w:firstLine="709"/>
        <w:jc w:val="both"/>
        <w:rPr>
          <w:rFonts w:ascii="Times New Roman" w:hAnsi="Times New Roman"/>
        </w:rPr>
      </w:pPr>
      <w:r>
        <w:rPr>
          <w:rFonts w:ascii="Times New Roman" w:hAnsi="Times New Roman"/>
        </w:rPr>
        <w:t xml:space="preserve">способность осуществлять самоконтроль и самооценку. </w:t>
      </w:r>
    </w:p>
    <w:p w14:paraId="10F82CFD">
      <w:pPr>
        <w:spacing w:after="0" w:line="352" w:lineRule="auto"/>
        <w:ind w:firstLine="709"/>
        <w:jc w:val="both"/>
        <w:rPr>
          <w:rFonts w:ascii="Times New Roman" w:hAnsi="Times New Roman"/>
        </w:rPr>
      </w:pPr>
      <w:r>
        <w:rPr>
          <w:rFonts w:ascii="Times New Roman" w:hAnsi="Times New Roman"/>
        </w:rPr>
        <w:t>Диагностические задания, устанавливающие уровень этих качеств, целесообразно интегрировать с заданиями по оценке метапредметных регулятивных универсальных учебных действий.</w:t>
      </w:r>
    </w:p>
    <w:p w14:paraId="213BEF4B">
      <w:pPr>
        <w:spacing w:after="0" w:line="352" w:lineRule="auto"/>
        <w:ind w:firstLine="709"/>
        <w:jc w:val="both"/>
        <w:rPr>
          <w:rFonts w:ascii="Times New Roman" w:hAnsi="Times New Roman" w:eastAsia="SchoolBookSanPin"/>
        </w:rPr>
      </w:pPr>
      <w:r>
        <w:rPr>
          <w:rFonts w:ascii="Times New Roman" w:hAnsi="Times New Roman"/>
        </w:rPr>
        <w:t>1.8.18. </w:t>
      </w:r>
      <w:r>
        <w:rPr>
          <w:rFonts w:ascii="Times New Roman" w:hAnsi="Times New Roman" w:eastAsia="SchoolBookSanPin"/>
        </w:rPr>
        <w:t>Оценка метапредметных результатов осуществляется через оценку достижения планируемых результатов освоения ООП НОО, которые отражают совокупность познавательных, коммуникативных и регулятивных универсальных учебных действий.</w:t>
      </w:r>
    </w:p>
    <w:p w14:paraId="54994279">
      <w:pPr>
        <w:spacing w:after="0" w:line="352" w:lineRule="auto"/>
        <w:ind w:firstLine="709"/>
        <w:jc w:val="both"/>
        <w:rPr>
          <w:rFonts w:ascii="Times New Roman" w:hAnsi="Times New Roman" w:eastAsia="SchoolBookSanPin"/>
        </w:rPr>
      </w:pPr>
      <w:r>
        <w:rPr>
          <w:rFonts w:ascii="Times New Roman" w:hAnsi="Times New Roman" w:eastAsia="SchoolBookSanPin"/>
        </w:rPr>
        <w:t>1.8.19. Формирование метапредметных результатов обеспечивается комплексом освоения программ учебных предметов и внеурочной деятельности.</w:t>
      </w:r>
    </w:p>
    <w:p w14:paraId="0DF41B19">
      <w:pPr>
        <w:spacing w:after="0" w:line="352" w:lineRule="auto"/>
        <w:ind w:firstLine="709"/>
        <w:jc w:val="both"/>
        <w:rPr>
          <w:rFonts w:ascii="Times New Roman" w:hAnsi="Times New Roman" w:eastAsia="SchoolBookSanPin"/>
        </w:rPr>
      </w:pPr>
      <w:r>
        <w:rPr>
          <w:rFonts w:ascii="Times New Roman" w:hAnsi="Times New Roman" w:eastAsia="SchoolBookSanPin"/>
        </w:rPr>
        <w:t>1.8.20. Оценка метапредметных результатов проводится с целью определения сформированности:</w:t>
      </w:r>
    </w:p>
    <w:p w14:paraId="771A63D1">
      <w:pPr>
        <w:tabs>
          <w:tab w:val="left" w:pos="851"/>
        </w:tabs>
        <w:spacing w:after="0" w:line="352" w:lineRule="auto"/>
        <w:ind w:firstLine="709"/>
        <w:jc w:val="both"/>
        <w:rPr>
          <w:rFonts w:ascii="Times New Roman" w:hAnsi="Times New Roman" w:eastAsia="SchoolBookSanPin"/>
        </w:rPr>
      </w:pPr>
      <w:r>
        <w:rPr>
          <w:rFonts w:ascii="Times New Roman" w:hAnsi="Times New Roman" w:eastAsia="SchoolBookSanPin"/>
        </w:rPr>
        <w:t>познавательных универсальных учебных действий;</w:t>
      </w:r>
    </w:p>
    <w:p w14:paraId="4649E245">
      <w:pPr>
        <w:tabs>
          <w:tab w:val="left" w:pos="851"/>
        </w:tabs>
        <w:spacing w:after="0" w:line="352" w:lineRule="auto"/>
        <w:ind w:firstLine="709"/>
        <w:jc w:val="both"/>
        <w:rPr>
          <w:rFonts w:ascii="Times New Roman" w:hAnsi="Times New Roman" w:eastAsia="SchoolBookSanPin"/>
        </w:rPr>
      </w:pPr>
      <w:r>
        <w:rPr>
          <w:rFonts w:ascii="Times New Roman" w:hAnsi="Times New Roman" w:eastAsia="SchoolBookSanPin"/>
        </w:rPr>
        <w:t>коммуникативных универсальных учебных действий;</w:t>
      </w:r>
    </w:p>
    <w:p w14:paraId="0715C6F5">
      <w:pPr>
        <w:tabs>
          <w:tab w:val="left" w:pos="851"/>
        </w:tabs>
        <w:spacing w:after="0" w:line="352" w:lineRule="auto"/>
        <w:ind w:firstLine="709"/>
        <w:jc w:val="both"/>
        <w:rPr>
          <w:rFonts w:ascii="Times New Roman" w:hAnsi="Times New Roman" w:eastAsia="SchoolBookSanPin"/>
        </w:rPr>
      </w:pPr>
      <w:r>
        <w:rPr>
          <w:rFonts w:ascii="Times New Roman" w:hAnsi="Times New Roman" w:eastAsia="SchoolBookSanPin"/>
        </w:rPr>
        <w:t>регулятивных универсальных учебных действий.</w:t>
      </w:r>
    </w:p>
    <w:p w14:paraId="3B9F6F0B">
      <w:pPr>
        <w:spacing w:after="0" w:line="352" w:lineRule="auto"/>
        <w:ind w:firstLine="709"/>
        <w:jc w:val="both"/>
        <w:rPr>
          <w:rFonts w:ascii="Times New Roman" w:hAnsi="Times New Roman" w:eastAsia="SchoolBookSanPin"/>
        </w:rPr>
      </w:pPr>
      <w:r>
        <w:rPr>
          <w:rFonts w:ascii="Times New Roman" w:hAnsi="Times New Roman" w:eastAsia="SchoolBookSanPin"/>
        </w:rPr>
        <w:t>1.8.21. Овладение познавательными универсальными учебными действиями предполагает формирование и оценку у обучающихся базовых логических действий, базовых исследовательских действий, умений работать с информацией.</w:t>
      </w:r>
    </w:p>
    <w:p w14:paraId="6114C78A">
      <w:pPr>
        <w:spacing w:after="0" w:line="352" w:lineRule="auto"/>
        <w:ind w:firstLine="709"/>
        <w:jc w:val="both"/>
        <w:rPr>
          <w:rFonts w:ascii="Times New Roman" w:hAnsi="Times New Roman" w:eastAsia="SchoolBookSanPin"/>
        </w:rPr>
      </w:pPr>
      <w:r>
        <w:rPr>
          <w:rFonts w:ascii="Times New Roman" w:hAnsi="Times New Roman" w:eastAsia="SchoolBookSanPin"/>
        </w:rPr>
        <w:t>1.8.22. Овладение базовыми логическими действиями обеспечивает формирование у обучающихся умений:</w:t>
      </w:r>
    </w:p>
    <w:p w14:paraId="7254F02C">
      <w:pPr>
        <w:tabs>
          <w:tab w:val="left" w:pos="851"/>
        </w:tabs>
        <w:spacing w:after="0" w:line="352" w:lineRule="auto"/>
        <w:ind w:firstLine="709"/>
        <w:jc w:val="both"/>
        <w:rPr>
          <w:rFonts w:ascii="Times New Roman" w:hAnsi="Times New Roman" w:eastAsia="SchoolBookSanPin"/>
        </w:rPr>
      </w:pPr>
      <w:r>
        <w:rPr>
          <w:rFonts w:ascii="Times New Roman" w:hAnsi="Times New Roman" w:eastAsia="SchoolBookSanPin"/>
        </w:rPr>
        <w:t>сравнивать объекты, устанавливать основания для сравнения, устанавливать аналогии;</w:t>
      </w:r>
    </w:p>
    <w:p w14:paraId="0AA3E34B">
      <w:pPr>
        <w:tabs>
          <w:tab w:val="left" w:pos="851"/>
        </w:tabs>
        <w:spacing w:after="0" w:line="352" w:lineRule="auto"/>
        <w:ind w:firstLine="709"/>
        <w:jc w:val="both"/>
        <w:rPr>
          <w:rFonts w:ascii="Times New Roman" w:hAnsi="Times New Roman" w:eastAsia="SchoolBookSanPin"/>
        </w:rPr>
      </w:pPr>
      <w:r>
        <w:rPr>
          <w:rFonts w:ascii="Times New Roman" w:hAnsi="Times New Roman" w:eastAsia="SchoolBookSanPin"/>
        </w:rPr>
        <w:t>объединять части объекта (объекты) по определённому признаку;</w:t>
      </w:r>
    </w:p>
    <w:p w14:paraId="4F9951DB">
      <w:pPr>
        <w:tabs>
          <w:tab w:val="left" w:pos="851"/>
        </w:tabs>
        <w:spacing w:after="0" w:line="352" w:lineRule="auto"/>
        <w:ind w:firstLine="709"/>
        <w:jc w:val="both"/>
        <w:rPr>
          <w:rFonts w:ascii="Times New Roman" w:hAnsi="Times New Roman" w:eastAsia="SchoolBookSanPin"/>
        </w:rPr>
      </w:pPr>
      <w:r>
        <w:rPr>
          <w:rFonts w:ascii="Times New Roman" w:hAnsi="Times New Roman" w:eastAsia="SchoolBookSanPin"/>
        </w:rPr>
        <w:t>определять существенный признак для классификации, классифицировать предложенные объекты;</w:t>
      </w:r>
    </w:p>
    <w:p w14:paraId="446B2513">
      <w:pPr>
        <w:tabs>
          <w:tab w:val="left" w:pos="851"/>
        </w:tabs>
        <w:spacing w:after="0" w:line="352" w:lineRule="auto"/>
        <w:ind w:firstLine="709"/>
        <w:jc w:val="both"/>
        <w:rPr>
          <w:rFonts w:ascii="Times New Roman" w:hAnsi="Times New Roman" w:eastAsia="SchoolBookSanPin"/>
        </w:rPr>
      </w:pPr>
      <w:r>
        <w:rPr>
          <w:rFonts w:ascii="Times New Roman" w:hAnsi="Times New Roman" w:eastAsia="SchoolBookSanPin"/>
        </w:rPr>
        <w:t>находить закономерности и противоречия в рассматриваемых фактах, данных и наблюдениях на основе предложенного учителем алгоритма;</w:t>
      </w:r>
    </w:p>
    <w:p w14:paraId="7CF41338">
      <w:pPr>
        <w:tabs>
          <w:tab w:val="left" w:pos="851"/>
        </w:tabs>
        <w:spacing w:after="0" w:line="352" w:lineRule="auto"/>
        <w:ind w:firstLine="709"/>
        <w:jc w:val="both"/>
        <w:rPr>
          <w:rFonts w:ascii="Times New Roman" w:hAnsi="Times New Roman" w:eastAsia="SchoolBookSanPin"/>
        </w:rPr>
      </w:pPr>
      <w:r>
        <w:rPr>
          <w:rFonts w:ascii="Times New Roman" w:hAnsi="Times New Roman" w:eastAsia="SchoolBookSanPin"/>
        </w:rPr>
        <w:t>выявлять недостаток информации для решения учебной (практической) задачи на основе предложенного алгоритма;</w:t>
      </w:r>
    </w:p>
    <w:p w14:paraId="47C47D67">
      <w:pPr>
        <w:tabs>
          <w:tab w:val="left" w:pos="851"/>
        </w:tabs>
        <w:spacing w:after="0" w:line="352" w:lineRule="auto"/>
        <w:ind w:firstLine="709"/>
        <w:jc w:val="both"/>
        <w:rPr>
          <w:rFonts w:ascii="Times New Roman" w:hAnsi="Times New Roman" w:eastAsia="SchoolBookSanPin"/>
        </w:rPr>
      </w:pPr>
      <w:r>
        <w:rPr>
          <w:rFonts w:ascii="Times New Roman" w:hAnsi="Times New Roman" w:eastAsia="SchoolBookSanPin"/>
        </w:rPr>
        <w:t>устанавливать причинно-следственные связи в ситуациях, поддающихся непосредственному наблюдению или знакомых по опыту, делать выводы.</w:t>
      </w:r>
    </w:p>
    <w:p w14:paraId="436E89C9">
      <w:pPr>
        <w:spacing w:after="0" w:line="352" w:lineRule="auto"/>
        <w:ind w:firstLine="709"/>
        <w:jc w:val="both"/>
        <w:rPr>
          <w:rFonts w:ascii="Times New Roman" w:hAnsi="Times New Roman" w:eastAsia="SchoolBookSanPin"/>
        </w:rPr>
      </w:pPr>
      <w:r>
        <w:rPr>
          <w:rFonts w:ascii="Times New Roman" w:hAnsi="Times New Roman" w:eastAsia="SchoolBookSanPin"/>
        </w:rPr>
        <w:t>1.8.23. Овладение базовыми исследовательскими действиями обеспечивает формирование у обучающихся умений:</w:t>
      </w:r>
    </w:p>
    <w:p w14:paraId="67A9D110">
      <w:pPr>
        <w:tabs>
          <w:tab w:val="left" w:pos="851"/>
        </w:tabs>
        <w:spacing w:after="0" w:line="352" w:lineRule="auto"/>
        <w:ind w:firstLine="709"/>
        <w:jc w:val="both"/>
        <w:rPr>
          <w:rFonts w:ascii="Times New Roman" w:hAnsi="Times New Roman" w:eastAsia="SchoolBookSanPin"/>
        </w:rPr>
      </w:pPr>
      <w:r>
        <w:rPr>
          <w:rFonts w:ascii="Times New Roman" w:hAnsi="Times New Roman" w:eastAsia="SchoolBookSanPin"/>
        </w:rPr>
        <w:t>определять разрыв между реальным и желательным состоянием объекта (ситуации) на основе предложенных учителем вопросов;</w:t>
      </w:r>
    </w:p>
    <w:p w14:paraId="45905878">
      <w:pPr>
        <w:tabs>
          <w:tab w:val="left" w:pos="851"/>
        </w:tabs>
        <w:spacing w:after="0" w:line="352" w:lineRule="auto"/>
        <w:ind w:firstLine="709"/>
        <w:jc w:val="both"/>
        <w:rPr>
          <w:rFonts w:ascii="Times New Roman" w:hAnsi="Times New Roman" w:eastAsia="SchoolBookSanPin"/>
        </w:rPr>
      </w:pPr>
      <w:r>
        <w:rPr>
          <w:rFonts w:ascii="Times New Roman" w:hAnsi="Times New Roman" w:eastAsia="SchoolBookSanPin"/>
        </w:rPr>
        <w:t>с помощью учителя формулировать цель, планировать изменения объекта, ситуации;</w:t>
      </w:r>
    </w:p>
    <w:p w14:paraId="49877C67">
      <w:pPr>
        <w:tabs>
          <w:tab w:val="left" w:pos="851"/>
        </w:tabs>
        <w:spacing w:after="0" w:line="352" w:lineRule="auto"/>
        <w:ind w:firstLine="709"/>
        <w:jc w:val="both"/>
        <w:rPr>
          <w:rFonts w:ascii="Times New Roman" w:hAnsi="Times New Roman" w:eastAsia="SchoolBookSanPin"/>
        </w:rPr>
      </w:pPr>
      <w:r>
        <w:rPr>
          <w:rFonts w:ascii="Times New Roman" w:hAnsi="Times New Roman" w:eastAsia="SchoolBookSanPin"/>
        </w:rPr>
        <w:t>сравнивать несколько вариантов решения задачи, выбирать наиболее подходящий (на основе предложенных критериев);</w:t>
      </w:r>
    </w:p>
    <w:p w14:paraId="537CBF65">
      <w:pPr>
        <w:tabs>
          <w:tab w:val="left" w:pos="851"/>
        </w:tabs>
        <w:spacing w:after="0" w:line="352" w:lineRule="auto"/>
        <w:ind w:firstLine="709"/>
        <w:jc w:val="both"/>
        <w:rPr>
          <w:rFonts w:ascii="Times New Roman" w:hAnsi="Times New Roman" w:eastAsia="SchoolBookSanPin"/>
        </w:rPr>
      </w:pPr>
      <w:r>
        <w:rPr>
          <w:rFonts w:ascii="Times New Roman" w:hAnsi="Times New Roman" w:eastAsia="SchoolBookSanPin"/>
        </w:rPr>
        <w:t>проводить по предложенному плану опыт, несложное исследование по установлению особенностей объекта изучения и связей между объектами (часть – целое, причина – следствие);</w:t>
      </w:r>
    </w:p>
    <w:p w14:paraId="6CF84C41">
      <w:pPr>
        <w:tabs>
          <w:tab w:val="left" w:pos="851"/>
        </w:tabs>
        <w:spacing w:after="0" w:line="352" w:lineRule="auto"/>
        <w:ind w:firstLine="709"/>
        <w:jc w:val="both"/>
        <w:rPr>
          <w:rFonts w:ascii="Times New Roman" w:hAnsi="Times New Roman" w:eastAsia="SchoolBookSanPin"/>
        </w:rPr>
      </w:pPr>
      <w:r>
        <w:rPr>
          <w:rFonts w:ascii="Times New Roman" w:hAnsi="Times New Roman" w:eastAsia="SchoolBookSanPin"/>
        </w:rPr>
        <w:t>формулировать выводы и подкреплять их доказательствами на основе результатов проведённого наблюдения (опыта, измерения, классификации, сравнения, исследования);</w:t>
      </w:r>
    </w:p>
    <w:p w14:paraId="45B670A2">
      <w:pPr>
        <w:tabs>
          <w:tab w:val="left" w:pos="851"/>
        </w:tabs>
        <w:spacing w:after="0" w:line="352" w:lineRule="auto"/>
        <w:ind w:firstLine="709"/>
        <w:jc w:val="both"/>
        <w:rPr>
          <w:rFonts w:ascii="Times New Roman" w:hAnsi="Times New Roman" w:eastAsia="SchoolBookSanPin"/>
        </w:rPr>
      </w:pPr>
      <w:r>
        <w:rPr>
          <w:rFonts w:ascii="Times New Roman" w:hAnsi="Times New Roman" w:eastAsia="SchoolBookSanPin"/>
        </w:rPr>
        <w:t>прогнозировать возможное развитие процессов, событий и их последствия в аналогичных или сходных ситуациях.</w:t>
      </w:r>
    </w:p>
    <w:p w14:paraId="28972FF2">
      <w:pPr>
        <w:tabs>
          <w:tab w:val="left" w:pos="851"/>
        </w:tabs>
        <w:spacing w:after="0" w:line="352" w:lineRule="auto"/>
        <w:ind w:firstLine="709"/>
        <w:jc w:val="both"/>
        <w:rPr>
          <w:rFonts w:ascii="Times New Roman" w:hAnsi="Times New Roman" w:eastAsia="SchoolBookSanPin"/>
        </w:rPr>
      </w:pPr>
      <w:r>
        <w:rPr>
          <w:rFonts w:ascii="Times New Roman" w:hAnsi="Times New Roman" w:eastAsia="SchoolBookSanPin"/>
        </w:rPr>
        <w:t>1.8.24. Работа с информацией как одно из познавательных универсальных учебных действий обеспечивает сформированность у обучающихся умений:</w:t>
      </w:r>
    </w:p>
    <w:p w14:paraId="0BA21A2F">
      <w:pPr>
        <w:tabs>
          <w:tab w:val="left" w:pos="851"/>
        </w:tabs>
        <w:spacing w:after="0" w:line="352" w:lineRule="auto"/>
        <w:ind w:firstLine="709"/>
        <w:jc w:val="both"/>
        <w:rPr>
          <w:rFonts w:ascii="Times New Roman" w:hAnsi="Times New Roman" w:eastAsia="SchoolBookSanPin"/>
        </w:rPr>
      </w:pPr>
      <w:r>
        <w:rPr>
          <w:rFonts w:ascii="Times New Roman" w:hAnsi="Times New Roman" w:eastAsia="SchoolBookSanPin"/>
        </w:rPr>
        <w:t>выбирать источник получения информации;</w:t>
      </w:r>
    </w:p>
    <w:p w14:paraId="23BEEDEE">
      <w:pPr>
        <w:tabs>
          <w:tab w:val="left" w:pos="851"/>
        </w:tabs>
        <w:spacing w:after="0" w:line="352" w:lineRule="auto"/>
        <w:ind w:firstLine="709"/>
        <w:jc w:val="both"/>
        <w:rPr>
          <w:rFonts w:ascii="Times New Roman" w:hAnsi="Times New Roman" w:eastAsia="SchoolBookSanPin"/>
        </w:rPr>
      </w:pPr>
      <w:r>
        <w:rPr>
          <w:rFonts w:ascii="Times New Roman" w:hAnsi="Times New Roman" w:eastAsia="SchoolBookSanPin"/>
        </w:rPr>
        <w:t>согласно заданному алгоритму находить в предложенном источнике информацию, представленную в явном виде;</w:t>
      </w:r>
    </w:p>
    <w:p w14:paraId="2E1C4268">
      <w:pPr>
        <w:tabs>
          <w:tab w:val="left" w:pos="851"/>
        </w:tabs>
        <w:spacing w:after="0" w:line="352" w:lineRule="auto"/>
        <w:ind w:firstLine="709"/>
        <w:jc w:val="both"/>
        <w:rPr>
          <w:rFonts w:ascii="Times New Roman" w:hAnsi="Times New Roman" w:eastAsia="SchoolBookSanPin"/>
        </w:rPr>
      </w:pPr>
      <w:r>
        <w:rPr>
          <w:rFonts w:ascii="Times New Roman" w:hAnsi="Times New Roman" w:eastAsia="SchoolBookSanPin"/>
        </w:rPr>
        <w:t>распознавать достоверную и недостоверную информацию самостоятельно или на основании предложенного учителем способа её проверки;</w:t>
      </w:r>
    </w:p>
    <w:p w14:paraId="3964D78A">
      <w:pPr>
        <w:tabs>
          <w:tab w:val="left" w:pos="851"/>
        </w:tabs>
        <w:spacing w:after="0" w:line="352" w:lineRule="auto"/>
        <w:ind w:firstLine="709"/>
        <w:jc w:val="both"/>
        <w:rPr>
          <w:rFonts w:ascii="Times New Roman" w:hAnsi="Times New Roman" w:eastAsia="SchoolBookSanPin"/>
        </w:rPr>
      </w:pPr>
      <w:r>
        <w:rPr>
          <w:rFonts w:ascii="Times New Roman" w:hAnsi="Times New Roman" w:eastAsia="SchoolBookSanPin"/>
        </w:rPr>
        <w:t>соблюдать с помощью взрослых (педагогических работников, родителей (законных представителей) несовершеннолетних обучающихся) правила информационной безопасности при поиске в информацинно-телекоммуникационной сети Интернет (далее – Интернет);</w:t>
      </w:r>
    </w:p>
    <w:p w14:paraId="10D6A521">
      <w:pPr>
        <w:tabs>
          <w:tab w:val="left" w:pos="851"/>
        </w:tabs>
        <w:spacing w:after="0" w:line="352" w:lineRule="auto"/>
        <w:ind w:firstLine="709"/>
        <w:jc w:val="both"/>
        <w:rPr>
          <w:rFonts w:ascii="Times New Roman" w:hAnsi="Times New Roman" w:eastAsia="SchoolBookSanPin"/>
        </w:rPr>
      </w:pPr>
      <w:r>
        <w:rPr>
          <w:rFonts w:ascii="Times New Roman" w:hAnsi="Times New Roman" w:eastAsia="SchoolBookSanPin"/>
        </w:rPr>
        <w:t>анализировать и создавать текстовую, видео-, графическую, звуковую информацию в соответствии с учебной задачей;</w:t>
      </w:r>
    </w:p>
    <w:p w14:paraId="505212EF">
      <w:pPr>
        <w:tabs>
          <w:tab w:val="left" w:pos="851"/>
        </w:tabs>
        <w:spacing w:after="0" w:line="352" w:lineRule="auto"/>
        <w:ind w:firstLine="709"/>
        <w:jc w:val="both"/>
        <w:rPr>
          <w:rFonts w:ascii="Times New Roman" w:hAnsi="Times New Roman" w:eastAsia="SchoolBookSanPin"/>
        </w:rPr>
      </w:pPr>
      <w:r>
        <w:rPr>
          <w:rFonts w:ascii="Times New Roman" w:hAnsi="Times New Roman" w:eastAsia="SchoolBookSanPin"/>
        </w:rPr>
        <w:t>самостоятельно создавать схемы, таблицы для представления информации.</w:t>
      </w:r>
    </w:p>
    <w:p w14:paraId="2FADB660">
      <w:pPr>
        <w:spacing w:after="0" w:line="352" w:lineRule="auto"/>
        <w:ind w:firstLine="709"/>
        <w:jc w:val="both"/>
        <w:rPr>
          <w:rFonts w:ascii="Times New Roman" w:hAnsi="Times New Roman" w:eastAsia="SchoolBookSanPin"/>
        </w:rPr>
      </w:pPr>
      <w:r>
        <w:rPr>
          <w:rFonts w:ascii="Times New Roman" w:hAnsi="Times New Roman" w:eastAsia="SchoolBookSanPin"/>
        </w:rPr>
        <w:t>1.8.25. Овладение универсальными учебными коммуникативными действиями предполагает формирование и оценку у обучающихся таких групп умений, как общение и совместная деятельность.</w:t>
      </w:r>
    </w:p>
    <w:p w14:paraId="18E99B9F">
      <w:pPr>
        <w:spacing w:after="0" w:line="352" w:lineRule="auto"/>
        <w:ind w:firstLine="709"/>
        <w:jc w:val="both"/>
        <w:rPr>
          <w:rFonts w:ascii="Times New Roman" w:hAnsi="Times New Roman" w:eastAsia="SchoolBookSanPin"/>
        </w:rPr>
      </w:pPr>
      <w:r>
        <w:rPr>
          <w:rFonts w:ascii="Times New Roman" w:hAnsi="Times New Roman" w:eastAsia="SchoolBookSanPin"/>
        </w:rPr>
        <w:t>1.8.26. Общение как одно из коммуникативных универсальных учебных действий обеспечивает сформированность у обучающихся умений:</w:t>
      </w:r>
    </w:p>
    <w:p w14:paraId="72CDE658">
      <w:pPr>
        <w:tabs>
          <w:tab w:val="left" w:pos="851"/>
        </w:tabs>
        <w:spacing w:after="0" w:line="352" w:lineRule="auto"/>
        <w:ind w:firstLine="709"/>
        <w:jc w:val="both"/>
        <w:rPr>
          <w:rFonts w:ascii="Times New Roman" w:hAnsi="Times New Roman" w:eastAsia="SchoolBookSanPin"/>
        </w:rPr>
      </w:pPr>
      <w:r>
        <w:rPr>
          <w:rFonts w:ascii="Times New Roman" w:hAnsi="Times New Roman" w:eastAsia="SchoolBookSanPin"/>
        </w:rPr>
        <w:t>воспринимать и формулировать суждения, выражать эмоции в соответствии с целями и условиями общения в знакомой среде;</w:t>
      </w:r>
    </w:p>
    <w:p w14:paraId="5CB785F1">
      <w:pPr>
        <w:tabs>
          <w:tab w:val="left" w:pos="851"/>
        </w:tabs>
        <w:spacing w:after="0" w:line="352" w:lineRule="auto"/>
        <w:ind w:firstLine="709"/>
        <w:jc w:val="both"/>
        <w:rPr>
          <w:rFonts w:ascii="Times New Roman" w:hAnsi="Times New Roman" w:eastAsia="SchoolBookSanPin"/>
        </w:rPr>
      </w:pPr>
      <w:r>
        <w:rPr>
          <w:rFonts w:ascii="Times New Roman" w:hAnsi="Times New Roman" w:eastAsia="SchoolBookSanPin"/>
        </w:rPr>
        <w:t>проявлять уважительное отношение к собеседнику, соблюдать правила ведения диалога и дискуссии; признавать возможность существования разных точек зрения;</w:t>
      </w:r>
    </w:p>
    <w:p w14:paraId="42594893">
      <w:pPr>
        <w:tabs>
          <w:tab w:val="left" w:pos="851"/>
        </w:tabs>
        <w:spacing w:after="0" w:line="352" w:lineRule="auto"/>
        <w:ind w:firstLine="709"/>
        <w:jc w:val="both"/>
        <w:rPr>
          <w:rFonts w:ascii="Times New Roman" w:hAnsi="Times New Roman" w:eastAsia="SchoolBookSanPin"/>
        </w:rPr>
      </w:pPr>
      <w:r>
        <w:rPr>
          <w:rFonts w:ascii="Times New Roman" w:hAnsi="Times New Roman" w:eastAsia="SchoolBookSanPin"/>
        </w:rPr>
        <w:t>корректно и аргументированно высказывать своё мнение;</w:t>
      </w:r>
    </w:p>
    <w:p w14:paraId="029C843E">
      <w:pPr>
        <w:tabs>
          <w:tab w:val="left" w:pos="851"/>
        </w:tabs>
        <w:spacing w:after="0" w:line="352" w:lineRule="auto"/>
        <w:ind w:firstLine="709"/>
        <w:jc w:val="both"/>
        <w:rPr>
          <w:rFonts w:ascii="Times New Roman" w:hAnsi="Times New Roman" w:eastAsia="SchoolBookSanPin"/>
        </w:rPr>
      </w:pPr>
      <w:r>
        <w:rPr>
          <w:rFonts w:ascii="Times New Roman" w:hAnsi="Times New Roman" w:eastAsia="SchoolBookSanPin"/>
        </w:rPr>
        <w:t>строить речевое высказывание в соответствии с поставленной задачей;</w:t>
      </w:r>
    </w:p>
    <w:p w14:paraId="4CDA3C76">
      <w:pPr>
        <w:tabs>
          <w:tab w:val="left" w:pos="851"/>
        </w:tabs>
        <w:spacing w:after="0" w:line="352" w:lineRule="auto"/>
        <w:ind w:firstLine="709"/>
        <w:jc w:val="both"/>
        <w:rPr>
          <w:rFonts w:ascii="Times New Roman" w:hAnsi="Times New Roman" w:eastAsia="SchoolBookSanPin"/>
        </w:rPr>
      </w:pPr>
      <w:r>
        <w:rPr>
          <w:rFonts w:ascii="Times New Roman" w:hAnsi="Times New Roman" w:eastAsia="SchoolBookSanPin"/>
        </w:rPr>
        <w:t>создавать устные и письменные тексты (описание, рассуждение, повествование);</w:t>
      </w:r>
    </w:p>
    <w:p w14:paraId="1F8A8765">
      <w:pPr>
        <w:tabs>
          <w:tab w:val="left" w:pos="851"/>
        </w:tabs>
        <w:spacing w:after="0" w:line="352" w:lineRule="auto"/>
        <w:ind w:firstLine="709"/>
        <w:jc w:val="both"/>
        <w:rPr>
          <w:rFonts w:ascii="Times New Roman" w:hAnsi="Times New Roman" w:eastAsia="SchoolBookSanPin"/>
        </w:rPr>
      </w:pPr>
      <w:r>
        <w:rPr>
          <w:rFonts w:ascii="Times New Roman" w:hAnsi="Times New Roman" w:eastAsia="SchoolBookSanPin"/>
        </w:rPr>
        <w:t>подготавливать небольшие публичные выступления;</w:t>
      </w:r>
    </w:p>
    <w:p w14:paraId="2DEFAACC">
      <w:pPr>
        <w:tabs>
          <w:tab w:val="left" w:pos="851"/>
        </w:tabs>
        <w:spacing w:after="0" w:line="352" w:lineRule="auto"/>
        <w:ind w:firstLine="709"/>
        <w:jc w:val="both"/>
        <w:rPr>
          <w:rFonts w:ascii="Times New Roman" w:hAnsi="Times New Roman" w:eastAsia="SchoolBookSanPin"/>
        </w:rPr>
      </w:pPr>
      <w:r>
        <w:rPr>
          <w:rFonts w:ascii="Times New Roman" w:hAnsi="Times New Roman" w:eastAsia="SchoolBookSanPin"/>
        </w:rPr>
        <w:t>подбирать иллюстративный материал (рисунки, фото, плакаты) к тексту выступления.</w:t>
      </w:r>
    </w:p>
    <w:p w14:paraId="0D09A8B3">
      <w:pPr>
        <w:spacing w:after="0" w:line="352" w:lineRule="auto"/>
        <w:ind w:firstLine="709"/>
        <w:jc w:val="both"/>
        <w:rPr>
          <w:rFonts w:ascii="Times New Roman" w:hAnsi="Times New Roman" w:eastAsia="SchoolBookSanPin"/>
        </w:rPr>
      </w:pPr>
      <w:r>
        <w:rPr>
          <w:rFonts w:ascii="Times New Roman" w:hAnsi="Times New Roman" w:eastAsia="SchoolBookSanPin"/>
        </w:rPr>
        <w:t>1.8.27. Совместная деятельность как одно из коммуникативных универсальных учебных действий обеспечивает сформированность у обучающихся умений:</w:t>
      </w:r>
    </w:p>
    <w:p w14:paraId="69BD3613">
      <w:pPr>
        <w:tabs>
          <w:tab w:val="left" w:pos="851"/>
        </w:tabs>
        <w:spacing w:after="0" w:line="352" w:lineRule="auto"/>
        <w:ind w:firstLine="709"/>
        <w:jc w:val="both"/>
        <w:rPr>
          <w:rFonts w:ascii="Times New Roman" w:hAnsi="Times New Roman" w:eastAsia="SchoolBookSanPin"/>
        </w:rPr>
      </w:pPr>
      <w:r>
        <w:rPr>
          <w:rFonts w:ascii="Times New Roman" w:hAnsi="Times New Roman" w:eastAsia="SchoolBookSanPin"/>
        </w:rPr>
        <w:t>формулировать краткосрочные и долгосрочные цели (индивидуальные с учётом участия в коллективных задачах) в стандартной (типовой) ситуации на основе предложенного формата планирования, распределения промежуточных шагов и сроков;</w:t>
      </w:r>
    </w:p>
    <w:p w14:paraId="7FE81F8A">
      <w:pPr>
        <w:tabs>
          <w:tab w:val="left" w:pos="851"/>
        </w:tabs>
        <w:spacing w:after="0" w:line="352" w:lineRule="auto"/>
        <w:ind w:firstLine="709"/>
        <w:jc w:val="both"/>
        <w:rPr>
          <w:rFonts w:ascii="Times New Roman" w:hAnsi="Times New Roman" w:eastAsia="SchoolBookSanPin"/>
        </w:rPr>
      </w:pPr>
      <w:r>
        <w:rPr>
          <w:rFonts w:ascii="Times New Roman" w:hAnsi="Times New Roman" w:eastAsia="SchoolBookSanPin"/>
        </w:rPr>
        <w:t>принимать цель совместной деятельности, коллективно строить действия по её достижению: распределять роли, договариваться, обсуждать процесс и результат совместной работы; проявлять готовность руководить, выполнять поручения, подчиняться;</w:t>
      </w:r>
    </w:p>
    <w:p w14:paraId="5C7E95BC">
      <w:pPr>
        <w:tabs>
          <w:tab w:val="left" w:pos="851"/>
        </w:tabs>
        <w:spacing w:after="0" w:line="352" w:lineRule="auto"/>
        <w:ind w:firstLine="709"/>
        <w:jc w:val="both"/>
        <w:rPr>
          <w:rFonts w:ascii="Times New Roman" w:hAnsi="Times New Roman" w:eastAsia="SchoolBookSanPin"/>
        </w:rPr>
      </w:pPr>
      <w:r>
        <w:rPr>
          <w:rFonts w:ascii="Times New Roman" w:hAnsi="Times New Roman" w:eastAsia="SchoolBookSanPin"/>
        </w:rPr>
        <w:t>ответственно выполнять свою часть работы;</w:t>
      </w:r>
    </w:p>
    <w:p w14:paraId="00BCE9FD">
      <w:pPr>
        <w:tabs>
          <w:tab w:val="left" w:pos="851"/>
        </w:tabs>
        <w:spacing w:after="0" w:line="352" w:lineRule="auto"/>
        <w:ind w:firstLine="709"/>
        <w:jc w:val="both"/>
        <w:rPr>
          <w:rFonts w:ascii="Times New Roman" w:hAnsi="Times New Roman" w:eastAsia="SchoolBookSanPin"/>
        </w:rPr>
      </w:pPr>
      <w:r>
        <w:rPr>
          <w:rFonts w:ascii="Times New Roman" w:hAnsi="Times New Roman" w:eastAsia="SchoolBookSanPin"/>
        </w:rPr>
        <w:t>оценивать свой вклад в общий результат;</w:t>
      </w:r>
    </w:p>
    <w:p w14:paraId="638A905E">
      <w:pPr>
        <w:tabs>
          <w:tab w:val="left" w:pos="851"/>
        </w:tabs>
        <w:spacing w:after="0" w:line="352" w:lineRule="auto"/>
        <w:ind w:firstLine="709"/>
        <w:jc w:val="both"/>
        <w:rPr>
          <w:rFonts w:ascii="Times New Roman" w:hAnsi="Times New Roman" w:eastAsia="SchoolBookSanPin"/>
        </w:rPr>
      </w:pPr>
      <w:r>
        <w:rPr>
          <w:rFonts w:ascii="Times New Roman" w:hAnsi="Times New Roman" w:eastAsia="SchoolBookSanPin"/>
        </w:rPr>
        <w:t>выполнять совместные проектные задания с использованием предложенных образцов.</w:t>
      </w:r>
    </w:p>
    <w:p w14:paraId="25E4014C">
      <w:pPr>
        <w:tabs>
          <w:tab w:val="left" w:pos="851"/>
        </w:tabs>
        <w:spacing w:after="0" w:line="352" w:lineRule="auto"/>
        <w:ind w:firstLine="709"/>
        <w:jc w:val="both"/>
        <w:rPr>
          <w:rFonts w:ascii="Times New Roman" w:hAnsi="Times New Roman" w:eastAsia="SchoolBookSanPin"/>
        </w:rPr>
      </w:pPr>
      <w:r>
        <w:rPr>
          <w:rFonts w:ascii="Times New Roman" w:hAnsi="Times New Roman" w:eastAsia="SchoolBookSanPin"/>
        </w:rPr>
        <w:t>1.8.28. Овладение регулятивными универсальными учебными действиями согласно ФГОС НОО предполагает формирование и оценку у обучающихся умений самоорганизации (планировать действия по решению учебной задачи для получения результата, выстраивать последовательность выбранных действий) и самоконтроля (устанавливать причины успеха (неудач) в учебной деятельности, корректировать свои учебные действия для преодоления ошибок).</w:t>
      </w:r>
    </w:p>
    <w:p w14:paraId="3510E5AF">
      <w:pPr>
        <w:pStyle w:val="85"/>
        <w:spacing w:before="200"/>
        <w:ind w:firstLine="540"/>
        <w:jc w:val="both"/>
        <w:rPr>
          <w:color w:val="auto"/>
          <w:sz w:val="22"/>
          <w:szCs w:val="22"/>
        </w:rPr>
      </w:pPr>
      <w:r>
        <w:rPr>
          <w:rFonts w:eastAsia="SchoolBookSanPin"/>
          <w:color w:val="auto"/>
          <w:sz w:val="22"/>
          <w:szCs w:val="22"/>
        </w:rPr>
        <w:t>1.8.29. </w:t>
      </w:r>
      <w:r>
        <w:rPr>
          <w:color w:val="auto"/>
          <w:sz w:val="22"/>
          <w:szCs w:val="22"/>
        </w:rPr>
        <w:t>В федеральных и региональных процедурах оценки качества образования используется перечень (кодификатор) проверяемых требований к метапредметным результатам освоения основной образовательной программы начального общего образования</w:t>
      </w:r>
    </w:p>
    <w:p w14:paraId="22FCA687">
      <w:pPr>
        <w:pStyle w:val="85"/>
        <w:ind w:firstLine="540"/>
        <w:jc w:val="both"/>
        <w:rPr>
          <w:color w:val="auto"/>
          <w:sz w:val="22"/>
          <w:szCs w:val="22"/>
        </w:rPr>
      </w:pPr>
    </w:p>
    <w:p w14:paraId="26CC312B">
      <w:pPr>
        <w:pStyle w:val="85"/>
        <w:jc w:val="right"/>
        <w:rPr>
          <w:color w:val="auto"/>
          <w:sz w:val="22"/>
          <w:szCs w:val="22"/>
        </w:rPr>
      </w:pPr>
      <w:r>
        <w:rPr>
          <w:color w:val="auto"/>
          <w:sz w:val="22"/>
          <w:szCs w:val="22"/>
        </w:rPr>
        <w:t>Таблица 1</w:t>
      </w:r>
    </w:p>
    <w:p w14:paraId="0919F30C">
      <w:pPr>
        <w:pStyle w:val="85"/>
        <w:ind w:firstLine="540"/>
        <w:jc w:val="both"/>
        <w:rPr>
          <w:color w:val="auto"/>
          <w:sz w:val="22"/>
          <w:szCs w:val="22"/>
        </w:rPr>
      </w:pPr>
    </w:p>
    <w:p w14:paraId="0D892DCC">
      <w:pPr>
        <w:pStyle w:val="85"/>
        <w:jc w:val="center"/>
        <w:rPr>
          <w:color w:val="auto"/>
          <w:sz w:val="22"/>
          <w:szCs w:val="22"/>
        </w:rPr>
      </w:pPr>
      <w:r>
        <w:rPr>
          <w:color w:val="auto"/>
          <w:sz w:val="22"/>
          <w:szCs w:val="22"/>
        </w:rPr>
        <w:t>Перечень (кодификатор) проверяемых</w:t>
      </w:r>
    </w:p>
    <w:p w14:paraId="631E3149">
      <w:pPr>
        <w:pStyle w:val="85"/>
        <w:jc w:val="center"/>
        <w:rPr>
          <w:color w:val="auto"/>
          <w:sz w:val="22"/>
          <w:szCs w:val="22"/>
        </w:rPr>
      </w:pPr>
      <w:r>
        <w:rPr>
          <w:color w:val="auto"/>
          <w:sz w:val="22"/>
          <w:szCs w:val="22"/>
        </w:rPr>
        <w:t>требований к метапредметным результатам освоения основной</w:t>
      </w:r>
    </w:p>
    <w:p w14:paraId="342C5D70">
      <w:pPr>
        <w:pStyle w:val="85"/>
        <w:jc w:val="center"/>
        <w:rPr>
          <w:color w:val="auto"/>
          <w:sz w:val="22"/>
          <w:szCs w:val="22"/>
        </w:rPr>
      </w:pPr>
      <w:r>
        <w:rPr>
          <w:color w:val="auto"/>
          <w:sz w:val="22"/>
          <w:szCs w:val="22"/>
        </w:rPr>
        <w:t>образовательной программы начального общего образования</w:t>
      </w:r>
    </w:p>
    <w:p w14:paraId="6FF8D511">
      <w:pPr>
        <w:pStyle w:val="85"/>
        <w:ind w:firstLine="540"/>
        <w:jc w:val="both"/>
        <w:rPr>
          <w:color w:val="auto"/>
          <w:sz w:val="22"/>
          <w:szCs w:val="22"/>
        </w:rPr>
      </w:pPr>
    </w:p>
    <w:tbl>
      <w:tblPr>
        <w:tblStyle w:val="1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02" w:type="dxa"/>
          <w:left w:w="62" w:type="dxa"/>
          <w:bottom w:w="102" w:type="dxa"/>
          <w:right w:w="62" w:type="dxa"/>
        </w:tblCellMar>
      </w:tblPr>
      <w:tblGrid>
        <w:gridCol w:w="1701"/>
        <w:gridCol w:w="7370"/>
      </w:tblGrid>
      <w:tr w14:paraId="4872AE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701" w:type="dxa"/>
          </w:tcPr>
          <w:p w14:paraId="06D024D1">
            <w:pPr>
              <w:pStyle w:val="85"/>
              <w:jc w:val="center"/>
              <w:rPr>
                <w:color w:val="auto"/>
                <w:sz w:val="22"/>
                <w:szCs w:val="22"/>
              </w:rPr>
            </w:pPr>
            <w:r>
              <w:rPr>
                <w:color w:val="auto"/>
                <w:sz w:val="22"/>
                <w:szCs w:val="22"/>
              </w:rPr>
              <w:t>Код проверяемого требования</w:t>
            </w:r>
          </w:p>
        </w:tc>
        <w:tc>
          <w:tcPr>
            <w:tcW w:w="7370" w:type="dxa"/>
          </w:tcPr>
          <w:p w14:paraId="02931642">
            <w:pPr>
              <w:pStyle w:val="85"/>
              <w:jc w:val="center"/>
              <w:rPr>
                <w:color w:val="auto"/>
                <w:sz w:val="22"/>
                <w:szCs w:val="22"/>
              </w:rPr>
            </w:pPr>
            <w:r>
              <w:rPr>
                <w:color w:val="auto"/>
                <w:sz w:val="22"/>
                <w:szCs w:val="22"/>
              </w:rPr>
              <w:t>Проверяемые требования к метапредметным результатам освоения основной образовательной программы начального общего образования</w:t>
            </w:r>
          </w:p>
        </w:tc>
      </w:tr>
      <w:tr w14:paraId="74C1E8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701" w:type="dxa"/>
            <w:vAlign w:val="center"/>
          </w:tcPr>
          <w:p w14:paraId="657B99AD">
            <w:pPr>
              <w:pStyle w:val="85"/>
              <w:jc w:val="center"/>
              <w:rPr>
                <w:color w:val="auto"/>
                <w:sz w:val="22"/>
                <w:szCs w:val="22"/>
              </w:rPr>
            </w:pPr>
            <w:r>
              <w:rPr>
                <w:color w:val="auto"/>
                <w:sz w:val="22"/>
                <w:szCs w:val="22"/>
              </w:rPr>
              <w:t>1</w:t>
            </w:r>
          </w:p>
        </w:tc>
        <w:tc>
          <w:tcPr>
            <w:tcW w:w="7370" w:type="dxa"/>
          </w:tcPr>
          <w:p w14:paraId="6CD89F95">
            <w:pPr>
              <w:pStyle w:val="85"/>
              <w:jc w:val="both"/>
              <w:rPr>
                <w:color w:val="auto"/>
                <w:sz w:val="22"/>
                <w:szCs w:val="22"/>
              </w:rPr>
            </w:pPr>
            <w:r>
              <w:rPr>
                <w:color w:val="auto"/>
                <w:sz w:val="22"/>
                <w:szCs w:val="22"/>
              </w:rPr>
              <w:t>Познавательные УУД</w:t>
            </w:r>
          </w:p>
        </w:tc>
      </w:tr>
      <w:tr w14:paraId="443CF5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701" w:type="dxa"/>
            <w:vAlign w:val="center"/>
          </w:tcPr>
          <w:p w14:paraId="20D548C9">
            <w:pPr>
              <w:pStyle w:val="85"/>
              <w:jc w:val="center"/>
              <w:rPr>
                <w:color w:val="auto"/>
                <w:sz w:val="22"/>
                <w:szCs w:val="22"/>
              </w:rPr>
            </w:pPr>
            <w:r>
              <w:rPr>
                <w:color w:val="auto"/>
                <w:sz w:val="22"/>
                <w:szCs w:val="22"/>
              </w:rPr>
              <w:t>1.1</w:t>
            </w:r>
          </w:p>
        </w:tc>
        <w:tc>
          <w:tcPr>
            <w:tcW w:w="7370" w:type="dxa"/>
          </w:tcPr>
          <w:p w14:paraId="031EC4B4">
            <w:pPr>
              <w:pStyle w:val="85"/>
              <w:jc w:val="both"/>
              <w:rPr>
                <w:color w:val="auto"/>
                <w:sz w:val="22"/>
                <w:szCs w:val="22"/>
              </w:rPr>
            </w:pPr>
            <w:r>
              <w:rPr>
                <w:color w:val="auto"/>
                <w:sz w:val="22"/>
                <w:szCs w:val="22"/>
              </w:rPr>
              <w:t>Базовые логические действия</w:t>
            </w:r>
          </w:p>
        </w:tc>
      </w:tr>
      <w:tr w14:paraId="374519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701" w:type="dxa"/>
          </w:tcPr>
          <w:p w14:paraId="15760624">
            <w:pPr>
              <w:pStyle w:val="85"/>
              <w:jc w:val="center"/>
              <w:rPr>
                <w:color w:val="auto"/>
                <w:sz w:val="22"/>
                <w:szCs w:val="22"/>
              </w:rPr>
            </w:pPr>
            <w:r>
              <w:rPr>
                <w:color w:val="auto"/>
                <w:sz w:val="22"/>
                <w:szCs w:val="22"/>
              </w:rPr>
              <w:t>1.1.1</w:t>
            </w:r>
          </w:p>
        </w:tc>
        <w:tc>
          <w:tcPr>
            <w:tcW w:w="7370" w:type="dxa"/>
          </w:tcPr>
          <w:p w14:paraId="18ED696C">
            <w:pPr>
              <w:pStyle w:val="85"/>
              <w:jc w:val="both"/>
              <w:rPr>
                <w:color w:val="auto"/>
                <w:sz w:val="22"/>
                <w:szCs w:val="22"/>
              </w:rPr>
            </w:pPr>
            <w:r>
              <w:rPr>
                <w:color w:val="auto"/>
                <w:sz w:val="22"/>
                <w:szCs w:val="22"/>
              </w:rPr>
              <w:t>Сравнивать объекты, устанавливать основания для сравнения, устанавливать аналогии</w:t>
            </w:r>
          </w:p>
        </w:tc>
      </w:tr>
      <w:tr w14:paraId="088F22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701" w:type="dxa"/>
          </w:tcPr>
          <w:p w14:paraId="42902E07">
            <w:pPr>
              <w:pStyle w:val="85"/>
              <w:jc w:val="center"/>
              <w:rPr>
                <w:color w:val="auto"/>
                <w:sz w:val="22"/>
                <w:szCs w:val="22"/>
              </w:rPr>
            </w:pPr>
            <w:r>
              <w:rPr>
                <w:color w:val="auto"/>
                <w:sz w:val="22"/>
                <w:szCs w:val="22"/>
              </w:rPr>
              <w:t>1.1.2</w:t>
            </w:r>
          </w:p>
        </w:tc>
        <w:tc>
          <w:tcPr>
            <w:tcW w:w="7370" w:type="dxa"/>
          </w:tcPr>
          <w:p w14:paraId="7C032860">
            <w:pPr>
              <w:pStyle w:val="85"/>
              <w:jc w:val="both"/>
              <w:rPr>
                <w:color w:val="auto"/>
                <w:sz w:val="22"/>
                <w:szCs w:val="22"/>
              </w:rPr>
            </w:pPr>
            <w:r>
              <w:rPr>
                <w:color w:val="auto"/>
                <w:sz w:val="22"/>
                <w:szCs w:val="22"/>
              </w:rPr>
              <w:t>Объединять части объекта (объекты) по определенному признаку; определять существенный признак для классификации, классифицировать предложенные объекты</w:t>
            </w:r>
          </w:p>
        </w:tc>
      </w:tr>
      <w:tr w14:paraId="2055AC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701" w:type="dxa"/>
          </w:tcPr>
          <w:p w14:paraId="6F9B6A7B">
            <w:pPr>
              <w:pStyle w:val="85"/>
              <w:jc w:val="center"/>
              <w:rPr>
                <w:color w:val="auto"/>
                <w:sz w:val="22"/>
                <w:szCs w:val="22"/>
              </w:rPr>
            </w:pPr>
            <w:r>
              <w:rPr>
                <w:color w:val="auto"/>
                <w:sz w:val="22"/>
                <w:szCs w:val="22"/>
              </w:rPr>
              <w:t>1.1.3</w:t>
            </w:r>
          </w:p>
        </w:tc>
        <w:tc>
          <w:tcPr>
            <w:tcW w:w="7370" w:type="dxa"/>
          </w:tcPr>
          <w:p w14:paraId="39460791">
            <w:pPr>
              <w:pStyle w:val="85"/>
              <w:jc w:val="both"/>
              <w:rPr>
                <w:color w:val="auto"/>
                <w:sz w:val="22"/>
                <w:szCs w:val="22"/>
              </w:rPr>
            </w:pPr>
            <w:r>
              <w:rPr>
                <w:color w:val="auto"/>
                <w:sz w:val="22"/>
                <w:szCs w:val="22"/>
              </w:rPr>
              <w:t>Находить закономерности и противоречия в рассматриваемых фактах, данных и наблюдениях на основе предложенного педагогическим работником алгоритма;</w:t>
            </w:r>
          </w:p>
          <w:p w14:paraId="165A4C6A">
            <w:pPr>
              <w:pStyle w:val="85"/>
              <w:jc w:val="both"/>
              <w:rPr>
                <w:color w:val="auto"/>
                <w:sz w:val="22"/>
                <w:szCs w:val="22"/>
              </w:rPr>
            </w:pPr>
            <w:r>
              <w:rPr>
                <w:color w:val="auto"/>
                <w:sz w:val="22"/>
                <w:szCs w:val="22"/>
              </w:rPr>
              <w:t>выявлять недостаток информации для решения учебной (практической) задачи на основе предложенного алгоритма</w:t>
            </w:r>
          </w:p>
        </w:tc>
      </w:tr>
      <w:tr w14:paraId="1FD1AA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701" w:type="dxa"/>
          </w:tcPr>
          <w:p w14:paraId="77A46905">
            <w:pPr>
              <w:pStyle w:val="85"/>
              <w:jc w:val="center"/>
              <w:rPr>
                <w:color w:val="auto"/>
                <w:sz w:val="22"/>
                <w:szCs w:val="22"/>
              </w:rPr>
            </w:pPr>
            <w:r>
              <w:rPr>
                <w:color w:val="auto"/>
                <w:sz w:val="22"/>
                <w:szCs w:val="22"/>
              </w:rPr>
              <w:t>1.1.4</w:t>
            </w:r>
          </w:p>
        </w:tc>
        <w:tc>
          <w:tcPr>
            <w:tcW w:w="7370" w:type="dxa"/>
          </w:tcPr>
          <w:p w14:paraId="6DA1A927">
            <w:pPr>
              <w:pStyle w:val="85"/>
              <w:jc w:val="both"/>
              <w:rPr>
                <w:color w:val="auto"/>
                <w:sz w:val="22"/>
                <w:szCs w:val="22"/>
              </w:rPr>
            </w:pPr>
            <w:r>
              <w:rPr>
                <w:color w:val="auto"/>
                <w:sz w:val="22"/>
                <w:szCs w:val="22"/>
              </w:rPr>
              <w:t>Устанавливать причинно-следственные связи в ситуациях, поддающихся непосредственному наблюдению или знакомых по опыту, делать выводы</w:t>
            </w:r>
          </w:p>
        </w:tc>
      </w:tr>
      <w:tr w14:paraId="293CA4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701" w:type="dxa"/>
          </w:tcPr>
          <w:p w14:paraId="5DFA2271">
            <w:pPr>
              <w:pStyle w:val="85"/>
              <w:jc w:val="center"/>
              <w:rPr>
                <w:color w:val="auto"/>
                <w:sz w:val="22"/>
                <w:szCs w:val="22"/>
              </w:rPr>
            </w:pPr>
            <w:r>
              <w:rPr>
                <w:color w:val="auto"/>
                <w:sz w:val="22"/>
                <w:szCs w:val="22"/>
              </w:rPr>
              <w:t>1.2</w:t>
            </w:r>
          </w:p>
        </w:tc>
        <w:tc>
          <w:tcPr>
            <w:tcW w:w="7370" w:type="dxa"/>
          </w:tcPr>
          <w:p w14:paraId="1353E612">
            <w:pPr>
              <w:pStyle w:val="85"/>
              <w:jc w:val="both"/>
              <w:rPr>
                <w:color w:val="auto"/>
                <w:sz w:val="22"/>
                <w:szCs w:val="22"/>
              </w:rPr>
            </w:pPr>
            <w:r>
              <w:rPr>
                <w:color w:val="auto"/>
                <w:sz w:val="22"/>
                <w:szCs w:val="22"/>
              </w:rPr>
              <w:t>Базовые исследовательские действия</w:t>
            </w:r>
          </w:p>
        </w:tc>
      </w:tr>
      <w:tr w14:paraId="1BB006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701" w:type="dxa"/>
          </w:tcPr>
          <w:p w14:paraId="45094D5B">
            <w:pPr>
              <w:pStyle w:val="85"/>
              <w:jc w:val="center"/>
              <w:rPr>
                <w:color w:val="auto"/>
                <w:sz w:val="22"/>
                <w:szCs w:val="22"/>
              </w:rPr>
            </w:pPr>
            <w:r>
              <w:rPr>
                <w:color w:val="auto"/>
                <w:sz w:val="22"/>
                <w:szCs w:val="22"/>
              </w:rPr>
              <w:t>1.2.1</w:t>
            </w:r>
          </w:p>
        </w:tc>
        <w:tc>
          <w:tcPr>
            <w:tcW w:w="7370" w:type="dxa"/>
          </w:tcPr>
          <w:p w14:paraId="5880FE91">
            <w:pPr>
              <w:pStyle w:val="85"/>
              <w:jc w:val="both"/>
              <w:rPr>
                <w:color w:val="auto"/>
                <w:sz w:val="22"/>
                <w:szCs w:val="22"/>
              </w:rPr>
            </w:pPr>
            <w:r>
              <w:rPr>
                <w:color w:val="auto"/>
                <w:sz w:val="22"/>
                <w:szCs w:val="22"/>
              </w:rPr>
              <w:t>Определять разрыв между реальным и желательным состоянием объекта (ситуации) на основе предложенных педагогическим работником вопросов;</w:t>
            </w:r>
          </w:p>
          <w:p w14:paraId="34F96098">
            <w:pPr>
              <w:pStyle w:val="85"/>
              <w:jc w:val="both"/>
              <w:rPr>
                <w:color w:val="auto"/>
                <w:sz w:val="22"/>
                <w:szCs w:val="22"/>
              </w:rPr>
            </w:pPr>
            <w:r>
              <w:rPr>
                <w:color w:val="auto"/>
                <w:sz w:val="22"/>
                <w:szCs w:val="22"/>
              </w:rPr>
              <w:t>с помощью педагогического работника формулировать цель, планировать изменения объекта, ситуации</w:t>
            </w:r>
          </w:p>
        </w:tc>
      </w:tr>
      <w:tr w14:paraId="2FEE42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701" w:type="dxa"/>
          </w:tcPr>
          <w:p w14:paraId="4054C9AA">
            <w:pPr>
              <w:pStyle w:val="85"/>
              <w:jc w:val="center"/>
              <w:rPr>
                <w:color w:val="auto"/>
                <w:sz w:val="22"/>
                <w:szCs w:val="22"/>
              </w:rPr>
            </w:pPr>
            <w:r>
              <w:rPr>
                <w:color w:val="auto"/>
                <w:sz w:val="22"/>
                <w:szCs w:val="22"/>
              </w:rPr>
              <w:t>1.2.2</w:t>
            </w:r>
          </w:p>
        </w:tc>
        <w:tc>
          <w:tcPr>
            <w:tcW w:w="7370" w:type="dxa"/>
          </w:tcPr>
          <w:p w14:paraId="3B5D79C5">
            <w:pPr>
              <w:pStyle w:val="85"/>
              <w:jc w:val="both"/>
              <w:rPr>
                <w:color w:val="auto"/>
                <w:sz w:val="22"/>
                <w:szCs w:val="22"/>
              </w:rPr>
            </w:pPr>
            <w:r>
              <w:rPr>
                <w:color w:val="auto"/>
                <w:sz w:val="22"/>
                <w:szCs w:val="22"/>
              </w:rPr>
              <w:t>Сравнивать несколько вариантов решения задачи, выбирать наиболее подходящий (на основе предложенных критериев)</w:t>
            </w:r>
          </w:p>
        </w:tc>
      </w:tr>
      <w:tr w14:paraId="47D826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701" w:type="dxa"/>
          </w:tcPr>
          <w:p w14:paraId="33626EF7">
            <w:pPr>
              <w:pStyle w:val="85"/>
              <w:jc w:val="center"/>
              <w:rPr>
                <w:color w:val="auto"/>
                <w:sz w:val="22"/>
                <w:szCs w:val="22"/>
              </w:rPr>
            </w:pPr>
            <w:r>
              <w:rPr>
                <w:color w:val="auto"/>
                <w:sz w:val="22"/>
                <w:szCs w:val="22"/>
              </w:rPr>
              <w:t>1.2.3</w:t>
            </w:r>
          </w:p>
        </w:tc>
        <w:tc>
          <w:tcPr>
            <w:tcW w:w="7370" w:type="dxa"/>
          </w:tcPr>
          <w:p w14:paraId="0F8FD717">
            <w:pPr>
              <w:pStyle w:val="85"/>
              <w:jc w:val="both"/>
              <w:rPr>
                <w:color w:val="auto"/>
                <w:sz w:val="22"/>
                <w:szCs w:val="22"/>
              </w:rPr>
            </w:pPr>
            <w:r>
              <w:rPr>
                <w:color w:val="auto"/>
                <w:sz w:val="22"/>
                <w:szCs w:val="22"/>
              </w:rPr>
              <w:t>Проводить по предложенному плану опыт, несложное исследование по установлению особенностей объекта изучения и связей между объектами (часть - целое, причина - следствие)</w:t>
            </w:r>
          </w:p>
        </w:tc>
      </w:tr>
      <w:tr w14:paraId="075166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701" w:type="dxa"/>
          </w:tcPr>
          <w:p w14:paraId="1FF5A201">
            <w:pPr>
              <w:pStyle w:val="85"/>
              <w:jc w:val="center"/>
              <w:rPr>
                <w:color w:val="auto"/>
                <w:sz w:val="22"/>
                <w:szCs w:val="22"/>
              </w:rPr>
            </w:pPr>
            <w:r>
              <w:rPr>
                <w:color w:val="auto"/>
                <w:sz w:val="22"/>
                <w:szCs w:val="22"/>
              </w:rPr>
              <w:t>1.2.4</w:t>
            </w:r>
          </w:p>
        </w:tc>
        <w:tc>
          <w:tcPr>
            <w:tcW w:w="7370" w:type="dxa"/>
          </w:tcPr>
          <w:p w14:paraId="6FB0F00A">
            <w:pPr>
              <w:pStyle w:val="85"/>
              <w:jc w:val="both"/>
              <w:rPr>
                <w:color w:val="auto"/>
                <w:sz w:val="22"/>
                <w:szCs w:val="22"/>
              </w:rPr>
            </w:pPr>
            <w:r>
              <w:rPr>
                <w:color w:val="auto"/>
                <w:sz w:val="22"/>
                <w:szCs w:val="22"/>
              </w:rPr>
              <w:t>Формулировать выводы и подкреплять их доказательствами на основе результатов проведенного наблюдения (опыта, измерения, классификации, сравнения, исследования)</w:t>
            </w:r>
          </w:p>
        </w:tc>
      </w:tr>
      <w:tr w14:paraId="3359B3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701" w:type="dxa"/>
          </w:tcPr>
          <w:p w14:paraId="2DAF3DF5">
            <w:pPr>
              <w:pStyle w:val="85"/>
              <w:jc w:val="center"/>
              <w:rPr>
                <w:color w:val="auto"/>
                <w:sz w:val="22"/>
                <w:szCs w:val="22"/>
              </w:rPr>
            </w:pPr>
            <w:r>
              <w:rPr>
                <w:color w:val="auto"/>
                <w:sz w:val="22"/>
                <w:szCs w:val="22"/>
              </w:rPr>
              <w:t>1.2.5</w:t>
            </w:r>
          </w:p>
        </w:tc>
        <w:tc>
          <w:tcPr>
            <w:tcW w:w="7370" w:type="dxa"/>
          </w:tcPr>
          <w:p w14:paraId="197A2C9B">
            <w:pPr>
              <w:pStyle w:val="85"/>
              <w:jc w:val="both"/>
              <w:rPr>
                <w:color w:val="auto"/>
                <w:sz w:val="22"/>
                <w:szCs w:val="22"/>
              </w:rPr>
            </w:pPr>
            <w:r>
              <w:rPr>
                <w:color w:val="auto"/>
                <w:sz w:val="22"/>
                <w:szCs w:val="22"/>
              </w:rPr>
              <w:t>Прогнозировать возможное развитие процессов, событий и их последствия в аналогичных или сходных ситуациях</w:t>
            </w:r>
          </w:p>
        </w:tc>
      </w:tr>
      <w:tr w14:paraId="616138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701" w:type="dxa"/>
          </w:tcPr>
          <w:p w14:paraId="30E8844C">
            <w:pPr>
              <w:pStyle w:val="85"/>
              <w:jc w:val="center"/>
              <w:rPr>
                <w:color w:val="auto"/>
                <w:sz w:val="22"/>
                <w:szCs w:val="22"/>
              </w:rPr>
            </w:pPr>
            <w:r>
              <w:rPr>
                <w:color w:val="auto"/>
                <w:sz w:val="22"/>
                <w:szCs w:val="22"/>
              </w:rPr>
              <w:t>1.3</w:t>
            </w:r>
          </w:p>
        </w:tc>
        <w:tc>
          <w:tcPr>
            <w:tcW w:w="7370" w:type="dxa"/>
          </w:tcPr>
          <w:p w14:paraId="7D9AA4D4">
            <w:pPr>
              <w:pStyle w:val="85"/>
              <w:jc w:val="both"/>
              <w:rPr>
                <w:color w:val="auto"/>
                <w:sz w:val="22"/>
                <w:szCs w:val="22"/>
              </w:rPr>
            </w:pPr>
            <w:r>
              <w:rPr>
                <w:color w:val="auto"/>
                <w:sz w:val="22"/>
                <w:szCs w:val="22"/>
              </w:rPr>
              <w:t>Работа с информацией</w:t>
            </w:r>
          </w:p>
        </w:tc>
      </w:tr>
      <w:tr w14:paraId="186796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701" w:type="dxa"/>
          </w:tcPr>
          <w:p w14:paraId="6CDAE7D0">
            <w:pPr>
              <w:pStyle w:val="85"/>
              <w:jc w:val="center"/>
              <w:rPr>
                <w:color w:val="auto"/>
                <w:sz w:val="22"/>
                <w:szCs w:val="22"/>
              </w:rPr>
            </w:pPr>
            <w:r>
              <w:rPr>
                <w:color w:val="auto"/>
                <w:sz w:val="22"/>
                <w:szCs w:val="22"/>
              </w:rPr>
              <w:t>1.3.1</w:t>
            </w:r>
          </w:p>
        </w:tc>
        <w:tc>
          <w:tcPr>
            <w:tcW w:w="7370" w:type="dxa"/>
          </w:tcPr>
          <w:p w14:paraId="7C15390E">
            <w:pPr>
              <w:pStyle w:val="85"/>
              <w:jc w:val="both"/>
              <w:rPr>
                <w:color w:val="auto"/>
                <w:sz w:val="22"/>
                <w:szCs w:val="22"/>
              </w:rPr>
            </w:pPr>
            <w:r>
              <w:rPr>
                <w:color w:val="auto"/>
                <w:sz w:val="22"/>
                <w:szCs w:val="22"/>
              </w:rPr>
              <w:t>Выбирать источник получения информации;</w:t>
            </w:r>
          </w:p>
          <w:p w14:paraId="1CEE9DD4">
            <w:pPr>
              <w:pStyle w:val="85"/>
              <w:jc w:val="both"/>
              <w:rPr>
                <w:color w:val="auto"/>
                <w:sz w:val="22"/>
                <w:szCs w:val="22"/>
              </w:rPr>
            </w:pPr>
            <w:r>
              <w:rPr>
                <w:color w:val="auto"/>
                <w:sz w:val="22"/>
                <w:szCs w:val="22"/>
              </w:rPr>
              <w:t>соблюдать с помощью взрослых (педагогических работников, родителей (законных представителей) несовершеннолетних обучающихся) правила информационной безопасности при поиске информации в сети Интернет</w:t>
            </w:r>
          </w:p>
        </w:tc>
      </w:tr>
      <w:tr w14:paraId="3606BE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701" w:type="dxa"/>
          </w:tcPr>
          <w:p w14:paraId="6B8AD87F">
            <w:pPr>
              <w:pStyle w:val="85"/>
              <w:jc w:val="center"/>
              <w:rPr>
                <w:color w:val="auto"/>
                <w:sz w:val="22"/>
                <w:szCs w:val="22"/>
              </w:rPr>
            </w:pPr>
            <w:r>
              <w:rPr>
                <w:color w:val="auto"/>
                <w:sz w:val="22"/>
                <w:szCs w:val="22"/>
              </w:rPr>
              <w:t>1.3.2</w:t>
            </w:r>
          </w:p>
        </w:tc>
        <w:tc>
          <w:tcPr>
            <w:tcW w:w="7370" w:type="dxa"/>
          </w:tcPr>
          <w:p w14:paraId="763ACE8F">
            <w:pPr>
              <w:pStyle w:val="85"/>
              <w:jc w:val="both"/>
              <w:rPr>
                <w:color w:val="auto"/>
                <w:sz w:val="22"/>
                <w:szCs w:val="22"/>
              </w:rPr>
            </w:pPr>
            <w:r>
              <w:rPr>
                <w:color w:val="auto"/>
                <w:sz w:val="22"/>
                <w:szCs w:val="22"/>
              </w:rPr>
              <w:t>Согласно заданному алгоритму находить в предложенном источнике информацию, представленную в явном виде</w:t>
            </w:r>
          </w:p>
        </w:tc>
      </w:tr>
      <w:tr w14:paraId="7D2134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701" w:type="dxa"/>
          </w:tcPr>
          <w:p w14:paraId="25F1C57D">
            <w:pPr>
              <w:pStyle w:val="85"/>
              <w:jc w:val="center"/>
              <w:rPr>
                <w:color w:val="auto"/>
                <w:sz w:val="22"/>
                <w:szCs w:val="22"/>
              </w:rPr>
            </w:pPr>
            <w:r>
              <w:rPr>
                <w:color w:val="auto"/>
                <w:sz w:val="22"/>
                <w:szCs w:val="22"/>
              </w:rPr>
              <w:t>1.3.3</w:t>
            </w:r>
          </w:p>
        </w:tc>
        <w:tc>
          <w:tcPr>
            <w:tcW w:w="7370" w:type="dxa"/>
          </w:tcPr>
          <w:p w14:paraId="7DDDEFBE">
            <w:pPr>
              <w:pStyle w:val="85"/>
              <w:jc w:val="both"/>
              <w:rPr>
                <w:color w:val="auto"/>
                <w:sz w:val="22"/>
                <w:szCs w:val="22"/>
              </w:rPr>
            </w:pPr>
            <w:r>
              <w:rPr>
                <w:color w:val="auto"/>
                <w:sz w:val="22"/>
                <w:szCs w:val="22"/>
              </w:rPr>
              <w:t>Распознавать достоверную и недостоверную информацию самостоятельно или на основании предложенного педагогическим работником способа ее проверки</w:t>
            </w:r>
          </w:p>
        </w:tc>
      </w:tr>
      <w:tr w14:paraId="11F3D1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701" w:type="dxa"/>
          </w:tcPr>
          <w:p w14:paraId="2C1CE4B9">
            <w:pPr>
              <w:pStyle w:val="85"/>
              <w:jc w:val="center"/>
              <w:rPr>
                <w:color w:val="auto"/>
                <w:sz w:val="22"/>
                <w:szCs w:val="22"/>
              </w:rPr>
            </w:pPr>
            <w:r>
              <w:rPr>
                <w:color w:val="auto"/>
                <w:sz w:val="22"/>
                <w:szCs w:val="22"/>
              </w:rPr>
              <w:t>1.3.4</w:t>
            </w:r>
          </w:p>
        </w:tc>
        <w:tc>
          <w:tcPr>
            <w:tcW w:w="7370" w:type="dxa"/>
          </w:tcPr>
          <w:p w14:paraId="542459B8">
            <w:pPr>
              <w:pStyle w:val="85"/>
              <w:jc w:val="both"/>
              <w:rPr>
                <w:color w:val="auto"/>
                <w:sz w:val="22"/>
                <w:szCs w:val="22"/>
              </w:rPr>
            </w:pPr>
            <w:r>
              <w:rPr>
                <w:color w:val="auto"/>
                <w:sz w:val="22"/>
                <w:szCs w:val="22"/>
              </w:rPr>
              <w:t>Анализировать и создавать текстовую, видео-, графическую, звуковую информацию в соответствии с учебной задачей</w:t>
            </w:r>
          </w:p>
        </w:tc>
      </w:tr>
      <w:tr w14:paraId="4AE4FB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701" w:type="dxa"/>
          </w:tcPr>
          <w:p w14:paraId="06BA3F9B">
            <w:pPr>
              <w:pStyle w:val="85"/>
              <w:jc w:val="center"/>
              <w:rPr>
                <w:color w:val="auto"/>
                <w:sz w:val="22"/>
                <w:szCs w:val="22"/>
              </w:rPr>
            </w:pPr>
            <w:r>
              <w:rPr>
                <w:color w:val="auto"/>
                <w:sz w:val="22"/>
                <w:szCs w:val="22"/>
              </w:rPr>
              <w:t>1.3.5</w:t>
            </w:r>
          </w:p>
        </w:tc>
        <w:tc>
          <w:tcPr>
            <w:tcW w:w="7370" w:type="dxa"/>
          </w:tcPr>
          <w:p w14:paraId="0322CC7A">
            <w:pPr>
              <w:pStyle w:val="85"/>
              <w:jc w:val="both"/>
              <w:rPr>
                <w:color w:val="auto"/>
                <w:sz w:val="22"/>
                <w:szCs w:val="22"/>
              </w:rPr>
            </w:pPr>
            <w:r>
              <w:rPr>
                <w:color w:val="auto"/>
                <w:sz w:val="22"/>
                <w:szCs w:val="22"/>
              </w:rPr>
              <w:t>Самостоятельно создавать схемы, таблицы для представления информации</w:t>
            </w:r>
          </w:p>
        </w:tc>
      </w:tr>
      <w:tr w14:paraId="5954E0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701" w:type="dxa"/>
          </w:tcPr>
          <w:p w14:paraId="1F7EA5FC">
            <w:pPr>
              <w:pStyle w:val="85"/>
              <w:jc w:val="center"/>
              <w:rPr>
                <w:color w:val="auto"/>
                <w:sz w:val="22"/>
                <w:szCs w:val="22"/>
              </w:rPr>
            </w:pPr>
            <w:r>
              <w:rPr>
                <w:color w:val="auto"/>
                <w:sz w:val="22"/>
                <w:szCs w:val="22"/>
              </w:rPr>
              <w:t>2</w:t>
            </w:r>
          </w:p>
        </w:tc>
        <w:tc>
          <w:tcPr>
            <w:tcW w:w="7370" w:type="dxa"/>
          </w:tcPr>
          <w:p w14:paraId="0808B2A0">
            <w:pPr>
              <w:pStyle w:val="85"/>
              <w:jc w:val="both"/>
              <w:rPr>
                <w:color w:val="auto"/>
                <w:sz w:val="22"/>
                <w:szCs w:val="22"/>
              </w:rPr>
            </w:pPr>
            <w:r>
              <w:rPr>
                <w:color w:val="auto"/>
                <w:sz w:val="22"/>
                <w:szCs w:val="22"/>
              </w:rPr>
              <w:t>Коммуникативные УУД</w:t>
            </w:r>
          </w:p>
        </w:tc>
      </w:tr>
      <w:tr w14:paraId="06A1AD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701" w:type="dxa"/>
          </w:tcPr>
          <w:p w14:paraId="30D63931">
            <w:pPr>
              <w:pStyle w:val="85"/>
              <w:jc w:val="center"/>
              <w:rPr>
                <w:color w:val="auto"/>
                <w:sz w:val="22"/>
                <w:szCs w:val="22"/>
              </w:rPr>
            </w:pPr>
            <w:r>
              <w:rPr>
                <w:color w:val="auto"/>
                <w:sz w:val="22"/>
                <w:szCs w:val="22"/>
              </w:rPr>
              <w:t>2.1</w:t>
            </w:r>
          </w:p>
        </w:tc>
        <w:tc>
          <w:tcPr>
            <w:tcW w:w="7370" w:type="dxa"/>
          </w:tcPr>
          <w:p w14:paraId="19B6DF12">
            <w:pPr>
              <w:pStyle w:val="85"/>
              <w:jc w:val="both"/>
              <w:rPr>
                <w:color w:val="auto"/>
                <w:sz w:val="22"/>
                <w:szCs w:val="22"/>
              </w:rPr>
            </w:pPr>
            <w:r>
              <w:rPr>
                <w:color w:val="auto"/>
                <w:sz w:val="22"/>
                <w:szCs w:val="22"/>
              </w:rPr>
              <w:t>Общение</w:t>
            </w:r>
          </w:p>
        </w:tc>
      </w:tr>
      <w:tr w14:paraId="4161F5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701" w:type="dxa"/>
          </w:tcPr>
          <w:p w14:paraId="2314BF48">
            <w:pPr>
              <w:pStyle w:val="85"/>
              <w:jc w:val="center"/>
              <w:rPr>
                <w:color w:val="auto"/>
                <w:sz w:val="22"/>
                <w:szCs w:val="22"/>
              </w:rPr>
            </w:pPr>
            <w:r>
              <w:rPr>
                <w:color w:val="auto"/>
                <w:sz w:val="22"/>
                <w:szCs w:val="22"/>
              </w:rPr>
              <w:t>2.1.1</w:t>
            </w:r>
          </w:p>
        </w:tc>
        <w:tc>
          <w:tcPr>
            <w:tcW w:w="7370" w:type="dxa"/>
          </w:tcPr>
          <w:p w14:paraId="23567957">
            <w:pPr>
              <w:pStyle w:val="85"/>
              <w:jc w:val="both"/>
              <w:rPr>
                <w:color w:val="auto"/>
                <w:sz w:val="22"/>
                <w:szCs w:val="22"/>
              </w:rPr>
            </w:pPr>
            <w:r>
              <w:rPr>
                <w:color w:val="auto"/>
                <w:sz w:val="22"/>
                <w:szCs w:val="22"/>
              </w:rPr>
              <w:t>Воспринимать и формулировать суждения, выражать эмоции в соответствии с целями и условиями общения в знакомой среде;</w:t>
            </w:r>
          </w:p>
          <w:p w14:paraId="48161FFF">
            <w:pPr>
              <w:pStyle w:val="85"/>
              <w:jc w:val="both"/>
              <w:rPr>
                <w:color w:val="auto"/>
                <w:sz w:val="22"/>
                <w:szCs w:val="22"/>
              </w:rPr>
            </w:pPr>
            <w:r>
              <w:rPr>
                <w:color w:val="auto"/>
                <w:sz w:val="22"/>
                <w:szCs w:val="22"/>
              </w:rPr>
              <w:t>проявлять уважительное отношение к собеседнику, соблюдать правила ведения диалога и дискуссии;</w:t>
            </w:r>
          </w:p>
          <w:p w14:paraId="240A3CE5">
            <w:pPr>
              <w:pStyle w:val="85"/>
              <w:jc w:val="both"/>
              <w:rPr>
                <w:color w:val="auto"/>
                <w:sz w:val="22"/>
                <w:szCs w:val="22"/>
              </w:rPr>
            </w:pPr>
            <w:r>
              <w:rPr>
                <w:color w:val="auto"/>
                <w:sz w:val="22"/>
                <w:szCs w:val="22"/>
              </w:rPr>
              <w:t>признавать возможность существования разных точек зрения;</w:t>
            </w:r>
          </w:p>
          <w:p w14:paraId="49A10A01">
            <w:pPr>
              <w:pStyle w:val="85"/>
              <w:jc w:val="both"/>
              <w:rPr>
                <w:color w:val="auto"/>
                <w:sz w:val="22"/>
                <w:szCs w:val="22"/>
              </w:rPr>
            </w:pPr>
            <w:r>
              <w:rPr>
                <w:color w:val="auto"/>
                <w:sz w:val="22"/>
                <w:szCs w:val="22"/>
              </w:rPr>
              <w:t>корректно и аргументированно высказывать свое мнение</w:t>
            </w:r>
          </w:p>
        </w:tc>
      </w:tr>
      <w:tr w14:paraId="5E8CB9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701" w:type="dxa"/>
          </w:tcPr>
          <w:p w14:paraId="752CE60D">
            <w:pPr>
              <w:pStyle w:val="85"/>
              <w:jc w:val="center"/>
              <w:rPr>
                <w:color w:val="auto"/>
                <w:sz w:val="22"/>
                <w:szCs w:val="22"/>
              </w:rPr>
            </w:pPr>
            <w:r>
              <w:rPr>
                <w:color w:val="auto"/>
                <w:sz w:val="22"/>
                <w:szCs w:val="22"/>
              </w:rPr>
              <w:t>2.1.2</w:t>
            </w:r>
          </w:p>
        </w:tc>
        <w:tc>
          <w:tcPr>
            <w:tcW w:w="7370" w:type="dxa"/>
          </w:tcPr>
          <w:p w14:paraId="38147405">
            <w:pPr>
              <w:pStyle w:val="85"/>
              <w:jc w:val="both"/>
              <w:rPr>
                <w:color w:val="auto"/>
                <w:sz w:val="22"/>
                <w:szCs w:val="22"/>
              </w:rPr>
            </w:pPr>
            <w:r>
              <w:rPr>
                <w:color w:val="auto"/>
                <w:sz w:val="22"/>
                <w:szCs w:val="22"/>
              </w:rPr>
              <w:t>Строить речевое высказывание в соответствии с поставленной задачей;</w:t>
            </w:r>
          </w:p>
          <w:p w14:paraId="0E0E6577">
            <w:pPr>
              <w:pStyle w:val="85"/>
              <w:jc w:val="both"/>
              <w:rPr>
                <w:color w:val="auto"/>
                <w:sz w:val="22"/>
                <w:szCs w:val="22"/>
              </w:rPr>
            </w:pPr>
            <w:r>
              <w:rPr>
                <w:color w:val="auto"/>
                <w:sz w:val="22"/>
                <w:szCs w:val="22"/>
              </w:rPr>
              <w:t>создавать устные и письменные тексты (описание, рассуждение, повествование);</w:t>
            </w:r>
          </w:p>
          <w:p w14:paraId="18229799">
            <w:pPr>
              <w:pStyle w:val="85"/>
              <w:jc w:val="both"/>
              <w:rPr>
                <w:color w:val="auto"/>
                <w:sz w:val="22"/>
                <w:szCs w:val="22"/>
              </w:rPr>
            </w:pPr>
            <w:r>
              <w:rPr>
                <w:color w:val="auto"/>
                <w:sz w:val="22"/>
                <w:szCs w:val="22"/>
              </w:rPr>
              <w:t>подготавливать небольшие публичные выступления</w:t>
            </w:r>
          </w:p>
        </w:tc>
      </w:tr>
      <w:tr w14:paraId="2D9825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701" w:type="dxa"/>
          </w:tcPr>
          <w:p w14:paraId="581D3D3C">
            <w:pPr>
              <w:pStyle w:val="85"/>
              <w:jc w:val="center"/>
              <w:rPr>
                <w:color w:val="auto"/>
                <w:sz w:val="22"/>
                <w:szCs w:val="22"/>
              </w:rPr>
            </w:pPr>
            <w:r>
              <w:rPr>
                <w:color w:val="auto"/>
                <w:sz w:val="22"/>
                <w:szCs w:val="22"/>
              </w:rPr>
              <w:t>2.1.3</w:t>
            </w:r>
          </w:p>
        </w:tc>
        <w:tc>
          <w:tcPr>
            <w:tcW w:w="7370" w:type="dxa"/>
          </w:tcPr>
          <w:p w14:paraId="210109A2">
            <w:pPr>
              <w:pStyle w:val="85"/>
              <w:jc w:val="both"/>
              <w:rPr>
                <w:color w:val="auto"/>
                <w:sz w:val="22"/>
                <w:szCs w:val="22"/>
              </w:rPr>
            </w:pPr>
            <w:r>
              <w:rPr>
                <w:color w:val="auto"/>
                <w:sz w:val="22"/>
                <w:szCs w:val="22"/>
              </w:rPr>
              <w:t>Подбирать иллюстративный материал (рисунки, фото, плакаты) к тексту выступления</w:t>
            </w:r>
          </w:p>
        </w:tc>
      </w:tr>
      <w:tr w14:paraId="3472F2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701" w:type="dxa"/>
          </w:tcPr>
          <w:p w14:paraId="6240D253">
            <w:pPr>
              <w:pStyle w:val="85"/>
              <w:jc w:val="center"/>
              <w:rPr>
                <w:color w:val="auto"/>
                <w:sz w:val="22"/>
                <w:szCs w:val="22"/>
              </w:rPr>
            </w:pPr>
            <w:r>
              <w:rPr>
                <w:color w:val="auto"/>
                <w:sz w:val="22"/>
                <w:szCs w:val="22"/>
              </w:rPr>
              <w:t>2.2</w:t>
            </w:r>
          </w:p>
        </w:tc>
        <w:tc>
          <w:tcPr>
            <w:tcW w:w="7370" w:type="dxa"/>
          </w:tcPr>
          <w:p w14:paraId="1B1D56DD">
            <w:pPr>
              <w:pStyle w:val="85"/>
              <w:jc w:val="both"/>
              <w:rPr>
                <w:color w:val="auto"/>
                <w:sz w:val="22"/>
                <w:szCs w:val="22"/>
              </w:rPr>
            </w:pPr>
            <w:r>
              <w:rPr>
                <w:color w:val="auto"/>
                <w:sz w:val="22"/>
                <w:szCs w:val="22"/>
              </w:rPr>
              <w:t>Совместная деятельность</w:t>
            </w:r>
          </w:p>
        </w:tc>
      </w:tr>
      <w:tr w14:paraId="4B341A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701" w:type="dxa"/>
          </w:tcPr>
          <w:p w14:paraId="702D54C6">
            <w:pPr>
              <w:pStyle w:val="85"/>
              <w:jc w:val="center"/>
              <w:rPr>
                <w:color w:val="auto"/>
                <w:sz w:val="22"/>
                <w:szCs w:val="22"/>
              </w:rPr>
            </w:pPr>
            <w:r>
              <w:rPr>
                <w:color w:val="auto"/>
                <w:sz w:val="22"/>
                <w:szCs w:val="22"/>
              </w:rPr>
              <w:t>2.2.1</w:t>
            </w:r>
          </w:p>
        </w:tc>
        <w:tc>
          <w:tcPr>
            <w:tcW w:w="7370" w:type="dxa"/>
          </w:tcPr>
          <w:p w14:paraId="70C29C4F">
            <w:pPr>
              <w:pStyle w:val="85"/>
              <w:jc w:val="both"/>
              <w:rPr>
                <w:color w:val="auto"/>
                <w:sz w:val="22"/>
                <w:szCs w:val="22"/>
              </w:rPr>
            </w:pPr>
            <w:r>
              <w:rPr>
                <w:color w:val="auto"/>
                <w:sz w:val="22"/>
                <w:szCs w:val="22"/>
              </w:rPr>
              <w:t>Формулировать краткосрочные и долгосрочные цели (индивидуальные с учетом участия в коллективных задачах) в стандартной (типовой) ситуации на основе предложенного формата планирования, распределения промежуточных шагов и сроков;</w:t>
            </w:r>
          </w:p>
          <w:p w14:paraId="0DF9967F">
            <w:pPr>
              <w:pStyle w:val="85"/>
              <w:jc w:val="both"/>
              <w:rPr>
                <w:color w:val="auto"/>
                <w:sz w:val="22"/>
                <w:szCs w:val="22"/>
              </w:rPr>
            </w:pPr>
            <w:r>
              <w:rPr>
                <w:color w:val="auto"/>
                <w:sz w:val="22"/>
                <w:szCs w:val="22"/>
              </w:rPr>
              <w:t>принимать цель совместной деятельности, коллективно строить действия по ее достижению: распределять роли, договариваться, обсуждать процесс и результат совместной работы;</w:t>
            </w:r>
          </w:p>
          <w:p w14:paraId="23E3A7E3">
            <w:pPr>
              <w:pStyle w:val="85"/>
              <w:jc w:val="both"/>
              <w:rPr>
                <w:color w:val="auto"/>
                <w:sz w:val="22"/>
                <w:szCs w:val="22"/>
              </w:rPr>
            </w:pPr>
            <w:r>
              <w:rPr>
                <w:color w:val="auto"/>
                <w:sz w:val="22"/>
                <w:szCs w:val="22"/>
              </w:rPr>
              <w:t>проявлять готовность руководить, выполнять поручения, подчиняться;</w:t>
            </w:r>
          </w:p>
          <w:p w14:paraId="6C11BE30">
            <w:pPr>
              <w:pStyle w:val="85"/>
              <w:jc w:val="both"/>
              <w:rPr>
                <w:color w:val="auto"/>
                <w:sz w:val="22"/>
                <w:szCs w:val="22"/>
              </w:rPr>
            </w:pPr>
            <w:r>
              <w:rPr>
                <w:color w:val="auto"/>
                <w:sz w:val="22"/>
                <w:szCs w:val="22"/>
              </w:rPr>
              <w:t>ответственно выполнять свою часть работы;</w:t>
            </w:r>
          </w:p>
          <w:p w14:paraId="4CA4CC74">
            <w:pPr>
              <w:pStyle w:val="85"/>
              <w:jc w:val="both"/>
              <w:rPr>
                <w:color w:val="auto"/>
                <w:sz w:val="22"/>
                <w:szCs w:val="22"/>
              </w:rPr>
            </w:pPr>
            <w:r>
              <w:rPr>
                <w:color w:val="auto"/>
                <w:sz w:val="22"/>
                <w:szCs w:val="22"/>
              </w:rPr>
              <w:t>оценивать свой вклад в общий результат;</w:t>
            </w:r>
          </w:p>
          <w:p w14:paraId="12EE7FFB">
            <w:pPr>
              <w:pStyle w:val="85"/>
              <w:jc w:val="both"/>
              <w:rPr>
                <w:color w:val="auto"/>
                <w:sz w:val="22"/>
                <w:szCs w:val="22"/>
              </w:rPr>
            </w:pPr>
            <w:r>
              <w:rPr>
                <w:color w:val="auto"/>
                <w:sz w:val="22"/>
                <w:szCs w:val="22"/>
              </w:rPr>
              <w:t>выполнять совместные проектные задания с использованием предложенных образцов</w:t>
            </w:r>
          </w:p>
        </w:tc>
      </w:tr>
      <w:tr w14:paraId="2A3A5F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701" w:type="dxa"/>
          </w:tcPr>
          <w:p w14:paraId="5B7DFC97">
            <w:pPr>
              <w:pStyle w:val="85"/>
              <w:jc w:val="center"/>
              <w:rPr>
                <w:color w:val="auto"/>
                <w:sz w:val="22"/>
                <w:szCs w:val="22"/>
              </w:rPr>
            </w:pPr>
            <w:r>
              <w:rPr>
                <w:color w:val="auto"/>
                <w:sz w:val="22"/>
                <w:szCs w:val="22"/>
              </w:rPr>
              <w:t>3</w:t>
            </w:r>
          </w:p>
        </w:tc>
        <w:tc>
          <w:tcPr>
            <w:tcW w:w="7370" w:type="dxa"/>
          </w:tcPr>
          <w:p w14:paraId="54433010">
            <w:pPr>
              <w:pStyle w:val="85"/>
              <w:jc w:val="both"/>
              <w:rPr>
                <w:color w:val="auto"/>
                <w:sz w:val="22"/>
                <w:szCs w:val="22"/>
              </w:rPr>
            </w:pPr>
            <w:r>
              <w:rPr>
                <w:color w:val="auto"/>
                <w:sz w:val="22"/>
                <w:szCs w:val="22"/>
              </w:rPr>
              <w:t>Регулятивные УУД</w:t>
            </w:r>
          </w:p>
        </w:tc>
      </w:tr>
      <w:tr w14:paraId="131004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701" w:type="dxa"/>
          </w:tcPr>
          <w:p w14:paraId="2DB30E62">
            <w:pPr>
              <w:pStyle w:val="85"/>
              <w:jc w:val="center"/>
              <w:rPr>
                <w:color w:val="auto"/>
                <w:sz w:val="22"/>
                <w:szCs w:val="22"/>
              </w:rPr>
            </w:pPr>
            <w:r>
              <w:rPr>
                <w:color w:val="auto"/>
                <w:sz w:val="22"/>
                <w:szCs w:val="22"/>
              </w:rPr>
              <w:t>3.1</w:t>
            </w:r>
          </w:p>
        </w:tc>
        <w:tc>
          <w:tcPr>
            <w:tcW w:w="7370" w:type="dxa"/>
          </w:tcPr>
          <w:p w14:paraId="5ED9B908">
            <w:pPr>
              <w:pStyle w:val="85"/>
              <w:jc w:val="both"/>
              <w:rPr>
                <w:color w:val="auto"/>
                <w:sz w:val="22"/>
                <w:szCs w:val="22"/>
              </w:rPr>
            </w:pPr>
            <w:r>
              <w:rPr>
                <w:color w:val="auto"/>
                <w:sz w:val="22"/>
                <w:szCs w:val="22"/>
              </w:rPr>
              <w:t>Самоорганизация</w:t>
            </w:r>
          </w:p>
        </w:tc>
      </w:tr>
      <w:tr w14:paraId="1ABDC0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701" w:type="dxa"/>
          </w:tcPr>
          <w:p w14:paraId="2870AD96">
            <w:pPr>
              <w:pStyle w:val="85"/>
              <w:jc w:val="center"/>
              <w:rPr>
                <w:color w:val="auto"/>
                <w:sz w:val="22"/>
                <w:szCs w:val="22"/>
              </w:rPr>
            </w:pPr>
            <w:r>
              <w:rPr>
                <w:color w:val="auto"/>
                <w:sz w:val="22"/>
                <w:szCs w:val="22"/>
              </w:rPr>
              <w:t>3.1.1</w:t>
            </w:r>
          </w:p>
        </w:tc>
        <w:tc>
          <w:tcPr>
            <w:tcW w:w="7370" w:type="dxa"/>
          </w:tcPr>
          <w:p w14:paraId="1E43DC71">
            <w:pPr>
              <w:pStyle w:val="85"/>
              <w:jc w:val="both"/>
              <w:rPr>
                <w:color w:val="auto"/>
                <w:sz w:val="22"/>
                <w:szCs w:val="22"/>
              </w:rPr>
            </w:pPr>
            <w:r>
              <w:rPr>
                <w:color w:val="auto"/>
                <w:sz w:val="22"/>
                <w:szCs w:val="22"/>
              </w:rPr>
              <w:t>Планировать действия по решению учебной задачи для получения результата; выстраивать последовательность выбранных действий</w:t>
            </w:r>
          </w:p>
        </w:tc>
      </w:tr>
      <w:tr w14:paraId="4A8B6D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701" w:type="dxa"/>
          </w:tcPr>
          <w:p w14:paraId="3684B1FE">
            <w:pPr>
              <w:pStyle w:val="85"/>
              <w:jc w:val="center"/>
              <w:rPr>
                <w:color w:val="auto"/>
                <w:sz w:val="22"/>
                <w:szCs w:val="22"/>
              </w:rPr>
            </w:pPr>
            <w:r>
              <w:rPr>
                <w:color w:val="auto"/>
                <w:sz w:val="22"/>
                <w:szCs w:val="22"/>
              </w:rPr>
              <w:t>3.2</w:t>
            </w:r>
          </w:p>
        </w:tc>
        <w:tc>
          <w:tcPr>
            <w:tcW w:w="7370" w:type="dxa"/>
          </w:tcPr>
          <w:p w14:paraId="6FCD649E">
            <w:pPr>
              <w:pStyle w:val="85"/>
              <w:jc w:val="both"/>
              <w:rPr>
                <w:color w:val="auto"/>
                <w:sz w:val="22"/>
                <w:szCs w:val="22"/>
              </w:rPr>
            </w:pPr>
            <w:r>
              <w:rPr>
                <w:color w:val="auto"/>
                <w:sz w:val="22"/>
                <w:szCs w:val="22"/>
              </w:rPr>
              <w:t>Самоконтроль</w:t>
            </w:r>
          </w:p>
        </w:tc>
      </w:tr>
      <w:tr w14:paraId="2DBA83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701" w:type="dxa"/>
          </w:tcPr>
          <w:p w14:paraId="2EFCA54B">
            <w:pPr>
              <w:pStyle w:val="85"/>
              <w:jc w:val="center"/>
              <w:rPr>
                <w:color w:val="auto"/>
                <w:sz w:val="22"/>
                <w:szCs w:val="22"/>
              </w:rPr>
            </w:pPr>
            <w:r>
              <w:rPr>
                <w:color w:val="auto"/>
                <w:sz w:val="22"/>
                <w:szCs w:val="22"/>
              </w:rPr>
              <w:t>3.2.1</w:t>
            </w:r>
          </w:p>
        </w:tc>
        <w:tc>
          <w:tcPr>
            <w:tcW w:w="7370" w:type="dxa"/>
          </w:tcPr>
          <w:p w14:paraId="0E8A75D3">
            <w:pPr>
              <w:pStyle w:val="85"/>
              <w:jc w:val="both"/>
              <w:rPr>
                <w:color w:val="auto"/>
                <w:sz w:val="22"/>
                <w:szCs w:val="22"/>
              </w:rPr>
            </w:pPr>
            <w:r>
              <w:rPr>
                <w:color w:val="auto"/>
                <w:sz w:val="22"/>
                <w:szCs w:val="22"/>
              </w:rPr>
              <w:t>Устанавливать причины успеха (неудач) учебной деятельности;</w:t>
            </w:r>
          </w:p>
          <w:p w14:paraId="674F80DA">
            <w:pPr>
              <w:pStyle w:val="85"/>
              <w:jc w:val="both"/>
              <w:rPr>
                <w:color w:val="auto"/>
                <w:sz w:val="22"/>
                <w:szCs w:val="22"/>
              </w:rPr>
            </w:pPr>
            <w:r>
              <w:rPr>
                <w:color w:val="auto"/>
                <w:sz w:val="22"/>
                <w:szCs w:val="22"/>
              </w:rPr>
              <w:t>корректировать свои учебные действия для преодоления ошибок</w:t>
            </w:r>
          </w:p>
        </w:tc>
      </w:tr>
    </w:tbl>
    <w:p w14:paraId="13A38732">
      <w:pPr>
        <w:spacing w:after="0" w:line="352" w:lineRule="auto"/>
        <w:ind w:firstLine="709"/>
        <w:jc w:val="both"/>
        <w:rPr>
          <w:rFonts w:ascii="Times New Roman" w:hAnsi="Times New Roman" w:eastAsia="SchoolBookSanPin"/>
        </w:rPr>
      </w:pPr>
      <w:r>
        <w:rPr>
          <w:rFonts w:ascii="Times New Roman" w:hAnsi="Times New Roman" w:eastAsia="SchoolBookSanPin"/>
        </w:rPr>
        <w:t>1.8.30. В ходе мониторинга проводится оценка сформированности универсальных учебных действий. Содержание и периодичность мониторинга устанавливаются решением педагогического совета образовательной организации. Инструментарий для оценки сформированности универсальных учебных действий строится на межпредметной основе и может включать диагностические материалы по оценке функциональной грамотности, сформированности регулятивных, коммуникативных и познавательных учебных действий.</w:t>
      </w:r>
    </w:p>
    <w:p w14:paraId="10626F36">
      <w:pPr>
        <w:spacing w:after="0" w:line="352" w:lineRule="auto"/>
        <w:ind w:firstLine="709"/>
        <w:jc w:val="both"/>
        <w:rPr>
          <w:rFonts w:ascii="Times New Roman" w:hAnsi="Times New Roman" w:eastAsia="SchoolBookSanPin"/>
        </w:rPr>
      </w:pPr>
      <w:r>
        <w:rPr>
          <w:rFonts w:ascii="Times New Roman" w:hAnsi="Times New Roman" w:eastAsia="SchoolBookSanPin"/>
        </w:rPr>
        <w:t>1.8.31. Предметные результаты освоения ООП НОО с учетом специфики содержания предметных областей, включающих конкретные учебные предметы, ориентированы на применение знаний, умений и навыков обучающимися в учебных ситуациях и реальных жизненных условиях, а также на успешное обучение.</w:t>
      </w:r>
    </w:p>
    <w:p w14:paraId="256F7B7F">
      <w:pPr>
        <w:spacing w:after="0" w:line="352" w:lineRule="auto"/>
        <w:ind w:firstLine="709"/>
        <w:jc w:val="both"/>
        <w:rPr>
          <w:rFonts w:ascii="Times New Roman" w:hAnsi="Times New Roman" w:eastAsia="SchoolBookSanPin"/>
        </w:rPr>
      </w:pPr>
      <w:r>
        <w:rPr>
          <w:rFonts w:ascii="Times New Roman" w:hAnsi="Times New Roman" w:eastAsia="SchoolBookSanPin"/>
        </w:rPr>
        <w:t xml:space="preserve">1.8.32. Оценка предметных результатов освоения ООП НОО осуществляется через оценку достижения обучающимися планируемых результатов по отдельным учебным предметам. </w:t>
      </w:r>
    </w:p>
    <w:p w14:paraId="47BF05A6">
      <w:pPr>
        <w:spacing w:after="0" w:line="352" w:lineRule="auto"/>
        <w:ind w:firstLine="709"/>
        <w:jc w:val="both"/>
        <w:rPr>
          <w:rFonts w:ascii="Times New Roman" w:hAnsi="Times New Roman" w:eastAsia="SchoolBookSanPin"/>
        </w:rPr>
      </w:pPr>
      <w:r>
        <w:rPr>
          <w:rFonts w:ascii="Times New Roman" w:hAnsi="Times New Roman" w:eastAsia="SchoolBookSanPin"/>
        </w:rPr>
        <w:t xml:space="preserve">1.8.33. Основным </w:t>
      </w:r>
      <w:r>
        <w:rPr>
          <w:rFonts w:ascii="Times New Roman" w:hAnsi="Times New Roman" w:eastAsia="SchoolBookSanPin"/>
          <w:bCs/>
        </w:rPr>
        <w:t xml:space="preserve">предметом </w:t>
      </w:r>
      <w:r>
        <w:rPr>
          <w:rFonts w:ascii="Times New Roman" w:hAnsi="Times New Roman" w:eastAsia="SchoolBookSanPin"/>
        </w:rPr>
        <w:t>оценки результатов освоения ООП НОО в соответствии с требованиями ФГОС НОО является способность к решению учебно-познавательных и учебно-практических задач, основанных на изучаемом учебном материале и способах действий, в том числе метапредметных (познавательных, регулятивных, коммуникативных) действий.</w:t>
      </w:r>
    </w:p>
    <w:p w14:paraId="3364A292">
      <w:pPr>
        <w:spacing w:after="0" w:line="352" w:lineRule="auto"/>
        <w:ind w:firstLine="709"/>
        <w:jc w:val="both"/>
        <w:rPr>
          <w:rFonts w:ascii="Times New Roman" w:hAnsi="Times New Roman" w:eastAsia="SchoolBookSanPin"/>
        </w:rPr>
      </w:pPr>
      <w:r>
        <w:rPr>
          <w:rFonts w:ascii="Times New Roman" w:hAnsi="Times New Roman" w:eastAsia="SchoolBookSanPin"/>
        </w:rPr>
        <w:t>1.8.34. Оценка предметных результатов освоения ООП НОО осуществляется учителем в ходе процедур текущего, тематического, промежуточного и итогового контроля.</w:t>
      </w:r>
    </w:p>
    <w:p w14:paraId="26E0DD89">
      <w:pPr>
        <w:spacing w:after="0" w:line="352" w:lineRule="auto"/>
        <w:ind w:firstLine="709"/>
        <w:jc w:val="both"/>
        <w:rPr>
          <w:rFonts w:ascii="Times New Roman" w:hAnsi="Times New Roman" w:eastAsia="SchoolBookSanPin"/>
        </w:rPr>
      </w:pPr>
      <w:r>
        <w:rPr>
          <w:rFonts w:ascii="Times New Roman" w:hAnsi="Times New Roman" w:eastAsia="SchoolBookSanPin"/>
        </w:rPr>
        <w:t>1.8.35. Особенности оценки предметных результатов по отдельному учебному предмету фиксируются в приложении к ООП НОО.</w:t>
      </w:r>
    </w:p>
    <w:p w14:paraId="4FD9C686">
      <w:pPr>
        <w:spacing w:after="0" w:line="352" w:lineRule="auto"/>
        <w:ind w:firstLine="709"/>
        <w:jc w:val="both"/>
        <w:rPr>
          <w:rFonts w:ascii="Times New Roman" w:hAnsi="Times New Roman" w:eastAsia="SchoolBookSanPin"/>
        </w:rPr>
      </w:pPr>
      <w:r>
        <w:rPr>
          <w:rFonts w:ascii="Times New Roman" w:hAnsi="Times New Roman" w:eastAsia="SchoolBookSanPin"/>
        </w:rPr>
        <w:t>Описание оценки предметных результатов по отдельному учебному предмету должно включать:</w:t>
      </w:r>
    </w:p>
    <w:p w14:paraId="6787FA2A">
      <w:pPr>
        <w:tabs>
          <w:tab w:val="left" w:pos="851"/>
        </w:tabs>
        <w:spacing w:after="0" w:line="352" w:lineRule="auto"/>
        <w:ind w:firstLine="709"/>
        <w:jc w:val="both"/>
        <w:rPr>
          <w:rFonts w:ascii="Times New Roman" w:hAnsi="Times New Roman" w:eastAsia="SchoolBookSanPin"/>
        </w:rPr>
      </w:pPr>
      <w:r>
        <w:rPr>
          <w:rFonts w:ascii="Times New Roman" w:hAnsi="Times New Roman" w:eastAsia="SchoolBookSanPin"/>
        </w:rPr>
        <w:t>список итоговых планируемых результатов с указанием этапов их формирования и способов оценки (например, текущая (тематическая); устно (письменно), практика);</w:t>
      </w:r>
    </w:p>
    <w:p w14:paraId="76883673">
      <w:pPr>
        <w:tabs>
          <w:tab w:val="left" w:pos="851"/>
        </w:tabs>
        <w:spacing w:after="0" w:line="352" w:lineRule="auto"/>
        <w:ind w:firstLine="709"/>
        <w:jc w:val="both"/>
        <w:rPr>
          <w:rFonts w:ascii="Times New Roman" w:hAnsi="Times New Roman" w:eastAsia="SchoolBookSanPin"/>
        </w:rPr>
      </w:pPr>
      <w:r>
        <w:rPr>
          <w:rFonts w:ascii="Times New Roman" w:hAnsi="Times New Roman" w:eastAsia="SchoolBookSanPin"/>
        </w:rPr>
        <w:t>требования к выставлению отметок за промежуточную аттестацию (при необходимости – с учётом степени значимости отметок за отдельные оценочные процедуры);</w:t>
      </w:r>
    </w:p>
    <w:p w14:paraId="2B01EB73">
      <w:pPr>
        <w:tabs>
          <w:tab w:val="left" w:pos="851"/>
        </w:tabs>
        <w:spacing w:after="0" w:line="352" w:lineRule="auto"/>
        <w:ind w:firstLine="709"/>
        <w:jc w:val="both"/>
        <w:rPr>
          <w:rFonts w:ascii="Times New Roman" w:hAnsi="Times New Roman"/>
        </w:rPr>
      </w:pPr>
      <w:r>
        <w:rPr>
          <w:rFonts w:ascii="Times New Roman" w:hAnsi="Times New Roman" w:eastAsia="SchoolBookSanPin"/>
        </w:rPr>
        <w:t>график контрольных мероприятий.</w:t>
      </w:r>
      <w:r>
        <w:rPr>
          <w:rFonts w:ascii="Times New Roman" w:hAnsi="Times New Roman"/>
        </w:rPr>
        <w:t xml:space="preserve"> </w:t>
      </w:r>
    </w:p>
    <w:p w14:paraId="1FB4505E">
      <w:pPr>
        <w:spacing w:after="0" w:line="352" w:lineRule="auto"/>
        <w:ind w:firstLine="709"/>
        <w:jc w:val="both"/>
        <w:rPr>
          <w:rFonts w:ascii="Times New Roman" w:hAnsi="Times New Roman" w:eastAsia="SchoolBookSanPin"/>
        </w:rPr>
      </w:pPr>
      <w:r>
        <w:rPr>
          <w:rFonts w:ascii="Times New Roman" w:hAnsi="Times New Roman" w:eastAsia="SchoolBookSanPin"/>
          <w:bCs/>
        </w:rPr>
        <w:t xml:space="preserve">1.8.36. Стартовая диагностика </w:t>
      </w:r>
      <w:r>
        <w:rPr>
          <w:rFonts w:ascii="Times New Roman" w:hAnsi="Times New Roman" w:eastAsia="SchoolBookSanPin"/>
        </w:rPr>
        <w:t xml:space="preserve">проводится администрацией образовательной организации с целью оценки готовности к обучению на уровне начального общего образования. </w:t>
      </w:r>
    </w:p>
    <w:p w14:paraId="2CC6B406">
      <w:pPr>
        <w:spacing w:after="0" w:line="352" w:lineRule="auto"/>
        <w:ind w:firstLine="709"/>
        <w:jc w:val="both"/>
        <w:rPr>
          <w:rFonts w:ascii="Times New Roman" w:hAnsi="Times New Roman" w:eastAsia="SchoolBookSanPin"/>
        </w:rPr>
      </w:pPr>
      <w:r>
        <w:rPr>
          <w:rFonts w:ascii="Times New Roman" w:hAnsi="Times New Roman" w:eastAsia="SchoolBookSanPin"/>
          <w:bCs/>
        </w:rPr>
        <w:t xml:space="preserve">1.8.36.1. Стартовая диагностика </w:t>
      </w:r>
      <w:r>
        <w:rPr>
          <w:rFonts w:ascii="Times New Roman" w:hAnsi="Times New Roman" w:eastAsia="SchoolBookSanPin"/>
        </w:rPr>
        <w:t>проводится в начале 1 класса и выступает как основа (точка отсчёта) для оценки динамики образовательных достижений обучающихся. Объектом оценки в рамках стартовой диагностики является сформированность предпосылок учебной деятельности, готовность к овладению чтением, грамотой и счётом.</w:t>
      </w:r>
    </w:p>
    <w:p w14:paraId="763F0A18">
      <w:pPr>
        <w:spacing w:after="0" w:line="352" w:lineRule="auto"/>
        <w:ind w:firstLine="709"/>
        <w:jc w:val="both"/>
        <w:rPr>
          <w:rFonts w:ascii="Times New Roman" w:hAnsi="Times New Roman" w:eastAsia="SchoolBookSanPin"/>
        </w:rPr>
      </w:pPr>
      <w:r>
        <w:rPr>
          <w:rFonts w:ascii="Times New Roman" w:hAnsi="Times New Roman" w:eastAsia="SchoolBookSanPin"/>
        </w:rPr>
        <w:t>1.8.36.2. Стартовая диагностика может проводиться педагогическими работниками с целью оценки готовности к изучению отдельных учебных предметов (разделов). Результаты стартовой диагностики являются основанием для корректировки учебных программ и индивидуализации учебного процесса.</w:t>
      </w:r>
    </w:p>
    <w:p w14:paraId="12575D01">
      <w:pPr>
        <w:spacing w:after="0" w:line="352" w:lineRule="auto"/>
        <w:ind w:firstLine="709"/>
        <w:jc w:val="both"/>
        <w:rPr>
          <w:rFonts w:ascii="Times New Roman" w:hAnsi="Times New Roman" w:eastAsia="SchoolBookSanPin"/>
        </w:rPr>
      </w:pPr>
      <w:r>
        <w:rPr>
          <w:rFonts w:ascii="Times New Roman" w:hAnsi="Times New Roman" w:eastAsia="SchoolBookSanPin"/>
          <w:bCs/>
        </w:rPr>
        <w:t xml:space="preserve">1.8.37. Текущая оценка </w:t>
      </w:r>
      <w:r>
        <w:rPr>
          <w:rFonts w:ascii="Times New Roman" w:hAnsi="Times New Roman" w:eastAsia="SchoolBookSanPin"/>
        </w:rPr>
        <w:t>направлена на оценку индивидуального продвижения обучающегося в освоении программы учебного предмета.</w:t>
      </w:r>
    </w:p>
    <w:p w14:paraId="549326F5">
      <w:pPr>
        <w:spacing w:after="0" w:line="352" w:lineRule="auto"/>
        <w:ind w:firstLine="709"/>
        <w:jc w:val="both"/>
        <w:rPr>
          <w:rFonts w:ascii="Times New Roman" w:hAnsi="Times New Roman" w:eastAsia="SchoolBookSanPin"/>
        </w:rPr>
      </w:pPr>
      <w:r>
        <w:rPr>
          <w:rFonts w:ascii="Times New Roman" w:hAnsi="Times New Roman" w:eastAsia="SchoolBookSanPin"/>
        </w:rPr>
        <w:t xml:space="preserve">1.8.37.1. Текущая оценка может быть </w:t>
      </w:r>
      <w:r>
        <w:rPr>
          <w:rFonts w:ascii="Times New Roman" w:hAnsi="Times New Roman" w:eastAsia="SchoolBookSanPin"/>
          <w:bCs/>
        </w:rPr>
        <w:t>формирующей (</w:t>
      </w:r>
      <w:r>
        <w:rPr>
          <w:rFonts w:ascii="Times New Roman" w:hAnsi="Times New Roman" w:eastAsia="SchoolBookSanPin"/>
        </w:rPr>
        <w:t xml:space="preserve">поддерживающей и направляющей усилия обучающегося, включающей его в самостоятельную оценочную деятельность) и </w:t>
      </w:r>
      <w:r>
        <w:rPr>
          <w:rFonts w:ascii="Times New Roman" w:hAnsi="Times New Roman" w:eastAsia="SchoolBookSanPin"/>
          <w:bCs/>
        </w:rPr>
        <w:t>диагностической</w:t>
      </w:r>
      <w:r>
        <w:rPr>
          <w:rFonts w:ascii="Times New Roman" w:hAnsi="Times New Roman" w:eastAsia="SchoolBookSanPin"/>
        </w:rPr>
        <w:t>, способствующей выявлению и осознанию учителем и обучающимся существующих проблем в обучении.</w:t>
      </w:r>
    </w:p>
    <w:p w14:paraId="54726A6B">
      <w:pPr>
        <w:spacing w:after="0" w:line="352" w:lineRule="auto"/>
        <w:ind w:firstLine="709"/>
        <w:jc w:val="both"/>
        <w:rPr>
          <w:rFonts w:ascii="Times New Roman" w:hAnsi="Times New Roman" w:eastAsia="SchoolBookSanPin"/>
        </w:rPr>
      </w:pPr>
      <w:r>
        <w:rPr>
          <w:rFonts w:ascii="Times New Roman" w:hAnsi="Times New Roman" w:eastAsia="SchoolBookSanPin"/>
        </w:rPr>
        <w:t>1.8.37.2. Объектом текущей оценки являются тематические планируемые результаты, этапы освоения которых зафиксированы в тематическом планировании по учебному предмету.</w:t>
      </w:r>
    </w:p>
    <w:p w14:paraId="0454C7A1">
      <w:pPr>
        <w:spacing w:after="0" w:line="352" w:lineRule="auto"/>
        <w:ind w:firstLine="709"/>
        <w:jc w:val="both"/>
        <w:rPr>
          <w:rFonts w:ascii="Times New Roman" w:hAnsi="Times New Roman" w:eastAsia="SchoolBookSanPin"/>
        </w:rPr>
      </w:pPr>
      <w:r>
        <w:rPr>
          <w:rFonts w:ascii="Times New Roman" w:hAnsi="Times New Roman" w:eastAsia="SchoolBookSanPin"/>
        </w:rPr>
        <w:t xml:space="preserve">1.8.37.3. В текущей оценке используются различные формы и методы проверки (устные и письменные опросы, практические работы, творческие работы, индивидуальные и групповые формы, само- и взаимооценка, рефлексия, листы продвижения и другие) с учётом особенностей учебного предмета. </w:t>
      </w:r>
    </w:p>
    <w:p w14:paraId="676A2680">
      <w:pPr>
        <w:spacing w:after="0" w:line="352" w:lineRule="auto"/>
        <w:ind w:firstLine="709"/>
        <w:jc w:val="both"/>
        <w:rPr>
          <w:rFonts w:ascii="Times New Roman" w:hAnsi="Times New Roman" w:eastAsia="SchoolBookSanPin"/>
        </w:rPr>
      </w:pPr>
      <w:r>
        <w:rPr>
          <w:rFonts w:ascii="Times New Roman" w:hAnsi="Times New Roman" w:eastAsia="SchoolBookSanPin"/>
        </w:rPr>
        <w:t>1.8.37.4. Результаты текущей оценки являются основой для индивидуализации учебного процесса.</w:t>
      </w:r>
    </w:p>
    <w:p w14:paraId="18752E00">
      <w:pPr>
        <w:spacing w:after="0" w:line="352" w:lineRule="auto"/>
        <w:ind w:firstLine="709"/>
        <w:jc w:val="both"/>
        <w:rPr>
          <w:rFonts w:ascii="Times New Roman" w:hAnsi="Times New Roman" w:eastAsia="SchoolBookSanPin"/>
        </w:rPr>
      </w:pPr>
      <w:r>
        <w:rPr>
          <w:rFonts w:ascii="Times New Roman" w:hAnsi="Times New Roman" w:eastAsia="SchoolBookSanPin"/>
        </w:rPr>
        <w:t>1.8.38. Тематическая оценка направлена на оценку уровня достижения обучающимися тематических планируемых результатов по учебному предмету.</w:t>
      </w:r>
    </w:p>
    <w:p w14:paraId="3398FE85">
      <w:pPr>
        <w:spacing w:after="0" w:line="352" w:lineRule="auto"/>
        <w:ind w:firstLine="709"/>
        <w:jc w:val="both"/>
        <w:rPr>
          <w:rFonts w:ascii="Times New Roman" w:hAnsi="Times New Roman" w:eastAsia="SchoolBookSanPin"/>
        </w:rPr>
      </w:pPr>
      <w:r>
        <w:rPr>
          <w:rFonts w:ascii="Times New Roman" w:hAnsi="Times New Roman" w:eastAsia="SchoolBookSanPin"/>
        </w:rPr>
        <w:t xml:space="preserve">1.8.39. Промежуточная аттестация обучающихся проводится, начиная со 2 класса, в конце каждого учебного периода по каждому изучаемому учебному предмету. </w:t>
      </w:r>
    </w:p>
    <w:p w14:paraId="088B769B">
      <w:pPr>
        <w:spacing w:after="0" w:line="352" w:lineRule="auto"/>
        <w:ind w:firstLine="709"/>
        <w:jc w:val="both"/>
        <w:rPr>
          <w:rFonts w:ascii="Times New Roman" w:hAnsi="Times New Roman" w:eastAsia="SchoolBookSanPin"/>
        </w:rPr>
      </w:pPr>
      <w:r>
        <w:rPr>
          <w:rFonts w:ascii="Times New Roman" w:hAnsi="Times New Roman" w:eastAsia="SchoolBookSanPin"/>
        </w:rPr>
        <w:t>1.8.40. Промежуточная аттестация обучающихся проводится на основе результатов накопленной оценки и результатов выполнения тематических проверочных работ и фиксируется в классном журнале.</w:t>
      </w:r>
    </w:p>
    <w:p w14:paraId="2D9E529F">
      <w:pPr>
        <w:spacing w:after="0" w:line="352" w:lineRule="auto"/>
        <w:ind w:firstLine="709"/>
        <w:jc w:val="both"/>
        <w:rPr>
          <w:rFonts w:ascii="Times New Roman" w:hAnsi="Times New Roman" w:eastAsia="SchoolBookSanPin"/>
        </w:rPr>
      </w:pPr>
      <w:r>
        <w:rPr>
          <w:rFonts w:ascii="Times New Roman" w:hAnsi="Times New Roman" w:eastAsia="SchoolBookSanPin"/>
        </w:rPr>
        <w:t>1.8.41. Промежуточная оценка, фиксирующая достижение предметных планируемых результатов и универсальных учебных действий, является основанием для перевода обучающихся в следующий класс.</w:t>
      </w:r>
    </w:p>
    <w:p w14:paraId="3360CD57">
      <w:pPr>
        <w:spacing w:after="0" w:line="352" w:lineRule="auto"/>
        <w:ind w:firstLine="709"/>
        <w:jc w:val="both"/>
        <w:rPr>
          <w:rFonts w:ascii="Times New Roman" w:hAnsi="Times New Roman" w:eastAsia="SchoolBookSanPin"/>
        </w:rPr>
      </w:pPr>
      <w:r>
        <w:rPr>
          <w:rFonts w:ascii="Times New Roman" w:hAnsi="Times New Roman" w:eastAsia="SchoolBookSanPin"/>
        </w:rPr>
        <w:t>1.8.42. Итоговая оценка является процедурой внутренней оценки образовательной организации и складывается из результатов накопленной оценки и итоговой работы по учебному предмету. Предметом итоговой оценки является способность обучающихся решать учебно-познавательные и учебно-практические задачи, построенные на основном содержании учебного предмета с учётом формируемых метапредметных действий.</w:t>
      </w:r>
    </w:p>
    <w:p w14:paraId="7C384C15">
      <w:pPr>
        <w:spacing w:after="0" w:line="355" w:lineRule="auto"/>
        <w:jc w:val="center"/>
        <w:rPr>
          <w:rFonts w:ascii="Times New Roman" w:hAnsi="Times New Roman" w:eastAsia="SchoolBookSanPin"/>
          <w:b/>
        </w:rPr>
      </w:pPr>
      <w:r>
        <w:rPr>
          <w:rFonts w:ascii="Times New Roman" w:hAnsi="Times New Roman" w:eastAsia="SchoolBookSanPin"/>
          <w:b/>
        </w:rPr>
        <w:t>II. Содержательный раздел</w:t>
      </w:r>
    </w:p>
    <w:p w14:paraId="68A7369A">
      <w:pPr>
        <w:spacing w:after="0" w:line="360" w:lineRule="auto"/>
        <w:ind w:firstLine="709"/>
        <w:jc w:val="both"/>
        <w:rPr>
          <w:rFonts w:ascii="Times New Roman" w:hAnsi="Times New Roman" w:eastAsia="SchoolBookSanPin"/>
        </w:rPr>
      </w:pPr>
      <w:r>
        <w:rPr>
          <w:rFonts w:ascii="Times New Roman" w:hAnsi="Times New Roman" w:eastAsia="SchoolBookSanPin"/>
        </w:rPr>
        <w:t>Содержательный раздел ООП НОО включает следующие программы, ориентированные на достижение предметных, метапредметных и личностных результатов:</w:t>
      </w:r>
    </w:p>
    <w:p w14:paraId="3D8893B0">
      <w:pPr>
        <w:spacing w:after="0" w:line="360" w:lineRule="auto"/>
        <w:ind w:firstLine="709"/>
        <w:jc w:val="both"/>
        <w:rPr>
          <w:rFonts w:ascii="Times New Roman" w:hAnsi="Times New Roman" w:eastAsia="SchoolBookSanPin"/>
        </w:rPr>
      </w:pPr>
      <w:r>
        <w:rPr>
          <w:rFonts w:ascii="Times New Roman" w:hAnsi="Times New Roman" w:eastAsia="SchoolBookSanPin"/>
        </w:rPr>
        <w:t>рабочие программы учебных предметов;</w:t>
      </w:r>
    </w:p>
    <w:p w14:paraId="7D2C1038">
      <w:pPr>
        <w:spacing w:after="0" w:line="360" w:lineRule="auto"/>
        <w:ind w:firstLine="709"/>
        <w:jc w:val="both"/>
        <w:rPr>
          <w:rFonts w:ascii="Times New Roman" w:hAnsi="Times New Roman" w:eastAsia="SchoolBookSanPin"/>
        </w:rPr>
      </w:pPr>
      <w:r>
        <w:rPr>
          <w:rFonts w:ascii="Times New Roman" w:hAnsi="Times New Roman" w:eastAsia="SchoolBookSanPin"/>
        </w:rPr>
        <w:t>программу формирования универсальных учебных действий у обучающихся;</w:t>
      </w:r>
    </w:p>
    <w:p w14:paraId="096A5F8E">
      <w:pPr>
        <w:spacing w:after="0" w:line="360" w:lineRule="auto"/>
        <w:ind w:firstLine="709"/>
        <w:jc w:val="both"/>
        <w:rPr>
          <w:rFonts w:ascii="Times New Roman" w:hAnsi="Times New Roman" w:eastAsia="SchoolBookSanPin"/>
        </w:rPr>
      </w:pPr>
      <w:r>
        <w:rPr>
          <w:rFonts w:ascii="Times New Roman" w:hAnsi="Times New Roman" w:eastAsia="SchoolBookSanPin"/>
        </w:rPr>
        <w:t>рабочую программу воспитания.</w:t>
      </w:r>
    </w:p>
    <w:p w14:paraId="010BC14F">
      <w:pPr>
        <w:spacing w:after="0" w:line="360" w:lineRule="auto"/>
        <w:jc w:val="both"/>
        <w:rPr>
          <w:rFonts w:ascii="Times New Roman" w:hAnsi="Times New Roman" w:eastAsia="SchoolBookSanPin"/>
        </w:rPr>
      </w:pPr>
      <w:r>
        <w:rPr>
          <w:rFonts w:ascii="Times New Roman" w:hAnsi="Times New Roman" w:eastAsia="SchoolBookSanPin"/>
        </w:rPr>
        <w:t> Рабочие программы учебных предметов обеспечивают достижение планируемых результатов освоения ООП НОО и разработаны на основе требований ФГОС НОО к результатам освоения программы начального общего образования.</w:t>
      </w:r>
    </w:p>
    <w:p w14:paraId="5927E5B9">
      <w:pPr>
        <w:pStyle w:val="2"/>
        <w:pBdr>
          <w:bottom w:val="none" w:color="auto" w:sz="0" w:space="0"/>
        </w:pBdr>
        <w:spacing w:before="0" w:line="360" w:lineRule="auto"/>
        <w:ind w:firstLine="708"/>
        <w:jc w:val="both"/>
        <w:rPr>
          <w:b w:val="0"/>
          <w:sz w:val="22"/>
          <w:szCs w:val="22"/>
        </w:rPr>
      </w:pPr>
      <w:r>
        <w:rPr>
          <w:rFonts w:eastAsia="SchoolBookSanPin"/>
          <w:b w:val="0"/>
          <w:sz w:val="22"/>
          <w:szCs w:val="22"/>
        </w:rPr>
        <w:t>2. </w:t>
      </w:r>
      <w:r>
        <w:rPr>
          <w:b w:val="0"/>
          <w:sz w:val="22"/>
          <w:szCs w:val="22"/>
        </w:rPr>
        <w:t>Федеральная р</w:t>
      </w:r>
      <w:r>
        <w:rPr>
          <w:rFonts w:eastAsia="SchoolBookSanPin"/>
          <w:b w:val="0"/>
          <w:sz w:val="22"/>
          <w:szCs w:val="22"/>
        </w:rPr>
        <w:t>абочая программа по учебному предмету «Русский язык».</w:t>
      </w:r>
      <w:r>
        <w:rPr>
          <w:b w:val="0"/>
          <w:sz w:val="22"/>
          <w:szCs w:val="22"/>
        </w:rPr>
        <w:t xml:space="preserve"> </w:t>
      </w:r>
    </w:p>
    <w:p w14:paraId="55686F69">
      <w:pPr>
        <w:spacing w:after="0" w:line="355" w:lineRule="auto"/>
        <w:ind w:firstLine="709"/>
        <w:jc w:val="both"/>
        <w:rPr>
          <w:rFonts w:ascii="Times New Roman" w:hAnsi="Times New Roman" w:eastAsia="SchoolBookSanPin"/>
        </w:rPr>
      </w:pPr>
      <w:r>
        <w:rPr>
          <w:rFonts w:ascii="Times New Roman" w:hAnsi="Times New Roman" w:eastAsia="SchoolBookSanPin"/>
        </w:rPr>
        <w:t>2.1.</w:t>
      </w:r>
      <w:r>
        <w:rPr>
          <w:rFonts w:ascii="Times New Roman" w:hAnsi="Times New Roman"/>
        </w:rPr>
        <w:t xml:space="preserve"> </w:t>
      </w:r>
      <w:bookmarkEnd w:id="0"/>
      <w:bookmarkStart w:id="1" w:name="_Hlk115428603"/>
      <w:r>
        <w:rPr>
          <w:rFonts w:ascii="Times New Roman" w:hAnsi="Times New Roman"/>
        </w:rPr>
        <w:t>Федеральная р</w:t>
      </w:r>
      <w:r>
        <w:rPr>
          <w:rFonts w:ascii="Times New Roman" w:hAnsi="Times New Roman" w:eastAsia="SchoolBookSanPin"/>
        </w:rPr>
        <w:t>абочая программа по учебному предмету «Русский язык» (предметная область «Русский язык и литературное чтение») (далее соответственно – программа по русскому языку, русский язык) включает пояснительную записку, содержание обучения, планируемые результаты освоения программы по русскому языку.</w:t>
      </w:r>
    </w:p>
    <w:p w14:paraId="1E93F34F">
      <w:pPr>
        <w:spacing w:after="0" w:line="355" w:lineRule="auto"/>
        <w:ind w:firstLine="709"/>
        <w:jc w:val="both"/>
        <w:rPr>
          <w:rFonts w:ascii="Times New Roman" w:hAnsi="Times New Roman" w:eastAsia="SchoolBookSanPin"/>
        </w:rPr>
      </w:pPr>
      <w:r>
        <w:rPr>
          <w:rFonts w:ascii="Times New Roman" w:hAnsi="Times New Roman" w:eastAsia="SchoolBookSanPin"/>
        </w:rPr>
        <w:t>2.2. Пояснительная записка отражает общие цели и задачи изучения русского языка, характеристику психологических предпосылок к его изучению обучающимися; место в структуре учебного плана, а также подходы к отбору содержания, к определению планируемых результатов и к структуре тематического планирования.</w:t>
      </w:r>
    </w:p>
    <w:p w14:paraId="708C9689">
      <w:pPr>
        <w:spacing w:after="0" w:line="355" w:lineRule="auto"/>
        <w:ind w:firstLine="709"/>
        <w:jc w:val="both"/>
        <w:rPr>
          <w:rFonts w:ascii="Times New Roman" w:hAnsi="Times New Roman" w:eastAsia="SchoolBookSanPin"/>
        </w:rPr>
      </w:pPr>
      <w:r>
        <w:rPr>
          <w:rFonts w:ascii="Times New Roman" w:hAnsi="Times New Roman" w:eastAsia="SchoolBookSanPin"/>
        </w:rPr>
        <w:t xml:space="preserve">2.3. Содержание обучения раскрывает содержательные линии, которые предлагаются для обязательного изучения в каждом классе на уровне начального общего образования. Содержание обучения в каждом классе завершается перечнем универсальных учебных действий – познавательных, коммуникативных и регулятивных, которые возможно формировать средствами русского языка с учётом возрастных особенностей обучающихся на уровне начального общего образования. </w:t>
      </w:r>
    </w:p>
    <w:p w14:paraId="69A2B00F">
      <w:pPr>
        <w:spacing w:after="0" w:line="355" w:lineRule="auto"/>
        <w:ind w:firstLine="709"/>
        <w:jc w:val="both"/>
        <w:rPr>
          <w:rFonts w:ascii="Times New Roman" w:hAnsi="Times New Roman" w:eastAsia="SchoolBookSanPin"/>
        </w:rPr>
      </w:pPr>
      <w:r>
        <w:rPr>
          <w:rFonts w:ascii="Times New Roman" w:hAnsi="Times New Roman" w:eastAsia="SchoolBookSanPin"/>
        </w:rPr>
        <w:t>2.4. Планируемые результаты освоения программы по русскому языку включают личностные, метапредметные результаты за весь период обучения на уровне начального общего образования, а также предметные достижения обучающегося за каждый год обучения.</w:t>
      </w:r>
    </w:p>
    <w:p w14:paraId="3103CCD1">
      <w:pPr>
        <w:spacing w:after="0" w:line="355" w:lineRule="auto"/>
        <w:ind w:firstLine="709"/>
        <w:rPr>
          <w:rFonts w:ascii="Times New Roman" w:hAnsi="Times New Roman" w:eastAsia="OfficinaSansBoldITC"/>
        </w:rPr>
      </w:pPr>
      <w:r>
        <w:rPr>
          <w:rFonts w:ascii="Times New Roman" w:hAnsi="Times New Roman" w:eastAsia="OfficinaSansBoldITC"/>
        </w:rPr>
        <w:t>2.5. Пояснительная записка.</w:t>
      </w:r>
    </w:p>
    <w:p w14:paraId="287F06C0">
      <w:pPr>
        <w:spacing w:after="0" w:line="355" w:lineRule="auto"/>
        <w:ind w:firstLine="709"/>
        <w:jc w:val="both"/>
        <w:rPr>
          <w:rFonts w:ascii="Times New Roman" w:hAnsi="Times New Roman" w:eastAsia="SchoolBookSanPin"/>
        </w:rPr>
      </w:pPr>
      <w:r>
        <w:rPr>
          <w:rFonts w:ascii="Times New Roman" w:hAnsi="Times New Roman" w:eastAsia="SchoolBookSanPin"/>
        </w:rPr>
        <w:t>2.5.1. Программа по русскому языку на уровне начального общего образования составлена на основе требований к результатам освоения программы начального общего образования ФГОС НОО, а также ориентирована на целевые приоритеты, сформулированные в федеральной рабочей программе воспитания.</w:t>
      </w:r>
    </w:p>
    <w:p w14:paraId="5B736759">
      <w:pPr>
        <w:spacing w:after="0" w:line="355" w:lineRule="auto"/>
        <w:ind w:firstLine="709"/>
        <w:jc w:val="both"/>
        <w:rPr>
          <w:rFonts w:ascii="Times New Roman" w:hAnsi="Times New Roman" w:eastAsia="SchoolBookSanPin"/>
        </w:rPr>
      </w:pPr>
      <w:r>
        <w:rPr>
          <w:rFonts w:ascii="Times New Roman" w:hAnsi="Times New Roman" w:eastAsia="SchoolBookSanPin"/>
        </w:rPr>
        <w:t xml:space="preserve">2.5.2. На уровне начального общего образования изучение русского языка имеет особое значение в развитии обучающегося. Приобретённые знания, опыт выполнения предметных и универсальных учебных действий на материале русского языка станут фундаментом обучения на уровне основного общего образования, а также будут востребованы в жизни. </w:t>
      </w:r>
    </w:p>
    <w:p w14:paraId="5E860457">
      <w:pPr>
        <w:spacing w:after="0" w:line="355" w:lineRule="auto"/>
        <w:ind w:firstLine="709"/>
        <w:jc w:val="both"/>
        <w:rPr>
          <w:rFonts w:ascii="Times New Roman" w:hAnsi="Times New Roman" w:eastAsia="SchoolBookSanPin"/>
        </w:rPr>
      </w:pPr>
      <w:r>
        <w:rPr>
          <w:rFonts w:ascii="Times New Roman" w:hAnsi="Times New Roman" w:eastAsia="SchoolBookSanPin"/>
        </w:rPr>
        <w:t>2.5.3. Русский язык как средство познания действительности обеспечивает развитие интеллектуальных и творческих способностей обучающихся, формирует умения извлекать и анализировать информацию из различных текстов, навыки самостоятельной учебной деятельности. Изучение русского языка является основой всего процесса обучения на уровне начального общего образования, успехи в изучении этого предмета во многом определяют результаты обучающихся по другим учебным предметам.</w:t>
      </w:r>
    </w:p>
    <w:p w14:paraId="30003013">
      <w:pPr>
        <w:spacing w:after="0" w:line="355" w:lineRule="auto"/>
        <w:ind w:firstLine="709"/>
        <w:jc w:val="both"/>
        <w:rPr>
          <w:rFonts w:ascii="Times New Roman" w:hAnsi="Times New Roman" w:eastAsia="SchoolBookSanPin"/>
        </w:rPr>
      </w:pPr>
      <w:r>
        <w:rPr>
          <w:rFonts w:ascii="Times New Roman" w:hAnsi="Times New Roman" w:eastAsia="SchoolBookSanPin"/>
        </w:rPr>
        <w:t xml:space="preserve">2.5.4. Русский язык обладает значительным потенциалом в развитии функциональной грамотности обучающихся, особенно таких её компонентов, как языковая, коммуникативная, читательская, общекультурная и социальная грамотность. </w:t>
      </w:r>
    </w:p>
    <w:p w14:paraId="752E6386">
      <w:pPr>
        <w:spacing w:after="0" w:line="355" w:lineRule="auto"/>
        <w:ind w:firstLine="709"/>
        <w:jc w:val="both"/>
        <w:rPr>
          <w:rFonts w:ascii="Times New Roman" w:hAnsi="Times New Roman" w:eastAsia="SchoolBookSanPin"/>
        </w:rPr>
      </w:pPr>
      <w:r>
        <w:rPr>
          <w:rFonts w:ascii="Times New Roman" w:hAnsi="Times New Roman" w:eastAsia="SchoolBookSanPin"/>
        </w:rPr>
        <w:t>2.5.5. Первичное знакомство с системой русского языка, богатством его выразительных возможностей, развитие умения правильно и эффективно использовать русский язык в различных сферах и ситуациях общения способствуют успешной социализации обучающегося. Русский язык, выполняя свои базовые функции общения и выражения мысли, обеспечивает межличностное и социальное взаимодействие, способствует формированию самосознания и мировоззрения личности, является важнейшим средством хранения и передачи информации, культурных традиций, истории русского народа и других народов России. Свободное владение языком, умение выбирать нужные языковые средства во многом определяют возможность самовыражения взглядов, мыслей, чувств, проявления себя в различных жизненно важных для человека областях.</w:t>
      </w:r>
    </w:p>
    <w:p w14:paraId="4DAF4B74">
      <w:pPr>
        <w:spacing w:after="0" w:line="355" w:lineRule="auto"/>
        <w:ind w:firstLine="709"/>
        <w:jc w:val="both"/>
        <w:rPr>
          <w:rFonts w:ascii="Times New Roman" w:hAnsi="Times New Roman" w:eastAsia="SchoolBookSanPin"/>
        </w:rPr>
      </w:pPr>
      <w:r>
        <w:rPr>
          <w:rFonts w:ascii="Times New Roman" w:hAnsi="Times New Roman" w:eastAsia="SchoolBookSanPin"/>
        </w:rPr>
        <w:t xml:space="preserve">2.5.6. Изучение русского языка обладает огромным потенциалом присвоения традиционных социокультурных и духовно-нравственных ценностей, принятых в обществе правил и норм поведения, в том числе речевого, что способствует формированию внутренней позиции личности. Личностные достижения обучающегося непосредственно связаны с осознанием языка как явления национальной культуры, пониманием связи языка и мировоззрения народа. Значимыми личностными результатами являются развитие устойчивого познавательного интереса к изучению русского языка, формирование ответственности за сохранение чистоты русского языка. </w:t>
      </w:r>
    </w:p>
    <w:p w14:paraId="4C11BA45">
      <w:pPr>
        <w:spacing w:after="0" w:line="355" w:lineRule="auto"/>
        <w:ind w:firstLine="709"/>
        <w:jc w:val="both"/>
        <w:rPr>
          <w:rFonts w:ascii="Times New Roman" w:hAnsi="Times New Roman" w:eastAsia="SchoolBookSanPin"/>
        </w:rPr>
      </w:pPr>
      <w:r>
        <w:rPr>
          <w:rFonts w:ascii="Times New Roman" w:hAnsi="Times New Roman" w:eastAsia="SchoolBookSanPin"/>
        </w:rPr>
        <w:t>2.5.7. Изучение русского языка направлено на достижение следующих целей:</w:t>
      </w:r>
    </w:p>
    <w:p w14:paraId="013B3467">
      <w:pPr>
        <w:spacing w:after="0" w:line="355" w:lineRule="auto"/>
        <w:ind w:firstLine="709"/>
        <w:jc w:val="both"/>
        <w:rPr>
          <w:rFonts w:ascii="Times New Roman" w:hAnsi="Times New Roman" w:eastAsia="SchoolBookSanPin"/>
        </w:rPr>
      </w:pPr>
      <w:r>
        <w:rPr>
          <w:rFonts w:ascii="Times New Roman" w:hAnsi="Times New Roman" w:eastAsia="SchoolBookSanPin"/>
        </w:rPr>
        <w:t>приобретение обучающимися первоначальных представлений о многообразии языков и культур на территории Российской Федерации, о языке как одной из главных духовно-нравственных ценностей народа; понимание роли языка как основного средства общения; осознание значения русского языка как государственного языка Российской Федерации; понимание роли русского языка как языка межнационального общения; осознание правильной устной и письменной речи как показателя общей культуры человека;</w:t>
      </w:r>
    </w:p>
    <w:p w14:paraId="780C3839">
      <w:pPr>
        <w:spacing w:after="0" w:line="355" w:lineRule="auto"/>
        <w:ind w:firstLine="709"/>
        <w:jc w:val="both"/>
        <w:rPr>
          <w:rFonts w:ascii="Times New Roman" w:hAnsi="Times New Roman" w:eastAsia="SchoolBookSanPin"/>
        </w:rPr>
      </w:pPr>
      <w:r>
        <w:rPr>
          <w:rFonts w:ascii="Times New Roman" w:hAnsi="Times New Roman" w:eastAsia="SchoolBookSanPin"/>
        </w:rPr>
        <w:t>овладение основными видами речевой деятельности на основе первоначальных представлений о нормах современного русского литературного языка: аудирование, говорение, чтение, письмо;</w:t>
      </w:r>
    </w:p>
    <w:p w14:paraId="56ECB207">
      <w:pPr>
        <w:spacing w:after="0" w:line="355" w:lineRule="auto"/>
        <w:ind w:firstLine="709"/>
        <w:jc w:val="both"/>
        <w:rPr>
          <w:rFonts w:ascii="Times New Roman" w:hAnsi="Times New Roman" w:eastAsia="SchoolBookSanPin"/>
        </w:rPr>
      </w:pPr>
      <w:r>
        <w:rPr>
          <w:rFonts w:ascii="Times New Roman" w:hAnsi="Times New Roman" w:eastAsia="SchoolBookSanPin"/>
        </w:rPr>
        <w:t>овладение первоначальными научными представлениями о системе русского языка: фонетика, графика, лексика, морфемика, морфология и синтаксис; об основных единицах языка, их признаках и особенностях употребления в речи; использование в речевой деятельности норм современного русского литературного языка (орфоэпических, лексических, грамматических, орфографических, пунктуационных) и речевого этикета;</w:t>
      </w:r>
    </w:p>
    <w:p w14:paraId="4937BCBE">
      <w:pPr>
        <w:spacing w:after="0" w:line="355" w:lineRule="auto"/>
        <w:ind w:firstLine="709"/>
        <w:jc w:val="both"/>
        <w:rPr>
          <w:rFonts w:ascii="Times New Roman" w:hAnsi="Times New Roman" w:eastAsia="SchoolBookSanPin"/>
        </w:rPr>
      </w:pPr>
      <w:r>
        <w:rPr>
          <w:rFonts w:ascii="Times New Roman" w:hAnsi="Times New Roman" w:eastAsia="SchoolBookSanPin"/>
        </w:rPr>
        <w:t>развитие функциональной грамотности, готовности к успешному взаимодействию с изменяющимся миром и дальнейшему успешному образованию.</w:t>
      </w:r>
    </w:p>
    <w:p w14:paraId="70CB4322">
      <w:pPr>
        <w:spacing w:after="0" w:line="355" w:lineRule="auto"/>
        <w:ind w:firstLine="709"/>
        <w:jc w:val="both"/>
        <w:rPr>
          <w:rFonts w:ascii="Times New Roman" w:hAnsi="Times New Roman" w:eastAsia="SchoolBookSanPin"/>
        </w:rPr>
      </w:pPr>
      <w:r>
        <w:rPr>
          <w:rFonts w:ascii="Times New Roman" w:hAnsi="Times New Roman" w:eastAsia="SchoolBookSanPin"/>
        </w:rPr>
        <w:t>2.5.8. Центральной идеей конструирования содержания и планируемых результатов обучения русскому языку является признание равной значимости работы по изучению системы языка и работы по совершенствованию речи обучающихся. Языковой материал призван сформировать первоначальные представления о структуре русского языка, способствовать усвоению норм русского литературного языка, орфографических и пунктуационных правил.</w:t>
      </w:r>
    </w:p>
    <w:p w14:paraId="5892DD85">
      <w:pPr>
        <w:spacing w:after="0" w:line="355" w:lineRule="auto"/>
        <w:ind w:firstLine="709"/>
        <w:jc w:val="both"/>
        <w:rPr>
          <w:rFonts w:ascii="Times New Roman" w:hAnsi="Times New Roman" w:eastAsia="SchoolBookSanPin"/>
        </w:rPr>
      </w:pPr>
      <w:r>
        <w:rPr>
          <w:rFonts w:ascii="Times New Roman" w:hAnsi="Times New Roman" w:eastAsia="SchoolBookSanPin"/>
        </w:rPr>
        <w:t>2.5.9. Развитие устной и письменной речи обучающихся направлено на решение практической задачи развития всех видов речевой деятельности, отработку навыков использования усвоенных норм русского литературного языка, речевых норм и правил речевого этикета в процессе устного и письменного общения. Ряд задач по совершенствованию речевой деятельности решаются совместно с учебным предметом «Литературное чтение».</w:t>
      </w:r>
    </w:p>
    <w:p w14:paraId="53B7B0AC">
      <w:pPr>
        <w:spacing w:after="0" w:line="355" w:lineRule="auto"/>
        <w:ind w:firstLine="709"/>
        <w:jc w:val="both"/>
        <w:rPr>
          <w:rFonts w:ascii="Times New Roman" w:hAnsi="Times New Roman" w:eastAsia="SchoolBookSanPin"/>
        </w:rPr>
      </w:pPr>
      <w:r>
        <w:rPr>
          <w:rFonts w:ascii="Times New Roman" w:hAnsi="Times New Roman" w:eastAsia="SchoolBookSanPin"/>
        </w:rPr>
        <w:t xml:space="preserve">2.5.10. Программа по русскому языку позволит </w:t>
      </w:r>
      <w:r>
        <w:rPr>
          <w:rFonts w:ascii="Times New Roman" w:hAnsi="Times New Roman"/>
        </w:rPr>
        <w:t>педагогическому работнику</w:t>
      </w:r>
      <w:r>
        <w:rPr>
          <w:rFonts w:ascii="Times New Roman" w:hAnsi="Times New Roman" w:eastAsia="SchoolBookSanPin"/>
        </w:rPr>
        <w:t>:</w:t>
      </w:r>
    </w:p>
    <w:p w14:paraId="7DBE84A5">
      <w:pPr>
        <w:spacing w:after="0" w:line="355" w:lineRule="auto"/>
        <w:ind w:firstLine="709"/>
        <w:jc w:val="both"/>
        <w:rPr>
          <w:rFonts w:ascii="Times New Roman" w:hAnsi="Times New Roman" w:eastAsia="SchoolBookSanPin"/>
        </w:rPr>
      </w:pPr>
      <w:r>
        <w:rPr>
          <w:rFonts w:ascii="Times New Roman" w:hAnsi="Times New Roman" w:eastAsia="SchoolBookSanPin"/>
        </w:rPr>
        <w:t>реализовать в процессе преподавания русского языка современные подходы к достижению личностных, метапредметных и предметных результатов обучения, сформулированных в ФГОС НОО;</w:t>
      </w:r>
    </w:p>
    <w:p w14:paraId="03D87513">
      <w:pPr>
        <w:spacing w:after="0" w:line="355" w:lineRule="auto"/>
        <w:ind w:firstLine="709"/>
        <w:jc w:val="both"/>
        <w:rPr>
          <w:rFonts w:ascii="Times New Roman" w:hAnsi="Times New Roman" w:eastAsia="SchoolBookSanPin"/>
        </w:rPr>
      </w:pPr>
      <w:r>
        <w:rPr>
          <w:rFonts w:ascii="Times New Roman" w:hAnsi="Times New Roman" w:eastAsia="SchoolBookSanPin"/>
        </w:rPr>
        <w:t>определить и структурировать планируемые результаты обучения и содержание русского языка по годам обучения в соответствии с ФГОС НОО;</w:t>
      </w:r>
    </w:p>
    <w:p w14:paraId="73028F2D">
      <w:pPr>
        <w:spacing w:after="0" w:line="355" w:lineRule="auto"/>
        <w:ind w:firstLine="709"/>
        <w:jc w:val="both"/>
        <w:rPr>
          <w:rFonts w:ascii="Times New Roman" w:hAnsi="Times New Roman" w:eastAsia="SchoolBookSanPin"/>
        </w:rPr>
      </w:pPr>
      <w:r>
        <w:rPr>
          <w:rFonts w:ascii="Times New Roman" w:hAnsi="Times New Roman" w:eastAsia="SchoolBookSanPin"/>
        </w:rPr>
        <w:t>разработать календарно­тематическое планирование с учётом особенностей конкретного класса.</w:t>
      </w:r>
    </w:p>
    <w:p w14:paraId="718CC414">
      <w:pPr>
        <w:spacing w:after="0" w:line="355" w:lineRule="auto"/>
        <w:ind w:firstLine="709"/>
        <w:jc w:val="both"/>
        <w:rPr>
          <w:rFonts w:ascii="Times New Roman" w:hAnsi="Times New Roman" w:eastAsia="SchoolBookSanPin"/>
        </w:rPr>
      </w:pPr>
      <w:r>
        <w:rPr>
          <w:rFonts w:ascii="Times New Roman" w:hAnsi="Times New Roman" w:eastAsia="SchoolBookSanPin"/>
        </w:rPr>
        <w:t>2.5.11. В программе по русскому языку определяются цели изучения учебного предмета на уровне начального общего образования, планируемые результаты освоения обучающимися русского языка: личностные, метапредметные, предметные. Личностные и метапредметные результаты представлены с учётом методических традиций и особенностей преподавания русского языка на уровне начального общего образования. Предметные планируемые результаты освоения программы даны для каждого года русского языка.</w:t>
      </w:r>
    </w:p>
    <w:p w14:paraId="58BC4D35">
      <w:pPr>
        <w:autoSpaceDE w:val="0"/>
        <w:autoSpaceDN w:val="0"/>
        <w:adjustRightInd w:val="0"/>
        <w:spacing w:after="0" w:line="355" w:lineRule="auto"/>
        <w:ind w:firstLine="709"/>
        <w:jc w:val="both"/>
        <w:rPr>
          <w:rFonts w:ascii="Times New Roman" w:hAnsi="Times New Roman" w:eastAsia="SchoolBookSanPin"/>
        </w:rPr>
      </w:pPr>
      <w:r>
        <w:rPr>
          <w:rFonts w:ascii="Times New Roman" w:hAnsi="Times New Roman" w:eastAsia="SchoolBookSanPin"/>
        </w:rPr>
        <w:t xml:space="preserve">2.5.12. Программа по русскому языку устанавливает распределение учебного материала по классам, основанное на логике развития предметного содержания и учёте психологических и возрастных особенностей обучающихся. </w:t>
      </w:r>
    </w:p>
    <w:p w14:paraId="77DBEB38">
      <w:pPr>
        <w:spacing w:after="0" w:line="355" w:lineRule="auto"/>
        <w:ind w:firstLine="709"/>
        <w:jc w:val="both"/>
        <w:rPr>
          <w:rFonts w:ascii="Times New Roman" w:hAnsi="Times New Roman" w:eastAsia="SchoolBookSanPin"/>
        </w:rPr>
      </w:pPr>
      <w:r>
        <w:rPr>
          <w:rFonts w:ascii="Times New Roman" w:hAnsi="Times New Roman" w:eastAsia="SchoolBookSanPin"/>
        </w:rPr>
        <w:t>2.5.13. Программа по русскому языку предоставляет возможности для реализации различных методических подходов к преподаванию русского языка при условии сохранения обязательной части содержания учебного предмета.</w:t>
      </w:r>
    </w:p>
    <w:p w14:paraId="66AE7515">
      <w:pPr>
        <w:pStyle w:val="85"/>
        <w:spacing w:before="200"/>
        <w:ind w:firstLine="540"/>
        <w:jc w:val="both"/>
        <w:rPr>
          <w:color w:val="auto"/>
          <w:sz w:val="22"/>
          <w:szCs w:val="22"/>
        </w:rPr>
      </w:pPr>
      <w:r>
        <w:rPr>
          <w:rFonts w:eastAsia="SchoolBookSanPin"/>
          <w:color w:val="auto"/>
          <w:sz w:val="22"/>
          <w:szCs w:val="22"/>
        </w:rPr>
        <w:t xml:space="preserve">2.5.14. </w:t>
      </w:r>
      <w:r>
        <w:rPr>
          <w:color w:val="auto"/>
          <w:sz w:val="22"/>
          <w:szCs w:val="22"/>
        </w:rPr>
        <w:t>Содержание программы по русскому языку составлено таким образом, что достижение обучающимися как личностных, так и метапредметных результатов обеспечивает преемственность и перспективность в изучении русского языка на уровне начального общего образования и готовности обучающегося к дальнейшему обучению.</w:t>
      </w:r>
    </w:p>
    <w:p w14:paraId="3BC7A1C5">
      <w:pPr>
        <w:pStyle w:val="85"/>
        <w:spacing w:before="200"/>
        <w:ind w:firstLine="540"/>
        <w:jc w:val="both"/>
        <w:rPr>
          <w:color w:val="auto"/>
          <w:sz w:val="22"/>
          <w:szCs w:val="22"/>
        </w:rPr>
      </w:pPr>
      <w:r>
        <w:rPr>
          <w:color w:val="auto"/>
          <w:sz w:val="22"/>
          <w:szCs w:val="22"/>
        </w:rPr>
        <w:t>Общее число часов, рекомендованных для изучения русского языка, - 675 (5 часов в неделю в каждом классе): в 1 классе - 165 часов, во 2 - 4 классах - по 170 часов.</w:t>
      </w:r>
    </w:p>
    <w:p w14:paraId="0094ABBA">
      <w:pPr>
        <w:spacing w:after="0" w:line="350" w:lineRule="auto"/>
        <w:ind w:firstLine="709"/>
        <w:jc w:val="both"/>
        <w:rPr>
          <w:rFonts w:ascii="Times New Roman" w:hAnsi="Times New Roman" w:eastAsia="OfficinaSansBoldITC"/>
        </w:rPr>
      </w:pPr>
      <w:r>
        <w:rPr>
          <w:rFonts w:ascii="Times New Roman" w:hAnsi="Times New Roman" w:eastAsia="OfficinaSansBoldITC"/>
        </w:rPr>
        <w:t>2.6. Содержание обучения в 1 классе.</w:t>
      </w:r>
    </w:p>
    <w:p w14:paraId="125DC94A">
      <w:pPr>
        <w:spacing w:after="0" w:line="350" w:lineRule="auto"/>
        <w:ind w:firstLine="709"/>
        <w:jc w:val="both"/>
        <w:rPr>
          <w:rFonts w:ascii="Times New Roman" w:hAnsi="Times New Roman" w:eastAsia="OfficinaSansBoldITC"/>
        </w:rPr>
      </w:pPr>
      <w:r>
        <w:rPr>
          <w:rFonts w:ascii="Times New Roman" w:hAnsi="Times New Roman" w:eastAsia="OfficinaSansBoldITC"/>
        </w:rPr>
        <w:t>2.6.1. Обучение грамоте.</w:t>
      </w:r>
    </w:p>
    <w:p w14:paraId="5657C414">
      <w:pPr>
        <w:spacing w:after="0" w:line="350" w:lineRule="auto"/>
        <w:ind w:firstLine="709"/>
        <w:jc w:val="both"/>
        <w:rPr>
          <w:rFonts w:ascii="Times New Roman" w:hAnsi="Times New Roman"/>
        </w:rPr>
      </w:pPr>
      <w:r>
        <w:rPr>
          <w:rFonts w:ascii="Times New Roman" w:hAnsi="Times New Roman"/>
        </w:rPr>
        <w:t>Начальным этапом изучения учебных предметов «Русский язык», «Литературное чтение» в 1 классе является учебный курс «Обучение грамоте»: обучение письму идёт параллельно с обучением чтению. На учебный курс «Обучение грамоте» рекомендуется отводить 8 часов в неделю: 5 часов учебного предмета «Русский язык» (обучение письму) и 3 часа учебного предмета «Литературное чтение» (обучение чтению). Продолжительность учебного курса «Обучение грамоте» зависит от уровня подготовки класса и может составлять от 20 до 23 недель, соответственно, продолжительность изучения систематического курса в 1 классе может варьироваться от 10 до 13 недель.</w:t>
      </w:r>
    </w:p>
    <w:p w14:paraId="6BBD5579">
      <w:pPr>
        <w:spacing w:after="0" w:line="355" w:lineRule="auto"/>
        <w:ind w:firstLine="709"/>
        <w:jc w:val="both"/>
        <w:rPr>
          <w:rFonts w:ascii="Times New Roman" w:hAnsi="Times New Roman" w:eastAsia="OfficinaSansBoldITC"/>
        </w:rPr>
      </w:pPr>
      <w:r>
        <w:rPr>
          <w:rFonts w:ascii="Times New Roman" w:hAnsi="Times New Roman" w:eastAsia="OfficinaSansBoldITC"/>
        </w:rPr>
        <w:t>2.6.1.1. Развитие речи.</w:t>
      </w:r>
    </w:p>
    <w:p w14:paraId="70A371FC">
      <w:pPr>
        <w:spacing w:after="0" w:line="355" w:lineRule="auto"/>
        <w:ind w:firstLine="709"/>
        <w:jc w:val="both"/>
        <w:rPr>
          <w:rFonts w:ascii="Times New Roman" w:hAnsi="Times New Roman" w:eastAsia="SchoolBookSanPin"/>
        </w:rPr>
      </w:pPr>
      <w:r>
        <w:rPr>
          <w:rFonts w:ascii="Times New Roman" w:hAnsi="Times New Roman" w:eastAsia="SchoolBookSanPin"/>
        </w:rPr>
        <w:t>Составление небольших рассказов повествовательного характера по серии сюжетных картинок, на основе собственных игр, занятий. Участие в диалоге.</w:t>
      </w:r>
    </w:p>
    <w:p w14:paraId="7D46A834">
      <w:pPr>
        <w:spacing w:after="0" w:line="355" w:lineRule="auto"/>
        <w:ind w:firstLine="709"/>
        <w:jc w:val="both"/>
        <w:rPr>
          <w:rFonts w:ascii="Times New Roman" w:hAnsi="Times New Roman" w:eastAsia="SchoolBookSanPin"/>
        </w:rPr>
      </w:pPr>
      <w:r>
        <w:rPr>
          <w:rFonts w:ascii="Times New Roman" w:hAnsi="Times New Roman" w:eastAsia="SchoolBookSanPin"/>
        </w:rPr>
        <w:t>Понимание текста при его прослушивании и при самостоятельном чтении вслух.</w:t>
      </w:r>
      <w:r>
        <w:rPr>
          <w:rFonts w:ascii="Times New Roman" w:hAnsi="Times New Roman" w:eastAsia="Times New Roman"/>
        </w:rPr>
        <w:t xml:space="preserve"> </w:t>
      </w:r>
    </w:p>
    <w:p w14:paraId="79BAAA62">
      <w:pPr>
        <w:spacing w:after="0" w:line="355" w:lineRule="auto"/>
        <w:ind w:firstLine="709"/>
        <w:jc w:val="both"/>
        <w:rPr>
          <w:rFonts w:ascii="Times New Roman" w:hAnsi="Times New Roman" w:eastAsia="OfficinaSansBoldITC"/>
        </w:rPr>
      </w:pPr>
      <w:r>
        <w:rPr>
          <w:rFonts w:ascii="Times New Roman" w:hAnsi="Times New Roman" w:eastAsia="OfficinaSansBoldITC"/>
        </w:rPr>
        <w:t>2.6.1.2. Слово и предложение.</w:t>
      </w:r>
    </w:p>
    <w:p w14:paraId="2EAB16E0">
      <w:pPr>
        <w:spacing w:after="0" w:line="355" w:lineRule="auto"/>
        <w:ind w:firstLine="709"/>
        <w:jc w:val="both"/>
        <w:rPr>
          <w:rFonts w:ascii="Times New Roman" w:hAnsi="Times New Roman" w:eastAsia="SchoolBookSanPin"/>
        </w:rPr>
      </w:pPr>
      <w:r>
        <w:rPr>
          <w:rFonts w:ascii="Times New Roman" w:hAnsi="Times New Roman" w:eastAsia="SchoolBookSanPin"/>
        </w:rPr>
        <w:t>Различение слова и предложения. Работа с предложением: выделение слов, изменение их порядка.</w:t>
      </w:r>
    </w:p>
    <w:p w14:paraId="26557D18">
      <w:pPr>
        <w:spacing w:after="0" w:line="355" w:lineRule="auto"/>
        <w:ind w:firstLine="709"/>
        <w:jc w:val="both"/>
        <w:rPr>
          <w:rFonts w:ascii="Times New Roman" w:hAnsi="Times New Roman" w:eastAsia="SchoolBookSanPin"/>
        </w:rPr>
      </w:pPr>
      <w:r>
        <w:rPr>
          <w:rFonts w:ascii="Times New Roman" w:hAnsi="Times New Roman" w:eastAsia="SchoolBookSanPin"/>
        </w:rPr>
        <w:t>Восприятие слова как объекта изучения, материала для анализа. Наблюдение над значением слова. Выявление слов, значение которых требует уточнения.</w:t>
      </w:r>
    </w:p>
    <w:p w14:paraId="69ECB700">
      <w:pPr>
        <w:spacing w:after="0" w:line="355" w:lineRule="auto"/>
        <w:ind w:firstLine="709"/>
        <w:jc w:val="both"/>
        <w:rPr>
          <w:rFonts w:ascii="Times New Roman" w:hAnsi="Times New Roman" w:eastAsia="OfficinaSansBoldITC"/>
        </w:rPr>
      </w:pPr>
      <w:r>
        <w:rPr>
          <w:rFonts w:ascii="Times New Roman" w:hAnsi="Times New Roman" w:eastAsia="OfficinaSansBoldITC"/>
        </w:rPr>
        <w:t>2.6.1.3. Фонетика.</w:t>
      </w:r>
    </w:p>
    <w:p w14:paraId="0C5B02CB">
      <w:pPr>
        <w:spacing w:after="0" w:line="355" w:lineRule="auto"/>
        <w:ind w:firstLine="709"/>
        <w:jc w:val="both"/>
        <w:rPr>
          <w:rFonts w:ascii="Times New Roman" w:hAnsi="Times New Roman" w:eastAsia="SchoolBookSanPin"/>
        </w:rPr>
      </w:pPr>
      <w:r>
        <w:rPr>
          <w:rFonts w:ascii="Times New Roman" w:hAnsi="Times New Roman" w:eastAsia="SchoolBookSanPin"/>
        </w:rPr>
        <w:t>Звуки речи. Единство звукового состава слова и его значения. Установление последовательности звуков в слове и определение количества звуков. Сопоставление слов, различающихся одним или несколькими звуками. Звуковой анализ слова, работа со звуковыми моделями: построение модели звукового состава слова, подбор слов, соответствующих заданной модели. Различение гласных и согласных звуков, гласных ударных и безударных, согласных твёрдых и мягких, звонких и глухих. Определение места ударения. Слог как минимальная произносительная единица. Количество слогов в слове. Ударный слог.</w:t>
      </w:r>
    </w:p>
    <w:p w14:paraId="5E316A67">
      <w:pPr>
        <w:spacing w:after="0" w:line="355" w:lineRule="auto"/>
        <w:ind w:firstLine="709"/>
        <w:jc w:val="both"/>
        <w:rPr>
          <w:rFonts w:ascii="Times New Roman" w:hAnsi="Times New Roman" w:eastAsia="OfficinaSansBoldITC"/>
        </w:rPr>
      </w:pPr>
      <w:r>
        <w:rPr>
          <w:rFonts w:ascii="Times New Roman" w:hAnsi="Times New Roman" w:eastAsia="OfficinaSansBoldITC"/>
        </w:rPr>
        <w:t>2.6.1.4. Графика.</w:t>
      </w:r>
    </w:p>
    <w:p w14:paraId="12446401">
      <w:pPr>
        <w:spacing w:after="0" w:line="355" w:lineRule="auto"/>
        <w:ind w:firstLine="709"/>
        <w:jc w:val="both"/>
        <w:rPr>
          <w:rFonts w:ascii="Times New Roman" w:hAnsi="Times New Roman" w:eastAsia="SchoolBookSanPin"/>
        </w:rPr>
      </w:pPr>
      <w:r>
        <w:rPr>
          <w:rFonts w:ascii="Times New Roman" w:hAnsi="Times New Roman" w:eastAsia="SchoolBookSanPin"/>
        </w:rPr>
        <w:t xml:space="preserve">Различение звука и буквы: буква как знак звука. Слоговой принцип русской графики. Буквы гласных как показатель твёрдости – мягкости согласных звуков. Функции букв </w:t>
      </w:r>
      <w:r>
        <w:rPr>
          <w:rFonts w:ascii="Times New Roman" w:hAnsi="Times New Roman" w:eastAsia="SchoolBookSanPin"/>
          <w:bCs/>
        </w:rPr>
        <w:t>е</w:t>
      </w:r>
      <w:r>
        <w:rPr>
          <w:rFonts w:ascii="Times New Roman" w:hAnsi="Times New Roman" w:eastAsia="SchoolBookSanPin"/>
        </w:rPr>
        <w:t xml:space="preserve">, </w:t>
      </w:r>
      <w:r>
        <w:rPr>
          <w:rFonts w:ascii="Times New Roman" w:hAnsi="Times New Roman" w:eastAsia="SchoolBookSanPin"/>
          <w:bCs/>
        </w:rPr>
        <w:t>ё</w:t>
      </w:r>
      <w:r>
        <w:rPr>
          <w:rFonts w:ascii="Times New Roman" w:hAnsi="Times New Roman" w:eastAsia="SchoolBookSanPin"/>
        </w:rPr>
        <w:t xml:space="preserve">, </w:t>
      </w:r>
      <w:r>
        <w:rPr>
          <w:rFonts w:ascii="Times New Roman" w:hAnsi="Times New Roman" w:eastAsia="SchoolBookSanPin"/>
          <w:bCs/>
        </w:rPr>
        <w:t>ю</w:t>
      </w:r>
      <w:r>
        <w:rPr>
          <w:rFonts w:ascii="Times New Roman" w:hAnsi="Times New Roman" w:eastAsia="SchoolBookSanPin"/>
        </w:rPr>
        <w:t xml:space="preserve">, </w:t>
      </w:r>
      <w:r>
        <w:rPr>
          <w:rFonts w:ascii="Times New Roman" w:hAnsi="Times New Roman" w:eastAsia="SchoolBookSanPin"/>
          <w:bCs/>
        </w:rPr>
        <w:t>я</w:t>
      </w:r>
      <w:r>
        <w:rPr>
          <w:rFonts w:ascii="Times New Roman" w:hAnsi="Times New Roman" w:eastAsia="SchoolBookSanPin"/>
        </w:rPr>
        <w:t>. Мягкий знак как показатель мягкости предшествующего согласного звука в конце слова. Последовательность букв в русском алфавите.</w:t>
      </w:r>
    </w:p>
    <w:p w14:paraId="62CC0221">
      <w:pPr>
        <w:spacing w:after="0" w:line="355" w:lineRule="auto"/>
        <w:ind w:firstLine="709"/>
        <w:jc w:val="both"/>
        <w:rPr>
          <w:rFonts w:ascii="Times New Roman" w:hAnsi="Times New Roman" w:eastAsia="OfficinaSansBoldITC"/>
        </w:rPr>
      </w:pPr>
      <w:r>
        <w:rPr>
          <w:rFonts w:ascii="Times New Roman" w:hAnsi="Times New Roman" w:eastAsia="OfficinaSansBoldITC"/>
        </w:rPr>
        <w:t>2.6.1.5. Чтение.</w:t>
      </w:r>
    </w:p>
    <w:p w14:paraId="612E0F20">
      <w:pPr>
        <w:spacing w:after="0" w:line="355" w:lineRule="auto"/>
        <w:ind w:firstLine="709"/>
        <w:jc w:val="both"/>
        <w:rPr>
          <w:rFonts w:ascii="Times New Roman" w:hAnsi="Times New Roman" w:eastAsia="SchoolBookSanPin"/>
        </w:rPr>
      </w:pPr>
      <w:r>
        <w:rPr>
          <w:rFonts w:ascii="Times New Roman" w:hAnsi="Times New Roman" w:eastAsia="SchoolBookSanPin"/>
        </w:rPr>
        <w:t>Слоговое чтение (ориентация на букву, обозначающую гласный звук). Плавное слоговое чтение и чтение целыми словами со скоростью, соответствующей индивидуальному темпу. Осознанное чтение слов, словосочетаний, предложений. Чтение с интонациями и паузами в соответствии со знаками препинания. Выразительное чтение на материале небольших прозаических текстов и стихотворений.</w:t>
      </w:r>
    </w:p>
    <w:p w14:paraId="7F915121">
      <w:pPr>
        <w:spacing w:after="0" w:line="355" w:lineRule="auto"/>
        <w:ind w:firstLine="709"/>
        <w:jc w:val="both"/>
        <w:rPr>
          <w:rFonts w:ascii="Times New Roman" w:hAnsi="Times New Roman" w:eastAsia="SchoolBookSanPin"/>
        </w:rPr>
      </w:pPr>
      <w:r>
        <w:rPr>
          <w:rFonts w:ascii="Times New Roman" w:hAnsi="Times New Roman" w:eastAsia="SchoolBookSanPin"/>
        </w:rPr>
        <w:t>Орфоэпическое чтение (при переходе к чтению целыми словами). Орфографическое чтение (проговаривание) как средство самоконтроля при письме под диктовку и при списывании.</w:t>
      </w:r>
    </w:p>
    <w:p w14:paraId="3C2C41C2">
      <w:pPr>
        <w:spacing w:after="0" w:line="355" w:lineRule="auto"/>
        <w:ind w:firstLine="709"/>
        <w:jc w:val="both"/>
        <w:rPr>
          <w:rFonts w:ascii="Times New Roman" w:hAnsi="Times New Roman" w:eastAsia="OfficinaSansBoldITC"/>
        </w:rPr>
      </w:pPr>
      <w:r>
        <w:rPr>
          <w:rFonts w:ascii="Times New Roman" w:hAnsi="Times New Roman" w:eastAsia="OfficinaSansBoldITC"/>
        </w:rPr>
        <w:t>2.6.1.6. Письмо.</w:t>
      </w:r>
    </w:p>
    <w:p w14:paraId="0544DDC8">
      <w:pPr>
        <w:spacing w:after="0" w:line="355" w:lineRule="auto"/>
        <w:ind w:firstLine="709"/>
        <w:jc w:val="both"/>
        <w:rPr>
          <w:rFonts w:ascii="Times New Roman" w:hAnsi="Times New Roman" w:eastAsia="SchoolBookSanPin"/>
        </w:rPr>
      </w:pPr>
      <w:r>
        <w:rPr>
          <w:rFonts w:ascii="Times New Roman" w:hAnsi="Times New Roman" w:eastAsia="SchoolBookSanPin"/>
        </w:rPr>
        <w:t>Ориентация на пространстве листа в тетради и на пространстве классной доски. Гигиенические требования, которые необходимо соблюдать во время письма.</w:t>
      </w:r>
    </w:p>
    <w:p w14:paraId="6DB02DDB">
      <w:pPr>
        <w:spacing w:after="0" w:line="355" w:lineRule="auto"/>
        <w:ind w:firstLine="709"/>
        <w:jc w:val="both"/>
        <w:rPr>
          <w:rFonts w:ascii="Times New Roman" w:hAnsi="Times New Roman" w:eastAsia="SchoolBookSanPin"/>
        </w:rPr>
      </w:pPr>
      <w:r>
        <w:rPr>
          <w:rFonts w:ascii="Times New Roman" w:hAnsi="Times New Roman" w:eastAsia="SchoolBookSanPin"/>
        </w:rPr>
        <w:t>Начертание письменных прописных и строчных букв. Письмо разборчивым, аккуратным почерком. Понимание функции небуквенных графических средств: пробела между словами, знака переноса. Письмо под диктовку слов и предложений, написание которых не расходится с их произношением. Приёмы и последовательность правильного списывания текста.</w:t>
      </w:r>
    </w:p>
    <w:p w14:paraId="3A517D7E">
      <w:pPr>
        <w:spacing w:after="0" w:line="355" w:lineRule="auto"/>
        <w:ind w:firstLine="709"/>
        <w:jc w:val="both"/>
        <w:rPr>
          <w:rFonts w:ascii="Times New Roman" w:hAnsi="Times New Roman" w:eastAsia="OfficinaSansBoldITC"/>
        </w:rPr>
      </w:pPr>
      <w:r>
        <w:rPr>
          <w:rFonts w:ascii="Times New Roman" w:hAnsi="Times New Roman" w:eastAsia="OfficinaSansBoldITC"/>
        </w:rPr>
        <w:t>2.6.1.7. Орфография и пунктуация.</w:t>
      </w:r>
    </w:p>
    <w:p w14:paraId="668FB6FB">
      <w:pPr>
        <w:spacing w:after="0" w:line="355" w:lineRule="auto"/>
        <w:ind w:firstLine="709"/>
        <w:jc w:val="both"/>
        <w:rPr>
          <w:rFonts w:ascii="Times New Roman" w:hAnsi="Times New Roman" w:eastAsia="SchoolBookSanPin"/>
        </w:rPr>
      </w:pPr>
      <w:r>
        <w:rPr>
          <w:rFonts w:ascii="Times New Roman" w:hAnsi="Times New Roman" w:eastAsia="SchoolBookSanPin"/>
        </w:rPr>
        <w:t>Правила правописания и их применение: раздельное написание слов; обозначение гласных после шипящих в сочетаниях «</w:t>
      </w:r>
      <w:r>
        <w:rPr>
          <w:rFonts w:ascii="Times New Roman" w:hAnsi="Times New Roman" w:eastAsia="SchoolBookSanPin"/>
          <w:bCs/>
        </w:rPr>
        <w:t>жи»</w:t>
      </w:r>
      <w:r>
        <w:rPr>
          <w:rFonts w:ascii="Times New Roman" w:hAnsi="Times New Roman" w:eastAsia="SchoolBookSanPin"/>
        </w:rPr>
        <w:t>, «</w:t>
      </w:r>
      <w:r>
        <w:rPr>
          <w:rFonts w:ascii="Times New Roman" w:hAnsi="Times New Roman" w:eastAsia="SchoolBookSanPin"/>
          <w:bCs/>
        </w:rPr>
        <w:t xml:space="preserve">ши» </w:t>
      </w:r>
      <w:r>
        <w:rPr>
          <w:rFonts w:ascii="Times New Roman" w:hAnsi="Times New Roman" w:eastAsia="SchoolBookSanPin"/>
        </w:rPr>
        <w:t>(в положении под ударением), «</w:t>
      </w:r>
      <w:r>
        <w:rPr>
          <w:rFonts w:ascii="Times New Roman" w:hAnsi="Times New Roman" w:eastAsia="SchoolBookSanPin"/>
          <w:bCs/>
        </w:rPr>
        <w:t>ча»</w:t>
      </w:r>
      <w:r>
        <w:rPr>
          <w:rFonts w:ascii="Times New Roman" w:hAnsi="Times New Roman" w:eastAsia="SchoolBookSanPin"/>
        </w:rPr>
        <w:t>, «</w:t>
      </w:r>
      <w:r>
        <w:rPr>
          <w:rFonts w:ascii="Times New Roman" w:hAnsi="Times New Roman" w:eastAsia="SchoolBookSanPin"/>
          <w:bCs/>
        </w:rPr>
        <w:t>ща»</w:t>
      </w:r>
      <w:r>
        <w:rPr>
          <w:rFonts w:ascii="Times New Roman" w:hAnsi="Times New Roman" w:eastAsia="SchoolBookSanPin"/>
        </w:rPr>
        <w:t>, «</w:t>
      </w:r>
      <w:r>
        <w:rPr>
          <w:rFonts w:ascii="Times New Roman" w:hAnsi="Times New Roman" w:eastAsia="SchoolBookSanPin"/>
          <w:bCs/>
        </w:rPr>
        <w:t>чу»</w:t>
      </w:r>
      <w:r>
        <w:rPr>
          <w:rFonts w:ascii="Times New Roman" w:hAnsi="Times New Roman" w:eastAsia="SchoolBookSanPin"/>
        </w:rPr>
        <w:t>, «</w:t>
      </w:r>
      <w:r>
        <w:rPr>
          <w:rFonts w:ascii="Times New Roman" w:hAnsi="Times New Roman" w:eastAsia="SchoolBookSanPin"/>
          <w:bCs/>
        </w:rPr>
        <w:t>щу»</w:t>
      </w:r>
      <w:r>
        <w:rPr>
          <w:rFonts w:ascii="Times New Roman" w:hAnsi="Times New Roman" w:eastAsia="SchoolBookSanPin"/>
        </w:rPr>
        <w:t>; прописная буква в начале предложения, в именах собственных (имена людей, клички животных); перенос по слогам слов без стечения согласных; знаки препинания в конце предложения.</w:t>
      </w:r>
    </w:p>
    <w:p w14:paraId="62B32D83">
      <w:pPr>
        <w:spacing w:after="0" w:line="355" w:lineRule="auto"/>
        <w:ind w:firstLine="709"/>
        <w:jc w:val="both"/>
        <w:rPr>
          <w:rFonts w:ascii="Times New Roman" w:hAnsi="Times New Roman" w:eastAsia="OfficinaSansBoldITC"/>
        </w:rPr>
      </w:pPr>
      <w:r>
        <w:rPr>
          <w:rFonts w:ascii="Times New Roman" w:hAnsi="Times New Roman" w:eastAsia="OfficinaSansBoldITC"/>
        </w:rPr>
        <w:t>2.6.2. Систематический курс.</w:t>
      </w:r>
    </w:p>
    <w:p w14:paraId="7ECBD3FD">
      <w:pPr>
        <w:spacing w:after="0" w:line="355" w:lineRule="auto"/>
        <w:ind w:firstLine="709"/>
        <w:jc w:val="both"/>
        <w:rPr>
          <w:rFonts w:ascii="Times New Roman" w:hAnsi="Times New Roman" w:eastAsia="OfficinaSansBoldITC"/>
        </w:rPr>
      </w:pPr>
      <w:r>
        <w:rPr>
          <w:rFonts w:ascii="Times New Roman" w:hAnsi="Times New Roman" w:eastAsia="OfficinaSansBoldITC"/>
        </w:rPr>
        <w:t>2.6.2.1. Общие сведения о языке.</w:t>
      </w:r>
    </w:p>
    <w:p w14:paraId="30F030E7">
      <w:pPr>
        <w:spacing w:after="0" w:line="355" w:lineRule="auto"/>
        <w:ind w:firstLine="709"/>
        <w:jc w:val="both"/>
        <w:rPr>
          <w:rFonts w:ascii="Times New Roman" w:hAnsi="Times New Roman" w:eastAsia="SchoolBookSanPin"/>
        </w:rPr>
      </w:pPr>
      <w:r>
        <w:rPr>
          <w:rFonts w:ascii="Times New Roman" w:hAnsi="Times New Roman" w:eastAsia="SchoolBookSanPin"/>
        </w:rPr>
        <w:t>Язык как основное средство человеческого общения. Цели и ситуации общения.</w:t>
      </w:r>
    </w:p>
    <w:p w14:paraId="70F64BF1">
      <w:pPr>
        <w:spacing w:after="0" w:line="355" w:lineRule="auto"/>
        <w:ind w:firstLine="709"/>
        <w:jc w:val="both"/>
        <w:rPr>
          <w:rFonts w:ascii="Times New Roman" w:hAnsi="Times New Roman" w:eastAsia="OfficinaSansBoldITC"/>
        </w:rPr>
      </w:pPr>
      <w:r>
        <w:rPr>
          <w:rFonts w:ascii="Times New Roman" w:hAnsi="Times New Roman" w:eastAsia="OfficinaSansBoldITC"/>
        </w:rPr>
        <w:t>2.6.2.2. Фонетика.</w:t>
      </w:r>
    </w:p>
    <w:p w14:paraId="3B5873E7">
      <w:pPr>
        <w:spacing w:after="0" w:line="355" w:lineRule="auto"/>
        <w:ind w:firstLine="709"/>
        <w:jc w:val="both"/>
        <w:rPr>
          <w:rFonts w:ascii="Times New Roman" w:hAnsi="Times New Roman" w:eastAsia="SchoolBookSanPin"/>
        </w:rPr>
      </w:pPr>
      <w:r>
        <w:rPr>
          <w:rFonts w:ascii="Times New Roman" w:hAnsi="Times New Roman" w:eastAsia="SchoolBookSanPin"/>
        </w:rPr>
        <w:t>Звуки речи. Гласные и согласные звуки, их различение. Ударение в слове. Гласные ударные и безударные. Твёрдые и мягкие согласные звуки, их различение. Звонкие и глухие согласные звуки, их различение. Согласный звук [й’] и гласный звук [и]. Шипящие [ж], [ш], [ч’], [щ’].</w:t>
      </w:r>
    </w:p>
    <w:p w14:paraId="4C8418CA">
      <w:pPr>
        <w:spacing w:after="0" w:line="355" w:lineRule="auto"/>
        <w:ind w:firstLine="709"/>
        <w:jc w:val="both"/>
        <w:rPr>
          <w:rFonts w:ascii="Times New Roman" w:hAnsi="Times New Roman" w:eastAsia="SchoolBookSanPin"/>
        </w:rPr>
      </w:pPr>
      <w:r>
        <w:rPr>
          <w:rFonts w:ascii="Times New Roman" w:hAnsi="Times New Roman" w:eastAsia="SchoolBookSanPin"/>
        </w:rPr>
        <w:t>Слог. Количество слогов в слове. Ударный слог. Деление слов на слоги (простые случаи, без стечения согласных).</w:t>
      </w:r>
    </w:p>
    <w:p w14:paraId="4B4879B6">
      <w:pPr>
        <w:spacing w:after="0" w:line="355" w:lineRule="auto"/>
        <w:ind w:firstLine="709"/>
        <w:jc w:val="both"/>
        <w:rPr>
          <w:rFonts w:ascii="Times New Roman" w:hAnsi="Times New Roman" w:eastAsia="OfficinaSansBoldITC"/>
        </w:rPr>
      </w:pPr>
      <w:r>
        <w:rPr>
          <w:rFonts w:ascii="Times New Roman" w:hAnsi="Times New Roman" w:eastAsia="OfficinaSansBoldITC"/>
        </w:rPr>
        <w:t>2.6.2.3. Графика.</w:t>
      </w:r>
    </w:p>
    <w:p w14:paraId="31DCCEE6">
      <w:pPr>
        <w:spacing w:after="0" w:line="355" w:lineRule="auto"/>
        <w:ind w:firstLine="709"/>
        <w:jc w:val="both"/>
        <w:rPr>
          <w:rFonts w:ascii="Times New Roman" w:hAnsi="Times New Roman" w:eastAsia="SchoolBookSanPin"/>
        </w:rPr>
      </w:pPr>
      <w:r>
        <w:rPr>
          <w:rFonts w:ascii="Times New Roman" w:hAnsi="Times New Roman" w:eastAsia="SchoolBookSanPin"/>
        </w:rPr>
        <w:t>Звук и буква. Различение звуков и букв. Обозначение при письме твёрдости согласных звуков буквами «</w:t>
      </w:r>
      <w:r>
        <w:rPr>
          <w:rFonts w:ascii="Times New Roman" w:hAnsi="Times New Roman" w:eastAsia="SchoolBookSanPin"/>
          <w:bCs/>
        </w:rPr>
        <w:t>а»</w:t>
      </w:r>
      <w:r>
        <w:rPr>
          <w:rFonts w:ascii="Times New Roman" w:hAnsi="Times New Roman" w:eastAsia="SchoolBookSanPin"/>
        </w:rPr>
        <w:t>, «</w:t>
      </w:r>
      <w:r>
        <w:rPr>
          <w:rFonts w:ascii="Times New Roman" w:hAnsi="Times New Roman" w:eastAsia="SchoolBookSanPin"/>
          <w:bCs/>
        </w:rPr>
        <w:t>о»</w:t>
      </w:r>
      <w:r>
        <w:rPr>
          <w:rFonts w:ascii="Times New Roman" w:hAnsi="Times New Roman" w:eastAsia="SchoolBookSanPin"/>
        </w:rPr>
        <w:t>, «</w:t>
      </w:r>
      <w:r>
        <w:rPr>
          <w:rFonts w:ascii="Times New Roman" w:hAnsi="Times New Roman" w:eastAsia="SchoolBookSanPin"/>
          <w:bCs/>
        </w:rPr>
        <w:t>у»</w:t>
      </w:r>
      <w:r>
        <w:rPr>
          <w:rFonts w:ascii="Times New Roman" w:hAnsi="Times New Roman" w:eastAsia="SchoolBookSanPin"/>
        </w:rPr>
        <w:t>, «</w:t>
      </w:r>
      <w:r>
        <w:rPr>
          <w:rFonts w:ascii="Times New Roman" w:hAnsi="Times New Roman" w:eastAsia="SchoolBookSanPin"/>
          <w:bCs/>
        </w:rPr>
        <w:t>ы»</w:t>
      </w:r>
      <w:r>
        <w:rPr>
          <w:rFonts w:ascii="Times New Roman" w:hAnsi="Times New Roman" w:eastAsia="SchoolBookSanPin"/>
        </w:rPr>
        <w:t>, «</w:t>
      </w:r>
      <w:r>
        <w:rPr>
          <w:rFonts w:ascii="Times New Roman" w:hAnsi="Times New Roman" w:eastAsia="SchoolBookSanPin"/>
          <w:bCs/>
        </w:rPr>
        <w:t>э»</w:t>
      </w:r>
      <w:r>
        <w:rPr>
          <w:rFonts w:ascii="Times New Roman" w:hAnsi="Times New Roman" w:eastAsia="SchoolBookSanPin"/>
        </w:rPr>
        <w:t>; слова с буквой «</w:t>
      </w:r>
      <w:r>
        <w:rPr>
          <w:rFonts w:ascii="Times New Roman" w:hAnsi="Times New Roman" w:eastAsia="SchoolBookSanPin"/>
          <w:bCs/>
        </w:rPr>
        <w:t>э»</w:t>
      </w:r>
      <w:r>
        <w:rPr>
          <w:rFonts w:ascii="Times New Roman" w:hAnsi="Times New Roman" w:eastAsia="SchoolBookSanPin"/>
        </w:rPr>
        <w:t>. Обозначение при письме мягкости согласных звуков буквами «</w:t>
      </w:r>
      <w:r>
        <w:rPr>
          <w:rFonts w:ascii="Times New Roman" w:hAnsi="Times New Roman" w:eastAsia="SchoolBookSanPin"/>
          <w:bCs/>
        </w:rPr>
        <w:t>е»</w:t>
      </w:r>
      <w:r>
        <w:rPr>
          <w:rFonts w:ascii="Times New Roman" w:hAnsi="Times New Roman" w:eastAsia="SchoolBookSanPin"/>
        </w:rPr>
        <w:t>, «</w:t>
      </w:r>
      <w:r>
        <w:rPr>
          <w:rFonts w:ascii="Times New Roman" w:hAnsi="Times New Roman" w:eastAsia="SchoolBookSanPin"/>
          <w:bCs/>
        </w:rPr>
        <w:t>ё»</w:t>
      </w:r>
      <w:r>
        <w:rPr>
          <w:rFonts w:ascii="Times New Roman" w:hAnsi="Times New Roman" w:eastAsia="SchoolBookSanPin"/>
        </w:rPr>
        <w:t>, «</w:t>
      </w:r>
      <w:r>
        <w:rPr>
          <w:rFonts w:ascii="Times New Roman" w:hAnsi="Times New Roman" w:eastAsia="SchoolBookSanPin"/>
          <w:bCs/>
        </w:rPr>
        <w:t>ю»</w:t>
      </w:r>
      <w:r>
        <w:rPr>
          <w:rFonts w:ascii="Times New Roman" w:hAnsi="Times New Roman" w:eastAsia="SchoolBookSanPin"/>
        </w:rPr>
        <w:t>, «</w:t>
      </w:r>
      <w:r>
        <w:rPr>
          <w:rFonts w:ascii="Times New Roman" w:hAnsi="Times New Roman" w:eastAsia="SchoolBookSanPin"/>
          <w:bCs/>
        </w:rPr>
        <w:t>я»</w:t>
      </w:r>
      <w:r>
        <w:rPr>
          <w:rFonts w:ascii="Times New Roman" w:hAnsi="Times New Roman" w:eastAsia="SchoolBookSanPin"/>
        </w:rPr>
        <w:t>, «</w:t>
      </w:r>
      <w:r>
        <w:rPr>
          <w:rFonts w:ascii="Times New Roman" w:hAnsi="Times New Roman" w:eastAsia="SchoolBookSanPin"/>
          <w:bCs/>
        </w:rPr>
        <w:t>и»</w:t>
      </w:r>
      <w:r>
        <w:rPr>
          <w:rFonts w:ascii="Times New Roman" w:hAnsi="Times New Roman" w:eastAsia="SchoolBookSanPin"/>
        </w:rPr>
        <w:t>. Функции букв «</w:t>
      </w:r>
      <w:r>
        <w:rPr>
          <w:rFonts w:ascii="Times New Roman" w:hAnsi="Times New Roman" w:eastAsia="SchoolBookSanPin"/>
          <w:bCs/>
        </w:rPr>
        <w:t>е»</w:t>
      </w:r>
      <w:r>
        <w:rPr>
          <w:rFonts w:ascii="Times New Roman" w:hAnsi="Times New Roman" w:eastAsia="SchoolBookSanPin"/>
        </w:rPr>
        <w:t>, «</w:t>
      </w:r>
      <w:r>
        <w:rPr>
          <w:rFonts w:ascii="Times New Roman" w:hAnsi="Times New Roman" w:eastAsia="SchoolBookSanPin"/>
          <w:bCs/>
        </w:rPr>
        <w:t>ё»</w:t>
      </w:r>
      <w:r>
        <w:rPr>
          <w:rFonts w:ascii="Times New Roman" w:hAnsi="Times New Roman" w:eastAsia="SchoolBookSanPin"/>
        </w:rPr>
        <w:t>, «</w:t>
      </w:r>
      <w:r>
        <w:rPr>
          <w:rFonts w:ascii="Times New Roman" w:hAnsi="Times New Roman" w:eastAsia="SchoolBookSanPin"/>
          <w:bCs/>
        </w:rPr>
        <w:t>ю»</w:t>
      </w:r>
      <w:r>
        <w:rPr>
          <w:rFonts w:ascii="Times New Roman" w:hAnsi="Times New Roman" w:eastAsia="SchoolBookSanPin"/>
        </w:rPr>
        <w:t>, «</w:t>
      </w:r>
      <w:r>
        <w:rPr>
          <w:rFonts w:ascii="Times New Roman" w:hAnsi="Times New Roman" w:eastAsia="SchoolBookSanPin"/>
          <w:bCs/>
        </w:rPr>
        <w:t>я»</w:t>
      </w:r>
      <w:r>
        <w:rPr>
          <w:rFonts w:ascii="Times New Roman" w:hAnsi="Times New Roman" w:eastAsia="SchoolBookSanPin"/>
        </w:rPr>
        <w:t>. Мягкий знак как показатель мягкости предшествующего согласного звука в конце слова.</w:t>
      </w:r>
    </w:p>
    <w:p w14:paraId="6B7D0B85">
      <w:pPr>
        <w:spacing w:after="0" w:line="355" w:lineRule="auto"/>
        <w:ind w:firstLine="709"/>
        <w:jc w:val="both"/>
        <w:rPr>
          <w:rFonts w:ascii="Times New Roman" w:hAnsi="Times New Roman" w:eastAsia="SchoolBookSanPin"/>
        </w:rPr>
      </w:pPr>
      <w:r>
        <w:rPr>
          <w:rFonts w:ascii="Times New Roman" w:hAnsi="Times New Roman" w:eastAsia="SchoolBookSanPin"/>
        </w:rPr>
        <w:t>Установление соотношения звукового и буквенного состава слова в словах, например, стол и конь.</w:t>
      </w:r>
    </w:p>
    <w:p w14:paraId="1B5D4087">
      <w:pPr>
        <w:spacing w:after="0" w:line="355" w:lineRule="auto"/>
        <w:ind w:firstLine="709"/>
        <w:jc w:val="both"/>
        <w:rPr>
          <w:rFonts w:ascii="Times New Roman" w:hAnsi="Times New Roman" w:eastAsia="SchoolBookSanPin"/>
        </w:rPr>
      </w:pPr>
      <w:r>
        <w:rPr>
          <w:rFonts w:ascii="Times New Roman" w:hAnsi="Times New Roman" w:eastAsia="SchoolBookSanPin"/>
        </w:rPr>
        <w:t>Небуквенные графические средства: пробел между словами, знак переноса.</w:t>
      </w:r>
    </w:p>
    <w:p w14:paraId="1E076C93">
      <w:pPr>
        <w:spacing w:after="0" w:line="355" w:lineRule="auto"/>
        <w:ind w:firstLine="709"/>
        <w:jc w:val="both"/>
        <w:rPr>
          <w:rFonts w:ascii="Times New Roman" w:hAnsi="Times New Roman" w:eastAsia="SchoolBookSanPin"/>
        </w:rPr>
      </w:pPr>
      <w:r>
        <w:rPr>
          <w:rFonts w:ascii="Times New Roman" w:hAnsi="Times New Roman" w:eastAsia="SchoolBookSanPin"/>
        </w:rPr>
        <w:t>Русский алфавит: правильное название букв, их последовательность. Использование алфавита для упорядочения списка слов.</w:t>
      </w:r>
    </w:p>
    <w:p w14:paraId="740066F5">
      <w:pPr>
        <w:spacing w:after="0" w:line="355" w:lineRule="auto"/>
        <w:ind w:firstLine="709"/>
        <w:jc w:val="both"/>
        <w:rPr>
          <w:rFonts w:ascii="Times New Roman" w:hAnsi="Times New Roman" w:eastAsia="OfficinaSansBoldITC"/>
        </w:rPr>
      </w:pPr>
      <w:r>
        <w:rPr>
          <w:rFonts w:ascii="Times New Roman" w:hAnsi="Times New Roman" w:eastAsia="OfficinaSansBoldITC"/>
        </w:rPr>
        <w:t>2.6.2.4. Орфоэпия.</w:t>
      </w:r>
    </w:p>
    <w:p w14:paraId="3B9BDD0E">
      <w:pPr>
        <w:spacing w:after="0" w:line="355" w:lineRule="auto"/>
        <w:ind w:firstLine="709"/>
        <w:jc w:val="both"/>
        <w:rPr>
          <w:rFonts w:ascii="Times New Roman" w:hAnsi="Times New Roman" w:eastAsia="SchoolBookSanPin"/>
        </w:rPr>
      </w:pPr>
      <w:r>
        <w:rPr>
          <w:rFonts w:ascii="Times New Roman" w:hAnsi="Times New Roman" w:eastAsia="SchoolBookSanPin"/>
        </w:rPr>
        <w:t>Произношение звуков и сочетаний звуков, ударение в словах в соответствии с нормами современного русского литературного языка (на основе ограниченного перечня слов, отрабатываемого в учебнике, включённом в федеральный перечень учебников (далее – учебник).</w:t>
      </w:r>
    </w:p>
    <w:p w14:paraId="1480D913">
      <w:pPr>
        <w:spacing w:after="0" w:line="355" w:lineRule="auto"/>
        <w:ind w:firstLine="709"/>
        <w:jc w:val="both"/>
        <w:rPr>
          <w:rFonts w:ascii="Times New Roman" w:hAnsi="Times New Roman" w:eastAsia="OfficinaSansBoldITC"/>
        </w:rPr>
      </w:pPr>
      <w:r>
        <w:rPr>
          <w:rFonts w:ascii="Times New Roman" w:hAnsi="Times New Roman" w:eastAsia="OfficinaSansBoldITC"/>
        </w:rPr>
        <w:t>2.6.2.5. Лексика.</w:t>
      </w:r>
    </w:p>
    <w:p w14:paraId="00209E63">
      <w:pPr>
        <w:spacing w:after="0" w:line="355" w:lineRule="auto"/>
        <w:ind w:firstLine="709"/>
        <w:jc w:val="both"/>
        <w:rPr>
          <w:rFonts w:ascii="Times New Roman" w:hAnsi="Times New Roman" w:eastAsia="SchoolBookSanPin"/>
        </w:rPr>
      </w:pPr>
      <w:r>
        <w:rPr>
          <w:rFonts w:ascii="Times New Roman" w:hAnsi="Times New Roman" w:eastAsia="SchoolBookSanPin"/>
        </w:rPr>
        <w:t>Слово как единица языка (ознакомление).</w:t>
      </w:r>
    </w:p>
    <w:p w14:paraId="0A51673B">
      <w:pPr>
        <w:spacing w:after="0" w:line="355" w:lineRule="auto"/>
        <w:ind w:firstLine="709"/>
        <w:jc w:val="both"/>
        <w:rPr>
          <w:rFonts w:ascii="Times New Roman" w:hAnsi="Times New Roman" w:eastAsia="SchoolBookSanPin"/>
        </w:rPr>
      </w:pPr>
      <w:r>
        <w:rPr>
          <w:rFonts w:ascii="Times New Roman" w:hAnsi="Times New Roman" w:eastAsia="SchoolBookSanPin"/>
        </w:rPr>
        <w:t>Слово как название предмета, признака предмета, действия предмета (ознакомление).</w:t>
      </w:r>
    </w:p>
    <w:p w14:paraId="01FC2DAB">
      <w:pPr>
        <w:spacing w:after="0" w:line="355" w:lineRule="auto"/>
        <w:ind w:firstLine="709"/>
        <w:jc w:val="both"/>
        <w:rPr>
          <w:rFonts w:ascii="Times New Roman" w:hAnsi="Times New Roman" w:eastAsia="SchoolBookSanPin"/>
        </w:rPr>
      </w:pPr>
      <w:r>
        <w:rPr>
          <w:rFonts w:ascii="Times New Roman" w:hAnsi="Times New Roman" w:eastAsia="SchoolBookSanPin"/>
        </w:rPr>
        <w:t>Выявление слов, значение которых требует уточнения.</w:t>
      </w:r>
    </w:p>
    <w:p w14:paraId="044C6433">
      <w:pPr>
        <w:spacing w:after="0" w:line="355" w:lineRule="auto"/>
        <w:ind w:firstLine="709"/>
        <w:jc w:val="both"/>
        <w:rPr>
          <w:rFonts w:ascii="Times New Roman" w:hAnsi="Times New Roman" w:eastAsia="OfficinaSansBoldITC"/>
        </w:rPr>
      </w:pPr>
      <w:r>
        <w:rPr>
          <w:rFonts w:ascii="Times New Roman" w:hAnsi="Times New Roman" w:eastAsia="OfficinaSansBoldITC"/>
        </w:rPr>
        <w:t>2.6.2.6. Синтаксис.</w:t>
      </w:r>
    </w:p>
    <w:p w14:paraId="45362EFB">
      <w:pPr>
        <w:spacing w:after="0" w:line="355" w:lineRule="auto"/>
        <w:ind w:firstLine="709"/>
        <w:jc w:val="both"/>
        <w:rPr>
          <w:rFonts w:ascii="Times New Roman" w:hAnsi="Times New Roman" w:eastAsia="SchoolBookSanPin"/>
        </w:rPr>
      </w:pPr>
      <w:r>
        <w:rPr>
          <w:rFonts w:ascii="Times New Roman" w:hAnsi="Times New Roman" w:eastAsia="SchoolBookSanPin"/>
        </w:rPr>
        <w:t>Предложение как единица языка (ознакомление).</w:t>
      </w:r>
    </w:p>
    <w:p w14:paraId="6B4DB912">
      <w:pPr>
        <w:spacing w:after="0" w:line="355" w:lineRule="auto"/>
        <w:ind w:firstLine="709"/>
        <w:jc w:val="both"/>
        <w:rPr>
          <w:rFonts w:ascii="Times New Roman" w:hAnsi="Times New Roman" w:eastAsia="SchoolBookSanPin"/>
        </w:rPr>
      </w:pPr>
      <w:r>
        <w:rPr>
          <w:rFonts w:ascii="Times New Roman" w:hAnsi="Times New Roman" w:eastAsia="SchoolBookSanPin"/>
        </w:rPr>
        <w:t>Слово, предложение (наблюдение над сходством и различием). Установление связи слов в предложении при помощи смысловых вопросов.</w:t>
      </w:r>
    </w:p>
    <w:p w14:paraId="47C27CDA">
      <w:pPr>
        <w:spacing w:after="0" w:line="355" w:lineRule="auto"/>
        <w:ind w:firstLine="709"/>
        <w:jc w:val="both"/>
        <w:rPr>
          <w:rFonts w:ascii="Times New Roman" w:hAnsi="Times New Roman" w:eastAsia="SchoolBookSanPin"/>
        </w:rPr>
      </w:pPr>
      <w:r>
        <w:rPr>
          <w:rFonts w:ascii="Times New Roman" w:hAnsi="Times New Roman" w:eastAsia="SchoolBookSanPin"/>
        </w:rPr>
        <w:t>Восстановление деформированных предложений. Составление предложений из набора форм слов.</w:t>
      </w:r>
    </w:p>
    <w:p w14:paraId="6B8F8E3F">
      <w:pPr>
        <w:spacing w:after="0" w:line="355" w:lineRule="auto"/>
        <w:ind w:firstLine="709"/>
        <w:jc w:val="both"/>
        <w:rPr>
          <w:rFonts w:ascii="Times New Roman" w:hAnsi="Times New Roman" w:eastAsia="OfficinaSansBoldITC"/>
        </w:rPr>
      </w:pPr>
      <w:r>
        <w:rPr>
          <w:rFonts w:ascii="Times New Roman" w:hAnsi="Times New Roman" w:eastAsia="OfficinaSansBoldITC"/>
        </w:rPr>
        <w:t>2.6.2.7. Орфография и пунктуация.</w:t>
      </w:r>
    </w:p>
    <w:p w14:paraId="13EA8ECC">
      <w:pPr>
        <w:spacing w:after="0" w:line="355" w:lineRule="auto"/>
        <w:ind w:firstLine="709"/>
        <w:jc w:val="both"/>
        <w:rPr>
          <w:rFonts w:ascii="Times New Roman" w:hAnsi="Times New Roman" w:eastAsia="SchoolBookSanPin"/>
        </w:rPr>
      </w:pPr>
      <w:r>
        <w:rPr>
          <w:rFonts w:ascii="Times New Roman" w:hAnsi="Times New Roman" w:eastAsia="SchoolBookSanPin"/>
        </w:rPr>
        <w:t>Правила правописания и их применение:</w:t>
      </w:r>
    </w:p>
    <w:p w14:paraId="6698169D">
      <w:pPr>
        <w:spacing w:after="0" w:line="355" w:lineRule="auto"/>
        <w:ind w:firstLine="709"/>
        <w:jc w:val="both"/>
        <w:rPr>
          <w:rFonts w:ascii="Times New Roman" w:hAnsi="Times New Roman" w:eastAsia="SchoolBookSanPin"/>
        </w:rPr>
      </w:pPr>
      <w:r>
        <w:rPr>
          <w:rFonts w:ascii="Times New Roman" w:hAnsi="Times New Roman" w:eastAsia="SchoolBookSanPin"/>
        </w:rPr>
        <w:t>раздельное написание слов в предложении;</w:t>
      </w:r>
    </w:p>
    <w:p w14:paraId="2B4B0AD7">
      <w:pPr>
        <w:spacing w:after="0" w:line="355" w:lineRule="auto"/>
        <w:ind w:firstLine="709"/>
        <w:jc w:val="both"/>
        <w:rPr>
          <w:rFonts w:ascii="Times New Roman" w:hAnsi="Times New Roman" w:eastAsia="SchoolBookSanPin"/>
        </w:rPr>
      </w:pPr>
      <w:r>
        <w:rPr>
          <w:rFonts w:ascii="Times New Roman" w:hAnsi="Times New Roman" w:eastAsia="SchoolBookSanPin"/>
        </w:rPr>
        <w:t>прописная буква в начале предложения и в именах собственных: в именах и фамилиях людей, кличках животных;</w:t>
      </w:r>
    </w:p>
    <w:p w14:paraId="7045E960">
      <w:pPr>
        <w:spacing w:after="0" w:line="355" w:lineRule="auto"/>
        <w:ind w:firstLine="709"/>
        <w:jc w:val="both"/>
        <w:rPr>
          <w:rFonts w:ascii="Times New Roman" w:hAnsi="Times New Roman" w:eastAsia="SchoolBookSanPin"/>
        </w:rPr>
      </w:pPr>
      <w:r>
        <w:rPr>
          <w:rFonts w:ascii="Times New Roman" w:hAnsi="Times New Roman" w:eastAsia="SchoolBookSanPin"/>
        </w:rPr>
        <w:t>перенос слов (без учёта морфемного членения слова);</w:t>
      </w:r>
    </w:p>
    <w:p w14:paraId="47C2906D">
      <w:pPr>
        <w:spacing w:after="0" w:line="355" w:lineRule="auto"/>
        <w:ind w:firstLine="709"/>
        <w:jc w:val="both"/>
        <w:rPr>
          <w:rFonts w:ascii="Times New Roman" w:hAnsi="Times New Roman" w:eastAsia="SchoolBookSanPin"/>
        </w:rPr>
      </w:pPr>
      <w:r>
        <w:rPr>
          <w:rFonts w:ascii="Times New Roman" w:hAnsi="Times New Roman" w:eastAsia="SchoolBookSanPin"/>
        </w:rPr>
        <w:t xml:space="preserve">гласные после шипящих в сочетаниях </w:t>
      </w:r>
      <w:r>
        <w:rPr>
          <w:rFonts w:ascii="Times New Roman" w:hAnsi="Times New Roman" w:eastAsia="SchoolBookSanPin"/>
          <w:bCs/>
        </w:rPr>
        <w:t>жи</w:t>
      </w:r>
      <w:r>
        <w:rPr>
          <w:rFonts w:ascii="Times New Roman" w:hAnsi="Times New Roman" w:eastAsia="SchoolBookSanPin"/>
        </w:rPr>
        <w:t xml:space="preserve">, </w:t>
      </w:r>
      <w:r>
        <w:rPr>
          <w:rFonts w:ascii="Times New Roman" w:hAnsi="Times New Roman" w:eastAsia="SchoolBookSanPin"/>
          <w:bCs/>
        </w:rPr>
        <w:t xml:space="preserve">ши </w:t>
      </w:r>
      <w:r>
        <w:rPr>
          <w:rFonts w:ascii="Times New Roman" w:hAnsi="Times New Roman" w:eastAsia="SchoolBookSanPin"/>
        </w:rPr>
        <w:t xml:space="preserve">(в положении под ударением), </w:t>
      </w:r>
      <w:r>
        <w:rPr>
          <w:rFonts w:ascii="Times New Roman" w:hAnsi="Times New Roman" w:eastAsia="SchoolBookSanPin"/>
          <w:bCs/>
        </w:rPr>
        <w:t>«ча»</w:t>
      </w:r>
      <w:r>
        <w:rPr>
          <w:rFonts w:ascii="Times New Roman" w:hAnsi="Times New Roman" w:eastAsia="SchoolBookSanPin"/>
        </w:rPr>
        <w:t>, «</w:t>
      </w:r>
      <w:r>
        <w:rPr>
          <w:rFonts w:ascii="Times New Roman" w:hAnsi="Times New Roman" w:eastAsia="SchoolBookSanPin"/>
          <w:bCs/>
        </w:rPr>
        <w:t>ща»</w:t>
      </w:r>
      <w:r>
        <w:rPr>
          <w:rFonts w:ascii="Times New Roman" w:hAnsi="Times New Roman" w:eastAsia="SchoolBookSanPin"/>
        </w:rPr>
        <w:t>, «</w:t>
      </w:r>
      <w:r>
        <w:rPr>
          <w:rFonts w:ascii="Times New Roman" w:hAnsi="Times New Roman" w:eastAsia="SchoolBookSanPin"/>
          <w:bCs/>
        </w:rPr>
        <w:t>чу»</w:t>
      </w:r>
      <w:r>
        <w:rPr>
          <w:rFonts w:ascii="Times New Roman" w:hAnsi="Times New Roman" w:eastAsia="SchoolBookSanPin"/>
        </w:rPr>
        <w:t>, «</w:t>
      </w:r>
      <w:r>
        <w:rPr>
          <w:rFonts w:ascii="Times New Roman" w:hAnsi="Times New Roman" w:eastAsia="SchoolBookSanPin"/>
          <w:bCs/>
        </w:rPr>
        <w:t>щу»</w:t>
      </w:r>
      <w:r>
        <w:rPr>
          <w:rFonts w:ascii="Times New Roman" w:hAnsi="Times New Roman" w:eastAsia="SchoolBookSanPin"/>
        </w:rPr>
        <w:t>;</w:t>
      </w:r>
    </w:p>
    <w:p w14:paraId="461DEEF1">
      <w:pPr>
        <w:spacing w:after="0" w:line="355" w:lineRule="auto"/>
        <w:ind w:firstLine="709"/>
        <w:jc w:val="both"/>
        <w:rPr>
          <w:rFonts w:ascii="Times New Roman" w:hAnsi="Times New Roman" w:eastAsia="SchoolBookSanPin"/>
        </w:rPr>
      </w:pPr>
      <w:r>
        <w:rPr>
          <w:rFonts w:ascii="Times New Roman" w:hAnsi="Times New Roman" w:eastAsia="SchoolBookSanPin"/>
        </w:rPr>
        <w:t>сочетания «</w:t>
      </w:r>
      <w:r>
        <w:rPr>
          <w:rFonts w:ascii="Times New Roman" w:hAnsi="Times New Roman" w:eastAsia="SchoolBookSanPin"/>
          <w:bCs/>
        </w:rPr>
        <w:t>чк»</w:t>
      </w:r>
      <w:r>
        <w:rPr>
          <w:rFonts w:ascii="Times New Roman" w:hAnsi="Times New Roman" w:eastAsia="SchoolBookSanPin"/>
        </w:rPr>
        <w:t>, «</w:t>
      </w:r>
      <w:r>
        <w:rPr>
          <w:rFonts w:ascii="Times New Roman" w:hAnsi="Times New Roman" w:eastAsia="SchoolBookSanPin"/>
          <w:bCs/>
        </w:rPr>
        <w:t>чн»</w:t>
      </w:r>
      <w:r>
        <w:rPr>
          <w:rFonts w:ascii="Times New Roman" w:hAnsi="Times New Roman" w:eastAsia="SchoolBookSanPin"/>
        </w:rPr>
        <w:t>;</w:t>
      </w:r>
    </w:p>
    <w:p w14:paraId="37EA4E05">
      <w:pPr>
        <w:spacing w:after="0" w:line="355" w:lineRule="auto"/>
        <w:ind w:firstLine="709"/>
        <w:jc w:val="both"/>
        <w:rPr>
          <w:rFonts w:ascii="Times New Roman" w:hAnsi="Times New Roman" w:eastAsia="SchoolBookSanPin"/>
        </w:rPr>
      </w:pPr>
      <w:r>
        <w:rPr>
          <w:rFonts w:ascii="Times New Roman" w:hAnsi="Times New Roman" w:eastAsia="SchoolBookSanPin"/>
        </w:rPr>
        <w:t>слова с непроверяемыми гласными и согласными (перечень слов в орфографическом словаре учебника);</w:t>
      </w:r>
    </w:p>
    <w:p w14:paraId="17785EB5">
      <w:pPr>
        <w:spacing w:after="0" w:line="355" w:lineRule="auto"/>
        <w:ind w:firstLine="709"/>
        <w:jc w:val="both"/>
        <w:rPr>
          <w:rFonts w:ascii="Times New Roman" w:hAnsi="Times New Roman" w:eastAsia="SchoolBookSanPin"/>
        </w:rPr>
      </w:pPr>
      <w:r>
        <w:rPr>
          <w:rFonts w:ascii="Times New Roman" w:hAnsi="Times New Roman" w:eastAsia="SchoolBookSanPin"/>
        </w:rPr>
        <w:t>знаки препинания в конце предложения: точка, вопросительный и восклицательный знаки.</w:t>
      </w:r>
    </w:p>
    <w:p w14:paraId="1D3A608C">
      <w:pPr>
        <w:spacing w:after="0" w:line="355" w:lineRule="auto"/>
        <w:ind w:firstLine="709"/>
        <w:jc w:val="both"/>
        <w:rPr>
          <w:rFonts w:ascii="Times New Roman" w:hAnsi="Times New Roman" w:eastAsia="SchoolBookSanPin"/>
        </w:rPr>
      </w:pPr>
      <w:r>
        <w:rPr>
          <w:rFonts w:ascii="Times New Roman" w:hAnsi="Times New Roman" w:eastAsia="SchoolBookSanPin"/>
        </w:rPr>
        <w:t>Алгоритм списывания текста.</w:t>
      </w:r>
    </w:p>
    <w:p w14:paraId="2B3CDD2F">
      <w:pPr>
        <w:spacing w:after="0" w:line="355" w:lineRule="auto"/>
        <w:ind w:firstLine="709"/>
        <w:jc w:val="both"/>
        <w:rPr>
          <w:rFonts w:ascii="Times New Roman" w:hAnsi="Times New Roman" w:eastAsia="OfficinaSansBoldITC"/>
        </w:rPr>
      </w:pPr>
      <w:r>
        <w:rPr>
          <w:rFonts w:ascii="Times New Roman" w:hAnsi="Times New Roman" w:eastAsia="OfficinaSansBoldITC"/>
        </w:rPr>
        <w:t>2.6.2.8. Развитие речи.</w:t>
      </w:r>
    </w:p>
    <w:p w14:paraId="4446F087">
      <w:pPr>
        <w:spacing w:after="0" w:line="355" w:lineRule="auto"/>
        <w:ind w:firstLine="709"/>
        <w:jc w:val="both"/>
        <w:rPr>
          <w:rFonts w:ascii="Times New Roman" w:hAnsi="Times New Roman" w:eastAsia="SchoolBookSanPin"/>
        </w:rPr>
      </w:pPr>
      <w:r>
        <w:rPr>
          <w:rFonts w:ascii="Times New Roman" w:hAnsi="Times New Roman" w:eastAsia="SchoolBookSanPin"/>
        </w:rPr>
        <w:t>Речь как основная форма общения между людьми. Текст как единица речи (ознакомление).</w:t>
      </w:r>
    </w:p>
    <w:p w14:paraId="17A78A1A">
      <w:pPr>
        <w:spacing w:after="0" w:line="355" w:lineRule="auto"/>
        <w:ind w:firstLine="709"/>
        <w:jc w:val="both"/>
        <w:rPr>
          <w:rFonts w:ascii="Times New Roman" w:hAnsi="Times New Roman" w:eastAsia="SchoolBookSanPin"/>
        </w:rPr>
      </w:pPr>
      <w:r>
        <w:rPr>
          <w:rFonts w:ascii="Times New Roman" w:hAnsi="Times New Roman" w:eastAsia="SchoolBookSanPin"/>
        </w:rPr>
        <w:t>Ситуация общения: цель общения, с кем и где происходит общение. Ситуации устного общения (чтение диалогов по ролям, просмотр видеоматериалов, прослушивание аудиозаписи).</w:t>
      </w:r>
    </w:p>
    <w:p w14:paraId="6EEE95E3">
      <w:pPr>
        <w:spacing w:after="0" w:line="355" w:lineRule="auto"/>
        <w:ind w:firstLine="709"/>
        <w:jc w:val="both"/>
        <w:rPr>
          <w:rFonts w:ascii="Times New Roman" w:hAnsi="Times New Roman" w:eastAsia="SchoolBookSanPin"/>
        </w:rPr>
      </w:pPr>
      <w:r>
        <w:rPr>
          <w:rFonts w:ascii="Times New Roman" w:hAnsi="Times New Roman" w:eastAsia="SchoolBookSanPin"/>
        </w:rPr>
        <w:t>Нормы речевого этикета в ситуациях учебного и бытового общения (приветствие, прощание, извинение, благодарность, обращение с просьбой).</w:t>
      </w:r>
    </w:p>
    <w:p w14:paraId="5432EB29">
      <w:pPr>
        <w:spacing w:after="0" w:line="355" w:lineRule="auto"/>
        <w:ind w:firstLine="709"/>
        <w:jc w:val="both"/>
        <w:rPr>
          <w:rFonts w:ascii="Times New Roman" w:hAnsi="Times New Roman" w:eastAsia="SchoolBookSanPin"/>
        </w:rPr>
      </w:pPr>
      <w:r>
        <w:rPr>
          <w:rFonts w:ascii="Times New Roman" w:hAnsi="Times New Roman" w:eastAsia="SchoolBookSanPin"/>
        </w:rPr>
        <w:t>Составление небольших рассказов на основе наблюдений.</w:t>
      </w:r>
    </w:p>
    <w:p w14:paraId="3124D6DD">
      <w:pPr>
        <w:spacing w:after="0" w:line="355" w:lineRule="auto"/>
        <w:ind w:firstLine="709"/>
        <w:jc w:val="both"/>
        <w:rPr>
          <w:rFonts w:ascii="Times New Roman" w:hAnsi="Times New Roman" w:eastAsia="SchoolBookSanPin"/>
          <w:bCs/>
        </w:rPr>
      </w:pPr>
      <w:r>
        <w:rPr>
          <w:rFonts w:ascii="Times New Roman" w:hAnsi="Times New Roman" w:eastAsia="OfficinaSansBoldITC"/>
        </w:rPr>
        <w:t>2.6.3. </w:t>
      </w:r>
      <w:r>
        <w:rPr>
          <w:rFonts w:ascii="Times New Roman" w:hAnsi="Times New Roman" w:eastAsia="SchoolBookSanPin"/>
        </w:rPr>
        <w:t xml:space="preserve">Изучение русского языка в 1 классе позволяет на пропедевтическом уровне организовать работу над рядом метапредметных результатов: </w:t>
      </w:r>
      <w:r>
        <w:rPr>
          <w:rFonts w:ascii="Times New Roman" w:hAnsi="Times New Roman" w:eastAsia="SchoolBookSanPin"/>
          <w:bCs/>
        </w:rPr>
        <w:t xml:space="preserve">познавательных универсальных учебных действий, коммуникативных универсальных учебных действий, регулятивных универсальных учебных действий, совместной деятельности. </w:t>
      </w:r>
    </w:p>
    <w:p w14:paraId="0A311711">
      <w:pPr>
        <w:spacing w:after="0" w:line="355" w:lineRule="auto"/>
        <w:ind w:firstLine="709"/>
        <w:jc w:val="both"/>
        <w:rPr>
          <w:rFonts w:ascii="Times New Roman" w:hAnsi="Times New Roman" w:eastAsia="SchoolBookSanPin"/>
        </w:rPr>
      </w:pPr>
      <w:r>
        <w:rPr>
          <w:rFonts w:ascii="Times New Roman" w:hAnsi="Times New Roman" w:eastAsia="OfficinaSansBoldITC"/>
        </w:rPr>
        <w:t>2.6.3.1. </w:t>
      </w:r>
      <w:r>
        <w:rPr>
          <w:rFonts w:ascii="Times New Roman" w:hAnsi="Times New Roman" w:eastAsia="SchoolBookSanPin"/>
        </w:rPr>
        <w:t xml:space="preserve">Базовые логические действия как часть </w:t>
      </w:r>
      <w:r>
        <w:rPr>
          <w:rFonts w:ascii="Times New Roman" w:hAnsi="Times New Roman" w:eastAsia="SchoolBookSanPin"/>
          <w:bCs/>
        </w:rPr>
        <w:t>познавательных универсальных учебных действий</w:t>
      </w:r>
      <w:r>
        <w:rPr>
          <w:rFonts w:ascii="Times New Roman" w:hAnsi="Times New Roman" w:eastAsia="SchoolBookSanPin"/>
        </w:rPr>
        <w:t>:</w:t>
      </w:r>
    </w:p>
    <w:p w14:paraId="01BBB1DF">
      <w:pPr>
        <w:spacing w:after="0" w:line="355" w:lineRule="auto"/>
        <w:ind w:firstLine="709"/>
        <w:jc w:val="both"/>
        <w:rPr>
          <w:rFonts w:ascii="Times New Roman" w:hAnsi="Times New Roman" w:eastAsia="SchoolBookSanPin"/>
        </w:rPr>
      </w:pPr>
      <w:r>
        <w:rPr>
          <w:rFonts w:ascii="Times New Roman" w:hAnsi="Times New Roman" w:eastAsia="SchoolBookSanPin"/>
        </w:rPr>
        <w:t>сравнивать звуки в соответствии с учебной задачей: определять отличительные особенности гласных и согласных звуков; твёрдых и мягких согласных звуков;</w:t>
      </w:r>
    </w:p>
    <w:p w14:paraId="12A17EA8">
      <w:pPr>
        <w:spacing w:after="0" w:line="355" w:lineRule="auto"/>
        <w:ind w:firstLine="709"/>
        <w:jc w:val="both"/>
        <w:rPr>
          <w:rFonts w:ascii="Times New Roman" w:hAnsi="Times New Roman" w:eastAsia="SchoolBookSanPin"/>
        </w:rPr>
      </w:pPr>
      <w:r>
        <w:rPr>
          <w:rFonts w:ascii="Times New Roman" w:hAnsi="Times New Roman" w:eastAsia="SchoolBookSanPin"/>
        </w:rPr>
        <w:t>сравнивать звуковой и буквенный состав слова в соответствии с учебной задачей: определять совпадения и расхождения в звуковом и буквенном составе слов;</w:t>
      </w:r>
    </w:p>
    <w:p w14:paraId="70B1B268">
      <w:pPr>
        <w:spacing w:after="0" w:line="355" w:lineRule="auto"/>
        <w:ind w:firstLine="709"/>
        <w:jc w:val="both"/>
        <w:rPr>
          <w:rFonts w:ascii="Times New Roman" w:hAnsi="Times New Roman" w:eastAsia="SchoolBookSanPin"/>
        </w:rPr>
      </w:pPr>
      <w:r>
        <w:rPr>
          <w:rFonts w:ascii="Times New Roman" w:hAnsi="Times New Roman" w:eastAsia="SchoolBookSanPin"/>
        </w:rPr>
        <w:t>устанавливать основания для сравнения звукового состава слов: выделять признаки сходства и различия;</w:t>
      </w:r>
    </w:p>
    <w:p w14:paraId="7384F9C0">
      <w:pPr>
        <w:spacing w:after="0" w:line="355" w:lineRule="auto"/>
        <w:ind w:firstLine="709"/>
        <w:jc w:val="both"/>
        <w:rPr>
          <w:rFonts w:ascii="Times New Roman" w:hAnsi="Times New Roman" w:eastAsia="SchoolBookSanPin"/>
        </w:rPr>
      </w:pPr>
      <w:r>
        <w:rPr>
          <w:rFonts w:ascii="Times New Roman" w:hAnsi="Times New Roman" w:eastAsia="SchoolBookSanPin"/>
        </w:rPr>
        <w:t>характеризовать звуки по заданным признакам; приводить примеры гласных звуков; твёрдых согласных, мягких согласных, звонких согласных, глухих согласных звуков; слов с заданным звуком.</w:t>
      </w:r>
    </w:p>
    <w:p w14:paraId="4135F470">
      <w:pPr>
        <w:spacing w:after="0" w:line="355" w:lineRule="auto"/>
        <w:ind w:firstLine="709"/>
        <w:jc w:val="both"/>
        <w:rPr>
          <w:rFonts w:ascii="Times New Roman" w:hAnsi="Times New Roman" w:eastAsia="SchoolBookSanPin"/>
        </w:rPr>
      </w:pPr>
      <w:r>
        <w:rPr>
          <w:rFonts w:ascii="Times New Roman" w:hAnsi="Times New Roman" w:eastAsia="OfficinaSansBoldITC"/>
        </w:rPr>
        <w:t>2.6.3.2. </w:t>
      </w:r>
      <w:r>
        <w:rPr>
          <w:rFonts w:ascii="Times New Roman" w:hAnsi="Times New Roman" w:eastAsia="SchoolBookSanPin"/>
        </w:rPr>
        <w:t xml:space="preserve">Базовые исследовательские действия как часть </w:t>
      </w:r>
      <w:r>
        <w:rPr>
          <w:rFonts w:ascii="Times New Roman" w:hAnsi="Times New Roman" w:eastAsia="SchoolBookSanPin"/>
          <w:bCs/>
        </w:rPr>
        <w:t>познавательных универсальных учебных действий</w:t>
      </w:r>
      <w:r>
        <w:rPr>
          <w:rFonts w:ascii="Times New Roman" w:hAnsi="Times New Roman" w:eastAsia="SchoolBookSanPin"/>
        </w:rPr>
        <w:t>:</w:t>
      </w:r>
    </w:p>
    <w:p w14:paraId="50B1181D">
      <w:pPr>
        <w:spacing w:after="0" w:line="355" w:lineRule="auto"/>
        <w:ind w:firstLine="709"/>
        <w:jc w:val="both"/>
        <w:rPr>
          <w:rFonts w:ascii="Times New Roman" w:hAnsi="Times New Roman" w:eastAsia="SchoolBookSanPin"/>
        </w:rPr>
      </w:pPr>
      <w:r>
        <w:rPr>
          <w:rFonts w:ascii="Times New Roman" w:hAnsi="Times New Roman" w:eastAsia="SchoolBookSanPin"/>
        </w:rPr>
        <w:t>проводить изменения звуковой модели по предложенному учителем правилу, подбирать слова к модели;</w:t>
      </w:r>
    </w:p>
    <w:p w14:paraId="381E4C48">
      <w:pPr>
        <w:spacing w:after="0" w:line="355" w:lineRule="auto"/>
        <w:ind w:firstLine="709"/>
        <w:jc w:val="both"/>
        <w:rPr>
          <w:rFonts w:ascii="Times New Roman" w:hAnsi="Times New Roman" w:eastAsia="SchoolBookSanPin"/>
        </w:rPr>
      </w:pPr>
      <w:r>
        <w:rPr>
          <w:rFonts w:ascii="Times New Roman" w:hAnsi="Times New Roman" w:eastAsia="SchoolBookSanPin"/>
        </w:rPr>
        <w:t>формулировать выводы о соответствии звукового и буквенного состава слова;</w:t>
      </w:r>
    </w:p>
    <w:p w14:paraId="6D37FCE6">
      <w:pPr>
        <w:spacing w:after="0" w:line="355" w:lineRule="auto"/>
        <w:ind w:firstLine="709"/>
        <w:jc w:val="both"/>
        <w:rPr>
          <w:rFonts w:ascii="Times New Roman" w:hAnsi="Times New Roman" w:eastAsia="SchoolBookSanPin"/>
        </w:rPr>
      </w:pPr>
      <w:r>
        <w:rPr>
          <w:rFonts w:ascii="Times New Roman" w:hAnsi="Times New Roman" w:eastAsia="SchoolBookSanPin"/>
        </w:rPr>
        <w:t>использовать алфавит для самостоятельного упорядочивания списка слов.</w:t>
      </w:r>
    </w:p>
    <w:p w14:paraId="20AED227">
      <w:pPr>
        <w:spacing w:after="0" w:line="355" w:lineRule="auto"/>
        <w:ind w:firstLine="709"/>
        <w:jc w:val="both"/>
        <w:rPr>
          <w:rFonts w:ascii="Times New Roman" w:hAnsi="Times New Roman" w:eastAsia="SchoolBookSanPin"/>
        </w:rPr>
      </w:pPr>
      <w:r>
        <w:rPr>
          <w:rFonts w:ascii="Times New Roman" w:hAnsi="Times New Roman" w:eastAsia="OfficinaSansBoldITC"/>
        </w:rPr>
        <w:t>2.6.3.3. </w:t>
      </w:r>
      <w:r>
        <w:rPr>
          <w:rFonts w:ascii="Times New Roman" w:hAnsi="Times New Roman" w:eastAsia="SchoolBookSanPin"/>
        </w:rPr>
        <w:t xml:space="preserve">Работа с информацией как часть </w:t>
      </w:r>
      <w:r>
        <w:rPr>
          <w:rFonts w:ascii="Times New Roman" w:hAnsi="Times New Roman" w:eastAsia="SchoolBookSanPin"/>
          <w:bCs/>
        </w:rPr>
        <w:t>познавательных универсальных учебных действий</w:t>
      </w:r>
      <w:r>
        <w:rPr>
          <w:rFonts w:ascii="Times New Roman" w:hAnsi="Times New Roman" w:eastAsia="SchoolBookSanPin"/>
        </w:rPr>
        <w:t>:</w:t>
      </w:r>
    </w:p>
    <w:p w14:paraId="6990CFE8">
      <w:pPr>
        <w:spacing w:after="0" w:line="355" w:lineRule="auto"/>
        <w:ind w:firstLine="709"/>
        <w:jc w:val="both"/>
        <w:rPr>
          <w:rFonts w:ascii="Times New Roman" w:hAnsi="Times New Roman" w:eastAsia="SchoolBookSanPin"/>
        </w:rPr>
      </w:pPr>
      <w:r>
        <w:rPr>
          <w:rFonts w:ascii="Times New Roman" w:hAnsi="Times New Roman" w:eastAsia="SchoolBookSanPin"/>
        </w:rPr>
        <w:t>выбирать источник получения информации: уточнять написание слова по орфографическому словарику учебника; место ударения в слове по перечню слов, отрабатываемых в учебнике;</w:t>
      </w:r>
    </w:p>
    <w:p w14:paraId="4F8D641D">
      <w:pPr>
        <w:spacing w:after="0" w:line="355" w:lineRule="auto"/>
        <w:ind w:firstLine="709"/>
        <w:jc w:val="both"/>
        <w:rPr>
          <w:rFonts w:ascii="Times New Roman" w:hAnsi="Times New Roman" w:eastAsia="SchoolBookSanPin"/>
        </w:rPr>
      </w:pPr>
      <w:r>
        <w:rPr>
          <w:rFonts w:ascii="Times New Roman" w:hAnsi="Times New Roman" w:eastAsia="SchoolBookSanPin"/>
        </w:rPr>
        <w:t>анализировать графическую информацию – модели звукового состава слова;</w:t>
      </w:r>
    </w:p>
    <w:p w14:paraId="0DFE1122">
      <w:pPr>
        <w:spacing w:after="0" w:line="355" w:lineRule="auto"/>
        <w:ind w:firstLine="709"/>
        <w:jc w:val="both"/>
        <w:rPr>
          <w:rFonts w:ascii="Times New Roman" w:hAnsi="Times New Roman" w:eastAsia="SchoolBookSanPin"/>
        </w:rPr>
      </w:pPr>
      <w:r>
        <w:rPr>
          <w:rFonts w:ascii="Times New Roman" w:hAnsi="Times New Roman" w:eastAsia="SchoolBookSanPin"/>
        </w:rPr>
        <w:t>самостоятельно создавать модели звукового состава слова.</w:t>
      </w:r>
    </w:p>
    <w:p w14:paraId="6D3FE393">
      <w:pPr>
        <w:spacing w:after="0" w:line="355" w:lineRule="auto"/>
        <w:ind w:firstLine="709"/>
        <w:jc w:val="both"/>
        <w:rPr>
          <w:rFonts w:ascii="Times New Roman" w:hAnsi="Times New Roman" w:eastAsia="SchoolBookSanPin"/>
        </w:rPr>
      </w:pPr>
      <w:r>
        <w:rPr>
          <w:rFonts w:ascii="Times New Roman" w:hAnsi="Times New Roman" w:eastAsia="OfficinaSansBoldITC"/>
        </w:rPr>
        <w:t>2.6.3.4. </w:t>
      </w:r>
      <w:r>
        <w:rPr>
          <w:rFonts w:ascii="Times New Roman" w:hAnsi="Times New Roman" w:eastAsia="SchoolBookSanPin"/>
        </w:rPr>
        <w:t>Общение</w:t>
      </w:r>
      <w:r>
        <w:rPr>
          <w:rFonts w:ascii="Times New Roman" w:hAnsi="Times New Roman" w:eastAsia="SchoolBookSanPin"/>
          <w:bCs/>
        </w:rPr>
        <w:t xml:space="preserve"> </w:t>
      </w:r>
      <w:r>
        <w:rPr>
          <w:rFonts w:ascii="Times New Roman" w:hAnsi="Times New Roman" w:eastAsia="SchoolBookSanPin"/>
        </w:rPr>
        <w:t xml:space="preserve">как часть </w:t>
      </w:r>
      <w:r>
        <w:rPr>
          <w:rFonts w:ascii="Times New Roman" w:hAnsi="Times New Roman" w:eastAsia="SchoolBookSanPin"/>
          <w:bCs/>
        </w:rPr>
        <w:t>коммуникативных универсальных учебных действий</w:t>
      </w:r>
      <w:r>
        <w:rPr>
          <w:rFonts w:ascii="Times New Roman" w:hAnsi="Times New Roman" w:eastAsia="SchoolBookSanPin"/>
        </w:rPr>
        <w:t>:</w:t>
      </w:r>
    </w:p>
    <w:p w14:paraId="25F56A42">
      <w:pPr>
        <w:spacing w:after="0" w:line="355" w:lineRule="auto"/>
        <w:ind w:firstLine="709"/>
        <w:jc w:val="both"/>
        <w:rPr>
          <w:rFonts w:ascii="Times New Roman" w:hAnsi="Times New Roman" w:eastAsia="SchoolBookSanPin"/>
        </w:rPr>
      </w:pPr>
      <w:r>
        <w:rPr>
          <w:rFonts w:ascii="Times New Roman" w:hAnsi="Times New Roman" w:eastAsia="SchoolBookSanPin"/>
        </w:rPr>
        <w:t>воспринимать суждения, выражать эмоции в соответствии с целями и условиями общения в знакомой среде;</w:t>
      </w:r>
    </w:p>
    <w:p w14:paraId="02A249DF">
      <w:pPr>
        <w:spacing w:after="0" w:line="355" w:lineRule="auto"/>
        <w:ind w:firstLine="709"/>
        <w:jc w:val="both"/>
        <w:rPr>
          <w:rFonts w:ascii="Times New Roman" w:hAnsi="Times New Roman" w:eastAsia="SchoolBookSanPin"/>
        </w:rPr>
      </w:pPr>
      <w:r>
        <w:rPr>
          <w:rFonts w:ascii="Times New Roman" w:hAnsi="Times New Roman" w:eastAsia="SchoolBookSanPin"/>
        </w:rPr>
        <w:t>проявлять уважительное отношение к собеседнику, соблюдать в процессе общения нормы речевого этикета;</w:t>
      </w:r>
    </w:p>
    <w:p w14:paraId="02F25F33">
      <w:pPr>
        <w:spacing w:after="0" w:line="355" w:lineRule="auto"/>
        <w:ind w:firstLine="709"/>
        <w:jc w:val="both"/>
        <w:rPr>
          <w:rFonts w:ascii="Times New Roman" w:hAnsi="Times New Roman" w:eastAsia="SchoolBookSanPin"/>
        </w:rPr>
      </w:pPr>
      <w:r>
        <w:rPr>
          <w:rFonts w:ascii="Times New Roman" w:hAnsi="Times New Roman" w:eastAsia="SchoolBookSanPin"/>
        </w:rPr>
        <w:t>соблюдать правила ведения диалога;</w:t>
      </w:r>
    </w:p>
    <w:p w14:paraId="7F12EE89">
      <w:pPr>
        <w:spacing w:after="0" w:line="355" w:lineRule="auto"/>
        <w:ind w:firstLine="709"/>
        <w:jc w:val="both"/>
        <w:rPr>
          <w:rFonts w:ascii="Times New Roman" w:hAnsi="Times New Roman" w:eastAsia="SchoolBookSanPin"/>
        </w:rPr>
      </w:pPr>
      <w:r>
        <w:rPr>
          <w:rFonts w:ascii="Times New Roman" w:hAnsi="Times New Roman" w:eastAsia="SchoolBookSanPin"/>
        </w:rPr>
        <w:t>воспринимать разные точки зрения;</w:t>
      </w:r>
    </w:p>
    <w:p w14:paraId="29024AE7">
      <w:pPr>
        <w:spacing w:after="0" w:line="355" w:lineRule="auto"/>
        <w:ind w:firstLine="709"/>
        <w:jc w:val="both"/>
        <w:rPr>
          <w:rFonts w:ascii="Times New Roman" w:hAnsi="Times New Roman" w:eastAsia="SchoolBookSanPin"/>
        </w:rPr>
      </w:pPr>
      <w:r>
        <w:rPr>
          <w:rFonts w:ascii="Times New Roman" w:hAnsi="Times New Roman" w:eastAsia="SchoolBookSanPin"/>
        </w:rPr>
        <w:t>в процессе учебного диалога отвечать на вопросы по изученному материалу;</w:t>
      </w:r>
    </w:p>
    <w:p w14:paraId="2D21BDB2">
      <w:pPr>
        <w:spacing w:after="0" w:line="355" w:lineRule="auto"/>
        <w:ind w:firstLine="709"/>
        <w:jc w:val="both"/>
        <w:rPr>
          <w:rFonts w:ascii="Times New Roman" w:hAnsi="Times New Roman" w:eastAsia="SchoolBookSanPin"/>
        </w:rPr>
      </w:pPr>
      <w:r>
        <w:rPr>
          <w:rFonts w:ascii="Times New Roman" w:hAnsi="Times New Roman" w:eastAsia="SchoolBookSanPin"/>
        </w:rPr>
        <w:t>строить устное речевое высказывание об обозначении звуков буквами; о звуковом и буквенном составе слова.</w:t>
      </w:r>
    </w:p>
    <w:p w14:paraId="378784B5">
      <w:pPr>
        <w:spacing w:after="0" w:line="355" w:lineRule="auto"/>
        <w:ind w:firstLine="709"/>
        <w:jc w:val="both"/>
        <w:rPr>
          <w:rFonts w:ascii="Times New Roman" w:hAnsi="Times New Roman" w:eastAsia="SchoolBookSanPin"/>
        </w:rPr>
      </w:pPr>
      <w:r>
        <w:rPr>
          <w:rFonts w:ascii="Times New Roman" w:hAnsi="Times New Roman" w:eastAsia="OfficinaSansBoldITC"/>
        </w:rPr>
        <w:t>2.6.3.5. </w:t>
      </w:r>
      <w:r>
        <w:rPr>
          <w:rFonts w:ascii="Times New Roman" w:hAnsi="Times New Roman" w:eastAsia="SchoolBookSanPin"/>
        </w:rPr>
        <w:t>Самоорганизация</w:t>
      </w:r>
      <w:r>
        <w:rPr>
          <w:rFonts w:ascii="Times New Roman" w:hAnsi="Times New Roman" w:eastAsia="SchoolBookSanPin"/>
          <w:bCs/>
        </w:rPr>
        <w:t xml:space="preserve"> </w:t>
      </w:r>
      <w:r>
        <w:rPr>
          <w:rFonts w:ascii="Times New Roman" w:hAnsi="Times New Roman" w:eastAsia="SchoolBookSanPin"/>
        </w:rPr>
        <w:t xml:space="preserve">как часть </w:t>
      </w:r>
      <w:r>
        <w:rPr>
          <w:rFonts w:ascii="Times New Roman" w:hAnsi="Times New Roman" w:eastAsia="SchoolBookSanPin"/>
          <w:bCs/>
        </w:rPr>
        <w:t>регулятивных универсальных учебных действий</w:t>
      </w:r>
      <w:r>
        <w:rPr>
          <w:rFonts w:ascii="Times New Roman" w:hAnsi="Times New Roman" w:eastAsia="SchoolBookSanPin"/>
        </w:rPr>
        <w:t>:</w:t>
      </w:r>
    </w:p>
    <w:p w14:paraId="7905B830">
      <w:pPr>
        <w:spacing w:after="0" w:line="355" w:lineRule="auto"/>
        <w:ind w:firstLine="709"/>
        <w:jc w:val="both"/>
        <w:rPr>
          <w:rFonts w:ascii="Times New Roman" w:hAnsi="Times New Roman" w:eastAsia="SchoolBookSanPin"/>
        </w:rPr>
      </w:pPr>
      <w:r>
        <w:rPr>
          <w:rFonts w:ascii="Times New Roman" w:hAnsi="Times New Roman" w:eastAsia="SchoolBookSanPin"/>
        </w:rPr>
        <w:t>определять последовательность учебных операций при проведении звукового анализа слова;</w:t>
      </w:r>
    </w:p>
    <w:p w14:paraId="0B8C0C7B">
      <w:pPr>
        <w:spacing w:after="0" w:line="355" w:lineRule="auto"/>
        <w:ind w:firstLine="709"/>
        <w:jc w:val="both"/>
        <w:rPr>
          <w:rFonts w:ascii="Times New Roman" w:hAnsi="Times New Roman" w:eastAsia="SchoolBookSanPin"/>
        </w:rPr>
      </w:pPr>
      <w:r>
        <w:rPr>
          <w:rFonts w:ascii="Times New Roman" w:hAnsi="Times New Roman" w:eastAsia="SchoolBookSanPin"/>
        </w:rPr>
        <w:t>определять последовательность учебных операций при списывании;</w:t>
      </w:r>
    </w:p>
    <w:p w14:paraId="1EB89070">
      <w:pPr>
        <w:spacing w:after="0" w:line="355" w:lineRule="auto"/>
        <w:ind w:firstLine="709"/>
        <w:jc w:val="both"/>
        <w:rPr>
          <w:rFonts w:ascii="Times New Roman" w:hAnsi="Times New Roman" w:eastAsia="SchoolBookSanPin"/>
        </w:rPr>
      </w:pPr>
      <w:r>
        <w:rPr>
          <w:rFonts w:ascii="Times New Roman" w:hAnsi="Times New Roman" w:eastAsia="SchoolBookSanPin"/>
        </w:rPr>
        <w:t>удерживать учебную задачу при проведении звукового анализа, при обозначении звуков буквами, при списывании текста, при письме под диктовку: применять отрабатываемый способ действия, соотносить цель и результат.</w:t>
      </w:r>
    </w:p>
    <w:p w14:paraId="1B3D608B">
      <w:pPr>
        <w:spacing w:after="0" w:line="355" w:lineRule="auto"/>
        <w:ind w:firstLine="709"/>
        <w:jc w:val="both"/>
        <w:rPr>
          <w:rFonts w:ascii="Times New Roman" w:hAnsi="Times New Roman" w:eastAsia="SchoolBookSanPin"/>
        </w:rPr>
      </w:pPr>
      <w:r>
        <w:rPr>
          <w:rFonts w:ascii="Times New Roman" w:hAnsi="Times New Roman" w:eastAsia="OfficinaSansBoldITC"/>
        </w:rPr>
        <w:t>2.6.3.6. </w:t>
      </w:r>
      <w:r>
        <w:rPr>
          <w:rFonts w:ascii="Times New Roman" w:hAnsi="Times New Roman" w:eastAsia="SchoolBookSanPin"/>
        </w:rPr>
        <w:t xml:space="preserve">Самоконтроль как часть </w:t>
      </w:r>
      <w:r>
        <w:rPr>
          <w:rFonts w:ascii="Times New Roman" w:hAnsi="Times New Roman" w:eastAsia="SchoolBookSanPin"/>
          <w:bCs/>
        </w:rPr>
        <w:t>регулятивных универсальных учебных действий</w:t>
      </w:r>
      <w:r>
        <w:rPr>
          <w:rFonts w:ascii="Times New Roman" w:hAnsi="Times New Roman" w:eastAsia="SchoolBookSanPin"/>
        </w:rPr>
        <w:t>:</w:t>
      </w:r>
    </w:p>
    <w:p w14:paraId="2AF0754D">
      <w:pPr>
        <w:spacing w:after="0" w:line="355" w:lineRule="auto"/>
        <w:ind w:firstLine="709"/>
        <w:jc w:val="both"/>
        <w:rPr>
          <w:rFonts w:ascii="Times New Roman" w:hAnsi="Times New Roman" w:eastAsia="SchoolBookSanPin"/>
        </w:rPr>
      </w:pPr>
      <w:r>
        <w:rPr>
          <w:rFonts w:ascii="Times New Roman" w:hAnsi="Times New Roman" w:eastAsia="SchoolBookSanPin"/>
        </w:rPr>
        <w:t>находить ошибку, допущенную при проведении звукового анализа, при письме под диктовку или списывании слов, предложений, с использованием указаний педагога о наличии ошибки;</w:t>
      </w:r>
    </w:p>
    <w:p w14:paraId="344F5208">
      <w:pPr>
        <w:spacing w:after="0" w:line="355" w:lineRule="auto"/>
        <w:ind w:firstLine="709"/>
        <w:jc w:val="both"/>
        <w:rPr>
          <w:rFonts w:ascii="Times New Roman" w:hAnsi="Times New Roman" w:eastAsia="SchoolBookSanPin"/>
        </w:rPr>
      </w:pPr>
      <w:r>
        <w:rPr>
          <w:rFonts w:ascii="Times New Roman" w:hAnsi="Times New Roman" w:eastAsia="SchoolBookSanPin"/>
        </w:rPr>
        <w:t>оценивать правильность написания букв, соединений букв, слов, предложений.</w:t>
      </w:r>
    </w:p>
    <w:p w14:paraId="37E2F00B">
      <w:pPr>
        <w:spacing w:after="0" w:line="355" w:lineRule="auto"/>
        <w:ind w:firstLine="709"/>
        <w:jc w:val="both"/>
        <w:rPr>
          <w:rFonts w:ascii="Times New Roman" w:hAnsi="Times New Roman" w:eastAsia="SchoolBookSanPin"/>
        </w:rPr>
      </w:pPr>
      <w:r>
        <w:rPr>
          <w:rFonts w:ascii="Times New Roman" w:hAnsi="Times New Roman" w:eastAsia="OfficinaSansBoldITC"/>
        </w:rPr>
        <w:t>2.6.3.7. </w:t>
      </w:r>
      <w:r>
        <w:rPr>
          <w:rFonts w:ascii="Times New Roman" w:hAnsi="Times New Roman" w:eastAsia="SchoolBookSanPin"/>
          <w:bCs/>
        </w:rPr>
        <w:t>Совместная деятельность</w:t>
      </w:r>
      <w:r>
        <w:rPr>
          <w:rFonts w:ascii="Times New Roman" w:hAnsi="Times New Roman" w:eastAsia="SchoolBookSanPin"/>
        </w:rPr>
        <w:t>:</w:t>
      </w:r>
    </w:p>
    <w:p w14:paraId="494D4806">
      <w:pPr>
        <w:spacing w:after="0" w:line="355" w:lineRule="auto"/>
        <w:ind w:firstLine="709"/>
        <w:jc w:val="both"/>
        <w:rPr>
          <w:rFonts w:ascii="Times New Roman" w:hAnsi="Times New Roman" w:eastAsia="SchoolBookSanPin"/>
        </w:rPr>
      </w:pPr>
      <w:r>
        <w:rPr>
          <w:rFonts w:ascii="Times New Roman" w:hAnsi="Times New Roman" w:eastAsia="SchoolBookSanPin"/>
        </w:rPr>
        <w:t>принимать цель совместной деятельности, коллективно строить план действий по её достижению, распределять роли, договариваться, учитывать интересы и мнения участников совместной работы;</w:t>
      </w:r>
    </w:p>
    <w:p w14:paraId="29CA07BE">
      <w:pPr>
        <w:spacing w:after="0" w:line="355" w:lineRule="auto"/>
        <w:ind w:firstLine="709"/>
        <w:jc w:val="both"/>
        <w:rPr>
          <w:rFonts w:ascii="Times New Roman" w:hAnsi="Times New Roman" w:eastAsia="SchoolBookSanPin"/>
        </w:rPr>
      </w:pPr>
      <w:r>
        <w:rPr>
          <w:rFonts w:ascii="Times New Roman" w:hAnsi="Times New Roman" w:eastAsia="SchoolBookSanPin"/>
        </w:rPr>
        <w:t>ответственно выполнять свою часть работы.</w:t>
      </w:r>
    </w:p>
    <w:p w14:paraId="67D2FEE5">
      <w:pPr>
        <w:spacing w:after="0" w:line="355" w:lineRule="auto"/>
        <w:ind w:firstLine="709"/>
        <w:rPr>
          <w:rFonts w:ascii="Times New Roman" w:hAnsi="Times New Roman" w:eastAsia="OfficinaSansBoldITC"/>
        </w:rPr>
      </w:pPr>
      <w:r>
        <w:rPr>
          <w:rFonts w:ascii="Times New Roman" w:hAnsi="Times New Roman" w:eastAsia="OfficinaSansBoldITC"/>
        </w:rPr>
        <w:t>2.7. Содержание обучения во 2 классе.</w:t>
      </w:r>
    </w:p>
    <w:p w14:paraId="3514613A">
      <w:pPr>
        <w:spacing w:after="0" w:line="355" w:lineRule="auto"/>
        <w:ind w:firstLine="709"/>
        <w:jc w:val="both"/>
        <w:rPr>
          <w:rFonts w:ascii="Times New Roman" w:hAnsi="Times New Roman" w:eastAsia="SchoolBookSanPin"/>
          <w:bCs/>
        </w:rPr>
      </w:pPr>
      <w:r>
        <w:rPr>
          <w:rFonts w:ascii="Times New Roman" w:hAnsi="Times New Roman" w:eastAsia="OfficinaSansBoldITC"/>
        </w:rPr>
        <w:t>2.7.1. </w:t>
      </w:r>
      <w:r>
        <w:rPr>
          <w:rFonts w:ascii="Times New Roman" w:hAnsi="Times New Roman" w:eastAsia="SchoolBookSanPin"/>
          <w:bCs/>
        </w:rPr>
        <w:t>Общие сведения о языке.</w:t>
      </w:r>
    </w:p>
    <w:p w14:paraId="76848C0F">
      <w:pPr>
        <w:spacing w:after="0" w:line="355" w:lineRule="auto"/>
        <w:ind w:firstLine="709"/>
        <w:jc w:val="both"/>
        <w:rPr>
          <w:rFonts w:ascii="Times New Roman" w:hAnsi="Times New Roman" w:eastAsia="SchoolBookSanPin"/>
        </w:rPr>
      </w:pPr>
      <w:r>
        <w:rPr>
          <w:rFonts w:ascii="Times New Roman" w:hAnsi="Times New Roman" w:eastAsia="SchoolBookSanPin"/>
        </w:rPr>
        <w:t>Язык как основное средство человеческого общения и явление национальной культуры. Первоначальные представления о многообразии языкового пространства России и мира. Методы познания языка: наблюдение, анализ.</w:t>
      </w:r>
    </w:p>
    <w:p w14:paraId="0B0B7023">
      <w:pPr>
        <w:spacing w:after="0" w:line="355" w:lineRule="auto"/>
        <w:ind w:firstLine="709"/>
        <w:jc w:val="both"/>
        <w:rPr>
          <w:rFonts w:ascii="Times New Roman" w:hAnsi="Times New Roman" w:eastAsia="SchoolBookSanPin"/>
          <w:bCs/>
        </w:rPr>
      </w:pPr>
      <w:r>
        <w:rPr>
          <w:rFonts w:ascii="Times New Roman" w:hAnsi="Times New Roman" w:eastAsia="OfficinaSansBoldITC"/>
        </w:rPr>
        <w:t>2.7.2. </w:t>
      </w:r>
      <w:r>
        <w:rPr>
          <w:rFonts w:ascii="Times New Roman" w:hAnsi="Times New Roman" w:eastAsia="SchoolBookSanPin"/>
          <w:bCs/>
        </w:rPr>
        <w:t>Фонетика и графика.</w:t>
      </w:r>
    </w:p>
    <w:p w14:paraId="698055B5">
      <w:pPr>
        <w:spacing w:after="0" w:line="355" w:lineRule="auto"/>
        <w:ind w:firstLine="709"/>
        <w:jc w:val="both"/>
        <w:rPr>
          <w:rFonts w:ascii="Times New Roman" w:hAnsi="Times New Roman" w:eastAsia="SchoolBookSanPin"/>
        </w:rPr>
      </w:pPr>
      <w:r>
        <w:rPr>
          <w:rFonts w:ascii="Times New Roman" w:hAnsi="Times New Roman" w:eastAsia="SchoolBookSanPin"/>
        </w:rPr>
        <w:t>Смыслоразличительная функция звуков; различение звуков и букв; различение ударных и безударных гласных звуков, согласного звука [й’] и гласного звука [и], твёрдых и мягких согласных звуков, звонких и глухих согласных звуков; шипящие согласные звуки [ж], [ш], [ч’], [щ’]; обозначение при письме твёрдости и мягкости согласных звуков, функции букв «</w:t>
      </w:r>
      <w:r>
        <w:rPr>
          <w:rFonts w:ascii="Times New Roman" w:hAnsi="Times New Roman" w:eastAsia="SchoolBookSanPin"/>
          <w:bCs/>
        </w:rPr>
        <w:t>е»</w:t>
      </w:r>
      <w:r>
        <w:rPr>
          <w:rFonts w:ascii="Times New Roman" w:hAnsi="Times New Roman" w:eastAsia="SchoolBookSanPin"/>
        </w:rPr>
        <w:t>, «</w:t>
      </w:r>
      <w:r>
        <w:rPr>
          <w:rFonts w:ascii="Times New Roman" w:hAnsi="Times New Roman" w:eastAsia="SchoolBookSanPin"/>
          <w:bCs/>
        </w:rPr>
        <w:t>ё»</w:t>
      </w:r>
      <w:r>
        <w:rPr>
          <w:rFonts w:ascii="Times New Roman" w:hAnsi="Times New Roman" w:eastAsia="SchoolBookSanPin"/>
        </w:rPr>
        <w:t>, «</w:t>
      </w:r>
      <w:r>
        <w:rPr>
          <w:rFonts w:ascii="Times New Roman" w:hAnsi="Times New Roman" w:eastAsia="SchoolBookSanPin"/>
          <w:bCs/>
        </w:rPr>
        <w:t>ю»</w:t>
      </w:r>
      <w:r>
        <w:rPr>
          <w:rFonts w:ascii="Times New Roman" w:hAnsi="Times New Roman" w:eastAsia="SchoolBookSanPin"/>
        </w:rPr>
        <w:t>, «</w:t>
      </w:r>
      <w:r>
        <w:rPr>
          <w:rFonts w:ascii="Times New Roman" w:hAnsi="Times New Roman" w:eastAsia="SchoolBookSanPin"/>
          <w:bCs/>
        </w:rPr>
        <w:t>я»</w:t>
      </w:r>
      <w:r>
        <w:rPr>
          <w:rFonts w:ascii="Times New Roman" w:hAnsi="Times New Roman" w:eastAsia="SchoolBookSanPin"/>
        </w:rPr>
        <w:t xml:space="preserve"> (повторение изученного в 1 классе).</w:t>
      </w:r>
    </w:p>
    <w:p w14:paraId="3C0D9C1B">
      <w:pPr>
        <w:spacing w:after="0" w:line="355" w:lineRule="auto"/>
        <w:ind w:firstLine="709"/>
        <w:jc w:val="both"/>
        <w:rPr>
          <w:rFonts w:ascii="Times New Roman" w:hAnsi="Times New Roman" w:eastAsia="SchoolBookSanPin"/>
        </w:rPr>
      </w:pPr>
      <w:r>
        <w:rPr>
          <w:rFonts w:ascii="Times New Roman" w:hAnsi="Times New Roman" w:eastAsia="SchoolBookSanPin"/>
        </w:rPr>
        <w:t>Парные и непарные по твёрдости – мягкости согласные звуки.</w:t>
      </w:r>
    </w:p>
    <w:p w14:paraId="4F521693">
      <w:pPr>
        <w:spacing w:after="0" w:line="355" w:lineRule="auto"/>
        <w:ind w:firstLine="709"/>
        <w:jc w:val="both"/>
        <w:rPr>
          <w:rFonts w:ascii="Times New Roman" w:hAnsi="Times New Roman" w:eastAsia="SchoolBookSanPin"/>
        </w:rPr>
      </w:pPr>
      <w:r>
        <w:rPr>
          <w:rFonts w:ascii="Times New Roman" w:hAnsi="Times New Roman" w:eastAsia="SchoolBookSanPin"/>
        </w:rPr>
        <w:t>Парные и непарные по звонкости – глухости согласные звуки.</w:t>
      </w:r>
    </w:p>
    <w:p w14:paraId="48AEA559">
      <w:pPr>
        <w:spacing w:after="0" w:line="355" w:lineRule="auto"/>
        <w:ind w:firstLine="709"/>
        <w:jc w:val="both"/>
        <w:rPr>
          <w:rFonts w:ascii="Times New Roman" w:hAnsi="Times New Roman" w:eastAsia="SchoolBookSanPin"/>
        </w:rPr>
      </w:pPr>
      <w:r>
        <w:rPr>
          <w:rFonts w:ascii="Times New Roman" w:hAnsi="Times New Roman" w:eastAsia="SchoolBookSanPin"/>
        </w:rPr>
        <w:t>Качественная характеристика звука: гласный – согласный; гласный ударный – безударный; согласный твёрдый – мягкий, парный – непарный; согласный звонкий – глухой, парный – непарный.</w:t>
      </w:r>
    </w:p>
    <w:p w14:paraId="15DEF3B4">
      <w:pPr>
        <w:spacing w:after="0" w:line="355" w:lineRule="auto"/>
        <w:ind w:firstLine="709"/>
        <w:jc w:val="both"/>
        <w:rPr>
          <w:rFonts w:ascii="Times New Roman" w:hAnsi="Times New Roman" w:eastAsia="SchoolBookSanPin"/>
        </w:rPr>
      </w:pPr>
      <w:r>
        <w:rPr>
          <w:rFonts w:ascii="Times New Roman" w:hAnsi="Times New Roman" w:eastAsia="SchoolBookSanPin"/>
        </w:rPr>
        <w:t>Функции «</w:t>
      </w:r>
      <w:r>
        <w:rPr>
          <w:rFonts w:ascii="Times New Roman" w:hAnsi="Times New Roman" w:eastAsia="SchoolBookSanPin"/>
          <w:bCs/>
        </w:rPr>
        <w:t>ь»</w:t>
      </w:r>
      <w:r>
        <w:rPr>
          <w:rFonts w:ascii="Times New Roman" w:hAnsi="Times New Roman" w:eastAsia="SchoolBookSanPin"/>
        </w:rPr>
        <w:t xml:space="preserve">: показатель мягкости предшествующего согласного в конце и в середине слова; разделительный. Использование при письме разделительных </w:t>
      </w:r>
      <w:r>
        <w:rPr>
          <w:rFonts w:ascii="Times New Roman" w:hAnsi="Times New Roman" w:eastAsia="SchoolBookSanPin"/>
          <w:bCs/>
        </w:rPr>
        <w:t xml:space="preserve">«ъ» </w:t>
      </w:r>
      <w:r>
        <w:rPr>
          <w:rFonts w:ascii="Times New Roman" w:hAnsi="Times New Roman" w:eastAsia="SchoolBookSanPin"/>
        </w:rPr>
        <w:t>и «</w:t>
      </w:r>
      <w:r>
        <w:rPr>
          <w:rFonts w:ascii="Times New Roman" w:hAnsi="Times New Roman" w:eastAsia="SchoolBookSanPin"/>
          <w:bCs/>
        </w:rPr>
        <w:t>ь»</w:t>
      </w:r>
      <w:r>
        <w:rPr>
          <w:rFonts w:ascii="Times New Roman" w:hAnsi="Times New Roman" w:eastAsia="SchoolBookSanPin"/>
        </w:rPr>
        <w:t>.</w:t>
      </w:r>
    </w:p>
    <w:p w14:paraId="3C23E79E">
      <w:pPr>
        <w:spacing w:after="0" w:line="355" w:lineRule="auto"/>
        <w:ind w:firstLine="709"/>
        <w:jc w:val="both"/>
        <w:rPr>
          <w:rFonts w:ascii="Times New Roman" w:hAnsi="Times New Roman" w:eastAsia="SchoolBookSanPin"/>
        </w:rPr>
      </w:pPr>
      <w:r>
        <w:rPr>
          <w:rFonts w:ascii="Times New Roman" w:hAnsi="Times New Roman" w:eastAsia="SchoolBookSanPin"/>
        </w:rPr>
        <w:t>Соотношение звукового и буквенного состава в словах с буквами «</w:t>
      </w:r>
      <w:r>
        <w:rPr>
          <w:rFonts w:ascii="Times New Roman" w:hAnsi="Times New Roman" w:eastAsia="SchoolBookSanPin"/>
          <w:bCs/>
        </w:rPr>
        <w:t>е»</w:t>
      </w:r>
      <w:r>
        <w:rPr>
          <w:rFonts w:ascii="Times New Roman" w:hAnsi="Times New Roman" w:eastAsia="SchoolBookSanPin"/>
        </w:rPr>
        <w:t>, «</w:t>
      </w:r>
      <w:r>
        <w:rPr>
          <w:rFonts w:ascii="Times New Roman" w:hAnsi="Times New Roman" w:eastAsia="SchoolBookSanPin"/>
          <w:bCs/>
        </w:rPr>
        <w:t>ё»</w:t>
      </w:r>
      <w:r>
        <w:rPr>
          <w:rFonts w:ascii="Times New Roman" w:hAnsi="Times New Roman" w:eastAsia="SchoolBookSanPin"/>
        </w:rPr>
        <w:t>, «</w:t>
      </w:r>
      <w:r>
        <w:rPr>
          <w:rFonts w:ascii="Times New Roman" w:hAnsi="Times New Roman" w:eastAsia="SchoolBookSanPin"/>
          <w:bCs/>
        </w:rPr>
        <w:t>ю»</w:t>
      </w:r>
      <w:r>
        <w:rPr>
          <w:rFonts w:ascii="Times New Roman" w:hAnsi="Times New Roman" w:eastAsia="SchoolBookSanPin"/>
        </w:rPr>
        <w:t>, «</w:t>
      </w:r>
      <w:r>
        <w:rPr>
          <w:rFonts w:ascii="Times New Roman" w:hAnsi="Times New Roman" w:eastAsia="SchoolBookSanPin"/>
          <w:bCs/>
        </w:rPr>
        <w:t xml:space="preserve">я» </w:t>
      </w:r>
      <w:r>
        <w:rPr>
          <w:rFonts w:ascii="Times New Roman" w:hAnsi="Times New Roman" w:eastAsia="SchoolBookSanPin"/>
        </w:rPr>
        <w:t>(в начале слова и после гласных).</w:t>
      </w:r>
    </w:p>
    <w:p w14:paraId="110999CB">
      <w:pPr>
        <w:spacing w:after="0" w:line="355" w:lineRule="auto"/>
        <w:ind w:firstLine="709"/>
        <w:jc w:val="both"/>
        <w:rPr>
          <w:rFonts w:ascii="Times New Roman" w:hAnsi="Times New Roman" w:eastAsia="SchoolBookSanPin"/>
        </w:rPr>
      </w:pPr>
      <w:r>
        <w:rPr>
          <w:rFonts w:ascii="Times New Roman" w:hAnsi="Times New Roman" w:eastAsia="SchoolBookSanPin"/>
        </w:rPr>
        <w:t>Деление слов на слоги (в том числе при стечении согласных).</w:t>
      </w:r>
    </w:p>
    <w:p w14:paraId="6B82AA7C">
      <w:pPr>
        <w:spacing w:after="0" w:line="355" w:lineRule="auto"/>
        <w:ind w:firstLine="709"/>
        <w:jc w:val="both"/>
        <w:rPr>
          <w:rFonts w:ascii="Times New Roman" w:hAnsi="Times New Roman" w:eastAsia="SchoolBookSanPin"/>
        </w:rPr>
      </w:pPr>
      <w:r>
        <w:rPr>
          <w:rFonts w:ascii="Times New Roman" w:hAnsi="Times New Roman" w:eastAsia="SchoolBookSanPin"/>
        </w:rPr>
        <w:t>Использование знания алфавита при работе со словарями.</w:t>
      </w:r>
    </w:p>
    <w:p w14:paraId="6D320C49">
      <w:pPr>
        <w:spacing w:after="0" w:line="355" w:lineRule="auto"/>
        <w:ind w:firstLine="709"/>
        <w:jc w:val="both"/>
        <w:rPr>
          <w:rFonts w:ascii="Times New Roman" w:hAnsi="Times New Roman" w:eastAsia="SchoolBookSanPin"/>
        </w:rPr>
      </w:pPr>
      <w:r>
        <w:rPr>
          <w:rFonts w:ascii="Times New Roman" w:hAnsi="Times New Roman" w:eastAsia="SchoolBookSanPin"/>
        </w:rPr>
        <w:t>Небуквенные графические средства: пробел между словами, знак переноса, абзац (красная строка), пунктуационные знаки (в пределах изученного).</w:t>
      </w:r>
    </w:p>
    <w:p w14:paraId="52D2711A">
      <w:pPr>
        <w:spacing w:after="0" w:line="355" w:lineRule="auto"/>
        <w:ind w:firstLine="709"/>
        <w:jc w:val="both"/>
        <w:rPr>
          <w:rFonts w:ascii="Times New Roman" w:hAnsi="Times New Roman" w:eastAsia="OfficinaSansBoldITC"/>
        </w:rPr>
      </w:pPr>
      <w:r>
        <w:rPr>
          <w:rFonts w:ascii="Times New Roman" w:hAnsi="Times New Roman" w:eastAsia="OfficinaSansBoldITC"/>
        </w:rPr>
        <w:t>2.7.3. Орфоэпия.</w:t>
      </w:r>
    </w:p>
    <w:p w14:paraId="0BD212E4">
      <w:pPr>
        <w:spacing w:after="0" w:line="355" w:lineRule="auto"/>
        <w:ind w:firstLine="709"/>
        <w:jc w:val="both"/>
        <w:rPr>
          <w:rFonts w:ascii="Times New Roman" w:hAnsi="Times New Roman" w:eastAsia="SchoolBookSanPin"/>
        </w:rPr>
      </w:pPr>
      <w:r>
        <w:rPr>
          <w:rFonts w:ascii="Times New Roman" w:hAnsi="Times New Roman" w:eastAsia="SchoolBookSanPin"/>
        </w:rPr>
        <w:t>Произношение звуков и сочетаний звуков, ударение в словах в соответствии с нормами современного русского литературного языка (на ограниченном перечне слов, отрабатываемом в учебнике). Использование отработанного перечня слов (орфоэпического словаря учебника) для решения практических задач.</w:t>
      </w:r>
    </w:p>
    <w:p w14:paraId="0DAFFCFC">
      <w:pPr>
        <w:spacing w:after="0" w:line="355" w:lineRule="auto"/>
        <w:ind w:firstLine="709"/>
        <w:jc w:val="both"/>
        <w:rPr>
          <w:rFonts w:ascii="Times New Roman" w:hAnsi="Times New Roman" w:eastAsia="OfficinaSansBoldITC"/>
        </w:rPr>
      </w:pPr>
      <w:r>
        <w:rPr>
          <w:rFonts w:ascii="Times New Roman" w:hAnsi="Times New Roman" w:eastAsia="OfficinaSansBoldITC"/>
        </w:rPr>
        <w:t>2.7.4. Лексика.</w:t>
      </w:r>
    </w:p>
    <w:p w14:paraId="3412DB8B">
      <w:pPr>
        <w:spacing w:after="0" w:line="355" w:lineRule="auto"/>
        <w:ind w:firstLine="709"/>
        <w:jc w:val="both"/>
        <w:rPr>
          <w:rFonts w:ascii="Times New Roman" w:hAnsi="Times New Roman" w:eastAsia="SchoolBookSanPin"/>
        </w:rPr>
      </w:pPr>
      <w:r>
        <w:rPr>
          <w:rFonts w:ascii="Times New Roman" w:hAnsi="Times New Roman" w:eastAsia="SchoolBookSanPin"/>
        </w:rPr>
        <w:t>Слово как единство звучания и значения. Лексическое значение слова (общее представление). Выявление слов, значение которых требует уточнения. Определение значения слова по тексту или уточнение значения с помощью толкового словаря.</w:t>
      </w:r>
    </w:p>
    <w:p w14:paraId="5625F6A1">
      <w:pPr>
        <w:spacing w:after="0" w:line="355" w:lineRule="auto"/>
        <w:ind w:firstLine="709"/>
        <w:jc w:val="both"/>
        <w:rPr>
          <w:rFonts w:ascii="Times New Roman" w:hAnsi="Times New Roman" w:eastAsia="SchoolBookSanPin"/>
        </w:rPr>
      </w:pPr>
      <w:r>
        <w:rPr>
          <w:rFonts w:ascii="Times New Roman" w:hAnsi="Times New Roman" w:eastAsia="SchoolBookSanPin"/>
        </w:rPr>
        <w:t>Однозначные и многозначные слова (простые случаи, наблюдение).</w:t>
      </w:r>
    </w:p>
    <w:p w14:paraId="0E1BE607">
      <w:pPr>
        <w:spacing w:after="0" w:line="355" w:lineRule="auto"/>
        <w:ind w:firstLine="709"/>
        <w:jc w:val="both"/>
        <w:rPr>
          <w:rFonts w:ascii="Times New Roman" w:hAnsi="Times New Roman" w:eastAsia="SchoolBookSanPin"/>
        </w:rPr>
      </w:pPr>
      <w:r>
        <w:rPr>
          <w:rFonts w:ascii="Times New Roman" w:hAnsi="Times New Roman" w:eastAsia="SchoolBookSanPin"/>
        </w:rPr>
        <w:t>Наблюдение за использованием в речи синонимов, антонимов.</w:t>
      </w:r>
    </w:p>
    <w:p w14:paraId="277DFDF2">
      <w:pPr>
        <w:spacing w:after="0" w:line="355" w:lineRule="auto"/>
        <w:ind w:firstLine="709"/>
        <w:jc w:val="both"/>
        <w:rPr>
          <w:rFonts w:ascii="Times New Roman" w:hAnsi="Times New Roman" w:eastAsia="SchoolBookSanPin"/>
          <w:bCs/>
        </w:rPr>
      </w:pPr>
      <w:r>
        <w:rPr>
          <w:rFonts w:ascii="Times New Roman" w:hAnsi="Times New Roman" w:eastAsia="SchoolBookSanPin"/>
          <w:bCs/>
        </w:rPr>
        <w:t>2.7.5. Состав слова (морфемика).</w:t>
      </w:r>
    </w:p>
    <w:p w14:paraId="3D6A05B5">
      <w:pPr>
        <w:spacing w:after="0" w:line="355" w:lineRule="auto"/>
        <w:ind w:firstLine="709"/>
        <w:jc w:val="both"/>
        <w:rPr>
          <w:rFonts w:ascii="Times New Roman" w:hAnsi="Times New Roman" w:eastAsia="SchoolBookSanPin"/>
        </w:rPr>
      </w:pPr>
      <w:r>
        <w:rPr>
          <w:rFonts w:ascii="Times New Roman" w:hAnsi="Times New Roman" w:eastAsia="SchoolBookSanPin"/>
        </w:rPr>
        <w:t>Корень как обязательная часть слова. Однокоренные (родственные) слова. Признаки однокоренных (родственных) слов. Различение однокоренных слов и синонимов, однокоренных слов и слов с омонимичными корнями. Выделение в словах корня (простые случаи).</w:t>
      </w:r>
    </w:p>
    <w:p w14:paraId="2BADCAD9">
      <w:pPr>
        <w:spacing w:after="0" w:line="355" w:lineRule="auto"/>
        <w:ind w:firstLine="709"/>
        <w:jc w:val="both"/>
        <w:rPr>
          <w:rFonts w:ascii="Times New Roman" w:hAnsi="Times New Roman" w:eastAsia="SchoolBookSanPin"/>
        </w:rPr>
      </w:pPr>
      <w:r>
        <w:rPr>
          <w:rFonts w:ascii="Times New Roman" w:hAnsi="Times New Roman" w:eastAsia="SchoolBookSanPin"/>
        </w:rPr>
        <w:t>Окончание как изменяемая часть слова. Изменение формы слова с помощью окончания. Различение изменяемых и неизменяемых слов.</w:t>
      </w:r>
    </w:p>
    <w:p w14:paraId="713732F6">
      <w:pPr>
        <w:spacing w:after="0" w:line="355" w:lineRule="auto"/>
        <w:ind w:firstLine="709"/>
        <w:jc w:val="both"/>
        <w:rPr>
          <w:rFonts w:ascii="Times New Roman" w:hAnsi="Times New Roman" w:eastAsia="SchoolBookSanPin"/>
        </w:rPr>
      </w:pPr>
      <w:r>
        <w:rPr>
          <w:rFonts w:ascii="Times New Roman" w:hAnsi="Times New Roman" w:eastAsia="SchoolBookSanPin"/>
        </w:rPr>
        <w:t>Суффикс как часть слова (наблюдение). Приставка как часть слова (наблюдение).</w:t>
      </w:r>
    </w:p>
    <w:p w14:paraId="1A066E32">
      <w:pPr>
        <w:spacing w:after="0" w:line="355" w:lineRule="auto"/>
        <w:ind w:firstLine="709"/>
        <w:jc w:val="both"/>
        <w:rPr>
          <w:rFonts w:ascii="Times New Roman" w:hAnsi="Times New Roman" w:eastAsia="OfficinaSansBoldITC"/>
        </w:rPr>
      </w:pPr>
      <w:r>
        <w:rPr>
          <w:rFonts w:ascii="Times New Roman" w:hAnsi="Times New Roman" w:eastAsia="OfficinaSansBoldITC"/>
        </w:rPr>
        <w:t>2.7.6. Морфология.</w:t>
      </w:r>
    </w:p>
    <w:p w14:paraId="3690F867">
      <w:pPr>
        <w:spacing w:after="0" w:line="355" w:lineRule="auto"/>
        <w:ind w:firstLine="709"/>
        <w:jc w:val="both"/>
        <w:rPr>
          <w:rFonts w:ascii="Times New Roman" w:hAnsi="Times New Roman" w:eastAsia="SchoolBookSanPin"/>
        </w:rPr>
      </w:pPr>
      <w:r>
        <w:rPr>
          <w:rFonts w:ascii="Times New Roman" w:hAnsi="Times New Roman" w:eastAsia="SchoolBookSanPin"/>
        </w:rPr>
        <w:t>Имя существительное (ознакомление): общее значение, вопросы («кто?», «что?»), употребление в речи.</w:t>
      </w:r>
    </w:p>
    <w:p w14:paraId="01E5D4F6">
      <w:pPr>
        <w:spacing w:after="0" w:line="355" w:lineRule="auto"/>
        <w:ind w:firstLine="709"/>
        <w:jc w:val="both"/>
        <w:rPr>
          <w:rFonts w:ascii="Times New Roman" w:hAnsi="Times New Roman" w:eastAsia="SchoolBookSanPin"/>
        </w:rPr>
      </w:pPr>
      <w:r>
        <w:rPr>
          <w:rFonts w:ascii="Times New Roman" w:hAnsi="Times New Roman" w:eastAsia="SchoolBookSanPin"/>
        </w:rPr>
        <w:t>Глагол (ознакомление): общее значение, вопросы («что делать?», «что сделать?» и другие), употребление в речи.</w:t>
      </w:r>
    </w:p>
    <w:p w14:paraId="53934FD1">
      <w:pPr>
        <w:spacing w:after="0" w:line="355" w:lineRule="auto"/>
        <w:ind w:firstLine="709"/>
        <w:jc w:val="both"/>
        <w:rPr>
          <w:rFonts w:ascii="Times New Roman" w:hAnsi="Times New Roman" w:eastAsia="SchoolBookSanPin"/>
        </w:rPr>
      </w:pPr>
      <w:r>
        <w:rPr>
          <w:rFonts w:ascii="Times New Roman" w:hAnsi="Times New Roman" w:eastAsia="SchoolBookSanPin"/>
        </w:rPr>
        <w:t>Имя прилагательное (ознакомление): общее значение, вопросы («какой?», «какая?», «какое?», «какие?»), употребление в речи.</w:t>
      </w:r>
    </w:p>
    <w:p w14:paraId="3ACA1BB3">
      <w:pPr>
        <w:spacing w:after="0" w:line="355" w:lineRule="auto"/>
        <w:ind w:firstLine="709"/>
        <w:jc w:val="both"/>
        <w:rPr>
          <w:rFonts w:ascii="Times New Roman" w:hAnsi="Times New Roman" w:eastAsia="SchoolBookSanPin"/>
        </w:rPr>
      </w:pPr>
      <w:r>
        <w:rPr>
          <w:rFonts w:ascii="Times New Roman" w:hAnsi="Times New Roman" w:eastAsia="SchoolBookSanPin"/>
        </w:rPr>
        <w:t>Предлог. Отличие предлогов от приставок. Наиболее распространённые предлоги: «в», «на», «из», «без», «над», «до», «у», «о», «об» и другие.</w:t>
      </w:r>
    </w:p>
    <w:p w14:paraId="130C8871">
      <w:pPr>
        <w:spacing w:after="0" w:line="355" w:lineRule="auto"/>
        <w:ind w:firstLine="709"/>
        <w:jc w:val="both"/>
        <w:rPr>
          <w:rFonts w:ascii="Times New Roman" w:hAnsi="Times New Roman" w:eastAsia="OfficinaSansBoldITC"/>
        </w:rPr>
      </w:pPr>
      <w:r>
        <w:rPr>
          <w:rFonts w:ascii="Times New Roman" w:hAnsi="Times New Roman" w:eastAsia="OfficinaSansBoldITC"/>
        </w:rPr>
        <w:t>2.7.7. Синтаксис.</w:t>
      </w:r>
    </w:p>
    <w:p w14:paraId="2CAFD2E2">
      <w:pPr>
        <w:spacing w:after="0" w:line="355" w:lineRule="auto"/>
        <w:ind w:firstLine="709"/>
        <w:jc w:val="both"/>
        <w:rPr>
          <w:rFonts w:ascii="Times New Roman" w:hAnsi="Times New Roman" w:eastAsia="SchoolBookSanPin"/>
        </w:rPr>
      </w:pPr>
      <w:r>
        <w:rPr>
          <w:rFonts w:ascii="Times New Roman" w:hAnsi="Times New Roman" w:eastAsia="SchoolBookSanPin"/>
        </w:rPr>
        <w:t>Порядок слов в предложении; связь слов в предложении (повторение).</w:t>
      </w:r>
    </w:p>
    <w:p w14:paraId="1E712913">
      <w:pPr>
        <w:spacing w:after="0" w:line="355" w:lineRule="auto"/>
        <w:ind w:firstLine="709"/>
        <w:jc w:val="both"/>
        <w:rPr>
          <w:rFonts w:ascii="Times New Roman" w:hAnsi="Times New Roman" w:eastAsia="SchoolBookSanPin"/>
        </w:rPr>
      </w:pPr>
      <w:r>
        <w:rPr>
          <w:rFonts w:ascii="Times New Roman" w:hAnsi="Times New Roman" w:eastAsia="SchoolBookSanPin"/>
        </w:rPr>
        <w:t>Предложение как единица языка. Предложение и слово. Отличие предложения от слова. Наблюдение за выделением в устной речи одного из слов предложения (логическое ударение).</w:t>
      </w:r>
    </w:p>
    <w:p w14:paraId="7917776A">
      <w:pPr>
        <w:spacing w:after="0" w:line="355" w:lineRule="auto"/>
        <w:ind w:firstLine="709"/>
        <w:jc w:val="both"/>
        <w:rPr>
          <w:rFonts w:ascii="Times New Roman" w:hAnsi="Times New Roman" w:eastAsia="SchoolBookSanPin"/>
        </w:rPr>
      </w:pPr>
      <w:r>
        <w:rPr>
          <w:rFonts w:ascii="Times New Roman" w:hAnsi="Times New Roman" w:eastAsia="SchoolBookSanPin"/>
        </w:rPr>
        <w:t>Виды предложений по цели высказывания: повествовательные, вопросительные, побудительные предложения.</w:t>
      </w:r>
    </w:p>
    <w:p w14:paraId="498FAEDE">
      <w:pPr>
        <w:spacing w:after="0" w:line="355" w:lineRule="auto"/>
        <w:ind w:firstLine="709"/>
        <w:jc w:val="both"/>
        <w:rPr>
          <w:rFonts w:ascii="Times New Roman" w:hAnsi="Times New Roman" w:eastAsia="SchoolBookSanPin"/>
        </w:rPr>
      </w:pPr>
      <w:r>
        <w:rPr>
          <w:rFonts w:ascii="Times New Roman" w:hAnsi="Times New Roman" w:eastAsia="SchoolBookSanPin"/>
        </w:rPr>
        <w:t>Виды предложений по эмоциональной окраске (по интонации): восклицательные и невосклицательные предложения.</w:t>
      </w:r>
    </w:p>
    <w:p w14:paraId="69A76ABE">
      <w:pPr>
        <w:spacing w:after="0" w:line="355" w:lineRule="auto"/>
        <w:ind w:firstLine="709"/>
        <w:jc w:val="both"/>
        <w:rPr>
          <w:rFonts w:ascii="Times New Roman" w:hAnsi="Times New Roman" w:eastAsia="OfficinaSansBoldITC"/>
        </w:rPr>
      </w:pPr>
      <w:r>
        <w:rPr>
          <w:rFonts w:ascii="Times New Roman" w:hAnsi="Times New Roman" w:eastAsia="OfficinaSansBoldITC"/>
        </w:rPr>
        <w:t>2.7.8. Орфография и пунктуация.</w:t>
      </w:r>
    </w:p>
    <w:p w14:paraId="7369F91C">
      <w:pPr>
        <w:spacing w:after="0" w:line="355" w:lineRule="auto"/>
        <w:ind w:firstLine="709"/>
        <w:jc w:val="both"/>
        <w:rPr>
          <w:rFonts w:ascii="Times New Roman" w:hAnsi="Times New Roman" w:eastAsia="SchoolBookSanPin"/>
        </w:rPr>
      </w:pPr>
      <w:r>
        <w:rPr>
          <w:rFonts w:ascii="Times New Roman" w:hAnsi="Times New Roman" w:eastAsia="SchoolBookSanPin"/>
        </w:rPr>
        <w:t>Прописная буква в начале предложения и в именах собственных (имена и фамилии людей, клички животных); знаки препинания в конце предложения; перенос слов со строки на строку (без учёта морфемного членения слова); гласные после шипящих в сочетаниях «</w:t>
      </w:r>
      <w:r>
        <w:rPr>
          <w:rFonts w:ascii="Times New Roman" w:hAnsi="Times New Roman" w:eastAsia="SchoolBookSanPin"/>
          <w:bCs/>
        </w:rPr>
        <w:t>жи»</w:t>
      </w:r>
      <w:r>
        <w:rPr>
          <w:rFonts w:ascii="Times New Roman" w:hAnsi="Times New Roman" w:eastAsia="SchoolBookSanPin"/>
        </w:rPr>
        <w:t>, «</w:t>
      </w:r>
      <w:r>
        <w:rPr>
          <w:rFonts w:ascii="Times New Roman" w:hAnsi="Times New Roman" w:eastAsia="SchoolBookSanPin"/>
          <w:bCs/>
        </w:rPr>
        <w:t xml:space="preserve">ши» </w:t>
      </w:r>
      <w:r>
        <w:rPr>
          <w:rFonts w:ascii="Times New Roman" w:hAnsi="Times New Roman" w:eastAsia="SchoolBookSanPin"/>
        </w:rPr>
        <w:t>(в положении под ударением), «</w:t>
      </w:r>
      <w:r>
        <w:rPr>
          <w:rFonts w:ascii="Times New Roman" w:hAnsi="Times New Roman" w:eastAsia="SchoolBookSanPin"/>
          <w:bCs/>
        </w:rPr>
        <w:t>ча»</w:t>
      </w:r>
      <w:r>
        <w:rPr>
          <w:rFonts w:ascii="Times New Roman" w:hAnsi="Times New Roman" w:eastAsia="SchoolBookSanPin"/>
        </w:rPr>
        <w:t>, «</w:t>
      </w:r>
      <w:r>
        <w:rPr>
          <w:rFonts w:ascii="Times New Roman" w:hAnsi="Times New Roman" w:eastAsia="SchoolBookSanPin"/>
          <w:bCs/>
        </w:rPr>
        <w:t>ща»</w:t>
      </w:r>
      <w:r>
        <w:rPr>
          <w:rFonts w:ascii="Times New Roman" w:hAnsi="Times New Roman" w:eastAsia="SchoolBookSanPin"/>
        </w:rPr>
        <w:t>, «</w:t>
      </w:r>
      <w:r>
        <w:rPr>
          <w:rFonts w:ascii="Times New Roman" w:hAnsi="Times New Roman" w:eastAsia="SchoolBookSanPin"/>
          <w:bCs/>
        </w:rPr>
        <w:t>чу»</w:t>
      </w:r>
      <w:r>
        <w:rPr>
          <w:rFonts w:ascii="Times New Roman" w:hAnsi="Times New Roman" w:eastAsia="SchoolBookSanPin"/>
        </w:rPr>
        <w:t>, «</w:t>
      </w:r>
      <w:r>
        <w:rPr>
          <w:rFonts w:ascii="Times New Roman" w:hAnsi="Times New Roman" w:eastAsia="SchoolBookSanPin"/>
          <w:bCs/>
        </w:rPr>
        <w:t>щу»</w:t>
      </w:r>
      <w:r>
        <w:rPr>
          <w:rFonts w:ascii="Times New Roman" w:hAnsi="Times New Roman" w:eastAsia="SchoolBookSanPin"/>
        </w:rPr>
        <w:t>; сочетания «</w:t>
      </w:r>
      <w:r>
        <w:rPr>
          <w:rFonts w:ascii="Times New Roman" w:hAnsi="Times New Roman" w:eastAsia="SchoolBookSanPin"/>
          <w:bCs/>
        </w:rPr>
        <w:t>чк»</w:t>
      </w:r>
      <w:r>
        <w:rPr>
          <w:rFonts w:ascii="Times New Roman" w:hAnsi="Times New Roman" w:eastAsia="SchoolBookSanPin"/>
        </w:rPr>
        <w:t>, «</w:t>
      </w:r>
      <w:r>
        <w:rPr>
          <w:rFonts w:ascii="Times New Roman" w:hAnsi="Times New Roman" w:eastAsia="SchoolBookSanPin"/>
          <w:bCs/>
        </w:rPr>
        <w:t xml:space="preserve">чн» </w:t>
      </w:r>
      <w:r>
        <w:rPr>
          <w:rFonts w:ascii="Times New Roman" w:hAnsi="Times New Roman" w:eastAsia="SchoolBookSanPin"/>
        </w:rPr>
        <w:t>(повторение правил правописания, изученных в 1 классе).</w:t>
      </w:r>
    </w:p>
    <w:p w14:paraId="2CCFDBE6">
      <w:pPr>
        <w:spacing w:after="0" w:line="355" w:lineRule="auto"/>
        <w:ind w:firstLine="709"/>
        <w:jc w:val="both"/>
        <w:rPr>
          <w:rFonts w:ascii="Times New Roman" w:hAnsi="Times New Roman" w:eastAsia="SchoolBookSanPin"/>
        </w:rPr>
      </w:pPr>
      <w:r>
        <w:rPr>
          <w:rFonts w:ascii="Times New Roman" w:hAnsi="Times New Roman" w:eastAsia="SchoolBookSanPin"/>
        </w:rPr>
        <w:t>Орфографическая зоркость как осознание места возможного возникновения орфографической ошибки. Понятие орфограммы. Различные способы решения орфографической задачи в зависимости от места орфограммы в слове. Использование орфографического словаря учебника для определения (уточнения) написания слова. Контроль и самоконтроль при проверке собственных и предложенных текстов.</w:t>
      </w:r>
    </w:p>
    <w:p w14:paraId="454BA4E7">
      <w:pPr>
        <w:spacing w:after="0" w:line="355" w:lineRule="auto"/>
        <w:ind w:firstLine="709"/>
        <w:jc w:val="both"/>
        <w:rPr>
          <w:rFonts w:ascii="Times New Roman" w:hAnsi="Times New Roman" w:eastAsia="SchoolBookSanPin"/>
        </w:rPr>
      </w:pPr>
      <w:r>
        <w:rPr>
          <w:rFonts w:ascii="Times New Roman" w:hAnsi="Times New Roman" w:eastAsia="SchoolBookSanPin"/>
        </w:rPr>
        <w:t>Правила правописания и их применение:</w:t>
      </w:r>
    </w:p>
    <w:p w14:paraId="25BBD973">
      <w:pPr>
        <w:spacing w:after="0" w:line="355" w:lineRule="auto"/>
        <w:ind w:firstLine="709"/>
        <w:jc w:val="both"/>
        <w:rPr>
          <w:rFonts w:ascii="Times New Roman" w:hAnsi="Times New Roman" w:eastAsia="SchoolBookSanPin"/>
        </w:rPr>
      </w:pPr>
      <w:r>
        <w:rPr>
          <w:rFonts w:ascii="Times New Roman" w:hAnsi="Times New Roman" w:eastAsia="SchoolBookSanPin"/>
        </w:rPr>
        <w:t>разделительный мягкий знак;</w:t>
      </w:r>
    </w:p>
    <w:p w14:paraId="34B17F95">
      <w:pPr>
        <w:spacing w:after="0" w:line="355" w:lineRule="auto"/>
        <w:ind w:firstLine="709"/>
        <w:jc w:val="both"/>
        <w:rPr>
          <w:rFonts w:ascii="Times New Roman" w:hAnsi="Times New Roman" w:eastAsia="SchoolBookSanPin"/>
        </w:rPr>
      </w:pPr>
      <w:r>
        <w:rPr>
          <w:rFonts w:ascii="Times New Roman" w:hAnsi="Times New Roman" w:eastAsia="SchoolBookSanPin"/>
        </w:rPr>
        <w:t>сочетания «</w:t>
      </w:r>
      <w:r>
        <w:rPr>
          <w:rFonts w:ascii="Times New Roman" w:hAnsi="Times New Roman" w:eastAsia="SchoolBookSanPin"/>
          <w:bCs/>
        </w:rPr>
        <w:t>чт»</w:t>
      </w:r>
      <w:r>
        <w:rPr>
          <w:rFonts w:ascii="Times New Roman" w:hAnsi="Times New Roman" w:eastAsia="SchoolBookSanPin"/>
        </w:rPr>
        <w:t>, «</w:t>
      </w:r>
      <w:r>
        <w:rPr>
          <w:rFonts w:ascii="Times New Roman" w:hAnsi="Times New Roman" w:eastAsia="SchoolBookSanPin"/>
          <w:bCs/>
        </w:rPr>
        <w:t>щн»</w:t>
      </w:r>
      <w:r>
        <w:rPr>
          <w:rFonts w:ascii="Times New Roman" w:hAnsi="Times New Roman" w:eastAsia="SchoolBookSanPin"/>
        </w:rPr>
        <w:t>, «</w:t>
      </w:r>
      <w:r>
        <w:rPr>
          <w:rFonts w:ascii="Times New Roman" w:hAnsi="Times New Roman" w:eastAsia="SchoolBookSanPin"/>
          <w:bCs/>
        </w:rPr>
        <w:t>нч»</w:t>
      </w:r>
      <w:r>
        <w:rPr>
          <w:rFonts w:ascii="Times New Roman" w:hAnsi="Times New Roman" w:eastAsia="SchoolBookSanPin"/>
        </w:rPr>
        <w:t>;</w:t>
      </w:r>
    </w:p>
    <w:p w14:paraId="20803468">
      <w:pPr>
        <w:spacing w:after="0" w:line="355" w:lineRule="auto"/>
        <w:ind w:firstLine="709"/>
        <w:jc w:val="both"/>
        <w:rPr>
          <w:rFonts w:ascii="Times New Roman" w:hAnsi="Times New Roman" w:eastAsia="SchoolBookSanPin"/>
        </w:rPr>
      </w:pPr>
      <w:r>
        <w:rPr>
          <w:rFonts w:ascii="Times New Roman" w:hAnsi="Times New Roman" w:eastAsia="SchoolBookSanPin"/>
        </w:rPr>
        <w:t>проверяемые безударные гласные в корне слова;</w:t>
      </w:r>
    </w:p>
    <w:p w14:paraId="7B7AB155">
      <w:pPr>
        <w:spacing w:after="0" w:line="355" w:lineRule="auto"/>
        <w:ind w:firstLine="709"/>
        <w:jc w:val="both"/>
        <w:rPr>
          <w:rFonts w:ascii="Times New Roman" w:hAnsi="Times New Roman" w:eastAsia="SchoolBookSanPin"/>
        </w:rPr>
      </w:pPr>
      <w:r>
        <w:rPr>
          <w:rFonts w:ascii="Times New Roman" w:hAnsi="Times New Roman" w:eastAsia="SchoolBookSanPin"/>
        </w:rPr>
        <w:t>парные звонкие и глухие согласные в корне слова;</w:t>
      </w:r>
    </w:p>
    <w:p w14:paraId="40EB4CBF">
      <w:pPr>
        <w:spacing w:after="0" w:line="355" w:lineRule="auto"/>
        <w:ind w:firstLine="709"/>
        <w:jc w:val="both"/>
        <w:rPr>
          <w:rFonts w:ascii="Times New Roman" w:hAnsi="Times New Roman" w:eastAsia="SchoolBookSanPin"/>
        </w:rPr>
      </w:pPr>
      <w:r>
        <w:rPr>
          <w:rFonts w:ascii="Times New Roman" w:hAnsi="Times New Roman" w:eastAsia="SchoolBookSanPin"/>
        </w:rPr>
        <w:t>непроверяемые гласные и согласные (перечень слов в орфографическом словаре учебника);</w:t>
      </w:r>
    </w:p>
    <w:p w14:paraId="32398156">
      <w:pPr>
        <w:spacing w:after="0" w:line="355" w:lineRule="auto"/>
        <w:ind w:firstLine="709"/>
        <w:jc w:val="both"/>
        <w:rPr>
          <w:rFonts w:ascii="Times New Roman" w:hAnsi="Times New Roman" w:eastAsia="SchoolBookSanPin"/>
        </w:rPr>
      </w:pPr>
      <w:r>
        <w:rPr>
          <w:rFonts w:ascii="Times New Roman" w:hAnsi="Times New Roman" w:eastAsia="SchoolBookSanPin"/>
        </w:rPr>
        <w:t>прописная буква в именах собственных: имена, фамилии, отчества людей, клички животных, географические названия;</w:t>
      </w:r>
    </w:p>
    <w:p w14:paraId="4131FC01">
      <w:pPr>
        <w:spacing w:after="0" w:line="355" w:lineRule="auto"/>
        <w:ind w:firstLine="709"/>
        <w:jc w:val="both"/>
        <w:rPr>
          <w:rFonts w:ascii="Times New Roman" w:hAnsi="Times New Roman" w:eastAsia="SchoolBookSanPin"/>
        </w:rPr>
      </w:pPr>
      <w:r>
        <w:rPr>
          <w:rFonts w:ascii="Times New Roman" w:hAnsi="Times New Roman" w:eastAsia="SchoolBookSanPin"/>
        </w:rPr>
        <w:t>раздельное написание предлогов с именами существительными.</w:t>
      </w:r>
    </w:p>
    <w:p w14:paraId="431A64CB">
      <w:pPr>
        <w:spacing w:after="0" w:line="355" w:lineRule="auto"/>
        <w:ind w:firstLine="709"/>
        <w:jc w:val="both"/>
        <w:rPr>
          <w:rFonts w:ascii="Times New Roman" w:hAnsi="Times New Roman" w:eastAsia="OfficinaSansBoldITC"/>
        </w:rPr>
      </w:pPr>
      <w:r>
        <w:rPr>
          <w:rFonts w:ascii="Times New Roman" w:hAnsi="Times New Roman" w:eastAsia="OfficinaSansBoldITC"/>
        </w:rPr>
        <w:t>2.7.9. Развитие речи.</w:t>
      </w:r>
    </w:p>
    <w:p w14:paraId="3D3BB2F7">
      <w:pPr>
        <w:spacing w:after="0" w:line="355" w:lineRule="auto"/>
        <w:ind w:firstLine="709"/>
        <w:jc w:val="both"/>
        <w:rPr>
          <w:rFonts w:ascii="Times New Roman" w:hAnsi="Times New Roman" w:eastAsia="SchoolBookSanPin"/>
        </w:rPr>
      </w:pPr>
      <w:r>
        <w:rPr>
          <w:rFonts w:ascii="Times New Roman" w:hAnsi="Times New Roman" w:eastAsia="SchoolBookSanPin"/>
        </w:rPr>
        <w:t>Выбор языковых средств в соответствии с целями и условиями устного общения для эффективного решения коммуникативной задачи (для ответа на заданный вопрос, для выражения собственного мнения). Умение вести разговор (начать, поддержать, закончить разговор, привлечь внимание и другие). Практическое овладение диалогической формой речи. Соблюдение норм речевого этикета и орфоэпических норм в ситуациях учебного и бытового общения. Умение договариваться и приходить к общему решению в совместной деятельности при проведении парной и групповой работы.</w:t>
      </w:r>
    </w:p>
    <w:p w14:paraId="50457E4B">
      <w:pPr>
        <w:spacing w:after="0" w:line="355" w:lineRule="auto"/>
        <w:ind w:firstLine="709"/>
        <w:jc w:val="both"/>
        <w:rPr>
          <w:rFonts w:ascii="Times New Roman" w:hAnsi="Times New Roman" w:eastAsia="SchoolBookSanPin"/>
        </w:rPr>
      </w:pPr>
      <w:r>
        <w:rPr>
          <w:rFonts w:ascii="Times New Roman" w:hAnsi="Times New Roman" w:eastAsia="SchoolBookSanPin"/>
        </w:rPr>
        <w:t>Составление устного рассказа по репродукции картины. Составление устного рассказа с использованием личных наблюдений и на вопросы.</w:t>
      </w:r>
    </w:p>
    <w:p w14:paraId="359B8FF0">
      <w:pPr>
        <w:spacing w:after="0" w:line="355" w:lineRule="auto"/>
        <w:ind w:firstLine="709"/>
        <w:jc w:val="both"/>
        <w:rPr>
          <w:rFonts w:ascii="Times New Roman" w:hAnsi="Times New Roman" w:eastAsia="SchoolBookSanPin"/>
        </w:rPr>
      </w:pPr>
      <w:r>
        <w:rPr>
          <w:rFonts w:ascii="Times New Roman" w:hAnsi="Times New Roman" w:eastAsia="SchoolBookSanPin"/>
        </w:rPr>
        <w:t>Текст. Признаки текста: смысловое единство предложений в тексте; последовательность предложений в тексте; выражение в тексте законченной мысли. Тема текста. Основная мысль. Заглавие текста. Подбор заголовков к предложенным текстам. Последовательность частей текста (абзацев). Корректирование текстов с нарушенным порядком предложений и абзацев.</w:t>
      </w:r>
    </w:p>
    <w:p w14:paraId="59C83873">
      <w:pPr>
        <w:spacing w:after="0" w:line="355" w:lineRule="auto"/>
        <w:ind w:firstLine="709"/>
        <w:jc w:val="both"/>
        <w:rPr>
          <w:rFonts w:ascii="Times New Roman" w:hAnsi="Times New Roman" w:eastAsia="SchoolBookSanPin"/>
        </w:rPr>
      </w:pPr>
      <w:r>
        <w:rPr>
          <w:rFonts w:ascii="Times New Roman" w:hAnsi="Times New Roman" w:eastAsia="SchoolBookSanPin"/>
        </w:rPr>
        <w:t>Типы текстов: описание, повествование, рассуждение, их особенности (первичное ознакомление).</w:t>
      </w:r>
    </w:p>
    <w:p w14:paraId="77AB57B0">
      <w:pPr>
        <w:spacing w:after="0" w:line="355" w:lineRule="auto"/>
        <w:ind w:firstLine="709"/>
        <w:jc w:val="both"/>
        <w:rPr>
          <w:rFonts w:ascii="Times New Roman" w:hAnsi="Times New Roman" w:eastAsia="SchoolBookSanPin"/>
        </w:rPr>
      </w:pPr>
      <w:r>
        <w:rPr>
          <w:rFonts w:ascii="Times New Roman" w:hAnsi="Times New Roman" w:eastAsia="SchoolBookSanPin"/>
        </w:rPr>
        <w:t>Поздравление и поздравительная открытка.</w:t>
      </w:r>
    </w:p>
    <w:p w14:paraId="25E8028C">
      <w:pPr>
        <w:spacing w:after="0" w:line="355" w:lineRule="auto"/>
        <w:ind w:firstLine="709"/>
        <w:jc w:val="both"/>
        <w:rPr>
          <w:rFonts w:ascii="Times New Roman" w:hAnsi="Times New Roman" w:eastAsia="SchoolBookSanPin"/>
        </w:rPr>
      </w:pPr>
      <w:r>
        <w:rPr>
          <w:rFonts w:ascii="Times New Roman" w:hAnsi="Times New Roman" w:eastAsia="SchoolBookSanPin"/>
        </w:rPr>
        <w:t>Понимание текста: развитие умения формулировать простые выводы на основе информации, содержащейся в тексте. Выразительное чтение текста вслух с соблюдением правильной интонации.</w:t>
      </w:r>
    </w:p>
    <w:p w14:paraId="5FF320F3">
      <w:pPr>
        <w:spacing w:after="0" w:line="355" w:lineRule="auto"/>
        <w:ind w:firstLine="709"/>
        <w:jc w:val="both"/>
        <w:rPr>
          <w:rFonts w:ascii="Times New Roman" w:hAnsi="Times New Roman" w:eastAsia="SchoolBookSanPin"/>
        </w:rPr>
      </w:pPr>
      <w:r>
        <w:rPr>
          <w:rFonts w:ascii="Times New Roman" w:hAnsi="Times New Roman" w:eastAsia="SchoolBookSanPin"/>
        </w:rPr>
        <w:t>Подробное изложение повествовательного текста объёмом 30–45 слов с использованием вопросов.</w:t>
      </w:r>
    </w:p>
    <w:p w14:paraId="63050472">
      <w:pPr>
        <w:spacing w:after="0" w:line="355" w:lineRule="auto"/>
        <w:ind w:firstLine="709"/>
        <w:jc w:val="both"/>
        <w:rPr>
          <w:rFonts w:ascii="Times New Roman" w:hAnsi="Times New Roman" w:eastAsia="SchoolBookSanPin"/>
        </w:rPr>
      </w:pPr>
      <w:r>
        <w:rPr>
          <w:rFonts w:ascii="Times New Roman" w:hAnsi="Times New Roman" w:eastAsia="SchoolBookSanPin"/>
        </w:rPr>
        <w:t>2.7.10. Изучение русского языка во 2 классе позволяет на пропедевтическом уровне организовать работу над рядом метапредметных результатов: познавательных универсальных учебных действий, коммуникативных универсальных учебных действий, регулятивных универсальных учебных действий, совместной деятельности.</w:t>
      </w:r>
    </w:p>
    <w:p w14:paraId="7A0163BB">
      <w:pPr>
        <w:spacing w:after="0" w:line="355" w:lineRule="auto"/>
        <w:ind w:firstLine="709"/>
        <w:jc w:val="both"/>
        <w:rPr>
          <w:rFonts w:ascii="Times New Roman" w:hAnsi="Times New Roman" w:eastAsia="SchoolBookSanPin"/>
        </w:rPr>
      </w:pPr>
      <w:r>
        <w:rPr>
          <w:rFonts w:ascii="Times New Roman" w:hAnsi="Times New Roman" w:eastAsia="OfficinaSansBoldITC"/>
        </w:rPr>
        <w:t>2.7.10.1. </w:t>
      </w:r>
      <w:r>
        <w:rPr>
          <w:rFonts w:ascii="Times New Roman" w:hAnsi="Times New Roman" w:eastAsia="SchoolBookSanPin"/>
        </w:rPr>
        <w:t xml:space="preserve">Базовые логические действия как часть </w:t>
      </w:r>
      <w:r>
        <w:rPr>
          <w:rFonts w:ascii="Times New Roman" w:hAnsi="Times New Roman" w:eastAsia="SchoolBookSanPin"/>
          <w:bCs/>
        </w:rPr>
        <w:t>познавательных универсальных учебных действий</w:t>
      </w:r>
      <w:r>
        <w:rPr>
          <w:rFonts w:ascii="Times New Roman" w:hAnsi="Times New Roman" w:eastAsia="SchoolBookSanPin"/>
        </w:rPr>
        <w:t>:</w:t>
      </w:r>
    </w:p>
    <w:p w14:paraId="7B58982E">
      <w:pPr>
        <w:spacing w:after="0" w:line="355" w:lineRule="auto"/>
        <w:ind w:firstLine="709"/>
        <w:jc w:val="both"/>
        <w:rPr>
          <w:rFonts w:ascii="Times New Roman" w:hAnsi="Times New Roman" w:eastAsia="SchoolBookSanPin"/>
        </w:rPr>
      </w:pPr>
      <w:r>
        <w:rPr>
          <w:rFonts w:ascii="Times New Roman" w:hAnsi="Times New Roman" w:eastAsia="SchoolBookSanPin"/>
        </w:rPr>
        <w:t>сравнивать однокоренные (родственные) слова и синонимы; однокоренные (родственные) слова и слова с омонимичными корнями: называть признаки сходства и различия;</w:t>
      </w:r>
    </w:p>
    <w:p w14:paraId="482CEC54">
      <w:pPr>
        <w:spacing w:after="0" w:line="355" w:lineRule="auto"/>
        <w:ind w:firstLine="709"/>
        <w:jc w:val="both"/>
        <w:rPr>
          <w:rFonts w:ascii="Times New Roman" w:hAnsi="Times New Roman" w:eastAsia="SchoolBookSanPin"/>
        </w:rPr>
      </w:pPr>
      <w:r>
        <w:rPr>
          <w:rFonts w:ascii="Times New Roman" w:hAnsi="Times New Roman" w:eastAsia="SchoolBookSanPin"/>
        </w:rPr>
        <w:t>сравнивать значение однокоренных (родственных) слов: указывать сходство и различие лексического значения;</w:t>
      </w:r>
    </w:p>
    <w:p w14:paraId="4663BD81">
      <w:pPr>
        <w:spacing w:after="0" w:line="355" w:lineRule="auto"/>
        <w:ind w:firstLine="709"/>
        <w:jc w:val="both"/>
        <w:rPr>
          <w:rFonts w:ascii="Times New Roman" w:hAnsi="Times New Roman" w:eastAsia="SchoolBookSanPin"/>
        </w:rPr>
      </w:pPr>
      <w:r>
        <w:rPr>
          <w:rFonts w:ascii="Times New Roman" w:hAnsi="Times New Roman" w:eastAsia="SchoolBookSanPin"/>
        </w:rPr>
        <w:t>сравнивать буквенную оболочку однокоренных (родственных) слов: выявлять случаи чередования;</w:t>
      </w:r>
    </w:p>
    <w:p w14:paraId="3788535F">
      <w:pPr>
        <w:spacing w:after="0" w:line="355" w:lineRule="auto"/>
        <w:ind w:firstLine="709"/>
        <w:jc w:val="both"/>
        <w:rPr>
          <w:rFonts w:ascii="Times New Roman" w:hAnsi="Times New Roman" w:eastAsia="SchoolBookSanPin"/>
        </w:rPr>
      </w:pPr>
      <w:r>
        <w:rPr>
          <w:rFonts w:ascii="Times New Roman" w:hAnsi="Times New Roman" w:eastAsia="SchoolBookSanPin"/>
        </w:rPr>
        <w:t>устанавливать основания для сравнения слов: на какой вопрос отвечают, что обозначают;</w:t>
      </w:r>
    </w:p>
    <w:p w14:paraId="0A255332">
      <w:pPr>
        <w:spacing w:after="0" w:line="355" w:lineRule="auto"/>
        <w:ind w:firstLine="709"/>
        <w:jc w:val="both"/>
        <w:rPr>
          <w:rFonts w:ascii="Times New Roman" w:hAnsi="Times New Roman" w:eastAsia="SchoolBookSanPin"/>
        </w:rPr>
      </w:pPr>
      <w:r>
        <w:rPr>
          <w:rFonts w:ascii="Times New Roman" w:hAnsi="Times New Roman" w:eastAsia="SchoolBookSanPin"/>
        </w:rPr>
        <w:t>характеризовать звуки по заданным параметрам;</w:t>
      </w:r>
    </w:p>
    <w:p w14:paraId="7147DA87">
      <w:pPr>
        <w:spacing w:after="0" w:line="355" w:lineRule="auto"/>
        <w:ind w:firstLine="709"/>
        <w:jc w:val="both"/>
        <w:rPr>
          <w:rFonts w:ascii="Times New Roman" w:hAnsi="Times New Roman" w:eastAsia="SchoolBookSanPin"/>
        </w:rPr>
      </w:pPr>
      <w:r>
        <w:rPr>
          <w:rFonts w:ascii="Times New Roman" w:hAnsi="Times New Roman" w:eastAsia="SchoolBookSanPin"/>
        </w:rPr>
        <w:t>определять признак, по которому проведена классификация звуков, букв, слов, предложений;</w:t>
      </w:r>
    </w:p>
    <w:p w14:paraId="5D14FF83">
      <w:pPr>
        <w:spacing w:after="0" w:line="355" w:lineRule="auto"/>
        <w:ind w:firstLine="709"/>
        <w:jc w:val="both"/>
        <w:rPr>
          <w:rFonts w:ascii="Times New Roman" w:hAnsi="Times New Roman" w:eastAsia="SchoolBookSanPin"/>
        </w:rPr>
      </w:pPr>
      <w:r>
        <w:rPr>
          <w:rFonts w:ascii="Times New Roman" w:hAnsi="Times New Roman" w:eastAsia="SchoolBookSanPin"/>
        </w:rPr>
        <w:t>находить закономерности в процессе наблюдения за языковыми единицами;</w:t>
      </w:r>
    </w:p>
    <w:p w14:paraId="667DC603">
      <w:pPr>
        <w:spacing w:after="0" w:line="355" w:lineRule="auto"/>
        <w:ind w:firstLine="709"/>
        <w:jc w:val="both"/>
        <w:rPr>
          <w:rFonts w:ascii="Times New Roman" w:hAnsi="Times New Roman" w:eastAsia="SchoolBookSanPin"/>
        </w:rPr>
      </w:pPr>
      <w:r>
        <w:rPr>
          <w:rFonts w:ascii="Times New Roman" w:hAnsi="Times New Roman" w:eastAsia="SchoolBookSanPin"/>
        </w:rPr>
        <w:t>ориентироваться в изученных понятиях (корень, окончание, текст); соотносить понятие с его краткой характеристикой.</w:t>
      </w:r>
    </w:p>
    <w:p w14:paraId="41955B92">
      <w:pPr>
        <w:spacing w:after="0" w:line="355" w:lineRule="auto"/>
        <w:ind w:firstLine="709"/>
        <w:jc w:val="both"/>
        <w:rPr>
          <w:rFonts w:ascii="Times New Roman" w:hAnsi="Times New Roman" w:eastAsia="SchoolBookSanPin"/>
        </w:rPr>
      </w:pPr>
      <w:r>
        <w:rPr>
          <w:rFonts w:ascii="Times New Roman" w:hAnsi="Times New Roman" w:eastAsia="OfficinaSansBoldITC"/>
        </w:rPr>
        <w:t>2.7.10.2. </w:t>
      </w:r>
      <w:r>
        <w:rPr>
          <w:rFonts w:ascii="Times New Roman" w:hAnsi="Times New Roman" w:eastAsia="SchoolBookSanPin"/>
        </w:rPr>
        <w:t xml:space="preserve">Базовые исследовательские действия как часть </w:t>
      </w:r>
      <w:r>
        <w:rPr>
          <w:rFonts w:ascii="Times New Roman" w:hAnsi="Times New Roman" w:eastAsia="SchoolBookSanPin"/>
          <w:bCs/>
        </w:rPr>
        <w:t>познавательных универсальных учебных действий</w:t>
      </w:r>
      <w:r>
        <w:rPr>
          <w:rFonts w:ascii="Times New Roman" w:hAnsi="Times New Roman" w:eastAsia="SchoolBookSanPin"/>
        </w:rPr>
        <w:t>:</w:t>
      </w:r>
    </w:p>
    <w:p w14:paraId="71B644E2">
      <w:pPr>
        <w:spacing w:after="0" w:line="355" w:lineRule="auto"/>
        <w:ind w:firstLine="709"/>
        <w:jc w:val="both"/>
        <w:rPr>
          <w:rFonts w:ascii="Times New Roman" w:hAnsi="Times New Roman" w:eastAsia="SchoolBookSanPin"/>
        </w:rPr>
      </w:pPr>
      <w:r>
        <w:rPr>
          <w:rFonts w:ascii="Times New Roman" w:hAnsi="Times New Roman" w:eastAsia="SchoolBookSanPin"/>
        </w:rPr>
        <w:t>проводить по предложенному плану наблюдение за языковыми единицами (слово, предложение, текст);</w:t>
      </w:r>
    </w:p>
    <w:p w14:paraId="397CFC01">
      <w:pPr>
        <w:spacing w:after="0" w:line="355" w:lineRule="auto"/>
        <w:ind w:firstLine="709"/>
        <w:jc w:val="both"/>
        <w:rPr>
          <w:rFonts w:ascii="Times New Roman" w:hAnsi="Times New Roman" w:eastAsia="SchoolBookSanPin"/>
        </w:rPr>
      </w:pPr>
      <w:r>
        <w:rPr>
          <w:rFonts w:ascii="Times New Roman" w:hAnsi="Times New Roman" w:eastAsia="SchoolBookSanPin"/>
        </w:rPr>
        <w:t>формулировать выводы и предлагать доказательства того, что слова являются (не являются) однокоренными (родственными).</w:t>
      </w:r>
    </w:p>
    <w:p w14:paraId="45B12399">
      <w:pPr>
        <w:spacing w:after="0" w:line="355" w:lineRule="auto"/>
        <w:ind w:firstLine="709"/>
        <w:jc w:val="both"/>
        <w:rPr>
          <w:rFonts w:ascii="Times New Roman" w:hAnsi="Times New Roman" w:eastAsia="SchoolBookSanPin"/>
        </w:rPr>
      </w:pPr>
      <w:r>
        <w:rPr>
          <w:rFonts w:ascii="Times New Roman" w:hAnsi="Times New Roman" w:eastAsia="OfficinaSansBoldITC"/>
        </w:rPr>
        <w:t>2.7.10.3. </w:t>
      </w:r>
      <w:r>
        <w:rPr>
          <w:rFonts w:ascii="Times New Roman" w:hAnsi="Times New Roman" w:eastAsia="SchoolBookSanPin"/>
        </w:rPr>
        <w:t xml:space="preserve">Работа с информацией как часть </w:t>
      </w:r>
      <w:r>
        <w:rPr>
          <w:rFonts w:ascii="Times New Roman" w:hAnsi="Times New Roman" w:eastAsia="SchoolBookSanPin"/>
          <w:bCs/>
        </w:rPr>
        <w:t>познавательных универсальных учебных действий</w:t>
      </w:r>
      <w:r>
        <w:rPr>
          <w:rFonts w:ascii="Times New Roman" w:hAnsi="Times New Roman" w:eastAsia="SchoolBookSanPin"/>
        </w:rPr>
        <w:t>:</w:t>
      </w:r>
    </w:p>
    <w:p w14:paraId="6DE5DCCD">
      <w:pPr>
        <w:spacing w:after="0" w:line="355" w:lineRule="auto"/>
        <w:ind w:firstLine="709"/>
        <w:jc w:val="both"/>
        <w:rPr>
          <w:rFonts w:ascii="Times New Roman" w:hAnsi="Times New Roman" w:eastAsia="SchoolBookSanPin"/>
        </w:rPr>
      </w:pPr>
      <w:r>
        <w:rPr>
          <w:rFonts w:ascii="Times New Roman" w:hAnsi="Times New Roman" w:eastAsia="SchoolBookSanPin"/>
        </w:rPr>
        <w:t>выбирать источник получения информации: словарь учебника для получения информации;</w:t>
      </w:r>
    </w:p>
    <w:p w14:paraId="3E41F9B2">
      <w:pPr>
        <w:spacing w:after="0" w:line="355" w:lineRule="auto"/>
        <w:ind w:firstLine="709"/>
        <w:jc w:val="both"/>
        <w:rPr>
          <w:rFonts w:ascii="Times New Roman" w:hAnsi="Times New Roman" w:eastAsia="SchoolBookSanPin"/>
        </w:rPr>
      </w:pPr>
      <w:r>
        <w:rPr>
          <w:rFonts w:ascii="Times New Roman" w:hAnsi="Times New Roman" w:eastAsia="SchoolBookSanPin"/>
        </w:rPr>
        <w:t>устанавливать с помощью словаря значения многозначных слов;</w:t>
      </w:r>
    </w:p>
    <w:p w14:paraId="710F015B">
      <w:pPr>
        <w:spacing w:after="0" w:line="355" w:lineRule="auto"/>
        <w:ind w:firstLine="709"/>
        <w:jc w:val="both"/>
        <w:rPr>
          <w:rFonts w:ascii="Times New Roman" w:hAnsi="Times New Roman" w:eastAsia="SchoolBookSanPin"/>
        </w:rPr>
      </w:pPr>
      <w:r>
        <w:rPr>
          <w:rFonts w:ascii="Times New Roman" w:hAnsi="Times New Roman" w:eastAsia="SchoolBookSanPin"/>
        </w:rPr>
        <w:t>согласно заданному алгоритму находить в предложенном источнике информацию, представленную в явном виде;</w:t>
      </w:r>
    </w:p>
    <w:p w14:paraId="0CBC6F30">
      <w:pPr>
        <w:spacing w:after="0" w:line="355" w:lineRule="auto"/>
        <w:ind w:firstLine="709"/>
        <w:jc w:val="both"/>
        <w:rPr>
          <w:rFonts w:ascii="Times New Roman" w:hAnsi="Times New Roman" w:eastAsia="SchoolBookSanPin"/>
        </w:rPr>
      </w:pPr>
      <w:r>
        <w:rPr>
          <w:rFonts w:ascii="Times New Roman" w:hAnsi="Times New Roman" w:eastAsia="SchoolBookSanPin"/>
        </w:rPr>
        <w:t>анализировать текстовую, графическую и звуковую информацию в соответствии с учебной задачей; «читать» информацию, представленную в схеме, таблице;</w:t>
      </w:r>
    </w:p>
    <w:p w14:paraId="6650DC27">
      <w:pPr>
        <w:spacing w:after="0" w:line="355" w:lineRule="auto"/>
        <w:ind w:firstLine="709"/>
        <w:jc w:val="both"/>
        <w:rPr>
          <w:rFonts w:ascii="Times New Roman" w:hAnsi="Times New Roman" w:eastAsia="SchoolBookSanPin"/>
        </w:rPr>
      </w:pPr>
      <w:r>
        <w:rPr>
          <w:rFonts w:ascii="Times New Roman" w:hAnsi="Times New Roman" w:eastAsia="SchoolBookSanPin"/>
        </w:rPr>
        <w:t>с помощью учителя на уроках русского языка создавать схемы, таблицы для представления информации.</w:t>
      </w:r>
    </w:p>
    <w:p w14:paraId="6E23F549">
      <w:pPr>
        <w:spacing w:after="0" w:line="355" w:lineRule="auto"/>
        <w:ind w:firstLine="709"/>
        <w:jc w:val="both"/>
        <w:rPr>
          <w:rFonts w:ascii="Times New Roman" w:hAnsi="Times New Roman" w:eastAsia="SchoolBookSanPin"/>
        </w:rPr>
      </w:pPr>
      <w:r>
        <w:rPr>
          <w:rFonts w:ascii="Times New Roman" w:hAnsi="Times New Roman" w:eastAsia="OfficinaSansBoldITC"/>
        </w:rPr>
        <w:t>2.7.10.4. </w:t>
      </w:r>
      <w:r>
        <w:rPr>
          <w:rFonts w:ascii="Times New Roman" w:hAnsi="Times New Roman" w:eastAsia="SchoolBookSanPin"/>
        </w:rPr>
        <w:t xml:space="preserve">Общение как часть </w:t>
      </w:r>
      <w:r>
        <w:rPr>
          <w:rFonts w:ascii="Times New Roman" w:hAnsi="Times New Roman" w:eastAsia="SchoolBookSanPin"/>
          <w:bCs/>
        </w:rPr>
        <w:t>коммуникативных универсальных учебных действий</w:t>
      </w:r>
      <w:r>
        <w:rPr>
          <w:rFonts w:ascii="Times New Roman" w:hAnsi="Times New Roman" w:eastAsia="SchoolBookSanPin"/>
        </w:rPr>
        <w:t>:</w:t>
      </w:r>
    </w:p>
    <w:p w14:paraId="7E256E61">
      <w:pPr>
        <w:spacing w:after="0" w:line="355" w:lineRule="auto"/>
        <w:ind w:firstLine="709"/>
        <w:jc w:val="both"/>
        <w:rPr>
          <w:rFonts w:ascii="Times New Roman" w:hAnsi="Times New Roman" w:eastAsia="SchoolBookSanPin"/>
        </w:rPr>
      </w:pPr>
      <w:r>
        <w:rPr>
          <w:rFonts w:ascii="Times New Roman" w:hAnsi="Times New Roman" w:eastAsia="SchoolBookSanPin"/>
        </w:rPr>
        <w:t>воспринимать и формулировать суждения о языковых единицах;</w:t>
      </w:r>
    </w:p>
    <w:p w14:paraId="4BC5C853">
      <w:pPr>
        <w:spacing w:after="0" w:line="355" w:lineRule="auto"/>
        <w:ind w:firstLine="709"/>
        <w:jc w:val="both"/>
        <w:rPr>
          <w:rFonts w:ascii="Times New Roman" w:hAnsi="Times New Roman" w:eastAsia="SchoolBookSanPin"/>
        </w:rPr>
      </w:pPr>
      <w:r>
        <w:rPr>
          <w:rFonts w:ascii="Times New Roman" w:hAnsi="Times New Roman" w:eastAsia="SchoolBookSanPin"/>
        </w:rPr>
        <w:t>проявлять уважительное отношение к собеседнику, соблюдать правила ведения диалога;</w:t>
      </w:r>
    </w:p>
    <w:p w14:paraId="220EB6B2">
      <w:pPr>
        <w:spacing w:after="0" w:line="355" w:lineRule="auto"/>
        <w:ind w:firstLine="709"/>
        <w:jc w:val="both"/>
        <w:rPr>
          <w:rFonts w:ascii="Times New Roman" w:hAnsi="Times New Roman" w:eastAsia="SchoolBookSanPin"/>
        </w:rPr>
      </w:pPr>
      <w:r>
        <w:rPr>
          <w:rFonts w:ascii="Times New Roman" w:hAnsi="Times New Roman" w:eastAsia="SchoolBookSanPin"/>
        </w:rPr>
        <w:t>признавать возможность существования разных точек зрения в процессе анализа результатов наблюдения за языковыми единицами;</w:t>
      </w:r>
    </w:p>
    <w:p w14:paraId="79A30F92">
      <w:pPr>
        <w:spacing w:after="0" w:line="355" w:lineRule="auto"/>
        <w:ind w:firstLine="709"/>
        <w:jc w:val="both"/>
        <w:rPr>
          <w:rFonts w:ascii="Times New Roman" w:hAnsi="Times New Roman" w:eastAsia="SchoolBookSanPin"/>
        </w:rPr>
      </w:pPr>
      <w:r>
        <w:rPr>
          <w:rFonts w:ascii="Times New Roman" w:hAnsi="Times New Roman" w:eastAsia="SchoolBookSanPin"/>
        </w:rPr>
        <w:t>корректно и аргументированно высказывать своё мнение о результатах наблюдения за языковыми единицами;</w:t>
      </w:r>
    </w:p>
    <w:p w14:paraId="738C5538">
      <w:pPr>
        <w:spacing w:after="0" w:line="355" w:lineRule="auto"/>
        <w:ind w:firstLine="709"/>
        <w:jc w:val="both"/>
        <w:rPr>
          <w:rFonts w:ascii="Times New Roman" w:hAnsi="Times New Roman" w:eastAsia="SchoolBookSanPin"/>
        </w:rPr>
      </w:pPr>
      <w:r>
        <w:rPr>
          <w:rFonts w:ascii="Times New Roman" w:hAnsi="Times New Roman" w:eastAsia="SchoolBookSanPin"/>
        </w:rPr>
        <w:t>строить устное диалогическое выказывание;</w:t>
      </w:r>
    </w:p>
    <w:p w14:paraId="02AC3867">
      <w:pPr>
        <w:spacing w:after="0" w:line="355" w:lineRule="auto"/>
        <w:ind w:firstLine="709"/>
        <w:jc w:val="both"/>
        <w:rPr>
          <w:rFonts w:ascii="Times New Roman" w:hAnsi="Times New Roman" w:eastAsia="SchoolBookSanPin"/>
        </w:rPr>
      </w:pPr>
      <w:r>
        <w:rPr>
          <w:rFonts w:ascii="Times New Roman" w:hAnsi="Times New Roman" w:eastAsia="SchoolBookSanPin"/>
        </w:rPr>
        <w:t>строить устное монологическое высказывание на определённую тему, на основе наблюдения с соблюдением орфоэпических норм, правильной интонации;</w:t>
      </w:r>
    </w:p>
    <w:p w14:paraId="41242739">
      <w:pPr>
        <w:spacing w:after="0" w:line="355" w:lineRule="auto"/>
        <w:ind w:firstLine="709"/>
        <w:jc w:val="both"/>
        <w:rPr>
          <w:rFonts w:ascii="Times New Roman" w:hAnsi="Times New Roman" w:eastAsia="SchoolBookSanPin"/>
        </w:rPr>
      </w:pPr>
      <w:r>
        <w:rPr>
          <w:rFonts w:ascii="Times New Roman" w:hAnsi="Times New Roman" w:eastAsia="SchoolBookSanPin"/>
        </w:rPr>
        <w:t>устно и письменно формулировать простые выводы на основе прочитанного или услышанного текста.</w:t>
      </w:r>
    </w:p>
    <w:p w14:paraId="4A41FFC9">
      <w:pPr>
        <w:spacing w:after="0" w:line="355" w:lineRule="auto"/>
        <w:ind w:firstLine="709"/>
        <w:jc w:val="both"/>
        <w:rPr>
          <w:rFonts w:ascii="Times New Roman" w:hAnsi="Times New Roman" w:eastAsia="SchoolBookSanPin"/>
        </w:rPr>
      </w:pPr>
      <w:r>
        <w:rPr>
          <w:rFonts w:ascii="Times New Roman" w:hAnsi="Times New Roman" w:eastAsia="OfficinaSansBoldITC"/>
        </w:rPr>
        <w:t>2.7.10.5. </w:t>
      </w:r>
      <w:r>
        <w:rPr>
          <w:rFonts w:ascii="Times New Roman" w:hAnsi="Times New Roman" w:eastAsia="SchoolBookSanPin"/>
        </w:rPr>
        <w:t xml:space="preserve">Самоорганизация как часть </w:t>
      </w:r>
      <w:r>
        <w:rPr>
          <w:rFonts w:ascii="Times New Roman" w:hAnsi="Times New Roman" w:eastAsia="SchoolBookSanPin"/>
          <w:bCs/>
        </w:rPr>
        <w:t>регулятивных универсальных учебных действий</w:t>
      </w:r>
      <w:r>
        <w:rPr>
          <w:rFonts w:ascii="Times New Roman" w:hAnsi="Times New Roman" w:eastAsia="SchoolBookSanPin"/>
        </w:rPr>
        <w:t>:</w:t>
      </w:r>
    </w:p>
    <w:p w14:paraId="0EBC4C14">
      <w:pPr>
        <w:spacing w:after="0" w:line="355" w:lineRule="auto"/>
        <w:ind w:firstLine="709"/>
        <w:jc w:val="both"/>
        <w:rPr>
          <w:rFonts w:ascii="Times New Roman" w:hAnsi="Times New Roman" w:eastAsia="SchoolBookSanPin"/>
        </w:rPr>
      </w:pPr>
      <w:r>
        <w:rPr>
          <w:rFonts w:ascii="Times New Roman" w:hAnsi="Times New Roman" w:eastAsia="SchoolBookSanPin"/>
        </w:rPr>
        <w:t>планировать с помощью учителя действия по решению орфографической задачи;</w:t>
      </w:r>
    </w:p>
    <w:p w14:paraId="4088AA85">
      <w:pPr>
        <w:spacing w:after="0" w:line="355" w:lineRule="auto"/>
        <w:ind w:firstLine="709"/>
        <w:jc w:val="both"/>
        <w:rPr>
          <w:rFonts w:ascii="Times New Roman" w:hAnsi="Times New Roman" w:eastAsia="SchoolBookSanPin"/>
        </w:rPr>
      </w:pPr>
      <w:r>
        <w:rPr>
          <w:rFonts w:ascii="Times New Roman" w:hAnsi="Times New Roman" w:eastAsia="SchoolBookSanPin"/>
        </w:rPr>
        <w:t>выстраивать последовательность выбранных действий.</w:t>
      </w:r>
    </w:p>
    <w:p w14:paraId="4BC93251">
      <w:pPr>
        <w:spacing w:after="0" w:line="355" w:lineRule="auto"/>
        <w:ind w:firstLine="709"/>
        <w:jc w:val="both"/>
        <w:rPr>
          <w:rFonts w:ascii="Times New Roman" w:hAnsi="Times New Roman" w:eastAsia="SchoolBookSanPin"/>
        </w:rPr>
      </w:pPr>
      <w:r>
        <w:rPr>
          <w:rFonts w:ascii="Times New Roman" w:hAnsi="Times New Roman" w:eastAsia="OfficinaSansBoldITC"/>
        </w:rPr>
        <w:t>2.7.10.6. </w:t>
      </w:r>
      <w:r>
        <w:rPr>
          <w:rFonts w:ascii="Times New Roman" w:hAnsi="Times New Roman" w:eastAsia="SchoolBookSanPin"/>
        </w:rPr>
        <w:t xml:space="preserve">Самоконтроль как часть </w:t>
      </w:r>
      <w:r>
        <w:rPr>
          <w:rFonts w:ascii="Times New Roman" w:hAnsi="Times New Roman" w:eastAsia="SchoolBookSanPin"/>
          <w:bCs/>
        </w:rPr>
        <w:t>регулятивных универсальных учебных действий</w:t>
      </w:r>
      <w:r>
        <w:rPr>
          <w:rFonts w:ascii="Times New Roman" w:hAnsi="Times New Roman" w:eastAsia="SchoolBookSanPin"/>
        </w:rPr>
        <w:t>:</w:t>
      </w:r>
    </w:p>
    <w:p w14:paraId="04AB12EA">
      <w:pPr>
        <w:spacing w:after="0" w:line="355" w:lineRule="auto"/>
        <w:ind w:firstLine="709"/>
        <w:jc w:val="both"/>
        <w:rPr>
          <w:rFonts w:ascii="Times New Roman" w:hAnsi="Times New Roman" w:eastAsia="SchoolBookSanPin"/>
        </w:rPr>
      </w:pPr>
      <w:r>
        <w:rPr>
          <w:rFonts w:ascii="Times New Roman" w:hAnsi="Times New Roman" w:eastAsia="SchoolBookSanPin"/>
        </w:rPr>
        <w:t>устанавливать с помощью учителя причины успеха (неудач) при выполнении заданий по русскому языку;</w:t>
      </w:r>
    </w:p>
    <w:p w14:paraId="0BCD7F5B">
      <w:pPr>
        <w:spacing w:after="0" w:line="355" w:lineRule="auto"/>
        <w:ind w:firstLine="709"/>
        <w:jc w:val="both"/>
        <w:rPr>
          <w:rFonts w:ascii="Times New Roman" w:hAnsi="Times New Roman" w:eastAsia="SchoolBookSanPin"/>
        </w:rPr>
      </w:pPr>
      <w:r>
        <w:rPr>
          <w:rFonts w:ascii="Times New Roman" w:hAnsi="Times New Roman" w:eastAsia="SchoolBookSanPin"/>
        </w:rPr>
        <w:t>корректировать с помощью учителя свои учебные действия для преодоления ошибок при выделении в слове корня и окончания, при списывании текстов и записи под диктовку.</w:t>
      </w:r>
    </w:p>
    <w:p w14:paraId="3E423B1C">
      <w:pPr>
        <w:spacing w:after="0" w:line="355" w:lineRule="auto"/>
        <w:ind w:firstLine="709"/>
        <w:jc w:val="both"/>
        <w:rPr>
          <w:rFonts w:ascii="Times New Roman" w:hAnsi="Times New Roman" w:eastAsia="SchoolBookSanPin"/>
        </w:rPr>
      </w:pPr>
      <w:r>
        <w:rPr>
          <w:rFonts w:ascii="Times New Roman" w:hAnsi="Times New Roman" w:eastAsia="OfficinaSansBoldITC"/>
        </w:rPr>
        <w:t>2.7.10.7. </w:t>
      </w:r>
      <w:r>
        <w:rPr>
          <w:rFonts w:ascii="Times New Roman" w:hAnsi="Times New Roman" w:eastAsia="SchoolBookSanPin"/>
          <w:bCs/>
        </w:rPr>
        <w:t>Совместная деятельность</w:t>
      </w:r>
      <w:r>
        <w:rPr>
          <w:rFonts w:ascii="Times New Roman" w:hAnsi="Times New Roman" w:eastAsia="SchoolBookSanPin"/>
        </w:rPr>
        <w:t>:</w:t>
      </w:r>
    </w:p>
    <w:p w14:paraId="1CAA72D9">
      <w:pPr>
        <w:spacing w:after="0" w:line="355" w:lineRule="auto"/>
        <w:ind w:firstLine="709"/>
        <w:jc w:val="both"/>
        <w:rPr>
          <w:rFonts w:ascii="Times New Roman" w:hAnsi="Times New Roman" w:eastAsia="SchoolBookSanPin"/>
        </w:rPr>
      </w:pPr>
      <w:r>
        <w:rPr>
          <w:rFonts w:ascii="Times New Roman" w:hAnsi="Times New Roman" w:eastAsia="SchoolBookSanPin"/>
        </w:rPr>
        <w:t>строить действия по достижению цели совместной деятельности при выполнении парных и групповых заданий на уроках русского языка: распределять роли, договариваться, корректно делать замечания и высказывать пожелания участникам совместной работы, спокойно принимать замечания в свой адрес, мирно решать конфликты (в том числе с помощью учителя);</w:t>
      </w:r>
    </w:p>
    <w:p w14:paraId="3AAEA865">
      <w:pPr>
        <w:spacing w:after="0" w:line="355" w:lineRule="auto"/>
        <w:ind w:firstLine="709"/>
        <w:jc w:val="both"/>
        <w:rPr>
          <w:rFonts w:ascii="Times New Roman" w:hAnsi="Times New Roman" w:eastAsia="SchoolBookSanPin"/>
        </w:rPr>
      </w:pPr>
      <w:r>
        <w:rPr>
          <w:rFonts w:ascii="Times New Roman" w:hAnsi="Times New Roman" w:eastAsia="SchoolBookSanPin"/>
        </w:rPr>
        <w:t>совместно обсуждать процесс и результат работы;</w:t>
      </w:r>
    </w:p>
    <w:p w14:paraId="2726F82F">
      <w:pPr>
        <w:spacing w:after="0" w:line="355" w:lineRule="auto"/>
        <w:ind w:firstLine="709"/>
        <w:jc w:val="both"/>
        <w:rPr>
          <w:rFonts w:ascii="Times New Roman" w:hAnsi="Times New Roman" w:eastAsia="SchoolBookSanPin"/>
        </w:rPr>
      </w:pPr>
      <w:r>
        <w:rPr>
          <w:rFonts w:ascii="Times New Roman" w:hAnsi="Times New Roman" w:eastAsia="SchoolBookSanPin"/>
        </w:rPr>
        <w:t>ответственно выполнять свою часть работы;</w:t>
      </w:r>
    </w:p>
    <w:p w14:paraId="2B5EBD85">
      <w:pPr>
        <w:spacing w:after="0" w:line="355" w:lineRule="auto"/>
        <w:ind w:firstLine="709"/>
        <w:jc w:val="both"/>
        <w:rPr>
          <w:rFonts w:ascii="Times New Roman" w:hAnsi="Times New Roman" w:eastAsia="SchoolBookSanPin"/>
        </w:rPr>
      </w:pPr>
      <w:r>
        <w:rPr>
          <w:rFonts w:ascii="Times New Roman" w:hAnsi="Times New Roman" w:eastAsia="SchoolBookSanPin"/>
        </w:rPr>
        <w:t>оценивать свой вклад в общий результат.</w:t>
      </w:r>
    </w:p>
    <w:p w14:paraId="25943DA7">
      <w:pPr>
        <w:spacing w:after="0" w:line="355" w:lineRule="auto"/>
        <w:ind w:firstLine="709"/>
        <w:rPr>
          <w:rFonts w:ascii="Times New Roman" w:hAnsi="Times New Roman" w:eastAsia="OfficinaSansBoldITC"/>
        </w:rPr>
      </w:pPr>
      <w:r>
        <w:rPr>
          <w:rFonts w:ascii="Times New Roman" w:hAnsi="Times New Roman" w:eastAsia="OfficinaSansBoldITC"/>
        </w:rPr>
        <w:t>2.8. Содержание обучения в 3 классе.</w:t>
      </w:r>
    </w:p>
    <w:p w14:paraId="55E97030">
      <w:pPr>
        <w:spacing w:after="0" w:line="355" w:lineRule="auto"/>
        <w:ind w:firstLine="709"/>
        <w:jc w:val="both"/>
        <w:rPr>
          <w:rFonts w:ascii="Times New Roman" w:hAnsi="Times New Roman" w:eastAsia="OfficinaSansBoldITC"/>
        </w:rPr>
      </w:pPr>
      <w:r>
        <w:rPr>
          <w:rFonts w:ascii="Times New Roman" w:hAnsi="Times New Roman" w:eastAsia="OfficinaSansBoldITC"/>
        </w:rPr>
        <w:t>2.8.1. Сведения о русском языке.</w:t>
      </w:r>
    </w:p>
    <w:p w14:paraId="45AED303">
      <w:pPr>
        <w:spacing w:after="0" w:line="355" w:lineRule="auto"/>
        <w:ind w:firstLine="709"/>
        <w:jc w:val="both"/>
        <w:rPr>
          <w:rFonts w:ascii="Times New Roman" w:hAnsi="Times New Roman" w:eastAsia="SchoolBookSanPin"/>
        </w:rPr>
      </w:pPr>
      <w:r>
        <w:rPr>
          <w:rFonts w:ascii="Times New Roman" w:hAnsi="Times New Roman" w:eastAsia="SchoolBookSanPin"/>
        </w:rPr>
        <w:t>Русский язык как государственный язык Российской Федерации. Методы познания языка: наблюдение, анализ, лингвистический эксперимент.</w:t>
      </w:r>
    </w:p>
    <w:p w14:paraId="75CCBA00">
      <w:pPr>
        <w:spacing w:after="0" w:line="355" w:lineRule="auto"/>
        <w:ind w:firstLine="709"/>
        <w:jc w:val="both"/>
        <w:rPr>
          <w:rFonts w:ascii="Times New Roman" w:hAnsi="Times New Roman" w:eastAsia="OfficinaSansBoldITC"/>
        </w:rPr>
      </w:pPr>
      <w:r>
        <w:rPr>
          <w:rFonts w:ascii="Times New Roman" w:hAnsi="Times New Roman" w:eastAsia="OfficinaSansBoldITC"/>
        </w:rPr>
        <w:t>2.8.2. Фонетика и графика.</w:t>
      </w:r>
    </w:p>
    <w:p w14:paraId="141884B1">
      <w:pPr>
        <w:spacing w:after="0" w:line="355" w:lineRule="auto"/>
        <w:ind w:firstLine="709"/>
        <w:jc w:val="both"/>
        <w:rPr>
          <w:rFonts w:ascii="Times New Roman" w:hAnsi="Times New Roman" w:eastAsia="SchoolBookSanPin"/>
        </w:rPr>
      </w:pPr>
      <w:r>
        <w:rPr>
          <w:rFonts w:ascii="Times New Roman" w:hAnsi="Times New Roman" w:eastAsia="SchoolBookSanPin"/>
        </w:rPr>
        <w:t>Звуки русского языка: гласный (согласный); гласный ударный (безударный); согласный твёрдый (мягкий), парный (непарный); согласный глухой (звонкий), парный (непарный); функции разделительных мягкого и твёрдого знаков, условия использования при письме разделительных мягкого и твёрдого знаков (повторение изученного).</w:t>
      </w:r>
    </w:p>
    <w:p w14:paraId="4BFFB487">
      <w:pPr>
        <w:spacing w:after="0" w:line="355" w:lineRule="auto"/>
        <w:ind w:firstLine="709"/>
        <w:jc w:val="both"/>
        <w:rPr>
          <w:rFonts w:ascii="Times New Roman" w:hAnsi="Times New Roman" w:eastAsia="SchoolBookSanPin"/>
        </w:rPr>
      </w:pPr>
      <w:r>
        <w:rPr>
          <w:rFonts w:ascii="Times New Roman" w:hAnsi="Times New Roman" w:eastAsia="SchoolBookSanPin"/>
        </w:rPr>
        <w:t xml:space="preserve">Соотношение звукового и буквенного состава в словах с разделительными </w:t>
      </w:r>
      <w:r>
        <w:rPr>
          <w:rFonts w:ascii="Times New Roman" w:hAnsi="Times New Roman" w:eastAsia="SchoolBookSanPin"/>
          <w:bCs/>
        </w:rPr>
        <w:t xml:space="preserve">ь </w:t>
      </w:r>
      <w:r>
        <w:rPr>
          <w:rFonts w:ascii="Times New Roman" w:hAnsi="Times New Roman" w:eastAsia="SchoolBookSanPin"/>
        </w:rPr>
        <w:t xml:space="preserve">и </w:t>
      </w:r>
      <w:r>
        <w:rPr>
          <w:rFonts w:ascii="Times New Roman" w:hAnsi="Times New Roman" w:eastAsia="SchoolBookSanPin"/>
          <w:bCs/>
        </w:rPr>
        <w:t>ъ</w:t>
      </w:r>
      <w:r>
        <w:rPr>
          <w:rFonts w:ascii="Times New Roman" w:hAnsi="Times New Roman" w:eastAsia="SchoolBookSanPin"/>
        </w:rPr>
        <w:t>, в словах с непроизносимыми согласными.</w:t>
      </w:r>
    </w:p>
    <w:p w14:paraId="118F59EE">
      <w:pPr>
        <w:spacing w:after="0" w:line="355" w:lineRule="auto"/>
        <w:ind w:firstLine="709"/>
        <w:jc w:val="both"/>
        <w:rPr>
          <w:rFonts w:ascii="Times New Roman" w:hAnsi="Times New Roman" w:eastAsia="SchoolBookSanPin"/>
        </w:rPr>
      </w:pPr>
      <w:r>
        <w:rPr>
          <w:rFonts w:ascii="Times New Roman" w:hAnsi="Times New Roman" w:eastAsia="SchoolBookSanPin"/>
        </w:rPr>
        <w:t>Использование алфавита при работе со словарями, справочниками, каталогами.</w:t>
      </w:r>
    </w:p>
    <w:p w14:paraId="2B3093BF">
      <w:pPr>
        <w:spacing w:after="0" w:line="355" w:lineRule="auto"/>
        <w:ind w:firstLine="709"/>
        <w:jc w:val="both"/>
        <w:rPr>
          <w:rFonts w:ascii="Times New Roman" w:hAnsi="Times New Roman" w:eastAsia="OfficinaSansBoldITC"/>
        </w:rPr>
      </w:pPr>
      <w:r>
        <w:rPr>
          <w:rFonts w:ascii="Times New Roman" w:hAnsi="Times New Roman" w:eastAsia="OfficinaSansBoldITC"/>
        </w:rPr>
        <w:t>2.8.3. Орфоэпия.</w:t>
      </w:r>
    </w:p>
    <w:p w14:paraId="178B6422">
      <w:pPr>
        <w:spacing w:after="0" w:line="355" w:lineRule="auto"/>
        <w:ind w:firstLine="709"/>
        <w:jc w:val="both"/>
        <w:rPr>
          <w:rFonts w:ascii="Times New Roman" w:hAnsi="Times New Roman" w:eastAsia="SchoolBookSanPin"/>
        </w:rPr>
      </w:pPr>
      <w:r>
        <w:rPr>
          <w:rFonts w:ascii="Times New Roman" w:hAnsi="Times New Roman" w:eastAsia="SchoolBookSanPin"/>
        </w:rPr>
        <w:t>Нормы произношения звуков и сочетаний звуков; ударение в словах в соответствии с нормами современного русского литературного языка (на ограниченном перечне слов, отрабатываемом в учебнике).</w:t>
      </w:r>
    </w:p>
    <w:p w14:paraId="2FFF3133">
      <w:pPr>
        <w:spacing w:after="0" w:line="355" w:lineRule="auto"/>
        <w:ind w:firstLine="709"/>
        <w:jc w:val="both"/>
        <w:rPr>
          <w:rFonts w:ascii="Times New Roman" w:hAnsi="Times New Roman" w:eastAsia="SchoolBookSanPin"/>
        </w:rPr>
      </w:pPr>
      <w:r>
        <w:rPr>
          <w:rFonts w:ascii="Times New Roman" w:hAnsi="Times New Roman" w:eastAsia="SchoolBookSanPin"/>
        </w:rPr>
        <w:t>Использование орфоэпического словаря для решения практических задач.</w:t>
      </w:r>
    </w:p>
    <w:p w14:paraId="75578F14">
      <w:pPr>
        <w:spacing w:after="0" w:line="355" w:lineRule="auto"/>
        <w:ind w:firstLine="709"/>
        <w:jc w:val="both"/>
        <w:rPr>
          <w:rFonts w:ascii="Times New Roman" w:hAnsi="Times New Roman" w:eastAsia="OfficinaSansBoldITC"/>
        </w:rPr>
      </w:pPr>
      <w:r>
        <w:rPr>
          <w:rFonts w:ascii="Times New Roman" w:hAnsi="Times New Roman" w:eastAsia="OfficinaSansBoldITC"/>
        </w:rPr>
        <w:t>2.8.4. Лексика.</w:t>
      </w:r>
    </w:p>
    <w:p w14:paraId="1DB09483">
      <w:pPr>
        <w:spacing w:after="0" w:line="355" w:lineRule="auto"/>
        <w:ind w:firstLine="709"/>
        <w:jc w:val="both"/>
        <w:rPr>
          <w:rFonts w:ascii="Times New Roman" w:hAnsi="Times New Roman" w:eastAsia="SchoolBookSanPin"/>
        </w:rPr>
      </w:pPr>
      <w:r>
        <w:rPr>
          <w:rFonts w:ascii="Times New Roman" w:hAnsi="Times New Roman" w:eastAsia="SchoolBookSanPin"/>
        </w:rPr>
        <w:t>Повторение: лексическое значение слова.</w:t>
      </w:r>
    </w:p>
    <w:p w14:paraId="0E98717A">
      <w:pPr>
        <w:spacing w:after="0" w:line="355" w:lineRule="auto"/>
        <w:ind w:firstLine="709"/>
        <w:jc w:val="both"/>
        <w:rPr>
          <w:rFonts w:ascii="Times New Roman" w:hAnsi="Times New Roman" w:eastAsia="SchoolBookSanPin"/>
        </w:rPr>
      </w:pPr>
      <w:r>
        <w:rPr>
          <w:rFonts w:ascii="Times New Roman" w:hAnsi="Times New Roman" w:eastAsia="SchoolBookSanPin"/>
        </w:rPr>
        <w:t>Прямое и переносное значение слова (ознакомление). Устаревшие слова (ознакомление).</w:t>
      </w:r>
    </w:p>
    <w:p w14:paraId="3FB78066">
      <w:pPr>
        <w:spacing w:after="0" w:line="355" w:lineRule="auto"/>
        <w:ind w:firstLine="709"/>
        <w:jc w:val="both"/>
        <w:rPr>
          <w:rFonts w:ascii="Times New Roman" w:hAnsi="Times New Roman" w:eastAsia="OfficinaSansBoldITC"/>
        </w:rPr>
      </w:pPr>
      <w:r>
        <w:rPr>
          <w:rFonts w:ascii="Times New Roman" w:hAnsi="Times New Roman" w:eastAsia="OfficinaSansBoldITC"/>
        </w:rPr>
        <w:t>2.8.5. Состав слова (морфемика).</w:t>
      </w:r>
    </w:p>
    <w:p w14:paraId="72AC9606">
      <w:pPr>
        <w:spacing w:after="0" w:line="355" w:lineRule="auto"/>
        <w:ind w:firstLine="709"/>
        <w:jc w:val="both"/>
        <w:rPr>
          <w:rFonts w:ascii="Times New Roman" w:hAnsi="Times New Roman" w:eastAsia="SchoolBookSanPin"/>
        </w:rPr>
      </w:pPr>
      <w:r>
        <w:rPr>
          <w:rFonts w:ascii="Times New Roman" w:hAnsi="Times New Roman" w:eastAsia="SchoolBookSanPin"/>
        </w:rPr>
        <w:t>Корень как обязательная часть слова; однокоренные (родственные) слова; признаки однокоренных (родственных) слов; различение однокоренных слов и синонимов, однокоренных слов и слов с омонимичными корнями; выделение в словах корня (простые случаи); окончание как изменяемая часть слова (повторение изученного).</w:t>
      </w:r>
    </w:p>
    <w:p w14:paraId="7053F630">
      <w:pPr>
        <w:spacing w:after="0" w:line="355" w:lineRule="auto"/>
        <w:ind w:firstLine="709"/>
        <w:jc w:val="both"/>
        <w:rPr>
          <w:rFonts w:ascii="Times New Roman" w:hAnsi="Times New Roman" w:eastAsia="SchoolBookSanPin"/>
        </w:rPr>
      </w:pPr>
      <w:r>
        <w:rPr>
          <w:rFonts w:ascii="Times New Roman" w:hAnsi="Times New Roman" w:eastAsia="SchoolBookSanPin"/>
        </w:rPr>
        <w:t xml:space="preserve">Однокоренные слова и формы одного и того же слова. Корень, приставка, суффикс – значимые части слова. Нулевое окончание (ознакомление). Выделение в словах с однозначно выделяемыми морфемами окончания, корня, приставки, суффикса. </w:t>
      </w:r>
    </w:p>
    <w:p w14:paraId="1C33080C">
      <w:pPr>
        <w:spacing w:after="0" w:line="355" w:lineRule="auto"/>
        <w:ind w:firstLine="709"/>
        <w:jc w:val="both"/>
        <w:rPr>
          <w:rFonts w:ascii="Times New Roman" w:hAnsi="Times New Roman" w:eastAsia="OfficinaSansBoldITC"/>
        </w:rPr>
      </w:pPr>
      <w:r>
        <w:rPr>
          <w:rFonts w:ascii="Times New Roman" w:hAnsi="Times New Roman" w:eastAsia="OfficinaSansBoldITC"/>
        </w:rPr>
        <w:t>2.8.6. Морфология.</w:t>
      </w:r>
    </w:p>
    <w:p w14:paraId="5C70C4DE">
      <w:pPr>
        <w:spacing w:after="0" w:line="355" w:lineRule="auto"/>
        <w:ind w:firstLine="709"/>
        <w:jc w:val="both"/>
        <w:rPr>
          <w:rFonts w:ascii="Times New Roman" w:hAnsi="Times New Roman" w:eastAsia="SchoolBookSanPin"/>
        </w:rPr>
      </w:pPr>
      <w:r>
        <w:rPr>
          <w:rFonts w:ascii="Times New Roman" w:hAnsi="Times New Roman" w:eastAsia="SchoolBookSanPin"/>
        </w:rPr>
        <w:t>Части речи.</w:t>
      </w:r>
    </w:p>
    <w:p w14:paraId="5981AA5E">
      <w:pPr>
        <w:spacing w:after="0" w:line="355" w:lineRule="auto"/>
        <w:ind w:firstLine="709"/>
        <w:jc w:val="both"/>
        <w:rPr>
          <w:rFonts w:ascii="Times New Roman" w:hAnsi="Times New Roman" w:eastAsia="SchoolBookSanPin"/>
        </w:rPr>
      </w:pPr>
      <w:r>
        <w:rPr>
          <w:rFonts w:ascii="Times New Roman" w:hAnsi="Times New Roman" w:eastAsia="SchoolBookSanPin"/>
        </w:rPr>
        <w:t>Имя существительное: общее значение, вопросы, употребление в речи. Имена существительные единственного и множественного числа. Имена существительные мужского, женского и среднего рода. Падеж имён существительных. Определение падежа, в котором употреблено имя существительное. Изменение имён существительных по падежам и числам (склонение). Имена существительные 1, 2, 3­го склонения. Имена существительные одушевлённые и неодушевлённые.</w:t>
      </w:r>
    </w:p>
    <w:p w14:paraId="4DD2A611">
      <w:pPr>
        <w:spacing w:after="0" w:line="355" w:lineRule="auto"/>
        <w:ind w:firstLine="709"/>
        <w:jc w:val="both"/>
        <w:rPr>
          <w:rFonts w:ascii="Times New Roman" w:hAnsi="Times New Roman" w:eastAsia="SchoolBookSanPin"/>
        </w:rPr>
      </w:pPr>
      <w:r>
        <w:rPr>
          <w:rFonts w:ascii="Times New Roman" w:hAnsi="Times New Roman" w:eastAsia="SchoolBookSanPin"/>
        </w:rPr>
        <w:t>Имя прилагательное: общее значение, вопросы, употребление в речи. Зависимость формы имени прилагательного от формы имени существительного. Изменение имён прилагательных по родам, числам и падежам (кроме имён прилагательных на «</w:t>
      </w:r>
      <w:r>
        <w:rPr>
          <w:rFonts w:ascii="Times New Roman" w:hAnsi="Times New Roman" w:eastAsia="SchoolBookSanPin"/>
          <w:bCs/>
        </w:rPr>
        <w:t>-ий»</w:t>
      </w:r>
      <w:r>
        <w:rPr>
          <w:rFonts w:ascii="Times New Roman" w:hAnsi="Times New Roman" w:eastAsia="SchoolBookSanPin"/>
        </w:rPr>
        <w:t>, «</w:t>
      </w:r>
      <w:r>
        <w:rPr>
          <w:rFonts w:ascii="Times New Roman" w:hAnsi="Times New Roman" w:eastAsia="SchoolBookSanPin"/>
          <w:bCs/>
        </w:rPr>
        <w:t>-ов»</w:t>
      </w:r>
      <w:r>
        <w:rPr>
          <w:rFonts w:ascii="Times New Roman" w:hAnsi="Times New Roman" w:eastAsia="SchoolBookSanPin"/>
        </w:rPr>
        <w:t>, «</w:t>
      </w:r>
      <w:r>
        <w:rPr>
          <w:rFonts w:ascii="Times New Roman" w:hAnsi="Times New Roman" w:eastAsia="SchoolBookSanPin"/>
          <w:bCs/>
        </w:rPr>
        <w:t>-ин»</w:t>
      </w:r>
      <w:r>
        <w:rPr>
          <w:rFonts w:ascii="Times New Roman" w:hAnsi="Times New Roman" w:eastAsia="SchoolBookSanPin"/>
        </w:rPr>
        <w:t>). Склонение имён прилагательных.</w:t>
      </w:r>
    </w:p>
    <w:p w14:paraId="597F9248">
      <w:pPr>
        <w:spacing w:after="0" w:line="355" w:lineRule="auto"/>
        <w:ind w:firstLine="709"/>
        <w:jc w:val="both"/>
        <w:rPr>
          <w:rFonts w:ascii="Times New Roman" w:hAnsi="Times New Roman" w:eastAsia="SchoolBookSanPin"/>
        </w:rPr>
      </w:pPr>
      <w:r>
        <w:rPr>
          <w:rFonts w:ascii="Times New Roman" w:hAnsi="Times New Roman" w:eastAsia="SchoolBookSanPin"/>
        </w:rPr>
        <w:t>Местоимение (общее представление). Личные местоимения, их употребление в речи. Использование личных местоимений для устранения неоправданных повторов в тексте.</w:t>
      </w:r>
    </w:p>
    <w:p w14:paraId="7221D05E">
      <w:pPr>
        <w:spacing w:after="0" w:line="355" w:lineRule="auto"/>
        <w:ind w:firstLine="709"/>
        <w:jc w:val="both"/>
        <w:rPr>
          <w:rFonts w:ascii="Times New Roman" w:hAnsi="Times New Roman" w:eastAsia="SchoolBookSanPin"/>
        </w:rPr>
      </w:pPr>
      <w:r>
        <w:rPr>
          <w:rFonts w:ascii="Times New Roman" w:hAnsi="Times New Roman" w:eastAsia="SchoolBookSanPin"/>
        </w:rPr>
        <w:t>Глагол: общее значение, вопросы, употребление в речи. Неопределённая форма глагола. Настоящее, будущее, прошедшее время глаголов. Изменение глаголов по временам, числам. Род глаголов в прошедшем времени.</w:t>
      </w:r>
    </w:p>
    <w:p w14:paraId="601D0024">
      <w:pPr>
        <w:spacing w:after="0" w:line="355" w:lineRule="auto"/>
        <w:ind w:firstLine="709"/>
        <w:jc w:val="both"/>
        <w:rPr>
          <w:rFonts w:ascii="Times New Roman" w:hAnsi="Times New Roman" w:eastAsia="SchoolBookSanPin"/>
        </w:rPr>
      </w:pPr>
      <w:r>
        <w:rPr>
          <w:rFonts w:ascii="Times New Roman" w:hAnsi="Times New Roman" w:eastAsia="SchoolBookSanPin"/>
        </w:rPr>
        <w:t>Частица «не», её значение.</w:t>
      </w:r>
    </w:p>
    <w:p w14:paraId="44566567">
      <w:pPr>
        <w:spacing w:after="0" w:line="355" w:lineRule="auto"/>
        <w:ind w:firstLine="709"/>
        <w:jc w:val="both"/>
        <w:rPr>
          <w:rFonts w:ascii="Times New Roman" w:hAnsi="Times New Roman" w:eastAsia="OfficinaSansBoldITC"/>
        </w:rPr>
      </w:pPr>
      <w:r>
        <w:rPr>
          <w:rFonts w:ascii="Times New Roman" w:hAnsi="Times New Roman" w:eastAsia="OfficinaSansBoldITC"/>
        </w:rPr>
        <w:t>2.8.7. Синтаксис.</w:t>
      </w:r>
    </w:p>
    <w:p w14:paraId="02011577">
      <w:pPr>
        <w:spacing w:after="0" w:line="355" w:lineRule="auto"/>
        <w:ind w:firstLine="709"/>
        <w:jc w:val="both"/>
        <w:rPr>
          <w:rFonts w:ascii="Times New Roman" w:hAnsi="Times New Roman" w:eastAsia="SchoolBookSanPin"/>
        </w:rPr>
      </w:pPr>
      <w:r>
        <w:rPr>
          <w:rFonts w:ascii="Times New Roman" w:hAnsi="Times New Roman" w:eastAsia="SchoolBookSanPin"/>
        </w:rPr>
        <w:t>Предложение. Установление при помощи смысловых (синтаксических) вопросов связи между словами в предложении. Главные члены предложения – подлежащее и сказуемое. Второстепенные члены предложения (без деления на виды). Предложения распространённые и нераспространённые.</w:t>
      </w:r>
    </w:p>
    <w:p w14:paraId="2A533C90">
      <w:pPr>
        <w:spacing w:after="0" w:line="355" w:lineRule="auto"/>
        <w:ind w:firstLine="709"/>
        <w:jc w:val="both"/>
        <w:rPr>
          <w:rFonts w:ascii="Times New Roman" w:hAnsi="Times New Roman" w:eastAsia="SchoolBookSanPin"/>
        </w:rPr>
      </w:pPr>
      <w:r>
        <w:rPr>
          <w:rFonts w:ascii="Times New Roman" w:hAnsi="Times New Roman" w:eastAsia="SchoolBookSanPin"/>
        </w:rPr>
        <w:t>Наблюдение за однородными членами предложения с союзами «и», «а», «но» и без союзов.</w:t>
      </w:r>
    </w:p>
    <w:p w14:paraId="5DD7F1C7">
      <w:pPr>
        <w:spacing w:after="0" w:line="355" w:lineRule="auto"/>
        <w:ind w:firstLine="709"/>
        <w:jc w:val="both"/>
        <w:rPr>
          <w:rFonts w:ascii="Times New Roman" w:hAnsi="Times New Roman" w:eastAsia="OfficinaSansBoldITC"/>
        </w:rPr>
      </w:pPr>
      <w:r>
        <w:rPr>
          <w:rFonts w:ascii="Times New Roman" w:hAnsi="Times New Roman" w:eastAsia="OfficinaSansBoldITC"/>
        </w:rPr>
        <w:t>2.8.8. Орфография и пунктуация.</w:t>
      </w:r>
    </w:p>
    <w:p w14:paraId="7195C9E1">
      <w:pPr>
        <w:spacing w:after="0" w:line="355" w:lineRule="auto"/>
        <w:ind w:firstLine="709"/>
        <w:jc w:val="both"/>
        <w:rPr>
          <w:rFonts w:ascii="Times New Roman" w:hAnsi="Times New Roman" w:eastAsia="SchoolBookSanPin"/>
        </w:rPr>
      </w:pPr>
      <w:r>
        <w:rPr>
          <w:rFonts w:ascii="Times New Roman" w:hAnsi="Times New Roman" w:eastAsia="SchoolBookSanPin"/>
        </w:rPr>
        <w:t>Орфографическая зоркость как осознание места возможного возникновения орфографической ошибки, различные способы решения орфографической задачи в зависимости от места орфограммы в слове; контроль и самоконтроль при проверке собственных и предложенных текстов (повторение и применение на новом орфографическом материале).</w:t>
      </w:r>
    </w:p>
    <w:p w14:paraId="2AD90B3A">
      <w:pPr>
        <w:spacing w:after="0" w:line="355" w:lineRule="auto"/>
        <w:ind w:firstLine="709"/>
        <w:jc w:val="both"/>
        <w:rPr>
          <w:rFonts w:ascii="Times New Roman" w:hAnsi="Times New Roman" w:eastAsia="SchoolBookSanPin"/>
        </w:rPr>
      </w:pPr>
      <w:r>
        <w:rPr>
          <w:rFonts w:ascii="Times New Roman" w:hAnsi="Times New Roman" w:eastAsia="SchoolBookSanPin"/>
        </w:rPr>
        <w:t>Использование орфографического словаря для определения (уточнения) написания слова.</w:t>
      </w:r>
    </w:p>
    <w:p w14:paraId="625FF179">
      <w:pPr>
        <w:spacing w:after="0" w:line="355" w:lineRule="auto"/>
        <w:ind w:firstLine="709"/>
        <w:jc w:val="both"/>
        <w:rPr>
          <w:rFonts w:ascii="Times New Roman" w:hAnsi="Times New Roman" w:eastAsia="SchoolBookSanPin"/>
        </w:rPr>
      </w:pPr>
      <w:r>
        <w:rPr>
          <w:rFonts w:ascii="Times New Roman" w:hAnsi="Times New Roman" w:eastAsia="SchoolBookSanPin"/>
        </w:rPr>
        <w:t>Правила правописания и их применение:</w:t>
      </w:r>
    </w:p>
    <w:p w14:paraId="7561E63B">
      <w:pPr>
        <w:spacing w:after="0" w:line="355" w:lineRule="auto"/>
        <w:ind w:firstLine="709"/>
        <w:jc w:val="both"/>
        <w:rPr>
          <w:rFonts w:ascii="Times New Roman" w:hAnsi="Times New Roman" w:eastAsia="SchoolBookSanPin"/>
        </w:rPr>
      </w:pPr>
      <w:r>
        <w:rPr>
          <w:rFonts w:ascii="Times New Roman" w:hAnsi="Times New Roman" w:eastAsia="SchoolBookSanPin"/>
        </w:rPr>
        <w:t>разделительный твёрдый знак;</w:t>
      </w:r>
    </w:p>
    <w:p w14:paraId="47723D17">
      <w:pPr>
        <w:spacing w:after="0" w:line="355" w:lineRule="auto"/>
        <w:ind w:firstLine="709"/>
        <w:jc w:val="both"/>
        <w:rPr>
          <w:rFonts w:ascii="Times New Roman" w:hAnsi="Times New Roman" w:eastAsia="SchoolBookSanPin"/>
        </w:rPr>
      </w:pPr>
      <w:r>
        <w:rPr>
          <w:rFonts w:ascii="Times New Roman" w:hAnsi="Times New Roman" w:eastAsia="SchoolBookSanPin"/>
        </w:rPr>
        <w:t>непроизносимые согласные в корне слова;</w:t>
      </w:r>
    </w:p>
    <w:p w14:paraId="672F8810">
      <w:pPr>
        <w:spacing w:after="0" w:line="355" w:lineRule="auto"/>
        <w:ind w:firstLine="709"/>
        <w:jc w:val="both"/>
        <w:rPr>
          <w:rFonts w:ascii="Times New Roman" w:hAnsi="Times New Roman" w:eastAsia="SchoolBookSanPin"/>
        </w:rPr>
      </w:pPr>
      <w:r>
        <w:rPr>
          <w:rFonts w:ascii="Times New Roman" w:hAnsi="Times New Roman" w:eastAsia="SchoolBookSanPin"/>
        </w:rPr>
        <w:t>мягкий знак после шипящих на конце имён существительных;</w:t>
      </w:r>
    </w:p>
    <w:p w14:paraId="524EB750">
      <w:pPr>
        <w:spacing w:after="0" w:line="355" w:lineRule="auto"/>
        <w:ind w:firstLine="709"/>
        <w:jc w:val="both"/>
        <w:rPr>
          <w:rFonts w:ascii="Times New Roman" w:hAnsi="Times New Roman" w:eastAsia="SchoolBookSanPin"/>
        </w:rPr>
      </w:pPr>
      <w:r>
        <w:rPr>
          <w:rFonts w:ascii="Times New Roman" w:hAnsi="Times New Roman" w:eastAsia="SchoolBookSanPin"/>
        </w:rPr>
        <w:t>безударные гласные в падежных окончаниях имён существительных (на уровне наблюдения);</w:t>
      </w:r>
    </w:p>
    <w:p w14:paraId="7500B26B">
      <w:pPr>
        <w:spacing w:after="0" w:line="355" w:lineRule="auto"/>
        <w:ind w:firstLine="709"/>
        <w:jc w:val="both"/>
        <w:rPr>
          <w:rFonts w:ascii="Times New Roman" w:hAnsi="Times New Roman" w:eastAsia="SchoolBookSanPin"/>
        </w:rPr>
      </w:pPr>
      <w:r>
        <w:rPr>
          <w:rFonts w:ascii="Times New Roman" w:hAnsi="Times New Roman" w:eastAsia="SchoolBookSanPin"/>
        </w:rPr>
        <w:t>безударные гласные в падежных окончаниях имён прилагательных (на уровне наблюдения);</w:t>
      </w:r>
    </w:p>
    <w:p w14:paraId="3B0E264E">
      <w:pPr>
        <w:spacing w:after="0" w:line="355" w:lineRule="auto"/>
        <w:ind w:firstLine="709"/>
        <w:jc w:val="both"/>
        <w:rPr>
          <w:rFonts w:ascii="Times New Roman" w:hAnsi="Times New Roman" w:eastAsia="SchoolBookSanPin"/>
        </w:rPr>
      </w:pPr>
      <w:r>
        <w:rPr>
          <w:rFonts w:ascii="Times New Roman" w:hAnsi="Times New Roman" w:eastAsia="SchoolBookSanPin"/>
        </w:rPr>
        <w:t>раздельное написание предлогов с личными местоимениями;</w:t>
      </w:r>
    </w:p>
    <w:p w14:paraId="74E3D504">
      <w:pPr>
        <w:spacing w:after="0" w:line="355" w:lineRule="auto"/>
        <w:ind w:firstLine="709"/>
        <w:jc w:val="both"/>
        <w:rPr>
          <w:rFonts w:ascii="Times New Roman" w:hAnsi="Times New Roman" w:eastAsia="SchoolBookSanPin"/>
        </w:rPr>
      </w:pPr>
      <w:r>
        <w:rPr>
          <w:rFonts w:ascii="Times New Roman" w:hAnsi="Times New Roman" w:eastAsia="SchoolBookSanPin"/>
        </w:rPr>
        <w:t>непроверяемые гласные и согласные (перечень слов в орфографическом словаре учебника);</w:t>
      </w:r>
    </w:p>
    <w:p w14:paraId="1F0DF321">
      <w:pPr>
        <w:spacing w:after="0" w:line="355" w:lineRule="auto"/>
        <w:ind w:firstLine="709"/>
        <w:jc w:val="both"/>
        <w:rPr>
          <w:rFonts w:ascii="Times New Roman" w:hAnsi="Times New Roman" w:eastAsia="SchoolBookSanPin"/>
        </w:rPr>
      </w:pPr>
      <w:r>
        <w:rPr>
          <w:rFonts w:ascii="Times New Roman" w:hAnsi="Times New Roman" w:eastAsia="SchoolBookSanPin"/>
        </w:rPr>
        <w:t>раздельное написание частицы не с глаголами.</w:t>
      </w:r>
    </w:p>
    <w:p w14:paraId="7958141C">
      <w:pPr>
        <w:spacing w:after="0" w:line="355" w:lineRule="auto"/>
        <w:ind w:firstLine="709"/>
        <w:jc w:val="both"/>
        <w:rPr>
          <w:rFonts w:ascii="Times New Roman" w:hAnsi="Times New Roman" w:eastAsia="OfficinaSansBoldITC"/>
        </w:rPr>
      </w:pPr>
      <w:r>
        <w:rPr>
          <w:rFonts w:ascii="Times New Roman" w:hAnsi="Times New Roman" w:eastAsia="OfficinaSansBoldITC"/>
        </w:rPr>
        <w:t>2.8.9. Развитие речи.</w:t>
      </w:r>
    </w:p>
    <w:p w14:paraId="53E54441">
      <w:pPr>
        <w:spacing w:after="0" w:line="355" w:lineRule="auto"/>
        <w:ind w:firstLine="709"/>
        <w:jc w:val="both"/>
        <w:rPr>
          <w:rFonts w:ascii="Times New Roman" w:hAnsi="Times New Roman" w:eastAsia="SchoolBookSanPin"/>
        </w:rPr>
      </w:pPr>
      <w:r>
        <w:rPr>
          <w:rFonts w:ascii="Times New Roman" w:hAnsi="Times New Roman" w:eastAsia="SchoolBookSanPin"/>
        </w:rPr>
        <w:t>Нормы речевого этикета: устное и письменное приглашение, просьба, извинение, благодарность, отказ и другие Соблюдение норм речевого этикета и орфоэпических норм в ситуациях учебного и бытового общения. Речевые средства, помогающие: формулировать и аргументировать собственное мнение в диалоге и дискуссии; договариваться и приходить к общему решению в совместной деятельности; контролировать (устно координировать) действия при проведении парной и групповой работы.</w:t>
      </w:r>
    </w:p>
    <w:p w14:paraId="586CFF49">
      <w:pPr>
        <w:spacing w:after="0" w:line="355" w:lineRule="auto"/>
        <w:ind w:firstLine="709"/>
        <w:jc w:val="both"/>
        <w:rPr>
          <w:rFonts w:ascii="Times New Roman" w:hAnsi="Times New Roman" w:eastAsia="SchoolBookSanPin"/>
        </w:rPr>
      </w:pPr>
      <w:r>
        <w:rPr>
          <w:rFonts w:ascii="Times New Roman" w:hAnsi="Times New Roman" w:eastAsia="SchoolBookSanPin"/>
        </w:rPr>
        <w:t>Особенности речевого этикета в условиях общения с людьми, плохо владеющими русским языком.</w:t>
      </w:r>
    </w:p>
    <w:p w14:paraId="1D604184">
      <w:pPr>
        <w:spacing w:after="0" w:line="355" w:lineRule="auto"/>
        <w:ind w:firstLine="709"/>
        <w:jc w:val="both"/>
        <w:rPr>
          <w:rFonts w:ascii="Times New Roman" w:hAnsi="Times New Roman" w:eastAsia="SchoolBookSanPin"/>
        </w:rPr>
      </w:pPr>
      <w:r>
        <w:rPr>
          <w:rFonts w:ascii="Times New Roman" w:hAnsi="Times New Roman" w:eastAsia="SchoolBookSanPin"/>
        </w:rPr>
        <w:t>Повторение и продолжение работы с текстом, начатой во 2 классе: признаки текста, тема текста, основная мысль текста, заголовок, корректирование текстов с нарушенным порядком предложений и абзацев.</w:t>
      </w:r>
    </w:p>
    <w:p w14:paraId="0A98D391">
      <w:pPr>
        <w:spacing w:after="0" w:line="355" w:lineRule="auto"/>
        <w:ind w:firstLine="709"/>
        <w:jc w:val="both"/>
        <w:rPr>
          <w:rFonts w:ascii="Times New Roman" w:hAnsi="Times New Roman" w:eastAsia="SchoolBookSanPin"/>
        </w:rPr>
      </w:pPr>
      <w:r>
        <w:rPr>
          <w:rFonts w:ascii="Times New Roman" w:hAnsi="Times New Roman" w:eastAsia="SchoolBookSanPin"/>
        </w:rPr>
        <w:t>План текста. Составление плана текста, написание текста по заданному плану. Связь предложений в тексте с помощью личных местоимений, синонимов, союзов «и», «а», «но». Ключевые слова в тексте.</w:t>
      </w:r>
    </w:p>
    <w:p w14:paraId="40E48FE4">
      <w:pPr>
        <w:spacing w:after="0" w:line="355" w:lineRule="auto"/>
        <w:ind w:firstLine="709"/>
        <w:jc w:val="both"/>
        <w:rPr>
          <w:rFonts w:ascii="Times New Roman" w:hAnsi="Times New Roman" w:eastAsia="SchoolBookSanPin"/>
        </w:rPr>
      </w:pPr>
      <w:r>
        <w:rPr>
          <w:rFonts w:ascii="Times New Roman" w:hAnsi="Times New Roman" w:eastAsia="SchoolBookSanPin"/>
        </w:rPr>
        <w:t>Определение типов текстов (повествование, описание, рассуждение) и создание собственных текстов заданного типа.</w:t>
      </w:r>
    </w:p>
    <w:p w14:paraId="6A6888EE">
      <w:pPr>
        <w:spacing w:after="0" w:line="355" w:lineRule="auto"/>
        <w:ind w:firstLine="709"/>
        <w:jc w:val="both"/>
        <w:rPr>
          <w:rFonts w:ascii="Times New Roman" w:hAnsi="Times New Roman" w:eastAsia="SchoolBookSanPin"/>
        </w:rPr>
      </w:pPr>
      <w:r>
        <w:rPr>
          <w:rFonts w:ascii="Times New Roman" w:hAnsi="Times New Roman" w:eastAsia="SchoolBookSanPin"/>
        </w:rPr>
        <w:t>Жанр письма, объявления.</w:t>
      </w:r>
    </w:p>
    <w:p w14:paraId="40B3C856">
      <w:pPr>
        <w:spacing w:after="0" w:line="355" w:lineRule="auto"/>
        <w:ind w:firstLine="709"/>
        <w:jc w:val="both"/>
        <w:rPr>
          <w:rFonts w:ascii="Times New Roman" w:hAnsi="Times New Roman" w:eastAsia="SchoolBookSanPin"/>
        </w:rPr>
      </w:pPr>
      <w:r>
        <w:rPr>
          <w:rFonts w:ascii="Times New Roman" w:hAnsi="Times New Roman" w:eastAsia="SchoolBookSanPin"/>
        </w:rPr>
        <w:t>Изложение текста по коллективно или самостоятельно составленному плану.</w:t>
      </w:r>
    </w:p>
    <w:p w14:paraId="0B7EBA51">
      <w:pPr>
        <w:spacing w:after="0" w:line="355" w:lineRule="auto"/>
        <w:ind w:firstLine="709"/>
        <w:jc w:val="both"/>
        <w:rPr>
          <w:rFonts w:ascii="Times New Roman" w:hAnsi="Times New Roman" w:eastAsia="SchoolBookSanPin"/>
        </w:rPr>
      </w:pPr>
      <w:r>
        <w:rPr>
          <w:rFonts w:ascii="Times New Roman" w:hAnsi="Times New Roman" w:eastAsia="SchoolBookSanPin"/>
        </w:rPr>
        <w:t>Изучающее чтение. Функции ознакомительного чтения, ситуации применения.</w:t>
      </w:r>
    </w:p>
    <w:p w14:paraId="30FF821A">
      <w:pPr>
        <w:spacing w:after="0" w:line="355" w:lineRule="auto"/>
        <w:ind w:firstLine="709"/>
        <w:jc w:val="both"/>
        <w:rPr>
          <w:rFonts w:ascii="Times New Roman" w:hAnsi="Times New Roman" w:eastAsia="SchoolBookSanPin"/>
          <w:bCs/>
        </w:rPr>
      </w:pPr>
      <w:r>
        <w:rPr>
          <w:rFonts w:ascii="Times New Roman" w:hAnsi="Times New Roman" w:eastAsia="SchoolBookSanPin"/>
        </w:rPr>
        <w:t>2.8.10. Изучение русского языка в 3 классе позволяет организовать работу над рядом метапредметных результатов: познавательных универсальных учебных действий, коммуникативных универсальных учебных действий, регулятивных универсальных учебных действий, совместной деятельности.</w:t>
      </w:r>
    </w:p>
    <w:p w14:paraId="34C706F0">
      <w:pPr>
        <w:spacing w:after="0" w:line="355" w:lineRule="auto"/>
        <w:ind w:firstLine="709"/>
        <w:jc w:val="both"/>
        <w:rPr>
          <w:rFonts w:ascii="Times New Roman" w:hAnsi="Times New Roman" w:eastAsia="SchoolBookSanPin"/>
        </w:rPr>
      </w:pPr>
      <w:r>
        <w:rPr>
          <w:rFonts w:ascii="Times New Roman" w:hAnsi="Times New Roman" w:eastAsia="OfficinaSansBoldITC"/>
        </w:rPr>
        <w:t>2.8.10.1. </w:t>
      </w:r>
      <w:r>
        <w:rPr>
          <w:rFonts w:ascii="Times New Roman" w:hAnsi="Times New Roman" w:eastAsia="SchoolBookSanPin"/>
        </w:rPr>
        <w:t xml:space="preserve">Базовые логические действия как часть </w:t>
      </w:r>
      <w:r>
        <w:rPr>
          <w:rFonts w:ascii="Times New Roman" w:hAnsi="Times New Roman" w:eastAsia="SchoolBookSanPin"/>
          <w:bCs/>
        </w:rPr>
        <w:t>познавательных универсальных учебных действий</w:t>
      </w:r>
      <w:r>
        <w:rPr>
          <w:rFonts w:ascii="Times New Roman" w:hAnsi="Times New Roman" w:eastAsia="SchoolBookSanPin"/>
        </w:rPr>
        <w:t>:</w:t>
      </w:r>
    </w:p>
    <w:p w14:paraId="2B6EE8BA">
      <w:pPr>
        <w:spacing w:after="0" w:line="355" w:lineRule="auto"/>
        <w:ind w:firstLine="709"/>
        <w:jc w:val="both"/>
        <w:rPr>
          <w:rFonts w:ascii="Times New Roman" w:hAnsi="Times New Roman" w:eastAsia="SchoolBookSanPin"/>
        </w:rPr>
      </w:pPr>
      <w:r>
        <w:rPr>
          <w:rFonts w:ascii="Times New Roman" w:hAnsi="Times New Roman" w:eastAsia="SchoolBookSanPin"/>
        </w:rPr>
        <w:t>сравнивать грамматические признаки разных частей речи: выделять общие и различные грамматические признаки;</w:t>
      </w:r>
    </w:p>
    <w:p w14:paraId="0F63EAB0">
      <w:pPr>
        <w:spacing w:after="0" w:line="355" w:lineRule="auto"/>
        <w:ind w:firstLine="709"/>
        <w:jc w:val="both"/>
        <w:rPr>
          <w:rFonts w:ascii="Times New Roman" w:hAnsi="Times New Roman" w:eastAsia="SchoolBookSanPin"/>
        </w:rPr>
      </w:pPr>
      <w:r>
        <w:rPr>
          <w:rFonts w:ascii="Times New Roman" w:hAnsi="Times New Roman" w:eastAsia="SchoolBookSanPin"/>
        </w:rPr>
        <w:t>сравнивать тему и основную мысль текста;</w:t>
      </w:r>
    </w:p>
    <w:p w14:paraId="27F71822">
      <w:pPr>
        <w:spacing w:after="0" w:line="355" w:lineRule="auto"/>
        <w:ind w:firstLine="709"/>
        <w:jc w:val="both"/>
        <w:rPr>
          <w:rFonts w:ascii="Times New Roman" w:hAnsi="Times New Roman" w:eastAsia="SchoolBookSanPin"/>
        </w:rPr>
      </w:pPr>
      <w:r>
        <w:rPr>
          <w:rFonts w:ascii="Times New Roman" w:hAnsi="Times New Roman" w:eastAsia="SchoolBookSanPin"/>
        </w:rPr>
        <w:t xml:space="preserve">сравнивать типы текстов (повествование, описание, рассуждение): выделять особенности каждого типа текста; </w:t>
      </w:r>
    </w:p>
    <w:p w14:paraId="0E71C184">
      <w:pPr>
        <w:spacing w:after="0" w:line="355" w:lineRule="auto"/>
        <w:ind w:firstLine="709"/>
        <w:jc w:val="both"/>
        <w:rPr>
          <w:rFonts w:ascii="Times New Roman" w:hAnsi="Times New Roman" w:eastAsia="SchoolBookSanPin"/>
        </w:rPr>
      </w:pPr>
      <w:r>
        <w:rPr>
          <w:rFonts w:ascii="Times New Roman" w:hAnsi="Times New Roman" w:eastAsia="SchoolBookSanPin"/>
        </w:rPr>
        <w:t>сравнивать прямое и переносное значение слова;</w:t>
      </w:r>
    </w:p>
    <w:p w14:paraId="66B06406">
      <w:pPr>
        <w:spacing w:after="0" w:line="355" w:lineRule="auto"/>
        <w:ind w:firstLine="709"/>
        <w:jc w:val="both"/>
        <w:rPr>
          <w:rFonts w:ascii="Times New Roman" w:hAnsi="Times New Roman" w:eastAsia="SchoolBookSanPin"/>
        </w:rPr>
      </w:pPr>
      <w:r>
        <w:rPr>
          <w:rFonts w:ascii="Times New Roman" w:hAnsi="Times New Roman" w:eastAsia="SchoolBookSanPin"/>
        </w:rPr>
        <w:t>группировать слова на основании того, какой частью речи они являются;</w:t>
      </w:r>
    </w:p>
    <w:p w14:paraId="423F34A9">
      <w:pPr>
        <w:spacing w:after="0" w:line="355" w:lineRule="auto"/>
        <w:ind w:firstLine="709"/>
        <w:jc w:val="both"/>
        <w:rPr>
          <w:rFonts w:ascii="Times New Roman" w:hAnsi="Times New Roman" w:eastAsia="SchoolBookSanPin"/>
        </w:rPr>
      </w:pPr>
      <w:r>
        <w:rPr>
          <w:rFonts w:ascii="Times New Roman" w:hAnsi="Times New Roman" w:eastAsia="SchoolBookSanPin"/>
        </w:rPr>
        <w:t>объединять имена существительные в группы по определённому грамматическому признаку (например, род или число), самостоятельно находить возможный признак группировки;</w:t>
      </w:r>
    </w:p>
    <w:p w14:paraId="7BCB1317">
      <w:pPr>
        <w:spacing w:after="0" w:line="355" w:lineRule="auto"/>
        <w:ind w:firstLine="709"/>
        <w:jc w:val="both"/>
        <w:rPr>
          <w:rFonts w:ascii="Times New Roman" w:hAnsi="Times New Roman" w:eastAsia="SchoolBookSanPin"/>
        </w:rPr>
      </w:pPr>
      <w:r>
        <w:rPr>
          <w:rFonts w:ascii="Times New Roman" w:hAnsi="Times New Roman" w:eastAsia="SchoolBookSanPin"/>
        </w:rPr>
        <w:t>определять существенный признак для классификации звуков, предложений;</w:t>
      </w:r>
    </w:p>
    <w:p w14:paraId="6C98CA74">
      <w:pPr>
        <w:spacing w:after="0" w:line="355" w:lineRule="auto"/>
        <w:ind w:firstLine="709"/>
        <w:jc w:val="both"/>
        <w:rPr>
          <w:rFonts w:ascii="Times New Roman" w:hAnsi="Times New Roman" w:eastAsia="SchoolBookSanPin"/>
        </w:rPr>
      </w:pPr>
      <w:r>
        <w:rPr>
          <w:rFonts w:ascii="Times New Roman" w:hAnsi="Times New Roman" w:eastAsia="SchoolBookSanPin"/>
        </w:rPr>
        <w:t>ориентироваться в изученных понятиях (подлежащее, сказуемое, второстепенные члены предложения, часть речи, склонение) и соотносить понятие с его краткой характеристикой.</w:t>
      </w:r>
    </w:p>
    <w:p w14:paraId="7FDF06BA">
      <w:pPr>
        <w:spacing w:after="0" w:line="355" w:lineRule="auto"/>
        <w:ind w:firstLine="709"/>
        <w:jc w:val="both"/>
        <w:rPr>
          <w:rFonts w:ascii="Times New Roman" w:hAnsi="Times New Roman" w:eastAsia="SchoolBookSanPin"/>
        </w:rPr>
      </w:pPr>
      <w:r>
        <w:rPr>
          <w:rFonts w:ascii="Times New Roman" w:hAnsi="Times New Roman" w:eastAsia="OfficinaSansBoldITC"/>
        </w:rPr>
        <w:t>2.8.10.2. </w:t>
      </w:r>
      <w:r>
        <w:rPr>
          <w:rFonts w:ascii="Times New Roman" w:hAnsi="Times New Roman" w:eastAsia="SchoolBookSanPin"/>
        </w:rPr>
        <w:t xml:space="preserve">Базовые исследовательские действия как часть </w:t>
      </w:r>
      <w:r>
        <w:rPr>
          <w:rFonts w:ascii="Times New Roman" w:hAnsi="Times New Roman" w:eastAsia="SchoolBookSanPin"/>
          <w:bCs/>
        </w:rPr>
        <w:t>познавательных универсальных учебных действий</w:t>
      </w:r>
      <w:r>
        <w:rPr>
          <w:rFonts w:ascii="Times New Roman" w:hAnsi="Times New Roman" w:eastAsia="SchoolBookSanPin"/>
        </w:rPr>
        <w:t>:</w:t>
      </w:r>
    </w:p>
    <w:p w14:paraId="0ABA900A">
      <w:pPr>
        <w:spacing w:after="0" w:line="355" w:lineRule="auto"/>
        <w:ind w:firstLine="709"/>
        <w:jc w:val="both"/>
        <w:rPr>
          <w:rFonts w:ascii="Times New Roman" w:hAnsi="Times New Roman" w:eastAsia="SchoolBookSanPin"/>
        </w:rPr>
      </w:pPr>
      <w:r>
        <w:rPr>
          <w:rFonts w:ascii="Times New Roman" w:hAnsi="Times New Roman" w:eastAsia="SchoolBookSanPin"/>
        </w:rPr>
        <w:t>определять разрыв между реальным и желательным качеством текста на основе предложенных учителем критериев;</w:t>
      </w:r>
    </w:p>
    <w:p w14:paraId="1046C1E7">
      <w:pPr>
        <w:spacing w:after="0" w:line="355" w:lineRule="auto"/>
        <w:ind w:firstLine="709"/>
        <w:jc w:val="both"/>
        <w:rPr>
          <w:rFonts w:ascii="Times New Roman" w:hAnsi="Times New Roman" w:eastAsia="SchoolBookSanPin"/>
        </w:rPr>
      </w:pPr>
      <w:r>
        <w:rPr>
          <w:rFonts w:ascii="Times New Roman" w:hAnsi="Times New Roman" w:eastAsia="SchoolBookSanPin"/>
        </w:rPr>
        <w:t>с помощью учителя формулировать цель изменения текста, планировать действия по изменению текста;</w:t>
      </w:r>
    </w:p>
    <w:p w14:paraId="79E23D49">
      <w:pPr>
        <w:spacing w:after="0" w:line="355" w:lineRule="auto"/>
        <w:ind w:firstLine="709"/>
        <w:jc w:val="both"/>
        <w:rPr>
          <w:rFonts w:ascii="Times New Roman" w:hAnsi="Times New Roman" w:eastAsia="SchoolBookSanPin"/>
        </w:rPr>
      </w:pPr>
      <w:r>
        <w:rPr>
          <w:rFonts w:ascii="Times New Roman" w:hAnsi="Times New Roman" w:eastAsia="SchoolBookSanPin"/>
        </w:rPr>
        <w:t>высказывать предположение в процессе наблюдения за языковым материалом;</w:t>
      </w:r>
    </w:p>
    <w:p w14:paraId="52BDC25D">
      <w:pPr>
        <w:spacing w:after="0" w:line="355" w:lineRule="auto"/>
        <w:ind w:firstLine="709"/>
        <w:jc w:val="both"/>
        <w:rPr>
          <w:rFonts w:ascii="Times New Roman" w:hAnsi="Times New Roman" w:eastAsia="SchoolBookSanPin"/>
        </w:rPr>
      </w:pPr>
      <w:r>
        <w:rPr>
          <w:rFonts w:ascii="Times New Roman" w:hAnsi="Times New Roman" w:eastAsia="SchoolBookSanPin"/>
        </w:rPr>
        <w:t>проводить по предложенному плану несложное лингвистическое мини­исследование, выполнять по предложенному плану проектное задание;</w:t>
      </w:r>
    </w:p>
    <w:p w14:paraId="552C1FBB">
      <w:pPr>
        <w:spacing w:after="0" w:line="355" w:lineRule="auto"/>
        <w:ind w:firstLine="709"/>
        <w:jc w:val="both"/>
        <w:rPr>
          <w:rFonts w:ascii="Times New Roman" w:hAnsi="Times New Roman" w:eastAsia="SchoolBookSanPin"/>
        </w:rPr>
      </w:pPr>
      <w:r>
        <w:rPr>
          <w:rFonts w:ascii="Times New Roman" w:hAnsi="Times New Roman" w:eastAsia="SchoolBookSanPin"/>
        </w:rPr>
        <w:t>формулировать выводы об особенностях каждого из трёх типов текстов, подкреплять их доказательствами на основе результатов проведенного наблюдения;</w:t>
      </w:r>
    </w:p>
    <w:p w14:paraId="1CD64E15">
      <w:pPr>
        <w:spacing w:after="0" w:line="355" w:lineRule="auto"/>
        <w:ind w:firstLine="709"/>
        <w:jc w:val="both"/>
        <w:rPr>
          <w:rFonts w:ascii="Times New Roman" w:hAnsi="Times New Roman" w:eastAsia="SchoolBookSanPin"/>
        </w:rPr>
      </w:pPr>
      <w:r>
        <w:rPr>
          <w:rFonts w:ascii="Times New Roman" w:hAnsi="Times New Roman" w:eastAsia="SchoolBookSanPin"/>
        </w:rPr>
        <w:t>выбирать наиболее подходящий для данной ситуации тип текста (на основе предложенных критериев).</w:t>
      </w:r>
    </w:p>
    <w:p w14:paraId="6971D9DB">
      <w:pPr>
        <w:spacing w:after="0" w:line="355" w:lineRule="auto"/>
        <w:ind w:firstLine="709"/>
        <w:jc w:val="both"/>
        <w:rPr>
          <w:rFonts w:ascii="Times New Roman" w:hAnsi="Times New Roman" w:eastAsia="SchoolBookSanPin"/>
        </w:rPr>
      </w:pPr>
      <w:r>
        <w:rPr>
          <w:rFonts w:ascii="Times New Roman" w:hAnsi="Times New Roman" w:eastAsia="OfficinaSansBoldITC"/>
        </w:rPr>
        <w:t>2.8.10.3. </w:t>
      </w:r>
      <w:r>
        <w:rPr>
          <w:rFonts w:ascii="Times New Roman" w:hAnsi="Times New Roman" w:eastAsia="SchoolBookSanPin"/>
        </w:rPr>
        <w:t xml:space="preserve">Работа с информацией как часть </w:t>
      </w:r>
      <w:r>
        <w:rPr>
          <w:rFonts w:ascii="Times New Roman" w:hAnsi="Times New Roman" w:eastAsia="SchoolBookSanPin"/>
          <w:bCs/>
        </w:rPr>
        <w:t>познавательных универсальных учебных действий</w:t>
      </w:r>
      <w:r>
        <w:rPr>
          <w:rFonts w:ascii="Times New Roman" w:hAnsi="Times New Roman" w:eastAsia="SchoolBookSanPin"/>
        </w:rPr>
        <w:t>:</w:t>
      </w:r>
    </w:p>
    <w:p w14:paraId="113F1CCF">
      <w:pPr>
        <w:spacing w:after="0" w:line="355" w:lineRule="auto"/>
        <w:ind w:firstLine="709"/>
        <w:jc w:val="both"/>
        <w:rPr>
          <w:rFonts w:ascii="Times New Roman" w:hAnsi="Times New Roman" w:eastAsia="SchoolBookSanPin"/>
        </w:rPr>
      </w:pPr>
      <w:r>
        <w:rPr>
          <w:rFonts w:ascii="Times New Roman" w:hAnsi="Times New Roman" w:eastAsia="SchoolBookSanPin"/>
        </w:rPr>
        <w:t>выбирать источник получения информации при выполнении мини­исследования;</w:t>
      </w:r>
    </w:p>
    <w:p w14:paraId="4ABD6416">
      <w:pPr>
        <w:spacing w:after="0" w:line="355" w:lineRule="auto"/>
        <w:ind w:firstLine="709"/>
        <w:jc w:val="both"/>
        <w:rPr>
          <w:rFonts w:ascii="Times New Roman" w:hAnsi="Times New Roman" w:eastAsia="SchoolBookSanPin"/>
        </w:rPr>
      </w:pPr>
      <w:r>
        <w:rPr>
          <w:rFonts w:ascii="Times New Roman" w:hAnsi="Times New Roman" w:eastAsia="SchoolBookSanPin"/>
        </w:rPr>
        <w:t>анализировать текстовую, графическую, звуковую информацию в соответствии с учебной задачей;</w:t>
      </w:r>
    </w:p>
    <w:p w14:paraId="3D6DD9AA">
      <w:pPr>
        <w:spacing w:after="0" w:line="355" w:lineRule="auto"/>
        <w:ind w:firstLine="709"/>
        <w:jc w:val="both"/>
        <w:rPr>
          <w:rFonts w:ascii="Times New Roman" w:hAnsi="Times New Roman" w:eastAsia="SchoolBookSanPin"/>
        </w:rPr>
      </w:pPr>
      <w:r>
        <w:rPr>
          <w:rFonts w:ascii="Times New Roman" w:hAnsi="Times New Roman" w:eastAsia="SchoolBookSanPin"/>
        </w:rPr>
        <w:t>самостоятельно создавать схемы, таблицы для представления информации как результата наблюдения за языковыми единицами.</w:t>
      </w:r>
    </w:p>
    <w:p w14:paraId="1FFE2DF4">
      <w:pPr>
        <w:spacing w:after="0" w:line="355" w:lineRule="auto"/>
        <w:ind w:firstLine="709"/>
        <w:jc w:val="both"/>
        <w:rPr>
          <w:rFonts w:ascii="Times New Roman" w:hAnsi="Times New Roman" w:eastAsia="SchoolBookSanPin"/>
        </w:rPr>
      </w:pPr>
      <w:r>
        <w:rPr>
          <w:rFonts w:ascii="Times New Roman" w:hAnsi="Times New Roman" w:eastAsia="OfficinaSansBoldITC"/>
        </w:rPr>
        <w:t>2.8.10.4. </w:t>
      </w:r>
      <w:r>
        <w:rPr>
          <w:rFonts w:ascii="Times New Roman" w:hAnsi="Times New Roman" w:eastAsia="SchoolBookSanPin"/>
        </w:rPr>
        <w:t xml:space="preserve">Общение как часть </w:t>
      </w:r>
      <w:r>
        <w:rPr>
          <w:rFonts w:ascii="Times New Roman" w:hAnsi="Times New Roman" w:eastAsia="SchoolBookSanPin"/>
          <w:bCs/>
        </w:rPr>
        <w:t>коммуникативных универсальных учебных действий</w:t>
      </w:r>
      <w:r>
        <w:rPr>
          <w:rFonts w:ascii="Times New Roman" w:hAnsi="Times New Roman" w:eastAsia="SchoolBookSanPin"/>
        </w:rPr>
        <w:t>:</w:t>
      </w:r>
    </w:p>
    <w:p w14:paraId="0EAD18FC">
      <w:pPr>
        <w:spacing w:after="0" w:line="355" w:lineRule="auto"/>
        <w:ind w:firstLine="709"/>
        <w:jc w:val="both"/>
        <w:rPr>
          <w:rFonts w:ascii="Times New Roman" w:hAnsi="Times New Roman" w:eastAsia="SchoolBookSanPin"/>
        </w:rPr>
      </w:pPr>
      <w:r>
        <w:rPr>
          <w:rFonts w:ascii="Times New Roman" w:hAnsi="Times New Roman" w:eastAsia="SchoolBookSanPin"/>
        </w:rPr>
        <w:t>строить речевое высказывание в соответствии с поставленной задачей;</w:t>
      </w:r>
    </w:p>
    <w:p w14:paraId="1E1B42CE">
      <w:pPr>
        <w:spacing w:after="0" w:line="355" w:lineRule="auto"/>
        <w:ind w:firstLine="709"/>
        <w:jc w:val="both"/>
        <w:rPr>
          <w:rFonts w:ascii="Times New Roman" w:hAnsi="Times New Roman" w:eastAsia="SchoolBookSanPin"/>
        </w:rPr>
      </w:pPr>
      <w:r>
        <w:rPr>
          <w:rFonts w:ascii="Times New Roman" w:hAnsi="Times New Roman" w:eastAsia="SchoolBookSanPin"/>
        </w:rPr>
        <w:t>создавать устные и письменные тексты (описание, рассуждение, повествование), соответствующие ситуации общения;</w:t>
      </w:r>
    </w:p>
    <w:p w14:paraId="07EF6D3E">
      <w:pPr>
        <w:spacing w:after="0" w:line="355" w:lineRule="auto"/>
        <w:ind w:firstLine="709"/>
        <w:jc w:val="both"/>
        <w:rPr>
          <w:rFonts w:ascii="Times New Roman" w:hAnsi="Times New Roman" w:eastAsia="SchoolBookSanPin"/>
        </w:rPr>
      </w:pPr>
      <w:r>
        <w:rPr>
          <w:rFonts w:ascii="Times New Roman" w:hAnsi="Times New Roman" w:eastAsia="SchoolBookSanPin"/>
        </w:rPr>
        <w:t>подготавливать небольшие выступления о результатах групповой работы, наблюдения, выполненного мини­исследования, проектного задания;</w:t>
      </w:r>
    </w:p>
    <w:p w14:paraId="7B039090">
      <w:pPr>
        <w:spacing w:after="0" w:line="355" w:lineRule="auto"/>
        <w:ind w:firstLine="709"/>
        <w:jc w:val="both"/>
        <w:rPr>
          <w:rFonts w:ascii="Times New Roman" w:hAnsi="Times New Roman" w:eastAsia="SchoolBookSanPin"/>
        </w:rPr>
      </w:pPr>
      <w:r>
        <w:rPr>
          <w:rFonts w:ascii="Times New Roman" w:hAnsi="Times New Roman" w:eastAsia="SchoolBookSanPin"/>
        </w:rPr>
        <w:t>создавать небольшие устные и письменные тексты, содержащие приглашение, просьбу, извинение, благодарность, отказ, с использованием норм речевого этикета.</w:t>
      </w:r>
    </w:p>
    <w:p w14:paraId="7C560BA2">
      <w:pPr>
        <w:spacing w:after="0" w:line="355" w:lineRule="auto"/>
        <w:ind w:firstLine="709"/>
        <w:jc w:val="both"/>
        <w:rPr>
          <w:rFonts w:ascii="Times New Roman" w:hAnsi="Times New Roman" w:eastAsia="SchoolBookSanPin"/>
        </w:rPr>
      </w:pPr>
      <w:r>
        <w:rPr>
          <w:rFonts w:ascii="Times New Roman" w:hAnsi="Times New Roman" w:eastAsia="OfficinaSansBoldITC"/>
        </w:rPr>
        <w:t>2.8.10.5. </w:t>
      </w:r>
      <w:r>
        <w:rPr>
          <w:rFonts w:ascii="Times New Roman" w:hAnsi="Times New Roman" w:eastAsia="SchoolBookSanPin"/>
        </w:rPr>
        <w:t xml:space="preserve">Самоорганизация как часть </w:t>
      </w:r>
      <w:r>
        <w:rPr>
          <w:rFonts w:ascii="Times New Roman" w:hAnsi="Times New Roman" w:eastAsia="SchoolBookSanPin"/>
          <w:bCs/>
        </w:rPr>
        <w:t>регулятивных универсальных учебных действий</w:t>
      </w:r>
      <w:r>
        <w:rPr>
          <w:rFonts w:ascii="Times New Roman" w:hAnsi="Times New Roman" w:eastAsia="SchoolBookSanPin"/>
        </w:rPr>
        <w:t>:</w:t>
      </w:r>
    </w:p>
    <w:p w14:paraId="24B10107">
      <w:pPr>
        <w:spacing w:after="0" w:line="355" w:lineRule="auto"/>
        <w:ind w:firstLine="709"/>
        <w:jc w:val="both"/>
        <w:rPr>
          <w:rFonts w:ascii="Times New Roman" w:hAnsi="Times New Roman" w:eastAsia="SchoolBookSanPin"/>
        </w:rPr>
      </w:pPr>
      <w:r>
        <w:rPr>
          <w:rFonts w:ascii="Times New Roman" w:hAnsi="Times New Roman" w:eastAsia="SchoolBookSanPin"/>
        </w:rPr>
        <w:t xml:space="preserve">планировать действия по решению орфографической задачи; </w:t>
      </w:r>
    </w:p>
    <w:p w14:paraId="16B16A00">
      <w:pPr>
        <w:spacing w:after="0" w:line="355" w:lineRule="auto"/>
        <w:ind w:firstLine="709"/>
        <w:jc w:val="both"/>
        <w:rPr>
          <w:rFonts w:ascii="Times New Roman" w:hAnsi="Times New Roman" w:eastAsia="SchoolBookSanPin"/>
        </w:rPr>
      </w:pPr>
      <w:r>
        <w:rPr>
          <w:rFonts w:ascii="Times New Roman" w:hAnsi="Times New Roman" w:eastAsia="SchoolBookSanPin"/>
        </w:rPr>
        <w:t>выстраивать последовательность выбранных действий.</w:t>
      </w:r>
    </w:p>
    <w:p w14:paraId="6D31B964">
      <w:pPr>
        <w:spacing w:after="0" w:line="355" w:lineRule="auto"/>
        <w:ind w:firstLine="709"/>
        <w:jc w:val="both"/>
        <w:rPr>
          <w:rFonts w:ascii="Times New Roman" w:hAnsi="Times New Roman" w:eastAsia="SchoolBookSanPin"/>
        </w:rPr>
      </w:pPr>
      <w:r>
        <w:rPr>
          <w:rFonts w:ascii="Times New Roman" w:hAnsi="Times New Roman" w:eastAsia="OfficinaSansBoldITC"/>
        </w:rPr>
        <w:t>2.8.10.6. </w:t>
      </w:r>
      <w:r>
        <w:rPr>
          <w:rFonts w:ascii="Times New Roman" w:hAnsi="Times New Roman" w:eastAsia="SchoolBookSanPin"/>
        </w:rPr>
        <w:t xml:space="preserve">Самоконтроль как часть </w:t>
      </w:r>
      <w:r>
        <w:rPr>
          <w:rFonts w:ascii="Times New Roman" w:hAnsi="Times New Roman" w:eastAsia="SchoolBookSanPin"/>
          <w:bCs/>
        </w:rPr>
        <w:t>регулятивных универсальных учебных действий</w:t>
      </w:r>
      <w:r>
        <w:rPr>
          <w:rFonts w:ascii="Times New Roman" w:hAnsi="Times New Roman" w:eastAsia="SchoolBookSanPin"/>
        </w:rPr>
        <w:t>:</w:t>
      </w:r>
    </w:p>
    <w:p w14:paraId="01F5AEE1">
      <w:pPr>
        <w:spacing w:after="0" w:line="355" w:lineRule="auto"/>
        <w:ind w:firstLine="709"/>
        <w:jc w:val="both"/>
        <w:rPr>
          <w:rFonts w:ascii="Times New Roman" w:hAnsi="Times New Roman" w:eastAsia="SchoolBookSanPin"/>
        </w:rPr>
      </w:pPr>
      <w:r>
        <w:rPr>
          <w:rFonts w:ascii="Times New Roman" w:hAnsi="Times New Roman" w:eastAsia="SchoolBookSanPin"/>
        </w:rPr>
        <w:t>устанавливать причины успеха (неудач) при выполнении заданий по русскому языку;</w:t>
      </w:r>
    </w:p>
    <w:p w14:paraId="62C39F54">
      <w:pPr>
        <w:spacing w:after="0" w:line="355" w:lineRule="auto"/>
        <w:ind w:firstLine="709"/>
        <w:jc w:val="both"/>
        <w:rPr>
          <w:rFonts w:ascii="Times New Roman" w:hAnsi="Times New Roman" w:eastAsia="SchoolBookSanPin"/>
        </w:rPr>
      </w:pPr>
      <w:r>
        <w:rPr>
          <w:rFonts w:ascii="Times New Roman" w:hAnsi="Times New Roman" w:eastAsia="SchoolBookSanPin"/>
        </w:rPr>
        <w:t>корректировать с помощью учителя свои учебные действия для преодоления ошибок при выделении в слове корня и окончания, при определении части речи, члена предложения при списывании текстов и записи под диктовку.</w:t>
      </w:r>
    </w:p>
    <w:p w14:paraId="6A5788B7">
      <w:pPr>
        <w:spacing w:after="0" w:line="355" w:lineRule="auto"/>
        <w:ind w:firstLine="709"/>
        <w:jc w:val="both"/>
        <w:rPr>
          <w:rFonts w:ascii="Times New Roman" w:hAnsi="Times New Roman" w:eastAsia="SchoolBookSanPin"/>
        </w:rPr>
      </w:pPr>
      <w:r>
        <w:rPr>
          <w:rFonts w:ascii="Times New Roman" w:hAnsi="Times New Roman" w:eastAsia="OfficinaSansBoldITC"/>
        </w:rPr>
        <w:t>2.8.10.7. </w:t>
      </w:r>
      <w:r>
        <w:rPr>
          <w:rFonts w:ascii="Times New Roman" w:hAnsi="Times New Roman" w:eastAsia="SchoolBookSanPin"/>
          <w:bCs/>
        </w:rPr>
        <w:t>Совместная деятельность</w:t>
      </w:r>
      <w:r>
        <w:rPr>
          <w:rFonts w:ascii="Times New Roman" w:hAnsi="Times New Roman" w:eastAsia="SchoolBookSanPin"/>
        </w:rPr>
        <w:t>:</w:t>
      </w:r>
    </w:p>
    <w:p w14:paraId="7BB7DA65">
      <w:pPr>
        <w:spacing w:after="0" w:line="355" w:lineRule="auto"/>
        <w:ind w:firstLine="709"/>
        <w:jc w:val="both"/>
        <w:rPr>
          <w:rFonts w:ascii="Times New Roman" w:hAnsi="Times New Roman" w:eastAsia="SchoolBookSanPin"/>
        </w:rPr>
      </w:pPr>
      <w:r>
        <w:rPr>
          <w:rFonts w:ascii="Times New Roman" w:hAnsi="Times New Roman" w:eastAsia="SchoolBookSanPin"/>
        </w:rPr>
        <w:t>формулировать краткосрочные и долгосрочные цели (индивидуальные с учётом участия в коллективных задачах) при выполнении коллективного мини­исследования или проектного задания на основе предложенного формата планирования, распределения промежуточных шагов и сроков;</w:t>
      </w:r>
    </w:p>
    <w:p w14:paraId="0552FE9D">
      <w:pPr>
        <w:spacing w:after="0" w:line="355" w:lineRule="auto"/>
        <w:ind w:firstLine="709"/>
        <w:jc w:val="both"/>
        <w:rPr>
          <w:rFonts w:ascii="Times New Roman" w:hAnsi="Times New Roman" w:eastAsia="SchoolBookSanPin"/>
        </w:rPr>
      </w:pPr>
      <w:r>
        <w:rPr>
          <w:rFonts w:ascii="Times New Roman" w:hAnsi="Times New Roman" w:eastAsia="SchoolBookSanPin"/>
        </w:rPr>
        <w:t>выполнять совместные (в группах) проектные задания с использованием предложенных образцов;</w:t>
      </w:r>
    </w:p>
    <w:p w14:paraId="57808A72">
      <w:pPr>
        <w:spacing w:after="0" w:line="355" w:lineRule="auto"/>
        <w:ind w:firstLine="709"/>
        <w:jc w:val="both"/>
        <w:rPr>
          <w:rFonts w:ascii="Times New Roman" w:hAnsi="Times New Roman" w:eastAsia="SchoolBookSanPin"/>
        </w:rPr>
      </w:pPr>
      <w:r>
        <w:rPr>
          <w:rFonts w:ascii="Times New Roman" w:hAnsi="Times New Roman" w:eastAsia="SchoolBookSanPin"/>
        </w:rPr>
        <w:t>при выполнении совместной деятельности справедливо распределять работу, договариваться, обсуждать процесс и результат совместной работы;</w:t>
      </w:r>
    </w:p>
    <w:p w14:paraId="3906264F">
      <w:pPr>
        <w:spacing w:after="0" w:line="355" w:lineRule="auto"/>
        <w:ind w:firstLine="709"/>
        <w:jc w:val="both"/>
        <w:rPr>
          <w:rFonts w:ascii="Times New Roman" w:hAnsi="Times New Roman" w:eastAsia="SchoolBookSanPin"/>
        </w:rPr>
      </w:pPr>
      <w:r>
        <w:rPr>
          <w:rFonts w:ascii="Times New Roman" w:hAnsi="Times New Roman" w:eastAsia="SchoolBookSanPin"/>
        </w:rPr>
        <w:t>проявлять готовность выполнять разные роли: руководителя (лидера), подчиненного, проявлять самостоятельность, организованность, инициативность для достижения общего успеха деятельности.</w:t>
      </w:r>
    </w:p>
    <w:p w14:paraId="130FFDC3">
      <w:pPr>
        <w:spacing w:after="0" w:line="355" w:lineRule="auto"/>
        <w:ind w:firstLine="709"/>
        <w:rPr>
          <w:rFonts w:ascii="Times New Roman" w:hAnsi="Times New Roman" w:eastAsia="OfficinaSansBoldITC"/>
        </w:rPr>
      </w:pPr>
      <w:r>
        <w:rPr>
          <w:rFonts w:ascii="Times New Roman" w:hAnsi="Times New Roman" w:eastAsia="OfficinaSansBoldITC"/>
        </w:rPr>
        <w:t>2.9. Содержание обучения в 4 классе.</w:t>
      </w:r>
    </w:p>
    <w:p w14:paraId="779BFE5C">
      <w:pPr>
        <w:spacing w:after="0" w:line="355" w:lineRule="auto"/>
        <w:ind w:firstLine="709"/>
        <w:jc w:val="both"/>
        <w:rPr>
          <w:rFonts w:ascii="Times New Roman" w:hAnsi="Times New Roman" w:eastAsia="OfficinaSansBoldITC"/>
        </w:rPr>
      </w:pPr>
      <w:r>
        <w:rPr>
          <w:rFonts w:ascii="Times New Roman" w:hAnsi="Times New Roman" w:eastAsia="OfficinaSansBoldITC"/>
        </w:rPr>
        <w:t>2.9.1. Сведения о русском языке.</w:t>
      </w:r>
    </w:p>
    <w:p w14:paraId="3481EB18">
      <w:pPr>
        <w:spacing w:after="0" w:line="355" w:lineRule="auto"/>
        <w:ind w:firstLine="709"/>
        <w:jc w:val="both"/>
        <w:rPr>
          <w:rFonts w:ascii="Times New Roman" w:hAnsi="Times New Roman" w:eastAsia="SchoolBookSanPin"/>
        </w:rPr>
      </w:pPr>
      <w:r>
        <w:rPr>
          <w:rFonts w:ascii="Times New Roman" w:hAnsi="Times New Roman" w:eastAsia="SchoolBookSanPin"/>
        </w:rPr>
        <w:t>Русский язык как язык межнационального общения. Различные методы познания языка: наблюдение, анализ, лингвистический эксперимент, мини­исследование, проект.</w:t>
      </w:r>
    </w:p>
    <w:p w14:paraId="40A35A02">
      <w:pPr>
        <w:spacing w:after="0" w:line="355" w:lineRule="auto"/>
        <w:ind w:firstLine="709"/>
        <w:jc w:val="both"/>
        <w:rPr>
          <w:rFonts w:ascii="Times New Roman" w:hAnsi="Times New Roman" w:eastAsia="OfficinaSansBoldITC"/>
        </w:rPr>
      </w:pPr>
      <w:r>
        <w:rPr>
          <w:rFonts w:ascii="Times New Roman" w:hAnsi="Times New Roman" w:eastAsia="OfficinaSansBoldITC"/>
        </w:rPr>
        <w:t>2.9.2. Фонетика и графика.</w:t>
      </w:r>
    </w:p>
    <w:p w14:paraId="6B3D0DE5">
      <w:pPr>
        <w:spacing w:after="0" w:line="355" w:lineRule="auto"/>
        <w:ind w:firstLine="709"/>
        <w:jc w:val="both"/>
        <w:rPr>
          <w:rFonts w:ascii="Times New Roman" w:hAnsi="Times New Roman" w:eastAsia="SchoolBookSanPin"/>
        </w:rPr>
      </w:pPr>
      <w:r>
        <w:rPr>
          <w:rFonts w:ascii="Times New Roman" w:hAnsi="Times New Roman" w:eastAsia="SchoolBookSanPin"/>
        </w:rPr>
        <w:t>Характеристика, сравнение, классификация звуков вне слова и в слове по заданным параметрам. Звуко­буквенный разбор слова (по отработанному алгоритму).</w:t>
      </w:r>
    </w:p>
    <w:p w14:paraId="08F3FCD9">
      <w:pPr>
        <w:spacing w:after="0" w:line="355" w:lineRule="auto"/>
        <w:ind w:firstLine="709"/>
        <w:jc w:val="both"/>
        <w:rPr>
          <w:rFonts w:ascii="Times New Roman" w:hAnsi="Times New Roman" w:eastAsia="SchoolBookSanPin"/>
        </w:rPr>
      </w:pPr>
      <w:r>
        <w:rPr>
          <w:rFonts w:ascii="Times New Roman" w:hAnsi="Times New Roman" w:eastAsia="OfficinaSansBoldITC"/>
        </w:rPr>
        <w:t>2.9.3. </w:t>
      </w:r>
      <w:r>
        <w:rPr>
          <w:rFonts w:ascii="Times New Roman" w:hAnsi="Times New Roman" w:eastAsia="SchoolBookSanPin"/>
        </w:rPr>
        <w:t>Орфоэпия.</w:t>
      </w:r>
    </w:p>
    <w:p w14:paraId="14F441D0">
      <w:pPr>
        <w:spacing w:after="0" w:line="355" w:lineRule="auto"/>
        <w:ind w:firstLine="709"/>
        <w:jc w:val="both"/>
        <w:rPr>
          <w:rFonts w:ascii="Times New Roman" w:hAnsi="Times New Roman" w:eastAsia="SchoolBookSanPin"/>
        </w:rPr>
      </w:pPr>
      <w:r>
        <w:rPr>
          <w:rFonts w:ascii="Times New Roman" w:hAnsi="Times New Roman" w:eastAsia="SchoolBookSanPin"/>
        </w:rPr>
        <w:t>Правильная интонация в процессе говорения и чтения. Нормы произношения звуков и сочетаний звуков; ударение в словах в соответствии с нормами современного русского литературного языка (на ограниченном перечне слов, отрабатываемом в учебнике).</w:t>
      </w:r>
    </w:p>
    <w:p w14:paraId="7D0BD1CC">
      <w:pPr>
        <w:spacing w:after="0" w:line="355" w:lineRule="auto"/>
        <w:ind w:firstLine="709"/>
        <w:jc w:val="both"/>
        <w:rPr>
          <w:rFonts w:ascii="Times New Roman" w:hAnsi="Times New Roman" w:eastAsia="SchoolBookSanPin"/>
        </w:rPr>
      </w:pPr>
      <w:r>
        <w:rPr>
          <w:rFonts w:ascii="Times New Roman" w:hAnsi="Times New Roman" w:eastAsia="SchoolBookSanPin"/>
        </w:rPr>
        <w:t>Использование орфоэпических словарей русского языка при определении правильного произношения слов.</w:t>
      </w:r>
    </w:p>
    <w:p w14:paraId="3F2330C1">
      <w:pPr>
        <w:spacing w:after="0" w:line="355" w:lineRule="auto"/>
        <w:ind w:firstLine="709"/>
        <w:jc w:val="both"/>
        <w:rPr>
          <w:rFonts w:ascii="Times New Roman" w:hAnsi="Times New Roman" w:eastAsia="OfficinaSansBoldITC"/>
        </w:rPr>
      </w:pPr>
      <w:r>
        <w:rPr>
          <w:rFonts w:ascii="Times New Roman" w:hAnsi="Times New Roman" w:eastAsia="OfficinaSansBoldITC"/>
        </w:rPr>
        <w:t>2.9.4. Лексика.</w:t>
      </w:r>
    </w:p>
    <w:p w14:paraId="3D7C4E10">
      <w:pPr>
        <w:spacing w:after="0" w:line="355" w:lineRule="auto"/>
        <w:ind w:firstLine="709"/>
        <w:jc w:val="both"/>
        <w:rPr>
          <w:rFonts w:ascii="Times New Roman" w:hAnsi="Times New Roman" w:eastAsia="SchoolBookSanPin"/>
        </w:rPr>
      </w:pPr>
      <w:r>
        <w:rPr>
          <w:rFonts w:ascii="Times New Roman" w:hAnsi="Times New Roman" w:eastAsia="SchoolBookSanPin"/>
        </w:rPr>
        <w:t>Повторение и продолжение работы: наблюдение за использованием в речи синонимов, антонимов, устаревших слов (простые случаи).</w:t>
      </w:r>
    </w:p>
    <w:p w14:paraId="1192EF1A">
      <w:pPr>
        <w:spacing w:after="0" w:line="355" w:lineRule="auto"/>
        <w:ind w:firstLine="709"/>
        <w:jc w:val="both"/>
        <w:rPr>
          <w:rFonts w:ascii="Times New Roman" w:hAnsi="Times New Roman" w:eastAsia="SchoolBookSanPin"/>
        </w:rPr>
      </w:pPr>
      <w:r>
        <w:rPr>
          <w:rFonts w:ascii="Times New Roman" w:hAnsi="Times New Roman" w:eastAsia="SchoolBookSanPin"/>
        </w:rPr>
        <w:t>Наблюдение за использованием в речи фразеологизмов (простые случаи).</w:t>
      </w:r>
    </w:p>
    <w:p w14:paraId="020762D7">
      <w:pPr>
        <w:spacing w:after="0" w:line="355" w:lineRule="auto"/>
        <w:ind w:firstLine="709"/>
        <w:jc w:val="both"/>
        <w:rPr>
          <w:rFonts w:ascii="Times New Roman" w:hAnsi="Times New Roman" w:eastAsia="OfficinaSansBoldITC"/>
        </w:rPr>
      </w:pPr>
      <w:r>
        <w:rPr>
          <w:rFonts w:ascii="Times New Roman" w:hAnsi="Times New Roman" w:eastAsia="OfficinaSansBoldITC"/>
        </w:rPr>
        <w:t>2.9.5. Состав слова (морфемика).</w:t>
      </w:r>
    </w:p>
    <w:p w14:paraId="251AD742">
      <w:pPr>
        <w:spacing w:after="0" w:line="355" w:lineRule="auto"/>
        <w:ind w:firstLine="709"/>
        <w:jc w:val="both"/>
        <w:rPr>
          <w:rFonts w:ascii="Times New Roman" w:hAnsi="Times New Roman" w:eastAsia="SchoolBookSanPin"/>
        </w:rPr>
      </w:pPr>
      <w:r>
        <w:rPr>
          <w:rFonts w:ascii="Times New Roman" w:hAnsi="Times New Roman" w:eastAsia="SchoolBookSanPin"/>
        </w:rPr>
        <w:t>Состав изменяемых слов, выделение в словах с однозначно выделяемыми морфемами окончания, корня, приставки, суффикса (повторение изученного).</w:t>
      </w:r>
    </w:p>
    <w:p w14:paraId="6809543D">
      <w:pPr>
        <w:spacing w:after="0" w:line="355" w:lineRule="auto"/>
        <w:ind w:firstLine="709"/>
        <w:jc w:val="both"/>
        <w:rPr>
          <w:rFonts w:ascii="Times New Roman" w:hAnsi="Times New Roman" w:eastAsia="SchoolBookSanPin"/>
        </w:rPr>
      </w:pPr>
      <w:r>
        <w:rPr>
          <w:rFonts w:ascii="Times New Roman" w:hAnsi="Times New Roman" w:eastAsia="SchoolBookSanPin"/>
        </w:rPr>
        <w:t>Основа слова.</w:t>
      </w:r>
    </w:p>
    <w:p w14:paraId="5E4BB2B8">
      <w:pPr>
        <w:spacing w:after="0" w:line="355" w:lineRule="auto"/>
        <w:ind w:firstLine="709"/>
        <w:jc w:val="both"/>
        <w:rPr>
          <w:rFonts w:ascii="Times New Roman" w:hAnsi="Times New Roman" w:eastAsia="SchoolBookSanPin"/>
        </w:rPr>
      </w:pPr>
      <w:r>
        <w:rPr>
          <w:rFonts w:ascii="Times New Roman" w:hAnsi="Times New Roman" w:eastAsia="SchoolBookSanPin"/>
        </w:rPr>
        <w:t>Состав неизменяемых слов (ознакомление).</w:t>
      </w:r>
    </w:p>
    <w:p w14:paraId="4CDD545E">
      <w:pPr>
        <w:spacing w:after="0" w:line="355" w:lineRule="auto"/>
        <w:ind w:firstLine="709"/>
        <w:jc w:val="both"/>
        <w:rPr>
          <w:rFonts w:ascii="Times New Roman" w:hAnsi="Times New Roman" w:eastAsia="SchoolBookSanPin"/>
        </w:rPr>
      </w:pPr>
      <w:r>
        <w:rPr>
          <w:rFonts w:ascii="Times New Roman" w:hAnsi="Times New Roman" w:eastAsia="SchoolBookSanPin"/>
        </w:rPr>
        <w:t>Значение наиболее употребляемых суффиксов изученных частей речи (ознакомление).</w:t>
      </w:r>
    </w:p>
    <w:p w14:paraId="776249C8">
      <w:pPr>
        <w:spacing w:after="0" w:line="355" w:lineRule="auto"/>
        <w:ind w:firstLine="709"/>
        <w:jc w:val="both"/>
        <w:rPr>
          <w:rFonts w:ascii="Times New Roman" w:hAnsi="Times New Roman" w:eastAsia="OfficinaSansBoldITC"/>
        </w:rPr>
      </w:pPr>
      <w:r>
        <w:rPr>
          <w:rFonts w:ascii="Times New Roman" w:hAnsi="Times New Roman" w:eastAsia="OfficinaSansBoldITC"/>
        </w:rPr>
        <w:t>2.9.6. Морфология.</w:t>
      </w:r>
    </w:p>
    <w:p w14:paraId="01AA3A68">
      <w:pPr>
        <w:spacing w:after="0" w:line="355" w:lineRule="auto"/>
        <w:ind w:firstLine="709"/>
        <w:jc w:val="both"/>
        <w:rPr>
          <w:rFonts w:ascii="Times New Roman" w:hAnsi="Times New Roman" w:eastAsia="SchoolBookSanPin"/>
        </w:rPr>
      </w:pPr>
      <w:r>
        <w:rPr>
          <w:rFonts w:ascii="Times New Roman" w:hAnsi="Times New Roman" w:eastAsia="SchoolBookSanPin"/>
        </w:rPr>
        <w:t>Части речи самостоятельные и служебные.</w:t>
      </w:r>
    </w:p>
    <w:p w14:paraId="7856F184">
      <w:pPr>
        <w:spacing w:after="0" w:line="355" w:lineRule="auto"/>
        <w:ind w:firstLine="709"/>
        <w:jc w:val="both"/>
        <w:rPr>
          <w:rFonts w:ascii="Times New Roman" w:hAnsi="Times New Roman" w:eastAsia="SchoolBookSanPin"/>
        </w:rPr>
      </w:pPr>
      <w:r>
        <w:rPr>
          <w:rFonts w:ascii="Times New Roman" w:hAnsi="Times New Roman" w:eastAsia="SchoolBookSanPin"/>
        </w:rPr>
        <w:t>Имя существительное. Склонение имён существительных (кроме существительных на «</w:t>
      </w:r>
      <w:r>
        <w:rPr>
          <w:rFonts w:ascii="Times New Roman" w:hAnsi="Times New Roman" w:eastAsia="SchoolBookSanPin"/>
          <w:bCs/>
        </w:rPr>
        <w:t>-мя»</w:t>
      </w:r>
      <w:r>
        <w:rPr>
          <w:rFonts w:ascii="Times New Roman" w:hAnsi="Times New Roman" w:eastAsia="SchoolBookSanPin"/>
        </w:rPr>
        <w:t>, «</w:t>
      </w:r>
      <w:r>
        <w:rPr>
          <w:rFonts w:ascii="Times New Roman" w:hAnsi="Times New Roman" w:eastAsia="SchoolBookSanPin"/>
          <w:bCs/>
        </w:rPr>
        <w:t>-ий»</w:t>
      </w:r>
      <w:r>
        <w:rPr>
          <w:rFonts w:ascii="Times New Roman" w:hAnsi="Times New Roman" w:eastAsia="SchoolBookSanPin"/>
        </w:rPr>
        <w:t>, «</w:t>
      </w:r>
      <w:r>
        <w:rPr>
          <w:rFonts w:ascii="Times New Roman" w:hAnsi="Times New Roman" w:eastAsia="SchoolBookSanPin"/>
          <w:bCs/>
        </w:rPr>
        <w:t>-ие»</w:t>
      </w:r>
      <w:r>
        <w:rPr>
          <w:rFonts w:ascii="Times New Roman" w:hAnsi="Times New Roman" w:eastAsia="SchoolBookSanPin"/>
        </w:rPr>
        <w:t>, «</w:t>
      </w:r>
      <w:r>
        <w:rPr>
          <w:rFonts w:ascii="Times New Roman" w:hAnsi="Times New Roman" w:eastAsia="SchoolBookSanPin"/>
          <w:bCs/>
        </w:rPr>
        <w:t>-ия»</w:t>
      </w:r>
      <w:r>
        <w:rPr>
          <w:rFonts w:ascii="Times New Roman" w:hAnsi="Times New Roman" w:eastAsia="SchoolBookSanPin"/>
        </w:rPr>
        <w:t>; на «</w:t>
      </w:r>
      <w:r>
        <w:rPr>
          <w:rFonts w:ascii="Times New Roman" w:hAnsi="Times New Roman" w:eastAsia="SchoolBookSanPin"/>
          <w:bCs/>
        </w:rPr>
        <w:t xml:space="preserve">-ья», например, </w:t>
      </w:r>
      <w:r>
        <w:rPr>
          <w:rFonts w:ascii="Times New Roman" w:hAnsi="Times New Roman" w:eastAsia="SchoolBookSanPin"/>
        </w:rPr>
        <w:t>«гостья»; на «­</w:t>
      </w:r>
      <w:r>
        <w:rPr>
          <w:rFonts w:ascii="Times New Roman" w:hAnsi="Times New Roman" w:eastAsia="SchoolBookSanPin"/>
          <w:bCs/>
        </w:rPr>
        <w:t xml:space="preserve">ье», например, </w:t>
      </w:r>
      <w:r>
        <w:rPr>
          <w:rFonts w:ascii="Times New Roman" w:hAnsi="Times New Roman" w:eastAsia="SchoolBookSanPin"/>
        </w:rPr>
        <w:t>«ожерелье» во множественном числе; а также кроме собственных имён существительных на «-ов», «-ин», «-ий»); имена существительные 1, 2, 3­го склонения (повторение изученного). Несклоняемые имена существительные (ознакомление).</w:t>
      </w:r>
    </w:p>
    <w:p w14:paraId="60BD100B">
      <w:pPr>
        <w:spacing w:after="0" w:line="355" w:lineRule="auto"/>
        <w:ind w:firstLine="709"/>
        <w:jc w:val="both"/>
        <w:rPr>
          <w:rFonts w:ascii="Times New Roman" w:hAnsi="Times New Roman" w:eastAsia="SchoolBookSanPin"/>
        </w:rPr>
      </w:pPr>
      <w:r>
        <w:rPr>
          <w:rFonts w:ascii="Times New Roman" w:hAnsi="Times New Roman" w:eastAsia="SchoolBookSanPin"/>
        </w:rPr>
        <w:t>Имя прилагательное. Зависимость формы имени прилагательного от формы имени существительного (повторение). Склонение имён прилагательных во множественном числе.</w:t>
      </w:r>
    </w:p>
    <w:p w14:paraId="7F641CEA">
      <w:pPr>
        <w:spacing w:after="0" w:line="355" w:lineRule="auto"/>
        <w:ind w:firstLine="709"/>
        <w:jc w:val="both"/>
        <w:rPr>
          <w:rFonts w:ascii="Times New Roman" w:hAnsi="Times New Roman" w:eastAsia="SchoolBookSanPin"/>
        </w:rPr>
      </w:pPr>
      <w:r>
        <w:rPr>
          <w:rFonts w:ascii="Times New Roman" w:hAnsi="Times New Roman" w:eastAsia="SchoolBookSanPin"/>
        </w:rPr>
        <w:t>Местоимение. Личные местоимения (повторение). Личные местоимения 1­го и 3­го лица единственного и множественного числа; склонение личных местоимений.</w:t>
      </w:r>
    </w:p>
    <w:p w14:paraId="4D20EB75">
      <w:pPr>
        <w:spacing w:after="0" w:line="355" w:lineRule="auto"/>
        <w:ind w:firstLine="709"/>
        <w:jc w:val="both"/>
        <w:rPr>
          <w:rFonts w:ascii="Times New Roman" w:hAnsi="Times New Roman" w:eastAsia="SchoolBookSanPin"/>
        </w:rPr>
      </w:pPr>
      <w:r>
        <w:rPr>
          <w:rFonts w:ascii="Times New Roman" w:hAnsi="Times New Roman" w:eastAsia="SchoolBookSanPin"/>
        </w:rPr>
        <w:t>Глагол. Изменение глаголов по лицам и числам в настоящем и будущем времени (спряжение). І и ІІ спряжение глаголов. Способы определения I и II спряжения глаголов.</w:t>
      </w:r>
    </w:p>
    <w:p w14:paraId="07324CE1">
      <w:pPr>
        <w:spacing w:after="0" w:line="355" w:lineRule="auto"/>
        <w:ind w:firstLine="709"/>
        <w:jc w:val="both"/>
        <w:rPr>
          <w:rFonts w:ascii="Times New Roman" w:hAnsi="Times New Roman" w:eastAsia="SchoolBookSanPin"/>
        </w:rPr>
      </w:pPr>
      <w:r>
        <w:rPr>
          <w:rFonts w:ascii="Times New Roman" w:hAnsi="Times New Roman" w:eastAsia="SchoolBookSanPin"/>
        </w:rPr>
        <w:t>Наречие (общее представление). Значение, вопросы, употребление в речи.</w:t>
      </w:r>
    </w:p>
    <w:p w14:paraId="385B2913">
      <w:pPr>
        <w:spacing w:after="0" w:line="355" w:lineRule="auto"/>
        <w:ind w:firstLine="709"/>
        <w:jc w:val="both"/>
        <w:rPr>
          <w:rFonts w:ascii="Times New Roman" w:hAnsi="Times New Roman" w:eastAsia="SchoolBookSanPin"/>
        </w:rPr>
      </w:pPr>
      <w:r>
        <w:rPr>
          <w:rFonts w:ascii="Times New Roman" w:hAnsi="Times New Roman" w:eastAsia="SchoolBookSanPin"/>
        </w:rPr>
        <w:t>Предлог. Отличие предлогов от приставок (повторение).</w:t>
      </w:r>
    </w:p>
    <w:p w14:paraId="4C13708E">
      <w:pPr>
        <w:spacing w:after="0" w:line="355" w:lineRule="auto"/>
        <w:ind w:firstLine="709"/>
        <w:jc w:val="both"/>
        <w:rPr>
          <w:rFonts w:ascii="Times New Roman" w:hAnsi="Times New Roman" w:eastAsia="SchoolBookSanPin"/>
        </w:rPr>
      </w:pPr>
      <w:r>
        <w:rPr>
          <w:rFonts w:ascii="Times New Roman" w:hAnsi="Times New Roman" w:eastAsia="SchoolBookSanPin"/>
        </w:rPr>
        <w:t>Союз; союзы «и», «а», «но» в простых и сложных предложениях.</w:t>
      </w:r>
    </w:p>
    <w:p w14:paraId="62C3AC9C">
      <w:pPr>
        <w:spacing w:after="0" w:line="355" w:lineRule="auto"/>
        <w:ind w:firstLine="709"/>
        <w:jc w:val="both"/>
        <w:rPr>
          <w:rFonts w:ascii="Times New Roman" w:hAnsi="Times New Roman" w:eastAsia="SchoolBookSanPin"/>
        </w:rPr>
      </w:pPr>
      <w:r>
        <w:rPr>
          <w:rFonts w:ascii="Times New Roman" w:hAnsi="Times New Roman" w:eastAsia="SchoolBookSanPin"/>
        </w:rPr>
        <w:t>Частица «не», «её» значение (повторение).</w:t>
      </w:r>
    </w:p>
    <w:p w14:paraId="5FD21356">
      <w:pPr>
        <w:spacing w:after="0" w:line="355" w:lineRule="auto"/>
        <w:ind w:firstLine="709"/>
        <w:jc w:val="both"/>
        <w:rPr>
          <w:rFonts w:ascii="Times New Roman" w:hAnsi="Times New Roman" w:eastAsia="OfficinaSansBoldITC"/>
        </w:rPr>
      </w:pPr>
      <w:r>
        <w:rPr>
          <w:rFonts w:ascii="Times New Roman" w:hAnsi="Times New Roman" w:eastAsia="OfficinaSansBoldITC"/>
        </w:rPr>
        <w:t>2.9.7. Синтаксис.</w:t>
      </w:r>
    </w:p>
    <w:p w14:paraId="0498E813">
      <w:pPr>
        <w:spacing w:after="0" w:line="355" w:lineRule="auto"/>
        <w:ind w:firstLine="709"/>
        <w:jc w:val="both"/>
        <w:rPr>
          <w:rFonts w:ascii="Times New Roman" w:hAnsi="Times New Roman" w:eastAsia="SchoolBookSanPin"/>
        </w:rPr>
      </w:pPr>
      <w:r>
        <w:rPr>
          <w:rFonts w:ascii="Times New Roman" w:hAnsi="Times New Roman" w:eastAsia="SchoolBookSanPin"/>
        </w:rPr>
        <w:t>Слово, сочетание слов (словосочетание) и предложение, осознание их сходства и различий; виды предложений по цели высказывания (повествовательные, вопросительные и побудительные); виды предложений по эмоциональной окраске (восклицательные и невосклицательные); связь между словами в предложении (при помощи смысловых вопросов); распространённые и нераспространённые предложения (повторение изученного).</w:t>
      </w:r>
    </w:p>
    <w:p w14:paraId="33371366">
      <w:pPr>
        <w:spacing w:after="0" w:line="355" w:lineRule="auto"/>
        <w:ind w:firstLine="709"/>
        <w:jc w:val="both"/>
        <w:rPr>
          <w:rFonts w:ascii="Times New Roman" w:hAnsi="Times New Roman" w:eastAsia="SchoolBookSanPin"/>
        </w:rPr>
      </w:pPr>
      <w:r>
        <w:rPr>
          <w:rFonts w:ascii="Times New Roman" w:hAnsi="Times New Roman" w:eastAsia="SchoolBookSanPin"/>
        </w:rPr>
        <w:t>Связь между словами в словосочетании.</w:t>
      </w:r>
    </w:p>
    <w:p w14:paraId="035168F7">
      <w:pPr>
        <w:spacing w:after="0" w:line="355" w:lineRule="auto"/>
        <w:ind w:firstLine="709"/>
        <w:jc w:val="both"/>
        <w:rPr>
          <w:rFonts w:ascii="Times New Roman" w:hAnsi="Times New Roman" w:eastAsia="SchoolBookSanPin"/>
        </w:rPr>
      </w:pPr>
      <w:r>
        <w:rPr>
          <w:rFonts w:ascii="Times New Roman" w:hAnsi="Times New Roman" w:eastAsia="SchoolBookSanPin"/>
        </w:rPr>
        <w:t>Предложения с однородными членами: без союзов, с союзами «а», «но», с одиночным союзом «и». Интонация перечисления в предложениях с однородными членами.</w:t>
      </w:r>
    </w:p>
    <w:p w14:paraId="527C497E">
      <w:pPr>
        <w:spacing w:after="0" w:line="355" w:lineRule="auto"/>
        <w:ind w:firstLine="709"/>
        <w:jc w:val="both"/>
        <w:rPr>
          <w:rFonts w:ascii="Times New Roman" w:hAnsi="Times New Roman" w:eastAsia="SchoolBookSanPin"/>
        </w:rPr>
      </w:pPr>
      <w:r>
        <w:rPr>
          <w:rFonts w:ascii="Times New Roman" w:hAnsi="Times New Roman" w:eastAsia="SchoolBookSanPin"/>
        </w:rPr>
        <w:t>Простое и сложное предложения (ознакомление). Сложные предложения: сложносочинённые с союзами «и», «а», «но»; бессоюзные сложные предложения (без называния терминов).</w:t>
      </w:r>
    </w:p>
    <w:p w14:paraId="27CDE48C">
      <w:pPr>
        <w:spacing w:after="0" w:line="355" w:lineRule="auto"/>
        <w:ind w:firstLine="709"/>
        <w:jc w:val="both"/>
        <w:rPr>
          <w:rFonts w:ascii="Times New Roman" w:hAnsi="Times New Roman" w:eastAsia="OfficinaSansBoldITC"/>
        </w:rPr>
      </w:pPr>
      <w:r>
        <w:rPr>
          <w:rFonts w:ascii="Times New Roman" w:hAnsi="Times New Roman" w:eastAsia="OfficinaSansBoldITC"/>
        </w:rPr>
        <w:t>2.9.8. Орфография и пунктуация.</w:t>
      </w:r>
    </w:p>
    <w:p w14:paraId="3232F2F6">
      <w:pPr>
        <w:spacing w:after="0" w:line="355" w:lineRule="auto"/>
        <w:ind w:firstLine="709"/>
        <w:jc w:val="both"/>
        <w:rPr>
          <w:rFonts w:ascii="Times New Roman" w:hAnsi="Times New Roman" w:eastAsia="SchoolBookSanPin"/>
        </w:rPr>
      </w:pPr>
      <w:r>
        <w:rPr>
          <w:rFonts w:ascii="Times New Roman" w:hAnsi="Times New Roman" w:eastAsia="SchoolBookSanPin"/>
        </w:rPr>
        <w:t>Повторение правил правописания, изученных в 1, 2, 3 классах. Орфографическая зоркость как осознание места возможного возникновения орфографической ошибки; различные способы решения орфографической задачи в зависимости от места орфограммы в слове; контроль при проверке собственных и предложенных текстов (повторение и применение на новом орфографическом материале).</w:t>
      </w:r>
    </w:p>
    <w:p w14:paraId="110DE09E">
      <w:pPr>
        <w:spacing w:after="0" w:line="355" w:lineRule="auto"/>
        <w:ind w:firstLine="709"/>
        <w:jc w:val="both"/>
        <w:rPr>
          <w:rFonts w:ascii="Times New Roman" w:hAnsi="Times New Roman" w:eastAsia="SchoolBookSanPin"/>
        </w:rPr>
      </w:pPr>
      <w:r>
        <w:rPr>
          <w:rFonts w:ascii="Times New Roman" w:hAnsi="Times New Roman" w:eastAsia="SchoolBookSanPin"/>
        </w:rPr>
        <w:t>Использование орфографического словаря для определения (уточнения) написания слова.</w:t>
      </w:r>
    </w:p>
    <w:p w14:paraId="5A111945">
      <w:pPr>
        <w:spacing w:after="0" w:line="355" w:lineRule="auto"/>
        <w:ind w:firstLine="709"/>
        <w:jc w:val="both"/>
        <w:rPr>
          <w:rFonts w:ascii="Times New Roman" w:hAnsi="Times New Roman" w:eastAsia="SchoolBookSanPin"/>
        </w:rPr>
      </w:pPr>
      <w:r>
        <w:rPr>
          <w:rFonts w:ascii="Times New Roman" w:hAnsi="Times New Roman" w:eastAsia="SchoolBookSanPin"/>
        </w:rPr>
        <w:t>Правила правописания и их применение:</w:t>
      </w:r>
    </w:p>
    <w:p w14:paraId="7159A7CD">
      <w:pPr>
        <w:spacing w:after="0" w:line="355" w:lineRule="auto"/>
        <w:ind w:firstLine="709"/>
        <w:jc w:val="both"/>
        <w:rPr>
          <w:rFonts w:ascii="Times New Roman" w:hAnsi="Times New Roman" w:eastAsia="SchoolBookSanPin"/>
        </w:rPr>
      </w:pPr>
      <w:r>
        <w:rPr>
          <w:rFonts w:ascii="Times New Roman" w:hAnsi="Times New Roman" w:eastAsia="SchoolBookSanPin"/>
        </w:rPr>
        <w:t>безударные падежные окончания имён существительных (кроме существительных на «</w:t>
      </w:r>
      <w:r>
        <w:rPr>
          <w:rFonts w:ascii="Times New Roman" w:hAnsi="Times New Roman" w:eastAsia="SchoolBookSanPin"/>
          <w:bCs/>
        </w:rPr>
        <w:t>-мя»</w:t>
      </w:r>
      <w:r>
        <w:rPr>
          <w:rFonts w:ascii="Times New Roman" w:hAnsi="Times New Roman" w:eastAsia="SchoolBookSanPin"/>
        </w:rPr>
        <w:t>, «</w:t>
      </w:r>
      <w:r>
        <w:rPr>
          <w:rFonts w:ascii="Times New Roman" w:hAnsi="Times New Roman" w:eastAsia="SchoolBookSanPin"/>
          <w:bCs/>
        </w:rPr>
        <w:t>-ий»</w:t>
      </w:r>
      <w:r>
        <w:rPr>
          <w:rFonts w:ascii="Times New Roman" w:hAnsi="Times New Roman" w:eastAsia="SchoolBookSanPin"/>
        </w:rPr>
        <w:t>, «</w:t>
      </w:r>
      <w:r>
        <w:rPr>
          <w:rFonts w:ascii="Times New Roman" w:hAnsi="Times New Roman" w:eastAsia="SchoolBookSanPin"/>
          <w:bCs/>
        </w:rPr>
        <w:t>-ие»</w:t>
      </w:r>
      <w:r>
        <w:rPr>
          <w:rFonts w:ascii="Times New Roman" w:hAnsi="Times New Roman" w:eastAsia="SchoolBookSanPin"/>
        </w:rPr>
        <w:t>, «</w:t>
      </w:r>
      <w:r>
        <w:rPr>
          <w:rFonts w:ascii="Times New Roman" w:hAnsi="Times New Roman" w:eastAsia="SchoolBookSanPin"/>
          <w:bCs/>
        </w:rPr>
        <w:t>-ия»</w:t>
      </w:r>
      <w:r>
        <w:rPr>
          <w:rFonts w:ascii="Times New Roman" w:hAnsi="Times New Roman" w:eastAsia="SchoolBookSanPin"/>
        </w:rPr>
        <w:t>, на «-ья», например, «гостья», на «­ье», например, «ожерелье» во множественном числе, а также кроме собственных имён существительных на «-ов», «-ин», «-ий»);</w:t>
      </w:r>
    </w:p>
    <w:p w14:paraId="21FAF7AF">
      <w:pPr>
        <w:spacing w:after="0" w:line="355" w:lineRule="auto"/>
        <w:ind w:firstLine="709"/>
        <w:jc w:val="both"/>
        <w:rPr>
          <w:rFonts w:ascii="Times New Roman" w:hAnsi="Times New Roman" w:eastAsia="SchoolBookSanPin"/>
        </w:rPr>
      </w:pPr>
      <w:r>
        <w:rPr>
          <w:rFonts w:ascii="Times New Roman" w:hAnsi="Times New Roman" w:eastAsia="SchoolBookSanPin"/>
        </w:rPr>
        <w:t>безударные падежные окончания имён прилагательных;</w:t>
      </w:r>
    </w:p>
    <w:p w14:paraId="6660B382">
      <w:pPr>
        <w:spacing w:after="0" w:line="355" w:lineRule="auto"/>
        <w:ind w:firstLine="709"/>
        <w:jc w:val="both"/>
        <w:rPr>
          <w:rFonts w:ascii="Times New Roman" w:hAnsi="Times New Roman" w:eastAsia="SchoolBookSanPin"/>
        </w:rPr>
      </w:pPr>
      <w:r>
        <w:rPr>
          <w:rFonts w:ascii="Times New Roman" w:hAnsi="Times New Roman" w:eastAsia="SchoolBookSanPin"/>
        </w:rPr>
        <w:t>мягкий знак после шипящих на конце глаголов в форме 2­го лица единственного числа;</w:t>
      </w:r>
    </w:p>
    <w:p w14:paraId="3D9EA81A">
      <w:pPr>
        <w:spacing w:after="0" w:line="355" w:lineRule="auto"/>
        <w:ind w:firstLine="709"/>
        <w:jc w:val="both"/>
        <w:rPr>
          <w:rFonts w:ascii="Times New Roman" w:hAnsi="Times New Roman" w:eastAsia="SchoolBookSanPin"/>
        </w:rPr>
      </w:pPr>
      <w:r>
        <w:rPr>
          <w:rFonts w:ascii="Times New Roman" w:hAnsi="Times New Roman" w:eastAsia="SchoolBookSanPin"/>
        </w:rPr>
        <w:t>наличие или отсутствие мягкого знака в глаголах на «</w:t>
      </w:r>
      <w:r>
        <w:rPr>
          <w:rFonts w:ascii="Times New Roman" w:hAnsi="Times New Roman" w:eastAsia="SchoolBookSanPin"/>
          <w:bCs/>
        </w:rPr>
        <w:t xml:space="preserve">-ться» </w:t>
      </w:r>
      <w:r>
        <w:rPr>
          <w:rFonts w:ascii="Times New Roman" w:hAnsi="Times New Roman" w:eastAsia="SchoolBookSanPin"/>
        </w:rPr>
        <w:t>и «</w:t>
      </w:r>
      <w:r>
        <w:rPr>
          <w:rFonts w:ascii="Times New Roman" w:hAnsi="Times New Roman" w:eastAsia="SchoolBookSanPin"/>
          <w:bCs/>
        </w:rPr>
        <w:t>-тся»</w:t>
      </w:r>
      <w:r>
        <w:rPr>
          <w:rFonts w:ascii="Times New Roman" w:hAnsi="Times New Roman" w:eastAsia="SchoolBookSanPin"/>
        </w:rPr>
        <w:t>;</w:t>
      </w:r>
    </w:p>
    <w:p w14:paraId="4C0B1EEC">
      <w:pPr>
        <w:spacing w:after="0" w:line="355" w:lineRule="auto"/>
        <w:ind w:firstLine="709"/>
        <w:jc w:val="both"/>
        <w:rPr>
          <w:rFonts w:ascii="Times New Roman" w:hAnsi="Times New Roman" w:eastAsia="SchoolBookSanPin"/>
        </w:rPr>
      </w:pPr>
      <w:r>
        <w:rPr>
          <w:rFonts w:ascii="Times New Roman" w:hAnsi="Times New Roman" w:eastAsia="SchoolBookSanPin"/>
        </w:rPr>
        <w:t>безударные личные окончания глаголов;</w:t>
      </w:r>
    </w:p>
    <w:p w14:paraId="62E02B55">
      <w:pPr>
        <w:spacing w:after="0" w:line="355" w:lineRule="auto"/>
        <w:ind w:firstLine="709"/>
        <w:jc w:val="both"/>
        <w:rPr>
          <w:rFonts w:ascii="Times New Roman" w:hAnsi="Times New Roman" w:eastAsia="SchoolBookSanPin"/>
        </w:rPr>
      </w:pPr>
      <w:r>
        <w:rPr>
          <w:rFonts w:ascii="Times New Roman" w:hAnsi="Times New Roman" w:eastAsia="SchoolBookSanPin"/>
        </w:rPr>
        <w:t>знаки препинания в предложениях с однородными членами, соединёнными союзами «и», «а», «но» и без союзов.</w:t>
      </w:r>
    </w:p>
    <w:p w14:paraId="7039D594">
      <w:pPr>
        <w:spacing w:after="0" w:line="355" w:lineRule="auto"/>
        <w:ind w:firstLine="709"/>
        <w:jc w:val="both"/>
        <w:rPr>
          <w:rFonts w:ascii="Times New Roman" w:hAnsi="Times New Roman" w:eastAsia="SchoolBookSanPin"/>
        </w:rPr>
      </w:pPr>
      <w:r>
        <w:rPr>
          <w:rFonts w:ascii="Times New Roman" w:hAnsi="Times New Roman" w:eastAsia="SchoolBookSanPin"/>
        </w:rPr>
        <w:t>Знаки препинания в сложном предложении, состоящем из двух простых (наблюдение).</w:t>
      </w:r>
    </w:p>
    <w:p w14:paraId="3ED6E6FE">
      <w:pPr>
        <w:spacing w:after="0" w:line="355" w:lineRule="auto"/>
        <w:ind w:firstLine="709"/>
        <w:jc w:val="both"/>
        <w:rPr>
          <w:rFonts w:ascii="Times New Roman" w:hAnsi="Times New Roman" w:eastAsia="SchoolBookSanPin"/>
        </w:rPr>
      </w:pPr>
      <w:r>
        <w:rPr>
          <w:rFonts w:ascii="Times New Roman" w:hAnsi="Times New Roman" w:eastAsia="SchoolBookSanPin"/>
        </w:rPr>
        <w:t>Знаки препинания в предложении с прямой речью после слов автора (наблюдение).</w:t>
      </w:r>
    </w:p>
    <w:p w14:paraId="0679296D">
      <w:pPr>
        <w:spacing w:after="0" w:line="355" w:lineRule="auto"/>
        <w:ind w:firstLine="709"/>
        <w:jc w:val="both"/>
        <w:rPr>
          <w:rFonts w:ascii="Times New Roman" w:hAnsi="Times New Roman" w:eastAsia="OfficinaSansBoldITC"/>
        </w:rPr>
      </w:pPr>
      <w:r>
        <w:rPr>
          <w:rFonts w:ascii="Times New Roman" w:hAnsi="Times New Roman" w:eastAsia="OfficinaSansBoldITC"/>
        </w:rPr>
        <w:t>2.9.9. Развитие речи.</w:t>
      </w:r>
    </w:p>
    <w:p w14:paraId="7CAA4287">
      <w:pPr>
        <w:spacing w:after="0" w:line="355" w:lineRule="auto"/>
        <w:ind w:firstLine="709"/>
        <w:jc w:val="both"/>
        <w:rPr>
          <w:rFonts w:ascii="Times New Roman" w:hAnsi="Times New Roman" w:eastAsia="SchoolBookSanPin"/>
        </w:rPr>
      </w:pPr>
      <w:r>
        <w:rPr>
          <w:rFonts w:ascii="Times New Roman" w:hAnsi="Times New Roman" w:eastAsia="SchoolBookSanPin"/>
        </w:rPr>
        <w:t>Повторение и продолжение работы, начатой в предыдущих классах: ситуации устного и письменного общения (письмо, поздравительная открытка, объявление и другие); диалог; монолог; отражение темы текста или основной мысли в заголовке.</w:t>
      </w:r>
    </w:p>
    <w:p w14:paraId="5BD8D810">
      <w:pPr>
        <w:spacing w:after="0" w:line="355" w:lineRule="auto"/>
        <w:ind w:firstLine="709"/>
        <w:jc w:val="both"/>
        <w:rPr>
          <w:rFonts w:ascii="Times New Roman" w:hAnsi="Times New Roman" w:eastAsia="SchoolBookSanPin"/>
        </w:rPr>
      </w:pPr>
      <w:r>
        <w:rPr>
          <w:rFonts w:ascii="Times New Roman" w:hAnsi="Times New Roman" w:eastAsia="SchoolBookSanPin"/>
        </w:rPr>
        <w:t>Корректирование текстов (заданных и собственных) с учётом точности, правильности, богатства и выразительности письменной речи.</w:t>
      </w:r>
    </w:p>
    <w:p w14:paraId="77A4716B">
      <w:pPr>
        <w:spacing w:after="0" w:line="355" w:lineRule="auto"/>
        <w:ind w:firstLine="709"/>
        <w:jc w:val="both"/>
        <w:rPr>
          <w:rFonts w:ascii="Times New Roman" w:hAnsi="Times New Roman" w:eastAsia="SchoolBookSanPin"/>
        </w:rPr>
      </w:pPr>
      <w:r>
        <w:rPr>
          <w:rFonts w:ascii="Times New Roman" w:hAnsi="Times New Roman" w:eastAsia="SchoolBookSanPin"/>
        </w:rPr>
        <w:t>Изложение (подробный устный и письменный пересказ текста; выборочный устный пересказ текста).</w:t>
      </w:r>
    </w:p>
    <w:p w14:paraId="6C67676E">
      <w:pPr>
        <w:spacing w:after="0" w:line="355" w:lineRule="auto"/>
        <w:ind w:firstLine="709"/>
        <w:jc w:val="both"/>
        <w:rPr>
          <w:rFonts w:ascii="Times New Roman" w:hAnsi="Times New Roman" w:eastAsia="SchoolBookSanPin"/>
        </w:rPr>
      </w:pPr>
      <w:r>
        <w:rPr>
          <w:rFonts w:ascii="Times New Roman" w:hAnsi="Times New Roman" w:eastAsia="SchoolBookSanPin"/>
        </w:rPr>
        <w:t>Сочинение как вид письменной работы.</w:t>
      </w:r>
    </w:p>
    <w:p w14:paraId="08061A5B">
      <w:pPr>
        <w:spacing w:after="0" w:line="355" w:lineRule="auto"/>
        <w:ind w:firstLine="709"/>
        <w:jc w:val="both"/>
        <w:rPr>
          <w:rFonts w:ascii="Times New Roman" w:hAnsi="Times New Roman" w:eastAsia="SchoolBookSanPin"/>
        </w:rPr>
      </w:pPr>
      <w:r>
        <w:rPr>
          <w:rFonts w:ascii="Times New Roman" w:hAnsi="Times New Roman" w:eastAsia="SchoolBookSanPin"/>
        </w:rPr>
        <w:t>Изучающее чтение. Поиск информации, заданной в тексте в явном виде. Формулирование простых выводов на основе информации, содержащейся в тексте. Интерпретация и обобщение содержащейся в тексте информации. Ознакомительное чтение в соответствии с поставленной задачей.</w:t>
      </w:r>
    </w:p>
    <w:p w14:paraId="6F644504">
      <w:pPr>
        <w:spacing w:after="0" w:line="355" w:lineRule="auto"/>
        <w:ind w:firstLine="709"/>
        <w:jc w:val="both"/>
        <w:rPr>
          <w:rFonts w:ascii="Times New Roman" w:hAnsi="Times New Roman" w:eastAsia="SchoolBookSanPin"/>
          <w:bCs/>
        </w:rPr>
      </w:pPr>
      <w:r>
        <w:rPr>
          <w:rFonts w:ascii="Times New Roman" w:hAnsi="Times New Roman" w:eastAsia="SchoolBookSanPin"/>
        </w:rPr>
        <w:t>2.9.10. Изучение русского языка в 4 классе позволяет организовать работу над рядом метапредметных результатов: познавательных универсальных учебных действий, коммуникативных универсальных учебных действий, регулятивных универсальных учебных действий, совместной деятельности.</w:t>
      </w:r>
      <w:r>
        <w:rPr>
          <w:rFonts w:ascii="Times New Roman" w:hAnsi="Times New Roman" w:eastAsia="SchoolBookSanPin"/>
          <w:bCs/>
        </w:rPr>
        <w:t xml:space="preserve"> </w:t>
      </w:r>
    </w:p>
    <w:p w14:paraId="078F107B">
      <w:pPr>
        <w:spacing w:after="0" w:line="355" w:lineRule="auto"/>
        <w:ind w:firstLine="709"/>
        <w:jc w:val="both"/>
        <w:rPr>
          <w:rFonts w:ascii="Times New Roman" w:hAnsi="Times New Roman" w:eastAsia="SchoolBookSanPin"/>
        </w:rPr>
      </w:pPr>
      <w:r>
        <w:rPr>
          <w:rFonts w:ascii="Times New Roman" w:hAnsi="Times New Roman" w:eastAsia="OfficinaSansBoldITC"/>
        </w:rPr>
        <w:t>2.9.10.1. </w:t>
      </w:r>
      <w:r>
        <w:rPr>
          <w:rFonts w:ascii="Times New Roman" w:hAnsi="Times New Roman" w:eastAsia="SchoolBookSanPin"/>
        </w:rPr>
        <w:t xml:space="preserve">Базовые логические действия как часть </w:t>
      </w:r>
      <w:r>
        <w:rPr>
          <w:rFonts w:ascii="Times New Roman" w:hAnsi="Times New Roman" w:eastAsia="SchoolBookSanPin"/>
          <w:bCs/>
        </w:rPr>
        <w:t>познавательных универсальных учебных действий</w:t>
      </w:r>
      <w:r>
        <w:rPr>
          <w:rFonts w:ascii="Times New Roman" w:hAnsi="Times New Roman" w:eastAsia="SchoolBookSanPin"/>
        </w:rPr>
        <w:t>:</w:t>
      </w:r>
    </w:p>
    <w:p w14:paraId="5A0B4668">
      <w:pPr>
        <w:spacing w:after="0" w:line="355" w:lineRule="auto"/>
        <w:ind w:firstLine="709"/>
        <w:jc w:val="both"/>
        <w:rPr>
          <w:rFonts w:ascii="Times New Roman" w:hAnsi="Times New Roman" w:eastAsia="SchoolBookSanPin"/>
        </w:rPr>
      </w:pPr>
      <w:r>
        <w:rPr>
          <w:rFonts w:ascii="Times New Roman" w:hAnsi="Times New Roman" w:eastAsia="SchoolBookSanPin"/>
        </w:rPr>
        <w:t>устанавливать основания для сравнения слов, относящихся к разным частям речи; устанавливать основания для сравнения слов, относящихся к одной части речи, отличающихся грамматическими признаками;</w:t>
      </w:r>
    </w:p>
    <w:p w14:paraId="5594314E">
      <w:pPr>
        <w:spacing w:after="0" w:line="355" w:lineRule="auto"/>
        <w:ind w:firstLine="709"/>
        <w:jc w:val="both"/>
        <w:rPr>
          <w:rFonts w:ascii="Times New Roman" w:hAnsi="Times New Roman" w:eastAsia="SchoolBookSanPin"/>
        </w:rPr>
      </w:pPr>
      <w:r>
        <w:rPr>
          <w:rFonts w:ascii="Times New Roman" w:hAnsi="Times New Roman" w:eastAsia="SchoolBookSanPin"/>
        </w:rPr>
        <w:t>группировать слова на основании того, какой частью речи они являются;</w:t>
      </w:r>
    </w:p>
    <w:p w14:paraId="1DC2F0EB">
      <w:pPr>
        <w:spacing w:after="0" w:line="355" w:lineRule="auto"/>
        <w:ind w:firstLine="709"/>
        <w:jc w:val="both"/>
        <w:rPr>
          <w:rFonts w:ascii="Times New Roman" w:hAnsi="Times New Roman" w:eastAsia="SchoolBookSanPin"/>
        </w:rPr>
      </w:pPr>
      <w:r>
        <w:rPr>
          <w:rFonts w:ascii="Times New Roman" w:hAnsi="Times New Roman" w:eastAsia="SchoolBookSanPin"/>
        </w:rPr>
        <w:t>объединять глаголы в группы по определённому признаку (например, время, спряжение);</w:t>
      </w:r>
    </w:p>
    <w:p w14:paraId="26C38862">
      <w:pPr>
        <w:spacing w:after="0" w:line="355" w:lineRule="auto"/>
        <w:ind w:firstLine="709"/>
        <w:jc w:val="both"/>
        <w:rPr>
          <w:rFonts w:ascii="Times New Roman" w:hAnsi="Times New Roman" w:eastAsia="SchoolBookSanPin"/>
        </w:rPr>
      </w:pPr>
      <w:r>
        <w:rPr>
          <w:rFonts w:ascii="Times New Roman" w:hAnsi="Times New Roman" w:eastAsia="SchoolBookSanPin"/>
        </w:rPr>
        <w:t>объединять предложения по определённому признаку, самостоятельно устанавливать этот признак;</w:t>
      </w:r>
    </w:p>
    <w:p w14:paraId="68CE2AC9">
      <w:pPr>
        <w:spacing w:after="0" w:line="355" w:lineRule="auto"/>
        <w:ind w:firstLine="709"/>
        <w:jc w:val="both"/>
        <w:rPr>
          <w:rFonts w:ascii="Times New Roman" w:hAnsi="Times New Roman" w:eastAsia="SchoolBookSanPin"/>
        </w:rPr>
      </w:pPr>
      <w:r>
        <w:rPr>
          <w:rFonts w:ascii="Times New Roman" w:hAnsi="Times New Roman" w:eastAsia="SchoolBookSanPin"/>
        </w:rPr>
        <w:t>классифицировать предложенные языковые единицы;</w:t>
      </w:r>
    </w:p>
    <w:p w14:paraId="75961747">
      <w:pPr>
        <w:spacing w:after="0" w:line="355" w:lineRule="auto"/>
        <w:ind w:firstLine="709"/>
        <w:jc w:val="both"/>
        <w:rPr>
          <w:rFonts w:ascii="Times New Roman" w:hAnsi="Times New Roman" w:eastAsia="SchoolBookSanPin"/>
        </w:rPr>
      </w:pPr>
      <w:r>
        <w:rPr>
          <w:rFonts w:ascii="Times New Roman" w:hAnsi="Times New Roman" w:eastAsia="SchoolBookSanPin"/>
        </w:rPr>
        <w:t>устно характеризовать языковые единицы по заданным признакам;</w:t>
      </w:r>
    </w:p>
    <w:p w14:paraId="21ECE42E">
      <w:pPr>
        <w:spacing w:after="0" w:line="355" w:lineRule="auto"/>
        <w:ind w:firstLine="709"/>
        <w:jc w:val="both"/>
        <w:rPr>
          <w:rFonts w:ascii="Times New Roman" w:hAnsi="Times New Roman" w:eastAsia="SchoolBookSanPin"/>
        </w:rPr>
      </w:pPr>
      <w:r>
        <w:rPr>
          <w:rFonts w:ascii="Times New Roman" w:hAnsi="Times New Roman" w:eastAsia="SchoolBookSanPin"/>
        </w:rPr>
        <w:t>ориентироваться в изученных понятиях (склонение, спряжение, неопределённая форма, однородные члены предложения, сложное предложение) и соотносить понятие с его краткой характеристикой.</w:t>
      </w:r>
    </w:p>
    <w:p w14:paraId="2B4220E0">
      <w:pPr>
        <w:spacing w:after="0" w:line="355" w:lineRule="auto"/>
        <w:ind w:firstLine="709"/>
        <w:jc w:val="both"/>
        <w:rPr>
          <w:rFonts w:ascii="Times New Roman" w:hAnsi="Times New Roman" w:eastAsia="SchoolBookSanPin"/>
        </w:rPr>
      </w:pPr>
      <w:r>
        <w:rPr>
          <w:rFonts w:ascii="Times New Roman" w:hAnsi="Times New Roman" w:eastAsia="OfficinaSansBoldITC"/>
        </w:rPr>
        <w:t>2.9.10.2. </w:t>
      </w:r>
      <w:r>
        <w:rPr>
          <w:rFonts w:ascii="Times New Roman" w:hAnsi="Times New Roman" w:eastAsia="SchoolBookSanPin"/>
        </w:rPr>
        <w:t xml:space="preserve">Базовые исследовательские действия как часть </w:t>
      </w:r>
      <w:r>
        <w:rPr>
          <w:rFonts w:ascii="Times New Roman" w:hAnsi="Times New Roman" w:eastAsia="SchoolBookSanPin"/>
          <w:bCs/>
        </w:rPr>
        <w:t>познавательных универсальных учебных действий</w:t>
      </w:r>
      <w:r>
        <w:rPr>
          <w:rFonts w:ascii="Times New Roman" w:hAnsi="Times New Roman" w:eastAsia="SchoolBookSanPin"/>
        </w:rPr>
        <w:t>:</w:t>
      </w:r>
    </w:p>
    <w:p w14:paraId="1DC97F86">
      <w:pPr>
        <w:spacing w:after="0" w:line="355" w:lineRule="auto"/>
        <w:ind w:firstLine="709"/>
        <w:jc w:val="both"/>
        <w:rPr>
          <w:rFonts w:ascii="Times New Roman" w:hAnsi="Times New Roman" w:eastAsia="SchoolBookSanPin"/>
        </w:rPr>
      </w:pPr>
      <w:r>
        <w:rPr>
          <w:rFonts w:ascii="Times New Roman" w:hAnsi="Times New Roman" w:eastAsia="SchoolBookSanPin"/>
        </w:rPr>
        <w:t>сравнивать несколько вариантов выполнения заданий по русскому языку, выбирать наиболее целесообразный (на основе предложенных критериев);</w:t>
      </w:r>
    </w:p>
    <w:p w14:paraId="479BF8B8">
      <w:pPr>
        <w:spacing w:after="0" w:line="355" w:lineRule="auto"/>
        <w:ind w:firstLine="709"/>
        <w:jc w:val="both"/>
        <w:rPr>
          <w:rFonts w:ascii="Times New Roman" w:hAnsi="Times New Roman" w:eastAsia="SchoolBookSanPin"/>
        </w:rPr>
      </w:pPr>
      <w:r>
        <w:rPr>
          <w:rFonts w:ascii="Times New Roman" w:hAnsi="Times New Roman" w:eastAsia="SchoolBookSanPin"/>
        </w:rPr>
        <w:t>проводить по предложенному алгоритму различные виды анализа (звуко­буквенный, морфемный, морфологический, синтаксический);</w:t>
      </w:r>
    </w:p>
    <w:p w14:paraId="4D3FD06A">
      <w:pPr>
        <w:spacing w:after="0" w:line="355" w:lineRule="auto"/>
        <w:ind w:firstLine="709"/>
        <w:jc w:val="both"/>
        <w:rPr>
          <w:rFonts w:ascii="Times New Roman" w:hAnsi="Times New Roman" w:eastAsia="SchoolBookSanPin"/>
        </w:rPr>
      </w:pPr>
      <w:r>
        <w:rPr>
          <w:rFonts w:ascii="Times New Roman" w:hAnsi="Times New Roman" w:eastAsia="SchoolBookSanPin"/>
        </w:rPr>
        <w:t>формулировать выводы и подкреплять их доказательствами на основе результатов проведённого наблюдения за языковым материалом (классификации, сравнения, мини­исследования);</w:t>
      </w:r>
    </w:p>
    <w:p w14:paraId="2BC2CCF6">
      <w:pPr>
        <w:spacing w:after="0" w:line="355" w:lineRule="auto"/>
        <w:ind w:firstLine="709"/>
        <w:jc w:val="both"/>
        <w:rPr>
          <w:rFonts w:ascii="Times New Roman" w:hAnsi="Times New Roman" w:eastAsia="SchoolBookSanPin"/>
        </w:rPr>
      </w:pPr>
      <w:r>
        <w:rPr>
          <w:rFonts w:ascii="Times New Roman" w:hAnsi="Times New Roman" w:eastAsia="SchoolBookSanPin"/>
        </w:rPr>
        <w:t>выявлять недостаток информации для решения учебной (практической) задачи на основе предложенного алгоритма;</w:t>
      </w:r>
    </w:p>
    <w:p w14:paraId="3066C903">
      <w:pPr>
        <w:spacing w:after="0" w:line="355" w:lineRule="auto"/>
        <w:ind w:firstLine="709"/>
        <w:jc w:val="both"/>
        <w:rPr>
          <w:rFonts w:ascii="Times New Roman" w:hAnsi="Times New Roman" w:eastAsia="SchoolBookSanPin"/>
        </w:rPr>
      </w:pPr>
      <w:r>
        <w:rPr>
          <w:rFonts w:ascii="Times New Roman" w:hAnsi="Times New Roman" w:eastAsia="SchoolBookSanPin"/>
        </w:rPr>
        <w:t xml:space="preserve">прогнозировать возможное развитие речевой ситуации. </w:t>
      </w:r>
    </w:p>
    <w:p w14:paraId="54546503">
      <w:pPr>
        <w:spacing w:after="0" w:line="355" w:lineRule="auto"/>
        <w:ind w:firstLine="709"/>
        <w:jc w:val="both"/>
        <w:rPr>
          <w:rFonts w:ascii="Times New Roman" w:hAnsi="Times New Roman" w:eastAsia="SchoolBookSanPin"/>
        </w:rPr>
      </w:pPr>
      <w:r>
        <w:rPr>
          <w:rFonts w:ascii="Times New Roman" w:hAnsi="Times New Roman" w:eastAsia="OfficinaSansBoldITC"/>
        </w:rPr>
        <w:t>2.9.10.3. </w:t>
      </w:r>
      <w:r>
        <w:rPr>
          <w:rFonts w:ascii="Times New Roman" w:hAnsi="Times New Roman" w:eastAsia="SchoolBookSanPin"/>
        </w:rPr>
        <w:t>Работа с информацией как часть познавательных универсальных учебных действий:</w:t>
      </w:r>
    </w:p>
    <w:p w14:paraId="20638CCE">
      <w:pPr>
        <w:spacing w:after="0" w:line="355" w:lineRule="auto"/>
        <w:ind w:firstLine="709"/>
        <w:jc w:val="both"/>
        <w:rPr>
          <w:rFonts w:ascii="Times New Roman" w:hAnsi="Times New Roman" w:eastAsia="SchoolBookSanPin"/>
        </w:rPr>
      </w:pPr>
      <w:r>
        <w:rPr>
          <w:rFonts w:ascii="Times New Roman" w:hAnsi="Times New Roman" w:eastAsia="SchoolBookSanPin"/>
        </w:rPr>
        <w:t>выбирать источник получения информации, работать со словарями, справочниками в поисках информации, необходимой для решения учебно­практической задачи; находить дополнительную информацию, используя справочники и словари;</w:t>
      </w:r>
    </w:p>
    <w:p w14:paraId="25DFEE74">
      <w:pPr>
        <w:spacing w:after="0" w:line="355" w:lineRule="auto"/>
        <w:ind w:firstLine="709"/>
        <w:jc w:val="both"/>
        <w:rPr>
          <w:rFonts w:ascii="Times New Roman" w:hAnsi="Times New Roman" w:eastAsia="SchoolBookSanPin"/>
        </w:rPr>
      </w:pPr>
      <w:r>
        <w:rPr>
          <w:rFonts w:ascii="Times New Roman" w:hAnsi="Times New Roman" w:eastAsia="SchoolBookSanPin"/>
        </w:rPr>
        <w:t>распознавать достоверную и недостоверную информацию о языковых единицах самостоятельно или на основании предложенного учителем способа её проверки;</w:t>
      </w:r>
    </w:p>
    <w:p w14:paraId="6CA3E64C">
      <w:pPr>
        <w:spacing w:after="0" w:line="355" w:lineRule="auto"/>
        <w:ind w:firstLine="709"/>
        <w:jc w:val="both"/>
        <w:rPr>
          <w:rFonts w:ascii="Times New Roman" w:hAnsi="Times New Roman" w:eastAsia="SchoolBookSanPin"/>
        </w:rPr>
      </w:pPr>
      <w:r>
        <w:rPr>
          <w:rFonts w:ascii="Times New Roman" w:hAnsi="Times New Roman" w:eastAsia="SchoolBookSanPin"/>
        </w:rPr>
        <w:t>соблюдать элементарные правила информационной безопасности при поиске для выполнения заданий по русскому языку информации в Интернете;</w:t>
      </w:r>
    </w:p>
    <w:p w14:paraId="7691C2FF">
      <w:pPr>
        <w:spacing w:after="0" w:line="355" w:lineRule="auto"/>
        <w:ind w:firstLine="709"/>
        <w:jc w:val="both"/>
        <w:rPr>
          <w:rFonts w:ascii="Times New Roman" w:hAnsi="Times New Roman" w:eastAsia="SchoolBookSanPin"/>
        </w:rPr>
      </w:pPr>
      <w:r>
        <w:rPr>
          <w:rFonts w:ascii="Times New Roman" w:hAnsi="Times New Roman" w:eastAsia="SchoolBookSanPin"/>
        </w:rPr>
        <w:t>самостоятельно создавать схемы, таблицы для представления информации.</w:t>
      </w:r>
    </w:p>
    <w:p w14:paraId="5542EFBC">
      <w:pPr>
        <w:spacing w:after="0" w:line="355" w:lineRule="auto"/>
        <w:ind w:firstLine="709"/>
        <w:jc w:val="both"/>
        <w:rPr>
          <w:rFonts w:ascii="Times New Roman" w:hAnsi="Times New Roman" w:eastAsia="SchoolBookSanPin"/>
        </w:rPr>
      </w:pPr>
      <w:r>
        <w:rPr>
          <w:rFonts w:ascii="Times New Roman" w:hAnsi="Times New Roman" w:eastAsia="OfficinaSansBoldITC"/>
        </w:rPr>
        <w:t>2.9.10.4. </w:t>
      </w:r>
      <w:r>
        <w:rPr>
          <w:rFonts w:ascii="Times New Roman" w:hAnsi="Times New Roman" w:eastAsia="SchoolBookSanPin"/>
        </w:rPr>
        <w:t>Общение как часть коммуникативных универсальных учебных действий:</w:t>
      </w:r>
    </w:p>
    <w:p w14:paraId="033CB33A">
      <w:pPr>
        <w:spacing w:after="0" w:line="355" w:lineRule="auto"/>
        <w:ind w:firstLine="709"/>
        <w:jc w:val="both"/>
        <w:rPr>
          <w:rFonts w:ascii="Times New Roman" w:hAnsi="Times New Roman" w:eastAsia="SchoolBookSanPin"/>
        </w:rPr>
      </w:pPr>
      <w:r>
        <w:rPr>
          <w:rFonts w:ascii="Times New Roman" w:hAnsi="Times New Roman" w:eastAsia="SchoolBookSanPin"/>
        </w:rPr>
        <w:t>воспринимать и формулировать суждения, выбирать языковые средства для выражения эмоций в соответствии с целями и условиями общения в знакомой среде;</w:t>
      </w:r>
    </w:p>
    <w:p w14:paraId="014DA962">
      <w:pPr>
        <w:spacing w:after="0" w:line="355" w:lineRule="auto"/>
        <w:ind w:firstLine="709"/>
        <w:jc w:val="both"/>
        <w:rPr>
          <w:rFonts w:ascii="Times New Roman" w:hAnsi="Times New Roman" w:eastAsia="SchoolBookSanPin"/>
        </w:rPr>
      </w:pPr>
      <w:r>
        <w:rPr>
          <w:rFonts w:ascii="Times New Roman" w:hAnsi="Times New Roman" w:eastAsia="SchoolBookSanPin"/>
        </w:rPr>
        <w:t>строить устное высказывание при обосновании правильности написания, при обобщении результатов наблюдения за орфографическим материалом;</w:t>
      </w:r>
    </w:p>
    <w:p w14:paraId="75E5A5A4">
      <w:pPr>
        <w:spacing w:after="0" w:line="355" w:lineRule="auto"/>
        <w:ind w:firstLine="709"/>
        <w:jc w:val="both"/>
        <w:rPr>
          <w:rFonts w:ascii="Times New Roman" w:hAnsi="Times New Roman" w:eastAsia="SchoolBookSanPin"/>
        </w:rPr>
      </w:pPr>
      <w:r>
        <w:rPr>
          <w:rFonts w:ascii="Times New Roman" w:hAnsi="Times New Roman" w:eastAsia="SchoolBookSanPin"/>
        </w:rPr>
        <w:t>создавать устные и письменные тексты (описание, рассуждение, повествование), определяя необходимый в данной речевой ситуации тип текста;</w:t>
      </w:r>
    </w:p>
    <w:p w14:paraId="0E710AE6">
      <w:pPr>
        <w:spacing w:after="0" w:line="355" w:lineRule="auto"/>
        <w:ind w:firstLine="709"/>
        <w:jc w:val="both"/>
        <w:rPr>
          <w:rFonts w:ascii="Times New Roman" w:hAnsi="Times New Roman" w:eastAsia="SchoolBookSanPin"/>
        </w:rPr>
      </w:pPr>
      <w:r>
        <w:rPr>
          <w:rFonts w:ascii="Times New Roman" w:hAnsi="Times New Roman" w:eastAsia="SchoolBookSanPin"/>
        </w:rPr>
        <w:t>подготавливать небольшие публичные выступления;</w:t>
      </w:r>
    </w:p>
    <w:p w14:paraId="175B71FD">
      <w:pPr>
        <w:spacing w:after="0" w:line="355" w:lineRule="auto"/>
        <w:ind w:firstLine="709"/>
        <w:jc w:val="both"/>
        <w:rPr>
          <w:rFonts w:ascii="Times New Roman" w:hAnsi="Times New Roman" w:eastAsia="SchoolBookSanPin"/>
        </w:rPr>
      </w:pPr>
      <w:r>
        <w:rPr>
          <w:rFonts w:ascii="Times New Roman" w:hAnsi="Times New Roman" w:eastAsia="SchoolBookSanPin"/>
        </w:rPr>
        <w:t>подбирать иллюстративный материал (рисунки, фото, плакаты) к тексту выступления.</w:t>
      </w:r>
    </w:p>
    <w:p w14:paraId="748A44CB">
      <w:pPr>
        <w:spacing w:after="0" w:line="355" w:lineRule="auto"/>
        <w:ind w:firstLine="709"/>
        <w:jc w:val="both"/>
        <w:rPr>
          <w:rFonts w:ascii="Times New Roman" w:hAnsi="Times New Roman" w:eastAsia="SchoolBookSanPin"/>
        </w:rPr>
      </w:pPr>
      <w:r>
        <w:rPr>
          <w:rFonts w:ascii="Times New Roman" w:hAnsi="Times New Roman" w:eastAsia="OfficinaSansBoldITC"/>
        </w:rPr>
        <w:t>2.9.10.5. </w:t>
      </w:r>
      <w:r>
        <w:rPr>
          <w:rFonts w:ascii="Times New Roman" w:hAnsi="Times New Roman" w:eastAsia="SchoolBookSanPin"/>
        </w:rPr>
        <w:t>Самоорганизация как часть регулятивных универсальных учебных действий:</w:t>
      </w:r>
    </w:p>
    <w:p w14:paraId="5308D3A1">
      <w:pPr>
        <w:spacing w:after="0" w:line="355" w:lineRule="auto"/>
        <w:ind w:firstLine="709"/>
        <w:jc w:val="both"/>
        <w:rPr>
          <w:rFonts w:ascii="Times New Roman" w:hAnsi="Times New Roman" w:eastAsia="SchoolBookSanPin"/>
        </w:rPr>
      </w:pPr>
      <w:r>
        <w:rPr>
          <w:rFonts w:ascii="Times New Roman" w:hAnsi="Times New Roman" w:eastAsia="SchoolBookSanPin"/>
        </w:rPr>
        <w:t>самостоятельно планировать действия по решению учебной задачи для получения результата;</w:t>
      </w:r>
    </w:p>
    <w:p w14:paraId="099A98F0">
      <w:pPr>
        <w:spacing w:after="0" w:line="355" w:lineRule="auto"/>
        <w:ind w:firstLine="709"/>
        <w:jc w:val="both"/>
        <w:rPr>
          <w:rFonts w:ascii="Times New Roman" w:hAnsi="Times New Roman" w:eastAsia="SchoolBookSanPin"/>
        </w:rPr>
      </w:pPr>
      <w:r>
        <w:rPr>
          <w:rFonts w:ascii="Times New Roman" w:hAnsi="Times New Roman" w:eastAsia="SchoolBookSanPin"/>
        </w:rPr>
        <w:t>выстраивать последовательность выбранных действий;</w:t>
      </w:r>
    </w:p>
    <w:p w14:paraId="6F4DD400">
      <w:pPr>
        <w:spacing w:after="0" w:line="355" w:lineRule="auto"/>
        <w:ind w:firstLine="709"/>
        <w:jc w:val="both"/>
        <w:rPr>
          <w:rFonts w:ascii="Times New Roman" w:hAnsi="Times New Roman" w:eastAsia="SchoolBookSanPin"/>
        </w:rPr>
      </w:pPr>
      <w:r>
        <w:rPr>
          <w:rFonts w:ascii="Times New Roman" w:hAnsi="Times New Roman" w:eastAsia="SchoolBookSanPin"/>
        </w:rPr>
        <w:t>предвидеть трудности и возможные ошибки.</w:t>
      </w:r>
    </w:p>
    <w:p w14:paraId="112E1756">
      <w:pPr>
        <w:spacing w:after="0" w:line="355" w:lineRule="auto"/>
        <w:ind w:firstLine="709"/>
        <w:jc w:val="both"/>
        <w:rPr>
          <w:rFonts w:ascii="Times New Roman" w:hAnsi="Times New Roman" w:eastAsia="SchoolBookSanPin"/>
        </w:rPr>
      </w:pPr>
      <w:r>
        <w:rPr>
          <w:rFonts w:ascii="Times New Roman" w:hAnsi="Times New Roman" w:eastAsia="OfficinaSansBoldITC"/>
        </w:rPr>
        <w:t>2.9.10.6. </w:t>
      </w:r>
      <w:r>
        <w:rPr>
          <w:rFonts w:ascii="Times New Roman" w:hAnsi="Times New Roman" w:eastAsia="SchoolBookSanPin"/>
        </w:rPr>
        <w:t>Самоконтроль как часть регулятивных универсальных учебных действий:</w:t>
      </w:r>
    </w:p>
    <w:p w14:paraId="65014C9F">
      <w:pPr>
        <w:spacing w:after="0" w:line="355" w:lineRule="auto"/>
        <w:ind w:firstLine="709"/>
        <w:jc w:val="both"/>
        <w:rPr>
          <w:rFonts w:ascii="Times New Roman" w:hAnsi="Times New Roman" w:eastAsia="SchoolBookSanPin"/>
        </w:rPr>
      </w:pPr>
      <w:r>
        <w:rPr>
          <w:rFonts w:ascii="Times New Roman" w:hAnsi="Times New Roman" w:eastAsia="SchoolBookSanPin"/>
        </w:rPr>
        <w:t>контролировать процесс и результат выполнения задания, корректировать учебные действия для преодоления ошибок;</w:t>
      </w:r>
    </w:p>
    <w:p w14:paraId="390F55AA">
      <w:pPr>
        <w:spacing w:after="0" w:line="355" w:lineRule="auto"/>
        <w:ind w:firstLine="709"/>
        <w:jc w:val="both"/>
        <w:rPr>
          <w:rFonts w:ascii="Times New Roman" w:hAnsi="Times New Roman" w:eastAsia="SchoolBookSanPin"/>
        </w:rPr>
      </w:pPr>
      <w:r>
        <w:rPr>
          <w:rFonts w:ascii="Times New Roman" w:hAnsi="Times New Roman" w:eastAsia="SchoolBookSanPin"/>
        </w:rPr>
        <w:t>находить ошибки в своей и чужих работах, устанавливать их причины;</w:t>
      </w:r>
    </w:p>
    <w:p w14:paraId="415EFBC5">
      <w:pPr>
        <w:spacing w:after="0" w:line="355" w:lineRule="auto"/>
        <w:ind w:firstLine="709"/>
        <w:jc w:val="both"/>
        <w:rPr>
          <w:rFonts w:ascii="Times New Roman" w:hAnsi="Times New Roman" w:eastAsia="SchoolBookSanPin"/>
        </w:rPr>
      </w:pPr>
      <w:r>
        <w:rPr>
          <w:rFonts w:ascii="Times New Roman" w:hAnsi="Times New Roman" w:eastAsia="SchoolBookSanPin"/>
        </w:rPr>
        <w:t>оценивать по предложенным критериям общий результат деятельности и свой вклад в неё;</w:t>
      </w:r>
    </w:p>
    <w:p w14:paraId="17B184E5">
      <w:pPr>
        <w:spacing w:after="0" w:line="355" w:lineRule="auto"/>
        <w:ind w:firstLine="709"/>
        <w:jc w:val="both"/>
        <w:rPr>
          <w:rFonts w:ascii="Times New Roman" w:hAnsi="Times New Roman" w:eastAsia="SchoolBookSanPin"/>
        </w:rPr>
      </w:pPr>
      <w:r>
        <w:rPr>
          <w:rFonts w:ascii="Times New Roman" w:hAnsi="Times New Roman" w:eastAsia="SchoolBookSanPin"/>
        </w:rPr>
        <w:t>принимать оценку своей работы.</w:t>
      </w:r>
    </w:p>
    <w:p w14:paraId="08510440">
      <w:pPr>
        <w:spacing w:after="0" w:line="355" w:lineRule="auto"/>
        <w:ind w:firstLine="709"/>
        <w:jc w:val="both"/>
        <w:rPr>
          <w:rFonts w:ascii="Times New Roman" w:hAnsi="Times New Roman" w:eastAsia="SchoolBookSanPin"/>
        </w:rPr>
      </w:pPr>
      <w:r>
        <w:rPr>
          <w:rFonts w:ascii="Times New Roman" w:hAnsi="Times New Roman" w:eastAsia="OfficinaSansBoldITC"/>
        </w:rPr>
        <w:t>2.9.10.7. </w:t>
      </w:r>
      <w:r>
        <w:rPr>
          <w:rFonts w:ascii="Times New Roman" w:hAnsi="Times New Roman" w:eastAsia="SchoolBookSanPin"/>
          <w:bCs/>
        </w:rPr>
        <w:t>Совместная деятельность</w:t>
      </w:r>
      <w:r>
        <w:rPr>
          <w:rFonts w:ascii="Times New Roman" w:hAnsi="Times New Roman" w:eastAsia="SchoolBookSanPin"/>
        </w:rPr>
        <w:t>:</w:t>
      </w:r>
    </w:p>
    <w:p w14:paraId="65813CA0">
      <w:pPr>
        <w:spacing w:after="0" w:line="355" w:lineRule="auto"/>
        <w:ind w:firstLine="709"/>
        <w:jc w:val="both"/>
        <w:rPr>
          <w:rFonts w:ascii="Times New Roman" w:hAnsi="Times New Roman" w:eastAsia="SchoolBookSanPin"/>
        </w:rPr>
      </w:pPr>
      <w:r>
        <w:rPr>
          <w:rFonts w:ascii="Times New Roman" w:hAnsi="Times New Roman" w:eastAsia="SchoolBookSanPin"/>
        </w:rPr>
        <w:t>принимать цель совместной деятельности, коллективно строить действия по её достижению: распределять роли, договариваться, обсуждать процесс и результат совместной работы;</w:t>
      </w:r>
    </w:p>
    <w:p w14:paraId="48577E8C">
      <w:pPr>
        <w:spacing w:after="0" w:line="355" w:lineRule="auto"/>
        <w:ind w:firstLine="709"/>
        <w:jc w:val="both"/>
        <w:rPr>
          <w:rFonts w:ascii="Times New Roman" w:hAnsi="Times New Roman" w:eastAsia="SchoolBookSanPin"/>
        </w:rPr>
      </w:pPr>
      <w:r>
        <w:rPr>
          <w:rFonts w:ascii="Times New Roman" w:hAnsi="Times New Roman" w:eastAsia="SchoolBookSanPin"/>
        </w:rPr>
        <w:t>проявлять готовность руководить, выполнять поручения, подчиняться;</w:t>
      </w:r>
    </w:p>
    <w:p w14:paraId="0BDAE0A8">
      <w:pPr>
        <w:spacing w:after="0" w:line="355" w:lineRule="auto"/>
        <w:ind w:firstLine="709"/>
        <w:jc w:val="both"/>
        <w:rPr>
          <w:rFonts w:ascii="Times New Roman" w:hAnsi="Times New Roman" w:eastAsia="SchoolBookSanPin"/>
        </w:rPr>
      </w:pPr>
      <w:r>
        <w:rPr>
          <w:rFonts w:ascii="Times New Roman" w:hAnsi="Times New Roman" w:eastAsia="SchoolBookSanPin"/>
        </w:rPr>
        <w:t>ответственно выполнять свою часть работы;</w:t>
      </w:r>
    </w:p>
    <w:p w14:paraId="24958288">
      <w:pPr>
        <w:spacing w:after="0" w:line="355" w:lineRule="auto"/>
        <w:ind w:firstLine="709"/>
        <w:jc w:val="both"/>
        <w:rPr>
          <w:rFonts w:ascii="Times New Roman" w:hAnsi="Times New Roman" w:eastAsia="SchoolBookSanPin"/>
        </w:rPr>
      </w:pPr>
      <w:r>
        <w:rPr>
          <w:rFonts w:ascii="Times New Roman" w:hAnsi="Times New Roman" w:eastAsia="SchoolBookSanPin"/>
        </w:rPr>
        <w:t>оценивать свой вклад в общий результат;</w:t>
      </w:r>
    </w:p>
    <w:p w14:paraId="7ACBD7D6">
      <w:pPr>
        <w:spacing w:after="0" w:line="355" w:lineRule="auto"/>
        <w:ind w:firstLine="709"/>
        <w:jc w:val="both"/>
        <w:rPr>
          <w:rFonts w:ascii="Times New Roman" w:hAnsi="Times New Roman" w:eastAsia="SchoolBookSanPin"/>
        </w:rPr>
      </w:pPr>
      <w:r>
        <w:rPr>
          <w:rFonts w:ascii="Times New Roman" w:hAnsi="Times New Roman" w:eastAsia="SchoolBookSanPin"/>
        </w:rPr>
        <w:t>выполнять совместные проектные задания с использованием предложенных образцов, планов, идей.</w:t>
      </w:r>
    </w:p>
    <w:p w14:paraId="2F180683">
      <w:pPr>
        <w:spacing w:after="0" w:line="355" w:lineRule="auto"/>
        <w:ind w:firstLine="709"/>
        <w:jc w:val="both"/>
        <w:rPr>
          <w:rFonts w:ascii="Times New Roman" w:hAnsi="Times New Roman" w:eastAsia="OfficinaSansBoldITC"/>
        </w:rPr>
      </w:pPr>
      <w:r>
        <w:rPr>
          <w:rFonts w:ascii="Times New Roman" w:hAnsi="Times New Roman" w:eastAsia="OfficinaSansBoldITC"/>
        </w:rPr>
        <w:t>2.10. Планируемые результаты освоения программы по русскому языку на уровне начального общего образования.</w:t>
      </w:r>
    </w:p>
    <w:p w14:paraId="6C758E85">
      <w:pPr>
        <w:spacing w:after="0" w:line="355" w:lineRule="auto"/>
        <w:ind w:firstLine="709"/>
        <w:jc w:val="both"/>
        <w:rPr>
          <w:rFonts w:ascii="Times New Roman" w:hAnsi="Times New Roman" w:eastAsia="SchoolBookSanPin"/>
        </w:rPr>
      </w:pPr>
      <w:r>
        <w:rPr>
          <w:rFonts w:ascii="Times New Roman" w:hAnsi="Times New Roman" w:eastAsia="SchoolBookSanPin"/>
        </w:rPr>
        <w:t>2.10.1. В результате изучения русского языка на уровне начального общего образования у обучающегося будут сформированы личностные результаты:</w:t>
      </w:r>
    </w:p>
    <w:p w14:paraId="238EF710">
      <w:pPr>
        <w:spacing w:after="0" w:line="355" w:lineRule="auto"/>
        <w:ind w:firstLine="709"/>
        <w:jc w:val="both"/>
        <w:rPr>
          <w:rFonts w:ascii="Times New Roman" w:hAnsi="Times New Roman" w:eastAsia="SchoolBookSanPin"/>
        </w:rPr>
      </w:pPr>
      <w:r>
        <w:rPr>
          <w:rFonts w:ascii="Times New Roman" w:hAnsi="Times New Roman" w:eastAsia="SchoolBookSanPin"/>
        </w:rPr>
        <w:t xml:space="preserve">1) гражданско-патриотическое воспитание: </w:t>
      </w:r>
    </w:p>
    <w:p w14:paraId="185A9F29">
      <w:pPr>
        <w:spacing w:after="0" w:line="355" w:lineRule="auto"/>
        <w:ind w:firstLine="709"/>
        <w:jc w:val="both"/>
        <w:rPr>
          <w:rFonts w:ascii="Times New Roman" w:hAnsi="Times New Roman" w:eastAsia="SchoolBookSanPin"/>
        </w:rPr>
      </w:pPr>
      <w:r>
        <w:rPr>
          <w:rFonts w:ascii="Times New Roman" w:hAnsi="Times New Roman" w:eastAsia="SchoolBookSanPin"/>
        </w:rPr>
        <w:t>становление ценностного отношения к своей Родине, в том числе через изучение русского языка, отражающего историю и культуру страны;</w:t>
      </w:r>
    </w:p>
    <w:p w14:paraId="5B10436F">
      <w:pPr>
        <w:spacing w:after="0" w:line="355" w:lineRule="auto"/>
        <w:ind w:firstLine="709"/>
        <w:jc w:val="both"/>
        <w:rPr>
          <w:rFonts w:ascii="Times New Roman" w:hAnsi="Times New Roman" w:eastAsia="SchoolBookSanPin"/>
        </w:rPr>
      </w:pPr>
      <w:r>
        <w:rPr>
          <w:rFonts w:ascii="Times New Roman" w:hAnsi="Times New Roman" w:eastAsia="SchoolBookSanPin"/>
        </w:rPr>
        <w:t>осознание своей этнокультурной и российской гражданской идентичности, понимание роли русского языка как государственного языка Российской Федерации и языка межнационального общения народов России;</w:t>
      </w:r>
    </w:p>
    <w:p w14:paraId="29321305">
      <w:pPr>
        <w:spacing w:after="0" w:line="355" w:lineRule="auto"/>
        <w:ind w:firstLine="709"/>
        <w:jc w:val="both"/>
        <w:rPr>
          <w:rFonts w:ascii="Times New Roman" w:hAnsi="Times New Roman" w:eastAsia="SchoolBookSanPin"/>
        </w:rPr>
      </w:pPr>
      <w:r>
        <w:rPr>
          <w:rFonts w:ascii="Times New Roman" w:hAnsi="Times New Roman" w:eastAsia="SchoolBookSanPin"/>
        </w:rPr>
        <w:t>осознание своей сопричастности к прошлому, настоящему и будущему своей страны и родного края, в том числе через обсуждение ситуаций при работе с текстами на уроках русского языка;</w:t>
      </w:r>
    </w:p>
    <w:p w14:paraId="3657B9CE">
      <w:pPr>
        <w:spacing w:after="0" w:line="355" w:lineRule="auto"/>
        <w:ind w:firstLine="709"/>
        <w:jc w:val="both"/>
        <w:rPr>
          <w:rFonts w:ascii="Times New Roman" w:hAnsi="Times New Roman" w:eastAsia="SchoolBookSanPin"/>
        </w:rPr>
      </w:pPr>
      <w:r>
        <w:rPr>
          <w:rFonts w:ascii="Times New Roman" w:hAnsi="Times New Roman" w:eastAsia="SchoolBookSanPin"/>
        </w:rPr>
        <w:t>проявление уважения к своему и другим народам, формируемое в том числе на основе примеров из текстов, с которыми идёт работа на уроках русского языка;</w:t>
      </w:r>
    </w:p>
    <w:p w14:paraId="394A9949">
      <w:pPr>
        <w:spacing w:after="0" w:line="355" w:lineRule="auto"/>
        <w:ind w:firstLine="709"/>
        <w:jc w:val="both"/>
        <w:rPr>
          <w:rFonts w:ascii="Times New Roman" w:hAnsi="Times New Roman" w:eastAsia="SchoolBookSanPin"/>
        </w:rPr>
      </w:pPr>
      <w:r>
        <w:rPr>
          <w:rFonts w:ascii="Times New Roman" w:hAnsi="Times New Roman" w:eastAsia="SchoolBookSanPin"/>
        </w:rPr>
        <w:t>первоначальные представления о человеке как члене общества, о правах и ответственности, уважении и достоинстве человека, о нравственно­этических нормах поведения и правилах межличностных отношений, в том числе отражённых в текстах, с которыми идёт работа на уроках русского языка;</w:t>
      </w:r>
    </w:p>
    <w:p w14:paraId="499EF950">
      <w:pPr>
        <w:spacing w:after="0" w:line="355" w:lineRule="auto"/>
        <w:ind w:firstLine="709"/>
        <w:jc w:val="both"/>
        <w:rPr>
          <w:rFonts w:ascii="Times New Roman" w:hAnsi="Times New Roman" w:eastAsia="SchoolBookSanPin"/>
        </w:rPr>
      </w:pPr>
      <w:r>
        <w:rPr>
          <w:rFonts w:ascii="Times New Roman" w:hAnsi="Times New Roman" w:eastAsia="SchoolBookSanPin"/>
        </w:rPr>
        <w:t>2) духовно-нравственное воспитание:</w:t>
      </w:r>
    </w:p>
    <w:p w14:paraId="4E0E4103">
      <w:pPr>
        <w:spacing w:after="0" w:line="355" w:lineRule="auto"/>
        <w:ind w:firstLine="709"/>
        <w:jc w:val="both"/>
        <w:rPr>
          <w:rFonts w:ascii="Times New Roman" w:hAnsi="Times New Roman" w:eastAsia="SchoolBookSanPin"/>
        </w:rPr>
      </w:pPr>
      <w:r>
        <w:rPr>
          <w:rFonts w:ascii="Times New Roman" w:hAnsi="Times New Roman" w:eastAsia="SchoolBookSanPin"/>
        </w:rPr>
        <w:t>осознание языка как одной из главных духовно-нравственных ценностей народа;</w:t>
      </w:r>
    </w:p>
    <w:p w14:paraId="0F528CAC">
      <w:pPr>
        <w:spacing w:after="0" w:line="355" w:lineRule="auto"/>
        <w:ind w:firstLine="709"/>
        <w:jc w:val="both"/>
        <w:rPr>
          <w:rFonts w:ascii="Times New Roman" w:hAnsi="Times New Roman" w:eastAsia="SchoolBookSanPin"/>
        </w:rPr>
      </w:pPr>
      <w:r>
        <w:rPr>
          <w:rFonts w:ascii="Times New Roman" w:hAnsi="Times New Roman" w:eastAsia="SchoolBookSanPin"/>
        </w:rPr>
        <w:t>признание индивидуальности каждого человека с использованием собственного жизненного и читательского опыта;</w:t>
      </w:r>
    </w:p>
    <w:p w14:paraId="1AE7495E">
      <w:pPr>
        <w:spacing w:after="0" w:line="355" w:lineRule="auto"/>
        <w:ind w:firstLine="709"/>
        <w:jc w:val="both"/>
        <w:rPr>
          <w:rFonts w:ascii="Times New Roman" w:hAnsi="Times New Roman" w:eastAsia="SchoolBookSanPin"/>
        </w:rPr>
      </w:pPr>
      <w:r>
        <w:rPr>
          <w:rFonts w:ascii="Times New Roman" w:hAnsi="Times New Roman" w:eastAsia="SchoolBookSanPin"/>
        </w:rPr>
        <w:t>проявление сопереживания, уважения и доброжелательности, в том числе с использованием языковых средств для выражения своего состояния и чувств;</w:t>
      </w:r>
    </w:p>
    <w:p w14:paraId="2763D454">
      <w:pPr>
        <w:spacing w:after="0" w:line="355" w:lineRule="auto"/>
        <w:ind w:firstLine="709"/>
        <w:jc w:val="both"/>
        <w:rPr>
          <w:rFonts w:ascii="Times New Roman" w:hAnsi="Times New Roman" w:eastAsia="SchoolBookSanPin"/>
        </w:rPr>
      </w:pPr>
      <w:r>
        <w:rPr>
          <w:rFonts w:ascii="Times New Roman" w:hAnsi="Times New Roman" w:eastAsia="SchoolBookSanPin"/>
        </w:rPr>
        <w:t>неприятие любых форм поведения, направленных на причинение физического и морального вреда другим людям (в том числе связанного с использованием недопустимых средств языка);</w:t>
      </w:r>
    </w:p>
    <w:p w14:paraId="072892EF">
      <w:pPr>
        <w:spacing w:after="0" w:line="355" w:lineRule="auto"/>
        <w:ind w:firstLine="709"/>
        <w:jc w:val="both"/>
        <w:rPr>
          <w:rFonts w:ascii="Times New Roman" w:hAnsi="Times New Roman" w:eastAsia="OfficinaSansBoldITC"/>
        </w:rPr>
      </w:pPr>
      <w:r>
        <w:rPr>
          <w:rFonts w:ascii="Times New Roman" w:hAnsi="Times New Roman" w:eastAsia="OfficinaSansBoldITC"/>
        </w:rPr>
        <w:t>3) эстетическое воспитание:</w:t>
      </w:r>
    </w:p>
    <w:p w14:paraId="2F4566CE">
      <w:pPr>
        <w:spacing w:after="0" w:line="355" w:lineRule="auto"/>
        <w:ind w:firstLine="709"/>
        <w:jc w:val="both"/>
        <w:rPr>
          <w:rFonts w:ascii="Times New Roman" w:hAnsi="Times New Roman" w:eastAsia="SchoolBookSanPin"/>
        </w:rPr>
      </w:pPr>
      <w:r>
        <w:rPr>
          <w:rFonts w:ascii="Times New Roman" w:hAnsi="Times New Roman" w:eastAsia="SchoolBookSanPin"/>
        </w:rPr>
        <w:t>уважительное отношение и интерес к художественной культуре, восприимчивость к разным видам искусства, традициям и творчеству своего и других народов;</w:t>
      </w:r>
    </w:p>
    <w:p w14:paraId="16405336">
      <w:pPr>
        <w:spacing w:after="0" w:line="355" w:lineRule="auto"/>
        <w:ind w:firstLine="709"/>
        <w:jc w:val="both"/>
        <w:rPr>
          <w:rFonts w:ascii="Times New Roman" w:hAnsi="Times New Roman" w:eastAsia="SchoolBookSanPin"/>
        </w:rPr>
      </w:pPr>
      <w:r>
        <w:rPr>
          <w:rFonts w:ascii="Times New Roman" w:hAnsi="Times New Roman" w:eastAsia="SchoolBookSanPin"/>
        </w:rPr>
        <w:t>стремление к самовыражению в искусстве слова; осознание важности русского языка как средства общения и самовыражения;</w:t>
      </w:r>
    </w:p>
    <w:p w14:paraId="3E1C7736">
      <w:pPr>
        <w:spacing w:after="0" w:line="355" w:lineRule="auto"/>
        <w:ind w:firstLine="709"/>
        <w:jc w:val="both"/>
        <w:rPr>
          <w:rFonts w:ascii="Times New Roman" w:hAnsi="Times New Roman" w:eastAsia="SchoolBookSanPin"/>
        </w:rPr>
      </w:pPr>
      <w:r>
        <w:rPr>
          <w:rFonts w:ascii="Times New Roman" w:hAnsi="Times New Roman" w:eastAsia="SchoolBookSanPin"/>
        </w:rPr>
        <w:t>4) физическое воспитание, формирование культуры здоровья и эмоционального благополучия:</w:t>
      </w:r>
    </w:p>
    <w:p w14:paraId="3AA27CF3">
      <w:pPr>
        <w:spacing w:after="0" w:line="355" w:lineRule="auto"/>
        <w:ind w:firstLine="709"/>
        <w:jc w:val="both"/>
        <w:rPr>
          <w:rFonts w:ascii="Times New Roman" w:hAnsi="Times New Roman" w:eastAsia="SchoolBookSanPin"/>
        </w:rPr>
      </w:pPr>
      <w:r>
        <w:rPr>
          <w:rFonts w:ascii="Times New Roman" w:hAnsi="Times New Roman" w:eastAsia="SchoolBookSanPin"/>
        </w:rPr>
        <w:t>соблюдение правил безопасного поиска в информационной среде дополнительной информации в процессе языкового образования;</w:t>
      </w:r>
    </w:p>
    <w:p w14:paraId="32C89CF9">
      <w:pPr>
        <w:spacing w:after="0" w:line="355" w:lineRule="auto"/>
        <w:ind w:firstLine="709"/>
        <w:jc w:val="both"/>
        <w:rPr>
          <w:rFonts w:ascii="Times New Roman" w:hAnsi="Times New Roman" w:eastAsia="SchoolBookSanPin"/>
        </w:rPr>
      </w:pPr>
      <w:r>
        <w:rPr>
          <w:rFonts w:ascii="Times New Roman" w:hAnsi="Times New Roman" w:eastAsia="SchoolBookSanPin"/>
        </w:rPr>
        <w:t>бережное отношение к физическому и психическому здоровью, проявляющееся в выборе приемлемых способов речевого самовыражения соблюдении норм речевого этикета и правил общения;</w:t>
      </w:r>
    </w:p>
    <w:p w14:paraId="77875CF5">
      <w:pPr>
        <w:spacing w:after="0" w:line="355" w:lineRule="auto"/>
        <w:ind w:firstLine="709"/>
        <w:jc w:val="both"/>
        <w:rPr>
          <w:rFonts w:ascii="Times New Roman" w:hAnsi="Times New Roman" w:eastAsia="SchoolBookSanPin"/>
        </w:rPr>
      </w:pPr>
      <w:r>
        <w:rPr>
          <w:rFonts w:ascii="Times New Roman" w:hAnsi="Times New Roman" w:eastAsia="SchoolBookSanPin"/>
        </w:rPr>
        <w:t>5) трудовое воспитание:</w:t>
      </w:r>
    </w:p>
    <w:p w14:paraId="735E5ABC">
      <w:pPr>
        <w:spacing w:after="0" w:line="355" w:lineRule="auto"/>
        <w:ind w:firstLine="709"/>
        <w:jc w:val="both"/>
        <w:rPr>
          <w:rFonts w:ascii="Times New Roman" w:hAnsi="Times New Roman" w:eastAsia="SchoolBookSanPin"/>
        </w:rPr>
      </w:pPr>
      <w:r>
        <w:rPr>
          <w:rFonts w:ascii="Times New Roman" w:hAnsi="Times New Roman" w:eastAsia="SchoolBookSanPin"/>
        </w:rPr>
        <w:t>осознание ценности труда в жизни человека и общества (в том числе благодаря примерам из текстов, с которыми идёт работа на уроках русского языка), интерес к различным профессиям, возникающий при обсуждении примеров из текстов, с которыми идёт работа на уроках русского языка;</w:t>
      </w:r>
    </w:p>
    <w:p w14:paraId="084BBEEA">
      <w:pPr>
        <w:spacing w:after="0" w:line="355" w:lineRule="auto"/>
        <w:ind w:firstLine="709"/>
        <w:jc w:val="both"/>
        <w:rPr>
          <w:rFonts w:ascii="Times New Roman" w:hAnsi="Times New Roman" w:eastAsia="SchoolBookSanPin"/>
        </w:rPr>
      </w:pPr>
      <w:r>
        <w:rPr>
          <w:rFonts w:ascii="Times New Roman" w:hAnsi="Times New Roman" w:eastAsia="SchoolBookSanPin"/>
        </w:rPr>
        <w:t>6) экологическое воспитание:</w:t>
      </w:r>
    </w:p>
    <w:p w14:paraId="23F613C6">
      <w:pPr>
        <w:spacing w:after="0" w:line="355" w:lineRule="auto"/>
        <w:ind w:firstLine="709"/>
        <w:jc w:val="both"/>
        <w:rPr>
          <w:rFonts w:ascii="Times New Roman" w:hAnsi="Times New Roman" w:eastAsia="SchoolBookSanPin"/>
        </w:rPr>
      </w:pPr>
      <w:r>
        <w:rPr>
          <w:rFonts w:ascii="Times New Roman" w:hAnsi="Times New Roman" w:eastAsia="SchoolBookSanPin"/>
        </w:rPr>
        <w:t>бережное отношение к природе, формируемое в процессе работы с текстами;</w:t>
      </w:r>
    </w:p>
    <w:p w14:paraId="668DECAF">
      <w:pPr>
        <w:spacing w:after="0" w:line="355" w:lineRule="auto"/>
        <w:ind w:firstLine="709"/>
        <w:jc w:val="both"/>
        <w:rPr>
          <w:rFonts w:ascii="Times New Roman" w:hAnsi="Times New Roman" w:eastAsia="SchoolBookSanPin"/>
        </w:rPr>
      </w:pPr>
      <w:r>
        <w:rPr>
          <w:rFonts w:ascii="Times New Roman" w:hAnsi="Times New Roman" w:eastAsia="SchoolBookSanPin"/>
        </w:rPr>
        <w:t>неприятие действий, приносящих вред природе;</w:t>
      </w:r>
    </w:p>
    <w:p w14:paraId="4B3F8633">
      <w:pPr>
        <w:spacing w:after="0" w:line="355" w:lineRule="auto"/>
        <w:ind w:firstLine="709"/>
        <w:jc w:val="both"/>
        <w:rPr>
          <w:rFonts w:ascii="Times New Roman" w:hAnsi="Times New Roman" w:eastAsia="SchoolBookSanPin"/>
        </w:rPr>
      </w:pPr>
      <w:r>
        <w:rPr>
          <w:rFonts w:ascii="Times New Roman" w:hAnsi="Times New Roman" w:eastAsia="SchoolBookSanPin"/>
        </w:rPr>
        <w:t>7) ценность научного познания:</w:t>
      </w:r>
    </w:p>
    <w:p w14:paraId="72908AD9">
      <w:pPr>
        <w:spacing w:after="0" w:line="355" w:lineRule="auto"/>
        <w:ind w:firstLine="709"/>
        <w:jc w:val="both"/>
        <w:rPr>
          <w:rFonts w:ascii="Times New Roman" w:hAnsi="Times New Roman" w:eastAsia="SchoolBookSanPin"/>
        </w:rPr>
      </w:pPr>
      <w:r>
        <w:rPr>
          <w:rFonts w:ascii="Times New Roman" w:hAnsi="Times New Roman" w:eastAsia="SchoolBookSanPin"/>
        </w:rPr>
        <w:t>первоначальные представления о научной картине мира, в том числе первоначальные представления о системе языка как одной из составляющих целостной научной картины мира;</w:t>
      </w:r>
    </w:p>
    <w:p w14:paraId="0FE2CE6C">
      <w:pPr>
        <w:spacing w:after="0" w:line="355" w:lineRule="auto"/>
        <w:ind w:firstLine="709"/>
        <w:jc w:val="both"/>
        <w:rPr>
          <w:rFonts w:ascii="Times New Roman" w:hAnsi="Times New Roman" w:eastAsia="SchoolBookSanPin"/>
        </w:rPr>
      </w:pPr>
      <w:r>
        <w:rPr>
          <w:rFonts w:ascii="Times New Roman" w:hAnsi="Times New Roman" w:eastAsia="SchoolBookSanPin"/>
        </w:rPr>
        <w:t>познавательные интересы, активность, инициативность, любознательность и самостоятельность в познании, в том числе познавательный интерес к изучению русского языка, активность и самостоятельность в его познании.</w:t>
      </w:r>
    </w:p>
    <w:p w14:paraId="195DA30C">
      <w:pPr>
        <w:spacing w:after="0" w:line="355" w:lineRule="auto"/>
        <w:ind w:firstLine="709"/>
        <w:jc w:val="both"/>
        <w:rPr>
          <w:rFonts w:ascii="Times New Roman" w:hAnsi="Times New Roman" w:eastAsia="SchoolBookSanPin"/>
          <w:bCs/>
        </w:rPr>
      </w:pPr>
      <w:r>
        <w:rPr>
          <w:rFonts w:ascii="Times New Roman" w:hAnsi="Times New Roman" w:eastAsia="SchoolBookSanPin"/>
        </w:rPr>
        <w:t xml:space="preserve">2.10.2. В результате изучения русского языка на уровне начального общего образования у обучающегося будут сформированы </w:t>
      </w:r>
      <w:r>
        <w:rPr>
          <w:rFonts w:ascii="Times New Roman" w:hAnsi="Times New Roman" w:eastAsia="SchoolBookSanPin"/>
          <w:bCs/>
        </w:rPr>
        <w:t xml:space="preserve">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деятельность. </w:t>
      </w:r>
    </w:p>
    <w:p w14:paraId="72D4BD78">
      <w:pPr>
        <w:spacing w:after="0" w:line="355" w:lineRule="auto"/>
        <w:ind w:firstLine="709"/>
        <w:jc w:val="both"/>
        <w:rPr>
          <w:rFonts w:ascii="Times New Roman" w:hAnsi="Times New Roman" w:eastAsia="SchoolBookSanPin"/>
        </w:rPr>
      </w:pPr>
      <w:r>
        <w:rPr>
          <w:rFonts w:ascii="Times New Roman" w:hAnsi="Times New Roman" w:eastAsia="OfficinaSansBoldITC"/>
        </w:rPr>
        <w:t>2.10.2.1. </w:t>
      </w:r>
      <w:r>
        <w:rPr>
          <w:rFonts w:ascii="Times New Roman" w:hAnsi="Times New Roman" w:eastAsia="SchoolBookSanPin"/>
        </w:rPr>
        <w:t xml:space="preserve">У обучающегося будут сформированы следующие базовые логические действия как часть </w:t>
      </w:r>
      <w:r>
        <w:rPr>
          <w:rFonts w:ascii="Times New Roman" w:hAnsi="Times New Roman" w:eastAsia="SchoolBookSanPin"/>
          <w:bCs/>
        </w:rPr>
        <w:t>познавательных универсальных учебных действий</w:t>
      </w:r>
      <w:r>
        <w:rPr>
          <w:rFonts w:ascii="Times New Roman" w:hAnsi="Times New Roman" w:eastAsia="SchoolBookSanPin"/>
        </w:rPr>
        <w:t>:</w:t>
      </w:r>
    </w:p>
    <w:p w14:paraId="2BD9C1A3">
      <w:pPr>
        <w:spacing w:after="0" w:line="355" w:lineRule="auto"/>
        <w:ind w:firstLine="709"/>
        <w:jc w:val="both"/>
        <w:rPr>
          <w:rFonts w:ascii="Times New Roman" w:hAnsi="Times New Roman" w:eastAsia="SchoolBookSanPin"/>
        </w:rPr>
      </w:pPr>
      <w:r>
        <w:rPr>
          <w:rFonts w:ascii="Times New Roman" w:hAnsi="Times New Roman" w:eastAsia="SchoolBookSanPin"/>
        </w:rPr>
        <w:t>сравнивать различные языковые единицы (звуки, слова, предложения, тексты), устанавливать основания для сравнения языковых единиц (частеречная принадлежность, грамматический признак, лексическое значение и другие); устанавливать аналогии языковых единиц;</w:t>
      </w:r>
    </w:p>
    <w:p w14:paraId="389C70F6">
      <w:pPr>
        <w:spacing w:after="0" w:line="355" w:lineRule="auto"/>
        <w:ind w:firstLine="709"/>
        <w:jc w:val="both"/>
        <w:rPr>
          <w:rFonts w:ascii="Times New Roman" w:hAnsi="Times New Roman" w:eastAsia="SchoolBookSanPin"/>
        </w:rPr>
      </w:pPr>
      <w:r>
        <w:rPr>
          <w:rFonts w:ascii="Times New Roman" w:hAnsi="Times New Roman" w:eastAsia="SchoolBookSanPin"/>
        </w:rPr>
        <w:t>объединять объекты (языковые единицы) по определённому признаку;</w:t>
      </w:r>
    </w:p>
    <w:p w14:paraId="453C37DF">
      <w:pPr>
        <w:spacing w:after="0" w:line="355" w:lineRule="auto"/>
        <w:ind w:firstLine="709"/>
        <w:jc w:val="both"/>
        <w:rPr>
          <w:rFonts w:ascii="Times New Roman" w:hAnsi="Times New Roman" w:eastAsia="SchoolBookSanPin"/>
        </w:rPr>
      </w:pPr>
      <w:r>
        <w:rPr>
          <w:rFonts w:ascii="Times New Roman" w:hAnsi="Times New Roman" w:eastAsia="SchoolBookSanPin"/>
        </w:rPr>
        <w:t>определять существенный признак для классификации языковых единиц (звуков, частей речи, предложений, текстов); классифицировать языковые единицы;</w:t>
      </w:r>
    </w:p>
    <w:p w14:paraId="5C2DE1A4">
      <w:pPr>
        <w:spacing w:after="0" w:line="355" w:lineRule="auto"/>
        <w:ind w:firstLine="709"/>
        <w:jc w:val="both"/>
        <w:rPr>
          <w:rFonts w:ascii="Times New Roman" w:hAnsi="Times New Roman" w:eastAsia="SchoolBookSanPin"/>
        </w:rPr>
      </w:pPr>
      <w:r>
        <w:rPr>
          <w:rFonts w:ascii="Times New Roman" w:hAnsi="Times New Roman" w:eastAsia="SchoolBookSanPin"/>
        </w:rPr>
        <w:t>находить в языковом материале закономерности и противоречия на основе предложенного учителем алгоритма наблюдения; анализировать алгоритм действий при работе с языковыми единицами, самостоятельно выделять учебные операции при анализе языковых единиц;</w:t>
      </w:r>
    </w:p>
    <w:p w14:paraId="3CDD0A29">
      <w:pPr>
        <w:spacing w:after="0" w:line="355" w:lineRule="auto"/>
        <w:ind w:firstLine="709"/>
        <w:jc w:val="both"/>
        <w:rPr>
          <w:rFonts w:ascii="Times New Roman" w:hAnsi="Times New Roman" w:eastAsia="SchoolBookSanPin"/>
        </w:rPr>
      </w:pPr>
      <w:r>
        <w:rPr>
          <w:rFonts w:ascii="Times New Roman" w:hAnsi="Times New Roman" w:eastAsia="SchoolBookSanPin"/>
        </w:rPr>
        <w:t>выявлять недостаток информации для решения учебной и практической задачи на основе предложенного алгоритма, формулировать запрос на дополнительную информацию;</w:t>
      </w:r>
    </w:p>
    <w:p w14:paraId="4D315AB0">
      <w:pPr>
        <w:spacing w:after="0" w:line="355" w:lineRule="auto"/>
        <w:ind w:firstLine="709"/>
        <w:jc w:val="both"/>
        <w:rPr>
          <w:rFonts w:ascii="Times New Roman" w:hAnsi="Times New Roman" w:eastAsia="SchoolBookSanPin"/>
        </w:rPr>
      </w:pPr>
      <w:r>
        <w:rPr>
          <w:rFonts w:ascii="Times New Roman" w:hAnsi="Times New Roman" w:eastAsia="SchoolBookSanPin"/>
        </w:rPr>
        <w:t>устанавливать причинно­следственные связи в ситуациях наблюдения за языковым материалом, делать выводы.</w:t>
      </w:r>
    </w:p>
    <w:p w14:paraId="313C8DAD">
      <w:pPr>
        <w:spacing w:after="0" w:line="355" w:lineRule="auto"/>
        <w:ind w:firstLine="709"/>
        <w:jc w:val="both"/>
        <w:rPr>
          <w:rFonts w:ascii="Times New Roman" w:hAnsi="Times New Roman" w:eastAsia="SchoolBookSanPin"/>
        </w:rPr>
      </w:pPr>
      <w:r>
        <w:rPr>
          <w:rFonts w:ascii="Times New Roman" w:hAnsi="Times New Roman" w:eastAsia="OfficinaSansBoldITC"/>
        </w:rPr>
        <w:t>2.10.2.2. </w:t>
      </w:r>
      <w:r>
        <w:rPr>
          <w:rFonts w:ascii="Times New Roman" w:hAnsi="Times New Roman" w:eastAsia="SchoolBookSanPin"/>
        </w:rPr>
        <w:t xml:space="preserve">У обучающегося будут сформированы следующие базовые исследовательские действия как часть </w:t>
      </w:r>
      <w:r>
        <w:rPr>
          <w:rFonts w:ascii="Times New Roman" w:hAnsi="Times New Roman" w:eastAsia="SchoolBookSanPin"/>
          <w:bCs/>
        </w:rPr>
        <w:t>познавательных универсальных учебных действий</w:t>
      </w:r>
      <w:r>
        <w:rPr>
          <w:rFonts w:ascii="Times New Roman" w:hAnsi="Times New Roman" w:eastAsia="SchoolBookSanPin"/>
        </w:rPr>
        <w:t>:</w:t>
      </w:r>
    </w:p>
    <w:p w14:paraId="1995900D">
      <w:pPr>
        <w:spacing w:after="0" w:line="355" w:lineRule="auto"/>
        <w:ind w:firstLine="709"/>
        <w:jc w:val="both"/>
        <w:rPr>
          <w:rFonts w:ascii="Times New Roman" w:hAnsi="Times New Roman" w:eastAsia="SchoolBookSanPin"/>
        </w:rPr>
      </w:pPr>
      <w:r>
        <w:rPr>
          <w:rFonts w:ascii="Times New Roman" w:hAnsi="Times New Roman" w:eastAsia="SchoolBookSanPin"/>
        </w:rPr>
        <w:t>с помощью учителя формулировать цель, планировать изменения языкового объекта, речевой ситуации;</w:t>
      </w:r>
    </w:p>
    <w:p w14:paraId="730B1D53">
      <w:pPr>
        <w:spacing w:after="0" w:line="355" w:lineRule="auto"/>
        <w:ind w:firstLine="709"/>
        <w:jc w:val="both"/>
        <w:rPr>
          <w:rFonts w:ascii="Times New Roman" w:hAnsi="Times New Roman" w:eastAsia="SchoolBookSanPin"/>
        </w:rPr>
      </w:pPr>
      <w:r>
        <w:rPr>
          <w:rFonts w:ascii="Times New Roman" w:hAnsi="Times New Roman" w:eastAsia="SchoolBookSanPin"/>
        </w:rPr>
        <w:t>сравнивать несколько вариантов выполнения задания, выбирать наиболее целесообразный (на основе предложенных критериев);</w:t>
      </w:r>
    </w:p>
    <w:p w14:paraId="56A11242">
      <w:pPr>
        <w:spacing w:after="0" w:line="355" w:lineRule="auto"/>
        <w:ind w:firstLine="709"/>
        <w:jc w:val="both"/>
        <w:rPr>
          <w:rFonts w:ascii="Times New Roman" w:hAnsi="Times New Roman" w:eastAsia="SchoolBookSanPin"/>
        </w:rPr>
      </w:pPr>
      <w:r>
        <w:rPr>
          <w:rFonts w:ascii="Times New Roman" w:hAnsi="Times New Roman" w:eastAsia="SchoolBookSanPin"/>
        </w:rPr>
        <w:t>проводить по предложенному плану несложное лингвистическое мини­исследование, выполнять по предложенному плану проектное задание;</w:t>
      </w:r>
    </w:p>
    <w:p w14:paraId="394265EA">
      <w:pPr>
        <w:spacing w:after="0" w:line="355" w:lineRule="auto"/>
        <w:ind w:firstLine="709"/>
        <w:jc w:val="both"/>
        <w:rPr>
          <w:rFonts w:ascii="Times New Roman" w:hAnsi="Times New Roman" w:eastAsia="SchoolBookSanPin"/>
        </w:rPr>
      </w:pPr>
      <w:r>
        <w:rPr>
          <w:rFonts w:ascii="Times New Roman" w:hAnsi="Times New Roman" w:eastAsia="SchoolBookSanPin"/>
        </w:rPr>
        <w:t>формулировать выводы и подкреплять их доказательствами на основе результатов проведённого наблюдения за языковым материалом (классификации, сравнения, исследования); формулировать с помощью учителя вопросы в процессе анализа предложенного языкового материала;</w:t>
      </w:r>
    </w:p>
    <w:p w14:paraId="69D81397">
      <w:pPr>
        <w:spacing w:after="0" w:line="355" w:lineRule="auto"/>
        <w:ind w:firstLine="709"/>
        <w:jc w:val="both"/>
        <w:rPr>
          <w:rFonts w:ascii="Times New Roman" w:hAnsi="Times New Roman" w:eastAsia="SchoolBookSanPin"/>
        </w:rPr>
      </w:pPr>
      <w:r>
        <w:rPr>
          <w:rFonts w:ascii="Times New Roman" w:hAnsi="Times New Roman" w:eastAsia="SchoolBookSanPin"/>
        </w:rPr>
        <w:t>прогнозировать возможное развитие процессов, событий и их последствия в аналогичных или сходных ситуациях.</w:t>
      </w:r>
    </w:p>
    <w:p w14:paraId="65D8BC2D">
      <w:pPr>
        <w:spacing w:after="0" w:line="355" w:lineRule="auto"/>
        <w:ind w:firstLine="709"/>
        <w:jc w:val="both"/>
        <w:rPr>
          <w:rFonts w:ascii="Times New Roman" w:hAnsi="Times New Roman" w:eastAsia="OfficinaSansBoldITC"/>
        </w:rPr>
      </w:pPr>
      <w:r>
        <w:rPr>
          <w:rFonts w:ascii="Times New Roman" w:hAnsi="Times New Roman" w:eastAsia="OfficinaSansBoldITC"/>
        </w:rPr>
        <w:t>2.10.2.3. У обучающегося будут сформированы следующие действия при работе с информацией как часть познавательных универсальных учебных действий:</w:t>
      </w:r>
    </w:p>
    <w:p w14:paraId="4FF743CA">
      <w:pPr>
        <w:spacing w:after="0" w:line="355" w:lineRule="auto"/>
        <w:ind w:firstLine="709"/>
        <w:jc w:val="both"/>
        <w:rPr>
          <w:rFonts w:ascii="Times New Roman" w:hAnsi="Times New Roman" w:eastAsia="SchoolBookSanPin"/>
        </w:rPr>
      </w:pPr>
      <w:r>
        <w:rPr>
          <w:rFonts w:ascii="Times New Roman" w:hAnsi="Times New Roman" w:eastAsia="SchoolBookSanPin"/>
        </w:rPr>
        <w:t>выбирать источник получения информации: нужный словарь для получения запрашиваемой информации, для уточнения;</w:t>
      </w:r>
    </w:p>
    <w:p w14:paraId="604F5B49">
      <w:pPr>
        <w:spacing w:after="0" w:line="355" w:lineRule="auto"/>
        <w:ind w:firstLine="709"/>
        <w:jc w:val="both"/>
        <w:rPr>
          <w:rFonts w:ascii="Times New Roman" w:hAnsi="Times New Roman" w:eastAsia="SchoolBookSanPin"/>
        </w:rPr>
      </w:pPr>
      <w:r>
        <w:rPr>
          <w:rFonts w:ascii="Times New Roman" w:hAnsi="Times New Roman" w:eastAsia="SchoolBookSanPin"/>
        </w:rPr>
        <w:t>согласно заданному алгоритму находить представленную в явном виде информацию в предложенном источнике: в словарях, справочниках;</w:t>
      </w:r>
    </w:p>
    <w:p w14:paraId="49A536FF">
      <w:pPr>
        <w:spacing w:after="0" w:line="355" w:lineRule="auto"/>
        <w:ind w:firstLine="709"/>
        <w:jc w:val="both"/>
        <w:rPr>
          <w:rFonts w:ascii="Times New Roman" w:hAnsi="Times New Roman" w:eastAsia="SchoolBookSanPin"/>
        </w:rPr>
      </w:pPr>
      <w:r>
        <w:rPr>
          <w:rFonts w:ascii="Times New Roman" w:hAnsi="Times New Roman" w:eastAsia="SchoolBookSanPin"/>
        </w:rPr>
        <w:t>распознавать достоверную и недостоверную информацию самостоятельно или на основании предложенного учителем способа её проверки (обращаясь к словарям, справочникам, учебнику);</w:t>
      </w:r>
    </w:p>
    <w:p w14:paraId="006BCC73">
      <w:pPr>
        <w:spacing w:after="0" w:line="355" w:lineRule="auto"/>
        <w:ind w:firstLine="709"/>
        <w:jc w:val="both"/>
        <w:rPr>
          <w:rFonts w:ascii="Times New Roman" w:hAnsi="Times New Roman" w:eastAsia="SchoolBookSanPin"/>
        </w:rPr>
      </w:pPr>
      <w:r>
        <w:rPr>
          <w:rFonts w:ascii="Times New Roman" w:hAnsi="Times New Roman" w:eastAsia="SchoolBookSanPin"/>
        </w:rPr>
        <w:t>соблюдать с помощью взрослых (педагогических работников, родителей, законных представителей) правила информационной безопасности при поиске информации в Интернете (информации о написании и произношении слова, о значении слова, о происхождении слова, о синонимах слова);</w:t>
      </w:r>
    </w:p>
    <w:p w14:paraId="0FB39433">
      <w:pPr>
        <w:spacing w:after="0" w:line="355" w:lineRule="auto"/>
        <w:ind w:firstLine="709"/>
        <w:jc w:val="both"/>
        <w:rPr>
          <w:rFonts w:ascii="Times New Roman" w:hAnsi="Times New Roman" w:eastAsia="SchoolBookSanPin"/>
        </w:rPr>
      </w:pPr>
      <w:r>
        <w:rPr>
          <w:rFonts w:ascii="Times New Roman" w:hAnsi="Times New Roman" w:eastAsia="SchoolBookSanPin"/>
        </w:rPr>
        <w:t>анализировать и создавать текстовую, видео­, графическую, звуковую информацию в соответствии с учебной задачей;</w:t>
      </w:r>
    </w:p>
    <w:p w14:paraId="2B0A8BB9">
      <w:pPr>
        <w:spacing w:after="0" w:line="355" w:lineRule="auto"/>
        <w:ind w:firstLine="709"/>
        <w:jc w:val="both"/>
        <w:rPr>
          <w:rFonts w:ascii="Times New Roman" w:hAnsi="Times New Roman" w:eastAsia="SchoolBookSanPin"/>
        </w:rPr>
      </w:pPr>
      <w:r>
        <w:rPr>
          <w:rFonts w:ascii="Times New Roman" w:hAnsi="Times New Roman" w:eastAsia="SchoolBookSanPin"/>
        </w:rPr>
        <w:t>понимать лингвистическую информацию, зафиксированную в виде таблиц, схем; самостоятельно создавать схемы, таблицы для представления лингвистической информации.</w:t>
      </w:r>
    </w:p>
    <w:p w14:paraId="17FDED56">
      <w:pPr>
        <w:spacing w:after="0" w:line="355" w:lineRule="auto"/>
        <w:ind w:firstLine="709"/>
        <w:jc w:val="both"/>
        <w:rPr>
          <w:rFonts w:ascii="Times New Roman" w:hAnsi="Times New Roman" w:eastAsia="OfficinaSansBoldITC"/>
        </w:rPr>
      </w:pPr>
      <w:r>
        <w:rPr>
          <w:rFonts w:ascii="Times New Roman" w:hAnsi="Times New Roman" w:eastAsia="OfficinaSansBoldITC"/>
        </w:rPr>
        <w:t>2.10.2.4. У обучающегося будут сформированы следующие действия общения как часть коммуникативных универсальных учебных действий:</w:t>
      </w:r>
    </w:p>
    <w:p w14:paraId="455B8895">
      <w:pPr>
        <w:spacing w:after="0" w:line="355" w:lineRule="auto"/>
        <w:ind w:firstLine="709"/>
        <w:jc w:val="both"/>
        <w:rPr>
          <w:rFonts w:ascii="Times New Roman" w:hAnsi="Times New Roman" w:eastAsia="SchoolBookSanPin"/>
        </w:rPr>
      </w:pPr>
      <w:r>
        <w:rPr>
          <w:rFonts w:ascii="Times New Roman" w:hAnsi="Times New Roman" w:eastAsia="SchoolBookSanPin"/>
        </w:rPr>
        <w:t>воспринимать и формулировать суждения, выражать эмоции в соответствии с целями и условиями общения в знакомой среде;</w:t>
      </w:r>
    </w:p>
    <w:p w14:paraId="050E88C1">
      <w:pPr>
        <w:spacing w:after="0" w:line="355" w:lineRule="auto"/>
        <w:ind w:firstLine="709"/>
        <w:jc w:val="both"/>
        <w:rPr>
          <w:rFonts w:ascii="Times New Roman" w:hAnsi="Times New Roman" w:eastAsia="SchoolBookSanPin"/>
        </w:rPr>
      </w:pPr>
      <w:r>
        <w:rPr>
          <w:rFonts w:ascii="Times New Roman" w:hAnsi="Times New Roman" w:eastAsia="SchoolBookSanPin"/>
        </w:rPr>
        <w:t>проявлять уважительное отношение к собеседнику, соблюдать правила ведения диалоги и дискуссии;</w:t>
      </w:r>
    </w:p>
    <w:p w14:paraId="144B0195">
      <w:pPr>
        <w:spacing w:after="0" w:line="355" w:lineRule="auto"/>
        <w:ind w:firstLine="709"/>
        <w:jc w:val="both"/>
        <w:rPr>
          <w:rFonts w:ascii="Times New Roman" w:hAnsi="Times New Roman" w:eastAsia="SchoolBookSanPin"/>
        </w:rPr>
      </w:pPr>
      <w:r>
        <w:rPr>
          <w:rFonts w:ascii="Times New Roman" w:hAnsi="Times New Roman" w:eastAsia="SchoolBookSanPin"/>
        </w:rPr>
        <w:t>признавать возможность существования разных точек зрения;</w:t>
      </w:r>
    </w:p>
    <w:p w14:paraId="2F850915">
      <w:pPr>
        <w:spacing w:after="0" w:line="355" w:lineRule="auto"/>
        <w:ind w:firstLine="709"/>
        <w:jc w:val="both"/>
        <w:rPr>
          <w:rFonts w:ascii="Times New Roman" w:hAnsi="Times New Roman" w:eastAsia="SchoolBookSanPin"/>
        </w:rPr>
      </w:pPr>
      <w:r>
        <w:rPr>
          <w:rFonts w:ascii="Times New Roman" w:hAnsi="Times New Roman" w:eastAsia="SchoolBookSanPin"/>
        </w:rPr>
        <w:t>корректно и аргументированно высказывать своё мнение;</w:t>
      </w:r>
    </w:p>
    <w:p w14:paraId="3897E6EF">
      <w:pPr>
        <w:spacing w:after="0" w:line="355" w:lineRule="auto"/>
        <w:ind w:firstLine="709"/>
        <w:jc w:val="both"/>
        <w:rPr>
          <w:rFonts w:ascii="Times New Roman" w:hAnsi="Times New Roman" w:eastAsia="SchoolBookSanPin"/>
        </w:rPr>
      </w:pPr>
      <w:r>
        <w:rPr>
          <w:rFonts w:ascii="Times New Roman" w:hAnsi="Times New Roman" w:eastAsia="SchoolBookSanPin"/>
        </w:rPr>
        <w:t>строить речевое высказывание в соответствии с поставленной задачей;</w:t>
      </w:r>
    </w:p>
    <w:p w14:paraId="289C357E">
      <w:pPr>
        <w:spacing w:after="0" w:line="355" w:lineRule="auto"/>
        <w:ind w:firstLine="709"/>
        <w:jc w:val="both"/>
        <w:rPr>
          <w:rFonts w:ascii="Times New Roman" w:hAnsi="Times New Roman" w:eastAsia="SchoolBookSanPin"/>
        </w:rPr>
      </w:pPr>
      <w:r>
        <w:rPr>
          <w:rFonts w:ascii="Times New Roman" w:hAnsi="Times New Roman" w:eastAsia="SchoolBookSanPin"/>
        </w:rPr>
        <w:t>создавать устные и письменные тексты (описание, рассуждение, повествование) в соответствии с речевой ситуацией;</w:t>
      </w:r>
    </w:p>
    <w:p w14:paraId="4E758A65">
      <w:pPr>
        <w:spacing w:after="0" w:line="355" w:lineRule="auto"/>
        <w:ind w:firstLine="709"/>
        <w:jc w:val="both"/>
        <w:rPr>
          <w:rFonts w:ascii="Times New Roman" w:hAnsi="Times New Roman" w:eastAsia="SchoolBookSanPin"/>
        </w:rPr>
      </w:pPr>
      <w:r>
        <w:rPr>
          <w:rFonts w:ascii="Times New Roman" w:hAnsi="Times New Roman" w:eastAsia="SchoolBookSanPin"/>
        </w:rPr>
        <w:t>подготавливать небольшие публичные выступления о результатах парной и групповой работы, о результатах наблюдения, выполненного мини­исследования, проектного задания;</w:t>
      </w:r>
    </w:p>
    <w:p w14:paraId="58FF170F">
      <w:pPr>
        <w:spacing w:after="0" w:line="355" w:lineRule="auto"/>
        <w:ind w:firstLine="709"/>
        <w:jc w:val="both"/>
        <w:rPr>
          <w:rFonts w:ascii="Times New Roman" w:hAnsi="Times New Roman" w:eastAsia="SchoolBookSanPin"/>
        </w:rPr>
      </w:pPr>
      <w:r>
        <w:rPr>
          <w:rFonts w:ascii="Times New Roman" w:hAnsi="Times New Roman" w:eastAsia="SchoolBookSanPin"/>
        </w:rPr>
        <w:t>подбирать иллюстративный материал (рисунки, фото, плакаты) к тексту выступления.</w:t>
      </w:r>
    </w:p>
    <w:p w14:paraId="54184645">
      <w:pPr>
        <w:spacing w:after="0" w:line="355" w:lineRule="auto"/>
        <w:ind w:firstLine="709"/>
        <w:jc w:val="both"/>
        <w:rPr>
          <w:rFonts w:ascii="Times New Roman" w:hAnsi="Times New Roman" w:eastAsia="SchoolBookSanPin"/>
        </w:rPr>
      </w:pPr>
      <w:r>
        <w:rPr>
          <w:rFonts w:ascii="Times New Roman" w:hAnsi="Times New Roman" w:eastAsia="OfficinaSansBoldITC"/>
        </w:rPr>
        <w:t>2.10.2.5. У обучающегося будут сформированы следующие действия самоорганизации как часть регулятивных универсальных учебных действий:</w:t>
      </w:r>
    </w:p>
    <w:p w14:paraId="608084A5">
      <w:pPr>
        <w:spacing w:after="0" w:line="355" w:lineRule="auto"/>
        <w:ind w:firstLine="709"/>
        <w:jc w:val="both"/>
        <w:rPr>
          <w:rFonts w:ascii="Times New Roman" w:hAnsi="Times New Roman" w:eastAsia="SchoolBookSanPin"/>
        </w:rPr>
      </w:pPr>
      <w:r>
        <w:rPr>
          <w:rFonts w:ascii="Times New Roman" w:hAnsi="Times New Roman" w:eastAsia="SchoolBookSanPin"/>
        </w:rPr>
        <w:t>планировать действия по решению учебной задачи для получения результата;</w:t>
      </w:r>
    </w:p>
    <w:p w14:paraId="678B9BEF">
      <w:pPr>
        <w:spacing w:after="0" w:line="355" w:lineRule="auto"/>
        <w:ind w:firstLine="709"/>
        <w:jc w:val="both"/>
        <w:rPr>
          <w:rFonts w:ascii="Times New Roman" w:hAnsi="Times New Roman" w:eastAsia="SchoolBookSanPin"/>
        </w:rPr>
      </w:pPr>
      <w:r>
        <w:rPr>
          <w:rFonts w:ascii="Times New Roman" w:hAnsi="Times New Roman" w:eastAsia="SchoolBookSanPin"/>
        </w:rPr>
        <w:t>выстраивать последовательность выбранных действий.</w:t>
      </w:r>
    </w:p>
    <w:p w14:paraId="2B758E1E">
      <w:pPr>
        <w:spacing w:after="0" w:line="355" w:lineRule="auto"/>
        <w:ind w:firstLine="709"/>
        <w:jc w:val="both"/>
        <w:rPr>
          <w:rFonts w:ascii="Times New Roman" w:hAnsi="Times New Roman" w:eastAsia="SchoolBookSanPin"/>
        </w:rPr>
      </w:pPr>
      <w:r>
        <w:rPr>
          <w:rFonts w:ascii="Times New Roman" w:hAnsi="Times New Roman" w:eastAsia="OfficinaSansBoldITC"/>
        </w:rPr>
        <w:t>2.10.2.6. У обучающегося будут сформированы следующие действия самоконтроля как часть регулятивных универсальных учебных действий:</w:t>
      </w:r>
    </w:p>
    <w:p w14:paraId="0458ECB3">
      <w:pPr>
        <w:spacing w:after="0" w:line="355" w:lineRule="auto"/>
        <w:ind w:firstLine="709"/>
        <w:jc w:val="both"/>
        <w:rPr>
          <w:rFonts w:ascii="Times New Roman" w:hAnsi="Times New Roman" w:eastAsia="SchoolBookSanPin"/>
        </w:rPr>
      </w:pPr>
      <w:r>
        <w:rPr>
          <w:rFonts w:ascii="Times New Roman" w:hAnsi="Times New Roman" w:eastAsia="SchoolBookSanPin"/>
        </w:rPr>
        <w:t>устанавливать причины успеха (неудач) учебной деятельности;</w:t>
      </w:r>
    </w:p>
    <w:p w14:paraId="51136BBD">
      <w:pPr>
        <w:spacing w:after="0" w:line="355" w:lineRule="auto"/>
        <w:ind w:firstLine="709"/>
        <w:jc w:val="both"/>
        <w:rPr>
          <w:rFonts w:ascii="Times New Roman" w:hAnsi="Times New Roman" w:eastAsia="SchoolBookSanPin"/>
        </w:rPr>
      </w:pPr>
      <w:r>
        <w:rPr>
          <w:rFonts w:ascii="Times New Roman" w:hAnsi="Times New Roman" w:eastAsia="SchoolBookSanPin"/>
        </w:rPr>
        <w:t>корректировать свои учебные действия для преодоления речевых и орфографических ошибок;</w:t>
      </w:r>
    </w:p>
    <w:p w14:paraId="16896E94">
      <w:pPr>
        <w:spacing w:after="0" w:line="355" w:lineRule="auto"/>
        <w:ind w:firstLine="709"/>
        <w:jc w:val="both"/>
        <w:rPr>
          <w:rFonts w:ascii="Times New Roman" w:hAnsi="Times New Roman" w:eastAsia="SchoolBookSanPin"/>
        </w:rPr>
      </w:pPr>
      <w:r>
        <w:rPr>
          <w:rFonts w:ascii="Times New Roman" w:hAnsi="Times New Roman" w:eastAsia="SchoolBookSanPin"/>
        </w:rPr>
        <w:t>соотносить результат деятельности с поставленной учебной задачей по выделению, характеристике, использованию языковых единиц;</w:t>
      </w:r>
    </w:p>
    <w:p w14:paraId="37BE79BA">
      <w:pPr>
        <w:spacing w:after="0" w:line="355" w:lineRule="auto"/>
        <w:ind w:firstLine="709"/>
        <w:jc w:val="both"/>
        <w:rPr>
          <w:rFonts w:ascii="Times New Roman" w:hAnsi="Times New Roman" w:eastAsia="SchoolBookSanPin"/>
        </w:rPr>
      </w:pPr>
      <w:r>
        <w:rPr>
          <w:rFonts w:ascii="Times New Roman" w:hAnsi="Times New Roman" w:eastAsia="SchoolBookSanPin"/>
        </w:rPr>
        <w:t>находить ошибку, допущенную при работе с языковым материалом, находить орфографическую и пунктуационную ошибки;</w:t>
      </w:r>
    </w:p>
    <w:p w14:paraId="35EA3E10">
      <w:pPr>
        <w:spacing w:after="0" w:line="355" w:lineRule="auto"/>
        <w:ind w:firstLine="709"/>
        <w:jc w:val="both"/>
        <w:rPr>
          <w:rFonts w:ascii="Times New Roman" w:hAnsi="Times New Roman" w:eastAsia="SchoolBookSanPin"/>
        </w:rPr>
      </w:pPr>
      <w:r>
        <w:rPr>
          <w:rFonts w:ascii="Times New Roman" w:hAnsi="Times New Roman" w:eastAsia="SchoolBookSanPin"/>
        </w:rPr>
        <w:t>сравнивать результаты своей деятельности и деятельности других обучающихся, объективно оценивать их по предложенным критериям.</w:t>
      </w:r>
    </w:p>
    <w:p w14:paraId="1623E2A2">
      <w:pPr>
        <w:spacing w:after="0" w:line="355" w:lineRule="auto"/>
        <w:ind w:firstLine="709"/>
        <w:jc w:val="both"/>
        <w:rPr>
          <w:rFonts w:ascii="Times New Roman" w:hAnsi="Times New Roman" w:eastAsia="SchoolBookSanPin"/>
        </w:rPr>
      </w:pPr>
      <w:r>
        <w:rPr>
          <w:rFonts w:ascii="Times New Roman" w:hAnsi="Times New Roman" w:eastAsia="OfficinaSansBoldITC"/>
        </w:rPr>
        <w:t>2.10.2.7. У обучающегося будут сформированы следующие действия при осуществлении совместной деятельности:</w:t>
      </w:r>
    </w:p>
    <w:p w14:paraId="23E541F5">
      <w:pPr>
        <w:spacing w:after="0" w:line="355" w:lineRule="auto"/>
        <w:ind w:firstLine="709"/>
        <w:jc w:val="both"/>
        <w:rPr>
          <w:rFonts w:ascii="Times New Roman" w:hAnsi="Times New Roman" w:eastAsia="SchoolBookSanPin"/>
        </w:rPr>
      </w:pPr>
      <w:r>
        <w:rPr>
          <w:rFonts w:ascii="Times New Roman" w:hAnsi="Times New Roman" w:eastAsia="SchoolBookSanPin"/>
        </w:rPr>
        <w:t>формулировать краткосрочные и долгосрочные цели (индивидуальные с учётом участия в коллективных задачах) в стандартной (типовой) ситуации на основе предложенного учителем формата планирования, распределения промежуточных шагов и сроков;</w:t>
      </w:r>
    </w:p>
    <w:p w14:paraId="758614A4">
      <w:pPr>
        <w:spacing w:after="0" w:line="355" w:lineRule="auto"/>
        <w:ind w:firstLine="709"/>
        <w:jc w:val="both"/>
        <w:rPr>
          <w:rFonts w:ascii="Times New Roman" w:hAnsi="Times New Roman" w:eastAsia="SchoolBookSanPin"/>
        </w:rPr>
      </w:pPr>
      <w:r>
        <w:rPr>
          <w:rFonts w:ascii="Times New Roman" w:hAnsi="Times New Roman" w:eastAsia="SchoolBookSanPin"/>
        </w:rPr>
        <w:t>принимать цель совместной деятельности, коллективно строить действия по её достижению: распределять роли, договариваться, обсуждать процесс и результат совместной работы;</w:t>
      </w:r>
    </w:p>
    <w:p w14:paraId="39ED240E">
      <w:pPr>
        <w:spacing w:after="0" w:line="355" w:lineRule="auto"/>
        <w:ind w:firstLine="709"/>
        <w:jc w:val="both"/>
        <w:rPr>
          <w:rFonts w:ascii="Times New Roman" w:hAnsi="Times New Roman" w:eastAsia="SchoolBookSanPin"/>
        </w:rPr>
      </w:pPr>
      <w:r>
        <w:rPr>
          <w:rFonts w:ascii="Times New Roman" w:hAnsi="Times New Roman" w:eastAsia="SchoolBookSanPin"/>
        </w:rPr>
        <w:t>проявлять готовность руководить, выполнять поручения, подчиняться, самостоятельно разрешать конфликты;</w:t>
      </w:r>
    </w:p>
    <w:p w14:paraId="797AC836">
      <w:pPr>
        <w:spacing w:after="0" w:line="355" w:lineRule="auto"/>
        <w:ind w:firstLine="709"/>
        <w:jc w:val="both"/>
        <w:rPr>
          <w:rFonts w:ascii="Times New Roman" w:hAnsi="Times New Roman" w:eastAsia="SchoolBookSanPin"/>
        </w:rPr>
      </w:pPr>
      <w:r>
        <w:rPr>
          <w:rFonts w:ascii="Times New Roman" w:hAnsi="Times New Roman" w:eastAsia="SchoolBookSanPin"/>
        </w:rPr>
        <w:t>ответственно выполнять свою часть работы;</w:t>
      </w:r>
    </w:p>
    <w:p w14:paraId="7518D616">
      <w:pPr>
        <w:spacing w:after="0" w:line="355" w:lineRule="auto"/>
        <w:ind w:firstLine="709"/>
        <w:jc w:val="both"/>
        <w:rPr>
          <w:rFonts w:ascii="Times New Roman" w:hAnsi="Times New Roman" w:eastAsia="SchoolBookSanPin"/>
        </w:rPr>
      </w:pPr>
      <w:r>
        <w:rPr>
          <w:rFonts w:ascii="Times New Roman" w:hAnsi="Times New Roman" w:eastAsia="SchoolBookSanPin"/>
        </w:rPr>
        <w:t>оценивать свой вклад в общий результат;</w:t>
      </w:r>
    </w:p>
    <w:p w14:paraId="6A2F1DBD">
      <w:pPr>
        <w:spacing w:after="0" w:line="355" w:lineRule="auto"/>
        <w:ind w:firstLine="709"/>
        <w:jc w:val="both"/>
        <w:rPr>
          <w:rFonts w:ascii="Times New Roman" w:hAnsi="Times New Roman" w:eastAsia="SchoolBookSanPin"/>
        </w:rPr>
      </w:pPr>
      <w:r>
        <w:rPr>
          <w:rFonts w:ascii="Times New Roman" w:hAnsi="Times New Roman" w:eastAsia="SchoolBookSanPin"/>
        </w:rPr>
        <w:t>выполнять совместные проектные задания с использованием предложенных образцов.</w:t>
      </w:r>
    </w:p>
    <w:p w14:paraId="70CC49C2">
      <w:pPr>
        <w:spacing w:after="0" w:line="355" w:lineRule="auto"/>
        <w:ind w:firstLine="709"/>
        <w:jc w:val="both"/>
        <w:rPr>
          <w:rFonts w:ascii="Times New Roman" w:hAnsi="Times New Roman" w:eastAsia="SchoolBookSanPin"/>
        </w:rPr>
      </w:pPr>
      <w:r>
        <w:rPr>
          <w:rFonts w:ascii="Times New Roman" w:hAnsi="Times New Roman" w:eastAsia="SchoolBookSanPin"/>
        </w:rPr>
        <w:t>2.10.3. </w:t>
      </w:r>
      <w:r>
        <w:rPr>
          <w:rFonts w:ascii="Times New Roman" w:hAnsi="Times New Roman" w:eastAsia="OfficinaSansBoldITC"/>
        </w:rPr>
        <w:t>Предметные результаты изучения русского языка. К</w:t>
      </w:r>
      <w:r>
        <w:rPr>
          <w:rFonts w:ascii="Times New Roman" w:hAnsi="Times New Roman" w:eastAsia="SchoolBookSanPin"/>
        </w:rPr>
        <w:t xml:space="preserve"> концу обучения в </w:t>
      </w:r>
      <w:r>
        <w:rPr>
          <w:rFonts w:ascii="Times New Roman" w:hAnsi="Times New Roman" w:eastAsia="SchoolBookSanPin"/>
          <w:bCs/>
        </w:rPr>
        <w:t xml:space="preserve">1 классе </w:t>
      </w:r>
      <w:r>
        <w:rPr>
          <w:rFonts w:ascii="Times New Roman" w:hAnsi="Times New Roman" w:eastAsia="SchoolBookSanPin"/>
        </w:rPr>
        <w:t>обучающийся научится:</w:t>
      </w:r>
    </w:p>
    <w:p w14:paraId="778B5AE6">
      <w:pPr>
        <w:spacing w:after="0" w:line="355" w:lineRule="auto"/>
        <w:ind w:firstLine="709"/>
        <w:jc w:val="both"/>
        <w:rPr>
          <w:rFonts w:ascii="Times New Roman" w:hAnsi="Times New Roman" w:eastAsia="SchoolBookSanPin"/>
        </w:rPr>
      </w:pPr>
      <w:r>
        <w:rPr>
          <w:rFonts w:ascii="Times New Roman" w:hAnsi="Times New Roman" w:eastAsia="SchoolBookSanPin"/>
        </w:rPr>
        <w:t>различать слово и предложение; выделять слова из предложений;</w:t>
      </w:r>
    </w:p>
    <w:p w14:paraId="3F45085C">
      <w:pPr>
        <w:spacing w:after="0" w:line="355" w:lineRule="auto"/>
        <w:ind w:firstLine="709"/>
        <w:jc w:val="both"/>
        <w:rPr>
          <w:rFonts w:ascii="Times New Roman" w:hAnsi="Times New Roman" w:eastAsia="SchoolBookSanPin"/>
        </w:rPr>
      </w:pPr>
      <w:r>
        <w:rPr>
          <w:rFonts w:ascii="Times New Roman" w:hAnsi="Times New Roman" w:eastAsia="SchoolBookSanPin"/>
        </w:rPr>
        <w:t>выделять звуки из слова;</w:t>
      </w:r>
    </w:p>
    <w:p w14:paraId="19730AD1">
      <w:pPr>
        <w:spacing w:after="0" w:line="355" w:lineRule="auto"/>
        <w:ind w:firstLine="709"/>
        <w:jc w:val="both"/>
        <w:rPr>
          <w:rFonts w:ascii="Times New Roman" w:hAnsi="Times New Roman" w:eastAsia="SchoolBookSanPin"/>
        </w:rPr>
      </w:pPr>
      <w:r>
        <w:rPr>
          <w:rFonts w:ascii="Times New Roman" w:hAnsi="Times New Roman" w:eastAsia="SchoolBookSanPin"/>
        </w:rPr>
        <w:t>различать гласные и согласные звуки (в том числе различать в словах согласный звук [й’] и гласный звук [и]);</w:t>
      </w:r>
    </w:p>
    <w:p w14:paraId="5C78F384">
      <w:pPr>
        <w:spacing w:after="0" w:line="355" w:lineRule="auto"/>
        <w:ind w:firstLine="709"/>
        <w:jc w:val="both"/>
        <w:rPr>
          <w:rFonts w:ascii="Times New Roman" w:hAnsi="Times New Roman" w:eastAsia="SchoolBookSanPin"/>
        </w:rPr>
      </w:pPr>
      <w:r>
        <w:rPr>
          <w:rFonts w:ascii="Times New Roman" w:hAnsi="Times New Roman" w:eastAsia="SchoolBookSanPin"/>
        </w:rPr>
        <w:t>различать ударные и безударные гласные звуки;</w:t>
      </w:r>
    </w:p>
    <w:p w14:paraId="4C8496FC">
      <w:pPr>
        <w:spacing w:after="0" w:line="355" w:lineRule="auto"/>
        <w:ind w:firstLine="709"/>
        <w:jc w:val="both"/>
        <w:rPr>
          <w:rFonts w:ascii="Times New Roman" w:hAnsi="Times New Roman" w:eastAsia="SchoolBookSanPin"/>
        </w:rPr>
      </w:pPr>
      <w:r>
        <w:rPr>
          <w:rFonts w:ascii="Times New Roman" w:hAnsi="Times New Roman" w:eastAsia="SchoolBookSanPin"/>
        </w:rPr>
        <w:t>различать согласные звуки: мягкие и твёрдые, звонкие и глухие (вне слова и в слове);</w:t>
      </w:r>
    </w:p>
    <w:p w14:paraId="6E388132">
      <w:pPr>
        <w:spacing w:after="0" w:line="355" w:lineRule="auto"/>
        <w:ind w:firstLine="709"/>
        <w:jc w:val="both"/>
        <w:rPr>
          <w:rFonts w:ascii="Times New Roman" w:hAnsi="Times New Roman" w:eastAsia="SchoolBookSanPin"/>
        </w:rPr>
      </w:pPr>
      <w:r>
        <w:rPr>
          <w:rFonts w:ascii="Times New Roman" w:hAnsi="Times New Roman" w:eastAsia="SchoolBookSanPin"/>
        </w:rPr>
        <w:t>различать понятия «звук» и «буква»;</w:t>
      </w:r>
    </w:p>
    <w:p w14:paraId="44D16735">
      <w:pPr>
        <w:spacing w:after="0" w:line="355" w:lineRule="auto"/>
        <w:ind w:firstLine="709"/>
        <w:jc w:val="both"/>
        <w:rPr>
          <w:rFonts w:ascii="Times New Roman" w:hAnsi="Times New Roman" w:eastAsia="SchoolBookSanPin"/>
        </w:rPr>
      </w:pPr>
      <w:r>
        <w:rPr>
          <w:rFonts w:ascii="Times New Roman" w:hAnsi="Times New Roman" w:eastAsia="SchoolBookSanPin"/>
        </w:rPr>
        <w:t>определять количество слогов в слове; делить слова на слоги (простые случаи: слова без стечения согласных); определять в слове ударный слог;</w:t>
      </w:r>
    </w:p>
    <w:p w14:paraId="374A6921">
      <w:pPr>
        <w:spacing w:after="0" w:line="355" w:lineRule="auto"/>
        <w:ind w:firstLine="709"/>
        <w:jc w:val="both"/>
        <w:rPr>
          <w:rFonts w:ascii="Times New Roman" w:hAnsi="Times New Roman" w:eastAsia="SchoolBookSanPin"/>
        </w:rPr>
      </w:pPr>
      <w:r>
        <w:rPr>
          <w:rFonts w:ascii="Times New Roman" w:hAnsi="Times New Roman" w:eastAsia="SchoolBookSanPin"/>
        </w:rPr>
        <w:t>обозначать при письме мягкость согласных звуков буквами «</w:t>
      </w:r>
      <w:r>
        <w:rPr>
          <w:rFonts w:ascii="Times New Roman" w:hAnsi="Times New Roman" w:eastAsia="SchoolBookSanPin"/>
          <w:bCs/>
        </w:rPr>
        <w:t>е»</w:t>
      </w:r>
      <w:r>
        <w:rPr>
          <w:rFonts w:ascii="Times New Roman" w:hAnsi="Times New Roman" w:eastAsia="SchoolBookSanPin"/>
        </w:rPr>
        <w:t>, «</w:t>
      </w:r>
      <w:r>
        <w:rPr>
          <w:rFonts w:ascii="Times New Roman" w:hAnsi="Times New Roman" w:eastAsia="SchoolBookSanPin"/>
          <w:bCs/>
        </w:rPr>
        <w:t>ё»</w:t>
      </w:r>
      <w:r>
        <w:rPr>
          <w:rFonts w:ascii="Times New Roman" w:hAnsi="Times New Roman" w:eastAsia="SchoolBookSanPin"/>
        </w:rPr>
        <w:t>, «</w:t>
      </w:r>
      <w:r>
        <w:rPr>
          <w:rFonts w:ascii="Times New Roman" w:hAnsi="Times New Roman" w:eastAsia="SchoolBookSanPin"/>
          <w:bCs/>
        </w:rPr>
        <w:t>ю»</w:t>
      </w:r>
      <w:r>
        <w:rPr>
          <w:rFonts w:ascii="Times New Roman" w:hAnsi="Times New Roman" w:eastAsia="SchoolBookSanPin"/>
        </w:rPr>
        <w:t>, «</w:t>
      </w:r>
      <w:r>
        <w:rPr>
          <w:rFonts w:ascii="Times New Roman" w:hAnsi="Times New Roman" w:eastAsia="SchoolBookSanPin"/>
          <w:bCs/>
        </w:rPr>
        <w:t xml:space="preserve">я» </w:t>
      </w:r>
      <w:r>
        <w:rPr>
          <w:rFonts w:ascii="Times New Roman" w:hAnsi="Times New Roman" w:eastAsia="SchoolBookSanPin"/>
        </w:rPr>
        <w:t>и буквой «</w:t>
      </w:r>
      <w:r>
        <w:rPr>
          <w:rFonts w:ascii="Times New Roman" w:hAnsi="Times New Roman" w:eastAsia="SchoolBookSanPin"/>
          <w:bCs/>
        </w:rPr>
        <w:t xml:space="preserve">ь» </w:t>
      </w:r>
      <w:r>
        <w:rPr>
          <w:rFonts w:ascii="Times New Roman" w:hAnsi="Times New Roman" w:eastAsia="SchoolBookSanPin"/>
        </w:rPr>
        <w:t>в конце слова;</w:t>
      </w:r>
    </w:p>
    <w:p w14:paraId="7DEEC7C0">
      <w:pPr>
        <w:spacing w:after="0" w:line="355" w:lineRule="auto"/>
        <w:ind w:firstLine="709"/>
        <w:jc w:val="both"/>
        <w:rPr>
          <w:rFonts w:ascii="Times New Roman" w:hAnsi="Times New Roman" w:eastAsia="SchoolBookSanPin"/>
        </w:rPr>
      </w:pPr>
      <w:r>
        <w:rPr>
          <w:rFonts w:ascii="Times New Roman" w:hAnsi="Times New Roman" w:eastAsia="SchoolBookSanPin"/>
        </w:rPr>
        <w:t>правильно называть буквы русского алфавита; использовать знание последовательности букв русского алфавита для упорядочения небольшого списка слов;</w:t>
      </w:r>
    </w:p>
    <w:p w14:paraId="164F84BB">
      <w:pPr>
        <w:spacing w:after="0" w:line="355" w:lineRule="auto"/>
        <w:ind w:firstLine="709"/>
        <w:jc w:val="both"/>
        <w:rPr>
          <w:rFonts w:ascii="Times New Roman" w:hAnsi="Times New Roman" w:eastAsia="SchoolBookSanPin"/>
        </w:rPr>
      </w:pPr>
      <w:r>
        <w:rPr>
          <w:rFonts w:ascii="Times New Roman" w:hAnsi="Times New Roman" w:eastAsia="SchoolBookSanPin"/>
        </w:rPr>
        <w:t>писать аккуратным разборчивым почерком прописные и строчные буквы, соединения букв, слова;</w:t>
      </w:r>
    </w:p>
    <w:p w14:paraId="376AA24C">
      <w:pPr>
        <w:spacing w:after="0" w:line="355" w:lineRule="auto"/>
        <w:ind w:firstLine="709"/>
        <w:jc w:val="both"/>
        <w:rPr>
          <w:rFonts w:ascii="Times New Roman" w:hAnsi="Times New Roman" w:eastAsia="SchoolBookSanPin"/>
        </w:rPr>
      </w:pPr>
      <w:r>
        <w:rPr>
          <w:rFonts w:ascii="Times New Roman" w:hAnsi="Times New Roman" w:eastAsia="SchoolBookSanPin"/>
        </w:rPr>
        <w:t>применять изученные правила правописания: раздельное написание слов в предложении; знаки препинания в конце предложения: точка, вопросительный и восклицательный знаки; прописная буква в начале предложения и в именах собственных (имена и фамилии людей, клички животных); перенос слов по слогам (простые случаи: слова из слогов типа «согласный + гласный»); гласные после шипящих в сочетаниях «</w:t>
      </w:r>
      <w:r>
        <w:rPr>
          <w:rFonts w:ascii="Times New Roman" w:hAnsi="Times New Roman" w:eastAsia="SchoolBookSanPin"/>
          <w:bCs/>
        </w:rPr>
        <w:t>жи»</w:t>
      </w:r>
      <w:r>
        <w:rPr>
          <w:rFonts w:ascii="Times New Roman" w:hAnsi="Times New Roman" w:eastAsia="SchoolBookSanPin"/>
        </w:rPr>
        <w:t>, «</w:t>
      </w:r>
      <w:r>
        <w:rPr>
          <w:rFonts w:ascii="Times New Roman" w:hAnsi="Times New Roman" w:eastAsia="SchoolBookSanPin"/>
          <w:bCs/>
        </w:rPr>
        <w:t xml:space="preserve">ши» </w:t>
      </w:r>
      <w:r>
        <w:rPr>
          <w:rFonts w:ascii="Times New Roman" w:hAnsi="Times New Roman" w:eastAsia="SchoolBookSanPin"/>
        </w:rPr>
        <w:t>(в положении под ударением), «</w:t>
      </w:r>
      <w:r>
        <w:rPr>
          <w:rFonts w:ascii="Times New Roman" w:hAnsi="Times New Roman" w:eastAsia="SchoolBookSanPin"/>
          <w:bCs/>
        </w:rPr>
        <w:t>ча»</w:t>
      </w:r>
      <w:r>
        <w:rPr>
          <w:rFonts w:ascii="Times New Roman" w:hAnsi="Times New Roman" w:eastAsia="SchoolBookSanPin"/>
        </w:rPr>
        <w:t>, «</w:t>
      </w:r>
      <w:r>
        <w:rPr>
          <w:rFonts w:ascii="Times New Roman" w:hAnsi="Times New Roman" w:eastAsia="SchoolBookSanPin"/>
          <w:bCs/>
        </w:rPr>
        <w:t>ща»</w:t>
      </w:r>
      <w:r>
        <w:rPr>
          <w:rFonts w:ascii="Times New Roman" w:hAnsi="Times New Roman" w:eastAsia="SchoolBookSanPin"/>
        </w:rPr>
        <w:t>, «</w:t>
      </w:r>
      <w:r>
        <w:rPr>
          <w:rFonts w:ascii="Times New Roman" w:hAnsi="Times New Roman" w:eastAsia="SchoolBookSanPin"/>
          <w:bCs/>
        </w:rPr>
        <w:t>чу»</w:t>
      </w:r>
      <w:r>
        <w:rPr>
          <w:rFonts w:ascii="Times New Roman" w:hAnsi="Times New Roman" w:eastAsia="SchoolBookSanPin"/>
        </w:rPr>
        <w:t>, «</w:t>
      </w:r>
      <w:r>
        <w:rPr>
          <w:rFonts w:ascii="Times New Roman" w:hAnsi="Times New Roman" w:eastAsia="SchoolBookSanPin"/>
          <w:bCs/>
        </w:rPr>
        <w:t>щу»</w:t>
      </w:r>
      <w:r>
        <w:rPr>
          <w:rFonts w:ascii="Times New Roman" w:hAnsi="Times New Roman" w:eastAsia="SchoolBookSanPin"/>
        </w:rPr>
        <w:t>; непроверяемые гласные и согласные (перечень слов в орфографическом словаре учебника);</w:t>
      </w:r>
    </w:p>
    <w:p w14:paraId="7E636E09">
      <w:pPr>
        <w:spacing w:after="0" w:line="355" w:lineRule="auto"/>
        <w:ind w:firstLine="709"/>
        <w:jc w:val="both"/>
        <w:rPr>
          <w:rFonts w:ascii="Times New Roman" w:hAnsi="Times New Roman" w:eastAsia="SchoolBookSanPin"/>
        </w:rPr>
      </w:pPr>
      <w:r>
        <w:rPr>
          <w:rFonts w:ascii="Times New Roman" w:hAnsi="Times New Roman" w:eastAsia="SchoolBookSanPin"/>
        </w:rPr>
        <w:t>правильно списывать (без пропусков и искажений букв) слова и предложения, тексты объёмом не более 25 слов;</w:t>
      </w:r>
    </w:p>
    <w:p w14:paraId="106CF4F2">
      <w:pPr>
        <w:spacing w:after="0" w:line="355" w:lineRule="auto"/>
        <w:ind w:firstLine="709"/>
        <w:jc w:val="both"/>
        <w:rPr>
          <w:rFonts w:ascii="Times New Roman" w:hAnsi="Times New Roman" w:eastAsia="SchoolBookSanPin"/>
        </w:rPr>
      </w:pPr>
      <w:r>
        <w:rPr>
          <w:rFonts w:ascii="Times New Roman" w:hAnsi="Times New Roman" w:eastAsia="SchoolBookSanPin"/>
        </w:rPr>
        <w:t>писать под диктовку (без пропусков и искажений букв) слова, предложения из 3–5 слов, тексты объёмом не более 20 слов, правописание которых не расходится с произношением;</w:t>
      </w:r>
    </w:p>
    <w:p w14:paraId="7C1AC80E">
      <w:pPr>
        <w:spacing w:after="0" w:line="355" w:lineRule="auto"/>
        <w:ind w:firstLine="709"/>
        <w:jc w:val="both"/>
        <w:rPr>
          <w:rFonts w:ascii="Times New Roman" w:hAnsi="Times New Roman" w:eastAsia="SchoolBookSanPin"/>
        </w:rPr>
      </w:pPr>
      <w:r>
        <w:rPr>
          <w:rFonts w:ascii="Times New Roman" w:hAnsi="Times New Roman" w:eastAsia="SchoolBookSanPin"/>
        </w:rPr>
        <w:t>находить и исправлять ошибки по изученным правилам;</w:t>
      </w:r>
    </w:p>
    <w:p w14:paraId="41FDE3EE">
      <w:pPr>
        <w:spacing w:after="0" w:line="355" w:lineRule="auto"/>
        <w:ind w:firstLine="709"/>
        <w:jc w:val="both"/>
        <w:rPr>
          <w:rFonts w:ascii="Times New Roman" w:hAnsi="Times New Roman" w:eastAsia="SchoolBookSanPin"/>
        </w:rPr>
      </w:pPr>
      <w:r>
        <w:rPr>
          <w:rFonts w:ascii="Times New Roman" w:hAnsi="Times New Roman" w:eastAsia="SchoolBookSanPin"/>
        </w:rPr>
        <w:t>понимать прослушанный текст;</w:t>
      </w:r>
    </w:p>
    <w:p w14:paraId="14A5B02F">
      <w:pPr>
        <w:spacing w:after="0" w:line="355" w:lineRule="auto"/>
        <w:ind w:firstLine="709"/>
        <w:jc w:val="both"/>
        <w:rPr>
          <w:rFonts w:ascii="Times New Roman" w:hAnsi="Times New Roman" w:eastAsia="SchoolBookSanPin"/>
        </w:rPr>
      </w:pPr>
      <w:r>
        <w:rPr>
          <w:rFonts w:ascii="Times New Roman" w:hAnsi="Times New Roman" w:eastAsia="SchoolBookSanPin"/>
        </w:rPr>
        <w:t>читать вслух и про себя (с пониманием) короткие тексты с соблюдением интонации и пауз в соответствии со знаками препинания в конце предложения;</w:t>
      </w:r>
    </w:p>
    <w:p w14:paraId="2D1C2AFA">
      <w:pPr>
        <w:spacing w:after="0" w:line="355" w:lineRule="auto"/>
        <w:ind w:firstLine="709"/>
        <w:jc w:val="both"/>
        <w:rPr>
          <w:rFonts w:ascii="Times New Roman" w:hAnsi="Times New Roman" w:eastAsia="SchoolBookSanPin"/>
        </w:rPr>
      </w:pPr>
      <w:r>
        <w:rPr>
          <w:rFonts w:ascii="Times New Roman" w:hAnsi="Times New Roman" w:eastAsia="SchoolBookSanPin"/>
        </w:rPr>
        <w:t>находить в тексте слова, значение которых требует уточнения;</w:t>
      </w:r>
    </w:p>
    <w:p w14:paraId="32DD2ACA">
      <w:pPr>
        <w:spacing w:after="0" w:line="355" w:lineRule="auto"/>
        <w:ind w:firstLine="709"/>
        <w:jc w:val="both"/>
        <w:rPr>
          <w:rFonts w:ascii="Times New Roman" w:hAnsi="Times New Roman" w:eastAsia="SchoolBookSanPin"/>
        </w:rPr>
      </w:pPr>
      <w:r>
        <w:rPr>
          <w:rFonts w:ascii="Times New Roman" w:hAnsi="Times New Roman" w:eastAsia="SchoolBookSanPin"/>
        </w:rPr>
        <w:t>составлять предложение из набора форм слов;</w:t>
      </w:r>
    </w:p>
    <w:p w14:paraId="039A0038">
      <w:pPr>
        <w:spacing w:after="0" w:line="355" w:lineRule="auto"/>
        <w:ind w:firstLine="709"/>
        <w:jc w:val="both"/>
        <w:rPr>
          <w:rFonts w:ascii="Times New Roman" w:hAnsi="Times New Roman" w:eastAsia="SchoolBookSanPin"/>
        </w:rPr>
      </w:pPr>
      <w:r>
        <w:rPr>
          <w:rFonts w:ascii="Times New Roman" w:hAnsi="Times New Roman" w:eastAsia="SchoolBookSanPin"/>
        </w:rPr>
        <w:t>устно составлять текст из 3–5 предложений по сюжетным картинкам и на основе наблюдений;</w:t>
      </w:r>
    </w:p>
    <w:p w14:paraId="00AAAE5D">
      <w:pPr>
        <w:spacing w:after="0" w:line="355" w:lineRule="auto"/>
        <w:ind w:firstLine="709"/>
        <w:jc w:val="both"/>
        <w:rPr>
          <w:rFonts w:ascii="Times New Roman" w:hAnsi="Times New Roman" w:eastAsia="SchoolBookSanPin"/>
        </w:rPr>
      </w:pPr>
      <w:r>
        <w:rPr>
          <w:rFonts w:ascii="Times New Roman" w:hAnsi="Times New Roman" w:eastAsia="SchoolBookSanPin"/>
        </w:rPr>
        <w:t>использовать изученные понятия в процессе решения учебных задач.</w:t>
      </w:r>
    </w:p>
    <w:p w14:paraId="66887AD0">
      <w:pPr>
        <w:spacing w:after="0" w:line="355" w:lineRule="auto"/>
        <w:ind w:firstLine="709"/>
        <w:jc w:val="both"/>
        <w:rPr>
          <w:rFonts w:ascii="Times New Roman" w:hAnsi="Times New Roman" w:eastAsia="SchoolBookSanPin"/>
        </w:rPr>
      </w:pPr>
      <w:r>
        <w:rPr>
          <w:rFonts w:ascii="Times New Roman" w:hAnsi="Times New Roman" w:eastAsia="SchoolBookSanPin"/>
        </w:rPr>
        <w:t>2.10.4. </w:t>
      </w:r>
      <w:r>
        <w:rPr>
          <w:rFonts w:ascii="Times New Roman" w:hAnsi="Times New Roman" w:eastAsia="OfficinaSansBoldITC"/>
        </w:rPr>
        <w:t>Предметные результаты изучения русского языка. К</w:t>
      </w:r>
      <w:r>
        <w:rPr>
          <w:rFonts w:ascii="Times New Roman" w:hAnsi="Times New Roman" w:eastAsia="SchoolBookSanPin"/>
        </w:rPr>
        <w:t xml:space="preserve"> концу обучения во </w:t>
      </w:r>
      <w:r>
        <w:rPr>
          <w:rFonts w:ascii="Times New Roman" w:hAnsi="Times New Roman" w:eastAsia="SchoolBookSanPin"/>
          <w:bCs/>
        </w:rPr>
        <w:t xml:space="preserve">2 классе </w:t>
      </w:r>
      <w:r>
        <w:rPr>
          <w:rFonts w:ascii="Times New Roman" w:hAnsi="Times New Roman" w:eastAsia="SchoolBookSanPin"/>
        </w:rPr>
        <w:t>обучающийся научится:</w:t>
      </w:r>
    </w:p>
    <w:p w14:paraId="06437B2C">
      <w:pPr>
        <w:spacing w:after="0" w:line="355" w:lineRule="auto"/>
        <w:ind w:firstLine="709"/>
        <w:jc w:val="both"/>
        <w:rPr>
          <w:rFonts w:ascii="Times New Roman" w:hAnsi="Times New Roman" w:eastAsia="SchoolBookSanPin"/>
        </w:rPr>
      </w:pPr>
      <w:r>
        <w:rPr>
          <w:rFonts w:ascii="Times New Roman" w:hAnsi="Times New Roman" w:eastAsia="SchoolBookSanPin"/>
        </w:rPr>
        <w:t>осознавать язык как основное средство общения;</w:t>
      </w:r>
    </w:p>
    <w:p w14:paraId="765B1DA0">
      <w:pPr>
        <w:spacing w:after="0" w:line="355" w:lineRule="auto"/>
        <w:ind w:firstLine="709"/>
        <w:jc w:val="both"/>
        <w:rPr>
          <w:rFonts w:ascii="Times New Roman" w:hAnsi="Times New Roman" w:eastAsia="SchoolBookSanPin"/>
        </w:rPr>
      </w:pPr>
      <w:r>
        <w:rPr>
          <w:rFonts w:ascii="Times New Roman" w:hAnsi="Times New Roman" w:eastAsia="SchoolBookSanPin"/>
        </w:rPr>
        <w:t>характеризовать согласные звуки вне слова и в слове по заданным параметрам: согласный парный (непарный) по твёрдости (мягкости); согласный парный (непарный) по звонкости (глухости);</w:t>
      </w:r>
    </w:p>
    <w:p w14:paraId="4AB5A1D2">
      <w:pPr>
        <w:spacing w:after="0" w:line="355" w:lineRule="auto"/>
        <w:ind w:firstLine="709"/>
        <w:jc w:val="both"/>
        <w:rPr>
          <w:rFonts w:ascii="Times New Roman" w:hAnsi="Times New Roman" w:eastAsia="SchoolBookSanPin"/>
        </w:rPr>
      </w:pPr>
      <w:r>
        <w:rPr>
          <w:rFonts w:ascii="Times New Roman" w:hAnsi="Times New Roman" w:eastAsia="SchoolBookSanPin"/>
        </w:rPr>
        <w:t>определять количество слогов в слове; делить слово на слоги (в том числе слова со стечением согласных);</w:t>
      </w:r>
    </w:p>
    <w:p w14:paraId="2CDD62F6">
      <w:pPr>
        <w:spacing w:after="0" w:line="355" w:lineRule="auto"/>
        <w:ind w:firstLine="709"/>
        <w:jc w:val="both"/>
        <w:rPr>
          <w:rFonts w:ascii="Times New Roman" w:hAnsi="Times New Roman" w:eastAsia="SchoolBookSanPin"/>
        </w:rPr>
      </w:pPr>
      <w:r>
        <w:rPr>
          <w:rFonts w:ascii="Times New Roman" w:hAnsi="Times New Roman" w:eastAsia="SchoolBookSanPin"/>
        </w:rPr>
        <w:t>устанавливать соотношение звукового и буквенного состава слова, в том числе с учётом функций букв «е», «ё», «ю», «я»;</w:t>
      </w:r>
    </w:p>
    <w:p w14:paraId="5BDDD912">
      <w:pPr>
        <w:spacing w:after="0" w:line="355" w:lineRule="auto"/>
        <w:ind w:firstLine="709"/>
        <w:jc w:val="both"/>
        <w:rPr>
          <w:rFonts w:ascii="Times New Roman" w:hAnsi="Times New Roman" w:eastAsia="SchoolBookSanPin"/>
        </w:rPr>
      </w:pPr>
      <w:r>
        <w:rPr>
          <w:rFonts w:ascii="Times New Roman" w:hAnsi="Times New Roman" w:eastAsia="SchoolBookSanPin"/>
        </w:rPr>
        <w:t>обозначать при письме мягкость согласных звуков буквой мягкий знак в середине слова;</w:t>
      </w:r>
    </w:p>
    <w:p w14:paraId="4882D441">
      <w:pPr>
        <w:spacing w:after="0" w:line="355" w:lineRule="auto"/>
        <w:ind w:firstLine="709"/>
        <w:jc w:val="both"/>
        <w:rPr>
          <w:rFonts w:ascii="Times New Roman" w:hAnsi="Times New Roman" w:eastAsia="SchoolBookSanPin"/>
        </w:rPr>
      </w:pPr>
      <w:r>
        <w:rPr>
          <w:rFonts w:ascii="Times New Roman" w:hAnsi="Times New Roman" w:eastAsia="SchoolBookSanPin"/>
        </w:rPr>
        <w:t>находить однокоренные слова;</w:t>
      </w:r>
    </w:p>
    <w:p w14:paraId="067DB398">
      <w:pPr>
        <w:spacing w:after="0" w:line="355" w:lineRule="auto"/>
        <w:ind w:firstLine="709"/>
        <w:jc w:val="both"/>
        <w:rPr>
          <w:rFonts w:ascii="Times New Roman" w:hAnsi="Times New Roman" w:eastAsia="SchoolBookSanPin"/>
        </w:rPr>
      </w:pPr>
      <w:r>
        <w:rPr>
          <w:rFonts w:ascii="Times New Roman" w:hAnsi="Times New Roman" w:eastAsia="SchoolBookSanPin"/>
        </w:rPr>
        <w:t>выделять в слове корень (простые случаи);</w:t>
      </w:r>
    </w:p>
    <w:p w14:paraId="2689FF8A">
      <w:pPr>
        <w:spacing w:after="0" w:line="355" w:lineRule="auto"/>
        <w:ind w:firstLine="709"/>
        <w:jc w:val="both"/>
        <w:rPr>
          <w:rFonts w:ascii="Times New Roman" w:hAnsi="Times New Roman" w:eastAsia="SchoolBookSanPin"/>
        </w:rPr>
      </w:pPr>
      <w:r>
        <w:rPr>
          <w:rFonts w:ascii="Times New Roman" w:hAnsi="Times New Roman" w:eastAsia="SchoolBookSanPin"/>
        </w:rPr>
        <w:t>выделять в слове окончание;</w:t>
      </w:r>
    </w:p>
    <w:p w14:paraId="6750DECE">
      <w:pPr>
        <w:spacing w:after="0" w:line="355" w:lineRule="auto"/>
        <w:ind w:firstLine="709"/>
        <w:jc w:val="both"/>
        <w:rPr>
          <w:rFonts w:ascii="Times New Roman" w:hAnsi="Times New Roman" w:eastAsia="SchoolBookSanPin"/>
        </w:rPr>
      </w:pPr>
      <w:r>
        <w:rPr>
          <w:rFonts w:ascii="Times New Roman" w:hAnsi="Times New Roman" w:eastAsia="SchoolBookSanPin"/>
        </w:rPr>
        <w:t>выявлять в тексте случаи употребления многозначных слов, понимать их значения и уточнять значение по учебным словарям; выявлять случаи употребления синонимов и антонимов (без называния терминов);</w:t>
      </w:r>
    </w:p>
    <w:p w14:paraId="47927CBE">
      <w:pPr>
        <w:spacing w:after="0" w:line="355" w:lineRule="auto"/>
        <w:ind w:firstLine="709"/>
        <w:jc w:val="both"/>
        <w:rPr>
          <w:rFonts w:ascii="Times New Roman" w:hAnsi="Times New Roman" w:eastAsia="SchoolBookSanPin"/>
        </w:rPr>
      </w:pPr>
      <w:r>
        <w:rPr>
          <w:rFonts w:ascii="Times New Roman" w:hAnsi="Times New Roman" w:eastAsia="SchoolBookSanPin"/>
        </w:rPr>
        <w:t>распознавать слова, отвечающие на вопросы «кто?», «что?»;</w:t>
      </w:r>
    </w:p>
    <w:p w14:paraId="7E8E7754">
      <w:pPr>
        <w:spacing w:after="0" w:line="355" w:lineRule="auto"/>
        <w:ind w:firstLine="709"/>
        <w:jc w:val="both"/>
        <w:rPr>
          <w:rFonts w:ascii="Times New Roman" w:hAnsi="Times New Roman" w:eastAsia="SchoolBookSanPin"/>
        </w:rPr>
      </w:pPr>
      <w:r>
        <w:rPr>
          <w:rFonts w:ascii="Times New Roman" w:hAnsi="Times New Roman" w:eastAsia="SchoolBookSanPin"/>
        </w:rPr>
        <w:t>распознавать слова, отвечающие на вопросы «что делать?», «что сделать?» и другие;</w:t>
      </w:r>
    </w:p>
    <w:p w14:paraId="7778343F">
      <w:pPr>
        <w:spacing w:after="0" w:line="355" w:lineRule="auto"/>
        <w:ind w:firstLine="709"/>
        <w:jc w:val="both"/>
        <w:rPr>
          <w:rFonts w:ascii="Times New Roman" w:hAnsi="Times New Roman" w:eastAsia="SchoolBookSanPin"/>
        </w:rPr>
      </w:pPr>
      <w:r>
        <w:rPr>
          <w:rFonts w:ascii="Times New Roman" w:hAnsi="Times New Roman" w:eastAsia="SchoolBookSanPin"/>
        </w:rPr>
        <w:t>распознавать слова, отвечающие на вопросы «какой?», «какая?», «какое?», «какие?»;</w:t>
      </w:r>
    </w:p>
    <w:p w14:paraId="7BEB9E11">
      <w:pPr>
        <w:spacing w:after="0" w:line="355" w:lineRule="auto"/>
        <w:ind w:firstLine="709"/>
        <w:jc w:val="both"/>
        <w:rPr>
          <w:rFonts w:ascii="Times New Roman" w:hAnsi="Times New Roman" w:eastAsia="SchoolBookSanPin"/>
        </w:rPr>
      </w:pPr>
      <w:r>
        <w:rPr>
          <w:rFonts w:ascii="Times New Roman" w:hAnsi="Times New Roman" w:eastAsia="SchoolBookSanPin"/>
        </w:rPr>
        <w:t>определять вид предложения по цели высказывания и по эмоциональной окраске;</w:t>
      </w:r>
    </w:p>
    <w:p w14:paraId="352E70EF">
      <w:pPr>
        <w:spacing w:after="0" w:line="355" w:lineRule="auto"/>
        <w:ind w:firstLine="709"/>
        <w:jc w:val="both"/>
        <w:rPr>
          <w:rFonts w:ascii="Times New Roman" w:hAnsi="Times New Roman" w:eastAsia="SchoolBookSanPin"/>
        </w:rPr>
      </w:pPr>
      <w:r>
        <w:rPr>
          <w:rFonts w:ascii="Times New Roman" w:hAnsi="Times New Roman" w:eastAsia="SchoolBookSanPin"/>
        </w:rPr>
        <w:t>находить место орфограммы в слове и между словами по изученным правилам;</w:t>
      </w:r>
    </w:p>
    <w:p w14:paraId="0E5113BD">
      <w:pPr>
        <w:spacing w:after="0" w:line="355" w:lineRule="auto"/>
        <w:ind w:firstLine="709"/>
        <w:jc w:val="both"/>
        <w:rPr>
          <w:rFonts w:ascii="Times New Roman" w:hAnsi="Times New Roman" w:eastAsia="SchoolBookSanPin"/>
        </w:rPr>
      </w:pPr>
      <w:r>
        <w:rPr>
          <w:rFonts w:ascii="Times New Roman" w:hAnsi="Times New Roman" w:eastAsia="SchoolBookSanPin"/>
        </w:rPr>
        <w:t xml:space="preserve">применять изученные правила правописания, в том числе сочетания </w:t>
      </w:r>
      <w:r>
        <w:rPr>
          <w:rFonts w:ascii="Times New Roman" w:hAnsi="Times New Roman" w:eastAsia="SchoolBookSanPin"/>
          <w:bCs/>
        </w:rPr>
        <w:t>чк</w:t>
      </w:r>
      <w:r>
        <w:rPr>
          <w:rFonts w:ascii="Times New Roman" w:hAnsi="Times New Roman" w:eastAsia="SchoolBookSanPin"/>
        </w:rPr>
        <w:t xml:space="preserve">, </w:t>
      </w:r>
      <w:r>
        <w:rPr>
          <w:rFonts w:ascii="Times New Roman" w:hAnsi="Times New Roman" w:eastAsia="SchoolBookSanPin"/>
          <w:bCs/>
        </w:rPr>
        <w:t>чн</w:t>
      </w:r>
      <w:r>
        <w:rPr>
          <w:rFonts w:ascii="Times New Roman" w:hAnsi="Times New Roman" w:eastAsia="SchoolBookSanPin"/>
        </w:rPr>
        <w:t xml:space="preserve">, </w:t>
      </w:r>
      <w:r>
        <w:rPr>
          <w:rFonts w:ascii="Times New Roman" w:hAnsi="Times New Roman" w:eastAsia="SchoolBookSanPin"/>
          <w:bCs/>
        </w:rPr>
        <w:t>чт</w:t>
      </w:r>
      <w:r>
        <w:rPr>
          <w:rFonts w:ascii="Times New Roman" w:hAnsi="Times New Roman" w:eastAsia="SchoolBookSanPin"/>
        </w:rPr>
        <w:t xml:space="preserve">; </w:t>
      </w:r>
      <w:r>
        <w:rPr>
          <w:rFonts w:ascii="Times New Roman" w:hAnsi="Times New Roman" w:eastAsia="SchoolBookSanPin"/>
          <w:bCs/>
        </w:rPr>
        <w:t>щн</w:t>
      </w:r>
      <w:r>
        <w:rPr>
          <w:rFonts w:ascii="Times New Roman" w:hAnsi="Times New Roman" w:eastAsia="SchoolBookSanPin"/>
        </w:rPr>
        <w:t xml:space="preserve">, </w:t>
      </w:r>
      <w:r>
        <w:rPr>
          <w:rFonts w:ascii="Times New Roman" w:hAnsi="Times New Roman" w:eastAsia="SchoolBookSanPin"/>
          <w:bCs/>
        </w:rPr>
        <w:t>нч</w:t>
      </w:r>
      <w:r>
        <w:rPr>
          <w:rFonts w:ascii="Times New Roman" w:hAnsi="Times New Roman" w:eastAsia="SchoolBookSanPin"/>
        </w:rPr>
        <w:t>; проверяемые безударные гласные в корне слова; парные звонкие и глухие согласные в корне слова; непроверяемые гласные и согласные (перечень слов в орфографическом словаре учебника); прописная буква в именах, отчествах, фамилиях людей, кличках животных, географических названиях; раздельное написание предлогов с именами существительными, разделительный мягкий знак;</w:t>
      </w:r>
    </w:p>
    <w:p w14:paraId="7D354390">
      <w:pPr>
        <w:spacing w:after="0" w:line="355" w:lineRule="auto"/>
        <w:ind w:firstLine="709"/>
        <w:jc w:val="both"/>
        <w:rPr>
          <w:rFonts w:ascii="Times New Roman" w:hAnsi="Times New Roman" w:eastAsia="SchoolBookSanPin"/>
        </w:rPr>
      </w:pPr>
      <w:r>
        <w:rPr>
          <w:rFonts w:ascii="Times New Roman" w:hAnsi="Times New Roman" w:eastAsia="SchoolBookSanPin"/>
        </w:rPr>
        <w:t>правильно списывать (без пропусков и искажений букв) слова и предложения, тексты объёмом не более 50 слов;</w:t>
      </w:r>
    </w:p>
    <w:p w14:paraId="09C7FCAD">
      <w:pPr>
        <w:spacing w:after="0" w:line="355" w:lineRule="auto"/>
        <w:ind w:firstLine="709"/>
        <w:jc w:val="both"/>
        <w:rPr>
          <w:rFonts w:ascii="Times New Roman" w:hAnsi="Times New Roman" w:eastAsia="SchoolBookSanPin"/>
        </w:rPr>
      </w:pPr>
      <w:r>
        <w:rPr>
          <w:rFonts w:ascii="Times New Roman" w:hAnsi="Times New Roman" w:eastAsia="SchoolBookSanPin"/>
        </w:rPr>
        <w:t>писать под диктовку (без пропусков и искажений букв) слова, предложения, тексты объёмом не более 45 слов с учётом изученных правил правописания;</w:t>
      </w:r>
    </w:p>
    <w:p w14:paraId="766BA74D">
      <w:pPr>
        <w:spacing w:after="0" w:line="355" w:lineRule="auto"/>
        <w:ind w:firstLine="709"/>
        <w:jc w:val="both"/>
        <w:rPr>
          <w:rFonts w:ascii="Times New Roman" w:hAnsi="Times New Roman" w:eastAsia="SchoolBookSanPin"/>
        </w:rPr>
      </w:pPr>
      <w:r>
        <w:rPr>
          <w:rFonts w:ascii="Times New Roman" w:hAnsi="Times New Roman" w:eastAsia="SchoolBookSanPin"/>
        </w:rPr>
        <w:t>находить и исправлять ошибки по изученным правилам;</w:t>
      </w:r>
    </w:p>
    <w:p w14:paraId="383D91EB">
      <w:pPr>
        <w:spacing w:after="0" w:line="355" w:lineRule="auto"/>
        <w:ind w:firstLine="709"/>
        <w:jc w:val="both"/>
        <w:rPr>
          <w:rFonts w:ascii="Times New Roman" w:hAnsi="Times New Roman" w:eastAsia="SchoolBookSanPin"/>
        </w:rPr>
      </w:pPr>
      <w:r>
        <w:rPr>
          <w:rFonts w:ascii="Times New Roman" w:hAnsi="Times New Roman" w:eastAsia="SchoolBookSanPin"/>
        </w:rPr>
        <w:t>пользоваться толковым, орфографическим, орфоэпическим словарями учебника;</w:t>
      </w:r>
    </w:p>
    <w:p w14:paraId="0DFD6F5D">
      <w:pPr>
        <w:spacing w:after="0" w:line="355" w:lineRule="auto"/>
        <w:ind w:firstLine="709"/>
        <w:jc w:val="both"/>
        <w:rPr>
          <w:rFonts w:ascii="Times New Roman" w:hAnsi="Times New Roman" w:eastAsia="SchoolBookSanPin"/>
        </w:rPr>
      </w:pPr>
      <w:r>
        <w:rPr>
          <w:rFonts w:ascii="Times New Roman" w:hAnsi="Times New Roman" w:eastAsia="SchoolBookSanPin"/>
        </w:rPr>
        <w:t>строить устное диалогическое и монологическое высказывания  (2–4 предложения на определённую тему, по наблюдениям) с соблюдением орфоэпических норм, правильной интонации;</w:t>
      </w:r>
    </w:p>
    <w:p w14:paraId="62DC9891">
      <w:pPr>
        <w:spacing w:after="0" w:line="355" w:lineRule="auto"/>
        <w:ind w:firstLine="709"/>
        <w:jc w:val="both"/>
        <w:rPr>
          <w:rFonts w:ascii="Times New Roman" w:hAnsi="Times New Roman" w:eastAsia="SchoolBookSanPin"/>
        </w:rPr>
      </w:pPr>
      <w:r>
        <w:rPr>
          <w:rFonts w:ascii="Times New Roman" w:hAnsi="Times New Roman" w:eastAsia="SchoolBookSanPin"/>
        </w:rPr>
        <w:t>формулировать простые выводы на основе прочитанного (услышанного) устно и письменно (1–2 предложения);</w:t>
      </w:r>
    </w:p>
    <w:p w14:paraId="26239360">
      <w:pPr>
        <w:spacing w:after="0" w:line="355" w:lineRule="auto"/>
        <w:ind w:firstLine="709"/>
        <w:jc w:val="both"/>
        <w:rPr>
          <w:rFonts w:ascii="Times New Roman" w:hAnsi="Times New Roman" w:eastAsia="SchoolBookSanPin"/>
        </w:rPr>
      </w:pPr>
      <w:r>
        <w:rPr>
          <w:rFonts w:ascii="Times New Roman" w:hAnsi="Times New Roman" w:eastAsia="SchoolBookSanPin"/>
        </w:rPr>
        <w:t>составлять предложения из слов, устанавливая между ними смысловую связь по вопросам;</w:t>
      </w:r>
    </w:p>
    <w:p w14:paraId="53B962C4">
      <w:pPr>
        <w:spacing w:after="0" w:line="355" w:lineRule="auto"/>
        <w:ind w:firstLine="709"/>
        <w:jc w:val="both"/>
        <w:rPr>
          <w:rFonts w:ascii="Times New Roman" w:hAnsi="Times New Roman" w:eastAsia="SchoolBookSanPin"/>
        </w:rPr>
      </w:pPr>
      <w:r>
        <w:rPr>
          <w:rFonts w:ascii="Times New Roman" w:hAnsi="Times New Roman" w:eastAsia="SchoolBookSanPin"/>
        </w:rPr>
        <w:t>определять тему текста и озаглавливать текст, отражая его тему;</w:t>
      </w:r>
    </w:p>
    <w:p w14:paraId="44BAF7CB">
      <w:pPr>
        <w:spacing w:after="0" w:line="355" w:lineRule="auto"/>
        <w:ind w:firstLine="709"/>
        <w:jc w:val="both"/>
        <w:rPr>
          <w:rFonts w:ascii="Times New Roman" w:hAnsi="Times New Roman" w:eastAsia="SchoolBookSanPin"/>
        </w:rPr>
      </w:pPr>
      <w:r>
        <w:rPr>
          <w:rFonts w:ascii="Times New Roman" w:hAnsi="Times New Roman" w:eastAsia="SchoolBookSanPin"/>
        </w:rPr>
        <w:t>составлять текст из разрозненных предложений, частей текста;</w:t>
      </w:r>
    </w:p>
    <w:p w14:paraId="7F4593AC">
      <w:pPr>
        <w:spacing w:after="0" w:line="355" w:lineRule="auto"/>
        <w:ind w:firstLine="709"/>
        <w:jc w:val="both"/>
        <w:rPr>
          <w:rFonts w:ascii="Times New Roman" w:hAnsi="Times New Roman" w:eastAsia="SchoolBookSanPin"/>
        </w:rPr>
      </w:pPr>
      <w:r>
        <w:rPr>
          <w:rFonts w:ascii="Times New Roman" w:hAnsi="Times New Roman" w:eastAsia="SchoolBookSanPin"/>
        </w:rPr>
        <w:t>писать подробное изложение повествовательного текста объёмом 30–45 слов с использованием вопросов;</w:t>
      </w:r>
    </w:p>
    <w:p w14:paraId="18315363">
      <w:pPr>
        <w:spacing w:after="0" w:line="355" w:lineRule="auto"/>
        <w:ind w:firstLine="709"/>
        <w:jc w:val="both"/>
        <w:rPr>
          <w:rFonts w:ascii="Times New Roman" w:hAnsi="Times New Roman" w:eastAsia="SchoolBookSanPin"/>
        </w:rPr>
      </w:pPr>
      <w:r>
        <w:rPr>
          <w:rFonts w:ascii="Times New Roman" w:hAnsi="Times New Roman" w:eastAsia="SchoolBookSanPin"/>
        </w:rPr>
        <w:t>объяснять своими словами значение изученных понятий; использовать изученные понятия в процессе решения учебных задач.</w:t>
      </w:r>
    </w:p>
    <w:p w14:paraId="436A1457">
      <w:pPr>
        <w:spacing w:after="0" w:line="355" w:lineRule="auto"/>
        <w:ind w:firstLine="709"/>
        <w:jc w:val="both"/>
        <w:rPr>
          <w:rFonts w:ascii="Times New Roman" w:hAnsi="Times New Roman" w:eastAsia="SchoolBookSanPin"/>
        </w:rPr>
      </w:pPr>
      <w:r>
        <w:rPr>
          <w:rFonts w:ascii="Times New Roman" w:hAnsi="Times New Roman" w:eastAsia="SchoolBookSanPin"/>
        </w:rPr>
        <w:t>2.10.5. </w:t>
      </w:r>
      <w:r>
        <w:rPr>
          <w:rFonts w:ascii="Times New Roman" w:hAnsi="Times New Roman" w:eastAsia="OfficinaSansBoldITC"/>
        </w:rPr>
        <w:t>Предметные результаты изучения русского языка. К</w:t>
      </w:r>
      <w:r>
        <w:rPr>
          <w:rFonts w:ascii="Times New Roman" w:hAnsi="Times New Roman" w:eastAsia="SchoolBookSanPin"/>
        </w:rPr>
        <w:t xml:space="preserve"> концу обучения в </w:t>
      </w:r>
      <w:r>
        <w:rPr>
          <w:rFonts w:ascii="Times New Roman" w:hAnsi="Times New Roman" w:eastAsia="SchoolBookSanPin"/>
          <w:bCs/>
        </w:rPr>
        <w:t xml:space="preserve">3 классе </w:t>
      </w:r>
      <w:r>
        <w:rPr>
          <w:rFonts w:ascii="Times New Roman" w:hAnsi="Times New Roman" w:eastAsia="SchoolBookSanPin"/>
        </w:rPr>
        <w:t>обучающийся научится:</w:t>
      </w:r>
    </w:p>
    <w:p w14:paraId="24851202">
      <w:pPr>
        <w:spacing w:after="0" w:line="355" w:lineRule="auto"/>
        <w:ind w:firstLine="709"/>
        <w:jc w:val="both"/>
        <w:rPr>
          <w:rFonts w:ascii="Times New Roman" w:hAnsi="Times New Roman" w:eastAsia="SchoolBookSanPin"/>
        </w:rPr>
      </w:pPr>
      <w:r>
        <w:rPr>
          <w:rFonts w:ascii="Times New Roman" w:hAnsi="Times New Roman" w:eastAsia="SchoolBookSanPin"/>
        </w:rPr>
        <w:t>объяснять значение русского языка как государственного языка Российской Федерации;</w:t>
      </w:r>
    </w:p>
    <w:p w14:paraId="269E3481">
      <w:pPr>
        <w:spacing w:after="0" w:line="355" w:lineRule="auto"/>
        <w:ind w:firstLine="709"/>
        <w:jc w:val="both"/>
        <w:rPr>
          <w:rFonts w:ascii="Times New Roman" w:hAnsi="Times New Roman" w:eastAsia="SchoolBookSanPin"/>
        </w:rPr>
      </w:pPr>
      <w:r>
        <w:rPr>
          <w:rFonts w:ascii="Times New Roman" w:hAnsi="Times New Roman" w:eastAsia="SchoolBookSanPin"/>
        </w:rPr>
        <w:t>характеризовать, сравнивать, классифицировать звуки вне слова и в слове по заданным параметрам;</w:t>
      </w:r>
    </w:p>
    <w:p w14:paraId="6408FD5F">
      <w:pPr>
        <w:spacing w:after="0" w:line="355" w:lineRule="auto"/>
        <w:ind w:firstLine="709"/>
        <w:jc w:val="both"/>
        <w:rPr>
          <w:rFonts w:ascii="Times New Roman" w:hAnsi="Times New Roman" w:eastAsia="SchoolBookSanPin"/>
        </w:rPr>
      </w:pPr>
      <w:r>
        <w:rPr>
          <w:rFonts w:ascii="Times New Roman" w:hAnsi="Times New Roman" w:eastAsia="SchoolBookSanPin"/>
        </w:rPr>
        <w:t>производить звуко­буквенный анализ слова (в словах с орфограммами; без транскрибирования);</w:t>
      </w:r>
    </w:p>
    <w:p w14:paraId="53E0F721">
      <w:pPr>
        <w:spacing w:after="0" w:line="355" w:lineRule="auto"/>
        <w:ind w:firstLine="709"/>
        <w:jc w:val="both"/>
        <w:rPr>
          <w:rFonts w:ascii="Times New Roman" w:hAnsi="Times New Roman" w:eastAsia="SchoolBookSanPin"/>
        </w:rPr>
      </w:pPr>
      <w:r>
        <w:rPr>
          <w:rFonts w:ascii="Times New Roman" w:hAnsi="Times New Roman" w:eastAsia="SchoolBookSanPin"/>
        </w:rPr>
        <w:t>определять функцию разделительных мягкого и твёрдого знаков в словах; устанавливать соотношение звукового и буквенного состава, в том числе с учётом функций букв «</w:t>
      </w:r>
      <w:r>
        <w:rPr>
          <w:rFonts w:ascii="Times New Roman" w:hAnsi="Times New Roman" w:eastAsia="SchoolBookSanPin"/>
          <w:bCs/>
        </w:rPr>
        <w:t>е»</w:t>
      </w:r>
      <w:r>
        <w:rPr>
          <w:rFonts w:ascii="Times New Roman" w:hAnsi="Times New Roman" w:eastAsia="SchoolBookSanPin"/>
        </w:rPr>
        <w:t>, «</w:t>
      </w:r>
      <w:r>
        <w:rPr>
          <w:rFonts w:ascii="Times New Roman" w:hAnsi="Times New Roman" w:eastAsia="SchoolBookSanPin"/>
          <w:bCs/>
        </w:rPr>
        <w:t>ё»</w:t>
      </w:r>
      <w:r>
        <w:rPr>
          <w:rFonts w:ascii="Times New Roman" w:hAnsi="Times New Roman" w:eastAsia="SchoolBookSanPin"/>
        </w:rPr>
        <w:t>, «</w:t>
      </w:r>
      <w:r>
        <w:rPr>
          <w:rFonts w:ascii="Times New Roman" w:hAnsi="Times New Roman" w:eastAsia="SchoolBookSanPin"/>
          <w:bCs/>
        </w:rPr>
        <w:t>ю»</w:t>
      </w:r>
      <w:r>
        <w:rPr>
          <w:rFonts w:ascii="Times New Roman" w:hAnsi="Times New Roman" w:eastAsia="SchoolBookSanPin"/>
        </w:rPr>
        <w:t>, «</w:t>
      </w:r>
      <w:r>
        <w:rPr>
          <w:rFonts w:ascii="Times New Roman" w:hAnsi="Times New Roman" w:eastAsia="SchoolBookSanPin"/>
          <w:bCs/>
        </w:rPr>
        <w:t>я»</w:t>
      </w:r>
      <w:r>
        <w:rPr>
          <w:rFonts w:ascii="Times New Roman" w:hAnsi="Times New Roman" w:eastAsia="SchoolBookSanPin"/>
        </w:rPr>
        <w:t>, в словах с разделительными «</w:t>
      </w:r>
      <w:r>
        <w:rPr>
          <w:rFonts w:ascii="Times New Roman" w:hAnsi="Times New Roman" w:eastAsia="SchoolBookSanPin"/>
          <w:bCs/>
        </w:rPr>
        <w:t>ь»</w:t>
      </w:r>
      <w:r>
        <w:rPr>
          <w:rFonts w:ascii="Times New Roman" w:hAnsi="Times New Roman" w:eastAsia="SchoolBookSanPin"/>
        </w:rPr>
        <w:t>, «</w:t>
      </w:r>
      <w:r>
        <w:rPr>
          <w:rFonts w:ascii="Times New Roman" w:hAnsi="Times New Roman" w:eastAsia="SchoolBookSanPin"/>
          <w:bCs/>
        </w:rPr>
        <w:t>ъ»</w:t>
      </w:r>
      <w:r>
        <w:rPr>
          <w:rFonts w:ascii="Times New Roman" w:hAnsi="Times New Roman" w:eastAsia="SchoolBookSanPin"/>
        </w:rPr>
        <w:t>, в словах с непроизносимыми согласными;</w:t>
      </w:r>
    </w:p>
    <w:p w14:paraId="09F211C1">
      <w:pPr>
        <w:spacing w:after="0" w:line="355" w:lineRule="auto"/>
        <w:ind w:firstLine="709"/>
        <w:jc w:val="both"/>
        <w:rPr>
          <w:rFonts w:ascii="Times New Roman" w:hAnsi="Times New Roman" w:eastAsia="SchoolBookSanPin"/>
        </w:rPr>
      </w:pPr>
      <w:r>
        <w:rPr>
          <w:rFonts w:ascii="Times New Roman" w:hAnsi="Times New Roman" w:eastAsia="SchoolBookSanPin"/>
        </w:rPr>
        <w:t>различать однокоренные слова и формы одного и того же слова; различать однокоренные слова и слова с омонимичными корнями (без называния термина); различать однокоренные слова и синонимы;</w:t>
      </w:r>
    </w:p>
    <w:p w14:paraId="451C47C6">
      <w:pPr>
        <w:spacing w:after="0" w:line="355" w:lineRule="auto"/>
        <w:ind w:firstLine="709"/>
        <w:jc w:val="both"/>
        <w:rPr>
          <w:rFonts w:ascii="Times New Roman" w:hAnsi="Times New Roman" w:eastAsia="SchoolBookSanPin"/>
        </w:rPr>
      </w:pPr>
      <w:r>
        <w:rPr>
          <w:rFonts w:ascii="Times New Roman" w:hAnsi="Times New Roman" w:eastAsia="SchoolBookSanPin"/>
        </w:rPr>
        <w:t>находить в словах с однозначно выделяемыми морфемами окончание, корень, приставку, суффикс;</w:t>
      </w:r>
    </w:p>
    <w:p w14:paraId="1037BCE7">
      <w:pPr>
        <w:tabs>
          <w:tab w:val="left" w:pos="851"/>
        </w:tabs>
        <w:spacing w:after="0" w:line="355" w:lineRule="auto"/>
        <w:ind w:firstLine="709"/>
        <w:jc w:val="both"/>
        <w:rPr>
          <w:rFonts w:ascii="Times New Roman" w:hAnsi="Times New Roman" w:eastAsia="SchoolBookSanPin"/>
        </w:rPr>
      </w:pPr>
      <w:r>
        <w:rPr>
          <w:rFonts w:ascii="Times New Roman" w:hAnsi="Times New Roman" w:eastAsia="SchoolBookSanPin"/>
        </w:rPr>
        <w:t>выявлять случаи употребления синонимов и антонимов; подбирать синонимы и антонимы к словам разных частей речи;</w:t>
      </w:r>
    </w:p>
    <w:p w14:paraId="26B3C070">
      <w:pPr>
        <w:spacing w:after="0" w:line="355" w:lineRule="auto"/>
        <w:ind w:firstLine="709"/>
        <w:jc w:val="both"/>
        <w:rPr>
          <w:rFonts w:ascii="Times New Roman" w:hAnsi="Times New Roman" w:eastAsia="SchoolBookSanPin"/>
        </w:rPr>
      </w:pPr>
      <w:r>
        <w:rPr>
          <w:rFonts w:ascii="Times New Roman" w:hAnsi="Times New Roman" w:eastAsia="SchoolBookSanPin"/>
        </w:rPr>
        <w:t>распознавать слова, употребляемые в прямом и переносном значении (простые случаи);</w:t>
      </w:r>
    </w:p>
    <w:p w14:paraId="1CC7645C">
      <w:pPr>
        <w:spacing w:after="0" w:line="355" w:lineRule="auto"/>
        <w:ind w:firstLine="709"/>
        <w:jc w:val="both"/>
        <w:rPr>
          <w:rFonts w:ascii="Times New Roman" w:hAnsi="Times New Roman" w:eastAsia="SchoolBookSanPin"/>
        </w:rPr>
      </w:pPr>
      <w:r>
        <w:rPr>
          <w:rFonts w:ascii="Times New Roman" w:hAnsi="Times New Roman" w:eastAsia="SchoolBookSanPin"/>
        </w:rPr>
        <w:t>определять значение слова в тексте;</w:t>
      </w:r>
    </w:p>
    <w:p w14:paraId="20EBA07B">
      <w:pPr>
        <w:spacing w:after="0" w:line="355" w:lineRule="auto"/>
        <w:ind w:firstLine="709"/>
        <w:jc w:val="both"/>
        <w:rPr>
          <w:rFonts w:ascii="Times New Roman" w:hAnsi="Times New Roman" w:eastAsia="SchoolBookSanPin"/>
        </w:rPr>
      </w:pPr>
      <w:r>
        <w:rPr>
          <w:rFonts w:ascii="Times New Roman" w:hAnsi="Times New Roman" w:eastAsia="SchoolBookSanPin"/>
        </w:rPr>
        <w:t>распознавать имена существительные; определять грамматические признаки имён существительных: род, число, падеж; склонять в единственном числе имена существительные с ударными окончаниями;</w:t>
      </w:r>
    </w:p>
    <w:p w14:paraId="1C478D25">
      <w:pPr>
        <w:spacing w:after="0" w:line="355" w:lineRule="auto"/>
        <w:ind w:firstLine="709"/>
        <w:jc w:val="both"/>
        <w:rPr>
          <w:rFonts w:ascii="Times New Roman" w:hAnsi="Times New Roman" w:eastAsia="SchoolBookSanPin"/>
        </w:rPr>
      </w:pPr>
      <w:r>
        <w:rPr>
          <w:rFonts w:ascii="Times New Roman" w:hAnsi="Times New Roman" w:eastAsia="SchoolBookSanPin"/>
        </w:rPr>
        <w:t>распознавать имена прилагательные; определять грамматические признаки имён прилагательных: род, число, падеж;</w:t>
      </w:r>
    </w:p>
    <w:p w14:paraId="53307508">
      <w:pPr>
        <w:spacing w:after="0" w:line="355" w:lineRule="auto"/>
        <w:ind w:firstLine="709"/>
        <w:jc w:val="both"/>
        <w:rPr>
          <w:rFonts w:ascii="Times New Roman" w:hAnsi="Times New Roman" w:eastAsia="SchoolBookSanPin"/>
        </w:rPr>
      </w:pPr>
      <w:r>
        <w:rPr>
          <w:rFonts w:ascii="Times New Roman" w:hAnsi="Times New Roman" w:eastAsia="SchoolBookSanPin"/>
        </w:rPr>
        <w:t>изменять имена прилагательные по падежам, числам, родам (в единственном числе) в соответствии с падежом, числом и родом имён существительных;</w:t>
      </w:r>
    </w:p>
    <w:p w14:paraId="60D2FE0F">
      <w:pPr>
        <w:spacing w:after="0" w:line="355" w:lineRule="auto"/>
        <w:ind w:firstLine="709"/>
        <w:jc w:val="both"/>
        <w:rPr>
          <w:rFonts w:ascii="Times New Roman" w:hAnsi="Times New Roman" w:eastAsia="SchoolBookSanPin"/>
        </w:rPr>
      </w:pPr>
      <w:r>
        <w:rPr>
          <w:rFonts w:ascii="Times New Roman" w:hAnsi="Times New Roman" w:eastAsia="SchoolBookSanPin"/>
        </w:rPr>
        <w:t>распознавать глаголы; различать глаголы, отвечающие на вопросы «что делать?» и «что сделать?»; определять грамматические признаки глаголов: форму времени, число, род (в прошедшем времени); изменять глагол по временам (простые случаи), в прошедшем времени – по родам;</w:t>
      </w:r>
    </w:p>
    <w:p w14:paraId="4D1DF14D">
      <w:pPr>
        <w:spacing w:after="0" w:line="355" w:lineRule="auto"/>
        <w:ind w:firstLine="709"/>
        <w:jc w:val="both"/>
        <w:rPr>
          <w:rFonts w:ascii="Times New Roman" w:hAnsi="Times New Roman" w:eastAsia="SchoolBookSanPin"/>
        </w:rPr>
      </w:pPr>
      <w:r>
        <w:rPr>
          <w:rFonts w:ascii="Times New Roman" w:hAnsi="Times New Roman" w:eastAsia="SchoolBookSanPin"/>
        </w:rPr>
        <w:t>распознавать личные местоимения (в начальной форме);</w:t>
      </w:r>
    </w:p>
    <w:p w14:paraId="2D48D8C4">
      <w:pPr>
        <w:spacing w:after="0" w:line="355" w:lineRule="auto"/>
        <w:ind w:firstLine="709"/>
        <w:jc w:val="both"/>
        <w:rPr>
          <w:rFonts w:ascii="Times New Roman" w:hAnsi="Times New Roman" w:eastAsia="SchoolBookSanPin"/>
        </w:rPr>
      </w:pPr>
      <w:r>
        <w:rPr>
          <w:rFonts w:ascii="Times New Roman" w:hAnsi="Times New Roman" w:eastAsia="SchoolBookSanPin"/>
        </w:rPr>
        <w:t>использовать личные местоимения для устранения неоправданных повторов в тексте;</w:t>
      </w:r>
    </w:p>
    <w:p w14:paraId="0B0CB10B">
      <w:pPr>
        <w:spacing w:after="0" w:line="355" w:lineRule="auto"/>
        <w:ind w:firstLine="709"/>
        <w:jc w:val="both"/>
        <w:rPr>
          <w:rFonts w:ascii="Times New Roman" w:hAnsi="Times New Roman" w:eastAsia="SchoolBookSanPin"/>
        </w:rPr>
      </w:pPr>
      <w:r>
        <w:rPr>
          <w:rFonts w:ascii="Times New Roman" w:hAnsi="Times New Roman" w:eastAsia="SchoolBookSanPin"/>
        </w:rPr>
        <w:t>различать предлоги и приставки;</w:t>
      </w:r>
    </w:p>
    <w:p w14:paraId="447F98D0">
      <w:pPr>
        <w:spacing w:after="0" w:line="355" w:lineRule="auto"/>
        <w:ind w:firstLine="709"/>
        <w:jc w:val="both"/>
        <w:rPr>
          <w:rFonts w:ascii="Times New Roman" w:hAnsi="Times New Roman" w:eastAsia="SchoolBookSanPin"/>
        </w:rPr>
      </w:pPr>
      <w:r>
        <w:rPr>
          <w:rFonts w:ascii="Times New Roman" w:hAnsi="Times New Roman" w:eastAsia="SchoolBookSanPin"/>
        </w:rPr>
        <w:t>определять вид предложения по цели высказывания и по эмоциональной окраске;</w:t>
      </w:r>
    </w:p>
    <w:p w14:paraId="21D7853A">
      <w:pPr>
        <w:spacing w:after="0" w:line="355" w:lineRule="auto"/>
        <w:ind w:firstLine="709"/>
        <w:jc w:val="both"/>
        <w:rPr>
          <w:rFonts w:ascii="Times New Roman" w:hAnsi="Times New Roman" w:eastAsia="SchoolBookSanPin"/>
        </w:rPr>
      </w:pPr>
      <w:r>
        <w:rPr>
          <w:rFonts w:ascii="Times New Roman" w:hAnsi="Times New Roman" w:eastAsia="SchoolBookSanPin"/>
        </w:rPr>
        <w:t>находить главные и второстепенные (без деления на виды) члены предложения;</w:t>
      </w:r>
    </w:p>
    <w:p w14:paraId="78CB79CE">
      <w:pPr>
        <w:spacing w:after="0" w:line="355" w:lineRule="auto"/>
        <w:ind w:firstLine="709"/>
        <w:jc w:val="both"/>
        <w:rPr>
          <w:rFonts w:ascii="Times New Roman" w:hAnsi="Times New Roman" w:eastAsia="SchoolBookSanPin"/>
        </w:rPr>
      </w:pPr>
      <w:r>
        <w:rPr>
          <w:rFonts w:ascii="Times New Roman" w:hAnsi="Times New Roman" w:eastAsia="SchoolBookSanPin"/>
        </w:rPr>
        <w:t>распознавать распространённые и нераспространённые предложения;</w:t>
      </w:r>
    </w:p>
    <w:p w14:paraId="1BB6AD21">
      <w:pPr>
        <w:spacing w:after="0" w:line="355" w:lineRule="auto"/>
        <w:ind w:firstLine="709"/>
        <w:jc w:val="both"/>
        <w:rPr>
          <w:rFonts w:ascii="Times New Roman" w:hAnsi="Times New Roman" w:eastAsia="SchoolBookSanPin"/>
        </w:rPr>
      </w:pPr>
      <w:r>
        <w:rPr>
          <w:rFonts w:ascii="Times New Roman" w:hAnsi="Times New Roman" w:eastAsia="SchoolBookSanPin"/>
        </w:rPr>
        <w:t>находить место орфограммы в слове и между словами по изученным правилам; применять изученные правила правописания, в том числе непроверяемые гласные и согласные (перечень слов в орфографическом словаре учебника); непроизносимые согласные в корне слова; разделительный твёрдый знак; мягкий знак после шипящих на конце имён существительных; не с глаголами; раздельное написание предлогов со словами;</w:t>
      </w:r>
    </w:p>
    <w:p w14:paraId="0BA094FB">
      <w:pPr>
        <w:spacing w:after="0" w:line="355" w:lineRule="auto"/>
        <w:ind w:firstLine="709"/>
        <w:jc w:val="both"/>
        <w:rPr>
          <w:rFonts w:ascii="Times New Roman" w:hAnsi="Times New Roman" w:eastAsia="SchoolBookSanPin"/>
        </w:rPr>
      </w:pPr>
      <w:r>
        <w:rPr>
          <w:rFonts w:ascii="Times New Roman" w:hAnsi="Times New Roman" w:eastAsia="SchoolBookSanPin"/>
        </w:rPr>
        <w:t>правильно списывать слова, предложения, тексты объёмом не более 70 слов;</w:t>
      </w:r>
    </w:p>
    <w:p w14:paraId="5EE81196">
      <w:pPr>
        <w:spacing w:after="0" w:line="355" w:lineRule="auto"/>
        <w:ind w:firstLine="709"/>
        <w:jc w:val="both"/>
        <w:rPr>
          <w:rFonts w:ascii="Times New Roman" w:hAnsi="Times New Roman" w:eastAsia="SchoolBookSanPin"/>
        </w:rPr>
      </w:pPr>
      <w:r>
        <w:rPr>
          <w:rFonts w:ascii="Times New Roman" w:hAnsi="Times New Roman" w:eastAsia="SchoolBookSanPin"/>
        </w:rPr>
        <w:t>писать под диктовку тексты объёмом не более 65 слов с учётом изученных правил правописания;</w:t>
      </w:r>
    </w:p>
    <w:p w14:paraId="2573542A">
      <w:pPr>
        <w:spacing w:after="0" w:line="355" w:lineRule="auto"/>
        <w:ind w:firstLine="709"/>
        <w:jc w:val="both"/>
        <w:rPr>
          <w:rFonts w:ascii="Times New Roman" w:hAnsi="Times New Roman" w:eastAsia="SchoolBookSanPin"/>
        </w:rPr>
      </w:pPr>
      <w:r>
        <w:rPr>
          <w:rFonts w:ascii="Times New Roman" w:hAnsi="Times New Roman" w:eastAsia="SchoolBookSanPin"/>
        </w:rPr>
        <w:t>находить и исправлять ошибки по изученным правилам;</w:t>
      </w:r>
    </w:p>
    <w:p w14:paraId="21958E24">
      <w:pPr>
        <w:spacing w:after="0" w:line="355" w:lineRule="auto"/>
        <w:ind w:firstLine="709"/>
        <w:jc w:val="both"/>
        <w:rPr>
          <w:rFonts w:ascii="Times New Roman" w:hAnsi="Times New Roman" w:eastAsia="SchoolBookSanPin"/>
        </w:rPr>
      </w:pPr>
      <w:r>
        <w:rPr>
          <w:rFonts w:ascii="Times New Roman" w:hAnsi="Times New Roman" w:eastAsia="SchoolBookSanPin"/>
        </w:rPr>
        <w:t>понимать тексты разных типов, находить в тексте заданную информацию;</w:t>
      </w:r>
    </w:p>
    <w:p w14:paraId="69F67135">
      <w:pPr>
        <w:spacing w:after="0" w:line="355" w:lineRule="auto"/>
        <w:ind w:firstLine="709"/>
        <w:jc w:val="both"/>
        <w:rPr>
          <w:rFonts w:ascii="Times New Roman" w:hAnsi="Times New Roman" w:eastAsia="SchoolBookSanPin"/>
        </w:rPr>
      </w:pPr>
      <w:r>
        <w:rPr>
          <w:rFonts w:ascii="Times New Roman" w:hAnsi="Times New Roman" w:eastAsia="SchoolBookSanPin"/>
        </w:rPr>
        <w:t>формулировать устно и письменно на основе прочитанной (услышанной) информации простые выводы (1–2 предложения);</w:t>
      </w:r>
    </w:p>
    <w:p w14:paraId="15E379BA">
      <w:pPr>
        <w:spacing w:after="0" w:line="355" w:lineRule="auto"/>
        <w:ind w:firstLine="709"/>
        <w:jc w:val="both"/>
        <w:rPr>
          <w:rFonts w:ascii="Times New Roman" w:hAnsi="Times New Roman" w:eastAsia="SchoolBookSanPin"/>
        </w:rPr>
      </w:pPr>
      <w:r>
        <w:rPr>
          <w:rFonts w:ascii="Times New Roman" w:hAnsi="Times New Roman" w:eastAsia="SchoolBookSanPin"/>
        </w:rPr>
        <w:t>строить устное диалогическое и монологическое высказывания  (3–5 предложений на определённую тему, по результатам наблюдений) с соблюдением орфоэпических норм, правильной интонации; создавать небольшие устные и письменные тексты (2–4 предложения), содержащие приглашение, просьбу, извинение, благодарность, отказ, с использованием норм речевого этикета;</w:t>
      </w:r>
    </w:p>
    <w:p w14:paraId="75993DC0">
      <w:pPr>
        <w:spacing w:after="0" w:line="355" w:lineRule="auto"/>
        <w:ind w:firstLine="709"/>
        <w:jc w:val="both"/>
        <w:rPr>
          <w:rFonts w:ascii="Times New Roman" w:hAnsi="Times New Roman" w:eastAsia="SchoolBookSanPin"/>
        </w:rPr>
      </w:pPr>
      <w:r>
        <w:rPr>
          <w:rFonts w:ascii="Times New Roman" w:hAnsi="Times New Roman" w:eastAsia="SchoolBookSanPin"/>
        </w:rPr>
        <w:t>определять связь предложений в тексте (с помощью личных местоимений, синонимов, союзов «и», «а», «но»);</w:t>
      </w:r>
    </w:p>
    <w:p w14:paraId="1B5C98FE">
      <w:pPr>
        <w:spacing w:after="0" w:line="355" w:lineRule="auto"/>
        <w:ind w:firstLine="709"/>
        <w:jc w:val="both"/>
        <w:rPr>
          <w:rFonts w:ascii="Times New Roman" w:hAnsi="Times New Roman" w:eastAsia="SchoolBookSanPin"/>
        </w:rPr>
      </w:pPr>
      <w:r>
        <w:rPr>
          <w:rFonts w:ascii="Times New Roman" w:hAnsi="Times New Roman" w:eastAsia="SchoolBookSanPin"/>
        </w:rPr>
        <w:t>определять ключевые слова в тексте;</w:t>
      </w:r>
    </w:p>
    <w:p w14:paraId="785B5AED">
      <w:pPr>
        <w:spacing w:after="0" w:line="355" w:lineRule="auto"/>
        <w:ind w:firstLine="709"/>
        <w:jc w:val="both"/>
        <w:rPr>
          <w:rFonts w:ascii="Times New Roman" w:hAnsi="Times New Roman" w:eastAsia="SchoolBookSanPin"/>
        </w:rPr>
      </w:pPr>
      <w:r>
        <w:rPr>
          <w:rFonts w:ascii="Times New Roman" w:hAnsi="Times New Roman" w:eastAsia="SchoolBookSanPin"/>
        </w:rPr>
        <w:t>определять тему текста и основную мысль текста;</w:t>
      </w:r>
    </w:p>
    <w:p w14:paraId="439A1164">
      <w:pPr>
        <w:spacing w:after="0" w:line="355" w:lineRule="auto"/>
        <w:ind w:firstLine="709"/>
        <w:jc w:val="both"/>
        <w:rPr>
          <w:rFonts w:ascii="Times New Roman" w:hAnsi="Times New Roman" w:eastAsia="SchoolBookSanPin"/>
        </w:rPr>
      </w:pPr>
      <w:r>
        <w:rPr>
          <w:rFonts w:ascii="Times New Roman" w:hAnsi="Times New Roman" w:eastAsia="SchoolBookSanPin"/>
        </w:rPr>
        <w:t>выявлять части текста (абзацы) и отражать с помощью ключевых слов или предложений их смысловое содержание;</w:t>
      </w:r>
    </w:p>
    <w:p w14:paraId="09E84A04">
      <w:pPr>
        <w:spacing w:after="0" w:line="355" w:lineRule="auto"/>
        <w:ind w:firstLine="709"/>
        <w:jc w:val="both"/>
        <w:rPr>
          <w:rFonts w:ascii="Times New Roman" w:hAnsi="Times New Roman" w:eastAsia="SchoolBookSanPin"/>
        </w:rPr>
      </w:pPr>
      <w:r>
        <w:rPr>
          <w:rFonts w:ascii="Times New Roman" w:hAnsi="Times New Roman" w:eastAsia="SchoolBookSanPin"/>
        </w:rPr>
        <w:t>составлять план текста, создавать по нему текст и корректировать текст;</w:t>
      </w:r>
    </w:p>
    <w:p w14:paraId="0AA698CC">
      <w:pPr>
        <w:spacing w:after="0" w:line="355" w:lineRule="auto"/>
        <w:ind w:firstLine="709"/>
        <w:jc w:val="both"/>
        <w:rPr>
          <w:rFonts w:ascii="Times New Roman" w:hAnsi="Times New Roman" w:eastAsia="SchoolBookSanPin"/>
        </w:rPr>
      </w:pPr>
      <w:r>
        <w:rPr>
          <w:rFonts w:ascii="Times New Roman" w:hAnsi="Times New Roman" w:eastAsia="SchoolBookSanPin"/>
        </w:rPr>
        <w:t>писать подробное изложение по заданному, коллективно или самостоятельно составленному плану;</w:t>
      </w:r>
    </w:p>
    <w:p w14:paraId="5823110B">
      <w:pPr>
        <w:spacing w:after="0" w:line="355" w:lineRule="auto"/>
        <w:ind w:firstLine="709"/>
        <w:jc w:val="both"/>
        <w:rPr>
          <w:rFonts w:ascii="Times New Roman" w:hAnsi="Times New Roman" w:eastAsia="SchoolBookSanPin"/>
        </w:rPr>
      </w:pPr>
      <w:r>
        <w:rPr>
          <w:rFonts w:ascii="Times New Roman" w:hAnsi="Times New Roman" w:eastAsia="SchoolBookSanPin"/>
        </w:rPr>
        <w:t>объяснять своими словами значение изученных понятий, использовать изученные понятия в процессе решения учебных задач;</w:t>
      </w:r>
    </w:p>
    <w:p w14:paraId="0345BA92">
      <w:pPr>
        <w:spacing w:after="0" w:line="355" w:lineRule="auto"/>
        <w:ind w:firstLine="709"/>
        <w:jc w:val="both"/>
        <w:rPr>
          <w:rFonts w:ascii="Times New Roman" w:hAnsi="Times New Roman" w:eastAsia="SchoolBookSanPin"/>
        </w:rPr>
      </w:pPr>
      <w:r>
        <w:rPr>
          <w:rFonts w:ascii="Times New Roman" w:hAnsi="Times New Roman" w:eastAsia="SchoolBookSanPin"/>
        </w:rPr>
        <w:t>уточнять значение слова с помощью толкового словаря.</w:t>
      </w:r>
    </w:p>
    <w:p w14:paraId="6F26F5D8">
      <w:pPr>
        <w:spacing w:after="0" w:line="355" w:lineRule="auto"/>
        <w:ind w:firstLine="709"/>
        <w:jc w:val="both"/>
        <w:rPr>
          <w:rFonts w:ascii="Times New Roman" w:hAnsi="Times New Roman" w:eastAsia="SchoolBookSanPin"/>
        </w:rPr>
      </w:pPr>
      <w:r>
        <w:rPr>
          <w:rFonts w:ascii="Times New Roman" w:hAnsi="Times New Roman" w:eastAsia="SchoolBookSanPin"/>
        </w:rPr>
        <w:t>2.10.6. </w:t>
      </w:r>
      <w:r>
        <w:rPr>
          <w:rFonts w:ascii="Times New Roman" w:hAnsi="Times New Roman" w:eastAsia="OfficinaSansBoldITC"/>
        </w:rPr>
        <w:t>Предметные результаты изучения русского языка. К</w:t>
      </w:r>
      <w:r>
        <w:rPr>
          <w:rFonts w:ascii="Times New Roman" w:hAnsi="Times New Roman" w:eastAsia="SchoolBookSanPin"/>
        </w:rPr>
        <w:t xml:space="preserve"> концу обучения в </w:t>
      </w:r>
      <w:r>
        <w:rPr>
          <w:rFonts w:ascii="Times New Roman" w:hAnsi="Times New Roman" w:eastAsia="SchoolBookSanPin"/>
          <w:bCs/>
        </w:rPr>
        <w:t xml:space="preserve">4 классе </w:t>
      </w:r>
      <w:r>
        <w:rPr>
          <w:rFonts w:ascii="Times New Roman" w:hAnsi="Times New Roman" w:eastAsia="SchoolBookSanPin"/>
        </w:rPr>
        <w:t>обучающийся научится:</w:t>
      </w:r>
    </w:p>
    <w:p w14:paraId="1FC03FBB">
      <w:pPr>
        <w:spacing w:after="0" w:line="355" w:lineRule="auto"/>
        <w:ind w:firstLine="709"/>
        <w:jc w:val="both"/>
        <w:rPr>
          <w:rFonts w:ascii="Times New Roman" w:hAnsi="Times New Roman" w:eastAsia="SchoolBookSanPin"/>
        </w:rPr>
      </w:pPr>
      <w:r>
        <w:rPr>
          <w:rFonts w:ascii="Times New Roman" w:hAnsi="Times New Roman" w:eastAsia="SchoolBookSanPin"/>
        </w:rPr>
        <w:t>осознавать многообразие языков и культур на территории Российской Федерации, осознавать язык как одну из главных духовно-нравственных ценностей народа;</w:t>
      </w:r>
    </w:p>
    <w:p w14:paraId="2451A425">
      <w:pPr>
        <w:spacing w:after="0" w:line="355" w:lineRule="auto"/>
        <w:ind w:firstLine="709"/>
        <w:jc w:val="both"/>
        <w:rPr>
          <w:rFonts w:ascii="Times New Roman" w:hAnsi="Times New Roman" w:eastAsia="SchoolBookSanPin"/>
        </w:rPr>
      </w:pPr>
      <w:r>
        <w:rPr>
          <w:rFonts w:ascii="Times New Roman" w:hAnsi="Times New Roman" w:eastAsia="SchoolBookSanPin"/>
        </w:rPr>
        <w:t>объяснять роль языка как основного средства общения;</w:t>
      </w:r>
    </w:p>
    <w:p w14:paraId="2FCEBCCA">
      <w:pPr>
        <w:spacing w:after="0" w:line="355" w:lineRule="auto"/>
        <w:ind w:firstLine="709"/>
        <w:jc w:val="both"/>
        <w:rPr>
          <w:rFonts w:ascii="Times New Roman" w:hAnsi="Times New Roman" w:eastAsia="SchoolBookSanPin"/>
        </w:rPr>
      </w:pPr>
      <w:r>
        <w:rPr>
          <w:rFonts w:ascii="Times New Roman" w:hAnsi="Times New Roman" w:eastAsia="SchoolBookSanPin"/>
        </w:rPr>
        <w:t>объяснять роль русского языка как государственного языка Российской Федерации и языка межнационального общения;</w:t>
      </w:r>
    </w:p>
    <w:p w14:paraId="310E20FE">
      <w:pPr>
        <w:spacing w:after="0" w:line="355" w:lineRule="auto"/>
        <w:ind w:firstLine="709"/>
        <w:jc w:val="both"/>
        <w:rPr>
          <w:rFonts w:ascii="Times New Roman" w:hAnsi="Times New Roman" w:eastAsia="SchoolBookSanPin"/>
        </w:rPr>
      </w:pPr>
      <w:r>
        <w:rPr>
          <w:rFonts w:ascii="Times New Roman" w:hAnsi="Times New Roman" w:eastAsia="SchoolBookSanPin"/>
        </w:rPr>
        <w:t>осознавать правильную устную и письменную речь как показатель общей культуры человека;</w:t>
      </w:r>
    </w:p>
    <w:p w14:paraId="0CDD2904">
      <w:pPr>
        <w:spacing w:after="0" w:line="355" w:lineRule="auto"/>
        <w:ind w:firstLine="709"/>
        <w:jc w:val="both"/>
        <w:rPr>
          <w:rFonts w:ascii="Times New Roman" w:hAnsi="Times New Roman" w:eastAsia="SchoolBookSanPin"/>
        </w:rPr>
      </w:pPr>
      <w:r>
        <w:rPr>
          <w:rFonts w:ascii="Times New Roman" w:hAnsi="Times New Roman" w:eastAsia="SchoolBookSanPin"/>
        </w:rPr>
        <w:t>проводить звуко­буквенный разбор слов (в соответствии с предложенным в учебнике алгоритмом);</w:t>
      </w:r>
    </w:p>
    <w:p w14:paraId="686D8C30">
      <w:pPr>
        <w:spacing w:after="0" w:line="355" w:lineRule="auto"/>
        <w:ind w:firstLine="709"/>
        <w:jc w:val="both"/>
        <w:rPr>
          <w:rFonts w:ascii="Times New Roman" w:hAnsi="Times New Roman" w:eastAsia="SchoolBookSanPin"/>
        </w:rPr>
      </w:pPr>
      <w:r>
        <w:rPr>
          <w:rFonts w:ascii="Times New Roman" w:hAnsi="Times New Roman" w:eastAsia="SchoolBookSanPin"/>
        </w:rPr>
        <w:t>подбирать к предложенным словам синонимы; подбирать к предложенным словам антонимы;</w:t>
      </w:r>
    </w:p>
    <w:p w14:paraId="094B452C">
      <w:pPr>
        <w:spacing w:after="0" w:line="355" w:lineRule="auto"/>
        <w:ind w:firstLine="709"/>
        <w:jc w:val="both"/>
        <w:rPr>
          <w:rFonts w:ascii="Times New Roman" w:hAnsi="Times New Roman" w:eastAsia="SchoolBookSanPin"/>
        </w:rPr>
      </w:pPr>
      <w:r>
        <w:rPr>
          <w:rFonts w:ascii="Times New Roman" w:hAnsi="Times New Roman" w:eastAsia="SchoolBookSanPin"/>
        </w:rPr>
        <w:t>выявлять в речи слова, значение которых требует уточнения, определять значение слова по контексту;</w:t>
      </w:r>
    </w:p>
    <w:p w14:paraId="3839C5A2">
      <w:pPr>
        <w:spacing w:after="0" w:line="355" w:lineRule="auto"/>
        <w:ind w:firstLine="709"/>
        <w:jc w:val="both"/>
        <w:rPr>
          <w:rFonts w:ascii="Times New Roman" w:hAnsi="Times New Roman" w:eastAsia="SchoolBookSanPin"/>
        </w:rPr>
      </w:pPr>
      <w:r>
        <w:rPr>
          <w:rFonts w:ascii="Times New Roman" w:hAnsi="Times New Roman" w:eastAsia="SchoolBookSanPin"/>
        </w:rPr>
        <w:t>проводить разбор по составу слов с однозначно выделяемыми морфемами; составлять схему состава слова; соотносить состав слова с представленной схемой;</w:t>
      </w:r>
    </w:p>
    <w:p w14:paraId="2549A7C2">
      <w:pPr>
        <w:spacing w:after="0" w:line="355" w:lineRule="auto"/>
        <w:ind w:firstLine="709"/>
        <w:jc w:val="both"/>
        <w:rPr>
          <w:rFonts w:ascii="Times New Roman" w:hAnsi="Times New Roman" w:eastAsia="SchoolBookSanPin"/>
        </w:rPr>
      </w:pPr>
      <w:r>
        <w:rPr>
          <w:rFonts w:ascii="Times New Roman" w:hAnsi="Times New Roman" w:eastAsia="SchoolBookSanPin"/>
        </w:rPr>
        <w:t>устанавливать принадлежность слова к определённой части речи (в объёме изученного) по комплексу освоенных грамматических признаков;</w:t>
      </w:r>
    </w:p>
    <w:p w14:paraId="7ACE162F">
      <w:pPr>
        <w:spacing w:after="0" w:line="355" w:lineRule="auto"/>
        <w:ind w:firstLine="709"/>
        <w:jc w:val="both"/>
        <w:rPr>
          <w:rFonts w:ascii="Times New Roman" w:hAnsi="Times New Roman" w:eastAsia="SchoolBookSanPin"/>
        </w:rPr>
      </w:pPr>
      <w:r>
        <w:rPr>
          <w:rFonts w:ascii="Times New Roman" w:hAnsi="Times New Roman" w:eastAsia="SchoolBookSanPin"/>
        </w:rPr>
        <w:t>определять грамматические признаки имён существительных: склонение, род, число, падеж; проводить разбор имени существительного как части речи;</w:t>
      </w:r>
    </w:p>
    <w:p w14:paraId="3F50ED9E">
      <w:pPr>
        <w:spacing w:after="0" w:line="355" w:lineRule="auto"/>
        <w:ind w:firstLine="709"/>
        <w:jc w:val="both"/>
        <w:rPr>
          <w:rFonts w:ascii="Times New Roman" w:hAnsi="Times New Roman" w:eastAsia="SchoolBookSanPin"/>
        </w:rPr>
      </w:pPr>
      <w:r>
        <w:rPr>
          <w:rFonts w:ascii="Times New Roman" w:hAnsi="Times New Roman" w:eastAsia="SchoolBookSanPin"/>
        </w:rPr>
        <w:t>определять грамматические признаки имён прилагательных: род (в единственном числе), число, падеж; проводить разбор имени прилагательного как части речи;</w:t>
      </w:r>
    </w:p>
    <w:p w14:paraId="6626D79C">
      <w:pPr>
        <w:spacing w:after="0" w:line="355" w:lineRule="auto"/>
        <w:ind w:firstLine="709"/>
        <w:jc w:val="both"/>
        <w:rPr>
          <w:rFonts w:ascii="Times New Roman" w:hAnsi="Times New Roman" w:eastAsia="SchoolBookSanPin"/>
        </w:rPr>
      </w:pPr>
      <w:r>
        <w:rPr>
          <w:rFonts w:ascii="Times New Roman" w:hAnsi="Times New Roman" w:eastAsia="SchoolBookSanPin"/>
        </w:rPr>
        <w:t>устанавливать (находить) неопределённую форму глагола; определять грамматические признаки глаголов: спряжение, время, лицо (в настоящем и будущем времени), число, род (в прошедшем времени в единственном числе); изменять глаголы в настоящем и будущем времени по лицам и числам (спрягать); проводить разбор глагола как части речи;</w:t>
      </w:r>
    </w:p>
    <w:p w14:paraId="27181033">
      <w:pPr>
        <w:spacing w:after="0" w:line="355" w:lineRule="auto"/>
        <w:ind w:firstLine="709"/>
        <w:jc w:val="both"/>
        <w:rPr>
          <w:rFonts w:ascii="Times New Roman" w:hAnsi="Times New Roman" w:eastAsia="SchoolBookSanPin"/>
        </w:rPr>
      </w:pPr>
      <w:r>
        <w:rPr>
          <w:rFonts w:ascii="Times New Roman" w:hAnsi="Times New Roman" w:eastAsia="SchoolBookSanPin"/>
        </w:rPr>
        <w:t>определять грамматические признаки личного местоимения в начальной форме: лицо, число, род (у местоимений 3­го лица в единственном числе); использовать личные местоимения для устранения неоправданных повторов в тексте;</w:t>
      </w:r>
    </w:p>
    <w:p w14:paraId="392DCC6C">
      <w:pPr>
        <w:spacing w:after="0" w:line="355" w:lineRule="auto"/>
        <w:ind w:firstLine="709"/>
        <w:jc w:val="both"/>
        <w:rPr>
          <w:rFonts w:ascii="Times New Roman" w:hAnsi="Times New Roman" w:eastAsia="SchoolBookSanPin"/>
        </w:rPr>
      </w:pPr>
      <w:r>
        <w:rPr>
          <w:rFonts w:ascii="Times New Roman" w:hAnsi="Times New Roman" w:eastAsia="SchoolBookSanPin"/>
        </w:rPr>
        <w:t>различать предложение, словосочетание и слово;</w:t>
      </w:r>
    </w:p>
    <w:p w14:paraId="6A1ACF41">
      <w:pPr>
        <w:spacing w:after="0" w:line="355" w:lineRule="auto"/>
        <w:ind w:firstLine="709"/>
        <w:jc w:val="both"/>
        <w:rPr>
          <w:rFonts w:ascii="Times New Roman" w:hAnsi="Times New Roman" w:eastAsia="SchoolBookSanPin"/>
        </w:rPr>
      </w:pPr>
      <w:r>
        <w:rPr>
          <w:rFonts w:ascii="Times New Roman" w:hAnsi="Times New Roman" w:eastAsia="SchoolBookSanPin"/>
        </w:rPr>
        <w:t>классифицировать предложения по цели высказывания и по эмоциональной окраске;</w:t>
      </w:r>
    </w:p>
    <w:p w14:paraId="0CCFAE85">
      <w:pPr>
        <w:spacing w:after="0" w:line="355" w:lineRule="auto"/>
        <w:ind w:firstLine="709"/>
        <w:jc w:val="both"/>
        <w:rPr>
          <w:rFonts w:ascii="Times New Roman" w:hAnsi="Times New Roman" w:eastAsia="SchoolBookSanPin"/>
        </w:rPr>
      </w:pPr>
      <w:r>
        <w:rPr>
          <w:rFonts w:ascii="Times New Roman" w:hAnsi="Times New Roman" w:eastAsia="SchoolBookSanPin"/>
        </w:rPr>
        <w:t>различать распространённые и нераспространённые предложения;</w:t>
      </w:r>
    </w:p>
    <w:p w14:paraId="1B8C2DF5">
      <w:pPr>
        <w:spacing w:after="0" w:line="355" w:lineRule="auto"/>
        <w:ind w:firstLine="709"/>
        <w:jc w:val="both"/>
        <w:rPr>
          <w:rFonts w:ascii="Times New Roman" w:hAnsi="Times New Roman" w:eastAsia="SchoolBookSanPin"/>
        </w:rPr>
      </w:pPr>
      <w:r>
        <w:rPr>
          <w:rFonts w:ascii="Times New Roman" w:hAnsi="Times New Roman" w:eastAsia="SchoolBookSanPin"/>
        </w:rPr>
        <w:t>распознавать предложения с однородными членами; составлять предложения с однородными членами; использовать предложения с однородными членами в речи;</w:t>
      </w:r>
    </w:p>
    <w:p w14:paraId="694FCE2D">
      <w:pPr>
        <w:spacing w:after="0" w:line="355" w:lineRule="auto"/>
        <w:ind w:firstLine="709"/>
        <w:jc w:val="both"/>
        <w:rPr>
          <w:rFonts w:ascii="Times New Roman" w:hAnsi="Times New Roman" w:eastAsia="SchoolBookSanPin"/>
        </w:rPr>
      </w:pPr>
      <w:r>
        <w:rPr>
          <w:rFonts w:ascii="Times New Roman" w:hAnsi="Times New Roman" w:eastAsia="SchoolBookSanPin"/>
        </w:rPr>
        <w:t>разграничивать простые распространённые и сложные предложения, состоящие из двух простых (сложносочинённые с союзами «и», «а», «но» и бессоюзные сложные предложения без называния терминов); составлять простые распространённые и сложные предложения, состоящие из двух простых (сложносочинённые с союзами «и», «а», «но» и бессоюзные сложные предложения без называния терминов);</w:t>
      </w:r>
    </w:p>
    <w:p w14:paraId="72065D4A">
      <w:pPr>
        <w:spacing w:after="0" w:line="355" w:lineRule="auto"/>
        <w:ind w:firstLine="709"/>
        <w:jc w:val="both"/>
        <w:rPr>
          <w:rFonts w:ascii="Times New Roman" w:hAnsi="Times New Roman" w:eastAsia="SchoolBookSanPin"/>
        </w:rPr>
      </w:pPr>
      <w:r>
        <w:rPr>
          <w:rFonts w:ascii="Times New Roman" w:hAnsi="Times New Roman" w:eastAsia="SchoolBookSanPin"/>
        </w:rPr>
        <w:t>производить синтаксический разбор простого предложения;</w:t>
      </w:r>
    </w:p>
    <w:p w14:paraId="5D32403E">
      <w:pPr>
        <w:spacing w:after="0" w:line="355" w:lineRule="auto"/>
        <w:ind w:firstLine="709"/>
        <w:jc w:val="both"/>
        <w:rPr>
          <w:rFonts w:ascii="Times New Roman" w:hAnsi="Times New Roman" w:eastAsia="SchoolBookSanPin"/>
        </w:rPr>
      </w:pPr>
      <w:r>
        <w:rPr>
          <w:rFonts w:ascii="Times New Roman" w:hAnsi="Times New Roman" w:eastAsia="SchoolBookSanPin"/>
        </w:rPr>
        <w:t>находить место орфограммы в слове и между словами по изученным правилам;</w:t>
      </w:r>
    </w:p>
    <w:p w14:paraId="035DB44A">
      <w:pPr>
        <w:spacing w:after="0" w:line="355" w:lineRule="auto"/>
        <w:ind w:firstLine="709"/>
        <w:jc w:val="both"/>
        <w:rPr>
          <w:rFonts w:ascii="Times New Roman" w:hAnsi="Times New Roman" w:eastAsia="SchoolBookSanPin"/>
        </w:rPr>
      </w:pPr>
      <w:r>
        <w:rPr>
          <w:rFonts w:ascii="Times New Roman" w:hAnsi="Times New Roman" w:eastAsia="SchoolBookSanPin"/>
        </w:rPr>
        <w:t>применять изученные правила правописания, в том числе: непроверяемые гласные и согласные (перечень слов в орфографическом словаре учебника); безударные падежные окончания имён существительных (кроме существительных на «-мя», «-ий», «-ие», «-ия», на «-ья», например, «гостья»; на «­ье», например, ожерелье во множественном числе, а также кроме собственных имён существительных на «-ов», «-ин», «-ий»); безударные падежные окончания имён прилагательных; мягкий знак после шипящих на конце глаголов в форме 2­го лица единственного числа; наличие или отсутствие мягкого знака в глаголах на -ться и -тся; безударные личные окончания глаголов; знаки препинания в предложениях с однородными членами, соединёнными союзами и, а, но и без союзов;</w:t>
      </w:r>
    </w:p>
    <w:p w14:paraId="79B3FE5B">
      <w:pPr>
        <w:spacing w:after="0" w:line="355" w:lineRule="auto"/>
        <w:ind w:firstLine="709"/>
        <w:jc w:val="both"/>
        <w:rPr>
          <w:rFonts w:ascii="Times New Roman" w:hAnsi="Times New Roman" w:eastAsia="SchoolBookSanPin"/>
        </w:rPr>
      </w:pPr>
      <w:r>
        <w:rPr>
          <w:rFonts w:ascii="Times New Roman" w:hAnsi="Times New Roman" w:eastAsia="SchoolBookSanPin"/>
        </w:rPr>
        <w:t>правильно списывать тексты объёмом не более 85 слов;</w:t>
      </w:r>
    </w:p>
    <w:p w14:paraId="1C45B8E8">
      <w:pPr>
        <w:spacing w:after="0" w:line="355" w:lineRule="auto"/>
        <w:ind w:firstLine="709"/>
        <w:jc w:val="both"/>
        <w:rPr>
          <w:rFonts w:ascii="Times New Roman" w:hAnsi="Times New Roman" w:eastAsia="SchoolBookSanPin"/>
        </w:rPr>
      </w:pPr>
      <w:r>
        <w:rPr>
          <w:rFonts w:ascii="Times New Roman" w:hAnsi="Times New Roman" w:eastAsia="SchoolBookSanPin"/>
        </w:rPr>
        <w:t>писать под диктовку тексты объёмом не более 80 слов с учётом изученных правил правописания;</w:t>
      </w:r>
    </w:p>
    <w:p w14:paraId="27D80FA4">
      <w:pPr>
        <w:spacing w:after="0" w:line="355" w:lineRule="auto"/>
        <w:ind w:firstLine="709"/>
        <w:jc w:val="both"/>
        <w:rPr>
          <w:rFonts w:ascii="Times New Roman" w:hAnsi="Times New Roman" w:eastAsia="SchoolBookSanPin"/>
        </w:rPr>
      </w:pPr>
      <w:r>
        <w:rPr>
          <w:rFonts w:ascii="Times New Roman" w:hAnsi="Times New Roman" w:eastAsia="SchoolBookSanPin"/>
        </w:rPr>
        <w:t>находить и исправлять орфографические и пунктуационные ошибки по изученным правилам;</w:t>
      </w:r>
    </w:p>
    <w:p w14:paraId="3A06E5BE">
      <w:pPr>
        <w:spacing w:after="0" w:line="355" w:lineRule="auto"/>
        <w:ind w:firstLine="709"/>
        <w:jc w:val="both"/>
        <w:rPr>
          <w:rFonts w:ascii="Times New Roman" w:hAnsi="Times New Roman" w:eastAsia="SchoolBookSanPin"/>
        </w:rPr>
      </w:pPr>
      <w:r>
        <w:rPr>
          <w:rFonts w:ascii="Times New Roman" w:hAnsi="Times New Roman" w:eastAsia="SchoolBookSanPin"/>
        </w:rPr>
        <w:t>осознавать ситуацию общения (с какой целью, с кем, где происходит общение); выбирать языковые средства в ситуации общения;</w:t>
      </w:r>
    </w:p>
    <w:p w14:paraId="3AA8A6DC">
      <w:pPr>
        <w:spacing w:after="0" w:line="355" w:lineRule="auto"/>
        <w:ind w:firstLine="709"/>
        <w:jc w:val="both"/>
        <w:rPr>
          <w:rFonts w:ascii="Times New Roman" w:hAnsi="Times New Roman" w:eastAsia="SchoolBookSanPin"/>
        </w:rPr>
      </w:pPr>
      <w:r>
        <w:rPr>
          <w:rFonts w:ascii="Times New Roman" w:hAnsi="Times New Roman" w:eastAsia="SchoolBookSanPin"/>
        </w:rPr>
        <w:t>строить устное диалогическое и монологическое высказывания  (4</w:t>
      </w:r>
      <w:r>
        <w:rPr>
          <w:rFonts w:ascii="Times New Roman" w:hAnsi="Times New Roman" w:eastAsia="Times New Roman"/>
          <w:lang w:eastAsia="ru-RU"/>
        </w:rPr>
        <w:t>–</w:t>
      </w:r>
      <w:r>
        <w:rPr>
          <w:rFonts w:ascii="Times New Roman" w:hAnsi="Times New Roman" w:eastAsia="SchoolBookSanPin"/>
        </w:rPr>
        <w:t>6 предложений), соблюдая орфоэпические нормы, правильную интонацию, нормы речевого взаимодействия;</w:t>
      </w:r>
    </w:p>
    <w:p w14:paraId="021B8939">
      <w:pPr>
        <w:spacing w:after="0" w:line="355" w:lineRule="auto"/>
        <w:ind w:firstLine="709"/>
        <w:jc w:val="both"/>
        <w:rPr>
          <w:rFonts w:ascii="Times New Roman" w:hAnsi="Times New Roman" w:eastAsia="SchoolBookSanPin"/>
        </w:rPr>
      </w:pPr>
      <w:r>
        <w:rPr>
          <w:rFonts w:ascii="Times New Roman" w:hAnsi="Times New Roman" w:eastAsia="SchoolBookSanPin"/>
        </w:rPr>
        <w:t>создавать небольшие устные и письменные тексты (3–5 предложений) для конкретной ситуации письменного общения (письма, поздравительные открытки, объявления и другие);</w:t>
      </w:r>
    </w:p>
    <w:p w14:paraId="40FF297C">
      <w:pPr>
        <w:spacing w:after="0" w:line="355" w:lineRule="auto"/>
        <w:ind w:firstLine="709"/>
        <w:jc w:val="both"/>
        <w:rPr>
          <w:rFonts w:ascii="Times New Roman" w:hAnsi="Times New Roman" w:eastAsia="SchoolBookSanPin"/>
        </w:rPr>
      </w:pPr>
      <w:r>
        <w:rPr>
          <w:rFonts w:ascii="Times New Roman" w:hAnsi="Times New Roman" w:eastAsia="SchoolBookSanPin"/>
        </w:rPr>
        <w:t>определять тему и основную мысль текста; самостоятельно озаглавливать текст с использованием темы или основной мысли;</w:t>
      </w:r>
    </w:p>
    <w:p w14:paraId="0A75CDA2">
      <w:pPr>
        <w:spacing w:after="0" w:line="355" w:lineRule="auto"/>
        <w:ind w:firstLine="709"/>
        <w:jc w:val="both"/>
        <w:rPr>
          <w:rFonts w:ascii="Times New Roman" w:hAnsi="Times New Roman" w:eastAsia="SchoolBookSanPin"/>
        </w:rPr>
      </w:pPr>
      <w:r>
        <w:rPr>
          <w:rFonts w:ascii="Times New Roman" w:hAnsi="Times New Roman" w:eastAsia="SchoolBookSanPin"/>
        </w:rPr>
        <w:t>корректировать порядок предложений и частей текста;</w:t>
      </w:r>
    </w:p>
    <w:p w14:paraId="1C90A1BA">
      <w:pPr>
        <w:spacing w:after="0" w:line="355" w:lineRule="auto"/>
        <w:ind w:firstLine="709"/>
        <w:jc w:val="both"/>
        <w:rPr>
          <w:rFonts w:ascii="Times New Roman" w:hAnsi="Times New Roman" w:eastAsia="SchoolBookSanPin"/>
        </w:rPr>
      </w:pPr>
      <w:r>
        <w:rPr>
          <w:rFonts w:ascii="Times New Roman" w:hAnsi="Times New Roman" w:eastAsia="SchoolBookSanPin"/>
        </w:rPr>
        <w:t>составлять план к заданным текстам;</w:t>
      </w:r>
    </w:p>
    <w:p w14:paraId="696CB6F2">
      <w:pPr>
        <w:spacing w:after="0" w:line="355" w:lineRule="auto"/>
        <w:ind w:firstLine="709"/>
        <w:jc w:val="both"/>
        <w:rPr>
          <w:rFonts w:ascii="Times New Roman" w:hAnsi="Times New Roman" w:eastAsia="SchoolBookSanPin"/>
        </w:rPr>
      </w:pPr>
      <w:r>
        <w:rPr>
          <w:rFonts w:ascii="Times New Roman" w:hAnsi="Times New Roman" w:eastAsia="SchoolBookSanPin"/>
        </w:rPr>
        <w:t>осуществлять подробный пересказ текста (устно и письменно);</w:t>
      </w:r>
    </w:p>
    <w:p w14:paraId="4EAF20DC">
      <w:pPr>
        <w:spacing w:after="0" w:line="355" w:lineRule="auto"/>
        <w:ind w:firstLine="709"/>
        <w:jc w:val="both"/>
        <w:rPr>
          <w:rFonts w:ascii="Times New Roman" w:hAnsi="Times New Roman" w:eastAsia="SchoolBookSanPin"/>
        </w:rPr>
      </w:pPr>
      <w:r>
        <w:rPr>
          <w:rFonts w:ascii="Times New Roman" w:hAnsi="Times New Roman" w:eastAsia="SchoolBookSanPin"/>
        </w:rPr>
        <w:t>осуществлять выборочный пересказ текста (устно);</w:t>
      </w:r>
    </w:p>
    <w:p w14:paraId="313CAA66">
      <w:pPr>
        <w:spacing w:after="0" w:line="355" w:lineRule="auto"/>
        <w:ind w:firstLine="709"/>
        <w:jc w:val="both"/>
        <w:rPr>
          <w:rFonts w:ascii="Times New Roman" w:hAnsi="Times New Roman" w:eastAsia="SchoolBookSanPin"/>
        </w:rPr>
      </w:pPr>
      <w:r>
        <w:rPr>
          <w:rFonts w:ascii="Times New Roman" w:hAnsi="Times New Roman" w:eastAsia="SchoolBookSanPin"/>
        </w:rPr>
        <w:t>писать (после предварительной подготовки) сочинения по заданным темам;</w:t>
      </w:r>
    </w:p>
    <w:p w14:paraId="7E15FC10">
      <w:pPr>
        <w:spacing w:after="0" w:line="355" w:lineRule="auto"/>
        <w:ind w:firstLine="709"/>
        <w:jc w:val="both"/>
        <w:rPr>
          <w:rFonts w:ascii="Times New Roman" w:hAnsi="Times New Roman" w:eastAsia="SchoolBookSanPin"/>
        </w:rPr>
      </w:pPr>
      <w:r>
        <w:rPr>
          <w:rFonts w:ascii="Times New Roman" w:hAnsi="Times New Roman" w:eastAsia="SchoolBookSanPin"/>
        </w:rPr>
        <w:t xml:space="preserve">осуществлять в процессе изучающего чтения поиск информации; формулировать устно и письменно простые выводы на основе прочитанной (услышанной) информации; интерпретировать и обобщать содержащуюся в тексте информацию; </w:t>
      </w:r>
      <w:r>
        <w:rPr>
          <w:rFonts w:ascii="Times New Roman" w:hAnsi="Times New Roman"/>
        </w:rPr>
        <w:t>использовать</w:t>
      </w:r>
      <w:r>
        <w:rPr>
          <w:rFonts w:ascii="Times New Roman" w:hAnsi="Times New Roman" w:eastAsia="SchoolBookSanPin"/>
        </w:rPr>
        <w:t xml:space="preserve"> ознакомительное чтение в соответствии с поставленной задачей;</w:t>
      </w:r>
    </w:p>
    <w:p w14:paraId="683937D2">
      <w:pPr>
        <w:spacing w:after="0" w:line="355" w:lineRule="auto"/>
        <w:ind w:firstLine="709"/>
        <w:jc w:val="both"/>
        <w:rPr>
          <w:rFonts w:ascii="Times New Roman" w:hAnsi="Times New Roman" w:eastAsia="SchoolBookSanPin"/>
        </w:rPr>
      </w:pPr>
      <w:r>
        <w:rPr>
          <w:rFonts w:ascii="Times New Roman" w:hAnsi="Times New Roman" w:eastAsia="SchoolBookSanPin"/>
        </w:rPr>
        <w:t>объяснять своими словами значение изученных понятий; использовать изученные понятия;</w:t>
      </w:r>
    </w:p>
    <w:p w14:paraId="6D43A4F6">
      <w:pPr>
        <w:spacing w:after="0" w:line="355" w:lineRule="auto"/>
        <w:ind w:firstLine="709"/>
        <w:jc w:val="both"/>
        <w:rPr>
          <w:rFonts w:ascii="Times New Roman" w:hAnsi="Times New Roman"/>
        </w:rPr>
      </w:pPr>
      <w:r>
        <w:rPr>
          <w:rFonts w:ascii="Times New Roman" w:hAnsi="Times New Roman" w:eastAsia="SchoolBookSanPin"/>
        </w:rPr>
        <w:t xml:space="preserve">уточнять значение слова с помощью справочных изданий, в том числе из числа верифицированных электронных ресурсов, включённых в федеральный перечень, </w:t>
      </w:r>
      <w:r>
        <w:rPr>
          <w:rFonts w:ascii="Times New Roman" w:hAnsi="Times New Roman"/>
        </w:rPr>
        <w:t xml:space="preserve">утверждаемый Министерством просвещения Российской Федерации в соответствии с </w:t>
      </w:r>
      <w:r>
        <w:fldChar w:fldCharType="begin"/>
      </w:r>
      <w:r>
        <w:instrText xml:space="preserve"> HYPERLINK "https://login.consultant.ru/link/?req=doc&amp;base=LAW&amp;n=500133&amp;dst=680" \o "Федеральный закон от 29.12.2012 N 273-ФЗ (ред. от 28.02.2025) "Об образовании в Российской Федерации" (с изм. и доп., вступ. в силу с 11.03.2025) {КонсультантПлюс}" \h </w:instrText>
      </w:r>
      <w:r>
        <w:fldChar w:fldCharType="separate"/>
      </w:r>
      <w:r>
        <w:rPr>
          <w:rFonts w:ascii="Times New Roman" w:hAnsi="Times New Roman"/>
        </w:rPr>
        <w:t>частью 8.1 статьи 18</w:t>
      </w:r>
      <w:r>
        <w:rPr>
          <w:rFonts w:ascii="Times New Roman" w:hAnsi="Times New Roman"/>
        </w:rPr>
        <w:fldChar w:fldCharType="end"/>
      </w:r>
      <w:r>
        <w:rPr>
          <w:rFonts w:ascii="Times New Roman" w:hAnsi="Times New Roman"/>
        </w:rPr>
        <w:t xml:space="preserve"> Федерального закона от 29 декабря 2012 г. N 273-ФЗ "Об образовании в Российской Федерации" (далее - федеральный перечень).</w:t>
      </w:r>
    </w:p>
    <w:p w14:paraId="78AAD65B">
      <w:pPr>
        <w:pStyle w:val="85"/>
        <w:spacing w:before="200"/>
        <w:ind w:firstLine="540"/>
        <w:jc w:val="both"/>
        <w:rPr>
          <w:color w:val="auto"/>
          <w:sz w:val="22"/>
          <w:szCs w:val="22"/>
        </w:rPr>
      </w:pPr>
      <w:r>
        <w:rPr>
          <w:color w:val="auto"/>
          <w:sz w:val="22"/>
          <w:szCs w:val="22"/>
        </w:rPr>
        <w:t>Поурочное планирование.</w:t>
      </w:r>
    </w:p>
    <w:p w14:paraId="50F2B5E7">
      <w:pPr>
        <w:pStyle w:val="85"/>
        <w:ind w:firstLine="540"/>
        <w:jc w:val="both"/>
        <w:rPr>
          <w:color w:val="auto"/>
          <w:sz w:val="22"/>
          <w:szCs w:val="22"/>
        </w:rPr>
      </w:pPr>
    </w:p>
    <w:p w14:paraId="0D6D920A">
      <w:pPr>
        <w:pStyle w:val="85"/>
        <w:jc w:val="both"/>
        <w:rPr>
          <w:color w:val="auto"/>
          <w:sz w:val="22"/>
          <w:szCs w:val="22"/>
        </w:rPr>
      </w:pPr>
      <w:r>
        <w:rPr>
          <w:color w:val="auto"/>
          <w:sz w:val="22"/>
          <w:szCs w:val="22"/>
        </w:rPr>
        <w:t>Вариант 1 Поурочное планирование для педагогов, использующих учебники "Азбука" (авторы В.Г. Горецкий и другие), "Русский язык. 1 - 4 класс. (авторы В.П. Канакина, В.Г. Горецкий)</w:t>
      </w:r>
    </w:p>
    <w:p w14:paraId="5C64A845">
      <w:pPr>
        <w:pStyle w:val="85"/>
        <w:ind w:firstLine="540"/>
        <w:jc w:val="both"/>
        <w:rPr>
          <w:color w:val="auto"/>
          <w:sz w:val="22"/>
          <w:szCs w:val="22"/>
        </w:rPr>
      </w:pPr>
    </w:p>
    <w:p w14:paraId="664259A9">
      <w:pPr>
        <w:pStyle w:val="85"/>
        <w:jc w:val="right"/>
        <w:rPr>
          <w:color w:val="auto"/>
          <w:sz w:val="22"/>
          <w:szCs w:val="22"/>
        </w:rPr>
      </w:pPr>
      <w:r>
        <w:rPr>
          <w:color w:val="auto"/>
          <w:sz w:val="22"/>
          <w:szCs w:val="22"/>
        </w:rPr>
        <w:t>Таблица 2</w:t>
      </w:r>
    </w:p>
    <w:p w14:paraId="19E2F3A5">
      <w:pPr>
        <w:pStyle w:val="85"/>
        <w:ind w:firstLine="540"/>
        <w:jc w:val="both"/>
        <w:rPr>
          <w:color w:val="auto"/>
          <w:sz w:val="22"/>
          <w:szCs w:val="22"/>
        </w:rPr>
      </w:pPr>
    </w:p>
    <w:p w14:paraId="5B1B040E">
      <w:pPr>
        <w:pStyle w:val="85"/>
        <w:jc w:val="both"/>
        <w:rPr>
          <w:color w:val="auto"/>
          <w:sz w:val="22"/>
          <w:szCs w:val="22"/>
        </w:rPr>
      </w:pPr>
      <w:r>
        <w:rPr>
          <w:color w:val="auto"/>
          <w:sz w:val="22"/>
          <w:szCs w:val="22"/>
        </w:rPr>
        <w:t>1 класс</w:t>
      </w:r>
    </w:p>
    <w:p w14:paraId="2939112F">
      <w:pPr>
        <w:pStyle w:val="85"/>
        <w:ind w:firstLine="540"/>
        <w:jc w:val="both"/>
        <w:rPr>
          <w:color w:val="auto"/>
          <w:sz w:val="22"/>
          <w:szCs w:val="22"/>
        </w:rPr>
      </w:pPr>
    </w:p>
    <w:tbl>
      <w:tblPr>
        <w:tblStyle w:val="1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02" w:type="dxa"/>
          <w:left w:w="62" w:type="dxa"/>
          <w:bottom w:w="102" w:type="dxa"/>
          <w:right w:w="62" w:type="dxa"/>
        </w:tblCellMar>
      </w:tblPr>
      <w:tblGrid>
        <w:gridCol w:w="1134"/>
        <w:gridCol w:w="7937"/>
      </w:tblGrid>
      <w:tr w14:paraId="03F93B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tcPr>
          <w:p w14:paraId="7AB43D70">
            <w:pPr>
              <w:pStyle w:val="85"/>
              <w:jc w:val="center"/>
              <w:rPr>
                <w:color w:val="auto"/>
                <w:sz w:val="22"/>
                <w:szCs w:val="22"/>
              </w:rPr>
            </w:pPr>
            <w:r>
              <w:rPr>
                <w:color w:val="auto"/>
                <w:sz w:val="22"/>
                <w:szCs w:val="22"/>
              </w:rPr>
              <w:t>N урока</w:t>
            </w:r>
          </w:p>
        </w:tc>
        <w:tc>
          <w:tcPr>
            <w:tcW w:w="7937" w:type="dxa"/>
          </w:tcPr>
          <w:p w14:paraId="7E45FE96">
            <w:pPr>
              <w:pStyle w:val="85"/>
              <w:jc w:val="center"/>
              <w:rPr>
                <w:color w:val="auto"/>
                <w:sz w:val="22"/>
                <w:szCs w:val="22"/>
              </w:rPr>
            </w:pPr>
            <w:r>
              <w:rPr>
                <w:color w:val="auto"/>
                <w:sz w:val="22"/>
                <w:szCs w:val="22"/>
              </w:rPr>
              <w:t>Тема урока</w:t>
            </w:r>
          </w:p>
        </w:tc>
      </w:tr>
      <w:tr w14:paraId="1BE40C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tcPr>
          <w:p w14:paraId="35FA6844">
            <w:pPr>
              <w:pStyle w:val="85"/>
              <w:rPr>
                <w:color w:val="auto"/>
                <w:sz w:val="22"/>
                <w:szCs w:val="22"/>
              </w:rPr>
            </w:pPr>
            <w:r>
              <w:rPr>
                <w:color w:val="auto"/>
                <w:sz w:val="22"/>
                <w:szCs w:val="22"/>
              </w:rPr>
              <w:t>Урок 1</w:t>
            </w:r>
          </w:p>
        </w:tc>
        <w:tc>
          <w:tcPr>
            <w:tcW w:w="7937" w:type="dxa"/>
          </w:tcPr>
          <w:p w14:paraId="31F08AD0">
            <w:pPr>
              <w:pStyle w:val="85"/>
              <w:jc w:val="both"/>
              <w:rPr>
                <w:color w:val="auto"/>
                <w:sz w:val="22"/>
                <w:szCs w:val="22"/>
              </w:rPr>
            </w:pPr>
            <w:r>
              <w:rPr>
                <w:color w:val="auto"/>
                <w:sz w:val="22"/>
                <w:szCs w:val="22"/>
              </w:rPr>
              <w:t>Совместное составление небольших рассказов о любимых играх</w:t>
            </w:r>
          </w:p>
        </w:tc>
      </w:tr>
      <w:tr w14:paraId="7620DA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tcPr>
          <w:p w14:paraId="3C81C28A">
            <w:pPr>
              <w:pStyle w:val="85"/>
              <w:rPr>
                <w:color w:val="auto"/>
                <w:sz w:val="22"/>
                <w:szCs w:val="22"/>
              </w:rPr>
            </w:pPr>
            <w:r>
              <w:rPr>
                <w:color w:val="auto"/>
                <w:sz w:val="22"/>
                <w:szCs w:val="22"/>
              </w:rPr>
              <w:t>Урок 2</w:t>
            </w:r>
          </w:p>
        </w:tc>
        <w:tc>
          <w:tcPr>
            <w:tcW w:w="7937" w:type="dxa"/>
          </w:tcPr>
          <w:p w14:paraId="3CBB41BC">
            <w:pPr>
              <w:pStyle w:val="85"/>
              <w:jc w:val="both"/>
              <w:rPr>
                <w:color w:val="auto"/>
                <w:sz w:val="22"/>
                <w:szCs w:val="22"/>
              </w:rPr>
            </w:pPr>
            <w:r>
              <w:rPr>
                <w:color w:val="auto"/>
                <w:sz w:val="22"/>
                <w:szCs w:val="22"/>
              </w:rPr>
              <w:t>Совместное составление небольших рассказов о любимом дне</w:t>
            </w:r>
          </w:p>
        </w:tc>
      </w:tr>
      <w:tr w14:paraId="602304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tcPr>
          <w:p w14:paraId="15B6FBAB">
            <w:pPr>
              <w:pStyle w:val="85"/>
              <w:rPr>
                <w:color w:val="auto"/>
                <w:sz w:val="22"/>
                <w:szCs w:val="22"/>
              </w:rPr>
            </w:pPr>
            <w:r>
              <w:rPr>
                <w:color w:val="auto"/>
                <w:sz w:val="22"/>
                <w:szCs w:val="22"/>
              </w:rPr>
              <w:t>Урок 3</w:t>
            </w:r>
          </w:p>
        </w:tc>
        <w:tc>
          <w:tcPr>
            <w:tcW w:w="7937" w:type="dxa"/>
          </w:tcPr>
          <w:p w14:paraId="1726747A">
            <w:pPr>
              <w:pStyle w:val="85"/>
              <w:jc w:val="both"/>
              <w:rPr>
                <w:color w:val="auto"/>
                <w:sz w:val="22"/>
                <w:szCs w:val="22"/>
              </w:rPr>
            </w:pPr>
            <w:r>
              <w:rPr>
                <w:color w:val="auto"/>
                <w:sz w:val="22"/>
                <w:szCs w:val="22"/>
              </w:rPr>
              <w:t>Различение предложения и слова</w:t>
            </w:r>
          </w:p>
        </w:tc>
      </w:tr>
      <w:tr w14:paraId="232F62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514A3635">
            <w:pPr>
              <w:pStyle w:val="85"/>
              <w:rPr>
                <w:color w:val="auto"/>
                <w:sz w:val="22"/>
                <w:szCs w:val="22"/>
              </w:rPr>
            </w:pPr>
            <w:r>
              <w:rPr>
                <w:color w:val="auto"/>
                <w:sz w:val="22"/>
                <w:szCs w:val="22"/>
              </w:rPr>
              <w:t>Урок 4</w:t>
            </w:r>
          </w:p>
        </w:tc>
        <w:tc>
          <w:tcPr>
            <w:tcW w:w="7937" w:type="dxa"/>
          </w:tcPr>
          <w:p w14:paraId="6C4C52D0">
            <w:pPr>
              <w:pStyle w:val="85"/>
              <w:jc w:val="both"/>
              <w:rPr>
                <w:color w:val="auto"/>
                <w:sz w:val="22"/>
                <w:szCs w:val="22"/>
              </w:rPr>
            </w:pPr>
            <w:r>
              <w:rPr>
                <w:color w:val="auto"/>
                <w:sz w:val="22"/>
                <w:szCs w:val="22"/>
              </w:rPr>
              <w:t>Работа с предложением: выделение слов, изменение их порядка. Различение предложения и слова. Закрепление</w:t>
            </w:r>
          </w:p>
        </w:tc>
      </w:tr>
      <w:tr w14:paraId="1A12DF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tcPr>
          <w:p w14:paraId="02C88C0A">
            <w:pPr>
              <w:pStyle w:val="85"/>
              <w:rPr>
                <w:color w:val="auto"/>
                <w:sz w:val="22"/>
                <w:szCs w:val="22"/>
              </w:rPr>
            </w:pPr>
            <w:r>
              <w:rPr>
                <w:color w:val="auto"/>
                <w:sz w:val="22"/>
                <w:szCs w:val="22"/>
              </w:rPr>
              <w:t>Урок 5</w:t>
            </w:r>
          </w:p>
        </w:tc>
        <w:tc>
          <w:tcPr>
            <w:tcW w:w="7937" w:type="dxa"/>
          </w:tcPr>
          <w:p w14:paraId="69396696">
            <w:pPr>
              <w:pStyle w:val="85"/>
              <w:jc w:val="both"/>
              <w:rPr>
                <w:color w:val="auto"/>
                <w:sz w:val="22"/>
                <w:szCs w:val="22"/>
              </w:rPr>
            </w:pPr>
            <w:r>
              <w:rPr>
                <w:color w:val="auto"/>
                <w:sz w:val="22"/>
                <w:szCs w:val="22"/>
              </w:rPr>
              <w:t>Составление предложения из слов. Работа с предложением</w:t>
            </w:r>
          </w:p>
        </w:tc>
      </w:tr>
      <w:tr w14:paraId="1DEC3D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tcPr>
          <w:p w14:paraId="076E3E80">
            <w:pPr>
              <w:pStyle w:val="85"/>
              <w:rPr>
                <w:color w:val="auto"/>
                <w:sz w:val="22"/>
                <w:szCs w:val="22"/>
              </w:rPr>
            </w:pPr>
            <w:r>
              <w:rPr>
                <w:color w:val="auto"/>
                <w:sz w:val="22"/>
                <w:szCs w:val="22"/>
              </w:rPr>
              <w:t>Урок 6</w:t>
            </w:r>
          </w:p>
        </w:tc>
        <w:tc>
          <w:tcPr>
            <w:tcW w:w="7937" w:type="dxa"/>
          </w:tcPr>
          <w:p w14:paraId="566EE617">
            <w:pPr>
              <w:pStyle w:val="85"/>
              <w:jc w:val="both"/>
              <w:rPr>
                <w:color w:val="auto"/>
                <w:sz w:val="22"/>
                <w:szCs w:val="22"/>
              </w:rPr>
            </w:pPr>
            <w:r>
              <w:rPr>
                <w:color w:val="auto"/>
                <w:sz w:val="22"/>
                <w:szCs w:val="22"/>
              </w:rPr>
              <w:t>Составление предложения из слов</w:t>
            </w:r>
          </w:p>
        </w:tc>
      </w:tr>
      <w:tr w14:paraId="09D353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59890CEB">
            <w:pPr>
              <w:pStyle w:val="85"/>
              <w:rPr>
                <w:color w:val="auto"/>
                <w:sz w:val="22"/>
                <w:szCs w:val="22"/>
              </w:rPr>
            </w:pPr>
            <w:r>
              <w:rPr>
                <w:color w:val="auto"/>
                <w:sz w:val="22"/>
                <w:szCs w:val="22"/>
              </w:rPr>
              <w:t>Урок 7</w:t>
            </w:r>
          </w:p>
        </w:tc>
        <w:tc>
          <w:tcPr>
            <w:tcW w:w="7937" w:type="dxa"/>
          </w:tcPr>
          <w:p w14:paraId="1569184C">
            <w:pPr>
              <w:pStyle w:val="85"/>
              <w:jc w:val="both"/>
              <w:rPr>
                <w:color w:val="auto"/>
                <w:sz w:val="22"/>
                <w:szCs w:val="22"/>
              </w:rPr>
            </w:pPr>
            <w:r>
              <w:rPr>
                <w:color w:val="auto"/>
                <w:sz w:val="22"/>
                <w:szCs w:val="22"/>
              </w:rPr>
              <w:t>Слово как объект изучения. Различение слова и обозначаемого им предмета</w:t>
            </w:r>
          </w:p>
        </w:tc>
      </w:tr>
      <w:tr w14:paraId="1D3D6A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tcPr>
          <w:p w14:paraId="42A00044">
            <w:pPr>
              <w:pStyle w:val="85"/>
              <w:rPr>
                <w:color w:val="auto"/>
                <w:sz w:val="22"/>
                <w:szCs w:val="22"/>
              </w:rPr>
            </w:pPr>
            <w:r>
              <w:rPr>
                <w:color w:val="auto"/>
                <w:sz w:val="22"/>
                <w:szCs w:val="22"/>
              </w:rPr>
              <w:t>Урок 8</w:t>
            </w:r>
          </w:p>
        </w:tc>
        <w:tc>
          <w:tcPr>
            <w:tcW w:w="7937" w:type="dxa"/>
          </w:tcPr>
          <w:p w14:paraId="58538DFA">
            <w:pPr>
              <w:pStyle w:val="85"/>
              <w:jc w:val="both"/>
              <w:rPr>
                <w:color w:val="auto"/>
                <w:sz w:val="22"/>
                <w:szCs w:val="22"/>
              </w:rPr>
            </w:pPr>
            <w:r>
              <w:rPr>
                <w:color w:val="auto"/>
                <w:sz w:val="22"/>
                <w:szCs w:val="22"/>
              </w:rPr>
              <w:t>Звуки речи. Интонационное выделение звука в слове</w:t>
            </w:r>
          </w:p>
        </w:tc>
      </w:tr>
      <w:tr w14:paraId="06A7A4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tcPr>
          <w:p w14:paraId="1216CDB0">
            <w:pPr>
              <w:pStyle w:val="85"/>
              <w:rPr>
                <w:color w:val="auto"/>
                <w:sz w:val="22"/>
                <w:szCs w:val="22"/>
              </w:rPr>
            </w:pPr>
            <w:r>
              <w:rPr>
                <w:color w:val="auto"/>
                <w:sz w:val="22"/>
                <w:szCs w:val="22"/>
              </w:rPr>
              <w:t>Урок 9</w:t>
            </w:r>
          </w:p>
        </w:tc>
        <w:tc>
          <w:tcPr>
            <w:tcW w:w="7937" w:type="dxa"/>
          </w:tcPr>
          <w:p w14:paraId="7EAC8C52">
            <w:pPr>
              <w:pStyle w:val="85"/>
              <w:jc w:val="both"/>
              <w:rPr>
                <w:color w:val="auto"/>
                <w:sz w:val="22"/>
                <w:szCs w:val="22"/>
              </w:rPr>
            </w:pPr>
            <w:r>
              <w:rPr>
                <w:color w:val="auto"/>
                <w:sz w:val="22"/>
                <w:szCs w:val="22"/>
              </w:rPr>
              <w:t>Определяем самый частый звук в стихотворении</w:t>
            </w:r>
          </w:p>
        </w:tc>
      </w:tr>
      <w:tr w14:paraId="1A3E2B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tcPr>
          <w:p w14:paraId="5A987F9F">
            <w:pPr>
              <w:pStyle w:val="85"/>
              <w:rPr>
                <w:color w:val="auto"/>
                <w:sz w:val="22"/>
                <w:szCs w:val="22"/>
              </w:rPr>
            </w:pPr>
            <w:r>
              <w:rPr>
                <w:color w:val="auto"/>
                <w:sz w:val="22"/>
                <w:szCs w:val="22"/>
              </w:rPr>
              <w:t>Урок 10</w:t>
            </w:r>
          </w:p>
        </w:tc>
        <w:tc>
          <w:tcPr>
            <w:tcW w:w="7937" w:type="dxa"/>
          </w:tcPr>
          <w:p w14:paraId="5B426464">
            <w:pPr>
              <w:pStyle w:val="85"/>
              <w:jc w:val="both"/>
              <w:rPr>
                <w:color w:val="auto"/>
                <w:sz w:val="22"/>
                <w:szCs w:val="22"/>
              </w:rPr>
            </w:pPr>
            <w:r>
              <w:rPr>
                <w:color w:val="auto"/>
                <w:sz w:val="22"/>
                <w:szCs w:val="22"/>
              </w:rPr>
              <w:t>Различаем первые звуки в словах</w:t>
            </w:r>
          </w:p>
        </w:tc>
      </w:tr>
      <w:tr w14:paraId="76541F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tcPr>
          <w:p w14:paraId="213B9512">
            <w:pPr>
              <w:pStyle w:val="85"/>
              <w:rPr>
                <w:color w:val="auto"/>
                <w:sz w:val="22"/>
                <w:szCs w:val="22"/>
              </w:rPr>
            </w:pPr>
            <w:r>
              <w:rPr>
                <w:color w:val="auto"/>
                <w:sz w:val="22"/>
                <w:szCs w:val="22"/>
              </w:rPr>
              <w:t>Урок 11</w:t>
            </w:r>
          </w:p>
        </w:tc>
        <w:tc>
          <w:tcPr>
            <w:tcW w:w="7937" w:type="dxa"/>
          </w:tcPr>
          <w:p w14:paraId="33BA71B2">
            <w:pPr>
              <w:pStyle w:val="85"/>
              <w:jc w:val="both"/>
              <w:rPr>
                <w:color w:val="auto"/>
                <w:sz w:val="22"/>
                <w:szCs w:val="22"/>
              </w:rPr>
            </w:pPr>
            <w:r>
              <w:rPr>
                <w:color w:val="auto"/>
                <w:sz w:val="22"/>
                <w:szCs w:val="22"/>
              </w:rPr>
              <w:t>Устанавливаем последовательность звуков в слове</w:t>
            </w:r>
          </w:p>
        </w:tc>
      </w:tr>
      <w:tr w14:paraId="40F351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tcPr>
          <w:p w14:paraId="0C4F4D5C">
            <w:pPr>
              <w:pStyle w:val="85"/>
              <w:rPr>
                <w:color w:val="auto"/>
                <w:sz w:val="22"/>
                <w:szCs w:val="22"/>
              </w:rPr>
            </w:pPr>
            <w:r>
              <w:rPr>
                <w:color w:val="auto"/>
                <w:sz w:val="22"/>
                <w:szCs w:val="22"/>
              </w:rPr>
              <w:t>Урок 12</w:t>
            </w:r>
          </w:p>
        </w:tc>
        <w:tc>
          <w:tcPr>
            <w:tcW w:w="7937" w:type="dxa"/>
          </w:tcPr>
          <w:p w14:paraId="0F03B4A5">
            <w:pPr>
              <w:pStyle w:val="85"/>
              <w:jc w:val="both"/>
              <w:rPr>
                <w:color w:val="auto"/>
                <w:sz w:val="22"/>
                <w:szCs w:val="22"/>
              </w:rPr>
            </w:pPr>
            <w:r>
              <w:rPr>
                <w:color w:val="auto"/>
                <w:sz w:val="22"/>
                <w:szCs w:val="22"/>
              </w:rPr>
              <w:t>Сравниваем слова, различающиеся одним звуком</w:t>
            </w:r>
          </w:p>
        </w:tc>
      </w:tr>
      <w:tr w14:paraId="0BB1C3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tcPr>
          <w:p w14:paraId="797073DF">
            <w:pPr>
              <w:pStyle w:val="85"/>
              <w:rPr>
                <w:color w:val="auto"/>
                <w:sz w:val="22"/>
                <w:szCs w:val="22"/>
              </w:rPr>
            </w:pPr>
            <w:r>
              <w:rPr>
                <w:color w:val="auto"/>
                <w:sz w:val="22"/>
                <w:szCs w:val="22"/>
              </w:rPr>
              <w:t>Урок 13</w:t>
            </w:r>
          </w:p>
        </w:tc>
        <w:tc>
          <w:tcPr>
            <w:tcW w:w="7937" w:type="dxa"/>
          </w:tcPr>
          <w:p w14:paraId="4A4B663B">
            <w:pPr>
              <w:pStyle w:val="85"/>
              <w:jc w:val="both"/>
              <w:rPr>
                <w:color w:val="auto"/>
                <w:sz w:val="22"/>
                <w:szCs w:val="22"/>
              </w:rPr>
            </w:pPr>
            <w:r>
              <w:rPr>
                <w:color w:val="auto"/>
                <w:sz w:val="22"/>
                <w:szCs w:val="22"/>
              </w:rPr>
              <w:t>Проводим параллельные линии</w:t>
            </w:r>
          </w:p>
        </w:tc>
      </w:tr>
      <w:tr w14:paraId="2416C3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tcPr>
          <w:p w14:paraId="6A5B31CC">
            <w:pPr>
              <w:pStyle w:val="85"/>
              <w:rPr>
                <w:color w:val="auto"/>
                <w:sz w:val="22"/>
                <w:szCs w:val="22"/>
              </w:rPr>
            </w:pPr>
            <w:r>
              <w:rPr>
                <w:color w:val="auto"/>
                <w:sz w:val="22"/>
                <w:szCs w:val="22"/>
              </w:rPr>
              <w:t>Урок 14</w:t>
            </w:r>
          </w:p>
        </w:tc>
        <w:tc>
          <w:tcPr>
            <w:tcW w:w="7937" w:type="dxa"/>
          </w:tcPr>
          <w:p w14:paraId="6090AEF6">
            <w:pPr>
              <w:pStyle w:val="85"/>
              <w:jc w:val="both"/>
              <w:rPr>
                <w:color w:val="auto"/>
                <w:sz w:val="22"/>
                <w:szCs w:val="22"/>
              </w:rPr>
            </w:pPr>
            <w:r>
              <w:rPr>
                <w:color w:val="auto"/>
                <w:sz w:val="22"/>
                <w:szCs w:val="22"/>
              </w:rPr>
              <w:t>Отрабатываем параллельные линии</w:t>
            </w:r>
          </w:p>
        </w:tc>
      </w:tr>
      <w:tr w14:paraId="40B4B2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tcPr>
          <w:p w14:paraId="2AF6D98D">
            <w:pPr>
              <w:pStyle w:val="85"/>
              <w:rPr>
                <w:color w:val="auto"/>
                <w:sz w:val="22"/>
                <w:szCs w:val="22"/>
              </w:rPr>
            </w:pPr>
            <w:r>
              <w:rPr>
                <w:color w:val="auto"/>
                <w:sz w:val="22"/>
                <w:szCs w:val="22"/>
              </w:rPr>
              <w:t>Урок 15</w:t>
            </w:r>
          </w:p>
        </w:tc>
        <w:tc>
          <w:tcPr>
            <w:tcW w:w="7937" w:type="dxa"/>
          </w:tcPr>
          <w:p w14:paraId="24FFAC96">
            <w:pPr>
              <w:pStyle w:val="85"/>
              <w:jc w:val="both"/>
              <w:rPr>
                <w:color w:val="auto"/>
                <w:sz w:val="22"/>
                <w:szCs w:val="22"/>
              </w:rPr>
            </w:pPr>
            <w:r>
              <w:rPr>
                <w:color w:val="auto"/>
                <w:sz w:val="22"/>
                <w:szCs w:val="22"/>
              </w:rPr>
              <w:t>Ориентируемся на рабочей строке</w:t>
            </w:r>
          </w:p>
        </w:tc>
      </w:tr>
      <w:tr w14:paraId="0DED44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tcPr>
          <w:p w14:paraId="4C53ACD3">
            <w:pPr>
              <w:pStyle w:val="85"/>
              <w:rPr>
                <w:color w:val="auto"/>
                <w:sz w:val="22"/>
                <w:szCs w:val="22"/>
              </w:rPr>
            </w:pPr>
            <w:r>
              <w:rPr>
                <w:color w:val="auto"/>
                <w:sz w:val="22"/>
                <w:szCs w:val="22"/>
              </w:rPr>
              <w:t>Урок 16</w:t>
            </w:r>
          </w:p>
        </w:tc>
        <w:tc>
          <w:tcPr>
            <w:tcW w:w="7937" w:type="dxa"/>
          </w:tcPr>
          <w:p w14:paraId="68A7E18E">
            <w:pPr>
              <w:pStyle w:val="85"/>
              <w:jc w:val="both"/>
              <w:rPr>
                <w:color w:val="auto"/>
                <w:sz w:val="22"/>
                <w:szCs w:val="22"/>
              </w:rPr>
            </w:pPr>
            <w:r>
              <w:rPr>
                <w:color w:val="auto"/>
                <w:sz w:val="22"/>
                <w:szCs w:val="22"/>
              </w:rPr>
              <w:t>Пишем элементы букв</w:t>
            </w:r>
          </w:p>
        </w:tc>
      </w:tr>
      <w:tr w14:paraId="3C2E13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tcPr>
          <w:p w14:paraId="370DCAF8">
            <w:pPr>
              <w:pStyle w:val="85"/>
              <w:rPr>
                <w:color w:val="auto"/>
                <w:sz w:val="22"/>
                <w:szCs w:val="22"/>
              </w:rPr>
            </w:pPr>
            <w:r>
              <w:rPr>
                <w:color w:val="auto"/>
                <w:sz w:val="22"/>
                <w:szCs w:val="22"/>
              </w:rPr>
              <w:t>Урок 17</w:t>
            </w:r>
          </w:p>
        </w:tc>
        <w:tc>
          <w:tcPr>
            <w:tcW w:w="7937" w:type="dxa"/>
          </w:tcPr>
          <w:p w14:paraId="5F377088">
            <w:pPr>
              <w:pStyle w:val="85"/>
              <w:jc w:val="both"/>
              <w:rPr>
                <w:color w:val="auto"/>
                <w:sz w:val="22"/>
                <w:szCs w:val="22"/>
              </w:rPr>
            </w:pPr>
            <w:r>
              <w:rPr>
                <w:color w:val="auto"/>
                <w:sz w:val="22"/>
                <w:szCs w:val="22"/>
              </w:rPr>
              <w:t>Особенность гласных звуков</w:t>
            </w:r>
          </w:p>
        </w:tc>
      </w:tr>
      <w:tr w14:paraId="693F90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tcPr>
          <w:p w14:paraId="7AE19A08">
            <w:pPr>
              <w:pStyle w:val="85"/>
              <w:rPr>
                <w:color w:val="auto"/>
                <w:sz w:val="22"/>
                <w:szCs w:val="22"/>
              </w:rPr>
            </w:pPr>
            <w:r>
              <w:rPr>
                <w:color w:val="auto"/>
                <w:sz w:val="22"/>
                <w:szCs w:val="22"/>
              </w:rPr>
              <w:t>Урок 18</w:t>
            </w:r>
          </w:p>
        </w:tc>
        <w:tc>
          <w:tcPr>
            <w:tcW w:w="7937" w:type="dxa"/>
          </w:tcPr>
          <w:p w14:paraId="7B035C91">
            <w:pPr>
              <w:pStyle w:val="85"/>
              <w:jc w:val="both"/>
              <w:rPr>
                <w:color w:val="auto"/>
                <w:sz w:val="22"/>
                <w:szCs w:val="22"/>
              </w:rPr>
            </w:pPr>
            <w:r>
              <w:rPr>
                <w:color w:val="auto"/>
                <w:sz w:val="22"/>
                <w:szCs w:val="22"/>
              </w:rPr>
              <w:t>Отрабатываем письмо элементов букв</w:t>
            </w:r>
          </w:p>
        </w:tc>
      </w:tr>
      <w:tr w14:paraId="0C69D1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tcPr>
          <w:p w14:paraId="19C94936">
            <w:pPr>
              <w:pStyle w:val="85"/>
              <w:rPr>
                <w:color w:val="auto"/>
                <w:sz w:val="22"/>
                <w:szCs w:val="22"/>
              </w:rPr>
            </w:pPr>
            <w:r>
              <w:rPr>
                <w:color w:val="auto"/>
                <w:sz w:val="22"/>
                <w:szCs w:val="22"/>
              </w:rPr>
              <w:t>Урок 19</w:t>
            </w:r>
          </w:p>
        </w:tc>
        <w:tc>
          <w:tcPr>
            <w:tcW w:w="7937" w:type="dxa"/>
          </w:tcPr>
          <w:p w14:paraId="2994EAAC">
            <w:pPr>
              <w:pStyle w:val="85"/>
              <w:jc w:val="both"/>
              <w:rPr>
                <w:color w:val="auto"/>
                <w:sz w:val="22"/>
                <w:szCs w:val="22"/>
              </w:rPr>
            </w:pPr>
            <w:r>
              <w:rPr>
                <w:color w:val="auto"/>
                <w:sz w:val="22"/>
                <w:szCs w:val="22"/>
              </w:rPr>
              <w:t>Письмо строчной и заглавной букв А, а</w:t>
            </w:r>
          </w:p>
        </w:tc>
      </w:tr>
      <w:tr w14:paraId="432653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tcPr>
          <w:p w14:paraId="17860997">
            <w:pPr>
              <w:pStyle w:val="85"/>
              <w:rPr>
                <w:color w:val="auto"/>
                <w:sz w:val="22"/>
                <w:szCs w:val="22"/>
              </w:rPr>
            </w:pPr>
            <w:r>
              <w:rPr>
                <w:color w:val="auto"/>
                <w:sz w:val="22"/>
                <w:szCs w:val="22"/>
              </w:rPr>
              <w:t>Урок 20</w:t>
            </w:r>
          </w:p>
        </w:tc>
        <w:tc>
          <w:tcPr>
            <w:tcW w:w="7937" w:type="dxa"/>
          </w:tcPr>
          <w:p w14:paraId="3A6B66FA">
            <w:pPr>
              <w:pStyle w:val="85"/>
              <w:jc w:val="both"/>
              <w:rPr>
                <w:color w:val="auto"/>
                <w:sz w:val="22"/>
                <w:szCs w:val="22"/>
              </w:rPr>
            </w:pPr>
            <w:r>
              <w:rPr>
                <w:color w:val="auto"/>
                <w:sz w:val="22"/>
                <w:szCs w:val="22"/>
              </w:rPr>
              <w:t>Закрепление написания строчной и заглавной букв А, а</w:t>
            </w:r>
          </w:p>
        </w:tc>
      </w:tr>
      <w:tr w14:paraId="2B30E9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tcPr>
          <w:p w14:paraId="66516A91">
            <w:pPr>
              <w:pStyle w:val="85"/>
              <w:rPr>
                <w:color w:val="auto"/>
                <w:sz w:val="22"/>
                <w:szCs w:val="22"/>
              </w:rPr>
            </w:pPr>
            <w:r>
              <w:rPr>
                <w:color w:val="auto"/>
                <w:sz w:val="22"/>
                <w:szCs w:val="22"/>
              </w:rPr>
              <w:t>Урок 21</w:t>
            </w:r>
          </w:p>
        </w:tc>
        <w:tc>
          <w:tcPr>
            <w:tcW w:w="7937" w:type="dxa"/>
          </w:tcPr>
          <w:p w14:paraId="59C7E626">
            <w:pPr>
              <w:pStyle w:val="85"/>
              <w:jc w:val="both"/>
              <w:rPr>
                <w:color w:val="auto"/>
                <w:sz w:val="22"/>
                <w:szCs w:val="22"/>
              </w:rPr>
            </w:pPr>
            <w:r>
              <w:rPr>
                <w:color w:val="auto"/>
                <w:sz w:val="22"/>
                <w:szCs w:val="22"/>
              </w:rPr>
              <w:t>Слогообразующая функция гласных звуков</w:t>
            </w:r>
          </w:p>
        </w:tc>
      </w:tr>
      <w:tr w14:paraId="7A6A6C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tcPr>
          <w:p w14:paraId="37E2F560">
            <w:pPr>
              <w:pStyle w:val="85"/>
              <w:rPr>
                <w:color w:val="auto"/>
                <w:sz w:val="22"/>
                <w:szCs w:val="22"/>
              </w:rPr>
            </w:pPr>
            <w:r>
              <w:rPr>
                <w:color w:val="auto"/>
                <w:sz w:val="22"/>
                <w:szCs w:val="22"/>
              </w:rPr>
              <w:t>Урок 22</w:t>
            </w:r>
          </w:p>
        </w:tc>
        <w:tc>
          <w:tcPr>
            <w:tcW w:w="7937" w:type="dxa"/>
          </w:tcPr>
          <w:p w14:paraId="73DEE17C">
            <w:pPr>
              <w:pStyle w:val="85"/>
              <w:jc w:val="both"/>
              <w:rPr>
                <w:color w:val="auto"/>
                <w:sz w:val="22"/>
                <w:szCs w:val="22"/>
              </w:rPr>
            </w:pPr>
            <w:r>
              <w:rPr>
                <w:color w:val="auto"/>
                <w:sz w:val="22"/>
                <w:szCs w:val="22"/>
              </w:rPr>
              <w:t>Письмо строчной и заглавной букв О, о</w:t>
            </w:r>
          </w:p>
        </w:tc>
      </w:tr>
      <w:tr w14:paraId="067C74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tcPr>
          <w:p w14:paraId="309A109A">
            <w:pPr>
              <w:pStyle w:val="85"/>
              <w:rPr>
                <w:color w:val="auto"/>
                <w:sz w:val="22"/>
                <w:szCs w:val="22"/>
              </w:rPr>
            </w:pPr>
            <w:r>
              <w:rPr>
                <w:color w:val="auto"/>
                <w:sz w:val="22"/>
                <w:szCs w:val="22"/>
              </w:rPr>
              <w:t>Урок 23</w:t>
            </w:r>
          </w:p>
        </w:tc>
        <w:tc>
          <w:tcPr>
            <w:tcW w:w="7937" w:type="dxa"/>
          </w:tcPr>
          <w:p w14:paraId="1C236A6A">
            <w:pPr>
              <w:pStyle w:val="85"/>
              <w:jc w:val="both"/>
              <w:rPr>
                <w:color w:val="auto"/>
                <w:sz w:val="22"/>
                <w:szCs w:val="22"/>
              </w:rPr>
            </w:pPr>
            <w:r>
              <w:rPr>
                <w:color w:val="auto"/>
                <w:sz w:val="22"/>
                <w:szCs w:val="22"/>
              </w:rPr>
              <w:t>Закрепление написания строчной и заглавной букв О, о</w:t>
            </w:r>
          </w:p>
        </w:tc>
      </w:tr>
      <w:tr w14:paraId="6016F3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tcPr>
          <w:p w14:paraId="59A5F120">
            <w:pPr>
              <w:pStyle w:val="85"/>
              <w:rPr>
                <w:color w:val="auto"/>
                <w:sz w:val="22"/>
                <w:szCs w:val="22"/>
              </w:rPr>
            </w:pPr>
            <w:r>
              <w:rPr>
                <w:color w:val="auto"/>
                <w:sz w:val="22"/>
                <w:szCs w:val="22"/>
              </w:rPr>
              <w:t>Урок 24</w:t>
            </w:r>
          </w:p>
        </w:tc>
        <w:tc>
          <w:tcPr>
            <w:tcW w:w="7937" w:type="dxa"/>
          </w:tcPr>
          <w:p w14:paraId="42302131">
            <w:pPr>
              <w:pStyle w:val="85"/>
              <w:jc w:val="both"/>
              <w:rPr>
                <w:color w:val="auto"/>
                <w:sz w:val="22"/>
                <w:szCs w:val="22"/>
              </w:rPr>
            </w:pPr>
            <w:r>
              <w:rPr>
                <w:color w:val="auto"/>
                <w:sz w:val="22"/>
                <w:szCs w:val="22"/>
              </w:rPr>
              <w:t>Письмо строчной и заглавной букв И, и</w:t>
            </w:r>
          </w:p>
        </w:tc>
      </w:tr>
      <w:tr w14:paraId="46803D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tcPr>
          <w:p w14:paraId="6D6D69EB">
            <w:pPr>
              <w:pStyle w:val="85"/>
              <w:rPr>
                <w:color w:val="auto"/>
                <w:sz w:val="22"/>
                <w:szCs w:val="22"/>
              </w:rPr>
            </w:pPr>
            <w:r>
              <w:rPr>
                <w:color w:val="auto"/>
                <w:sz w:val="22"/>
                <w:szCs w:val="22"/>
              </w:rPr>
              <w:t>Урок 25</w:t>
            </w:r>
          </w:p>
        </w:tc>
        <w:tc>
          <w:tcPr>
            <w:tcW w:w="7937" w:type="dxa"/>
          </w:tcPr>
          <w:p w14:paraId="639AA13A">
            <w:pPr>
              <w:pStyle w:val="85"/>
              <w:jc w:val="both"/>
              <w:rPr>
                <w:color w:val="auto"/>
                <w:sz w:val="22"/>
                <w:szCs w:val="22"/>
              </w:rPr>
            </w:pPr>
            <w:r>
              <w:rPr>
                <w:color w:val="auto"/>
                <w:sz w:val="22"/>
                <w:szCs w:val="22"/>
              </w:rPr>
              <w:t>Отрабатываем умение определять количества слогов в слове</w:t>
            </w:r>
          </w:p>
        </w:tc>
      </w:tr>
      <w:tr w14:paraId="6E61DA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tcPr>
          <w:p w14:paraId="3E5569E1">
            <w:pPr>
              <w:pStyle w:val="85"/>
              <w:rPr>
                <w:color w:val="auto"/>
                <w:sz w:val="22"/>
                <w:szCs w:val="22"/>
              </w:rPr>
            </w:pPr>
            <w:r>
              <w:rPr>
                <w:color w:val="auto"/>
                <w:sz w:val="22"/>
                <w:szCs w:val="22"/>
              </w:rPr>
              <w:t>Урок 26</w:t>
            </w:r>
          </w:p>
        </w:tc>
        <w:tc>
          <w:tcPr>
            <w:tcW w:w="7937" w:type="dxa"/>
          </w:tcPr>
          <w:p w14:paraId="0ECCEE85">
            <w:pPr>
              <w:pStyle w:val="85"/>
              <w:jc w:val="both"/>
              <w:rPr>
                <w:color w:val="auto"/>
                <w:sz w:val="22"/>
                <w:szCs w:val="22"/>
              </w:rPr>
            </w:pPr>
            <w:r>
              <w:rPr>
                <w:color w:val="auto"/>
                <w:sz w:val="22"/>
                <w:szCs w:val="22"/>
              </w:rPr>
              <w:t>Закрепление написания строчной и заглавной букв И, и</w:t>
            </w:r>
          </w:p>
        </w:tc>
      </w:tr>
      <w:tr w14:paraId="78E242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tcPr>
          <w:p w14:paraId="78C45BC2">
            <w:pPr>
              <w:pStyle w:val="85"/>
              <w:rPr>
                <w:color w:val="auto"/>
                <w:sz w:val="22"/>
                <w:szCs w:val="22"/>
              </w:rPr>
            </w:pPr>
            <w:r>
              <w:rPr>
                <w:color w:val="auto"/>
                <w:sz w:val="22"/>
                <w:szCs w:val="22"/>
              </w:rPr>
              <w:t>Урок 27</w:t>
            </w:r>
          </w:p>
        </w:tc>
        <w:tc>
          <w:tcPr>
            <w:tcW w:w="7937" w:type="dxa"/>
          </w:tcPr>
          <w:p w14:paraId="6A076C0B">
            <w:pPr>
              <w:pStyle w:val="85"/>
              <w:jc w:val="both"/>
              <w:rPr>
                <w:color w:val="auto"/>
                <w:sz w:val="22"/>
                <w:szCs w:val="22"/>
              </w:rPr>
            </w:pPr>
            <w:r>
              <w:rPr>
                <w:color w:val="auto"/>
                <w:sz w:val="22"/>
                <w:szCs w:val="22"/>
              </w:rPr>
              <w:t>Письмо строчной буквы ы</w:t>
            </w:r>
          </w:p>
        </w:tc>
      </w:tr>
      <w:tr w14:paraId="3F10A4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tcPr>
          <w:p w14:paraId="6CEC5152">
            <w:pPr>
              <w:pStyle w:val="85"/>
              <w:rPr>
                <w:color w:val="auto"/>
                <w:sz w:val="22"/>
                <w:szCs w:val="22"/>
              </w:rPr>
            </w:pPr>
            <w:r>
              <w:rPr>
                <w:color w:val="auto"/>
                <w:sz w:val="22"/>
                <w:szCs w:val="22"/>
              </w:rPr>
              <w:t>Урок 28</w:t>
            </w:r>
          </w:p>
        </w:tc>
        <w:tc>
          <w:tcPr>
            <w:tcW w:w="7937" w:type="dxa"/>
          </w:tcPr>
          <w:p w14:paraId="0D2FD18E">
            <w:pPr>
              <w:pStyle w:val="85"/>
              <w:jc w:val="both"/>
              <w:rPr>
                <w:color w:val="auto"/>
                <w:sz w:val="22"/>
                <w:szCs w:val="22"/>
              </w:rPr>
            </w:pPr>
            <w:r>
              <w:rPr>
                <w:color w:val="auto"/>
                <w:sz w:val="22"/>
                <w:szCs w:val="22"/>
              </w:rPr>
              <w:t>Письмо строчной и заглавной букв У, у</w:t>
            </w:r>
          </w:p>
        </w:tc>
      </w:tr>
      <w:tr w14:paraId="369738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tcPr>
          <w:p w14:paraId="0B3E4388">
            <w:pPr>
              <w:pStyle w:val="85"/>
              <w:rPr>
                <w:color w:val="auto"/>
                <w:sz w:val="22"/>
                <w:szCs w:val="22"/>
              </w:rPr>
            </w:pPr>
            <w:r>
              <w:rPr>
                <w:color w:val="auto"/>
                <w:sz w:val="22"/>
                <w:szCs w:val="22"/>
              </w:rPr>
              <w:t>Урок 29</w:t>
            </w:r>
          </w:p>
        </w:tc>
        <w:tc>
          <w:tcPr>
            <w:tcW w:w="7937" w:type="dxa"/>
          </w:tcPr>
          <w:p w14:paraId="311E7E70">
            <w:pPr>
              <w:pStyle w:val="85"/>
              <w:jc w:val="both"/>
              <w:rPr>
                <w:color w:val="auto"/>
                <w:sz w:val="22"/>
                <w:szCs w:val="22"/>
              </w:rPr>
            </w:pPr>
            <w:r>
              <w:rPr>
                <w:color w:val="auto"/>
                <w:sz w:val="22"/>
                <w:szCs w:val="22"/>
              </w:rPr>
              <w:t>Закрепление написания строчной и заглавной букв У, у</w:t>
            </w:r>
          </w:p>
        </w:tc>
      </w:tr>
      <w:tr w14:paraId="760A0B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tcPr>
          <w:p w14:paraId="1F33AD8B">
            <w:pPr>
              <w:pStyle w:val="85"/>
              <w:rPr>
                <w:color w:val="auto"/>
                <w:sz w:val="22"/>
                <w:szCs w:val="22"/>
              </w:rPr>
            </w:pPr>
            <w:r>
              <w:rPr>
                <w:color w:val="auto"/>
                <w:sz w:val="22"/>
                <w:szCs w:val="22"/>
              </w:rPr>
              <w:t>Урок 30</w:t>
            </w:r>
          </w:p>
        </w:tc>
        <w:tc>
          <w:tcPr>
            <w:tcW w:w="7937" w:type="dxa"/>
          </w:tcPr>
          <w:p w14:paraId="65A5A2AF">
            <w:pPr>
              <w:pStyle w:val="85"/>
              <w:jc w:val="both"/>
              <w:rPr>
                <w:color w:val="auto"/>
                <w:sz w:val="22"/>
                <w:szCs w:val="22"/>
              </w:rPr>
            </w:pPr>
            <w:r>
              <w:rPr>
                <w:color w:val="auto"/>
                <w:sz w:val="22"/>
                <w:szCs w:val="22"/>
              </w:rPr>
              <w:t>Повторяем особенности гласных звуков</w:t>
            </w:r>
          </w:p>
        </w:tc>
      </w:tr>
      <w:tr w14:paraId="4322B3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tcPr>
          <w:p w14:paraId="11592B42">
            <w:pPr>
              <w:pStyle w:val="85"/>
              <w:rPr>
                <w:color w:val="auto"/>
                <w:sz w:val="22"/>
                <w:szCs w:val="22"/>
              </w:rPr>
            </w:pPr>
            <w:r>
              <w:rPr>
                <w:color w:val="auto"/>
                <w:sz w:val="22"/>
                <w:szCs w:val="22"/>
              </w:rPr>
              <w:t>Урок 31</w:t>
            </w:r>
          </w:p>
        </w:tc>
        <w:tc>
          <w:tcPr>
            <w:tcW w:w="7937" w:type="dxa"/>
          </w:tcPr>
          <w:p w14:paraId="5BE7BC1E">
            <w:pPr>
              <w:pStyle w:val="85"/>
              <w:jc w:val="both"/>
              <w:rPr>
                <w:color w:val="auto"/>
                <w:sz w:val="22"/>
                <w:szCs w:val="22"/>
              </w:rPr>
            </w:pPr>
            <w:r>
              <w:rPr>
                <w:color w:val="auto"/>
                <w:sz w:val="22"/>
                <w:szCs w:val="22"/>
              </w:rPr>
              <w:t>Сравниваем начертания изученных букв, обозначающих гласные звуки</w:t>
            </w:r>
          </w:p>
        </w:tc>
      </w:tr>
      <w:tr w14:paraId="114358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tcPr>
          <w:p w14:paraId="723B77EB">
            <w:pPr>
              <w:pStyle w:val="85"/>
              <w:rPr>
                <w:color w:val="auto"/>
                <w:sz w:val="22"/>
                <w:szCs w:val="22"/>
              </w:rPr>
            </w:pPr>
            <w:r>
              <w:rPr>
                <w:color w:val="auto"/>
                <w:sz w:val="22"/>
                <w:szCs w:val="22"/>
              </w:rPr>
              <w:t>Урок 32</w:t>
            </w:r>
          </w:p>
        </w:tc>
        <w:tc>
          <w:tcPr>
            <w:tcW w:w="7937" w:type="dxa"/>
          </w:tcPr>
          <w:p w14:paraId="073DDF65">
            <w:pPr>
              <w:pStyle w:val="85"/>
              <w:jc w:val="both"/>
              <w:rPr>
                <w:color w:val="auto"/>
                <w:sz w:val="22"/>
                <w:szCs w:val="22"/>
              </w:rPr>
            </w:pPr>
            <w:r>
              <w:rPr>
                <w:color w:val="auto"/>
                <w:sz w:val="22"/>
                <w:szCs w:val="22"/>
              </w:rPr>
              <w:t>Пишем буквы, обозначающие гласные звуки</w:t>
            </w:r>
          </w:p>
        </w:tc>
      </w:tr>
      <w:tr w14:paraId="48AA63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tcPr>
          <w:p w14:paraId="19104A4B">
            <w:pPr>
              <w:pStyle w:val="85"/>
              <w:rPr>
                <w:color w:val="auto"/>
                <w:sz w:val="22"/>
                <w:szCs w:val="22"/>
              </w:rPr>
            </w:pPr>
            <w:r>
              <w:rPr>
                <w:color w:val="auto"/>
                <w:sz w:val="22"/>
                <w:szCs w:val="22"/>
              </w:rPr>
              <w:t>Урок 33</w:t>
            </w:r>
          </w:p>
        </w:tc>
        <w:tc>
          <w:tcPr>
            <w:tcW w:w="7937" w:type="dxa"/>
          </w:tcPr>
          <w:p w14:paraId="02AD8168">
            <w:pPr>
              <w:pStyle w:val="85"/>
              <w:jc w:val="both"/>
              <w:rPr>
                <w:color w:val="auto"/>
                <w:sz w:val="22"/>
                <w:szCs w:val="22"/>
              </w:rPr>
            </w:pPr>
            <w:r>
              <w:rPr>
                <w:color w:val="auto"/>
                <w:sz w:val="22"/>
                <w:szCs w:val="22"/>
              </w:rPr>
              <w:t>Письмо строчной и заглавной букв Н, н</w:t>
            </w:r>
          </w:p>
        </w:tc>
      </w:tr>
      <w:tr w14:paraId="62E953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tcPr>
          <w:p w14:paraId="0E120EF2">
            <w:pPr>
              <w:pStyle w:val="85"/>
              <w:rPr>
                <w:color w:val="auto"/>
                <w:sz w:val="22"/>
                <w:szCs w:val="22"/>
              </w:rPr>
            </w:pPr>
            <w:r>
              <w:rPr>
                <w:color w:val="auto"/>
                <w:sz w:val="22"/>
                <w:szCs w:val="22"/>
              </w:rPr>
              <w:t>Урок 34</w:t>
            </w:r>
          </w:p>
        </w:tc>
        <w:tc>
          <w:tcPr>
            <w:tcW w:w="7937" w:type="dxa"/>
          </w:tcPr>
          <w:p w14:paraId="5A4F165C">
            <w:pPr>
              <w:pStyle w:val="85"/>
              <w:jc w:val="both"/>
              <w:rPr>
                <w:color w:val="auto"/>
                <w:sz w:val="22"/>
                <w:szCs w:val="22"/>
              </w:rPr>
            </w:pPr>
            <w:r>
              <w:rPr>
                <w:color w:val="auto"/>
                <w:sz w:val="22"/>
                <w:szCs w:val="22"/>
              </w:rPr>
              <w:t>Закрепление написания строчной и заглавной букв Н, н</w:t>
            </w:r>
          </w:p>
        </w:tc>
      </w:tr>
      <w:tr w14:paraId="58A5DB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tcPr>
          <w:p w14:paraId="19A7822E">
            <w:pPr>
              <w:pStyle w:val="85"/>
              <w:rPr>
                <w:color w:val="auto"/>
                <w:sz w:val="22"/>
                <w:szCs w:val="22"/>
              </w:rPr>
            </w:pPr>
            <w:r>
              <w:rPr>
                <w:color w:val="auto"/>
                <w:sz w:val="22"/>
                <w:szCs w:val="22"/>
              </w:rPr>
              <w:t>Урок 35</w:t>
            </w:r>
          </w:p>
        </w:tc>
        <w:tc>
          <w:tcPr>
            <w:tcW w:w="7937" w:type="dxa"/>
          </w:tcPr>
          <w:p w14:paraId="4BD7B83B">
            <w:pPr>
              <w:pStyle w:val="85"/>
              <w:jc w:val="both"/>
              <w:rPr>
                <w:color w:val="auto"/>
                <w:sz w:val="22"/>
                <w:szCs w:val="22"/>
              </w:rPr>
            </w:pPr>
            <w:r>
              <w:rPr>
                <w:color w:val="auto"/>
                <w:sz w:val="22"/>
                <w:szCs w:val="22"/>
              </w:rPr>
              <w:t>Звуковой анализ слов, работа со звуковыми моделями слов</w:t>
            </w:r>
          </w:p>
        </w:tc>
      </w:tr>
      <w:tr w14:paraId="48DA58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tcPr>
          <w:p w14:paraId="20A19F58">
            <w:pPr>
              <w:pStyle w:val="85"/>
              <w:rPr>
                <w:color w:val="auto"/>
                <w:sz w:val="22"/>
                <w:szCs w:val="22"/>
              </w:rPr>
            </w:pPr>
            <w:r>
              <w:rPr>
                <w:color w:val="auto"/>
                <w:sz w:val="22"/>
                <w:szCs w:val="22"/>
              </w:rPr>
              <w:t>Урок 36</w:t>
            </w:r>
          </w:p>
        </w:tc>
        <w:tc>
          <w:tcPr>
            <w:tcW w:w="7937" w:type="dxa"/>
          </w:tcPr>
          <w:p w14:paraId="7C2AA93C">
            <w:pPr>
              <w:pStyle w:val="85"/>
              <w:jc w:val="both"/>
              <w:rPr>
                <w:color w:val="auto"/>
                <w:sz w:val="22"/>
                <w:szCs w:val="22"/>
              </w:rPr>
            </w:pPr>
            <w:r>
              <w:rPr>
                <w:color w:val="auto"/>
                <w:sz w:val="22"/>
                <w:szCs w:val="22"/>
              </w:rPr>
              <w:t>Письмо строчной и заглавной букв С, с</w:t>
            </w:r>
          </w:p>
        </w:tc>
      </w:tr>
      <w:tr w14:paraId="72F56C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tcPr>
          <w:p w14:paraId="6EA362D4">
            <w:pPr>
              <w:pStyle w:val="85"/>
              <w:rPr>
                <w:color w:val="auto"/>
                <w:sz w:val="22"/>
                <w:szCs w:val="22"/>
              </w:rPr>
            </w:pPr>
            <w:r>
              <w:rPr>
                <w:color w:val="auto"/>
                <w:sz w:val="22"/>
                <w:szCs w:val="22"/>
              </w:rPr>
              <w:t>Урок 37</w:t>
            </w:r>
          </w:p>
        </w:tc>
        <w:tc>
          <w:tcPr>
            <w:tcW w:w="7937" w:type="dxa"/>
          </w:tcPr>
          <w:p w14:paraId="2056358F">
            <w:pPr>
              <w:pStyle w:val="85"/>
              <w:jc w:val="both"/>
              <w:rPr>
                <w:color w:val="auto"/>
                <w:sz w:val="22"/>
                <w:szCs w:val="22"/>
              </w:rPr>
            </w:pPr>
            <w:r>
              <w:rPr>
                <w:color w:val="auto"/>
                <w:sz w:val="22"/>
                <w:szCs w:val="22"/>
              </w:rPr>
              <w:t>Закрепление написания строчной и заглавной букв С, с</w:t>
            </w:r>
          </w:p>
        </w:tc>
      </w:tr>
      <w:tr w14:paraId="55A542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tcPr>
          <w:p w14:paraId="261E4474">
            <w:pPr>
              <w:pStyle w:val="85"/>
              <w:rPr>
                <w:color w:val="auto"/>
                <w:sz w:val="22"/>
                <w:szCs w:val="22"/>
              </w:rPr>
            </w:pPr>
            <w:r>
              <w:rPr>
                <w:color w:val="auto"/>
                <w:sz w:val="22"/>
                <w:szCs w:val="22"/>
              </w:rPr>
              <w:t>Урок 38</w:t>
            </w:r>
          </w:p>
        </w:tc>
        <w:tc>
          <w:tcPr>
            <w:tcW w:w="7937" w:type="dxa"/>
          </w:tcPr>
          <w:p w14:paraId="26F93648">
            <w:pPr>
              <w:pStyle w:val="85"/>
              <w:jc w:val="both"/>
              <w:rPr>
                <w:color w:val="auto"/>
                <w:sz w:val="22"/>
                <w:szCs w:val="22"/>
              </w:rPr>
            </w:pPr>
            <w:r>
              <w:rPr>
                <w:color w:val="auto"/>
                <w:sz w:val="22"/>
                <w:szCs w:val="22"/>
              </w:rPr>
              <w:t>Письмо строчной и заглавной букв К, к</w:t>
            </w:r>
          </w:p>
        </w:tc>
      </w:tr>
      <w:tr w14:paraId="6E2BAF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tcPr>
          <w:p w14:paraId="527D2BBE">
            <w:pPr>
              <w:pStyle w:val="85"/>
              <w:rPr>
                <w:color w:val="auto"/>
                <w:sz w:val="22"/>
                <w:szCs w:val="22"/>
              </w:rPr>
            </w:pPr>
            <w:r>
              <w:rPr>
                <w:color w:val="auto"/>
                <w:sz w:val="22"/>
                <w:szCs w:val="22"/>
              </w:rPr>
              <w:t>Урок 39</w:t>
            </w:r>
          </w:p>
        </w:tc>
        <w:tc>
          <w:tcPr>
            <w:tcW w:w="7937" w:type="dxa"/>
          </w:tcPr>
          <w:p w14:paraId="57C02C88">
            <w:pPr>
              <w:pStyle w:val="85"/>
              <w:jc w:val="both"/>
              <w:rPr>
                <w:color w:val="auto"/>
                <w:sz w:val="22"/>
                <w:szCs w:val="22"/>
              </w:rPr>
            </w:pPr>
            <w:r>
              <w:rPr>
                <w:color w:val="auto"/>
                <w:sz w:val="22"/>
                <w:szCs w:val="22"/>
              </w:rPr>
              <w:t>Закрепление написания строчной и заглавной букв К, к</w:t>
            </w:r>
          </w:p>
        </w:tc>
      </w:tr>
      <w:tr w14:paraId="1E809B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tcPr>
          <w:p w14:paraId="72C287F5">
            <w:pPr>
              <w:pStyle w:val="85"/>
              <w:rPr>
                <w:color w:val="auto"/>
                <w:sz w:val="22"/>
                <w:szCs w:val="22"/>
              </w:rPr>
            </w:pPr>
            <w:r>
              <w:rPr>
                <w:color w:val="auto"/>
                <w:sz w:val="22"/>
                <w:szCs w:val="22"/>
              </w:rPr>
              <w:t>Урок 40</w:t>
            </w:r>
          </w:p>
        </w:tc>
        <w:tc>
          <w:tcPr>
            <w:tcW w:w="7937" w:type="dxa"/>
          </w:tcPr>
          <w:p w14:paraId="77647859">
            <w:pPr>
              <w:pStyle w:val="85"/>
              <w:jc w:val="both"/>
              <w:rPr>
                <w:color w:val="auto"/>
                <w:sz w:val="22"/>
                <w:szCs w:val="22"/>
              </w:rPr>
            </w:pPr>
            <w:r>
              <w:rPr>
                <w:color w:val="auto"/>
                <w:sz w:val="22"/>
                <w:szCs w:val="22"/>
              </w:rPr>
              <w:t>Письмо строчной и заглавной букв Т, т</w:t>
            </w:r>
          </w:p>
        </w:tc>
      </w:tr>
      <w:tr w14:paraId="2D29B3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tcPr>
          <w:p w14:paraId="5074C061">
            <w:pPr>
              <w:pStyle w:val="85"/>
              <w:rPr>
                <w:color w:val="auto"/>
                <w:sz w:val="22"/>
                <w:szCs w:val="22"/>
              </w:rPr>
            </w:pPr>
            <w:r>
              <w:rPr>
                <w:color w:val="auto"/>
                <w:sz w:val="22"/>
                <w:szCs w:val="22"/>
              </w:rPr>
              <w:t>Урок 41</w:t>
            </w:r>
          </w:p>
        </w:tc>
        <w:tc>
          <w:tcPr>
            <w:tcW w:w="7937" w:type="dxa"/>
          </w:tcPr>
          <w:p w14:paraId="7924BDAC">
            <w:pPr>
              <w:pStyle w:val="85"/>
              <w:jc w:val="both"/>
              <w:rPr>
                <w:color w:val="auto"/>
                <w:sz w:val="22"/>
                <w:szCs w:val="22"/>
              </w:rPr>
            </w:pPr>
            <w:r>
              <w:rPr>
                <w:color w:val="auto"/>
                <w:sz w:val="22"/>
                <w:szCs w:val="22"/>
              </w:rPr>
              <w:t>Закрепление написания строчной и заглавной букв Т, т</w:t>
            </w:r>
          </w:p>
        </w:tc>
      </w:tr>
      <w:tr w14:paraId="27E01E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tcPr>
          <w:p w14:paraId="52A532DB">
            <w:pPr>
              <w:pStyle w:val="85"/>
              <w:rPr>
                <w:color w:val="auto"/>
                <w:sz w:val="22"/>
                <w:szCs w:val="22"/>
              </w:rPr>
            </w:pPr>
            <w:r>
              <w:rPr>
                <w:color w:val="auto"/>
                <w:sz w:val="22"/>
                <w:szCs w:val="22"/>
              </w:rPr>
              <w:t>Урок 42</w:t>
            </w:r>
          </w:p>
        </w:tc>
        <w:tc>
          <w:tcPr>
            <w:tcW w:w="7937" w:type="dxa"/>
          </w:tcPr>
          <w:p w14:paraId="022E3351">
            <w:pPr>
              <w:pStyle w:val="85"/>
              <w:jc w:val="both"/>
              <w:rPr>
                <w:color w:val="auto"/>
                <w:sz w:val="22"/>
                <w:szCs w:val="22"/>
              </w:rPr>
            </w:pPr>
            <w:r>
              <w:rPr>
                <w:color w:val="auto"/>
                <w:sz w:val="22"/>
                <w:szCs w:val="22"/>
              </w:rPr>
              <w:t>Письмо строчной и заглавной букв Л, л</w:t>
            </w:r>
          </w:p>
        </w:tc>
      </w:tr>
      <w:tr w14:paraId="396969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tcPr>
          <w:p w14:paraId="0BA946AA">
            <w:pPr>
              <w:pStyle w:val="85"/>
              <w:rPr>
                <w:color w:val="auto"/>
                <w:sz w:val="22"/>
                <w:szCs w:val="22"/>
              </w:rPr>
            </w:pPr>
            <w:r>
              <w:rPr>
                <w:color w:val="auto"/>
                <w:sz w:val="22"/>
                <w:szCs w:val="22"/>
              </w:rPr>
              <w:t>Урок 43</w:t>
            </w:r>
          </w:p>
        </w:tc>
        <w:tc>
          <w:tcPr>
            <w:tcW w:w="7937" w:type="dxa"/>
          </w:tcPr>
          <w:p w14:paraId="1A2B2171">
            <w:pPr>
              <w:pStyle w:val="85"/>
              <w:jc w:val="both"/>
              <w:rPr>
                <w:color w:val="auto"/>
                <w:sz w:val="22"/>
                <w:szCs w:val="22"/>
              </w:rPr>
            </w:pPr>
            <w:r>
              <w:rPr>
                <w:color w:val="auto"/>
                <w:sz w:val="22"/>
                <w:szCs w:val="22"/>
              </w:rPr>
              <w:t>Закрепление написания строчной и заглавной букв Л, л</w:t>
            </w:r>
          </w:p>
        </w:tc>
      </w:tr>
      <w:tr w14:paraId="0F7605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tcPr>
          <w:p w14:paraId="429A77CF">
            <w:pPr>
              <w:pStyle w:val="85"/>
              <w:rPr>
                <w:color w:val="auto"/>
                <w:sz w:val="22"/>
                <w:szCs w:val="22"/>
              </w:rPr>
            </w:pPr>
            <w:r>
              <w:rPr>
                <w:color w:val="auto"/>
                <w:sz w:val="22"/>
                <w:szCs w:val="22"/>
              </w:rPr>
              <w:t>Урок 44</w:t>
            </w:r>
          </w:p>
        </w:tc>
        <w:tc>
          <w:tcPr>
            <w:tcW w:w="7937" w:type="dxa"/>
          </w:tcPr>
          <w:p w14:paraId="32F1ACAC">
            <w:pPr>
              <w:pStyle w:val="85"/>
              <w:jc w:val="both"/>
              <w:rPr>
                <w:color w:val="auto"/>
                <w:sz w:val="22"/>
                <w:szCs w:val="22"/>
              </w:rPr>
            </w:pPr>
            <w:r>
              <w:rPr>
                <w:color w:val="auto"/>
                <w:sz w:val="22"/>
                <w:szCs w:val="22"/>
              </w:rPr>
              <w:t>Письмо строчной и заглавной букв Р, р</w:t>
            </w:r>
          </w:p>
        </w:tc>
      </w:tr>
      <w:tr w14:paraId="64E22C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10364501">
            <w:pPr>
              <w:pStyle w:val="85"/>
              <w:rPr>
                <w:color w:val="auto"/>
                <w:sz w:val="22"/>
                <w:szCs w:val="22"/>
              </w:rPr>
            </w:pPr>
            <w:r>
              <w:rPr>
                <w:color w:val="auto"/>
                <w:sz w:val="22"/>
                <w:szCs w:val="22"/>
              </w:rPr>
              <w:t>Урок 45</w:t>
            </w:r>
          </w:p>
        </w:tc>
        <w:tc>
          <w:tcPr>
            <w:tcW w:w="7937" w:type="dxa"/>
          </w:tcPr>
          <w:p w14:paraId="29A71ED9">
            <w:pPr>
              <w:pStyle w:val="85"/>
              <w:jc w:val="both"/>
              <w:rPr>
                <w:color w:val="auto"/>
                <w:sz w:val="22"/>
                <w:szCs w:val="22"/>
              </w:rPr>
            </w:pPr>
            <w:r>
              <w:rPr>
                <w:color w:val="auto"/>
                <w:sz w:val="22"/>
                <w:szCs w:val="22"/>
              </w:rPr>
              <w:t>Особенность согласных звуков, обозначаемых изучаемыми буквами: непарные звонкие</w:t>
            </w:r>
          </w:p>
        </w:tc>
      </w:tr>
      <w:tr w14:paraId="1A8382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tcPr>
          <w:p w14:paraId="76DB8475">
            <w:pPr>
              <w:pStyle w:val="85"/>
              <w:rPr>
                <w:color w:val="auto"/>
                <w:sz w:val="22"/>
                <w:szCs w:val="22"/>
              </w:rPr>
            </w:pPr>
            <w:r>
              <w:rPr>
                <w:color w:val="auto"/>
                <w:sz w:val="22"/>
                <w:szCs w:val="22"/>
              </w:rPr>
              <w:t>Урок 46</w:t>
            </w:r>
          </w:p>
        </w:tc>
        <w:tc>
          <w:tcPr>
            <w:tcW w:w="7937" w:type="dxa"/>
          </w:tcPr>
          <w:p w14:paraId="2572793C">
            <w:pPr>
              <w:pStyle w:val="85"/>
              <w:jc w:val="both"/>
              <w:rPr>
                <w:color w:val="auto"/>
                <w:sz w:val="22"/>
                <w:szCs w:val="22"/>
              </w:rPr>
            </w:pPr>
            <w:r>
              <w:rPr>
                <w:color w:val="auto"/>
                <w:sz w:val="22"/>
                <w:szCs w:val="22"/>
              </w:rPr>
              <w:t>Закрепление написания строчной и заглавной букв Р, р</w:t>
            </w:r>
          </w:p>
        </w:tc>
      </w:tr>
      <w:tr w14:paraId="683F1D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tcPr>
          <w:p w14:paraId="46F13569">
            <w:pPr>
              <w:pStyle w:val="85"/>
              <w:rPr>
                <w:color w:val="auto"/>
                <w:sz w:val="22"/>
                <w:szCs w:val="22"/>
              </w:rPr>
            </w:pPr>
            <w:r>
              <w:rPr>
                <w:color w:val="auto"/>
                <w:sz w:val="22"/>
                <w:szCs w:val="22"/>
              </w:rPr>
              <w:t>Урок 47</w:t>
            </w:r>
          </w:p>
        </w:tc>
        <w:tc>
          <w:tcPr>
            <w:tcW w:w="7937" w:type="dxa"/>
          </w:tcPr>
          <w:p w14:paraId="0F0C1432">
            <w:pPr>
              <w:pStyle w:val="85"/>
              <w:jc w:val="both"/>
              <w:rPr>
                <w:color w:val="auto"/>
                <w:sz w:val="22"/>
                <w:szCs w:val="22"/>
              </w:rPr>
            </w:pPr>
            <w:r>
              <w:rPr>
                <w:color w:val="auto"/>
                <w:sz w:val="22"/>
                <w:szCs w:val="22"/>
              </w:rPr>
              <w:t>Письмо строчной и заглавной букв В, в</w:t>
            </w:r>
          </w:p>
        </w:tc>
      </w:tr>
      <w:tr w14:paraId="598E45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tcPr>
          <w:p w14:paraId="303D1085">
            <w:pPr>
              <w:pStyle w:val="85"/>
              <w:rPr>
                <w:color w:val="auto"/>
                <w:sz w:val="22"/>
                <w:szCs w:val="22"/>
              </w:rPr>
            </w:pPr>
            <w:r>
              <w:rPr>
                <w:color w:val="auto"/>
                <w:sz w:val="22"/>
                <w:szCs w:val="22"/>
              </w:rPr>
              <w:t>Урок 48</w:t>
            </w:r>
          </w:p>
        </w:tc>
        <w:tc>
          <w:tcPr>
            <w:tcW w:w="7937" w:type="dxa"/>
          </w:tcPr>
          <w:p w14:paraId="6A3A0624">
            <w:pPr>
              <w:pStyle w:val="85"/>
              <w:jc w:val="both"/>
              <w:rPr>
                <w:color w:val="auto"/>
                <w:sz w:val="22"/>
                <w:szCs w:val="22"/>
              </w:rPr>
            </w:pPr>
            <w:r>
              <w:rPr>
                <w:color w:val="auto"/>
                <w:sz w:val="22"/>
                <w:szCs w:val="22"/>
              </w:rPr>
              <w:t>Закрепление написания строчной и заглавной букв В, в</w:t>
            </w:r>
          </w:p>
        </w:tc>
      </w:tr>
      <w:tr w14:paraId="51A9C5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tcPr>
          <w:p w14:paraId="24BB841E">
            <w:pPr>
              <w:pStyle w:val="85"/>
              <w:rPr>
                <w:color w:val="auto"/>
                <w:sz w:val="22"/>
                <w:szCs w:val="22"/>
              </w:rPr>
            </w:pPr>
            <w:r>
              <w:rPr>
                <w:color w:val="auto"/>
                <w:sz w:val="22"/>
                <w:szCs w:val="22"/>
              </w:rPr>
              <w:t>Урок 49</w:t>
            </w:r>
          </w:p>
        </w:tc>
        <w:tc>
          <w:tcPr>
            <w:tcW w:w="7937" w:type="dxa"/>
          </w:tcPr>
          <w:p w14:paraId="3BB595BF">
            <w:pPr>
              <w:pStyle w:val="85"/>
              <w:jc w:val="both"/>
              <w:rPr>
                <w:color w:val="auto"/>
                <w:sz w:val="22"/>
                <w:szCs w:val="22"/>
              </w:rPr>
            </w:pPr>
            <w:r>
              <w:rPr>
                <w:color w:val="auto"/>
                <w:sz w:val="22"/>
                <w:szCs w:val="22"/>
              </w:rPr>
              <w:t>Письмо строчной и заглавной букв Е, е</w:t>
            </w:r>
          </w:p>
        </w:tc>
      </w:tr>
      <w:tr w14:paraId="39E465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tcPr>
          <w:p w14:paraId="2212361B">
            <w:pPr>
              <w:pStyle w:val="85"/>
              <w:rPr>
                <w:color w:val="auto"/>
                <w:sz w:val="22"/>
                <w:szCs w:val="22"/>
              </w:rPr>
            </w:pPr>
            <w:r>
              <w:rPr>
                <w:color w:val="auto"/>
                <w:sz w:val="22"/>
                <w:szCs w:val="22"/>
              </w:rPr>
              <w:t>Урок 50</w:t>
            </w:r>
          </w:p>
        </w:tc>
        <w:tc>
          <w:tcPr>
            <w:tcW w:w="7937" w:type="dxa"/>
          </w:tcPr>
          <w:p w14:paraId="2E08A2C9">
            <w:pPr>
              <w:pStyle w:val="85"/>
              <w:jc w:val="both"/>
              <w:rPr>
                <w:color w:val="auto"/>
                <w:sz w:val="22"/>
                <w:szCs w:val="22"/>
              </w:rPr>
            </w:pPr>
            <w:r>
              <w:rPr>
                <w:color w:val="auto"/>
                <w:sz w:val="22"/>
                <w:szCs w:val="22"/>
              </w:rPr>
              <w:t>Звуковой анализ слов, работа со звуковыми моделями слов</w:t>
            </w:r>
          </w:p>
        </w:tc>
      </w:tr>
      <w:tr w14:paraId="46FBE5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tcPr>
          <w:p w14:paraId="4EC71235">
            <w:pPr>
              <w:pStyle w:val="85"/>
              <w:rPr>
                <w:color w:val="auto"/>
                <w:sz w:val="22"/>
                <w:szCs w:val="22"/>
              </w:rPr>
            </w:pPr>
            <w:r>
              <w:rPr>
                <w:color w:val="auto"/>
                <w:sz w:val="22"/>
                <w:szCs w:val="22"/>
              </w:rPr>
              <w:t>Урок 51</w:t>
            </w:r>
          </w:p>
        </w:tc>
        <w:tc>
          <w:tcPr>
            <w:tcW w:w="7937" w:type="dxa"/>
          </w:tcPr>
          <w:p w14:paraId="6F5ABB22">
            <w:pPr>
              <w:pStyle w:val="85"/>
              <w:jc w:val="both"/>
              <w:rPr>
                <w:color w:val="auto"/>
                <w:sz w:val="22"/>
                <w:szCs w:val="22"/>
              </w:rPr>
            </w:pPr>
            <w:r>
              <w:rPr>
                <w:color w:val="auto"/>
                <w:sz w:val="22"/>
                <w:szCs w:val="22"/>
              </w:rPr>
              <w:t>Закрепление написания строчной и заглавной букв Е, е</w:t>
            </w:r>
          </w:p>
        </w:tc>
      </w:tr>
      <w:tr w14:paraId="5973FC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tcPr>
          <w:p w14:paraId="65AAAE91">
            <w:pPr>
              <w:pStyle w:val="85"/>
              <w:rPr>
                <w:color w:val="auto"/>
                <w:sz w:val="22"/>
                <w:szCs w:val="22"/>
              </w:rPr>
            </w:pPr>
            <w:r>
              <w:rPr>
                <w:color w:val="auto"/>
                <w:sz w:val="22"/>
                <w:szCs w:val="22"/>
              </w:rPr>
              <w:t>Урок 52</w:t>
            </w:r>
          </w:p>
        </w:tc>
        <w:tc>
          <w:tcPr>
            <w:tcW w:w="7937" w:type="dxa"/>
          </w:tcPr>
          <w:p w14:paraId="39515768">
            <w:pPr>
              <w:pStyle w:val="85"/>
              <w:jc w:val="both"/>
              <w:rPr>
                <w:color w:val="auto"/>
                <w:sz w:val="22"/>
                <w:szCs w:val="22"/>
              </w:rPr>
            </w:pPr>
            <w:r>
              <w:rPr>
                <w:color w:val="auto"/>
                <w:sz w:val="22"/>
                <w:szCs w:val="22"/>
              </w:rPr>
              <w:t>Письмо строчной и заглавной букв П, п</w:t>
            </w:r>
          </w:p>
        </w:tc>
      </w:tr>
      <w:tr w14:paraId="0FA1E0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tcPr>
          <w:p w14:paraId="21FECD9B">
            <w:pPr>
              <w:pStyle w:val="85"/>
              <w:rPr>
                <w:color w:val="auto"/>
                <w:sz w:val="22"/>
                <w:szCs w:val="22"/>
              </w:rPr>
            </w:pPr>
            <w:r>
              <w:rPr>
                <w:color w:val="auto"/>
                <w:sz w:val="22"/>
                <w:szCs w:val="22"/>
              </w:rPr>
              <w:t>Урок 53</w:t>
            </w:r>
          </w:p>
        </w:tc>
        <w:tc>
          <w:tcPr>
            <w:tcW w:w="7937" w:type="dxa"/>
          </w:tcPr>
          <w:p w14:paraId="3B000B3D">
            <w:pPr>
              <w:pStyle w:val="85"/>
              <w:jc w:val="both"/>
              <w:rPr>
                <w:color w:val="auto"/>
                <w:sz w:val="22"/>
                <w:szCs w:val="22"/>
              </w:rPr>
            </w:pPr>
            <w:r>
              <w:rPr>
                <w:color w:val="auto"/>
                <w:sz w:val="22"/>
                <w:szCs w:val="22"/>
              </w:rPr>
              <w:t>Закрепление написания строчной и заглавной букв П, п</w:t>
            </w:r>
          </w:p>
        </w:tc>
      </w:tr>
      <w:tr w14:paraId="6FB896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tcPr>
          <w:p w14:paraId="66E8DF7D">
            <w:pPr>
              <w:pStyle w:val="85"/>
              <w:rPr>
                <w:color w:val="auto"/>
                <w:sz w:val="22"/>
                <w:szCs w:val="22"/>
              </w:rPr>
            </w:pPr>
            <w:r>
              <w:rPr>
                <w:color w:val="auto"/>
                <w:sz w:val="22"/>
                <w:szCs w:val="22"/>
              </w:rPr>
              <w:t>Урок 54</w:t>
            </w:r>
          </w:p>
        </w:tc>
        <w:tc>
          <w:tcPr>
            <w:tcW w:w="7937" w:type="dxa"/>
          </w:tcPr>
          <w:p w14:paraId="76A46546">
            <w:pPr>
              <w:pStyle w:val="85"/>
              <w:jc w:val="both"/>
              <w:rPr>
                <w:color w:val="auto"/>
                <w:sz w:val="22"/>
                <w:szCs w:val="22"/>
              </w:rPr>
            </w:pPr>
            <w:r>
              <w:rPr>
                <w:color w:val="auto"/>
                <w:sz w:val="22"/>
                <w:szCs w:val="22"/>
              </w:rPr>
              <w:t>Письмо строчной и заглавной букв М, м</w:t>
            </w:r>
          </w:p>
        </w:tc>
      </w:tr>
      <w:tr w14:paraId="1FF916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tcPr>
          <w:p w14:paraId="692B85F0">
            <w:pPr>
              <w:pStyle w:val="85"/>
              <w:rPr>
                <w:color w:val="auto"/>
                <w:sz w:val="22"/>
                <w:szCs w:val="22"/>
              </w:rPr>
            </w:pPr>
            <w:r>
              <w:rPr>
                <w:color w:val="auto"/>
                <w:sz w:val="22"/>
                <w:szCs w:val="22"/>
              </w:rPr>
              <w:t>Урок 55</w:t>
            </w:r>
          </w:p>
        </w:tc>
        <w:tc>
          <w:tcPr>
            <w:tcW w:w="7937" w:type="dxa"/>
          </w:tcPr>
          <w:p w14:paraId="5E4C7D31">
            <w:pPr>
              <w:pStyle w:val="85"/>
              <w:jc w:val="both"/>
              <w:rPr>
                <w:color w:val="auto"/>
                <w:sz w:val="22"/>
                <w:szCs w:val="22"/>
              </w:rPr>
            </w:pPr>
            <w:r>
              <w:rPr>
                <w:color w:val="auto"/>
                <w:sz w:val="22"/>
                <w:szCs w:val="22"/>
              </w:rPr>
              <w:t>Различаем звонкие и глухие согласные</w:t>
            </w:r>
          </w:p>
        </w:tc>
      </w:tr>
      <w:tr w14:paraId="7F453B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tcPr>
          <w:p w14:paraId="00603C85">
            <w:pPr>
              <w:pStyle w:val="85"/>
              <w:rPr>
                <w:color w:val="auto"/>
                <w:sz w:val="22"/>
                <w:szCs w:val="22"/>
              </w:rPr>
            </w:pPr>
            <w:r>
              <w:rPr>
                <w:color w:val="auto"/>
                <w:sz w:val="22"/>
                <w:szCs w:val="22"/>
              </w:rPr>
              <w:t>Урок 56</w:t>
            </w:r>
          </w:p>
        </w:tc>
        <w:tc>
          <w:tcPr>
            <w:tcW w:w="7937" w:type="dxa"/>
          </w:tcPr>
          <w:p w14:paraId="612F574C">
            <w:pPr>
              <w:pStyle w:val="85"/>
              <w:jc w:val="both"/>
              <w:rPr>
                <w:color w:val="auto"/>
                <w:sz w:val="22"/>
                <w:szCs w:val="22"/>
              </w:rPr>
            </w:pPr>
            <w:r>
              <w:rPr>
                <w:color w:val="auto"/>
                <w:sz w:val="22"/>
                <w:szCs w:val="22"/>
              </w:rPr>
              <w:t>Закрепление написания строчной и заглавной букв М, м</w:t>
            </w:r>
          </w:p>
        </w:tc>
      </w:tr>
      <w:tr w14:paraId="77DF90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tcPr>
          <w:p w14:paraId="6403F878">
            <w:pPr>
              <w:pStyle w:val="85"/>
              <w:rPr>
                <w:color w:val="auto"/>
                <w:sz w:val="22"/>
                <w:szCs w:val="22"/>
              </w:rPr>
            </w:pPr>
            <w:r>
              <w:rPr>
                <w:color w:val="auto"/>
                <w:sz w:val="22"/>
                <w:szCs w:val="22"/>
              </w:rPr>
              <w:t>Урок 57</w:t>
            </w:r>
          </w:p>
        </w:tc>
        <w:tc>
          <w:tcPr>
            <w:tcW w:w="7937" w:type="dxa"/>
          </w:tcPr>
          <w:p w14:paraId="1AFA5F8A">
            <w:pPr>
              <w:pStyle w:val="85"/>
              <w:jc w:val="both"/>
              <w:rPr>
                <w:color w:val="auto"/>
                <w:sz w:val="22"/>
                <w:szCs w:val="22"/>
              </w:rPr>
            </w:pPr>
            <w:r>
              <w:rPr>
                <w:color w:val="auto"/>
                <w:sz w:val="22"/>
                <w:szCs w:val="22"/>
              </w:rPr>
              <w:t>Письмо строчной и заглавной букв З, з</w:t>
            </w:r>
          </w:p>
        </w:tc>
      </w:tr>
      <w:tr w14:paraId="219E37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tcPr>
          <w:p w14:paraId="48D20D7D">
            <w:pPr>
              <w:pStyle w:val="85"/>
              <w:rPr>
                <w:color w:val="auto"/>
                <w:sz w:val="22"/>
                <w:szCs w:val="22"/>
              </w:rPr>
            </w:pPr>
            <w:r>
              <w:rPr>
                <w:color w:val="auto"/>
                <w:sz w:val="22"/>
                <w:szCs w:val="22"/>
              </w:rPr>
              <w:t>Урок 58</w:t>
            </w:r>
          </w:p>
        </w:tc>
        <w:tc>
          <w:tcPr>
            <w:tcW w:w="7937" w:type="dxa"/>
          </w:tcPr>
          <w:p w14:paraId="083A6971">
            <w:pPr>
              <w:pStyle w:val="85"/>
              <w:jc w:val="both"/>
              <w:rPr>
                <w:color w:val="auto"/>
                <w:sz w:val="22"/>
                <w:szCs w:val="22"/>
              </w:rPr>
            </w:pPr>
            <w:r>
              <w:rPr>
                <w:color w:val="auto"/>
                <w:sz w:val="22"/>
                <w:szCs w:val="22"/>
              </w:rPr>
              <w:t>Закрепление написания строчной и заглавной букв З, з</w:t>
            </w:r>
          </w:p>
        </w:tc>
      </w:tr>
      <w:tr w14:paraId="7F9867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tcPr>
          <w:p w14:paraId="53AD58DD">
            <w:pPr>
              <w:pStyle w:val="85"/>
              <w:rPr>
                <w:color w:val="auto"/>
                <w:sz w:val="22"/>
                <w:szCs w:val="22"/>
              </w:rPr>
            </w:pPr>
            <w:r>
              <w:rPr>
                <w:color w:val="auto"/>
                <w:sz w:val="22"/>
                <w:szCs w:val="22"/>
              </w:rPr>
              <w:t>Урок 59</w:t>
            </w:r>
          </w:p>
        </w:tc>
        <w:tc>
          <w:tcPr>
            <w:tcW w:w="7937" w:type="dxa"/>
          </w:tcPr>
          <w:p w14:paraId="29708A95">
            <w:pPr>
              <w:pStyle w:val="85"/>
              <w:jc w:val="both"/>
              <w:rPr>
                <w:color w:val="auto"/>
                <w:sz w:val="22"/>
                <w:szCs w:val="22"/>
              </w:rPr>
            </w:pPr>
            <w:r>
              <w:rPr>
                <w:color w:val="auto"/>
                <w:sz w:val="22"/>
                <w:szCs w:val="22"/>
              </w:rPr>
              <w:t>Письмо строчной и заглавной букв Б, б</w:t>
            </w:r>
          </w:p>
        </w:tc>
      </w:tr>
      <w:tr w14:paraId="52E2D8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tcPr>
          <w:p w14:paraId="47BDF612">
            <w:pPr>
              <w:pStyle w:val="85"/>
              <w:rPr>
                <w:color w:val="auto"/>
                <w:sz w:val="22"/>
                <w:szCs w:val="22"/>
              </w:rPr>
            </w:pPr>
            <w:r>
              <w:rPr>
                <w:color w:val="auto"/>
                <w:sz w:val="22"/>
                <w:szCs w:val="22"/>
              </w:rPr>
              <w:t>Урок 60</w:t>
            </w:r>
          </w:p>
        </w:tc>
        <w:tc>
          <w:tcPr>
            <w:tcW w:w="7937" w:type="dxa"/>
          </w:tcPr>
          <w:p w14:paraId="47E823D1">
            <w:pPr>
              <w:pStyle w:val="85"/>
              <w:jc w:val="both"/>
              <w:rPr>
                <w:color w:val="auto"/>
                <w:sz w:val="22"/>
                <w:szCs w:val="22"/>
              </w:rPr>
            </w:pPr>
            <w:r>
              <w:rPr>
                <w:color w:val="auto"/>
                <w:sz w:val="22"/>
                <w:szCs w:val="22"/>
              </w:rPr>
              <w:t>Звуковой анализ слов, работа со звуковыми моделями слов</w:t>
            </w:r>
          </w:p>
        </w:tc>
      </w:tr>
      <w:tr w14:paraId="6B7793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tcPr>
          <w:p w14:paraId="53AA2358">
            <w:pPr>
              <w:pStyle w:val="85"/>
              <w:rPr>
                <w:color w:val="auto"/>
                <w:sz w:val="22"/>
                <w:szCs w:val="22"/>
              </w:rPr>
            </w:pPr>
            <w:r>
              <w:rPr>
                <w:color w:val="auto"/>
                <w:sz w:val="22"/>
                <w:szCs w:val="22"/>
              </w:rPr>
              <w:t>Урок 61</w:t>
            </w:r>
          </w:p>
        </w:tc>
        <w:tc>
          <w:tcPr>
            <w:tcW w:w="7937" w:type="dxa"/>
          </w:tcPr>
          <w:p w14:paraId="7E4A7376">
            <w:pPr>
              <w:pStyle w:val="85"/>
              <w:jc w:val="both"/>
              <w:rPr>
                <w:color w:val="auto"/>
                <w:sz w:val="22"/>
                <w:szCs w:val="22"/>
              </w:rPr>
            </w:pPr>
            <w:r>
              <w:rPr>
                <w:color w:val="auto"/>
                <w:sz w:val="22"/>
                <w:szCs w:val="22"/>
              </w:rPr>
              <w:t>Закрепление написания строчной и заглавной букв Б, б</w:t>
            </w:r>
          </w:p>
        </w:tc>
      </w:tr>
      <w:tr w14:paraId="6AF817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tcPr>
          <w:p w14:paraId="2BF761C0">
            <w:pPr>
              <w:pStyle w:val="85"/>
              <w:rPr>
                <w:color w:val="auto"/>
                <w:sz w:val="22"/>
                <w:szCs w:val="22"/>
              </w:rPr>
            </w:pPr>
            <w:r>
              <w:rPr>
                <w:color w:val="auto"/>
                <w:sz w:val="22"/>
                <w:szCs w:val="22"/>
              </w:rPr>
              <w:t>Урок 62</w:t>
            </w:r>
          </w:p>
        </w:tc>
        <w:tc>
          <w:tcPr>
            <w:tcW w:w="7937" w:type="dxa"/>
          </w:tcPr>
          <w:p w14:paraId="0FD36401">
            <w:pPr>
              <w:pStyle w:val="85"/>
              <w:jc w:val="both"/>
              <w:rPr>
                <w:color w:val="auto"/>
                <w:sz w:val="22"/>
                <w:szCs w:val="22"/>
              </w:rPr>
            </w:pPr>
            <w:r>
              <w:rPr>
                <w:color w:val="auto"/>
                <w:sz w:val="22"/>
                <w:szCs w:val="22"/>
              </w:rPr>
              <w:t>Письмо строчной и заглавной букв Д, д</w:t>
            </w:r>
          </w:p>
        </w:tc>
      </w:tr>
      <w:tr w14:paraId="6C245B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tcPr>
          <w:p w14:paraId="656AA305">
            <w:pPr>
              <w:pStyle w:val="85"/>
              <w:rPr>
                <w:color w:val="auto"/>
                <w:sz w:val="22"/>
                <w:szCs w:val="22"/>
              </w:rPr>
            </w:pPr>
            <w:r>
              <w:rPr>
                <w:color w:val="auto"/>
                <w:sz w:val="22"/>
                <w:szCs w:val="22"/>
              </w:rPr>
              <w:t>Урок 63</w:t>
            </w:r>
          </w:p>
        </w:tc>
        <w:tc>
          <w:tcPr>
            <w:tcW w:w="7937" w:type="dxa"/>
          </w:tcPr>
          <w:p w14:paraId="2C05FAC7">
            <w:pPr>
              <w:pStyle w:val="85"/>
              <w:jc w:val="both"/>
              <w:rPr>
                <w:color w:val="auto"/>
                <w:sz w:val="22"/>
                <w:szCs w:val="22"/>
              </w:rPr>
            </w:pPr>
            <w:r>
              <w:rPr>
                <w:color w:val="auto"/>
                <w:sz w:val="22"/>
                <w:szCs w:val="22"/>
              </w:rPr>
              <w:t>Закрепление написания строчной и заглавной букв Д, д</w:t>
            </w:r>
          </w:p>
        </w:tc>
      </w:tr>
      <w:tr w14:paraId="2DA814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4DD24045">
            <w:pPr>
              <w:pStyle w:val="85"/>
              <w:rPr>
                <w:color w:val="auto"/>
                <w:sz w:val="22"/>
                <w:szCs w:val="22"/>
              </w:rPr>
            </w:pPr>
            <w:r>
              <w:rPr>
                <w:color w:val="auto"/>
                <w:sz w:val="22"/>
                <w:szCs w:val="22"/>
              </w:rPr>
              <w:t>Урок 64</w:t>
            </w:r>
          </w:p>
        </w:tc>
        <w:tc>
          <w:tcPr>
            <w:tcW w:w="7937" w:type="dxa"/>
          </w:tcPr>
          <w:p w14:paraId="1BAD38D3">
            <w:pPr>
              <w:pStyle w:val="85"/>
              <w:jc w:val="both"/>
              <w:rPr>
                <w:color w:val="auto"/>
                <w:sz w:val="22"/>
                <w:szCs w:val="22"/>
              </w:rPr>
            </w:pPr>
            <w:r>
              <w:rPr>
                <w:color w:val="auto"/>
                <w:sz w:val="22"/>
                <w:szCs w:val="22"/>
              </w:rPr>
              <w:t>Особенность согласных звуков, обозначаемых изучаемыми буквами: парные по звонкости-глухости согласные</w:t>
            </w:r>
          </w:p>
        </w:tc>
      </w:tr>
      <w:tr w14:paraId="3AC70D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tcPr>
          <w:p w14:paraId="0D88A12B">
            <w:pPr>
              <w:pStyle w:val="85"/>
              <w:rPr>
                <w:color w:val="auto"/>
                <w:sz w:val="22"/>
                <w:szCs w:val="22"/>
              </w:rPr>
            </w:pPr>
            <w:r>
              <w:rPr>
                <w:color w:val="auto"/>
                <w:sz w:val="22"/>
                <w:szCs w:val="22"/>
              </w:rPr>
              <w:t>Урок 65</w:t>
            </w:r>
          </w:p>
        </w:tc>
        <w:tc>
          <w:tcPr>
            <w:tcW w:w="7937" w:type="dxa"/>
          </w:tcPr>
          <w:p w14:paraId="163037D8">
            <w:pPr>
              <w:pStyle w:val="85"/>
              <w:jc w:val="both"/>
              <w:rPr>
                <w:color w:val="auto"/>
                <w:sz w:val="22"/>
                <w:szCs w:val="22"/>
              </w:rPr>
            </w:pPr>
            <w:r>
              <w:rPr>
                <w:color w:val="auto"/>
                <w:sz w:val="22"/>
                <w:szCs w:val="22"/>
              </w:rPr>
              <w:t>Письмо строчной и заглавной букв Я, я</w:t>
            </w:r>
          </w:p>
        </w:tc>
      </w:tr>
      <w:tr w14:paraId="5D99DD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tcPr>
          <w:p w14:paraId="0579F405">
            <w:pPr>
              <w:pStyle w:val="85"/>
              <w:rPr>
                <w:color w:val="auto"/>
                <w:sz w:val="22"/>
                <w:szCs w:val="22"/>
              </w:rPr>
            </w:pPr>
            <w:r>
              <w:rPr>
                <w:color w:val="auto"/>
                <w:sz w:val="22"/>
                <w:szCs w:val="22"/>
              </w:rPr>
              <w:t>Урок 66</w:t>
            </w:r>
          </w:p>
        </w:tc>
        <w:tc>
          <w:tcPr>
            <w:tcW w:w="7937" w:type="dxa"/>
          </w:tcPr>
          <w:p w14:paraId="3EC95035">
            <w:pPr>
              <w:pStyle w:val="85"/>
              <w:jc w:val="both"/>
              <w:rPr>
                <w:color w:val="auto"/>
                <w:sz w:val="22"/>
                <w:szCs w:val="22"/>
              </w:rPr>
            </w:pPr>
            <w:r>
              <w:rPr>
                <w:color w:val="auto"/>
                <w:sz w:val="22"/>
                <w:szCs w:val="22"/>
              </w:rPr>
              <w:t>Закрепление написания строчной и заглавной Я, я</w:t>
            </w:r>
          </w:p>
        </w:tc>
      </w:tr>
      <w:tr w14:paraId="2EEB89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tcPr>
          <w:p w14:paraId="0D9870A4">
            <w:pPr>
              <w:pStyle w:val="85"/>
              <w:rPr>
                <w:color w:val="auto"/>
                <w:sz w:val="22"/>
                <w:szCs w:val="22"/>
              </w:rPr>
            </w:pPr>
            <w:r>
              <w:rPr>
                <w:color w:val="auto"/>
                <w:sz w:val="22"/>
                <w:szCs w:val="22"/>
              </w:rPr>
              <w:t>Урок 67</w:t>
            </w:r>
          </w:p>
        </w:tc>
        <w:tc>
          <w:tcPr>
            <w:tcW w:w="7937" w:type="dxa"/>
          </w:tcPr>
          <w:p w14:paraId="557DD3CC">
            <w:pPr>
              <w:pStyle w:val="85"/>
              <w:jc w:val="both"/>
              <w:rPr>
                <w:color w:val="auto"/>
                <w:sz w:val="22"/>
                <w:szCs w:val="22"/>
              </w:rPr>
            </w:pPr>
            <w:r>
              <w:rPr>
                <w:color w:val="auto"/>
                <w:sz w:val="22"/>
                <w:szCs w:val="22"/>
              </w:rPr>
              <w:t>Письмо строчной и заглавной букв Г, г</w:t>
            </w:r>
          </w:p>
        </w:tc>
      </w:tr>
      <w:tr w14:paraId="095CA6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tcPr>
          <w:p w14:paraId="0EB7AB43">
            <w:pPr>
              <w:pStyle w:val="85"/>
              <w:rPr>
                <w:color w:val="auto"/>
                <w:sz w:val="22"/>
                <w:szCs w:val="22"/>
              </w:rPr>
            </w:pPr>
            <w:r>
              <w:rPr>
                <w:color w:val="auto"/>
                <w:sz w:val="22"/>
                <w:szCs w:val="22"/>
              </w:rPr>
              <w:t>Урок 68</w:t>
            </w:r>
          </w:p>
        </w:tc>
        <w:tc>
          <w:tcPr>
            <w:tcW w:w="7937" w:type="dxa"/>
          </w:tcPr>
          <w:p w14:paraId="7F1918EB">
            <w:pPr>
              <w:pStyle w:val="85"/>
              <w:jc w:val="both"/>
              <w:rPr>
                <w:color w:val="auto"/>
                <w:sz w:val="22"/>
                <w:szCs w:val="22"/>
              </w:rPr>
            </w:pPr>
            <w:r>
              <w:rPr>
                <w:color w:val="auto"/>
                <w:sz w:val="22"/>
                <w:szCs w:val="22"/>
              </w:rPr>
              <w:t>Закрепление написания строчной и заглавной букв Г, г</w:t>
            </w:r>
          </w:p>
        </w:tc>
      </w:tr>
      <w:tr w14:paraId="3C1171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tcPr>
          <w:p w14:paraId="36FBA37B">
            <w:pPr>
              <w:pStyle w:val="85"/>
              <w:rPr>
                <w:color w:val="auto"/>
                <w:sz w:val="22"/>
                <w:szCs w:val="22"/>
              </w:rPr>
            </w:pPr>
            <w:r>
              <w:rPr>
                <w:color w:val="auto"/>
                <w:sz w:val="22"/>
                <w:szCs w:val="22"/>
              </w:rPr>
              <w:t>Урок 69</w:t>
            </w:r>
          </w:p>
        </w:tc>
        <w:tc>
          <w:tcPr>
            <w:tcW w:w="7937" w:type="dxa"/>
          </w:tcPr>
          <w:p w14:paraId="5483A705">
            <w:pPr>
              <w:pStyle w:val="85"/>
              <w:jc w:val="both"/>
              <w:rPr>
                <w:color w:val="auto"/>
                <w:sz w:val="22"/>
                <w:szCs w:val="22"/>
              </w:rPr>
            </w:pPr>
            <w:r>
              <w:rPr>
                <w:color w:val="auto"/>
                <w:sz w:val="22"/>
                <w:szCs w:val="22"/>
              </w:rPr>
              <w:t>Письмо строчной и заглавной букв Ч, ч</w:t>
            </w:r>
          </w:p>
        </w:tc>
      </w:tr>
      <w:tr w14:paraId="09B366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tcPr>
          <w:p w14:paraId="711B318D">
            <w:pPr>
              <w:pStyle w:val="85"/>
              <w:rPr>
                <w:color w:val="auto"/>
                <w:sz w:val="22"/>
                <w:szCs w:val="22"/>
              </w:rPr>
            </w:pPr>
            <w:r>
              <w:rPr>
                <w:color w:val="auto"/>
                <w:sz w:val="22"/>
                <w:szCs w:val="22"/>
              </w:rPr>
              <w:t>Урок 70</w:t>
            </w:r>
          </w:p>
        </w:tc>
        <w:tc>
          <w:tcPr>
            <w:tcW w:w="7937" w:type="dxa"/>
          </w:tcPr>
          <w:p w14:paraId="613EEA6F">
            <w:pPr>
              <w:pStyle w:val="85"/>
              <w:jc w:val="both"/>
              <w:rPr>
                <w:color w:val="auto"/>
                <w:sz w:val="22"/>
                <w:szCs w:val="22"/>
              </w:rPr>
            </w:pPr>
            <w:r>
              <w:rPr>
                <w:color w:val="auto"/>
                <w:sz w:val="22"/>
                <w:szCs w:val="22"/>
              </w:rPr>
              <w:t>Твердые и мягкие согласные звуки</w:t>
            </w:r>
          </w:p>
        </w:tc>
      </w:tr>
      <w:tr w14:paraId="3CAB22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tcPr>
          <w:p w14:paraId="34379D17">
            <w:pPr>
              <w:pStyle w:val="85"/>
              <w:rPr>
                <w:color w:val="auto"/>
                <w:sz w:val="22"/>
                <w:szCs w:val="22"/>
              </w:rPr>
            </w:pPr>
            <w:r>
              <w:rPr>
                <w:color w:val="auto"/>
                <w:sz w:val="22"/>
                <w:szCs w:val="22"/>
              </w:rPr>
              <w:t>Урок 71</w:t>
            </w:r>
          </w:p>
        </w:tc>
        <w:tc>
          <w:tcPr>
            <w:tcW w:w="7937" w:type="dxa"/>
          </w:tcPr>
          <w:p w14:paraId="3C09C31A">
            <w:pPr>
              <w:pStyle w:val="85"/>
              <w:jc w:val="both"/>
              <w:rPr>
                <w:color w:val="auto"/>
                <w:sz w:val="22"/>
                <w:szCs w:val="22"/>
              </w:rPr>
            </w:pPr>
            <w:r>
              <w:rPr>
                <w:color w:val="auto"/>
                <w:sz w:val="22"/>
                <w:szCs w:val="22"/>
              </w:rPr>
              <w:t>Закрепление написания строчной и заглавной букв Ч, ч</w:t>
            </w:r>
          </w:p>
        </w:tc>
      </w:tr>
      <w:tr w14:paraId="370042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tcPr>
          <w:p w14:paraId="2AEA855E">
            <w:pPr>
              <w:pStyle w:val="85"/>
              <w:rPr>
                <w:color w:val="auto"/>
                <w:sz w:val="22"/>
                <w:szCs w:val="22"/>
              </w:rPr>
            </w:pPr>
            <w:r>
              <w:rPr>
                <w:color w:val="auto"/>
                <w:sz w:val="22"/>
                <w:szCs w:val="22"/>
              </w:rPr>
              <w:t>Урок 72</w:t>
            </w:r>
          </w:p>
        </w:tc>
        <w:tc>
          <w:tcPr>
            <w:tcW w:w="7937" w:type="dxa"/>
          </w:tcPr>
          <w:p w14:paraId="53358F5A">
            <w:pPr>
              <w:pStyle w:val="85"/>
              <w:jc w:val="both"/>
              <w:rPr>
                <w:color w:val="auto"/>
                <w:sz w:val="22"/>
                <w:szCs w:val="22"/>
              </w:rPr>
            </w:pPr>
            <w:r>
              <w:rPr>
                <w:color w:val="auto"/>
                <w:sz w:val="22"/>
                <w:szCs w:val="22"/>
              </w:rPr>
              <w:t>Письмо строчной буквы ь</w:t>
            </w:r>
          </w:p>
        </w:tc>
      </w:tr>
      <w:tr w14:paraId="12C20A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34BEE760">
            <w:pPr>
              <w:pStyle w:val="85"/>
              <w:rPr>
                <w:color w:val="auto"/>
                <w:sz w:val="22"/>
                <w:szCs w:val="22"/>
              </w:rPr>
            </w:pPr>
            <w:r>
              <w:rPr>
                <w:color w:val="auto"/>
                <w:sz w:val="22"/>
                <w:szCs w:val="22"/>
              </w:rPr>
              <w:t>Урок 73</w:t>
            </w:r>
          </w:p>
        </w:tc>
        <w:tc>
          <w:tcPr>
            <w:tcW w:w="7937" w:type="dxa"/>
          </w:tcPr>
          <w:p w14:paraId="1B81E653">
            <w:pPr>
              <w:pStyle w:val="85"/>
              <w:jc w:val="both"/>
              <w:rPr>
                <w:color w:val="auto"/>
                <w:sz w:val="22"/>
                <w:szCs w:val="22"/>
              </w:rPr>
            </w:pPr>
            <w:r>
              <w:rPr>
                <w:color w:val="auto"/>
                <w:sz w:val="22"/>
                <w:szCs w:val="22"/>
              </w:rPr>
              <w:t>Отрабатываем умение проводить звуковой анализ. Подбор слов, соответствующих заданной модели. Функции буквы ь</w:t>
            </w:r>
          </w:p>
        </w:tc>
      </w:tr>
      <w:tr w14:paraId="11FA1D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tcPr>
          <w:p w14:paraId="47483092">
            <w:pPr>
              <w:pStyle w:val="85"/>
              <w:rPr>
                <w:color w:val="auto"/>
                <w:sz w:val="22"/>
                <w:szCs w:val="22"/>
              </w:rPr>
            </w:pPr>
            <w:r>
              <w:rPr>
                <w:color w:val="auto"/>
                <w:sz w:val="22"/>
                <w:szCs w:val="22"/>
              </w:rPr>
              <w:t>Урок 74</w:t>
            </w:r>
          </w:p>
        </w:tc>
        <w:tc>
          <w:tcPr>
            <w:tcW w:w="7937" w:type="dxa"/>
          </w:tcPr>
          <w:p w14:paraId="155C541A">
            <w:pPr>
              <w:pStyle w:val="85"/>
              <w:jc w:val="both"/>
              <w:rPr>
                <w:color w:val="auto"/>
                <w:sz w:val="22"/>
                <w:szCs w:val="22"/>
              </w:rPr>
            </w:pPr>
            <w:r>
              <w:rPr>
                <w:color w:val="auto"/>
                <w:sz w:val="22"/>
                <w:szCs w:val="22"/>
              </w:rPr>
              <w:t>Письмо строчной и заглавной букв Ш, ш</w:t>
            </w:r>
          </w:p>
        </w:tc>
      </w:tr>
      <w:tr w14:paraId="4E8215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tcPr>
          <w:p w14:paraId="641420EF">
            <w:pPr>
              <w:pStyle w:val="85"/>
              <w:rPr>
                <w:color w:val="auto"/>
                <w:sz w:val="22"/>
                <w:szCs w:val="22"/>
              </w:rPr>
            </w:pPr>
            <w:r>
              <w:rPr>
                <w:color w:val="auto"/>
                <w:sz w:val="22"/>
                <w:szCs w:val="22"/>
              </w:rPr>
              <w:t>Урок 75</w:t>
            </w:r>
          </w:p>
        </w:tc>
        <w:tc>
          <w:tcPr>
            <w:tcW w:w="7937" w:type="dxa"/>
          </w:tcPr>
          <w:p w14:paraId="673A919A">
            <w:pPr>
              <w:pStyle w:val="85"/>
              <w:jc w:val="both"/>
              <w:rPr>
                <w:color w:val="auto"/>
                <w:sz w:val="22"/>
                <w:szCs w:val="22"/>
              </w:rPr>
            </w:pPr>
            <w:r>
              <w:rPr>
                <w:color w:val="auto"/>
                <w:sz w:val="22"/>
                <w:szCs w:val="22"/>
              </w:rPr>
              <w:t>Подбор слов, соответствующих заданной модели</w:t>
            </w:r>
          </w:p>
        </w:tc>
      </w:tr>
      <w:tr w14:paraId="2F9A40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tcPr>
          <w:p w14:paraId="43D8D620">
            <w:pPr>
              <w:pStyle w:val="85"/>
              <w:rPr>
                <w:color w:val="auto"/>
                <w:sz w:val="22"/>
                <w:szCs w:val="22"/>
              </w:rPr>
            </w:pPr>
            <w:r>
              <w:rPr>
                <w:color w:val="auto"/>
                <w:sz w:val="22"/>
                <w:szCs w:val="22"/>
              </w:rPr>
              <w:t>Урок 76</w:t>
            </w:r>
          </w:p>
        </w:tc>
        <w:tc>
          <w:tcPr>
            <w:tcW w:w="7937" w:type="dxa"/>
          </w:tcPr>
          <w:p w14:paraId="095DED5E">
            <w:pPr>
              <w:pStyle w:val="85"/>
              <w:jc w:val="both"/>
              <w:rPr>
                <w:color w:val="auto"/>
                <w:sz w:val="22"/>
                <w:szCs w:val="22"/>
              </w:rPr>
            </w:pPr>
            <w:r>
              <w:rPr>
                <w:color w:val="auto"/>
                <w:sz w:val="22"/>
                <w:szCs w:val="22"/>
              </w:rPr>
              <w:t>Закрепление написания строчной и заглавной букв Ш, ш</w:t>
            </w:r>
          </w:p>
        </w:tc>
      </w:tr>
      <w:tr w14:paraId="478B3D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tcPr>
          <w:p w14:paraId="0272FB07">
            <w:pPr>
              <w:pStyle w:val="85"/>
              <w:rPr>
                <w:color w:val="auto"/>
                <w:sz w:val="22"/>
                <w:szCs w:val="22"/>
              </w:rPr>
            </w:pPr>
            <w:r>
              <w:rPr>
                <w:color w:val="auto"/>
                <w:sz w:val="22"/>
                <w:szCs w:val="22"/>
              </w:rPr>
              <w:t>Урок 77</w:t>
            </w:r>
          </w:p>
        </w:tc>
        <w:tc>
          <w:tcPr>
            <w:tcW w:w="7937" w:type="dxa"/>
          </w:tcPr>
          <w:p w14:paraId="4D6D6475">
            <w:pPr>
              <w:pStyle w:val="85"/>
              <w:jc w:val="both"/>
              <w:rPr>
                <w:color w:val="auto"/>
                <w:sz w:val="22"/>
                <w:szCs w:val="22"/>
              </w:rPr>
            </w:pPr>
            <w:r>
              <w:rPr>
                <w:color w:val="auto"/>
                <w:sz w:val="22"/>
                <w:szCs w:val="22"/>
              </w:rPr>
              <w:t>Письмо строчной и заглавной букв Ж, ж</w:t>
            </w:r>
          </w:p>
        </w:tc>
      </w:tr>
      <w:tr w14:paraId="5C37ED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tcPr>
          <w:p w14:paraId="3674F444">
            <w:pPr>
              <w:pStyle w:val="85"/>
              <w:rPr>
                <w:color w:val="auto"/>
                <w:sz w:val="22"/>
                <w:szCs w:val="22"/>
              </w:rPr>
            </w:pPr>
            <w:r>
              <w:rPr>
                <w:color w:val="auto"/>
                <w:sz w:val="22"/>
                <w:szCs w:val="22"/>
              </w:rPr>
              <w:t>Урок 78</w:t>
            </w:r>
          </w:p>
        </w:tc>
        <w:tc>
          <w:tcPr>
            <w:tcW w:w="7937" w:type="dxa"/>
          </w:tcPr>
          <w:p w14:paraId="2F0D5D01">
            <w:pPr>
              <w:pStyle w:val="85"/>
              <w:jc w:val="both"/>
              <w:rPr>
                <w:color w:val="auto"/>
                <w:sz w:val="22"/>
                <w:szCs w:val="22"/>
              </w:rPr>
            </w:pPr>
            <w:r>
              <w:rPr>
                <w:color w:val="auto"/>
                <w:sz w:val="22"/>
                <w:szCs w:val="22"/>
              </w:rPr>
              <w:t>Закрепление написания строчной и заглавной букв Ж, ж</w:t>
            </w:r>
          </w:p>
        </w:tc>
      </w:tr>
      <w:tr w14:paraId="5BA769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tcPr>
          <w:p w14:paraId="01B86CAB">
            <w:pPr>
              <w:pStyle w:val="85"/>
              <w:rPr>
                <w:color w:val="auto"/>
                <w:sz w:val="22"/>
                <w:szCs w:val="22"/>
              </w:rPr>
            </w:pPr>
            <w:r>
              <w:rPr>
                <w:color w:val="auto"/>
                <w:sz w:val="22"/>
                <w:szCs w:val="22"/>
              </w:rPr>
              <w:t>Урок 79</w:t>
            </w:r>
          </w:p>
        </w:tc>
        <w:tc>
          <w:tcPr>
            <w:tcW w:w="7937" w:type="dxa"/>
          </w:tcPr>
          <w:p w14:paraId="2D0883D8">
            <w:pPr>
              <w:pStyle w:val="85"/>
              <w:jc w:val="both"/>
              <w:rPr>
                <w:color w:val="auto"/>
                <w:sz w:val="22"/>
                <w:szCs w:val="22"/>
              </w:rPr>
            </w:pPr>
            <w:r>
              <w:rPr>
                <w:color w:val="auto"/>
                <w:sz w:val="22"/>
                <w:szCs w:val="22"/>
              </w:rPr>
              <w:t>Особенности шипящих звуков</w:t>
            </w:r>
          </w:p>
        </w:tc>
      </w:tr>
      <w:tr w14:paraId="5514B6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tcPr>
          <w:p w14:paraId="5CCA7973">
            <w:pPr>
              <w:pStyle w:val="85"/>
              <w:rPr>
                <w:color w:val="auto"/>
                <w:sz w:val="22"/>
                <w:szCs w:val="22"/>
              </w:rPr>
            </w:pPr>
            <w:r>
              <w:rPr>
                <w:color w:val="auto"/>
                <w:sz w:val="22"/>
                <w:szCs w:val="22"/>
              </w:rPr>
              <w:t>Урок 80</w:t>
            </w:r>
          </w:p>
        </w:tc>
        <w:tc>
          <w:tcPr>
            <w:tcW w:w="7937" w:type="dxa"/>
          </w:tcPr>
          <w:p w14:paraId="1CA58560">
            <w:pPr>
              <w:pStyle w:val="85"/>
              <w:jc w:val="both"/>
              <w:rPr>
                <w:color w:val="auto"/>
                <w:sz w:val="22"/>
                <w:szCs w:val="22"/>
              </w:rPr>
            </w:pPr>
            <w:r>
              <w:rPr>
                <w:color w:val="auto"/>
                <w:sz w:val="22"/>
                <w:szCs w:val="22"/>
              </w:rPr>
              <w:t>Письмо строчной и заглавной букв Ё, ё</w:t>
            </w:r>
          </w:p>
        </w:tc>
      </w:tr>
      <w:tr w14:paraId="462797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tcPr>
          <w:p w14:paraId="5401EBBB">
            <w:pPr>
              <w:pStyle w:val="85"/>
              <w:rPr>
                <w:color w:val="auto"/>
                <w:sz w:val="22"/>
                <w:szCs w:val="22"/>
              </w:rPr>
            </w:pPr>
            <w:r>
              <w:rPr>
                <w:color w:val="auto"/>
                <w:sz w:val="22"/>
                <w:szCs w:val="22"/>
              </w:rPr>
              <w:t>Урок 81</w:t>
            </w:r>
          </w:p>
        </w:tc>
        <w:tc>
          <w:tcPr>
            <w:tcW w:w="7937" w:type="dxa"/>
          </w:tcPr>
          <w:p w14:paraId="00EAE4F9">
            <w:pPr>
              <w:pStyle w:val="85"/>
              <w:jc w:val="both"/>
              <w:rPr>
                <w:color w:val="auto"/>
                <w:sz w:val="22"/>
                <w:szCs w:val="22"/>
              </w:rPr>
            </w:pPr>
            <w:r>
              <w:rPr>
                <w:color w:val="auto"/>
                <w:sz w:val="22"/>
                <w:szCs w:val="22"/>
              </w:rPr>
              <w:t>Закрепление написания строчной и заглавной букв Ё, ё</w:t>
            </w:r>
          </w:p>
        </w:tc>
      </w:tr>
      <w:tr w14:paraId="3D4410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tcPr>
          <w:p w14:paraId="38AB003E">
            <w:pPr>
              <w:pStyle w:val="85"/>
              <w:rPr>
                <w:color w:val="auto"/>
                <w:sz w:val="22"/>
                <w:szCs w:val="22"/>
              </w:rPr>
            </w:pPr>
            <w:r>
              <w:rPr>
                <w:color w:val="auto"/>
                <w:sz w:val="22"/>
                <w:szCs w:val="22"/>
              </w:rPr>
              <w:t>Урок 82</w:t>
            </w:r>
          </w:p>
        </w:tc>
        <w:tc>
          <w:tcPr>
            <w:tcW w:w="7937" w:type="dxa"/>
          </w:tcPr>
          <w:p w14:paraId="3DA173CD">
            <w:pPr>
              <w:pStyle w:val="85"/>
              <w:jc w:val="both"/>
              <w:rPr>
                <w:color w:val="auto"/>
                <w:sz w:val="22"/>
                <w:szCs w:val="22"/>
              </w:rPr>
            </w:pPr>
            <w:r>
              <w:rPr>
                <w:color w:val="auto"/>
                <w:sz w:val="22"/>
                <w:szCs w:val="22"/>
              </w:rPr>
              <w:t>Письмо строчной и заглавной букв Й, й</w:t>
            </w:r>
          </w:p>
        </w:tc>
      </w:tr>
      <w:tr w14:paraId="1F71E7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1D687330">
            <w:pPr>
              <w:pStyle w:val="85"/>
              <w:rPr>
                <w:color w:val="auto"/>
                <w:sz w:val="22"/>
                <w:szCs w:val="22"/>
              </w:rPr>
            </w:pPr>
            <w:r>
              <w:rPr>
                <w:color w:val="auto"/>
                <w:sz w:val="22"/>
                <w:szCs w:val="22"/>
              </w:rPr>
              <w:t>Урок 83</w:t>
            </w:r>
          </w:p>
        </w:tc>
        <w:tc>
          <w:tcPr>
            <w:tcW w:w="7937" w:type="dxa"/>
          </w:tcPr>
          <w:p w14:paraId="63BB4055">
            <w:pPr>
              <w:pStyle w:val="85"/>
              <w:jc w:val="both"/>
              <w:rPr>
                <w:color w:val="auto"/>
                <w:sz w:val="22"/>
                <w:szCs w:val="22"/>
              </w:rPr>
            </w:pPr>
            <w:r>
              <w:rPr>
                <w:color w:val="auto"/>
                <w:sz w:val="22"/>
                <w:szCs w:val="22"/>
              </w:rPr>
              <w:t>Закрепление написания строчной и заглавной букв Й, й. Особенность согласных звуков, обозначаемых изучаемыми буквами</w:t>
            </w:r>
          </w:p>
        </w:tc>
      </w:tr>
      <w:tr w14:paraId="064752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tcPr>
          <w:p w14:paraId="17955DD4">
            <w:pPr>
              <w:pStyle w:val="85"/>
              <w:rPr>
                <w:color w:val="auto"/>
                <w:sz w:val="22"/>
                <w:szCs w:val="22"/>
              </w:rPr>
            </w:pPr>
            <w:r>
              <w:rPr>
                <w:color w:val="auto"/>
                <w:sz w:val="22"/>
                <w:szCs w:val="22"/>
              </w:rPr>
              <w:t>Урок 84</w:t>
            </w:r>
          </w:p>
        </w:tc>
        <w:tc>
          <w:tcPr>
            <w:tcW w:w="7937" w:type="dxa"/>
          </w:tcPr>
          <w:p w14:paraId="00DB4ADE">
            <w:pPr>
              <w:pStyle w:val="85"/>
              <w:jc w:val="both"/>
              <w:rPr>
                <w:color w:val="auto"/>
                <w:sz w:val="22"/>
                <w:szCs w:val="22"/>
              </w:rPr>
            </w:pPr>
            <w:r>
              <w:rPr>
                <w:color w:val="auto"/>
                <w:sz w:val="22"/>
                <w:szCs w:val="22"/>
              </w:rPr>
              <w:t>Письмо строчной и заглавной букв Х, х</w:t>
            </w:r>
          </w:p>
        </w:tc>
      </w:tr>
      <w:tr w14:paraId="13DBE4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tcPr>
          <w:p w14:paraId="2FB71C15">
            <w:pPr>
              <w:pStyle w:val="85"/>
              <w:rPr>
                <w:color w:val="auto"/>
                <w:sz w:val="22"/>
                <w:szCs w:val="22"/>
              </w:rPr>
            </w:pPr>
            <w:r>
              <w:rPr>
                <w:color w:val="auto"/>
                <w:sz w:val="22"/>
                <w:szCs w:val="22"/>
              </w:rPr>
              <w:t>Урок 85</w:t>
            </w:r>
          </w:p>
        </w:tc>
        <w:tc>
          <w:tcPr>
            <w:tcW w:w="7937" w:type="dxa"/>
          </w:tcPr>
          <w:p w14:paraId="6ACD3A48">
            <w:pPr>
              <w:pStyle w:val="85"/>
              <w:jc w:val="both"/>
              <w:rPr>
                <w:color w:val="auto"/>
                <w:sz w:val="22"/>
                <w:szCs w:val="22"/>
              </w:rPr>
            </w:pPr>
            <w:r>
              <w:rPr>
                <w:color w:val="auto"/>
                <w:sz w:val="22"/>
                <w:szCs w:val="22"/>
              </w:rPr>
              <w:t>Закрепление написания строчной и заглавной букв Х, х</w:t>
            </w:r>
          </w:p>
        </w:tc>
      </w:tr>
      <w:tr w14:paraId="01C962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tcPr>
          <w:p w14:paraId="2BB8B4D3">
            <w:pPr>
              <w:pStyle w:val="85"/>
              <w:rPr>
                <w:color w:val="auto"/>
                <w:sz w:val="22"/>
                <w:szCs w:val="22"/>
              </w:rPr>
            </w:pPr>
            <w:r>
              <w:rPr>
                <w:color w:val="auto"/>
                <w:sz w:val="22"/>
                <w:szCs w:val="22"/>
              </w:rPr>
              <w:t>Урок 86</w:t>
            </w:r>
          </w:p>
        </w:tc>
        <w:tc>
          <w:tcPr>
            <w:tcW w:w="7937" w:type="dxa"/>
          </w:tcPr>
          <w:p w14:paraId="30E19663">
            <w:pPr>
              <w:pStyle w:val="85"/>
              <w:jc w:val="both"/>
              <w:rPr>
                <w:color w:val="auto"/>
                <w:sz w:val="22"/>
                <w:szCs w:val="22"/>
              </w:rPr>
            </w:pPr>
            <w:r>
              <w:rPr>
                <w:color w:val="auto"/>
                <w:sz w:val="22"/>
                <w:szCs w:val="22"/>
              </w:rPr>
              <w:t>Письмо строчной и заглавной букв Ю, ю</w:t>
            </w:r>
          </w:p>
        </w:tc>
      </w:tr>
      <w:tr w14:paraId="2EC8B6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tcPr>
          <w:p w14:paraId="094041A9">
            <w:pPr>
              <w:pStyle w:val="85"/>
              <w:rPr>
                <w:color w:val="auto"/>
                <w:sz w:val="22"/>
                <w:szCs w:val="22"/>
              </w:rPr>
            </w:pPr>
            <w:r>
              <w:rPr>
                <w:color w:val="auto"/>
                <w:sz w:val="22"/>
                <w:szCs w:val="22"/>
              </w:rPr>
              <w:t>Урок 87</w:t>
            </w:r>
          </w:p>
        </w:tc>
        <w:tc>
          <w:tcPr>
            <w:tcW w:w="7937" w:type="dxa"/>
          </w:tcPr>
          <w:p w14:paraId="5F42E190">
            <w:pPr>
              <w:pStyle w:val="85"/>
              <w:jc w:val="both"/>
              <w:rPr>
                <w:color w:val="auto"/>
                <w:sz w:val="22"/>
                <w:szCs w:val="22"/>
              </w:rPr>
            </w:pPr>
            <w:r>
              <w:rPr>
                <w:color w:val="auto"/>
                <w:sz w:val="22"/>
                <w:szCs w:val="22"/>
              </w:rPr>
              <w:t>Закрепление написания строчной и заглавной букв Ю, ю</w:t>
            </w:r>
          </w:p>
        </w:tc>
      </w:tr>
      <w:tr w14:paraId="7BBD98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tcPr>
          <w:p w14:paraId="03B37D6F">
            <w:pPr>
              <w:pStyle w:val="85"/>
              <w:rPr>
                <w:color w:val="auto"/>
                <w:sz w:val="22"/>
                <w:szCs w:val="22"/>
              </w:rPr>
            </w:pPr>
            <w:r>
              <w:rPr>
                <w:color w:val="auto"/>
                <w:sz w:val="22"/>
                <w:szCs w:val="22"/>
              </w:rPr>
              <w:t>Урок 88</w:t>
            </w:r>
          </w:p>
        </w:tc>
        <w:tc>
          <w:tcPr>
            <w:tcW w:w="7937" w:type="dxa"/>
          </w:tcPr>
          <w:p w14:paraId="494D1484">
            <w:pPr>
              <w:pStyle w:val="85"/>
              <w:jc w:val="both"/>
              <w:rPr>
                <w:color w:val="auto"/>
                <w:sz w:val="22"/>
                <w:szCs w:val="22"/>
              </w:rPr>
            </w:pPr>
            <w:r>
              <w:rPr>
                <w:color w:val="auto"/>
                <w:sz w:val="22"/>
                <w:szCs w:val="22"/>
              </w:rPr>
              <w:t>Письмо строчной и заглавной букв Ц, ц</w:t>
            </w:r>
          </w:p>
        </w:tc>
      </w:tr>
      <w:tr w14:paraId="3E5978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tcPr>
          <w:p w14:paraId="2B410A13">
            <w:pPr>
              <w:pStyle w:val="85"/>
              <w:rPr>
                <w:color w:val="auto"/>
                <w:sz w:val="22"/>
                <w:szCs w:val="22"/>
              </w:rPr>
            </w:pPr>
            <w:r>
              <w:rPr>
                <w:color w:val="auto"/>
                <w:sz w:val="22"/>
                <w:szCs w:val="22"/>
              </w:rPr>
              <w:t>Урок 89</w:t>
            </w:r>
          </w:p>
        </w:tc>
        <w:tc>
          <w:tcPr>
            <w:tcW w:w="7937" w:type="dxa"/>
          </w:tcPr>
          <w:p w14:paraId="0DF624D4">
            <w:pPr>
              <w:pStyle w:val="85"/>
              <w:jc w:val="both"/>
              <w:rPr>
                <w:color w:val="auto"/>
                <w:sz w:val="22"/>
                <w:szCs w:val="22"/>
              </w:rPr>
            </w:pPr>
            <w:r>
              <w:rPr>
                <w:color w:val="auto"/>
                <w:sz w:val="22"/>
                <w:szCs w:val="22"/>
              </w:rPr>
              <w:t>Закрепление написания строчной и заглавной букв Ц, ц</w:t>
            </w:r>
          </w:p>
        </w:tc>
      </w:tr>
      <w:tr w14:paraId="4B1A3E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tcPr>
          <w:p w14:paraId="2940FC3D">
            <w:pPr>
              <w:pStyle w:val="85"/>
              <w:rPr>
                <w:color w:val="auto"/>
                <w:sz w:val="22"/>
                <w:szCs w:val="22"/>
              </w:rPr>
            </w:pPr>
            <w:r>
              <w:rPr>
                <w:color w:val="auto"/>
                <w:sz w:val="22"/>
                <w:szCs w:val="22"/>
              </w:rPr>
              <w:t>Урок 90</w:t>
            </w:r>
          </w:p>
        </w:tc>
        <w:tc>
          <w:tcPr>
            <w:tcW w:w="7937" w:type="dxa"/>
          </w:tcPr>
          <w:p w14:paraId="64EA0DEC">
            <w:pPr>
              <w:pStyle w:val="85"/>
              <w:jc w:val="both"/>
              <w:rPr>
                <w:color w:val="auto"/>
                <w:sz w:val="22"/>
                <w:szCs w:val="22"/>
              </w:rPr>
            </w:pPr>
            <w:r>
              <w:rPr>
                <w:color w:val="auto"/>
                <w:sz w:val="22"/>
                <w:szCs w:val="22"/>
              </w:rPr>
              <w:t>Тренируемся подбирать слова, соответствующие заданной модели</w:t>
            </w:r>
          </w:p>
        </w:tc>
      </w:tr>
      <w:tr w14:paraId="6EA9C9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tcPr>
          <w:p w14:paraId="3FF6DBC0">
            <w:pPr>
              <w:pStyle w:val="85"/>
              <w:rPr>
                <w:color w:val="auto"/>
                <w:sz w:val="22"/>
                <w:szCs w:val="22"/>
              </w:rPr>
            </w:pPr>
            <w:r>
              <w:rPr>
                <w:color w:val="auto"/>
                <w:sz w:val="22"/>
                <w:szCs w:val="22"/>
              </w:rPr>
              <w:t>Урок 91</w:t>
            </w:r>
          </w:p>
        </w:tc>
        <w:tc>
          <w:tcPr>
            <w:tcW w:w="7937" w:type="dxa"/>
          </w:tcPr>
          <w:p w14:paraId="7F80705E">
            <w:pPr>
              <w:pStyle w:val="85"/>
              <w:jc w:val="both"/>
              <w:rPr>
                <w:color w:val="auto"/>
                <w:sz w:val="22"/>
                <w:szCs w:val="22"/>
              </w:rPr>
            </w:pPr>
            <w:r>
              <w:rPr>
                <w:color w:val="auto"/>
                <w:sz w:val="22"/>
                <w:szCs w:val="22"/>
              </w:rPr>
              <w:t>Письмо строчной и заглавной букв Э, э</w:t>
            </w:r>
          </w:p>
        </w:tc>
      </w:tr>
      <w:tr w14:paraId="18631A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tcPr>
          <w:p w14:paraId="73D65036">
            <w:pPr>
              <w:pStyle w:val="85"/>
              <w:rPr>
                <w:color w:val="auto"/>
                <w:sz w:val="22"/>
                <w:szCs w:val="22"/>
              </w:rPr>
            </w:pPr>
            <w:r>
              <w:rPr>
                <w:color w:val="auto"/>
                <w:sz w:val="22"/>
                <w:szCs w:val="22"/>
              </w:rPr>
              <w:t>Урок 92</w:t>
            </w:r>
          </w:p>
        </w:tc>
        <w:tc>
          <w:tcPr>
            <w:tcW w:w="7937" w:type="dxa"/>
          </w:tcPr>
          <w:p w14:paraId="1A1D7B9C">
            <w:pPr>
              <w:pStyle w:val="85"/>
              <w:jc w:val="both"/>
              <w:rPr>
                <w:color w:val="auto"/>
                <w:sz w:val="22"/>
                <w:szCs w:val="22"/>
              </w:rPr>
            </w:pPr>
            <w:r>
              <w:rPr>
                <w:color w:val="auto"/>
                <w:sz w:val="22"/>
                <w:szCs w:val="22"/>
              </w:rPr>
              <w:t>Закрепление написания строчной и заглавной букв Э, э</w:t>
            </w:r>
          </w:p>
        </w:tc>
      </w:tr>
      <w:tr w14:paraId="36836E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tcPr>
          <w:p w14:paraId="418B9C8B">
            <w:pPr>
              <w:pStyle w:val="85"/>
              <w:rPr>
                <w:color w:val="auto"/>
                <w:sz w:val="22"/>
                <w:szCs w:val="22"/>
              </w:rPr>
            </w:pPr>
            <w:r>
              <w:rPr>
                <w:color w:val="auto"/>
                <w:sz w:val="22"/>
                <w:szCs w:val="22"/>
              </w:rPr>
              <w:t>Урок 93</w:t>
            </w:r>
          </w:p>
        </w:tc>
        <w:tc>
          <w:tcPr>
            <w:tcW w:w="7937" w:type="dxa"/>
          </w:tcPr>
          <w:p w14:paraId="7ED240E3">
            <w:pPr>
              <w:pStyle w:val="85"/>
              <w:jc w:val="both"/>
              <w:rPr>
                <w:color w:val="auto"/>
                <w:sz w:val="22"/>
                <w:szCs w:val="22"/>
              </w:rPr>
            </w:pPr>
            <w:r>
              <w:rPr>
                <w:color w:val="auto"/>
                <w:sz w:val="22"/>
                <w:szCs w:val="22"/>
              </w:rPr>
              <w:t>Письмо строчной и заглавной букв Щ, щ</w:t>
            </w:r>
          </w:p>
        </w:tc>
      </w:tr>
      <w:tr w14:paraId="78931D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tcPr>
          <w:p w14:paraId="6846732B">
            <w:pPr>
              <w:pStyle w:val="85"/>
              <w:rPr>
                <w:color w:val="auto"/>
                <w:sz w:val="22"/>
                <w:szCs w:val="22"/>
              </w:rPr>
            </w:pPr>
            <w:r>
              <w:rPr>
                <w:color w:val="auto"/>
                <w:sz w:val="22"/>
                <w:szCs w:val="22"/>
              </w:rPr>
              <w:t>Урок 94</w:t>
            </w:r>
          </w:p>
        </w:tc>
        <w:tc>
          <w:tcPr>
            <w:tcW w:w="7937" w:type="dxa"/>
          </w:tcPr>
          <w:p w14:paraId="73035081">
            <w:pPr>
              <w:pStyle w:val="85"/>
              <w:jc w:val="both"/>
              <w:rPr>
                <w:color w:val="auto"/>
                <w:sz w:val="22"/>
                <w:szCs w:val="22"/>
              </w:rPr>
            </w:pPr>
            <w:r>
              <w:rPr>
                <w:color w:val="auto"/>
                <w:sz w:val="22"/>
                <w:szCs w:val="22"/>
              </w:rPr>
              <w:t>Закрепление написания строчной и заглавной букв Щ, щ</w:t>
            </w:r>
          </w:p>
        </w:tc>
      </w:tr>
      <w:tr w14:paraId="7E21B6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3C5AAB89">
            <w:pPr>
              <w:pStyle w:val="85"/>
              <w:rPr>
                <w:color w:val="auto"/>
                <w:sz w:val="22"/>
                <w:szCs w:val="22"/>
              </w:rPr>
            </w:pPr>
            <w:r>
              <w:rPr>
                <w:color w:val="auto"/>
                <w:sz w:val="22"/>
                <w:szCs w:val="22"/>
              </w:rPr>
              <w:t>Урок 95</w:t>
            </w:r>
          </w:p>
        </w:tc>
        <w:tc>
          <w:tcPr>
            <w:tcW w:w="7937" w:type="dxa"/>
          </w:tcPr>
          <w:p w14:paraId="2CA08910">
            <w:pPr>
              <w:pStyle w:val="85"/>
              <w:jc w:val="both"/>
              <w:rPr>
                <w:color w:val="auto"/>
                <w:sz w:val="22"/>
                <w:szCs w:val="22"/>
              </w:rPr>
            </w:pPr>
            <w:r>
              <w:rPr>
                <w:color w:val="auto"/>
                <w:sz w:val="22"/>
                <w:szCs w:val="22"/>
              </w:rPr>
              <w:t>Особенность согласных звуков, обозначаемых изучаемыми буквами: непарные глухие</w:t>
            </w:r>
          </w:p>
        </w:tc>
      </w:tr>
      <w:tr w14:paraId="3D30D3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tcPr>
          <w:p w14:paraId="58E06F33">
            <w:pPr>
              <w:pStyle w:val="85"/>
              <w:rPr>
                <w:color w:val="auto"/>
                <w:sz w:val="22"/>
                <w:szCs w:val="22"/>
              </w:rPr>
            </w:pPr>
            <w:r>
              <w:rPr>
                <w:color w:val="auto"/>
                <w:sz w:val="22"/>
                <w:szCs w:val="22"/>
              </w:rPr>
              <w:t>Урок 96</w:t>
            </w:r>
          </w:p>
        </w:tc>
        <w:tc>
          <w:tcPr>
            <w:tcW w:w="7937" w:type="dxa"/>
          </w:tcPr>
          <w:p w14:paraId="7D302973">
            <w:pPr>
              <w:pStyle w:val="85"/>
              <w:jc w:val="both"/>
              <w:rPr>
                <w:color w:val="auto"/>
                <w:sz w:val="22"/>
                <w:szCs w:val="22"/>
              </w:rPr>
            </w:pPr>
            <w:r>
              <w:rPr>
                <w:color w:val="auto"/>
                <w:sz w:val="22"/>
                <w:szCs w:val="22"/>
              </w:rPr>
              <w:t>Письмо строчной и заглавной букв Ф, ф</w:t>
            </w:r>
          </w:p>
        </w:tc>
      </w:tr>
      <w:tr w14:paraId="340FFA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tcPr>
          <w:p w14:paraId="17E11837">
            <w:pPr>
              <w:pStyle w:val="85"/>
              <w:rPr>
                <w:color w:val="auto"/>
                <w:sz w:val="22"/>
                <w:szCs w:val="22"/>
              </w:rPr>
            </w:pPr>
            <w:r>
              <w:rPr>
                <w:color w:val="auto"/>
                <w:sz w:val="22"/>
                <w:szCs w:val="22"/>
              </w:rPr>
              <w:t>Урок 97</w:t>
            </w:r>
          </w:p>
        </w:tc>
        <w:tc>
          <w:tcPr>
            <w:tcW w:w="7937" w:type="dxa"/>
          </w:tcPr>
          <w:p w14:paraId="7BC74F41">
            <w:pPr>
              <w:pStyle w:val="85"/>
              <w:jc w:val="both"/>
              <w:rPr>
                <w:color w:val="auto"/>
                <w:sz w:val="22"/>
                <w:szCs w:val="22"/>
              </w:rPr>
            </w:pPr>
            <w:r>
              <w:rPr>
                <w:color w:val="auto"/>
                <w:sz w:val="22"/>
                <w:szCs w:val="22"/>
              </w:rPr>
              <w:t>Закрепление написания строчной и заглавной букв Ф, ф</w:t>
            </w:r>
          </w:p>
        </w:tc>
      </w:tr>
      <w:tr w14:paraId="26E4B4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tcPr>
          <w:p w14:paraId="47ADF627">
            <w:pPr>
              <w:pStyle w:val="85"/>
              <w:rPr>
                <w:color w:val="auto"/>
                <w:sz w:val="22"/>
                <w:szCs w:val="22"/>
              </w:rPr>
            </w:pPr>
            <w:r>
              <w:rPr>
                <w:color w:val="auto"/>
                <w:sz w:val="22"/>
                <w:szCs w:val="22"/>
              </w:rPr>
              <w:t>Урок 98</w:t>
            </w:r>
          </w:p>
        </w:tc>
        <w:tc>
          <w:tcPr>
            <w:tcW w:w="7937" w:type="dxa"/>
          </w:tcPr>
          <w:p w14:paraId="768C796A">
            <w:pPr>
              <w:pStyle w:val="85"/>
              <w:jc w:val="both"/>
              <w:rPr>
                <w:color w:val="auto"/>
                <w:sz w:val="22"/>
                <w:szCs w:val="22"/>
              </w:rPr>
            </w:pPr>
            <w:r>
              <w:rPr>
                <w:color w:val="auto"/>
                <w:sz w:val="22"/>
                <w:szCs w:val="22"/>
              </w:rPr>
              <w:t>Построение моделей звукового состава слов</w:t>
            </w:r>
          </w:p>
        </w:tc>
      </w:tr>
      <w:tr w14:paraId="46E64B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tcPr>
          <w:p w14:paraId="1D52E246">
            <w:pPr>
              <w:pStyle w:val="85"/>
              <w:rPr>
                <w:color w:val="auto"/>
                <w:sz w:val="22"/>
                <w:szCs w:val="22"/>
              </w:rPr>
            </w:pPr>
            <w:r>
              <w:rPr>
                <w:color w:val="auto"/>
                <w:sz w:val="22"/>
                <w:szCs w:val="22"/>
              </w:rPr>
              <w:t>Урок 99</w:t>
            </w:r>
          </w:p>
        </w:tc>
        <w:tc>
          <w:tcPr>
            <w:tcW w:w="7937" w:type="dxa"/>
          </w:tcPr>
          <w:p w14:paraId="4D3B28A7">
            <w:pPr>
              <w:pStyle w:val="85"/>
              <w:jc w:val="both"/>
              <w:rPr>
                <w:color w:val="auto"/>
                <w:sz w:val="22"/>
                <w:szCs w:val="22"/>
              </w:rPr>
            </w:pPr>
            <w:r>
              <w:rPr>
                <w:color w:val="auto"/>
                <w:sz w:val="22"/>
                <w:szCs w:val="22"/>
              </w:rPr>
              <w:t>Обобщаем знания о согласных звуках</w:t>
            </w:r>
          </w:p>
        </w:tc>
      </w:tr>
      <w:tr w14:paraId="45A7CD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tcPr>
          <w:p w14:paraId="6335025F">
            <w:pPr>
              <w:pStyle w:val="85"/>
              <w:rPr>
                <w:color w:val="auto"/>
                <w:sz w:val="22"/>
                <w:szCs w:val="22"/>
              </w:rPr>
            </w:pPr>
            <w:r>
              <w:rPr>
                <w:color w:val="auto"/>
                <w:sz w:val="22"/>
                <w:szCs w:val="22"/>
              </w:rPr>
              <w:t>Урок 100</w:t>
            </w:r>
          </w:p>
        </w:tc>
        <w:tc>
          <w:tcPr>
            <w:tcW w:w="7937" w:type="dxa"/>
          </w:tcPr>
          <w:p w14:paraId="4376416B">
            <w:pPr>
              <w:pStyle w:val="85"/>
              <w:jc w:val="both"/>
              <w:rPr>
                <w:color w:val="auto"/>
                <w:sz w:val="22"/>
                <w:szCs w:val="22"/>
              </w:rPr>
            </w:pPr>
            <w:r>
              <w:rPr>
                <w:color w:val="auto"/>
                <w:sz w:val="22"/>
                <w:szCs w:val="22"/>
              </w:rPr>
              <w:t>Письмо строчной буквы ъ</w:t>
            </w:r>
          </w:p>
        </w:tc>
      </w:tr>
      <w:tr w14:paraId="7CBFCA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7BA62718">
            <w:pPr>
              <w:pStyle w:val="85"/>
              <w:rPr>
                <w:color w:val="auto"/>
                <w:sz w:val="22"/>
                <w:szCs w:val="22"/>
              </w:rPr>
            </w:pPr>
            <w:r>
              <w:rPr>
                <w:color w:val="auto"/>
                <w:sz w:val="22"/>
                <w:szCs w:val="22"/>
              </w:rPr>
              <w:t>Урок 101</w:t>
            </w:r>
          </w:p>
        </w:tc>
        <w:tc>
          <w:tcPr>
            <w:tcW w:w="7937" w:type="dxa"/>
          </w:tcPr>
          <w:p w14:paraId="686AAB9F">
            <w:pPr>
              <w:pStyle w:val="85"/>
              <w:jc w:val="both"/>
              <w:rPr>
                <w:color w:val="auto"/>
                <w:sz w:val="22"/>
                <w:szCs w:val="22"/>
              </w:rPr>
            </w:pPr>
            <w:r>
              <w:rPr>
                <w:color w:val="auto"/>
                <w:sz w:val="22"/>
                <w:szCs w:val="22"/>
              </w:rPr>
              <w:t>Резервный урок. Отработка написания букв, написание которых вызывает трудности у учащихся класса</w:t>
            </w:r>
          </w:p>
        </w:tc>
      </w:tr>
      <w:tr w14:paraId="237FCD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77D246B9">
            <w:pPr>
              <w:pStyle w:val="85"/>
              <w:rPr>
                <w:color w:val="auto"/>
                <w:sz w:val="22"/>
                <w:szCs w:val="22"/>
              </w:rPr>
            </w:pPr>
            <w:r>
              <w:rPr>
                <w:color w:val="auto"/>
                <w:sz w:val="22"/>
                <w:szCs w:val="22"/>
              </w:rPr>
              <w:t>Урок 102</w:t>
            </w:r>
          </w:p>
        </w:tc>
        <w:tc>
          <w:tcPr>
            <w:tcW w:w="7937" w:type="dxa"/>
          </w:tcPr>
          <w:p w14:paraId="1DFD26E2">
            <w:pPr>
              <w:pStyle w:val="85"/>
              <w:jc w:val="both"/>
              <w:rPr>
                <w:color w:val="auto"/>
                <w:sz w:val="22"/>
                <w:szCs w:val="22"/>
              </w:rPr>
            </w:pPr>
            <w:r>
              <w:rPr>
                <w:color w:val="auto"/>
                <w:sz w:val="22"/>
                <w:szCs w:val="22"/>
              </w:rPr>
              <w:t>Резервный урок. Отработка написания букв, написание которых вызывает трудности у учащихся класса</w:t>
            </w:r>
          </w:p>
        </w:tc>
      </w:tr>
      <w:tr w14:paraId="6DEA63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386B1E70">
            <w:pPr>
              <w:pStyle w:val="85"/>
              <w:rPr>
                <w:color w:val="auto"/>
                <w:sz w:val="22"/>
                <w:szCs w:val="22"/>
              </w:rPr>
            </w:pPr>
            <w:r>
              <w:rPr>
                <w:color w:val="auto"/>
                <w:sz w:val="22"/>
                <w:szCs w:val="22"/>
              </w:rPr>
              <w:t>Урок 103</w:t>
            </w:r>
          </w:p>
        </w:tc>
        <w:tc>
          <w:tcPr>
            <w:tcW w:w="7937" w:type="dxa"/>
          </w:tcPr>
          <w:p w14:paraId="66FBF5EA">
            <w:pPr>
              <w:pStyle w:val="85"/>
              <w:jc w:val="both"/>
              <w:rPr>
                <w:color w:val="auto"/>
                <w:sz w:val="22"/>
                <w:szCs w:val="22"/>
              </w:rPr>
            </w:pPr>
            <w:r>
              <w:rPr>
                <w:color w:val="auto"/>
                <w:sz w:val="22"/>
                <w:szCs w:val="22"/>
              </w:rPr>
              <w:t>Резервный урок. Отработка написания букв, написание которых вызывает трудности у учащихся класса</w:t>
            </w:r>
          </w:p>
        </w:tc>
      </w:tr>
      <w:tr w14:paraId="0C1E63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280BDEFB">
            <w:pPr>
              <w:pStyle w:val="85"/>
              <w:rPr>
                <w:color w:val="auto"/>
                <w:sz w:val="22"/>
                <w:szCs w:val="22"/>
              </w:rPr>
            </w:pPr>
            <w:r>
              <w:rPr>
                <w:color w:val="auto"/>
                <w:sz w:val="22"/>
                <w:szCs w:val="22"/>
              </w:rPr>
              <w:t>Урок 104</w:t>
            </w:r>
          </w:p>
        </w:tc>
        <w:tc>
          <w:tcPr>
            <w:tcW w:w="7937" w:type="dxa"/>
          </w:tcPr>
          <w:p w14:paraId="0D6729E9">
            <w:pPr>
              <w:pStyle w:val="85"/>
              <w:jc w:val="both"/>
              <w:rPr>
                <w:color w:val="auto"/>
                <w:sz w:val="22"/>
                <w:szCs w:val="22"/>
              </w:rPr>
            </w:pPr>
            <w:r>
              <w:rPr>
                <w:color w:val="auto"/>
                <w:sz w:val="22"/>
                <w:szCs w:val="22"/>
              </w:rPr>
              <w:t>Резервный урок. Отрабатываем умение определять количество слогов в слове</w:t>
            </w:r>
          </w:p>
        </w:tc>
      </w:tr>
      <w:tr w14:paraId="1B7AC1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tcPr>
          <w:p w14:paraId="2A62492A">
            <w:pPr>
              <w:pStyle w:val="85"/>
              <w:rPr>
                <w:color w:val="auto"/>
                <w:sz w:val="22"/>
                <w:szCs w:val="22"/>
              </w:rPr>
            </w:pPr>
            <w:r>
              <w:rPr>
                <w:color w:val="auto"/>
                <w:sz w:val="22"/>
                <w:szCs w:val="22"/>
              </w:rPr>
              <w:t>Урок 105</w:t>
            </w:r>
          </w:p>
        </w:tc>
        <w:tc>
          <w:tcPr>
            <w:tcW w:w="7937" w:type="dxa"/>
          </w:tcPr>
          <w:p w14:paraId="1FE57DA2">
            <w:pPr>
              <w:pStyle w:val="85"/>
              <w:jc w:val="both"/>
              <w:rPr>
                <w:color w:val="auto"/>
                <w:sz w:val="22"/>
                <w:szCs w:val="22"/>
              </w:rPr>
            </w:pPr>
            <w:r>
              <w:rPr>
                <w:color w:val="auto"/>
                <w:sz w:val="22"/>
                <w:szCs w:val="22"/>
              </w:rPr>
              <w:t>Резервный урок. Раздельное написание слов в предложении</w:t>
            </w:r>
          </w:p>
        </w:tc>
      </w:tr>
      <w:tr w14:paraId="58B2A0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tcPr>
          <w:p w14:paraId="3342CCBC">
            <w:pPr>
              <w:pStyle w:val="85"/>
              <w:rPr>
                <w:color w:val="auto"/>
                <w:sz w:val="22"/>
                <w:szCs w:val="22"/>
              </w:rPr>
            </w:pPr>
            <w:r>
              <w:rPr>
                <w:color w:val="auto"/>
                <w:sz w:val="22"/>
                <w:szCs w:val="22"/>
              </w:rPr>
              <w:t>Урок 106</w:t>
            </w:r>
          </w:p>
        </w:tc>
        <w:tc>
          <w:tcPr>
            <w:tcW w:w="7937" w:type="dxa"/>
          </w:tcPr>
          <w:p w14:paraId="261D2DFC">
            <w:pPr>
              <w:pStyle w:val="85"/>
              <w:jc w:val="both"/>
              <w:rPr>
                <w:color w:val="auto"/>
                <w:sz w:val="22"/>
                <w:szCs w:val="22"/>
              </w:rPr>
            </w:pPr>
            <w:r>
              <w:rPr>
                <w:color w:val="auto"/>
                <w:sz w:val="22"/>
                <w:szCs w:val="22"/>
              </w:rPr>
              <w:t>Язык как основное средство человеческого общения.</w:t>
            </w:r>
          </w:p>
        </w:tc>
      </w:tr>
      <w:tr w14:paraId="37BDD8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tcPr>
          <w:p w14:paraId="6161F176">
            <w:pPr>
              <w:pStyle w:val="85"/>
              <w:rPr>
                <w:color w:val="auto"/>
                <w:sz w:val="22"/>
                <w:szCs w:val="22"/>
              </w:rPr>
            </w:pPr>
            <w:r>
              <w:rPr>
                <w:color w:val="auto"/>
                <w:sz w:val="22"/>
                <w:szCs w:val="22"/>
              </w:rPr>
              <w:t>Урок 107</w:t>
            </w:r>
          </w:p>
        </w:tc>
        <w:tc>
          <w:tcPr>
            <w:tcW w:w="7937" w:type="dxa"/>
          </w:tcPr>
          <w:p w14:paraId="6416BF52">
            <w:pPr>
              <w:pStyle w:val="85"/>
              <w:jc w:val="both"/>
              <w:rPr>
                <w:color w:val="auto"/>
                <w:sz w:val="22"/>
                <w:szCs w:val="22"/>
              </w:rPr>
            </w:pPr>
            <w:r>
              <w:rPr>
                <w:color w:val="auto"/>
                <w:sz w:val="22"/>
                <w:szCs w:val="22"/>
              </w:rPr>
              <w:t>Речь как основная форма общения между людьми</w:t>
            </w:r>
          </w:p>
        </w:tc>
      </w:tr>
      <w:tr w14:paraId="6FD8ED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tcPr>
          <w:p w14:paraId="0B7A7A35">
            <w:pPr>
              <w:pStyle w:val="85"/>
              <w:rPr>
                <w:color w:val="auto"/>
                <w:sz w:val="22"/>
                <w:szCs w:val="22"/>
              </w:rPr>
            </w:pPr>
            <w:r>
              <w:rPr>
                <w:color w:val="auto"/>
                <w:sz w:val="22"/>
                <w:szCs w:val="22"/>
              </w:rPr>
              <w:t>Урок 108</w:t>
            </w:r>
          </w:p>
        </w:tc>
        <w:tc>
          <w:tcPr>
            <w:tcW w:w="7937" w:type="dxa"/>
          </w:tcPr>
          <w:p w14:paraId="22CC5DB0">
            <w:pPr>
              <w:pStyle w:val="85"/>
              <w:jc w:val="both"/>
              <w:rPr>
                <w:color w:val="auto"/>
                <w:sz w:val="22"/>
                <w:szCs w:val="22"/>
              </w:rPr>
            </w:pPr>
            <w:r>
              <w:rPr>
                <w:color w:val="auto"/>
                <w:sz w:val="22"/>
                <w:szCs w:val="22"/>
              </w:rPr>
              <w:t>Текст как единица речи</w:t>
            </w:r>
          </w:p>
        </w:tc>
      </w:tr>
      <w:tr w14:paraId="379BF2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tcPr>
          <w:p w14:paraId="2444802C">
            <w:pPr>
              <w:pStyle w:val="85"/>
              <w:rPr>
                <w:color w:val="auto"/>
                <w:sz w:val="22"/>
                <w:szCs w:val="22"/>
              </w:rPr>
            </w:pPr>
            <w:r>
              <w:rPr>
                <w:color w:val="auto"/>
                <w:sz w:val="22"/>
                <w:szCs w:val="22"/>
              </w:rPr>
              <w:t>Урок 109</w:t>
            </w:r>
          </w:p>
        </w:tc>
        <w:tc>
          <w:tcPr>
            <w:tcW w:w="7937" w:type="dxa"/>
          </w:tcPr>
          <w:p w14:paraId="2DB65A5C">
            <w:pPr>
              <w:pStyle w:val="85"/>
              <w:jc w:val="both"/>
              <w:rPr>
                <w:color w:val="auto"/>
                <w:sz w:val="22"/>
                <w:szCs w:val="22"/>
              </w:rPr>
            </w:pPr>
            <w:r>
              <w:rPr>
                <w:color w:val="auto"/>
                <w:sz w:val="22"/>
                <w:szCs w:val="22"/>
              </w:rPr>
              <w:t>Предложение как единица языка</w:t>
            </w:r>
          </w:p>
        </w:tc>
      </w:tr>
      <w:tr w14:paraId="587BFB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7C08BEA6">
            <w:pPr>
              <w:pStyle w:val="85"/>
              <w:rPr>
                <w:color w:val="auto"/>
                <w:sz w:val="22"/>
                <w:szCs w:val="22"/>
              </w:rPr>
            </w:pPr>
            <w:r>
              <w:rPr>
                <w:color w:val="auto"/>
                <w:sz w:val="22"/>
                <w:szCs w:val="22"/>
              </w:rPr>
              <w:t>Урок 110</w:t>
            </w:r>
          </w:p>
        </w:tc>
        <w:tc>
          <w:tcPr>
            <w:tcW w:w="7937" w:type="dxa"/>
          </w:tcPr>
          <w:p w14:paraId="47A094F0">
            <w:pPr>
              <w:pStyle w:val="85"/>
              <w:jc w:val="both"/>
              <w:rPr>
                <w:color w:val="auto"/>
                <w:sz w:val="22"/>
                <w:szCs w:val="22"/>
              </w:rPr>
            </w:pPr>
            <w:r>
              <w:rPr>
                <w:color w:val="auto"/>
                <w:sz w:val="22"/>
                <w:szCs w:val="22"/>
              </w:rPr>
              <w:t>Правила оформления предложений: заглавная буква в начале и знак в конце предложения. Как правильно записать предложение. Введение алгоритма списывания предложений</w:t>
            </w:r>
          </w:p>
        </w:tc>
      </w:tr>
      <w:tr w14:paraId="0F9BE9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1DD099A1">
            <w:pPr>
              <w:pStyle w:val="85"/>
              <w:rPr>
                <w:color w:val="auto"/>
                <w:sz w:val="22"/>
                <w:szCs w:val="22"/>
              </w:rPr>
            </w:pPr>
            <w:r>
              <w:rPr>
                <w:color w:val="auto"/>
                <w:sz w:val="22"/>
                <w:szCs w:val="22"/>
              </w:rPr>
              <w:t>Урок 111</w:t>
            </w:r>
          </w:p>
        </w:tc>
        <w:tc>
          <w:tcPr>
            <w:tcW w:w="7937" w:type="dxa"/>
          </w:tcPr>
          <w:p w14:paraId="4B159D61">
            <w:pPr>
              <w:pStyle w:val="85"/>
              <w:jc w:val="both"/>
              <w:rPr>
                <w:color w:val="auto"/>
                <w:sz w:val="22"/>
                <w:szCs w:val="22"/>
              </w:rPr>
            </w:pPr>
            <w:r>
              <w:rPr>
                <w:color w:val="auto"/>
                <w:sz w:val="22"/>
                <w:szCs w:val="22"/>
              </w:rPr>
              <w:t>Слово и предложение: сходство и различие. Как составить предложение из набора слов</w:t>
            </w:r>
          </w:p>
        </w:tc>
      </w:tr>
      <w:tr w14:paraId="36476C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7AFECB64">
            <w:pPr>
              <w:pStyle w:val="85"/>
              <w:rPr>
                <w:color w:val="auto"/>
                <w:sz w:val="22"/>
                <w:szCs w:val="22"/>
              </w:rPr>
            </w:pPr>
            <w:r>
              <w:rPr>
                <w:color w:val="auto"/>
                <w:sz w:val="22"/>
                <w:szCs w:val="22"/>
              </w:rPr>
              <w:t>Урок 112</w:t>
            </w:r>
          </w:p>
        </w:tc>
        <w:tc>
          <w:tcPr>
            <w:tcW w:w="7937" w:type="dxa"/>
          </w:tcPr>
          <w:p w14:paraId="15DDC63B">
            <w:pPr>
              <w:pStyle w:val="85"/>
              <w:jc w:val="both"/>
              <w:rPr>
                <w:color w:val="auto"/>
                <w:sz w:val="22"/>
                <w:szCs w:val="22"/>
              </w:rPr>
            </w:pPr>
            <w:r>
              <w:rPr>
                <w:color w:val="auto"/>
                <w:sz w:val="22"/>
                <w:szCs w:val="22"/>
              </w:rPr>
              <w:t>Установление связи слов в предложении при помощи смысловых вопросов</w:t>
            </w:r>
          </w:p>
        </w:tc>
      </w:tr>
      <w:tr w14:paraId="3B2BBA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5807D3C3">
            <w:pPr>
              <w:pStyle w:val="85"/>
              <w:rPr>
                <w:color w:val="auto"/>
                <w:sz w:val="22"/>
                <w:szCs w:val="22"/>
              </w:rPr>
            </w:pPr>
            <w:r>
              <w:rPr>
                <w:color w:val="auto"/>
                <w:sz w:val="22"/>
                <w:szCs w:val="22"/>
              </w:rPr>
              <w:t>Урок 113</w:t>
            </w:r>
          </w:p>
        </w:tc>
        <w:tc>
          <w:tcPr>
            <w:tcW w:w="7937" w:type="dxa"/>
          </w:tcPr>
          <w:p w14:paraId="2B62E960">
            <w:pPr>
              <w:pStyle w:val="85"/>
              <w:jc w:val="both"/>
              <w:rPr>
                <w:color w:val="auto"/>
                <w:sz w:val="22"/>
                <w:szCs w:val="22"/>
              </w:rPr>
            </w:pPr>
            <w:r>
              <w:rPr>
                <w:color w:val="auto"/>
                <w:sz w:val="22"/>
                <w:szCs w:val="22"/>
              </w:rPr>
              <w:t>Составление предложений из набора форм слов. Отработка алгоритма записи слов и предложений</w:t>
            </w:r>
          </w:p>
        </w:tc>
      </w:tr>
      <w:tr w14:paraId="266C8A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tcPr>
          <w:p w14:paraId="0EEA3CAA">
            <w:pPr>
              <w:pStyle w:val="85"/>
              <w:rPr>
                <w:color w:val="auto"/>
                <w:sz w:val="22"/>
                <w:szCs w:val="22"/>
              </w:rPr>
            </w:pPr>
            <w:r>
              <w:rPr>
                <w:color w:val="auto"/>
                <w:sz w:val="22"/>
                <w:szCs w:val="22"/>
              </w:rPr>
              <w:t>Урок 114</w:t>
            </w:r>
          </w:p>
        </w:tc>
        <w:tc>
          <w:tcPr>
            <w:tcW w:w="7937" w:type="dxa"/>
          </w:tcPr>
          <w:p w14:paraId="53CEE5DD">
            <w:pPr>
              <w:pStyle w:val="85"/>
              <w:jc w:val="both"/>
              <w:rPr>
                <w:color w:val="auto"/>
                <w:sz w:val="22"/>
                <w:szCs w:val="22"/>
              </w:rPr>
            </w:pPr>
            <w:r>
              <w:rPr>
                <w:color w:val="auto"/>
                <w:sz w:val="22"/>
                <w:szCs w:val="22"/>
              </w:rPr>
              <w:t>Восстановление деформированных предложений.</w:t>
            </w:r>
          </w:p>
        </w:tc>
      </w:tr>
      <w:tr w14:paraId="3C5920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tcPr>
          <w:p w14:paraId="0C2A4494">
            <w:pPr>
              <w:pStyle w:val="85"/>
              <w:rPr>
                <w:color w:val="auto"/>
                <w:sz w:val="22"/>
                <w:szCs w:val="22"/>
              </w:rPr>
            </w:pPr>
            <w:r>
              <w:rPr>
                <w:color w:val="auto"/>
                <w:sz w:val="22"/>
                <w:szCs w:val="22"/>
              </w:rPr>
              <w:t>Урок 115</w:t>
            </w:r>
          </w:p>
        </w:tc>
        <w:tc>
          <w:tcPr>
            <w:tcW w:w="7937" w:type="dxa"/>
          </w:tcPr>
          <w:p w14:paraId="4D9CB10E">
            <w:pPr>
              <w:pStyle w:val="85"/>
              <w:jc w:val="both"/>
              <w:rPr>
                <w:color w:val="auto"/>
                <w:sz w:val="22"/>
                <w:szCs w:val="22"/>
              </w:rPr>
            </w:pPr>
            <w:r>
              <w:rPr>
                <w:color w:val="auto"/>
                <w:sz w:val="22"/>
                <w:szCs w:val="22"/>
              </w:rPr>
              <w:t>Ситуации общения. Диалог</w:t>
            </w:r>
          </w:p>
        </w:tc>
      </w:tr>
      <w:tr w14:paraId="2351A9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tcPr>
          <w:p w14:paraId="28116F1E">
            <w:pPr>
              <w:pStyle w:val="85"/>
              <w:rPr>
                <w:color w:val="auto"/>
                <w:sz w:val="22"/>
                <w:szCs w:val="22"/>
              </w:rPr>
            </w:pPr>
            <w:r>
              <w:rPr>
                <w:color w:val="auto"/>
                <w:sz w:val="22"/>
                <w:szCs w:val="22"/>
              </w:rPr>
              <w:t>Урок 116</w:t>
            </w:r>
          </w:p>
        </w:tc>
        <w:tc>
          <w:tcPr>
            <w:tcW w:w="7937" w:type="dxa"/>
          </w:tcPr>
          <w:p w14:paraId="16C77031">
            <w:pPr>
              <w:pStyle w:val="85"/>
              <w:jc w:val="both"/>
              <w:rPr>
                <w:color w:val="auto"/>
                <w:sz w:val="22"/>
                <w:szCs w:val="22"/>
              </w:rPr>
            </w:pPr>
            <w:r>
              <w:rPr>
                <w:color w:val="auto"/>
                <w:sz w:val="22"/>
                <w:szCs w:val="22"/>
              </w:rPr>
              <w:t>Слово как единица языка. Значение слова</w:t>
            </w:r>
          </w:p>
        </w:tc>
      </w:tr>
      <w:tr w14:paraId="63CF83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tcPr>
          <w:p w14:paraId="2E59FC52">
            <w:pPr>
              <w:pStyle w:val="85"/>
              <w:rPr>
                <w:color w:val="auto"/>
                <w:sz w:val="22"/>
                <w:szCs w:val="22"/>
              </w:rPr>
            </w:pPr>
            <w:r>
              <w:rPr>
                <w:color w:val="auto"/>
                <w:sz w:val="22"/>
                <w:szCs w:val="22"/>
              </w:rPr>
              <w:t>Урок 117</w:t>
            </w:r>
          </w:p>
        </w:tc>
        <w:tc>
          <w:tcPr>
            <w:tcW w:w="7937" w:type="dxa"/>
          </w:tcPr>
          <w:p w14:paraId="0BA6C4C6">
            <w:pPr>
              <w:pStyle w:val="85"/>
              <w:jc w:val="both"/>
              <w:rPr>
                <w:color w:val="auto"/>
                <w:sz w:val="22"/>
                <w:szCs w:val="22"/>
              </w:rPr>
            </w:pPr>
            <w:r>
              <w:rPr>
                <w:color w:val="auto"/>
                <w:sz w:val="22"/>
                <w:szCs w:val="22"/>
              </w:rPr>
              <w:t>Составление небольших устных рассказов</w:t>
            </w:r>
          </w:p>
        </w:tc>
      </w:tr>
      <w:tr w14:paraId="0F2EF0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tcPr>
          <w:p w14:paraId="5539E1CA">
            <w:pPr>
              <w:pStyle w:val="85"/>
              <w:rPr>
                <w:color w:val="auto"/>
                <w:sz w:val="22"/>
                <w:szCs w:val="22"/>
              </w:rPr>
            </w:pPr>
            <w:r>
              <w:rPr>
                <w:color w:val="auto"/>
                <w:sz w:val="22"/>
                <w:szCs w:val="22"/>
              </w:rPr>
              <w:t>Урок 118</w:t>
            </w:r>
          </w:p>
        </w:tc>
        <w:tc>
          <w:tcPr>
            <w:tcW w:w="7937" w:type="dxa"/>
          </w:tcPr>
          <w:p w14:paraId="44E827F3">
            <w:pPr>
              <w:pStyle w:val="85"/>
              <w:jc w:val="both"/>
              <w:rPr>
                <w:color w:val="auto"/>
                <w:sz w:val="22"/>
                <w:szCs w:val="22"/>
              </w:rPr>
            </w:pPr>
            <w:r>
              <w:rPr>
                <w:color w:val="auto"/>
                <w:sz w:val="22"/>
                <w:szCs w:val="22"/>
              </w:rPr>
              <w:t>Слова, называющие предметы</w:t>
            </w:r>
          </w:p>
        </w:tc>
      </w:tr>
      <w:tr w14:paraId="76F231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36E60443">
            <w:pPr>
              <w:pStyle w:val="85"/>
              <w:rPr>
                <w:color w:val="auto"/>
                <w:sz w:val="22"/>
                <w:szCs w:val="22"/>
              </w:rPr>
            </w:pPr>
            <w:r>
              <w:rPr>
                <w:color w:val="auto"/>
                <w:sz w:val="22"/>
                <w:szCs w:val="22"/>
              </w:rPr>
              <w:t>Урок 119</w:t>
            </w:r>
          </w:p>
        </w:tc>
        <w:tc>
          <w:tcPr>
            <w:tcW w:w="7937" w:type="dxa"/>
          </w:tcPr>
          <w:p w14:paraId="64FBFFF8">
            <w:pPr>
              <w:pStyle w:val="85"/>
              <w:jc w:val="both"/>
              <w:rPr>
                <w:color w:val="auto"/>
                <w:sz w:val="22"/>
                <w:szCs w:val="22"/>
              </w:rPr>
            </w:pPr>
            <w:r>
              <w:rPr>
                <w:color w:val="auto"/>
                <w:sz w:val="22"/>
                <w:szCs w:val="22"/>
              </w:rPr>
              <w:t>Слова, отвечающие на вопросы кто?, что? Составление предложений из набора слов</w:t>
            </w:r>
          </w:p>
        </w:tc>
      </w:tr>
      <w:tr w14:paraId="2CEAE8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tcPr>
          <w:p w14:paraId="151E0E65">
            <w:pPr>
              <w:pStyle w:val="85"/>
              <w:rPr>
                <w:color w:val="auto"/>
                <w:sz w:val="22"/>
                <w:szCs w:val="22"/>
              </w:rPr>
            </w:pPr>
            <w:r>
              <w:rPr>
                <w:color w:val="auto"/>
                <w:sz w:val="22"/>
                <w:szCs w:val="22"/>
              </w:rPr>
              <w:t>Урок 120</w:t>
            </w:r>
          </w:p>
        </w:tc>
        <w:tc>
          <w:tcPr>
            <w:tcW w:w="7937" w:type="dxa"/>
          </w:tcPr>
          <w:p w14:paraId="32FBC807">
            <w:pPr>
              <w:pStyle w:val="85"/>
              <w:jc w:val="both"/>
              <w:rPr>
                <w:color w:val="auto"/>
                <w:sz w:val="22"/>
                <w:szCs w:val="22"/>
              </w:rPr>
            </w:pPr>
            <w:r>
              <w:rPr>
                <w:color w:val="auto"/>
                <w:sz w:val="22"/>
                <w:szCs w:val="22"/>
              </w:rPr>
              <w:t>Слова, называющие признака предмета</w:t>
            </w:r>
          </w:p>
        </w:tc>
      </w:tr>
      <w:tr w14:paraId="5827EA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tcPr>
          <w:p w14:paraId="5A15E745">
            <w:pPr>
              <w:pStyle w:val="85"/>
              <w:rPr>
                <w:color w:val="auto"/>
                <w:sz w:val="22"/>
                <w:szCs w:val="22"/>
              </w:rPr>
            </w:pPr>
            <w:r>
              <w:rPr>
                <w:color w:val="auto"/>
                <w:sz w:val="22"/>
                <w:szCs w:val="22"/>
              </w:rPr>
              <w:t>Урок 121</w:t>
            </w:r>
          </w:p>
        </w:tc>
        <w:tc>
          <w:tcPr>
            <w:tcW w:w="7937" w:type="dxa"/>
          </w:tcPr>
          <w:p w14:paraId="2A70FD71">
            <w:pPr>
              <w:pStyle w:val="85"/>
              <w:jc w:val="both"/>
              <w:rPr>
                <w:color w:val="auto"/>
                <w:sz w:val="22"/>
                <w:szCs w:val="22"/>
              </w:rPr>
            </w:pPr>
            <w:r>
              <w:rPr>
                <w:color w:val="auto"/>
                <w:sz w:val="22"/>
                <w:szCs w:val="22"/>
              </w:rPr>
              <w:t>Слова, отвечающие на вопросы какой?, какая? какое?, какие?</w:t>
            </w:r>
          </w:p>
        </w:tc>
      </w:tr>
      <w:tr w14:paraId="0B22EC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tcPr>
          <w:p w14:paraId="185C5BEE">
            <w:pPr>
              <w:pStyle w:val="85"/>
              <w:rPr>
                <w:color w:val="auto"/>
                <w:sz w:val="22"/>
                <w:szCs w:val="22"/>
              </w:rPr>
            </w:pPr>
            <w:r>
              <w:rPr>
                <w:color w:val="auto"/>
                <w:sz w:val="22"/>
                <w:szCs w:val="22"/>
              </w:rPr>
              <w:t>Урок 122</w:t>
            </w:r>
          </w:p>
        </w:tc>
        <w:tc>
          <w:tcPr>
            <w:tcW w:w="7937" w:type="dxa"/>
          </w:tcPr>
          <w:p w14:paraId="52654A11">
            <w:pPr>
              <w:pStyle w:val="85"/>
              <w:jc w:val="both"/>
              <w:rPr>
                <w:color w:val="auto"/>
                <w:sz w:val="22"/>
                <w:szCs w:val="22"/>
              </w:rPr>
            </w:pPr>
            <w:r>
              <w:rPr>
                <w:color w:val="auto"/>
                <w:sz w:val="22"/>
                <w:szCs w:val="22"/>
              </w:rPr>
              <w:t>Слова, называющие действия предмета</w:t>
            </w:r>
          </w:p>
        </w:tc>
      </w:tr>
      <w:tr w14:paraId="0AEEDF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tcPr>
          <w:p w14:paraId="070E37A2">
            <w:pPr>
              <w:pStyle w:val="85"/>
              <w:rPr>
                <w:color w:val="auto"/>
                <w:sz w:val="22"/>
                <w:szCs w:val="22"/>
              </w:rPr>
            </w:pPr>
            <w:r>
              <w:rPr>
                <w:color w:val="auto"/>
                <w:sz w:val="22"/>
                <w:szCs w:val="22"/>
              </w:rPr>
              <w:t>Урок 123</w:t>
            </w:r>
          </w:p>
        </w:tc>
        <w:tc>
          <w:tcPr>
            <w:tcW w:w="7937" w:type="dxa"/>
          </w:tcPr>
          <w:p w14:paraId="75DF9AF9">
            <w:pPr>
              <w:pStyle w:val="85"/>
              <w:jc w:val="both"/>
              <w:rPr>
                <w:color w:val="auto"/>
                <w:sz w:val="22"/>
                <w:szCs w:val="22"/>
              </w:rPr>
            </w:pPr>
            <w:r>
              <w:rPr>
                <w:color w:val="auto"/>
                <w:sz w:val="22"/>
                <w:szCs w:val="22"/>
              </w:rPr>
              <w:t>Слова, отвечающие на вопросы что делать?, что сделать?</w:t>
            </w:r>
          </w:p>
        </w:tc>
      </w:tr>
      <w:tr w14:paraId="1A818F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tcPr>
          <w:p w14:paraId="281501B0">
            <w:pPr>
              <w:pStyle w:val="85"/>
              <w:rPr>
                <w:color w:val="auto"/>
                <w:sz w:val="22"/>
                <w:szCs w:val="22"/>
              </w:rPr>
            </w:pPr>
            <w:r>
              <w:rPr>
                <w:color w:val="auto"/>
                <w:sz w:val="22"/>
                <w:szCs w:val="22"/>
              </w:rPr>
              <w:t>Урок 124</w:t>
            </w:r>
          </w:p>
        </w:tc>
        <w:tc>
          <w:tcPr>
            <w:tcW w:w="7937" w:type="dxa"/>
          </w:tcPr>
          <w:p w14:paraId="419029F1">
            <w:pPr>
              <w:pStyle w:val="85"/>
              <w:jc w:val="both"/>
              <w:rPr>
                <w:color w:val="auto"/>
                <w:sz w:val="22"/>
                <w:szCs w:val="22"/>
              </w:rPr>
            </w:pPr>
            <w:r>
              <w:rPr>
                <w:color w:val="auto"/>
                <w:sz w:val="22"/>
                <w:szCs w:val="22"/>
              </w:rPr>
              <w:t>Отрабатываем умение задать вопрос к слову</w:t>
            </w:r>
          </w:p>
        </w:tc>
      </w:tr>
      <w:tr w14:paraId="1DCBBA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tcPr>
          <w:p w14:paraId="56F66DAE">
            <w:pPr>
              <w:pStyle w:val="85"/>
              <w:rPr>
                <w:color w:val="auto"/>
                <w:sz w:val="22"/>
                <w:szCs w:val="22"/>
              </w:rPr>
            </w:pPr>
            <w:r>
              <w:rPr>
                <w:color w:val="auto"/>
                <w:sz w:val="22"/>
                <w:szCs w:val="22"/>
              </w:rPr>
              <w:t>Урок 125</w:t>
            </w:r>
          </w:p>
        </w:tc>
        <w:tc>
          <w:tcPr>
            <w:tcW w:w="7937" w:type="dxa"/>
          </w:tcPr>
          <w:p w14:paraId="2937E6CA">
            <w:pPr>
              <w:pStyle w:val="85"/>
              <w:jc w:val="both"/>
              <w:rPr>
                <w:color w:val="auto"/>
                <w:sz w:val="22"/>
                <w:szCs w:val="22"/>
              </w:rPr>
            </w:pPr>
            <w:r>
              <w:rPr>
                <w:color w:val="auto"/>
                <w:sz w:val="22"/>
                <w:szCs w:val="22"/>
              </w:rPr>
              <w:t>Наблюдаем за значениями слов. Сколько значений может быть у слова</w:t>
            </w:r>
          </w:p>
        </w:tc>
      </w:tr>
      <w:tr w14:paraId="2E9D55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tcPr>
          <w:p w14:paraId="085101EF">
            <w:pPr>
              <w:pStyle w:val="85"/>
              <w:rPr>
                <w:color w:val="auto"/>
                <w:sz w:val="22"/>
                <w:szCs w:val="22"/>
              </w:rPr>
            </w:pPr>
            <w:r>
              <w:rPr>
                <w:color w:val="auto"/>
                <w:sz w:val="22"/>
                <w:szCs w:val="22"/>
              </w:rPr>
              <w:t>Урок 126</w:t>
            </w:r>
          </w:p>
        </w:tc>
        <w:tc>
          <w:tcPr>
            <w:tcW w:w="7937" w:type="dxa"/>
          </w:tcPr>
          <w:p w14:paraId="72DCEB7B">
            <w:pPr>
              <w:pStyle w:val="85"/>
              <w:jc w:val="both"/>
              <w:rPr>
                <w:color w:val="auto"/>
                <w:sz w:val="22"/>
                <w:szCs w:val="22"/>
              </w:rPr>
            </w:pPr>
            <w:r>
              <w:rPr>
                <w:color w:val="auto"/>
                <w:sz w:val="22"/>
                <w:szCs w:val="22"/>
              </w:rPr>
              <w:t>Отработка алгоритма списывания текста</w:t>
            </w:r>
          </w:p>
        </w:tc>
      </w:tr>
      <w:tr w14:paraId="7E4043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3F482F5E">
            <w:pPr>
              <w:pStyle w:val="85"/>
              <w:rPr>
                <w:color w:val="auto"/>
                <w:sz w:val="22"/>
                <w:szCs w:val="22"/>
              </w:rPr>
            </w:pPr>
            <w:r>
              <w:rPr>
                <w:color w:val="auto"/>
                <w:sz w:val="22"/>
                <w:szCs w:val="22"/>
              </w:rPr>
              <w:t>Урок 127</w:t>
            </w:r>
          </w:p>
        </w:tc>
        <w:tc>
          <w:tcPr>
            <w:tcW w:w="7937" w:type="dxa"/>
          </w:tcPr>
          <w:p w14:paraId="08D983FB">
            <w:pPr>
              <w:pStyle w:val="85"/>
              <w:jc w:val="both"/>
              <w:rPr>
                <w:color w:val="auto"/>
                <w:sz w:val="22"/>
                <w:szCs w:val="22"/>
              </w:rPr>
            </w:pPr>
            <w:r>
              <w:rPr>
                <w:color w:val="auto"/>
                <w:sz w:val="22"/>
                <w:szCs w:val="22"/>
              </w:rPr>
              <w:t>Слова, близкие по значению. Отработка алгоритма списывания предложений</w:t>
            </w:r>
          </w:p>
        </w:tc>
      </w:tr>
      <w:tr w14:paraId="72E45E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tcPr>
          <w:p w14:paraId="68D0A9DB">
            <w:pPr>
              <w:pStyle w:val="85"/>
              <w:rPr>
                <w:color w:val="auto"/>
                <w:sz w:val="22"/>
                <w:szCs w:val="22"/>
              </w:rPr>
            </w:pPr>
            <w:r>
              <w:rPr>
                <w:color w:val="auto"/>
                <w:sz w:val="22"/>
                <w:szCs w:val="22"/>
              </w:rPr>
              <w:t>Урок 128</w:t>
            </w:r>
          </w:p>
        </w:tc>
        <w:tc>
          <w:tcPr>
            <w:tcW w:w="7937" w:type="dxa"/>
          </w:tcPr>
          <w:p w14:paraId="43C1725D">
            <w:pPr>
              <w:pStyle w:val="85"/>
              <w:jc w:val="both"/>
              <w:rPr>
                <w:color w:val="auto"/>
                <w:sz w:val="22"/>
                <w:szCs w:val="22"/>
              </w:rPr>
            </w:pPr>
            <w:r>
              <w:rPr>
                <w:color w:val="auto"/>
                <w:sz w:val="22"/>
                <w:szCs w:val="22"/>
              </w:rPr>
              <w:t>Наблюдение в тексте за словами, близкими по значению</w:t>
            </w:r>
          </w:p>
        </w:tc>
      </w:tr>
      <w:tr w14:paraId="75A73E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31BD2BDB">
            <w:pPr>
              <w:pStyle w:val="85"/>
              <w:rPr>
                <w:color w:val="auto"/>
                <w:sz w:val="22"/>
                <w:szCs w:val="22"/>
              </w:rPr>
            </w:pPr>
            <w:r>
              <w:rPr>
                <w:color w:val="auto"/>
                <w:sz w:val="22"/>
                <w:szCs w:val="22"/>
              </w:rPr>
              <w:t>Урок 129</w:t>
            </w:r>
          </w:p>
        </w:tc>
        <w:tc>
          <w:tcPr>
            <w:tcW w:w="7937" w:type="dxa"/>
          </w:tcPr>
          <w:p w14:paraId="0AEC80E7">
            <w:pPr>
              <w:pStyle w:val="85"/>
              <w:jc w:val="both"/>
              <w:rPr>
                <w:color w:val="auto"/>
                <w:sz w:val="22"/>
                <w:szCs w:val="22"/>
              </w:rPr>
            </w:pPr>
            <w:r>
              <w:rPr>
                <w:color w:val="auto"/>
                <w:sz w:val="22"/>
                <w:szCs w:val="22"/>
              </w:rPr>
              <w:t>Речевой этикет: ситуация обращение с просьбой. Какие слова мы называем вежливыми</w:t>
            </w:r>
          </w:p>
        </w:tc>
      </w:tr>
      <w:tr w14:paraId="6ECA00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36AD983C">
            <w:pPr>
              <w:pStyle w:val="85"/>
              <w:rPr>
                <w:color w:val="auto"/>
                <w:sz w:val="22"/>
                <w:szCs w:val="22"/>
              </w:rPr>
            </w:pPr>
            <w:r>
              <w:rPr>
                <w:color w:val="auto"/>
                <w:sz w:val="22"/>
                <w:szCs w:val="22"/>
              </w:rPr>
              <w:t>Урок 130</w:t>
            </w:r>
          </w:p>
        </w:tc>
        <w:tc>
          <w:tcPr>
            <w:tcW w:w="7937" w:type="dxa"/>
          </w:tcPr>
          <w:p w14:paraId="243C7E67">
            <w:pPr>
              <w:pStyle w:val="85"/>
              <w:jc w:val="both"/>
              <w:rPr>
                <w:color w:val="auto"/>
                <w:sz w:val="22"/>
                <w:szCs w:val="22"/>
              </w:rPr>
            </w:pPr>
            <w:r>
              <w:rPr>
                <w:color w:val="auto"/>
                <w:sz w:val="22"/>
                <w:szCs w:val="22"/>
              </w:rPr>
              <w:t>Речевой этикет: ситуация благодарности. Мягкий знак. Когда употребляется в словах буква ь</w:t>
            </w:r>
          </w:p>
        </w:tc>
      </w:tr>
      <w:tr w14:paraId="607B3B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1013752D">
            <w:pPr>
              <w:pStyle w:val="85"/>
              <w:rPr>
                <w:color w:val="auto"/>
                <w:sz w:val="22"/>
                <w:szCs w:val="22"/>
              </w:rPr>
            </w:pPr>
            <w:r>
              <w:rPr>
                <w:color w:val="auto"/>
                <w:sz w:val="22"/>
                <w:szCs w:val="22"/>
              </w:rPr>
              <w:t>Урок 131</w:t>
            </w:r>
          </w:p>
        </w:tc>
        <w:tc>
          <w:tcPr>
            <w:tcW w:w="7937" w:type="dxa"/>
          </w:tcPr>
          <w:p w14:paraId="16833DB4">
            <w:pPr>
              <w:pStyle w:val="85"/>
              <w:jc w:val="both"/>
              <w:rPr>
                <w:color w:val="auto"/>
                <w:sz w:val="22"/>
                <w:szCs w:val="22"/>
              </w:rPr>
            </w:pPr>
            <w:r>
              <w:rPr>
                <w:color w:val="auto"/>
                <w:sz w:val="22"/>
                <w:szCs w:val="22"/>
              </w:rPr>
              <w:t>Слог. Определение количества слогов в слове. Ударный слог. Деление слов на слоги</w:t>
            </w:r>
          </w:p>
        </w:tc>
      </w:tr>
      <w:tr w14:paraId="5060C5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tcPr>
          <w:p w14:paraId="09D7BEEF">
            <w:pPr>
              <w:pStyle w:val="85"/>
              <w:rPr>
                <w:color w:val="auto"/>
                <w:sz w:val="22"/>
                <w:szCs w:val="22"/>
              </w:rPr>
            </w:pPr>
            <w:r>
              <w:rPr>
                <w:color w:val="auto"/>
                <w:sz w:val="22"/>
                <w:szCs w:val="22"/>
              </w:rPr>
              <w:t>Урок 132</w:t>
            </w:r>
          </w:p>
        </w:tc>
        <w:tc>
          <w:tcPr>
            <w:tcW w:w="7937" w:type="dxa"/>
          </w:tcPr>
          <w:p w14:paraId="15516D7B">
            <w:pPr>
              <w:pStyle w:val="85"/>
              <w:jc w:val="both"/>
              <w:rPr>
                <w:color w:val="auto"/>
                <w:sz w:val="22"/>
                <w:szCs w:val="22"/>
              </w:rPr>
            </w:pPr>
            <w:r>
              <w:rPr>
                <w:color w:val="auto"/>
                <w:sz w:val="22"/>
                <w:szCs w:val="22"/>
              </w:rPr>
              <w:t>Отработка правила переноса слов. Когда нужен перенос слова</w:t>
            </w:r>
          </w:p>
        </w:tc>
      </w:tr>
      <w:tr w14:paraId="60916B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485E2FC4">
            <w:pPr>
              <w:pStyle w:val="85"/>
              <w:rPr>
                <w:color w:val="auto"/>
                <w:sz w:val="22"/>
                <w:szCs w:val="22"/>
              </w:rPr>
            </w:pPr>
            <w:r>
              <w:rPr>
                <w:color w:val="auto"/>
                <w:sz w:val="22"/>
                <w:szCs w:val="22"/>
              </w:rPr>
              <w:t>Урок 133</w:t>
            </w:r>
          </w:p>
        </w:tc>
        <w:tc>
          <w:tcPr>
            <w:tcW w:w="7937" w:type="dxa"/>
          </w:tcPr>
          <w:p w14:paraId="45F8B1A3">
            <w:pPr>
              <w:pStyle w:val="85"/>
              <w:jc w:val="both"/>
              <w:rPr>
                <w:color w:val="auto"/>
                <w:sz w:val="22"/>
                <w:szCs w:val="22"/>
              </w:rPr>
            </w:pPr>
            <w:r>
              <w:rPr>
                <w:color w:val="auto"/>
                <w:sz w:val="22"/>
                <w:szCs w:val="22"/>
              </w:rPr>
              <w:t>Установление соотношения звукового и буквенного состава слова. Объяснительное письмо слов и предложений</w:t>
            </w:r>
          </w:p>
        </w:tc>
      </w:tr>
      <w:tr w14:paraId="092349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tcPr>
          <w:p w14:paraId="305F954E">
            <w:pPr>
              <w:pStyle w:val="85"/>
              <w:rPr>
                <w:color w:val="auto"/>
                <w:sz w:val="22"/>
                <w:szCs w:val="22"/>
              </w:rPr>
            </w:pPr>
            <w:r>
              <w:rPr>
                <w:color w:val="auto"/>
                <w:sz w:val="22"/>
                <w:szCs w:val="22"/>
              </w:rPr>
              <w:t>Урок 134</w:t>
            </w:r>
          </w:p>
        </w:tc>
        <w:tc>
          <w:tcPr>
            <w:tcW w:w="7937" w:type="dxa"/>
          </w:tcPr>
          <w:p w14:paraId="01CC7EA1">
            <w:pPr>
              <w:pStyle w:val="85"/>
              <w:jc w:val="both"/>
              <w:rPr>
                <w:color w:val="auto"/>
                <w:sz w:val="22"/>
                <w:szCs w:val="22"/>
              </w:rPr>
            </w:pPr>
            <w:r>
              <w:rPr>
                <w:color w:val="auto"/>
                <w:sz w:val="22"/>
                <w:szCs w:val="22"/>
              </w:rPr>
              <w:t>Алфавит</w:t>
            </w:r>
          </w:p>
        </w:tc>
      </w:tr>
      <w:tr w14:paraId="268BF5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tcPr>
          <w:p w14:paraId="7EB63709">
            <w:pPr>
              <w:pStyle w:val="85"/>
              <w:rPr>
                <w:color w:val="auto"/>
                <w:sz w:val="22"/>
                <w:szCs w:val="22"/>
              </w:rPr>
            </w:pPr>
            <w:r>
              <w:rPr>
                <w:color w:val="auto"/>
                <w:sz w:val="22"/>
                <w:szCs w:val="22"/>
              </w:rPr>
              <w:t>Урок 135</w:t>
            </w:r>
          </w:p>
        </w:tc>
        <w:tc>
          <w:tcPr>
            <w:tcW w:w="7937" w:type="dxa"/>
          </w:tcPr>
          <w:p w14:paraId="283AD9BC">
            <w:pPr>
              <w:pStyle w:val="85"/>
              <w:jc w:val="both"/>
              <w:rPr>
                <w:color w:val="auto"/>
                <w:sz w:val="22"/>
                <w:szCs w:val="22"/>
              </w:rPr>
            </w:pPr>
            <w:r>
              <w:rPr>
                <w:color w:val="auto"/>
                <w:sz w:val="22"/>
                <w:szCs w:val="22"/>
              </w:rPr>
              <w:t>Использование алфавита для упорядочения списка слов</w:t>
            </w:r>
          </w:p>
        </w:tc>
      </w:tr>
      <w:tr w14:paraId="1BF96E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tcPr>
          <w:p w14:paraId="6D225BB8">
            <w:pPr>
              <w:pStyle w:val="85"/>
              <w:rPr>
                <w:color w:val="auto"/>
                <w:sz w:val="22"/>
                <w:szCs w:val="22"/>
              </w:rPr>
            </w:pPr>
            <w:r>
              <w:rPr>
                <w:color w:val="auto"/>
                <w:sz w:val="22"/>
                <w:szCs w:val="22"/>
              </w:rPr>
              <w:t>Урок 136</w:t>
            </w:r>
          </w:p>
        </w:tc>
        <w:tc>
          <w:tcPr>
            <w:tcW w:w="7937" w:type="dxa"/>
          </w:tcPr>
          <w:p w14:paraId="20668E45">
            <w:pPr>
              <w:pStyle w:val="85"/>
              <w:jc w:val="both"/>
              <w:rPr>
                <w:color w:val="auto"/>
                <w:sz w:val="22"/>
                <w:szCs w:val="22"/>
              </w:rPr>
            </w:pPr>
            <w:r>
              <w:rPr>
                <w:color w:val="auto"/>
                <w:sz w:val="22"/>
                <w:szCs w:val="22"/>
              </w:rPr>
              <w:t>Звуки речи. Гласные и согласные звуки, их различение</w:t>
            </w:r>
          </w:p>
        </w:tc>
      </w:tr>
      <w:tr w14:paraId="0D0BD0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tcPr>
          <w:p w14:paraId="60CA406B">
            <w:pPr>
              <w:pStyle w:val="85"/>
              <w:rPr>
                <w:color w:val="auto"/>
                <w:sz w:val="22"/>
                <w:szCs w:val="22"/>
              </w:rPr>
            </w:pPr>
            <w:r>
              <w:rPr>
                <w:color w:val="auto"/>
                <w:sz w:val="22"/>
                <w:szCs w:val="22"/>
              </w:rPr>
              <w:t>Урок 137</w:t>
            </w:r>
          </w:p>
        </w:tc>
        <w:tc>
          <w:tcPr>
            <w:tcW w:w="7937" w:type="dxa"/>
          </w:tcPr>
          <w:p w14:paraId="5E48AD60">
            <w:pPr>
              <w:pStyle w:val="85"/>
              <w:jc w:val="both"/>
              <w:rPr>
                <w:color w:val="auto"/>
                <w:sz w:val="22"/>
                <w:szCs w:val="22"/>
              </w:rPr>
            </w:pPr>
            <w:r>
              <w:rPr>
                <w:color w:val="auto"/>
                <w:sz w:val="22"/>
                <w:szCs w:val="22"/>
              </w:rPr>
              <w:t>Речевой этикет: ситуация знакомства</w:t>
            </w:r>
          </w:p>
        </w:tc>
      </w:tr>
      <w:tr w14:paraId="2C5B8D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tcPr>
          <w:p w14:paraId="7B912410">
            <w:pPr>
              <w:pStyle w:val="85"/>
              <w:rPr>
                <w:color w:val="auto"/>
                <w:sz w:val="22"/>
                <w:szCs w:val="22"/>
              </w:rPr>
            </w:pPr>
            <w:r>
              <w:rPr>
                <w:color w:val="auto"/>
                <w:sz w:val="22"/>
                <w:szCs w:val="22"/>
              </w:rPr>
              <w:t>Урок 138</w:t>
            </w:r>
          </w:p>
        </w:tc>
        <w:tc>
          <w:tcPr>
            <w:tcW w:w="7937" w:type="dxa"/>
          </w:tcPr>
          <w:p w14:paraId="3F17E26C">
            <w:pPr>
              <w:pStyle w:val="85"/>
              <w:jc w:val="both"/>
              <w:rPr>
                <w:color w:val="auto"/>
                <w:sz w:val="22"/>
                <w:szCs w:val="22"/>
              </w:rPr>
            </w:pPr>
            <w:r>
              <w:rPr>
                <w:color w:val="auto"/>
                <w:sz w:val="22"/>
                <w:szCs w:val="22"/>
              </w:rPr>
              <w:t>Гласные ударные и безударные. Ударение в слове</w:t>
            </w:r>
          </w:p>
        </w:tc>
      </w:tr>
      <w:tr w14:paraId="65CB17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tcPr>
          <w:p w14:paraId="14319676">
            <w:pPr>
              <w:pStyle w:val="85"/>
              <w:rPr>
                <w:color w:val="auto"/>
                <w:sz w:val="22"/>
                <w:szCs w:val="22"/>
              </w:rPr>
            </w:pPr>
            <w:r>
              <w:rPr>
                <w:color w:val="auto"/>
                <w:sz w:val="22"/>
                <w:szCs w:val="22"/>
              </w:rPr>
              <w:t>Урок 139</w:t>
            </w:r>
          </w:p>
        </w:tc>
        <w:tc>
          <w:tcPr>
            <w:tcW w:w="7937" w:type="dxa"/>
          </w:tcPr>
          <w:p w14:paraId="5DF3A9B5">
            <w:pPr>
              <w:pStyle w:val="85"/>
              <w:jc w:val="both"/>
              <w:rPr>
                <w:color w:val="auto"/>
                <w:sz w:val="22"/>
                <w:szCs w:val="22"/>
              </w:rPr>
            </w:pPr>
            <w:r>
              <w:rPr>
                <w:color w:val="auto"/>
                <w:sz w:val="22"/>
                <w:szCs w:val="22"/>
              </w:rPr>
              <w:t>Резервный урок. Как обозначить буквой безударный гласный звук</w:t>
            </w:r>
          </w:p>
        </w:tc>
      </w:tr>
      <w:tr w14:paraId="289D35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5A124210">
            <w:pPr>
              <w:pStyle w:val="85"/>
              <w:rPr>
                <w:color w:val="auto"/>
                <w:sz w:val="22"/>
                <w:szCs w:val="22"/>
              </w:rPr>
            </w:pPr>
            <w:r>
              <w:rPr>
                <w:color w:val="auto"/>
                <w:sz w:val="22"/>
                <w:szCs w:val="22"/>
              </w:rPr>
              <w:t>Урок 140</w:t>
            </w:r>
          </w:p>
        </w:tc>
        <w:tc>
          <w:tcPr>
            <w:tcW w:w="7937" w:type="dxa"/>
          </w:tcPr>
          <w:p w14:paraId="60D61AF8">
            <w:pPr>
              <w:pStyle w:val="85"/>
              <w:jc w:val="both"/>
              <w:rPr>
                <w:color w:val="auto"/>
                <w:sz w:val="22"/>
                <w:szCs w:val="22"/>
              </w:rPr>
            </w:pPr>
            <w:r>
              <w:rPr>
                <w:color w:val="auto"/>
                <w:sz w:val="22"/>
                <w:szCs w:val="22"/>
              </w:rPr>
              <w:t>Общее представление о родственных словах. Объяснительное письмо слов</w:t>
            </w:r>
          </w:p>
        </w:tc>
      </w:tr>
      <w:tr w14:paraId="5CD955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tcPr>
          <w:p w14:paraId="19741C4B">
            <w:pPr>
              <w:pStyle w:val="85"/>
              <w:rPr>
                <w:color w:val="auto"/>
                <w:sz w:val="22"/>
                <w:szCs w:val="22"/>
              </w:rPr>
            </w:pPr>
            <w:r>
              <w:rPr>
                <w:color w:val="auto"/>
                <w:sz w:val="22"/>
                <w:szCs w:val="22"/>
              </w:rPr>
              <w:t>Урок 141</w:t>
            </w:r>
          </w:p>
        </w:tc>
        <w:tc>
          <w:tcPr>
            <w:tcW w:w="7937" w:type="dxa"/>
          </w:tcPr>
          <w:p w14:paraId="6D3BEE10">
            <w:pPr>
              <w:pStyle w:val="85"/>
              <w:jc w:val="both"/>
              <w:rPr>
                <w:color w:val="auto"/>
                <w:sz w:val="22"/>
                <w:szCs w:val="22"/>
              </w:rPr>
            </w:pPr>
            <w:r>
              <w:rPr>
                <w:color w:val="auto"/>
                <w:sz w:val="22"/>
                <w:szCs w:val="22"/>
              </w:rPr>
              <w:t>Учимся запоминать слова с непроверяемыми гласными и согласными</w:t>
            </w:r>
          </w:p>
        </w:tc>
      </w:tr>
      <w:tr w14:paraId="3A4FD3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tcPr>
          <w:p w14:paraId="04C63288">
            <w:pPr>
              <w:pStyle w:val="85"/>
              <w:rPr>
                <w:color w:val="auto"/>
                <w:sz w:val="22"/>
                <w:szCs w:val="22"/>
              </w:rPr>
            </w:pPr>
            <w:r>
              <w:rPr>
                <w:color w:val="auto"/>
                <w:sz w:val="22"/>
                <w:szCs w:val="22"/>
              </w:rPr>
              <w:t>Урок 142</w:t>
            </w:r>
          </w:p>
        </w:tc>
        <w:tc>
          <w:tcPr>
            <w:tcW w:w="7937" w:type="dxa"/>
          </w:tcPr>
          <w:p w14:paraId="7F898613">
            <w:pPr>
              <w:pStyle w:val="85"/>
              <w:jc w:val="both"/>
              <w:rPr>
                <w:color w:val="auto"/>
                <w:sz w:val="22"/>
                <w:szCs w:val="22"/>
              </w:rPr>
            </w:pPr>
            <w:r>
              <w:rPr>
                <w:color w:val="auto"/>
                <w:sz w:val="22"/>
                <w:szCs w:val="22"/>
              </w:rPr>
              <w:t>Составление небольших устных рассказов на основе наблюдений</w:t>
            </w:r>
          </w:p>
        </w:tc>
      </w:tr>
      <w:tr w14:paraId="52020D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tcPr>
          <w:p w14:paraId="6B567DC6">
            <w:pPr>
              <w:pStyle w:val="85"/>
              <w:rPr>
                <w:color w:val="auto"/>
                <w:sz w:val="22"/>
                <w:szCs w:val="22"/>
              </w:rPr>
            </w:pPr>
            <w:r>
              <w:rPr>
                <w:color w:val="auto"/>
                <w:sz w:val="22"/>
                <w:szCs w:val="22"/>
              </w:rPr>
              <w:t>Урок 143</w:t>
            </w:r>
          </w:p>
        </w:tc>
        <w:tc>
          <w:tcPr>
            <w:tcW w:w="7937" w:type="dxa"/>
          </w:tcPr>
          <w:p w14:paraId="038039E3">
            <w:pPr>
              <w:pStyle w:val="85"/>
              <w:jc w:val="both"/>
              <w:rPr>
                <w:color w:val="auto"/>
                <w:sz w:val="22"/>
                <w:szCs w:val="22"/>
              </w:rPr>
            </w:pPr>
            <w:r>
              <w:rPr>
                <w:color w:val="auto"/>
                <w:sz w:val="22"/>
                <w:szCs w:val="22"/>
              </w:rPr>
              <w:t>Резервный урок. Буквы И и Й. Перенос слов со строки на строку</w:t>
            </w:r>
          </w:p>
        </w:tc>
      </w:tr>
      <w:tr w14:paraId="63CE0D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64A498FF">
            <w:pPr>
              <w:pStyle w:val="85"/>
              <w:rPr>
                <w:color w:val="auto"/>
                <w:sz w:val="22"/>
                <w:szCs w:val="22"/>
              </w:rPr>
            </w:pPr>
            <w:r>
              <w:rPr>
                <w:color w:val="auto"/>
                <w:sz w:val="22"/>
                <w:szCs w:val="22"/>
              </w:rPr>
              <w:t>Урок 144</w:t>
            </w:r>
          </w:p>
        </w:tc>
        <w:tc>
          <w:tcPr>
            <w:tcW w:w="7937" w:type="dxa"/>
          </w:tcPr>
          <w:p w14:paraId="290F466E">
            <w:pPr>
              <w:pStyle w:val="85"/>
              <w:jc w:val="both"/>
              <w:rPr>
                <w:color w:val="auto"/>
                <w:sz w:val="22"/>
                <w:szCs w:val="22"/>
              </w:rPr>
            </w:pPr>
            <w:r>
              <w:rPr>
                <w:color w:val="auto"/>
                <w:sz w:val="22"/>
                <w:szCs w:val="22"/>
              </w:rPr>
              <w:t>Функции букв е, ё, ю, я. Как обозначить на письме мягкость согласных звуков</w:t>
            </w:r>
          </w:p>
        </w:tc>
      </w:tr>
      <w:tr w14:paraId="639B38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202F3E59">
            <w:pPr>
              <w:pStyle w:val="85"/>
              <w:rPr>
                <w:color w:val="auto"/>
                <w:sz w:val="22"/>
                <w:szCs w:val="22"/>
              </w:rPr>
            </w:pPr>
            <w:r>
              <w:rPr>
                <w:color w:val="auto"/>
                <w:sz w:val="22"/>
                <w:szCs w:val="22"/>
              </w:rPr>
              <w:t>Урок 145</w:t>
            </w:r>
          </w:p>
        </w:tc>
        <w:tc>
          <w:tcPr>
            <w:tcW w:w="7937" w:type="dxa"/>
          </w:tcPr>
          <w:p w14:paraId="220262E6">
            <w:pPr>
              <w:pStyle w:val="85"/>
              <w:jc w:val="both"/>
              <w:rPr>
                <w:color w:val="auto"/>
                <w:sz w:val="22"/>
                <w:szCs w:val="22"/>
              </w:rPr>
            </w:pPr>
            <w:r>
              <w:rPr>
                <w:color w:val="auto"/>
                <w:sz w:val="22"/>
                <w:szCs w:val="22"/>
              </w:rPr>
              <w:t>Восстановление деформированного текста. Когда употребляется в словах буква ь</w:t>
            </w:r>
          </w:p>
        </w:tc>
      </w:tr>
      <w:tr w14:paraId="0FBB65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3715D288">
            <w:pPr>
              <w:pStyle w:val="85"/>
              <w:rPr>
                <w:color w:val="auto"/>
                <w:sz w:val="22"/>
                <w:szCs w:val="22"/>
              </w:rPr>
            </w:pPr>
            <w:r>
              <w:rPr>
                <w:color w:val="auto"/>
                <w:sz w:val="22"/>
                <w:szCs w:val="22"/>
              </w:rPr>
              <w:t>Урок 146</w:t>
            </w:r>
          </w:p>
        </w:tc>
        <w:tc>
          <w:tcPr>
            <w:tcW w:w="7937" w:type="dxa"/>
          </w:tcPr>
          <w:p w14:paraId="48BE0FFD">
            <w:pPr>
              <w:pStyle w:val="85"/>
              <w:jc w:val="both"/>
              <w:rPr>
                <w:color w:val="auto"/>
                <w:sz w:val="22"/>
                <w:szCs w:val="22"/>
              </w:rPr>
            </w:pPr>
            <w:r>
              <w:rPr>
                <w:color w:val="auto"/>
                <w:sz w:val="22"/>
                <w:szCs w:val="22"/>
              </w:rPr>
              <w:t>Согласные звуки: систематизация знаний. Глухие и звонкие согласные звуки</w:t>
            </w:r>
          </w:p>
        </w:tc>
      </w:tr>
      <w:tr w14:paraId="3EA405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5CEA41BE">
            <w:pPr>
              <w:pStyle w:val="85"/>
              <w:rPr>
                <w:color w:val="auto"/>
                <w:sz w:val="22"/>
                <w:szCs w:val="22"/>
              </w:rPr>
            </w:pPr>
            <w:r>
              <w:rPr>
                <w:color w:val="auto"/>
                <w:sz w:val="22"/>
                <w:szCs w:val="22"/>
              </w:rPr>
              <w:t>Урок 147</w:t>
            </w:r>
          </w:p>
        </w:tc>
        <w:tc>
          <w:tcPr>
            <w:tcW w:w="7937" w:type="dxa"/>
          </w:tcPr>
          <w:p w14:paraId="2AB7274C">
            <w:pPr>
              <w:pStyle w:val="85"/>
              <w:jc w:val="both"/>
              <w:rPr>
                <w:color w:val="auto"/>
                <w:sz w:val="22"/>
                <w:szCs w:val="22"/>
              </w:rPr>
            </w:pPr>
            <w:r>
              <w:rPr>
                <w:color w:val="auto"/>
                <w:sz w:val="22"/>
                <w:szCs w:val="22"/>
              </w:rPr>
              <w:t>Резервный урок. Как обозначить буквой парный по глухости-звонкости согласный звук</w:t>
            </w:r>
          </w:p>
        </w:tc>
      </w:tr>
      <w:tr w14:paraId="6B73A5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7E61959F">
            <w:pPr>
              <w:pStyle w:val="85"/>
              <w:rPr>
                <w:color w:val="auto"/>
                <w:sz w:val="22"/>
                <w:szCs w:val="22"/>
              </w:rPr>
            </w:pPr>
            <w:r>
              <w:rPr>
                <w:color w:val="auto"/>
                <w:sz w:val="22"/>
                <w:szCs w:val="22"/>
              </w:rPr>
              <w:t>Урок 148</w:t>
            </w:r>
          </w:p>
        </w:tc>
        <w:tc>
          <w:tcPr>
            <w:tcW w:w="7937" w:type="dxa"/>
          </w:tcPr>
          <w:p w14:paraId="3B6CBC5E">
            <w:pPr>
              <w:pStyle w:val="85"/>
              <w:jc w:val="both"/>
              <w:rPr>
                <w:color w:val="auto"/>
                <w:sz w:val="22"/>
                <w:szCs w:val="22"/>
              </w:rPr>
            </w:pPr>
            <w:r>
              <w:rPr>
                <w:color w:val="auto"/>
                <w:sz w:val="22"/>
                <w:szCs w:val="22"/>
              </w:rPr>
              <w:t>Обучение приемам самопроверки после списывания текста. Правописание букв парных по глухости-звонкости согласных</w:t>
            </w:r>
          </w:p>
        </w:tc>
      </w:tr>
      <w:tr w14:paraId="6191C3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tcPr>
          <w:p w14:paraId="772C4B18">
            <w:pPr>
              <w:pStyle w:val="85"/>
              <w:rPr>
                <w:color w:val="auto"/>
                <w:sz w:val="22"/>
                <w:szCs w:val="22"/>
              </w:rPr>
            </w:pPr>
            <w:r>
              <w:rPr>
                <w:color w:val="auto"/>
                <w:sz w:val="22"/>
                <w:szCs w:val="22"/>
              </w:rPr>
              <w:t>Урок 149</w:t>
            </w:r>
          </w:p>
        </w:tc>
        <w:tc>
          <w:tcPr>
            <w:tcW w:w="7937" w:type="dxa"/>
          </w:tcPr>
          <w:p w14:paraId="17455B7B">
            <w:pPr>
              <w:pStyle w:val="85"/>
              <w:jc w:val="both"/>
              <w:rPr>
                <w:color w:val="auto"/>
                <w:sz w:val="22"/>
                <w:szCs w:val="22"/>
              </w:rPr>
            </w:pPr>
            <w:r>
              <w:rPr>
                <w:color w:val="auto"/>
                <w:sz w:val="22"/>
                <w:szCs w:val="22"/>
              </w:rPr>
              <w:t>Правописание сочетаний чк, чн. Шипящие согласные звуки</w:t>
            </w:r>
          </w:p>
        </w:tc>
      </w:tr>
      <w:tr w14:paraId="7B9284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0213D66B">
            <w:pPr>
              <w:pStyle w:val="85"/>
              <w:rPr>
                <w:color w:val="auto"/>
                <w:sz w:val="22"/>
                <w:szCs w:val="22"/>
              </w:rPr>
            </w:pPr>
            <w:r>
              <w:rPr>
                <w:color w:val="auto"/>
                <w:sz w:val="22"/>
                <w:szCs w:val="22"/>
              </w:rPr>
              <w:t>Урок 150</w:t>
            </w:r>
          </w:p>
        </w:tc>
        <w:tc>
          <w:tcPr>
            <w:tcW w:w="7937" w:type="dxa"/>
          </w:tcPr>
          <w:p w14:paraId="7D6EDDF8">
            <w:pPr>
              <w:pStyle w:val="85"/>
              <w:jc w:val="both"/>
              <w:rPr>
                <w:color w:val="auto"/>
                <w:sz w:val="22"/>
                <w:szCs w:val="22"/>
              </w:rPr>
            </w:pPr>
            <w:r>
              <w:rPr>
                <w:color w:val="auto"/>
                <w:sz w:val="22"/>
                <w:szCs w:val="22"/>
              </w:rPr>
              <w:t>Закрепление правописания слов с сочетаниями чк, чн. Объяснительное письмо слов и предложений</w:t>
            </w:r>
          </w:p>
        </w:tc>
      </w:tr>
      <w:tr w14:paraId="3FA055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7E01E83F">
            <w:pPr>
              <w:pStyle w:val="85"/>
              <w:rPr>
                <w:color w:val="auto"/>
                <w:sz w:val="22"/>
                <w:szCs w:val="22"/>
              </w:rPr>
            </w:pPr>
            <w:r>
              <w:rPr>
                <w:color w:val="auto"/>
                <w:sz w:val="22"/>
                <w:szCs w:val="22"/>
              </w:rPr>
              <w:t>Урок 151</w:t>
            </w:r>
          </w:p>
        </w:tc>
        <w:tc>
          <w:tcPr>
            <w:tcW w:w="7937" w:type="dxa"/>
          </w:tcPr>
          <w:p w14:paraId="2F4E9CA4">
            <w:pPr>
              <w:pStyle w:val="85"/>
              <w:jc w:val="both"/>
              <w:rPr>
                <w:color w:val="auto"/>
                <w:sz w:val="22"/>
                <w:szCs w:val="22"/>
              </w:rPr>
            </w:pPr>
            <w:r>
              <w:rPr>
                <w:color w:val="auto"/>
                <w:sz w:val="22"/>
                <w:szCs w:val="22"/>
              </w:rPr>
              <w:t>Гласные после шипящих в сочетаниях жи, ши (в положении под ударением)</w:t>
            </w:r>
          </w:p>
        </w:tc>
      </w:tr>
      <w:tr w14:paraId="1E0183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68C0E155">
            <w:pPr>
              <w:pStyle w:val="85"/>
              <w:rPr>
                <w:color w:val="auto"/>
                <w:sz w:val="22"/>
                <w:szCs w:val="22"/>
              </w:rPr>
            </w:pPr>
            <w:r>
              <w:rPr>
                <w:color w:val="auto"/>
                <w:sz w:val="22"/>
                <w:szCs w:val="22"/>
              </w:rPr>
              <w:t>Урок 152</w:t>
            </w:r>
          </w:p>
        </w:tc>
        <w:tc>
          <w:tcPr>
            <w:tcW w:w="7937" w:type="dxa"/>
          </w:tcPr>
          <w:p w14:paraId="169975E7">
            <w:pPr>
              <w:pStyle w:val="85"/>
              <w:jc w:val="both"/>
              <w:rPr>
                <w:color w:val="auto"/>
                <w:sz w:val="22"/>
                <w:szCs w:val="22"/>
              </w:rPr>
            </w:pPr>
            <w:r>
              <w:rPr>
                <w:color w:val="auto"/>
                <w:sz w:val="22"/>
                <w:szCs w:val="22"/>
              </w:rPr>
              <w:t>Закрепление правописания гласных после шипящих в сочетаниях жи, ши</w:t>
            </w:r>
          </w:p>
        </w:tc>
      </w:tr>
      <w:tr w14:paraId="44CC33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tcPr>
          <w:p w14:paraId="7DE9F3DD">
            <w:pPr>
              <w:pStyle w:val="85"/>
              <w:rPr>
                <w:color w:val="auto"/>
                <w:sz w:val="22"/>
                <w:szCs w:val="22"/>
              </w:rPr>
            </w:pPr>
            <w:r>
              <w:rPr>
                <w:color w:val="auto"/>
                <w:sz w:val="22"/>
                <w:szCs w:val="22"/>
              </w:rPr>
              <w:t>Урок 153</w:t>
            </w:r>
          </w:p>
        </w:tc>
        <w:tc>
          <w:tcPr>
            <w:tcW w:w="7937" w:type="dxa"/>
          </w:tcPr>
          <w:p w14:paraId="7B232D71">
            <w:pPr>
              <w:pStyle w:val="85"/>
              <w:jc w:val="both"/>
              <w:rPr>
                <w:color w:val="auto"/>
                <w:sz w:val="22"/>
                <w:szCs w:val="22"/>
              </w:rPr>
            </w:pPr>
            <w:r>
              <w:rPr>
                <w:color w:val="auto"/>
                <w:sz w:val="22"/>
                <w:szCs w:val="22"/>
              </w:rPr>
              <w:t>Гласные после шипящих в сочетаниях ча, ща, чу, щу</w:t>
            </w:r>
          </w:p>
        </w:tc>
      </w:tr>
      <w:tr w14:paraId="593902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tcPr>
          <w:p w14:paraId="54942858">
            <w:pPr>
              <w:pStyle w:val="85"/>
              <w:rPr>
                <w:color w:val="auto"/>
                <w:sz w:val="22"/>
                <w:szCs w:val="22"/>
              </w:rPr>
            </w:pPr>
            <w:r>
              <w:rPr>
                <w:color w:val="auto"/>
                <w:sz w:val="22"/>
                <w:szCs w:val="22"/>
              </w:rPr>
              <w:t>Урок 154</w:t>
            </w:r>
          </w:p>
        </w:tc>
        <w:tc>
          <w:tcPr>
            <w:tcW w:w="7937" w:type="dxa"/>
          </w:tcPr>
          <w:p w14:paraId="650C4462">
            <w:pPr>
              <w:pStyle w:val="85"/>
              <w:jc w:val="both"/>
              <w:rPr>
                <w:color w:val="auto"/>
                <w:sz w:val="22"/>
                <w:szCs w:val="22"/>
              </w:rPr>
            </w:pPr>
            <w:r>
              <w:rPr>
                <w:color w:val="auto"/>
                <w:sz w:val="22"/>
                <w:szCs w:val="22"/>
              </w:rPr>
              <w:t>Речевой этикет: ситуация извинения</w:t>
            </w:r>
          </w:p>
        </w:tc>
      </w:tr>
      <w:tr w14:paraId="67B403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17361D18">
            <w:pPr>
              <w:pStyle w:val="85"/>
              <w:rPr>
                <w:color w:val="auto"/>
                <w:sz w:val="22"/>
                <w:szCs w:val="22"/>
              </w:rPr>
            </w:pPr>
            <w:r>
              <w:rPr>
                <w:color w:val="auto"/>
                <w:sz w:val="22"/>
                <w:szCs w:val="22"/>
              </w:rPr>
              <w:t>Урок 155</w:t>
            </w:r>
          </w:p>
        </w:tc>
        <w:tc>
          <w:tcPr>
            <w:tcW w:w="7937" w:type="dxa"/>
          </w:tcPr>
          <w:p w14:paraId="33CC0BF9">
            <w:pPr>
              <w:pStyle w:val="85"/>
              <w:jc w:val="both"/>
              <w:rPr>
                <w:color w:val="auto"/>
                <w:sz w:val="22"/>
                <w:szCs w:val="22"/>
              </w:rPr>
            </w:pPr>
            <w:r>
              <w:rPr>
                <w:color w:val="auto"/>
                <w:sz w:val="22"/>
                <w:szCs w:val="22"/>
              </w:rPr>
              <w:t>Закрепление правописания гласных после шипящих в сочетаниях ча, ща, чу, щу</w:t>
            </w:r>
          </w:p>
        </w:tc>
      </w:tr>
      <w:tr w14:paraId="0E7D57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0A24D5A3">
            <w:pPr>
              <w:pStyle w:val="85"/>
              <w:rPr>
                <w:color w:val="auto"/>
                <w:sz w:val="22"/>
                <w:szCs w:val="22"/>
              </w:rPr>
            </w:pPr>
            <w:r>
              <w:rPr>
                <w:color w:val="auto"/>
                <w:sz w:val="22"/>
                <w:szCs w:val="22"/>
              </w:rPr>
              <w:t>Урок 156</w:t>
            </w:r>
          </w:p>
        </w:tc>
        <w:tc>
          <w:tcPr>
            <w:tcW w:w="7937" w:type="dxa"/>
          </w:tcPr>
          <w:p w14:paraId="6817552B">
            <w:pPr>
              <w:pStyle w:val="85"/>
              <w:jc w:val="both"/>
              <w:rPr>
                <w:color w:val="auto"/>
                <w:sz w:val="22"/>
                <w:szCs w:val="22"/>
              </w:rPr>
            </w:pPr>
            <w:r>
              <w:rPr>
                <w:color w:val="auto"/>
                <w:sz w:val="22"/>
                <w:szCs w:val="22"/>
              </w:rPr>
              <w:t>Заглавная буква в именах собственных: в именах и фамилиях людей.</w:t>
            </w:r>
          </w:p>
          <w:p w14:paraId="68A62826">
            <w:pPr>
              <w:pStyle w:val="85"/>
              <w:jc w:val="both"/>
              <w:rPr>
                <w:color w:val="auto"/>
                <w:sz w:val="22"/>
                <w:szCs w:val="22"/>
              </w:rPr>
            </w:pPr>
            <w:r>
              <w:rPr>
                <w:color w:val="auto"/>
                <w:sz w:val="22"/>
                <w:szCs w:val="22"/>
              </w:rPr>
              <w:t>Заглавная буква в именах собственных: в кличках животных</w:t>
            </w:r>
          </w:p>
        </w:tc>
      </w:tr>
      <w:tr w14:paraId="4D05B3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34C3CFF3">
            <w:pPr>
              <w:pStyle w:val="85"/>
              <w:rPr>
                <w:color w:val="auto"/>
                <w:sz w:val="22"/>
                <w:szCs w:val="22"/>
              </w:rPr>
            </w:pPr>
            <w:r>
              <w:rPr>
                <w:color w:val="auto"/>
                <w:sz w:val="22"/>
                <w:szCs w:val="22"/>
              </w:rPr>
              <w:t>Урок 157</w:t>
            </w:r>
          </w:p>
        </w:tc>
        <w:tc>
          <w:tcPr>
            <w:tcW w:w="7937" w:type="dxa"/>
          </w:tcPr>
          <w:p w14:paraId="39CA5478">
            <w:pPr>
              <w:pStyle w:val="85"/>
              <w:jc w:val="both"/>
              <w:rPr>
                <w:color w:val="auto"/>
                <w:sz w:val="22"/>
                <w:szCs w:val="22"/>
              </w:rPr>
            </w:pPr>
            <w:r>
              <w:rPr>
                <w:color w:val="auto"/>
                <w:sz w:val="22"/>
                <w:szCs w:val="22"/>
              </w:rPr>
              <w:t>Знаки препинания в конце предложения: точка, вопросительный и восклицательный знаки</w:t>
            </w:r>
          </w:p>
        </w:tc>
      </w:tr>
      <w:tr w14:paraId="486C5F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tcPr>
          <w:p w14:paraId="7C39DF44">
            <w:pPr>
              <w:pStyle w:val="85"/>
              <w:rPr>
                <w:color w:val="auto"/>
                <w:sz w:val="22"/>
                <w:szCs w:val="22"/>
              </w:rPr>
            </w:pPr>
            <w:r>
              <w:rPr>
                <w:color w:val="auto"/>
                <w:sz w:val="22"/>
                <w:szCs w:val="22"/>
              </w:rPr>
              <w:t>Урок 158</w:t>
            </w:r>
          </w:p>
        </w:tc>
        <w:tc>
          <w:tcPr>
            <w:tcW w:w="7937" w:type="dxa"/>
          </w:tcPr>
          <w:p w14:paraId="2BF8F65E">
            <w:pPr>
              <w:pStyle w:val="85"/>
              <w:jc w:val="both"/>
              <w:rPr>
                <w:color w:val="auto"/>
                <w:sz w:val="22"/>
                <w:szCs w:val="22"/>
              </w:rPr>
            </w:pPr>
            <w:r>
              <w:rPr>
                <w:color w:val="auto"/>
                <w:sz w:val="22"/>
                <w:szCs w:val="22"/>
              </w:rPr>
              <w:t>Резервный урок. Перенос слов со строки на строку</w:t>
            </w:r>
          </w:p>
        </w:tc>
      </w:tr>
      <w:tr w14:paraId="76595C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tcPr>
          <w:p w14:paraId="4465FB2E">
            <w:pPr>
              <w:pStyle w:val="85"/>
              <w:rPr>
                <w:color w:val="auto"/>
                <w:sz w:val="22"/>
                <w:szCs w:val="22"/>
              </w:rPr>
            </w:pPr>
            <w:r>
              <w:rPr>
                <w:color w:val="auto"/>
                <w:sz w:val="22"/>
                <w:szCs w:val="22"/>
              </w:rPr>
              <w:t>Урок 159</w:t>
            </w:r>
          </w:p>
        </w:tc>
        <w:tc>
          <w:tcPr>
            <w:tcW w:w="7937" w:type="dxa"/>
          </w:tcPr>
          <w:p w14:paraId="16FD9961">
            <w:pPr>
              <w:pStyle w:val="85"/>
              <w:jc w:val="both"/>
              <w:rPr>
                <w:color w:val="auto"/>
                <w:sz w:val="22"/>
                <w:szCs w:val="22"/>
              </w:rPr>
            </w:pPr>
            <w:r>
              <w:rPr>
                <w:color w:val="auto"/>
                <w:sz w:val="22"/>
                <w:szCs w:val="22"/>
              </w:rPr>
              <w:t>Резервный урок. Объяснительное письмо под диктовку слов</w:t>
            </w:r>
          </w:p>
        </w:tc>
      </w:tr>
      <w:tr w14:paraId="65C1C1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tcPr>
          <w:p w14:paraId="6AF12C16">
            <w:pPr>
              <w:pStyle w:val="85"/>
              <w:rPr>
                <w:color w:val="auto"/>
                <w:sz w:val="22"/>
                <w:szCs w:val="22"/>
              </w:rPr>
            </w:pPr>
            <w:r>
              <w:rPr>
                <w:color w:val="auto"/>
                <w:sz w:val="22"/>
                <w:szCs w:val="22"/>
              </w:rPr>
              <w:t>Урок 160</w:t>
            </w:r>
          </w:p>
        </w:tc>
        <w:tc>
          <w:tcPr>
            <w:tcW w:w="7937" w:type="dxa"/>
          </w:tcPr>
          <w:p w14:paraId="7F18BF1F">
            <w:pPr>
              <w:pStyle w:val="85"/>
              <w:jc w:val="both"/>
              <w:rPr>
                <w:color w:val="auto"/>
                <w:sz w:val="22"/>
                <w:szCs w:val="22"/>
              </w:rPr>
            </w:pPr>
            <w:r>
              <w:rPr>
                <w:color w:val="auto"/>
                <w:sz w:val="22"/>
                <w:szCs w:val="22"/>
              </w:rPr>
              <w:t>Резервный урок. Объяснительное письмо под диктовку слов</w:t>
            </w:r>
          </w:p>
        </w:tc>
      </w:tr>
      <w:tr w14:paraId="6BF273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03C1B586">
            <w:pPr>
              <w:pStyle w:val="85"/>
              <w:rPr>
                <w:color w:val="auto"/>
                <w:sz w:val="22"/>
                <w:szCs w:val="22"/>
              </w:rPr>
            </w:pPr>
            <w:r>
              <w:rPr>
                <w:color w:val="auto"/>
                <w:sz w:val="22"/>
                <w:szCs w:val="22"/>
              </w:rPr>
              <w:t>Урок 161</w:t>
            </w:r>
          </w:p>
        </w:tc>
        <w:tc>
          <w:tcPr>
            <w:tcW w:w="7937" w:type="dxa"/>
          </w:tcPr>
          <w:p w14:paraId="5F7B3004">
            <w:pPr>
              <w:pStyle w:val="85"/>
              <w:jc w:val="both"/>
              <w:rPr>
                <w:color w:val="auto"/>
                <w:sz w:val="22"/>
                <w:szCs w:val="22"/>
              </w:rPr>
            </w:pPr>
            <w:r>
              <w:rPr>
                <w:color w:val="auto"/>
                <w:sz w:val="22"/>
                <w:szCs w:val="22"/>
              </w:rPr>
              <w:t>Резервный урок. Объяснительное письмо под диктовку слов и предложений</w:t>
            </w:r>
          </w:p>
        </w:tc>
      </w:tr>
      <w:tr w14:paraId="3C8090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tcPr>
          <w:p w14:paraId="6CBDBE1D">
            <w:pPr>
              <w:pStyle w:val="85"/>
              <w:rPr>
                <w:color w:val="auto"/>
                <w:sz w:val="22"/>
                <w:szCs w:val="22"/>
              </w:rPr>
            </w:pPr>
            <w:r>
              <w:rPr>
                <w:color w:val="auto"/>
                <w:sz w:val="22"/>
                <w:szCs w:val="22"/>
              </w:rPr>
              <w:t>Урок 162</w:t>
            </w:r>
          </w:p>
        </w:tc>
        <w:tc>
          <w:tcPr>
            <w:tcW w:w="7937" w:type="dxa"/>
          </w:tcPr>
          <w:p w14:paraId="36D0E7F5">
            <w:pPr>
              <w:pStyle w:val="85"/>
              <w:jc w:val="both"/>
              <w:rPr>
                <w:color w:val="auto"/>
                <w:sz w:val="22"/>
                <w:szCs w:val="22"/>
              </w:rPr>
            </w:pPr>
            <w:r>
              <w:rPr>
                <w:color w:val="auto"/>
                <w:sz w:val="22"/>
                <w:szCs w:val="22"/>
              </w:rPr>
              <w:t>Резервный урок. Объяснительная запись под диктовку текста</w:t>
            </w:r>
          </w:p>
        </w:tc>
      </w:tr>
      <w:tr w14:paraId="326678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tcPr>
          <w:p w14:paraId="23274FE2">
            <w:pPr>
              <w:pStyle w:val="85"/>
              <w:rPr>
                <w:color w:val="auto"/>
                <w:sz w:val="22"/>
                <w:szCs w:val="22"/>
              </w:rPr>
            </w:pPr>
            <w:r>
              <w:rPr>
                <w:color w:val="auto"/>
                <w:sz w:val="22"/>
                <w:szCs w:val="22"/>
              </w:rPr>
              <w:t>Урок 163</w:t>
            </w:r>
          </w:p>
        </w:tc>
        <w:tc>
          <w:tcPr>
            <w:tcW w:w="7937" w:type="dxa"/>
          </w:tcPr>
          <w:p w14:paraId="5AAD4EDD">
            <w:pPr>
              <w:pStyle w:val="85"/>
              <w:jc w:val="both"/>
              <w:rPr>
                <w:color w:val="auto"/>
                <w:sz w:val="22"/>
                <w:szCs w:val="22"/>
              </w:rPr>
            </w:pPr>
            <w:r>
              <w:rPr>
                <w:color w:val="auto"/>
                <w:sz w:val="22"/>
                <w:szCs w:val="22"/>
              </w:rPr>
              <w:t>Объяснительный диктант</w:t>
            </w:r>
          </w:p>
        </w:tc>
      </w:tr>
      <w:tr w14:paraId="18E902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tcPr>
          <w:p w14:paraId="26858F3D">
            <w:pPr>
              <w:pStyle w:val="85"/>
              <w:rPr>
                <w:color w:val="auto"/>
                <w:sz w:val="22"/>
                <w:szCs w:val="22"/>
              </w:rPr>
            </w:pPr>
            <w:r>
              <w:rPr>
                <w:color w:val="auto"/>
                <w:sz w:val="22"/>
                <w:szCs w:val="22"/>
              </w:rPr>
              <w:t>Урок 164</w:t>
            </w:r>
          </w:p>
        </w:tc>
        <w:tc>
          <w:tcPr>
            <w:tcW w:w="7937" w:type="dxa"/>
          </w:tcPr>
          <w:p w14:paraId="7C597DF0">
            <w:pPr>
              <w:pStyle w:val="85"/>
              <w:jc w:val="both"/>
              <w:rPr>
                <w:color w:val="auto"/>
                <w:sz w:val="22"/>
                <w:szCs w:val="22"/>
              </w:rPr>
            </w:pPr>
            <w:r>
              <w:rPr>
                <w:color w:val="auto"/>
                <w:sz w:val="22"/>
                <w:szCs w:val="22"/>
              </w:rPr>
              <w:t>Резервный урок. Как составить предложение из набора слов</w:t>
            </w:r>
          </w:p>
        </w:tc>
      </w:tr>
      <w:tr w14:paraId="173FAB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tcPr>
          <w:p w14:paraId="438E534F">
            <w:pPr>
              <w:pStyle w:val="85"/>
              <w:rPr>
                <w:color w:val="auto"/>
                <w:sz w:val="22"/>
                <w:szCs w:val="22"/>
              </w:rPr>
            </w:pPr>
            <w:r>
              <w:rPr>
                <w:color w:val="auto"/>
                <w:sz w:val="22"/>
                <w:szCs w:val="22"/>
              </w:rPr>
              <w:t>Урок 165</w:t>
            </w:r>
          </w:p>
        </w:tc>
        <w:tc>
          <w:tcPr>
            <w:tcW w:w="7937" w:type="dxa"/>
          </w:tcPr>
          <w:p w14:paraId="37CD1CF8">
            <w:pPr>
              <w:pStyle w:val="85"/>
              <w:jc w:val="both"/>
              <w:rPr>
                <w:color w:val="auto"/>
                <w:sz w:val="22"/>
                <w:szCs w:val="22"/>
              </w:rPr>
            </w:pPr>
            <w:r>
              <w:rPr>
                <w:color w:val="auto"/>
                <w:sz w:val="22"/>
                <w:szCs w:val="22"/>
              </w:rPr>
              <w:t>Резервный урок. Составление из набора форм слов предложений</w:t>
            </w:r>
          </w:p>
        </w:tc>
      </w:tr>
      <w:tr w14:paraId="31BA24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9071" w:type="dxa"/>
            <w:gridSpan w:val="2"/>
          </w:tcPr>
          <w:p w14:paraId="1D2CF351">
            <w:pPr>
              <w:pStyle w:val="85"/>
              <w:jc w:val="both"/>
              <w:rPr>
                <w:color w:val="auto"/>
                <w:sz w:val="22"/>
                <w:szCs w:val="22"/>
              </w:rPr>
            </w:pPr>
            <w:r>
              <w:rPr>
                <w:color w:val="auto"/>
                <w:sz w:val="22"/>
                <w:szCs w:val="22"/>
              </w:rPr>
              <w:t>ОБЩЕЕ КОЛИЧЕСТВО УРОКОВ ПО ПРОГРАММЕ: 165</w:t>
            </w:r>
          </w:p>
        </w:tc>
      </w:tr>
    </w:tbl>
    <w:p w14:paraId="27477501">
      <w:pPr>
        <w:pStyle w:val="85"/>
        <w:ind w:firstLine="540"/>
        <w:jc w:val="both"/>
        <w:rPr>
          <w:color w:val="auto"/>
          <w:sz w:val="22"/>
          <w:szCs w:val="22"/>
        </w:rPr>
      </w:pPr>
    </w:p>
    <w:p w14:paraId="3770AC06">
      <w:pPr>
        <w:pStyle w:val="85"/>
        <w:jc w:val="right"/>
        <w:rPr>
          <w:color w:val="auto"/>
          <w:sz w:val="22"/>
          <w:szCs w:val="22"/>
        </w:rPr>
      </w:pPr>
      <w:r>
        <w:rPr>
          <w:color w:val="auto"/>
          <w:sz w:val="22"/>
          <w:szCs w:val="22"/>
        </w:rPr>
        <w:t>Таблица 2.1</w:t>
      </w:r>
    </w:p>
    <w:p w14:paraId="5B283B86">
      <w:pPr>
        <w:pStyle w:val="85"/>
        <w:ind w:firstLine="540"/>
        <w:jc w:val="both"/>
        <w:rPr>
          <w:color w:val="auto"/>
          <w:sz w:val="22"/>
          <w:szCs w:val="22"/>
        </w:rPr>
      </w:pPr>
    </w:p>
    <w:p w14:paraId="62B0EDC6">
      <w:pPr>
        <w:pStyle w:val="85"/>
        <w:jc w:val="both"/>
        <w:rPr>
          <w:color w:val="auto"/>
          <w:sz w:val="22"/>
          <w:szCs w:val="22"/>
        </w:rPr>
      </w:pPr>
      <w:r>
        <w:rPr>
          <w:color w:val="auto"/>
          <w:sz w:val="22"/>
          <w:szCs w:val="22"/>
        </w:rPr>
        <w:t>2 класс</w:t>
      </w:r>
    </w:p>
    <w:p w14:paraId="35968E57">
      <w:pPr>
        <w:pStyle w:val="85"/>
        <w:ind w:firstLine="540"/>
        <w:jc w:val="both"/>
        <w:rPr>
          <w:color w:val="auto"/>
          <w:sz w:val="22"/>
          <w:szCs w:val="22"/>
        </w:rPr>
      </w:pPr>
    </w:p>
    <w:tbl>
      <w:tblPr>
        <w:tblStyle w:val="1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02" w:type="dxa"/>
          <w:left w:w="62" w:type="dxa"/>
          <w:bottom w:w="102" w:type="dxa"/>
          <w:right w:w="62" w:type="dxa"/>
        </w:tblCellMar>
      </w:tblPr>
      <w:tblGrid>
        <w:gridCol w:w="1134"/>
        <w:gridCol w:w="7937"/>
      </w:tblGrid>
      <w:tr w14:paraId="0256B1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tcPr>
          <w:p w14:paraId="67123598">
            <w:pPr>
              <w:pStyle w:val="85"/>
              <w:jc w:val="center"/>
              <w:rPr>
                <w:color w:val="auto"/>
                <w:sz w:val="22"/>
                <w:szCs w:val="22"/>
              </w:rPr>
            </w:pPr>
            <w:r>
              <w:rPr>
                <w:color w:val="auto"/>
                <w:sz w:val="22"/>
                <w:szCs w:val="22"/>
              </w:rPr>
              <w:t>N урока</w:t>
            </w:r>
          </w:p>
        </w:tc>
        <w:tc>
          <w:tcPr>
            <w:tcW w:w="7937" w:type="dxa"/>
          </w:tcPr>
          <w:p w14:paraId="28462815">
            <w:pPr>
              <w:pStyle w:val="85"/>
              <w:jc w:val="center"/>
              <w:rPr>
                <w:color w:val="auto"/>
                <w:sz w:val="22"/>
                <w:szCs w:val="22"/>
              </w:rPr>
            </w:pPr>
            <w:r>
              <w:rPr>
                <w:color w:val="auto"/>
                <w:sz w:val="22"/>
                <w:szCs w:val="22"/>
              </w:rPr>
              <w:t>Тема урока</w:t>
            </w:r>
          </w:p>
        </w:tc>
      </w:tr>
      <w:tr w14:paraId="4A15CB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38D7C5B3">
            <w:pPr>
              <w:pStyle w:val="85"/>
              <w:rPr>
                <w:color w:val="auto"/>
                <w:sz w:val="22"/>
                <w:szCs w:val="22"/>
              </w:rPr>
            </w:pPr>
            <w:r>
              <w:rPr>
                <w:color w:val="auto"/>
                <w:sz w:val="22"/>
                <w:szCs w:val="22"/>
              </w:rPr>
              <w:t>Урок 1</w:t>
            </w:r>
          </w:p>
        </w:tc>
        <w:tc>
          <w:tcPr>
            <w:tcW w:w="7937" w:type="dxa"/>
          </w:tcPr>
          <w:p w14:paraId="5FE50520">
            <w:pPr>
              <w:pStyle w:val="85"/>
              <w:jc w:val="both"/>
              <w:rPr>
                <w:color w:val="auto"/>
                <w:sz w:val="22"/>
                <w:szCs w:val="22"/>
              </w:rPr>
            </w:pPr>
            <w:r>
              <w:rPr>
                <w:color w:val="auto"/>
                <w:sz w:val="22"/>
                <w:szCs w:val="22"/>
              </w:rPr>
              <w:t>Язык как явление национальной культуры. Многообразие языкового пространства России и мира. Наша речь и наш язык</w:t>
            </w:r>
          </w:p>
        </w:tc>
      </w:tr>
      <w:tr w14:paraId="0298F0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tcPr>
          <w:p w14:paraId="06FBA2E0">
            <w:pPr>
              <w:pStyle w:val="85"/>
              <w:rPr>
                <w:color w:val="auto"/>
                <w:sz w:val="22"/>
                <w:szCs w:val="22"/>
              </w:rPr>
            </w:pPr>
            <w:r>
              <w:rPr>
                <w:color w:val="auto"/>
                <w:sz w:val="22"/>
                <w:szCs w:val="22"/>
              </w:rPr>
              <w:t>Урок 2</w:t>
            </w:r>
          </w:p>
        </w:tc>
        <w:tc>
          <w:tcPr>
            <w:tcW w:w="7937" w:type="dxa"/>
          </w:tcPr>
          <w:p w14:paraId="71CFAF29">
            <w:pPr>
              <w:pStyle w:val="85"/>
              <w:jc w:val="both"/>
              <w:rPr>
                <w:color w:val="auto"/>
                <w:sz w:val="22"/>
                <w:szCs w:val="22"/>
              </w:rPr>
            </w:pPr>
            <w:r>
              <w:rPr>
                <w:color w:val="auto"/>
                <w:sz w:val="22"/>
                <w:szCs w:val="22"/>
              </w:rPr>
              <w:t>Диалогическая форма речи</w:t>
            </w:r>
          </w:p>
        </w:tc>
      </w:tr>
      <w:tr w14:paraId="5BD0D4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tcPr>
          <w:p w14:paraId="07DCA313">
            <w:pPr>
              <w:pStyle w:val="85"/>
              <w:rPr>
                <w:color w:val="auto"/>
                <w:sz w:val="22"/>
                <w:szCs w:val="22"/>
              </w:rPr>
            </w:pPr>
            <w:r>
              <w:rPr>
                <w:color w:val="auto"/>
                <w:sz w:val="22"/>
                <w:szCs w:val="22"/>
              </w:rPr>
              <w:t>Урок 3</w:t>
            </w:r>
          </w:p>
        </w:tc>
        <w:tc>
          <w:tcPr>
            <w:tcW w:w="7937" w:type="dxa"/>
          </w:tcPr>
          <w:p w14:paraId="1FA89D24">
            <w:pPr>
              <w:pStyle w:val="85"/>
              <w:jc w:val="both"/>
              <w:rPr>
                <w:color w:val="auto"/>
                <w:sz w:val="22"/>
                <w:szCs w:val="22"/>
              </w:rPr>
            </w:pPr>
            <w:r>
              <w:rPr>
                <w:color w:val="auto"/>
                <w:sz w:val="22"/>
                <w:szCs w:val="22"/>
              </w:rPr>
              <w:t>Резервный урок по разделу лексика: о происхождении слов</w:t>
            </w:r>
          </w:p>
        </w:tc>
      </w:tr>
      <w:tr w14:paraId="6B63E8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tcPr>
          <w:p w14:paraId="56B813F6">
            <w:pPr>
              <w:pStyle w:val="85"/>
              <w:rPr>
                <w:color w:val="auto"/>
                <w:sz w:val="22"/>
                <w:szCs w:val="22"/>
              </w:rPr>
            </w:pPr>
            <w:r>
              <w:rPr>
                <w:color w:val="auto"/>
                <w:sz w:val="22"/>
                <w:szCs w:val="22"/>
              </w:rPr>
              <w:t>Урок 4</w:t>
            </w:r>
          </w:p>
        </w:tc>
        <w:tc>
          <w:tcPr>
            <w:tcW w:w="7937" w:type="dxa"/>
          </w:tcPr>
          <w:p w14:paraId="2C2450CF">
            <w:pPr>
              <w:pStyle w:val="85"/>
              <w:jc w:val="both"/>
              <w:rPr>
                <w:color w:val="auto"/>
                <w:sz w:val="22"/>
                <w:szCs w:val="22"/>
              </w:rPr>
            </w:pPr>
            <w:r>
              <w:rPr>
                <w:color w:val="auto"/>
                <w:sz w:val="22"/>
                <w:szCs w:val="22"/>
              </w:rPr>
              <w:t>Текст</w:t>
            </w:r>
          </w:p>
        </w:tc>
      </w:tr>
      <w:tr w14:paraId="238162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522CED31">
            <w:pPr>
              <w:pStyle w:val="85"/>
              <w:rPr>
                <w:color w:val="auto"/>
                <w:sz w:val="22"/>
                <w:szCs w:val="22"/>
              </w:rPr>
            </w:pPr>
            <w:r>
              <w:rPr>
                <w:color w:val="auto"/>
                <w:sz w:val="22"/>
                <w:szCs w:val="22"/>
              </w:rPr>
              <w:t>Урок 5</w:t>
            </w:r>
          </w:p>
        </w:tc>
        <w:tc>
          <w:tcPr>
            <w:tcW w:w="7937" w:type="dxa"/>
          </w:tcPr>
          <w:p w14:paraId="66B83A62">
            <w:pPr>
              <w:pStyle w:val="85"/>
              <w:jc w:val="both"/>
              <w:rPr>
                <w:color w:val="auto"/>
                <w:sz w:val="22"/>
                <w:szCs w:val="22"/>
              </w:rPr>
            </w:pPr>
            <w:r>
              <w:rPr>
                <w:color w:val="auto"/>
                <w:sz w:val="22"/>
                <w:szCs w:val="22"/>
              </w:rPr>
              <w:t>Признаки текста: смысловое единство предложений в тексте; последовательность предложений в тексте; выражение в тексте законченной мысли</w:t>
            </w:r>
          </w:p>
        </w:tc>
      </w:tr>
      <w:tr w14:paraId="58DE2D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tcPr>
          <w:p w14:paraId="12E5DD86">
            <w:pPr>
              <w:pStyle w:val="85"/>
              <w:rPr>
                <w:color w:val="auto"/>
                <w:sz w:val="22"/>
                <w:szCs w:val="22"/>
              </w:rPr>
            </w:pPr>
            <w:r>
              <w:rPr>
                <w:color w:val="auto"/>
                <w:sz w:val="22"/>
                <w:szCs w:val="22"/>
              </w:rPr>
              <w:t>Урок 6</w:t>
            </w:r>
          </w:p>
        </w:tc>
        <w:tc>
          <w:tcPr>
            <w:tcW w:w="7937" w:type="dxa"/>
          </w:tcPr>
          <w:p w14:paraId="440E2BE5">
            <w:pPr>
              <w:pStyle w:val="85"/>
              <w:jc w:val="both"/>
              <w:rPr>
                <w:color w:val="auto"/>
                <w:sz w:val="22"/>
                <w:szCs w:val="22"/>
              </w:rPr>
            </w:pPr>
            <w:r>
              <w:rPr>
                <w:color w:val="auto"/>
                <w:sz w:val="22"/>
                <w:szCs w:val="22"/>
              </w:rPr>
              <w:t>Тема текста</w:t>
            </w:r>
          </w:p>
        </w:tc>
      </w:tr>
      <w:tr w14:paraId="38D335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tcPr>
          <w:p w14:paraId="2EBB0FA3">
            <w:pPr>
              <w:pStyle w:val="85"/>
              <w:rPr>
                <w:color w:val="auto"/>
                <w:sz w:val="22"/>
                <w:szCs w:val="22"/>
              </w:rPr>
            </w:pPr>
            <w:r>
              <w:rPr>
                <w:color w:val="auto"/>
                <w:sz w:val="22"/>
                <w:szCs w:val="22"/>
              </w:rPr>
              <w:t>Урок 7</w:t>
            </w:r>
          </w:p>
        </w:tc>
        <w:tc>
          <w:tcPr>
            <w:tcW w:w="7937" w:type="dxa"/>
          </w:tcPr>
          <w:p w14:paraId="704A5707">
            <w:pPr>
              <w:pStyle w:val="85"/>
              <w:jc w:val="both"/>
              <w:rPr>
                <w:color w:val="auto"/>
                <w:sz w:val="22"/>
                <w:szCs w:val="22"/>
              </w:rPr>
            </w:pPr>
            <w:r>
              <w:rPr>
                <w:color w:val="auto"/>
                <w:sz w:val="22"/>
                <w:szCs w:val="22"/>
              </w:rPr>
              <w:t>Основная мысль</w:t>
            </w:r>
          </w:p>
        </w:tc>
      </w:tr>
      <w:tr w14:paraId="6D389B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tcPr>
          <w:p w14:paraId="29AE25FA">
            <w:pPr>
              <w:pStyle w:val="85"/>
              <w:rPr>
                <w:color w:val="auto"/>
                <w:sz w:val="22"/>
                <w:szCs w:val="22"/>
              </w:rPr>
            </w:pPr>
            <w:r>
              <w:rPr>
                <w:color w:val="auto"/>
                <w:sz w:val="22"/>
                <w:szCs w:val="22"/>
              </w:rPr>
              <w:t>Урок 8</w:t>
            </w:r>
          </w:p>
        </w:tc>
        <w:tc>
          <w:tcPr>
            <w:tcW w:w="7937" w:type="dxa"/>
          </w:tcPr>
          <w:p w14:paraId="34D03286">
            <w:pPr>
              <w:pStyle w:val="85"/>
              <w:jc w:val="both"/>
              <w:rPr>
                <w:color w:val="auto"/>
                <w:sz w:val="22"/>
                <w:szCs w:val="22"/>
              </w:rPr>
            </w:pPr>
            <w:r>
              <w:rPr>
                <w:color w:val="auto"/>
                <w:sz w:val="22"/>
                <w:szCs w:val="22"/>
              </w:rPr>
              <w:t>Заглавие текста</w:t>
            </w:r>
          </w:p>
        </w:tc>
      </w:tr>
      <w:tr w14:paraId="253B70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tcPr>
          <w:p w14:paraId="47F45DFC">
            <w:pPr>
              <w:pStyle w:val="85"/>
              <w:rPr>
                <w:color w:val="auto"/>
                <w:sz w:val="22"/>
                <w:szCs w:val="22"/>
              </w:rPr>
            </w:pPr>
            <w:r>
              <w:rPr>
                <w:color w:val="auto"/>
                <w:sz w:val="22"/>
                <w:szCs w:val="22"/>
              </w:rPr>
              <w:t>Урок 9</w:t>
            </w:r>
          </w:p>
        </w:tc>
        <w:tc>
          <w:tcPr>
            <w:tcW w:w="7937" w:type="dxa"/>
          </w:tcPr>
          <w:p w14:paraId="51776A5C">
            <w:pPr>
              <w:pStyle w:val="85"/>
              <w:jc w:val="both"/>
              <w:rPr>
                <w:color w:val="auto"/>
                <w:sz w:val="22"/>
                <w:szCs w:val="22"/>
              </w:rPr>
            </w:pPr>
            <w:r>
              <w:rPr>
                <w:color w:val="auto"/>
                <w:sz w:val="22"/>
                <w:szCs w:val="22"/>
              </w:rPr>
              <w:t>Подбор заголовков к предложенным текстам</w:t>
            </w:r>
          </w:p>
        </w:tc>
      </w:tr>
      <w:tr w14:paraId="54AAE9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4F9BE1F0">
            <w:pPr>
              <w:pStyle w:val="85"/>
              <w:rPr>
                <w:color w:val="auto"/>
                <w:sz w:val="22"/>
                <w:szCs w:val="22"/>
              </w:rPr>
            </w:pPr>
            <w:r>
              <w:rPr>
                <w:color w:val="auto"/>
                <w:sz w:val="22"/>
                <w:szCs w:val="22"/>
              </w:rPr>
              <w:t>Урок 10</w:t>
            </w:r>
          </w:p>
        </w:tc>
        <w:tc>
          <w:tcPr>
            <w:tcW w:w="7937" w:type="dxa"/>
          </w:tcPr>
          <w:p w14:paraId="73861059">
            <w:pPr>
              <w:pStyle w:val="85"/>
              <w:jc w:val="both"/>
              <w:rPr>
                <w:color w:val="auto"/>
                <w:sz w:val="22"/>
                <w:szCs w:val="22"/>
              </w:rPr>
            </w:pPr>
            <w:r>
              <w:rPr>
                <w:color w:val="auto"/>
                <w:sz w:val="22"/>
                <w:szCs w:val="22"/>
              </w:rPr>
              <w:t>Отработка умения подбирать заголовки к предложенным текстам.</w:t>
            </w:r>
          </w:p>
          <w:p w14:paraId="1F5D85B1">
            <w:pPr>
              <w:pStyle w:val="85"/>
              <w:jc w:val="both"/>
              <w:rPr>
                <w:color w:val="auto"/>
                <w:sz w:val="22"/>
                <w:szCs w:val="22"/>
              </w:rPr>
            </w:pPr>
            <w:r>
              <w:rPr>
                <w:color w:val="auto"/>
                <w:sz w:val="22"/>
                <w:szCs w:val="22"/>
              </w:rPr>
              <w:t>Отражение в заголовке темы или основной мысли текста</w:t>
            </w:r>
          </w:p>
        </w:tc>
      </w:tr>
      <w:tr w14:paraId="3CE229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tcPr>
          <w:p w14:paraId="68648ACF">
            <w:pPr>
              <w:pStyle w:val="85"/>
              <w:rPr>
                <w:color w:val="auto"/>
                <w:sz w:val="22"/>
                <w:szCs w:val="22"/>
              </w:rPr>
            </w:pPr>
            <w:r>
              <w:rPr>
                <w:color w:val="auto"/>
                <w:sz w:val="22"/>
                <w:szCs w:val="22"/>
              </w:rPr>
              <w:t>Урок 11</w:t>
            </w:r>
          </w:p>
        </w:tc>
        <w:tc>
          <w:tcPr>
            <w:tcW w:w="7937" w:type="dxa"/>
          </w:tcPr>
          <w:p w14:paraId="4BFC7A9A">
            <w:pPr>
              <w:pStyle w:val="85"/>
              <w:jc w:val="both"/>
              <w:rPr>
                <w:color w:val="auto"/>
                <w:sz w:val="22"/>
                <w:szCs w:val="22"/>
              </w:rPr>
            </w:pPr>
            <w:r>
              <w:rPr>
                <w:color w:val="auto"/>
                <w:sz w:val="22"/>
                <w:szCs w:val="22"/>
              </w:rPr>
              <w:t>Последовательность частей текста (абзацев). Абзац. Красная строка</w:t>
            </w:r>
          </w:p>
        </w:tc>
      </w:tr>
      <w:tr w14:paraId="6F33F9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2BC8C361">
            <w:pPr>
              <w:pStyle w:val="85"/>
              <w:rPr>
                <w:color w:val="auto"/>
                <w:sz w:val="22"/>
                <w:szCs w:val="22"/>
              </w:rPr>
            </w:pPr>
            <w:r>
              <w:rPr>
                <w:color w:val="auto"/>
                <w:sz w:val="22"/>
                <w:szCs w:val="22"/>
              </w:rPr>
              <w:t>Урок 12</w:t>
            </w:r>
          </w:p>
        </w:tc>
        <w:tc>
          <w:tcPr>
            <w:tcW w:w="7937" w:type="dxa"/>
          </w:tcPr>
          <w:p w14:paraId="67F40753">
            <w:pPr>
              <w:pStyle w:val="85"/>
              <w:jc w:val="both"/>
              <w:rPr>
                <w:color w:val="auto"/>
                <w:sz w:val="22"/>
                <w:szCs w:val="22"/>
              </w:rPr>
            </w:pPr>
            <w:r>
              <w:rPr>
                <w:color w:val="auto"/>
                <w:sz w:val="22"/>
                <w:szCs w:val="22"/>
              </w:rPr>
              <w:t>Корректирование текстов с нарушенным порядком предложений. Тренинг</w:t>
            </w:r>
          </w:p>
        </w:tc>
      </w:tr>
      <w:tr w14:paraId="542DF7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3B0A01B6">
            <w:pPr>
              <w:pStyle w:val="85"/>
              <w:rPr>
                <w:color w:val="auto"/>
                <w:sz w:val="22"/>
                <w:szCs w:val="22"/>
              </w:rPr>
            </w:pPr>
            <w:r>
              <w:rPr>
                <w:color w:val="auto"/>
                <w:sz w:val="22"/>
                <w:szCs w:val="22"/>
              </w:rPr>
              <w:t>Урок 13</w:t>
            </w:r>
          </w:p>
        </w:tc>
        <w:tc>
          <w:tcPr>
            <w:tcW w:w="7937" w:type="dxa"/>
          </w:tcPr>
          <w:p w14:paraId="67EAB8A4">
            <w:pPr>
              <w:pStyle w:val="85"/>
              <w:jc w:val="both"/>
              <w:rPr>
                <w:color w:val="auto"/>
                <w:sz w:val="22"/>
                <w:szCs w:val="22"/>
              </w:rPr>
            </w:pPr>
            <w:r>
              <w:rPr>
                <w:color w:val="auto"/>
                <w:sz w:val="22"/>
                <w:szCs w:val="22"/>
              </w:rPr>
              <w:t>Отработка умения корректировать тексты с нарушенным порядком предложений</w:t>
            </w:r>
          </w:p>
        </w:tc>
      </w:tr>
      <w:tr w14:paraId="2BB21B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tcPr>
          <w:p w14:paraId="79CBA2BB">
            <w:pPr>
              <w:pStyle w:val="85"/>
              <w:rPr>
                <w:color w:val="auto"/>
                <w:sz w:val="22"/>
                <w:szCs w:val="22"/>
              </w:rPr>
            </w:pPr>
            <w:r>
              <w:rPr>
                <w:color w:val="auto"/>
                <w:sz w:val="22"/>
                <w:szCs w:val="22"/>
              </w:rPr>
              <w:t>Урок 14</w:t>
            </w:r>
          </w:p>
        </w:tc>
        <w:tc>
          <w:tcPr>
            <w:tcW w:w="7937" w:type="dxa"/>
          </w:tcPr>
          <w:p w14:paraId="49120E1B">
            <w:pPr>
              <w:pStyle w:val="85"/>
              <w:jc w:val="both"/>
              <w:rPr>
                <w:color w:val="auto"/>
                <w:sz w:val="22"/>
                <w:szCs w:val="22"/>
              </w:rPr>
            </w:pPr>
            <w:r>
              <w:rPr>
                <w:color w:val="auto"/>
                <w:sz w:val="22"/>
                <w:szCs w:val="22"/>
              </w:rPr>
              <w:t>Корректирование текстов с нарушенным порядком абзацев</w:t>
            </w:r>
          </w:p>
        </w:tc>
      </w:tr>
      <w:tr w14:paraId="39A255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5BFD1BD6">
            <w:pPr>
              <w:pStyle w:val="85"/>
              <w:rPr>
                <w:color w:val="auto"/>
                <w:sz w:val="22"/>
                <w:szCs w:val="22"/>
              </w:rPr>
            </w:pPr>
            <w:r>
              <w:rPr>
                <w:color w:val="auto"/>
                <w:sz w:val="22"/>
                <w:szCs w:val="22"/>
              </w:rPr>
              <w:t>Урок 15</w:t>
            </w:r>
          </w:p>
        </w:tc>
        <w:tc>
          <w:tcPr>
            <w:tcW w:w="7937" w:type="dxa"/>
          </w:tcPr>
          <w:p w14:paraId="1755264D">
            <w:pPr>
              <w:pStyle w:val="85"/>
              <w:jc w:val="both"/>
              <w:rPr>
                <w:color w:val="auto"/>
                <w:sz w:val="22"/>
                <w:szCs w:val="22"/>
              </w:rPr>
            </w:pPr>
            <w:r>
              <w:rPr>
                <w:color w:val="auto"/>
                <w:sz w:val="22"/>
                <w:szCs w:val="22"/>
              </w:rPr>
              <w:t>Отработка умения корректировать тексты с нарушенным порядком абзацев</w:t>
            </w:r>
          </w:p>
        </w:tc>
      </w:tr>
      <w:tr w14:paraId="082AFC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tcPr>
          <w:p w14:paraId="6CAD4D6A">
            <w:pPr>
              <w:pStyle w:val="85"/>
              <w:rPr>
                <w:color w:val="auto"/>
                <w:sz w:val="22"/>
                <w:szCs w:val="22"/>
              </w:rPr>
            </w:pPr>
            <w:r>
              <w:rPr>
                <w:color w:val="auto"/>
                <w:sz w:val="22"/>
                <w:szCs w:val="22"/>
              </w:rPr>
              <w:t>Урок 16</w:t>
            </w:r>
          </w:p>
        </w:tc>
        <w:tc>
          <w:tcPr>
            <w:tcW w:w="7937" w:type="dxa"/>
          </w:tcPr>
          <w:p w14:paraId="33EE098C">
            <w:pPr>
              <w:pStyle w:val="85"/>
              <w:jc w:val="both"/>
              <w:rPr>
                <w:color w:val="auto"/>
                <w:sz w:val="22"/>
                <w:szCs w:val="22"/>
              </w:rPr>
            </w:pPr>
            <w:r>
              <w:rPr>
                <w:color w:val="auto"/>
                <w:sz w:val="22"/>
                <w:szCs w:val="22"/>
              </w:rPr>
              <w:t>Предложение как единица языка</w:t>
            </w:r>
          </w:p>
        </w:tc>
      </w:tr>
      <w:tr w14:paraId="35ADBE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tcPr>
          <w:p w14:paraId="09C70065">
            <w:pPr>
              <w:pStyle w:val="85"/>
              <w:rPr>
                <w:color w:val="auto"/>
                <w:sz w:val="22"/>
                <w:szCs w:val="22"/>
              </w:rPr>
            </w:pPr>
            <w:r>
              <w:rPr>
                <w:color w:val="auto"/>
                <w:sz w:val="22"/>
                <w:szCs w:val="22"/>
              </w:rPr>
              <w:t>Урок 17</w:t>
            </w:r>
          </w:p>
        </w:tc>
        <w:tc>
          <w:tcPr>
            <w:tcW w:w="7937" w:type="dxa"/>
          </w:tcPr>
          <w:p w14:paraId="04C15F83">
            <w:pPr>
              <w:pStyle w:val="85"/>
              <w:jc w:val="both"/>
              <w:rPr>
                <w:color w:val="auto"/>
                <w:sz w:val="22"/>
                <w:szCs w:val="22"/>
              </w:rPr>
            </w:pPr>
            <w:r>
              <w:rPr>
                <w:color w:val="auto"/>
                <w:sz w:val="22"/>
                <w:szCs w:val="22"/>
              </w:rPr>
              <w:t>Предложение и слово</w:t>
            </w:r>
          </w:p>
        </w:tc>
      </w:tr>
      <w:tr w14:paraId="10AE1A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tcPr>
          <w:p w14:paraId="3965AEEE">
            <w:pPr>
              <w:pStyle w:val="85"/>
              <w:rPr>
                <w:color w:val="auto"/>
                <w:sz w:val="22"/>
                <w:szCs w:val="22"/>
              </w:rPr>
            </w:pPr>
            <w:r>
              <w:rPr>
                <w:color w:val="auto"/>
                <w:sz w:val="22"/>
                <w:szCs w:val="22"/>
              </w:rPr>
              <w:t>Урок 18</w:t>
            </w:r>
          </w:p>
        </w:tc>
        <w:tc>
          <w:tcPr>
            <w:tcW w:w="7937" w:type="dxa"/>
          </w:tcPr>
          <w:p w14:paraId="39756F41">
            <w:pPr>
              <w:pStyle w:val="85"/>
              <w:jc w:val="both"/>
              <w:rPr>
                <w:color w:val="auto"/>
                <w:sz w:val="22"/>
                <w:szCs w:val="22"/>
              </w:rPr>
            </w:pPr>
            <w:r>
              <w:rPr>
                <w:color w:val="auto"/>
                <w:sz w:val="22"/>
                <w:szCs w:val="22"/>
              </w:rPr>
              <w:t>Связь слов в предложении</w:t>
            </w:r>
          </w:p>
        </w:tc>
      </w:tr>
      <w:tr w14:paraId="65B8E3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tcPr>
          <w:p w14:paraId="39FB3CEA">
            <w:pPr>
              <w:pStyle w:val="85"/>
              <w:rPr>
                <w:color w:val="auto"/>
                <w:sz w:val="22"/>
                <w:szCs w:val="22"/>
              </w:rPr>
            </w:pPr>
            <w:r>
              <w:rPr>
                <w:color w:val="auto"/>
                <w:sz w:val="22"/>
                <w:szCs w:val="22"/>
              </w:rPr>
              <w:t>Урок 19</w:t>
            </w:r>
          </w:p>
        </w:tc>
        <w:tc>
          <w:tcPr>
            <w:tcW w:w="7937" w:type="dxa"/>
          </w:tcPr>
          <w:p w14:paraId="762B5A42">
            <w:pPr>
              <w:pStyle w:val="85"/>
              <w:jc w:val="both"/>
              <w:rPr>
                <w:color w:val="auto"/>
                <w:sz w:val="22"/>
                <w:szCs w:val="22"/>
              </w:rPr>
            </w:pPr>
            <w:r>
              <w:rPr>
                <w:color w:val="auto"/>
                <w:sz w:val="22"/>
                <w:szCs w:val="22"/>
              </w:rPr>
              <w:t>Виды предложений по цели высказывания</w:t>
            </w:r>
          </w:p>
        </w:tc>
      </w:tr>
      <w:tr w14:paraId="3ADBB7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tcPr>
          <w:p w14:paraId="1351B88B">
            <w:pPr>
              <w:pStyle w:val="85"/>
              <w:rPr>
                <w:color w:val="auto"/>
                <w:sz w:val="22"/>
                <w:szCs w:val="22"/>
              </w:rPr>
            </w:pPr>
            <w:r>
              <w:rPr>
                <w:color w:val="auto"/>
                <w:sz w:val="22"/>
                <w:szCs w:val="22"/>
              </w:rPr>
              <w:t>Урок 20</w:t>
            </w:r>
          </w:p>
        </w:tc>
        <w:tc>
          <w:tcPr>
            <w:tcW w:w="7937" w:type="dxa"/>
          </w:tcPr>
          <w:p w14:paraId="0EAA4F73">
            <w:pPr>
              <w:pStyle w:val="85"/>
              <w:jc w:val="both"/>
              <w:rPr>
                <w:color w:val="auto"/>
                <w:sz w:val="22"/>
                <w:szCs w:val="22"/>
              </w:rPr>
            </w:pPr>
            <w:r>
              <w:rPr>
                <w:color w:val="auto"/>
                <w:sz w:val="22"/>
                <w:szCs w:val="22"/>
              </w:rPr>
              <w:t>Повествовательные, вопросительные, побудительные предложения</w:t>
            </w:r>
          </w:p>
        </w:tc>
      </w:tr>
      <w:tr w14:paraId="24FCCB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tcPr>
          <w:p w14:paraId="47DCB30C">
            <w:pPr>
              <w:pStyle w:val="85"/>
              <w:rPr>
                <w:color w:val="auto"/>
                <w:sz w:val="22"/>
                <w:szCs w:val="22"/>
              </w:rPr>
            </w:pPr>
            <w:r>
              <w:rPr>
                <w:color w:val="auto"/>
                <w:sz w:val="22"/>
                <w:szCs w:val="22"/>
              </w:rPr>
              <w:t>Урок 21</w:t>
            </w:r>
          </w:p>
        </w:tc>
        <w:tc>
          <w:tcPr>
            <w:tcW w:w="7937" w:type="dxa"/>
          </w:tcPr>
          <w:p w14:paraId="4FEFDCA1">
            <w:pPr>
              <w:pStyle w:val="85"/>
              <w:jc w:val="both"/>
              <w:rPr>
                <w:color w:val="auto"/>
                <w:sz w:val="22"/>
                <w:szCs w:val="22"/>
              </w:rPr>
            </w:pPr>
            <w:r>
              <w:rPr>
                <w:color w:val="auto"/>
                <w:sz w:val="22"/>
                <w:szCs w:val="22"/>
              </w:rPr>
              <w:t>Восклицательные и невосклицательные</w:t>
            </w:r>
          </w:p>
        </w:tc>
      </w:tr>
      <w:tr w14:paraId="0189CD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23164A39">
            <w:pPr>
              <w:pStyle w:val="85"/>
              <w:rPr>
                <w:color w:val="auto"/>
                <w:sz w:val="22"/>
                <w:szCs w:val="22"/>
              </w:rPr>
            </w:pPr>
            <w:r>
              <w:rPr>
                <w:color w:val="auto"/>
                <w:sz w:val="22"/>
                <w:szCs w:val="22"/>
              </w:rPr>
              <w:t>Урок 22</w:t>
            </w:r>
          </w:p>
        </w:tc>
        <w:tc>
          <w:tcPr>
            <w:tcW w:w="7937" w:type="dxa"/>
          </w:tcPr>
          <w:p w14:paraId="615355BB">
            <w:pPr>
              <w:pStyle w:val="85"/>
              <w:jc w:val="both"/>
              <w:rPr>
                <w:color w:val="auto"/>
                <w:sz w:val="22"/>
                <w:szCs w:val="22"/>
              </w:rPr>
            </w:pPr>
            <w:r>
              <w:rPr>
                <w:color w:val="auto"/>
                <w:sz w:val="22"/>
                <w:szCs w:val="22"/>
              </w:rPr>
              <w:t>Наблюдение за выделением в устной речи одного из слов предложения (логическое ударение)</w:t>
            </w:r>
          </w:p>
        </w:tc>
      </w:tr>
      <w:tr w14:paraId="475165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244A758B">
            <w:pPr>
              <w:pStyle w:val="85"/>
              <w:rPr>
                <w:color w:val="auto"/>
                <w:sz w:val="22"/>
                <w:szCs w:val="22"/>
              </w:rPr>
            </w:pPr>
            <w:r>
              <w:rPr>
                <w:color w:val="auto"/>
                <w:sz w:val="22"/>
                <w:szCs w:val="22"/>
              </w:rPr>
              <w:t>Урок 23</w:t>
            </w:r>
          </w:p>
        </w:tc>
        <w:tc>
          <w:tcPr>
            <w:tcW w:w="7937" w:type="dxa"/>
          </w:tcPr>
          <w:p w14:paraId="6D23B545">
            <w:pPr>
              <w:pStyle w:val="85"/>
              <w:jc w:val="both"/>
              <w:rPr>
                <w:color w:val="auto"/>
                <w:sz w:val="22"/>
                <w:szCs w:val="22"/>
              </w:rPr>
            </w:pPr>
            <w:r>
              <w:rPr>
                <w:color w:val="auto"/>
                <w:sz w:val="22"/>
                <w:szCs w:val="22"/>
              </w:rPr>
              <w:t>Резервный урок по разделу синтаксис: наблюдение за главными и второстепенными членами предложения</w:t>
            </w:r>
          </w:p>
        </w:tc>
      </w:tr>
      <w:tr w14:paraId="2AB106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45324F3D">
            <w:pPr>
              <w:pStyle w:val="85"/>
              <w:rPr>
                <w:color w:val="auto"/>
                <w:sz w:val="22"/>
                <w:szCs w:val="22"/>
              </w:rPr>
            </w:pPr>
            <w:r>
              <w:rPr>
                <w:color w:val="auto"/>
                <w:sz w:val="22"/>
                <w:szCs w:val="22"/>
              </w:rPr>
              <w:t>Урок 24</w:t>
            </w:r>
          </w:p>
        </w:tc>
        <w:tc>
          <w:tcPr>
            <w:tcW w:w="7937" w:type="dxa"/>
          </w:tcPr>
          <w:p w14:paraId="031A2CFC">
            <w:pPr>
              <w:pStyle w:val="85"/>
              <w:jc w:val="both"/>
              <w:rPr>
                <w:color w:val="auto"/>
                <w:sz w:val="22"/>
                <w:szCs w:val="22"/>
              </w:rPr>
            </w:pPr>
            <w:r>
              <w:rPr>
                <w:color w:val="auto"/>
                <w:sz w:val="22"/>
                <w:szCs w:val="22"/>
              </w:rPr>
              <w:t>Резервный урок по разделу синтаксис: установление связи слов в предложении</w:t>
            </w:r>
          </w:p>
        </w:tc>
      </w:tr>
      <w:tr w14:paraId="1392C5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tcPr>
          <w:p w14:paraId="3E1FB5BF">
            <w:pPr>
              <w:pStyle w:val="85"/>
              <w:rPr>
                <w:color w:val="auto"/>
                <w:sz w:val="22"/>
                <w:szCs w:val="22"/>
              </w:rPr>
            </w:pPr>
            <w:r>
              <w:rPr>
                <w:color w:val="auto"/>
                <w:sz w:val="22"/>
                <w:szCs w:val="22"/>
              </w:rPr>
              <w:t>Урок 25</w:t>
            </w:r>
          </w:p>
        </w:tc>
        <w:tc>
          <w:tcPr>
            <w:tcW w:w="7937" w:type="dxa"/>
          </w:tcPr>
          <w:p w14:paraId="2FBE93CE">
            <w:pPr>
              <w:pStyle w:val="85"/>
              <w:jc w:val="both"/>
              <w:rPr>
                <w:color w:val="auto"/>
                <w:sz w:val="22"/>
                <w:szCs w:val="22"/>
              </w:rPr>
            </w:pPr>
            <w:r>
              <w:rPr>
                <w:color w:val="auto"/>
                <w:sz w:val="22"/>
                <w:szCs w:val="22"/>
              </w:rPr>
              <w:t>Предложение: систематизация знаний</w:t>
            </w:r>
          </w:p>
        </w:tc>
      </w:tr>
      <w:tr w14:paraId="75F7D7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tcPr>
          <w:p w14:paraId="73D4138F">
            <w:pPr>
              <w:pStyle w:val="85"/>
              <w:rPr>
                <w:color w:val="auto"/>
                <w:sz w:val="22"/>
                <w:szCs w:val="22"/>
              </w:rPr>
            </w:pPr>
            <w:r>
              <w:rPr>
                <w:color w:val="auto"/>
                <w:sz w:val="22"/>
                <w:szCs w:val="22"/>
              </w:rPr>
              <w:t>Урок 26</w:t>
            </w:r>
          </w:p>
        </w:tc>
        <w:tc>
          <w:tcPr>
            <w:tcW w:w="7937" w:type="dxa"/>
          </w:tcPr>
          <w:p w14:paraId="67C8E1B1">
            <w:pPr>
              <w:pStyle w:val="85"/>
              <w:jc w:val="both"/>
              <w:rPr>
                <w:color w:val="auto"/>
                <w:sz w:val="22"/>
                <w:szCs w:val="22"/>
              </w:rPr>
            </w:pPr>
            <w:r>
              <w:rPr>
                <w:color w:val="auto"/>
                <w:sz w:val="22"/>
                <w:szCs w:val="22"/>
              </w:rPr>
              <w:t>Слово и его значение</w:t>
            </w:r>
          </w:p>
        </w:tc>
      </w:tr>
      <w:tr w14:paraId="6A8C93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0EF12146">
            <w:pPr>
              <w:pStyle w:val="85"/>
              <w:rPr>
                <w:color w:val="auto"/>
                <w:sz w:val="22"/>
                <w:szCs w:val="22"/>
              </w:rPr>
            </w:pPr>
            <w:r>
              <w:rPr>
                <w:color w:val="auto"/>
                <w:sz w:val="22"/>
                <w:szCs w:val="22"/>
              </w:rPr>
              <w:t>Урок 27</w:t>
            </w:r>
          </w:p>
        </w:tc>
        <w:tc>
          <w:tcPr>
            <w:tcW w:w="7937" w:type="dxa"/>
          </w:tcPr>
          <w:p w14:paraId="45256ECA">
            <w:pPr>
              <w:pStyle w:val="85"/>
              <w:jc w:val="both"/>
              <w:rPr>
                <w:color w:val="auto"/>
                <w:sz w:val="22"/>
                <w:szCs w:val="22"/>
              </w:rPr>
            </w:pPr>
            <w:r>
              <w:rPr>
                <w:color w:val="auto"/>
                <w:sz w:val="22"/>
                <w:szCs w:val="22"/>
              </w:rPr>
              <w:t>Значение слова в словаре. Уточняем значение слова самостоятельно, по тексту или с помощью толкового словаря</w:t>
            </w:r>
          </w:p>
        </w:tc>
      </w:tr>
      <w:tr w14:paraId="28436F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tcPr>
          <w:p w14:paraId="540CE778">
            <w:pPr>
              <w:pStyle w:val="85"/>
              <w:rPr>
                <w:color w:val="auto"/>
                <w:sz w:val="22"/>
                <w:szCs w:val="22"/>
              </w:rPr>
            </w:pPr>
            <w:r>
              <w:rPr>
                <w:color w:val="auto"/>
                <w:sz w:val="22"/>
                <w:szCs w:val="22"/>
              </w:rPr>
              <w:t>Урок 28</w:t>
            </w:r>
          </w:p>
        </w:tc>
        <w:tc>
          <w:tcPr>
            <w:tcW w:w="7937" w:type="dxa"/>
          </w:tcPr>
          <w:p w14:paraId="4CAE8947">
            <w:pPr>
              <w:pStyle w:val="85"/>
              <w:jc w:val="both"/>
              <w:rPr>
                <w:color w:val="auto"/>
                <w:sz w:val="22"/>
                <w:szCs w:val="22"/>
              </w:rPr>
            </w:pPr>
            <w:r>
              <w:rPr>
                <w:color w:val="auto"/>
                <w:sz w:val="22"/>
                <w:szCs w:val="22"/>
              </w:rPr>
              <w:t>Однозначные и многозначные слова</w:t>
            </w:r>
          </w:p>
        </w:tc>
      </w:tr>
      <w:tr w14:paraId="0BF30B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tcPr>
          <w:p w14:paraId="65C56D42">
            <w:pPr>
              <w:pStyle w:val="85"/>
              <w:rPr>
                <w:color w:val="auto"/>
                <w:sz w:val="22"/>
                <w:szCs w:val="22"/>
              </w:rPr>
            </w:pPr>
            <w:r>
              <w:rPr>
                <w:color w:val="auto"/>
                <w:sz w:val="22"/>
                <w:szCs w:val="22"/>
              </w:rPr>
              <w:t>Урок 29</w:t>
            </w:r>
          </w:p>
        </w:tc>
        <w:tc>
          <w:tcPr>
            <w:tcW w:w="7937" w:type="dxa"/>
          </w:tcPr>
          <w:p w14:paraId="36325D0A">
            <w:pPr>
              <w:pStyle w:val="85"/>
              <w:jc w:val="both"/>
              <w:rPr>
                <w:color w:val="auto"/>
                <w:sz w:val="22"/>
                <w:szCs w:val="22"/>
              </w:rPr>
            </w:pPr>
            <w:r>
              <w:rPr>
                <w:color w:val="auto"/>
                <w:sz w:val="22"/>
                <w:szCs w:val="22"/>
              </w:rPr>
              <w:t>Значение слова в словаре и тексте</w:t>
            </w:r>
          </w:p>
        </w:tc>
      </w:tr>
      <w:tr w14:paraId="13E7BC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tcPr>
          <w:p w14:paraId="3C7C0F06">
            <w:pPr>
              <w:pStyle w:val="85"/>
              <w:rPr>
                <w:color w:val="auto"/>
                <w:sz w:val="22"/>
                <w:szCs w:val="22"/>
              </w:rPr>
            </w:pPr>
            <w:r>
              <w:rPr>
                <w:color w:val="auto"/>
                <w:sz w:val="22"/>
                <w:szCs w:val="22"/>
              </w:rPr>
              <w:t>Урок 30</w:t>
            </w:r>
          </w:p>
        </w:tc>
        <w:tc>
          <w:tcPr>
            <w:tcW w:w="7937" w:type="dxa"/>
          </w:tcPr>
          <w:p w14:paraId="2C41D6AB">
            <w:pPr>
              <w:pStyle w:val="85"/>
              <w:jc w:val="both"/>
              <w:rPr>
                <w:color w:val="auto"/>
                <w:sz w:val="22"/>
                <w:szCs w:val="22"/>
              </w:rPr>
            </w:pPr>
            <w:r>
              <w:rPr>
                <w:color w:val="auto"/>
                <w:sz w:val="22"/>
                <w:szCs w:val="22"/>
              </w:rPr>
              <w:t>Многозначные слова. Прямое и переносное значение слова</w:t>
            </w:r>
          </w:p>
        </w:tc>
      </w:tr>
      <w:tr w14:paraId="1EC5D4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tcPr>
          <w:p w14:paraId="6A5A5831">
            <w:pPr>
              <w:pStyle w:val="85"/>
              <w:rPr>
                <w:color w:val="auto"/>
                <w:sz w:val="22"/>
                <w:szCs w:val="22"/>
              </w:rPr>
            </w:pPr>
            <w:r>
              <w:rPr>
                <w:color w:val="auto"/>
                <w:sz w:val="22"/>
                <w:szCs w:val="22"/>
              </w:rPr>
              <w:t>Урок 31</w:t>
            </w:r>
          </w:p>
        </w:tc>
        <w:tc>
          <w:tcPr>
            <w:tcW w:w="7937" w:type="dxa"/>
          </w:tcPr>
          <w:p w14:paraId="2EA61A3E">
            <w:pPr>
              <w:pStyle w:val="85"/>
              <w:jc w:val="both"/>
              <w:rPr>
                <w:color w:val="auto"/>
                <w:sz w:val="22"/>
                <w:szCs w:val="22"/>
              </w:rPr>
            </w:pPr>
            <w:r>
              <w:rPr>
                <w:color w:val="auto"/>
                <w:sz w:val="22"/>
                <w:szCs w:val="22"/>
              </w:rPr>
              <w:t>Синонимы</w:t>
            </w:r>
          </w:p>
        </w:tc>
      </w:tr>
      <w:tr w14:paraId="2B57D1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tcPr>
          <w:p w14:paraId="1C062AF0">
            <w:pPr>
              <w:pStyle w:val="85"/>
              <w:rPr>
                <w:color w:val="auto"/>
                <w:sz w:val="22"/>
                <w:szCs w:val="22"/>
              </w:rPr>
            </w:pPr>
            <w:r>
              <w:rPr>
                <w:color w:val="auto"/>
                <w:sz w:val="22"/>
                <w:szCs w:val="22"/>
              </w:rPr>
              <w:t>Урок 32</w:t>
            </w:r>
          </w:p>
        </w:tc>
        <w:tc>
          <w:tcPr>
            <w:tcW w:w="7937" w:type="dxa"/>
          </w:tcPr>
          <w:p w14:paraId="56F47BD0">
            <w:pPr>
              <w:pStyle w:val="85"/>
              <w:jc w:val="both"/>
              <w:rPr>
                <w:color w:val="auto"/>
                <w:sz w:val="22"/>
                <w:szCs w:val="22"/>
              </w:rPr>
            </w:pPr>
            <w:r>
              <w:rPr>
                <w:color w:val="auto"/>
                <w:sz w:val="22"/>
                <w:szCs w:val="22"/>
              </w:rPr>
              <w:t>Синонимы в тексте</w:t>
            </w:r>
          </w:p>
        </w:tc>
      </w:tr>
      <w:tr w14:paraId="799FD3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tcPr>
          <w:p w14:paraId="442EE30D">
            <w:pPr>
              <w:pStyle w:val="85"/>
              <w:rPr>
                <w:color w:val="auto"/>
                <w:sz w:val="22"/>
                <w:szCs w:val="22"/>
              </w:rPr>
            </w:pPr>
            <w:r>
              <w:rPr>
                <w:color w:val="auto"/>
                <w:sz w:val="22"/>
                <w:szCs w:val="22"/>
              </w:rPr>
              <w:t>Урок 33</w:t>
            </w:r>
          </w:p>
        </w:tc>
        <w:tc>
          <w:tcPr>
            <w:tcW w:w="7937" w:type="dxa"/>
          </w:tcPr>
          <w:p w14:paraId="3DDFF07E">
            <w:pPr>
              <w:pStyle w:val="85"/>
              <w:jc w:val="both"/>
              <w:rPr>
                <w:color w:val="auto"/>
                <w:sz w:val="22"/>
                <w:szCs w:val="22"/>
              </w:rPr>
            </w:pPr>
            <w:r>
              <w:rPr>
                <w:color w:val="auto"/>
                <w:sz w:val="22"/>
                <w:szCs w:val="22"/>
              </w:rPr>
              <w:t>Антонимы</w:t>
            </w:r>
          </w:p>
        </w:tc>
      </w:tr>
      <w:tr w14:paraId="5A6AE7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tcPr>
          <w:p w14:paraId="7ECF1FD6">
            <w:pPr>
              <w:pStyle w:val="85"/>
              <w:rPr>
                <w:color w:val="auto"/>
                <w:sz w:val="22"/>
                <w:szCs w:val="22"/>
              </w:rPr>
            </w:pPr>
            <w:r>
              <w:rPr>
                <w:color w:val="auto"/>
                <w:sz w:val="22"/>
                <w:szCs w:val="22"/>
              </w:rPr>
              <w:t>Урок 34</w:t>
            </w:r>
          </w:p>
        </w:tc>
        <w:tc>
          <w:tcPr>
            <w:tcW w:w="7937" w:type="dxa"/>
          </w:tcPr>
          <w:p w14:paraId="6AB430A3">
            <w:pPr>
              <w:pStyle w:val="85"/>
              <w:jc w:val="both"/>
              <w:rPr>
                <w:color w:val="auto"/>
                <w:sz w:val="22"/>
                <w:szCs w:val="22"/>
              </w:rPr>
            </w:pPr>
            <w:r>
              <w:rPr>
                <w:color w:val="auto"/>
                <w:sz w:val="22"/>
                <w:szCs w:val="22"/>
              </w:rPr>
              <w:t>Наблюдение за использованием антонимов</w:t>
            </w:r>
          </w:p>
        </w:tc>
      </w:tr>
      <w:tr w14:paraId="474926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tcPr>
          <w:p w14:paraId="7C2158DC">
            <w:pPr>
              <w:pStyle w:val="85"/>
              <w:rPr>
                <w:color w:val="auto"/>
                <w:sz w:val="22"/>
                <w:szCs w:val="22"/>
              </w:rPr>
            </w:pPr>
            <w:r>
              <w:rPr>
                <w:color w:val="auto"/>
                <w:sz w:val="22"/>
                <w:szCs w:val="22"/>
              </w:rPr>
              <w:t>Урок 35</w:t>
            </w:r>
          </w:p>
        </w:tc>
        <w:tc>
          <w:tcPr>
            <w:tcW w:w="7937" w:type="dxa"/>
          </w:tcPr>
          <w:p w14:paraId="73416EE8">
            <w:pPr>
              <w:pStyle w:val="85"/>
              <w:jc w:val="both"/>
              <w:rPr>
                <w:color w:val="auto"/>
                <w:sz w:val="22"/>
                <w:szCs w:val="22"/>
              </w:rPr>
            </w:pPr>
            <w:r>
              <w:rPr>
                <w:color w:val="auto"/>
                <w:sz w:val="22"/>
                <w:szCs w:val="22"/>
              </w:rPr>
              <w:t>Резервный урок по разделу лексика: работаем с толковым словарем</w:t>
            </w:r>
          </w:p>
        </w:tc>
      </w:tr>
      <w:tr w14:paraId="56ECC59E">
        <w:tblPrEx>
          <w:tblCellMar>
            <w:top w:w="102" w:type="dxa"/>
            <w:left w:w="62" w:type="dxa"/>
            <w:bottom w:w="102" w:type="dxa"/>
            <w:right w:w="62" w:type="dxa"/>
          </w:tblCellMar>
        </w:tblPrEx>
        <w:tc>
          <w:tcPr>
            <w:tcW w:w="1134" w:type="dxa"/>
          </w:tcPr>
          <w:p w14:paraId="03F7C7A5">
            <w:pPr>
              <w:pStyle w:val="85"/>
              <w:rPr>
                <w:color w:val="auto"/>
                <w:sz w:val="22"/>
                <w:szCs w:val="22"/>
              </w:rPr>
            </w:pPr>
            <w:r>
              <w:rPr>
                <w:color w:val="auto"/>
                <w:sz w:val="22"/>
                <w:szCs w:val="22"/>
              </w:rPr>
              <w:t>Урок 36</w:t>
            </w:r>
          </w:p>
        </w:tc>
        <w:tc>
          <w:tcPr>
            <w:tcW w:w="7937" w:type="dxa"/>
          </w:tcPr>
          <w:p w14:paraId="674671FA">
            <w:pPr>
              <w:pStyle w:val="85"/>
              <w:jc w:val="both"/>
              <w:rPr>
                <w:color w:val="auto"/>
                <w:sz w:val="22"/>
                <w:szCs w:val="22"/>
              </w:rPr>
            </w:pPr>
            <w:r>
              <w:rPr>
                <w:color w:val="auto"/>
                <w:sz w:val="22"/>
                <w:szCs w:val="22"/>
              </w:rPr>
              <w:t>Обобщение знаний по разделу "Лексика"</w:t>
            </w:r>
          </w:p>
        </w:tc>
      </w:tr>
      <w:tr w14:paraId="0D1DE9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tcPr>
          <w:p w14:paraId="2D80B59E">
            <w:pPr>
              <w:pStyle w:val="85"/>
              <w:rPr>
                <w:color w:val="auto"/>
                <w:sz w:val="22"/>
                <w:szCs w:val="22"/>
              </w:rPr>
            </w:pPr>
            <w:r>
              <w:rPr>
                <w:color w:val="auto"/>
                <w:sz w:val="22"/>
                <w:szCs w:val="22"/>
              </w:rPr>
              <w:t>Урок 37</w:t>
            </w:r>
          </w:p>
        </w:tc>
        <w:tc>
          <w:tcPr>
            <w:tcW w:w="7937" w:type="dxa"/>
          </w:tcPr>
          <w:p w14:paraId="618910C1">
            <w:pPr>
              <w:pStyle w:val="85"/>
              <w:jc w:val="both"/>
              <w:rPr>
                <w:color w:val="auto"/>
                <w:sz w:val="22"/>
                <w:szCs w:val="22"/>
              </w:rPr>
            </w:pPr>
            <w:r>
              <w:rPr>
                <w:color w:val="auto"/>
                <w:sz w:val="22"/>
                <w:szCs w:val="22"/>
              </w:rPr>
              <w:t>Резервный урок по разделу лексика</w:t>
            </w:r>
          </w:p>
        </w:tc>
      </w:tr>
      <w:tr w14:paraId="3E459D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tcPr>
          <w:p w14:paraId="3428C55B">
            <w:pPr>
              <w:pStyle w:val="85"/>
              <w:rPr>
                <w:color w:val="auto"/>
                <w:sz w:val="22"/>
                <w:szCs w:val="22"/>
              </w:rPr>
            </w:pPr>
            <w:r>
              <w:rPr>
                <w:color w:val="auto"/>
                <w:sz w:val="22"/>
                <w:szCs w:val="22"/>
              </w:rPr>
              <w:t>Урок 38</w:t>
            </w:r>
          </w:p>
        </w:tc>
        <w:tc>
          <w:tcPr>
            <w:tcW w:w="7937" w:type="dxa"/>
          </w:tcPr>
          <w:p w14:paraId="1436B7A0">
            <w:pPr>
              <w:pStyle w:val="85"/>
              <w:jc w:val="both"/>
              <w:rPr>
                <w:color w:val="auto"/>
                <w:sz w:val="22"/>
                <w:szCs w:val="22"/>
              </w:rPr>
            </w:pPr>
            <w:r>
              <w:rPr>
                <w:color w:val="auto"/>
                <w:sz w:val="22"/>
                <w:szCs w:val="22"/>
              </w:rPr>
              <w:t>Однокоренные (родственные) слова. Корень слова</w:t>
            </w:r>
          </w:p>
        </w:tc>
      </w:tr>
      <w:tr w14:paraId="21009C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tcPr>
          <w:p w14:paraId="38F84B26">
            <w:pPr>
              <w:pStyle w:val="85"/>
              <w:rPr>
                <w:color w:val="auto"/>
                <w:sz w:val="22"/>
                <w:szCs w:val="22"/>
              </w:rPr>
            </w:pPr>
            <w:r>
              <w:rPr>
                <w:color w:val="auto"/>
                <w:sz w:val="22"/>
                <w:szCs w:val="22"/>
              </w:rPr>
              <w:t>Урок 39</w:t>
            </w:r>
          </w:p>
        </w:tc>
        <w:tc>
          <w:tcPr>
            <w:tcW w:w="7937" w:type="dxa"/>
          </w:tcPr>
          <w:p w14:paraId="58D9FAED">
            <w:pPr>
              <w:pStyle w:val="85"/>
              <w:jc w:val="both"/>
              <w:rPr>
                <w:color w:val="auto"/>
                <w:sz w:val="22"/>
                <w:szCs w:val="22"/>
              </w:rPr>
            </w:pPr>
            <w:r>
              <w:rPr>
                <w:color w:val="auto"/>
                <w:sz w:val="22"/>
                <w:szCs w:val="22"/>
              </w:rPr>
              <w:t>Признаки однокоренных (родственных) слов. Корень слова</w:t>
            </w:r>
          </w:p>
        </w:tc>
      </w:tr>
      <w:tr w14:paraId="26C7CD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tcPr>
          <w:p w14:paraId="422A18C9">
            <w:pPr>
              <w:pStyle w:val="85"/>
              <w:rPr>
                <w:color w:val="auto"/>
                <w:sz w:val="22"/>
                <w:szCs w:val="22"/>
              </w:rPr>
            </w:pPr>
            <w:r>
              <w:rPr>
                <w:color w:val="auto"/>
                <w:sz w:val="22"/>
                <w:szCs w:val="22"/>
              </w:rPr>
              <w:t>Урок 40</w:t>
            </w:r>
          </w:p>
        </w:tc>
        <w:tc>
          <w:tcPr>
            <w:tcW w:w="7937" w:type="dxa"/>
          </w:tcPr>
          <w:p w14:paraId="16A36B9E">
            <w:pPr>
              <w:pStyle w:val="85"/>
              <w:jc w:val="both"/>
              <w:rPr>
                <w:color w:val="auto"/>
                <w:sz w:val="22"/>
                <w:szCs w:val="22"/>
              </w:rPr>
            </w:pPr>
            <w:r>
              <w:rPr>
                <w:color w:val="auto"/>
                <w:sz w:val="22"/>
                <w:szCs w:val="22"/>
              </w:rPr>
              <w:t>Корень как часть слова</w:t>
            </w:r>
          </w:p>
        </w:tc>
      </w:tr>
      <w:tr w14:paraId="005856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tcPr>
          <w:p w14:paraId="2D67857B">
            <w:pPr>
              <w:pStyle w:val="85"/>
              <w:rPr>
                <w:color w:val="auto"/>
                <w:sz w:val="22"/>
                <w:szCs w:val="22"/>
              </w:rPr>
            </w:pPr>
            <w:r>
              <w:rPr>
                <w:color w:val="auto"/>
                <w:sz w:val="22"/>
                <w:szCs w:val="22"/>
              </w:rPr>
              <w:t>Урок 41</w:t>
            </w:r>
          </w:p>
        </w:tc>
        <w:tc>
          <w:tcPr>
            <w:tcW w:w="7937" w:type="dxa"/>
          </w:tcPr>
          <w:p w14:paraId="560B61A4">
            <w:pPr>
              <w:pStyle w:val="85"/>
              <w:jc w:val="both"/>
              <w:rPr>
                <w:color w:val="auto"/>
                <w:sz w:val="22"/>
                <w:szCs w:val="22"/>
              </w:rPr>
            </w:pPr>
            <w:r>
              <w:rPr>
                <w:color w:val="auto"/>
                <w:sz w:val="22"/>
                <w:szCs w:val="22"/>
              </w:rPr>
              <w:t>Корень как общая часть родственных слов</w:t>
            </w:r>
          </w:p>
        </w:tc>
      </w:tr>
      <w:tr w14:paraId="78C6F1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tcPr>
          <w:p w14:paraId="34BC3935">
            <w:pPr>
              <w:pStyle w:val="85"/>
              <w:rPr>
                <w:color w:val="auto"/>
                <w:sz w:val="22"/>
                <w:szCs w:val="22"/>
              </w:rPr>
            </w:pPr>
            <w:r>
              <w:rPr>
                <w:color w:val="auto"/>
                <w:sz w:val="22"/>
                <w:szCs w:val="22"/>
              </w:rPr>
              <w:t>Урок 42</w:t>
            </w:r>
          </w:p>
        </w:tc>
        <w:tc>
          <w:tcPr>
            <w:tcW w:w="7937" w:type="dxa"/>
          </w:tcPr>
          <w:p w14:paraId="3DA6A776">
            <w:pPr>
              <w:pStyle w:val="85"/>
              <w:jc w:val="both"/>
              <w:rPr>
                <w:color w:val="auto"/>
                <w:sz w:val="22"/>
                <w:szCs w:val="22"/>
              </w:rPr>
            </w:pPr>
            <w:r>
              <w:rPr>
                <w:color w:val="auto"/>
                <w:sz w:val="22"/>
                <w:szCs w:val="22"/>
              </w:rPr>
              <w:t>Корень слова: обобщение знаний</w:t>
            </w:r>
          </w:p>
        </w:tc>
      </w:tr>
      <w:tr w14:paraId="62C84C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tcPr>
          <w:p w14:paraId="3F8A8E1E">
            <w:pPr>
              <w:pStyle w:val="85"/>
              <w:rPr>
                <w:color w:val="auto"/>
                <w:sz w:val="22"/>
                <w:szCs w:val="22"/>
              </w:rPr>
            </w:pPr>
            <w:r>
              <w:rPr>
                <w:color w:val="auto"/>
                <w:sz w:val="22"/>
                <w:szCs w:val="22"/>
              </w:rPr>
              <w:t>Урок 43</w:t>
            </w:r>
          </w:p>
        </w:tc>
        <w:tc>
          <w:tcPr>
            <w:tcW w:w="7937" w:type="dxa"/>
          </w:tcPr>
          <w:p w14:paraId="08FDD1C8">
            <w:pPr>
              <w:pStyle w:val="85"/>
              <w:jc w:val="both"/>
              <w:rPr>
                <w:color w:val="auto"/>
                <w:sz w:val="22"/>
                <w:szCs w:val="22"/>
              </w:rPr>
            </w:pPr>
            <w:r>
              <w:rPr>
                <w:color w:val="auto"/>
                <w:sz w:val="22"/>
                <w:szCs w:val="22"/>
              </w:rPr>
              <w:t>Окончание как изменяемая часть слова</w:t>
            </w:r>
          </w:p>
        </w:tc>
      </w:tr>
      <w:tr w14:paraId="443B90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tcPr>
          <w:p w14:paraId="0A0F50AB">
            <w:pPr>
              <w:pStyle w:val="85"/>
              <w:rPr>
                <w:color w:val="auto"/>
                <w:sz w:val="22"/>
                <w:szCs w:val="22"/>
              </w:rPr>
            </w:pPr>
            <w:r>
              <w:rPr>
                <w:color w:val="auto"/>
                <w:sz w:val="22"/>
                <w:szCs w:val="22"/>
              </w:rPr>
              <w:t>Урок 44</w:t>
            </w:r>
          </w:p>
        </w:tc>
        <w:tc>
          <w:tcPr>
            <w:tcW w:w="7937" w:type="dxa"/>
          </w:tcPr>
          <w:p w14:paraId="7CF6B40B">
            <w:pPr>
              <w:pStyle w:val="85"/>
              <w:jc w:val="both"/>
              <w:rPr>
                <w:color w:val="auto"/>
                <w:sz w:val="22"/>
                <w:szCs w:val="22"/>
              </w:rPr>
            </w:pPr>
            <w:r>
              <w:rPr>
                <w:color w:val="auto"/>
                <w:sz w:val="22"/>
                <w:szCs w:val="22"/>
              </w:rPr>
              <w:t>Изменение формы слова с помощью окончания</w:t>
            </w:r>
          </w:p>
        </w:tc>
      </w:tr>
      <w:tr w14:paraId="5E74F3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tcPr>
          <w:p w14:paraId="74019BA5">
            <w:pPr>
              <w:pStyle w:val="85"/>
              <w:rPr>
                <w:color w:val="auto"/>
                <w:sz w:val="22"/>
                <w:szCs w:val="22"/>
              </w:rPr>
            </w:pPr>
            <w:r>
              <w:rPr>
                <w:color w:val="auto"/>
                <w:sz w:val="22"/>
                <w:szCs w:val="22"/>
              </w:rPr>
              <w:t>Урок 45</w:t>
            </w:r>
          </w:p>
        </w:tc>
        <w:tc>
          <w:tcPr>
            <w:tcW w:w="7937" w:type="dxa"/>
          </w:tcPr>
          <w:p w14:paraId="3C5560F9">
            <w:pPr>
              <w:pStyle w:val="85"/>
              <w:jc w:val="both"/>
              <w:rPr>
                <w:color w:val="auto"/>
                <w:sz w:val="22"/>
                <w:szCs w:val="22"/>
              </w:rPr>
            </w:pPr>
            <w:r>
              <w:rPr>
                <w:color w:val="auto"/>
                <w:sz w:val="22"/>
                <w:szCs w:val="22"/>
              </w:rPr>
              <w:t>Различение изменяемых и неизменяемых слов</w:t>
            </w:r>
          </w:p>
        </w:tc>
      </w:tr>
      <w:tr w14:paraId="144C38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31AD2709">
            <w:pPr>
              <w:pStyle w:val="85"/>
              <w:rPr>
                <w:color w:val="auto"/>
                <w:sz w:val="22"/>
                <w:szCs w:val="22"/>
              </w:rPr>
            </w:pPr>
            <w:r>
              <w:rPr>
                <w:color w:val="auto"/>
                <w:sz w:val="22"/>
                <w:szCs w:val="22"/>
              </w:rPr>
              <w:t>Урок 46</w:t>
            </w:r>
          </w:p>
        </w:tc>
        <w:tc>
          <w:tcPr>
            <w:tcW w:w="7937" w:type="dxa"/>
          </w:tcPr>
          <w:p w14:paraId="16F4EA86">
            <w:pPr>
              <w:pStyle w:val="85"/>
              <w:jc w:val="both"/>
              <w:rPr>
                <w:color w:val="auto"/>
                <w:sz w:val="22"/>
                <w:szCs w:val="22"/>
              </w:rPr>
            </w:pPr>
            <w:r>
              <w:rPr>
                <w:color w:val="auto"/>
                <w:sz w:val="22"/>
                <w:szCs w:val="22"/>
              </w:rPr>
              <w:t>Резервный урок по разделу состав слова: нулевое окончание (наблюдение)</w:t>
            </w:r>
          </w:p>
        </w:tc>
      </w:tr>
      <w:tr w14:paraId="4EDD16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tcPr>
          <w:p w14:paraId="53E020D8">
            <w:pPr>
              <w:pStyle w:val="85"/>
              <w:rPr>
                <w:color w:val="auto"/>
                <w:sz w:val="22"/>
                <w:szCs w:val="22"/>
              </w:rPr>
            </w:pPr>
            <w:r>
              <w:rPr>
                <w:color w:val="auto"/>
                <w:sz w:val="22"/>
                <w:szCs w:val="22"/>
              </w:rPr>
              <w:t>Урок 47</w:t>
            </w:r>
          </w:p>
        </w:tc>
        <w:tc>
          <w:tcPr>
            <w:tcW w:w="7937" w:type="dxa"/>
          </w:tcPr>
          <w:p w14:paraId="1245408B">
            <w:pPr>
              <w:pStyle w:val="85"/>
              <w:jc w:val="both"/>
              <w:rPr>
                <w:color w:val="auto"/>
                <w:sz w:val="22"/>
                <w:szCs w:val="22"/>
              </w:rPr>
            </w:pPr>
            <w:r>
              <w:rPr>
                <w:color w:val="auto"/>
                <w:sz w:val="22"/>
                <w:szCs w:val="22"/>
              </w:rPr>
              <w:t>Суффикс как часть слова</w:t>
            </w:r>
          </w:p>
        </w:tc>
      </w:tr>
      <w:tr w14:paraId="01E3DB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tcPr>
          <w:p w14:paraId="4B66585C">
            <w:pPr>
              <w:pStyle w:val="85"/>
              <w:rPr>
                <w:color w:val="auto"/>
                <w:sz w:val="22"/>
                <w:szCs w:val="22"/>
              </w:rPr>
            </w:pPr>
            <w:r>
              <w:rPr>
                <w:color w:val="auto"/>
                <w:sz w:val="22"/>
                <w:szCs w:val="22"/>
              </w:rPr>
              <w:t>Урок 48</w:t>
            </w:r>
          </w:p>
        </w:tc>
        <w:tc>
          <w:tcPr>
            <w:tcW w:w="7937" w:type="dxa"/>
          </w:tcPr>
          <w:p w14:paraId="6D1E5697">
            <w:pPr>
              <w:pStyle w:val="85"/>
              <w:jc w:val="both"/>
              <w:rPr>
                <w:color w:val="auto"/>
                <w:sz w:val="22"/>
                <w:szCs w:val="22"/>
              </w:rPr>
            </w:pPr>
            <w:r>
              <w:rPr>
                <w:color w:val="auto"/>
                <w:sz w:val="22"/>
                <w:szCs w:val="22"/>
              </w:rPr>
              <w:t>Приставка как часть слова (наблюдение)</w:t>
            </w:r>
          </w:p>
        </w:tc>
      </w:tr>
      <w:tr w14:paraId="4A1226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tcPr>
          <w:p w14:paraId="41EAA5E5">
            <w:pPr>
              <w:pStyle w:val="85"/>
              <w:rPr>
                <w:color w:val="auto"/>
                <w:sz w:val="22"/>
                <w:szCs w:val="22"/>
              </w:rPr>
            </w:pPr>
            <w:r>
              <w:rPr>
                <w:color w:val="auto"/>
                <w:sz w:val="22"/>
                <w:szCs w:val="22"/>
              </w:rPr>
              <w:t>Урок 49</w:t>
            </w:r>
          </w:p>
        </w:tc>
        <w:tc>
          <w:tcPr>
            <w:tcW w:w="7937" w:type="dxa"/>
          </w:tcPr>
          <w:p w14:paraId="7412E400">
            <w:pPr>
              <w:pStyle w:val="85"/>
              <w:jc w:val="both"/>
              <w:rPr>
                <w:color w:val="auto"/>
                <w:sz w:val="22"/>
                <w:szCs w:val="22"/>
              </w:rPr>
            </w:pPr>
            <w:r>
              <w:rPr>
                <w:color w:val="auto"/>
                <w:sz w:val="22"/>
                <w:szCs w:val="22"/>
              </w:rPr>
              <w:t>Роль суффиксов и приставок</w:t>
            </w:r>
          </w:p>
        </w:tc>
      </w:tr>
      <w:tr w14:paraId="13CC8A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tcPr>
          <w:p w14:paraId="229AF14A">
            <w:pPr>
              <w:pStyle w:val="85"/>
              <w:rPr>
                <w:color w:val="auto"/>
                <w:sz w:val="22"/>
                <w:szCs w:val="22"/>
              </w:rPr>
            </w:pPr>
            <w:r>
              <w:rPr>
                <w:color w:val="auto"/>
                <w:sz w:val="22"/>
                <w:szCs w:val="22"/>
              </w:rPr>
              <w:t>Урок 50</w:t>
            </w:r>
          </w:p>
        </w:tc>
        <w:tc>
          <w:tcPr>
            <w:tcW w:w="7937" w:type="dxa"/>
          </w:tcPr>
          <w:p w14:paraId="744DE709">
            <w:pPr>
              <w:pStyle w:val="85"/>
              <w:jc w:val="both"/>
              <w:rPr>
                <w:color w:val="auto"/>
                <w:sz w:val="22"/>
                <w:szCs w:val="22"/>
              </w:rPr>
            </w:pPr>
            <w:r>
              <w:rPr>
                <w:color w:val="auto"/>
                <w:sz w:val="22"/>
                <w:szCs w:val="22"/>
              </w:rPr>
              <w:t>Состав слова: систематизация знаний</w:t>
            </w:r>
          </w:p>
        </w:tc>
      </w:tr>
      <w:tr w14:paraId="20F341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tcPr>
          <w:p w14:paraId="4BCE318F">
            <w:pPr>
              <w:pStyle w:val="85"/>
              <w:rPr>
                <w:color w:val="auto"/>
                <w:sz w:val="22"/>
                <w:szCs w:val="22"/>
              </w:rPr>
            </w:pPr>
            <w:r>
              <w:rPr>
                <w:color w:val="auto"/>
                <w:sz w:val="22"/>
                <w:szCs w:val="22"/>
              </w:rPr>
              <w:t>Урок 51</w:t>
            </w:r>
          </w:p>
        </w:tc>
        <w:tc>
          <w:tcPr>
            <w:tcW w:w="7937" w:type="dxa"/>
          </w:tcPr>
          <w:p w14:paraId="03772678">
            <w:pPr>
              <w:pStyle w:val="85"/>
              <w:jc w:val="both"/>
              <w:rPr>
                <w:color w:val="auto"/>
                <w:sz w:val="22"/>
                <w:szCs w:val="22"/>
              </w:rPr>
            </w:pPr>
            <w:r>
              <w:rPr>
                <w:color w:val="auto"/>
                <w:sz w:val="22"/>
                <w:szCs w:val="22"/>
              </w:rPr>
              <w:t>Состав слова: обобщение</w:t>
            </w:r>
          </w:p>
        </w:tc>
      </w:tr>
      <w:tr w14:paraId="2BD510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0B5C5DDA">
            <w:pPr>
              <w:pStyle w:val="85"/>
              <w:rPr>
                <w:color w:val="auto"/>
                <w:sz w:val="22"/>
                <w:szCs w:val="22"/>
              </w:rPr>
            </w:pPr>
            <w:r>
              <w:rPr>
                <w:color w:val="auto"/>
                <w:sz w:val="22"/>
                <w:szCs w:val="22"/>
              </w:rPr>
              <w:t>Урок 52</w:t>
            </w:r>
          </w:p>
        </w:tc>
        <w:tc>
          <w:tcPr>
            <w:tcW w:w="7937" w:type="dxa"/>
          </w:tcPr>
          <w:p w14:paraId="13BF3B4A">
            <w:pPr>
              <w:pStyle w:val="85"/>
              <w:jc w:val="both"/>
              <w:rPr>
                <w:color w:val="auto"/>
                <w:sz w:val="22"/>
                <w:szCs w:val="22"/>
              </w:rPr>
            </w:pPr>
            <w:r>
              <w:rPr>
                <w:color w:val="auto"/>
                <w:sz w:val="22"/>
                <w:szCs w:val="22"/>
              </w:rPr>
              <w:t>Резервный урок по разделу состав слова: Тренинг. Нахождение однокоренных слов. Выделение корня</w:t>
            </w:r>
          </w:p>
        </w:tc>
      </w:tr>
      <w:tr w14:paraId="44FAFC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3064BF45">
            <w:pPr>
              <w:pStyle w:val="85"/>
              <w:rPr>
                <w:color w:val="auto"/>
                <w:sz w:val="22"/>
                <w:szCs w:val="22"/>
              </w:rPr>
            </w:pPr>
            <w:r>
              <w:rPr>
                <w:color w:val="auto"/>
                <w:sz w:val="22"/>
                <w:szCs w:val="22"/>
              </w:rPr>
              <w:t>Урок 53</w:t>
            </w:r>
          </w:p>
        </w:tc>
        <w:tc>
          <w:tcPr>
            <w:tcW w:w="7937" w:type="dxa"/>
          </w:tcPr>
          <w:p w14:paraId="73EBD444">
            <w:pPr>
              <w:pStyle w:val="85"/>
              <w:jc w:val="both"/>
              <w:rPr>
                <w:color w:val="auto"/>
                <w:sz w:val="22"/>
                <w:szCs w:val="22"/>
              </w:rPr>
            </w:pPr>
            <w:r>
              <w:rPr>
                <w:color w:val="auto"/>
                <w:sz w:val="22"/>
                <w:szCs w:val="22"/>
              </w:rPr>
              <w:t>Резервный урок по разделу состав слова: как образуются слова (наблюдение)</w:t>
            </w:r>
          </w:p>
        </w:tc>
      </w:tr>
      <w:tr w14:paraId="42FE19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tcPr>
          <w:p w14:paraId="1917E804">
            <w:pPr>
              <w:pStyle w:val="85"/>
              <w:rPr>
                <w:color w:val="auto"/>
                <w:sz w:val="22"/>
                <w:szCs w:val="22"/>
              </w:rPr>
            </w:pPr>
            <w:r>
              <w:rPr>
                <w:color w:val="auto"/>
                <w:sz w:val="22"/>
                <w:szCs w:val="22"/>
              </w:rPr>
              <w:t>Урок 54</w:t>
            </w:r>
          </w:p>
        </w:tc>
        <w:tc>
          <w:tcPr>
            <w:tcW w:w="7937" w:type="dxa"/>
          </w:tcPr>
          <w:p w14:paraId="320E492D">
            <w:pPr>
              <w:pStyle w:val="85"/>
              <w:jc w:val="both"/>
              <w:rPr>
                <w:color w:val="auto"/>
                <w:sz w:val="22"/>
                <w:szCs w:val="22"/>
              </w:rPr>
            </w:pPr>
            <w:r>
              <w:rPr>
                <w:color w:val="auto"/>
                <w:sz w:val="22"/>
                <w:szCs w:val="22"/>
              </w:rPr>
              <w:t>Суффикс как часть слова: наблюдение за значением</w:t>
            </w:r>
          </w:p>
        </w:tc>
      </w:tr>
      <w:tr w14:paraId="13FF10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16FEDF2B">
            <w:pPr>
              <w:pStyle w:val="85"/>
              <w:rPr>
                <w:color w:val="auto"/>
                <w:sz w:val="22"/>
                <w:szCs w:val="22"/>
              </w:rPr>
            </w:pPr>
            <w:r>
              <w:rPr>
                <w:color w:val="auto"/>
                <w:sz w:val="22"/>
                <w:szCs w:val="22"/>
              </w:rPr>
              <w:t>Урок 55</w:t>
            </w:r>
          </w:p>
        </w:tc>
        <w:tc>
          <w:tcPr>
            <w:tcW w:w="7937" w:type="dxa"/>
          </w:tcPr>
          <w:p w14:paraId="0CD00E9F">
            <w:pPr>
              <w:pStyle w:val="85"/>
              <w:jc w:val="both"/>
              <w:rPr>
                <w:color w:val="auto"/>
                <w:sz w:val="22"/>
                <w:szCs w:val="22"/>
              </w:rPr>
            </w:pPr>
            <w:r>
              <w:rPr>
                <w:color w:val="auto"/>
                <w:sz w:val="22"/>
                <w:szCs w:val="22"/>
              </w:rPr>
              <w:t>Деление слов на слоги. Использование знания алфавита при работе со словарями</w:t>
            </w:r>
          </w:p>
        </w:tc>
      </w:tr>
      <w:tr w14:paraId="621C33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tcPr>
          <w:p w14:paraId="58865225">
            <w:pPr>
              <w:pStyle w:val="85"/>
              <w:rPr>
                <w:color w:val="auto"/>
                <w:sz w:val="22"/>
                <w:szCs w:val="22"/>
              </w:rPr>
            </w:pPr>
            <w:r>
              <w:rPr>
                <w:color w:val="auto"/>
                <w:sz w:val="22"/>
                <w:szCs w:val="22"/>
              </w:rPr>
              <w:t>Урок 56</w:t>
            </w:r>
          </w:p>
        </w:tc>
        <w:tc>
          <w:tcPr>
            <w:tcW w:w="7937" w:type="dxa"/>
          </w:tcPr>
          <w:p w14:paraId="5FB7545C">
            <w:pPr>
              <w:pStyle w:val="85"/>
              <w:jc w:val="both"/>
              <w:rPr>
                <w:color w:val="auto"/>
                <w:sz w:val="22"/>
                <w:szCs w:val="22"/>
              </w:rPr>
            </w:pPr>
            <w:r>
              <w:rPr>
                <w:color w:val="auto"/>
                <w:sz w:val="22"/>
                <w:szCs w:val="22"/>
              </w:rPr>
              <w:t>Перенос слов по слогам</w:t>
            </w:r>
          </w:p>
        </w:tc>
      </w:tr>
      <w:tr w14:paraId="5A896E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tcPr>
          <w:p w14:paraId="7CC0EC95">
            <w:pPr>
              <w:pStyle w:val="85"/>
              <w:rPr>
                <w:color w:val="auto"/>
                <w:sz w:val="22"/>
                <w:szCs w:val="22"/>
              </w:rPr>
            </w:pPr>
            <w:r>
              <w:rPr>
                <w:color w:val="auto"/>
                <w:sz w:val="22"/>
                <w:szCs w:val="22"/>
              </w:rPr>
              <w:t>Урок 57</w:t>
            </w:r>
          </w:p>
        </w:tc>
        <w:tc>
          <w:tcPr>
            <w:tcW w:w="7937" w:type="dxa"/>
          </w:tcPr>
          <w:p w14:paraId="7ADDDADE">
            <w:pPr>
              <w:pStyle w:val="85"/>
              <w:jc w:val="both"/>
              <w:rPr>
                <w:color w:val="auto"/>
                <w:sz w:val="22"/>
                <w:szCs w:val="22"/>
              </w:rPr>
            </w:pPr>
            <w:r>
              <w:rPr>
                <w:color w:val="auto"/>
                <w:sz w:val="22"/>
                <w:szCs w:val="22"/>
              </w:rPr>
              <w:t>Перенос слов по слогам: закрепление</w:t>
            </w:r>
          </w:p>
        </w:tc>
      </w:tr>
      <w:tr w14:paraId="32CF23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3C021ECA">
            <w:pPr>
              <w:pStyle w:val="85"/>
              <w:rPr>
                <w:color w:val="auto"/>
                <w:sz w:val="22"/>
                <w:szCs w:val="22"/>
              </w:rPr>
            </w:pPr>
            <w:r>
              <w:rPr>
                <w:color w:val="auto"/>
                <w:sz w:val="22"/>
                <w:szCs w:val="22"/>
              </w:rPr>
              <w:t>Урок 58</w:t>
            </w:r>
          </w:p>
        </w:tc>
        <w:tc>
          <w:tcPr>
            <w:tcW w:w="7937" w:type="dxa"/>
          </w:tcPr>
          <w:p w14:paraId="72474FAD">
            <w:pPr>
              <w:pStyle w:val="85"/>
              <w:jc w:val="both"/>
              <w:rPr>
                <w:color w:val="auto"/>
                <w:sz w:val="22"/>
                <w:szCs w:val="22"/>
              </w:rPr>
            </w:pPr>
            <w:r>
              <w:rPr>
                <w:color w:val="auto"/>
                <w:sz w:val="22"/>
                <w:szCs w:val="22"/>
              </w:rPr>
              <w:t>Различение звуков и букв. Различение ударных и безударных гласных звуков</w:t>
            </w:r>
          </w:p>
        </w:tc>
      </w:tr>
      <w:tr w14:paraId="52FBE1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0BCB852C">
            <w:pPr>
              <w:pStyle w:val="85"/>
              <w:rPr>
                <w:color w:val="auto"/>
                <w:sz w:val="22"/>
                <w:szCs w:val="22"/>
              </w:rPr>
            </w:pPr>
            <w:r>
              <w:rPr>
                <w:color w:val="auto"/>
                <w:sz w:val="22"/>
                <w:szCs w:val="22"/>
              </w:rPr>
              <w:t>Урок 59</w:t>
            </w:r>
          </w:p>
        </w:tc>
        <w:tc>
          <w:tcPr>
            <w:tcW w:w="7937" w:type="dxa"/>
          </w:tcPr>
          <w:p w14:paraId="467215C8">
            <w:pPr>
              <w:pStyle w:val="85"/>
              <w:jc w:val="both"/>
              <w:rPr>
                <w:color w:val="auto"/>
                <w:sz w:val="22"/>
                <w:szCs w:val="22"/>
              </w:rPr>
            </w:pPr>
            <w:r>
              <w:rPr>
                <w:color w:val="auto"/>
                <w:sz w:val="22"/>
                <w:szCs w:val="22"/>
              </w:rPr>
              <w:t>Составление устного рассказа по репродукции картины З. Серебряковой "За обедом"</w:t>
            </w:r>
          </w:p>
        </w:tc>
      </w:tr>
      <w:tr w14:paraId="5FBC38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tcPr>
          <w:p w14:paraId="6FA941BA">
            <w:pPr>
              <w:pStyle w:val="85"/>
              <w:rPr>
                <w:color w:val="auto"/>
                <w:sz w:val="22"/>
                <w:szCs w:val="22"/>
              </w:rPr>
            </w:pPr>
            <w:r>
              <w:rPr>
                <w:color w:val="auto"/>
                <w:sz w:val="22"/>
                <w:szCs w:val="22"/>
              </w:rPr>
              <w:t>Урок 60</w:t>
            </w:r>
          </w:p>
        </w:tc>
        <w:tc>
          <w:tcPr>
            <w:tcW w:w="7937" w:type="dxa"/>
          </w:tcPr>
          <w:p w14:paraId="72F38FB5">
            <w:pPr>
              <w:pStyle w:val="85"/>
              <w:jc w:val="both"/>
              <w:rPr>
                <w:color w:val="auto"/>
                <w:sz w:val="22"/>
                <w:szCs w:val="22"/>
              </w:rPr>
            </w:pPr>
            <w:r>
              <w:rPr>
                <w:color w:val="auto"/>
                <w:sz w:val="22"/>
                <w:szCs w:val="22"/>
              </w:rPr>
              <w:t>Резервный урок по разделу фонетика: различаем звуки и буквы</w:t>
            </w:r>
          </w:p>
        </w:tc>
      </w:tr>
      <w:tr w14:paraId="09A1B2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6C9AA177">
            <w:pPr>
              <w:pStyle w:val="85"/>
              <w:rPr>
                <w:color w:val="auto"/>
                <w:sz w:val="22"/>
                <w:szCs w:val="22"/>
              </w:rPr>
            </w:pPr>
            <w:r>
              <w:rPr>
                <w:color w:val="auto"/>
                <w:sz w:val="22"/>
                <w:szCs w:val="22"/>
              </w:rPr>
              <w:t>Урок 61</w:t>
            </w:r>
          </w:p>
        </w:tc>
        <w:tc>
          <w:tcPr>
            <w:tcW w:w="7937" w:type="dxa"/>
          </w:tcPr>
          <w:p w14:paraId="6555C99F">
            <w:pPr>
              <w:pStyle w:val="85"/>
              <w:jc w:val="both"/>
              <w:rPr>
                <w:color w:val="auto"/>
                <w:sz w:val="22"/>
                <w:szCs w:val="22"/>
              </w:rPr>
            </w:pPr>
            <w:r>
              <w:rPr>
                <w:color w:val="auto"/>
                <w:sz w:val="22"/>
                <w:szCs w:val="22"/>
              </w:rPr>
              <w:t>Подробное изложение повествовательного текста объемом 30 - 45 слов с использованием вопросов</w:t>
            </w:r>
          </w:p>
        </w:tc>
      </w:tr>
      <w:tr w14:paraId="71B6BB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tcPr>
          <w:p w14:paraId="248AF784">
            <w:pPr>
              <w:pStyle w:val="85"/>
              <w:rPr>
                <w:color w:val="auto"/>
                <w:sz w:val="22"/>
                <w:szCs w:val="22"/>
              </w:rPr>
            </w:pPr>
            <w:r>
              <w:rPr>
                <w:color w:val="auto"/>
                <w:sz w:val="22"/>
                <w:szCs w:val="22"/>
              </w:rPr>
              <w:t>Урок 62</w:t>
            </w:r>
          </w:p>
        </w:tc>
        <w:tc>
          <w:tcPr>
            <w:tcW w:w="7937" w:type="dxa"/>
          </w:tcPr>
          <w:p w14:paraId="03281BDC">
            <w:pPr>
              <w:pStyle w:val="85"/>
              <w:jc w:val="both"/>
              <w:rPr>
                <w:color w:val="auto"/>
                <w:sz w:val="22"/>
                <w:szCs w:val="22"/>
              </w:rPr>
            </w:pPr>
            <w:r>
              <w:rPr>
                <w:color w:val="auto"/>
                <w:sz w:val="22"/>
                <w:szCs w:val="22"/>
              </w:rPr>
              <w:t>Правописание слов с безударным гласным звуком в корне</w:t>
            </w:r>
          </w:p>
        </w:tc>
      </w:tr>
      <w:tr w14:paraId="51CBA7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tcPr>
          <w:p w14:paraId="07BEF4F9">
            <w:pPr>
              <w:pStyle w:val="85"/>
              <w:rPr>
                <w:color w:val="auto"/>
                <w:sz w:val="22"/>
                <w:szCs w:val="22"/>
              </w:rPr>
            </w:pPr>
            <w:r>
              <w:rPr>
                <w:color w:val="auto"/>
                <w:sz w:val="22"/>
                <w:szCs w:val="22"/>
              </w:rPr>
              <w:t>Урок 63</w:t>
            </w:r>
          </w:p>
        </w:tc>
        <w:tc>
          <w:tcPr>
            <w:tcW w:w="7937" w:type="dxa"/>
          </w:tcPr>
          <w:p w14:paraId="596C4792">
            <w:pPr>
              <w:pStyle w:val="85"/>
              <w:jc w:val="both"/>
              <w:rPr>
                <w:color w:val="auto"/>
                <w:sz w:val="22"/>
                <w:szCs w:val="22"/>
              </w:rPr>
            </w:pPr>
            <w:r>
              <w:rPr>
                <w:color w:val="auto"/>
                <w:sz w:val="22"/>
                <w:szCs w:val="22"/>
              </w:rPr>
              <w:t>Единообразное написание гласных в корне</w:t>
            </w:r>
          </w:p>
        </w:tc>
      </w:tr>
      <w:tr w14:paraId="0A0115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6F1BDA75">
            <w:pPr>
              <w:pStyle w:val="85"/>
              <w:rPr>
                <w:color w:val="auto"/>
                <w:sz w:val="22"/>
                <w:szCs w:val="22"/>
              </w:rPr>
            </w:pPr>
            <w:r>
              <w:rPr>
                <w:color w:val="auto"/>
                <w:sz w:val="22"/>
                <w:szCs w:val="22"/>
              </w:rPr>
              <w:t>Урок 64</w:t>
            </w:r>
          </w:p>
        </w:tc>
        <w:tc>
          <w:tcPr>
            <w:tcW w:w="7937" w:type="dxa"/>
          </w:tcPr>
          <w:p w14:paraId="668FEA33">
            <w:pPr>
              <w:pStyle w:val="85"/>
              <w:jc w:val="both"/>
              <w:rPr>
                <w:color w:val="auto"/>
                <w:sz w:val="22"/>
                <w:szCs w:val="22"/>
              </w:rPr>
            </w:pPr>
            <w:r>
              <w:rPr>
                <w:color w:val="auto"/>
                <w:sz w:val="22"/>
                <w:szCs w:val="22"/>
              </w:rPr>
              <w:t>Способы проверки написания буквы, обозначающей безударный гласный звук в корне слова</w:t>
            </w:r>
          </w:p>
        </w:tc>
      </w:tr>
      <w:tr w14:paraId="37812F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tcPr>
          <w:p w14:paraId="796FC70D">
            <w:pPr>
              <w:pStyle w:val="85"/>
              <w:rPr>
                <w:color w:val="auto"/>
                <w:sz w:val="22"/>
                <w:szCs w:val="22"/>
              </w:rPr>
            </w:pPr>
            <w:r>
              <w:rPr>
                <w:color w:val="auto"/>
                <w:sz w:val="22"/>
                <w:szCs w:val="22"/>
              </w:rPr>
              <w:t>Урок 65</w:t>
            </w:r>
          </w:p>
        </w:tc>
        <w:tc>
          <w:tcPr>
            <w:tcW w:w="7937" w:type="dxa"/>
          </w:tcPr>
          <w:p w14:paraId="73C29286">
            <w:pPr>
              <w:pStyle w:val="85"/>
              <w:jc w:val="both"/>
              <w:rPr>
                <w:color w:val="auto"/>
                <w:sz w:val="22"/>
                <w:szCs w:val="22"/>
              </w:rPr>
            </w:pPr>
            <w:r>
              <w:rPr>
                <w:color w:val="auto"/>
                <w:sz w:val="22"/>
                <w:szCs w:val="22"/>
              </w:rPr>
              <w:t>Обозначение буквой безударного гласного звука в корне слова</w:t>
            </w:r>
          </w:p>
        </w:tc>
      </w:tr>
      <w:tr w14:paraId="6D4B1C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tcPr>
          <w:p w14:paraId="1AFF9781">
            <w:pPr>
              <w:pStyle w:val="85"/>
              <w:rPr>
                <w:color w:val="auto"/>
                <w:sz w:val="22"/>
                <w:szCs w:val="22"/>
              </w:rPr>
            </w:pPr>
            <w:r>
              <w:rPr>
                <w:color w:val="auto"/>
                <w:sz w:val="22"/>
                <w:szCs w:val="22"/>
              </w:rPr>
              <w:t>Урок 66</w:t>
            </w:r>
          </w:p>
        </w:tc>
        <w:tc>
          <w:tcPr>
            <w:tcW w:w="7937" w:type="dxa"/>
          </w:tcPr>
          <w:p w14:paraId="4410068E">
            <w:pPr>
              <w:pStyle w:val="85"/>
              <w:jc w:val="both"/>
              <w:rPr>
                <w:color w:val="auto"/>
                <w:sz w:val="22"/>
                <w:szCs w:val="22"/>
              </w:rPr>
            </w:pPr>
            <w:r>
              <w:rPr>
                <w:color w:val="auto"/>
                <w:sz w:val="22"/>
                <w:szCs w:val="22"/>
              </w:rPr>
              <w:t>Правописание слов с безударным гласным звуком в корне: закрепление</w:t>
            </w:r>
          </w:p>
        </w:tc>
      </w:tr>
      <w:tr w14:paraId="64B02E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2FA6D415">
            <w:pPr>
              <w:pStyle w:val="85"/>
              <w:rPr>
                <w:color w:val="auto"/>
                <w:sz w:val="22"/>
                <w:szCs w:val="22"/>
              </w:rPr>
            </w:pPr>
            <w:r>
              <w:rPr>
                <w:color w:val="auto"/>
                <w:sz w:val="22"/>
                <w:szCs w:val="22"/>
              </w:rPr>
              <w:t>Урок 67</w:t>
            </w:r>
          </w:p>
        </w:tc>
        <w:tc>
          <w:tcPr>
            <w:tcW w:w="7937" w:type="dxa"/>
          </w:tcPr>
          <w:p w14:paraId="044810F0">
            <w:pPr>
              <w:pStyle w:val="85"/>
              <w:jc w:val="both"/>
              <w:rPr>
                <w:color w:val="auto"/>
                <w:sz w:val="22"/>
                <w:szCs w:val="22"/>
              </w:rPr>
            </w:pPr>
            <w:r>
              <w:rPr>
                <w:color w:val="auto"/>
                <w:sz w:val="22"/>
                <w:szCs w:val="22"/>
              </w:rPr>
              <w:t>Объяснительный диктант: учимся обозначать безударные гласные в корне слова</w:t>
            </w:r>
          </w:p>
        </w:tc>
      </w:tr>
      <w:tr w14:paraId="0A22A5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tcPr>
          <w:p w14:paraId="0E1CEFB9">
            <w:pPr>
              <w:pStyle w:val="85"/>
              <w:rPr>
                <w:color w:val="auto"/>
                <w:sz w:val="22"/>
                <w:szCs w:val="22"/>
              </w:rPr>
            </w:pPr>
            <w:r>
              <w:rPr>
                <w:color w:val="auto"/>
                <w:sz w:val="22"/>
                <w:szCs w:val="22"/>
              </w:rPr>
              <w:t>Урок 68</w:t>
            </w:r>
          </w:p>
        </w:tc>
        <w:tc>
          <w:tcPr>
            <w:tcW w:w="7937" w:type="dxa"/>
          </w:tcPr>
          <w:p w14:paraId="76B915CA">
            <w:pPr>
              <w:pStyle w:val="85"/>
              <w:jc w:val="both"/>
              <w:rPr>
                <w:color w:val="auto"/>
                <w:sz w:val="22"/>
                <w:szCs w:val="22"/>
              </w:rPr>
            </w:pPr>
            <w:r>
              <w:rPr>
                <w:color w:val="auto"/>
                <w:sz w:val="22"/>
                <w:szCs w:val="22"/>
              </w:rPr>
              <w:t>Непроверяемые гласные в корне слова</w:t>
            </w:r>
          </w:p>
        </w:tc>
      </w:tr>
      <w:tr w14:paraId="41E2E8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10756118">
            <w:pPr>
              <w:pStyle w:val="85"/>
              <w:rPr>
                <w:color w:val="auto"/>
                <w:sz w:val="22"/>
                <w:szCs w:val="22"/>
              </w:rPr>
            </w:pPr>
            <w:r>
              <w:rPr>
                <w:color w:val="auto"/>
                <w:sz w:val="22"/>
                <w:szCs w:val="22"/>
              </w:rPr>
              <w:t>Урок 69</w:t>
            </w:r>
          </w:p>
        </w:tc>
        <w:tc>
          <w:tcPr>
            <w:tcW w:w="7937" w:type="dxa"/>
          </w:tcPr>
          <w:p w14:paraId="6B100BF5">
            <w:pPr>
              <w:pStyle w:val="85"/>
              <w:jc w:val="both"/>
              <w:rPr>
                <w:color w:val="auto"/>
                <w:sz w:val="22"/>
                <w:szCs w:val="22"/>
              </w:rPr>
            </w:pPr>
            <w:r>
              <w:rPr>
                <w:color w:val="auto"/>
                <w:sz w:val="22"/>
                <w:szCs w:val="22"/>
              </w:rPr>
              <w:t>Правописание слов с проверяемыми и непроверяемыми безударными гласными в корне слова</w:t>
            </w:r>
          </w:p>
        </w:tc>
      </w:tr>
      <w:tr w14:paraId="6B053C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tcPr>
          <w:p w14:paraId="21538A02">
            <w:pPr>
              <w:pStyle w:val="85"/>
              <w:rPr>
                <w:color w:val="auto"/>
                <w:sz w:val="22"/>
                <w:szCs w:val="22"/>
              </w:rPr>
            </w:pPr>
            <w:r>
              <w:rPr>
                <w:color w:val="auto"/>
                <w:sz w:val="22"/>
                <w:szCs w:val="22"/>
              </w:rPr>
              <w:t>Урок 70</w:t>
            </w:r>
          </w:p>
        </w:tc>
        <w:tc>
          <w:tcPr>
            <w:tcW w:w="7937" w:type="dxa"/>
          </w:tcPr>
          <w:p w14:paraId="51A08A20">
            <w:pPr>
              <w:pStyle w:val="85"/>
              <w:jc w:val="both"/>
              <w:rPr>
                <w:color w:val="auto"/>
                <w:sz w:val="22"/>
                <w:szCs w:val="22"/>
              </w:rPr>
            </w:pPr>
            <w:r>
              <w:rPr>
                <w:color w:val="auto"/>
                <w:sz w:val="22"/>
                <w:szCs w:val="22"/>
              </w:rPr>
              <w:t>Списывание текста. Словарный диктант</w:t>
            </w:r>
          </w:p>
        </w:tc>
      </w:tr>
      <w:tr w14:paraId="5DD560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tcPr>
          <w:p w14:paraId="505871E2">
            <w:pPr>
              <w:pStyle w:val="85"/>
              <w:rPr>
                <w:color w:val="auto"/>
                <w:sz w:val="22"/>
                <w:szCs w:val="22"/>
              </w:rPr>
            </w:pPr>
            <w:r>
              <w:rPr>
                <w:color w:val="auto"/>
                <w:sz w:val="22"/>
                <w:szCs w:val="22"/>
              </w:rPr>
              <w:t>Урок 71</w:t>
            </w:r>
          </w:p>
        </w:tc>
        <w:tc>
          <w:tcPr>
            <w:tcW w:w="7937" w:type="dxa"/>
          </w:tcPr>
          <w:p w14:paraId="32BAB2FA">
            <w:pPr>
              <w:pStyle w:val="85"/>
              <w:jc w:val="both"/>
              <w:rPr>
                <w:color w:val="auto"/>
                <w:sz w:val="22"/>
                <w:szCs w:val="22"/>
              </w:rPr>
            </w:pPr>
            <w:r>
              <w:rPr>
                <w:color w:val="auto"/>
                <w:sz w:val="22"/>
                <w:szCs w:val="22"/>
              </w:rPr>
              <w:t>Отработка правописания слов с орфограммами в значимых частях слов</w:t>
            </w:r>
          </w:p>
        </w:tc>
      </w:tr>
      <w:tr w14:paraId="373AC4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1F854699">
            <w:pPr>
              <w:pStyle w:val="85"/>
              <w:rPr>
                <w:color w:val="auto"/>
                <w:sz w:val="22"/>
                <w:szCs w:val="22"/>
              </w:rPr>
            </w:pPr>
            <w:r>
              <w:rPr>
                <w:color w:val="auto"/>
                <w:sz w:val="22"/>
                <w:szCs w:val="22"/>
              </w:rPr>
              <w:t>Урок 72</w:t>
            </w:r>
          </w:p>
        </w:tc>
        <w:tc>
          <w:tcPr>
            <w:tcW w:w="7937" w:type="dxa"/>
          </w:tcPr>
          <w:p w14:paraId="7F8BFBCA">
            <w:pPr>
              <w:pStyle w:val="85"/>
              <w:jc w:val="both"/>
              <w:rPr>
                <w:color w:val="auto"/>
                <w:sz w:val="22"/>
                <w:szCs w:val="22"/>
              </w:rPr>
            </w:pPr>
            <w:r>
              <w:rPr>
                <w:color w:val="auto"/>
                <w:sz w:val="22"/>
                <w:szCs w:val="22"/>
              </w:rPr>
              <w:t>Парные и непарные по твердости - мягкости согласные звуки. Согласный звук [й'] и буква Й. Твердые и мягкие согласные звуки и буквы для их обозначения</w:t>
            </w:r>
          </w:p>
        </w:tc>
      </w:tr>
      <w:tr w14:paraId="54C10F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tcPr>
          <w:p w14:paraId="60BD892B">
            <w:pPr>
              <w:pStyle w:val="85"/>
              <w:rPr>
                <w:color w:val="auto"/>
                <w:sz w:val="22"/>
                <w:szCs w:val="22"/>
              </w:rPr>
            </w:pPr>
            <w:r>
              <w:rPr>
                <w:color w:val="auto"/>
                <w:sz w:val="22"/>
                <w:szCs w:val="22"/>
              </w:rPr>
              <w:t>Урок 73</w:t>
            </w:r>
          </w:p>
        </w:tc>
        <w:tc>
          <w:tcPr>
            <w:tcW w:w="7937" w:type="dxa"/>
          </w:tcPr>
          <w:p w14:paraId="7A2C0275">
            <w:pPr>
              <w:pStyle w:val="85"/>
              <w:jc w:val="both"/>
              <w:rPr>
                <w:color w:val="auto"/>
                <w:sz w:val="22"/>
                <w:szCs w:val="22"/>
              </w:rPr>
            </w:pPr>
            <w:r>
              <w:rPr>
                <w:color w:val="auto"/>
                <w:sz w:val="22"/>
                <w:szCs w:val="22"/>
              </w:rPr>
              <w:t>Знакомство с жанром поздравления</w:t>
            </w:r>
          </w:p>
        </w:tc>
      </w:tr>
      <w:tr w14:paraId="51AA87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tcPr>
          <w:p w14:paraId="259F2CBE">
            <w:pPr>
              <w:pStyle w:val="85"/>
              <w:rPr>
                <w:color w:val="auto"/>
                <w:sz w:val="22"/>
                <w:szCs w:val="22"/>
              </w:rPr>
            </w:pPr>
            <w:r>
              <w:rPr>
                <w:color w:val="auto"/>
                <w:sz w:val="22"/>
                <w:szCs w:val="22"/>
              </w:rPr>
              <w:t>Урок 74</w:t>
            </w:r>
          </w:p>
        </w:tc>
        <w:tc>
          <w:tcPr>
            <w:tcW w:w="7937" w:type="dxa"/>
          </w:tcPr>
          <w:p w14:paraId="5291BBCE">
            <w:pPr>
              <w:pStyle w:val="85"/>
              <w:jc w:val="both"/>
              <w:rPr>
                <w:color w:val="auto"/>
                <w:sz w:val="22"/>
                <w:szCs w:val="22"/>
              </w:rPr>
            </w:pPr>
            <w:r>
              <w:rPr>
                <w:color w:val="auto"/>
                <w:sz w:val="22"/>
                <w:szCs w:val="22"/>
              </w:rPr>
              <w:t>Функции мягкого знака</w:t>
            </w:r>
          </w:p>
        </w:tc>
      </w:tr>
      <w:tr w14:paraId="58FD60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tcPr>
          <w:p w14:paraId="0F0DF8E1">
            <w:pPr>
              <w:pStyle w:val="85"/>
              <w:rPr>
                <w:color w:val="auto"/>
                <w:sz w:val="22"/>
                <w:szCs w:val="22"/>
              </w:rPr>
            </w:pPr>
            <w:r>
              <w:rPr>
                <w:color w:val="auto"/>
                <w:sz w:val="22"/>
                <w:szCs w:val="22"/>
              </w:rPr>
              <w:t>Урок 75</w:t>
            </w:r>
          </w:p>
        </w:tc>
        <w:tc>
          <w:tcPr>
            <w:tcW w:w="7937" w:type="dxa"/>
          </w:tcPr>
          <w:p w14:paraId="211DF59A">
            <w:pPr>
              <w:pStyle w:val="85"/>
              <w:jc w:val="both"/>
              <w:rPr>
                <w:color w:val="auto"/>
                <w:sz w:val="22"/>
                <w:szCs w:val="22"/>
              </w:rPr>
            </w:pPr>
            <w:r>
              <w:rPr>
                <w:color w:val="auto"/>
                <w:sz w:val="22"/>
                <w:szCs w:val="22"/>
              </w:rPr>
              <w:t>Резервный урок по разделу фонетика: учимся характеризовать звуки</w:t>
            </w:r>
          </w:p>
        </w:tc>
      </w:tr>
      <w:tr w14:paraId="0702F3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7DE11EB8">
            <w:pPr>
              <w:pStyle w:val="85"/>
              <w:rPr>
                <w:color w:val="auto"/>
                <w:sz w:val="22"/>
                <w:szCs w:val="22"/>
              </w:rPr>
            </w:pPr>
            <w:r>
              <w:rPr>
                <w:color w:val="auto"/>
                <w:sz w:val="22"/>
                <w:szCs w:val="22"/>
              </w:rPr>
              <w:t>Урок 76</w:t>
            </w:r>
          </w:p>
        </w:tc>
        <w:tc>
          <w:tcPr>
            <w:tcW w:w="7937" w:type="dxa"/>
          </w:tcPr>
          <w:p w14:paraId="28E07F89">
            <w:pPr>
              <w:pStyle w:val="85"/>
              <w:jc w:val="both"/>
              <w:rPr>
                <w:color w:val="auto"/>
                <w:sz w:val="22"/>
                <w:szCs w:val="22"/>
              </w:rPr>
            </w:pPr>
            <w:r>
              <w:rPr>
                <w:color w:val="auto"/>
                <w:sz w:val="22"/>
                <w:szCs w:val="22"/>
              </w:rPr>
              <w:t>Выбор языковых средств для ответа на заданный вопрос при работе в паре (группе)</w:t>
            </w:r>
          </w:p>
        </w:tc>
      </w:tr>
      <w:tr w14:paraId="5F82CB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45E3B273">
            <w:pPr>
              <w:pStyle w:val="85"/>
              <w:rPr>
                <w:color w:val="auto"/>
                <w:sz w:val="22"/>
                <w:szCs w:val="22"/>
              </w:rPr>
            </w:pPr>
            <w:r>
              <w:rPr>
                <w:color w:val="auto"/>
                <w:sz w:val="22"/>
                <w:szCs w:val="22"/>
              </w:rPr>
              <w:t>Урок 77</w:t>
            </w:r>
          </w:p>
        </w:tc>
        <w:tc>
          <w:tcPr>
            <w:tcW w:w="7937" w:type="dxa"/>
          </w:tcPr>
          <w:p w14:paraId="03247B44">
            <w:pPr>
              <w:pStyle w:val="85"/>
              <w:jc w:val="both"/>
              <w:rPr>
                <w:color w:val="auto"/>
                <w:sz w:val="22"/>
                <w:szCs w:val="22"/>
              </w:rPr>
            </w:pPr>
            <w:r>
              <w:rPr>
                <w:color w:val="auto"/>
                <w:sz w:val="22"/>
                <w:szCs w:val="22"/>
              </w:rPr>
              <w:t>Выбор языковых средств для выражения собственного мнения при работе в паре (группе)</w:t>
            </w:r>
          </w:p>
        </w:tc>
      </w:tr>
      <w:tr w14:paraId="2C990B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tcPr>
          <w:p w14:paraId="466CBB09">
            <w:pPr>
              <w:pStyle w:val="85"/>
              <w:rPr>
                <w:color w:val="auto"/>
                <w:sz w:val="22"/>
                <w:szCs w:val="22"/>
              </w:rPr>
            </w:pPr>
            <w:r>
              <w:rPr>
                <w:color w:val="auto"/>
                <w:sz w:val="22"/>
                <w:szCs w:val="22"/>
              </w:rPr>
              <w:t>Урок 78</w:t>
            </w:r>
          </w:p>
        </w:tc>
        <w:tc>
          <w:tcPr>
            <w:tcW w:w="7937" w:type="dxa"/>
          </w:tcPr>
          <w:p w14:paraId="1296584E">
            <w:pPr>
              <w:pStyle w:val="85"/>
              <w:jc w:val="both"/>
              <w:rPr>
                <w:color w:val="auto"/>
                <w:sz w:val="22"/>
                <w:szCs w:val="22"/>
              </w:rPr>
            </w:pPr>
            <w:r>
              <w:rPr>
                <w:color w:val="auto"/>
                <w:sz w:val="22"/>
                <w:szCs w:val="22"/>
              </w:rPr>
              <w:t>Повторение алгоритма списывания текста</w:t>
            </w:r>
          </w:p>
        </w:tc>
      </w:tr>
      <w:tr w14:paraId="09E76A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tcPr>
          <w:p w14:paraId="59483D41">
            <w:pPr>
              <w:pStyle w:val="85"/>
              <w:rPr>
                <w:color w:val="auto"/>
                <w:sz w:val="22"/>
                <w:szCs w:val="22"/>
              </w:rPr>
            </w:pPr>
            <w:r>
              <w:rPr>
                <w:color w:val="auto"/>
                <w:sz w:val="22"/>
                <w:szCs w:val="22"/>
              </w:rPr>
              <w:t>Урок 79</w:t>
            </w:r>
          </w:p>
        </w:tc>
        <w:tc>
          <w:tcPr>
            <w:tcW w:w="7937" w:type="dxa"/>
          </w:tcPr>
          <w:p w14:paraId="07CBA78A">
            <w:pPr>
              <w:pStyle w:val="85"/>
              <w:jc w:val="both"/>
              <w:rPr>
                <w:color w:val="auto"/>
                <w:sz w:val="22"/>
                <w:szCs w:val="22"/>
              </w:rPr>
            </w:pPr>
            <w:r>
              <w:rPr>
                <w:color w:val="auto"/>
                <w:sz w:val="22"/>
                <w:szCs w:val="22"/>
              </w:rPr>
              <w:t>Диктант на изученные правила (безударные гласные в корне слова)</w:t>
            </w:r>
          </w:p>
        </w:tc>
      </w:tr>
      <w:tr w14:paraId="74CBEA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tcPr>
          <w:p w14:paraId="31E79DCD">
            <w:pPr>
              <w:pStyle w:val="85"/>
              <w:rPr>
                <w:color w:val="auto"/>
                <w:sz w:val="22"/>
                <w:szCs w:val="22"/>
              </w:rPr>
            </w:pPr>
            <w:r>
              <w:rPr>
                <w:color w:val="auto"/>
                <w:sz w:val="22"/>
                <w:szCs w:val="22"/>
              </w:rPr>
              <w:t>Урок 80</w:t>
            </w:r>
          </w:p>
        </w:tc>
        <w:tc>
          <w:tcPr>
            <w:tcW w:w="7937" w:type="dxa"/>
          </w:tcPr>
          <w:p w14:paraId="55D4DC33">
            <w:pPr>
              <w:pStyle w:val="85"/>
              <w:jc w:val="both"/>
              <w:rPr>
                <w:color w:val="auto"/>
                <w:sz w:val="22"/>
                <w:szCs w:val="22"/>
              </w:rPr>
            </w:pPr>
            <w:r>
              <w:rPr>
                <w:color w:val="auto"/>
                <w:sz w:val="22"/>
                <w:szCs w:val="22"/>
              </w:rPr>
              <w:t>Работа над ошибками, допущенными в диктанте</w:t>
            </w:r>
          </w:p>
        </w:tc>
      </w:tr>
      <w:tr w14:paraId="11ED90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1C701C6A">
            <w:pPr>
              <w:pStyle w:val="85"/>
              <w:rPr>
                <w:color w:val="auto"/>
                <w:sz w:val="22"/>
                <w:szCs w:val="22"/>
              </w:rPr>
            </w:pPr>
            <w:r>
              <w:rPr>
                <w:color w:val="auto"/>
                <w:sz w:val="22"/>
                <w:szCs w:val="22"/>
              </w:rPr>
              <w:t>Урок 81</w:t>
            </w:r>
          </w:p>
        </w:tc>
        <w:tc>
          <w:tcPr>
            <w:tcW w:w="7937" w:type="dxa"/>
          </w:tcPr>
          <w:p w14:paraId="23BC5C00">
            <w:pPr>
              <w:pStyle w:val="85"/>
              <w:jc w:val="both"/>
              <w:rPr>
                <w:color w:val="auto"/>
                <w:sz w:val="22"/>
                <w:szCs w:val="22"/>
              </w:rPr>
            </w:pPr>
            <w:r>
              <w:rPr>
                <w:color w:val="auto"/>
                <w:sz w:val="22"/>
                <w:szCs w:val="22"/>
              </w:rPr>
              <w:t>Резервный урок по разделу орфография: тренинг "Знаки препинания в конце предложения" с использованием электронных образовательных ресурсов</w:t>
            </w:r>
          </w:p>
        </w:tc>
      </w:tr>
      <w:tr w14:paraId="7F982A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6EB455BC">
            <w:pPr>
              <w:pStyle w:val="85"/>
              <w:rPr>
                <w:color w:val="auto"/>
                <w:sz w:val="22"/>
                <w:szCs w:val="22"/>
              </w:rPr>
            </w:pPr>
            <w:r>
              <w:rPr>
                <w:color w:val="auto"/>
                <w:sz w:val="22"/>
                <w:szCs w:val="22"/>
              </w:rPr>
              <w:t>Урок 82</w:t>
            </w:r>
          </w:p>
        </w:tc>
        <w:tc>
          <w:tcPr>
            <w:tcW w:w="7937" w:type="dxa"/>
          </w:tcPr>
          <w:p w14:paraId="04326E7B">
            <w:pPr>
              <w:pStyle w:val="85"/>
              <w:jc w:val="both"/>
              <w:rPr>
                <w:color w:val="auto"/>
                <w:sz w:val="22"/>
                <w:szCs w:val="22"/>
              </w:rPr>
            </w:pPr>
            <w:r>
              <w:rPr>
                <w:color w:val="auto"/>
                <w:sz w:val="22"/>
                <w:szCs w:val="22"/>
              </w:rPr>
              <w:t>Резервный урок по разделу орфография: тренинг "Слог. Перенос слов" с использованием электронных образовательных ресурсов</w:t>
            </w:r>
          </w:p>
        </w:tc>
      </w:tr>
      <w:tr w14:paraId="7166A5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4215F31D">
            <w:pPr>
              <w:pStyle w:val="85"/>
              <w:rPr>
                <w:color w:val="auto"/>
                <w:sz w:val="22"/>
                <w:szCs w:val="22"/>
              </w:rPr>
            </w:pPr>
            <w:r>
              <w:rPr>
                <w:color w:val="auto"/>
                <w:sz w:val="22"/>
                <w:szCs w:val="22"/>
              </w:rPr>
              <w:t>Урок 83</w:t>
            </w:r>
          </w:p>
        </w:tc>
        <w:tc>
          <w:tcPr>
            <w:tcW w:w="7937" w:type="dxa"/>
          </w:tcPr>
          <w:p w14:paraId="39F99CEF">
            <w:pPr>
              <w:pStyle w:val="85"/>
              <w:jc w:val="both"/>
              <w:rPr>
                <w:color w:val="auto"/>
                <w:sz w:val="22"/>
                <w:szCs w:val="22"/>
              </w:rPr>
            </w:pPr>
            <w:r>
              <w:rPr>
                <w:color w:val="auto"/>
                <w:sz w:val="22"/>
                <w:szCs w:val="22"/>
              </w:rPr>
              <w:t>Резервный урок по разделу орфография: использование орфографического словаря учебника для определения (уточнения) написания слова</w:t>
            </w:r>
          </w:p>
        </w:tc>
      </w:tr>
      <w:tr w14:paraId="2DC232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tcPr>
          <w:p w14:paraId="67AB175D">
            <w:pPr>
              <w:pStyle w:val="85"/>
              <w:rPr>
                <w:color w:val="auto"/>
                <w:sz w:val="22"/>
                <w:szCs w:val="22"/>
              </w:rPr>
            </w:pPr>
            <w:r>
              <w:rPr>
                <w:color w:val="auto"/>
                <w:sz w:val="22"/>
                <w:szCs w:val="22"/>
              </w:rPr>
              <w:t>Урок 84</w:t>
            </w:r>
          </w:p>
        </w:tc>
        <w:tc>
          <w:tcPr>
            <w:tcW w:w="7937" w:type="dxa"/>
          </w:tcPr>
          <w:p w14:paraId="7EBDB39D">
            <w:pPr>
              <w:pStyle w:val="85"/>
              <w:jc w:val="both"/>
              <w:rPr>
                <w:color w:val="auto"/>
                <w:sz w:val="22"/>
                <w:szCs w:val="22"/>
              </w:rPr>
            </w:pPr>
            <w:r>
              <w:rPr>
                <w:color w:val="auto"/>
                <w:sz w:val="22"/>
                <w:szCs w:val="22"/>
              </w:rPr>
              <w:t>Сочетания чк, чн, чт, щн, нч</w:t>
            </w:r>
          </w:p>
        </w:tc>
      </w:tr>
      <w:tr w14:paraId="4D464E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tcPr>
          <w:p w14:paraId="2B2300ED">
            <w:pPr>
              <w:pStyle w:val="85"/>
              <w:rPr>
                <w:color w:val="auto"/>
                <w:sz w:val="22"/>
                <w:szCs w:val="22"/>
              </w:rPr>
            </w:pPr>
            <w:r>
              <w:rPr>
                <w:color w:val="auto"/>
                <w:sz w:val="22"/>
                <w:szCs w:val="22"/>
              </w:rPr>
              <w:t>Урок 85</w:t>
            </w:r>
          </w:p>
        </w:tc>
        <w:tc>
          <w:tcPr>
            <w:tcW w:w="7937" w:type="dxa"/>
          </w:tcPr>
          <w:p w14:paraId="24DED9D7">
            <w:pPr>
              <w:pStyle w:val="85"/>
              <w:jc w:val="both"/>
              <w:rPr>
                <w:color w:val="auto"/>
                <w:sz w:val="22"/>
                <w:szCs w:val="22"/>
              </w:rPr>
            </w:pPr>
            <w:r>
              <w:rPr>
                <w:color w:val="auto"/>
                <w:sz w:val="22"/>
                <w:szCs w:val="22"/>
              </w:rPr>
              <w:t>Выбор языковых средств для ведения разговора при работе в паре (группе) (начать, поддержать, закончить разговор, привлечь внимание и другие)</w:t>
            </w:r>
          </w:p>
        </w:tc>
      </w:tr>
      <w:tr w14:paraId="16DB80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7FBADC05">
            <w:pPr>
              <w:pStyle w:val="85"/>
              <w:rPr>
                <w:color w:val="auto"/>
                <w:sz w:val="22"/>
                <w:szCs w:val="22"/>
              </w:rPr>
            </w:pPr>
            <w:r>
              <w:rPr>
                <w:color w:val="auto"/>
                <w:sz w:val="22"/>
                <w:szCs w:val="22"/>
              </w:rPr>
              <w:t>Урок 86</w:t>
            </w:r>
          </w:p>
        </w:tc>
        <w:tc>
          <w:tcPr>
            <w:tcW w:w="7937" w:type="dxa"/>
          </w:tcPr>
          <w:p w14:paraId="6E74475D">
            <w:pPr>
              <w:pStyle w:val="85"/>
              <w:jc w:val="both"/>
              <w:rPr>
                <w:color w:val="auto"/>
                <w:sz w:val="22"/>
                <w:szCs w:val="22"/>
              </w:rPr>
            </w:pPr>
            <w:r>
              <w:rPr>
                <w:color w:val="auto"/>
                <w:sz w:val="22"/>
                <w:szCs w:val="22"/>
              </w:rPr>
              <w:t>Гласные после шипящих в сочетаниях жи, ши (в положении под ударением)</w:t>
            </w:r>
          </w:p>
        </w:tc>
      </w:tr>
      <w:tr w14:paraId="03E754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tcPr>
          <w:p w14:paraId="6770EA4D">
            <w:pPr>
              <w:pStyle w:val="85"/>
              <w:rPr>
                <w:color w:val="auto"/>
                <w:sz w:val="22"/>
                <w:szCs w:val="22"/>
              </w:rPr>
            </w:pPr>
            <w:r>
              <w:rPr>
                <w:color w:val="auto"/>
                <w:sz w:val="22"/>
                <w:szCs w:val="22"/>
              </w:rPr>
              <w:t>Урок 87</w:t>
            </w:r>
          </w:p>
        </w:tc>
        <w:tc>
          <w:tcPr>
            <w:tcW w:w="7937" w:type="dxa"/>
          </w:tcPr>
          <w:p w14:paraId="7E194CF3">
            <w:pPr>
              <w:pStyle w:val="85"/>
              <w:jc w:val="both"/>
              <w:rPr>
                <w:color w:val="auto"/>
                <w:sz w:val="22"/>
                <w:szCs w:val="22"/>
              </w:rPr>
            </w:pPr>
            <w:r>
              <w:rPr>
                <w:color w:val="auto"/>
                <w:sz w:val="22"/>
                <w:szCs w:val="22"/>
              </w:rPr>
              <w:t>Гласные после шипящих в сочетаниях ча, ща, чу, щу</w:t>
            </w:r>
          </w:p>
        </w:tc>
      </w:tr>
      <w:tr w14:paraId="434D9E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2C70A4BE">
            <w:pPr>
              <w:pStyle w:val="85"/>
              <w:rPr>
                <w:color w:val="auto"/>
                <w:sz w:val="22"/>
                <w:szCs w:val="22"/>
              </w:rPr>
            </w:pPr>
            <w:r>
              <w:rPr>
                <w:color w:val="auto"/>
                <w:sz w:val="22"/>
                <w:szCs w:val="22"/>
              </w:rPr>
              <w:t>Урок 88</w:t>
            </w:r>
          </w:p>
        </w:tc>
        <w:tc>
          <w:tcPr>
            <w:tcW w:w="7937" w:type="dxa"/>
          </w:tcPr>
          <w:p w14:paraId="08B9CC68">
            <w:pPr>
              <w:pStyle w:val="85"/>
              <w:jc w:val="both"/>
              <w:rPr>
                <w:color w:val="auto"/>
                <w:sz w:val="22"/>
                <w:szCs w:val="22"/>
              </w:rPr>
            </w:pPr>
            <w:r>
              <w:rPr>
                <w:color w:val="auto"/>
                <w:sz w:val="22"/>
                <w:szCs w:val="22"/>
              </w:rPr>
              <w:t>Диктант на изученные правила (гласные после шипящих, сочетания чк, чн, чт)</w:t>
            </w:r>
          </w:p>
        </w:tc>
      </w:tr>
      <w:tr w14:paraId="3CD523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39E7DC38">
            <w:pPr>
              <w:pStyle w:val="85"/>
              <w:rPr>
                <w:color w:val="auto"/>
                <w:sz w:val="22"/>
                <w:szCs w:val="22"/>
              </w:rPr>
            </w:pPr>
            <w:r>
              <w:rPr>
                <w:color w:val="auto"/>
                <w:sz w:val="22"/>
                <w:szCs w:val="22"/>
              </w:rPr>
              <w:t>Урок 89</w:t>
            </w:r>
          </w:p>
        </w:tc>
        <w:tc>
          <w:tcPr>
            <w:tcW w:w="7937" w:type="dxa"/>
          </w:tcPr>
          <w:p w14:paraId="24E2246D">
            <w:pPr>
              <w:pStyle w:val="85"/>
              <w:jc w:val="both"/>
              <w:rPr>
                <w:color w:val="auto"/>
                <w:sz w:val="22"/>
                <w:szCs w:val="22"/>
              </w:rPr>
            </w:pPr>
            <w:r>
              <w:rPr>
                <w:color w:val="auto"/>
                <w:sz w:val="22"/>
                <w:szCs w:val="22"/>
              </w:rPr>
              <w:t>Резервный урок по разделу развитие речи: составление текста по рисунку на тему "День рождения"</w:t>
            </w:r>
          </w:p>
        </w:tc>
      </w:tr>
      <w:tr w14:paraId="1AD15C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tcPr>
          <w:p w14:paraId="71862E89">
            <w:pPr>
              <w:pStyle w:val="85"/>
              <w:rPr>
                <w:color w:val="auto"/>
                <w:sz w:val="22"/>
                <w:szCs w:val="22"/>
              </w:rPr>
            </w:pPr>
            <w:r>
              <w:rPr>
                <w:color w:val="auto"/>
                <w:sz w:val="22"/>
                <w:szCs w:val="22"/>
              </w:rPr>
              <w:t>Урок 90</w:t>
            </w:r>
          </w:p>
        </w:tc>
        <w:tc>
          <w:tcPr>
            <w:tcW w:w="7937" w:type="dxa"/>
          </w:tcPr>
          <w:p w14:paraId="3065C2EC">
            <w:pPr>
              <w:pStyle w:val="85"/>
              <w:jc w:val="both"/>
              <w:rPr>
                <w:color w:val="auto"/>
                <w:sz w:val="22"/>
                <w:szCs w:val="22"/>
              </w:rPr>
            </w:pPr>
            <w:r>
              <w:rPr>
                <w:color w:val="auto"/>
                <w:sz w:val="22"/>
                <w:szCs w:val="22"/>
              </w:rPr>
              <w:t>Парные и непарные по звонкости - глухости согласные звуки</w:t>
            </w:r>
          </w:p>
        </w:tc>
      </w:tr>
      <w:tr w14:paraId="3CE18A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2AAF636F">
            <w:pPr>
              <w:pStyle w:val="85"/>
              <w:rPr>
                <w:color w:val="auto"/>
                <w:sz w:val="22"/>
                <w:szCs w:val="22"/>
              </w:rPr>
            </w:pPr>
            <w:r>
              <w:rPr>
                <w:color w:val="auto"/>
                <w:sz w:val="22"/>
                <w:szCs w:val="22"/>
              </w:rPr>
              <w:t>Урок 91</w:t>
            </w:r>
          </w:p>
        </w:tc>
        <w:tc>
          <w:tcPr>
            <w:tcW w:w="7937" w:type="dxa"/>
          </w:tcPr>
          <w:p w14:paraId="696933FF">
            <w:pPr>
              <w:pStyle w:val="85"/>
              <w:jc w:val="both"/>
              <w:rPr>
                <w:color w:val="auto"/>
                <w:sz w:val="22"/>
                <w:szCs w:val="22"/>
              </w:rPr>
            </w:pPr>
            <w:r>
              <w:rPr>
                <w:color w:val="auto"/>
                <w:sz w:val="22"/>
                <w:szCs w:val="22"/>
              </w:rPr>
              <w:t>Правописание слов с парным по звонкости - глухости согласным в корне слова</w:t>
            </w:r>
          </w:p>
        </w:tc>
      </w:tr>
      <w:tr w14:paraId="73CCA5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tcPr>
          <w:p w14:paraId="72CED223">
            <w:pPr>
              <w:pStyle w:val="85"/>
              <w:rPr>
                <w:color w:val="auto"/>
                <w:sz w:val="22"/>
                <w:szCs w:val="22"/>
              </w:rPr>
            </w:pPr>
            <w:r>
              <w:rPr>
                <w:color w:val="auto"/>
                <w:sz w:val="22"/>
                <w:szCs w:val="22"/>
              </w:rPr>
              <w:t>Урок 92</w:t>
            </w:r>
          </w:p>
        </w:tc>
        <w:tc>
          <w:tcPr>
            <w:tcW w:w="7937" w:type="dxa"/>
          </w:tcPr>
          <w:p w14:paraId="5921C0B7">
            <w:pPr>
              <w:pStyle w:val="85"/>
              <w:jc w:val="both"/>
              <w:rPr>
                <w:color w:val="auto"/>
                <w:sz w:val="22"/>
                <w:szCs w:val="22"/>
              </w:rPr>
            </w:pPr>
            <w:r>
              <w:rPr>
                <w:color w:val="auto"/>
                <w:sz w:val="22"/>
                <w:szCs w:val="22"/>
              </w:rPr>
              <w:t>Обозначение парных по звонкости - глухости согласных в корне слова</w:t>
            </w:r>
          </w:p>
        </w:tc>
      </w:tr>
      <w:tr w14:paraId="5C5131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tcPr>
          <w:p w14:paraId="73AE9FF4">
            <w:pPr>
              <w:pStyle w:val="85"/>
              <w:rPr>
                <w:color w:val="auto"/>
                <w:sz w:val="22"/>
                <w:szCs w:val="22"/>
              </w:rPr>
            </w:pPr>
            <w:r>
              <w:rPr>
                <w:color w:val="auto"/>
                <w:sz w:val="22"/>
                <w:szCs w:val="22"/>
              </w:rPr>
              <w:t>Урок 93</w:t>
            </w:r>
          </w:p>
        </w:tc>
        <w:tc>
          <w:tcPr>
            <w:tcW w:w="7937" w:type="dxa"/>
          </w:tcPr>
          <w:p w14:paraId="356E1B38">
            <w:pPr>
              <w:pStyle w:val="85"/>
              <w:jc w:val="both"/>
              <w:rPr>
                <w:color w:val="auto"/>
                <w:sz w:val="22"/>
                <w:szCs w:val="22"/>
              </w:rPr>
            </w:pPr>
            <w:r>
              <w:rPr>
                <w:color w:val="auto"/>
                <w:sz w:val="22"/>
                <w:szCs w:val="22"/>
              </w:rPr>
              <w:t>Способы проверки согласных в корне слова</w:t>
            </w:r>
          </w:p>
        </w:tc>
      </w:tr>
      <w:tr w14:paraId="706807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4C659FD2">
            <w:pPr>
              <w:pStyle w:val="85"/>
              <w:rPr>
                <w:color w:val="auto"/>
                <w:sz w:val="22"/>
                <w:szCs w:val="22"/>
              </w:rPr>
            </w:pPr>
            <w:r>
              <w:rPr>
                <w:color w:val="auto"/>
                <w:sz w:val="22"/>
                <w:szCs w:val="22"/>
              </w:rPr>
              <w:t>Урок 94</w:t>
            </w:r>
          </w:p>
        </w:tc>
        <w:tc>
          <w:tcPr>
            <w:tcW w:w="7937" w:type="dxa"/>
          </w:tcPr>
          <w:p w14:paraId="4B72D940">
            <w:pPr>
              <w:pStyle w:val="85"/>
              <w:jc w:val="both"/>
              <w:rPr>
                <w:color w:val="auto"/>
                <w:sz w:val="22"/>
                <w:szCs w:val="22"/>
              </w:rPr>
            </w:pPr>
            <w:r>
              <w:rPr>
                <w:color w:val="auto"/>
                <w:sz w:val="22"/>
                <w:szCs w:val="22"/>
              </w:rPr>
              <w:t>Отработка правописания слов с парным по глухости звонкости согласным в корне слова</w:t>
            </w:r>
          </w:p>
        </w:tc>
      </w:tr>
      <w:tr w14:paraId="4E9F1B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tcPr>
          <w:p w14:paraId="74134C45">
            <w:pPr>
              <w:pStyle w:val="85"/>
              <w:rPr>
                <w:color w:val="auto"/>
                <w:sz w:val="22"/>
                <w:szCs w:val="22"/>
              </w:rPr>
            </w:pPr>
            <w:r>
              <w:rPr>
                <w:color w:val="auto"/>
                <w:sz w:val="22"/>
                <w:szCs w:val="22"/>
              </w:rPr>
              <w:t>Урок 95</w:t>
            </w:r>
          </w:p>
        </w:tc>
        <w:tc>
          <w:tcPr>
            <w:tcW w:w="7937" w:type="dxa"/>
          </w:tcPr>
          <w:p w14:paraId="500BF829">
            <w:pPr>
              <w:pStyle w:val="85"/>
              <w:jc w:val="both"/>
              <w:rPr>
                <w:color w:val="auto"/>
                <w:sz w:val="22"/>
                <w:szCs w:val="22"/>
              </w:rPr>
            </w:pPr>
            <w:r>
              <w:rPr>
                <w:color w:val="auto"/>
                <w:sz w:val="22"/>
                <w:szCs w:val="22"/>
              </w:rPr>
              <w:t>Учимся писать буквы согласных в корне слова</w:t>
            </w:r>
          </w:p>
        </w:tc>
      </w:tr>
      <w:tr w14:paraId="69940A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3DCBBB9E">
            <w:pPr>
              <w:pStyle w:val="85"/>
              <w:rPr>
                <w:color w:val="auto"/>
                <w:sz w:val="22"/>
                <w:szCs w:val="22"/>
              </w:rPr>
            </w:pPr>
            <w:r>
              <w:rPr>
                <w:color w:val="auto"/>
                <w:sz w:val="22"/>
                <w:szCs w:val="22"/>
              </w:rPr>
              <w:t>Урок 96</w:t>
            </w:r>
          </w:p>
        </w:tc>
        <w:tc>
          <w:tcPr>
            <w:tcW w:w="7937" w:type="dxa"/>
          </w:tcPr>
          <w:p w14:paraId="69B0A785">
            <w:pPr>
              <w:pStyle w:val="85"/>
              <w:jc w:val="both"/>
              <w:rPr>
                <w:color w:val="auto"/>
                <w:sz w:val="22"/>
                <w:szCs w:val="22"/>
              </w:rPr>
            </w:pPr>
            <w:r>
              <w:rPr>
                <w:color w:val="auto"/>
                <w:sz w:val="22"/>
                <w:szCs w:val="22"/>
              </w:rPr>
              <w:t>Объяснительный диктант: учимся писать буквы согласных в корне слова</w:t>
            </w:r>
          </w:p>
        </w:tc>
      </w:tr>
      <w:tr w14:paraId="4B6629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tcPr>
          <w:p w14:paraId="4EED98BD">
            <w:pPr>
              <w:pStyle w:val="85"/>
              <w:rPr>
                <w:color w:val="auto"/>
                <w:sz w:val="22"/>
                <w:szCs w:val="22"/>
              </w:rPr>
            </w:pPr>
            <w:r>
              <w:rPr>
                <w:color w:val="auto"/>
                <w:sz w:val="22"/>
                <w:szCs w:val="22"/>
              </w:rPr>
              <w:t>Урок 97</w:t>
            </w:r>
          </w:p>
        </w:tc>
        <w:tc>
          <w:tcPr>
            <w:tcW w:w="7937" w:type="dxa"/>
          </w:tcPr>
          <w:p w14:paraId="79ADF322">
            <w:pPr>
              <w:pStyle w:val="85"/>
              <w:jc w:val="both"/>
              <w:rPr>
                <w:color w:val="auto"/>
                <w:sz w:val="22"/>
                <w:szCs w:val="22"/>
              </w:rPr>
            </w:pPr>
            <w:r>
              <w:rPr>
                <w:color w:val="auto"/>
                <w:sz w:val="22"/>
                <w:szCs w:val="22"/>
              </w:rPr>
              <w:t>Учимся писать буквы гласных и согласных в корне слова</w:t>
            </w:r>
          </w:p>
        </w:tc>
      </w:tr>
      <w:tr w14:paraId="6B6E9F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6A577D01">
            <w:pPr>
              <w:pStyle w:val="85"/>
              <w:rPr>
                <w:color w:val="auto"/>
                <w:sz w:val="22"/>
                <w:szCs w:val="22"/>
              </w:rPr>
            </w:pPr>
            <w:r>
              <w:rPr>
                <w:color w:val="auto"/>
                <w:sz w:val="22"/>
                <w:szCs w:val="22"/>
              </w:rPr>
              <w:t>Урок 98</w:t>
            </w:r>
          </w:p>
        </w:tc>
        <w:tc>
          <w:tcPr>
            <w:tcW w:w="7937" w:type="dxa"/>
          </w:tcPr>
          <w:p w14:paraId="3C59BDEA">
            <w:pPr>
              <w:pStyle w:val="85"/>
              <w:jc w:val="both"/>
              <w:rPr>
                <w:color w:val="auto"/>
                <w:sz w:val="22"/>
                <w:szCs w:val="22"/>
              </w:rPr>
            </w:pPr>
            <w:r>
              <w:rPr>
                <w:color w:val="auto"/>
                <w:sz w:val="22"/>
                <w:szCs w:val="22"/>
              </w:rPr>
              <w:t>Различные способы решения орфографической задачи в зависимости от места орфограммы в слове. Тренинг "Правописание парных по глухости-звонкости согласных звуков в корне слова" с использованием электронных образовательных ресурсов</w:t>
            </w:r>
          </w:p>
        </w:tc>
      </w:tr>
      <w:tr w14:paraId="77FCCD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53FFA70C">
            <w:pPr>
              <w:pStyle w:val="85"/>
              <w:rPr>
                <w:color w:val="auto"/>
                <w:sz w:val="22"/>
                <w:szCs w:val="22"/>
              </w:rPr>
            </w:pPr>
            <w:r>
              <w:rPr>
                <w:color w:val="auto"/>
                <w:sz w:val="22"/>
                <w:szCs w:val="22"/>
              </w:rPr>
              <w:t>Урок 99</w:t>
            </w:r>
          </w:p>
        </w:tc>
        <w:tc>
          <w:tcPr>
            <w:tcW w:w="7937" w:type="dxa"/>
          </w:tcPr>
          <w:p w14:paraId="4FCC0CFA">
            <w:pPr>
              <w:pStyle w:val="85"/>
              <w:jc w:val="both"/>
              <w:rPr>
                <w:color w:val="auto"/>
                <w:sz w:val="22"/>
                <w:szCs w:val="22"/>
              </w:rPr>
            </w:pPr>
            <w:r>
              <w:rPr>
                <w:color w:val="auto"/>
                <w:sz w:val="22"/>
                <w:szCs w:val="22"/>
              </w:rPr>
              <w:t>Подробное изложение повествовательного текста объемом 30 - 45 слов с использованием вопросов</w:t>
            </w:r>
          </w:p>
        </w:tc>
      </w:tr>
      <w:tr w14:paraId="69BA5D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tcPr>
          <w:p w14:paraId="681D16D4">
            <w:pPr>
              <w:pStyle w:val="85"/>
              <w:rPr>
                <w:color w:val="auto"/>
                <w:sz w:val="22"/>
                <w:szCs w:val="22"/>
              </w:rPr>
            </w:pPr>
            <w:r>
              <w:rPr>
                <w:color w:val="auto"/>
                <w:sz w:val="22"/>
                <w:szCs w:val="22"/>
              </w:rPr>
              <w:t>Урок 100</w:t>
            </w:r>
          </w:p>
        </w:tc>
        <w:tc>
          <w:tcPr>
            <w:tcW w:w="7937" w:type="dxa"/>
          </w:tcPr>
          <w:p w14:paraId="7225E2C3">
            <w:pPr>
              <w:pStyle w:val="85"/>
              <w:jc w:val="both"/>
              <w:rPr>
                <w:color w:val="auto"/>
                <w:sz w:val="22"/>
                <w:szCs w:val="22"/>
              </w:rPr>
            </w:pPr>
            <w:r>
              <w:rPr>
                <w:color w:val="auto"/>
                <w:sz w:val="22"/>
                <w:szCs w:val="22"/>
              </w:rPr>
              <w:t>Списывание текста. Словарный диктант</w:t>
            </w:r>
          </w:p>
        </w:tc>
      </w:tr>
      <w:tr w14:paraId="616DF5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tcPr>
          <w:p w14:paraId="6B382917">
            <w:pPr>
              <w:pStyle w:val="85"/>
              <w:rPr>
                <w:color w:val="auto"/>
                <w:sz w:val="22"/>
                <w:szCs w:val="22"/>
              </w:rPr>
            </w:pPr>
            <w:r>
              <w:rPr>
                <w:color w:val="auto"/>
                <w:sz w:val="22"/>
                <w:szCs w:val="22"/>
              </w:rPr>
              <w:t>Урок 101</w:t>
            </w:r>
          </w:p>
        </w:tc>
        <w:tc>
          <w:tcPr>
            <w:tcW w:w="7937" w:type="dxa"/>
          </w:tcPr>
          <w:p w14:paraId="34FCC268">
            <w:pPr>
              <w:pStyle w:val="85"/>
              <w:jc w:val="both"/>
              <w:rPr>
                <w:color w:val="auto"/>
                <w:sz w:val="22"/>
                <w:szCs w:val="22"/>
              </w:rPr>
            </w:pPr>
            <w:r>
              <w:rPr>
                <w:color w:val="auto"/>
                <w:sz w:val="22"/>
                <w:szCs w:val="22"/>
              </w:rPr>
              <w:t>Использование на письме разделительных ъ и ь</w:t>
            </w:r>
          </w:p>
        </w:tc>
      </w:tr>
      <w:tr w14:paraId="23F519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tcPr>
          <w:p w14:paraId="05A5CF3B">
            <w:pPr>
              <w:pStyle w:val="85"/>
              <w:rPr>
                <w:color w:val="auto"/>
                <w:sz w:val="22"/>
                <w:szCs w:val="22"/>
              </w:rPr>
            </w:pPr>
            <w:r>
              <w:rPr>
                <w:color w:val="auto"/>
                <w:sz w:val="22"/>
                <w:szCs w:val="22"/>
              </w:rPr>
              <w:t>Урок 102</w:t>
            </w:r>
          </w:p>
        </w:tc>
        <w:tc>
          <w:tcPr>
            <w:tcW w:w="7937" w:type="dxa"/>
          </w:tcPr>
          <w:p w14:paraId="283D3F00">
            <w:pPr>
              <w:pStyle w:val="85"/>
              <w:jc w:val="both"/>
              <w:rPr>
                <w:color w:val="auto"/>
                <w:sz w:val="22"/>
                <w:szCs w:val="22"/>
              </w:rPr>
            </w:pPr>
            <w:r>
              <w:rPr>
                <w:color w:val="auto"/>
                <w:sz w:val="22"/>
                <w:szCs w:val="22"/>
              </w:rPr>
              <w:t>Правописание слов с разделительным мягким знаком</w:t>
            </w:r>
          </w:p>
        </w:tc>
      </w:tr>
      <w:tr w14:paraId="7981D4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tcPr>
          <w:p w14:paraId="33D5F8C1">
            <w:pPr>
              <w:pStyle w:val="85"/>
              <w:rPr>
                <w:color w:val="auto"/>
                <w:sz w:val="22"/>
                <w:szCs w:val="22"/>
              </w:rPr>
            </w:pPr>
            <w:r>
              <w:rPr>
                <w:color w:val="auto"/>
                <w:sz w:val="22"/>
                <w:szCs w:val="22"/>
              </w:rPr>
              <w:t>Урок 103</w:t>
            </w:r>
          </w:p>
        </w:tc>
        <w:tc>
          <w:tcPr>
            <w:tcW w:w="7937" w:type="dxa"/>
          </w:tcPr>
          <w:p w14:paraId="073BE45B">
            <w:pPr>
              <w:pStyle w:val="85"/>
              <w:jc w:val="both"/>
              <w:rPr>
                <w:color w:val="auto"/>
                <w:sz w:val="22"/>
                <w:szCs w:val="22"/>
              </w:rPr>
            </w:pPr>
            <w:r>
              <w:rPr>
                <w:color w:val="auto"/>
                <w:sz w:val="22"/>
                <w:szCs w:val="22"/>
              </w:rPr>
              <w:t>Отработка правописания слов с разделительным мягким знаком</w:t>
            </w:r>
          </w:p>
        </w:tc>
      </w:tr>
      <w:tr w14:paraId="4697D5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1EA984D4">
            <w:pPr>
              <w:pStyle w:val="85"/>
              <w:rPr>
                <w:color w:val="auto"/>
                <w:sz w:val="22"/>
                <w:szCs w:val="22"/>
              </w:rPr>
            </w:pPr>
            <w:r>
              <w:rPr>
                <w:color w:val="auto"/>
                <w:sz w:val="22"/>
                <w:szCs w:val="22"/>
              </w:rPr>
              <w:t>Урок 104</w:t>
            </w:r>
          </w:p>
        </w:tc>
        <w:tc>
          <w:tcPr>
            <w:tcW w:w="7937" w:type="dxa"/>
          </w:tcPr>
          <w:p w14:paraId="79A3A7B8">
            <w:pPr>
              <w:pStyle w:val="85"/>
              <w:jc w:val="both"/>
              <w:rPr>
                <w:color w:val="auto"/>
                <w:sz w:val="22"/>
                <w:szCs w:val="22"/>
              </w:rPr>
            </w:pPr>
            <w:r>
              <w:rPr>
                <w:color w:val="auto"/>
                <w:sz w:val="22"/>
                <w:szCs w:val="22"/>
              </w:rPr>
              <w:t>Отработка правописания слов с разделительным мягким знаком и другими изученными орфограммами</w:t>
            </w:r>
          </w:p>
        </w:tc>
      </w:tr>
      <w:tr w14:paraId="41FEA1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7AB23100">
            <w:pPr>
              <w:pStyle w:val="85"/>
              <w:rPr>
                <w:color w:val="auto"/>
                <w:sz w:val="22"/>
                <w:szCs w:val="22"/>
              </w:rPr>
            </w:pPr>
            <w:r>
              <w:rPr>
                <w:color w:val="auto"/>
                <w:sz w:val="22"/>
                <w:szCs w:val="22"/>
              </w:rPr>
              <w:t>Урок 105</w:t>
            </w:r>
          </w:p>
        </w:tc>
        <w:tc>
          <w:tcPr>
            <w:tcW w:w="7937" w:type="dxa"/>
          </w:tcPr>
          <w:p w14:paraId="0791CD77">
            <w:pPr>
              <w:pStyle w:val="85"/>
              <w:jc w:val="both"/>
              <w:rPr>
                <w:color w:val="auto"/>
                <w:sz w:val="22"/>
                <w:szCs w:val="22"/>
              </w:rPr>
            </w:pPr>
            <w:r>
              <w:rPr>
                <w:color w:val="auto"/>
                <w:sz w:val="22"/>
                <w:szCs w:val="22"/>
              </w:rPr>
              <w:t>Отработка способов решения орфографической задачи в зависимости от места орфограммы в слове. Тренинг "Правописание слов с разделительным мягким знаком" с использованием электронных образовательных ресурсов</w:t>
            </w:r>
          </w:p>
        </w:tc>
      </w:tr>
      <w:tr w14:paraId="20B4EF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614B7CD9">
            <w:pPr>
              <w:pStyle w:val="85"/>
              <w:rPr>
                <w:color w:val="auto"/>
                <w:sz w:val="22"/>
                <w:szCs w:val="22"/>
              </w:rPr>
            </w:pPr>
            <w:r>
              <w:rPr>
                <w:color w:val="auto"/>
                <w:sz w:val="22"/>
                <w:szCs w:val="22"/>
              </w:rPr>
              <w:t>Урок 106</w:t>
            </w:r>
          </w:p>
        </w:tc>
        <w:tc>
          <w:tcPr>
            <w:tcW w:w="7937" w:type="dxa"/>
          </w:tcPr>
          <w:p w14:paraId="6A178E87">
            <w:pPr>
              <w:pStyle w:val="85"/>
              <w:jc w:val="both"/>
              <w:rPr>
                <w:color w:val="auto"/>
                <w:sz w:val="22"/>
                <w:szCs w:val="22"/>
              </w:rPr>
            </w:pPr>
            <w:r>
              <w:rPr>
                <w:color w:val="auto"/>
                <w:sz w:val="22"/>
                <w:szCs w:val="22"/>
              </w:rPr>
              <w:t>Повторение правописания слов с орфограммами в значимых частях слов</w:t>
            </w:r>
          </w:p>
        </w:tc>
      </w:tr>
      <w:tr w14:paraId="53A2E9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tcPr>
          <w:p w14:paraId="53DD7068">
            <w:pPr>
              <w:pStyle w:val="85"/>
              <w:rPr>
                <w:color w:val="auto"/>
                <w:sz w:val="22"/>
                <w:szCs w:val="22"/>
              </w:rPr>
            </w:pPr>
            <w:r>
              <w:rPr>
                <w:color w:val="auto"/>
                <w:sz w:val="22"/>
                <w:szCs w:val="22"/>
              </w:rPr>
              <w:t>Урок 107</w:t>
            </w:r>
          </w:p>
        </w:tc>
        <w:tc>
          <w:tcPr>
            <w:tcW w:w="7937" w:type="dxa"/>
          </w:tcPr>
          <w:p w14:paraId="326706E6">
            <w:pPr>
              <w:pStyle w:val="85"/>
              <w:jc w:val="both"/>
              <w:rPr>
                <w:color w:val="auto"/>
                <w:sz w:val="22"/>
                <w:szCs w:val="22"/>
              </w:rPr>
            </w:pPr>
            <w:r>
              <w:rPr>
                <w:color w:val="auto"/>
                <w:sz w:val="22"/>
                <w:szCs w:val="22"/>
              </w:rPr>
              <w:t>Списывание текста. Словарный диктант</w:t>
            </w:r>
          </w:p>
        </w:tc>
      </w:tr>
      <w:tr w14:paraId="7B9145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tcPr>
          <w:p w14:paraId="3FE34D1C">
            <w:pPr>
              <w:pStyle w:val="85"/>
              <w:rPr>
                <w:color w:val="auto"/>
                <w:sz w:val="22"/>
                <w:szCs w:val="22"/>
              </w:rPr>
            </w:pPr>
            <w:r>
              <w:rPr>
                <w:color w:val="auto"/>
                <w:sz w:val="22"/>
                <w:szCs w:val="22"/>
              </w:rPr>
              <w:t>Урок 108</w:t>
            </w:r>
          </w:p>
        </w:tc>
        <w:tc>
          <w:tcPr>
            <w:tcW w:w="7937" w:type="dxa"/>
          </w:tcPr>
          <w:p w14:paraId="5570538D">
            <w:pPr>
              <w:pStyle w:val="85"/>
              <w:jc w:val="both"/>
              <w:rPr>
                <w:color w:val="auto"/>
                <w:sz w:val="22"/>
                <w:szCs w:val="22"/>
              </w:rPr>
            </w:pPr>
            <w:r>
              <w:rPr>
                <w:color w:val="auto"/>
                <w:sz w:val="22"/>
                <w:szCs w:val="22"/>
              </w:rPr>
              <w:t>Имя существительное как часть речи</w:t>
            </w:r>
          </w:p>
        </w:tc>
      </w:tr>
      <w:tr w14:paraId="445097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tcPr>
          <w:p w14:paraId="747158E1">
            <w:pPr>
              <w:pStyle w:val="85"/>
              <w:rPr>
                <w:color w:val="auto"/>
                <w:sz w:val="22"/>
                <w:szCs w:val="22"/>
              </w:rPr>
            </w:pPr>
            <w:r>
              <w:rPr>
                <w:color w:val="auto"/>
                <w:sz w:val="22"/>
                <w:szCs w:val="22"/>
              </w:rPr>
              <w:t>Урок 109</w:t>
            </w:r>
          </w:p>
        </w:tc>
        <w:tc>
          <w:tcPr>
            <w:tcW w:w="7937" w:type="dxa"/>
          </w:tcPr>
          <w:p w14:paraId="43397642">
            <w:pPr>
              <w:pStyle w:val="85"/>
              <w:jc w:val="both"/>
              <w:rPr>
                <w:color w:val="auto"/>
                <w:sz w:val="22"/>
                <w:szCs w:val="22"/>
              </w:rPr>
            </w:pPr>
            <w:r>
              <w:rPr>
                <w:color w:val="auto"/>
                <w:sz w:val="22"/>
                <w:szCs w:val="22"/>
              </w:rPr>
              <w:t>Имя существительное: употребление в речи</w:t>
            </w:r>
          </w:p>
        </w:tc>
      </w:tr>
      <w:tr w14:paraId="38D611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tcPr>
          <w:p w14:paraId="5469192E">
            <w:pPr>
              <w:pStyle w:val="85"/>
              <w:rPr>
                <w:color w:val="auto"/>
                <w:sz w:val="22"/>
                <w:szCs w:val="22"/>
              </w:rPr>
            </w:pPr>
            <w:r>
              <w:rPr>
                <w:color w:val="auto"/>
                <w:sz w:val="22"/>
                <w:szCs w:val="22"/>
              </w:rPr>
              <w:t>Урок 110</w:t>
            </w:r>
          </w:p>
        </w:tc>
        <w:tc>
          <w:tcPr>
            <w:tcW w:w="7937" w:type="dxa"/>
          </w:tcPr>
          <w:p w14:paraId="0E1B302F">
            <w:pPr>
              <w:pStyle w:val="85"/>
              <w:jc w:val="both"/>
              <w:rPr>
                <w:color w:val="auto"/>
                <w:sz w:val="22"/>
                <w:szCs w:val="22"/>
              </w:rPr>
            </w:pPr>
            <w:r>
              <w:rPr>
                <w:color w:val="auto"/>
                <w:sz w:val="22"/>
                <w:szCs w:val="22"/>
              </w:rPr>
              <w:t>Имя существительное: значение</w:t>
            </w:r>
          </w:p>
        </w:tc>
      </w:tr>
      <w:tr w14:paraId="2CDCEF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tcPr>
          <w:p w14:paraId="406CBE2C">
            <w:pPr>
              <w:pStyle w:val="85"/>
              <w:rPr>
                <w:color w:val="auto"/>
                <w:sz w:val="22"/>
                <w:szCs w:val="22"/>
              </w:rPr>
            </w:pPr>
            <w:r>
              <w:rPr>
                <w:color w:val="auto"/>
                <w:sz w:val="22"/>
                <w:szCs w:val="22"/>
              </w:rPr>
              <w:t>Урок 111</w:t>
            </w:r>
          </w:p>
        </w:tc>
        <w:tc>
          <w:tcPr>
            <w:tcW w:w="7937" w:type="dxa"/>
          </w:tcPr>
          <w:p w14:paraId="77AEA520">
            <w:pPr>
              <w:pStyle w:val="85"/>
              <w:jc w:val="both"/>
              <w:rPr>
                <w:color w:val="auto"/>
                <w:sz w:val="22"/>
                <w:szCs w:val="22"/>
              </w:rPr>
            </w:pPr>
            <w:r>
              <w:rPr>
                <w:color w:val="auto"/>
                <w:sz w:val="22"/>
                <w:szCs w:val="22"/>
              </w:rPr>
              <w:t>Имя существительное: вопросы ("кто?", "что?")</w:t>
            </w:r>
          </w:p>
        </w:tc>
      </w:tr>
      <w:tr w14:paraId="2A6A79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tcPr>
          <w:p w14:paraId="06B25B0F">
            <w:pPr>
              <w:pStyle w:val="85"/>
              <w:rPr>
                <w:color w:val="auto"/>
                <w:sz w:val="22"/>
                <w:szCs w:val="22"/>
              </w:rPr>
            </w:pPr>
            <w:r>
              <w:rPr>
                <w:color w:val="auto"/>
                <w:sz w:val="22"/>
                <w:szCs w:val="22"/>
              </w:rPr>
              <w:t>Урок 112</w:t>
            </w:r>
          </w:p>
        </w:tc>
        <w:tc>
          <w:tcPr>
            <w:tcW w:w="7937" w:type="dxa"/>
          </w:tcPr>
          <w:p w14:paraId="33290C2B">
            <w:pPr>
              <w:pStyle w:val="85"/>
              <w:jc w:val="both"/>
              <w:rPr>
                <w:color w:val="auto"/>
                <w:sz w:val="22"/>
                <w:szCs w:val="22"/>
              </w:rPr>
            </w:pPr>
            <w:r>
              <w:rPr>
                <w:color w:val="auto"/>
                <w:sz w:val="22"/>
                <w:szCs w:val="22"/>
              </w:rPr>
              <w:t>Употребление заглавной и строчной буквы</w:t>
            </w:r>
          </w:p>
        </w:tc>
      </w:tr>
      <w:tr w14:paraId="752068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46A9A8B9">
            <w:pPr>
              <w:pStyle w:val="85"/>
              <w:rPr>
                <w:color w:val="auto"/>
                <w:sz w:val="22"/>
                <w:szCs w:val="22"/>
              </w:rPr>
            </w:pPr>
            <w:r>
              <w:rPr>
                <w:color w:val="auto"/>
                <w:sz w:val="22"/>
                <w:szCs w:val="22"/>
              </w:rPr>
              <w:t>Урок 113</w:t>
            </w:r>
          </w:p>
        </w:tc>
        <w:tc>
          <w:tcPr>
            <w:tcW w:w="7937" w:type="dxa"/>
          </w:tcPr>
          <w:p w14:paraId="71E3110A">
            <w:pPr>
              <w:pStyle w:val="85"/>
              <w:jc w:val="both"/>
              <w:rPr>
                <w:color w:val="auto"/>
                <w:sz w:val="22"/>
                <w:szCs w:val="22"/>
              </w:rPr>
            </w:pPr>
            <w:r>
              <w:rPr>
                <w:color w:val="auto"/>
                <w:sz w:val="22"/>
                <w:szCs w:val="22"/>
              </w:rPr>
              <w:t>Составление устного рассказа по репродукции картины И. Шишкина "Утро в сосновом лесу"</w:t>
            </w:r>
          </w:p>
        </w:tc>
      </w:tr>
      <w:tr w14:paraId="0824F6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5EBA4893">
            <w:pPr>
              <w:pStyle w:val="85"/>
              <w:rPr>
                <w:color w:val="auto"/>
                <w:sz w:val="22"/>
                <w:szCs w:val="22"/>
              </w:rPr>
            </w:pPr>
            <w:r>
              <w:rPr>
                <w:color w:val="auto"/>
                <w:sz w:val="22"/>
                <w:szCs w:val="22"/>
              </w:rPr>
              <w:t>Урок 114</w:t>
            </w:r>
          </w:p>
        </w:tc>
        <w:tc>
          <w:tcPr>
            <w:tcW w:w="7937" w:type="dxa"/>
          </w:tcPr>
          <w:p w14:paraId="75008CEF">
            <w:pPr>
              <w:pStyle w:val="85"/>
              <w:jc w:val="both"/>
              <w:rPr>
                <w:color w:val="auto"/>
                <w:sz w:val="22"/>
                <w:szCs w:val="22"/>
              </w:rPr>
            </w:pPr>
            <w:r>
              <w:rPr>
                <w:color w:val="auto"/>
                <w:sz w:val="22"/>
                <w:szCs w:val="22"/>
              </w:rPr>
              <w:t>Заглавная буква в именах собственных: имена, фамилии, отчества людей, клички животных</w:t>
            </w:r>
          </w:p>
        </w:tc>
      </w:tr>
      <w:tr w14:paraId="64D553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tcPr>
          <w:p w14:paraId="2960303D">
            <w:pPr>
              <w:pStyle w:val="85"/>
              <w:rPr>
                <w:color w:val="auto"/>
                <w:sz w:val="22"/>
                <w:szCs w:val="22"/>
              </w:rPr>
            </w:pPr>
            <w:r>
              <w:rPr>
                <w:color w:val="auto"/>
                <w:sz w:val="22"/>
                <w:szCs w:val="22"/>
              </w:rPr>
              <w:t>Урок 115</w:t>
            </w:r>
          </w:p>
        </w:tc>
        <w:tc>
          <w:tcPr>
            <w:tcW w:w="7937" w:type="dxa"/>
          </w:tcPr>
          <w:p w14:paraId="7DC3DE20">
            <w:pPr>
              <w:pStyle w:val="85"/>
              <w:jc w:val="both"/>
              <w:rPr>
                <w:color w:val="auto"/>
                <w:sz w:val="22"/>
                <w:szCs w:val="22"/>
              </w:rPr>
            </w:pPr>
            <w:r>
              <w:rPr>
                <w:color w:val="auto"/>
                <w:sz w:val="22"/>
                <w:szCs w:val="22"/>
              </w:rPr>
              <w:t>Заглавная буква в именах собственных: географические названия</w:t>
            </w:r>
          </w:p>
        </w:tc>
      </w:tr>
      <w:tr w14:paraId="6A0084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47DCBBE4">
            <w:pPr>
              <w:pStyle w:val="85"/>
              <w:rPr>
                <w:color w:val="auto"/>
                <w:sz w:val="22"/>
                <w:szCs w:val="22"/>
              </w:rPr>
            </w:pPr>
            <w:r>
              <w:rPr>
                <w:color w:val="auto"/>
                <w:sz w:val="22"/>
                <w:szCs w:val="22"/>
              </w:rPr>
              <w:t>Урок 116</w:t>
            </w:r>
          </w:p>
        </w:tc>
        <w:tc>
          <w:tcPr>
            <w:tcW w:w="7937" w:type="dxa"/>
          </w:tcPr>
          <w:p w14:paraId="18A82807">
            <w:pPr>
              <w:pStyle w:val="85"/>
              <w:jc w:val="both"/>
              <w:rPr>
                <w:color w:val="auto"/>
                <w:sz w:val="22"/>
                <w:szCs w:val="22"/>
              </w:rPr>
            </w:pPr>
            <w:r>
              <w:rPr>
                <w:color w:val="auto"/>
                <w:sz w:val="22"/>
                <w:szCs w:val="22"/>
              </w:rPr>
              <w:t>Составление устного рассказа с использованием личных наблюдений и вопросов: составление текста о своем любимом домашнем питомце по вопросам</w:t>
            </w:r>
          </w:p>
        </w:tc>
      </w:tr>
      <w:tr w14:paraId="102F76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tcPr>
          <w:p w14:paraId="32E145C6">
            <w:pPr>
              <w:pStyle w:val="85"/>
              <w:rPr>
                <w:color w:val="auto"/>
                <w:sz w:val="22"/>
                <w:szCs w:val="22"/>
              </w:rPr>
            </w:pPr>
            <w:r>
              <w:rPr>
                <w:color w:val="auto"/>
                <w:sz w:val="22"/>
                <w:szCs w:val="22"/>
              </w:rPr>
              <w:t>Урок 117</w:t>
            </w:r>
          </w:p>
        </w:tc>
        <w:tc>
          <w:tcPr>
            <w:tcW w:w="7937" w:type="dxa"/>
          </w:tcPr>
          <w:p w14:paraId="1980CB5D">
            <w:pPr>
              <w:pStyle w:val="85"/>
              <w:jc w:val="both"/>
              <w:rPr>
                <w:color w:val="auto"/>
                <w:sz w:val="22"/>
                <w:szCs w:val="22"/>
              </w:rPr>
            </w:pPr>
            <w:r>
              <w:rPr>
                <w:color w:val="auto"/>
                <w:sz w:val="22"/>
                <w:szCs w:val="22"/>
              </w:rPr>
              <w:t>Имя существительное: изменение по числам</w:t>
            </w:r>
          </w:p>
        </w:tc>
      </w:tr>
      <w:tr w14:paraId="5951B2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tcPr>
          <w:p w14:paraId="3A408FC9">
            <w:pPr>
              <w:pStyle w:val="85"/>
              <w:rPr>
                <w:color w:val="auto"/>
                <w:sz w:val="22"/>
                <w:szCs w:val="22"/>
              </w:rPr>
            </w:pPr>
            <w:r>
              <w:rPr>
                <w:color w:val="auto"/>
                <w:sz w:val="22"/>
                <w:szCs w:val="22"/>
              </w:rPr>
              <w:t>Урок 118</w:t>
            </w:r>
          </w:p>
        </w:tc>
        <w:tc>
          <w:tcPr>
            <w:tcW w:w="7937" w:type="dxa"/>
          </w:tcPr>
          <w:p w14:paraId="69B46A1E">
            <w:pPr>
              <w:pStyle w:val="85"/>
              <w:jc w:val="both"/>
              <w:rPr>
                <w:color w:val="auto"/>
                <w:sz w:val="22"/>
                <w:szCs w:val="22"/>
              </w:rPr>
            </w:pPr>
            <w:r>
              <w:rPr>
                <w:color w:val="auto"/>
                <w:sz w:val="22"/>
                <w:szCs w:val="22"/>
              </w:rPr>
              <w:t>Число имен существительных</w:t>
            </w:r>
          </w:p>
        </w:tc>
      </w:tr>
      <w:tr w14:paraId="06B337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3BA8EF37">
            <w:pPr>
              <w:pStyle w:val="85"/>
              <w:rPr>
                <w:color w:val="auto"/>
                <w:sz w:val="22"/>
                <w:szCs w:val="22"/>
              </w:rPr>
            </w:pPr>
            <w:r>
              <w:rPr>
                <w:color w:val="auto"/>
                <w:sz w:val="22"/>
                <w:szCs w:val="22"/>
              </w:rPr>
              <w:t>Урок 119</w:t>
            </w:r>
          </w:p>
        </w:tc>
        <w:tc>
          <w:tcPr>
            <w:tcW w:w="7937" w:type="dxa"/>
          </w:tcPr>
          <w:p w14:paraId="6D2A7F62">
            <w:pPr>
              <w:pStyle w:val="85"/>
              <w:jc w:val="both"/>
              <w:rPr>
                <w:color w:val="auto"/>
                <w:sz w:val="22"/>
                <w:szCs w:val="22"/>
              </w:rPr>
            </w:pPr>
            <w:r>
              <w:rPr>
                <w:color w:val="auto"/>
                <w:sz w:val="22"/>
                <w:szCs w:val="22"/>
              </w:rPr>
              <w:t>Резервный урок по разделу морфология: изменение по числам имен существительных</w:t>
            </w:r>
          </w:p>
        </w:tc>
      </w:tr>
      <w:tr w14:paraId="6CAB84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5B25C457">
            <w:pPr>
              <w:pStyle w:val="85"/>
              <w:rPr>
                <w:color w:val="auto"/>
                <w:sz w:val="22"/>
                <w:szCs w:val="22"/>
              </w:rPr>
            </w:pPr>
            <w:r>
              <w:rPr>
                <w:color w:val="auto"/>
                <w:sz w:val="22"/>
                <w:szCs w:val="22"/>
              </w:rPr>
              <w:t>Урок 120</w:t>
            </w:r>
          </w:p>
        </w:tc>
        <w:tc>
          <w:tcPr>
            <w:tcW w:w="7937" w:type="dxa"/>
          </w:tcPr>
          <w:p w14:paraId="641B4BCB">
            <w:pPr>
              <w:pStyle w:val="85"/>
              <w:jc w:val="both"/>
              <w:rPr>
                <w:color w:val="auto"/>
                <w:sz w:val="22"/>
                <w:szCs w:val="22"/>
              </w:rPr>
            </w:pPr>
            <w:r>
              <w:rPr>
                <w:color w:val="auto"/>
                <w:sz w:val="22"/>
                <w:szCs w:val="22"/>
              </w:rPr>
              <w:t>Объяснительный диктант на изученные правила (орфограммы корня, заглавная буква и другие)</w:t>
            </w:r>
          </w:p>
        </w:tc>
      </w:tr>
      <w:tr w14:paraId="3F9BA1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tcPr>
          <w:p w14:paraId="36856323">
            <w:pPr>
              <w:pStyle w:val="85"/>
              <w:rPr>
                <w:color w:val="auto"/>
                <w:sz w:val="22"/>
                <w:szCs w:val="22"/>
              </w:rPr>
            </w:pPr>
            <w:r>
              <w:rPr>
                <w:color w:val="auto"/>
                <w:sz w:val="22"/>
                <w:szCs w:val="22"/>
              </w:rPr>
              <w:t>Урок 121</w:t>
            </w:r>
          </w:p>
        </w:tc>
        <w:tc>
          <w:tcPr>
            <w:tcW w:w="7937" w:type="dxa"/>
          </w:tcPr>
          <w:p w14:paraId="0562C94F">
            <w:pPr>
              <w:pStyle w:val="85"/>
              <w:jc w:val="both"/>
              <w:rPr>
                <w:color w:val="auto"/>
                <w:sz w:val="22"/>
                <w:szCs w:val="22"/>
              </w:rPr>
            </w:pPr>
            <w:r>
              <w:rPr>
                <w:color w:val="auto"/>
                <w:sz w:val="22"/>
                <w:szCs w:val="22"/>
              </w:rPr>
              <w:t>Глагол как часть речи</w:t>
            </w:r>
          </w:p>
        </w:tc>
      </w:tr>
      <w:tr w14:paraId="038FD7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tcPr>
          <w:p w14:paraId="477686B3">
            <w:pPr>
              <w:pStyle w:val="85"/>
              <w:rPr>
                <w:color w:val="auto"/>
                <w:sz w:val="22"/>
                <w:szCs w:val="22"/>
              </w:rPr>
            </w:pPr>
            <w:r>
              <w:rPr>
                <w:color w:val="auto"/>
                <w:sz w:val="22"/>
                <w:szCs w:val="22"/>
              </w:rPr>
              <w:t>Урок 122</w:t>
            </w:r>
          </w:p>
        </w:tc>
        <w:tc>
          <w:tcPr>
            <w:tcW w:w="7937" w:type="dxa"/>
          </w:tcPr>
          <w:p w14:paraId="45D0C5BD">
            <w:pPr>
              <w:pStyle w:val="85"/>
              <w:jc w:val="both"/>
              <w:rPr>
                <w:color w:val="auto"/>
                <w:sz w:val="22"/>
                <w:szCs w:val="22"/>
              </w:rPr>
            </w:pPr>
            <w:r>
              <w:rPr>
                <w:color w:val="auto"/>
                <w:sz w:val="22"/>
                <w:szCs w:val="22"/>
              </w:rPr>
              <w:t>Глагол: значение. Для чего нужны глаголы в нашей речи?</w:t>
            </w:r>
          </w:p>
        </w:tc>
      </w:tr>
      <w:tr w14:paraId="401516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tcPr>
          <w:p w14:paraId="760EF83C">
            <w:pPr>
              <w:pStyle w:val="85"/>
              <w:rPr>
                <w:color w:val="auto"/>
                <w:sz w:val="22"/>
                <w:szCs w:val="22"/>
              </w:rPr>
            </w:pPr>
            <w:r>
              <w:rPr>
                <w:color w:val="auto"/>
                <w:sz w:val="22"/>
                <w:szCs w:val="22"/>
              </w:rPr>
              <w:t>Урок 123</w:t>
            </w:r>
          </w:p>
        </w:tc>
        <w:tc>
          <w:tcPr>
            <w:tcW w:w="7937" w:type="dxa"/>
          </w:tcPr>
          <w:p w14:paraId="57CE877C">
            <w:pPr>
              <w:pStyle w:val="85"/>
              <w:jc w:val="both"/>
              <w:rPr>
                <w:color w:val="auto"/>
                <w:sz w:val="22"/>
                <w:szCs w:val="22"/>
              </w:rPr>
            </w:pPr>
            <w:r>
              <w:rPr>
                <w:color w:val="auto"/>
                <w:sz w:val="22"/>
                <w:szCs w:val="22"/>
              </w:rPr>
              <w:t>Глагол: вопросы "что делать?", "что сделать?" и другие</w:t>
            </w:r>
          </w:p>
        </w:tc>
      </w:tr>
      <w:tr w14:paraId="2723FA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tcPr>
          <w:p w14:paraId="70F069A1">
            <w:pPr>
              <w:pStyle w:val="85"/>
              <w:rPr>
                <w:color w:val="auto"/>
                <w:sz w:val="22"/>
                <w:szCs w:val="22"/>
              </w:rPr>
            </w:pPr>
            <w:r>
              <w:rPr>
                <w:color w:val="auto"/>
                <w:sz w:val="22"/>
                <w:szCs w:val="22"/>
              </w:rPr>
              <w:t>Урок 124</w:t>
            </w:r>
          </w:p>
        </w:tc>
        <w:tc>
          <w:tcPr>
            <w:tcW w:w="7937" w:type="dxa"/>
          </w:tcPr>
          <w:p w14:paraId="5543AE40">
            <w:pPr>
              <w:pStyle w:val="85"/>
              <w:jc w:val="both"/>
              <w:rPr>
                <w:color w:val="auto"/>
                <w:sz w:val="22"/>
                <w:szCs w:val="22"/>
              </w:rPr>
            </w:pPr>
            <w:r>
              <w:rPr>
                <w:color w:val="auto"/>
                <w:sz w:val="22"/>
                <w:szCs w:val="22"/>
              </w:rPr>
              <w:t>Роль глаголов в речи</w:t>
            </w:r>
          </w:p>
        </w:tc>
      </w:tr>
      <w:tr w14:paraId="2BE176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09A985B3">
            <w:pPr>
              <w:pStyle w:val="85"/>
              <w:rPr>
                <w:color w:val="auto"/>
                <w:sz w:val="22"/>
                <w:szCs w:val="22"/>
              </w:rPr>
            </w:pPr>
            <w:r>
              <w:rPr>
                <w:color w:val="auto"/>
                <w:sz w:val="22"/>
                <w:szCs w:val="22"/>
              </w:rPr>
              <w:t>Урок 125</w:t>
            </w:r>
          </w:p>
        </w:tc>
        <w:tc>
          <w:tcPr>
            <w:tcW w:w="7937" w:type="dxa"/>
          </w:tcPr>
          <w:p w14:paraId="2340747A">
            <w:pPr>
              <w:pStyle w:val="85"/>
              <w:jc w:val="both"/>
              <w:rPr>
                <w:color w:val="auto"/>
                <w:sz w:val="22"/>
                <w:szCs w:val="22"/>
              </w:rPr>
            </w:pPr>
            <w:r>
              <w:rPr>
                <w:color w:val="auto"/>
                <w:sz w:val="22"/>
                <w:szCs w:val="22"/>
              </w:rPr>
              <w:t>Резервный урок по разделу развитие речи: Составление текста на тему пословицы</w:t>
            </w:r>
          </w:p>
        </w:tc>
      </w:tr>
      <w:tr w14:paraId="3714EB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tcPr>
          <w:p w14:paraId="048ABD1E">
            <w:pPr>
              <w:pStyle w:val="85"/>
              <w:jc w:val="center"/>
              <w:rPr>
                <w:color w:val="auto"/>
                <w:sz w:val="22"/>
                <w:szCs w:val="22"/>
              </w:rPr>
            </w:pPr>
            <w:r>
              <w:rPr>
                <w:color w:val="auto"/>
                <w:sz w:val="22"/>
                <w:szCs w:val="22"/>
              </w:rPr>
              <w:t>Урок 126</w:t>
            </w:r>
          </w:p>
        </w:tc>
        <w:tc>
          <w:tcPr>
            <w:tcW w:w="7937" w:type="dxa"/>
          </w:tcPr>
          <w:p w14:paraId="50100608">
            <w:pPr>
              <w:pStyle w:val="85"/>
              <w:jc w:val="both"/>
              <w:rPr>
                <w:color w:val="auto"/>
                <w:sz w:val="22"/>
                <w:szCs w:val="22"/>
              </w:rPr>
            </w:pPr>
            <w:r>
              <w:rPr>
                <w:color w:val="auto"/>
                <w:sz w:val="22"/>
                <w:szCs w:val="22"/>
              </w:rPr>
              <w:t>Текст-повествование</w:t>
            </w:r>
          </w:p>
        </w:tc>
      </w:tr>
      <w:tr w14:paraId="4EF295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tcPr>
          <w:p w14:paraId="432E9EA9">
            <w:pPr>
              <w:pStyle w:val="85"/>
              <w:jc w:val="center"/>
              <w:rPr>
                <w:color w:val="auto"/>
                <w:sz w:val="22"/>
                <w:szCs w:val="22"/>
              </w:rPr>
            </w:pPr>
            <w:r>
              <w:rPr>
                <w:color w:val="auto"/>
                <w:sz w:val="22"/>
                <w:szCs w:val="22"/>
              </w:rPr>
              <w:t>Урок 127</w:t>
            </w:r>
          </w:p>
        </w:tc>
        <w:tc>
          <w:tcPr>
            <w:tcW w:w="7937" w:type="dxa"/>
          </w:tcPr>
          <w:p w14:paraId="3611451E">
            <w:pPr>
              <w:pStyle w:val="85"/>
              <w:jc w:val="both"/>
              <w:rPr>
                <w:color w:val="auto"/>
                <w:sz w:val="22"/>
                <w:szCs w:val="22"/>
              </w:rPr>
            </w:pPr>
            <w:r>
              <w:rPr>
                <w:color w:val="auto"/>
                <w:sz w:val="22"/>
                <w:szCs w:val="22"/>
              </w:rPr>
              <w:t>Особенности текстов-повествований</w:t>
            </w:r>
          </w:p>
        </w:tc>
      </w:tr>
      <w:tr w14:paraId="77DF7D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16A1F7CC">
            <w:pPr>
              <w:pStyle w:val="85"/>
              <w:rPr>
                <w:color w:val="auto"/>
                <w:sz w:val="22"/>
                <w:szCs w:val="22"/>
              </w:rPr>
            </w:pPr>
            <w:r>
              <w:rPr>
                <w:color w:val="auto"/>
                <w:sz w:val="22"/>
                <w:szCs w:val="22"/>
              </w:rPr>
              <w:t>Урок 128</w:t>
            </w:r>
          </w:p>
        </w:tc>
        <w:tc>
          <w:tcPr>
            <w:tcW w:w="7937" w:type="dxa"/>
          </w:tcPr>
          <w:p w14:paraId="6BBA81D2">
            <w:pPr>
              <w:pStyle w:val="85"/>
              <w:jc w:val="both"/>
              <w:rPr>
                <w:color w:val="auto"/>
                <w:sz w:val="22"/>
                <w:szCs w:val="22"/>
              </w:rPr>
            </w:pPr>
            <w:r>
              <w:rPr>
                <w:color w:val="auto"/>
                <w:sz w:val="22"/>
                <w:szCs w:val="22"/>
              </w:rPr>
              <w:t>Резервный урок по разделу развитие речи: учимся сочинять текст-повествование. Составление текста-повествования на тему "Как приготовить салат"</w:t>
            </w:r>
          </w:p>
        </w:tc>
      </w:tr>
      <w:tr w14:paraId="3DF7D0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tcPr>
          <w:p w14:paraId="36C4C48C">
            <w:pPr>
              <w:pStyle w:val="85"/>
              <w:rPr>
                <w:color w:val="auto"/>
                <w:sz w:val="22"/>
                <w:szCs w:val="22"/>
              </w:rPr>
            </w:pPr>
            <w:r>
              <w:rPr>
                <w:color w:val="auto"/>
                <w:sz w:val="22"/>
                <w:szCs w:val="22"/>
              </w:rPr>
              <w:t>Урок 129</w:t>
            </w:r>
          </w:p>
        </w:tc>
        <w:tc>
          <w:tcPr>
            <w:tcW w:w="7937" w:type="dxa"/>
          </w:tcPr>
          <w:p w14:paraId="1A995779">
            <w:pPr>
              <w:pStyle w:val="85"/>
              <w:jc w:val="both"/>
              <w:rPr>
                <w:color w:val="auto"/>
                <w:sz w:val="22"/>
                <w:szCs w:val="22"/>
              </w:rPr>
            </w:pPr>
            <w:r>
              <w:rPr>
                <w:color w:val="auto"/>
                <w:sz w:val="22"/>
                <w:szCs w:val="22"/>
              </w:rPr>
              <w:t>Обобщение знаний о глаголе</w:t>
            </w:r>
          </w:p>
        </w:tc>
      </w:tr>
      <w:tr w14:paraId="701254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01CC8455">
            <w:pPr>
              <w:pStyle w:val="85"/>
              <w:rPr>
                <w:color w:val="auto"/>
                <w:sz w:val="22"/>
                <w:szCs w:val="22"/>
              </w:rPr>
            </w:pPr>
            <w:r>
              <w:rPr>
                <w:color w:val="auto"/>
                <w:sz w:val="22"/>
                <w:szCs w:val="22"/>
              </w:rPr>
              <w:t>Урок 130</w:t>
            </w:r>
          </w:p>
        </w:tc>
        <w:tc>
          <w:tcPr>
            <w:tcW w:w="7937" w:type="dxa"/>
          </w:tcPr>
          <w:p w14:paraId="4A81AE93">
            <w:pPr>
              <w:pStyle w:val="85"/>
              <w:jc w:val="both"/>
              <w:rPr>
                <w:color w:val="auto"/>
                <w:sz w:val="22"/>
                <w:szCs w:val="22"/>
              </w:rPr>
            </w:pPr>
            <w:r>
              <w:rPr>
                <w:color w:val="auto"/>
                <w:sz w:val="22"/>
                <w:szCs w:val="22"/>
              </w:rPr>
              <w:t>Резервный урок по разделу морфология. Тренинг. Отработка темы "Глагол"</w:t>
            </w:r>
          </w:p>
        </w:tc>
      </w:tr>
      <w:tr w14:paraId="4009FF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tcPr>
          <w:p w14:paraId="6C032BCC">
            <w:pPr>
              <w:pStyle w:val="85"/>
              <w:rPr>
                <w:color w:val="auto"/>
                <w:sz w:val="22"/>
                <w:szCs w:val="22"/>
              </w:rPr>
            </w:pPr>
            <w:r>
              <w:rPr>
                <w:color w:val="auto"/>
                <w:sz w:val="22"/>
                <w:szCs w:val="22"/>
              </w:rPr>
              <w:t>Урок 131</w:t>
            </w:r>
          </w:p>
        </w:tc>
        <w:tc>
          <w:tcPr>
            <w:tcW w:w="7937" w:type="dxa"/>
          </w:tcPr>
          <w:p w14:paraId="25F565A6">
            <w:pPr>
              <w:pStyle w:val="85"/>
              <w:jc w:val="both"/>
              <w:rPr>
                <w:color w:val="auto"/>
                <w:sz w:val="22"/>
                <w:szCs w:val="22"/>
              </w:rPr>
            </w:pPr>
            <w:r>
              <w:rPr>
                <w:color w:val="auto"/>
                <w:sz w:val="22"/>
                <w:szCs w:val="22"/>
              </w:rPr>
              <w:t>Диктант на изученные правила (орфограммы корня)</w:t>
            </w:r>
          </w:p>
        </w:tc>
      </w:tr>
      <w:tr w14:paraId="696D1D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tcPr>
          <w:p w14:paraId="29BD5D1D">
            <w:pPr>
              <w:pStyle w:val="85"/>
              <w:rPr>
                <w:color w:val="auto"/>
                <w:sz w:val="22"/>
                <w:szCs w:val="22"/>
              </w:rPr>
            </w:pPr>
            <w:r>
              <w:rPr>
                <w:color w:val="auto"/>
                <w:sz w:val="22"/>
                <w:szCs w:val="22"/>
              </w:rPr>
              <w:t>Урок 132</w:t>
            </w:r>
          </w:p>
        </w:tc>
        <w:tc>
          <w:tcPr>
            <w:tcW w:w="7937" w:type="dxa"/>
          </w:tcPr>
          <w:p w14:paraId="17A78215">
            <w:pPr>
              <w:pStyle w:val="85"/>
              <w:jc w:val="both"/>
              <w:rPr>
                <w:color w:val="auto"/>
                <w:sz w:val="22"/>
                <w:szCs w:val="22"/>
              </w:rPr>
            </w:pPr>
            <w:r>
              <w:rPr>
                <w:color w:val="auto"/>
                <w:sz w:val="22"/>
                <w:szCs w:val="22"/>
              </w:rPr>
              <w:t>Работа над ошибками, допущенными в диктанте</w:t>
            </w:r>
          </w:p>
        </w:tc>
      </w:tr>
      <w:tr w14:paraId="672B69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tcPr>
          <w:p w14:paraId="36AFDCD2">
            <w:pPr>
              <w:pStyle w:val="85"/>
              <w:rPr>
                <w:color w:val="auto"/>
                <w:sz w:val="22"/>
                <w:szCs w:val="22"/>
              </w:rPr>
            </w:pPr>
            <w:r>
              <w:rPr>
                <w:color w:val="auto"/>
                <w:sz w:val="22"/>
                <w:szCs w:val="22"/>
              </w:rPr>
              <w:t>Урок 133</w:t>
            </w:r>
          </w:p>
        </w:tc>
        <w:tc>
          <w:tcPr>
            <w:tcW w:w="7937" w:type="dxa"/>
          </w:tcPr>
          <w:p w14:paraId="27BFB3FD">
            <w:pPr>
              <w:pStyle w:val="85"/>
              <w:jc w:val="both"/>
              <w:rPr>
                <w:color w:val="auto"/>
                <w:sz w:val="22"/>
                <w:szCs w:val="22"/>
              </w:rPr>
            </w:pPr>
            <w:r>
              <w:rPr>
                <w:color w:val="auto"/>
                <w:sz w:val="22"/>
                <w:szCs w:val="22"/>
              </w:rPr>
              <w:t>Имя прилагательное как часть речи</w:t>
            </w:r>
          </w:p>
        </w:tc>
      </w:tr>
      <w:tr w14:paraId="4A94C2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tcPr>
          <w:p w14:paraId="2342659C">
            <w:pPr>
              <w:pStyle w:val="85"/>
              <w:rPr>
                <w:color w:val="auto"/>
                <w:sz w:val="22"/>
                <w:szCs w:val="22"/>
              </w:rPr>
            </w:pPr>
            <w:r>
              <w:rPr>
                <w:color w:val="auto"/>
                <w:sz w:val="22"/>
                <w:szCs w:val="22"/>
              </w:rPr>
              <w:t>Урок 134</w:t>
            </w:r>
          </w:p>
        </w:tc>
        <w:tc>
          <w:tcPr>
            <w:tcW w:w="7937" w:type="dxa"/>
          </w:tcPr>
          <w:p w14:paraId="1D5AF647">
            <w:pPr>
              <w:pStyle w:val="85"/>
              <w:jc w:val="both"/>
              <w:rPr>
                <w:color w:val="auto"/>
                <w:sz w:val="22"/>
                <w:szCs w:val="22"/>
              </w:rPr>
            </w:pPr>
            <w:r>
              <w:rPr>
                <w:color w:val="auto"/>
                <w:sz w:val="22"/>
                <w:szCs w:val="22"/>
              </w:rPr>
              <w:t>Имя прилагательное: значение</w:t>
            </w:r>
          </w:p>
        </w:tc>
      </w:tr>
      <w:tr w14:paraId="4602E7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tcPr>
          <w:p w14:paraId="4C6C5AFC">
            <w:pPr>
              <w:pStyle w:val="85"/>
              <w:rPr>
                <w:color w:val="auto"/>
                <w:sz w:val="22"/>
                <w:szCs w:val="22"/>
              </w:rPr>
            </w:pPr>
            <w:r>
              <w:rPr>
                <w:color w:val="auto"/>
                <w:sz w:val="22"/>
                <w:szCs w:val="22"/>
              </w:rPr>
              <w:t>Урок 135</w:t>
            </w:r>
          </w:p>
        </w:tc>
        <w:tc>
          <w:tcPr>
            <w:tcW w:w="7937" w:type="dxa"/>
          </w:tcPr>
          <w:p w14:paraId="71B23FBC">
            <w:pPr>
              <w:pStyle w:val="85"/>
              <w:jc w:val="both"/>
              <w:rPr>
                <w:color w:val="auto"/>
                <w:sz w:val="22"/>
                <w:szCs w:val="22"/>
              </w:rPr>
            </w:pPr>
            <w:r>
              <w:rPr>
                <w:color w:val="auto"/>
                <w:sz w:val="22"/>
                <w:szCs w:val="22"/>
              </w:rPr>
              <w:t>Обобщение знаний об имени прилагательном</w:t>
            </w:r>
          </w:p>
        </w:tc>
      </w:tr>
      <w:tr w14:paraId="64E8B5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53589CCD">
            <w:pPr>
              <w:pStyle w:val="85"/>
              <w:rPr>
                <w:color w:val="auto"/>
                <w:sz w:val="22"/>
                <w:szCs w:val="22"/>
              </w:rPr>
            </w:pPr>
            <w:r>
              <w:rPr>
                <w:color w:val="auto"/>
                <w:sz w:val="22"/>
                <w:szCs w:val="22"/>
              </w:rPr>
              <w:t>Урок 136</w:t>
            </w:r>
          </w:p>
        </w:tc>
        <w:tc>
          <w:tcPr>
            <w:tcW w:w="7937" w:type="dxa"/>
          </w:tcPr>
          <w:p w14:paraId="69644E53">
            <w:pPr>
              <w:pStyle w:val="85"/>
              <w:jc w:val="both"/>
              <w:rPr>
                <w:color w:val="auto"/>
                <w:sz w:val="22"/>
                <w:szCs w:val="22"/>
              </w:rPr>
            </w:pPr>
            <w:r>
              <w:rPr>
                <w:color w:val="auto"/>
                <w:sz w:val="22"/>
                <w:szCs w:val="22"/>
              </w:rPr>
              <w:t>Резервный урок по разделу морфология: роль имен прилагательных в тексте</w:t>
            </w:r>
          </w:p>
        </w:tc>
      </w:tr>
      <w:tr w14:paraId="392C22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tcPr>
          <w:p w14:paraId="7ACD0419">
            <w:pPr>
              <w:pStyle w:val="85"/>
              <w:rPr>
                <w:color w:val="auto"/>
                <w:sz w:val="22"/>
                <w:szCs w:val="22"/>
              </w:rPr>
            </w:pPr>
            <w:r>
              <w:rPr>
                <w:color w:val="auto"/>
                <w:sz w:val="22"/>
                <w:szCs w:val="22"/>
              </w:rPr>
              <w:t>Урок 137</w:t>
            </w:r>
          </w:p>
        </w:tc>
        <w:tc>
          <w:tcPr>
            <w:tcW w:w="7937" w:type="dxa"/>
          </w:tcPr>
          <w:p w14:paraId="440FAC0F">
            <w:pPr>
              <w:pStyle w:val="85"/>
              <w:jc w:val="both"/>
              <w:rPr>
                <w:color w:val="auto"/>
                <w:sz w:val="22"/>
                <w:szCs w:val="22"/>
              </w:rPr>
            </w:pPr>
            <w:r>
              <w:rPr>
                <w:color w:val="auto"/>
                <w:sz w:val="22"/>
                <w:szCs w:val="22"/>
              </w:rPr>
              <w:t>Связь имени прилагательного с именем существительным</w:t>
            </w:r>
          </w:p>
        </w:tc>
      </w:tr>
      <w:tr w14:paraId="283DF2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tcPr>
          <w:p w14:paraId="7B61DA9A">
            <w:pPr>
              <w:pStyle w:val="85"/>
              <w:rPr>
                <w:color w:val="auto"/>
                <w:sz w:val="22"/>
                <w:szCs w:val="22"/>
              </w:rPr>
            </w:pPr>
            <w:r>
              <w:rPr>
                <w:color w:val="auto"/>
                <w:sz w:val="22"/>
                <w:szCs w:val="22"/>
              </w:rPr>
              <w:t>Урок 138</w:t>
            </w:r>
          </w:p>
        </w:tc>
        <w:tc>
          <w:tcPr>
            <w:tcW w:w="7937" w:type="dxa"/>
          </w:tcPr>
          <w:p w14:paraId="6A37EABE">
            <w:pPr>
              <w:pStyle w:val="85"/>
              <w:jc w:val="both"/>
              <w:rPr>
                <w:color w:val="auto"/>
                <w:sz w:val="22"/>
                <w:szCs w:val="22"/>
              </w:rPr>
            </w:pPr>
            <w:r>
              <w:rPr>
                <w:color w:val="auto"/>
                <w:sz w:val="22"/>
                <w:szCs w:val="22"/>
              </w:rPr>
              <w:t>Текст-описание</w:t>
            </w:r>
          </w:p>
        </w:tc>
      </w:tr>
      <w:tr w14:paraId="569D07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2C12BBDC">
            <w:pPr>
              <w:pStyle w:val="85"/>
              <w:rPr>
                <w:color w:val="auto"/>
                <w:sz w:val="22"/>
                <w:szCs w:val="22"/>
              </w:rPr>
            </w:pPr>
            <w:r>
              <w:rPr>
                <w:color w:val="auto"/>
                <w:sz w:val="22"/>
                <w:szCs w:val="22"/>
              </w:rPr>
              <w:t>Урок 139</w:t>
            </w:r>
          </w:p>
        </w:tc>
        <w:tc>
          <w:tcPr>
            <w:tcW w:w="7937" w:type="dxa"/>
          </w:tcPr>
          <w:p w14:paraId="38359E68">
            <w:pPr>
              <w:pStyle w:val="85"/>
              <w:jc w:val="both"/>
              <w:rPr>
                <w:color w:val="auto"/>
                <w:sz w:val="22"/>
                <w:szCs w:val="22"/>
              </w:rPr>
            </w:pPr>
            <w:r>
              <w:rPr>
                <w:color w:val="auto"/>
                <w:sz w:val="22"/>
                <w:szCs w:val="22"/>
              </w:rPr>
              <w:t>Резервный урок по разделу развитие речи: составление текста (рассказа или сказки) на тему "Путешествие снежинки на землю"</w:t>
            </w:r>
          </w:p>
        </w:tc>
      </w:tr>
      <w:tr w14:paraId="42A8A4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tcPr>
          <w:p w14:paraId="0709B26A">
            <w:pPr>
              <w:pStyle w:val="85"/>
              <w:rPr>
                <w:color w:val="auto"/>
                <w:sz w:val="22"/>
                <w:szCs w:val="22"/>
              </w:rPr>
            </w:pPr>
            <w:r>
              <w:rPr>
                <w:color w:val="auto"/>
                <w:sz w:val="22"/>
                <w:szCs w:val="22"/>
              </w:rPr>
              <w:t>Урок 140</w:t>
            </w:r>
          </w:p>
        </w:tc>
        <w:tc>
          <w:tcPr>
            <w:tcW w:w="7937" w:type="dxa"/>
          </w:tcPr>
          <w:p w14:paraId="48B61191">
            <w:pPr>
              <w:pStyle w:val="85"/>
              <w:jc w:val="both"/>
              <w:rPr>
                <w:color w:val="auto"/>
                <w:sz w:val="22"/>
                <w:szCs w:val="22"/>
              </w:rPr>
            </w:pPr>
            <w:r>
              <w:rPr>
                <w:color w:val="auto"/>
                <w:sz w:val="22"/>
                <w:szCs w:val="22"/>
              </w:rPr>
              <w:t>Особенности текстов-описаний</w:t>
            </w:r>
          </w:p>
        </w:tc>
      </w:tr>
      <w:tr w14:paraId="01CF96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7D54694A">
            <w:pPr>
              <w:pStyle w:val="85"/>
              <w:rPr>
                <w:color w:val="auto"/>
                <w:sz w:val="22"/>
                <w:szCs w:val="22"/>
              </w:rPr>
            </w:pPr>
            <w:r>
              <w:rPr>
                <w:color w:val="auto"/>
                <w:sz w:val="22"/>
                <w:szCs w:val="22"/>
              </w:rPr>
              <w:t>Урок 141</w:t>
            </w:r>
          </w:p>
        </w:tc>
        <w:tc>
          <w:tcPr>
            <w:tcW w:w="7937" w:type="dxa"/>
          </w:tcPr>
          <w:p w14:paraId="35136438">
            <w:pPr>
              <w:pStyle w:val="85"/>
              <w:jc w:val="both"/>
              <w:rPr>
                <w:color w:val="auto"/>
                <w:sz w:val="22"/>
                <w:szCs w:val="22"/>
              </w:rPr>
            </w:pPr>
            <w:r>
              <w:rPr>
                <w:color w:val="auto"/>
                <w:sz w:val="22"/>
                <w:szCs w:val="22"/>
              </w:rPr>
              <w:t>Резервный урок по разделу развитие речи: учимся сочинять текст-описание. Составление текста-описания натюрморта</w:t>
            </w:r>
          </w:p>
        </w:tc>
      </w:tr>
      <w:tr w14:paraId="3F12EE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tcPr>
          <w:p w14:paraId="654F5AD4">
            <w:pPr>
              <w:pStyle w:val="85"/>
              <w:rPr>
                <w:color w:val="auto"/>
                <w:sz w:val="22"/>
                <w:szCs w:val="22"/>
              </w:rPr>
            </w:pPr>
            <w:r>
              <w:rPr>
                <w:color w:val="auto"/>
                <w:sz w:val="22"/>
                <w:szCs w:val="22"/>
              </w:rPr>
              <w:t>Урок 142</w:t>
            </w:r>
          </w:p>
        </w:tc>
        <w:tc>
          <w:tcPr>
            <w:tcW w:w="7937" w:type="dxa"/>
          </w:tcPr>
          <w:p w14:paraId="7F732B65">
            <w:pPr>
              <w:pStyle w:val="85"/>
              <w:jc w:val="both"/>
              <w:rPr>
                <w:color w:val="auto"/>
                <w:sz w:val="22"/>
                <w:szCs w:val="22"/>
              </w:rPr>
            </w:pPr>
            <w:r>
              <w:rPr>
                <w:color w:val="auto"/>
                <w:sz w:val="22"/>
                <w:szCs w:val="22"/>
              </w:rPr>
              <w:t>Диктант на изученные орфограммы в корне слова</w:t>
            </w:r>
          </w:p>
        </w:tc>
      </w:tr>
      <w:tr w14:paraId="2B4E8A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tcPr>
          <w:p w14:paraId="26CF8021">
            <w:pPr>
              <w:pStyle w:val="85"/>
              <w:rPr>
                <w:color w:val="auto"/>
                <w:sz w:val="22"/>
                <w:szCs w:val="22"/>
              </w:rPr>
            </w:pPr>
            <w:r>
              <w:rPr>
                <w:color w:val="auto"/>
                <w:sz w:val="22"/>
                <w:szCs w:val="22"/>
              </w:rPr>
              <w:t>Урок 143</w:t>
            </w:r>
          </w:p>
        </w:tc>
        <w:tc>
          <w:tcPr>
            <w:tcW w:w="7937" w:type="dxa"/>
          </w:tcPr>
          <w:p w14:paraId="1DE60F57">
            <w:pPr>
              <w:pStyle w:val="85"/>
              <w:jc w:val="both"/>
              <w:rPr>
                <w:color w:val="auto"/>
                <w:sz w:val="22"/>
                <w:szCs w:val="22"/>
              </w:rPr>
            </w:pPr>
            <w:r>
              <w:rPr>
                <w:color w:val="auto"/>
                <w:sz w:val="22"/>
                <w:szCs w:val="22"/>
              </w:rPr>
              <w:t>Работа над ошибками, допущенными в диктанте</w:t>
            </w:r>
          </w:p>
        </w:tc>
      </w:tr>
      <w:tr w14:paraId="418702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6EE163B6">
            <w:pPr>
              <w:pStyle w:val="85"/>
              <w:rPr>
                <w:color w:val="auto"/>
                <w:sz w:val="22"/>
                <w:szCs w:val="22"/>
              </w:rPr>
            </w:pPr>
            <w:r>
              <w:rPr>
                <w:color w:val="auto"/>
                <w:sz w:val="22"/>
                <w:szCs w:val="22"/>
              </w:rPr>
              <w:t>Урок 144</w:t>
            </w:r>
          </w:p>
        </w:tc>
        <w:tc>
          <w:tcPr>
            <w:tcW w:w="7937" w:type="dxa"/>
          </w:tcPr>
          <w:p w14:paraId="555B6257">
            <w:pPr>
              <w:pStyle w:val="85"/>
              <w:jc w:val="both"/>
              <w:rPr>
                <w:color w:val="auto"/>
                <w:sz w:val="22"/>
                <w:szCs w:val="22"/>
              </w:rPr>
            </w:pPr>
            <w:r>
              <w:rPr>
                <w:color w:val="auto"/>
                <w:sz w:val="22"/>
                <w:szCs w:val="22"/>
              </w:rPr>
              <w:t>Резервный урок по разделу развитие речи: Составление текста о своем любимом домашнем питомце по вопросам</w:t>
            </w:r>
          </w:p>
        </w:tc>
      </w:tr>
      <w:tr w14:paraId="4801B3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3D2C00B6">
            <w:pPr>
              <w:pStyle w:val="85"/>
              <w:rPr>
                <w:color w:val="auto"/>
                <w:sz w:val="22"/>
                <w:szCs w:val="22"/>
              </w:rPr>
            </w:pPr>
            <w:r>
              <w:rPr>
                <w:color w:val="auto"/>
                <w:sz w:val="22"/>
                <w:szCs w:val="22"/>
              </w:rPr>
              <w:t>Урок 145</w:t>
            </w:r>
          </w:p>
        </w:tc>
        <w:tc>
          <w:tcPr>
            <w:tcW w:w="7937" w:type="dxa"/>
          </w:tcPr>
          <w:p w14:paraId="4B3B32C6">
            <w:pPr>
              <w:pStyle w:val="85"/>
              <w:jc w:val="both"/>
              <w:rPr>
                <w:color w:val="auto"/>
                <w:sz w:val="22"/>
                <w:szCs w:val="22"/>
              </w:rPr>
            </w:pPr>
            <w:r>
              <w:rPr>
                <w:color w:val="auto"/>
                <w:sz w:val="22"/>
                <w:szCs w:val="22"/>
              </w:rPr>
              <w:t>Резервный урок по разделу развитие речи: составление текста по рисунку с включением в него диалога. Практикум по овладению диалогической речью</w:t>
            </w:r>
          </w:p>
        </w:tc>
      </w:tr>
      <w:tr w14:paraId="654621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tcPr>
          <w:p w14:paraId="47CC1C58">
            <w:pPr>
              <w:pStyle w:val="85"/>
              <w:rPr>
                <w:color w:val="auto"/>
                <w:sz w:val="22"/>
                <w:szCs w:val="22"/>
              </w:rPr>
            </w:pPr>
            <w:r>
              <w:rPr>
                <w:color w:val="auto"/>
                <w:sz w:val="22"/>
                <w:szCs w:val="22"/>
              </w:rPr>
              <w:t>Урок 146</w:t>
            </w:r>
          </w:p>
        </w:tc>
        <w:tc>
          <w:tcPr>
            <w:tcW w:w="7937" w:type="dxa"/>
          </w:tcPr>
          <w:p w14:paraId="25957035">
            <w:pPr>
              <w:pStyle w:val="85"/>
              <w:jc w:val="both"/>
              <w:rPr>
                <w:color w:val="auto"/>
                <w:sz w:val="22"/>
                <w:szCs w:val="22"/>
              </w:rPr>
            </w:pPr>
            <w:r>
              <w:rPr>
                <w:color w:val="auto"/>
                <w:sz w:val="22"/>
                <w:szCs w:val="22"/>
              </w:rPr>
              <w:t>Текст-рассуждение</w:t>
            </w:r>
          </w:p>
        </w:tc>
      </w:tr>
      <w:tr w14:paraId="24C956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tcPr>
          <w:p w14:paraId="699FE45E">
            <w:pPr>
              <w:pStyle w:val="85"/>
              <w:rPr>
                <w:color w:val="auto"/>
                <w:sz w:val="22"/>
                <w:szCs w:val="22"/>
              </w:rPr>
            </w:pPr>
            <w:r>
              <w:rPr>
                <w:color w:val="auto"/>
                <w:sz w:val="22"/>
                <w:szCs w:val="22"/>
              </w:rPr>
              <w:t>Урок 147</w:t>
            </w:r>
          </w:p>
        </w:tc>
        <w:tc>
          <w:tcPr>
            <w:tcW w:w="7937" w:type="dxa"/>
          </w:tcPr>
          <w:p w14:paraId="779E0078">
            <w:pPr>
              <w:pStyle w:val="85"/>
              <w:jc w:val="both"/>
              <w:rPr>
                <w:color w:val="auto"/>
                <w:sz w:val="22"/>
                <w:szCs w:val="22"/>
              </w:rPr>
            </w:pPr>
            <w:r>
              <w:rPr>
                <w:color w:val="auto"/>
                <w:sz w:val="22"/>
                <w:szCs w:val="22"/>
              </w:rPr>
              <w:t>Особенности текстов-рассуждений</w:t>
            </w:r>
          </w:p>
        </w:tc>
      </w:tr>
      <w:tr w14:paraId="464234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tcPr>
          <w:p w14:paraId="60191CDA">
            <w:pPr>
              <w:pStyle w:val="85"/>
              <w:rPr>
                <w:color w:val="auto"/>
                <w:sz w:val="22"/>
                <w:szCs w:val="22"/>
              </w:rPr>
            </w:pPr>
            <w:r>
              <w:rPr>
                <w:color w:val="auto"/>
                <w:sz w:val="22"/>
                <w:szCs w:val="22"/>
              </w:rPr>
              <w:t>Урок 148</w:t>
            </w:r>
          </w:p>
        </w:tc>
        <w:tc>
          <w:tcPr>
            <w:tcW w:w="7937" w:type="dxa"/>
          </w:tcPr>
          <w:p w14:paraId="4D12DE6E">
            <w:pPr>
              <w:pStyle w:val="85"/>
              <w:jc w:val="both"/>
              <w:rPr>
                <w:color w:val="auto"/>
                <w:sz w:val="22"/>
                <w:szCs w:val="22"/>
              </w:rPr>
            </w:pPr>
            <w:r>
              <w:rPr>
                <w:color w:val="auto"/>
                <w:sz w:val="22"/>
                <w:szCs w:val="22"/>
              </w:rPr>
              <w:t>Предлог. Отличие предлогов от приставок</w:t>
            </w:r>
          </w:p>
        </w:tc>
      </w:tr>
      <w:tr w14:paraId="493223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385B336E">
            <w:pPr>
              <w:pStyle w:val="85"/>
              <w:rPr>
                <w:color w:val="auto"/>
                <w:sz w:val="22"/>
                <w:szCs w:val="22"/>
              </w:rPr>
            </w:pPr>
            <w:r>
              <w:rPr>
                <w:color w:val="auto"/>
                <w:sz w:val="22"/>
                <w:szCs w:val="22"/>
              </w:rPr>
              <w:t>Урок 149</w:t>
            </w:r>
          </w:p>
        </w:tc>
        <w:tc>
          <w:tcPr>
            <w:tcW w:w="7937" w:type="dxa"/>
          </w:tcPr>
          <w:p w14:paraId="6C5066EE">
            <w:pPr>
              <w:pStyle w:val="85"/>
              <w:jc w:val="both"/>
              <w:rPr>
                <w:color w:val="auto"/>
                <w:sz w:val="22"/>
                <w:szCs w:val="22"/>
              </w:rPr>
            </w:pPr>
            <w:r>
              <w:rPr>
                <w:color w:val="auto"/>
                <w:sz w:val="22"/>
                <w:szCs w:val="22"/>
              </w:rPr>
              <w:t>Наиболее распространенные предлоги: в, на, из, без, над, до, у, о, об и другие</w:t>
            </w:r>
          </w:p>
        </w:tc>
      </w:tr>
      <w:tr w14:paraId="37AC96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tcPr>
          <w:p w14:paraId="6AD95B7D">
            <w:pPr>
              <w:pStyle w:val="85"/>
              <w:rPr>
                <w:color w:val="auto"/>
                <w:sz w:val="22"/>
                <w:szCs w:val="22"/>
              </w:rPr>
            </w:pPr>
            <w:r>
              <w:rPr>
                <w:color w:val="auto"/>
                <w:sz w:val="22"/>
                <w:szCs w:val="22"/>
              </w:rPr>
              <w:t>Урок 150</w:t>
            </w:r>
          </w:p>
        </w:tc>
        <w:tc>
          <w:tcPr>
            <w:tcW w:w="7937" w:type="dxa"/>
          </w:tcPr>
          <w:p w14:paraId="7F3A1604">
            <w:pPr>
              <w:pStyle w:val="85"/>
              <w:jc w:val="both"/>
              <w:rPr>
                <w:color w:val="auto"/>
                <w:sz w:val="22"/>
                <w:szCs w:val="22"/>
              </w:rPr>
            </w:pPr>
            <w:r>
              <w:rPr>
                <w:color w:val="auto"/>
                <w:sz w:val="22"/>
                <w:szCs w:val="22"/>
              </w:rPr>
              <w:t>Раздельное написание предлогов с именами существительными</w:t>
            </w:r>
          </w:p>
        </w:tc>
      </w:tr>
      <w:tr w14:paraId="378E76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29E55B2A">
            <w:pPr>
              <w:pStyle w:val="85"/>
              <w:rPr>
                <w:color w:val="auto"/>
                <w:sz w:val="22"/>
                <w:szCs w:val="22"/>
              </w:rPr>
            </w:pPr>
            <w:r>
              <w:rPr>
                <w:color w:val="auto"/>
                <w:sz w:val="22"/>
                <w:szCs w:val="22"/>
              </w:rPr>
              <w:t>Урок 151</w:t>
            </w:r>
          </w:p>
        </w:tc>
        <w:tc>
          <w:tcPr>
            <w:tcW w:w="7937" w:type="dxa"/>
          </w:tcPr>
          <w:p w14:paraId="37DAEE8B">
            <w:pPr>
              <w:pStyle w:val="85"/>
              <w:jc w:val="both"/>
              <w:rPr>
                <w:color w:val="auto"/>
                <w:sz w:val="22"/>
                <w:szCs w:val="22"/>
              </w:rPr>
            </w:pPr>
            <w:r>
              <w:rPr>
                <w:color w:val="auto"/>
                <w:sz w:val="22"/>
                <w:szCs w:val="22"/>
              </w:rPr>
              <w:t>Раздельное написание предлогов с именами существительными: закрепление</w:t>
            </w:r>
          </w:p>
        </w:tc>
      </w:tr>
      <w:tr w14:paraId="437A37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tcPr>
          <w:p w14:paraId="36C7885A">
            <w:pPr>
              <w:pStyle w:val="85"/>
              <w:rPr>
                <w:color w:val="auto"/>
                <w:sz w:val="22"/>
                <w:szCs w:val="22"/>
              </w:rPr>
            </w:pPr>
            <w:r>
              <w:rPr>
                <w:color w:val="auto"/>
                <w:sz w:val="22"/>
                <w:szCs w:val="22"/>
              </w:rPr>
              <w:t>Урок 152</w:t>
            </w:r>
          </w:p>
        </w:tc>
        <w:tc>
          <w:tcPr>
            <w:tcW w:w="7937" w:type="dxa"/>
          </w:tcPr>
          <w:p w14:paraId="5E25DC11">
            <w:pPr>
              <w:pStyle w:val="85"/>
              <w:jc w:val="both"/>
              <w:rPr>
                <w:color w:val="auto"/>
                <w:sz w:val="22"/>
                <w:szCs w:val="22"/>
              </w:rPr>
            </w:pPr>
            <w:r>
              <w:rPr>
                <w:color w:val="auto"/>
                <w:sz w:val="22"/>
                <w:szCs w:val="22"/>
              </w:rPr>
              <w:t>Части речи: обобщение. Тренинг</w:t>
            </w:r>
          </w:p>
        </w:tc>
      </w:tr>
      <w:tr w14:paraId="22C483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3DC61086">
            <w:pPr>
              <w:pStyle w:val="85"/>
              <w:rPr>
                <w:color w:val="auto"/>
                <w:sz w:val="22"/>
                <w:szCs w:val="22"/>
              </w:rPr>
            </w:pPr>
            <w:r>
              <w:rPr>
                <w:color w:val="auto"/>
                <w:sz w:val="22"/>
                <w:szCs w:val="22"/>
              </w:rPr>
              <w:t>Урок 153</w:t>
            </w:r>
          </w:p>
        </w:tc>
        <w:tc>
          <w:tcPr>
            <w:tcW w:w="7937" w:type="dxa"/>
          </w:tcPr>
          <w:p w14:paraId="0724F3D7">
            <w:pPr>
              <w:pStyle w:val="85"/>
              <w:jc w:val="both"/>
              <w:rPr>
                <w:color w:val="auto"/>
                <w:sz w:val="22"/>
                <w:szCs w:val="22"/>
              </w:rPr>
            </w:pPr>
            <w:r>
              <w:rPr>
                <w:color w:val="auto"/>
                <w:sz w:val="22"/>
                <w:szCs w:val="22"/>
              </w:rPr>
              <w:t>Умение договариваться и приходить к общему решению в совместной деятельности при проведении парной и групповой работы</w:t>
            </w:r>
          </w:p>
        </w:tc>
      </w:tr>
      <w:tr w14:paraId="30413D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tcPr>
          <w:p w14:paraId="721F160F">
            <w:pPr>
              <w:pStyle w:val="85"/>
              <w:rPr>
                <w:color w:val="auto"/>
                <w:sz w:val="22"/>
                <w:szCs w:val="22"/>
              </w:rPr>
            </w:pPr>
            <w:r>
              <w:rPr>
                <w:color w:val="auto"/>
                <w:sz w:val="22"/>
                <w:szCs w:val="22"/>
              </w:rPr>
              <w:t>Урок 154</w:t>
            </w:r>
          </w:p>
        </w:tc>
        <w:tc>
          <w:tcPr>
            <w:tcW w:w="7937" w:type="dxa"/>
          </w:tcPr>
          <w:p w14:paraId="3A4D5F08">
            <w:pPr>
              <w:pStyle w:val="85"/>
              <w:jc w:val="both"/>
              <w:rPr>
                <w:color w:val="auto"/>
                <w:sz w:val="22"/>
                <w:szCs w:val="22"/>
              </w:rPr>
            </w:pPr>
            <w:r>
              <w:rPr>
                <w:color w:val="auto"/>
                <w:sz w:val="22"/>
                <w:szCs w:val="22"/>
              </w:rPr>
              <w:t>Резервный урок по разделу морфология: части речи. Тренинг</w:t>
            </w:r>
          </w:p>
        </w:tc>
      </w:tr>
      <w:tr w14:paraId="6437D0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tcPr>
          <w:p w14:paraId="55BD1D02">
            <w:pPr>
              <w:pStyle w:val="85"/>
              <w:rPr>
                <w:color w:val="auto"/>
                <w:sz w:val="22"/>
                <w:szCs w:val="22"/>
              </w:rPr>
            </w:pPr>
            <w:r>
              <w:rPr>
                <w:color w:val="auto"/>
                <w:sz w:val="22"/>
                <w:szCs w:val="22"/>
              </w:rPr>
              <w:t>Урок 155</w:t>
            </w:r>
          </w:p>
        </w:tc>
        <w:tc>
          <w:tcPr>
            <w:tcW w:w="7937" w:type="dxa"/>
          </w:tcPr>
          <w:p w14:paraId="0B26B6EF">
            <w:pPr>
              <w:pStyle w:val="85"/>
              <w:jc w:val="both"/>
              <w:rPr>
                <w:color w:val="auto"/>
                <w:sz w:val="22"/>
                <w:szCs w:val="22"/>
              </w:rPr>
            </w:pPr>
            <w:r>
              <w:rPr>
                <w:color w:val="auto"/>
                <w:sz w:val="22"/>
                <w:szCs w:val="22"/>
              </w:rPr>
              <w:t>Различение текстов-описаний и текстов-повествований</w:t>
            </w:r>
          </w:p>
        </w:tc>
      </w:tr>
      <w:tr w14:paraId="63C06D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27BF3D84">
            <w:pPr>
              <w:pStyle w:val="85"/>
              <w:rPr>
                <w:color w:val="auto"/>
                <w:sz w:val="22"/>
                <w:szCs w:val="22"/>
              </w:rPr>
            </w:pPr>
            <w:r>
              <w:rPr>
                <w:color w:val="auto"/>
                <w:sz w:val="22"/>
                <w:szCs w:val="22"/>
              </w:rPr>
              <w:t>Урок 156</w:t>
            </w:r>
          </w:p>
        </w:tc>
        <w:tc>
          <w:tcPr>
            <w:tcW w:w="7937" w:type="dxa"/>
          </w:tcPr>
          <w:p w14:paraId="1769A527">
            <w:pPr>
              <w:pStyle w:val="85"/>
              <w:jc w:val="both"/>
              <w:rPr>
                <w:color w:val="auto"/>
                <w:sz w:val="22"/>
                <w:szCs w:val="22"/>
              </w:rPr>
            </w:pPr>
            <w:r>
              <w:rPr>
                <w:color w:val="auto"/>
                <w:sz w:val="22"/>
                <w:szCs w:val="22"/>
              </w:rPr>
              <w:t>Резервный урок по разделу морфология. Тренинг. Отработка темы "Предлоги"</w:t>
            </w:r>
          </w:p>
        </w:tc>
      </w:tr>
      <w:tr w14:paraId="25CBFE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tcPr>
          <w:p w14:paraId="488BB4C5">
            <w:pPr>
              <w:pStyle w:val="85"/>
              <w:rPr>
                <w:color w:val="auto"/>
                <w:sz w:val="22"/>
                <w:szCs w:val="22"/>
              </w:rPr>
            </w:pPr>
            <w:r>
              <w:rPr>
                <w:color w:val="auto"/>
                <w:sz w:val="22"/>
                <w:szCs w:val="22"/>
              </w:rPr>
              <w:t>Урок 157</w:t>
            </w:r>
          </w:p>
        </w:tc>
        <w:tc>
          <w:tcPr>
            <w:tcW w:w="7937" w:type="dxa"/>
          </w:tcPr>
          <w:p w14:paraId="1CE64231">
            <w:pPr>
              <w:pStyle w:val="85"/>
              <w:jc w:val="both"/>
              <w:rPr>
                <w:color w:val="auto"/>
                <w:sz w:val="22"/>
                <w:szCs w:val="22"/>
              </w:rPr>
            </w:pPr>
            <w:r>
              <w:rPr>
                <w:color w:val="auto"/>
                <w:sz w:val="22"/>
                <w:szCs w:val="22"/>
              </w:rPr>
              <w:t>Части речи: систематизация знаний</w:t>
            </w:r>
          </w:p>
        </w:tc>
      </w:tr>
      <w:tr w14:paraId="761363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04D9B26E">
            <w:pPr>
              <w:pStyle w:val="85"/>
              <w:rPr>
                <w:color w:val="auto"/>
                <w:sz w:val="22"/>
                <w:szCs w:val="22"/>
              </w:rPr>
            </w:pPr>
            <w:r>
              <w:rPr>
                <w:color w:val="auto"/>
                <w:sz w:val="22"/>
                <w:szCs w:val="22"/>
              </w:rPr>
              <w:t>Урок 158</w:t>
            </w:r>
          </w:p>
        </w:tc>
        <w:tc>
          <w:tcPr>
            <w:tcW w:w="7937" w:type="dxa"/>
          </w:tcPr>
          <w:p w14:paraId="16B5DC92">
            <w:pPr>
              <w:pStyle w:val="85"/>
              <w:jc w:val="both"/>
              <w:rPr>
                <w:color w:val="auto"/>
                <w:sz w:val="22"/>
                <w:szCs w:val="22"/>
              </w:rPr>
            </w:pPr>
            <w:r>
              <w:rPr>
                <w:color w:val="auto"/>
                <w:sz w:val="22"/>
                <w:szCs w:val="22"/>
              </w:rPr>
              <w:t>Резервный урок по разделу морфология: роль имен существительных в тексте</w:t>
            </w:r>
          </w:p>
        </w:tc>
      </w:tr>
      <w:tr w14:paraId="76B0DD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tcPr>
          <w:p w14:paraId="3A6D5E31">
            <w:pPr>
              <w:pStyle w:val="85"/>
              <w:rPr>
                <w:color w:val="auto"/>
                <w:sz w:val="22"/>
                <w:szCs w:val="22"/>
              </w:rPr>
            </w:pPr>
            <w:r>
              <w:rPr>
                <w:color w:val="auto"/>
                <w:sz w:val="22"/>
                <w:szCs w:val="22"/>
              </w:rPr>
              <w:t>Урок 159</w:t>
            </w:r>
          </w:p>
        </w:tc>
        <w:tc>
          <w:tcPr>
            <w:tcW w:w="7937" w:type="dxa"/>
          </w:tcPr>
          <w:p w14:paraId="454A89BE">
            <w:pPr>
              <w:pStyle w:val="85"/>
              <w:jc w:val="both"/>
              <w:rPr>
                <w:color w:val="auto"/>
                <w:sz w:val="22"/>
                <w:szCs w:val="22"/>
              </w:rPr>
            </w:pPr>
            <w:r>
              <w:rPr>
                <w:color w:val="auto"/>
                <w:sz w:val="22"/>
                <w:szCs w:val="22"/>
              </w:rPr>
              <w:t>Резервный урок по разделу морфология: роль глаголов в тексте</w:t>
            </w:r>
          </w:p>
        </w:tc>
      </w:tr>
      <w:tr w14:paraId="2FE1BD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4BBB3939">
            <w:pPr>
              <w:pStyle w:val="85"/>
              <w:rPr>
                <w:color w:val="auto"/>
                <w:sz w:val="22"/>
                <w:szCs w:val="22"/>
              </w:rPr>
            </w:pPr>
            <w:r>
              <w:rPr>
                <w:color w:val="auto"/>
                <w:sz w:val="22"/>
                <w:szCs w:val="22"/>
              </w:rPr>
              <w:t>Урок 160</w:t>
            </w:r>
          </w:p>
        </w:tc>
        <w:tc>
          <w:tcPr>
            <w:tcW w:w="7937" w:type="dxa"/>
          </w:tcPr>
          <w:p w14:paraId="58FB5D95">
            <w:pPr>
              <w:pStyle w:val="85"/>
              <w:jc w:val="both"/>
              <w:rPr>
                <w:color w:val="auto"/>
                <w:sz w:val="22"/>
                <w:szCs w:val="22"/>
              </w:rPr>
            </w:pPr>
            <w:r>
              <w:rPr>
                <w:color w:val="auto"/>
                <w:sz w:val="22"/>
                <w:szCs w:val="22"/>
              </w:rPr>
              <w:t>Правописание слов с орфограммами в значимых частях слов: систематизация</w:t>
            </w:r>
          </w:p>
        </w:tc>
      </w:tr>
      <w:tr w14:paraId="36F072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574F282E">
            <w:pPr>
              <w:pStyle w:val="85"/>
              <w:rPr>
                <w:color w:val="auto"/>
                <w:sz w:val="22"/>
                <w:szCs w:val="22"/>
              </w:rPr>
            </w:pPr>
            <w:r>
              <w:rPr>
                <w:color w:val="auto"/>
                <w:sz w:val="22"/>
                <w:szCs w:val="22"/>
              </w:rPr>
              <w:t>Урок 161</w:t>
            </w:r>
          </w:p>
        </w:tc>
        <w:tc>
          <w:tcPr>
            <w:tcW w:w="7937" w:type="dxa"/>
          </w:tcPr>
          <w:p w14:paraId="7E0353C3">
            <w:pPr>
              <w:pStyle w:val="85"/>
              <w:jc w:val="both"/>
              <w:rPr>
                <w:color w:val="auto"/>
                <w:sz w:val="22"/>
                <w:szCs w:val="22"/>
              </w:rPr>
            </w:pPr>
            <w:r>
              <w:rPr>
                <w:color w:val="auto"/>
                <w:sz w:val="22"/>
                <w:szCs w:val="22"/>
              </w:rPr>
              <w:t>Правописание слов с орфограммами в значимых частях слов: обобщение</w:t>
            </w:r>
          </w:p>
        </w:tc>
      </w:tr>
      <w:tr w14:paraId="6503AC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134" w:type="dxa"/>
          </w:tcPr>
          <w:p w14:paraId="45050863">
            <w:pPr>
              <w:pStyle w:val="85"/>
              <w:rPr>
                <w:color w:val="auto"/>
                <w:sz w:val="22"/>
                <w:szCs w:val="22"/>
              </w:rPr>
            </w:pPr>
            <w:r>
              <w:rPr>
                <w:color w:val="auto"/>
                <w:sz w:val="22"/>
                <w:szCs w:val="22"/>
              </w:rPr>
              <w:t>Урок 162</w:t>
            </w:r>
          </w:p>
        </w:tc>
        <w:tc>
          <w:tcPr>
            <w:tcW w:w="7937" w:type="dxa"/>
          </w:tcPr>
          <w:p w14:paraId="40DD3E40">
            <w:pPr>
              <w:pStyle w:val="85"/>
              <w:jc w:val="both"/>
              <w:rPr>
                <w:color w:val="auto"/>
                <w:sz w:val="22"/>
                <w:szCs w:val="22"/>
              </w:rPr>
            </w:pPr>
            <w:r>
              <w:rPr>
                <w:color w:val="auto"/>
                <w:sz w:val="22"/>
                <w:szCs w:val="22"/>
              </w:rPr>
              <w:t>Резервный урок по разделу развитие речи</w:t>
            </w:r>
          </w:p>
        </w:tc>
      </w:tr>
      <w:tr w14:paraId="4059E0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0C66051D">
            <w:pPr>
              <w:pStyle w:val="85"/>
              <w:rPr>
                <w:color w:val="auto"/>
                <w:sz w:val="22"/>
                <w:szCs w:val="22"/>
              </w:rPr>
            </w:pPr>
            <w:r>
              <w:rPr>
                <w:color w:val="auto"/>
                <w:sz w:val="22"/>
                <w:szCs w:val="22"/>
              </w:rPr>
              <w:t>Урок 163</w:t>
            </w:r>
          </w:p>
        </w:tc>
        <w:tc>
          <w:tcPr>
            <w:tcW w:w="7937" w:type="dxa"/>
          </w:tcPr>
          <w:p w14:paraId="14AA60BB">
            <w:pPr>
              <w:pStyle w:val="85"/>
              <w:jc w:val="both"/>
              <w:rPr>
                <w:color w:val="auto"/>
                <w:sz w:val="22"/>
                <w:szCs w:val="22"/>
              </w:rPr>
            </w:pPr>
            <w:r>
              <w:rPr>
                <w:color w:val="auto"/>
                <w:sz w:val="22"/>
                <w:szCs w:val="22"/>
              </w:rPr>
              <w:t>Резервный урок по разделу орфография: отработка орфограмм, вызывающих трудности. Тренинг "Правописание имен собственных" с использованием электронных образовательных ресурсов</w:t>
            </w:r>
          </w:p>
        </w:tc>
      </w:tr>
      <w:tr w14:paraId="714A32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056C4D4C">
            <w:pPr>
              <w:pStyle w:val="85"/>
              <w:rPr>
                <w:color w:val="auto"/>
                <w:sz w:val="22"/>
                <w:szCs w:val="22"/>
              </w:rPr>
            </w:pPr>
            <w:r>
              <w:rPr>
                <w:color w:val="auto"/>
                <w:sz w:val="22"/>
                <w:szCs w:val="22"/>
              </w:rPr>
              <w:t>Урок 164</w:t>
            </w:r>
          </w:p>
        </w:tc>
        <w:tc>
          <w:tcPr>
            <w:tcW w:w="7937" w:type="dxa"/>
          </w:tcPr>
          <w:p w14:paraId="7440BF22">
            <w:pPr>
              <w:pStyle w:val="85"/>
              <w:jc w:val="both"/>
              <w:rPr>
                <w:color w:val="auto"/>
                <w:sz w:val="22"/>
                <w:szCs w:val="22"/>
              </w:rPr>
            </w:pPr>
            <w:r>
              <w:rPr>
                <w:color w:val="auto"/>
                <w:sz w:val="22"/>
                <w:szCs w:val="22"/>
              </w:rPr>
              <w:t>Резервный урок по разделу орфография. Орфографическая зоркость как осознание места возможного возникновения орфографической ошибки: наблюдение за правописанием суффиксов имен существительных; правописание парных по глухости-звонкости согласны звуков в корне слова (с использованием электронных образовательных ресурсов)</w:t>
            </w:r>
          </w:p>
        </w:tc>
      </w:tr>
      <w:tr w14:paraId="52CB40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32B13741">
            <w:pPr>
              <w:pStyle w:val="85"/>
              <w:rPr>
                <w:color w:val="auto"/>
                <w:sz w:val="22"/>
                <w:szCs w:val="22"/>
              </w:rPr>
            </w:pPr>
            <w:r>
              <w:rPr>
                <w:color w:val="auto"/>
                <w:sz w:val="22"/>
                <w:szCs w:val="22"/>
              </w:rPr>
              <w:t>Урок 165</w:t>
            </w:r>
          </w:p>
        </w:tc>
        <w:tc>
          <w:tcPr>
            <w:tcW w:w="7937" w:type="dxa"/>
          </w:tcPr>
          <w:p w14:paraId="160301D2">
            <w:pPr>
              <w:pStyle w:val="85"/>
              <w:jc w:val="both"/>
              <w:rPr>
                <w:color w:val="auto"/>
                <w:sz w:val="22"/>
                <w:szCs w:val="22"/>
              </w:rPr>
            </w:pPr>
            <w:r>
              <w:rPr>
                <w:color w:val="auto"/>
                <w:sz w:val="22"/>
                <w:szCs w:val="22"/>
              </w:rPr>
              <w:t>Резервный урок по разделу орфография. Орфографическая зоркость как осознание места возможного возникновения орфографической ошибки: наблюдение за правописанием суффиксов имен прилагательных; правописание слов с разделительным мягким знаком (с использованием электронных образовательных ресурсов)</w:t>
            </w:r>
          </w:p>
        </w:tc>
      </w:tr>
      <w:tr w14:paraId="4ABDDC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3D43B6C5">
            <w:pPr>
              <w:pStyle w:val="85"/>
              <w:rPr>
                <w:color w:val="auto"/>
                <w:sz w:val="22"/>
                <w:szCs w:val="22"/>
              </w:rPr>
            </w:pPr>
            <w:r>
              <w:rPr>
                <w:color w:val="auto"/>
                <w:sz w:val="22"/>
                <w:szCs w:val="22"/>
              </w:rPr>
              <w:t>Урок 166</w:t>
            </w:r>
          </w:p>
        </w:tc>
        <w:tc>
          <w:tcPr>
            <w:tcW w:w="7937" w:type="dxa"/>
          </w:tcPr>
          <w:p w14:paraId="2A6E1270">
            <w:pPr>
              <w:pStyle w:val="85"/>
              <w:jc w:val="both"/>
              <w:rPr>
                <w:color w:val="auto"/>
                <w:sz w:val="22"/>
                <w:szCs w:val="22"/>
              </w:rPr>
            </w:pPr>
            <w:r>
              <w:rPr>
                <w:color w:val="auto"/>
                <w:sz w:val="22"/>
                <w:szCs w:val="22"/>
              </w:rPr>
              <w:t>Резервный урок по разделу орфография. Орфографическая зоркость как осознание места возможного возникновения орфографической ошибки: наблюдение за правописанием приставок; правописание буквосочетаний с шипящими звуками (с использованием электронных образовательных ресурсов)</w:t>
            </w:r>
          </w:p>
        </w:tc>
      </w:tr>
      <w:tr w14:paraId="269FF7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5CA6CD7B">
            <w:pPr>
              <w:pStyle w:val="85"/>
              <w:rPr>
                <w:color w:val="auto"/>
                <w:sz w:val="22"/>
                <w:szCs w:val="22"/>
              </w:rPr>
            </w:pPr>
            <w:r>
              <w:rPr>
                <w:color w:val="auto"/>
                <w:sz w:val="22"/>
                <w:szCs w:val="22"/>
              </w:rPr>
              <w:t>Урок 167</w:t>
            </w:r>
          </w:p>
        </w:tc>
        <w:tc>
          <w:tcPr>
            <w:tcW w:w="7937" w:type="dxa"/>
          </w:tcPr>
          <w:p w14:paraId="57F36373">
            <w:pPr>
              <w:pStyle w:val="85"/>
              <w:jc w:val="both"/>
              <w:rPr>
                <w:color w:val="auto"/>
                <w:sz w:val="22"/>
                <w:szCs w:val="22"/>
              </w:rPr>
            </w:pPr>
            <w:r>
              <w:rPr>
                <w:color w:val="auto"/>
                <w:sz w:val="22"/>
                <w:szCs w:val="22"/>
              </w:rPr>
              <w:t>Резервный урок по разделу орфография: отработка орфограмм, вызывающих трудности. Контроль "Правописание буквосочетаний с шипящими звуками" с использованием электронных образовательных ресурсов</w:t>
            </w:r>
          </w:p>
        </w:tc>
      </w:tr>
      <w:tr w14:paraId="3A8B21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tcPr>
          <w:p w14:paraId="39E0EFF0">
            <w:pPr>
              <w:pStyle w:val="85"/>
              <w:rPr>
                <w:color w:val="auto"/>
                <w:sz w:val="22"/>
                <w:szCs w:val="22"/>
              </w:rPr>
            </w:pPr>
            <w:r>
              <w:rPr>
                <w:color w:val="auto"/>
                <w:sz w:val="22"/>
                <w:szCs w:val="22"/>
              </w:rPr>
              <w:t>Урок 168</w:t>
            </w:r>
          </w:p>
        </w:tc>
        <w:tc>
          <w:tcPr>
            <w:tcW w:w="7937" w:type="dxa"/>
          </w:tcPr>
          <w:p w14:paraId="152F5CE8">
            <w:pPr>
              <w:pStyle w:val="85"/>
              <w:jc w:val="both"/>
              <w:rPr>
                <w:color w:val="auto"/>
                <w:sz w:val="22"/>
                <w:szCs w:val="22"/>
              </w:rPr>
            </w:pPr>
            <w:r>
              <w:rPr>
                <w:color w:val="auto"/>
                <w:sz w:val="22"/>
                <w:szCs w:val="22"/>
              </w:rPr>
              <w:t>Резервный урок по разделу орфография</w:t>
            </w:r>
          </w:p>
        </w:tc>
      </w:tr>
      <w:tr w14:paraId="20AEF1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tcPr>
          <w:p w14:paraId="4CFD075D">
            <w:pPr>
              <w:pStyle w:val="85"/>
              <w:rPr>
                <w:color w:val="auto"/>
                <w:sz w:val="22"/>
                <w:szCs w:val="22"/>
              </w:rPr>
            </w:pPr>
            <w:r>
              <w:rPr>
                <w:color w:val="auto"/>
                <w:sz w:val="22"/>
                <w:szCs w:val="22"/>
              </w:rPr>
              <w:t>Урок 169</w:t>
            </w:r>
          </w:p>
        </w:tc>
        <w:tc>
          <w:tcPr>
            <w:tcW w:w="7937" w:type="dxa"/>
          </w:tcPr>
          <w:p w14:paraId="2F3388A1">
            <w:pPr>
              <w:pStyle w:val="85"/>
              <w:jc w:val="both"/>
              <w:rPr>
                <w:color w:val="auto"/>
                <w:sz w:val="22"/>
                <w:szCs w:val="22"/>
              </w:rPr>
            </w:pPr>
            <w:r>
              <w:rPr>
                <w:color w:val="auto"/>
                <w:sz w:val="22"/>
                <w:szCs w:val="22"/>
              </w:rPr>
              <w:t>Резервный урок по разделу орфография</w:t>
            </w:r>
          </w:p>
        </w:tc>
      </w:tr>
      <w:tr w14:paraId="082808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tcPr>
          <w:p w14:paraId="6AF7A743">
            <w:pPr>
              <w:pStyle w:val="85"/>
              <w:rPr>
                <w:color w:val="auto"/>
                <w:sz w:val="22"/>
                <w:szCs w:val="22"/>
              </w:rPr>
            </w:pPr>
            <w:r>
              <w:rPr>
                <w:color w:val="auto"/>
                <w:sz w:val="22"/>
                <w:szCs w:val="22"/>
              </w:rPr>
              <w:t>Урок 170</w:t>
            </w:r>
          </w:p>
        </w:tc>
        <w:tc>
          <w:tcPr>
            <w:tcW w:w="7937" w:type="dxa"/>
          </w:tcPr>
          <w:p w14:paraId="2C5017B5">
            <w:pPr>
              <w:pStyle w:val="85"/>
              <w:jc w:val="both"/>
              <w:rPr>
                <w:color w:val="auto"/>
                <w:sz w:val="22"/>
                <w:szCs w:val="22"/>
              </w:rPr>
            </w:pPr>
            <w:r>
              <w:rPr>
                <w:color w:val="auto"/>
                <w:sz w:val="22"/>
                <w:szCs w:val="22"/>
              </w:rPr>
              <w:t>Контрольная работа</w:t>
            </w:r>
          </w:p>
        </w:tc>
      </w:tr>
      <w:tr w14:paraId="4CF99F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9071" w:type="dxa"/>
            <w:gridSpan w:val="2"/>
          </w:tcPr>
          <w:p w14:paraId="5CBB05E6">
            <w:pPr>
              <w:pStyle w:val="85"/>
              <w:jc w:val="both"/>
              <w:rPr>
                <w:color w:val="auto"/>
                <w:sz w:val="22"/>
                <w:szCs w:val="22"/>
              </w:rPr>
            </w:pPr>
            <w:r>
              <w:rPr>
                <w:color w:val="auto"/>
                <w:sz w:val="22"/>
                <w:szCs w:val="22"/>
              </w:rPr>
              <w:t>ОБЩЕЕ КОЛИЧЕСТВО УРОКОВ ПО ПРОГРАММЕ: 170, из них уроков, отведенных на контрольные работы, - не более 17</w:t>
            </w:r>
          </w:p>
        </w:tc>
      </w:tr>
    </w:tbl>
    <w:p w14:paraId="7F0C4BB6">
      <w:pPr>
        <w:pStyle w:val="85"/>
        <w:ind w:firstLine="540"/>
        <w:jc w:val="both"/>
        <w:rPr>
          <w:color w:val="auto"/>
          <w:sz w:val="22"/>
          <w:szCs w:val="22"/>
        </w:rPr>
      </w:pPr>
    </w:p>
    <w:p w14:paraId="0EFD6BB8">
      <w:pPr>
        <w:pStyle w:val="85"/>
        <w:jc w:val="right"/>
        <w:rPr>
          <w:color w:val="auto"/>
          <w:sz w:val="22"/>
          <w:szCs w:val="22"/>
        </w:rPr>
      </w:pPr>
      <w:r>
        <w:rPr>
          <w:color w:val="auto"/>
          <w:sz w:val="22"/>
          <w:szCs w:val="22"/>
        </w:rPr>
        <w:t>Таблица 2.2</w:t>
      </w:r>
    </w:p>
    <w:p w14:paraId="545AF306">
      <w:pPr>
        <w:pStyle w:val="85"/>
        <w:ind w:firstLine="540"/>
        <w:jc w:val="both"/>
        <w:rPr>
          <w:color w:val="auto"/>
          <w:sz w:val="22"/>
          <w:szCs w:val="22"/>
        </w:rPr>
      </w:pPr>
    </w:p>
    <w:p w14:paraId="3950C435">
      <w:pPr>
        <w:pStyle w:val="85"/>
        <w:jc w:val="both"/>
        <w:rPr>
          <w:color w:val="auto"/>
          <w:sz w:val="22"/>
          <w:szCs w:val="22"/>
        </w:rPr>
      </w:pPr>
      <w:r>
        <w:rPr>
          <w:color w:val="auto"/>
          <w:sz w:val="22"/>
          <w:szCs w:val="22"/>
        </w:rPr>
        <w:t>3 класс</w:t>
      </w:r>
    </w:p>
    <w:p w14:paraId="47A3FA56">
      <w:pPr>
        <w:pStyle w:val="85"/>
        <w:ind w:firstLine="540"/>
        <w:jc w:val="both"/>
        <w:rPr>
          <w:color w:val="auto"/>
          <w:sz w:val="22"/>
          <w:szCs w:val="22"/>
        </w:rPr>
      </w:pPr>
    </w:p>
    <w:tbl>
      <w:tblPr>
        <w:tblStyle w:val="1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02" w:type="dxa"/>
          <w:left w:w="62" w:type="dxa"/>
          <w:bottom w:w="102" w:type="dxa"/>
          <w:right w:w="62" w:type="dxa"/>
        </w:tblCellMar>
      </w:tblPr>
      <w:tblGrid>
        <w:gridCol w:w="1134"/>
        <w:gridCol w:w="7937"/>
      </w:tblGrid>
      <w:tr w14:paraId="504E1E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134" w:type="dxa"/>
          </w:tcPr>
          <w:p w14:paraId="29C1366D">
            <w:pPr>
              <w:pStyle w:val="85"/>
              <w:jc w:val="center"/>
              <w:rPr>
                <w:color w:val="auto"/>
                <w:sz w:val="22"/>
                <w:szCs w:val="22"/>
              </w:rPr>
            </w:pPr>
            <w:r>
              <w:rPr>
                <w:color w:val="auto"/>
                <w:sz w:val="22"/>
                <w:szCs w:val="22"/>
              </w:rPr>
              <w:t>N урока</w:t>
            </w:r>
          </w:p>
        </w:tc>
        <w:tc>
          <w:tcPr>
            <w:tcW w:w="7937" w:type="dxa"/>
          </w:tcPr>
          <w:p w14:paraId="5F517F26">
            <w:pPr>
              <w:pStyle w:val="85"/>
              <w:jc w:val="center"/>
              <w:rPr>
                <w:color w:val="auto"/>
                <w:sz w:val="22"/>
                <w:szCs w:val="22"/>
              </w:rPr>
            </w:pPr>
            <w:r>
              <w:rPr>
                <w:color w:val="auto"/>
                <w:sz w:val="22"/>
                <w:szCs w:val="22"/>
              </w:rPr>
              <w:t>Тема урока</w:t>
            </w:r>
          </w:p>
        </w:tc>
      </w:tr>
      <w:tr w14:paraId="5C58D2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tcPr>
          <w:p w14:paraId="10B4B7BA">
            <w:pPr>
              <w:pStyle w:val="85"/>
              <w:jc w:val="center"/>
              <w:rPr>
                <w:color w:val="auto"/>
                <w:sz w:val="22"/>
                <w:szCs w:val="22"/>
              </w:rPr>
            </w:pPr>
            <w:r>
              <w:rPr>
                <w:color w:val="auto"/>
                <w:sz w:val="22"/>
                <w:szCs w:val="22"/>
              </w:rPr>
              <w:t>Урок 1</w:t>
            </w:r>
          </w:p>
        </w:tc>
        <w:tc>
          <w:tcPr>
            <w:tcW w:w="7937" w:type="dxa"/>
          </w:tcPr>
          <w:p w14:paraId="53AAD276">
            <w:pPr>
              <w:pStyle w:val="85"/>
              <w:jc w:val="both"/>
              <w:rPr>
                <w:color w:val="auto"/>
                <w:sz w:val="22"/>
                <w:szCs w:val="22"/>
              </w:rPr>
            </w:pPr>
            <w:r>
              <w:rPr>
                <w:color w:val="auto"/>
                <w:sz w:val="22"/>
                <w:szCs w:val="22"/>
              </w:rPr>
              <w:t>Русский язык как государственный язык Российской Федерации</w:t>
            </w:r>
          </w:p>
        </w:tc>
      </w:tr>
      <w:tr w14:paraId="043CE0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01D11515">
            <w:pPr>
              <w:pStyle w:val="85"/>
              <w:jc w:val="center"/>
              <w:rPr>
                <w:color w:val="auto"/>
                <w:sz w:val="22"/>
                <w:szCs w:val="22"/>
              </w:rPr>
            </w:pPr>
            <w:r>
              <w:rPr>
                <w:color w:val="auto"/>
                <w:sz w:val="22"/>
                <w:szCs w:val="22"/>
              </w:rPr>
              <w:t>Урок 2</w:t>
            </w:r>
          </w:p>
        </w:tc>
        <w:tc>
          <w:tcPr>
            <w:tcW w:w="7937" w:type="dxa"/>
          </w:tcPr>
          <w:p w14:paraId="3AE665AE">
            <w:pPr>
              <w:pStyle w:val="85"/>
              <w:jc w:val="both"/>
              <w:rPr>
                <w:color w:val="auto"/>
                <w:sz w:val="22"/>
                <w:szCs w:val="22"/>
              </w:rPr>
            </w:pPr>
            <w:r>
              <w:rPr>
                <w:color w:val="auto"/>
                <w:sz w:val="22"/>
                <w:szCs w:val="22"/>
              </w:rPr>
              <w:t>Повторение и продолжение работы с текстом, начатой во 2 классе: признаки текста</w:t>
            </w:r>
          </w:p>
        </w:tc>
      </w:tr>
      <w:tr w14:paraId="625178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5E94DD2F">
            <w:pPr>
              <w:pStyle w:val="85"/>
              <w:jc w:val="center"/>
              <w:rPr>
                <w:color w:val="auto"/>
                <w:sz w:val="22"/>
                <w:szCs w:val="22"/>
              </w:rPr>
            </w:pPr>
            <w:r>
              <w:rPr>
                <w:color w:val="auto"/>
                <w:sz w:val="22"/>
                <w:szCs w:val="22"/>
              </w:rPr>
              <w:t>Урок 3</w:t>
            </w:r>
          </w:p>
        </w:tc>
        <w:tc>
          <w:tcPr>
            <w:tcW w:w="7937" w:type="dxa"/>
          </w:tcPr>
          <w:p w14:paraId="56A8F97A">
            <w:pPr>
              <w:pStyle w:val="85"/>
              <w:jc w:val="both"/>
              <w:rPr>
                <w:color w:val="auto"/>
                <w:sz w:val="22"/>
                <w:szCs w:val="22"/>
              </w:rPr>
            </w:pPr>
            <w:r>
              <w:rPr>
                <w:color w:val="auto"/>
                <w:sz w:val="22"/>
                <w:szCs w:val="22"/>
              </w:rPr>
              <w:t>Повторение и продолжение работы с текстом, начатой во 2 классе: тема текста, основная мысль текста</w:t>
            </w:r>
          </w:p>
        </w:tc>
      </w:tr>
      <w:tr w14:paraId="7F96FD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06A92466">
            <w:pPr>
              <w:pStyle w:val="85"/>
              <w:jc w:val="center"/>
              <w:rPr>
                <w:color w:val="auto"/>
                <w:sz w:val="22"/>
                <w:szCs w:val="22"/>
              </w:rPr>
            </w:pPr>
            <w:r>
              <w:rPr>
                <w:color w:val="auto"/>
                <w:sz w:val="22"/>
                <w:szCs w:val="22"/>
              </w:rPr>
              <w:t>Урок 4</w:t>
            </w:r>
          </w:p>
        </w:tc>
        <w:tc>
          <w:tcPr>
            <w:tcW w:w="7937" w:type="dxa"/>
          </w:tcPr>
          <w:p w14:paraId="0BA58AEF">
            <w:pPr>
              <w:pStyle w:val="85"/>
              <w:jc w:val="both"/>
              <w:rPr>
                <w:color w:val="auto"/>
                <w:sz w:val="22"/>
                <w:szCs w:val="22"/>
              </w:rPr>
            </w:pPr>
            <w:r>
              <w:rPr>
                <w:color w:val="auto"/>
                <w:sz w:val="22"/>
                <w:szCs w:val="22"/>
              </w:rPr>
              <w:t>Повторение и продолжение работы с текстом, начатой во 2 классе: заголовок</w:t>
            </w:r>
          </w:p>
        </w:tc>
      </w:tr>
      <w:tr w14:paraId="6DB7F4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tcPr>
          <w:p w14:paraId="672A921C">
            <w:pPr>
              <w:pStyle w:val="85"/>
              <w:jc w:val="center"/>
              <w:rPr>
                <w:color w:val="auto"/>
                <w:sz w:val="22"/>
                <w:szCs w:val="22"/>
              </w:rPr>
            </w:pPr>
            <w:r>
              <w:rPr>
                <w:color w:val="auto"/>
                <w:sz w:val="22"/>
                <w:szCs w:val="22"/>
              </w:rPr>
              <w:t>Урок 5</w:t>
            </w:r>
          </w:p>
        </w:tc>
        <w:tc>
          <w:tcPr>
            <w:tcW w:w="7937" w:type="dxa"/>
          </w:tcPr>
          <w:p w14:paraId="444FAFE4">
            <w:pPr>
              <w:pStyle w:val="85"/>
              <w:jc w:val="both"/>
              <w:rPr>
                <w:color w:val="auto"/>
                <w:sz w:val="22"/>
                <w:szCs w:val="22"/>
              </w:rPr>
            </w:pPr>
            <w:r>
              <w:rPr>
                <w:color w:val="auto"/>
                <w:sz w:val="22"/>
                <w:szCs w:val="22"/>
              </w:rPr>
              <w:t>Определение типов текстов: повествование, описание, рассуждение</w:t>
            </w:r>
          </w:p>
        </w:tc>
      </w:tr>
      <w:tr w14:paraId="67C814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292A690B">
            <w:pPr>
              <w:pStyle w:val="85"/>
              <w:jc w:val="center"/>
              <w:rPr>
                <w:color w:val="auto"/>
                <w:sz w:val="22"/>
                <w:szCs w:val="22"/>
              </w:rPr>
            </w:pPr>
            <w:r>
              <w:rPr>
                <w:color w:val="auto"/>
                <w:sz w:val="22"/>
                <w:szCs w:val="22"/>
              </w:rPr>
              <w:t>Урок 6</w:t>
            </w:r>
          </w:p>
        </w:tc>
        <w:tc>
          <w:tcPr>
            <w:tcW w:w="7937" w:type="dxa"/>
          </w:tcPr>
          <w:p w14:paraId="3AFE4147">
            <w:pPr>
              <w:pStyle w:val="85"/>
              <w:jc w:val="both"/>
              <w:rPr>
                <w:color w:val="auto"/>
                <w:sz w:val="22"/>
                <w:szCs w:val="22"/>
              </w:rPr>
            </w:pPr>
            <w:r>
              <w:rPr>
                <w:color w:val="auto"/>
                <w:sz w:val="22"/>
                <w:szCs w:val="22"/>
              </w:rPr>
              <w:t>Отработка умения определять тип текста (повествование, описание, рассуждение)</w:t>
            </w:r>
          </w:p>
        </w:tc>
      </w:tr>
      <w:tr w14:paraId="6800D4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tcPr>
          <w:p w14:paraId="5A147041">
            <w:pPr>
              <w:pStyle w:val="85"/>
              <w:jc w:val="center"/>
              <w:rPr>
                <w:color w:val="auto"/>
                <w:sz w:val="22"/>
                <w:szCs w:val="22"/>
              </w:rPr>
            </w:pPr>
            <w:r>
              <w:rPr>
                <w:color w:val="auto"/>
                <w:sz w:val="22"/>
                <w:szCs w:val="22"/>
              </w:rPr>
              <w:t>Урок 7</w:t>
            </w:r>
          </w:p>
        </w:tc>
        <w:tc>
          <w:tcPr>
            <w:tcW w:w="7937" w:type="dxa"/>
          </w:tcPr>
          <w:p w14:paraId="201E0C7D">
            <w:pPr>
              <w:pStyle w:val="85"/>
              <w:jc w:val="both"/>
              <w:rPr>
                <w:color w:val="auto"/>
                <w:sz w:val="22"/>
                <w:szCs w:val="22"/>
              </w:rPr>
            </w:pPr>
            <w:r>
              <w:rPr>
                <w:color w:val="auto"/>
                <w:sz w:val="22"/>
                <w:szCs w:val="22"/>
              </w:rPr>
              <w:t>Определение типов текстов: обобщение</w:t>
            </w:r>
          </w:p>
        </w:tc>
      </w:tr>
      <w:tr w14:paraId="7B2D38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tcPr>
          <w:p w14:paraId="504048CC">
            <w:pPr>
              <w:pStyle w:val="85"/>
              <w:jc w:val="center"/>
              <w:rPr>
                <w:color w:val="auto"/>
                <w:sz w:val="22"/>
                <w:szCs w:val="22"/>
              </w:rPr>
            </w:pPr>
            <w:r>
              <w:rPr>
                <w:color w:val="auto"/>
                <w:sz w:val="22"/>
                <w:szCs w:val="22"/>
              </w:rPr>
              <w:t>Урок 8</w:t>
            </w:r>
          </w:p>
        </w:tc>
        <w:tc>
          <w:tcPr>
            <w:tcW w:w="7937" w:type="dxa"/>
          </w:tcPr>
          <w:p w14:paraId="677E1715">
            <w:pPr>
              <w:pStyle w:val="85"/>
              <w:jc w:val="both"/>
              <w:rPr>
                <w:color w:val="auto"/>
                <w:sz w:val="22"/>
                <w:szCs w:val="22"/>
              </w:rPr>
            </w:pPr>
            <w:r>
              <w:rPr>
                <w:color w:val="auto"/>
                <w:sz w:val="22"/>
                <w:szCs w:val="22"/>
              </w:rPr>
              <w:t>Корректирование текстов с нарушенным порядком предложений</w:t>
            </w:r>
          </w:p>
        </w:tc>
      </w:tr>
      <w:tr w14:paraId="40074C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tcPr>
          <w:p w14:paraId="74BF6E63">
            <w:pPr>
              <w:pStyle w:val="85"/>
              <w:jc w:val="center"/>
              <w:rPr>
                <w:color w:val="auto"/>
                <w:sz w:val="22"/>
                <w:szCs w:val="22"/>
              </w:rPr>
            </w:pPr>
            <w:r>
              <w:rPr>
                <w:color w:val="auto"/>
                <w:sz w:val="22"/>
                <w:szCs w:val="22"/>
              </w:rPr>
              <w:t>Урок 9</w:t>
            </w:r>
          </w:p>
        </w:tc>
        <w:tc>
          <w:tcPr>
            <w:tcW w:w="7937" w:type="dxa"/>
          </w:tcPr>
          <w:p w14:paraId="0EEAF00E">
            <w:pPr>
              <w:pStyle w:val="85"/>
              <w:jc w:val="both"/>
              <w:rPr>
                <w:color w:val="auto"/>
                <w:sz w:val="22"/>
                <w:szCs w:val="22"/>
              </w:rPr>
            </w:pPr>
            <w:r>
              <w:rPr>
                <w:color w:val="auto"/>
                <w:sz w:val="22"/>
                <w:szCs w:val="22"/>
              </w:rPr>
              <w:t>Предложение</w:t>
            </w:r>
          </w:p>
        </w:tc>
      </w:tr>
      <w:tr w14:paraId="2E663C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672C813C">
            <w:pPr>
              <w:pStyle w:val="85"/>
              <w:rPr>
                <w:color w:val="auto"/>
                <w:sz w:val="22"/>
                <w:szCs w:val="22"/>
              </w:rPr>
            </w:pPr>
            <w:r>
              <w:rPr>
                <w:color w:val="auto"/>
                <w:sz w:val="22"/>
                <w:szCs w:val="22"/>
              </w:rPr>
              <w:t>Урок 10</w:t>
            </w:r>
          </w:p>
        </w:tc>
        <w:tc>
          <w:tcPr>
            <w:tcW w:w="7937" w:type="dxa"/>
          </w:tcPr>
          <w:p w14:paraId="380C9D76">
            <w:pPr>
              <w:pStyle w:val="85"/>
              <w:jc w:val="both"/>
              <w:rPr>
                <w:color w:val="auto"/>
                <w:sz w:val="22"/>
                <w:szCs w:val="22"/>
              </w:rPr>
            </w:pPr>
            <w:r>
              <w:rPr>
                <w:color w:val="auto"/>
                <w:sz w:val="22"/>
                <w:szCs w:val="22"/>
              </w:rPr>
              <w:t>Виды предложений по цели высказывания и интонации. Коллективное составление рассказа по картине</w:t>
            </w:r>
          </w:p>
        </w:tc>
      </w:tr>
      <w:tr w14:paraId="57E255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tcPr>
          <w:p w14:paraId="7FF48AD8">
            <w:pPr>
              <w:pStyle w:val="85"/>
              <w:rPr>
                <w:color w:val="auto"/>
                <w:sz w:val="22"/>
                <w:szCs w:val="22"/>
              </w:rPr>
            </w:pPr>
            <w:r>
              <w:rPr>
                <w:color w:val="auto"/>
                <w:sz w:val="22"/>
                <w:szCs w:val="22"/>
              </w:rPr>
              <w:t>Урок 11</w:t>
            </w:r>
          </w:p>
        </w:tc>
        <w:tc>
          <w:tcPr>
            <w:tcW w:w="7937" w:type="dxa"/>
          </w:tcPr>
          <w:p w14:paraId="02844509">
            <w:pPr>
              <w:pStyle w:val="85"/>
              <w:jc w:val="both"/>
              <w:rPr>
                <w:color w:val="auto"/>
                <w:sz w:val="22"/>
                <w:szCs w:val="22"/>
              </w:rPr>
            </w:pPr>
            <w:r>
              <w:rPr>
                <w:color w:val="auto"/>
                <w:sz w:val="22"/>
                <w:szCs w:val="22"/>
              </w:rPr>
              <w:t>Обобщение знаний о видах предложений</w:t>
            </w:r>
          </w:p>
        </w:tc>
      </w:tr>
      <w:tr w14:paraId="751237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tcPr>
          <w:p w14:paraId="4F0BB9ED">
            <w:pPr>
              <w:pStyle w:val="85"/>
              <w:rPr>
                <w:color w:val="auto"/>
                <w:sz w:val="22"/>
                <w:szCs w:val="22"/>
              </w:rPr>
            </w:pPr>
            <w:r>
              <w:rPr>
                <w:color w:val="auto"/>
                <w:sz w:val="22"/>
                <w:szCs w:val="22"/>
              </w:rPr>
              <w:t>Урок 12</w:t>
            </w:r>
          </w:p>
        </w:tc>
        <w:tc>
          <w:tcPr>
            <w:tcW w:w="7937" w:type="dxa"/>
          </w:tcPr>
          <w:p w14:paraId="2D42D76C">
            <w:pPr>
              <w:pStyle w:val="85"/>
              <w:jc w:val="both"/>
              <w:rPr>
                <w:color w:val="auto"/>
                <w:sz w:val="22"/>
                <w:szCs w:val="22"/>
              </w:rPr>
            </w:pPr>
            <w:r>
              <w:rPr>
                <w:color w:val="auto"/>
                <w:sz w:val="22"/>
                <w:szCs w:val="22"/>
              </w:rPr>
              <w:t>Связь слов в предложении</w:t>
            </w:r>
          </w:p>
        </w:tc>
      </w:tr>
      <w:tr w14:paraId="1B50ED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tcPr>
          <w:p w14:paraId="08EBD667">
            <w:pPr>
              <w:pStyle w:val="85"/>
              <w:rPr>
                <w:color w:val="auto"/>
                <w:sz w:val="22"/>
                <w:szCs w:val="22"/>
              </w:rPr>
            </w:pPr>
            <w:r>
              <w:rPr>
                <w:color w:val="auto"/>
                <w:sz w:val="22"/>
                <w:szCs w:val="22"/>
              </w:rPr>
              <w:t>Урок 13</w:t>
            </w:r>
          </w:p>
        </w:tc>
        <w:tc>
          <w:tcPr>
            <w:tcW w:w="7937" w:type="dxa"/>
          </w:tcPr>
          <w:p w14:paraId="0CDC6E6D">
            <w:pPr>
              <w:pStyle w:val="85"/>
              <w:jc w:val="both"/>
              <w:rPr>
                <w:color w:val="auto"/>
                <w:sz w:val="22"/>
                <w:szCs w:val="22"/>
              </w:rPr>
            </w:pPr>
            <w:r>
              <w:rPr>
                <w:color w:val="auto"/>
                <w:sz w:val="22"/>
                <w:szCs w:val="22"/>
              </w:rPr>
              <w:t>Главные члены предложения</w:t>
            </w:r>
          </w:p>
        </w:tc>
      </w:tr>
      <w:tr w14:paraId="03A5B3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tcPr>
          <w:p w14:paraId="2ED793CC">
            <w:pPr>
              <w:pStyle w:val="85"/>
              <w:rPr>
                <w:color w:val="auto"/>
                <w:sz w:val="22"/>
                <w:szCs w:val="22"/>
              </w:rPr>
            </w:pPr>
            <w:r>
              <w:rPr>
                <w:color w:val="auto"/>
                <w:sz w:val="22"/>
                <w:szCs w:val="22"/>
              </w:rPr>
              <w:t>Урок 14</w:t>
            </w:r>
          </w:p>
        </w:tc>
        <w:tc>
          <w:tcPr>
            <w:tcW w:w="7937" w:type="dxa"/>
          </w:tcPr>
          <w:p w14:paraId="2E44A092">
            <w:pPr>
              <w:pStyle w:val="85"/>
              <w:jc w:val="both"/>
              <w:rPr>
                <w:color w:val="auto"/>
                <w:sz w:val="22"/>
                <w:szCs w:val="22"/>
              </w:rPr>
            </w:pPr>
            <w:r>
              <w:rPr>
                <w:color w:val="auto"/>
                <w:sz w:val="22"/>
                <w:szCs w:val="22"/>
              </w:rPr>
              <w:t>Подлежащее</w:t>
            </w:r>
          </w:p>
        </w:tc>
      </w:tr>
      <w:tr w14:paraId="463DA7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tcPr>
          <w:p w14:paraId="3F6545FA">
            <w:pPr>
              <w:pStyle w:val="85"/>
              <w:rPr>
                <w:color w:val="auto"/>
                <w:sz w:val="22"/>
                <w:szCs w:val="22"/>
              </w:rPr>
            </w:pPr>
            <w:r>
              <w:rPr>
                <w:color w:val="auto"/>
                <w:sz w:val="22"/>
                <w:szCs w:val="22"/>
              </w:rPr>
              <w:t>Урок 15</w:t>
            </w:r>
          </w:p>
        </w:tc>
        <w:tc>
          <w:tcPr>
            <w:tcW w:w="7937" w:type="dxa"/>
          </w:tcPr>
          <w:p w14:paraId="7C55A417">
            <w:pPr>
              <w:pStyle w:val="85"/>
              <w:jc w:val="both"/>
              <w:rPr>
                <w:color w:val="auto"/>
                <w:sz w:val="22"/>
                <w:szCs w:val="22"/>
              </w:rPr>
            </w:pPr>
            <w:r>
              <w:rPr>
                <w:color w:val="auto"/>
                <w:sz w:val="22"/>
                <w:szCs w:val="22"/>
              </w:rPr>
              <w:t>Сказуемое</w:t>
            </w:r>
          </w:p>
        </w:tc>
      </w:tr>
      <w:tr w14:paraId="60BAA4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tcPr>
          <w:p w14:paraId="2B93B5D7">
            <w:pPr>
              <w:pStyle w:val="85"/>
              <w:rPr>
                <w:color w:val="auto"/>
                <w:sz w:val="22"/>
                <w:szCs w:val="22"/>
              </w:rPr>
            </w:pPr>
            <w:r>
              <w:rPr>
                <w:color w:val="auto"/>
                <w:sz w:val="22"/>
                <w:szCs w:val="22"/>
              </w:rPr>
              <w:t>Урок 16</w:t>
            </w:r>
          </w:p>
        </w:tc>
        <w:tc>
          <w:tcPr>
            <w:tcW w:w="7937" w:type="dxa"/>
          </w:tcPr>
          <w:p w14:paraId="2CA0E85E">
            <w:pPr>
              <w:pStyle w:val="85"/>
              <w:jc w:val="both"/>
              <w:rPr>
                <w:color w:val="auto"/>
                <w:sz w:val="22"/>
                <w:szCs w:val="22"/>
              </w:rPr>
            </w:pPr>
            <w:r>
              <w:rPr>
                <w:color w:val="auto"/>
                <w:sz w:val="22"/>
                <w:szCs w:val="22"/>
              </w:rPr>
              <w:t>Подлежащее и сказуемое</w:t>
            </w:r>
          </w:p>
        </w:tc>
      </w:tr>
      <w:tr w14:paraId="549E08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tcPr>
          <w:p w14:paraId="7983DA62">
            <w:pPr>
              <w:pStyle w:val="85"/>
              <w:rPr>
                <w:color w:val="auto"/>
                <w:sz w:val="22"/>
                <w:szCs w:val="22"/>
              </w:rPr>
            </w:pPr>
            <w:r>
              <w:rPr>
                <w:color w:val="auto"/>
                <w:sz w:val="22"/>
                <w:szCs w:val="22"/>
              </w:rPr>
              <w:t>Урок 17</w:t>
            </w:r>
          </w:p>
        </w:tc>
        <w:tc>
          <w:tcPr>
            <w:tcW w:w="7937" w:type="dxa"/>
          </w:tcPr>
          <w:p w14:paraId="5C95BAAC">
            <w:pPr>
              <w:pStyle w:val="85"/>
              <w:jc w:val="both"/>
              <w:rPr>
                <w:color w:val="auto"/>
                <w:sz w:val="22"/>
                <w:szCs w:val="22"/>
              </w:rPr>
            </w:pPr>
            <w:r>
              <w:rPr>
                <w:color w:val="auto"/>
                <w:sz w:val="22"/>
                <w:szCs w:val="22"/>
              </w:rPr>
              <w:t>Второстепенные члены предложения</w:t>
            </w:r>
          </w:p>
        </w:tc>
      </w:tr>
      <w:tr w14:paraId="1D6D0F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tcPr>
          <w:p w14:paraId="0672A0F4">
            <w:pPr>
              <w:pStyle w:val="85"/>
              <w:rPr>
                <w:color w:val="auto"/>
                <w:sz w:val="22"/>
                <w:szCs w:val="22"/>
              </w:rPr>
            </w:pPr>
            <w:r>
              <w:rPr>
                <w:color w:val="auto"/>
                <w:sz w:val="22"/>
                <w:szCs w:val="22"/>
              </w:rPr>
              <w:t>Урок 18</w:t>
            </w:r>
          </w:p>
        </w:tc>
        <w:tc>
          <w:tcPr>
            <w:tcW w:w="7937" w:type="dxa"/>
          </w:tcPr>
          <w:p w14:paraId="3211BB49">
            <w:pPr>
              <w:pStyle w:val="85"/>
              <w:jc w:val="both"/>
              <w:rPr>
                <w:color w:val="auto"/>
                <w:sz w:val="22"/>
                <w:szCs w:val="22"/>
              </w:rPr>
            </w:pPr>
            <w:r>
              <w:rPr>
                <w:color w:val="auto"/>
                <w:sz w:val="22"/>
                <w:szCs w:val="22"/>
              </w:rPr>
              <w:t>Предложения распространенные и нераспространенные</w:t>
            </w:r>
          </w:p>
        </w:tc>
      </w:tr>
      <w:tr w14:paraId="4C376A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tcPr>
          <w:p w14:paraId="01C99058">
            <w:pPr>
              <w:pStyle w:val="85"/>
              <w:rPr>
                <w:color w:val="auto"/>
                <w:sz w:val="22"/>
                <w:szCs w:val="22"/>
              </w:rPr>
            </w:pPr>
            <w:r>
              <w:rPr>
                <w:color w:val="auto"/>
                <w:sz w:val="22"/>
                <w:szCs w:val="22"/>
              </w:rPr>
              <w:t>Урок 19</w:t>
            </w:r>
          </w:p>
        </w:tc>
        <w:tc>
          <w:tcPr>
            <w:tcW w:w="7937" w:type="dxa"/>
          </w:tcPr>
          <w:p w14:paraId="58F4F52C">
            <w:pPr>
              <w:pStyle w:val="85"/>
              <w:jc w:val="both"/>
              <w:rPr>
                <w:color w:val="auto"/>
                <w:sz w:val="22"/>
                <w:szCs w:val="22"/>
              </w:rPr>
            </w:pPr>
            <w:r>
              <w:rPr>
                <w:color w:val="auto"/>
                <w:sz w:val="22"/>
                <w:szCs w:val="22"/>
              </w:rPr>
              <w:t>Однородные члены предложения</w:t>
            </w:r>
          </w:p>
        </w:tc>
      </w:tr>
      <w:tr w14:paraId="730B12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tcPr>
          <w:p w14:paraId="4F6569FC">
            <w:pPr>
              <w:pStyle w:val="85"/>
              <w:rPr>
                <w:color w:val="auto"/>
                <w:sz w:val="22"/>
                <w:szCs w:val="22"/>
              </w:rPr>
            </w:pPr>
            <w:r>
              <w:rPr>
                <w:color w:val="auto"/>
                <w:sz w:val="22"/>
                <w:szCs w:val="22"/>
              </w:rPr>
              <w:t>Урок 20</w:t>
            </w:r>
          </w:p>
        </w:tc>
        <w:tc>
          <w:tcPr>
            <w:tcW w:w="7937" w:type="dxa"/>
          </w:tcPr>
          <w:p w14:paraId="17941ECF">
            <w:pPr>
              <w:pStyle w:val="85"/>
              <w:jc w:val="both"/>
              <w:rPr>
                <w:color w:val="auto"/>
                <w:sz w:val="22"/>
                <w:szCs w:val="22"/>
              </w:rPr>
            </w:pPr>
            <w:r>
              <w:rPr>
                <w:color w:val="auto"/>
                <w:sz w:val="22"/>
                <w:szCs w:val="22"/>
              </w:rPr>
              <w:t>Однородные члены предложения с союзами и, а, но</w:t>
            </w:r>
          </w:p>
        </w:tc>
      </w:tr>
      <w:tr w14:paraId="2BC212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tcPr>
          <w:p w14:paraId="3EC5991D">
            <w:pPr>
              <w:pStyle w:val="85"/>
              <w:rPr>
                <w:color w:val="auto"/>
                <w:sz w:val="22"/>
                <w:szCs w:val="22"/>
              </w:rPr>
            </w:pPr>
            <w:r>
              <w:rPr>
                <w:color w:val="auto"/>
                <w:sz w:val="22"/>
                <w:szCs w:val="22"/>
              </w:rPr>
              <w:t>Урок 21</w:t>
            </w:r>
          </w:p>
        </w:tc>
        <w:tc>
          <w:tcPr>
            <w:tcW w:w="7937" w:type="dxa"/>
          </w:tcPr>
          <w:p w14:paraId="6EE87040">
            <w:pPr>
              <w:pStyle w:val="85"/>
              <w:jc w:val="both"/>
              <w:rPr>
                <w:color w:val="auto"/>
                <w:sz w:val="22"/>
                <w:szCs w:val="22"/>
              </w:rPr>
            </w:pPr>
            <w:r>
              <w:rPr>
                <w:color w:val="auto"/>
                <w:sz w:val="22"/>
                <w:szCs w:val="22"/>
              </w:rPr>
              <w:t>Однородные члены предложения без союзов</w:t>
            </w:r>
          </w:p>
        </w:tc>
      </w:tr>
      <w:tr w14:paraId="0BD763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5D6AB10C">
            <w:pPr>
              <w:pStyle w:val="85"/>
              <w:rPr>
                <w:color w:val="auto"/>
                <w:sz w:val="22"/>
                <w:szCs w:val="22"/>
              </w:rPr>
            </w:pPr>
            <w:r>
              <w:rPr>
                <w:color w:val="auto"/>
                <w:sz w:val="22"/>
                <w:szCs w:val="22"/>
              </w:rPr>
              <w:t>Урок 22</w:t>
            </w:r>
          </w:p>
        </w:tc>
        <w:tc>
          <w:tcPr>
            <w:tcW w:w="7937" w:type="dxa"/>
          </w:tcPr>
          <w:p w14:paraId="5D22241A">
            <w:pPr>
              <w:pStyle w:val="85"/>
              <w:jc w:val="both"/>
              <w:rPr>
                <w:color w:val="auto"/>
                <w:sz w:val="22"/>
                <w:szCs w:val="22"/>
              </w:rPr>
            </w:pPr>
            <w:r>
              <w:rPr>
                <w:color w:val="auto"/>
                <w:sz w:val="22"/>
                <w:szCs w:val="22"/>
              </w:rPr>
              <w:t>Резервный урок по разделу синтаксис: отработка темы. Предложение и словосочетание (общее представление). Коллективное составление рассказа по картине</w:t>
            </w:r>
          </w:p>
        </w:tc>
      </w:tr>
      <w:tr w14:paraId="42411A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54A4512D">
            <w:pPr>
              <w:pStyle w:val="85"/>
              <w:rPr>
                <w:color w:val="auto"/>
                <w:sz w:val="22"/>
                <w:szCs w:val="22"/>
              </w:rPr>
            </w:pPr>
            <w:r>
              <w:rPr>
                <w:color w:val="auto"/>
                <w:sz w:val="22"/>
                <w:szCs w:val="22"/>
              </w:rPr>
              <w:t>Урок 23</w:t>
            </w:r>
          </w:p>
        </w:tc>
        <w:tc>
          <w:tcPr>
            <w:tcW w:w="7937" w:type="dxa"/>
          </w:tcPr>
          <w:p w14:paraId="3E391D43">
            <w:pPr>
              <w:pStyle w:val="85"/>
              <w:jc w:val="both"/>
              <w:rPr>
                <w:color w:val="auto"/>
                <w:sz w:val="22"/>
                <w:szCs w:val="22"/>
              </w:rPr>
            </w:pPr>
            <w:r>
              <w:rPr>
                <w:color w:val="auto"/>
                <w:sz w:val="22"/>
                <w:szCs w:val="22"/>
              </w:rPr>
              <w:t>Резервный урок по разделу синтаксис: отработка темы "Простое предложение"</w:t>
            </w:r>
          </w:p>
        </w:tc>
      </w:tr>
      <w:tr w14:paraId="7057E2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tcPr>
          <w:p w14:paraId="2EB20451">
            <w:pPr>
              <w:pStyle w:val="85"/>
              <w:rPr>
                <w:color w:val="auto"/>
                <w:sz w:val="22"/>
                <w:szCs w:val="22"/>
              </w:rPr>
            </w:pPr>
            <w:r>
              <w:rPr>
                <w:color w:val="auto"/>
                <w:sz w:val="22"/>
                <w:szCs w:val="22"/>
              </w:rPr>
              <w:t>Урок 24</w:t>
            </w:r>
          </w:p>
        </w:tc>
        <w:tc>
          <w:tcPr>
            <w:tcW w:w="7937" w:type="dxa"/>
          </w:tcPr>
          <w:p w14:paraId="04D32EDC">
            <w:pPr>
              <w:pStyle w:val="85"/>
              <w:jc w:val="both"/>
              <w:rPr>
                <w:color w:val="auto"/>
                <w:sz w:val="22"/>
                <w:szCs w:val="22"/>
              </w:rPr>
            </w:pPr>
            <w:r>
              <w:rPr>
                <w:color w:val="auto"/>
                <w:sz w:val="22"/>
                <w:szCs w:val="22"/>
              </w:rPr>
              <w:t>Лексическое значение слова. Синонимы, антонимы</w:t>
            </w:r>
          </w:p>
        </w:tc>
      </w:tr>
      <w:tr w14:paraId="6B6F5C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tcPr>
          <w:p w14:paraId="73ED1F95">
            <w:pPr>
              <w:pStyle w:val="85"/>
              <w:rPr>
                <w:color w:val="auto"/>
                <w:sz w:val="22"/>
                <w:szCs w:val="22"/>
              </w:rPr>
            </w:pPr>
            <w:r>
              <w:rPr>
                <w:color w:val="auto"/>
                <w:sz w:val="22"/>
                <w:szCs w:val="22"/>
              </w:rPr>
              <w:t>Урок 25</w:t>
            </w:r>
          </w:p>
        </w:tc>
        <w:tc>
          <w:tcPr>
            <w:tcW w:w="7937" w:type="dxa"/>
          </w:tcPr>
          <w:p w14:paraId="6267382C">
            <w:pPr>
              <w:pStyle w:val="85"/>
              <w:jc w:val="both"/>
              <w:rPr>
                <w:color w:val="auto"/>
                <w:sz w:val="22"/>
                <w:szCs w:val="22"/>
              </w:rPr>
            </w:pPr>
            <w:r>
              <w:rPr>
                <w:color w:val="auto"/>
                <w:sz w:val="22"/>
                <w:szCs w:val="22"/>
              </w:rPr>
              <w:t>Работаем с толковыми словарями</w:t>
            </w:r>
          </w:p>
        </w:tc>
      </w:tr>
      <w:tr w14:paraId="6E1E8B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tcPr>
          <w:p w14:paraId="365E4463">
            <w:pPr>
              <w:pStyle w:val="85"/>
              <w:rPr>
                <w:color w:val="auto"/>
                <w:sz w:val="22"/>
                <w:szCs w:val="22"/>
              </w:rPr>
            </w:pPr>
            <w:r>
              <w:rPr>
                <w:color w:val="auto"/>
                <w:sz w:val="22"/>
                <w:szCs w:val="22"/>
              </w:rPr>
              <w:t>Урок 26</w:t>
            </w:r>
          </w:p>
        </w:tc>
        <w:tc>
          <w:tcPr>
            <w:tcW w:w="7937" w:type="dxa"/>
          </w:tcPr>
          <w:p w14:paraId="01450229">
            <w:pPr>
              <w:pStyle w:val="85"/>
              <w:jc w:val="both"/>
              <w:rPr>
                <w:color w:val="auto"/>
                <w:sz w:val="22"/>
                <w:szCs w:val="22"/>
              </w:rPr>
            </w:pPr>
            <w:r>
              <w:rPr>
                <w:color w:val="auto"/>
                <w:sz w:val="22"/>
                <w:szCs w:val="22"/>
              </w:rPr>
              <w:t>Прямое и переносное значение слова</w:t>
            </w:r>
          </w:p>
        </w:tc>
      </w:tr>
      <w:tr w14:paraId="4DDE6F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tcPr>
          <w:p w14:paraId="4ACDF331">
            <w:pPr>
              <w:pStyle w:val="85"/>
              <w:rPr>
                <w:color w:val="auto"/>
                <w:sz w:val="22"/>
                <w:szCs w:val="22"/>
              </w:rPr>
            </w:pPr>
            <w:r>
              <w:rPr>
                <w:color w:val="auto"/>
                <w:sz w:val="22"/>
                <w:szCs w:val="22"/>
              </w:rPr>
              <w:t>Урок 27</w:t>
            </w:r>
          </w:p>
        </w:tc>
        <w:tc>
          <w:tcPr>
            <w:tcW w:w="7937" w:type="dxa"/>
          </w:tcPr>
          <w:p w14:paraId="732173FA">
            <w:pPr>
              <w:pStyle w:val="85"/>
              <w:jc w:val="both"/>
              <w:rPr>
                <w:color w:val="auto"/>
                <w:sz w:val="22"/>
                <w:szCs w:val="22"/>
              </w:rPr>
            </w:pPr>
            <w:r>
              <w:rPr>
                <w:color w:val="auto"/>
                <w:sz w:val="22"/>
                <w:szCs w:val="22"/>
              </w:rPr>
              <w:t>Наблюдаем за значениями слов в тексте</w:t>
            </w:r>
          </w:p>
        </w:tc>
      </w:tr>
      <w:tr w14:paraId="57C067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tcPr>
          <w:p w14:paraId="7F2333B1">
            <w:pPr>
              <w:pStyle w:val="85"/>
              <w:rPr>
                <w:color w:val="auto"/>
                <w:sz w:val="22"/>
                <w:szCs w:val="22"/>
              </w:rPr>
            </w:pPr>
            <w:r>
              <w:rPr>
                <w:color w:val="auto"/>
                <w:sz w:val="22"/>
                <w:szCs w:val="22"/>
              </w:rPr>
              <w:t>Урок 28</w:t>
            </w:r>
          </w:p>
        </w:tc>
        <w:tc>
          <w:tcPr>
            <w:tcW w:w="7937" w:type="dxa"/>
          </w:tcPr>
          <w:p w14:paraId="25D980B0">
            <w:pPr>
              <w:pStyle w:val="85"/>
              <w:jc w:val="both"/>
              <w:rPr>
                <w:color w:val="auto"/>
                <w:sz w:val="22"/>
                <w:szCs w:val="22"/>
              </w:rPr>
            </w:pPr>
            <w:r>
              <w:rPr>
                <w:color w:val="auto"/>
                <w:sz w:val="22"/>
                <w:szCs w:val="22"/>
              </w:rPr>
              <w:t>Устаревшие слова (наблюдение)</w:t>
            </w:r>
          </w:p>
        </w:tc>
      </w:tr>
      <w:tr w14:paraId="3C0B2F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1D473387">
            <w:pPr>
              <w:pStyle w:val="85"/>
              <w:rPr>
                <w:color w:val="auto"/>
                <w:sz w:val="22"/>
                <w:szCs w:val="22"/>
              </w:rPr>
            </w:pPr>
            <w:r>
              <w:rPr>
                <w:color w:val="auto"/>
                <w:sz w:val="22"/>
                <w:szCs w:val="22"/>
              </w:rPr>
              <w:t>Урок 29</w:t>
            </w:r>
          </w:p>
        </w:tc>
        <w:tc>
          <w:tcPr>
            <w:tcW w:w="7937" w:type="dxa"/>
          </w:tcPr>
          <w:p w14:paraId="6C2B20B2">
            <w:pPr>
              <w:pStyle w:val="85"/>
              <w:jc w:val="both"/>
              <w:rPr>
                <w:color w:val="auto"/>
                <w:sz w:val="22"/>
                <w:szCs w:val="22"/>
              </w:rPr>
            </w:pPr>
            <w:r>
              <w:rPr>
                <w:color w:val="auto"/>
                <w:sz w:val="22"/>
                <w:szCs w:val="22"/>
              </w:rPr>
              <w:t>Ключевые слова в тексте. Подробное изложение с языковым анализом текста</w:t>
            </w:r>
          </w:p>
        </w:tc>
      </w:tr>
      <w:tr w14:paraId="08519D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694C53D9">
            <w:pPr>
              <w:pStyle w:val="85"/>
              <w:rPr>
                <w:color w:val="auto"/>
                <w:sz w:val="22"/>
                <w:szCs w:val="22"/>
              </w:rPr>
            </w:pPr>
            <w:r>
              <w:rPr>
                <w:color w:val="auto"/>
                <w:sz w:val="22"/>
                <w:szCs w:val="22"/>
              </w:rPr>
              <w:t>Урок 30</w:t>
            </w:r>
          </w:p>
        </w:tc>
        <w:tc>
          <w:tcPr>
            <w:tcW w:w="7937" w:type="dxa"/>
          </w:tcPr>
          <w:p w14:paraId="7E2BB2BB">
            <w:pPr>
              <w:pStyle w:val="85"/>
              <w:jc w:val="both"/>
              <w:rPr>
                <w:color w:val="auto"/>
                <w:sz w:val="22"/>
                <w:szCs w:val="22"/>
              </w:rPr>
            </w:pPr>
            <w:r>
              <w:rPr>
                <w:color w:val="auto"/>
                <w:sz w:val="22"/>
                <w:szCs w:val="22"/>
              </w:rPr>
              <w:t>Части речи. Обобщение и уточнение представлений об изученных частях речи</w:t>
            </w:r>
          </w:p>
        </w:tc>
      </w:tr>
      <w:tr w14:paraId="236984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0CB4EEC9">
            <w:pPr>
              <w:pStyle w:val="85"/>
              <w:rPr>
                <w:color w:val="auto"/>
                <w:sz w:val="22"/>
                <w:szCs w:val="22"/>
              </w:rPr>
            </w:pPr>
            <w:r>
              <w:rPr>
                <w:color w:val="auto"/>
                <w:sz w:val="22"/>
                <w:szCs w:val="22"/>
              </w:rPr>
              <w:t>Урок 31</w:t>
            </w:r>
          </w:p>
        </w:tc>
        <w:tc>
          <w:tcPr>
            <w:tcW w:w="7937" w:type="dxa"/>
          </w:tcPr>
          <w:p w14:paraId="15ABDDCB">
            <w:pPr>
              <w:pStyle w:val="85"/>
              <w:jc w:val="both"/>
              <w:rPr>
                <w:color w:val="auto"/>
                <w:sz w:val="22"/>
                <w:szCs w:val="22"/>
              </w:rPr>
            </w:pPr>
            <w:r>
              <w:rPr>
                <w:color w:val="auto"/>
                <w:sz w:val="22"/>
                <w:szCs w:val="22"/>
              </w:rPr>
              <w:t>Составление плана текста. Составление предложений. Устное описание картины</w:t>
            </w:r>
          </w:p>
        </w:tc>
      </w:tr>
      <w:tr w14:paraId="4DF956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12417F2C">
            <w:pPr>
              <w:pStyle w:val="85"/>
              <w:jc w:val="center"/>
              <w:rPr>
                <w:color w:val="auto"/>
                <w:sz w:val="22"/>
                <w:szCs w:val="22"/>
              </w:rPr>
            </w:pPr>
            <w:r>
              <w:rPr>
                <w:color w:val="auto"/>
                <w:sz w:val="22"/>
                <w:szCs w:val="22"/>
              </w:rPr>
              <w:t>Урок 32</w:t>
            </w:r>
          </w:p>
        </w:tc>
        <w:tc>
          <w:tcPr>
            <w:tcW w:w="7937" w:type="dxa"/>
          </w:tcPr>
          <w:p w14:paraId="0ED3377E">
            <w:pPr>
              <w:pStyle w:val="85"/>
              <w:jc w:val="both"/>
              <w:rPr>
                <w:color w:val="auto"/>
                <w:sz w:val="22"/>
                <w:szCs w:val="22"/>
              </w:rPr>
            </w:pPr>
            <w:r>
              <w:rPr>
                <w:color w:val="auto"/>
                <w:sz w:val="22"/>
                <w:szCs w:val="22"/>
              </w:rPr>
              <w:t>Однокоренные (родственные) слова; признаки однокоренных (родственных) слов</w:t>
            </w:r>
          </w:p>
        </w:tc>
      </w:tr>
      <w:tr w14:paraId="7C676D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73DC8A5E">
            <w:pPr>
              <w:pStyle w:val="85"/>
              <w:jc w:val="center"/>
              <w:rPr>
                <w:color w:val="auto"/>
                <w:sz w:val="22"/>
                <w:szCs w:val="22"/>
              </w:rPr>
            </w:pPr>
            <w:r>
              <w:rPr>
                <w:color w:val="auto"/>
                <w:sz w:val="22"/>
                <w:szCs w:val="22"/>
              </w:rPr>
              <w:t>Урок 33</w:t>
            </w:r>
          </w:p>
        </w:tc>
        <w:tc>
          <w:tcPr>
            <w:tcW w:w="7937" w:type="dxa"/>
          </w:tcPr>
          <w:p w14:paraId="17F12CAC">
            <w:pPr>
              <w:pStyle w:val="85"/>
              <w:jc w:val="both"/>
              <w:rPr>
                <w:color w:val="auto"/>
                <w:sz w:val="22"/>
                <w:szCs w:val="22"/>
              </w:rPr>
            </w:pPr>
            <w:r>
              <w:rPr>
                <w:color w:val="auto"/>
                <w:sz w:val="22"/>
                <w:szCs w:val="22"/>
              </w:rPr>
              <w:t>Характеристика звуков русского языка</w:t>
            </w:r>
          </w:p>
        </w:tc>
      </w:tr>
      <w:tr w14:paraId="386D5A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00815F21">
            <w:pPr>
              <w:pStyle w:val="85"/>
              <w:jc w:val="center"/>
              <w:rPr>
                <w:color w:val="auto"/>
                <w:sz w:val="22"/>
                <w:szCs w:val="22"/>
              </w:rPr>
            </w:pPr>
            <w:r>
              <w:rPr>
                <w:color w:val="auto"/>
                <w:sz w:val="22"/>
                <w:szCs w:val="22"/>
              </w:rPr>
              <w:t>Урок 34</w:t>
            </w:r>
          </w:p>
        </w:tc>
        <w:tc>
          <w:tcPr>
            <w:tcW w:w="7937" w:type="dxa"/>
          </w:tcPr>
          <w:p w14:paraId="1149615D">
            <w:pPr>
              <w:pStyle w:val="85"/>
              <w:jc w:val="both"/>
              <w:rPr>
                <w:color w:val="auto"/>
                <w:sz w:val="22"/>
                <w:szCs w:val="22"/>
              </w:rPr>
            </w:pPr>
            <w:r>
              <w:rPr>
                <w:color w:val="auto"/>
                <w:sz w:val="22"/>
                <w:szCs w:val="22"/>
              </w:rPr>
              <w:t>Повторение изученных орфографических правил: гласные после шипящих, буквосочетания чк, чн, чт, щн, нч</w:t>
            </w:r>
          </w:p>
        </w:tc>
      </w:tr>
      <w:tr w14:paraId="4B67B4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0FA2DB2A">
            <w:pPr>
              <w:pStyle w:val="85"/>
              <w:jc w:val="center"/>
              <w:rPr>
                <w:color w:val="auto"/>
                <w:sz w:val="22"/>
                <w:szCs w:val="22"/>
              </w:rPr>
            </w:pPr>
            <w:r>
              <w:rPr>
                <w:color w:val="auto"/>
                <w:sz w:val="22"/>
                <w:szCs w:val="22"/>
              </w:rPr>
              <w:t>Урок 35</w:t>
            </w:r>
          </w:p>
        </w:tc>
        <w:tc>
          <w:tcPr>
            <w:tcW w:w="7937" w:type="dxa"/>
          </w:tcPr>
          <w:p w14:paraId="3CA642CD">
            <w:pPr>
              <w:pStyle w:val="85"/>
              <w:jc w:val="both"/>
              <w:rPr>
                <w:color w:val="auto"/>
                <w:sz w:val="22"/>
                <w:szCs w:val="22"/>
              </w:rPr>
            </w:pPr>
            <w:r>
              <w:rPr>
                <w:color w:val="auto"/>
                <w:sz w:val="22"/>
                <w:szCs w:val="22"/>
              </w:rPr>
              <w:t>Повторяем правописание слов с разделительным мягким знаком</w:t>
            </w:r>
          </w:p>
        </w:tc>
      </w:tr>
      <w:tr w14:paraId="74AB8A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6009836E">
            <w:pPr>
              <w:pStyle w:val="85"/>
              <w:jc w:val="center"/>
              <w:rPr>
                <w:color w:val="auto"/>
                <w:sz w:val="22"/>
                <w:szCs w:val="22"/>
              </w:rPr>
            </w:pPr>
            <w:r>
              <w:rPr>
                <w:color w:val="auto"/>
                <w:sz w:val="22"/>
                <w:szCs w:val="22"/>
              </w:rPr>
              <w:t>Урок 36</w:t>
            </w:r>
          </w:p>
        </w:tc>
        <w:tc>
          <w:tcPr>
            <w:tcW w:w="7937" w:type="dxa"/>
          </w:tcPr>
          <w:p w14:paraId="1EE2264D">
            <w:pPr>
              <w:pStyle w:val="85"/>
              <w:jc w:val="both"/>
              <w:rPr>
                <w:color w:val="auto"/>
                <w:sz w:val="22"/>
                <w:szCs w:val="22"/>
              </w:rPr>
            </w:pPr>
            <w:r>
              <w:rPr>
                <w:color w:val="auto"/>
                <w:sz w:val="22"/>
                <w:szCs w:val="22"/>
              </w:rPr>
              <w:t>Соотношение звукового и буквенного состава слов</w:t>
            </w:r>
          </w:p>
        </w:tc>
      </w:tr>
      <w:tr w14:paraId="127E36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147F4760">
            <w:pPr>
              <w:pStyle w:val="85"/>
              <w:jc w:val="center"/>
              <w:rPr>
                <w:color w:val="auto"/>
                <w:sz w:val="22"/>
                <w:szCs w:val="22"/>
              </w:rPr>
            </w:pPr>
            <w:r>
              <w:rPr>
                <w:color w:val="auto"/>
                <w:sz w:val="22"/>
                <w:szCs w:val="22"/>
              </w:rPr>
              <w:t>Урок 37</w:t>
            </w:r>
          </w:p>
        </w:tc>
        <w:tc>
          <w:tcPr>
            <w:tcW w:w="7937" w:type="dxa"/>
          </w:tcPr>
          <w:p w14:paraId="69C85A97">
            <w:pPr>
              <w:pStyle w:val="85"/>
              <w:jc w:val="both"/>
              <w:rPr>
                <w:color w:val="auto"/>
                <w:sz w:val="22"/>
                <w:szCs w:val="22"/>
              </w:rPr>
            </w:pPr>
            <w:r>
              <w:rPr>
                <w:color w:val="auto"/>
                <w:sz w:val="22"/>
                <w:szCs w:val="22"/>
              </w:rPr>
              <w:t>План текста. Изложение повествовательного текста по вопросам или коллективно составленному плану</w:t>
            </w:r>
          </w:p>
        </w:tc>
      </w:tr>
      <w:tr w14:paraId="5CD8F7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4F555638">
            <w:pPr>
              <w:pStyle w:val="85"/>
              <w:jc w:val="center"/>
              <w:rPr>
                <w:color w:val="auto"/>
                <w:sz w:val="22"/>
                <w:szCs w:val="22"/>
              </w:rPr>
            </w:pPr>
            <w:r>
              <w:rPr>
                <w:color w:val="auto"/>
                <w:sz w:val="22"/>
                <w:szCs w:val="22"/>
              </w:rPr>
              <w:t>Урок 38</w:t>
            </w:r>
          </w:p>
        </w:tc>
        <w:tc>
          <w:tcPr>
            <w:tcW w:w="7937" w:type="dxa"/>
          </w:tcPr>
          <w:p w14:paraId="42D3D928">
            <w:pPr>
              <w:pStyle w:val="85"/>
              <w:jc w:val="both"/>
              <w:rPr>
                <w:color w:val="auto"/>
                <w:sz w:val="22"/>
                <w:szCs w:val="22"/>
              </w:rPr>
            </w:pPr>
            <w:r>
              <w:rPr>
                <w:color w:val="auto"/>
                <w:sz w:val="22"/>
                <w:szCs w:val="22"/>
              </w:rPr>
              <w:t>Различение однокоренных слов и слов с омонимичными корнями</w:t>
            </w:r>
          </w:p>
        </w:tc>
      </w:tr>
      <w:tr w14:paraId="2CBF8B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7DD1D271">
            <w:pPr>
              <w:pStyle w:val="85"/>
              <w:jc w:val="center"/>
              <w:rPr>
                <w:color w:val="auto"/>
                <w:sz w:val="22"/>
                <w:szCs w:val="22"/>
              </w:rPr>
            </w:pPr>
            <w:r>
              <w:rPr>
                <w:color w:val="auto"/>
                <w:sz w:val="22"/>
                <w:szCs w:val="22"/>
              </w:rPr>
              <w:t>Урок 39</w:t>
            </w:r>
          </w:p>
        </w:tc>
        <w:tc>
          <w:tcPr>
            <w:tcW w:w="7937" w:type="dxa"/>
          </w:tcPr>
          <w:p w14:paraId="3C504638">
            <w:pPr>
              <w:pStyle w:val="85"/>
              <w:jc w:val="both"/>
              <w:rPr>
                <w:color w:val="auto"/>
                <w:sz w:val="22"/>
                <w:szCs w:val="22"/>
              </w:rPr>
            </w:pPr>
            <w:r>
              <w:rPr>
                <w:color w:val="auto"/>
                <w:sz w:val="22"/>
                <w:szCs w:val="22"/>
              </w:rPr>
              <w:t>Отработка способов решения орфографической задачи в зависимости от места орфограммы в слове</w:t>
            </w:r>
          </w:p>
        </w:tc>
      </w:tr>
      <w:tr w14:paraId="1E2F5E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39A211D8">
            <w:pPr>
              <w:pStyle w:val="85"/>
              <w:jc w:val="center"/>
              <w:rPr>
                <w:color w:val="auto"/>
                <w:sz w:val="22"/>
                <w:szCs w:val="22"/>
              </w:rPr>
            </w:pPr>
            <w:r>
              <w:rPr>
                <w:color w:val="auto"/>
                <w:sz w:val="22"/>
                <w:szCs w:val="22"/>
              </w:rPr>
              <w:t>Урок 40</w:t>
            </w:r>
          </w:p>
        </w:tc>
        <w:tc>
          <w:tcPr>
            <w:tcW w:w="7937" w:type="dxa"/>
          </w:tcPr>
          <w:p w14:paraId="180AA214">
            <w:pPr>
              <w:pStyle w:val="85"/>
              <w:jc w:val="both"/>
              <w:rPr>
                <w:color w:val="auto"/>
                <w:sz w:val="22"/>
                <w:szCs w:val="22"/>
              </w:rPr>
            </w:pPr>
            <w:r>
              <w:rPr>
                <w:color w:val="auto"/>
                <w:sz w:val="22"/>
                <w:szCs w:val="22"/>
              </w:rPr>
              <w:t>Отработка способов решения орфографической задачи в зависимости от места орфограммы в слове: трудные случаи</w:t>
            </w:r>
          </w:p>
        </w:tc>
      </w:tr>
      <w:tr w14:paraId="78A8B7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0B9EBBCB">
            <w:pPr>
              <w:pStyle w:val="85"/>
              <w:jc w:val="center"/>
              <w:rPr>
                <w:color w:val="auto"/>
                <w:sz w:val="22"/>
                <w:szCs w:val="22"/>
              </w:rPr>
            </w:pPr>
            <w:r>
              <w:rPr>
                <w:color w:val="auto"/>
                <w:sz w:val="22"/>
                <w:szCs w:val="22"/>
              </w:rPr>
              <w:t>Урок 41</w:t>
            </w:r>
          </w:p>
        </w:tc>
        <w:tc>
          <w:tcPr>
            <w:tcW w:w="7937" w:type="dxa"/>
          </w:tcPr>
          <w:p w14:paraId="46222E46">
            <w:pPr>
              <w:pStyle w:val="85"/>
              <w:jc w:val="both"/>
              <w:rPr>
                <w:color w:val="auto"/>
                <w:sz w:val="22"/>
                <w:szCs w:val="22"/>
              </w:rPr>
            </w:pPr>
            <w:r>
              <w:rPr>
                <w:color w:val="auto"/>
                <w:sz w:val="22"/>
                <w:szCs w:val="22"/>
              </w:rPr>
              <w:t>Окончание как изменяемая часть слова</w:t>
            </w:r>
          </w:p>
        </w:tc>
      </w:tr>
      <w:tr w14:paraId="28C08C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72141450">
            <w:pPr>
              <w:pStyle w:val="85"/>
              <w:jc w:val="center"/>
              <w:rPr>
                <w:color w:val="auto"/>
                <w:sz w:val="22"/>
                <w:szCs w:val="22"/>
              </w:rPr>
            </w:pPr>
            <w:r>
              <w:rPr>
                <w:color w:val="auto"/>
                <w:sz w:val="22"/>
                <w:szCs w:val="22"/>
              </w:rPr>
              <w:t>Урок 42</w:t>
            </w:r>
          </w:p>
        </w:tc>
        <w:tc>
          <w:tcPr>
            <w:tcW w:w="7937" w:type="dxa"/>
          </w:tcPr>
          <w:p w14:paraId="4F772C50">
            <w:pPr>
              <w:pStyle w:val="85"/>
              <w:jc w:val="both"/>
              <w:rPr>
                <w:color w:val="auto"/>
                <w:sz w:val="22"/>
                <w:szCs w:val="22"/>
              </w:rPr>
            </w:pPr>
            <w:r>
              <w:rPr>
                <w:color w:val="auto"/>
                <w:sz w:val="22"/>
                <w:szCs w:val="22"/>
              </w:rPr>
              <w:t>Нулевое окончание</w:t>
            </w:r>
          </w:p>
        </w:tc>
      </w:tr>
      <w:tr w14:paraId="275A0D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7F5FF9AC">
            <w:pPr>
              <w:pStyle w:val="85"/>
              <w:jc w:val="center"/>
              <w:rPr>
                <w:color w:val="auto"/>
                <w:sz w:val="22"/>
                <w:szCs w:val="22"/>
              </w:rPr>
            </w:pPr>
            <w:r>
              <w:rPr>
                <w:color w:val="auto"/>
                <w:sz w:val="22"/>
                <w:szCs w:val="22"/>
              </w:rPr>
              <w:t>Урок 43</w:t>
            </w:r>
          </w:p>
        </w:tc>
        <w:tc>
          <w:tcPr>
            <w:tcW w:w="7937" w:type="dxa"/>
          </w:tcPr>
          <w:p w14:paraId="2100CE9B">
            <w:pPr>
              <w:pStyle w:val="85"/>
              <w:jc w:val="both"/>
              <w:rPr>
                <w:color w:val="auto"/>
                <w:sz w:val="22"/>
                <w:szCs w:val="22"/>
              </w:rPr>
            </w:pPr>
            <w:r>
              <w:rPr>
                <w:color w:val="auto"/>
                <w:sz w:val="22"/>
                <w:szCs w:val="22"/>
              </w:rPr>
              <w:t>Однокоренные слова и формы одного и того же слова</w:t>
            </w:r>
          </w:p>
        </w:tc>
      </w:tr>
      <w:tr w14:paraId="0A35D1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675C319C">
            <w:pPr>
              <w:pStyle w:val="85"/>
              <w:jc w:val="center"/>
              <w:rPr>
                <w:color w:val="auto"/>
                <w:sz w:val="22"/>
                <w:szCs w:val="22"/>
              </w:rPr>
            </w:pPr>
            <w:r>
              <w:rPr>
                <w:color w:val="auto"/>
                <w:sz w:val="22"/>
                <w:szCs w:val="22"/>
              </w:rPr>
              <w:t>Урок 44</w:t>
            </w:r>
          </w:p>
        </w:tc>
        <w:tc>
          <w:tcPr>
            <w:tcW w:w="7937" w:type="dxa"/>
          </w:tcPr>
          <w:p w14:paraId="49BEFAEE">
            <w:pPr>
              <w:pStyle w:val="85"/>
              <w:jc w:val="both"/>
              <w:rPr>
                <w:color w:val="auto"/>
                <w:sz w:val="22"/>
                <w:szCs w:val="22"/>
              </w:rPr>
            </w:pPr>
            <w:r>
              <w:rPr>
                <w:color w:val="auto"/>
                <w:sz w:val="22"/>
                <w:szCs w:val="22"/>
              </w:rPr>
              <w:t>Корень, приставка, суффикс - значимые части слова</w:t>
            </w:r>
          </w:p>
        </w:tc>
      </w:tr>
      <w:tr w14:paraId="00D02E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6B29500A">
            <w:pPr>
              <w:pStyle w:val="85"/>
              <w:jc w:val="center"/>
              <w:rPr>
                <w:color w:val="auto"/>
                <w:sz w:val="22"/>
                <w:szCs w:val="22"/>
              </w:rPr>
            </w:pPr>
            <w:r>
              <w:rPr>
                <w:color w:val="auto"/>
                <w:sz w:val="22"/>
                <w:szCs w:val="22"/>
              </w:rPr>
              <w:t>Урок 45</w:t>
            </w:r>
          </w:p>
        </w:tc>
        <w:tc>
          <w:tcPr>
            <w:tcW w:w="7937" w:type="dxa"/>
          </w:tcPr>
          <w:p w14:paraId="33ACFDD8">
            <w:pPr>
              <w:pStyle w:val="85"/>
              <w:jc w:val="both"/>
              <w:rPr>
                <w:color w:val="auto"/>
                <w:sz w:val="22"/>
                <w:szCs w:val="22"/>
              </w:rPr>
            </w:pPr>
            <w:r>
              <w:rPr>
                <w:color w:val="auto"/>
                <w:sz w:val="22"/>
                <w:szCs w:val="22"/>
              </w:rPr>
              <w:t>Выделение в словах с однозначно выделяемыми морфемами окончания, корня, приставки, суффикса</w:t>
            </w:r>
          </w:p>
        </w:tc>
      </w:tr>
      <w:tr w14:paraId="2E6E4E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1468BE6D">
            <w:pPr>
              <w:pStyle w:val="85"/>
              <w:jc w:val="center"/>
              <w:rPr>
                <w:color w:val="auto"/>
                <w:sz w:val="22"/>
                <w:szCs w:val="22"/>
              </w:rPr>
            </w:pPr>
            <w:r>
              <w:rPr>
                <w:color w:val="auto"/>
                <w:sz w:val="22"/>
                <w:szCs w:val="22"/>
              </w:rPr>
              <w:t>Урок 46</w:t>
            </w:r>
          </w:p>
        </w:tc>
        <w:tc>
          <w:tcPr>
            <w:tcW w:w="7937" w:type="dxa"/>
          </w:tcPr>
          <w:p w14:paraId="3C1DB311">
            <w:pPr>
              <w:pStyle w:val="85"/>
              <w:jc w:val="both"/>
              <w:rPr>
                <w:color w:val="auto"/>
                <w:sz w:val="22"/>
                <w:szCs w:val="22"/>
              </w:rPr>
            </w:pPr>
            <w:r>
              <w:rPr>
                <w:color w:val="auto"/>
                <w:sz w:val="22"/>
                <w:szCs w:val="22"/>
              </w:rPr>
              <w:t>Создание собственных текстов-описаний. Устное описание картины</w:t>
            </w:r>
          </w:p>
        </w:tc>
      </w:tr>
      <w:tr w14:paraId="33505E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4DD8E18B">
            <w:pPr>
              <w:pStyle w:val="85"/>
              <w:jc w:val="center"/>
              <w:rPr>
                <w:color w:val="auto"/>
                <w:sz w:val="22"/>
                <w:szCs w:val="22"/>
              </w:rPr>
            </w:pPr>
            <w:r>
              <w:rPr>
                <w:color w:val="auto"/>
                <w:sz w:val="22"/>
                <w:szCs w:val="22"/>
              </w:rPr>
              <w:t>Урок 47</w:t>
            </w:r>
          </w:p>
        </w:tc>
        <w:tc>
          <w:tcPr>
            <w:tcW w:w="7937" w:type="dxa"/>
          </w:tcPr>
          <w:p w14:paraId="7B694589">
            <w:pPr>
              <w:pStyle w:val="85"/>
              <w:jc w:val="both"/>
              <w:rPr>
                <w:color w:val="auto"/>
                <w:sz w:val="22"/>
                <w:szCs w:val="22"/>
              </w:rPr>
            </w:pPr>
            <w:r>
              <w:rPr>
                <w:color w:val="auto"/>
                <w:sz w:val="22"/>
                <w:szCs w:val="22"/>
              </w:rPr>
              <w:t>Состав слова: обобщение</w:t>
            </w:r>
          </w:p>
        </w:tc>
      </w:tr>
      <w:tr w14:paraId="60B790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3A82F70B">
            <w:pPr>
              <w:pStyle w:val="85"/>
              <w:jc w:val="center"/>
              <w:rPr>
                <w:color w:val="auto"/>
                <w:sz w:val="22"/>
                <w:szCs w:val="22"/>
              </w:rPr>
            </w:pPr>
            <w:r>
              <w:rPr>
                <w:color w:val="auto"/>
                <w:sz w:val="22"/>
                <w:szCs w:val="22"/>
              </w:rPr>
              <w:t>Урок 48</w:t>
            </w:r>
          </w:p>
        </w:tc>
        <w:tc>
          <w:tcPr>
            <w:tcW w:w="7937" w:type="dxa"/>
          </w:tcPr>
          <w:p w14:paraId="13E7966B">
            <w:pPr>
              <w:pStyle w:val="85"/>
              <w:jc w:val="both"/>
              <w:rPr>
                <w:color w:val="auto"/>
                <w:sz w:val="22"/>
                <w:szCs w:val="22"/>
              </w:rPr>
            </w:pPr>
            <w:r>
              <w:rPr>
                <w:color w:val="auto"/>
                <w:sz w:val="22"/>
                <w:szCs w:val="22"/>
              </w:rPr>
              <w:t>Изложение повествовательного текста с использованием предложенного плана</w:t>
            </w:r>
          </w:p>
        </w:tc>
      </w:tr>
      <w:tr w14:paraId="6CF677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1BD88125">
            <w:pPr>
              <w:pStyle w:val="85"/>
              <w:jc w:val="center"/>
              <w:rPr>
                <w:color w:val="auto"/>
                <w:sz w:val="22"/>
                <w:szCs w:val="22"/>
              </w:rPr>
            </w:pPr>
            <w:r>
              <w:rPr>
                <w:color w:val="auto"/>
                <w:sz w:val="22"/>
                <w:szCs w:val="22"/>
              </w:rPr>
              <w:t>Урок 49</w:t>
            </w:r>
          </w:p>
        </w:tc>
        <w:tc>
          <w:tcPr>
            <w:tcW w:w="7937" w:type="dxa"/>
          </w:tcPr>
          <w:p w14:paraId="7E3A003E">
            <w:pPr>
              <w:pStyle w:val="85"/>
              <w:jc w:val="both"/>
              <w:rPr>
                <w:color w:val="auto"/>
                <w:sz w:val="22"/>
                <w:szCs w:val="22"/>
              </w:rPr>
            </w:pPr>
            <w:r>
              <w:rPr>
                <w:color w:val="auto"/>
                <w:sz w:val="22"/>
                <w:szCs w:val="22"/>
              </w:rPr>
              <w:t>Резервный урок по разделу состав слова: проектное задание "Семья слов"</w:t>
            </w:r>
          </w:p>
        </w:tc>
      </w:tr>
      <w:tr w14:paraId="1C6BD4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5ECE3D54">
            <w:pPr>
              <w:pStyle w:val="85"/>
              <w:jc w:val="center"/>
              <w:rPr>
                <w:color w:val="auto"/>
                <w:sz w:val="22"/>
                <w:szCs w:val="22"/>
              </w:rPr>
            </w:pPr>
            <w:r>
              <w:rPr>
                <w:color w:val="auto"/>
                <w:sz w:val="22"/>
                <w:szCs w:val="22"/>
              </w:rPr>
              <w:t>Урок 50</w:t>
            </w:r>
          </w:p>
        </w:tc>
        <w:tc>
          <w:tcPr>
            <w:tcW w:w="7937" w:type="dxa"/>
          </w:tcPr>
          <w:p w14:paraId="25A0AAF4">
            <w:pPr>
              <w:pStyle w:val="85"/>
              <w:jc w:val="both"/>
              <w:rPr>
                <w:color w:val="auto"/>
                <w:sz w:val="22"/>
                <w:szCs w:val="22"/>
              </w:rPr>
            </w:pPr>
            <w:r>
              <w:rPr>
                <w:color w:val="auto"/>
                <w:sz w:val="22"/>
                <w:szCs w:val="22"/>
              </w:rPr>
              <w:t>Повторяем правописание проверяемых безударных гласных в корне слова</w:t>
            </w:r>
          </w:p>
        </w:tc>
      </w:tr>
      <w:tr w14:paraId="78C8DC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0AD0B4E1">
            <w:pPr>
              <w:pStyle w:val="85"/>
              <w:jc w:val="center"/>
              <w:rPr>
                <w:color w:val="auto"/>
                <w:sz w:val="22"/>
                <w:szCs w:val="22"/>
              </w:rPr>
            </w:pPr>
            <w:r>
              <w:rPr>
                <w:color w:val="auto"/>
                <w:sz w:val="22"/>
                <w:szCs w:val="22"/>
              </w:rPr>
              <w:t>Урок 51</w:t>
            </w:r>
          </w:p>
        </w:tc>
        <w:tc>
          <w:tcPr>
            <w:tcW w:w="7937" w:type="dxa"/>
          </w:tcPr>
          <w:p w14:paraId="0764D78F">
            <w:pPr>
              <w:pStyle w:val="85"/>
              <w:jc w:val="both"/>
              <w:rPr>
                <w:color w:val="auto"/>
                <w:sz w:val="22"/>
                <w:szCs w:val="22"/>
              </w:rPr>
            </w:pPr>
            <w:r>
              <w:rPr>
                <w:color w:val="auto"/>
                <w:sz w:val="22"/>
                <w:szCs w:val="22"/>
              </w:rPr>
              <w:t>Повторяем правописание проверяемых и непроверяемых безударных гласных в корне слова</w:t>
            </w:r>
          </w:p>
        </w:tc>
      </w:tr>
      <w:tr w14:paraId="10B783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1B2E84F6">
            <w:pPr>
              <w:pStyle w:val="85"/>
              <w:jc w:val="center"/>
              <w:rPr>
                <w:color w:val="auto"/>
                <w:sz w:val="22"/>
                <w:szCs w:val="22"/>
              </w:rPr>
            </w:pPr>
            <w:r>
              <w:rPr>
                <w:color w:val="auto"/>
                <w:sz w:val="22"/>
                <w:szCs w:val="22"/>
              </w:rPr>
              <w:t>Урок 52</w:t>
            </w:r>
          </w:p>
        </w:tc>
        <w:tc>
          <w:tcPr>
            <w:tcW w:w="7937" w:type="dxa"/>
          </w:tcPr>
          <w:p w14:paraId="74A5969D">
            <w:pPr>
              <w:pStyle w:val="85"/>
              <w:jc w:val="both"/>
              <w:rPr>
                <w:color w:val="auto"/>
                <w:sz w:val="22"/>
                <w:szCs w:val="22"/>
              </w:rPr>
            </w:pPr>
            <w:r>
              <w:rPr>
                <w:color w:val="auto"/>
                <w:sz w:val="22"/>
                <w:szCs w:val="22"/>
              </w:rPr>
              <w:t>Правописание слов с двумя безударными гласными в корне слова</w:t>
            </w:r>
          </w:p>
        </w:tc>
      </w:tr>
      <w:tr w14:paraId="42332C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3105B3CA">
            <w:pPr>
              <w:pStyle w:val="85"/>
              <w:jc w:val="center"/>
              <w:rPr>
                <w:color w:val="auto"/>
                <w:sz w:val="22"/>
                <w:szCs w:val="22"/>
              </w:rPr>
            </w:pPr>
            <w:r>
              <w:rPr>
                <w:color w:val="auto"/>
                <w:sz w:val="22"/>
                <w:szCs w:val="22"/>
              </w:rPr>
              <w:t>Урок 53</w:t>
            </w:r>
          </w:p>
        </w:tc>
        <w:tc>
          <w:tcPr>
            <w:tcW w:w="7937" w:type="dxa"/>
          </w:tcPr>
          <w:p w14:paraId="0C7F7EFF">
            <w:pPr>
              <w:pStyle w:val="85"/>
              <w:jc w:val="both"/>
              <w:rPr>
                <w:color w:val="auto"/>
                <w:sz w:val="22"/>
                <w:szCs w:val="22"/>
              </w:rPr>
            </w:pPr>
            <w:r>
              <w:rPr>
                <w:color w:val="auto"/>
                <w:sz w:val="22"/>
                <w:szCs w:val="22"/>
              </w:rPr>
              <w:t>Закрепление способов проверки написания слов с двумя безударными гласными в корне слова</w:t>
            </w:r>
          </w:p>
        </w:tc>
      </w:tr>
      <w:tr w14:paraId="0D9EC0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6809A4B2">
            <w:pPr>
              <w:pStyle w:val="85"/>
              <w:jc w:val="center"/>
              <w:rPr>
                <w:color w:val="auto"/>
                <w:sz w:val="22"/>
                <w:szCs w:val="22"/>
              </w:rPr>
            </w:pPr>
            <w:r>
              <w:rPr>
                <w:color w:val="auto"/>
                <w:sz w:val="22"/>
                <w:szCs w:val="22"/>
              </w:rPr>
              <w:t>Урок 54</w:t>
            </w:r>
          </w:p>
        </w:tc>
        <w:tc>
          <w:tcPr>
            <w:tcW w:w="7937" w:type="dxa"/>
          </w:tcPr>
          <w:p w14:paraId="6371F6FB">
            <w:pPr>
              <w:pStyle w:val="85"/>
              <w:jc w:val="both"/>
              <w:rPr>
                <w:color w:val="auto"/>
                <w:sz w:val="22"/>
                <w:szCs w:val="22"/>
              </w:rPr>
            </w:pPr>
            <w:r>
              <w:rPr>
                <w:color w:val="auto"/>
                <w:sz w:val="22"/>
                <w:szCs w:val="22"/>
              </w:rPr>
              <w:t>Повторяем правописание парных по звонкости-глухости согласных в корне слова. Составление текста на основе личных наблюдений или по рисунку</w:t>
            </w:r>
          </w:p>
        </w:tc>
      </w:tr>
      <w:tr w14:paraId="56E7C8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3832E9C4">
            <w:pPr>
              <w:pStyle w:val="85"/>
              <w:jc w:val="center"/>
              <w:rPr>
                <w:color w:val="auto"/>
                <w:sz w:val="22"/>
                <w:szCs w:val="22"/>
              </w:rPr>
            </w:pPr>
            <w:r>
              <w:rPr>
                <w:color w:val="auto"/>
                <w:sz w:val="22"/>
                <w:szCs w:val="22"/>
              </w:rPr>
              <w:t>Урок 55</w:t>
            </w:r>
          </w:p>
        </w:tc>
        <w:tc>
          <w:tcPr>
            <w:tcW w:w="7937" w:type="dxa"/>
          </w:tcPr>
          <w:p w14:paraId="01CB317E">
            <w:pPr>
              <w:pStyle w:val="85"/>
              <w:jc w:val="both"/>
              <w:rPr>
                <w:color w:val="auto"/>
                <w:sz w:val="22"/>
                <w:szCs w:val="22"/>
              </w:rPr>
            </w:pPr>
            <w:r>
              <w:rPr>
                <w:color w:val="auto"/>
                <w:sz w:val="22"/>
                <w:szCs w:val="22"/>
              </w:rPr>
              <w:t>Непроизносимые согласные в корне слова</w:t>
            </w:r>
          </w:p>
        </w:tc>
      </w:tr>
      <w:tr w14:paraId="3F4097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32E1648E">
            <w:pPr>
              <w:pStyle w:val="85"/>
              <w:jc w:val="center"/>
              <w:rPr>
                <w:color w:val="auto"/>
                <w:sz w:val="22"/>
                <w:szCs w:val="22"/>
              </w:rPr>
            </w:pPr>
            <w:r>
              <w:rPr>
                <w:color w:val="auto"/>
                <w:sz w:val="22"/>
                <w:szCs w:val="22"/>
              </w:rPr>
              <w:t>Урок 56</w:t>
            </w:r>
          </w:p>
        </w:tc>
        <w:tc>
          <w:tcPr>
            <w:tcW w:w="7937" w:type="dxa"/>
          </w:tcPr>
          <w:p w14:paraId="5444BCEC">
            <w:pPr>
              <w:pStyle w:val="85"/>
              <w:jc w:val="both"/>
              <w:rPr>
                <w:color w:val="auto"/>
                <w:sz w:val="22"/>
                <w:szCs w:val="22"/>
              </w:rPr>
            </w:pPr>
            <w:r>
              <w:rPr>
                <w:color w:val="auto"/>
                <w:sz w:val="22"/>
                <w:szCs w:val="22"/>
              </w:rPr>
              <w:t>Наблюдение за обозначением буквами непроизносимых согласных в корне слова</w:t>
            </w:r>
          </w:p>
        </w:tc>
      </w:tr>
      <w:tr w14:paraId="508FD6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5284AA51">
            <w:pPr>
              <w:pStyle w:val="85"/>
              <w:jc w:val="center"/>
              <w:rPr>
                <w:color w:val="auto"/>
                <w:sz w:val="22"/>
                <w:szCs w:val="22"/>
              </w:rPr>
            </w:pPr>
            <w:r>
              <w:rPr>
                <w:color w:val="auto"/>
                <w:sz w:val="22"/>
                <w:szCs w:val="22"/>
              </w:rPr>
              <w:t>Урок 57</w:t>
            </w:r>
          </w:p>
        </w:tc>
        <w:tc>
          <w:tcPr>
            <w:tcW w:w="7937" w:type="dxa"/>
          </w:tcPr>
          <w:p w14:paraId="47EF6695">
            <w:pPr>
              <w:pStyle w:val="85"/>
              <w:jc w:val="both"/>
              <w:rPr>
                <w:color w:val="auto"/>
                <w:sz w:val="22"/>
                <w:szCs w:val="22"/>
              </w:rPr>
            </w:pPr>
            <w:r>
              <w:rPr>
                <w:color w:val="auto"/>
                <w:sz w:val="22"/>
                <w:szCs w:val="22"/>
              </w:rPr>
              <w:t>Отработка написания непроизносимых согласных в корне слова</w:t>
            </w:r>
          </w:p>
        </w:tc>
      </w:tr>
      <w:tr w14:paraId="529940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1403FAF8">
            <w:pPr>
              <w:pStyle w:val="85"/>
              <w:jc w:val="center"/>
              <w:rPr>
                <w:color w:val="auto"/>
                <w:sz w:val="22"/>
                <w:szCs w:val="22"/>
              </w:rPr>
            </w:pPr>
            <w:r>
              <w:rPr>
                <w:color w:val="auto"/>
                <w:sz w:val="22"/>
                <w:szCs w:val="22"/>
              </w:rPr>
              <w:t>Урок 58</w:t>
            </w:r>
          </w:p>
        </w:tc>
        <w:tc>
          <w:tcPr>
            <w:tcW w:w="7937" w:type="dxa"/>
          </w:tcPr>
          <w:p w14:paraId="22995254">
            <w:pPr>
              <w:pStyle w:val="85"/>
              <w:jc w:val="both"/>
              <w:rPr>
                <w:color w:val="auto"/>
                <w:sz w:val="22"/>
                <w:szCs w:val="22"/>
              </w:rPr>
            </w:pPr>
            <w:r>
              <w:rPr>
                <w:color w:val="auto"/>
                <w:sz w:val="22"/>
                <w:szCs w:val="22"/>
              </w:rPr>
              <w:t>Объяснительный диктант: отрабатываем написание слов с орфограммами корня</w:t>
            </w:r>
          </w:p>
        </w:tc>
      </w:tr>
      <w:tr w14:paraId="3108E6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78F85890">
            <w:pPr>
              <w:pStyle w:val="85"/>
              <w:jc w:val="center"/>
              <w:rPr>
                <w:color w:val="auto"/>
                <w:sz w:val="22"/>
                <w:szCs w:val="22"/>
              </w:rPr>
            </w:pPr>
            <w:r>
              <w:rPr>
                <w:color w:val="auto"/>
                <w:sz w:val="22"/>
                <w:szCs w:val="22"/>
              </w:rPr>
              <w:t>Урок 59</w:t>
            </w:r>
          </w:p>
        </w:tc>
        <w:tc>
          <w:tcPr>
            <w:tcW w:w="7937" w:type="dxa"/>
          </w:tcPr>
          <w:p w14:paraId="333FC980">
            <w:pPr>
              <w:pStyle w:val="85"/>
              <w:jc w:val="both"/>
              <w:rPr>
                <w:color w:val="auto"/>
                <w:sz w:val="22"/>
                <w:szCs w:val="22"/>
              </w:rPr>
            </w:pPr>
            <w:r>
              <w:rPr>
                <w:color w:val="auto"/>
                <w:sz w:val="22"/>
                <w:szCs w:val="22"/>
              </w:rPr>
              <w:t>Правописание слов с удвоенными согласными</w:t>
            </w:r>
          </w:p>
        </w:tc>
      </w:tr>
      <w:tr w14:paraId="7FA0EE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4C0DFB62">
            <w:pPr>
              <w:pStyle w:val="85"/>
              <w:jc w:val="center"/>
              <w:rPr>
                <w:color w:val="auto"/>
                <w:sz w:val="22"/>
                <w:szCs w:val="22"/>
              </w:rPr>
            </w:pPr>
            <w:r>
              <w:rPr>
                <w:color w:val="auto"/>
                <w:sz w:val="22"/>
                <w:szCs w:val="22"/>
              </w:rPr>
              <w:t>Урок 60</w:t>
            </w:r>
          </w:p>
        </w:tc>
        <w:tc>
          <w:tcPr>
            <w:tcW w:w="7937" w:type="dxa"/>
          </w:tcPr>
          <w:p w14:paraId="0647566C">
            <w:pPr>
              <w:pStyle w:val="85"/>
              <w:jc w:val="both"/>
              <w:rPr>
                <w:color w:val="auto"/>
                <w:sz w:val="22"/>
                <w:szCs w:val="22"/>
              </w:rPr>
            </w:pPr>
            <w:r>
              <w:rPr>
                <w:color w:val="auto"/>
                <w:sz w:val="22"/>
                <w:szCs w:val="22"/>
              </w:rPr>
              <w:t>Отработка правописания слов с удвоенными согласными</w:t>
            </w:r>
          </w:p>
        </w:tc>
      </w:tr>
      <w:tr w14:paraId="16323F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2FAA9111">
            <w:pPr>
              <w:pStyle w:val="85"/>
              <w:jc w:val="center"/>
              <w:rPr>
                <w:color w:val="auto"/>
                <w:sz w:val="22"/>
                <w:szCs w:val="22"/>
              </w:rPr>
            </w:pPr>
            <w:r>
              <w:rPr>
                <w:color w:val="auto"/>
                <w:sz w:val="22"/>
                <w:szCs w:val="22"/>
              </w:rPr>
              <w:t>Урок 61</w:t>
            </w:r>
          </w:p>
        </w:tc>
        <w:tc>
          <w:tcPr>
            <w:tcW w:w="7937" w:type="dxa"/>
          </w:tcPr>
          <w:p w14:paraId="30F2093C">
            <w:pPr>
              <w:pStyle w:val="85"/>
              <w:jc w:val="both"/>
              <w:rPr>
                <w:color w:val="auto"/>
                <w:sz w:val="22"/>
                <w:szCs w:val="22"/>
              </w:rPr>
            </w:pPr>
            <w:r>
              <w:rPr>
                <w:color w:val="auto"/>
                <w:sz w:val="22"/>
                <w:szCs w:val="22"/>
              </w:rPr>
              <w:t>Написание текста по заданному плану</w:t>
            </w:r>
          </w:p>
        </w:tc>
      </w:tr>
      <w:tr w14:paraId="2960F0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33DC8993">
            <w:pPr>
              <w:pStyle w:val="85"/>
              <w:jc w:val="center"/>
              <w:rPr>
                <w:color w:val="auto"/>
                <w:sz w:val="22"/>
                <w:szCs w:val="22"/>
              </w:rPr>
            </w:pPr>
            <w:r>
              <w:rPr>
                <w:color w:val="auto"/>
                <w:sz w:val="22"/>
                <w:szCs w:val="22"/>
              </w:rPr>
              <w:t>Урок 62</w:t>
            </w:r>
          </w:p>
        </w:tc>
        <w:tc>
          <w:tcPr>
            <w:tcW w:w="7937" w:type="dxa"/>
          </w:tcPr>
          <w:p w14:paraId="083D63BD">
            <w:pPr>
              <w:pStyle w:val="85"/>
              <w:jc w:val="both"/>
              <w:rPr>
                <w:color w:val="auto"/>
                <w:sz w:val="22"/>
                <w:szCs w:val="22"/>
              </w:rPr>
            </w:pPr>
            <w:r>
              <w:rPr>
                <w:color w:val="auto"/>
                <w:sz w:val="22"/>
                <w:szCs w:val="22"/>
              </w:rPr>
              <w:t>Резервный урок по разделу орфография: контрольная работа по теме "Правописание слов с орфограммами в корне"</w:t>
            </w:r>
          </w:p>
        </w:tc>
      </w:tr>
      <w:tr w14:paraId="5E71E9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4C74ADC5">
            <w:pPr>
              <w:pStyle w:val="85"/>
              <w:jc w:val="center"/>
              <w:rPr>
                <w:color w:val="auto"/>
                <w:sz w:val="22"/>
                <w:szCs w:val="22"/>
              </w:rPr>
            </w:pPr>
            <w:r>
              <w:rPr>
                <w:color w:val="auto"/>
                <w:sz w:val="22"/>
                <w:szCs w:val="22"/>
              </w:rPr>
              <w:t>Урок 63</w:t>
            </w:r>
          </w:p>
        </w:tc>
        <w:tc>
          <w:tcPr>
            <w:tcW w:w="7937" w:type="dxa"/>
          </w:tcPr>
          <w:p w14:paraId="7EAD61E5">
            <w:pPr>
              <w:pStyle w:val="85"/>
              <w:jc w:val="both"/>
              <w:rPr>
                <w:color w:val="auto"/>
                <w:sz w:val="22"/>
                <w:szCs w:val="22"/>
              </w:rPr>
            </w:pPr>
            <w:r>
              <w:rPr>
                <w:color w:val="auto"/>
                <w:sz w:val="22"/>
                <w:szCs w:val="22"/>
              </w:rPr>
              <w:t>Различные способы решения орфографической задачи в зависимости от места орфограммы в слове: правописание суффиксов -ость, -ов и другие</w:t>
            </w:r>
          </w:p>
        </w:tc>
      </w:tr>
      <w:tr w14:paraId="6A603A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1FDDD5DE">
            <w:pPr>
              <w:pStyle w:val="85"/>
              <w:jc w:val="center"/>
              <w:rPr>
                <w:color w:val="auto"/>
                <w:sz w:val="22"/>
                <w:szCs w:val="22"/>
              </w:rPr>
            </w:pPr>
            <w:r>
              <w:rPr>
                <w:color w:val="auto"/>
                <w:sz w:val="22"/>
                <w:szCs w:val="22"/>
              </w:rPr>
              <w:t>Урок 64</w:t>
            </w:r>
          </w:p>
        </w:tc>
        <w:tc>
          <w:tcPr>
            <w:tcW w:w="7937" w:type="dxa"/>
          </w:tcPr>
          <w:p w14:paraId="67E64F72">
            <w:pPr>
              <w:pStyle w:val="85"/>
              <w:jc w:val="both"/>
              <w:rPr>
                <w:color w:val="auto"/>
                <w:sz w:val="22"/>
                <w:szCs w:val="22"/>
              </w:rPr>
            </w:pPr>
            <w:r>
              <w:rPr>
                <w:color w:val="auto"/>
                <w:sz w:val="22"/>
                <w:szCs w:val="22"/>
              </w:rPr>
              <w:t>Отработка способов решения орфографической задачи в зависимости от места орфограммы в слове: закрепляем правописание суффиксов</w:t>
            </w:r>
          </w:p>
        </w:tc>
      </w:tr>
      <w:tr w14:paraId="3212DA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441B27E6">
            <w:pPr>
              <w:pStyle w:val="85"/>
              <w:jc w:val="center"/>
              <w:rPr>
                <w:color w:val="auto"/>
                <w:sz w:val="22"/>
                <w:szCs w:val="22"/>
              </w:rPr>
            </w:pPr>
            <w:r>
              <w:rPr>
                <w:color w:val="auto"/>
                <w:sz w:val="22"/>
                <w:szCs w:val="22"/>
              </w:rPr>
              <w:t>Урок 65</w:t>
            </w:r>
          </w:p>
        </w:tc>
        <w:tc>
          <w:tcPr>
            <w:tcW w:w="7937" w:type="dxa"/>
          </w:tcPr>
          <w:p w14:paraId="054B7A3E">
            <w:pPr>
              <w:pStyle w:val="85"/>
              <w:jc w:val="both"/>
              <w:rPr>
                <w:color w:val="auto"/>
                <w:sz w:val="22"/>
                <w:szCs w:val="22"/>
              </w:rPr>
            </w:pPr>
            <w:r>
              <w:rPr>
                <w:color w:val="auto"/>
                <w:sz w:val="22"/>
                <w:szCs w:val="22"/>
              </w:rPr>
              <w:t>Различные способы решения орфографической задачи в зависимости от места орфограммы в слове: правописание приставок группа приставок с "о" и группа приставок с "а"</w:t>
            </w:r>
          </w:p>
        </w:tc>
      </w:tr>
      <w:tr w14:paraId="633205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0F2A0DAF">
            <w:pPr>
              <w:pStyle w:val="85"/>
              <w:jc w:val="center"/>
              <w:rPr>
                <w:color w:val="auto"/>
                <w:sz w:val="22"/>
                <w:szCs w:val="22"/>
              </w:rPr>
            </w:pPr>
            <w:r>
              <w:rPr>
                <w:color w:val="auto"/>
                <w:sz w:val="22"/>
                <w:szCs w:val="22"/>
              </w:rPr>
              <w:t>Урок 66</w:t>
            </w:r>
          </w:p>
        </w:tc>
        <w:tc>
          <w:tcPr>
            <w:tcW w:w="7937" w:type="dxa"/>
          </w:tcPr>
          <w:p w14:paraId="38329AB7">
            <w:pPr>
              <w:pStyle w:val="85"/>
              <w:jc w:val="both"/>
              <w:rPr>
                <w:color w:val="auto"/>
                <w:sz w:val="22"/>
                <w:szCs w:val="22"/>
              </w:rPr>
            </w:pPr>
            <w:r>
              <w:rPr>
                <w:color w:val="auto"/>
                <w:sz w:val="22"/>
                <w:szCs w:val="22"/>
              </w:rPr>
              <w:t>Отработка способов решения орфографической задачи в зависимости от места орфограммы в слове: закрепляем правописание приставок</w:t>
            </w:r>
          </w:p>
        </w:tc>
      </w:tr>
      <w:tr w14:paraId="72E181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66FF5255">
            <w:pPr>
              <w:pStyle w:val="85"/>
              <w:jc w:val="center"/>
              <w:rPr>
                <w:color w:val="auto"/>
                <w:sz w:val="22"/>
                <w:szCs w:val="22"/>
              </w:rPr>
            </w:pPr>
            <w:r>
              <w:rPr>
                <w:color w:val="auto"/>
                <w:sz w:val="22"/>
                <w:szCs w:val="22"/>
              </w:rPr>
              <w:t>Урок 67</w:t>
            </w:r>
          </w:p>
        </w:tc>
        <w:tc>
          <w:tcPr>
            <w:tcW w:w="7937" w:type="dxa"/>
          </w:tcPr>
          <w:p w14:paraId="35014AD3">
            <w:pPr>
              <w:pStyle w:val="85"/>
              <w:jc w:val="both"/>
              <w:rPr>
                <w:color w:val="auto"/>
                <w:sz w:val="22"/>
                <w:szCs w:val="22"/>
              </w:rPr>
            </w:pPr>
            <w:r>
              <w:rPr>
                <w:color w:val="auto"/>
                <w:sz w:val="22"/>
                <w:szCs w:val="22"/>
              </w:rPr>
              <w:t>Закрепляем правописание суффиксов и приставок</w:t>
            </w:r>
          </w:p>
        </w:tc>
      </w:tr>
      <w:tr w14:paraId="7E792A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6A397E47">
            <w:pPr>
              <w:pStyle w:val="85"/>
              <w:jc w:val="center"/>
              <w:rPr>
                <w:color w:val="auto"/>
                <w:sz w:val="22"/>
                <w:szCs w:val="22"/>
              </w:rPr>
            </w:pPr>
            <w:r>
              <w:rPr>
                <w:color w:val="auto"/>
                <w:sz w:val="22"/>
                <w:szCs w:val="22"/>
              </w:rPr>
              <w:t>Урок 68</w:t>
            </w:r>
          </w:p>
        </w:tc>
        <w:tc>
          <w:tcPr>
            <w:tcW w:w="7937" w:type="dxa"/>
          </w:tcPr>
          <w:p w14:paraId="7B7B7CDA">
            <w:pPr>
              <w:pStyle w:val="85"/>
              <w:jc w:val="both"/>
              <w:rPr>
                <w:color w:val="auto"/>
                <w:sz w:val="22"/>
                <w:szCs w:val="22"/>
              </w:rPr>
            </w:pPr>
            <w:r>
              <w:rPr>
                <w:color w:val="auto"/>
                <w:sz w:val="22"/>
                <w:szCs w:val="22"/>
              </w:rPr>
              <w:t>Продолжаем учиться писать приставки: пишем приставки</w:t>
            </w:r>
          </w:p>
        </w:tc>
      </w:tr>
      <w:tr w14:paraId="54D5FF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59E528E0">
            <w:pPr>
              <w:pStyle w:val="85"/>
              <w:jc w:val="center"/>
              <w:rPr>
                <w:color w:val="auto"/>
                <w:sz w:val="22"/>
                <w:szCs w:val="22"/>
              </w:rPr>
            </w:pPr>
            <w:r>
              <w:rPr>
                <w:color w:val="auto"/>
                <w:sz w:val="22"/>
                <w:szCs w:val="22"/>
              </w:rPr>
              <w:t>Урок 69</w:t>
            </w:r>
          </w:p>
        </w:tc>
        <w:tc>
          <w:tcPr>
            <w:tcW w:w="7937" w:type="dxa"/>
          </w:tcPr>
          <w:p w14:paraId="69C5367F">
            <w:pPr>
              <w:pStyle w:val="85"/>
              <w:jc w:val="both"/>
              <w:rPr>
                <w:color w:val="auto"/>
                <w:sz w:val="22"/>
                <w:szCs w:val="22"/>
              </w:rPr>
            </w:pPr>
            <w:r>
              <w:rPr>
                <w:color w:val="auto"/>
                <w:sz w:val="22"/>
                <w:szCs w:val="22"/>
              </w:rPr>
              <w:t>Разделительный твердый знак</w:t>
            </w:r>
          </w:p>
        </w:tc>
      </w:tr>
      <w:tr w14:paraId="6CC92E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021DB169">
            <w:pPr>
              <w:pStyle w:val="85"/>
              <w:jc w:val="center"/>
              <w:rPr>
                <w:color w:val="auto"/>
                <w:sz w:val="22"/>
                <w:szCs w:val="22"/>
              </w:rPr>
            </w:pPr>
            <w:r>
              <w:rPr>
                <w:color w:val="auto"/>
                <w:sz w:val="22"/>
                <w:szCs w:val="22"/>
              </w:rPr>
              <w:t>Урок 70</w:t>
            </w:r>
          </w:p>
        </w:tc>
        <w:tc>
          <w:tcPr>
            <w:tcW w:w="7937" w:type="dxa"/>
          </w:tcPr>
          <w:p w14:paraId="1955B6AF">
            <w:pPr>
              <w:pStyle w:val="85"/>
              <w:jc w:val="both"/>
              <w:rPr>
                <w:color w:val="auto"/>
                <w:sz w:val="22"/>
                <w:szCs w:val="22"/>
              </w:rPr>
            </w:pPr>
            <w:r>
              <w:rPr>
                <w:color w:val="auto"/>
                <w:sz w:val="22"/>
                <w:szCs w:val="22"/>
              </w:rPr>
              <w:t>Знакомство с жанром объявления</w:t>
            </w:r>
          </w:p>
        </w:tc>
      </w:tr>
      <w:tr w14:paraId="6CF484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365C6A3E">
            <w:pPr>
              <w:pStyle w:val="85"/>
              <w:jc w:val="center"/>
              <w:rPr>
                <w:color w:val="auto"/>
                <w:sz w:val="22"/>
                <w:szCs w:val="22"/>
              </w:rPr>
            </w:pPr>
            <w:r>
              <w:rPr>
                <w:color w:val="auto"/>
                <w:sz w:val="22"/>
                <w:szCs w:val="22"/>
              </w:rPr>
              <w:t>Урок 71</w:t>
            </w:r>
          </w:p>
        </w:tc>
        <w:tc>
          <w:tcPr>
            <w:tcW w:w="7937" w:type="dxa"/>
          </w:tcPr>
          <w:p w14:paraId="3FBBE921">
            <w:pPr>
              <w:pStyle w:val="85"/>
              <w:jc w:val="both"/>
              <w:rPr>
                <w:color w:val="auto"/>
                <w:sz w:val="22"/>
                <w:szCs w:val="22"/>
              </w:rPr>
            </w:pPr>
            <w:r>
              <w:rPr>
                <w:color w:val="auto"/>
                <w:sz w:val="22"/>
                <w:szCs w:val="22"/>
              </w:rPr>
              <w:t>Объясняющий диктант: повторение правил правописания</w:t>
            </w:r>
          </w:p>
        </w:tc>
      </w:tr>
      <w:tr w14:paraId="48A192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0F9A95F2">
            <w:pPr>
              <w:pStyle w:val="85"/>
              <w:jc w:val="center"/>
              <w:rPr>
                <w:color w:val="auto"/>
                <w:sz w:val="22"/>
                <w:szCs w:val="22"/>
              </w:rPr>
            </w:pPr>
            <w:r>
              <w:rPr>
                <w:color w:val="auto"/>
                <w:sz w:val="22"/>
                <w:szCs w:val="22"/>
              </w:rPr>
              <w:t>Урок 72</w:t>
            </w:r>
          </w:p>
        </w:tc>
        <w:tc>
          <w:tcPr>
            <w:tcW w:w="7937" w:type="dxa"/>
          </w:tcPr>
          <w:p w14:paraId="482DA8B7">
            <w:pPr>
              <w:pStyle w:val="85"/>
              <w:jc w:val="both"/>
              <w:rPr>
                <w:color w:val="auto"/>
                <w:sz w:val="22"/>
                <w:szCs w:val="22"/>
              </w:rPr>
            </w:pPr>
            <w:r>
              <w:rPr>
                <w:color w:val="auto"/>
                <w:sz w:val="22"/>
                <w:szCs w:val="22"/>
              </w:rPr>
              <w:t>Наблюдаем за знаками препинания в предложениях с однородными членами, не соединенными союзами</w:t>
            </w:r>
          </w:p>
        </w:tc>
      </w:tr>
      <w:tr w14:paraId="0BCA66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0D023AD5">
            <w:pPr>
              <w:pStyle w:val="85"/>
              <w:jc w:val="center"/>
              <w:rPr>
                <w:color w:val="auto"/>
                <w:sz w:val="22"/>
                <w:szCs w:val="22"/>
              </w:rPr>
            </w:pPr>
            <w:r>
              <w:rPr>
                <w:color w:val="auto"/>
                <w:sz w:val="22"/>
                <w:szCs w:val="22"/>
              </w:rPr>
              <w:t>Урок 73</w:t>
            </w:r>
          </w:p>
        </w:tc>
        <w:tc>
          <w:tcPr>
            <w:tcW w:w="7937" w:type="dxa"/>
          </w:tcPr>
          <w:p w14:paraId="4C8D61F7">
            <w:pPr>
              <w:pStyle w:val="85"/>
              <w:jc w:val="both"/>
              <w:rPr>
                <w:color w:val="auto"/>
                <w:sz w:val="22"/>
                <w:szCs w:val="22"/>
              </w:rPr>
            </w:pPr>
            <w:r>
              <w:rPr>
                <w:color w:val="auto"/>
                <w:sz w:val="22"/>
                <w:szCs w:val="22"/>
              </w:rPr>
              <w:t>Наблюдаем за знаками препинания в предложениях с однородными членами</w:t>
            </w:r>
          </w:p>
        </w:tc>
      </w:tr>
      <w:tr w14:paraId="2F192C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2C624235">
            <w:pPr>
              <w:pStyle w:val="85"/>
              <w:jc w:val="center"/>
              <w:rPr>
                <w:color w:val="auto"/>
                <w:sz w:val="22"/>
                <w:szCs w:val="22"/>
              </w:rPr>
            </w:pPr>
            <w:r>
              <w:rPr>
                <w:color w:val="auto"/>
                <w:sz w:val="22"/>
                <w:szCs w:val="22"/>
              </w:rPr>
              <w:t>Урок 74</w:t>
            </w:r>
          </w:p>
        </w:tc>
        <w:tc>
          <w:tcPr>
            <w:tcW w:w="7937" w:type="dxa"/>
          </w:tcPr>
          <w:p w14:paraId="483AC2D2">
            <w:pPr>
              <w:pStyle w:val="85"/>
              <w:jc w:val="both"/>
              <w:rPr>
                <w:color w:val="auto"/>
                <w:sz w:val="22"/>
                <w:szCs w:val="22"/>
              </w:rPr>
            </w:pPr>
            <w:r>
              <w:rPr>
                <w:color w:val="auto"/>
                <w:sz w:val="22"/>
                <w:szCs w:val="22"/>
              </w:rPr>
              <w:t>Вспоминаем нормы речевого этикета: приглашение, просьба, извинение, благодарность, отказ</w:t>
            </w:r>
          </w:p>
        </w:tc>
      </w:tr>
      <w:tr w14:paraId="4C46F2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26D3E2CD">
            <w:pPr>
              <w:pStyle w:val="85"/>
              <w:jc w:val="center"/>
              <w:rPr>
                <w:color w:val="auto"/>
                <w:sz w:val="22"/>
                <w:szCs w:val="22"/>
              </w:rPr>
            </w:pPr>
            <w:r>
              <w:rPr>
                <w:color w:val="auto"/>
                <w:sz w:val="22"/>
                <w:szCs w:val="22"/>
              </w:rPr>
              <w:t>Урок 75</w:t>
            </w:r>
          </w:p>
        </w:tc>
        <w:tc>
          <w:tcPr>
            <w:tcW w:w="7937" w:type="dxa"/>
          </w:tcPr>
          <w:p w14:paraId="0ADE10B7">
            <w:pPr>
              <w:pStyle w:val="85"/>
              <w:jc w:val="both"/>
              <w:rPr>
                <w:color w:val="auto"/>
                <w:sz w:val="22"/>
                <w:szCs w:val="22"/>
              </w:rPr>
            </w:pPr>
            <w:r>
              <w:rPr>
                <w:color w:val="auto"/>
                <w:sz w:val="22"/>
                <w:szCs w:val="22"/>
              </w:rPr>
              <w:t>Продолжаем учиться составлять план текста. Составление и запись текста по рисунку на одну из данных тем</w:t>
            </w:r>
          </w:p>
        </w:tc>
      </w:tr>
      <w:tr w14:paraId="71E10D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09EBC9A1">
            <w:pPr>
              <w:pStyle w:val="85"/>
              <w:jc w:val="center"/>
              <w:rPr>
                <w:color w:val="auto"/>
                <w:sz w:val="22"/>
                <w:szCs w:val="22"/>
              </w:rPr>
            </w:pPr>
            <w:r>
              <w:rPr>
                <w:color w:val="auto"/>
                <w:sz w:val="22"/>
                <w:szCs w:val="22"/>
              </w:rPr>
              <w:t>Урок 76</w:t>
            </w:r>
          </w:p>
        </w:tc>
        <w:tc>
          <w:tcPr>
            <w:tcW w:w="7937" w:type="dxa"/>
          </w:tcPr>
          <w:p w14:paraId="43EC2F75">
            <w:pPr>
              <w:pStyle w:val="85"/>
              <w:jc w:val="both"/>
              <w:rPr>
                <w:color w:val="auto"/>
                <w:sz w:val="22"/>
                <w:szCs w:val="22"/>
              </w:rPr>
            </w:pPr>
            <w:r>
              <w:rPr>
                <w:color w:val="auto"/>
                <w:sz w:val="22"/>
                <w:szCs w:val="22"/>
              </w:rPr>
              <w:t>Резервный урок по разделу орфография: отработка орфограмм, вызывающих трудности</w:t>
            </w:r>
          </w:p>
        </w:tc>
      </w:tr>
      <w:tr w14:paraId="689140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577E5D1F">
            <w:pPr>
              <w:pStyle w:val="85"/>
              <w:jc w:val="center"/>
              <w:rPr>
                <w:color w:val="auto"/>
                <w:sz w:val="22"/>
                <w:szCs w:val="22"/>
              </w:rPr>
            </w:pPr>
            <w:r>
              <w:rPr>
                <w:color w:val="auto"/>
                <w:sz w:val="22"/>
                <w:szCs w:val="22"/>
              </w:rPr>
              <w:t>Урок 77</w:t>
            </w:r>
          </w:p>
        </w:tc>
        <w:tc>
          <w:tcPr>
            <w:tcW w:w="7937" w:type="dxa"/>
          </w:tcPr>
          <w:p w14:paraId="462882FC">
            <w:pPr>
              <w:pStyle w:val="85"/>
              <w:jc w:val="both"/>
              <w:rPr>
                <w:color w:val="auto"/>
                <w:sz w:val="22"/>
                <w:szCs w:val="22"/>
              </w:rPr>
            </w:pPr>
            <w:r>
              <w:rPr>
                <w:color w:val="auto"/>
                <w:sz w:val="22"/>
                <w:szCs w:val="22"/>
              </w:rPr>
              <w:t>Резервный урок по разделу орфография: отработка орфограмм, вызывающих трудности</w:t>
            </w:r>
          </w:p>
        </w:tc>
      </w:tr>
      <w:tr w14:paraId="16A2EB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4058A065">
            <w:pPr>
              <w:pStyle w:val="85"/>
              <w:jc w:val="center"/>
              <w:rPr>
                <w:color w:val="auto"/>
                <w:sz w:val="22"/>
                <w:szCs w:val="22"/>
              </w:rPr>
            </w:pPr>
            <w:r>
              <w:rPr>
                <w:color w:val="auto"/>
                <w:sz w:val="22"/>
                <w:szCs w:val="22"/>
              </w:rPr>
              <w:t>Урок 78</w:t>
            </w:r>
          </w:p>
        </w:tc>
        <w:tc>
          <w:tcPr>
            <w:tcW w:w="7937" w:type="dxa"/>
          </w:tcPr>
          <w:p w14:paraId="00290B9D">
            <w:pPr>
              <w:pStyle w:val="85"/>
              <w:jc w:val="both"/>
              <w:rPr>
                <w:color w:val="auto"/>
                <w:sz w:val="22"/>
                <w:szCs w:val="22"/>
              </w:rPr>
            </w:pPr>
            <w:r>
              <w:rPr>
                <w:color w:val="auto"/>
                <w:sz w:val="22"/>
                <w:szCs w:val="22"/>
              </w:rPr>
              <w:t>Резервный урок по разделу орфография: отработка орфограмм, вызывающих трудности</w:t>
            </w:r>
          </w:p>
        </w:tc>
      </w:tr>
      <w:tr w14:paraId="17A645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6C4DBC4C">
            <w:pPr>
              <w:pStyle w:val="85"/>
              <w:jc w:val="center"/>
              <w:rPr>
                <w:color w:val="auto"/>
                <w:sz w:val="22"/>
                <w:szCs w:val="22"/>
              </w:rPr>
            </w:pPr>
            <w:r>
              <w:rPr>
                <w:color w:val="auto"/>
                <w:sz w:val="22"/>
                <w:szCs w:val="22"/>
              </w:rPr>
              <w:t>Урок 79</w:t>
            </w:r>
          </w:p>
        </w:tc>
        <w:tc>
          <w:tcPr>
            <w:tcW w:w="7937" w:type="dxa"/>
          </w:tcPr>
          <w:p w14:paraId="62C91DD0">
            <w:pPr>
              <w:pStyle w:val="85"/>
              <w:jc w:val="both"/>
              <w:rPr>
                <w:color w:val="auto"/>
                <w:sz w:val="22"/>
                <w:szCs w:val="22"/>
              </w:rPr>
            </w:pPr>
            <w:r>
              <w:rPr>
                <w:color w:val="auto"/>
                <w:sz w:val="22"/>
                <w:szCs w:val="22"/>
              </w:rPr>
              <w:t>Резервный урок по разделу развитие речи: работаем с текстами</w:t>
            </w:r>
          </w:p>
        </w:tc>
      </w:tr>
      <w:tr w14:paraId="4BA1A9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0A0B109C">
            <w:pPr>
              <w:pStyle w:val="85"/>
              <w:jc w:val="center"/>
              <w:rPr>
                <w:color w:val="auto"/>
                <w:sz w:val="22"/>
                <w:szCs w:val="22"/>
              </w:rPr>
            </w:pPr>
            <w:r>
              <w:rPr>
                <w:color w:val="auto"/>
                <w:sz w:val="22"/>
                <w:szCs w:val="22"/>
              </w:rPr>
              <w:t>Урок 80</w:t>
            </w:r>
          </w:p>
        </w:tc>
        <w:tc>
          <w:tcPr>
            <w:tcW w:w="7937" w:type="dxa"/>
          </w:tcPr>
          <w:p w14:paraId="44DA1FE0">
            <w:pPr>
              <w:pStyle w:val="85"/>
              <w:jc w:val="both"/>
              <w:rPr>
                <w:color w:val="auto"/>
                <w:sz w:val="22"/>
                <w:szCs w:val="22"/>
              </w:rPr>
            </w:pPr>
            <w:r>
              <w:rPr>
                <w:color w:val="auto"/>
                <w:sz w:val="22"/>
                <w:szCs w:val="22"/>
              </w:rPr>
              <w:t>Ознакомительное чтение: когда оно нужно</w:t>
            </w:r>
          </w:p>
        </w:tc>
      </w:tr>
      <w:tr w14:paraId="1AF196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09893429">
            <w:pPr>
              <w:pStyle w:val="85"/>
              <w:jc w:val="center"/>
              <w:rPr>
                <w:color w:val="auto"/>
                <w:sz w:val="22"/>
                <w:szCs w:val="22"/>
              </w:rPr>
            </w:pPr>
            <w:r>
              <w:rPr>
                <w:color w:val="auto"/>
                <w:sz w:val="22"/>
                <w:szCs w:val="22"/>
              </w:rPr>
              <w:t>Урок 81</w:t>
            </w:r>
          </w:p>
        </w:tc>
        <w:tc>
          <w:tcPr>
            <w:tcW w:w="7937" w:type="dxa"/>
          </w:tcPr>
          <w:p w14:paraId="1738C931">
            <w:pPr>
              <w:pStyle w:val="85"/>
              <w:jc w:val="both"/>
              <w:rPr>
                <w:color w:val="auto"/>
                <w:sz w:val="22"/>
                <w:szCs w:val="22"/>
              </w:rPr>
            </w:pPr>
            <w:r>
              <w:rPr>
                <w:color w:val="auto"/>
                <w:sz w:val="22"/>
                <w:szCs w:val="22"/>
              </w:rPr>
              <w:t>Имя существительное: общее значение, вопросы, употребление в речи. Части речи</w:t>
            </w:r>
          </w:p>
        </w:tc>
      </w:tr>
      <w:tr w14:paraId="237662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05AB3FBC">
            <w:pPr>
              <w:pStyle w:val="85"/>
              <w:jc w:val="center"/>
              <w:rPr>
                <w:color w:val="auto"/>
                <w:sz w:val="22"/>
                <w:szCs w:val="22"/>
              </w:rPr>
            </w:pPr>
            <w:r>
              <w:rPr>
                <w:color w:val="auto"/>
                <w:sz w:val="22"/>
                <w:szCs w:val="22"/>
              </w:rPr>
              <w:t>Урок 82</w:t>
            </w:r>
          </w:p>
        </w:tc>
        <w:tc>
          <w:tcPr>
            <w:tcW w:w="7937" w:type="dxa"/>
          </w:tcPr>
          <w:p w14:paraId="0B9513FC">
            <w:pPr>
              <w:pStyle w:val="85"/>
              <w:jc w:val="both"/>
              <w:rPr>
                <w:color w:val="auto"/>
                <w:sz w:val="22"/>
                <w:szCs w:val="22"/>
              </w:rPr>
            </w:pPr>
            <w:r>
              <w:rPr>
                <w:color w:val="auto"/>
                <w:sz w:val="22"/>
                <w:szCs w:val="22"/>
              </w:rPr>
              <w:t>Имена существительные одушевленные и неодушевленные. Подробное изложение по самостоятельно составленному плану</w:t>
            </w:r>
          </w:p>
        </w:tc>
      </w:tr>
      <w:tr w14:paraId="4A4AA5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591D8476">
            <w:pPr>
              <w:pStyle w:val="85"/>
              <w:jc w:val="center"/>
              <w:rPr>
                <w:color w:val="auto"/>
                <w:sz w:val="22"/>
                <w:szCs w:val="22"/>
              </w:rPr>
            </w:pPr>
            <w:r>
              <w:rPr>
                <w:color w:val="auto"/>
                <w:sz w:val="22"/>
                <w:szCs w:val="22"/>
              </w:rPr>
              <w:t>Урок 83</w:t>
            </w:r>
          </w:p>
        </w:tc>
        <w:tc>
          <w:tcPr>
            <w:tcW w:w="7937" w:type="dxa"/>
          </w:tcPr>
          <w:p w14:paraId="3086AD80">
            <w:pPr>
              <w:pStyle w:val="85"/>
              <w:jc w:val="both"/>
              <w:rPr>
                <w:color w:val="auto"/>
                <w:sz w:val="22"/>
                <w:szCs w:val="22"/>
              </w:rPr>
            </w:pPr>
            <w:r>
              <w:rPr>
                <w:color w:val="auto"/>
                <w:sz w:val="22"/>
                <w:szCs w:val="22"/>
              </w:rPr>
              <w:t>Изложение текста с использованием коллективно составленного плана</w:t>
            </w:r>
          </w:p>
        </w:tc>
      </w:tr>
      <w:tr w14:paraId="711DE8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2DF6BE94">
            <w:pPr>
              <w:pStyle w:val="85"/>
              <w:jc w:val="center"/>
              <w:rPr>
                <w:color w:val="auto"/>
                <w:sz w:val="22"/>
                <w:szCs w:val="22"/>
              </w:rPr>
            </w:pPr>
            <w:r>
              <w:rPr>
                <w:color w:val="auto"/>
                <w:sz w:val="22"/>
                <w:szCs w:val="22"/>
              </w:rPr>
              <w:t>Урок 84</w:t>
            </w:r>
          </w:p>
        </w:tc>
        <w:tc>
          <w:tcPr>
            <w:tcW w:w="7937" w:type="dxa"/>
          </w:tcPr>
          <w:p w14:paraId="2A2F2181">
            <w:pPr>
              <w:pStyle w:val="85"/>
              <w:jc w:val="both"/>
              <w:rPr>
                <w:color w:val="auto"/>
                <w:sz w:val="22"/>
                <w:szCs w:val="22"/>
              </w:rPr>
            </w:pPr>
            <w:r>
              <w:rPr>
                <w:color w:val="auto"/>
                <w:sz w:val="22"/>
                <w:szCs w:val="22"/>
              </w:rPr>
              <w:t>Число имен существительных</w:t>
            </w:r>
          </w:p>
        </w:tc>
      </w:tr>
      <w:tr w14:paraId="0F9858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3E163FDD">
            <w:pPr>
              <w:pStyle w:val="85"/>
              <w:jc w:val="center"/>
              <w:rPr>
                <w:color w:val="auto"/>
                <w:sz w:val="22"/>
                <w:szCs w:val="22"/>
              </w:rPr>
            </w:pPr>
            <w:r>
              <w:rPr>
                <w:color w:val="auto"/>
                <w:sz w:val="22"/>
                <w:szCs w:val="22"/>
              </w:rPr>
              <w:t>Урок 85</w:t>
            </w:r>
          </w:p>
        </w:tc>
        <w:tc>
          <w:tcPr>
            <w:tcW w:w="7937" w:type="dxa"/>
          </w:tcPr>
          <w:p w14:paraId="10B42C09">
            <w:pPr>
              <w:pStyle w:val="85"/>
              <w:jc w:val="both"/>
              <w:rPr>
                <w:color w:val="auto"/>
                <w:sz w:val="22"/>
                <w:szCs w:val="22"/>
              </w:rPr>
            </w:pPr>
            <w:r>
              <w:rPr>
                <w:color w:val="auto"/>
                <w:sz w:val="22"/>
                <w:szCs w:val="22"/>
              </w:rPr>
              <w:t>Имена существительные единственного и множественного числа. Имена существительные, имеющие форму одного числа</w:t>
            </w:r>
          </w:p>
        </w:tc>
      </w:tr>
      <w:tr w14:paraId="217F04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1F0F590B">
            <w:pPr>
              <w:pStyle w:val="85"/>
              <w:jc w:val="center"/>
              <w:rPr>
                <w:color w:val="auto"/>
                <w:sz w:val="22"/>
                <w:szCs w:val="22"/>
              </w:rPr>
            </w:pPr>
            <w:r>
              <w:rPr>
                <w:color w:val="auto"/>
                <w:sz w:val="22"/>
                <w:szCs w:val="22"/>
              </w:rPr>
              <w:t>Урок 86</w:t>
            </w:r>
          </w:p>
        </w:tc>
        <w:tc>
          <w:tcPr>
            <w:tcW w:w="7937" w:type="dxa"/>
          </w:tcPr>
          <w:p w14:paraId="2DB70FD8">
            <w:pPr>
              <w:pStyle w:val="85"/>
              <w:jc w:val="both"/>
              <w:rPr>
                <w:color w:val="auto"/>
                <w:sz w:val="22"/>
                <w:szCs w:val="22"/>
              </w:rPr>
            </w:pPr>
            <w:r>
              <w:rPr>
                <w:color w:val="auto"/>
                <w:sz w:val="22"/>
                <w:szCs w:val="22"/>
              </w:rPr>
              <w:t>Изменение имен существительных по числам</w:t>
            </w:r>
          </w:p>
        </w:tc>
      </w:tr>
      <w:tr w14:paraId="72C031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61872347">
            <w:pPr>
              <w:pStyle w:val="85"/>
              <w:jc w:val="center"/>
              <w:rPr>
                <w:color w:val="auto"/>
                <w:sz w:val="22"/>
                <w:szCs w:val="22"/>
              </w:rPr>
            </w:pPr>
            <w:r>
              <w:rPr>
                <w:color w:val="auto"/>
                <w:sz w:val="22"/>
                <w:szCs w:val="22"/>
              </w:rPr>
              <w:t>Урок 87</w:t>
            </w:r>
          </w:p>
        </w:tc>
        <w:tc>
          <w:tcPr>
            <w:tcW w:w="7937" w:type="dxa"/>
          </w:tcPr>
          <w:p w14:paraId="0DD0C787">
            <w:pPr>
              <w:pStyle w:val="85"/>
              <w:jc w:val="both"/>
              <w:rPr>
                <w:color w:val="auto"/>
                <w:sz w:val="22"/>
                <w:szCs w:val="22"/>
              </w:rPr>
            </w:pPr>
            <w:r>
              <w:rPr>
                <w:color w:val="auto"/>
                <w:sz w:val="22"/>
                <w:szCs w:val="22"/>
              </w:rPr>
              <w:t>Имена существительные мужского, женского и среднего рода</w:t>
            </w:r>
          </w:p>
        </w:tc>
      </w:tr>
      <w:tr w14:paraId="20810C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0A0A27EB">
            <w:pPr>
              <w:pStyle w:val="85"/>
              <w:jc w:val="center"/>
              <w:rPr>
                <w:color w:val="auto"/>
                <w:sz w:val="22"/>
                <w:szCs w:val="22"/>
              </w:rPr>
            </w:pPr>
            <w:r>
              <w:rPr>
                <w:color w:val="auto"/>
                <w:sz w:val="22"/>
                <w:szCs w:val="22"/>
              </w:rPr>
              <w:t>Урок 88</w:t>
            </w:r>
          </w:p>
        </w:tc>
        <w:tc>
          <w:tcPr>
            <w:tcW w:w="7937" w:type="dxa"/>
          </w:tcPr>
          <w:p w14:paraId="23902866">
            <w:pPr>
              <w:pStyle w:val="85"/>
              <w:jc w:val="both"/>
              <w:rPr>
                <w:color w:val="auto"/>
                <w:sz w:val="22"/>
                <w:szCs w:val="22"/>
              </w:rPr>
            </w:pPr>
            <w:r>
              <w:rPr>
                <w:color w:val="auto"/>
                <w:sz w:val="22"/>
                <w:szCs w:val="22"/>
              </w:rPr>
              <w:t>Род имен существительных</w:t>
            </w:r>
          </w:p>
        </w:tc>
      </w:tr>
      <w:tr w14:paraId="208E90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7199289B">
            <w:pPr>
              <w:pStyle w:val="85"/>
              <w:jc w:val="center"/>
              <w:rPr>
                <w:color w:val="auto"/>
                <w:sz w:val="22"/>
                <w:szCs w:val="22"/>
              </w:rPr>
            </w:pPr>
            <w:r>
              <w:rPr>
                <w:color w:val="auto"/>
                <w:sz w:val="22"/>
                <w:szCs w:val="22"/>
              </w:rPr>
              <w:t>Урок 89</w:t>
            </w:r>
          </w:p>
        </w:tc>
        <w:tc>
          <w:tcPr>
            <w:tcW w:w="7937" w:type="dxa"/>
          </w:tcPr>
          <w:p w14:paraId="13F2ED99">
            <w:pPr>
              <w:pStyle w:val="85"/>
              <w:jc w:val="both"/>
              <w:rPr>
                <w:color w:val="auto"/>
                <w:sz w:val="22"/>
                <w:szCs w:val="22"/>
              </w:rPr>
            </w:pPr>
            <w:r>
              <w:rPr>
                <w:color w:val="auto"/>
                <w:sz w:val="22"/>
                <w:szCs w:val="22"/>
              </w:rPr>
              <w:t>Мягкий знак после шипящих на конце имен существительных</w:t>
            </w:r>
          </w:p>
        </w:tc>
      </w:tr>
      <w:tr w14:paraId="751922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74125616">
            <w:pPr>
              <w:pStyle w:val="85"/>
              <w:jc w:val="center"/>
              <w:rPr>
                <w:color w:val="auto"/>
                <w:sz w:val="22"/>
                <w:szCs w:val="22"/>
              </w:rPr>
            </w:pPr>
            <w:r>
              <w:rPr>
                <w:color w:val="auto"/>
                <w:sz w:val="22"/>
                <w:szCs w:val="22"/>
              </w:rPr>
              <w:t>Урок 90</w:t>
            </w:r>
          </w:p>
        </w:tc>
        <w:tc>
          <w:tcPr>
            <w:tcW w:w="7937" w:type="dxa"/>
          </w:tcPr>
          <w:p w14:paraId="2D4605FF">
            <w:pPr>
              <w:pStyle w:val="85"/>
              <w:jc w:val="both"/>
              <w:rPr>
                <w:color w:val="auto"/>
                <w:sz w:val="22"/>
                <w:szCs w:val="22"/>
              </w:rPr>
            </w:pPr>
            <w:r>
              <w:rPr>
                <w:color w:val="auto"/>
                <w:sz w:val="22"/>
                <w:szCs w:val="22"/>
              </w:rPr>
              <w:t>Закрепляем правило "Мягкий знак после шипящих на конце имен существительных"</w:t>
            </w:r>
          </w:p>
        </w:tc>
      </w:tr>
      <w:tr w14:paraId="29840D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321B267F">
            <w:pPr>
              <w:pStyle w:val="85"/>
              <w:jc w:val="center"/>
              <w:rPr>
                <w:color w:val="auto"/>
                <w:sz w:val="22"/>
                <w:szCs w:val="22"/>
              </w:rPr>
            </w:pPr>
            <w:r>
              <w:rPr>
                <w:color w:val="auto"/>
                <w:sz w:val="22"/>
                <w:szCs w:val="22"/>
              </w:rPr>
              <w:t>Урок 91</w:t>
            </w:r>
          </w:p>
        </w:tc>
        <w:tc>
          <w:tcPr>
            <w:tcW w:w="7937" w:type="dxa"/>
          </w:tcPr>
          <w:p w14:paraId="2817C0FD">
            <w:pPr>
              <w:pStyle w:val="85"/>
              <w:jc w:val="both"/>
              <w:rPr>
                <w:color w:val="auto"/>
                <w:sz w:val="22"/>
                <w:szCs w:val="22"/>
              </w:rPr>
            </w:pPr>
            <w:r>
              <w:rPr>
                <w:color w:val="auto"/>
                <w:sz w:val="22"/>
                <w:szCs w:val="22"/>
              </w:rPr>
              <w:t>Отрабатываем правило "Мягкий знак после шипящих на конце имен существительных". Объяснительный диктант</w:t>
            </w:r>
          </w:p>
        </w:tc>
      </w:tr>
      <w:tr w14:paraId="543027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385B9A79">
            <w:pPr>
              <w:pStyle w:val="85"/>
              <w:jc w:val="center"/>
              <w:rPr>
                <w:color w:val="auto"/>
                <w:sz w:val="22"/>
                <w:szCs w:val="22"/>
              </w:rPr>
            </w:pPr>
            <w:r>
              <w:rPr>
                <w:color w:val="auto"/>
                <w:sz w:val="22"/>
                <w:szCs w:val="22"/>
              </w:rPr>
              <w:t>Урок 92</w:t>
            </w:r>
          </w:p>
        </w:tc>
        <w:tc>
          <w:tcPr>
            <w:tcW w:w="7937" w:type="dxa"/>
          </w:tcPr>
          <w:p w14:paraId="07766BD8">
            <w:pPr>
              <w:pStyle w:val="85"/>
              <w:jc w:val="both"/>
              <w:rPr>
                <w:color w:val="auto"/>
                <w:sz w:val="22"/>
                <w:szCs w:val="22"/>
              </w:rPr>
            </w:pPr>
            <w:r>
              <w:rPr>
                <w:color w:val="auto"/>
                <w:sz w:val="22"/>
                <w:szCs w:val="22"/>
              </w:rPr>
              <w:t>Изложение текста с использованием коллективно составленного плана</w:t>
            </w:r>
          </w:p>
        </w:tc>
      </w:tr>
      <w:tr w14:paraId="4519DC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56657C55">
            <w:pPr>
              <w:pStyle w:val="85"/>
              <w:jc w:val="center"/>
              <w:rPr>
                <w:color w:val="auto"/>
                <w:sz w:val="22"/>
                <w:szCs w:val="22"/>
              </w:rPr>
            </w:pPr>
            <w:r>
              <w:rPr>
                <w:color w:val="auto"/>
                <w:sz w:val="22"/>
                <w:szCs w:val="22"/>
              </w:rPr>
              <w:t>Урок 93</w:t>
            </w:r>
          </w:p>
        </w:tc>
        <w:tc>
          <w:tcPr>
            <w:tcW w:w="7937" w:type="dxa"/>
          </w:tcPr>
          <w:p w14:paraId="40553262">
            <w:pPr>
              <w:pStyle w:val="85"/>
              <w:jc w:val="both"/>
              <w:rPr>
                <w:color w:val="auto"/>
                <w:sz w:val="22"/>
                <w:szCs w:val="22"/>
              </w:rPr>
            </w:pPr>
            <w:r>
              <w:rPr>
                <w:color w:val="auto"/>
                <w:sz w:val="22"/>
                <w:szCs w:val="22"/>
              </w:rPr>
              <w:t>Падеж имен существительных</w:t>
            </w:r>
          </w:p>
        </w:tc>
      </w:tr>
      <w:tr w14:paraId="2E2243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08B39160">
            <w:pPr>
              <w:pStyle w:val="85"/>
              <w:jc w:val="center"/>
              <w:rPr>
                <w:color w:val="auto"/>
                <w:sz w:val="22"/>
                <w:szCs w:val="22"/>
              </w:rPr>
            </w:pPr>
            <w:r>
              <w:rPr>
                <w:color w:val="auto"/>
                <w:sz w:val="22"/>
                <w:szCs w:val="22"/>
              </w:rPr>
              <w:t>Урок 94</w:t>
            </w:r>
          </w:p>
        </w:tc>
        <w:tc>
          <w:tcPr>
            <w:tcW w:w="7937" w:type="dxa"/>
          </w:tcPr>
          <w:p w14:paraId="4310604F">
            <w:pPr>
              <w:pStyle w:val="85"/>
              <w:jc w:val="both"/>
              <w:rPr>
                <w:color w:val="auto"/>
                <w:sz w:val="22"/>
                <w:szCs w:val="22"/>
              </w:rPr>
            </w:pPr>
            <w:r>
              <w:rPr>
                <w:color w:val="auto"/>
                <w:sz w:val="22"/>
                <w:szCs w:val="22"/>
              </w:rPr>
              <w:t>Создание собственных текстов-повествований. Составление рассказа по картине</w:t>
            </w:r>
          </w:p>
        </w:tc>
      </w:tr>
      <w:tr w14:paraId="696F5C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2C32A8F3">
            <w:pPr>
              <w:pStyle w:val="85"/>
              <w:jc w:val="center"/>
              <w:rPr>
                <w:color w:val="auto"/>
                <w:sz w:val="22"/>
                <w:szCs w:val="22"/>
              </w:rPr>
            </w:pPr>
            <w:r>
              <w:rPr>
                <w:color w:val="auto"/>
                <w:sz w:val="22"/>
                <w:szCs w:val="22"/>
              </w:rPr>
              <w:t>Урок 95</w:t>
            </w:r>
          </w:p>
        </w:tc>
        <w:tc>
          <w:tcPr>
            <w:tcW w:w="7937" w:type="dxa"/>
          </w:tcPr>
          <w:p w14:paraId="15C405BC">
            <w:pPr>
              <w:pStyle w:val="85"/>
              <w:jc w:val="both"/>
              <w:rPr>
                <w:color w:val="auto"/>
                <w:sz w:val="22"/>
                <w:szCs w:val="22"/>
              </w:rPr>
            </w:pPr>
            <w:r>
              <w:rPr>
                <w:color w:val="auto"/>
                <w:sz w:val="22"/>
                <w:szCs w:val="22"/>
              </w:rPr>
              <w:t>Падеж имен существительных: именительный падеж</w:t>
            </w:r>
          </w:p>
        </w:tc>
      </w:tr>
      <w:tr w14:paraId="4D2880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5545274D">
            <w:pPr>
              <w:pStyle w:val="85"/>
              <w:jc w:val="center"/>
              <w:rPr>
                <w:color w:val="auto"/>
                <w:sz w:val="22"/>
                <w:szCs w:val="22"/>
              </w:rPr>
            </w:pPr>
            <w:r>
              <w:rPr>
                <w:color w:val="auto"/>
                <w:sz w:val="22"/>
                <w:szCs w:val="22"/>
              </w:rPr>
              <w:t>Урок 96</w:t>
            </w:r>
          </w:p>
        </w:tc>
        <w:tc>
          <w:tcPr>
            <w:tcW w:w="7937" w:type="dxa"/>
          </w:tcPr>
          <w:p w14:paraId="55318F37">
            <w:pPr>
              <w:pStyle w:val="85"/>
              <w:jc w:val="both"/>
              <w:rPr>
                <w:color w:val="auto"/>
                <w:sz w:val="22"/>
                <w:szCs w:val="22"/>
              </w:rPr>
            </w:pPr>
            <w:r>
              <w:rPr>
                <w:color w:val="auto"/>
                <w:sz w:val="22"/>
                <w:szCs w:val="22"/>
              </w:rPr>
              <w:t>Падеж имен существительных: родительный падеж</w:t>
            </w:r>
          </w:p>
        </w:tc>
      </w:tr>
      <w:tr w14:paraId="260BC6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70B6605C">
            <w:pPr>
              <w:pStyle w:val="85"/>
              <w:jc w:val="center"/>
              <w:rPr>
                <w:color w:val="auto"/>
                <w:sz w:val="22"/>
                <w:szCs w:val="22"/>
              </w:rPr>
            </w:pPr>
            <w:r>
              <w:rPr>
                <w:color w:val="auto"/>
                <w:sz w:val="22"/>
                <w:szCs w:val="22"/>
              </w:rPr>
              <w:t>Урок 97</w:t>
            </w:r>
          </w:p>
        </w:tc>
        <w:tc>
          <w:tcPr>
            <w:tcW w:w="7937" w:type="dxa"/>
          </w:tcPr>
          <w:p w14:paraId="2C78E359">
            <w:pPr>
              <w:pStyle w:val="85"/>
              <w:jc w:val="both"/>
              <w:rPr>
                <w:color w:val="auto"/>
                <w:sz w:val="22"/>
                <w:szCs w:val="22"/>
              </w:rPr>
            </w:pPr>
            <w:r>
              <w:rPr>
                <w:color w:val="auto"/>
                <w:sz w:val="22"/>
                <w:szCs w:val="22"/>
              </w:rPr>
              <w:t>Падеж имен существительных: дательный падеж</w:t>
            </w:r>
          </w:p>
        </w:tc>
      </w:tr>
      <w:tr w14:paraId="291F97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4F36AE95">
            <w:pPr>
              <w:pStyle w:val="85"/>
              <w:jc w:val="center"/>
              <w:rPr>
                <w:color w:val="auto"/>
                <w:sz w:val="22"/>
                <w:szCs w:val="22"/>
              </w:rPr>
            </w:pPr>
            <w:r>
              <w:rPr>
                <w:color w:val="auto"/>
                <w:sz w:val="22"/>
                <w:szCs w:val="22"/>
              </w:rPr>
              <w:t>Урок 98</w:t>
            </w:r>
          </w:p>
        </w:tc>
        <w:tc>
          <w:tcPr>
            <w:tcW w:w="7937" w:type="dxa"/>
          </w:tcPr>
          <w:p w14:paraId="20B79A82">
            <w:pPr>
              <w:pStyle w:val="85"/>
              <w:jc w:val="both"/>
              <w:rPr>
                <w:color w:val="auto"/>
                <w:sz w:val="22"/>
                <w:szCs w:val="22"/>
              </w:rPr>
            </w:pPr>
            <w:r>
              <w:rPr>
                <w:color w:val="auto"/>
                <w:sz w:val="22"/>
                <w:szCs w:val="22"/>
              </w:rPr>
              <w:t>Пишем поздравительную открытку к празднику 8 Марта</w:t>
            </w:r>
          </w:p>
        </w:tc>
      </w:tr>
      <w:tr w14:paraId="3369B3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0220C538">
            <w:pPr>
              <w:pStyle w:val="85"/>
              <w:jc w:val="center"/>
              <w:rPr>
                <w:color w:val="auto"/>
                <w:sz w:val="22"/>
                <w:szCs w:val="22"/>
              </w:rPr>
            </w:pPr>
            <w:r>
              <w:rPr>
                <w:color w:val="auto"/>
                <w:sz w:val="22"/>
                <w:szCs w:val="22"/>
              </w:rPr>
              <w:t>Урок 99</w:t>
            </w:r>
          </w:p>
        </w:tc>
        <w:tc>
          <w:tcPr>
            <w:tcW w:w="7937" w:type="dxa"/>
          </w:tcPr>
          <w:p w14:paraId="50D9E335">
            <w:pPr>
              <w:pStyle w:val="85"/>
              <w:jc w:val="both"/>
              <w:rPr>
                <w:color w:val="auto"/>
                <w:sz w:val="22"/>
                <w:szCs w:val="22"/>
              </w:rPr>
            </w:pPr>
            <w:r>
              <w:rPr>
                <w:color w:val="auto"/>
                <w:sz w:val="22"/>
                <w:szCs w:val="22"/>
              </w:rPr>
              <w:t>Падеж имен существительных: винительный падеж</w:t>
            </w:r>
          </w:p>
        </w:tc>
      </w:tr>
      <w:tr w14:paraId="5BFF0C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692A6BCA">
            <w:pPr>
              <w:pStyle w:val="85"/>
              <w:jc w:val="center"/>
              <w:rPr>
                <w:color w:val="auto"/>
                <w:sz w:val="22"/>
                <w:szCs w:val="22"/>
              </w:rPr>
            </w:pPr>
            <w:r>
              <w:rPr>
                <w:color w:val="auto"/>
                <w:sz w:val="22"/>
                <w:szCs w:val="22"/>
              </w:rPr>
              <w:t>Урок 100</w:t>
            </w:r>
          </w:p>
        </w:tc>
        <w:tc>
          <w:tcPr>
            <w:tcW w:w="7937" w:type="dxa"/>
          </w:tcPr>
          <w:p w14:paraId="788DE2A9">
            <w:pPr>
              <w:pStyle w:val="85"/>
              <w:jc w:val="both"/>
              <w:rPr>
                <w:color w:val="auto"/>
                <w:sz w:val="22"/>
                <w:szCs w:val="22"/>
              </w:rPr>
            </w:pPr>
            <w:r>
              <w:rPr>
                <w:color w:val="auto"/>
                <w:sz w:val="22"/>
                <w:szCs w:val="22"/>
              </w:rPr>
              <w:t>Падеж имен существительных: творительный падеж</w:t>
            </w:r>
          </w:p>
        </w:tc>
      </w:tr>
      <w:tr w14:paraId="015AB0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33DCFAE8">
            <w:pPr>
              <w:pStyle w:val="85"/>
              <w:jc w:val="center"/>
              <w:rPr>
                <w:color w:val="auto"/>
                <w:sz w:val="22"/>
                <w:szCs w:val="22"/>
              </w:rPr>
            </w:pPr>
            <w:r>
              <w:rPr>
                <w:color w:val="auto"/>
                <w:sz w:val="22"/>
                <w:szCs w:val="22"/>
              </w:rPr>
              <w:t>Урок 101</w:t>
            </w:r>
          </w:p>
        </w:tc>
        <w:tc>
          <w:tcPr>
            <w:tcW w:w="7937" w:type="dxa"/>
          </w:tcPr>
          <w:p w14:paraId="50128BFA">
            <w:pPr>
              <w:pStyle w:val="85"/>
              <w:jc w:val="both"/>
              <w:rPr>
                <w:color w:val="auto"/>
                <w:sz w:val="22"/>
                <w:szCs w:val="22"/>
              </w:rPr>
            </w:pPr>
            <w:r>
              <w:rPr>
                <w:color w:val="auto"/>
                <w:sz w:val="22"/>
                <w:szCs w:val="22"/>
              </w:rPr>
              <w:t>Падеж имен существительных: предложный падеж</w:t>
            </w:r>
          </w:p>
        </w:tc>
      </w:tr>
      <w:tr w14:paraId="47C30F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69828705">
            <w:pPr>
              <w:pStyle w:val="85"/>
              <w:jc w:val="center"/>
              <w:rPr>
                <w:color w:val="auto"/>
                <w:sz w:val="22"/>
                <w:szCs w:val="22"/>
              </w:rPr>
            </w:pPr>
            <w:r>
              <w:rPr>
                <w:color w:val="auto"/>
                <w:sz w:val="22"/>
                <w:szCs w:val="22"/>
              </w:rPr>
              <w:t>Урок 102</w:t>
            </w:r>
          </w:p>
        </w:tc>
        <w:tc>
          <w:tcPr>
            <w:tcW w:w="7937" w:type="dxa"/>
          </w:tcPr>
          <w:p w14:paraId="54587F48">
            <w:pPr>
              <w:pStyle w:val="85"/>
              <w:jc w:val="both"/>
              <w:rPr>
                <w:color w:val="auto"/>
                <w:sz w:val="22"/>
                <w:szCs w:val="22"/>
              </w:rPr>
            </w:pPr>
            <w:r>
              <w:rPr>
                <w:color w:val="auto"/>
                <w:sz w:val="22"/>
                <w:szCs w:val="22"/>
              </w:rPr>
              <w:t>Изменение имен существительных по падежам и числам (склонение).</w:t>
            </w:r>
          </w:p>
          <w:p w14:paraId="64DA1B7F">
            <w:pPr>
              <w:pStyle w:val="85"/>
              <w:jc w:val="both"/>
              <w:rPr>
                <w:color w:val="auto"/>
                <w:sz w:val="22"/>
                <w:szCs w:val="22"/>
              </w:rPr>
            </w:pPr>
            <w:r>
              <w:rPr>
                <w:color w:val="auto"/>
                <w:sz w:val="22"/>
                <w:szCs w:val="22"/>
              </w:rPr>
              <w:t>Устное описание картины</w:t>
            </w:r>
          </w:p>
        </w:tc>
      </w:tr>
      <w:tr w14:paraId="3F4280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32541398">
            <w:pPr>
              <w:pStyle w:val="85"/>
              <w:jc w:val="center"/>
              <w:rPr>
                <w:color w:val="auto"/>
                <w:sz w:val="22"/>
                <w:szCs w:val="22"/>
              </w:rPr>
            </w:pPr>
            <w:r>
              <w:rPr>
                <w:color w:val="auto"/>
                <w:sz w:val="22"/>
                <w:szCs w:val="22"/>
              </w:rPr>
              <w:t>Урок 103</w:t>
            </w:r>
          </w:p>
        </w:tc>
        <w:tc>
          <w:tcPr>
            <w:tcW w:w="7937" w:type="dxa"/>
          </w:tcPr>
          <w:p w14:paraId="3FF111A1">
            <w:pPr>
              <w:pStyle w:val="85"/>
              <w:jc w:val="both"/>
              <w:rPr>
                <w:color w:val="auto"/>
                <w:sz w:val="22"/>
                <w:szCs w:val="22"/>
              </w:rPr>
            </w:pPr>
            <w:r>
              <w:rPr>
                <w:color w:val="auto"/>
                <w:sz w:val="22"/>
                <w:szCs w:val="22"/>
              </w:rPr>
              <w:t>Имена существительные 1-го, 2-го, 3-го склонений</w:t>
            </w:r>
          </w:p>
        </w:tc>
      </w:tr>
      <w:tr w14:paraId="13C132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0F49C0E3">
            <w:pPr>
              <w:pStyle w:val="85"/>
              <w:jc w:val="center"/>
              <w:rPr>
                <w:color w:val="auto"/>
                <w:sz w:val="22"/>
                <w:szCs w:val="22"/>
              </w:rPr>
            </w:pPr>
            <w:r>
              <w:rPr>
                <w:color w:val="auto"/>
                <w:sz w:val="22"/>
                <w:szCs w:val="22"/>
              </w:rPr>
              <w:t>Урок 104</w:t>
            </w:r>
          </w:p>
        </w:tc>
        <w:tc>
          <w:tcPr>
            <w:tcW w:w="7937" w:type="dxa"/>
          </w:tcPr>
          <w:p w14:paraId="063FDBCB">
            <w:pPr>
              <w:pStyle w:val="85"/>
              <w:jc w:val="both"/>
              <w:rPr>
                <w:color w:val="auto"/>
                <w:sz w:val="22"/>
                <w:szCs w:val="22"/>
              </w:rPr>
            </w:pPr>
            <w:r>
              <w:rPr>
                <w:color w:val="auto"/>
                <w:sz w:val="22"/>
                <w:szCs w:val="22"/>
              </w:rPr>
              <w:t>Изложение текста с использованием самостоятельно составленного плана</w:t>
            </w:r>
          </w:p>
        </w:tc>
      </w:tr>
      <w:tr w14:paraId="1F6475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4DEC4C21">
            <w:pPr>
              <w:pStyle w:val="85"/>
              <w:jc w:val="center"/>
              <w:rPr>
                <w:color w:val="auto"/>
                <w:sz w:val="22"/>
                <w:szCs w:val="22"/>
              </w:rPr>
            </w:pPr>
            <w:r>
              <w:rPr>
                <w:color w:val="auto"/>
                <w:sz w:val="22"/>
                <w:szCs w:val="22"/>
              </w:rPr>
              <w:t>Урок 105</w:t>
            </w:r>
          </w:p>
        </w:tc>
        <w:tc>
          <w:tcPr>
            <w:tcW w:w="7937" w:type="dxa"/>
          </w:tcPr>
          <w:p w14:paraId="01210642">
            <w:pPr>
              <w:pStyle w:val="85"/>
              <w:jc w:val="both"/>
              <w:rPr>
                <w:color w:val="auto"/>
                <w:sz w:val="22"/>
                <w:szCs w:val="22"/>
              </w:rPr>
            </w:pPr>
            <w:r>
              <w:rPr>
                <w:color w:val="auto"/>
                <w:sz w:val="22"/>
                <w:szCs w:val="22"/>
              </w:rPr>
              <w:t>Обобщение знаний об имени существительном. Коллективное составление текста по картине (по опорным словам)</w:t>
            </w:r>
          </w:p>
        </w:tc>
      </w:tr>
      <w:tr w14:paraId="443B74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6E56D576">
            <w:pPr>
              <w:pStyle w:val="85"/>
              <w:jc w:val="center"/>
              <w:rPr>
                <w:color w:val="auto"/>
                <w:sz w:val="22"/>
                <w:szCs w:val="22"/>
              </w:rPr>
            </w:pPr>
            <w:r>
              <w:rPr>
                <w:color w:val="auto"/>
                <w:sz w:val="22"/>
                <w:szCs w:val="22"/>
              </w:rPr>
              <w:t>Урок 106</w:t>
            </w:r>
          </w:p>
        </w:tc>
        <w:tc>
          <w:tcPr>
            <w:tcW w:w="7937" w:type="dxa"/>
          </w:tcPr>
          <w:p w14:paraId="140BFDBE">
            <w:pPr>
              <w:pStyle w:val="85"/>
              <w:jc w:val="both"/>
              <w:rPr>
                <w:color w:val="auto"/>
                <w:sz w:val="22"/>
                <w:szCs w:val="22"/>
              </w:rPr>
            </w:pPr>
            <w:r>
              <w:rPr>
                <w:color w:val="auto"/>
                <w:sz w:val="22"/>
                <w:szCs w:val="22"/>
              </w:rPr>
              <w:t>Наблюдение за правописанием безударных окончаний имен существительных 1-го склонения</w:t>
            </w:r>
          </w:p>
        </w:tc>
      </w:tr>
      <w:tr w14:paraId="61664C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725BAFEA">
            <w:pPr>
              <w:pStyle w:val="85"/>
              <w:jc w:val="center"/>
              <w:rPr>
                <w:color w:val="auto"/>
                <w:sz w:val="22"/>
                <w:szCs w:val="22"/>
              </w:rPr>
            </w:pPr>
            <w:r>
              <w:rPr>
                <w:color w:val="auto"/>
                <w:sz w:val="22"/>
                <w:szCs w:val="22"/>
              </w:rPr>
              <w:t>Урок 107</w:t>
            </w:r>
          </w:p>
        </w:tc>
        <w:tc>
          <w:tcPr>
            <w:tcW w:w="7937" w:type="dxa"/>
          </w:tcPr>
          <w:p w14:paraId="7C3C5D13">
            <w:pPr>
              <w:pStyle w:val="85"/>
              <w:jc w:val="both"/>
              <w:rPr>
                <w:color w:val="auto"/>
                <w:sz w:val="22"/>
                <w:szCs w:val="22"/>
              </w:rPr>
            </w:pPr>
            <w:r>
              <w:rPr>
                <w:color w:val="auto"/>
                <w:sz w:val="22"/>
                <w:szCs w:val="22"/>
              </w:rPr>
              <w:t>Правописание безударных окончаний имен существительных 1-го склонения</w:t>
            </w:r>
          </w:p>
        </w:tc>
      </w:tr>
      <w:tr w14:paraId="3F0E66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7B8B99A4">
            <w:pPr>
              <w:pStyle w:val="85"/>
              <w:jc w:val="center"/>
              <w:rPr>
                <w:color w:val="auto"/>
                <w:sz w:val="22"/>
                <w:szCs w:val="22"/>
              </w:rPr>
            </w:pPr>
            <w:r>
              <w:rPr>
                <w:color w:val="auto"/>
                <w:sz w:val="22"/>
                <w:szCs w:val="22"/>
              </w:rPr>
              <w:t>Урок 108</w:t>
            </w:r>
          </w:p>
        </w:tc>
        <w:tc>
          <w:tcPr>
            <w:tcW w:w="7937" w:type="dxa"/>
          </w:tcPr>
          <w:p w14:paraId="3574207A">
            <w:pPr>
              <w:pStyle w:val="85"/>
              <w:jc w:val="both"/>
              <w:rPr>
                <w:color w:val="auto"/>
                <w:sz w:val="22"/>
                <w:szCs w:val="22"/>
              </w:rPr>
            </w:pPr>
            <w:r>
              <w:rPr>
                <w:color w:val="auto"/>
                <w:sz w:val="22"/>
                <w:szCs w:val="22"/>
              </w:rPr>
              <w:t>Наблюдение за правописанием безударных окончаний имен существительных 2-го склонения</w:t>
            </w:r>
          </w:p>
        </w:tc>
      </w:tr>
      <w:tr w14:paraId="6A39C9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29E553DD">
            <w:pPr>
              <w:pStyle w:val="85"/>
              <w:jc w:val="center"/>
              <w:rPr>
                <w:color w:val="auto"/>
                <w:sz w:val="22"/>
                <w:szCs w:val="22"/>
              </w:rPr>
            </w:pPr>
            <w:r>
              <w:rPr>
                <w:color w:val="auto"/>
                <w:sz w:val="22"/>
                <w:szCs w:val="22"/>
              </w:rPr>
              <w:t>Урок 109</w:t>
            </w:r>
          </w:p>
        </w:tc>
        <w:tc>
          <w:tcPr>
            <w:tcW w:w="7937" w:type="dxa"/>
          </w:tcPr>
          <w:p w14:paraId="20D1905D">
            <w:pPr>
              <w:pStyle w:val="85"/>
              <w:jc w:val="both"/>
              <w:rPr>
                <w:color w:val="auto"/>
                <w:sz w:val="22"/>
                <w:szCs w:val="22"/>
              </w:rPr>
            </w:pPr>
            <w:r>
              <w:rPr>
                <w:color w:val="auto"/>
                <w:sz w:val="22"/>
                <w:szCs w:val="22"/>
              </w:rPr>
              <w:t>Правописание безударных окончаний имен существительных 2-го склонения</w:t>
            </w:r>
          </w:p>
        </w:tc>
      </w:tr>
      <w:tr w14:paraId="4D4902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55149FE0">
            <w:pPr>
              <w:pStyle w:val="85"/>
              <w:jc w:val="center"/>
              <w:rPr>
                <w:color w:val="auto"/>
                <w:sz w:val="22"/>
                <w:szCs w:val="22"/>
              </w:rPr>
            </w:pPr>
            <w:r>
              <w:rPr>
                <w:color w:val="auto"/>
                <w:sz w:val="22"/>
                <w:szCs w:val="22"/>
              </w:rPr>
              <w:t>Урок 110</w:t>
            </w:r>
          </w:p>
        </w:tc>
        <w:tc>
          <w:tcPr>
            <w:tcW w:w="7937" w:type="dxa"/>
          </w:tcPr>
          <w:p w14:paraId="3131A9B6">
            <w:pPr>
              <w:pStyle w:val="85"/>
              <w:jc w:val="both"/>
              <w:rPr>
                <w:color w:val="auto"/>
                <w:sz w:val="22"/>
                <w:szCs w:val="22"/>
              </w:rPr>
            </w:pPr>
            <w:r>
              <w:rPr>
                <w:color w:val="auto"/>
                <w:sz w:val="22"/>
                <w:szCs w:val="22"/>
              </w:rPr>
              <w:t>Наблюдение за правописанием безударных окончаний имен существительных 3-го склонения</w:t>
            </w:r>
          </w:p>
        </w:tc>
      </w:tr>
      <w:tr w14:paraId="17AB46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3484A48D">
            <w:pPr>
              <w:pStyle w:val="85"/>
              <w:jc w:val="center"/>
              <w:rPr>
                <w:color w:val="auto"/>
                <w:sz w:val="22"/>
                <w:szCs w:val="22"/>
              </w:rPr>
            </w:pPr>
            <w:r>
              <w:rPr>
                <w:color w:val="auto"/>
                <w:sz w:val="22"/>
                <w:szCs w:val="22"/>
              </w:rPr>
              <w:t>Урок 111</w:t>
            </w:r>
          </w:p>
        </w:tc>
        <w:tc>
          <w:tcPr>
            <w:tcW w:w="7937" w:type="dxa"/>
          </w:tcPr>
          <w:p w14:paraId="143E5250">
            <w:pPr>
              <w:pStyle w:val="85"/>
              <w:jc w:val="both"/>
              <w:rPr>
                <w:color w:val="auto"/>
                <w:sz w:val="22"/>
                <w:szCs w:val="22"/>
              </w:rPr>
            </w:pPr>
            <w:r>
              <w:rPr>
                <w:color w:val="auto"/>
                <w:sz w:val="22"/>
                <w:szCs w:val="22"/>
              </w:rPr>
              <w:t>Корректирование текстов с нарушенным порядком абзацев</w:t>
            </w:r>
          </w:p>
        </w:tc>
      </w:tr>
      <w:tr w14:paraId="52E3A5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25EBC7F3">
            <w:pPr>
              <w:pStyle w:val="85"/>
              <w:jc w:val="center"/>
              <w:rPr>
                <w:color w:val="auto"/>
                <w:sz w:val="22"/>
                <w:szCs w:val="22"/>
              </w:rPr>
            </w:pPr>
            <w:r>
              <w:rPr>
                <w:color w:val="auto"/>
                <w:sz w:val="22"/>
                <w:szCs w:val="22"/>
              </w:rPr>
              <w:t>Урок 112</w:t>
            </w:r>
          </w:p>
        </w:tc>
        <w:tc>
          <w:tcPr>
            <w:tcW w:w="7937" w:type="dxa"/>
          </w:tcPr>
          <w:p w14:paraId="579B5D58">
            <w:pPr>
              <w:pStyle w:val="85"/>
              <w:jc w:val="both"/>
              <w:rPr>
                <w:color w:val="auto"/>
                <w:sz w:val="22"/>
                <w:szCs w:val="22"/>
              </w:rPr>
            </w:pPr>
            <w:r>
              <w:rPr>
                <w:color w:val="auto"/>
                <w:sz w:val="22"/>
                <w:szCs w:val="22"/>
              </w:rPr>
              <w:t>Правописание безударных окончаний имен существительных 3-го склонения</w:t>
            </w:r>
          </w:p>
        </w:tc>
      </w:tr>
      <w:tr w14:paraId="3564C1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73EA0BD3">
            <w:pPr>
              <w:pStyle w:val="85"/>
              <w:jc w:val="center"/>
              <w:rPr>
                <w:color w:val="auto"/>
                <w:sz w:val="22"/>
                <w:szCs w:val="22"/>
              </w:rPr>
            </w:pPr>
            <w:r>
              <w:rPr>
                <w:color w:val="auto"/>
                <w:sz w:val="22"/>
                <w:szCs w:val="22"/>
              </w:rPr>
              <w:t>Урок 113</w:t>
            </w:r>
          </w:p>
        </w:tc>
        <w:tc>
          <w:tcPr>
            <w:tcW w:w="7937" w:type="dxa"/>
          </w:tcPr>
          <w:p w14:paraId="34545EE1">
            <w:pPr>
              <w:pStyle w:val="85"/>
              <w:jc w:val="both"/>
              <w:rPr>
                <w:color w:val="auto"/>
                <w:sz w:val="22"/>
                <w:szCs w:val="22"/>
              </w:rPr>
            </w:pPr>
            <w:r>
              <w:rPr>
                <w:color w:val="auto"/>
                <w:sz w:val="22"/>
                <w:szCs w:val="22"/>
              </w:rPr>
              <w:t>Правописание окончаний имен существительных во множественном числе</w:t>
            </w:r>
          </w:p>
        </w:tc>
      </w:tr>
      <w:tr w14:paraId="667BE3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65FE7FEF">
            <w:pPr>
              <w:pStyle w:val="85"/>
              <w:jc w:val="center"/>
              <w:rPr>
                <w:color w:val="auto"/>
                <w:sz w:val="22"/>
                <w:szCs w:val="22"/>
              </w:rPr>
            </w:pPr>
            <w:r>
              <w:rPr>
                <w:color w:val="auto"/>
                <w:sz w:val="22"/>
                <w:szCs w:val="22"/>
              </w:rPr>
              <w:t>Урок 114</w:t>
            </w:r>
          </w:p>
        </w:tc>
        <w:tc>
          <w:tcPr>
            <w:tcW w:w="7937" w:type="dxa"/>
          </w:tcPr>
          <w:p w14:paraId="7B17CA25">
            <w:pPr>
              <w:pStyle w:val="85"/>
              <w:jc w:val="both"/>
              <w:rPr>
                <w:color w:val="auto"/>
                <w:sz w:val="22"/>
                <w:szCs w:val="22"/>
              </w:rPr>
            </w:pPr>
            <w:r>
              <w:rPr>
                <w:color w:val="auto"/>
                <w:sz w:val="22"/>
                <w:szCs w:val="22"/>
              </w:rPr>
              <w:t>Правописание безударных окончаний имен существительных: систематизация знаний</w:t>
            </w:r>
          </w:p>
        </w:tc>
      </w:tr>
      <w:tr w14:paraId="04E016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77EE309A">
            <w:pPr>
              <w:pStyle w:val="85"/>
              <w:jc w:val="center"/>
              <w:rPr>
                <w:color w:val="auto"/>
                <w:sz w:val="22"/>
                <w:szCs w:val="22"/>
              </w:rPr>
            </w:pPr>
            <w:r>
              <w:rPr>
                <w:color w:val="auto"/>
                <w:sz w:val="22"/>
                <w:szCs w:val="22"/>
              </w:rPr>
              <w:t>Урок 115</w:t>
            </w:r>
          </w:p>
        </w:tc>
        <w:tc>
          <w:tcPr>
            <w:tcW w:w="7937" w:type="dxa"/>
          </w:tcPr>
          <w:p w14:paraId="6D86C2AF">
            <w:pPr>
              <w:pStyle w:val="85"/>
              <w:jc w:val="both"/>
              <w:rPr>
                <w:color w:val="auto"/>
                <w:sz w:val="22"/>
                <w:szCs w:val="22"/>
              </w:rPr>
            </w:pPr>
            <w:r>
              <w:rPr>
                <w:color w:val="auto"/>
                <w:sz w:val="22"/>
                <w:szCs w:val="22"/>
              </w:rPr>
              <w:t>Объяснительный диктант (безударные гласные в падежных окончаниях имен существительных)</w:t>
            </w:r>
          </w:p>
        </w:tc>
      </w:tr>
      <w:tr w14:paraId="21859B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4575EF28">
            <w:pPr>
              <w:pStyle w:val="85"/>
              <w:jc w:val="center"/>
              <w:rPr>
                <w:color w:val="auto"/>
                <w:sz w:val="22"/>
                <w:szCs w:val="22"/>
              </w:rPr>
            </w:pPr>
            <w:r>
              <w:rPr>
                <w:color w:val="auto"/>
                <w:sz w:val="22"/>
                <w:szCs w:val="22"/>
              </w:rPr>
              <w:t>Урок 116</w:t>
            </w:r>
          </w:p>
        </w:tc>
        <w:tc>
          <w:tcPr>
            <w:tcW w:w="7937" w:type="dxa"/>
          </w:tcPr>
          <w:p w14:paraId="254645D5">
            <w:pPr>
              <w:pStyle w:val="85"/>
              <w:jc w:val="both"/>
              <w:rPr>
                <w:color w:val="auto"/>
                <w:sz w:val="22"/>
                <w:szCs w:val="22"/>
              </w:rPr>
            </w:pPr>
            <w:r>
              <w:rPr>
                <w:color w:val="auto"/>
                <w:sz w:val="22"/>
                <w:szCs w:val="22"/>
              </w:rPr>
              <w:t>Правописание безударных окончаний имен существительных: обобщение</w:t>
            </w:r>
          </w:p>
        </w:tc>
      </w:tr>
      <w:tr w14:paraId="07CC8A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1919389F">
            <w:pPr>
              <w:pStyle w:val="85"/>
              <w:jc w:val="center"/>
              <w:rPr>
                <w:color w:val="auto"/>
                <w:sz w:val="22"/>
                <w:szCs w:val="22"/>
              </w:rPr>
            </w:pPr>
            <w:r>
              <w:rPr>
                <w:color w:val="auto"/>
                <w:sz w:val="22"/>
                <w:szCs w:val="22"/>
              </w:rPr>
              <w:t>Урок 117</w:t>
            </w:r>
          </w:p>
        </w:tc>
        <w:tc>
          <w:tcPr>
            <w:tcW w:w="7937" w:type="dxa"/>
          </w:tcPr>
          <w:p w14:paraId="519419A9">
            <w:pPr>
              <w:pStyle w:val="85"/>
              <w:jc w:val="both"/>
              <w:rPr>
                <w:color w:val="auto"/>
                <w:sz w:val="22"/>
                <w:szCs w:val="22"/>
              </w:rPr>
            </w:pPr>
            <w:r>
              <w:rPr>
                <w:color w:val="auto"/>
                <w:sz w:val="22"/>
                <w:szCs w:val="22"/>
              </w:rPr>
              <w:t>Резервный урок по разделу орфография: повторение по теме "Правописание безударных падежных окончаний имен существительных"</w:t>
            </w:r>
          </w:p>
        </w:tc>
      </w:tr>
      <w:tr w14:paraId="615AC7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1E8D9643">
            <w:pPr>
              <w:pStyle w:val="85"/>
              <w:jc w:val="center"/>
              <w:rPr>
                <w:color w:val="auto"/>
                <w:sz w:val="22"/>
                <w:szCs w:val="22"/>
              </w:rPr>
            </w:pPr>
            <w:r>
              <w:rPr>
                <w:color w:val="auto"/>
                <w:sz w:val="22"/>
                <w:szCs w:val="22"/>
              </w:rPr>
              <w:t>Урок 118</w:t>
            </w:r>
          </w:p>
        </w:tc>
        <w:tc>
          <w:tcPr>
            <w:tcW w:w="7937" w:type="dxa"/>
          </w:tcPr>
          <w:p w14:paraId="708084F4">
            <w:pPr>
              <w:pStyle w:val="85"/>
              <w:jc w:val="both"/>
              <w:rPr>
                <w:color w:val="auto"/>
                <w:sz w:val="22"/>
                <w:szCs w:val="22"/>
              </w:rPr>
            </w:pPr>
            <w:r>
              <w:rPr>
                <w:color w:val="auto"/>
                <w:sz w:val="22"/>
                <w:szCs w:val="22"/>
              </w:rPr>
              <w:t>Имя прилагательное: общее значение, вопросы, употребление в речи</w:t>
            </w:r>
          </w:p>
        </w:tc>
      </w:tr>
      <w:tr w14:paraId="502394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07B55350">
            <w:pPr>
              <w:pStyle w:val="85"/>
              <w:jc w:val="center"/>
              <w:rPr>
                <w:color w:val="auto"/>
                <w:sz w:val="22"/>
                <w:szCs w:val="22"/>
              </w:rPr>
            </w:pPr>
            <w:r>
              <w:rPr>
                <w:color w:val="auto"/>
                <w:sz w:val="22"/>
                <w:szCs w:val="22"/>
              </w:rPr>
              <w:t>Урок 119</w:t>
            </w:r>
          </w:p>
        </w:tc>
        <w:tc>
          <w:tcPr>
            <w:tcW w:w="7937" w:type="dxa"/>
          </w:tcPr>
          <w:p w14:paraId="3D865D3C">
            <w:pPr>
              <w:pStyle w:val="85"/>
              <w:jc w:val="both"/>
              <w:rPr>
                <w:color w:val="auto"/>
                <w:sz w:val="22"/>
                <w:szCs w:val="22"/>
              </w:rPr>
            </w:pPr>
            <w:r>
              <w:rPr>
                <w:color w:val="auto"/>
                <w:sz w:val="22"/>
                <w:szCs w:val="22"/>
              </w:rPr>
              <w:t>Резервный урок по разделу развитие речи: работаем с текстами-описаниями в научном и художественном стилях. Изобразительно-выразительные средства в описательном тексте. Работа с картиной</w:t>
            </w:r>
          </w:p>
        </w:tc>
      </w:tr>
      <w:tr w14:paraId="21B728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1BED0A12">
            <w:pPr>
              <w:pStyle w:val="85"/>
              <w:jc w:val="center"/>
              <w:rPr>
                <w:color w:val="auto"/>
                <w:sz w:val="22"/>
                <w:szCs w:val="22"/>
              </w:rPr>
            </w:pPr>
            <w:r>
              <w:rPr>
                <w:color w:val="auto"/>
                <w:sz w:val="22"/>
                <w:szCs w:val="22"/>
              </w:rPr>
              <w:t>Урок 120</w:t>
            </w:r>
          </w:p>
        </w:tc>
        <w:tc>
          <w:tcPr>
            <w:tcW w:w="7937" w:type="dxa"/>
          </w:tcPr>
          <w:p w14:paraId="6F09DF04">
            <w:pPr>
              <w:pStyle w:val="85"/>
              <w:jc w:val="both"/>
              <w:rPr>
                <w:color w:val="auto"/>
                <w:sz w:val="22"/>
                <w:szCs w:val="22"/>
              </w:rPr>
            </w:pPr>
            <w:r>
              <w:rPr>
                <w:color w:val="auto"/>
                <w:sz w:val="22"/>
                <w:szCs w:val="22"/>
              </w:rPr>
              <w:t>Изменение имен прилагательных по родам</w:t>
            </w:r>
          </w:p>
        </w:tc>
      </w:tr>
      <w:tr w14:paraId="4607C6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44E90865">
            <w:pPr>
              <w:pStyle w:val="85"/>
              <w:jc w:val="center"/>
              <w:rPr>
                <w:color w:val="auto"/>
                <w:sz w:val="22"/>
                <w:szCs w:val="22"/>
              </w:rPr>
            </w:pPr>
            <w:r>
              <w:rPr>
                <w:color w:val="auto"/>
                <w:sz w:val="22"/>
                <w:szCs w:val="22"/>
              </w:rPr>
              <w:t>Урок 121</w:t>
            </w:r>
          </w:p>
        </w:tc>
        <w:tc>
          <w:tcPr>
            <w:tcW w:w="7937" w:type="dxa"/>
          </w:tcPr>
          <w:p w14:paraId="31AE6161">
            <w:pPr>
              <w:pStyle w:val="85"/>
              <w:jc w:val="both"/>
              <w:rPr>
                <w:color w:val="auto"/>
                <w:sz w:val="22"/>
                <w:szCs w:val="22"/>
              </w:rPr>
            </w:pPr>
            <w:r>
              <w:rPr>
                <w:color w:val="auto"/>
                <w:sz w:val="22"/>
                <w:szCs w:val="22"/>
              </w:rPr>
              <w:t>Зависимость формы имени прилагательного от формы имени существительного</w:t>
            </w:r>
          </w:p>
        </w:tc>
      </w:tr>
      <w:tr w14:paraId="554358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70CB47EF">
            <w:pPr>
              <w:pStyle w:val="85"/>
              <w:jc w:val="center"/>
              <w:rPr>
                <w:color w:val="auto"/>
                <w:sz w:val="22"/>
                <w:szCs w:val="22"/>
              </w:rPr>
            </w:pPr>
            <w:r>
              <w:rPr>
                <w:color w:val="auto"/>
                <w:sz w:val="22"/>
                <w:szCs w:val="22"/>
              </w:rPr>
              <w:t>Урок 122</w:t>
            </w:r>
          </w:p>
        </w:tc>
        <w:tc>
          <w:tcPr>
            <w:tcW w:w="7937" w:type="dxa"/>
          </w:tcPr>
          <w:p w14:paraId="7A1441B3">
            <w:pPr>
              <w:pStyle w:val="85"/>
              <w:jc w:val="both"/>
              <w:rPr>
                <w:color w:val="auto"/>
                <w:sz w:val="22"/>
                <w:szCs w:val="22"/>
              </w:rPr>
            </w:pPr>
            <w:r>
              <w:rPr>
                <w:color w:val="auto"/>
                <w:sz w:val="22"/>
                <w:szCs w:val="22"/>
              </w:rPr>
              <w:t>Изменение имен прилагательных по числам</w:t>
            </w:r>
          </w:p>
        </w:tc>
      </w:tr>
      <w:tr w14:paraId="19FBE6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0F48C614">
            <w:pPr>
              <w:pStyle w:val="85"/>
              <w:jc w:val="center"/>
              <w:rPr>
                <w:color w:val="auto"/>
                <w:sz w:val="22"/>
                <w:szCs w:val="22"/>
              </w:rPr>
            </w:pPr>
            <w:r>
              <w:rPr>
                <w:color w:val="auto"/>
                <w:sz w:val="22"/>
                <w:szCs w:val="22"/>
              </w:rPr>
              <w:t>Урок 123</w:t>
            </w:r>
          </w:p>
        </w:tc>
        <w:tc>
          <w:tcPr>
            <w:tcW w:w="7937" w:type="dxa"/>
          </w:tcPr>
          <w:p w14:paraId="54AC5399">
            <w:pPr>
              <w:pStyle w:val="85"/>
              <w:jc w:val="both"/>
              <w:rPr>
                <w:color w:val="auto"/>
                <w:sz w:val="22"/>
                <w:szCs w:val="22"/>
              </w:rPr>
            </w:pPr>
            <w:r>
              <w:rPr>
                <w:color w:val="auto"/>
                <w:sz w:val="22"/>
                <w:szCs w:val="22"/>
              </w:rPr>
              <w:t>Изменение имен прилагательных по падежам. Начальная форма имени прилагательного</w:t>
            </w:r>
          </w:p>
        </w:tc>
      </w:tr>
      <w:tr w14:paraId="554098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05764C52">
            <w:pPr>
              <w:pStyle w:val="85"/>
              <w:jc w:val="center"/>
              <w:rPr>
                <w:color w:val="auto"/>
                <w:sz w:val="22"/>
                <w:szCs w:val="22"/>
              </w:rPr>
            </w:pPr>
            <w:r>
              <w:rPr>
                <w:color w:val="auto"/>
                <w:sz w:val="22"/>
                <w:szCs w:val="22"/>
              </w:rPr>
              <w:t>Урок 124</w:t>
            </w:r>
          </w:p>
        </w:tc>
        <w:tc>
          <w:tcPr>
            <w:tcW w:w="7937" w:type="dxa"/>
          </w:tcPr>
          <w:p w14:paraId="086A501F">
            <w:pPr>
              <w:pStyle w:val="85"/>
              <w:jc w:val="both"/>
              <w:rPr>
                <w:color w:val="auto"/>
                <w:sz w:val="22"/>
                <w:szCs w:val="22"/>
              </w:rPr>
            </w:pPr>
            <w:r>
              <w:rPr>
                <w:color w:val="auto"/>
                <w:sz w:val="22"/>
                <w:szCs w:val="22"/>
              </w:rPr>
              <w:t>Склонение имен прилагательных</w:t>
            </w:r>
          </w:p>
        </w:tc>
      </w:tr>
      <w:tr w14:paraId="7D07A8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0C772A28">
            <w:pPr>
              <w:pStyle w:val="85"/>
              <w:jc w:val="center"/>
              <w:rPr>
                <w:color w:val="auto"/>
                <w:sz w:val="22"/>
                <w:szCs w:val="22"/>
              </w:rPr>
            </w:pPr>
            <w:r>
              <w:rPr>
                <w:color w:val="auto"/>
                <w:sz w:val="22"/>
                <w:szCs w:val="22"/>
              </w:rPr>
              <w:t>Урок 125</w:t>
            </w:r>
          </w:p>
        </w:tc>
        <w:tc>
          <w:tcPr>
            <w:tcW w:w="7937" w:type="dxa"/>
          </w:tcPr>
          <w:p w14:paraId="28104152">
            <w:pPr>
              <w:pStyle w:val="85"/>
              <w:jc w:val="both"/>
              <w:rPr>
                <w:color w:val="auto"/>
                <w:sz w:val="22"/>
                <w:szCs w:val="22"/>
              </w:rPr>
            </w:pPr>
            <w:r>
              <w:rPr>
                <w:color w:val="auto"/>
                <w:sz w:val="22"/>
                <w:szCs w:val="22"/>
              </w:rPr>
              <w:t>Значения имен прилагательных</w:t>
            </w:r>
          </w:p>
        </w:tc>
      </w:tr>
      <w:tr w14:paraId="6886E7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50F4F918">
            <w:pPr>
              <w:pStyle w:val="85"/>
              <w:jc w:val="center"/>
              <w:rPr>
                <w:color w:val="auto"/>
                <w:sz w:val="22"/>
                <w:szCs w:val="22"/>
              </w:rPr>
            </w:pPr>
            <w:r>
              <w:rPr>
                <w:color w:val="auto"/>
                <w:sz w:val="22"/>
                <w:szCs w:val="22"/>
              </w:rPr>
              <w:t>Урок 126</w:t>
            </w:r>
          </w:p>
        </w:tc>
        <w:tc>
          <w:tcPr>
            <w:tcW w:w="7937" w:type="dxa"/>
          </w:tcPr>
          <w:p w14:paraId="1216E761">
            <w:pPr>
              <w:pStyle w:val="85"/>
              <w:jc w:val="both"/>
              <w:rPr>
                <w:color w:val="auto"/>
                <w:sz w:val="22"/>
                <w:szCs w:val="22"/>
              </w:rPr>
            </w:pPr>
            <w:r>
              <w:rPr>
                <w:color w:val="auto"/>
                <w:sz w:val="22"/>
                <w:szCs w:val="22"/>
              </w:rPr>
              <w:t>Наблюдение за значениями имен прилагательных</w:t>
            </w:r>
          </w:p>
        </w:tc>
      </w:tr>
      <w:tr w14:paraId="6ADC89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5BE58B7B">
            <w:pPr>
              <w:pStyle w:val="85"/>
              <w:jc w:val="center"/>
              <w:rPr>
                <w:color w:val="auto"/>
                <w:sz w:val="22"/>
                <w:szCs w:val="22"/>
              </w:rPr>
            </w:pPr>
            <w:r>
              <w:rPr>
                <w:color w:val="auto"/>
                <w:sz w:val="22"/>
                <w:szCs w:val="22"/>
              </w:rPr>
              <w:t>Урок 127</w:t>
            </w:r>
          </w:p>
        </w:tc>
        <w:tc>
          <w:tcPr>
            <w:tcW w:w="7937" w:type="dxa"/>
          </w:tcPr>
          <w:p w14:paraId="5F5930CF">
            <w:pPr>
              <w:pStyle w:val="85"/>
              <w:jc w:val="both"/>
              <w:rPr>
                <w:color w:val="auto"/>
                <w:sz w:val="22"/>
                <w:szCs w:val="22"/>
              </w:rPr>
            </w:pPr>
            <w:r>
              <w:rPr>
                <w:color w:val="auto"/>
                <w:sz w:val="22"/>
                <w:szCs w:val="22"/>
              </w:rPr>
              <w:t>Значения имен прилагательных: обобщение. Устное описание картины</w:t>
            </w:r>
          </w:p>
        </w:tc>
      </w:tr>
      <w:tr w14:paraId="2493E4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4DA99FBD">
            <w:pPr>
              <w:pStyle w:val="85"/>
              <w:jc w:val="center"/>
              <w:rPr>
                <w:color w:val="auto"/>
                <w:sz w:val="22"/>
                <w:szCs w:val="22"/>
              </w:rPr>
            </w:pPr>
            <w:r>
              <w:rPr>
                <w:color w:val="auto"/>
                <w:sz w:val="22"/>
                <w:szCs w:val="22"/>
              </w:rPr>
              <w:t>Урок 128</w:t>
            </w:r>
          </w:p>
        </w:tc>
        <w:tc>
          <w:tcPr>
            <w:tcW w:w="7937" w:type="dxa"/>
          </w:tcPr>
          <w:p w14:paraId="57860DE7">
            <w:pPr>
              <w:pStyle w:val="85"/>
              <w:jc w:val="both"/>
              <w:rPr>
                <w:color w:val="auto"/>
                <w:sz w:val="22"/>
                <w:szCs w:val="22"/>
              </w:rPr>
            </w:pPr>
            <w:r>
              <w:rPr>
                <w:color w:val="auto"/>
                <w:sz w:val="22"/>
                <w:szCs w:val="22"/>
              </w:rPr>
              <w:t>Наблюдение за правописанием окончаний имен прилагательных в единственном числе</w:t>
            </w:r>
          </w:p>
        </w:tc>
      </w:tr>
      <w:tr w14:paraId="413121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4D9480A8">
            <w:pPr>
              <w:pStyle w:val="85"/>
              <w:jc w:val="center"/>
              <w:rPr>
                <w:color w:val="auto"/>
                <w:sz w:val="22"/>
                <w:szCs w:val="22"/>
              </w:rPr>
            </w:pPr>
            <w:r>
              <w:rPr>
                <w:color w:val="auto"/>
                <w:sz w:val="22"/>
                <w:szCs w:val="22"/>
              </w:rPr>
              <w:t>Урок 129</w:t>
            </w:r>
          </w:p>
        </w:tc>
        <w:tc>
          <w:tcPr>
            <w:tcW w:w="7937" w:type="dxa"/>
          </w:tcPr>
          <w:p w14:paraId="04F6FEEF">
            <w:pPr>
              <w:pStyle w:val="85"/>
              <w:jc w:val="both"/>
              <w:rPr>
                <w:color w:val="auto"/>
                <w:sz w:val="22"/>
                <w:szCs w:val="22"/>
              </w:rPr>
            </w:pPr>
            <w:r>
              <w:rPr>
                <w:color w:val="auto"/>
                <w:sz w:val="22"/>
                <w:szCs w:val="22"/>
              </w:rPr>
              <w:t>Наблюдение за правописанием окончаний имен прилагательных во множественном числе</w:t>
            </w:r>
          </w:p>
        </w:tc>
      </w:tr>
      <w:tr w14:paraId="09DEED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0FFCC150">
            <w:pPr>
              <w:pStyle w:val="85"/>
              <w:jc w:val="center"/>
              <w:rPr>
                <w:color w:val="auto"/>
                <w:sz w:val="22"/>
                <w:szCs w:val="22"/>
              </w:rPr>
            </w:pPr>
            <w:r>
              <w:rPr>
                <w:color w:val="auto"/>
                <w:sz w:val="22"/>
                <w:szCs w:val="22"/>
              </w:rPr>
              <w:t>Урок 130</w:t>
            </w:r>
          </w:p>
        </w:tc>
        <w:tc>
          <w:tcPr>
            <w:tcW w:w="7937" w:type="dxa"/>
          </w:tcPr>
          <w:p w14:paraId="26C7283C">
            <w:pPr>
              <w:pStyle w:val="85"/>
              <w:jc w:val="both"/>
              <w:rPr>
                <w:color w:val="auto"/>
                <w:sz w:val="22"/>
                <w:szCs w:val="22"/>
              </w:rPr>
            </w:pPr>
            <w:r>
              <w:rPr>
                <w:color w:val="auto"/>
                <w:sz w:val="22"/>
                <w:szCs w:val="22"/>
              </w:rPr>
              <w:t>Правописание окончаний имен прилагательных в единственном и во множественном числе</w:t>
            </w:r>
          </w:p>
        </w:tc>
      </w:tr>
      <w:tr w14:paraId="407D74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1649C79D">
            <w:pPr>
              <w:pStyle w:val="85"/>
              <w:jc w:val="center"/>
              <w:rPr>
                <w:color w:val="auto"/>
                <w:sz w:val="22"/>
                <w:szCs w:val="22"/>
              </w:rPr>
            </w:pPr>
            <w:r>
              <w:rPr>
                <w:color w:val="auto"/>
                <w:sz w:val="22"/>
                <w:szCs w:val="22"/>
              </w:rPr>
              <w:t>Урок 131</w:t>
            </w:r>
          </w:p>
        </w:tc>
        <w:tc>
          <w:tcPr>
            <w:tcW w:w="7937" w:type="dxa"/>
          </w:tcPr>
          <w:p w14:paraId="08D8F3F7">
            <w:pPr>
              <w:pStyle w:val="85"/>
              <w:jc w:val="both"/>
              <w:rPr>
                <w:color w:val="auto"/>
                <w:sz w:val="22"/>
                <w:szCs w:val="22"/>
              </w:rPr>
            </w:pPr>
            <w:r>
              <w:rPr>
                <w:color w:val="auto"/>
                <w:sz w:val="22"/>
                <w:szCs w:val="22"/>
              </w:rPr>
              <w:t>Обобщение знаний о написании окончаний имен прилагательных</w:t>
            </w:r>
          </w:p>
        </w:tc>
      </w:tr>
      <w:tr w14:paraId="400736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44E5CC77">
            <w:pPr>
              <w:pStyle w:val="85"/>
              <w:jc w:val="center"/>
              <w:rPr>
                <w:color w:val="auto"/>
                <w:sz w:val="22"/>
                <w:szCs w:val="22"/>
              </w:rPr>
            </w:pPr>
            <w:r>
              <w:rPr>
                <w:color w:val="auto"/>
                <w:sz w:val="22"/>
                <w:szCs w:val="22"/>
              </w:rPr>
              <w:t>Урок 132</w:t>
            </w:r>
          </w:p>
        </w:tc>
        <w:tc>
          <w:tcPr>
            <w:tcW w:w="7937" w:type="dxa"/>
          </w:tcPr>
          <w:p w14:paraId="7037BF54">
            <w:pPr>
              <w:pStyle w:val="85"/>
              <w:jc w:val="both"/>
              <w:rPr>
                <w:color w:val="auto"/>
                <w:sz w:val="22"/>
                <w:szCs w:val="22"/>
              </w:rPr>
            </w:pPr>
            <w:r>
              <w:rPr>
                <w:color w:val="auto"/>
                <w:sz w:val="22"/>
                <w:szCs w:val="22"/>
              </w:rPr>
              <w:t>Резервный урок по разделу орфография: повторение по теме "Правописание безударных падежных окончаний имен прилагательных"</w:t>
            </w:r>
          </w:p>
        </w:tc>
      </w:tr>
      <w:tr w14:paraId="7A3C41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3B2B45C8">
            <w:pPr>
              <w:pStyle w:val="85"/>
              <w:jc w:val="center"/>
              <w:rPr>
                <w:color w:val="auto"/>
                <w:sz w:val="22"/>
                <w:szCs w:val="22"/>
              </w:rPr>
            </w:pPr>
            <w:r>
              <w:rPr>
                <w:color w:val="auto"/>
                <w:sz w:val="22"/>
                <w:szCs w:val="22"/>
              </w:rPr>
              <w:t>Урок 133</w:t>
            </w:r>
          </w:p>
        </w:tc>
        <w:tc>
          <w:tcPr>
            <w:tcW w:w="7937" w:type="dxa"/>
          </w:tcPr>
          <w:p w14:paraId="21A98051">
            <w:pPr>
              <w:pStyle w:val="85"/>
              <w:jc w:val="both"/>
              <w:rPr>
                <w:color w:val="auto"/>
                <w:sz w:val="22"/>
                <w:szCs w:val="22"/>
              </w:rPr>
            </w:pPr>
            <w:r>
              <w:rPr>
                <w:color w:val="auto"/>
                <w:sz w:val="22"/>
                <w:szCs w:val="22"/>
              </w:rPr>
              <w:t>Обобщение знаний о написании окончаний имен существительных и имен прилагательных</w:t>
            </w:r>
          </w:p>
        </w:tc>
      </w:tr>
      <w:tr w14:paraId="5D8555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38FD9FA8">
            <w:pPr>
              <w:pStyle w:val="85"/>
              <w:jc w:val="center"/>
              <w:rPr>
                <w:color w:val="auto"/>
                <w:sz w:val="22"/>
                <w:szCs w:val="22"/>
              </w:rPr>
            </w:pPr>
            <w:r>
              <w:rPr>
                <w:color w:val="auto"/>
                <w:sz w:val="22"/>
                <w:szCs w:val="22"/>
              </w:rPr>
              <w:t>Урок 134</w:t>
            </w:r>
          </w:p>
        </w:tc>
        <w:tc>
          <w:tcPr>
            <w:tcW w:w="7937" w:type="dxa"/>
          </w:tcPr>
          <w:p w14:paraId="0B2B62EA">
            <w:pPr>
              <w:pStyle w:val="85"/>
              <w:jc w:val="both"/>
              <w:rPr>
                <w:color w:val="auto"/>
                <w:sz w:val="22"/>
                <w:szCs w:val="22"/>
              </w:rPr>
            </w:pPr>
            <w:r>
              <w:rPr>
                <w:color w:val="auto"/>
                <w:sz w:val="22"/>
                <w:szCs w:val="22"/>
              </w:rPr>
              <w:t>Местоимение (общее представление)</w:t>
            </w:r>
          </w:p>
        </w:tc>
      </w:tr>
      <w:tr w14:paraId="3D13E6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186CE423">
            <w:pPr>
              <w:pStyle w:val="85"/>
              <w:jc w:val="center"/>
              <w:rPr>
                <w:color w:val="auto"/>
                <w:sz w:val="22"/>
                <w:szCs w:val="22"/>
              </w:rPr>
            </w:pPr>
            <w:r>
              <w:rPr>
                <w:color w:val="auto"/>
                <w:sz w:val="22"/>
                <w:szCs w:val="22"/>
              </w:rPr>
              <w:t>Урок 135</w:t>
            </w:r>
          </w:p>
        </w:tc>
        <w:tc>
          <w:tcPr>
            <w:tcW w:w="7937" w:type="dxa"/>
          </w:tcPr>
          <w:p w14:paraId="4138AFD2">
            <w:pPr>
              <w:pStyle w:val="85"/>
              <w:jc w:val="both"/>
              <w:rPr>
                <w:color w:val="auto"/>
                <w:sz w:val="22"/>
                <w:szCs w:val="22"/>
              </w:rPr>
            </w:pPr>
            <w:r>
              <w:rPr>
                <w:color w:val="auto"/>
                <w:sz w:val="22"/>
                <w:szCs w:val="22"/>
              </w:rPr>
              <w:t>Личные местоимения</w:t>
            </w:r>
          </w:p>
        </w:tc>
      </w:tr>
      <w:tr w14:paraId="4F21A6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1831EF1B">
            <w:pPr>
              <w:pStyle w:val="85"/>
              <w:jc w:val="center"/>
              <w:rPr>
                <w:color w:val="auto"/>
                <w:sz w:val="22"/>
                <w:szCs w:val="22"/>
              </w:rPr>
            </w:pPr>
            <w:r>
              <w:rPr>
                <w:color w:val="auto"/>
                <w:sz w:val="22"/>
                <w:szCs w:val="22"/>
              </w:rPr>
              <w:t>Урок 136</w:t>
            </w:r>
          </w:p>
        </w:tc>
        <w:tc>
          <w:tcPr>
            <w:tcW w:w="7937" w:type="dxa"/>
          </w:tcPr>
          <w:p w14:paraId="5E50BBA2">
            <w:pPr>
              <w:pStyle w:val="85"/>
              <w:jc w:val="both"/>
              <w:rPr>
                <w:color w:val="auto"/>
                <w:sz w:val="22"/>
                <w:szCs w:val="22"/>
              </w:rPr>
            </w:pPr>
            <w:r>
              <w:rPr>
                <w:color w:val="auto"/>
                <w:sz w:val="22"/>
                <w:szCs w:val="22"/>
              </w:rPr>
              <w:t>Как изменяются личные местоимения</w:t>
            </w:r>
          </w:p>
        </w:tc>
      </w:tr>
      <w:tr w14:paraId="5691A5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75D8C296">
            <w:pPr>
              <w:pStyle w:val="85"/>
              <w:jc w:val="center"/>
              <w:rPr>
                <w:color w:val="auto"/>
                <w:sz w:val="22"/>
                <w:szCs w:val="22"/>
              </w:rPr>
            </w:pPr>
            <w:r>
              <w:rPr>
                <w:color w:val="auto"/>
                <w:sz w:val="22"/>
                <w:szCs w:val="22"/>
              </w:rPr>
              <w:t>Урок 137</w:t>
            </w:r>
          </w:p>
        </w:tc>
        <w:tc>
          <w:tcPr>
            <w:tcW w:w="7937" w:type="dxa"/>
          </w:tcPr>
          <w:p w14:paraId="05E04175">
            <w:pPr>
              <w:pStyle w:val="85"/>
              <w:jc w:val="both"/>
              <w:rPr>
                <w:color w:val="auto"/>
                <w:sz w:val="22"/>
                <w:szCs w:val="22"/>
              </w:rPr>
            </w:pPr>
            <w:r>
              <w:rPr>
                <w:color w:val="auto"/>
                <w:sz w:val="22"/>
                <w:szCs w:val="22"/>
              </w:rPr>
              <w:t>Резервный урок по разделу морфология: отработка темы "Изменение личных местоимений"</w:t>
            </w:r>
          </w:p>
        </w:tc>
      </w:tr>
      <w:tr w14:paraId="55BBFD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75C86F79">
            <w:pPr>
              <w:pStyle w:val="85"/>
              <w:jc w:val="center"/>
              <w:rPr>
                <w:color w:val="auto"/>
                <w:sz w:val="22"/>
                <w:szCs w:val="22"/>
              </w:rPr>
            </w:pPr>
            <w:r>
              <w:rPr>
                <w:color w:val="auto"/>
                <w:sz w:val="22"/>
                <w:szCs w:val="22"/>
              </w:rPr>
              <w:t>Урок 138</w:t>
            </w:r>
          </w:p>
        </w:tc>
        <w:tc>
          <w:tcPr>
            <w:tcW w:w="7937" w:type="dxa"/>
          </w:tcPr>
          <w:p w14:paraId="7D177D39">
            <w:pPr>
              <w:pStyle w:val="85"/>
              <w:jc w:val="both"/>
              <w:rPr>
                <w:color w:val="auto"/>
                <w:sz w:val="22"/>
                <w:szCs w:val="22"/>
              </w:rPr>
            </w:pPr>
            <w:r>
              <w:rPr>
                <w:color w:val="auto"/>
                <w:sz w:val="22"/>
                <w:szCs w:val="22"/>
              </w:rPr>
              <w:t>Употребление личных местоимений в речи</w:t>
            </w:r>
          </w:p>
        </w:tc>
      </w:tr>
      <w:tr w14:paraId="20DD41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502871E4">
            <w:pPr>
              <w:pStyle w:val="85"/>
              <w:jc w:val="center"/>
              <w:rPr>
                <w:color w:val="auto"/>
                <w:sz w:val="22"/>
                <w:szCs w:val="22"/>
              </w:rPr>
            </w:pPr>
            <w:r>
              <w:rPr>
                <w:color w:val="auto"/>
                <w:sz w:val="22"/>
                <w:szCs w:val="22"/>
              </w:rPr>
              <w:t>Урок 139</w:t>
            </w:r>
          </w:p>
        </w:tc>
        <w:tc>
          <w:tcPr>
            <w:tcW w:w="7937" w:type="dxa"/>
          </w:tcPr>
          <w:p w14:paraId="14695935">
            <w:pPr>
              <w:pStyle w:val="85"/>
              <w:jc w:val="both"/>
              <w:rPr>
                <w:color w:val="auto"/>
                <w:sz w:val="22"/>
                <w:szCs w:val="22"/>
              </w:rPr>
            </w:pPr>
            <w:r>
              <w:rPr>
                <w:color w:val="auto"/>
                <w:sz w:val="22"/>
                <w:szCs w:val="22"/>
              </w:rPr>
              <w:t>Правописание местоимений с предлогами</w:t>
            </w:r>
          </w:p>
        </w:tc>
      </w:tr>
      <w:tr w14:paraId="730C6D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5412F01D">
            <w:pPr>
              <w:pStyle w:val="85"/>
              <w:jc w:val="center"/>
              <w:rPr>
                <w:color w:val="auto"/>
                <w:sz w:val="22"/>
                <w:szCs w:val="22"/>
              </w:rPr>
            </w:pPr>
            <w:r>
              <w:rPr>
                <w:color w:val="auto"/>
                <w:sz w:val="22"/>
                <w:szCs w:val="22"/>
              </w:rPr>
              <w:t>Урок 140</w:t>
            </w:r>
          </w:p>
        </w:tc>
        <w:tc>
          <w:tcPr>
            <w:tcW w:w="7937" w:type="dxa"/>
          </w:tcPr>
          <w:p w14:paraId="0EE96E04">
            <w:pPr>
              <w:pStyle w:val="85"/>
              <w:jc w:val="both"/>
              <w:rPr>
                <w:color w:val="auto"/>
                <w:sz w:val="22"/>
                <w:szCs w:val="22"/>
              </w:rPr>
            </w:pPr>
            <w:r>
              <w:rPr>
                <w:color w:val="auto"/>
                <w:sz w:val="22"/>
                <w:szCs w:val="22"/>
              </w:rPr>
              <w:t>Правописание местоимений</w:t>
            </w:r>
          </w:p>
        </w:tc>
      </w:tr>
      <w:tr w14:paraId="013CF8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292E9AF8">
            <w:pPr>
              <w:pStyle w:val="85"/>
              <w:jc w:val="center"/>
              <w:rPr>
                <w:color w:val="auto"/>
                <w:sz w:val="22"/>
                <w:szCs w:val="22"/>
              </w:rPr>
            </w:pPr>
            <w:r>
              <w:rPr>
                <w:color w:val="auto"/>
                <w:sz w:val="22"/>
                <w:szCs w:val="22"/>
              </w:rPr>
              <w:t>Урок 141</w:t>
            </w:r>
          </w:p>
        </w:tc>
        <w:tc>
          <w:tcPr>
            <w:tcW w:w="7937" w:type="dxa"/>
          </w:tcPr>
          <w:p w14:paraId="73667B7B">
            <w:pPr>
              <w:pStyle w:val="85"/>
              <w:jc w:val="both"/>
              <w:rPr>
                <w:color w:val="auto"/>
                <w:sz w:val="22"/>
                <w:szCs w:val="22"/>
              </w:rPr>
            </w:pPr>
            <w:r>
              <w:rPr>
                <w:color w:val="auto"/>
                <w:sz w:val="22"/>
                <w:szCs w:val="22"/>
              </w:rPr>
              <w:t>Знакомство с жанром письма</w:t>
            </w:r>
          </w:p>
        </w:tc>
      </w:tr>
      <w:tr w14:paraId="27DE5B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1BE529F2">
            <w:pPr>
              <w:pStyle w:val="85"/>
              <w:jc w:val="center"/>
              <w:rPr>
                <w:color w:val="auto"/>
                <w:sz w:val="22"/>
                <w:szCs w:val="22"/>
              </w:rPr>
            </w:pPr>
            <w:r>
              <w:rPr>
                <w:color w:val="auto"/>
                <w:sz w:val="22"/>
                <w:szCs w:val="22"/>
              </w:rPr>
              <w:t>Урок 142</w:t>
            </w:r>
          </w:p>
        </w:tc>
        <w:tc>
          <w:tcPr>
            <w:tcW w:w="7937" w:type="dxa"/>
          </w:tcPr>
          <w:p w14:paraId="6B8DA06A">
            <w:pPr>
              <w:pStyle w:val="85"/>
              <w:jc w:val="both"/>
              <w:rPr>
                <w:color w:val="auto"/>
                <w:sz w:val="22"/>
                <w:szCs w:val="22"/>
              </w:rPr>
            </w:pPr>
            <w:r>
              <w:rPr>
                <w:color w:val="auto"/>
                <w:sz w:val="22"/>
                <w:szCs w:val="22"/>
              </w:rPr>
              <w:t>Учимся писать письма</w:t>
            </w:r>
          </w:p>
        </w:tc>
      </w:tr>
      <w:tr w14:paraId="3104C6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1E2DBE62">
            <w:pPr>
              <w:pStyle w:val="85"/>
              <w:jc w:val="center"/>
              <w:rPr>
                <w:color w:val="auto"/>
                <w:sz w:val="22"/>
                <w:szCs w:val="22"/>
              </w:rPr>
            </w:pPr>
            <w:r>
              <w:rPr>
                <w:color w:val="auto"/>
                <w:sz w:val="22"/>
                <w:szCs w:val="22"/>
              </w:rPr>
              <w:t>Урок 143</w:t>
            </w:r>
          </w:p>
        </w:tc>
        <w:tc>
          <w:tcPr>
            <w:tcW w:w="7937" w:type="dxa"/>
          </w:tcPr>
          <w:p w14:paraId="57B608E2">
            <w:pPr>
              <w:pStyle w:val="85"/>
              <w:jc w:val="both"/>
              <w:rPr>
                <w:color w:val="auto"/>
                <w:sz w:val="22"/>
                <w:szCs w:val="22"/>
              </w:rPr>
            </w:pPr>
            <w:r>
              <w:rPr>
                <w:color w:val="auto"/>
                <w:sz w:val="22"/>
                <w:szCs w:val="22"/>
              </w:rPr>
              <w:t>Использование личных местоимений для устранения неоправданных повторов в тексте</w:t>
            </w:r>
          </w:p>
        </w:tc>
      </w:tr>
      <w:tr w14:paraId="6EDCB2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39C8F9A2">
            <w:pPr>
              <w:pStyle w:val="85"/>
              <w:jc w:val="center"/>
              <w:rPr>
                <w:color w:val="auto"/>
                <w:sz w:val="22"/>
                <w:szCs w:val="22"/>
              </w:rPr>
            </w:pPr>
            <w:r>
              <w:rPr>
                <w:color w:val="auto"/>
                <w:sz w:val="22"/>
                <w:szCs w:val="22"/>
              </w:rPr>
              <w:t>Урок 144</w:t>
            </w:r>
          </w:p>
        </w:tc>
        <w:tc>
          <w:tcPr>
            <w:tcW w:w="7937" w:type="dxa"/>
          </w:tcPr>
          <w:p w14:paraId="05A07CA9">
            <w:pPr>
              <w:pStyle w:val="85"/>
              <w:jc w:val="both"/>
              <w:rPr>
                <w:color w:val="auto"/>
                <w:sz w:val="22"/>
                <w:szCs w:val="22"/>
              </w:rPr>
            </w:pPr>
            <w:r>
              <w:rPr>
                <w:color w:val="auto"/>
                <w:sz w:val="22"/>
                <w:szCs w:val="22"/>
              </w:rPr>
              <w:t>Наблюдение за связью предложений в тексте с помощью личных местоимений, синонимов, союзов и, а, но</w:t>
            </w:r>
          </w:p>
        </w:tc>
      </w:tr>
      <w:tr w14:paraId="30B214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37F03F7D">
            <w:pPr>
              <w:pStyle w:val="85"/>
              <w:jc w:val="center"/>
              <w:rPr>
                <w:color w:val="auto"/>
                <w:sz w:val="22"/>
                <w:szCs w:val="22"/>
              </w:rPr>
            </w:pPr>
            <w:r>
              <w:rPr>
                <w:color w:val="auto"/>
                <w:sz w:val="22"/>
                <w:szCs w:val="22"/>
              </w:rPr>
              <w:t>Урок 145</w:t>
            </w:r>
          </w:p>
        </w:tc>
        <w:tc>
          <w:tcPr>
            <w:tcW w:w="7937" w:type="dxa"/>
          </w:tcPr>
          <w:p w14:paraId="0BB59187">
            <w:pPr>
              <w:pStyle w:val="85"/>
              <w:jc w:val="both"/>
              <w:rPr>
                <w:color w:val="auto"/>
                <w:sz w:val="22"/>
                <w:szCs w:val="22"/>
              </w:rPr>
            </w:pPr>
            <w:r>
              <w:rPr>
                <w:color w:val="auto"/>
                <w:sz w:val="22"/>
                <w:szCs w:val="22"/>
              </w:rPr>
              <w:t>Глагол: общее значение, вопросы, употребление в речи</w:t>
            </w:r>
          </w:p>
        </w:tc>
      </w:tr>
      <w:tr w14:paraId="666345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4A007A7E">
            <w:pPr>
              <w:pStyle w:val="85"/>
              <w:jc w:val="center"/>
              <w:rPr>
                <w:color w:val="auto"/>
                <w:sz w:val="22"/>
                <w:szCs w:val="22"/>
              </w:rPr>
            </w:pPr>
            <w:r>
              <w:rPr>
                <w:color w:val="auto"/>
                <w:sz w:val="22"/>
                <w:szCs w:val="22"/>
              </w:rPr>
              <w:t>Урок 146</w:t>
            </w:r>
          </w:p>
        </w:tc>
        <w:tc>
          <w:tcPr>
            <w:tcW w:w="7937" w:type="dxa"/>
          </w:tcPr>
          <w:p w14:paraId="0B9BD5B0">
            <w:pPr>
              <w:pStyle w:val="85"/>
              <w:jc w:val="both"/>
              <w:rPr>
                <w:color w:val="auto"/>
                <w:sz w:val="22"/>
                <w:szCs w:val="22"/>
              </w:rPr>
            </w:pPr>
            <w:r>
              <w:rPr>
                <w:color w:val="auto"/>
                <w:sz w:val="22"/>
                <w:szCs w:val="22"/>
              </w:rPr>
              <w:t>Значение и употребление глаголов в речи. Составление текста по сюжетным рисункам</w:t>
            </w:r>
          </w:p>
        </w:tc>
      </w:tr>
      <w:tr w14:paraId="608A62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0664DBE6">
            <w:pPr>
              <w:pStyle w:val="85"/>
              <w:jc w:val="center"/>
              <w:rPr>
                <w:color w:val="auto"/>
                <w:sz w:val="22"/>
                <w:szCs w:val="22"/>
              </w:rPr>
            </w:pPr>
            <w:r>
              <w:rPr>
                <w:color w:val="auto"/>
                <w:sz w:val="22"/>
                <w:szCs w:val="22"/>
              </w:rPr>
              <w:t>Урок 147</w:t>
            </w:r>
          </w:p>
        </w:tc>
        <w:tc>
          <w:tcPr>
            <w:tcW w:w="7937" w:type="dxa"/>
          </w:tcPr>
          <w:p w14:paraId="7735A122">
            <w:pPr>
              <w:pStyle w:val="85"/>
              <w:jc w:val="both"/>
              <w:rPr>
                <w:color w:val="auto"/>
                <w:sz w:val="22"/>
                <w:szCs w:val="22"/>
              </w:rPr>
            </w:pPr>
            <w:r>
              <w:rPr>
                <w:color w:val="auto"/>
                <w:sz w:val="22"/>
                <w:szCs w:val="22"/>
              </w:rPr>
              <w:t>Неопределенная форма глагола</w:t>
            </w:r>
          </w:p>
        </w:tc>
      </w:tr>
      <w:tr w14:paraId="13BA62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29027043">
            <w:pPr>
              <w:pStyle w:val="85"/>
              <w:jc w:val="center"/>
              <w:rPr>
                <w:color w:val="auto"/>
                <w:sz w:val="22"/>
                <w:szCs w:val="22"/>
              </w:rPr>
            </w:pPr>
            <w:r>
              <w:rPr>
                <w:color w:val="auto"/>
                <w:sz w:val="22"/>
                <w:szCs w:val="22"/>
              </w:rPr>
              <w:t>Урок 148</w:t>
            </w:r>
          </w:p>
        </w:tc>
        <w:tc>
          <w:tcPr>
            <w:tcW w:w="7937" w:type="dxa"/>
          </w:tcPr>
          <w:p w14:paraId="7170277F">
            <w:pPr>
              <w:pStyle w:val="85"/>
              <w:jc w:val="both"/>
              <w:rPr>
                <w:color w:val="auto"/>
                <w:sz w:val="22"/>
                <w:szCs w:val="22"/>
              </w:rPr>
            </w:pPr>
            <w:r>
              <w:rPr>
                <w:color w:val="auto"/>
                <w:sz w:val="22"/>
                <w:szCs w:val="22"/>
              </w:rPr>
              <w:t>Изменение глаголов по числам</w:t>
            </w:r>
          </w:p>
        </w:tc>
      </w:tr>
      <w:tr w14:paraId="2DCF1C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1F73BA5B">
            <w:pPr>
              <w:pStyle w:val="85"/>
              <w:jc w:val="center"/>
              <w:rPr>
                <w:color w:val="auto"/>
                <w:sz w:val="22"/>
                <w:szCs w:val="22"/>
              </w:rPr>
            </w:pPr>
            <w:r>
              <w:rPr>
                <w:color w:val="auto"/>
                <w:sz w:val="22"/>
                <w:szCs w:val="22"/>
              </w:rPr>
              <w:t>Урок 149</w:t>
            </w:r>
          </w:p>
        </w:tc>
        <w:tc>
          <w:tcPr>
            <w:tcW w:w="7937" w:type="dxa"/>
          </w:tcPr>
          <w:p w14:paraId="7020C162">
            <w:pPr>
              <w:pStyle w:val="85"/>
              <w:jc w:val="both"/>
              <w:rPr>
                <w:color w:val="auto"/>
                <w:sz w:val="22"/>
                <w:szCs w:val="22"/>
              </w:rPr>
            </w:pPr>
            <w:r>
              <w:rPr>
                <w:color w:val="auto"/>
                <w:sz w:val="22"/>
                <w:szCs w:val="22"/>
              </w:rPr>
              <w:t>Настоящее время глаголов</w:t>
            </w:r>
          </w:p>
        </w:tc>
      </w:tr>
      <w:tr w14:paraId="609E35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1019E1E4">
            <w:pPr>
              <w:pStyle w:val="85"/>
              <w:jc w:val="center"/>
              <w:rPr>
                <w:color w:val="auto"/>
                <w:sz w:val="22"/>
                <w:szCs w:val="22"/>
              </w:rPr>
            </w:pPr>
            <w:r>
              <w:rPr>
                <w:color w:val="auto"/>
                <w:sz w:val="22"/>
                <w:szCs w:val="22"/>
              </w:rPr>
              <w:t>Урок 150</w:t>
            </w:r>
          </w:p>
        </w:tc>
        <w:tc>
          <w:tcPr>
            <w:tcW w:w="7937" w:type="dxa"/>
          </w:tcPr>
          <w:p w14:paraId="0424DA5F">
            <w:pPr>
              <w:pStyle w:val="85"/>
              <w:jc w:val="both"/>
              <w:rPr>
                <w:color w:val="auto"/>
                <w:sz w:val="22"/>
                <w:szCs w:val="22"/>
              </w:rPr>
            </w:pPr>
            <w:r>
              <w:rPr>
                <w:color w:val="auto"/>
                <w:sz w:val="22"/>
                <w:szCs w:val="22"/>
              </w:rPr>
              <w:t>Будущее время глаголов</w:t>
            </w:r>
          </w:p>
        </w:tc>
      </w:tr>
      <w:tr w14:paraId="6201AE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6DE4F92C">
            <w:pPr>
              <w:pStyle w:val="85"/>
              <w:jc w:val="center"/>
              <w:rPr>
                <w:color w:val="auto"/>
                <w:sz w:val="22"/>
                <w:szCs w:val="22"/>
              </w:rPr>
            </w:pPr>
            <w:r>
              <w:rPr>
                <w:color w:val="auto"/>
                <w:sz w:val="22"/>
                <w:szCs w:val="22"/>
              </w:rPr>
              <w:t>Урок 151</w:t>
            </w:r>
          </w:p>
        </w:tc>
        <w:tc>
          <w:tcPr>
            <w:tcW w:w="7937" w:type="dxa"/>
          </w:tcPr>
          <w:p w14:paraId="5F20AFB2">
            <w:pPr>
              <w:pStyle w:val="85"/>
              <w:jc w:val="both"/>
              <w:rPr>
                <w:color w:val="auto"/>
                <w:sz w:val="22"/>
                <w:szCs w:val="22"/>
              </w:rPr>
            </w:pPr>
            <w:r>
              <w:rPr>
                <w:color w:val="auto"/>
                <w:sz w:val="22"/>
                <w:szCs w:val="22"/>
              </w:rPr>
              <w:t>Прошедшее время глаголов. Составление текста-рассуждения по заданной теме</w:t>
            </w:r>
          </w:p>
        </w:tc>
      </w:tr>
      <w:tr w14:paraId="103B0B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07E9692F">
            <w:pPr>
              <w:pStyle w:val="85"/>
              <w:jc w:val="center"/>
              <w:rPr>
                <w:color w:val="auto"/>
                <w:sz w:val="22"/>
                <w:szCs w:val="22"/>
              </w:rPr>
            </w:pPr>
            <w:r>
              <w:rPr>
                <w:color w:val="auto"/>
                <w:sz w:val="22"/>
                <w:szCs w:val="22"/>
              </w:rPr>
              <w:t>Урок 152</w:t>
            </w:r>
          </w:p>
        </w:tc>
        <w:tc>
          <w:tcPr>
            <w:tcW w:w="7937" w:type="dxa"/>
          </w:tcPr>
          <w:p w14:paraId="3F759646">
            <w:pPr>
              <w:pStyle w:val="85"/>
              <w:jc w:val="both"/>
              <w:rPr>
                <w:color w:val="auto"/>
                <w:sz w:val="22"/>
                <w:szCs w:val="22"/>
              </w:rPr>
            </w:pPr>
            <w:r>
              <w:rPr>
                <w:color w:val="auto"/>
                <w:sz w:val="22"/>
                <w:szCs w:val="22"/>
              </w:rPr>
              <w:t>Наблюдение за связью предложений в тексте. Устный пересказ повествовательного текста по опорным словам и самостоятельно составленному плану</w:t>
            </w:r>
          </w:p>
        </w:tc>
      </w:tr>
      <w:tr w14:paraId="644D77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3D3A040D">
            <w:pPr>
              <w:pStyle w:val="85"/>
              <w:jc w:val="center"/>
              <w:rPr>
                <w:color w:val="auto"/>
                <w:sz w:val="22"/>
                <w:szCs w:val="22"/>
              </w:rPr>
            </w:pPr>
            <w:r>
              <w:rPr>
                <w:color w:val="auto"/>
                <w:sz w:val="22"/>
                <w:szCs w:val="22"/>
              </w:rPr>
              <w:t>Урок 153</w:t>
            </w:r>
          </w:p>
        </w:tc>
        <w:tc>
          <w:tcPr>
            <w:tcW w:w="7937" w:type="dxa"/>
          </w:tcPr>
          <w:p w14:paraId="1463A986">
            <w:pPr>
              <w:pStyle w:val="85"/>
              <w:jc w:val="both"/>
              <w:rPr>
                <w:color w:val="auto"/>
                <w:sz w:val="22"/>
                <w:szCs w:val="22"/>
              </w:rPr>
            </w:pPr>
            <w:r>
              <w:rPr>
                <w:color w:val="auto"/>
                <w:sz w:val="22"/>
                <w:szCs w:val="22"/>
              </w:rPr>
              <w:t>Род глаголов в прошедшем времени</w:t>
            </w:r>
          </w:p>
        </w:tc>
      </w:tr>
      <w:tr w14:paraId="1E6E9A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4850CF55">
            <w:pPr>
              <w:pStyle w:val="85"/>
              <w:jc w:val="center"/>
              <w:rPr>
                <w:color w:val="auto"/>
                <w:sz w:val="22"/>
                <w:szCs w:val="22"/>
              </w:rPr>
            </w:pPr>
            <w:r>
              <w:rPr>
                <w:color w:val="auto"/>
                <w:sz w:val="22"/>
                <w:szCs w:val="22"/>
              </w:rPr>
              <w:t>Урок 154</w:t>
            </w:r>
          </w:p>
        </w:tc>
        <w:tc>
          <w:tcPr>
            <w:tcW w:w="7937" w:type="dxa"/>
          </w:tcPr>
          <w:p w14:paraId="7FDA1CF4">
            <w:pPr>
              <w:pStyle w:val="85"/>
              <w:jc w:val="both"/>
              <w:rPr>
                <w:color w:val="auto"/>
                <w:sz w:val="22"/>
                <w:szCs w:val="22"/>
              </w:rPr>
            </w:pPr>
            <w:r>
              <w:rPr>
                <w:color w:val="auto"/>
                <w:sz w:val="22"/>
                <w:szCs w:val="22"/>
              </w:rPr>
              <w:t>Наблюдение за написанием окончаний глаголов в прошедшем времени</w:t>
            </w:r>
          </w:p>
        </w:tc>
      </w:tr>
      <w:tr w14:paraId="7FFDBB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15A6EEEF">
            <w:pPr>
              <w:pStyle w:val="85"/>
              <w:jc w:val="center"/>
              <w:rPr>
                <w:color w:val="auto"/>
                <w:sz w:val="22"/>
                <w:szCs w:val="22"/>
              </w:rPr>
            </w:pPr>
            <w:r>
              <w:rPr>
                <w:color w:val="auto"/>
                <w:sz w:val="22"/>
                <w:szCs w:val="22"/>
              </w:rPr>
              <w:t>Урок 155</w:t>
            </w:r>
          </w:p>
        </w:tc>
        <w:tc>
          <w:tcPr>
            <w:tcW w:w="7937" w:type="dxa"/>
          </w:tcPr>
          <w:p w14:paraId="3F5EC75D">
            <w:pPr>
              <w:pStyle w:val="85"/>
              <w:jc w:val="both"/>
              <w:rPr>
                <w:color w:val="auto"/>
                <w:sz w:val="22"/>
                <w:szCs w:val="22"/>
              </w:rPr>
            </w:pPr>
            <w:r>
              <w:rPr>
                <w:color w:val="auto"/>
                <w:sz w:val="22"/>
                <w:szCs w:val="22"/>
              </w:rPr>
              <w:t>Резервный урок по разделу морфология: отработка темы</w:t>
            </w:r>
          </w:p>
        </w:tc>
      </w:tr>
      <w:tr w14:paraId="2B1E9A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0A00A446">
            <w:pPr>
              <w:pStyle w:val="85"/>
              <w:jc w:val="center"/>
              <w:rPr>
                <w:color w:val="auto"/>
                <w:sz w:val="22"/>
                <w:szCs w:val="22"/>
              </w:rPr>
            </w:pPr>
            <w:r>
              <w:rPr>
                <w:color w:val="auto"/>
                <w:sz w:val="22"/>
                <w:szCs w:val="22"/>
              </w:rPr>
              <w:t>Урок 156</w:t>
            </w:r>
          </w:p>
        </w:tc>
        <w:tc>
          <w:tcPr>
            <w:tcW w:w="7937" w:type="dxa"/>
          </w:tcPr>
          <w:p w14:paraId="2D46118D">
            <w:pPr>
              <w:pStyle w:val="85"/>
              <w:jc w:val="both"/>
              <w:rPr>
                <w:color w:val="auto"/>
                <w:sz w:val="22"/>
                <w:szCs w:val="22"/>
              </w:rPr>
            </w:pPr>
            <w:r>
              <w:rPr>
                <w:color w:val="auto"/>
                <w:sz w:val="22"/>
                <w:szCs w:val="22"/>
              </w:rPr>
              <w:t>Частица не, ее значение</w:t>
            </w:r>
          </w:p>
        </w:tc>
      </w:tr>
      <w:tr w14:paraId="4C8370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70DEDD2F">
            <w:pPr>
              <w:pStyle w:val="85"/>
              <w:jc w:val="center"/>
              <w:rPr>
                <w:color w:val="auto"/>
                <w:sz w:val="22"/>
                <w:szCs w:val="22"/>
              </w:rPr>
            </w:pPr>
            <w:r>
              <w:rPr>
                <w:color w:val="auto"/>
                <w:sz w:val="22"/>
                <w:szCs w:val="22"/>
              </w:rPr>
              <w:t>Урок 157</w:t>
            </w:r>
          </w:p>
        </w:tc>
        <w:tc>
          <w:tcPr>
            <w:tcW w:w="7937" w:type="dxa"/>
          </w:tcPr>
          <w:p w14:paraId="5858ECC0">
            <w:pPr>
              <w:pStyle w:val="85"/>
              <w:jc w:val="both"/>
              <w:rPr>
                <w:color w:val="auto"/>
                <w:sz w:val="22"/>
                <w:szCs w:val="22"/>
              </w:rPr>
            </w:pPr>
            <w:r>
              <w:rPr>
                <w:color w:val="auto"/>
                <w:sz w:val="22"/>
                <w:szCs w:val="22"/>
              </w:rPr>
              <w:t>Правописание частицы не с глаголами</w:t>
            </w:r>
          </w:p>
        </w:tc>
      </w:tr>
      <w:tr w14:paraId="636EB6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74330704">
            <w:pPr>
              <w:pStyle w:val="85"/>
              <w:jc w:val="center"/>
              <w:rPr>
                <w:color w:val="auto"/>
                <w:sz w:val="22"/>
                <w:szCs w:val="22"/>
              </w:rPr>
            </w:pPr>
            <w:r>
              <w:rPr>
                <w:color w:val="auto"/>
                <w:sz w:val="22"/>
                <w:szCs w:val="22"/>
              </w:rPr>
              <w:t>Урок 158</w:t>
            </w:r>
          </w:p>
        </w:tc>
        <w:tc>
          <w:tcPr>
            <w:tcW w:w="7937" w:type="dxa"/>
          </w:tcPr>
          <w:p w14:paraId="098D88F4">
            <w:pPr>
              <w:pStyle w:val="85"/>
              <w:jc w:val="both"/>
              <w:rPr>
                <w:color w:val="auto"/>
                <w:sz w:val="22"/>
                <w:szCs w:val="22"/>
              </w:rPr>
            </w:pPr>
            <w:r>
              <w:rPr>
                <w:color w:val="auto"/>
                <w:sz w:val="22"/>
                <w:szCs w:val="22"/>
              </w:rPr>
              <w:t>Создание собственных текстов-рассуждений. Составление совета-рассуждения с использованием побудительных предложений и глаголов с частицей не</w:t>
            </w:r>
          </w:p>
        </w:tc>
      </w:tr>
      <w:tr w14:paraId="4640BA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462CC3AB">
            <w:pPr>
              <w:pStyle w:val="85"/>
              <w:jc w:val="center"/>
              <w:rPr>
                <w:color w:val="auto"/>
                <w:sz w:val="22"/>
                <w:szCs w:val="22"/>
              </w:rPr>
            </w:pPr>
            <w:r>
              <w:rPr>
                <w:color w:val="auto"/>
                <w:sz w:val="22"/>
                <w:szCs w:val="22"/>
              </w:rPr>
              <w:t>Урок 159</w:t>
            </w:r>
          </w:p>
        </w:tc>
        <w:tc>
          <w:tcPr>
            <w:tcW w:w="7937" w:type="dxa"/>
          </w:tcPr>
          <w:p w14:paraId="1146B238">
            <w:pPr>
              <w:pStyle w:val="85"/>
              <w:jc w:val="both"/>
              <w:rPr>
                <w:color w:val="auto"/>
                <w:sz w:val="22"/>
                <w:szCs w:val="22"/>
              </w:rPr>
            </w:pPr>
            <w:r>
              <w:rPr>
                <w:color w:val="auto"/>
                <w:sz w:val="22"/>
                <w:szCs w:val="22"/>
              </w:rPr>
              <w:t>Правописание глаголов</w:t>
            </w:r>
          </w:p>
        </w:tc>
      </w:tr>
      <w:tr w14:paraId="4D0BF0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467B9D7C">
            <w:pPr>
              <w:pStyle w:val="85"/>
              <w:jc w:val="center"/>
              <w:rPr>
                <w:color w:val="auto"/>
                <w:sz w:val="22"/>
                <w:szCs w:val="22"/>
              </w:rPr>
            </w:pPr>
            <w:r>
              <w:rPr>
                <w:color w:val="auto"/>
                <w:sz w:val="22"/>
                <w:szCs w:val="22"/>
              </w:rPr>
              <w:t>Урок 160</w:t>
            </w:r>
          </w:p>
        </w:tc>
        <w:tc>
          <w:tcPr>
            <w:tcW w:w="7937" w:type="dxa"/>
          </w:tcPr>
          <w:p w14:paraId="60EE8A8B">
            <w:pPr>
              <w:pStyle w:val="85"/>
              <w:jc w:val="both"/>
              <w:rPr>
                <w:color w:val="auto"/>
                <w:sz w:val="22"/>
                <w:szCs w:val="22"/>
              </w:rPr>
            </w:pPr>
            <w:r>
              <w:rPr>
                <w:color w:val="auto"/>
                <w:sz w:val="22"/>
                <w:szCs w:val="22"/>
              </w:rPr>
              <w:t>Резервный урок по разделу морфология: отработка темы</w:t>
            </w:r>
          </w:p>
        </w:tc>
      </w:tr>
      <w:tr w14:paraId="4C5D4F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4A8A8DC6">
            <w:pPr>
              <w:pStyle w:val="85"/>
              <w:jc w:val="center"/>
              <w:rPr>
                <w:color w:val="auto"/>
                <w:sz w:val="22"/>
                <w:szCs w:val="22"/>
              </w:rPr>
            </w:pPr>
            <w:r>
              <w:rPr>
                <w:color w:val="auto"/>
                <w:sz w:val="22"/>
                <w:szCs w:val="22"/>
              </w:rPr>
              <w:t>Урок 161</w:t>
            </w:r>
          </w:p>
        </w:tc>
        <w:tc>
          <w:tcPr>
            <w:tcW w:w="7937" w:type="dxa"/>
          </w:tcPr>
          <w:p w14:paraId="68336312">
            <w:pPr>
              <w:pStyle w:val="85"/>
              <w:jc w:val="both"/>
              <w:rPr>
                <w:color w:val="auto"/>
                <w:sz w:val="22"/>
                <w:szCs w:val="22"/>
              </w:rPr>
            </w:pPr>
            <w:r>
              <w:rPr>
                <w:color w:val="auto"/>
                <w:sz w:val="22"/>
                <w:szCs w:val="22"/>
              </w:rPr>
              <w:t>Части речи: систематизация изученного в 3 классе</w:t>
            </w:r>
          </w:p>
        </w:tc>
      </w:tr>
      <w:tr w14:paraId="6BECA1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780CBC94">
            <w:pPr>
              <w:pStyle w:val="85"/>
              <w:jc w:val="center"/>
              <w:rPr>
                <w:color w:val="auto"/>
                <w:sz w:val="22"/>
                <w:szCs w:val="22"/>
              </w:rPr>
            </w:pPr>
            <w:r>
              <w:rPr>
                <w:color w:val="auto"/>
                <w:sz w:val="22"/>
                <w:szCs w:val="22"/>
              </w:rPr>
              <w:t>Урок 162</w:t>
            </w:r>
          </w:p>
        </w:tc>
        <w:tc>
          <w:tcPr>
            <w:tcW w:w="7937" w:type="dxa"/>
          </w:tcPr>
          <w:p w14:paraId="5D51D856">
            <w:pPr>
              <w:pStyle w:val="85"/>
              <w:jc w:val="both"/>
              <w:rPr>
                <w:color w:val="auto"/>
                <w:sz w:val="22"/>
                <w:szCs w:val="22"/>
              </w:rPr>
            </w:pPr>
            <w:r>
              <w:rPr>
                <w:color w:val="auto"/>
                <w:sz w:val="22"/>
                <w:szCs w:val="22"/>
              </w:rPr>
              <w:t>Части речи: обобщение. Подробное изложение повествовательного текста</w:t>
            </w:r>
          </w:p>
        </w:tc>
      </w:tr>
      <w:tr w14:paraId="376533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02B687DD">
            <w:pPr>
              <w:pStyle w:val="85"/>
              <w:jc w:val="center"/>
              <w:rPr>
                <w:color w:val="auto"/>
                <w:sz w:val="22"/>
                <w:szCs w:val="22"/>
              </w:rPr>
            </w:pPr>
            <w:r>
              <w:rPr>
                <w:color w:val="auto"/>
                <w:sz w:val="22"/>
                <w:szCs w:val="22"/>
              </w:rPr>
              <w:t>Урок 163</w:t>
            </w:r>
          </w:p>
        </w:tc>
        <w:tc>
          <w:tcPr>
            <w:tcW w:w="7937" w:type="dxa"/>
          </w:tcPr>
          <w:p w14:paraId="06F47F3E">
            <w:pPr>
              <w:pStyle w:val="85"/>
              <w:jc w:val="both"/>
              <w:rPr>
                <w:color w:val="auto"/>
                <w:sz w:val="22"/>
                <w:szCs w:val="22"/>
              </w:rPr>
            </w:pPr>
            <w:r>
              <w:rPr>
                <w:color w:val="auto"/>
                <w:sz w:val="22"/>
                <w:szCs w:val="22"/>
              </w:rPr>
              <w:t>Резервный урок: повторение по разделу морфология</w:t>
            </w:r>
          </w:p>
        </w:tc>
      </w:tr>
      <w:tr w14:paraId="48D4EE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4A143401">
            <w:pPr>
              <w:pStyle w:val="85"/>
              <w:jc w:val="center"/>
              <w:rPr>
                <w:color w:val="auto"/>
                <w:sz w:val="22"/>
                <w:szCs w:val="22"/>
              </w:rPr>
            </w:pPr>
            <w:r>
              <w:rPr>
                <w:color w:val="auto"/>
                <w:sz w:val="22"/>
                <w:szCs w:val="22"/>
              </w:rPr>
              <w:t>Урок 164</w:t>
            </w:r>
          </w:p>
        </w:tc>
        <w:tc>
          <w:tcPr>
            <w:tcW w:w="7937" w:type="dxa"/>
          </w:tcPr>
          <w:p w14:paraId="7729F5EF">
            <w:pPr>
              <w:pStyle w:val="85"/>
              <w:jc w:val="both"/>
              <w:rPr>
                <w:color w:val="auto"/>
                <w:sz w:val="22"/>
                <w:szCs w:val="22"/>
              </w:rPr>
            </w:pPr>
            <w:r>
              <w:rPr>
                <w:color w:val="auto"/>
                <w:sz w:val="22"/>
                <w:szCs w:val="22"/>
              </w:rPr>
              <w:t>Наблюдение за связью предложений в тексте с помощью союзов и, а, но. Корректирование текста с нарушенным порядком абзацев</w:t>
            </w:r>
          </w:p>
        </w:tc>
      </w:tr>
      <w:tr w14:paraId="703096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14D021AF">
            <w:pPr>
              <w:pStyle w:val="85"/>
              <w:jc w:val="center"/>
              <w:rPr>
                <w:color w:val="auto"/>
                <w:sz w:val="22"/>
                <w:szCs w:val="22"/>
              </w:rPr>
            </w:pPr>
            <w:r>
              <w:rPr>
                <w:color w:val="auto"/>
                <w:sz w:val="22"/>
                <w:szCs w:val="22"/>
              </w:rPr>
              <w:t>Урок 165</w:t>
            </w:r>
          </w:p>
        </w:tc>
        <w:tc>
          <w:tcPr>
            <w:tcW w:w="7937" w:type="dxa"/>
          </w:tcPr>
          <w:p w14:paraId="6E1F899C">
            <w:pPr>
              <w:pStyle w:val="85"/>
              <w:jc w:val="both"/>
              <w:rPr>
                <w:color w:val="auto"/>
                <w:sz w:val="22"/>
                <w:szCs w:val="22"/>
              </w:rPr>
            </w:pPr>
            <w:r>
              <w:rPr>
                <w:color w:val="auto"/>
                <w:sz w:val="22"/>
                <w:szCs w:val="22"/>
              </w:rPr>
              <w:t>Повторяем правописание слов с изученными в 1 - 3 классах орфограммами в корне, приставках, окончаниях</w:t>
            </w:r>
          </w:p>
        </w:tc>
      </w:tr>
      <w:tr w14:paraId="2850D5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02243FDB">
            <w:pPr>
              <w:pStyle w:val="85"/>
              <w:jc w:val="center"/>
              <w:rPr>
                <w:color w:val="auto"/>
                <w:sz w:val="22"/>
                <w:szCs w:val="22"/>
              </w:rPr>
            </w:pPr>
            <w:r>
              <w:rPr>
                <w:color w:val="auto"/>
                <w:sz w:val="22"/>
                <w:szCs w:val="22"/>
              </w:rPr>
              <w:t>Урок 166</w:t>
            </w:r>
          </w:p>
        </w:tc>
        <w:tc>
          <w:tcPr>
            <w:tcW w:w="7937" w:type="dxa"/>
          </w:tcPr>
          <w:p w14:paraId="7C3AEDC9">
            <w:pPr>
              <w:pStyle w:val="85"/>
              <w:jc w:val="both"/>
              <w:rPr>
                <w:color w:val="auto"/>
                <w:sz w:val="22"/>
                <w:szCs w:val="22"/>
              </w:rPr>
            </w:pPr>
            <w:r>
              <w:rPr>
                <w:color w:val="auto"/>
                <w:sz w:val="22"/>
                <w:szCs w:val="22"/>
              </w:rPr>
              <w:t>Повторяем правописание слов с изученными в 1 - 3 классах орфограммами</w:t>
            </w:r>
          </w:p>
        </w:tc>
      </w:tr>
      <w:tr w14:paraId="5709A7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58C67977">
            <w:pPr>
              <w:pStyle w:val="85"/>
              <w:jc w:val="center"/>
              <w:rPr>
                <w:color w:val="auto"/>
                <w:sz w:val="22"/>
                <w:szCs w:val="22"/>
              </w:rPr>
            </w:pPr>
            <w:r>
              <w:rPr>
                <w:color w:val="auto"/>
                <w:sz w:val="22"/>
                <w:szCs w:val="22"/>
              </w:rPr>
              <w:t>Урок 167</w:t>
            </w:r>
          </w:p>
        </w:tc>
        <w:tc>
          <w:tcPr>
            <w:tcW w:w="7937" w:type="dxa"/>
          </w:tcPr>
          <w:p w14:paraId="04F1DD04">
            <w:pPr>
              <w:pStyle w:val="85"/>
              <w:jc w:val="both"/>
              <w:rPr>
                <w:color w:val="auto"/>
                <w:sz w:val="22"/>
                <w:szCs w:val="22"/>
              </w:rPr>
            </w:pPr>
            <w:r>
              <w:rPr>
                <w:color w:val="auto"/>
                <w:sz w:val="22"/>
                <w:szCs w:val="22"/>
              </w:rPr>
              <w:t>Резервный урок по разделу орфография: отработка орфограмм, вызывающих трудности</w:t>
            </w:r>
          </w:p>
        </w:tc>
      </w:tr>
      <w:tr w14:paraId="3D864C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1CA08FCB">
            <w:pPr>
              <w:pStyle w:val="85"/>
              <w:jc w:val="center"/>
              <w:rPr>
                <w:color w:val="auto"/>
                <w:sz w:val="22"/>
                <w:szCs w:val="22"/>
              </w:rPr>
            </w:pPr>
            <w:r>
              <w:rPr>
                <w:color w:val="auto"/>
                <w:sz w:val="22"/>
                <w:szCs w:val="22"/>
              </w:rPr>
              <w:t>Урок 168</w:t>
            </w:r>
          </w:p>
        </w:tc>
        <w:tc>
          <w:tcPr>
            <w:tcW w:w="7937" w:type="dxa"/>
          </w:tcPr>
          <w:p w14:paraId="2CDFAC3E">
            <w:pPr>
              <w:pStyle w:val="85"/>
              <w:jc w:val="both"/>
              <w:rPr>
                <w:color w:val="auto"/>
                <w:sz w:val="22"/>
                <w:szCs w:val="22"/>
              </w:rPr>
            </w:pPr>
            <w:r>
              <w:rPr>
                <w:color w:val="auto"/>
                <w:sz w:val="22"/>
                <w:szCs w:val="22"/>
              </w:rPr>
              <w:t>Резервный урок по разделу орфография: отработка орфограмм, вызывающих трудности</w:t>
            </w:r>
          </w:p>
        </w:tc>
      </w:tr>
      <w:tr w14:paraId="028638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72D87DB2">
            <w:pPr>
              <w:pStyle w:val="85"/>
              <w:jc w:val="center"/>
              <w:rPr>
                <w:color w:val="auto"/>
                <w:sz w:val="22"/>
                <w:szCs w:val="22"/>
              </w:rPr>
            </w:pPr>
            <w:r>
              <w:rPr>
                <w:color w:val="auto"/>
                <w:sz w:val="22"/>
                <w:szCs w:val="22"/>
              </w:rPr>
              <w:t>Урок 169</w:t>
            </w:r>
          </w:p>
        </w:tc>
        <w:tc>
          <w:tcPr>
            <w:tcW w:w="7937" w:type="dxa"/>
          </w:tcPr>
          <w:p w14:paraId="5CF74EB8">
            <w:pPr>
              <w:pStyle w:val="85"/>
              <w:jc w:val="both"/>
              <w:rPr>
                <w:color w:val="auto"/>
                <w:sz w:val="22"/>
                <w:szCs w:val="22"/>
              </w:rPr>
            </w:pPr>
            <w:r>
              <w:rPr>
                <w:color w:val="auto"/>
                <w:sz w:val="22"/>
                <w:szCs w:val="22"/>
              </w:rPr>
              <w:t>Резервный урок по разделу орфография: контрольная работа "Чему мы научились на уроках правописания в 3 классе"</w:t>
            </w:r>
          </w:p>
        </w:tc>
      </w:tr>
      <w:tr w14:paraId="544A4D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4938C61D">
            <w:pPr>
              <w:pStyle w:val="85"/>
              <w:jc w:val="center"/>
              <w:rPr>
                <w:color w:val="auto"/>
                <w:sz w:val="22"/>
                <w:szCs w:val="22"/>
              </w:rPr>
            </w:pPr>
            <w:r>
              <w:rPr>
                <w:color w:val="auto"/>
                <w:sz w:val="22"/>
                <w:szCs w:val="22"/>
              </w:rPr>
              <w:t>Урок 170</w:t>
            </w:r>
          </w:p>
        </w:tc>
        <w:tc>
          <w:tcPr>
            <w:tcW w:w="7937" w:type="dxa"/>
          </w:tcPr>
          <w:p w14:paraId="030D6698">
            <w:pPr>
              <w:pStyle w:val="85"/>
              <w:jc w:val="both"/>
              <w:rPr>
                <w:color w:val="auto"/>
                <w:sz w:val="22"/>
                <w:szCs w:val="22"/>
              </w:rPr>
            </w:pPr>
            <w:r>
              <w:rPr>
                <w:color w:val="auto"/>
                <w:sz w:val="22"/>
                <w:szCs w:val="22"/>
              </w:rPr>
              <w:t>Как помочь вести диалог человеку, для которого русский язык не является родным. Изучающее чтение. Функции ознакомительного чтения, ситуации применения</w:t>
            </w:r>
          </w:p>
        </w:tc>
      </w:tr>
      <w:tr w14:paraId="518361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9071" w:type="dxa"/>
            <w:gridSpan w:val="2"/>
            <w:vAlign w:val="center"/>
          </w:tcPr>
          <w:p w14:paraId="35E12E0B">
            <w:pPr>
              <w:pStyle w:val="85"/>
              <w:jc w:val="both"/>
              <w:rPr>
                <w:color w:val="auto"/>
                <w:sz w:val="22"/>
                <w:szCs w:val="22"/>
              </w:rPr>
            </w:pPr>
            <w:r>
              <w:rPr>
                <w:color w:val="auto"/>
                <w:sz w:val="22"/>
                <w:szCs w:val="22"/>
              </w:rPr>
              <w:t>ОБЩЕЕ КОЛИЧЕСТВО УРОКОВ ПО ПРОГРАММЕ: 170, из них уроков, отведенных на контрольные работы, - не более 17</w:t>
            </w:r>
          </w:p>
        </w:tc>
      </w:tr>
    </w:tbl>
    <w:p w14:paraId="1B2F5549">
      <w:pPr>
        <w:pStyle w:val="85"/>
        <w:jc w:val="both"/>
        <w:rPr>
          <w:color w:val="auto"/>
          <w:sz w:val="22"/>
          <w:szCs w:val="22"/>
        </w:rPr>
      </w:pPr>
    </w:p>
    <w:p w14:paraId="77020583">
      <w:pPr>
        <w:pStyle w:val="85"/>
        <w:jc w:val="right"/>
        <w:rPr>
          <w:color w:val="auto"/>
          <w:sz w:val="22"/>
          <w:szCs w:val="22"/>
        </w:rPr>
      </w:pPr>
      <w:r>
        <w:rPr>
          <w:color w:val="auto"/>
          <w:sz w:val="22"/>
          <w:szCs w:val="22"/>
        </w:rPr>
        <w:t>Таблица 2.3</w:t>
      </w:r>
    </w:p>
    <w:p w14:paraId="6E248D71">
      <w:pPr>
        <w:pStyle w:val="85"/>
        <w:jc w:val="both"/>
        <w:rPr>
          <w:color w:val="auto"/>
          <w:sz w:val="22"/>
          <w:szCs w:val="22"/>
        </w:rPr>
      </w:pPr>
    </w:p>
    <w:p w14:paraId="1B0D9B00">
      <w:pPr>
        <w:pStyle w:val="85"/>
        <w:jc w:val="both"/>
        <w:rPr>
          <w:color w:val="auto"/>
          <w:sz w:val="22"/>
          <w:szCs w:val="22"/>
        </w:rPr>
      </w:pPr>
      <w:r>
        <w:rPr>
          <w:color w:val="auto"/>
          <w:sz w:val="22"/>
          <w:szCs w:val="22"/>
        </w:rPr>
        <w:t>4 класс</w:t>
      </w:r>
    </w:p>
    <w:p w14:paraId="6B0B2B1E">
      <w:pPr>
        <w:pStyle w:val="85"/>
        <w:jc w:val="both"/>
        <w:rPr>
          <w:color w:val="auto"/>
          <w:sz w:val="22"/>
          <w:szCs w:val="22"/>
        </w:rPr>
      </w:pPr>
    </w:p>
    <w:tbl>
      <w:tblPr>
        <w:tblStyle w:val="1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02" w:type="dxa"/>
          <w:left w:w="62" w:type="dxa"/>
          <w:bottom w:w="102" w:type="dxa"/>
          <w:right w:w="62" w:type="dxa"/>
        </w:tblCellMar>
      </w:tblPr>
      <w:tblGrid>
        <w:gridCol w:w="1134"/>
        <w:gridCol w:w="7937"/>
      </w:tblGrid>
      <w:tr w14:paraId="06177F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tcPr>
          <w:p w14:paraId="5B84BC55">
            <w:pPr>
              <w:pStyle w:val="85"/>
              <w:jc w:val="center"/>
              <w:rPr>
                <w:color w:val="auto"/>
                <w:sz w:val="22"/>
                <w:szCs w:val="22"/>
              </w:rPr>
            </w:pPr>
            <w:r>
              <w:rPr>
                <w:color w:val="auto"/>
                <w:sz w:val="22"/>
                <w:szCs w:val="22"/>
              </w:rPr>
              <w:t>N урока</w:t>
            </w:r>
          </w:p>
        </w:tc>
        <w:tc>
          <w:tcPr>
            <w:tcW w:w="7937" w:type="dxa"/>
          </w:tcPr>
          <w:p w14:paraId="5CF9DA9F">
            <w:pPr>
              <w:pStyle w:val="85"/>
              <w:jc w:val="center"/>
              <w:rPr>
                <w:color w:val="auto"/>
                <w:sz w:val="22"/>
                <w:szCs w:val="22"/>
              </w:rPr>
            </w:pPr>
            <w:r>
              <w:rPr>
                <w:color w:val="auto"/>
                <w:sz w:val="22"/>
                <w:szCs w:val="22"/>
              </w:rPr>
              <w:t>Тема урока</w:t>
            </w:r>
          </w:p>
        </w:tc>
      </w:tr>
      <w:tr w14:paraId="1B8349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525946F5">
            <w:pPr>
              <w:pStyle w:val="85"/>
              <w:jc w:val="center"/>
              <w:rPr>
                <w:color w:val="auto"/>
                <w:sz w:val="22"/>
                <w:szCs w:val="22"/>
              </w:rPr>
            </w:pPr>
            <w:r>
              <w:rPr>
                <w:color w:val="auto"/>
                <w:sz w:val="22"/>
                <w:szCs w:val="22"/>
              </w:rPr>
              <w:t>Урок 1</w:t>
            </w:r>
          </w:p>
        </w:tc>
        <w:tc>
          <w:tcPr>
            <w:tcW w:w="7937" w:type="dxa"/>
          </w:tcPr>
          <w:p w14:paraId="0E8FF918">
            <w:pPr>
              <w:pStyle w:val="85"/>
              <w:jc w:val="both"/>
              <w:rPr>
                <w:color w:val="auto"/>
                <w:sz w:val="22"/>
                <w:szCs w:val="22"/>
              </w:rPr>
            </w:pPr>
            <w:r>
              <w:rPr>
                <w:color w:val="auto"/>
                <w:sz w:val="22"/>
                <w:szCs w:val="22"/>
              </w:rPr>
              <w:t>Русский язык как язык межнационального общения. Наша речь и наш язык</w:t>
            </w:r>
          </w:p>
        </w:tc>
      </w:tr>
      <w:tr w14:paraId="21346A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1FDC5BF8">
            <w:pPr>
              <w:pStyle w:val="85"/>
              <w:jc w:val="center"/>
              <w:rPr>
                <w:color w:val="auto"/>
                <w:sz w:val="22"/>
                <w:szCs w:val="22"/>
              </w:rPr>
            </w:pPr>
            <w:r>
              <w:rPr>
                <w:color w:val="auto"/>
                <w:sz w:val="22"/>
                <w:szCs w:val="22"/>
              </w:rPr>
              <w:t>Урок 2</w:t>
            </w:r>
          </w:p>
        </w:tc>
        <w:tc>
          <w:tcPr>
            <w:tcW w:w="7937" w:type="dxa"/>
          </w:tcPr>
          <w:p w14:paraId="7AFAC5DE">
            <w:pPr>
              <w:pStyle w:val="85"/>
              <w:jc w:val="both"/>
              <w:rPr>
                <w:color w:val="auto"/>
                <w:sz w:val="22"/>
                <w:szCs w:val="22"/>
              </w:rPr>
            </w:pPr>
            <w:r>
              <w:rPr>
                <w:color w:val="auto"/>
                <w:sz w:val="22"/>
                <w:szCs w:val="22"/>
              </w:rPr>
              <w:t>Текст: тема и основная мысль. Текст и его план</w:t>
            </w:r>
          </w:p>
        </w:tc>
      </w:tr>
      <w:tr w14:paraId="2919F0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24573703">
            <w:pPr>
              <w:pStyle w:val="85"/>
              <w:jc w:val="center"/>
              <w:rPr>
                <w:color w:val="auto"/>
                <w:sz w:val="22"/>
                <w:szCs w:val="22"/>
              </w:rPr>
            </w:pPr>
            <w:r>
              <w:rPr>
                <w:color w:val="auto"/>
                <w:sz w:val="22"/>
                <w:szCs w:val="22"/>
              </w:rPr>
              <w:t>Урок 3</w:t>
            </w:r>
          </w:p>
        </w:tc>
        <w:tc>
          <w:tcPr>
            <w:tcW w:w="7937" w:type="dxa"/>
          </w:tcPr>
          <w:p w14:paraId="7F6BD8DA">
            <w:pPr>
              <w:pStyle w:val="85"/>
              <w:jc w:val="both"/>
              <w:rPr>
                <w:color w:val="auto"/>
                <w:sz w:val="22"/>
                <w:szCs w:val="22"/>
              </w:rPr>
            </w:pPr>
            <w:r>
              <w:rPr>
                <w:color w:val="auto"/>
                <w:sz w:val="22"/>
                <w:szCs w:val="22"/>
              </w:rPr>
              <w:t>Текст: заголовок</w:t>
            </w:r>
          </w:p>
        </w:tc>
      </w:tr>
      <w:tr w14:paraId="19A4D8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69F956F9">
            <w:pPr>
              <w:pStyle w:val="85"/>
              <w:jc w:val="center"/>
              <w:rPr>
                <w:color w:val="auto"/>
                <w:sz w:val="22"/>
                <w:szCs w:val="22"/>
              </w:rPr>
            </w:pPr>
            <w:r>
              <w:rPr>
                <w:color w:val="auto"/>
                <w:sz w:val="22"/>
                <w:szCs w:val="22"/>
              </w:rPr>
              <w:t>Урок 4</w:t>
            </w:r>
          </w:p>
        </w:tc>
        <w:tc>
          <w:tcPr>
            <w:tcW w:w="7937" w:type="dxa"/>
          </w:tcPr>
          <w:p w14:paraId="79647877">
            <w:pPr>
              <w:pStyle w:val="85"/>
              <w:jc w:val="both"/>
              <w:rPr>
                <w:color w:val="auto"/>
                <w:sz w:val="22"/>
                <w:szCs w:val="22"/>
              </w:rPr>
            </w:pPr>
            <w:r>
              <w:rPr>
                <w:color w:val="auto"/>
                <w:sz w:val="22"/>
                <w:szCs w:val="22"/>
              </w:rPr>
              <w:t>Текст. План текста</w:t>
            </w:r>
          </w:p>
        </w:tc>
      </w:tr>
      <w:tr w14:paraId="32E3D7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0CFA5C04">
            <w:pPr>
              <w:pStyle w:val="85"/>
              <w:jc w:val="center"/>
              <w:rPr>
                <w:color w:val="auto"/>
                <w:sz w:val="22"/>
                <w:szCs w:val="22"/>
              </w:rPr>
            </w:pPr>
            <w:r>
              <w:rPr>
                <w:color w:val="auto"/>
                <w:sz w:val="22"/>
                <w:szCs w:val="22"/>
              </w:rPr>
              <w:t>Урок 5</w:t>
            </w:r>
          </w:p>
        </w:tc>
        <w:tc>
          <w:tcPr>
            <w:tcW w:w="7937" w:type="dxa"/>
          </w:tcPr>
          <w:p w14:paraId="6868F492">
            <w:pPr>
              <w:pStyle w:val="85"/>
              <w:jc w:val="both"/>
              <w:rPr>
                <w:color w:val="auto"/>
                <w:sz w:val="22"/>
                <w:szCs w:val="22"/>
              </w:rPr>
            </w:pPr>
            <w:r>
              <w:rPr>
                <w:color w:val="auto"/>
                <w:sz w:val="22"/>
                <w:szCs w:val="22"/>
              </w:rPr>
              <w:t>Текст. Структура текста. Составление текста (сказки) по его началу</w:t>
            </w:r>
          </w:p>
        </w:tc>
      </w:tr>
      <w:tr w14:paraId="44D6FB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2BEAD038">
            <w:pPr>
              <w:pStyle w:val="85"/>
              <w:jc w:val="center"/>
              <w:rPr>
                <w:color w:val="auto"/>
                <w:sz w:val="22"/>
                <w:szCs w:val="22"/>
              </w:rPr>
            </w:pPr>
            <w:r>
              <w:rPr>
                <w:color w:val="auto"/>
                <w:sz w:val="22"/>
                <w:szCs w:val="22"/>
              </w:rPr>
              <w:t>Урок 6</w:t>
            </w:r>
          </w:p>
        </w:tc>
        <w:tc>
          <w:tcPr>
            <w:tcW w:w="7937" w:type="dxa"/>
          </w:tcPr>
          <w:p w14:paraId="4FF15537">
            <w:pPr>
              <w:pStyle w:val="85"/>
              <w:jc w:val="both"/>
              <w:rPr>
                <w:color w:val="auto"/>
                <w:sz w:val="22"/>
                <w:szCs w:val="22"/>
              </w:rPr>
            </w:pPr>
            <w:r>
              <w:rPr>
                <w:color w:val="auto"/>
                <w:sz w:val="22"/>
                <w:szCs w:val="22"/>
              </w:rPr>
              <w:t>Вспоминаем типы текстов</w:t>
            </w:r>
          </w:p>
        </w:tc>
      </w:tr>
      <w:tr w14:paraId="45D212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505B3101">
            <w:pPr>
              <w:pStyle w:val="85"/>
              <w:jc w:val="center"/>
              <w:rPr>
                <w:color w:val="auto"/>
                <w:sz w:val="22"/>
                <w:szCs w:val="22"/>
              </w:rPr>
            </w:pPr>
            <w:r>
              <w:rPr>
                <w:color w:val="auto"/>
                <w:sz w:val="22"/>
                <w:szCs w:val="22"/>
              </w:rPr>
              <w:t>Урок 7</w:t>
            </w:r>
          </w:p>
        </w:tc>
        <w:tc>
          <w:tcPr>
            <w:tcW w:w="7937" w:type="dxa"/>
          </w:tcPr>
          <w:p w14:paraId="1E0C1DFE">
            <w:pPr>
              <w:pStyle w:val="85"/>
              <w:jc w:val="both"/>
              <w:rPr>
                <w:color w:val="auto"/>
                <w:sz w:val="22"/>
                <w:szCs w:val="22"/>
              </w:rPr>
            </w:pPr>
            <w:r>
              <w:rPr>
                <w:color w:val="auto"/>
                <w:sz w:val="22"/>
                <w:szCs w:val="22"/>
              </w:rPr>
              <w:t>Различаем тексты-повествования, тексты-описания и тексты-рассуждения</w:t>
            </w:r>
          </w:p>
        </w:tc>
      </w:tr>
      <w:tr w14:paraId="7DD211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3376AA2B">
            <w:pPr>
              <w:pStyle w:val="85"/>
              <w:jc w:val="center"/>
              <w:rPr>
                <w:color w:val="auto"/>
                <w:sz w:val="22"/>
                <w:szCs w:val="22"/>
              </w:rPr>
            </w:pPr>
            <w:r>
              <w:rPr>
                <w:color w:val="auto"/>
                <w:sz w:val="22"/>
                <w:szCs w:val="22"/>
              </w:rPr>
              <w:t>Урок 8</w:t>
            </w:r>
          </w:p>
        </w:tc>
        <w:tc>
          <w:tcPr>
            <w:tcW w:w="7937" w:type="dxa"/>
          </w:tcPr>
          <w:p w14:paraId="47D5F5E9">
            <w:pPr>
              <w:pStyle w:val="85"/>
              <w:jc w:val="both"/>
              <w:rPr>
                <w:color w:val="auto"/>
                <w:sz w:val="22"/>
                <w:szCs w:val="22"/>
              </w:rPr>
            </w:pPr>
            <w:r>
              <w:rPr>
                <w:color w:val="auto"/>
                <w:sz w:val="22"/>
                <w:szCs w:val="22"/>
              </w:rPr>
              <w:t>Текст. Образные языковые средства</w:t>
            </w:r>
          </w:p>
        </w:tc>
      </w:tr>
      <w:tr w14:paraId="6FEC1F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5FD4A09F">
            <w:pPr>
              <w:pStyle w:val="85"/>
              <w:jc w:val="center"/>
              <w:rPr>
                <w:color w:val="auto"/>
                <w:sz w:val="22"/>
                <w:szCs w:val="22"/>
              </w:rPr>
            </w:pPr>
            <w:r>
              <w:rPr>
                <w:color w:val="auto"/>
                <w:sz w:val="22"/>
                <w:szCs w:val="22"/>
              </w:rPr>
              <w:t>Урок 9</w:t>
            </w:r>
          </w:p>
        </w:tc>
        <w:tc>
          <w:tcPr>
            <w:tcW w:w="7937" w:type="dxa"/>
          </w:tcPr>
          <w:p w14:paraId="4DC9F69A">
            <w:pPr>
              <w:pStyle w:val="85"/>
              <w:jc w:val="both"/>
              <w:rPr>
                <w:color w:val="auto"/>
                <w:sz w:val="22"/>
                <w:szCs w:val="22"/>
              </w:rPr>
            </w:pPr>
            <w:r>
              <w:rPr>
                <w:color w:val="auto"/>
                <w:sz w:val="22"/>
                <w:szCs w:val="22"/>
              </w:rPr>
              <w:t>Подбираем заголовки, отражающие тему или основную мысль текста</w:t>
            </w:r>
          </w:p>
        </w:tc>
      </w:tr>
      <w:tr w14:paraId="7AE516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6EB40C9B">
            <w:pPr>
              <w:pStyle w:val="85"/>
              <w:jc w:val="center"/>
              <w:rPr>
                <w:color w:val="auto"/>
                <w:sz w:val="22"/>
                <w:szCs w:val="22"/>
              </w:rPr>
            </w:pPr>
            <w:r>
              <w:rPr>
                <w:color w:val="auto"/>
                <w:sz w:val="22"/>
                <w:szCs w:val="22"/>
              </w:rPr>
              <w:t>Урок 10</w:t>
            </w:r>
          </w:p>
        </w:tc>
        <w:tc>
          <w:tcPr>
            <w:tcW w:w="7937" w:type="dxa"/>
          </w:tcPr>
          <w:p w14:paraId="10DBAE94">
            <w:pPr>
              <w:pStyle w:val="85"/>
              <w:jc w:val="both"/>
              <w:rPr>
                <w:color w:val="auto"/>
                <w:sz w:val="22"/>
                <w:szCs w:val="22"/>
              </w:rPr>
            </w:pPr>
            <w:r>
              <w:rPr>
                <w:color w:val="auto"/>
                <w:sz w:val="22"/>
                <w:szCs w:val="22"/>
              </w:rPr>
              <w:t>Пишем собственный текст по предложенному заголовку</w:t>
            </w:r>
          </w:p>
        </w:tc>
      </w:tr>
      <w:tr w14:paraId="1A7396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5EA9A6D2">
            <w:pPr>
              <w:pStyle w:val="85"/>
              <w:jc w:val="center"/>
              <w:rPr>
                <w:color w:val="auto"/>
                <w:sz w:val="22"/>
                <w:szCs w:val="22"/>
              </w:rPr>
            </w:pPr>
            <w:r>
              <w:rPr>
                <w:color w:val="auto"/>
                <w:sz w:val="22"/>
                <w:szCs w:val="22"/>
              </w:rPr>
              <w:t>Урок 11</w:t>
            </w:r>
          </w:p>
        </w:tc>
        <w:tc>
          <w:tcPr>
            <w:tcW w:w="7937" w:type="dxa"/>
          </w:tcPr>
          <w:p w14:paraId="52B6039E">
            <w:pPr>
              <w:pStyle w:val="85"/>
              <w:jc w:val="both"/>
              <w:rPr>
                <w:color w:val="auto"/>
                <w:sz w:val="22"/>
                <w:szCs w:val="22"/>
              </w:rPr>
            </w:pPr>
            <w:r>
              <w:rPr>
                <w:color w:val="auto"/>
                <w:sz w:val="22"/>
                <w:szCs w:val="22"/>
              </w:rPr>
              <w:t>Виды предложений по цели высказывания: повествовательные, вопросительные и побудительные</w:t>
            </w:r>
          </w:p>
        </w:tc>
      </w:tr>
      <w:tr w14:paraId="7E4E69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1CFC4DFD">
            <w:pPr>
              <w:pStyle w:val="85"/>
              <w:jc w:val="center"/>
              <w:rPr>
                <w:color w:val="auto"/>
                <w:sz w:val="22"/>
                <w:szCs w:val="22"/>
              </w:rPr>
            </w:pPr>
            <w:r>
              <w:rPr>
                <w:color w:val="auto"/>
                <w:sz w:val="22"/>
                <w:szCs w:val="22"/>
              </w:rPr>
              <w:t>Урок 12</w:t>
            </w:r>
          </w:p>
        </w:tc>
        <w:tc>
          <w:tcPr>
            <w:tcW w:w="7937" w:type="dxa"/>
          </w:tcPr>
          <w:p w14:paraId="678C10F0">
            <w:pPr>
              <w:pStyle w:val="85"/>
              <w:jc w:val="both"/>
              <w:rPr>
                <w:color w:val="auto"/>
                <w:sz w:val="22"/>
                <w:szCs w:val="22"/>
              </w:rPr>
            </w:pPr>
            <w:r>
              <w:rPr>
                <w:color w:val="auto"/>
                <w:sz w:val="22"/>
                <w:szCs w:val="22"/>
              </w:rPr>
              <w:t>Виды предложений по эмоциональной окраске: восклицательные и невосклицательные</w:t>
            </w:r>
          </w:p>
        </w:tc>
      </w:tr>
      <w:tr w14:paraId="1A538E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3DF04368">
            <w:pPr>
              <w:pStyle w:val="85"/>
              <w:jc w:val="center"/>
              <w:rPr>
                <w:color w:val="auto"/>
                <w:sz w:val="22"/>
                <w:szCs w:val="22"/>
              </w:rPr>
            </w:pPr>
            <w:r>
              <w:rPr>
                <w:color w:val="auto"/>
                <w:sz w:val="22"/>
                <w:szCs w:val="22"/>
              </w:rPr>
              <w:t>Урок 13</w:t>
            </w:r>
          </w:p>
        </w:tc>
        <w:tc>
          <w:tcPr>
            <w:tcW w:w="7937" w:type="dxa"/>
          </w:tcPr>
          <w:p w14:paraId="1162075D">
            <w:pPr>
              <w:pStyle w:val="85"/>
              <w:jc w:val="both"/>
              <w:rPr>
                <w:color w:val="auto"/>
                <w:sz w:val="22"/>
                <w:szCs w:val="22"/>
              </w:rPr>
            </w:pPr>
            <w:r>
              <w:rPr>
                <w:color w:val="auto"/>
                <w:sz w:val="22"/>
                <w:szCs w:val="22"/>
              </w:rPr>
              <w:t>Резервный урок по разделу синтаксис: предложения с обращениями (наблюдение)</w:t>
            </w:r>
          </w:p>
        </w:tc>
      </w:tr>
      <w:tr w14:paraId="63AF21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622630A3">
            <w:pPr>
              <w:pStyle w:val="85"/>
              <w:jc w:val="center"/>
              <w:rPr>
                <w:color w:val="auto"/>
                <w:sz w:val="22"/>
                <w:szCs w:val="22"/>
              </w:rPr>
            </w:pPr>
            <w:r>
              <w:rPr>
                <w:color w:val="auto"/>
                <w:sz w:val="22"/>
                <w:szCs w:val="22"/>
              </w:rPr>
              <w:t>Урок 14</w:t>
            </w:r>
          </w:p>
        </w:tc>
        <w:tc>
          <w:tcPr>
            <w:tcW w:w="7937" w:type="dxa"/>
          </w:tcPr>
          <w:p w14:paraId="294B15FB">
            <w:pPr>
              <w:pStyle w:val="85"/>
              <w:jc w:val="both"/>
              <w:rPr>
                <w:color w:val="auto"/>
                <w:sz w:val="22"/>
                <w:szCs w:val="22"/>
              </w:rPr>
            </w:pPr>
            <w:r>
              <w:rPr>
                <w:color w:val="auto"/>
                <w:sz w:val="22"/>
                <w:szCs w:val="22"/>
              </w:rPr>
              <w:t>Распространенные и нераспространенные предложения</w:t>
            </w:r>
          </w:p>
        </w:tc>
      </w:tr>
      <w:tr w14:paraId="68304C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5DCED12C">
            <w:pPr>
              <w:pStyle w:val="85"/>
              <w:jc w:val="center"/>
              <w:rPr>
                <w:color w:val="auto"/>
                <w:sz w:val="22"/>
                <w:szCs w:val="22"/>
              </w:rPr>
            </w:pPr>
            <w:r>
              <w:rPr>
                <w:color w:val="auto"/>
                <w:sz w:val="22"/>
                <w:szCs w:val="22"/>
              </w:rPr>
              <w:t>Урок 15</w:t>
            </w:r>
          </w:p>
        </w:tc>
        <w:tc>
          <w:tcPr>
            <w:tcW w:w="7937" w:type="dxa"/>
          </w:tcPr>
          <w:p w14:paraId="5924279D">
            <w:pPr>
              <w:pStyle w:val="85"/>
              <w:jc w:val="both"/>
              <w:rPr>
                <w:color w:val="auto"/>
                <w:sz w:val="22"/>
                <w:szCs w:val="22"/>
              </w:rPr>
            </w:pPr>
            <w:r>
              <w:rPr>
                <w:color w:val="auto"/>
                <w:sz w:val="22"/>
                <w:szCs w:val="22"/>
              </w:rPr>
              <w:t>Словосочетание</w:t>
            </w:r>
          </w:p>
        </w:tc>
      </w:tr>
      <w:tr w14:paraId="00753F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308E6643">
            <w:pPr>
              <w:pStyle w:val="85"/>
              <w:jc w:val="center"/>
              <w:rPr>
                <w:color w:val="auto"/>
                <w:sz w:val="22"/>
                <w:szCs w:val="22"/>
              </w:rPr>
            </w:pPr>
            <w:r>
              <w:rPr>
                <w:color w:val="auto"/>
                <w:sz w:val="22"/>
                <w:szCs w:val="22"/>
              </w:rPr>
              <w:t>Урок 16</w:t>
            </w:r>
          </w:p>
        </w:tc>
        <w:tc>
          <w:tcPr>
            <w:tcW w:w="7937" w:type="dxa"/>
          </w:tcPr>
          <w:p w14:paraId="430E408A">
            <w:pPr>
              <w:pStyle w:val="85"/>
              <w:jc w:val="both"/>
              <w:rPr>
                <w:color w:val="auto"/>
                <w:sz w:val="22"/>
                <w:szCs w:val="22"/>
              </w:rPr>
            </w:pPr>
            <w:r>
              <w:rPr>
                <w:color w:val="auto"/>
                <w:sz w:val="22"/>
                <w:szCs w:val="22"/>
              </w:rPr>
              <w:t>Связь слов в словосочетании</w:t>
            </w:r>
          </w:p>
        </w:tc>
      </w:tr>
      <w:tr w14:paraId="4B9271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447F4F24">
            <w:pPr>
              <w:pStyle w:val="85"/>
              <w:jc w:val="center"/>
              <w:rPr>
                <w:color w:val="auto"/>
                <w:sz w:val="22"/>
                <w:szCs w:val="22"/>
              </w:rPr>
            </w:pPr>
            <w:r>
              <w:rPr>
                <w:color w:val="auto"/>
                <w:sz w:val="22"/>
                <w:szCs w:val="22"/>
              </w:rPr>
              <w:t>Урок 17</w:t>
            </w:r>
          </w:p>
        </w:tc>
        <w:tc>
          <w:tcPr>
            <w:tcW w:w="7937" w:type="dxa"/>
          </w:tcPr>
          <w:p w14:paraId="1C512E1C">
            <w:pPr>
              <w:pStyle w:val="85"/>
              <w:jc w:val="both"/>
              <w:rPr>
                <w:color w:val="auto"/>
                <w:sz w:val="22"/>
                <w:szCs w:val="22"/>
              </w:rPr>
            </w:pPr>
            <w:r>
              <w:rPr>
                <w:color w:val="auto"/>
                <w:sz w:val="22"/>
                <w:szCs w:val="22"/>
              </w:rPr>
              <w:t>Связь между словами в предложении (при помощи смысловых вопросов)</w:t>
            </w:r>
          </w:p>
        </w:tc>
      </w:tr>
      <w:tr w14:paraId="3736E9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6BFBD598">
            <w:pPr>
              <w:pStyle w:val="85"/>
              <w:jc w:val="center"/>
              <w:rPr>
                <w:color w:val="auto"/>
                <w:sz w:val="22"/>
                <w:szCs w:val="22"/>
              </w:rPr>
            </w:pPr>
            <w:r>
              <w:rPr>
                <w:color w:val="auto"/>
                <w:sz w:val="22"/>
                <w:szCs w:val="22"/>
              </w:rPr>
              <w:t>Урок 18</w:t>
            </w:r>
          </w:p>
        </w:tc>
        <w:tc>
          <w:tcPr>
            <w:tcW w:w="7937" w:type="dxa"/>
          </w:tcPr>
          <w:p w14:paraId="0D8AD5A6">
            <w:pPr>
              <w:pStyle w:val="85"/>
              <w:jc w:val="both"/>
              <w:rPr>
                <w:color w:val="auto"/>
                <w:sz w:val="22"/>
                <w:szCs w:val="22"/>
              </w:rPr>
            </w:pPr>
            <w:r>
              <w:rPr>
                <w:color w:val="auto"/>
                <w:sz w:val="22"/>
                <w:szCs w:val="22"/>
              </w:rPr>
              <w:t>Связь слов в словосочетании: обобщение</w:t>
            </w:r>
          </w:p>
        </w:tc>
      </w:tr>
      <w:tr w14:paraId="1B114F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7B4A5BD4">
            <w:pPr>
              <w:pStyle w:val="85"/>
              <w:jc w:val="center"/>
              <w:rPr>
                <w:color w:val="auto"/>
                <w:sz w:val="22"/>
                <w:szCs w:val="22"/>
              </w:rPr>
            </w:pPr>
            <w:r>
              <w:rPr>
                <w:color w:val="auto"/>
                <w:sz w:val="22"/>
                <w:szCs w:val="22"/>
              </w:rPr>
              <w:t>Урок 19</w:t>
            </w:r>
          </w:p>
        </w:tc>
        <w:tc>
          <w:tcPr>
            <w:tcW w:w="7937" w:type="dxa"/>
          </w:tcPr>
          <w:p w14:paraId="522BD990">
            <w:pPr>
              <w:pStyle w:val="85"/>
              <w:jc w:val="both"/>
              <w:rPr>
                <w:color w:val="auto"/>
                <w:sz w:val="22"/>
                <w:szCs w:val="22"/>
              </w:rPr>
            </w:pPr>
            <w:r>
              <w:rPr>
                <w:color w:val="auto"/>
                <w:sz w:val="22"/>
                <w:szCs w:val="22"/>
              </w:rPr>
              <w:t>Предложение и словосочетание: сходство и различие. Тренинг</w:t>
            </w:r>
          </w:p>
        </w:tc>
      </w:tr>
      <w:tr w14:paraId="1B573C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687D05D6">
            <w:pPr>
              <w:pStyle w:val="85"/>
              <w:jc w:val="center"/>
              <w:rPr>
                <w:color w:val="auto"/>
                <w:sz w:val="22"/>
                <w:szCs w:val="22"/>
              </w:rPr>
            </w:pPr>
            <w:r>
              <w:rPr>
                <w:color w:val="auto"/>
                <w:sz w:val="22"/>
                <w:szCs w:val="22"/>
              </w:rPr>
              <w:t>Урок 20</w:t>
            </w:r>
          </w:p>
        </w:tc>
        <w:tc>
          <w:tcPr>
            <w:tcW w:w="7937" w:type="dxa"/>
          </w:tcPr>
          <w:p w14:paraId="245756DA">
            <w:pPr>
              <w:pStyle w:val="85"/>
              <w:jc w:val="both"/>
              <w:rPr>
                <w:color w:val="auto"/>
                <w:sz w:val="22"/>
                <w:szCs w:val="22"/>
              </w:rPr>
            </w:pPr>
            <w:r>
              <w:rPr>
                <w:color w:val="auto"/>
                <w:sz w:val="22"/>
                <w:szCs w:val="22"/>
              </w:rPr>
              <w:t>Учимся пересказывать: подробный письменный пересказ текста. Изложение</w:t>
            </w:r>
          </w:p>
        </w:tc>
      </w:tr>
      <w:tr w14:paraId="081820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384A231A">
            <w:pPr>
              <w:pStyle w:val="85"/>
              <w:jc w:val="center"/>
              <w:rPr>
                <w:color w:val="auto"/>
                <w:sz w:val="22"/>
                <w:szCs w:val="22"/>
              </w:rPr>
            </w:pPr>
            <w:r>
              <w:rPr>
                <w:color w:val="auto"/>
                <w:sz w:val="22"/>
                <w:szCs w:val="22"/>
              </w:rPr>
              <w:t>Урок 21</w:t>
            </w:r>
          </w:p>
        </w:tc>
        <w:tc>
          <w:tcPr>
            <w:tcW w:w="7937" w:type="dxa"/>
          </w:tcPr>
          <w:p w14:paraId="2F7474DB">
            <w:pPr>
              <w:pStyle w:val="85"/>
              <w:jc w:val="both"/>
              <w:rPr>
                <w:color w:val="auto"/>
                <w:sz w:val="22"/>
                <w:szCs w:val="22"/>
              </w:rPr>
            </w:pPr>
            <w:r>
              <w:rPr>
                <w:color w:val="auto"/>
                <w:sz w:val="22"/>
                <w:szCs w:val="22"/>
              </w:rPr>
              <w:t>Повторение: слово, сочетание слов (словосочетание) и предложение. Тренинг</w:t>
            </w:r>
          </w:p>
        </w:tc>
      </w:tr>
      <w:tr w14:paraId="6C984B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07696718">
            <w:pPr>
              <w:pStyle w:val="85"/>
              <w:jc w:val="center"/>
              <w:rPr>
                <w:color w:val="auto"/>
                <w:sz w:val="22"/>
                <w:szCs w:val="22"/>
              </w:rPr>
            </w:pPr>
            <w:r>
              <w:rPr>
                <w:color w:val="auto"/>
                <w:sz w:val="22"/>
                <w:szCs w:val="22"/>
              </w:rPr>
              <w:t>Урок 22</w:t>
            </w:r>
          </w:p>
        </w:tc>
        <w:tc>
          <w:tcPr>
            <w:tcW w:w="7937" w:type="dxa"/>
          </w:tcPr>
          <w:p w14:paraId="0317721C">
            <w:pPr>
              <w:pStyle w:val="85"/>
              <w:jc w:val="both"/>
              <w:rPr>
                <w:color w:val="auto"/>
                <w:sz w:val="22"/>
                <w:szCs w:val="22"/>
              </w:rPr>
            </w:pPr>
            <w:r>
              <w:rPr>
                <w:color w:val="auto"/>
                <w:sz w:val="22"/>
                <w:szCs w:val="22"/>
              </w:rPr>
              <w:t>Предложения с однородными членами: без союзов, с союзами а, но, с одиночным союзом и</w:t>
            </w:r>
          </w:p>
        </w:tc>
      </w:tr>
      <w:tr w14:paraId="24753F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302DD873">
            <w:pPr>
              <w:pStyle w:val="85"/>
              <w:jc w:val="center"/>
              <w:rPr>
                <w:color w:val="auto"/>
                <w:sz w:val="22"/>
                <w:szCs w:val="22"/>
              </w:rPr>
            </w:pPr>
            <w:r>
              <w:rPr>
                <w:color w:val="auto"/>
                <w:sz w:val="22"/>
                <w:szCs w:val="22"/>
              </w:rPr>
              <w:t>Урок 23</w:t>
            </w:r>
          </w:p>
        </w:tc>
        <w:tc>
          <w:tcPr>
            <w:tcW w:w="7937" w:type="dxa"/>
          </w:tcPr>
          <w:p w14:paraId="32B2AC3F">
            <w:pPr>
              <w:pStyle w:val="85"/>
              <w:jc w:val="both"/>
              <w:rPr>
                <w:color w:val="auto"/>
                <w:sz w:val="22"/>
                <w:szCs w:val="22"/>
              </w:rPr>
            </w:pPr>
            <w:r>
              <w:rPr>
                <w:color w:val="auto"/>
                <w:sz w:val="22"/>
                <w:szCs w:val="22"/>
              </w:rPr>
              <w:t>Интонация перечисления в предложениях с однородными членами</w:t>
            </w:r>
          </w:p>
        </w:tc>
      </w:tr>
      <w:tr w14:paraId="43EE55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763E2890">
            <w:pPr>
              <w:pStyle w:val="85"/>
              <w:jc w:val="center"/>
              <w:rPr>
                <w:color w:val="auto"/>
                <w:sz w:val="22"/>
                <w:szCs w:val="22"/>
              </w:rPr>
            </w:pPr>
            <w:r>
              <w:rPr>
                <w:color w:val="auto"/>
                <w:sz w:val="22"/>
                <w:szCs w:val="22"/>
              </w:rPr>
              <w:t>Урок 24</w:t>
            </w:r>
          </w:p>
        </w:tc>
        <w:tc>
          <w:tcPr>
            <w:tcW w:w="7937" w:type="dxa"/>
          </w:tcPr>
          <w:p w14:paraId="52B27EC0">
            <w:pPr>
              <w:pStyle w:val="85"/>
              <w:jc w:val="both"/>
              <w:rPr>
                <w:color w:val="auto"/>
                <w:sz w:val="22"/>
                <w:szCs w:val="22"/>
              </w:rPr>
            </w:pPr>
            <w:r>
              <w:rPr>
                <w:color w:val="auto"/>
                <w:sz w:val="22"/>
                <w:szCs w:val="22"/>
              </w:rPr>
              <w:t>Знаки препинания в предложениях с однородными членами, соединенными союзами</w:t>
            </w:r>
          </w:p>
        </w:tc>
      </w:tr>
      <w:tr w14:paraId="338189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2FCD82FC">
            <w:pPr>
              <w:pStyle w:val="85"/>
              <w:jc w:val="center"/>
              <w:rPr>
                <w:color w:val="auto"/>
                <w:sz w:val="22"/>
                <w:szCs w:val="22"/>
              </w:rPr>
            </w:pPr>
            <w:r>
              <w:rPr>
                <w:color w:val="auto"/>
                <w:sz w:val="22"/>
                <w:szCs w:val="22"/>
              </w:rPr>
              <w:t>Урок 25</w:t>
            </w:r>
          </w:p>
        </w:tc>
        <w:tc>
          <w:tcPr>
            <w:tcW w:w="7937" w:type="dxa"/>
          </w:tcPr>
          <w:p w14:paraId="450DCDC0">
            <w:pPr>
              <w:pStyle w:val="85"/>
              <w:jc w:val="both"/>
              <w:rPr>
                <w:color w:val="auto"/>
                <w:sz w:val="22"/>
                <w:szCs w:val="22"/>
              </w:rPr>
            </w:pPr>
            <w:r>
              <w:rPr>
                <w:color w:val="auto"/>
                <w:sz w:val="22"/>
                <w:szCs w:val="22"/>
              </w:rPr>
              <w:t>Знаки препинания в предложениях с однородными членами, соединенными союзом и</w:t>
            </w:r>
          </w:p>
        </w:tc>
      </w:tr>
      <w:tr w14:paraId="6FC504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6274AB78">
            <w:pPr>
              <w:pStyle w:val="85"/>
              <w:jc w:val="center"/>
              <w:rPr>
                <w:color w:val="auto"/>
                <w:sz w:val="22"/>
                <w:szCs w:val="22"/>
              </w:rPr>
            </w:pPr>
            <w:r>
              <w:rPr>
                <w:color w:val="auto"/>
                <w:sz w:val="22"/>
                <w:szCs w:val="22"/>
              </w:rPr>
              <w:t>Урок 26</w:t>
            </w:r>
          </w:p>
        </w:tc>
        <w:tc>
          <w:tcPr>
            <w:tcW w:w="7937" w:type="dxa"/>
          </w:tcPr>
          <w:p w14:paraId="21A3B07B">
            <w:pPr>
              <w:pStyle w:val="85"/>
              <w:jc w:val="both"/>
              <w:rPr>
                <w:color w:val="auto"/>
                <w:sz w:val="22"/>
                <w:szCs w:val="22"/>
              </w:rPr>
            </w:pPr>
            <w:r>
              <w:rPr>
                <w:color w:val="auto"/>
                <w:sz w:val="22"/>
                <w:szCs w:val="22"/>
              </w:rPr>
              <w:t>Знаки препинания в предложениях с однородными членами, соединенными союзами и, а, но</w:t>
            </w:r>
          </w:p>
        </w:tc>
      </w:tr>
      <w:tr w14:paraId="6F6D6E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2EC8CB17">
            <w:pPr>
              <w:pStyle w:val="85"/>
              <w:jc w:val="center"/>
              <w:rPr>
                <w:color w:val="auto"/>
                <w:sz w:val="22"/>
                <w:szCs w:val="22"/>
              </w:rPr>
            </w:pPr>
            <w:r>
              <w:rPr>
                <w:color w:val="auto"/>
                <w:sz w:val="22"/>
                <w:szCs w:val="22"/>
              </w:rPr>
              <w:t>Урок 27</w:t>
            </w:r>
          </w:p>
        </w:tc>
        <w:tc>
          <w:tcPr>
            <w:tcW w:w="7937" w:type="dxa"/>
          </w:tcPr>
          <w:p w14:paraId="32893A0E">
            <w:pPr>
              <w:pStyle w:val="85"/>
              <w:jc w:val="both"/>
              <w:rPr>
                <w:color w:val="auto"/>
                <w:sz w:val="22"/>
                <w:szCs w:val="22"/>
              </w:rPr>
            </w:pPr>
            <w:r>
              <w:rPr>
                <w:color w:val="auto"/>
                <w:sz w:val="22"/>
                <w:szCs w:val="22"/>
              </w:rPr>
              <w:t>Знаки препинания в предложениях с однородными членами без союзов</w:t>
            </w:r>
          </w:p>
        </w:tc>
      </w:tr>
      <w:tr w14:paraId="0E54CF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34448FD9">
            <w:pPr>
              <w:pStyle w:val="85"/>
              <w:jc w:val="center"/>
              <w:rPr>
                <w:color w:val="auto"/>
                <w:sz w:val="22"/>
                <w:szCs w:val="22"/>
              </w:rPr>
            </w:pPr>
            <w:r>
              <w:rPr>
                <w:color w:val="auto"/>
                <w:sz w:val="22"/>
                <w:szCs w:val="22"/>
              </w:rPr>
              <w:t>Урок 28</w:t>
            </w:r>
          </w:p>
        </w:tc>
        <w:tc>
          <w:tcPr>
            <w:tcW w:w="7937" w:type="dxa"/>
          </w:tcPr>
          <w:p w14:paraId="61D61584">
            <w:pPr>
              <w:pStyle w:val="85"/>
              <w:jc w:val="both"/>
              <w:rPr>
                <w:color w:val="auto"/>
                <w:sz w:val="22"/>
                <w:szCs w:val="22"/>
              </w:rPr>
            </w:pPr>
            <w:r>
              <w:rPr>
                <w:color w:val="auto"/>
                <w:sz w:val="22"/>
                <w:szCs w:val="22"/>
              </w:rPr>
              <w:t>Знаки препинания в предложениях с однородными членами, соединенными союзами и, а, но, и без союзов</w:t>
            </w:r>
          </w:p>
        </w:tc>
      </w:tr>
      <w:tr w14:paraId="067FDF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638DB1BF">
            <w:pPr>
              <w:pStyle w:val="85"/>
              <w:jc w:val="center"/>
              <w:rPr>
                <w:color w:val="auto"/>
                <w:sz w:val="22"/>
                <w:szCs w:val="22"/>
              </w:rPr>
            </w:pPr>
            <w:r>
              <w:rPr>
                <w:color w:val="auto"/>
                <w:sz w:val="22"/>
                <w:szCs w:val="22"/>
              </w:rPr>
              <w:t>Урок 29</w:t>
            </w:r>
          </w:p>
        </w:tc>
        <w:tc>
          <w:tcPr>
            <w:tcW w:w="7937" w:type="dxa"/>
          </w:tcPr>
          <w:p w14:paraId="15987C4E">
            <w:pPr>
              <w:pStyle w:val="85"/>
              <w:jc w:val="both"/>
              <w:rPr>
                <w:color w:val="auto"/>
                <w:sz w:val="22"/>
                <w:szCs w:val="22"/>
              </w:rPr>
            </w:pPr>
            <w:r>
              <w:rPr>
                <w:color w:val="auto"/>
                <w:sz w:val="22"/>
                <w:szCs w:val="22"/>
              </w:rPr>
              <w:t>Резервный урок по разделу развитие речи: работаем с текстами.</w:t>
            </w:r>
          </w:p>
          <w:p w14:paraId="71AA512D">
            <w:pPr>
              <w:pStyle w:val="85"/>
              <w:jc w:val="both"/>
              <w:rPr>
                <w:color w:val="auto"/>
                <w:sz w:val="22"/>
                <w:szCs w:val="22"/>
              </w:rPr>
            </w:pPr>
            <w:r>
              <w:rPr>
                <w:color w:val="auto"/>
                <w:sz w:val="22"/>
                <w:szCs w:val="22"/>
              </w:rPr>
              <w:t>Написание текста по репродукции картины</w:t>
            </w:r>
          </w:p>
        </w:tc>
      </w:tr>
      <w:tr w14:paraId="71263D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1BE315E4">
            <w:pPr>
              <w:pStyle w:val="85"/>
              <w:jc w:val="center"/>
              <w:rPr>
                <w:color w:val="auto"/>
                <w:sz w:val="22"/>
                <w:szCs w:val="22"/>
              </w:rPr>
            </w:pPr>
            <w:r>
              <w:rPr>
                <w:color w:val="auto"/>
                <w:sz w:val="22"/>
                <w:szCs w:val="22"/>
              </w:rPr>
              <w:t>Урок 30</w:t>
            </w:r>
          </w:p>
        </w:tc>
        <w:tc>
          <w:tcPr>
            <w:tcW w:w="7937" w:type="dxa"/>
          </w:tcPr>
          <w:p w14:paraId="467D19A5">
            <w:pPr>
              <w:pStyle w:val="85"/>
              <w:jc w:val="both"/>
              <w:rPr>
                <w:color w:val="auto"/>
                <w:sz w:val="22"/>
                <w:szCs w:val="22"/>
              </w:rPr>
            </w:pPr>
            <w:r>
              <w:rPr>
                <w:color w:val="auto"/>
                <w:sz w:val="22"/>
                <w:szCs w:val="22"/>
              </w:rPr>
              <w:t>Запятая между однородными членами. Тренинг</w:t>
            </w:r>
          </w:p>
        </w:tc>
      </w:tr>
      <w:tr w14:paraId="5235E1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740CACD0">
            <w:pPr>
              <w:pStyle w:val="85"/>
              <w:jc w:val="center"/>
              <w:rPr>
                <w:color w:val="auto"/>
                <w:sz w:val="22"/>
                <w:szCs w:val="22"/>
              </w:rPr>
            </w:pPr>
            <w:r>
              <w:rPr>
                <w:color w:val="auto"/>
                <w:sz w:val="22"/>
                <w:szCs w:val="22"/>
              </w:rPr>
              <w:t>Урок 31</w:t>
            </w:r>
          </w:p>
        </w:tc>
        <w:tc>
          <w:tcPr>
            <w:tcW w:w="7937" w:type="dxa"/>
          </w:tcPr>
          <w:p w14:paraId="0ED34614">
            <w:pPr>
              <w:pStyle w:val="85"/>
              <w:jc w:val="both"/>
              <w:rPr>
                <w:color w:val="auto"/>
                <w:sz w:val="22"/>
                <w:szCs w:val="22"/>
              </w:rPr>
            </w:pPr>
            <w:r>
              <w:rPr>
                <w:color w:val="auto"/>
                <w:sz w:val="22"/>
                <w:szCs w:val="22"/>
              </w:rPr>
              <w:t>Запятая между однородными членами, соединенными союзом. Тренинг</w:t>
            </w:r>
          </w:p>
        </w:tc>
      </w:tr>
      <w:tr w14:paraId="586545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6F0399A0">
            <w:pPr>
              <w:pStyle w:val="85"/>
              <w:jc w:val="center"/>
              <w:rPr>
                <w:color w:val="auto"/>
                <w:sz w:val="22"/>
                <w:szCs w:val="22"/>
              </w:rPr>
            </w:pPr>
            <w:r>
              <w:rPr>
                <w:color w:val="auto"/>
                <w:sz w:val="22"/>
                <w:szCs w:val="22"/>
              </w:rPr>
              <w:t>Урок 32</w:t>
            </w:r>
          </w:p>
        </w:tc>
        <w:tc>
          <w:tcPr>
            <w:tcW w:w="7937" w:type="dxa"/>
          </w:tcPr>
          <w:p w14:paraId="7052E77A">
            <w:pPr>
              <w:pStyle w:val="85"/>
              <w:jc w:val="both"/>
              <w:rPr>
                <w:color w:val="auto"/>
                <w:sz w:val="22"/>
                <w:szCs w:val="22"/>
              </w:rPr>
            </w:pPr>
            <w:r>
              <w:rPr>
                <w:color w:val="auto"/>
                <w:sz w:val="22"/>
                <w:szCs w:val="22"/>
              </w:rPr>
              <w:t>Простое и сложное предложение. Как отличить сложное предложение от простого предложения?</w:t>
            </w:r>
          </w:p>
        </w:tc>
      </w:tr>
      <w:tr w14:paraId="51A8D0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4A6F15BE">
            <w:pPr>
              <w:pStyle w:val="85"/>
              <w:jc w:val="center"/>
              <w:rPr>
                <w:color w:val="auto"/>
                <w:sz w:val="22"/>
                <w:szCs w:val="22"/>
              </w:rPr>
            </w:pPr>
            <w:r>
              <w:rPr>
                <w:color w:val="auto"/>
                <w:sz w:val="22"/>
                <w:szCs w:val="22"/>
              </w:rPr>
              <w:t>Урок 33</w:t>
            </w:r>
          </w:p>
        </w:tc>
        <w:tc>
          <w:tcPr>
            <w:tcW w:w="7937" w:type="dxa"/>
          </w:tcPr>
          <w:p w14:paraId="4640E46A">
            <w:pPr>
              <w:pStyle w:val="85"/>
              <w:jc w:val="both"/>
              <w:rPr>
                <w:color w:val="auto"/>
                <w:sz w:val="22"/>
                <w:szCs w:val="22"/>
              </w:rPr>
            </w:pPr>
            <w:r>
              <w:rPr>
                <w:color w:val="auto"/>
                <w:sz w:val="22"/>
                <w:szCs w:val="22"/>
              </w:rPr>
              <w:t>Союз как часть речи</w:t>
            </w:r>
          </w:p>
        </w:tc>
      </w:tr>
      <w:tr w14:paraId="61CE90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11E98F1D">
            <w:pPr>
              <w:pStyle w:val="85"/>
              <w:jc w:val="center"/>
              <w:rPr>
                <w:color w:val="auto"/>
                <w:sz w:val="22"/>
                <w:szCs w:val="22"/>
              </w:rPr>
            </w:pPr>
            <w:r>
              <w:rPr>
                <w:color w:val="auto"/>
                <w:sz w:val="22"/>
                <w:szCs w:val="22"/>
              </w:rPr>
              <w:t>Урок 34</w:t>
            </w:r>
          </w:p>
        </w:tc>
        <w:tc>
          <w:tcPr>
            <w:tcW w:w="7937" w:type="dxa"/>
          </w:tcPr>
          <w:p w14:paraId="42EB976B">
            <w:pPr>
              <w:pStyle w:val="85"/>
              <w:jc w:val="both"/>
              <w:rPr>
                <w:color w:val="auto"/>
                <w:sz w:val="22"/>
                <w:szCs w:val="22"/>
              </w:rPr>
            </w:pPr>
            <w:r>
              <w:rPr>
                <w:color w:val="auto"/>
                <w:sz w:val="22"/>
                <w:szCs w:val="22"/>
              </w:rPr>
              <w:t>Сложные предложения</w:t>
            </w:r>
          </w:p>
        </w:tc>
      </w:tr>
      <w:tr w14:paraId="76F783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664268EA">
            <w:pPr>
              <w:pStyle w:val="85"/>
              <w:jc w:val="center"/>
              <w:rPr>
                <w:color w:val="auto"/>
                <w:sz w:val="22"/>
                <w:szCs w:val="22"/>
              </w:rPr>
            </w:pPr>
            <w:r>
              <w:rPr>
                <w:color w:val="auto"/>
                <w:sz w:val="22"/>
                <w:szCs w:val="22"/>
              </w:rPr>
              <w:t>Урок 35</w:t>
            </w:r>
          </w:p>
        </w:tc>
        <w:tc>
          <w:tcPr>
            <w:tcW w:w="7937" w:type="dxa"/>
          </w:tcPr>
          <w:p w14:paraId="6CF7C998">
            <w:pPr>
              <w:pStyle w:val="85"/>
              <w:jc w:val="both"/>
              <w:rPr>
                <w:color w:val="auto"/>
                <w:sz w:val="22"/>
                <w:szCs w:val="22"/>
              </w:rPr>
            </w:pPr>
            <w:r>
              <w:rPr>
                <w:color w:val="auto"/>
                <w:sz w:val="22"/>
                <w:szCs w:val="22"/>
              </w:rPr>
              <w:t>Сложные предложения с союзами и, а, но</w:t>
            </w:r>
          </w:p>
        </w:tc>
      </w:tr>
      <w:tr w14:paraId="280350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7AFEF06B">
            <w:pPr>
              <w:pStyle w:val="85"/>
              <w:jc w:val="center"/>
              <w:rPr>
                <w:color w:val="auto"/>
                <w:sz w:val="22"/>
                <w:szCs w:val="22"/>
              </w:rPr>
            </w:pPr>
            <w:r>
              <w:rPr>
                <w:color w:val="auto"/>
                <w:sz w:val="22"/>
                <w:szCs w:val="22"/>
              </w:rPr>
              <w:t>Урок 36</w:t>
            </w:r>
          </w:p>
        </w:tc>
        <w:tc>
          <w:tcPr>
            <w:tcW w:w="7937" w:type="dxa"/>
          </w:tcPr>
          <w:p w14:paraId="04F96923">
            <w:pPr>
              <w:pStyle w:val="85"/>
              <w:jc w:val="both"/>
              <w:rPr>
                <w:color w:val="auto"/>
                <w:sz w:val="22"/>
                <w:szCs w:val="22"/>
              </w:rPr>
            </w:pPr>
            <w:r>
              <w:rPr>
                <w:color w:val="auto"/>
                <w:sz w:val="22"/>
                <w:szCs w:val="22"/>
              </w:rPr>
              <w:t>Союзы и, а, но в простых и сложных предложениях</w:t>
            </w:r>
          </w:p>
        </w:tc>
      </w:tr>
      <w:tr w14:paraId="36988A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70622543">
            <w:pPr>
              <w:pStyle w:val="85"/>
              <w:jc w:val="center"/>
              <w:rPr>
                <w:color w:val="auto"/>
                <w:sz w:val="22"/>
                <w:szCs w:val="22"/>
              </w:rPr>
            </w:pPr>
            <w:r>
              <w:rPr>
                <w:color w:val="auto"/>
                <w:sz w:val="22"/>
                <w:szCs w:val="22"/>
              </w:rPr>
              <w:t>Урок 37</w:t>
            </w:r>
          </w:p>
        </w:tc>
        <w:tc>
          <w:tcPr>
            <w:tcW w:w="7937" w:type="dxa"/>
          </w:tcPr>
          <w:p w14:paraId="25B17EE8">
            <w:pPr>
              <w:pStyle w:val="85"/>
              <w:jc w:val="both"/>
              <w:rPr>
                <w:color w:val="auto"/>
                <w:sz w:val="22"/>
                <w:szCs w:val="22"/>
              </w:rPr>
            </w:pPr>
            <w:r>
              <w:rPr>
                <w:color w:val="auto"/>
                <w:sz w:val="22"/>
                <w:szCs w:val="22"/>
              </w:rPr>
              <w:t>Наблюдаем за знаками препинания в сложном предложении, состоящем из двух простых</w:t>
            </w:r>
          </w:p>
        </w:tc>
      </w:tr>
      <w:tr w14:paraId="1A4BEE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371EAEEA">
            <w:pPr>
              <w:pStyle w:val="85"/>
              <w:jc w:val="center"/>
              <w:rPr>
                <w:color w:val="auto"/>
                <w:sz w:val="22"/>
                <w:szCs w:val="22"/>
              </w:rPr>
            </w:pPr>
            <w:r>
              <w:rPr>
                <w:color w:val="auto"/>
                <w:sz w:val="22"/>
                <w:szCs w:val="22"/>
              </w:rPr>
              <w:t>Урок 38</w:t>
            </w:r>
          </w:p>
        </w:tc>
        <w:tc>
          <w:tcPr>
            <w:tcW w:w="7937" w:type="dxa"/>
          </w:tcPr>
          <w:p w14:paraId="102339D7">
            <w:pPr>
              <w:pStyle w:val="85"/>
              <w:jc w:val="both"/>
              <w:rPr>
                <w:color w:val="auto"/>
                <w:sz w:val="22"/>
                <w:szCs w:val="22"/>
              </w:rPr>
            </w:pPr>
            <w:r>
              <w:rPr>
                <w:color w:val="auto"/>
                <w:sz w:val="22"/>
                <w:szCs w:val="22"/>
              </w:rPr>
              <w:t>Пробуем ставить знаки препинания в сложном предложении, состоящем из двух простых</w:t>
            </w:r>
          </w:p>
        </w:tc>
      </w:tr>
      <w:tr w14:paraId="1CDB26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536C0191">
            <w:pPr>
              <w:pStyle w:val="85"/>
              <w:jc w:val="center"/>
              <w:rPr>
                <w:color w:val="auto"/>
                <w:sz w:val="22"/>
                <w:szCs w:val="22"/>
              </w:rPr>
            </w:pPr>
            <w:r>
              <w:rPr>
                <w:color w:val="auto"/>
                <w:sz w:val="22"/>
                <w:szCs w:val="22"/>
              </w:rPr>
              <w:t>Урок 39</w:t>
            </w:r>
          </w:p>
        </w:tc>
        <w:tc>
          <w:tcPr>
            <w:tcW w:w="7937" w:type="dxa"/>
          </w:tcPr>
          <w:p w14:paraId="52CDA711">
            <w:pPr>
              <w:pStyle w:val="85"/>
              <w:jc w:val="both"/>
              <w:rPr>
                <w:color w:val="auto"/>
                <w:sz w:val="22"/>
                <w:szCs w:val="22"/>
              </w:rPr>
            </w:pPr>
            <w:r>
              <w:rPr>
                <w:color w:val="auto"/>
                <w:sz w:val="22"/>
                <w:szCs w:val="22"/>
              </w:rPr>
              <w:t>Сложные предложения без союзов. Тренинг</w:t>
            </w:r>
          </w:p>
        </w:tc>
      </w:tr>
      <w:tr w14:paraId="7402A0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38FA811D">
            <w:pPr>
              <w:pStyle w:val="85"/>
              <w:jc w:val="center"/>
              <w:rPr>
                <w:color w:val="auto"/>
                <w:sz w:val="22"/>
                <w:szCs w:val="22"/>
              </w:rPr>
            </w:pPr>
            <w:r>
              <w:rPr>
                <w:color w:val="auto"/>
                <w:sz w:val="22"/>
                <w:szCs w:val="22"/>
              </w:rPr>
              <w:t>Урок 40</w:t>
            </w:r>
          </w:p>
        </w:tc>
        <w:tc>
          <w:tcPr>
            <w:tcW w:w="7937" w:type="dxa"/>
          </w:tcPr>
          <w:p w14:paraId="07EB9EA2">
            <w:pPr>
              <w:pStyle w:val="85"/>
              <w:jc w:val="both"/>
              <w:rPr>
                <w:color w:val="auto"/>
                <w:sz w:val="22"/>
                <w:szCs w:val="22"/>
              </w:rPr>
            </w:pPr>
            <w:r>
              <w:rPr>
                <w:color w:val="auto"/>
                <w:sz w:val="22"/>
                <w:szCs w:val="22"/>
              </w:rPr>
              <w:t>Предложения с прямой речью после слов автора</w:t>
            </w:r>
          </w:p>
        </w:tc>
      </w:tr>
      <w:tr w14:paraId="610102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7EDD3ECF">
            <w:pPr>
              <w:pStyle w:val="85"/>
              <w:jc w:val="center"/>
              <w:rPr>
                <w:color w:val="auto"/>
                <w:sz w:val="22"/>
                <w:szCs w:val="22"/>
              </w:rPr>
            </w:pPr>
            <w:r>
              <w:rPr>
                <w:color w:val="auto"/>
                <w:sz w:val="22"/>
                <w:szCs w:val="22"/>
              </w:rPr>
              <w:t>Урок 41</w:t>
            </w:r>
          </w:p>
        </w:tc>
        <w:tc>
          <w:tcPr>
            <w:tcW w:w="7937" w:type="dxa"/>
          </w:tcPr>
          <w:p w14:paraId="2BA79D85">
            <w:pPr>
              <w:pStyle w:val="85"/>
              <w:jc w:val="both"/>
              <w:rPr>
                <w:color w:val="auto"/>
                <w:sz w:val="22"/>
                <w:szCs w:val="22"/>
              </w:rPr>
            </w:pPr>
            <w:r>
              <w:rPr>
                <w:color w:val="auto"/>
                <w:sz w:val="22"/>
                <w:szCs w:val="22"/>
              </w:rPr>
              <w:t>Наблюдение за знаками препинания в предложении с прямой речью после слов автора</w:t>
            </w:r>
          </w:p>
        </w:tc>
      </w:tr>
      <w:tr w14:paraId="192F21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0A845DA7">
            <w:pPr>
              <w:pStyle w:val="85"/>
              <w:jc w:val="center"/>
              <w:rPr>
                <w:color w:val="auto"/>
                <w:sz w:val="22"/>
                <w:szCs w:val="22"/>
              </w:rPr>
            </w:pPr>
            <w:r>
              <w:rPr>
                <w:color w:val="auto"/>
                <w:sz w:val="22"/>
                <w:szCs w:val="22"/>
              </w:rPr>
              <w:t>Урок 42</w:t>
            </w:r>
          </w:p>
        </w:tc>
        <w:tc>
          <w:tcPr>
            <w:tcW w:w="7937" w:type="dxa"/>
          </w:tcPr>
          <w:p w14:paraId="2EE70979">
            <w:pPr>
              <w:pStyle w:val="85"/>
              <w:jc w:val="both"/>
              <w:rPr>
                <w:color w:val="auto"/>
                <w:sz w:val="22"/>
                <w:szCs w:val="22"/>
              </w:rPr>
            </w:pPr>
            <w:r>
              <w:rPr>
                <w:color w:val="auto"/>
                <w:sz w:val="22"/>
                <w:szCs w:val="22"/>
              </w:rPr>
              <w:t>Резервный урок по разделу синтаксис: синтаксический анализ предложения</w:t>
            </w:r>
          </w:p>
        </w:tc>
      </w:tr>
      <w:tr w14:paraId="0EF4AC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467A3DDA">
            <w:pPr>
              <w:pStyle w:val="85"/>
              <w:jc w:val="center"/>
              <w:rPr>
                <w:color w:val="auto"/>
                <w:sz w:val="22"/>
                <w:szCs w:val="22"/>
              </w:rPr>
            </w:pPr>
            <w:r>
              <w:rPr>
                <w:color w:val="auto"/>
                <w:sz w:val="22"/>
                <w:szCs w:val="22"/>
              </w:rPr>
              <w:t>Урок 43</w:t>
            </w:r>
          </w:p>
        </w:tc>
        <w:tc>
          <w:tcPr>
            <w:tcW w:w="7937" w:type="dxa"/>
          </w:tcPr>
          <w:p w14:paraId="2B49DF46">
            <w:pPr>
              <w:pStyle w:val="85"/>
              <w:jc w:val="both"/>
              <w:rPr>
                <w:color w:val="auto"/>
                <w:sz w:val="22"/>
                <w:szCs w:val="22"/>
              </w:rPr>
            </w:pPr>
            <w:r>
              <w:rPr>
                <w:color w:val="auto"/>
                <w:sz w:val="22"/>
                <w:szCs w:val="22"/>
              </w:rPr>
              <w:t>Резервный урок по разделу синтаксис: повторяем все, что узнали о синтаксисе</w:t>
            </w:r>
          </w:p>
        </w:tc>
      </w:tr>
      <w:tr w14:paraId="7EF4A9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045A5061">
            <w:pPr>
              <w:pStyle w:val="85"/>
              <w:jc w:val="center"/>
              <w:rPr>
                <w:color w:val="auto"/>
                <w:sz w:val="22"/>
                <w:szCs w:val="22"/>
              </w:rPr>
            </w:pPr>
            <w:r>
              <w:rPr>
                <w:color w:val="auto"/>
                <w:sz w:val="22"/>
                <w:szCs w:val="22"/>
              </w:rPr>
              <w:t>Урок 44</w:t>
            </w:r>
          </w:p>
        </w:tc>
        <w:tc>
          <w:tcPr>
            <w:tcW w:w="7937" w:type="dxa"/>
          </w:tcPr>
          <w:p w14:paraId="1ADB72FE">
            <w:pPr>
              <w:pStyle w:val="85"/>
              <w:jc w:val="both"/>
              <w:rPr>
                <w:color w:val="auto"/>
                <w:sz w:val="22"/>
                <w:szCs w:val="22"/>
              </w:rPr>
            </w:pPr>
            <w:r>
              <w:rPr>
                <w:color w:val="auto"/>
                <w:sz w:val="22"/>
                <w:szCs w:val="22"/>
              </w:rPr>
              <w:t>Повторяем лексику: наблюдаем за использованием в речи устаревших слов. О происхождении слов. Заимствованные слова</w:t>
            </w:r>
          </w:p>
        </w:tc>
      </w:tr>
      <w:tr w14:paraId="28E627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0C256635">
            <w:pPr>
              <w:pStyle w:val="85"/>
              <w:jc w:val="center"/>
              <w:rPr>
                <w:color w:val="auto"/>
                <w:sz w:val="22"/>
                <w:szCs w:val="22"/>
              </w:rPr>
            </w:pPr>
            <w:r>
              <w:rPr>
                <w:color w:val="auto"/>
                <w:sz w:val="22"/>
                <w:szCs w:val="22"/>
              </w:rPr>
              <w:t>Урок 45</w:t>
            </w:r>
          </w:p>
        </w:tc>
        <w:tc>
          <w:tcPr>
            <w:tcW w:w="7937" w:type="dxa"/>
          </w:tcPr>
          <w:p w14:paraId="6F0E0CFD">
            <w:pPr>
              <w:pStyle w:val="85"/>
              <w:jc w:val="both"/>
              <w:rPr>
                <w:color w:val="auto"/>
                <w:sz w:val="22"/>
                <w:szCs w:val="22"/>
              </w:rPr>
            </w:pPr>
            <w:r>
              <w:rPr>
                <w:color w:val="auto"/>
                <w:sz w:val="22"/>
                <w:szCs w:val="22"/>
              </w:rPr>
              <w:t>Повторяем лексику: наблюдаем за использованием в речи синонимов, антонимов, омонимов. Слово и его значение. Многозначные слова</w:t>
            </w:r>
          </w:p>
        </w:tc>
      </w:tr>
      <w:tr w14:paraId="1687E5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60BAE1A8">
            <w:pPr>
              <w:pStyle w:val="85"/>
              <w:jc w:val="center"/>
              <w:rPr>
                <w:color w:val="auto"/>
                <w:sz w:val="22"/>
                <w:szCs w:val="22"/>
              </w:rPr>
            </w:pPr>
            <w:r>
              <w:rPr>
                <w:color w:val="auto"/>
                <w:sz w:val="22"/>
                <w:szCs w:val="22"/>
              </w:rPr>
              <w:t>Урок 46</w:t>
            </w:r>
          </w:p>
        </w:tc>
        <w:tc>
          <w:tcPr>
            <w:tcW w:w="7937" w:type="dxa"/>
          </w:tcPr>
          <w:p w14:paraId="1199990E">
            <w:pPr>
              <w:pStyle w:val="85"/>
              <w:jc w:val="both"/>
              <w:rPr>
                <w:color w:val="auto"/>
                <w:sz w:val="22"/>
                <w:szCs w:val="22"/>
              </w:rPr>
            </w:pPr>
            <w:r>
              <w:rPr>
                <w:color w:val="auto"/>
                <w:sz w:val="22"/>
                <w:szCs w:val="22"/>
              </w:rPr>
              <w:t>Сочинение как вид письменной работы. Написание сочинения по своим наблюдениям</w:t>
            </w:r>
          </w:p>
        </w:tc>
      </w:tr>
      <w:tr w14:paraId="1E97DE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4D39479A">
            <w:pPr>
              <w:pStyle w:val="85"/>
              <w:jc w:val="center"/>
              <w:rPr>
                <w:color w:val="auto"/>
                <w:sz w:val="22"/>
                <w:szCs w:val="22"/>
              </w:rPr>
            </w:pPr>
            <w:r>
              <w:rPr>
                <w:color w:val="auto"/>
                <w:sz w:val="22"/>
                <w:szCs w:val="22"/>
              </w:rPr>
              <w:t>Урок 47</w:t>
            </w:r>
          </w:p>
        </w:tc>
        <w:tc>
          <w:tcPr>
            <w:tcW w:w="7937" w:type="dxa"/>
          </w:tcPr>
          <w:p w14:paraId="73C04A12">
            <w:pPr>
              <w:pStyle w:val="85"/>
              <w:jc w:val="both"/>
              <w:rPr>
                <w:color w:val="auto"/>
                <w:sz w:val="22"/>
                <w:szCs w:val="22"/>
              </w:rPr>
            </w:pPr>
            <w:r>
              <w:rPr>
                <w:color w:val="auto"/>
                <w:sz w:val="22"/>
                <w:szCs w:val="22"/>
              </w:rPr>
              <w:t>Наблюдаем за использованием в речи фразеологизмов</w:t>
            </w:r>
          </w:p>
        </w:tc>
      </w:tr>
      <w:tr w14:paraId="1E90A7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31650D0F">
            <w:pPr>
              <w:pStyle w:val="85"/>
              <w:jc w:val="center"/>
              <w:rPr>
                <w:color w:val="auto"/>
                <w:sz w:val="22"/>
                <w:szCs w:val="22"/>
              </w:rPr>
            </w:pPr>
            <w:r>
              <w:rPr>
                <w:color w:val="auto"/>
                <w:sz w:val="22"/>
                <w:szCs w:val="22"/>
              </w:rPr>
              <w:t>Урок 48</w:t>
            </w:r>
          </w:p>
        </w:tc>
        <w:tc>
          <w:tcPr>
            <w:tcW w:w="7937" w:type="dxa"/>
          </w:tcPr>
          <w:p w14:paraId="4030BB15">
            <w:pPr>
              <w:pStyle w:val="85"/>
              <w:jc w:val="both"/>
              <w:rPr>
                <w:color w:val="auto"/>
                <w:sz w:val="22"/>
                <w:szCs w:val="22"/>
              </w:rPr>
            </w:pPr>
            <w:r>
              <w:rPr>
                <w:color w:val="auto"/>
                <w:sz w:val="22"/>
                <w:szCs w:val="22"/>
              </w:rPr>
              <w:t>Учимся понимать фразеологизмы</w:t>
            </w:r>
          </w:p>
        </w:tc>
      </w:tr>
      <w:tr w14:paraId="1AFA35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382B0071">
            <w:pPr>
              <w:pStyle w:val="85"/>
              <w:jc w:val="center"/>
              <w:rPr>
                <w:color w:val="auto"/>
                <w:sz w:val="22"/>
                <w:szCs w:val="22"/>
              </w:rPr>
            </w:pPr>
            <w:r>
              <w:rPr>
                <w:color w:val="auto"/>
                <w:sz w:val="22"/>
                <w:szCs w:val="22"/>
              </w:rPr>
              <w:t>Урок 49</w:t>
            </w:r>
          </w:p>
        </w:tc>
        <w:tc>
          <w:tcPr>
            <w:tcW w:w="7937" w:type="dxa"/>
          </w:tcPr>
          <w:p w14:paraId="7924145A">
            <w:pPr>
              <w:pStyle w:val="85"/>
              <w:jc w:val="both"/>
              <w:rPr>
                <w:color w:val="auto"/>
                <w:sz w:val="22"/>
                <w:szCs w:val="22"/>
              </w:rPr>
            </w:pPr>
            <w:r>
              <w:rPr>
                <w:color w:val="auto"/>
                <w:sz w:val="22"/>
                <w:szCs w:val="22"/>
              </w:rPr>
              <w:t>Учимся использовать фразеологизмы</w:t>
            </w:r>
          </w:p>
        </w:tc>
      </w:tr>
      <w:tr w14:paraId="2FEAD7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799F5F53">
            <w:pPr>
              <w:pStyle w:val="85"/>
              <w:jc w:val="center"/>
              <w:rPr>
                <w:color w:val="auto"/>
                <w:sz w:val="22"/>
                <w:szCs w:val="22"/>
              </w:rPr>
            </w:pPr>
            <w:r>
              <w:rPr>
                <w:color w:val="auto"/>
                <w:sz w:val="22"/>
                <w:szCs w:val="22"/>
              </w:rPr>
              <w:t>Урок 50</w:t>
            </w:r>
          </w:p>
        </w:tc>
        <w:tc>
          <w:tcPr>
            <w:tcW w:w="7937" w:type="dxa"/>
          </w:tcPr>
          <w:p w14:paraId="4166D1F0">
            <w:pPr>
              <w:pStyle w:val="85"/>
              <w:jc w:val="both"/>
              <w:rPr>
                <w:color w:val="auto"/>
                <w:sz w:val="22"/>
                <w:szCs w:val="22"/>
              </w:rPr>
            </w:pPr>
            <w:r>
              <w:rPr>
                <w:color w:val="auto"/>
                <w:sz w:val="22"/>
                <w:szCs w:val="22"/>
              </w:rPr>
              <w:t>Повторяем состав слова</w:t>
            </w:r>
          </w:p>
        </w:tc>
      </w:tr>
      <w:tr w14:paraId="6EE5C7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45684117">
            <w:pPr>
              <w:pStyle w:val="85"/>
              <w:jc w:val="center"/>
              <w:rPr>
                <w:color w:val="auto"/>
                <w:sz w:val="22"/>
                <w:szCs w:val="22"/>
              </w:rPr>
            </w:pPr>
            <w:r>
              <w:rPr>
                <w:color w:val="auto"/>
                <w:sz w:val="22"/>
                <w:szCs w:val="22"/>
              </w:rPr>
              <w:t>Урок 51</w:t>
            </w:r>
          </w:p>
        </w:tc>
        <w:tc>
          <w:tcPr>
            <w:tcW w:w="7937" w:type="dxa"/>
          </w:tcPr>
          <w:p w14:paraId="0CBAD156">
            <w:pPr>
              <w:pStyle w:val="85"/>
              <w:jc w:val="both"/>
              <w:rPr>
                <w:color w:val="auto"/>
                <w:sz w:val="22"/>
                <w:szCs w:val="22"/>
              </w:rPr>
            </w:pPr>
            <w:r>
              <w:rPr>
                <w:color w:val="auto"/>
                <w:sz w:val="22"/>
                <w:szCs w:val="22"/>
              </w:rPr>
              <w:t>Основа слова</w:t>
            </w:r>
          </w:p>
        </w:tc>
      </w:tr>
      <w:tr w14:paraId="42B2B6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08BCF062">
            <w:pPr>
              <w:pStyle w:val="85"/>
              <w:jc w:val="center"/>
              <w:rPr>
                <w:color w:val="auto"/>
                <w:sz w:val="22"/>
                <w:szCs w:val="22"/>
              </w:rPr>
            </w:pPr>
            <w:r>
              <w:rPr>
                <w:color w:val="auto"/>
                <w:sz w:val="22"/>
                <w:szCs w:val="22"/>
              </w:rPr>
              <w:t>Урок 52</w:t>
            </w:r>
          </w:p>
        </w:tc>
        <w:tc>
          <w:tcPr>
            <w:tcW w:w="7937" w:type="dxa"/>
          </w:tcPr>
          <w:p w14:paraId="1EC7C41E">
            <w:pPr>
              <w:pStyle w:val="85"/>
              <w:jc w:val="both"/>
              <w:rPr>
                <w:color w:val="auto"/>
                <w:sz w:val="22"/>
                <w:szCs w:val="22"/>
              </w:rPr>
            </w:pPr>
            <w:r>
              <w:rPr>
                <w:color w:val="auto"/>
                <w:sz w:val="22"/>
                <w:szCs w:val="22"/>
              </w:rPr>
              <w:t>Неизменяемые слова: состав слова. Выделение в словах окончания, корня, приставки, суффикса</w:t>
            </w:r>
          </w:p>
        </w:tc>
      </w:tr>
      <w:tr w14:paraId="4EED03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7A629E49">
            <w:pPr>
              <w:pStyle w:val="85"/>
              <w:jc w:val="center"/>
              <w:rPr>
                <w:color w:val="auto"/>
                <w:sz w:val="22"/>
                <w:szCs w:val="22"/>
              </w:rPr>
            </w:pPr>
            <w:r>
              <w:rPr>
                <w:color w:val="auto"/>
                <w:sz w:val="22"/>
                <w:szCs w:val="22"/>
              </w:rPr>
              <w:t>Урок 53</w:t>
            </w:r>
          </w:p>
        </w:tc>
        <w:tc>
          <w:tcPr>
            <w:tcW w:w="7937" w:type="dxa"/>
          </w:tcPr>
          <w:p w14:paraId="356AF571">
            <w:pPr>
              <w:pStyle w:val="85"/>
              <w:jc w:val="both"/>
              <w:rPr>
                <w:color w:val="auto"/>
                <w:sz w:val="22"/>
                <w:szCs w:val="22"/>
              </w:rPr>
            </w:pPr>
            <w:r>
              <w:rPr>
                <w:color w:val="auto"/>
                <w:sz w:val="22"/>
                <w:szCs w:val="22"/>
              </w:rPr>
              <w:t>Отрабатываем разбор слова по составу</w:t>
            </w:r>
          </w:p>
        </w:tc>
      </w:tr>
      <w:tr w14:paraId="794C2F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65A927CE">
            <w:pPr>
              <w:pStyle w:val="85"/>
              <w:jc w:val="center"/>
              <w:rPr>
                <w:color w:val="auto"/>
                <w:sz w:val="22"/>
                <w:szCs w:val="22"/>
              </w:rPr>
            </w:pPr>
            <w:r>
              <w:rPr>
                <w:color w:val="auto"/>
                <w:sz w:val="22"/>
                <w:szCs w:val="22"/>
              </w:rPr>
              <w:t>Урок 54</w:t>
            </w:r>
          </w:p>
        </w:tc>
        <w:tc>
          <w:tcPr>
            <w:tcW w:w="7937" w:type="dxa"/>
          </w:tcPr>
          <w:p w14:paraId="55223A74">
            <w:pPr>
              <w:pStyle w:val="85"/>
              <w:jc w:val="both"/>
              <w:rPr>
                <w:color w:val="auto"/>
                <w:sz w:val="22"/>
                <w:szCs w:val="22"/>
              </w:rPr>
            </w:pPr>
            <w:r>
              <w:rPr>
                <w:color w:val="auto"/>
                <w:sz w:val="22"/>
                <w:szCs w:val="22"/>
              </w:rPr>
              <w:t>Правописание суффиксов имен существительных. Правописание приставок и суффиксов</w:t>
            </w:r>
          </w:p>
        </w:tc>
      </w:tr>
      <w:tr w14:paraId="1BCD09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14339858">
            <w:pPr>
              <w:pStyle w:val="85"/>
              <w:jc w:val="center"/>
              <w:rPr>
                <w:color w:val="auto"/>
                <w:sz w:val="22"/>
                <w:szCs w:val="22"/>
              </w:rPr>
            </w:pPr>
            <w:r>
              <w:rPr>
                <w:color w:val="auto"/>
                <w:sz w:val="22"/>
                <w:szCs w:val="22"/>
              </w:rPr>
              <w:t>Урок 55</w:t>
            </w:r>
          </w:p>
        </w:tc>
        <w:tc>
          <w:tcPr>
            <w:tcW w:w="7937" w:type="dxa"/>
          </w:tcPr>
          <w:p w14:paraId="14DD6A90">
            <w:pPr>
              <w:pStyle w:val="85"/>
              <w:jc w:val="both"/>
              <w:rPr>
                <w:color w:val="auto"/>
                <w:sz w:val="22"/>
                <w:szCs w:val="22"/>
              </w:rPr>
            </w:pPr>
            <w:r>
              <w:rPr>
                <w:color w:val="auto"/>
                <w:sz w:val="22"/>
                <w:szCs w:val="22"/>
              </w:rPr>
              <w:t>Правила правописания, изученные в 1 - 3 классах. Правописание безударных гласных в корне слова. Правописание парных по глухости-звонкости согласных звуков в корне слова</w:t>
            </w:r>
          </w:p>
        </w:tc>
      </w:tr>
      <w:tr w14:paraId="3545A5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56C0CFA0">
            <w:pPr>
              <w:pStyle w:val="85"/>
              <w:jc w:val="center"/>
              <w:rPr>
                <w:color w:val="auto"/>
                <w:sz w:val="22"/>
                <w:szCs w:val="22"/>
              </w:rPr>
            </w:pPr>
            <w:r>
              <w:rPr>
                <w:color w:val="auto"/>
                <w:sz w:val="22"/>
                <w:szCs w:val="22"/>
              </w:rPr>
              <w:t>Урок 56</w:t>
            </w:r>
          </w:p>
        </w:tc>
        <w:tc>
          <w:tcPr>
            <w:tcW w:w="7937" w:type="dxa"/>
          </w:tcPr>
          <w:p w14:paraId="7DD394A9">
            <w:pPr>
              <w:pStyle w:val="85"/>
              <w:jc w:val="both"/>
              <w:rPr>
                <w:color w:val="auto"/>
                <w:sz w:val="22"/>
                <w:szCs w:val="22"/>
              </w:rPr>
            </w:pPr>
            <w:r>
              <w:rPr>
                <w:color w:val="auto"/>
                <w:sz w:val="22"/>
                <w:szCs w:val="22"/>
              </w:rPr>
              <w:t>Повторение правил правописания, изученных в 1 - 3 классах. Правописание непроизносимых согласных. Правописание слов с удвоенными согласными. Правописание слов с буквами ъ и ь</w:t>
            </w:r>
          </w:p>
        </w:tc>
      </w:tr>
      <w:tr w14:paraId="32D8D0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22807603">
            <w:pPr>
              <w:pStyle w:val="85"/>
              <w:jc w:val="center"/>
              <w:rPr>
                <w:color w:val="auto"/>
                <w:sz w:val="22"/>
                <w:szCs w:val="22"/>
              </w:rPr>
            </w:pPr>
            <w:r>
              <w:rPr>
                <w:color w:val="auto"/>
                <w:sz w:val="22"/>
                <w:szCs w:val="22"/>
              </w:rPr>
              <w:t>Урок 57</w:t>
            </w:r>
          </w:p>
        </w:tc>
        <w:tc>
          <w:tcPr>
            <w:tcW w:w="7937" w:type="dxa"/>
          </w:tcPr>
          <w:p w14:paraId="31FB4BA0">
            <w:pPr>
              <w:pStyle w:val="85"/>
              <w:jc w:val="both"/>
              <w:rPr>
                <w:color w:val="auto"/>
                <w:sz w:val="22"/>
                <w:szCs w:val="22"/>
              </w:rPr>
            </w:pPr>
            <w:r>
              <w:rPr>
                <w:color w:val="auto"/>
                <w:sz w:val="22"/>
                <w:szCs w:val="22"/>
              </w:rPr>
              <w:t>Обобщение: самостоятельные и служебные части речи</w:t>
            </w:r>
          </w:p>
        </w:tc>
      </w:tr>
      <w:tr w14:paraId="0FED92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7A80FDA5">
            <w:pPr>
              <w:pStyle w:val="85"/>
              <w:jc w:val="center"/>
              <w:rPr>
                <w:color w:val="auto"/>
                <w:sz w:val="22"/>
                <w:szCs w:val="22"/>
              </w:rPr>
            </w:pPr>
            <w:r>
              <w:rPr>
                <w:color w:val="auto"/>
                <w:sz w:val="22"/>
                <w:szCs w:val="22"/>
              </w:rPr>
              <w:t>Урок 58</w:t>
            </w:r>
          </w:p>
        </w:tc>
        <w:tc>
          <w:tcPr>
            <w:tcW w:w="7937" w:type="dxa"/>
          </w:tcPr>
          <w:p w14:paraId="61D75EFD">
            <w:pPr>
              <w:pStyle w:val="85"/>
              <w:jc w:val="both"/>
              <w:rPr>
                <w:color w:val="auto"/>
                <w:sz w:val="22"/>
                <w:szCs w:val="22"/>
              </w:rPr>
            </w:pPr>
            <w:r>
              <w:rPr>
                <w:color w:val="auto"/>
                <w:sz w:val="22"/>
                <w:szCs w:val="22"/>
              </w:rPr>
              <w:t>Наречие: значение, вопросы, употребление в речи</w:t>
            </w:r>
          </w:p>
        </w:tc>
      </w:tr>
      <w:tr w14:paraId="026FA1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718C14D0">
            <w:pPr>
              <w:pStyle w:val="85"/>
              <w:jc w:val="center"/>
              <w:rPr>
                <w:color w:val="auto"/>
                <w:sz w:val="22"/>
                <w:szCs w:val="22"/>
              </w:rPr>
            </w:pPr>
            <w:r>
              <w:rPr>
                <w:color w:val="auto"/>
                <w:sz w:val="22"/>
                <w:szCs w:val="22"/>
              </w:rPr>
              <w:t>Урок 59</w:t>
            </w:r>
          </w:p>
        </w:tc>
        <w:tc>
          <w:tcPr>
            <w:tcW w:w="7937" w:type="dxa"/>
          </w:tcPr>
          <w:p w14:paraId="70EDB2CD">
            <w:pPr>
              <w:pStyle w:val="85"/>
              <w:jc w:val="both"/>
              <w:rPr>
                <w:color w:val="auto"/>
                <w:sz w:val="22"/>
                <w:szCs w:val="22"/>
              </w:rPr>
            </w:pPr>
            <w:r>
              <w:rPr>
                <w:color w:val="auto"/>
                <w:sz w:val="22"/>
                <w:szCs w:val="22"/>
              </w:rPr>
              <w:t>Как образуются наречия. Виды наречий (наблюдение)</w:t>
            </w:r>
          </w:p>
        </w:tc>
      </w:tr>
      <w:tr w14:paraId="474DFE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79CE60ED">
            <w:pPr>
              <w:pStyle w:val="85"/>
              <w:jc w:val="center"/>
              <w:rPr>
                <w:color w:val="auto"/>
                <w:sz w:val="22"/>
                <w:szCs w:val="22"/>
              </w:rPr>
            </w:pPr>
            <w:r>
              <w:rPr>
                <w:color w:val="auto"/>
                <w:sz w:val="22"/>
                <w:szCs w:val="22"/>
              </w:rPr>
              <w:t>Урок 60</w:t>
            </w:r>
          </w:p>
        </w:tc>
        <w:tc>
          <w:tcPr>
            <w:tcW w:w="7937" w:type="dxa"/>
          </w:tcPr>
          <w:p w14:paraId="22FC0747">
            <w:pPr>
              <w:pStyle w:val="85"/>
              <w:jc w:val="both"/>
              <w:rPr>
                <w:color w:val="auto"/>
                <w:sz w:val="22"/>
                <w:szCs w:val="22"/>
              </w:rPr>
            </w:pPr>
            <w:r>
              <w:rPr>
                <w:color w:val="auto"/>
                <w:sz w:val="22"/>
                <w:szCs w:val="22"/>
              </w:rPr>
              <w:t>Наречие: обобщение знаний</w:t>
            </w:r>
          </w:p>
        </w:tc>
      </w:tr>
      <w:tr w14:paraId="63A3B8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4BF6E797">
            <w:pPr>
              <w:pStyle w:val="85"/>
              <w:jc w:val="center"/>
              <w:rPr>
                <w:color w:val="auto"/>
                <w:sz w:val="22"/>
                <w:szCs w:val="22"/>
              </w:rPr>
            </w:pPr>
            <w:r>
              <w:rPr>
                <w:color w:val="auto"/>
                <w:sz w:val="22"/>
                <w:szCs w:val="22"/>
              </w:rPr>
              <w:t>Урок 61</w:t>
            </w:r>
          </w:p>
        </w:tc>
        <w:tc>
          <w:tcPr>
            <w:tcW w:w="7937" w:type="dxa"/>
          </w:tcPr>
          <w:p w14:paraId="2C808113">
            <w:pPr>
              <w:pStyle w:val="85"/>
              <w:jc w:val="both"/>
              <w:rPr>
                <w:color w:val="auto"/>
                <w:sz w:val="22"/>
                <w:szCs w:val="22"/>
              </w:rPr>
            </w:pPr>
            <w:r>
              <w:rPr>
                <w:color w:val="auto"/>
                <w:sz w:val="22"/>
                <w:szCs w:val="22"/>
              </w:rPr>
              <w:t>Значение наиболее употребляемых суффиксов изученных частей речи. Состав неизменяемых слов</w:t>
            </w:r>
          </w:p>
        </w:tc>
      </w:tr>
      <w:tr w14:paraId="671B1C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0BE0B254">
            <w:pPr>
              <w:pStyle w:val="85"/>
              <w:jc w:val="center"/>
              <w:rPr>
                <w:color w:val="auto"/>
                <w:sz w:val="22"/>
                <w:szCs w:val="22"/>
              </w:rPr>
            </w:pPr>
            <w:r>
              <w:rPr>
                <w:color w:val="auto"/>
                <w:sz w:val="22"/>
                <w:szCs w:val="22"/>
              </w:rPr>
              <w:t>Урок 62</w:t>
            </w:r>
          </w:p>
        </w:tc>
        <w:tc>
          <w:tcPr>
            <w:tcW w:w="7937" w:type="dxa"/>
          </w:tcPr>
          <w:p w14:paraId="161AF83B">
            <w:pPr>
              <w:pStyle w:val="85"/>
              <w:jc w:val="both"/>
              <w:rPr>
                <w:color w:val="auto"/>
                <w:sz w:val="22"/>
                <w:szCs w:val="22"/>
              </w:rPr>
            </w:pPr>
            <w:r>
              <w:rPr>
                <w:color w:val="auto"/>
                <w:sz w:val="22"/>
                <w:szCs w:val="22"/>
              </w:rPr>
              <w:t>Резервный урок по разделу морфология: отработка темы "Имя существительное": Как определить падеж имени существительного? Признаки падежных форм имен существительных</w:t>
            </w:r>
          </w:p>
        </w:tc>
      </w:tr>
      <w:tr w14:paraId="4437E6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649279EC">
            <w:pPr>
              <w:pStyle w:val="85"/>
              <w:jc w:val="center"/>
              <w:rPr>
                <w:color w:val="auto"/>
                <w:sz w:val="22"/>
                <w:szCs w:val="22"/>
              </w:rPr>
            </w:pPr>
            <w:r>
              <w:rPr>
                <w:color w:val="auto"/>
                <w:sz w:val="22"/>
                <w:szCs w:val="22"/>
              </w:rPr>
              <w:t>Урок 63</w:t>
            </w:r>
          </w:p>
        </w:tc>
        <w:tc>
          <w:tcPr>
            <w:tcW w:w="7937" w:type="dxa"/>
          </w:tcPr>
          <w:p w14:paraId="12147826">
            <w:pPr>
              <w:pStyle w:val="85"/>
              <w:jc w:val="both"/>
              <w:rPr>
                <w:color w:val="auto"/>
                <w:sz w:val="22"/>
                <w:szCs w:val="22"/>
              </w:rPr>
            </w:pPr>
            <w:r>
              <w:rPr>
                <w:color w:val="auto"/>
                <w:sz w:val="22"/>
                <w:szCs w:val="22"/>
              </w:rPr>
              <w:t>Несклоняемые имена существительные</w:t>
            </w:r>
          </w:p>
        </w:tc>
      </w:tr>
      <w:tr w14:paraId="53CB8E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4D8DA90B">
            <w:pPr>
              <w:pStyle w:val="85"/>
              <w:jc w:val="center"/>
              <w:rPr>
                <w:color w:val="auto"/>
                <w:sz w:val="22"/>
                <w:szCs w:val="22"/>
              </w:rPr>
            </w:pPr>
            <w:r>
              <w:rPr>
                <w:color w:val="auto"/>
                <w:sz w:val="22"/>
                <w:szCs w:val="22"/>
              </w:rPr>
              <w:t>Урок 64</w:t>
            </w:r>
          </w:p>
        </w:tc>
        <w:tc>
          <w:tcPr>
            <w:tcW w:w="7937" w:type="dxa"/>
          </w:tcPr>
          <w:p w14:paraId="4B144599">
            <w:pPr>
              <w:pStyle w:val="85"/>
              <w:jc w:val="both"/>
              <w:rPr>
                <w:color w:val="auto"/>
                <w:sz w:val="22"/>
                <w:szCs w:val="22"/>
              </w:rPr>
            </w:pPr>
            <w:r>
              <w:rPr>
                <w:color w:val="auto"/>
                <w:sz w:val="22"/>
                <w:szCs w:val="22"/>
              </w:rPr>
              <w:t>Имена существительные 1-го, 2-го, 3-го склонений</w:t>
            </w:r>
          </w:p>
        </w:tc>
      </w:tr>
      <w:tr w14:paraId="5C1031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50A3AD68">
            <w:pPr>
              <w:pStyle w:val="85"/>
              <w:jc w:val="center"/>
              <w:rPr>
                <w:color w:val="auto"/>
                <w:sz w:val="22"/>
                <w:szCs w:val="22"/>
              </w:rPr>
            </w:pPr>
            <w:r>
              <w:rPr>
                <w:color w:val="auto"/>
                <w:sz w:val="22"/>
                <w:szCs w:val="22"/>
              </w:rPr>
              <w:t>Урок 65</w:t>
            </w:r>
          </w:p>
        </w:tc>
        <w:tc>
          <w:tcPr>
            <w:tcW w:w="7937" w:type="dxa"/>
          </w:tcPr>
          <w:p w14:paraId="7DFC52B0">
            <w:pPr>
              <w:pStyle w:val="85"/>
              <w:jc w:val="both"/>
              <w:rPr>
                <w:color w:val="auto"/>
                <w:sz w:val="22"/>
                <w:szCs w:val="22"/>
              </w:rPr>
            </w:pPr>
            <w:r>
              <w:rPr>
                <w:color w:val="auto"/>
                <w:sz w:val="22"/>
                <w:szCs w:val="22"/>
              </w:rPr>
              <w:t>Падежные окончания имен существительных 1-го склонения</w:t>
            </w:r>
          </w:p>
        </w:tc>
      </w:tr>
      <w:tr w14:paraId="39553B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0260A37A">
            <w:pPr>
              <w:pStyle w:val="85"/>
              <w:jc w:val="center"/>
              <w:rPr>
                <w:color w:val="auto"/>
                <w:sz w:val="22"/>
                <w:szCs w:val="22"/>
              </w:rPr>
            </w:pPr>
            <w:r>
              <w:rPr>
                <w:color w:val="auto"/>
                <w:sz w:val="22"/>
                <w:szCs w:val="22"/>
              </w:rPr>
              <w:t>Урок 66</w:t>
            </w:r>
          </w:p>
        </w:tc>
        <w:tc>
          <w:tcPr>
            <w:tcW w:w="7937" w:type="dxa"/>
          </w:tcPr>
          <w:p w14:paraId="37C73876">
            <w:pPr>
              <w:pStyle w:val="85"/>
              <w:jc w:val="both"/>
              <w:rPr>
                <w:color w:val="auto"/>
                <w:sz w:val="22"/>
                <w:szCs w:val="22"/>
              </w:rPr>
            </w:pPr>
            <w:r>
              <w:rPr>
                <w:color w:val="auto"/>
                <w:sz w:val="22"/>
                <w:szCs w:val="22"/>
              </w:rPr>
              <w:t>Резервный урок по разделу развитие речи: работаем с текстами. Составление текста по репродукции картины</w:t>
            </w:r>
          </w:p>
        </w:tc>
      </w:tr>
      <w:tr w14:paraId="63CBCB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3BE8C09B">
            <w:pPr>
              <w:pStyle w:val="85"/>
              <w:jc w:val="center"/>
              <w:rPr>
                <w:color w:val="auto"/>
                <w:sz w:val="22"/>
                <w:szCs w:val="22"/>
              </w:rPr>
            </w:pPr>
            <w:r>
              <w:rPr>
                <w:color w:val="auto"/>
                <w:sz w:val="22"/>
                <w:szCs w:val="22"/>
              </w:rPr>
              <w:t>Урок 67</w:t>
            </w:r>
          </w:p>
        </w:tc>
        <w:tc>
          <w:tcPr>
            <w:tcW w:w="7937" w:type="dxa"/>
          </w:tcPr>
          <w:p w14:paraId="286169CE">
            <w:pPr>
              <w:pStyle w:val="85"/>
              <w:jc w:val="both"/>
              <w:rPr>
                <w:color w:val="auto"/>
                <w:sz w:val="22"/>
                <w:szCs w:val="22"/>
              </w:rPr>
            </w:pPr>
            <w:r>
              <w:rPr>
                <w:color w:val="auto"/>
                <w:sz w:val="22"/>
                <w:szCs w:val="22"/>
              </w:rPr>
              <w:t>Падежные окончания имен существительных 2-го склонения</w:t>
            </w:r>
          </w:p>
        </w:tc>
      </w:tr>
      <w:tr w14:paraId="59243A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3E480CF4">
            <w:pPr>
              <w:pStyle w:val="85"/>
              <w:jc w:val="center"/>
              <w:rPr>
                <w:color w:val="auto"/>
                <w:sz w:val="22"/>
                <w:szCs w:val="22"/>
              </w:rPr>
            </w:pPr>
            <w:r>
              <w:rPr>
                <w:color w:val="auto"/>
                <w:sz w:val="22"/>
                <w:szCs w:val="22"/>
              </w:rPr>
              <w:t>Урок 68</w:t>
            </w:r>
          </w:p>
        </w:tc>
        <w:tc>
          <w:tcPr>
            <w:tcW w:w="7937" w:type="dxa"/>
          </w:tcPr>
          <w:p w14:paraId="6736C7E5">
            <w:pPr>
              <w:pStyle w:val="85"/>
              <w:jc w:val="both"/>
              <w:rPr>
                <w:color w:val="auto"/>
                <w:sz w:val="22"/>
                <w:szCs w:val="22"/>
              </w:rPr>
            </w:pPr>
            <w:r>
              <w:rPr>
                <w:color w:val="auto"/>
                <w:sz w:val="22"/>
                <w:szCs w:val="22"/>
              </w:rPr>
              <w:t>Падежные окончания имен существительных 3-го склонения</w:t>
            </w:r>
          </w:p>
        </w:tc>
      </w:tr>
      <w:tr w14:paraId="5AC4FF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403CE64D">
            <w:pPr>
              <w:pStyle w:val="85"/>
              <w:jc w:val="center"/>
              <w:rPr>
                <w:color w:val="auto"/>
                <w:sz w:val="22"/>
                <w:szCs w:val="22"/>
              </w:rPr>
            </w:pPr>
            <w:r>
              <w:rPr>
                <w:color w:val="auto"/>
                <w:sz w:val="22"/>
                <w:szCs w:val="22"/>
              </w:rPr>
              <w:t>Урок 69</w:t>
            </w:r>
          </w:p>
        </w:tc>
        <w:tc>
          <w:tcPr>
            <w:tcW w:w="7937" w:type="dxa"/>
          </w:tcPr>
          <w:p w14:paraId="7EA56044">
            <w:pPr>
              <w:pStyle w:val="85"/>
              <w:jc w:val="both"/>
              <w:rPr>
                <w:color w:val="auto"/>
                <w:sz w:val="22"/>
                <w:szCs w:val="22"/>
              </w:rPr>
            </w:pPr>
            <w:r>
              <w:rPr>
                <w:color w:val="auto"/>
                <w:sz w:val="22"/>
                <w:szCs w:val="22"/>
              </w:rPr>
              <w:t>Особенности падежных окончаний имен существительных в дательном и предложном падеже</w:t>
            </w:r>
          </w:p>
        </w:tc>
      </w:tr>
      <w:tr w14:paraId="5FAB3D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62AD2A50">
            <w:pPr>
              <w:pStyle w:val="85"/>
              <w:jc w:val="center"/>
              <w:rPr>
                <w:color w:val="auto"/>
                <w:sz w:val="22"/>
                <w:szCs w:val="22"/>
              </w:rPr>
            </w:pPr>
            <w:r>
              <w:rPr>
                <w:color w:val="auto"/>
                <w:sz w:val="22"/>
                <w:szCs w:val="22"/>
              </w:rPr>
              <w:t>Урок 70</w:t>
            </w:r>
          </w:p>
        </w:tc>
        <w:tc>
          <w:tcPr>
            <w:tcW w:w="7937" w:type="dxa"/>
          </w:tcPr>
          <w:p w14:paraId="7609F524">
            <w:pPr>
              <w:pStyle w:val="85"/>
              <w:jc w:val="both"/>
              <w:rPr>
                <w:color w:val="auto"/>
                <w:sz w:val="22"/>
                <w:szCs w:val="22"/>
              </w:rPr>
            </w:pPr>
            <w:r>
              <w:rPr>
                <w:color w:val="auto"/>
                <w:sz w:val="22"/>
                <w:szCs w:val="22"/>
              </w:rPr>
              <w:t>Особенности падежных окончаний имен существительных в родительном и винительном падеже</w:t>
            </w:r>
          </w:p>
        </w:tc>
      </w:tr>
      <w:tr w14:paraId="57C13A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2CE2CEBA">
            <w:pPr>
              <w:pStyle w:val="85"/>
              <w:jc w:val="center"/>
              <w:rPr>
                <w:color w:val="auto"/>
                <w:sz w:val="22"/>
                <w:szCs w:val="22"/>
              </w:rPr>
            </w:pPr>
            <w:r>
              <w:rPr>
                <w:color w:val="auto"/>
                <w:sz w:val="22"/>
                <w:szCs w:val="22"/>
              </w:rPr>
              <w:t>Урок 71</w:t>
            </w:r>
          </w:p>
        </w:tc>
        <w:tc>
          <w:tcPr>
            <w:tcW w:w="7937" w:type="dxa"/>
          </w:tcPr>
          <w:p w14:paraId="0CADBE64">
            <w:pPr>
              <w:pStyle w:val="85"/>
              <w:jc w:val="both"/>
              <w:rPr>
                <w:color w:val="auto"/>
                <w:sz w:val="22"/>
                <w:szCs w:val="22"/>
              </w:rPr>
            </w:pPr>
            <w:r>
              <w:rPr>
                <w:color w:val="auto"/>
                <w:sz w:val="22"/>
                <w:szCs w:val="22"/>
              </w:rPr>
              <w:t>Правописание падежных окончаний имен существительных 1-го склонения</w:t>
            </w:r>
          </w:p>
        </w:tc>
      </w:tr>
      <w:tr w14:paraId="54C5CF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6357EC1F">
            <w:pPr>
              <w:pStyle w:val="85"/>
              <w:jc w:val="center"/>
              <w:rPr>
                <w:color w:val="auto"/>
                <w:sz w:val="22"/>
                <w:szCs w:val="22"/>
              </w:rPr>
            </w:pPr>
            <w:r>
              <w:rPr>
                <w:color w:val="auto"/>
                <w:sz w:val="22"/>
                <w:szCs w:val="22"/>
              </w:rPr>
              <w:t>Урок 72</w:t>
            </w:r>
          </w:p>
        </w:tc>
        <w:tc>
          <w:tcPr>
            <w:tcW w:w="7937" w:type="dxa"/>
          </w:tcPr>
          <w:p w14:paraId="53FEF794">
            <w:pPr>
              <w:pStyle w:val="85"/>
              <w:jc w:val="both"/>
              <w:rPr>
                <w:color w:val="auto"/>
                <w:sz w:val="22"/>
                <w:szCs w:val="22"/>
              </w:rPr>
            </w:pPr>
            <w:r>
              <w:rPr>
                <w:color w:val="auto"/>
                <w:sz w:val="22"/>
                <w:szCs w:val="22"/>
              </w:rPr>
              <w:t>Правописание падежных окончаний имен существительных 2-го склонения</w:t>
            </w:r>
          </w:p>
        </w:tc>
      </w:tr>
      <w:tr w14:paraId="7C3B0D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206192C8">
            <w:pPr>
              <w:pStyle w:val="85"/>
              <w:jc w:val="center"/>
              <w:rPr>
                <w:color w:val="auto"/>
                <w:sz w:val="22"/>
                <w:szCs w:val="22"/>
              </w:rPr>
            </w:pPr>
            <w:r>
              <w:rPr>
                <w:color w:val="auto"/>
                <w:sz w:val="22"/>
                <w:szCs w:val="22"/>
              </w:rPr>
              <w:t>Урок 73</w:t>
            </w:r>
          </w:p>
        </w:tc>
        <w:tc>
          <w:tcPr>
            <w:tcW w:w="7937" w:type="dxa"/>
          </w:tcPr>
          <w:p w14:paraId="0A66E5ED">
            <w:pPr>
              <w:pStyle w:val="85"/>
              <w:jc w:val="both"/>
              <w:rPr>
                <w:color w:val="auto"/>
                <w:sz w:val="22"/>
                <w:szCs w:val="22"/>
              </w:rPr>
            </w:pPr>
            <w:r>
              <w:rPr>
                <w:color w:val="auto"/>
                <w:sz w:val="22"/>
                <w:szCs w:val="22"/>
              </w:rPr>
              <w:t>Правописание падежных окончаний имен существительных 3-го склонения</w:t>
            </w:r>
          </w:p>
        </w:tc>
      </w:tr>
      <w:tr w14:paraId="5415E1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67AF4009">
            <w:pPr>
              <w:pStyle w:val="85"/>
              <w:jc w:val="center"/>
              <w:rPr>
                <w:color w:val="auto"/>
                <w:sz w:val="22"/>
                <w:szCs w:val="22"/>
              </w:rPr>
            </w:pPr>
            <w:r>
              <w:rPr>
                <w:color w:val="auto"/>
                <w:sz w:val="22"/>
                <w:szCs w:val="22"/>
              </w:rPr>
              <w:t>Урок 74</w:t>
            </w:r>
          </w:p>
        </w:tc>
        <w:tc>
          <w:tcPr>
            <w:tcW w:w="7937" w:type="dxa"/>
          </w:tcPr>
          <w:p w14:paraId="2423F40B">
            <w:pPr>
              <w:pStyle w:val="85"/>
              <w:jc w:val="both"/>
              <w:rPr>
                <w:color w:val="auto"/>
                <w:sz w:val="22"/>
                <w:szCs w:val="22"/>
              </w:rPr>
            </w:pPr>
            <w:r>
              <w:rPr>
                <w:color w:val="auto"/>
                <w:sz w:val="22"/>
                <w:szCs w:val="22"/>
              </w:rPr>
              <w:t>Правописание падежных окончаний имен существительных в родительном и винительном падеже</w:t>
            </w:r>
          </w:p>
        </w:tc>
      </w:tr>
      <w:tr w14:paraId="68AE10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156524F7">
            <w:pPr>
              <w:pStyle w:val="85"/>
              <w:jc w:val="center"/>
              <w:rPr>
                <w:color w:val="auto"/>
                <w:sz w:val="22"/>
                <w:szCs w:val="22"/>
              </w:rPr>
            </w:pPr>
            <w:r>
              <w:rPr>
                <w:color w:val="auto"/>
                <w:sz w:val="22"/>
                <w:szCs w:val="22"/>
              </w:rPr>
              <w:t>Урок 75</w:t>
            </w:r>
          </w:p>
        </w:tc>
        <w:tc>
          <w:tcPr>
            <w:tcW w:w="7937" w:type="dxa"/>
          </w:tcPr>
          <w:p w14:paraId="70E85DF1">
            <w:pPr>
              <w:pStyle w:val="85"/>
              <w:jc w:val="both"/>
              <w:rPr>
                <w:color w:val="auto"/>
                <w:sz w:val="22"/>
                <w:szCs w:val="22"/>
              </w:rPr>
            </w:pPr>
            <w:r>
              <w:rPr>
                <w:color w:val="auto"/>
                <w:sz w:val="22"/>
                <w:szCs w:val="22"/>
              </w:rPr>
              <w:t>Правописание падежных окончаний имен существительных в дательном и предложном падеже</w:t>
            </w:r>
          </w:p>
        </w:tc>
      </w:tr>
      <w:tr w14:paraId="73D3DC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222AFA08">
            <w:pPr>
              <w:pStyle w:val="85"/>
              <w:jc w:val="center"/>
              <w:rPr>
                <w:color w:val="auto"/>
                <w:sz w:val="22"/>
                <w:szCs w:val="22"/>
              </w:rPr>
            </w:pPr>
            <w:r>
              <w:rPr>
                <w:color w:val="auto"/>
                <w:sz w:val="22"/>
                <w:szCs w:val="22"/>
              </w:rPr>
              <w:t>Урок 76</w:t>
            </w:r>
          </w:p>
        </w:tc>
        <w:tc>
          <w:tcPr>
            <w:tcW w:w="7937" w:type="dxa"/>
          </w:tcPr>
          <w:p w14:paraId="71136D5E">
            <w:pPr>
              <w:pStyle w:val="85"/>
              <w:jc w:val="both"/>
              <w:rPr>
                <w:color w:val="auto"/>
                <w:sz w:val="22"/>
                <w:szCs w:val="22"/>
              </w:rPr>
            </w:pPr>
            <w:r>
              <w:rPr>
                <w:color w:val="auto"/>
                <w:sz w:val="22"/>
                <w:szCs w:val="22"/>
              </w:rPr>
              <w:t>Правописание падежных окончаний имен существительных в творительном падеже</w:t>
            </w:r>
          </w:p>
        </w:tc>
      </w:tr>
      <w:tr w14:paraId="320FD3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12C47F3C">
            <w:pPr>
              <w:pStyle w:val="85"/>
              <w:jc w:val="center"/>
              <w:rPr>
                <w:color w:val="auto"/>
                <w:sz w:val="22"/>
                <w:szCs w:val="22"/>
              </w:rPr>
            </w:pPr>
            <w:r>
              <w:rPr>
                <w:color w:val="auto"/>
                <w:sz w:val="22"/>
                <w:szCs w:val="22"/>
              </w:rPr>
              <w:t>Урок 77</w:t>
            </w:r>
          </w:p>
        </w:tc>
        <w:tc>
          <w:tcPr>
            <w:tcW w:w="7937" w:type="dxa"/>
          </w:tcPr>
          <w:p w14:paraId="7D1471CC">
            <w:pPr>
              <w:pStyle w:val="85"/>
              <w:jc w:val="both"/>
              <w:rPr>
                <w:color w:val="auto"/>
                <w:sz w:val="22"/>
                <w:szCs w:val="22"/>
              </w:rPr>
            </w:pPr>
            <w:r>
              <w:rPr>
                <w:color w:val="auto"/>
                <w:sz w:val="22"/>
                <w:szCs w:val="22"/>
              </w:rPr>
              <w:t>Правописание безударных падежных окончаний имен существительных во множественном числе</w:t>
            </w:r>
          </w:p>
        </w:tc>
      </w:tr>
      <w:tr w14:paraId="098A26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019A39FC">
            <w:pPr>
              <w:pStyle w:val="85"/>
              <w:jc w:val="center"/>
              <w:rPr>
                <w:color w:val="auto"/>
                <w:sz w:val="22"/>
                <w:szCs w:val="22"/>
              </w:rPr>
            </w:pPr>
            <w:r>
              <w:rPr>
                <w:color w:val="auto"/>
                <w:sz w:val="22"/>
                <w:szCs w:val="22"/>
              </w:rPr>
              <w:t>Урок 78</w:t>
            </w:r>
          </w:p>
        </w:tc>
        <w:tc>
          <w:tcPr>
            <w:tcW w:w="7937" w:type="dxa"/>
          </w:tcPr>
          <w:p w14:paraId="5AB6F927">
            <w:pPr>
              <w:pStyle w:val="85"/>
              <w:jc w:val="both"/>
              <w:rPr>
                <w:color w:val="auto"/>
                <w:sz w:val="22"/>
                <w:szCs w:val="22"/>
              </w:rPr>
            </w:pPr>
            <w:r>
              <w:rPr>
                <w:color w:val="auto"/>
                <w:sz w:val="22"/>
                <w:szCs w:val="22"/>
              </w:rPr>
              <w:t>Падежные окончания имен существительных множественного числа в дательном, творительном, предложном падежах</w:t>
            </w:r>
          </w:p>
        </w:tc>
      </w:tr>
      <w:tr w14:paraId="5903D0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2DB4961B">
            <w:pPr>
              <w:pStyle w:val="85"/>
              <w:jc w:val="center"/>
              <w:rPr>
                <w:color w:val="auto"/>
                <w:sz w:val="22"/>
                <w:szCs w:val="22"/>
              </w:rPr>
            </w:pPr>
            <w:r>
              <w:rPr>
                <w:color w:val="auto"/>
                <w:sz w:val="22"/>
                <w:szCs w:val="22"/>
              </w:rPr>
              <w:t>Урок 79</w:t>
            </w:r>
          </w:p>
        </w:tc>
        <w:tc>
          <w:tcPr>
            <w:tcW w:w="7937" w:type="dxa"/>
          </w:tcPr>
          <w:p w14:paraId="252B7D81">
            <w:pPr>
              <w:pStyle w:val="85"/>
              <w:jc w:val="both"/>
              <w:rPr>
                <w:color w:val="auto"/>
                <w:sz w:val="22"/>
                <w:szCs w:val="22"/>
              </w:rPr>
            </w:pPr>
            <w:r>
              <w:rPr>
                <w:color w:val="auto"/>
                <w:sz w:val="22"/>
                <w:szCs w:val="22"/>
              </w:rPr>
              <w:t>Безударные падежные окончания имен существительных: систематизация</w:t>
            </w:r>
          </w:p>
        </w:tc>
      </w:tr>
      <w:tr w14:paraId="638E1E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6A7F3DE7">
            <w:pPr>
              <w:pStyle w:val="85"/>
              <w:jc w:val="center"/>
              <w:rPr>
                <w:color w:val="auto"/>
                <w:sz w:val="22"/>
                <w:szCs w:val="22"/>
              </w:rPr>
            </w:pPr>
            <w:r>
              <w:rPr>
                <w:color w:val="auto"/>
                <w:sz w:val="22"/>
                <w:szCs w:val="22"/>
              </w:rPr>
              <w:t>Урок 80</w:t>
            </w:r>
          </w:p>
        </w:tc>
        <w:tc>
          <w:tcPr>
            <w:tcW w:w="7937" w:type="dxa"/>
          </w:tcPr>
          <w:p w14:paraId="05A61CDD">
            <w:pPr>
              <w:pStyle w:val="85"/>
              <w:jc w:val="both"/>
              <w:rPr>
                <w:color w:val="auto"/>
                <w:sz w:val="22"/>
                <w:szCs w:val="22"/>
              </w:rPr>
            </w:pPr>
            <w:r>
              <w:rPr>
                <w:color w:val="auto"/>
                <w:sz w:val="22"/>
                <w:szCs w:val="22"/>
              </w:rPr>
              <w:t>Безударные падежные окончания имен существительных: обобщение</w:t>
            </w:r>
          </w:p>
        </w:tc>
      </w:tr>
      <w:tr w14:paraId="1BA17B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0AD53F38">
            <w:pPr>
              <w:pStyle w:val="85"/>
              <w:jc w:val="center"/>
              <w:rPr>
                <w:color w:val="auto"/>
                <w:sz w:val="22"/>
                <w:szCs w:val="22"/>
              </w:rPr>
            </w:pPr>
            <w:r>
              <w:rPr>
                <w:color w:val="auto"/>
                <w:sz w:val="22"/>
                <w:szCs w:val="22"/>
              </w:rPr>
              <w:t>Урок 81</w:t>
            </w:r>
          </w:p>
        </w:tc>
        <w:tc>
          <w:tcPr>
            <w:tcW w:w="7937" w:type="dxa"/>
          </w:tcPr>
          <w:p w14:paraId="22411E1D">
            <w:pPr>
              <w:pStyle w:val="85"/>
              <w:jc w:val="both"/>
              <w:rPr>
                <w:color w:val="auto"/>
                <w:sz w:val="22"/>
                <w:szCs w:val="22"/>
              </w:rPr>
            </w:pPr>
            <w:r>
              <w:rPr>
                <w:color w:val="auto"/>
                <w:sz w:val="22"/>
                <w:szCs w:val="22"/>
              </w:rPr>
              <w:t>Морфологический разбор имени существительного</w:t>
            </w:r>
          </w:p>
        </w:tc>
      </w:tr>
      <w:tr w14:paraId="5CFBA1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43CBBB23">
            <w:pPr>
              <w:pStyle w:val="85"/>
              <w:jc w:val="center"/>
              <w:rPr>
                <w:color w:val="auto"/>
                <w:sz w:val="22"/>
                <w:szCs w:val="22"/>
              </w:rPr>
            </w:pPr>
            <w:r>
              <w:rPr>
                <w:color w:val="auto"/>
                <w:sz w:val="22"/>
                <w:szCs w:val="22"/>
              </w:rPr>
              <w:t>Урок 82</w:t>
            </w:r>
          </w:p>
        </w:tc>
        <w:tc>
          <w:tcPr>
            <w:tcW w:w="7937" w:type="dxa"/>
          </w:tcPr>
          <w:p w14:paraId="6B10ABA5">
            <w:pPr>
              <w:pStyle w:val="85"/>
              <w:jc w:val="both"/>
              <w:rPr>
                <w:color w:val="auto"/>
                <w:sz w:val="22"/>
                <w:szCs w:val="22"/>
              </w:rPr>
            </w:pPr>
            <w:r>
              <w:rPr>
                <w:color w:val="auto"/>
                <w:sz w:val="22"/>
                <w:szCs w:val="22"/>
              </w:rPr>
              <w:t>Учимся пересказывать: выборочный устный пересказ текста</w:t>
            </w:r>
          </w:p>
        </w:tc>
      </w:tr>
      <w:tr w14:paraId="050D97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7D660B30">
            <w:pPr>
              <w:pStyle w:val="85"/>
              <w:jc w:val="center"/>
              <w:rPr>
                <w:color w:val="auto"/>
                <w:sz w:val="22"/>
                <w:szCs w:val="22"/>
              </w:rPr>
            </w:pPr>
            <w:r>
              <w:rPr>
                <w:color w:val="auto"/>
                <w:sz w:val="22"/>
                <w:szCs w:val="22"/>
              </w:rPr>
              <w:t>Урок 83</w:t>
            </w:r>
          </w:p>
        </w:tc>
        <w:tc>
          <w:tcPr>
            <w:tcW w:w="7937" w:type="dxa"/>
          </w:tcPr>
          <w:p w14:paraId="4396CD7A">
            <w:pPr>
              <w:pStyle w:val="85"/>
              <w:jc w:val="both"/>
              <w:rPr>
                <w:color w:val="auto"/>
                <w:sz w:val="22"/>
                <w:szCs w:val="22"/>
              </w:rPr>
            </w:pPr>
            <w:r>
              <w:rPr>
                <w:color w:val="auto"/>
                <w:sz w:val="22"/>
                <w:szCs w:val="22"/>
              </w:rPr>
              <w:t>Резервный урок по разделу орфография: Правописание безударных падежных окончаний имен существительных в единственном числе</w:t>
            </w:r>
          </w:p>
        </w:tc>
      </w:tr>
      <w:tr w14:paraId="49F08A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71AA7FEF">
            <w:pPr>
              <w:pStyle w:val="85"/>
              <w:jc w:val="center"/>
              <w:rPr>
                <w:color w:val="auto"/>
                <w:sz w:val="22"/>
                <w:szCs w:val="22"/>
              </w:rPr>
            </w:pPr>
            <w:r>
              <w:rPr>
                <w:color w:val="auto"/>
                <w:sz w:val="22"/>
                <w:szCs w:val="22"/>
              </w:rPr>
              <w:t>Урок 84</w:t>
            </w:r>
          </w:p>
        </w:tc>
        <w:tc>
          <w:tcPr>
            <w:tcW w:w="7937" w:type="dxa"/>
          </w:tcPr>
          <w:p w14:paraId="0FA0D11F">
            <w:pPr>
              <w:pStyle w:val="85"/>
              <w:jc w:val="both"/>
              <w:rPr>
                <w:color w:val="auto"/>
                <w:sz w:val="22"/>
                <w:szCs w:val="22"/>
              </w:rPr>
            </w:pPr>
            <w:r>
              <w:rPr>
                <w:color w:val="auto"/>
                <w:sz w:val="22"/>
                <w:szCs w:val="22"/>
              </w:rPr>
              <w:t>Правописание безударных падежных окончаний имен существительных во множественном числе</w:t>
            </w:r>
          </w:p>
        </w:tc>
      </w:tr>
      <w:tr w14:paraId="2C85BF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6506D21D">
            <w:pPr>
              <w:pStyle w:val="85"/>
              <w:jc w:val="center"/>
              <w:rPr>
                <w:color w:val="auto"/>
                <w:sz w:val="22"/>
                <w:szCs w:val="22"/>
              </w:rPr>
            </w:pPr>
            <w:r>
              <w:rPr>
                <w:color w:val="auto"/>
                <w:sz w:val="22"/>
                <w:szCs w:val="22"/>
              </w:rPr>
              <w:t>Урок 85</w:t>
            </w:r>
          </w:p>
        </w:tc>
        <w:tc>
          <w:tcPr>
            <w:tcW w:w="7937" w:type="dxa"/>
          </w:tcPr>
          <w:p w14:paraId="4B733193">
            <w:pPr>
              <w:pStyle w:val="85"/>
              <w:jc w:val="both"/>
              <w:rPr>
                <w:color w:val="auto"/>
                <w:sz w:val="22"/>
                <w:szCs w:val="22"/>
              </w:rPr>
            </w:pPr>
            <w:r>
              <w:rPr>
                <w:color w:val="auto"/>
                <w:sz w:val="22"/>
                <w:szCs w:val="22"/>
              </w:rPr>
              <w:t>Пишем подробный пересказ текста. Изложение</w:t>
            </w:r>
          </w:p>
        </w:tc>
      </w:tr>
      <w:tr w14:paraId="6473A9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1B6F39D0">
            <w:pPr>
              <w:pStyle w:val="85"/>
              <w:jc w:val="center"/>
              <w:rPr>
                <w:color w:val="auto"/>
                <w:sz w:val="22"/>
                <w:szCs w:val="22"/>
              </w:rPr>
            </w:pPr>
            <w:r>
              <w:rPr>
                <w:color w:val="auto"/>
                <w:sz w:val="22"/>
                <w:szCs w:val="22"/>
              </w:rPr>
              <w:t>Урок 86</w:t>
            </w:r>
          </w:p>
        </w:tc>
        <w:tc>
          <w:tcPr>
            <w:tcW w:w="7937" w:type="dxa"/>
          </w:tcPr>
          <w:p w14:paraId="49100753">
            <w:pPr>
              <w:pStyle w:val="85"/>
              <w:jc w:val="both"/>
              <w:rPr>
                <w:color w:val="auto"/>
                <w:sz w:val="22"/>
                <w:szCs w:val="22"/>
              </w:rPr>
            </w:pPr>
            <w:r>
              <w:rPr>
                <w:color w:val="auto"/>
                <w:sz w:val="22"/>
                <w:szCs w:val="22"/>
              </w:rPr>
              <w:t>Имя прилагательное. Значение и употребление имен прилагательных</w:t>
            </w:r>
          </w:p>
        </w:tc>
      </w:tr>
      <w:tr w14:paraId="3842A6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1AD66A0A">
            <w:pPr>
              <w:pStyle w:val="85"/>
              <w:jc w:val="center"/>
              <w:rPr>
                <w:color w:val="auto"/>
                <w:sz w:val="22"/>
                <w:szCs w:val="22"/>
              </w:rPr>
            </w:pPr>
            <w:r>
              <w:rPr>
                <w:color w:val="auto"/>
                <w:sz w:val="22"/>
                <w:szCs w:val="22"/>
              </w:rPr>
              <w:t>Урок 87</w:t>
            </w:r>
          </w:p>
        </w:tc>
        <w:tc>
          <w:tcPr>
            <w:tcW w:w="7937" w:type="dxa"/>
          </w:tcPr>
          <w:p w14:paraId="2F1F48AE">
            <w:pPr>
              <w:pStyle w:val="85"/>
              <w:jc w:val="both"/>
              <w:rPr>
                <w:color w:val="auto"/>
                <w:sz w:val="22"/>
                <w:szCs w:val="22"/>
              </w:rPr>
            </w:pPr>
            <w:r>
              <w:rPr>
                <w:color w:val="auto"/>
                <w:sz w:val="22"/>
                <w:szCs w:val="22"/>
              </w:rPr>
              <w:t>Зависимость формы имени прилагательного от формы имени существительного. Род и число имен прилагательных</w:t>
            </w:r>
          </w:p>
        </w:tc>
      </w:tr>
      <w:tr w14:paraId="3F80DB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69354535">
            <w:pPr>
              <w:pStyle w:val="85"/>
              <w:jc w:val="center"/>
              <w:rPr>
                <w:color w:val="auto"/>
                <w:sz w:val="22"/>
                <w:szCs w:val="22"/>
              </w:rPr>
            </w:pPr>
            <w:r>
              <w:rPr>
                <w:color w:val="auto"/>
                <w:sz w:val="22"/>
                <w:szCs w:val="22"/>
              </w:rPr>
              <w:t>Урок 88</w:t>
            </w:r>
          </w:p>
        </w:tc>
        <w:tc>
          <w:tcPr>
            <w:tcW w:w="7937" w:type="dxa"/>
          </w:tcPr>
          <w:p w14:paraId="22C081C9">
            <w:pPr>
              <w:pStyle w:val="85"/>
              <w:jc w:val="both"/>
              <w:rPr>
                <w:color w:val="auto"/>
                <w:sz w:val="22"/>
                <w:szCs w:val="22"/>
              </w:rPr>
            </w:pPr>
            <w:r>
              <w:rPr>
                <w:color w:val="auto"/>
                <w:sz w:val="22"/>
                <w:szCs w:val="22"/>
              </w:rPr>
              <w:t>Пишем сжатый пересказ текста</w:t>
            </w:r>
          </w:p>
        </w:tc>
      </w:tr>
      <w:tr w14:paraId="706296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201DDD0C">
            <w:pPr>
              <w:pStyle w:val="85"/>
              <w:jc w:val="center"/>
              <w:rPr>
                <w:color w:val="auto"/>
                <w:sz w:val="22"/>
                <w:szCs w:val="22"/>
              </w:rPr>
            </w:pPr>
            <w:r>
              <w:rPr>
                <w:color w:val="auto"/>
                <w:sz w:val="22"/>
                <w:szCs w:val="22"/>
              </w:rPr>
              <w:t>Урок 89</w:t>
            </w:r>
          </w:p>
        </w:tc>
        <w:tc>
          <w:tcPr>
            <w:tcW w:w="7937" w:type="dxa"/>
          </w:tcPr>
          <w:p w14:paraId="7E83C763">
            <w:pPr>
              <w:pStyle w:val="85"/>
              <w:jc w:val="both"/>
              <w:rPr>
                <w:color w:val="auto"/>
                <w:sz w:val="22"/>
                <w:szCs w:val="22"/>
              </w:rPr>
            </w:pPr>
            <w:r>
              <w:rPr>
                <w:color w:val="auto"/>
                <w:sz w:val="22"/>
                <w:szCs w:val="22"/>
              </w:rPr>
              <w:t>Склонение имен прилагательных</w:t>
            </w:r>
          </w:p>
        </w:tc>
      </w:tr>
      <w:tr w14:paraId="10072D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04F0A4C0">
            <w:pPr>
              <w:pStyle w:val="85"/>
              <w:jc w:val="center"/>
              <w:rPr>
                <w:color w:val="auto"/>
                <w:sz w:val="22"/>
                <w:szCs w:val="22"/>
              </w:rPr>
            </w:pPr>
            <w:r>
              <w:rPr>
                <w:color w:val="auto"/>
                <w:sz w:val="22"/>
                <w:szCs w:val="22"/>
              </w:rPr>
              <w:t>Урок 90</w:t>
            </w:r>
          </w:p>
        </w:tc>
        <w:tc>
          <w:tcPr>
            <w:tcW w:w="7937" w:type="dxa"/>
          </w:tcPr>
          <w:p w14:paraId="0785827A">
            <w:pPr>
              <w:pStyle w:val="85"/>
              <w:jc w:val="both"/>
              <w:rPr>
                <w:color w:val="auto"/>
                <w:sz w:val="22"/>
                <w:szCs w:val="22"/>
              </w:rPr>
            </w:pPr>
            <w:r>
              <w:rPr>
                <w:color w:val="auto"/>
                <w:sz w:val="22"/>
                <w:szCs w:val="22"/>
              </w:rPr>
              <w:t>Правописание падежных окончаний имен прилагательных</w:t>
            </w:r>
          </w:p>
        </w:tc>
      </w:tr>
      <w:tr w14:paraId="235F29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53F9ED5A">
            <w:pPr>
              <w:pStyle w:val="85"/>
              <w:jc w:val="center"/>
              <w:rPr>
                <w:color w:val="auto"/>
                <w:sz w:val="22"/>
                <w:szCs w:val="22"/>
              </w:rPr>
            </w:pPr>
            <w:r>
              <w:rPr>
                <w:color w:val="auto"/>
                <w:sz w:val="22"/>
                <w:szCs w:val="22"/>
              </w:rPr>
              <w:t>Урок 91</w:t>
            </w:r>
          </w:p>
        </w:tc>
        <w:tc>
          <w:tcPr>
            <w:tcW w:w="7937" w:type="dxa"/>
          </w:tcPr>
          <w:p w14:paraId="7411B00C">
            <w:pPr>
              <w:pStyle w:val="85"/>
              <w:jc w:val="both"/>
              <w:rPr>
                <w:color w:val="auto"/>
                <w:sz w:val="22"/>
                <w:szCs w:val="22"/>
              </w:rPr>
            </w:pPr>
            <w:r>
              <w:rPr>
                <w:color w:val="auto"/>
                <w:sz w:val="22"/>
                <w:szCs w:val="22"/>
              </w:rPr>
              <w:t>Правописание падежных окончаний имен прилагательных в единственном числе</w:t>
            </w:r>
          </w:p>
        </w:tc>
      </w:tr>
      <w:tr w14:paraId="29EB67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2307E398">
            <w:pPr>
              <w:pStyle w:val="85"/>
              <w:jc w:val="center"/>
              <w:rPr>
                <w:color w:val="auto"/>
                <w:sz w:val="22"/>
                <w:szCs w:val="22"/>
              </w:rPr>
            </w:pPr>
            <w:r>
              <w:rPr>
                <w:color w:val="auto"/>
                <w:sz w:val="22"/>
                <w:szCs w:val="22"/>
              </w:rPr>
              <w:t>Урок 92</w:t>
            </w:r>
          </w:p>
        </w:tc>
        <w:tc>
          <w:tcPr>
            <w:tcW w:w="7937" w:type="dxa"/>
          </w:tcPr>
          <w:p w14:paraId="737FE4E9">
            <w:pPr>
              <w:pStyle w:val="85"/>
              <w:jc w:val="both"/>
              <w:rPr>
                <w:color w:val="auto"/>
                <w:sz w:val="22"/>
                <w:szCs w:val="22"/>
              </w:rPr>
            </w:pPr>
            <w:r>
              <w:rPr>
                <w:color w:val="auto"/>
                <w:sz w:val="22"/>
                <w:szCs w:val="22"/>
              </w:rPr>
              <w:t>Редактируем предложенный текст. Работа с деформированными предложениями и текстом</w:t>
            </w:r>
          </w:p>
        </w:tc>
      </w:tr>
      <w:tr w14:paraId="050037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4D58F778">
            <w:pPr>
              <w:pStyle w:val="85"/>
              <w:jc w:val="center"/>
              <w:rPr>
                <w:color w:val="auto"/>
                <w:sz w:val="22"/>
                <w:szCs w:val="22"/>
              </w:rPr>
            </w:pPr>
            <w:r>
              <w:rPr>
                <w:color w:val="auto"/>
                <w:sz w:val="22"/>
                <w:szCs w:val="22"/>
              </w:rPr>
              <w:t>Урок 93</w:t>
            </w:r>
          </w:p>
        </w:tc>
        <w:tc>
          <w:tcPr>
            <w:tcW w:w="7937" w:type="dxa"/>
          </w:tcPr>
          <w:p w14:paraId="5CB4AF19">
            <w:pPr>
              <w:pStyle w:val="85"/>
              <w:jc w:val="both"/>
              <w:rPr>
                <w:color w:val="auto"/>
                <w:sz w:val="22"/>
                <w:szCs w:val="22"/>
              </w:rPr>
            </w:pPr>
            <w:r>
              <w:rPr>
                <w:color w:val="auto"/>
                <w:sz w:val="22"/>
                <w:szCs w:val="22"/>
              </w:rPr>
              <w:t>Особенности склонения имен прилагательных во множественном числе</w:t>
            </w:r>
          </w:p>
        </w:tc>
      </w:tr>
      <w:tr w14:paraId="2D4CAC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3EEBEEB0">
            <w:pPr>
              <w:pStyle w:val="85"/>
              <w:jc w:val="center"/>
              <w:rPr>
                <w:color w:val="auto"/>
                <w:sz w:val="22"/>
                <w:szCs w:val="22"/>
              </w:rPr>
            </w:pPr>
            <w:r>
              <w:rPr>
                <w:color w:val="auto"/>
                <w:sz w:val="22"/>
                <w:szCs w:val="22"/>
              </w:rPr>
              <w:t>Урок 94</w:t>
            </w:r>
          </w:p>
        </w:tc>
        <w:tc>
          <w:tcPr>
            <w:tcW w:w="7937" w:type="dxa"/>
          </w:tcPr>
          <w:p w14:paraId="6BCEFFFE">
            <w:pPr>
              <w:pStyle w:val="85"/>
              <w:jc w:val="both"/>
              <w:rPr>
                <w:color w:val="auto"/>
                <w:sz w:val="22"/>
                <w:szCs w:val="22"/>
              </w:rPr>
            </w:pPr>
            <w:r>
              <w:rPr>
                <w:color w:val="auto"/>
                <w:sz w:val="22"/>
                <w:szCs w:val="22"/>
              </w:rPr>
              <w:t>Правописание падежных окончаний имен прилагательных во множественном числе</w:t>
            </w:r>
          </w:p>
        </w:tc>
      </w:tr>
      <w:tr w14:paraId="7075B2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6D8873D1">
            <w:pPr>
              <w:pStyle w:val="85"/>
              <w:jc w:val="center"/>
              <w:rPr>
                <w:color w:val="auto"/>
                <w:sz w:val="22"/>
                <w:szCs w:val="22"/>
              </w:rPr>
            </w:pPr>
            <w:r>
              <w:rPr>
                <w:color w:val="auto"/>
                <w:sz w:val="22"/>
                <w:szCs w:val="22"/>
              </w:rPr>
              <w:t>Урок 95</w:t>
            </w:r>
          </w:p>
        </w:tc>
        <w:tc>
          <w:tcPr>
            <w:tcW w:w="7937" w:type="dxa"/>
          </w:tcPr>
          <w:p w14:paraId="346080A4">
            <w:pPr>
              <w:pStyle w:val="85"/>
              <w:jc w:val="both"/>
              <w:rPr>
                <w:color w:val="auto"/>
                <w:sz w:val="22"/>
                <w:szCs w:val="22"/>
              </w:rPr>
            </w:pPr>
            <w:r>
              <w:rPr>
                <w:color w:val="auto"/>
                <w:sz w:val="22"/>
                <w:szCs w:val="22"/>
              </w:rPr>
              <w:t>Пишем сочинение-описание на тему. Составление сравнительного описания на заданную тему по данному началу</w:t>
            </w:r>
          </w:p>
        </w:tc>
      </w:tr>
      <w:tr w14:paraId="793692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2F806434">
            <w:pPr>
              <w:pStyle w:val="85"/>
              <w:jc w:val="center"/>
              <w:rPr>
                <w:color w:val="auto"/>
                <w:sz w:val="22"/>
                <w:szCs w:val="22"/>
              </w:rPr>
            </w:pPr>
            <w:r>
              <w:rPr>
                <w:color w:val="auto"/>
                <w:sz w:val="22"/>
                <w:szCs w:val="22"/>
              </w:rPr>
              <w:t>Урок 96</w:t>
            </w:r>
          </w:p>
        </w:tc>
        <w:tc>
          <w:tcPr>
            <w:tcW w:w="7937" w:type="dxa"/>
          </w:tcPr>
          <w:p w14:paraId="3E7D95CE">
            <w:pPr>
              <w:pStyle w:val="85"/>
              <w:jc w:val="both"/>
              <w:rPr>
                <w:color w:val="auto"/>
                <w:sz w:val="22"/>
                <w:szCs w:val="22"/>
              </w:rPr>
            </w:pPr>
            <w:r>
              <w:rPr>
                <w:color w:val="auto"/>
                <w:sz w:val="22"/>
                <w:szCs w:val="22"/>
              </w:rPr>
              <w:t>Морфологический разбор имени прилагательного</w:t>
            </w:r>
          </w:p>
        </w:tc>
      </w:tr>
      <w:tr w14:paraId="4C6002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49C6C048">
            <w:pPr>
              <w:pStyle w:val="85"/>
              <w:jc w:val="center"/>
              <w:rPr>
                <w:color w:val="auto"/>
                <w:sz w:val="22"/>
                <w:szCs w:val="22"/>
              </w:rPr>
            </w:pPr>
            <w:r>
              <w:rPr>
                <w:color w:val="auto"/>
                <w:sz w:val="22"/>
                <w:szCs w:val="22"/>
              </w:rPr>
              <w:t>Урок 97</w:t>
            </w:r>
          </w:p>
        </w:tc>
        <w:tc>
          <w:tcPr>
            <w:tcW w:w="7937" w:type="dxa"/>
          </w:tcPr>
          <w:p w14:paraId="6DBAA003">
            <w:pPr>
              <w:pStyle w:val="85"/>
              <w:jc w:val="both"/>
              <w:rPr>
                <w:color w:val="auto"/>
                <w:sz w:val="22"/>
                <w:szCs w:val="22"/>
              </w:rPr>
            </w:pPr>
            <w:r>
              <w:rPr>
                <w:color w:val="auto"/>
                <w:sz w:val="22"/>
                <w:szCs w:val="22"/>
              </w:rPr>
              <w:t>Безударные падежные окончания имен прилагательных: систематизация</w:t>
            </w:r>
          </w:p>
        </w:tc>
      </w:tr>
      <w:tr w14:paraId="68F309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5C072DAD">
            <w:pPr>
              <w:pStyle w:val="85"/>
              <w:jc w:val="center"/>
              <w:rPr>
                <w:color w:val="auto"/>
                <w:sz w:val="22"/>
                <w:szCs w:val="22"/>
              </w:rPr>
            </w:pPr>
            <w:r>
              <w:rPr>
                <w:color w:val="auto"/>
                <w:sz w:val="22"/>
                <w:szCs w:val="22"/>
              </w:rPr>
              <w:t>Урок 98</w:t>
            </w:r>
          </w:p>
        </w:tc>
        <w:tc>
          <w:tcPr>
            <w:tcW w:w="7937" w:type="dxa"/>
          </w:tcPr>
          <w:p w14:paraId="4F1B7689">
            <w:pPr>
              <w:pStyle w:val="85"/>
              <w:jc w:val="both"/>
              <w:rPr>
                <w:color w:val="auto"/>
                <w:sz w:val="22"/>
                <w:szCs w:val="22"/>
              </w:rPr>
            </w:pPr>
            <w:r>
              <w:rPr>
                <w:color w:val="auto"/>
                <w:sz w:val="22"/>
                <w:szCs w:val="22"/>
              </w:rPr>
              <w:t>Безударные падежные окончания имен прилагательных: обобщение</w:t>
            </w:r>
          </w:p>
        </w:tc>
      </w:tr>
      <w:tr w14:paraId="75E203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6E799720">
            <w:pPr>
              <w:pStyle w:val="85"/>
              <w:jc w:val="center"/>
              <w:rPr>
                <w:color w:val="auto"/>
                <w:sz w:val="22"/>
                <w:szCs w:val="22"/>
              </w:rPr>
            </w:pPr>
            <w:r>
              <w:rPr>
                <w:color w:val="auto"/>
                <w:sz w:val="22"/>
                <w:szCs w:val="22"/>
              </w:rPr>
              <w:t>Урок 99</w:t>
            </w:r>
          </w:p>
        </w:tc>
        <w:tc>
          <w:tcPr>
            <w:tcW w:w="7937" w:type="dxa"/>
          </w:tcPr>
          <w:p w14:paraId="3AE57914">
            <w:pPr>
              <w:pStyle w:val="85"/>
              <w:jc w:val="both"/>
              <w:rPr>
                <w:color w:val="auto"/>
                <w:sz w:val="22"/>
                <w:szCs w:val="22"/>
              </w:rPr>
            </w:pPr>
            <w:r>
              <w:rPr>
                <w:color w:val="auto"/>
                <w:sz w:val="22"/>
                <w:szCs w:val="22"/>
              </w:rPr>
              <w:t>Можно ли по-разному читать один и тот же текст? Сравнение художественного и научного описания</w:t>
            </w:r>
          </w:p>
        </w:tc>
      </w:tr>
      <w:tr w14:paraId="5C661B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5E5A65DF">
            <w:pPr>
              <w:pStyle w:val="85"/>
              <w:jc w:val="center"/>
              <w:rPr>
                <w:color w:val="auto"/>
                <w:sz w:val="22"/>
                <w:szCs w:val="22"/>
              </w:rPr>
            </w:pPr>
            <w:r>
              <w:rPr>
                <w:color w:val="auto"/>
                <w:sz w:val="22"/>
                <w:szCs w:val="22"/>
              </w:rPr>
              <w:t>Урок 100</w:t>
            </w:r>
          </w:p>
        </w:tc>
        <w:tc>
          <w:tcPr>
            <w:tcW w:w="7937" w:type="dxa"/>
          </w:tcPr>
          <w:p w14:paraId="48A65596">
            <w:pPr>
              <w:pStyle w:val="85"/>
              <w:jc w:val="both"/>
              <w:rPr>
                <w:color w:val="auto"/>
                <w:sz w:val="22"/>
                <w:szCs w:val="22"/>
              </w:rPr>
            </w:pPr>
            <w:r>
              <w:rPr>
                <w:color w:val="auto"/>
                <w:sz w:val="22"/>
                <w:szCs w:val="22"/>
              </w:rPr>
              <w:t>Резервный урок по разделу морфология: Отработка темы "Имя прилагательное"</w:t>
            </w:r>
          </w:p>
        </w:tc>
      </w:tr>
      <w:tr w14:paraId="5E815D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674A7822">
            <w:pPr>
              <w:pStyle w:val="85"/>
              <w:jc w:val="center"/>
              <w:rPr>
                <w:color w:val="auto"/>
                <w:sz w:val="22"/>
                <w:szCs w:val="22"/>
              </w:rPr>
            </w:pPr>
            <w:r>
              <w:rPr>
                <w:color w:val="auto"/>
                <w:sz w:val="22"/>
                <w:szCs w:val="22"/>
              </w:rPr>
              <w:t>Урок 101</w:t>
            </w:r>
          </w:p>
        </w:tc>
        <w:tc>
          <w:tcPr>
            <w:tcW w:w="7937" w:type="dxa"/>
          </w:tcPr>
          <w:p w14:paraId="4CA20BC5">
            <w:pPr>
              <w:pStyle w:val="85"/>
              <w:jc w:val="both"/>
              <w:rPr>
                <w:color w:val="auto"/>
                <w:sz w:val="22"/>
                <w:szCs w:val="22"/>
              </w:rPr>
            </w:pPr>
            <w:r>
              <w:rPr>
                <w:color w:val="auto"/>
                <w:sz w:val="22"/>
                <w:szCs w:val="22"/>
              </w:rPr>
              <w:t>Чем изучающее чтение отличается от ознакомительного чтения. Написание текста по репродукции картины</w:t>
            </w:r>
          </w:p>
        </w:tc>
      </w:tr>
      <w:tr w14:paraId="7F9A47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49D019A4">
            <w:pPr>
              <w:pStyle w:val="85"/>
              <w:jc w:val="center"/>
              <w:rPr>
                <w:color w:val="auto"/>
                <w:sz w:val="22"/>
                <w:szCs w:val="22"/>
              </w:rPr>
            </w:pPr>
            <w:r>
              <w:rPr>
                <w:color w:val="auto"/>
                <w:sz w:val="22"/>
                <w:szCs w:val="22"/>
              </w:rPr>
              <w:t>Урок 102</w:t>
            </w:r>
          </w:p>
        </w:tc>
        <w:tc>
          <w:tcPr>
            <w:tcW w:w="7937" w:type="dxa"/>
          </w:tcPr>
          <w:p w14:paraId="30AE8046">
            <w:pPr>
              <w:pStyle w:val="85"/>
              <w:jc w:val="both"/>
              <w:rPr>
                <w:color w:val="auto"/>
                <w:sz w:val="22"/>
                <w:szCs w:val="22"/>
              </w:rPr>
            </w:pPr>
            <w:r>
              <w:rPr>
                <w:color w:val="auto"/>
                <w:sz w:val="22"/>
                <w:szCs w:val="22"/>
              </w:rPr>
              <w:t>Нормы речевого этикета</w:t>
            </w:r>
          </w:p>
        </w:tc>
      </w:tr>
      <w:tr w14:paraId="664F0C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616064C4">
            <w:pPr>
              <w:pStyle w:val="85"/>
              <w:jc w:val="center"/>
              <w:rPr>
                <w:color w:val="auto"/>
                <w:sz w:val="22"/>
                <w:szCs w:val="22"/>
              </w:rPr>
            </w:pPr>
            <w:r>
              <w:rPr>
                <w:color w:val="auto"/>
                <w:sz w:val="22"/>
                <w:szCs w:val="22"/>
              </w:rPr>
              <w:t>Урок 103</w:t>
            </w:r>
          </w:p>
        </w:tc>
        <w:tc>
          <w:tcPr>
            <w:tcW w:w="7937" w:type="dxa"/>
          </w:tcPr>
          <w:p w14:paraId="40515CF6">
            <w:pPr>
              <w:pStyle w:val="85"/>
              <w:jc w:val="both"/>
              <w:rPr>
                <w:color w:val="auto"/>
                <w:sz w:val="22"/>
                <w:szCs w:val="22"/>
              </w:rPr>
            </w:pPr>
            <w:r>
              <w:rPr>
                <w:color w:val="auto"/>
                <w:sz w:val="22"/>
                <w:szCs w:val="22"/>
              </w:rPr>
              <w:t>Правописание имен прилагательных: падежные окончания</w:t>
            </w:r>
          </w:p>
        </w:tc>
      </w:tr>
      <w:tr w14:paraId="26C34D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52AE836D">
            <w:pPr>
              <w:pStyle w:val="85"/>
              <w:jc w:val="center"/>
              <w:rPr>
                <w:color w:val="auto"/>
                <w:sz w:val="22"/>
                <w:szCs w:val="22"/>
              </w:rPr>
            </w:pPr>
            <w:r>
              <w:rPr>
                <w:color w:val="auto"/>
                <w:sz w:val="22"/>
                <w:szCs w:val="22"/>
              </w:rPr>
              <w:t>Урок 104</w:t>
            </w:r>
          </w:p>
        </w:tc>
        <w:tc>
          <w:tcPr>
            <w:tcW w:w="7937" w:type="dxa"/>
          </w:tcPr>
          <w:p w14:paraId="4CF5A875">
            <w:pPr>
              <w:pStyle w:val="85"/>
              <w:jc w:val="both"/>
              <w:rPr>
                <w:color w:val="auto"/>
                <w:sz w:val="22"/>
                <w:szCs w:val="22"/>
              </w:rPr>
            </w:pPr>
            <w:r>
              <w:rPr>
                <w:color w:val="auto"/>
                <w:sz w:val="22"/>
                <w:szCs w:val="22"/>
              </w:rPr>
              <w:t>Резервный урок по разделу орфография: Правописание падежных окончаний имен прилагательных в единственном и множественном числе. Повторение</w:t>
            </w:r>
          </w:p>
        </w:tc>
      </w:tr>
      <w:tr w14:paraId="17988B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7268ABF1">
            <w:pPr>
              <w:pStyle w:val="85"/>
              <w:jc w:val="center"/>
              <w:rPr>
                <w:color w:val="auto"/>
                <w:sz w:val="22"/>
                <w:szCs w:val="22"/>
              </w:rPr>
            </w:pPr>
            <w:r>
              <w:rPr>
                <w:color w:val="auto"/>
                <w:sz w:val="22"/>
                <w:szCs w:val="22"/>
              </w:rPr>
              <w:t>Урок 105</w:t>
            </w:r>
          </w:p>
        </w:tc>
        <w:tc>
          <w:tcPr>
            <w:tcW w:w="7937" w:type="dxa"/>
          </w:tcPr>
          <w:p w14:paraId="5F571550">
            <w:pPr>
              <w:pStyle w:val="85"/>
              <w:jc w:val="both"/>
              <w:rPr>
                <w:color w:val="auto"/>
                <w:sz w:val="22"/>
                <w:szCs w:val="22"/>
              </w:rPr>
            </w:pPr>
            <w:r>
              <w:rPr>
                <w:color w:val="auto"/>
                <w:sz w:val="22"/>
                <w:szCs w:val="22"/>
              </w:rPr>
              <w:t>Местоимение. Личные местоимения</w:t>
            </w:r>
          </w:p>
        </w:tc>
      </w:tr>
      <w:tr w14:paraId="4C450D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555C103F">
            <w:pPr>
              <w:pStyle w:val="85"/>
              <w:jc w:val="center"/>
              <w:rPr>
                <w:color w:val="auto"/>
                <w:sz w:val="22"/>
                <w:szCs w:val="22"/>
              </w:rPr>
            </w:pPr>
            <w:r>
              <w:rPr>
                <w:color w:val="auto"/>
                <w:sz w:val="22"/>
                <w:szCs w:val="22"/>
              </w:rPr>
              <w:t>Урок 106</w:t>
            </w:r>
          </w:p>
        </w:tc>
        <w:tc>
          <w:tcPr>
            <w:tcW w:w="7937" w:type="dxa"/>
          </w:tcPr>
          <w:p w14:paraId="6D702B2C">
            <w:pPr>
              <w:pStyle w:val="85"/>
              <w:jc w:val="both"/>
              <w:rPr>
                <w:color w:val="auto"/>
                <w:sz w:val="22"/>
                <w:szCs w:val="22"/>
              </w:rPr>
            </w:pPr>
            <w:r>
              <w:rPr>
                <w:color w:val="auto"/>
                <w:sz w:val="22"/>
                <w:szCs w:val="22"/>
              </w:rPr>
              <w:t>Личные местоимения 1-го и 3-го лица единственного и множественного числа. Склонение личных местоимений 1-го и 2-го лица</w:t>
            </w:r>
          </w:p>
        </w:tc>
      </w:tr>
      <w:tr w14:paraId="71F4FC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440B6629">
            <w:pPr>
              <w:pStyle w:val="85"/>
              <w:jc w:val="center"/>
              <w:rPr>
                <w:color w:val="auto"/>
                <w:sz w:val="22"/>
                <w:szCs w:val="22"/>
              </w:rPr>
            </w:pPr>
            <w:r>
              <w:rPr>
                <w:color w:val="auto"/>
                <w:sz w:val="22"/>
                <w:szCs w:val="22"/>
              </w:rPr>
              <w:t>Урок 107</w:t>
            </w:r>
          </w:p>
        </w:tc>
        <w:tc>
          <w:tcPr>
            <w:tcW w:w="7937" w:type="dxa"/>
          </w:tcPr>
          <w:p w14:paraId="5F9F076F">
            <w:pPr>
              <w:pStyle w:val="85"/>
              <w:jc w:val="both"/>
              <w:rPr>
                <w:color w:val="auto"/>
                <w:sz w:val="22"/>
                <w:szCs w:val="22"/>
              </w:rPr>
            </w:pPr>
            <w:r>
              <w:rPr>
                <w:color w:val="auto"/>
                <w:sz w:val="22"/>
                <w:szCs w:val="22"/>
              </w:rPr>
              <w:t>Склонение личных местоимений. Склонение личных местоимений 3-го лица</w:t>
            </w:r>
          </w:p>
        </w:tc>
      </w:tr>
      <w:tr w14:paraId="577F43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006248F1">
            <w:pPr>
              <w:pStyle w:val="85"/>
              <w:jc w:val="center"/>
              <w:rPr>
                <w:color w:val="auto"/>
                <w:sz w:val="22"/>
                <w:szCs w:val="22"/>
              </w:rPr>
            </w:pPr>
            <w:r>
              <w:rPr>
                <w:color w:val="auto"/>
                <w:sz w:val="22"/>
                <w:szCs w:val="22"/>
              </w:rPr>
              <w:t>Урок 108</w:t>
            </w:r>
          </w:p>
        </w:tc>
        <w:tc>
          <w:tcPr>
            <w:tcW w:w="7937" w:type="dxa"/>
          </w:tcPr>
          <w:p w14:paraId="5E24458F">
            <w:pPr>
              <w:pStyle w:val="85"/>
              <w:jc w:val="both"/>
              <w:rPr>
                <w:color w:val="auto"/>
                <w:sz w:val="22"/>
                <w:szCs w:val="22"/>
              </w:rPr>
            </w:pPr>
            <w:r>
              <w:rPr>
                <w:color w:val="auto"/>
                <w:sz w:val="22"/>
                <w:szCs w:val="22"/>
              </w:rPr>
              <w:t>Пишем текст по предложенному плану</w:t>
            </w:r>
          </w:p>
        </w:tc>
      </w:tr>
      <w:tr w14:paraId="18497D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554AC188">
            <w:pPr>
              <w:pStyle w:val="85"/>
              <w:jc w:val="center"/>
              <w:rPr>
                <w:color w:val="auto"/>
                <w:sz w:val="22"/>
                <w:szCs w:val="22"/>
              </w:rPr>
            </w:pPr>
            <w:r>
              <w:rPr>
                <w:color w:val="auto"/>
                <w:sz w:val="22"/>
                <w:szCs w:val="22"/>
              </w:rPr>
              <w:t>Урок 109</w:t>
            </w:r>
          </w:p>
        </w:tc>
        <w:tc>
          <w:tcPr>
            <w:tcW w:w="7937" w:type="dxa"/>
          </w:tcPr>
          <w:p w14:paraId="068B0DF7">
            <w:pPr>
              <w:pStyle w:val="85"/>
              <w:jc w:val="both"/>
              <w:rPr>
                <w:color w:val="auto"/>
                <w:sz w:val="22"/>
                <w:szCs w:val="22"/>
              </w:rPr>
            </w:pPr>
            <w:r>
              <w:rPr>
                <w:color w:val="auto"/>
                <w:sz w:val="22"/>
                <w:szCs w:val="22"/>
              </w:rPr>
              <w:t>Правописание личных местоимений. Написание личных местоимений с предлогами</w:t>
            </w:r>
          </w:p>
        </w:tc>
      </w:tr>
      <w:tr w14:paraId="18C880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7E592E64">
            <w:pPr>
              <w:pStyle w:val="85"/>
              <w:jc w:val="center"/>
              <w:rPr>
                <w:color w:val="auto"/>
                <w:sz w:val="22"/>
                <w:szCs w:val="22"/>
              </w:rPr>
            </w:pPr>
            <w:r>
              <w:rPr>
                <w:color w:val="auto"/>
                <w:sz w:val="22"/>
                <w:szCs w:val="22"/>
              </w:rPr>
              <w:t>Урок 110</w:t>
            </w:r>
          </w:p>
        </w:tc>
        <w:tc>
          <w:tcPr>
            <w:tcW w:w="7937" w:type="dxa"/>
          </w:tcPr>
          <w:p w14:paraId="55738FDF">
            <w:pPr>
              <w:pStyle w:val="85"/>
              <w:jc w:val="both"/>
              <w:rPr>
                <w:color w:val="auto"/>
                <w:sz w:val="22"/>
                <w:szCs w:val="22"/>
              </w:rPr>
            </w:pPr>
            <w:r>
              <w:rPr>
                <w:color w:val="auto"/>
                <w:sz w:val="22"/>
                <w:szCs w:val="22"/>
              </w:rPr>
              <w:t>Особенности диалога. Составление текста по рисунку с включением диалога. Инсценировка диалога. Составление диалога по данным условиям</w:t>
            </w:r>
          </w:p>
        </w:tc>
      </w:tr>
      <w:tr w14:paraId="14F7D0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2A8DFD17">
            <w:pPr>
              <w:pStyle w:val="85"/>
              <w:jc w:val="center"/>
              <w:rPr>
                <w:color w:val="auto"/>
                <w:sz w:val="22"/>
                <w:szCs w:val="22"/>
              </w:rPr>
            </w:pPr>
            <w:r>
              <w:rPr>
                <w:color w:val="auto"/>
                <w:sz w:val="22"/>
                <w:szCs w:val="22"/>
              </w:rPr>
              <w:t>Урок 111</w:t>
            </w:r>
          </w:p>
        </w:tc>
        <w:tc>
          <w:tcPr>
            <w:tcW w:w="7937" w:type="dxa"/>
          </w:tcPr>
          <w:p w14:paraId="3CB777B3">
            <w:pPr>
              <w:pStyle w:val="85"/>
              <w:jc w:val="both"/>
              <w:rPr>
                <w:color w:val="auto"/>
                <w:sz w:val="22"/>
                <w:szCs w:val="22"/>
              </w:rPr>
            </w:pPr>
            <w:r>
              <w:rPr>
                <w:color w:val="auto"/>
                <w:sz w:val="22"/>
                <w:szCs w:val="22"/>
              </w:rPr>
              <w:t>Резервный урок по разделу морфология: тема "Использование местоимений для устранения неоправданного повтора слов в тексте"</w:t>
            </w:r>
          </w:p>
        </w:tc>
      </w:tr>
      <w:tr w14:paraId="0F17E1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11B7CCF0">
            <w:pPr>
              <w:pStyle w:val="85"/>
              <w:jc w:val="center"/>
              <w:rPr>
                <w:color w:val="auto"/>
                <w:sz w:val="22"/>
                <w:szCs w:val="22"/>
              </w:rPr>
            </w:pPr>
            <w:r>
              <w:rPr>
                <w:color w:val="auto"/>
                <w:sz w:val="22"/>
                <w:szCs w:val="22"/>
              </w:rPr>
              <w:t>Урок 112</w:t>
            </w:r>
          </w:p>
        </w:tc>
        <w:tc>
          <w:tcPr>
            <w:tcW w:w="7937" w:type="dxa"/>
          </w:tcPr>
          <w:p w14:paraId="0F5B0D27">
            <w:pPr>
              <w:pStyle w:val="85"/>
              <w:jc w:val="both"/>
              <w:rPr>
                <w:color w:val="auto"/>
                <w:sz w:val="22"/>
                <w:szCs w:val="22"/>
              </w:rPr>
            </w:pPr>
            <w:r>
              <w:rPr>
                <w:color w:val="auto"/>
                <w:sz w:val="22"/>
                <w:szCs w:val="22"/>
              </w:rPr>
              <w:t>Раздельное написание личных местоимений с предлогами. Тренинг</w:t>
            </w:r>
          </w:p>
        </w:tc>
      </w:tr>
      <w:tr w14:paraId="4CBFCD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0D99AE73">
            <w:pPr>
              <w:pStyle w:val="85"/>
              <w:jc w:val="center"/>
              <w:rPr>
                <w:color w:val="auto"/>
                <w:sz w:val="22"/>
                <w:szCs w:val="22"/>
              </w:rPr>
            </w:pPr>
            <w:r>
              <w:rPr>
                <w:color w:val="auto"/>
                <w:sz w:val="22"/>
                <w:szCs w:val="22"/>
              </w:rPr>
              <w:t>Урок 113</w:t>
            </w:r>
          </w:p>
        </w:tc>
        <w:tc>
          <w:tcPr>
            <w:tcW w:w="7937" w:type="dxa"/>
          </w:tcPr>
          <w:p w14:paraId="7877A98F">
            <w:pPr>
              <w:pStyle w:val="85"/>
              <w:jc w:val="both"/>
              <w:rPr>
                <w:color w:val="auto"/>
                <w:sz w:val="22"/>
                <w:szCs w:val="22"/>
              </w:rPr>
            </w:pPr>
            <w:r>
              <w:rPr>
                <w:color w:val="auto"/>
                <w:sz w:val="22"/>
                <w:szCs w:val="22"/>
              </w:rPr>
              <w:t>Вспоминаем, как написать письмо, поздравительную открытку, объявление. Письмо. Написание поздравления к празднику 8 марта. Подбор и составление объявлений для стенной газеты</w:t>
            </w:r>
          </w:p>
        </w:tc>
      </w:tr>
      <w:tr w14:paraId="4E349C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77579AB5">
            <w:pPr>
              <w:pStyle w:val="85"/>
              <w:jc w:val="center"/>
              <w:rPr>
                <w:color w:val="auto"/>
                <w:sz w:val="22"/>
                <w:szCs w:val="22"/>
              </w:rPr>
            </w:pPr>
            <w:r>
              <w:rPr>
                <w:color w:val="auto"/>
                <w:sz w:val="22"/>
                <w:szCs w:val="22"/>
              </w:rPr>
              <w:t>Урок 114</w:t>
            </w:r>
          </w:p>
        </w:tc>
        <w:tc>
          <w:tcPr>
            <w:tcW w:w="7937" w:type="dxa"/>
          </w:tcPr>
          <w:p w14:paraId="5F32B73E">
            <w:pPr>
              <w:pStyle w:val="85"/>
              <w:jc w:val="both"/>
              <w:rPr>
                <w:color w:val="auto"/>
                <w:sz w:val="22"/>
                <w:szCs w:val="22"/>
              </w:rPr>
            </w:pPr>
            <w:r>
              <w:rPr>
                <w:color w:val="auto"/>
                <w:sz w:val="22"/>
                <w:szCs w:val="22"/>
              </w:rPr>
              <w:t>Глагол как часть речи</w:t>
            </w:r>
          </w:p>
        </w:tc>
      </w:tr>
      <w:tr w14:paraId="6193D5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7AFBF8A1">
            <w:pPr>
              <w:pStyle w:val="85"/>
              <w:jc w:val="center"/>
              <w:rPr>
                <w:color w:val="auto"/>
                <w:sz w:val="22"/>
                <w:szCs w:val="22"/>
              </w:rPr>
            </w:pPr>
            <w:r>
              <w:rPr>
                <w:color w:val="auto"/>
                <w:sz w:val="22"/>
                <w:szCs w:val="22"/>
              </w:rPr>
              <w:t>Урок 115</w:t>
            </w:r>
          </w:p>
        </w:tc>
        <w:tc>
          <w:tcPr>
            <w:tcW w:w="7937" w:type="dxa"/>
          </w:tcPr>
          <w:p w14:paraId="5EBBAE65">
            <w:pPr>
              <w:pStyle w:val="85"/>
              <w:jc w:val="both"/>
              <w:rPr>
                <w:color w:val="auto"/>
                <w:sz w:val="22"/>
                <w:szCs w:val="22"/>
              </w:rPr>
            </w:pPr>
            <w:r>
              <w:rPr>
                <w:color w:val="auto"/>
                <w:sz w:val="22"/>
                <w:szCs w:val="22"/>
              </w:rPr>
              <w:t>Различение глаголов, отвечающих на вопросы "что делать?" и "что сделать?"</w:t>
            </w:r>
          </w:p>
        </w:tc>
      </w:tr>
      <w:tr w14:paraId="7C214F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240084F1">
            <w:pPr>
              <w:pStyle w:val="85"/>
              <w:jc w:val="center"/>
              <w:rPr>
                <w:color w:val="auto"/>
                <w:sz w:val="22"/>
                <w:szCs w:val="22"/>
              </w:rPr>
            </w:pPr>
            <w:r>
              <w:rPr>
                <w:color w:val="auto"/>
                <w:sz w:val="22"/>
                <w:szCs w:val="22"/>
              </w:rPr>
              <w:t>Урок 116</w:t>
            </w:r>
          </w:p>
        </w:tc>
        <w:tc>
          <w:tcPr>
            <w:tcW w:w="7937" w:type="dxa"/>
          </w:tcPr>
          <w:p w14:paraId="739CBFFD">
            <w:pPr>
              <w:pStyle w:val="85"/>
              <w:jc w:val="both"/>
              <w:rPr>
                <w:color w:val="auto"/>
                <w:sz w:val="22"/>
                <w:szCs w:val="22"/>
              </w:rPr>
            </w:pPr>
            <w:r>
              <w:rPr>
                <w:color w:val="auto"/>
                <w:sz w:val="22"/>
                <w:szCs w:val="22"/>
              </w:rPr>
              <w:t>Неопределенная форма глагола</w:t>
            </w:r>
          </w:p>
        </w:tc>
      </w:tr>
      <w:tr w14:paraId="2B979D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566A84B2">
            <w:pPr>
              <w:pStyle w:val="85"/>
              <w:jc w:val="center"/>
              <w:rPr>
                <w:color w:val="auto"/>
                <w:sz w:val="22"/>
                <w:szCs w:val="22"/>
              </w:rPr>
            </w:pPr>
            <w:r>
              <w:rPr>
                <w:color w:val="auto"/>
                <w:sz w:val="22"/>
                <w:szCs w:val="22"/>
              </w:rPr>
              <w:t>Урок 117</w:t>
            </w:r>
          </w:p>
        </w:tc>
        <w:tc>
          <w:tcPr>
            <w:tcW w:w="7937" w:type="dxa"/>
          </w:tcPr>
          <w:p w14:paraId="19BFFD40">
            <w:pPr>
              <w:pStyle w:val="85"/>
              <w:jc w:val="both"/>
              <w:rPr>
                <w:color w:val="auto"/>
                <w:sz w:val="22"/>
                <w:szCs w:val="22"/>
              </w:rPr>
            </w:pPr>
            <w:r>
              <w:rPr>
                <w:color w:val="auto"/>
                <w:sz w:val="22"/>
                <w:szCs w:val="22"/>
              </w:rPr>
              <w:t>Пишем сочинение-отзыв по репродукции картины</w:t>
            </w:r>
          </w:p>
        </w:tc>
      </w:tr>
      <w:tr w14:paraId="1050D1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344D328B">
            <w:pPr>
              <w:pStyle w:val="85"/>
              <w:jc w:val="center"/>
              <w:rPr>
                <w:color w:val="auto"/>
                <w:sz w:val="22"/>
                <w:szCs w:val="22"/>
              </w:rPr>
            </w:pPr>
            <w:r>
              <w:rPr>
                <w:color w:val="auto"/>
                <w:sz w:val="22"/>
                <w:szCs w:val="22"/>
              </w:rPr>
              <w:t>Урок 118</w:t>
            </w:r>
          </w:p>
        </w:tc>
        <w:tc>
          <w:tcPr>
            <w:tcW w:w="7937" w:type="dxa"/>
          </w:tcPr>
          <w:p w14:paraId="0B7D9223">
            <w:pPr>
              <w:pStyle w:val="85"/>
              <w:jc w:val="both"/>
              <w:rPr>
                <w:color w:val="auto"/>
                <w:sz w:val="22"/>
                <w:szCs w:val="22"/>
              </w:rPr>
            </w:pPr>
            <w:r>
              <w:rPr>
                <w:color w:val="auto"/>
                <w:sz w:val="22"/>
                <w:szCs w:val="22"/>
              </w:rPr>
              <w:t>Настоящее время глагола</w:t>
            </w:r>
          </w:p>
        </w:tc>
      </w:tr>
      <w:tr w14:paraId="3E1FE6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4899DFF9">
            <w:pPr>
              <w:pStyle w:val="85"/>
              <w:jc w:val="center"/>
              <w:rPr>
                <w:color w:val="auto"/>
                <w:sz w:val="22"/>
                <w:szCs w:val="22"/>
              </w:rPr>
            </w:pPr>
            <w:r>
              <w:rPr>
                <w:color w:val="auto"/>
                <w:sz w:val="22"/>
                <w:szCs w:val="22"/>
              </w:rPr>
              <w:t>Урок 119</w:t>
            </w:r>
          </w:p>
        </w:tc>
        <w:tc>
          <w:tcPr>
            <w:tcW w:w="7937" w:type="dxa"/>
          </w:tcPr>
          <w:p w14:paraId="4B5BBA93">
            <w:pPr>
              <w:pStyle w:val="85"/>
              <w:jc w:val="both"/>
              <w:rPr>
                <w:color w:val="auto"/>
                <w:sz w:val="22"/>
                <w:szCs w:val="22"/>
              </w:rPr>
            </w:pPr>
            <w:r>
              <w:rPr>
                <w:color w:val="auto"/>
                <w:sz w:val="22"/>
                <w:szCs w:val="22"/>
              </w:rPr>
              <w:t>Прошедшее время глагола</w:t>
            </w:r>
          </w:p>
        </w:tc>
      </w:tr>
      <w:tr w14:paraId="1C0426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7F8D1CFE">
            <w:pPr>
              <w:pStyle w:val="85"/>
              <w:jc w:val="center"/>
              <w:rPr>
                <w:color w:val="auto"/>
                <w:sz w:val="22"/>
                <w:szCs w:val="22"/>
              </w:rPr>
            </w:pPr>
            <w:r>
              <w:rPr>
                <w:color w:val="auto"/>
                <w:sz w:val="22"/>
                <w:szCs w:val="22"/>
              </w:rPr>
              <w:t>Урок 120</w:t>
            </w:r>
          </w:p>
        </w:tc>
        <w:tc>
          <w:tcPr>
            <w:tcW w:w="7937" w:type="dxa"/>
          </w:tcPr>
          <w:p w14:paraId="627D3F96">
            <w:pPr>
              <w:pStyle w:val="85"/>
              <w:jc w:val="both"/>
              <w:rPr>
                <w:color w:val="auto"/>
                <w:sz w:val="22"/>
                <w:szCs w:val="22"/>
              </w:rPr>
            </w:pPr>
            <w:r>
              <w:rPr>
                <w:color w:val="auto"/>
                <w:sz w:val="22"/>
                <w:szCs w:val="22"/>
              </w:rPr>
              <w:t>Будущее время глагола</w:t>
            </w:r>
          </w:p>
        </w:tc>
      </w:tr>
      <w:tr w14:paraId="6D91C0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33AE020B">
            <w:pPr>
              <w:pStyle w:val="85"/>
              <w:jc w:val="center"/>
              <w:rPr>
                <w:color w:val="auto"/>
                <w:sz w:val="22"/>
                <w:szCs w:val="22"/>
              </w:rPr>
            </w:pPr>
            <w:r>
              <w:rPr>
                <w:color w:val="auto"/>
                <w:sz w:val="22"/>
                <w:szCs w:val="22"/>
              </w:rPr>
              <w:t>Урок 121</w:t>
            </w:r>
          </w:p>
        </w:tc>
        <w:tc>
          <w:tcPr>
            <w:tcW w:w="7937" w:type="dxa"/>
          </w:tcPr>
          <w:p w14:paraId="20108098">
            <w:pPr>
              <w:pStyle w:val="85"/>
              <w:jc w:val="both"/>
              <w:rPr>
                <w:color w:val="auto"/>
                <w:sz w:val="22"/>
                <w:szCs w:val="22"/>
              </w:rPr>
            </w:pPr>
            <w:r>
              <w:rPr>
                <w:color w:val="auto"/>
                <w:sz w:val="22"/>
                <w:szCs w:val="22"/>
              </w:rPr>
              <w:t>Настоящее, прошедшее и будущее время глагола</w:t>
            </w:r>
          </w:p>
        </w:tc>
      </w:tr>
      <w:tr w14:paraId="5F394C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45A4FB3C">
            <w:pPr>
              <w:pStyle w:val="85"/>
              <w:jc w:val="center"/>
              <w:rPr>
                <w:color w:val="auto"/>
                <w:sz w:val="22"/>
                <w:szCs w:val="22"/>
              </w:rPr>
            </w:pPr>
            <w:r>
              <w:rPr>
                <w:color w:val="auto"/>
                <w:sz w:val="22"/>
                <w:szCs w:val="22"/>
              </w:rPr>
              <w:t>Урок 122</w:t>
            </w:r>
          </w:p>
        </w:tc>
        <w:tc>
          <w:tcPr>
            <w:tcW w:w="7937" w:type="dxa"/>
          </w:tcPr>
          <w:p w14:paraId="79D5510C">
            <w:pPr>
              <w:pStyle w:val="85"/>
              <w:jc w:val="both"/>
              <w:rPr>
                <w:color w:val="auto"/>
                <w:sz w:val="22"/>
                <w:szCs w:val="22"/>
              </w:rPr>
            </w:pPr>
            <w:r>
              <w:rPr>
                <w:color w:val="auto"/>
                <w:sz w:val="22"/>
                <w:szCs w:val="22"/>
              </w:rPr>
              <w:t>Ситуации устного и письменного общения. Составление текста о правилах уличного движения</w:t>
            </w:r>
          </w:p>
        </w:tc>
      </w:tr>
      <w:tr w14:paraId="662B96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687A9B91">
            <w:pPr>
              <w:pStyle w:val="85"/>
              <w:jc w:val="center"/>
              <w:rPr>
                <w:color w:val="auto"/>
                <w:sz w:val="22"/>
                <w:szCs w:val="22"/>
              </w:rPr>
            </w:pPr>
            <w:r>
              <w:rPr>
                <w:color w:val="auto"/>
                <w:sz w:val="22"/>
                <w:szCs w:val="22"/>
              </w:rPr>
              <w:t>Урок 123</w:t>
            </w:r>
          </w:p>
        </w:tc>
        <w:tc>
          <w:tcPr>
            <w:tcW w:w="7937" w:type="dxa"/>
          </w:tcPr>
          <w:p w14:paraId="4E0A4C2D">
            <w:pPr>
              <w:pStyle w:val="85"/>
              <w:jc w:val="both"/>
              <w:rPr>
                <w:color w:val="auto"/>
                <w:sz w:val="22"/>
                <w:szCs w:val="22"/>
              </w:rPr>
            </w:pPr>
            <w:r>
              <w:rPr>
                <w:color w:val="auto"/>
                <w:sz w:val="22"/>
                <w:szCs w:val="22"/>
              </w:rPr>
              <w:t>Речь: диалогическая и монологическая</w:t>
            </w:r>
          </w:p>
        </w:tc>
      </w:tr>
      <w:tr w14:paraId="7B578E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28A2D328">
            <w:pPr>
              <w:pStyle w:val="85"/>
              <w:jc w:val="center"/>
              <w:rPr>
                <w:color w:val="auto"/>
                <w:sz w:val="22"/>
                <w:szCs w:val="22"/>
              </w:rPr>
            </w:pPr>
            <w:r>
              <w:rPr>
                <w:color w:val="auto"/>
                <w:sz w:val="22"/>
                <w:szCs w:val="22"/>
              </w:rPr>
              <w:t>Урок 124</w:t>
            </w:r>
          </w:p>
        </w:tc>
        <w:tc>
          <w:tcPr>
            <w:tcW w:w="7937" w:type="dxa"/>
          </w:tcPr>
          <w:p w14:paraId="3C7361E9">
            <w:pPr>
              <w:pStyle w:val="85"/>
              <w:jc w:val="both"/>
              <w:rPr>
                <w:color w:val="auto"/>
                <w:sz w:val="22"/>
                <w:szCs w:val="22"/>
              </w:rPr>
            </w:pPr>
            <w:r>
              <w:rPr>
                <w:color w:val="auto"/>
                <w:sz w:val="22"/>
                <w:szCs w:val="22"/>
              </w:rPr>
              <w:t>Особенности разбора глаголов по составу</w:t>
            </w:r>
          </w:p>
        </w:tc>
      </w:tr>
      <w:tr w14:paraId="109332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01E5C448">
            <w:pPr>
              <w:pStyle w:val="85"/>
              <w:jc w:val="center"/>
              <w:rPr>
                <w:color w:val="auto"/>
                <w:sz w:val="22"/>
                <w:szCs w:val="22"/>
              </w:rPr>
            </w:pPr>
            <w:r>
              <w:rPr>
                <w:color w:val="auto"/>
                <w:sz w:val="22"/>
                <w:szCs w:val="22"/>
              </w:rPr>
              <w:t>Урок 125</w:t>
            </w:r>
          </w:p>
        </w:tc>
        <w:tc>
          <w:tcPr>
            <w:tcW w:w="7937" w:type="dxa"/>
          </w:tcPr>
          <w:p w14:paraId="2BB842F6">
            <w:pPr>
              <w:pStyle w:val="85"/>
              <w:jc w:val="both"/>
              <w:rPr>
                <w:color w:val="auto"/>
                <w:sz w:val="22"/>
                <w:szCs w:val="22"/>
              </w:rPr>
            </w:pPr>
            <w:r>
              <w:rPr>
                <w:color w:val="auto"/>
                <w:sz w:val="22"/>
                <w:szCs w:val="22"/>
              </w:rPr>
              <w:t>Глагол в словосочетании</w:t>
            </w:r>
          </w:p>
        </w:tc>
      </w:tr>
      <w:tr w14:paraId="5783B1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734FB0BD">
            <w:pPr>
              <w:pStyle w:val="85"/>
              <w:jc w:val="center"/>
              <w:rPr>
                <w:color w:val="auto"/>
                <w:sz w:val="22"/>
                <w:szCs w:val="22"/>
              </w:rPr>
            </w:pPr>
            <w:r>
              <w:rPr>
                <w:color w:val="auto"/>
                <w:sz w:val="22"/>
                <w:szCs w:val="22"/>
              </w:rPr>
              <w:t>Урок 126</w:t>
            </w:r>
          </w:p>
        </w:tc>
        <w:tc>
          <w:tcPr>
            <w:tcW w:w="7937" w:type="dxa"/>
          </w:tcPr>
          <w:p w14:paraId="56C4486B">
            <w:pPr>
              <w:pStyle w:val="85"/>
              <w:jc w:val="both"/>
              <w:rPr>
                <w:color w:val="auto"/>
                <w:sz w:val="22"/>
                <w:szCs w:val="22"/>
              </w:rPr>
            </w:pPr>
            <w:r>
              <w:rPr>
                <w:color w:val="auto"/>
                <w:sz w:val="22"/>
                <w:szCs w:val="22"/>
              </w:rPr>
              <w:t>Глагол в предложении</w:t>
            </w:r>
          </w:p>
        </w:tc>
      </w:tr>
      <w:tr w14:paraId="6A0BEA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313C5310">
            <w:pPr>
              <w:pStyle w:val="85"/>
              <w:jc w:val="center"/>
              <w:rPr>
                <w:color w:val="auto"/>
                <w:sz w:val="22"/>
                <w:szCs w:val="22"/>
              </w:rPr>
            </w:pPr>
            <w:r>
              <w:rPr>
                <w:color w:val="auto"/>
                <w:sz w:val="22"/>
                <w:szCs w:val="22"/>
              </w:rPr>
              <w:t>Урок 127</w:t>
            </w:r>
          </w:p>
        </w:tc>
        <w:tc>
          <w:tcPr>
            <w:tcW w:w="7937" w:type="dxa"/>
          </w:tcPr>
          <w:p w14:paraId="440783B3">
            <w:pPr>
              <w:pStyle w:val="85"/>
              <w:jc w:val="both"/>
              <w:rPr>
                <w:color w:val="auto"/>
                <w:sz w:val="22"/>
                <w:szCs w:val="22"/>
              </w:rPr>
            </w:pPr>
            <w:r>
              <w:rPr>
                <w:color w:val="auto"/>
                <w:sz w:val="22"/>
                <w:szCs w:val="22"/>
              </w:rPr>
              <w:t>Спряжение глаголов: изменение по лицам и числам</w:t>
            </w:r>
          </w:p>
        </w:tc>
      </w:tr>
      <w:tr w14:paraId="67314E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126639D8">
            <w:pPr>
              <w:pStyle w:val="85"/>
              <w:jc w:val="center"/>
              <w:rPr>
                <w:color w:val="auto"/>
                <w:sz w:val="22"/>
                <w:szCs w:val="22"/>
              </w:rPr>
            </w:pPr>
            <w:r>
              <w:rPr>
                <w:color w:val="auto"/>
                <w:sz w:val="22"/>
                <w:szCs w:val="22"/>
              </w:rPr>
              <w:t>Урок 128</w:t>
            </w:r>
          </w:p>
        </w:tc>
        <w:tc>
          <w:tcPr>
            <w:tcW w:w="7937" w:type="dxa"/>
          </w:tcPr>
          <w:p w14:paraId="4274D43E">
            <w:pPr>
              <w:pStyle w:val="85"/>
              <w:jc w:val="both"/>
              <w:rPr>
                <w:color w:val="auto"/>
                <w:sz w:val="22"/>
                <w:szCs w:val="22"/>
              </w:rPr>
            </w:pPr>
            <w:r>
              <w:rPr>
                <w:color w:val="auto"/>
                <w:sz w:val="22"/>
                <w:szCs w:val="22"/>
              </w:rPr>
              <w:t>Глаголы 2-го лица настоящего и будущего времени в единственном числе</w:t>
            </w:r>
          </w:p>
        </w:tc>
      </w:tr>
      <w:tr w14:paraId="159472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149FD980">
            <w:pPr>
              <w:pStyle w:val="85"/>
              <w:jc w:val="center"/>
              <w:rPr>
                <w:color w:val="auto"/>
                <w:sz w:val="22"/>
                <w:szCs w:val="22"/>
              </w:rPr>
            </w:pPr>
            <w:r>
              <w:rPr>
                <w:color w:val="auto"/>
                <w:sz w:val="22"/>
                <w:szCs w:val="22"/>
              </w:rPr>
              <w:t>Урок 129</w:t>
            </w:r>
          </w:p>
        </w:tc>
        <w:tc>
          <w:tcPr>
            <w:tcW w:w="7937" w:type="dxa"/>
          </w:tcPr>
          <w:p w14:paraId="64061E49">
            <w:pPr>
              <w:pStyle w:val="85"/>
              <w:jc w:val="both"/>
              <w:rPr>
                <w:color w:val="auto"/>
                <w:sz w:val="22"/>
                <w:szCs w:val="22"/>
              </w:rPr>
            </w:pPr>
            <w:r>
              <w:rPr>
                <w:color w:val="auto"/>
                <w:sz w:val="22"/>
                <w:szCs w:val="22"/>
              </w:rPr>
              <w:t>Мягкий знак после шипящих на конце глаголов в форме 2-го лица единственного числа</w:t>
            </w:r>
          </w:p>
        </w:tc>
      </w:tr>
      <w:tr w14:paraId="061212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286A1EE3">
            <w:pPr>
              <w:pStyle w:val="85"/>
              <w:jc w:val="center"/>
              <w:rPr>
                <w:color w:val="auto"/>
                <w:sz w:val="22"/>
                <w:szCs w:val="22"/>
              </w:rPr>
            </w:pPr>
            <w:r>
              <w:rPr>
                <w:color w:val="auto"/>
                <w:sz w:val="22"/>
                <w:szCs w:val="22"/>
              </w:rPr>
              <w:t>Урок 130</w:t>
            </w:r>
          </w:p>
        </w:tc>
        <w:tc>
          <w:tcPr>
            <w:tcW w:w="7937" w:type="dxa"/>
          </w:tcPr>
          <w:p w14:paraId="089CC8D0">
            <w:pPr>
              <w:pStyle w:val="85"/>
              <w:jc w:val="both"/>
              <w:rPr>
                <w:color w:val="auto"/>
                <w:sz w:val="22"/>
                <w:szCs w:val="22"/>
              </w:rPr>
            </w:pPr>
            <w:r>
              <w:rPr>
                <w:color w:val="auto"/>
                <w:sz w:val="22"/>
                <w:szCs w:val="22"/>
              </w:rPr>
              <w:t>Отрабатываем правописание глаголов в форме 2-го лица единственного числа</w:t>
            </w:r>
          </w:p>
        </w:tc>
      </w:tr>
      <w:tr w14:paraId="68261B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6A47FEF7">
            <w:pPr>
              <w:pStyle w:val="85"/>
              <w:jc w:val="center"/>
              <w:rPr>
                <w:color w:val="auto"/>
                <w:sz w:val="22"/>
                <w:szCs w:val="22"/>
              </w:rPr>
            </w:pPr>
            <w:r>
              <w:rPr>
                <w:color w:val="auto"/>
                <w:sz w:val="22"/>
                <w:szCs w:val="22"/>
              </w:rPr>
              <w:t>Урок 131</w:t>
            </w:r>
          </w:p>
        </w:tc>
        <w:tc>
          <w:tcPr>
            <w:tcW w:w="7937" w:type="dxa"/>
          </w:tcPr>
          <w:p w14:paraId="38E85197">
            <w:pPr>
              <w:pStyle w:val="85"/>
              <w:jc w:val="both"/>
              <w:rPr>
                <w:color w:val="auto"/>
                <w:sz w:val="22"/>
                <w:szCs w:val="22"/>
              </w:rPr>
            </w:pPr>
            <w:r>
              <w:rPr>
                <w:color w:val="auto"/>
                <w:sz w:val="22"/>
                <w:szCs w:val="22"/>
              </w:rPr>
              <w:t>I и II спряжение глаголов</w:t>
            </w:r>
          </w:p>
        </w:tc>
      </w:tr>
      <w:tr w14:paraId="2AB1FC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4C225974">
            <w:pPr>
              <w:pStyle w:val="85"/>
              <w:jc w:val="center"/>
              <w:rPr>
                <w:color w:val="auto"/>
                <w:sz w:val="22"/>
                <w:szCs w:val="22"/>
              </w:rPr>
            </w:pPr>
            <w:r>
              <w:rPr>
                <w:color w:val="auto"/>
                <w:sz w:val="22"/>
                <w:szCs w:val="22"/>
              </w:rPr>
              <w:t>Урок 132</w:t>
            </w:r>
          </w:p>
        </w:tc>
        <w:tc>
          <w:tcPr>
            <w:tcW w:w="7937" w:type="dxa"/>
          </w:tcPr>
          <w:p w14:paraId="039B6C45">
            <w:pPr>
              <w:pStyle w:val="85"/>
              <w:jc w:val="both"/>
              <w:rPr>
                <w:color w:val="auto"/>
                <w:sz w:val="22"/>
                <w:szCs w:val="22"/>
              </w:rPr>
            </w:pPr>
            <w:r>
              <w:rPr>
                <w:color w:val="auto"/>
                <w:sz w:val="22"/>
                <w:szCs w:val="22"/>
              </w:rPr>
              <w:t>Личные формы глагола</w:t>
            </w:r>
          </w:p>
        </w:tc>
      </w:tr>
      <w:tr w14:paraId="6D76F0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3F2B7704">
            <w:pPr>
              <w:pStyle w:val="85"/>
              <w:jc w:val="center"/>
              <w:rPr>
                <w:color w:val="auto"/>
                <w:sz w:val="22"/>
                <w:szCs w:val="22"/>
              </w:rPr>
            </w:pPr>
            <w:r>
              <w:rPr>
                <w:color w:val="auto"/>
                <w:sz w:val="22"/>
                <w:szCs w:val="22"/>
              </w:rPr>
              <w:t>Урок 133</w:t>
            </w:r>
          </w:p>
        </w:tc>
        <w:tc>
          <w:tcPr>
            <w:tcW w:w="7937" w:type="dxa"/>
          </w:tcPr>
          <w:p w14:paraId="61988156">
            <w:pPr>
              <w:pStyle w:val="85"/>
              <w:jc w:val="both"/>
              <w:rPr>
                <w:color w:val="auto"/>
                <w:sz w:val="22"/>
                <w:szCs w:val="22"/>
              </w:rPr>
            </w:pPr>
            <w:r>
              <w:rPr>
                <w:color w:val="auto"/>
                <w:sz w:val="22"/>
                <w:szCs w:val="22"/>
              </w:rPr>
              <w:t>Личные окончания глаголов I и II спряжения</w:t>
            </w:r>
          </w:p>
        </w:tc>
      </w:tr>
      <w:tr w14:paraId="7956EF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3B353C88">
            <w:pPr>
              <w:pStyle w:val="85"/>
              <w:jc w:val="center"/>
              <w:rPr>
                <w:color w:val="auto"/>
                <w:sz w:val="22"/>
                <w:szCs w:val="22"/>
              </w:rPr>
            </w:pPr>
            <w:r>
              <w:rPr>
                <w:color w:val="auto"/>
                <w:sz w:val="22"/>
                <w:szCs w:val="22"/>
              </w:rPr>
              <w:t>Урок 134</w:t>
            </w:r>
          </w:p>
        </w:tc>
        <w:tc>
          <w:tcPr>
            <w:tcW w:w="7937" w:type="dxa"/>
          </w:tcPr>
          <w:p w14:paraId="56EFF353">
            <w:pPr>
              <w:pStyle w:val="85"/>
              <w:jc w:val="both"/>
              <w:rPr>
                <w:color w:val="auto"/>
                <w:sz w:val="22"/>
                <w:szCs w:val="22"/>
              </w:rPr>
            </w:pPr>
            <w:r>
              <w:rPr>
                <w:color w:val="auto"/>
                <w:sz w:val="22"/>
                <w:szCs w:val="22"/>
              </w:rPr>
              <w:t>Способы определения I и II спряжения глаголов</w:t>
            </w:r>
          </w:p>
        </w:tc>
      </w:tr>
      <w:tr w14:paraId="3A2EE5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0E1FF229">
            <w:pPr>
              <w:pStyle w:val="85"/>
              <w:jc w:val="center"/>
              <w:rPr>
                <w:color w:val="auto"/>
                <w:sz w:val="22"/>
                <w:szCs w:val="22"/>
              </w:rPr>
            </w:pPr>
            <w:r>
              <w:rPr>
                <w:color w:val="auto"/>
                <w:sz w:val="22"/>
                <w:szCs w:val="22"/>
              </w:rPr>
              <w:t>Урок 135</w:t>
            </w:r>
          </w:p>
        </w:tc>
        <w:tc>
          <w:tcPr>
            <w:tcW w:w="7937" w:type="dxa"/>
          </w:tcPr>
          <w:p w14:paraId="621DCAFA">
            <w:pPr>
              <w:pStyle w:val="85"/>
              <w:jc w:val="both"/>
              <w:rPr>
                <w:color w:val="auto"/>
                <w:sz w:val="22"/>
                <w:szCs w:val="22"/>
              </w:rPr>
            </w:pPr>
            <w:r>
              <w:rPr>
                <w:color w:val="auto"/>
                <w:sz w:val="22"/>
                <w:szCs w:val="22"/>
              </w:rPr>
              <w:t>Отработка способов определения I и II спряжения глаголов</w:t>
            </w:r>
          </w:p>
        </w:tc>
      </w:tr>
      <w:tr w14:paraId="4BD391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49DA9CCF">
            <w:pPr>
              <w:pStyle w:val="85"/>
              <w:jc w:val="center"/>
              <w:rPr>
                <w:color w:val="auto"/>
                <w:sz w:val="22"/>
                <w:szCs w:val="22"/>
              </w:rPr>
            </w:pPr>
            <w:r>
              <w:rPr>
                <w:color w:val="auto"/>
                <w:sz w:val="22"/>
                <w:szCs w:val="22"/>
              </w:rPr>
              <w:t>Урок 136</w:t>
            </w:r>
          </w:p>
        </w:tc>
        <w:tc>
          <w:tcPr>
            <w:tcW w:w="7937" w:type="dxa"/>
          </w:tcPr>
          <w:p w14:paraId="784EAE36">
            <w:pPr>
              <w:pStyle w:val="85"/>
              <w:jc w:val="both"/>
              <w:rPr>
                <w:color w:val="auto"/>
                <w:sz w:val="22"/>
                <w:szCs w:val="22"/>
              </w:rPr>
            </w:pPr>
            <w:r>
              <w:rPr>
                <w:color w:val="auto"/>
                <w:sz w:val="22"/>
                <w:szCs w:val="22"/>
              </w:rPr>
              <w:t>Пишем сочинение-повествование на тему. Составление рассказа (сказки) по содержанию пословицы, фразеологизма</w:t>
            </w:r>
          </w:p>
        </w:tc>
      </w:tr>
      <w:tr w14:paraId="582107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5B593EE9">
            <w:pPr>
              <w:pStyle w:val="85"/>
              <w:jc w:val="center"/>
              <w:rPr>
                <w:color w:val="auto"/>
                <w:sz w:val="22"/>
                <w:szCs w:val="22"/>
              </w:rPr>
            </w:pPr>
            <w:r>
              <w:rPr>
                <w:color w:val="auto"/>
                <w:sz w:val="22"/>
                <w:szCs w:val="22"/>
              </w:rPr>
              <w:t>Урок 137</w:t>
            </w:r>
          </w:p>
        </w:tc>
        <w:tc>
          <w:tcPr>
            <w:tcW w:w="7937" w:type="dxa"/>
          </w:tcPr>
          <w:p w14:paraId="7701AAA2">
            <w:pPr>
              <w:pStyle w:val="85"/>
              <w:jc w:val="both"/>
              <w:rPr>
                <w:color w:val="auto"/>
                <w:sz w:val="22"/>
                <w:szCs w:val="22"/>
              </w:rPr>
            </w:pPr>
            <w:r>
              <w:rPr>
                <w:color w:val="auto"/>
                <w:sz w:val="22"/>
                <w:szCs w:val="22"/>
              </w:rPr>
              <w:t>Отрабатываем правило определения спряжения глаголов с безударными личными окончаниями</w:t>
            </w:r>
          </w:p>
        </w:tc>
      </w:tr>
      <w:tr w14:paraId="1CD782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5BAFBC5C">
            <w:pPr>
              <w:pStyle w:val="85"/>
              <w:jc w:val="center"/>
              <w:rPr>
                <w:color w:val="auto"/>
                <w:sz w:val="22"/>
                <w:szCs w:val="22"/>
              </w:rPr>
            </w:pPr>
            <w:r>
              <w:rPr>
                <w:color w:val="auto"/>
                <w:sz w:val="22"/>
                <w:szCs w:val="22"/>
              </w:rPr>
              <w:t>Урок 138</w:t>
            </w:r>
          </w:p>
        </w:tc>
        <w:tc>
          <w:tcPr>
            <w:tcW w:w="7937" w:type="dxa"/>
          </w:tcPr>
          <w:p w14:paraId="1C020FDC">
            <w:pPr>
              <w:pStyle w:val="85"/>
              <w:jc w:val="both"/>
              <w:rPr>
                <w:color w:val="auto"/>
                <w:sz w:val="22"/>
                <w:szCs w:val="22"/>
              </w:rPr>
            </w:pPr>
            <w:r>
              <w:rPr>
                <w:color w:val="auto"/>
                <w:sz w:val="22"/>
                <w:szCs w:val="22"/>
              </w:rPr>
              <w:t>Отрабатываем правописание безударных личных окончаний глаголов-исключений</w:t>
            </w:r>
          </w:p>
        </w:tc>
      </w:tr>
      <w:tr w14:paraId="0987F1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32C53770">
            <w:pPr>
              <w:pStyle w:val="85"/>
              <w:jc w:val="center"/>
              <w:rPr>
                <w:color w:val="auto"/>
                <w:sz w:val="22"/>
                <w:szCs w:val="22"/>
              </w:rPr>
            </w:pPr>
            <w:r>
              <w:rPr>
                <w:color w:val="auto"/>
                <w:sz w:val="22"/>
                <w:szCs w:val="22"/>
              </w:rPr>
              <w:t>Урок 139</w:t>
            </w:r>
          </w:p>
        </w:tc>
        <w:tc>
          <w:tcPr>
            <w:tcW w:w="7937" w:type="dxa"/>
          </w:tcPr>
          <w:p w14:paraId="74C8DDEE">
            <w:pPr>
              <w:pStyle w:val="85"/>
              <w:jc w:val="both"/>
              <w:rPr>
                <w:color w:val="auto"/>
                <w:sz w:val="22"/>
                <w:szCs w:val="22"/>
              </w:rPr>
            </w:pPr>
            <w:r>
              <w:rPr>
                <w:color w:val="auto"/>
                <w:sz w:val="22"/>
                <w:szCs w:val="22"/>
              </w:rPr>
              <w:t>Правописание безударных личных окончаний глаголов</w:t>
            </w:r>
          </w:p>
        </w:tc>
      </w:tr>
      <w:tr w14:paraId="6A7F8E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57734DAD">
            <w:pPr>
              <w:pStyle w:val="85"/>
              <w:jc w:val="center"/>
              <w:rPr>
                <w:color w:val="auto"/>
                <w:sz w:val="22"/>
                <w:szCs w:val="22"/>
              </w:rPr>
            </w:pPr>
            <w:r>
              <w:rPr>
                <w:color w:val="auto"/>
                <w:sz w:val="22"/>
                <w:szCs w:val="22"/>
              </w:rPr>
              <w:t>Урок 140</w:t>
            </w:r>
          </w:p>
        </w:tc>
        <w:tc>
          <w:tcPr>
            <w:tcW w:w="7937" w:type="dxa"/>
          </w:tcPr>
          <w:p w14:paraId="5681EF9F">
            <w:pPr>
              <w:pStyle w:val="85"/>
              <w:jc w:val="both"/>
              <w:rPr>
                <w:color w:val="auto"/>
                <w:sz w:val="22"/>
                <w:szCs w:val="22"/>
              </w:rPr>
            </w:pPr>
            <w:r>
              <w:rPr>
                <w:color w:val="auto"/>
                <w:sz w:val="22"/>
                <w:szCs w:val="22"/>
              </w:rPr>
              <w:t>Отрабатываем правописание безударных личных окончаний глаголов</w:t>
            </w:r>
          </w:p>
        </w:tc>
      </w:tr>
      <w:tr w14:paraId="600B99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22F65847">
            <w:pPr>
              <w:pStyle w:val="85"/>
              <w:jc w:val="center"/>
              <w:rPr>
                <w:color w:val="auto"/>
                <w:sz w:val="22"/>
                <w:szCs w:val="22"/>
              </w:rPr>
            </w:pPr>
            <w:r>
              <w:rPr>
                <w:color w:val="auto"/>
                <w:sz w:val="22"/>
                <w:szCs w:val="22"/>
              </w:rPr>
              <w:t>Урок 141</w:t>
            </w:r>
          </w:p>
        </w:tc>
        <w:tc>
          <w:tcPr>
            <w:tcW w:w="7937" w:type="dxa"/>
          </w:tcPr>
          <w:p w14:paraId="6116E876">
            <w:pPr>
              <w:pStyle w:val="85"/>
              <w:jc w:val="both"/>
              <w:rPr>
                <w:color w:val="auto"/>
                <w:sz w:val="22"/>
                <w:szCs w:val="22"/>
              </w:rPr>
            </w:pPr>
            <w:r>
              <w:rPr>
                <w:color w:val="auto"/>
                <w:sz w:val="22"/>
                <w:szCs w:val="22"/>
              </w:rPr>
              <w:t>Безударные личные окончания глаголов: трудные случаи</w:t>
            </w:r>
          </w:p>
        </w:tc>
      </w:tr>
      <w:tr w14:paraId="4A8DB3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436AB982">
            <w:pPr>
              <w:pStyle w:val="85"/>
              <w:jc w:val="center"/>
              <w:rPr>
                <w:color w:val="auto"/>
                <w:sz w:val="22"/>
                <w:szCs w:val="22"/>
              </w:rPr>
            </w:pPr>
            <w:r>
              <w:rPr>
                <w:color w:val="auto"/>
                <w:sz w:val="22"/>
                <w:szCs w:val="22"/>
              </w:rPr>
              <w:t>Урок 142</w:t>
            </w:r>
          </w:p>
        </w:tc>
        <w:tc>
          <w:tcPr>
            <w:tcW w:w="7937" w:type="dxa"/>
          </w:tcPr>
          <w:p w14:paraId="09E14C49">
            <w:pPr>
              <w:pStyle w:val="85"/>
              <w:jc w:val="both"/>
              <w:rPr>
                <w:color w:val="auto"/>
                <w:sz w:val="22"/>
                <w:szCs w:val="22"/>
              </w:rPr>
            </w:pPr>
            <w:r>
              <w:rPr>
                <w:color w:val="auto"/>
                <w:sz w:val="22"/>
                <w:szCs w:val="22"/>
              </w:rPr>
              <w:t>Отрабатываем трудные случаи написания безударных личных окончаний глаголов</w:t>
            </w:r>
          </w:p>
        </w:tc>
      </w:tr>
      <w:tr w14:paraId="46257E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6816B285">
            <w:pPr>
              <w:pStyle w:val="85"/>
              <w:jc w:val="center"/>
              <w:rPr>
                <w:color w:val="auto"/>
                <w:sz w:val="22"/>
                <w:szCs w:val="22"/>
              </w:rPr>
            </w:pPr>
            <w:r>
              <w:rPr>
                <w:color w:val="auto"/>
                <w:sz w:val="22"/>
                <w:szCs w:val="22"/>
              </w:rPr>
              <w:t>Урок 143</w:t>
            </w:r>
          </w:p>
        </w:tc>
        <w:tc>
          <w:tcPr>
            <w:tcW w:w="7937" w:type="dxa"/>
          </w:tcPr>
          <w:p w14:paraId="0CDAA3AB">
            <w:pPr>
              <w:pStyle w:val="85"/>
              <w:jc w:val="both"/>
              <w:rPr>
                <w:color w:val="auto"/>
                <w:sz w:val="22"/>
                <w:szCs w:val="22"/>
              </w:rPr>
            </w:pPr>
            <w:r>
              <w:rPr>
                <w:color w:val="auto"/>
                <w:sz w:val="22"/>
                <w:szCs w:val="22"/>
              </w:rPr>
              <w:t>Резервный урок по разделу морфология: Что такое возвратные глаголы?</w:t>
            </w:r>
          </w:p>
        </w:tc>
      </w:tr>
      <w:tr w14:paraId="3BAEAA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76968071">
            <w:pPr>
              <w:pStyle w:val="85"/>
              <w:jc w:val="center"/>
              <w:rPr>
                <w:color w:val="auto"/>
                <w:sz w:val="22"/>
                <w:szCs w:val="22"/>
              </w:rPr>
            </w:pPr>
            <w:r>
              <w:rPr>
                <w:color w:val="auto"/>
                <w:sz w:val="22"/>
                <w:szCs w:val="22"/>
              </w:rPr>
              <w:t>Урок 144</w:t>
            </w:r>
          </w:p>
        </w:tc>
        <w:tc>
          <w:tcPr>
            <w:tcW w:w="7937" w:type="dxa"/>
          </w:tcPr>
          <w:p w14:paraId="6F1A9261">
            <w:pPr>
              <w:pStyle w:val="85"/>
              <w:jc w:val="both"/>
              <w:rPr>
                <w:color w:val="auto"/>
                <w:sz w:val="22"/>
                <w:szCs w:val="22"/>
              </w:rPr>
            </w:pPr>
            <w:r>
              <w:rPr>
                <w:color w:val="auto"/>
                <w:sz w:val="22"/>
                <w:szCs w:val="22"/>
              </w:rPr>
              <w:t>Правописание глаголов на -ться и -тся</w:t>
            </w:r>
          </w:p>
        </w:tc>
      </w:tr>
      <w:tr w14:paraId="45B7B0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039DF39E">
            <w:pPr>
              <w:pStyle w:val="85"/>
              <w:jc w:val="center"/>
              <w:rPr>
                <w:color w:val="auto"/>
                <w:sz w:val="22"/>
                <w:szCs w:val="22"/>
              </w:rPr>
            </w:pPr>
            <w:r>
              <w:rPr>
                <w:color w:val="auto"/>
                <w:sz w:val="22"/>
                <w:szCs w:val="22"/>
              </w:rPr>
              <w:t>Урок 145</w:t>
            </w:r>
          </w:p>
        </w:tc>
        <w:tc>
          <w:tcPr>
            <w:tcW w:w="7937" w:type="dxa"/>
          </w:tcPr>
          <w:p w14:paraId="3643B8B9">
            <w:pPr>
              <w:pStyle w:val="85"/>
              <w:jc w:val="both"/>
              <w:rPr>
                <w:color w:val="auto"/>
                <w:sz w:val="22"/>
                <w:szCs w:val="22"/>
              </w:rPr>
            </w:pPr>
            <w:r>
              <w:rPr>
                <w:color w:val="auto"/>
                <w:sz w:val="22"/>
                <w:szCs w:val="22"/>
              </w:rPr>
              <w:t>Отрабатываем правописание глаголов на -ться и -тся</w:t>
            </w:r>
          </w:p>
        </w:tc>
      </w:tr>
      <w:tr w14:paraId="00CA80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0C06457F">
            <w:pPr>
              <w:pStyle w:val="85"/>
              <w:jc w:val="center"/>
              <w:rPr>
                <w:color w:val="auto"/>
                <w:sz w:val="22"/>
                <w:szCs w:val="22"/>
              </w:rPr>
            </w:pPr>
            <w:r>
              <w:rPr>
                <w:color w:val="auto"/>
                <w:sz w:val="22"/>
                <w:szCs w:val="22"/>
              </w:rPr>
              <w:t>Урок 146</w:t>
            </w:r>
          </w:p>
        </w:tc>
        <w:tc>
          <w:tcPr>
            <w:tcW w:w="7937" w:type="dxa"/>
          </w:tcPr>
          <w:p w14:paraId="4FC12A04">
            <w:pPr>
              <w:pStyle w:val="85"/>
              <w:jc w:val="both"/>
              <w:rPr>
                <w:color w:val="auto"/>
                <w:sz w:val="22"/>
                <w:szCs w:val="22"/>
              </w:rPr>
            </w:pPr>
            <w:r>
              <w:rPr>
                <w:color w:val="auto"/>
                <w:sz w:val="22"/>
                <w:szCs w:val="22"/>
              </w:rPr>
              <w:t>Частица не, ее значение (повторение)</w:t>
            </w:r>
          </w:p>
        </w:tc>
      </w:tr>
      <w:tr w14:paraId="06B137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2A527072">
            <w:pPr>
              <w:pStyle w:val="85"/>
              <w:jc w:val="center"/>
              <w:rPr>
                <w:color w:val="auto"/>
                <w:sz w:val="22"/>
                <w:szCs w:val="22"/>
              </w:rPr>
            </w:pPr>
            <w:r>
              <w:rPr>
                <w:color w:val="auto"/>
                <w:sz w:val="22"/>
                <w:szCs w:val="22"/>
              </w:rPr>
              <w:t>Урок 147</w:t>
            </w:r>
          </w:p>
        </w:tc>
        <w:tc>
          <w:tcPr>
            <w:tcW w:w="7937" w:type="dxa"/>
          </w:tcPr>
          <w:p w14:paraId="397B8D2C">
            <w:pPr>
              <w:pStyle w:val="85"/>
              <w:jc w:val="both"/>
              <w:rPr>
                <w:color w:val="auto"/>
                <w:sz w:val="22"/>
                <w:szCs w:val="22"/>
              </w:rPr>
            </w:pPr>
            <w:r>
              <w:rPr>
                <w:color w:val="auto"/>
                <w:sz w:val="22"/>
                <w:szCs w:val="22"/>
              </w:rPr>
              <w:t>Пишем сочинение-рассуждение на тему. Составление текста-рассуждения по таблице, правилу</w:t>
            </w:r>
          </w:p>
        </w:tc>
      </w:tr>
      <w:tr w14:paraId="014681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6C2F5973">
            <w:pPr>
              <w:pStyle w:val="85"/>
              <w:jc w:val="center"/>
              <w:rPr>
                <w:color w:val="auto"/>
                <w:sz w:val="22"/>
                <w:szCs w:val="22"/>
              </w:rPr>
            </w:pPr>
            <w:r>
              <w:rPr>
                <w:color w:val="auto"/>
                <w:sz w:val="22"/>
                <w:szCs w:val="22"/>
              </w:rPr>
              <w:t>Урок 148</w:t>
            </w:r>
          </w:p>
        </w:tc>
        <w:tc>
          <w:tcPr>
            <w:tcW w:w="7937" w:type="dxa"/>
          </w:tcPr>
          <w:p w14:paraId="255DEE08">
            <w:pPr>
              <w:pStyle w:val="85"/>
              <w:jc w:val="both"/>
              <w:rPr>
                <w:color w:val="auto"/>
                <w:sz w:val="22"/>
                <w:szCs w:val="22"/>
              </w:rPr>
            </w:pPr>
            <w:r>
              <w:rPr>
                <w:color w:val="auto"/>
                <w:sz w:val="22"/>
                <w:szCs w:val="22"/>
              </w:rPr>
              <w:t>Безударные личные окончания глаголов: систематизация</w:t>
            </w:r>
          </w:p>
        </w:tc>
      </w:tr>
      <w:tr w14:paraId="7C4C40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4F2CE26F">
            <w:pPr>
              <w:pStyle w:val="85"/>
              <w:jc w:val="center"/>
              <w:rPr>
                <w:color w:val="auto"/>
                <w:sz w:val="22"/>
                <w:szCs w:val="22"/>
              </w:rPr>
            </w:pPr>
            <w:r>
              <w:rPr>
                <w:color w:val="auto"/>
                <w:sz w:val="22"/>
                <w:szCs w:val="22"/>
              </w:rPr>
              <w:t>Урок 149</w:t>
            </w:r>
          </w:p>
        </w:tc>
        <w:tc>
          <w:tcPr>
            <w:tcW w:w="7937" w:type="dxa"/>
          </w:tcPr>
          <w:p w14:paraId="467A0FB2">
            <w:pPr>
              <w:pStyle w:val="85"/>
              <w:jc w:val="both"/>
              <w:rPr>
                <w:color w:val="auto"/>
                <w:sz w:val="22"/>
                <w:szCs w:val="22"/>
              </w:rPr>
            </w:pPr>
            <w:r>
              <w:rPr>
                <w:color w:val="auto"/>
                <w:sz w:val="22"/>
                <w:szCs w:val="22"/>
              </w:rPr>
              <w:t>Безударные личные окончания глаголов: обобщение</w:t>
            </w:r>
          </w:p>
        </w:tc>
      </w:tr>
      <w:tr w14:paraId="526555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5D4E7A32">
            <w:pPr>
              <w:pStyle w:val="85"/>
              <w:jc w:val="center"/>
              <w:rPr>
                <w:color w:val="auto"/>
                <w:sz w:val="22"/>
                <w:szCs w:val="22"/>
              </w:rPr>
            </w:pPr>
            <w:r>
              <w:rPr>
                <w:color w:val="auto"/>
                <w:sz w:val="22"/>
                <w:szCs w:val="22"/>
              </w:rPr>
              <w:t>Урок 150</w:t>
            </w:r>
          </w:p>
        </w:tc>
        <w:tc>
          <w:tcPr>
            <w:tcW w:w="7937" w:type="dxa"/>
          </w:tcPr>
          <w:p w14:paraId="45FDEDE6">
            <w:pPr>
              <w:pStyle w:val="85"/>
              <w:jc w:val="both"/>
              <w:rPr>
                <w:color w:val="auto"/>
                <w:sz w:val="22"/>
                <w:szCs w:val="22"/>
              </w:rPr>
            </w:pPr>
            <w:r>
              <w:rPr>
                <w:color w:val="auto"/>
                <w:sz w:val="22"/>
                <w:szCs w:val="22"/>
              </w:rPr>
              <w:t>Правописание глаголов в прошедшем времени</w:t>
            </w:r>
          </w:p>
        </w:tc>
      </w:tr>
      <w:tr w14:paraId="7BF85D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76A63855">
            <w:pPr>
              <w:pStyle w:val="85"/>
              <w:jc w:val="center"/>
              <w:rPr>
                <w:color w:val="auto"/>
                <w:sz w:val="22"/>
                <w:szCs w:val="22"/>
              </w:rPr>
            </w:pPr>
            <w:r>
              <w:rPr>
                <w:color w:val="auto"/>
                <w:sz w:val="22"/>
                <w:szCs w:val="22"/>
              </w:rPr>
              <w:t>Урок 151</w:t>
            </w:r>
          </w:p>
        </w:tc>
        <w:tc>
          <w:tcPr>
            <w:tcW w:w="7937" w:type="dxa"/>
          </w:tcPr>
          <w:p w14:paraId="0C5E7F23">
            <w:pPr>
              <w:pStyle w:val="85"/>
              <w:jc w:val="both"/>
              <w:rPr>
                <w:color w:val="auto"/>
                <w:sz w:val="22"/>
                <w:szCs w:val="22"/>
              </w:rPr>
            </w:pPr>
            <w:r>
              <w:rPr>
                <w:color w:val="auto"/>
                <w:sz w:val="22"/>
                <w:szCs w:val="22"/>
              </w:rPr>
              <w:t>Отрабатываем правописание суффиксов и окончаний глаголов в прошедшем времени</w:t>
            </w:r>
          </w:p>
        </w:tc>
      </w:tr>
      <w:tr w14:paraId="4B87F1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688C8C2A">
            <w:pPr>
              <w:pStyle w:val="85"/>
              <w:jc w:val="center"/>
              <w:rPr>
                <w:color w:val="auto"/>
                <w:sz w:val="22"/>
                <w:szCs w:val="22"/>
              </w:rPr>
            </w:pPr>
            <w:r>
              <w:rPr>
                <w:color w:val="auto"/>
                <w:sz w:val="22"/>
                <w:szCs w:val="22"/>
              </w:rPr>
              <w:t>Урок 152</w:t>
            </w:r>
          </w:p>
        </w:tc>
        <w:tc>
          <w:tcPr>
            <w:tcW w:w="7937" w:type="dxa"/>
          </w:tcPr>
          <w:p w14:paraId="53F1A61E">
            <w:pPr>
              <w:pStyle w:val="85"/>
              <w:jc w:val="both"/>
              <w:rPr>
                <w:color w:val="auto"/>
                <w:sz w:val="22"/>
                <w:szCs w:val="22"/>
              </w:rPr>
            </w:pPr>
            <w:r>
              <w:rPr>
                <w:color w:val="auto"/>
                <w:sz w:val="22"/>
                <w:szCs w:val="22"/>
              </w:rPr>
              <w:t>Морфологический разбор глагола</w:t>
            </w:r>
          </w:p>
        </w:tc>
      </w:tr>
      <w:tr w14:paraId="723BAF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13C4B0FC">
            <w:pPr>
              <w:pStyle w:val="85"/>
              <w:jc w:val="center"/>
              <w:rPr>
                <w:color w:val="auto"/>
                <w:sz w:val="22"/>
                <w:szCs w:val="22"/>
              </w:rPr>
            </w:pPr>
            <w:r>
              <w:rPr>
                <w:color w:val="auto"/>
                <w:sz w:val="22"/>
                <w:szCs w:val="22"/>
              </w:rPr>
              <w:t>Урок 153</w:t>
            </w:r>
          </w:p>
        </w:tc>
        <w:tc>
          <w:tcPr>
            <w:tcW w:w="7937" w:type="dxa"/>
          </w:tcPr>
          <w:p w14:paraId="2267FA32">
            <w:pPr>
              <w:pStyle w:val="85"/>
              <w:jc w:val="both"/>
              <w:rPr>
                <w:color w:val="auto"/>
                <w:sz w:val="22"/>
                <w:szCs w:val="22"/>
              </w:rPr>
            </w:pPr>
            <w:r>
              <w:rPr>
                <w:color w:val="auto"/>
                <w:sz w:val="22"/>
                <w:szCs w:val="22"/>
              </w:rPr>
              <w:t>Обобщение знаний о глаголе</w:t>
            </w:r>
          </w:p>
        </w:tc>
      </w:tr>
      <w:tr w14:paraId="1096DE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6500EDA4">
            <w:pPr>
              <w:pStyle w:val="85"/>
              <w:jc w:val="center"/>
              <w:rPr>
                <w:color w:val="auto"/>
                <w:sz w:val="22"/>
                <w:szCs w:val="22"/>
              </w:rPr>
            </w:pPr>
            <w:r>
              <w:rPr>
                <w:color w:val="auto"/>
                <w:sz w:val="22"/>
                <w:szCs w:val="22"/>
              </w:rPr>
              <w:t>Урок 154</w:t>
            </w:r>
          </w:p>
        </w:tc>
        <w:tc>
          <w:tcPr>
            <w:tcW w:w="7937" w:type="dxa"/>
          </w:tcPr>
          <w:p w14:paraId="7F9BF761">
            <w:pPr>
              <w:pStyle w:val="85"/>
              <w:jc w:val="both"/>
              <w:rPr>
                <w:color w:val="auto"/>
                <w:sz w:val="22"/>
                <w:szCs w:val="22"/>
              </w:rPr>
            </w:pPr>
            <w:r>
              <w:rPr>
                <w:color w:val="auto"/>
                <w:sz w:val="22"/>
                <w:szCs w:val="22"/>
              </w:rPr>
              <w:t>Глагол: систематизация знаний</w:t>
            </w:r>
          </w:p>
        </w:tc>
      </w:tr>
      <w:tr w14:paraId="61DAB2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2E73BCA4">
            <w:pPr>
              <w:pStyle w:val="85"/>
              <w:jc w:val="center"/>
              <w:rPr>
                <w:color w:val="auto"/>
                <w:sz w:val="22"/>
                <w:szCs w:val="22"/>
              </w:rPr>
            </w:pPr>
            <w:r>
              <w:rPr>
                <w:color w:val="auto"/>
                <w:sz w:val="22"/>
                <w:szCs w:val="22"/>
              </w:rPr>
              <w:t>Урок 155</w:t>
            </w:r>
          </w:p>
        </w:tc>
        <w:tc>
          <w:tcPr>
            <w:tcW w:w="7937" w:type="dxa"/>
          </w:tcPr>
          <w:p w14:paraId="3D0E6AF2">
            <w:pPr>
              <w:pStyle w:val="85"/>
              <w:jc w:val="both"/>
              <w:rPr>
                <w:color w:val="auto"/>
                <w:sz w:val="22"/>
                <w:szCs w:val="22"/>
              </w:rPr>
            </w:pPr>
            <w:r>
              <w:rPr>
                <w:color w:val="auto"/>
                <w:sz w:val="22"/>
                <w:szCs w:val="22"/>
              </w:rPr>
              <w:t>Резервный урок по разделу морфология. Повторение</w:t>
            </w:r>
          </w:p>
        </w:tc>
      </w:tr>
      <w:tr w14:paraId="5B9050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1D70D8ED">
            <w:pPr>
              <w:pStyle w:val="85"/>
              <w:jc w:val="center"/>
              <w:rPr>
                <w:color w:val="auto"/>
                <w:sz w:val="22"/>
                <w:szCs w:val="22"/>
              </w:rPr>
            </w:pPr>
            <w:r>
              <w:rPr>
                <w:color w:val="auto"/>
                <w:sz w:val="22"/>
                <w:szCs w:val="22"/>
              </w:rPr>
              <w:t>Урок 156</w:t>
            </w:r>
          </w:p>
        </w:tc>
        <w:tc>
          <w:tcPr>
            <w:tcW w:w="7937" w:type="dxa"/>
          </w:tcPr>
          <w:p w14:paraId="1B178CAF">
            <w:pPr>
              <w:pStyle w:val="85"/>
              <w:jc w:val="both"/>
              <w:rPr>
                <w:color w:val="auto"/>
                <w:sz w:val="22"/>
                <w:szCs w:val="22"/>
              </w:rPr>
            </w:pPr>
            <w:r>
              <w:rPr>
                <w:color w:val="auto"/>
                <w:sz w:val="22"/>
                <w:szCs w:val="22"/>
              </w:rPr>
              <w:t>Резервный урок по разделу морфология. Отработка темы "Глагол"</w:t>
            </w:r>
          </w:p>
        </w:tc>
      </w:tr>
      <w:tr w14:paraId="6F5CAF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598A85D3">
            <w:pPr>
              <w:pStyle w:val="85"/>
              <w:jc w:val="center"/>
              <w:rPr>
                <w:color w:val="auto"/>
                <w:sz w:val="22"/>
                <w:szCs w:val="22"/>
              </w:rPr>
            </w:pPr>
            <w:r>
              <w:rPr>
                <w:color w:val="auto"/>
                <w:sz w:val="22"/>
                <w:szCs w:val="22"/>
              </w:rPr>
              <w:t>Урок 157</w:t>
            </w:r>
          </w:p>
        </w:tc>
        <w:tc>
          <w:tcPr>
            <w:tcW w:w="7937" w:type="dxa"/>
          </w:tcPr>
          <w:p w14:paraId="2D14D423">
            <w:pPr>
              <w:pStyle w:val="85"/>
              <w:jc w:val="both"/>
              <w:rPr>
                <w:color w:val="auto"/>
                <w:sz w:val="22"/>
                <w:szCs w:val="22"/>
              </w:rPr>
            </w:pPr>
            <w:r>
              <w:rPr>
                <w:color w:val="auto"/>
                <w:sz w:val="22"/>
                <w:szCs w:val="22"/>
              </w:rPr>
              <w:t>Резервный урок по разделу морфология. Проверь себя</w:t>
            </w:r>
          </w:p>
        </w:tc>
      </w:tr>
      <w:tr w14:paraId="07938D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5AA1244F">
            <w:pPr>
              <w:pStyle w:val="85"/>
              <w:jc w:val="center"/>
              <w:rPr>
                <w:color w:val="auto"/>
                <w:sz w:val="22"/>
                <w:szCs w:val="22"/>
              </w:rPr>
            </w:pPr>
            <w:r>
              <w:rPr>
                <w:color w:val="auto"/>
                <w:sz w:val="22"/>
                <w:szCs w:val="22"/>
              </w:rPr>
              <w:t>Урок 158</w:t>
            </w:r>
          </w:p>
        </w:tc>
        <w:tc>
          <w:tcPr>
            <w:tcW w:w="7937" w:type="dxa"/>
          </w:tcPr>
          <w:p w14:paraId="0C5FD277">
            <w:pPr>
              <w:pStyle w:val="85"/>
              <w:jc w:val="both"/>
              <w:rPr>
                <w:color w:val="auto"/>
                <w:sz w:val="22"/>
                <w:szCs w:val="22"/>
              </w:rPr>
            </w:pPr>
            <w:r>
              <w:rPr>
                <w:color w:val="auto"/>
                <w:sz w:val="22"/>
                <w:szCs w:val="22"/>
              </w:rPr>
              <w:t>Резервный урок по разделу морфология: глагол. Отработка материала</w:t>
            </w:r>
          </w:p>
        </w:tc>
      </w:tr>
      <w:tr w14:paraId="1BDDF4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67344F11">
            <w:pPr>
              <w:pStyle w:val="85"/>
              <w:jc w:val="center"/>
              <w:rPr>
                <w:color w:val="auto"/>
                <w:sz w:val="22"/>
                <w:szCs w:val="22"/>
              </w:rPr>
            </w:pPr>
            <w:r>
              <w:rPr>
                <w:color w:val="auto"/>
                <w:sz w:val="22"/>
                <w:szCs w:val="22"/>
              </w:rPr>
              <w:t>Урок 159</w:t>
            </w:r>
          </w:p>
        </w:tc>
        <w:tc>
          <w:tcPr>
            <w:tcW w:w="7937" w:type="dxa"/>
          </w:tcPr>
          <w:p w14:paraId="3B32C03C">
            <w:pPr>
              <w:pStyle w:val="85"/>
              <w:jc w:val="both"/>
              <w:rPr>
                <w:color w:val="auto"/>
                <w:sz w:val="22"/>
                <w:szCs w:val="22"/>
              </w:rPr>
            </w:pPr>
            <w:r>
              <w:rPr>
                <w:color w:val="auto"/>
                <w:sz w:val="22"/>
                <w:szCs w:val="22"/>
              </w:rPr>
              <w:t>Пишем подробный пересказ текста. Изложение</w:t>
            </w:r>
          </w:p>
        </w:tc>
      </w:tr>
      <w:tr w14:paraId="403E7C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626955FA">
            <w:pPr>
              <w:pStyle w:val="85"/>
              <w:jc w:val="center"/>
              <w:rPr>
                <w:color w:val="auto"/>
                <w:sz w:val="22"/>
                <w:szCs w:val="22"/>
              </w:rPr>
            </w:pPr>
            <w:r>
              <w:rPr>
                <w:color w:val="auto"/>
                <w:sz w:val="22"/>
                <w:szCs w:val="22"/>
              </w:rPr>
              <w:t>Урок 160</w:t>
            </w:r>
          </w:p>
        </w:tc>
        <w:tc>
          <w:tcPr>
            <w:tcW w:w="7937" w:type="dxa"/>
          </w:tcPr>
          <w:p w14:paraId="0E08706B">
            <w:pPr>
              <w:pStyle w:val="85"/>
              <w:jc w:val="both"/>
              <w:rPr>
                <w:color w:val="auto"/>
                <w:sz w:val="22"/>
                <w:szCs w:val="22"/>
              </w:rPr>
            </w:pPr>
            <w:r>
              <w:rPr>
                <w:color w:val="auto"/>
                <w:sz w:val="22"/>
                <w:szCs w:val="22"/>
              </w:rPr>
              <w:t>Изученные правила правописания глаголов: систематизация</w:t>
            </w:r>
          </w:p>
        </w:tc>
      </w:tr>
      <w:tr w14:paraId="432E5A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16241908">
            <w:pPr>
              <w:pStyle w:val="85"/>
              <w:jc w:val="center"/>
              <w:rPr>
                <w:color w:val="auto"/>
                <w:sz w:val="22"/>
                <w:szCs w:val="22"/>
              </w:rPr>
            </w:pPr>
            <w:r>
              <w:rPr>
                <w:color w:val="auto"/>
                <w:sz w:val="22"/>
                <w:szCs w:val="22"/>
              </w:rPr>
              <w:t>Урок 161</w:t>
            </w:r>
          </w:p>
        </w:tc>
        <w:tc>
          <w:tcPr>
            <w:tcW w:w="7937" w:type="dxa"/>
          </w:tcPr>
          <w:p w14:paraId="406A36C1">
            <w:pPr>
              <w:pStyle w:val="85"/>
              <w:jc w:val="both"/>
              <w:rPr>
                <w:color w:val="auto"/>
                <w:sz w:val="22"/>
                <w:szCs w:val="22"/>
              </w:rPr>
            </w:pPr>
            <w:r>
              <w:rPr>
                <w:color w:val="auto"/>
                <w:sz w:val="22"/>
                <w:szCs w:val="22"/>
              </w:rPr>
              <w:t>Отрабатываем изученные правила правописания глаголов</w:t>
            </w:r>
          </w:p>
        </w:tc>
      </w:tr>
      <w:tr w14:paraId="1DF9BF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4B106984">
            <w:pPr>
              <w:pStyle w:val="85"/>
              <w:jc w:val="center"/>
              <w:rPr>
                <w:color w:val="auto"/>
                <w:sz w:val="22"/>
                <w:szCs w:val="22"/>
              </w:rPr>
            </w:pPr>
            <w:r>
              <w:rPr>
                <w:color w:val="auto"/>
                <w:sz w:val="22"/>
                <w:szCs w:val="22"/>
              </w:rPr>
              <w:t>Урок 162</w:t>
            </w:r>
          </w:p>
        </w:tc>
        <w:tc>
          <w:tcPr>
            <w:tcW w:w="7937" w:type="dxa"/>
          </w:tcPr>
          <w:p w14:paraId="28A36115">
            <w:pPr>
              <w:pStyle w:val="85"/>
              <w:jc w:val="both"/>
              <w:rPr>
                <w:color w:val="auto"/>
                <w:sz w:val="22"/>
                <w:szCs w:val="22"/>
              </w:rPr>
            </w:pPr>
            <w:r>
              <w:rPr>
                <w:color w:val="auto"/>
                <w:sz w:val="22"/>
                <w:szCs w:val="22"/>
              </w:rPr>
              <w:t>Как сделать текст интереснее. Составление текста по репродукции картины</w:t>
            </w:r>
          </w:p>
        </w:tc>
      </w:tr>
      <w:tr w14:paraId="0B4260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46FDE62B">
            <w:pPr>
              <w:pStyle w:val="85"/>
              <w:jc w:val="center"/>
              <w:rPr>
                <w:color w:val="auto"/>
                <w:sz w:val="22"/>
                <w:szCs w:val="22"/>
              </w:rPr>
            </w:pPr>
            <w:r>
              <w:rPr>
                <w:color w:val="auto"/>
                <w:sz w:val="22"/>
                <w:szCs w:val="22"/>
              </w:rPr>
              <w:t>Урок 163</w:t>
            </w:r>
          </w:p>
        </w:tc>
        <w:tc>
          <w:tcPr>
            <w:tcW w:w="7937" w:type="dxa"/>
          </w:tcPr>
          <w:p w14:paraId="0178D2D4">
            <w:pPr>
              <w:pStyle w:val="85"/>
              <w:jc w:val="both"/>
              <w:rPr>
                <w:color w:val="auto"/>
                <w:sz w:val="22"/>
                <w:szCs w:val="22"/>
              </w:rPr>
            </w:pPr>
            <w:r>
              <w:rPr>
                <w:color w:val="auto"/>
                <w:sz w:val="22"/>
                <w:szCs w:val="22"/>
              </w:rPr>
              <w:t>Наблюдаем за написанием разных частей речи</w:t>
            </w:r>
          </w:p>
        </w:tc>
      </w:tr>
      <w:tr w14:paraId="251F10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7E6BB8CA">
            <w:pPr>
              <w:pStyle w:val="85"/>
              <w:jc w:val="center"/>
              <w:rPr>
                <w:color w:val="auto"/>
                <w:sz w:val="22"/>
                <w:szCs w:val="22"/>
              </w:rPr>
            </w:pPr>
            <w:r>
              <w:rPr>
                <w:color w:val="auto"/>
                <w:sz w:val="22"/>
                <w:szCs w:val="22"/>
              </w:rPr>
              <w:t>Урок 164</w:t>
            </w:r>
          </w:p>
        </w:tc>
        <w:tc>
          <w:tcPr>
            <w:tcW w:w="7937" w:type="dxa"/>
          </w:tcPr>
          <w:p w14:paraId="6388CDA2">
            <w:pPr>
              <w:pStyle w:val="85"/>
              <w:jc w:val="both"/>
              <w:rPr>
                <w:color w:val="auto"/>
                <w:sz w:val="22"/>
                <w:szCs w:val="22"/>
              </w:rPr>
            </w:pPr>
            <w:r>
              <w:rPr>
                <w:color w:val="auto"/>
                <w:sz w:val="22"/>
                <w:szCs w:val="22"/>
              </w:rPr>
              <w:t>Орфографический тренинг: правописание разных частей речи</w:t>
            </w:r>
          </w:p>
        </w:tc>
      </w:tr>
      <w:tr w14:paraId="615E83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29794303">
            <w:pPr>
              <w:pStyle w:val="85"/>
              <w:jc w:val="center"/>
              <w:rPr>
                <w:color w:val="auto"/>
                <w:sz w:val="22"/>
                <w:szCs w:val="22"/>
              </w:rPr>
            </w:pPr>
            <w:r>
              <w:rPr>
                <w:color w:val="auto"/>
                <w:sz w:val="22"/>
                <w:szCs w:val="22"/>
              </w:rPr>
              <w:t>Урок 165</w:t>
            </w:r>
          </w:p>
        </w:tc>
        <w:tc>
          <w:tcPr>
            <w:tcW w:w="7937" w:type="dxa"/>
          </w:tcPr>
          <w:p w14:paraId="53010EE2">
            <w:pPr>
              <w:pStyle w:val="85"/>
              <w:jc w:val="both"/>
              <w:rPr>
                <w:color w:val="auto"/>
                <w:sz w:val="22"/>
                <w:szCs w:val="22"/>
              </w:rPr>
            </w:pPr>
            <w:r>
              <w:rPr>
                <w:color w:val="auto"/>
                <w:sz w:val="22"/>
                <w:szCs w:val="22"/>
              </w:rPr>
              <w:t>Резервный урок по разделу орфография. Контрольная работа по теме "Безударные личные окончания глаголов"</w:t>
            </w:r>
          </w:p>
        </w:tc>
      </w:tr>
      <w:tr w14:paraId="0FFDCF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17FC051C">
            <w:pPr>
              <w:pStyle w:val="85"/>
              <w:jc w:val="center"/>
              <w:rPr>
                <w:color w:val="auto"/>
                <w:sz w:val="22"/>
                <w:szCs w:val="22"/>
              </w:rPr>
            </w:pPr>
            <w:r>
              <w:rPr>
                <w:color w:val="auto"/>
                <w:sz w:val="22"/>
                <w:szCs w:val="22"/>
              </w:rPr>
              <w:t>Урок 166</w:t>
            </w:r>
          </w:p>
        </w:tc>
        <w:tc>
          <w:tcPr>
            <w:tcW w:w="7937" w:type="dxa"/>
          </w:tcPr>
          <w:p w14:paraId="395DDDEC">
            <w:pPr>
              <w:pStyle w:val="85"/>
              <w:jc w:val="both"/>
              <w:rPr>
                <w:color w:val="auto"/>
                <w:sz w:val="22"/>
                <w:szCs w:val="22"/>
              </w:rPr>
            </w:pPr>
            <w:r>
              <w:rPr>
                <w:color w:val="auto"/>
                <w:sz w:val="22"/>
                <w:szCs w:val="22"/>
              </w:rPr>
              <w:t>Учимся пересказывать: подробный устный пересказ текста</w:t>
            </w:r>
          </w:p>
        </w:tc>
      </w:tr>
      <w:tr w14:paraId="17030D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47806972">
            <w:pPr>
              <w:pStyle w:val="85"/>
              <w:jc w:val="center"/>
              <w:rPr>
                <w:color w:val="auto"/>
                <w:sz w:val="22"/>
                <w:szCs w:val="22"/>
              </w:rPr>
            </w:pPr>
            <w:r>
              <w:rPr>
                <w:color w:val="auto"/>
                <w:sz w:val="22"/>
                <w:szCs w:val="22"/>
              </w:rPr>
              <w:t>Урок 167</w:t>
            </w:r>
          </w:p>
        </w:tc>
        <w:tc>
          <w:tcPr>
            <w:tcW w:w="7937" w:type="dxa"/>
          </w:tcPr>
          <w:p w14:paraId="489D9C70">
            <w:pPr>
              <w:pStyle w:val="85"/>
              <w:jc w:val="both"/>
              <w:rPr>
                <w:color w:val="auto"/>
                <w:sz w:val="22"/>
                <w:szCs w:val="22"/>
              </w:rPr>
            </w:pPr>
            <w:r>
              <w:rPr>
                <w:color w:val="auto"/>
                <w:sz w:val="22"/>
                <w:szCs w:val="22"/>
              </w:rPr>
              <w:t>Резервный урок: повторение по разделу развитие речи</w:t>
            </w:r>
          </w:p>
        </w:tc>
      </w:tr>
      <w:tr w14:paraId="51E655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0703774A">
            <w:pPr>
              <w:pStyle w:val="85"/>
              <w:jc w:val="center"/>
              <w:rPr>
                <w:color w:val="auto"/>
                <w:sz w:val="22"/>
                <w:szCs w:val="22"/>
              </w:rPr>
            </w:pPr>
            <w:r>
              <w:rPr>
                <w:color w:val="auto"/>
                <w:sz w:val="22"/>
                <w:szCs w:val="22"/>
              </w:rPr>
              <w:t>Урок 168</w:t>
            </w:r>
          </w:p>
        </w:tc>
        <w:tc>
          <w:tcPr>
            <w:tcW w:w="7937" w:type="dxa"/>
          </w:tcPr>
          <w:p w14:paraId="7FEC0E9B">
            <w:pPr>
              <w:pStyle w:val="85"/>
              <w:jc w:val="both"/>
              <w:rPr>
                <w:color w:val="auto"/>
                <w:sz w:val="22"/>
                <w:szCs w:val="22"/>
              </w:rPr>
            </w:pPr>
            <w:r>
              <w:rPr>
                <w:color w:val="auto"/>
                <w:sz w:val="22"/>
                <w:szCs w:val="22"/>
              </w:rPr>
              <w:t>Характеристика звуков русского языка. Звуки и буквы</w:t>
            </w:r>
          </w:p>
        </w:tc>
      </w:tr>
      <w:tr w14:paraId="744A1E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67D5FB96">
            <w:pPr>
              <w:pStyle w:val="85"/>
              <w:jc w:val="center"/>
              <w:rPr>
                <w:color w:val="auto"/>
                <w:sz w:val="22"/>
                <w:szCs w:val="22"/>
              </w:rPr>
            </w:pPr>
            <w:r>
              <w:rPr>
                <w:color w:val="auto"/>
                <w:sz w:val="22"/>
                <w:szCs w:val="22"/>
              </w:rPr>
              <w:t>Урок 169</w:t>
            </w:r>
          </w:p>
        </w:tc>
        <w:tc>
          <w:tcPr>
            <w:tcW w:w="7937" w:type="dxa"/>
          </w:tcPr>
          <w:p w14:paraId="6614C74F">
            <w:pPr>
              <w:pStyle w:val="85"/>
              <w:jc w:val="both"/>
              <w:rPr>
                <w:color w:val="auto"/>
                <w:sz w:val="22"/>
                <w:szCs w:val="22"/>
              </w:rPr>
            </w:pPr>
            <w:r>
              <w:rPr>
                <w:color w:val="auto"/>
                <w:sz w:val="22"/>
                <w:szCs w:val="22"/>
              </w:rPr>
              <w:t>Звуко-буквенный разбор слова</w:t>
            </w:r>
          </w:p>
        </w:tc>
      </w:tr>
      <w:tr w14:paraId="5EFD63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7026B0E6">
            <w:pPr>
              <w:pStyle w:val="85"/>
              <w:jc w:val="center"/>
              <w:rPr>
                <w:color w:val="auto"/>
                <w:sz w:val="22"/>
                <w:szCs w:val="22"/>
              </w:rPr>
            </w:pPr>
            <w:r>
              <w:rPr>
                <w:color w:val="auto"/>
                <w:sz w:val="22"/>
                <w:szCs w:val="22"/>
              </w:rPr>
              <w:t>Урок 170</w:t>
            </w:r>
          </w:p>
        </w:tc>
        <w:tc>
          <w:tcPr>
            <w:tcW w:w="7937" w:type="dxa"/>
          </w:tcPr>
          <w:p w14:paraId="3DB49FF5">
            <w:pPr>
              <w:pStyle w:val="85"/>
              <w:jc w:val="both"/>
              <w:rPr>
                <w:color w:val="auto"/>
                <w:sz w:val="22"/>
                <w:szCs w:val="22"/>
              </w:rPr>
            </w:pPr>
            <w:r>
              <w:rPr>
                <w:color w:val="auto"/>
                <w:sz w:val="22"/>
                <w:szCs w:val="22"/>
              </w:rPr>
              <w:t>Резервный урок по разделу орфография: контрольная работа по теме "Чему мы научились на уроках правописания в 4 классе"</w:t>
            </w:r>
          </w:p>
        </w:tc>
      </w:tr>
      <w:tr w14:paraId="576C00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9071" w:type="dxa"/>
            <w:gridSpan w:val="2"/>
          </w:tcPr>
          <w:p w14:paraId="5633A4A6">
            <w:pPr>
              <w:pStyle w:val="85"/>
              <w:jc w:val="both"/>
              <w:rPr>
                <w:color w:val="auto"/>
                <w:sz w:val="22"/>
                <w:szCs w:val="22"/>
              </w:rPr>
            </w:pPr>
            <w:r>
              <w:rPr>
                <w:color w:val="auto"/>
                <w:sz w:val="22"/>
                <w:szCs w:val="22"/>
              </w:rPr>
              <w:t>ОБЩЕЕ КОЛИЧЕСТВО УРОКОВ ПО ПРОГРАММЕ: 170, из них уроков, отведенных на контрольные работы (в том числе Всероссийские проверочные работы), - не более 17</w:t>
            </w:r>
          </w:p>
        </w:tc>
      </w:tr>
    </w:tbl>
    <w:p w14:paraId="3051B5A6">
      <w:pPr>
        <w:pStyle w:val="85"/>
        <w:jc w:val="both"/>
        <w:rPr>
          <w:color w:val="auto"/>
          <w:sz w:val="22"/>
          <w:szCs w:val="22"/>
        </w:rPr>
      </w:pPr>
    </w:p>
    <w:p w14:paraId="6F5263FD">
      <w:pPr>
        <w:pStyle w:val="85"/>
        <w:jc w:val="right"/>
        <w:rPr>
          <w:color w:val="auto"/>
          <w:sz w:val="22"/>
          <w:szCs w:val="22"/>
        </w:rPr>
      </w:pPr>
      <w:r>
        <w:rPr>
          <w:color w:val="auto"/>
          <w:sz w:val="22"/>
          <w:szCs w:val="22"/>
        </w:rPr>
        <w:t>Таблица 2.4</w:t>
      </w:r>
    </w:p>
    <w:p w14:paraId="5C72A3A7">
      <w:pPr>
        <w:pStyle w:val="85"/>
        <w:jc w:val="both"/>
        <w:rPr>
          <w:color w:val="auto"/>
          <w:sz w:val="22"/>
          <w:szCs w:val="22"/>
        </w:rPr>
      </w:pPr>
    </w:p>
    <w:p w14:paraId="63DEB694">
      <w:pPr>
        <w:pStyle w:val="85"/>
        <w:jc w:val="both"/>
        <w:rPr>
          <w:color w:val="auto"/>
          <w:sz w:val="22"/>
          <w:szCs w:val="22"/>
        </w:rPr>
      </w:pPr>
      <w:r>
        <w:rPr>
          <w:color w:val="auto"/>
          <w:sz w:val="22"/>
          <w:szCs w:val="22"/>
        </w:rPr>
        <w:t>Вариант 2. Для самостоятельного конструирования поурочного планирования.</w:t>
      </w:r>
    </w:p>
    <w:p w14:paraId="47DA7B1A">
      <w:pPr>
        <w:pStyle w:val="85"/>
        <w:jc w:val="both"/>
        <w:rPr>
          <w:color w:val="auto"/>
          <w:sz w:val="22"/>
          <w:szCs w:val="22"/>
        </w:rPr>
      </w:pPr>
    </w:p>
    <w:p w14:paraId="29E7E62B">
      <w:pPr>
        <w:pStyle w:val="85"/>
        <w:jc w:val="both"/>
        <w:rPr>
          <w:color w:val="auto"/>
          <w:sz w:val="22"/>
          <w:szCs w:val="22"/>
        </w:rPr>
      </w:pPr>
      <w:r>
        <w:rPr>
          <w:color w:val="auto"/>
          <w:sz w:val="22"/>
          <w:szCs w:val="22"/>
        </w:rPr>
        <w:t>1 класс</w:t>
      </w:r>
    </w:p>
    <w:p w14:paraId="457288B3">
      <w:pPr>
        <w:pStyle w:val="85"/>
        <w:jc w:val="both"/>
        <w:rPr>
          <w:color w:val="auto"/>
          <w:sz w:val="22"/>
          <w:szCs w:val="22"/>
        </w:rPr>
      </w:pPr>
    </w:p>
    <w:tbl>
      <w:tblPr>
        <w:tblStyle w:val="1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02" w:type="dxa"/>
          <w:left w:w="62" w:type="dxa"/>
          <w:bottom w:w="102" w:type="dxa"/>
          <w:right w:w="62" w:type="dxa"/>
        </w:tblCellMar>
      </w:tblPr>
      <w:tblGrid>
        <w:gridCol w:w="1134"/>
        <w:gridCol w:w="7937"/>
      </w:tblGrid>
      <w:tr w14:paraId="43970A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134" w:type="dxa"/>
          </w:tcPr>
          <w:p w14:paraId="4789C945">
            <w:pPr>
              <w:pStyle w:val="85"/>
              <w:jc w:val="center"/>
              <w:rPr>
                <w:color w:val="auto"/>
                <w:sz w:val="22"/>
                <w:szCs w:val="22"/>
              </w:rPr>
            </w:pPr>
            <w:r>
              <w:rPr>
                <w:color w:val="auto"/>
                <w:sz w:val="22"/>
                <w:szCs w:val="22"/>
              </w:rPr>
              <w:t>N урока</w:t>
            </w:r>
          </w:p>
        </w:tc>
        <w:tc>
          <w:tcPr>
            <w:tcW w:w="7937" w:type="dxa"/>
          </w:tcPr>
          <w:p w14:paraId="7EDDE195">
            <w:pPr>
              <w:pStyle w:val="85"/>
              <w:jc w:val="center"/>
              <w:rPr>
                <w:color w:val="auto"/>
                <w:sz w:val="22"/>
                <w:szCs w:val="22"/>
              </w:rPr>
            </w:pPr>
            <w:r>
              <w:rPr>
                <w:color w:val="auto"/>
                <w:sz w:val="22"/>
                <w:szCs w:val="22"/>
              </w:rPr>
              <w:t>Тема урока</w:t>
            </w:r>
          </w:p>
        </w:tc>
      </w:tr>
      <w:tr w14:paraId="78F1F4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0D535ADB">
            <w:pPr>
              <w:pStyle w:val="85"/>
              <w:jc w:val="center"/>
              <w:rPr>
                <w:color w:val="auto"/>
                <w:sz w:val="22"/>
                <w:szCs w:val="22"/>
              </w:rPr>
            </w:pPr>
            <w:r>
              <w:rPr>
                <w:color w:val="auto"/>
                <w:sz w:val="22"/>
                <w:szCs w:val="22"/>
              </w:rPr>
              <w:t>Урок 1</w:t>
            </w:r>
          </w:p>
        </w:tc>
        <w:tc>
          <w:tcPr>
            <w:tcW w:w="7937" w:type="dxa"/>
          </w:tcPr>
          <w:p w14:paraId="31AA232B">
            <w:pPr>
              <w:pStyle w:val="85"/>
              <w:jc w:val="both"/>
              <w:rPr>
                <w:color w:val="auto"/>
                <w:sz w:val="22"/>
                <w:szCs w:val="22"/>
              </w:rPr>
            </w:pPr>
            <w:r>
              <w:rPr>
                <w:color w:val="auto"/>
                <w:sz w:val="22"/>
                <w:szCs w:val="22"/>
              </w:rPr>
              <w:t>Различение предложения и слова</w:t>
            </w:r>
          </w:p>
        </w:tc>
      </w:tr>
      <w:tr w14:paraId="2B019D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134" w:type="dxa"/>
            <w:vAlign w:val="center"/>
          </w:tcPr>
          <w:p w14:paraId="42E7A00C">
            <w:pPr>
              <w:pStyle w:val="85"/>
              <w:jc w:val="center"/>
              <w:rPr>
                <w:color w:val="auto"/>
                <w:sz w:val="22"/>
                <w:szCs w:val="22"/>
              </w:rPr>
            </w:pPr>
            <w:r>
              <w:rPr>
                <w:color w:val="auto"/>
                <w:sz w:val="22"/>
                <w:szCs w:val="22"/>
              </w:rPr>
              <w:t>Урок 2</w:t>
            </w:r>
          </w:p>
        </w:tc>
        <w:tc>
          <w:tcPr>
            <w:tcW w:w="7937" w:type="dxa"/>
          </w:tcPr>
          <w:p w14:paraId="7EF6861B">
            <w:pPr>
              <w:pStyle w:val="85"/>
              <w:jc w:val="both"/>
              <w:rPr>
                <w:color w:val="auto"/>
                <w:sz w:val="22"/>
                <w:szCs w:val="22"/>
              </w:rPr>
            </w:pPr>
            <w:r>
              <w:rPr>
                <w:color w:val="auto"/>
                <w:sz w:val="22"/>
                <w:szCs w:val="22"/>
              </w:rPr>
              <w:t>Работа с предложением: выделение слов, изменение их порядка</w:t>
            </w:r>
          </w:p>
        </w:tc>
      </w:tr>
      <w:tr w14:paraId="66E923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12DF2E92">
            <w:pPr>
              <w:pStyle w:val="85"/>
              <w:jc w:val="center"/>
              <w:rPr>
                <w:color w:val="auto"/>
                <w:sz w:val="22"/>
                <w:szCs w:val="22"/>
              </w:rPr>
            </w:pPr>
            <w:r>
              <w:rPr>
                <w:color w:val="auto"/>
                <w:sz w:val="22"/>
                <w:szCs w:val="22"/>
              </w:rPr>
              <w:t>Урок 3</w:t>
            </w:r>
          </w:p>
        </w:tc>
        <w:tc>
          <w:tcPr>
            <w:tcW w:w="7937" w:type="dxa"/>
          </w:tcPr>
          <w:p w14:paraId="0F047DD7">
            <w:pPr>
              <w:pStyle w:val="85"/>
              <w:jc w:val="both"/>
              <w:rPr>
                <w:color w:val="auto"/>
                <w:sz w:val="22"/>
                <w:szCs w:val="22"/>
              </w:rPr>
            </w:pPr>
            <w:r>
              <w:rPr>
                <w:color w:val="auto"/>
                <w:sz w:val="22"/>
                <w:szCs w:val="22"/>
              </w:rPr>
              <w:t>Составление предложения из слов</w:t>
            </w:r>
          </w:p>
        </w:tc>
      </w:tr>
      <w:tr w14:paraId="1B8E3B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134" w:type="dxa"/>
            <w:vAlign w:val="center"/>
          </w:tcPr>
          <w:p w14:paraId="50093EEF">
            <w:pPr>
              <w:pStyle w:val="85"/>
              <w:jc w:val="center"/>
              <w:rPr>
                <w:color w:val="auto"/>
                <w:sz w:val="22"/>
                <w:szCs w:val="22"/>
              </w:rPr>
            </w:pPr>
            <w:r>
              <w:rPr>
                <w:color w:val="auto"/>
                <w:sz w:val="22"/>
                <w:szCs w:val="22"/>
              </w:rPr>
              <w:t>Урок 4</w:t>
            </w:r>
          </w:p>
        </w:tc>
        <w:tc>
          <w:tcPr>
            <w:tcW w:w="7937" w:type="dxa"/>
          </w:tcPr>
          <w:p w14:paraId="189DEAAB">
            <w:pPr>
              <w:pStyle w:val="85"/>
              <w:jc w:val="both"/>
              <w:rPr>
                <w:color w:val="auto"/>
                <w:sz w:val="22"/>
                <w:szCs w:val="22"/>
              </w:rPr>
            </w:pPr>
            <w:r>
              <w:rPr>
                <w:color w:val="auto"/>
                <w:sz w:val="22"/>
                <w:szCs w:val="22"/>
              </w:rPr>
              <w:t>Различение слова и обозначаемого им предмета</w:t>
            </w:r>
          </w:p>
        </w:tc>
      </w:tr>
      <w:tr w14:paraId="641957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1C90B285">
            <w:pPr>
              <w:pStyle w:val="85"/>
              <w:jc w:val="center"/>
              <w:rPr>
                <w:color w:val="auto"/>
                <w:sz w:val="22"/>
                <w:szCs w:val="22"/>
              </w:rPr>
            </w:pPr>
            <w:r>
              <w:rPr>
                <w:color w:val="auto"/>
                <w:sz w:val="22"/>
                <w:szCs w:val="22"/>
              </w:rPr>
              <w:t>Урок 5</w:t>
            </w:r>
          </w:p>
        </w:tc>
        <w:tc>
          <w:tcPr>
            <w:tcW w:w="7937" w:type="dxa"/>
          </w:tcPr>
          <w:p w14:paraId="711A282C">
            <w:pPr>
              <w:pStyle w:val="85"/>
              <w:jc w:val="both"/>
              <w:rPr>
                <w:color w:val="auto"/>
                <w:sz w:val="22"/>
                <w:szCs w:val="22"/>
              </w:rPr>
            </w:pPr>
            <w:r>
              <w:rPr>
                <w:color w:val="auto"/>
                <w:sz w:val="22"/>
                <w:szCs w:val="22"/>
              </w:rPr>
              <w:t>Слово как объекта изучения, материала для анализа</w:t>
            </w:r>
          </w:p>
        </w:tc>
      </w:tr>
      <w:tr w14:paraId="08B001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2CF0B176">
            <w:pPr>
              <w:pStyle w:val="85"/>
              <w:jc w:val="center"/>
              <w:rPr>
                <w:color w:val="auto"/>
                <w:sz w:val="22"/>
                <w:szCs w:val="22"/>
              </w:rPr>
            </w:pPr>
            <w:r>
              <w:rPr>
                <w:color w:val="auto"/>
                <w:sz w:val="22"/>
                <w:szCs w:val="22"/>
              </w:rPr>
              <w:t>Урок 6</w:t>
            </w:r>
          </w:p>
        </w:tc>
        <w:tc>
          <w:tcPr>
            <w:tcW w:w="7937" w:type="dxa"/>
          </w:tcPr>
          <w:p w14:paraId="2F1EC77F">
            <w:pPr>
              <w:pStyle w:val="85"/>
              <w:jc w:val="both"/>
              <w:rPr>
                <w:color w:val="auto"/>
                <w:sz w:val="22"/>
                <w:szCs w:val="22"/>
              </w:rPr>
            </w:pPr>
            <w:r>
              <w:rPr>
                <w:color w:val="auto"/>
                <w:sz w:val="22"/>
                <w:szCs w:val="22"/>
              </w:rPr>
              <w:t>Звуки речи. Интонационное выделение звука в слове</w:t>
            </w:r>
          </w:p>
        </w:tc>
      </w:tr>
      <w:tr w14:paraId="531E47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7857E9B0">
            <w:pPr>
              <w:pStyle w:val="85"/>
              <w:jc w:val="center"/>
              <w:rPr>
                <w:color w:val="auto"/>
                <w:sz w:val="22"/>
                <w:szCs w:val="22"/>
              </w:rPr>
            </w:pPr>
            <w:r>
              <w:rPr>
                <w:color w:val="auto"/>
                <w:sz w:val="22"/>
                <w:szCs w:val="22"/>
              </w:rPr>
              <w:t>Урок 7</w:t>
            </w:r>
          </w:p>
        </w:tc>
        <w:tc>
          <w:tcPr>
            <w:tcW w:w="7937" w:type="dxa"/>
          </w:tcPr>
          <w:p w14:paraId="461F341C">
            <w:pPr>
              <w:pStyle w:val="85"/>
              <w:jc w:val="both"/>
              <w:rPr>
                <w:color w:val="auto"/>
                <w:sz w:val="22"/>
                <w:szCs w:val="22"/>
              </w:rPr>
            </w:pPr>
            <w:r>
              <w:rPr>
                <w:color w:val="auto"/>
                <w:sz w:val="22"/>
                <w:szCs w:val="22"/>
              </w:rPr>
              <w:t>Определяем самый частый звук в стихотворении</w:t>
            </w:r>
          </w:p>
        </w:tc>
      </w:tr>
      <w:tr w14:paraId="617840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159595D8">
            <w:pPr>
              <w:pStyle w:val="85"/>
              <w:jc w:val="center"/>
              <w:rPr>
                <w:color w:val="auto"/>
                <w:sz w:val="22"/>
                <w:szCs w:val="22"/>
              </w:rPr>
            </w:pPr>
            <w:r>
              <w:rPr>
                <w:color w:val="auto"/>
                <w:sz w:val="22"/>
                <w:szCs w:val="22"/>
              </w:rPr>
              <w:t>Урок 8</w:t>
            </w:r>
          </w:p>
        </w:tc>
        <w:tc>
          <w:tcPr>
            <w:tcW w:w="7937" w:type="dxa"/>
          </w:tcPr>
          <w:p w14:paraId="066AD2CD">
            <w:pPr>
              <w:pStyle w:val="85"/>
              <w:jc w:val="both"/>
              <w:rPr>
                <w:color w:val="auto"/>
                <w:sz w:val="22"/>
                <w:szCs w:val="22"/>
              </w:rPr>
            </w:pPr>
            <w:r>
              <w:rPr>
                <w:color w:val="auto"/>
                <w:sz w:val="22"/>
                <w:szCs w:val="22"/>
              </w:rPr>
              <w:t>Различаем первые звуки в словах</w:t>
            </w:r>
          </w:p>
        </w:tc>
      </w:tr>
      <w:tr w14:paraId="1F81AF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305F59F1">
            <w:pPr>
              <w:pStyle w:val="85"/>
              <w:jc w:val="center"/>
              <w:rPr>
                <w:color w:val="auto"/>
                <w:sz w:val="22"/>
                <w:szCs w:val="22"/>
              </w:rPr>
            </w:pPr>
            <w:r>
              <w:rPr>
                <w:color w:val="auto"/>
                <w:sz w:val="22"/>
                <w:szCs w:val="22"/>
              </w:rPr>
              <w:t>Урок 9</w:t>
            </w:r>
          </w:p>
        </w:tc>
        <w:tc>
          <w:tcPr>
            <w:tcW w:w="7937" w:type="dxa"/>
          </w:tcPr>
          <w:p w14:paraId="15B7AFA7">
            <w:pPr>
              <w:pStyle w:val="85"/>
              <w:jc w:val="both"/>
              <w:rPr>
                <w:color w:val="auto"/>
                <w:sz w:val="22"/>
                <w:szCs w:val="22"/>
              </w:rPr>
            </w:pPr>
            <w:r>
              <w:rPr>
                <w:color w:val="auto"/>
                <w:sz w:val="22"/>
                <w:szCs w:val="22"/>
              </w:rPr>
              <w:t>Устанавливаем последовательность звуков в слове</w:t>
            </w:r>
          </w:p>
        </w:tc>
      </w:tr>
      <w:tr w14:paraId="74B89A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134" w:type="dxa"/>
            <w:vAlign w:val="center"/>
          </w:tcPr>
          <w:p w14:paraId="300FC7AB">
            <w:pPr>
              <w:pStyle w:val="85"/>
              <w:jc w:val="center"/>
              <w:rPr>
                <w:color w:val="auto"/>
                <w:sz w:val="22"/>
                <w:szCs w:val="22"/>
              </w:rPr>
            </w:pPr>
            <w:r>
              <w:rPr>
                <w:color w:val="auto"/>
                <w:sz w:val="22"/>
                <w:szCs w:val="22"/>
              </w:rPr>
              <w:t>Урок 10</w:t>
            </w:r>
          </w:p>
        </w:tc>
        <w:tc>
          <w:tcPr>
            <w:tcW w:w="7937" w:type="dxa"/>
          </w:tcPr>
          <w:p w14:paraId="42F5DF50">
            <w:pPr>
              <w:pStyle w:val="85"/>
              <w:jc w:val="both"/>
              <w:rPr>
                <w:color w:val="auto"/>
                <w:sz w:val="22"/>
                <w:szCs w:val="22"/>
              </w:rPr>
            </w:pPr>
            <w:r>
              <w:rPr>
                <w:color w:val="auto"/>
                <w:sz w:val="22"/>
                <w:szCs w:val="22"/>
              </w:rPr>
              <w:t>Сравниваем слова, различающиеся одним звуком</w:t>
            </w:r>
          </w:p>
        </w:tc>
      </w:tr>
      <w:tr w14:paraId="0650D2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106DF7EB">
            <w:pPr>
              <w:pStyle w:val="85"/>
              <w:jc w:val="center"/>
              <w:rPr>
                <w:color w:val="auto"/>
                <w:sz w:val="22"/>
                <w:szCs w:val="22"/>
              </w:rPr>
            </w:pPr>
            <w:r>
              <w:rPr>
                <w:color w:val="auto"/>
                <w:sz w:val="22"/>
                <w:szCs w:val="22"/>
              </w:rPr>
              <w:t>Урок 11</w:t>
            </w:r>
          </w:p>
        </w:tc>
        <w:tc>
          <w:tcPr>
            <w:tcW w:w="7937" w:type="dxa"/>
          </w:tcPr>
          <w:p w14:paraId="75BA11B2">
            <w:pPr>
              <w:pStyle w:val="85"/>
              <w:jc w:val="both"/>
              <w:rPr>
                <w:color w:val="auto"/>
                <w:sz w:val="22"/>
                <w:szCs w:val="22"/>
              </w:rPr>
            </w:pPr>
            <w:r>
              <w:rPr>
                <w:color w:val="auto"/>
                <w:sz w:val="22"/>
                <w:szCs w:val="22"/>
              </w:rPr>
              <w:t>Проводим параллельные линии</w:t>
            </w:r>
          </w:p>
        </w:tc>
      </w:tr>
      <w:tr w14:paraId="364E6C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35ADBD2D">
            <w:pPr>
              <w:pStyle w:val="85"/>
              <w:jc w:val="center"/>
              <w:rPr>
                <w:color w:val="auto"/>
                <w:sz w:val="22"/>
                <w:szCs w:val="22"/>
              </w:rPr>
            </w:pPr>
            <w:r>
              <w:rPr>
                <w:color w:val="auto"/>
                <w:sz w:val="22"/>
                <w:szCs w:val="22"/>
              </w:rPr>
              <w:t>Урок 12</w:t>
            </w:r>
          </w:p>
        </w:tc>
        <w:tc>
          <w:tcPr>
            <w:tcW w:w="7937" w:type="dxa"/>
          </w:tcPr>
          <w:p w14:paraId="3B6BC238">
            <w:pPr>
              <w:pStyle w:val="85"/>
              <w:jc w:val="both"/>
              <w:rPr>
                <w:color w:val="auto"/>
                <w:sz w:val="22"/>
                <w:szCs w:val="22"/>
              </w:rPr>
            </w:pPr>
            <w:r>
              <w:rPr>
                <w:color w:val="auto"/>
                <w:sz w:val="22"/>
                <w:szCs w:val="22"/>
              </w:rPr>
              <w:t>Отрабатываем параллельные линии</w:t>
            </w:r>
          </w:p>
        </w:tc>
      </w:tr>
      <w:tr w14:paraId="3E6D5B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546DE581">
            <w:pPr>
              <w:pStyle w:val="85"/>
              <w:jc w:val="center"/>
              <w:rPr>
                <w:color w:val="auto"/>
                <w:sz w:val="22"/>
                <w:szCs w:val="22"/>
              </w:rPr>
            </w:pPr>
            <w:r>
              <w:rPr>
                <w:color w:val="auto"/>
                <w:sz w:val="22"/>
                <w:szCs w:val="22"/>
              </w:rPr>
              <w:t>Урок 13</w:t>
            </w:r>
          </w:p>
        </w:tc>
        <w:tc>
          <w:tcPr>
            <w:tcW w:w="7937" w:type="dxa"/>
          </w:tcPr>
          <w:p w14:paraId="1FB7B21B">
            <w:pPr>
              <w:pStyle w:val="85"/>
              <w:jc w:val="both"/>
              <w:rPr>
                <w:color w:val="auto"/>
                <w:sz w:val="22"/>
                <w:szCs w:val="22"/>
              </w:rPr>
            </w:pPr>
            <w:r>
              <w:rPr>
                <w:color w:val="auto"/>
                <w:sz w:val="22"/>
                <w:szCs w:val="22"/>
              </w:rPr>
              <w:t>Ориентируемся на рабочей строке</w:t>
            </w:r>
          </w:p>
        </w:tc>
      </w:tr>
      <w:tr w14:paraId="2F5B12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134" w:type="dxa"/>
            <w:vAlign w:val="center"/>
          </w:tcPr>
          <w:p w14:paraId="14ACA95F">
            <w:pPr>
              <w:pStyle w:val="85"/>
              <w:jc w:val="center"/>
              <w:rPr>
                <w:color w:val="auto"/>
                <w:sz w:val="22"/>
                <w:szCs w:val="22"/>
              </w:rPr>
            </w:pPr>
            <w:r>
              <w:rPr>
                <w:color w:val="auto"/>
                <w:sz w:val="22"/>
                <w:szCs w:val="22"/>
              </w:rPr>
              <w:t>Урок 14</w:t>
            </w:r>
          </w:p>
        </w:tc>
        <w:tc>
          <w:tcPr>
            <w:tcW w:w="7937" w:type="dxa"/>
          </w:tcPr>
          <w:p w14:paraId="031D850A">
            <w:pPr>
              <w:pStyle w:val="85"/>
              <w:jc w:val="both"/>
              <w:rPr>
                <w:color w:val="auto"/>
                <w:sz w:val="22"/>
                <w:szCs w:val="22"/>
              </w:rPr>
            </w:pPr>
            <w:r>
              <w:rPr>
                <w:color w:val="auto"/>
                <w:sz w:val="22"/>
                <w:szCs w:val="22"/>
              </w:rPr>
              <w:t>Пишем элементы букв</w:t>
            </w:r>
          </w:p>
        </w:tc>
      </w:tr>
      <w:tr w14:paraId="6A98A0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1EF2D0BA">
            <w:pPr>
              <w:pStyle w:val="85"/>
              <w:jc w:val="center"/>
              <w:rPr>
                <w:color w:val="auto"/>
                <w:sz w:val="22"/>
                <w:szCs w:val="22"/>
              </w:rPr>
            </w:pPr>
            <w:r>
              <w:rPr>
                <w:color w:val="auto"/>
                <w:sz w:val="22"/>
                <w:szCs w:val="22"/>
              </w:rPr>
              <w:t>Урок 15</w:t>
            </w:r>
          </w:p>
        </w:tc>
        <w:tc>
          <w:tcPr>
            <w:tcW w:w="7937" w:type="dxa"/>
          </w:tcPr>
          <w:p w14:paraId="0BBBE2D0">
            <w:pPr>
              <w:pStyle w:val="85"/>
              <w:jc w:val="both"/>
              <w:rPr>
                <w:color w:val="auto"/>
                <w:sz w:val="22"/>
                <w:szCs w:val="22"/>
              </w:rPr>
            </w:pPr>
            <w:r>
              <w:rPr>
                <w:color w:val="auto"/>
                <w:sz w:val="22"/>
                <w:szCs w:val="22"/>
              </w:rPr>
              <w:t>Особенность гласных звуков</w:t>
            </w:r>
          </w:p>
        </w:tc>
      </w:tr>
      <w:tr w14:paraId="0C712A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372288BC">
            <w:pPr>
              <w:pStyle w:val="85"/>
              <w:jc w:val="center"/>
              <w:rPr>
                <w:color w:val="auto"/>
                <w:sz w:val="22"/>
                <w:szCs w:val="22"/>
              </w:rPr>
            </w:pPr>
            <w:r>
              <w:rPr>
                <w:color w:val="auto"/>
                <w:sz w:val="22"/>
                <w:szCs w:val="22"/>
              </w:rPr>
              <w:t>Урок 16</w:t>
            </w:r>
          </w:p>
        </w:tc>
        <w:tc>
          <w:tcPr>
            <w:tcW w:w="7937" w:type="dxa"/>
          </w:tcPr>
          <w:p w14:paraId="6967CFB1">
            <w:pPr>
              <w:pStyle w:val="85"/>
              <w:jc w:val="both"/>
              <w:rPr>
                <w:color w:val="auto"/>
                <w:sz w:val="22"/>
                <w:szCs w:val="22"/>
              </w:rPr>
            </w:pPr>
            <w:r>
              <w:rPr>
                <w:color w:val="auto"/>
                <w:sz w:val="22"/>
                <w:szCs w:val="22"/>
              </w:rPr>
              <w:t>Отрабатываем письмо элементов букв</w:t>
            </w:r>
          </w:p>
        </w:tc>
      </w:tr>
      <w:tr w14:paraId="14CD65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054D7488">
            <w:pPr>
              <w:pStyle w:val="85"/>
              <w:jc w:val="center"/>
              <w:rPr>
                <w:color w:val="auto"/>
                <w:sz w:val="22"/>
                <w:szCs w:val="22"/>
              </w:rPr>
            </w:pPr>
            <w:r>
              <w:rPr>
                <w:color w:val="auto"/>
                <w:sz w:val="22"/>
                <w:szCs w:val="22"/>
              </w:rPr>
              <w:t>Урок 17</w:t>
            </w:r>
          </w:p>
        </w:tc>
        <w:tc>
          <w:tcPr>
            <w:tcW w:w="7937" w:type="dxa"/>
          </w:tcPr>
          <w:p w14:paraId="619868E5">
            <w:pPr>
              <w:pStyle w:val="85"/>
              <w:jc w:val="both"/>
              <w:rPr>
                <w:color w:val="auto"/>
                <w:sz w:val="22"/>
                <w:szCs w:val="22"/>
              </w:rPr>
            </w:pPr>
            <w:r>
              <w:rPr>
                <w:color w:val="auto"/>
                <w:sz w:val="22"/>
                <w:szCs w:val="22"/>
              </w:rPr>
              <w:t>Письмо строчной и заглавной букв А, а</w:t>
            </w:r>
          </w:p>
        </w:tc>
      </w:tr>
      <w:tr w14:paraId="4C6513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582BA6B7">
            <w:pPr>
              <w:pStyle w:val="85"/>
              <w:jc w:val="center"/>
              <w:rPr>
                <w:color w:val="auto"/>
                <w:sz w:val="22"/>
                <w:szCs w:val="22"/>
              </w:rPr>
            </w:pPr>
            <w:r>
              <w:rPr>
                <w:color w:val="auto"/>
                <w:sz w:val="22"/>
                <w:szCs w:val="22"/>
              </w:rPr>
              <w:t>Урок 18</w:t>
            </w:r>
          </w:p>
        </w:tc>
        <w:tc>
          <w:tcPr>
            <w:tcW w:w="7937" w:type="dxa"/>
          </w:tcPr>
          <w:p w14:paraId="30B19996">
            <w:pPr>
              <w:pStyle w:val="85"/>
              <w:jc w:val="both"/>
              <w:rPr>
                <w:color w:val="auto"/>
                <w:sz w:val="22"/>
                <w:szCs w:val="22"/>
              </w:rPr>
            </w:pPr>
            <w:r>
              <w:rPr>
                <w:color w:val="auto"/>
                <w:sz w:val="22"/>
                <w:szCs w:val="22"/>
              </w:rPr>
              <w:t>Закрепление написания строчной и заглавной букв А, а</w:t>
            </w:r>
          </w:p>
        </w:tc>
      </w:tr>
      <w:tr w14:paraId="39584F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3B5DE2B9">
            <w:pPr>
              <w:pStyle w:val="85"/>
              <w:jc w:val="center"/>
              <w:rPr>
                <w:color w:val="auto"/>
                <w:sz w:val="22"/>
                <w:szCs w:val="22"/>
              </w:rPr>
            </w:pPr>
            <w:r>
              <w:rPr>
                <w:color w:val="auto"/>
                <w:sz w:val="22"/>
                <w:szCs w:val="22"/>
              </w:rPr>
              <w:t>Урок 19</w:t>
            </w:r>
          </w:p>
        </w:tc>
        <w:tc>
          <w:tcPr>
            <w:tcW w:w="7937" w:type="dxa"/>
          </w:tcPr>
          <w:p w14:paraId="5FA2D887">
            <w:pPr>
              <w:pStyle w:val="85"/>
              <w:jc w:val="both"/>
              <w:rPr>
                <w:color w:val="auto"/>
                <w:sz w:val="22"/>
                <w:szCs w:val="22"/>
              </w:rPr>
            </w:pPr>
            <w:r>
              <w:rPr>
                <w:color w:val="auto"/>
                <w:sz w:val="22"/>
                <w:szCs w:val="22"/>
              </w:rPr>
              <w:t>Письмо строчной и заглавной букв Я, я</w:t>
            </w:r>
          </w:p>
        </w:tc>
      </w:tr>
      <w:tr w14:paraId="0324DF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7821C05B">
            <w:pPr>
              <w:pStyle w:val="85"/>
              <w:jc w:val="center"/>
              <w:rPr>
                <w:color w:val="auto"/>
                <w:sz w:val="22"/>
                <w:szCs w:val="22"/>
              </w:rPr>
            </w:pPr>
            <w:r>
              <w:rPr>
                <w:color w:val="auto"/>
                <w:sz w:val="22"/>
                <w:szCs w:val="22"/>
              </w:rPr>
              <w:t>Урок 20</w:t>
            </w:r>
          </w:p>
        </w:tc>
        <w:tc>
          <w:tcPr>
            <w:tcW w:w="7937" w:type="dxa"/>
          </w:tcPr>
          <w:p w14:paraId="4A84B2EE">
            <w:pPr>
              <w:pStyle w:val="85"/>
              <w:jc w:val="both"/>
              <w:rPr>
                <w:color w:val="auto"/>
                <w:sz w:val="22"/>
                <w:szCs w:val="22"/>
              </w:rPr>
            </w:pPr>
            <w:r>
              <w:rPr>
                <w:color w:val="auto"/>
                <w:sz w:val="22"/>
                <w:szCs w:val="22"/>
              </w:rPr>
              <w:t>Слогообразующая функция гласных звуков</w:t>
            </w:r>
          </w:p>
        </w:tc>
      </w:tr>
      <w:tr w14:paraId="477773F3">
        <w:tblPrEx>
          <w:tblCellMar>
            <w:top w:w="102" w:type="dxa"/>
            <w:left w:w="62" w:type="dxa"/>
            <w:bottom w:w="102" w:type="dxa"/>
            <w:right w:w="62" w:type="dxa"/>
          </w:tblCellMar>
        </w:tblPrEx>
        <w:tc>
          <w:tcPr>
            <w:tcW w:w="1134" w:type="dxa"/>
            <w:vAlign w:val="center"/>
          </w:tcPr>
          <w:p w14:paraId="4B77E6E5">
            <w:pPr>
              <w:pStyle w:val="85"/>
              <w:jc w:val="center"/>
              <w:rPr>
                <w:color w:val="auto"/>
                <w:sz w:val="22"/>
                <w:szCs w:val="22"/>
              </w:rPr>
            </w:pPr>
            <w:r>
              <w:rPr>
                <w:color w:val="auto"/>
                <w:sz w:val="22"/>
                <w:szCs w:val="22"/>
              </w:rPr>
              <w:t>Урок 21</w:t>
            </w:r>
          </w:p>
        </w:tc>
        <w:tc>
          <w:tcPr>
            <w:tcW w:w="7937" w:type="dxa"/>
          </w:tcPr>
          <w:p w14:paraId="414B7918">
            <w:pPr>
              <w:pStyle w:val="85"/>
              <w:jc w:val="both"/>
              <w:rPr>
                <w:color w:val="auto"/>
                <w:sz w:val="22"/>
                <w:szCs w:val="22"/>
              </w:rPr>
            </w:pPr>
            <w:r>
              <w:rPr>
                <w:color w:val="auto"/>
                <w:sz w:val="22"/>
                <w:szCs w:val="22"/>
              </w:rPr>
              <w:t>Закрепление написания строчной и заглавной Я, я</w:t>
            </w:r>
          </w:p>
        </w:tc>
      </w:tr>
      <w:tr w14:paraId="1A1E2A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1815DDB2">
            <w:pPr>
              <w:pStyle w:val="85"/>
              <w:jc w:val="center"/>
              <w:rPr>
                <w:color w:val="auto"/>
                <w:sz w:val="22"/>
                <w:szCs w:val="22"/>
              </w:rPr>
            </w:pPr>
            <w:r>
              <w:rPr>
                <w:color w:val="auto"/>
                <w:sz w:val="22"/>
                <w:szCs w:val="22"/>
              </w:rPr>
              <w:t>Урок 22</w:t>
            </w:r>
          </w:p>
        </w:tc>
        <w:tc>
          <w:tcPr>
            <w:tcW w:w="7937" w:type="dxa"/>
          </w:tcPr>
          <w:p w14:paraId="2B69AFED">
            <w:pPr>
              <w:pStyle w:val="85"/>
              <w:jc w:val="both"/>
              <w:rPr>
                <w:color w:val="auto"/>
                <w:sz w:val="22"/>
                <w:szCs w:val="22"/>
              </w:rPr>
            </w:pPr>
            <w:r>
              <w:rPr>
                <w:color w:val="auto"/>
                <w:sz w:val="22"/>
                <w:szCs w:val="22"/>
              </w:rPr>
              <w:t>Письмо строчной и заглавной букв О, о</w:t>
            </w:r>
          </w:p>
        </w:tc>
      </w:tr>
      <w:tr w14:paraId="6D2185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140CD30B">
            <w:pPr>
              <w:pStyle w:val="85"/>
              <w:jc w:val="center"/>
              <w:rPr>
                <w:color w:val="auto"/>
                <w:sz w:val="22"/>
                <w:szCs w:val="22"/>
              </w:rPr>
            </w:pPr>
            <w:r>
              <w:rPr>
                <w:color w:val="auto"/>
                <w:sz w:val="22"/>
                <w:szCs w:val="22"/>
              </w:rPr>
              <w:t>Урок 23</w:t>
            </w:r>
          </w:p>
        </w:tc>
        <w:tc>
          <w:tcPr>
            <w:tcW w:w="7937" w:type="dxa"/>
          </w:tcPr>
          <w:p w14:paraId="2E6E2CE1">
            <w:pPr>
              <w:pStyle w:val="85"/>
              <w:jc w:val="both"/>
              <w:rPr>
                <w:color w:val="auto"/>
                <w:sz w:val="22"/>
                <w:szCs w:val="22"/>
              </w:rPr>
            </w:pPr>
            <w:r>
              <w:rPr>
                <w:color w:val="auto"/>
                <w:sz w:val="22"/>
                <w:szCs w:val="22"/>
              </w:rPr>
              <w:t>Закрепление написания строчной и заглавной букв О, о</w:t>
            </w:r>
          </w:p>
        </w:tc>
      </w:tr>
      <w:tr w14:paraId="7DDDDD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646653A6">
            <w:pPr>
              <w:pStyle w:val="85"/>
              <w:jc w:val="center"/>
              <w:rPr>
                <w:color w:val="auto"/>
                <w:sz w:val="22"/>
                <w:szCs w:val="22"/>
              </w:rPr>
            </w:pPr>
            <w:r>
              <w:rPr>
                <w:color w:val="auto"/>
                <w:sz w:val="22"/>
                <w:szCs w:val="22"/>
              </w:rPr>
              <w:t>Урок 24</w:t>
            </w:r>
          </w:p>
        </w:tc>
        <w:tc>
          <w:tcPr>
            <w:tcW w:w="7937" w:type="dxa"/>
          </w:tcPr>
          <w:p w14:paraId="4BA1CA0E">
            <w:pPr>
              <w:pStyle w:val="85"/>
              <w:jc w:val="both"/>
              <w:rPr>
                <w:color w:val="auto"/>
                <w:sz w:val="22"/>
                <w:szCs w:val="22"/>
              </w:rPr>
            </w:pPr>
            <w:r>
              <w:rPr>
                <w:color w:val="auto"/>
                <w:sz w:val="22"/>
                <w:szCs w:val="22"/>
              </w:rPr>
              <w:t>Письмо строчной и заглавной букв Ё, ё</w:t>
            </w:r>
          </w:p>
        </w:tc>
      </w:tr>
      <w:tr w14:paraId="0AE07B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1F4E7FD3">
            <w:pPr>
              <w:pStyle w:val="85"/>
              <w:jc w:val="center"/>
              <w:rPr>
                <w:color w:val="auto"/>
                <w:sz w:val="22"/>
                <w:szCs w:val="22"/>
              </w:rPr>
            </w:pPr>
            <w:r>
              <w:rPr>
                <w:color w:val="auto"/>
                <w:sz w:val="22"/>
                <w:szCs w:val="22"/>
              </w:rPr>
              <w:t>Урок 25</w:t>
            </w:r>
          </w:p>
        </w:tc>
        <w:tc>
          <w:tcPr>
            <w:tcW w:w="7937" w:type="dxa"/>
          </w:tcPr>
          <w:p w14:paraId="28C84B6E">
            <w:pPr>
              <w:pStyle w:val="85"/>
              <w:jc w:val="both"/>
              <w:rPr>
                <w:color w:val="auto"/>
                <w:sz w:val="22"/>
                <w:szCs w:val="22"/>
              </w:rPr>
            </w:pPr>
            <w:r>
              <w:rPr>
                <w:color w:val="auto"/>
                <w:sz w:val="22"/>
                <w:szCs w:val="22"/>
              </w:rPr>
              <w:t>Отрабатываем умение определять количества слогов в слове</w:t>
            </w:r>
          </w:p>
        </w:tc>
      </w:tr>
      <w:tr w14:paraId="0C9E18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7D66E3A1">
            <w:pPr>
              <w:pStyle w:val="85"/>
              <w:jc w:val="center"/>
              <w:rPr>
                <w:color w:val="auto"/>
                <w:sz w:val="22"/>
                <w:szCs w:val="22"/>
              </w:rPr>
            </w:pPr>
            <w:r>
              <w:rPr>
                <w:color w:val="auto"/>
                <w:sz w:val="22"/>
                <w:szCs w:val="22"/>
              </w:rPr>
              <w:t>Урок 26</w:t>
            </w:r>
          </w:p>
        </w:tc>
        <w:tc>
          <w:tcPr>
            <w:tcW w:w="7937" w:type="dxa"/>
          </w:tcPr>
          <w:p w14:paraId="48FF4769">
            <w:pPr>
              <w:pStyle w:val="85"/>
              <w:jc w:val="both"/>
              <w:rPr>
                <w:color w:val="auto"/>
                <w:sz w:val="22"/>
                <w:szCs w:val="22"/>
              </w:rPr>
            </w:pPr>
            <w:r>
              <w:rPr>
                <w:color w:val="auto"/>
                <w:sz w:val="22"/>
                <w:szCs w:val="22"/>
              </w:rPr>
              <w:t>Закрепление написания строчной и заглавной букв Ё, ё</w:t>
            </w:r>
          </w:p>
        </w:tc>
      </w:tr>
      <w:tr w14:paraId="33A280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738B810E">
            <w:pPr>
              <w:pStyle w:val="85"/>
              <w:jc w:val="center"/>
              <w:rPr>
                <w:color w:val="auto"/>
                <w:sz w:val="22"/>
                <w:szCs w:val="22"/>
              </w:rPr>
            </w:pPr>
            <w:r>
              <w:rPr>
                <w:color w:val="auto"/>
                <w:sz w:val="22"/>
                <w:szCs w:val="22"/>
              </w:rPr>
              <w:t>Урок 27</w:t>
            </w:r>
          </w:p>
        </w:tc>
        <w:tc>
          <w:tcPr>
            <w:tcW w:w="7937" w:type="dxa"/>
          </w:tcPr>
          <w:p w14:paraId="7AD92B96">
            <w:pPr>
              <w:pStyle w:val="85"/>
              <w:jc w:val="both"/>
              <w:rPr>
                <w:color w:val="auto"/>
                <w:sz w:val="22"/>
                <w:szCs w:val="22"/>
              </w:rPr>
            </w:pPr>
            <w:r>
              <w:rPr>
                <w:color w:val="auto"/>
                <w:sz w:val="22"/>
                <w:szCs w:val="22"/>
              </w:rPr>
              <w:t>Письмо строчной и заглавной букв У, у</w:t>
            </w:r>
          </w:p>
        </w:tc>
      </w:tr>
      <w:tr w14:paraId="77F248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0A93158A">
            <w:pPr>
              <w:pStyle w:val="85"/>
              <w:jc w:val="center"/>
              <w:rPr>
                <w:color w:val="auto"/>
                <w:sz w:val="22"/>
                <w:szCs w:val="22"/>
              </w:rPr>
            </w:pPr>
            <w:r>
              <w:rPr>
                <w:color w:val="auto"/>
                <w:sz w:val="22"/>
                <w:szCs w:val="22"/>
              </w:rPr>
              <w:t>Урок 28</w:t>
            </w:r>
          </w:p>
        </w:tc>
        <w:tc>
          <w:tcPr>
            <w:tcW w:w="7937" w:type="dxa"/>
          </w:tcPr>
          <w:p w14:paraId="5DD22DA6">
            <w:pPr>
              <w:pStyle w:val="85"/>
              <w:jc w:val="both"/>
              <w:rPr>
                <w:color w:val="auto"/>
                <w:sz w:val="22"/>
                <w:szCs w:val="22"/>
              </w:rPr>
            </w:pPr>
            <w:r>
              <w:rPr>
                <w:color w:val="auto"/>
                <w:sz w:val="22"/>
                <w:szCs w:val="22"/>
              </w:rPr>
              <w:t>Закрепление написания строчной и заглавной букв У, у</w:t>
            </w:r>
          </w:p>
        </w:tc>
      </w:tr>
      <w:tr w14:paraId="613293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30735232">
            <w:pPr>
              <w:pStyle w:val="85"/>
              <w:jc w:val="center"/>
              <w:rPr>
                <w:color w:val="auto"/>
                <w:sz w:val="22"/>
                <w:szCs w:val="22"/>
              </w:rPr>
            </w:pPr>
            <w:r>
              <w:rPr>
                <w:color w:val="auto"/>
                <w:sz w:val="22"/>
                <w:szCs w:val="22"/>
              </w:rPr>
              <w:t>Урок 29</w:t>
            </w:r>
          </w:p>
        </w:tc>
        <w:tc>
          <w:tcPr>
            <w:tcW w:w="7937" w:type="dxa"/>
          </w:tcPr>
          <w:p w14:paraId="0B64BFD0">
            <w:pPr>
              <w:pStyle w:val="85"/>
              <w:jc w:val="both"/>
              <w:rPr>
                <w:color w:val="auto"/>
                <w:sz w:val="22"/>
                <w:szCs w:val="22"/>
              </w:rPr>
            </w:pPr>
            <w:r>
              <w:rPr>
                <w:color w:val="auto"/>
                <w:sz w:val="22"/>
                <w:szCs w:val="22"/>
              </w:rPr>
              <w:t>Письмо строчной и заглавной букв Ю, ю</w:t>
            </w:r>
          </w:p>
        </w:tc>
      </w:tr>
      <w:tr w14:paraId="7DC624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134" w:type="dxa"/>
            <w:vAlign w:val="center"/>
          </w:tcPr>
          <w:p w14:paraId="49B657C2">
            <w:pPr>
              <w:pStyle w:val="85"/>
              <w:jc w:val="center"/>
              <w:rPr>
                <w:color w:val="auto"/>
                <w:sz w:val="22"/>
                <w:szCs w:val="22"/>
              </w:rPr>
            </w:pPr>
            <w:r>
              <w:rPr>
                <w:color w:val="auto"/>
                <w:sz w:val="22"/>
                <w:szCs w:val="22"/>
              </w:rPr>
              <w:t>Урок 30</w:t>
            </w:r>
          </w:p>
        </w:tc>
        <w:tc>
          <w:tcPr>
            <w:tcW w:w="7937" w:type="dxa"/>
          </w:tcPr>
          <w:p w14:paraId="253807EF">
            <w:pPr>
              <w:pStyle w:val="85"/>
              <w:jc w:val="both"/>
              <w:rPr>
                <w:color w:val="auto"/>
                <w:sz w:val="22"/>
                <w:szCs w:val="22"/>
              </w:rPr>
            </w:pPr>
            <w:r>
              <w:rPr>
                <w:color w:val="auto"/>
                <w:sz w:val="22"/>
                <w:szCs w:val="22"/>
              </w:rPr>
              <w:t>Звуковой анализ слов, работа со звуковыми моделями слов</w:t>
            </w:r>
          </w:p>
        </w:tc>
      </w:tr>
      <w:tr w14:paraId="2279C5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782ABA20">
            <w:pPr>
              <w:pStyle w:val="85"/>
              <w:jc w:val="center"/>
              <w:rPr>
                <w:color w:val="auto"/>
                <w:sz w:val="22"/>
                <w:szCs w:val="22"/>
              </w:rPr>
            </w:pPr>
            <w:r>
              <w:rPr>
                <w:color w:val="auto"/>
                <w:sz w:val="22"/>
                <w:szCs w:val="22"/>
              </w:rPr>
              <w:t>Урок 31</w:t>
            </w:r>
          </w:p>
        </w:tc>
        <w:tc>
          <w:tcPr>
            <w:tcW w:w="7937" w:type="dxa"/>
          </w:tcPr>
          <w:p w14:paraId="0DB111B9">
            <w:pPr>
              <w:pStyle w:val="85"/>
              <w:jc w:val="both"/>
              <w:rPr>
                <w:color w:val="auto"/>
                <w:sz w:val="22"/>
                <w:szCs w:val="22"/>
              </w:rPr>
            </w:pPr>
            <w:r>
              <w:rPr>
                <w:color w:val="auto"/>
                <w:sz w:val="22"/>
                <w:szCs w:val="22"/>
              </w:rPr>
              <w:t>Закрепление написания строчной и заглавной букв Ю, ю</w:t>
            </w:r>
          </w:p>
        </w:tc>
      </w:tr>
      <w:tr w14:paraId="61569D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7AD283F5">
            <w:pPr>
              <w:pStyle w:val="85"/>
              <w:jc w:val="center"/>
              <w:rPr>
                <w:color w:val="auto"/>
                <w:sz w:val="22"/>
                <w:szCs w:val="22"/>
              </w:rPr>
            </w:pPr>
            <w:r>
              <w:rPr>
                <w:color w:val="auto"/>
                <w:sz w:val="22"/>
                <w:szCs w:val="22"/>
              </w:rPr>
              <w:t>Урок 32</w:t>
            </w:r>
          </w:p>
        </w:tc>
        <w:tc>
          <w:tcPr>
            <w:tcW w:w="7937" w:type="dxa"/>
          </w:tcPr>
          <w:p w14:paraId="59F61A25">
            <w:pPr>
              <w:pStyle w:val="85"/>
              <w:jc w:val="both"/>
              <w:rPr>
                <w:color w:val="auto"/>
                <w:sz w:val="22"/>
                <w:szCs w:val="22"/>
              </w:rPr>
            </w:pPr>
            <w:r>
              <w:rPr>
                <w:color w:val="auto"/>
                <w:sz w:val="22"/>
                <w:szCs w:val="22"/>
              </w:rPr>
              <w:t>Письмо строчной и заглавной букв Э, э</w:t>
            </w:r>
          </w:p>
        </w:tc>
      </w:tr>
      <w:tr w14:paraId="3FDD96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2D6D8BB0">
            <w:pPr>
              <w:pStyle w:val="85"/>
              <w:jc w:val="center"/>
              <w:rPr>
                <w:color w:val="auto"/>
                <w:sz w:val="22"/>
                <w:szCs w:val="22"/>
              </w:rPr>
            </w:pPr>
            <w:r>
              <w:rPr>
                <w:color w:val="auto"/>
                <w:sz w:val="22"/>
                <w:szCs w:val="22"/>
              </w:rPr>
              <w:t>Урок 33</w:t>
            </w:r>
          </w:p>
        </w:tc>
        <w:tc>
          <w:tcPr>
            <w:tcW w:w="7937" w:type="dxa"/>
          </w:tcPr>
          <w:p w14:paraId="711A61C1">
            <w:pPr>
              <w:pStyle w:val="85"/>
              <w:jc w:val="both"/>
              <w:rPr>
                <w:color w:val="auto"/>
                <w:sz w:val="22"/>
                <w:szCs w:val="22"/>
              </w:rPr>
            </w:pPr>
            <w:r>
              <w:rPr>
                <w:color w:val="auto"/>
                <w:sz w:val="22"/>
                <w:szCs w:val="22"/>
              </w:rPr>
              <w:t>Закрепление написания строчной и заглавной букв Э, э</w:t>
            </w:r>
          </w:p>
        </w:tc>
      </w:tr>
      <w:tr w14:paraId="15A073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47A71C81">
            <w:pPr>
              <w:pStyle w:val="85"/>
              <w:jc w:val="center"/>
              <w:rPr>
                <w:color w:val="auto"/>
                <w:sz w:val="22"/>
                <w:szCs w:val="22"/>
              </w:rPr>
            </w:pPr>
            <w:r>
              <w:rPr>
                <w:color w:val="auto"/>
                <w:sz w:val="22"/>
                <w:szCs w:val="22"/>
              </w:rPr>
              <w:t>Урок 34</w:t>
            </w:r>
          </w:p>
        </w:tc>
        <w:tc>
          <w:tcPr>
            <w:tcW w:w="7937" w:type="dxa"/>
          </w:tcPr>
          <w:p w14:paraId="5DD629BF">
            <w:pPr>
              <w:pStyle w:val="85"/>
              <w:jc w:val="both"/>
              <w:rPr>
                <w:color w:val="auto"/>
                <w:sz w:val="22"/>
                <w:szCs w:val="22"/>
              </w:rPr>
            </w:pPr>
            <w:r>
              <w:rPr>
                <w:color w:val="auto"/>
                <w:sz w:val="22"/>
                <w:szCs w:val="22"/>
              </w:rPr>
              <w:t>Письмо строчной и заглавной букв Е, е</w:t>
            </w:r>
          </w:p>
        </w:tc>
      </w:tr>
      <w:tr w14:paraId="2D9836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134" w:type="dxa"/>
            <w:vAlign w:val="center"/>
          </w:tcPr>
          <w:p w14:paraId="054C7079">
            <w:pPr>
              <w:pStyle w:val="85"/>
              <w:jc w:val="center"/>
              <w:rPr>
                <w:color w:val="auto"/>
                <w:sz w:val="22"/>
                <w:szCs w:val="22"/>
              </w:rPr>
            </w:pPr>
            <w:r>
              <w:rPr>
                <w:color w:val="auto"/>
                <w:sz w:val="22"/>
                <w:szCs w:val="22"/>
              </w:rPr>
              <w:t>Урок 35</w:t>
            </w:r>
          </w:p>
        </w:tc>
        <w:tc>
          <w:tcPr>
            <w:tcW w:w="7937" w:type="dxa"/>
          </w:tcPr>
          <w:p w14:paraId="365B092B">
            <w:pPr>
              <w:pStyle w:val="85"/>
              <w:jc w:val="both"/>
              <w:rPr>
                <w:color w:val="auto"/>
                <w:sz w:val="22"/>
                <w:szCs w:val="22"/>
              </w:rPr>
            </w:pPr>
            <w:r>
              <w:rPr>
                <w:color w:val="auto"/>
                <w:sz w:val="22"/>
                <w:szCs w:val="22"/>
              </w:rPr>
              <w:t>Построение моделей звукового состава слов</w:t>
            </w:r>
          </w:p>
        </w:tc>
      </w:tr>
      <w:tr w14:paraId="15C368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0726B313">
            <w:pPr>
              <w:pStyle w:val="85"/>
              <w:jc w:val="center"/>
              <w:rPr>
                <w:color w:val="auto"/>
                <w:sz w:val="22"/>
                <w:szCs w:val="22"/>
              </w:rPr>
            </w:pPr>
            <w:r>
              <w:rPr>
                <w:color w:val="auto"/>
                <w:sz w:val="22"/>
                <w:szCs w:val="22"/>
              </w:rPr>
              <w:t>Урок 36</w:t>
            </w:r>
          </w:p>
        </w:tc>
        <w:tc>
          <w:tcPr>
            <w:tcW w:w="7937" w:type="dxa"/>
          </w:tcPr>
          <w:p w14:paraId="42A4514B">
            <w:pPr>
              <w:pStyle w:val="85"/>
              <w:jc w:val="both"/>
              <w:rPr>
                <w:color w:val="auto"/>
                <w:sz w:val="22"/>
                <w:szCs w:val="22"/>
              </w:rPr>
            </w:pPr>
            <w:r>
              <w:rPr>
                <w:color w:val="auto"/>
                <w:sz w:val="22"/>
                <w:szCs w:val="22"/>
              </w:rPr>
              <w:t>Закрепление написания строчной и заглавной букв Е, е</w:t>
            </w:r>
          </w:p>
        </w:tc>
      </w:tr>
      <w:tr w14:paraId="32822D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134" w:type="dxa"/>
            <w:vAlign w:val="center"/>
          </w:tcPr>
          <w:p w14:paraId="78275A3B">
            <w:pPr>
              <w:pStyle w:val="85"/>
              <w:jc w:val="center"/>
              <w:rPr>
                <w:color w:val="auto"/>
                <w:sz w:val="22"/>
                <w:szCs w:val="22"/>
              </w:rPr>
            </w:pPr>
            <w:r>
              <w:rPr>
                <w:color w:val="auto"/>
                <w:sz w:val="22"/>
                <w:szCs w:val="22"/>
              </w:rPr>
              <w:t>Урок 37</w:t>
            </w:r>
          </w:p>
        </w:tc>
        <w:tc>
          <w:tcPr>
            <w:tcW w:w="7937" w:type="dxa"/>
          </w:tcPr>
          <w:p w14:paraId="1D480FCD">
            <w:pPr>
              <w:pStyle w:val="85"/>
              <w:jc w:val="both"/>
              <w:rPr>
                <w:color w:val="auto"/>
                <w:sz w:val="22"/>
                <w:szCs w:val="22"/>
              </w:rPr>
            </w:pPr>
            <w:r>
              <w:rPr>
                <w:color w:val="auto"/>
                <w:sz w:val="22"/>
                <w:szCs w:val="22"/>
              </w:rPr>
              <w:t>Письмо строчной буквы ы</w:t>
            </w:r>
          </w:p>
        </w:tc>
      </w:tr>
      <w:tr w14:paraId="1D45CA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07977D6E">
            <w:pPr>
              <w:pStyle w:val="85"/>
              <w:jc w:val="center"/>
              <w:rPr>
                <w:color w:val="auto"/>
                <w:sz w:val="22"/>
                <w:szCs w:val="22"/>
              </w:rPr>
            </w:pPr>
            <w:r>
              <w:rPr>
                <w:color w:val="auto"/>
                <w:sz w:val="22"/>
                <w:szCs w:val="22"/>
              </w:rPr>
              <w:t>Урок 38</w:t>
            </w:r>
          </w:p>
        </w:tc>
        <w:tc>
          <w:tcPr>
            <w:tcW w:w="7937" w:type="dxa"/>
          </w:tcPr>
          <w:p w14:paraId="7CD541B8">
            <w:pPr>
              <w:pStyle w:val="85"/>
              <w:jc w:val="both"/>
              <w:rPr>
                <w:color w:val="auto"/>
                <w:sz w:val="22"/>
                <w:szCs w:val="22"/>
              </w:rPr>
            </w:pPr>
            <w:r>
              <w:rPr>
                <w:color w:val="auto"/>
                <w:sz w:val="22"/>
                <w:szCs w:val="22"/>
              </w:rPr>
              <w:t>Письмо строчной и заглавной букв И, и</w:t>
            </w:r>
          </w:p>
        </w:tc>
      </w:tr>
      <w:tr w14:paraId="578271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18476D14">
            <w:pPr>
              <w:pStyle w:val="85"/>
              <w:jc w:val="center"/>
              <w:rPr>
                <w:color w:val="auto"/>
                <w:sz w:val="22"/>
                <w:szCs w:val="22"/>
              </w:rPr>
            </w:pPr>
            <w:r>
              <w:rPr>
                <w:color w:val="auto"/>
                <w:sz w:val="22"/>
                <w:szCs w:val="22"/>
              </w:rPr>
              <w:t>Урок 39</w:t>
            </w:r>
          </w:p>
        </w:tc>
        <w:tc>
          <w:tcPr>
            <w:tcW w:w="7937" w:type="dxa"/>
          </w:tcPr>
          <w:p w14:paraId="4E9C4923">
            <w:pPr>
              <w:pStyle w:val="85"/>
              <w:jc w:val="both"/>
              <w:rPr>
                <w:color w:val="auto"/>
                <w:sz w:val="22"/>
                <w:szCs w:val="22"/>
              </w:rPr>
            </w:pPr>
            <w:r>
              <w:rPr>
                <w:color w:val="auto"/>
                <w:sz w:val="22"/>
                <w:szCs w:val="22"/>
              </w:rPr>
              <w:t>Закрепление написания строчной и заглавной букв И, и</w:t>
            </w:r>
          </w:p>
        </w:tc>
      </w:tr>
      <w:tr w14:paraId="6A1CD0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2DA37412">
            <w:pPr>
              <w:pStyle w:val="85"/>
              <w:jc w:val="center"/>
              <w:rPr>
                <w:color w:val="auto"/>
                <w:sz w:val="22"/>
                <w:szCs w:val="22"/>
              </w:rPr>
            </w:pPr>
            <w:r>
              <w:rPr>
                <w:color w:val="auto"/>
                <w:sz w:val="22"/>
                <w:szCs w:val="22"/>
              </w:rPr>
              <w:t>Урок 40</w:t>
            </w:r>
          </w:p>
        </w:tc>
        <w:tc>
          <w:tcPr>
            <w:tcW w:w="7937" w:type="dxa"/>
          </w:tcPr>
          <w:p w14:paraId="662E357D">
            <w:pPr>
              <w:pStyle w:val="85"/>
              <w:jc w:val="both"/>
              <w:rPr>
                <w:color w:val="auto"/>
                <w:sz w:val="22"/>
                <w:szCs w:val="22"/>
              </w:rPr>
            </w:pPr>
            <w:r>
              <w:rPr>
                <w:color w:val="auto"/>
                <w:sz w:val="22"/>
                <w:szCs w:val="22"/>
              </w:rPr>
              <w:t>Повторяем особенности гласных звуков</w:t>
            </w:r>
          </w:p>
        </w:tc>
      </w:tr>
      <w:tr w14:paraId="17B383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359FE08E">
            <w:pPr>
              <w:pStyle w:val="85"/>
              <w:jc w:val="center"/>
              <w:rPr>
                <w:color w:val="auto"/>
                <w:sz w:val="22"/>
                <w:szCs w:val="22"/>
              </w:rPr>
            </w:pPr>
            <w:r>
              <w:rPr>
                <w:color w:val="auto"/>
                <w:sz w:val="22"/>
                <w:szCs w:val="22"/>
              </w:rPr>
              <w:t>Урок 41</w:t>
            </w:r>
          </w:p>
        </w:tc>
        <w:tc>
          <w:tcPr>
            <w:tcW w:w="7937" w:type="dxa"/>
          </w:tcPr>
          <w:p w14:paraId="3E2000CC">
            <w:pPr>
              <w:pStyle w:val="85"/>
              <w:jc w:val="both"/>
              <w:rPr>
                <w:color w:val="auto"/>
                <w:sz w:val="22"/>
                <w:szCs w:val="22"/>
              </w:rPr>
            </w:pPr>
            <w:r>
              <w:rPr>
                <w:color w:val="auto"/>
                <w:sz w:val="22"/>
                <w:szCs w:val="22"/>
              </w:rPr>
              <w:t>Сравниваем начертания изученных букв, обозначающих гласные звуки</w:t>
            </w:r>
          </w:p>
        </w:tc>
      </w:tr>
      <w:tr w14:paraId="379DE8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3C33D003">
            <w:pPr>
              <w:pStyle w:val="85"/>
              <w:jc w:val="center"/>
              <w:rPr>
                <w:color w:val="auto"/>
                <w:sz w:val="22"/>
                <w:szCs w:val="22"/>
              </w:rPr>
            </w:pPr>
            <w:r>
              <w:rPr>
                <w:color w:val="auto"/>
                <w:sz w:val="22"/>
                <w:szCs w:val="22"/>
              </w:rPr>
              <w:t>Урок 42</w:t>
            </w:r>
          </w:p>
        </w:tc>
        <w:tc>
          <w:tcPr>
            <w:tcW w:w="7937" w:type="dxa"/>
          </w:tcPr>
          <w:p w14:paraId="43191DD2">
            <w:pPr>
              <w:pStyle w:val="85"/>
              <w:jc w:val="both"/>
              <w:rPr>
                <w:color w:val="auto"/>
                <w:sz w:val="22"/>
                <w:szCs w:val="22"/>
              </w:rPr>
            </w:pPr>
            <w:r>
              <w:rPr>
                <w:color w:val="auto"/>
                <w:sz w:val="22"/>
                <w:szCs w:val="22"/>
              </w:rPr>
              <w:t>Пишем буквы, обозначающие гласные звуки</w:t>
            </w:r>
          </w:p>
        </w:tc>
      </w:tr>
      <w:tr w14:paraId="78E3D4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07B39ED1">
            <w:pPr>
              <w:pStyle w:val="85"/>
              <w:jc w:val="center"/>
              <w:rPr>
                <w:color w:val="auto"/>
                <w:sz w:val="22"/>
                <w:szCs w:val="22"/>
              </w:rPr>
            </w:pPr>
            <w:r>
              <w:rPr>
                <w:color w:val="auto"/>
                <w:sz w:val="22"/>
                <w:szCs w:val="22"/>
              </w:rPr>
              <w:t>Урок 43</w:t>
            </w:r>
          </w:p>
        </w:tc>
        <w:tc>
          <w:tcPr>
            <w:tcW w:w="7937" w:type="dxa"/>
          </w:tcPr>
          <w:p w14:paraId="58D246D1">
            <w:pPr>
              <w:pStyle w:val="85"/>
              <w:jc w:val="both"/>
              <w:rPr>
                <w:color w:val="auto"/>
                <w:sz w:val="22"/>
                <w:szCs w:val="22"/>
              </w:rPr>
            </w:pPr>
            <w:r>
              <w:rPr>
                <w:color w:val="auto"/>
                <w:sz w:val="22"/>
                <w:szCs w:val="22"/>
              </w:rPr>
              <w:t>Письмо строчной и заглавной букв М, м</w:t>
            </w:r>
          </w:p>
        </w:tc>
      </w:tr>
      <w:tr w14:paraId="410030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134" w:type="dxa"/>
            <w:vAlign w:val="center"/>
          </w:tcPr>
          <w:p w14:paraId="3A254154">
            <w:pPr>
              <w:pStyle w:val="85"/>
              <w:jc w:val="center"/>
              <w:rPr>
                <w:color w:val="auto"/>
                <w:sz w:val="22"/>
                <w:szCs w:val="22"/>
              </w:rPr>
            </w:pPr>
            <w:r>
              <w:rPr>
                <w:color w:val="auto"/>
                <w:sz w:val="22"/>
                <w:szCs w:val="22"/>
              </w:rPr>
              <w:t>Урок 44</w:t>
            </w:r>
          </w:p>
        </w:tc>
        <w:tc>
          <w:tcPr>
            <w:tcW w:w="7937" w:type="dxa"/>
          </w:tcPr>
          <w:p w14:paraId="236AEB0D">
            <w:pPr>
              <w:pStyle w:val="85"/>
              <w:jc w:val="both"/>
              <w:rPr>
                <w:color w:val="auto"/>
                <w:sz w:val="22"/>
                <w:szCs w:val="22"/>
              </w:rPr>
            </w:pPr>
            <w:r>
              <w:rPr>
                <w:color w:val="auto"/>
                <w:sz w:val="22"/>
                <w:szCs w:val="22"/>
              </w:rPr>
              <w:t>Закрепление написания строчной и заглавной букв М, м</w:t>
            </w:r>
          </w:p>
        </w:tc>
      </w:tr>
      <w:tr w14:paraId="2262E5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770D69FB">
            <w:pPr>
              <w:pStyle w:val="85"/>
              <w:jc w:val="center"/>
              <w:rPr>
                <w:color w:val="auto"/>
                <w:sz w:val="22"/>
                <w:szCs w:val="22"/>
              </w:rPr>
            </w:pPr>
            <w:r>
              <w:rPr>
                <w:color w:val="auto"/>
                <w:sz w:val="22"/>
                <w:szCs w:val="22"/>
              </w:rPr>
              <w:t>Урок 45</w:t>
            </w:r>
          </w:p>
        </w:tc>
        <w:tc>
          <w:tcPr>
            <w:tcW w:w="7937" w:type="dxa"/>
          </w:tcPr>
          <w:p w14:paraId="5839744A">
            <w:pPr>
              <w:pStyle w:val="85"/>
              <w:jc w:val="both"/>
              <w:rPr>
                <w:color w:val="auto"/>
                <w:sz w:val="22"/>
                <w:szCs w:val="22"/>
              </w:rPr>
            </w:pPr>
            <w:r>
              <w:rPr>
                <w:color w:val="auto"/>
                <w:sz w:val="22"/>
                <w:szCs w:val="22"/>
              </w:rPr>
              <w:t>Звуковой анализ слов, работа со звуковыми моделями слов</w:t>
            </w:r>
          </w:p>
        </w:tc>
      </w:tr>
      <w:tr w14:paraId="6715F8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5872B18A">
            <w:pPr>
              <w:pStyle w:val="85"/>
              <w:jc w:val="center"/>
              <w:rPr>
                <w:color w:val="auto"/>
                <w:sz w:val="22"/>
                <w:szCs w:val="22"/>
              </w:rPr>
            </w:pPr>
            <w:r>
              <w:rPr>
                <w:color w:val="auto"/>
                <w:sz w:val="22"/>
                <w:szCs w:val="22"/>
              </w:rPr>
              <w:t>Урок 46</w:t>
            </w:r>
          </w:p>
        </w:tc>
        <w:tc>
          <w:tcPr>
            <w:tcW w:w="7937" w:type="dxa"/>
          </w:tcPr>
          <w:p w14:paraId="116AEE75">
            <w:pPr>
              <w:pStyle w:val="85"/>
              <w:jc w:val="both"/>
              <w:rPr>
                <w:color w:val="auto"/>
                <w:sz w:val="22"/>
                <w:szCs w:val="22"/>
              </w:rPr>
            </w:pPr>
            <w:r>
              <w:rPr>
                <w:color w:val="auto"/>
                <w:sz w:val="22"/>
                <w:szCs w:val="22"/>
              </w:rPr>
              <w:t>Письмо строчной и заглавной букв Н, н</w:t>
            </w:r>
          </w:p>
        </w:tc>
      </w:tr>
      <w:tr w14:paraId="44E9A3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5BF3924D">
            <w:pPr>
              <w:pStyle w:val="85"/>
              <w:jc w:val="center"/>
              <w:rPr>
                <w:color w:val="auto"/>
                <w:sz w:val="22"/>
                <w:szCs w:val="22"/>
              </w:rPr>
            </w:pPr>
            <w:r>
              <w:rPr>
                <w:color w:val="auto"/>
                <w:sz w:val="22"/>
                <w:szCs w:val="22"/>
              </w:rPr>
              <w:t>Урок 47</w:t>
            </w:r>
          </w:p>
        </w:tc>
        <w:tc>
          <w:tcPr>
            <w:tcW w:w="7937" w:type="dxa"/>
          </w:tcPr>
          <w:p w14:paraId="33603766">
            <w:pPr>
              <w:pStyle w:val="85"/>
              <w:jc w:val="both"/>
              <w:rPr>
                <w:color w:val="auto"/>
                <w:sz w:val="22"/>
                <w:szCs w:val="22"/>
              </w:rPr>
            </w:pPr>
            <w:r>
              <w:rPr>
                <w:color w:val="auto"/>
                <w:sz w:val="22"/>
                <w:szCs w:val="22"/>
              </w:rPr>
              <w:t>Закрепление написания строчной и заглавной букв Н, н</w:t>
            </w:r>
          </w:p>
        </w:tc>
      </w:tr>
      <w:tr w14:paraId="2C4FE7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618048F4">
            <w:pPr>
              <w:pStyle w:val="85"/>
              <w:jc w:val="center"/>
              <w:rPr>
                <w:color w:val="auto"/>
                <w:sz w:val="22"/>
                <w:szCs w:val="22"/>
              </w:rPr>
            </w:pPr>
            <w:r>
              <w:rPr>
                <w:color w:val="auto"/>
                <w:sz w:val="22"/>
                <w:szCs w:val="22"/>
              </w:rPr>
              <w:t>Урок 48</w:t>
            </w:r>
          </w:p>
        </w:tc>
        <w:tc>
          <w:tcPr>
            <w:tcW w:w="7937" w:type="dxa"/>
          </w:tcPr>
          <w:p w14:paraId="11DB73F5">
            <w:pPr>
              <w:pStyle w:val="85"/>
              <w:jc w:val="both"/>
              <w:rPr>
                <w:color w:val="auto"/>
                <w:sz w:val="22"/>
                <w:szCs w:val="22"/>
              </w:rPr>
            </w:pPr>
            <w:r>
              <w:rPr>
                <w:color w:val="auto"/>
                <w:sz w:val="22"/>
                <w:szCs w:val="22"/>
              </w:rPr>
              <w:t>Письмо строчной и заглавной букв Р, р</w:t>
            </w:r>
          </w:p>
        </w:tc>
      </w:tr>
      <w:tr w14:paraId="5379C8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7365674C">
            <w:pPr>
              <w:pStyle w:val="85"/>
              <w:jc w:val="center"/>
              <w:rPr>
                <w:color w:val="auto"/>
                <w:sz w:val="22"/>
                <w:szCs w:val="22"/>
              </w:rPr>
            </w:pPr>
            <w:r>
              <w:rPr>
                <w:color w:val="auto"/>
                <w:sz w:val="22"/>
                <w:szCs w:val="22"/>
              </w:rPr>
              <w:t>Урок 49</w:t>
            </w:r>
          </w:p>
        </w:tc>
        <w:tc>
          <w:tcPr>
            <w:tcW w:w="7937" w:type="dxa"/>
          </w:tcPr>
          <w:p w14:paraId="7F5DAE3E">
            <w:pPr>
              <w:pStyle w:val="85"/>
              <w:jc w:val="both"/>
              <w:rPr>
                <w:color w:val="auto"/>
                <w:sz w:val="22"/>
                <w:szCs w:val="22"/>
              </w:rPr>
            </w:pPr>
            <w:r>
              <w:rPr>
                <w:color w:val="auto"/>
                <w:sz w:val="22"/>
                <w:szCs w:val="22"/>
              </w:rPr>
              <w:t>Закрепление написания строчной и заглавной букв Р, р</w:t>
            </w:r>
          </w:p>
        </w:tc>
      </w:tr>
      <w:tr w14:paraId="7D477B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7206F1E4">
            <w:pPr>
              <w:pStyle w:val="85"/>
              <w:jc w:val="center"/>
              <w:rPr>
                <w:color w:val="auto"/>
                <w:sz w:val="22"/>
                <w:szCs w:val="22"/>
              </w:rPr>
            </w:pPr>
            <w:r>
              <w:rPr>
                <w:color w:val="auto"/>
                <w:sz w:val="22"/>
                <w:szCs w:val="22"/>
              </w:rPr>
              <w:t>Урок 50</w:t>
            </w:r>
          </w:p>
        </w:tc>
        <w:tc>
          <w:tcPr>
            <w:tcW w:w="7937" w:type="dxa"/>
          </w:tcPr>
          <w:p w14:paraId="13094EDD">
            <w:pPr>
              <w:pStyle w:val="85"/>
              <w:jc w:val="both"/>
              <w:rPr>
                <w:color w:val="auto"/>
                <w:sz w:val="22"/>
                <w:szCs w:val="22"/>
              </w:rPr>
            </w:pPr>
            <w:r>
              <w:rPr>
                <w:color w:val="auto"/>
                <w:sz w:val="22"/>
                <w:szCs w:val="22"/>
              </w:rPr>
              <w:t>Особенность согласных звуков, обозначаемых изучаемыми буквами: непарные звонкие</w:t>
            </w:r>
          </w:p>
        </w:tc>
      </w:tr>
      <w:tr w14:paraId="417F5A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5C8BFF23">
            <w:pPr>
              <w:pStyle w:val="85"/>
              <w:jc w:val="center"/>
              <w:rPr>
                <w:color w:val="auto"/>
                <w:sz w:val="22"/>
                <w:szCs w:val="22"/>
              </w:rPr>
            </w:pPr>
            <w:r>
              <w:rPr>
                <w:color w:val="auto"/>
                <w:sz w:val="22"/>
                <w:szCs w:val="22"/>
              </w:rPr>
              <w:t>Урок 51</w:t>
            </w:r>
          </w:p>
        </w:tc>
        <w:tc>
          <w:tcPr>
            <w:tcW w:w="7937" w:type="dxa"/>
          </w:tcPr>
          <w:p w14:paraId="0A3A37AC">
            <w:pPr>
              <w:pStyle w:val="85"/>
              <w:jc w:val="both"/>
              <w:rPr>
                <w:color w:val="auto"/>
                <w:sz w:val="22"/>
                <w:szCs w:val="22"/>
              </w:rPr>
            </w:pPr>
            <w:r>
              <w:rPr>
                <w:color w:val="auto"/>
                <w:sz w:val="22"/>
                <w:szCs w:val="22"/>
              </w:rPr>
              <w:t>Письмо строчной и заглавной букв Л, л</w:t>
            </w:r>
          </w:p>
        </w:tc>
      </w:tr>
      <w:tr w14:paraId="7850A8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5F5CB48F">
            <w:pPr>
              <w:pStyle w:val="85"/>
              <w:jc w:val="center"/>
              <w:rPr>
                <w:color w:val="auto"/>
                <w:sz w:val="22"/>
                <w:szCs w:val="22"/>
              </w:rPr>
            </w:pPr>
            <w:r>
              <w:rPr>
                <w:color w:val="auto"/>
                <w:sz w:val="22"/>
                <w:szCs w:val="22"/>
              </w:rPr>
              <w:t>Урок 52</w:t>
            </w:r>
          </w:p>
        </w:tc>
        <w:tc>
          <w:tcPr>
            <w:tcW w:w="7937" w:type="dxa"/>
          </w:tcPr>
          <w:p w14:paraId="2C76F0FB">
            <w:pPr>
              <w:pStyle w:val="85"/>
              <w:jc w:val="both"/>
              <w:rPr>
                <w:color w:val="auto"/>
                <w:sz w:val="22"/>
                <w:szCs w:val="22"/>
              </w:rPr>
            </w:pPr>
            <w:r>
              <w:rPr>
                <w:color w:val="auto"/>
                <w:sz w:val="22"/>
                <w:szCs w:val="22"/>
              </w:rPr>
              <w:t>Закрепление написания строчной и заглавной букв Л, л</w:t>
            </w:r>
          </w:p>
        </w:tc>
      </w:tr>
      <w:tr w14:paraId="243372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0C473D21">
            <w:pPr>
              <w:pStyle w:val="85"/>
              <w:jc w:val="center"/>
              <w:rPr>
                <w:color w:val="auto"/>
                <w:sz w:val="22"/>
                <w:szCs w:val="22"/>
              </w:rPr>
            </w:pPr>
            <w:r>
              <w:rPr>
                <w:color w:val="auto"/>
                <w:sz w:val="22"/>
                <w:szCs w:val="22"/>
              </w:rPr>
              <w:t>Урок 53</w:t>
            </w:r>
          </w:p>
        </w:tc>
        <w:tc>
          <w:tcPr>
            <w:tcW w:w="7937" w:type="dxa"/>
          </w:tcPr>
          <w:p w14:paraId="235306E3">
            <w:pPr>
              <w:pStyle w:val="85"/>
              <w:jc w:val="both"/>
              <w:rPr>
                <w:color w:val="auto"/>
                <w:sz w:val="22"/>
                <w:szCs w:val="22"/>
              </w:rPr>
            </w:pPr>
            <w:r>
              <w:rPr>
                <w:color w:val="auto"/>
                <w:sz w:val="22"/>
                <w:szCs w:val="22"/>
              </w:rPr>
              <w:t>Письмо строчной и заглавной букв Й, й</w:t>
            </w:r>
          </w:p>
        </w:tc>
      </w:tr>
      <w:tr w14:paraId="43AB09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732666D7">
            <w:pPr>
              <w:pStyle w:val="85"/>
              <w:jc w:val="center"/>
              <w:rPr>
                <w:color w:val="auto"/>
                <w:sz w:val="22"/>
                <w:szCs w:val="22"/>
              </w:rPr>
            </w:pPr>
            <w:r>
              <w:rPr>
                <w:color w:val="auto"/>
                <w:sz w:val="22"/>
                <w:szCs w:val="22"/>
              </w:rPr>
              <w:t>Урок 54</w:t>
            </w:r>
          </w:p>
        </w:tc>
        <w:tc>
          <w:tcPr>
            <w:tcW w:w="7937" w:type="dxa"/>
          </w:tcPr>
          <w:p w14:paraId="5C9B79F2">
            <w:pPr>
              <w:pStyle w:val="85"/>
              <w:jc w:val="both"/>
              <w:rPr>
                <w:color w:val="auto"/>
                <w:sz w:val="22"/>
                <w:szCs w:val="22"/>
              </w:rPr>
            </w:pPr>
            <w:r>
              <w:rPr>
                <w:color w:val="auto"/>
                <w:sz w:val="22"/>
                <w:szCs w:val="22"/>
              </w:rPr>
              <w:t>Закрепление написания строчной и заглавной букв Й, й</w:t>
            </w:r>
          </w:p>
        </w:tc>
      </w:tr>
      <w:tr w14:paraId="5ED152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3AB0C99F">
            <w:pPr>
              <w:pStyle w:val="85"/>
              <w:jc w:val="center"/>
              <w:rPr>
                <w:color w:val="auto"/>
                <w:sz w:val="22"/>
                <w:szCs w:val="22"/>
              </w:rPr>
            </w:pPr>
            <w:r>
              <w:rPr>
                <w:color w:val="auto"/>
                <w:sz w:val="22"/>
                <w:szCs w:val="22"/>
              </w:rPr>
              <w:t>Урок 55</w:t>
            </w:r>
          </w:p>
        </w:tc>
        <w:tc>
          <w:tcPr>
            <w:tcW w:w="7937" w:type="dxa"/>
          </w:tcPr>
          <w:p w14:paraId="00E431EA">
            <w:pPr>
              <w:pStyle w:val="85"/>
              <w:jc w:val="both"/>
              <w:rPr>
                <w:color w:val="auto"/>
                <w:sz w:val="22"/>
                <w:szCs w:val="22"/>
              </w:rPr>
            </w:pPr>
            <w:r>
              <w:rPr>
                <w:color w:val="auto"/>
                <w:sz w:val="22"/>
                <w:szCs w:val="22"/>
              </w:rPr>
              <w:t>Звуковой анализ слов, работа со звуковыми моделями слов</w:t>
            </w:r>
          </w:p>
        </w:tc>
      </w:tr>
      <w:tr w14:paraId="4D3770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07FDD2ED">
            <w:pPr>
              <w:pStyle w:val="85"/>
              <w:jc w:val="center"/>
              <w:rPr>
                <w:color w:val="auto"/>
                <w:sz w:val="22"/>
                <w:szCs w:val="22"/>
              </w:rPr>
            </w:pPr>
            <w:r>
              <w:rPr>
                <w:color w:val="auto"/>
                <w:sz w:val="22"/>
                <w:szCs w:val="22"/>
              </w:rPr>
              <w:t>Урок 56</w:t>
            </w:r>
          </w:p>
        </w:tc>
        <w:tc>
          <w:tcPr>
            <w:tcW w:w="7937" w:type="dxa"/>
          </w:tcPr>
          <w:p w14:paraId="03207481">
            <w:pPr>
              <w:pStyle w:val="85"/>
              <w:jc w:val="both"/>
              <w:rPr>
                <w:color w:val="auto"/>
                <w:sz w:val="22"/>
                <w:szCs w:val="22"/>
              </w:rPr>
            </w:pPr>
            <w:r>
              <w:rPr>
                <w:color w:val="auto"/>
                <w:sz w:val="22"/>
                <w:szCs w:val="22"/>
              </w:rPr>
              <w:t>Письмо строчной и заглавной букв Г, г</w:t>
            </w:r>
          </w:p>
        </w:tc>
      </w:tr>
      <w:tr w14:paraId="4005C4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52213471">
            <w:pPr>
              <w:pStyle w:val="85"/>
              <w:jc w:val="center"/>
              <w:rPr>
                <w:color w:val="auto"/>
                <w:sz w:val="22"/>
                <w:szCs w:val="22"/>
              </w:rPr>
            </w:pPr>
            <w:r>
              <w:rPr>
                <w:color w:val="auto"/>
                <w:sz w:val="22"/>
                <w:szCs w:val="22"/>
              </w:rPr>
              <w:t>Урок 57</w:t>
            </w:r>
          </w:p>
        </w:tc>
        <w:tc>
          <w:tcPr>
            <w:tcW w:w="7937" w:type="dxa"/>
          </w:tcPr>
          <w:p w14:paraId="01B15171">
            <w:pPr>
              <w:pStyle w:val="85"/>
              <w:jc w:val="both"/>
              <w:rPr>
                <w:color w:val="auto"/>
                <w:sz w:val="22"/>
                <w:szCs w:val="22"/>
              </w:rPr>
            </w:pPr>
            <w:r>
              <w:rPr>
                <w:color w:val="auto"/>
                <w:sz w:val="22"/>
                <w:szCs w:val="22"/>
              </w:rPr>
              <w:t>Закрепление написания строчной и заглавной букв Г, г</w:t>
            </w:r>
          </w:p>
        </w:tc>
      </w:tr>
      <w:tr w14:paraId="6A16D2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28DFF34E">
            <w:pPr>
              <w:pStyle w:val="85"/>
              <w:jc w:val="center"/>
              <w:rPr>
                <w:color w:val="auto"/>
                <w:sz w:val="22"/>
                <w:szCs w:val="22"/>
              </w:rPr>
            </w:pPr>
            <w:r>
              <w:rPr>
                <w:color w:val="auto"/>
                <w:sz w:val="22"/>
                <w:szCs w:val="22"/>
              </w:rPr>
              <w:t>Урок 58</w:t>
            </w:r>
          </w:p>
        </w:tc>
        <w:tc>
          <w:tcPr>
            <w:tcW w:w="7937" w:type="dxa"/>
          </w:tcPr>
          <w:p w14:paraId="2727380B">
            <w:pPr>
              <w:pStyle w:val="85"/>
              <w:jc w:val="both"/>
              <w:rPr>
                <w:color w:val="auto"/>
                <w:sz w:val="22"/>
                <w:szCs w:val="22"/>
              </w:rPr>
            </w:pPr>
            <w:r>
              <w:rPr>
                <w:color w:val="auto"/>
                <w:sz w:val="22"/>
                <w:szCs w:val="22"/>
              </w:rPr>
              <w:t>Письмо строчной и заглавной букв К, к</w:t>
            </w:r>
          </w:p>
        </w:tc>
      </w:tr>
      <w:tr w14:paraId="5BC4F7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134" w:type="dxa"/>
            <w:vAlign w:val="center"/>
          </w:tcPr>
          <w:p w14:paraId="4BD1BBBA">
            <w:pPr>
              <w:pStyle w:val="85"/>
              <w:jc w:val="center"/>
              <w:rPr>
                <w:color w:val="auto"/>
                <w:sz w:val="22"/>
                <w:szCs w:val="22"/>
              </w:rPr>
            </w:pPr>
            <w:r>
              <w:rPr>
                <w:color w:val="auto"/>
                <w:sz w:val="22"/>
                <w:szCs w:val="22"/>
              </w:rPr>
              <w:t>Урок 59</w:t>
            </w:r>
          </w:p>
        </w:tc>
        <w:tc>
          <w:tcPr>
            <w:tcW w:w="7937" w:type="dxa"/>
          </w:tcPr>
          <w:p w14:paraId="4577F97B">
            <w:pPr>
              <w:pStyle w:val="85"/>
              <w:jc w:val="both"/>
              <w:rPr>
                <w:color w:val="auto"/>
                <w:sz w:val="22"/>
                <w:szCs w:val="22"/>
              </w:rPr>
            </w:pPr>
            <w:r>
              <w:rPr>
                <w:color w:val="auto"/>
                <w:sz w:val="22"/>
                <w:szCs w:val="22"/>
              </w:rPr>
              <w:t>Закрепление написания строчной и заглавной букв К, к</w:t>
            </w:r>
          </w:p>
        </w:tc>
      </w:tr>
      <w:tr w14:paraId="2FF675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5DA07828">
            <w:pPr>
              <w:pStyle w:val="85"/>
              <w:jc w:val="center"/>
              <w:rPr>
                <w:color w:val="auto"/>
                <w:sz w:val="22"/>
                <w:szCs w:val="22"/>
              </w:rPr>
            </w:pPr>
            <w:r>
              <w:rPr>
                <w:color w:val="auto"/>
                <w:sz w:val="22"/>
                <w:szCs w:val="22"/>
              </w:rPr>
              <w:t>Урок 60</w:t>
            </w:r>
          </w:p>
        </w:tc>
        <w:tc>
          <w:tcPr>
            <w:tcW w:w="7937" w:type="dxa"/>
          </w:tcPr>
          <w:p w14:paraId="47F58693">
            <w:pPr>
              <w:pStyle w:val="85"/>
              <w:jc w:val="both"/>
              <w:rPr>
                <w:color w:val="auto"/>
                <w:sz w:val="22"/>
                <w:szCs w:val="22"/>
              </w:rPr>
            </w:pPr>
            <w:r>
              <w:rPr>
                <w:color w:val="auto"/>
                <w:sz w:val="22"/>
                <w:szCs w:val="22"/>
              </w:rPr>
              <w:t>Подбор слов, соответствующих заданной модели</w:t>
            </w:r>
          </w:p>
        </w:tc>
      </w:tr>
      <w:tr w14:paraId="3224EC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69C59F7F">
            <w:pPr>
              <w:pStyle w:val="85"/>
              <w:jc w:val="center"/>
              <w:rPr>
                <w:color w:val="auto"/>
                <w:sz w:val="22"/>
                <w:szCs w:val="22"/>
              </w:rPr>
            </w:pPr>
            <w:r>
              <w:rPr>
                <w:color w:val="auto"/>
                <w:sz w:val="22"/>
                <w:szCs w:val="22"/>
              </w:rPr>
              <w:t>Урок 61</w:t>
            </w:r>
          </w:p>
        </w:tc>
        <w:tc>
          <w:tcPr>
            <w:tcW w:w="7937" w:type="dxa"/>
          </w:tcPr>
          <w:p w14:paraId="6445986D">
            <w:pPr>
              <w:pStyle w:val="85"/>
              <w:jc w:val="both"/>
              <w:rPr>
                <w:color w:val="auto"/>
                <w:sz w:val="22"/>
                <w:szCs w:val="22"/>
              </w:rPr>
            </w:pPr>
            <w:r>
              <w:rPr>
                <w:color w:val="auto"/>
                <w:sz w:val="22"/>
                <w:szCs w:val="22"/>
              </w:rPr>
              <w:t>Письмо строчной и заглавной букв 3, з</w:t>
            </w:r>
          </w:p>
        </w:tc>
      </w:tr>
      <w:tr w14:paraId="34D1F6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3FEA338B">
            <w:pPr>
              <w:pStyle w:val="85"/>
              <w:jc w:val="center"/>
              <w:rPr>
                <w:color w:val="auto"/>
                <w:sz w:val="22"/>
                <w:szCs w:val="22"/>
              </w:rPr>
            </w:pPr>
            <w:r>
              <w:rPr>
                <w:color w:val="auto"/>
                <w:sz w:val="22"/>
                <w:szCs w:val="22"/>
              </w:rPr>
              <w:t>Урок 62</w:t>
            </w:r>
          </w:p>
        </w:tc>
        <w:tc>
          <w:tcPr>
            <w:tcW w:w="7937" w:type="dxa"/>
          </w:tcPr>
          <w:p w14:paraId="4E09866F">
            <w:pPr>
              <w:pStyle w:val="85"/>
              <w:jc w:val="both"/>
              <w:rPr>
                <w:color w:val="auto"/>
                <w:sz w:val="22"/>
                <w:szCs w:val="22"/>
              </w:rPr>
            </w:pPr>
            <w:r>
              <w:rPr>
                <w:color w:val="auto"/>
                <w:sz w:val="22"/>
                <w:szCs w:val="22"/>
              </w:rPr>
              <w:t>Закрепление написания строчной и заглавной букв 3, з</w:t>
            </w:r>
          </w:p>
        </w:tc>
      </w:tr>
      <w:tr w14:paraId="3D5E59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252A37C1">
            <w:pPr>
              <w:pStyle w:val="85"/>
              <w:jc w:val="center"/>
              <w:rPr>
                <w:color w:val="auto"/>
                <w:sz w:val="22"/>
                <w:szCs w:val="22"/>
              </w:rPr>
            </w:pPr>
            <w:r>
              <w:rPr>
                <w:color w:val="auto"/>
                <w:sz w:val="22"/>
                <w:szCs w:val="22"/>
              </w:rPr>
              <w:t>Урок 63</w:t>
            </w:r>
          </w:p>
        </w:tc>
        <w:tc>
          <w:tcPr>
            <w:tcW w:w="7937" w:type="dxa"/>
          </w:tcPr>
          <w:p w14:paraId="7780BB56">
            <w:pPr>
              <w:pStyle w:val="85"/>
              <w:jc w:val="both"/>
              <w:rPr>
                <w:color w:val="auto"/>
                <w:sz w:val="22"/>
                <w:szCs w:val="22"/>
              </w:rPr>
            </w:pPr>
            <w:r>
              <w:rPr>
                <w:color w:val="auto"/>
                <w:sz w:val="22"/>
                <w:szCs w:val="22"/>
              </w:rPr>
              <w:t>Письмо строчной и заглавной букв С, с</w:t>
            </w:r>
          </w:p>
        </w:tc>
      </w:tr>
      <w:tr w14:paraId="6783E0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4F3032B0">
            <w:pPr>
              <w:pStyle w:val="85"/>
              <w:jc w:val="center"/>
              <w:rPr>
                <w:color w:val="auto"/>
                <w:sz w:val="22"/>
                <w:szCs w:val="22"/>
              </w:rPr>
            </w:pPr>
            <w:r>
              <w:rPr>
                <w:color w:val="auto"/>
                <w:sz w:val="22"/>
                <w:szCs w:val="22"/>
              </w:rPr>
              <w:t>Урок 64</w:t>
            </w:r>
          </w:p>
        </w:tc>
        <w:tc>
          <w:tcPr>
            <w:tcW w:w="7937" w:type="dxa"/>
          </w:tcPr>
          <w:p w14:paraId="318AAFD1">
            <w:pPr>
              <w:pStyle w:val="85"/>
              <w:jc w:val="both"/>
              <w:rPr>
                <w:color w:val="auto"/>
                <w:sz w:val="22"/>
                <w:szCs w:val="22"/>
              </w:rPr>
            </w:pPr>
            <w:r>
              <w:rPr>
                <w:color w:val="auto"/>
                <w:sz w:val="22"/>
                <w:szCs w:val="22"/>
              </w:rPr>
              <w:t>Закрепление написания строчной и заглавной букв С, с</w:t>
            </w:r>
          </w:p>
        </w:tc>
      </w:tr>
      <w:tr w14:paraId="6D4419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13858DD6">
            <w:pPr>
              <w:pStyle w:val="85"/>
              <w:jc w:val="center"/>
              <w:rPr>
                <w:color w:val="auto"/>
                <w:sz w:val="22"/>
                <w:szCs w:val="22"/>
              </w:rPr>
            </w:pPr>
            <w:r>
              <w:rPr>
                <w:color w:val="auto"/>
                <w:sz w:val="22"/>
                <w:szCs w:val="22"/>
              </w:rPr>
              <w:t>Урок 65</w:t>
            </w:r>
          </w:p>
        </w:tc>
        <w:tc>
          <w:tcPr>
            <w:tcW w:w="7937" w:type="dxa"/>
          </w:tcPr>
          <w:p w14:paraId="3BF8FB4E">
            <w:pPr>
              <w:pStyle w:val="85"/>
              <w:jc w:val="both"/>
              <w:rPr>
                <w:color w:val="auto"/>
                <w:sz w:val="22"/>
                <w:szCs w:val="22"/>
              </w:rPr>
            </w:pPr>
            <w:r>
              <w:rPr>
                <w:color w:val="auto"/>
                <w:sz w:val="22"/>
                <w:szCs w:val="22"/>
              </w:rPr>
              <w:t>Особенность согласных звуков, обозначаемых изучаемыми буквами: парные по звонкости-глухости согласные</w:t>
            </w:r>
          </w:p>
        </w:tc>
      </w:tr>
      <w:tr w14:paraId="6A8584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2E113D37">
            <w:pPr>
              <w:pStyle w:val="85"/>
              <w:jc w:val="center"/>
              <w:rPr>
                <w:color w:val="auto"/>
                <w:sz w:val="22"/>
                <w:szCs w:val="22"/>
              </w:rPr>
            </w:pPr>
            <w:r>
              <w:rPr>
                <w:color w:val="auto"/>
                <w:sz w:val="22"/>
                <w:szCs w:val="22"/>
              </w:rPr>
              <w:t>Урок 66</w:t>
            </w:r>
          </w:p>
        </w:tc>
        <w:tc>
          <w:tcPr>
            <w:tcW w:w="7937" w:type="dxa"/>
          </w:tcPr>
          <w:p w14:paraId="5183A06F">
            <w:pPr>
              <w:pStyle w:val="85"/>
              <w:jc w:val="both"/>
              <w:rPr>
                <w:color w:val="auto"/>
                <w:sz w:val="22"/>
                <w:szCs w:val="22"/>
              </w:rPr>
            </w:pPr>
            <w:r>
              <w:rPr>
                <w:color w:val="auto"/>
                <w:sz w:val="22"/>
                <w:szCs w:val="22"/>
              </w:rPr>
              <w:t>Письмо строчной и заглавной букв Д, д</w:t>
            </w:r>
          </w:p>
        </w:tc>
      </w:tr>
      <w:tr w14:paraId="6EE5FD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59EE1B65">
            <w:pPr>
              <w:pStyle w:val="85"/>
              <w:jc w:val="center"/>
              <w:rPr>
                <w:color w:val="auto"/>
                <w:sz w:val="22"/>
                <w:szCs w:val="22"/>
              </w:rPr>
            </w:pPr>
            <w:r>
              <w:rPr>
                <w:color w:val="auto"/>
                <w:sz w:val="22"/>
                <w:szCs w:val="22"/>
              </w:rPr>
              <w:t>Урок 67</w:t>
            </w:r>
          </w:p>
        </w:tc>
        <w:tc>
          <w:tcPr>
            <w:tcW w:w="7937" w:type="dxa"/>
          </w:tcPr>
          <w:p w14:paraId="1CB5ED00">
            <w:pPr>
              <w:pStyle w:val="85"/>
              <w:jc w:val="both"/>
              <w:rPr>
                <w:color w:val="auto"/>
                <w:sz w:val="22"/>
                <w:szCs w:val="22"/>
              </w:rPr>
            </w:pPr>
            <w:r>
              <w:rPr>
                <w:color w:val="auto"/>
                <w:sz w:val="22"/>
                <w:szCs w:val="22"/>
              </w:rPr>
              <w:t>Закрепление написания строчной и заглавной букв Д, д</w:t>
            </w:r>
          </w:p>
        </w:tc>
      </w:tr>
      <w:tr w14:paraId="7BEA39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719A71C4">
            <w:pPr>
              <w:pStyle w:val="85"/>
              <w:jc w:val="center"/>
              <w:rPr>
                <w:color w:val="auto"/>
                <w:sz w:val="22"/>
                <w:szCs w:val="22"/>
              </w:rPr>
            </w:pPr>
            <w:r>
              <w:rPr>
                <w:color w:val="auto"/>
                <w:sz w:val="22"/>
                <w:szCs w:val="22"/>
              </w:rPr>
              <w:t>Урок 68</w:t>
            </w:r>
          </w:p>
        </w:tc>
        <w:tc>
          <w:tcPr>
            <w:tcW w:w="7937" w:type="dxa"/>
          </w:tcPr>
          <w:p w14:paraId="7439DF5D">
            <w:pPr>
              <w:pStyle w:val="85"/>
              <w:jc w:val="both"/>
              <w:rPr>
                <w:color w:val="auto"/>
                <w:sz w:val="22"/>
                <w:szCs w:val="22"/>
              </w:rPr>
            </w:pPr>
            <w:r>
              <w:rPr>
                <w:color w:val="auto"/>
                <w:sz w:val="22"/>
                <w:szCs w:val="22"/>
              </w:rPr>
              <w:t>Письмо строчной и заглавной букв Т, т</w:t>
            </w:r>
          </w:p>
        </w:tc>
      </w:tr>
      <w:tr w14:paraId="3AD6AF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134" w:type="dxa"/>
            <w:vAlign w:val="center"/>
          </w:tcPr>
          <w:p w14:paraId="4008762A">
            <w:pPr>
              <w:pStyle w:val="85"/>
              <w:jc w:val="center"/>
              <w:rPr>
                <w:color w:val="auto"/>
                <w:sz w:val="22"/>
                <w:szCs w:val="22"/>
              </w:rPr>
            </w:pPr>
            <w:r>
              <w:rPr>
                <w:color w:val="auto"/>
                <w:sz w:val="22"/>
                <w:szCs w:val="22"/>
              </w:rPr>
              <w:t>Урок 69</w:t>
            </w:r>
          </w:p>
        </w:tc>
        <w:tc>
          <w:tcPr>
            <w:tcW w:w="7937" w:type="dxa"/>
          </w:tcPr>
          <w:p w14:paraId="57E56CA4">
            <w:pPr>
              <w:pStyle w:val="85"/>
              <w:jc w:val="both"/>
              <w:rPr>
                <w:color w:val="auto"/>
                <w:sz w:val="22"/>
                <w:szCs w:val="22"/>
              </w:rPr>
            </w:pPr>
            <w:r>
              <w:rPr>
                <w:color w:val="auto"/>
                <w:sz w:val="22"/>
                <w:szCs w:val="22"/>
              </w:rPr>
              <w:t>Закрепление написания строчной и заглавной букв Т, т</w:t>
            </w:r>
          </w:p>
        </w:tc>
      </w:tr>
      <w:tr w14:paraId="6F9971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6FD952CF">
            <w:pPr>
              <w:pStyle w:val="85"/>
              <w:jc w:val="center"/>
              <w:rPr>
                <w:color w:val="auto"/>
                <w:sz w:val="22"/>
                <w:szCs w:val="22"/>
              </w:rPr>
            </w:pPr>
            <w:r>
              <w:rPr>
                <w:color w:val="auto"/>
                <w:sz w:val="22"/>
                <w:szCs w:val="22"/>
              </w:rPr>
              <w:t>Урок 70</w:t>
            </w:r>
          </w:p>
        </w:tc>
        <w:tc>
          <w:tcPr>
            <w:tcW w:w="7937" w:type="dxa"/>
          </w:tcPr>
          <w:p w14:paraId="2F3F053F">
            <w:pPr>
              <w:pStyle w:val="85"/>
              <w:jc w:val="both"/>
              <w:rPr>
                <w:color w:val="auto"/>
                <w:sz w:val="22"/>
                <w:szCs w:val="22"/>
              </w:rPr>
            </w:pPr>
            <w:r>
              <w:rPr>
                <w:color w:val="auto"/>
                <w:sz w:val="22"/>
                <w:szCs w:val="22"/>
              </w:rPr>
              <w:t>Тренируемся подбирать слова, соответствующие заданной модели</w:t>
            </w:r>
          </w:p>
        </w:tc>
      </w:tr>
      <w:tr w14:paraId="4F271A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0300727F">
            <w:pPr>
              <w:pStyle w:val="85"/>
              <w:jc w:val="center"/>
              <w:rPr>
                <w:color w:val="auto"/>
                <w:sz w:val="22"/>
                <w:szCs w:val="22"/>
              </w:rPr>
            </w:pPr>
            <w:r>
              <w:rPr>
                <w:color w:val="auto"/>
                <w:sz w:val="22"/>
                <w:szCs w:val="22"/>
              </w:rPr>
              <w:t>Урок 71</w:t>
            </w:r>
          </w:p>
        </w:tc>
        <w:tc>
          <w:tcPr>
            <w:tcW w:w="7937" w:type="dxa"/>
          </w:tcPr>
          <w:p w14:paraId="0F3FB75C">
            <w:pPr>
              <w:pStyle w:val="85"/>
              <w:jc w:val="both"/>
              <w:rPr>
                <w:color w:val="auto"/>
                <w:sz w:val="22"/>
                <w:szCs w:val="22"/>
              </w:rPr>
            </w:pPr>
            <w:r>
              <w:rPr>
                <w:color w:val="auto"/>
                <w:sz w:val="22"/>
                <w:szCs w:val="22"/>
              </w:rPr>
              <w:t>Письмо строчной и заглавной букв Б, б</w:t>
            </w:r>
          </w:p>
        </w:tc>
      </w:tr>
      <w:tr w14:paraId="774B69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255403EB">
            <w:pPr>
              <w:pStyle w:val="85"/>
              <w:jc w:val="center"/>
              <w:rPr>
                <w:color w:val="auto"/>
                <w:sz w:val="22"/>
                <w:szCs w:val="22"/>
              </w:rPr>
            </w:pPr>
            <w:r>
              <w:rPr>
                <w:color w:val="auto"/>
                <w:sz w:val="22"/>
                <w:szCs w:val="22"/>
              </w:rPr>
              <w:t>Урок 72</w:t>
            </w:r>
          </w:p>
        </w:tc>
        <w:tc>
          <w:tcPr>
            <w:tcW w:w="7937" w:type="dxa"/>
          </w:tcPr>
          <w:p w14:paraId="21CB3383">
            <w:pPr>
              <w:pStyle w:val="85"/>
              <w:jc w:val="both"/>
              <w:rPr>
                <w:color w:val="auto"/>
                <w:sz w:val="22"/>
                <w:szCs w:val="22"/>
              </w:rPr>
            </w:pPr>
            <w:r>
              <w:rPr>
                <w:color w:val="auto"/>
                <w:sz w:val="22"/>
                <w:szCs w:val="22"/>
              </w:rPr>
              <w:t>Закрепление написания строчной и заглавной букв Б, б</w:t>
            </w:r>
          </w:p>
        </w:tc>
      </w:tr>
      <w:tr w14:paraId="5DB20B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5E0ACA77">
            <w:pPr>
              <w:pStyle w:val="85"/>
              <w:jc w:val="center"/>
              <w:rPr>
                <w:color w:val="auto"/>
                <w:sz w:val="22"/>
                <w:szCs w:val="22"/>
              </w:rPr>
            </w:pPr>
            <w:r>
              <w:rPr>
                <w:color w:val="auto"/>
                <w:sz w:val="22"/>
                <w:szCs w:val="22"/>
              </w:rPr>
              <w:t>Урок 73</w:t>
            </w:r>
          </w:p>
        </w:tc>
        <w:tc>
          <w:tcPr>
            <w:tcW w:w="7937" w:type="dxa"/>
          </w:tcPr>
          <w:p w14:paraId="0ADD63C3">
            <w:pPr>
              <w:pStyle w:val="85"/>
              <w:jc w:val="both"/>
              <w:rPr>
                <w:color w:val="auto"/>
                <w:sz w:val="22"/>
                <w:szCs w:val="22"/>
              </w:rPr>
            </w:pPr>
            <w:r>
              <w:rPr>
                <w:color w:val="auto"/>
                <w:sz w:val="22"/>
                <w:szCs w:val="22"/>
              </w:rPr>
              <w:t>Письмо строчной и заглавной букв П, п</w:t>
            </w:r>
          </w:p>
        </w:tc>
      </w:tr>
      <w:tr w14:paraId="357448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09794DD9">
            <w:pPr>
              <w:pStyle w:val="85"/>
              <w:jc w:val="center"/>
              <w:rPr>
                <w:color w:val="auto"/>
                <w:sz w:val="22"/>
                <w:szCs w:val="22"/>
              </w:rPr>
            </w:pPr>
            <w:r>
              <w:rPr>
                <w:color w:val="auto"/>
                <w:sz w:val="22"/>
                <w:szCs w:val="22"/>
              </w:rPr>
              <w:t>Урок 74</w:t>
            </w:r>
          </w:p>
        </w:tc>
        <w:tc>
          <w:tcPr>
            <w:tcW w:w="7937" w:type="dxa"/>
          </w:tcPr>
          <w:p w14:paraId="4043DAB0">
            <w:pPr>
              <w:pStyle w:val="85"/>
              <w:jc w:val="both"/>
              <w:rPr>
                <w:color w:val="auto"/>
                <w:sz w:val="22"/>
                <w:szCs w:val="22"/>
              </w:rPr>
            </w:pPr>
            <w:r>
              <w:rPr>
                <w:color w:val="auto"/>
                <w:sz w:val="22"/>
                <w:szCs w:val="22"/>
              </w:rPr>
              <w:t>Закрепление написания строчной и заглавной букв П, п</w:t>
            </w:r>
          </w:p>
        </w:tc>
      </w:tr>
      <w:tr w14:paraId="11C3C5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2A169D8D">
            <w:pPr>
              <w:pStyle w:val="85"/>
              <w:jc w:val="center"/>
              <w:rPr>
                <w:color w:val="auto"/>
                <w:sz w:val="22"/>
                <w:szCs w:val="22"/>
              </w:rPr>
            </w:pPr>
            <w:r>
              <w:rPr>
                <w:color w:val="auto"/>
                <w:sz w:val="22"/>
                <w:szCs w:val="22"/>
              </w:rPr>
              <w:t>Урок 75</w:t>
            </w:r>
          </w:p>
        </w:tc>
        <w:tc>
          <w:tcPr>
            <w:tcW w:w="7937" w:type="dxa"/>
          </w:tcPr>
          <w:p w14:paraId="0F1C68D4">
            <w:pPr>
              <w:pStyle w:val="85"/>
              <w:jc w:val="both"/>
              <w:rPr>
                <w:color w:val="auto"/>
                <w:sz w:val="22"/>
                <w:szCs w:val="22"/>
              </w:rPr>
            </w:pPr>
            <w:r>
              <w:rPr>
                <w:color w:val="auto"/>
                <w:sz w:val="22"/>
                <w:szCs w:val="22"/>
              </w:rPr>
              <w:t>Отрабатываем умение проводить звуковой анализ</w:t>
            </w:r>
          </w:p>
        </w:tc>
      </w:tr>
      <w:tr w14:paraId="1A78DA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09C629A9">
            <w:pPr>
              <w:pStyle w:val="85"/>
              <w:jc w:val="center"/>
              <w:rPr>
                <w:color w:val="auto"/>
                <w:sz w:val="22"/>
                <w:szCs w:val="22"/>
              </w:rPr>
            </w:pPr>
            <w:r>
              <w:rPr>
                <w:color w:val="auto"/>
                <w:sz w:val="22"/>
                <w:szCs w:val="22"/>
              </w:rPr>
              <w:t>Урок 76</w:t>
            </w:r>
          </w:p>
        </w:tc>
        <w:tc>
          <w:tcPr>
            <w:tcW w:w="7937" w:type="dxa"/>
          </w:tcPr>
          <w:p w14:paraId="4AF1FC73">
            <w:pPr>
              <w:pStyle w:val="85"/>
              <w:jc w:val="both"/>
              <w:rPr>
                <w:color w:val="auto"/>
                <w:sz w:val="22"/>
                <w:szCs w:val="22"/>
              </w:rPr>
            </w:pPr>
            <w:r>
              <w:rPr>
                <w:color w:val="auto"/>
                <w:sz w:val="22"/>
                <w:szCs w:val="22"/>
              </w:rPr>
              <w:t>Письмо строчной и заглавной букв В, в</w:t>
            </w:r>
          </w:p>
        </w:tc>
      </w:tr>
      <w:tr w14:paraId="6ADE57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09894F9A">
            <w:pPr>
              <w:pStyle w:val="85"/>
              <w:jc w:val="center"/>
              <w:rPr>
                <w:color w:val="auto"/>
                <w:sz w:val="22"/>
                <w:szCs w:val="22"/>
              </w:rPr>
            </w:pPr>
            <w:r>
              <w:rPr>
                <w:color w:val="auto"/>
                <w:sz w:val="22"/>
                <w:szCs w:val="22"/>
              </w:rPr>
              <w:t>Урок 77</w:t>
            </w:r>
          </w:p>
        </w:tc>
        <w:tc>
          <w:tcPr>
            <w:tcW w:w="7937" w:type="dxa"/>
          </w:tcPr>
          <w:p w14:paraId="69F54B0E">
            <w:pPr>
              <w:pStyle w:val="85"/>
              <w:jc w:val="both"/>
              <w:rPr>
                <w:color w:val="auto"/>
                <w:sz w:val="22"/>
                <w:szCs w:val="22"/>
              </w:rPr>
            </w:pPr>
            <w:r>
              <w:rPr>
                <w:color w:val="auto"/>
                <w:sz w:val="22"/>
                <w:szCs w:val="22"/>
              </w:rPr>
              <w:t>Закрепление написания строчной и заглавной букв В, в</w:t>
            </w:r>
          </w:p>
        </w:tc>
      </w:tr>
      <w:tr w14:paraId="5B63C1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6FC8CADC">
            <w:pPr>
              <w:pStyle w:val="85"/>
              <w:jc w:val="center"/>
              <w:rPr>
                <w:color w:val="auto"/>
                <w:sz w:val="22"/>
                <w:szCs w:val="22"/>
              </w:rPr>
            </w:pPr>
            <w:r>
              <w:rPr>
                <w:color w:val="auto"/>
                <w:sz w:val="22"/>
                <w:szCs w:val="22"/>
              </w:rPr>
              <w:t>Урок 78</w:t>
            </w:r>
          </w:p>
        </w:tc>
        <w:tc>
          <w:tcPr>
            <w:tcW w:w="7937" w:type="dxa"/>
          </w:tcPr>
          <w:p w14:paraId="61B4E4F0">
            <w:pPr>
              <w:pStyle w:val="85"/>
              <w:jc w:val="both"/>
              <w:rPr>
                <w:color w:val="auto"/>
                <w:sz w:val="22"/>
                <w:szCs w:val="22"/>
              </w:rPr>
            </w:pPr>
            <w:r>
              <w:rPr>
                <w:color w:val="auto"/>
                <w:sz w:val="22"/>
                <w:szCs w:val="22"/>
              </w:rPr>
              <w:t>Письмо строчной и заглавной букв Ф, ф</w:t>
            </w:r>
          </w:p>
        </w:tc>
      </w:tr>
      <w:tr w14:paraId="689D50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7690DE90">
            <w:pPr>
              <w:pStyle w:val="85"/>
              <w:jc w:val="center"/>
              <w:rPr>
                <w:color w:val="auto"/>
                <w:sz w:val="22"/>
                <w:szCs w:val="22"/>
              </w:rPr>
            </w:pPr>
            <w:r>
              <w:rPr>
                <w:color w:val="auto"/>
                <w:sz w:val="22"/>
                <w:szCs w:val="22"/>
              </w:rPr>
              <w:t>Урок 79</w:t>
            </w:r>
          </w:p>
        </w:tc>
        <w:tc>
          <w:tcPr>
            <w:tcW w:w="7937" w:type="dxa"/>
          </w:tcPr>
          <w:p w14:paraId="681D9F68">
            <w:pPr>
              <w:pStyle w:val="85"/>
              <w:jc w:val="both"/>
              <w:rPr>
                <w:color w:val="auto"/>
                <w:sz w:val="22"/>
                <w:szCs w:val="22"/>
              </w:rPr>
            </w:pPr>
            <w:r>
              <w:rPr>
                <w:color w:val="auto"/>
                <w:sz w:val="22"/>
                <w:szCs w:val="22"/>
              </w:rPr>
              <w:t>Закрепление написания строчной и заглавной букв Ф, ф</w:t>
            </w:r>
          </w:p>
        </w:tc>
      </w:tr>
      <w:tr w14:paraId="7B1790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54154BF6">
            <w:pPr>
              <w:pStyle w:val="85"/>
              <w:jc w:val="center"/>
              <w:rPr>
                <w:color w:val="auto"/>
                <w:sz w:val="22"/>
                <w:szCs w:val="22"/>
              </w:rPr>
            </w:pPr>
            <w:r>
              <w:rPr>
                <w:color w:val="auto"/>
                <w:sz w:val="22"/>
                <w:szCs w:val="22"/>
              </w:rPr>
              <w:t>Урок 80</w:t>
            </w:r>
          </w:p>
        </w:tc>
        <w:tc>
          <w:tcPr>
            <w:tcW w:w="7937" w:type="dxa"/>
          </w:tcPr>
          <w:p w14:paraId="09325001">
            <w:pPr>
              <w:pStyle w:val="85"/>
              <w:jc w:val="both"/>
              <w:rPr>
                <w:color w:val="auto"/>
                <w:sz w:val="22"/>
                <w:szCs w:val="22"/>
              </w:rPr>
            </w:pPr>
            <w:r>
              <w:rPr>
                <w:color w:val="auto"/>
                <w:sz w:val="22"/>
                <w:szCs w:val="22"/>
              </w:rPr>
              <w:t>Различаем звонкие и глухие согласные</w:t>
            </w:r>
          </w:p>
        </w:tc>
      </w:tr>
      <w:tr w14:paraId="78D31E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207438ED">
            <w:pPr>
              <w:pStyle w:val="85"/>
              <w:jc w:val="center"/>
              <w:rPr>
                <w:color w:val="auto"/>
                <w:sz w:val="22"/>
                <w:szCs w:val="22"/>
              </w:rPr>
            </w:pPr>
            <w:r>
              <w:rPr>
                <w:color w:val="auto"/>
                <w:sz w:val="22"/>
                <w:szCs w:val="22"/>
              </w:rPr>
              <w:t>Урок 81</w:t>
            </w:r>
          </w:p>
        </w:tc>
        <w:tc>
          <w:tcPr>
            <w:tcW w:w="7937" w:type="dxa"/>
          </w:tcPr>
          <w:p w14:paraId="386826B6">
            <w:pPr>
              <w:pStyle w:val="85"/>
              <w:jc w:val="both"/>
              <w:rPr>
                <w:color w:val="auto"/>
                <w:sz w:val="22"/>
                <w:szCs w:val="22"/>
              </w:rPr>
            </w:pPr>
            <w:r>
              <w:rPr>
                <w:color w:val="auto"/>
                <w:sz w:val="22"/>
                <w:szCs w:val="22"/>
              </w:rPr>
              <w:t>Письмо строчной и заглавной букв Ж, ж</w:t>
            </w:r>
          </w:p>
        </w:tc>
      </w:tr>
      <w:tr w14:paraId="6FCADE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5149EF6A">
            <w:pPr>
              <w:pStyle w:val="85"/>
              <w:jc w:val="center"/>
              <w:rPr>
                <w:color w:val="auto"/>
                <w:sz w:val="22"/>
                <w:szCs w:val="22"/>
              </w:rPr>
            </w:pPr>
            <w:r>
              <w:rPr>
                <w:color w:val="auto"/>
                <w:sz w:val="22"/>
                <w:szCs w:val="22"/>
              </w:rPr>
              <w:t>Урок 82</w:t>
            </w:r>
          </w:p>
        </w:tc>
        <w:tc>
          <w:tcPr>
            <w:tcW w:w="7937" w:type="dxa"/>
          </w:tcPr>
          <w:p w14:paraId="7DE13AB2">
            <w:pPr>
              <w:pStyle w:val="85"/>
              <w:jc w:val="both"/>
              <w:rPr>
                <w:color w:val="auto"/>
                <w:sz w:val="22"/>
                <w:szCs w:val="22"/>
              </w:rPr>
            </w:pPr>
            <w:r>
              <w:rPr>
                <w:color w:val="auto"/>
                <w:sz w:val="22"/>
                <w:szCs w:val="22"/>
              </w:rPr>
              <w:t>Закрепление написания строчной и заглавной букв Ж, ж</w:t>
            </w:r>
          </w:p>
        </w:tc>
      </w:tr>
      <w:tr w14:paraId="2E7087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141F615C">
            <w:pPr>
              <w:pStyle w:val="85"/>
              <w:jc w:val="center"/>
              <w:rPr>
                <w:color w:val="auto"/>
                <w:sz w:val="22"/>
                <w:szCs w:val="22"/>
              </w:rPr>
            </w:pPr>
            <w:r>
              <w:rPr>
                <w:color w:val="auto"/>
                <w:sz w:val="22"/>
                <w:szCs w:val="22"/>
              </w:rPr>
              <w:t>Урок 83</w:t>
            </w:r>
          </w:p>
        </w:tc>
        <w:tc>
          <w:tcPr>
            <w:tcW w:w="7937" w:type="dxa"/>
          </w:tcPr>
          <w:p w14:paraId="11CD63E2">
            <w:pPr>
              <w:pStyle w:val="85"/>
              <w:jc w:val="both"/>
              <w:rPr>
                <w:color w:val="auto"/>
                <w:sz w:val="22"/>
                <w:szCs w:val="22"/>
              </w:rPr>
            </w:pPr>
            <w:r>
              <w:rPr>
                <w:color w:val="auto"/>
                <w:sz w:val="22"/>
                <w:szCs w:val="22"/>
              </w:rPr>
              <w:t>Письмо строчной и заглавной букв Ш, ш</w:t>
            </w:r>
          </w:p>
        </w:tc>
      </w:tr>
      <w:tr w14:paraId="0726E9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134" w:type="dxa"/>
            <w:vAlign w:val="center"/>
          </w:tcPr>
          <w:p w14:paraId="36AE8F60">
            <w:pPr>
              <w:pStyle w:val="85"/>
              <w:jc w:val="center"/>
              <w:rPr>
                <w:color w:val="auto"/>
                <w:sz w:val="22"/>
                <w:szCs w:val="22"/>
              </w:rPr>
            </w:pPr>
            <w:r>
              <w:rPr>
                <w:color w:val="auto"/>
                <w:sz w:val="22"/>
                <w:szCs w:val="22"/>
              </w:rPr>
              <w:t>Урок 84</w:t>
            </w:r>
          </w:p>
        </w:tc>
        <w:tc>
          <w:tcPr>
            <w:tcW w:w="7937" w:type="dxa"/>
          </w:tcPr>
          <w:p w14:paraId="2AACB72F">
            <w:pPr>
              <w:pStyle w:val="85"/>
              <w:jc w:val="both"/>
              <w:rPr>
                <w:color w:val="auto"/>
                <w:sz w:val="22"/>
                <w:szCs w:val="22"/>
              </w:rPr>
            </w:pPr>
            <w:r>
              <w:rPr>
                <w:color w:val="auto"/>
                <w:sz w:val="22"/>
                <w:szCs w:val="22"/>
              </w:rPr>
              <w:t>Закрепление написания строчной и заглавной букв Ш, ш</w:t>
            </w:r>
          </w:p>
        </w:tc>
      </w:tr>
      <w:tr w14:paraId="519B8E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2D01FFBE">
            <w:pPr>
              <w:pStyle w:val="85"/>
              <w:jc w:val="center"/>
              <w:rPr>
                <w:color w:val="auto"/>
                <w:sz w:val="22"/>
                <w:szCs w:val="22"/>
              </w:rPr>
            </w:pPr>
            <w:r>
              <w:rPr>
                <w:color w:val="auto"/>
                <w:sz w:val="22"/>
                <w:szCs w:val="22"/>
              </w:rPr>
              <w:t>Урок 85</w:t>
            </w:r>
          </w:p>
        </w:tc>
        <w:tc>
          <w:tcPr>
            <w:tcW w:w="7937" w:type="dxa"/>
          </w:tcPr>
          <w:p w14:paraId="0D42A1C9">
            <w:pPr>
              <w:pStyle w:val="85"/>
              <w:jc w:val="both"/>
              <w:rPr>
                <w:color w:val="auto"/>
                <w:sz w:val="22"/>
                <w:szCs w:val="22"/>
              </w:rPr>
            </w:pPr>
            <w:r>
              <w:rPr>
                <w:color w:val="auto"/>
                <w:sz w:val="22"/>
                <w:szCs w:val="22"/>
              </w:rPr>
              <w:t>Особенности шипящих звуков</w:t>
            </w:r>
          </w:p>
        </w:tc>
      </w:tr>
      <w:tr w14:paraId="7DA9CE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451F1CA8">
            <w:pPr>
              <w:pStyle w:val="85"/>
              <w:jc w:val="center"/>
              <w:rPr>
                <w:color w:val="auto"/>
                <w:sz w:val="22"/>
                <w:szCs w:val="22"/>
              </w:rPr>
            </w:pPr>
            <w:r>
              <w:rPr>
                <w:color w:val="auto"/>
                <w:sz w:val="22"/>
                <w:szCs w:val="22"/>
              </w:rPr>
              <w:t>Урок 86</w:t>
            </w:r>
          </w:p>
        </w:tc>
        <w:tc>
          <w:tcPr>
            <w:tcW w:w="7937" w:type="dxa"/>
          </w:tcPr>
          <w:p w14:paraId="18539B54">
            <w:pPr>
              <w:pStyle w:val="85"/>
              <w:jc w:val="both"/>
              <w:rPr>
                <w:color w:val="auto"/>
                <w:sz w:val="22"/>
                <w:szCs w:val="22"/>
              </w:rPr>
            </w:pPr>
            <w:r>
              <w:rPr>
                <w:color w:val="auto"/>
                <w:sz w:val="22"/>
                <w:szCs w:val="22"/>
              </w:rPr>
              <w:t>Письмо строчной и заглавной букв Ч, ч</w:t>
            </w:r>
          </w:p>
        </w:tc>
      </w:tr>
      <w:tr w14:paraId="344BE5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72ED2093">
            <w:pPr>
              <w:pStyle w:val="85"/>
              <w:jc w:val="center"/>
              <w:rPr>
                <w:color w:val="auto"/>
                <w:sz w:val="22"/>
                <w:szCs w:val="22"/>
              </w:rPr>
            </w:pPr>
            <w:r>
              <w:rPr>
                <w:color w:val="auto"/>
                <w:sz w:val="22"/>
                <w:szCs w:val="22"/>
              </w:rPr>
              <w:t>Урок 87</w:t>
            </w:r>
          </w:p>
        </w:tc>
        <w:tc>
          <w:tcPr>
            <w:tcW w:w="7937" w:type="dxa"/>
          </w:tcPr>
          <w:p w14:paraId="62AE7607">
            <w:pPr>
              <w:pStyle w:val="85"/>
              <w:jc w:val="both"/>
              <w:rPr>
                <w:color w:val="auto"/>
                <w:sz w:val="22"/>
                <w:szCs w:val="22"/>
              </w:rPr>
            </w:pPr>
            <w:r>
              <w:rPr>
                <w:color w:val="auto"/>
                <w:sz w:val="22"/>
                <w:szCs w:val="22"/>
              </w:rPr>
              <w:t>Закрепление написания строчной и заглавной букв Ч, ч</w:t>
            </w:r>
          </w:p>
        </w:tc>
      </w:tr>
      <w:tr w14:paraId="4B9990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12D16261">
            <w:pPr>
              <w:pStyle w:val="85"/>
              <w:jc w:val="center"/>
              <w:rPr>
                <w:color w:val="auto"/>
                <w:sz w:val="22"/>
                <w:szCs w:val="22"/>
              </w:rPr>
            </w:pPr>
            <w:r>
              <w:rPr>
                <w:color w:val="auto"/>
                <w:sz w:val="22"/>
                <w:szCs w:val="22"/>
              </w:rPr>
              <w:t>Урок 88</w:t>
            </w:r>
          </w:p>
        </w:tc>
        <w:tc>
          <w:tcPr>
            <w:tcW w:w="7937" w:type="dxa"/>
          </w:tcPr>
          <w:p w14:paraId="5BE4C122">
            <w:pPr>
              <w:pStyle w:val="85"/>
              <w:jc w:val="both"/>
              <w:rPr>
                <w:color w:val="auto"/>
                <w:sz w:val="22"/>
                <w:szCs w:val="22"/>
              </w:rPr>
            </w:pPr>
            <w:r>
              <w:rPr>
                <w:color w:val="auto"/>
                <w:sz w:val="22"/>
                <w:szCs w:val="22"/>
              </w:rPr>
              <w:t>Письмо строчной и заглавной букв Щ, щ</w:t>
            </w:r>
          </w:p>
        </w:tc>
      </w:tr>
      <w:tr w14:paraId="4DCAB6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1C8911F1">
            <w:pPr>
              <w:pStyle w:val="85"/>
              <w:jc w:val="center"/>
              <w:rPr>
                <w:color w:val="auto"/>
                <w:sz w:val="22"/>
                <w:szCs w:val="22"/>
              </w:rPr>
            </w:pPr>
            <w:r>
              <w:rPr>
                <w:color w:val="auto"/>
                <w:sz w:val="22"/>
                <w:szCs w:val="22"/>
              </w:rPr>
              <w:t>Урок 89</w:t>
            </w:r>
          </w:p>
        </w:tc>
        <w:tc>
          <w:tcPr>
            <w:tcW w:w="7937" w:type="dxa"/>
          </w:tcPr>
          <w:p w14:paraId="1DB95EE6">
            <w:pPr>
              <w:pStyle w:val="85"/>
              <w:jc w:val="both"/>
              <w:rPr>
                <w:color w:val="auto"/>
                <w:sz w:val="22"/>
                <w:szCs w:val="22"/>
              </w:rPr>
            </w:pPr>
            <w:r>
              <w:rPr>
                <w:color w:val="auto"/>
                <w:sz w:val="22"/>
                <w:szCs w:val="22"/>
              </w:rPr>
              <w:t>Закрепление написания строчной и заглавной букв Щ, щ</w:t>
            </w:r>
          </w:p>
        </w:tc>
      </w:tr>
      <w:tr w14:paraId="2E4722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134" w:type="dxa"/>
            <w:vAlign w:val="center"/>
          </w:tcPr>
          <w:p w14:paraId="0F84D0B7">
            <w:pPr>
              <w:pStyle w:val="85"/>
              <w:jc w:val="center"/>
              <w:rPr>
                <w:color w:val="auto"/>
                <w:sz w:val="22"/>
                <w:szCs w:val="22"/>
              </w:rPr>
            </w:pPr>
            <w:r>
              <w:rPr>
                <w:color w:val="auto"/>
                <w:sz w:val="22"/>
                <w:szCs w:val="22"/>
              </w:rPr>
              <w:t>Урок 90</w:t>
            </w:r>
          </w:p>
        </w:tc>
        <w:tc>
          <w:tcPr>
            <w:tcW w:w="7937" w:type="dxa"/>
          </w:tcPr>
          <w:p w14:paraId="5937089C">
            <w:pPr>
              <w:pStyle w:val="85"/>
              <w:jc w:val="both"/>
              <w:rPr>
                <w:color w:val="auto"/>
                <w:sz w:val="22"/>
                <w:szCs w:val="22"/>
              </w:rPr>
            </w:pPr>
            <w:r>
              <w:rPr>
                <w:color w:val="auto"/>
                <w:sz w:val="22"/>
                <w:szCs w:val="22"/>
              </w:rPr>
              <w:t>Особенность согласных звуков, обозначаемых изучаемыми буквами: непарные глухие</w:t>
            </w:r>
          </w:p>
        </w:tc>
      </w:tr>
      <w:tr w14:paraId="256C87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51A0520A">
            <w:pPr>
              <w:pStyle w:val="85"/>
              <w:jc w:val="center"/>
              <w:rPr>
                <w:color w:val="auto"/>
                <w:sz w:val="22"/>
                <w:szCs w:val="22"/>
              </w:rPr>
            </w:pPr>
            <w:r>
              <w:rPr>
                <w:color w:val="auto"/>
                <w:sz w:val="22"/>
                <w:szCs w:val="22"/>
              </w:rPr>
              <w:t>Урок 91</w:t>
            </w:r>
          </w:p>
        </w:tc>
        <w:tc>
          <w:tcPr>
            <w:tcW w:w="7937" w:type="dxa"/>
          </w:tcPr>
          <w:p w14:paraId="6D82AC68">
            <w:pPr>
              <w:pStyle w:val="85"/>
              <w:jc w:val="both"/>
              <w:rPr>
                <w:color w:val="auto"/>
                <w:sz w:val="22"/>
                <w:szCs w:val="22"/>
              </w:rPr>
            </w:pPr>
            <w:r>
              <w:rPr>
                <w:color w:val="auto"/>
                <w:sz w:val="22"/>
                <w:szCs w:val="22"/>
              </w:rPr>
              <w:t>Письмо строчной и заглавной букв Х, х</w:t>
            </w:r>
          </w:p>
        </w:tc>
      </w:tr>
      <w:tr w14:paraId="0A039E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144B0CBE">
            <w:pPr>
              <w:pStyle w:val="85"/>
              <w:jc w:val="center"/>
              <w:rPr>
                <w:color w:val="auto"/>
                <w:sz w:val="22"/>
                <w:szCs w:val="22"/>
              </w:rPr>
            </w:pPr>
            <w:r>
              <w:rPr>
                <w:color w:val="auto"/>
                <w:sz w:val="22"/>
                <w:szCs w:val="22"/>
              </w:rPr>
              <w:t>Урок 92</w:t>
            </w:r>
          </w:p>
        </w:tc>
        <w:tc>
          <w:tcPr>
            <w:tcW w:w="7937" w:type="dxa"/>
          </w:tcPr>
          <w:p w14:paraId="0CFB3A71">
            <w:pPr>
              <w:pStyle w:val="85"/>
              <w:jc w:val="both"/>
              <w:rPr>
                <w:color w:val="auto"/>
                <w:sz w:val="22"/>
                <w:szCs w:val="22"/>
              </w:rPr>
            </w:pPr>
            <w:r>
              <w:rPr>
                <w:color w:val="auto"/>
                <w:sz w:val="22"/>
                <w:szCs w:val="22"/>
              </w:rPr>
              <w:t>Закрепление написания строчной и заглавной букв Х, х</w:t>
            </w:r>
          </w:p>
        </w:tc>
      </w:tr>
      <w:tr w14:paraId="5AB78D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4F3744F6">
            <w:pPr>
              <w:pStyle w:val="85"/>
              <w:jc w:val="center"/>
              <w:rPr>
                <w:color w:val="auto"/>
                <w:sz w:val="22"/>
                <w:szCs w:val="22"/>
              </w:rPr>
            </w:pPr>
            <w:r>
              <w:rPr>
                <w:color w:val="auto"/>
                <w:sz w:val="22"/>
                <w:szCs w:val="22"/>
              </w:rPr>
              <w:t>Урок 93</w:t>
            </w:r>
          </w:p>
        </w:tc>
        <w:tc>
          <w:tcPr>
            <w:tcW w:w="7937" w:type="dxa"/>
          </w:tcPr>
          <w:p w14:paraId="30FF418D">
            <w:pPr>
              <w:pStyle w:val="85"/>
              <w:jc w:val="both"/>
              <w:rPr>
                <w:color w:val="auto"/>
                <w:sz w:val="22"/>
                <w:szCs w:val="22"/>
              </w:rPr>
            </w:pPr>
            <w:r>
              <w:rPr>
                <w:color w:val="auto"/>
                <w:sz w:val="22"/>
                <w:szCs w:val="22"/>
              </w:rPr>
              <w:t>Письмо строчной и заглавной букв Ц, ц</w:t>
            </w:r>
          </w:p>
        </w:tc>
      </w:tr>
      <w:tr w14:paraId="0834AF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6A2FC42D">
            <w:pPr>
              <w:pStyle w:val="85"/>
              <w:jc w:val="center"/>
              <w:rPr>
                <w:color w:val="auto"/>
                <w:sz w:val="22"/>
                <w:szCs w:val="22"/>
              </w:rPr>
            </w:pPr>
            <w:r>
              <w:rPr>
                <w:color w:val="auto"/>
                <w:sz w:val="22"/>
                <w:szCs w:val="22"/>
              </w:rPr>
              <w:t>Урок 94</w:t>
            </w:r>
          </w:p>
        </w:tc>
        <w:tc>
          <w:tcPr>
            <w:tcW w:w="7937" w:type="dxa"/>
          </w:tcPr>
          <w:p w14:paraId="6B36D505">
            <w:pPr>
              <w:pStyle w:val="85"/>
              <w:jc w:val="both"/>
              <w:rPr>
                <w:color w:val="auto"/>
                <w:sz w:val="22"/>
                <w:szCs w:val="22"/>
              </w:rPr>
            </w:pPr>
            <w:r>
              <w:rPr>
                <w:color w:val="auto"/>
                <w:sz w:val="22"/>
                <w:szCs w:val="22"/>
              </w:rPr>
              <w:t>Закрепление написания строчной и заглавной букв Ц, ц</w:t>
            </w:r>
          </w:p>
        </w:tc>
      </w:tr>
      <w:tr w14:paraId="6054C7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538C5EAE">
            <w:pPr>
              <w:pStyle w:val="85"/>
              <w:jc w:val="center"/>
              <w:rPr>
                <w:color w:val="auto"/>
                <w:sz w:val="22"/>
                <w:szCs w:val="22"/>
              </w:rPr>
            </w:pPr>
            <w:r>
              <w:rPr>
                <w:color w:val="auto"/>
                <w:sz w:val="22"/>
                <w:szCs w:val="22"/>
              </w:rPr>
              <w:t>Урок 95</w:t>
            </w:r>
          </w:p>
        </w:tc>
        <w:tc>
          <w:tcPr>
            <w:tcW w:w="7937" w:type="dxa"/>
          </w:tcPr>
          <w:p w14:paraId="4A25D279">
            <w:pPr>
              <w:pStyle w:val="85"/>
              <w:jc w:val="both"/>
              <w:rPr>
                <w:color w:val="auto"/>
                <w:sz w:val="22"/>
                <w:szCs w:val="22"/>
              </w:rPr>
            </w:pPr>
            <w:r>
              <w:rPr>
                <w:color w:val="auto"/>
                <w:sz w:val="22"/>
                <w:szCs w:val="22"/>
              </w:rPr>
              <w:t>Твердые и мягкие согласные звуки</w:t>
            </w:r>
          </w:p>
        </w:tc>
      </w:tr>
      <w:tr w14:paraId="2465B5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0F764629">
            <w:pPr>
              <w:pStyle w:val="85"/>
              <w:jc w:val="center"/>
              <w:rPr>
                <w:color w:val="auto"/>
                <w:sz w:val="22"/>
                <w:szCs w:val="22"/>
              </w:rPr>
            </w:pPr>
            <w:r>
              <w:rPr>
                <w:color w:val="auto"/>
                <w:sz w:val="22"/>
                <w:szCs w:val="22"/>
              </w:rPr>
              <w:t>Урок 96</w:t>
            </w:r>
          </w:p>
        </w:tc>
        <w:tc>
          <w:tcPr>
            <w:tcW w:w="7937" w:type="dxa"/>
          </w:tcPr>
          <w:p w14:paraId="4016978F">
            <w:pPr>
              <w:pStyle w:val="85"/>
              <w:jc w:val="both"/>
              <w:rPr>
                <w:color w:val="auto"/>
                <w:sz w:val="22"/>
                <w:szCs w:val="22"/>
              </w:rPr>
            </w:pPr>
            <w:r>
              <w:rPr>
                <w:color w:val="auto"/>
                <w:sz w:val="22"/>
                <w:szCs w:val="22"/>
              </w:rPr>
              <w:t>Обобщаем знания о согласных звуках</w:t>
            </w:r>
          </w:p>
        </w:tc>
      </w:tr>
      <w:tr w14:paraId="3E39BF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620029F7">
            <w:pPr>
              <w:pStyle w:val="85"/>
              <w:jc w:val="center"/>
              <w:rPr>
                <w:color w:val="auto"/>
                <w:sz w:val="22"/>
                <w:szCs w:val="22"/>
              </w:rPr>
            </w:pPr>
            <w:r>
              <w:rPr>
                <w:color w:val="auto"/>
                <w:sz w:val="22"/>
                <w:szCs w:val="22"/>
              </w:rPr>
              <w:t>Урок 97</w:t>
            </w:r>
          </w:p>
        </w:tc>
        <w:tc>
          <w:tcPr>
            <w:tcW w:w="7937" w:type="dxa"/>
          </w:tcPr>
          <w:p w14:paraId="02AB0847">
            <w:pPr>
              <w:pStyle w:val="85"/>
              <w:jc w:val="both"/>
              <w:rPr>
                <w:color w:val="auto"/>
                <w:sz w:val="22"/>
                <w:szCs w:val="22"/>
              </w:rPr>
            </w:pPr>
            <w:r>
              <w:rPr>
                <w:color w:val="auto"/>
                <w:sz w:val="22"/>
                <w:szCs w:val="22"/>
              </w:rPr>
              <w:t>Письмо строчной буквы ъ</w:t>
            </w:r>
          </w:p>
        </w:tc>
      </w:tr>
      <w:tr w14:paraId="1C363D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21605990">
            <w:pPr>
              <w:pStyle w:val="85"/>
              <w:jc w:val="center"/>
              <w:rPr>
                <w:color w:val="auto"/>
                <w:sz w:val="22"/>
                <w:szCs w:val="22"/>
              </w:rPr>
            </w:pPr>
            <w:r>
              <w:rPr>
                <w:color w:val="auto"/>
                <w:sz w:val="22"/>
                <w:szCs w:val="22"/>
              </w:rPr>
              <w:t>Урок 98</w:t>
            </w:r>
          </w:p>
        </w:tc>
        <w:tc>
          <w:tcPr>
            <w:tcW w:w="7937" w:type="dxa"/>
          </w:tcPr>
          <w:p w14:paraId="72FE54E9">
            <w:pPr>
              <w:pStyle w:val="85"/>
              <w:jc w:val="both"/>
              <w:rPr>
                <w:color w:val="auto"/>
                <w:sz w:val="22"/>
                <w:szCs w:val="22"/>
              </w:rPr>
            </w:pPr>
            <w:r>
              <w:rPr>
                <w:color w:val="auto"/>
                <w:sz w:val="22"/>
                <w:szCs w:val="22"/>
              </w:rPr>
              <w:t>Письмо строчной буквы ь</w:t>
            </w:r>
          </w:p>
        </w:tc>
      </w:tr>
      <w:tr w14:paraId="46F388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17028B0E">
            <w:pPr>
              <w:pStyle w:val="85"/>
              <w:jc w:val="center"/>
              <w:rPr>
                <w:color w:val="auto"/>
                <w:sz w:val="22"/>
                <w:szCs w:val="22"/>
              </w:rPr>
            </w:pPr>
            <w:r>
              <w:rPr>
                <w:color w:val="auto"/>
                <w:sz w:val="22"/>
                <w:szCs w:val="22"/>
              </w:rPr>
              <w:t>Урок 99</w:t>
            </w:r>
          </w:p>
        </w:tc>
        <w:tc>
          <w:tcPr>
            <w:tcW w:w="7937" w:type="dxa"/>
          </w:tcPr>
          <w:p w14:paraId="0F95F42F">
            <w:pPr>
              <w:pStyle w:val="85"/>
              <w:jc w:val="both"/>
              <w:rPr>
                <w:color w:val="auto"/>
                <w:sz w:val="22"/>
                <w:szCs w:val="22"/>
              </w:rPr>
            </w:pPr>
            <w:r>
              <w:rPr>
                <w:color w:val="auto"/>
                <w:sz w:val="22"/>
                <w:szCs w:val="22"/>
              </w:rPr>
              <w:t>Совместное составление небольших рассказов о любимых играх</w:t>
            </w:r>
          </w:p>
        </w:tc>
      </w:tr>
      <w:tr w14:paraId="71FA47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134" w:type="dxa"/>
            <w:vAlign w:val="center"/>
          </w:tcPr>
          <w:p w14:paraId="48682C8B">
            <w:pPr>
              <w:pStyle w:val="85"/>
              <w:jc w:val="center"/>
              <w:rPr>
                <w:color w:val="auto"/>
                <w:sz w:val="22"/>
                <w:szCs w:val="22"/>
              </w:rPr>
            </w:pPr>
            <w:r>
              <w:rPr>
                <w:color w:val="auto"/>
                <w:sz w:val="22"/>
                <w:szCs w:val="22"/>
              </w:rPr>
              <w:t>Урок 100</w:t>
            </w:r>
          </w:p>
        </w:tc>
        <w:tc>
          <w:tcPr>
            <w:tcW w:w="7937" w:type="dxa"/>
          </w:tcPr>
          <w:p w14:paraId="0FD4A1F0">
            <w:pPr>
              <w:pStyle w:val="85"/>
              <w:jc w:val="both"/>
              <w:rPr>
                <w:color w:val="auto"/>
                <w:sz w:val="22"/>
                <w:szCs w:val="22"/>
              </w:rPr>
            </w:pPr>
            <w:r>
              <w:rPr>
                <w:color w:val="auto"/>
                <w:sz w:val="22"/>
                <w:szCs w:val="22"/>
              </w:rPr>
              <w:t>Совместное составление небольших рассказов о любимом дне</w:t>
            </w:r>
          </w:p>
        </w:tc>
      </w:tr>
      <w:tr w14:paraId="394DA0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44F99502">
            <w:pPr>
              <w:pStyle w:val="85"/>
              <w:jc w:val="center"/>
              <w:rPr>
                <w:color w:val="auto"/>
                <w:sz w:val="22"/>
                <w:szCs w:val="22"/>
              </w:rPr>
            </w:pPr>
            <w:r>
              <w:rPr>
                <w:color w:val="auto"/>
                <w:sz w:val="22"/>
                <w:szCs w:val="22"/>
              </w:rPr>
              <w:t>Урок 101</w:t>
            </w:r>
          </w:p>
        </w:tc>
        <w:tc>
          <w:tcPr>
            <w:tcW w:w="7937" w:type="dxa"/>
          </w:tcPr>
          <w:p w14:paraId="219F76D0">
            <w:pPr>
              <w:pStyle w:val="85"/>
              <w:jc w:val="both"/>
              <w:rPr>
                <w:color w:val="auto"/>
                <w:sz w:val="22"/>
                <w:szCs w:val="22"/>
              </w:rPr>
            </w:pPr>
            <w:r>
              <w:rPr>
                <w:color w:val="auto"/>
                <w:sz w:val="22"/>
                <w:szCs w:val="22"/>
              </w:rPr>
              <w:t>Резервный урок. Отработка написания букв, написание которых вызывает трудности у учащихся класса</w:t>
            </w:r>
          </w:p>
        </w:tc>
      </w:tr>
      <w:tr w14:paraId="68814F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22BABC19">
            <w:pPr>
              <w:pStyle w:val="85"/>
              <w:jc w:val="center"/>
              <w:rPr>
                <w:color w:val="auto"/>
                <w:sz w:val="22"/>
                <w:szCs w:val="22"/>
              </w:rPr>
            </w:pPr>
            <w:r>
              <w:rPr>
                <w:color w:val="auto"/>
                <w:sz w:val="22"/>
                <w:szCs w:val="22"/>
              </w:rPr>
              <w:t>Урок 102</w:t>
            </w:r>
          </w:p>
        </w:tc>
        <w:tc>
          <w:tcPr>
            <w:tcW w:w="7937" w:type="dxa"/>
          </w:tcPr>
          <w:p w14:paraId="265F9F23">
            <w:pPr>
              <w:pStyle w:val="85"/>
              <w:jc w:val="both"/>
              <w:rPr>
                <w:color w:val="auto"/>
                <w:sz w:val="22"/>
                <w:szCs w:val="22"/>
              </w:rPr>
            </w:pPr>
            <w:r>
              <w:rPr>
                <w:color w:val="auto"/>
                <w:sz w:val="22"/>
                <w:szCs w:val="22"/>
              </w:rPr>
              <w:t>Резервный урок. Отработка написания букв, написание которых вызывает трудности у учащихся класса</w:t>
            </w:r>
          </w:p>
        </w:tc>
      </w:tr>
      <w:tr w14:paraId="76123B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52CD24BF">
            <w:pPr>
              <w:pStyle w:val="85"/>
              <w:jc w:val="center"/>
              <w:rPr>
                <w:color w:val="auto"/>
                <w:sz w:val="22"/>
                <w:szCs w:val="22"/>
              </w:rPr>
            </w:pPr>
            <w:r>
              <w:rPr>
                <w:color w:val="auto"/>
                <w:sz w:val="22"/>
                <w:szCs w:val="22"/>
              </w:rPr>
              <w:t>Урок 103</w:t>
            </w:r>
          </w:p>
        </w:tc>
        <w:tc>
          <w:tcPr>
            <w:tcW w:w="7937" w:type="dxa"/>
          </w:tcPr>
          <w:p w14:paraId="1EE00D7E">
            <w:pPr>
              <w:pStyle w:val="85"/>
              <w:jc w:val="both"/>
              <w:rPr>
                <w:color w:val="auto"/>
                <w:sz w:val="22"/>
                <w:szCs w:val="22"/>
              </w:rPr>
            </w:pPr>
            <w:r>
              <w:rPr>
                <w:color w:val="auto"/>
                <w:sz w:val="22"/>
                <w:szCs w:val="22"/>
              </w:rPr>
              <w:t>Резервный урок. Отработка написания букв, написание которых вызывает трудности у учащихся класса</w:t>
            </w:r>
          </w:p>
        </w:tc>
      </w:tr>
      <w:tr w14:paraId="0816B3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0FB9CCBF">
            <w:pPr>
              <w:pStyle w:val="85"/>
              <w:jc w:val="center"/>
              <w:rPr>
                <w:color w:val="auto"/>
                <w:sz w:val="22"/>
                <w:szCs w:val="22"/>
              </w:rPr>
            </w:pPr>
            <w:r>
              <w:rPr>
                <w:color w:val="auto"/>
                <w:sz w:val="22"/>
                <w:szCs w:val="22"/>
              </w:rPr>
              <w:t>Урок 104</w:t>
            </w:r>
          </w:p>
        </w:tc>
        <w:tc>
          <w:tcPr>
            <w:tcW w:w="7937" w:type="dxa"/>
          </w:tcPr>
          <w:p w14:paraId="08AA9B63">
            <w:pPr>
              <w:pStyle w:val="85"/>
              <w:jc w:val="both"/>
              <w:rPr>
                <w:color w:val="auto"/>
                <w:sz w:val="22"/>
                <w:szCs w:val="22"/>
              </w:rPr>
            </w:pPr>
            <w:r>
              <w:rPr>
                <w:color w:val="auto"/>
                <w:sz w:val="22"/>
                <w:szCs w:val="22"/>
              </w:rPr>
              <w:t>Резервный урок. Отрабатываем умение определять количество слогов в слове</w:t>
            </w:r>
          </w:p>
        </w:tc>
      </w:tr>
      <w:tr w14:paraId="24E230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54B059E4">
            <w:pPr>
              <w:pStyle w:val="85"/>
              <w:jc w:val="center"/>
              <w:rPr>
                <w:color w:val="auto"/>
                <w:sz w:val="22"/>
                <w:szCs w:val="22"/>
              </w:rPr>
            </w:pPr>
            <w:r>
              <w:rPr>
                <w:color w:val="auto"/>
                <w:sz w:val="22"/>
                <w:szCs w:val="22"/>
              </w:rPr>
              <w:t>Урок 105</w:t>
            </w:r>
          </w:p>
        </w:tc>
        <w:tc>
          <w:tcPr>
            <w:tcW w:w="7937" w:type="dxa"/>
          </w:tcPr>
          <w:p w14:paraId="42830DEA">
            <w:pPr>
              <w:pStyle w:val="85"/>
              <w:jc w:val="both"/>
              <w:rPr>
                <w:color w:val="auto"/>
                <w:sz w:val="22"/>
                <w:szCs w:val="22"/>
              </w:rPr>
            </w:pPr>
            <w:r>
              <w:rPr>
                <w:color w:val="auto"/>
                <w:sz w:val="22"/>
                <w:szCs w:val="22"/>
              </w:rPr>
              <w:t>Резервный урок. Раздельное написание слов в предложении</w:t>
            </w:r>
          </w:p>
        </w:tc>
      </w:tr>
      <w:tr w14:paraId="062F5B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30F2E987">
            <w:pPr>
              <w:pStyle w:val="85"/>
              <w:jc w:val="center"/>
              <w:rPr>
                <w:color w:val="auto"/>
                <w:sz w:val="22"/>
                <w:szCs w:val="22"/>
              </w:rPr>
            </w:pPr>
            <w:r>
              <w:rPr>
                <w:color w:val="auto"/>
                <w:sz w:val="22"/>
                <w:szCs w:val="22"/>
              </w:rPr>
              <w:t>Урок 106</w:t>
            </w:r>
          </w:p>
        </w:tc>
        <w:tc>
          <w:tcPr>
            <w:tcW w:w="7937" w:type="dxa"/>
          </w:tcPr>
          <w:p w14:paraId="7D0471CB">
            <w:pPr>
              <w:pStyle w:val="85"/>
              <w:jc w:val="both"/>
              <w:rPr>
                <w:color w:val="auto"/>
                <w:sz w:val="22"/>
                <w:szCs w:val="22"/>
              </w:rPr>
            </w:pPr>
            <w:r>
              <w:rPr>
                <w:color w:val="auto"/>
                <w:sz w:val="22"/>
                <w:szCs w:val="22"/>
              </w:rPr>
              <w:t>Резервный урок. Как правильно записать предложение</w:t>
            </w:r>
          </w:p>
        </w:tc>
      </w:tr>
      <w:tr w14:paraId="2AB449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31341F5E">
            <w:pPr>
              <w:pStyle w:val="85"/>
              <w:jc w:val="center"/>
              <w:rPr>
                <w:color w:val="auto"/>
                <w:sz w:val="22"/>
                <w:szCs w:val="22"/>
              </w:rPr>
            </w:pPr>
            <w:r>
              <w:rPr>
                <w:color w:val="auto"/>
                <w:sz w:val="22"/>
                <w:szCs w:val="22"/>
              </w:rPr>
              <w:t>Урок 107</w:t>
            </w:r>
          </w:p>
        </w:tc>
        <w:tc>
          <w:tcPr>
            <w:tcW w:w="7937" w:type="dxa"/>
          </w:tcPr>
          <w:p w14:paraId="575DC500">
            <w:pPr>
              <w:pStyle w:val="85"/>
              <w:jc w:val="both"/>
              <w:rPr>
                <w:color w:val="auto"/>
                <w:sz w:val="22"/>
                <w:szCs w:val="22"/>
              </w:rPr>
            </w:pPr>
            <w:r>
              <w:rPr>
                <w:color w:val="auto"/>
                <w:sz w:val="22"/>
                <w:szCs w:val="22"/>
              </w:rPr>
              <w:t>Резервный урок. Введение алгоритма списывания предложений</w:t>
            </w:r>
          </w:p>
        </w:tc>
      </w:tr>
      <w:tr w14:paraId="496519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134" w:type="dxa"/>
            <w:vAlign w:val="center"/>
          </w:tcPr>
          <w:p w14:paraId="12AC6CFB">
            <w:pPr>
              <w:pStyle w:val="85"/>
              <w:jc w:val="center"/>
              <w:rPr>
                <w:color w:val="auto"/>
                <w:sz w:val="22"/>
                <w:szCs w:val="22"/>
              </w:rPr>
            </w:pPr>
            <w:r>
              <w:rPr>
                <w:color w:val="auto"/>
                <w:sz w:val="22"/>
                <w:szCs w:val="22"/>
              </w:rPr>
              <w:t>Урок 108</w:t>
            </w:r>
          </w:p>
        </w:tc>
        <w:tc>
          <w:tcPr>
            <w:tcW w:w="7937" w:type="dxa"/>
          </w:tcPr>
          <w:p w14:paraId="70929820">
            <w:pPr>
              <w:pStyle w:val="85"/>
              <w:jc w:val="both"/>
              <w:rPr>
                <w:color w:val="auto"/>
                <w:sz w:val="22"/>
                <w:szCs w:val="22"/>
              </w:rPr>
            </w:pPr>
            <w:r>
              <w:rPr>
                <w:color w:val="auto"/>
                <w:sz w:val="22"/>
                <w:szCs w:val="22"/>
              </w:rPr>
              <w:t>Резервный урок. Когда нужен перенос слова</w:t>
            </w:r>
          </w:p>
        </w:tc>
      </w:tr>
      <w:tr w14:paraId="239EE9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55127391">
            <w:pPr>
              <w:pStyle w:val="85"/>
              <w:jc w:val="center"/>
              <w:rPr>
                <w:color w:val="auto"/>
                <w:sz w:val="22"/>
                <w:szCs w:val="22"/>
              </w:rPr>
            </w:pPr>
            <w:r>
              <w:rPr>
                <w:color w:val="auto"/>
                <w:sz w:val="22"/>
                <w:szCs w:val="22"/>
              </w:rPr>
              <w:t>Урок 109</w:t>
            </w:r>
          </w:p>
        </w:tc>
        <w:tc>
          <w:tcPr>
            <w:tcW w:w="7937" w:type="dxa"/>
          </w:tcPr>
          <w:p w14:paraId="00DBCBF1">
            <w:pPr>
              <w:pStyle w:val="85"/>
              <w:jc w:val="both"/>
              <w:rPr>
                <w:color w:val="auto"/>
                <w:sz w:val="22"/>
                <w:szCs w:val="22"/>
              </w:rPr>
            </w:pPr>
            <w:r>
              <w:rPr>
                <w:color w:val="auto"/>
                <w:sz w:val="22"/>
                <w:szCs w:val="22"/>
              </w:rPr>
              <w:t>Резервный урок. Перенос слов со строки на строку</w:t>
            </w:r>
          </w:p>
        </w:tc>
      </w:tr>
      <w:tr w14:paraId="6A6A05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134" w:type="dxa"/>
            <w:vAlign w:val="center"/>
          </w:tcPr>
          <w:p w14:paraId="6BD49AF0">
            <w:pPr>
              <w:pStyle w:val="85"/>
              <w:jc w:val="center"/>
              <w:rPr>
                <w:color w:val="auto"/>
                <w:sz w:val="22"/>
                <w:szCs w:val="22"/>
              </w:rPr>
            </w:pPr>
            <w:r>
              <w:rPr>
                <w:color w:val="auto"/>
                <w:sz w:val="22"/>
                <w:szCs w:val="22"/>
              </w:rPr>
              <w:t>Урок 110</w:t>
            </w:r>
          </w:p>
        </w:tc>
        <w:tc>
          <w:tcPr>
            <w:tcW w:w="7937" w:type="dxa"/>
          </w:tcPr>
          <w:p w14:paraId="42817C30">
            <w:pPr>
              <w:pStyle w:val="85"/>
              <w:jc w:val="both"/>
              <w:rPr>
                <w:color w:val="auto"/>
                <w:sz w:val="22"/>
                <w:szCs w:val="22"/>
              </w:rPr>
            </w:pPr>
            <w:r>
              <w:rPr>
                <w:color w:val="auto"/>
                <w:sz w:val="22"/>
                <w:szCs w:val="22"/>
              </w:rPr>
              <w:t>Резервный урок. Объяснительное письмо под диктовку слов</w:t>
            </w:r>
          </w:p>
        </w:tc>
      </w:tr>
      <w:tr w14:paraId="1BA92F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1B4FFC53">
            <w:pPr>
              <w:pStyle w:val="85"/>
              <w:jc w:val="center"/>
              <w:rPr>
                <w:color w:val="auto"/>
                <w:sz w:val="22"/>
                <w:szCs w:val="22"/>
              </w:rPr>
            </w:pPr>
            <w:r>
              <w:rPr>
                <w:color w:val="auto"/>
                <w:sz w:val="22"/>
                <w:szCs w:val="22"/>
              </w:rPr>
              <w:t>Урок 111</w:t>
            </w:r>
          </w:p>
        </w:tc>
        <w:tc>
          <w:tcPr>
            <w:tcW w:w="7937" w:type="dxa"/>
          </w:tcPr>
          <w:p w14:paraId="0F3CC18B">
            <w:pPr>
              <w:pStyle w:val="85"/>
              <w:jc w:val="both"/>
              <w:rPr>
                <w:color w:val="auto"/>
                <w:sz w:val="22"/>
                <w:szCs w:val="22"/>
              </w:rPr>
            </w:pPr>
            <w:r>
              <w:rPr>
                <w:color w:val="auto"/>
                <w:sz w:val="22"/>
                <w:szCs w:val="22"/>
              </w:rPr>
              <w:t>Резервный урок. Объяснительное письмо под диктовку слов</w:t>
            </w:r>
          </w:p>
        </w:tc>
      </w:tr>
      <w:tr w14:paraId="14F63A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0BF492D5">
            <w:pPr>
              <w:pStyle w:val="85"/>
              <w:jc w:val="center"/>
              <w:rPr>
                <w:color w:val="auto"/>
                <w:sz w:val="22"/>
                <w:szCs w:val="22"/>
              </w:rPr>
            </w:pPr>
            <w:r>
              <w:rPr>
                <w:color w:val="auto"/>
                <w:sz w:val="22"/>
                <w:szCs w:val="22"/>
              </w:rPr>
              <w:t>Урок 112</w:t>
            </w:r>
          </w:p>
        </w:tc>
        <w:tc>
          <w:tcPr>
            <w:tcW w:w="7937" w:type="dxa"/>
          </w:tcPr>
          <w:p w14:paraId="60327637">
            <w:pPr>
              <w:pStyle w:val="85"/>
              <w:jc w:val="both"/>
              <w:rPr>
                <w:color w:val="auto"/>
                <w:sz w:val="22"/>
                <w:szCs w:val="22"/>
              </w:rPr>
            </w:pPr>
            <w:r>
              <w:rPr>
                <w:color w:val="auto"/>
                <w:sz w:val="22"/>
                <w:szCs w:val="22"/>
              </w:rPr>
              <w:t>Резервный урок. Объяснительное письмо под диктовку слов и предложений</w:t>
            </w:r>
          </w:p>
        </w:tc>
      </w:tr>
      <w:tr w14:paraId="0B0DF0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704DB806">
            <w:pPr>
              <w:pStyle w:val="85"/>
              <w:jc w:val="center"/>
              <w:rPr>
                <w:color w:val="auto"/>
                <w:sz w:val="22"/>
                <w:szCs w:val="22"/>
              </w:rPr>
            </w:pPr>
            <w:r>
              <w:rPr>
                <w:color w:val="auto"/>
                <w:sz w:val="22"/>
                <w:szCs w:val="22"/>
              </w:rPr>
              <w:t>Урок 113</w:t>
            </w:r>
          </w:p>
        </w:tc>
        <w:tc>
          <w:tcPr>
            <w:tcW w:w="7937" w:type="dxa"/>
          </w:tcPr>
          <w:p w14:paraId="54A7A1BD">
            <w:pPr>
              <w:pStyle w:val="85"/>
              <w:jc w:val="both"/>
              <w:rPr>
                <w:color w:val="auto"/>
                <w:sz w:val="22"/>
                <w:szCs w:val="22"/>
              </w:rPr>
            </w:pPr>
            <w:r>
              <w:rPr>
                <w:color w:val="auto"/>
                <w:sz w:val="22"/>
                <w:szCs w:val="22"/>
              </w:rPr>
              <w:t>Резервный урок. Как составить предложение из набора слов</w:t>
            </w:r>
          </w:p>
        </w:tc>
      </w:tr>
      <w:tr w14:paraId="6F5C0E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572E4097">
            <w:pPr>
              <w:pStyle w:val="85"/>
              <w:jc w:val="center"/>
              <w:rPr>
                <w:color w:val="auto"/>
                <w:sz w:val="22"/>
                <w:szCs w:val="22"/>
              </w:rPr>
            </w:pPr>
            <w:r>
              <w:rPr>
                <w:color w:val="auto"/>
                <w:sz w:val="22"/>
                <w:szCs w:val="22"/>
              </w:rPr>
              <w:t>Урок 114</w:t>
            </w:r>
          </w:p>
        </w:tc>
        <w:tc>
          <w:tcPr>
            <w:tcW w:w="7937" w:type="dxa"/>
          </w:tcPr>
          <w:p w14:paraId="204B5663">
            <w:pPr>
              <w:pStyle w:val="85"/>
              <w:jc w:val="both"/>
              <w:rPr>
                <w:color w:val="auto"/>
                <w:sz w:val="22"/>
                <w:szCs w:val="22"/>
              </w:rPr>
            </w:pPr>
            <w:r>
              <w:rPr>
                <w:color w:val="auto"/>
                <w:sz w:val="22"/>
                <w:szCs w:val="22"/>
              </w:rPr>
              <w:t>Резервный урок. Составление из набора слов предложений</w:t>
            </w:r>
          </w:p>
        </w:tc>
      </w:tr>
      <w:tr w14:paraId="16813F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6623B167">
            <w:pPr>
              <w:pStyle w:val="85"/>
              <w:jc w:val="center"/>
              <w:rPr>
                <w:color w:val="auto"/>
                <w:sz w:val="22"/>
                <w:szCs w:val="22"/>
              </w:rPr>
            </w:pPr>
            <w:r>
              <w:rPr>
                <w:color w:val="auto"/>
                <w:sz w:val="22"/>
                <w:szCs w:val="22"/>
              </w:rPr>
              <w:t>Урок 115</w:t>
            </w:r>
          </w:p>
        </w:tc>
        <w:tc>
          <w:tcPr>
            <w:tcW w:w="7937" w:type="dxa"/>
          </w:tcPr>
          <w:p w14:paraId="3FC668D6">
            <w:pPr>
              <w:pStyle w:val="85"/>
              <w:jc w:val="both"/>
              <w:rPr>
                <w:color w:val="auto"/>
                <w:sz w:val="22"/>
                <w:szCs w:val="22"/>
              </w:rPr>
            </w:pPr>
            <w:r>
              <w:rPr>
                <w:color w:val="auto"/>
                <w:sz w:val="22"/>
                <w:szCs w:val="22"/>
              </w:rPr>
              <w:t>Резервный урок. Объяснительная запись под диктовку текста</w:t>
            </w:r>
          </w:p>
        </w:tc>
      </w:tr>
      <w:tr w14:paraId="30F364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4BEFAE97">
            <w:pPr>
              <w:pStyle w:val="85"/>
              <w:jc w:val="center"/>
              <w:rPr>
                <w:color w:val="auto"/>
                <w:sz w:val="22"/>
                <w:szCs w:val="22"/>
              </w:rPr>
            </w:pPr>
            <w:r>
              <w:rPr>
                <w:color w:val="auto"/>
                <w:sz w:val="22"/>
                <w:szCs w:val="22"/>
              </w:rPr>
              <w:t>Урок 116</w:t>
            </w:r>
          </w:p>
        </w:tc>
        <w:tc>
          <w:tcPr>
            <w:tcW w:w="7937" w:type="dxa"/>
          </w:tcPr>
          <w:p w14:paraId="1CF0D3AA">
            <w:pPr>
              <w:pStyle w:val="85"/>
              <w:jc w:val="both"/>
              <w:rPr>
                <w:color w:val="auto"/>
                <w:sz w:val="22"/>
                <w:szCs w:val="22"/>
              </w:rPr>
            </w:pPr>
            <w:r>
              <w:rPr>
                <w:color w:val="auto"/>
                <w:sz w:val="22"/>
                <w:szCs w:val="22"/>
              </w:rPr>
              <w:t>Язык как основное средство человеческого общения</w:t>
            </w:r>
          </w:p>
        </w:tc>
      </w:tr>
      <w:tr w14:paraId="5D1A4C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3A1436BF">
            <w:pPr>
              <w:pStyle w:val="85"/>
              <w:jc w:val="center"/>
              <w:rPr>
                <w:color w:val="auto"/>
                <w:sz w:val="22"/>
                <w:szCs w:val="22"/>
              </w:rPr>
            </w:pPr>
            <w:r>
              <w:rPr>
                <w:color w:val="auto"/>
                <w:sz w:val="22"/>
                <w:szCs w:val="22"/>
              </w:rPr>
              <w:t>Урок 117</w:t>
            </w:r>
          </w:p>
        </w:tc>
        <w:tc>
          <w:tcPr>
            <w:tcW w:w="7937" w:type="dxa"/>
          </w:tcPr>
          <w:p w14:paraId="3D21BD6F">
            <w:pPr>
              <w:pStyle w:val="85"/>
              <w:jc w:val="both"/>
              <w:rPr>
                <w:color w:val="auto"/>
                <w:sz w:val="22"/>
                <w:szCs w:val="22"/>
              </w:rPr>
            </w:pPr>
            <w:r>
              <w:rPr>
                <w:color w:val="auto"/>
                <w:sz w:val="22"/>
                <w:szCs w:val="22"/>
              </w:rPr>
              <w:t>Речь как основная форма общения между людьми</w:t>
            </w:r>
          </w:p>
        </w:tc>
      </w:tr>
      <w:tr w14:paraId="44A15D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61330B66">
            <w:pPr>
              <w:pStyle w:val="85"/>
              <w:jc w:val="center"/>
              <w:rPr>
                <w:color w:val="auto"/>
                <w:sz w:val="22"/>
                <w:szCs w:val="22"/>
              </w:rPr>
            </w:pPr>
            <w:r>
              <w:rPr>
                <w:color w:val="auto"/>
                <w:sz w:val="22"/>
                <w:szCs w:val="22"/>
              </w:rPr>
              <w:t>Урок 118</w:t>
            </w:r>
          </w:p>
        </w:tc>
        <w:tc>
          <w:tcPr>
            <w:tcW w:w="7937" w:type="dxa"/>
          </w:tcPr>
          <w:p w14:paraId="6CE0E25B">
            <w:pPr>
              <w:pStyle w:val="85"/>
              <w:jc w:val="both"/>
              <w:rPr>
                <w:color w:val="auto"/>
                <w:sz w:val="22"/>
                <w:szCs w:val="22"/>
              </w:rPr>
            </w:pPr>
            <w:r>
              <w:rPr>
                <w:color w:val="auto"/>
                <w:sz w:val="22"/>
                <w:szCs w:val="22"/>
              </w:rPr>
              <w:t>Знаки препинания в конце предложения: точка, вопросительный и восклицательный знаки</w:t>
            </w:r>
          </w:p>
        </w:tc>
      </w:tr>
      <w:tr w14:paraId="5A6A83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360AEDFE">
            <w:pPr>
              <w:pStyle w:val="85"/>
              <w:jc w:val="center"/>
              <w:rPr>
                <w:color w:val="auto"/>
                <w:sz w:val="22"/>
                <w:szCs w:val="22"/>
              </w:rPr>
            </w:pPr>
            <w:r>
              <w:rPr>
                <w:color w:val="auto"/>
                <w:sz w:val="22"/>
                <w:szCs w:val="22"/>
              </w:rPr>
              <w:t>Урок 119</w:t>
            </w:r>
          </w:p>
        </w:tc>
        <w:tc>
          <w:tcPr>
            <w:tcW w:w="7937" w:type="dxa"/>
          </w:tcPr>
          <w:p w14:paraId="4F43D985">
            <w:pPr>
              <w:pStyle w:val="85"/>
              <w:jc w:val="both"/>
              <w:rPr>
                <w:color w:val="auto"/>
                <w:sz w:val="22"/>
                <w:szCs w:val="22"/>
              </w:rPr>
            </w:pPr>
            <w:r>
              <w:rPr>
                <w:color w:val="auto"/>
                <w:sz w:val="22"/>
                <w:szCs w:val="22"/>
              </w:rPr>
              <w:t>Ситуации общения</w:t>
            </w:r>
          </w:p>
        </w:tc>
      </w:tr>
      <w:tr w14:paraId="52EBAD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26F873A1">
            <w:pPr>
              <w:pStyle w:val="85"/>
              <w:jc w:val="center"/>
              <w:rPr>
                <w:color w:val="auto"/>
                <w:sz w:val="22"/>
                <w:szCs w:val="22"/>
              </w:rPr>
            </w:pPr>
            <w:r>
              <w:rPr>
                <w:color w:val="auto"/>
                <w:sz w:val="22"/>
                <w:szCs w:val="22"/>
              </w:rPr>
              <w:t>Урок 120</w:t>
            </w:r>
          </w:p>
        </w:tc>
        <w:tc>
          <w:tcPr>
            <w:tcW w:w="7937" w:type="dxa"/>
          </w:tcPr>
          <w:p w14:paraId="5DAEDA87">
            <w:pPr>
              <w:pStyle w:val="85"/>
              <w:jc w:val="both"/>
              <w:rPr>
                <w:color w:val="auto"/>
                <w:sz w:val="22"/>
                <w:szCs w:val="22"/>
              </w:rPr>
            </w:pPr>
            <w:r>
              <w:rPr>
                <w:color w:val="auto"/>
                <w:sz w:val="22"/>
                <w:szCs w:val="22"/>
              </w:rPr>
              <w:t>Слова, отвечающие на вопросы кто?, что?</w:t>
            </w:r>
          </w:p>
        </w:tc>
      </w:tr>
      <w:tr w14:paraId="5942D7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700CC2A2">
            <w:pPr>
              <w:pStyle w:val="85"/>
              <w:jc w:val="center"/>
              <w:rPr>
                <w:color w:val="auto"/>
                <w:sz w:val="22"/>
                <w:szCs w:val="22"/>
              </w:rPr>
            </w:pPr>
            <w:r>
              <w:rPr>
                <w:color w:val="auto"/>
                <w:sz w:val="22"/>
                <w:szCs w:val="22"/>
              </w:rPr>
              <w:t>Урок 121</w:t>
            </w:r>
          </w:p>
        </w:tc>
        <w:tc>
          <w:tcPr>
            <w:tcW w:w="7937" w:type="dxa"/>
          </w:tcPr>
          <w:p w14:paraId="77FCC1D1">
            <w:pPr>
              <w:pStyle w:val="85"/>
              <w:jc w:val="both"/>
              <w:rPr>
                <w:color w:val="auto"/>
                <w:sz w:val="22"/>
                <w:szCs w:val="22"/>
              </w:rPr>
            </w:pPr>
            <w:r>
              <w:rPr>
                <w:color w:val="auto"/>
                <w:sz w:val="22"/>
                <w:szCs w:val="22"/>
              </w:rPr>
              <w:t>Слова, называющие предметы</w:t>
            </w:r>
          </w:p>
        </w:tc>
      </w:tr>
      <w:tr w14:paraId="00E7F5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134" w:type="dxa"/>
            <w:vAlign w:val="center"/>
          </w:tcPr>
          <w:p w14:paraId="22814F59">
            <w:pPr>
              <w:pStyle w:val="85"/>
              <w:jc w:val="center"/>
              <w:rPr>
                <w:color w:val="auto"/>
                <w:sz w:val="22"/>
                <w:szCs w:val="22"/>
              </w:rPr>
            </w:pPr>
            <w:r>
              <w:rPr>
                <w:color w:val="auto"/>
                <w:sz w:val="22"/>
                <w:szCs w:val="22"/>
              </w:rPr>
              <w:t>Урок 122</w:t>
            </w:r>
          </w:p>
        </w:tc>
        <w:tc>
          <w:tcPr>
            <w:tcW w:w="7937" w:type="dxa"/>
          </w:tcPr>
          <w:p w14:paraId="7E7079B2">
            <w:pPr>
              <w:pStyle w:val="85"/>
              <w:jc w:val="both"/>
              <w:rPr>
                <w:color w:val="auto"/>
                <w:sz w:val="22"/>
                <w:szCs w:val="22"/>
              </w:rPr>
            </w:pPr>
            <w:r>
              <w:rPr>
                <w:color w:val="auto"/>
                <w:sz w:val="22"/>
                <w:szCs w:val="22"/>
              </w:rPr>
              <w:t>Заглавная буква в именах собственных: в именах и фамилиях людей.</w:t>
            </w:r>
          </w:p>
          <w:p w14:paraId="2144AAC8">
            <w:pPr>
              <w:pStyle w:val="85"/>
              <w:jc w:val="both"/>
              <w:rPr>
                <w:color w:val="auto"/>
                <w:sz w:val="22"/>
                <w:szCs w:val="22"/>
              </w:rPr>
            </w:pPr>
            <w:r>
              <w:rPr>
                <w:color w:val="auto"/>
                <w:sz w:val="22"/>
                <w:szCs w:val="22"/>
              </w:rPr>
              <w:t>Заглавная буква в именах собственных: в кличках животных</w:t>
            </w:r>
          </w:p>
        </w:tc>
      </w:tr>
      <w:tr w14:paraId="217EE3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3589A63F">
            <w:pPr>
              <w:pStyle w:val="85"/>
              <w:jc w:val="center"/>
              <w:rPr>
                <w:color w:val="auto"/>
                <w:sz w:val="22"/>
                <w:szCs w:val="22"/>
              </w:rPr>
            </w:pPr>
            <w:r>
              <w:rPr>
                <w:color w:val="auto"/>
                <w:sz w:val="22"/>
                <w:szCs w:val="22"/>
              </w:rPr>
              <w:t>Урок 123</w:t>
            </w:r>
          </w:p>
        </w:tc>
        <w:tc>
          <w:tcPr>
            <w:tcW w:w="7937" w:type="dxa"/>
          </w:tcPr>
          <w:p w14:paraId="0D53D28A">
            <w:pPr>
              <w:pStyle w:val="85"/>
              <w:jc w:val="both"/>
              <w:rPr>
                <w:color w:val="auto"/>
                <w:sz w:val="22"/>
                <w:szCs w:val="22"/>
              </w:rPr>
            </w:pPr>
            <w:r>
              <w:rPr>
                <w:color w:val="auto"/>
                <w:sz w:val="22"/>
                <w:szCs w:val="22"/>
              </w:rPr>
              <w:t>Речевой этикет: ситуация знакомства</w:t>
            </w:r>
          </w:p>
        </w:tc>
      </w:tr>
      <w:tr w14:paraId="1E123B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531ED1D1">
            <w:pPr>
              <w:pStyle w:val="85"/>
              <w:jc w:val="center"/>
              <w:rPr>
                <w:color w:val="auto"/>
                <w:sz w:val="22"/>
                <w:szCs w:val="22"/>
              </w:rPr>
            </w:pPr>
            <w:r>
              <w:rPr>
                <w:color w:val="auto"/>
                <w:sz w:val="22"/>
                <w:szCs w:val="22"/>
              </w:rPr>
              <w:t>Урок 124</w:t>
            </w:r>
          </w:p>
        </w:tc>
        <w:tc>
          <w:tcPr>
            <w:tcW w:w="7937" w:type="dxa"/>
          </w:tcPr>
          <w:p w14:paraId="422C1B09">
            <w:pPr>
              <w:pStyle w:val="85"/>
              <w:jc w:val="both"/>
              <w:rPr>
                <w:color w:val="auto"/>
                <w:sz w:val="22"/>
                <w:szCs w:val="22"/>
              </w:rPr>
            </w:pPr>
            <w:r>
              <w:rPr>
                <w:color w:val="auto"/>
                <w:sz w:val="22"/>
                <w:szCs w:val="22"/>
              </w:rPr>
              <w:t>Составление небольших устных рассказов</w:t>
            </w:r>
          </w:p>
        </w:tc>
      </w:tr>
      <w:tr w14:paraId="53E0AA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5E23420B">
            <w:pPr>
              <w:pStyle w:val="85"/>
              <w:jc w:val="center"/>
              <w:rPr>
                <w:color w:val="auto"/>
                <w:sz w:val="22"/>
                <w:szCs w:val="22"/>
              </w:rPr>
            </w:pPr>
            <w:r>
              <w:rPr>
                <w:color w:val="auto"/>
                <w:sz w:val="22"/>
                <w:szCs w:val="22"/>
              </w:rPr>
              <w:t>Урок 125</w:t>
            </w:r>
          </w:p>
        </w:tc>
        <w:tc>
          <w:tcPr>
            <w:tcW w:w="7937" w:type="dxa"/>
          </w:tcPr>
          <w:p w14:paraId="012EDB83">
            <w:pPr>
              <w:pStyle w:val="85"/>
              <w:jc w:val="both"/>
              <w:rPr>
                <w:color w:val="auto"/>
                <w:sz w:val="22"/>
                <w:szCs w:val="22"/>
              </w:rPr>
            </w:pPr>
            <w:r>
              <w:rPr>
                <w:color w:val="auto"/>
                <w:sz w:val="22"/>
                <w:szCs w:val="22"/>
              </w:rPr>
              <w:t>Слова, называющие признака предмета</w:t>
            </w:r>
          </w:p>
        </w:tc>
      </w:tr>
      <w:tr w14:paraId="187765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134" w:type="dxa"/>
            <w:vAlign w:val="center"/>
          </w:tcPr>
          <w:p w14:paraId="4410F063">
            <w:pPr>
              <w:pStyle w:val="85"/>
              <w:jc w:val="center"/>
              <w:rPr>
                <w:color w:val="auto"/>
                <w:sz w:val="22"/>
                <w:szCs w:val="22"/>
              </w:rPr>
            </w:pPr>
            <w:r>
              <w:rPr>
                <w:color w:val="auto"/>
                <w:sz w:val="22"/>
                <w:szCs w:val="22"/>
              </w:rPr>
              <w:t>Урок 126</w:t>
            </w:r>
          </w:p>
        </w:tc>
        <w:tc>
          <w:tcPr>
            <w:tcW w:w="7937" w:type="dxa"/>
          </w:tcPr>
          <w:p w14:paraId="6F7E3401">
            <w:pPr>
              <w:pStyle w:val="85"/>
              <w:jc w:val="both"/>
              <w:rPr>
                <w:color w:val="auto"/>
                <w:sz w:val="22"/>
                <w:szCs w:val="22"/>
              </w:rPr>
            </w:pPr>
            <w:r>
              <w:rPr>
                <w:color w:val="auto"/>
                <w:sz w:val="22"/>
                <w:szCs w:val="22"/>
              </w:rPr>
              <w:t>Закрепление правописания гласных после шипящих в сочетаниях жи, ши</w:t>
            </w:r>
          </w:p>
        </w:tc>
      </w:tr>
      <w:tr w14:paraId="23DC65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04381D52">
            <w:pPr>
              <w:pStyle w:val="85"/>
              <w:jc w:val="center"/>
              <w:rPr>
                <w:color w:val="auto"/>
                <w:sz w:val="22"/>
                <w:szCs w:val="22"/>
              </w:rPr>
            </w:pPr>
            <w:r>
              <w:rPr>
                <w:color w:val="auto"/>
                <w:sz w:val="22"/>
                <w:szCs w:val="22"/>
              </w:rPr>
              <w:t>Урок 127</w:t>
            </w:r>
          </w:p>
        </w:tc>
        <w:tc>
          <w:tcPr>
            <w:tcW w:w="7937" w:type="dxa"/>
          </w:tcPr>
          <w:p w14:paraId="3C2F1690">
            <w:pPr>
              <w:pStyle w:val="85"/>
              <w:jc w:val="both"/>
              <w:rPr>
                <w:color w:val="auto"/>
                <w:sz w:val="22"/>
                <w:szCs w:val="22"/>
              </w:rPr>
            </w:pPr>
            <w:r>
              <w:rPr>
                <w:color w:val="auto"/>
                <w:sz w:val="22"/>
                <w:szCs w:val="22"/>
              </w:rPr>
              <w:t>Слова, отвечающие на вопросы какой?, какая? какое?, какие?</w:t>
            </w:r>
          </w:p>
        </w:tc>
      </w:tr>
      <w:tr w14:paraId="0C3CB2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2B048519">
            <w:pPr>
              <w:pStyle w:val="85"/>
              <w:jc w:val="center"/>
              <w:rPr>
                <w:color w:val="auto"/>
                <w:sz w:val="22"/>
                <w:szCs w:val="22"/>
              </w:rPr>
            </w:pPr>
            <w:r>
              <w:rPr>
                <w:color w:val="auto"/>
                <w:sz w:val="22"/>
                <w:szCs w:val="22"/>
              </w:rPr>
              <w:t>Урок 128</w:t>
            </w:r>
          </w:p>
        </w:tc>
        <w:tc>
          <w:tcPr>
            <w:tcW w:w="7937" w:type="dxa"/>
          </w:tcPr>
          <w:p w14:paraId="595DE8FF">
            <w:pPr>
              <w:pStyle w:val="85"/>
              <w:jc w:val="both"/>
              <w:rPr>
                <w:color w:val="auto"/>
                <w:sz w:val="22"/>
                <w:szCs w:val="22"/>
              </w:rPr>
            </w:pPr>
            <w:r>
              <w:rPr>
                <w:color w:val="auto"/>
                <w:sz w:val="22"/>
                <w:szCs w:val="22"/>
              </w:rPr>
              <w:t>Слог. Определение количества слогов в слове. Ударный слог. Деление слов на слоги</w:t>
            </w:r>
          </w:p>
        </w:tc>
      </w:tr>
      <w:tr w14:paraId="7C988B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6A6CB065">
            <w:pPr>
              <w:pStyle w:val="85"/>
              <w:jc w:val="center"/>
              <w:rPr>
                <w:color w:val="auto"/>
                <w:sz w:val="22"/>
                <w:szCs w:val="22"/>
              </w:rPr>
            </w:pPr>
            <w:r>
              <w:rPr>
                <w:color w:val="auto"/>
                <w:sz w:val="22"/>
                <w:szCs w:val="22"/>
              </w:rPr>
              <w:t>Урок 129</w:t>
            </w:r>
          </w:p>
        </w:tc>
        <w:tc>
          <w:tcPr>
            <w:tcW w:w="7937" w:type="dxa"/>
          </w:tcPr>
          <w:p w14:paraId="69E76C30">
            <w:pPr>
              <w:pStyle w:val="85"/>
              <w:jc w:val="both"/>
              <w:rPr>
                <w:color w:val="auto"/>
                <w:sz w:val="22"/>
                <w:szCs w:val="22"/>
              </w:rPr>
            </w:pPr>
            <w:r>
              <w:rPr>
                <w:color w:val="auto"/>
                <w:sz w:val="22"/>
                <w:szCs w:val="22"/>
              </w:rPr>
              <w:t>Отработка правила переноса слов</w:t>
            </w:r>
          </w:p>
        </w:tc>
      </w:tr>
      <w:tr w14:paraId="51FF24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57AE13E5">
            <w:pPr>
              <w:pStyle w:val="85"/>
              <w:jc w:val="center"/>
              <w:rPr>
                <w:color w:val="auto"/>
                <w:sz w:val="22"/>
                <w:szCs w:val="22"/>
              </w:rPr>
            </w:pPr>
            <w:r>
              <w:rPr>
                <w:color w:val="auto"/>
                <w:sz w:val="22"/>
                <w:szCs w:val="22"/>
              </w:rPr>
              <w:t>Урок 130</w:t>
            </w:r>
          </w:p>
        </w:tc>
        <w:tc>
          <w:tcPr>
            <w:tcW w:w="7937" w:type="dxa"/>
          </w:tcPr>
          <w:p w14:paraId="3DE7DEA4">
            <w:pPr>
              <w:pStyle w:val="85"/>
              <w:jc w:val="both"/>
              <w:rPr>
                <w:color w:val="auto"/>
                <w:sz w:val="22"/>
                <w:szCs w:val="22"/>
              </w:rPr>
            </w:pPr>
            <w:r>
              <w:rPr>
                <w:color w:val="auto"/>
                <w:sz w:val="22"/>
                <w:szCs w:val="22"/>
              </w:rPr>
              <w:t>Отрабатываем умение задать вопрос к слову</w:t>
            </w:r>
          </w:p>
        </w:tc>
      </w:tr>
      <w:tr w14:paraId="0E59B6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42B8FE37">
            <w:pPr>
              <w:pStyle w:val="85"/>
              <w:jc w:val="center"/>
              <w:rPr>
                <w:color w:val="auto"/>
                <w:sz w:val="22"/>
                <w:szCs w:val="22"/>
              </w:rPr>
            </w:pPr>
            <w:r>
              <w:rPr>
                <w:color w:val="auto"/>
                <w:sz w:val="22"/>
                <w:szCs w:val="22"/>
              </w:rPr>
              <w:t>Урок 131</w:t>
            </w:r>
          </w:p>
        </w:tc>
        <w:tc>
          <w:tcPr>
            <w:tcW w:w="7937" w:type="dxa"/>
          </w:tcPr>
          <w:p w14:paraId="40B76EE8">
            <w:pPr>
              <w:pStyle w:val="85"/>
              <w:jc w:val="both"/>
              <w:rPr>
                <w:color w:val="auto"/>
                <w:sz w:val="22"/>
                <w:szCs w:val="22"/>
              </w:rPr>
            </w:pPr>
            <w:r>
              <w:rPr>
                <w:color w:val="auto"/>
                <w:sz w:val="22"/>
                <w:szCs w:val="22"/>
              </w:rPr>
              <w:t>Наблюдение в тексте за словами, близкими по значению</w:t>
            </w:r>
          </w:p>
        </w:tc>
      </w:tr>
      <w:tr w14:paraId="3C4911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6A52C426">
            <w:pPr>
              <w:pStyle w:val="85"/>
              <w:jc w:val="center"/>
              <w:rPr>
                <w:color w:val="auto"/>
                <w:sz w:val="22"/>
                <w:szCs w:val="22"/>
              </w:rPr>
            </w:pPr>
            <w:r>
              <w:rPr>
                <w:color w:val="auto"/>
                <w:sz w:val="22"/>
                <w:szCs w:val="22"/>
              </w:rPr>
              <w:t>Урок 132</w:t>
            </w:r>
          </w:p>
        </w:tc>
        <w:tc>
          <w:tcPr>
            <w:tcW w:w="7937" w:type="dxa"/>
          </w:tcPr>
          <w:p w14:paraId="10F568F3">
            <w:pPr>
              <w:pStyle w:val="85"/>
              <w:jc w:val="both"/>
              <w:rPr>
                <w:color w:val="auto"/>
                <w:sz w:val="22"/>
                <w:szCs w:val="22"/>
              </w:rPr>
            </w:pPr>
            <w:r>
              <w:rPr>
                <w:color w:val="auto"/>
                <w:sz w:val="22"/>
                <w:szCs w:val="22"/>
              </w:rPr>
              <w:t>Наблюдаем за значениями слов</w:t>
            </w:r>
          </w:p>
        </w:tc>
      </w:tr>
      <w:tr w14:paraId="766E93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5B0DA0AB">
            <w:pPr>
              <w:pStyle w:val="85"/>
              <w:jc w:val="center"/>
              <w:rPr>
                <w:color w:val="auto"/>
                <w:sz w:val="22"/>
                <w:szCs w:val="22"/>
              </w:rPr>
            </w:pPr>
            <w:r>
              <w:rPr>
                <w:color w:val="auto"/>
                <w:sz w:val="22"/>
                <w:szCs w:val="22"/>
              </w:rPr>
              <w:t>Урок 133</w:t>
            </w:r>
          </w:p>
        </w:tc>
        <w:tc>
          <w:tcPr>
            <w:tcW w:w="7937" w:type="dxa"/>
          </w:tcPr>
          <w:p w14:paraId="67A09C5E">
            <w:pPr>
              <w:pStyle w:val="85"/>
              <w:jc w:val="both"/>
              <w:rPr>
                <w:color w:val="auto"/>
                <w:sz w:val="22"/>
                <w:szCs w:val="22"/>
              </w:rPr>
            </w:pPr>
            <w:r>
              <w:rPr>
                <w:color w:val="auto"/>
                <w:sz w:val="22"/>
                <w:szCs w:val="22"/>
              </w:rPr>
              <w:t>Слова, называющие действия предмета</w:t>
            </w:r>
          </w:p>
        </w:tc>
      </w:tr>
      <w:tr w14:paraId="659CE8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17051C7F">
            <w:pPr>
              <w:pStyle w:val="85"/>
              <w:jc w:val="center"/>
              <w:rPr>
                <w:color w:val="auto"/>
                <w:sz w:val="22"/>
                <w:szCs w:val="22"/>
              </w:rPr>
            </w:pPr>
            <w:r>
              <w:rPr>
                <w:color w:val="auto"/>
                <w:sz w:val="22"/>
                <w:szCs w:val="22"/>
              </w:rPr>
              <w:t>Урок 134</w:t>
            </w:r>
          </w:p>
        </w:tc>
        <w:tc>
          <w:tcPr>
            <w:tcW w:w="7937" w:type="dxa"/>
          </w:tcPr>
          <w:p w14:paraId="5BC924D6">
            <w:pPr>
              <w:pStyle w:val="85"/>
              <w:jc w:val="both"/>
              <w:rPr>
                <w:color w:val="auto"/>
                <w:sz w:val="22"/>
                <w:szCs w:val="22"/>
              </w:rPr>
            </w:pPr>
            <w:r>
              <w:rPr>
                <w:color w:val="auto"/>
                <w:sz w:val="22"/>
                <w:szCs w:val="22"/>
              </w:rPr>
              <w:t>Слова, отвечающие на вопросы что делать?, что сделать?</w:t>
            </w:r>
          </w:p>
        </w:tc>
      </w:tr>
      <w:tr w14:paraId="6A2188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0B719613">
            <w:pPr>
              <w:pStyle w:val="85"/>
              <w:jc w:val="center"/>
              <w:rPr>
                <w:color w:val="auto"/>
                <w:sz w:val="22"/>
                <w:szCs w:val="22"/>
              </w:rPr>
            </w:pPr>
            <w:r>
              <w:rPr>
                <w:color w:val="auto"/>
                <w:sz w:val="22"/>
                <w:szCs w:val="22"/>
              </w:rPr>
              <w:t>Урок 135</w:t>
            </w:r>
          </w:p>
        </w:tc>
        <w:tc>
          <w:tcPr>
            <w:tcW w:w="7937" w:type="dxa"/>
          </w:tcPr>
          <w:p w14:paraId="6C3CF487">
            <w:pPr>
              <w:pStyle w:val="85"/>
              <w:jc w:val="both"/>
              <w:rPr>
                <w:color w:val="auto"/>
                <w:sz w:val="22"/>
                <w:szCs w:val="22"/>
              </w:rPr>
            </w:pPr>
            <w:r>
              <w:rPr>
                <w:color w:val="auto"/>
                <w:sz w:val="22"/>
                <w:szCs w:val="22"/>
              </w:rPr>
              <w:t>Речевой этикет: ситуация извинения</w:t>
            </w:r>
          </w:p>
        </w:tc>
      </w:tr>
      <w:tr w14:paraId="6AA03F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35E981F6">
            <w:pPr>
              <w:pStyle w:val="85"/>
              <w:jc w:val="center"/>
              <w:rPr>
                <w:color w:val="auto"/>
                <w:sz w:val="22"/>
                <w:szCs w:val="22"/>
              </w:rPr>
            </w:pPr>
            <w:r>
              <w:rPr>
                <w:color w:val="auto"/>
                <w:sz w:val="22"/>
                <w:szCs w:val="22"/>
              </w:rPr>
              <w:t>Урок 136</w:t>
            </w:r>
          </w:p>
        </w:tc>
        <w:tc>
          <w:tcPr>
            <w:tcW w:w="7937" w:type="dxa"/>
          </w:tcPr>
          <w:p w14:paraId="16AE85FF">
            <w:pPr>
              <w:pStyle w:val="85"/>
              <w:jc w:val="both"/>
              <w:rPr>
                <w:color w:val="auto"/>
                <w:sz w:val="22"/>
                <w:szCs w:val="22"/>
              </w:rPr>
            </w:pPr>
            <w:r>
              <w:rPr>
                <w:color w:val="auto"/>
                <w:sz w:val="22"/>
                <w:szCs w:val="22"/>
              </w:rPr>
              <w:t>Гласные после шипящих в сочетаниях ча, ща, чу, щу</w:t>
            </w:r>
          </w:p>
        </w:tc>
      </w:tr>
      <w:tr w14:paraId="04FC24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2A0F7632">
            <w:pPr>
              <w:pStyle w:val="85"/>
              <w:jc w:val="center"/>
              <w:rPr>
                <w:color w:val="auto"/>
                <w:sz w:val="22"/>
                <w:szCs w:val="22"/>
              </w:rPr>
            </w:pPr>
            <w:r>
              <w:rPr>
                <w:color w:val="auto"/>
                <w:sz w:val="22"/>
                <w:szCs w:val="22"/>
              </w:rPr>
              <w:t>Урок 137</w:t>
            </w:r>
          </w:p>
        </w:tc>
        <w:tc>
          <w:tcPr>
            <w:tcW w:w="7937" w:type="dxa"/>
          </w:tcPr>
          <w:p w14:paraId="1A36FB04">
            <w:pPr>
              <w:pStyle w:val="85"/>
              <w:jc w:val="both"/>
              <w:rPr>
                <w:color w:val="auto"/>
                <w:sz w:val="22"/>
                <w:szCs w:val="22"/>
              </w:rPr>
            </w:pPr>
            <w:r>
              <w:rPr>
                <w:color w:val="auto"/>
                <w:sz w:val="22"/>
                <w:szCs w:val="22"/>
              </w:rPr>
              <w:t>Слово и предложение: сходство и различие</w:t>
            </w:r>
          </w:p>
        </w:tc>
      </w:tr>
      <w:tr w14:paraId="792B9F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74B7E42D">
            <w:pPr>
              <w:pStyle w:val="85"/>
              <w:jc w:val="center"/>
              <w:rPr>
                <w:color w:val="auto"/>
                <w:sz w:val="22"/>
                <w:szCs w:val="22"/>
              </w:rPr>
            </w:pPr>
            <w:r>
              <w:rPr>
                <w:color w:val="auto"/>
                <w:sz w:val="22"/>
                <w:szCs w:val="22"/>
              </w:rPr>
              <w:t>Урок 138</w:t>
            </w:r>
          </w:p>
        </w:tc>
        <w:tc>
          <w:tcPr>
            <w:tcW w:w="7937" w:type="dxa"/>
          </w:tcPr>
          <w:p w14:paraId="7471D326">
            <w:pPr>
              <w:pStyle w:val="85"/>
              <w:jc w:val="both"/>
              <w:rPr>
                <w:color w:val="auto"/>
                <w:sz w:val="22"/>
                <w:szCs w:val="22"/>
              </w:rPr>
            </w:pPr>
            <w:r>
              <w:rPr>
                <w:color w:val="auto"/>
                <w:sz w:val="22"/>
                <w:szCs w:val="22"/>
              </w:rPr>
              <w:t>Установление связи слов в предложении при помощи смысловых вопросов</w:t>
            </w:r>
          </w:p>
        </w:tc>
      </w:tr>
      <w:tr w14:paraId="4F3D64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26AC661B">
            <w:pPr>
              <w:pStyle w:val="85"/>
              <w:jc w:val="center"/>
              <w:rPr>
                <w:color w:val="auto"/>
                <w:sz w:val="22"/>
                <w:szCs w:val="22"/>
              </w:rPr>
            </w:pPr>
            <w:r>
              <w:rPr>
                <w:color w:val="auto"/>
                <w:sz w:val="22"/>
                <w:szCs w:val="22"/>
              </w:rPr>
              <w:t>Урок 139</w:t>
            </w:r>
          </w:p>
        </w:tc>
        <w:tc>
          <w:tcPr>
            <w:tcW w:w="7937" w:type="dxa"/>
          </w:tcPr>
          <w:p w14:paraId="4263742A">
            <w:pPr>
              <w:pStyle w:val="85"/>
              <w:jc w:val="both"/>
              <w:rPr>
                <w:color w:val="auto"/>
                <w:sz w:val="22"/>
                <w:szCs w:val="22"/>
              </w:rPr>
            </w:pPr>
            <w:r>
              <w:rPr>
                <w:color w:val="auto"/>
                <w:sz w:val="22"/>
                <w:szCs w:val="22"/>
              </w:rPr>
              <w:t>Общее представление о родственных словах</w:t>
            </w:r>
          </w:p>
        </w:tc>
      </w:tr>
      <w:tr w14:paraId="6C1E4B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0421A331">
            <w:pPr>
              <w:pStyle w:val="85"/>
              <w:jc w:val="center"/>
              <w:rPr>
                <w:color w:val="auto"/>
                <w:sz w:val="22"/>
                <w:szCs w:val="22"/>
              </w:rPr>
            </w:pPr>
            <w:r>
              <w:rPr>
                <w:color w:val="auto"/>
                <w:sz w:val="22"/>
                <w:szCs w:val="22"/>
              </w:rPr>
              <w:t>Урок 140</w:t>
            </w:r>
          </w:p>
        </w:tc>
        <w:tc>
          <w:tcPr>
            <w:tcW w:w="7937" w:type="dxa"/>
          </w:tcPr>
          <w:p w14:paraId="2D759EDF">
            <w:pPr>
              <w:pStyle w:val="85"/>
              <w:jc w:val="both"/>
              <w:rPr>
                <w:color w:val="auto"/>
                <w:sz w:val="22"/>
                <w:szCs w:val="22"/>
              </w:rPr>
            </w:pPr>
            <w:r>
              <w:rPr>
                <w:color w:val="auto"/>
                <w:sz w:val="22"/>
                <w:szCs w:val="22"/>
              </w:rPr>
              <w:t>Функции букв е, ё, ю, я, ъ</w:t>
            </w:r>
          </w:p>
        </w:tc>
      </w:tr>
      <w:tr w14:paraId="4E8144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6A0CA9EF">
            <w:pPr>
              <w:pStyle w:val="85"/>
              <w:jc w:val="center"/>
              <w:rPr>
                <w:color w:val="auto"/>
                <w:sz w:val="22"/>
                <w:szCs w:val="22"/>
              </w:rPr>
            </w:pPr>
            <w:r>
              <w:rPr>
                <w:color w:val="auto"/>
                <w:sz w:val="22"/>
                <w:szCs w:val="22"/>
              </w:rPr>
              <w:t>Урок 141</w:t>
            </w:r>
          </w:p>
        </w:tc>
        <w:tc>
          <w:tcPr>
            <w:tcW w:w="7937" w:type="dxa"/>
          </w:tcPr>
          <w:p w14:paraId="6BC6124C">
            <w:pPr>
              <w:pStyle w:val="85"/>
              <w:jc w:val="both"/>
              <w:rPr>
                <w:color w:val="auto"/>
                <w:sz w:val="22"/>
                <w:szCs w:val="22"/>
              </w:rPr>
            </w:pPr>
            <w:r>
              <w:rPr>
                <w:color w:val="auto"/>
                <w:sz w:val="22"/>
                <w:szCs w:val="22"/>
              </w:rPr>
              <w:t>Согласные звуки: систематизация знаний. Согласные твердые и мягкие.</w:t>
            </w:r>
          </w:p>
          <w:p w14:paraId="5D0F22D6">
            <w:pPr>
              <w:pStyle w:val="85"/>
              <w:jc w:val="both"/>
              <w:rPr>
                <w:color w:val="auto"/>
                <w:sz w:val="22"/>
                <w:szCs w:val="22"/>
              </w:rPr>
            </w:pPr>
            <w:r>
              <w:rPr>
                <w:color w:val="auto"/>
                <w:sz w:val="22"/>
                <w:szCs w:val="22"/>
              </w:rPr>
              <w:t>Согласные звонкие и глухие</w:t>
            </w:r>
          </w:p>
        </w:tc>
      </w:tr>
      <w:tr w14:paraId="67A36A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7FFB5664">
            <w:pPr>
              <w:pStyle w:val="85"/>
              <w:jc w:val="center"/>
              <w:rPr>
                <w:color w:val="auto"/>
                <w:sz w:val="22"/>
                <w:szCs w:val="22"/>
              </w:rPr>
            </w:pPr>
            <w:r>
              <w:rPr>
                <w:color w:val="auto"/>
                <w:sz w:val="22"/>
                <w:szCs w:val="22"/>
              </w:rPr>
              <w:t>Урок 142</w:t>
            </w:r>
          </w:p>
        </w:tc>
        <w:tc>
          <w:tcPr>
            <w:tcW w:w="7937" w:type="dxa"/>
          </w:tcPr>
          <w:p w14:paraId="2207F586">
            <w:pPr>
              <w:pStyle w:val="85"/>
              <w:jc w:val="both"/>
              <w:rPr>
                <w:color w:val="auto"/>
                <w:sz w:val="22"/>
                <w:szCs w:val="22"/>
              </w:rPr>
            </w:pPr>
            <w:r>
              <w:rPr>
                <w:color w:val="auto"/>
                <w:sz w:val="22"/>
                <w:szCs w:val="22"/>
              </w:rPr>
              <w:t>Гласные после шипящих в сочетаниях жи, ши (в положении под ударением)</w:t>
            </w:r>
          </w:p>
        </w:tc>
      </w:tr>
      <w:tr w14:paraId="46D954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4A085CFE">
            <w:pPr>
              <w:pStyle w:val="85"/>
              <w:jc w:val="center"/>
              <w:rPr>
                <w:color w:val="auto"/>
                <w:sz w:val="22"/>
                <w:szCs w:val="22"/>
              </w:rPr>
            </w:pPr>
            <w:r>
              <w:rPr>
                <w:color w:val="auto"/>
                <w:sz w:val="22"/>
                <w:szCs w:val="22"/>
              </w:rPr>
              <w:t>Урок 143</w:t>
            </w:r>
          </w:p>
        </w:tc>
        <w:tc>
          <w:tcPr>
            <w:tcW w:w="7937" w:type="dxa"/>
          </w:tcPr>
          <w:p w14:paraId="2B171A7A">
            <w:pPr>
              <w:pStyle w:val="85"/>
              <w:jc w:val="both"/>
              <w:rPr>
                <w:color w:val="auto"/>
                <w:sz w:val="22"/>
                <w:szCs w:val="22"/>
              </w:rPr>
            </w:pPr>
            <w:r>
              <w:rPr>
                <w:color w:val="auto"/>
                <w:sz w:val="22"/>
                <w:szCs w:val="22"/>
              </w:rPr>
              <w:t>Слова, близкие по значению</w:t>
            </w:r>
          </w:p>
        </w:tc>
      </w:tr>
      <w:tr w14:paraId="0EFC3A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0CDDAD46">
            <w:pPr>
              <w:pStyle w:val="85"/>
              <w:jc w:val="center"/>
              <w:rPr>
                <w:color w:val="auto"/>
                <w:sz w:val="22"/>
                <w:szCs w:val="22"/>
              </w:rPr>
            </w:pPr>
            <w:r>
              <w:rPr>
                <w:color w:val="auto"/>
                <w:sz w:val="22"/>
                <w:szCs w:val="22"/>
              </w:rPr>
              <w:t>Урок 144</w:t>
            </w:r>
          </w:p>
        </w:tc>
        <w:tc>
          <w:tcPr>
            <w:tcW w:w="7937" w:type="dxa"/>
          </w:tcPr>
          <w:p w14:paraId="1B87C68F">
            <w:pPr>
              <w:pStyle w:val="85"/>
              <w:jc w:val="both"/>
              <w:rPr>
                <w:color w:val="auto"/>
                <w:sz w:val="22"/>
                <w:szCs w:val="22"/>
              </w:rPr>
            </w:pPr>
            <w:r>
              <w:rPr>
                <w:color w:val="auto"/>
                <w:sz w:val="22"/>
                <w:szCs w:val="22"/>
              </w:rPr>
              <w:t>Объяснительный диктант</w:t>
            </w:r>
          </w:p>
        </w:tc>
      </w:tr>
      <w:tr w14:paraId="1BF10A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67D52B9B">
            <w:pPr>
              <w:pStyle w:val="85"/>
              <w:jc w:val="center"/>
              <w:rPr>
                <w:color w:val="auto"/>
                <w:sz w:val="22"/>
                <w:szCs w:val="22"/>
              </w:rPr>
            </w:pPr>
            <w:r>
              <w:rPr>
                <w:color w:val="auto"/>
                <w:sz w:val="22"/>
                <w:szCs w:val="22"/>
              </w:rPr>
              <w:t>Урок 145</w:t>
            </w:r>
          </w:p>
        </w:tc>
        <w:tc>
          <w:tcPr>
            <w:tcW w:w="7937" w:type="dxa"/>
          </w:tcPr>
          <w:p w14:paraId="77485C94">
            <w:pPr>
              <w:pStyle w:val="85"/>
              <w:jc w:val="both"/>
              <w:rPr>
                <w:color w:val="auto"/>
                <w:sz w:val="22"/>
                <w:szCs w:val="22"/>
              </w:rPr>
            </w:pPr>
            <w:r>
              <w:rPr>
                <w:color w:val="auto"/>
                <w:sz w:val="22"/>
                <w:szCs w:val="22"/>
              </w:rPr>
              <w:t>Правила оформления предложений: заглавная буква в начале и знак в конце предложения</w:t>
            </w:r>
          </w:p>
        </w:tc>
      </w:tr>
      <w:tr w14:paraId="505365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66063FF0">
            <w:pPr>
              <w:pStyle w:val="85"/>
              <w:jc w:val="center"/>
              <w:rPr>
                <w:color w:val="auto"/>
                <w:sz w:val="22"/>
                <w:szCs w:val="22"/>
              </w:rPr>
            </w:pPr>
            <w:r>
              <w:rPr>
                <w:color w:val="auto"/>
                <w:sz w:val="22"/>
                <w:szCs w:val="22"/>
              </w:rPr>
              <w:t>Урок 146</w:t>
            </w:r>
          </w:p>
        </w:tc>
        <w:tc>
          <w:tcPr>
            <w:tcW w:w="7937" w:type="dxa"/>
          </w:tcPr>
          <w:p w14:paraId="00510384">
            <w:pPr>
              <w:pStyle w:val="85"/>
              <w:jc w:val="both"/>
              <w:rPr>
                <w:color w:val="auto"/>
                <w:sz w:val="22"/>
                <w:szCs w:val="22"/>
              </w:rPr>
            </w:pPr>
            <w:r>
              <w:rPr>
                <w:color w:val="auto"/>
                <w:sz w:val="22"/>
                <w:szCs w:val="22"/>
              </w:rPr>
              <w:t>Составление предложений из набора форм слов</w:t>
            </w:r>
          </w:p>
        </w:tc>
      </w:tr>
      <w:tr w14:paraId="55CD28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50E5E334">
            <w:pPr>
              <w:pStyle w:val="85"/>
              <w:jc w:val="center"/>
              <w:rPr>
                <w:color w:val="auto"/>
                <w:sz w:val="22"/>
                <w:szCs w:val="22"/>
              </w:rPr>
            </w:pPr>
            <w:r>
              <w:rPr>
                <w:color w:val="auto"/>
                <w:sz w:val="22"/>
                <w:szCs w:val="22"/>
              </w:rPr>
              <w:t>Урок 147</w:t>
            </w:r>
          </w:p>
        </w:tc>
        <w:tc>
          <w:tcPr>
            <w:tcW w:w="7937" w:type="dxa"/>
          </w:tcPr>
          <w:p w14:paraId="146B98B6">
            <w:pPr>
              <w:pStyle w:val="85"/>
              <w:jc w:val="both"/>
              <w:rPr>
                <w:color w:val="auto"/>
                <w:sz w:val="22"/>
                <w:szCs w:val="22"/>
              </w:rPr>
            </w:pPr>
            <w:r>
              <w:rPr>
                <w:color w:val="auto"/>
                <w:sz w:val="22"/>
                <w:szCs w:val="22"/>
              </w:rPr>
              <w:t>Речевой этикет: ситуация обращение с просьбой</w:t>
            </w:r>
          </w:p>
        </w:tc>
      </w:tr>
      <w:tr w14:paraId="20705E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245A5B33">
            <w:pPr>
              <w:pStyle w:val="85"/>
              <w:jc w:val="center"/>
              <w:rPr>
                <w:color w:val="auto"/>
                <w:sz w:val="22"/>
                <w:szCs w:val="22"/>
              </w:rPr>
            </w:pPr>
            <w:r>
              <w:rPr>
                <w:color w:val="auto"/>
                <w:sz w:val="22"/>
                <w:szCs w:val="22"/>
              </w:rPr>
              <w:t>Урок 148</w:t>
            </w:r>
          </w:p>
        </w:tc>
        <w:tc>
          <w:tcPr>
            <w:tcW w:w="7937" w:type="dxa"/>
          </w:tcPr>
          <w:p w14:paraId="0930758D">
            <w:pPr>
              <w:pStyle w:val="85"/>
              <w:jc w:val="both"/>
              <w:rPr>
                <w:color w:val="auto"/>
                <w:sz w:val="22"/>
                <w:szCs w:val="22"/>
              </w:rPr>
            </w:pPr>
            <w:r>
              <w:rPr>
                <w:color w:val="auto"/>
                <w:sz w:val="22"/>
                <w:szCs w:val="22"/>
              </w:rPr>
              <w:t>Установление соотношения звукового и буквенного состава слова</w:t>
            </w:r>
          </w:p>
        </w:tc>
      </w:tr>
      <w:tr w14:paraId="45A0DD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71700714">
            <w:pPr>
              <w:pStyle w:val="85"/>
              <w:jc w:val="center"/>
              <w:rPr>
                <w:color w:val="auto"/>
                <w:sz w:val="22"/>
                <w:szCs w:val="22"/>
              </w:rPr>
            </w:pPr>
            <w:r>
              <w:rPr>
                <w:color w:val="auto"/>
                <w:sz w:val="22"/>
                <w:szCs w:val="22"/>
              </w:rPr>
              <w:t>Урок 149</w:t>
            </w:r>
          </w:p>
        </w:tc>
        <w:tc>
          <w:tcPr>
            <w:tcW w:w="7937" w:type="dxa"/>
          </w:tcPr>
          <w:p w14:paraId="362A8A43">
            <w:pPr>
              <w:pStyle w:val="85"/>
              <w:jc w:val="both"/>
              <w:rPr>
                <w:color w:val="auto"/>
                <w:sz w:val="22"/>
                <w:szCs w:val="22"/>
              </w:rPr>
            </w:pPr>
            <w:r>
              <w:rPr>
                <w:color w:val="auto"/>
                <w:sz w:val="22"/>
                <w:szCs w:val="22"/>
              </w:rPr>
              <w:t>Звуки речи. Гласные и согласные звуки, их различение</w:t>
            </w:r>
          </w:p>
        </w:tc>
      </w:tr>
      <w:tr w14:paraId="304362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05F83DAF">
            <w:pPr>
              <w:pStyle w:val="85"/>
              <w:jc w:val="center"/>
              <w:rPr>
                <w:color w:val="auto"/>
                <w:sz w:val="22"/>
                <w:szCs w:val="22"/>
              </w:rPr>
            </w:pPr>
            <w:r>
              <w:rPr>
                <w:color w:val="auto"/>
                <w:sz w:val="22"/>
                <w:szCs w:val="22"/>
              </w:rPr>
              <w:t>Урок 150</w:t>
            </w:r>
          </w:p>
        </w:tc>
        <w:tc>
          <w:tcPr>
            <w:tcW w:w="7937" w:type="dxa"/>
          </w:tcPr>
          <w:p w14:paraId="092B019E">
            <w:pPr>
              <w:pStyle w:val="85"/>
              <w:jc w:val="both"/>
              <w:rPr>
                <w:color w:val="auto"/>
                <w:sz w:val="22"/>
                <w:szCs w:val="22"/>
              </w:rPr>
            </w:pPr>
            <w:r>
              <w:rPr>
                <w:color w:val="auto"/>
                <w:sz w:val="22"/>
                <w:szCs w:val="22"/>
              </w:rPr>
              <w:t>Отработка алгоритма списывания текста</w:t>
            </w:r>
          </w:p>
        </w:tc>
      </w:tr>
      <w:tr w14:paraId="3943B4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6481E56C">
            <w:pPr>
              <w:pStyle w:val="85"/>
              <w:jc w:val="center"/>
              <w:rPr>
                <w:color w:val="auto"/>
                <w:sz w:val="22"/>
                <w:szCs w:val="22"/>
              </w:rPr>
            </w:pPr>
            <w:r>
              <w:rPr>
                <w:color w:val="auto"/>
                <w:sz w:val="22"/>
                <w:szCs w:val="22"/>
              </w:rPr>
              <w:t>Урок 151</w:t>
            </w:r>
          </w:p>
        </w:tc>
        <w:tc>
          <w:tcPr>
            <w:tcW w:w="7937" w:type="dxa"/>
          </w:tcPr>
          <w:p w14:paraId="214EF849">
            <w:pPr>
              <w:pStyle w:val="85"/>
              <w:jc w:val="both"/>
              <w:rPr>
                <w:color w:val="auto"/>
                <w:sz w:val="22"/>
                <w:szCs w:val="22"/>
              </w:rPr>
            </w:pPr>
            <w:r>
              <w:rPr>
                <w:color w:val="auto"/>
                <w:sz w:val="22"/>
                <w:szCs w:val="22"/>
              </w:rPr>
              <w:t>Речевой этикет: ситуация благодарности</w:t>
            </w:r>
          </w:p>
        </w:tc>
      </w:tr>
      <w:tr w14:paraId="7D2FCC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14F87FCA">
            <w:pPr>
              <w:pStyle w:val="85"/>
              <w:jc w:val="center"/>
              <w:rPr>
                <w:color w:val="auto"/>
                <w:sz w:val="22"/>
                <w:szCs w:val="22"/>
              </w:rPr>
            </w:pPr>
            <w:r>
              <w:rPr>
                <w:color w:val="auto"/>
                <w:sz w:val="22"/>
                <w:szCs w:val="22"/>
              </w:rPr>
              <w:t>Урок 152</w:t>
            </w:r>
          </w:p>
        </w:tc>
        <w:tc>
          <w:tcPr>
            <w:tcW w:w="7937" w:type="dxa"/>
          </w:tcPr>
          <w:p w14:paraId="50FF1E4E">
            <w:pPr>
              <w:pStyle w:val="85"/>
              <w:jc w:val="both"/>
              <w:rPr>
                <w:color w:val="auto"/>
                <w:sz w:val="22"/>
                <w:szCs w:val="22"/>
              </w:rPr>
            </w:pPr>
            <w:r>
              <w:rPr>
                <w:color w:val="auto"/>
                <w:sz w:val="22"/>
                <w:szCs w:val="22"/>
              </w:rPr>
              <w:t>Закрепление правописания гласных после шипящих в сочетаниях ча, ща, чу, щу</w:t>
            </w:r>
          </w:p>
        </w:tc>
      </w:tr>
      <w:tr w14:paraId="7B29AC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0631E90F">
            <w:pPr>
              <w:pStyle w:val="85"/>
              <w:jc w:val="center"/>
              <w:rPr>
                <w:color w:val="auto"/>
                <w:sz w:val="22"/>
                <w:szCs w:val="22"/>
              </w:rPr>
            </w:pPr>
            <w:r>
              <w:rPr>
                <w:color w:val="auto"/>
                <w:sz w:val="22"/>
                <w:szCs w:val="22"/>
              </w:rPr>
              <w:t>Урок 153</w:t>
            </w:r>
          </w:p>
        </w:tc>
        <w:tc>
          <w:tcPr>
            <w:tcW w:w="7937" w:type="dxa"/>
          </w:tcPr>
          <w:p w14:paraId="5306585C">
            <w:pPr>
              <w:pStyle w:val="85"/>
              <w:jc w:val="both"/>
              <w:rPr>
                <w:color w:val="auto"/>
                <w:sz w:val="22"/>
                <w:szCs w:val="22"/>
              </w:rPr>
            </w:pPr>
            <w:r>
              <w:rPr>
                <w:color w:val="auto"/>
                <w:sz w:val="22"/>
                <w:szCs w:val="22"/>
              </w:rPr>
              <w:t>Слово как единица языка</w:t>
            </w:r>
          </w:p>
        </w:tc>
      </w:tr>
      <w:tr w14:paraId="0A8372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772334B4">
            <w:pPr>
              <w:pStyle w:val="85"/>
              <w:jc w:val="center"/>
              <w:rPr>
                <w:color w:val="auto"/>
                <w:sz w:val="22"/>
                <w:szCs w:val="22"/>
              </w:rPr>
            </w:pPr>
            <w:r>
              <w:rPr>
                <w:color w:val="auto"/>
                <w:sz w:val="22"/>
                <w:szCs w:val="22"/>
              </w:rPr>
              <w:t>Урок 154</w:t>
            </w:r>
          </w:p>
        </w:tc>
        <w:tc>
          <w:tcPr>
            <w:tcW w:w="7937" w:type="dxa"/>
          </w:tcPr>
          <w:p w14:paraId="44A5AA14">
            <w:pPr>
              <w:pStyle w:val="85"/>
              <w:jc w:val="both"/>
              <w:rPr>
                <w:color w:val="auto"/>
                <w:sz w:val="22"/>
                <w:szCs w:val="22"/>
              </w:rPr>
            </w:pPr>
            <w:r>
              <w:rPr>
                <w:color w:val="auto"/>
                <w:sz w:val="22"/>
                <w:szCs w:val="22"/>
              </w:rPr>
              <w:t>Гласные ударные и безударные. Ударение в слове</w:t>
            </w:r>
          </w:p>
        </w:tc>
      </w:tr>
      <w:tr w14:paraId="6C2B02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066DEBA2">
            <w:pPr>
              <w:pStyle w:val="85"/>
              <w:jc w:val="center"/>
              <w:rPr>
                <w:color w:val="auto"/>
                <w:sz w:val="22"/>
                <w:szCs w:val="22"/>
              </w:rPr>
            </w:pPr>
            <w:r>
              <w:rPr>
                <w:color w:val="auto"/>
                <w:sz w:val="22"/>
                <w:szCs w:val="22"/>
              </w:rPr>
              <w:t>Урок 155</w:t>
            </w:r>
          </w:p>
        </w:tc>
        <w:tc>
          <w:tcPr>
            <w:tcW w:w="7937" w:type="dxa"/>
          </w:tcPr>
          <w:p w14:paraId="4426549C">
            <w:pPr>
              <w:pStyle w:val="85"/>
              <w:jc w:val="both"/>
              <w:rPr>
                <w:color w:val="auto"/>
                <w:sz w:val="22"/>
                <w:szCs w:val="22"/>
              </w:rPr>
            </w:pPr>
            <w:r>
              <w:rPr>
                <w:color w:val="auto"/>
                <w:sz w:val="22"/>
                <w:szCs w:val="22"/>
              </w:rPr>
              <w:t>Обучение приемам самопроверки после списывания текста</w:t>
            </w:r>
          </w:p>
        </w:tc>
      </w:tr>
      <w:tr w14:paraId="3D35C8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6B796135">
            <w:pPr>
              <w:pStyle w:val="85"/>
              <w:jc w:val="center"/>
              <w:rPr>
                <w:color w:val="auto"/>
                <w:sz w:val="22"/>
                <w:szCs w:val="22"/>
              </w:rPr>
            </w:pPr>
            <w:r>
              <w:rPr>
                <w:color w:val="auto"/>
                <w:sz w:val="22"/>
                <w:szCs w:val="22"/>
              </w:rPr>
              <w:t>Урок 156</w:t>
            </w:r>
          </w:p>
        </w:tc>
        <w:tc>
          <w:tcPr>
            <w:tcW w:w="7937" w:type="dxa"/>
          </w:tcPr>
          <w:p w14:paraId="15F2E5FE">
            <w:pPr>
              <w:pStyle w:val="85"/>
              <w:jc w:val="both"/>
              <w:rPr>
                <w:color w:val="auto"/>
                <w:sz w:val="22"/>
                <w:szCs w:val="22"/>
              </w:rPr>
            </w:pPr>
            <w:r>
              <w:rPr>
                <w:color w:val="auto"/>
                <w:sz w:val="22"/>
                <w:szCs w:val="22"/>
              </w:rPr>
              <w:t>Предложение как единица языка</w:t>
            </w:r>
          </w:p>
        </w:tc>
      </w:tr>
      <w:tr w14:paraId="163CE3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32BA4AD4">
            <w:pPr>
              <w:pStyle w:val="85"/>
              <w:jc w:val="center"/>
              <w:rPr>
                <w:color w:val="auto"/>
                <w:sz w:val="22"/>
                <w:szCs w:val="22"/>
              </w:rPr>
            </w:pPr>
            <w:r>
              <w:rPr>
                <w:color w:val="auto"/>
                <w:sz w:val="22"/>
                <w:szCs w:val="22"/>
              </w:rPr>
              <w:t>Урок 157</w:t>
            </w:r>
          </w:p>
        </w:tc>
        <w:tc>
          <w:tcPr>
            <w:tcW w:w="7937" w:type="dxa"/>
          </w:tcPr>
          <w:p w14:paraId="4C4D6CE4">
            <w:pPr>
              <w:pStyle w:val="85"/>
              <w:jc w:val="both"/>
              <w:rPr>
                <w:color w:val="auto"/>
                <w:sz w:val="22"/>
                <w:szCs w:val="22"/>
              </w:rPr>
            </w:pPr>
            <w:r>
              <w:rPr>
                <w:color w:val="auto"/>
                <w:sz w:val="22"/>
                <w:szCs w:val="22"/>
              </w:rPr>
              <w:t>Текст как единица речи</w:t>
            </w:r>
          </w:p>
        </w:tc>
      </w:tr>
      <w:tr w14:paraId="624D91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18F1102D">
            <w:pPr>
              <w:pStyle w:val="85"/>
              <w:jc w:val="center"/>
              <w:rPr>
                <w:color w:val="auto"/>
                <w:sz w:val="22"/>
                <w:szCs w:val="22"/>
              </w:rPr>
            </w:pPr>
            <w:r>
              <w:rPr>
                <w:color w:val="auto"/>
                <w:sz w:val="22"/>
                <w:szCs w:val="22"/>
              </w:rPr>
              <w:t>Урок 158</w:t>
            </w:r>
          </w:p>
        </w:tc>
        <w:tc>
          <w:tcPr>
            <w:tcW w:w="7937" w:type="dxa"/>
          </w:tcPr>
          <w:p w14:paraId="46512E53">
            <w:pPr>
              <w:pStyle w:val="85"/>
              <w:jc w:val="both"/>
              <w:rPr>
                <w:color w:val="auto"/>
                <w:sz w:val="22"/>
                <w:szCs w:val="22"/>
              </w:rPr>
            </w:pPr>
            <w:r>
              <w:rPr>
                <w:color w:val="auto"/>
                <w:sz w:val="22"/>
                <w:szCs w:val="22"/>
              </w:rPr>
              <w:t>Правописание сочетаний чк, чн</w:t>
            </w:r>
          </w:p>
        </w:tc>
      </w:tr>
      <w:tr w14:paraId="5243C0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32B1D643">
            <w:pPr>
              <w:pStyle w:val="85"/>
              <w:jc w:val="center"/>
              <w:rPr>
                <w:color w:val="auto"/>
                <w:sz w:val="22"/>
                <w:szCs w:val="22"/>
              </w:rPr>
            </w:pPr>
            <w:r>
              <w:rPr>
                <w:color w:val="auto"/>
                <w:sz w:val="22"/>
                <w:szCs w:val="22"/>
              </w:rPr>
              <w:t>Урок 159</w:t>
            </w:r>
          </w:p>
        </w:tc>
        <w:tc>
          <w:tcPr>
            <w:tcW w:w="7937" w:type="dxa"/>
          </w:tcPr>
          <w:p w14:paraId="0500A6AA">
            <w:pPr>
              <w:pStyle w:val="85"/>
              <w:jc w:val="both"/>
              <w:rPr>
                <w:color w:val="auto"/>
                <w:sz w:val="22"/>
                <w:szCs w:val="22"/>
              </w:rPr>
            </w:pPr>
            <w:r>
              <w:rPr>
                <w:color w:val="auto"/>
                <w:sz w:val="22"/>
                <w:szCs w:val="22"/>
              </w:rPr>
              <w:t>Учимся запоминать слова с непроверяемыми гласными и согласными</w:t>
            </w:r>
          </w:p>
        </w:tc>
      </w:tr>
      <w:tr w14:paraId="4B93BB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134" w:type="dxa"/>
            <w:vAlign w:val="center"/>
          </w:tcPr>
          <w:p w14:paraId="773EBCD4">
            <w:pPr>
              <w:pStyle w:val="85"/>
              <w:jc w:val="center"/>
              <w:rPr>
                <w:color w:val="auto"/>
                <w:sz w:val="22"/>
                <w:szCs w:val="22"/>
              </w:rPr>
            </w:pPr>
            <w:r>
              <w:rPr>
                <w:color w:val="auto"/>
                <w:sz w:val="22"/>
                <w:szCs w:val="22"/>
              </w:rPr>
              <w:t>Урок 160</w:t>
            </w:r>
          </w:p>
        </w:tc>
        <w:tc>
          <w:tcPr>
            <w:tcW w:w="7937" w:type="dxa"/>
          </w:tcPr>
          <w:p w14:paraId="4AEE9F69">
            <w:pPr>
              <w:pStyle w:val="85"/>
              <w:jc w:val="both"/>
              <w:rPr>
                <w:color w:val="auto"/>
                <w:sz w:val="22"/>
                <w:szCs w:val="22"/>
              </w:rPr>
            </w:pPr>
            <w:r>
              <w:rPr>
                <w:color w:val="auto"/>
                <w:sz w:val="22"/>
                <w:szCs w:val="22"/>
              </w:rPr>
              <w:t>Закрепление правописания слов с сочетаниями чк, чн</w:t>
            </w:r>
          </w:p>
        </w:tc>
      </w:tr>
      <w:tr w14:paraId="7E4AE5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3024F8FF">
            <w:pPr>
              <w:pStyle w:val="85"/>
              <w:jc w:val="center"/>
              <w:rPr>
                <w:color w:val="auto"/>
                <w:sz w:val="22"/>
                <w:szCs w:val="22"/>
              </w:rPr>
            </w:pPr>
            <w:r>
              <w:rPr>
                <w:color w:val="auto"/>
                <w:sz w:val="22"/>
                <w:szCs w:val="22"/>
              </w:rPr>
              <w:t>Урок 161</w:t>
            </w:r>
          </w:p>
        </w:tc>
        <w:tc>
          <w:tcPr>
            <w:tcW w:w="7937" w:type="dxa"/>
          </w:tcPr>
          <w:p w14:paraId="13BA771D">
            <w:pPr>
              <w:pStyle w:val="85"/>
              <w:jc w:val="both"/>
              <w:rPr>
                <w:color w:val="auto"/>
                <w:sz w:val="22"/>
                <w:szCs w:val="22"/>
              </w:rPr>
            </w:pPr>
            <w:r>
              <w:rPr>
                <w:color w:val="auto"/>
                <w:sz w:val="22"/>
                <w:szCs w:val="22"/>
              </w:rPr>
              <w:t>Составление небольших устных рассказов на основе наблюдений</w:t>
            </w:r>
          </w:p>
        </w:tc>
      </w:tr>
      <w:tr w14:paraId="66EC2F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67299436">
            <w:pPr>
              <w:pStyle w:val="85"/>
              <w:jc w:val="center"/>
              <w:rPr>
                <w:color w:val="auto"/>
                <w:sz w:val="22"/>
                <w:szCs w:val="22"/>
              </w:rPr>
            </w:pPr>
            <w:r>
              <w:rPr>
                <w:color w:val="auto"/>
                <w:sz w:val="22"/>
                <w:szCs w:val="22"/>
              </w:rPr>
              <w:t>Урок 162</w:t>
            </w:r>
          </w:p>
        </w:tc>
        <w:tc>
          <w:tcPr>
            <w:tcW w:w="7937" w:type="dxa"/>
          </w:tcPr>
          <w:p w14:paraId="5B73550D">
            <w:pPr>
              <w:pStyle w:val="85"/>
              <w:jc w:val="both"/>
              <w:rPr>
                <w:color w:val="auto"/>
                <w:sz w:val="22"/>
                <w:szCs w:val="22"/>
              </w:rPr>
            </w:pPr>
            <w:r>
              <w:rPr>
                <w:color w:val="auto"/>
                <w:sz w:val="22"/>
                <w:szCs w:val="22"/>
              </w:rPr>
              <w:t>Восстановление деформированного текста</w:t>
            </w:r>
          </w:p>
        </w:tc>
      </w:tr>
      <w:tr w14:paraId="45DF4C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0CD35485">
            <w:pPr>
              <w:pStyle w:val="85"/>
              <w:jc w:val="center"/>
              <w:rPr>
                <w:color w:val="auto"/>
                <w:sz w:val="22"/>
                <w:szCs w:val="22"/>
              </w:rPr>
            </w:pPr>
            <w:r>
              <w:rPr>
                <w:color w:val="auto"/>
                <w:sz w:val="22"/>
                <w:szCs w:val="22"/>
              </w:rPr>
              <w:t>Урок 163</w:t>
            </w:r>
          </w:p>
        </w:tc>
        <w:tc>
          <w:tcPr>
            <w:tcW w:w="7937" w:type="dxa"/>
          </w:tcPr>
          <w:p w14:paraId="558AC7E0">
            <w:pPr>
              <w:pStyle w:val="85"/>
              <w:jc w:val="both"/>
              <w:rPr>
                <w:color w:val="auto"/>
                <w:sz w:val="22"/>
                <w:szCs w:val="22"/>
              </w:rPr>
            </w:pPr>
            <w:r>
              <w:rPr>
                <w:color w:val="auto"/>
                <w:sz w:val="22"/>
                <w:szCs w:val="22"/>
              </w:rPr>
              <w:t>Восстановление деформированных предложений</w:t>
            </w:r>
          </w:p>
        </w:tc>
      </w:tr>
      <w:tr w14:paraId="73CBD6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773B347B">
            <w:pPr>
              <w:pStyle w:val="85"/>
              <w:jc w:val="center"/>
              <w:rPr>
                <w:color w:val="auto"/>
                <w:sz w:val="22"/>
                <w:szCs w:val="22"/>
              </w:rPr>
            </w:pPr>
            <w:r>
              <w:rPr>
                <w:color w:val="auto"/>
                <w:sz w:val="22"/>
                <w:szCs w:val="22"/>
              </w:rPr>
              <w:t>Урок 164</w:t>
            </w:r>
          </w:p>
        </w:tc>
        <w:tc>
          <w:tcPr>
            <w:tcW w:w="7937" w:type="dxa"/>
          </w:tcPr>
          <w:p w14:paraId="788F1472">
            <w:pPr>
              <w:pStyle w:val="85"/>
              <w:jc w:val="both"/>
              <w:rPr>
                <w:color w:val="auto"/>
                <w:sz w:val="22"/>
                <w:szCs w:val="22"/>
              </w:rPr>
            </w:pPr>
            <w:r>
              <w:rPr>
                <w:color w:val="auto"/>
                <w:sz w:val="22"/>
                <w:szCs w:val="22"/>
              </w:rPr>
              <w:t>Алфавит</w:t>
            </w:r>
          </w:p>
        </w:tc>
      </w:tr>
      <w:tr w14:paraId="137BA8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1AF93EB9">
            <w:pPr>
              <w:pStyle w:val="85"/>
              <w:jc w:val="center"/>
              <w:rPr>
                <w:color w:val="auto"/>
                <w:sz w:val="22"/>
                <w:szCs w:val="22"/>
              </w:rPr>
            </w:pPr>
            <w:r>
              <w:rPr>
                <w:color w:val="auto"/>
                <w:sz w:val="22"/>
                <w:szCs w:val="22"/>
              </w:rPr>
              <w:t>Урок 165</w:t>
            </w:r>
          </w:p>
        </w:tc>
        <w:tc>
          <w:tcPr>
            <w:tcW w:w="7937" w:type="dxa"/>
          </w:tcPr>
          <w:p w14:paraId="06A191B7">
            <w:pPr>
              <w:pStyle w:val="85"/>
              <w:jc w:val="both"/>
              <w:rPr>
                <w:color w:val="auto"/>
                <w:sz w:val="22"/>
                <w:szCs w:val="22"/>
              </w:rPr>
            </w:pPr>
            <w:r>
              <w:rPr>
                <w:color w:val="auto"/>
                <w:sz w:val="22"/>
                <w:szCs w:val="22"/>
              </w:rPr>
              <w:t>Использование алфавита для упорядочения списка слов</w:t>
            </w:r>
          </w:p>
        </w:tc>
      </w:tr>
      <w:tr w14:paraId="3E4E8B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9071" w:type="dxa"/>
            <w:gridSpan w:val="2"/>
          </w:tcPr>
          <w:p w14:paraId="5BE7B49E">
            <w:pPr>
              <w:pStyle w:val="85"/>
              <w:jc w:val="both"/>
              <w:rPr>
                <w:color w:val="auto"/>
                <w:sz w:val="22"/>
                <w:szCs w:val="22"/>
              </w:rPr>
            </w:pPr>
            <w:r>
              <w:rPr>
                <w:color w:val="auto"/>
                <w:sz w:val="22"/>
                <w:szCs w:val="22"/>
              </w:rPr>
              <w:t>ОБЩЕЕ КОЛИЧЕСТВО УРОКОВ ПО ПРОГРАММЕ: 165</w:t>
            </w:r>
          </w:p>
        </w:tc>
      </w:tr>
    </w:tbl>
    <w:p w14:paraId="352E0A56">
      <w:pPr>
        <w:pStyle w:val="85"/>
        <w:jc w:val="both"/>
        <w:rPr>
          <w:color w:val="auto"/>
          <w:sz w:val="22"/>
          <w:szCs w:val="22"/>
        </w:rPr>
      </w:pPr>
    </w:p>
    <w:p w14:paraId="0FE0C822">
      <w:pPr>
        <w:pStyle w:val="85"/>
        <w:jc w:val="right"/>
        <w:rPr>
          <w:color w:val="auto"/>
          <w:sz w:val="22"/>
          <w:szCs w:val="22"/>
        </w:rPr>
      </w:pPr>
      <w:r>
        <w:rPr>
          <w:color w:val="auto"/>
          <w:sz w:val="22"/>
          <w:szCs w:val="22"/>
        </w:rPr>
        <w:t>Таблица 2.5</w:t>
      </w:r>
    </w:p>
    <w:p w14:paraId="7EC649AE">
      <w:pPr>
        <w:pStyle w:val="85"/>
        <w:jc w:val="both"/>
        <w:rPr>
          <w:color w:val="auto"/>
          <w:sz w:val="22"/>
          <w:szCs w:val="22"/>
        </w:rPr>
      </w:pPr>
    </w:p>
    <w:p w14:paraId="409BA45A">
      <w:pPr>
        <w:pStyle w:val="85"/>
        <w:jc w:val="both"/>
        <w:rPr>
          <w:color w:val="auto"/>
          <w:sz w:val="22"/>
          <w:szCs w:val="22"/>
        </w:rPr>
      </w:pPr>
      <w:r>
        <w:rPr>
          <w:color w:val="auto"/>
          <w:sz w:val="22"/>
          <w:szCs w:val="22"/>
        </w:rPr>
        <w:t>2 класс</w:t>
      </w:r>
    </w:p>
    <w:p w14:paraId="1951D109">
      <w:pPr>
        <w:pStyle w:val="85"/>
        <w:jc w:val="both"/>
        <w:rPr>
          <w:color w:val="auto"/>
          <w:sz w:val="22"/>
          <w:szCs w:val="22"/>
        </w:rPr>
      </w:pPr>
    </w:p>
    <w:tbl>
      <w:tblPr>
        <w:tblStyle w:val="1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02" w:type="dxa"/>
          <w:left w:w="62" w:type="dxa"/>
          <w:bottom w:w="102" w:type="dxa"/>
          <w:right w:w="62" w:type="dxa"/>
        </w:tblCellMar>
      </w:tblPr>
      <w:tblGrid>
        <w:gridCol w:w="1134"/>
        <w:gridCol w:w="7937"/>
      </w:tblGrid>
      <w:tr w14:paraId="74C4CF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tcPr>
          <w:p w14:paraId="56F6ED5F">
            <w:pPr>
              <w:pStyle w:val="85"/>
              <w:jc w:val="center"/>
              <w:rPr>
                <w:color w:val="auto"/>
                <w:sz w:val="22"/>
                <w:szCs w:val="22"/>
              </w:rPr>
            </w:pPr>
            <w:r>
              <w:rPr>
                <w:color w:val="auto"/>
                <w:sz w:val="22"/>
                <w:szCs w:val="22"/>
              </w:rPr>
              <w:t>N урока</w:t>
            </w:r>
          </w:p>
        </w:tc>
        <w:tc>
          <w:tcPr>
            <w:tcW w:w="7937" w:type="dxa"/>
          </w:tcPr>
          <w:p w14:paraId="4F05AF0B">
            <w:pPr>
              <w:pStyle w:val="85"/>
              <w:jc w:val="center"/>
              <w:rPr>
                <w:color w:val="auto"/>
                <w:sz w:val="22"/>
                <w:szCs w:val="22"/>
              </w:rPr>
            </w:pPr>
            <w:r>
              <w:rPr>
                <w:color w:val="auto"/>
                <w:sz w:val="22"/>
                <w:szCs w:val="22"/>
              </w:rPr>
              <w:t>Тема урока</w:t>
            </w:r>
          </w:p>
        </w:tc>
      </w:tr>
      <w:tr w14:paraId="75D3C8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76D27E99">
            <w:pPr>
              <w:pStyle w:val="85"/>
              <w:jc w:val="center"/>
              <w:rPr>
                <w:color w:val="auto"/>
                <w:sz w:val="22"/>
                <w:szCs w:val="22"/>
              </w:rPr>
            </w:pPr>
            <w:r>
              <w:rPr>
                <w:color w:val="auto"/>
                <w:sz w:val="22"/>
                <w:szCs w:val="22"/>
              </w:rPr>
              <w:t>Урок 1</w:t>
            </w:r>
          </w:p>
        </w:tc>
        <w:tc>
          <w:tcPr>
            <w:tcW w:w="7937" w:type="dxa"/>
          </w:tcPr>
          <w:p w14:paraId="41D531F4">
            <w:pPr>
              <w:pStyle w:val="85"/>
              <w:jc w:val="both"/>
              <w:rPr>
                <w:color w:val="auto"/>
                <w:sz w:val="22"/>
                <w:szCs w:val="22"/>
              </w:rPr>
            </w:pPr>
            <w:r>
              <w:rPr>
                <w:color w:val="auto"/>
                <w:sz w:val="22"/>
                <w:szCs w:val="22"/>
              </w:rPr>
              <w:t>Язык как явление национальной культуры. Многообразие языкового пространства России и мира</w:t>
            </w:r>
          </w:p>
        </w:tc>
      </w:tr>
      <w:tr w14:paraId="14B0D4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657B5373">
            <w:pPr>
              <w:pStyle w:val="85"/>
              <w:jc w:val="center"/>
              <w:rPr>
                <w:color w:val="auto"/>
                <w:sz w:val="22"/>
                <w:szCs w:val="22"/>
              </w:rPr>
            </w:pPr>
            <w:r>
              <w:rPr>
                <w:color w:val="auto"/>
                <w:sz w:val="22"/>
                <w:szCs w:val="22"/>
              </w:rPr>
              <w:t>Урок 2</w:t>
            </w:r>
          </w:p>
        </w:tc>
        <w:tc>
          <w:tcPr>
            <w:tcW w:w="7937" w:type="dxa"/>
          </w:tcPr>
          <w:p w14:paraId="0757E7CF">
            <w:pPr>
              <w:pStyle w:val="85"/>
              <w:jc w:val="both"/>
              <w:rPr>
                <w:color w:val="auto"/>
                <w:sz w:val="22"/>
                <w:szCs w:val="22"/>
              </w:rPr>
            </w:pPr>
            <w:r>
              <w:rPr>
                <w:color w:val="auto"/>
                <w:sz w:val="22"/>
                <w:szCs w:val="22"/>
              </w:rPr>
              <w:t>Различение звуков и букв. Различение ударных и безударных гласных звуков</w:t>
            </w:r>
          </w:p>
        </w:tc>
      </w:tr>
      <w:tr w14:paraId="402E22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3BEF12AA">
            <w:pPr>
              <w:pStyle w:val="85"/>
              <w:jc w:val="center"/>
              <w:rPr>
                <w:color w:val="auto"/>
                <w:sz w:val="22"/>
                <w:szCs w:val="22"/>
              </w:rPr>
            </w:pPr>
            <w:r>
              <w:rPr>
                <w:color w:val="auto"/>
                <w:sz w:val="22"/>
                <w:szCs w:val="22"/>
              </w:rPr>
              <w:t>Урок 3</w:t>
            </w:r>
          </w:p>
        </w:tc>
        <w:tc>
          <w:tcPr>
            <w:tcW w:w="7937" w:type="dxa"/>
          </w:tcPr>
          <w:p w14:paraId="228F98B7">
            <w:pPr>
              <w:pStyle w:val="85"/>
              <w:jc w:val="both"/>
              <w:rPr>
                <w:color w:val="auto"/>
                <w:sz w:val="22"/>
                <w:szCs w:val="22"/>
              </w:rPr>
            </w:pPr>
            <w:r>
              <w:rPr>
                <w:color w:val="auto"/>
                <w:sz w:val="22"/>
                <w:szCs w:val="22"/>
              </w:rPr>
              <w:t>Парные и непарные по твердости - мягкости согласные звуки</w:t>
            </w:r>
          </w:p>
        </w:tc>
      </w:tr>
      <w:tr w14:paraId="01764B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7F3D22D5">
            <w:pPr>
              <w:pStyle w:val="85"/>
              <w:jc w:val="center"/>
              <w:rPr>
                <w:color w:val="auto"/>
                <w:sz w:val="22"/>
                <w:szCs w:val="22"/>
              </w:rPr>
            </w:pPr>
            <w:r>
              <w:rPr>
                <w:color w:val="auto"/>
                <w:sz w:val="22"/>
                <w:szCs w:val="22"/>
              </w:rPr>
              <w:t>Урок 4</w:t>
            </w:r>
          </w:p>
        </w:tc>
        <w:tc>
          <w:tcPr>
            <w:tcW w:w="7937" w:type="dxa"/>
          </w:tcPr>
          <w:p w14:paraId="6EE0C982">
            <w:pPr>
              <w:pStyle w:val="85"/>
              <w:jc w:val="both"/>
              <w:rPr>
                <w:color w:val="auto"/>
                <w:sz w:val="22"/>
                <w:szCs w:val="22"/>
              </w:rPr>
            </w:pPr>
            <w:r>
              <w:rPr>
                <w:color w:val="auto"/>
                <w:sz w:val="22"/>
                <w:szCs w:val="22"/>
              </w:rPr>
              <w:t>Гласные после шипящих в сочетаниях жи, ши (в положении под ударением)</w:t>
            </w:r>
          </w:p>
        </w:tc>
      </w:tr>
      <w:tr w14:paraId="126813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02FF5F01">
            <w:pPr>
              <w:pStyle w:val="85"/>
              <w:jc w:val="center"/>
              <w:rPr>
                <w:color w:val="auto"/>
                <w:sz w:val="22"/>
                <w:szCs w:val="22"/>
              </w:rPr>
            </w:pPr>
            <w:r>
              <w:rPr>
                <w:color w:val="auto"/>
                <w:sz w:val="22"/>
                <w:szCs w:val="22"/>
              </w:rPr>
              <w:t>Урок 5</w:t>
            </w:r>
          </w:p>
        </w:tc>
        <w:tc>
          <w:tcPr>
            <w:tcW w:w="7937" w:type="dxa"/>
          </w:tcPr>
          <w:p w14:paraId="5748F6C7">
            <w:pPr>
              <w:pStyle w:val="85"/>
              <w:jc w:val="both"/>
              <w:rPr>
                <w:color w:val="auto"/>
                <w:sz w:val="22"/>
                <w:szCs w:val="22"/>
              </w:rPr>
            </w:pPr>
            <w:r>
              <w:rPr>
                <w:color w:val="auto"/>
                <w:sz w:val="22"/>
                <w:szCs w:val="22"/>
              </w:rPr>
              <w:t>Гласные после шипящих в сочетаниях ча, ща, чу, щу</w:t>
            </w:r>
          </w:p>
        </w:tc>
      </w:tr>
      <w:tr w14:paraId="28574A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68A4F925">
            <w:pPr>
              <w:pStyle w:val="85"/>
              <w:jc w:val="center"/>
              <w:rPr>
                <w:color w:val="auto"/>
                <w:sz w:val="22"/>
                <w:szCs w:val="22"/>
              </w:rPr>
            </w:pPr>
            <w:r>
              <w:rPr>
                <w:color w:val="auto"/>
                <w:sz w:val="22"/>
                <w:szCs w:val="22"/>
              </w:rPr>
              <w:t>Урок 6</w:t>
            </w:r>
          </w:p>
        </w:tc>
        <w:tc>
          <w:tcPr>
            <w:tcW w:w="7937" w:type="dxa"/>
          </w:tcPr>
          <w:p w14:paraId="13B9A1EA">
            <w:pPr>
              <w:pStyle w:val="85"/>
              <w:jc w:val="both"/>
              <w:rPr>
                <w:color w:val="auto"/>
                <w:sz w:val="22"/>
                <w:szCs w:val="22"/>
              </w:rPr>
            </w:pPr>
            <w:r>
              <w:rPr>
                <w:color w:val="auto"/>
                <w:sz w:val="22"/>
                <w:szCs w:val="22"/>
              </w:rPr>
              <w:t>Сочетания чк, чн, чт, щн, нч</w:t>
            </w:r>
          </w:p>
        </w:tc>
      </w:tr>
      <w:tr w14:paraId="6C9544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2BAEF45B">
            <w:pPr>
              <w:pStyle w:val="85"/>
              <w:jc w:val="center"/>
              <w:rPr>
                <w:color w:val="auto"/>
                <w:sz w:val="22"/>
                <w:szCs w:val="22"/>
              </w:rPr>
            </w:pPr>
            <w:r>
              <w:rPr>
                <w:color w:val="auto"/>
                <w:sz w:val="22"/>
                <w:szCs w:val="22"/>
              </w:rPr>
              <w:t>Урок 7</w:t>
            </w:r>
          </w:p>
        </w:tc>
        <w:tc>
          <w:tcPr>
            <w:tcW w:w="7937" w:type="dxa"/>
          </w:tcPr>
          <w:p w14:paraId="7AA7A7FD">
            <w:pPr>
              <w:pStyle w:val="85"/>
              <w:jc w:val="both"/>
              <w:rPr>
                <w:color w:val="auto"/>
                <w:sz w:val="22"/>
                <w:szCs w:val="22"/>
              </w:rPr>
            </w:pPr>
            <w:r>
              <w:rPr>
                <w:color w:val="auto"/>
                <w:sz w:val="22"/>
                <w:szCs w:val="22"/>
              </w:rPr>
              <w:t>Парные и непарные по звонкости - глухости согласные звуки</w:t>
            </w:r>
          </w:p>
        </w:tc>
      </w:tr>
      <w:tr w14:paraId="58E067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79DB61CB">
            <w:pPr>
              <w:pStyle w:val="85"/>
              <w:jc w:val="center"/>
              <w:rPr>
                <w:color w:val="auto"/>
                <w:sz w:val="22"/>
                <w:szCs w:val="22"/>
              </w:rPr>
            </w:pPr>
            <w:r>
              <w:rPr>
                <w:color w:val="auto"/>
                <w:sz w:val="22"/>
                <w:szCs w:val="22"/>
              </w:rPr>
              <w:t>Урок 8</w:t>
            </w:r>
          </w:p>
        </w:tc>
        <w:tc>
          <w:tcPr>
            <w:tcW w:w="7937" w:type="dxa"/>
          </w:tcPr>
          <w:p w14:paraId="46937691">
            <w:pPr>
              <w:pStyle w:val="85"/>
              <w:jc w:val="both"/>
              <w:rPr>
                <w:color w:val="auto"/>
                <w:sz w:val="22"/>
                <w:szCs w:val="22"/>
              </w:rPr>
            </w:pPr>
            <w:r>
              <w:rPr>
                <w:color w:val="auto"/>
                <w:sz w:val="22"/>
                <w:szCs w:val="22"/>
              </w:rPr>
              <w:t>Повторение алгоритма списывания текста</w:t>
            </w:r>
          </w:p>
        </w:tc>
      </w:tr>
      <w:tr w14:paraId="5D5B26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6E521978">
            <w:pPr>
              <w:pStyle w:val="85"/>
              <w:jc w:val="center"/>
              <w:rPr>
                <w:color w:val="auto"/>
                <w:sz w:val="22"/>
                <w:szCs w:val="22"/>
              </w:rPr>
            </w:pPr>
            <w:r>
              <w:rPr>
                <w:color w:val="auto"/>
                <w:sz w:val="22"/>
                <w:szCs w:val="22"/>
              </w:rPr>
              <w:t>Урок 9</w:t>
            </w:r>
          </w:p>
        </w:tc>
        <w:tc>
          <w:tcPr>
            <w:tcW w:w="7937" w:type="dxa"/>
          </w:tcPr>
          <w:p w14:paraId="2605E16A">
            <w:pPr>
              <w:pStyle w:val="85"/>
              <w:jc w:val="both"/>
              <w:rPr>
                <w:color w:val="auto"/>
                <w:sz w:val="22"/>
                <w:szCs w:val="22"/>
              </w:rPr>
            </w:pPr>
            <w:r>
              <w:rPr>
                <w:color w:val="auto"/>
                <w:sz w:val="22"/>
                <w:szCs w:val="22"/>
              </w:rPr>
              <w:t>Функции мягкого знака</w:t>
            </w:r>
          </w:p>
        </w:tc>
      </w:tr>
      <w:tr w14:paraId="09C408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0E41EC81">
            <w:pPr>
              <w:pStyle w:val="85"/>
              <w:jc w:val="center"/>
              <w:rPr>
                <w:color w:val="auto"/>
                <w:sz w:val="22"/>
                <w:szCs w:val="22"/>
              </w:rPr>
            </w:pPr>
            <w:r>
              <w:rPr>
                <w:color w:val="auto"/>
                <w:sz w:val="22"/>
                <w:szCs w:val="22"/>
              </w:rPr>
              <w:t>Урок 10</w:t>
            </w:r>
          </w:p>
        </w:tc>
        <w:tc>
          <w:tcPr>
            <w:tcW w:w="7937" w:type="dxa"/>
          </w:tcPr>
          <w:p w14:paraId="001C95E0">
            <w:pPr>
              <w:pStyle w:val="85"/>
              <w:jc w:val="both"/>
              <w:rPr>
                <w:color w:val="auto"/>
                <w:sz w:val="22"/>
                <w:szCs w:val="22"/>
              </w:rPr>
            </w:pPr>
            <w:r>
              <w:rPr>
                <w:color w:val="auto"/>
                <w:sz w:val="22"/>
                <w:szCs w:val="22"/>
              </w:rPr>
              <w:t>Использование на письме разделительных ъ и ь</w:t>
            </w:r>
          </w:p>
        </w:tc>
      </w:tr>
      <w:tr w14:paraId="7F89B1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7E1AA065">
            <w:pPr>
              <w:pStyle w:val="85"/>
              <w:jc w:val="center"/>
              <w:rPr>
                <w:color w:val="auto"/>
                <w:sz w:val="22"/>
                <w:szCs w:val="22"/>
              </w:rPr>
            </w:pPr>
            <w:r>
              <w:rPr>
                <w:color w:val="auto"/>
                <w:sz w:val="22"/>
                <w:szCs w:val="22"/>
              </w:rPr>
              <w:t>Урок 11</w:t>
            </w:r>
          </w:p>
        </w:tc>
        <w:tc>
          <w:tcPr>
            <w:tcW w:w="7937" w:type="dxa"/>
          </w:tcPr>
          <w:p w14:paraId="040308B1">
            <w:pPr>
              <w:pStyle w:val="85"/>
              <w:jc w:val="both"/>
              <w:rPr>
                <w:color w:val="auto"/>
                <w:sz w:val="22"/>
                <w:szCs w:val="22"/>
              </w:rPr>
            </w:pPr>
            <w:r>
              <w:rPr>
                <w:color w:val="auto"/>
                <w:sz w:val="22"/>
                <w:szCs w:val="22"/>
              </w:rPr>
              <w:t>Правописание слов с разделительным мягким знаком</w:t>
            </w:r>
          </w:p>
        </w:tc>
      </w:tr>
      <w:tr w14:paraId="6B9DE9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47831806">
            <w:pPr>
              <w:pStyle w:val="85"/>
              <w:jc w:val="center"/>
              <w:rPr>
                <w:color w:val="auto"/>
                <w:sz w:val="22"/>
                <w:szCs w:val="22"/>
              </w:rPr>
            </w:pPr>
            <w:r>
              <w:rPr>
                <w:color w:val="auto"/>
                <w:sz w:val="22"/>
                <w:szCs w:val="22"/>
              </w:rPr>
              <w:t>Урок 12</w:t>
            </w:r>
          </w:p>
        </w:tc>
        <w:tc>
          <w:tcPr>
            <w:tcW w:w="7937" w:type="dxa"/>
          </w:tcPr>
          <w:p w14:paraId="5F494EB1">
            <w:pPr>
              <w:pStyle w:val="85"/>
              <w:jc w:val="both"/>
              <w:rPr>
                <w:color w:val="auto"/>
                <w:sz w:val="22"/>
                <w:szCs w:val="22"/>
              </w:rPr>
            </w:pPr>
            <w:r>
              <w:rPr>
                <w:color w:val="auto"/>
                <w:sz w:val="22"/>
                <w:szCs w:val="22"/>
              </w:rPr>
              <w:t>Отработка правописания слов с разделительным мягким знаком</w:t>
            </w:r>
          </w:p>
        </w:tc>
      </w:tr>
      <w:tr w14:paraId="1877B5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173AEE82">
            <w:pPr>
              <w:pStyle w:val="85"/>
              <w:jc w:val="center"/>
              <w:rPr>
                <w:color w:val="auto"/>
                <w:sz w:val="22"/>
                <w:szCs w:val="22"/>
              </w:rPr>
            </w:pPr>
            <w:r>
              <w:rPr>
                <w:color w:val="auto"/>
                <w:sz w:val="22"/>
                <w:szCs w:val="22"/>
              </w:rPr>
              <w:t>Урок 13</w:t>
            </w:r>
          </w:p>
        </w:tc>
        <w:tc>
          <w:tcPr>
            <w:tcW w:w="7937" w:type="dxa"/>
          </w:tcPr>
          <w:p w14:paraId="6AAA4B1A">
            <w:pPr>
              <w:pStyle w:val="85"/>
              <w:jc w:val="both"/>
              <w:rPr>
                <w:color w:val="auto"/>
                <w:sz w:val="22"/>
                <w:szCs w:val="22"/>
              </w:rPr>
            </w:pPr>
            <w:r>
              <w:rPr>
                <w:color w:val="auto"/>
                <w:sz w:val="22"/>
                <w:szCs w:val="22"/>
              </w:rPr>
              <w:t>Отработка правописания слов с разделительным мягким знаком и другими изученными орфограммами</w:t>
            </w:r>
          </w:p>
        </w:tc>
      </w:tr>
      <w:tr w14:paraId="0B5FB7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46E166D1">
            <w:pPr>
              <w:pStyle w:val="85"/>
              <w:jc w:val="center"/>
              <w:rPr>
                <w:color w:val="auto"/>
                <w:sz w:val="22"/>
                <w:szCs w:val="22"/>
              </w:rPr>
            </w:pPr>
            <w:r>
              <w:rPr>
                <w:color w:val="auto"/>
                <w:sz w:val="22"/>
                <w:szCs w:val="22"/>
              </w:rPr>
              <w:t>Урок 14</w:t>
            </w:r>
          </w:p>
        </w:tc>
        <w:tc>
          <w:tcPr>
            <w:tcW w:w="7937" w:type="dxa"/>
          </w:tcPr>
          <w:p w14:paraId="419A766B">
            <w:pPr>
              <w:pStyle w:val="85"/>
              <w:jc w:val="both"/>
              <w:rPr>
                <w:color w:val="auto"/>
                <w:sz w:val="22"/>
                <w:szCs w:val="22"/>
              </w:rPr>
            </w:pPr>
            <w:r>
              <w:rPr>
                <w:color w:val="auto"/>
                <w:sz w:val="22"/>
                <w:szCs w:val="22"/>
              </w:rPr>
              <w:t>Деление слов на слоги. Использование знания алфавита при работе со словарями</w:t>
            </w:r>
          </w:p>
        </w:tc>
      </w:tr>
      <w:tr w14:paraId="61D8C8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78539540">
            <w:pPr>
              <w:pStyle w:val="85"/>
              <w:jc w:val="center"/>
              <w:rPr>
                <w:color w:val="auto"/>
                <w:sz w:val="22"/>
                <w:szCs w:val="22"/>
              </w:rPr>
            </w:pPr>
            <w:r>
              <w:rPr>
                <w:color w:val="auto"/>
                <w:sz w:val="22"/>
                <w:szCs w:val="22"/>
              </w:rPr>
              <w:t>Урок 15</w:t>
            </w:r>
          </w:p>
        </w:tc>
        <w:tc>
          <w:tcPr>
            <w:tcW w:w="7937" w:type="dxa"/>
          </w:tcPr>
          <w:p w14:paraId="1B94C64B">
            <w:pPr>
              <w:pStyle w:val="85"/>
              <w:jc w:val="both"/>
              <w:rPr>
                <w:color w:val="auto"/>
                <w:sz w:val="22"/>
                <w:szCs w:val="22"/>
              </w:rPr>
            </w:pPr>
            <w:r>
              <w:rPr>
                <w:color w:val="auto"/>
                <w:sz w:val="22"/>
                <w:szCs w:val="22"/>
              </w:rPr>
              <w:t>Перенос слов по слогам</w:t>
            </w:r>
          </w:p>
        </w:tc>
      </w:tr>
      <w:tr w14:paraId="7658ED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5AA5BA90">
            <w:pPr>
              <w:pStyle w:val="85"/>
              <w:jc w:val="center"/>
              <w:rPr>
                <w:color w:val="auto"/>
                <w:sz w:val="22"/>
                <w:szCs w:val="22"/>
              </w:rPr>
            </w:pPr>
            <w:r>
              <w:rPr>
                <w:color w:val="auto"/>
                <w:sz w:val="22"/>
                <w:szCs w:val="22"/>
              </w:rPr>
              <w:t>Урок 16</w:t>
            </w:r>
          </w:p>
        </w:tc>
        <w:tc>
          <w:tcPr>
            <w:tcW w:w="7937" w:type="dxa"/>
          </w:tcPr>
          <w:p w14:paraId="7B6AF3BF">
            <w:pPr>
              <w:pStyle w:val="85"/>
              <w:jc w:val="both"/>
              <w:rPr>
                <w:color w:val="auto"/>
                <w:sz w:val="22"/>
                <w:szCs w:val="22"/>
              </w:rPr>
            </w:pPr>
            <w:r>
              <w:rPr>
                <w:color w:val="auto"/>
                <w:sz w:val="22"/>
                <w:szCs w:val="22"/>
              </w:rPr>
              <w:t>Перенос слов по слогам: закрепление</w:t>
            </w:r>
          </w:p>
        </w:tc>
      </w:tr>
      <w:tr w14:paraId="3ADF21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7425E5D3">
            <w:pPr>
              <w:pStyle w:val="85"/>
              <w:jc w:val="center"/>
              <w:rPr>
                <w:color w:val="auto"/>
                <w:sz w:val="22"/>
                <w:szCs w:val="22"/>
              </w:rPr>
            </w:pPr>
            <w:r>
              <w:rPr>
                <w:color w:val="auto"/>
                <w:sz w:val="22"/>
                <w:szCs w:val="22"/>
              </w:rPr>
              <w:t>Урок 17</w:t>
            </w:r>
          </w:p>
        </w:tc>
        <w:tc>
          <w:tcPr>
            <w:tcW w:w="7937" w:type="dxa"/>
          </w:tcPr>
          <w:p w14:paraId="1C15250F">
            <w:pPr>
              <w:pStyle w:val="85"/>
              <w:jc w:val="both"/>
              <w:rPr>
                <w:color w:val="auto"/>
                <w:sz w:val="22"/>
                <w:szCs w:val="22"/>
              </w:rPr>
            </w:pPr>
            <w:r>
              <w:rPr>
                <w:color w:val="auto"/>
                <w:sz w:val="22"/>
                <w:szCs w:val="22"/>
              </w:rPr>
              <w:t>Резервный урок по разделу фонетика: учимся характеризовать звуки</w:t>
            </w:r>
          </w:p>
        </w:tc>
      </w:tr>
      <w:tr w14:paraId="332140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6C175DB8">
            <w:pPr>
              <w:pStyle w:val="85"/>
              <w:jc w:val="center"/>
              <w:rPr>
                <w:color w:val="auto"/>
                <w:sz w:val="22"/>
                <w:szCs w:val="22"/>
              </w:rPr>
            </w:pPr>
            <w:r>
              <w:rPr>
                <w:color w:val="auto"/>
                <w:sz w:val="22"/>
                <w:szCs w:val="22"/>
              </w:rPr>
              <w:t>Урок 18</w:t>
            </w:r>
          </w:p>
        </w:tc>
        <w:tc>
          <w:tcPr>
            <w:tcW w:w="7937" w:type="dxa"/>
          </w:tcPr>
          <w:p w14:paraId="2D24EA53">
            <w:pPr>
              <w:pStyle w:val="85"/>
              <w:jc w:val="both"/>
              <w:rPr>
                <w:color w:val="auto"/>
                <w:sz w:val="22"/>
                <w:szCs w:val="22"/>
              </w:rPr>
            </w:pPr>
            <w:r>
              <w:rPr>
                <w:color w:val="auto"/>
                <w:sz w:val="22"/>
                <w:szCs w:val="22"/>
              </w:rPr>
              <w:t>Резервный урок по разделу фонетика: различаем звуки и буквы</w:t>
            </w:r>
          </w:p>
        </w:tc>
      </w:tr>
      <w:tr w14:paraId="3DC049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7186A48A">
            <w:pPr>
              <w:pStyle w:val="85"/>
              <w:jc w:val="center"/>
              <w:rPr>
                <w:color w:val="auto"/>
                <w:sz w:val="22"/>
                <w:szCs w:val="22"/>
              </w:rPr>
            </w:pPr>
            <w:r>
              <w:rPr>
                <w:color w:val="auto"/>
                <w:sz w:val="22"/>
                <w:szCs w:val="22"/>
              </w:rPr>
              <w:t>Урок 19</w:t>
            </w:r>
          </w:p>
        </w:tc>
        <w:tc>
          <w:tcPr>
            <w:tcW w:w="7937" w:type="dxa"/>
          </w:tcPr>
          <w:p w14:paraId="08161BA0">
            <w:pPr>
              <w:pStyle w:val="85"/>
              <w:jc w:val="both"/>
              <w:rPr>
                <w:color w:val="auto"/>
                <w:sz w:val="22"/>
                <w:szCs w:val="22"/>
              </w:rPr>
            </w:pPr>
            <w:r>
              <w:rPr>
                <w:color w:val="auto"/>
                <w:sz w:val="22"/>
                <w:szCs w:val="22"/>
              </w:rPr>
              <w:t>Диктант на изученные правила (гласные после шипящих, сочетания чк, чн, чт)</w:t>
            </w:r>
          </w:p>
        </w:tc>
      </w:tr>
      <w:tr w14:paraId="63193B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4EC91FBB">
            <w:pPr>
              <w:pStyle w:val="85"/>
              <w:jc w:val="center"/>
              <w:rPr>
                <w:color w:val="auto"/>
                <w:sz w:val="22"/>
                <w:szCs w:val="22"/>
              </w:rPr>
            </w:pPr>
            <w:r>
              <w:rPr>
                <w:color w:val="auto"/>
                <w:sz w:val="22"/>
                <w:szCs w:val="22"/>
              </w:rPr>
              <w:t>Урок 20</w:t>
            </w:r>
          </w:p>
        </w:tc>
        <w:tc>
          <w:tcPr>
            <w:tcW w:w="7937" w:type="dxa"/>
          </w:tcPr>
          <w:p w14:paraId="0FC4E32B">
            <w:pPr>
              <w:pStyle w:val="85"/>
              <w:jc w:val="both"/>
              <w:rPr>
                <w:color w:val="auto"/>
                <w:sz w:val="22"/>
                <w:szCs w:val="22"/>
              </w:rPr>
            </w:pPr>
            <w:r>
              <w:rPr>
                <w:color w:val="auto"/>
                <w:sz w:val="22"/>
                <w:szCs w:val="22"/>
              </w:rPr>
              <w:t>Выбор языковых средств для ответа на заданный вопрос</w:t>
            </w:r>
          </w:p>
        </w:tc>
      </w:tr>
      <w:tr w14:paraId="30C005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39BBA759">
            <w:pPr>
              <w:pStyle w:val="85"/>
              <w:jc w:val="center"/>
              <w:rPr>
                <w:color w:val="auto"/>
                <w:sz w:val="22"/>
                <w:szCs w:val="22"/>
              </w:rPr>
            </w:pPr>
            <w:r>
              <w:rPr>
                <w:color w:val="auto"/>
                <w:sz w:val="22"/>
                <w:szCs w:val="22"/>
              </w:rPr>
              <w:t>Урок 21</w:t>
            </w:r>
          </w:p>
        </w:tc>
        <w:tc>
          <w:tcPr>
            <w:tcW w:w="7937" w:type="dxa"/>
          </w:tcPr>
          <w:p w14:paraId="48210CEB">
            <w:pPr>
              <w:pStyle w:val="85"/>
              <w:jc w:val="both"/>
              <w:rPr>
                <w:color w:val="auto"/>
                <w:sz w:val="22"/>
                <w:szCs w:val="22"/>
              </w:rPr>
            </w:pPr>
            <w:r>
              <w:rPr>
                <w:color w:val="auto"/>
                <w:sz w:val="22"/>
                <w:szCs w:val="22"/>
              </w:rPr>
              <w:t>Выбор языковых средств для выражения собственного мнения</w:t>
            </w:r>
          </w:p>
        </w:tc>
      </w:tr>
      <w:tr w14:paraId="20AFE4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70354C23">
            <w:pPr>
              <w:pStyle w:val="85"/>
              <w:jc w:val="center"/>
              <w:rPr>
                <w:color w:val="auto"/>
                <w:sz w:val="22"/>
                <w:szCs w:val="22"/>
              </w:rPr>
            </w:pPr>
            <w:r>
              <w:rPr>
                <w:color w:val="auto"/>
                <w:sz w:val="22"/>
                <w:szCs w:val="22"/>
              </w:rPr>
              <w:t>Урок 22</w:t>
            </w:r>
          </w:p>
        </w:tc>
        <w:tc>
          <w:tcPr>
            <w:tcW w:w="7937" w:type="dxa"/>
          </w:tcPr>
          <w:p w14:paraId="5EE76939">
            <w:pPr>
              <w:pStyle w:val="85"/>
              <w:jc w:val="both"/>
              <w:rPr>
                <w:color w:val="auto"/>
                <w:sz w:val="22"/>
                <w:szCs w:val="22"/>
              </w:rPr>
            </w:pPr>
            <w:r>
              <w:rPr>
                <w:color w:val="auto"/>
                <w:sz w:val="22"/>
                <w:szCs w:val="22"/>
              </w:rPr>
              <w:t>Выбор языковых средств для ведения разговора (начать, поддержать, закончить разговор, привлечь внимание и другие)</w:t>
            </w:r>
          </w:p>
        </w:tc>
      </w:tr>
      <w:tr w14:paraId="6CCB38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00A705F7">
            <w:pPr>
              <w:pStyle w:val="85"/>
              <w:jc w:val="center"/>
              <w:rPr>
                <w:color w:val="auto"/>
                <w:sz w:val="22"/>
                <w:szCs w:val="22"/>
              </w:rPr>
            </w:pPr>
            <w:r>
              <w:rPr>
                <w:color w:val="auto"/>
                <w:sz w:val="22"/>
                <w:szCs w:val="22"/>
              </w:rPr>
              <w:t>Урок 23</w:t>
            </w:r>
          </w:p>
        </w:tc>
        <w:tc>
          <w:tcPr>
            <w:tcW w:w="7937" w:type="dxa"/>
          </w:tcPr>
          <w:p w14:paraId="79ADF562">
            <w:pPr>
              <w:pStyle w:val="85"/>
              <w:jc w:val="both"/>
              <w:rPr>
                <w:color w:val="auto"/>
                <w:sz w:val="22"/>
                <w:szCs w:val="22"/>
              </w:rPr>
            </w:pPr>
            <w:r>
              <w:rPr>
                <w:color w:val="auto"/>
                <w:sz w:val="22"/>
                <w:szCs w:val="22"/>
              </w:rPr>
              <w:t>Предложение как единица языка</w:t>
            </w:r>
          </w:p>
        </w:tc>
      </w:tr>
      <w:tr w14:paraId="274858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1E3E95BF">
            <w:pPr>
              <w:pStyle w:val="85"/>
              <w:jc w:val="center"/>
              <w:rPr>
                <w:color w:val="auto"/>
                <w:sz w:val="22"/>
                <w:szCs w:val="22"/>
              </w:rPr>
            </w:pPr>
            <w:r>
              <w:rPr>
                <w:color w:val="auto"/>
                <w:sz w:val="22"/>
                <w:szCs w:val="22"/>
              </w:rPr>
              <w:t>Урок 24</w:t>
            </w:r>
          </w:p>
        </w:tc>
        <w:tc>
          <w:tcPr>
            <w:tcW w:w="7937" w:type="dxa"/>
          </w:tcPr>
          <w:p w14:paraId="499F1515">
            <w:pPr>
              <w:pStyle w:val="85"/>
              <w:jc w:val="both"/>
              <w:rPr>
                <w:color w:val="auto"/>
                <w:sz w:val="22"/>
                <w:szCs w:val="22"/>
              </w:rPr>
            </w:pPr>
            <w:r>
              <w:rPr>
                <w:color w:val="auto"/>
                <w:sz w:val="22"/>
                <w:szCs w:val="22"/>
              </w:rPr>
              <w:t>Восклицательные и невосклицательные предложения</w:t>
            </w:r>
          </w:p>
        </w:tc>
      </w:tr>
      <w:tr w14:paraId="44AEEB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1865A96E">
            <w:pPr>
              <w:pStyle w:val="85"/>
              <w:jc w:val="center"/>
              <w:rPr>
                <w:color w:val="auto"/>
                <w:sz w:val="22"/>
                <w:szCs w:val="22"/>
              </w:rPr>
            </w:pPr>
            <w:r>
              <w:rPr>
                <w:color w:val="auto"/>
                <w:sz w:val="22"/>
                <w:szCs w:val="22"/>
              </w:rPr>
              <w:t>Урок 25</w:t>
            </w:r>
          </w:p>
        </w:tc>
        <w:tc>
          <w:tcPr>
            <w:tcW w:w="7937" w:type="dxa"/>
          </w:tcPr>
          <w:p w14:paraId="1D80EA4D">
            <w:pPr>
              <w:pStyle w:val="85"/>
              <w:jc w:val="both"/>
              <w:rPr>
                <w:color w:val="auto"/>
                <w:sz w:val="22"/>
                <w:szCs w:val="22"/>
              </w:rPr>
            </w:pPr>
            <w:r>
              <w:rPr>
                <w:color w:val="auto"/>
                <w:sz w:val="22"/>
                <w:szCs w:val="22"/>
              </w:rPr>
              <w:t>Виды предложений по цели высказывания</w:t>
            </w:r>
          </w:p>
        </w:tc>
      </w:tr>
      <w:tr w14:paraId="41A08C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14C53D27">
            <w:pPr>
              <w:pStyle w:val="85"/>
              <w:jc w:val="center"/>
              <w:rPr>
                <w:color w:val="auto"/>
                <w:sz w:val="22"/>
                <w:szCs w:val="22"/>
              </w:rPr>
            </w:pPr>
            <w:r>
              <w:rPr>
                <w:color w:val="auto"/>
                <w:sz w:val="22"/>
                <w:szCs w:val="22"/>
              </w:rPr>
              <w:t>Урок 26</w:t>
            </w:r>
          </w:p>
        </w:tc>
        <w:tc>
          <w:tcPr>
            <w:tcW w:w="7937" w:type="dxa"/>
          </w:tcPr>
          <w:p w14:paraId="66F03077">
            <w:pPr>
              <w:pStyle w:val="85"/>
              <w:jc w:val="both"/>
              <w:rPr>
                <w:color w:val="auto"/>
                <w:sz w:val="22"/>
                <w:szCs w:val="22"/>
              </w:rPr>
            </w:pPr>
            <w:r>
              <w:rPr>
                <w:color w:val="auto"/>
                <w:sz w:val="22"/>
                <w:szCs w:val="22"/>
              </w:rPr>
              <w:t>Повествовательные, вопросительные, побудительные предложения</w:t>
            </w:r>
          </w:p>
        </w:tc>
      </w:tr>
      <w:tr w14:paraId="7BA170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0127D2C9">
            <w:pPr>
              <w:pStyle w:val="85"/>
              <w:jc w:val="center"/>
              <w:rPr>
                <w:color w:val="auto"/>
                <w:sz w:val="22"/>
                <w:szCs w:val="22"/>
              </w:rPr>
            </w:pPr>
            <w:r>
              <w:rPr>
                <w:color w:val="auto"/>
                <w:sz w:val="22"/>
                <w:szCs w:val="22"/>
              </w:rPr>
              <w:t>Урок 27</w:t>
            </w:r>
          </w:p>
        </w:tc>
        <w:tc>
          <w:tcPr>
            <w:tcW w:w="7937" w:type="dxa"/>
          </w:tcPr>
          <w:p w14:paraId="4FA7BE7F">
            <w:pPr>
              <w:pStyle w:val="85"/>
              <w:jc w:val="both"/>
              <w:rPr>
                <w:color w:val="auto"/>
                <w:sz w:val="22"/>
                <w:szCs w:val="22"/>
              </w:rPr>
            </w:pPr>
            <w:r>
              <w:rPr>
                <w:color w:val="auto"/>
                <w:sz w:val="22"/>
                <w:szCs w:val="22"/>
              </w:rPr>
              <w:t>Предложение и слово</w:t>
            </w:r>
          </w:p>
        </w:tc>
      </w:tr>
      <w:tr w14:paraId="5FDB82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45135223">
            <w:pPr>
              <w:pStyle w:val="85"/>
              <w:jc w:val="center"/>
              <w:rPr>
                <w:color w:val="auto"/>
                <w:sz w:val="22"/>
                <w:szCs w:val="22"/>
              </w:rPr>
            </w:pPr>
            <w:r>
              <w:rPr>
                <w:color w:val="auto"/>
                <w:sz w:val="22"/>
                <w:szCs w:val="22"/>
              </w:rPr>
              <w:t>Урок 28</w:t>
            </w:r>
          </w:p>
        </w:tc>
        <w:tc>
          <w:tcPr>
            <w:tcW w:w="7937" w:type="dxa"/>
          </w:tcPr>
          <w:p w14:paraId="7AF4546D">
            <w:pPr>
              <w:pStyle w:val="85"/>
              <w:jc w:val="both"/>
              <w:rPr>
                <w:color w:val="auto"/>
                <w:sz w:val="22"/>
                <w:szCs w:val="22"/>
              </w:rPr>
            </w:pPr>
            <w:r>
              <w:rPr>
                <w:color w:val="auto"/>
                <w:sz w:val="22"/>
                <w:szCs w:val="22"/>
              </w:rPr>
              <w:t>Наблюдение за выделением в устной речи одного из слов предложения (логическое ударение)</w:t>
            </w:r>
          </w:p>
        </w:tc>
      </w:tr>
      <w:tr w14:paraId="363A6F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5417D233">
            <w:pPr>
              <w:pStyle w:val="85"/>
              <w:jc w:val="center"/>
              <w:rPr>
                <w:color w:val="auto"/>
                <w:sz w:val="22"/>
                <w:szCs w:val="22"/>
              </w:rPr>
            </w:pPr>
            <w:r>
              <w:rPr>
                <w:color w:val="auto"/>
                <w:sz w:val="22"/>
                <w:szCs w:val="22"/>
              </w:rPr>
              <w:t>Урок 29</w:t>
            </w:r>
          </w:p>
        </w:tc>
        <w:tc>
          <w:tcPr>
            <w:tcW w:w="7937" w:type="dxa"/>
          </w:tcPr>
          <w:p w14:paraId="746729C8">
            <w:pPr>
              <w:pStyle w:val="85"/>
              <w:jc w:val="both"/>
              <w:rPr>
                <w:color w:val="auto"/>
                <w:sz w:val="22"/>
                <w:szCs w:val="22"/>
              </w:rPr>
            </w:pPr>
            <w:r>
              <w:rPr>
                <w:color w:val="auto"/>
                <w:sz w:val="22"/>
                <w:szCs w:val="22"/>
              </w:rPr>
              <w:t>Связь слов в предложении</w:t>
            </w:r>
          </w:p>
        </w:tc>
      </w:tr>
      <w:tr w14:paraId="5D9A12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226C1335">
            <w:pPr>
              <w:pStyle w:val="85"/>
              <w:jc w:val="center"/>
              <w:rPr>
                <w:color w:val="auto"/>
                <w:sz w:val="22"/>
                <w:szCs w:val="22"/>
              </w:rPr>
            </w:pPr>
            <w:r>
              <w:rPr>
                <w:color w:val="auto"/>
                <w:sz w:val="22"/>
                <w:szCs w:val="22"/>
              </w:rPr>
              <w:t>Урок 30</w:t>
            </w:r>
          </w:p>
        </w:tc>
        <w:tc>
          <w:tcPr>
            <w:tcW w:w="7937" w:type="dxa"/>
          </w:tcPr>
          <w:p w14:paraId="2E09C66D">
            <w:pPr>
              <w:pStyle w:val="85"/>
              <w:jc w:val="both"/>
              <w:rPr>
                <w:color w:val="auto"/>
                <w:sz w:val="22"/>
                <w:szCs w:val="22"/>
              </w:rPr>
            </w:pPr>
            <w:r>
              <w:rPr>
                <w:color w:val="auto"/>
                <w:sz w:val="22"/>
                <w:szCs w:val="22"/>
              </w:rPr>
              <w:t>Предложение: систематизация знаний</w:t>
            </w:r>
          </w:p>
        </w:tc>
      </w:tr>
      <w:tr w14:paraId="789EB5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7137EF04">
            <w:pPr>
              <w:pStyle w:val="85"/>
              <w:jc w:val="center"/>
              <w:rPr>
                <w:color w:val="auto"/>
                <w:sz w:val="22"/>
                <w:szCs w:val="22"/>
              </w:rPr>
            </w:pPr>
            <w:r>
              <w:rPr>
                <w:color w:val="auto"/>
                <w:sz w:val="22"/>
                <w:szCs w:val="22"/>
              </w:rPr>
              <w:t>Урок 31</w:t>
            </w:r>
          </w:p>
        </w:tc>
        <w:tc>
          <w:tcPr>
            <w:tcW w:w="7937" w:type="dxa"/>
          </w:tcPr>
          <w:p w14:paraId="4F523726">
            <w:pPr>
              <w:pStyle w:val="85"/>
              <w:jc w:val="both"/>
              <w:rPr>
                <w:color w:val="auto"/>
                <w:sz w:val="22"/>
                <w:szCs w:val="22"/>
              </w:rPr>
            </w:pPr>
            <w:r>
              <w:rPr>
                <w:color w:val="auto"/>
                <w:sz w:val="22"/>
                <w:szCs w:val="22"/>
              </w:rPr>
              <w:t>Резервный урок по разделу синтаксис: связь слов в предложении</w:t>
            </w:r>
          </w:p>
        </w:tc>
      </w:tr>
      <w:tr w14:paraId="6D4902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57281AD5">
            <w:pPr>
              <w:pStyle w:val="85"/>
              <w:jc w:val="center"/>
              <w:rPr>
                <w:color w:val="auto"/>
                <w:sz w:val="22"/>
                <w:szCs w:val="22"/>
              </w:rPr>
            </w:pPr>
            <w:r>
              <w:rPr>
                <w:color w:val="auto"/>
                <w:sz w:val="22"/>
                <w:szCs w:val="22"/>
              </w:rPr>
              <w:t>Урок 32</w:t>
            </w:r>
          </w:p>
        </w:tc>
        <w:tc>
          <w:tcPr>
            <w:tcW w:w="7937" w:type="dxa"/>
          </w:tcPr>
          <w:p w14:paraId="3B6B1886">
            <w:pPr>
              <w:pStyle w:val="85"/>
              <w:jc w:val="both"/>
              <w:rPr>
                <w:color w:val="auto"/>
                <w:sz w:val="22"/>
                <w:szCs w:val="22"/>
              </w:rPr>
            </w:pPr>
            <w:r>
              <w:rPr>
                <w:color w:val="auto"/>
                <w:sz w:val="22"/>
                <w:szCs w:val="22"/>
              </w:rPr>
              <w:t>Резервный урок по разделу синтаксис: установление связи слов в предложении</w:t>
            </w:r>
          </w:p>
        </w:tc>
      </w:tr>
      <w:tr w14:paraId="58C12B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572DFAFA">
            <w:pPr>
              <w:pStyle w:val="85"/>
              <w:jc w:val="center"/>
              <w:rPr>
                <w:color w:val="auto"/>
                <w:sz w:val="22"/>
                <w:szCs w:val="22"/>
              </w:rPr>
            </w:pPr>
            <w:r>
              <w:rPr>
                <w:color w:val="auto"/>
                <w:sz w:val="22"/>
                <w:szCs w:val="22"/>
              </w:rPr>
              <w:t>Урок 33</w:t>
            </w:r>
          </w:p>
        </w:tc>
        <w:tc>
          <w:tcPr>
            <w:tcW w:w="7937" w:type="dxa"/>
          </w:tcPr>
          <w:p w14:paraId="59E876B4">
            <w:pPr>
              <w:pStyle w:val="85"/>
              <w:jc w:val="both"/>
              <w:rPr>
                <w:color w:val="auto"/>
                <w:sz w:val="22"/>
                <w:szCs w:val="22"/>
              </w:rPr>
            </w:pPr>
            <w:r>
              <w:rPr>
                <w:color w:val="auto"/>
                <w:sz w:val="22"/>
                <w:szCs w:val="22"/>
              </w:rPr>
              <w:t>Диктант на изученные правила (безударные гласные в корне слова)</w:t>
            </w:r>
          </w:p>
        </w:tc>
      </w:tr>
      <w:tr w14:paraId="75E1FF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2AEAD769">
            <w:pPr>
              <w:pStyle w:val="85"/>
              <w:jc w:val="center"/>
              <w:rPr>
                <w:color w:val="auto"/>
                <w:sz w:val="22"/>
                <w:szCs w:val="22"/>
              </w:rPr>
            </w:pPr>
            <w:r>
              <w:rPr>
                <w:color w:val="auto"/>
                <w:sz w:val="22"/>
                <w:szCs w:val="22"/>
              </w:rPr>
              <w:t>Урок 34</w:t>
            </w:r>
          </w:p>
        </w:tc>
        <w:tc>
          <w:tcPr>
            <w:tcW w:w="7937" w:type="dxa"/>
          </w:tcPr>
          <w:p w14:paraId="17F9AD16">
            <w:pPr>
              <w:pStyle w:val="85"/>
              <w:jc w:val="both"/>
              <w:rPr>
                <w:color w:val="auto"/>
                <w:sz w:val="22"/>
                <w:szCs w:val="22"/>
              </w:rPr>
            </w:pPr>
            <w:r>
              <w:rPr>
                <w:color w:val="auto"/>
                <w:sz w:val="22"/>
                <w:szCs w:val="22"/>
              </w:rPr>
              <w:t>Работа над ошибками, допущенными в диктанте</w:t>
            </w:r>
          </w:p>
        </w:tc>
      </w:tr>
      <w:tr w14:paraId="2CD465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6DAC5FF0">
            <w:pPr>
              <w:pStyle w:val="85"/>
              <w:jc w:val="center"/>
              <w:rPr>
                <w:color w:val="auto"/>
                <w:sz w:val="22"/>
                <w:szCs w:val="22"/>
              </w:rPr>
            </w:pPr>
            <w:r>
              <w:rPr>
                <w:color w:val="auto"/>
                <w:sz w:val="22"/>
                <w:szCs w:val="22"/>
              </w:rPr>
              <w:t>Урок 35</w:t>
            </w:r>
          </w:p>
        </w:tc>
        <w:tc>
          <w:tcPr>
            <w:tcW w:w="7937" w:type="dxa"/>
          </w:tcPr>
          <w:p w14:paraId="32E09326">
            <w:pPr>
              <w:pStyle w:val="85"/>
              <w:jc w:val="both"/>
              <w:rPr>
                <w:color w:val="auto"/>
                <w:sz w:val="22"/>
                <w:szCs w:val="22"/>
              </w:rPr>
            </w:pPr>
            <w:r>
              <w:rPr>
                <w:color w:val="auto"/>
                <w:sz w:val="22"/>
                <w:szCs w:val="22"/>
              </w:rPr>
              <w:t>Диалогическая форма речи</w:t>
            </w:r>
          </w:p>
        </w:tc>
      </w:tr>
      <w:tr w14:paraId="281BB9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7D6026A7">
            <w:pPr>
              <w:pStyle w:val="85"/>
              <w:jc w:val="center"/>
              <w:rPr>
                <w:color w:val="auto"/>
                <w:sz w:val="22"/>
                <w:szCs w:val="22"/>
              </w:rPr>
            </w:pPr>
            <w:r>
              <w:rPr>
                <w:color w:val="auto"/>
                <w:sz w:val="22"/>
                <w:szCs w:val="22"/>
              </w:rPr>
              <w:t>Урок 36</w:t>
            </w:r>
          </w:p>
        </w:tc>
        <w:tc>
          <w:tcPr>
            <w:tcW w:w="7937" w:type="dxa"/>
          </w:tcPr>
          <w:p w14:paraId="144E9170">
            <w:pPr>
              <w:pStyle w:val="85"/>
              <w:jc w:val="both"/>
              <w:rPr>
                <w:color w:val="auto"/>
                <w:sz w:val="22"/>
                <w:szCs w:val="22"/>
              </w:rPr>
            </w:pPr>
            <w:r>
              <w:rPr>
                <w:color w:val="auto"/>
                <w:sz w:val="22"/>
                <w:szCs w:val="22"/>
              </w:rPr>
              <w:t>Умение договариваться и приходить к общему решению в совместной деятельности при проведении парной и групповой работы</w:t>
            </w:r>
          </w:p>
        </w:tc>
      </w:tr>
      <w:tr w14:paraId="7919EB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489A6849">
            <w:pPr>
              <w:pStyle w:val="85"/>
              <w:jc w:val="center"/>
              <w:rPr>
                <w:color w:val="auto"/>
                <w:sz w:val="22"/>
                <w:szCs w:val="22"/>
              </w:rPr>
            </w:pPr>
            <w:r>
              <w:rPr>
                <w:color w:val="auto"/>
                <w:sz w:val="22"/>
                <w:szCs w:val="22"/>
              </w:rPr>
              <w:t>Урок 37</w:t>
            </w:r>
          </w:p>
        </w:tc>
        <w:tc>
          <w:tcPr>
            <w:tcW w:w="7937" w:type="dxa"/>
          </w:tcPr>
          <w:p w14:paraId="5303B9E9">
            <w:pPr>
              <w:pStyle w:val="85"/>
              <w:jc w:val="both"/>
              <w:rPr>
                <w:color w:val="auto"/>
                <w:sz w:val="22"/>
                <w:szCs w:val="22"/>
              </w:rPr>
            </w:pPr>
            <w:r>
              <w:rPr>
                <w:color w:val="auto"/>
                <w:sz w:val="22"/>
                <w:szCs w:val="22"/>
              </w:rPr>
              <w:t>Окончание как изменяемая часть слова</w:t>
            </w:r>
          </w:p>
        </w:tc>
      </w:tr>
      <w:tr w14:paraId="1A157F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4BB8970F">
            <w:pPr>
              <w:pStyle w:val="85"/>
              <w:jc w:val="center"/>
              <w:rPr>
                <w:color w:val="auto"/>
                <w:sz w:val="22"/>
                <w:szCs w:val="22"/>
              </w:rPr>
            </w:pPr>
            <w:r>
              <w:rPr>
                <w:color w:val="auto"/>
                <w:sz w:val="22"/>
                <w:szCs w:val="22"/>
              </w:rPr>
              <w:t>Урок 38</w:t>
            </w:r>
          </w:p>
        </w:tc>
        <w:tc>
          <w:tcPr>
            <w:tcW w:w="7937" w:type="dxa"/>
          </w:tcPr>
          <w:p w14:paraId="15A1E66F">
            <w:pPr>
              <w:pStyle w:val="85"/>
              <w:jc w:val="both"/>
              <w:rPr>
                <w:color w:val="auto"/>
                <w:sz w:val="22"/>
                <w:szCs w:val="22"/>
              </w:rPr>
            </w:pPr>
            <w:r>
              <w:rPr>
                <w:color w:val="auto"/>
                <w:sz w:val="22"/>
                <w:szCs w:val="22"/>
              </w:rPr>
              <w:t>Изменение формы слова с помощью окончания</w:t>
            </w:r>
          </w:p>
        </w:tc>
      </w:tr>
      <w:tr w14:paraId="7B762E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24E1E9A2">
            <w:pPr>
              <w:pStyle w:val="85"/>
              <w:jc w:val="center"/>
              <w:rPr>
                <w:color w:val="auto"/>
                <w:sz w:val="22"/>
                <w:szCs w:val="22"/>
              </w:rPr>
            </w:pPr>
            <w:r>
              <w:rPr>
                <w:color w:val="auto"/>
                <w:sz w:val="22"/>
                <w:szCs w:val="22"/>
              </w:rPr>
              <w:t>Урок 39</w:t>
            </w:r>
          </w:p>
        </w:tc>
        <w:tc>
          <w:tcPr>
            <w:tcW w:w="7937" w:type="dxa"/>
          </w:tcPr>
          <w:p w14:paraId="4EB942F9">
            <w:pPr>
              <w:pStyle w:val="85"/>
              <w:jc w:val="both"/>
              <w:rPr>
                <w:color w:val="auto"/>
                <w:sz w:val="22"/>
                <w:szCs w:val="22"/>
              </w:rPr>
            </w:pPr>
            <w:r>
              <w:rPr>
                <w:color w:val="auto"/>
                <w:sz w:val="22"/>
                <w:szCs w:val="22"/>
              </w:rPr>
              <w:t>Различение изменяемых и неизменяемых слов</w:t>
            </w:r>
          </w:p>
        </w:tc>
      </w:tr>
      <w:tr w14:paraId="090C35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5EC94E91">
            <w:pPr>
              <w:pStyle w:val="85"/>
              <w:jc w:val="center"/>
              <w:rPr>
                <w:color w:val="auto"/>
                <w:sz w:val="22"/>
                <w:szCs w:val="22"/>
              </w:rPr>
            </w:pPr>
            <w:r>
              <w:rPr>
                <w:color w:val="auto"/>
                <w:sz w:val="22"/>
                <w:szCs w:val="22"/>
              </w:rPr>
              <w:t>Урок 40</w:t>
            </w:r>
          </w:p>
        </w:tc>
        <w:tc>
          <w:tcPr>
            <w:tcW w:w="7937" w:type="dxa"/>
          </w:tcPr>
          <w:p w14:paraId="543B3715">
            <w:pPr>
              <w:pStyle w:val="85"/>
              <w:jc w:val="both"/>
              <w:rPr>
                <w:color w:val="auto"/>
                <w:sz w:val="22"/>
                <w:szCs w:val="22"/>
              </w:rPr>
            </w:pPr>
            <w:r>
              <w:rPr>
                <w:color w:val="auto"/>
                <w:sz w:val="22"/>
                <w:szCs w:val="22"/>
              </w:rPr>
              <w:t>Однокоренные (родственные) слова. Корень слова</w:t>
            </w:r>
          </w:p>
        </w:tc>
      </w:tr>
      <w:tr w14:paraId="3E5F76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1F5BA638">
            <w:pPr>
              <w:pStyle w:val="85"/>
              <w:jc w:val="center"/>
              <w:rPr>
                <w:color w:val="auto"/>
                <w:sz w:val="22"/>
                <w:szCs w:val="22"/>
              </w:rPr>
            </w:pPr>
            <w:r>
              <w:rPr>
                <w:color w:val="auto"/>
                <w:sz w:val="22"/>
                <w:szCs w:val="22"/>
              </w:rPr>
              <w:t>Урок 41</w:t>
            </w:r>
          </w:p>
        </w:tc>
        <w:tc>
          <w:tcPr>
            <w:tcW w:w="7937" w:type="dxa"/>
          </w:tcPr>
          <w:p w14:paraId="48DA2A75">
            <w:pPr>
              <w:pStyle w:val="85"/>
              <w:jc w:val="both"/>
              <w:rPr>
                <w:color w:val="auto"/>
                <w:sz w:val="22"/>
                <w:szCs w:val="22"/>
              </w:rPr>
            </w:pPr>
            <w:r>
              <w:rPr>
                <w:color w:val="auto"/>
                <w:sz w:val="22"/>
                <w:szCs w:val="22"/>
              </w:rPr>
              <w:t>Признаки однокоренных (родственных) слов. Корень слова</w:t>
            </w:r>
          </w:p>
        </w:tc>
      </w:tr>
      <w:tr w14:paraId="767F8F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397B2977">
            <w:pPr>
              <w:pStyle w:val="85"/>
              <w:jc w:val="center"/>
              <w:rPr>
                <w:color w:val="auto"/>
                <w:sz w:val="22"/>
                <w:szCs w:val="22"/>
              </w:rPr>
            </w:pPr>
            <w:r>
              <w:rPr>
                <w:color w:val="auto"/>
                <w:sz w:val="22"/>
                <w:szCs w:val="22"/>
              </w:rPr>
              <w:t>Урок 42</w:t>
            </w:r>
          </w:p>
        </w:tc>
        <w:tc>
          <w:tcPr>
            <w:tcW w:w="7937" w:type="dxa"/>
          </w:tcPr>
          <w:p w14:paraId="0A8C021D">
            <w:pPr>
              <w:pStyle w:val="85"/>
              <w:jc w:val="both"/>
              <w:rPr>
                <w:color w:val="auto"/>
                <w:sz w:val="22"/>
                <w:szCs w:val="22"/>
              </w:rPr>
            </w:pPr>
            <w:r>
              <w:rPr>
                <w:color w:val="auto"/>
                <w:sz w:val="22"/>
                <w:szCs w:val="22"/>
              </w:rPr>
              <w:t>Составление устного рассказа по репродукции картины</w:t>
            </w:r>
          </w:p>
        </w:tc>
      </w:tr>
      <w:tr w14:paraId="7DC426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36175C00">
            <w:pPr>
              <w:pStyle w:val="85"/>
              <w:jc w:val="center"/>
              <w:rPr>
                <w:color w:val="auto"/>
                <w:sz w:val="22"/>
                <w:szCs w:val="22"/>
              </w:rPr>
            </w:pPr>
            <w:r>
              <w:rPr>
                <w:color w:val="auto"/>
                <w:sz w:val="22"/>
                <w:szCs w:val="22"/>
              </w:rPr>
              <w:t>Урок 43</w:t>
            </w:r>
          </w:p>
        </w:tc>
        <w:tc>
          <w:tcPr>
            <w:tcW w:w="7937" w:type="dxa"/>
          </w:tcPr>
          <w:p w14:paraId="32F46924">
            <w:pPr>
              <w:pStyle w:val="85"/>
              <w:jc w:val="both"/>
              <w:rPr>
                <w:color w:val="auto"/>
                <w:sz w:val="22"/>
                <w:szCs w:val="22"/>
              </w:rPr>
            </w:pPr>
            <w:r>
              <w:rPr>
                <w:color w:val="auto"/>
                <w:sz w:val="22"/>
                <w:szCs w:val="22"/>
              </w:rPr>
              <w:t>Корень как часть слова</w:t>
            </w:r>
          </w:p>
        </w:tc>
      </w:tr>
      <w:tr w14:paraId="4E002D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587C5D6F">
            <w:pPr>
              <w:pStyle w:val="85"/>
              <w:jc w:val="center"/>
              <w:rPr>
                <w:color w:val="auto"/>
                <w:sz w:val="22"/>
                <w:szCs w:val="22"/>
              </w:rPr>
            </w:pPr>
            <w:r>
              <w:rPr>
                <w:color w:val="auto"/>
                <w:sz w:val="22"/>
                <w:szCs w:val="22"/>
              </w:rPr>
              <w:t>Урок 44</w:t>
            </w:r>
          </w:p>
        </w:tc>
        <w:tc>
          <w:tcPr>
            <w:tcW w:w="7937" w:type="dxa"/>
          </w:tcPr>
          <w:p w14:paraId="4CB00474">
            <w:pPr>
              <w:pStyle w:val="85"/>
              <w:jc w:val="both"/>
              <w:rPr>
                <w:color w:val="auto"/>
                <w:sz w:val="22"/>
                <w:szCs w:val="22"/>
              </w:rPr>
            </w:pPr>
            <w:r>
              <w:rPr>
                <w:color w:val="auto"/>
                <w:sz w:val="22"/>
                <w:szCs w:val="22"/>
              </w:rPr>
              <w:t>Корень как общая часть родственных слов</w:t>
            </w:r>
          </w:p>
        </w:tc>
      </w:tr>
      <w:tr w14:paraId="6825F2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0385524C">
            <w:pPr>
              <w:pStyle w:val="85"/>
              <w:jc w:val="center"/>
              <w:rPr>
                <w:color w:val="auto"/>
                <w:sz w:val="22"/>
                <w:szCs w:val="22"/>
              </w:rPr>
            </w:pPr>
            <w:r>
              <w:rPr>
                <w:color w:val="auto"/>
                <w:sz w:val="22"/>
                <w:szCs w:val="22"/>
              </w:rPr>
              <w:t>Урок 45</w:t>
            </w:r>
          </w:p>
        </w:tc>
        <w:tc>
          <w:tcPr>
            <w:tcW w:w="7937" w:type="dxa"/>
          </w:tcPr>
          <w:p w14:paraId="5D6E0600">
            <w:pPr>
              <w:pStyle w:val="85"/>
              <w:jc w:val="both"/>
              <w:rPr>
                <w:color w:val="auto"/>
                <w:sz w:val="22"/>
                <w:szCs w:val="22"/>
              </w:rPr>
            </w:pPr>
            <w:r>
              <w:rPr>
                <w:color w:val="auto"/>
                <w:sz w:val="22"/>
                <w:szCs w:val="22"/>
              </w:rPr>
              <w:t>Единообразное написание гласных в корне</w:t>
            </w:r>
          </w:p>
        </w:tc>
      </w:tr>
      <w:tr w14:paraId="1BBD8D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7B017DAE">
            <w:pPr>
              <w:pStyle w:val="85"/>
              <w:jc w:val="center"/>
              <w:rPr>
                <w:color w:val="auto"/>
                <w:sz w:val="22"/>
                <w:szCs w:val="22"/>
              </w:rPr>
            </w:pPr>
            <w:r>
              <w:rPr>
                <w:color w:val="auto"/>
                <w:sz w:val="22"/>
                <w:szCs w:val="22"/>
              </w:rPr>
              <w:t>Урок 46</w:t>
            </w:r>
          </w:p>
        </w:tc>
        <w:tc>
          <w:tcPr>
            <w:tcW w:w="7937" w:type="dxa"/>
          </w:tcPr>
          <w:p w14:paraId="7DE08432">
            <w:pPr>
              <w:pStyle w:val="85"/>
              <w:jc w:val="both"/>
              <w:rPr>
                <w:color w:val="auto"/>
                <w:sz w:val="22"/>
                <w:szCs w:val="22"/>
              </w:rPr>
            </w:pPr>
            <w:r>
              <w:rPr>
                <w:color w:val="auto"/>
                <w:sz w:val="22"/>
                <w:szCs w:val="22"/>
              </w:rPr>
              <w:t>Обозначение буквой безударного гласного звука в корне слова</w:t>
            </w:r>
          </w:p>
        </w:tc>
      </w:tr>
      <w:tr w14:paraId="5501D6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2AB619E7">
            <w:pPr>
              <w:pStyle w:val="85"/>
              <w:jc w:val="center"/>
              <w:rPr>
                <w:color w:val="auto"/>
                <w:sz w:val="22"/>
                <w:szCs w:val="22"/>
              </w:rPr>
            </w:pPr>
            <w:r>
              <w:rPr>
                <w:color w:val="auto"/>
                <w:sz w:val="22"/>
                <w:szCs w:val="22"/>
              </w:rPr>
              <w:t>Урок 47</w:t>
            </w:r>
          </w:p>
        </w:tc>
        <w:tc>
          <w:tcPr>
            <w:tcW w:w="7937" w:type="dxa"/>
          </w:tcPr>
          <w:p w14:paraId="77D8752D">
            <w:pPr>
              <w:pStyle w:val="85"/>
              <w:jc w:val="both"/>
              <w:rPr>
                <w:color w:val="auto"/>
                <w:sz w:val="22"/>
                <w:szCs w:val="22"/>
              </w:rPr>
            </w:pPr>
            <w:r>
              <w:rPr>
                <w:color w:val="auto"/>
                <w:sz w:val="22"/>
                <w:szCs w:val="22"/>
              </w:rPr>
              <w:t>Способы проверки написания буквы, обозначающей безударный гласный звук в корне слова</w:t>
            </w:r>
          </w:p>
        </w:tc>
      </w:tr>
      <w:tr w14:paraId="135445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7494C56C">
            <w:pPr>
              <w:pStyle w:val="85"/>
              <w:jc w:val="center"/>
              <w:rPr>
                <w:color w:val="auto"/>
                <w:sz w:val="22"/>
                <w:szCs w:val="22"/>
              </w:rPr>
            </w:pPr>
            <w:r>
              <w:rPr>
                <w:color w:val="auto"/>
                <w:sz w:val="22"/>
                <w:szCs w:val="22"/>
              </w:rPr>
              <w:t>Урок 48</w:t>
            </w:r>
          </w:p>
        </w:tc>
        <w:tc>
          <w:tcPr>
            <w:tcW w:w="7937" w:type="dxa"/>
          </w:tcPr>
          <w:p w14:paraId="337D583B">
            <w:pPr>
              <w:pStyle w:val="85"/>
              <w:jc w:val="both"/>
              <w:rPr>
                <w:color w:val="auto"/>
                <w:sz w:val="22"/>
                <w:szCs w:val="22"/>
              </w:rPr>
            </w:pPr>
            <w:r>
              <w:rPr>
                <w:color w:val="auto"/>
                <w:sz w:val="22"/>
                <w:szCs w:val="22"/>
              </w:rPr>
              <w:t>Списывание текста. Словарный диктант</w:t>
            </w:r>
          </w:p>
        </w:tc>
      </w:tr>
      <w:tr w14:paraId="7C8F53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342F7197">
            <w:pPr>
              <w:pStyle w:val="85"/>
              <w:jc w:val="center"/>
              <w:rPr>
                <w:color w:val="auto"/>
                <w:sz w:val="22"/>
                <w:szCs w:val="22"/>
              </w:rPr>
            </w:pPr>
            <w:r>
              <w:rPr>
                <w:color w:val="auto"/>
                <w:sz w:val="22"/>
                <w:szCs w:val="22"/>
              </w:rPr>
              <w:t>Урок 49</w:t>
            </w:r>
          </w:p>
        </w:tc>
        <w:tc>
          <w:tcPr>
            <w:tcW w:w="7937" w:type="dxa"/>
          </w:tcPr>
          <w:p w14:paraId="3CB2ECE3">
            <w:pPr>
              <w:pStyle w:val="85"/>
              <w:jc w:val="both"/>
              <w:rPr>
                <w:color w:val="auto"/>
                <w:sz w:val="22"/>
                <w:szCs w:val="22"/>
              </w:rPr>
            </w:pPr>
            <w:r>
              <w:rPr>
                <w:color w:val="auto"/>
                <w:sz w:val="22"/>
                <w:szCs w:val="22"/>
              </w:rPr>
              <w:t>Корень слова: обобщение знаний</w:t>
            </w:r>
          </w:p>
        </w:tc>
      </w:tr>
      <w:tr w14:paraId="065FFF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4951D6C8">
            <w:pPr>
              <w:pStyle w:val="85"/>
              <w:jc w:val="center"/>
              <w:rPr>
                <w:color w:val="auto"/>
                <w:sz w:val="22"/>
                <w:szCs w:val="22"/>
              </w:rPr>
            </w:pPr>
            <w:r>
              <w:rPr>
                <w:color w:val="auto"/>
                <w:sz w:val="22"/>
                <w:szCs w:val="22"/>
              </w:rPr>
              <w:t>Урок 50</w:t>
            </w:r>
          </w:p>
        </w:tc>
        <w:tc>
          <w:tcPr>
            <w:tcW w:w="7937" w:type="dxa"/>
          </w:tcPr>
          <w:p w14:paraId="2126E10D">
            <w:pPr>
              <w:pStyle w:val="85"/>
              <w:jc w:val="both"/>
              <w:rPr>
                <w:color w:val="auto"/>
                <w:sz w:val="22"/>
                <w:szCs w:val="22"/>
              </w:rPr>
            </w:pPr>
            <w:r>
              <w:rPr>
                <w:color w:val="auto"/>
                <w:sz w:val="22"/>
                <w:szCs w:val="22"/>
              </w:rPr>
              <w:t>Правописание слов с безударным гласным звуком в корне</w:t>
            </w:r>
          </w:p>
        </w:tc>
      </w:tr>
      <w:tr w14:paraId="367979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07F7A8F0">
            <w:pPr>
              <w:pStyle w:val="85"/>
              <w:jc w:val="center"/>
              <w:rPr>
                <w:color w:val="auto"/>
                <w:sz w:val="22"/>
                <w:szCs w:val="22"/>
              </w:rPr>
            </w:pPr>
            <w:r>
              <w:rPr>
                <w:color w:val="auto"/>
                <w:sz w:val="22"/>
                <w:szCs w:val="22"/>
              </w:rPr>
              <w:t>Урок 51</w:t>
            </w:r>
          </w:p>
        </w:tc>
        <w:tc>
          <w:tcPr>
            <w:tcW w:w="7937" w:type="dxa"/>
          </w:tcPr>
          <w:p w14:paraId="64BE914F">
            <w:pPr>
              <w:pStyle w:val="85"/>
              <w:jc w:val="both"/>
              <w:rPr>
                <w:color w:val="auto"/>
                <w:sz w:val="22"/>
                <w:szCs w:val="22"/>
              </w:rPr>
            </w:pPr>
            <w:r>
              <w:rPr>
                <w:color w:val="auto"/>
                <w:sz w:val="22"/>
                <w:szCs w:val="22"/>
              </w:rPr>
              <w:t>Правописание слов с безударным гласным звуком в корне: закрепление</w:t>
            </w:r>
          </w:p>
        </w:tc>
      </w:tr>
      <w:tr w14:paraId="72A623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71D86217">
            <w:pPr>
              <w:pStyle w:val="85"/>
              <w:jc w:val="center"/>
              <w:rPr>
                <w:color w:val="auto"/>
                <w:sz w:val="22"/>
                <w:szCs w:val="22"/>
              </w:rPr>
            </w:pPr>
            <w:r>
              <w:rPr>
                <w:color w:val="auto"/>
                <w:sz w:val="22"/>
                <w:szCs w:val="22"/>
              </w:rPr>
              <w:t>Урок 52</w:t>
            </w:r>
          </w:p>
        </w:tc>
        <w:tc>
          <w:tcPr>
            <w:tcW w:w="7937" w:type="dxa"/>
          </w:tcPr>
          <w:p w14:paraId="4BA72308">
            <w:pPr>
              <w:pStyle w:val="85"/>
              <w:jc w:val="both"/>
              <w:rPr>
                <w:color w:val="auto"/>
                <w:sz w:val="22"/>
                <w:szCs w:val="22"/>
              </w:rPr>
            </w:pPr>
            <w:r>
              <w:rPr>
                <w:color w:val="auto"/>
                <w:sz w:val="22"/>
                <w:szCs w:val="22"/>
              </w:rPr>
              <w:t>Объяснительный диктант: учимся обозначать безударные гласные в корне слова</w:t>
            </w:r>
          </w:p>
        </w:tc>
      </w:tr>
      <w:tr w14:paraId="2D4C83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5415D69E">
            <w:pPr>
              <w:pStyle w:val="85"/>
              <w:jc w:val="center"/>
              <w:rPr>
                <w:color w:val="auto"/>
                <w:sz w:val="22"/>
                <w:szCs w:val="22"/>
              </w:rPr>
            </w:pPr>
            <w:r>
              <w:rPr>
                <w:color w:val="auto"/>
                <w:sz w:val="22"/>
                <w:szCs w:val="22"/>
              </w:rPr>
              <w:t>Урок 53</w:t>
            </w:r>
          </w:p>
        </w:tc>
        <w:tc>
          <w:tcPr>
            <w:tcW w:w="7937" w:type="dxa"/>
          </w:tcPr>
          <w:p w14:paraId="70964B3F">
            <w:pPr>
              <w:pStyle w:val="85"/>
              <w:jc w:val="both"/>
              <w:rPr>
                <w:color w:val="auto"/>
                <w:sz w:val="22"/>
                <w:szCs w:val="22"/>
              </w:rPr>
            </w:pPr>
            <w:r>
              <w:rPr>
                <w:color w:val="auto"/>
                <w:sz w:val="22"/>
                <w:szCs w:val="22"/>
              </w:rPr>
              <w:t>Непроверяемые гласные в корне слова</w:t>
            </w:r>
          </w:p>
        </w:tc>
      </w:tr>
      <w:tr w14:paraId="7EC9DB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2A858448">
            <w:pPr>
              <w:pStyle w:val="85"/>
              <w:jc w:val="center"/>
              <w:rPr>
                <w:color w:val="auto"/>
                <w:sz w:val="22"/>
                <w:szCs w:val="22"/>
              </w:rPr>
            </w:pPr>
            <w:r>
              <w:rPr>
                <w:color w:val="auto"/>
                <w:sz w:val="22"/>
                <w:szCs w:val="22"/>
              </w:rPr>
              <w:t>Урок 54</w:t>
            </w:r>
          </w:p>
        </w:tc>
        <w:tc>
          <w:tcPr>
            <w:tcW w:w="7937" w:type="dxa"/>
          </w:tcPr>
          <w:p w14:paraId="0C773A12">
            <w:pPr>
              <w:pStyle w:val="85"/>
              <w:jc w:val="both"/>
              <w:rPr>
                <w:color w:val="auto"/>
                <w:sz w:val="22"/>
                <w:szCs w:val="22"/>
              </w:rPr>
            </w:pPr>
            <w:r>
              <w:rPr>
                <w:color w:val="auto"/>
                <w:sz w:val="22"/>
                <w:szCs w:val="22"/>
              </w:rPr>
              <w:t>Правописание слов с проверяемыми и непроверяемыми безударными гласными в корне слова</w:t>
            </w:r>
          </w:p>
        </w:tc>
      </w:tr>
      <w:tr w14:paraId="1262CE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5C6FE8A4">
            <w:pPr>
              <w:pStyle w:val="85"/>
              <w:jc w:val="center"/>
              <w:rPr>
                <w:color w:val="auto"/>
                <w:sz w:val="22"/>
                <w:szCs w:val="22"/>
              </w:rPr>
            </w:pPr>
            <w:r>
              <w:rPr>
                <w:color w:val="auto"/>
                <w:sz w:val="22"/>
                <w:szCs w:val="22"/>
              </w:rPr>
              <w:t>Урок 55</w:t>
            </w:r>
          </w:p>
        </w:tc>
        <w:tc>
          <w:tcPr>
            <w:tcW w:w="7937" w:type="dxa"/>
          </w:tcPr>
          <w:p w14:paraId="350D8A84">
            <w:pPr>
              <w:pStyle w:val="85"/>
              <w:jc w:val="both"/>
              <w:rPr>
                <w:color w:val="auto"/>
                <w:sz w:val="22"/>
                <w:szCs w:val="22"/>
              </w:rPr>
            </w:pPr>
            <w:r>
              <w:rPr>
                <w:color w:val="auto"/>
                <w:sz w:val="22"/>
                <w:szCs w:val="22"/>
              </w:rPr>
              <w:t>Обозначение парных по звонкости-глухости согласных в корне слова</w:t>
            </w:r>
          </w:p>
        </w:tc>
      </w:tr>
      <w:tr w14:paraId="2212DF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4CC63F26">
            <w:pPr>
              <w:pStyle w:val="85"/>
              <w:jc w:val="center"/>
              <w:rPr>
                <w:color w:val="auto"/>
                <w:sz w:val="22"/>
                <w:szCs w:val="22"/>
              </w:rPr>
            </w:pPr>
            <w:r>
              <w:rPr>
                <w:color w:val="auto"/>
                <w:sz w:val="22"/>
                <w:szCs w:val="22"/>
              </w:rPr>
              <w:t>Урок 56</w:t>
            </w:r>
          </w:p>
        </w:tc>
        <w:tc>
          <w:tcPr>
            <w:tcW w:w="7937" w:type="dxa"/>
          </w:tcPr>
          <w:p w14:paraId="6B6087F3">
            <w:pPr>
              <w:pStyle w:val="85"/>
              <w:jc w:val="both"/>
              <w:rPr>
                <w:color w:val="auto"/>
                <w:sz w:val="22"/>
                <w:szCs w:val="22"/>
              </w:rPr>
            </w:pPr>
            <w:r>
              <w:rPr>
                <w:color w:val="auto"/>
                <w:sz w:val="22"/>
                <w:szCs w:val="22"/>
              </w:rPr>
              <w:t>Правописание слов с парным по звонкости-глухости согласным в корне слова</w:t>
            </w:r>
          </w:p>
        </w:tc>
      </w:tr>
      <w:tr w14:paraId="452277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66DED580">
            <w:pPr>
              <w:pStyle w:val="85"/>
              <w:jc w:val="center"/>
              <w:rPr>
                <w:color w:val="auto"/>
                <w:sz w:val="22"/>
                <w:szCs w:val="22"/>
              </w:rPr>
            </w:pPr>
            <w:r>
              <w:rPr>
                <w:color w:val="auto"/>
                <w:sz w:val="22"/>
                <w:szCs w:val="22"/>
              </w:rPr>
              <w:t>Урок 57</w:t>
            </w:r>
          </w:p>
        </w:tc>
        <w:tc>
          <w:tcPr>
            <w:tcW w:w="7937" w:type="dxa"/>
          </w:tcPr>
          <w:p w14:paraId="0870C337">
            <w:pPr>
              <w:pStyle w:val="85"/>
              <w:jc w:val="both"/>
              <w:rPr>
                <w:color w:val="auto"/>
                <w:sz w:val="22"/>
                <w:szCs w:val="22"/>
              </w:rPr>
            </w:pPr>
            <w:r>
              <w:rPr>
                <w:color w:val="auto"/>
                <w:sz w:val="22"/>
                <w:szCs w:val="22"/>
              </w:rPr>
              <w:t>Способы проверки согласных в корне слова</w:t>
            </w:r>
          </w:p>
        </w:tc>
      </w:tr>
      <w:tr w14:paraId="4E6FA0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1EA1F521">
            <w:pPr>
              <w:pStyle w:val="85"/>
              <w:jc w:val="center"/>
              <w:rPr>
                <w:color w:val="auto"/>
                <w:sz w:val="22"/>
                <w:szCs w:val="22"/>
              </w:rPr>
            </w:pPr>
            <w:r>
              <w:rPr>
                <w:color w:val="auto"/>
                <w:sz w:val="22"/>
                <w:szCs w:val="22"/>
              </w:rPr>
              <w:t>Урок 58</w:t>
            </w:r>
          </w:p>
        </w:tc>
        <w:tc>
          <w:tcPr>
            <w:tcW w:w="7937" w:type="dxa"/>
          </w:tcPr>
          <w:p w14:paraId="67111223">
            <w:pPr>
              <w:pStyle w:val="85"/>
              <w:jc w:val="both"/>
              <w:rPr>
                <w:color w:val="auto"/>
                <w:sz w:val="22"/>
                <w:szCs w:val="22"/>
              </w:rPr>
            </w:pPr>
            <w:r>
              <w:rPr>
                <w:color w:val="auto"/>
                <w:sz w:val="22"/>
                <w:szCs w:val="22"/>
              </w:rPr>
              <w:t>Отработка правописания слов с парным по глухости звонкости согласным в корне слова</w:t>
            </w:r>
          </w:p>
        </w:tc>
      </w:tr>
      <w:tr w14:paraId="11D75A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7970C018">
            <w:pPr>
              <w:pStyle w:val="85"/>
              <w:jc w:val="center"/>
              <w:rPr>
                <w:color w:val="auto"/>
                <w:sz w:val="22"/>
                <w:szCs w:val="22"/>
              </w:rPr>
            </w:pPr>
            <w:r>
              <w:rPr>
                <w:color w:val="auto"/>
                <w:sz w:val="22"/>
                <w:szCs w:val="22"/>
              </w:rPr>
              <w:t>Урок 59</w:t>
            </w:r>
          </w:p>
        </w:tc>
        <w:tc>
          <w:tcPr>
            <w:tcW w:w="7937" w:type="dxa"/>
          </w:tcPr>
          <w:p w14:paraId="21D8148E">
            <w:pPr>
              <w:pStyle w:val="85"/>
              <w:jc w:val="both"/>
              <w:rPr>
                <w:color w:val="auto"/>
                <w:sz w:val="22"/>
                <w:szCs w:val="22"/>
              </w:rPr>
            </w:pPr>
            <w:r>
              <w:rPr>
                <w:color w:val="auto"/>
                <w:sz w:val="22"/>
                <w:szCs w:val="22"/>
              </w:rPr>
              <w:t>Учимся писать буквы согласных в корне слова</w:t>
            </w:r>
          </w:p>
        </w:tc>
      </w:tr>
      <w:tr w14:paraId="30A812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47A536F7">
            <w:pPr>
              <w:pStyle w:val="85"/>
              <w:jc w:val="center"/>
              <w:rPr>
                <w:color w:val="auto"/>
                <w:sz w:val="22"/>
                <w:szCs w:val="22"/>
              </w:rPr>
            </w:pPr>
            <w:r>
              <w:rPr>
                <w:color w:val="auto"/>
                <w:sz w:val="22"/>
                <w:szCs w:val="22"/>
              </w:rPr>
              <w:t>Урок 60</w:t>
            </w:r>
          </w:p>
        </w:tc>
        <w:tc>
          <w:tcPr>
            <w:tcW w:w="7937" w:type="dxa"/>
          </w:tcPr>
          <w:p w14:paraId="01FAFE42">
            <w:pPr>
              <w:pStyle w:val="85"/>
              <w:jc w:val="both"/>
              <w:rPr>
                <w:color w:val="auto"/>
                <w:sz w:val="22"/>
                <w:szCs w:val="22"/>
              </w:rPr>
            </w:pPr>
            <w:r>
              <w:rPr>
                <w:color w:val="auto"/>
                <w:sz w:val="22"/>
                <w:szCs w:val="22"/>
              </w:rPr>
              <w:t>Объяснительный диктант: учимся писать буквы согласных в корне слова</w:t>
            </w:r>
          </w:p>
        </w:tc>
      </w:tr>
      <w:tr w14:paraId="52FA6C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3E2F00EB">
            <w:pPr>
              <w:pStyle w:val="85"/>
              <w:jc w:val="center"/>
              <w:rPr>
                <w:color w:val="auto"/>
                <w:sz w:val="22"/>
                <w:szCs w:val="22"/>
              </w:rPr>
            </w:pPr>
            <w:r>
              <w:rPr>
                <w:color w:val="auto"/>
                <w:sz w:val="22"/>
                <w:szCs w:val="22"/>
              </w:rPr>
              <w:t>Урок 61</w:t>
            </w:r>
          </w:p>
        </w:tc>
        <w:tc>
          <w:tcPr>
            <w:tcW w:w="7937" w:type="dxa"/>
          </w:tcPr>
          <w:p w14:paraId="737334F3">
            <w:pPr>
              <w:pStyle w:val="85"/>
              <w:jc w:val="both"/>
              <w:rPr>
                <w:color w:val="auto"/>
                <w:sz w:val="22"/>
                <w:szCs w:val="22"/>
              </w:rPr>
            </w:pPr>
            <w:r>
              <w:rPr>
                <w:color w:val="auto"/>
                <w:sz w:val="22"/>
                <w:szCs w:val="22"/>
              </w:rPr>
              <w:t>Суффикс как часть слова</w:t>
            </w:r>
          </w:p>
        </w:tc>
      </w:tr>
      <w:tr w14:paraId="2A35E9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5E6058A8">
            <w:pPr>
              <w:pStyle w:val="85"/>
              <w:jc w:val="center"/>
              <w:rPr>
                <w:color w:val="auto"/>
                <w:sz w:val="22"/>
                <w:szCs w:val="22"/>
              </w:rPr>
            </w:pPr>
            <w:r>
              <w:rPr>
                <w:color w:val="auto"/>
                <w:sz w:val="22"/>
                <w:szCs w:val="22"/>
              </w:rPr>
              <w:t>Урок 62</w:t>
            </w:r>
          </w:p>
        </w:tc>
        <w:tc>
          <w:tcPr>
            <w:tcW w:w="7937" w:type="dxa"/>
          </w:tcPr>
          <w:p w14:paraId="1C300436">
            <w:pPr>
              <w:pStyle w:val="85"/>
              <w:jc w:val="both"/>
              <w:rPr>
                <w:color w:val="auto"/>
                <w:sz w:val="22"/>
                <w:szCs w:val="22"/>
              </w:rPr>
            </w:pPr>
            <w:r>
              <w:rPr>
                <w:color w:val="auto"/>
                <w:sz w:val="22"/>
                <w:szCs w:val="22"/>
              </w:rPr>
              <w:t>Суффикс как часть слова: наблюдение за значением</w:t>
            </w:r>
          </w:p>
        </w:tc>
      </w:tr>
      <w:tr w14:paraId="17DC14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5DB8F26A">
            <w:pPr>
              <w:pStyle w:val="85"/>
              <w:jc w:val="center"/>
              <w:rPr>
                <w:color w:val="auto"/>
                <w:sz w:val="22"/>
                <w:szCs w:val="22"/>
              </w:rPr>
            </w:pPr>
            <w:r>
              <w:rPr>
                <w:color w:val="auto"/>
                <w:sz w:val="22"/>
                <w:szCs w:val="22"/>
              </w:rPr>
              <w:t>Урок 63</w:t>
            </w:r>
          </w:p>
        </w:tc>
        <w:tc>
          <w:tcPr>
            <w:tcW w:w="7937" w:type="dxa"/>
          </w:tcPr>
          <w:p w14:paraId="0DA40C7B">
            <w:pPr>
              <w:pStyle w:val="85"/>
              <w:jc w:val="both"/>
              <w:rPr>
                <w:color w:val="auto"/>
                <w:sz w:val="22"/>
                <w:szCs w:val="22"/>
              </w:rPr>
            </w:pPr>
            <w:r>
              <w:rPr>
                <w:color w:val="auto"/>
                <w:sz w:val="22"/>
                <w:szCs w:val="22"/>
              </w:rPr>
              <w:t>Списывание текста. Словарный диктант</w:t>
            </w:r>
          </w:p>
        </w:tc>
      </w:tr>
      <w:tr w14:paraId="684597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6F16AF97">
            <w:pPr>
              <w:pStyle w:val="85"/>
              <w:jc w:val="center"/>
              <w:rPr>
                <w:color w:val="auto"/>
                <w:sz w:val="22"/>
                <w:szCs w:val="22"/>
              </w:rPr>
            </w:pPr>
            <w:r>
              <w:rPr>
                <w:color w:val="auto"/>
                <w:sz w:val="22"/>
                <w:szCs w:val="22"/>
              </w:rPr>
              <w:t>Урок 64</w:t>
            </w:r>
          </w:p>
        </w:tc>
        <w:tc>
          <w:tcPr>
            <w:tcW w:w="7937" w:type="dxa"/>
          </w:tcPr>
          <w:p w14:paraId="5F37031B">
            <w:pPr>
              <w:pStyle w:val="85"/>
              <w:jc w:val="both"/>
              <w:rPr>
                <w:color w:val="auto"/>
                <w:sz w:val="22"/>
                <w:szCs w:val="22"/>
              </w:rPr>
            </w:pPr>
            <w:r>
              <w:rPr>
                <w:color w:val="auto"/>
                <w:sz w:val="22"/>
                <w:szCs w:val="22"/>
              </w:rPr>
              <w:t>Орфографическая зоркость как осознание места возможного возникновения орфографической ошибки: наблюдение за правописанием суффиксов имен существительных</w:t>
            </w:r>
          </w:p>
        </w:tc>
      </w:tr>
      <w:tr w14:paraId="16B8E6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2150EBE6">
            <w:pPr>
              <w:pStyle w:val="85"/>
              <w:jc w:val="center"/>
              <w:rPr>
                <w:color w:val="auto"/>
                <w:sz w:val="22"/>
                <w:szCs w:val="22"/>
              </w:rPr>
            </w:pPr>
            <w:r>
              <w:rPr>
                <w:color w:val="auto"/>
                <w:sz w:val="22"/>
                <w:szCs w:val="22"/>
              </w:rPr>
              <w:t>Урок 65</w:t>
            </w:r>
          </w:p>
        </w:tc>
        <w:tc>
          <w:tcPr>
            <w:tcW w:w="7937" w:type="dxa"/>
          </w:tcPr>
          <w:p w14:paraId="13047FD6">
            <w:pPr>
              <w:pStyle w:val="85"/>
              <w:jc w:val="both"/>
              <w:rPr>
                <w:color w:val="auto"/>
                <w:sz w:val="22"/>
                <w:szCs w:val="22"/>
              </w:rPr>
            </w:pPr>
            <w:r>
              <w:rPr>
                <w:color w:val="auto"/>
                <w:sz w:val="22"/>
                <w:szCs w:val="22"/>
              </w:rPr>
              <w:t>Орфографическая зоркость как осознание места возможного возникновения орфографической ошибки: наблюдение за правописанием суффиксов имен прилагательных</w:t>
            </w:r>
          </w:p>
        </w:tc>
      </w:tr>
      <w:tr w14:paraId="30D848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4BD7BF1A">
            <w:pPr>
              <w:pStyle w:val="85"/>
              <w:jc w:val="center"/>
              <w:rPr>
                <w:color w:val="auto"/>
                <w:sz w:val="22"/>
                <w:szCs w:val="22"/>
              </w:rPr>
            </w:pPr>
            <w:r>
              <w:rPr>
                <w:color w:val="auto"/>
                <w:sz w:val="22"/>
                <w:szCs w:val="22"/>
              </w:rPr>
              <w:t>Урок 66</w:t>
            </w:r>
          </w:p>
        </w:tc>
        <w:tc>
          <w:tcPr>
            <w:tcW w:w="7937" w:type="dxa"/>
          </w:tcPr>
          <w:p w14:paraId="270EB72F">
            <w:pPr>
              <w:pStyle w:val="85"/>
              <w:jc w:val="both"/>
              <w:rPr>
                <w:color w:val="auto"/>
                <w:sz w:val="22"/>
                <w:szCs w:val="22"/>
              </w:rPr>
            </w:pPr>
            <w:r>
              <w:rPr>
                <w:color w:val="auto"/>
                <w:sz w:val="22"/>
                <w:szCs w:val="22"/>
              </w:rPr>
              <w:t>Приставка как часть слова (наблюдение)</w:t>
            </w:r>
          </w:p>
        </w:tc>
      </w:tr>
      <w:tr w14:paraId="034C10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50A451F1">
            <w:pPr>
              <w:pStyle w:val="85"/>
              <w:jc w:val="center"/>
              <w:rPr>
                <w:color w:val="auto"/>
                <w:sz w:val="22"/>
                <w:szCs w:val="22"/>
              </w:rPr>
            </w:pPr>
            <w:r>
              <w:rPr>
                <w:color w:val="auto"/>
                <w:sz w:val="22"/>
                <w:szCs w:val="22"/>
              </w:rPr>
              <w:t>Урок 67</w:t>
            </w:r>
          </w:p>
        </w:tc>
        <w:tc>
          <w:tcPr>
            <w:tcW w:w="7937" w:type="dxa"/>
          </w:tcPr>
          <w:p w14:paraId="1273116E">
            <w:pPr>
              <w:pStyle w:val="85"/>
              <w:jc w:val="both"/>
              <w:rPr>
                <w:color w:val="auto"/>
                <w:sz w:val="22"/>
                <w:szCs w:val="22"/>
              </w:rPr>
            </w:pPr>
            <w:r>
              <w:rPr>
                <w:color w:val="auto"/>
                <w:sz w:val="22"/>
                <w:szCs w:val="22"/>
              </w:rPr>
              <w:t>Орфографическая зоркость как осознание места возможного возникновения орфографической ошибки: наблюдение за правописанием приставок</w:t>
            </w:r>
          </w:p>
        </w:tc>
      </w:tr>
      <w:tr w14:paraId="214477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5933532D">
            <w:pPr>
              <w:pStyle w:val="85"/>
              <w:jc w:val="center"/>
              <w:rPr>
                <w:color w:val="auto"/>
                <w:sz w:val="22"/>
                <w:szCs w:val="22"/>
              </w:rPr>
            </w:pPr>
            <w:r>
              <w:rPr>
                <w:color w:val="auto"/>
                <w:sz w:val="22"/>
                <w:szCs w:val="22"/>
              </w:rPr>
              <w:t>Урок 68</w:t>
            </w:r>
          </w:p>
        </w:tc>
        <w:tc>
          <w:tcPr>
            <w:tcW w:w="7937" w:type="dxa"/>
          </w:tcPr>
          <w:p w14:paraId="42DD8FAB">
            <w:pPr>
              <w:pStyle w:val="85"/>
              <w:jc w:val="both"/>
              <w:rPr>
                <w:color w:val="auto"/>
                <w:sz w:val="22"/>
                <w:szCs w:val="22"/>
              </w:rPr>
            </w:pPr>
            <w:r>
              <w:rPr>
                <w:color w:val="auto"/>
                <w:sz w:val="22"/>
                <w:szCs w:val="22"/>
              </w:rPr>
              <w:t>Различные способы решения орфографической задачи в зависимости от места орфограммы в слове</w:t>
            </w:r>
          </w:p>
        </w:tc>
      </w:tr>
      <w:tr w14:paraId="1A94B8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62705F4F">
            <w:pPr>
              <w:pStyle w:val="85"/>
              <w:jc w:val="center"/>
              <w:rPr>
                <w:color w:val="auto"/>
                <w:sz w:val="22"/>
                <w:szCs w:val="22"/>
              </w:rPr>
            </w:pPr>
            <w:r>
              <w:rPr>
                <w:color w:val="auto"/>
                <w:sz w:val="22"/>
                <w:szCs w:val="22"/>
              </w:rPr>
              <w:t>Урок 69</w:t>
            </w:r>
          </w:p>
        </w:tc>
        <w:tc>
          <w:tcPr>
            <w:tcW w:w="7937" w:type="dxa"/>
          </w:tcPr>
          <w:p w14:paraId="47D50BA4">
            <w:pPr>
              <w:pStyle w:val="85"/>
              <w:jc w:val="both"/>
              <w:rPr>
                <w:color w:val="auto"/>
                <w:sz w:val="22"/>
                <w:szCs w:val="22"/>
              </w:rPr>
            </w:pPr>
            <w:r>
              <w:rPr>
                <w:color w:val="auto"/>
                <w:sz w:val="22"/>
                <w:szCs w:val="22"/>
              </w:rPr>
              <w:t>Роль суффиксов и приставок</w:t>
            </w:r>
          </w:p>
        </w:tc>
      </w:tr>
      <w:tr w14:paraId="45E93D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09A408AF">
            <w:pPr>
              <w:pStyle w:val="85"/>
              <w:jc w:val="center"/>
              <w:rPr>
                <w:color w:val="auto"/>
                <w:sz w:val="22"/>
                <w:szCs w:val="22"/>
              </w:rPr>
            </w:pPr>
            <w:r>
              <w:rPr>
                <w:color w:val="auto"/>
                <w:sz w:val="22"/>
                <w:szCs w:val="22"/>
              </w:rPr>
              <w:t>Урок 70</w:t>
            </w:r>
          </w:p>
        </w:tc>
        <w:tc>
          <w:tcPr>
            <w:tcW w:w="7937" w:type="dxa"/>
          </w:tcPr>
          <w:p w14:paraId="72D411CD">
            <w:pPr>
              <w:pStyle w:val="85"/>
              <w:jc w:val="both"/>
              <w:rPr>
                <w:color w:val="auto"/>
                <w:sz w:val="22"/>
                <w:szCs w:val="22"/>
              </w:rPr>
            </w:pPr>
            <w:r>
              <w:rPr>
                <w:color w:val="auto"/>
                <w:sz w:val="22"/>
                <w:szCs w:val="22"/>
              </w:rPr>
              <w:t>Состав слова: систематизация знаний</w:t>
            </w:r>
          </w:p>
        </w:tc>
      </w:tr>
      <w:tr w14:paraId="6A7CA2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73E63CF7">
            <w:pPr>
              <w:pStyle w:val="85"/>
              <w:jc w:val="center"/>
              <w:rPr>
                <w:color w:val="auto"/>
                <w:sz w:val="22"/>
                <w:szCs w:val="22"/>
              </w:rPr>
            </w:pPr>
            <w:r>
              <w:rPr>
                <w:color w:val="auto"/>
                <w:sz w:val="22"/>
                <w:szCs w:val="22"/>
              </w:rPr>
              <w:t>Урок 71</w:t>
            </w:r>
          </w:p>
        </w:tc>
        <w:tc>
          <w:tcPr>
            <w:tcW w:w="7937" w:type="dxa"/>
          </w:tcPr>
          <w:p w14:paraId="09BBC304">
            <w:pPr>
              <w:pStyle w:val="85"/>
              <w:jc w:val="both"/>
              <w:rPr>
                <w:color w:val="auto"/>
                <w:sz w:val="22"/>
                <w:szCs w:val="22"/>
              </w:rPr>
            </w:pPr>
            <w:r>
              <w:rPr>
                <w:color w:val="auto"/>
                <w:sz w:val="22"/>
                <w:szCs w:val="22"/>
              </w:rPr>
              <w:t>Состав слова: обобщение</w:t>
            </w:r>
          </w:p>
        </w:tc>
      </w:tr>
      <w:tr w14:paraId="74D74C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520A5393">
            <w:pPr>
              <w:pStyle w:val="85"/>
              <w:jc w:val="center"/>
              <w:rPr>
                <w:color w:val="auto"/>
                <w:sz w:val="22"/>
                <w:szCs w:val="22"/>
              </w:rPr>
            </w:pPr>
            <w:r>
              <w:rPr>
                <w:color w:val="auto"/>
                <w:sz w:val="22"/>
                <w:szCs w:val="22"/>
              </w:rPr>
              <w:t>Урок 72</w:t>
            </w:r>
          </w:p>
        </w:tc>
        <w:tc>
          <w:tcPr>
            <w:tcW w:w="7937" w:type="dxa"/>
          </w:tcPr>
          <w:p w14:paraId="74BAD8C6">
            <w:pPr>
              <w:pStyle w:val="85"/>
              <w:jc w:val="both"/>
              <w:rPr>
                <w:color w:val="auto"/>
                <w:sz w:val="22"/>
                <w:szCs w:val="22"/>
              </w:rPr>
            </w:pPr>
            <w:r>
              <w:rPr>
                <w:color w:val="auto"/>
                <w:sz w:val="22"/>
                <w:szCs w:val="22"/>
              </w:rPr>
              <w:t>Отработка способов решения орфографической задачи в зависимости от места орфограммы в слове</w:t>
            </w:r>
          </w:p>
        </w:tc>
      </w:tr>
      <w:tr w14:paraId="1AF965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2D02B985">
            <w:pPr>
              <w:pStyle w:val="85"/>
              <w:jc w:val="center"/>
              <w:rPr>
                <w:color w:val="auto"/>
                <w:sz w:val="22"/>
                <w:szCs w:val="22"/>
              </w:rPr>
            </w:pPr>
            <w:r>
              <w:rPr>
                <w:color w:val="auto"/>
                <w:sz w:val="22"/>
                <w:szCs w:val="22"/>
              </w:rPr>
              <w:t>Урок 73</w:t>
            </w:r>
          </w:p>
        </w:tc>
        <w:tc>
          <w:tcPr>
            <w:tcW w:w="7937" w:type="dxa"/>
          </w:tcPr>
          <w:p w14:paraId="09D3FAE5">
            <w:pPr>
              <w:pStyle w:val="85"/>
              <w:jc w:val="both"/>
              <w:rPr>
                <w:color w:val="auto"/>
                <w:sz w:val="22"/>
                <w:szCs w:val="22"/>
              </w:rPr>
            </w:pPr>
            <w:r>
              <w:rPr>
                <w:color w:val="auto"/>
                <w:sz w:val="22"/>
                <w:szCs w:val="22"/>
              </w:rPr>
              <w:t>Знакомство с жанром поздравления</w:t>
            </w:r>
          </w:p>
        </w:tc>
      </w:tr>
      <w:tr w14:paraId="365E99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17E17B36">
            <w:pPr>
              <w:pStyle w:val="85"/>
              <w:jc w:val="center"/>
              <w:rPr>
                <w:color w:val="auto"/>
                <w:sz w:val="22"/>
                <w:szCs w:val="22"/>
              </w:rPr>
            </w:pPr>
            <w:r>
              <w:rPr>
                <w:color w:val="auto"/>
                <w:sz w:val="22"/>
                <w:szCs w:val="22"/>
              </w:rPr>
              <w:t>Урок 74</w:t>
            </w:r>
          </w:p>
        </w:tc>
        <w:tc>
          <w:tcPr>
            <w:tcW w:w="7937" w:type="dxa"/>
          </w:tcPr>
          <w:p w14:paraId="42393898">
            <w:pPr>
              <w:pStyle w:val="85"/>
              <w:jc w:val="both"/>
              <w:rPr>
                <w:color w:val="auto"/>
                <w:sz w:val="22"/>
                <w:szCs w:val="22"/>
              </w:rPr>
            </w:pPr>
            <w:r>
              <w:rPr>
                <w:color w:val="auto"/>
                <w:sz w:val="22"/>
                <w:szCs w:val="22"/>
              </w:rPr>
              <w:t>Учимся писать буквы гласных и согласных в корне слова</w:t>
            </w:r>
          </w:p>
        </w:tc>
      </w:tr>
      <w:tr w14:paraId="3B0827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3F56AC32">
            <w:pPr>
              <w:pStyle w:val="85"/>
              <w:jc w:val="center"/>
              <w:rPr>
                <w:color w:val="auto"/>
                <w:sz w:val="22"/>
                <w:szCs w:val="22"/>
              </w:rPr>
            </w:pPr>
            <w:r>
              <w:rPr>
                <w:color w:val="auto"/>
                <w:sz w:val="22"/>
                <w:szCs w:val="22"/>
              </w:rPr>
              <w:t>Урок 75</w:t>
            </w:r>
          </w:p>
        </w:tc>
        <w:tc>
          <w:tcPr>
            <w:tcW w:w="7937" w:type="dxa"/>
          </w:tcPr>
          <w:p w14:paraId="79E64492">
            <w:pPr>
              <w:pStyle w:val="85"/>
              <w:jc w:val="both"/>
              <w:rPr>
                <w:color w:val="auto"/>
                <w:sz w:val="22"/>
                <w:szCs w:val="22"/>
              </w:rPr>
            </w:pPr>
            <w:r>
              <w:rPr>
                <w:color w:val="auto"/>
                <w:sz w:val="22"/>
                <w:szCs w:val="22"/>
              </w:rPr>
              <w:t>Диктант на изученные орфограммы в корне слова</w:t>
            </w:r>
          </w:p>
        </w:tc>
      </w:tr>
      <w:tr w14:paraId="5237DE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48C3B5E4">
            <w:pPr>
              <w:pStyle w:val="85"/>
              <w:jc w:val="center"/>
              <w:rPr>
                <w:color w:val="auto"/>
                <w:sz w:val="22"/>
                <w:szCs w:val="22"/>
              </w:rPr>
            </w:pPr>
            <w:r>
              <w:rPr>
                <w:color w:val="auto"/>
                <w:sz w:val="22"/>
                <w:szCs w:val="22"/>
              </w:rPr>
              <w:t>Урок 76</w:t>
            </w:r>
          </w:p>
        </w:tc>
        <w:tc>
          <w:tcPr>
            <w:tcW w:w="7937" w:type="dxa"/>
          </w:tcPr>
          <w:p w14:paraId="006D78D6">
            <w:pPr>
              <w:pStyle w:val="85"/>
              <w:jc w:val="both"/>
              <w:rPr>
                <w:color w:val="auto"/>
                <w:sz w:val="22"/>
                <w:szCs w:val="22"/>
              </w:rPr>
            </w:pPr>
            <w:r>
              <w:rPr>
                <w:color w:val="auto"/>
                <w:sz w:val="22"/>
                <w:szCs w:val="22"/>
              </w:rPr>
              <w:t>Работа над ошибками, допущенными в диктанте</w:t>
            </w:r>
          </w:p>
        </w:tc>
      </w:tr>
      <w:tr w14:paraId="31F991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57C42D0A">
            <w:pPr>
              <w:pStyle w:val="85"/>
              <w:jc w:val="center"/>
              <w:rPr>
                <w:color w:val="auto"/>
                <w:sz w:val="22"/>
                <w:szCs w:val="22"/>
              </w:rPr>
            </w:pPr>
            <w:r>
              <w:rPr>
                <w:color w:val="auto"/>
                <w:sz w:val="22"/>
                <w:szCs w:val="22"/>
              </w:rPr>
              <w:t>Урок 77</w:t>
            </w:r>
          </w:p>
        </w:tc>
        <w:tc>
          <w:tcPr>
            <w:tcW w:w="7937" w:type="dxa"/>
          </w:tcPr>
          <w:p w14:paraId="3C6B0078">
            <w:pPr>
              <w:pStyle w:val="85"/>
              <w:jc w:val="both"/>
              <w:rPr>
                <w:color w:val="auto"/>
                <w:sz w:val="22"/>
                <w:szCs w:val="22"/>
              </w:rPr>
            </w:pPr>
            <w:r>
              <w:rPr>
                <w:color w:val="auto"/>
                <w:sz w:val="22"/>
                <w:szCs w:val="22"/>
              </w:rPr>
              <w:t>Резервный урок по разделу состав слова: корни с чередованием согласных снег/снеж, бег/беж, пух/пуш, сапог/сапож и другие</w:t>
            </w:r>
          </w:p>
        </w:tc>
      </w:tr>
      <w:tr w14:paraId="517BBD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536A4C6E">
            <w:pPr>
              <w:pStyle w:val="85"/>
              <w:jc w:val="center"/>
              <w:rPr>
                <w:color w:val="auto"/>
                <w:sz w:val="22"/>
                <w:szCs w:val="22"/>
              </w:rPr>
            </w:pPr>
            <w:r>
              <w:rPr>
                <w:color w:val="auto"/>
                <w:sz w:val="22"/>
                <w:szCs w:val="22"/>
              </w:rPr>
              <w:t>Урок 78</w:t>
            </w:r>
          </w:p>
        </w:tc>
        <w:tc>
          <w:tcPr>
            <w:tcW w:w="7937" w:type="dxa"/>
          </w:tcPr>
          <w:p w14:paraId="0C4D8AF0">
            <w:pPr>
              <w:pStyle w:val="85"/>
              <w:jc w:val="both"/>
              <w:rPr>
                <w:color w:val="auto"/>
                <w:sz w:val="22"/>
                <w:szCs w:val="22"/>
              </w:rPr>
            </w:pPr>
            <w:r>
              <w:rPr>
                <w:color w:val="auto"/>
                <w:sz w:val="22"/>
                <w:szCs w:val="22"/>
              </w:rPr>
              <w:t>Резервный урок по разделу состав слова: как образуются слова</w:t>
            </w:r>
          </w:p>
        </w:tc>
      </w:tr>
      <w:tr w14:paraId="75667A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479DEF61">
            <w:pPr>
              <w:pStyle w:val="85"/>
              <w:jc w:val="center"/>
              <w:rPr>
                <w:color w:val="auto"/>
                <w:sz w:val="22"/>
                <w:szCs w:val="22"/>
              </w:rPr>
            </w:pPr>
            <w:r>
              <w:rPr>
                <w:color w:val="auto"/>
                <w:sz w:val="22"/>
                <w:szCs w:val="22"/>
              </w:rPr>
              <w:t>Урок 79</w:t>
            </w:r>
          </w:p>
        </w:tc>
        <w:tc>
          <w:tcPr>
            <w:tcW w:w="7937" w:type="dxa"/>
          </w:tcPr>
          <w:p w14:paraId="087CFC84">
            <w:pPr>
              <w:pStyle w:val="85"/>
              <w:jc w:val="both"/>
              <w:rPr>
                <w:color w:val="auto"/>
                <w:sz w:val="22"/>
                <w:szCs w:val="22"/>
              </w:rPr>
            </w:pPr>
            <w:r>
              <w:rPr>
                <w:color w:val="auto"/>
                <w:sz w:val="22"/>
                <w:szCs w:val="22"/>
              </w:rPr>
              <w:t>Резервный урок по разделу состав слова: нулевое окончание (наблюдение)</w:t>
            </w:r>
          </w:p>
        </w:tc>
      </w:tr>
      <w:tr w14:paraId="7389E5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3F044B4D">
            <w:pPr>
              <w:pStyle w:val="85"/>
              <w:jc w:val="center"/>
              <w:rPr>
                <w:color w:val="auto"/>
                <w:sz w:val="22"/>
                <w:szCs w:val="22"/>
              </w:rPr>
            </w:pPr>
            <w:r>
              <w:rPr>
                <w:color w:val="auto"/>
                <w:sz w:val="22"/>
                <w:szCs w:val="22"/>
              </w:rPr>
              <w:t>Урок 80</w:t>
            </w:r>
          </w:p>
        </w:tc>
        <w:tc>
          <w:tcPr>
            <w:tcW w:w="7937" w:type="dxa"/>
          </w:tcPr>
          <w:p w14:paraId="13DDD418">
            <w:pPr>
              <w:pStyle w:val="85"/>
              <w:jc w:val="both"/>
              <w:rPr>
                <w:color w:val="auto"/>
                <w:sz w:val="22"/>
                <w:szCs w:val="22"/>
              </w:rPr>
            </w:pPr>
            <w:r>
              <w:rPr>
                <w:color w:val="auto"/>
                <w:sz w:val="22"/>
                <w:szCs w:val="22"/>
              </w:rPr>
              <w:t>Контрольная работа. Списывание текста. Словарный диктант</w:t>
            </w:r>
          </w:p>
        </w:tc>
      </w:tr>
      <w:tr w14:paraId="14B5CE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0C273AED">
            <w:pPr>
              <w:pStyle w:val="85"/>
              <w:jc w:val="center"/>
              <w:rPr>
                <w:color w:val="auto"/>
                <w:sz w:val="22"/>
                <w:szCs w:val="22"/>
              </w:rPr>
            </w:pPr>
            <w:r>
              <w:rPr>
                <w:color w:val="auto"/>
                <w:sz w:val="22"/>
                <w:szCs w:val="22"/>
              </w:rPr>
              <w:t>Урок 81</w:t>
            </w:r>
          </w:p>
        </w:tc>
        <w:tc>
          <w:tcPr>
            <w:tcW w:w="7937" w:type="dxa"/>
          </w:tcPr>
          <w:p w14:paraId="27335200">
            <w:pPr>
              <w:pStyle w:val="85"/>
              <w:jc w:val="both"/>
              <w:rPr>
                <w:color w:val="auto"/>
                <w:sz w:val="22"/>
                <w:szCs w:val="22"/>
              </w:rPr>
            </w:pPr>
            <w:r>
              <w:rPr>
                <w:color w:val="auto"/>
                <w:sz w:val="22"/>
                <w:szCs w:val="22"/>
              </w:rPr>
              <w:t>Составление устного рассказа по репродукции картины</w:t>
            </w:r>
          </w:p>
        </w:tc>
      </w:tr>
      <w:tr w14:paraId="532F71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1D01290B">
            <w:pPr>
              <w:pStyle w:val="85"/>
              <w:jc w:val="center"/>
              <w:rPr>
                <w:color w:val="auto"/>
                <w:sz w:val="22"/>
                <w:szCs w:val="22"/>
              </w:rPr>
            </w:pPr>
            <w:r>
              <w:rPr>
                <w:color w:val="auto"/>
                <w:sz w:val="22"/>
                <w:szCs w:val="22"/>
              </w:rPr>
              <w:t>Урок 82</w:t>
            </w:r>
          </w:p>
        </w:tc>
        <w:tc>
          <w:tcPr>
            <w:tcW w:w="7937" w:type="dxa"/>
          </w:tcPr>
          <w:p w14:paraId="76A98F30">
            <w:pPr>
              <w:pStyle w:val="85"/>
              <w:jc w:val="both"/>
              <w:rPr>
                <w:color w:val="auto"/>
                <w:sz w:val="22"/>
                <w:szCs w:val="22"/>
              </w:rPr>
            </w:pPr>
            <w:r>
              <w:rPr>
                <w:color w:val="auto"/>
                <w:sz w:val="22"/>
                <w:szCs w:val="22"/>
              </w:rPr>
              <w:t>Слово и его значение</w:t>
            </w:r>
          </w:p>
        </w:tc>
      </w:tr>
      <w:tr w14:paraId="571A5C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4E451B1F">
            <w:pPr>
              <w:pStyle w:val="85"/>
              <w:jc w:val="center"/>
              <w:rPr>
                <w:color w:val="auto"/>
                <w:sz w:val="22"/>
                <w:szCs w:val="22"/>
              </w:rPr>
            </w:pPr>
            <w:r>
              <w:rPr>
                <w:color w:val="auto"/>
                <w:sz w:val="22"/>
                <w:szCs w:val="22"/>
              </w:rPr>
              <w:t>Урок 83</w:t>
            </w:r>
          </w:p>
        </w:tc>
        <w:tc>
          <w:tcPr>
            <w:tcW w:w="7937" w:type="dxa"/>
          </w:tcPr>
          <w:p w14:paraId="16DF9BA3">
            <w:pPr>
              <w:pStyle w:val="85"/>
              <w:jc w:val="both"/>
              <w:rPr>
                <w:color w:val="auto"/>
                <w:sz w:val="22"/>
                <w:szCs w:val="22"/>
              </w:rPr>
            </w:pPr>
            <w:r>
              <w:rPr>
                <w:color w:val="auto"/>
                <w:sz w:val="22"/>
                <w:szCs w:val="22"/>
              </w:rPr>
              <w:t>Значение слова в словаре</w:t>
            </w:r>
          </w:p>
        </w:tc>
      </w:tr>
      <w:tr w14:paraId="302DB7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5B068BC1">
            <w:pPr>
              <w:pStyle w:val="85"/>
              <w:jc w:val="center"/>
              <w:rPr>
                <w:color w:val="auto"/>
                <w:sz w:val="22"/>
                <w:szCs w:val="22"/>
              </w:rPr>
            </w:pPr>
            <w:r>
              <w:rPr>
                <w:color w:val="auto"/>
                <w:sz w:val="22"/>
                <w:szCs w:val="22"/>
              </w:rPr>
              <w:t>Урок 84</w:t>
            </w:r>
          </w:p>
        </w:tc>
        <w:tc>
          <w:tcPr>
            <w:tcW w:w="7937" w:type="dxa"/>
          </w:tcPr>
          <w:p w14:paraId="5BF15458">
            <w:pPr>
              <w:pStyle w:val="85"/>
              <w:jc w:val="both"/>
              <w:rPr>
                <w:color w:val="auto"/>
                <w:sz w:val="22"/>
                <w:szCs w:val="22"/>
              </w:rPr>
            </w:pPr>
            <w:r>
              <w:rPr>
                <w:color w:val="auto"/>
                <w:sz w:val="22"/>
                <w:szCs w:val="22"/>
              </w:rPr>
              <w:t>Однозначные и многозначные слова</w:t>
            </w:r>
          </w:p>
        </w:tc>
      </w:tr>
      <w:tr w14:paraId="6E6CED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0E4B85E6">
            <w:pPr>
              <w:pStyle w:val="85"/>
              <w:jc w:val="center"/>
              <w:rPr>
                <w:color w:val="auto"/>
                <w:sz w:val="22"/>
                <w:szCs w:val="22"/>
              </w:rPr>
            </w:pPr>
            <w:r>
              <w:rPr>
                <w:color w:val="auto"/>
                <w:sz w:val="22"/>
                <w:szCs w:val="22"/>
              </w:rPr>
              <w:t>Урок 85</w:t>
            </w:r>
          </w:p>
        </w:tc>
        <w:tc>
          <w:tcPr>
            <w:tcW w:w="7937" w:type="dxa"/>
          </w:tcPr>
          <w:p w14:paraId="36C70AA5">
            <w:pPr>
              <w:pStyle w:val="85"/>
              <w:jc w:val="both"/>
              <w:rPr>
                <w:color w:val="auto"/>
                <w:sz w:val="22"/>
                <w:szCs w:val="22"/>
              </w:rPr>
            </w:pPr>
            <w:r>
              <w:rPr>
                <w:color w:val="auto"/>
                <w:sz w:val="22"/>
                <w:szCs w:val="22"/>
              </w:rPr>
              <w:t>Значение слова в словаре и тексте</w:t>
            </w:r>
          </w:p>
        </w:tc>
      </w:tr>
      <w:tr w14:paraId="35E075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732CFB6E">
            <w:pPr>
              <w:pStyle w:val="85"/>
              <w:jc w:val="center"/>
              <w:rPr>
                <w:color w:val="auto"/>
                <w:sz w:val="22"/>
                <w:szCs w:val="22"/>
              </w:rPr>
            </w:pPr>
            <w:r>
              <w:rPr>
                <w:color w:val="auto"/>
                <w:sz w:val="22"/>
                <w:szCs w:val="22"/>
              </w:rPr>
              <w:t>Урок 86</w:t>
            </w:r>
          </w:p>
        </w:tc>
        <w:tc>
          <w:tcPr>
            <w:tcW w:w="7937" w:type="dxa"/>
          </w:tcPr>
          <w:p w14:paraId="0654E5E5">
            <w:pPr>
              <w:pStyle w:val="85"/>
              <w:jc w:val="both"/>
              <w:rPr>
                <w:color w:val="auto"/>
                <w:sz w:val="22"/>
                <w:szCs w:val="22"/>
              </w:rPr>
            </w:pPr>
            <w:r>
              <w:rPr>
                <w:color w:val="auto"/>
                <w:sz w:val="22"/>
                <w:szCs w:val="22"/>
              </w:rPr>
              <w:t>Многозначные слова. Прямое и переносное значения слова</w:t>
            </w:r>
          </w:p>
        </w:tc>
      </w:tr>
      <w:tr w14:paraId="0DBE84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75B2BAF4">
            <w:pPr>
              <w:pStyle w:val="85"/>
              <w:jc w:val="center"/>
              <w:rPr>
                <w:color w:val="auto"/>
                <w:sz w:val="22"/>
                <w:szCs w:val="22"/>
              </w:rPr>
            </w:pPr>
            <w:r>
              <w:rPr>
                <w:color w:val="auto"/>
                <w:sz w:val="22"/>
                <w:szCs w:val="22"/>
              </w:rPr>
              <w:t>Урок 87</w:t>
            </w:r>
          </w:p>
        </w:tc>
        <w:tc>
          <w:tcPr>
            <w:tcW w:w="7937" w:type="dxa"/>
          </w:tcPr>
          <w:p w14:paraId="3FFCA486">
            <w:pPr>
              <w:pStyle w:val="85"/>
              <w:jc w:val="both"/>
              <w:rPr>
                <w:color w:val="auto"/>
                <w:sz w:val="22"/>
                <w:szCs w:val="22"/>
              </w:rPr>
            </w:pPr>
            <w:r>
              <w:rPr>
                <w:color w:val="auto"/>
                <w:sz w:val="22"/>
                <w:szCs w:val="22"/>
              </w:rPr>
              <w:t>Синонимы</w:t>
            </w:r>
          </w:p>
        </w:tc>
      </w:tr>
      <w:tr w14:paraId="4C95E2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16C917C2">
            <w:pPr>
              <w:pStyle w:val="85"/>
              <w:jc w:val="center"/>
              <w:rPr>
                <w:color w:val="auto"/>
                <w:sz w:val="22"/>
                <w:szCs w:val="22"/>
              </w:rPr>
            </w:pPr>
            <w:r>
              <w:rPr>
                <w:color w:val="auto"/>
                <w:sz w:val="22"/>
                <w:szCs w:val="22"/>
              </w:rPr>
              <w:t>Урок 88</w:t>
            </w:r>
          </w:p>
        </w:tc>
        <w:tc>
          <w:tcPr>
            <w:tcW w:w="7937" w:type="dxa"/>
          </w:tcPr>
          <w:p w14:paraId="3CE2C122">
            <w:pPr>
              <w:pStyle w:val="85"/>
              <w:jc w:val="both"/>
              <w:rPr>
                <w:color w:val="auto"/>
                <w:sz w:val="22"/>
                <w:szCs w:val="22"/>
              </w:rPr>
            </w:pPr>
            <w:r>
              <w:rPr>
                <w:color w:val="auto"/>
                <w:sz w:val="22"/>
                <w:szCs w:val="22"/>
              </w:rPr>
              <w:t>Синонимы в тексте</w:t>
            </w:r>
          </w:p>
        </w:tc>
      </w:tr>
      <w:tr w14:paraId="5CFC80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38157F7D">
            <w:pPr>
              <w:pStyle w:val="85"/>
              <w:jc w:val="center"/>
              <w:rPr>
                <w:color w:val="auto"/>
                <w:sz w:val="22"/>
                <w:szCs w:val="22"/>
              </w:rPr>
            </w:pPr>
            <w:r>
              <w:rPr>
                <w:color w:val="auto"/>
                <w:sz w:val="22"/>
                <w:szCs w:val="22"/>
              </w:rPr>
              <w:t>Урок 89</w:t>
            </w:r>
          </w:p>
        </w:tc>
        <w:tc>
          <w:tcPr>
            <w:tcW w:w="7937" w:type="dxa"/>
          </w:tcPr>
          <w:p w14:paraId="3E766887">
            <w:pPr>
              <w:pStyle w:val="85"/>
              <w:jc w:val="both"/>
              <w:rPr>
                <w:color w:val="auto"/>
                <w:sz w:val="22"/>
                <w:szCs w:val="22"/>
              </w:rPr>
            </w:pPr>
            <w:r>
              <w:rPr>
                <w:color w:val="auto"/>
                <w:sz w:val="22"/>
                <w:szCs w:val="22"/>
              </w:rPr>
              <w:t>Антонимы</w:t>
            </w:r>
          </w:p>
        </w:tc>
      </w:tr>
      <w:tr w14:paraId="5D68B2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171E7FB0">
            <w:pPr>
              <w:pStyle w:val="85"/>
              <w:jc w:val="center"/>
              <w:rPr>
                <w:color w:val="auto"/>
                <w:sz w:val="22"/>
                <w:szCs w:val="22"/>
              </w:rPr>
            </w:pPr>
            <w:r>
              <w:rPr>
                <w:color w:val="auto"/>
                <w:sz w:val="22"/>
                <w:szCs w:val="22"/>
              </w:rPr>
              <w:t>Урок 90</w:t>
            </w:r>
          </w:p>
        </w:tc>
        <w:tc>
          <w:tcPr>
            <w:tcW w:w="7937" w:type="dxa"/>
          </w:tcPr>
          <w:p w14:paraId="7F3300E6">
            <w:pPr>
              <w:pStyle w:val="85"/>
              <w:jc w:val="both"/>
              <w:rPr>
                <w:color w:val="auto"/>
                <w:sz w:val="22"/>
                <w:szCs w:val="22"/>
              </w:rPr>
            </w:pPr>
            <w:r>
              <w:rPr>
                <w:color w:val="auto"/>
                <w:sz w:val="22"/>
                <w:szCs w:val="22"/>
              </w:rPr>
              <w:t>Наблюдение за использованием антонимов</w:t>
            </w:r>
          </w:p>
        </w:tc>
      </w:tr>
      <w:tr w14:paraId="24D6EA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320EC851">
            <w:pPr>
              <w:pStyle w:val="85"/>
              <w:jc w:val="center"/>
              <w:rPr>
                <w:color w:val="auto"/>
                <w:sz w:val="22"/>
                <w:szCs w:val="22"/>
              </w:rPr>
            </w:pPr>
            <w:r>
              <w:rPr>
                <w:color w:val="auto"/>
                <w:sz w:val="22"/>
                <w:szCs w:val="22"/>
              </w:rPr>
              <w:t>Урок 91</w:t>
            </w:r>
          </w:p>
        </w:tc>
        <w:tc>
          <w:tcPr>
            <w:tcW w:w="7937" w:type="dxa"/>
          </w:tcPr>
          <w:p w14:paraId="3D1CF83C">
            <w:pPr>
              <w:pStyle w:val="85"/>
              <w:jc w:val="both"/>
              <w:rPr>
                <w:color w:val="auto"/>
                <w:sz w:val="22"/>
                <w:szCs w:val="22"/>
              </w:rPr>
            </w:pPr>
            <w:r>
              <w:rPr>
                <w:color w:val="auto"/>
                <w:sz w:val="22"/>
                <w:szCs w:val="22"/>
              </w:rPr>
              <w:t>Обобщение знаний по разделу "Лексика"</w:t>
            </w:r>
          </w:p>
        </w:tc>
      </w:tr>
      <w:tr w14:paraId="324690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05485504">
            <w:pPr>
              <w:pStyle w:val="85"/>
              <w:jc w:val="center"/>
              <w:rPr>
                <w:color w:val="auto"/>
                <w:sz w:val="22"/>
                <w:szCs w:val="22"/>
              </w:rPr>
            </w:pPr>
            <w:r>
              <w:rPr>
                <w:color w:val="auto"/>
                <w:sz w:val="22"/>
                <w:szCs w:val="22"/>
              </w:rPr>
              <w:t>Урок 92</w:t>
            </w:r>
          </w:p>
        </w:tc>
        <w:tc>
          <w:tcPr>
            <w:tcW w:w="7937" w:type="dxa"/>
          </w:tcPr>
          <w:p w14:paraId="76182995">
            <w:pPr>
              <w:pStyle w:val="85"/>
              <w:jc w:val="both"/>
              <w:rPr>
                <w:color w:val="auto"/>
                <w:sz w:val="22"/>
                <w:szCs w:val="22"/>
              </w:rPr>
            </w:pPr>
            <w:r>
              <w:rPr>
                <w:color w:val="auto"/>
                <w:sz w:val="22"/>
                <w:szCs w:val="22"/>
              </w:rPr>
              <w:t>Резервный урок по разделу лексика: работаем с толковым словарем</w:t>
            </w:r>
          </w:p>
        </w:tc>
      </w:tr>
      <w:tr w14:paraId="343C55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7B58357A">
            <w:pPr>
              <w:pStyle w:val="85"/>
              <w:jc w:val="center"/>
              <w:rPr>
                <w:color w:val="auto"/>
                <w:sz w:val="22"/>
                <w:szCs w:val="22"/>
              </w:rPr>
            </w:pPr>
            <w:r>
              <w:rPr>
                <w:color w:val="auto"/>
                <w:sz w:val="22"/>
                <w:szCs w:val="22"/>
              </w:rPr>
              <w:t>Урок 93</w:t>
            </w:r>
          </w:p>
        </w:tc>
        <w:tc>
          <w:tcPr>
            <w:tcW w:w="7937" w:type="dxa"/>
          </w:tcPr>
          <w:p w14:paraId="0EB16F5C">
            <w:pPr>
              <w:pStyle w:val="85"/>
              <w:jc w:val="both"/>
              <w:rPr>
                <w:color w:val="auto"/>
                <w:sz w:val="22"/>
                <w:szCs w:val="22"/>
              </w:rPr>
            </w:pPr>
            <w:r>
              <w:rPr>
                <w:color w:val="auto"/>
                <w:sz w:val="22"/>
                <w:szCs w:val="22"/>
              </w:rPr>
              <w:t>Резервный урок по разделу лексика. Контрольная работа</w:t>
            </w:r>
          </w:p>
        </w:tc>
      </w:tr>
      <w:tr w14:paraId="1F95E9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30A79B40">
            <w:pPr>
              <w:pStyle w:val="85"/>
              <w:jc w:val="center"/>
              <w:rPr>
                <w:color w:val="auto"/>
                <w:sz w:val="22"/>
                <w:szCs w:val="22"/>
              </w:rPr>
            </w:pPr>
            <w:r>
              <w:rPr>
                <w:color w:val="auto"/>
                <w:sz w:val="22"/>
                <w:szCs w:val="22"/>
              </w:rPr>
              <w:t>Урок 94</w:t>
            </w:r>
          </w:p>
        </w:tc>
        <w:tc>
          <w:tcPr>
            <w:tcW w:w="7937" w:type="dxa"/>
          </w:tcPr>
          <w:p w14:paraId="62300043">
            <w:pPr>
              <w:pStyle w:val="85"/>
              <w:jc w:val="both"/>
              <w:rPr>
                <w:color w:val="auto"/>
                <w:sz w:val="22"/>
                <w:szCs w:val="22"/>
              </w:rPr>
            </w:pPr>
            <w:r>
              <w:rPr>
                <w:color w:val="auto"/>
                <w:sz w:val="22"/>
                <w:szCs w:val="22"/>
              </w:rPr>
              <w:t>Резервный урок по разделу лексика</w:t>
            </w:r>
          </w:p>
        </w:tc>
      </w:tr>
      <w:tr w14:paraId="402BA0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35A1B6B9">
            <w:pPr>
              <w:pStyle w:val="85"/>
              <w:jc w:val="center"/>
              <w:rPr>
                <w:color w:val="auto"/>
                <w:sz w:val="22"/>
                <w:szCs w:val="22"/>
              </w:rPr>
            </w:pPr>
            <w:r>
              <w:rPr>
                <w:color w:val="auto"/>
                <w:sz w:val="22"/>
                <w:szCs w:val="22"/>
              </w:rPr>
              <w:t>Урок 95</w:t>
            </w:r>
          </w:p>
        </w:tc>
        <w:tc>
          <w:tcPr>
            <w:tcW w:w="7937" w:type="dxa"/>
          </w:tcPr>
          <w:p w14:paraId="7711160B">
            <w:pPr>
              <w:pStyle w:val="85"/>
              <w:jc w:val="both"/>
              <w:rPr>
                <w:color w:val="auto"/>
                <w:sz w:val="22"/>
                <w:szCs w:val="22"/>
              </w:rPr>
            </w:pPr>
            <w:r>
              <w:rPr>
                <w:color w:val="auto"/>
                <w:sz w:val="22"/>
                <w:szCs w:val="22"/>
              </w:rPr>
              <w:t>Диктант на изученные правила (орфограммы корня)</w:t>
            </w:r>
          </w:p>
        </w:tc>
      </w:tr>
      <w:tr w14:paraId="3253C3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67F5E766">
            <w:pPr>
              <w:pStyle w:val="85"/>
              <w:jc w:val="center"/>
              <w:rPr>
                <w:color w:val="auto"/>
                <w:sz w:val="22"/>
                <w:szCs w:val="22"/>
              </w:rPr>
            </w:pPr>
            <w:r>
              <w:rPr>
                <w:color w:val="auto"/>
                <w:sz w:val="22"/>
                <w:szCs w:val="22"/>
              </w:rPr>
              <w:t>Урок 96</w:t>
            </w:r>
          </w:p>
        </w:tc>
        <w:tc>
          <w:tcPr>
            <w:tcW w:w="7937" w:type="dxa"/>
          </w:tcPr>
          <w:p w14:paraId="06A933EE">
            <w:pPr>
              <w:pStyle w:val="85"/>
              <w:jc w:val="both"/>
              <w:rPr>
                <w:color w:val="auto"/>
                <w:sz w:val="22"/>
                <w:szCs w:val="22"/>
              </w:rPr>
            </w:pPr>
            <w:r>
              <w:rPr>
                <w:color w:val="auto"/>
                <w:sz w:val="22"/>
                <w:szCs w:val="22"/>
              </w:rPr>
              <w:t>Работа над ошибками, допущенными в диктанте</w:t>
            </w:r>
          </w:p>
        </w:tc>
      </w:tr>
      <w:tr w14:paraId="6E42BA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1BB6D6DC">
            <w:pPr>
              <w:pStyle w:val="85"/>
              <w:jc w:val="center"/>
              <w:rPr>
                <w:color w:val="auto"/>
                <w:sz w:val="22"/>
                <w:szCs w:val="22"/>
              </w:rPr>
            </w:pPr>
            <w:r>
              <w:rPr>
                <w:color w:val="auto"/>
                <w:sz w:val="22"/>
                <w:szCs w:val="22"/>
              </w:rPr>
              <w:t>Урок 97</w:t>
            </w:r>
          </w:p>
        </w:tc>
        <w:tc>
          <w:tcPr>
            <w:tcW w:w="7937" w:type="dxa"/>
          </w:tcPr>
          <w:p w14:paraId="3D0C92AA">
            <w:pPr>
              <w:pStyle w:val="85"/>
              <w:jc w:val="both"/>
              <w:rPr>
                <w:color w:val="auto"/>
                <w:sz w:val="22"/>
                <w:szCs w:val="22"/>
              </w:rPr>
            </w:pPr>
            <w:r>
              <w:rPr>
                <w:color w:val="auto"/>
                <w:sz w:val="22"/>
                <w:szCs w:val="22"/>
              </w:rPr>
              <w:t>Текст</w:t>
            </w:r>
          </w:p>
        </w:tc>
      </w:tr>
      <w:tr w14:paraId="026A4C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64AE581E">
            <w:pPr>
              <w:pStyle w:val="85"/>
              <w:jc w:val="center"/>
              <w:rPr>
                <w:color w:val="auto"/>
                <w:sz w:val="22"/>
                <w:szCs w:val="22"/>
              </w:rPr>
            </w:pPr>
            <w:r>
              <w:rPr>
                <w:color w:val="auto"/>
                <w:sz w:val="22"/>
                <w:szCs w:val="22"/>
              </w:rPr>
              <w:t>Урок 98</w:t>
            </w:r>
          </w:p>
        </w:tc>
        <w:tc>
          <w:tcPr>
            <w:tcW w:w="7937" w:type="dxa"/>
          </w:tcPr>
          <w:p w14:paraId="2156BC93">
            <w:pPr>
              <w:pStyle w:val="85"/>
              <w:jc w:val="both"/>
              <w:rPr>
                <w:color w:val="auto"/>
                <w:sz w:val="22"/>
                <w:szCs w:val="22"/>
              </w:rPr>
            </w:pPr>
            <w:r>
              <w:rPr>
                <w:color w:val="auto"/>
                <w:sz w:val="22"/>
                <w:szCs w:val="22"/>
              </w:rPr>
              <w:t>Признаки текста: смысловое единство предложений в тексте; последовательность предложений в тексте; выражение в тексте законченной мысли</w:t>
            </w:r>
          </w:p>
        </w:tc>
      </w:tr>
      <w:tr w14:paraId="22C1C0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4B0FFDFD">
            <w:pPr>
              <w:pStyle w:val="85"/>
              <w:jc w:val="center"/>
              <w:rPr>
                <w:color w:val="auto"/>
                <w:sz w:val="22"/>
                <w:szCs w:val="22"/>
              </w:rPr>
            </w:pPr>
            <w:r>
              <w:rPr>
                <w:color w:val="auto"/>
                <w:sz w:val="22"/>
                <w:szCs w:val="22"/>
              </w:rPr>
              <w:t>Урок 99</w:t>
            </w:r>
          </w:p>
        </w:tc>
        <w:tc>
          <w:tcPr>
            <w:tcW w:w="7937" w:type="dxa"/>
          </w:tcPr>
          <w:p w14:paraId="4A8D975E">
            <w:pPr>
              <w:pStyle w:val="85"/>
              <w:jc w:val="both"/>
              <w:rPr>
                <w:color w:val="auto"/>
                <w:sz w:val="22"/>
                <w:szCs w:val="22"/>
              </w:rPr>
            </w:pPr>
            <w:r>
              <w:rPr>
                <w:color w:val="auto"/>
                <w:sz w:val="22"/>
                <w:szCs w:val="22"/>
              </w:rPr>
              <w:t>Тема текста</w:t>
            </w:r>
          </w:p>
        </w:tc>
      </w:tr>
      <w:tr w14:paraId="03CAF2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4E3751E0">
            <w:pPr>
              <w:pStyle w:val="85"/>
              <w:jc w:val="center"/>
              <w:rPr>
                <w:color w:val="auto"/>
                <w:sz w:val="22"/>
                <w:szCs w:val="22"/>
              </w:rPr>
            </w:pPr>
            <w:r>
              <w:rPr>
                <w:color w:val="auto"/>
                <w:sz w:val="22"/>
                <w:szCs w:val="22"/>
              </w:rPr>
              <w:t>Урок 100</w:t>
            </w:r>
          </w:p>
        </w:tc>
        <w:tc>
          <w:tcPr>
            <w:tcW w:w="7937" w:type="dxa"/>
          </w:tcPr>
          <w:p w14:paraId="015ED4CE">
            <w:pPr>
              <w:pStyle w:val="85"/>
              <w:jc w:val="both"/>
              <w:rPr>
                <w:color w:val="auto"/>
                <w:sz w:val="22"/>
                <w:szCs w:val="22"/>
              </w:rPr>
            </w:pPr>
            <w:r>
              <w:rPr>
                <w:color w:val="auto"/>
                <w:sz w:val="22"/>
                <w:szCs w:val="22"/>
              </w:rPr>
              <w:t>Основная мысль</w:t>
            </w:r>
          </w:p>
        </w:tc>
      </w:tr>
      <w:tr w14:paraId="1ED98E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670C78B3">
            <w:pPr>
              <w:pStyle w:val="85"/>
              <w:jc w:val="center"/>
              <w:rPr>
                <w:color w:val="auto"/>
                <w:sz w:val="22"/>
                <w:szCs w:val="22"/>
              </w:rPr>
            </w:pPr>
            <w:r>
              <w:rPr>
                <w:color w:val="auto"/>
                <w:sz w:val="22"/>
                <w:szCs w:val="22"/>
              </w:rPr>
              <w:t>Урок 101</w:t>
            </w:r>
          </w:p>
        </w:tc>
        <w:tc>
          <w:tcPr>
            <w:tcW w:w="7937" w:type="dxa"/>
          </w:tcPr>
          <w:p w14:paraId="53C12D0B">
            <w:pPr>
              <w:pStyle w:val="85"/>
              <w:jc w:val="both"/>
              <w:rPr>
                <w:color w:val="auto"/>
                <w:sz w:val="22"/>
                <w:szCs w:val="22"/>
              </w:rPr>
            </w:pPr>
            <w:r>
              <w:rPr>
                <w:color w:val="auto"/>
                <w:sz w:val="22"/>
                <w:szCs w:val="22"/>
              </w:rPr>
              <w:t>Заглавие текста</w:t>
            </w:r>
          </w:p>
        </w:tc>
      </w:tr>
      <w:tr w14:paraId="7A3FB4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46EE6944">
            <w:pPr>
              <w:pStyle w:val="85"/>
              <w:jc w:val="center"/>
              <w:rPr>
                <w:color w:val="auto"/>
                <w:sz w:val="22"/>
                <w:szCs w:val="22"/>
              </w:rPr>
            </w:pPr>
            <w:r>
              <w:rPr>
                <w:color w:val="auto"/>
                <w:sz w:val="22"/>
                <w:szCs w:val="22"/>
              </w:rPr>
              <w:t>Урок 102</w:t>
            </w:r>
          </w:p>
        </w:tc>
        <w:tc>
          <w:tcPr>
            <w:tcW w:w="7937" w:type="dxa"/>
          </w:tcPr>
          <w:p w14:paraId="5B836DD5">
            <w:pPr>
              <w:pStyle w:val="85"/>
              <w:jc w:val="both"/>
              <w:rPr>
                <w:color w:val="auto"/>
                <w:sz w:val="22"/>
                <w:szCs w:val="22"/>
              </w:rPr>
            </w:pPr>
            <w:r>
              <w:rPr>
                <w:color w:val="auto"/>
                <w:sz w:val="22"/>
                <w:szCs w:val="22"/>
              </w:rPr>
              <w:t>Подбор заголовков к предложенным текстам.</w:t>
            </w:r>
          </w:p>
        </w:tc>
      </w:tr>
      <w:tr w14:paraId="27CE43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3144FAEE">
            <w:pPr>
              <w:pStyle w:val="85"/>
              <w:jc w:val="center"/>
              <w:rPr>
                <w:color w:val="auto"/>
                <w:sz w:val="22"/>
                <w:szCs w:val="22"/>
              </w:rPr>
            </w:pPr>
            <w:r>
              <w:rPr>
                <w:color w:val="auto"/>
                <w:sz w:val="22"/>
                <w:szCs w:val="22"/>
              </w:rPr>
              <w:t>Урок 103</w:t>
            </w:r>
          </w:p>
        </w:tc>
        <w:tc>
          <w:tcPr>
            <w:tcW w:w="7937" w:type="dxa"/>
          </w:tcPr>
          <w:p w14:paraId="6EF64A31">
            <w:pPr>
              <w:pStyle w:val="85"/>
              <w:jc w:val="both"/>
              <w:rPr>
                <w:color w:val="auto"/>
                <w:sz w:val="22"/>
                <w:szCs w:val="22"/>
              </w:rPr>
            </w:pPr>
            <w:r>
              <w:rPr>
                <w:color w:val="auto"/>
                <w:sz w:val="22"/>
                <w:szCs w:val="22"/>
              </w:rPr>
              <w:t>Отработка умения подбирать заголовки к предложенным текстам</w:t>
            </w:r>
          </w:p>
        </w:tc>
      </w:tr>
      <w:tr w14:paraId="3DBD59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5E99CAAB">
            <w:pPr>
              <w:pStyle w:val="85"/>
              <w:jc w:val="center"/>
              <w:rPr>
                <w:color w:val="auto"/>
                <w:sz w:val="22"/>
                <w:szCs w:val="22"/>
              </w:rPr>
            </w:pPr>
            <w:r>
              <w:rPr>
                <w:color w:val="auto"/>
                <w:sz w:val="22"/>
                <w:szCs w:val="22"/>
              </w:rPr>
              <w:t>Урок 104</w:t>
            </w:r>
          </w:p>
        </w:tc>
        <w:tc>
          <w:tcPr>
            <w:tcW w:w="7937" w:type="dxa"/>
          </w:tcPr>
          <w:p w14:paraId="0B16FCD7">
            <w:pPr>
              <w:pStyle w:val="85"/>
              <w:jc w:val="both"/>
              <w:rPr>
                <w:color w:val="auto"/>
                <w:sz w:val="22"/>
                <w:szCs w:val="22"/>
              </w:rPr>
            </w:pPr>
            <w:r>
              <w:rPr>
                <w:color w:val="auto"/>
                <w:sz w:val="22"/>
                <w:szCs w:val="22"/>
              </w:rPr>
              <w:t>Отработка правописания слов с орфограммами в значимых частях слов</w:t>
            </w:r>
          </w:p>
        </w:tc>
      </w:tr>
      <w:tr w14:paraId="250D15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6BD328DD">
            <w:pPr>
              <w:pStyle w:val="85"/>
              <w:jc w:val="center"/>
              <w:rPr>
                <w:color w:val="auto"/>
                <w:sz w:val="22"/>
                <w:szCs w:val="22"/>
              </w:rPr>
            </w:pPr>
            <w:r>
              <w:rPr>
                <w:color w:val="auto"/>
                <w:sz w:val="22"/>
                <w:szCs w:val="22"/>
              </w:rPr>
              <w:t>Урок 105</w:t>
            </w:r>
          </w:p>
        </w:tc>
        <w:tc>
          <w:tcPr>
            <w:tcW w:w="7937" w:type="dxa"/>
          </w:tcPr>
          <w:p w14:paraId="3C963D62">
            <w:pPr>
              <w:pStyle w:val="85"/>
              <w:jc w:val="both"/>
              <w:rPr>
                <w:color w:val="auto"/>
                <w:sz w:val="22"/>
                <w:szCs w:val="22"/>
              </w:rPr>
            </w:pPr>
            <w:r>
              <w:rPr>
                <w:color w:val="auto"/>
                <w:sz w:val="22"/>
                <w:szCs w:val="22"/>
              </w:rPr>
              <w:t>Последовательность частей текста (абзацев).</w:t>
            </w:r>
          </w:p>
        </w:tc>
      </w:tr>
      <w:tr w14:paraId="6E20F5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440E2B24">
            <w:pPr>
              <w:pStyle w:val="85"/>
              <w:jc w:val="center"/>
              <w:rPr>
                <w:color w:val="auto"/>
                <w:sz w:val="22"/>
                <w:szCs w:val="22"/>
              </w:rPr>
            </w:pPr>
            <w:r>
              <w:rPr>
                <w:color w:val="auto"/>
                <w:sz w:val="22"/>
                <w:szCs w:val="22"/>
              </w:rPr>
              <w:t>Урок 106</w:t>
            </w:r>
          </w:p>
        </w:tc>
        <w:tc>
          <w:tcPr>
            <w:tcW w:w="7937" w:type="dxa"/>
          </w:tcPr>
          <w:p w14:paraId="4C4C6D4B">
            <w:pPr>
              <w:pStyle w:val="85"/>
              <w:jc w:val="both"/>
              <w:rPr>
                <w:color w:val="auto"/>
                <w:sz w:val="22"/>
                <w:szCs w:val="22"/>
              </w:rPr>
            </w:pPr>
            <w:r>
              <w:rPr>
                <w:color w:val="auto"/>
                <w:sz w:val="22"/>
                <w:szCs w:val="22"/>
              </w:rPr>
              <w:t>Корректирование текстов с нарушенным порядком предложений</w:t>
            </w:r>
          </w:p>
        </w:tc>
      </w:tr>
      <w:tr w14:paraId="1ED1FE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6A3686C9">
            <w:pPr>
              <w:pStyle w:val="85"/>
              <w:jc w:val="center"/>
              <w:rPr>
                <w:color w:val="auto"/>
                <w:sz w:val="22"/>
                <w:szCs w:val="22"/>
              </w:rPr>
            </w:pPr>
            <w:r>
              <w:rPr>
                <w:color w:val="auto"/>
                <w:sz w:val="22"/>
                <w:szCs w:val="22"/>
              </w:rPr>
              <w:t>Урок 107</w:t>
            </w:r>
          </w:p>
        </w:tc>
        <w:tc>
          <w:tcPr>
            <w:tcW w:w="7937" w:type="dxa"/>
          </w:tcPr>
          <w:p w14:paraId="62D2D9B2">
            <w:pPr>
              <w:pStyle w:val="85"/>
              <w:jc w:val="both"/>
              <w:rPr>
                <w:color w:val="auto"/>
                <w:sz w:val="22"/>
                <w:szCs w:val="22"/>
              </w:rPr>
            </w:pPr>
            <w:r>
              <w:rPr>
                <w:color w:val="auto"/>
                <w:sz w:val="22"/>
                <w:szCs w:val="22"/>
              </w:rPr>
              <w:t>Отработка умения корректировать тексты с нарушенным порядком предложений</w:t>
            </w:r>
          </w:p>
        </w:tc>
      </w:tr>
      <w:tr w14:paraId="1D58CB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2CEA530E">
            <w:pPr>
              <w:pStyle w:val="85"/>
              <w:jc w:val="center"/>
              <w:rPr>
                <w:color w:val="auto"/>
                <w:sz w:val="22"/>
                <w:szCs w:val="22"/>
              </w:rPr>
            </w:pPr>
            <w:r>
              <w:rPr>
                <w:color w:val="auto"/>
                <w:sz w:val="22"/>
                <w:szCs w:val="22"/>
              </w:rPr>
              <w:t>Урок 108</w:t>
            </w:r>
          </w:p>
        </w:tc>
        <w:tc>
          <w:tcPr>
            <w:tcW w:w="7937" w:type="dxa"/>
          </w:tcPr>
          <w:p w14:paraId="2E0E063D">
            <w:pPr>
              <w:pStyle w:val="85"/>
              <w:jc w:val="both"/>
              <w:rPr>
                <w:color w:val="auto"/>
                <w:sz w:val="22"/>
                <w:szCs w:val="22"/>
              </w:rPr>
            </w:pPr>
            <w:r>
              <w:rPr>
                <w:color w:val="auto"/>
                <w:sz w:val="22"/>
                <w:szCs w:val="22"/>
              </w:rPr>
              <w:t>Корректирование текстов с нарушенным порядком абзацев</w:t>
            </w:r>
          </w:p>
        </w:tc>
      </w:tr>
      <w:tr w14:paraId="7FEDE9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6266E096">
            <w:pPr>
              <w:pStyle w:val="85"/>
              <w:jc w:val="center"/>
              <w:rPr>
                <w:color w:val="auto"/>
                <w:sz w:val="22"/>
                <w:szCs w:val="22"/>
              </w:rPr>
            </w:pPr>
            <w:r>
              <w:rPr>
                <w:color w:val="auto"/>
                <w:sz w:val="22"/>
                <w:szCs w:val="22"/>
              </w:rPr>
              <w:t>Урок 109</w:t>
            </w:r>
          </w:p>
        </w:tc>
        <w:tc>
          <w:tcPr>
            <w:tcW w:w="7937" w:type="dxa"/>
          </w:tcPr>
          <w:p w14:paraId="5460283F">
            <w:pPr>
              <w:pStyle w:val="85"/>
              <w:jc w:val="both"/>
              <w:rPr>
                <w:color w:val="auto"/>
                <w:sz w:val="22"/>
                <w:szCs w:val="22"/>
              </w:rPr>
            </w:pPr>
            <w:r>
              <w:rPr>
                <w:color w:val="auto"/>
                <w:sz w:val="22"/>
                <w:szCs w:val="22"/>
              </w:rPr>
              <w:t>Отработка умения корректировать тексты с нарушенным порядком абзацев</w:t>
            </w:r>
          </w:p>
        </w:tc>
      </w:tr>
      <w:tr w14:paraId="4DA124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38B19F8A">
            <w:pPr>
              <w:pStyle w:val="85"/>
              <w:jc w:val="center"/>
              <w:rPr>
                <w:color w:val="auto"/>
                <w:sz w:val="22"/>
                <w:szCs w:val="22"/>
              </w:rPr>
            </w:pPr>
            <w:r>
              <w:rPr>
                <w:color w:val="auto"/>
                <w:sz w:val="22"/>
                <w:szCs w:val="22"/>
              </w:rPr>
              <w:t>Урок 110</w:t>
            </w:r>
          </w:p>
        </w:tc>
        <w:tc>
          <w:tcPr>
            <w:tcW w:w="7937" w:type="dxa"/>
          </w:tcPr>
          <w:p w14:paraId="31317352">
            <w:pPr>
              <w:pStyle w:val="85"/>
              <w:jc w:val="both"/>
              <w:rPr>
                <w:color w:val="auto"/>
                <w:sz w:val="22"/>
                <w:szCs w:val="22"/>
              </w:rPr>
            </w:pPr>
            <w:r>
              <w:rPr>
                <w:color w:val="auto"/>
                <w:sz w:val="22"/>
                <w:szCs w:val="22"/>
              </w:rPr>
              <w:t>Подробное изложение повествовательного текста объемом 30 - 45 слов с использованием вопросов</w:t>
            </w:r>
          </w:p>
        </w:tc>
      </w:tr>
      <w:tr w14:paraId="3CF486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0EA8BE31">
            <w:pPr>
              <w:pStyle w:val="85"/>
              <w:jc w:val="center"/>
              <w:rPr>
                <w:color w:val="auto"/>
                <w:sz w:val="22"/>
                <w:szCs w:val="22"/>
              </w:rPr>
            </w:pPr>
            <w:r>
              <w:rPr>
                <w:color w:val="auto"/>
                <w:sz w:val="22"/>
                <w:szCs w:val="22"/>
              </w:rPr>
              <w:t>Урок 111</w:t>
            </w:r>
          </w:p>
        </w:tc>
        <w:tc>
          <w:tcPr>
            <w:tcW w:w="7937" w:type="dxa"/>
          </w:tcPr>
          <w:p w14:paraId="3FA40A58">
            <w:pPr>
              <w:pStyle w:val="85"/>
              <w:jc w:val="both"/>
              <w:rPr>
                <w:color w:val="auto"/>
                <w:sz w:val="22"/>
                <w:szCs w:val="22"/>
              </w:rPr>
            </w:pPr>
            <w:r>
              <w:rPr>
                <w:color w:val="auto"/>
                <w:sz w:val="22"/>
                <w:szCs w:val="22"/>
              </w:rPr>
              <w:t>Повторение правописания слов с орфограммами в значимых частях слов</w:t>
            </w:r>
          </w:p>
        </w:tc>
      </w:tr>
      <w:tr w14:paraId="20B54C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74D8CDEF">
            <w:pPr>
              <w:pStyle w:val="85"/>
              <w:jc w:val="center"/>
              <w:rPr>
                <w:color w:val="auto"/>
                <w:sz w:val="22"/>
                <w:szCs w:val="22"/>
              </w:rPr>
            </w:pPr>
            <w:r>
              <w:rPr>
                <w:color w:val="auto"/>
                <w:sz w:val="22"/>
                <w:szCs w:val="22"/>
              </w:rPr>
              <w:t>Урок 112</w:t>
            </w:r>
          </w:p>
        </w:tc>
        <w:tc>
          <w:tcPr>
            <w:tcW w:w="7937" w:type="dxa"/>
          </w:tcPr>
          <w:p w14:paraId="42FB1626">
            <w:pPr>
              <w:pStyle w:val="85"/>
              <w:jc w:val="both"/>
              <w:rPr>
                <w:color w:val="auto"/>
                <w:sz w:val="22"/>
                <w:szCs w:val="22"/>
              </w:rPr>
            </w:pPr>
            <w:r>
              <w:rPr>
                <w:color w:val="auto"/>
                <w:sz w:val="22"/>
                <w:szCs w:val="22"/>
              </w:rPr>
              <w:t>Имя существительное как часть речи</w:t>
            </w:r>
          </w:p>
        </w:tc>
      </w:tr>
      <w:tr w14:paraId="136A95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1E6B160B">
            <w:pPr>
              <w:pStyle w:val="85"/>
              <w:jc w:val="center"/>
              <w:rPr>
                <w:color w:val="auto"/>
                <w:sz w:val="22"/>
                <w:szCs w:val="22"/>
              </w:rPr>
            </w:pPr>
            <w:r>
              <w:rPr>
                <w:color w:val="auto"/>
                <w:sz w:val="22"/>
                <w:szCs w:val="22"/>
              </w:rPr>
              <w:t>Урок 113</w:t>
            </w:r>
          </w:p>
        </w:tc>
        <w:tc>
          <w:tcPr>
            <w:tcW w:w="7937" w:type="dxa"/>
          </w:tcPr>
          <w:p w14:paraId="428CFD56">
            <w:pPr>
              <w:pStyle w:val="85"/>
              <w:jc w:val="both"/>
              <w:rPr>
                <w:color w:val="auto"/>
                <w:sz w:val="22"/>
                <w:szCs w:val="22"/>
              </w:rPr>
            </w:pPr>
            <w:r>
              <w:rPr>
                <w:color w:val="auto"/>
                <w:sz w:val="22"/>
                <w:szCs w:val="22"/>
              </w:rPr>
              <w:t>Имя существительное: значение</w:t>
            </w:r>
          </w:p>
        </w:tc>
      </w:tr>
      <w:tr w14:paraId="230299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2B586912">
            <w:pPr>
              <w:pStyle w:val="85"/>
              <w:jc w:val="center"/>
              <w:rPr>
                <w:color w:val="auto"/>
                <w:sz w:val="22"/>
                <w:szCs w:val="22"/>
              </w:rPr>
            </w:pPr>
            <w:r>
              <w:rPr>
                <w:color w:val="auto"/>
                <w:sz w:val="22"/>
                <w:szCs w:val="22"/>
              </w:rPr>
              <w:t>Урок 114</w:t>
            </w:r>
          </w:p>
        </w:tc>
        <w:tc>
          <w:tcPr>
            <w:tcW w:w="7937" w:type="dxa"/>
          </w:tcPr>
          <w:p w14:paraId="71727B2E">
            <w:pPr>
              <w:pStyle w:val="85"/>
              <w:jc w:val="both"/>
              <w:rPr>
                <w:color w:val="auto"/>
                <w:sz w:val="22"/>
                <w:szCs w:val="22"/>
              </w:rPr>
            </w:pPr>
            <w:r>
              <w:rPr>
                <w:color w:val="auto"/>
                <w:sz w:val="22"/>
                <w:szCs w:val="22"/>
              </w:rPr>
              <w:t>Употребление заглавной и строчной буквы</w:t>
            </w:r>
          </w:p>
        </w:tc>
      </w:tr>
      <w:tr w14:paraId="772096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652B5C6E">
            <w:pPr>
              <w:pStyle w:val="85"/>
              <w:jc w:val="center"/>
              <w:rPr>
                <w:color w:val="auto"/>
                <w:sz w:val="22"/>
                <w:szCs w:val="22"/>
              </w:rPr>
            </w:pPr>
            <w:r>
              <w:rPr>
                <w:color w:val="auto"/>
                <w:sz w:val="22"/>
                <w:szCs w:val="22"/>
              </w:rPr>
              <w:t>Урок 115</w:t>
            </w:r>
          </w:p>
        </w:tc>
        <w:tc>
          <w:tcPr>
            <w:tcW w:w="7937" w:type="dxa"/>
          </w:tcPr>
          <w:p w14:paraId="2BBD063D">
            <w:pPr>
              <w:pStyle w:val="85"/>
              <w:jc w:val="both"/>
              <w:rPr>
                <w:color w:val="auto"/>
                <w:sz w:val="22"/>
                <w:szCs w:val="22"/>
              </w:rPr>
            </w:pPr>
            <w:r>
              <w:rPr>
                <w:color w:val="auto"/>
                <w:sz w:val="22"/>
                <w:szCs w:val="22"/>
              </w:rPr>
              <w:t>Имя существительное: вопросы ("кто?", "что?")</w:t>
            </w:r>
          </w:p>
        </w:tc>
      </w:tr>
      <w:tr w14:paraId="4ADE81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2CA2A228">
            <w:pPr>
              <w:pStyle w:val="85"/>
              <w:jc w:val="center"/>
              <w:rPr>
                <w:color w:val="auto"/>
                <w:sz w:val="22"/>
                <w:szCs w:val="22"/>
              </w:rPr>
            </w:pPr>
            <w:r>
              <w:rPr>
                <w:color w:val="auto"/>
                <w:sz w:val="22"/>
                <w:szCs w:val="22"/>
              </w:rPr>
              <w:t>Урок 116</w:t>
            </w:r>
          </w:p>
        </w:tc>
        <w:tc>
          <w:tcPr>
            <w:tcW w:w="7937" w:type="dxa"/>
          </w:tcPr>
          <w:p w14:paraId="3C81E65B">
            <w:pPr>
              <w:pStyle w:val="85"/>
              <w:jc w:val="both"/>
              <w:rPr>
                <w:color w:val="auto"/>
                <w:sz w:val="22"/>
                <w:szCs w:val="22"/>
              </w:rPr>
            </w:pPr>
            <w:r>
              <w:rPr>
                <w:color w:val="auto"/>
                <w:sz w:val="22"/>
                <w:szCs w:val="22"/>
              </w:rPr>
              <w:t>Имя существительное: изменение по числам</w:t>
            </w:r>
          </w:p>
        </w:tc>
      </w:tr>
      <w:tr w14:paraId="33D903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3A31975F">
            <w:pPr>
              <w:pStyle w:val="85"/>
              <w:jc w:val="center"/>
              <w:rPr>
                <w:color w:val="auto"/>
                <w:sz w:val="22"/>
                <w:szCs w:val="22"/>
              </w:rPr>
            </w:pPr>
            <w:r>
              <w:rPr>
                <w:color w:val="auto"/>
                <w:sz w:val="22"/>
                <w:szCs w:val="22"/>
              </w:rPr>
              <w:t>Урок 117</w:t>
            </w:r>
          </w:p>
        </w:tc>
        <w:tc>
          <w:tcPr>
            <w:tcW w:w="7937" w:type="dxa"/>
          </w:tcPr>
          <w:p w14:paraId="5CBCC4DA">
            <w:pPr>
              <w:pStyle w:val="85"/>
              <w:jc w:val="both"/>
              <w:rPr>
                <w:color w:val="auto"/>
                <w:sz w:val="22"/>
                <w:szCs w:val="22"/>
              </w:rPr>
            </w:pPr>
            <w:r>
              <w:rPr>
                <w:color w:val="auto"/>
                <w:sz w:val="22"/>
                <w:szCs w:val="22"/>
              </w:rPr>
              <w:t>Число имен существительных</w:t>
            </w:r>
          </w:p>
        </w:tc>
      </w:tr>
      <w:tr w14:paraId="0901A5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3703A5DA">
            <w:pPr>
              <w:pStyle w:val="85"/>
              <w:jc w:val="center"/>
              <w:rPr>
                <w:color w:val="auto"/>
                <w:sz w:val="22"/>
                <w:szCs w:val="22"/>
              </w:rPr>
            </w:pPr>
            <w:r>
              <w:rPr>
                <w:color w:val="auto"/>
                <w:sz w:val="22"/>
                <w:szCs w:val="22"/>
              </w:rPr>
              <w:t>Урок 118</w:t>
            </w:r>
          </w:p>
        </w:tc>
        <w:tc>
          <w:tcPr>
            <w:tcW w:w="7937" w:type="dxa"/>
          </w:tcPr>
          <w:p w14:paraId="2726CBCC">
            <w:pPr>
              <w:pStyle w:val="85"/>
              <w:jc w:val="both"/>
              <w:rPr>
                <w:color w:val="auto"/>
                <w:sz w:val="22"/>
                <w:szCs w:val="22"/>
              </w:rPr>
            </w:pPr>
            <w:r>
              <w:rPr>
                <w:color w:val="auto"/>
                <w:sz w:val="22"/>
                <w:szCs w:val="22"/>
              </w:rPr>
              <w:t>Имя существительное: употребление в речи</w:t>
            </w:r>
          </w:p>
        </w:tc>
      </w:tr>
      <w:tr w14:paraId="32C3C4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75B733FE">
            <w:pPr>
              <w:pStyle w:val="85"/>
              <w:jc w:val="center"/>
              <w:rPr>
                <w:color w:val="auto"/>
                <w:sz w:val="22"/>
                <w:szCs w:val="22"/>
              </w:rPr>
            </w:pPr>
            <w:r>
              <w:rPr>
                <w:color w:val="auto"/>
                <w:sz w:val="22"/>
                <w:szCs w:val="22"/>
              </w:rPr>
              <w:t>Урок 119</w:t>
            </w:r>
          </w:p>
        </w:tc>
        <w:tc>
          <w:tcPr>
            <w:tcW w:w="7937" w:type="dxa"/>
          </w:tcPr>
          <w:p w14:paraId="63994F02">
            <w:pPr>
              <w:pStyle w:val="85"/>
              <w:jc w:val="both"/>
              <w:rPr>
                <w:color w:val="auto"/>
                <w:sz w:val="22"/>
                <w:szCs w:val="22"/>
              </w:rPr>
            </w:pPr>
            <w:r>
              <w:rPr>
                <w:color w:val="auto"/>
                <w:sz w:val="22"/>
                <w:szCs w:val="22"/>
              </w:rPr>
              <w:t>Заглавная буква в именах собственных: имена, фамилии, отчества людей, клички животных</w:t>
            </w:r>
          </w:p>
        </w:tc>
      </w:tr>
      <w:tr w14:paraId="7685F8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0EAA9D73">
            <w:pPr>
              <w:pStyle w:val="85"/>
              <w:jc w:val="center"/>
              <w:rPr>
                <w:color w:val="auto"/>
                <w:sz w:val="22"/>
                <w:szCs w:val="22"/>
              </w:rPr>
            </w:pPr>
            <w:r>
              <w:rPr>
                <w:color w:val="auto"/>
                <w:sz w:val="22"/>
                <w:szCs w:val="22"/>
              </w:rPr>
              <w:t>Урок 120</w:t>
            </w:r>
          </w:p>
        </w:tc>
        <w:tc>
          <w:tcPr>
            <w:tcW w:w="7937" w:type="dxa"/>
          </w:tcPr>
          <w:p w14:paraId="186C5A5D">
            <w:pPr>
              <w:pStyle w:val="85"/>
              <w:jc w:val="both"/>
              <w:rPr>
                <w:color w:val="auto"/>
                <w:sz w:val="22"/>
                <w:szCs w:val="22"/>
              </w:rPr>
            </w:pPr>
            <w:r>
              <w:rPr>
                <w:color w:val="auto"/>
                <w:sz w:val="22"/>
                <w:szCs w:val="22"/>
              </w:rPr>
              <w:t>Заглавная буква в именах собственных: географические названия</w:t>
            </w:r>
          </w:p>
        </w:tc>
      </w:tr>
      <w:tr w14:paraId="72BA2F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728B9D46">
            <w:pPr>
              <w:pStyle w:val="85"/>
              <w:jc w:val="center"/>
              <w:rPr>
                <w:color w:val="auto"/>
                <w:sz w:val="22"/>
                <w:szCs w:val="22"/>
              </w:rPr>
            </w:pPr>
            <w:r>
              <w:rPr>
                <w:color w:val="auto"/>
                <w:sz w:val="22"/>
                <w:szCs w:val="22"/>
              </w:rPr>
              <w:t>Урок 121</w:t>
            </w:r>
          </w:p>
        </w:tc>
        <w:tc>
          <w:tcPr>
            <w:tcW w:w="7937" w:type="dxa"/>
          </w:tcPr>
          <w:p w14:paraId="02FE6DB4">
            <w:pPr>
              <w:pStyle w:val="85"/>
              <w:jc w:val="both"/>
              <w:rPr>
                <w:color w:val="auto"/>
                <w:sz w:val="22"/>
                <w:szCs w:val="22"/>
              </w:rPr>
            </w:pPr>
            <w:r>
              <w:rPr>
                <w:color w:val="auto"/>
                <w:sz w:val="22"/>
                <w:szCs w:val="22"/>
              </w:rPr>
              <w:t>Объяснительный диктант на изученные правила (орфограммы корня, заглавная буква и другие)</w:t>
            </w:r>
          </w:p>
        </w:tc>
      </w:tr>
      <w:tr w14:paraId="42C0BA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2CC38406">
            <w:pPr>
              <w:pStyle w:val="85"/>
              <w:jc w:val="center"/>
              <w:rPr>
                <w:color w:val="auto"/>
                <w:sz w:val="22"/>
                <w:szCs w:val="22"/>
              </w:rPr>
            </w:pPr>
            <w:r>
              <w:rPr>
                <w:color w:val="auto"/>
                <w:sz w:val="22"/>
                <w:szCs w:val="22"/>
              </w:rPr>
              <w:t>Урок 122</w:t>
            </w:r>
          </w:p>
        </w:tc>
        <w:tc>
          <w:tcPr>
            <w:tcW w:w="7937" w:type="dxa"/>
          </w:tcPr>
          <w:p w14:paraId="76C16E6B">
            <w:pPr>
              <w:pStyle w:val="85"/>
              <w:jc w:val="both"/>
              <w:rPr>
                <w:color w:val="auto"/>
                <w:sz w:val="22"/>
                <w:szCs w:val="22"/>
              </w:rPr>
            </w:pPr>
            <w:r>
              <w:rPr>
                <w:color w:val="auto"/>
                <w:sz w:val="22"/>
                <w:szCs w:val="22"/>
              </w:rPr>
              <w:t>Составление устного рассказа с использованием личных наблюдений и вопросов</w:t>
            </w:r>
          </w:p>
        </w:tc>
      </w:tr>
      <w:tr w14:paraId="4F534B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3CC1A398">
            <w:pPr>
              <w:pStyle w:val="85"/>
              <w:jc w:val="center"/>
              <w:rPr>
                <w:color w:val="auto"/>
                <w:sz w:val="22"/>
                <w:szCs w:val="22"/>
              </w:rPr>
            </w:pPr>
            <w:r>
              <w:rPr>
                <w:color w:val="auto"/>
                <w:sz w:val="22"/>
                <w:szCs w:val="22"/>
              </w:rPr>
              <w:t>Урок 123</w:t>
            </w:r>
          </w:p>
        </w:tc>
        <w:tc>
          <w:tcPr>
            <w:tcW w:w="7937" w:type="dxa"/>
          </w:tcPr>
          <w:p w14:paraId="03FEA089">
            <w:pPr>
              <w:pStyle w:val="85"/>
              <w:jc w:val="both"/>
              <w:rPr>
                <w:color w:val="auto"/>
                <w:sz w:val="22"/>
                <w:szCs w:val="22"/>
              </w:rPr>
            </w:pPr>
            <w:r>
              <w:rPr>
                <w:color w:val="auto"/>
                <w:sz w:val="22"/>
                <w:szCs w:val="22"/>
              </w:rPr>
              <w:t>Глагол как часть речи</w:t>
            </w:r>
          </w:p>
        </w:tc>
      </w:tr>
      <w:tr w14:paraId="64225E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1F6322E6">
            <w:pPr>
              <w:pStyle w:val="85"/>
              <w:jc w:val="center"/>
              <w:rPr>
                <w:color w:val="auto"/>
                <w:sz w:val="22"/>
                <w:szCs w:val="22"/>
              </w:rPr>
            </w:pPr>
            <w:r>
              <w:rPr>
                <w:color w:val="auto"/>
                <w:sz w:val="22"/>
                <w:szCs w:val="22"/>
              </w:rPr>
              <w:t>Урок 124</w:t>
            </w:r>
          </w:p>
        </w:tc>
        <w:tc>
          <w:tcPr>
            <w:tcW w:w="7937" w:type="dxa"/>
          </w:tcPr>
          <w:p w14:paraId="0F8881D7">
            <w:pPr>
              <w:pStyle w:val="85"/>
              <w:jc w:val="both"/>
              <w:rPr>
                <w:color w:val="auto"/>
                <w:sz w:val="22"/>
                <w:szCs w:val="22"/>
              </w:rPr>
            </w:pPr>
            <w:r>
              <w:rPr>
                <w:color w:val="auto"/>
                <w:sz w:val="22"/>
                <w:szCs w:val="22"/>
              </w:rPr>
              <w:t>Глагол: значение</w:t>
            </w:r>
          </w:p>
        </w:tc>
      </w:tr>
      <w:tr w14:paraId="2ABC72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21C6182C">
            <w:pPr>
              <w:pStyle w:val="85"/>
              <w:jc w:val="center"/>
              <w:rPr>
                <w:color w:val="auto"/>
                <w:sz w:val="22"/>
                <w:szCs w:val="22"/>
              </w:rPr>
            </w:pPr>
            <w:r>
              <w:rPr>
                <w:color w:val="auto"/>
                <w:sz w:val="22"/>
                <w:szCs w:val="22"/>
              </w:rPr>
              <w:t>Урок 125</w:t>
            </w:r>
          </w:p>
        </w:tc>
        <w:tc>
          <w:tcPr>
            <w:tcW w:w="7937" w:type="dxa"/>
          </w:tcPr>
          <w:p w14:paraId="38A2CC41">
            <w:pPr>
              <w:pStyle w:val="85"/>
              <w:jc w:val="both"/>
              <w:rPr>
                <w:color w:val="auto"/>
                <w:sz w:val="22"/>
                <w:szCs w:val="22"/>
              </w:rPr>
            </w:pPr>
            <w:r>
              <w:rPr>
                <w:color w:val="auto"/>
                <w:sz w:val="22"/>
                <w:szCs w:val="22"/>
              </w:rPr>
              <w:t>Глагол: вопросы "что делать?", "что сделать?" и другие</w:t>
            </w:r>
          </w:p>
        </w:tc>
      </w:tr>
      <w:tr w14:paraId="009215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198E4AB5">
            <w:pPr>
              <w:pStyle w:val="85"/>
              <w:jc w:val="center"/>
              <w:rPr>
                <w:color w:val="auto"/>
                <w:sz w:val="22"/>
                <w:szCs w:val="22"/>
              </w:rPr>
            </w:pPr>
            <w:r>
              <w:rPr>
                <w:color w:val="auto"/>
                <w:sz w:val="22"/>
                <w:szCs w:val="22"/>
              </w:rPr>
              <w:t>Урок 126</w:t>
            </w:r>
          </w:p>
        </w:tc>
        <w:tc>
          <w:tcPr>
            <w:tcW w:w="7937" w:type="dxa"/>
          </w:tcPr>
          <w:p w14:paraId="43C1DDCF">
            <w:pPr>
              <w:pStyle w:val="85"/>
              <w:jc w:val="both"/>
              <w:rPr>
                <w:color w:val="auto"/>
                <w:sz w:val="22"/>
                <w:szCs w:val="22"/>
              </w:rPr>
            </w:pPr>
            <w:r>
              <w:rPr>
                <w:color w:val="auto"/>
                <w:sz w:val="22"/>
                <w:szCs w:val="22"/>
              </w:rPr>
              <w:t>Единственное и множественное число глаголов</w:t>
            </w:r>
          </w:p>
        </w:tc>
      </w:tr>
      <w:tr w14:paraId="25E1DD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6D3E76E1">
            <w:pPr>
              <w:pStyle w:val="85"/>
              <w:jc w:val="center"/>
              <w:rPr>
                <w:color w:val="auto"/>
                <w:sz w:val="22"/>
                <w:szCs w:val="22"/>
              </w:rPr>
            </w:pPr>
            <w:r>
              <w:rPr>
                <w:color w:val="auto"/>
                <w:sz w:val="22"/>
                <w:szCs w:val="22"/>
              </w:rPr>
              <w:t>Урок 127</w:t>
            </w:r>
          </w:p>
        </w:tc>
        <w:tc>
          <w:tcPr>
            <w:tcW w:w="7937" w:type="dxa"/>
          </w:tcPr>
          <w:p w14:paraId="3D2238DB">
            <w:pPr>
              <w:pStyle w:val="85"/>
              <w:jc w:val="both"/>
              <w:rPr>
                <w:color w:val="auto"/>
                <w:sz w:val="22"/>
                <w:szCs w:val="22"/>
              </w:rPr>
            </w:pPr>
            <w:r>
              <w:rPr>
                <w:color w:val="auto"/>
                <w:sz w:val="22"/>
                <w:szCs w:val="22"/>
              </w:rPr>
              <w:t>Контрольная работа (Контрольный диктант)</w:t>
            </w:r>
          </w:p>
        </w:tc>
      </w:tr>
      <w:tr w14:paraId="6BEB6D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7EBCC915">
            <w:pPr>
              <w:pStyle w:val="85"/>
              <w:jc w:val="center"/>
              <w:rPr>
                <w:color w:val="auto"/>
                <w:sz w:val="22"/>
                <w:szCs w:val="22"/>
              </w:rPr>
            </w:pPr>
            <w:r>
              <w:rPr>
                <w:color w:val="auto"/>
                <w:sz w:val="22"/>
                <w:szCs w:val="22"/>
              </w:rPr>
              <w:t>Урок 128</w:t>
            </w:r>
          </w:p>
        </w:tc>
        <w:tc>
          <w:tcPr>
            <w:tcW w:w="7937" w:type="dxa"/>
          </w:tcPr>
          <w:p w14:paraId="2A22CCD1">
            <w:pPr>
              <w:pStyle w:val="85"/>
              <w:jc w:val="both"/>
              <w:rPr>
                <w:color w:val="auto"/>
                <w:sz w:val="22"/>
                <w:szCs w:val="22"/>
              </w:rPr>
            </w:pPr>
            <w:r>
              <w:rPr>
                <w:color w:val="auto"/>
                <w:sz w:val="22"/>
                <w:szCs w:val="22"/>
              </w:rPr>
              <w:t>Обобщение знаний о глаголе</w:t>
            </w:r>
          </w:p>
        </w:tc>
      </w:tr>
      <w:tr w14:paraId="3ADA8F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62E21602">
            <w:pPr>
              <w:pStyle w:val="85"/>
              <w:jc w:val="center"/>
              <w:rPr>
                <w:color w:val="auto"/>
                <w:sz w:val="22"/>
                <w:szCs w:val="22"/>
              </w:rPr>
            </w:pPr>
            <w:r>
              <w:rPr>
                <w:color w:val="auto"/>
                <w:sz w:val="22"/>
                <w:szCs w:val="22"/>
              </w:rPr>
              <w:t>Урок 129</w:t>
            </w:r>
          </w:p>
        </w:tc>
        <w:tc>
          <w:tcPr>
            <w:tcW w:w="7937" w:type="dxa"/>
          </w:tcPr>
          <w:p w14:paraId="27D09C6A">
            <w:pPr>
              <w:pStyle w:val="85"/>
              <w:jc w:val="both"/>
              <w:rPr>
                <w:color w:val="auto"/>
                <w:sz w:val="22"/>
                <w:szCs w:val="22"/>
              </w:rPr>
            </w:pPr>
            <w:r>
              <w:rPr>
                <w:color w:val="auto"/>
                <w:sz w:val="22"/>
                <w:szCs w:val="22"/>
              </w:rPr>
              <w:t>Подробное изложение повествовательного текста объемом 30 - 45 слов с использованием вопросов</w:t>
            </w:r>
          </w:p>
        </w:tc>
      </w:tr>
      <w:tr w14:paraId="2251C1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1FCC6607">
            <w:pPr>
              <w:pStyle w:val="85"/>
              <w:jc w:val="center"/>
              <w:rPr>
                <w:color w:val="auto"/>
                <w:sz w:val="22"/>
                <w:szCs w:val="22"/>
              </w:rPr>
            </w:pPr>
            <w:r>
              <w:rPr>
                <w:color w:val="auto"/>
                <w:sz w:val="22"/>
                <w:szCs w:val="22"/>
              </w:rPr>
              <w:t>Урок 130</w:t>
            </w:r>
          </w:p>
        </w:tc>
        <w:tc>
          <w:tcPr>
            <w:tcW w:w="7937" w:type="dxa"/>
          </w:tcPr>
          <w:p w14:paraId="64F4FAD7">
            <w:pPr>
              <w:pStyle w:val="85"/>
              <w:jc w:val="both"/>
              <w:rPr>
                <w:color w:val="auto"/>
                <w:sz w:val="22"/>
                <w:szCs w:val="22"/>
              </w:rPr>
            </w:pPr>
            <w:r>
              <w:rPr>
                <w:color w:val="auto"/>
                <w:sz w:val="22"/>
                <w:szCs w:val="22"/>
              </w:rPr>
              <w:t>Имя прилагательное как часть речи</w:t>
            </w:r>
          </w:p>
        </w:tc>
      </w:tr>
      <w:tr w14:paraId="2A9D5D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4EBA86B5">
            <w:pPr>
              <w:pStyle w:val="85"/>
              <w:jc w:val="center"/>
              <w:rPr>
                <w:color w:val="auto"/>
                <w:sz w:val="22"/>
                <w:szCs w:val="22"/>
              </w:rPr>
            </w:pPr>
            <w:r>
              <w:rPr>
                <w:color w:val="auto"/>
                <w:sz w:val="22"/>
                <w:szCs w:val="22"/>
              </w:rPr>
              <w:t>Урок 131</w:t>
            </w:r>
          </w:p>
        </w:tc>
        <w:tc>
          <w:tcPr>
            <w:tcW w:w="7937" w:type="dxa"/>
          </w:tcPr>
          <w:p w14:paraId="0B0121CB">
            <w:pPr>
              <w:pStyle w:val="85"/>
              <w:jc w:val="both"/>
              <w:rPr>
                <w:color w:val="auto"/>
                <w:sz w:val="22"/>
                <w:szCs w:val="22"/>
              </w:rPr>
            </w:pPr>
            <w:r>
              <w:rPr>
                <w:color w:val="auto"/>
                <w:sz w:val="22"/>
                <w:szCs w:val="22"/>
              </w:rPr>
              <w:t>Имя прилагательное: значение</w:t>
            </w:r>
          </w:p>
        </w:tc>
      </w:tr>
      <w:tr w14:paraId="1BD52D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59685BB9">
            <w:pPr>
              <w:pStyle w:val="85"/>
              <w:jc w:val="center"/>
              <w:rPr>
                <w:color w:val="auto"/>
                <w:sz w:val="22"/>
                <w:szCs w:val="22"/>
              </w:rPr>
            </w:pPr>
            <w:r>
              <w:rPr>
                <w:color w:val="auto"/>
                <w:sz w:val="22"/>
                <w:szCs w:val="22"/>
              </w:rPr>
              <w:t>Урок 132</w:t>
            </w:r>
          </w:p>
        </w:tc>
        <w:tc>
          <w:tcPr>
            <w:tcW w:w="7937" w:type="dxa"/>
          </w:tcPr>
          <w:p w14:paraId="708B1D58">
            <w:pPr>
              <w:pStyle w:val="85"/>
              <w:jc w:val="both"/>
              <w:rPr>
                <w:color w:val="auto"/>
                <w:sz w:val="22"/>
                <w:szCs w:val="22"/>
              </w:rPr>
            </w:pPr>
            <w:r>
              <w:rPr>
                <w:color w:val="auto"/>
                <w:sz w:val="22"/>
                <w:szCs w:val="22"/>
              </w:rPr>
              <w:t>Связь имени прилагательного с именем существительным</w:t>
            </w:r>
          </w:p>
        </w:tc>
      </w:tr>
      <w:tr w14:paraId="61867B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2B02C852">
            <w:pPr>
              <w:pStyle w:val="85"/>
              <w:jc w:val="center"/>
              <w:rPr>
                <w:color w:val="auto"/>
                <w:sz w:val="22"/>
                <w:szCs w:val="22"/>
              </w:rPr>
            </w:pPr>
            <w:r>
              <w:rPr>
                <w:color w:val="auto"/>
                <w:sz w:val="22"/>
                <w:szCs w:val="22"/>
              </w:rPr>
              <w:t>Урок 133</w:t>
            </w:r>
          </w:p>
        </w:tc>
        <w:tc>
          <w:tcPr>
            <w:tcW w:w="7937" w:type="dxa"/>
          </w:tcPr>
          <w:p w14:paraId="29061613">
            <w:pPr>
              <w:pStyle w:val="85"/>
              <w:jc w:val="both"/>
              <w:rPr>
                <w:color w:val="auto"/>
                <w:sz w:val="22"/>
                <w:szCs w:val="22"/>
              </w:rPr>
            </w:pPr>
            <w:r>
              <w:rPr>
                <w:color w:val="auto"/>
                <w:sz w:val="22"/>
                <w:szCs w:val="22"/>
              </w:rPr>
              <w:t>Обобщение знаний об имени прилагательном</w:t>
            </w:r>
          </w:p>
        </w:tc>
      </w:tr>
      <w:tr w14:paraId="490A89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55EEDF11">
            <w:pPr>
              <w:pStyle w:val="85"/>
              <w:jc w:val="center"/>
              <w:rPr>
                <w:color w:val="auto"/>
                <w:sz w:val="22"/>
                <w:szCs w:val="22"/>
              </w:rPr>
            </w:pPr>
            <w:r>
              <w:rPr>
                <w:color w:val="auto"/>
                <w:sz w:val="22"/>
                <w:szCs w:val="22"/>
              </w:rPr>
              <w:t>Урок 134</w:t>
            </w:r>
          </w:p>
        </w:tc>
        <w:tc>
          <w:tcPr>
            <w:tcW w:w="7937" w:type="dxa"/>
          </w:tcPr>
          <w:p w14:paraId="37F550A2">
            <w:pPr>
              <w:pStyle w:val="85"/>
              <w:jc w:val="both"/>
              <w:rPr>
                <w:color w:val="auto"/>
                <w:sz w:val="22"/>
                <w:szCs w:val="22"/>
              </w:rPr>
            </w:pPr>
            <w:r>
              <w:rPr>
                <w:color w:val="auto"/>
                <w:sz w:val="22"/>
                <w:szCs w:val="22"/>
              </w:rPr>
              <w:t>Предлог. Отличие предлогов от приставок</w:t>
            </w:r>
          </w:p>
        </w:tc>
      </w:tr>
      <w:tr w14:paraId="59C260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0623C251">
            <w:pPr>
              <w:pStyle w:val="85"/>
              <w:jc w:val="center"/>
              <w:rPr>
                <w:color w:val="auto"/>
                <w:sz w:val="22"/>
                <w:szCs w:val="22"/>
              </w:rPr>
            </w:pPr>
            <w:r>
              <w:rPr>
                <w:color w:val="auto"/>
                <w:sz w:val="22"/>
                <w:szCs w:val="22"/>
              </w:rPr>
              <w:t>Урок 135</w:t>
            </w:r>
          </w:p>
        </w:tc>
        <w:tc>
          <w:tcPr>
            <w:tcW w:w="7937" w:type="dxa"/>
          </w:tcPr>
          <w:p w14:paraId="7368D1F4">
            <w:pPr>
              <w:pStyle w:val="85"/>
              <w:jc w:val="both"/>
              <w:rPr>
                <w:color w:val="auto"/>
                <w:sz w:val="22"/>
                <w:szCs w:val="22"/>
              </w:rPr>
            </w:pPr>
            <w:r>
              <w:rPr>
                <w:color w:val="auto"/>
                <w:sz w:val="22"/>
                <w:szCs w:val="22"/>
              </w:rPr>
              <w:t>Наиболее распространенные предлоги: в, на, из, без, над, до, у, о, об и другие</w:t>
            </w:r>
          </w:p>
        </w:tc>
      </w:tr>
      <w:tr w14:paraId="29960B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011E5C1B">
            <w:pPr>
              <w:pStyle w:val="85"/>
              <w:jc w:val="center"/>
              <w:rPr>
                <w:color w:val="auto"/>
                <w:sz w:val="22"/>
                <w:szCs w:val="22"/>
              </w:rPr>
            </w:pPr>
            <w:r>
              <w:rPr>
                <w:color w:val="auto"/>
                <w:sz w:val="22"/>
                <w:szCs w:val="22"/>
              </w:rPr>
              <w:t>Урок 136</w:t>
            </w:r>
          </w:p>
        </w:tc>
        <w:tc>
          <w:tcPr>
            <w:tcW w:w="7937" w:type="dxa"/>
          </w:tcPr>
          <w:p w14:paraId="5E4A447E">
            <w:pPr>
              <w:pStyle w:val="85"/>
              <w:jc w:val="both"/>
              <w:rPr>
                <w:color w:val="auto"/>
                <w:sz w:val="22"/>
                <w:szCs w:val="22"/>
              </w:rPr>
            </w:pPr>
            <w:r>
              <w:rPr>
                <w:color w:val="auto"/>
                <w:sz w:val="22"/>
                <w:szCs w:val="22"/>
              </w:rPr>
              <w:t>Раздельное написание предлогов с именами существительными</w:t>
            </w:r>
          </w:p>
        </w:tc>
      </w:tr>
      <w:tr w14:paraId="3CF118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430F78EA">
            <w:pPr>
              <w:pStyle w:val="85"/>
              <w:jc w:val="center"/>
              <w:rPr>
                <w:color w:val="auto"/>
                <w:sz w:val="22"/>
                <w:szCs w:val="22"/>
              </w:rPr>
            </w:pPr>
            <w:r>
              <w:rPr>
                <w:color w:val="auto"/>
                <w:sz w:val="22"/>
                <w:szCs w:val="22"/>
              </w:rPr>
              <w:t>Урок 137</w:t>
            </w:r>
          </w:p>
        </w:tc>
        <w:tc>
          <w:tcPr>
            <w:tcW w:w="7937" w:type="dxa"/>
          </w:tcPr>
          <w:p w14:paraId="3D78C053">
            <w:pPr>
              <w:pStyle w:val="85"/>
              <w:jc w:val="both"/>
              <w:rPr>
                <w:color w:val="auto"/>
                <w:sz w:val="22"/>
                <w:szCs w:val="22"/>
              </w:rPr>
            </w:pPr>
            <w:r>
              <w:rPr>
                <w:color w:val="auto"/>
                <w:sz w:val="22"/>
                <w:szCs w:val="22"/>
              </w:rPr>
              <w:t>Раздельное написание предлогов с именами существительными: закрепление</w:t>
            </w:r>
          </w:p>
        </w:tc>
      </w:tr>
      <w:tr w14:paraId="3089F9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6228F671">
            <w:pPr>
              <w:pStyle w:val="85"/>
              <w:jc w:val="center"/>
              <w:rPr>
                <w:color w:val="auto"/>
                <w:sz w:val="22"/>
                <w:szCs w:val="22"/>
              </w:rPr>
            </w:pPr>
            <w:r>
              <w:rPr>
                <w:color w:val="auto"/>
                <w:sz w:val="22"/>
                <w:szCs w:val="22"/>
              </w:rPr>
              <w:t>Урок 138</w:t>
            </w:r>
          </w:p>
        </w:tc>
        <w:tc>
          <w:tcPr>
            <w:tcW w:w="7937" w:type="dxa"/>
          </w:tcPr>
          <w:p w14:paraId="744F3E79">
            <w:pPr>
              <w:pStyle w:val="85"/>
              <w:jc w:val="both"/>
              <w:rPr>
                <w:color w:val="auto"/>
                <w:sz w:val="22"/>
                <w:szCs w:val="22"/>
              </w:rPr>
            </w:pPr>
            <w:r>
              <w:rPr>
                <w:color w:val="auto"/>
                <w:sz w:val="22"/>
                <w:szCs w:val="22"/>
              </w:rPr>
              <w:t>Части речи: систематизация знаний</w:t>
            </w:r>
          </w:p>
        </w:tc>
      </w:tr>
      <w:tr w14:paraId="0DA469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7510E927">
            <w:pPr>
              <w:pStyle w:val="85"/>
              <w:jc w:val="center"/>
              <w:rPr>
                <w:color w:val="auto"/>
                <w:sz w:val="22"/>
                <w:szCs w:val="22"/>
              </w:rPr>
            </w:pPr>
            <w:r>
              <w:rPr>
                <w:color w:val="auto"/>
                <w:sz w:val="22"/>
                <w:szCs w:val="22"/>
              </w:rPr>
              <w:t>Урок 139</w:t>
            </w:r>
          </w:p>
        </w:tc>
        <w:tc>
          <w:tcPr>
            <w:tcW w:w="7937" w:type="dxa"/>
          </w:tcPr>
          <w:p w14:paraId="036A7F3F">
            <w:pPr>
              <w:pStyle w:val="85"/>
              <w:jc w:val="both"/>
              <w:rPr>
                <w:color w:val="auto"/>
                <w:sz w:val="22"/>
                <w:szCs w:val="22"/>
              </w:rPr>
            </w:pPr>
            <w:r>
              <w:rPr>
                <w:color w:val="auto"/>
                <w:sz w:val="22"/>
                <w:szCs w:val="22"/>
              </w:rPr>
              <w:t>Части речи: обобщение</w:t>
            </w:r>
          </w:p>
        </w:tc>
      </w:tr>
      <w:tr w14:paraId="6FE334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2AA19F20">
            <w:pPr>
              <w:pStyle w:val="85"/>
              <w:jc w:val="center"/>
              <w:rPr>
                <w:color w:val="auto"/>
                <w:sz w:val="22"/>
                <w:szCs w:val="22"/>
              </w:rPr>
            </w:pPr>
            <w:r>
              <w:rPr>
                <w:color w:val="auto"/>
                <w:sz w:val="22"/>
                <w:szCs w:val="22"/>
              </w:rPr>
              <w:t>Урок 140</w:t>
            </w:r>
          </w:p>
        </w:tc>
        <w:tc>
          <w:tcPr>
            <w:tcW w:w="7937" w:type="dxa"/>
          </w:tcPr>
          <w:p w14:paraId="699F8EC4">
            <w:pPr>
              <w:pStyle w:val="85"/>
              <w:jc w:val="both"/>
              <w:rPr>
                <w:color w:val="auto"/>
                <w:sz w:val="22"/>
                <w:szCs w:val="22"/>
              </w:rPr>
            </w:pPr>
            <w:r>
              <w:rPr>
                <w:color w:val="auto"/>
                <w:sz w:val="22"/>
                <w:szCs w:val="22"/>
              </w:rPr>
              <w:t>Правописание слов с орфограммами в значимых частях слов: систематизация</w:t>
            </w:r>
          </w:p>
        </w:tc>
      </w:tr>
      <w:tr w14:paraId="469D63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0346B5FF">
            <w:pPr>
              <w:pStyle w:val="85"/>
              <w:jc w:val="center"/>
              <w:rPr>
                <w:color w:val="auto"/>
                <w:sz w:val="22"/>
                <w:szCs w:val="22"/>
              </w:rPr>
            </w:pPr>
            <w:r>
              <w:rPr>
                <w:color w:val="auto"/>
                <w:sz w:val="22"/>
                <w:szCs w:val="22"/>
              </w:rPr>
              <w:t>Урок 141</w:t>
            </w:r>
          </w:p>
        </w:tc>
        <w:tc>
          <w:tcPr>
            <w:tcW w:w="7937" w:type="dxa"/>
          </w:tcPr>
          <w:p w14:paraId="0560C625">
            <w:pPr>
              <w:pStyle w:val="85"/>
              <w:jc w:val="both"/>
              <w:rPr>
                <w:color w:val="auto"/>
                <w:sz w:val="22"/>
                <w:szCs w:val="22"/>
              </w:rPr>
            </w:pPr>
            <w:r>
              <w:rPr>
                <w:color w:val="auto"/>
                <w:sz w:val="22"/>
                <w:szCs w:val="22"/>
              </w:rPr>
              <w:t>Резервный урок по разделу морфология: части речи</w:t>
            </w:r>
          </w:p>
        </w:tc>
      </w:tr>
      <w:tr w14:paraId="39CD26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5CAFF351">
            <w:pPr>
              <w:pStyle w:val="85"/>
              <w:jc w:val="center"/>
              <w:rPr>
                <w:color w:val="auto"/>
                <w:sz w:val="22"/>
                <w:szCs w:val="22"/>
              </w:rPr>
            </w:pPr>
            <w:r>
              <w:rPr>
                <w:color w:val="auto"/>
                <w:sz w:val="22"/>
                <w:szCs w:val="22"/>
              </w:rPr>
              <w:t>Урок 142</w:t>
            </w:r>
          </w:p>
        </w:tc>
        <w:tc>
          <w:tcPr>
            <w:tcW w:w="7937" w:type="dxa"/>
          </w:tcPr>
          <w:p w14:paraId="27AE2CB3">
            <w:pPr>
              <w:pStyle w:val="85"/>
              <w:jc w:val="both"/>
              <w:rPr>
                <w:color w:val="auto"/>
                <w:sz w:val="22"/>
                <w:szCs w:val="22"/>
              </w:rPr>
            </w:pPr>
            <w:r>
              <w:rPr>
                <w:color w:val="auto"/>
                <w:sz w:val="22"/>
                <w:szCs w:val="22"/>
              </w:rPr>
              <w:t>Резервный урок по разделу морфология: изменение по числам имен существительных</w:t>
            </w:r>
          </w:p>
        </w:tc>
      </w:tr>
      <w:tr w14:paraId="4C1EA2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172AECA7">
            <w:pPr>
              <w:pStyle w:val="85"/>
              <w:jc w:val="center"/>
              <w:rPr>
                <w:color w:val="auto"/>
                <w:sz w:val="22"/>
                <w:szCs w:val="22"/>
              </w:rPr>
            </w:pPr>
            <w:r>
              <w:rPr>
                <w:color w:val="auto"/>
                <w:sz w:val="22"/>
                <w:szCs w:val="22"/>
              </w:rPr>
              <w:t>Урок 143</w:t>
            </w:r>
          </w:p>
        </w:tc>
        <w:tc>
          <w:tcPr>
            <w:tcW w:w="7937" w:type="dxa"/>
          </w:tcPr>
          <w:p w14:paraId="4946747A">
            <w:pPr>
              <w:pStyle w:val="85"/>
              <w:jc w:val="both"/>
              <w:rPr>
                <w:color w:val="auto"/>
                <w:sz w:val="22"/>
                <w:szCs w:val="22"/>
              </w:rPr>
            </w:pPr>
            <w:r>
              <w:rPr>
                <w:color w:val="auto"/>
                <w:sz w:val="22"/>
                <w:szCs w:val="22"/>
              </w:rPr>
              <w:t>Резервный урок по разделу морфология: роль имен существительных в тексте</w:t>
            </w:r>
          </w:p>
        </w:tc>
      </w:tr>
      <w:tr w14:paraId="7AA1FA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751C63FF">
            <w:pPr>
              <w:pStyle w:val="85"/>
              <w:jc w:val="center"/>
              <w:rPr>
                <w:color w:val="auto"/>
                <w:sz w:val="22"/>
                <w:szCs w:val="22"/>
              </w:rPr>
            </w:pPr>
            <w:r>
              <w:rPr>
                <w:color w:val="auto"/>
                <w:sz w:val="22"/>
                <w:szCs w:val="22"/>
              </w:rPr>
              <w:t>Урок 144</w:t>
            </w:r>
          </w:p>
        </w:tc>
        <w:tc>
          <w:tcPr>
            <w:tcW w:w="7937" w:type="dxa"/>
          </w:tcPr>
          <w:p w14:paraId="2C1CDF3D">
            <w:pPr>
              <w:pStyle w:val="85"/>
              <w:jc w:val="both"/>
              <w:rPr>
                <w:color w:val="auto"/>
                <w:sz w:val="22"/>
                <w:szCs w:val="22"/>
              </w:rPr>
            </w:pPr>
            <w:r>
              <w:rPr>
                <w:color w:val="auto"/>
                <w:sz w:val="22"/>
                <w:szCs w:val="22"/>
              </w:rPr>
              <w:t>Резервный урок по разделу морфология: роль глаголов в тексте</w:t>
            </w:r>
          </w:p>
        </w:tc>
      </w:tr>
      <w:tr w14:paraId="5F599C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17912205">
            <w:pPr>
              <w:pStyle w:val="85"/>
              <w:jc w:val="center"/>
              <w:rPr>
                <w:color w:val="auto"/>
                <w:sz w:val="22"/>
                <w:szCs w:val="22"/>
              </w:rPr>
            </w:pPr>
            <w:r>
              <w:rPr>
                <w:color w:val="auto"/>
                <w:sz w:val="22"/>
                <w:szCs w:val="22"/>
              </w:rPr>
              <w:t>Урок 145</w:t>
            </w:r>
          </w:p>
        </w:tc>
        <w:tc>
          <w:tcPr>
            <w:tcW w:w="7937" w:type="dxa"/>
          </w:tcPr>
          <w:p w14:paraId="4F58D820">
            <w:pPr>
              <w:pStyle w:val="85"/>
              <w:jc w:val="both"/>
              <w:rPr>
                <w:color w:val="auto"/>
                <w:sz w:val="22"/>
                <w:szCs w:val="22"/>
              </w:rPr>
            </w:pPr>
            <w:r>
              <w:rPr>
                <w:color w:val="auto"/>
                <w:sz w:val="22"/>
                <w:szCs w:val="22"/>
              </w:rPr>
              <w:t>Резервный урок по разделу морфология: роль имен прилагательных в тексте</w:t>
            </w:r>
          </w:p>
        </w:tc>
      </w:tr>
      <w:tr w14:paraId="5A8796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5531CC3D">
            <w:pPr>
              <w:pStyle w:val="85"/>
              <w:jc w:val="center"/>
              <w:rPr>
                <w:color w:val="auto"/>
                <w:sz w:val="22"/>
                <w:szCs w:val="22"/>
              </w:rPr>
            </w:pPr>
            <w:r>
              <w:rPr>
                <w:color w:val="auto"/>
                <w:sz w:val="22"/>
                <w:szCs w:val="22"/>
              </w:rPr>
              <w:t>Урок 146</w:t>
            </w:r>
          </w:p>
        </w:tc>
        <w:tc>
          <w:tcPr>
            <w:tcW w:w="7937" w:type="dxa"/>
          </w:tcPr>
          <w:p w14:paraId="6346BA35">
            <w:pPr>
              <w:pStyle w:val="85"/>
              <w:jc w:val="both"/>
              <w:rPr>
                <w:color w:val="auto"/>
                <w:sz w:val="22"/>
                <w:szCs w:val="22"/>
              </w:rPr>
            </w:pPr>
            <w:r>
              <w:rPr>
                <w:color w:val="auto"/>
                <w:sz w:val="22"/>
                <w:szCs w:val="22"/>
              </w:rPr>
              <w:t>Резервный урок по разделу морфология: выполняем проектное задание</w:t>
            </w:r>
          </w:p>
        </w:tc>
      </w:tr>
      <w:tr w14:paraId="093978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629A08C9">
            <w:pPr>
              <w:pStyle w:val="85"/>
              <w:jc w:val="center"/>
              <w:rPr>
                <w:color w:val="auto"/>
                <w:sz w:val="22"/>
                <w:szCs w:val="22"/>
              </w:rPr>
            </w:pPr>
            <w:r>
              <w:rPr>
                <w:color w:val="auto"/>
                <w:sz w:val="22"/>
                <w:szCs w:val="22"/>
              </w:rPr>
              <w:t>Урок 147</w:t>
            </w:r>
          </w:p>
        </w:tc>
        <w:tc>
          <w:tcPr>
            <w:tcW w:w="7937" w:type="dxa"/>
          </w:tcPr>
          <w:p w14:paraId="3D5F3A46">
            <w:pPr>
              <w:pStyle w:val="85"/>
              <w:jc w:val="both"/>
              <w:rPr>
                <w:color w:val="auto"/>
                <w:sz w:val="22"/>
                <w:szCs w:val="22"/>
              </w:rPr>
            </w:pPr>
            <w:r>
              <w:rPr>
                <w:color w:val="auto"/>
                <w:sz w:val="22"/>
                <w:szCs w:val="22"/>
              </w:rPr>
              <w:t>Резервный урок по разделу морфология: выполняем проектное задание</w:t>
            </w:r>
          </w:p>
        </w:tc>
      </w:tr>
      <w:tr w14:paraId="648D9B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7197F72A">
            <w:pPr>
              <w:pStyle w:val="85"/>
              <w:jc w:val="center"/>
              <w:rPr>
                <w:color w:val="auto"/>
                <w:sz w:val="22"/>
                <w:szCs w:val="22"/>
              </w:rPr>
            </w:pPr>
            <w:r>
              <w:rPr>
                <w:color w:val="auto"/>
                <w:sz w:val="22"/>
                <w:szCs w:val="22"/>
              </w:rPr>
              <w:t>Урок 148</w:t>
            </w:r>
          </w:p>
        </w:tc>
        <w:tc>
          <w:tcPr>
            <w:tcW w:w="7937" w:type="dxa"/>
          </w:tcPr>
          <w:p w14:paraId="48AD1B7C">
            <w:pPr>
              <w:pStyle w:val="85"/>
              <w:jc w:val="both"/>
              <w:rPr>
                <w:color w:val="auto"/>
                <w:sz w:val="22"/>
                <w:szCs w:val="22"/>
              </w:rPr>
            </w:pPr>
            <w:r>
              <w:rPr>
                <w:color w:val="auto"/>
                <w:sz w:val="22"/>
                <w:szCs w:val="22"/>
              </w:rPr>
              <w:t>Правописание слов с орфограммами в значимых частях слов: обобщение</w:t>
            </w:r>
          </w:p>
        </w:tc>
      </w:tr>
      <w:tr w14:paraId="151673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3E4362B7">
            <w:pPr>
              <w:pStyle w:val="85"/>
              <w:jc w:val="center"/>
              <w:rPr>
                <w:color w:val="auto"/>
                <w:sz w:val="22"/>
                <w:szCs w:val="22"/>
              </w:rPr>
            </w:pPr>
            <w:r>
              <w:rPr>
                <w:color w:val="auto"/>
                <w:sz w:val="22"/>
                <w:szCs w:val="22"/>
              </w:rPr>
              <w:t>Урок 149</w:t>
            </w:r>
          </w:p>
        </w:tc>
        <w:tc>
          <w:tcPr>
            <w:tcW w:w="7937" w:type="dxa"/>
          </w:tcPr>
          <w:p w14:paraId="68D29976">
            <w:pPr>
              <w:pStyle w:val="85"/>
              <w:jc w:val="both"/>
              <w:rPr>
                <w:color w:val="auto"/>
                <w:sz w:val="22"/>
                <w:szCs w:val="22"/>
              </w:rPr>
            </w:pPr>
            <w:r>
              <w:rPr>
                <w:color w:val="auto"/>
                <w:sz w:val="22"/>
                <w:szCs w:val="22"/>
              </w:rPr>
              <w:t>Текст-описание</w:t>
            </w:r>
          </w:p>
        </w:tc>
      </w:tr>
      <w:tr w14:paraId="4C7DE7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2975FF47">
            <w:pPr>
              <w:pStyle w:val="85"/>
              <w:jc w:val="center"/>
              <w:rPr>
                <w:color w:val="auto"/>
                <w:sz w:val="22"/>
                <w:szCs w:val="22"/>
              </w:rPr>
            </w:pPr>
            <w:r>
              <w:rPr>
                <w:color w:val="auto"/>
                <w:sz w:val="22"/>
                <w:szCs w:val="22"/>
              </w:rPr>
              <w:t>Урок 150</w:t>
            </w:r>
          </w:p>
        </w:tc>
        <w:tc>
          <w:tcPr>
            <w:tcW w:w="7937" w:type="dxa"/>
          </w:tcPr>
          <w:p w14:paraId="2D5D66ED">
            <w:pPr>
              <w:pStyle w:val="85"/>
              <w:jc w:val="both"/>
              <w:rPr>
                <w:color w:val="auto"/>
                <w:sz w:val="22"/>
                <w:szCs w:val="22"/>
              </w:rPr>
            </w:pPr>
            <w:r>
              <w:rPr>
                <w:color w:val="auto"/>
                <w:sz w:val="22"/>
                <w:szCs w:val="22"/>
              </w:rPr>
              <w:t>Особенности текстов-описаний</w:t>
            </w:r>
          </w:p>
        </w:tc>
      </w:tr>
      <w:tr w14:paraId="622669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7D18C16D">
            <w:pPr>
              <w:pStyle w:val="85"/>
              <w:jc w:val="center"/>
              <w:rPr>
                <w:color w:val="auto"/>
                <w:sz w:val="22"/>
                <w:szCs w:val="22"/>
              </w:rPr>
            </w:pPr>
            <w:r>
              <w:rPr>
                <w:color w:val="auto"/>
                <w:sz w:val="22"/>
                <w:szCs w:val="22"/>
              </w:rPr>
              <w:t>Урок 151</w:t>
            </w:r>
          </w:p>
        </w:tc>
        <w:tc>
          <w:tcPr>
            <w:tcW w:w="7937" w:type="dxa"/>
          </w:tcPr>
          <w:p w14:paraId="298C4796">
            <w:pPr>
              <w:pStyle w:val="85"/>
              <w:jc w:val="both"/>
              <w:rPr>
                <w:color w:val="auto"/>
                <w:sz w:val="22"/>
                <w:szCs w:val="22"/>
              </w:rPr>
            </w:pPr>
            <w:r>
              <w:rPr>
                <w:color w:val="auto"/>
                <w:sz w:val="22"/>
                <w:szCs w:val="22"/>
              </w:rPr>
              <w:t>Текст-повествование</w:t>
            </w:r>
          </w:p>
        </w:tc>
      </w:tr>
      <w:tr w14:paraId="7818D6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135738EC">
            <w:pPr>
              <w:pStyle w:val="85"/>
              <w:jc w:val="center"/>
              <w:rPr>
                <w:color w:val="auto"/>
                <w:sz w:val="22"/>
                <w:szCs w:val="22"/>
              </w:rPr>
            </w:pPr>
            <w:r>
              <w:rPr>
                <w:color w:val="auto"/>
                <w:sz w:val="22"/>
                <w:szCs w:val="22"/>
              </w:rPr>
              <w:t>Урок 152</w:t>
            </w:r>
          </w:p>
        </w:tc>
        <w:tc>
          <w:tcPr>
            <w:tcW w:w="7937" w:type="dxa"/>
          </w:tcPr>
          <w:p w14:paraId="7BAE255D">
            <w:pPr>
              <w:pStyle w:val="85"/>
              <w:jc w:val="both"/>
              <w:rPr>
                <w:color w:val="auto"/>
                <w:sz w:val="22"/>
                <w:szCs w:val="22"/>
              </w:rPr>
            </w:pPr>
            <w:r>
              <w:rPr>
                <w:color w:val="auto"/>
                <w:sz w:val="22"/>
                <w:szCs w:val="22"/>
              </w:rPr>
              <w:t>Особенности текстов-повествований</w:t>
            </w:r>
          </w:p>
        </w:tc>
      </w:tr>
      <w:tr w14:paraId="1A812C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436ED906">
            <w:pPr>
              <w:pStyle w:val="85"/>
              <w:jc w:val="center"/>
              <w:rPr>
                <w:color w:val="auto"/>
                <w:sz w:val="22"/>
                <w:szCs w:val="22"/>
              </w:rPr>
            </w:pPr>
            <w:r>
              <w:rPr>
                <w:color w:val="auto"/>
                <w:sz w:val="22"/>
                <w:szCs w:val="22"/>
              </w:rPr>
              <w:t>Урок 153</w:t>
            </w:r>
          </w:p>
        </w:tc>
        <w:tc>
          <w:tcPr>
            <w:tcW w:w="7937" w:type="dxa"/>
          </w:tcPr>
          <w:p w14:paraId="2548CE2F">
            <w:pPr>
              <w:pStyle w:val="85"/>
              <w:jc w:val="both"/>
              <w:rPr>
                <w:color w:val="auto"/>
                <w:sz w:val="22"/>
                <w:szCs w:val="22"/>
              </w:rPr>
            </w:pPr>
            <w:r>
              <w:rPr>
                <w:color w:val="auto"/>
                <w:sz w:val="22"/>
                <w:szCs w:val="22"/>
              </w:rPr>
              <w:t>Различение текстов-описаний и текстов-повествований</w:t>
            </w:r>
          </w:p>
        </w:tc>
      </w:tr>
      <w:tr w14:paraId="117B7A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10F90ABB">
            <w:pPr>
              <w:pStyle w:val="85"/>
              <w:jc w:val="center"/>
              <w:rPr>
                <w:color w:val="auto"/>
                <w:sz w:val="22"/>
                <w:szCs w:val="22"/>
              </w:rPr>
            </w:pPr>
            <w:r>
              <w:rPr>
                <w:color w:val="auto"/>
                <w:sz w:val="22"/>
                <w:szCs w:val="22"/>
              </w:rPr>
              <w:t>Урок 154</w:t>
            </w:r>
          </w:p>
        </w:tc>
        <w:tc>
          <w:tcPr>
            <w:tcW w:w="7937" w:type="dxa"/>
          </w:tcPr>
          <w:p w14:paraId="477067F9">
            <w:pPr>
              <w:pStyle w:val="85"/>
              <w:jc w:val="both"/>
              <w:rPr>
                <w:color w:val="auto"/>
                <w:sz w:val="22"/>
                <w:szCs w:val="22"/>
              </w:rPr>
            </w:pPr>
            <w:r>
              <w:rPr>
                <w:color w:val="auto"/>
                <w:sz w:val="22"/>
                <w:szCs w:val="22"/>
              </w:rPr>
              <w:t>Текст-рассуждение</w:t>
            </w:r>
          </w:p>
        </w:tc>
      </w:tr>
      <w:tr w14:paraId="6721B6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16BCC097">
            <w:pPr>
              <w:pStyle w:val="85"/>
              <w:jc w:val="center"/>
              <w:rPr>
                <w:color w:val="auto"/>
                <w:sz w:val="22"/>
                <w:szCs w:val="22"/>
              </w:rPr>
            </w:pPr>
            <w:r>
              <w:rPr>
                <w:color w:val="auto"/>
                <w:sz w:val="22"/>
                <w:szCs w:val="22"/>
              </w:rPr>
              <w:t>Урок 155</w:t>
            </w:r>
          </w:p>
        </w:tc>
        <w:tc>
          <w:tcPr>
            <w:tcW w:w="7937" w:type="dxa"/>
          </w:tcPr>
          <w:p w14:paraId="1D8CF20C">
            <w:pPr>
              <w:pStyle w:val="85"/>
              <w:jc w:val="both"/>
              <w:rPr>
                <w:color w:val="auto"/>
                <w:sz w:val="22"/>
                <w:szCs w:val="22"/>
              </w:rPr>
            </w:pPr>
            <w:r>
              <w:rPr>
                <w:color w:val="auto"/>
                <w:sz w:val="22"/>
                <w:szCs w:val="22"/>
              </w:rPr>
              <w:t>Особенности текстов-рассуждений</w:t>
            </w:r>
          </w:p>
        </w:tc>
      </w:tr>
      <w:tr w14:paraId="60877D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7C3B61CF">
            <w:pPr>
              <w:pStyle w:val="85"/>
              <w:jc w:val="center"/>
              <w:rPr>
                <w:color w:val="auto"/>
                <w:sz w:val="22"/>
                <w:szCs w:val="22"/>
              </w:rPr>
            </w:pPr>
            <w:r>
              <w:rPr>
                <w:color w:val="auto"/>
                <w:sz w:val="22"/>
                <w:szCs w:val="22"/>
              </w:rPr>
              <w:t>Урок 156</w:t>
            </w:r>
          </w:p>
        </w:tc>
        <w:tc>
          <w:tcPr>
            <w:tcW w:w="7937" w:type="dxa"/>
          </w:tcPr>
          <w:p w14:paraId="7B4809AB">
            <w:pPr>
              <w:pStyle w:val="85"/>
              <w:jc w:val="both"/>
              <w:rPr>
                <w:color w:val="auto"/>
                <w:sz w:val="22"/>
                <w:szCs w:val="22"/>
              </w:rPr>
            </w:pPr>
            <w:r>
              <w:rPr>
                <w:color w:val="auto"/>
                <w:sz w:val="22"/>
                <w:szCs w:val="22"/>
              </w:rPr>
              <w:t>Резервный урок по разделу развитие речи: составляем план текста</w:t>
            </w:r>
          </w:p>
        </w:tc>
      </w:tr>
      <w:tr w14:paraId="7A8987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7DF9E5D2">
            <w:pPr>
              <w:pStyle w:val="85"/>
              <w:jc w:val="center"/>
              <w:rPr>
                <w:color w:val="auto"/>
                <w:sz w:val="22"/>
                <w:szCs w:val="22"/>
              </w:rPr>
            </w:pPr>
            <w:r>
              <w:rPr>
                <w:color w:val="auto"/>
                <w:sz w:val="22"/>
                <w:szCs w:val="22"/>
              </w:rPr>
              <w:t>Урок 157</w:t>
            </w:r>
          </w:p>
        </w:tc>
        <w:tc>
          <w:tcPr>
            <w:tcW w:w="7937" w:type="dxa"/>
          </w:tcPr>
          <w:p w14:paraId="57C09851">
            <w:pPr>
              <w:pStyle w:val="85"/>
              <w:jc w:val="both"/>
              <w:rPr>
                <w:color w:val="auto"/>
                <w:sz w:val="22"/>
                <w:szCs w:val="22"/>
              </w:rPr>
            </w:pPr>
            <w:r>
              <w:rPr>
                <w:color w:val="auto"/>
                <w:sz w:val="22"/>
                <w:szCs w:val="22"/>
              </w:rPr>
              <w:t>Резервный урок по разделу развитие речи: составляем план текста</w:t>
            </w:r>
          </w:p>
        </w:tc>
      </w:tr>
      <w:tr w14:paraId="78CA5F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3DF8D731">
            <w:pPr>
              <w:pStyle w:val="85"/>
              <w:jc w:val="center"/>
              <w:rPr>
                <w:color w:val="auto"/>
                <w:sz w:val="22"/>
                <w:szCs w:val="22"/>
              </w:rPr>
            </w:pPr>
            <w:r>
              <w:rPr>
                <w:color w:val="auto"/>
                <w:sz w:val="22"/>
                <w:szCs w:val="22"/>
              </w:rPr>
              <w:t>Урок 158</w:t>
            </w:r>
          </w:p>
        </w:tc>
        <w:tc>
          <w:tcPr>
            <w:tcW w:w="7937" w:type="dxa"/>
          </w:tcPr>
          <w:p w14:paraId="6BC9B2E6">
            <w:pPr>
              <w:pStyle w:val="85"/>
              <w:jc w:val="both"/>
              <w:rPr>
                <w:color w:val="auto"/>
                <w:sz w:val="22"/>
                <w:szCs w:val="22"/>
              </w:rPr>
            </w:pPr>
            <w:r>
              <w:rPr>
                <w:color w:val="auto"/>
                <w:sz w:val="22"/>
                <w:szCs w:val="22"/>
              </w:rPr>
              <w:t>Резервный урок по разделу развитие речи: пишем текст по предложенному плану</w:t>
            </w:r>
          </w:p>
        </w:tc>
      </w:tr>
      <w:tr w14:paraId="748DB0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07BD5E09">
            <w:pPr>
              <w:pStyle w:val="85"/>
              <w:jc w:val="center"/>
              <w:rPr>
                <w:color w:val="auto"/>
                <w:sz w:val="22"/>
                <w:szCs w:val="22"/>
              </w:rPr>
            </w:pPr>
            <w:r>
              <w:rPr>
                <w:color w:val="auto"/>
                <w:sz w:val="22"/>
                <w:szCs w:val="22"/>
              </w:rPr>
              <w:t>Урок 159</w:t>
            </w:r>
          </w:p>
        </w:tc>
        <w:tc>
          <w:tcPr>
            <w:tcW w:w="7937" w:type="dxa"/>
          </w:tcPr>
          <w:p w14:paraId="2877BB72">
            <w:pPr>
              <w:pStyle w:val="85"/>
              <w:jc w:val="both"/>
              <w:rPr>
                <w:color w:val="auto"/>
                <w:sz w:val="22"/>
                <w:szCs w:val="22"/>
              </w:rPr>
            </w:pPr>
            <w:r>
              <w:rPr>
                <w:color w:val="auto"/>
                <w:sz w:val="22"/>
                <w:szCs w:val="22"/>
              </w:rPr>
              <w:t>Резервный урок по разделу развитие речи: учимся сочинять текст-описание</w:t>
            </w:r>
          </w:p>
        </w:tc>
      </w:tr>
      <w:tr w14:paraId="170803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48A82118">
            <w:pPr>
              <w:pStyle w:val="85"/>
              <w:jc w:val="center"/>
              <w:rPr>
                <w:color w:val="auto"/>
                <w:sz w:val="22"/>
                <w:szCs w:val="22"/>
              </w:rPr>
            </w:pPr>
            <w:r>
              <w:rPr>
                <w:color w:val="auto"/>
                <w:sz w:val="22"/>
                <w:szCs w:val="22"/>
              </w:rPr>
              <w:t>Урок 160</w:t>
            </w:r>
          </w:p>
        </w:tc>
        <w:tc>
          <w:tcPr>
            <w:tcW w:w="7937" w:type="dxa"/>
          </w:tcPr>
          <w:p w14:paraId="0AC73156">
            <w:pPr>
              <w:pStyle w:val="85"/>
              <w:jc w:val="both"/>
              <w:rPr>
                <w:color w:val="auto"/>
                <w:sz w:val="22"/>
                <w:szCs w:val="22"/>
              </w:rPr>
            </w:pPr>
            <w:r>
              <w:rPr>
                <w:color w:val="auto"/>
                <w:sz w:val="22"/>
                <w:szCs w:val="22"/>
              </w:rPr>
              <w:t>Резервный урок по разделу развитие речи: учимся сочинять текст-повествование</w:t>
            </w:r>
          </w:p>
        </w:tc>
      </w:tr>
      <w:tr w14:paraId="4D120F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176A2CF9">
            <w:pPr>
              <w:pStyle w:val="85"/>
              <w:jc w:val="center"/>
              <w:rPr>
                <w:color w:val="auto"/>
                <w:sz w:val="22"/>
                <w:szCs w:val="22"/>
              </w:rPr>
            </w:pPr>
            <w:r>
              <w:rPr>
                <w:color w:val="auto"/>
                <w:sz w:val="22"/>
                <w:szCs w:val="22"/>
              </w:rPr>
              <w:t>Урок 161</w:t>
            </w:r>
          </w:p>
        </w:tc>
        <w:tc>
          <w:tcPr>
            <w:tcW w:w="7937" w:type="dxa"/>
          </w:tcPr>
          <w:p w14:paraId="54EBE7B3">
            <w:pPr>
              <w:pStyle w:val="85"/>
              <w:jc w:val="both"/>
              <w:rPr>
                <w:color w:val="auto"/>
                <w:sz w:val="22"/>
                <w:szCs w:val="22"/>
              </w:rPr>
            </w:pPr>
            <w:r>
              <w:rPr>
                <w:color w:val="auto"/>
                <w:sz w:val="22"/>
                <w:szCs w:val="22"/>
              </w:rPr>
              <w:t>Резервный урок по разделу развитие речи: учимся сочинять текст-рассуждение</w:t>
            </w:r>
          </w:p>
        </w:tc>
      </w:tr>
      <w:tr w14:paraId="72A80A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5D6451E3">
            <w:pPr>
              <w:pStyle w:val="85"/>
              <w:jc w:val="center"/>
              <w:rPr>
                <w:color w:val="auto"/>
                <w:sz w:val="22"/>
                <w:szCs w:val="22"/>
              </w:rPr>
            </w:pPr>
            <w:r>
              <w:rPr>
                <w:color w:val="auto"/>
                <w:sz w:val="22"/>
                <w:szCs w:val="22"/>
              </w:rPr>
              <w:t>Урок 162</w:t>
            </w:r>
          </w:p>
        </w:tc>
        <w:tc>
          <w:tcPr>
            <w:tcW w:w="7937" w:type="dxa"/>
          </w:tcPr>
          <w:p w14:paraId="69FB9E63">
            <w:pPr>
              <w:pStyle w:val="85"/>
              <w:jc w:val="both"/>
              <w:rPr>
                <w:color w:val="auto"/>
                <w:sz w:val="22"/>
                <w:szCs w:val="22"/>
              </w:rPr>
            </w:pPr>
            <w:r>
              <w:rPr>
                <w:color w:val="auto"/>
                <w:sz w:val="22"/>
                <w:szCs w:val="22"/>
              </w:rPr>
              <w:t>Резервный урок по разделу развитие речи: подробное изложение текста</w:t>
            </w:r>
          </w:p>
        </w:tc>
      </w:tr>
      <w:tr w14:paraId="251195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66F88E46">
            <w:pPr>
              <w:pStyle w:val="85"/>
              <w:jc w:val="center"/>
              <w:rPr>
                <w:color w:val="auto"/>
                <w:sz w:val="22"/>
                <w:szCs w:val="22"/>
              </w:rPr>
            </w:pPr>
            <w:r>
              <w:rPr>
                <w:color w:val="auto"/>
                <w:sz w:val="22"/>
                <w:szCs w:val="22"/>
              </w:rPr>
              <w:t>Урок 163</w:t>
            </w:r>
          </w:p>
        </w:tc>
        <w:tc>
          <w:tcPr>
            <w:tcW w:w="7937" w:type="dxa"/>
          </w:tcPr>
          <w:p w14:paraId="2BC4EBC8">
            <w:pPr>
              <w:pStyle w:val="85"/>
              <w:jc w:val="both"/>
              <w:rPr>
                <w:color w:val="auto"/>
                <w:sz w:val="22"/>
                <w:szCs w:val="22"/>
              </w:rPr>
            </w:pPr>
            <w:r>
              <w:rPr>
                <w:color w:val="auto"/>
                <w:sz w:val="22"/>
                <w:szCs w:val="22"/>
              </w:rPr>
              <w:t>Резервный урок: повторение по разделу развитие речи</w:t>
            </w:r>
          </w:p>
        </w:tc>
      </w:tr>
      <w:tr w14:paraId="46E59B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40F2C486">
            <w:pPr>
              <w:pStyle w:val="85"/>
              <w:jc w:val="center"/>
              <w:rPr>
                <w:color w:val="auto"/>
                <w:sz w:val="22"/>
                <w:szCs w:val="22"/>
              </w:rPr>
            </w:pPr>
            <w:r>
              <w:rPr>
                <w:color w:val="auto"/>
                <w:sz w:val="22"/>
                <w:szCs w:val="22"/>
              </w:rPr>
              <w:t>Урок 164</w:t>
            </w:r>
          </w:p>
        </w:tc>
        <w:tc>
          <w:tcPr>
            <w:tcW w:w="7937" w:type="dxa"/>
          </w:tcPr>
          <w:p w14:paraId="16A7D512">
            <w:pPr>
              <w:pStyle w:val="85"/>
              <w:jc w:val="both"/>
              <w:rPr>
                <w:color w:val="auto"/>
                <w:sz w:val="22"/>
                <w:szCs w:val="22"/>
              </w:rPr>
            </w:pPr>
            <w:r>
              <w:rPr>
                <w:color w:val="auto"/>
                <w:sz w:val="22"/>
                <w:szCs w:val="22"/>
              </w:rPr>
              <w:t>Резервный урок по разделу орфография: отработка орфограмм, вызывающих трудности</w:t>
            </w:r>
          </w:p>
        </w:tc>
      </w:tr>
      <w:tr w14:paraId="0847CC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3A1D9E1B">
            <w:pPr>
              <w:pStyle w:val="85"/>
              <w:jc w:val="center"/>
              <w:rPr>
                <w:color w:val="auto"/>
                <w:sz w:val="22"/>
                <w:szCs w:val="22"/>
              </w:rPr>
            </w:pPr>
            <w:r>
              <w:rPr>
                <w:color w:val="auto"/>
                <w:sz w:val="22"/>
                <w:szCs w:val="22"/>
              </w:rPr>
              <w:t>Урок 165</w:t>
            </w:r>
          </w:p>
        </w:tc>
        <w:tc>
          <w:tcPr>
            <w:tcW w:w="7937" w:type="dxa"/>
          </w:tcPr>
          <w:p w14:paraId="1A7A5952">
            <w:pPr>
              <w:pStyle w:val="85"/>
              <w:jc w:val="both"/>
              <w:rPr>
                <w:color w:val="auto"/>
                <w:sz w:val="22"/>
                <w:szCs w:val="22"/>
              </w:rPr>
            </w:pPr>
            <w:r>
              <w:rPr>
                <w:color w:val="auto"/>
                <w:sz w:val="22"/>
                <w:szCs w:val="22"/>
              </w:rPr>
              <w:t>Резервный урок по разделу орфография: отработка орфограмм, вызывающих трудности</w:t>
            </w:r>
          </w:p>
        </w:tc>
      </w:tr>
      <w:tr w14:paraId="78A307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250B94D2">
            <w:pPr>
              <w:pStyle w:val="85"/>
              <w:jc w:val="center"/>
              <w:rPr>
                <w:color w:val="auto"/>
                <w:sz w:val="22"/>
                <w:szCs w:val="22"/>
              </w:rPr>
            </w:pPr>
            <w:r>
              <w:rPr>
                <w:color w:val="auto"/>
                <w:sz w:val="22"/>
                <w:szCs w:val="22"/>
              </w:rPr>
              <w:t>Урок 166</w:t>
            </w:r>
          </w:p>
        </w:tc>
        <w:tc>
          <w:tcPr>
            <w:tcW w:w="7937" w:type="dxa"/>
          </w:tcPr>
          <w:p w14:paraId="0005C790">
            <w:pPr>
              <w:pStyle w:val="85"/>
              <w:jc w:val="both"/>
              <w:rPr>
                <w:color w:val="auto"/>
                <w:sz w:val="22"/>
                <w:szCs w:val="22"/>
              </w:rPr>
            </w:pPr>
            <w:r>
              <w:rPr>
                <w:color w:val="auto"/>
                <w:sz w:val="22"/>
                <w:szCs w:val="22"/>
              </w:rPr>
              <w:t>Резервный урок по разделу орфография: отработка орфограмм, вызывающих трудности</w:t>
            </w:r>
          </w:p>
        </w:tc>
      </w:tr>
      <w:tr w14:paraId="0F6D69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35BDE3EE">
            <w:pPr>
              <w:pStyle w:val="85"/>
              <w:jc w:val="center"/>
              <w:rPr>
                <w:color w:val="auto"/>
                <w:sz w:val="22"/>
                <w:szCs w:val="22"/>
              </w:rPr>
            </w:pPr>
            <w:r>
              <w:rPr>
                <w:color w:val="auto"/>
                <w:sz w:val="22"/>
                <w:szCs w:val="22"/>
              </w:rPr>
              <w:t>Урок 167</w:t>
            </w:r>
          </w:p>
        </w:tc>
        <w:tc>
          <w:tcPr>
            <w:tcW w:w="7937" w:type="dxa"/>
          </w:tcPr>
          <w:p w14:paraId="4EA9570B">
            <w:pPr>
              <w:pStyle w:val="85"/>
              <w:jc w:val="both"/>
              <w:rPr>
                <w:color w:val="auto"/>
                <w:sz w:val="22"/>
                <w:szCs w:val="22"/>
              </w:rPr>
            </w:pPr>
            <w:r>
              <w:rPr>
                <w:color w:val="auto"/>
                <w:sz w:val="22"/>
                <w:szCs w:val="22"/>
              </w:rPr>
              <w:t>Резервный урок по разделу орфография: отработка орфограмм, вызывающих трудности</w:t>
            </w:r>
          </w:p>
        </w:tc>
      </w:tr>
      <w:tr w14:paraId="4A92E4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4C187C42">
            <w:pPr>
              <w:pStyle w:val="85"/>
              <w:jc w:val="center"/>
              <w:rPr>
                <w:color w:val="auto"/>
                <w:sz w:val="22"/>
                <w:szCs w:val="22"/>
              </w:rPr>
            </w:pPr>
            <w:r>
              <w:rPr>
                <w:color w:val="auto"/>
                <w:sz w:val="22"/>
                <w:szCs w:val="22"/>
              </w:rPr>
              <w:t>Урок 168</w:t>
            </w:r>
          </w:p>
        </w:tc>
        <w:tc>
          <w:tcPr>
            <w:tcW w:w="7937" w:type="dxa"/>
          </w:tcPr>
          <w:p w14:paraId="4BF3804C">
            <w:pPr>
              <w:pStyle w:val="85"/>
              <w:jc w:val="both"/>
              <w:rPr>
                <w:color w:val="auto"/>
                <w:sz w:val="22"/>
                <w:szCs w:val="22"/>
              </w:rPr>
            </w:pPr>
            <w:r>
              <w:rPr>
                <w:color w:val="auto"/>
                <w:sz w:val="22"/>
                <w:szCs w:val="22"/>
              </w:rPr>
              <w:t>Резервный урок по разделу орфография: отработка орфограмм, вызывающих трудности</w:t>
            </w:r>
          </w:p>
        </w:tc>
      </w:tr>
      <w:tr w14:paraId="643B6D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52A22D34">
            <w:pPr>
              <w:pStyle w:val="85"/>
              <w:jc w:val="center"/>
              <w:rPr>
                <w:color w:val="auto"/>
                <w:sz w:val="22"/>
                <w:szCs w:val="22"/>
              </w:rPr>
            </w:pPr>
            <w:r>
              <w:rPr>
                <w:color w:val="auto"/>
                <w:sz w:val="22"/>
                <w:szCs w:val="22"/>
              </w:rPr>
              <w:t>Урок 169</w:t>
            </w:r>
          </w:p>
        </w:tc>
        <w:tc>
          <w:tcPr>
            <w:tcW w:w="7937" w:type="dxa"/>
          </w:tcPr>
          <w:p w14:paraId="075DE1B1">
            <w:pPr>
              <w:pStyle w:val="85"/>
              <w:jc w:val="both"/>
              <w:rPr>
                <w:color w:val="auto"/>
                <w:sz w:val="22"/>
                <w:szCs w:val="22"/>
              </w:rPr>
            </w:pPr>
            <w:r>
              <w:rPr>
                <w:color w:val="auto"/>
                <w:sz w:val="22"/>
                <w:szCs w:val="22"/>
              </w:rPr>
              <w:t>Резервный урок: повторение по разделу орфография</w:t>
            </w:r>
          </w:p>
        </w:tc>
      </w:tr>
      <w:tr w14:paraId="5BCE51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2A38CF82">
            <w:pPr>
              <w:pStyle w:val="85"/>
              <w:jc w:val="center"/>
              <w:rPr>
                <w:color w:val="auto"/>
                <w:sz w:val="22"/>
                <w:szCs w:val="22"/>
              </w:rPr>
            </w:pPr>
            <w:r>
              <w:rPr>
                <w:color w:val="auto"/>
                <w:sz w:val="22"/>
                <w:szCs w:val="22"/>
              </w:rPr>
              <w:t>Урок 170</w:t>
            </w:r>
          </w:p>
        </w:tc>
        <w:tc>
          <w:tcPr>
            <w:tcW w:w="7937" w:type="dxa"/>
          </w:tcPr>
          <w:p w14:paraId="6565A882">
            <w:pPr>
              <w:pStyle w:val="85"/>
              <w:jc w:val="both"/>
              <w:rPr>
                <w:color w:val="auto"/>
                <w:sz w:val="22"/>
                <w:szCs w:val="22"/>
              </w:rPr>
            </w:pPr>
            <w:r>
              <w:rPr>
                <w:color w:val="auto"/>
                <w:sz w:val="22"/>
                <w:szCs w:val="22"/>
              </w:rPr>
              <w:t>Резервный урок: повторение по разделу орфография</w:t>
            </w:r>
          </w:p>
        </w:tc>
      </w:tr>
      <w:tr w14:paraId="62B7B9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9071" w:type="dxa"/>
            <w:gridSpan w:val="2"/>
          </w:tcPr>
          <w:p w14:paraId="7D9B1E90">
            <w:pPr>
              <w:pStyle w:val="85"/>
              <w:jc w:val="both"/>
              <w:rPr>
                <w:color w:val="auto"/>
                <w:sz w:val="22"/>
                <w:szCs w:val="22"/>
              </w:rPr>
            </w:pPr>
            <w:r>
              <w:rPr>
                <w:color w:val="auto"/>
                <w:sz w:val="22"/>
                <w:szCs w:val="22"/>
              </w:rPr>
              <w:t>ОБЩЕЕ КОЛИЧЕСТВО УРОКОВ ПО ПРОГРАММЕ: 170, из них уроков, отведенных на контрольные работы, - не более 17</w:t>
            </w:r>
          </w:p>
        </w:tc>
      </w:tr>
    </w:tbl>
    <w:p w14:paraId="55ED7A5E">
      <w:pPr>
        <w:pStyle w:val="85"/>
        <w:jc w:val="both"/>
        <w:rPr>
          <w:color w:val="auto"/>
          <w:sz w:val="22"/>
          <w:szCs w:val="22"/>
        </w:rPr>
      </w:pPr>
    </w:p>
    <w:p w14:paraId="7E42D1F0">
      <w:pPr>
        <w:pStyle w:val="85"/>
        <w:jc w:val="right"/>
        <w:rPr>
          <w:color w:val="auto"/>
          <w:sz w:val="22"/>
          <w:szCs w:val="22"/>
        </w:rPr>
      </w:pPr>
      <w:r>
        <w:rPr>
          <w:color w:val="auto"/>
          <w:sz w:val="22"/>
          <w:szCs w:val="22"/>
        </w:rPr>
        <w:t>Таблица 2.6</w:t>
      </w:r>
    </w:p>
    <w:p w14:paraId="351CE855">
      <w:pPr>
        <w:pStyle w:val="85"/>
        <w:jc w:val="both"/>
        <w:rPr>
          <w:color w:val="auto"/>
          <w:sz w:val="22"/>
          <w:szCs w:val="22"/>
        </w:rPr>
      </w:pPr>
    </w:p>
    <w:p w14:paraId="1B149EB7">
      <w:pPr>
        <w:pStyle w:val="85"/>
        <w:jc w:val="both"/>
        <w:rPr>
          <w:color w:val="auto"/>
          <w:sz w:val="22"/>
          <w:szCs w:val="22"/>
        </w:rPr>
      </w:pPr>
      <w:r>
        <w:rPr>
          <w:color w:val="auto"/>
          <w:sz w:val="22"/>
          <w:szCs w:val="22"/>
        </w:rPr>
        <w:t>3 класс</w:t>
      </w:r>
    </w:p>
    <w:p w14:paraId="250F4F9E">
      <w:pPr>
        <w:pStyle w:val="85"/>
        <w:jc w:val="both"/>
        <w:rPr>
          <w:color w:val="auto"/>
          <w:sz w:val="22"/>
          <w:szCs w:val="22"/>
        </w:rPr>
      </w:pPr>
    </w:p>
    <w:tbl>
      <w:tblPr>
        <w:tblStyle w:val="1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02" w:type="dxa"/>
          <w:left w:w="62" w:type="dxa"/>
          <w:bottom w:w="102" w:type="dxa"/>
          <w:right w:w="62" w:type="dxa"/>
        </w:tblCellMar>
      </w:tblPr>
      <w:tblGrid>
        <w:gridCol w:w="1134"/>
        <w:gridCol w:w="7937"/>
      </w:tblGrid>
      <w:tr w14:paraId="160BE0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tcPr>
          <w:p w14:paraId="415C325D">
            <w:pPr>
              <w:pStyle w:val="85"/>
              <w:jc w:val="center"/>
              <w:rPr>
                <w:color w:val="auto"/>
                <w:sz w:val="22"/>
                <w:szCs w:val="22"/>
              </w:rPr>
            </w:pPr>
            <w:r>
              <w:rPr>
                <w:color w:val="auto"/>
                <w:sz w:val="22"/>
                <w:szCs w:val="22"/>
              </w:rPr>
              <w:t>N урока</w:t>
            </w:r>
          </w:p>
        </w:tc>
        <w:tc>
          <w:tcPr>
            <w:tcW w:w="7937" w:type="dxa"/>
          </w:tcPr>
          <w:p w14:paraId="5178D187">
            <w:pPr>
              <w:pStyle w:val="85"/>
              <w:jc w:val="center"/>
              <w:rPr>
                <w:color w:val="auto"/>
                <w:sz w:val="22"/>
                <w:szCs w:val="22"/>
              </w:rPr>
            </w:pPr>
            <w:r>
              <w:rPr>
                <w:color w:val="auto"/>
                <w:sz w:val="22"/>
                <w:szCs w:val="22"/>
              </w:rPr>
              <w:t>Тема урока</w:t>
            </w:r>
          </w:p>
        </w:tc>
      </w:tr>
      <w:tr w14:paraId="597E4C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59D2CFB6">
            <w:pPr>
              <w:pStyle w:val="85"/>
              <w:jc w:val="center"/>
              <w:rPr>
                <w:color w:val="auto"/>
                <w:sz w:val="22"/>
                <w:szCs w:val="22"/>
              </w:rPr>
            </w:pPr>
            <w:r>
              <w:rPr>
                <w:color w:val="auto"/>
                <w:sz w:val="22"/>
                <w:szCs w:val="22"/>
              </w:rPr>
              <w:t>Урок 1</w:t>
            </w:r>
          </w:p>
        </w:tc>
        <w:tc>
          <w:tcPr>
            <w:tcW w:w="7937" w:type="dxa"/>
          </w:tcPr>
          <w:p w14:paraId="7DA1FED1">
            <w:pPr>
              <w:pStyle w:val="85"/>
              <w:jc w:val="both"/>
              <w:rPr>
                <w:color w:val="auto"/>
                <w:sz w:val="22"/>
                <w:szCs w:val="22"/>
              </w:rPr>
            </w:pPr>
            <w:r>
              <w:rPr>
                <w:color w:val="auto"/>
                <w:sz w:val="22"/>
                <w:szCs w:val="22"/>
              </w:rPr>
              <w:t>Русский язык как государственный язык Российской Федерации</w:t>
            </w:r>
          </w:p>
        </w:tc>
      </w:tr>
      <w:tr w14:paraId="141AFF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59E62077">
            <w:pPr>
              <w:pStyle w:val="85"/>
              <w:jc w:val="center"/>
              <w:rPr>
                <w:color w:val="auto"/>
                <w:sz w:val="22"/>
                <w:szCs w:val="22"/>
              </w:rPr>
            </w:pPr>
            <w:r>
              <w:rPr>
                <w:color w:val="auto"/>
                <w:sz w:val="22"/>
                <w:szCs w:val="22"/>
              </w:rPr>
              <w:t>Урок 2</w:t>
            </w:r>
          </w:p>
        </w:tc>
        <w:tc>
          <w:tcPr>
            <w:tcW w:w="7937" w:type="dxa"/>
          </w:tcPr>
          <w:p w14:paraId="17C6B1F8">
            <w:pPr>
              <w:pStyle w:val="85"/>
              <w:jc w:val="both"/>
              <w:rPr>
                <w:color w:val="auto"/>
                <w:sz w:val="22"/>
                <w:szCs w:val="22"/>
              </w:rPr>
            </w:pPr>
            <w:r>
              <w:rPr>
                <w:color w:val="auto"/>
                <w:sz w:val="22"/>
                <w:szCs w:val="22"/>
              </w:rPr>
              <w:t>Характеристика звуков русского языка</w:t>
            </w:r>
          </w:p>
        </w:tc>
      </w:tr>
      <w:tr w14:paraId="353AD4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7622F9B3">
            <w:pPr>
              <w:pStyle w:val="85"/>
              <w:jc w:val="center"/>
              <w:rPr>
                <w:color w:val="auto"/>
                <w:sz w:val="22"/>
                <w:szCs w:val="22"/>
              </w:rPr>
            </w:pPr>
            <w:r>
              <w:rPr>
                <w:color w:val="auto"/>
                <w:sz w:val="22"/>
                <w:szCs w:val="22"/>
              </w:rPr>
              <w:t>Урок 3</w:t>
            </w:r>
          </w:p>
        </w:tc>
        <w:tc>
          <w:tcPr>
            <w:tcW w:w="7937" w:type="dxa"/>
          </w:tcPr>
          <w:p w14:paraId="794F9C47">
            <w:pPr>
              <w:pStyle w:val="85"/>
              <w:jc w:val="both"/>
              <w:rPr>
                <w:color w:val="auto"/>
                <w:sz w:val="22"/>
                <w:szCs w:val="22"/>
              </w:rPr>
            </w:pPr>
            <w:r>
              <w:rPr>
                <w:color w:val="auto"/>
                <w:sz w:val="22"/>
                <w:szCs w:val="22"/>
              </w:rPr>
              <w:t>Соотношение звукового и буквенного состава слов</w:t>
            </w:r>
          </w:p>
        </w:tc>
      </w:tr>
      <w:tr w14:paraId="15F25B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06844284">
            <w:pPr>
              <w:pStyle w:val="85"/>
              <w:jc w:val="center"/>
              <w:rPr>
                <w:color w:val="auto"/>
                <w:sz w:val="22"/>
                <w:szCs w:val="22"/>
              </w:rPr>
            </w:pPr>
            <w:r>
              <w:rPr>
                <w:color w:val="auto"/>
                <w:sz w:val="22"/>
                <w:szCs w:val="22"/>
              </w:rPr>
              <w:t>Урок 4</w:t>
            </w:r>
          </w:p>
        </w:tc>
        <w:tc>
          <w:tcPr>
            <w:tcW w:w="7937" w:type="dxa"/>
          </w:tcPr>
          <w:p w14:paraId="7A455680">
            <w:pPr>
              <w:pStyle w:val="85"/>
              <w:jc w:val="both"/>
              <w:rPr>
                <w:color w:val="auto"/>
                <w:sz w:val="22"/>
                <w:szCs w:val="22"/>
              </w:rPr>
            </w:pPr>
            <w:r>
              <w:rPr>
                <w:color w:val="auto"/>
                <w:sz w:val="22"/>
                <w:szCs w:val="22"/>
              </w:rPr>
              <w:t>Повторяем правописание проверяемых и непроверяемых безударных гласных в корне слова</w:t>
            </w:r>
          </w:p>
        </w:tc>
      </w:tr>
      <w:tr w14:paraId="0A3C05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758F9B16">
            <w:pPr>
              <w:pStyle w:val="85"/>
              <w:jc w:val="center"/>
              <w:rPr>
                <w:color w:val="auto"/>
                <w:sz w:val="22"/>
                <w:szCs w:val="22"/>
              </w:rPr>
            </w:pPr>
            <w:r>
              <w:rPr>
                <w:color w:val="auto"/>
                <w:sz w:val="22"/>
                <w:szCs w:val="22"/>
              </w:rPr>
              <w:t>Урок 5</w:t>
            </w:r>
          </w:p>
        </w:tc>
        <w:tc>
          <w:tcPr>
            <w:tcW w:w="7937" w:type="dxa"/>
          </w:tcPr>
          <w:p w14:paraId="5B88FC6C">
            <w:pPr>
              <w:pStyle w:val="85"/>
              <w:jc w:val="both"/>
              <w:rPr>
                <w:color w:val="auto"/>
                <w:sz w:val="22"/>
                <w:szCs w:val="22"/>
              </w:rPr>
            </w:pPr>
            <w:r>
              <w:rPr>
                <w:color w:val="auto"/>
                <w:sz w:val="22"/>
                <w:szCs w:val="22"/>
              </w:rPr>
              <w:t>Повторение изученных орфографических правил: гласные после шипящих, буквосочетания чк, чн, чт, щн, нч</w:t>
            </w:r>
          </w:p>
        </w:tc>
      </w:tr>
      <w:tr w14:paraId="371825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40BE8B4D">
            <w:pPr>
              <w:pStyle w:val="85"/>
              <w:jc w:val="center"/>
              <w:rPr>
                <w:color w:val="auto"/>
                <w:sz w:val="22"/>
                <w:szCs w:val="22"/>
              </w:rPr>
            </w:pPr>
            <w:r>
              <w:rPr>
                <w:color w:val="auto"/>
                <w:sz w:val="22"/>
                <w:szCs w:val="22"/>
              </w:rPr>
              <w:t>Урок 6</w:t>
            </w:r>
          </w:p>
        </w:tc>
        <w:tc>
          <w:tcPr>
            <w:tcW w:w="7937" w:type="dxa"/>
          </w:tcPr>
          <w:p w14:paraId="529F7457">
            <w:pPr>
              <w:pStyle w:val="85"/>
              <w:jc w:val="both"/>
              <w:rPr>
                <w:color w:val="auto"/>
                <w:sz w:val="22"/>
                <w:szCs w:val="22"/>
              </w:rPr>
            </w:pPr>
            <w:r>
              <w:rPr>
                <w:color w:val="auto"/>
                <w:sz w:val="22"/>
                <w:szCs w:val="22"/>
              </w:rPr>
              <w:t>Повторение и продолжение работы с текстом, начатой во 2 классе: признаки текста</w:t>
            </w:r>
          </w:p>
        </w:tc>
      </w:tr>
      <w:tr w14:paraId="60AFC1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115307A4">
            <w:pPr>
              <w:pStyle w:val="85"/>
              <w:jc w:val="center"/>
              <w:rPr>
                <w:color w:val="auto"/>
                <w:sz w:val="22"/>
                <w:szCs w:val="22"/>
              </w:rPr>
            </w:pPr>
            <w:r>
              <w:rPr>
                <w:color w:val="auto"/>
                <w:sz w:val="22"/>
                <w:szCs w:val="22"/>
              </w:rPr>
              <w:t>Урок 7</w:t>
            </w:r>
          </w:p>
        </w:tc>
        <w:tc>
          <w:tcPr>
            <w:tcW w:w="7937" w:type="dxa"/>
          </w:tcPr>
          <w:p w14:paraId="35BBC776">
            <w:pPr>
              <w:pStyle w:val="85"/>
              <w:jc w:val="both"/>
              <w:rPr>
                <w:color w:val="auto"/>
                <w:sz w:val="22"/>
                <w:szCs w:val="22"/>
              </w:rPr>
            </w:pPr>
            <w:r>
              <w:rPr>
                <w:color w:val="auto"/>
                <w:sz w:val="22"/>
                <w:szCs w:val="22"/>
              </w:rPr>
              <w:t>Повторение и продолжение работы с текстом, начатой во 2 классе: тема текста, основная мысль текста</w:t>
            </w:r>
          </w:p>
        </w:tc>
      </w:tr>
      <w:tr w14:paraId="76A56C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13F383F7">
            <w:pPr>
              <w:pStyle w:val="85"/>
              <w:jc w:val="center"/>
              <w:rPr>
                <w:color w:val="auto"/>
                <w:sz w:val="22"/>
                <w:szCs w:val="22"/>
              </w:rPr>
            </w:pPr>
            <w:r>
              <w:rPr>
                <w:color w:val="auto"/>
                <w:sz w:val="22"/>
                <w:szCs w:val="22"/>
              </w:rPr>
              <w:t>Урок 8</w:t>
            </w:r>
          </w:p>
        </w:tc>
        <w:tc>
          <w:tcPr>
            <w:tcW w:w="7937" w:type="dxa"/>
          </w:tcPr>
          <w:p w14:paraId="1EFA7662">
            <w:pPr>
              <w:pStyle w:val="85"/>
              <w:jc w:val="both"/>
              <w:rPr>
                <w:color w:val="auto"/>
                <w:sz w:val="22"/>
                <w:szCs w:val="22"/>
              </w:rPr>
            </w:pPr>
            <w:r>
              <w:rPr>
                <w:color w:val="auto"/>
                <w:sz w:val="22"/>
                <w:szCs w:val="22"/>
              </w:rPr>
              <w:t>Однокоренные (родственные) слова; признаки однокоренных (родственных) слов</w:t>
            </w:r>
          </w:p>
        </w:tc>
      </w:tr>
      <w:tr w14:paraId="4EE38E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134" w:type="dxa"/>
            <w:vAlign w:val="center"/>
          </w:tcPr>
          <w:p w14:paraId="1BC9B62E">
            <w:pPr>
              <w:pStyle w:val="85"/>
              <w:jc w:val="center"/>
              <w:rPr>
                <w:color w:val="auto"/>
                <w:sz w:val="22"/>
                <w:szCs w:val="22"/>
              </w:rPr>
            </w:pPr>
            <w:r>
              <w:rPr>
                <w:color w:val="auto"/>
                <w:sz w:val="22"/>
                <w:szCs w:val="22"/>
              </w:rPr>
              <w:t>Урок 9</w:t>
            </w:r>
          </w:p>
        </w:tc>
        <w:tc>
          <w:tcPr>
            <w:tcW w:w="7937" w:type="dxa"/>
          </w:tcPr>
          <w:p w14:paraId="3D6CD349">
            <w:pPr>
              <w:pStyle w:val="85"/>
              <w:jc w:val="both"/>
              <w:rPr>
                <w:color w:val="auto"/>
                <w:sz w:val="22"/>
                <w:szCs w:val="22"/>
              </w:rPr>
            </w:pPr>
            <w:r>
              <w:rPr>
                <w:color w:val="auto"/>
                <w:sz w:val="22"/>
                <w:szCs w:val="22"/>
              </w:rPr>
              <w:t>Повторяем правописание проверяемых безударных гласных в корне слова</w:t>
            </w:r>
          </w:p>
        </w:tc>
      </w:tr>
      <w:tr w14:paraId="1341C1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749CAA1E">
            <w:pPr>
              <w:pStyle w:val="85"/>
              <w:jc w:val="center"/>
              <w:rPr>
                <w:color w:val="auto"/>
                <w:sz w:val="22"/>
                <w:szCs w:val="22"/>
              </w:rPr>
            </w:pPr>
            <w:r>
              <w:rPr>
                <w:color w:val="auto"/>
                <w:sz w:val="22"/>
                <w:szCs w:val="22"/>
              </w:rPr>
              <w:t>Урок 10</w:t>
            </w:r>
          </w:p>
        </w:tc>
        <w:tc>
          <w:tcPr>
            <w:tcW w:w="7937" w:type="dxa"/>
          </w:tcPr>
          <w:p w14:paraId="71AFA8DD">
            <w:pPr>
              <w:pStyle w:val="85"/>
              <w:jc w:val="both"/>
              <w:rPr>
                <w:color w:val="auto"/>
                <w:sz w:val="22"/>
                <w:szCs w:val="22"/>
              </w:rPr>
            </w:pPr>
            <w:r>
              <w:rPr>
                <w:color w:val="auto"/>
                <w:sz w:val="22"/>
                <w:szCs w:val="22"/>
              </w:rPr>
              <w:t>Определение типов текстов</w:t>
            </w:r>
          </w:p>
        </w:tc>
      </w:tr>
      <w:tr w14:paraId="40BC08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29E169BD">
            <w:pPr>
              <w:pStyle w:val="85"/>
              <w:jc w:val="center"/>
              <w:rPr>
                <w:color w:val="auto"/>
                <w:sz w:val="22"/>
                <w:szCs w:val="22"/>
              </w:rPr>
            </w:pPr>
            <w:r>
              <w:rPr>
                <w:color w:val="auto"/>
                <w:sz w:val="22"/>
                <w:szCs w:val="22"/>
              </w:rPr>
              <w:t>Урок 11</w:t>
            </w:r>
          </w:p>
        </w:tc>
        <w:tc>
          <w:tcPr>
            <w:tcW w:w="7937" w:type="dxa"/>
          </w:tcPr>
          <w:p w14:paraId="4570A3F4">
            <w:pPr>
              <w:pStyle w:val="85"/>
              <w:jc w:val="both"/>
              <w:rPr>
                <w:color w:val="auto"/>
                <w:sz w:val="22"/>
                <w:szCs w:val="22"/>
              </w:rPr>
            </w:pPr>
            <w:r>
              <w:rPr>
                <w:color w:val="auto"/>
                <w:sz w:val="22"/>
                <w:szCs w:val="22"/>
              </w:rPr>
              <w:t>Различение однокоренных слов и слов с омонимичными корнями</w:t>
            </w:r>
          </w:p>
        </w:tc>
      </w:tr>
      <w:tr w14:paraId="5FCD42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3C1CA891">
            <w:pPr>
              <w:pStyle w:val="85"/>
              <w:jc w:val="center"/>
              <w:rPr>
                <w:color w:val="auto"/>
                <w:sz w:val="22"/>
                <w:szCs w:val="22"/>
              </w:rPr>
            </w:pPr>
            <w:r>
              <w:rPr>
                <w:color w:val="auto"/>
                <w:sz w:val="22"/>
                <w:szCs w:val="22"/>
              </w:rPr>
              <w:t>Урок 12</w:t>
            </w:r>
          </w:p>
        </w:tc>
        <w:tc>
          <w:tcPr>
            <w:tcW w:w="7937" w:type="dxa"/>
          </w:tcPr>
          <w:p w14:paraId="369E6F08">
            <w:pPr>
              <w:pStyle w:val="85"/>
              <w:jc w:val="both"/>
              <w:rPr>
                <w:color w:val="auto"/>
                <w:sz w:val="22"/>
                <w:szCs w:val="22"/>
              </w:rPr>
            </w:pPr>
            <w:r>
              <w:rPr>
                <w:color w:val="auto"/>
                <w:sz w:val="22"/>
                <w:szCs w:val="22"/>
              </w:rPr>
              <w:t>Повторяем правописание парных по звонкости-глухости согласных в корне слова</w:t>
            </w:r>
          </w:p>
        </w:tc>
      </w:tr>
      <w:tr w14:paraId="39D5DE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5EC2784D">
            <w:pPr>
              <w:pStyle w:val="85"/>
              <w:jc w:val="center"/>
              <w:rPr>
                <w:color w:val="auto"/>
                <w:sz w:val="22"/>
                <w:szCs w:val="22"/>
              </w:rPr>
            </w:pPr>
            <w:r>
              <w:rPr>
                <w:color w:val="auto"/>
                <w:sz w:val="22"/>
                <w:szCs w:val="22"/>
              </w:rPr>
              <w:t>Урок 13</w:t>
            </w:r>
          </w:p>
        </w:tc>
        <w:tc>
          <w:tcPr>
            <w:tcW w:w="7937" w:type="dxa"/>
          </w:tcPr>
          <w:p w14:paraId="262D2D53">
            <w:pPr>
              <w:pStyle w:val="85"/>
              <w:jc w:val="both"/>
              <w:rPr>
                <w:color w:val="auto"/>
                <w:sz w:val="22"/>
                <w:szCs w:val="22"/>
              </w:rPr>
            </w:pPr>
            <w:r>
              <w:rPr>
                <w:color w:val="auto"/>
                <w:sz w:val="22"/>
                <w:szCs w:val="22"/>
              </w:rPr>
              <w:t>Однокоренные слова и формы одного и того же слова.</w:t>
            </w:r>
          </w:p>
        </w:tc>
      </w:tr>
      <w:tr w14:paraId="2945B6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134" w:type="dxa"/>
            <w:vAlign w:val="center"/>
          </w:tcPr>
          <w:p w14:paraId="28D93477">
            <w:pPr>
              <w:pStyle w:val="85"/>
              <w:jc w:val="center"/>
              <w:rPr>
                <w:color w:val="auto"/>
                <w:sz w:val="22"/>
                <w:szCs w:val="22"/>
              </w:rPr>
            </w:pPr>
            <w:r>
              <w:rPr>
                <w:color w:val="auto"/>
                <w:sz w:val="22"/>
                <w:szCs w:val="22"/>
              </w:rPr>
              <w:t>Урок 14</w:t>
            </w:r>
          </w:p>
        </w:tc>
        <w:tc>
          <w:tcPr>
            <w:tcW w:w="7937" w:type="dxa"/>
          </w:tcPr>
          <w:p w14:paraId="79FC62A1">
            <w:pPr>
              <w:pStyle w:val="85"/>
              <w:jc w:val="both"/>
              <w:rPr>
                <w:color w:val="auto"/>
                <w:sz w:val="22"/>
                <w:szCs w:val="22"/>
              </w:rPr>
            </w:pPr>
            <w:r>
              <w:rPr>
                <w:color w:val="auto"/>
                <w:sz w:val="22"/>
                <w:szCs w:val="22"/>
              </w:rPr>
              <w:t>Наблюдение за обозначением буквами непроизносимых согласных в корне слова</w:t>
            </w:r>
          </w:p>
        </w:tc>
      </w:tr>
      <w:tr w14:paraId="61AC87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391882CF">
            <w:pPr>
              <w:pStyle w:val="85"/>
              <w:jc w:val="center"/>
              <w:rPr>
                <w:color w:val="auto"/>
                <w:sz w:val="22"/>
                <w:szCs w:val="22"/>
              </w:rPr>
            </w:pPr>
            <w:r>
              <w:rPr>
                <w:color w:val="auto"/>
                <w:sz w:val="22"/>
                <w:szCs w:val="22"/>
              </w:rPr>
              <w:t>Урок 15</w:t>
            </w:r>
          </w:p>
        </w:tc>
        <w:tc>
          <w:tcPr>
            <w:tcW w:w="7937" w:type="dxa"/>
          </w:tcPr>
          <w:p w14:paraId="4E5FBF05">
            <w:pPr>
              <w:pStyle w:val="85"/>
              <w:jc w:val="both"/>
              <w:rPr>
                <w:color w:val="auto"/>
                <w:sz w:val="22"/>
                <w:szCs w:val="22"/>
              </w:rPr>
            </w:pPr>
            <w:r>
              <w:rPr>
                <w:color w:val="auto"/>
                <w:sz w:val="22"/>
                <w:szCs w:val="22"/>
              </w:rPr>
              <w:t>Непроизносимые согласные в корне слова</w:t>
            </w:r>
          </w:p>
        </w:tc>
      </w:tr>
      <w:tr w14:paraId="69FA40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134" w:type="dxa"/>
            <w:vAlign w:val="center"/>
          </w:tcPr>
          <w:p w14:paraId="65ED0CC9">
            <w:pPr>
              <w:pStyle w:val="85"/>
              <w:jc w:val="center"/>
              <w:rPr>
                <w:color w:val="auto"/>
                <w:sz w:val="22"/>
                <w:szCs w:val="22"/>
              </w:rPr>
            </w:pPr>
            <w:r>
              <w:rPr>
                <w:color w:val="auto"/>
                <w:sz w:val="22"/>
                <w:szCs w:val="22"/>
              </w:rPr>
              <w:t>Урок 16</w:t>
            </w:r>
          </w:p>
        </w:tc>
        <w:tc>
          <w:tcPr>
            <w:tcW w:w="7937" w:type="dxa"/>
          </w:tcPr>
          <w:p w14:paraId="074CA0F8">
            <w:pPr>
              <w:pStyle w:val="85"/>
              <w:jc w:val="both"/>
              <w:rPr>
                <w:color w:val="auto"/>
                <w:sz w:val="22"/>
                <w:szCs w:val="22"/>
              </w:rPr>
            </w:pPr>
            <w:r>
              <w:rPr>
                <w:color w:val="auto"/>
                <w:sz w:val="22"/>
                <w:szCs w:val="22"/>
              </w:rPr>
              <w:t>Отработка написания непроизносимых согласных в корне слова</w:t>
            </w:r>
          </w:p>
        </w:tc>
      </w:tr>
      <w:tr w14:paraId="266BAA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3B6FEA4D">
            <w:pPr>
              <w:pStyle w:val="85"/>
              <w:jc w:val="center"/>
              <w:rPr>
                <w:color w:val="auto"/>
                <w:sz w:val="22"/>
                <w:szCs w:val="22"/>
              </w:rPr>
            </w:pPr>
            <w:r>
              <w:rPr>
                <w:color w:val="auto"/>
                <w:sz w:val="22"/>
                <w:szCs w:val="22"/>
              </w:rPr>
              <w:t>Урок 17</w:t>
            </w:r>
          </w:p>
        </w:tc>
        <w:tc>
          <w:tcPr>
            <w:tcW w:w="7937" w:type="dxa"/>
          </w:tcPr>
          <w:p w14:paraId="16C3C445">
            <w:pPr>
              <w:pStyle w:val="85"/>
              <w:jc w:val="both"/>
              <w:rPr>
                <w:color w:val="auto"/>
                <w:sz w:val="22"/>
                <w:szCs w:val="22"/>
              </w:rPr>
            </w:pPr>
            <w:r>
              <w:rPr>
                <w:color w:val="auto"/>
                <w:sz w:val="22"/>
                <w:szCs w:val="22"/>
              </w:rPr>
              <w:t>Объясняющий диктант: повторение правил правописания</w:t>
            </w:r>
          </w:p>
        </w:tc>
      </w:tr>
      <w:tr w14:paraId="5484F1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3D0BC3A3">
            <w:pPr>
              <w:pStyle w:val="85"/>
              <w:jc w:val="center"/>
              <w:rPr>
                <w:color w:val="auto"/>
                <w:sz w:val="22"/>
                <w:szCs w:val="22"/>
              </w:rPr>
            </w:pPr>
            <w:r>
              <w:rPr>
                <w:color w:val="auto"/>
                <w:sz w:val="22"/>
                <w:szCs w:val="22"/>
              </w:rPr>
              <w:t>Урок 18</w:t>
            </w:r>
          </w:p>
        </w:tc>
        <w:tc>
          <w:tcPr>
            <w:tcW w:w="7937" w:type="dxa"/>
          </w:tcPr>
          <w:p w14:paraId="284CDE85">
            <w:pPr>
              <w:pStyle w:val="85"/>
              <w:jc w:val="both"/>
              <w:rPr>
                <w:color w:val="auto"/>
                <w:sz w:val="22"/>
                <w:szCs w:val="22"/>
              </w:rPr>
            </w:pPr>
            <w:r>
              <w:rPr>
                <w:color w:val="auto"/>
                <w:sz w:val="22"/>
                <w:szCs w:val="22"/>
              </w:rPr>
              <w:t>Повторение и продолжение работы с текстом, начатой во 2 классе: заголовок</w:t>
            </w:r>
          </w:p>
        </w:tc>
      </w:tr>
      <w:tr w14:paraId="2F2234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13296BCD">
            <w:pPr>
              <w:pStyle w:val="85"/>
              <w:jc w:val="center"/>
              <w:rPr>
                <w:color w:val="auto"/>
                <w:sz w:val="22"/>
                <w:szCs w:val="22"/>
              </w:rPr>
            </w:pPr>
            <w:r>
              <w:rPr>
                <w:color w:val="auto"/>
                <w:sz w:val="22"/>
                <w:szCs w:val="22"/>
              </w:rPr>
              <w:t>Урок 19</w:t>
            </w:r>
          </w:p>
        </w:tc>
        <w:tc>
          <w:tcPr>
            <w:tcW w:w="7937" w:type="dxa"/>
          </w:tcPr>
          <w:p w14:paraId="2E745602">
            <w:pPr>
              <w:pStyle w:val="85"/>
              <w:jc w:val="both"/>
              <w:rPr>
                <w:color w:val="auto"/>
                <w:sz w:val="22"/>
                <w:szCs w:val="22"/>
              </w:rPr>
            </w:pPr>
            <w:r>
              <w:rPr>
                <w:color w:val="auto"/>
                <w:sz w:val="22"/>
                <w:szCs w:val="22"/>
              </w:rPr>
              <w:t>Окончание как изменяемая часть слова.</w:t>
            </w:r>
          </w:p>
        </w:tc>
      </w:tr>
      <w:tr w14:paraId="0BF79E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5C4804E1">
            <w:pPr>
              <w:pStyle w:val="85"/>
              <w:jc w:val="center"/>
              <w:rPr>
                <w:color w:val="auto"/>
                <w:sz w:val="22"/>
                <w:szCs w:val="22"/>
              </w:rPr>
            </w:pPr>
            <w:r>
              <w:rPr>
                <w:color w:val="auto"/>
                <w:sz w:val="22"/>
                <w:szCs w:val="22"/>
              </w:rPr>
              <w:t>Урок 20</w:t>
            </w:r>
          </w:p>
        </w:tc>
        <w:tc>
          <w:tcPr>
            <w:tcW w:w="7937" w:type="dxa"/>
          </w:tcPr>
          <w:p w14:paraId="4902E629">
            <w:pPr>
              <w:pStyle w:val="85"/>
              <w:jc w:val="both"/>
              <w:rPr>
                <w:color w:val="auto"/>
                <w:sz w:val="22"/>
                <w:szCs w:val="22"/>
              </w:rPr>
            </w:pPr>
            <w:r>
              <w:rPr>
                <w:color w:val="auto"/>
                <w:sz w:val="22"/>
                <w:szCs w:val="22"/>
              </w:rPr>
              <w:t>Нулевое окончание</w:t>
            </w:r>
          </w:p>
        </w:tc>
      </w:tr>
      <w:tr w14:paraId="632E74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3BEBDA01">
            <w:pPr>
              <w:pStyle w:val="85"/>
              <w:jc w:val="center"/>
              <w:rPr>
                <w:color w:val="auto"/>
                <w:sz w:val="22"/>
                <w:szCs w:val="22"/>
              </w:rPr>
            </w:pPr>
            <w:r>
              <w:rPr>
                <w:color w:val="auto"/>
                <w:sz w:val="22"/>
                <w:szCs w:val="22"/>
              </w:rPr>
              <w:t>Урок 21</w:t>
            </w:r>
          </w:p>
        </w:tc>
        <w:tc>
          <w:tcPr>
            <w:tcW w:w="7937" w:type="dxa"/>
          </w:tcPr>
          <w:p w14:paraId="603885FA">
            <w:pPr>
              <w:pStyle w:val="85"/>
              <w:jc w:val="both"/>
              <w:rPr>
                <w:color w:val="auto"/>
                <w:sz w:val="22"/>
                <w:szCs w:val="22"/>
              </w:rPr>
            </w:pPr>
            <w:r>
              <w:rPr>
                <w:color w:val="auto"/>
                <w:sz w:val="22"/>
                <w:szCs w:val="22"/>
              </w:rPr>
              <w:t>Корень, приставка, суффикс - значимые части слова.</w:t>
            </w:r>
          </w:p>
        </w:tc>
      </w:tr>
      <w:tr w14:paraId="0A905E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2F74913A">
            <w:pPr>
              <w:pStyle w:val="85"/>
              <w:jc w:val="center"/>
              <w:rPr>
                <w:color w:val="auto"/>
                <w:sz w:val="22"/>
                <w:szCs w:val="22"/>
              </w:rPr>
            </w:pPr>
            <w:r>
              <w:rPr>
                <w:color w:val="auto"/>
                <w:sz w:val="22"/>
                <w:szCs w:val="22"/>
              </w:rPr>
              <w:t>Урок 22</w:t>
            </w:r>
          </w:p>
        </w:tc>
        <w:tc>
          <w:tcPr>
            <w:tcW w:w="7937" w:type="dxa"/>
          </w:tcPr>
          <w:p w14:paraId="4E3E2E00">
            <w:pPr>
              <w:pStyle w:val="85"/>
              <w:jc w:val="both"/>
              <w:rPr>
                <w:color w:val="auto"/>
                <w:sz w:val="22"/>
                <w:szCs w:val="22"/>
              </w:rPr>
            </w:pPr>
            <w:r>
              <w:rPr>
                <w:color w:val="auto"/>
                <w:sz w:val="22"/>
                <w:szCs w:val="22"/>
              </w:rPr>
              <w:t>Различные способы решения орфографической задачи в зависимости от места орфограммы в слове: правописание суффиксов -ость-, -ов- и других</w:t>
            </w:r>
          </w:p>
        </w:tc>
      </w:tr>
      <w:tr w14:paraId="2DF90F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134" w:type="dxa"/>
            <w:vAlign w:val="center"/>
          </w:tcPr>
          <w:p w14:paraId="38BD7FD4">
            <w:pPr>
              <w:pStyle w:val="85"/>
              <w:jc w:val="center"/>
              <w:rPr>
                <w:color w:val="auto"/>
                <w:sz w:val="22"/>
                <w:szCs w:val="22"/>
              </w:rPr>
            </w:pPr>
            <w:r>
              <w:rPr>
                <w:color w:val="auto"/>
                <w:sz w:val="22"/>
                <w:szCs w:val="22"/>
              </w:rPr>
              <w:t>Урок 23</w:t>
            </w:r>
          </w:p>
        </w:tc>
        <w:tc>
          <w:tcPr>
            <w:tcW w:w="7937" w:type="dxa"/>
          </w:tcPr>
          <w:p w14:paraId="03EF859F">
            <w:pPr>
              <w:pStyle w:val="85"/>
              <w:jc w:val="both"/>
              <w:rPr>
                <w:color w:val="auto"/>
                <w:sz w:val="22"/>
                <w:szCs w:val="22"/>
              </w:rPr>
            </w:pPr>
            <w:r>
              <w:rPr>
                <w:color w:val="auto"/>
                <w:sz w:val="22"/>
                <w:szCs w:val="22"/>
              </w:rPr>
              <w:t>Отработка способов решения орфографической задачи в зависимости от места орфограммы в слове: закрепляем правописание суффиксов</w:t>
            </w:r>
          </w:p>
        </w:tc>
      </w:tr>
      <w:tr w14:paraId="1F1398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41945067">
            <w:pPr>
              <w:pStyle w:val="85"/>
              <w:jc w:val="center"/>
              <w:rPr>
                <w:color w:val="auto"/>
                <w:sz w:val="22"/>
                <w:szCs w:val="22"/>
              </w:rPr>
            </w:pPr>
            <w:r>
              <w:rPr>
                <w:color w:val="auto"/>
                <w:sz w:val="22"/>
                <w:szCs w:val="22"/>
              </w:rPr>
              <w:t>Урок 24</w:t>
            </w:r>
          </w:p>
        </w:tc>
        <w:tc>
          <w:tcPr>
            <w:tcW w:w="7937" w:type="dxa"/>
          </w:tcPr>
          <w:p w14:paraId="470AE268">
            <w:pPr>
              <w:pStyle w:val="85"/>
              <w:jc w:val="both"/>
              <w:rPr>
                <w:color w:val="auto"/>
                <w:sz w:val="22"/>
                <w:szCs w:val="22"/>
              </w:rPr>
            </w:pPr>
            <w:r>
              <w:rPr>
                <w:color w:val="auto"/>
                <w:sz w:val="22"/>
                <w:szCs w:val="22"/>
              </w:rPr>
              <w:t>Выделение в словах с однозначно выделяемыми морфемами окончания, корня, приставки, суффикса</w:t>
            </w:r>
          </w:p>
        </w:tc>
      </w:tr>
      <w:tr w14:paraId="47DBC1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3D3E4A34">
            <w:pPr>
              <w:pStyle w:val="85"/>
              <w:jc w:val="center"/>
              <w:rPr>
                <w:color w:val="auto"/>
                <w:sz w:val="22"/>
                <w:szCs w:val="22"/>
              </w:rPr>
            </w:pPr>
            <w:r>
              <w:rPr>
                <w:color w:val="auto"/>
                <w:sz w:val="22"/>
                <w:szCs w:val="22"/>
              </w:rPr>
              <w:t>Урок 25</w:t>
            </w:r>
          </w:p>
        </w:tc>
        <w:tc>
          <w:tcPr>
            <w:tcW w:w="7937" w:type="dxa"/>
          </w:tcPr>
          <w:p w14:paraId="47C678D7">
            <w:pPr>
              <w:pStyle w:val="85"/>
              <w:jc w:val="both"/>
              <w:rPr>
                <w:color w:val="auto"/>
                <w:sz w:val="22"/>
                <w:szCs w:val="22"/>
              </w:rPr>
            </w:pPr>
            <w:r>
              <w:rPr>
                <w:color w:val="auto"/>
                <w:sz w:val="22"/>
                <w:szCs w:val="22"/>
              </w:rPr>
              <w:t>Состав слова: обобщение</w:t>
            </w:r>
          </w:p>
        </w:tc>
      </w:tr>
      <w:tr w14:paraId="7911FC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0BC27F2F">
            <w:pPr>
              <w:pStyle w:val="85"/>
              <w:jc w:val="center"/>
              <w:rPr>
                <w:color w:val="auto"/>
                <w:sz w:val="22"/>
                <w:szCs w:val="22"/>
              </w:rPr>
            </w:pPr>
            <w:r>
              <w:rPr>
                <w:color w:val="auto"/>
                <w:sz w:val="22"/>
                <w:szCs w:val="22"/>
              </w:rPr>
              <w:t>Урок 26</w:t>
            </w:r>
          </w:p>
        </w:tc>
        <w:tc>
          <w:tcPr>
            <w:tcW w:w="7937" w:type="dxa"/>
          </w:tcPr>
          <w:p w14:paraId="34C9E5D6">
            <w:pPr>
              <w:pStyle w:val="85"/>
              <w:jc w:val="both"/>
              <w:rPr>
                <w:color w:val="auto"/>
                <w:sz w:val="22"/>
                <w:szCs w:val="22"/>
              </w:rPr>
            </w:pPr>
            <w:r>
              <w:rPr>
                <w:color w:val="auto"/>
                <w:sz w:val="22"/>
                <w:szCs w:val="22"/>
              </w:rPr>
              <w:t>Резервный урок по разделу состав слова: проектное задание "Семья слов"</w:t>
            </w:r>
          </w:p>
        </w:tc>
      </w:tr>
      <w:tr w14:paraId="270DC5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3631A8AB">
            <w:pPr>
              <w:pStyle w:val="85"/>
              <w:jc w:val="center"/>
              <w:rPr>
                <w:color w:val="auto"/>
                <w:sz w:val="22"/>
                <w:szCs w:val="22"/>
              </w:rPr>
            </w:pPr>
            <w:r>
              <w:rPr>
                <w:color w:val="auto"/>
                <w:sz w:val="22"/>
                <w:szCs w:val="22"/>
              </w:rPr>
              <w:t>Урок 27</w:t>
            </w:r>
          </w:p>
        </w:tc>
        <w:tc>
          <w:tcPr>
            <w:tcW w:w="7937" w:type="dxa"/>
          </w:tcPr>
          <w:p w14:paraId="2B8E7B1C">
            <w:pPr>
              <w:pStyle w:val="85"/>
              <w:jc w:val="both"/>
              <w:rPr>
                <w:color w:val="auto"/>
                <w:sz w:val="22"/>
                <w:szCs w:val="22"/>
              </w:rPr>
            </w:pPr>
            <w:r>
              <w:rPr>
                <w:color w:val="auto"/>
                <w:sz w:val="22"/>
                <w:szCs w:val="22"/>
              </w:rPr>
              <w:t>Различные способы решения орфографической задачи в зависимости от места орфограммы в слове: правописание приставок группа приставок с "о" и группа приставок с "а"</w:t>
            </w:r>
          </w:p>
        </w:tc>
      </w:tr>
      <w:tr w14:paraId="3D51E2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3AF4290E">
            <w:pPr>
              <w:pStyle w:val="85"/>
              <w:jc w:val="center"/>
              <w:rPr>
                <w:color w:val="auto"/>
                <w:sz w:val="22"/>
                <w:szCs w:val="22"/>
              </w:rPr>
            </w:pPr>
            <w:r>
              <w:rPr>
                <w:color w:val="auto"/>
                <w:sz w:val="22"/>
                <w:szCs w:val="22"/>
              </w:rPr>
              <w:t>Урок 28</w:t>
            </w:r>
          </w:p>
        </w:tc>
        <w:tc>
          <w:tcPr>
            <w:tcW w:w="7937" w:type="dxa"/>
          </w:tcPr>
          <w:p w14:paraId="3850C82A">
            <w:pPr>
              <w:pStyle w:val="85"/>
              <w:jc w:val="both"/>
              <w:rPr>
                <w:color w:val="auto"/>
                <w:sz w:val="22"/>
                <w:szCs w:val="22"/>
              </w:rPr>
            </w:pPr>
            <w:r>
              <w:rPr>
                <w:color w:val="auto"/>
                <w:sz w:val="22"/>
                <w:szCs w:val="22"/>
              </w:rPr>
              <w:t>Отработка способов решения орфографической задачи в зависимости от места орфограммы в слове: закрепляем правописание приставок</w:t>
            </w:r>
          </w:p>
        </w:tc>
      </w:tr>
      <w:tr w14:paraId="128563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60EC3CB0">
            <w:pPr>
              <w:pStyle w:val="85"/>
              <w:jc w:val="center"/>
              <w:rPr>
                <w:color w:val="auto"/>
                <w:sz w:val="22"/>
                <w:szCs w:val="22"/>
              </w:rPr>
            </w:pPr>
            <w:r>
              <w:rPr>
                <w:color w:val="auto"/>
                <w:sz w:val="22"/>
                <w:szCs w:val="22"/>
              </w:rPr>
              <w:t>Урок 29</w:t>
            </w:r>
          </w:p>
        </w:tc>
        <w:tc>
          <w:tcPr>
            <w:tcW w:w="7937" w:type="dxa"/>
          </w:tcPr>
          <w:p w14:paraId="5E334596">
            <w:pPr>
              <w:pStyle w:val="85"/>
              <w:jc w:val="both"/>
              <w:rPr>
                <w:color w:val="auto"/>
                <w:sz w:val="22"/>
                <w:szCs w:val="22"/>
              </w:rPr>
            </w:pPr>
            <w:r>
              <w:rPr>
                <w:color w:val="auto"/>
                <w:sz w:val="22"/>
                <w:szCs w:val="22"/>
              </w:rPr>
              <w:t>Отработка способов решения орфографической задачи в зависимости от места орфограммы в слове: закрепляем правописание суффиксов и приставок</w:t>
            </w:r>
          </w:p>
        </w:tc>
      </w:tr>
      <w:tr w14:paraId="48B226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5F6BBD17">
            <w:pPr>
              <w:pStyle w:val="85"/>
              <w:jc w:val="center"/>
              <w:rPr>
                <w:color w:val="auto"/>
                <w:sz w:val="22"/>
                <w:szCs w:val="22"/>
              </w:rPr>
            </w:pPr>
            <w:r>
              <w:rPr>
                <w:color w:val="auto"/>
                <w:sz w:val="22"/>
                <w:szCs w:val="22"/>
              </w:rPr>
              <w:t>Урок 30</w:t>
            </w:r>
          </w:p>
        </w:tc>
        <w:tc>
          <w:tcPr>
            <w:tcW w:w="7937" w:type="dxa"/>
          </w:tcPr>
          <w:p w14:paraId="4C5840A3">
            <w:pPr>
              <w:pStyle w:val="85"/>
              <w:jc w:val="both"/>
              <w:rPr>
                <w:color w:val="auto"/>
                <w:sz w:val="22"/>
                <w:szCs w:val="22"/>
              </w:rPr>
            </w:pPr>
            <w:r>
              <w:rPr>
                <w:color w:val="auto"/>
                <w:sz w:val="22"/>
                <w:szCs w:val="22"/>
              </w:rPr>
              <w:t>Объяснительный диктант: отрабатываем написание слов с орфограммами корня</w:t>
            </w:r>
          </w:p>
        </w:tc>
      </w:tr>
      <w:tr w14:paraId="7C2D6D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63F64218">
            <w:pPr>
              <w:pStyle w:val="85"/>
              <w:jc w:val="center"/>
              <w:rPr>
                <w:color w:val="auto"/>
                <w:sz w:val="22"/>
                <w:szCs w:val="22"/>
              </w:rPr>
            </w:pPr>
            <w:r>
              <w:rPr>
                <w:color w:val="auto"/>
                <w:sz w:val="22"/>
                <w:szCs w:val="22"/>
              </w:rPr>
              <w:t>Урок 31</w:t>
            </w:r>
          </w:p>
        </w:tc>
        <w:tc>
          <w:tcPr>
            <w:tcW w:w="7937" w:type="dxa"/>
          </w:tcPr>
          <w:p w14:paraId="55B1B566">
            <w:pPr>
              <w:pStyle w:val="85"/>
              <w:jc w:val="both"/>
              <w:rPr>
                <w:color w:val="auto"/>
                <w:sz w:val="22"/>
                <w:szCs w:val="22"/>
              </w:rPr>
            </w:pPr>
            <w:r>
              <w:rPr>
                <w:color w:val="auto"/>
                <w:sz w:val="22"/>
                <w:szCs w:val="22"/>
              </w:rPr>
              <w:t>Правописание слов с удвоенными согласными</w:t>
            </w:r>
          </w:p>
        </w:tc>
      </w:tr>
      <w:tr w14:paraId="194881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552C6D47">
            <w:pPr>
              <w:pStyle w:val="85"/>
              <w:jc w:val="center"/>
              <w:rPr>
                <w:color w:val="auto"/>
                <w:sz w:val="22"/>
                <w:szCs w:val="22"/>
              </w:rPr>
            </w:pPr>
            <w:r>
              <w:rPr>
                <w:color w:val="auto"/>
                <w:sz w:val="22"/>
                <w:szCs w:val="22"/>
              </w:rPr>
              <w:t>Урок 32</w:t>
            </w:r>
          </w:p>
        </w:tc>
        <w:tc>
          <w:tcPr>
            <w:tcW w:w="7937" w:type="dxa"/>
          </w:tcPr>
          <w:p w14:paraId="69F4C3DF">
            <w:pPr>
              <w:pStyle w:val="85"/>
              <w:jc w:val="both"/>
              <w:rPr>
                <w:color w:val="auto"/>
                <w:sz w:val="22"/>
                <w:szCs w:val="22"/>
              </w:rPr>
            </w:pPr>
            <w:r>
              <w:rPr>
                <w:color w:val="auto"/>
                <w:sz w:val="22"/>
                <w:szCs w:val="22"/>
              </w:rPr>
              <w:t>Отработка правописания слов с удвоенными согласными</w:t>
            </w:r>
          </w:p>
        </w:tc>
      </w:tr>
      <w:tr w14:paraId="533993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330F6CF0">
            <w:pPr>
              <w:pStyle w:val="85"/>
              <w:jc w:val="center"/>
              <w:rPr>
                <w:color w:val="auto"/>
                <w:sz w:val="22"/>
                <w:szCs w:val="22"/>
              </w:rPr>
            </w:pPr>
            <w:r>
              <w:rPr>
                <w:color w:val="auto"/>
                <w:sz w:val="22"/>
                <w:szCs w:val="22"/>
              </w:rPr>
              <w:t>Урок 33</w:t>
            </w:r>
          </w:p>
        </w:tc>
        <w:tc>
          <w:tcPr>
            <w:tcW w:w="7937" w:type="dxa"/>
          </w:tcPr>
          <w:p w14:paraId="3A092F94">
            <w:pPr>
              <w:pStyle w:val="85"/>
              <w:jc w:val="both"/>
              <w:rPr>
                <w:color w:val="auto"/>
                <w:sz w:val="22"/>
                <w:szCs w:val="22"/>
              </w:rPr>
            </w:pPr>
            <w:r>
              <w:rPr>
                <w:color w:val="auto"/>
                <w:sz w:val="22"/>
                <w:szCs w:val="22"/>
              </w:rPr>
              <w:t>Корректирование текстов с нарушенным порядком предложений</w:t>
            </w:r>
          </w:p>
        </w:tc>
      </w:tr>
      <w:tr w14:paraId="3DD699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6D2F1353">
            <w:pPr>
              <w:pStyle w:val="85"/>
              <w:jc w:val="center"/>
              <w:rPr>
                <w:color w:val="auto"/>
                <w:sz w:val="22"/>
                <w:szCs w:val="22"/>
              </w:rPr>
            </w:pPr>
            <w:r>
              <w:rPr>
                <w:color w:val="auto"/>
                <w:sz w:val="22"/>
                <w:szCs w:val="22"/>
              </w:rPr>
              <w:t>Урок 34</w:t>
            </w:r>
          </w:p>
        </w:tc>
        <w:tc>
          <w:tcPr>
            <w:tcW w:w="7937" w:type="dxa"/>
          </w:tcPr>
          <w:p w14:paraId="12277497">
            <w:pPr>
              <w:pStyle w:val="85"/>
              <w:jc w:val="both"/>
              <w:rPr>
                <w:color w:val="auto"/>
                <w:sz w:val="22"/>
                <w:szCs w:val="22"/>
              </w:rPr>
            </w:pPr>
            <w:r>
              <w:rPr>
                <w:color w:val="auto"/>
                <w:sz w:val="22"/>
                <w:szCs w:val="22"/>
              </w:rPr>
              <w:t>Корректирование текстов с нарушенным порядком абзацев</w:t>
            </w:r>
          </w:p>
        </w:tc>
      </w:tr>
      <w:tr w14:paraId="57A647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134" w:type="dxa"/>
            <w:vAlign w:val="center"/>
          </w:tcPr>
          <w:p w14:paraId="248A634E">
            <w:pPr>
              <w:pStyle w:val="85"/>
              <w:jc w:val="center"/>
              <w:rPr>
                <w:color w:val="auto"/>
                <w:sz w:val="22"/>
                <w:szCs w:val="22"/>
              </w:rPr>
            </w:pPr>
            <w:r>
              <w:rPr>
                <w:color w:val="auto"/>
                <w:sz w:val="22"/>
                <w:szCs w:val="22"/>
              </w:rPr>
              <w:t>Урок 35</w:t>
            </w:r>
          </w:p>
        </w:tc>
        <w:tc>
          <w:tcPr>
            <w:tcW w:w="7937" w:type="dxa"/>
          </w:tcPr>
          <w:p w14:paraId="453CD5BC">
            <w:pPr>
              <w:pStyle w:val="85"/>
              <w:jc w:val="both"/>
              <w:rPr>
                <w:color w:val="auto"/>
                <w:sz w:val="22"/>
                <w:szCs w:val="22"/>
              </w:rPr>
            </w:pPr>
            <w:r>
              <w:rPr>
                <w:color w:val="auto"/>
                <w:sz w:val="22"/>
                <w:szCs w:val="22"/>
              </w:rPr>
              <w:t>Продолжаем учиться писать приставки: пишем приставки</w:t>
            </w:r>
          </w:p>
        </w:tc>
      </w:tr>
      <w:tr w14:paraId="7FD4F5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0F7AA46F">
            <w:pPr>
              <w:pStyle w:val="85"/>
              <w:jc w:val="center"/>
              <w:rPr>
                <w:color w:val="auto"/>
                <w:sz w:val="22"/>
                <w:szCs w:val="22"/>
              </w:rPr>
            </w:pPr>
            <w:r>
              <w:rPr>
                <w:color w:val="auto"/>
                <w:sz w:val="22"/>
                <w:szCs w:val="22"/>
              </w:rPr>
              <w:t>Урок 36</w:t>
            </w:r>
          </w:p>
        </w:tc>
        <w:tc>
          <w:tcPr>
            <w:tcW w:w="7937" w:type="dxa"/>
          </w:tcPr>
          <w:p w14:paraId="45B5575D">
            <w:pPr>
              <w:pStyle w:val="85"/>
              <w:jc w:val="both"/>
              <w:rPr>
                <w:color w:val="auto"/>
                <w:sz w:val="22"/>
                <w:szCs w:val="22"/>
              </w:rPr>
            </w:pPr>
            <w:r>
              <w:rPr>
                <w:color w:val="auto"/>
                <w:sz w:val="22"/>
                <w:szCs w:val="22"/>
              </w:rPr>
              <w:t>Разделительный твердый знак</w:t>
            </w:r>
          </w:p>
        </w:tc>
      </w:tr>
      <w:tr w14:paraId="4A1F5F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462FA56C">
            <w:pPr>
              <w:pStyle w:val="85"/>
              <w:jc w:val="center"/>
              <w:rPr>
                <w:color w:val="auto"/>
                <w:sz w:val="22"/>
                <w:szCs w:val="22"/>
              </w:rPr>
            </w:pPr>
            <w:r>
              <w:rPr>
                <w:color w:val="auto"/>
                <w:sz w:val="22"/>
                <w:szCs w:val="22"/>
              </w:rPr>
              <w:t>Урок 37</w:t>
            </w:r>
          </w:p>
        </w:tc>
        <w:tc>
          <w:tcPr>
            <w:tcW w:w="7937" w:type="dxa"/>
          </w:tcPr>
          <w:p w14:paraId="6DDF3E82">
            <w:pPr>
              <w:pStyle w:val="85"/>
              <w:jc w:val="both"/>
              <w:rPr>
                <w:color w:val="auto"/>
                <w:sz w:val="22"/>
                <w:szCs w:val="22"/>
              </w:rPr>
            </w:pPr>
            <w:r>
              <w:rPr>
                <w:color w:val="auto"/>
                <w:sz w:val="22"/>
                <w:szCs w:val="22"/>
              </w:rPr>
              <w:t>Предложение</w:t>
            </w:r>
          </w:p>
        </w:tc>
      </w:tr>
      <w:tr w14:paraId="6E53C8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395E134D">
            <w:pPr>
              <w:pStyle w:val="85"/>
              <w:jc w:val="center"/>
              <w:rPr>
                <w:color w:val="auto"/>
                <w:sz w:val="22"/>
                <w:szCs w:val="22"/>
              </w:rPr>
            </w:pPr>
            <w:r>
              <w:rPr>
                <w:color w:val="auto"/>
                <w:sz w:val="22"/>
                <w:szCs w:val="22"/>
              </w:rPr>
              <w:t>Урок 38</w:t>
            </w:r>
          </w:p>
        </w:tc>
        <w:tc>
          <w:tcPr>
            <w:tcW w:w="7937" w:type="dxa"/>
          </w:tcPr>
          <w:p w14:paraId="5EAB3BEB">
            <w:pPr>
              <w:pStyle w:val="85"/>
              <w:jc w:val="both"/>
              <w:rPr>
                <w:color w:val="auto"/>
                <w:sz w:val="22"/>
                <w:szCs w:val="22"/>
              </w:rPr>
            </w:pPr>
            <w:r>
              <w:rPr>
                <w:color w:val="auto"/>
                <w:sz w:val="22"/>
                <w:szCs w:val="22"/>
              </w:rPr>
              <w:t>Виды предложений</w:t>
            </w:r>
          </w:p>
        </w:tc>
      </w:tr>
      <w:tr w14:paraId="42B194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2B08110F">
            <w:pPr>
              <w:pStyle w:val="85"/>
              <w:jc w:val="center"/>
              <w:rPr>
                <w:color w:val="auto"/>
                <w:sz w:val="22"/>
                <w:szCs w:val="22"/>
              </w:rPr>
            </w:pPr>
            <w:r>
              <w:rPr>
                <w:color w:val="auto"/>
                <w:sz w:val="22"/>
                <w:szCs w:val="22"/>
              </w:rPr>
              <w:t>Урок 39</w:t>
            </w:r>
          </w:p>
        </w:tc>
        <w:tc>
          <w:tcPr>
            <w:tcW w:w="7937" w:type="dxa"/>
          </w:tcPr>
          <w:p w14:paraId="74E6937A">
            <w:pPr>
              <w:pStyle w:val="85"/>
              <w:jc w:val="both"/>
              <w:rPr>
                <w:color w:val="auto"/>
                <w:sz w:val="22"/>
                <w:szCs w:val="22"/>
              </w:rPr>
            </w:pPr>
            <w:r>
              <w:rPr>
                <w:color w:val="auto"/>
                <w:sz w:val="22"/>
                <w:szCs w:val="22"/>
              </w:rPr>
              <w:t>Обобщение знаний о видах предложений</w:t>
            </w:r>
          </w:p>
        </w:tc>
      </w:tr>
      <w:tr w14:paraId="01A8CE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626BE375">
            <w:pPr>
              <w:pStyle w:val="85"/>
              <w:jc w:val="center"/>
              <w:rPr>
                <w:color w:val="auto"/>
                <w:sz w:val="22"/>
                <w:szCs w:val="22"/>
              </w:rPr>
            </w:pPr>
            <w:r>
              <w:rPr>
                <w:color w:val="auto"/>
                <w:sz w:val="22"/>
                <w:szCs w:val="22"/>
              </w:rPr>
              <w:t>Урок 40</w:t>
            </w:r>
          </w:p>
        </w:tc>
        <w:tc>
          <w:tcPr>
            <w:tcW w:w="7937" w:type="dxa"/>
          </w:tcPr>
          <w:p w14:paraId="5F35D46D">
            <w:pPr>
              <w:pStyle w:val="85"/>
              <w:jc w:val="both"/>
              <w:rPr>
                <w:color w:val="auto"/>
                <w:sz w:val="22"/>
                <w:szCs w:val="22"/>
              </w:rPr>
            </w:pPr>
            <w:r>
              <w:rPr>
                <w:color w:val="auto"/>
                <w:sz w:val="22"/>
                <w:szCs w:val="22"/>
              </w:rPr>
              <w:t>Отработка умения определять тип текста (повествование, описание, рассуждение)</w:t>
            </w:r>
          </w:p>
        </w:tc>
      </w:tr>
      <w:tr w14:paraId="73BAFF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08654F58">
            <w:pPr>
              <w:pStyle w:val="85"/>
              <w:jc w:val="center"/>
              <w:rPr>
                <w:color w:val="auto"/>
                <w:sz w:val="22"/>
                <w:szCs w:val="22"/>
              </w:rPr>
            </w:pPr>
            <w:r>
              <w:rPr>
                <w:color w:val="auto"/>
                <w:sz w:val="22"/>
                <w:szCs w:val="22"/>
              </w:rPr>
              <w:t>Урок 41</w:t>
            </w:r>
          </w:p>
        </w:tc>
        <w:tc>
          <w:tcPr>
            <w:tcW w:w="7937" w:type="dxa"/>
          </w:tcPr>
          <w:p w14:paraId="5F22D691">
            <w:pPr>
              <w:pStyle w:val="85"/>
              <w:jc w:val="both"/>
              <w:rPr>
                <w:color w:val="auto"/>
                <w:sz w:val="22"/>
                <w:szCs w:val="22"/>
              </w:rPr>
            </w:pPr>
            <w:r>
              <w:rPr>
                <w:color w:val="auto"/>
                <w:sz w:val="22"/>
                <w:szCs w:val="22"/>
              </w:rPr>
              <w:t>Определение типов текстов: обобщение</w:t>
            </w:r>
          </w:p>
        </w:tc>
      </w:tr>
      <w:tr w14:paraId="2AFC3F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05C35FCD">
            <w:pPr>
              <w:pStyle w:val="85"/>
              <w:jc w:val="center"/>
              <w:rPr>
                <w:color w:val="auto"/>
                <w:sz w:val="22"/>
                <w:szCs w:val="22"/>
              </w:rPr>
            </w:pPr>
            <w:r>
              <w:rPr>
                <w:color w:val="auto"/>
                <w:sz w:val="22"/>
                <w:szCs w:val="22"/>
              </w:rPr>
              <w:t>Урок 42</w:t>
            </w:r>
          </w:p>
        </w:tc>
        <w:tc>
          <w:tcPr>
            <w:tcW w:w="7937" w:type="dxa"/>
          </w:tcPr>
          <w:p w14:paraId="0588DFD8">
            <w:pPr>
              <w:pStyle w:val="85"/>
              <w:jc w:val="both"/>
              <w:rPr>
                <w:color w:val="auto"/>
                <w:sz w:val="22"/>
                <w:szCs w:val="22"/>
              </w:rPr>
            </w:pPr>
            <w:r>
              <w:rPr>
                <w:color w:val="auto"/>
                <w:sz w:val="22"/>
                <w:szCs w:val="22"/>
              </w:rPr>
              <w:t>Связь слов в предложении</w:t>
            </w:r>
          </w:p>
        </w:tc>
      </w:tr>
      <w:tr w14:paraId="76E644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48285E1C">
            <w:pPr>
              <w:pStyle w:val="85"/>
              <w:jc w:val="center"/>
              <w:rPr>
                <w:color w:val="auto"/>
                <w:sz w:val="22"/>
                <w:szCs w:val="22"/>
              </w:rPr>
            </w:pPr>
            <w:r>
              <w:rPr>
                <w:color w:val="auto"/>
                <w:sz w:val="22"/>
                <w:szCs w:val="22"/>
              </w:rPr>
              <w:t>Урок 43</w:t>
            </w:r>
          </w:p>
        </w:tc>
        <w:tc>
          <w:tcPr>
            <w:tcW w:w="7937" w:type="dxa"/>
          </w:tcPr>
          <w:p w14:paraId="12228149">
            <w:pPr>
              <w:pStyle w:val="85"/>
              <w:jc w:val="both"/>
              <w:rPr>
                <w:color w:val="auto"/>
                <w:sz w:val="22"/>
                <w:szCs w:val="22"/>
              </w:rPr>
            </w:pPr>
            <w:r>
              <w:rPr>
                <w:color w:val="auto"/>
                <w:sz w:val="22"/>
                <w:szCs w:val="22"/>
              </w:rPr>
              <w:t>Главные члены предложения</w:t>
            </w:r>
          </w:p>
        </w:tc>
      </w:tr>
      <w:tr w14:paraId="302F1B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6A36F045">
            <w:pPr>
              <w:pStyle w:val="85"/>
              <w:jc w:val="center"/>
              <w:rPr>
                <w:color w:val="auto"/>
                <w:sz w:val="22"/>
                <w:szCs w:val="22"/>
              </w:rPr>
            </w:pPr>
            <w:r>
              <w:rPr>
                <w:color w:val="auto"/>
                <w:sz w:val="22"/>
                <w:szCs w:val="22"/>
              </w:rPr>
              <w:t>Урок 44</w:t>
            </w:r>
          </w:p>
        </w:tc>
        <w:tc>
          <w:tcPr>
            <w:tcW w:w="7937" w:type="dxa"/>
          </w:tcPr>
          <w:p w14:paraId="1A274E66">
            <w:pPr>
              <w:pStyle w:val="85"/>
              <w:jc w:val="both"/>
              <w:rPr>
                <w:color w:val="auto"/>
                <w:sz w:val="22"/>
                <w:szCs w:val="22"/>
              </w:rPr>
            </w:pPr>
            <w:r>
              <w:rPr>
                <w:color w:val="auto"/>
                <w:sz w:val="22"/>
                <w:szCs w:val="22"/>
              </w:rPr>
              <w:t>Подлежащее</w:t>
            </w:r>
          </w:p>
        </w:tc>
      </w:tr>
      <w:tr w14:paraId="657AA1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24AB9B0B">
            <w:pPr>
              <w:pStyle w:val="85"/>
              <w:jc w:val="center"/>
              <w:rPr>
                <w:color w:val="auto"/>
                <w:sz w:val="22"/>
                <w:szCs w:val="22"/>
              </w:rPr>
            </w:pPr>
            <w:r>
              <w:rPr>
                <w:color w:val="auto"/>
                <w:sz w:val="22"/>
                <w:szCs w:val="22"/>
              </w:rPr>
              <w:t>Урок 45</w:t>
            </w:r>
          </w:p>
        </w:tc>
        <w:tc>
          <w:tcPr>
            <w:tcW w:w="7937" w:type="dxa"/>
          </w:tcPr>
          <w:p w14:paraId="54732521">
            <w:pPr>
              <w:pStyle w:val="85"/>
              <w:jc w:val="both"/>
              <w:rPr>
                <w:color w:val="auto"/>
                <w:sz w:val="22"/>
                <w:szCs w:val="22"/>
              </w:rPr>
            </w:pPr>
            <w:r>
              <w:rPr>
                <w:color w:val="auto"/>
                <w:sz w:val="22"/>
                <w:szCs w:val="22"/>
              </w:rPr>
              <w:t>Сказуемое</w:t>
            </w:r>
          </w:p>
        </w:tc>
      </w:tr>
      <w:tr w14:paraId="507F35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0413BEA6">
            <w:pPr>
              <w:pStyle w:val="85"/>
              <w:jc w:val="center"/>
              <w:rPr>
                <w:color w:val="auto"/>
                <w:sz w:val="22"/>
                <w:szCs w:val="22"/>
              </w:rPr>
            </w:pPr>
            <w:r>
              <w:rPr>
                <w:color w:val="auto"/>
                <w:sz w:val="22"/>
                <w:szCs w:val="22"/>
              </w:rPr>
              <w:t>Урок 46</w:t>
            </w:r>
          </w:p>
        </w:tc>
        <w:tc>
          <w:tcPr>
            <w:tcW w:w="7937" w:type="dxa"/>
          </w:tcPr>
          <w:p w14:paraId="57408B33">
            <w:pPr>
              <w:pStyle w:val="85"/>
              <w:jc w:val="both"/>
              <w:rPr>
                <w:color w:val="auto"/>
                <w:sz w:val="22"/>
                <w:szCs w:val="22"/>
              </w:rPr>
            </w:pPr>
            <w:r>
              <w:rPr>
                <w:color w:val="auto"/>
                <w:sz w:val="22"/>
                <w:szCs w:val="22"/>
              </w:rPr>
              <w:t>Повторяем правописание слов с разделительным мягким знаком</w:t>
            </w:r>
          </w:p>
        </w:tc>
      </w:tr>
      <w:tr w14:paraId="78AA0C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4CE1E2BE">
            <w:pPr>
              <w:pStyle w:val="85"/>
              <w:jc w:val="center"/>
              <w:rPr>
                <w:color w:val="auto"/>
                <w:sz w:val="22"/>
                <w:szCs w:val="22"/>
              </w:rPr>
            </w:pPr>
            <w:r>
              <w:rPr>
                <w:color w:val="auto"/>
                <w:sz w:val="22"/>
                <w:szCs w:val="22"/>
              </w:rPr>
              <w:t>Урок 47</w:t>
            </w:r>
          </w:p>
        </w:tc>
        <w:tc>
          <w:tcPr>
            <w:tcW w:w="7937" w:type="dxa"/>
          </w:tcPr>
          <w:p w14:paraId="78851EF5">
            <w:pPr>
              <w:pStyle w:val="85"/>
              <w:jc w:val="both"/>
              <w:rPr>
                <w:color w:val="auto"/>
                <w:sz w:val="22"/>
                <w:szCs w:val="22"/>
              </w:rPr>
            </w:pPr>
            <w:r>
              <w:rPr>
                <w:color w:val="auto"/>
                <w:sz w:val="22"/>
                <w:szCs w:val="22"/>
              </w:rPr>
              <w:t>Подлежащее и сказуемое</w:t>
            </w:r>
          </w:p>
        </w:tc>
      </w:tr>
      <w:tr w14:paraId="6F0F1D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73BDF362">
            <w:pPr>
              <w:pStyle w:val="85"/>
              <w:jc w:val="center"/>
              <w:rPr>
                <w:color w:val="auto"/>
                <w:sz w:val="22"/>
                <w:szCs w:val="22"/>
              </w:rPr>
            </w:pPr>
            <w:r>
              <w:rPr>
                <w:color w:val="auto"/>
                <w:sz w:val="22"/>
                <w:szCs w:val="22"/>
              </w:rPr>
              <w:t>Урок 48</w:t>
            </w:r>
          </w:p>
        </w:tc>
        <w:tc>
          <w:tcPr>
            <w:tcW w:w="7937" w:type="dxa"/>
          </w:tcPr>
          <w:p w14:paraId="761D8C97">
            <w:pPr>
              <w:pStyle w:val="85"/>
              <w:jc w:val="both"/>
              <w:rPr>
                <w:color w:val="auto"/>
                <w:sz w:val="22"/>
                <w:szCs w:val="22"/>
              </w:rPr>
            </w:pPr>
            <w:r>
              <w:rPr>
                <w:color w:val="auto"/>
                <w:sz w:val="22"/>
                <w:szCs w:val="22"/>
              </w:rPr>
              <w:t>Второстепенные члены предложения</w:t>
            </w:r>
          </w:p>
        </w:tc>
      </w:tr>
      <w:tr w14:paraId="3466CF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2D216069">
            <w:pPr>
              <w:pStyle w:val="85"/>
              <w:jc w:val="center"/>
              <w:rPr>
                <w:color w:val="auto"/>
                <w:sz w:val="22"/>
                <w:szCs w:val="22"/>
              </w:rPr>
            </w:pPr>
            <w:r>
              <w:rPr>
                <w:color w:val="auto"/>
                <w:sz w:val="22"/>
                <w:szCs w:val="22"/>
              </w:rPr>
              <w:t>Урок 49</w:t>
            </w:r>
          </w:p>
        </w:tc>
        <w:tc>
          <w:tcPr>
            <w:tcW w:w="7937" w:type="dxa"/>
          </w:tcPr>
          <w:p w14:paraId="78BF0C30">
            <w:pPr>
              <w:pStyle w:val="85"/>
              <w:jc w:val="both"/>
              <w:rPr>
                <w:color w:val="auto"/>
                <w:sz w:val="22"/>
                <w:szCs w:val="22"/>
              </w:rPr>
            </w:pPr>
            <w:r>
              <w:rPr>
                <w:color w:val="auto"/>
                <w:sz w:val="22"/>
                <w:szCs w:val="22"/>
              </w:rPr>
              <w:t>Предложения распространенные и нераспространенные</w:t>
            </w:r>
          </w:p>
        </w:tc>
      </w:tr>
      <w:tr w14:paraId="1C6DB8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63C03FC0">
            <w:pPr>
              <w:pStyle w:val="85"/>
              <w:jc w:val="center"/>
              <w:rPr>
                <w:color w:val="auto"/>
                <w:sz w:val="22"/>
                <w:szCs w:val="22"/>
              </w:rPr>
            </w:pPr>
            <w:r>
              <w:rPr>
                <w:color w:val="auto"/>
                <w:sz w:val="22"/>
                <w:szCs w:val="22"/>
              </w:rPr>
              <w:t>Урок 50</w:t>
            </w:r>
          </w:p>
        </w:tc>
        <w:tc>
          <w:tcPr>
            <w:tcW w:w="7937" w:type="dxa"/>
          </w:tcPr>
          <w:p w14:paraId="48608DC9">
            <w:pPr>
              <w:pStyle w:val="85"/>
              <w:jc w:val="both"/>
              <w:rPr>
                <w:color w:val="auto"/>
                <w:sz w:val="22"/>
                <w:szCs w:val="22"/>
              </w:rPr>
            </w:pPr>
            <w:r>
              <w:rPr>
                <w:color w:val="auto"/>
                <w:sz w:val="22"/>
                <w:szCs w:val="22"/>
              </w:rPr>
              <w:t>Знакомство с жанром письма</w:t>
            </w:r>
          </w:p>
        </w:tc>
      </w:tr>
      <w:tr w14:paraId="7EE7A6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6E3EE1B9">
            <w:pPr>
              <w:pStyle w:val="85"/>
              <w:jc w:val="center"/>
              <w:rPr>
                <w:color w:val="auto"/>
                <w:sz w:val="22"/>
                <w:szCs w:val="22"/>
              </w:rPr>
            </w:pPr>
            <w:r>
              <w:rPr>
                <w:color w:val="auto"/>
                <w:sz w:val="22"/>
                <w:szCs w:val="22"/>
              </w:rPr>
              <w:t>Урок 51</w:t>
            </w:r>
          </w:p>
        </w:tc>
        <w:tc>
          <w:tcPr>
            <w:tcW w:w="7937" w:type="dxa"/>
          </w:tcPr>
          <w:p w14:paraId="35DA0C47">
            <w:pPr>
              <w:pStyle w:val="85"/>
              <w:jc w:val="both"/>
              <w:rPr>
                <w:color w:val="auto"/>
                <w:sz w:val="22"/>
                <w:szCs w:val="22"/>
              </w:rPr>
            </w:pPr>
            <w:r>
              <w:rPr>
                <w:color w:val="auto"/>
                <w:sz w:val="22"/>
                <w:szCs w:val="22"/>
              </w:rPr>
              <w:t>Учимся писать письма</w:t>
            </w:r>
          </w:p>
        </w:tc>
      </w:tr>
      <w:tr w14:paraId="4B6171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61973E18">
            <w:pPr>
              <w:pStyle w:val="85"/>
              <w:jc w:val="center"/>
              <w:rPr>
                <w:color w:val="auto"/>
                <w:sz w:val="22"/>
                <w:szCs w:val="22"/>
              </w:rPr>
            </w:pPr>
            <w:r>
              <w:rPr>
                <w:color w:val="auto"/>
                <w:sz w:val="22"/>
                <w:szCs w:val="22"/>
              </w:rPr>
              <w:t>Урок 52</w:t>
            </w:r>
          </w:p>
        </w:tc>
        <w:tc>
          <w:tcPr>
            <w:tcW w:w="7937" w:type="dxa"/>
          </w:tcPr>
          <w:p w14:paraId="433A86C6">
            <w:pPr>
              <w:pStyle w:val="85"/>
              <w:jc w:val="both"/>
              <w:rPr>
                <w:color w:val="auto"/>
                <w:sz w:val="22"/>
                <w:szCs w:val="22"/>
              </w:rPr>
            </w:pPr>
            <w:r>
              <w:rPr>
                <w:color w:val="auto"/>
                <w:sz w:val="22"/>
                <w:szCs w:val="22"/>
              </w:rPr>
              <w:t>Правописание слов с двумя безударными гласными в корне слова</w:t>
            </w:r>
          </w:p>
        </w:tc>
      </w:tr>
      <w:tr w14:paraId="30FA2D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0483C475">
            <w:pPr>
              <w:pStyle w:val="85"/>
              <w:jc w:val="center"/>
              <w:rPr>
                <w:color w:val="auto"/>
                <w:sz w:val="22"/>
                <w:szCs w:val="22"/>
              </w:rPr>
            </w:pPr>
            <w:r>
              <w:rPr>
                <w:color w:val="auto"/>
                <w:sz w:val="22"/>
                <w:szCs w:val="22"/>
              </w:rPr>
              <w:t>Урок 53</w:t>
            </w:r>
          </w:p>
        </w:tc>
        <w:tc>
          <w:tcPr>
            <w:tcW w:w="7937" w:type="dxa"/>
          </w:tcPr>
          <w:p w14:paraId="72C8A1ED">
            <w:pPr>
              <w:pStyle w:val="85"/>
              <w:jc w:val="both"/>
              <w:rPr>
                <w:color w:val="auto"/>
                <w:sz w:val="22"/>
                <w:szCs w:val="22"/>
              </w:rPr>
            </w:pPr>
            <w:r>
              <w:rPr>
                <w:color w:val="auto"/>
                <w:sz w:val="22"/>
                <w:szCs w:val="22"/>
              </w:rPr>
              <w:t>Закрепление способов проверки написания слов с двумя безударными гласными в корне слова</w:t>
            </w:r>
          </w:p>
        </w:tc>
      </w:tr>
      <w:tr w14:paraId="166EA2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6CE9C298">
            <w:pPr>
              <w:pStyle w:val="85"/>
              <w:jc w:val="center"/>
              <w:rPr>
                <w:color w:val="auto"/>
                <w:sz w:val="22"/>
                <w:szCs w:val="22"/>
              </w:rPr>
            </w:pPr>
            <w:r>
              <w:rPr>
                <w:color w:val="auto"/>
                <w:sz w:val="22"/>
                <w:szCs w:val="22"/>
              </w:rPr>
              <w:t>Урок 54</w:t>
            </w:r>
          </w:p>
        </w:tc>
        <w:tc>
          <w:tcPr>
            <w:tcW w:w="7937" w:type="dxa"/>
          </w:tcPr>
          <w:p w14:paraId="605734B3">
            <w:pPr>
              <w:pStyle w:val="85"/>
              <w:jc w:val="both"/>
              <w:rPr>
                <w:color w:val="auto"/>
                <w:sz w:val="22"/>
                <w:szCs w:val="22"/>
              </w:rPr>
            </w:pPr>
            <w:r>
              <w:rPr>
                <w:color w:val="auto"/>
                <w:sz w:val="22"/>
                <w:szCs w:val="22"/>
              </w:rPr>
              <w:t>Отработка способов решения орфографической задачи в зависимости от места орфограммы в слове: правописание слов с двумя корнями</w:t>
            </w:r>
          </w:p>
        </w:tc>
      </w:tr>
      <w:tr w14:paraId="6FA36A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61129002">
            <w:pPr>
              <w:pStyle w:val="85"/>
              <w:jc w:val="center"/>
              <w:rPr>
                <w:color w:val="auto"/>
                <w:sz w:val="22"/>
                <w:szCs w:val="22"/>
              </w:rPr>
            </w:pPr>
            <w:r>
              <w:rPr>
                <w:color w:val="auto"/>
                <w:sz w:val="22"/>
                <w:szCs w:val="22"/>
              </w:rPr>
              <w:t>Урок 55</w:t>
            </w:r>
          </w:p>
        </w:tc>
        <w:tc>
          <w:tcPr>
            <w:tcW w:w="7937" w:type="dxa"/>
          </w:tcPr>
          <w:p w14:paraId="475DD4EE">
            <w:pPr>
              <w:pStyle w:val="85"/>
              <w:jc w:val="both"/>
              <w:rPr>
                <w:color w:val="auto"/>
                <w:sz w:val="22"/>
                <w:szCs w:val="22"/>
              </w:rPr>
            </w:pPr>
            <w:r>
              <w:rPr>
                <w:color w:val="auto"/>
                <w:sz w:val="22"/>
                <w:szCs w:val="22"/>
              </w:rPr>
              <w:t>Отработка способов решения орфографической задачи в зависимости от места орфограммы в слове: наблюдение за соединительными гласными о, е</w:t>
            </w:r>
          </w:p>
        </w:tc>
      </w:tr>
      <w:tr w14:paraId="6E907A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1B3C91C7">
            <w:pPr>
              <w:pStyle w:val="85"/>
              <w:jc w:val="center"/>
              <w:rPr>
                <w:color w:val="auto"/>
                <w:sz w:val="22"/>
                <w:szCs w:val="22"/>
              </w:rPr>
            </w:pPr>
            <w:r>
              <w:rPr>
                <w:color w:val="auto"/>
                <w:sz w:val="22"/>
                <w:szCs w:val="22"/>
              </w:rPr>
              <w:t>Урок 56</w:t>
            </w:r>
          </w:p>
        </w:tc>
        <w:tc>
          <w:tcPr>
            <w:tcW w:w="7937" w:type="dxa"/>
          </w:tcPr>
          <w:p w14:paraId="0115E8EE">
            <w:pPr>
              <w:pStyle w:val="85"/>
              <w:jc w:val="both"/>
              <w:rPr>
                <w:color w:val="auto"/>
                <w:sz w:val="22"/>
                <w:szCs w:val="22"/>
              </w:rPr>
            </w:pPr>
            <w:r>
              <w:rPr>
                <w:color w:val="auto"/>
                <w:sz w:val="22"/>
                <w:szCs w:val="22"/>
              </w:rPr>
              <w:t>Резервный урок: повторение по разделу орфография, тема "Правописание слов с орфограммами в корне"</w:t>
            </w:r>
          </w:p>
        </w:tc>
      </w:tr>
      <w:tr w14:paraId="4C6275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134" w:type="dxa"/>
            <w:vAlign w:val="center"/>
          </w:tcPr>
          <w:p w14:paraId="2FEE5F82">
            <w:pPr>
              <w:pStyle w:val="85"/>
              <w:jc w:val="center"/>
              <w:rPr>
                <w:color w:val="auto"/>
                <w:sz w:val="22"/>
                <w:szCs w:val="22"/>
              </w:rPr>
            </w:pPr>
            <w:r>
              <w:rPr>
                <w:color w:val="auto"/>
                <w:sz w:val="22"/>
                <w:szCs w:val="22"/>
              </w:rPr>
              <w:t>Урок 57</w:t>
            </w:r>
          </w:p>
        </w:tc>
        <w:tc>
          <w:tcPr>
            <w:tcW w:w="7937" w:type="dxa"/>
          </w:tcPr>
          <w:p w14:paraId="645F9C30">
            <w:pPr>
              <w:pStyle w:val="85"/>
              <w:jc w:val="both"/>
              <w:rPr>
                <w:color w:val="auto"/>
                <w:sz w:val="22"/>
                <w:szCs w:val="22"/>
              </w:rPr>
            </w:pPr>
            <w:r>
              <w:rPr>
                <w:color w:val="auto"/>
                <w:sz w:val="22"/>
                <w:szCs w:val="22"/>
              </w:rPr>
              <w:t>Вспоминаем нормы речевого этикета: приглашение, просьба, извинение, благодарность, отказ</w:t>
            </w:r>
          </w:p>
        </w:tc>
      </w:tr>
      <w:tr w14:paraId="79BAA7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40AAA79C">
            <w:pPr>
              <w:pStyle w:val="85"/>
              <w:jc w:val="center"/>
              <w:rPr>
                <w:color w:val="auto"/>
                <w:sz w:val="22"/>
                <w:szCs w:val="22"/>
              </w:rPr>
            </w:pPr>
            <w:r>
              <w:rPr>
                <w:color w:val="auto"/>
                <w:sz w:val="22"/>
                <w:szCs w:val="22"/>
              </w:rPr>
              <w:t>Урок 58</w:t>
            </w:r>
          </w:p>
        </w:tc>
        <w:tc>
          <w:tcPr>
            <w:tcW w:w="7937" w:type="dxa"/>
          </w:tcPr>
          <w:p w14:paraId="4B5DE74E">
            <w:pPr>
              <w:pStyle w:val="85"/>
              <w:jc w:val="both"/>
              <w:rPr>
                <w:color w:val="auto"/>
                <w:sz w:val="22"/>
                <w:szCs w:val="22"/>
              </w:rPr>
            </w:pPr>
            <w:r>
              <w:rPr>
                <w:color w:val="auto"/>
                <w:sz w:val="22"/>
                <w:szCs w:val="22"/>
              </w:rPr>
              <w:t>Пишем поздравительную открытку</w:t>
            </w:r>
          </w:p>
        </w:tc>
      </w:tr>
      <w:tr w14:paraId="7B7112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609001F1">
            <w:pPr>
              <w:pStyle w:val="85"/>
              <w:jc w:val="center"/>
              <w:rPr>
                <w:color w:val="auto"/>
                <w:sz w:val="22"/>
                <w:szCs w:val="22"/>
              </w:rPr>
            </w:pPr>
            <w:r>
              <w:rPr>
                <w:color w:val="auto"/>
                <w:sz w:val="22"/>
                <w:szCs w:val="22"/>
              </w:rPr>
              <w:t>Урок 59</w:t>
            </w:r>
          </w:p>
        </w:tc>
        <w:tc>
          <w:tcPr>
            <w:tcW w:w="7937" w:type="dxa"/>
          </w:tcPr>
          <w:p w14:paraId="751DD496">
            <w:pPr>
              <w:pStyle w:val="85"/>
              <w:jc w:val="both"/>
              <w:rPr>
                <w:color w:val="auto"/>
                <w:sz w:val="22"/>
                <w:szCs w:val="22"/>
              </w:rPr>
            </w:pPr>
            <w:r>
              <w:rPr>
                <w:color w:val="auto"/>
                <w:sz w:val="22"/>
                <w:szCs w:val="22"/>
              </w:rPr>
              <w:t>Однородные члены предложения</w:t>
            </w:r>
          </w:p>
        </w:tc>
      </w:tr>
      <w:tr w14:paraId="1FD423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445FBBA7">
            <w:pPr>
              <w:pStyle w:val="85"/>
              <w:jc w:val="center"/>
              <w:rPr>
                <w:color w:val="auto"/>
                <w:sz w:val="22"/>
                <w:szCs w:val="22"/>
              </w:rPr>
            </w:pPr>
            <w:r>
              <w:rPr>
                <w:color w:val="auto"/>
                <w:sz w:val="22"/>
                <w:szCs w:val="22"/>
              </w:rPr>
              <w:t>Урок 60</w:t>
            </w:r>
          </w:p>
        </w:tc>
        <w:tc>
          <w:tcPr>
            <w:tcW w:w="7937" w:type="dxa"/>
          </w:tcPr>
          <w:p w14:paraId="50E627D9">
            <w:pPr>
              <w:pStyle w:val="85"/>
              <w:jc w:val="both"/>
              <w:rPr>
                <w:color w:val="auto"/>
                <w:sz w:val="22"/>
                <w:szCs w:val="22"/>
              </w:rPr>
            </w:pPr>
            <w:r>
              <w:rPr>
                <w:color w:val="auto"/>
                <w:sz w:val="22"/>
                <w:szCs w:val="22"/>
              </w:rPr>
              <w:t>Однородные члены предложения с союзами и, а, но</w:t>
            </w:r>
          </w:p>
        </w:tc>
      </w:tr>
      <w:tr w14:paraId="568312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4514D029">
            <w:pPr>
              <w:pStyle w:val="85"/>
              <w:jc w:val="center"/>
              <w:rPr>
                <w:color w:val="auto"/>
                <w:sz w:val="22"/>
                <w:szCs w:val="22"/>
              </w:rPr>
            </w:pPr>
            <w:r>
              <w:rPr>
                <w:color w:val="auto"/>
                <w:sz w:val="22"/>
                <w:szCs w:val="22"/>
              </w:rPr>
              <w:t>Урок 61</w:t>
            </w:r>
          </w:p>
        </w:tc>
        <w:tc>
          <w:tcPr>
            <w:tcW w:w="7937" w:type="dxa"/>
          </w:tcPr>
          <w:p w14:paraId="2ACF46BE">
            <w:pPr>
              <w:pStyle w:val="85"/>
              <w:jc w:val="both"/>
              <w:rPr>
                <w:color w:val="auto"/>
                <w:sz w:val="22"/>
                <w:szCs w:val="22"/>
              </w:rPr>
            </w:pPr>
            <w:r>
              <w:rPr>
                <w:color w:val="auto"/>
                <w:sz w:val="22"/>
                <w:szCs w:val="22"/>
              </w:rPr>
              <w:t>Однородные члены предложения без союзов</w:t>
            </w:r>
          </w:p>
        </w:tc>
      </w:tr>
      <w:tr w14:paraId="2AEF45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116DAE37">
            <w:pPr>
              <w:pStyle w:val="85"/>
              <w:jc w:val="center"/>
              <w:rPr>
                <w:color w:val="auto"/>
                <w:sz w:val="22"/>
                <w:szCs w:val="22"/>
              </w:rPr>
            </w:pPr>
            <w:r>
              <w:rPr>
                <w:color w:val="auto"/>
                <w:sz w:val="22"/>
                <w:szCs w:val="22"/>
              </w:rPr>
              <w:t>Урок 62</w:t>
            </w:r>
          </w:p>
        </w:tc>
        <w:tc>
          <w:tcPr>
            <w:tcW w:w="7937" w:type="dxa"/>
          </w:tcPr>
          <w:p w14:paraId="4232065D">
            <w:pPr>
              <w:pStyle w:val="85"/>
              <w:jc w:val="both"/>
              <w:rPr>
                <w:color w:val="auto"/>
                <w:sz w:val="22"/>
                <w:szCs w:val="22"/>
              </w:rPr>
            </w:pPr>
            <w:r>
              <w:rPr>
                <w:color w:val="auto"/>
                <w:sz w:val="22"/>
                <w:szCs w:val="22"/>
              </w:rPr>
              <w:t>Наблюдаем за знаками препинания в предложениях с однородными членами, не соединенными союзами</w:t>
            </w:r>
          </w:p>
        </w:tc>
      </w:tr>
      <w:tr w14:paraId="200E83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29EAC775">
            <w:pPr>
              <w:pStyle w:val="85"/>
              <w:jc w:val="center"/>
              <w:rPr>
                <w:color w:val="auto"/>
                <w:sz w:val="22"/>
                <w:szCs w:val="22"/>
              </w:rPr>
            </w:pPr>
            <w:r>
              <w:rPr>
                <w:color w:val="auto"/>
                <w:sz w:val="22"/>
                <w:szCs w:val="22"/>
              </w:rPr>
              <w:t>Урок 63</w:t>
            </w:r>
          </w:p>
        </w:tc>
        <w:tc>
          <w:tcPr>
            <w:tcW w:w="7937" w:type="dxa"/>
          </w:tcPr>
          <w:p w14:paraId="46D43D7C">
            <w:pPr>
              <w:pStyle w:val="85"/>
              <w:jc w:val="both"/>
              <w:rPr>
                <w:color w:val="auto"/>
                <w:sz w:val="22"/>
                <w:szCs w:val="22"/>
              </w:rPr>
            </w:pPr>
            <w:r>
              <w:rPr>
                <w:color w:val="auto"/>
                <w:sz w:val="22"/>
                <w:szCs w:val="22"/>
              </w:rPr>
              <w:t>Наблюдаем за знаками препинания в предложениях с однородными членами, соединенными повторяющимися союзами и, или</w:t>
            </w:r>
          </w:p>
        </w:tc>
      </w:tr>
      <w:tr w14:paraId="7C8423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3964F26D">
            <w:pPr>
              <w:pStyle w:val="85"/>
              <w:jc w:val="center"/>
              <w:rPr>
                <w:color w:val="auto"/>
                <w:sz w:val="22"/>
                <w:szCs w:val="22"/>
              </w:rPr>
            </w:pPr>
            <w:r>
              <w:rPr>
                <w:color w:val="auto"/>
                <w:sz w:val="22"/>
                <w:szCs w:val="22"/>
              </w:rPr>
              <w:t>Урок 64</w:t>
            </w:r>
          </w:p>
        </w:tc>
        <w:tc>
          <w:tcPr>
            <w:tcW w:w="7937" w:type="dxa"/>
          </w:tcPr>
          <w:p w14:paraId="30D3626D">
            <w:pPr>
              <w:pStyle w:val="85"/>
              <w:jc w:val="both"/>
              <w:rPr>
                <w:color w:val="auto"/>
                <w:sz w:val="22"/>
                <w:szCs w:val="22"/>
              </w:rPr>
            </w:pPr>
            <w:r>
              <w:rPr>
                <w:color w:val="auto"/>
                <w:sz w:val="22"/>
                <w:szCs w:val="22"/>
              </w:rPr>
              <w:t>Резервный урок по разделу синтаксис: отработка темы</w:t>
            </w:r>
          </w:p>
        </w:tc>
      </w:tr>
      <w:tr w14:paraId="4B28DE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5D507D83">
            <w:pPr>
              <w:pStyle w:val="85"/>
              <w:jc w:val="center"/>
              <w:rPr>
                <w:color w:val="auto"/>
                <w:sz w:val="22"/>
                <w:szCs w:val="22"/>
              </w:rPr>
            </w:pPr>
            <w:r>
              <w:rPr>
                <w:color w:val="auto"/>
                <w:sz w:val="22"/>
                <w:szCs w:val="22"/>
              </w:rPr>
              <w:t>Урок 65</w:t>
            </w:r>
          </w:p>
        </w:tc>
        <w:tc>
          <w:tcPr>
            <w:tcW w:w="7937" w:type="dxa"/>
          </w:tcPr>
          <w:p w14:paraId="0B94CBB0">
            <w:pPr>
              <w:pStyle w:val="85"/>
              <w:jc w:val="both"/>
              <w:rPr>
                <w:color w:val="auto"/>
                <w:sz w:val="22"/>
                <w:szCs w:val="22"/>
              </w:rPr>
            </w:pPr>
            <w:r>
              <w:rPr>
                <w:color w:val="auto"/>
                <w:sz w:val="22"/>
                <w:szCs w:val="22"/>
              </w:rPr>
              <w:t>Резервный урок по разделу синтаксис: отработка темы</w:t>
            </w:r>
          </w:p>
        </w:tc>
      </w:tr>
      <w:tr w14:paraId="5C2DB3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75CBF694">
            <w:pPr>
              <w:pStyle w:val="85"/>
              <w:jc w:val="center"/>
              <w:rPr>
                <w:color w:val="auto"/>
                <w:sz w:val="22"/>
                <w:szCs w:val="22"/>
              </w:rPr>
            </w:pPr>
            <w:r>
              <w:rPr>
                <w:color w:val="auto"/>
                <w:sz w:val="22"/>
                <w:szCs w:val="22"/>
              </w:rPr>
              <w:t>Урок 66</w:t>
            </w:r>
          </w:p>
        </w:tc>
        <w:tc>
          <w:tcPr>
            <w:tcW w:w="7937" w:type="dxa"/>
          </w:tcPr>
          <w:p w14:paraId="47C20CE8">
            <w:pPr>
              <w:pStyle w:val="85"/>
              <w:jc w:val="both"/>
              <w:rPr>
                <w:color w:val="auto"/>
                <w:sz w:val="22"/>
                <w:szCs w:val="22"/>
              </w:rPr>
            </w:pPr>
            <w:r>
              <w:rPr>
                <w:color w:val="auto"/>
                <w:sz w:val="22"/>
                <w:szCs w:val="22"/>
              </w:rPr>
              <w:t>Части речи</w:t>
            </w:r>
          </w:p>
        </w:tc>
      </w:tr>
      <w:tr w14:paraId="22F681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4168BFEF">
            <w:pPr>
              <w:pStyle w:val="85"/>
              <w:jc w:val="center"/>
              <w:rPr>
                <w:color w:val="auto"/>
                <w:sz w:val="22"/>
                <w:szCs w:val="22"/>
              </w:rPr>
            </w:pPr>
            <w:r>
              <w:rPr>
                <w:color w:val="auto"/>
                <w:sz w:val="22"/>
                <w:szCs w:val="22"/>
              </w:rPr>
              <w:t>Урок 67</w:t>
            </w:r>
          </w:p>
        </w:tc>
        <w:tc>
          <w:tcPr>
            <w:tcW w:w="7937" w:type="dxa"/>
          </w:tcPr>
          <w:p w14:paraId="236CBA2E">
            <w:pPr>
              <w:pStyle w:val="85"/>
              <w:jc w:val="both"/>
              <w:rPr>
                <w:color w:val="auto"/>
                <w:sz w:val="22"/>
                <w:szCs w:val="22"/>
              </w:rPr>
            </w:pPr>
            <w:r>
              <w:rPr>
                <w:color w:val="auto"/>
                <w:sz w:val="22"/>
                <w:szCs w:val="22"/>
              </w:rPr>
              <w:t>Имя существительное: общее значение, вопросы, употребление в речи</w:t>
            </w:r>
          </w:p>
        </w:tc>
      </w:tr>
      <w:tr w14:paraId="3BA80D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63827F94">
            <w:pPr>
              <w:pStyle w:val="85"/>
              <w:jc w:val="center"/>
              <w:rPr>
                <w:color w:val="auto"/>
                <w:sz w:val="22"/>
                <w:szCs w:val="22"/>
              </w:rPr>
            </w:pPr>
            <w:r>
              <w:rPr>
                <w:color w:val="auto"/>
                <w:sz w:val="22"/>
                <w:szCs w:val="22"/>
              </w:rPr>
              <w:t>Урок 68</w:t>
            </w:r>
          </w:p>
        </w:tc>
        <w:tc>
          <w:tcPr>
            <w:tcW w:w="7937" w:type="dxa"/>
          </w:tcPr>
          <w:p w14:paraId="3B4EB482">
            <w:pPr>
              <w:pStyle w:val="85"/>
              <w:jc w:val="both"/>
              <w:rPr>
                <w:color w:val="auto"/>
                <w:sz w:val="22"/>
                <w:szCs w:val="22"/>
              </w:rPr>
            </w:pPr>
            <w:r>
              <w:rPr>
                <w:color w:val="auto"/>
                <w:sz w:val="22"/>
                <w:szCs w:val="22"/>
              </w:rPr>
              <w:t>Имена существительные мужского, женского и среднего рода</w:t>
            </w:r>
          </w:p>
        </w:tc>
      </w:tr>
      <w:tr w14:paraId="0060EA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17495B96">
            <w:pPr>
              <w:pStyle w:val="85"/>
              <w:jc w:val="center"/>
              <w:rPr>
                <w:color w:val="auto"/>
                <w:sz w:val="22"/>
                <w:szCs w:val="22"/>
              </w:rPr>
            </w:pPr>
            <w:r>
              <w:rPr>
                <w:color w:val="auto"/>
                <w:sz w:val="22"/>
                <w:szCs w:val="22"/>
              </w:rPr>
              <w:t>Урок 69</w:t>
            </w:r>
          </w:p>
        </w:tc>
        <w:tc>
          <w:tcPr>
            <w:tcW w:w="7937" w:type="dxa"/>
          </w:tcPr>
          <w:p w14:paraId="78E6326B">
            <w:pPr>
              <w:pStyle w:val="85"/>
              <w:jc w:val="both"/>
              <w:rPr>
                <w:color w:val="auto"/>
                <w:sz w:val="22"/>
                <w:szCs w:val="22"/>
              </w:rPr>
            </w:pPr>
            <w:r>
              <w:rPr>
                <w:color w:val="auto"/>
                <w:sz w:val="22"/>
                <w:szCs w:val="22"/>
              </w:rPr>
              <w:t>Род имен существительных</w:t>
            </w:r>
          </w:p>
        </w:tc>
      </w:tr>
      <w:tr w14:paraId="408BF8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434D33EE">
            <w:pPr>
              <w:pStyle w:val="85"/>
              <w:jc w:val="center"/>
              <w:rPr>
                <w:color w:val="auto"/>
                <w:sz w:val="22"/>
                <w:szCs w:val="22"/>
              </w:rPr>
            </w:pPr>
            <w:r>
              <w:rPr>
                <w:color w:val="auto"/>
                <w:sz w:val="22"/>
                <w:szCs w:val="22"/>
              </w:rPr>
              <w:t>Урок 70</w:t>
            </w:r>
          </w:p>
        </w:tc>
        <w:tc>
          <w:tcPr>
            <w:tcW w:w="7937" w:type="dxa"/>
          </w:tcPr>
          <w:p w14:paraId="3B2E988E">
            <w:pPr>
              <w:pStyle w:val="85"/>
              <w:jc w:val="both"/>
              <w:rPr>
                <w:color w:val="auto"/>
                <w:sz w:val="22"/>
                <w:szCs w:val="22"/>
              </w:rPr>
            </w:pPr>
            <w:r>
              <w:rPr>
                <w:color w:val="auto"/>
                <w:sz w:val="22"/>
                <w:szCs w:val="22"/>
              </w:rPr>
              <w:t>Изложение текста с опорой на коллективно составленный план</w:t>
            </w:r>
          </w:p>
        </w:tc>
      </w:tr>
      <w:tr w14:paraId="5DD0AB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12970140">
            <w:pPr>
              <w:pStyle w:val="85"/>
              <w:jc w:val="center"/>
              <w:rPr>
                <w:color w:val="auto"/>
                <w:sz w:val="22"/>
                <w:szCs w:val="22"/>
              </w:rPr>
            </w:pPr>
            <w:r>
              <w:rPr>
                <w:color w:val="auto"/>
                <w:sz w:val="22"/>
                <w:szCs w:val="22"/>
              </w:rPr>
              <w:t>Урок 71</w:t>
            </w:r>
          </w:p>
        </w:tc>
        <w:tc>
          <w:tcPr>
            <w:tcW w:w="7937" w:type="dxa"/>
          </w:tcPr>
          <w:p w14:paraId="3EDD27CC">
            <w:pPr>
              <w:pStyle w:val="85"/>
              <w:jc w:val="both"/>
              <w:rPr>
                <w:color w:val="auto"/>
                <w:sz w:val="22"/>
                <w:szCs w:val="22"/>
              </w:rPr>
            </w:pPr>
            <w:r>
              <w:rPr>
                <w:color w:val="auto"/>
                <w:sz w:val="22"/>
                <w:szCs w:val="22"/>
              </w:rPr>
              <w:t>Число имен существительных</w:t>
            </w:r>
          </w:p>
        </w:tc>
      </w:tr>
      <w:tr w14:paraId="3FBF95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5DB98F34">
            <w:pPr>
              <w:pStyle w:val="85"/>
              <w:jc w:val="center"/>
              <w:rPr>
                <w:color w:val="auto"/>
                <w:sz w:val="22"/>
                <w:szCs w:val="22"/>
              </w:rPr>
            </w:pPr>
            <w:r>
              <w:rPr>
                <w:color w:val="auto"/>
                <w:sz w:val="22"/>
                <w:szCs w:val="22"/>
              </w:rPr>
              <w:t>Урок 72</w:t>
            </w:r>
          </w:p>
        </w:tc>
        <w:tc>
          <w:tcPr>
            <w:tcW w:w="7937" w:type="dxa"/>
          </w:tcPr>
          <w:p w14:paraId="6966E595">
            <w:pPr>
              <w:pStyle w:val="85"/>
              <w:jc w:val="both"/>
              <w:rPr>
                <w:color w:val="auto"/>
                <w:sz w:val="22"/>
                <w:szCs w:val="22"/>
              </w:rPr>
            </w:pPr>
            <w:r>
              <w:rPr>
                <w:color w:val="auto"/>
                <w:sz w:val="22"/>
                <w:szCs w:val="22"/>
              </w:rPr>
              <w:t>Имена существительные единственного и множественного числа</w:t>
            </w:r>
          </w:p>
        </w:tc>
      </w:tr>
      <w:tr w14:paraId="150EFC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452BE6E1">
            <w:pPr>
              <w:pStyle w:val="85"/>
              <w:jc w:val="center"/>
              <w:rPr>
                <w:color w:val="auto"/>
                <w:sz w:val="22"/>
                <w:szCs w:val="22"/>
              </w:rPr>
            </w:pPr>
            <w:r>
              <w:rPr>
                <w:color w:val="auto"/>
                <w:sz w:val="22"/>
                <w:szCs w:val="22"/>
              </w:rPr>
              <w:t>Урок 73</w:t>
            </w:r>
          </w:p>
        </w:tc>
        <w:tc>
          <w:tcPr>
            <w:tcW w:w="7937" w:type="dxa"/>
          </w:tcPr>
          <w:p w14:paraId="4D44CC47">
            <w:pPr>
              <w:pStyle w:val="85"/>
              <w:jc w:val="both"/>
              <w:rPr>
                <w:color w:val="auto"/>
                <w:sz w:val="22"/>
                <w:szCs w:val="22"/>
              </w:rPr>
            </w:pPr>
            <w:r>
              <w:rPr>
                <w:color w:val="auto"/>
                <w:sz w:val="22"/>
                <w:szCs w:val="22"/>
              </w:rPr>
              <w:t>Изменение имен существительных по числам</w:t>
            </w:r>
          </w:p>
        </w:tc>
      </w:tr>
      <w:tr w14:paraId="63866A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5C77BCEC">
            <w:pPr>
              <w:pStyle w:val="85"/>
              <w:jc w:val="center"/>
              <w:rPr>
                <w:color w:val="auto"/>
                <w:sz w:val="22"/>
                <w:szCs w:val="22"/>
              </w:rPr>
            </w:pPr>
            <w:r>
              <w:rPr>
                <w:color w:val="auto"/>
                <w:sz w:val="22"/>
                <w:szCs w:val="22"/>
              </w:rPr>
              <w:t>Урок 74</w:t>
            </w:r>
          </w:p>
        </w:tc>
        <w:tc>
          <w:tcPr>
            <w:tcW w:w="7937" w:type="dxa"/>
          </w:tcPr>
          <w:p w14:paraId="2B8740F2">
            <w:pPr>
              <w:pStyle w:val="85"/>
              <w:jc w:val="both"/>
              <w:rPr>
                <w:color w:val="auto"/>
                <w:sz w:val="22"/>
                <w:szCs w:val="22"/>
              </w:rPr>
            </w:pPr>
            <w:r>
              <w:rPr>
                <w:color w:val="auto"/>
                <w:sz w:val="22"/>
                <w:szCs w:val="22"/>
              </w:rPr>
              <w:t>Мягкий знак после шипящих на конце имен существительных</w:t>
            </w:r>
          </w:p>
        </w:tc>
      </w:tr>
      <w:tr w14:paraId="149349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751B9F8B">
            <w:pPr>
              <w:pStyle w:val="85"/>
              <w:jc w:val="center"/>
              <w:rPr>
                <w:color w:val="auto"/>
                <w:sz w:val="22"/>
                <w:szCs w:val="22"/>
              </w:rPr>
            </w:pPr>
            <w:r>
              <w:rPr>
                <w:color w:val="auto"/>
                <w:sz w:val="22"/>
                <w:szCs w:val="22"/>
              </w:rPr>
              <w:t>Урок 75</w:t>
            </w:r>
          </w:p>
        </w:tc>
        <w:tc>
          <w:tcPr>
            <w:tcW w:w="7937" w:type="dxa"/>
          </w:tcPr>
          <w:p w14:paraId="1997142F">
            <w:pPr>
              <w:pStyle w:val="85"/>
              <w:jc w:val="both"/>
              <w:rPr>
                <w:color w:val="auto"/>
                <w:sz w:val="22"/>
                <w:szCs w:val="22"/>
              </w:rPr>
            </w:pPr>
            <w:r>
              <w:rPr>
                <w:color w:val="auto"/>
                <w:sz w:val="22"/>
                <w:szCs w:val="22"/>
              </w:rPr>
              <w:t>Закрепляем правило "Мягкий знак после шипящих на конце имен существительных"</w:t>
            </w:r>
          </w:p>
        </w:tc>
      </w:tr>
      <w:tr w14:paraId="2B24FB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134" w:type="dxa"/>
            <w:vAlign w:val="center"/>
          </w:tcPr>
          <w:p w14:paraId="3043F57D">
            <w:pPr>
              <w:pStyle w:val="85"/>
              <w:jc w:val="center"/>
              <w:rPr>
                <w:color w:val="auto"/>
                <w:sz w:val="22"/>
                <w:szCs w:val="22"/>
              </w:rPr>
            </w:pPr>
            <w:r>
              <w:rPr>
                <w:color w:val="auto"/>
                <w:sz w:val="22"/>
                <w:szCs w:val="22"/>
              </w:rPr>
              <w:t>Урок 76</w:t>
            </w:r>
          </w:p>
        </w:tc>
        <w:tc>
          <w:tcPr>
            <w:tcW w:w="7937" w:type="dxa"/>
          </w:tcPr>
          <w:p w14:paraId="13E8D881">
            <w:pPr>
              <w:pStyle w:val="85"/>
              <w:jc w:val="both"/>
              <w:rPr>
                <w:color w:val="auto"/>
                <w:sz w:val="22"/>
                <w:szCs w:val="22"/>
              </w:rPr>
            </w:pPr>
            <w:r>
              <w:rPr>
                <w:color w:val="auto"/>
                <w:sz w:val="22"/>
                <w:szCs w:val="22"/>
              </w:rPr>
              <w:t>Отрабатываем правило "Мягкий знак после шипящих на конце имен существительных"</w:t>
            </w:r>
          </w:p>
        </w:tc>
      </w:tr>
      <w:tr w14:paraId="2AE0BD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128FBC4D">
            <w:pPr>
              <w:pStyle w:val="85"/>
              <w:jc w:val="center"/>
              <w:rPr>
                <w:color w:val="auto"/>
                <w:sz w:val="22"/>
                <w:szCs w:val="22"/>
              </w:rPr>
            </w:pPr>
            <w:r>
              <w:rPr>
                <w:color w:val="auto"/>
                <w:sz w:val="22"/>
                <w:szCs w:val="22"/>
              </w:rPr>
              <w:t>Урок 77</w:t>
            </w:r>
          </w:p>
        </w:tc>
        <w:tc>
          <w:tcPr>
            <w:tcW w:w="7937" w:type="dxa"/>
          </w:tcPr>
          <w:p w14:paraId="0A60E1CE">
            <w:pPr>
              <w:pStyle w:val="85"/>
              <w:jc w:val="both"/>
              <w:rPr>
                <w:color w:val="auto"/>
                <w:sz w:val="22"/>
                <w:szCs w:val="22"/>
              </w:rPr>
            </w:pPr>
            <w:r>
              <w:rPr>
                <w:color w:val="auto"/>
                <w:sz w:val="22"/>
                <w:szCs w:val="22"/>
              </w:rPr>
              <w:t>Изложение текста с использованием коллективно составленного плана</w:t>
            </w:r>
          </w:p>
        </w:tc>
      </w:tr>
      <w:tr w14:paraId="566B3C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3ED170BD">
            <w:pPr>
              <w:pStyle w:val="85"/>
              <w:jc w:val="center"/>
              <w:rPr>
                <w:color w:val="auto"/>
                <w:sz w:val="22"/>
                <w:szCs w:val="22"/>
              </w:rPr>
            </w:pPr>
            <w:r>
              <w:rPr>
                <w:color w:val="auto"/>
                <w:sz w:val="22"/>
                <w:szCs w:val="22"/>
              </w:rPr>
              <w:t>Урок 78</w:t>
            </w:r>
          </w:p>
        </w:tc>
        <w:tc>
          <w:tcPr>
            <w:tcW w:w="7937" w:type="dxa"/>
          </w:tcPr>
          <w:p w14:paraId="4E1F281F">
            <w:pPr>
              <w:pStyle w:val="85"/>
              <w:jc w:val="both"/>
              <w:rPr>
                <w:color w:val="auto"/>
                <w:sz w:val="22"/>
                <w:szCs w:val="22"/>
              </w:rPr>
            </w:pPr>
            <w:r>
              <w:rPr>
                <w:color w:val="auto"/>
                <w:sz w:val="22"/>
                <w:szCs w:val="22"/>
              </w:rPr>
              <w:t>Падеж имен существительных</w:t>
            </w:r>
          </w:p>
        </w:tc>
      </w:tr>
      <w:tr w14:paraId="3332D5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0A714C26">
            <w:pPr>
              <w:pStyle w:val="85"/>
              <w:jc w:val="center"/>
              <w:rPr>
                <w:color w:val="auto"/>
                <w:sz w:val="22"/>
                <w:szCs w:val="22"/>
              </w:rPr>
            </w:pPr>
            <w:r>
              <w:rPr>
                <w:color w:val="auto"/>
                <w:sz w:val="22"/>
                <w:szCs w:val="22"/>
              </w:rPr>
              <w:t>Урок 79</w:t>
            </w:r>
          </w:p>
        </w:tc>
        <w:tc>
          <w:tcPr>
            <w:tcW w:w="7937" w:type="dxa"/>
          </w:tcPr>
          <w:p w14:paraId="635EA8B2">
            <w:pPr>
              <w:pStyle w:val="85"/>
              <w:jc w:val="both"/>
              <w:rPr>
                <w:color w:val="auto"/>
                <w:sz w:val="22"/>
                <w:szCs w:val="22"/>
              </w:rPr>
            </w:pPr>
            <w:r>
              <w:rPr>
                <w:color w:val="auto"/>
                <w:sz w:val="22"/>
                <w:szCs w:val="22"/>
              </w:rPr>
              <w:t>Падеж имен существительных: именительный падеж</w:t>
            </w:r>
          </w:p>
        </w:tc>
      </w:tr>
      <w:tr w14:paraId="7C3717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79E56D6A">
            <w:pPr>
              <w:pStyle w:val="85"/>
              <w:jc w:val="center"/>
              <w:rPr>
                <w:color w:val="auto"/>
                <w:sz w:val="22"/>
                <w:szCs w:val="22"/>
              </w:rPr>
            </w:pPr>
            <w:r>
              <w:rPr>
                <w:color w:val="auto"/>
                <w:sz w:val="22"/>
                <w:szCs w:val="22"/>
              </w:rPr>
              <w:t>Урок 80</w:t>
            </w:r>
          </w:p>
        </w:tc>
        <w:tc>
          <w:tcPr>
            <w:tcW w:w="7937" w:type="dxa"/>
          </w:tcPr>
          <w:p w14:paraId="1CCF0ADB">
            <w:pPr>
              <w:pStyle w:val="85"/>
              <w:jc w:val="both"/>
              <w:rPr>
                <w:color w:val="auto"/>
                <w:sz w:val="22"/>
                <w:szCs w:val="22"/>
              </w:rPr>
            </w:pPr>
            <w:r>
              <w:rPr>
                <w:color w:val="auto"/>
                <w:sz w:val="22"/>
                <w:szCs w:val="22"/>
              </w:rPr>
              <w:t>Падеж имен существительных: родительный падеж</w:t>
            </w:r>
          </w:p>
        </w:tc>
      </w:tr>
      <w:tr w14:paraId="1EA487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3269803A">
            <w:pPr>
              <w:pStyle w:val="85"/>
              <w:jc w:val="center"/>
              <w:rPr>
                <w:color w:val="auto"/>
                <w:sz w:val="22"/>
                <w:szCs w:val="22"/>
              </w:rPr>
            </w:pPr>
            <w:r>
              <w:rPr>
                <w:color w:val="auto"/>
                <w:sz w:val="22"/>
                <w:szCs w:val="22"/>
              </w:rPr>
              <w:t>Урок 81</w:t>
            </w:r>
          </w:p>
        </w:tc>
        <w:tc>
          <w:tcPr>
            <w:tcW w:w="7937" w:type="dxa"/>
          </w:tcPr>
          <w:p w14:paraId="477C9CD5">
            <w:pPr>
              <w:pStyle w:val="85"/>
              <w:jc w:val="both"/>
              <w:rPr>
                <w:color w:val="auto"/>
                <w:sz w:val="22"/>
                <w:szCs w:val="22"/>
              </w:rPr>
            </w:pPr>
            <w:r>
              <w:rPr>
                <w:color w:val="auto"/>
                <w:sz w:val="22"/>
                <w:szCs w:val="22"/>
              </w:rPr>
              <w:t>Падеж имен существительных: дательный падеж</w:t>
            </w:r>
          </w:p>
        </w:tc>
      </w:tr>
      <w:tr w14:paraId="108463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134" w:type="dxa"/>
            <w:vAlign w:val="center"/>
          </w:tcPr>
          <w:p w14:paraId="31FAAA42">
            <w:pPr>
              <w:pStyle w:val="85"/>
              <w:jc w:val="center"/>
              <w:rPr>
                <w:color w:val="auto"/>
                <w:sz w:val="22"/>
                <w:szCs w:val="22"/>
              </w:rPr>
            </w:pPr>
            <w:r>
              <w:rPr>
                <w:color w:val="auto"/>
                <w:sz w:val="22"/>
                <w:szCs w:val="22"/>
              </w:rPr>
              <w:t>Урок 82</w:t>
            </w:r>
          </w:p>
        </w:tc>
        <w:tc>
          <w:tcPr>
            <w:tcW w:w="7937" w:type="dxa"/>
          </w:tcPr>
          <w:p w14:paraId="5DF390DB">
            <w:pPr>
              <w:pStyle w:val="85"/>
              <w:jc w:val="both"/>
              <w:rPr>
                <w:color w:val="auto"/>
                <w:sz w:val="22"/>
                <w:szCs w:val="22"/>
              </w:rPr>
            </w:pPr>
            <w:r>
              <w:rPr>
                <w:color w:val="auto"/>
                <w:sz w:val="22"/>
                <w:szCs w:val="22"/>
              </w:rPr>
              <w:t>Падеж имен существительных: винительный падеж</w:t>
            </w:r>
          </w:p>
        </w:tc>
      </w:tr>
      <w:tr w14:paraId="785F56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410F7E19">
            <w:pPr>
              <w:pStyle w:val="85"/>
              <w:jc w:val="center"/>
              <w:rPr>
                <w:color w:val="auto"/>
                <w:sz w:val="22"/>
                <w:szCs w:val="22"/>
              </w:rPr>
            </w:pPr>
            <w:r>
              <w:rPr>
                <w:color w:val="auto"/>
                <w:sz w:val="22"/>
                <w:szCs w:val="22"/>
              </w:rPr>
              <w:t>Урок 83</w:t>
            </w:r>
          </w:p>
        </w:tc>
        <w:tc>
          <w:tcPr>
            <w:tcW w:w="7937" w:type="dxa"/>
          </w:tcPr>
          <w:p w14:paraId="00AA122E">
            <w:pPr>
              <w:pStyle w:val="85"/>
              <w:jc w:val="both"/>
              <w:rPr>
                <w:color w:val="auto"/>
                <w:sz w:val="22"/>
                <w:szCs w:val="22"/>
              </w:rPr>
            </w:pPr>
            <w:r>
              <w:rPr>
                <w:color w:val="auto"/>
                <w:sz w:val="22"/>
                <w:szCs w:val="22"/>
              </w:rPr>
              <w:t>Падеж имен существительных: творительный падеж</w:t>
            </w:r>
          </w:p>
        </w:tc>
      </w:tr>
      <w:tr w14:paraId="6CBBBC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134" w:type="dxa"/>
            <w:vAlign w:val="center"/>
          </w:tcPr>
          <w:p w14:paraId="129DB398">
            <w:pPr>
              <w:pStyle w:val="85"/>
              <w:jc w:val="center"/>
              <w:rPr>
                <w:color w:val="auto"/>
                <w:sz w:val="22"/>
                <w:szCs w:val="22"/>
              </w:rPr>
            </w:pPr>
            <w:r>
              <w:rPr>
                <w:color w:val="auto"/>
                <w:sz w:val="22"/>
                <w:szCs w:val="22"/>
              </w:rPr>
              <w:t>Урок 84</w:t>
            </w:r>
          </w:p>
        </w:tc>
        <w:tc>
          <w:tcPr>
            <w:tcW w:w="7937" w:type="dxa"/>
          </w:tcPr>
          <w:p w14:paraId="51885613">
            <w:pPr>
              <w:pStyle w:val="85"/>
              <w:jc w:val="both"/>
              <w:rPr>
                <w:color w:val="auto"/>
                <w:sz w:val="22"/>
                <w:szCs w:val="22"/>
              </w:rPr>
            </w:pPr>
            <w:r>
              <w:rPr>
                <w:color w:val="auto"/>
                <w:sz w:val="22"/>
                <w:szCs w:val="22"/>
              </w:rPr>
              <w:t>Падеж имен существительных: предложный падеж</w:t>
            </w:r>
          </w:p>
        </w:tc>
      </w:tr>
      <w:tr w14:paraId="7F8F9B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4C6AA18E">
            <w:pPr>
              <w:pStyle w:val="85"/>
              <w:jc w:val="center"/>
              <w:rPr>
                <w:color w:val="auto"/>
                <w:sz w:val="22"/>
                <w:szCs w:val="22"/>
              </w:rPr>
            </w:pPr>
            <w:r>
              <w:rPr>
                <w:color w:val="auto"/>
                <w:sz w:val="22"/>
                <w:szCs w:val="22"/>
              </w:rPr>
              <w:t>Урок 85</w:t>
            </w:r>
          </w:p>
        </w:tc>
        <w:tc>
          <w:tcPr>
            <w:tcW w:w="7937" w:type="dxa"/>
          </w:tcPr>
          <w:p w14:paraId="674F34FA">
            <w:pPr>
              <w:pStyle w:val="85"/>
              <w:jc w:val="both"/>
              <w:rPr>
                <w:color w:val="auto"/>
                <w:sz w:val="22"/>
                <w:szCs w:val="22"/>
              </w:rPr>
            </w:pPr>
            <w:r>
              <w:rPr>
                <w:color w:val="auto"/>
                <w:sz w:val="22"/>
                <w:szCs w:val="22"/>
              </w:rPr>
              <w:t>Изменение имен существительных по падежам и числам (склонение)</w:t>
            </w:r>
          </w:p>
        </w:tc>
      </w:tr>
      <w:tr w14:paraId="35778A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0D7B7F68">
            <w:pPr>
              <w:pStyle w:val="85"/>
              <w:jc w:val="center"/>
              <w:rPr>
                <w:color w:val="auto"/>
                <w:sz w:val="22"/>
                <w:szCs w:val="22"/>
              </w:rPr>
            </w:pPr>
            <w:r>
              <w:rPr>
                <w:color w:val="auto"/>
                <w:sz w:val="22"/>
                <w:szCs w:val="22"/>
              </w:rPr>
              <w:t>Урок 86</w:t>
            </w:r>
          </w:p>
        </w:tc>
        <w:tc>
          <w:tcPr>
            <w:tcW w:w="7937" w:type="dxa"/>
          </w:tcPr>
          <w:p w14:paraId="3983B7BF">
            <w:pPr>
              <w:pStyle w:val="85"/>
              <w:jc w:val="both"/>
              <w:rPr>
                <w:color w:val="auto"/>
                <w:sz w:val="22"/>
                <w:szCs w:val="22"/>
              </w:rPr>
            </w:pPr>
            <w:r>
              <w:rPr>
                <w:color w:val="auto"/>
                <w:sz w:val="22"/>
                <w:szCs w:val="22"/>
              </w:rPr>
              <w:t>Ключевые слова в тексте</w:t>
            </w:r>
          </w:p>
        </w:tc>
      </w:tr>
      <w:tr w14:paraId="5644CA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25A6DEE4">
            <w:pPr>
              <w:pStyle w:val="85"/>
              <w:jc w:val="center"/>
              <w:rPr>
                <w:color w:val="auto"/>
                <w:sz w:val="22"/>
                <w:szCs w:val="22"/>
              </w:rPr>
            </w:pPr>
            <w:r>
              <w:rPr>
                <w:color w:val="auto"/>
                <w:sz w:val="22"/>
                <w:szCs w:val="22"/>
              </w:rPr>
              <w:t>Урок 87</w:t>
            </w:r>
          </w:p>
        </w:tc>
        <w:tc>
          <w:tcPr>
            <w:tcW w:w="7937" w:type="dxa"/>
          </w:tcPr>
          <w:p w14:paraId="75131988">
            <w:pPr>
              <w:pStyle w:val="85"/>
              <w:jc w:val="both"/>
              <w:rPr>
                <w:color w:val="auto"/>
                <w:sz w:val="22"/>
                <w:szCs w:val="22"/>
              </w:rPr>
            </w:pPr>
            <w:r>
              <w:rPr>
                <w:color w:val="auto"/>
                <w:sz w:val="22"/>
                <w:szCs w:val="22"/>
              </w:rPr>
              <w:t>План текста</w:t>
            </w:r>
          </w:p>
        </w:tc>
      </w:tr>
      <w:tr w14:paraId="359A31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2CD8CE7D">
            <w:pPr>
              <w:pStyle w:val="85"/>
              <w:jc w:val="center"/>
              <w:rPr>
                <w:color w:val="auto"/>
                <w:sz w:val="22"/>
                <w:szCs w:val="22"/>
              </w:rPr>
            </w:pPr>
            <w:r>
              <w:rPr>
                <w:color w:val="auto"/>
                <w:sz w:val="22"/>
                <w:szCs w:val="22"/>
              </w:rPr>
              <w:t>Урок 88</w:t>
            </w:r>
          </w:p>
        </w:tc>
        <w:tc>
          <w:tcPr>
            <w:tcW w:w="7937" w:type="dxa"/>
          </w:tcPr>
          <w:p w14:paraId="1A7D42BD">
            <w:pPr>
              <w:pStyle w:val="85"/>
              <w:jc w:val="both"/>
              <w:rPr>
                <w:color w:val="auto"/>
                <w:sz w:val="22"/>
                <w:szCs w:val="22"/>
              </w:rPr>
            </w:pPr>
            <w:r>
              <w:rPr>
                <w:color w:val="auto"/>
                <w:sz w:val="22"/>
                <w:szCs w:val="22"/>
              </w:rPr>
              <w:t>Составление плана текста</w:t>
            </w:r>
          </w:p>
        </w:tc>
      </w:tr>
      <w:tr w14:paraId="6249E1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4F0BE6EA">
            <w:pPr>
              <w:pStyle w:val="85"/>
              <w:jc w:val="center"/>
              <w:rPr>
                <w:color w:val="auto"/>
                <w:sz w:val="22"/>
                <w:szCs w:val="22"/>
              </w:rPr>
            </w:pPr>
            <w:r>
              <w:rPr>
                <w:color w:val="auto"/>
                <w:sz w:val="22"/>
                <w:szCs w:val="22"/>
              </w:rPr>
              <w:t>Урок 89</w:t>
            </w:r>
          </w:p>
        </w:tc>
        <w:tc>
          <w:tcPr>
            <w:tcW w:w="7937" w:type="dxa"/>
          </w:tcPr>
          <w:p w14:paraId="7DC98ABE">
            <w:pPr>
              <w:pStyle w:val="85"/>
              <w:jc w:val="both"/>
              <w:rPr>
                <w:color w:val="auto"/>
                <w:sz w:val="22"/>
                <w:szCs w:val="22"/>
              </w:rPr>
            </w:pPr>
            <w:r>
              <w:rPr>
                <w:color w:val="auto"/>
                <w:sz w:val="22"/>
                <w:szCs w:val="22"/>
              </w:rPr>
              <w:t>Продолжаем учиться составлять план текста</w:t>
            </w:r>
          </w:p>
        </w:tc>
      </w:tr>
      <w:tr w14:paraId="0F70AA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68EF3DCC">
            <w:pPr>
              <w:pStyle w:val="85"/>
              <w:jc w:val="center"/>
              <w:rPr>
                <w:color w:val="auto"/>
                <w:sz w:val="22"/>
                <w:szCs w:val="22"/>
              </w:rPr>
            </w:pPr>
            <w:r>
              <w:rPr>
                <w:color w:val="auto"/>
                <w:sz w:val="22"/>
                <w:szCs w:val="22"/>
              </w:rPr>
              <w:t>Урок 90</w:t>
            </w:r>
          </w:p>
        </w:tc>
        <w:tc>
          <w:tcPr>
            <w:tcW w:w="7937" w:type="dxa"/>
          </w:tcPr>
          <w:p w14:paraId="32CE2800">
            <w:pPr>
              <w:pStyle w:val="85"/>
              <w:jc w:val="both"/>
              <w:rPr>
                <w:color w:val="auto"/>
                <w:sz w:val="22"/>
                <w:szCs w:val="22"/>
              </w:rPr>
            </w:pPr>
            <w:r>
              <w:rPr>
                <w:color w:val="auto"/>
                <w:sz w:val="22"/>
                <w:szCs w:val="22"/>
              </w:rPr>
              <w:t>Изложение текста с использованием коллективно составленного плана</w:t>
            </w:r>
          </w:p>
        </w:tc>
      </w:tr>
      <w:tr w14:paraId="6EECDB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0E7C55DC">
            <w:pPr>
              <w:pStyle w:val="85"/>
              <w:jc w:val="center"/>
              <w:rPr>
                <w:color w:val="auto"/>
                <w:sz w:val="22"/>
                <w:szCs w:val="22"/>
              </w:rPr>
            </w:pPr>
            <w:r>
              <w:rPr>
                <w:color w:val="auto"/>
                <w:sz w:val="22"/>
                <w:szCs w:val="22"/>
              </w:rPr>
              <w:t>Урок 91</w:t>
            </w:r>
          </w:p>
        </w:tc>
        <w:tc>
          <w:tcPr>
            <w:tcW w:w="7937" w:type="dxa"/>
          </w:tcPr>
          <w:p w14:paraId="53528B87">
            <w:pPr>
              <w:pStyle w:val="85"/>
              <w:jc w:val="both"/>
              <w:rPr>
                <w:color w:val="auto"/>
                <w:sz w:val="22"/>
                <w:szCs w:val="22"/>
              </w:rPr>
            </w:pPr>
            <w:r>
              <w:rPr>
                <w:color w:val="auto"/>
                <w:sz w:val="22"/>
                <w:szCs w:val="22"/>
              </w:rPr>
              <w:t>Имена существительные 1-го, 2-го, 3-го склонений</w:t>
            </w:r>
          </w:p>
        </w:tc>
      </w:tr>
      <w:tr w14:paraId="3EA805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3C6F0368">
            <w:pPr>
              <w:pStyle w:val="85"/>
              <w:jc w:val="center"/>
              <w:rPr>
                <w:color w:val="auto"/>
                <w:sz w:val="22"/>
                <w:szCs w:val="22"/>
              </w:rPr>
            </w:pPr>
            <w:r>
              <w:rPr>
                <w:color w:val="auto"/>
                <w:sz w:val="22"/>
                <w:szCs w:val="22"/>
              </w:rPr>
              <w:t>Урок 92</w:t>
            </w:r>
          </w:p>
        </w:tc>
        <w:tc>
          <w:tcPr>
            <w:tcW w:w="7937" w:type="dxa"/>
          </w:tcPr>
          <w:p w14:paraId="320D90A0">
            <w:pPr>
              <w:pStyle w:val="85"/>
              <w:jc w:val="both"/>
              <w:rPr>
                <w:color w:val="auto"/>
                <w:sz w:val="22"/>
                <w:szCs w:val="22"/>
              </w:rPr>
            </w:pPr>
            <w:r>
              <w:rPr>
                <w:color w:val="auto"/>
                <w:sz w:val="22"/>
                <w:szCs w:val="22"/>
              </w:rPr>
              <w:t>Наблюдение за правописанием безударных окончаний имен существительных 1-го склонения</w:t>
            </w:r>
          </w:p>
        </w:tc>
      </w:tr>
      <w:tr w14:paraId="048E03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104AA5A8">
            <w:pPr>
              <w:pStyle w:val="85"/>
              <w:jc w:val="center"/>
              <w:rPr>
                <w:color w:val="auto"/>
                <w:sz w:val="22"/>
                <w:szCs w:val="22"/>
              </w:rPr>
            </w:pPr>
            <w:r>
              <w:rPr>
                <w:color w:val="auto"/>
                <w:sz w:val="22"/>
                <w:szCs w:val="22"/>
              </w:rPr>
              <w:t>Урок 93</w:t>
            </w:r>
          </w:p>
        </w:tc>
        <w:tc>
          <w:tcPr>
            <w:tcW w:w="7937" w:type="dxa"/>
          </w:tcPr>
          <w:p w14:paraId="61E7BAA2">
            <w:pPr>
              <w:pStyle w:val="85"/>
              <w:jc w:val="both"/>
              <w:rPr>
                <w:color w:val="auto"/>
                <w:sz w:val="22"/>
                <w:szCs w:val="22"/>
              </w:rPr>
            </w:pPr>
            <w:r>
              <w:rPr>
                <w:color w:val="auto"/>
                <w:sz w:val="22"/>
                <w:szCs w:val="22"/>
              </w:rPr>
              <w:t>Правописание безударных окончаний имен существительных 1-го склонения</w:t>
            </w:r>
          </w:p>
        </w:tc>
      </w:tr>
      <w:tr w14:paraId="1AC20A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22F504EF">
            <w:pPr>
              <w:pStyle w:val="85"/>
              <w:jc w:val="center"/>
              <w:rPr>
                <w:color w:val="auto"/>
                <w:sz w:val="22"/>
                <w:szCs w:val="22"/>
              </w:rPr>
            </w:pPr>
            <w:r>
              <w:rPr>
                <w:color w:val="auto"/>
                <w:sz w:val="22"/>
                <w:szCs w:val="22"/>
              </w:rPr>
              <w:t>Урок 94</w:t>
            </w:r>
          </w:p>
        </w:tc>
        <w:tc>
          <w:tcPr>
            <w:tcW w:w="7937" w:type="dxa"/>
          </w:tcPr>
          <w:p w14:paraId="49C59FA2">
            <w:pPr>
              <w:pStyle w:val="85"/>
              <w:jc w:val="both"/>
              <w:rPr>
                <w:color w:val="auto"/>
                <w:sz w:val="22"/>
                <w:szCs w:val="22"/>
              </w:rPr>
            </w:pPr>
            <w:r>
              <w:rPr>
                <w:color w:val="auto"/>
                <w:sz w:val="22"/>
                <w:szCs w:val="22"/>
              </w:rPr>
              <w:t>Наблюдение за правописанием безударных окончаний имен существительных 2-го склонения</w:t>
            </w:r>
          </w:p>
        </w:tc>
      </w:tr>
      <w:tr w14:paraId="047038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1C07DFFD">
            <w:pPr>
              <w:pStyle w:val="85"/>
              <w:jc w:val="center"/>
              <w:rPr>
                <w:color w:val="auto"/>
                <w:sz w:val="22"/>
                <w:szCs w:val="22"/>
              </w:rPr>
            </w:pPr>
            <w:r>
              <w:rPr>
                <w:color w:val="auto"/>
                <w:sz w:val="22"/>
                <w:szCs w:val="22"/>
              </w:rPr>
              <w:t>Урок 95</w:t>
            </w:r>
          </w:p>
        </w:tc>
        <w:tc>
          <w:tcPr>
            <w:tcW w:w="7937" w:type="dxa"/>
          </w:tcPr>
          <w:p w14:paraId="216D8D40">
            <w:pPr>
              <w:pStyle w:val="85"/>
              <w:jc w:val="both"/>
              <w:rPr>
                <w:color w:val="auto"/>
                <w:sz w:val="22"/>
                <w:szCs w:val="22"/>
              </w:rPr>
            </w:pPr>
            <w:r>
              <w:rPr>
                <w:color w:val="auto"/>
                <w:sz w:val="22"/>
                <w:szCs w:val="22"/>
              </w:rPr>
              <w:t>Правописание безударных окончаний имен существительных 2-го склонения</w:t>
            </w:r>
          </w:p>
        </w:tc>
      </w:tr>
      <w:tr w14:paraId="7C798A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54B2A974">
            <w:pPr>
              <w:pStyle w:val="85"/>
              <w:jc w:val="center"/>
              <w:rPr>
                <w:color w:val="auto"/>
                <w:sz w:val="22"/>
                <w:szCs w:val="22"/>
              </w:rPr>
            </w:pPr>
            <w:r>
              <w:rPr>
                <w:color w:val="auto"/>
                <w:sz w:val="22"/>
                <w:szCs w:val="22"/>
              </w:rPr>
              <w:t>Урок 96</w:t>
            </w:r>
          </w:p>
        </w:tc>
        <w:tc>
          <w:tcPr>
            <w:tcW w:w="7937" w:type="dxa"/>
          </w:tcPr>
          <w:p w14:paraId="3E569480">
            <w:pPr>
              <w:pStyle w:val="85"/>
              <w:jc w:val="both"/>
              <w:rPr>
                <w:color w:val="auto"/>
                <w:sz w:val="22"/>
                <w:szCs w:val="22"/>
              </w:rPr>
            </w:pPr>
            <w:r>
              <w:rPr>
                <w:color w:val="auto"/>
                <w:sz w:val="22"/>
                <w:szCs w:val="22"/>
              </w:rPr>
              <w:t>Наблюдение за правописанием безударных окончаний имен существительных 3-го склонения</w:t>
            </w:r>
          </w:p>
        </w:tc>
      </w:tr>
      <w:tr w14:paraId="206A0A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02DA3FFD">
            <w:pPr>
              <w:pStyle w:val="85"/>
              <w:jc w:val="center"/>
              <w:rPr>
                <w:color w:val="auto"/>
                <w:sz w:val="22"/>
                <w:szCs w:val="22"/>
              </w:rPr>
            </w:pPr>
            <w:r>
              <w:rPr>
                <w:color w:val="auto"/>
                <w:sz w:val="22"/>
                <w:szCs w:val="22"/>
              </w:rPr>
              <w:t>Урок 97</w:t>
            </w:r>
          </w:p>
        </w:tc>
        <w:tc>
          <w:tcPr>
            <w:tcW w:w="7937" w:type="dxa"/>
          </w:tcPr>
          <w:p w14:paraId="4E370932">
            <w:pPr>
              <w:pStyle w:val="85"/>
              <w:jc w:val="both"/>
              <w:rPr>
                <w:color w:val="auto"/>
                <w:sz w:val="22"/>
                <w:szCs w:val="22"/>
              </w:rPr>
            </w:pPr>
            <w:r>
              <w:rPr>
                <w:color w:val="auto"/>
                <w:sz w:val="22"/>
                <w:szCs w:val="22"/>
              </w:rPr>
              <w:t>Правописание безударных окончаний имен существительных 3-го склонения</w:t>
            </w:r>
          </w:p>
        </w:tc>
      </w:tr>
      <w:tr w14:paraId="103A36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7CD0DDFF">
            <w:pPr>
              <w:pStyle w:val="85"/>
              <w:jc w:val="center"/>
              <w:rPr>
                <w:color w:val="auto"/>
                <w:sz w:val="22"/>
                <w:szCs w:val="22"/>
              </w:rPr>
            </w:pPr>
            <w:r>
              <w:rPr>
                <w:color w:val="auto"/>
                <w:sz w:val="22"/>
                <w:szCs w:val="22"/>
              </w:rPr>
              <w:t>Урок 98</w:t>
            </w:r>
          </w:p>
        </w:tc>
        <w:tc>
          <w:tcPr>
            <w:tcW w:w="7937" w:type="dxa"/>
          </w:tcPr>
          <w:p w14:paraId="72D4097A">
            <w:pPr>
              <w:pStyle w:val="85"/>
              <w:jc w:val="both"/>
              <w:rPr>
                <w:color w:val="auto"/>
                <w:sz w:val="22"/>
                <w:szCs w:val="22"/>
              </w:rPr>
            </w:pPr>
            <w:r>
              <w:rPr>
                <w:color w:val="auto"/>
                <w:sz w:val="22"/>
                <w:szCs w:val="22"/>
              </w:rPr>
              <w:t>Изложение текста с опорой на самостоятельно составленный план</w:t>
            </w:r>
          </w:p>
        </w:tc>
      </w:tr>
      <w:tr w14:paraId="434C35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673A6994">
            <w:pPr>
              <w:pStyle w:val="85"/>
              <w:jc w:val="center"/>
              <w:rPr>
                <w:color w:val="auto"/>
                <w:sz w:val="22"/>
                <w:szCs w:val="22"/>
              </w:rPr>
            </w:pPr>
            <w:r>
              <w:rPr>
                <w:color w:val="auto"/>
                <w:sz w:val="22"/>
                <w:szCs w:val="22"/>
              </w:rPr>
              <w:t>Урок 99</w:t>
            </w:r>
          </w:p>
        </w:tc>
        <w:tc>
          <w:tcPr>
            <w:tcW w:w="7937" w:type="dxa"/>
          </w:tcPr>
          <w:p w14:paraId="03AC8955">
            <w:pPr>
              <w:pStyle w:val="85"/>
              <w:jc w:val="both"/>
              <w:rPr>
                <w:color w:val="auto"/>
                <w:sz w:val="22"/>
                <w:szCs w:val="22"/>
              </w:rPr>
            </w:pPr>
            <w:r>
              <w:rPr>
                <w:color w:val="auto"/>
                <w:sz w:val="22"/>
                <w:szCs w:val="22"/>
              </w:rPr>
              <w:t>Правописание окончаний имен существительных во множественном числе</w:t>
            </w:r>
          </w:p>
        </w:tc>
      </w:tr>
      <w:tr w14:paraId="625241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220BDEB8">
            <w:pPr>
              <w:pStyle w:val="85"/>
              <w:jc w:val="center"/>
              <w:rPr>
                <w:color w:val="auto"/>
                <w:sz w:val="22"/>
                <w:szCs w:val="22"/>
              </w:rPr>
            </w:pPr>
            <w:r>
              <w:rPr>
                <w:color w:val="auto"/>
                <w:sz w:val="22"/>
                <w:szCs w:val="22"/>
              </w:rPr>
              <w:t>Урок 100</w:t>
            </w:r>
          </w:p>
        </w:tc>
        <w:tc>
          <w:tcPr>
            <w:tcW w:w="7937" w:type="dxa"/>
          </w:tcPr>
          <w:p w14:paraId="1FB1EB40">
            <w:pPr>
              <w:pStyle w:val="85"/>
              <w:jc w:val="both"/>
              <w:rPr>
                <w:color w:val="auto"/>
                <w:sz w:val="22"/>
                <w:szCs w:val="22"/>
              </w:rPr>
            </w:pPr>
            <w:r>
              <w:rPr>
                <w:color w:val="auto"/>
                <w:sz w:val="22"/>
                <w:szCs w:val="22"/>
              </w:rPr>
              <w:t>Правописание безударных окончаний имен существительных: систематизация знаний</w:t>
            </w:r>
          </w:p>
        </w:tc>
      </w:tr>
      <w:tr w14:paraId="0B104E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35435D5D">
            <w:pPr>
              <w:pStyle w:val="85"/>
              <w:jc w:val="center"/>
              <w:rPr>
                <w:color w:val="auto"/>
                <w:sz w:val="22"/>
                <w:szCs w:val="22"/>
              </w:rPr>
            </w:pPr>
            <w:r>
              <w:rPr>
                <w:color w:val="auto"/>
                <w:sz w:val="22"/>
                <w:szCs w:val="22"/>
              </w:rPr>
              <w:t>Урок 101</w:t>
            </w:r>
          </w:p>
        </w:tc>
        <w:tc>
          <w:tcPr>
            <w:tcW w:w="7937" w:type="dxa"/>
          </w:tcPr>
          <w:p w14:paraId="743B3822">
            <w:pPr>
              <w:pStyle w:val="85"/>
              <w:jc w:val="both"/>
              <w:rPr>
                <w:color w:val="auto"/>
                <w:sz w:val="22"/>
                <w:szCs w:val="22"/>
              </w:rPr>
            </w:pPr>
            <w:r>
              <w:rPr>
                <w:color w:val="auto"/>
                <w:sz w:val="22"/>
                <w:szCs w:val="22"/>
              </w:rPr>
              <w:t>Правописание безударных окончаний имен существительных: обобщение</w:t>
            </w:r>
          </w:p>
        </w:tc>
      </w:tr>
      <w:tr w14:paraId="7FC9B4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21852CE6">
            <w:pPr>
              <w:pStyle w:val="85"/>
              <w:jc w:val="center"/>
              <w:rPr>
                <w:color w:val="auto"/>
                <w:sz w:val="22"/>
                <w:szCs w:val="22"/>
              </w:rPr>
            </w:pPr>
            <w:r>
              <w:rPr>
                <w:color w:val="auto"/>
                <w:sz w:val="22"/>
                <w:szCs w:val="22"/>
              </w:rPr>
              <w:t>Урок 102</w:t>
            </w:r>
          </w:p>
        </w:tc>
        <w:tc>
          <w:tcPr>
            <w:tcW w:w="7937" w:type="dxa"/>
          </w:tcPr>
          <w:p w14:paraId="1D56AF83">
            <w:pPr>
              <w:pStyle w:val="85"/>
              <w:jc w:val="both"/>
              <w:rPr>
                <w:color w:val="auto"/>
                <w:sz w:val="22"/>
                <w:szCs w:val="22"/>
              </w:rPr>
            </w:pPr>
            <w:r>
              <w:rPr>
                <w:color w:val="auto"/>
                <w:sz w:val="22"/>
                <w:szCs w:val="22"/>
              </w:rPr>
              <w:t>Объяснительный диктант (безударные гласные в падежных окончаниях имен существительных)</w:t>
            </w:r>
          </w:p>
        </w:tc>
      </w:tr>
      <w:tr w14:paraId="52A079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039F38FC">
            <w:pPr>
              <w:pStyle w:val="85"/>
              <w:jc w:val="center"/>
              <w:rPr>
                <w:color w:val="auto"/>
                <w:sz w:val="22"/>
                <w:szCs w:val="22"/>
              </w:rPr>
            </w:pPr>
            <w:r>
              <w:rPr>
                <w:color w:val="auto"/>
                <w:sz w:val="22"/>
                <w:szCs w:val="22"/>
              </w:rPr>
              <w:t>Урок 103</w:t>
            </w:r>
          </w:p>
        </w:tc>
        <w:tc>
          <w:tcPr>
            <w:tcW w:w="7937" w:type="dxa"/>
          </w:tcPr>
          <w:p w14:paraId="2712E4B5">
            <w:pPr>
              <w:pStyle w:val="85"/>
              <w:jc w:val="both"/>
              <w:rPr>
                <w:color w:val="auto"/>
                <w:sz w:val="22"/>
                <w:szCs w:val="22"/>
              </w:rPr>
            </w:pPr>
            <w:r>
              <w:rPr>
                <w:color w:val="auto"/>
                <w:sz w:val="22"/>
                <w:szCs w:val="22"/>
              </w:rPr>
              <w:t>Имена существительные одушевленные и неодушевленные</w:t>
            </w:r>
          </w:p>
        </w:tc>
      </w:tr>
      <w:tr w14:paraId="310D90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7B33BA50">
            <w:pPr>
              <w:pStyle w:val="85"/>
              <w:jc w:val="center"/>
              <w:rPr>
                <w:color w:val="auto"/>
                <w:sz w:val="22"/>
                <w:szCs w:val="22"/>
              </w:rPr>
            </w:pPr>
            <w:r>
              <w:rPr>
                <w:color w:val="auto"/>
                <w:sz w:val="22"/>
                <w:szCs w:val="22"/>
              </w:rPr>
              <w:t>Урок 104</w:t>
            </w:r>
          </w:p>
        </w:tc>
        <w:tc>
          <w:tcPr>
            <w:tcW w:w="7937" w:type="dxa"/>
          </w:tcPr>
          <w:p w14:paraId="4C58E8AB">
            <w:pPr>
              <w:pStyle w:val="85"/>
              <w:jc w:val="both"/>
              <w:rPr>
                <w:color w:val="auto"/>
                <w:sz w:val="22"/>
                <w:szCs w:val="22"/>
              </w:rPr>
            </w:pPr>
            <w:r>
              <w:rPr>
                <w:color w:val="auto"/>
                <w:sz w:val="22"/>
                <w:szCs w:val="22"/>
              </w:rPr>
              <w:t>Обобщение знаний об имени существительном</w:t>
            </w:r>
          </w:p>
        </w:tc>
      </w:tr>
      <w:tr w14:paraId="5A8909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1B19AC09">
            <w:pPr>
              <w:pStyle w:val="85"/>
              <w:jc w:val="center"/>
              <w:rPr>
                <w:color w:val="auto"/>
                <w:sz w:val="22"/>
                <w:szCs w:val="22"/>
              </w:rPr>
            </w:pPr>
            <w:r>
              <w:rPr>
                <w:color w:val="auto"/>
                <w:sz w:val="22"/>
                <w:szCs w:val="22"/>
              </w:rPr>
              <w:t>Урок 105</w:t>
            </w:r>
          </w:p>
        </w:tc>
        <w:tc>
          <w:tcPr>
            <w:tcW w:w="7937" w:type="dxa"/>
          </w:tcPr>
          <w:p w14:paraId="7E777F8D">
            <w:pPr>
              <w:pStyle w:val="85"/>
              <w:jc w:val="both"/>
              <w:rPr>
                <w:color w:val="auto"/>
                <w:sz w:val="22"/>
                <w:szCs w:val="22"/>
              </w:rPr>
            </w:pPr>
            <w:r>
              <w:rPr>
                <w:color w:val="auto"/>
                <w:sz w:val="22"/>
                <w:szCs w:val="22"/>
              </w:rPr>
              <w:t>Резервный урок по разделу морфология: отработка темы</w:t>
            </w:r>
          </w:p>
        </w:tc>
      </w:tr>
      <w:tr w14:paraId="2A117D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134" w:type="dxa"/>
            <w:vAlign w:val="center"/>
          </w:tcPr>
          <w:p w14:paraId="3AD92018">
            <w:pPr>
              <w:pStyle w:val="85"/>
              <w:jc w:val="center"/>
              <w:rPr>
                <w:color w:val="auto"/>
                <w:sz w:val="22"/>
                <w:szCs w:val="22"/>
              </w:rPr>
            </w:pPr>
            <w:r>
              <w:rPr>
                <w:color w:val="auto"/>
                <w:sz w:val="22"/>
                <w:szCs w:val="22"/>
              </w:rPr>
              <w:t>Урок 106</w:t>
            </w:r>
          </w:p>
        </w:tc>
        <w:tc>
          <w:tcPr>
            <w:tcW w:w="7937" w:type="dxa"/>
          </w:tcPr>
          <w:p w14:paraId="4F81E928">
            <w:pPr>
              <w:pStyle w:val="85"/>
              <w:jc w:val="both"/>
              <w:rPr>
                <w:color w:val="auto"/>
                <w:sz w:val="22"/>
                <w:szCs w:val="22"/>
              </w:rPr>
            </w:pPr>
            <w:r>
              <w:rPr>
                <w:color w:val="auto"/>
                <w:sz w:val="22"/>
                <w:szCs w:val="22"/>
              </w:rPr>
              <w:t>Резервный урок по разделу морфология: отработка темы</w:t>
            </w:r>
          </w:p>
        </w:tc>
      </w:tr>
      <w:tr w14:paraId="501DC5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143EAFEA">
            <w:pPr>
              <w:pStyle w:val="85"/>
              <w:jc w:val="center"/>
              <w:rPr>
                <w:color w:val="auto"/>
                <w:sz w:val="22"/>
                <w:szCs w:val="22"/>
              </w:rPr>
            </w:pPr>
            <w:r>
              <w:rPr>
                <w:color w:val="auto"/>
                <w:sz w:val="22"/>
                <w:szCs w:val="22"/>
              </w:rPr>
              <w:t>Урок 107</w:t>
            </w:r>
          </w:p>
        </w:tc>
        <w:tc>
          <w:tcPr>
            <w:tcW w:w="7937" w:type="dxa"/>
          </w:tcPr>
          <w:p w14:paraId="2CA6D028">
            <w:pPr>
              <w:pStyle w:val="85"/>
              <w:jc w:val="both"/>
              <w:rPr>
                <w:color w:val="auto"/>
                <w:sz w:val="22"/>
                <w:szCs w:val="22"/>
              </w:rPr>
            </w:pPr>
            <w:r>
              <w:rPr>
                <w:color w:val="auto"/>
                <w:sz w:val="22"/>
                <w:szCs w:val="22"/>
              </w:rPr>
              <w:t>Резервный урок по разделу орфография: отработка орфограмм, вызывающих трудности</w:t>
            </w:r>
          </w:p>
        </w:tc>
      </w:tr>
      <w:tr w14:paraId="6EFB8C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227AE850">
            <w:pPr>
              <w:pStyle w:val="85"/>
              <w:jc w:val="center"/>
              <w:rPr>
                <w:color w:val="auto"/>
                <w:sz w:val="22"/>
                <w:szCs w:val="22"/>
              </w:rPr>
            </w:pPr>
            <w:r>
              <w:rPr>
                <w:color w:val="auto"/>
                <w:sz w:val="22"/>
                <w:szCs w:val="22"/>
              </w:rPr>
              <w:t>Урок 108</w:t>
            </w:r>
          </w:p>
        </w:tc>
        <w:tc>
          <w:tcPr>
            <w:tcW w:w="7937" w:type="dxa"/>
          </w:tcPr>
          <w:p w14:paraId="178EF2B7">
            <w:pPr>
              <w:pStyle w:val="85"/>
              <w:jc w:val="both"/>
              <w:rPr>
                <w:color w:val="auto"/>
                <w:sz w:val="22"/>
                <w:szCs w:val="22"/>
              </w:rPr>
            </w:pPr>
            <w:r>
              <w:rPr>
                <w:color w:val="auto"/>
                <w:sz w:val="22"/>
                <w:szCs w:val="22"/>
              </w:rPr>
              <w:t>Резервный урок по разделу орфография: отработка орфограмм, вызывающих трудности</w:t>
            </w:r>
          </w:p>
        </w:tc>
      </w:tr>
      <w:tr w14:paraId="7AA56E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2D0D4C64">
            <w:pPr>
              <w:pStyle w:val="85"/>
              <w:jc w:val="center"/>
              <w:rPr>
                <w:color w:val="auto"/>
                <w:sz w:val="22"/>
                <w:szCs w:val="22"/>
              </w:rPr>
            </w:pPr>
            <w:r>
              <w:rPr>
                <w:color w:val="auto"/>
                <w:sz w:val="22"/>
                <w:szCs w:val="22"/>
              </w:rPr>
              <w:t>Урок 109</w:t>
            </w:r>
          </w:p>
        </w:tc>
        <w:tc>
          <w:tcPr>
            <w:tcW w:w="7937" w:type="dxa"/>
          </w:tcPr>
          <w:p w14:paraId="75651446">
            <w:pPr>
              <w:pStyle w:val="85"/>
              <w:jc w:val="both"/>
              <w:rPr>
                <w:color w:val="auto"/>
                <w:sz w:val="22"/>
                <w:szCs w:val="22"/>
              </w:rPr>
            </w:pPr>
            <w:r>
              <w:rPr>
                <w:color w:val="auto"/>
                <w:sz w:val="22"/>
                <w:szCs w:val="22"/>
              </w:rPr>
              <w:t>Резервный урок по разделу орфография: повторение по теме "Правописание безударных падежных окончаний имен существительных"</w:t>
            </w:r>
          </w:p>
        </w:tc>
      </w:tr>
      <w:tr w14:paraId="2ECD98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6C6215F9">
            <w:pPr>
              <w:pStyle w:val="85"/>
              <w:jc w:val="center"/>
              <w:rPr>
                <w:color w:val="auto"/>
                <w:sz w:val="22"/>
                <w:szCs w:val="22"/>
              </w:rPr>
            </w:pPr>
            <w:r>
              <w:rPr>
                <w:color w:val="auto"/>
                <w:sz w:val="22"/>
                <w:szCs w:val="22"/>
              </w:rPr>
              <w:t>Урок 110</w:t>
            </w:r>
          </w:p>
        </w:tc>
        <w:tc>
          <w:tcPr>
            <w:tcW w:w="7937" w:type="dxa"/>
          </w:tcPr>
          <w:p w14:paraId="52D457D2">
            <w:pPr>
              <w:pStyle w:val="85"/>
              <w:jc w:val="both"/>
              <w:rPr>
                <w:color w:val="auto"/>
                <w:sz w:val="22"/>
                <w:szCs w:val="22"/>
              </w:rPr>
            </w:pPr>
            <w:r>
              <w:rPr>
                <w:color w:val="auto"/>
                <w:sz w:val="22"/>
                <w:szCs w:val="22"/>
              </w:rPr>
              <w:t>Лексическое значение слова</w:t>
            </w:r>
          </w:p>
        </w:tc>
      </w:tr>
      <w:tr w14:paraId="6C927F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19C934BD">
            <w:pPr>
              <w:pStyle w:val="85"/>
              <w:jc w:val="center"/>
              <w:rPr>
                <w:color w:val="auto"/>
                <w:sz w:val="22"/>
                <w:szCs w:val="22"/>
              </w:rPr>
            </w:pPr>
            <w:r>
              <w:rPr>
                <w:color w:val="auto"/>
                <w:sz w:val="22"/>
                <w:szCs w:val="22"/>
              </w:rPr>
              <w:t>Урок 111</w:t>
            </w:r>
          </w:p>
        </w:tc>
        <w:tc>
          <w:tcPr>
            <w:tcW w:w="7937" w:type="dxa"/>
          </w:tcPr>
          <w:p w14:paraId="1493E13E">
            <w:pPr>
              <w:pStyle w:val="85"/>
              <w:jc w:val="both"/>
              <w:rPr>
                <w:color w:val="auto"/>
                <w:sz w:val="22"/>
                <w:szCs w:val="22"/>
              </w:rPr>
            </w:pPr>
            <w:r>
              <w:rPr>
                <w:color w:val="auto"/>
                <w:sz w:val="22"/>
                <w:szCs w:val="22"/>
              </w:rPr>
              <w:t>Работаем с толковыми словарями</w:t>
            </w:r>
          </w:p>
        </w:tc>
      </w:tr>
      <w:tr w14:paraId="20495C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119CF0D0">
            <w:pPr>
              <w:pStyle w:val="85"/>
              <w:jc w:val="center"/>
              <w:rPr>
                <w:color w:val="auto"/>
                <w:sz w:val="22"/>
                <w:szCs w:val="22"/>
              </w:rPr>
            </w:pPr>
            <w:r>
              <w:rPr>
                <w:color w:val="auto"/>
                <w:sz w:val="22"/>
                <w:szCs w:val="22"/>
              </w:rPr>
              <w:t>Урок 112</w:t>
            </w:r>
          </w:p>
        </w:tc>
        <w:tc>
          <w:tcPr>
            <w:tcW w:w="7937" w:type="dxa"/>
          </w:tcPr>
          <w:p w14:paraId="4924A841">
            <w:pPr>
              <w:pStyle w:val="85"/>
              <w:jc w:val="both"/>
              <w:rPr>
                <w:color w:val="auto"/>
                <w:sz w:val="22"/>
                <w:szCs w:val="22"/>
              </w:rPr>
            </w:pPr>
            <w:r>
              <w:rPr>
                <w:color w:val="auto"/>
                <w:sz w:val="22"/>
                <w:szCs w:val="22"/>
              </w:rPr>
              <w:t>Имя прилагательное: общее значение, вопросы, употребление в речи</w:t>
            </w:r>
          </w:p>
        </w:tc>
      </w:tr>
      <w:tr w14:paraId="6C52D3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14EFDA84">
            <w:pPr>
              <w:pStyle w:val="85"/>
              <w:jc w:val="center"/>
              <w:rPr>
                <w:color w:val="auto"/>
                <w:sz w:val="22"/>
                <w:szCs w:val="22"/>
              </w:rPr>
            </w:pPr>
            <w:r>
              <w:rPr>
                <w:color w:val="auto"/>
                <w:sz w:val="22"/>
                <w:szCs w:val="22"/>
              </w:rPr>
              <w:t>Урок 113</w:t>
            </w:r>
          </w:p>
        </w:tc>
        <w:tc>
          <w:tcPr>
            <w:tcW w:w="7937" w:type="dxa"/>
          </w:tcPr>
          <w:p w14:paraId="56D55884">
            <w:pPr>
              <w:pStyle w:val="85"/>
              <w:jc w:val="both"/>
              <w:rPr>
                <w:color w:val="auto"/>
                <w:sz w:val="22"/>
                <w:szCs w:val="22"/>
              </w:rPr>
            </w:pPr>
            <w:r>
              <w:rPr>
                <w:color w:val="auto"/>
                <w:sz w:val="22"/>
                <w:szCs w:val="22"/>
              </w:rPr>
              <w:t>Зависимость формы имени прилагательного от формы имени существительного</w:t>
            </w:r>
          </w:p>
        </w:tc>
      </w:tr>
      <w:tr w14:paraId="179299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5156C81B">
            <w:pPr>
              <w:pStyle w:val="85"/>
              <w:jc w:val="center"/>
              <w:rPr>
                <w:color w:val="auto"/>
                <w:sz w:val="22"/>
                <w:szCs w:val="22"/>
              </w:rPr>
            </w:pPr>
            <w:r>
              <w:rPr>
                <w:color w:val="auto"/>
                <w:sz w:val="22"/>
                <w:szCs w:val="22"/>
              </w:rPr>
              <w:t>Урок 114</w:t>
            </w:r>
          </w:p>
        </w:tc>
        <w:tc>
          <w:tcPr>
            <w:tcW w:w="7937" w:type="dxa"/>
          </w:tcPr>
          <w:p w14:paraId="148A11BB">
            <w:pPr>
              <w:pStyle w:val="85"/>
              <w:jc w:val="both"/>
              <w:rPr>
                <w:color w:val="auto"/>
                <w:sz w:val="22"/>
                <w:szCs w:val="22"/>
              </w:rPr>
            </w:pPr>
            <w:r>
              <w:rPr>
                <w:color w:val="auto"/>
                <w:sz w:val="22"/>
                <w:szCs w:val="22"/>
              </w:rPr>
              <w:t>Изменение имен прилагательных по родам</w:t>
            </w:r>
          </w:p>
        </w:tc>
      </w:tr>
      <w:tr w14:paraId="673B67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390E0DD2">
            <w:pPr>
              <w:pStyle w:val="85"/>
              <w:jc w:val="center"/>
              <w:rPr>
                <w:color w:val="auto"/>
                <w:sz w:val="22"/>
                <w:szCs w:val="22"/>
              </w:rPr>
            </w:pPr>
            <w:r>
              <w:rPr>
                <w:color w:val="auto"/>
                <w:sz w:val="22"/>
                <w:szCs w:val="22"/>
              </w:rPr>
              <w:t>Урок 115</w:t>
            </w:r>
          </w:p>
        </w:tc>
        <w:tc>
          <w:tcPr>
            <w:tcW w:w="7937" w:type="dxa"/>
          </w:tcPr>
          <w:p w14:paraId="27BFF3BE">
            <w:pPr>
              <w:pStyle w:val="85"/>
              <w:jc w:val="both"/>
              <w:rPr>
                <w:color w:val="auto"/>
                <w:sz w:val="22"/>
                <w:szCs w:val="22"/>
              </w:rPr>
            </w:pPr>
            <w:r>
              <w:rPr>
                <w:color w:val="auto"/>
                <w:sz w:val="22"/>
                <w:szCs w:val="22"/>
              </w:rPr>
              <w:t>Изменение имен прилагательных по числам</w:t>
            </w:r>
          </w:p>
        </w:tc>
      </w:tr>
      <w:tr w14:paraId="329B89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220B3FAF">
            <w:pPr>
              <w:pStyle w:val="85"/>
              <w:jc w:val="center"/>
              <w:rPr>
                <w:color w:val="auto"/>
                <w:sz w:val="22"/>
                <w:szCs w:val="22"/>
              </w:rPr>
            </w:pPr>
            <w:r>
              <w:rPr>
                <w:color w:val="auto"/>
                <w:sz w:val="22"/>
                <w:szCs w:val="22"/>
              </w:rPr>
              <w:t>Урок 116</w:t>
            </w:r>
          </w:p>
        </w:tc>
        <w:tc>
          <w:tcPr>
            <w:tcW w:w="7937" w:type="dxa"/>
          </w:tcPr>
          <w:p w14:paraId="3A8AD57A">
            <w:pPr>
              <w:pStyle w:val="85"/>
              <w:jc w:val="both"/>
              <w:rPr>
                <w:color w:val="auto"/>
                <w:sz w:val="22"/>
                <w:szCs w:val="22"/>
              </w:rPr>
            </w:pPr>
            <w:r>
              <w:rPr>
                <w:color w:val="auto"/>
                <w:sz w:val="22"/>
                <w:szCs w:val="22"/>
              </w:rPr>
              <w:t>Изменение имен прилагательных по падежам</w:t>
            </w:r>
          </w:p>
        </w:tc>
      </w:tr>
      <w:tr w14:paraId="335B72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0CAE61D8">
            <w:pPr>
              <w:pStyle w:val="85"/>
              <w:jc w:val="center"/>
              <w:rPr>
                <w:color w:val="auto"/>
                <w:sz w:val="22"/>
                <w:szCs w:val="22"/>
              </w:rPr>
            </w:pPr>
            <w:r>
              <w:rPr>
                <w:color w:val="auto"/>
                <w:sz w:val="22"/>
                <w:szCs w:val="22"/>
              </w:rPr>
              <w:t>Урок 117</w:t>
            </w:r>
          </w:p>
        </w:tc>
        <w:tc>
          <w:tcPr>
            <w:tcW w:w="7937" w:type="dxa"/>
          </w:tcPr>
          <w:p w14:paraId="043BB448">
            <w:pPr>
              <w:pStyle w:val="85"/>
              <w:jc w:val="both"/>
              <w:rPr>
                <w:color w:val="auto"/>
                <w:sz w:val="22"/>
                <w:szCs w:val="22"/>
              </w:rPr>
            </w:pPr>
            <w:r>
              <w:rPr>
                <w:color w:val="auto"/>
                <w:sz w:val="22"/>
                <w:szCs w:val="22"/>
              </w:rPr>
              <w:t>Склонение имен прилагательных</w:t>
            </w:r>
          </w:p>
        </w:tc>
      </w:tr>
      <w:tr w14:paraId="6315DD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338DD657">
            <w:pPr>
              <w:pStyle w:val="85"/>
              <w:jc w:val="center"/>
              <w:rPr>
                <w:color w:val="auto"/>
                <w:sz w:val="22"/>
                <w:szCs w:val="22"/>
              </w:rPr>
            </w:pPr>
            <w:r>
              <w:rPr>
                <w:color w:val="auto"/>
                <w:sz w:val="22"/>
                <w:szCs w:val="22"/>
              </w:rPr>
              <w:t>Урок 118</w:t>
            </w:r>
          </w:p>
        </w:tc>
        <w:tc>
          <w:tcPr>
            <w:tcW w:w="7937" w:type="dxa"/>
          </w:tcPr>
          <w:p w14:paraId="7FACEDD5">
            <w:pPr>
              <w:pStyle w:val="85"/>
              <w:jc w:val="both"/>
              <w:rPr>
                <w:color w:val="auto"/>
                <w:sz w:val="22"/>
                <w:szCs w:val="22"/>
              </w:rPr>
            </w:pPr>
            <w:r>
              <w:rPr>
                <w:color w:val="auto"/>
                <w:sz w:val="22"/>
                <w:szCs w:val="22"/>
              </w:rPr>
              <w:t>Наблюдение за правописанием окончаний имен прилагательных в единственном числе</w:t>
            </w:r>
          </w:p>
        </w:tc>
      </w:tr>
      <w:tr w14:paraId="4910F3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134" w:type="dxa"/>
            <w:vAlign w:val="center"/>
          </w:tcPr>
          <w:p w14:paraId="32E69435">
            <w:pPr>
              <w:pStyle w:val="85"/>
              <w:jc w:val="center"/>
              <w:rPr>
                <w:color w:val="auto"/>
                <w:sz w:val="22"/>
                <w:szCs w:val="22"/>
              </w:rPr>
            </w:pPr>
            <w:r>
              <w:rPr>
                <w:color w:val="auto"/>
                <w:sz w:val="22"/>
                <w:szCs w:val="22"/>
              </w:rPr>
              <w:t>Урок 119</w:t>
            </w:r>
          </w:p>
        </w:tc>
        <w:tc>
          <w:tcPr>
            <w:tcW w:w="7937" w:type="dxa"/>
          </w:tcPr>
          <w:p w14:paraId="0A6CEAE3">
            <w:pPr>
              <w:pStyle w:val="85"/>
              <w:jc w:val="both"/>
              <w:rPr>
                <w:color w:val="auto"/>
                <w:sz w:val="22"/>
                <w:szCs w:val="22"/>
              </w:rPr>
            </w:pPr>
            <w:r>
              <w:rPr>
                <w:color w:val="auto"/>
                <w:sz w:val="22"/>
                <w:szCs w:val="22"/>
              </w:rPr>
              <w:t>Наблюдение за правописанием окончаний имен прилагательных во множественном числе</w:t>
            </w:r>
          </w:p>
        </w:tc>
      </w:tr>
      <w:tr w14:paraId="3E4AAE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2AA515C6">
            <w:pPr>
              <w:pStyle w:val="85"/>
              <w:jc w:val="center"/>
              <w:rPr>
                <w:color w:val="auto"/>
                <w:sz w:val="22"/>
                <w:szCs w:val="22"/>
              </w:rPr>
            </w:pPr>
            <w:r>
              <w:rPr>
                <w:color w:val="auto"/>
                <w:sz w:val="22"/>
                <w:szCs w:val="22"/>
              </w:rPr>
              <w:t>Урок 120</w:t>
            </w:r>
          </w:p>
        </w:tc>
        <w:tc>
          <w:tcPr>
            <w:tcW w:w="7937" w:type="dxa"/>
          </w:tcPr>
          <w:p w14:paraId="1945137E">
            <w:pPr>
              <w:pStyle w:val="85"/>
              <w:jc w:val="both"/>
              <w:rPr>
                <w:color w:val="auto"/>
                <w:sz w:val="22"/>
                <w:szCs w:val="22"/>
              </w:rPr>
            </w:pPr>
            <w:r>
              <w:rPr>
                <w:color w:val="auto"/>
                <w:sz w:val="22"/>
                <w:szCs w:val="22"/>
              </w:rPr>
              <w:t>Правописание окончаний имен прилагательных в единственном и во множественном числе</w:t>
            </w:r>
          </w:p>
        </w:tc>
      </w:tr>
      <w:tr w14:paraId="199EA9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719FC0DE">
            <w:pPr>
              <w:pStyle w:val="85"/>
              <w:jc w:val="center"/>
              <w:rPr>
                <w:color w:val="auto"/>
                <w:sz w:val="22"/>
                <w:szCs w:val="22"/>
              </w:rPr>
            </w:pPr>
            <w:r>
              <w:rPr>
                <w:color w:val="auto"/>
                <w:sz w:val="22"/>
                <w:szCs w:val="22"/>
              </w:rPr>
              <w:t>Урок 121</w:t>
            </w:r>
          </w:p>
        </w:tc>
        <w:tc>
          <w:tcPr>
            <w:tcW w:w="7937" w:type="dxa"/>
          </w:tcPr>
          <w:p w14:paraId="103A8201">
            <w:pPr>
              <w:pStyle w:val="85"/>
              <w:jc w:val="both"/>
              <w:rPr>
                <w:color w:val="auto"/>
                <w:sz w:val="22"/>
                <w:szCs w:val="22"/>
              </w:rPr>
            </w:pPr>
            <w:r>
              <w:rPr>
                <w:color w:val="auto"/>
                <w:sz w:val="22"/>
                <w:szCs w:val="22"/>
              </w:rPr>
              <w:t>Значения имен прилагательных</w:t>
            </w:r>
          </w:p>
        </w:tc>
      </w:tr>
      <w:tr w14:paraId="16D99F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18153BF2">
            <w:pPr>
              <w:pStyle w:val="85"/>
              <w:jc w:val="center"/>
              <w:rPr>
                <w:color w:val="auto"/>
                <w:sz w:val="22"/>
                <w:szCs w:val="22"/>
              </w:rPr>
            </w:pPr>
            <w:r>
              <w:rPr>
                <w:color w:val="auto"/>
                <w:sz w:val="22"/>
                <w:szCs w:val="22"/>
              </w:rPr>
              <w:t>Урок 122</w:t>
            </w:r>
          </w:p>
        </w:tc>
        <w:tc>
          <w:tcPr>
            <w:tcW w:w="7937" w:type="dxa"/>
          </w:tcPr>
          <w:p w14:paraId="03FC87C0">
            <w:pPr>
              <w:pStyle w:val="85"/>
              <w:jc w:val="both"/>
              <w:rPr>
                <w:color w:val="auto"/>
                <w:sz w:val="22"/>
                <w:szCs w:val="22"/>
              </w:rPr>
            </w:pPr>
            <w:r>
              <w:rPr>
                <w:color w:val="auto"/>
                <w:sz w:val="22"/>
                <w:szCs w:val="22"/>
              </w:rPr>
              <w:t>Наблюдение за значениями имен прилагательных</w:t>
            </w:r>
          </w:p>
        </w:tc>
      </w:tr>
      <w:tr w14:paraId="750AD9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1AB39F28">
            <w:pPr>
              <w:pStyle w:val="85"/>
              <w:jc w:val="center"/>
              <w:rPr>
                <w:color w:val="auto"/>
                <w:sz w:val="22"/>
                <w:szCs w:val="22"/>
              </w:rPr>
            </w:pPr>
            <w:r>
              <w:rPr>
                <w:color w:val="auto"/>
                <w:sz w:val="22"/>
                <w:szCs w:val="22"/>
              </w:rPr>
              <w:t>Урок 123</w:t>
            </w:r>
          </w:p>
        </w:tc>
        <w:tc>
          <w:tcPr>
            <w:tcW w:w="7937" w:type="dxa"/>
          </w:tcPr>
          <w:p w14:paraId="38CB9AB1">
            <w:pPr>
              <w:pStyle w:val="85"/>
              <w:jc w:val="both"/>
              <w:rPr>
                <w:color w:val="auto"/>
                <w:sz w:val="22"/>
                <w:szCs w:val="22"/>
              </w:rPr>
            </w:pPr>
            <w:r>
              <w:rPr>
                <w:color w:val="auto"/>
                <w:sz w:val="22"/>
                <w:szCs w:val="22"/>
              </w:rPr>
              <w:t>Значения имен прилагательных: обобщение</w:t>
            </w:r>
          </w:p>
        </w:tc>
      </w:tr>
      <w:tr w14:paraId="2842E8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7689B73C">
            <w:pPr>
              <w:pStyle w:val="85"/>
              <w:jc w:val="center"/>
              <w:rPr>
                <w:color w:val="auto"/>
                <w:sz w:val="22"/>
                <w:szCs w:val="22"/>
              </w:rPr>
            </w:pPr>
            <w:r>
              <w:rPr>
                <w:color w:val="auto"/>
                <w:sz w:val="22"/>
                <w:szCs w:val="22"/>
              </w:rPr>
              <w:t>Урок 124</w:t>
            </w:r>
          </w:p>
        </w:tc>
        <w:tc>
          <w:tcPr>
            <w:tcW w:w="7937" w:type="dxa"/>
          </w:tcPr>
          <w:p w14:paraId="76B7F911">
            <w:pPr>
              <w:pStyle w:val="85"/>
              <w:jc w:val="both"/>
              <w:rPr>
                <w:color w:val="auto"/>
                <w:sz w:val="22"/>
                <w:szCs w:val="22"/>
              </w:rPr>
            </w:pPr>
            <w:r>
              <w:rPr>
                <w:color w:val="auto"/>
                <w:sz w:val="22"/>
                <w:szCs w:val="22"/>
              </w:rPr>
              <w:t>Написание текста по заданному плану</w:t>
            </w:r>
          </w:p>
        </w:tc>
      </w:tr>
      <w:tr w14:paraId="164759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0E7C3242">
            <w:pPr>
              <w:pStyle w:val="85"/>
              <w:jc w:val="center"/>
              <w:rPr>
                <w:color w:val="auto"/>
                <w:sz w:val="22"/>
                <w:szCs w:val="22"/>
              </w:rPr>
            </w:pPr>
            <w:r>
              <w:rPr>
                <w:color w:val="auto"/>
                <w:sz w:val="22"/>
                <w:szCs w:val="22"/>
              </w:rPr>
              <w:t>Урок 125</w:t>
            </w:r>
          </w:p>
        </w:tc>
        <w:tc>
          <w:tcPr>
            <w:tcW w:w="7937" w:type="dxa"/>
          </w:tcPr>
          <w:p w14:paraId="3FEC0932">
            <w:pPr>
              <w:pStyle w:val="85"/>
              <w:jc w:val="both"/>
              <w:rPr>
                <w:color w:val="auto"/>
                <w:sz w:val="22"/>
                <w:szCs w:val="22"/>
              </w:rPr>
            </w:pPr>
            <w:r>
              <w:rPr>
                <w:color w:val="auto"/>
                <w:sz w:val="22"/>
                <w:szCs w:val="22"/>
              </w:rPr>
              <w:t>Обобщение знаний о написании окончаний имен прилагательных</w:t>
            </w:r>
          </w:p>
        </w:tc>
      </w:tr>
      <w:tr w14:paraId="798E75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08F027A0">
            <w:pPr>
              <w:pStyle w:val="85"/>
              <w:jc w:val="center"/>
              <w:rPr>
                <w:color w:val="auto"/>
                <w:sz w:val="22"/>
                <w:szCs w:val="22"/>
              </w:rPr>
            </w:pPr>
            <w:r>
              <w:rPr>
                <w:color w:val="auto"/>
                <w:sz w:val="22"/>
                <w:szCs w:val="22"/>
              </w:rPr>
              <w:t>Урок 126</w:t>
            </w:r>
          </w:p>
        </w:tc>
        <w:tc>
          <w:tcPr>
            <w:tcW w:w="7937" w:type="dxa"/>
          </w:tcPr>
          <w:p w14:paraId="1EE08AB4">
            <w:pPr>
              <w:pStyle w:val="85"/>
              <w:jc w:val="both"/>
              <w:rPr>
                <w:color w:val="auto"/>
                <w:sz w:val="22"/>
                <w:szCs w:val="22"/>
              </w:rPr>
            </w:pPr>
            <w:r>
              <w:rPr>
                <w:color w:val="auto"/>
                <w:sz w:val="22"/>
                <w:szCs w:val="22"/>
              </w:rPr>
              <w:t>Обобщение знаний о написании окончаний имен существительных и имен прилагательных</w:t>
            </w:r>
          </w:p>
        </w:tc>
      </w:tr>
      <w:tr w14:paraId="62AD87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5988E888">
            <w:pPr>
              <w:pStyle w:val="85"/>
              <w:jc w:val="center"/>
              <w:rPr>
                <w:color w:val="auto"/>
                <w:sz w:val="22"/>
                <w:szCs w:val="22"/>
              </w:rPr>
            </w:pPr>
            <w:r>
              <w:rPr>
                <w:color w:val="auto"/>
                <w:sz w:val="22"/>
                <w:szCs w:val="22"/>
              </w:rPr>
              <w:t>Урок 127</w:t>
            </w:r>
          </w:p>
        </w:tc>
        <w:tc>
          <w:tcPr>
            <w:tcW w:w="7937" w:type="dxa"/>
          </w:tcPr>
          <w:p w14:paraId="49D8257C">
            <w:pPr>
              <w:pStyle w:val="85"/>
              <w:jc w:val="both"/>
              <w:rPr>
                <w:color w:val="auto"/>
                <w:sz w:val="22"/>
                <w:szCs w:val="22"/>
              </w:rPr>
            </w:pPr>
            <w:r>
              <w:rPr>
                <w:color w:val="auto"/>
                <w:sz w:val="22"/>
                <w:szCs w:val="22"/>
              </w:rPr>
              <w:t>Резервный урок по разделу морфология: отработка темы</w:t>
            </w:r>
          </w:p>
        </w:tc>
      </w:tr>
      <w:tr w14:paraId="53EB70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22C257AD">
            <w:pPr>
              <w:pStyle w:val="85"/>
              <w:jc w:val="center"/>
              <w:rPr>
                <w:color w:val="auto"/>
                <w:sz w:val="22"/>
                <w:szCs w:val="22"/>
              </w:rPr>
            </w:pPr>
            <w:r>
              <w:rPr>
                <w:color w:val="auto"/>
                <w:sz w:val="22"/>
                <w:szCs w:val="22"/>
              </w:rPr>
              <w:t>Урок 128</w:t>
            </w:r>
          </w:p>
        </w:tc>
        <w:tc>
          <w:tcPr>
            <w:tcW w:w="7937" w:type="dxa"/>
          </w:tcPr>
          <w:p w14:paraId="7BF69533">
            <w:pPr>
              <w:pStyle w:val="85"/>
              <w:jc w:val="both"/>
              <w:rPr>
                <w:color w:val="auto"/>
                <w:sz w:val="22"/>
                <w:szCs w:val="22"/>
              </w:rPr>
            </w:pPr>
            <w:r>
              <w:rPr>
                <w:color w:val="auto"/>
                <w:sz w:val="22"/>
                <w:szCs w:val="22"/>
              </w:rPr>
              <w:t>Резервный урок по разделу орфография: повторение по теме "Правописание безударных падежных окончаний имен прилагательных"</w:t>
            </w:r>
          </w:p>
        </w:tc>
      </w:tr>
      <w:tr w14:paraId="006FA2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1F35A1FD">
            <w:pPr>
              <w:pStyle w:val="85"/>
              <w:jc w:val="center"/>
              <w:rPr>
                <w:color w:val="auto"/>
                <w:sz w:val="22"/>
                <w:szCs w:val="22"/>
              </w:rPr>
            </w:pPr>
            <w:r>
              <w:rPr>
                <w:color w:val="auto"/>
                <w:sz w:val="22"/>
                <w:szCs w:val="22"/>
              </w:rPr>
              <w:t>Урок 129</w:t>
            </w:r>
          </w:p>
        </w:tc>
        <w:tc>
          <w:tcPr>
            <w:tcW w:w="7937" w:type="dxa"/>
          </w:tcPr>
          <w:p w14:paraId="5F4858B3">
            <w:pPr>
              <w:pStyle w:val="85"/>
              <w:jc w:val="both"/>
              <w:rPr>
                <w:color w:val="auto"/>
                <w:sz w:val="22"/>
                <w:szCs w:val="22"/>
              </w:rPr>
            </w:pPr>
            <w:r>
              <w:rPr>
                <w:color w:val="auto"/>
                <w:sz w:val="22"/>
                <w:szCs w:val="22"/>
              </w:rPr>
              <w:t>Наблюдаем за значениями слов в тексте</w:t>
            </w:r>
          </w:p>
        </w:tc>
      </w:tr>
      <w:tr w14:paraId="6CF21C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03C939ED">
            <w:pPr>
              <w:pStyle w:val="85"/>
              <w:jc w:val="center"/>
              <w:rPr>
                <w:color w:val="auto"/>
                <w:sz w:val="22"/>
                <w:szCs w:val="22"/>
              </w:rPr>
            </w:pPr>
            <w:r>
              <w:rPr>
                <w:color w:val="auto"/>
                <w:sz w:val="22"/>
                <w:szCs w:val="22"/>
              </w:rPr>
              <w:t>Урок 130</w:t>
            </w:r>
          </w:p>
        </w:tc>
        <w:tc>
          <w:tcPr>
            <w:tcW w:w="7937" w:type="dxa"/>
          </w:tcPr>
          <w:p w14:paraId="02A17298">
            <w:pPr>
              <w:pStyle w:val="85"/>
              <w:jc w:val="both"/>
              <w:rPr>
                <w:color w:val="auto"/>
                <w:sz w:val="22"/>
                <w:szCs w:val="22"/>
              </w:rPr>
            </w:pPr>
            <w:r>
              <w:rPr>
                <w:color w:val="auto"/>
                <w:sz w:val="22"/>
                <w:szCs w:val="22"/>
              </w:rPr>
              <w:t>Прямое и переносное значение слова</w:t>
            </w:r>
          </w:p>
        </w:tc>
      </w:tr>
      <w:tr w14:paraId="464CEB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6F67A84D">
            <w:pPr>
              <w:pStyle w:val="85"/>
              <w:jc w:val="center"/>
              <w:rPr>
                <w:color w:val="auto"/>
                <w:sz w:val="22"/>
                <w:szCs w:val="22"/>
              </w:rPr>
            </w:pPr>
            <w:r>
              <w:rPr>
                <w:color w:val="auto"/>
                <w:sz w:val="22"/>
                <w:szCs w:val="22"/>
              </w:rPr>
              <w:t>Урок 131</w:t>
            </w:r>
          </w:p>
        </w:tc>
        <w:tc>
          <w:tcPr>
            <w:tcW w:w="7937" w:type="dxa"/>
          </w:tcPr>
          <w:p w14:paraId="4F67121C">
            <w:pPr>
              <w:pStyle w:val="85"/>
              <w:jc w:val="both"/>
              <w:rPr>
                <w:color w:val="auto"/>
                <w:sz w:val="22"/>
                <w:szCs w:val="22"/>
              </w:rPr>
            </w:pPr>
            <w:r>
              <w:rPr>
                <w:color w:val="auto"/>
                <w:sz w:val="22"/>
                <w:szCs w:val="22"/>
              </w:rPr>
              <w:t>Устаревшие слова (наблюдение)</w:t>
            </w:r>
          </w:p>
        </w:tc>
      </w:tr>
      <w:tr w14:paraId="66CE73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6B16C363">
            <w:pPr>
              <w:pStyle w:val="85"/>
              <w:jc w:val="center"/>
              <w:rPr>
                <w:color w:val="auto"/>
                <w:sz w:val="22"/>
                <w:szCs w:val="22"/>
              </w:rPr>
            </w:pPr>
            <w:r>
              <w:rPr>
                <w:color w:val="auto"/>
                <w:sz w:val="22"/>
                <w:szCs w:val="22"/>
              </w:rPr>
              <w:t>Урок 132</w:t>
            </w:r>
          </w:p>
        </w:tc>
        <w:tc>
          <w:tcPr>
            <w:tcW w:w="7937" w:type="dxa"/>
          </w:tcPr>
          <w:p w14:paraId="0E0BC5D1">
            <w:pPr>
              <w:pStyle w:val="85"/>
              <w:jc w:val="both"/>
              <w:rPr>
                <w:color w:val="auto"/>
                <w:sz w:val="22"/>
                <w:szCs w:val="22"/>
              </w:rPr>
            </w:pPr>
            <w:r>
              <w:rPr>
                <w:color w:val="auto"/>
                <w:sz w:val="22"/>
                <w:szCs w:val="22"/>
              </w:rPr>
              <w:t>Знакомство с жанром объявления</w:t>
            </w:r>
          </w:p>
        </w:tc>
      </w:tr>
      <w:tr w14:paraId="715EF2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59CA5E19">
            <w:pPr>
              <w:pStyle w:val="85"/>
              <w:jc w:val="center"/>
              <w:rPr>
                <w:color w:val="auto"/>
                <w:sz w:val="22"/>
                <w:szCs w:val="22"/>
              </w:rPr>
            </w:pPr>
            <w:r>
              <w:rPr>
                <w:color w:val="auto"/>
                <w:sz w:val="22"/>
                <w:szCs w:val="22"/>
              </w:rPr>
              <w:t>Урок 133</w:t>
            </w:r>
          </w:p>
        </w:tc>
        <w:tc>
          <w:tcPr>
            <w:tcW w:w="7937" w:type="dxa"/>
          </w:tcPr>
          <w:p w14:paraId="1BB49A06">
            <w:pPr>
              <w:pStyle w:val="85"/>
              <w:jc w:val="both"/>
              <w:rPr>
                <w:color w:val="auto"/>
                <w:sz w:val="22"/>
                <w:szCs w:val="22"/>
              </w:rPr>
            </w:pPr>
            <w:r>
              <w:rPr>
                <w:color w:val="auto"/>
                <w:sz w:val="22"/>
                <w:szCs w:val="22"/>
              </w:rPr>
              <w:t>Местоимение (общее представление)</w:t>
            </w:r>
          </w:p>
        </w:tc>
      </w:tr>
      <w:tr w14:paraId="195564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24F489F9">
            <w:pPr>
              <w:pStyle w:val="85"/>
              <w:jc w:val="center"/>
              <w:rPr>
                <w:color w:val="auto"/>
                <w:sz w:val="22"/>
                <w:szCs w:val="22"/>
              </w:rPr>
            </w:pPr>
            <w:r>
              <w:rPr>
                <w:color w:val="auto"/>
                <w:sz w:val="22"/>
                <w:szCs w:val="22"/>
              </w:rPr>
              <w:t>Урок 134</w:t>
            </w:r>
          </w:p>
        </w:tc>
        <w:tc>
          <w:tcPr>
            <w:tcW w:w="7937" w:type="dxa"/>
          </w:tcPr>
          <w:p w14:paraId="3B01F5A3">
            <w:pPr>
              <w:pStyle w:val="85"/>
              <w:jc w:val="both"/>
              <w:rPr>
                <w:color w:val="auto"/>
                <w:sz w:val="22"/>
                <w:szCs w:val="22"/>
              </w:rPr>
            </w:pPr>
            <w:r>
              <w:rPr>
                <w:color w:val="auto"/>
                <w:sz w:val="22"/>
                <w:szCs w:val="22"/>
              </w:rPr>
              <w:t>Личные местоимения</w:t>
            </w:r>
          </w:p>
        </w:tc>
      </w:tr>
      <w:tr w14:paraId="0293F9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290F027E">
            <w:pPr>
              <w:pStyle w:val="85"/>
              <w:jc w:val="center"/>
              <w:rPr>
                <w:color w:val="auto"/>
                <w:sz w:val="22"/>
                <w:szCs w:val="22"/>
              </w:rPr>
            </w:pPr>
            <w:r>
              <w:rPr>
                <w:color w:val="auto"/>
                <w:sz w:val="22"/>
                <w:szCs w:val="22"/>
              </w:rPr>
              <w:t>Урок 135</w:t>
            </w:r>
          </w:p>
        </w:tc>
        <w:tc>
          <w:tcPr>
            <w:tcW w:w="7937" w:type="dxa"/>
          </w:tcPr>
          <w:p w14:paraId="258995FC">
            <w:pPr>
              <w:pStyle w:val="85"/>
              <w:jc w:val="both"/>
              <w:rPr>
                <w:color w:val="auto"/>
                <w:sz w:val="22"/>
                <w:szCs w:val="22"/>
              </w:rPr>
            </w:pPr>
            <w:r>
              <w:rPr>
                <w:color w:val="auto"/>
                <w:sz w:val="22"/>
                <w:szCs w:val="22"/>
              </w:rPr>
              <w:t>Как изменяются личные местоимения</w:t>
            </w:r>
          </w:p>
        </w:tc>
      </w:tr>
      <w:tr w14:paraId="4D45B1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4B5AEA76">
            <w:pPr>
              <w:pStyle w:val="85"/>
              <w:jc w:val="center"/>
              <w:rPr>
                <w:color w:val="auto"/>
                <w:sz w:val="22"/>
                <w:szCs w:val="22"/>
              </w:rPr>
            </w:pPr>
            <w:r>
              <w:rPr>
                <w:color w:val="auto"/>
                <w:sz w:val="22"/>
                <w:szCs w:val="22"/>
              </w:rPr>
              <w:t>Урок 136</w:t>
            </w:r>
          </w:p>
        </w:tc>
        <w:tc>
          <w:tcPr>
            <w:tcW w:w="7937" w:type="dxa"/>
          </w:tcPr>
          <w:p w14:paraId="6A94DE20">
            <w:pPr>
              <w:pStyle w:val="85"/>
              <w:jc w:val="both"/>
              <w:rPr>
                <w:color w:val="auto"/>
                <w:sz w:val="22"/>
                <w:szCs w:val="22"/>
              </w:rPr>
            </w:pPr>
            <w:r>
              <w:rPr>
                <w:color w:val="auto"/>
                <w:sz w:val="22"/>
                <w:szCs w:val="22"/>
              </w:rPr>
              <w:t>Употребление личных местоимений в речи</w:t>
            </w:r>
          </w:p>
        </w:tc>
      </w:tr>
      <w:tr w14:paraId="5CDEAB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134" w:type="dxa"/>
            <w:vAlign w:val="center"/>
          </w:tcPr>
          <w:p w14:paraId="73B0F5AC">
            <w:pPr>
              <w:pStyle w:val="85"/>
              <w:jc w:val="center"/>
              <w:rPr>
                <w:color w:val="auto"/>
                <w:sz w:val="22"/>
                <w:szCs w:val="22"/>
              </w:rPr>
            </w:pPr>
            <w:r>
              <w:rPr>
                <w:color w:val="auto"/>
                <w:sz w:val="22"/>
                <w:szCs w:val="22"/>
              </w:rPr>
              <w:t>Урок 137</w:t>
            </w:r>
          </w:p>
        </w:tc>
        <w:tc>
          <w:tcPr>
            <w:tcW w:w="7937" w:type="dxa"/>
          </w:tcPr>
          <w:p w14:paraId="28D5F71F">
            <w:pPr>
              <w:pStyle w:val="85"/>
              <w:jc w:val="both"/>
              <w:rPr>
                <w:color w:val="auto"/>
                <w:sz w:val="22"/>
                <w:szCs w:val="22"/>
              </w:rPr>
            </w:pPr>
            <w:r>
              <w:rPr>
                <w:color w:val="auto"/>
                <w:sz w:val="22"/>
                <w:szCs w:val="22"/>
              </w:rPr>
              <w:t>Использование личных местоимений для устранения неоправданных повторов в тексте</w:t>
            </w:r>
          </w:p>
        </w:tc>
      </w:tr>
      <w:tr w14:paraId="20F250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6D2EBC2B">
            <w:pPr>
              <w:pStyle w:val="85"/>
              <w:jc w:val="center"/>
              <w:rPr>
                <w:color w:val="auto"/>
                <w:sz w:val="22"/>
                <w:szCs w:val="22"/>
              </w:rPr>
            </w:pPr>
            <w:r>
              <w:rPr>
                <w:color w:val="auto"/>
                <w:sz w:val="22"/>
                <w:szCs w:val="22"/>
              </w:rPr>
              <w:t>Урок 138</w:t>
            </w:r>
          </w:p>
        </w:tc>
        <w:tc>
          <w:tcPr>
            <w:tcW w:w="7937" w:type="dxa"/>
          </w:tcPr>
          <w:p w14:paraId="69BF3C43">
            <w:pPr>
              <w:pStyle w:val="85"/>
              <w:jc w:val="both"/>
              <w:rPr>
                <w:color w:val="auto"/>
                <w:sz w:val="22"/>
                <w:szCs w:val="22"/>
              </w:rPr>
            </w:pPr>
            <w:r>
              <w:rPr>
                <w:color w:val="auto"/>
                <w:sz w:val="22"/>
                <w:szCs w:val="22"/>
              </w:rPr>
              <w:t>Правописание местоимений с предлогами</w:t>
            </w:r>
          </w:p>
        </w:tc>
      </w:tr>
      <w:tr w14:paraId="640D88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1D5D17A7">
            <w:pPr>
              <w:pStyle w:val="85"/>
              <w:jc w:val="center"/>
              <w:rPr>
                <w:color w:val="auto"/>
                <w:sz w:val="22"/>
                <w:szCs w:val="22"/>
              </w:rPr>
            </w:pPr>
            <w:r>
              <w:rPr>
                <w:color w:val="auto"/>
                <w:sz w:val="22"/>
                <w:szCs w:val="22"/>
              </w:rPr>
              <w:t>Урок 139</w:t>
            </w:r>
          </w:p>
        </w:tc>
        <w:tc>
          <w:tcPr>
            <w:tcW w:w="7937" w:type="dxa"/>
          </w:tcPr>
          <w:p w14:paraId="64DBEF1B">
            <w:pPr>
              <w:pStyle w:val="85"/>
              <w:jc w:val="both"/>
              <w:rPr>
                <w:color w:val="auto"/>
                <w:sz w:val="22"/>
                <w:szCs w:val="22"/>
              </w:rPr>
            </w:pPr>
            <w:r>
              <w:rPr>
                <w:color w:val="auto"/>
                <w:sz w:val="22"/>
                <w:szCs w:val="22"/>
              </w:rPr>
              <w:t>Правописание местоимений</w:t>
            </w:r>
          </w:p>
        </w:tc>
      </w:tr>
      <w:tr w14:paraId="1CC978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7D5ECDB4">
            <w:pPr>
              <w:pStyle w:val="85"/>
              <w:jc w:val="center"/>
              <w:rPr>
                <w:color w:val="auto"/>
                <w:sz w:val="22"/>
                <w:szCs w:val="22"/>
              </w:rPr>
            </w:pPr>
            <w:r>
              <w:rPr>
                <w:color w:val="auto"/>
                <w:sz w:val="22"/>
                <w:szCs w:val="22"/>
              </w:rPr>
              <w:t>Урок 140</w:t>
            </w:r>
          </w:p>
        </w:tc>
        <w:tc>
          <w:tcPr>
            <w:tcW w:w="7937" w:type="dxa"/>
          </w:tcPr>
          <w:p w14:paraId="7D53403B">
            <w:pPr>
              <w:pStyle w:val="85"/>
              <w:jc w:val="both"/>
              <w:rPr>
                <w:color w:val="auto"/>
                <w:sz w:val="22"/>
                <w:szCs w:val="22"/>
              </w:rPr>
            </w:pPr>
            <w:r>
              <w:rPr>
                <w:color w:val="auto"/>
                <w:sz w:val="22"/>
                <w:szCs w:val="22"/>
              </w:rPr>
              <w:t>Наблюдение за связью предложений в тексте</w:t>
            </w:r>
          </w:p>
        </w:tc>
      </w:tr>
      <w:tr w14:paraId="78FF8B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05773FEC">
            <w:pPr>
              <w:pStyle w:val="85"/>
              <w:jc w:val="center"/>
              <w:rPr>
                <w:color w:val="auto"/>
                <w:sz w:val="22"/>
                <w:szCs w:val="22"/>
              </w:rPr>
            </w:pPr>
            <w:r>
              <w:rPr>
                <w:color w:val="auto"/>
                <w:sz w:val="22"/>
                <w:szCs w:val="22"/>
              </w:rPr>
              <w:t>Урок 141</w:t>
            </w:r>
          </w:p>
        </w:tc>
        <w:tc>
          <w:tcPr>
            <w:tcW w:w="7937" w:type="dxa"/>
          </w:tcPr>
          <w:p w14:paraId="2D56B8D9">
            <w:pPr>
              <w:pStyle w:val="85"/>
              <w:jc w:val="both"/>
              <w:rPr>
                <w:color w:val="auto"/>
                <w:sz w:val="22"/>
                <w:szCs w:val="22"/>
              </w:rPr>
            </w:pPr>
            <w:r>
              <w:rPr>
                <w:color w:val="auto"/>
                <w:sz w:val="22"/>
                <w:szCs w:val="22"/>
              </w:rPr>
              <w:t>Наблюдение за связью предложений в тексте с помощью личных местоимений, синонимов, союзов и, а, но</w:t>
            </w:r>
          </w:p>
        </w:tc>
      </w:tr>
      <w:tr w14:paraId="4392DD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1BB84BB3">
            <w:pPr>
              <w:pStyle w:val="85"/>
              <w:jc w:val="center"/>
              <w:rPr>
                <w:color w:val="auto"/>
                <w:sz w:val="22"/>
                <w:szCs w:val="22"/>
              </w:rPr>
            </w:pPr>
            <w:r>
              <w:rPr>
                <w:color w:val="auto"/>
                <w:sz w:val="22"/>
                <w:szCs w:val="22"/>
              </w:rPr>
              <w:t>Урок 142</w:t>
            </w:r>
          </w:p>
        </w:tc>
        <w:tc>
          <w:tcPr>
            <w:tcW w:w="7937" w:type="dxa"/>
          </w:tcPr>
          <w:p w14:paraId="6E9583D9">
            <w:pPr>
              <w:pStyle w:val="85"/>
              <w:jc w:val="both"/>
              <w:rPr>
                <w:color w:val="auto"/>
                <w:sz w:val="22"/>
                <w:szCs w:val="22"/>
              </w:rPr>
            </w:pPr>
            <w:r>
              <w:rPr>
                <w:color w:val="auto"/>
                <w:sz w:val="22"/>
                <w:szCs w:val="22"/>
              </w:rPr>
              <w:t>Наблюдение за связью предложений в тексте с помощью союзов и, а, но</w:t>
            </w:r>
          </w:p>
        </w:tc>
      </w:tr>
      <w:tr w14:paraId="794200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62B8B704">
            <w:pPr>
              <w:pStyle w:val="85"/>
              <w:jc w:val="center"/>
              <w:rPr>
                <w:color w:val="auto"/>
                <w:sz w:val="22"/>
                <w:szCs w:val="22"/>
              </w:rPr>
            </w:pPr>
            <w:r>
              <w:rPr>
                <w:color w:val="auto"/>
                <w:sz w:val="22"/>
                <w:szCs w:val="22"/>
              </w:rPr>
              <w:t>Урок 143</w:t>
            </w:r>
          </w:p>
        </w:tc>
        <w:tc>
          <w:tcPr>
            <w:tcW w:w="7937" w:type="dxa"/>
          </w:tcPr>
          <w:p w14:paraId="51A56193">
            <w:pPr>
              <w:pStyle w:val="85"/>
              <w:jc w:val="both"/>
              <w:rPr>
                <w:color w:val="auto"/>
                <w:sz w:val="22"/>
                <w:szCs w:val="22"/>
              </w:rPr>
            </w:pPr>
            <w:r>
              <w:rPr>
                <w:color w:val="auto"/>
                <w:sz w:val="22"/>
                <w:szCs w:val="22"/>
              </w:rPr>
              <w:t>Создание собственных текстов-повествований</w:t>
            </w:r>
          </w:p>
        </w:tc>
      </w:tr>
      <w:tr w14:paraId="1620CB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458CE5D0">
            <w:pPr>
              <w:pStyle w:val="85"/>
              <w:jc w:val="center"/>
              <w:rPr>
                <w:color w:val="auto"/>
                <w:sz w:val="22"/>
                <w:szCs w:val="22"/>
              </w:rPr>
            </w:pPr>
            <w:r>
              <w:rPr>
                <w:color w:val="auto"/>
                <w:sz w:val="22"/>
                <w:szCs w:val="22"/>
              </w:rPr>
              <w:t>Урок 144</w:t>
            </w:r>
          </w:p>
        </w:tc>
        <w:tc>
          <w:tcPr>
            <w:tcW w:w="7937" w:type="dxa"/>
          </w:tcPr>
          <w:p w14:paraId="4389912C">
            <w:pPr>
              <w:pStyle w:val="85"/>
              <w:jc w:val="both"/>
              <w:rPr>
                <w:color w:val="auto"/>
                <w:sz w:val="22"/>
                <w:szCs w:val="22"/>
              </w:rPr>
            </w:pPr>
            <w:r>
              <w:rPr>
                <w:color w:val="auto"/>
                <w:sz w:val="22"/>
                <w:szCs w:val="22"/>
              </w:rPr>
              <w:t>Создание собственных текстов-описаний</w:t>
            </w:r>
          </w:p>
        </w:tc>
      </w:tr>
      <w:tr w14:paraId="1E3BD6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7B82603D">
            <w:pPr>
              <w:pStyle w:val="85"/>
              <w:jc w:val="center"/>
              <w:rPr>
                <w:color w:val="auto"/>
                <w:sz w:val="22"/>
                <w:szCs w:val="22"/>
              </w:rPr>
            </w:pPr>
            <w:r>
              <w:rPr>
                <w:color w:val="auto"/>
                <w:sz w:val="22"/>
                <w:szCs w:val="22"/>
              </w:rPr>
              <w:t>Урок 145</w:t>
            </w:r>
          </w:p>
        </w:tc>
        <w:tc>
          <w:tcPr>
            <w:tcW w:w="7937" w:type="dxa"/>
          </w:tcPr>
          <w:p w14:paraId="05A90E05">
            <w:pPr>
              <w:pStyle w:val="85"/>
              <w:jc w:val="both"/>
              <w:rPr>
                <w:color w:val="auto"/>
                <w:sz w:val="22"/>
                <w:szCs w:val="22"/>
              </w:rPr>
            </w:pPr>
            <w:r>
              <w:rPr>
                <w:color w:val="auto"/>
                <w:sz w:val="22"/>
                <w:szCs w:val="22"/>
              </w:rPr>
              <w:t>Создание собственных текстов-рассуждений</w:t>
            </w:r>
          </w:p>
        </w:tc>
      </w:tr>
      <w:tr w14:paraId="5A701B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426FF9BB">
            <w:pPr>
              <w:pStyle w:val="85"/>
              <w:jc w:val="center"/>
              <w:rPr>
                <w:color w:val="auto"/>
                <w:sz w:val="22"/>
                <w:szCs w:val="22"/>
              </w:rPr>
            </w:pPr>
            <w:r>
              <w:rPr>
                <w:color w:val="auto"/>
                <w:sz w:val="22"/>
                <w:szCs w:val="22"/>
              </w:rPr>
              <w:t>Урок 146</w:t>
            </w:r>
          </w:p>
        </w:tc>
        <w:tc>
          <w:tcPr>
            <w:tcW w:w="7937" w:type="dxa"/>
          </w:tcPr>
          <w:p w14:paraId="20247CEB">
            <w:pPr>
              <w:pStyle w:val="85"/>
              <w:jc w:val="both"/>
              <w:rPr>
                <w:color w:val="auto"/>
                <w:sz w:val="22"/>
                <w:szCs w:val="22"/>
              </w:rPr>
            </w:pPr>
            <w:r>
              <w:rPr>
                <w:color w:val="auto"/>
                <w:sz w:val="22"/>
                <w:szCs w:val="22"/>
              </w:rPr>
              <w:t>Глагол: общее значение, вопросы, употребление в речи</w:t>
            </w:r>
          </w:p>
        </w:tc>
      </w:tr>
      <w:tr w14:paraId="5A02F2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1A8DCFB4">
            <w:pPr>
              <w:pStyle w:val="85"/>
              <w:jc w:val="center"/>
              <w:rPr>
                <w:color w:val="auto"/>
                <w:sz w:val="22"/>
                <w:szCs w:val="22"/>
              </w:rPr>
            </w:pPr>
            <w:r>
              <w:rPr>
                <w:color w:val="auto"/>
                <w:sz w:val="22"/>
                <w:szCs w:val="22"/>
              </w:rPr>
              <w:t>Урок 147</w:t>
            </w:r>
          </w:p>
        </w:tc>
        <w:tc>
          <w:tcPr>
            <w:tcW w:w="7937" w:type="dxa"/>
          </w:tcPr>
          <w:p w14:paraId="464C9D18">
            <w:pPr>
              <w:pStyle w:val="85"/>
              <w:jc w:val="both"/>
              <w:rPr>
                <w:color w:val="auto"/>
                <w:sz w:val="22"/>
                <w:szCs w:val="22"/>
              </w:rPr>
            </w:pPr>
            <w:r>
              <w:rPr>
                <w:color w:val="auto"/>
                <w:sz w:val="22"/>
                <w:szCs w:val="22"/>
              </w:rPr>
              <w:t>Значение и употребление глаголов в речи</w:t>
            </w:r>
          </w:p>
        </w:tc>
      </w:tr>
      <w:tr w14:paraId="3A74B5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71F3D864">
            <w:pPr>
              <w:pStyle w:val="85"/>
              <w:jc w:val="center"/>
              <w:rPr>
                <w:color w:val="auto"/>
                <w:sz w:val="22"/>
                <w:szCs w:val="22"/>
              </w:rPr>
            </w:pPr>
            <w:r>
              <w:rPr>
                <w:color w:val="auto"/>
                <w:sz w:val="22"/>
                <w:szCs w:val="22"/>
              </w:rPr>
              <w:t>Урок 148</w:t>
            </w:r>
          </w:p>
        </w:tc>
        <w:tc>
          <w:tcPr>
            <w:tcW w:w="7937" w:type="dxa"/>
          </w:tcPr>
          <w:p w14:paraId="17B7B5DC">
            <w:pPr>
              <w:pStyle w:val="85"/>
              <w:jc w:val="both"/>
              <w:rPr>
                <w:color w:val="auto"/>
                <w:sz w:val="22"/>
                <w:szCs w:val="22"/>
              </w:rPr>
            </w:pPr>
            <w:r>
              <w:rPr>
                <w:color w:val="auto"/>
                <w:sz w:val="22"/>
                <w:szCs w:val="22"/>
              </w:rPr>
              <w:t>Неопределенная форма глагола</w:t>
            </w:r>
          </w:p>
        </w:tc>
      </w:tr>
      <w:tr w14:paraId="2E52BA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7F151A96">
            <w:pPr>
              <w:pStyle w:val="85"/>
              <w:jc w:val="center"/>
              <w:rPr>
                <w:color w:val="auto"/>
                <w:sz w:val="22"/>
                <w:szCs w:val="22"/>
              </w:rPr>
            </w:pPr>
            <w:r>
              <w:rPr>
                <w:color w:val="auto"/>
                <w:sz w:val="22"/>
                <w:szCs w:val="22"/>
              </w:rPr>
              <w:t>Урок 149</w:t>
            </w:r>
          </w:p>
        </w:tc>
        <w:tc>
          <w:tcPr>
            <w:tcW w:w="7937" w:type="dxa"/>
          </w:tcPr>
          <w:p w14:paraId="4CAC110C">
            <w:pPr>
              <w:pStyle w:val="85"/>
              <w:jc w:val="both"/>
              <w:rPr>
                <w:color w:val="auto"/>
                <w:sz w:val="22"/>
                <w:szCs w:val="22"/>
              </w:rPr>
            </w:pPr>
            <w:r>
              <w:rPr>
                <w:color w:val="auto"/>
                <w:sz w:val="22"/>
                <w:szCs w:val="22"/>
              </w:rPr>
              <w:t>Изменение глаголов по числам</w:t>
            </w:r>
          </w:p>
        </w:tc>
      </w:tr>
      <w:tr w14:paraId="158311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1B570EC3">
            <w:pPr>
              <w:pStyle w:val="85"/>
              <w:jc w:val="center"/>
              <w:rPr>
                <w:color w:val="auto"/>
                <w:sz w:val="22"/>
                <w:szCs w:val="22"/>
              </w:rPr>
            </w:pPr>
            <w:r>
              <w:rPr>
                <w:color w:val="auto"/>
                <w:sz w:val="22"/>
                <w:szCs w:val="22"/>
              </w:rPr>
              <w:t>Урок 150</w:t>
            </w:r>
          </w:p>
        </w:tc>
        <w:tc>
          <w:tcPr>
            <w:tcW w:w="7937" w:type="dxa"/>
          </w:tcPr>
          <w:p w14:paraId="258FA0D0">
            <w:pPr>
              <w:pStyle w:val="85"/>
              <w:jc w:val="both"/>
              <w:rPr>
                <w:color w:val="auto"/>
                <w:sz w:val="22"/>
                <w:szCs w:val="22"/>
              </w:rPr>
            </w:pPr>
            <w:r>
              <w:rPr>
                <w:color w:val="auto"/>
                <w:sz w:val="22"/>
                <w:szCs w:val="22"/>
              </w:rPr>
              <w:t>Настоящее время глаголов</w:t>
            </w:r>
          </w:p>
        </w:tc>
      </w:tr>
      <w:tr w14:paraId="7933DA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1FD61E06">
            <w:pPr>
              <w:pStyle w:val="85"/>
              <w:jc w:val="center"/>
              <w:rPr>
                <w:color w:val="auto"/>
                <w:sz w:val="22"/>
                <w:szCs w:val="22"/>
              </w:rPr>
            </w:pPr>
            <w:r>
              <w:rPr>
                <w:color w:val="auto"/>
                <w:sz w:val="22"/>
                <w:szCs w:val="22"/>
              </w:rPr>
              <w:t>Урок 151</w:t>
            </w:r>
          </w:p>
        </w:tc>
        <w:tc>
          <w:tcPr>
            <w:tcW w:w="7937" w:type="dxa"/>
          </w:tcPr>
          <w:p w14:paraId="56F5F063">
            <w:pPr>
              <w:pStyle w:val="85"/>
              <w:jc w:val="both"/>
              <w:rPr>
                <w:color w:val="auto"/>
                <w:sz w:val="22"/>
                <w:szCs w:val="22"/>
              </w:rPr>
            </w:pPr>
            <w:r>
              <w:rPr>
                <w:color w:val="auto"/>
                <w:sz w:val="22"/>
                <w:szCs w:val="22"/>
              </w:rPr>
              <w:t>Будущее время глаголов</w:t>
            </w:r>
          </w:p>
        </w:tc>
      </w:tr>
      <w:tr w14:paraId="26190E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704D85D8">
            <w:pPr>
              <w:pStyle w:val="85"/>
              <w:jc w:val="center"/>
              <w:rPr>
                <w:color w:val="auto"/>
                <w:sz w:val="22"/>
                <w:szCs w:val="22"/>
              </w:rPr>
            </w:pPr>
            <w:r>
              <w:rPr>
                <w:color w:val="auto"/>
                <w:sz w:val="22"/>
                <w:szCs w:val="22"/>
              </w:rPr>
              <w:t>Урок 152</w:t>
            </w:r>
          </w:p>
        </w:tc>
        <w:tc>
          <w:tcPr>
            <w:tcW w:w="7937" w:type="dxa"/>
          </w:tcPr>
          <w:p w14:paraId="7BFF9D09">
            <w:pPr>
              <w:pStyle w:val="85"/>
              <w:jc w:val="both"/>
              <w:rPr>
                <w:color w:val="auto"/>
                <w:sz w:val="22"/>
                <w:szCs w:val="22"/>
              </w:rPr>
            </w:pPr>
            <w:r>
              <w:rPr>
                <w:color w:val="auto"/>
                <w:sz w:val="22"/>
                <w:szCs w:val="22"/>
              </w:rPr>
              <w:t>Прошедшее время глаголов</w:t>
            </w:r>
          </w:p>
        </w:tc>
      </w:tr>
      <w:tr w14:paraId="068A60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744CB819">
            <w:pPr>
              <w:pStyle w:val="85"/>
              <w:jc w:val="center"/>
              <w:rPr>
                <w:color w:val="auto"/>
                <w:sz w:val="22"/>
                <w:szCs w:val="22"/>
              </w:rPr>
            </w:pPr>
            <w:r>
              <w:rPr>
                <w:color w:val="auto"/>
                <w:sz w:val="22"/>
                <w:szCs w:val="22"/>
              </w:rPr>
              <w:t>Урок 153</w:t>
            </w:r>
          </w:p>
        </w:tc>
        <w:tc>
          <w:tcPr>
            <w:tcW w:w="7937" w:type="dxa"/>
          </w:tcPr>
          <w:p w14:paraId="2EAB52E9">
            <w:pPr>
              <w:pStyle w:val="85"/>
              <w:jc w:val="both"/>
              <w:rPr>
                <w:color w:val="auto"/>
                <w:sz w:val="22"/>
                <w:szCs w:val="22"/>
              </w:rPr>
            </w:pPr>
            <w:r>
              <w:rPr>
                <w:color w:val="auto"/>
                <w:sz w:val="22"/>
                <w:szCs w:val="22"/>
              </w:rPr>
              <w:t>Род глаголов в прошедшем времени</w:t>
            </w:r>
          </w:p>
        </w:tc>
      </w:tr>
      <w:tr w14:paraId="105D01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5945FF76">
            <w:pPr>
              <w:pStyle w:val="85"/>
              <w:jc w:val="center"/>
              <w:rPr>
                <w:color w:val="auto"/>
                <w:sz w:val="22"/>
                <w:szCs w:val="22"/>
              </w:rPr>
            </w:pPr>
            <w:r>
              <w:rPr>
                <w:color w:val="auto"/>
                <w:sz w:val="22"/>
                <w:szCs w:val="22"/>
              </w:rPr>
              <w:t>Урок 154</w:t>
            </w:r>
          </w:p>
        </w:tc>
        <w:tc>
          <w:tcPr>
            <w:tcW w:w="7937" w:type="dxa"/>
          </w:tcPr>
          <w:p w14:paraId="1C2A7A3D">
            <w:pPr>
              <w:pStyle w:val="85"/>
              <w:jc w:val="both"/>
              <w:rPr>
                <w:color w:val="auto"/>
                <w:sz w:val="22"/>
                <w:szCs w:val="22"/>
              </w:rPr>
            </w:pPr>
            <w:r>
              <w:rPr>
                <w:color w:val="auto"/>
                <w:sz w:val="22"/>
                <w:szCs w:val="22"/>
              </w:rPr>
              <w:t>Наблюдение за написанием окончаний глаголов в прошедшем времени</w:t>
            </w:r>
          </w:p>
        </w:tc>
      </w:tr>
      <w:tr w14:paraId="074E99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0923A543">
            <w:pPr>
              <w:pStyle w:val="85"/>
              <w:jc w:val="center"/>
              <w:rPr>
                <w:color w:val="auto"/>
                <w:sz w:val="22"/>
                <w:szCs w:val="22"/>
              </w:rPr>
            </w:pPr>
            <w:r>
              <w:rPr>
                <w:color w:val="auto"/>
                <w:sz w:val="22"/>
                <w:szCs w:val="22"/>
              </w:rPr>
              <w:t>Урок 155</w:t>
            </w:r>
          </w:p>
        </w:tc>
        <w:tc>
          <w:tcPr>
            <w:tcW w:w="7937" w:type="dxa"/>
          </w:tcPr>
          <w:p w14:paraId="26802893">
            <w:pPr>
              <w:pStyle w:val="85"/>
              <w:jc w:val="both"/>
              <w:rPr>
                <w:color w:val="auto"/>
                <w:sz w:val="22"/>
                <w:szCs w:val="22"/>
              </w:rPr>
            </w:pPr>
            <w:r>
              <w:rPr>
                <w:color w:val="auto"/>
                <w:sz w:val="22"/>
                <w:szCs w:val="22"/>
              </w:rPr>
              <w:t>Частица не, ее значение</w:t>
            </w:r>
          </w:p>
        </w:tc>
      </w:tr>
      <w:tr w14:paraId="0E45BF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6FA36FA5">
            <w:pPr>
              <w:pStyle w:val="85"/>
              <w:jc w:val="center"/>
              <w:rPr>
                <w:color w:val="auto"/>
                <w:sz w:val="22"/>
                <w:szCs w:val="22"/>
              </w:rPr>
            </w:pPr>
            <w:r>
              <w:rPr>
                <w:color w:val="auto"/>
                <w:sz w:val="22"/>
                <w:szCs w:val="22"/>
              </w:rPr>
              <w:t>Урок 156</w:t>
            </w:r>
          </w:p>
        </w:tc>
        <w:tc>
          <w:tcPr>
            <w:tcW w:w="7937" w:type="dxa"/>
          </w:tcPr>
          <w:p w14:paraId="6019FDB3">
            <w:pPr>
              <w:pStyle w:val="85"/>
              <w:jc w:val="both"/>
              <w:rPr>
                <w:color w:val="auto"/>
                <w:sz w:val="22"/>
                <w:szCs w:val="22"/>
              </w:rPr>
            </w:pPr>
            <w:r>
              <w:rPr>
                <w:color w:val="auto"/>
                <w:sz w:val="22"/>
                <w:szCs w:val="22"/>
              </w:rPr>
              <w:t>Правописание частицы не с глаголами</w:t>
            </w:r>
          </w:p>
        </w:tc>
      </w:tr>
      <w:tr w14:paraId="227240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68E9C0E7">
            <w:pPr>
              <w:pStyle w:val="85"/>
              <w:jc w:val="center"/>
              <w:rPr>
                <w:color w:val="auto"/>
                <w:sz w:val="22"/>
                <w:szCs w:val="22"/>
              </w:rPr>
            </w:pPr>
            <w:r>
              <w:rPr>
                <w:color w:val="auto"/>
                <w:sz w:val="22"/>
                <w:szCs w:val="22"/>
              </w:rPr>
              <w:t>Урок 157</w:t>
            </w:r>
          </w:p>
        </w:tc>
        <w:tc>
          <w:tcPr>
            <w:tcW w:w="7937" w:type="dxa"/>
          </w:tcPr>
          <w:p w14:paraId="42374A25">
            <w:pPr>
              <w:pStyle w:val="85"/>
              <w:jc w:val="both"/>
              <w:rPr>
                <w:color w:val="auto"/>
                <w:sz w:val="22"/>
                <w:szCs w:val="22"/>
              </w:rPr>
            </w:pPr>
            <w:r>
              <w:rPr>
                <w:color w:val="auto"/>
                <w:sz w:val="22"/>
                <w:szCs w:val="22"/>
              </w:rPr>
              <w:t>Правописание глаголов</w:t>
            </w:r>
          </w:p>
        </w:tc>
      </w:tr>
      <w:tr w14:paraId="463FDF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62A951B1">
            <w:pPr>
              <w:pStyle w:val="85"/>
              <w:jc w:val="center"/>
              <w:rPr>
                <w:color w:val="auto"/>
                <w:sz w:val="22"/>
                <w:szCs w:val="22"/>
              </w:rPr>
            </w:pPr>
            <w:r>
              <w:rPr>
                <w:color w:val="auto"/>
                <w:sz w:val="22"/>
                <w:szCs w:val="22"/>
              </w:rPr>
              <w:t>Урок 158</w:t>
            </w:r>
          </w:p>
        </w:tc>
        <w:tc>
          <w:tcPr>
            <w:tcW w:w="7937" w:type="dxa"/>
          </w:tcPr>
          <w:p w14:paraId="521F0899">
            <w:pPr>
              <w:pStyle w:val="85"/>
              <w:jc w:val="both"/>
              <w:rPr>
                <w:color w:val="auto"/>
                <w:sz w:val="22"/>
                <w:szCs w:val="22"/>
              </w:rPr>
            </w:pPr>
            <w:r>
              <w:rPr>
                <w:color w:val="auto"/>
                <w:sz w:val="22"/>
                <w:szCs w:val="22"/>
              </w:rPr>
              <w:t>Части речи: систематизация изученного в 3 классе</w:t>
            </w:r>
          </w:p>
        </w:tc>
      </w:tr>
      <w:tr w14:paraId="5240DE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2E96AA62">
            <w:pPr>
              <w:pStyle w:val="85"/>
              <w:jc w:val="center"/>
              <w:rPr>
                <w:color w:val="auto"/>
                <w:sz w:val="22"/>
                <w:szCs w:val="22"/>
              </w:rPr>
            </w:pPr>
            <w:r>
              <w:rPr>
                <w:color w:val="auto"/>
                <w:sz w:val="22"/>
                <w:szCs w:val="22"/>
              </w:rPr>
              <w:t>Урок 159</w:t>
            </w:r>
          </w:p>
        </w:tc>
        <w:tc>
          <w:tcPr>
            <w:tcW w:w="7937" w:type="dxa"/>
          </w:tcPr>
          <w:p w14:paraId="0EEA05C8">
            <w:pPr>
              <w:pStyle w:val="85"/>
              <w:jc w:val="both"/>
              <w:rPr>
                <w:color w:val="auto"/>
                <w:sz w:val="22"/>
                <w:szCs w:val="22"/>
              </w:rPr>
            </w:pPr>
            <w:r>
              <w:rPr>
                <w:color w:val="auto"/>
                <w:sz w:val="22"/>
                <w:szCs w:val="22"/>
              </w:rPr>
              <w:t>Части речи: обобщение</w:t>
            </w:r>
          </w:p>
        </w:tc>
      </w:tr>
      <w:tr w14:paraId="5DF2E7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1266369C">
            <w:pPr>
              <w:pStyle w:val="85"/>
              <w:jc w:val="center"/>
              <w:rPr>
                <w:color w:val="auto"/>
                <w:sz w:val="22"/>
                <w:szCs w:val="22"/>
              </w:rPr>
            </w:pPr>
            <w:r>
              <w:rPr>
                <w:color w:val="auto"/>
                <w:sz w:val="22"/>
                <w:szCs w:val="22"/>
              </w:rPr>
              <w:t>Урок 160</w:t>
            </w:r>
          </w:p>
        </w:tc>
        <w:tc>
          <w:tcPr>
            <w:tcW w:w="7937" w:type="dxa"/>
          </w:tcPr>
          <w:p w14:paraId="20E9F091">
            <w:pPr>
              <w:pStyle w:val="85"/>
              <w:jc w:val="both"/>
              <w:rPr>
                <w:color w:val="auto"/>
                <w:sz w:val="22"/>
                <w:szCs w:val="22"/>
              </w:rPr>
            </w:pPr>
            <w:r>
              <w:rPr>
                <w:color w:val="auto"/>
                <w:sz w:val="22"/>
                <w:szCs w:val="22"/>
              </w:rPr>
              <w:t>Резервный урок: повторение по разделу морфология</w:t>
            </w:r>
          </w:p>
        </w:tc>
      </w:tr>
      <w:tr w14:paraId="3F7731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714C4E3F">
            <w:pPr>
              <w:pStyle w:val="85"/>
              <w:jc w:val="center"/>
              <w:rPr>
                <w:color w:val="auto"/>
                <w:sz w:val="22"/>
                <w:szCs w:val="22"/>
              </w:rPr>
            </w:pPr>
            <w:r>
              <w:rPr>
                <w:color w:val="auto"/>
                <w:sz w:val="22"/>
                <w:szCs w:val="22"/>
              </w:rPr>
              <w:t>Урок 161</w:t>
            </w:r>
          </w:p>
        </w:tc>
        <w:tc>
          <w:tcPr>
            <w:tcW w:w="7937" w:type="dxa"/>
          </w:tcPr>
          <w:p w14:paraId="5723012B">
            <w:pPr>
              <w:pStyle w:val="85"/>
              <w:jc w:val="both"/>
              <w:rPr>
                <w:color w:val="auto"/>
                <w:sz w:val="22"/>
                <w:szCs w:val="22"/>
              </w:rPr>
            </w:pPr>
            <w:r>
              <w:rPr>
                <w:color w:val="auto"/>
                <w:sz w:val="22"/>
                <w:szCs w:val="22"/>
              </w:rPr>
              <w:t>Повторяем правописание слов с изученными в 1 - 3 классах орфограммами в корне, приставках, окончаниях</w:t>
            </w:r>
          </w:p>
        </w:tc>
      </w:tr>
      <w:tr w14:paraId="5FABF5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0CF1D44D">
            <w:pPr>
              <w:pStyle w:val="85"/>
              <w:jc w:val="center"/>
              <w:rPr>
                <w:color w:val="auto"/>
                <w:sz w:val="22"/>
                <w:szCs w:val="22"/>
              </w:rPr>
            </w:pPr>
            <w:r>
              <w:rPr>
                <w:color w:val="auto"/>
                <w:sz w:val="22"/>
                <w:szCs w:val="22"/>
              </w:rPr>
              <w:t>Урок 162</w:t>
            </w:r>
          </w:p>
        </w:tc>
        <w:tc>
          <w:tcPr>
            <w:tcW w:w="7937" w:type="dxa"/>
          </w:tcPr>
          <w:p w14:paraId="71EDAD02">
            <w:pPr>
              <w:pStyle w:val="85"/>
              <w:jc w:val="both"/>
              <w:rPr>
                <w:color w:val="auto"/>
                <w:sz w:val="22"/>
                <w:szCs w:val="22"/>
              </w:rPr>
            </w:pPr>
            <w:r>
              <w:rPr>
                <w:color w:val="auto"/>
                <w:sz w:val="22"/>
                <w:szCs w:val="22"/>
              </w:rPr>
              <w:t>Повторяем правописание слов с изученными в 1 - 3 классах орфограммами</w:t>
            </w:r>
          </w:p>
        </w:tc>
      </w:tr>
      <w:tr w14:paraId="2FC431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29B15E43">
            <w:pPr>
              <w:pStyle w:val="85"/>
              <w:jc w:val="center"/>
              <w:rPr>
                <w:color w:val="auto"/>
                <w:sz w:val="22"/>
                <w:szCs w:val="22"/>
              </w:rPr>
            </w:pPr>
            <w:r>
              <w:rPr>
                <w:color w:val="auto"/>
                <w:sz w:val="22"/>
                <w:szCs w:val="22"/>
              </w:rPr>
              <w:t>Урок 163</w:t>
            </w:r>
          </w:p>
        </w:tc>
        <w:tc>
          <w:tcPr>
            <w:tcW w:w="7937" w:type="dxa"/>
          </w:tcPr>
          <w:p w14:paraId="3E94FE10">
            <w:pPr>
              <w:pStyle w:val="85"/>
              <w:jc w:val="both"/>
              <w:rPr>
                <w:color w:val="auto"/>
                <w:sz w:val="22"/>
                <w:szCs w:val="22"/>
              </w:rPr>
            </w:pPr>
            <w:r>
              <w:rPr>
                <w:color w:val="auto"/>
                <w:sz w:val="22"/>
                <w:szCs w:val="22"/>
              </w:rPr>
              <w:t>Резервный урок по разделу орфография: отработка орфограмм, вызывающих трудности</w:t>
            </w:r>
          </w:p>
        </w:tc>
      </w:tr>
      <w:tr w14:paraId="4B49C8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26FDDC1D">
            <w:pPr>
              <w:pStyle w:val="85"/>
              <w:jc w:val="center"/>
              <w:rPr>
                <w:color w:val="auto"/>
                <w:sz w:val="22"/>
                <w:szCs w:val="22"/>
              </w:rPr>
            </w:pPr>
            <w:r>
              <w:rPr>
                <w:color w:val="auto"/>
                <w:sz w:val="22"/>
                <w:szCs w:val="22"/>
              </w:rPr>
              <w:t>Урок 164</w:t>
            </w:r>
          </w:p>
        </w:tc>
        <w:tc>
          <w:tcPr>
            <w:tcW w:w="7937" w:type="dxa"/>
          </w:tcPr>
          <w:p w14:paraId="69EB677B">
            <w:pPr>
              <w:pStyle w:val="85"/>
              <w:jc w:val="both"/>
              <w:rPr>
                <w:color w:val="auto"/>
                <w:sz w:val="22"/>
                <w:szCs w:val="22"/>
              </w:rPr>
            </w:pPr>
            <w:r>
              <w:rPr>
                <w:color w:val="auto"/>
                <w:sz w:val="22"/>
                <w:szCs w:val="22"/>
              </w:rPr>
              <w:t>Резервный урок по разделу орфография: отработка орфограмм, вызывающих трудности</w:t>
            </w:r>
          </w:p>
        </w:tc>
      </w:tr>
      <w:tr w14:paraId="15952B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38B04961">
            <w:pPr>
              <w:pStyle w:val="85"/>
              <w:jc w:val="center"/>
              <w:rPr>
                <w:color w:val="auto"/>
                <w:sz w:val="22"/>
                <w:szCs w:val="22"/>
              </w:rPr>
            </w:pPr>
            <w:r>
              <w:rPr>
                <w:color w:val="auto"/>
                <w:sz w:val="22"/>
                <w:szCs w:val="22"/>
              </w:rPr>
              <w:t>Урок 165</w:t>
            </w:r>
          </w:p>
        </w:tc>
        <w:tc>
          <w:tcPr>
            <w:tcW w:w="7937" w:type="dxa"/>
          </w:tcPr>
          <w:p w14:paraId="45F6D6E2">
            <w:pPr>
              <w:pStyle w:val="85"/>
              <w:jc w:val="both"/>
              <w:rPr>
                <w:color w:val="auto"/>
                <w:sz w:val="22"/>
                <w:szCs w:val="22"/>
              </w:rPr>
            </w:pPr>
            <w:r>
              <w:rPr>
                <w:color w:val="auto"/>
                <w:sz w:val="22"/>
                <w:szCs w:val="22"/>
              </w:rPr>
              <w:t>Резервный урок по разделу орфография: отработка орфограмм, вызывающих трудности</w:t>
            </w:r>
          </w:p>
        </w:tc>
      </w:tr>
      <w:tr w14:paraId="573EFE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7FAD76B5">
            <w:pPr>
              <w:pStyle w:val="85"/>
              <w:jc w:val="center"/>
              <w:rPr>
                <w:color w:val="auto"/>
                <w:sz w:val="22"/>
                <w:szCs w:val="22"/>
              </w:rPr>
            </w:pPr>
            <w:r>
              <w:rPr>
                <w:color w:val="auto"/>
                <w:sz w:val="22"/>
                <w:szCs w:val="22"/>
              </w:rPr>
              <w:t>Урок 166</w:t>
            </w:r>
          </w:p>
        </w:tc>
        <w:tc>
          <w:tcPr>
            <w:tcW w:w="7937" w:type="dxa"/>
          </w:tcPr>
          <w:p w14:paraId="13837C77">
            <w:pPr>
              <w:pStyle w:val="85"/>
              <w:jc w:val="both"/>
              <w:rPr>
                <w:color w:val="auto"/>
                <w:sz w:val="22"/>
                <w:szCs w:val="22"/>
              </w:rPr>
            </w:pPr>
            <w:r>
              <w:rPr>
                <w:color w:val="auto"/>
                <w:sz w:val="22"/>
                <w:szCs w:val="22"/>
              </w:rPr>
              <w:t>Резервный урок по разделу орфография: повторение по теме "Чему мы научились на уроках правописания в 3 классе"</w:t>
            </w:r>
          </w:p>
        </w:tc>
      </w:tr>
      <w:tr w14:paraId="039337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4E7D28A0">
            <w:pPr>
              <w:pStyle w:val="85"/>
              <w:jc w:val="center"/>
              <w:rPr>
                <w:color w:val="auto"/>
                <w:sz w:val="22"/>
                <w:szCs w:val="22"/>
              </w:rPr>
            </w:pPr>
            <w:r>
              <w:rPr>
                <w:color w:val="auto"/>
                <w:sz w:val="22"/>
                <w:szCs w:val="22"/>
              </w:rPr>
              <w:t>Урок 167</w:t>
            </w:r>
          </w:p>
        </w:tc>
        <w:tc>
          <w:tcPr>
            <w:tcW w:w="7937" w:type="dxa"/>
          </w:tcPr>
          <w:p w14:paraId="459503A5">
            <w:pPr>
              <w:pStyle w:val="85"/>
              <w:jc w:val="both"/>
              <w:rPr>
                <w:color w:val="auto"/>
                <w:sz w:val="22"/>
                <w:szCs w:val="22"/>
              </w:rPr>
            </w:pPr>
            <w:r>
              <w:rPr>
                <w:color w:val="auto"/>
                <w:sz w:val="22"/>
                <w:szCs w:val="22"/>
              </w:rPr>
              <w:t>Как помочь вести диалог человеку, для которого русский язык не является родным. Изучающее чтение. Функции ознакомительного чтения, ситуации применения</w:t>
            </w:r>
          </w:p>
        </w:tc>
      </w:tr>
      <w:tr w14:paraId="06AE4B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3EACB62E">
            <w:pPr>
              <w:pStyle w:val="85"/>
              <w:jc w:val="center"/>
              <w:rPr>
                <w:color w:val="auto"/>
                <w:sz w:val="22"/>
                <w:szCs w:val="22"/>
              </w:rPr>
            </w:pPr>
            <w:r>
              <w:rPr>
                <w:color w:val="auto"/>
                <w:sz w:val="22"/>
                <w:szCs w:val="22"/>
              </w:rPr>
              <w:t>Урок 168</w:t>
            </w:r>
          </w:p>
        </w:tc>
        <w:tc>
          <w:tcPr>
            <w:tcW w:w="7937" w:type="dxa"/>
          </w:tcPr>
          <w:p w14:paraId="582473AD">
            <w:pPr>
              <w:pStyle w:val="85"/>
              <w:jc w:val="both"/>
              <w:rPr>
                <w:color w:val="auto"/>
                <w:sz w:val="22"/>
                <w:szCs w:val="22"/>
              </w:rPr>
            </w:pPr>
            <w:r>
              <w:rPr>
                <w:color w:val="auto"/>
                <w:sz w:val="22"/>
                <w:szCs w:val="22"/>
              </w:rPr>
              <w:t>Ознакомительное чтение: когда оно нужно</w:t>
            </w:r>
          </w:p>
        </w:tc>
      </w:tr>
      <w:tr w14:paraId="4DD368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1AE14A16">
            <w:pPr>
              <w:pStyle w:val="85"/>
              <w:jc w:val="center"/>
              <w:rPr>
                <w:color w:val="auto"/>
                <w:sz w:val="22"/>
                <w:szCs w:val="22"/>
              </w:rPr>
            </w:pPr>
            <w:r>
              <w:rPr>
                <w:color w:val="auto"/>
                <w:sz w:val="22"/>
                <w:szCs w:val="22"/>
              </w:rPr>
              <w:t>Урок 169</w:t>
            </w:r>
          </w:p>
        </w:tc>
        <w:tc>
          <w:tcPr>
            <w:tcW w:w="7937" w:type="dxa"/>
          </w:tcPr>
          <w:p w14:paraId="0E93454A">
            <w:pPr>
              <w:pStyle w:val="85"/>
              <w:jc w:val="both"/>
              <w:rPr>
                <w:color w:val="auto"/>
                <w:sz w:val="22"/>
                <w:szCs w:val="22"/>
              </w:rPr>
            </w:pPr>
            <w:r>
              <w:rPr>
                <w:color w:val="auto"/>
                <w:sz w:val="22"/>
                <w:szCs w:val="22"/>
              </w:rPr>
              <w:t>Резервный урок по разделу развитие речи: работаем с текстами</w:t>
            </w:r>
          </w:p>
        </w:tc>
      </w:tr>
      <w:tr w14:paraId="41A33C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7BA8461F">
            <w:pPr>
              <w:pStyle w:val="85"/>
              <w:jc w:val="center"/>
              <w:rPr>
                <w:color w:val="auto"/>
                <w:sz w:val="22"/>
                <w:szCs w:val="22"/>
              </w:rPr>
            </w:pPr>
            <w:r>
              <w:rPr>
                <w:color w:val="auto"/>
                <w:sz w:val="22"/>
                <w:szCs w:val="22"/>
              </w:rPr>
              <w:t>Урок 170</w:t>
            </w:r>
          </w:p>
        </w:tc>
        <w:tc>
          <w:tcPr>
            <w:tcW w:w="7937" w:type="dxa"/>
          </w:tcPr>
          <w:p w14:paraId="662B617B">
            <w:pPr>
              <w:pStyle w:val="85"/>
              <w:jc w:val="both"/>
              <w:rPr>
                <w:color w:val="auto"/>
                <w:sz w:val="22"/>
                <w:szCs w:val="22"/>
              </w:rPr>
            </w:pPr>
            <w:r>
              <w:rPr>
                <w:color w:val="auto"/>
                <w:sz w:val="22"/>
                <w:szCs w:val="22"/>
              </w:rPr>
              <w:t>Резервный урок по разделу развитие речи: работаем с текстами</w:t>
            </w:r>
          </w:p>
        </w:tc>
      </w:tr>
      <w:tr w14:paraId="6E3085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9071" w:type="dxa"/>
            <w:gridSpan w:val="2"/>
          </w:tcPr>
          <w:p w14:paraId="6EBD4BD3">
            <w:pPr>
              <w:pStyle w:val="85"/>
              <w:jc w:val="both"/>
              <w:rPr>
                <w:color w:val="auto"/>
                <w:sz w:val="22"/>
                <w:szCs w:val="22"/>
              </w:rPr>
            </w:pPr>
            <w:r>
              <w:rPr>
                <w:color w:val="auto"/>
                <w:sz w:val="22"/>
                <w:szCs w:val="22"/>
              </w:rPr>
              <w:t>ОБЩЕЕ КОЛИЧЕСТВО УРОКОВ ПО ПРОГРАММЕ: 170, из них уроков, отведенных на контрольные работы, - не более 17</w:t>
            </w:r>
          </w:p>
        </w:tc>
      </w:tr>
    </w:tbl>
    <w:p w14:paraId="78FBF5D8">
      <w:pPr>
        <w:pStyle w:val="85"/>
        <w:jc w:val="both"/>
        <w:rPr>
          <w:color w:val="auto"/>
          <w:sz w:val="22"/>
          <w:szCs w:val="22"/>
        </w:rPr>
      </w:pPr>
    </w:p>
    <w:p w14:paraId="7D191985">
      <w:pPr>
        <w:pStyle w:val="85"/>
        <w:jc w:val="right"/>
        <w:rPr>
          <w:color w:val="auto"/>
          <w:sz w:val="22"/>
          <w:szCs w:val="22"/>
        </w:rPr>
      </w:pPr>
      <w:r>
        <w:rPr>
          <w:color w:val="auto"/>
          <w:sz w:val="22"/>
          <w:szCs w:val="22"/>
        </w:rPr>
        <w:t>Таблица 2.7</w:t>
      </w:r>
    </w:p>
    <w:p w14:paraId="4A8D1C8B">
      <w:pPr>
        <w:pStyle w:val="85"/>
        <w:jc w:val="both"/>
        <w:rPr>
          <w:color w:val="auto"/>
          <w:sz w:val="22"/>
          <w:szCs w:val="22"/>
        </w:rPr>
      </w:pPr>
    </w:p>
    <w:p w14:paraId="04E496E8">
      <w:pPr>
        <w:pStyle w:val="85"/>
        <w:jc w:val="both"/>
        <w:rPr>
          <w:color w:val="auto"/>
          <w:sz w:val="22"/>
          <w:szCs w:val="22"/>
        </w:rPr>
      </w:pPr>
      <w:r>
        <w:rPr>
          <w:color w:val="auto"/>
          <w:sz w:val="22"/>
          <w:szCs w:val="22"/>
        </w:rPr>
        <w:t>4 класс</w:t>
      </w:r>
    </w:p>
    <w:p w14:paraId="0403630F">
      <w:pPr>
        <w:pStyle w:val="85"/>
        <w:jc w:val="both"/>
        <w:rPr>
          <w:color w:val="auto"/>
          <w:sz w:val="22"/>
          <w:szCs w:val="22"/>
        </w:rPr>
      </w:pPr>
    </w:p>
    <w:tbl>
      <w:tblPr>
        <w:tblStyle w:val="1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02" w:type="dxa"/>
          <w:left w:w="62" w:type="dxa"/>
          <w:bottom w:w="102" w:type="dxa"/>
          <w:right w:w="62" w:type="dxa"/>
        </w:tblCellMar>
      </w:tblPr>
      <w:tblGrid>
        <w:gridCol w:w="1134"/>
        <w:gridCol w:w="7937"/>
      </w:tblGrid>
      <w:tr w14:paraId="6093FF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tcPr>
          <w:p w14:paraId="6952D375">
            <w:pPr>
              <w:pStyle w:val="85"/>
              <w:jc w:val="center"/>
              <w:rPr>
                <w:color w:val="auto"/>
                <w:sz w:val="22"/>
                <w:szCs w:val="22"/>
              </w:rPr>
            </w:pPr>
            <w:r>
              <w:rPr>
                <w:color w:val="auto"/>
                <w:sz w:val="22"/>
                <w:szCs w:val="22"/>
              </w:rPr>
              <w:t>N урока</w:t>
            </w:r>
          </w:p>
        </w:tc>
        <w:tc>
          <w:tcPr>
            <w:tcW w:w="7937" w:type="dxa"/>
          </w:tcPr>
          <w:p w14:paraId="528E696E">
            <w:pPr>
              <w:pStyle w:val="85"/>
              <w:jc w:val="center"/>
              <w:rPr>
                <w:color w:val="auto"/>
                <w:sz w:val="22"/>
                <w:szCs w:val="22"/>
              </w:rPr>
            </w:pPr>
            <w:r>
              <w:rPr>
                <w:color w:val="auto"/>
                <w:sz w:val="22"/>
                <w:szCs w:val="22"/>
              </w:rPr>
              <w:t>Тема урока</w:t>
            </w:r>
          </w:p>
        </w:tc>
      </w:tr>
      <w:tr w14:paraId="4A2FE5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373FF0B1">
            <w:pPr>
              <w:pStyle w:val="85"/>
              <w:jc w:val="center"/>
              <w:rPr>
                <w:color w:val="auto"/>
                <w:sz w:val="22"/>
                <w:szCs w:val="22"/>
              </w:rPr>
            </w:pPr>
            <w:r>
              <w:rPr>
                <w:color w:val="auto"/>
                <w:sz w:val="22"/>
                <w:szCs w:val="22"/>
              </w:rPr>
              <w:t>Урок 1</w:t>
            </w:r>
          </w:p>
        </w:tc>
        <w:tc>
          <w:tcPr>
            <w:tcW w:w="7937" w:type="dxa"/>
          </w:tcPr>
          <w:p w14:paraId="328D1556">
            <w:pPr>
              <w:pStyle w:val="85"/>
              <w:jc w:val="both"/>
              <w:rPr>
                <w:color w:val="auto"/>
                <w:sz w:val="22"/>
                <w:szCs w:val="22"/>
              </w:rPr>
            </w:pPr>
            <w:r>
              <w:rPr>
                <w:color w:val="auto"/>
                <w:sz w:val="22"/>
                <w:szCs w:val="22"/>
              </w:rPr>
              <w:t>Русский язык как язык межнационального общения</w:t>
            </w:r>
          </w:p>
        </w:tc>
      </w:tr>
      <w:tr w14:paraId="1643BF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63D86707">
            <w:pPr>
              <w:pStyle w:val="85"/>
              <w:jc w:val="center"/>
              <w:rPr>
                <w:color w:val="auto"/>
                <w:sz w:val="22"/>
                <w:szCs w:val="22"/>
              </w:rPr>
            </w:pPr>
            <w:r>
              <w:rPr>
                <w:color w:val="auto"/>
                <w:sz w:val="22"/>
                <w:szCs w:val="22"/>
              </w:rPr>
              <w:t>Урок 2</w:t>
            </w:r>
          </w:p>
        </w:tc>
        <w:tc>
          <w:tcPr>
            <w:tcW w:w="7937" w:type="dxa"/>
          </w:tcPr>
          <w:p w14:paraId="6A2B5AB9">
            <w:pPr>
              <w:pStyle w:val="85"/>
              <w:jc w:val="both"/>
              <w:rPr>
                <w:color w:val="auto"/>
                <w:sz w:val="22"/>
                <w:szCs w:val="22"/>
              </w:rPr>
            </w:pPr>
            <w:r>
              <w:rPr>
                <w:color w:val="auto"/>
                <w:sz w:val="22"/>
                <w:szCs w:val="22"/>
              </w:rPr>
              <w:t>Характеристика звуков русского языка</w:t>
            </w:r>
          </w:p>
        </w:tc>
      </w:tr>
      <w:tr w14:paraId="304532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00CA181F">
            <w:pPr>
              <w:pStyle w:val="85"/>
              <w:jc w:val="center"/>
              <w:rPr>
                <w:color w:val="auto"/>
                <w:sz w:val="22"/>
                <w:szCs w:val="22"/>
              </w:rPr>
            </w:pPr>
            <w:r>
              <w:rPr>
                <w:color w:val="auto"/>
                <w:sz w:val="22"/>
                <w:szCs w:val="22"/>
              </w:rPr>
              <w:t>Урок 3</w:t>
            </w:r>
          </w:p>
        </w:tc>
        <w:tc>
          <w:tcPr>
            <w:tcW w:w="7937" w:type="dxa"/>
          </w:tcPr>
          <w:p w14:paraId="3F4B8058">
            <w:pPr>
              <w:pStyle w:val="85"/>
              <w:jc w:val="both"/>
              <w:rPr>
                <w:color w:val="auto"/>
                <w:sz w:val="22"/>
                <w:szCs w:val="22"/>
              </w:rPr>
            </w:pPr>
            <w:r>
              <w:rPr>
                <w:color w:val="auto"/>
                <w:sz w:val="22"/>
                <w:szCs w:val="22"/>
              </w:rPr>
              <w:t>Звуко-буквенный разбор слова</w:t>
            </w:r>
          </w:p>
        </w:tc>
      </w:tr>
      <w:tr w14:paraId="210DD4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55FDCD91">
            <w:pPr>
              <w:pStyle w:val="85"/>
              <w:jc w:val="center"/>
              <w:rPr>
                <w:color w:val="auto"/>
                <w:sz w:val="22"/>
                <w:szCs w:val="22"/>
              </w:rPr>
            </w:pPr>
            <w:r>
              <w:rPr>
                <w:color w:val="auto"/>
                <w:sz w:val="22"/>
                <w:szCs w:val="22"/>
              </w:rPr>
              <w:t>Урок 4</w:t>
            </w:r>
          </w:p>
        </w:tc>
        <w:tc>
          <w:tcPr>
            <w:tcW w:w="7937" w:type="dxa"/>
          </w:tcPr>
          <w:p w14:paraId="07906E91">
            <w:pPr>
              <w:pStyle w:val="85"/>
              <w:jc w:val="both"/>
              <w:rPr>
                <w:color w:val="auto"/>
                <w:sz w:val="22"/>
                <w:szCs w:val="22"/>
              </w:rPr>
            </w:pPr>
            <w:r>
              <w:rPr>
                <w:color w:val="auto"/>
                <w:sz w:val="22"/>
                <w:szCs w:val="22"/>
              </w:rPr>
              <w:t>Повторяем состав слова</w:t>
            </w:r>
          </w:p>
        </w:tc>
      </w:tr>
      <w:tr w14:paraId="44743C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282294E2">
            <w:pPr>
              <w:pStyle w:val="85"/>
              <w:jc w:val="center"/>
              <w:rPr>
                <w:color w:val="auto"/>
                <w:sz w:val="22"/>
                <w:szCs w:val="22"/>
              </w:rPr>
            </w:pPr>
            <w:r>
              <w:rPr>
                <w:color w:val="auto"/>
                <w:sz w:val="22"/>
                <w:szCs w:val="22"/>
              </w:rPr>
              <w:t>Урок 5</w:t>
            </w:r>
          </w:p>
        </w:tc>
        <w:tc>
          <w:tcPr>
            <w:tcW w:w="7937" w:type="dxa"/>
          </w:tcPr>
          <w:p w14:paraId="7C550133">
            <w:pPr>
              <w:pStyle w:val="85"/>
              <w:jc w:val="both"/>
              <w:rPr>
                <w:color w:val="auto"/>
                <w:sz w:val="22"/>
                <w:szCs w:val="22"/>
              </w:rPr>
            </w:pPr>
            <w:r>
              <w:rPr>
                <w:color w:val="auto"/>
                <w:sz w:val="22"/>
                <w:szCs w:val="22"/>
              </w:rPr>
              <w:t>Основа слова</w:t>
            </w:r>
          </w:p>
        </w:tc>
      </w:tr>
      <w:tr w14:paraId="6B4624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1C200EB6">
            <w:pPr>
              <w:pStyle w:val="85"/>
              <w:jc w:val="center"/>
              <w:rPr>
                <w:color w:val="auto"/>
                <w:sz w:val="22"/>
                <w:szCs w:val="22"/>
              </w:rPr>
            </w:pPr>
            <w:r>
              <w:rPr>
                <w:color w:val="auto"/>
                <w:sz w:val="22"/>
                <w:szCs w:val="22"/>
              </w:rPr>
              <w:t>Урок 6</w:t>
            </w:r>
          </w:p>
        </w:tc>
        <w:tc>
          <w:tcPr>
            <w:tcW w:w="7937" w:type="dxa"/>
          </w:tcPr>
          <w:p w14:paraId="52857BD8">
            <w:pPr>
              <w:pStyle w:val="85"/>
              <w:jc w:val="both"/>
              <w:rPr>
                <w:color w:val="auto"/>
                <w:sz w:val="22"/>
                <w:szCs w:val="22"/>
              </w:rPr>
            </w:pPr>
            <w:r>
              <w:rPr>
                <w:color w:val="auto"/>
                <w:sz w:val="22"/>
                <w:szCs w:val="22"/>
              </w:rPr>
              <w:t>Неизменяемые слова: состав слова</w:t>
            </w:r>
          </w:p>
        </w:tc>
      </w:tr>
      <w:tr w14:paraId="31F891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02423042">
            <w:pPr>
              <w:pStyle w:val="85"/>
              <w:jc w:val="center"/>
              <w:rPr>
                <w:color w:val="auto"/>
                <w:sz w:val="22"/>
                <w:szCs w:val="22"/>
              </w:rPr>
            </w:pPr>
            <w:r>
              <w:rPr>
                <w:color w:val="auto"/>
                <w:sz w:val="22"/>
                <w:szCs w:val="22"/>
              </w:rPr>
              <w:t>Урок 7</w:t>
            </w:r>
          </w:p>
        </w:tc>
        <w:tc>
          <w:tcPr>
            <w:tcW w:w="7937" w:type="dxa"/>
          </w:tcPr>
          <w:p w14:paraId="6FE2470E">
            <w:pPr>
              <w:pStyle w:val="85"/>
              <w:jc w:val="both"/>
              <w:rPr>
                <w:color w:val="auto"/>
                <w:sz w:val="22"/>
                <w:szCs w:val="22"/>
              </w:rPr>
            </w:pPr>
            <w:r>
              <w:rPr>
                <w:color w:val="auto"/>
                <w:sz w:val="22"/>
                <w:szCs w:val="22"/>
              </w:rPr>
              <w:t>Речь: диалогическая и монологическая</w:t>
            </w:r>
          </w:p>
        </w:tc>
      </w:tr>
      <w:tr w14:paraId="7D6202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31B23887">
            <w:pPr>
              <w:pStyle w:val="85"/>
              <w:jc w:val="center"/>
              <w:rPr>
                <w:color w:val="auto"/>
                <w:sz w:val="22"/>
                <w:szCs w:val="22"/>
              </w:rPr>
            </w:pPr>
            <w:r>
              <w:rPr>
                <w:color w:val="auto"/>
                <w:sz w:val="22"/>
                <w:szCs w:val="22"/>
              </w:rPr>
              <w:t>Урок 8</w:t>
            </w:r>
          </w:p>
        </w:tc>
        <w:tc>
          <w:tcPr>
            <w:tcW w:w="7937" w:type="dxa"/>
          </w:tcPr>
          <w:p w14:paraId="50F745F7">
            <w:pPr>
              <w:pStyle w:val="85"/>
              <w:jc w:val="both"/>
              <w:rPr>
                <w:color w:val="auto"/>
                <w:sz w:val="22"/>
                <w:szCs w:val="22"/>
              </w:rPr>
            </w:pPr>
            <w:r>
              <w:rPr>
                <w:color w:val="auto"/>
                <w:sz w:val="22"/>
                <w:szCs w:val="22"/>
              </w:rPr>
              <w:t>Особенности диалога</w:t>
            </w:r>
          </w:p>
        </w:tc>
      </w:tr>
      <w:tr w14:paraId="395286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33DE27CF">
            <w:pPr>
              <w:pStyle w:val="85"/>
              <w:jc w:val="center"/>
              <w:rPr>
                <w:color w:val="auto"/>
                <w:sz w:val="22"/>
                <w:szCs w:val="22"/>
              </w:rPr>
            </w:pPr>
            <w:r>
              <w:rPr>
                <w:color w:val="auto"/>
                <w:sz w:val="22"/>
                <w:szCs w:val="22"/>
              </w:rPr>
              <w:t>Урок 9</w:t>
            </w:r>
          </w:p>
        </w:tc>
        <w:tc>
          <w:tcPr>
            <w:tcW w:w="7937" w:type="dxa"/>
          </w:tcPr>
          <w:p w14:paraId="1D383205">
            <w:pPr>
              <w:pStyle w:val="85"/>
              <w:jc w:val="both"/>
              <w:rPr>
                <w:color w:val="auto"/>
                <w:sz w:val="22"/>
                <w:szCs w:val="22"/>
              </w:rPr>
            </w:pPr>
            <w:r>
              <w:rPr>
                <w:color w:val="auto"/>
                <w:sz w:val="22"/>
                <w:szCs w:val="22"/>
              </w:rPr>
              <w:t>Ситуации устного и письменного общения</w:t>
            </w:r>
          </w:p>
        </w:tc>
      </w:tr>
      <w:tr w14:paraId="7695FA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0929CAAA">
            <w:pPr>
              <w:pStyle w:val="85"/>
              <w:jc w:val="center"/>
              <w:rPr>
                <w:color w:val="auto"/>
                <w:sz w:val="22"/>
                <w:szCs w:val="22"/>
              </w:rPr>
            </w:pPr>
            <w:r>
              <w:rPr>
                <w:color w:val="auto"/>
                <w:sz w:val="22"/>
                <w:szCs w:val="22"/>
              </w:rPr>
              <w:t>Урок 10</w:t>
            </w:r>
          </w:p>
        </w:tc>
        <w:tc>
          <w:tcPr>
            <w:tcW w:w="7937" w:type="dxa"/>
          </w:tcPr>
          <w:p w14:paraId="3124289A">
            <w:pPr>
              <w:pStyle w:val="85"/>
              <w:jc w:val="both"/>
              <w:rPr>
                <w:color w:val="auto"/>
                <w:sz w:val="22"/>
                <w:szCs w:val="22"/>
              </w:rPr>
            </w:pPr>
            <w:r>
              <w:rPr>
                <w:color w:val="auto"/>
                <w:sz w:val="22"/>
                <w:szCs w:val="22"/>
              </w:rPr>
              <w:t>Вспоминаем, как написать письмо, поздравительную открытку, объявление</w:t>
            </w:r>
          </w:p>
        </w:tc>
      </w:tr>
      <w:tr w14:paraId="22310E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36416C5E">
            <w:pPr>
              <w:pStyle w:val="85"/>
              <w:jc w:val="center"/>
              <w:rPr>
                <w:color w:val="auto"/>
                <w:sz w:val="22"/>
                <w:szCs w:val="22"/>
              </w:rPr>
            </w:pPr>
            <w:r>
              <w:rPr>
                <w:color w:val="auto"/>
                <w:sz w:val="22"/>
                <w:szCs w:val="22"/>
              </w:rPr>
              <w:t>Урок 11</w:t>
            </w:r>
          </w:p>
        </w:tc>
        <w:tc>
          <w:tcPr>
            <w:tcW w:w="7937" w:type="dxa"/>
          </w:tcPr>
          <w:p w14:paraId="2E26B7CD">
            <w:pPr>
              <w:pStyle w:val="85"/>
              <w:jc w:val="both"/>
              <w:rPr>
                <w:color w:val="auto"/>
                <w:sz w:val="22"/>
                <w:szCs w:val="22"/>
              </w:rPr>
            </w:pPr>
            <w:r>
              <w:rPr>
                <w:color w:val="auto"/>
                <w:sz w:val="22"/>
                <w:szCs w:val="22"/>
              </w:rPr>
              <w:t>Значение наиболее употребляемых суффиксов изученных частей речи</w:t>
            </w:r>
          </w:p>
        </w:tc>
      </w:tr>
      <w:tr w14:paraId="66F88D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349EB7CC">
            <w:pPr>
              <w:pStyle w:val="85"/>
              <w:jc w:val="center"/>
              <w:rPr>
                <w:color w:val="auto"/>
                <w:sz w:val="22"/>
                <w:szCs w:val="22"/>
              </w:rPr>
            </w:pPr>
            <w:r>
              <w:rPr>
                <w:color w:val="auto"/>
                <w:sz w:val="22"/>
                <w:szCs w:val="22"/>
              </w:rPr>
              <w:t>Урок 12</w:t>
            </w:r>
          </w:p>
        </w:tc>
        <w:tc>
          <w:tcPr>
            <w:tcW w:w="7937" w:type="dxa"/>
          </w:tcPr>
          <w:p w14:paraId="0C0734D1">
            <w:pPr>
              <w:pStyle w:val="85"/>
              <w:jc w:val="both"/>
              <w:rPr>
                <w:color w:val="auto"/>
                <w:sz w:val="22"/>
                <w:szCs w:val="22"/>
              </w:rPr>
            </w:pPr>
            <w:r>
              <w:rPr>
                <w:color w:val="auto"/>
                <w:sz w:val="22"/>
                <w:szCs w:val="22"/>
              </w:rPr>
              <w:t>Отрабатываем разбор слова по составу</w:t>
            </w:r>
          </w:p>
        </w:tc>
      </w:tr>
      <w:tr w14:paraId="6E7448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134" w:type="dxa"/>
            <w:vAlign w:val="center"/>
          </w:tcPr>
          <w:p w14:paraId="014BF8CE">
            <w:pPr>
              <w:pStyle w:val="85"/>
              <w:jc w:val="center"/>
              <w:rPr>
                <w:color w:val="auto"/>
                <w:sz w:val="22"/>
                <w:szCs w:val="22"/>
              </w:rPr>
            </w:pPr>
            <w:r>
              <w:rPr>
                <w:color w:val="auto"/>
                <w:sz w:val="22"/>
                <w:szCs w:val="22"/>
              </w:rPr>
              <w:t>Урок 13</w:t>
            </w:r>
          </w:p>
        </w:tc>
        <w:tc>
          <w:tcPr>
            <w:tcW w:w="7937" w:type="dxa"/>
          </w:tcPr>
          <w:p w14:paraId="2D0F89C6">
            <w:pPr>
              <w:pStyle w:val="85"/>
              <w:jc w:val="both"/>
              <w:rPr>
                <w:color w:val="auto"/>
                <w:sz w:val="22"/>
                <w:szCs w:val="22"/>
              </w:rPr>
            </w:pPr>
            <w:r>
              <w:rPr>
                <w:color w:val="auto"/>
                <w:sz w:val="22"/>
                <w:szCs w:val="22"/>
              </w:rPr>
              <w:t>Правила правописания, изученные в 1 - 3 классах</w:t>
            </w:r>
          </w:p>
        </w:tc>
      </w:tr>
      <w:tr w14:paraId="15C730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387281C2">
            <w:pPr>
              <w:pStyle w:val="85"/>
              <w:jc w:val="center"/>
              <w:rPr>
                <w:color w:val="auto"/>
                <w:sz w:val="22"/>
                <w:szCs w:val="22"/>
              </w:rPr>
            </w:pPr>
            <w:r>
              <w:rPr>
                <w:color w:val="auto"/>
                <w:sz w:val="22"/>
                <w:szCs w:val="22"/>
              </w:rPr>
              <w:t>Урок 14</w:t>
            </w:r>
          </w:p>
        </w:tc>
        <w:tc>
          <w:tcPr>
            <w:tcW w:w="7937" w:type="dxa"/>
          </w:tcPr>
          <w:p w14:paraId="10AD8AF8">
            <w:pPr>
              <w:pStyle w:val="85"/>
              <w:jc w:val="both"/>
              <w:rPr>
                <w:color w:val="auto"/>
                <w:sz w:val="22"/>
                <w:szCs w:val="22"/>
              </w:rPr>
            </w:pPr>
            <w:r>
              <w:rPr>
                <w:color w:val="auto"/>
                <w:sz w:val="22"/>
                <w:szCs w:val="22"/>
              </w:rPr>
              <w:t>Повторение правил правописания, изученных в 1 - 3 классах</w:t>
            </w:r>
          </w:p>
        </w:tc>
      </w:tr>
      <w:tr w14:paraId="6AAF15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16672DC6">
            <w:pPr>
              <w:pStyle w:val="85"/>
              <w:jc w:val="center"/>
              <w:rPr>
                <w:color w:val="auto"/>
                <w:sz w:val="22"/>
                <w:szCs w:val="22"/>
              </w:rPr>
            </w:pPr>
            <w:r>
              <w:rPr>
                <w:color w:val="auto"/>
                <w:sz w:val="22"/>
                <w:szCs w:val="22"/>
              </w:rPr>
              <w:t>Урок 15</w:t>
            </w:r>
          </w:p>
        </w:tc>
        <w:tc>
          <w:tcPr>
            <w:tcW w:w="7937" w:type="dxa"/>
          </w:tcPr>
          <w:p w14:paraId="477FAE8D">
            <w:pPr>
              <w:pStyle w:val="85"/>
              <w:jc w:val="both"/>
              <w:rPr>
                <w:color w:val="auto"/>
                <w:sz w:val="22"/>
                <w:szCs w:val="22"/>
              </w:rPr>
            </w:pPr>
            <w:r>
              <w:rPr>
                <w:color w:val="auto"/>
                <w:sz w:val="22"/>
                <w:szCs w:val="22"/>
              </w:rPr>
              <w:t>Имена существительные 1-го, 2-го, 3-го склонений</w:t>
            </w:r>
          </w:p>
        </w:tc>
      </w:tr>
      <w:tr w14:paraId="402971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7E60BAEE">
            <w:pPr>
              <w:pStyle w:val="85"/>
              <w:jc w:val="center"/>
              <w:rPr>
                <w:color w:val="auto"/>
                <w:sz w:val="22"/>
                <w:szCs w:val="22"/>
              </w:rPr>
            </w:pPr>
            <w:r>
              <w:rPr>
                <w:color w:val="auto"/>
                <w:sz w:val="22"/>
                <w:szCs w:val="22"/>
              </w:rPr>
              <w:t>Урок 16</w:t>
            </w:r>
          </w:p>
        </w:tc>
        <w:tc>
          <w:tcPr>
            <w:tcW w:w="7937" w:type="dxa"/>
          </w:tcPr>
          <w:p w14:paraId="3F87971C">
            <w:pPr>
              <w:pStyle w:val="85"/>
              <w:jc w:val="both"/>
              <w:rPr>
                <w:color w:val="auto"/>
                <w:sz w:val="22"/>
                <w:szCs w:val="22"/>
              </w:rPr>
            </w:pPr>
            <w:r>
              <w:rPr>
                <w:color w:val="auto"/>
                <w:sz w:val="22"/>
                <w:szCs w:val="22"/>
              </w:rPr>
              <w:t>Падежные окончания имен существительных 1 склонения</w:t>
            </w:r>
          </w:p>
        </w:tc>
      </w:tr>
      <w:tr w14:paraId="7B56A6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3C016CE7">
            <w:pPr>
              <w:pStyle w:val="85"/>
              <w:jc w:val="center"/>
              <w:rPr>
                <w:color w:val="auto"/>
                <w:sz w:val="22"/>
                <w:szCs w:val="22"/>
              </w:rPr>
            </w:pPr>
            <w:r>
              <w:rPr>
                <w:color w:val="auto"/>
                <w:sz w:val="22"/>
                <w:szCs w:val="22"/>
              </w:rPr>
              <w:t>Урок 17</w:t>
            </w:r>
          </w:p>
        </w:tc>
        <w:tc>
          <w:tcPr>
            <w:tcW w:w="7937" w:type="dxa"/>
          </w:tcPr>
          <w:p w14:paraId="56773133">
            <w:pPr>
              <w:pStyle w:val="85"/>
              <w:jc w:val="both"/>
              <w:rPr>
                <w:color w:val="auto"/>
                <w:sz w:val="22"/>
                <w:szCs w:val="22"/>
              </w:rPr>
            </w:pPr>
            <w:r>
              <w:rPr>
                <w:color w:val="auto"/>
                <w:sz w:val="22"/>
                <w:szCs w:val="22"/>
              </w:rPr>
              <w:t>Правописание падежных окончаний имен существительных 1 склонения</w:t>
            </w:r>
          </w:p>
        </w:tc>
      </w:tr>
      <w:tr w14:paraId="4D8185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3D62D85C">
            <w:pPr>
              <w:pStyle w:val="85"/>
              <w:jc w:val="center"/>
              <w:rPr>
                <w:color w:val="auto"/>
                <w:sz w:val="22"/>
                <w:szCs w:val="22"/>
              </w:rPr>
            </w:pPr>
            <w:r>
              <w:rPr>
                <w:color w:val="auto"/>
                <w:sz w:val="22"/>
                <w:szCs w:val="22"/>
              </w:rPr>
              <w:t>Урок 18</w:t>
            </w:r>
          </w:p>
        </w:tc>
        <w:tc>
          <w:tcPr>
            <w:tcW w:w="7937" w:type="dxa"/>
          </w:tcPr>
          <w:p w14:paraId="0E29B5AD">
            <w:pPr>
              <w:pStyle w:val="85"/>
              <w:jc w:val="both"/>
              <w:rPr>
                <w:color w:val="auto"/>
                <w:sz w:val="22"/>
                <w:szCs w:val="22"/>
              </w:rPr>
            </w:pPr>
            <w:r>
              <w:rPr>
                <w:color w:val="auto"/>
                <w:sz w:val="22"/>
                <w:szCs w:val="22"/>
              </w:rPr>
              <w:t>Падежные окончания имен существительных 2 склонения</w:t>
            </w:r>
          </w:p>
        </w:tc>
      </w:tr>
      <w:tr w14:paraId="772837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74355CD8">
            <w:pPr>
              <w:pStyle w:val="85"/>
              <w:jc w:val="center"/>
              <w:rPr>
                <w:color w:val="auto"/>
                <w:sz w:val="22"/>
                <w:szCs w:val="22"/>
              </w:rPr>
            </w:pPr>
            <w:r>
              <w:rPr>
                <w:color w:val="auto"/>
                <w:sz w:val="22"/>
                <w:szCs w:val="22"/>
              </w:rPr>
              <w:t>Урок 19</w:t>
            </w:r>
          </w:p>
        </w:tc>
        <w:tc>
          <w:tcPr>
            <w:tcW w:w="7937" w:type="dxa"/>
          </w:tcPr>
          <w:p w14:paraId="06D864EE">
            <w:pPr>
              <w:pStyle w:val="85"/>
              <w:jc w:val="both"/>
              <w:rPr>
                <w:color w:val="auto"/>
                <w:sz w:val="22"/>
                <w:szCs w:val="22"/>
              </w:rPr>
            </w:pPr>
            <w:r>
              <w:rPr>
                <w:color w:val="auto"/>
                <w:sz w:val="22"/>
                <w:szCs w:val="22"/>
              </w:rPr>
              <w:t>Правописание падежных окончаний имен существительных 2 склонения</w:t>
            </w:r>
          </w:p>
        </w:tc>
      </w:tr>
      <w:tr w14:paraId="24E340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0E3683EA">
            <w:pPr>
              <w:pStyle w:val="85"/>
              <w:jc w:val="center"/>
              <w:rPr>
                <w:color w:val="auto"/>
                <w:sz w:val="22"/>
                <w:szCs w:val="22"/>
              </w:rPr>
            </w:pPr>
            <w:r>
              <w:rPr>
                <w:color w:val="auto"/>
                <w:sz w:val="22"/>
                <w:szCs w:val="22"/>
              </w:rPr>
              <w:t>Урок 20</w:t>
            </w:r>
          </w:p>
        </w:tc>
        <w:tc>
          <w:tcPr>
            <w:tcW w:w="7937" w:type="dxa"/>
          </w:tcPr>
          <w:p w14:paraId="2E9B1042">
            <w:pPr>
              <w:pStyle w:val="85"/>
              <w:jc w:val="both"/>
              <w:rPr>
                <w:color w:val="auto"/>
                <w:sz w:val="22"/>
                <w:szCs w:val="22"/>
              </w:rPr>
            </w:pPr>
            <w:r>
              <w:rPr>
                <w:color w:val="auto"/>
                <w:sz w:val="22"/>
                <w:szCs w:val="22"/>
              </w:rPr>
              <w:t>Падежные окончания имен существительных 3 склонения</w:t>
            </w:r>
          </w:p>
        </w:tc>
      </w:tr>
      <w:tr w14:paraId="763832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03E8D126">
            <w:pPr>
              <w:pStyle w:val="85"/>
              <w:jc w:val="center"/>
              <w:rPr>
                <w:color w:val="auto"/>
                <w:sz w:val="22"/>
                <w:szCs w:val="22"/>
              </w:rPr>
            </w:pPr>
            <w:r>
              <w:rPr>
                <w:color w:val="auto"/>
                <w:sz w:val="22"/>
                <w:szCs w:val="22"/>
              </w:rPr>
              <w:t>Урок 21</w:t>
            </w:r>
          </w:p>
        </w:tc>
        <w:tc>
          <w:tcPr>
            <w:tcW w:w="7937" w:type="dxa"/>
          </w:tcPr>
          <w:p w14:paraId="34F72B08">
            <w:pPr>
              <w:pStyle w:val="85"/>
              <w:jc w:val="both"/>
              <w:rPr>
                <w:color w:val="auto"/>
                <w:sz w:val="22"/>
                <w:szCs w:val="22"/>
              </w:rPr>
            </w:pPr>
            <w:r>
              <w:rPr>
                <w:color w:val="auto"/>
                <w:sz w:val="22"/>
                <w:szCs w:val="22"/>
              </w:rPr>
              <w:t>Правописание падежных окончаний имен существительных 3 склонения</w:t>
            </w:r>
          </w:p>
        </w:tc>
      </w:tr>
      <w:tr w14:paraId="14BC51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18FDA782">
            <w:pPr>
              <w:pStyle w:val="85"/>
              <w:jc w:val="center"/>
              <w:rPr>
                <w:color w:val="auto"/>
                <w:sz w:val="22"/>
                <w:szCs w:val="22"/>
              </w:rPr>
            </w:pPr>
            <w:r>
              <w:rPr>
                <w:color w:val="auto"/>
                <w:sz w:val="22"/>
                <w:szCs w:val="22"/>
              </w:rPr>
              <w:t>Урок 22</w:t>
            </w:r>
          </w:p>
        </w:tc>
        <w:tc>
          <w:tcPr>
            <w:tcW w:w="7937" w:type="dxa"/>
          </w:tcPr>
          <w:p w14:paraId="668B46C2">
            <w:pPr>
              <w:pStyle w:val="85"/>
              <w:jc w:val="both"/>
              <w:rPr>
                <w:color w:val="auto"/>
                <w:sz w:val="22"/>
                <w:szCs w:val="22"/>
              </w:rPr>
            </w:pPr>
            <w:r>
              <w:rPr>
                <w:color w:val="auto"/>
                <w:sz w:val="22"/>
                <w:szCs w:val="22"/>
              </w:rPr>
              <w:t>Текст: тема и основная мысль</w:t>
            </w:r>
          </w:p>
        </w:tc>
      </w:tr>
      <w:tr w14:paraId="594EE8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5E65822D">
            <w:pPr>
              <w:pStyle w:val="85"/>
              <w:jc w:val="center"/>
              <w:rPr>
                <w:color w:val="auto"/>
                <w:sz w:val="22"/>
                <w:szCs w:val="22"/>
              </w:rPr>
            </w:pPr>
            <w:r>
              <w:rPr>
                <w:color w:val="auto"/>
                <w:sz w:val="22"/>
                <w:szCs w:val="22"/>
              </w:rPr>
              <w:t>Урок 23</w:t>
            </w:r>
          </w:p>
        </w:tc>
        <w:tc>
          <w:tcPr>
            <w:tcW w:w="7937" w:type="dxa"/>
          </w:tcPr>
          <w:p w14:paraId="1708D91A">
            <w:pPr>
              <w:pStyle w:val="85"/>
              <w:jc w:val="both"/>
              <w:rPr>
                <w:color w:val="auto"/>
                <w:sz w:val="22"/>
                <w:szCs w:val="22"/>
              </w:rPr>
            </w:pPr>
            <w:r>
              <w:rPr>
                <w:color w:val="auto"/>
                <w:sz w:val="22"/>
                <w:szCs w:val="22"/>
              </w:rPr>
              <w:t>Текст: заголовок</w:t>
            </w:r>
          </w:p>
        </w:tc>
      </w:tr>
      <w:tr w14:paraId="55B810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7AEB9405">
            <w:pPr>
              <w:pStyle w:val="85"/>
              <w:jc w:val="center"/>
              <w:rPr>
                <w:color w:val="auto"/>
                <w:sz w:val="22"/>
                <w:szCs w:val="22"/>
              </w:rPr>
            </w:pPr>
            <w:r>
              <w:rPr>
                <w:color w:val="auto"/>
                <w:sz w:val="22"/>
                <w:szCs w:val="22"/>
              </w:rPr>
              <w:t>Урок 24</w:t>
            </w:r>
          </w:p>
        </w:tc>
        <w:tc>
          <w:tcPr>
            <w:tcW w:w="7937" w:type="dxa"/>
          </w:tcPr>
          <w:p w14:paraId="4DE19966">
            <w:pPr>
              <w:pStyle w:val="85"/>
              <w:jc w:val="both"/>
              <w:rPr>
                <w:color w:val="auto"/>
                <w:sz w:val="22"/>
                <w:szCs w:val="22"/>
              </w:rPr>
            </w:pPr>
            <w:r>
              <w:rPr>
                <w:color w:val="auto"/>
                <w:sz w:val="22"/>
                <w:szCs w:val="22"/>
              </w:rPr>
              <w:t>Подбираем заголовки, отражающие тему или основную мысль текста</w:t>
            </w:r>
          </w:p>
        </w:tc>
      </w:tr>
      <w:tr w14:paraId="124C4B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7FA2B2B4">
            <w:pPr>
              <w:pStyle w:val="85"/>
              <w:jc w:val="center"/>
              <w:rPr>
                <w:color w:val="auto"/>
                <w:sz w:val="22"/>
                <w:szCs w:val="22"/>
              </w:rPr>
            </w:pPr>
            <w:r>
              <w:rPr>
                <w:color w:val="auto"/>
                <w:sz w:val="22"/>
                <w:szCs w:val="22"/>
              </w:rPr>
              <w:t>Урок 25</w:t>
            </w:r>
          </w:p>
        </w:tc>
        <w:tc>
          <w:tcPr>
            <w:tcW w:w="7937" w:type="dxa"/>
          </w:tcPr>
          <w:p w14:paraId="459EA3C4">
            <w:pPr>
              <w:pStyle w:val="85"/>
              <w:jc w:val="both"/>
              <w:rPr>
                <w:color w:val="auto"/>
                <w:sz w:val="22"/>
                <w:szCs w:val="22"/>
              </w:rPr>
            </w:pPr>
            <w:r>
              <w:rPr>
                <w:color w:val="auto"/>
                <w:sz w:val="22"/>
                <w:szCs w:val="22"/>
              </w:rPr>
              <w:t>Текст. Образные языковые средства</w:t>
            </w:r>
          </w:p>
        </w:tc>
      </w:tr>
      <w:tr w14:paraId="09A700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26FB8146">
            <w:pPr>
              <w:pStyle w:val="85"/>
              <w:jc w:val="center"/>
              <w:rPr>
                <w:color w:val="auto"/>
                <w:sz w:val="22"/>
                <w:szCs w:val="22"/>
              </w:rPr>
            </w:pPr>
            <w:r>
              <w:rPr>
                <w:color w:val="auto"/>
                <w:sz w:val="22"/>
                <w:szCs w:val="22"/>
              </w:rPr>
              <w:t>Урок 26</w:t>
            </w:r>
          </w:p>
        </w:tc>
        <w:tc>
          <w:tcPr>
            <w:tcW w:w="7937" w:type="dxa"/>
          </w:tcPr>
          <w:p w14:paraId="425E94B5">
            <w:pPr>
              <w:pStyle w:val="85"/>
              <w:jc w:val="both"/>
              <w:rPr>
                <w:color w:val="auto"/>
                <w:sz w:val="22"/>
                <w:szCs w:val="22"/>
              </w:rPr>
            </w:pPr>
            <w:r>
              <w:rPr>
                <w:color w:val="auto"/>
                <w:sz w:val="22"/>
                <w:szCs w:val="22"/>
              </w:rPr>
              <w:t>Особенности падежных окончаний имен существительных в родительном и винительном падежах</w:t>
            </w:r>
          </w:p>
        </w:tc>
      </w:tr>
      <w:tr w14:paraId="203263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2D13B951">
            <w:pPr>
              <w:pStyle w:val="85"/>
              <w:jc w:val="center"/>
              <w:rPr>
                <w:color w:val="auto"/>
                <w:sz w:val="22"/>
                <w:szCs w:val="22"/>
              </w:rPr>
            </w:pPr>
            <w:r>
              <w:rPr>
                <w:color w:val="auto"/>
                <w:sz w:val="22"/>
                <w:szCs w:val="22"/>
              </w:rPr>
              <w:t>Урок 27</w:t>
            </w:r>
          </w:p>
        </w:tc>
        <w:tc>
          <w:tcPr>
            <w:tcW w:w="7937" w:type="dxa"/>
          </w:tcPr>
          <w:p w14:paraId="4E6C5EC7">
            <w:pPr>
              <w:pStyle w:val="85"/>
              <w:jc w:val="both"/>
              <w:rPr>
                <w:color w:val="auto"/>
                <w:sz w:val="22"/>
                <w:szCs w:val="22"/>
              </w:rPr>
            </w:pPr>
            <w:r>
              <w:rPr>
                <w:color w:val="auto"/>
                <w:sz w:val="22"/>
                <w:szCs w:val="22"/>
              </w:rPr>
              <w:t>Правописание падежных окончаний имен существительных в родительном и винительном падежах</w:t>
            </w:r>
          </w:p>
        </w:tc>
      </w:tr>
      <w:tr w14:paraId="4C0EB0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52B298B3">
            <w:pPr>
              <w:pStyle w:val="85"/>
              <w:jc w:val="center"/>
              <w:rPr>
                <w:color w:val="auto"/>
                <w:sz w:val="22"/>
                <w:szCs w:val="22"/>
              </w:rPr>
            </w:pPr>
            <w:r>
              <w:rPr>
                <w:color w:val="auto"/>
                <w:sz w:val="22"/>
                <w:szCs w:val="22"/>
              </w:rPr>
              <w:t>Урок 28</w:t>
            </w:r>
          </w:p>
        </w:tc>
        <w:tc>
          <w:tcPr>
            <w:tcW w:w="7937" w:type="dxa"/>
          </w:tcPr>
          <w:p w14:paraId="52C20C92">
            <w:pPr>
              <w:pStyle w:val="85"/>
              <w:jc w:val="both"/>
              <w:rPr>
                <w:color w:val="auto"/>
                <w:sz w:val="22"/>
                <w:szCs w:val="22"/>
              </w:rPr>
            </w:pPr>
            <w:r>
              <w:rPr>
                <w:color w:val="auto"/>
                <w:sz w:val="22"/>
                <w:szCs w:val="22"/>
              </w:rPr>
              <w:t>Особенности падежных окончаний имен существительных в дательном и предложном падежах</w:t>
            </w:r>
          </w:p>
        </w:tc>
      </w:tr>
      <w:tr w14:paraId="73CEF9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7251C287">
            <w:pPr>
              <w:pStyle w:val="85"/>
              <w:jc w:val="center"/>
              <w:rPr>
                <w:color w:val="auto"/>
                <w:sz w:val="22"/>
                <w:szCs w:val="22"/>
              </w:rPr>
            </w:pPr>
            <w:r>
              <w:rPr>
                <w:color w:val="auto"/>
                <w:sz w:val="22"/>
                <w:szCs w:val="22"/>
              </w:rPr>
              <w:t>Урок 29</w:t>
            </w:r>
          </w:p>
        </w:tc>
        <w:tc>
          <w:tcPr>
            <w:tcW w:w="7937" w:type="dxa"/>
          </w:tcPr>
          <w:p w14:paraId="27FCE937">
            <w:pPr>
              <w:pStyle w:val="85"/>
              <w:jc w:val="both"/>
              <w:rPr>
                <w:color w:val="auto"/>
                <w:sz w:val="22"/>
                <w:szCs w:val="22"/>
              </w:rPr>
            </w:pPr>
            <w:r>
              <w:rPr>
                <w:color w:val="auto"/>
                <w:sz w:val="22"/>
                <w:szCs w:val="22"/>
              </w:rPr>
              <w:t>Правописание падежных окончаний имен существительных в дательном и предложном падежах</w:t>
            </w:r>
          </w:p>
        </w:tc>
      </w:tr>
      <w:tr w14:paraId="400E0F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204241F9">
            <w:pPr>
              <w:pStyle w:val="85"/>
              <w:jc w:val="center"/>
              <w:rPr>
                <w:color w:val="auto"/>
                <w:sz w:val="22"/>
                <w:szCs w:val="22"/>
              </w:rPr>
            </w:pPr>
            <w:r>
              <w:rPr>
                <w:color w:val="auto"/>
                <w:sz w:val="22"/>
                <w:szCs w:val="22"/>
              </w:rPr>
              <w:t>Урок 30</w:t>
            </w:r>
          </w:p>
        </w:tc>
        <w:tc>
          <w:tcPr>
            <w:tcW w:w="7937" w:type="dxa"/>
          </w:tcPr>
          <w:p w14:paraId="2E31DD0E">
            <w:pPr>
              <w:pStyle w:val="85"/>
              <w:jc w:val="both"/>
              <w:rPr>
                <w:color w:val="auto"/>
                <w:sz w:val="22"/>
                <w:szCs w:val="22"/>
              </w:rPr>
            </w:pPr>
            <w:r>
              <w:rPr>
                <w:color w:val="auto"/>
                <w:sz w:val="22"/>
                <w:szCs w:val="22"/>
              </w:rPr>
              <w:t>Правописание падежных окончаний имен существительных в творительном падеже</w:t>
            </w:r>
          </w:p>
        </w:tc>
      </w:tr>
      <w:tr w14:paraId="23E8DF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134" w:type="dxa"/>
            <w:vAlign w:val="center"/>
          </w:tcPr>
          <w:p w14:paraId="6A4A4F45">
            <w:pPr>
              <w:pStyle w:val="85"/>
              <w:jc w:val="center"/>
              <w:rPr>
                <w:color w:val="auto"/>
                <w:sz w:val="22"/>
                <w:szCs w:val="22"/>
              </w:rPr>
            </w:pPr>
            <w:r>
              <w:rPr>
                <w:color w:val="auto"/>
                <w:sz w:val="22"/>
                <w:szCs w:val="22"/>
              </w:rPr>
              <w:t>Урок 31</w:t>
            </w:r>
          </w:p>
        </w:tc>
        <w:tc>
          <w:tcPr>
            <w:tcW w:w="7937" w:type="dxa"/>
          </w:tcPr>
          <w:p w14:paraId="08F03547">
            <w:pPr>
              <w:pStyle w:val="85"/>
              <w:jc w:val="both"/>
              <w:rPr>
                <w:color w:val="auto"/>
                <w:sz w:val="22"/>
                <w:szCs w:val="22"/>
              </w:rPr>
            </w:pPr>
            <w:r>
              <w:rPr>
                <w:color w:val="auto"/>
                <w:sz w:val="22"/>
                <w:szCs w:val="22"/>
              </w:rPr>
              <w:t>Падежные окончания имен существительных множественного числа в дательном, творительном, предложном падежах</w:t>
            </w:r>
          </w:p>
        </w:tc>
      </w:tr>
      <w:tr w14:paraId="2BCBF7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36EED903">
            <w:pPr>
              <w:pStyle w:val="85"/>
              <w:jc w:val="center"/>
              <w:rPr>
                <w:color w:val="auto"/>
                <w:sz w:val="22"/>
                <w:szCs w:val="22"/>
              </w:rPr>
            </w:pPr>
            <w:r>
              <w:rPr>
                <w:color w:val="auto"/>
                <w:sz w:val="22"/>
                <w:szCs w:val="22"/>
              </w:rPr>
              <w:t>Урок 32</w:t>
            </w:r>
          </w:p>
        </w:tc>
        <w:tc>
          <w:tcPr>
            <w:tcW w:w="7937" w:type="dxa"/>
          </w:tcPr>
          <w:p w14:paraId="00866300">
            <w:pPr>
              <w:pStyle w:val="85"/>
              <w:jc w:val="both"/>
              <w:rPr>
                <w:color w:val="auto"/>
                <w:sz w:val="22"/>
                <w:szCs w:val="22"/>
              </w:rPr>
            </w:pPr>
            <w:r>
              <w:rPr>
                <w:color w:val="auto"/>
                <w:sz w:val="22"/>
                <w:szCs w:val="22"/>
              </w:rPr>
              <w:t>Правописание падежных окончаний имен существительных во множественном числе</w:t>
            </w:r>
          </w:p>
        </w:tc>
      </w:tr>
      <w:tr w14:paraId="2CFB5F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16241FAD">
            <w:pPr>
              <w:pStyle w:val="85"/>
              <w:jc w:val="center"/>
              <w:rPr>
                <w:color w:val="auto"/>
                <w:sz w:val="22"/>
                <w:szCs w:val="22"/>
              </w:rPr>
            </w:pPr>
            <w:r>
              <w:rPr>
                <w:color w:val="auto"/>
                <w:sz w:val="22"/>
                <w:szCs w:val="22"/>
              </w:rPr>
              <w:t>Урок 33</w:t>
            </w:r>
          </w:p>
        </w:tc>
        <w:tc>
          <w:tcPr>
            <w:tcW w:w="7937" w:type="dxa"/>
          </w:tcPr>
          <w:p w14:paraId="67634064">
            <w:pPr>
              <w:pStyle w:val="85"/>
              <w:jc w:val="both"/>
              <w:rPr>
                <w:color w:val="auto"/>
                <w:sz w:val="22"/>
                <w:szCs w:val="22"/>
              </w:rPr>
            </w:pPr>
            <w:r>
              <w:rPr>
                <w:color w:val="auto"/>
                <w:sz w:val="22"/>
                <w:szCs w:val="22"/>
              </w:rPr>
              <w:t>Безударные падежные окончания имен существительных: систематизация</w:t>
            </w:r>
          </w:p>
        </w:tc>
      </w:tr>
      <w:tr w14:paraId="647952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06D689F8">
            <w:pPr>
              <w:pStyle w:val="85"/>
              <w:jc w:val="center"/>
              <w:rPr>
                <w:color w:val="auto"/>
                <w:sz w:val="22"/>
                <w:szCs w:val="22"/>
              </w:rPr>
            </w:pPr>
            <w:r>
              <w:rPr>
                <w:color w:val="auto"/>
                <w:sz w:val="22"/>
                <w:szCs w:val="22"/>
              </w:rPr>
              <w:t>Урок 34</w:t>
            </w:r>
          </w:p>
        </w:tc>
        <w:tc>
          <w:tcPr>
            <w:tcW w:w="7937" w:type="dxa"/>
          </w:tcPr>
          <w:p w14:paraId="53101225">
            <w:pPr>
              <w:pStyle w:val="85"/>
              <w:jc w:val="both"/>
              <w:rPr>
                <w:color w:val="auto"/>
                <w:sz w:val="22"/>
                <w:szCs w:val="22"/>
              </w:rPr>
            </w:pPr>
            <w:r>
              <w:rPr>
                <w:color w:val="auto"/>
                <w:sz w:val="22"/>
                <w:szCs w:val="22"/>
              </w:rPr>
              <w:t>Безударные падежные окончания имен существительных: обобщение</w:t>
            </w:r>
          </w:p>
        </w:tc>
      </w:tr>
      <w:tr w14:paraId="7F290C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76BF7086">
            <w:pPr>
              <w:pStyle w:val="85"/>
              <w:jc w:val="center"/>
              <w:rPr>
                <w:color w:val="auto"/>
                <w:sz w:val="22"/>
                <w:szCs w:val="22"/>
              </w:rPr>
            </w:pPr>
            <w:r>
              <w:rPr>
                <w:color w:val="auto"/>
                <w:sz w:val="22"/>
                <w:szCs w:val="22"/>
              </w:rPr>
              <w:t>Урок 35</w:t>
            </w:r>
          </w:p>
        </w:tc>
        <w:tc>
          <w:tcPr>
            <w:tcW w:w="7937" w:type="dxa"/>
          </w:tcPr>
          <w:p w14:paraId="6516D8E4">
            <w:pPr>
              <w:pStyle w:val="85"/>
              <w:jc w:val="both"/>
              <w:rPr>
                <w:color w:val="auto"/>
                <w:sz w:val="22"/>
                <w:szCs w:val="22"/>
              </w:rPr>
            </w:pPr>
            <w:r>
              <w:rPr>
                <w:color w:val="auto"/>
                <w:sz w:val="22"/>
                <w:szCs w:val="22"/>
              </w:rPr>
              <w:t>Текст. Структура текста</w:t>
            </w:r>
          </w:p>
        </w:tc>
      </w:tr>
      <w:tr w14:paraId="21A18D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101376AB">
            <w:pPr>
              <w:pStyle w:val="85"/>
              <w:jc w:val="center"/>
              <w:rPr>
                <w:color w:val="auto"/>
                <w:sz w:val="22"/>
                <w:szCs w:val="22"/>
              </w:rPr>
            </w:pPr>
            <w:r>
              <w:rPr>
                <w:color w:val="auto"/>
                <w:sz w:val="22"/>
                <w:szCs w:val="22"/>
              </w:rPr>
              <w:t>Урок 36</w:t>
            </w:r>
          </w:p>
        </w:tc>
        <w:tc>
          <w:tcPr>
            <w:tcW w:w="7937" w:type="dxa"/>
          </w:tcPr>
          <w:p w14:paraId="0D33E95D">
            <w:pPr>
              <w:pStyle w:val="85"/>
              <w:jc w:val="both"/>
              <w:rPr>
                <w:color w:val="auto"/>
                <w:sz w:val="22"/>
                <w:szCs w:val="22"/>
              </w:rPr>
            </w:pPr>
            <w:r>
              <w:rPr>
                <w:color w:val="auto"/>
                <w:sz w:val="22"/>
                <w:szCs w:val="22"/>
              </w:rPr>
              <w:t>Текст. План текста</w:t>
            </w:r>
          </w:p>
        </w:tc>
      </w:tr>
      <w:tr w14:paraId="5A9E9D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342A20CC">
            <w:pPr>
              <w:pStyle w:val="85"/>
              <w:jc w:val="center"/>
              <w:rPr>
                <w:color w:val="auto"/>
                <w:sz w:val="22"/>
                <w:szCs w:val="22"/>
              </w:rPr>
            </w:pPr>
            <w:r>
              <w:rPr>
                <w:color w:val="auto"/>
                <w:sz w:val="22"/>
                <w:szCs w:val="22"/>
              </w:rPr>
              <w:t>Урок 37</w:t>
            </w:r>
          </w:p>
        </w:tc>
        <w:tc>
          <w:tcPr>
            <w:tcW w:w="7937" w:type="dxa"/>
          </w:tcPr>
          <w:p w14:paraId="2F87B31A">
            <w:pPr>
              <w:pStyle w:val="85"/>
              <w:jc w:val="both"/>
              <w:rPr>
                <w:color w:val="auto"/>
                <w:sz w:val="22"/>
                <w:szCs w:val="22"/>
              </w:rPr>
            </w:pPr>
            <w:r>
              <w:rPr>
                <w:color w:val="auto"/>
                <w:sz w:val="22"/>
                <w:szCs w:val="22"/>
              </w:rPr>
              <w:t>Пишем собственный текст по предложенному заголовку</w:t>
            </w:r>
          </w:p>
        </w:tc>
      </w:tr>
      <w:tr w14:paraId="56DDAE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1E243402">
            <w:pPr>
              <w:pStyle w:val="85"/>
              <w:jc w:val="center"/>
              <w:rPr>
                <w:color w:val="auto"/>
                <w:sz w:val="22"/>
                <w:szCs w:val="22"/>
              </w:rPr>
            </w:pPr>
            <w:r>
              <w:rPr>
                <w:color w:val="auto"/>
                <w:sz w:val="22"/>
                <w:szCs w:val="22"/>
              </w:rPr>
              <w:t>Урок 38</w:t>
            </w:r>
          </w:p>
        </w:tc>
        <w:tc>
          <w:tcPr>
            <w:tcW w:w="7937" w:type="dxa"/>
          </w:tcPr>
          <w:p w14:paraId="423DB8D5">
            <w:pPr>
              <w:pStyle w:val="85"/>
              <w:jc w:val="both"/>
              <w:rPr>
                <w:color w:val="auto"/>
                <w:sz w:val="22"/>
                <w:szCs w:val="22"/>
              </w:rPr>
            </w:pPr>
            <w:r>
              <w:rPr>
                <w:color w:val="auto"/>
                <w:sz w:val="22"/>
                <w:szCs w:val="22"/>
              </w:rPr>
              <w:t>Правописание суффиксов имен существительных</w:t>
            </w:r>
          </w:p>
        </w:tc>
      </w:tr>
      <w:tr w14:paraId="03D8EE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24E4DD69">
            <w:pPr>
              <w:pStyle w:val="85"/>
              <w:jc w:val="center"/>
              <w:rPr>
                <w:color w:val="auto"/>
                <w:sz w:val="22"/>
                <w:szCs w:val="22"/>
              </w:rPr>
            </w:pPr>
            <w:r>
              <w:rPr>
                <w:color w:val="auto"/>
                <w:sz w:val="22"/>
                <w:szCs w:val="22"/>
              </w:rPr>
              <w:t>Урок 39</w:t>
            </w:r>
          </w:p>
        </w:tc>
        <w:tc>
          <w:tcPr>
            <w:tcW w:w="7937" w:type="dxa"/>
          </w:tcPr>
          <w:p w14:paraId="27C4EBF6">
            <w:pPr>
              <w:pStyle w:val="85"/>
              <w:jc w:val="both"/>
              <w:rPr>
                <w:color w:val="auto"/>
                <w:sz w:val="22"/>
                <w:szCs w:val="22"/>
              </w:rPr>
            </w:pPr>
            <w:r>
              <w:rPr>
                <w:color w:val="auto"/>
                <w:sz w:val="22"/>
                <w:szCs w:val="22"/>
              </w:rPr>
              <w:t>Несклоняемые имена существительные</w:t>
            </w:r>
          </w:p>
        </w:tc>
      </w:tr>
      <w:tr w14:paraId="6D7902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22875755">
            <w:pPr>
              <w:pStyle w:val="85"/>
              <w:jc w:val="center"/>
              <w:rPr>
                <w:color w:val="auto"/>
                <w:sz w:val="22"/>
                <w:szCs w:val="22"/>
              </w:rPr>
            </w:pPr>
            <w:r>
              <w:rPr>
                <w:color w:val="auto"/>
                <w:sz w:val="22"/>
                <w:szCs w:val="22"/>
              </w:rPr>
              <w:t>Урок 40</w:t>
            </w:r>
          </w:p>
        </w:tc>
        <w:tc>
          <w:tcPr>
            <w:tcW w:w="7937" w:type="dxa"/>
          </w:tcPr>
          <w:p w14:paraId="4EBE3DFA">
            <w:pPr>
              <w:pStyle w:val="85"/>
              <w:jc w:val="both"/>
              <w:rPr>
                <w:color w:val="auto"/>
                <w:sz w:val="22"/>
                <w:szCs w:val="22"/>
              </w:rPr>
            </w:pPr>
            <w:r>
              <w:rPr>
                <w:color w:val="auto"/>
                <w:sz w:val="22"/>
                <w:szCs w:val="22"/>
              </w:rPr>
              <w:t>Морфологический разбор имени существительного</w:t>
            </w:r>
          </w:p>
        </w:tc>
      </w:tr>
      <w:tr w14:paraId="48D918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48E8E904">
            <w:pPr>
              <w:pStyle w:val="85"/>
              <w:jc w:val="center"/>
              <w:rPr>
                <w:color w:val="auto"/>
                <w:sz w:val="22"/>
                <w:szCs w:val="22"/>
              </w:rPr>
            </w:pPr>
            <w:r>
              <w:rPr>
                <w:color w:val="auto"/>
                <w:sz w:val="22"/>
                <w:szCs w:val="22"/>
              </w:rPr>
              <w:t>Урок 41</w:t>
            </w:r>
          </w:p>
        </w:tc>
        <w:tc>
          <w:tcPr>
            <w:tcW w:w="7937" w:type="dxa"/>
          </w:tcPr>
          <w:p w14:paraId="7908C8BD">
            <w:pPr>
              <w:pStyle w:val="85"/>
              <w:jc w:val="both"/>
              <w:rPr>
                <w:color w:val="auto"/>
                <w:sz w:val="22"/>
                <w:szCs w:val="22"/>
              </w:rPr>
            </w:pPr>
            <w:r>
              <w:rPr>
                <w:color w:val="auto"/>
                <w:sz w:val="22"/>
                <w:szCs w:val="22"/>
              </w:rPr>
              <w:t>Резервный урок по разделу морфология: отработка темы "Имя существительное"</w:t>
            </w:r>
          </w:p>
        </w:tc>
      </w:tr>
      <w:tr w14:paraId="490F6C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74FFAC11">
            <w:pPr>
              <w:pStyle w:val="85"/>
              <w:jc w:val="center"/>
              <w:rPr>
                <w:color w:val="auto"/>
                <w:sz w:val="22"/>
                <w:szCs w:val="22"/>
              </w:rPr>
            </w:pPr>
            <w:r>
              <w:rPr>
                <w:color w:val="auto"/>
                <w:sz w:val="22"/>
                <w:szCs w:val="22"/>
              </w:rPr>
              <w:t>Урок 42</w:t>
            </w:r>
          </w:p>
        </w:tc>
        <w:tc>
          <w:tcPr>
            <w:tcW w:w="7937" w:type="dxa"/>
          </w:tcPr>
          <w:p w14:paraId="262CB7A1">
            <w:pPr>
              <w:pStyle w:val="85"/>
              <w:jc w:val="both"/>
              <w:rPr>
                <w:color w:val="auto"/>
                <w:sz w:val="22"/>
                <w:szCs w:val="22"/>
              </w:rPr>
            </w:pPr>
            <w:r>
              <w:rPr>
                <w:color w:val="auto"/>
                <w:sz w:val="22"/>
                <w:szCs w:val="22"/>
              </w:rPr>
              <w:t>Пишем текст по предложенному плану</w:t>
            </w:r>
          </w:p>
        </w:tc>
      </w:tr>
      <w:tr w14:paraId="030E37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223EC5CA">
            <w:pPr>
              <w:pStyle w:val="85"/>
              <w:jc w:val="center"/>
              <w:rPr>
                <w:color w:val="auto"/>
                <w:sz w:val="22"/>
                <w:szCs w:val="22"/>
              </w:rPr>
            </w:pPr>
            <w:r>
              <w:rPr>
                <w:color w:val="auto"/>
                <w:sz w:val="22"/>
                <w:szCs w:val="22"/>
              </w:rPr>
              <w:t>Урок 43</w:t>
            </w:r>
          </w:p>
        </w:tc>
        <w:tc>
          <w:tcPr>
            <w:tcW w:w="7937" w:type="dxa"/>
          </w:tcPr>
          <w:p w14:paraId="6DA5C331">
            <w:pPr>
              <w:pStyle w:val="85"/>
              <w:jc w:val="both"/>
              <w:rPr>
                <w:color w:val="auto"/>
                <w:sz w:val="22"/>
                <w:szCs w:val="22"/>
              </w:rPr>
            </w:pPr>
            <w:r>
              <w:rPr>
                <w:color w:val="auto"/>
                <w:sz w:val="22"/>
                <w:szCs w:val="22"/>
              </w:rPr>
              <w:t>Имя прилагательное. Значение и употребление имен прилагательных</w:t>
            </w:r>
          </w:p>
        </w:tc>
      </w:tr>
      <w:tr w14:paraId="5F0204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7CA749E7">
            <w:pPr>
              <w:pStyle w:val="85"/>
              <w:jc w:val="center"/>
              <w:rPr>
                <w:color w:val="auto"/>
                <w:sz w:val="22"/>
                <w:szCs w:val="22"/>
              </w:rPr>
            </w:pPr>
            <w:r>
              <w:rPr>
                <w:color w:val="auto"/>
                <w:sz w:val="22"/>
                <w:szCs w:val="22"/>
              </w:rPr>
              <w:t>Урок 44</w:t>
            </w:r>
          </w:p>
        </w:tc>
        <w:tc>
          <w:tcPr>
            <w:tcW w:w="7937" w:type="dxa"/>
          </w:tcPr>
          <w:p w14:paraId="500265BC">
            <w:pPr>
              <w:pStyle w:val="85"/>
              <w:jc w:val="both"/>
              <w:rPr>
                <w:color w:val="auto"/>
                <w:sz w:val="22"/>
                <w:szCs w:val="22"/>
              </w:rPr>
            </w:pPr>
            <w:r>
              <w:rPr>
                <w:color w:val="auto"/>
                <w:sz w:val="22"/>
                <w:szCs w:val="22"/>
              </w:rPr>
              <w:t>Зависимость формы имени прилагательного от формы имени существительного</w:t>
            </w:r>
          </w:p>
        </w:tc>
      </w:tr>
      <w:tr w14:paraId="77A7C5B2">
        <w:tblPrEx>
          <w:tblCellMar>
            <w:top w:w="102" w:type="dxa"/>
            <w:left w:w="62" w:type="dxa"/>
            <w:bottom w:w="102" w:type="dxa"/>
            <w:right w:w="62" w:type="dxa"/>
          </w:tblCellMar>
        </w:tblPrEx>
        <w:tc>
          <w:tcPr>
            <w:tcW w:w="1134" w:type="dxa"/>
            <w:vAlign w:val="center"/>
          </w:tcPr>
          <w:p w14:paraId="0AA3F904">
            <w:pPr>
              <w:pStyle w:val="85"/>
              <w:jc w:val="center"/>
              <w:rPr>
                <w:color w:val="auto"/>
                <w:sz w:val="22"/>
                <w:szCs w:val="22"/>
              </w:rPr>
            </w:pPr>
            <w:r>
              <w:rPr>
                <w:color w:val="auto"/>
                <w:sz w:val="22"/>
                <w:szCs w:val="22"/>
              </w:rPr>
              <w:t>Урок 45</w:t>
            </w:r>
          </w:p>
        </w:tc>
        <w:tc>
          <w:tcPr>
            <w:tcW w:w="7937" w:type="dxa"/>
          </w:tcPr>
          <w:p w14:paraId="124F8B7C">
            <w:pPr>
              <w:pStyle w:val="85"/>
              <w:jc w:val="both"/>
              <w:rPr>
                <w:color w:val="auto"/>
                <w:sz w:val="22"/>
                <w:szCs w:val="22"/>
              </w:rPr>
            </w:pPr>
            <w:r>
              <w:rPr>
                <w:color w:val="auto"/>
                <w:sz w:val="22"/>
                <w:szCs w:val="22"/>
              </w:rPr>
              <w:t>Склонение имен прилагательных</w:t>
            </w:r>
          </w:p>
        </w:tc>
      </w:tr>
      <w:tr w14:paraId="31A2D6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134" w:type="dxa"/>
            <w:vAlign w:val="center"/>
          </w:tcPr>
          <w:p w14:paraId="405BD194">
            <w:pPr>
              <w:pStyle w:val="85"/>
              <w:jc w:val="center"/>
              <w:rPr>
                <w:color w:val="auto"/>
                <w:sz w:val="22"/>
                <w:szCs w:val="22"/>
              </w:rPr>
            </w:pPr>
            <w:r>
              <w:rPr>
                <w:color w:val="auto"/>
                <w:sz w:val="22"/>
                <w:szCs w:val="22"/>
              </w:rPr>
              <w:t>Урок 46</w:t>
            </w:r>
          </w:p>
        </w:tc>
        <w:tc>
          <w:tcPr>
            <w:tcW w:w="7937" w:type="dxa"/>
          </w:tcPr>
          <w:p w14:paraId="05D4EF77">
            <w:pPr>
              <w:pStyle w:val="85"/>
              <w:jc w:val="both"/>
              <w:rPr>
                <w:color w:val="auto"/>
                <w:sz w:val="22"/>
                <w:szCs w:val="22"/>
              </w:rPr>
            </w:pPr>
            <w:r>
              <w:rPr>
                <w:color w:val="auto"/>
                <w:sz w:val="22"/>
                <w:szCs w:val="22"/>
              </w:rPr>
              <w:t>Правописание падежных окончаний имен прилагательных</w:t>
            </w:r>
          </w:p>
        </w:tc>
      </w:tr>
      <w:tr w14:paraId="6090A6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5B7EDB35">
            <w:pPr>
              <w:pStyle w:val="85"/>
              <w:jc w:val="center"/>
              <w:rPr>
                <w:color w:val="auto"/>
                <w:sz w:val="22"/>
                <w:szCs w:val="22"/>
              </w:rPr>
            </w:pPr>
            <w:r>
              <w:rPr>
                <w:color w:val="auto"/>
                <w:sz w:val="22"/>
                <w:szCs w:val="22"/>
              </w:rPr>
              <w:t>Урок 47</w:t>
            </w:r>
          </w:p>
        </w:tc>
        <w:tc>
          <w:tcPr>
            <w:tcW w:w="7937" w:type="dxa"/>
          </w:tcPr>
          <w:p w14:paraId="563D5F10">
            <w:pPr>
              <w:pStyle w:val="85"/>
              <w:jc w:val="both"/>
              <w:rPr>
                <w:color w:val="auto"/>
                <w:sz w:val="22"/>
                <w:szCs w:val="22"/>
              </w:rPr>
            </w:pPr>
            <w:r>
              <w:rPr>
                <w:color w:val="auto"/>
                <w:sz w:val="22"/>
                <w:szCs w:val="22"/>
              </w:rPr>
              <w:t>Правописание падежных окончаний имен прилагательных в единственном числе</w:t>
            </w:r>
          </w:p>
        </w:tc>
      </w:tr>
      <w:tr w14:paraId="585EDA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792FA502">
            <w:pPr>
              <w:pStyle w:val="85"/>
              <w:jc w:val="center"/>
              <w:rPr>
                <w:color w:val="auto"/>
                <w:sz w:val="22"/>
                <w:szCs w:val="22"/>
              </w:rPr>
            </w:pPr>
            <w:r>
              <w:rPr>
                <w:color w:val="auto"/>
                <w:sz w:val="22"/>
                <w:szCs w:val="22"/>
              </w:rPr>
              <w:t>Урок 48</w:t>
            </w:r>
          </w:p>
        </w:tc>
        <w:tc>
          <w:tcPr>
            <w:tcW w:w="7937" w:type="dxa"/>
          </w:tcPr>
          <w:p w14:paraId="22C766B4">
            <w:pPr>
              <w:pStyle w:val="85"/>
              <w:jc w:val="both"/>
              <w:rPr>
                <w:color w:val="auto"/>
                <w:sz w:val="22"/>
                <w:szCs w:val="22"/>
              </w:rPr>
            </w:pPr>
            <w:r>
              <w:rPr>
                <w:color w:val="auto"/>
                <w:sz w:val="22"/>
                <w:szCs w:val="22"/>
              </w:rPr>
              <w:t>Особенности склонения имен прилагательных во множественном числе</w:t>
            </w:r>
          </w:p>
        </w:tc>
      </w:tr>
      <w:tr w14:paraId="0FB9AA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134" w:type="dxa"/>
            <w:vAlign w:val="center"/>
          </w:tcPr>
          <w:p w14:paraId="7800521E">
            <w:pPr>
              <w:pStyle w:val="85"/>
              <w:jc w:val="center"/>
              <w:rPr>
                <w:color w:val="auto"/>
                <w:sz w:val="22"/>
                <w:szCs w:val="22"/>
              </w:rPr>
            </w:pPr>
            <w:r>
              <w:rPr>
                <w:color w:val="auto"/>
                <w:sz w:val="22"/>
                <w:szCs w:val="22"/>
              </w:rPr>
              <w:t>Урок 49</w:t>
            </w:r>
          </w:p>
        </w:tc>
        <w:tc>
          <w:tcPr>
            <w:tcW w:w="7937" w:type="dxa"/>
          </w:tcPr>
          <w:p w14:paraId="61AAFA08">
            <w:pPr>
              <w:pStyle w:val="85"/>
              <w:jc w:val="both"/>
              <w:rPr>
                <w:color w:val="auto"/>
                <w:sz w:val="22"/>
                <w:szCs w:val="22"/>
              </w:rPr>
            </w:pPr>
            <w:r>
              <w:rPr>
                <w:color w:val="auto"/>
                <w:sz w:val="22"/>
                <w:szCs w:val="22"/>
              </w:rPr>
              <w:t>Правописание падежных окончаний имен прилагательных во множественном числе</w:t>
            </w:r>
          </w:p>
        </w:tc>
      </w:tr>
      <w:tr w14:paraId="4AC67C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7DF8BB3E">
            <w:pPr>
              <w:pStyle w:val="85"/>
              <w:jc w:val="center"/>
              <w:rPr>
                <w:color w:val="auto"/>
                <w:sz w:val="22"/>
                <w:szCs w:val="22"/>
              </w:rPr>
            </w:pPr>
            <w:r>
              <w:rPr>
                <w:color w:val="auto"/>
                <w:sz w:val="22"/>
                <w:szCs w:val="22"/>
              </w:rPr>
              <w:t>Урок 50</w:t>
            </w:r>
          </w:p>
        </w:tc>
        <w:tc>
          <w:tcPr>
            <w:tcW w:w="7937" w:type="dxa"/>
          </w:tcPr>
          <w:p w14:paraId="02199407">
            <w:pPr>
              <w:pStyle w:val="85"/>
              <w:jc w:val="both"/>
              <w:rPr>
                <w:color w:val="auto"/>
                <w:sz w:val="22"/>
                <w:szCs w:val="22"/>
              </w:rPr>
            </w:pPr>
            <w:r>
              <w:rPr>
                <w:color w:val="auto"/>
                <w:sz w:val="22"/>
                <w:szCs w:val="22"/>
              </w:rPr>
              <w:t>Безударные падежные окончания имен прилагательных: систематизация</w:t>
            </w:r>
          </w:p>
        </w:tc>
      </w:tr>
      <w:tr w14:paraId="3C4214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134" w:type="dxa"/>
            <w:vAlign w:val="center"/>
          </w:tcPr>
          <w:p w14:paraId="73FC5F24">
            <w:pPr>
              <w:pStyle w:val="85"/>
              <w:jc w:val="center"/>
              <w:rPr>
                <w:color w:val="auto"/>
                <w:sz w:val="22"/>
                <w:szCs w:val="22"/>
              </w:rPr>
            </w:pPr>
            <w:r>
              <w:rPr>
                <w:color w:val="auto"/>
                <w:sz w:val="22"/>
                <w:szCs w:val="22"/>
              </w:rPr>
              <w:t>Урок 51</w:t>
            </w:r>
          </w:p>
        </w:tc>
        <w:tc>
          <w:tcPr>
            <w:tcW w:w="7937" w:type="dxa"/>
          </w:tcPr>
          <w:p w14:paraId="6C139C30">
            <w:pPr>
              <w:pStyle w:val="85"/>
              <w:jc w:val="both"/>
              <w:rPr>
                <w:color w:val="auto"/>
                <w:sz w:val="22"/>
                <w:szCs w:val="22"/>
              </w:rPr>
            </w:pPr>
            <w:r>
              <w:rPr>
                <w:color w:val="auto"/>
                <w:sz w:val="22"/>
                <w:szCs w:val="22"/>
              </w:rPr>
              <w:t>Безударные падежные окончания имен прилагательных: обобщение</w:t>
            </w:r>
          </w:p>
        </w:tc>
      </w:tr>
      <w:tr w14:paraId="7AD63A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1DE97C0C">
            <w:pPr>
              <w:pStyle w:val="85"/>
              <w:jc w:val="center"/>
              <w:rPr>
                <w:color w:val="auto"/>
                <w:sz w:val="22"/>
                <w:szCs w:val="22"/>
              </w:rPr>
            </w:pPr>
            <w:r>
              <w:rPr>
                <w:color w:val="auto"/>
                <w:sz w:val="22"/>
                <w:szCs w:val="22"/>
              </w:rPr>
              <w:t>Урок 52</w:t>
            </w:r>
          </w:p>
        </w:tc>
        <w:tc>
          <w:tcPr>
            <w:tcW w:w="7937" w:type="dxa"/>
          </w:tcPr>
          <w:p w14:paraId="30A98264">
            <w:pPr>
              <w:pStyle w:val="85"/>
              <w:jc w:val="both"/>
              <w:rPr>
                <w:color w:val="auto"/>
                <w:sz w:val="22"/>
                <w:szCs w:val="22"/>
              </w:rPr>
            </w:pPr>
            <w:r>
              <w:rPr>
                <w:color w:val="auto"/>
                <w:sz w:val="22"/>
                <w:szCs w:val="22"/>
              </w:rPr>
              <w:t>Правописание имен прилагательных</w:t>
            </w:r>
          </w:p>
        </w:tc>
      </w:tr>
      <w:tr w14:paraId="12046D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6FF8256E">
            <w:pPr>
              <w:pStyle w:val="85"/>
              <w:jc w:val="center"/>
              <w:rPr>
                <w:color w:val="auto"/>
                <w:sz w:val="22"/>
                <w:szCs w:val="22"/>
              </w:rPr>
            </w:pPr>
            <w:r>
              <w:rPr>
                <w:color w:val="auto"/>
                <w:sz w:val="22"/>
                <w:szCs w:val="22"/>
              </w:rPr>
              <w:t>Урок 53</w:t>
            </w:r>
          </w:p>
        </w:tc>
        <w:tc>
          <w:tcPr>
            <w:tcW w:w="7937" w:type="dxa"/>
          </w:tcPr>
          <w:p w14:paraId="65B88FC9">
            <w:pPr>
              <w:pStyle w:val="85"/>
              <w:jc w:val="both"/>
              <w:rPr>
                <w:color w:val="auto"/>
                <w:sz w:val="22"/>
                <w:szCs w:val="22"/>
              </w:rPr>
            </w:pPr>
            <w:r>
              <w:rPr>
                <w:color w:val="auto"/>
                <w:sz w:val="22"/>
                <w:szCs w:val="22"/>
              </w:rPr>
              <w:t>Морфологический разбор имени прилагательного</w:t>
            </w:r>
          </w:p>
        </w:tc>
      </w:tr>
      <w:tr w14:paraId="13B35B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44EF4029">
            <w:pPr>
              <w:pStyle w:val="85"/>
              <w:jc w:val="center"/>
              <w:rPr>
                <w:color w:val="auto"/>
                <w:sz w:val="22"/>
                <w:szCs w:val="22"/>
              </w:rPr>
            </w:pPr>
            <w:r>
              <w:rPr>
                <w:color w:val="auto"/>
                <w:sz w:val="22"/>
                <w:szCs w:val="22"/>
              </w:rPr>
              <w:t>Урок 54</w:t>
            </w:r>
          </w:p>
        </w:tc>
        <w:tc>
          <w:tcPr>
            <w:tcW w:w="7937" w:type="dxa"/>
          </w:tcPr>
          <w:p w14:paraId="336AE7CD">
            <w:pPr>
              <w:pStyle w:val="85"/>
              <w:jc w:val="both"/>
              <w:rPr>
                <w:color w:val="auto"/>
                <w:sz w:val="22"/>
                <w:szCs w:val="22"/>
              </w:rPr>
            </w:pPr>
            <w:r>
              <w:rPr>
                <w:color w:val="auto"/>
                <w:sz w:val="22"/>
                <w:szCs w:val="22"/>
              </w:rPr>
              <w:t>Резервный урок по разделу морфология: отработка темы "Имя прилагательное"</w:t>
            </w:r>
          </w:p>
        </w:tc>
      </w:tr>
      <w:tr w14:paraId="072B0C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0F823EF0">
            <w:pPr>
              <w:pStyle w:val="85"/>
              <w:jc w:val="center"/>
              <w:rPr>
                <w:color w:val="auto"/>
                <w:sz w:val="22"/>
                <w:szCs w:val="22"/>
              </w:rPr>
            </w:pPr>
            <w:r>
              <w:rPr>
                <w:color w:val="auto"/>
                <w:sz w:val="22"/>
                <w:szCs w:val="22"/>
              </w:rPr>
              <w:t>Урок 55</w:t>
            </w:r>
          </w:p>
        </w:tc>
        <w:tc>
          <w:tcPr>
            <w:tcW w:w="7937" w:type="dxa"/>
          </w:tcPr>
          <w:p w14:paraId="144A0481">
            <w:pPr>
              <w:pStyle w:val="85"/>
              <w:jc w:val="both"/>
              <w:rPr>
                <w:color w:val="auto"/>
                <w:sz w:val="22"/>
                <w:szCs w:val="22"/>
              </w:rPr>
            </w:pPr>
            <w:r>
              <w:rPr>
                <w:color w:val="auto"/>
                <w:sz w:val="22"/>
                <w:szCs w:val="22"/>
              </w:rPr>
              <w:t>Вспоминаем типы текстов</w:t>
            </w:r>
          </w:p>
        </w:tc>
      </w:tr>
      <w:tr w14:paraId="01B0A6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41D45D95">
            <w:pPr>
              <w:pStyle w:val="85"/>
              <w:jc w:val="center"/>
              <w:rPr>
                <w:color w:val="auto"/>
                <w:sz w:val="22"/>
                <w:szCs w:val="22"/>
              </w:rPr>
            </w:pPr>
            <w:r>
              <w:rPr>
                <w:color w:val="auto"/>
                <w:sz w:val="22"/>
                <w:szCs w:val="22"/>
              </w:rPr>
              <w:t>Урок 56</w:t>
            </w:r>
          </w:p>
        </w:tc>
        <w:tc>
          <w:tcPr>
            <w:tcW w:w="7937" w:type="dxa"/>
          </w:tcPr>
          <w:p w14:paraId="2EFA3756">
            <w:pPr>
              <w:pStyle w:val="85"/>
              <w:jc w:val="both"/>
              <w:rPr>
                <w:color w:val="auto"/>
                <w:sz w:val="22"/>
                <w:szCs w:val="22"/>
              </w:rPr>
            </w:pPr>
            <w:r>
              <w:rPr>
                <w:color w:val="auto"/>
                <w:sz w:val="22"/>
                <w:szCs w:val="22"/>
              </w:rPr>
              <w:t>Различаем тексты-повествования, тексты-описания и тексты-рассуждения</w:t>
            </w:r>
          </w:p>
        </w:tc>
      </w:tr>
      <w:tr w14:paraId="42458C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2A5740E6">
            <w:pPr>
              <w:pStyle w:val="85"/>
              <w:jc w:val="center"/>
              <w:rPr>
                <w:color w:val="auto"/>
                <w:sz w:val="22"/>
                <w:szCs w:val="22"/>
              </w:rPr>
            </w:pPr>
            <w:r>
              <w:rPr>
                <w:color w:val="auto"/>
                <w:sz w:val="22"/>
                <w:szCs w:val="22"/>
              </w:rPr>
              <w:t>Урок 57</w:t>
            </w:r>
          </w:p>
        </w:tc>
        <w:tc>
          <w:tcPr>
            <w:tcW w:w="7937" w:type="dxa"/>
          </w:tcPr>
          <w:p w14:paraId="69AD5DE6">
            <w:pPr>
              <w:pStyle w:val="85"/>
              <w:jc w:val="both"/>
              <w:rPr>
                <w:color w:val="auto"/>
                <w:sz w:val="22"/>
                <w:szCs w:val="22"/>
              </w:rPr>
            </w:pPr>
            <w:r>
              <w:rPr>
                <w:color w:val="auto"/>
                <w:sz w:val="22"/>
                <w:szCs w:val="22"/>
              </w:rPr>
              <w:t>Местоимение</w:t>
            </w:r>
          </w:p>
        </w:tc>
      </w:tr>
      <w:tr w14:paraId="5087E2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477A96E4">
            <w:pPr>
              <w:pStyle w:val="85"/>
              <w:jc w:val="center"/>
              <w:rPr>
                <w:color w:val="auto"/>
                <w:sz w:val="22"/>
                <w:szCs w:val="22"/>
              </w:rPr>
            </w:pPr>
            <w:r>
              <w:rPr>
                <w:color w:val="auto"/>
                <w:sz w:val="22"/>
                <w:szCs w:val="22"/>
              </w:rPr>
              <w:t>Урок 58</w:t>
            </w:r>
          </w:p>
        </w:tc>
        <w:tc>
          <w:tcPr>
            <w:tcW w:w="7937" w:type="dxa"/>
          </w:tcPr>
          <w:p w14:paraId="41C2A372">
            <w:pPr>
              <w:pStyle w:val="85"/>
              <w:jc w:val="both"/>
              <w:rPr>
                <w:color w:val="auto"/>
                <w:sz w:val="22"/>
                <w:szCs w:val="22"/>
              </w:rPr>
            </w:pPr>
            <w:r>
              <w:rPr>
                <w:color w:val="auto"/>
                <w:sz w:val="22"/>
                <w:szCs w:val="22"/>
              </w:rPr>
              <w:t>Личные местоимения 1-го и 3-го лица единственного и множественного числа</w:t>
            </w:r>
          </w:p>
        </w:tc>
      </w:tr>
      <w:tr w14:paraId="640C37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134" w:type="dxa"/>
            <w:vAlign w:val="center"/>
          </w:tcPr>
          <w:p w14:paraId="41C77AFC">
            <w:pPr>
              <w:pStyle w:val="85"/>
              <w:jc w:val="center"/>
              <w:rPr>
                <w:color w:val="auto"/>
                <w:sz w:val="22"/>
                <w:szCs w:val="22"/>
              </w:rPr>
            </w:pPr>
            <w:r>
              <w:rPr>
                <w:color w:val="auto"/>
                <w:sz w:val="22"/>
                <w:szCs w:val="22"/>
              </w:rPr>
              <w:t>Урок 59</w:t>
            </w:r>
          </w:p>
        </w:tc>
        <w:tc>
          <w:tcPr>
            <w:tcW w:w="7937" w:type="dxa"/>
          </w:tcPr>
          <w:p w14:paraId="61974A93">
            <w:pPr>
              <w:pStyle w:val="85"/>
              <w:jc w:val="both"/>
              <w:rPr>
                <w:color w:val="auto"/>
                <w:sz w:val="22"/>
                <w:szCs w:val="22"/>
              </w:rPr>
            </w:pPr>
            <w:r>
              <w:rPr>
                <w:color w:val="auto"/>
                <w:sz w:val="22"/>
                <w:szCs w:val="22"/>
              </w:rPr>
              <w:t>Склонение личных местоимений</w:t>
            </w:r>
          </w:p>
        </w:tc>
      </w:tr>
      <w:tr w14:paraId="562C3F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2FD91374">
            <w:pPr>
              <w:pStyle w:val="85"/>
              <w:jc w:val="center"/>
              <w:rPr>
                <w:color w:val="auto"/>
                <w:sz w:val="22"/>
                <w:szCs w:val="22"/>
              </w:rPr>
            </w:pPr>
            <w:r>
              <w:rPr>
                <w:color w:val="auto"/>
                <w:sz w:val="22"/>
                <w:szCs w:val="22"/>
              </w:rPr>
              <w:t>Урок 60</w:t>
            </w:r>
          </w:p>
        </w:tc>
        <w:tc>
          <w:tcPr>
            <w:tcW w:w="7937" w:type="dxa"/>
          </w:tcPr>
          <w:p w14:paraId="0097A31D">
            <w:pPr>
              <w:pStyle w:val="85"/>
              <w:jc w:val="both"/>
              <w:rPr>
                <w:color w:val="auto"/>
                <w:sz w:val="22"/>
                <w:szCs w:val="22"/>
              </w:rPr>
            </w:pPr>
            <w:r>
              <w:rPr>
                <w:color w:val="auto"/>
                <w:sz w:val="22"/>
                <w:szCs w:val="22"/>
              </w:rPr>
              <w:t>Правописание личных местоимений</w:t>
            </w:r>
          </w:p>
        </w:tc>
      </w:tr>
      <w:tr w14:paraId="06DF13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566235E8">
            <w:pPr>
              <w:pStyle w:val="85"/>
              <w:jc w:val="center"/>
              <w:rPr>
                <w:color w:val="auto"/>
                <w:sz w:val="22"/>
                <w:szCs w:val="22"/>
              </w:rPr>
            </w:pPr>
            <w:r>
              <w:rPr>
                <w:color w:val="auto"/>
                <w:sz w:val="22"/>
                <w:szCs w:val="22"/>
              </w:rPr>
              <w:t>Урок 61</w:t>
            </w:r>
          </w:p>
        </w:tc>
        <w:tc>
          <w:tcPr>
            <w:tcW w:w="7937" w:type="dxa"/>
          </w:tcPr>
          <w:p w14:paraId="37A7BA37">
            <w:pPr>
              <w:pStyle w:val="85"/>
              <w:jc w:val="both"/>
              <w:rPr>
                <w:color w:val="auto"/>
                <w:sz w:val="22"/>
                <w:szCs w:val="22"/>
              </w:rPr>
            </w:pPr>
            <w:r>
              <w:rPr>
                <w:color w:val="auto"/>
                <w:sz w:val="22"/>
                <w:szCs w:val="22"/>
              </w:rPr>
              <w:t>Раздельное написание личных местоимений с предлогами</w:t>
            </w:r>
          </w:p>
        </w:tc>
      </w:tr>
      <w:tr w14:paraId="0CE2BE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427237D9">
            <w:pPr>
              <w:pStyle w:val="85"/>
              <w:jc w:val="center"/>
              <w:rPr>
                <w:color w:val="auto"/>
                <w:sz w:val="22"/>
                <w:szCs w:val="22"/>
              </w:rPr>
            </w:pPr>
            <w:r>
              <w:rPr>
                <w:color w:val="auto"/>
                <w:sz w:val="22"/>
                <w:szCs w:val="22"/>
              </w:rPr>
              <w:t>Урок 62</w:t>
            </w:r>
          </w:p>
        </w:tc>
        <w:tc>
          <w:tcPr>
            <w:tcW w:w="7937" w:type="dxa"/>
          </w:tcPr>
          <w:p w14:paraId="3235F91B">
            <w:pPr>
              <w:pStyle w:val="85"/>
              <w:jc w:val="both"/>
              <w:rPr>
                <w:color w:val="auto"/>
                <w:sz w:val="22"/>
                <w:szCs w:val="22"/>
              </w:rPr>
            </w:pPr>
            <w:r>
              <w:rPr>
                <w:color w:val="auto"/>
                <w:sz w:val="22"/>
                <w:szCs w:val="22"/>
              </w:rPr>
              <w:t>Резервный урок по разделу морфология: тема "Использование местоимений для устранения неоправданного повтора слов в тексте"</w:t>
            </w:r>
          </w:p>
        </w:tc>
      </w:tr>
      <w:tr w14:paraId="790CA9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08425864">
            <w:pPr>
              <w:pStyle w:val="85"/>
              <w:jc w:val="center"/>
              <w:rPr>
                <w:color w:val="auto"/>
                <w:sz w:val="22"/>
                <w:szCs w:val="22"/>
              </w:rPr>
            </w:pPr>
            <w:r>
              <w:rPr>
                <w:color w:val="auto"/>
                <w:sz w:val="22"/>
                <w:szCs w:val="22"/>
              </w:rPr>
              <w:t>Урок 63</w:t>
            </w:r>
          </w:p>
        </w:tc>
        <w:tc>
          <w:tcPr>
            <w:tcW w:w="7937" w:type="dxa"/>
          </w:tcPr>
          <w:p w14:paraId="44DF75D6">
            <w:pPr>
              <w:pStyle w:val="85"/>
              <w:jc w:val="both"/>
              <w:rPr>
                <w:color w:val="auto"/>
                <w:sz w:val="22"/>
                <w:szCs w:val="22"/>
              </w:rPr>
            </w:pPr>
            <w:r>
              <w:rPr>
                <w:color w:val="auto"/>
                <w:sz w:val="22"/>
                <w:szCs w:val="22"/>
              </w:rPr>
              <w:t>Как сделать текст интереснее</w:t>
            </w:r>
          </w:p>
        </w:tc>
      </w:tr>
      <w:tr w14:paraId="071DFE0C">
        <w:tblPrEx>
          <w:tblCellMar>
            <w:top w:w="102" w:type="dxa"/>
            <w:left w:w="62" w:type="dxa"/>
            <w:bottom w:w="102" w:type="dxa"/>
            <w:right w:w="62" w:type="dxa"/>
          </w:tblCellMar>
        </w:tblPrEx>
        <w:tc>
          <w:tcPr>
            <w:tcW w:w="1134" w:type="dxa"/>
            <w:vAlign w:val="center"/>
          </w:tcPr>
          <w:p w14:paraId="669F4BE3">
            <w:pPr>
              <w:pStyle w:val="85"/>
              <w:jc w:val="center"/>
              <w:rPr>
                <w:color w:val="auto"/>
                <w:sz w:val="22"/>
                <w:szCs w:val="22"/>
              </w:rPr>
            </w:pPr>
            <w:r>
              <w:rPr>
                <w:color w:val="auto"/>
                <w:sz w:val="22"/>
                <w:szCs w:val="22"/>
              </w:rPr>
              <w:t>Урок 64</w:t>
            </w:r>
          </w:p>
        </w:tc>
        <w:tc>
          <w:tcPr>
            <w:tcW w:w="7937" w:type="dxa"/>
          </w:tcPr>
          <w:p w14:paraId="22FE46C3">
            <w:pPr>
              <w:pStyle w:val="85"/>
              <w:jc w:val="both"/>
              <w:rPr>
                <w:color w:val="auto"/>
                <w:sz w:val="22"/>
                <w:szCs w:val="22"/>
              </w:rPr>
            </w:pPr>
            <w:r>
              <w:rPr>
                <w:color w:val="auto"/>
                <w:sz w:val="22"/>
                <w:szCs w:val="22"/>
              </w:rPr>
              <w:t>Редактируем предложенный текст</w:t>
            </w:r>
          </w:p>
        </w:tc>
      </w:tr>
      <w:tr w14:paraId="1363E0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6C4E64A6">
            <w:pPr>
              <w:pStyle w:val="85"/>
              <w:jc w:val="center"/>
              <w:rPr>
                <w:color w:val="auto"/>
                <w:sz w:val="22"/>
                <w:szCs w:val="22"/>
              </w:rPr>
            </w:pPr>
            <w:r>
              <w:rPr>
                <w:color w:val="auto"/>
                <w:sz w:val="22"/>
                <w:szCs w:val="22"/>
              </w:rPr>
              <w:t>Урок 65</w:t>
            </w:r>
          </w:p>
        </w:tc>
        <w:tc>
          <w:tcPr>
            <w:tcW w:w="7937" w:type="dxa"/>
          </w:tcPr>
          <w:p w14:paraId="2B0A71E7">
            <w:pPr>
              <w:pStyle w:val="85"/>
              <w:jc w:val="both"/>
              <w:rPr>
                <w:color w:val="auto"/>
                <w:sz w:val="22"/>
                <w:szCs w:val="22"/>
              </w:rPr>
            </w:pPr>
            <w:r>
              <w:rPr>
                <w:color w:val="auto"/>
                <w:sz w:val="22"/>
                <w:szCs w:val="22"/>
              </w:rPr>
              <w:t>Глагол как часть речи</w:t>
            </w:r>
          </w:p>
        </w:tc>
      </w:tr>
      <w:tr w14:paraId="42E668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2B029849">
            <w:pPr>
              <w:pStyle w:val="85"/>
              <w:jc w:val="center"/>
              <w:rPr>
                <w:color w:val="auto"/>
                <w:sz w:val="22"/>
                <w:szCs w:val="22"/>
              </w:rPr>
            </w:pPr>
            <w:r>
              <w:rPr>
                <w:color w:val="auto"/>
                <w:sz w:val="22"/>
                <w:szCs w:val="22"/>
              </w:rPr>
              <w:t>Урок 66</w:t>
            </w:r>
          </w:p>
        </w:tc>
        <w:tc>
          <w:tcPr>
            <w:tcW w:w="7937" w:type="dxa"/>
          </w:tcPr>
          <w:p w14:paraId="349549E6">
            <w:pPr>
              <w:pStyle w:val="85"/>
              <w:jc w:val="both"/>
              <w:rPr>
                <w:color w:val="auto"/>
                <w:sz w:val="22"/>
                <w:szCs w:val="22"/>
              </w:rPr>
            </w:pPr>
            <w:r>
              <w:rPr>
                <w:color w:val="auto"/>
                <w:sz w:val="22"/>
                <w:szCs w:val="22"/>
              </w:rPr>
              <w:t>Различение глаголов, отвечающих на вопросы "что делать?" и "что сделать?"</w:t>
            </w:r>
          </w:p>
        </w:tc>
      </w:tr>
      <w:tr w14:paraId="21CAD1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6FDCCCD2">
            <w:pPr>
              <w:pStyle w:val="85"/>
              <w:jc w:val="center"/>
              <w:rPr>
                <w:color w:val="auto"/>
                <w:sz w:val="22"/>
                <w:szCs w:val="22"/>
              </w:rPr>
            </w:pPr>
            <w:r>
              <w:rPr>
                <w:color w:val="auto"/>
                <w:sz w:val="22"/>
                <w:szCs w:val="22"/>
              </w:rPr>
              <w:t>Урок 67</w:t>
            </w:r>
          </w:p>
        </w:tc>
        <w:tc>
          <w:tcPr>
            <w:tcW w:w="7937" w:type="dxa"/>
          </w:tcPr>
          <w:p w14:paraId="5A294147">
            <w:pPr>
              <w:pStyle w:val="85"/>
              <w:jc w:val="both"/>
              <w:rPr>
                <w:color w:val="auto"/>
                <w:sz w:val="22"/>
                <w:szCs w:val="22"/>
              </w:rPr>
            </w:pPr>
            <w:r>
              <w:rPr>
                <w:color w:val="auto"/>
                <w:sz w:val="22"/>
                <w:szCs w:val="22"/>
              </w:rPr>
              <w:t>Неопределенная форма глагола</w:t>
            </w:r>
          </w:p>
        </w:tc>
      </w:tr>
      <w:tr w14:paraId="0086CE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359BDDB4">
            <w:pPr>
              <w:pStyle w:val="85"/>
              <w:jc w:val="center"/>
              <w:rPr>
                <w:color w:val="auto"/>
                <w:sz w:val="22"/>
                <w:szCs w:val="22"/>
              </w:rPr>
            </w:pPr>
            <w:r>
              <w:rPr>
                <w:color w:val="auto"/>
                <w:sz w:val="22"/>
                <w:szCs w:val="22"/>
              </w:rPr>
              <w:t>Урок 68</w:t>
            </w:r>
          </w:p>
        </w:tc>
        <w:tc>
          <w:tcPr>
            <w:tcW w:w="7937" w:type="dxa"/>
          </w:tcPr>
          <w:p w14:paraId="03E119F7">
            <w:pPr>
              <w:pStyle w:val="85"/>
              <w:jc w:val="both"/>
              <w:rPr>
                <w:color w:val="auto"/>
                <w:sz w:val="22"/>
                <w:szCs w:val="22"/>
              </w:rPr>
            </w:pPr>
            <w:r>
              <w:rPr>
                <w:color w:val="auto"/>
                <w:sz w:val="22"/>
                <w:szCs w:val="22"/>
              </w:rPr>
              <w:t>Личные формы глагола</w:t>
            </w:r>
          </w:p>
        </w:tc>
      </w:tr>
      <w:tr w14:paraId="087B18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28654BB4">
            <w:pPr>
              <w:pStyle w:val="85"/>
              <w:jc w:val="center"/>
              <w:rPr>
                <w:color w:val="auto"/>
                <w:sz w:val="22"/>
                <w:szCs w:val="22"/>
              </w:rPr>
            </w:pPr>
            <w:r>
              <w:rPr>
                <w:color w:val="auto"/>
                <w:sz w:val="22"/>
                <w:szCs w:val="22"/>
              </w:rPr>
              <w:t>Урок 69</w:t>
            </w:r>
          </w:p>
        </w:tc>
        <w:tc>
          <w:tcPr>
            <w:tcW w:w="7937" w:type="dxa"/>
          </w:tcPr>
          <w:p w14:paraId="223487D8">
            <w:pPr>
              <w:pStyle w:val="85"/>
              <w:jc w:val="both"/>
              <w:rPr>
                <w:color w:val="auto"/>
                <w:sz w:val="22"/>
                <w:szCs w:val="22"/>
              </w:rPr>
            </w:pPr>
            <w:r>
              <w:rPr>
                <w:color w:val="auto"/>
                <w:sz w:val="22"/>
                <w:szCs w:val="22"/>
              </w:rPr>
              <w:t>Правописание глаголов на -ться и -тся</w:t>
            </w:r>
          </w:p>
        </w:tc>
      </w:tr>
      <w:tr w14:paraId="7EBC63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3D79269C">
            <w:pPr>
              <w:pStyle w:val="85"/>
              <w:jc w:val="center"/>
              <w:rPr>
                <w:color w:val="auto"/>
                <w:sz w:val="22"/>
                <w:szCs w:val="22"/>
              </w:rPr>
            </w:pPr>
            <w:r>
              <w:rPr>
                <w:color w:val="auto"/>
                <w:sz w:val="22"/>
                <w:szCs w:val="22"/>
              </w:rPr>
              <w:t>Урок 70</w:t>
            </w:r>
          </w:p>
        </w:tc>
        <w:tc>
          <w:tcPr>
            <w:tcW w:w="7937" w:type="dxa"/>
          </w:tcPr>
          <w:p w14:paraId="3DB8159C">
            <w:pPr>
              <w:pStyle w:val="85"/>
              <w:jc w:val="both"/>
              <w:rPr>
                <w:color w:val="auto"/>
                <w:sz w:val="22"/>
                <w:szCs w:val="22"/>
              </w:rPr>
            </w:pPr>
            <w:r>
              <w:rPr>
                <w:color w:val="auto"/>
                <w:sz w:val="22"/>
                <w:szCs w:val="22"/>
              </w:rPr>
              <w:t>Отрабатываем правописание глаголов на -ться и -тся</w:t>
            </w:r>
          </w:p>
        </w:tc>
      </w:tr>
      <w:tr w14:paraId="4AF493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5CD9DECF">
            <w:pPr>
              <w:pStyle w:val="85"/>
              <w:jc w:val="center"/>
              <w:rPr>
                <w:color w:val="auto"/>
                <w:sz w:val="22"/>
                <w:szCs w:val="22"/>
              </w:rPr>
            </w:pPr>
            <w:r>
              <w:rPr>
                <w:color w:val="auto"/>
                <w:sz w:val="22"/>
                <w:szCs w:val="22"/>
              </w:rPr>
              <w:t>Урок 71</w:t>
            </w:r>
          </w:p>
        </w:tc>
        <w:tc>
          <w:tcPr>
            <w:tcW w:w="7937" w:type="dxa"/>
          </w:tcPr>
          <w:p w14:paraId="1D2581EE">
            <w:pPr>
              <w:pStyle w:val="85"/>
              <w:jc w:val="both"/>
              <w:rPr>
                <w:color w:val="auto"/>
                <w:sz w:val="22"/>
                <w:szCs w:val="22"/>
              </w:rPr>
            </w:pPr>
            <w:r>
              <w:rPr>
                <w:color w:val="auto"/>
                <w:sz w:val="22"/>
                <w:szCs w:val="22"/>
              </w:rPr>
              <w:t>Учимся пересказывать: подробный устный пересказ текста</w:t>
            </w:r>
          </w:p>
        </w:tc>
      </w:tr>
      <w:tr w14:paraId="5F4121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12EEBB69">
            <w:pPr>
              <w:pStyle w:val="85"/>
              <w:jc w:val="center"/>
              <w:rPr>
                <w:color w:val="auto"/>
                <w:sz w:val="22"/>
                <w:szCs w:val="22"/>
              </w:rPr>
            </w:pPr>
            <w:r>
              <w:rPr>
                <w:color w:val="auto"/>
                <w:sz w:val="22"/>
                <w:szCs w:val="22"/>
              </w:rPr>
              <w:t>Урок 72</w:t>
            </w:r>
          </w:p>
        </w:tc>
        <w:tc>
          <w:tcPr>
            <w:tcW w:w="7937" w:type="dxa"/>
          </w:tcPr>
          <w:p w14:paraId="41279870">
            <w:pPr>
              <w:pStyle w:val="85"/>
              <w:jc w:val="both"/>
              <w:rPr>
                <w:color w:val="auto"/>
                <w:sz w:val="22"/>
                <w:szCs w:val="22"/>
              </w:rPr>
            </w:pPr>
            <w:r>
              <w:rPr>
                <w:color w:val="auto"/>
                <w:sz w:val="22"/>
                <w:szCs w:val="22"/>
              </w:rPr>
              <w:t>Спряжение глаголов: изменение по лицам и числам</w:t>
            </w:r>
          </w:p>
        </w:tc>
      </w:tr>
      <w:tr w14:paraId="6431C0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71988EA3">
            <w:pPr>
              <w:pStyle w:val="85"/>
              <w:jc w:val="center"/>
              <w:rPr>
                <w:color w:val="auto"/>
                <w:sz w:val="22"/>
                <w:szCs w:val="22"/>
              </w:rPr>
            </w:pPr>
            <w:r>
              <w:rPr>
                <w:color w:val="auto"/>
                <w:sz w:val="22"/>
                <w:szCs w:val="22"/>
              </w:rPr>
              <w:t>Урок 73</w:t>
            </w:r>
          </w:p>
        </w:tc>
        <w:tc>
          <w:tcPr>
            <w:tcW w:w="7937" w:type="dxa"/>
          </w:tcPr>
          <w:p w14:paraId="53BA0A59">
            <w:pPr>
              <w:pStyle w:val="85"/>
              <w:jc w:val="both"/>
              <w:rPr>
                <w:color w:val="auto"/>
                <w:sz w:val="22"/>
                <w:szCs w:val="22"/>
              </w:rPr>
            </w:pPr>
            <w:r>
              <w:rPr>
                <w:color w:val="auto"/>
                <w:sz w:val="22"/>
                <w:szCs w:val="22"/>
              </w:rPr>
              <w:t>I и II спряжение глаголов</w:t>
            </w:r>
          </w:p>
        </w:tc>
      </w:tr>
      <w:tr w14:paraId="6B0D3B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6B4A06C2">
            <w:pPr>
              <w:pStyle w:val="85"/>
              <w:jc w:val="center"/>
              <w:rPr>
                <w:color w:val="auto"/>
                <w:sz w:val="22"/>
                <w:szCs w:val="22"/>
              </w:rPr>
            </w:pPr>
            <w:r>
              <w:rPr>
                <w:color w:val="auto"/>
                <w:sz w:val="22"/>
                <w:szCs w:val="22"/>
              </w:rPr>
              <w:t>Урок 74</w:t>
            </w:r>
          </w:p>
        </w:tc>
        <w:tc>
          <w:tcPr>
            <w:tcW w:w="7937" w:type="dxa"/>
          </w:tcPr>
          <w:p w14:paraId="6673A570">
            <w:pPr>
              <w:pStyle w:val="85"/>
              <w:jc w:val="both"/>
              <w:rPr>
                <w:color w:val="auto"/>
                <w:sz w:val="22"/>
                <w:szCs w:val="22"/>
              </w:rPr>
            </w:pPr>
            <w:r>
              <w:rPr>
                <w:color w:val="auto"/>
                <w:sz w:val="22"/>
                <w:szCs w:val="22"/>
              </w:rPr>
              <w:t>Личные окончания глаголов I и II спряжения</w:t>
            </w:r>
          </w:p>
        </w:tc>
      </w:tr>
      <w:tr w14:paraId="4D568B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134" w:type="dxa"/>
            <w:vAlign w:val="center"/>
          </w:tcPr>
          <w:p w14:paraId="2BDCF7DC">
            <w:pPr>
              <w:pStyle w:val="85"/>
              <w:jc w:val="center"/>
              <w:rPr>
                <w:color w:val="auto"/>
                <w:sz w:val="22"/>
                <w:szCs w:val="22"/>
              </w:rPr>
            </w:pPr>
            <w:r>
              <w:rPr>
                <w:color w:val="auto"/>
                <w:sz w:val="22"/>
                <w:szCs w:val="22"/>
              </w:rPr>
              <w:t>Урок 75</w:t>
            </w:r>
          </w:p>
        </w:tc>
        <w:tc>
          <w:tcPr>
            <w:tcW w:w="7937" w:type="dxa"/>
          </w:tcPr>
          <w:p w14:paraId="2D189685">
            <w:pPr>
              <w:pStyle w:val="85"/>
              <w:jc w:val="both"/>
              <w:rPr>
                <w:color w:val="auto"/>
                <w:sz w:val="22"/>
                <w:szCs w:val="22"/>
              </w:rPr>
            </w:pPr>
            <w:r>
              <w:rPr>
                <w:color w:val="auto"/>
                <w:sz w:val="22"/>
                <w:szCs w:val="22"/>
              </w:rPr>
              <w:t>Глаголы 2-го лица настоящего и будущего времени в единственном числе</w:t>
            </w:r>
          </w:p>
        </w:tc>
      </w:tr>
      <w:tr w14:paraId="797CEC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17CFCA84">
            <w:pPr>
              <w:pStyle w:val="85"/>
              <w:jc w:val="center"/>
              <w:rPr>
                <w:color w:val="auto"/>
                <w:sz w:val="22"/>
                <w:szCs w:val="22"/>
              </w:rPr>
            </w:pPr>
            <w:r>
              <w:rPr>
                <w:color w:val="auto"/>
                <w:sz w:val="22"/>
                <w:szCs w:val="22"/>
              </w:rPr>
              <w:t>Урок 76</w:t>
            </w:r>
          </w:p>
        </w:tc>
        <w:tc>
          <w:tcPr>
            <w:tcW w:w="7937" w:type="dxa"/>
          </w:tcPr>
          <w:p w14:paraId="2D0298C7">
            <w:pPr>
              <w:pStyle w:val="85"/>
              <w:jc w:val="both"/>
              <w:rPr>
                <w:color w:val="auto"/>
                <w:sz w:val="22"/>
                <w:szCs w:val="22"/>
              </w:rPr>
            </w:pPr>
            <w:r>
              <w:rPr>
                <w:color w:val="auto"/>
                <w:sz w:val="22"/>
                <w:szCs w:val="22"/>
              </w:rPr>
              <w:t>Мягкий знак после шипящих на конце глаголов в форме 2-го лица единственного числа</w:t>
            </w:r>
          </w:p>
        </w:tc>
      </w:tr>
      <w:tr w14:paraId="38EF6C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2C44F7F0">
            <w:pPr>
              <w:pStyle w:val="85"/>
              <w:jc w:val="center"/>
              <w:rPr>
                <w:color w:val="auto"/>
                <w:sz w:val="22"/>
                <w:szCs w:val="22"/>
              </w:rPr>
            </w:pPr>
            <w:r>
              <w:rPr>
                <w:color w:val="auto"/>
                <w:sz w:val="22"/>
                <w:szCs w:val="22"/>
              </w:rPr>
              <w:t>Урок 77</w:t>
            </w:r>
          </w:p>
        </w:tc>
        <w:tc>
          <w:tcPr>
            <w:tcW w:w="7937" w:type="dxa"/>
          </w:tcPr>
          <w:p w14:paraId="04384D0C">
            <w:pPr>
              <w:pStyle w:val="85"/>
              <w:jc w:val="both"/>
              <w:rPr>
                <w:color w:val="auto"/>
                <w:sz w:val="22"/>
                <w:szCs w:val="22"/>
              </w:rPr>
            </w:pPr>
            <w:r>
              <w:rPr>
                <w:color w:val="auto"/>
                <w:sz w:val="22"/>
                <w:szCs w:val="22"/>
              </w:rPr>
              <w:t>Отрабатываем правописание глаголов в форме 2-го лица единственного числа</w:t>
            </w:r>
          </w:p>
        </w:tc>
      </w:tr>
      <w:tr w14:paraId="4B52AA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312B44DA">
            <w:pPr>
              <w:pStyle w:val="85"/>
              <w:jc w:val="center"/>
              <w:rPr>
                <w:color w:val="auto"/>
                <w:sz w:val="22"/>
                <w:szCs w:val="22"/>
              </w:rPr>
            </w:pPr>
            <w:r>
              <w:rPr>
                <w:color w:val="auto"/>
                <w:sz w:val="22"/>
                <w:szCs w:val="22"/>
              </w:rPr>
              <w:t>Урок 78</w:t>
            </w:r>
          </w:p>
        </w:tc>
        <w:tc>
          <w:tcPr>
            <w:tcW w:w="7937" w:type="dxa"/>
          </w:tcPr>
          <w:p w14:paraId="2163267A">
            <w:pPr>
              <w:pStyle w:val="85"/>
              <w:jc w:val="both"/>
              <w:rPr>
                <w:color w:val="auto"/>
                <w:sz w:val="22"/>
                <w:szCs w:val="22"/>
              </w:rPr>
            </w:pPr>
            <w:r>
              <w:rPr>
                <w:color w:val="auto"/>
                <w:sz w:val="22"/>
                <w:szCs w:val="22"/>
              </w:rPr>
              <w:t>Учимся пересказывать: выборочный устный пересказ текста</w:t>
            </w:r>
          </w:p>
        </w:tc>
      </w:tr>
      <w:tr w14:paraId="0BB210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16B1F979">
            <w:pPr>
              <w:pStyle w:val="85"/>
              <w:jc w:val="center"/>
              <w:rPr>
                <w:color w:val="auto"/>
                <w:sz w:val="22"/>
                <w:szCs w:val="22"/>
              </w:rPr>
            </w:pPr>
            <w:r>
              <w:rPr>
                <w:color w:val="auto"/>
                <w:sz w:val="22"/>
                <w:szCs w:val="22"/>
              </w:rPr>
              <w:t>Урок 79</w:t>
            </w:r>
          </w:p>
        </w:tc>
        <w:tc>
          <w:tcPr>
            <w:tcW w:w="7937" w:type="dxa"/>
          </w:tcPr>
          <w:p w14:paraId="3BFEAB25">
            <w:pPr>
              <w:pStyle w:val="85"/>
              <w:jc w:val="both"/>
              <w:rPr>
                <w:color w:val="auto"/>
                <w:sz w:val="22"/>
                <w:szCs w:val="22"/>
              </w:rPr>
            </w:pPr>
            <w:r>
              <w:rPr>
                <w:color w:val="auto"/>
                <w:sz w:val="22"/>
                <w:szCs w:val="22"/>
              </w:rPr>
              <w:t>Способы определения I и II спряжения глаголов</w:t>
            </w:r>
          </w:p>
        </w:tc>
      </w:tr>
      <w:tr w14:paraId="0D2302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4F6BB6A5">
            <w:pPr>
              <w:pStyle w:val="85"/>
              <w:jc w:val="center"/>
              <w:rPr>
                <w:color w:val="auto"/>
                <w:sz w:val="22"/>
                <w:szCs w:val="22"/>
              </w:rPr>
            </w:pPr>
            <w:r>
              <w:rPr>
                <w:color w:val="auto"/>
                <w:sz w:val="22"/>
                <w:szCs w:val="22"/>
              </w:rPr>
              <w:t>Урок 80</w:t>
            </w:r>
          </w:p>
        </w:tc>
        <w:tc>
          <w:tcPr>
            <w:tcW w:w="7937" w:type="dxa"/>
          </w:tcPr>
          <w:p w14:paraId="09256878">
            <w:pPr>
              <w:pStyle w:val="85"/>
              <w:jc w:val="both"/>
              <w:rPr>
                <w:color w:val="auto"/>
                <w:sz w:val="22"/>
                <w:szCs w:val="22"/>
              </w:rPr>
            </w:pPr>
            <w:r>
              <w:rPr>
                <w:color w:val="auto"/>
                <w:sz w:val="22"/>
                <w:szCs w:val="22"/>
              </w:rPr>
              <w:t>Отработка способов определения I и II спряжения глаголов</w:t>
            </w:r>
          </w:p>
        </w:tc>
      </w:tr>
      <w:tr w14:paraId="715384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6BE70E04">
            <w:pPr>
              <w:pStyle w:val="85"/>
              <w:jc w:val="center"/>
              <w:rPr>
                <w:color w:val="auto"/>
                <w:sz w:val="22"/>
                <w:szCs w:val="22"/>
              </w:rPr>
            </w:pPr>
            <w:r>
              <w:rPr>
                <w:color w:val="auto"/>
                <w:sz w:val="22"/>
                <w:szCs w:val="22"/>
              </w:rPr>
              <w:t>Урок 81</w:t>
            </w:r>
          </w:p>
        </w:tc>
        <w:tc>
          <w:tcPr>
            <w:tcW w:w="7937" w:type="dxa"/>
          </w:tcPr>
          <w:p w14:paraId="25948D37">
            <w:pPr>
              <w:pStyle w:val="85"/>
              <w:jc w:val="both"/>
              <w:rPr>
                <w:color w:val="auto"/>
                <w:sz w:val="22"/>
                <w:szCs w:val="22"/>
              </w:rPr>
            </w:pPr>
            <w:r>
              <w:rPr>
                <w:color w:val="auto"/>
                <w:sz w:val="22"/>
                <w:szCs w:val="22"/>
              </w:rPr>
              <w:t>Отрабатываем правило определения спряжения глаголов с безударными личными окончаниями</w:t>
            </w:r>
          </w:p>
        </w:tc>
      </w:tr>
      <w:tr w14:paraId="493C60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4881AF09">
            <w:pPr>
              <w:pStyle w:val="85"/>
              <w:jc w:val="center"/>
              <w:rPr>
                <w:color w:val="auto"/>
                <w:sz w:val="22"/>
                <w:szCs w:val="22"/>
              </w:rPr>
            </w:pPr>
            <w:r>
              <w:rPr>
                <w:color w:val="auto"/>
                <w:sz w:val="22"/>
                <w:szCs w:val="22"/>
              </w:rPr>
              <w:t>Урок 82</w:t>
            </w:r>
          </w:p>
        </w:tc>
        <w:tc>
          <w:tcPr>
            <w:tcW w:w="7937" w:type="dxa"/>
          </w:tcPr>
          <w:p w14:paraId="7B850BAF">
            <w:pPr>
              <w:pStyle w:val="85"/>
              <w:jc w:val="both"/>
              <w:rPr>
                <w:color w:val="auto"/>
                <w:sz w:val="22"/>
                <w:szCs w:val="22"/>
              </w:rPr>
            </w:pPr>
            <w:r>
              <w:rPr>
                <w:color w:val="auto"/>
                <w:sz w:val="22"/>
                <w:szCs w:val="22"/>
              </w:rPr>
              <w:t>Правописание безударных личных окончаний глаголов</w:t>
            </w:r>
          </w:p>
        </w:tc>
      </w:tr>
      <w:tr w14:paraId="07A5EB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05E5F0B6">
            <w:pPr>
              <w:pStyle w:val="85"/>
              <w:jc w:val="center"/>
              <w:rPr>
                <w:color w:val="auto"/>
                <w:sz w:val="22"/>
                <w:szCs w:val="22"/>
              </w:rPr>
            </w:pPr>
            <w:r>
              <w:rPr>
                <w:color w:val="auto"/>
                <w:sz w:val="22"/>
                <w:szCs w:val="22"/>
              </w:rPr>
              <w:t>Урок 83</w:t>
            </w:r>
          </w:p>
        </w:tc>
        <w:tc>
          <w:tcPr>
            <w:tcW w:w="7937" w:type="dxa"/>
          </w:tcPr>
          <w:p w14:paraId="6E0AFAC4">
            <w:pPr>
              <w:pStyle w:val="85"/>
              <w:jc w:val="both"/>
              <w:rPr>
                <w:color w:val="auto"/>
                <w:sz w:val="22"/>
                <w:szCs w:val="22"/>
              </w:rPr>
            </w:pPr>
            <w:r>
              <w:rPr>
                <w:color w:val="auto"/>
                <w:sz w:val="22"/>
                <w:szCs w:val="22"/>
              </w:rPr>
              <w:t>Отрабатываем правописание безударные личные окончания глаголов</w:t>
            </w:r>
          </w:p>
        </w:tc>
      </w:tr>
      <w:tr w14:paraId="0B5538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134" w:type="dxa"/>
            <w:vAlign w:val="center"/>
          </w:tcPr>
          <w:p w14:paraId="037DB4F9">
            <w:pPr>
              <w:pStyle w:val="85"/>
              <w:jc w:val="center"/>
              <w:rPr>
                <w:color w:val="auto"/>
                <w:sz w:val="22"/>
                <w:szCs w:val="22"/>
              </w:rPr>
            </w:pPr>
            <w:r>
              <w:rPr>
                <w:color w:val="auto"/>
                <w:sz w:val="22"/>
                <w:szCs w:val="22"/>
              </w:rPr>
              <w:t>Урок 84</w:t>
            </w:r>
          </w:p>
        </w:tc>
        <w:tc>
          <w:tcPr>
            <w:tcW w:w="7937" w:type="dxa"/>
          </w:tcPr>
          <w:p w14:paraId="388BF27A">
            <w:pPr>
              <w:pStyle w:val="85"/>
              <w:jc w:val="both"/>
              <w:rPr>
                <w:color w:val="auto"/>
                <w:sz w:val="22"/>
                <w:szCs w:val="22"/>
              </w:rPr>
            </w:pPr>
            <w:r>
              <w:rPr>
                <w:color w:val="auto"/>
                <w:sz w:val="22"/>
                <w:szCs w:val="22"/>
              </w:rPr>
              <w:t>Отрабатываем правописание безударные личные окончания глаголов-исключений</w:t>
            </w:r>
          </w:p>
        </w:tc>
      </w:tr>
      <w:tr w14:paraId="4371C0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38B48671">
            <w:pPr>
              <w:pStyle w:val="85"/>
              <w:jc w:val="center"/>
              <w:rPr>
                <w:color w:val="auto"/>
                <w:sz w:val="22"/>
                <w:szCs w:val="22"/>
              </w:rPr>
            </w:pPr>
            <w:r>
              <w:rPr>
                <w:color w:val="auto"/>
                <w:sz w:val="22"/>
                <w:szCs w:val="22"/>
              </w:rPr>
              <w:t>Урок 85</w:t>
            </w:r>
          </w:p>
        </w:tc>
        <w:tc>
          <w:tcPr>
            <w:tcW w:w="7937" w:type="dxa"/>
          </w:tcPr>
          <w:p w14:paraId="0D4269E2">
            <w:pPr>
              <w:pStyle w:val="85"/>
              <w:jc w:val="both"/>
              <w:rPr>
                <w:color w:val="auto"/>
                <w:sz w:val="22"/>
                <w:szCs w:val="22"/>
              </w:rPr>
            </w:pPr>
            <w:r>
              <w:rPr>
                <w:color w:val="auto"/>
                <w:sz w:val="22"/>
                <w:szCs w:val="22"/>
              </w:rPr>
              <w:t>Безударные личные окончания глаголов: трудные случаи</w:t>
            </w:r>
          </w:p>
        </w:tc>
      </w:tr>
      <w:tr w14:paraId="1CA3F9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2F8895CE">
            <w:pPr>
              <w:pStyle w:val="85"/>
              <w:jc w:val="center"/>
              <w:rPr>
                <w:color w:val="auto"/>
                <w:sz w:val="22"/>
                <w:szCs w:val="22"/>
              </w:rPr>
            </w:pPr>
            <w:r>
              <w:rPr>
                <w:color w:val="auto"/>
                <w:sz w:val="22"/>
                <w:szCs w:val="22"/>
              </w:rPr>
              <w:t>Урок 86</w:t>
            </w:r>
          </w:p>
        </w:tc>
        <w:tc>
          <w:tcPr>
            <w:tcW w:w="7937" w:type="dxa"/>
          </w:tcPr>
          <w:p w14:paraId="79FD3DB0">
            <w:pPr>
              <w:pStyle w:val="85"/>
              <w:jc w:val="both"/>
              <w:rPr>
                <w:color w:val="auto"/>
                <w:sz w:val="22"/>
                <w:szCs w:val="22"/>
              </w:rPr>
            </w:pPr>
            <w:r>
              <w:rPr>
                <w:color w:val="auto"/>
                <w:sz w:val="22"/>
                <w:szCs w:val="22"/>
              </w:rPr>
              <w:t>Отрабатываем трудные случаи написания безударных личных окончаний глаголов</w:t>
            </w:r>
          </w:p>
        </w:tc>
      </w:tr>
      <w:tr w14:paraId="3B1AD6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3AC58680">
            <w:pPr>
              <w:pStyle w:val="85"/>
              <w:jc w:val="center"/>
              <w:rPr>
                <w:color w:val="auto"/>
                <w:sz w:val="22"/>
                <w:szCs w:val="22"/>
              </w:rPr>
            </w:pPr>
            <w:r>
              <w:rPr>
                <w:color w:val="auto"/>
                <w:sz w:val="22"/>
                <w:szCs w:val="22"/>
              </w:rPr>
              <w:t>Урок 87</w:t>
            </w:r>
          </w:p>
        </w:tc>
        <w:tc>
          <w:tcPr>
            <w:tcW w:w="7937" w:type="dxa"/>
          </w:tcPr>
          <w:p w14:paraId="0CCD0338">
            <w:pPr>
              <w:pStyle w:val="85"/>
              <w:jc w:val="both"/>
              <w:rPr>
                <w:color w:val="auto"/>
                <w:sz w:val="22"/>
                <w:szCs w:val="22"/>
              </w:rPr>
            </w:pPr>
            <w:r>
              <w:rPr>
                <w:color w:val="auto"/>
                <w:sz w:val="22"/>
                <w:szCs w:val="22"/>
              </w:rPr>
              <w:t>Безударные личные окончания глаголов: систематизация</w:t>
            </w:r>
          </w:p>
        </w:tc>
      </w:tr>
      <w:tr w14:paraId="4EF503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134" w:type="dxa"/>
            <w:vAlign w:val="center"/>
          </w:tcPr>
          <w:p w14:paraId="74034453">
            <w:pPr>
              <w:pStyle w:val="85"/>
              <w:jc w:val="center"/>
              <w:rPr>
                <w:color w:val="auto"/>
                <w:sz w:val="22"/>
                <w:szCs w:val="22"/>
              </w:rPr>
            </w:pPr>
            <w:r>
              <w:rPr>
                <w:color w:val="auto"/>
                <w:sz w:val="22"/>
                <w:szCs w:val="22"/>
              </w:rPr>
              <w:t>Урок 88</w:t>
            </w:r>
          </w:p>
        </w:tc>
        <w:tc>
          <w:tcPr>
            <w:tcW w:w="7937" w:type="dxa"/>
          </w:tcPr>
          <w:p w14:paraId="55865443">
            <w:pPr>
              <w:pStyle w:val="85"/>
              <w:jc w:val="both"/>
              <w:rPr>
                <w:color w:val="auto"/>
                <w:sz w:val="22"/>
                <w:szCs w:val="22"/>
              </w:rPr>
            </w:pPr>
            <w:r>
              <w:rPr>
                <w:color w:val="auto"/>
                <w:sz w:val="22"/>
                <w:szCs w:val="22"/>
              </w:rPr>
              <w:t>Безударные личные окончания глаголов: обобщение</w:t>
            </w:r>
          </w:p>
        </w:tc>
      </w:tr>
      <w:tr w14:paraId="63091A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470ECF13">
            <w:pPr>
              <w:pStyle w:val="85"/>
              <w:jc w:val="center"/>
              <w:rPr>
                <w:color w:val="auto"/>
                <w:sz w:val="22"/>
                <w:szCs w:val="22"/>
              </w:rPr>
            </w:pPr>
            <w:r>
              <w:rPr>
                <w:color w:val="auto"/>
                <w:sz w:val="22"/>
                <w:szCs w:val="22"/>
              </w:rPr>
              <w:t>Урок 89</w:t>
            </w:r>
          </w:p>
        </w:tc>
        <w:tc>
          <w:tcPr>
            <w:tcW w:w="7937" w:type="dxa"/>
          </w:tcPr>
          <w:p w14:paraId="2F98B348">
            <w:pPr>
              <w:pStyle w:val="85"/>
              <w:jc w:val="both"/>
              <w:rPr>
                <w:color w:val="auto"/>
                <w:sz w:val="22"/>
                <w:szCs w:val="22"/>
              </w:rPr>
            </w:pPr>
            <w:r>
              <w:rPr>
                <w:color w:val="auto"/>
                <w:sz w:val="22"/>
                <w:szCs w:val="22"/>
              </w:rPr>
              <w:t>Отработка написания глаголов</w:t>
            </w:r>
          </w:p>
        </w:tc>
      </w:tr>
      <w:tr w14:paraId="718C9D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59908328">
            <w:pPr>
              <w:pStyle w:val="85"/>
              <w:jc w:val="center"/>
              <w:rPr>
                <w:color w:val="auto"/>
                <w:sz w:val="22"/>
                <w:szCs w:val="22"/>
              </w:rPr>
            </w:pPr>
            <w:r>
              <w:rPr>
                <w:color w:val="auto"/>
                <w:sz w:val="22"/>
                <w:szCs w:val="22"/>
              </w:rPr>
              <w:t>Урок 90</w:t>
            </w:r>
          </w:p>
        </w:tc>
        <w:tc>
          <w:tcPr>
            <w:tcW w:w="7937" w:type="dxa"/>
          </w:tcPr>
          <w:p w14:paraId="08F1D66C">
            <w:pPr>
              <w:pStyle w:val="85"/>
              <w:jc w:val="both"/>
              <w:rPr>
                <w:color w:val="auto"/>
                <w:sz w:val="22"/>
                <w:szCs w:val="22"/>
              </w:rPr>
            </w:pPr>
            <w:r>
              <w:rPr>
                <w:color w:val="auto"/>
                <w:sz w:val="22"/>
                <w:szCs w:val="22"/>
              </w:rPr>
              <w:t>Правописание глаголов с орфограммами</w:t>
            </w:r>
          </w:p>
        </w:tc>
      </w:tr>
      <w:tr w14:paraId="1E966F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5C12E763">
            <w:pPr>
              <w:pStyle w:val="85"/>
              <w:jc w:val="center"/>
              <w:rPr>
                <w:color w:val="auto"/>
                <w:sz w:val="22"/>
                <w:szCs w:val="22"/>
              </w:rPr>
            </w:pPr>
            <w:r>
              <w:rPr>
                <w:color w:val="auto"/>
                <w:sz w:val="22"/>
                <w:szCs w:val="22"/>
              </w:rPr>
              <w:t>Урок 91</w:t>
            </w:r>
          </w:p>
        </w:tc>
        <w:tc>
          <w:tcPr>
            <w:tcW w:w="7937" w:type="dxa"/>
          </w:tcPr>
          <w:p w14:paraId="77048ADE">
            <w:pPr>
              <w:pStyle w:val="85"/>
              <w:jc w:val="both"/>
              <w:rPr>
                <w:color w:val="auto"/>
                <w:sz w:val="22"/>
                <w:szCs w:val="22"/>
              </w:rPr>
            </w:pPr>
            <w:r>
              <w:rPr>
                <w:color w:val="auto"/>
                <w:sz w:val="22"/>
                <w:szCs w:val="22"/>
              </w:rPr>
              <w:t>Учимся пересказывать: подробный письменный пересказ текста</w:t>
            </w:r>
          </w:p>
        </w:tc>
      </w:tr>
      <w:tr w14:paraId="79E749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41B432A3">
            <w:pPr>
              <w:pStyle w:val="85"/>
              <w:jc w:val="center"/>
              <w:rPr>
                <w:color w:val="auto"/>
                <w:sz w:val="22"/>
                <w:szCs w:val="22"/>
              </w:rPr>
            </w:pPr>
            <w:r>
              <w:rPr>
                <w:color w:val="auto"/>
                <w:sz w:val="22"/>
                <w:szCs w:val="22"/>
              </w:rPr>
              <w:t>Урок 92</w:t>
            </w:r>
          </w:p>
        </w:tc>
        <w:tc>
          <w:tcPr>
            <w:tcW w:w="7937" w:type="dxa"/>
          </w:tcPr>
          <w:p w14:paraId="1D1AFB19">
            <w:pPr>
              <w:pStyle w:val="85"/>
              <w:jc w:val="both"/>
              <w:rPr>
                <w:color w:val="auto"/>
                <w:sz w:val="22"/>
                <w:szCs w:val="22"/>
              </w:rPr>
            </w:pPr>
            <w:r>
              <w:rPr>
                <w:color w:val="auto"/>
                <w:sz w:val="22"/>
                <w:szCs w:val="22"/>
              </w:rPr>
              <w:t>Настоящее время глагола</w:t>
            </w:r>
          </w:p>
        </w:tc>
      </w:tr>
      <w:tr w14:paraId="277756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289A685E">
            <w:pPr>
              <w:pStyle w:val="85"/>
              <w:jc w:val="center"/>
              <w:rPr>
                <w:color w:val="auto"/>
                <w:sz w:val="22"/>
                <w:szCs w:val="22"/>
              </w:rPr>
            </w:pPr>
            <w:r>
              <w:rPr>
                <w:color w:val="auto"/>
                <w:sz w:val="22"/>
                <w:szCs w:val="22"/>
              </w:rPr>
              <w:t>Урок 93</w:t>
            </w:r>
          </w:p>
        </w:tc>
        <w:tc>
          <w:tcPr>
            <w:tcW w:w="7937" w:type="dxa"/>
          </w:tcPr>
          <w:p w14:paraId="3F90D955">
            <w:pPr>
              <w:pStyle w:val="85"/>
              <w:jc w:val="both"/>
              <w:rPr>
                <w:color w:val="auto"/>
                <w:sz w:val="22"/>
                <w:szCs w:val="22"/>
              </w:rPr>
            </w:pPr>
            <w:r>
              <w:rPr>
                <w:color w:val="auto"/>
                <w:sz w:val="22"/>
                <w:szCs w:val="22"/>
              </w:rPr>
              <w:t>Прошедшее время глагола</w:t>
            </w:r>
          </w:p>
        </w:tc>
      </w:tr>
      <w:tr w14:paraId="18F321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231ECF39">
            <w:pPr>
              <w:pStyle w:val="85"/>
              <w:jc w:val="center"/>
              <w:rPr>
                <w:color w:val="auto"/>
                <w:sz w:val="22"/>
                <w:szCs w:val="22"/>
              </w:rPr>
            </w:pPr>
            <w:r>
              <w:rPr>
                <w:color w:val="auto"/>
                <w:sz w:val="22"/>
                <w:szCs w:val="22"/>
              </w:rPr>
              <w:t>Урок 94</w:t>
            </w:r>
          </w:p>
        </w:tc>
        <w:tc>
          <w:tcPr>
            <w:tcW w:w="7937" w:type="dxa"/>
          </w:tcPr>
          <w:p w14:paraId="32944D64">
            <w:pPr>
              <w:pStyle w:val="85"/>
              <w:jc w:val="both"/>
              <w:rPr>
                <w:color w:val="auto"/>
                <w:sz w:val="22"/>
                <w:szCs w:val="22"/>
              </w:rPr>
            </w:pPr>
            <w:r>
              <w:rPr>
                <w:color w:val="auto"/>
                <w:sz w:val="22"/>
                <w:szCs w:val="22"/>
              </w:rPr>
              <w:t>Правописание глаголов в прошедшем времени</w:t>
            </w:r>
          </w:p>
        </w:tc>
      </w:tr>
      <w:tr w14:paraId="2C890F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04AEAE9A">
            <w:pPr>
              <w:pStyle w:val="85"/>
              <w:jc w:val="center"/>
              <w:rPr>
                <w:color w:val="auto"/>
                <w:sz w:val="22"/>
                <w:szCs w:val="22"/>
              </w:rPr>
            </w:pPr>
            <w:r>
              <w:rPr>
                <w:color w:val="auto"/>
                <w:sz w:val="22"/>
                <w:szCs w:val="22"/>
              </w:rPr>
              <w:t>Урок 95</w:t>
            </w:r>
          </w:p>
        </w:tc>
        <w:tc>
          <w:tcPr>
            <w:tcW w:w="7937" w:type="dxa"/>
          </w:tcPr>
          <w:p w14:paraId="644D9E91">
            <w:pPr>
              <w:pStyle w:val="85"/>
              <w:jc w:val="both"/>
              <w:rPr>
                <w:color w:val="auto"/>
                <w:sz w:val="22"/>
                <w:szCs w:val="22"/>
              </w:rPr>
            </w:pPr>
            <w:r>
              <w:rPr>
                <w:color w:val="auto"/>
                <w:sz w:val="22"/>
                <w:szCs w:val="22"/>
              </w:rPr>
              <w:t>Отрабатываем правописание глаголов в прошедшем времени</w:t>
            </w:r>
          </w:p>
        </w:tc>
      </w:tr>
      <w:tr w14:paraId="20A338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0D92C802">
            <w:pPr>
              <w:pStyle w:val="85"/>
              <w:jc w:val="center"/>
              <w:rPr>
                <w:color w:val="auto"/>
                <w:sz w:val="22"/>
                <w:szCs w:val="22"/>
              </w:rPr>
            </w:pPr>
            <w:r>
              <w:rPr>
                <w:color w:val="auto"/>
                <w:sz w:val="22"/>
                <w:szCs w:val="22"/>
              </w:rPr>
              <w:t>Урок 96</w:t>
            </w:r>
          </w:p>
        </w:tc>
        <w:tc>
          <w:tcPr>
            <w:tcW w:w="7937" w:type="dxa"/>
          </w:tcPr>
          <w:p w14:paraId="6EFBFBAC">
            <w:pPr>
              <w:pStyle w:val="85"/>
              <w:jc w:val="both"/>
              <w:rPr>
                <w:color w:val="auto"/>
                <w:sz w:val="22"/>
                <w:szCs w:val="22"/>
              </w:rPr>
            </w:pPr>
            <w:r>
              <w:rPr>
                <w:color w:val="auto"/>
                <w:sz w:val="22"/>
                <w:szCs w:val="22"/>
              </w:rPr>
              <w:t>Будущее время глагола</w:t>
            </w:r>
          </w:p>
        </w:tc>
      </w:tr>
      <w:tr w14:paraId="2F0D41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462847DB">
            <w:pPr>
              <w:pStyle w:val="85"/>
              <w:jc w:val="center"/>
              <w:rPr>
                <w:color w:val="auto"/>
                <w:sz w:val="22"/>
                <w:szCs w:val="22"/>
              </w:rPr>
            </w:pPr>
            <w:r>
              <w:rPr>
                <w:color w:val="auto"/>
                <w:sz w:val="22"/>
                <w:szCs w:val="22"/>
              </w:rPr>
              <w:t>Урок 97</w:t>
            </w:r>
          </w:p>
        </w:tc>
        <w:tc>
          <w:tcPr>
            <w:tcW w:w="7937" w:type="dxa"/>
          </w:tcPr>
          <w:p w14:paraId="434D9963">
            <w:pPr>
              <w:pStyle w:val="85"/>
              <w:jc w:val="both"/>
              <w:rPr>
                <w:color w:val="auto"/>
                <w:sz w:val="22"/>
                <w:szCs w:val="22"/>
              </w:rPr>
            </w:pPr>
            <w:r>
              <w:rPr>
                <w:color w:val="auto"/>
                <w:sz w:val="22"/>
                <w:szCs w:val="22"/>
              </w:rPr>
              <w:t>Настоящее, прошедшее, будущее время глагола</w:t>
            </w:r>
          </w:p>
        </w:tc>
      </w:tr>
      <w:tr w14:paraId="70162F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134" w:type="dxa"/>
            <w:vAlign w:val="center"/>
          </w:tcPr>
          <w:p w14:paraId="3A04045B">
            <w:pPr>
              <w:pStyle w:val="85"/>
              <w:jc w:val="center"/>
              <w:rPr>
                <w:color w:val="auto"/>
                <w:sz w:val="22"/>
                <w:szCs w:val="22"/>
              </w:rPr>
            </w:pPr>
            <w:r>
              <w:rPr>
                <w:color w:val="auto"/>
                <w:sz w:val="22"/>
                <w:szCs w:val="22"/>
              </w:rPr>
              <w:t>Урок 98</w:t>
            </w:r>
          </w:p>
        </w:tc>
        <w:tc>
          <w:tcPr>
            <w:tcW w:w="7937" w:type="dxa"/>
          </w:tcPr>
          <w:p w14:paraId="5D377FFF">
            <w:pPr>
              <w:pStyle w:val="85"/>
              <w:jc w:val="both"/>
              <w:rPr>
                <w:color w:val="auto"/>
                <w:sz w:val="22"/>
                <w:szCs w:val="22"/>
              </w:rPr>
            </w:pPr>
            <w:r>
              <w:rPr>
                <w:color w:val="auto"/>
                <w:sz w:val="22"/>
                <w:szCs w:val="22"/>
              </w:rPr>
              <w:t>Глагол: систематизация знаний</w:t>
            </w:r>
          </w:p>
        </w:tc>
      </w:tr>
      <w:tr w14:paraId="679808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41C3B1D0">
            <w:pPr>
              <w:pStyle w:val="85"/>
              <w:jc w:val="center"/>
              <w:rPr>
                <w:color w:val="auto"/>
                <w:sz w:val="22"/>
                <w:szCs w:val="22"/>
              </w:rPr>
            </w:pPr>
            <w:r>
              <w:rPr>
                <w:color w:val="auto"/>
                <w:sz w:val="22"/>
                <w:szCs w:val="22"/>
              </w:rPr>
              <w:t>Урок 99</w:t>
            </w:r>
          </w:p>
        </w:tc>
        <w:tc>
          <w:tcPr>
            <w:tcW w:w="7937" w:type="dxa"/>
          </w:tcPr>
          <w:p w14:paraId="31430D7C">
            <w:pPr>
              <w:pStyle w:val="85"/>
              <w:jc w:val="both"/>
              <w:rPr>
                <w:color w:val="auto"/>
                <w:sz w:val="22"/>
                <w:szCs w:val="22"/>
              </w:rPr>
            </w:pPr>
            <w:r>
              <w:rPr>
                <w:color w:val="auto"/>
                <w:sz w:val="22"/>
                <w:szCs w:val="22"/>
              </w:rPr>
              <w:t>Изученные правила правописания глаголов: систематизация</w:t>
            </w:r>
          </w:p>
        </w:tc>
      </w:tr>
      <w:tr w14:paraId="3D8806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5F2C5F49">
            <w:pPr>
              <w:pStyle w:val="85"/>
              <w:jc w:val="center"/>
              <w:rPr>
                <w:color w:val="auto"/>
                <w:sz w:val="22"/>
                <w:szCs w:val="22"/>
              </w:rPr>
            </w:pPr>
            <w:r>
              <w:rPr>
                <w:color w:val="auto"/>
                <w:sz w:val="22"/>
                <w:szCs w:val="22"/>
              </w:rPr>
              <w:t>Урок 100</w:t>
            </w:r>
          </w:p>
        </w:tc>
        <w:tc>
          <w:tcPr>
            <w:tcW w:w="7937" w:type="dxa"/>
          </w:tcPr>
          <w:p w14:paraId="3EF0E154">
            <w:pPr>
              <w:pStyle w:val="85"/>
              <w:jc w:val="both"/>
              <w:rPr>
                <w:color w:val="auto"/>
                <w:sz w:val="22"/>
                <w:szCs w:val="22"/>
              </w:rPr>
            </w:pPr>
            <w:r>
              <w:rPr>
                <w:color w:val="auto"/>
                <w:sz w:val="22"/>
                <w:szCs w:val="22"/>
              </w:rPr>
              <w:t>Отрабатываем изученные правила правописания глаголов</w:t>
            </w:r>
          </w:p>
        </w:tc>
      </w:tr>
      <w:tr w14:paraId="6CFA50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4D0FF1D7">
            <w:pPr>
              <w:pStyle w:val="85"/>
              <w:jc w:val="center"/>
              <w:rPr>
                <w:color w:val="auto"/>
                <w:sz w:val="22"/>
                <w:szCs w:val="22"/>
              </w:rPr>
            </w:pPr>
            <w:r>
              <w:rPr>
                <w:color w:val="auto"/>
                <w:sz w:val="22"/>
                <w:szCs w:val="22"/>
              </w:rPr>
              <w:t>Урок 101</w:t>
            </w:r>
          </w:p>
        </w:tc>
        <w:tc>
          <w:tcPr>
            <w:tcW w:w="7937" w:type="dxa"/>
          </w:tcPr>
          <w:p w14:paraId="2BDE8EC4">
            <w:pPr>
              <w:pStyle w:val="85"/>
              <w:jc w:val="both"/>
              <w:rPr>
                <w:color w:val="auto"/>
                <w:sz w:val="22"/>
                <w:szCs w:val="22"/>
              </w:rPr>
            </w:pPr>
            <w:r>
              <w:rPr>
                <w:color w:val="auto"/>
                <w:sz w:val="22"/>
                <w:szCs w:val="22"/>
              </w:rPr>
              <w:t>Резервный урок по разделу орфография: контрольная работа на тему "Безударные личные окончания глаголов"</w:t>
            </w:r>
          </w:p>
        </w:tc>
      </w:tr>
      <w:tr w14:paraId="0401A0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14279B9B">
            <w:pPr>
              <w:pStyle w:val="85"/>
              <w:jc w:val="center"/>
              <w:rPr>
                <w:color w:val="auto"/>
                <w:sz w:val="22"/>
                <w:szCs w:val="22"/>
              </w:rPr>
            </w:pPr>
            <w:r>
              <w:rPr>
                <w:color w:val="auto"/>
                <w:sz w:val="22"/>
                <w:szCs w:val="22"/>
              </w:rPr>
              <w:t>Урок 102</w:t>
            </w:r>
          </w:p>
        </w:tc>
        <w:tc>
          <w:tcPr>
            <w:tcW w:w="7937" w:type="dxa"/>
          </w:tcPr>
          <w:p w14:paraId="46BB327E">
            <w:pPr>
              <w:pStyle w:val="85"/>
              <w:jc w:val="both"/>
              <w:rPr>
                <w:color w:val="auto"/>
                <w:sz w:val="22"/>
                <w:szCs w:val="22"/>
              </w:rPr>
            </w:pPr>
            <w:r>
              <w:rPr>
                <w:color w:val="auto"/>
                <w:sz w:val="22"/>
                <w:szCs w:val="22"/>
              </w:rPr>
              <w:t>Особенности разбора глаголов по составу слова</w:t>
            </w:r>
          </w:p>
        </w:tc>
      </w:tr>
      <w:tr w14:paraId="5034EE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6BA2856D">
            <w:pPr>
              <w:pStyle w:val="85"/>
              <w:jc w:val="center"/>
              <w:rPr>
                <w:color w:val="auto"/>
                <w:sz w:val="22"/>
                <w:szCs w:val="22"/>
              </w:rPr>
            </w:pPr>
            <w:r>
              <w:rPr>
                <w:color w:val="auto"/>
                <w:sz w:val="22"/>
                <w:szCs w:val="22"/>
              </w:rPr>
              <w:t>Урок 103</w:t>
            </w:r>
          </w:p>
        </w:tc>
        <w:tc>
          <w:tcPr>
            <w:tcW w:w="7937" w:type="dxa"/>
          </w:tcPr>
          <w:p w14:paraId="270998C5">
            <w:pPr>
              <w:pStyle w:val="85"/>
              <w:jc w:val="both"/>
              <w:rPr>
                <w:color w:val="auto"/>
                <w:sz w:val="22"/>
                <w:szCs w:val="22"/>
              </w:rPr>
            </w:pPr>
            <w:r>
              <w:rPr>
                <w:color w:val="auto"/>
                <w:sz w:val="22"/>
                <w:szCs w:val="22"/>
              </w:rPr>
              <w:t>Глагол в словосочетании</w:t>
            </w:r>
          </w:p>
        </w:tc>
      </w:tr>
      <w:tr w14:paraId="14017D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287512A8">
            <w:pPr>
              <w:pStyle w:val="85"/>
              <w:jc w:val="center"/>
              <w:rPr>
                <w:color w:val="auto"/>
                <w:sz w:val="22"/>
                <w:szCs w:val="22"/>
              </w:rPr>
            </w:pPr>
            <w:r>
              <w:rPr>
                <w:color w:val="auto"/>
                <w:sz w:val="22"/>
                <w:szCs w:val="22"/>
              </w:rPr>
              <w:t>Урок 104</w:t>
            </w:r>
          </w:p>
        </w:tc>
        <w:tc>
          <w:tcPr>
            <w:tcW w:w="7937" w:type="dxa"/>
          </w:tcPr>
          <w:p w14:paraId="63036E2E">
            <w:pPr>
              <w:pStyle w:val="85"/>
              <w:jc w:val="both"/>
              <w:rPr>
                <w:color w:val="auto"/>
                <w:sz w:val="22"/>
                <w:szCs w:val="22"/>
              </w:rPr>
            </w:pPr>
            <w:r>
              <w:rPr>
                <w:color w:val="auto"/>
                <w:sz w:val="22"/>
                <w:szCs w:val="22"/>
              </w:rPr>
              <w:t>Глагол в предложении</w:t>
            </w:r>
          </w:p>
        </w:tc>
      </w:tr>
      <w:tr w14:paraId="01B75B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57F28E06">
            <w:pPr>
              <w:pStyle w:val="85"/>
              <w:jc w:val="center"/>
              <w:rPr>
                <w:color w:val="auto"/>
                <w:sz w:val="22"/>
                <w:szCs w:val="22"/>
              </w:rPr>
            </w:pPr>
            <w:r>
              <w:rPr>
                <w:color w:val="auto"/>
                <w:sz w:val="22"/>
                <w:szCs w:val="22"/>
              </w:rPr>
              <w:t>Урок 105</w:t>
            </w:r>
          </w:p>
        </w:tc>
        <w:tc>
          <w:tcPr>
            <w:tcW w:w="7937" w:type="dxa"/>
          </w:tcPr>
          <w:p w14:paraId="0058FFD1">
            <w:pPr>
              <w:pStyle w:val="85"/>
              <w:jc w:val="both"/>
              <w:rPr>
                <w:color w:val="auto"/>
                <w:sz w:val="22"/>
                <w:szCs w:val="22"/>
              </w:rPr>
            </w:pPr>
            <w:r>
              <w:rPr>
                <w:color w:val="auto"/>
                <w:sz w:val="22"/>
                <w:szCs w:val="22"/>
              </w:rPr>
              <w:t>Обобщение знаний о глаголе</w:t>
            </w:r>
          </w:p>
        </w:tc>
      </w:tr>
      <w:tr w14:paraId="58BB4F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25424A33">
            <w:pPr>
              <w:pStyle w:val="85"/>
              <w:jc w:val="center"/>
              <w:rPr>
                <w:color w:val="auto"/>
                <w:sz w:val="22"/>
                <w:szCs w:val="22"/>
              </w:rPr>
            </w:pPr>
            <w:r>
              <w:rPr>
                <w:color w:val="auto"/>
                <w:sz w:val="22"/>
                <w:szCs w:val="22"/>
              </w:rPr>
              <w:t>Урок 106</w:t>
            </w:r>
          </w:p>
        </w:tc>
        <w:tc>
          <w:tcPr>
            <w:tcW w:w="7937" w:type="dxa"/>
          </w:tcPr>
          <w:p w14:paraId="32C489D0">
            <w:pPr>
              <w:pStyle w:val="85"/>
              <w:jc w:val="both"/>
              <w:rPr>
                <w:color w:val="auto"/>
                <w:sz w:val="22"/>
                <w:szCs w:val="22"/>
              </w:rPr>
            </w:pPr>
            <w:r>
              <w:rPr>
                <w:color w:val="auto"/>
                <w:sz w:val="22"/>
                <w:szCs w:val="22"/>
              </w:rPr>
              <w:t>Морфологический разбор глагола</w:t>
            </w:r>
          </w:p>
        </w:tc>
      </w:tr>
      <w:tr w14:paraId="5F876E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48BE3710">
            <w:pPr>
              <w:pStyle w:val="85"/>
              <w:jc w:val="center"/>
              <w:rPr>
                <w:color w:val="auto"/>
                <w:sz w:val="22"/>
                <w:szCs w:val="22"/>
              </w:rPr>
            </w:pPr>
            <w:r>
              <w:rPr>
                <w:color w:val="auto"/>
                <w:sz w:val="22"/>
                <w:szCs w:val="22"/>
              </w:rPr>
              <w:t>Урок 107</w:t>
            </w:r>
          </w:p>
        </w:tc>
        <w:tc>
          <w:tcPr>
            <w:tcW w:w="7937" w:type="dxa"/>
          </w:tcPr>
          <w:p w14:paraId="1F66F22C">
            <w:pPr>
              <w:pStyle w:val="85"/>
              <w:jc w:val="both"/>
              <w:rPr>
                <w:color w:val="auto"/>
                <w:sz w:val="22"/>
                <w:szCs w:val="22"/>
              </w:rPr>
            </w:pPr>
            <w:r>
              <w:rPr>
                <w:color w:val="auto"/>
                <w:sz w:val="22"/>
                <w:szCs w:val="22"/>
              </w:rPr>
              <w:t>Резервный урок по разделу морфология: отработка темы "Глагол" Повелительное наклонение глагола: наблюдение</w:t>
            </w:r>
          </w:p>
        </w:tc>
      </w:tr>
      <w:tr w14:paraId="230858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75A3C610">
            <w:pPr>
              <w:pStyle w:val="85"/>
              <w:jc w:val="center"/>
              <w:rPr>
                <w:color w:val="auto"/>
                <w:sz w:val="22"/>
                <w:szCs w:val="22"/>
              </w:rPr>
            </w:pPr>
            <w:r>
              <w:rPr>
                <w:color w:val="auto"/>
                <w:sz w:val="22"/>
                <w:szCs w:val="22"/>
              </w:rPr>
              <w:t>Урок 108</w:t>
            </w:r>
          </w:p>
        </w:tc>
        <w:tc>
          <w:tcPr>
            <w:tcW w:w="7937" w:type="dxa"/>
          </w:tcPr>
          <w:p w14:paraId="54762D4F">
            <w:pPr>
              <w:pStyle w:val="85"/>
              <w:jc w:val="both"/>
              <w:rPr>
                <w:color w:val="auto"/>
                <w:sz w:val="22"/>
                <w:szCs w:val="22"/>
              </w:rPr>
            </w:pPr>
            <w:r>
              <w:rPr>
                <w:color w:val="auto"/>
                <w:sz w:val="22"/>
                <w:szCs w:val="22"/>
              </w:rPr>
              <w:t>Резервный урок по разделу морфология: отработка темы "Глагол" Образование повелительного наклонения глагола</w:t>
            </w:r>
          </w:p>
        </w:tc>
      </w:tr>
      <w:tr w14:paraId="610900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10551594">
            <w:pPr>
              <w:pStyle w:val="85"/>
              <w:jc w:val="center"/>
              <w:rPr>
                <w:color w:val="auto"/>
                <w:sz w:val="22"/>
                <w:szCs w:val="22"/>
              </w:rPr>
            </w:pPr>
            <w:r>
              <w:rPr>
                <w:color w:val="auto"/>
                <w:sz w:val="22"/>
                <w:szCs w:val="22"/>
              </w:rPr>
              <w:t>Урок 109</w:t>
            </w:r>
          </w:p>
        </w:tc>
        <w:tc>
          <w:tcPr>
            <w:tcW w:w="7937" w:type="dxa"/>
          </w:tcPr>
          <w:p w14:paraId="0E6F4427">
            <w:pPr>
              <w:pStyle w:val="85"/>
              <w:jc w:val="both"/>
              <w:rPr>
                <w:color w:val="auto"/>
                <w:sz w:val="22"/>
                <w:szCs w:val="22"/>
              </w:rPr>
            </w:pPr>
            <w:r>
              <w:rPr>
                <w:color w:val="auto"/>
                <w:sz w:val="22"/>
                <w:szCs w:val="22"/>
              </w:rPr>
              <w:t>Резервный урок по разделу морфология: отработка темы "Глагол"</w:t>
            </w:r>
          </w:p>
        </w:tc>
      </w:tr>
      <w:tr w14:paraId="4A5A24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73465731">
            <w:pPr>
              <w:pStyle w:val="85"/>
              <w:jc w:val="center"/>
              <w:rPr>
                <w:color w:val="auto"/>
                <w:sz w:val="22"/>
                <w:szCs w:val="22"/>
              </w:rPr>
            </w:pPr>
            <w:r>
              <w:rPr>
                <w:color w:val="auto"/>
                <w:sz w:val="22"/>
                <w:szCs w:val="22"/>
              </w:rPr>
              <w:t>Урок 110</w:t>
            </w:r>
          </w:p>
        </w:tc>
        <w:tc>
          <w:tcPr>
            <w:tcW w:w="7937" w:type="dxa"/>
          </w:tcPr>
          <w:p w14:paraId="2526447C">
            <w:pPr>
              <w:pStyle w:val="85"/>
              <w:jc w:val="both"/>
              <w:rPr>
                <w:color w:val="auto"/>
                <w:sz w:val="22"/>
                <w:szCs w:val="22"/>
              </w:rPr>
            </w:pPr>
            <w:r>
              <w:rPr>
                <w:color w:val="auto"/>
                <w:sz w:val="22"/>
                <w:szCs w:val="22"/>
              </w:rPr>
              <w:t>Сочинение как вид письменной работы</w:t>
            </w:r>
          </w:p>
        </w:tc>
      </w:tr>
      <w:tr w14:paraId="5009BD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64453F35">
            <w:pPr>
              <w:pStyle w:val="85"/>
              <w:jc w:val="center"/>
              <w:rPr>
                <w:color w:val="auto"/>
                <w:sz w:val="22"/>
                <w:szCs w:val="22"/>
              </w:rPr>
            </w:pPr>
            <w:r>
              <w:rPr>
                <w:color w:val="auto"/>
                <w:sz w:val="22"/>
                <w:szCs w:val="22"/>
              </w:rPr>
              <w:t>Урок 111</w:t>
            </w:r>
          </w:p>
        </w:tc>
        <w:tc>
          <w:tcPr>
            <w:tcW w:w="7937" w:type="dxa"/>
          </w:tcPr>
          <w:p w14:paraId="5B476AAB">
            <w:pPr>
              <w:pStyle w:val="85"/>
              <w:jc w:val="both"/>
              <w:rPr>
                <w:color w:val="auto"/>
                <w:sz w:val="22"/>
                <w:szCs w:val="22"/>
              </w:rPr>
            </w:pPr>
            <w:r>
              <w:rPr>
                <w:color w:val="auto"/>
                <w:sz w:val="22"/>
                <w:szCs w:val="22"/>
              </w:rPr>
              <w:t>Частица не, ее значение</w:t>
            </w:r>
          </w:p>
        </w:tc>
      </w:tr>
      <w:tr w14:paraId="459CCD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134" w:type="dxa"/>
            <w:vAlign w:val="center"/>
          </w:tcPr>
          <w:p w14:paraId="5B784B38">
            <w:pPr>
              <w:pStyle w:val="85"/>
              <w:jc w:val="center"/>
              <w:rPr>
                <w:color w:val="auto"/>
                <w:sz w:val="22"/>
                <w:szCs w:val="22"/>
              </w:rPr>
            </w:pPr>
            <w:r>
              <w:rPr>
                <w:color w:val="auto"/>
                <w:sz w:val="22"/>
                <w:szCs w:val="22"/>
              </w:rPr>
              <w:t>Урок 112</w:t>
            </w:r>
          </w:p>
        </w:tc>
        <w:tc>
          <w:tcPr>
            <w:tcW w:w="7937" w:type="dxa"/>
          </w:tcPr>
          <w:p w14:paraId="34E609B2">
            <w:pPr>
              <w:pStyle w:val="85"/>
              <w:jc w:val="both"/>
              <w:rPr>
                <w:color w:val="auto"/>
                <w:sz w:val="22"/>
                <w:szCs w:val="22"/>
              </w:rPr>
            </w:pPr>
            <w:r>
              <w:rPr>
                <w:color w:val="auto"/>
                <w:sz w:val="22"/>
                <w:szCs w:val="22"/>
              </w:rPr>
              <w:t>Наречие: значение, вопросы, употребление в речи</w:t>
            </w:r>
          </w:p>
        </w:tc>
      </w:tr>
      <w:tr w14:paraId="75112C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43CB89C2">
            <w:pPr>
              <w:pStyle w:val="85"/>
              <w:jc w:val="center"/>
              <w:rPr>
                <w:color w:val="auto"/>
                <w:sz w:val="22"/>
                <w:szCs w:val="22"/>
              </w:rPr>
            </w:pPr>
            <w:r>
              <w:rPr>
                <w:color w:val="auto"/>
                <w:sz w:val="22"/>
                <w:szCs w:val="22"/>
              </w:rPr>
              <w:t>Урок 113</w:t>
            </w:r>
          </w:p>
        </w:tc>
        <w:tc>
          <w:tcPr>
            <w:tcW w:w="7937" w:type="dxa"/>
          </w:tcPr>
          <w:p w14:paraId="42DB21A3">
            <w:pPr>
              <w:pStyle w:val="85"/>
              <w:jc w:val="both"/>
              <w:rPr>
                <w:color w:val="auto"/>
                <w:sz w:val="22"/>
                <w:szCs w:val="22"/>
              </w:rPr>
            </w:pPr>
            <w:r>
              <w:rPr>
                <w:color w:val="auto"/>
                <w:sz w:val="22"/>
                <w:szCs w:val="22"/>
              </w:rPr>
              <w:t>Как образуются наречия</w:t>
            </w:r>
          </w:p>
        </w:tc>
      </w:tr>
      <w:tr w14:paraId="051D79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7BB269F7">
            <w:pPr>
              <w:pStyle w:val="85"/>
              <w:jc w:val="center"/>
              <w:rPr>
                <w:color w:val="auto"/>
                <w:sz w:val="22"/>
                <w:szCs w:val="22"/>
              </w:rPr>
            </w:pPr>
            <w:r>
              <w:rPr>
                <w:color w:val="auto"/>
                <w:sz w:val="22"/>
                <w:szCs w:val="22"/>
              </w:rPr>
              <w:t>Урок 114</w:t>
            </w:r>
          </w:p>
        </w:tc>
        <w:tc>
          <w:tcPr>
            <w:tcW w:w="7937" w:type="dxa"/>
          </w:tcPr>
          <w:p w14:paraId="3E72C3B4">
            <w:pPr>
              <w:pStyle w:val="85"/>
              <w:jc w:val="both"/>
              <w:rPr>
                <w:color w:val="auto"/>
                <w:sz w:val="22"/>
                <w:szCs w:val="22"/>
              </w:rPr>
            </w:pPr>
            <w:r>
              <w:rPr>
                <w:color w:val="auto"/>
                <w:sz w:val="22"/>
                <w:szCs w:val="22"/>
              </w:rPr>
              <w:t>Наречие: обобщение знаний</w:t>
            </w:r>
          </w:p>
        </w:tc>
      </w:tr>
      <w:tr w14:paraId="1792E7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598C5BE5">
            <w:pPr>
              <w:pStyle w:val="85"/>
              <w:jc w:val="center"/>
              <w:rPr>
                <w:color w:val="auto"/>
                <w:sz w:val="22"/>
                <w:szCs w:val="22"/>
              </w:rPr>
            </w:pPr>
            <w:r>
              <w:rPr>
                <w:color w:val="auto"/>
                <w:sz w:val="22"/>
                <w:szCs w:val="22"/>
              </w:rPr>
              <w:t>Урок 115</w:t>
            </w:r>
          </w:p>
        </w:tc>
        <w:tc>
          <w:tcPr>
            <w:tcW w:w="7937" w:type="dxa"/>
          </w:tcPr>
          <w:p w14:paraId="29C01EDA">
            <w:pPr>
              <w:pStyle w:val="85"/>
              <w:jc w:val="both"/>
              <w:rPr>
                <w:color w:val="auto"/>
                <w:sz w:val="22"/>
                <w:szCs w:val="22"/>
              </w:rPr>
            </w:pPr>
            <w:r>
              <w:rPr>
                <w:color w:val="auto"/>
                <w:sz w:val="22"/>
                <w:szCs w:val="22"/>
              </w:rPr>
              <w:t>Пишем сочинение-отзыв по репродукции картины</w:t>
            </w:r>
          </w:p>
        </w:tc>
      </w:tr>
      <w:tr w14:paraId="5FFBD3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11D98760">
            <w:pPr>
              <w:pStyle w:val="85"/>
              <w:jc w:val="center"/>
              <w:rPr>
                <w:color w:val="auto"/>
                <w:sz w:val="22"/>
                <w:szCs w:val="22"/>
              </w:rPr>
            </w:pPr>
            <w:r>
              <w:rPr>
                <w:color w:val="auto"/>
                <w:sz w:val="22"/>
                <w:szCs w:val="22"/>
              </w:rPr>
              <w:t>Урок 116</w:t>
            </w:r>
          </w:p>
        </w:tc>
        <w:tc>
          <w:tcPr>
            <w:tcW w:w="7937" w:type="dxa"/>
          </w:tcPr>
          <w:p w14:paraId="6912D5FE">
            <w:pPr>
              <w:pStyle w:val="85"/>
              <w:jc w:val="both"/>
              <w:rPr>
                <w:color w:val="auto"/>
                <w:sz w:val="22"/>
                <w:szCs w:val="22"/>
              </w:rPr>
            </w:pPr>
            <w:r>
              <w:rPr>
                <w:color w:val="auto"/>
                <w:sz w:val="22"/>
                <w:szCs w:val="22"/>
              </w:rPr>
              <w:t>Резервный урок по разделу морфология: тема "Числительное"</w:t>
            </w:r>
          </w:p>
        </w:tc>
      </w:tr>
      <w:tr w14:paraId="4A1CE4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44C737D2">
            <w:pPr>
              <w:pStyle w:val="85"/>
              <w:jc w:val="center"/>
              <w:rPr>
                <w:color w:val="auto"/>
                <w:sz w:val="22"/>
                <w:szCs w:val="22"/>
              </w:rPr>
            </w:pPr>
            <w:r>
              <w:rPr>
                <w:color w:val="auto"/>
                <w:sz w:val="22"/>
                <w:szCs w:val="22"/>
              </w:rPr>
              <w:t>Урок 117</w:t>
            </w:r>
          </w:p>
        </w:tc>
        <w:tc>
          <w:tcPr>
            <w:tcW w:w="7937" w:type="dxa"/>
          </w:tcPr>
          <w:p w14:paraId="6A73EAF5">
            <w:pPr>
              <w:pStyle w:val="85"/>
              <w:jc w:val="both"/>
              <w:rPr>
                <w:color w:val="auto"/>
                <w:sz w:val="22"/>
                <w:szCs w:val="22"/>
              </w:rPr>
            </w:pPr>
            <w:r>
              <w:rPr>
                <w:color w:val="auto"/>
                <w:sz w:val="22"/>
                <w:szCs w:val="22"/>
              </w:rPr>
              <w:t>Резервный урок по разделу орфография: Наблюдаем за правописанием числительных</w:t>
            </w:r>
          </w:p>
        </w:tc>
      </w:tr>
      <w:tr w14:paraId="2D2224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134" w:type="dxa"/>
            <w:vAlign w:val="center"/>
          </w:tcPr>
          <w:p w14:paraId="38DB3CDD">
            <w:pPr>
              <w:pStyle w:val="85"/>
              <w:jc w:val="center"/>
              <w:rPr>
                <w:color w:val="auto"/>
                <w:sz w:val="22"/>
                <w:szCs w:val="22"/>
              </w:rPr>
            </w:pPr>
            <w:r>
              <w:rPr>
                <w:color w:val="auto"/>
                <w:sz w:val="22"/>
                <w:szCs w:val="22"/>
              </w:rPr>
              <w:t>Урок 118</w:t>
            </w:r>
          </w:p>
        </w:tc>
        <w:tc>
          <w:tcPr>
            <w:tcW w:w="7937" w:type="dxa"/>
          </w:tcPr>
          <w:p w14:paraId="270383CE">
            <w:pPr>
              <w:pStyle w:val="85"/>
              <w:jc w:val="both"/>
              <w:rPr>
                <w:color w:val="auto"/>
                <w:sz w:val="22"/>
                <w:szCs w:val="22"/>
              </w:rPr>
            </w:pPr>
            <w:r>
              <w:rPr>
                <w:color w:val="auto"/>
                <w:sz w:val="22"/>
                <w:szCs w:val="22"/>
              </w:rPr>
              <w:t>Обобщение: самостоятельные и служебные части речи</w:t>
            </w:r>
          </w:p>
        </w:tc>
      </w:tr>
      <w:tr w14:paraId="5739FF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20156BFC">
            <w:pPr>
              <w:pStyle w:val="85"/>
              <w:jc w:val="center"/>
              <w:rPr>
                <w:color w:val="auto"/>
                <w:sz w:val="22"/>
                <w:szCs w:val="22"/>
              </w:rPr>
            </w:pPr>
            <w:r>
              <w:rPr>
                <w:color w:val="auto"/>
                <w:sz w:val="22"/>
                <w:szCs w:val="22"/>
              </w:rPr>
              <w:t>Урок 119</w:t>
            </w:r>
          </w:p>
        </w:tc>
        <w:tc>
          <w:tcPr>
            <w:tcW w:w="7937" w:type="dxa"/>
          </w:tcPr>
          <w:p w14:paraId="4885B20D">
            <w:pPr>
              <w:pStyle w:val="85"/>
              <w:jc w:val="both"/>
              <w:rPr>
                <w:color w:val="auto"/>
                <w:sz w:val="22"/>
                <w:szCs w:val="22"/>
              </w:rPr>
            </w:pPr>
            <w:r>
              <w:rPr>
                <w:color w:val="auto"/>
                <w:sz w:val="22"/>
                <w:szCs w:val="22"/>
              </w:rPr>
              <w:t>Наблюдаем за написанием разных частей речи</w:t>
            </w:r>
          </w:p>
        </w:tc>
      </w:tr>
      <w:tr w14:paraId="0EC0DD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0418AE26">
            <w:pPr>
              <w:pStyle w:val="85"/>
              <w:jc w:val="center"/>
              <w:rPr>
                <w:color w:val="auto"/>
                <w:sz w:val="22"/>
                <w:szCs w:val="22"/>
              </w:rPr>
            </w:pPr>
            <w:r>
              <w:rPr>
                <w:color w:val="auto"/>
                <w:sz w:val="22"/>
                <w:szCs w:val="22"/>
              </w:rPr>
              <w:t>Урок 120</w:t>
            </w:r>
          </w:p>
        </w:tc>
        <w:tc>
          <w:tcPr>
            <w:tcW w:w="7937" w:type="dxa"/>
          </w:tcPr>
          <w:p w14:paraId="512EC18B">
            <w:pPr>
              <w:pStyle w:val="85"/>
              <w:jc w:val="both"/>
              <w:rPr>
                <w:color w:val="auto"/>
                <w:sz w:val="22"/>
                <w:szCs w:val="22"/>
              </w:rPr>
            </w:pPr>
            <w:r>
              <w:rPr>
                <w:color w:val="auto"/>
                <w:sz w:val="22"/>
                <w:szCs w:val="22"/>
              </w:rPr>
              <w:t>Орфографический тренинг: правописание разных частей речи</w:t>
            </w:r>
          </w:p>
        </w:tc>
      </w:tr>
      <w:tr w14:paraId="561F9B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0C0722AE">
            <w:pPr>
              <w:pStyle w:val="85"/>
              <w:jc w:val="center"/>
              <w:rPr>
                <w:color w:val="auto"/>
                <w:sz w:val="22"/>
                <w:szCs w:val="22"/>
              </w:rPr>
            </w:pPr>
            <w:r>
              <w:rPr>
                <w:color w:val="auto"/>
                <w:sz w:val="22"/>
                <w:szCs w:val="22"/>
              </w:rPr>
              <w:t>Урок 121</w:t>
            </w:r>
          </w:p>
        </w:tc>
        <w:tc>
          <w:tcPr>
            <w:tcW w:w="7937" w:type="dxa"/>
          </w:tcPr>
          <w:p w14:paraId="05318C3C">
            <w:pPr>
              <w:pStyle w:val="85"/>
              <w:jc w:val="both"/>
              <w:rPr>
                <w:color w:val="auto"/>
                <w:sz w:val="22"/>
                <w:szCs w:val="22"/>
              </w:rPr>
            </w:pPr>
            <w:r>
              <w:rPr>
                <w:color w:val="auto"/>
                <w:sz w:val="22"/>
                <w:szCs w:val="22"/>
              </w:rPr>
              <w:t>Резервный урок по разделу морфология: повторение</w:t>
            </w:r>
          </w:p>
        </w:tc>
      </w:tr>
      <w:tr w14:paraId="5F7FA3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2DF432B5">
            <w:pPr>
              <w:pStyle w:val="85"/>
              <w:jc w:val="center"/>
              <w:rPr>
                <w:color w:val="auto"/>
                <w:sz w:val="22"/>
                <w:szCs w:val="22"/>
              </w:rPr>
            </w:pPr>
            <w:r>
              <w:rPr>
                <w:color w:val="auto"/>
                <w:sz w:val="22"/>
                <w:szCs w:val="22"/>
              </w:rPr>
              <w:t>Урок 122</w:t>
            </w:r>
          </w:p>
        </w:tc>
        <w:tc>
          <w:tcPr>
            <w:tcW w:w="7937" w:type="dxa"/>
          </w:tcPr>
          <w:p w14:paraId="02035B2B">
            <w:pPr>
              <w:pStyle w:val="85"/>
              <w:jc w:val="both"/>
              <w:rPr>
                <w:color w:val="auto"/>
                <w:sz w:val="22"/>
                <w:szCs w:val="22"/>
              </w:rPr>
            </w:pPr>
            <w:r>
              <w:rPr>
                <w:color w:val="auto"/>
                <w:sz w:val="22"/>
                <w:szCs w:val="22"/>
              </w:rPr>
              <w:t>Пишем подробный пересказ текста</w:t>
            </w:r>
          </w:p>
        </w:tc>
      </w:tr>
      <w:tr w14:paraId="06BF5B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67E18C06">
            <w:pPr>
              <w:pStyle w:val="85"/>
              <w:jc w:val="center"/>
              <w:rPr>
                <w:color w:val="auto"/>
                <w:sz w:val="22"/>
                <w:szCs w:val="22"/>
              </w:rPr>
            </w:pPr>
            <w:r>
              <w:rPr>
                <w:color w:val="auto"/>
                <w:sz w:val="22"/>
                <w:szCs w:val="22"/>
              </w:rPr>
              <w:t>Урок 123</w:t>
            </w:r>
          </w:p>
        </w:tc>
        <w:tc>
          <w:tcPr>
            <w:tcW w:w="7937" w:type="dxa"/>
          </w:tcPr>
          <w:p w14:paraId="2A5C755B">
            <w:pPr>
              <w:pStyle w:val="85"/>
              <w:jc w:val="both"/>
              <w:rPr>
                <w:color w:val="auto"/>
                <w:sz w:val="22"/>
                <w:szCs w:val="22"/>
              </w:rPr>
            </w:pPr>
            <w:r>
              <w:rPr>
                <w:color w:val="auto"/>
                <w:sz w:val="22"/>
                <w:szCs w:val="22"/>
              </w:rPr>
              <w:t>Повторение: слово, сочетание слов (словосочетание) и предложение</w:t>
            </w:r>
          </w:p>
        </w:tc>
      </w:tr>
      <w:tr w14:paraId="06FAEF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7C24B5EA">
            <w:pPr>
              <w:pStyle w:val="85"/>
              <w:jc w:val="center"/>
              <w:rPr>
                <w:color w:val="auto"/>
                <w:sz w:val="22"/>
                <w:szCs w:val="22"/>
              </w:rPr>
            </w:pPr>
            <w:r>
              <w:rPr>
                <w:color w:val="auto"/>
                <w:sz w:val="22"/>
                <w:szCs w:val="22"/>
              </w:rPr>
              <w:t>Урок 124</w:t>
            </w:r>
          </w:p>
        </w:tc>
        <w:tc>
          <w:tcPr>
            <w:tcW w:w="7937" w:type="dxa"/>
          </w:tcPr>
          <w:p w14:paraId="04A68214">
            <w:pPr>
              <w:pStyle w:val="85"/>
              <w:jc w:val="both"/>
              <w:rPr>
                <w:color w:val="auto"/>
                <w:sz w:val="22"/>
                <w:szCs w:val="22"/>
              </w:rPr>
            </w:pPr>
            <w:r>
              <w:rPr>
                <w:color w:val="auto"/>
                <w:sz w:val="22"/>
                <w:szCs w:val="22"/>
              </w:rPr>
              <w:t>Связь между словами в предложении (при помощи смысловых вопросов)</w:t>
            </w:r>
          </w:p>
        </w:tc>
      </w:tr>
      <w:tr w14:paraId="064C14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3EE1CD51">
            <w:pPr>
              <w:pStyle w:val="85"/>
              <w:jc w:val="center"/>
              <w:rPr>
                <w:color w:val="auto"/>
                <w:sz w:val="22"/>
                <w:szCs w:val="22"/>
              </w:rPr>
            </w:pPr>
            <w:r>
              <w:rPr>
                <w:color w:val="auto"/>
                <w:sz w:val="22"/>
                <w:szCs w:val="22"/>
              </w:rPr>
              <w:t>Урок 125</w:t>
            </w:r>
          </w:p>
        </w:tc>
        <w:tc>
          <w:tcPr>
            <w:tcW w:w="7937" w:type="dxa"/>
          </w:tcPr>
          <w:p w14:paraId="2797F4C6">
            <w:pPr>
              <w:pStyle w:val="85"/>
              <w:jc w:val="both"/>
              <w:rPr>
                <w:color w:val="auto"/>
                <w:sz w:val="22"/>
                <w:szCs w:val="22"/>
              </w:rPr>
            </w:pPr>
            <w:r>
              <w:rPr>
                <w:color w:val="auto"/>
                <w:sz w:val="22"/>
                <w:szCs w:val="22"/>
              </w:rPr>
              <w:t>Виды предложений по цели высказывания: повествовательные, вопросительные и побудительные</w:t>
            </w:r>
          </w:p>
        </w:tc>
      </w:tr>
      <w:tr w14:paraId="5EDDEB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2CEC35E2">
            <w:pPr>
              <w:pStyle w:val="85"/>
              <w:jc w:val="center"/>
              <w:rPr>
                <w:color w:val="auto"/>
                <w:sz w:val="22"/>
                <w:szCs w:val="22"/>
              </w:rPr>
            </w:pPr>
            <w:r>
              <w:rPr>
                <w:color w:val="auto"/>
                <w:sz w:val="22"/>
                <w:szCs w:val="22"/>
              </w:rPr>
              <w:t>Урок 126</w:t>
            </w:r>
          </w:p>
        </w:tc>
        <w:tc>
          <w:tcPr>
            <w:tcW w:w="7937" w:type="dxa"/>
          </w:tcPr>
          <w:p w14:paraId="753BDC38">
            <w:pPr>
              <w:pStyle w:val="85"/>
              <w:jc w:val="both"/>
              <w:rPr>
                <w:color w:val="auto"/>
                <w:sz w:val="22"/>
                <w:szCs w:val="22"/>
              </w:rPr>
            </w:pPr>
            <w:r>
              <w:rPr>
                <w:color w:val="auto"/>
                <w:sz w:val="22"/>
                <w:szCs w:val="22"/>
              </w:rPr>
              <w:t>Виды предложений по эмоциональной окраске: восклицательные и невосклицательные</w:t>
            </w:r>
          </w:p>
        </w:tc>
      </w:tr>
      <w:tr w14:paraId="64B1C0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518F19E9">
            <w:pPr>
              <w:pStyle w:val="85"/>
              <w:jc w:val="center"/>
              <w:rPr>
                <w:color w:val="auto"/>
                <w:sz w:val="22"/>
                <w:szCs w:val="22"/>
              </w:rPr>
            </w:pPr>
            <w:r>
              <w:rPr>
                <w:color w:val="auto"/>
                <w:sz w:val="22"/>
                <w:szCs w:val="22"/>
              </w:rPr>
              <w:t>Урок 127</w:t>
            </w:r>
          </w:p>
        </w:tc>
        <w:tc>
          <w:tcPr>
            <w:tcW w:w="7937" w:type="dxa"/>
          </w:tcPr>
          <w:p w14:paraId="6634A0BA">
            <w:pPr>
              <w:pStyle w:val="85"/>
              <w:jc w:val="both"/>
              <w:rPr>
                <w:color w:val="auto"/>
                <w:sz w:val="22"/>
                <w:szCs w:val="22"/>
              </w:rPr>
            </w:pPr>
            <w:r>
              <w:rPr>
                <w:color w:val="auto"/>
                <w:sz w:val="22"/>
                <w:szCs w:val="22"/>
              </w:rPr>
              <w:t>Распространенные и нераспространенные предложения</w:t>
            </w:r>
          </w:p>
        </w:tc>
      </w:tr>
      <w:tr w14:paraId="3A8CB7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42E1D28B">
            <w:pPr>
              <w:pStyle w:val="85"/>
              <w:jc w:val="center"/>
              <w:rPr>
                <w:color w:val="auto"/>
                <w:sz w:val="22"/>
                <w:szCs w:val="22"/>
              </w:rPr>
            </w:pPr>
            <w:r>
              <w:rPr>
                <w:color w:val="auto"/>
                <w:sz w:val="22"/>
                <w:szCs w:val="22"/>
              </w:rPr>
              <w:t>Урок 128</w:t>
            </w:r>
          </w:p>
        </w:tc>
        <w:tc>
          <w:tcPr>
            <w:tcW w:w="7937" w:type="dxa"/>
          </w:tcPr>
          <w:p w14:paraId="1CAF0ACA">
            <w:pPr>
              <w:pStyle w:val="85"/>
              <w:jc w:val="both"/>
              <w:rPr>
                <w:color w:val="auto"/>
                <w:sz w:val="22"/>
                <w:szCs w:val="22"/>
              </w:rPr>
            </w:pPr>
            <w:r>
              <w:rPr>
                <w:color w:val="auto"/>
                <w:sz w:val="22"/>
                <w:szCs w:val="22"/>
              </w:rPr>
              <w:t>Пишем сочинение-повествование на тему</w:t>
            </w:r>
          </w:p>
        </w:tc>
      </w:tr>
      <w:tr w14:paraId="219246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5AF7731A">
            <w:pPr>
              <w:pStyle w:val="85"/>
              <w:jc w:val="center"/>
              <w:rPr>
                <w:color w:val="auto"/>
                <w:sz w:val="22"/>
                <w:szCs w:val="22"/>
              </w:rPr>
            </w:pPr>
            <w:r>
              <w:rPr>
                <w:color w:val="auto"/>
                <w:sz w:val="22"/>
                <w:szCs w:val="22"/>
              </w:rPr>
              <w:t>Урок 129</w:t>
            </w:r>
          </w:p>
        </w:tc>
        <w:tc>
          <w:tcPr>
            <w:tcW w:w="7937" w:type="dxa"/>
          </w:tcPr>
          <w:p w14:paraId="28D0C73B">
            <w:pPr>
              <w:pStyle w:val="85"/>
              <w:jc w:val="both"/>
              <w:rPr>
                <w:color w:val="auto"/>
                <w:sz w:val="22"/>
                <w:szCs w:val="22"/>
              </w:rPr>
            </w:pPr>
            <w:r>
              <w:rPr>
                <w:color w:val="auto"/>
                <w:sz w:val="22"/>
                <w:szCs w:val="22"/>
              </w:rPr>
              <w:t>Предложения с однородными членами: без союзов, с союзами а, но, с одиночным союзом и</w:t>
            </w:r>
          </w:p>
        </w:tc>
      </w:tr>
      <w:tr w14:paraId="37FCF7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3A99E3F4">
            <w:pPr>
              <w:pStyle w:val="85"/>
              <w:jc w:val="center"/>
              <w:rPr>
                <w:color w:val="auto"/>
                <w:sz w:val="22"/>
                <w:szCs w:val="22"/>
              </w:rPr>
            </w:pPr>
            <w:r>
              <w:rPr>
                <w:color w:val="auto"/>
                <w:sz w:val="22"/>
                <w:szCs w:val="22"/>
              </w:rPr>
              <w:t>Урок 130</w:t>
            </w:r>
          </w:p>
        </w:tc>
        <w:tc>
          <w:tcPr>
            <w:tcW w:w="7937" w:type="dxa"/>
          </w:tcPr>
          <w:p w14:paraId="21CB2A1A">
            <w:pPr>
              <w:pStyle w:val="85"/>
              <w:jc w:val="both"/>
              <w:rPr>
                <w:color w:val="auto"/>
                <w:sz w:val="22"/>
                <w:szCs w:val="22"/>
              </w:rPr>
            </w:pPr>
            <w:r>
              <w:rPr>
                <w:color w:val="auto"/>
                <w:sz w:val="22"/>
                <w:szCs w:val="22"/>
              </w:rPr>
              <w:t>Интонация перечисления в предложениях с однородными членами.</w:t>
            </w:r>
          </w:p>
        </w:tc>
      </w:tr>
      <w:tr w14:paraId="6012C7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73081F71">
            <w:pPr>
              <w:pStyle w:val="85"/>
              <w:jc w:val="center"/>
              <w:rPr>
                <w:color w:val="auto"/>
                <w:sz w:val="22"/>
                <w:szCs w:val="22"/>
              </w:rPr>
            </w:pPr>
            <w:r>
              <w:rPr>
                <w:color w:val="auto"/>
                <w:sz w:val="22"/>
                <w:szCs w:val="22"/>
              </w:rPr>
              <w:t>Урок 131</w:t>
            </w:r>
          </w:p>
        </w:tc>
        <w:tc>
          <w:tcPr>
            <w:tcW w:w="7937" w:type="dxa"/>
          </w:tcPr>
          <w:p w14:paraId="3DC2D941">
            <w:pPr>
              <w:pStyle w:val="85"/>
              <w:jc w:val="both"/>
              <w:rPr>
                <w:color w:val="auto"/>
                <w:sz w:val="22"/>
                <w:szCs w:val="22"/>
              </w:rPr>
            </w:pPr>
            <w:r>
              <w:rPr>
                <w:color w:val="auto"/>
                <w:sz w:val="22"/>
                <w:szCs w:val="22"/>
              </w:rPr>
              <w:t>Знаки препинания в предложениях с однородными членами, соединенными союзами</w:t>
            </w:r>
          </w:p>
        </w:tc>
      </w:tr>
      <w:tr w14:paraId="1BBA15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017A1467">
            <w:pPr>
              <w:pStyle w:val="85"/>
              <w:jc w:val="center"/>
              <w:rPr>
                <w:color w:val="auto"/>
                <w:sz w:val="22"/>
                <w:szCs w:val="22"/>
              </w:rPr>
            </w:pPr>
            <w:r>
              <w:rPr>
                <w:color w:val="auto"/>
                <w:sz w:val="22"/>
                <w:szCs w:val="22"/>
              </w:rPr>
              <w:t>Урок 132</w:t>
            </w:r>
          </w:p>
        </w:tc>
        <w:tc>
          <w:tcPr>
            <w:tcW w:w="7937" w:type="dxa"/>
          </w:tcPr>
          <w:p w14:paraId="47115DCC">
            <w:pPr>
              <w:pStyle w:val="85"/>
              <w:jc w:val="both"/>
              <w:rPr>
                <w:color w:val="auto"/>
                <w:sz w:val="22"/>
                <w:szCs w:val="22"/>
              </w:rPr>
            </w:pPr>
            <w:r>
              <w:rPr>
                <w:color w:val="auto"/>
                <w:sz w:val="22"/>
                <w:szCs w:val="22"/>
              </w:rPr>
              <w:t>Знаки препинания в предложениях с однородными членами, соединенными союзом и</w:t>
            </w:r>
          </w:p>
        </w:tc>
      </w:tr>
      <w:tr w14:paraId="4957EF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25C9E816">
            <w:pPr>
              <w:pStyle w:val="85"/>
              <w:jc w:val="center"/>
              <w:rPr>
                <w:color w:val="auto"/>
                <w:sz w:val="22"/>
                <w:szCs w:val="22"/>
              </w:rPr>
            </w:pPr>
            <w:r>
              <w:rPr>
                <w:color w:val="auto"/>
                <w:sz w:val="22"/>
                <w:szCs w:val="22"/>
              </w:rPr>
              <w:t>Урок 133</w:t>
            </w:r>
          </w:p>
        </w:tc>
        <w:tc>
          <w:tcPr>
            <w:tcW w:w="7937" w:type="dxa"/>
          </w:tcPr>
          <w:p w14:paraId="7329849D">
            <w:pPr>
              <w:pStyle w:val="85"/>
              <w:jc w:val="both"/>
              <w:rPr>
                <w:color w:val="auto"/>
                <w:sz w:val="22"/>
                <w:szCs w:val="22"/>
              </w:rPr>
            </w:pPr>
            <w:r>
              <w:rPr>
                <w:color w:val="auto"/>
                <w:sz w:val="22"/>
                <w:szCs w:val="22"/>
              </w:rPr>
              <w:t>Знаки препинания в предложениях с однородными членами, соединенными союзами и, а, но</w:t>
            </w:r>
          </w:p>
        </w:tc>
      </w:tr>
      <w:tr w14:paraId="13BC88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0B865365">
            <w:pPr>
              <w:pStyle w:val="85"/>
              <w:jc w:val="center"/>
              <w:rPr>
                <w:color w:val="auto"/>
                <w:sz w:val="22"/>
                <w:szCs w:val="22"/>
              </w:rPr>
            </w:pPr>
            <w:r>
              <w:rPr>
                <w:color w:val="auto"/>
                <w:sz w:val="22"/>
                <w:szCs w:val="22"/>
              </w:rPr>
              <w:t>Урок 134</w:t>
            </w:r>
          </w:p>
        </w:tc>
        <w:tc>
          <w:tcPr>
            <w:tcW w:w="7937" w:type="dxa"/>
          </w:tcPr>
          <w:p w14:paraId="69D92A02">
            <w:pPr>
              <w:pStyle w:val="85"/>
              <w:jc w:val="both"/>
              <w:rPr>
                <w:color w:val="auto"/>
                <w:sz w:val="22"/>
                <w:szCs w:val="22"/>
              </w:rPr>
            </w:pPr>
            <w:r>
              <w:rPr>
                <w:color w:val="auto"/>
                <w:sz w:val="22"/>
                <w:szCs w:val="22"/>
              </w:rPr>
              <w:t>Знаки препинания в предложениях с однородными членами без союзов</w:t>
            </w:r>
          </w:p>
        </w:tc>
      </w:tr>
      <w:tr w14:paraId="00347C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6E545923">
            <w:pPr>
              <w:pStyle w:val="85"/>
              <w:jc w:val="center"/>
              <w:rPr>
                <w:color w:val="auto"/>
                <w:sz w:val="22"/>
                <w:szCs w:val="22"/>
              </w:rPr>
            </w:pPr>
            <w:r>
              <w:rPr>
                <w:color w:val="auto"/>
                <w:sz w:val="22"/>
                <w:szCs w:val="22"/>
              </w:rPr>
              <w:t>Урок 135</w:t>
            </w:r>
          </w:p>
        </w:tc>
        <w:tc>
          <w:tcPr>
            <w:tcW w:w="7937" w:type="dxa"/>
          </w:tcPr>
          <w:p w14:paraId="0DE91C9E">
            <w:pPr>
              <w:pStyle w:val="85"/>
              <w:jc w:val="both"/>
              <w:rPr>
                <w:color w:val="auto"/>
                <w:sz w:val="22"/>
                <w:szCs w:val="22"/>
              </w:rPr>
            </w:pPr>
            <w:r>
              <w:rPr>
                <w:color w:val="auto"/>
                <w:sz w:val="22"/>
                <w:szCs w:val="22"/>
              </w:rPr>
              <w:t>Знаки препинания в предложениях с однородными членами, соединенными союзами и, а, но, и без союзов</w:t>
            </w:r>
          </w:p>
        </w:tc>
      </w:tr>
      <w:tr w14:paraId="3911F2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134" w:type="dxa"/>
            <w:vAlign w:val="center"/>
          </w:tcPr>
          <w:p w14:paraId="0D098D4E">
            <w:pPr>
              <w:pStyle w:val="85"/>
              <w:jc w:val="center"/>
              <w:rPr>
                <w:color w:val="auto"/>
                <w:sz w:val="22"/>
                <w:szCs w:val="22"/>
              </w:rPr>
            </w:pPr>
            <w:r>
              <w:rPr>
                <w:color w:val="auto"/>
                <w:sz w:val="22"/>
                <w:szCs w:val="22"/>
              </w:rPr>
              <w:t>Урок 136</w:t>
            </w:r>
          </w:p>
        </w:tc>
        <w:tc>
          <w:tcPr>
            <w:tcW w:w="7937" w:type="dxa"/>
          </w:tcPr>
          <w:p w14:paraId="66AFE02D">
            <w:pPr>
              <w:pStyle w:val="85"/>
              <w:jc w:val="both"/>
              <w:rPr>
                <w:color w:val="auto"/>
                <w:sz w:val="22"/>
                <w:szCs w:val="22"/>
              </w:rPr>
            </w:pPr>
            <w:r>
              <w:rPr>
                <w:color w:val="auto"/>
                <w:sz w:val="22"/>
                <w:szCs w:val="22"/>
              </w:rPr>
              <w:t>Пишем сжатый пересказ текста</w:t>
            </w:r>
          </w:p>
        </w:tc>
      </w:tr>
      <w:tr w14:paraId="3FFC2A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2D32D37F">
            <w:pPr>
              <w:pStyle w:val="85"/>
              <w:jc w:val="center"/>
              <w:rPr>
                <w:color w:val="auto"/>
                <w:sz w:val="22"/>
                <w:szCs w:val="22"/>
              </w:rPr>
            </w:pPr>
            <w:r>
              <w:rPr>
                <w:color w:val="auto"/>
                <w:sz w:val="22"/>
                <w:szCs w:val="22"/>
              </w:rPr>
              <w:t>Урок 137</w:t>
            </w:r>
          </w:p>
        </w:tc>
        <w:tc>
          <w:tcPr>
            <w:tcW w:w="7937" w:type="dxa"/>
          </w:tcPr>
          <w:p w14:paraId="213128FA">
            <w:pPr>
              <w:pStyle w:val="85"/>
              <w:jc w:val="both"/>
              <w:rPr>
                <w:color w:val="auto"/>
                <w:sz w:val="22"/>
                <w:szCs w:val="22"/>
              </w:rPr>
            </w:pPr>
            <w:r>
              <w:rPr>
                <w:color w:val="auto"/>
                <w:sz w:val="22"/>
                <w:szCs w:val="22"/>
              </w:rPr>
              <w:t>Предложение и словосочетание: сходство и различие</w:t>
            </w:r>
          </w:p>
        </w:tc>
      </w:tr>
      <w:tr w14:paraId="22FCDC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4AA722B0">
            <w:pPr>
              <w:pStyle w:val="85"/>
              <w:jc w:val="center"/>
              <w:rPr>
                <w:color w:val="auto"/>
                <w:sz w:val="22"/>
                <w:szCs w:val="22"/>
              </w:rPr>
            </w:pPr>
            <w:r>
              <w:rPr>
                <w:color w:val="auto"/>
                <w:sz w:val="22"/>
                <w:szCs w:val="22"/>
              </w:rPr>
              <w:t>Урок 138</w:t>
            </w:r>
          </w:p>
        </w:tc>
        <w:tc>
          <w:tcPr>
            <w:tcW w:w="7937" w:type="dxa"/>
          </w:tcPr>
          <w:p w14:paraId="52B1E6C2">
            <w:pPr>
              <w:pStyle w:val="85"/>
              <w:jc w:val="both"/>
              <w:rPr>
                <w:color w:val="auto"/>
                <w:sz w:val="22"/>
                <w:szCs w:val="22"/>
              </w:rPr>
            </w:pPr>
            <w:r>
              <w:rPr>
                <w:color w:val="auto"/>
                <w:sz w:val="22"/>
                <w:szCs w:val="22"/>
              </w:rPr>
              <w:t>Словосочетание</w:t>
            </w:r>
          </w:p>
        </w:tc>
      </w:tr>
      <w:tr w14:paraId="5AA01C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4E1E215B">
            <w:pPr>
              <w:pStyle w:val="85"/>
              <w:jc w:val="center"/>
              <w:rPr>
                <w:color w:val="auto"/>
                <w:sz w:val="22"/>
                <w:szCs w:val="22"/>
              </w:rPr>
            </w:pPr>
            <w:r>
              <w:rPr>
                <w:color w:val="auto"/>
                <w:sz w:val="22"/>
                <w:szCs w:val="22"/>
              </w:rPr>
              <w:t>Урок 139</w:t>
            </w:r>
          </w:p>
        </w:tc>
        <w:tc>
          <w:tcPr>
            <w:tcW w:w="7937" w:type="dxa"/>
          </w:tcPr>
          <w:p w14:paraId="6B3A7AAA">
            <w:pPr>
              <w:pStyle w:val="85"/>
              <w:jc w:val="both"/>
              <w:rPr>
                <w:color w:val="auto"/>
                <w:sz w:val="22"/>
                <w:szCs w:val="22"/>
              </w:rPr>
            </w:pPr>
            <w:r>
              <w:rPr>
                <w:color w:val="auto"/>
                <w:sz w:val="22"/>
                <w:szCs w:val="22"/>
              </w:rPr>
              <w:t>Связь слов в словосочетании</w:t>
            </w:r>
          </w:p>
        </w:tc>
      </w:tr>
      <w:tr w14:paraId="71FFFA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65E799B8">
            <w:pPr>
              <w:pStyle w:val="85"/>
              <w:jc w:val="center"/>
              <w:rPr>
                <w:color w:val="auto"/>
                <w:sz w:val="22"/>
                <w:szCs w:val="22"/>
              </w:rPr>
            </w:pPr>
            <w:r>
              <w:rPr>
                <w:color w:val="auto"/>
                <w:sz w:val="22"/>
                <w:szCs w:val="22"/>
              </w:rPr>
              <w:t>Урок 140</w:t>
            </w:r>
          </w:p>
        </w:tc>
        <w:tc>
          <w:tcPr>
            <w:tcW w:w="7937" w:type="dxa"/>
          </w:tcPr>
          <w:p w14:paraId="5A3A9E01">
            <w:pPr>
              <w:pStyle w:val="85"/>
              <w:jc w:val="both"/>
              <w:rPr>
                <w:color w:val="auto"/>
                <w:sz w:val="22"/>
                <w:szCs w:val="22"/>
              </w:rPr>
            </w:pPr>
            <w:r>
              <w:rPr>
                <w:color w:val="auto"/>
                <w:sz w:val="22"/>
                <w:szCs w:val="22"/>
              </w:rPr>
              <w:t>Связь слов в словосочетании: обобщение</w:t>
            </w:r>
          </w:p>
        </w:tc>
      </w:tr>
      <w:tr w14:paraId="4B5BD7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576CFD14">
            <w:pPr>
              <w:pStyle w:val="85"/>
              <w:jc w:val="center"/>
              <w:rPr>
                <w:color w:val="auto"/>
                <w:sz w:val="22"/>
                <w:szCs w:val="22"/>
              </w:rPr>
            </w:pPr>
            <w:r>
              <w:rPr>
                <w:color w:val="auto"/>
                <w:sz w:val="22"/>
                <w:szCs w:val="22"/>
              </w:rPr>
              <w:t>Урок 141</w:t>
            </w:r>
          </w:p>
        </w:tc>
        <w:tc>
          <w:tcPr>
            <w:tcW w:w="7937" w:type="dxa"/>
          </w:tcPr>
          <w:p w14:paraId="30D8A2AA">
            <w:pPr>
              <w:pStyle w:val="85"/>
              <w:jc w:val="both"/>
              <w:rPr>
                <w:color w:val="auto"/>
                <w:sz w:val="22"/>
                <w:szCs w:val="22"/>
              </w:rPr>
            </w:pPr>
            <w:r>
              <w:rPr>
                <w:color w:val="auto"/>
                <w:sz w:val="22"/>
                <w:szCs w:val="22"/>
              </w:rPr>
              <w:t>Простое и сложное предложение</w:t>
            </w:r>
          </w:p>
        </w:tc>
      </w:tr>
      <w:tr w14:paraId="0B0871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4CEFB8D1">
            <w:pPr>
              <w:pStyle w:val="85"/>
              <w:jc w:val="center"/>
              <w:rPr>
                <w:color w:val="auto"/>
                <w:sz w:val="22"/>
                <w:szCs w:val="22"/>
              </w:rPr>
            </w:pPr>
            <w:r>
              <w:rPr>
                <w:color w:val="auto"/>
                <w:sz w:val="22"/>
                <w:szCs w:val="22"/>
              </w:rPr>
              <w:t>Урок 142</w:t>
            </w:r>
          </w:p>
        </w:tc>
        <w:tc>
          <w:tcPr>
            <w:tcW w:w="7937" w:type="dxa"/>
          </w:tcPr>
          <w:p w14:paraId="0BDBB040">
            <w:pPr>
              <w:pStyle w:val="85"/>
              <w:jc w:val="both"/>
              <w:rPr>
                <w:color w:val="auto"/>
                <w:sz w:val="22"/>
                <w:szCs w:val="22"/>
              </w:rPr>
            </w:pPr>
            <w:r>
              <w:rPr>
                <w:color w:val="auto"/>
                <w:sz w:val="22"/>
                <w:szCs w:val="22"/>
              </w:rPr>
              <w:t>Сложные предложения</w:t>
            </w:r>
          </w:p>
        </w:tc>
      </w:tr>
      <w:tr w14:paraId="08425E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134" w:type="dxa"/>
            <w:vAlign w:val="center"/>
          </w:tcPr>
          <w:p w14:paraId="48E7BD22">
            <w:pPr>
              <w:pStyle w:val="85"/>
              <w:jc w:val="center"/>
              <w:rPr>
                <w:color w:val="auto"/>
                <w:sz w:val="22"/>
                <w:szCs w:val="22"/>
              </w:rPr>
            </w:pPr>
            <w:r>
              <w:rPr>
                <w:color w:val="auto"/>
                <w:sz w:val="22"/>
                <w:szCs w:val="22"/>
              </w:rPr>
              <w:t>Урок 143</w:t>
            </w:r>
          </w:p>
        </w:tc>
        <w:tc>
          <w:tcPr>
            <w:tcW w:w="7937" w:type="dxa"/>
          </w:tcPr>
          <w:p w14:paraId="38678E6A">
            <w:pPr>
              <w:pStyle w:val="85"/>
              <w:jc w:val="both"/>
              <w:rPr>
                <w:color w:val="auto"/>
                <w:sz w:val="22"/>
                <w:szCs w:val="22"/>
              </w:rPr>
            </w:pPr>
            <w:r>
              <w:rPr>
                <w:color w:val="auto"/>
                <w:sz w:val="22"/>
                <w:szCs w:val="22"/>
              </w:rPr>
              <w:t>Пишем сочинение-описание на тему</w:t>
            </w:r>
          </w:p>
        </w:tc>
      </w:tr>
      <w:tr w14:paraId="73F400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134" w:type="dxa"/>
            <w:vAlign w:val="center"/>
          </w:tcPr>
          <w:p w14:paraId="7EDCFA55">
            <w:pPr>
              <w:pStyle w:val="85"/>
              <w:jc w:val="center"/>
              <w:rPr>
                <w:color w:val="auto"/>
                <w:sz w:val="22"/>
                <w:szCs w:val="22"/>
              </w:rPr>
            </w:pPr>
            <w:r>
              <w:rPr>
                <w:color w:val="auto"/>
                <w:sz w:val="22"/>
                <w:szCs w:val="22"/>
              </w:rPr>
              <w:t>Урок 144</w:t>
            </w:r>
          </w:p>
        </w:tc>
        <w:tc>
          <w:tcPr>
            <w:tcW w:w="7937" w:type="dxa"/>
          </w:tcPr>
          <w:p w14:paraId="012B5728">
            <w:pPr>
              <w:pStyle w:val="85"/>
              <w:jc w:val="both"/>
              <w:rPr>
                <w:color w:val="auto"/>
                <w:sz w:val="22"/>
                <w:szCs w:val="22"/>
              </w:rPr>
            </w:pPr>
            <w:r>
              <w:rPr>
                <w:color w:val="auto"/>
                <w:sz w:val="22"/>
                <w:szCs w:val="22"/>
              </w:rPr>
              <w:t>Союз как часть речи</w:t>
            </w:r>
          </w:p>
        </w:tc>
      </w:tr>
      <w:tr w14:paraId="3F5D10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3956E63D">
            <w:pPr>
              <w:pStyle w:val="85"/>
              <w:jc w:val="center"/>
              <w:rPr>
                <w:color w:val="auto"/>
                <w:sz w:val="22"/>
                <w:szCs w:val="22"/>
              </w:rPr>
            </w:pPr>
            <w:r>
              <w:rPr>
                <w:color w:val="auto"/>
                <w:sz w:val="22"/>
                <w:szCs w:val="22"/>
              </w:rPr>
              <w:t>Урок 145</w:t>
            </w:r>
          </w:p>
        </w:tc>
        <w:tc>
          <w:tcPr>
            <w:tcW w:w="7937" w:type="dxa"/>
          </w:tcPr>
          <w:p w14:paraId="5425B83A">
            <w:pPr>
              <w:pStyle w:val="85"/>
              <w:jc w:val="both"/>
              <w:rPr>
                <w:color w:val="auto"/>
                <w:sz w:val="22"/>
                <w:szCs w:val="22"/>
              </w:rPr>
            </w:pPr>
            <w:r>
              <w:rPr>
                <w:color w:val="auto"/>
                <w:sz w:val="22"/>
                <w:szCs w:val="22"/>
              </w:rPr>
              <w:t>Союзы и, а, но в простых и сложных предложениях</w:t>
            </w:r>
          </w:p>
        </w:tc>
      </w:tr>
      <w:tr w14:paraId="3C3168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441B7EAE">
            <w:pPr>
              <w:pStyle w:val="85"/>
              <w:jc w:val="center"/>
              <w:rPr>
                <w:color w:val="auto"/>
                <w:sz w:val="22"/>
                <w:szCs w:val="22"/>
              </w:rPr>
            </w:pPr>
            <w:r>
              <w:rPr>
                <w:color w:val="auto"/>
                <w:sz w:val="22"/>
                <w:szCs w:val="22"/>
              </w:rPr>
              <w:t>Урок 146</w:t>
            </w:r>
          </w:p>
        </w:tc>
        <w:tc>
          <w:tcPr>
            <w:tcW w:w="7937" w:type="dxa"/>
          </w:tcPr>
          <w:p w14:paraId="650533DB">
            <w:pPr>
              <w:pStyle w:val="85"/>
              <w:jc w:val="both"/>
              <w:rPr>
                <w:color w:val="auto"/>
                <w:sz w:val="22"/>
                <w:szCs w:val="22"/>
              </w:rPr>
            </w:pPr>
            <w:r>
              <w:rPr>
                <w:color w:val="auto"/>
                <w:sz w:val="22"/>
                <w:szCs w:val="22"/>
              </w:rPr>
              <w:t>Сложные предложения с союзами и, а, но</w:t>
            </w:r>
          </w:p>
        </w:tc>
      </w:tr>
      <w:tr w14:paraId="44A6DD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0CD942E1">
            <w:pPr>
              <w:pStyle w:val="85"/>
              <w:jc w:val="center"/>
              <w:rPr>
                <w:color w:val="auto"/>
                <w:sz w:val="22"/>
                <w:szCs w:val="22"/>
              </w:rPr>
            </w:pPr>
            <w:r>
              <w:rPr>
                <w:color w:val="auto"/>
                <w:sz w:val="22"/>
                <w:szCs w:val="22"/>
              </w:rPr>
              <w:t>Урок 147</w:t>
            </w:r>
          </w:p>
        </w:tc>
        <w:tc>
          <w:tcPr>
            <w:tcW w:w="7937" w:type="dxa"/>
          </w:tcPr>
          <w:p w14:paraId="5BAEF510">
            <w:pPr>
              <w:pStyle w:val="85"/>
              <w:jc w:val="both"/>
              <w:rPr>
                <w:color w:val="auto"/>
                <w:sz w:val="22"/>
                <w:szCs w:val="22"/>
              </w:rPr>
            </w:pPr>
            <w:r>
              <w:rPr>
                <w:color w:val="auto"/>
                <w:sz w:val="22"/>
                <w:szCs w:val="22"/>
              </w:rPr>
              <w:t>Сложные предложения без союзов</w:t>
            </w:r>
          </w:p>
        </w:tc>
      </w:tr>
      <w:tr w14:paraId="1E8508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53B48A52">
            <w:pPr>
              <w:pStyle w:val="85"/>
              <w:jc w:val="center"/>
              <w:rPr>
                <w:color w:val="auto"/>
                <w:sz w:val="22"/>
                <w:szCs w:val="22"/>
              </w:rPr>
            </w:pPr>
            <w:r>
              <w:rPr>
                <w:color w:val="auto"/>
                <w:sz w:val="22"/>
                <w:szCs w:val="22"/>
              </w:rPr>
              <w:t>Урок 148</w:t>
            </w:r>
          </w:p>
        </w:tc>
        <w:tc>
          <w:tcPr>
            <w:tcW w:w="7937" w:type="dxa"/>
          </w:tcPr>
          <w:p w14:paraId="2B7C927E">
            <w:pPr>
              <w:pStyle w:val="85"/>
              <w:jc w:val="both"/>
              <w:rPr>
                <w:color w:val="auto"/>
                <w:sz w:val="22"/>
                <w:szCs w:val="22"/>
              </w:rPr>
            </w:pPr>
            <w:r>
              <w:rPr>
                <w:color w:val="auto"/>
                <w:sz w:val="22"/>
                <w:szCs w:val="22"/>
              </w:rPr>
              <w:t>Наблюдаем за знаками препинания в сложном предложении, состоящем из двух простых</w:t>
            </w:r>
          </w:p>
        </w:tc>
      </w:tr>
      <w:tr w14:paraId="339436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59911101">
            <w:pPr>
              <w:pStyle w:val="85"/>
              <w:jc w:val="center"/>
              <w:rPr>
                <w:color w:val="auto"/>
                <w:sz w:val="22"/>
                <w:szCs w:val="22"/>
              </w:rPr>
            </w:pPr>
            <w:r>
              <w:rPr>
                <w:color w:val="auto"/>
                <w:sz w:val="22"/>
                <w:szCs w:val="22"/>
              </w:rPr>
              <w:t>Урок 149</w:t>
            </w:r>
          </w:p>
        </w:tc>
        <w:tc>
          <w:tcPr>
            <w:tcW w:w="7937" w:type="dxa"/>
          </w:tcPr>
          <w:p w14:paraId="146AEE0D">
            <w:pPr>
              <w:pStyle w:val="85"/>
              <w:jc w:val="both"/>
              <w:rPr>
                <w:color w:val="auto"/>
                <w:sz w:val="22"/>
                <w:szCs w:val="22"/>
              </w:rPr>
            </w:pPr>
            <w:r>
              <w:rPr>
                <w:color w:val="auto"/>
                <w:sz w:val="22"/>
                <w:szCs w:val="22"/>
              </w:rPr>
              <w:t>Пробуем ставить знаки препинания в сложном предложении, состоящем из двух простых</w:t>
            </w:r>
          </w:p>
        </w:tc>
      </w:tr>
      <w:tr w14:paraId="10F6A0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134" w:type="dxa"/>
            <w:vAlign w:val="center"/>
          </w:tcPr>
          <w:p w14:paraId="03D4B287">
            <w:pPr>
              <w:pStyle w:val="85"/>
              <w:jc w:val="center"/>
              <w:rPr>
                <w:color w:val="auto"/>
                <w:sz w:val="22"/>
                <w:szCs w:val="22"/>
              </w:rPr>
            </w:pPr>
            <w:r>
              <w:rPr>
                <w:color w:val="auto"/>
                <w:sz w:val="22"/>
                <w:szCs w:val="22"/>
              </w:rPr>
              <w:t>Урок 150</w:t>
            </w:r>
          </w:p>
        </w:tc>
        <w:tc>
          <w:tcPr>
            <w:tcW w:w="7937" w:type="dxa"/>
          </w:tcPr>
          <w:p w14:paraId="7BA71EA0">
            <w:pPr>
              <w:pStyle w:val="85"/>
              <w:jc w:val="both"/>
              <w:rPr>
                <w:color w:val="auto"/>
                <w:sz w:val="22"/>
                <w:szCs w:val="22"/>
              </w:rPr>
            </w:pPr>
            <w:r>
              <w:rPr>
                <w:color w:val="auto"/>
                <w:sz w:val="22"/>
                <w:szCs w:val="22"/>
              </w:rPr>
              <w:t>Предложения с прямой речью после слов автора</w:t>
            </w:r>
          </w:p>
        </w:tc>
      </w:tr>
      <w:tr w14:paraId="2D7C26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4139F210">
            <w:pPr>
              <w:pStyle w:val="85"/>
              <w:jc w:val="center"/>
              <w:rPr>
                <w:color w:val="auto"/>
                <w:sz w:val="22"/>
                <w:szCs w:val="22"/>
              </w:rPr>
            </w:pPr>
            <w:r>
              <w:rPr>
                <w:color w:val="auto"/>
                <w:sz w:val="22"/>
                <w:szCs w:val="22"/>
              </w:rPr>
              <w:t>Урок 151</w:t>
            </w:r>
          </w:p>
        </w:tc>
        <w:tc>
          <w:tcPr>
            <w:tcW w:w="7937" w:type="dxa"/>
          </w:tcPr>
          <w:p w14:paraId="47A64AC8">
            <w:pPr>
              <w:pStyle w:val="85"/>
              <w:jc w:val="both"/>
              <w:rPr>
                <w:color w:val="auto"/>
                <w:sz w:val="22"/>
                <w:szCs w:val="22"/>
              </w:rPr>
            </w:pPr>
            <w:r>
              <w:rPr>
                <w:color w:val="auto"/>
                <w:sz w:val="22"/>
                <w:szCs w:val="22"/>
              </w:rPr>
              <w:t>Наблюдение за знаками препинания в предложении с прямой речью после слов автора</w:t>
            </w:r>
          </w:p>
        </w:tc>
      </w:tr>
      <w:tr w14:paraId="57C7F4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3E2C897D">
            <w:pPr>
              <w:pStyle w:val="85"/>
              <w:jc w:val="center"/>
              <w:rPr>
                <w:color w:val="auto"/>
                <w:sz w:val="22"/>
                <w:szCs w:val="22"/>
              </w:rPr>
            </w:pPr>
            <w:r>
              <w:rPr>
                <w:color w:val="auto"/>
                <w:sz w:val="22"/>
                <w:szCs w:val="22"/>
              </w:rPr>
              <w:t>Урок 152</w:t>
            </w:r>
          </w:p>
        </w:tc>
        <w:tc>
          <w:tcPr>
            <w:tcW w:w="7937" w:type="dxa"/>
          </w:tcPr>
          <w:p w14:paraId="29A0AF6F">
            <w:pPr>
              <w:pStyle w:val="85"/>
              <w:jc w:val="both"/>
              <w:rPr>
                <w:color w:val="auto"/>
                <w:sz w:val="22"/>
                <w:szCs w:val="22"/>
              </w:rPr>
            </w:pPr>
            <w:r>
              <w:rPr>
                <w:color w:val="auto"/>
                <w:sz w:val="22"/>
                <w:szCs w:val="22"/>
              </w:rPr>
              <w:t>Резервный урок по разделу синтаксис: предложения с обращениями (наблюдение)</w:t>
            </w:r>
          </w:p>
        </w:tc>
      </w:tr>
      <w:tr w14:paraId="20AF7D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538CDF28">
            <w:pPr>
              <w:pStyle w:val="85"/>
              <w:jc w:val="center"/>
              <w:rPr>
                <w:color w:val="auto"/>
                <w:sz w:val="22"/>
                <w:szCs w:val="22"/>
              </w:rPr>
            </w:pPr>
            <w:r>
              <w:rPr>
                <w:color w:val="auto"/>
                <w:sz w:val="22"/>
                <w:szCs w:val="22"/>
              </w:rPr>
              <w:t>Урок 153</w:t>
            </w:r>
          </w:p>
        </w:tc>
        <w:tc>
          <w:tcPr>
            <w:tcW w:w="7937" w:type="dxa"/>
          </w:tcPr>
          <w:p w14:paraId="4A5F0990">
            <w:pPr>
              <w:pStyle w:val="85"/>
              <w:jc w:val="both"/>
              <w:rPr>
                <w:color w:val="auto"/>
                <w:sz w:val="22"/>
                <w:szCs w:val="22"/>
              </w:rPr>
            </w:pPr>
            <w:r>
              <w:rPr>
                <w:color w:val="auto"/>
                <w:sz w:val="22"/>
                <w:szCs w:val="22"/>
              </w:rPr>
              <w:t>Пишем подробный пересказ текста</w:t>
            </w:r>
          </w:p>
        </w:tc>
      </w:tr>
      <w:tr w14:paraId="292EE6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72D60198">
            <w:pPr>
              <w:pStyle w:val="85"/>
              <w:jc w:val="center"/>
              <w:rPr>
                <w:color w:val="auto"/>
                <w:sz w:val="22"/>
                <w:szCs w:val="22"/>
              </w:rPr>
            </w:pPr>
            <w:r>
              <w:rPr>
                <w:color w:val="auto"/>
                <w:sz w:val="22"/>
                <w:szCs w:val="22"/>
              </w:rPr>
              <w:t>Урок 154</w:t>
            </w:r>
          </w:p>
        </w:tc>
        <w:tc>
          <w:tcPr>
            <w:tcW w:w="7937" w:type="dxa"/>
          </w:tcPr>
          <w:p w14:paraId="0EE402B4">
            <w:pPr>
              <w:pStyle w:val="85"/>
              <w:jc w:val="both"/>
              <w:rPr>
                <w:color w:val="auto"/>
                <w:sz w:val="22"/>
                <w:szCs w:val="22"/>
              </w:rPr>
            </w:pPr>
            <w:r>
              <w:rPr>
                <w:color w:val="auto"/>
                <w:sz w:val="22"/>
                <w:szCs w:val="22"/>
              </w:rPr>
              <w:t>Резервный урок по разделу синтаксис: синтаксический анализ предложения</w:t>
            </w:r>
          </w:p>
        </w:tc>
      </w:tr>
      <w:tr w14:paraId="2A15D5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684B33AD">
            <w:pPr>
              <w:pStyle w:val="85"/>
              <w:jc w:val="center"/>
              <w:rPr>
                <w:color w:val="auto"/>
                <w:sz w:val="22"/>
                <w:szCs w:val="22"/>
              </w:rPr>
            </w:pPr>
            <w:r>
              <w:rPr>
                <w:color w:val="auto"/>
                <w:sz w:val="22"/>
                <w:szCs w:val="22"/>
              </w:rPr>
              <w:t>Урок 155</w:t>
            </w:r>
          </w:p>
        </w:tc>
        <w:tc>
          <w:tcPr>
            <w:tcW w:w="7937" w:type="dxa"/>
          </w:tcPr>
          <w:p w14:paraId="2139201D">
            <w:pPr>
              <w:pStyle w:val="85"/>
              <w:jc w:val="both"/>
              <w:rPr>
                <w:color w:val="auto"/>
                <w:sz w:val="22"/>
                <w:szCs w:val="22"/>
              </w:rPr>
            </w:pPr>
            <w:r>
              <w:rPr>
                <w:color w:val="auto"/>
                <w:sz w:val="22"/>
                <w:szCs w:val="22"/>
              </w:rPr>
              <w:t>Резервный урок по разделу орфография: повторение по теме "Чему мы научились на уроках правописания в 4 классе"</w:t>
            </w:r>
          </w:p>
        </w:tc>
      </w:tr>
      <w:tr w14:paraId="636414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7D596D45">
            <w:pPr>
              <w:pStyle w:val="85"/>
              <w:jc w:val="center"/>
              <w:rPr>
                <w:color w:val="auto"/>
                <w:sz w:val="22"/>
                <w:szCs w:val="22"/>
              </w:rPr>
            </w:pPr>
            <w:r>
              <w:rPr>
                <w:color w:val="auto"/>
                <w:sz w:val="22"/>
                <w:szCs w:val="22"/>
              </w:rPr>
              <w:t>Урок 156</w:t>
            </w:r>
          </w:p>
        </w:tc>
        <w:tc>
          <w:tcPr>
            <w:tcW w:w="7937" w:type="dxa"/>
          </w:tcPr>
          <w:p w14:paraId="60611E19">
            <w:pPr>
              <w:pStyle w:val="85"/>
              <w:jc w:val="both"/>
              <w:rPr>
                <w:color w:val="auto"/>
                <w:sz w:val="22"/>
                <w:szCs w:val="22"/>
              </w:rPr>
            </w:pPr>
            <w:r>
              <w:rPr>
                <w:color w:val="auto"/>
                <w:sz w:val="22"/>
                <w:szCs w:val="22"/>
              </w:rPr>
              <w:t>Резервный урок по разделу синтаксис: повторяем все, что узнали о синтаксисе</w:t>
            </w:r>
          </w:p>
        </w:tc>
      </w:tr>
      <w:tr w14:paraId="6DC124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31FA901F">
            <w:pPr>
              <w:pStyle w:val="85"/>
              <w:jc w:val="center"/>
              <w:rPr>
                <w:color w:val="auto"/>
                <w:sz w:val="22"/>
                <w:szCs w:val="22"/>
              </w:rPr>
            </w:pPr>
            <w:r>
              <w:rPr>
                <w:color w:val="auto"/>
                <w:sz w:val="22"/>
                <w:szCs w:val="22"/>
              </w:rPr>
              <w:t>Урок 157</w:t>
            </w:r>
          </w:p>
        </w:tc>
        <w:tc>
          <w:tcPr>
            <w:tcW w:w="7937" w:type="dxa"/>
          </w:tcPr>
          <w:p w14:paraId="65FD12A9">
            <w:pPr>
              <w:pStyle w:val="85"/>
              <w:jc w:val="both"/>
              <w:rPr>
                <w:color w:val="auto"/>
                <w:sz w:val="22"/>
                <w:szCs w:val="22"/>
              </w:rPr>
            </w:pPr>
            <w:r>
              <w:rPr>
                <w:color w:val="auto"/>
                <w:sz w:val="22"/>
                <w:szCs w:val="22"/>
              </w:rPr>
              <w:t>Отработка орфограмм, вызывающих трудности</w:t>
            </w:r>
          </w:p>
        </w:tc>
      </w:tr>
      <w:tr w14:paraId="083B5F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730AA411">
            <w:pPr>
              <w:pStyle w:val="85"/>
              <w:jc w:val="center"/>
              <w:rPr>
                <w:color w:val="auto"/>
                <w:sz w:val="22"/>
                <w:szCs w:val="22"/>
              </w:rPr>
            </w:pPr>
            <w:r>
              <w:rPr>
                <w:color w:val="auto"/>
                <w:sz w:val="22"/>
                <w:szCs w:val="22"/>
              </w:rPr>
              <w:t>Урок 158</w:t>
            </w:r>
          </w:p>
        </w:tc>
        <w:tc>
          <w:tcPr>
            <w:tcW w:w="7937" w:type="dxa"/>
          </w:tcPr>
          <w:p w14:paraId="4A4319DE">
            <w:pPr>
              <w:pStyle w:val="85"/>
              <w:jc w:val="both"/>
              <w:rPr>
                <w:color w:val="auto"/>
                <w:sz w:val="22"/>
                <w:szCs w:val="22"/>
              </w:rPr>
            </w:pPr>
            <w:r>
              <w:rPr>
                <w:color w:val="auto"/>
                <w:sz w:val="22"/>
                <w:szCs w:val="22"/>
              </w:rPr>
              <w:t>Резервный урок по разделу орфография: отработка орфограмм, вызывающих трудности</w:t>
            </w:r>
          </w:p>
        </w:tc>
      </w:tr>
      <w:tr w14:paraId="598E0B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0D338F9E">
            <w:pPr>
              <w:pStyle w:val="85"/>
              <w:jc w:val="center"/>
              <w:rPr>
                <w:color w:val="auto"/>
                <w:sz w:val="22"/>
                <w:szCs w:val="22"/>
              </w:rPr>
            </w:pPr>
            <w:r>
              <w:rPr>
                <w:color w:val="auto"/>
                <w:sz w:val="22"/>
                <w:szCs w:val="22"/>
              </w:rPr>
              <w:t>Урок 159</w:t>
            </w:r>
          </w:p>
        </w:tc>
        <w:tc>
          <w:tcPr>
            <w:tcW w:w="7937" w:type="dxa"/>
          </w:tcPr>
          <w:p w14:paraId="4EE1A166">
            <w:pPr>
              <w:pStyle w:val="85"/>
              <w:jc w:val="both"/>
              <w:rPr>
                <w:color w:val="auto"/>
                <w:sz w:val="22"/>
                <w:szCs w:val="22"/>
              </w:rPr>
            </w:pPr>
            <w:r>
              <w:rPr>
                <w:color w:val="auto"/>
                <w:sz w:val="22"/>
                <w:szCs w:val="22"/>
              </w:rPr>
              <w:t>Повторяем лексику: наблюдаем за использованием в речи синонимов и антонимов</w:t>
            </w:r>
          </w:p>
        </w:tc>
      </w:tr>
      <w:tr w14:paraId="1B288C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0F5A1E22">
            <w:pPr>
              <w:pStyle w:val="85"/>
              <w:jc w:val="center"/>
              <w:rPr>
                <w:color w:val="auto"/>
                <w:sz w:val="22"/>
                <w:szCs w:val="22"/>
              </w:rPr>
            </w:pPr>
            <w:r>
              <w:rPr>
                <w:color w:val="auto"/>
                <w:sz w:val="22"/>
                <w:szCs w:val="22"/>
              </w:rPr>
              <w:t>Урок 160</w:t>
            </w:r>
          </w:p>
        </w:tc>
        <w:tc>
          <w:tcPr>
            <w:tcW w:w="7937" w:type="dxa"/>
          </w:tcPr>
          <w:p w14:paraId="58614174">
            <w:pPr>
              <w:pStyle w:val="85"/>
              <w:jc w:val="both"/>
              <w:rPr>
                <w:color w:val="auto"/>
                <w:sz w:val="22"/>
                <w:szCs w:val="22"/>
              </w:rPr>
            </w:pPr>
            <w:r>
              <w:rPr>
                <w:color w:val="auto"/>
                <w:sz w:val="22"/>
                <w:szCs w:val="22"/>
              </w:rPr>
              <w:t>Повторяем лексику: наблюдаем за использованием в речи устаревших слов</w:t>
            </w:r>
          </w:p>
        </w:tc>
      </w:tr>
      <w:tr w14:paraId="7BC930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00D222F1">
            <w:pPr>
              <w:pStyle w:val="85"/>
              <w:jc w:val="center"/>
              <w:rPr>
                <w:color w:val="auto"/>
                <w:sz w:val="22"/>
                <w:szCs w:val="22"/>
              </w:rPr>
            </w:pPr>
            <w:r>
              <w:rPr>
                <w:color w:val="auto"/>
                <w:sz w:val="22"/>
                <w:szCs w:val="22"/>
              </w:rPr>
              <w:t>Урок 161</w:t>
            </w:r>
          </w:p>
        </w:tc>
        <w:tc>
          <w:tcPr>
            <w:tcW w:w="7937" w:type="dxa"/>
          </w:tcPr>
          <w:p w14:paraId="67915BD5">
            <w:pPr>
              <w:pStyle w:val="85"/>
              <w:jc w:val="both"/>
              <w:rPr>
                <w:color w:val="auto"/>
                <w:sz w:val="22"/>
                <w:szCs w:val="22"/>
              </w:rPr>
            </w:pPr>
            <w:r>
              <w:rPr>
                <w:color w:val="auto"/>
                <w:sz w:val="22"/>
                <w:szCs w:val="22"/>
              </w:rPr>
              <w:t>Наблюдаем за использованием в речи фразеологизмов</w:t>
            </w:r>
          </w:p>
        </w:tc>
      </w:tr>
      <w:tr w14:paraId="7CF7CC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43CC216C">
            <w:pPr>
              <w:pStyle w:val="85"/>
              <w:jc w:val="center"/>
              <w:rPr>
                <w:color w:val="auto"/>
                <w:sz w:val="22"/>
                <w:szCs w:val="22"/>
              </w:rPr>
            </w:pPr>
            <w:r>
              <w:rPr>
                <w:color w:val="auto"/>
                <w:sz w:val="22"/>
                <w:szCs w:val="22"/>
              </w:rPr>
              <w:t>Урок 162</w:t>
            </w:r>
          </w:p>
        </w:tc>
        <w:tc>
          <w:tcPr>
            <w:tcW w:w="7937" w:type="dxa"/>
          </w:tcPr>
          <w:p w14:paraId="777FA3DA">
            <w:pPr>
              <w:pStyle w:val="85"/>
              <w:jc w:val="both"/>
              <w:rPr>
                <w:color w:val="auto"/>
                <w:sz w:val="22"/>
                <w:szCs w:val="22"/>
              </w:rPr>
            </w:pPr>
            <w:r>
              <w:rPr>
                <w:color w:val="auto"/>
                <w:sz w:val="22"/>
                <w:szCs w:val="22"/>
              </w:rPr>
              <w:t>Учимся понимать фразеологизмы</w:t>
            </w:r>
          </w:p>
        </w:tc>
      </w:tr>
      <w:tr w14:paraId="6426B9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134" w:type="dxa"/>
            <w:vAlign w:val="center"/>
          </w:tcPr>
          <w:p w14:paraId="5C9CDDDC">
            <w:pPr>
              <w:pStyle w:val="85"/>
              <w:jc w:val="center"/>
              <w:rPr>
                <w:color w:val="auto"/>
                <w:sz w:val="22"/>
                <w:szCs w:val="22"/>
              </w:rPr>
            </w:pPr>
            <w:r>
              <w:rPr>
                <w:color w:val="auto"/>
                <w:sz w:val="22"/>
                <w:szCs w:val="22"/>
              </w:rPr>
              <w:t>Урок 163</w:t>
            </w:r>
          </w:p>
        </w:tc>
        <w:tc>
          <w:tcPr>
            <w:tcW w:w="7937" w:type="dxa"/>
          </w:tcPr>
          <w:p w14:paraId="7CA82BB2">
            <w:pPr>
              <w:pStyle w:val="85"/>
              <w:jc w:val="both"/>
              <w:rPr>
                <w:color w:val="auto"/>
                <w:sz w:val="22"/>
                <w:szCs w:val="22"/>
              </w:rPr>
            </w:pPr>
            <w:r>
              <w:rPr>
                <w:color w:val="auto"/>
                <w:sz w:val="22"/>
                <w:szCs w:val="22"/>
              </w:rPr>
              <w:t>Учимся использовать фразеологизмы</w:t>
            </w:r>
          </w:p>
        </w:tc>
      </w:tr>
      <w:tr w14:paraId="67C31A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0F4DEEB0">
            <w:pPr>
              <w:pStyle w:val="85"/>
              <w:jc w:val="center"/>
              <w:rPr>
                <w:color w:val="auto"/>
                <w:sz w:val="22"/>
                <w:szCs w:val="22"/>
              </w:rPr>
            </w:pPr>
            <w:r>
              <w:rPr>
                <w:color w:val="auto"/>
                <w:sz w:val="22"/>
                <w:szCs w:val="22"/>
              </w:rPr>
              <w:t>Урок 164</w:t>
            </w:r>
          </w:p>
        </w:tc>
        <w:tc>
          <w:tcPr>
            <w:tcW w:w="7937" w:type="dxa"/>
          </w:tcPr>
          <w:p w14:paraId="212B73BD">
            <w:pPr>
              <w:pStyle w:val="85"/>
              <w:jc w:val="both"/>
              <w:rPr>
                <w:color w:val="auto"/>
                <w:sz w:val="22"/>
                <w:szCs w:val="22"/>
              </w:rPr>
            </w:pPr>
            <w:r>
              <w:rPr>
                <w:color w:val="auto"/>
                <w:sz w:val="22"/>
                <w:szCs w:val="22"/>
              </w:rPr>
              <w:t>Нормы речевого этикета</w:t>
            </w:r>
          </w:p>
        </w:tc>
      </w:tr>
      <w:tr w14:paraId="56D3FE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4F58C62D">
            <w:pPr>
              <w:pStyle w:val="85"/>
              <w:jc w:val="center"/>
              <w:rPr>
                <w:color w:val="auto"/>
                <w:sz w:val="22"/>
                <w:szCs w:val="22"/>
              </w:rPr>
            </w:pPr>
            <w:r>
              <w:rPr>
                <w:color w:val="auto"/>
                <w:sz w:val="22"/>
                <w:szCs w:val="22"/>
              </w:rPr>
              <w:t>Урок 165</w:t>
            </w:r>
          </w:p>
        </w:tc>
        <w:tc>
          <w:tcPr>
            <w:tcW w:w="7937" w:type="dxa"/>
          </w:tcPr>
          <w:p w14:paraId="3D2DD4AC">
            <w:pPr>
              <w:pStyle w:val="85"/>
              <w:jc w:val="both"/>
              <w:rPr>
                <w:color w:val="auto"/>
                <w:sz w:val="22"/>
                <w:szCs w:val="22"/>
              </w:rPr>
            </w:pPr>
            <w:r>
              <w:rPr>
                <w:color w:val="auto"/>
                <w:sz w:val="22"/>
                <w:szCs w:val="22"/>
              </w:rPr>
              <w:t>Можно ли по-разному читать один и тот же текст?</w:t>
            </w:r>
          </w:p>
        </w:tc>
      </w:tr>
      <w:tr w14:paraId="31F253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134" w:type="dxa"/>
            <w:vAlign w:val="center"/>
          </w:tcPr>
          <w:p w14:paraId="6B1356A6">
            <w:pPr>
              <w:pStyle w:val="85"/>
              <w:jc w:val="center"/>
              <w:rPr>
                <w:color w:val="auto"/>
                <w:sz w:val="22"/>
                <w:szCs w:val="22"/>
              </w:rPr>
            </w:pPr>
            <w:r>
              <w:rPr>
                <w:color w:val="auto"/>
                <w:sz w:val="22"/>
                <w:szCs w:val="22"/>
              </w:rPr>
              <w:t>Урок 166</w:t>
            </w:r>
          </w:p>
        </w:tc>
        <w:tc>
          <w:tcPr>
            <w:tcW w:w="7937" w:type="dxa"/>
          </w:tcPr>
          <w:p w14:paraId="182DC4AA">
            <w:pPr>
              <w:pStyle w:val="85"/>
              <w:jc w:val="both"/>
              <w:rPr>
                <w:color w:val="auto"/>
                <w:sz w:val="22"/>
                <w:szCs w:val="22"/>
              </w:rPr>
            </w:pPr>
            <w:r>
              <w:rPr>
                <w:color w:val="auto"/>
                <w:sz w:val="22"/>
                <w:szCs w:val="22"/>
              </w:rPr>
              <w:t>Чем изучающее чтение отличается от ознакомительного чтения</w:t>
            </w:r>
          </w:p>
        </w:tc>
      </w:tr>
      <w:tr w14:paraId="25E5C2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2BF73B78">
            <w:pPr>
              <w:pStyle w:val="85"/>
              <w:jc w:val="center"/>
              <w:rPr>
                <w:color w:val="auto"/>
                <w:sz w:val="22"/>
                <w:szCs w:val="22"/>
              </w:rPr>
            </w:pPr>
            <w:r>
              <w:rPr>
                <w:color w:val="auto"/>
                <w:sz w:val="22"/>
                <w:szCs w:val="22"/>
              </w:rPr>
              <w:t>Урок 167</w:t>
            </w:r>
          </w:p>
        </w:tc>
        <w:tc>
          <w:tcPr>
            <w:tcW w:w="7937" w:type="dxa"/>
          </w:tcPr>
          <w:p w14:paraId="37BC4C5C">
            <w:pPr>
              <w:pStyle w:val="85"/>
              <w:jc w:val="both"/>
              <w:rPr>
                <w:color w:val="auto"/>
                <w:sz w:val="22"/>
                <w:szCs w:val="22"/>
              </w:rPr>
            </w:pPr>
            <w:r>
              <w:rPr>
                <w:color w:val="auto"/>
                <w:sz w:val="22"/>
                <w:szCs w:val="22"/>
              </w:rPr>
              <w:t>Пишем сочинение-рассуждение на тему</w:t>
            </w:r>
          </w:p>
        </w:tc>
      </w:tr>
      <w:tr w14:paraId="794FA1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27DE5013">
            <w:pPr>
              <w:pStyle w:val="85"/>
              <w:jc w:val="center"/>
              <w:rPr>
                <w:color w:val="auto"/>
                <w:sz w:val="22"/>
                <w:szCs w:val="22"/>
              </w:rPr>
            </w:pPr>
            <w:r>
              <w:rPr>
                <w:color w:val="auto"/>
                <w:sz w:val="22"/>
                <w:szCs w:val="22"/>
              </w:rPr>
              <w:t>Урок 168</w:t>
            </w:r>
          </w:p>
        </w:tc>
        <w:tc>
          <w:tcPr>
            <w:tcW w:w="7937" w:type="dxa"/>
          </w:tcPr>
          <w:p w14:paraId="7C2AE8F9">
            <w:pPr>
              <w:pStyle w:val="85"/>
              <w:jc w:val="both"/>
              <w:rPr>
                <w:color w:val="auto"/>
                <w:sz w:val="22"/>
                <w:szCs w:val="22"/>
              </w:rPr>
            </w:pPr>
            <w:r>
              <w:rPr>
                <w:color w:val="auto"/>
                <w:sz w:val="22"/>
                <w:szCs w:val="22"/>
              </w:rPr>
              <w:t>Резервный урок по разделу развитие речи: работаем с текстами</w:t>
            </w:r>
          </w:p>
        </w:tc>
      </w:tr>
      <w:tr w14:paraId="534519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348BB648">
            <w:pPr>
              <w:pStyle w:val="85"/>
              <w:jc w:val="center"/>
              <w:rPr>
                <w:color w:val="auto"/>
                <w:sz w:val="22"/>
                <w:szCs w:val="22"/>
              </w:rPr>
            </w:pPr>
            <w:r>
              <w:rPr>
                <w:color w:val="auto"/>
                <w:sz w:val="22"/>
                <w:szCs w:val="22"/>
              </w:rPr>
              <w:t>Урок 169</w:t>
            </w:r>
          </w:p>
        </w:tc>
        <w:tc>
          <w:tcPr>
            <w:tcW w:w="7937" w:type="dxa"/>
          </w:tcPr>
          <w:p w14:paraId="08C75729">
            <w:pPr>
              <w:pStyle w:val="85"/>
              <w:jc w:val="both"/>
              <w:rPr>
                <w:color w:val="auto"/>
                <w:sz w:val="22"/>
                <w:szCs w:val="22"/>
              </w:rPr>
            </w:pPr>
            <w:r>
              <w:rPr>
                <w:color w:val="auto"/>
                <w:sz w:val="22"/>
                <w:szCs w:val="22"/>
              </w:rPr>
              <w:t>Резервный урок по разделу развитие речи: работаем с текстами</w:t>
            </w:r>
          </w:p>
        </w:tc>
      </w:tr>
      <w:tr w14:paraId="111493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26B96330">
            <w:pPr>
              <w:pStyle w:val="85"/>
              <w:jc w:val="center"/>
              <w:rPr>
                <w:color w:val="auto"/>
                <w:sz w:val="22"/>
                <w:szCs w:val="22"/>
              </w:rPr>
            </w:pPr>
            <w:r>
              <w:rPr>
                <w:color w:val="auto"/>
                <w:sz w:val="22"/>
                <w:szCs w:val="22"/>
              </w:rPr>
              <w:t>Урок 170</w:t>
            </w:r>
          </w:p>
        </w:tc>
        <w:tc>
          <w:tcPr>
            <w:tcW w:w="7937" w:type="dxa"/>
          </w:tcPr>
          <w:p w14:paraId="00229F8A">
            <w:pPr>
              <w:pStyle w:val="85"/>
              <w:jc w:val="both"/>
              <w:rPr>
                <w:color w:val="auto"/>
                <w:sz w:val="22"/>
                <w:szCs w:val="22"/>
              </w:rPr>
            </w:pPr>
            <w:r>
              <w:rPr>
                <w:color w:val="auto"/>
                <w:sz w:val="22"/>
                <w:szCs w:val="22"/>
              </w:rPr>
              <w:t>Резервный урок: повторение по разделу развитие речи</w:t>
            </w:r>
          </w:p>
        </w:tc>
      </w:tr>
      <w:tr w14:paraId="0AFECB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9071" w:type="dxa"/>
            <w:gridSpan w:val="2"/>
          </w:tcPr>
          <w:p w14:paraId="573C4B2E">
            <w:pPr>
              <w:pStyle w:val="85"/>
              <w:jc w:val="both"/>
              <w:rPr>
                <w:color w:val="auto"/>
                <w:sz w:val="22"/>
                <w:szCs w:val="22"/>
              </w:rPr>
            </w:pPr>
            <w:r>
              <w:rPr>
                <w:color w:val="auto"/>
                <w:sz w:val="22"/>
                <w:szCs w:val="22"/>
              </w:rPr>
              <w:t>ОБЩЕЕ КОЛИЧЕСТВО УРОКОВ ПО ПРОГРАММЕ: 170, из них уроков, отведенных на контрольные работы (в том числе Всероссийские проверочные работы), - не более 17</w:t>
            </w:r>
          </w:p>
        </w:tc>
      </w:tr>
    </w:tbl>
    <w:p w14:paraId="2777B464">
      <w:pPr>
        <w:pStyle w:val="85"/>
        <w:jc w:val="both"/>
        <w:rPr>
          <w:color w:val="auto"/>
          <w:sz w:val="22"/>
          <w:szCs w:val="22"/>
        </w:rPr>
      </w:pPr>
    </w:p>
    <w:p w14:paraId="0FC12B36">
      <w:pPr>
        <w:pStyle w:val="85"/>
        <w:ind w:firstLine="540"/>
        <w:jc w:val="both"/>
        <w:rPr>
          <w:color w:val="auto"/>
          <w:sz w:val="22"/>
          <w:szCs w:val="22"/>
        </w:rPr>
      </w:pPr>
      <w:r>
        <w:rPr>
          <w:color w:val="auto"/>
          <w:sz w:val="22"/>
          <w:szCs w:val="22"/>
        </w:rPr>
        <w:t>20.12. В федеральных и региональных процедурах оценки качества образования используется перечень (кодификатор) распределенных по классам проверяемых требований к результатам освоения основной образовательной программы начального общего образования и элементов содержания по русскому языку.</w:t>
      </w:r>
    </w:p>
    <w:p w14:paraId="0E753270">
      <w:pPr>
        <w:pStyle w:val="85"/>
        <w:jc w:val="both"/>
        <w:rPr>
          <w:color w:val="auto"/>
          <w:sz w:val="22"/>
          <w:szCs w:val="22"/>
        </w:rPr>
      </w:pPr>
    </w:p>
    <w:p w14:paraId="57483ACC">
      <w:pPr>
        <w:pStyle w:val="85"/>
        <w:jc w:val="right"/>
        <w:rPr>
          <w:color w:val="auto"/>
          <w:sz w:val="22"/>
          <w:szCs w:val="22"/>
        </w:rPr>
      </w:pPr>
      <w:r>
        <w:rPr>
          <w:color w:val="auto"/>
          <w:sz w:val="22"/>
          <w:szCs w:val="22"/>
        </w:rPr>
        <w:t>Таблица 3</w:t>
      </w:r>
    </w:p>
    <w:p w14:paraId="4A8BE99B">
      <w:pPr>
        <w:pStyle w:val="85"/>
        <w:jc w:val="both"/>
        <w:rPr>
          <w:color w:val="auto"/>
          <w:sz w:val="22"/>
          <w:szCs w:val="22"/>
        </w:rPr>
      </w:pPr>
    </w:p>
    <w:p w14:paraId="67F42F61">
      <w:pPr>
        <w:pStyle w:val="85"/>
        <w:jc w:val="center"/>
        <w:rPr>
          <w:color w:val="auto"/>
          <w:sz w:val="22"/>
          <w:szCs w:val="22"/>
        </w:rPr>
      </w:pPr>
      <w:r>
        <w:rPr>
          <w:color w:val="auto"/>
          <w:sz w:val="22"/>
          <w:szCs w:val="22"/>
        </w:rPr>
        <w:t>Проверяемые требования к результатам освоения основной</w:t>
      </w:r>
    </w:p>
    <w:p w14:paraId="394E08BD">
      <w:pPr>
        <w:pStyle w:val="85"/>
        <w:jc w:val="center"/>
        <w:rPr>
          <w:color w:val="auto"/>
          <w:sz w:val="22"/>
          <w:szCs w:val="22"/>
        </w:rPr>
      </w:pPr>
      <w:r>
        <w:rPr>
          <w:color w:val="auto"/>
          <w:sz w:val="22"/>
          <w:szCs w:val="22"/>
        </w:rPr>
        <w:t>образовательной программы (1 класс)</w:t>
      </w:r>
    </w:p>
    <w:p w14:paraId="61C9AA99">
      <w:pPr>
        <w:pStyle w:val="85"/>
        <w:jc w:val="both"/>
        <w:rPr>
          <w:color w:val="auto"/>
          <w:sz w:val="22"/>
          <w:szCs w:val="22"/>
        </w:rPr>
      </w:pPr>
    </w:p>
    <w:tbl>
      <w:tblPr>
        <w:tblStyle w:val="1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02" w:type="dxa"/>
          <w:left w:w="62" w:type="dxa"/>
          <w:bottom w:w="102" w:type="dxa"/>
          <w:right w:w="62" w:type="dxa"/>
        </w:tblCellMar>
      </w:tblPr>
      <w:tblGrid>
        <w:gridCol w:w="1701"/>
        <w:gridCol w:w="7370"/>
      </w:tblGrid>
      <w:tr w14:paraId="46D8DA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701" w:type="dxa"/>
          </w:tcPr>
          <w:p w14:paraId="363D0B3D">
            <w:pPr>
              <w:pStyle w:val="85"/>
              <w:jc w:val="center"/>
              <w:rPr>
                <w:color w:val="auto"/>
                <w:sz w:val="22"/>
                <w:szCs w:val="22"/>
              </w:rPr>
            </w:pPr>
            <w:r>
              <w:rPr>
                <w:color w:val="auto"/>
                <w:sz w:val="22"/>
                <w:szCs w:val="22"/>
              </w:rPr>
              <w:t>Код проверяемого результата</w:t>
            </w:r>
          </w:p>
        </w:tc>
        <w:tc>
          <w:tcPr>
            <w:tcW w:w="7370" w:type="dxa"/>
          </w:tcPr>
          <w:p w14:paraId="58B34245">
            <w:pPr>
              <w:pStyle w:val="85"/>
              <w:jc w:val="center"/>
              <w:rPr>
                <w:color w:val="auto"/>
                <w:sz w:val="22"/>
                <w:szCs w:val="22"/>
              </w:rPr>
            </w:pPr>
            <w:r>
              <w:rPr>
                <w:color w:val="auto"/>
                <w:sz w:val="22"/>
                <w:szCs w:val="22"/>
              </w:rPr>
              <w:t>Проверяемые предметные результаты освоения основной образовательной программы начального общего образования</w:t>
            </w:r>
          </w:p>
        </w:tc>
      </w:tr>
      <w:tr w14:paraId="6137EF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701" w:type="dxa"/>
          </w:tcPr>
          <w:p w14:paraId="642A56A3">
            <w:pPr>
              <w:pStyle w:val="85"/>
              <w:jc w:val="center"/>
              <w:rPr>
                <w:color w:val="auto"/>
                <w:sz w:val="22"/>
                <w:szCs w:val="22"/>
              </w:rPr>
            </w:pPr>
            <w:r>
              <w:rPr>
                <w:color w:val="auto"/>
                <w:sz w:val="22"/>
                <w:szCs w:val="22"/>
              </w:rPr>
              <w:t>1</w:t>
            </w:r>
          </w:p>
        </w:tc>
        <w:tc>
          <w:tcPr>
            <w:tcW w:w="7370" w:type="dxa"/>
          </w:tcPr>
          <w:p w14:paraId="332BF195">
            <w:pPr>
              <w:pStyle w:val="85"/>
              <w:jc w:val="both"/>
              <w:rPr>
                <w:color w:val="auto"/>
                <w:sz w:val="22"/>
                <w:szCs w:val="22"/>
              </w:rPr>
            </w:pPr>
            <w:r>
              <w:rPr>
                <w:color w:val="auto"/>
                <w:sz w:val="22"/>
                <w:szCs w:val="22"/>
              </w:rPr>
              <w:t>Фонетика. Орфоэпия</w:t>
            </w:r>
          </w:p>
        </w:tc>
      </w:tr>
      <w:tr w14:paraId="716D06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701" w:type="dxa"/>
          </w:tcPr>
          <w:p w14:paraId="59E7838E">
            <w:pPr>
              <w:pStyle w:val="85"/>
              <w:jc w:val="center"/>
              <w:rPr>
                <w:color w:val="auto"/>
                <w:sz w:val="22"/>
                <w:szCs w:val="22"/>
              </w:rPr>
            </w:pPr>
            <w:r>
              <w:rPr>
                <w:color w:val="auto"/>
                <w:sz w:val="22"/>
                <w:szCs w:val="22"/>
              </w:rPr>
              <w:t>1.1</w:t>
            </w:r>
          </w:p>
        </w:tc>
        <w:tc>
          <w:tcPr>
            <w:tcW w:w="7370" w:type="dxa"/>
          </w:tcPr>
          <w:p w14:paraId="2BCF424C">
            <w:pPr>
              <w:pStyle w:val="85"/>
              <w:jc w:val="both"/>
              <w:rPr>
                <w:color w:val="auto"/>
                <w:sz w:val="22"/>
                <w:szCs w:val="22"/>
              </w:rPr>
            </w:pPr>
            <w:r>
              <w:rPr>
                <w:color w:val="auto"/>
                <w:sz w:val="22"/>
                <w:szCs w:val="22"/>
              </w:rPr>
              <w:t>Выделять звуки из слова</w:t>
            </w:r>
          </w:p>
        </w:tc>
      </w:tr>
      <w:tr w14:paraId="0A01D2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701" w:type="dxa"/>
          </w:tcPr>
          <w:p w14:paraId="5FC4EC6C">
            <w:pPr>
              <w:pStyle w:val="85"/>
              <w:jc w:val="center"/>
              <w:rPr>
                <w:color w:val="auto"/>
                <w:sz w:val="22"/>
                <w:szCs w:val="22"/>
              </w:rPr>
            </w:pPr>
            <w:r>
              <w:rPr>
                <w:color w:val="auto"/>
                <w:sz w:val="22"/>
                <w:szCs w:val="22"/>
              </w:rPr>
              <w:t>1.2</w:t>
            </w:r>
          </w:p>
        </w:tc>
        <w:tc>
          <w:tcPr>
            <w:tcW w:w="7370" w:type="dxa"/>
          </w:tcPr>
          <w:p w14:paraId="2832CAA1">
            <w:pPr>
              <w:pStyle w:val="85"/>
              <w:jc w:val="both"/>
              <w:rPr>
                <w:color w:val="auto"/>
                <w:sz w:val="22"/>
                <w:szCs w:val="22"/>
              </w:rPr>
            </w:pPr>
            <w:r>
              <w:rPr>
                <w:color w:val="auto"/>
                <w:sz w:val="22"/>
                <w:szCs w:val="22"/>
              </w:rPr>
              <w:t>Различать гласные и согласные звуки (в том числе различать в словах согласный звук [й'] и гласный звук [и])</w:t>
            </w:r>
          </w:p>
        </w:tc>
      </w:tr>
      <w:tr w14:paraId="5E74E7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701" w:type="dxa"/>
          </w:tcPr>
          <w:p w14:paraId="2A7F2277">
            <w:pPr>
              <w:pStyle w:val="85"/>
              <w:jc w:val="center"/>
              <w:rPr>
                <w:color w:val="auto"/>
                <w:sz w:val="22"/>
                <w:szCs w:val="22"/>
              </w:rPr>
            </w:pPr>
            <w:r>
              <w:rPr>
                <w:color w:val="auto"/>
                <w:sz w:val="22"/>
                <w:szCs w:val="22"/>
              </w:rPr>
              <w:t>1.3</w:t>
            </w:r>
          </w:p>
        </w:tc>
        <w:tc>
          <w:tcPr>
            <w:tcW w:w="7370" w:type="dxa"/>
          </w:tcPr>
          <w:p w14:paraId="5067B50C">
            <w:pPr>
              <w:pStyle w:val="85"/>
              <w:jc w:val="both"/>
              <w:rPr>
                <w:color w:val="auto"/>
                <w:sz w:val="22"/>
                <w:szCs w:val="22"/>
              </w:rPr>
            </w:pPr>
            <w:r>
              <w:rPr>
                <w:color w:val="auto"/>
                <w:sz w:val="22"/>
                <w:szCs w:val="22"/>
              </w:rPr>
              <w:t>Различать ударные и безударные гласные звуки</w:t>
            </w:r>
          </w:p>
        </w:tc>
      </w:tr>
      <w:tr w14:paraId="78A41F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701" w:type="dxa"/>
          </w:tcPr>
          <w:p w14:paraId="47C30A15">
            <w:pPr>
              <w:pStyle w:val="85"/>
              <w:jc w:val="center"/>
              <w:rPr>
                <w:color w:val="auto"/>
                <w:sz w:val="22"/>
                <w:szCs w:val="22"/>
              </w:rPr>
            </w:pPr>
            <w:r>
              <w:rPr>
                <w:color w:val="auto"/>
                <w:sz w:val="22"/>
                <w:szCs w:val="22"/>
              </w:rPr>
              <w:t>1.4</w:t>
            </w:r>
          </w:p>
        </w:tc>
        <w:tc>
          <w:tcPr>
            <w:tcW w:w="7370" w:type="dxa"/>
          </w:tcPr>
          <w:p w14:paraId="671E0D09">
            <w:pPr>
              <w:pStyle w:val="85"/>
              <w:jc w:val="both"/>
              <w:rPr>
                <w:color w:val="auto"/>
                <w:sz w:val="22"/>
                <w:szCs w:val="22"/>
              </w:rPr>
            </w:pPr>
            <w:r>
              <w:rPr>
                <w:color w:val="auto"/>
                <w:sz w:val="22"/>
                <w:szCs w:val="22"/>
              </w:rPr>
              <w:t>Различать согласные звуки: мягкие и твердые, звонкие и глухие (вне слова и в слове)</w:t>
            </w:r>
          </w:p>
        </w:tc>
      </w:tr>
      <w:tr w14:paraId="6250AD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701" w:type="dxa"/>
          </w:tcPr>
          <w:p w14:paraId="3BFE9884">
            <w:pPr>
              <w:pStyle w:val="85"/>
              <w:jc w:val="center"/>
              <w:rPr>
                <w:color w:val="auto"/>
                <w:sz w:val="22"/>
                <w:szCs w:val="22"/>
              </w:rPr>
            </w:pPr>
            <w:r>
              <w:rPr>
                <w:color w:val="auto"/>
                <w:sz w:val="22"/>
                <w:szCs w:val="22"/>
              </w:rPr>
              <w:t>1.5</w:t>
            </w:r>
          </w:p>
        </w:tc>
        <w:tc>
          <w:tcPr>
            <w:tcW w:w="7370" w:type="dxa"/>
          </w:tcPr>
          <w:p w14:paraId="7A6F94E1">
            <w:pPr>
              <w:pStyle w:val="85"/>
              <w:jc w:val="both"/>
              <w:rPr>
                <w:color w:val="auto"/>
                <w:sz w:val="22"/>
                <w:szCs w:val="22"/>
              </w:rPr>
            </w:pPr>
            <w:r>
              <w:rPr>
                <w:color w:val="auto"/>
                <w:sz w:val="22"/>
                <w:szCs w:val="22"/>
              </w:rPr>
              <w:t>Определять количество слогов в слове; делить слова на слоги (простые случаи: слова без стечения согласных); определять в слове ударный слог</w:t>
            </w:r>
          </w:p>
        </w:tc>
      </w:tr>
      <w:tr w14:paraId="3BCDC4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701" w:type="dxa"/>
          </w:tcPr>
          <w:p w14:paraId="07B9AB6C">
            <w:pPr>
              <w:pStyle w:val="85"/>
              <w:jc w:val="center"/>
              <w:rPr>
                <w:color w:val="auto"/>
                <w:sz w:val="22"/>
                <w:szCs w:val="22"/>
              </w:rPr>
            </w:pPr>
            <w:r>
              <w:rPr>
                <w:color w:val="auto"/>
                <w:sz w:val="22"/>
                <w:szCs w:val="22"/>
              </w:rPr>
              <w:t>1.6</w:t>
            </w:r>
          </w:p>
        </w:tc>
        <w:tc>
          <w:tcPr>
            <w:tcW w:w="7370" w:type="dxa"/>
          </w:tcPr>
          <w:p w14:paraId="5CC23F6B">
            <w:pPr>
              <w:pStyle w:val="85"/>
              <w:jc w:val="both"/>
              <w:rPr>
                <w:color w:val="auto"/>
                <w:sz w:val="22"/>
                <w:szCs w:val="22"/>
              </w:rPr>
            </w:pPr>
            <w:r>
              <w:rPr>
                <w:color w:val="auto"/>
                <w:sz w:val="22"/>
                <w:szCs w:val="22"/>
              </w:rPr>
              <w:t>Использовать изученные понятия в процессе решения учебных задач</w:t>
            </w:r>
          </w:p>
        </w:tc>
      </w:tr>
      <w:tr w14:paraId="1DAF05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701" w:type="dxa"/>
          </w:tcPr>
          <w:p w14:paraId="2710D359">
            <w:pPr>
              <w:pStyle w:val="85"/>
              <w:jc w:val="center"/>
              <w:rPr>
                <w:color w:val="auto"/>
                <w:sz w:val="22"/>
                <w:szCs w:val="22"/>
              </w:rPr>
            </w:pPr>
            <w:r>
              <w:rPr>
                <w:color w:val="auto"/>
                <w:sz w:val="22"/>
                <w:szCs w:val="22"/>
              </w:rPr>
              <w:t>2</w:t>
            </w:r>
          </w:p>
        </w:tc>
        <w:tc>
          <w:tcPr>
            <w:tcW w:w="7370" w:type="dxa"/>
          </w:tcPr>
          <w:p w14:paraId="23EAE347">
            <w:pPr>
              <w:pStyle w:val="85"/>
              <w:jc w:val="both"/>
              <w:rPr>
                <w:color w:val="auto"/>
                <w:sz w:val="22"/>
                <w:szCs w:val="22"/>
              </w:rPr>
            </w:pPr>
            <w:r>
              <w:rPr>
                <w:color w:val="auto"/>
                <w:sz w:val="22"/>
                <w:szCs w:val="22"/>
              </w:rPr>
              <w:t>Графика</w:t>
            </w:r>
          </w:p>
        </w:tc>
      </w:tr>
      <w:tr w14:paraId="3082A5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701" w:type="dxa"/>
          </w:tcPr>
          <w:p w14:paraId="77165928">
            <w:pPr>
              <w:pStyle w:val="85"/>
              <w:jc w:val="center"/>
              <w:rPr>
                <w:color w:val="auto"/>
                <w:sz w:val="22"/>
                <w:szCs w:val="22"/>
              </w:rPr>
            </w:pPr>
            <w:r>
              <w:rPr>
                <w:color w:val="auto"/>
                <w:sz w:val="22"/>
                <w:szCs w:val="22"/>
              </w:rPr>
              <w:t>2.1</w:t>
            </w:r>
          </w:p>
        </w:tc>
        <w:tc>
          <w:tcPr>
            <w:tcW w:w="7370" w:type="dxa"/>
          </w:tcPr>
          <w:p w14:paraId="749D2881">
            <w:pPr>
              <w:pStyle w:val="85"/>
              <w:jc w:val="both"/>
              <w:rPr>
                <w:color w:val="auto"/>
                <w:sz w:val="22"/>
                <w:szCs w:val="22"/>
              </w:rPr>
            </w:pPr>
            <w:r>
              <w:rPr>
                <w:color w:val="auto"/>
                <w:sz w:val="22"/>
                <w:szCs w:val="22"/>
              </w:rPr>
              <w:t>Различать понятия "звук" и "буква"</w:t>
            </w:r>
          </w:p>
        </w:tc>
      </w:tr>
      <w:tr w14:paraId="6B6599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701" w:type="dxa"/>
          </w:tcPr>
          <w:p w14:paraId="0085FEA1">
            <w:pPr>
              <w:pStyle w:val="85"/>
              <w:jc w:val="center"/>
              <w:rPr>
                <w:color w:val="auto"/>
                <w:sz w:val="22"/>
                <w:szCs w:val="22"/>
              </w:rPr>
            </w:pPr>
            <w:r>
              <w:rPr>
                <w:color w:val="auto"/>
                <w:sz w:val="22"/>
                <w:szCs w:val="22"/>
              </w:rPr>
              <w:t>2.2</w:t>
            </w:r>
          </w:p>
        </w:tc>
        <w:tc>
          <w:tcPr>
            <w:tcW w:w="7370" w:type="dxa"/>
          </w:tcPr>
          <w:p w14:paraId="25D58BF7">
            <w:pPr>
              <w:pStyle w:val="85"/>
              <w:jc w:val="both"/>
              <w:rPr>
                <w:color w:val="auto"/>
                <w:sz w:val="22"/>
                <w:szCs w:val="22"/>
              </w:rPr>
            </w:pPr>
            <w:r>
              <w:rPr>
                <w:color w:val="auto"/>
                <w:sz w:val="22"/>
                <w:szCs w:val="22"/>
              </w:rPr>
              <w:t>Обозначать на письме мягкость согласных звуков буквами е, е, ю, я и буквой ь в конце слова</w:t>
            </w:r>
          </w:p>
        </w:tc>
      </w:tr>
      <w:tr w14:paraId="2D9F67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701" w:type="dxa"/>
          </w:tcPr>
          <w:p w14:paraId="48B5149B">
            <w:pPr>
              <w:pStyle w:val="85"/>
              <w:jc w:val="center"/>
              <w:rPr>
                <w:color w:val="auto"/>
                <w:sz w:val="22"/>
                <w:szCs w:val="22"/>
              </w:rPr>
            </w:pPr>
            <w:r>
              <w:rPr>
                <w:color w:val="auto"/>
                <w:sz w:val="22"/>
                <w:szCs w:val="22"/>
              </w:rPr>
              <w:t>2.3</w:t>
            </w:r>
          </w:p>
        </w:tc>
        <w:tc>
          <w:tcPr>
            <w:tcW w:w="7370" w:type="dxa"/>
          </w:tcPr>
          <w:p w14:paraId="6CEF991A">
            <w:pPr>
              <w:pStyle w:val="85"/>
              <w:jc w:val="both"/>
              <w:rPr>
                <w:color w:val="auto"/>
                <w:sz w:val="22"/>
                <w:szCs w:val="22"/>
              </w:rPr>
            </w:pPr>
            <w:r>
              <w:rPr>
                <w:color w:val="auto"/>
                <w:sz w:val="22"/>
                <w:szCs w:val="22"/>
              </w:rPr>
              <w:t>Правильно называть буквы русского алфавита</w:t>
            </w:r>
          </w:p>
        </w:tc>
      </w:tr>
      <w:tr w14:paraId="71944A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701" w:type="dxa"/>
          </w:tcPr>
          <w:p w14:paraId="5FDD5EE9">
            <w:pPr>
              <w:pStyle w:val="85"/>
              <w:jc w:val="center"/>
              <w:rPr>
                <w:color w:val="auto"/>
                <w:sz w:val="22"/>
                <w:szCs w:val="22"/>
              </w:rPr>
            </w:pPr>
            <w:r>
              <w:rPr>
                <w:color w:val="auto"/>
                <w:sz w:val="22"/>
                <w:szCs w:val="22"/>
              </w:rPr>
              <w:t>2.4</w:t>
            </w:r>
          </w:p>
        </w:tc>
        <w:tc>
          <w:tcPr>
            <w:tcW w:w="7370" w:type="dxa"/>
          </w:tcPr>
          <w:p w14:paraId="2A9A3B27">
            <w:pPr>
              <w:pStyle w:val="85"/>
              <w:jc w:val="both"/>
              <w:rPr>
                <w:color w:val="auto"/>
                <w:sz w:val="22"/>
                <w:szCs w:val="22"/>
              </w:rPr>
            </w:pPr>
            <w:r>
              <w:rPr>
                <w:color w:val="auto"/>
                <w:sz w:val="22"/>
                <w:szCs w:val="22"/>
              </w:rPr>
              <w:t>Использовать знание последовательности букв русского алфавита для упорядочения небольшого списка слов</w:t>
            </w:r>
          </w:p>
        </w:tc>
      </w:tr>
      <w:tr w14:paraId="5ED43E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701" w:type="dxa"/>
          </w:tcPr>
          <w:p w14:paraId="6BAB7245">
            <w:pPr>
              <w:pStyle w:val="85"/>
              <w:jc w:val="center"/>
              <w:rPr>
                <w:color w:val="auto"/>
                <w:sz w:val="22"/>
                <w:szCs w:val="22"/>
              </w:rPr>
            </w:pPr>
            <w:r>
              <w:rPr>
                <w:color w:val="auto"/>
                <w:sz w:val="22"/>
                <w:szCs w:val="22"/>
              </w:rPr>
              <w:t>2.5</w:t>
            </w:r>
          </w:p>
        </w:tc>
        <w:tc>
          <w:tcPr>
            <w:tcW w:w="7370" w:type="dxa"/>
          </w:tcPr>
          <w:p w14:paraId="2C5FB7C6">
            <w:pPr>
              <w:pStyle w:val="85"/>
              <w:jc w:val="both"/>
              <w:rPr>
                <w:color w:val="auto"/>
                <w:sz w:val="22"/>
                <w:szCs w:val="22"/>
              </w:rPr>
            </w:pPr>
            <w:r>
              <w:rPr>
                <w:color w:val="auto"/>
                <w:sz w:val="22"/>
                <w:szCs w:val="22"/>
              </w:rPr>
              <w:t>Писать аккуратным разборчивым почерком без искажений заглавные и строчные буквы, соединения букв, слова</w:t>
            </w:r>
          </w:p>
        </w:tc>
      </w:tr>
      <w:tr w14:paraId="135BC8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701" w:type="dxa"/>
          </w:tcPr>
          <w:p w14:paraId="47497B0C">
            <w:pPr>
              <w:pStyle w:val="85"/>
              <w:jc w:val="center"/>
              <w:rPr>
                <w:color w:val="auto"/>
                <w:sz w:val="22"/>
                <w:szCs w:val="22"/>
              </w:rPr>
            </w:pPr>
            <w:r>
              <w:rPr>
                <w:color w:val="auto"/>
                <w:sz w:val="22"/>
                <w:szCs w:val="22"/>
              </w:rPr>
              <w:t>2.6</w:t>
            </w:r>
          </w:p>
        </w:tc>
        <w:tc>
          <w:tcPr>
            <w:tcW w:w="7370" w:type="dxa"/>
          </w:tcPr>
          <w:p w14:paraId="759AD3BC">
            <w:pPr>
              <w:pStyle w:val="85"/>
              <w:jc w:val="both"/>
              <w:rPr>
                <w:color w:val="auto"/>
                <w:sz w:val="22"/>
                <w:szCs w:val="22"/>
              </w:rPr>
            </w:pPr>
            <w:r>
              <w:rPr>
                <w:color w:val="auto"/>
                <w:sz w:val="22"/>
                <w:szCs w:val="22"/>
              </w:rPr>
              <w:t>Использовать изученные понятия в процессе решения учебных задач</w:t>
            </w:r>
          </w:p>
        </w:tc>
      </w:tr>
      <w:tr w14:paraId="660370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701" w:type="dxa"/>
          </w:tcPr>
          <w:p w14:paraId="422AE969">
            <w:pPr>
              <w:pStyle w:val="85"/>
              <w:jc w:val="center"/>
              <w:rPr>
                <w:color w:val="auto"/>
                <w:sz w:val="22"/>
                <w:szCs w:val="22"/>
              </w:rPr>
            </w:pPr>
            <w:r>
              <w:rPr>
                <w:color w:val="auto"/>
                <w:sz w:val="22"/>
                <w:szCs w:val="22"/>
              </w:rPr>
              <w:t>3</w:t>
            </w:r>
          </w:p>
        </w:tc>
        <w:tc>
          <w:tcPr>
            <w:tcW w:w="7370" w:type="dxa"/>
          </w:tcPr>
          <w:p w14:paraId="21BCA3C5">
            <w:pPr>
              <w:pStyle w:val="85"/>
              <w:jc w:val="both"/>
              <w:rPr>
                <w:color w:val="auto"/>
                <w:sz w:val="22"/>
                <w:szCs w:val="22"/>
              </w:rPr>
            </w:pPr>
            <w:r>
              <w:rPr>
                <w:color w:val="auto"/>
                <w:sz w:val="22"/>
                <w:szCs w:val="22"/>
              </w:rPr>
              <w:t>Лексика</w:t>
            </w:r>
          </w:p>
        </w:tc>
      </w:tr>
      <w:tr w14:paraId="6B90B1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701" w:type="dxa"/>
          </w:tcPr>
          <w:p w14:paraId="5FB87572">
            <w:pPr>
              <w:pStyle w:val="85"/>
              <w:jc w:val="center"/>
              <w:rPr>
                <w:color w:val="auto"/>
                <w:sz w:val="22"/>
                <w:szCs w:val="22"/>
              </w:rPr>
            </w:pPr>
            <w:r>
              <w:rPr>
                <w:color w:val="auto"/>
                <w:sz w:val="22"/>
                <w:szCs w:val="22"/>
              </w:rPr>
              <w:t>3.1</w:t>
            </w:r>
          </w:p>
        </w:tc>
        <w:tc>
          <w:tcPr>
            <w:tcW w:w="7370" w:type="dxa"/>
          </w:tcPr>
          <w:p w14:paraId="695119C7">
            <w:pPr>
              <w:pStyle w:val="85"/>
              <w:jc w:val="both"/>
              <w:rPr>
                <w:color w:val="auto"/>
                <w:sz w:val="22"/>
                <w:szCs w:val="22"/>
              </w:rPr>
            </w:pPr>
            <w:r>
              <w:rPr>
                <w:color w:val="auto"/>
                <w:sz w:val="22"/>
                <w:szCs w:val="22"/>
              </w:rPr>
              <w:t>Выделять слова из предложений</w:t>
            </w:r>
          </w:p>
        </w:tc>
      </w:tr>
      <w:tr w14:paraId="537FFA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701" w:type="dxa"/>
          </w:tcPr>
          <w:p w14:paraId="346D0E69">
            <w:pPr>
              <w:pStyle w:val="85"/>
              <w:jc w:val="center"/>
              <w:rPr>
                <w:color w:val="auto"/>
                <w:sz w:val="22"/>
                <w:szCs w:val="22"/>
              </w:rPr>
            </w:pPr>
            <w:r>
              <w:rPr>
                <w:color w:val="auto"/>
                <w:sz w:val="22"/>
                <w:szCs w:val="22"/>
              </w:rPr>
              <w:t>3.2</w:t>
            </w:r>
          </w:p>
        </w:tc>
        <w:tc>
          <w:tcPr>
            <w:tcW w:w="7370" w:type="dxa"/>
          </w:tcPr>
          <w:p w14:paraId="6B8F3684">
            <w:pPr>
              <w:pStyle w:val="85"/>
              <w:jc w:val="both"/>
              <w:rPr>
                <w:color w:val="auto"/>
                <w:sz w:val="22"/>
                <w:szCs w:val="22"/>
              </w:rPr>
            </w:pPr>
            <w:r>
              <w:rPr>
                <w:color w:val="auto"/>
                <w:sz w:val="22"/>
                <w:szCs w:val="22"/>
              </w:rPr>
              <w:t>Находить в тексте слова, значение которых требует уточнения</w:t>
            </w:r>
          </w:p>
        </w:tc>
      </w:tr>
      <w:tr w14:paraId="0691B6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701" w:type="dxa"/>
          </w:tcPr>
          <w:p w14:paraId="65F691ED">
            <w:pPr>
              <w:pStyle w:val="85"/>
              <w:jc w:val="center"/>
              <w:rPr>
                <w:color w:val="auto"/>
                <w:sz w:val="22"/>
                <w:szCs w:val="22"/>
              </w:rPr>
            </w:pPr>
            <w:r>
              <w:rPr>
                <w:color w:val="auto"/>
                <w:sz w:val="22"/>
                <w:szCs w:val="22"/>
              </w:rPr>
              <w:t>3.3</w:t>
            </w:r>
          </w:p>
        </w:tc>
        <w:tc>
          <w:tcPr>
            <w:tcW w:w="7370" w:type="dxa"/>
          </w:tcPr>
          <w:p w14:paraId="0A4E77CB">
            <w:pPr>
              <w:pStyle w:val="85"/>
              <w:jc w:val="both"/>
              <w:rPr>
                <w:color w:val="auto"/>
                <w:sz w:val="22"/>
                <w:szCs w:val="22"/>
              </w:rPr>
            </w:pPr>
            <w:r>
              <w:rPr>
                <w:color w:val="auto"/>
                <w:sz w:val="22"/>
                <w:szCs w:val="22"/>
              </w:rPr>
              <w:t>Использовать изученные понятия в процессе решения учебных задач</w:t>
            </w:r>
          </w:p>
        </w:tc>
      </w:tr>
      <w:tr w14:paraId="150E78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701" w:type="dxa"/>
          </w:tcPr>
          <w:p w14:paraId="727D9F4F">
            <w:pPr>
              <w:pStyle w:val="85"/>
              <w:jc w:val="center"/>
              <w:rPr>
                <w:color w:val="auto"/>
                <w:sz w:val="22"/>
                <w:szCs w:val="22"/>
              </w:rPr>
            </w:pPr>
            <w:r>
              <w:rPr>
                <w:color w:val="auto"/>
                <w:sz w:val="22"/>
                <w:szCs w:val="22"/>
              </w:rPr>
              <w:t>4</w:t>
            </w:r>
          </w:p>
        </w:tc>
        <w:tc>
          <w:tcPr>
            <w:tcW w:w="7370" w:type="dxa"/>
          </w:tcPr>
          <w:p w14:paraId="7CC43289">
            <w:pPr>
              <w:pStyle w:val="85"/>
              <w:jc w:val="both"/>
              <w:rPr>
                <w:color w:val="auto"/>
                <w:sz w:val="22"/>
                <w:szCs w:val="22"/>
              </w:rPr>
            </w:pPr>
            <w:r>
              <w:rPr>
                <w:color w:val="auto"/>
                <w:sz w:val="22"/>
                <w:szCs w:val="22"/>
              </w:rPr>
              <w:t>Синтаксис</w:t>
            </w:r>
          </w:p>
        </w:tc>
      </w:tr>
      <w:tr w14:paraId="323219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701" w:type="dxa"/>
          </w:tcPr>
          <w:p w14:paraId="48A110CA">
            <w:pPr>
              <w:pStyle w:val="85"/>
              <w:jc w:val="center"/>
              <w:rPr>
                <w:color w:val="auto"/>
                <w:sz w:val="22"/>
                <w:szCs w:val="22"/>
              </w:rPr>
            </w:pPr>
            <w:r>
              <w:rPr>
                <w:color w:val="auto"/>
                <w:sz w:val="22"/>
                <w:szCs w:val="22"/>
              </w:rPr>
              <w:t>4.1</w:t>
            </w:r>
          </w:p>
        </w:tc>
        <w:tc>
          <w:tcPr>
            <w:tcW w:w="7370" w:type="dxa"/>
          </w:tcPr>
          <w:p w14:paraId="2653F721">
            <w:pPr>
              <w:pStyle w:val="85"/>
              <w:jc w:val="both"/>
              <w:rPr>
                <w:color w:val="auto"/>
                <w:sz w:val="22"/>
                <w:szCs w:val="22"/>
              </w:rPr>
            </w:pPr>
            <w:r>
              <w:rPr>
                <w:color w:val="auto"/>
                <w:sz w:val="22"/>
                <w:szCs w:val="22"/>
              </w:rPr>
              <w:t>Различать слово и предложение</w:t>
            </w:r>
          </w:p>
        </w:tc>
      </w:tr>
      <w:tr w14:paraId="3647A2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701" w:type="dxa"/>
          </w:tcPr>
          <w:p w14:paraId="76FBC68E">
            <w:pPr>
              <w:pStyle w:val="85"/>
              <w:jc w:val="center"/>
              <w:rPr>
                <w:color w:val="auto"/>
                <w:sz w:val="22"/>
                <w:szCs w:val="22"/>
              </w:rPr>
            </w:pPr>
            <w:r>
              <w:rPr>
                <w:color w:val="auto"/>
                <w:sz w:val="22"/>
                <w:szCs w:val="22"/>
              </w:rPr>
              <w:t>4.2</w:t>
            </w:r>
          </w:p>
        </w:tc>
        <w:tc>
          <w:tcPr>
            <w:tcW w:w="7370" w:type="dxa"/>
          </w:tcPr>
          <w:p w14:paraId="28A57A20">
            <w:pPr>
              <w:pStyle w:val="85"/>
              <w:jc w:val="both"/>
              <w:rPr>
                <w:color w:val="auto"/>
                <w:sz w:val="22"/>
                <w:szCs w:val="22"/>
              </w:rPr>
            </w:pPr>
            <w:r>
              <w:rPr>
                <w:color w:val="auto"/>
                <w:sz w:val="22"/>
                <w:szCs w:val="22"/>
              </w:rPr>
              <w:t>Составлять предложение из набора форм слов</w:t>
            </w:r>
          </w:p>
        </w:tc>
      </w:tr>
      <w:tr w14:paraId="06B682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701" w:type="dxa"/>
          </w:tcPr>
          <w:p w14:paraId="6802F412">
            <w:pPr>
              <w:pStyle w:val="85"/>
              <w:jc w:val="center"/>
              <w:rPr>
                <w:color w:val="auto"/>
                <w:sz w:val="22"/>
                <w:szCs w:val="22"/>
              </w:rPr>
            </w:pPr>
            <w:r>
              <w:rPr>
                <w:color w:val="auto"/>
                <w:sz w:val="22"/>
                <w:szCs w:val="22"/>
              </w:rPr>
              <w:t>4.3</w:t>
            </w:r>
          </w:p>
        </w:tc>
        <w:tc>
          <w:tcPr>
            <w:tcW w:w="7370" w:type="dxa"/>
          </w:tcPr>
          <w:p w14:paraId="62979A61">
            <w:pPr>
              <w:pStyle w:val="85"/>
              <w:jc w:val="both"/>
              <w:rPr>
                <w:color w:val="auto"/>
                <w:sz w:val="22"/>
                <w:szCs w:val="22"/>
              </w:rPr>
            </w:pPr>
            <w:r>
              <w:rPr>
                <w:color w:val="auto"/>
                <w:sz w:val="22"/>
                <w:szCs w:val="22"/>
              </w:rPr>
              <w:t>Использовать изученные понятия в процессе решения учебных задач</w:t>
            </w:r>
          </w:p>
        </w:tc>
      </w:tr>
      <w:tr w14:paraId="3BBB1C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701" w:type="dxa"/>
          </w:tcPr>
          <w:p w14:paraId="0DEEA6DC">
            <w:pPr>
              <w:pStyle w:val="85"/>
              <w:jc w:val="center"/>
              <w:rPr>
                <w:color w:val="auto"/>
                <w:sz w:val="22"/>
                <w:szCs w:val="22"/>
              </w:rPr>
            </w:pPr>
            <w:r>
              <w:rPr>
                <w:color w:val="auto"/>
                <w:sz w:val="22"/>
                <w:szCs w:val="22"/>
              </w:rPr>
              <w:t>5</w:t>
            </w:r>
          </w:p>
        </w:tc>
        <w:tc>
          <w:tcPr>
            <w:tcW w:w="7370" w:type="dxa"/>
          </w:tcPr>
          <w:p w14:paraId="64CD79A0">
            <w:pPr>
              <w:pStyle w:val="85"/>
              <w:jc w:val="both"/>
              <w:rPr>
                <w:color w:val="auto"/>
                <w:sz w:val="22"/>
                <w:szCs w:val="22"/>
              </w:rPr>
            </w:pPr>
            <w:r>
              <w:rPr>
                <w:color w:val="auto"/>
                <w:sz w:val="22"/>
                <w:szCs w:val="22"/>
              </w:rPr>
              <w:t>Орфография и пунктуация</w:t>
            </w:r>
          </w:p>
        </w:tc>
      </w:tr>
      <w:tr w14:paraId="654FC3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701" w:type="dxa"/>
          </w:tcPr>
          <w:p w14:paraId="3489032B">
            <w:pPr>
              <w:pStyle w:val="85"/>
              <w:jc w:val="center"/>
              <w:rPr>
                <w:color w:val="auto"/>
                <w:sz w:val="22"/>
                <w:szCs w:val="22"/>
              </w:rPr>
            </w:pPr>
            <w:r>
              <w:rPr>
                <w:color w:val="auto"/>
                <w:sz w:val="22"/>
                <w:szCs w:val="22"/>
              </w:rPr>
              <w:t>5.1</w:t>
            </w:r>
          </w:p>
        </w:tc>
        <w:tc>
          <w:tcPr>
            <w:tcW w:w="7370" w:type="dxa"/>
          </w:tcPr>
          <w:p w14:paraId="6CBF64FC">
            <w:pPr>
              <w:pStyle w:val="85"/>
              <w:jc w:val="both"/>
              <w:rPr>
                <w:color w:val="auto"/>
                <w:sz w:val="22"/>
                <w:szCs w:val="22"/>
              </w:rPr>
            </w:pPr>
            <w:r>
              <w:rPr>
                <w:color w:val="auto"/>
                <w:sz w:val="22"/>
                <w:szCs w:val="22"/>
              </w:rPr>
              <w:t>Применять изученные правила правописания: знаки препинания в конце предложения: точка, вопросительный и восклицательный знаки</w:t>
            </w:r>
          </w:p>
        </w:tc>
      </w:tr>
      <w:tr w14:paraId="4D690A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701" w:type="dxa"/>
          </w:tcPr>
          <w:p w14:paraId="19C59F63">
            <w:pPr>
              <w:pStyle w:val="85"/>
              <w:jc w:val="center"/>
              <w:rPr>
                <w:color w:val="auto"/>
                <w:sz w:val="22"/>
                <w:szCs w:val="22"/>
              </w:rPr>
            </w:pPr>
            <w:r>
              <w:rPr>
                <w:color w:val="auto"/>
                <w:sz w:val="22"/>
                <w:szCs w:val="22"/>
              </w:rPr>
              <w:t>5.2</w:t>
            </w:r>
          </w:p>
        </w:tc>
        <w:tc>
          <w:tcPr>
            <w:tcW w:w="7370" w:type="dxa"/>
          </w:tcPr>
          <w:p w14:paraId="1E18FA0E">
            <w:pPr>
              <w:pStyle w:val="85"/>
              <w:jc w:val="both"/>
              <w:rPr>
                <w:color w:val="auto"/>
                <w:sz w:val="22"/>
                <w:szCs w:val="22"/>
              </w:rPr>
            </w:pPr>
            <w:r>
              <w:rPr>
                <w:color w:val="auto"/>
                <w:sz w:val="22"/>
                <w:szCs w:val="22"/>
              </w:rPr>
              <w:t>Применять изученные правила правописания: раздельное написание слов в предложении; заглавная буква в начале предложения и в именах собственных (имена и фамилии людей, клички животных); перенос слов по слогам (простые случаи: слова из слогов типа "согласный + гласный"); гласные после шипящих в сочетаниях жи, ши (в положении под ударением), ча, ща, чу, щу, непроверяемые гласные и согласные (перечень слов в орфографическом словаре учебника)</w:t>
            </w:r>
          </w:p>
        </w:tc>
      </w:tr>
      <w:tr w14:paraId="6A7CEA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701" w:type="dxa"/>
          </w:tcPr>
          <w:p w14:paraId="0EA897F7">
            <w:pPr>
              <w:pStyle w:val="85"/>
              <w:jc w:val="center"/>
              <w:rPr>
                <w:color w:val="auto"/>
                <w:sz w:val="22"/>
                <w:szCs w:val="22"/>
              </w:rPr>
            </w:pPr>
            <w:r>
              <w:rPr>
                <w:color w:val="auto"/>
                <w:sz w:val="22"/>
                <w:szCs w:val="22"/>
              </w:rPr>
              <w:t>5.3</w:t>
            </w:r>
          </w:p>
        </w:tc>
        <w:tc>
          <w:tcPr>
            <w:tcW w:w="7370" w:type="dxa"/>
          </w:tcPr>
          <w:p w14:paraId="47C71B82">
            <w:pPr>
              <w:pStyle w:val="85"/>
              <w:jc w:val="both"/>
              <w:rPr>
                <w:color w:val="auto"/>
                <w:sz w:val="22"/>
                <w:szCs w:val="22"/>
              </w:rPr>
            </w:pPr>
            <w:r>
              <w:rPr>
                <w:color w:val="auto"/>
                <w:sz w:val="22"/>
                <w:szCs w:val="22"/>
              </w:rPr>
              <w:t>Правильно списывать (без пропусков и искажений букв) слова и предложения, тексты объемом не более 25 слов</w:t>
            </w:r>
          </w:p>
        </w:tc>
      </w:tr>
      <w:tr w14:paraId="023060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701" w:type="dxa"/>
          </w:tcPr>
          <w:p w14:paraId="3E5CB7BE">
            <w:pPr>
              <w:pStyle w:val="85"/>
              <w:jc w:val="center"/>
              <w:rPr>
                <w:color w:val="auto"/>
                <w:sz w:val="22"/>
                <w:szCs w:val="22"/>
              </w:rPr>
            </w:pPr>
            <w:r>
              <w:rPr>
                <w:color w:val="auto"/>
                <w:sz w:val="22"/>
                <w:szCs w:val="22"/>
              </w:rPr>
              <w:t>5.4</w:t>
            </w:r>
          </w:p>
        </w:tc>
        <w:tc>
          <w:tcPr>
            <w:tcW w:w="7370" w:type="dxa"/>
          </w:tcPr>
          <w:p w14:paraId="2671F3D2">
            <w:pPr>
              <w:pStyle w:val="85"/>
              <w:jc w:val="both"/>
              <w:rPr>
                <w:color w:val="auto"/>
                <w:sz w:val="22"/>
                <w:szCs w:val="22"/>
              </w:rPr>
            </w:pPr>
            <w:r>
              <w:rPr>
                <w:color w:val="auto"/>
                <w:sz w:val="22"/>
                <w:szCs w:val="22"/>
              </w:rPr>
              <w:t>Писать под диктовку (без пропусков и искажений букв) слова,</w:t>
            </w:r>
          </w:p>
        </w:tc>
      </w:tr>
      <w:tr w14:paraId="1DED63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701" w:type="dxa"/>
          </w:tcPr>
          <w:p w14:paraId="61A7807F">
            <w:pPr>
              <w:pStyle w:val="85"/>
              <w:rPr>
                <w:color w:val="auto"/>
                <w:sz w:val="22"/>
                <w:szCs w:val="22"/>
              </w:rPr>
            </w:pPr>
          </w:p>
        </w:tc>
        <w:tc>
          <w:tcPr>
            <w:tcW w:w="7370" w:type="dxa"/>
          </w:tcPr>
          <w:p w14:paraId="07962189">
            <w:pPr>
              <w:pStyle w:val="85"/>
              <w:jc w:val="both"/>
              <w:rPr>
                <w:color w:val="auto"/>
                <w:sz w:val="22"/>
                <w:szCs w:val="22"/>
              </w:rPr>
            </w:pPr>
            <w:r>
              <w:rPr>
                <w:color w:val="auto"/>
                <w:sz w:val="22"/>
                <w:szCs w:val="22"/>
              </w:rPr>
              <w:t>предложения из 3 - 5 слов, тексты объемом не более 20 слов, правописание которых не расходится с произношением</w:t>
            </w:r>
          </w:p>
        </w:tc>
      </w:tr>
      <w:tr w14:paraId="2B9C6D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701" w:type="dxa"/>
          </w:tcPr>
          <w:p w14:paraId="3EE4A8EF">
            <w:pPr>
              <w:pStyle w:val="85"/>
              <w:jc w:val="center"/>
              <w:rPr>
                <w:color w:val="auto"/>
                <w:sz w:val="22"/>
                <w:szCs w:val="22"/>
              </w:rPr>
            </w:pPr>
            <w:r>
              <w:rPr>
                <w:color w:val="auto"/>
                <w:sz w:val="22"/>
                <w:szCs w:val="22"/>
              </w:rPr>
              <w:t>5.5</w:t>
            </w:r>
          </w:p>
        </w:tc>
        <w:tc>
          <w:tcPr>
            <w:tcW w:w="7370" w:type="dxa"/>
          </w:tcPr>
          <w:p w14:paraId="0BC83C85">
            <w:pPr>
              <w:pStyle w:val="85"/>
              <w:jc w:val="both"/>
              <w:rPr>
                <w:color w:val="auto"/>
                <w:sz w:val="22"/>
                <w:szCs w:val="22"/>
              </w:rPr>
            </w:pPr>
            <w:r>
              <w:rPr>
                <w:color w:val="auto"/>
                <w:sz w:val="22"/>
                <w:szCs w:val="22"/>
              </w:rPr>
              <w:t>Находить и исправлять ошибки на изученные правила, описки</w:t>
            </w:r>
          </w:p>
        </w:tc>
      </w:tr>
      <w:tr w14:paraId="520821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701" w:type="dxa"/>
          </w:tcPr>
          <w:p w14:paraId="350EB541">
            <w:pPr>
              <w:pStyle w:val="85"/>
              <w:jc w:val="center"/>
              <w:rPr>
                <w:color w:val="auto"/>
                <w:sz w:val="22"/>
                <w:szCs w:val="22"/>
              </w:rPr>
            </w:pPr>
            <w:r>
              <w:rPr>
                <w:color w:val="auto"/>
                <w:sz w:val="22"/>
                <w:szCs w:val="22"/>
              </w:rPr>
              <w:t>6</w:t>
            </w:r>
          </w:p>
        </w:tc>
        <w:tc>
          <w:tcPr>
            <w:tcW w:w="7370" w:type="dxa"/>
          </w:tcPr>
          <w:p w14:paraId="758FF2CD">
            <w:pPr>
              <w:pStyle w:val="85"/>
              <w:jc w:val="both"/>
              <w:rPr>
                <w:color w:val="auto"/>
                <w:sz w:val="22"/>
                <w:szCs w:val="22"/>
              </w:rPr>
            </w:pPr>
            <w:r>
              <w:rPr>
                <w:color w:val="auto"/>
                <w:sz w:val="22"/>
                <w:szCs w:val="22"/>
              </w:rPr>
              <w:t>Развитие речи</w:t>
            </w:r>
          </w:p>
        </w:tc>
      </w:tr>
      <w:tr w14:paraId="55F345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701" w:type="dxa"/>
          </w:tcPr>
          <w:p w14:paraId="70C6FBE2">
            <w:pPr>
              <w:pStyle w:val="85"/>
              <w:jc w:val="center"/>
              <w:rPr>
                <w:color w:val="auto"/>
                <w:sz w:val="22"/>
                <w:szCs w:val="22"/>
              </w:rPr>
            </w:pPr>
            <w:r>
              <w:rPr>
                <w:color w:val="auto"/>
                <w:sz w:val="22"/>
                <w:szCs w:val="22"/>
              </w:rPr>
              <w:t>6.1</w:t>
            </w:r>
          </w:p>
        </w:tc>
        <w:tc>
          <w:tcPr>
            <w:tcW w:w="7370" w:type="dxa"/>
          </w:tcPr>
          <w:p w14:paraId="491158FE">
            <w:pPr>
              <w:pStyle w:val="85"/>
              <w:jc w:val="both"/>
              <w:rPr>
                <w:color w:val="auto"/>
                <w:sz w:val="22"/>
                <w:szCs w:val="22"/>
              </w:rPr>
            </w:pPr>
            <w:r>
              <w:rPr>
                <w:color w:val="auto"/>
                <w:sz w:val="22"/>
                <w:szCs w:val="22"/>
              </w:rPr>
              <w:t>Понимать прослушанный текст</w:t>
            </w:r>
          </w:p>
        </w:tc>
      </w:tr>
      <w:tr w14:paraId="45FA8E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701" w:type="dxa"/>
          </w:tcPr>
          <w:p w14:paraId="3D6B1155">
            <w:pPr>
              <w:pStyle w:val="85"/>
              <w:jc w:val="center"/>
              <w:rPr>
                <w:color w:val="auto"/>
                <w:sz w:val="22"/>
                <w:szCs w:val="22"/>
              </w:rPr>
            </w:pPr>
            <w:r>
              <w:rPr>
                <w:color w:val="auto"/>
                <w:sz w:val="22"/>
                <w:szCs w:val="22"/>
              </w:rPr>
              <w:t>6.2</w:t>
            </w:r>
          </w:p>
        </w:tc>
        <w:tc>
          <w:tcPr>
            <w:tcW w:w="7370" w:type="dxa"/>
          </w:tcPr>
          <w:p w14:paraId="3DEFA03C">
            <w:pPr>
              <w:pStyle w:val="85"/>
              <w:jc w:val="both"/>
              <w:rPr>
                <w:color w:val="auto"/>
                <w:sz w:val="22"/>
                <w:szCs w:val="22"/>
              </w:rPr>
            </w:pPr>
            <w:r>
              <w:rPr>
                <w:color w:val="auto"/>
                <w:sz w:val="22"/>
                <w:szCs w:val="22"/>
              </w:rPr>
              <w:t>Читать вслух и про себя (с пониманием) короткие тексты с соблюдением интонации и пауз в соответствии со знаками препинания в конце предложения</w:t>
            </w:r>
          </w:p>
        </w:tc>
      </w:tr>
      <w:tr w14:paraId="60702C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701" w:type="dxa"/>
          </w:tcPr>
          <w:p w14:paraId="4AA5A5D6">
            <w:pPr>
              <w:pStyle w:val="85"/>
              <w:jc w:val="center"/>
              <w:rPr>
                <w:color w:val="auto"/>
                <w:sz w:val="22"/>
                <w:szCs w:val="22"/>
              </w:rPr>
            </w:pPr>
            <w:r>
              <w:rPr>
                <w:color w:val="auto"/>
                <w:sz w:val="22"/>
                <w:szCs w:val="22"/>
              </w:rPr>
              <w:t>6.3</w:t>
            </w:r>
          </w:p>
        </w:tc>
        <w:tc>
          <w:tcPr>
            <w:tcW w:w="7370" w:type="dxa"/>
          </w:tcPr>
          <w:p w14:paraId="376EC3F0">
            <w:pPr>
              <w:pStyle w:val="85"/>
              <w:jc w:val="both"/>
              <w:rPr>
                <w:color w:val="auto"/>
                <w:sz w:val="22"/>
                <w:szCs w:val="22"/>
              </w:rPr>
            </w:pPr>
            <w:r>
              <w:rPr>
                <w:color w:val="auto"/>
                <w:sz w:val="22"/>
                <w:szCs w:val="22"/>
              </w:rPr>
              <w:t>Устно составлять текст из 3 - 5 предложений по сюжетным картинкам и на основе наблюдений</w:t>
            </w:r>
          </w:p>
        </w:tc>
      </w:tr>
    </w:tbl>
    <w:p w14:paraId="07B57996">
      <w:pPr>
        <w:pStyle w:val="85"/>
        <w:jc w:val="both"/>
        <w:rPr>
          <w:color w:val="auto"/>
          <w:sz w:val="22"/>
          <w:szCs w:val="22"/>
        </w:rPr>
      </w:pPr>
    </w:p>
    <w:p w14:paraId="10424D77">
      <w:pPr>
        <w:pStyle w:val="85"/>
        <w:jc w:val="right"/>
        <w:rPr>
          <w:color w:val="auto"/>
          <w:sz w:val="22"/>
          <w:szCs w:val="22"/>
        </w:rPr>
      </w:pPr>
      <w:r>
        <w:rPr>
          <w:color w:val="auto"/>
          <w:sz w:val="22"/>
          <w:szCs w:val="22"/>
        </w:rPr>
        <w:t>Таблица 3.1</w:t>
      </w:r>
    </w:p>
    <w:p w14:paraId="7440285C">
      <w:pPr>
        <w:pStyle w:val="85"/>
        <w:jc w:val="both"/>
        <w:rPr>
          <w:color w:val="auto"/>
          <w:sz w:val="22"/>
          <w:szCs w:val="22"/>
        </w:rPr>
      </w:pPr>
    </w:p>
    <w:p w14:paraId="289A2A4F">
      <w:pPr>
        <w:pStyle w:val="85"/>
        <w:jc w:val="center"/>
        <w:rPr>
          <w:color w:val="auto"/>
          <w:sz w:val="22"/>
          <w:szCs w:val="22"/>
        </w:rPr>
      </w:pPr>
      <w:r>
        <w:rPr>
          <w:color w:val="auto"/>
          <w:sz w:val="22"/>
          <w:szCs w:val="22"/>
        </w:rPr>
        <w:t>Проверяемые элементы содержания (1 класс)</w:t>
      </w:r>
    </w:p>
    <w:p w14:paraId="6BA3876A">
      <w:pPr>
        <w:pStyle w:val="85"/>
        <w:jc w:val="both"/>
        <w:rPr>
          <w:color w:val="auto"/>
          <w:sz w:val="22"/>
          <w:szCs w:val="22"/>
        </w:rPr>
      </w:pPr>
    </w:p>
    <w:tbl>
      <w:tblPr>
        <w:tblStyle w:val="1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02" w:type="dxa"/>
          <w:left w:w="62" w:type="dxa"/>
          <w:bottom w:w="102" w:type="dxa"/>
          <w:right w:w="62" w:type="dxa"/>
        </w:tblCellMar>
      </w:tblPr>
      <w:tblGrid>
        <w:gridCol w:w="1077"/>
        <w:gridCol w:w="7994"/>
      </w:tblGrid>
      <w:tr w14:paraId="504DF3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077" w:type="dxa"/>
          </w:tcPr>
          <w:p w14:paraId="11723D55">
            <w:pPr>
              <w:pStyle w:val="85"/>
              <w:jc w:val="center"/>
              <w:rPr>
                <w:color w:val="auto"/>
                <w:sz w:val="22"/>
                <w:szCs w:val="22"/>
              </w:rPr>
            </w:pPr>
            <w:r>
              <w:rPr>
                <w:color w:val="auto"/>
                <w:sz w:val="22"/>
                <w:szCs w:val="22"/>
              </w:rPr>
              <w:t>Код</w:t>
            </w:r>
          </w:p>
        </w:tc>
        <w:tc>
          <w:tcPr>
            <w:tcW w:w="7994" w:type="dxa"/>
          </w:tcPr>
          <w:p w14:paraId="3E5DFDCC">
            <w:pPr>
              <w:pStyle w:val="85"/>
              <w:jc w:val="center"/>
              <w:rPr>
                <w:color w:val="auto"/>
                <w:sz w:val="22"/>
                <w:szCs w:val="22"/>
              </w:rPr>
            </w:pPr>
            <w:r>
              <w:rPr>
                <w:color w:val="auto"/>
                <w:sz w:val="22"/>
                <w:szCs w:val="22"/>
              </w:rPr>
              <w:t>Проверяемый элемент содержания</w:t>
            </w:r>
          </w:p>
        </w:tc>
      </w:tr>
      <w:tr w14:paraId="09323E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077" w:type="dxa"/>
          </w:tcPr>
          <w:p w14:paraId="73F6BCEC">
            <w:pPr>
              <w:pStyle w:val="85"/>
              <w:jc w:val="center"/>
              <w:rPr>
                <w:color w:val="auto"/>
                <w:sz w:val="22"/>
                <w:szCs w:val="22"/>
              </w:rPr>
            </w:pPr>
            <w:r>
              <w:rPr>
                <w:color w:val="auto"/>
                <w:sz w:val="22"/>
                <w:szCs w:val="22"/>
              </w:rPr>
              <w:t>1</w:t>
            </w:r>
          </w:p>
        </w:tc>
        <w:tc>
          <w:tcPr>
            <w:tcW w:w="7994" w:type="dxa"/>
          </w:tcPr>
          <w:p w14:paraId="0BCEF744">
            <w:pPr>
              <w:pStyle w:val="85"/>
              <w:jc w:val="both"/>
              <w:rPr>
                <w:color w:val="auto"/>
                <w:sz w:val="22"/>
                <w:szCs w:val="22"/>
              </w:rPr>
            </w:pPr>
            <w:r>
              <w:rPr>
                <w:color w:val="auto"/>
                <w:sz w:val="22"/>
                <w:szCs w:val="22"/>
              </w:rPr>
              <w:t>Фонетика. Орфоэпия</w:t>
            </w:r>
          </w:p>
        </w:tc>
      </w:tr>
      <w:tr w14:paraId="6FC65F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077" w:type="dxa"/>
          </w:tcPr>
          <w:p w14:paraId="0388F0BC">
            <w:pPr>
              <w:pStyle w:val="85"/>
              <w:jc w:val="center"/>
              <w:rPr>
                <w:color w:val="auto"/>
                <w:sz w:val="22"/>
                <w:szCs w:val="22"/>
              </w:rPr>
            </w:pPr>
            <w:r>
              <w:rPr>
                <w:color w:val="auto"/>
                <w:sz w:val="22"/>
                <w:szCs w:val="22"/>
              </w:rPr>
              <w:t>1.1</w:t>
            </w:r>
          </w:p>
        </w:tc>
        <w:tc>
          <w:tcPr>
            <w:tcW w:w="7994" w:type="dxa"/>
          </w:tcPr>
          <w:p w14:paraId="05BE8CFF">
            <w:pPr>
              <w:pStyle w:val="85"/>
              <w:jc w:val="both"/>
              <w:rPr>
                <w:color w:val="auto"/>
                <w:sz w:val="22"/>
                <w:szCs w:val="22"/>
              </w:rPr>
            </w:pPr>
            <w:r>
              <w:rPr>
                <w:color w:val="auto"/>
                <w:sz w:val="22"/>
                <w:szCs w:val="22"/>
              </w:rPr>
              <w:t>Звуки речи</w:t>
            </w:r>
          </w:p>
        </w:tc>
      </w:tr>
      <w:tr w14:paraId="2A022D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077" w:type="dxa"/>
          </w:tcPr>
          <w:p w14:paraId="6399E11B">
            <w:pPr>
              <w:pStyle w:val="85"/>
              <w:jc w:val="center"/>
              <w:rPr>
                <w:color w:val="auto"/>
                <w:sz w:val="22"/>
                <w:szCs w:val="22"/>
              </w:rPr>
            </w:pPr>
            <w:r>
              <w:rPr>
                <w:color w:val="auto"/>
                <w:sz w:val="22"/>
                <w:szCs w:val="22"/>
              </w:rPr>
              <w:t>1.2</w:t>
            </w:r>
          </w:p>
        </w:tc>
        <w:tc>
          <w:tcPr>
            <w:tcW w:w="7994" w:type="dxa"/>
          </w:tcPr>
          <w:p w14:paraId="09EAB937">
            <w:pPr>
              <w:pStyle w:val="85"/>
              <w:jc w:val="both"/>
              <w:rPr>
                <w:color w:val="auto"/>
                <w:sz w:val="22"/>
                <w:szCs w:val="22"/>
              </w:rPr>
            </w:pPr>
            <w:r>
              <w:rPr>
                <w:color w:val="auto"/>
                <w:sz w:val="22"/>
                <w:szCs w:val="22"/>
              </w:rPr>
              <w:t>Гласные и согласные звуки, их различение. Согласный звук [й'] и гласный звук [и]</w:t>
            </w:r>
          </w:p>
        </w:tc>
      </w:tr>
      <w:tr w14:paraId="14C7C4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077" w:type="dxa"/>
          </w:tcPr>
          <w:p w14:paraId="430FAECA">
            <w:pPr>
              <w:pStyle w:val="85"/>
              <w:jc w:val="center"/>
              <w:rPr>
                <w:color w:val="auto"/>
                <w:sz w:val="22"/>
                <w:szCs w:val="22"/>
              </w:rPr>
            </w:pPr>
            <w:r>
              <w:rPr>
                <w:color w:val="auto"/>
                <w:sz w:val="22"/>
                <w:szCs w:val="22"/>
              </w:rPr>
              <w:t>1.3</w:t>
            </w:r>
          </w:p>
        </w:tc>
        <w:tc>
          <w:tcPr>
            <w:tcW w:w="7994" w:type="dxa"/>
          </w:tcPr>
          <w:p w14:paraId="2885D7B5">
            <w:pPr>
              <w:pStyle w:val="85"/>
              <w:jc w:val="both"/>
              <w:rPr>
                <w:color w:val="auto"/>
                <w:sz w:val="22"/>
                <w:szCs w:val="22"/>
              </w:rPr>
            </w:pPr>
            <w:r>
              <w:rPr>
                <w:color w:val="auto"/>
                <w:sz w:val="22"/>
                <w:szCs w:val="22"/>
              </w:rPr>
              <w:t>Ударение в слове. Гласные ударные и безударные</w:t>
            </w:r>
          </w:p>
        </w:tc>
      </w:tr>
      <w:tr w14:paraId="24EAED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077" w:type="dxa"/>
          </w:tcPr>
          <w:p w14:paraId="21350BBD">
            <w:pPr>
              <w:pStyle w:val="85"/>
              <w:jc w:val="center"/>
              <w:rPr>
                <w:color w:val="auto"/>
                <w:sz w:val="22"/>
                <w:szCs w:val="22"/>
              </w:rPr>
            </w:pPr>
            <w:r>
              <w:rPr>
                <w:color w:val="auto"/>
                <w:sz w:val="22"/>
                <w:szCs w:val="22"/>
              </w:rPr>
              <w:t>1.4</w:t>
            </w:r>
          </w:p>
        </w:tc>
        <w:tc>
          <w:tcPr>
            <w:tcW w:w="7994" w:type="dxa"/>
          </w:tcPr>
          <w:p w14:paraId="134123C2">
            <w:pPr>
              <w:pStyle w:val="85"/>
              <w:jc w:val="both"/>
              <w:rPr>
                <w:color w:val="auto"/>
                <w:sz w:val="22"/>
                <w:szCs w:val="22"/>
              </w:rPr>
            </w:pPr>
            <w:r>
              <w:rPr>
                <w:color w:val="auto"/>
                <w:sz w:val="22"/>
                <w:szCs w:val="22"/>
              </w:rPr>
              <w:t>Твердые и мягкие согласные звуки, их различение. Звонкие и глухие согласные звуки, их различение. Шипящие [ж], [ш], [ч'], [щ']</w:t>
            </w:r>
          </w:p>
        </w:tc>
      </w:tr>
      <w:tr w14:paraId="1379D9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077" w:type="dxa"/>
          </w:tcPr>
          <w:p w14:paraId="1ED8D92E">
            <w:pPr>
              <w:pStyle w:val="85"/>
              <w:jc w:val="center"/>
              <w:rPr>
                <w:color w:val="auto"/>
                <w:sz w:val="22"/>
                <w:szCs w:val="22"/>
              </w:rPr>
            </w:pPr>
            <w:r>
              <w:rPr>
                <w:color w:val="auto"/>
                <w:sz w:val="22"/>
                <w:szCs w:val="22"/>
              </w:rPr>
              <w:t>1.5</w:t>
            </w:r>
          </w:p>
        </w:tc>
        <w:tc>
          <w:tcPr>
            <w:tcW w:w="7994" w:type="dxa"/>
          </w:tcPr>
          <w:p w14:paraId="0193A40A">
            <w:pPr>
              <w:pStyle w:val="85"/>
              <w:jc w:val="both"/>
              <w:rPr>
                <w:color w:val="auto"/>
                <w:sz w:val="22"/>
                <w:szCs w:val="22"/>
              </w:rPr>
            </w:pPr>
            <w:r>
              <w:rPr>
                <w:color w:val="auto"/>
                <w:sz w:val="22"/>
                <w:szCs w:val="22"/>
              </w:rPr>
              <w:t>Слог. Количество слогов в слове. Ударный слог. Деление слов на слоги (простые случаи, без стечения согласных)</w:t>
            </w:r>
          </w:p>
        </w:tc>
      </w:tr>
      <w:tr w14:paraId="70B576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077" w:type="dxa"/>
          </w:tcPr>
          <w:p w14:paraId="6AC40522">
            <w:pPr>
              <w:pStyle w:val="85"/>
              <w:jc w:val="center"/>
              <w:rPr>
                <w:color w:val="auto"/>
                <w:sz w:val="22"/>
                <w:szCs w:val="22"/>
              </w:rPr>
            </w:pPr>
            <w:r>
              <w:rPr>
                <w:color w:val="auto"/>
                <w:sz w:val="22"/>
                <w:szCs w:val="22"/>
              </w:rPr>
              <w:t>1.6</w:t>
            </w:r>
          </w:p>
        </w:tc>
        <w:tc>
          <w:tcPr>
            <w:tcW w:w="7994" w:type="dxa"/>
          </w:tcPr>
          <w:p w14:paraId="6CFD1032">
            <w:pPr>
              <w:pStyle w:val="85"/>
              <w:jc w:val="both"/>
              <w:rPr>
                <w:color w:val="auto"/>
                <w:sz w:val="22"/>
                <w:szCs w:val="22"/>
              </w:rPr>
            </w:pPr>
            <w:r>
              <w:rPr>
                <w:color w:val="auto"/>
                <w:sz w:val="22"/>
                <w:szCs w:val="22"/>
              </w:rPr>
              <w:t>Произношение звуков и сочетаний звуков, ударение в словах в соответствии с нормами современного русского литературного языка (на ограниченном перечне слов, отрабатываемом в учебнике)</w:t>
            </w:r>
          </w:p>
        </w:tc>
      </w:tr>
      <w:tr w14:paraId="645B22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077" w:type="dxa"/>
          </w:tcPr>
          <w:p w14:paraId="1D8064E9">
            <w:pPr>
              <w:pStyle w:val="85"/>
              <w:jc w:val="center"/>
              <w:rPr>
                <w:color w:val="auto"/>
                <w:sz w:val="22"/>
                <w:szCs w:val="22"/>
              </w:rPr>
            </w:pPr>
            <w:r>
              <w:rPr>
                <w:color w:val="auto"/>
                <w:sz w:val="22"/>
                <w:szCs w:val="22"/>
              </w:rPr>
              <w:t>2</w:t>
            </w:r>
          </w:p>
        </w:tc>
        <w:tc>
          <w:tcPr>
            <w:tcW w:w="7994" w:type="dxa"/>
          </w:tcPr>
          <w:p w14:paraId="541C84A1">
            <w:pPr>
              <w:pStyle w:val="85"/>
              <w:jc w:val="both"/>
              <w:rPr>
                <w:color w:val="auto"/>
                <w:sz w:val="22"/>
                <w:szCs w:val="22"/>
              </w:rPr>
            </w:pPr>
            <w:r>
              <w:rPr>
                <w:color w:val="auto"/>
                <w:sz w:val="22"/>
                <w:szCs w:val="22"/>
              </w:rPr>
              <w:t>Графика</w:t>
            </w:r>
          </w:p>
        </w:tc>
      </w:tr>
      <w:tr w14:paraId="116D63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077" w:type="dxa"/>
          </w:tcPr>
          <w:p w14:paraId="3358B64B">
            <w:pPr>
              <w:pStyle w:val="85"/>
              <w:jc w:val="center"/>
              <w:rPr>
                <w:color w:val="auto"/>
                <w:sz w:val="22"/>
                <w:szCs w:val="22"/>
              </w:rPr>
            </w:pPr>
            <w:r>
              <w:rPr>
                <w:color w:val="auto"/>
                <w:sz w:val="22"/>
                <w:szCs w:val="22"/>
              </w:rPr>
              <w:t>2.1</w:t>
            </w:r>
          </w:p>
        </w:tc>
        <w:tc>
          <w:tcPr>
            <w:tcW w:w="7994" w:type="dxa"/>
          </w:tcPr>
          <w:p w14:paraId="7798A6E7">
            <w:pPr>
              <w:pStyle w:val="85"/>
              <w:jc w:val="both"/>
              <w:rPr>
                <w:color w:val="auto"/>
                <w:sz w:val="22"/>
                <w:szCs w:val="22"/>
              </w:rPr>
            </w:pPr>
            <w:r>
              <w:rPr>
                <w:color w:val="auto"/>
                <w:sz w:val="22"/>
                <w:szCs w:val="22"/>
              </w:rPr>
              <w:t>Звук и буква. Различение звуков и букв</w:t>
            </w:r>
          </w:p>
        </w:tc>
      </w:tr>
      <w:tr w14:paraId="78BDCA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077" w:type="dxa"/>
          </w:tcPr>
          <w:p w14:paraId="0FC58A17">
            <w:pPr>
              <w:pStyle w:val="85"/>
              <w:jc w:val="center"/>
              <w:rPr>
                <w:color w:val="auto"/>
                <w:sz w:val="22"/>
                <w:szCs w:val="22"/>
              </w:rPr>
            </w:pPr>
            <w:r>
              <w:rPr>
                <w:color w:val="auto"/>
                <w:sz w:val="22"/>
                <w:szCs w:val="22"/>
              </w:rPr>
              <w:t>2.2</w:t>
            </w:r>
          </w:p>
        </w:tc>
        <w:tc>
          <w:tcPr>
            <w:tcW w:w="7994" w:type="dxa"/>
          </w:tcPr>
          <w:p w14:paraId="0EAC85FD">
            <w:pPr>
              <w:pStyle w:val="85"/>
              <w:jc w:val="both"/>
              <w:rPr>
                <w:color w:val="auto"/>
                <w:sz w:val="22"/>
                <w:szCs w:val="22"/>
              </w:rPr>
            </w:pPr>
            <w:r>
              <w:rPr>
                <w:color w:val="auto"/>
                <w:sz w:val="22"/>
                <w:szCs w:val="22"/>
              </w:rPr>
              <w:t>Обозначение на письме твердости согласных звуков буквами а, о, у, ы, э; слова с буквой э</w:t>
            </w:r>
          </w:p>
        </w:tc>
      </w:tr>
      <w:tr w14:paraId="572DBA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077" w:type="dxa"/>
          </w:tcPr>
          <w:p w14:paraId="47648229">
            <w:pPr>
              <w:pStyle w:val="85"/>
              <w:jc w:val="center"/>
              <w:rPr>
                <w:color w:val="auto"/>
                <w:sz w:val="22"/>
                <w:szCs w:val="22"/>
              </w:rPr>
            </w:pPr>
            <w:r>
              <w:rPr>
                <w:color w:val="auto"/>
                <w:sz w:val="22"/>
                <w:szCs w:val="22"/>
              </w:rPr>
              <w:t>2.3</w:t>
            </w:r>
          </w:p>
        </w:tc>
        <w:tc>
          <w:tcPr>
            <w:tcW w:w="7994" w:type="dxa"/>
          </w:tcPr>
          <w:p w14:paraId="24DC0DB4">
            <w:pPr>
              <w:pStyle w:val="85"/>
              <w:jc w:val="both"/>
              <w:rPr>
                <w:color w:val="auto"/>
                <w:sz w:val="22"/>
                <w:szCs w:val="22"/>
              </w:rPr>
            </w:pPr>
            <w:r>
              <w:rPr>
                <w:color w:val="auto"/>
                <w:sz w:val="22"/>
                <w:szCs w:val="22"/>
              </w:rPr>
              <w:t>Обозначение на письме мягкости согласных звуков буквами е, ё, ю, я, и. Функции букв е, ё, ю, я</w:t>
            </w:r>
          </w:p>
        </w:tc>
      </w:tr>
      <w:tr w14:paraId="26A6E7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077" w:type="dxa"/>
          </w:tcPr>
          <w:p w14:paraId="24FE99E8">
            <w:pPr>
              <w:pStyle w:val="85"/>
              <w:jc w:val="center"/>
              <w:rPr>
                <w:color w:val="auto"/>
                <w:sz w:val="22"/>
                <w:szCs w:val="22"/>
              </w:rPr>
            </w:pPr>
            <w:r>
              <w:rPr>
                <w:color w:val="auto"/>
                <w:sz w:val="22"/>
                <w:szCs w:val="22"/>
              </w:rPr>
              <w:t>2.4</w:t>
            </w:r>
          </w:p>
        </w:tc>
        <w:tc>
          <w:tcPr>
            <w:tcW w:w="7994" w:type="dxa"/>
          </w:tcPr>
          <w:p w14:paraId="27935CDC">
            <w:pPr>
              <w:pStyle w:val="85"/>
              <w:jc w:val="both"/>
              <w:rPr>
                <w:color w:val="auto"/>
                <w:sz w:val="22"/>
                <w:szCs w:val="22"/>
              </w:rPr>
            </w:pPr>
            <w:r>
              <w:rPr>
                <w:color w:val="auto"/>
                <w:sz w:val="22"/>
                <w:szCs w:val="22"/>
              </w:rPr>
              <w:t>Мягкий знак как показатель мягкости предшествующего согласного звука в конце слова</w:t>
            </w:r>
          </w:p>
        </w:tc>
      </w:tr>
      <w:tr w14:paraId="463044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077" w:type="dxa"/>
          </w:tcPr>
          <w:p w14:paraId="43A01F72">
            <w:pPr>
              <w:pStyle w:val="85"/>
              <w:jc w:val="center"/>
              <w:rPr>
                <w:color w:val="auto"/>
                <w:sz w:val="22"/>
                <w:szCs w:val="22"/>
              </w:rPr>
            </w:pPr>
            <w:r>
              <w:rPr>
                <w:color w:val="auto"/>
                <w:sz w:val="22"/>
                <w:szCs w:val="22"/>
              </w:rPr>
              <w:t>2.5</w:t>
            </w:r>
          </w:p>
        </w:tc>
        <w:tc>
          <w:tcPr>
            <w:tcW w:w="7994" w:type="dxa"/>
          </w:tcPr>
          <w:p w14:paraId="2E94BD0A">
            <w:pPr>
              <w:pStyle w:val="85"/>
              <w:jc w:val="both"/>
              <w:rPr>
                <w:color w:val="auto"/>
                <w:sz w:val="22"/>
                <w:szCs w:val="22"/>
              </w:rPr>
            </w:pPr>
            <w:r>
              <w:rPr>
                <w:color w:val="auto"/>
                <w:sz w:val="22"/>
                <w:szCs w:val="22"/>
              </w:rPr>
              <w:t>Установление соотношения звукового и буквенного состава слова в словах типа стол, конь</w:t>
            </w:r>
          </w:p>
        </w:tc>
      </w:tr>
      <w:tr w14:paraId="6439CD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077" w:type="dxa"/>
          </w:tcPr>
          <w:p w14:paraId="6FF9AFCE">
            <w:pPr>
              <w:pStyle w:val="85"/>
              <w:jc w:val="center"/>
              <w:rPr>
                <w:color w:val="auto"/>
                <w:sz w:val="22"/>
                <w:szCs w:val="22"/>
              </w:rPr>
            </w:pPr>
            <w:r>
              <w:rPr>
                <w:color w:val="auto"/>
                <w:sz w:val="22"/>
                <w:szCs w:val="22"/>
              </w:rPr>
              <w:t>2.6</w:t>
            </w:r>
          </w:p>
        </w:tc>
        <w:tc>
          <w:tcPr>
            <w:tcW w:w="7994" w:type="dxa"/>
          </w:tcPr>
          <w:p w14:paraId="33C6E5BA">
            <w:pPr>
              <w:pStyle w:val="85"/>
              <w:jc w:val="both"/>
              <w:rPr>
                <w:color w:val="auto"/>
                <w:sz w:val="22"/>
                <w:szCs w:val="22"/>
              </w:rPr>
            </w:pPr>
            <w:r>
              <w:rPr>
                <w:color w:val="auto"/>
                <w:sz w:val="22"/>
                <w:szCs w:val="22"/>
              </w:rPr>
              <w:t>Небуквенные графические средства: пробел между словами, знак переноса</w:t>
            </w:r>
          </w:p>
        </w:tc>
      </w:tr>
      <w:tr w14:paraId="6A45B7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077" w:type="dxa"/>
          </w:tcPr>
          <w:p w14:paraId="512C4C02">
            <w:pPr>
              <w:pStyle w:val="85"/>
              <w:jc w:val="center"/>
              <w:rPr>
                <w:color w:val="auto"/>
                <w:sz w:val="22"/>
                <w:szCs w:val="22"/>
              </w:rPr>
            </w:pPr>
            <w:r>
              <w:rPr>
                <w:color w:val="auto"/>
                <w:sz w:val="22"/>
                <w:szCs w:val="22"/>
              </w:rPr>
              <w:t>2.7</w:t>
            </w:r>
          </w:p>
        </w:tc>
        <w:tc>
          <w:tcPr>
            <w:tcW w:w="7994" w:type="dxa"/>
          </w:tcPr>
          <w:p w14:paraId="462BD502">
            <w:pPr>
              <w:pStyle w:val="85"/>
              <w:jc w:val="both"/>
              <w:rPr>
                <w:color w:val="auto"/>
                <w:sz w:val="22"/>
                <w:szCs w:val="22"/>
              </w:rPr>
            </w:pPr>
            <w:r>
              <w:rPr>
                <w:color w:val="auto"/>
                <w:sz w:val="22"/>
                <w:szCs w:val="22"/>
              </w:rPr>
              <w:t>Русский алфавит: правильное название букв, их последовательность</w:t>
            </w:r>
          </w:p>
        </w:tc>
      </w:tr>
      <w:tr w14:paraId="04200C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077" w:type="dxa"/>
          </w:tcPr>
          <w:p w14:paraId="40A2CE51">
            <w:pPr>
              <w:pStyle w:val="85"/>
              <w:jc w:val="center"/>
              <w:rPr>
                <w:color w:val="auto"/>
                <w:sz w:val="22"/>
                <w:szCs w:val="22"/>
              </w:rPr>
            </w:pPr>
            <w:r>
              <w:rPr>
                <w:color w:val="auto"/>
                <w:sz w:val="22"/>
                <w:szCs w:val="22"/>
              </w:rPr>
              <w:t>2.8</w:t>
            </w:r>
          </w:p>
        </w:tc>
        <w:tc>
          <w:tcPr>
            <w:tcW w:w="7994" w:type="dxa"/>
          </w:tcPr>
          <w:p w14:paraId="64632807">
            <w:pPr>
              <w:pStyle w:val="85"/>
              <w:jc w:val="both"/>
              <w:rPr>
                <w:color w:val="auto"/>
                <w:sz w:val="22"/>
                <w:szCs w:val="22"/>
              </w:rPr>
            </w:pPr>
            <w:r>
              <w:rPr>
                <w:color w:val="auto"/>
                <w:sz w:val="22"/>
                <w:szCs w:val="22"/>
              </w:rPr>
              <w:t>Использование алфавита для упорядочения списка слов</w:t>
            </w:r>
          </w:p>
        </w:tc>
      </w:tr>
      <w:tr w14:paraId="26140F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077" w:type="dxa"/>
          </w:tcPr>
          <w:p w14:paraId="3B4730DE">
            <w:pPr>
              <w:pStyle w:val="85"/>
              <w:jc w:val="center"/>
              <w:rPr>
                <w:color w:val="auto"/>
                <w:sz w:val="22"/>
                <w:szCs w:val="22"/>
              </w:rPr>
            </w:pPr>
            <w:r>
              <w:rPr>
                <w:color w:val="auto"/>
                <w:sz w:val="22"/>
                <w:szCs w:val="22"/>
              </w:rPr>
              <w:t>3</w:t>
            </w:r>
          </w:p>
        </w:tc>
        <w:tc>
          <w:tcPr>
            <w:tcW w:w="7994" w:type="dxa"/>
          </w:tcPr>
          <w:p w14:paraId="1B340745">
            <w:pPr>
              <w:pStyle w:val="85"/>
              <w:jc w:val="both"/>
              <w:rPr>
                <w:color w:val="auto"/>
                <w:sz w:val="22"/>
                <w:szCs w:val="22"/>
              </w:rPr>
            </w:pPr>
            <w:r>
              <w:rPr>
                <w:color w:val="auto"/>
                <w:sz w:val="22"/>
                <w:szCs w:val="22"/>
              </w:rPr>
              <w:t>Лексика</w:t>
            </w:r>
          </w:p>
        </w:tc>
      </w:tr>
      <w:tr w14:paraId="503A77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077" w:type="dxa"/>
          </w:tcPr>
          <w:p w14:paraId="740DDA78">
            <w:pPr>
              <w:pStyle w:val="85"/>
              <w:jc w:val="center"/>
              <w:rPr>
                <w:color w:val="auto"/>
                <w:sz w:val="22"/>
                <w:szCs w:val="22"/>
              </w:rPr>
            </w:pPr>
            <w:r>
              <w:rPr>
                <w:color w:val="auto"/>
                <w:sz w:val="22"/>
                <w:szCs w:val="22"/>
              </w:rPr>
              <w:t>3.1</w:t>
            </w:r>
          </w:p>
        </w:tc>
        <w:tc>
          <w:tcPr>
            <w:tcW w:w="7994" w:type="dxa"/>
          </w:tcPr>
          <w:p w14:paraId="525F508A">
            <w:pPr>
              <w:pStyle w:val="85"/>
              <w:jc w:val="both"/>
              <w:rPr>
                <w:color w:val="auto"/>
                <w:sz w:val="22"/>
                <w:szCs w:val="22"/>
              </w:rPr>
            </w:pPr>
            <w:r>
              <w:rPr>
                <w:color w:val="auto"/>
                <w:sz w:val="22"/>
                <w:szCs w:val="22"/>
              </w:rPr>
              <w:t>Слово как единица языка (ознакомление)</w:t>
            </w:r>
          </w:p>
        </w:tc>
      </w:tr>
      <w:tr w14:paraId="475F3A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077" w:type="dxa"/>
          </w:tcPr>
          <w:p w14:paraId="0E0ECF14">
            <w:pPr>
              <w:pStyle w:val="85"/>
              <w:jc w:val="center"/>
              <w:rPr>
                <w:color w:val="auto"/>
                <w:sz w:val="22"/>
                <w:szCs w:val="22"/>
              </w:rPr>
            </w:pPr>
            <w:r>
              <w:rPr>
                <w:color w:val="auto"/>
                <w:sz w:val="22"/>
                <w:szCs w:val="22"/>
              </w:rPr>
              <w:t>3.2</w:t>
            </w:r>
          </w:p>
        </w:tc>
        <w:tc>
          <w:tcPr>
            <w:tcW w:w="7994" w:type="dxa"/>
          </w:tcPr>
          <w:p w14:paraId="443FC6B9">
            <w:pPr>
              <w:pStyle w:val="85"/>
              <w:jc w:val="both"/>
              <w:rPr>
                <w:color w:val="auto"/>
                <w:sz w:val="22"/>
                <w:szCs w:val="22"/>
              </w:rPr>
            </w:pPr>
            <w:r>
              <w:rPr>
                <w:color w:val="auto"/>
                <w:sz w:val="22"/>
                <w:szCs w:val="22"/>
              </w:rPr>
              <w:t>Слово как название предмета, признака предмета, действия предмета (ознакомление)</w:t>
            </w:r>
          </w:p>
        </w:tc>
      </w:tr>
      <w:tr w14:paraId="6F7D0A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077" w:type="dxa"/>
          </w:tcPr>
          <w:p w14:paraId="6E8E951E">
            <w:pPr>
              <w:pStyle w:val="85"/>
              <w:jc w:val="center"/>
              <w:rPr>
                <w:color w:val="auto"/>
                <w:sz w:val="22"/>
                <w:szCs w:val="22"/>
              </w:rPr>
            </w:pPr>
            <w:r>
              <w:rPr>
                <w:color w:val="auto"/>
                <w:sz w:val="22"/>
                <w:szCs w:val="22"/>
              </w:rPr>
              <w:t>3.3</w:t>
            </w:r>
          </w:p>
        </w:tc>
        <w:tc>
          <w:tcPr>
            <w:tcW w:w="7994" w:type="dxa"/>
          </w:tcPr>
          <w:p w14:paraId="5010D666">
            <w:pPr>
              <w:pStyle w:val="85"/>
              <w:jc w:val="both"/>
              <w:rPr>
                <w:color w:val="auto"/>
                <w:sz w:val="22"/>
                <w:szCs w:val="22"/>
              </w:rPr>
            </w:pPr>
            <w:r>
              <w:rPr>
                <w:color w:val="auto"/>
                <w:sz w:val="22"/>
                <w:szCs w:val="22"/>
              </w:rPr>
              <w:t>Выявление слов, значение которых требует уточнения</w:t>
            </w:r>
          </w:p>
        </w:tc>
      </w:tr>
      <w:tr w14:paraId="4B4016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077" w:type="dxa"/>
          </w:tcPr>
          <w:p w14:paraId="4253F370">
            <w:pPr>
              <w:pStyle w:val="85"/>
              <w:jc w:val="center"/>
              <w:rPr>
                <w:color w:val="auto"/>
                <w:sz w:val="22"/>
                <w:szCs w:val="22"/>
              </w:rPr>
            </w:pPr>
            <w:r>
              <w:rPr>
                <w:color w:val="auto"/>
                <w:sz w:val="22"/>
                <w:szCs w:val="22"/>
              </w:rPr>
              <w:t>4</w:t>
            </w:r>
          </w:p>
        </w:tc>
        <w:tc>
          <w:tcPr>
            <w:tcW w:w="7994" w:type="dxa"/>
          </w:tcPr>
          <w:p w14:paraId="483B02E7">
            <w:pPr>
              <w:pStyle w:val="85"/>
              <w:jc w:val="both"/>
              <w:rPr>
                <w:color w:val="auto"/>
                <w:sz w:val="22"/>
                <w:szCs w:val="22"/>
              </w:rPr>
            </w:pPr>
            <w:r>
              <w:rPr>
                <w:color w:val="auto"/>
                <w:sz w:val="22"/>
                <w:szCs w:val="22"/>
              </w:rPr>
              <w:t>Синтаксис</w:t>
            </w:r>
          </w:p>
        </w:tc>
      </w:tr>
      <w:tr w14:paraId="0F7F55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077" w:type="dxa"/>
          </w:tcPr>
          <w:p w14:paraId="17E64BCF">
            <w:pPr>
              <w:pStyle w:val="85"/>
              <w:jc w:val="center"/>
              <w:rPr>
                <w:color w:val="auto"/>
                <w:sz w:val="22"/>
                <w:szCs w:val="22"/>
              </w:rPr>
            </w:pPr>
            <w:r>
              <w:rPr>
                <w:color w:val="auto"/>
                <w:sz w:val="22"/>
                <w:szCs w:val="22"/>
              </w:rPr>
              <w:t>4.1</w:t>
            </w:r>
          </w:p>
        </w:tc>
        <w:tc>
          <w:tcPr>
            <w:tcW w:w="7994" w:type="dxa"/>
          </w:tcPr>
          <w:p w14:paraId="4ACFE767">
            <w:pPr>
              <w:pStyle w:val="85"/>
              <w:jc w:val="both"/>
              <w:rPr>
                <w:color w:val="auto"/>
                <w:sz w:val="22"/>
                <w:szCs w:val="22"/>
              </w:rPr>
            </w:pPr>
            <w:r>
              <w:rPr>
                <w:color w:val="auto"/>
                <w:sz w:val="22"/>
                <w:szCs w:val="22"/>
              </w:rPr>
              <w:t>Предложение как единица языка (ознакомление)</w:t>
            </w:r>
          </w:p>
        </w:tc>
      </w:tr>
      <w:tr w14:paraId="169191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077" w:type="dxa"/>
          </w:tcPr>
          <w:p w14:paraId="5A787A25">
            <w:pPr>
              <w:pStyle w:val="85"/>
              <w:jc w:val="center"/>
              <w:rPr>
                <w:color w:val="auto"/>
                <w:sz w:val="22"/>
                <w:szCs w:val="22"/>
              </w:rPr>
            </w:pPr>
            <w:r>
              <w:rPr>
                <w:color w:val="auto"/>
                <w:sz w:val="22"/>
                <w:szCs w:val="22"/>
              </w:rPr>
              <w:t>4.2</w:t>
            </w:r>
          </w:p>
        </w:tc>
        <w:tc>
          <w:tcPr>
            <w:tcW w:w="7994" w:type="dxa"/>
          </w:tcPr>
          <w:p w14:paraId="1B72153F">
            <w:pPr>
              <w:pStyle w:val="85"/>
              <w:jc w:val="both"/>
              <w:rPr>
                <w:color w:val="auto"/>
                <w:sz w:val="22"/>
                <w:szCs w:val="22"/>
              </w:rPr>
            </w:pPr>
            <w:r>
              <w:rPr>
                <w:color w:val="auto"/>
                <w:sz w:val="22"/>
                <w:szCs w:val="22"/>
              </w:rPr>
              <w:t>Слово, предложение (наблюдение над сходством и различием)</w:t>
            </w:r>
          </w:p>
        </w:tc>
      </w:tr>
      <w:tr w14:paraId="256DAB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077" w:type="dxa"/>
          </w:tcPr>
          <w:p w14:paraId="7FB5F6C3">
            <w:pPr>
              <w:pStyle w:val="85"/>
              <w:jc w:val="center"/>
              <w:rPr>
                <w:color w:val="auto"/>
                <w:sz w:val="22"/>
                <w:szCs w:val="22"/>
              </w:rPr>
            </w:pPr>
            <w:r>
              <w:rPr>
                <w:color w:val="auto"/>
                <w:sz w:val="22"/>
                <w:szCs w:val="22"/>
              </w:rPr>
              <w:t>4.3</w:t>
            </w:r>
          </w:p>
        </w:tc>
        <w:tc>
          <w:tcPr>
            <w:tcW w:w="7994" w:type="dxa"/>
          </w:tcPr>
          <w:p w14:paraId="161B560A">
            <w:pPr>
              <w:pStyle w:val="85"/>
              <w:jc w:val="both"/>
              <w:rPr>
                <w:color w:val="auto"/>
                <w:sz w:val="22"/>
                <w:szCs w:val="22"/>
              </w:rPr>
            </w:pPr>
            <w:r>
              <w:rPr>
                <w:color w:val="auto"/>
                <w:sz w:val="22"/>
                <w:szCs w:val="22"/>
              </w:rPr>
              <w:t>Установление связи слов в предложении при помощи смысловых вопросов</w:t>
            </w:r>
          </w:p>
        </w:tc>
      </w:tr>
      <w:tr w14:paraId="27DDD5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077" w:type="dxa"/>
          </w:tcPr>
          <w:p w14:paraId="34F3471C">
            <w:pPr>
              <w:pStyle w:val="85"/>
              <w:jc w:val="center"/>
              <w:rPr>
                <w:color w:val="auto"/>
                <w:sz w:val="22"/>
                <w:szCs w:val="22"/>
              </w:rPr>
            </w:pPr>
            <w:r>
              <w:rPr>
                <w:color w:val="auto"/>
                <w:sz w:val="22"/>
                <w:szCs w:val="22"/>
              </w:rPr>
              <w:t>4.4</w:t>
            </w:r>
          </w:p>
        </w:tc>
        <w:tc>
          <w:tcPr>
            <w:tcW w:w="7994" w:type="dxa"/>
          </w:tcPr>
          <w:p w14:paraId="79807BCA">
            <w:pPr>
              <w:pStyle w:val="85"/>
              <w:jc w:val="both"/>
              <w:rPr>
                <w:color w:val="auto"/>
                <w:sz w:val="22"/>
                <w:szCs w:val="22"/>
              </w:rPr>
            </w:pPr>
            <w:r>
              <w:rPr>
                <w:color w:val="auto"/>
                <w:sz w:val="22"/>
                <w:szCs w:val="22"/>
              </w:rPr>
              <w:t>Восстановление деформированных предложений</w:t>
            </w:r>
          </w:p>
        </w:tc>
      </w:tr>
      <w:tr w14:paraId="58317D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077" w:type="dxa"/>
          </w:tcPr>
          <w:p w14:paraId="5E494759">
            <w:pPr>
              <w:pStyle w:val="85"/>
              <w:jc w:val="center"/>
              <w:rPr>
                <w:color w:val="auto"/>
                <w:sz w:val="22"/>
                <w:szCs w:val="22"/>
              </w:rPr>
            </w:pPr>
            <w:r>
              <w:rPr>
                <w:color w:val="auto"/>
                <w:sz w:val="22"/>
                <w:szCs w:val="22"/>
              </w:rPr>
              <w:t>4.5</w:t>
            </w:r>
          </w:p>
        </w:tc>
        <w:tc>
          <w:tcPr>
            <w:tcW w:w="7994" w:type="dxa"/>
          </w:tcPr>
          <w:p w14:paraId="2F5B971D">
            <w:pPr>
              <w:pStyle w:val="85"/>
              <w:jc w:val="both"/>
              <w:rPr>
                <w:color w:val="auto"/>
                <w:sz w:val="22"/>
                <w:szCs w:val="22"/>
              </w:rPr>
            </w:pPr>
            <w:r>
              <w:rPr>
                <w:color w:val="auto"/>
                <w:sz w:val="22"/>
                <w:szCs w:val="22"/>
              </w:rPr>
              <w:t>Составление предложений из набора форм слов</w:t>
            </w:r>
          </w:p>
        </w:tc>
      </w:tr>
      <w:tr w14:paraId="5C49BF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077" w:type="dxa"/>
          </w:tcPr>
          <w:p w14:paraId="39F6A68D">
            <w:pPr>
              <w:pStyle w:val="85"/>
              <w:jc w:val="center"/>
              <w:rPr>
                <w:color w:val="auto"/>
                <w:sz w:val="22"/>
                <w:szCs w:val="22"/>
              </w:rPr>
            </w:pPr>
            <w:r>
              <w:rPr>
                <w:color w:val="auto"/>
                <w:sz w:val="22"/>
                <w:szCs w:val="22"/>
              </w:rPr>
              <w:t>5</w:t>
            </w:r>
          </w:p>
        </w:tc>
        <w:tc>
          <w:tcPr>
            <w:tcW w:w="7994" w:type="dxa"/>
          </w:tcPr>
          <w:p w14:paraId="27703EC0">
            <w:pPr>
              <w:pStyle w:val="85"/>
              <w:jc w:val="both"/>
              <w:rPr>
                <w:color w:val="auto"/>
                <w:sz w:val="22"/>
                <w:szCs w:val="22"/>
              </w:rPr>
            </w:pPr>
            <w:r>
              <w:rPr>
                <w:color w:val="auto"/>
                <w:sz w:val="22"/>
                <w:szCs w:val="22"/>
              </w:rPr>
              <w:t>Орфография и пунктуация</w:t>
            </w:r>
          </w:p>
        </w:tc>
      </w:tr>
      <w:tr w14:paraId="16328B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077" w:type="dxa"/>
          </w:tcPr>
          <w:p w14:paraId="40A27162">
            <w:pPr>
              <w:pStyle w:val="85"/>
              <w:jc w:val="center"/>
              <w:rPr>
                <w:color w:val="auto"/>
                <w:sz w:val="22"/>
                <w:szCs w:val="22"/>
              </w:rPr>
            </w:pPr>
            <w:r>
              <w:rPr>
                <w:color w:val="auto"/>
                <w:sz w:val="22"/>
                <w:szCs w:val="22"/>
              </w:rPr>
              <w:t>5.1</w:t>
            </w:r>
          </w:p>
        </w:tc>
        <w:tc>
          <w:tcPr>
            <w:tcW w:w="7994" w:type="dxa"/>
          </w:tcPr>
          <w:p w14:paraId="460234D9">
            <w:pPr>
              <w:pStyle w:val="85"/>
              <w:jc w:val="both"/>
              <w:rPr>
                <w:color w:val="auto"/>
                <w:sz w:val="22"/>
                <w:szCs w:val="22"/>
              </w:rPr>
            </w:pPr>
            <w:r>
              <w:rPr>
                <w:color w:val="auto"/>
                <w:sz w:val="22"/>
                <w:szCs w:val="22"/>
              </w:rPr>
              <w:t>Раздельное написание слов в предложении</w:t>
            </w:r>
          </w:p>
        </w:tc>
      </w:tr>
      <w:tr w14:paraId="52AB79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077" w:type="dxa"/>
          </w:tcPr>
          <w:p w14:paraId="3F6111DA">
            <w:pPr>
              <w:pStyle w:val="85"/>
              <w:jc w:val="center"/>
              <w:rPr>
                <w:color w:val="auto"/>
                <w:sz w:val="22"/>
                <w:szCs w:val="22"/>
              </w:rPr>
            </w:pPr>
            <w:r>
              <w:rPr>
                <w:color w:val="auto"/>
                <w:sz w:val="22"/>
                <w:szCs w:val="22"/>
              </w:rPr>
              <w:t>5.2</w:t>
            </w:r>
          </w:p>
        </w:tc>
        <w:tc>
          <w:tcPr>
            <w:tcW w:w="7994" w:type="dxa"/>
          </w:tcPr>
          <w:p w14:paraId="6708244F">
            <w:pPr>
              <w:pStyle w:val="85"/>
              <w:jc w:val="both"/>
              <w:rPr>
                <w:color w:val="auto"/>
                <w:sz w:val="22"/>
                <w:szCs w:val="22"/>
              </w:rPr>
            </w:pPr>
            <w:r>
              <w:rPr>
                <w:color w:val="auto"/>
                <w:sz w:val="22"/>
                <w:szCs w:val="22"/>
              </w:rPr>
              <w:t>Заглавная буква в начале предложения и в именах собственных: в именах и фамилиях людей, кличках животных</w:t>
            </w:r>
          </w:p>
        </w:tc>
      </w:tr>
      <w:tr w14:paraId="6C96F9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077" w:type="dxa"/>
          </w:tcPr>
          <w:p w14:paraId="272D349E">
            <w:pPr>
              <w:pStyle w:val="85"/>
              <w:jc w:val="center"/>
              <w:rPr>
                <w:color w:val="auto"/>
                <w:sz w:val="22"/>
                <w:szCs w:val="22"/>
              </w:rPr>
            </w:pPr>
            <w:r>
              <w:rPr>
                <w:color w:val="auto"/>
                <w:sz w:val="22"/>
                <w:szCs w:val="22"/>
              </w:rPr>
              <w:t>5.3</w:t>
            </w:r>
          </w:p>
        </w:tc>
        <w:tc>
          <w:tcPr>
            <w:tcW w:w="7994" w:type="dxa"/>
          </w:tcPr>
          <w:p w14:paraId="08213E61">
            <w:pPr>
              <w:pStyle w:val="85"/>
              <w:jc w:val="both"/>
              <w:rPr>
                <w:color w:val="auto"/>
                <w:sz w:val="22"/>
                <w:szCs w:val="22"/>
              </w:rPr>
            </w:pPr>
            <w:r>
              <w:rPr>
                <w:color w:val="auto"/>
                <w:sz w:val="22"/>
                <w:szCs w:val="22"/>
              </w:rPr>
              <w:t>Перенос слов (без учета морфемного деления слова)</w:t>
            </w:r>
          </w:p>
        </w:tc>
      </w:tr>
      <w:tr w14:paraId="0FEAFF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077" w:type="dxa"/>
          </w:tcPr>
          <w:p w14:paraId="1A28C4A8">
            <w:pPr>
              <w:pStyle w:val="85"/>
              <w:jc w:val="center"/>
              <w:rPr>
                <w:color w:val="auto"/>
                <w:sz w:val="22"/>
                <w:szCs w:val="22"/>
              </w:rPr>
            </w:pPr>
            <w:r>
              <w:rPr>
                <w:color w:val="auto"/>
                <w:sz w:val="22"/>
                <w:szCs w:val="22"/>
              </w:rPr>
              <w:t>5.4</w:t>
            </w:r>
          </w:p>
        </w:tc>
        <w:tc>
          <w:tcPr>
            <w:tcW w:w="7994" w:type="dxa"/>
          </w:tcPr>
          <w:p w14:paraId="5F63D9ED">
            <w:pPr>
              <w:pStyle w:val="85"/>
              <w:jc w:val="both"/>
              <w:rPr>
                <w:color w:val="auto"/>
                <w:sz w:val="22"/>
                <w:szCs w:val="22"/>
              </w:rPr>
            </w:pPr>
            <w:r>
              <w:rPr>
                <w:color w:val="auto"/>
                <w:sz w:val="22"/>
                <w:szCs w:val="22"/>
              </w:rPr>
              <w:t>Гласные после шипящих в сочетаниях жи, ши (в положении под ударением), ча, ща, чу, щу</w:t>
            </w:r>
          </w:p>
        </w:tc>
      </w:tr>
      <w:tr w14:paraId="0F5D53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077" w:type="dxa"/>
          </w:tcPr>
          <w:p w14:paraId="2D5D4042">
            <w:pPr>
              <w:pStyle w:val="85"/>
              <w:jc w:val="center"/>
              <w:rPr>
                <w:color w:val="auto"/>
                <w:sz w:val="22"/>
                <w:szCs w:val="22"/>
              </w:rPr>
            </w:pPr>
            <w:r>
              <w:rPr>
                <w:color w:val="auto"/>
                <w:sz w:val="22"/>
                <w:szCs w:val="22"/>
              </w:rPr>
              <w:t>5.5</w:t>
            </w:r>
          </w:p>
        </w:tc>
        <w:tc>
          <w:tcPr>
            <w:tcW w:w="7994" w:type="dxa"/>
          </w:tcPr>
          <w:p w14:paraId="29836301">
            <w:pPr>
              <w:pStyle w:val="85"/>
              <w:jc w:val="both"/>
              <w:rPr>
                <w:color w:val="auto"/>
                <w:sz w:val="22"/>
                <w:szCs w:val="22"/>
              </w:rPr>
            </w:pPr>
            <w:r>
              <w:rPr>
                <w:color w:val="auto"/>
                <w:sz w:val="22"/>
                <w:szCs w:val="22"/>
              </w:rPr>
              <w:t>Сочетания чк, чн</w:t>
            </w:r>
          </w:p>
        </w:tc>
      </w:tr>
      <w:tr w14:paraId="7D0DA5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077" w:type="dxa"/>
          </w:tcPr>
          <w:p w14:paraId="514CE66C">
            <w:pPr>
              <w:pStyle w:val="85"/>
              <w:jc w:val="center"/>
              <w:rPr>
                <w:color w:val="auto"/>
                <w:sz w:val="22"/>
                <w:szCs w:val="22"/>
              </w:rPr>
            </w:pPr>
            <w:r>
              <w:rPr>
                <w:color w:val="auto"/>
                <w:sz w:val="22"/>
                <w:szCs w:val="22"/>
              </w:rPr>
              <w:t>5.6</w:t>
            </w:r>
          </w:p>
        </w:tc>
        <w:tc>
          <w:tcPr>
            <w:tcW w:w="7994" w:type="dxa"/>
          </w:tcPr>
          <w:p w14:paraId="265018D4">
            <w:pPr>
              <w:pStyle w:val="85"/>
              <w:jc w:val="both"/>
              <w:rPr>
                <w:color w:val="auto"/>
                <w:sz w:val="22"/>
                <w:szCs w:val="22"/>
              </w:rPr>
            </w:pPr>
            <w:r>
              <w:rPr>
                <w:color w:val="auto"/>
                <w:sz w:val="22"/>
                <w:szCs w:val="22"/>
              </w:rPr>
              <w:t>Слова с непроверяемыми гласными и согласными (перечень слов в орфографическом словаре учебника)</w:t>
            </w:r>
          </w:p>
        </w:tc>
      </w:tr>
      <w:tr w14:paraId="2D433A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077" w:type="dxa"/>
          </w:tcPr>
          <w:p w14:paraId="792373BC">
            <w:pPr>
              <w:pStyle w:val="85"/>
              <w:jc w:val="center"/>
              <w:rPr>
                <w:color w:val="auto"/>
                <w:sz w:val="22"/>
                <w:szCs w:val="22"/>
              </w:rPr>
            </w:pPr>
            <w:r>
              <w:rPr>
                <w:color w:val="auto"/>
                <w:sz w:val="22"/>
                <w:szCs w:val="22"/>
              </w:rPr>
              <w:t>5.7</w:t>
            </w:r>
          </w:p>
        </w:tc>
        <w:tc>
          <w:tcPr>
            <w:tcW w:w="7994" w:type="dxa"/>
          </w:tcPr>
          <w:p w14:paraId="75CC7B25">
            <w:pPr>
              <w:pStyle w:val="85"/>
              <w:jc w:val="both"/>
              <w:rPr>
                <w:color w:val="auto"/>
                <w:sz w:val="22"/>
                <w:szCs w:val="22"/>
              </w:rPr>
            </w:pPr>
            <w:r>
              <w:rPr>
                <w:color w:val="auto"/>
                <w:sz w:val="22"/>
                <w:szCs w:val="22"/>
              </w:rPr>
              <w:t>Знаки препинания в конце предложения: точка, вопросительный и восклицательный знаки</w:t>
            </w:r>
          </w:p>
        </w:tc>
      </w:tr>
      <w:tr w14:paraId="1AA673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077" w:type="dxa"/>
          </w:tcPr>
          <w:p w14:paraId="1B0A01B7">
            <w:pPr>
              <w:pStyle w:val="85"/>
              <w:jc w:val="center"/>
              <w:rPr>
                <w:color w:val="auto"/>
                <w:sz w:val="22"/>
                <w:szCs w:val="22"/>
              </w:rPr>
            </w:pPr>
            <w:r>
              <w:rPr>
                <w:color w:val="auto"/>
                <w:sz w:val="22"/>
                <w:szCs w:val="22"/>
              </w:rPr>
              <w:t>5.8</w:t>
            </w:r>
          </w:p>
        </w:tc>
        <w:tc>
          <w:tcPr>
            <w:tcW w:w="7994" w:type="dxa"/>
          </w:tcPr>
          <w:p w14:paraId="6E202CE7">
            <w:pPr>
              <w:pStyle w:val="85"/>
              <w:jc w:val="both"/>
              <w:rPr>
                <w:color w:val="auto"/>
                <w:sz w:val="22"/>
                <w:szCs w:val="22"/>
              </w:rPr>
            </w:pPr>
            <w:r>
              <w:rPr>
                <w:color w:val="auto"/>
                <w:sz w:val="22"/>
                <w:szCs w:val="22"/>
              </w:rPr>
              <w:t>Алгоритм списывания текста</w:t>
            </w:r>
          </w:p>
        </w:tc>
      </w:tr>
      <w:tr w14:paraId="15406F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077" w:type="dxa"/>
          </w:tcPr>
          <w:p w14:paraId="3F9E2966">
            <w:pPr>
              <w:pStyle w:val="85"/>
              <w:jc w:val="center"/>
              <w:rPr>
                <w:color w:val="auto"/>
                <w:sz w:val="22"/>
                <w:szCs w:val="22"/>
              </w:rPr>
            </w:pPr>
            <w:r>
              <w:rPr>
                <w:color w:val="auto"/>
                <w:sz w:val="22"/>
                <w:szCs w:val="22"/>
              </w:rPr>
              <w:t>6</w:t>
            </w:r>
          </w:p>
        </w:tc>
        <w:tc>
          <w:tcPr>
            <w:tcW w:w="7994" w:type="dxa"/>
          </w:tcPr>
          <w:p w14:paraId="3834CB69">
            <w:pPr>
              <w:pStyle w:val="85"/>
              <w:jc w:val="both"/>
              <w:rPr>
                <w:color w:val="auto"/>
                <w:sz w:val="22"/>
                <w:szCs w:val="22"/>
              </w:rPr>
            </w:pPr>
            <w:r>
              <w:rPr>
                <w:color w:val="auto"/>
                <w:sz w:val="22"/>
                <w:szCs w:val="22"/>
              </w:rPr>
              <w:t>Развитие речи</w:t>
            </w:r>
          </w:p>
        </w:tc>
      </w:tr>
      <w:tr w14:paraId="62246A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077" w:type="dxa"/>
          </w:tcPr>
          <w:p w14:paraId="04C41757">
            <w:pPr>
              <w:pStyle w:val="85"/>
              <w:jc w:val="center"/>
              <w:rPr>
                <w:color w:val="auto"/>
                <w:sz w:val="22"/>
                <w:szCs w:val="22"/>
              </w:rPr>
            </w:pPr>
            <w:r>
              <w:rPr>
                <w:color w:val="auto"/>
                <w:sz w:val="22"/>
                <w:szCs w:val="22"/>
              </w:rPr>
              <w:t>6.1</w:t>
            </w:r>
          </w:p>
        </w:tc>
        <w:tc>
          <w:tcPr>
            <w:tcW w:w="7994" w:type="dxa"/>
          </w:tcPr>
          <w:p w14:paraId="06287718">
            <w:pPr>
              <w:pStyle w:val="85"/>
              <w:jc w:val="both"/>
              <w:rPr>
                <w:color w:val="auto"/>
                <w:sz w:val="22"/>
                <w:szCs w:val="22"/>
              </w:rPr>
            </w:pPr>
            <w:r>
              <w:rPr>
                <w:color w:val="auto"/>
                <w:sz w:val="22"/>
                <w:szCs w:val="22"/>
              </w:rPr>
              <w:t>Речь как основная форма общения между людьми</w:t>
            </w:r>
          </w:p>
        </w:tc>
      </w:tr>
      <w:tr w14:paraId="75657E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077" w:type="dxa"/>
          </w:tcPr>
          <w:p w14:paraId="0FBC2B29">
            <w:pPr>
              <w:pStyle w:val="85"/>
              <w:jc w:val="center"/>
              <w:rPr>
                <w:color w:val="auto"/>
                <w:sz w:val="22"/>
                <w:szCs w:val="22"/>
              </w:rPr>
            </w:pPr>
            <w:r>
              <w:rPr>
                <w:color w:val="auto"/>
                <w:sz w:val="22"/>
                <w:szCs w:val="22"/>
              </w:rPr>
              <w:t>6.2</w:t>
            </w:r>
          </w:p>
        </w:tc>
        <w:tc>
          <w:tcPr>
            <w:tcW w:w="7994" w:type="dxa"/>
          </w:tcPr>
          <w:p w14:paraId="101C3532">
            <w:pPr>
              <w:pStyle w:val="85"/>
              <w:jc w:val="both"/>
              <w:rPr>
                <w:color w:val="auto"/>
                <w:sz w:val="22"/>
                <w:szCs w:val="22"/>
              </w:rPr>
            </w:pPr>
            <w:r>
              <w:rPr>
                <w:color w:val="auto"/>
                <w:sz w:val="22"/>
                <w:szCs w:val="22"/>
              </w:rPr>
              <w:t>Текст как единица речи (ознакомление)</w:t>
            </w:r>
          </w:p>
        </w:tc>
      </w:tr>
      <w:tr w14:paraId="402D69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077" w:type="dxa"/>
          </w:tcPr>
          <w:p w14:paraId="36F30EEC">
            <w:pPr>
              <w:pStyle w:val="85"/>
              <w:jc w:val="center"/>
              <w:rPr>
                <w:color w:val="auto"/>
                <w:sz w:val="22"/>
                <w:szCs w:val="22"/>
              </w:rPr>
            </w:pPr>
            <w:r>
              <w:rPr>
                <w:color w:val="auto"/>
                <w:sz w:val="22"/>
                <w:szCs w:val="22"/>
              </w:rPr>
              <w:t>6.3</w:t>
            </w:r>
          </w:p>
        </w:tc>
        <w:tc>
          <w:tcPr>
            <w:tcW w:w="7994" w:type="dxa"/>
          </w:tcPr>
          <w:p w14:paraId="1CF56598">
            <w:pPr>
              <w:pStyle w:val="85"/>
              <w:jc w:val="both"/>
              <w:rPr>
                <w:color w:val="auto"/>
                <w:sz w:val="22"/>
                <w:szCs w:val="22"/>
              </w:rPr>
            </w:pPr>
            <w:r>
              <w:rPr>
                <w:color w:val="auto"/>
                <w:sz w:val="22"/>
                <w:szCs w:val="22"/>
              </w:rPr>
              <w:t>Ситуация общения: цель общения, с кем и где происходит общение</w:t>
            </w:r>
          </w:p>
        </w:tc>
      </w:tr>
      <w:tr w14:paraId="119599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077" w:type="dxa"/>
          </w:tcPr>
          <w:p w14:paraId="39232947">
            <w:pPr>
              <w:pStyle w:val="85"/>
              <w:jc w:val="center"/>
              <w:rPr>
                <w:color w:val="auto"/>
                <w:sz w:val="22"/>
                <w:szCs w:val="22"/>
              </w:rPr>
            </w:pPr>
            <w:r>
              <w:rPr>
                <w:color w:val="auto"/>
                <w:sz w:val="22"/>
                <w:szCs w:val="22"/>
              </w:rPr>
              <w:t>6.4</w:t>
            </w:r>
          </w:p>
        </w:tc>
        <w:tc>
          <w:tcPr>
            <w:tcW w:w="7994" w:type="dxa"/>
          </w:tcPr>
          <w:p w14:paraId="1F021C98">
            <w:pPr>
              <w:pStyle w:val="85"/>
              <w:jc w:val="both"/>
              <w:rPr>
                <w:color w:val="auto"/>
                <w:sz w:val="22"/>
                <w:szCs w:val="22"/>
              </w:rPr>
            </w:pPr>
            <w:r>
              <w:rPr>
                <w:color w:val="auto"/>
                <w:sz w:val="22"/>
                <w:szCs w:val="22"/>
              </w:rPr>
              <w:t>Ситуации устного общения (чтение диалогов по ролям, просмотр видеоматериалов, прослушивание аудиозаписи)</w:t>
            </w:r>
          </w:p>
        </w:tc>
      </w:tr>
      <w:tr w14:paraId="576EF1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077" w:type="dxa"/>
          </w:tcPr>
          <w:p w14:paraId="6195B1CF">
            <w:pPr>
              <w:pStyle w:val="85"/>
              <w:jc w:val="center"/>
              <w:rPr>
                <w:color w:val="auto"/>
                <w:sz w:val="22"/>
                <w:szCs w:val="22"/>
              </w:rPr>
            </w:pPr>
            <w:r>
              <w:rPr>
                <w:color w:val="auto"/>
                <w:sz w:val="22"/>
                <w:szCs w:val="22"/>
              </w:rPr>
              <w:t>6.5</w:t>
            </w:r>
          </w:p>
        </w:tc>
        <w:tc>
          <w:tcPr>
            <w:tcW w:w="7994" w:type="dxa"/>
          </w:tcPr>
          <w:p w14:paraId="7007E4FB">
            <w:pPr>
              <w:pStyle w:val="85"/>
              <w:jc w:val="both"/>
              <w:rPr>
                <w:color w:val="auto"/>
                <w:sz w:val="22"/>
                <w:szCs w:val="22"/>
              </w:rPr>
            </w:pPr>
            <w:r>
              <w:rPr>
                <w:color w:val="auto"/>
                <w:sz w:val="22"/>
                <w:szCs w:val="22"/>
              </w:rPr>
              <w:t>Нормы речевого этикета в ситуациях учебного и бытового общения (приветствие, прощание, извинение, благодарность, обращение с просьбой)</w:t>
            </w:r>
          </w:p>
        </w:tc>
      </w:tr>
      <w:tr w14:paraId="44BA0B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077" w:type="dxa"/>
          </w:tcPr>
          <w:p w14:paraId="4D1C7C97">
            <w:pPr>
              <w:pStyle w:val="85"/>
              <w:jc w:val="center"/>
              <w:rPr>
                <w:color w:val="auto"/>
                <w:sz w:val="22"/>
                <w:szCs w:val="22"/>
              </w:rPr>
            </w:pPr>
            <w:r>
              <w:rPr>
                <w:color w:val="auto"/>
                <w:sz w:val="22"/>
                <w:szCs w:val="22"/>
              </w:rPr>
              <w:t>6.6</w:t>
            </w:r>
          </w:p>
        </w:tc>
        <w:tc>
          <w:tcPr>
            <w:tcW w:w="7994" w:type="dxa"/>
          </w:tcPr>
          <w:p w14:paraId="3CAEB760">
            <w:pPr>
              <w:pStyle w:val="85"/>
              <w:jc w:val="both"/>
              <w:rPr>
                <w:color w:val="auto"/>
                <w:sz w:val="22"/>
                <w:szCs w:val="22"/>
              </w:rPr>
            </w:pPr>
            <w:r>
              <w:rPr>
                <w:color w:val="auto"/>
                <w:sz w:val="22"/>
                <w:szCs w:val="22"/>
              </w:rPr>
              <w:t>Составление небольших рассказов на основе наблюдений</w:t>
            </w:r>
          </w:p>
        </w:tc>
      </w:tr>
    </w:tbl>
    <w:p w14:paraId="61A0EF88">
      <w:pPr>
        <w:pStyle w:val="85"/>
        <w:jc w:val="both"/>
        <w:rPr>
          <w:color w:val="auto"/>
          <w:sz w:val="22"/>
          <w:szCs w:val="22"/>
        </w:rPr>
      </w:pPr>
    </w:p>
    <w:p w14:paraId="5D95FED5">
      <w:pPr>
        <w:pStyle w:val="85"/>
        <w:jc w:val="right"/>
        <w:rPr>
          <w:color w:val="auto"/>
          <w:sz w:val="22"/>
          <w:szCs w:val="22"/>
        </w:rPr>
      </w:pPr>
      <w:r>
        <w:rPr>
          <w:color w:val="auto"/>
          <w:sz w:val="22"/>
          <w:szCs w:val="22"/>
        </w:rPr>
        <w:t>Таблица 3.2</w:t>
      </w:r>
    </w:p>
    <w:p w14:paraId="7308609C">
      <w:pPr>
        <w:pStyle w:val="85"/>
        <w:jc w:val="both"/>
        <w:rPr>
          <w:color w:val="auto"/>
          <w:sz w:val="22"/>
          <w:szCs w:val="22"/>
        </w:rPr>
      </w:pPr>
    </w:p>
    <w:p w14:paraId="27A53DF4">
      <w:pPr>
        <w:pStyle w:val="85"/>
        <w:jc w:val="center"/>
        <w:rPr>
          <w:color w:val="auto"/>
          <w:sz w:val="22"/>
          <w:szCs w:val="22"/>
        </w:rPr>
      </w:pPr>
      <w:r>
        <w:rPr>
          <w:color w:val="auto"/>
          <w:sz w:val="22"/>
          <w:szCs w:val="22"/>
        </w:rPr>
        <w:t>Проверяемые требования к результатам освоения основной</w:t>
      </w:r>
    </w:p>
    <w:p w14:paraId="557DA175">
      <w:pPr>
        <w:pStyle w:val="85"/>
        <w:jc w:val="center"/>
        <w:rPr>
          <w:color w:val="auto"/>
          <w:sz w:val="22"/>
          <w:szCs w:val="22"/>
        </w:rPr>
      </w:pPr>
      <w:r>
        <w:rPr>
          <w:color w:val="auto"/>
          <w:sz w:val="22"/>
          <w:szCs w:val="22"/>
        </w:rPr>
        <w:t>образовательной программы (2 класс)</w:t>
      </w:r>
    </w:p>
    <w:p w14:paraId="6D3EB3E8">
      <w:pPr>
        <w:pStyle w:val="85"/>
        <w:jc w:val="both"/>
        <w:rPr>
          <w:color w:val="auto"/>
          <w:sz w:val="22"/>
          <w:szCs w:val="22"/>
        </w:rPr>
      </w:pPr>
    </w:p>
    <w:tbl>
      <w:tblPr>
        <w:tblStyle w:val="1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02" w:type="dxa"/>
          <w:left w:w="62" w:type="dxa"/>
          <w:bottom w:w="102" w:type="dxa"/>
          <w:right w:w="62" w:type="dxa"/>
        </w:tblCellMar>
      </w:tblPr>
      <w:tblGrid>
        <w:gridCol w:w="1701"/>
        <w:gridCol w:w="7370"/>
      </w:tblGrid>
      <w:tr w14:paraId="5B7D30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701" w:type="dxa"/>
          </w:tcPr>
          <w:p w14:paraId="7E57FF68">
            <w:pPr>
              <w:pStyle w:val="85"/>
              <w:jc w:val="center"/>
              <w:rPr>
                <w:color w:val="auto"/>
                <w:sz w:val="22"/>
                <w:szCs w:val="22"/>
              </w:rPr>
            </w:pPr>
            <w:r>
              <w:rPr>
                <w:color w:val="auto"/>
                <w:sz w:val="22"/>
                <w:szCs w:val="22"/>
              </w:rPr>
              <w:t>Код проверяемого результата</w:t>
            </w:r>
          </w:p>
        </w:tc>
        <w:tc>
          <w:tcPr>
            <w:tcW w:w="7370" w:type="dxa"/>
          </w:tcPr>
          <w:p w14:paraId="69E914B9">
            <w:pPr>
              <w:pStyle w:val="85"/>
              <w:jc w:val="center"/>
              <w:rPr>
                <w:color w:val="auto"/>
                <w:sz w:val="22"/>
                <w:szCs w:val="22"/>
              </w:rPr>
            </w:pPr>
            <w:r>
              <w:rPr>
                <w:color w:val="auto"/>
                <w:sz w:val="22"/>
                <w:szCs w:val="22"/>
              </w:rPr>
              <w:t>Проверяемые предметные результаты освоения основной образовательной программы начального общего образования</w:t>
            </w:r>
          </w:p>
        </w:tc>
      </w:tr>
      <w:tr w14:paraId="4095EC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701" w:type="dxa"/>
          </w:tcPr>
          <w:p w14:paraId="1077DEC0">
            <w:pPr>
              <w:pStyle w:val="85"/>
              <w:jc w:val="center"/>
              <w:rPr>
                <w:color w:val="auto"/>
                <w:sz w:val="22"/>
                <w:szCs w:val="22"/>
              </w:rPr>
            </w:pPr>
            <w:r>
              <w:rPr>
                <w:color w:val="auto"/>
                <w:sz w:val="22"/>
                <w:szCs w:val="22"/>
              </w:rPr>
              <w:t>1</w:t>
            </w:r>
          </w:p>
        </w:tc>
        <w:tc>
          <w:tcPr>
            <w:tcW w:w="7370" w:type="dxa"/>
          </w:tcPr>
          <w:p w14:paraId="71C00CFA">
            <w:pPr>
              <w:pStyle w:val="85"/>
              <w:jc w:val="both"/>
              <w:rPr>
                <w:color w:val="auto"/>
                <w:sz w:val="22"/>
                <w:szCs w:val="22"/>
              </w:rPr>
            </w:pPr>
            <w:r>
              <w:rPr>
                <w:color w:val="auto"/>
                <w:sz w:val="22"/>
                <w:szCs w:val="22"/>
              </w:rPr>
              <w:t>Фонетика. Графика. Орфоэпия</w:t>
            </w:r>
          </w:p>
        </w:tc>
      </w:tr>
      <w:tr w14:paraId="293EFD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701" w:type="dxa"/>
          </w:tcPr>
          <w:p w14:paraId="0E45C9DF">
            <w:pPr>
              <w:pStyle w:val="85"/>
              <w:jc w:val="center"/>
              <w:rPr>
                <w:color w:val="auto"/>
                <w:sz w:val="22"/>
                <w:szCs w:val="22"/>
              </w:rPr>
            </w:pPr>
            <w:r>
              <w:rPr>
                <w:color w:val="auto"/>
                <w:sz w:val="22"/>
                <w:szCs w:val="22"/>
              </w:rPr>
              <w:t>1.1</w:t>
            </w:r>
          </w:p>
        </w:tc>
        <w:tc>
          <w:tcPr>
            <w:tcW w:w="7370" w:type="dxa"/>
          </w:tcPr>
          <w:p w14:paraId="316C91B9">
            <w:pPr>
              <w:pStyle w:val="85"/>
              <w:jc w:val="both"/>
              <w:rPr>
                <w:color w:val="auto"/>
                <w:sz w:val="22"/>
                <w:szCs w:val="22"/>
              </w:rPr>
            </w:pPr>
            <w:r>
              <w:rPr>
                <w:color w:val="auto"/>
                <w:sz w:val="22"/>
                <w:szCs w:val="22"/>
              </w:rPr>
              <w:t>Характеризовать согласные звуки вне слова и в слове по заданным параметрам: согласный парный (непарный) по твердости (мягкости); согласный парный (непарный) по звонкости (глухости)</w:t>
            </w:r>
          </w:p>
        </w:tc>
      </w:tr>
      <w:tr w14:paraId="5D754C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701" w:type="dxa"/>
          </w:tcPr>
          <w:p w14:paraId="064BD9C7">
            <w:pPr>
              <w:pStyle w:val="85"/>
              <w:jc w:val="center"/>
              <w:rPr>
                <w:color w:val="auto"/>
                <w:sz w:val="22"/>
                <w:szCs w:val="22"/>
              </w:rPr>
            </w:pPr>
            <w:r>
              <w:rPr>
                <w:color w:val="auto"/>
                <w:sz w:val="22"/>
                <w:szCs w:val="22"/>
              </w:rPr>
              <w:t>1.2</w:t>
            </w:r>
          </w:p>
        </w:tc>
        <w:tc>
          <w:tcPr>
            <w:tcW w:w="7370" w:type="dxa"/>
          </w:tcPr>
          <w:p w14:paraId="7161CDE3">
            <w:pPr>
              <w:pStyle w:val="85"/>
              <w:jc w:val="both"/>
              <w:rPr>
                <w:color w:val="auto"/>
                <w:sz w:val="22"/>
                <w:szCs w:val="22"/>
              </w:rPr>
            </w:pPr>
            <w:r>
              <w:rPr>
                <w:color w:val="auto"/>
                <w:sz w:val="22"/>
                <w:szCs w:val="22"/>
              </w:rPr>
              <w:t>Определять количество слогов в слове; делить слово на слоги (в том числе слова со стечением согласных)</w:t>
            </w:r>
          </w:p>
        </w:tc>
      </w:tr>
      <w:tr w14:paraId="60CB51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701" w:type="dxa"/>
          </w:tcPr>
          <w:p w14:paraId="6D56D25E">
            <w:pPr>
              <w:pStyle w:val="85"/>
              <w:jc w:val="center"/>
              <w:rPr>
                <w:color w:val="auto"/>
                <w:sz w:val="22"/>
                <w:szCs w:val="22"/>
              </w:rPr>
            </w:pPr>
            <w:r>
              <w:rPr>
                <w:color w:val="auto"/>
                <w:sz w:val="22"/>
                <w:szCs w:val="22"/>
              </w:rPr>
              <w:t>1.3</w:t>
            </w:r>
          </w:p>
        </w:tc>
        <w:tc>
          <w:tcPr>
            <w:tcW w:w="7370" w:type="dxa"/>
          </w:tcPr>
          <w:p w14:paraId="6900061E">
            <w:pPr>
              <w:pStyle w:val="85"/>
              <w:jc w:val="both"/>
              <w:rPr>
                <w:color w:val="auto"/>
                <w:sz w:val="22"/>
                <w:szCs w:val="22"/>
              </w:rPr>
            </w:pPr>
            <w:r>
              <w:rPr>
                <w:color w:val="auto"/>
                <w:sz w:val="22"/>
                <w:szCs w:val="22"/>
              </w:rPr>
              <w:t>Устанавливать соотношение звукового и буквенного состава слова, в том числе с учетом функций букв е, е, ю, я</w:t>
            </w:r>
          </w:p>
        </w:tc>
      </w:tr>
      <w:tr w14:paraId="2CB520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701" w:type="dxa"/>
          </w:tcPr>
          <w:p w14:paraId="223498FF">
            <w:pPr>
              <w:pStyle w:val="85"/>
              <w:jc w:val="center"/>
              <w:rPr>
                <w:color w:val="auto"/>
                <w:sz w:val="22"/>
                <w:szCs w:val="22"/>
              </w:rPr>
            </w:pPr>
            <w:r>
              <w:rPr>
                <w:color w:val="auto"/>
                <w:sz w:val="22"/>
                <w:szCs w:val="22"/>
              </w:rPr>
              <w:t>1.4</w:t>
            </w:r>
          </w:p>
        </w:tc>
        <w:tc>
          <w:tcPr>
            <w:tcW w:w="7370" w:type="dxa"/>
          </w:tcPr>
          <w:p w14:paraId="29F20FB5">
            <w:pPr>
              <w:pStyle w:val="85"/>
              <w:jc w:val="both"/>
              <w:rPr>
                <w:color w:val="auto"/>
                <w:sz w:val="22"/>
                <w:szCs w:val="22"/>
              </w:rPr>
            </w:pPr>
            <w:r>
              <w:rPr>
                <w:color w:val="auto"/>
                <w:sz w:val="22"/>
                <w:szCs w:val="22"/>
              </w:rPr>
              <w:t>Обозначать на письме мягкость согласных звуков буквой ь в середине слова</w:t>
            </w:r>
          </w:p>
        </w:tc>
      </w:tr>
      <w:tr w14:paraId="7380A9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701" w:type="dxa"/>
          </w:tcPr>
          <w:p w14:paraId="078ADB64">
            <w:pPr>
              <w:pStyle w:val="85"/>
              <w:jc w:val="center"/>
              <w:rPr>
                <w:color w:val="auto"/>
                <w:sz w:val="22"/>
                <w:szCs w:val="22"/>
              </w:rPr>
            </w:pPr>
            <w:r>
              <w:rPr>
                <w:color w:val="auto"/>
                <w:sz w:val="22"/>
                <w:szCs w:val="22"/>
              </w:rPr>
              <w:t>1.5</w:t>
            </w:r>
          </w:p>
        </w:tc>
        <w:tc>
          <w:tcPr>
            <w:tcW w:w="7370" w:type="dxa"/>
          </w:tcPr>
          <w:p w14:paraId="2E2694B9">
            <w:pPr>
              <w:pStyle w:val="85"/>
              <w:jc w:val="both"/>
              <w:rPr>
                <w:color w:val="auto"/>
                <w:sz w:val="22"/>
                <w:szCs w:val="22"/>
              </w:rPr>
            </w:pPr>
            <w:r>
              <w:rPr>
                <w:color w:val="auto"/>
                <w:sz w:val="22"/>
                <w:szCs w:val="22"/>
              </w:rPr>
              <w:t>Пользоваться орфоэпическим словарем учебника</w:t>
            </w:r>
          </w:p>
        </w:tc>
      </w:tr>
      <w:tr w14:paraId="6CFA9F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701" w:type="dxa"/>
          </w:tcPr>
          <w:p w14:paraId="7754878F">
            <w:pPr>
              <w:pStyle w:val="85"/>
              <w:jc w:val="center"/>
              <w:rPr>
                <w:color w:val="auto"/>
                <w:sz w:val="22"/>
                <w:szCs w:val="22"/>
              </w:rPr>
            </w:pPr>
            <w:r>
              <w:rPr>
                <w:color w:val="auto"/>
                <w:sz w:val="22"/>
                <w:szCs w:val="22"/>
              </w:rPr>
              <w:t>1.6</w:t>
            </w:r>
          </w:p>
        </w:tc>
        <w:tc>
          <w:tcPr>
            <w:tcW w:w="7370" w:type="dxa"/>
          </w:tcPr>
          <w:p w14:paraId="2482CB1E">
            <w:pPr>
              <w:pStyle w:val="85"/>
              <w:jc w:val="both"/>
              <w:rPr>
                <w:color w:val="auto"/>
                <w:sz w:val="22"/>
                <w:szCs w:val="22"/>
              </w:rPr>
            </w:pPr>
            <w:r>
              <w:rPr>
                <w:color w:val="auto"/>
                <w:sz w:val="22"/>
                <w:szCs w:val="22"/>
              </w:rPr>
              <w:t>Объяснять своими словами значение изученных понятий; использовать изученные понятия в процессе решения учебных задач</w:t>
            </w:r>
          </w:p>
        </w:tc>
      </w:tr>
      <w:tr w14:paraId="5A7DC2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701" w:type="dxa"/>
          </w:tcPr>
          <w:p w14:paraId="115C276D">
            <w:pPr>
              <w:pStyle w:val="85"/>
              <w:jc w:val="center"/>
              <w:rPr>
                <w:color w:val="auto"/>
                <w:sz w:val="22"/>
                <w:szCs w:val="22"/>
              </w:rPr>
            </w:pPr>
            <w:r>
              <w:rPr>
                <w:color w:val="auto"/>
                <w:sz w:val="22"/>
                <w:szCs w:val="22"/>
              </w:rPr>
              <w:t>2</w:t>
            </w:r>
          </w:p>
        </w:tc>
        <w:tc>
          <w:tcPr>
            <w:tcW w:w="7370" w:type="dxa"/>
          </w:tcPr>
          <w:p w14:paraId="3D844C82">
            <w:pPr>
              <w:pStyle w:val="85"/>
              <w:jc w:val="both"/>
              <w:rPr>
                <w:color w:val="auto"/>
                <w:sz w:val="22"/>
                <w:szCs w:val="22"/>
              </w:rPr>
            </w:pPr>
            <w:r>
              <w:rPr>
                <w:color w:val="auto"/>
                <w:sz w:val="22"/>
                <w:szCs w:val="22"/>
              </w:rPr>
              <w:t>Лексика</w:t>
            </w:r>
          </w:p>
        </w:tc>
      </w:tr>
      <w:tr w14:paraId="2B4CFB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701" w:type="dxa"/>
          </w:tcPr>
          <w:p w14:paraId="1387C963">
            <w:pPr>
              <w:pStyle w:val="85"/>
              <w:jc w:val="center"/>
              <w:rPr>
                <w:color w:val="auto"/>
                <w:sz w:val="22"/>
                <w:szCs w:val="22"/>
              </w:rPr>
            </w:pPr>
            <w:r>
              <w:rPr>
                <w:color w:val="auto"/>
                <w:sz w:val="22"/>
                <w:szCs w:val="22"/>
              </w:rPr>
              <w:t>2.1</w:t>
            </w:r>
          </w:p>
        </w:tc>
        <w:tc>
          <w:tcPr>
            <w:tcW w:w="7370" w:type="dxa"/>
          </w:tcPr>
          <w:p w14:paraId="5845D2F3">
            <w:pPr>
              <w:pStyle w:val="85"/>
              <w:jc w:val="both"/>
              <w:rPr>
                <w:color w:val="auto"/>
                <w:sz w:val="22"/>
                <w:szCs w:val="22"/>
              </w:rPr>
            </w:pPr>
            <w:r>
              <w:rPr>
                <w:color w:val="auto"/>
                <w:sz w:val="22"/>
                <w:szCs w:val="22"/>
              </w:rPr>
              <w:t>Выявлять в тексте случаи употребления многозначных слов, понимать их значения и уточнять значения по учебным словарям</w:t>
            </w:r>
          </w:p>
        </w:tc>
      </w:tr>
      <w:tr w14:paraId="208B81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701" w:type="dxa"/>
          </w:tcPr>
          <w:p w14:paraId="215BA5FE">
            <w:pPr>
              <w:pStyle w:val="85"/>
              <w:jc w:val="center"/>
              <w:rPr>
                <w:color w:val="auto"/>
                <w:sz w:val="22"/>
                <w:szCs w:val="22"/>
              </w:rPr>
            </w:pPr>
            <w:r>
              <w:rPr>
                <w:color w:val="auto"/>
                <w:sz w:val="22"/>
                <w:szCs w:val="22"/>
              </w:rPr>
              <w:t>2.2</w:t>
            </w:r>
          </w:p>
        </w:tc>
        <w:tc>
          <w:tcPr>
            <w:tcW w:w="7370" w:type="dxa"/>
          </w:tcPr>
          <w:p w14:paraId="3BA9DABF">
            <w:pPr>
              <w:pStyle w:val="85"/>
              <w:jc w:val="both"/>
              <w:rPr>
                <w:color w:val="auto"/>
                <w:sz w:val="22"/>
                <w:szCs w:val="22"/>
              </w:rPr>
            </w:pPr>
            <w:r>
              <w:rPr>
                <w:color w:val="auto"/>
                <w:sz w:val="22"/>
                <w:szCs w:val="22"/>
              </w:rPr>
              <w:t>Выявлять случаи употребления синонимов и антонимов (без называния терминов)</w:t>
            </w:r>
          </w:p>
        </w:tc>
      </w:tr>
      <w:tr w14:paraId="52309D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701" w:type="dxa"/>
          </w:tcPr>
          <w:p w14:paraId="2BF792B9">
            <w:pPr>
              <w:pStyle w:val="85"/>
              <w:jc w:val="center"/>
              <w:rPr>
                <w:color w:val="auto"/>
                <w:sz w:val="22"/>
                <w:szCs w:val="22"/>
              </w:rPr>
            </w:pPr>
            <w:r>
              <w:rPr>
                <w:color w:val="auto"/>
                <w:sz w:val="22"/>
                <w:szCs w:val="22"/>
              </w:rPr>
              <w:t>2.3</w:t>
            </w:r>
          </w:p>
        </w:tc>
        <w:tc>
          <w:tcPr>
            <w:tcW w:w="7370" w:type="dxa"/>
          </w:tcPr>
          <w:p w14:paraId="47403D97">
            <w:pPr>
              <w:pStyle w:val="85"/>
              <w:jc w:val="both"/>
              <w:rPr>
                <w:color w:val="auto"/>
                <w:sz w:val="22"/>
                <w:szCs w:val="22"/>
              </w:rPr>
            </w:pPr>
            <w:r>
              <w:rPr>
                <w:color w:val="auto"/>
                <w:sz w:val="22"/>
                <w:szCs w:val="22"/>
              </w:rPr>
              <w:t>Пользоваться толковым словарем учебника</w:t>
            </w:r>
          </w:p>
        </w:tc>
      </w:tr>
      <w:tr w14:paraId="2BF063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701" w:type="dxa"/>
          </w:tcPr>
          <w:p w14:paraId="6618C265">
            <w:pPr>
              <w:pStyle w:val="85"/>
              <w:jc w:val="center"/>
              <w:rPr>
                <w:color w:val="auto"/>
                <w:sz w:val="22"/>
                <w:szCs w:val="22"/>
              </w:rPr>
            </w:pPr>
            <w:r>
              <w:rPr>
                <w:color w:val="auto"/>
                <w:sz w:val="22"/>
                <w:szCs w:val="22"/>
              </w:rPr>
              <w:t>2.4</w:t>
            </w:r>
          </w:p>
        </w:tc>
        <w:tc>
          <w:tcPr>
            <w:tcW w:w="7370" w:type="dxa"/>
          </w:tcPr>
          <w:p w14:paraId="4C2702DA">
            <w:pPr>
              <w:pStyle w:val="85"/>
              <w:jc w:val="both"/>
              <w:rPr>
                <w:color w:val="auto"/>
                <w:sz w:val="22"/>
                <w:szCs w:val="22"/>
              </w:rPr>
            </w:pPr>
            <w:r>
              <w:rPr>
                <w:color w:val="auto"/>
                <w:sz w:val="22"/>
                <w:szCs w:val="22"/>
              </w:rPr>
              <w:t>Объяснять своими словами значение изученных понятий; использовать изученные понятия в процессе решения учебных задач</w:t>
            </w:r>
          </w:p>
        </w:tc>
      </w:tr>
      <w:tr w14:paraId="519D31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701" w:type="dxa"/>
          </w:tcPr>
          <w:p w14:paraId="14C38B57">
            <w:pPr>
              <w:pStyle w:val="85"/>
              <w:jc w:val="center"/>
              <w:rPr>
                <w:color w:val="auto"/>
                <w:sz w:val="22"/>
                <w:szCs w:val="22"/>
              </w:rPr>
            </w:pPr>
            <w:r>
              <w:rPr>
                <w:color w:val="auto"/>
                <w:sz w:val="22"/>
                <w:szCs w:val="22"/>
              </w:rPr>
              <w:t>3</w:t>
            </w:r>
          </w:p>
        </w:tc>
        <w:tc>
          <w:tcPr>
            <w:tcW w:w="7370" w:type="dxa"/>
          </w:tcPr>
          <w:p w14:paraId="4AD5B27E">
            <w:pPr>
              <w:pStyle w:val="85"/>
              <w:jc w:val="both"/>
              <w:rPr>
                <w:color w:val="auto"/>
                <w:sz w:val="22"/>
                <w:szCs w:val="22"/>
              </w:rPr>
            </w:pPr>
            <w:r>
              <w:rPr>
                <w:color w:val="auto"/>
                <w:sz w:val="22"/>
                <w:szCs w:val="22"/>
              </w:rPr>
              <w:t>Состав слова (морфемика)</w:t>
            </w:r>
          </w:p>
        </w:tc>
      </w:tr>
      <w:tr w14:paraId="577A05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701" w:type="dxa"/>
          </w:tcPr>
          <w:p w14:paraId="4372286A">
            <w:pPr>
              <w:pStyle w:val="85"/>
              <w:jc w:val="center"/>
              <w:rPr>
                <w:color w:val="auto"/>
                <w:sz w:val="22"/>
                <w:szCs w:val="22"/>
              </w:rPr>
            </w:pPr>
            <w:r>
              <w:rPr>
                <w:color w:val="auto"/>
                <w:sz w:val="22"/>
                <w:szCs w:val="22"/>
              </w:rPr>
              <w:t>3.1</w:t>
            </w:r>
          </w:p>
        </w:tc>
        <w:tc>
          <w:tcPr>
            <w:tcW w:w="7370" w:type="dxa"/>
          </w:tcPr>
          <w:p w14:paraId="633B5D75">
            <w:pPr>
              <w:pStyle w:val="85"/>
              <w:jc w:val="both"/>
              <w:rPr>
                <w:color w:val="auto"/>
                <w:sz w:val="22"/>
                <w:szCs w:val="22"/>
              </w:rPr>
            </w:pPr>
            <w:r>
              <w:rPr>
                <w:color w:val="auto"/>
                <w:sz w:val="22"/>
                <w:szCs w:val="22"/>
              </w:rPr>
              <w:t>Находить однокоренные слова</w:t>
            </w:r>
          </w:p>
        </w:tc>
      </w:tr>
      <w:tr w14:paraId="27A001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701" w:type="dxa"/>
          </w:tcPr>
          <w:p w14:paraId="7E9CC414">
            <w:pPr>
              <w:pStyle w:val="85"/>
              <w:jc w:val="center"/>
              <w:rPr>
                <w:color w:val="auto"/>
                <w:sz w:val="22"/>
                <w:szCs w:val="22"/>
              </w:rPr>
            </w:pPr>
            <w:r>
              <w:rPr>
                <w:color w:val="auto"/>
                <w:sz w:val="22"/>
                <w:szCs w:val="22"/>
              </w:rPr>
              <w:t>3.2</w:t>
            </w:r>
          </w:p>
        </w:tc>
        <w:tc>
          <w:tcPr>
            <w:tcW w:w="7370" w:type="dxa"/>
          </w:tcPr>
          <w:p w14:paraId="61208FED">
            <w:pPr>
              <w:pStyle w:val="85"/>
              <w:jc w:val="both"/>
              <w:rPr>
                <w:color w:val="auto"/>
                <w:sz w:val="22"/>
                <w:szCs w:val="22"/>
              </w:rPr>
            </w:pPr>
            <w:r>
              <w:rPr>
                <w:color w:val="auto"/>
                <w:sz w:val="22"/>
                <w:szCs w:val="22"/>
              </w:rPr>
              <w:t>Выделять в слове корень (простые случаи)</w:t>
            </w:r>
          </w:p>
        </w:tc>
      </w:tr>
      <w:tr w14:paraId="3DDF5C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701" w:type="dxa"/>
          </w:tcPr>
          <w:p w14:paraId="686A5153">
            <w:pPr>
              <w:pStyle w:val="85"/>
              <w:jc w:val="center"/>
              <w:rPr>
                <w:color w:val="auto"/>
                <w:sz w:val="22"/>
                <w:szCs w:val="22"/>
              </w:rPr>
            </w:pPr>
            <w:r>
              <w:rPr>
                <w:color w:val="auto"/>
                <w:sz w:val="22"/>
                <w:szCs w:val="22"/>
              </w:rPr>
              <w:t>3.3</w:t>
            </w:r>
          </w:p>
        </w:tc>
        <w:tc>
          <w:tcPr>
            <w:tcW w:w="7370" w:type="dxa"/>
          </w:tcPr>
          <w:p w14:paraId="042140B7">
            <w:pPr>
              <w:pStyle w:val="85"/>
              <w:jc w:val="both"/>
              <w:rPr>
                <w:color w:val="auto"/>
                <w:sz w:val="22"/>
                <w:szCs w:val="22"/>
              </w:rPr>
            </w:pPr>
            <w:r>
              <w:rPr>
                <w:color w:val="auto"/>
                <w:sz w:val="22"/>
                <w:szCs w:val="22"/>
              </w:rPr>
              <w:t>Выделять в слове окончание</w:t>
            </w:r>
          </w:p>
        </w:tc>
      </w:tr>
      <w:tr w14:paraId="7ED52D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701" w:type="dxa"/>
          </w:tcPr>
          <w:p w14:paraId="2AC34A9D">
            <w:pPr>
              <w:pStyle w:val="85"/>
              <w:jc w:val="center"/>
              <w:rPr>
                <w:color w:val="auto"/>
                <w:sz w:val="22"/>
                <w:szCs w:val="22"/>
              </w:rPr>
            </w:pPr>
            <w:r>
              <w:rPr>
                <w:color w:val="auto"/>
                <w:sz w:val="22"/>
                <w:szCs w:val="22"/>
              </w:rPr>
              <w:t>3.4</w:t>
            </w:r>
          </w:p>
        </w:tc>
        <w:tc>
          <w:tcPr>
            <w:tcW w:w="7370" w:type="dxa"/>
          </w:tcPr>
          <w:p w14:paraId="059B274E">
            <w:pPr>
              <w:pStyle w:val="85"/>
              <w:jc w:val="both"/>
              <w:rPr>
                <w:color w:val="auto"/>
                <w:sz w:val="22"/>
                <w:szCs w:val="22"/>
              </w:rPr>
            </w:pPr>
            <w:r>
              <w:rPr>
                <w:color w:val="auto"/>
                <w:sz w:val="22"/>
                <w:szCs w:val="22"/>
              </w:rPr>
              <w:t>Объяснять своими словами значение изученных понятий; использовать изученные понятия в процессе решения учебных задач</w:t>
            </w:r>
          </w:p>
        </w:tc>
      </w:tr>
      <w:tr w14:paraId="6F1922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701" w:type="dxa"/>
          </w:tcPr>
          <w:p w14:paraId="7E7C20A8">
            <w:pPr>
              <w:pStyle w:val="85"/>
              <w:jc w:val="center"/>
              <w:rPr>
                <w:color w:val="auto"/>
                <w:sz w:val="22"/>
                <w:szCs w:val="22"/>
              </w:rPr>
            </w:pPr>
            <w:r>
              <w:rPr>
                <w:color w:val="auto"/>
                <w:sz w:val="22"/>
                <w:szCs w:val="22"/>
              </w:rPr>
              <w:t>4</w:t>
            </w:r>
          </w:p>
        </w:tc>
        <w:tc>
          <w:tcPr>
            <w:tcW w:w="7370" w:type="dxa"/>
          </w:tcPr>
          <w:p w14:paraId="0BD981DA">
            <w:pPr>
              <w:pStyle w:val="85"/>
              <w:jc w:val="both"/>
              <w:rPr>
                <w:color w:val="auto"/>
                <w:sz w:val="22"/>
                <w:szCs w:val="22"/>
              </w:rPr>
            </w:pPr>
            <w:r>
              <w:rPr>
                <w:color w:val="auto"/>
                <w:sz w:val="22"/>
                <w:szCs w:val="22"/>
              </w:rPr>
              <w:t>Морфология</w:t>
            </w:r>
          </w:p>
        </w:tc>
      </w:tr>
      <w:tr w14:paraId="764D0A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701" w:type="dxa"/>
          </w:tcPr>
          <w:p w14:paraId="52647D6F">
            <w:pPr>
              <w:pStyle w:val="85"/>
              <w:jc w:val="center"/>
              <w:rPr>
                <w:color w:val="auto"/>
                <w:sz w:val="22"/>
                <w:szCs w:val="22"/>
              </w:rPr>
            </w:pPr>
            <w:r>
              <w:rPr>
                <w:color w:val="auto"/>
                <w:sz w:val="22"/>
                <w:szCs w:val="22"/>
              </w:rPr>
              <w:t>4.1</w:t>
            </w:r>
          </w:p>
        </w:tc>
        <w:tc>
          <w:tcPr>
            <w:tcW w:w="7370" w:type="dxa"/>
          </w:tcPr>
          <w:p w14:paraId="7E0807A9">
            <w:pPr>
              <w:pStyle w:val="85"/>
              <w:jc w:val="both"/>
              <w:rPr>
                <w:color w:val="auto"/>
                <w:sz w:val="22"/>
                <w:szCs w:val="22"/>
              </w:rPr>
            </w:pPr>
            <w:r>
              <w:rPr>
                <w:color w:val="auto"/>
                <w:sz w:val="22"/>
                <w:szCs w:val="22"/>
              </w:rPr>
              <w:t>Распознавать слова, отвечающие на вопросы "кто?", "что?"</w:t>
            </w:r>
          </w:p>
        </w:tc>
      </w:tr>
      <w:tr w14:paraId="4335E1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701" w:type="dxa"/>
          </w:tcPr>
          <w:p w14:paraId="5C956E0B">
            <w:pPr>
              <w:pStyle w:val="85"/>
              <w:jc w:val="center"/>
              <w:rPr>
                <w:color w:val="auto"/>
                <w:sz w:val="22"/>
                <w:szCs w:val="22"/>
              </w:rPr>
            </w:pPr>
            <w:r>
              <w:rPr>
                <w:color w:val="auto"/>
                <w:sz w:val="22"/>
                <w:szCs w:val="22"/>
              </w:rPr>
              <w:t>4.2</w:t>
            </w:r>
          </w:p>
        </w:tc>
        <w:tc>
          <w:tcPr>
            <w:tcW w:w="7370" w:type="dxa"/>
          </w:tcPr>
          <w:p w14:paraId="03E33A16">
            <w:pPr>
              <w:pStyle w:val="85"/>
              <w:jc w:val="both"/>
              <w:rPr>
                <w:color w:val="auto"/>
                <w:sz w:val="22"/>
                <w:szCs w:val="22"/>
              </w:rPr>
            </w:pPr>
            <w:r>
              <w:rPr>
                <w:color w:val="auto"/>
                <w:sz w:val="22"/>
                <w:szCs w:val="22"/>
              </w:rPr>
              <w:t>Распознавать слова, отвечающие на вопросы "что делать?", "что сделать?" и другие</w:t>
            </w:r>
          </w:p>
        </w:tc>
      </w:tr>
      <w:tr w14:paraId="41D853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701" w:type="dxa"/>
          </w:tcPr>
          <w:p w14:paraId="01FF36C2">
            <w:pPr>
              <w:pStyle w:val="85"/>
              <w:jc w:val="center"/>
              <w:rPr>
                <w:color w:val="auto"/>
                <w:sz w:val="22"/>
                <w:szCs w:val="22"/>
              </w:rPr>
            </w:pPr>
            <w:r>
              <w:rPr>
                <w:color w:val="auto"/>
                <w:sz w:val="22"/>
                <w:szCs w:val="22"/>
              </w:rPr>
              <w:t>4.3</w:t>
            </w:r>
          </w:p>
        </w:tc>
        <w:tc>
          <w:tcPr>
            <w:tcW w:w="7370" w:type="dxa"/>
          </w:tcPr>
          <w:p w14:paraId="5DF9D058">
            <w:pPr>
              <w:pStyle w:val="85"/>
              <w:jc w:val="both"/>
              <w:rPr>
                <w:color w:val="auto"/>
                <w:sz w:val="22"/>
                <w:szCs w:val="22"/>
              </w:rPr>
            </w:pPr>
            <w:r>
              <w:rPr>
                <w:color w:val="auto"/>
                <w:sz w:val="22"/>
                <w:szCs w:val="22"/>
              </w:rPr>
              <w:t>Распознавать слова, отвечающие на вопросы "какой?", "какая?", "какое?", "какие?"</w:t>
            </w:r>
          </w:p>
        </w:tc>
      </w:tr>
      <w:tr w14:paraId="05ACD8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701" w:type="dxa"/>
          </w:tcPr>
          <w:p w14:paraId="449AD329">
            <w:pPr>
              <w:pStyle w:val="85"/>
              <w:jc w:val="center"/>
              <w:rPr>
                <w:color w:val="auto"/>
                <w:sz w:val="22"/>
                <w:szCs w:val="22"/>
              </w:rPr>
            </w:pPr>
            <w:r>
              <w:rPr>
                <w:color w:val="auto"/>
                <w:sz w:val="22"/>
                <w:szCs w:val="22"/>
              </w:rPr>
              <w:t>4.4</w:t>
            </w:r>
          </w:p>
        </w:tc>
        <w:tc>
          <w:tcPr>
            <w:tcW w:w="7370" w:type="dxa"/>
          </w:tcPr>
          <w:p w14:paraId="4817EBD6">
            <w:pPr>
              <w:pStyle w:val="85"/>
              <w:jc w:val="both"/>
              <w:rPr>
                <w:color w:val="auto"/>
                <w:sz w:val="22"/>
                <w:szCs w:val="22"/>
              </w:rPr>
            </w:pPr>
            <w:r>
              <w:rPr>
                <w:color w:val="auto"/>
                <w:sz w:val="22"/>
                <w:szCs w:val="22"/>
              </w:rPr>
              <w:t>Объяснять своими словами значение изученных понятий; использовать изученные понятия в процессе решения учебных задач</w:t>
            </w:r>
          </w:p>
        </w:tc>
      </w:tr>
      <w:tr w14:paraId="7031AB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701" w:type="dxa"/>
          </w:tcPr>
          <w:p w14:paraId="691BD852">
            <w:pPr>
              <w:pStyle w:val="85"/>
              <w:jc w:val="center"/>
              <w:rPr>
                <w:color w:val="auto"/>
                <w:sz w:val="22"/>
                <w:szCs w:val="22"/>
              </w:rPr>
            </w:pPr>
            <w:r>
              <w:rPr>
                <w:color w:val="auto"/>
                <w:sz w:val="22"/>
                <w:szCs w:val="22"/>
              </w:rPr>
              <w:t>5</w:t>
            </w:r>
          </w:p>
        </w:tc>
        <w:tc>
          <w:tcPr>
            <w:tcW w:w="7370" w:type="dxa"/>
          </w:tcPr>
          <w:p w14:paraId="1D2FD239">
            <w:pPr>
              <w:pStyle w:val="85"/>
              <w:jc w:val="both"/>
              <w:rPr>
                <w:color w:val="auto"/>
                <w:sz w:val="22"/>
                <w:szCs w:val="22"/>
              </w:rPr>
            </w:pPr>
            <w:r>
              <w:rPr>
                <w:color w:val="auto"/>
                <w:sz w:val="22"/>
                <w:szCs w:val="22"/>
              </w:rPr>
              <w:t>Синтаксис</w:t>
            </w:r>
          </w:p>
        </w:tc>
      </w:tr>
      <w:tr w14:paraId="5CA9C9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701" w:type="dxa"/>
          </w:tcPr>
          <w:p w14:paraId="3E6236F3">
            <w:pPr>
              <w:pStyle w:val="85"/>
              <w:jc w:val="center"/>
              <w:rPr>
                <w:color w:val="auto"/>
                <w:sz w:val="22"/>
                <w:szCs w:val="22"/>
              </w:rPr>
            </w:pPr>
            <w:r>
              <w:rPr>
                <w:color w:val="auto"/>
                <w:sz w:val="22"/>
                <w:szCs w:val="22"/>
              </w:rPr>
              <w:t>5.1</w:t>
            </w:r>
          </w:p>
        </w:tc>
        <w:tc>
          <w:tcPr>
            <w:tcW w:w="7370" w:type="dxa"/>
          </w:tcPr>
          <w:p w14:paraId="621208F1">
            <w:pPr>
              <w:pStyle w:val="85"/>
              <w:jc w:val="both"/>
              <w:rPr>
                <w:color w:val="auto"/>
                <w:sz w:val="22"/>
                <w:szCs w:val="22"/>
              </w:rPr>
            </w:pPr>
            <w:r>
              <w:rPr>
                <w:color w:val="auto"/>
                <w:sz w:val="22"/>
                <w:szCs w:val="22"/>
              </w:rPr>
              <w:t>Определять вид предложения по цели высказывания и по эмоциональной окраске</w:t>
            </w:r>
          </w:p>
        </w:tc>
      </w:tr>
      <w:tr w14:paraId="0A7FCE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701" w:type="dxa"/>
          </w:tcPr>
          <w:p w14:paraId="4ED1F00C">
            <w:pPr>
              <w:pStyle w:val="85"/>
              <w:jc w:val="center"/>
              <w:rPr>
                <w:color w:val="auto"/>
                <w:sz w:val="22"/>
                <w:szCs w:val="22"/>
              </w:rPr>
            </w:pPr>
            <w:r>
              <w:rPr>
                <w:color w:val="auto"/>
                <w:sz w:val="22"/>
                <w:szCs w:val="22"/>
              </w:rPr>
              <w:t>5.2</w:t>
            </w:r>
          </w:p>
        </w:tc>
        <w:tc>
          <w:tcPr>
            <w:tcW w:w="7370" w:type="dxa"/>
          </w:tcPr>
          <w:p w14:paraId="776F750F">
            <w:pPr>
              <w:pStyle w:val="85"/>
              <w:jc w:val="both"/>
              <w:rPr>
                <w:color w:val="auto"/>
                <w:sz w:val="22"/>
                <w:szCs w:val="22"/>
              </w:rPr>
            </w:pPr>
            <w:r>
              <w:rPr>
                <w:color w:val="auto"/>
                <w:sz w:val="22"/>
                <w:szCs w:val="22"/>
              </w:rPr>
              <w:t>Составлять предложения из слов, устанавливая между ними смысловую связь по вопросам</w:t>
            </w:r>
          </w:p>
        </w:tc>
      </w:tr>
      <w:tr w14:paraId="612BF3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701" w:type="dxa"/>
          </w:tcPr>
          <w:p w14:paraId="56448217">
            <w:pPr>
              <w:pStyle w:val="85"/>
              <w:jc w:val="center"/>
              <w:rPr>
                <w:color w:val="auto"/>
                <w:sz w:val="22"/>
                <w:szCs w:val="22"/>
              </w:rPr>
            </w:pPr>
            <w:r>
              <w:rPr>
                <w:color w:val="auto"/>
                <w:sz w:val="22"/>
                <w:szCs w:val="22"/>
              </w:rPr>
              <w:t>5.3</w:t>
            </w:r>
          </w:p>
        </w:tc>
        <w:tc>
          <w:tcPr>
            <w:tcW w:w="7370" w:type="dxa"/>
          </w:tcPr>
          <w:p w14:paraId="10A0DEC4">
            <w:pPr>
              <w:pStyle w:val="85"/>
              <w:jc w:val="both"/>
              <w:rPr>
                <w:color w:val="auto"/>
                <w:sz w:val="22"/>
                <w:szCs w:val="22"/>
              </w:rPr>
            </w:pPr>
            <w:r>
              <w:rPr>
                <w:color w:val="auto"/>
                <w:sz w:val="22"/>
                <w:szCs w:val="22"/>
              </w:rPr>
              <w:t>Объяснять своими словами значение изученных понятий; использовать изученные понятия в процессе решения учебных задач</w:t>
            </w:r>
          </w:p>
        </w:tc>
      </w:tr>
      <w:tr w14:paraId="7CB392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701" w:type="dxa"/>
          </w:tcPr>
          <w:p w14:paraId="4C96C62B">
            <w:pPr>
              <w:pStyle w:val="85"/>
              <w:jc w:val="center"/>
              <w:rPr>
                <w:color w:val="auto"/>
                <w:sz w:val="22"/>
                <w:szCs w:val="22"/>
              </w:rPr>
            </w:pPr>
            <w:r>
              <w:rPr>
                <w:color w:val="auto"/>
                <w:sz w:val="22"/>
                <w:szCs w:val="22"/>
              </w:rPr>
              <w:t>6</w:t>
            </w:r>
          </w:p>
        </w:tc>
        <w:tc>
          <w:tcPr>
            <w:tcW w:w="7370" w:type="dxa"/>
          </w:tcPr>
          <w:p w14:paraId="38B4515A">
            <w:pPr>
              <w:pStyle w:val="85"/>
              <w:jc w:val="both"/>
              <w:rPr>
                <w:color w:val="auto"/>
                <w:sz w:val="22"/>
                <w:szCs w:val="22"/>
              </w:rPr>
            </w:pPr>
            <w:r>
              <w:rPr>
                <w:color w:val="auto"/>
                <w:sz w:val="22"/>
                <w:szCs w:val="22"/>
              </w:rPr>
              <w:t>Орфография и пунктуация</w:t>
            </w:r>
          </w:p>
        </w:tc>
      </w:tr>
      <w:tr w14:paraId="77BAFF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701" w:type="dxa"/>
          </w:tcPr>
          <w:p w14:paraId="48F21063">
            <w:pPr>
              <w:pStyle w:val="85"/>
              <w:jc w:val="center"/>
              <w:rPr>
                <w:color w:val="auto"/>
                <w:sz w:val="22"/>
                <w:szCs w:val="22"/>
              </w:rPr>
            </w:pPr>
            <w:r>
              <w:rPr>
                <w:color w:val="auto"/>
                <w:sz w:val="22"/>
                <w:szCs w:val="22"/>
              </w:rPr>
              <w:t>6.1</w:t>
            </w:r>
          </w:p>
        </w:tc>
        <w:tc>
          <w:tcPr>
            <w:tcW w:w="7370" w:type="dxa"/>
          </w:tcPr>
          <w:p w14:paraId="1F550908">
            <w:pPr>
              <w:pStyle w:val="85"/>
              <w:jc w:val="both"/>
              <w:rPr>
                <w:color w:val="auto"/>
                <w:sz w:val="22"/>
                <w:szCs w:val="22"/>
              </w:rPr>
            </w:pPr>
            <w:r>
              <w:rPr>
                <w:color w:val="auto"/>
                <w:sz w:val="22"/>
                <w:szCs w:val="22"/>
              </w:rPr>
              <w:t>Применять изученные правила правописания, в том числе: сочетания чк, чн, чт; щн, нч; проверяемые безударные гласные в корне слова; парные звонкие и глухие согласные в корне слова; непроверяемые гласные и согласные (перечень слов в орфографическом словаре учебника); заглавная буква в именах, отчествах, фамилиях людей, кличках животных, географических названиях; раздельное написание предлогов с именами существительными, разделительный мягкий знак</w:t>
            </w:r>
          </w:p>
        </w:tc>
      </w:tr>
      <w:tr w14:paraId="581929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701" w:type="dxa"/>
          </w:tcPr>
          <w:p w14:paraId="4F798A37">
            <w:pPr>
              <w:pStyle w:val="85"/>
              <w:jc w:val="center"/>
              <w:rPr>
                <w:color w:val="auto"/>
                <w:sz w:val="22"/>
                <w:szCs w:val="22"/>
              </w:rPr>
            </w:pPr>
            <w:r>
              <w:rPr>
                <w:color w:val="auto"/>
                <w:sz w:val="22"/>
                <w:szCs w:val="22"/>
              </w:rPr>
              <w:t>6.2</w:t>
            </w:r>
          </w:p>
        </w:tc>
        <w:tc>
          <w:tcPr>
            <w:tcW w:w="7370" w:type="dxa"/>
          </w:tcPr>
          <w:p w14:paraId="47EABA88">
            <w:pPr>
              <w:pStyle w:val="85"/>
              <w:jc w:val="both"/>
              <w:rPr>
                <w:color w:val="auto"/>
                <w:sz w:val="22"/>
                <w:szCs w:val="22"/>
              </w:rPr>
            </w:pPr>
            <w:r>
              <w:rPr>
                <w:color w:val="auto"/>
                <w:sz w:val="22"/>
                <w:szCs w:val="22"/>
              </w:rPr>
              <w:t>Находить место орфограммы в слове и между словами на изученные правила</w:t>
            </w:r>
          </w:p>
        </w:tc>
      </w:tr>
      <w:tr w14:paraId="3025A6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701" w:type="dxa"/>
          </w:tcPr>
          <w:p w14:paraId="02085892">
            <w:pPr>
              <w:pStyle w:val="85"/>
              <w:jc w:val="center"/>
              <w:rPr>
                <w:color w:val="auto"/>
                <w:sz w:val="22"/>
                <w:szCs w:val="22"/>
              </w:rPr>
            </w:pPr>
            <w:r>
              <w:rPr>
                <w:color w:val="auto"/>
                <w:sz w:val="22"/>
                <w:szCs w:val="22"/>
              </w:rPr>
              <w:t>6.3</w:t>
            </w:r>
          </w:p>
        </w:tc>
        <w:tc>
          <w:tcPr>
            <w:tcW w:w="7370" w:type="dxa"/>
          </w:tcPr>
          <w:p w14:paraId="3D7E1163">
            <w:pPr>
              <w:pStyle w:val="85"/>
              <w:jc w:val="both"/>
              <w:rPr>
                <w:color w:val="auto"/>
                <w:sz w:val="22"/>
                <w:szCs w:val="22"/>
              </w:rPr>
            </w:pPr>
            <w:r>
              <w:rPr>
                <w:color w:val="auto"/>
                <w:sz w:val="22"/>
                <w:szCs w:val="22"/>
              </w:rPr>
              <w:t>Правильно списывать (без пропусков и искажений букв) слова и предложения, тексты объемом не более 50 слов</w:t>
            </w:r>
          </w:p>
        </w:tc>
      </w:tr>
      <w:tr w14:paraId="60396D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701" w:type="dxa"/>
          </w:tcPr>
          <w:p w14:paraId="5F787E9B">
            <w:pPr>
              <w:pStyle w:val="85"/>
              <w:jc w:val="center"/>
              <w:rPr>
                <w:color w:val="auto"/>
                <w:sz w:val="22"/>
                <w:szCs w:val="22"/>
              </w:rPr>
            </w:pPr>
            <w:r>
              <w:rPr>
                <w:color w:val="auto"/>
                <w:sz w:val="22"/>
                <w:szCs w:val="22"/>
              </w:rPr>
              <w:t>6.4</w:t>
            </w:r>
          </w:p>
        </w:tc>
        <w:tc>
          <w:tcPr>
            <w:tcW w:w="7370" w:type="dxa"/>
          </w:tcPr>
          <w:p w14:paraId="25FF936D">
            <w:pPr>
              <w:pStyle w:val="85"/>
              <w:jc w:val="both"/>
              <w:rPr>
                <w:color w:val="auto"/>
                <w:sz w:val="22"/>
                <w:szCs w:val="22"/>
              </w:rPr>
            </w:pPr>
            <w:r>
              <w:rPr>
                <w:color w:val="auto"/>
                <w:sz w:val="22"/>
                <w:szCs w:val="22"/>
              </w:rPr>
              <w:t>Писать под диктовку (без пропусков и искажений букв) слова, предложения, тексты объемом не более 45 слов с учетом изученных правил правописания</w:t>
            </w:r>
          </w:p>
        </w:tc>
      </w:tr>
      <w:tr w14:paraId="610FF1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701" w:type="dxa"/>
          </w:tcPr>
          <w:p w14:paraId="6FBF69A2">
            <w:pPr>
              <w:pStyle w:val="85"/>
              <w:jc w:val="center"/>
              <w:rPr>
                <w:color w:val="auto"/>
                <w:sz w:val="22"/>
                <w:szCs w:val="22"/>
              </w:rPr>
            </w:pPr>
            <w:r>
              <w:rPr>
                <w:color w:val="auto"/>
                <w:sz w:val="22"/>
                <w:szCs w:val="22"/>
              </w:rPr>
              <w:t>6.5</w:t>
            </w:r>
          </w:p>
        </w:tc>
        <w:tc>
          <w:tcPr>
            <w:tcW w:w="7370" w:type="dxa"/>
          </w:tcPr>
          <w:p w14:paraId="227AF9EF">
            <w:pPr>
              <w:pStyle w:val="85"/>
              <w:jc w:val="both"/>
              <w:rPr>
                <w:color w:val="auto"/>
                <w:sz w:val="22"/>
                <w:szCs w:val="22"/>
              </w:rPr>
            </w:pPr>
            <w:r>
              <w:rPr>
                <w:color w:val="auto"/>
                <w:sz w:val="22"/>
                <w:szCs w:val="22"/>
              </w:rPr>
              <w:t>Находить и исправлять ошибки на изученные правила, описки</w:t>
            </w:r>
          </w:p>
        </w:tc>
      </w:tr>
      <w:tr w14:paraId="3C1DAC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701" w:type="dxa"/>
          </w:tcPr>
          <w:p w14:paraId="1B1A6013">
            <w:pPr>
              <w:pStyle w:val="85"/>
              <w:jc w:val="center"/>
              <w:rPr>
                <w:color w:val="auto"/>
                <w:sz w:val="22"/>
                <w:szCs w:val="22"/>
              </w:rPr>
            </w:pPr>
            <w:r>
              <w:rPr>
                <w:color w:val="auto"/>
                <w:sz w:val="22"/>
                <w:szCs w:val="22"/>
              </w:rPr>
              <w:t>6.6</w:t>
            </w:r>
          </w:p>
        </w:tc>
        <w:tc>
          <w:tcPr>
            <w:tcW w:w="7370" w:type="dxa"/>
          </w:tcPr>
          <w:p w14:paraId="09729924">
            <w:pPr>
              <w:pStyle w:val="85"/>
              <w:jc w:val="both"/>
              <w:rPr>
                <w:color w:val="auto"/>
                <w:sz w:val="22"/>
                <w:szCs w:val="22"/>
              </w:rPr>
            </w:pPr>
            <w:r>
              <w:rPr>
                <w:color w:val="auto"/>
                <w:sz w:val="22"/>
                <w:szCs w:val="22"/>
              </w:rPr>
              <w:t>Пользоваться орфографическим словарем учебника</w:t>
            </w:r>
          </w:p>
        </w:tc>
      </w:tr>
      <w:tr w14:paraId="3C58C0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701" w:type="dxa"/>
          </w:tcPr>
          <w:p w14:paraId="6E749760">
            <w:pPr>
              <w:pStyle w:val="85"/>
              <w:jc w:val="center"/>
              <w:rPr>
                <w:color w:val="auto"/>
                <w:sz w:val="22"/>
                <w:szCs w:val="22"/>
              </w:rPr>
            </w:pPr>
            <w:r>
              <w:rPr>
                <w:color w:val="auto"/>
                <w:sz w:val="22"/>
                <w:szCs w:val="22"/>
              </w:rPr>
              <w:t>7</w:t>
            </w:r>
          </w:p>
        </w:tc>
        <w:tc>
          <w:tcPr>
            <w:tcW w:w="7370" w:type="dxa"/>
          </w:tcPr>
          <w:p w14:paraId="3E8C0B02">
            <w:pPr>
              <w:pStyle w:val="85"/>
              <w:jc w:val="both"/>
              <w:rPr>
                <w:color w:val="auto"/>
                <w:sz w:val="22"/>
                <w:szCs w:val="22"/>
              </w:rPr>
            </w:pPr>
            <w:r>
              <w:rPr>
                <w:color w:val="auto"/>
                <w:sz w:val="22"/>
                <w:szCs w:val="22"/>
              </w:rPr>
              <w:t>Развитие речи</w:t>
            </w:r>
          </w:p>
        </w:tc>
      </w:tr>
      <w:tr w14:paraId="7B906A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701" w:type="dxa"/>
          </w:tcPr>
          <w:p w14:paraId="308F588E">
            <w:pPr>
              <w:pStyle w:val="85"/>
              <w:jc w:val="center"/>
              <w:rPr>
                <w:color w:val="auto"/>
                <w:sz w:val="22"/>
                <w:szCs w:val="22"/>
              </w:rPr>
            </w:pPr>
            <w:r>
              <w:rPr>
                <w:color w:val="auto"/>
                <w:sz w:val="22"/>
                <w:szCs w:val="22"/>
              </w:rPr>
              <w:t>7.1</w:t>
            </w:r>
          </w:p>
        </w:tc>
        <w:tc>
          <w:tcPr>
            <w:tcW w:w="7370" w:type="dxa"/>
          </w:tcPr>
          <w:p w14:paraId="45AC81AA">
            <w:pPr>
              <w:pStyle w:val="85"/>
              <w:jc w:val="both"/>
              <w:rPr>
                <w:color w:val="auto"/>
                <w:sz w:val="22"/>
                <w:szCs w:val="22"/>
              </w:rPr>
            </w:pPr>
            <w:r>
              <w:rPr>
                <w:color w:val="auto"/>
                <w:sz w:val="22"/>
                <w:szCs w:val="22"/>
              </w:rPr>
              <w:t>Строить устное диалогическое и монологическое высказывание (2 - 4 предложения на определенную тему, по наблюдениям) с соблюдением орфоэпических норм, правильной интонации</w:t>
            </w:r>
          </w:p>
        </w:tc>
      </w:tr>
      <w:tr w14:paraId="7D6C0B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701" w:type="dxa"/>
          </w:tcPr>
          <w:p w14:paraId="11594DD0">
            <w:pPr>
              <w:pStyle w:val="85"/>
              <w:jc w:val="center"/>
              <w:rPr>
                <w:color w:val="auto"/>
                <w:sz w:val="22"/>
                <w:szCs w:val="22"/>
              </w:rPr>
            </w:pPr>
            <w:r>
              <w:rPr>
                <w:color w:val="auto"/>
                <w:sz w:val="22"/>
                <w:szCs w:val="22"/>
              </w:rPr>
              <w:t>7.2</w:t>
            </w:r>
          </w:p>
        </w:tc>
        <w:tc>
          <w:tcPr>
            <w:tcW w:w="7370" w:type="dxa"/>
          </w:tcPr>
          <w:p w14:paraId="0B0AE8E8">
            <w:pPr>
              <w:pStyle w:val="85"/>
              <w:jc w:val="both"/>
              <w:rPr>
                <w:color w:val="auto"/>
                <w:sz w:val="22"/>
                <w:szCs w:val="22"/>
              </w:rPr>
            </w:pPr>
            <w:r>
              <w:rPr>
                <w:color w:val="auto"/>
                <w:sz w:val="22"/>
                <w:szCs w:val="22"/>
              </w:rPr>
              <w:t>Формулировать простые выводы на основе прочитанного (услышанного) устно и письменно (1 - 2 предложения)</w:t>
            </w:r>
          </w:p>
        </w:tc>
      </w:tr>
      <w:tr w14:paraId="618D55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701" w:type="dxa"/>
          </w:tcPr>
          <w:p w14:paraId="5E78C472">
            <w:pPr>
              <w:pStyle w:val="85"/>
              <w:jc w:val="center"/>
              <w:rPr>
                <w:color w:val="auto"/>
                <w:sz w:val="22"/>
                <w:szCs w:val="22"/>
              </w:rPr>
            </w:pPr>
            <w:r>
              <w:rPr>
                <w:color w:val="auto"/>
                <w:sz w:val="22"/>
                <w:szCs w:val="22"/>
              </w:rPr>
              <w:t>7.3</w:t>
            </w:r>
          </w:p>
        </w:tc>
        <w:tc>
          <w:tcPr>
            <w:tcW w:w="7370" w:type="dxa"/>
          </w:tcPr>
          <w:p w14:paraId="430EA048">
            <w:pPr>
              <w:pStyle w:val="85"/>
              <w:jc w:val="both"/>
              <w:rPr>
                <w:color w:val="auto"/>
                <w:sz w:val="22"/>
                <w:szCs w:val="22"/>
              </w:rPr>
            </w:pPr>
            <w:r>
              <w:rPr>
                <w:color w:val="auto"/>
                <w:sz w:val="22"/>
                <w:szCs w:val="22"/>
              </w:rPr>
              <w:t>Определять тему текста и озаглавливать текст, отражая его тему</w:t>
            </w:r>
          </w:p>
        </w:tc>
      </w:tr>
      <w:tr w14:paraId="68EB3B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701" w:type="dxa"/>
          </w:tcPr>
          <w:p w14:paraId="7CADEF9B">
            <w:pPr>
              <w:pStyle w:val="85"/>
              <w:jc w:val="center"/>
              <w:rPr>
                <w:color w:val="auto"/>
                <w:sz w:val="22"/>
                <w:szCs w:val="22"/>
              </w:rPr>
            </w:pPr>
            <w:r>
              <w:rPr>
                <w:color w:val="auto"/>
                <w:sz w:val="22"/>
                <w:szCs w:val="22"/>
              </w:rPr>
              <w:t>7.4</w:t>
            </w:r>
          </w:p>
        </w:tc>
        <w:tc>
          <w:tcPr>
            <w:tcW w:w="7370" w:type="dxa"/>
          </w:tcPr>
          <w:p w14:paraId="182B3FE9">
            <w:pPr>
              <w:pStyle w:val="85"/>
              <w:jc w:val="both"/>
              <w:rPr>
                <w:color w:val="auto"/>
                <w:sz w:val="22"/>
                <w:szCs w:val="22"/>
              </w:rPr>
            </w:pPr>
            <w:r>
              <w:rPr>
                <w:color w:val="auto"/>
                <w:sz w:val="22"/>
                <w:szCs w:val="22"/>
              </w:rPr>
              <w:t>Составлять текст из разрозненных предложений, частей текста</w:t>
            </w:r>
          </w:p>
        </w:tc>
      </w:tr>
      <w:tr w14:paraId="3D8E0A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701" w:type="dxa"/>
          </w:tcPr>
          <w:p w14:paraId="60E09728">
            <w:pPr>
              <w:pStyle w:val="85"/>
              <w:jc w:val="center"/>
              <w:rPr>
                <w:color w:val="auto"/>
                <w:sz w:val="22"/>
                <w:szCs w:val="22"/>
              </w:rPr>
            </w:pPr>
            <w:r>
              <w:rPr>
                <w:color w:val="auto"/>
                <w:sz w:val="22"/>
                <w:szCs w:val="22"/>
              </w:rPr>
              <w:t>7.5</w:t>
            </w:r>
          </w:p>
        </w:tc>
        <w:tc>
          <w:tcPr>
            <w:tcW w:w="7370" w:type="dxa"/>
          </w:tcPr>
          <w:p w14:paraId="2587EC8D">
            <w:pPr>
              <w:pStyle w:val="85"/>
              <w:jc w:val="both"/>
              <w:rPr>
                <w:color w:val="auto"/>
                <w:sz w:val="22"/>
                <w:szCs w:val="22"/>
              </w:rPr>
            </w:pPr>
            <w:r>
              <w:rPr>
                <w:color w:val="auto"/>
                <w:sz w:val="22"/>
                <w:szCs w:val="22"/>
              </w:rPr>
              <w:t>Писать подробное изложение повествовательного текста объемом 30 - 45 слов с использованием вопросов</w:t>
            </w:r>
          </w:p>
        </w:tc>
      </w:tr>
    </w:tbl>
    <w:p w14:paraId="79BFD472">
      <w:pPr>
        <w:pStyle w:val="85"/>
        <w:jc w:val="both"/>
        <w:rPr>
          <w:color w:val="auto"/>
          <w:sz w:val="22"/>
          <w:szCs w:val="22"/>
        </w:rPr>
      </w:pPr>
    </w:p>
    <w:p w14:paraId="52AE93D4">
      <w:pPr>
        <w:pStyle w:val="85"/>
        <w:jc w:val="right"/>
        <w:rPr>
          <w:color w:val="auto"/>
          <w:sz w:val="22"/>
          <w:szCs w:val="22"/>
        </w:rPr>
      </w:pPr>
      <w:r>
        <w:rPr>
          <w:color w:val="auto"/>
          <w:sz w:val="22"/>
          <w:szCs w:val="22"/>
        </w:rPr>
        <w:t>Таблица 3.3</w:t>
      </w:r>
    </w:p>
    <w:p w14:paraId="1059B5E1">
      <w:pPr>
        <w:pStyle w:val="85"/>
        <w:jc w:val="both"/>
        <w:rPr>
          <w:color w:val="auto"/>
          <w:sz w:val="22"/>
          <w:szCs w:val="22"/>
        </w:rPr>
      </w:pPr>
    </w:p>
    <w:p w14:paraId="01B2D609">
      <w:pPr>
        <w:pStyle w:val="85"/>
        <w:jc w:val="center"/>
        <w:rPr>
          <w:color w:val="auto"/>
          <w:sz w:val="22"/>
          <w:szCs w:val="22"/>
        </w:rPr>
      </w:pPr>
      <w:r>
        <w:rPr>
          <w:color w:val="auto"/>
          <w:sz w:val="22"/>
          <w:szCs w:val="22"/>
        </w:rPr>
        <w:t>Проверяемые элементы содержания (2 класс)</w:t>
      </w:r>
    </w:p>
    <w:p w14:paraId="40FAEAA4">
      <w:pPr>
        <w:pStyle w:val="85"/>
        <w:jc w:val="both"/>
        <w:rPr>
          <w:color w:val="auto"/>
          <w:sz w:val="22"/>
          <w:szCs w:val="22"/>
        </w:rPr>
      </w:pPr>
    </w:p>
    <w:tbl>
      <w:tblPr>
        <w:tblStyle w:val="1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02" w:type="dxa"/>
          <w:left w:w="62" w:type="dxa"/>
          <w:bottom w:w="102" w:type="dxa"/>
          <w:right w:w="62" w:type="dxa"/>
        </w:tblCellMar>
      </w:tblPr>
      <w:tblGrid>
        <w:gridCol w:w="1077"/>
        <w:gridCol w:w="7994"/>
      </w:tblGrid>
      <w:tr w14:paraId="1745C3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077" w:type="dxa"/>
          </w:tcPr>
          <w:p w14:paraId="712CA4AE">
            <w:pPr>
              <w:pStyle w:val="85"/>
              <w:jc w:val="center"/>
              <w:rPr>
                <w:color w:val="auto"/>
                <w:sz w:val="22"/>
                <w:szCs w:val="22"/>
              </w:rPr>
            </w:pPr>
            <w:r>
              <w:rPr>
                <w:color w:val="auto"/>
                <w:sz w:val="22"/>
                <w:szCs w:val="22"/>
              </w:rPr>
              <w:t>Код</w:t>
            </w:r>
          </w:p>
        </w:tc>
        <w:tc>
          <w:tcPr>
            <w:tcW w:w="7994" w:type="dxa"/>
          </w:tcPr>
          <w:p w14:paraId="4C59D98D">
            <w:pPr>
              <w:pStyle w:val="85"/>
              <w:jc w:val="center"/>
              <w:rPr>
                <w:color w:val="auto"/>
                <w:sz w:val="22"/>
                <w:szCs w:val="22"/>
              </w:rPr>
            </w:pPr>
            <w:r>
              <w:rPr>
                <w:color w:val="auto"/>
                <w:sz w:val="22"/>
                <w:szCs w:val="22"/>
              </w:rPr>
              <w:t>Проверяемый элемент содержания</w:t>
            </w:r>
          </w:p>
        </w:tc>
      </w:tr>
      <w:tr w14:paraId="7BF1A2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077" w:type="dxa"/>
          </w:tcPr>
          <w:p w14:paraId="6EAEA279">
            <w:pPr>
              <w:pStyle w:val="85"/>
              <w:jc w:val="center"/>
              <w:rPr>
                <w:color w:val="auto"/>
                <w:sz w:val="22"/>
                <w:szCs w:val="22"/>
              </w:rPr>
            </w:pPr>
            <w:r>
              <w:rPr>
                <w:color w:val="auto"/>
                <w:sz w:val="22"/>
                <w:szCs w:val="22"/>
              </w:rPr>
              <w:t>1</w:t>
            </w:r>
          </w:p>
        </w:tc>
        <w:tc>
          <w:tcPr>
            <w:tcW w:w="7994" w:type="dxa"/>
          </w:tcPr>
          <w:p w14:paraId="20670A80">
            <w:pPr>
              <w:pStyle w:val="85"/>
              <w:jc w:val="both"/>
              <w:rPr>
                <w:color w:val="auto"/>
                <w:sz w:val="22"/>
                <w:szCs w:val="22"/>
              </w:rPr>
            </w:pPr>
            <w:r>
              <w:rPr>
                <w:color w:val="auto"/>
                <w:sz w:val="22"/>
                <w:szCs w:val="22"/>
              </w:rPr>
              <w:t>Фонетика. Графика. Орфоэпия</w:t>
            </w:r>
          </w:p>
        </w:tc>
      </w:tr>
      <w:tr w14:paraId="073704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077" w:type="dxa"/>
          </w:tcPr>
          <w:p w14:paraId="1F615245">
            <w:pPr>
              <w:pStyle w:val="85"/>
              <w:jc w:val="center"/>
              <w:rPr>
                <w:color w:val="auto"/>
                <w:sz w:val="22"/>
                <w:szCs w:val="22"/>
              </w:rPr>
            </w:pPr>
            <w:r>
              <w:rPr>
                <w:color w:val="auto"/>
                <w:sz w:val="22"/>
                <w:szCs w:val="22"/>
              </w:rPr>
              <w:t>1.1</w:t>
            </w:r>
          </w:p>
        </w:tc>
        <w:tc>
          <w:tcPr>
            <w:tcW w:w="7994" w:type="dxa"/>
          </w:tcPr>
          <w:p w14:paraId="69E166E2">
            <w:pPr>
              <w:pStyle w:val="85"/>
              <w:jc w:val="both"/>
              <w:rPr>
                <w:color w:val="auto"/>
                <w:sz w:val="22"/>
                <w:szCs w:val="22"/>
              </w:rPr>
            </w:pPr>
            <w:r>
              <w:rPr>
                <w:color w:val="auto"/>
                <w:sz w:val="22"/>
                <w:szCs w:val="22"/>
              </w:rPr>
              <w:t>Смыслоразличительная функция звуков; различение звуков и букв; различение ударных и безударных гласных звуков, согласного звука [й'] и гласного звука [и], твердых и мягких согласных звуков, звонких и глухих согласных звуков; шипящие согласные звуки [ж], [ш], [ч'], [щ']; обозначение на письме твердости и мягкости согласных звуков, функции букв е, ё, ю, я (повторение изученного в 1 классе)</w:t>
            </w:r>
          </w:p>
        </w:tc>
      </w:tr>
      <w:tr w14:paraId="3AF39D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077" w:type="dxa"/>
          </w:tcPr>
          <w:p w14:paraId="2A7E4479">
            <w:pPr>
              <w:pStyle w:val="85"/>
              <w:jc w:val="center"/>
              <w:rPr>
                <w:color w:val="auto"/>
                <w:sz w:val="22"/>
                <w:szCs w:val="22"/>
              </w:rPr>
            </w:pPr>
            <w:r>
              <w:rPr>
                <w:color w:val="auto"/>
                <w:sz w:val="22"/>
                <w:szCs w:val="22"/>
              </w:rPr>
              <w:t>1.2</w:t>
            </w:r>
          </w:p>
        </w:tc>
        <w:tc>
          <w:tcPr>
            <w:tcW w:w="7994" w:type="dxa"/>
          </w:tcPr>
          <w:p w14:paraId="506FE170">
            <w:pPr>
              <w:pStyle w:val="85"/>
              <w:jc w:val="both"/>
              <w:rPr>
                <w:color w:val="auto"/>
                <w:sz w:val="22"/>
                <w:szCs w:val="22"/>
              </w:rPr>
            </w:pPr>
            <w:r>
              <w:rPr>
                <w:color w:val="auto"/>
                <w:sz w:val="22"/>
                <w:szCs w:val="22"/>
              </w:rPr>
              <w:t>Парные и непарные по твердости - мягкости согласные звуки.</w:t>
            </w:r>
          </w:p>
          <w:p w14:paraId="0608A960">
            <w:pPr>
              <w:pStyle w:val="85"/>
              <w:jc w:val="both"/>
              <w:rPr>
                <w:color w:val="auto"/>
                <w:sz w:val="22"/>
                <w:szCs w:val="22"/>
              </w:rPr>
            </w:pPr>
            <w:r>
              <w:rPr>
                <w:color w:val="auto"/>
                <w:sz w:val="22"/>
                <w:szCs w:val="22"/>
              </w:rPr>
              <w:t>Парные и непарные по звонкости - глухости согласные звуки</w:t>
            </w:r>
          </w:p>
        </w:tc>
      </w:tr>
      <w:tr w14:paraId="6A1A51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077" w:type="dxa"/>
          </w:tcPr>
          <w:p w14:paraId="39C82D81">
            <w:pPr>
              <w:pStyle w:val="85"/>
              <w:jc w:val="center"/>
              <w:rPr>
                <w:color w:val="auto"/>
                <w:sz w:val="22"/>
                <w:szCs w:val="22"/>
              </w:rPr>
            </w:pPr>
            <w:r>
              <w:rPr>
                <w:color w:val="auto"/>
                <w:sz w:val="22"/>
                <w:szCs w:val="22"/>
              </w:rPr>
              <w:t>1.3</w:t>
            </w:r>
          </w:p>
        </w:tc>
        <w:tc>
          <w:tcPr>
            <w:tcW w:w="7994" w:type="dxa"/>
          </w:tcPr>
          <w:p w14:paraId="7011BCFC">
            <w:pPr>
              <w:pStyle w:val="85"/>
              <w:jc w:val="both"/>
              <w:rPr>
                <w:color w:val="auto"/>
                <w:sz w:val="22"/>
                <w:szCs w:val="22"/>
              </w:rPr>
            </w:pPr>
            <w:r>
              <w:rPr>
                <w:color w:val="auto"/>
                <w:sz w:val="22"/>
                <w:szCs w:val="22"/>
              </w:rPr>
              <w:t>Качественная характеристика звука: гласный - согласный; гласный ударный - безударный; согласный твердый - мягкий, парный - непарный; согласный звонкий - глухой, парный - непарный</w:t>
            </w:r>
          </w:p>
        </w:tc>
      </w:tr>
      <w:tr w14:paraId="4E3481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077" w:type="dxa"/>
          </w:tcPr>
          <w:p w14:paraId="0FB57FCF">
            <w:pPr>
              <w:pStyle w:val="85"/>
              <w:jc w:val="center"/>
              <w:rPr>
                <w:color w:val="auto"/>
                <w:sz w:val="22"/>
                <w:szCs w:val="22"/>
              </w:rPr>
            </w:pPr>
            <w:r>
              <w:rPr>
                <w:color w:val="auto"/>
                <w:sz w:val="22"/>
                <w:szCs w:val="22"/>
              </w:rPr>
              <w:t>1.4</w:t>
            </w:r>
          </w:p>
        </w:tc>
        <w:tc>
          <w:tcPr>
            <w:tcW w:w="7994" w:type="dxa"/>
          </w:tcPr>
          <w:p w14:paraId="1A813FE3">
            <w:pPr>
              <w:pStyle w:val="85"/>
              <w:jc w:val="both"/>
              <w:rPr>
                <w:color w:val="auto"/>
                <w:sz w:val="22"/>
                <w:szCs w:val="22"/>
              </w:rPr>
            </w:pPr>
            <w:r>
              <w:rPr>
                <w:color w:val="auto"/>
                <w:sz w:val="22"/>
                <w:szCs w:val="22"/>
              </w:rPr>
              <w:t>Функции ь: показатель мягкости предшествующего согласного в конце и в середине слова; разделительный</w:t>
            </w:r>
          </w:p>
        </w:tc>
      </w:tr>
      <w:tr w14:paraId="5B37A4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077" w:type="dxa"/>
          </w:tcPr>
          <w:p w14:paraId="36BF6BAF">
            <w:pPr>
              <w:pStyle w:val="85"/>
              <w:jc w:val="center"/>
              <w:rPr>
                <w:color w:val="auto"/>
                <w:sz w:val="22"/>
                <w:szCs w:val="22"/>
              </w:rPr>
            </w:pPr>
            <w:r>
              <w:rPr>
                <w:color w:val="auto"/>
                <w:sz w:val="22"/>
                <w:szCs w:val="22"/>
              </w:rPr>
              <w:t>1.5</w:t>
            </w:r>
          </w:p>
        </w:tc>
        <w:tc>
          <w:tcPr>
            <w:tcW w:w="7994" w:type="dxa"/>
          </w:tcPr>
          <w:p w14:paraId="43FE7BC5">
            <w:pPr>
              <w:pStyle w:val="85"/>
              <w:jc w:val="both"/>
              <w:rPr>
                <w:color w:val="auto"/>
                <w:sz w:val="22"/>
                <w:szCs w:val="22"/>
              </w:rPr>
            </w:pPr>
            <w:r>
              <w:rPr>
                <w:color w:val="auto"/>
                <w:sz w:val="22"/>
                <w:szCs w:val="22"/>
              </w:rPr>
              <w:t>Использование на письме разделительных ъ и ь</w:t>
            </w:r>
          </w:p>
        </w:tc>
      </w:tr>
      <w:tr w14:paraId="53C379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077" w:type="dxa"/>
          </w:tcPr>
          <w:p w14:paraId="39DD5347">
            <w:pPr>
              <w:pStyle w:val="85"/>
              <w:jc w:val="center"/>
              <w:rPr>
                <w:color w:val="auto"/>
                <w:sz w:val="22"/>
                <w:szCs w:val="22"/>
              </w:rPr>
            </w:pPr>
            <w:r>
              <w:rPr>
                <w:color w:val="auto"/>
                <w:sz w:val="22"/>
                <w:szCs w:val="22"/>
              </w:rPr>
              <w:t>1.6</w:t>
            </w:r>
          </w:p>
        </w:tc>
        <w:tc>
          <w:tcPr>
            <w:tcW w:w="7994" w:type="dxa"/>
          </w:tcPr>
          <w:p w14:paraId="50B5D966">
            <w:pPr>
              <w:pStyle w:val="85"/>
              <w:jc w:val="both"/>
              <w:rPr>
                <w:color w:val="auto"/>
                <w:sz w:val="22"/>
                <w:szCs w:val="22"/>
              </w:rPr>
            </w:pPr>
            <w:r>
              <w:rPr>
                <w:color w:val="auto"/>
                <w:sz w:val="22"/>
                <w:szCs w:val="22"/>
              </w:rPr>
              <w:t>Соотношение звукового и буквенного состава в словах с буквами е, ё, ю, я (в начале слова и после гласных)</w:t>
            </w:r>
          </w:p>
        </w:tc>
      </w:tr>
      <w:tr w14:paraId="2EE2D3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077" w:type="dxa"/>
          </w:tcPr>
          <w:p w14:paraId="1FD850F6">
            <w:pPr>
              <w:pStyle w:val="85"/>
              <w:jc w:val="center"/>
              <w:rPr>
                <w:color w:val="auto"/>
                <w:sz w:val="22"/>
                <w:szCs w:val="22"/>
              </w:rPr>
            </w:pPr>
            <w:r>
              <w:rPr>
                <w:color w:val="auto"/>
                <w:sz w:val="22"/>
                <w:szCs w:val="22"/>
              </w:rPr>
              <w:t>1.7</w:t>
            </w:r>
          </w:p>
        </w:tc>
        <w:tc>
          <w:tcPr>
            <w:tcW w:w="7994" w:type="dxa"/>
          </w:tcPr>
          <w:p w14:paraId="72E72B11">
            <w:pPr>
              <w:pStyle w:val="85"/>
              <w:jc w:val="both"/>
              <w:rPr>
                <w:color w:val="auto"/>
                <w:sz w:val="22"/>
                <w:szCs w:val="22"/>
              </w:rPr>
            </w:pPr>
            <w:r>
              <w:rPr>
                <w:color w:val="auto"/>
                <w:sz w:val="22"/>
                <w:szCs w:val="22"/>
              </w:rPr>
              <w:t>Деление слов на слоги (в том числе при стечении согласных)</w:t>
            </w:r>
          </w:p>
        </w:tc>
      </w:tr>
      <w:tr w14:paraId="2E0FF7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077" w:type="dxa"/>
          </w:tcPr>
          <w:p w14:paraId="4B7D9CAC">
            <w:pPr>
              <w:pStyle w:val="85"/>
              <w:jc w:val="center"/>
              <w:rPr>
                <w:color w:val="auto"/>
                <w:sz w:val="22"/>
                <w:szCs w:val="22"/>
              </w:rPr>
            </w:pPr>
            <w:r>
              <w:rPr>
                <w:color w:val="auto"/>
                <w:sz w:val="22"/>
                <w:szCs w:val="22"/>
              </w:rPr>
              <w:t>1.8</w:t>
            </w:r>
          </w:p>
        </w:tc>
        <w:tc>
          <w:tcPr>
            <w:tcW w:w="7994" w:type="dxa"/>
          </w:tcPr>
          <w:p w14:paraId="66872886">
            <w:pPr>
              <w:pStyle w:val="85"/>
              <w:jc w:val="both"/>
              <w:rPr>
                <w:color w:val="auto"/>
                <w:sz w:val="22"/>
                <w:szCs w:val="22"/>
              </w:rPr>
            </w:pPr>
            <w:r>
              <w:rPr>
                <w:color w:val="auto"/>
                <w:sz w:val="22"/>
                <w:szCs w:val="22"/>
              </w:rPr>
              <w:t>Использование знания алфавита при работе со словарями</w:t>
            </w:r>
          </w:p>
        </w:tc>
      </w:tr>
      <w:tr w14:paraId="439F9C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077" w:type="dxa"/>
          </w:tcPr>
          <w:p w14:paraId="67A9650F">
            <w:pPr>
              <w:pStyle w:val="85"/>
              <w:jc w:val="center"/>
              <w:rPr>
                <w:color w:val="auto"/>
                <w:sz w:val="22"/>
                <w:szCs w:val="22"/>
              </w:rPr>
            </w:pPr>
            <w:r>
              <w:rPr>
                <w:color w:val="auto"/>
                <w:sz w:val="22"/>
                <w:szCs w:val="22"/>
              </w:rPr>
              <w:t>1.9</w:t>
            </w:r>
          </w:p>
        </w:tc>
        <w:tc>
          <w:tcPr>
            <w:tcW w:w="7994" w:type="dxa"/>
          </w:tcPr>
          <w:p w14:paraId="18081ECE">
            <w:pPr>
              <w:pStyle w:val="85"/>
              <w:jc w:val="both"/>
              <w:rPr>
                <w:color w:val="auto"/>
                <w:sz w:val="22"/>
                <w:szCs w:val="22"/>
              </w:rPr>
            </w:pPr>
            <w:r>
              <w:rPr>
                <w:color w:val="auto"/>
                <w:sz w:val="22"/>
                <w:szCs w:val="22"/>
              </w:rPr>
              <w:t>Небуквенные графические средства: пробел между словами, знак переноса, абзац (красная строка), пунктуационные знаки (в пределах изученного)</w:t>
            </w:r>
          </w:p>
        </w:tc>
      </w:tr>
      <w:tr w14:paraId="0185E7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077" w:type="dxa"/>
          </w:tcPr>
          <w:p w14:paraId="78622FBD">
            <w:pPr>
              <w:pStyle w:val="85"/>
              <w:jc w:val="center"/>
              <w:rPr>
                <w:color w:val="auto"/>
                <w:sz w:val="22"/>
                <w:szCs w:val="22"/>
              </w:rPr>
            </w:pPr>
            <w:r>
              <w:rPr>
                <w:color w:val="auto"/>
                <w:sz w:val="22"/>
                <w:szCs w:val="22"/>
              </w:rPr>
              <w:t>1.10</w:t>
            </w:r>
          </w:p>
        </w:tc>
        <w:tc>
          <w:tcPr>
            <w:tcW w:w="7994" w:type="dxa"/>
          </w:tcPr>
          <w:p w14:paraId="5841B619">
            <w:pPr>
              <w:pStyle w:val="85"/>
              <w:jc w:val="both"/>
              <w:rPr>
                <w:color w:val="auto"/>
                <w:sz w:val="22"/>
                <w:szCs w:val="22"/>
              </w:rPr>
            </w:pPr>
            <w:r>
              <w:rPr>
                <w:color w:val="auto"/>
                <w:sz w:val="22"/>
                <w:szCs w:val="22"/>
              </w:rPr>
              <w:t>Произношение звуков и сочетаний звуков, ударение в словах в соответствии с нормами современного русского литературного языка (на ограниченном перечне слов, отрабатываемом в учебнике)</w:t>
            </w:r>
          </w:p>
        </w:tc>
      </w:tr>
      <w:tr w14:paraId="7B0F4E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077" w:type="dxa"/>
          </w:tcPr>
          <w:p w14:paraId="7E4C587C">
            <w:pPr>
              <w:pStyle w:val="85"/>
              <w:jc w:val="center"/>
              <w:rPr>
                <w:color w:val="auto"/>
                <w:sz w:val="22"/>
                <w:szCs w:val="22"/>
              </w:rPr>
            </w:pPr>
            <w:r>
              <w:rPr>
                <w:color w:val="auto"/>
                <w:sz w:val="22"/>
                <w:szCs w:val="22"/>
              </w:rPr>
              <w:t>1.11</w:t>
            </w:r>
          </w:p>
        </w:tc>
        <w:tc>
          <w:tcPr>
            <w:tcW w:w="7994" w:type="dxa"/>
          </w:tcPr>
          <w:p w14:paraId="311310C1">
            <w:pPr>
              <w:pStyle w:val="85"/>
              <w:jc w:val="both"/>
              <w:rPr>
                <w:color w:val="auto"/>
                <w:sz w:val="22"/>
                <w:szCs w:val="22"/>
              </w:rPr>
            </w:pPr>
            <w:r>
              <w:rPr>
                <w:color w:val="auto"/>
                <w:sz w:val="22"/>
                <w:szCs w:val="22"/>
              </w:rPr>
              <w:t>Использование отработанного перечня слов (орфоэпического словаря учебника) для решения практических задач</w:t>
            </w:r>
          </w:p>
        </w:tc>
      </w:tr>
      <w:tr w14:paraId="6E3A86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077" w:type="dxa"/>
          </w:tcPr>
          <w:p w14:paraId="34B45120">
            <w:pPr>
              <w:pStyle w:val="85"/>
              <w:jc w:val="center"/>
              <w:rPr>
                <w:color w:val="auto"/>
                <w:sz w:val="22"/>
                <w:szCs w:val="22"/>
              </w:rPr>
            </w:pPr>
            <w:r>
              <w:rPr>
                <w:color w:val="auto"/>
                <w:sz w:val="22"/>
                <w:szCs w:val="22"/>
              </w:rPr>
              <w:t>2</w:t>
            </w:r>
          </w:p>
        </w:tc>
        <w:tc>
          <w:tcPr>
            <w:tcW w:w="7994" w:type="dxa"/>
          </w:tcPr>
          <w:p w14:paraId="176FC904">
            <w:pPr>
              <w:pStyle w:val="85"/>
              <w:jc w:val="both"/>
              <w:rPr>
                <w:color w:val="auto"/>
                <w:sz w:val="22"/>
                <w:szCs w:val="22"/>
              </w:rPr>
            </w:pPr>
            <w:r>
              <w:rPr>
                <w:color w:val="auto"/>
                <w:sz w:val="22"/>
                <w:szCs w:val="22"/>
              </w:rPr>
              <w:t>Лексика</w:t>
            </w:r>
          </w:p>
        </w:tc>
      </w:tr>
      <w:tr w14:paraId="456DE7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077" w:type="dxa"/>
          </w:tcPr>
          <w:p w14:paraId="456D6CF4">
            <w:pPr>
              <w:pStyle w:val="85"/>
              <w:jc w:val="center"/>
              <w:rPr>
                <w:color w:val="auto"/>
                <w:sz w:val="22"/>
                <w:szCs w:val="22"/>
              </w:rPr>
            </w:pPr>
            <w:r>
              <w:rPr>
                <w:color w:val="auto"/>
                <w:sz w:val="22"/>
                <w:szCs w:val="22"/>
              </w:rPr>
              <w:t>2.1</w:t>
            </w:r>
          </w:p>
        </w:tc>
        <w:tc>
          <w:tcPr>
            <w:tcW w:w="7994" w:type="dxa"/>
          </w:tcPr>
          <w:p w14:paraId="04B18C28">
            <w:pPr>
              <w:pStyle w:val="85"/>
              <w:jc w:val="both"/>
              <w:rPr>
                <w:color w:val="auto"/>
                <w:sz w:val="22"/>
                <w:szCs w:val="22"/>
              </w:rPr>
            </w:pPr>
            <w:r>
              <w:rPr>
                <w:color w:val="auto"/>
                <w:sz w:val="22"/>
                <w:szCs w:val="22"/>
              </w:rPr>
              <w:t>Слово как единство звучания и значения</w:t>
            </w:r>
          </w:p>
        </w:tc>
      </w:tr>
      <w:tr w14:paraId="7E23E1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077" w:type="dxa"/>
          </w:tcPr>
          <w:p w14:paraId="3C035D48">
            <w:pPr>
              <w:pStyle w:val="85"/>
              <w:jc w:val="center"/>
              <w:rPr>
                <w:color w:val="auto"/>
                <w:sz w:val="22"/>
                <w:szCs w:val="22"/>
              </w:rPr>
            </w:pPr>
            <w:r>
              <w:rPr>
                <w:color w:val="auto"/>
                <w:sz w:val="22"/>
                <w:szCs w:val="22"/>
              </w:rPr>
              <w:t>2.2</w:t>
            </w:r>
          </w:p>
        </w:tc>
        <w:tc>
          <w:tcPr>
            <w:tcW w:w="7994" w:type="dxa"/>
          </w:tcPr>
          <w:p w14:paraId="57906D64">
            <w:pPr>
              <w:pStyle w:val="85"/>
              <w:jc w:val="both"/>
              <w:rPr>
                <w:color w:val="auto"/>
                <w:sz w:val="22"/>
                <w:szCs w:val="22"/>
              </w:rPr>
            </w:pPr>
            <w:r>
              <w:rPr>
                <w:color w:val="auto"/>
                <w:sz w:val="22"/>
                <w:szCs w:val="22"/>
              </w:rPr>
              <w:t>Лексическое значение слова (общее представление)</w:t>
            </w:r>
          </w:p>
        </w:tc>
      </w:tr>
      <w:tr w14:paraId="479627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077" w:type="dxa"/>
          </w:tcPr>
          <w:p w14:paraId="7C3C255C">
            <w:pPr>
              <w:pStyle w:val="85"/>
              <w:jc w:val="center"/>
              <w:rPr>
                <w:color w:val="auto"/>
                <w:sz w:val="22"/>
                <w:szCs w:val="22"/>
              </w:rPr>
            </w:pPr>
            <w:r>
              <w:rPr>
                <w:color w:val="auto"/>
                <w:sz w:val="22"/>
                <w:szCs w:val="22"/>
              </w:rPr>
              <w:t>2.3</w:t>
            </w:r>
          </w:p>
        </w:tc>
        <w:tc>
          <w:tcPr>
            <w:tcW w:w="7994" w:type="dxa"/>
          </w:tcPr>
          <w:p w14:paraId="615EF065">
            <w:pPr>
              <w:pStyle w:val="85"/>
              <w:jc w:val="both"/>
              <w:rPr>
                <w:color w:val="auto"/>
                <w:sz w:val="22"/>
                <w:szCs w:val="22"/>
              </w:rPr>
            </w:pPr>
            <w:r>
              <w:rPr>
                <w:color w:val="auto"/>
                <w:sz w:val="22"/>
                <w:szCs w:val="22"/>
              </w:rPr>
              <w:t>Выявление слов, значение которых требует уточнения</w:t>
            </w:r>
          </w:p>
        </w:tc>
      </w:tr>
      <w:tr w14:paraId="642359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077" w:type="dxa"/>
          </w:tcPr>
          <w:p w14:paraId="42AFCC5E">
            <w:pPr>
              <w:pStyle w:val="85"/>
              <w:jc w:val="center"/>
              <w:rPr>
                <w:color w:val="auto"/>
                <w:sz w:val="22"/>
                <w:szCs w:val="22"/>
              </w:rPr>
            </w:pPr>
            <w:r>
              <w:rPr>
                <w:color w:val="auto"/>
                <w:sz w:val="22"/>
                <w:szCs w:val="22"/>
              </w:rPr>
              <w:t>2.4</w:t>
            </w:r>
          </w:p>
        </w:tc>
        <w:tc>
          <w:tcPr>
            <w:tcW w:w="7994" w:type="dxa"/>
          </w:tcPr>
          <w:p w14:paraId="0045EC8E">
            <w:pPr>
              <w:pStyle w:val="85"/>
              <w:jc w:val="both"/>
              <w:rPr>
                <w:color w:val="auto"/>
                <w:sz w:val="22"/>
                <w:szCs w:val="22"/>
              </w:rPr>
            </w:pPr>
            <w:r>
              <w:rPr>
                <w:color w:val="auto"/>
                <w:sz w:val="22"/>
                <w:szCs w:val="22"/>
              </w:rPr>
              <w:t>Определение значения слова по тексту или уточнение значения с помощью толкового словаря</w:t>
            </w:r>
          </w:p>
        </w:tc>
      </w:tr>
      <w:tr w14:paraId="7384FC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077" w:type="dxa"/>
          </w:tcPr>
          <w:p w14:paraId="70BBAF19">
            <w:pPr>
              <w:pStyle w:val="85"/>
              <w:jc w:val="center"/>
              <w:rPr>
                <w:color w:val="auto"/>
                <w:sz w:val="22"/>
                <w:szCs w:val="22"/>
              </w:rPr>
            </w:pPr>
            <w:r>
              <w:rPr>
                <w:color w:val="auto"/>
                <w:sz w:val="22"/>
                <w:szCs w:val="22"/>
              </w:rPr>
              <w:t>2.5</w:t>
            </w:r>
          </w:p>
        </w:tc>
        <w:tc>
          <w:tcPr>
            <w:tcW w:w="7994" w:type="dxa"/>
          </w:tcPr>
          <w:p w14:paraId="3155BCF9">
            <w:pPr>
              <w:pStyle w:val="85"/>
              <w:jc w:val="both"/>
              <w:rPr>
                <w:color w:val="auto"/>
                <w:sz w:val="22"/>
                <w:szCs w:val="22"/>
              </w:rPr>
            </w:pPr>
            <w:r>
              <w:rPr>
                <w:color w:val="auto"/>
                <w:sz w:val="22"/>
                <w:szCs w:val="22"/>
              </w:rPr>
              <w:t>Однозначные и многозначные слова (простые случаи, наблюдение)</w:t>
            </w:r>
          </w:p>
        </w:tc>
      </w:tr>
      <w:tr w14:paraId="3CA565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077" w:type="dxa"/>
          </w:tcPr>
          <w:p w14:paraId="67F30FF2">
            <w:pPr>
              <w:pStyle w:val="85"/>
              <w:jc w:val="center"/>
              <w:rPr>
                <w:color w:val="auto"/>
                <w:sz w:val="22"/>
                <w:szCs w:val="22"/>
              </w:rPr>
            </w:pPr>
            <w:r>
              <w:rPr>
                <w:color w:val="auto"/>
                <w:sz w:val="22"/>
                <w:szCs w:val="22"/>
              </w:rPr>
              <w:t>2.6</w:t>
            </w:r>
          </w:p>
        </w:tc>
        <w:tc>
          <w:tcPr>
            <w:tcW w:w="7994" w:type="dxa"/>
          </w:tcPr>
          <w:p w14:paraId="5B43267B">
            <w:pPr>
              <w:pStyle w:val="85"/>
              <w:jc w:val="both"/>
              <w:rPr>
                <w:color w:val="auto"/>
                <w:sz w:val="22"/>
                <w:szCs w:val="22"/>
              </w:rPr>
            </w:pPr>
            <w:r>
              <w:rPr>
                <w:color w:val="auto"/>
                <w:sz w:val="22"/>
                <w:szCs w:val="22"/>
              </w:rPr>
              <w:t>Наблюдение за использованием в речи синонимов, антонимов</w:t>
            </w:r>
          </w:p>
        </w:tc>
      </w:tr>
      <w:tr w14:paraId="226B64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077" w:type="dxa"/>
          </w:tcPr>
          <w:p w14:paraId="4B59AC1C">
            <w:pPr>
              <w:pStyle w:val="85"/>
              <w:jc w:val="center"/>
              <w:rPr>
                <w:color w:val="auto"/>
                <w:sz w:val="22"/>
                <w:szCs w:val="22"/>
              </w:rPr>
            </w:pPr>
            <w:r>
              <w:rPr>
                <w:color w:val="auto"/>
                <w:sz w:val="22"/>
                <w:szCs w:val="22"/>
              </w:rPr>
              <w:t>3</w:t>
            </w:r>
          </w:p>
        </w:tc>
        <w:tc>
          <w:tcPr>
            <w:tcW w:w="7994" w:type="dxa"/>
          </w:tcPr>
          <w:p w14:paraId="022EB641">
            <w:pPr>
              <w:pStyle w:val="85"/>
              <w:jc w:val="both"/>
              <w:rPr>
                <w:color w:val="auto"/>
                <w:sz w:val="22"/>
                <w:szCs w:val="22"/>
              </w:rPr>
            </w:pPr>
            <w:r>
              <w:rPr>
                <w:color w:val="auto"/>
                <w:sz w:val="22"/>
                <w:szCs w:val="22"/>
              </w:rPr>
              <w:t>Состав слова (морфемика)</w:t>
            </w:r>
          </w:p>
        </w:tc>
      </w:tr>
      <w:tr w14:paraId="5319C8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077" w:type="dxa"/>
          </w:tcPr>
          <w:p w14:paraId="1AE632CA">
            <w:pPr>
              <w:pStyle w:val="85"/>
              <w:jc w:val="center"/>
              <w:rPr>
                <w:color w:val="auto"/>
                <w:sz w:val="22"/>
                <w:szCs w:val="22"/>
              </w:rPr>
            </w:pPr>
            <w:r>
              <w:rPr>
                <w:color w:val="auto"/>
                <w:sz w:val="22"/>
                <w:szCs w:val="22"/>
              </w:rPr>
              <w:t>3.1</w:t>
            </w:r>
          </w:p>
        </w:tc>
        <w:tc>
          <w:tcPr>
            <w:tcW w:w="7994" w:type="dxa"/>
          </w:tcPr>
          <w:p w14:paraId="083B0FB1">
            <w:pPr>
              <w:pStyle w:val="85"/>
              <w:jc w:val="both"/>
              <w:rPr>
                <w:color w:val="auto"/>
                <w:sz w:val="22"/>
                <w:szCs w:val="22"/>
              </w:rPr>
            </w:pPr>
            <w:r>
              <w:rPr>
                <w:color w:val="auto"/>
                <w:sz w:val="22"/>
                <w:szCs w:val="22"/>
              </w:rPr>
              <w:t>Корень как обязательная часть слова</w:t>
            </w:r>
          </w:p>
        </w:tc>
      </w:tr>
      <w:tr w14:paraId="5C5873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077" w:type="dxa"/>
          </w:tcPr>
          <w:p w14:paraId="5A3EFF63">
            <w:pPr>
              <w:pStyle w:val="85"/>
              <w:jc w:val="center"/>
              <w:rPr>
                <w:color w:val="auto"/>
                <w:sz w:val="22"/>
                <w:szCs w:val="22"/>
              </w:rPr>
            </w:pPr>
            <w:r>
              <w:rPr>
                <w:color w:val="auto"/>
                <w:sz w:val="22"/>
                <w:szCs w:val="22"/>
              </w:rPr>
              <w:t>3.2</w:t>
            </w:r>
          </w:p>
        </w:tc>
        <w:tc>
          <w:tcPr>
            <w:tcW w:w="7994" w:type="dxa"/>
          </w:tcPr>
          <w:p w14:paraId="6228ED87">
            <w:pPr>
              <w:pStyle w:val="85"/>
              <w:jc w:val="both"/>
              <w:rPr>
                <w:color w:val="auto"/>
                <w:sz w:val="22"/>
                <w:szCs w:val="22"/>
              </w:rPr>
            </w:pPr>
            <w:r>
              <w:rPr>
                <w:color w:val="auto"/>
                <w:sz w:val="22"/>
                <w:szCs w:val="22"/>
              </w:rPr>
              <w:t>Однокоренные (родственные) слова. Признаки однокоренных (родственных) слов. Различение однокоренных слов и синонимов, однокоренных слов и слов с омонимичными корнями</w:t>
            </w:r>
          </w:p>
        </w:tc>
      </w:tr>
      <w:tr w14:paraId="530854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077" w:type="dxa"/>
          </w:tcPr>
          <w:p w14:paraId="3BDCDE0D">
            <w:pPr>
              <w:pStyle w:val="85"/>
              <w:jc w:val="center"/>
              <w:rPr>
                <w:color w:val="auto"/>
                <w:sz w:val="22"/>
                <w:szCs w:val="22"/>
              </w:rPr>
            </w:pPr>
            <w:r>
              <w:rPr>
                <w:color w:val="auto"/>
                <w:sz w:val="22"/>
                <w:szCs w:val="22"/>
              </w:rPr>
              <w:t>3.3</w:t>
            </w:r>
          </w:p>
        </w:tc>
        <w:tc>
          <w:tcPr>
            <w:tcW w:w="7994" w:type="dxa"/>
          </w:tcPr>
          <w:p w14:paraId="40E04669">
            <w:pPr>
              <w:pStyle w:val="85"/>
              <w:jc w:val="both"/>
              <w:rPr>
                <w:color w:val="auto"/>
                <w:sz w:val="22"/>
                <w:szCs w:val="22"/>
              </w:rPr>
            </w:pPr>
            <w:r>
              <w:rPr>
                <w:color w:val="auto"/>
                <w:sz w:val="22"/>
                <w:szCs w:val="22"/>
              </w:rPr>
              <w:t>Выделение в словах корня (простые случаи)</w:t>
            </w:r>
          </w:p>
        </w:tc>
      </w:tr>
      <w:tr w14:paraId="5B87E4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077" w:type="dxa"/>
          </w:tcPr>
          <w:p w14:paraId="0B514AB1">
            <w:pPr>
              <w:pStyle w:val="85"/>
              <w:jc w:val="center"/>
              <w:rPr>
                <w:color w:val="auto"/>
                <w:sz w:val="22"/>
                <w:szCs w:val="22"/>
              </w:rPr>
            </w:pPr>
            <w:r>
              <w:rPr>
                <w:color w:val="auto"/>
                <w:sz w:val="22"/>
                <w:szCs w:val="22"/>
              </w:rPr>
              <w:t>3.4</w:t>
            </w:r>
          </w:p>
        </w:tc>
        <w:tc>
          <w:tcPr>
            <w:tcW w:w="7994" w:type="dxa"/>
          </w:tcPr>
          <w:p w14:paraId="2A3B1979">
            <w:pPr>
              <w:pStyle w:val="85"/>
              <w:jc w:val="both"/>
              <w:rPr>
                <w:color w:val="auto"/>
                <w:sz w:val="22"/>
                <w:szCs w:val="22"/>
              </w:rPr>
            </w:pPr>
            <w:r>
              <w:rPr>
                <w:color w:val="auto"/>
                <w:sz w:val="22"/>
                <w:szCs w:val="22"/>
              </w:rPr>
              <w:t>Окончание как изменяемая часть слова</w:t>
            </w:r>
          </w:p>
        </w:tc>
      </w:tr>
      <w:tr w14:paraId="4F6044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077" w:type="dxa"/>
          </w:tcPr>
          <w:p w14:paraId="3F44216F">
            <w:pPr>
              <w:pStyle w:val="85"/>
              <w:jc w:val="center"/>
              <w:rPr>
                <w:color w:val="auto"/>
                <w:sz w:val="22"/>
                <w:szCs w:val="22"/>
              </w:rPr>
            </w:pPr>
            <w:r>
              <w:rPr>
                <w:color w:val="auto"/>
                <w:sz w:val="22"/>
                <w:szCs w:val="22"/>
              </w:rPr>
              <w:t>3.5</w:t>
            </w:r>
          </w:p>
        </w:tc>
        <w:tc>
          <w:tcPr>
            <w:tcW w:w="7994" w:type="dxa"/>
          </w:tcPr>
          <w:p w14:paraId="5EB4E1B9">
            <w:pPr>
              <w:pStyle w:val="85"/>
              <w:jc w:val="both"/>
              <w:rPr>
                <w:color w:val="auto"/>
                <w:sz w:val="22"/>
                <w:szCs w:val="22"/>
              </w:rPr>
            </w:pPr>
            <w:r>
              <w:rPr>
                <w:color w:val="auto"/>
                <w:sz w:val="22"/>
                <w:szCs w:val="22"/>
              </w:rPr>
              <w:t>Изменение формы слова с помощью окончания</w:t>
            </w:r>
          </w:p>
        </w:tc>
      </w:tr>
      <w:tr w14:paraId="7AE519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077" w:type="dxa"/>
          </w:tcPr>
          <w:p w14:paraId="72DDFE2E">
            <w:pPr>
              <w:pStyle w:val="85"/>
              <w:jc w:val="center"/>
              <w:rPr>
                <w:color w:val="auto"/>
                <w:sz w:val="22"/>
                <w:szCs w:val="22"/>
              </w:rPr>
            </w:pPr>
            <w:r>
              <w:rPr>
                <w:color w:val="auto"/>
                <w:sz w:val="22"/>
                <w:szCs w:val="22"/>
              </w:rPr>
              <w:t>3.6</w:t>
            </w:r>
          </w:p>
        </w:tc>
        <w:tc>
          <w:tcPr>
            <w:tcW w:w="7994" w:type="dxa"/>
          </w:tcPr>
          <w:p w14:paraId="111AD0B4">
            <w:pPr>
              <w:pStyle w:val="85"/>
              <w:jc w:val="both"/>
              <w:rPr>
                <w:color w:val="auto"/>
                <w:sz w:val="22"/>
                <w:szCs w:val="22"/>
              </w:rPr>
            </w:pPr>
            <w:r>
              <w:rPr>
                <w:color w:val="auto"/>
                <w:sz w:val="22"/>
                <w:szCs w:val="22"/>
              </w:rPr>
              <w:t>Различение изменяемых и неизменяемых слов</w:t>
            </w:r>
          </w:p>
        </w:tc>
      </w:tr>
      <w:tr w14:paraId="0E872D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077" w:type="dxa"/>
          </w:tcPr>
          <w:p w14:paraId="2BCD76AB">
            <w:pPr>
              <w:pStyle w:val="85"/>
              <w:jc w:val="center"/>
              <w:rPr>
                <w:color w:val="auto"/>
                <w:sz w:val="22"/>
                <w:szCs w:val="22"/>
              </w:rPr>
            </w:pPr>
            <w:r>
              <w:rPr>
                <w:color w:val="auto"/>
                <w:sz w:val="22"/>
                <w:szCs w:val="22"/>
              </w:rPr>
              <w:t>3.7</w:t>
            </w:r>
          </w:p>
        </w:tc>
        <w:tc>
          <w:tcPr>
            <w:tcW w:w="7994" w:type="dxa"/>
          </w:tcPr>
          <w:p w14:paraId="66759157">
            <w:pPr>
              <w:pStyle w:val="85"/>
              <w:jc w:val="both"/>
              <w:rPr>
                <w:color w:val="auto"/>
                <w:sz w:val="22"/>
                <w:szCs w:val="22"/>
              </w:rPr>
            </w:pPr>
            <w:r>
              <w:rPr>
                <w:color w:val="auto"/>
                <w:sz w:val="22"/>
                <w:szCs w:val="22"/>
              </w:rPr>
              <w:t>Суффикс как часть слова (наблюдение)</w:t>
            </w:r>
          </w:p>
        </w:tc>
      </w:tr>
      <w:tr w14:paraId="6F89C6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077" w:type="dxa"/>
          </w:tcPr>
          <w:p w14:paraId="20C2FE1A">
            <w:pPr>
              <w:pStyle w:val="85"/>
              <w:jc w:val="center"/>
              <w:rPr>
                <w:color w:val="auto"/>
                <w:sz w:val="22"/>
                <w:szCs w:val="22"/>
              </w:rPr>
            </w:pPr>
            <w:r>
              <w:rPr>
                <w:color w:val="auto"/>
                <w:sz w:val="22"/>
                <w:szCs w:val="22"/>
              </w:rPr>
              <w:t>3.8</w:t>
            </w:r>
          </w:p>
        </w:tc>
        <w:tc>
          <w:tcPr>
            <w:tcW w:w="7994" w:type="dxa"/>
          </w:tcPr>
          <w:p w14:paraId="68B2A33A">
            <w:pPr>
              <w:pStyle w:val="85"/>
              <w:jc w:val="both"/>
              <w:rPr>
                <w:color w:val="auto"/>
                <w:sz w:val="22"/>
                <w:szCs w:val="22"/>
              </w:rPr>
            </w:pPr>
            <w:r>
              <w:rPr>
                <w:color w:val="auto"/>
                <w:sz w:val="22"/>
                <w:szCs w:val="22"/>
              </w:rPr>
              <w:t>Приставка как часть слова (наблюдение)</w:t>
            </w:r>
          </w:p>
        </w:tc>
      </w:tr>
      <w:tr w14:paraId="576B42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077" w:type="dxa"/>
          </w:tcPr>
          <w:p w14:paraId="62DBE083">
            <w:pPr>
              <w:pStyle w:val="85"/>
              <w:jc w:val="center"/>
              <w:rPr>
                <w:color w:val="auto"/>
                <w:sz w:val="22"/>
                <w:szCs w:val="22"/>
              </w:rPr>
            </w:pPr>
            <w:r>
              <w:rPr>
                <w:color w:val="auto"/>
                <w:sz w:val="22"/>
                <w:szCs w:val="22"/>
              </w:rPr>
              <w:t>4</w:t>
            </w:r>
          </w:p>
        </w:tc>
        <w:tc>
          <w:tcPr>
            <w:tcW w:w="7994" w:type="dxa"/>
          </w:tcPr>
          <w:p w14:paraId="42FC786E">
            <w:pPr>
              <w:pStyle w:val="85"/>
              <w:jc w:val="both"/>
              <w:rPr>
                <w:color w:val="auto"/>
                <w:sz w:val="22"/>
                <w:szCs w:val="22"/>
              </w:rPr>
            </w:pPr>
            <w:r>
              <w:rPr>
                <w:color w:val="auto"/>
                <w:sz w:val="22"/>
                <w:szCs w:val="22"/>
              </w:rPr>
              <w:t>Морфология</w:t>
            </w:r>
          </w:p>
        </w:tc>
      </w:tr>
      <w:tr w14:paraId="63CA94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077" w:type="dxa"/>
          </w:tcPr>
          <w:p w14:paraId="64BEBEC2">
            <w:pPr>
              <w:pStyle w:val="85"/>
              <w:jc w:val="center"/>
              <w:rPr>
                <w:color w:val="auto"/>
                <w:sz w:val="22"/>
                <w:szCs w:val="22"/>
              </w:rPr>
            </w:pPr>
            <w:r>
              <w:rPr>
                <w:color w:val="auto"/>
                <w:sz w:val="22"/>
                <w:szCs w:val="22"/>
              </w:rPr>
              <w:t>4.1</w:t>
            </w:r>
          </w:p>
        </w:tc>
        <w:tc>
          <w:tcPr>
            <w:tcW w:w="7994" w:type="dxa"/>
          </w:tcPr>
          <w:p w14:paraId="76615E35">
            <w:pPr>
              <w:pStyle w:val="85"/>
              <w:jc w:val="both"/>
              <w:rPr>
                <w:color w:val="auto"/>
                <w:sz w:val="22"/>
                <w:szCs w:val="22"/>
              </w:rPr>
            </w:pPr>
            <w:r>
              <w:rPr>
                <w:color w:val="auto"/>
                <w:sz w:val="22"/>
                <w:szCs w:val="22"/>
              </w:rPr>
              <w:t>Имя существительное (ознакомление): общее значение, вопросы ("кто?", "что?"), употребление в речи</w:t>
            </w:r>
          </w:p>
        </w:tc>
      </w:tr>
      <w:tr w14:paraId="5C4EC8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077" w:type="dxa"/>
          </w:tcPr>
          <w:p w14:paraId="5A13614B">
            <w:pPr>
              <w:pStyle w:val="85"/>
              <w:jc w:val="center"/>
              <w:rPr>
                <w:color w:val="auto"/>
                <w:sz w:val="22"/>
                <w:szCs w:val="22"/>
              </w:rPr>
            </w:pPr>
            <w:r>
              <w:rPr>
                <w:color w:val="auto"/>
                <w:sz w:val="22"/>
                <w:szCs w:val="22"/>
              </w:rPr>
              <w:t>4.2</w:t>
            </w:r>
          </w:p>
        </w:tc>
        <w:tc>
          <w:tcPr>
            <w:tcW w:w="7994" w:type="dxa"/>
          </w:tcPr>
          <w:p w14:paraId="756C13C4">
            <w:pPr>
              <w:pStyle w:val="85"/>
              <w:jc w:val="both"/>
              <w:rPr>
                <w:color w:val="auto"/>
                <w:sz w:val="22"/>
                <w:szCs w:val="22"/>
              </w:rPr>
            </w:pPr>
            <w:r>
              <w:rPr>
                <w:color w:val="auto"/>
                <w:sz w:val="22"/>
                <w:szCs w:val="22"/>
              </w:rPr>
              <w:t>Глагол (ознакомление): общее значение, вопросы ("что делать?", "что сделать?" и другие), употребление в речи</w:t>
            </w:r>
          </w:p>
        </w:tc>
      </w:tr>
      <w:tr w14:paraId="1E30B0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077" w:type="dxa"/>
          </w:tcPr>
          <w:p w14:paraId="2D625225">
            <w:pPr>
              <w:pStyle w:val="85"/>
              <w:jc w:val="center"/>
              <w:rPr>
                <w:color w:val="auto"/>
                <w:sz w:val="22"/>
                <w:szCs w:val="22"/>
              </w:rPr>
            </w:pPr>
            <w:r>
              <w:rPr>
                <w:color w:val="auto"/>
                <w:sz w:val="22"/>
                <w:szCs w:val="22"/>
              </w:rPr>
              <w:t>4.3</w:t>
            </w:r>
          </w:p>
        </w:tc>
        <w:tc>
          <w:tcPr>
            <w:tcW w:w="7994" w:type="dxa"/>
          </w:tcPr>
          <w:p w14:paraId="55166F4A">
            <w:pPr>
              <w:pStyle w:val="85"/>
              <w:jc w:val="both"/>
              <w:rPr>
                <w:color w:val="auto"/>
                <w:sz w:val="22"/>
                <w:szCs w:val="22"/>
              </w:rPr>
            </w:pPr>
            <w:r>
              <w:rPr>
                <w:color w:val="auto"/>
                <w:sz w:val="22"/>
                <w:szCs w:val="22"/>
              </w:rPr>
              <w:t>Имя прилагательное (ознакомление): общее значение, вопросы ("какой?", "какая?", "какое?", "какие?"), употребление в речи</w:t>
            </w:r>
          </w:p>
        </w:tc>
      </w:tr>
      <w:tr w14:paraId="67A3CB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077" w:type="dxa"/>
          </w:tcPr>
          <w:p w14:paraId="6E145332">
            <w:pPr>
              <w:pStyle w:val="85"/>
              <w:jc w:val="center"/>
              <w:rPr>
                <w:color w:val="auto"/>
                <w:sz w:val="22"/>
                <w:szCs w:val="22"/>
              </w:rPr>
            </w:pPr>
            <w:r>
              <w:rPr>
                <w:color w:val="auto"/>
                <w:sz w:val="22"/>
                <w:szCs w:val="22"/>
              </w:rPr>
              <w:t>4.4</w:t>
            </w:r>
          </w:p>
        </w:tc>
        <w:tc>
          <w:tcPr>
            <w:tcW w:w="7994" w:type="dxa"/>
          </w:tcPr>
          <w:p w14:paraId="0886E553">
            <w:pPr>
              <w:pStyle w:val="85"/>
              <w:jc w:val="both"/>
              <w:rPr>
                <w:color w:val="auto"/>
                <w:sz w:val="22"/>
                <w:szCs w:val="22"/>
              </w:rPr>
            </w:pPr>
            <w:r>
              <w:rPr>
                <w:color w:val="auto"/>
                <w:sz w:val="22"/>
                <w:szCs w:val="22"/>
              </w:rPr>
              <w:t>Предлог. Отличие предлогов от приставок. Наиболее распространенные предлоги: в, на, из, без, над, до, у, о, об и другие</w:t>
            </w:r>
          </w:p>
        </w:tc>
      </w:tr>
      <w:tr w14:paraId="0F79C4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077" w:type="dxa"/>
          </w:tcPr>
          <w:p w14:paraId="364EE891">
            <w:pPr>
              <w:pStyle w:val="85"/>
              <w:jc w:val="center"/>
              <w:rPr>
                <w:color w:val="auto"/>
                <w:sz w:val="22"/>
                <w:szCs w:val="22"/>
              </w:rPr>
            </w:pPr>
            <w:r>
              <w:rPr>
                <w:color w:val="auto"/>
                <w:sz w:val="22"/>
                <w:szCs w:val="22"/>
              </w:rPr>
              <w:t>5</w:t>
            </w:r>
          </w:p>
        </w:tc>
        <w:tc>
          <w:tcPr>
            <w:tcW w:w="7994" w:type="dxa"/>
          </w:tcPr>
          <w:p w14:paraId="14391334">
            <w:pPr>
              <w:pStyle w:val="85"/>
              <w:jc w:val="both"/>
              <w:rPr>
                <w:color w:val="auto"/>
                <w:sz w:val="22"/>
                <w:szCs w:val="22"/>
              </w:rPr>
            </w:pPr>
            <w:r>
              <w:rPr>
                <w:color w:val="auto"/>
                <w:sz w:val="22"/>
                <w:szCs w:val="22"/>
              </w:rPr>
              <w:t>Синтаксис</w:t>
            </w:r>
          </w:p>
        </w:tc>
      </w:tr>
      <w:tr w14:paraId="0BB40F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077" w:type="dxa"/>
          </w:tcPr>
          <w:p w14:paraId="3F09470D">
            <w:pPr>
              <w:pStyle w:val="85"/>
              <w:jc w:val="center"/>
              <w:rPr>
                <w:color w:val="auto"/>
                <w:sz w:val="22"/>
                <w:szCs w:val="22"/>
              </w:rPr>
            </w:pPr>
            <w:r>
              <w:rPr>
                <w:color w:val="auto"/>
                <w:sz w:val="22"/>
                <w:szCs w:val="22"/>
              </w:rPr>
              <w:t>5.1</w:t>
            </w:r>
          </w:p>
        </w:tc>
        <w:tc>
          <w:tcPr>
            <w:tcW w:w="7994" w:type="dxa"/>
          </w:tcPr>
          <w:p w14:paraId="68B6AA96">
            <w:pPr>
              <w:pStyle w:val="85"/>
              <w:jc w:val="both"/>
              <w:rPr>
                <w:color w:val="auto"/>
                <w:sz w:val="22"/>
                <w:szCs w:val="22"/>
              </w:rPr>
            </w:pPr>
            <w:r>
              <w:rPr>
                <w:color w:val="auto"/>
                <w:sz w:val="22"/>
                <w:szCs w:val="22"/>
              </w:rPr>
              <w:t>Порядок слов в предложении; связь слов в предложении (повторение)</w:t>
            </w:r>
          </w:p>
        </w:tc>
      </w:tr>
      <w:tr w14:paraId="21B445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077" w:type="dxa"/>
          </w:tcPr>
          <w:p w14:paraId="5832D043">
            <w:pPr>
              <w:pStyle w:val="85"/>
              <w:jc w:val="center"/>
              <w:rPr>
                <w:color w:val="auto"/>
                <w:sz w:val="22"/>
                <w:szCs w:val="22"/>
              </w:rPr>
            </w:pPr>
            <w:r>
              <w:rPr>
                <w:color w:val="auto"/>
                <w:sz w:val="22"/>
                <w:szCs w:val="22"/>
              </w:rPr>
              <w:t>5.2</w:t>
            </w:r>
          </w:p>
        </w:tc>
        <w:tc>
          <w:tcPr>
            <w:tcW w:w="7994" w:type="dxa"/>
          </w:tcPr>
          <w:p w14:paraId="3E2E06C1">
            <w:pPr>
              <w:pStyle w:val="85"/>
              <w:jc w:val="both"/>
              <w:rPr>
                <w:color w:val="auto"/>
                <w:sz w:val="22"/>
                <w:szCs w:val="22"/>
              </w:rPr>
            </w:pPr>
            <w:r>
              <w:rPr>
                <w:color w:val="auto"/>
                <w:sz w:val="22"/>
                <w:szCs w:val="22"/>
              </w:rPr>
              <w:t>Предложение как единица языка. Предложение и слово. Отличие предложения от слова</w:t>
            </w:r>
          </w:p>
        </w:tc>
      </w:tr>
      <w:tr w14:paraId="24B919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077" w:type="dxa"/>
          </w:tcPr>
          <w:p w14:paraId="0BE72133">
            <w:pPr>
              <w:pStyle w:val="85"/>
              <w:jc w:val="center"/>
              <w:rPr>
                <w:color w:val="auto"/>
                <w:sz w:val="22"/>
                <w:szCs w:val="22"/>
              </w:rPr>
            </w:pPr>
            <w:r>
              <w:rPr>
                <w:color w:val="auto"/>
                <w:sz w:val="22"/>
                <w:szCs w:val="22"/>
              </w:rPr>
              <w:t>5.3</w:t>
            </w:r>
          </w:p>
        </w:tc>
        <w:tc>
          <w:tcPr>
            <w:tcW w:w="7994" w:type="dxa"/>
          </w:tcPr>
          <w:p w14:paraId="420E7CBE">
            <w:pPr>
              <w:pStyle w:val="85"/>
              <w:jc w:val="both"/>
              <w:rPr>
                <w:color w:val="auto"/>
                <w:sz w:val="22"/>
                <w:szCs w:val="22"/>
              </w:rPr>
            </w:pPr>
            <w:r>
              <w:rPr>
                <w:color w:val="auto"/>
                <w:sz w:val="22"/>
                <w:szCs w:val="22"/>
              </w:rPr>
              <w:t>Наблюдение за выделением в устной речи одного из слов предложения (логическое ударение)</w:t>
            </w:r>
          </w:p>
        </w:tc>
      </w:tr>
      <w:tr w14:paraId="03A19A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077" w:type="dxa"/>
          </w:tcPr>
          <w:p w14:paraId="287E65A2">
            <w:pPr>
              <w:pStyle w:val="85"/>
              <w:jc w:val="center"/>
              <w:rPr>
                <w:color w:val="auto"/>
                <w:sz w:val="22"/>
                <w:szCs w:val="22"/>
              </w:rPr>
            </w:pPr>
            <w:r>
              <w:rPr>
                <w:color w:val="auto"/>
                <w:sz w:val="22"/>
                <w:szCs w:val="22"/>
              </w:rPr>
              <w:t>5.4</w:t>
            </w:r>
          </w:p>
        </w:tc>
        <w:tc>
          <w:tcPr>
            <w:tcW w:w="7994" w:type="dxa"/>
          </w:tcPr>
          <w:p w14:paraId="0C24E0B6">
            <w:pPr>
              <w:pStyle w:val="85"/>
              <w:jc w:val="both"/>
              <w:rPr>
                <w:color w:val="auto"/>
                <w:sz w:val="22"/>
                <w:szCs w:val="22"/>
              </w:rPr>
            </w:pPr>
            <w:r>
              <w:rPr>
                <w:color w:val="auto"/>
                <w:sz w:val="22"/>
                <w:szCs w:val="22"/>
              </w:rPr>
              <w:t>Виды предложений по цели высказывания: повествовательные, вопросительные, побудительные предложения</w:t>
            </w:r>
          </w:p>
        </w:tc>
      </w:tr>
      <w:tr w14:paraId="7637B2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077" w:type="dxa"/>
          </w:tcPr>
          <w:p w14:paraId="1C258E60">
            <w:pPr>
              <w:pStyle w:val="85"/>
              <w:jc w:val="center"/>
              <w:rPr>
                <w:color w:val="auto"/>
                <w:sz w:val="22"/>
                <w:szCs w:val="22"/>
              </w:rPr>
            </w:pPr>
            <w:r>
              <w:rPr>
                <w:color w:val="auto"/>
                <w:sz w:val="22"/>
                <w:szCs w:val="22"/>
              </w:rPr>
              <w:t>5.5</w:t>
            </w:r>
          </w:p>
        </w:tc>
        <w:tc>
          <w:tcPr>
            <w:tcW w:w="7994" w:type="dxa"/>
          </w:tcPr>
          <w:p w14:paraId="5F2A6E35">
            <w:pPr>
              <w:pStyle w:val="85"/>
              <w:jc w:val="both"/>
              <w:rPr>
                <w:color w:val="auto"/>
                <w:sz w:val="22"/>
                <w:szCs w:val="22"/>
              </w:rPr>
            </w:pPr>
            <w:r>
              <w:rPr>
                <w:color w:val="auto"/>
                <w:sz w:val="22"/>
                <w:szCs w:val="22"/>
              </w:rPr>
              <w:t>Виды предложений по эмоциональной окраске (по интонации): восклицательные и невосклицательные предложения</w:t>
            </w:r>
          </w:p>
        </w:tc>
      </w:tr>
      <w:tr w14:paraId="25735E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077" w:type="dxa"/>
          </w:tcPr>
          <w:p w14:paraId="6225EBE2">
            <w:pPr>
              <w:pStyle w:val="85"/>
              <w:jc w:val="center"/>
              <w:rPr>
                <w:color w:val="auto"/>
                <w:sz w:val="22"/>
                <w:szCs w:val="22"/>
              </w:rPr>
            </w:pPr>
            <w:r>
              <w:rPr>
                <w:color w:val="auto"/>
                <w:sz w:val="22"/>
                <w:szCs w:val="22"/>
              </w:rPr>
              <w:t>6</w:t>
            </w:r>
          </w:p>
        </w:tc>
        <w:tc>
          <w:tcPr>
            <w:tcW w:w="7994" w:type="dxa"/>
          </w:tcPr>
          <w:p w14:paraId="2DAC3D3C">
            <w:pPr>
              <w:pStyle w:val="85"/>
              <w:jc w:val="both"/>
              <w:rPr>
                <w:color w:val="auto"/>
                <w:sz w:val="22"/>
                <w:szCs w:val="22"/>
              </w:rPr>
            </w:pPr>
            <w:r>
              <w:rPr>
                <w:color w:val="auto"/>
                <w:sz w:val="22"/>
                <w:szCs w:val="22"/>
              </w:rPr>
              <w:t>Орфография и пунктуация</w:t>
            </w:r>
          </w:p>
        </w:tc>
      </w:tr>
      <w:tr w14:paraId="10852C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077" w:type="dxa"/>
          </w:tcPr>
          <w:p w14:paraId="7CF41228">
            <w:pPr>
              <w:pStyle w:val="85"/>
              <w:jc w:val="center"/>
              <w:rPr>
                <w:color w:val="auto"/>
                <w:sz w:val="22"/>
                <w:szCs w:val="22"/>
              </w:rPr>
            </w:pPr>
            <w:r>
              <w:rPr>
                <w:color w:val="auto"/>
                <w:sz w:val="22"/>
                <w:szCs w:val="22"/>
              </w:rPr>
              <w:t>6.1</w:t>
            </w:r>
          </w:p>
        </w:tc>
        <w:tc>
          <w:tcPr>
            <w:tcW w:w="7994" w:type="dxa"/>
          </w:tcPr>
          <w:p w14:paraId="3C73CC7A">
            <w:pPr>
              <w:pStyle w:val="85"/>
              <w:jc w:val="both"/>
              <w:rPr>
                <w:color w:val="auto"/>
                <w:sz w:val="22"/>
                <w:szCs w:val="22"/>
              </w:rPr>
            </w:pPr>
            <w:r>
              <w:rPr>
                <w:color w:val="auto"/>
                <w:sz w:val="22"/>
                <w:szCs w:val="22"/>
              </w:rPr>
              <w:t>Заглавная буква в начале предложения и в именах собственных (имена и фамилии людей, клички животных); знаки препинания в конце предложения; перенос слов со строки на строку (без учета морфемного деления слова); гласные после шипящих в сочетаниях жи, ши (в положении под ударением), ча, ща, чу, щу, сочетания чк, чн (повторение правил правописания, изученных в 1 классе)</w:t>
            </w:r>
          </w:p>
        </w:tc>
      </w:tr>
      <w:tr w14:paraId="4751CA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077" w:type="dxa"/>
          </w:tcPr>
          <w:p w14:paraId="69F2E57C">
            <w:pPr>
              <w:pStyle w:val="85"/>
              <w:jc w:val="center"/>
              <w:rPr>
                <w:color w:val="auto"/>
                <w:sz w:val="22"/>
                <w:szCs w:val="22"/>
              </w:rPr>
            </w:pPr>
            <w:r>
              <w:rPr>
                <w:color w:val="auto"/>
                <w:sz w:val="22"/>
                <w:szCs w:val="22"/>
              </w:rPr>
              <w:t>6.2</w:t>
            </w:r>
          </w:p>
        </w:tc>
        <w:tc>
          <w:tcPr>
            <w:tcW w:w="7994" w:type="dxa"/>
          </w:tcPr>
          <w:p w14:paraId="5588F9E0">
            <w:pPr>
              <w:pStyle w:val="85"/>
              <w:jc w:val="both"/>
              <w:rPr>
                <w:color w:val="auto"/>
                <w:sz w:val="22"/>
                <w:szCs w:val="22"/>
              </w:rPr>
            </w:pPr>
            <w:r>
              <w:rPr>
                <w:color w:val="auto"/>
                <w:sz w:val="22"/>
                <w:szCs w:val="22"/>
              </w:rPr>
              <w:t>Орфографическая зоркость как осознание места возможного возникновения орфографической ошибки. Понятие орфограммы</w:t>
            </w:r>
          </w:p>
        </w:tc>
      </w:tr>
      <w:tr w14:paraId="1D8E90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077" w:type="dxa"/>
          </w:tcPr>
          <w:p w14:paraId="61B870CF">
            <w:pPr>
              <w:pStyle w:val="85"/>
              <w:jc w:val="center"/>
              <w:rPr>
                <w:color w:val="auto"/>
                <w:sz w:val="22"/>
                <w:szCs w:val="22"/>
              </w:rPr>
            </w:pPr>
            <w:r>
              <w:rPr>
                <w:color w:val="auto"/>
                <w:sz w:val="22"/>
                <w:szCs w:val="22"/>
              </w:rPr>
              <w:t>6.3</w:t>
            </w:r>
          </w:p>
        </w:tc>
        <w:tc>
          <w:tcPr>
            <w:tcW w:w="7994" w:type="dxa"/>
          </w:tcPr>
          <w:p w14:paraId="5E3A2044">
            <w:pPr>
              <w:pStyle w:val="85"/>
              <w:jc w:val="both"/>
              <w:rPr>
                <w:color w:val="auto"/>
                <w:sz w:val="22"/>
                <w:szCs w:val="22"/>
              </w:rPr>
            </w:pPr>
            <w:r>
              <w:rPr>
                <w:color w:val="auto"/>
                <w:sz w:val="22"/>
                <w:szCs w:val="22"/>
              </w:rPr>
              <w:t>Различные способы решения орфографической задачи в зависимости от места орфограммы в слове</w:t>
            </w:r>
          </w:p>
        </w:tc>
      </w:tr>
      <w:tr w14:paraId="480FD8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077" w:type="dxa"/>
          </w:tcPr>
          <w:p w14:paraId="32131C7D">
            <w:pPr>
              <w:pStyle w:val="85"/>
              <w:jc w:val="center"/>
              <w:rPr>
                <w:color w:val="auto"/>
                <w:sz w:val="22"/>
                <w:szCs w:val="22"/>
              </w:rPr>
            </w:pPr>
            <w:r>
              <w:rPr>
                <w:color w:val="auto"/>
                <w:sz w:val="22"/>
                <w:szCs w:val="22"/>
              </w:rPr>
              <w:t>6.4</w:t>
            </w:r>
          </w:p>
        </w:tc>
        <w:tc>
          <w:tcPr>
            <w:tcW w:w="7994" w:type="dxa"/>
          </w:tcPr>
          <w:p w14:paraId="3355A4BE">
            <w:pPr>
              <w:pStyle w:val="85"/>
              <w:jc w:val="both"/>
              <w:rPr>
                <w:color w:val="auto"/>
                <w:sz w:val="22"/>
                <w:szCs w:val="22"/>
              </w:rPr>
            </w:pPr>
            <w:r>
              <w:rPr>
                <w:color w:val="auto"/>
                <w:sz w:val="22"/>
                <w:szCs w:val="22"/>
              </w:rPr>
              <w:t>Использование орфографического словаря учебника для определения (уточнения) написания слова</w:t>
            </w:r>
          </w:p>
        </w:tc>
      </w:tr>
      <w:tr w14:paraId="279A05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077" w:type="dxa"/>
          </w:tcPr>
          <w:p w14:paraId="5764FEC0">
            <w:pPr>
              <w:pStyle w:val="85"/>
              <w:jc w:val="center"/>
              <w:rPr>
                <w:color w:val="auto"/>
                <w:sz w:val="22"/>
                <w:szCs w:val="22"/>
              </w:rPr>
            </w:pPr>
            <w:r>
              <w:rPr>
                <w:color w:val="auto"/>
                <w:sz w:val="22"/>
                <w:szCs w:val="22"/>
              </w:rPr>
              <w:t>6.5</w:t>
            </w:r>
          </w:p>
        </w:tc>
        <w:tc>
          <w:tcPr>
            <w:tcW w:w="7994" w:type="dxa"/>
          </w:tcPr>
          <w:p w14:paraId="6DAD907B">
            <w:pPr>
              <w:pStyle w:val="85"/>
              <w:jc w:val="both"/>
              <w:rPr>
                <w:color w:val="auto"/>
                <w:sz w:val="22"/>
                <w:szCs w:val="22"/>
              </w:rPr>
            </w:pPr>
            <w:r>
              <w:rPr>
                <w:color w:val="auto"/>
                <w:sz w:val="22"/>
                <w:szCs w:val="22"/>
              </w:rPr>
              <w:t>Контроль и самоконтроль при проверке собственных и предложенных текстов</w:t>
            </w:r>
          </w:p>
        </w:tc>
      </w:tr>
      <w:tr w14:paraId="4F1640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077" w:type="dxa"/>
          </w:tcPr>
          <w:p w14:paraId="528CEA91">
            <w:pPr>
              <w:pStyle w:val="85"/>
              <w:jc w:val="center"/>
              <w:rPr>
                <w:color w:val="auto"/>
                <w:sz w:val="22"/>
                <w:szCs w:val="22"/>
              </w:rPr>
            </w:pPr>
            <w:r>
              <w:rPr>
                <w:color w:val="auto"/>
                <w:sz w:val="22"/>
                <w:szCs w:val="22"/>
              </w:rPr>
              <w:t>6.6</w:t>
            </w:r>
          </w:p>
        </w:tc>
        <w:tc>
          <w:tcPr>
            <w:tcW w:w="7994" w:type="dxa"/>
          </w:tcPr>
          <w:p w14:paraId="47D6A7D7">
            <w:pPr>
              <w:pStyle w:val="85"/>
              <w:jc w:val="both"/>
              <w:rPr>
                <w:color w:val="auto"/>
                <w:sz w:val="22"/>
                <w:szCs w:val="22"/>
              </w:rPr>
            </w:pPr>
            <w:r>
              <w:rPr>
                <w:color w:val="auto"/>
                <w:sz w:val="22"/>
                <w:szCs w:val="22"/>
              </w:rPr>
              <w:t>Разделительный мягкий знак</w:t>
            </w:r>
          </w:p>
        </w:tc>
      </w:tr>
      <w:tr w14:paraId="5B93F6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077" w:type="dxa"/>
          </w:tcPr>
          <w:p w14:paraId="41A4E5E3">
            <w:pPr>
              <w:pStyle w:val="85"/>
              <w:jc w:val="center"/>
              <w:rPr>
                <w:color w:val="auto"/>
                <w:sz w:val="22"/>
                <w:szCs w:val="22"/>
              </w:rPr>
            </w:pPr>
            <w:r>
              <w:rPr>
                <w:color w:val="auto"/>
                <w:sz w:val="22"/>
                <w:szCs w:val="22"/>
              </w:rPr>
              <w:t>6.7</w:t>
            </w:r>
          </w:p>
        </w:tc>
        <w:tc>
          <w:tcPr>
            <w:tcW w:w="7994" w:type="dxa"/>
          </w:tcPr>
          <w:p w14:paraId="598A6B69">
            <w:pPr>
              <w:pStyle w:val="85"/>
              <w:jc w:val="both"/>
              <w:rPr>
                <w:color w:val="auto"/>
                <w:sz w:val="22"/>
                <w:szCs w:val="22"/>
              </w:rPr>
            </w:pPr>
            <w:r>
              <w:rPr>
                <w:color w:val="auto"/>
                <w:sz w:val="22"/>
                <w:szCs w:val="22"/>
              </w:rPr>
              <w:t>Сочетания чт, щн, нч</w:t>
            </w:r>
          </w:p>
        </w:tc>
      </w:tr>
      <w:tr w14:paraId="16E11F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077" w:type="dxa"/>
          </w:tcPr>
          <w:p w14:paraId="595FB8D3">
            <w:pPr>
              <w:pStyle w:val="85"/>
              <w:jc w:val="center"/>
              <w:rPr>
                <w:color w:val="auto"/>
                <w:sz w:val="22"/>
                <w:szCs w:val="22"/>
              </w:rPr>
            </w:pPr>
            <w:r>
              <w:rPr>
                <w:color w:val="auto"/>
                <w:sz w:val="22"/>
                <w:szCs w:val="22"/>
              </w:rPr>
              <w:t>6.8</w:t>
            </w:r>
          </w:p>
        </w:tc>
        <w:tc>
          <w:tcPr>
            <w:tcW w:w="7994" w:type="dxa"/>
          </w:tcPr>
          <w:p w14:paraId="043FDBE5">
            <w:pPr>
              <w:pStyle w:val="85"/>
              <w:jc w:val="both"/>
              <w:rPr>
                <w:color w:val="auto"/>
                <w:sz w:val="22"/>
                <w:szCs w:val="22"/>
              </w:rPr>
            </w:pPr>
            <w:r>
              <w:rPr>
                <w:color w:val="auto"/>
                <w:sz w:val="22"/>
                <w:szCs w:val="22"/>
              </w:rPr>
              <w:t>Проверяемые безударные гласные в корне слова</w:t>
            </w:r>
          </w:p>
        </w:tc>
      </w:tr>
      <w:tr w14:paraId="0289E9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077" w:type="dxa"/>
          </w:tcPr>
          <w:p w14:paraId="55DFBC70">
            <w:pPr>
              <w:pStyle w:val="85"/>
              <w:jc w:val="center"/>
              <w:rPr>
                <w:color w:val="auto"/>
                <w:sz w:val="22"/>
                <w:szCs w:val="22"/>
              </w:rPr>
            </w:pPr>
            <w:r>
              <w:rPr>
                <w:color w:val="auto"/>
                <w:sz w:val="22"/>
                <w:szCs w:val="22"/>
              </w:rPr>
              <w:t>6.9</w:t>
            </w:r>
          </w:p>
        </w:tc>
        <w:tc>
          <w:tcPr>
            <w:tcW w:w="7994" w:type="dxa"/>
          </w:tcPr>
          <w:p w14:paraId="3457B9FD">
            <w:pPr>
              <w:pStyle w:val="85"/>
              <w:jc w:val="both"/>
              <w:rPr>
                <w:color w:val="auto"/>
                <w:sz w:val="22"/>
                <w:szCs w:val="22"/>
              </w:rPr>
            </w:pPr>
            <w:r>
              <w:rPr>
                <w:color w:val="auto"/>
                <w:sz w:val="22"/>
                <w:szCs w:val="22"/>
              </w:rPr>
              <w:t>Парные звонкие и глухие согласные в корне слова</w:t>
            </w:r>
          </w:p>
        </w:tc>
      </w:tr>
      <w:tr w14:paraId="2541B8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077" w:type="dxa"/>
          </w:tcPr>
          <w:p w14:paraId="76615C1E">
            <w:pPr>
              <w:pStyle w:val="85"/>
              <w:jc w:val="center"/>
              <w:rPr>
                <w:color w:val="auto"/>
                <w:sz w:val="22"/>
                <w:szCs w:val="22"/>
              </w:rPr>
            </w:pPr>
            <w:r>
              <w:rPr>
                <w:color w:val="auto"/>
                <w:sz w:val="22"/>
                <w:szCs w:val="22"/>
              </w:rPr>
              <w:t>6.10</w:t>
            </w:r>
          </w:p>
        </w:tc>
        <w:tc>
          <w:tcPr>
            <w:tcW w:w="7994" w:type="dxa"/>
          </w:tcPr>
          <w:p w14:paraId="4DE9D334">
            <w:pPr>
              <w:pStyle w:val="85"/>
              <w:jc w:val="both"/>
              <w:rPr>
                <w:color w:val="auto"/>
                <w:sz w:val="22"/>
                <w:szCs w:val="22"/>
              </w:rPr>
            </w:pPr>
            <w:r>
              <w:rPr>
                <w:color w:val="auto"/>
                <w:sz w:val="22"/>
                <w:szCs w:val="22"/>
              </w:rPr>
              <w:t>Непроверяемые гласные и согласные (перечень слов в орфографическом словаре учебника)</w:t>
            </w:r>
          </w:p>
        </w:tc>
      </w:tr>
      <w:tr w14:paraId="23E086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077" w:type="dxa"/>
          </w:tcPr>
          <w:p w14:paraId="488791AD">
            <w:pPr>
              <w:pStyle w:val="85"/>
              <w:jc w:val="center"/>
              <w:rPr>
                <w:color w:val="auto"/>
                <w:sz w:val="22"/>
                <w:szCs w:val="22"/>
              </w:rPr>
            </w:pPr>
            <w:r>
              <w:rPr>
                <w:color w:val="auto"/>
                <w:sz w:val="22"/>
                <w:szCs w:val="22"/>
              </w:rPr>
              <w:t>6.11</w:t>
            </w:r>
          </w:p>
        </w:tc>
        <w:tc>
          <w:tcPr>
            <w:tcW w:w="7994" w:type="dxa"/>
          </w:tcPr>
          <w:p w14:paraId="06DB7C4A">
            <w:pPr>
              <w:pStyle w:val="85"/>
              <w:jc w:val="both"/>
              <w:rPr>
                <w:color w:val="auto"/>
                <w:sz w:val="22"/>
                <w:szCs w:val="22"/>
              </w:rPr>
            </w:pPr>
            <w:r>
              <w:rPr>
                <w:color w:val="auto"/>
                <w:sz w:val="22"/>
                <w:szCs w:val="22"/>
              </w:rPr>
              <w:t>Заглавная буква в именах собственных: имена, фамилии, отчества людей, клички животных, географические названия</w:t>
            </w:r>
          </w:p>
        </w:tc>
      </w:tr>
      <w:tr w14:paraId="51F806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077" w:type="dxa"/>
          </w:tcPr>
          <w:p w14:paraId="01BE9202">
            <w:pPr>
              <w:pStyle w:val="85"/>
              <w:jc w:val="center"/>
              <w:rPr>
                <w:color w:val="auto"/>
                <w:sz w:val="22"/>
                <w:szCs w:val="22"/>
              </w:rPr>
            </w:pPr>
            <w:r>
              <w:rPr>
                <w:color w:val="auto"/>
                <w:sz w:val="22"/>
                <w:szCs w:val="22"/>
              </w:rPr>
              <w:t>6.12</w:t>
            </w:r>
          </w:p>
        </w:tc>
        <w:tc>
          <w:tcPr>
            <w:tcW w:w="7994" w:type="dxa"/>
          </w:tcPr>
          <w:p w14:paraId="653C6A56">
            <w:pPr>
              <w:pStyle w:val="85"/>
              <w:jc w:val="both"/>
              <w:rPr>
                <w:color w:val="auto"/>
                <w:sz w:val="22"/>
                <w:szCs w:val="22"/>
              </w:rPr>
            </w:pPr>
            <w:r>
              <w:rPr>
                <w:color w:val="auto"/>
                <w:sz w:val="22"/>
                <w:szCs w:val="22"/>
              </w:rPr>
              <w:t>Раздельное написание предлогов с именами существительными</w:t>
            </w:r>
          </w:p>
        </w:tc>
      </w:tr>
      <w:tr w14:paraId="3B05D1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077" w:type="dxa"/>
          </w:tcPr>
          <w:p w14:paraId="4F4A2839">
            <w:pPr>
              <w:pStyle w:val="85"/>
              <w:jc w:val="center"/>
              <w:rPr>
                <w:color w:val="auto"/>
                <w:sz w:val="22"/>
                <w:szCs w:val="22"/>
              </w:rPr>
            </w:pPr>
            <w:r>
              <w:rPr>
                <w:color w:val="auto"/>
                <w:sz w:val="22"/>
                <w:szCs w:val="22"/>
              </w:rPr>
              <w:t>7</w:t>
            </w:r>
          </w:p>
        </w:tc>
        <w:tc>
          <w:tcPr>
            <w:tcW w:w="7994" w:type="dxa"/>
          </w:tcPr>
          <w:p w14:paraId="7E62C7C3">
            <w:pPr>
              <w:pStyle w:val="85"/>
              <w:jc w:val="both"/>
              <w:rPr>
                <w:color w:val="auto"/>
                <w:sz w:val="22"/>
                <w:szCs w:val="22"/>
              </w:rPr>
            </w:pPr>
            <w:r>
              <w:rPr>
                <w:color w:val="auto"/>
                <w:sz w:val="22"/>
                <w:szCs w:val="22"/>
              </w:rPr>
              <w:t>Развитие речи</w:t>
            </w:r>
          </w:p>
        </w:tc>
      </w:tr>
      <w:tr w14:paraId="5329CE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077" w:type="dxa"/>
          </w:tcPr>
          <w:p w14:paraId="624198DE">
            <w:pPr>
              <w:pStyle w:val="85"/>
              <w:jc w:val="center"/>
              <w:rPr>
                <w:color w:val="auto"/>
                <w:sz w:val="22"/>
                <w:szCs w:val="22"/>
              </w:rPr>
            </w:pPr>
            <w:r>
              <w:rPr>
                <w:color w:val="auto"/>
                <w:sz w:val="22"/>
                <w:szCs w:val="22"/>
              </w:rPr>
              <w:t>7.1</w:t>
            </w:r>
          </w:p>
        </w:tc>
        <w:tc>
          <w:tcPr>
            <w:tcW w:w="7994" w:type="dxa"/>
          </w:tcPr>
          <w:p w14:paraId="07CCB461">
            <w:pPr>
              <w:pStyle w:val="85"/>
              <w:jc w:val="both"/>
              <w:rPr>
                <w:color w:val="auto"/>
                <w:sz w:val="22"/>
                <w:szCs w:val="22"/>
              </w:rPr>
            </w:pPr>
            <w:r>
              <w:rPr>
                <w:color w:val="auto"/>
                <w:sz w:val="22"/>
                <w:szCs w:val="22"/>
              </w:rPr>
              <w:t>Выбор языковых средств в соответствии с целями и условиями устного общения для эффективного решения коммуникативной задачи (для ответа на заданный вопрос, для выражения собственного мнения)</w:t>
            </w:r>
          </w:p>
        </w:tc>
      </w:tr>
      <w:tr w14:paraId="60900B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077" w:type="dxa"/>
          </w:tcPr>
          <w:p w14:paraId="78AF5E8F">
            <w:pPr>
              <w:pStyle w:val="85"/>
              <w:jc w:val="center"/>
              <w:rPr>
                <w:color w:val="auto"/>
                <w:sz w:val="22"/>
                <w:szCs w:val="22"/>
              </w:rPr>
            </w:pPr>
            <w:r>
              <w:rPr>
                <w:color w:val="auto"/>
                <w:sz w:val="22"/>
                <w:szCs w:val="22"/>
              </w:rPr>
              <w:t>7.2</w:t>
            </w:r>
          </w:p>
        </w:tc>
        <w:tc>
          <w:tcPr>
            <w:tcW w:w="7994" w:type="dxa"/>
          </w:tcPr>
          <w:p w14:paraId="26CC9548">
            <w:pPr>
              <w:pStyle w:val="85"/>
              <w:jc w:val="both"/>
              <w:rPr>
                <w:color w:val="auto"/>
                <w:sz w:val="22"/>
                <w:szCs w:val="22"/>
              </w:rPr>
            </w:pPr>
            <w:r>
              <w:rPr>
                <w:color w:val="auto"/>
                <w:sz w:val="22"/>
                <w:szCs w:val="22"/>
              </w:rPr>
              <w:t>Практическое овладение диалогической формой речи. Умение вести разговор (начать, поддержать, закончить разговор, привлечь внимание и другое). Умение договариваться и приходить к общему решению в совместной деятельности при проведении парной и групповой работы</w:t>
            </w:r>
          </w:p>
        </w:tc>
      </w:tr>
      <w:tr w14:paraId="66D708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077" w:type="dxa"/>
          </w:tcPr>
          <w:p w14:paraId="32374634">
            <w:pPr>
              <w:pStyle w:val="85"/>
              <w:jc w:val="center"/>
              <w:rPr>
                <w:color w:val="auto"/>
                <w:sz w:val="22"/>
                <w:szCs w:val="22"/>
              </w:rPr>
            </w:pPr>
            <w:r>
              <w:rPr>
                <w:color w:val="auto"/>
                <w:sz w:val="22"/>
                <w:szCs w:val="22"/>
              </w:rPr>
              <w:t>7.3</w:t>
            </w:r>
          </w:p>
        </w:tc>
        <w:tc>
          <w:tcPr>
            <w:tcW w:w="7994" w:type="dxa"/>
          </w:tcPr>
          <w:p w14:paraId="6963FFC0">
            <w:pPr>
              <w:pStyle w:val="85"/>
              <w:jc w:val="both"/>
              <w:rPr>
                <w:color w:val="auto"/>
                <w:sz w:val="22"/>
                <w:szCs w:val="22"/>
              </w:rPr>
            </w:pPr>
            <w:r>
              <w:rPr>
                <w:color w:val="auto"/>
                <w:sz w:val="22"/>
                <w:szCs w:val="22"/>
              </w:rPr>
              <w:t>Соблюдение норм речевого этикета и орфоэпических норм в ситуациях учебного и бытового общения</w:t>
            </w:r>
          </w:p>
        </w:tc>
      </w:tr>
      <w:tr w14:paraId="5AE1AB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077" w:type="dxa"/>
          </w:tcPr>
          <w:p w14:paraId="1FEA459E">
            <w:pPr>
              <w:pStyle w:val="85"/>
              <w:jc w:val="center"/>
              <w:rPr>
                <w:color w:val="auto"/>
                <w:sz w:val="22"/>
                <w:szCs w:val="22"/>
              </w:rPr>
            </w:pPr>
            <w:r>
              <w:rPr>
                <w:color w:val="auto"/>
                <w:sz w:val="22"/>
                <w:szCs w:val="22"/>
              </w:rPr>
              <w:t>7.4</w:t>
            </w:r>
          </w:p>
        </w:tc>
        <w:tc>
          <w:tcPr>
            <w:tcW w:w="7994" w:type="dxa"/>
          </w:tcPr>
          <w:p w14:paraId="41FF4E6D">
            <w:pPr>
              <w:pStyle w:val="85"/>
              <w:jc w:val="both"/>
              <w:rPr>
                <w:color w:val="auto"/>
                <w:sz w:val="22"/>
                <w:szCs w:val="22"/>
              </w:rPr>
            </w:pPr>
            <w:r>
              <w:rPr>
                <w:color w:val="auto"/>
                <w:sz w:val="22"/>
                <w:szCs w:val="22"/>
              </w:rPr>
              <w:t>Составление устного рассказа по репродукции картины</w:t>
            </w:r>
          </w:p>
        </w:tc>
      </w:tr>
      <w:tr w14:paraId="082F14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077" w:type="dxa"/>
          </w:tcPr>
          <w:p w14:paraId="0CF7956E">
            <w:pPr>
              <w:pStyle w:val="85"/>
              <w:jc w:val="center"/>
              <w:rPr>
                <w:color w:val="auto"/>
                <w:sz w:val="22"/>
                <w:szCs w:val="22"/>
              </w:rPr>
            </w:pPr>
            <w:r>
              <w:rPr>
                <w:color w:val="auto"/>
                <w:sz w:val="22"/>
                <w:szCs w:val="22"/>
              </w:rPr>
              <w:t>7.5</w:t>
            </w:r>
          </w:p>
        </w:tc>
        <w:tc>
          <w:tcPr>
            <w:tcW w:w="7994" w:type="dxa"/>
          </w:tcPr>
          <w:p w14:paraId="31790CF5">
            <w:pPr>
              <w:pStyle w:val="85"/>
              <w:jc w:val="both"/>
              <w:rPr>
                <w:color w:val="auto"/>
                <w:sz w:val="22"/>
                <w:szCs w:val="22"/>
              </w:rPr>
            </w:pPr>
            <w:r>
              <w:rPr>
                <w:color w:val="auto"/>
                <w:sz w:val="22"/>
                <w:szCs w:val="22"/>
              </w:rPr>
              <w:t>Составление устного рассказа с использованием личных наблюдений и вопросов</w:t>
            </w:r>
          </w:p>
        </w:tc>
      </w:tr>
      <w:tr w14:paraId="5228AA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077" w:type="dxa"/>
          </w:tcPr>
          <w:p w14:paraId="3AE85383">
            <w:pPr>
              <w:pStyle w:val="85"/>
              <w:jc w:val="center"/>
              <w:rPr>
                <w:color w:val="auto"/>
                <w:sz w:val="22"/>
                <w:szCs w:val="22"/>
              </w:rPr>
            </w:pPr>
            <w:r>
              <w:rPr>
                <w:color w:val="auto"/>
                <w:sz w:val="22"/>
                <w:szCs w:val="22"/>
              </w:rPr>
              <w:t>7.6</w:t>
            </w:r>
          </w:p>
        </w:tc>
        <w:tc>
          <w:tcPr>
            <w:tcW w:w="7994" w:type="dxa"/>
          </w:tcPr>
          <w:p w14:paraId="0813EDA1">
            <w:pPr>
              <w:pStyle w:val="85"/>
              <w:jc w:val="both"/>
              <w:rPr>
                <w:color w:val="auto"/>
                <w:sz w:val="22"/>
                <w:szCs w:val="22"/>
              </w:rPr>
            </w:pPr>
            <w:r>
              <w:rPr>
                <w:color w:val="auto"/>
                <w:sz w:val="22"/>
                <w:szCs w:val="22"/>
              </w:rPr>
              <w:t>Текст. Признаки текста: смысловое единство предложений в тексте; последовательность предложений в тексте; выражение в тексте законченной мысли</w:t>
            </w:r>
          </w:p>
        </w:tc>
      </w:tr>
      <w:tr w14:paraId="1119FD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077" w:type="dxa"/>
          </w:tcPr>
          <w:p w14:paraId="4094AA4B">
            <w:pPr>
              <w:pStyle w:val="85"/>
              <w:jc w:val="center"/>
              <w:rPr>
                <w:color w:val="auto"/>
                <w:sz w:val="22"/>
                <w:szCs w:val="22"/>
              </w:rPr>
            </w:pPr>
            <w:r>
              <w:rPr>
                <w:color w:val="auto"/>
                <w:sz w:val="22"/>
                <w:szCs w:val="22"/>
              </w:rPr>
              <w:t>7.7</w:t>
            </w:r>
          </w:p>
        </w:tc>
        <w:tc>
          <w:tcPr>
            <w:tcW w:w="7994" w:type="dxa"/>
          </w:tcPr>
          <w:p w14:paraId="21B3DC21">
            <w:pPr>
              <w:pStyle w:val="85"/>
              <w:jc w:val="both"/>
              <w:rPr>
                <w:color w:val="auto"/>
                <w:sz w:val="22"/>
                <w:szCs w:val="22"/>
              </w:rPr>
            </w:pPr>
            <w:r>
              <w:rPr>
                <w:color w:val="auto"/>
                <w:sz w:val="22"/>
                <w:szCs w:val="22"/>
              </w:rPr>
              <w:t>Тема текста</w:t>
            </w:r>
          </w:p>
        </w:tc>
      </w:tr>
      <w:tr w14:paraId="52C609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077" w:type="dxa"/>
          </w:tcPr>
          <w:p w14:paraId="4AA2FA97">
            <w:pPr>
              <w:pStyle w:val="85"/>
              <w:jc w:val="center"/>
              <w:rPr>
                <w:color w:val="auto"/>
                <w:sz w:val="22"/>
                <w:szCs w:val="22"/>
              </w:rPr>
            </w:pPr>
            <w:r>
              <w:rPr>
                <w:color w:val="auto"/>
                <w:sz w:val="22"/>
                <w:szCs w:val="22"/>
              </w:rPr>
              <w:t>7.8</w:t>
            </w:r>
          </w:p>
        </w:tc>
        <w:tc>
          <w:tcPr>
            <w:tcW w:w="7994" w:type="dxa"/>
          </w:tcPr>
          <w:p w14:paraId="234CB391">
            <w:pPr>
              <w:pStyle w:val="85"/>
              <w:jc w:val="both"/>
              <w:rPr>
                <w:color w:val="auto"/>
                <w:sz w:val="22"/>
                <w:szCs w:val="22"/>
              </w:rPr>
            </w:pPr>
            <w:r>
              <w:rPr>
                <w:color w:val="auto"/>
                <w:sz w:val="22"/>
                <w:szCs w:val="22"/>
              </w:rPr>
              <w:t>Основная мысль</w:t>
            </w:r>
          </w:p>
        </w:tc>
      </w:tr>
      <w:tr w14:paraId="7B89C7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077" w:type="dxa"/>
          </w:tcPr>
          <w:p w14:paraId="42874385">
            <w:pPr>
              <w:pStyle w:val="85"/>
              <w:jc w:val="center"/>
              <w:rPr>
                <w:color w:val="auto"/>
                <w:sz w:val="22"/>
                <w:szCs w:val="22"/>
              </w:rPr>
            </w:pPr>
            <w:r>
              <w:rPr>
                <w:color w:val="auto"/>
                <w:sz w:val="22"/>
                <w:szCs w:val="22"/>
              </w:rPr>
              <w:t>7.9</w:t>
            </w:r>
          </w:p>
        </w:tc>
        <w:tc>
          <w:tcPr>
            <w:tcW w:w="7994" w:type="dxa"/>
          </w:tcPr>
          <w:p w14:paraId="754A2881">
            <w:pPr>
              <w:pStyle w:val="85"/>
              <w:jc w:val="both"/>
              <w:rPr>
                <w:color w:val="auto"/>
                <w:sz w:val="22"/>
                <w:szCs w:val="22"/>
              </w:rPr>
            </w:pPr>
            <w:r>
              <w:rPr>
                <w:color w:val="auto"/>
                <w:sz w:val="22"/>
                <w:szCs w:val="22"/>
              </w:rPr>
              <w:t>Заглавие текста. Подбор заголовков к предложенным текстам</w:t>
            </w:r>
          </w:p>
        </w:tc>
      </w:tr>
      <w:tr w14:paraId="67AEA6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077" w:type="dxa"/>
          </w:tcPr>
          <w:p w14:paraId="078AEB02">
            <w:pPr>
              <w:pStyle w:val="85"/>
              <w:jc w:val="center"/>
              <w:rPr>
                <w:color w:val="auto"/>
                <w:sz w:val="22"/>
                <w:szCs w:val="22"/>
              </w:rPr>
            </w:pPr>
            <w:r>
              <w:rPr>
                <w:color w:val="auto"/>
                <w:sz w:val="22"/>
                <w:szCs w:val="22"/>
              </w:rPr>
              <w:t>7.10</w:t>
            </w:r>
          </w:p>
        </w:tc>
        <w:tc>
          <w:tcPr>
            <w:tcW w:w="7994" w:type="dxa"/>
          </w:tcPr>
          <w:p w14:paraId="676A2FE9">
            <w:pPr>
              <w:pStyle w:val="85"/>
              <w:jc w:val="both"/>
              <w:rPr>
                <w:color w:val="auto"/>
                <w:sz w:val="22"/>
                <w:szCs w:val="22"/>
              </w:rPr>
            </w:pPr>
            <w:r>
              <w:rPr>
                <w:color w:val="auto"/>
                <w:sz w:val="22"/>
                <w:szCs w:val="22"/>
              </w:rPr>
              <w:t>Последовательность частей текста (абзацев). Корректирование текстов с нарушенным порядком предложений и абзацев</w:t>
            </w:r>
          </w:p>
        </w:tc>
      </w:tr>
      <w:tr w14:paraId="71D76F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077" w:type="dxa"/>
          </w:tcPr>
          <w:p w14:paraId="0B9FACC0">
            <w:pPr>
              <w:pStyle w:val="85"/>
              <w:jc w:val="center"/>
              <w:rPr>
                <w:color w:val="auto"/>
                <w:sz w:val="22"/>
                <w:szCs w:val="22"/>
              </w:rPr>
            </w:pPr>
            <w:r>
              <w:rPr>
                <w:color w:val="auto"/>
                <w:sz w:val="22"/>
                <w:szCs w:val="22"/>
              </w:rPr>
              <w:t>7.11</w:t>
            </w:r>
          </w:p>
        </w:tc>
        <w:tc>
          <w:tcPr>
            <w:tcW w:w="7994" w:type="dxa"/>
          </w:tcPr>
          <w:p w14:paraId="4D4CEAF7">
            <w:pPr>
              <w:pStyle w:val="85"/>
              <w:jc w:val="both"/>
              <w:rPr>
                <w:color w:val="auto"/>
                <w:sz w:val="22"/>
                <w:szCs w:val="22"/>
              </w:rPr>
            </w:pPr>
            <w:r>
              <w:rPr>
                <w:color w:val="auto"/>
                <w:sz w:val="22"/>
                <w:szCs w:val="22"/>
              </w:rPr>
              <w:t>Типы текстов: описание, повествование, рассуждение, их особенности (первичное ознакомление)</w:t>
            </w:r>
          </w:p>
        </w:tc>
      </w:tr>
      <w:tr w14:paraId="669D7C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077" w:type="dxa"/>
          </w:tcPr>
          <w:p w14:paraId="6C1531F0">
            <w:pPr>
              <w:pStyle w:val="85"/>
              <w:jc w:val="center"/>
              <w:rPr>
                <w:color w:val="auto"/>
                <w:sz w:val="22"/>
                <w:szCs w:val="22"/>
              </w:rPr>
            </w:pPr>
            <w:r>
              <w:rPr>
                <w:color w:val="auto"/>
                <w:sz w:val="22"/>
                <w:szCs w:val="22"/>
              </w:rPr>
              <w:t>7.12</w:t>
            </w:r>
          </w:p>
        </w:tc>
        <w:tc>
          <w:tcPr>
            <w:tcW w:w="7994" w:type="dxa"/>
          </w:tcPr>
          <w:p w14:paraId="00745408">
            <w:pPr>
              <w:pStyle w:val="85"/>
              <w:jc w:val="both"/>
              <w:rPr>
                <w:color w:val="auto"/>
                <w:sz w:val="22"/>
                <w:szCs w:val="22"/>
              </w:rPr>
            </w:pPr>
            <w:r>
              <w:rPr>
                <w:color w:val="auto"/>
                <w:sz w:val="22"/>
                <w:szCs w:val="22"/>
              </w:rPr>
              <w:t>Поздравление и поздравительная открытка</w:t>
            </w:r>
          </w:p>
        </w:tc>
      </w:tr>
      <w:tr w14:paraId="0B5983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077" w:type="dxa"/>
          </w:tcPr>
          <w:p w14:paraId="686AEEAF">
            <w:pPr>
              <w:pStyle w:val="85"/>
              <w:jc w:val="center"/>
              <w:rPr>
                <w:color w:val="auto"/>
                <w:sz w:val="22"/>
                <w:szCs w:val="22"/>
              </w:rPr>
            </w:pPr>
            <w:r>
              <w:rPr>
                <w:color w:val="auto"/>
                <w:sz w:val="22"/>
                <w:szCs w:val="22"/>
              </w:rPr>
              <w:t>7.13</w:t>
            </w:r>
          </w:p>
        </w:tc>
        <w:tc>
          <w:tcPr>
            <w:tcW w:w="7994" w:type="dxa"/>
          </w:tcPr>
          <w:p w14:paraId="6B0716E5">
            <w:pPr>
              <w:pStyle w:val="85"/>
              <w:jc w:val="both"/>
              <w:rPr>
                <w:color w:val="auto"/>
                <w:sz w:val="22"/>
                <w:szCs w:val="22"/>
              </w:rPr>
            </w:pPr>
            <w:r>
              <w:rPr>
                <w:color w:val="auto"/>
                <w:sz w:val="22"/>
                <w:szCs w:val="22"/>
              </w:rPr>
              <w:t>Понимание текста: развитие умения формулировать простые выводы на основе информации, содержащейся в тексте</w:t>
            </w:r>
          </w:p>
        </w:tc>
      </w:tr>
      <w:tr w14:paraId="52582C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077" w:type="dxa"/>
          </w:tcPr>
          <w:p w14:paraId="101A1AE1">
            <w:pPr>
              <w:pStyle w:val="85"/>
              <w:jc w:val="center"/>
              <w:rPr>
                <w:color w:val="auto"/>
                <w:sz w:val="22"/>
                <w:szCs w:val="22"/>
              </w:rPr>
            </w:pPr>
            <w:r>
              <w:rPr>
                <w:color w:val="auto"/>
                <w:sz w:val="22"/>
                <w:szCs w:val="22"/>
              </w:rPr>
              <w:t>7.14</w:t>
            </w:r>
          </w:p>
        </w:tc>
        <w:tc>
          <w:tcPr>
            <w:tcW w:w="7994" w:type="dxa"/>
          </w:tcPr>
          <w:p w14:paraId="6C9250B9">
            <w:pPr>
              <w:pStyle w:val="85"/>
              <w:jc w:val="both"/>
              <w:rPr>
                <w:color w:val="auto"/>
                <w:sz w:val="22"/>
                <w:szCs w:val="22"/>
              </w:rPr>
            </w:pPr>
            <w:r>
              <w:rPr>
                <w:color w:val="auto"/>
                <w:sz w:val="22"/>
                <w:szCs w:val="22"/>
              </w:rPr>
              <w:t>Выразительное чтение текста вслух с соблюдением правильной интонации</w:t>
            </w:r>
          </w:p>
        </w:tc>
      </w:tr>
      <w:tr w14:paraId="67BBE6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077" w:type="dxa"/>
          </w:tcPr>
          <w:p w14:paraId="2A0DF16D">
            <w:pPr>
              <w:pStyle w:val="85"/>
              <w:jc w:val="center"/>
              <w:rPr>
                <w:color w:val="auto"/>
                <w:sz w:val="22"/>
                <w:szCs w:val="22"/>
              </w:rPr>
            </w:pPr>
            <w:r>
              <w:rPr>
                <w:color w:val="auto"/>
                <w:sz w:val="22"/>
                <w:szCs w:val="22"/>
              </w:rPr>
              <w:t>7.15</w:t>
            </w:r>
          </w:p>
        </w:tc>
        <w:tc>
          <w:tcPr>
            <w:tcW w:w="7994" w:type="dxa"/>
          </w:tcPr>
          <w:p w14:paraId="06AA1754">
            <w:pPr>
              <w:pStyle w:val="85"/>
              <w:jc w:val="both"/>
              <w:rPr>
                <w:color w:val="auto"/>
                <w:sz w:val="22"/>
                <w:szCs w:val="22"/>
              </w:rPr>
            </w:pPr>
            <w:r>
              <w:rPr>
                <w:color w:val="auto"/>
                <w:sz w:val="22"/>
                <w:szCs w:val="22"/>
              </w:rPr>
              <w:t>Подробное изложение повествовательного текста объемом 30 - 45 слов с использованием вопросов</w:t>
            </w:r>
          </w:p>
        </w:tc>
      </w:tr>
    </w:tbl>
    <w:p w14:paraId="4E5C9C82">
      <w:pPr>
        <w:pStyle w:val="85"/>
        <w:jc w:val="both"/>
        <w:rPr>
          <w:color w:val="auto"/>
          <w:sz w:val="22"/>
          <w:szCs w:val="22"/>
        </w:rPr>
      </w:pPr>
    </w:p>
    <w:p w14:paraId="6C17A937">
      <w:pPr>
        <w:pStyle w:val="85"/>
        <w:jc w:val="right"/>
        <w:rPr>
          <w:color w:val="auto"/>
          <w:sz w:val="22"/>
          <w:szCs w:val="22"/>
        </w:rPr>
      </w:pPr>
      <w:r>
        <w:rPr>
          <w:color w:val="auto"/>
          <w:sz w:val="22"/>
          <w:szCs w:val="22"/>
        </w:rPr>
        <w:t>Таблица 3.4</w:t>
      </w:r>
    </w:p>
    <w:p w14:paraId="105909FE">
      <w:pPr>
        <w:pStyle w:val="85"/>
        <w:jc w:val="both"/>
        <w:rPr>
          <w:color w:val="auto"/>
          <w:sz w:val="22"/>
          <w:szCs w:val="22"/>
        </w:rPr>
      </w:pPr>
    </w:p>
    <w:p w14:paraId="33A36DDD">
      <w:pPr>
        <w:pStyle w:val="85"/>
        <w:jc w:val="center"/>
        <w:rPr>
          <w:color w:val="auto"/>
          <w:sz w:val="22"/>
          <w:szCs w:val="22"/>
        </w:rPr>
      </w:pPr>
      <w:r>
        <w:rPr>
          <w:color w:val="auto"/>
          <w:sz w:val="22"/>
          <w:szCs w:val="22"/>
        </w:rPr>
        <w:t>Проверяемые требования к результатам освоения основной</w:t>
      </w:r>
    </w:p>
    <w:p w14:paraId="78EE6F83">
      <w:pPr>
        <w:pStyle w:val="85"/>
        <w:jc w:val="center"/>
        <w:rPr>
          <w:color w:val="auto"/>
          <w:sz w:val="22"/>
          <w:szCs w:val="22"/>
        </w:rPr>
      </w:pPr>
      <w:r>
        <w:rPr>
          <w:color w:val="auto"/>
          <w:sz w:val="22"/>
          <w:szCs w:val="22"/>
        </w:rPr>
        <w:t>образовательной программы (3 класс)</w:t>
      </w:r>
    </w:p>
    <w:p w14:paraId="4C9EC19D">
      <w:pPr>
        <w:pStyle w:val="85"/>
        <w:jc w:val="both"/>
        <w:rPr>
          <w:color w:val="auto"/>
          <w:sz w:val="22"/>
          <w:szCs w:val="22"/>
        </w:rPr>
      </w:pPr>
    </w:p>
    <w:tbl>
      <w:tblPr>
        <w:tblStyle w:val="1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02" w:type="dxa"/>
          <w:left w:w="62" w:type="dxa"/>
          <w:bottom w:w="102" w:type="dxa"/>
          <w:right w:w="62" w:type="dxa"/>
        </w:tblCellMar>
      </w:tblPr>
      <w:tblGrid>
        <w:gridCol w:w="1701"/>
        <w:gridCol w:w="7370"/>
      </w:tblGrid>
      <w:tr w14:paraId="2A2948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701" w:type="dxa"/>
          </w:tcPr>
          <w:p w14:paraId="7E53EBBC">
            <w:pPr>
              <w:pStyle w:val="85"/>
              <w:jc w:val="center"/>
              <w:rPr>
                <w:color w:val="auto"/>
                <w:sz w:val="22"/>
                <w:szCs w:val="22"/>
              </w:rPr>
            </w:pPr>
            <w:r>
              <w:rPr>
                <w:color w:val="auto"/>
                <w:sz w:val="22"/>
                <w:szCs w:val="22"/>
              </w:rPr>
              <w:t>Код проверяемого результата</w:t>
            </w:r>
          </w:p>
        </w:tc>
        <w:tc>
          <w:tcPr>
            <w:tcW w:w="7370" w:type="dxa"/>
          </w:tcPr>
          <w:p w14:paraId="56D7B8A4">
            <w:pPr>
              <w:pStyle w:val="85"/>
              <w:jc w:val="center"/>
              <w:rPr>
                <w:color w:val="auto"/>
                <w:sz w:val="22"/>
                <w:szCs w:val="22"/>
              </w:rPr>
            </w:pPr>
            <w:r>
              <w:rPr>
                <w:color w:val="auto"/>
                <w:sz w:val="22"/>
                <w:szCs w:val="22"/>
              </w:rPr>
              <w:t>Проверяемые предметные результаты освоения основной образовательной программы начального общего образования</w:t>
            </w:r>
          </w:p>
        </w:tc>
      </w:tr>
      <w:tr w14:paraId="5EB4F6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701" w:type="dxa"/>
          </w:tcPr>
          <w:p w14:paraId="1048FDE0">
            <w:pPr>
              <w:pStyle w:val="85"/>
              <w:jc w:val="center"/>
              <w:rPr>
                <w:color w:val="auto"/>
                <w:sz w:val="22"/>
                <w:szCs w:val="22"/>
              </w:rPr>
            </w:pPr>
            <w:r>
              <w:rPr>
                <w:color w:val="auto"/>
                <w:sz w:val="22"/>
                <w:szCs w:val="22"/>
              </w:rPr>
              <w:t>1</w:t>
            </w:r>
          </w:p>
        </w:tc>
        <w:tc>
          <w:tcPr>
            <w:tcW w:w="7370" w:type="dxa"/>
          </w:tcPr>
          <w:p w14:paraId="2D976649">
            <w:pPr>
              <w:pStyle w:val="85"/>
              <w:jc w:val="both"/>
              <w:rPr>
                <w:color w:val="auto"/>
                <w:sz w:val="22"/>
                <w:szCs w:val="22"/>
              </w:rPr>
            </w:pPr>
            <w:r>
              <w:rPr>
                <w:color w:val="auto"/>
                <w:sz w:val="22"/>
                <w:szCs w:val="22"/>
              </w:rPr>
              <w:t>Фонетика. Графика. Орфоэпия</w:t>
            </w:r>
          </w:p>
        </w:tc>
      </w:tr>
      <w:tr w14:paraId="0EAD1A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701" w:type="dxa"/>
          </w:tcPr>
          <w:p w14:paraId="523216D2">
            <w:pPr>
              <w:pStyle w:val="85"/>
              <w:jc w:val="center"/>
              <w:rPr>
                <w:color w:val="auto"/>
                <w:sz w:val="22"/>
                <w:szCs w:val="22"/>
              </w:rPr>
            </w:pPr>
            <w:r>
              <w:rPr>
                <w:color w:val="auto"/>
                <w:sz w:val="22"/>
                <w:szCs w:val="22"/>
              </w:rPr>
              <w:t>1.1</w:t>
            </w:r>
          </w:p>
        </w:tc>
        <w:tc>
          <w:tcPr>
            <w:tcW w:w="7370" w:type="dxa"/>
          </w:tcPr>
          <w:p w14:paraId="1BD5DFC6">
            <w:pPr>
              <w:pStyle w:val="85"/>
              <w:jc w:val="both"/>
              <w:rPr>
                <w:color w:val="auto"/>
                <w:sz w:val="22"/>
                <w:szCs w:val="22"/>
              </w:rPr>
            </w:pPr>
            <w:r>
              <w:rPr>
                <w:color w:val="auto"/>
                <w:sz w:val="22"/>
                <w:szCs w:val="22"/>
              </w:rPr>
              <w:t>Характеризовать, сравнивать, классифицировать звуки вне слова и в слове по заданным параметрам</w:t>
            </w:r>
          </w:p>
        </w:tc>
      </w:tr>
      <w:tr w14:paraId="4702DD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701" w:type="dxa"/>
          </w:tcPr>
          <w:p w14:paraId="2B11DDD6">
            <w:pPr>
              <w:pStyle w:val="85"/>
              <w:jc w:val="center"/>
              <w:rPr>
                <w:color w:val="auto"/>
                <w:sz w:val="22"/>
                <w:szCs w:val="22"/>
              </w:rPr>
            </w:pPr>
            <w:r>
              <w:rPr>
                <w:color w:val="auto"/>
                <w:sz w:val="22"/>
                <w:szCs w:val="22"/>
              </w:rPr>
              <w:t>1.2</w:t>
            </w:r>
          </w:p>
        </w:tc>
        <w:tc>
          <w:tcPr>
            <w:tcW w:w="7370" w:type="dxa"/>
          </w:tcPr>
          <w:p w14:paraId="15240AA4">
            <w:pPr>
              <w:pStyle w:val="85"/>
              <w:jc w:val="both"/>
              <w:rPr>
                <w:color w:val="auto"/>
                <w:sz w:val="22"/>
                <w:szCs w:val="22"/>
              </w:rPr>
            </w:pPr>
            <w:r>
              <w:rPr>
                <w:color w:val="auto"/>
                <w:sz w:val="22"/>
                <w:szCs w:val="22"/>
              </w:rPr>
              <w:t>Производить звуко-буквенный анализ слова (в словах с орфограммами; без транскрибирования)</w:t>
            </w:r>
          </w:p>
        </w:tc>
      </w:tr>
      <w:tr w14:paraId="11957F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701" w:type="dxa"/>
          </w:tcPr>
          <w:p w14:paraId="65271E2B">
            <w:pPr>
              <w:pStyle w:val="85"/>
              <w:jc w:val="center"/>
              <w:rPr>
                <w:color w:val="auto"/>
                <w:sz w:val="22"/>
                <w:szCs w:val="22"/>
              </w:rPr>
            </w:pPr>
            <w:r>
              <w:rPr>
                <w:color w:val="auto"/>
                <w:sz w:val="22"/>
                <w:szCs w:val="22"/>
              </w:rPr>
              <w:t>1.3</w:t>
            </w:r>
          </w:p>
        </w:tc>
        <w:tc>
          <w:tcPr>
            <w:tcW w:w="7370" w:type="dxa"/>
          </w:tcPr>
          <w:p w14:paraId="511B74CA">
            <w:pPr>
              <w:pStyle w:val="85"/>
              <w:jc w:val="both"/>
              <w:rPr>
                <w:color w:val="auto"/>
                <w:sz w:val="22"/>
                <w:szCs w:val="22"/>
              </w:rPr>
            </w:pPr>
            <w:r>
              <w:rPr>
                <w:color w:val="auto"/>
                <w:sz w:val="22"/>
                <w:szCs w:val="22"/>
              </w:rPr>
              <w:t>Определять функцию разделительных мягкого и твердого знаков в словах</w:t>
            </w:r>
          </w:p>
        </w:tc>
      </w:tr>
      <w:tr w14:paraId="49059F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701" w:type="dxa"/>
          </w:tcPr>
          <w:p w14:paraId="7C973FA7">
            <w:pPr>
              <w:pStyle w:val="85"/>
              <w:jc w:val="center"/>
              <w:rPr>
                <w:color w:val="auto"/>
                <w:sz w:val="22"/>
                <w:szCs w:val="22"/>
              </w:rPr>
            </w:pPr>
            <w:r>
              <w:rPr>
                <w:color w:val="auto"/>
                <w:sz w:val="22"/>
                <w:szCs w:val="22"/>
              </w:rPr>
              <w:t>1.4</w:t>
            </w:r>
          </w:p>
        </w:tc>
        <w:tc>
          <w:tcPr>
            <w:tcW w:w="7370" w:type="dxa"/>
          </w:tcPr>
          <w:p w14:paraId="12322CF3">
            <w:pPr>
              <w:pStyle w:val="85"/>
              <w:jc w:val="both"/>
              <w:rPr>
                <w:color w:val="auto"/>
                <w:sz w:val="22"/>
                <w:szCs w:val="22"/>
              </w:rPr>
            </w:pPr>
            <w:r>
              <w:rPr>
                <w:color w:val="auto"/>
                <w:sz w:val="22"/>
                <w:szCs w:val="22"/>
              </w:rPr>
              <w:t>Устанавливать соотношение звукового и буквенного состава, в том числе с учетом функций букв е, ё, ю, я, в словах с разделительными ъ, ь, в словах с непроизносимыми согласными</w:t>
            </w:r>
          </w:p>
        </w:tc>
      </w:tr>
      <w:tr w14:paraId="50F1CE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701" w:type="dxa"/>
          </w:tcPr>
          <w:p w14:paraId="4DC7A71F">
            <w:pPr>
              <w:pStyle w:val="85"/>
              <w:jc w:val="center"/>
              <w:rPr>
                <w:color w:val="auto"/>
                <w:sz w:val="22"/>
                <w:szCs w:val="22"/>
              </w:rPr>
            </w:pPr>
            <w:r>
              <w:rPr>
                <w:color w:val="auto"/>
                <w:sz w:val="22"/>
                <w:szCs w:val="22"/>
              </w:rPr>
              <w:t>1.5</w:t>
            </w:r>
          </w:p>
        </w:tc>
        <w:tc>
          <w:tcPr>
            <w:tcW w:w="7370" w:type="dxa"/>
          </w:tcPr>
          <w:p w14:paraId="54070EBA">
            <w:pPr>
              <w:pStyle w:val="85"/>
              <w:jc w:val="both"/>
              <w:rPr>
                <w:color w:val="auto"/>
                <w:sz w:val="22"/>
                <w:szCs w:val="22"/>
              </w:rPr>
            </w:pPr>
            <w:r>
              <w:rPr>
                <w:color w:val="auto"/>
                <w:sz w:val="22"/>
                <w:szCs w:val="22"/>
              </w:rPr>
              <w:t>Объяснять своими словами значение изученных понятий; использовать изученные понятия в процессе решения учебных задач</w:t>
            </w:r>
          </w:p>
        </w:tc>
      </w:tr>
      <w:tr w14:paraId="204206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701" w:type="dxa"/>
          </w:tcPr>
          <w:p w14:paraId="2F0A135B">
            <w:pPr>
              <w:pStyle w:val="85"/>
              <w:jc w:val="center"/>
              <w:rPr>
                <w:color w:val="auto"/>
                <w:sz w:val="22"/>
                <w:szCs w:val="22"/>
              </w:rPr>
            </w:pPr>
            <w:r>
              <w:rPr>
                <w:color w:val="auto"/>
                <w:sz w:val="22"/>
                <w:szCs w:val="22"/>
              </w:rPr>
              <w:t>2</w:t>
            </w:r>
          </w:p>
        </w:tc>
        <w:tc>
          <w:tcPr>
            <w:tcW w:w="7370" w:type="dxa"/>
          </w:tcPr>
          <w:p w14:paraId="2B17F325">
            <w:pPr>
              <w:pStyle w:val="85"/>
              <w:jc w:val="both"/>
              <w:rPr>
                <w:color w:val="auto"/>
                <w:sz w:val="22"/>
                <w:szCs w:val="22"/>
              </w:rPr>
            </w:pPr>
            <w:r>
              <w:rPr>
                <w:color w:val="auto"/>
                <w:sz w:val="22"/>
                <w:szCs w:val="22"/>
              </w:rPr>
              <w:t>Лексика</w:t>
            </w:r>
          </w:p>
        </w:tc>
      </w:tr>
      <w:tr w14:paraId="18D828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701" w:type="dxa"/>
          </w:tcPr>
          <w:p w14:paraId="3171855B">
            <w:pPr>
              <w:pStyle w:val="85"/>
              <w:jc w:val="center"/>
              <w:rPr>
                <w:color w:val="auto"/>
                <w:sz w:val="22"/>
                <w:szCs w:val="22"/>
              </w:rPr>
            </w:pPr>
            <w:r>
              <w:rPr>
                <w:color w:val="auto"/>
                <w:sz w:val="22"/>
                <w:szCs w:val="22"/>
              </w:rPr>
              <w:t>2.1</w:t>
            </w:r>
          </w:p>
        </w:tc>
        <w:tc>
          <w:tcPr>
            <w:tcW w:w="7370" w:type="dxa"/>
          </w:tcPr>
          <w:p w14:paraId="3766A8C2">
            <w:pPr>
              <w:pStyle w:val="85"/>
              <w:jc w:val="both"/>
              <w:rPr>
                <w:color w:val="auto"/>
                <w:sz w:val="22"/>
                <w:szCs w:val="22"/>
              </w:rPr>
            </w:pPr>
            <w:r>
              <w:rPr>
                <w:color w:val="auto"/>
                <w:sz w:val="22"/>
                <w:szCs w:val="22"/>
              </w:rPr>
              <w:t>Выявлять случаи употребления синонимов и антонимов</w:t>
            </w:r>
          </w:p>
        </w:tc>
      </w:tr>
      <w:tr w14:paraId="134AFC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701" w:type="dxa"/>
          </w:tcPr>
          <w:p w14:paraId="153AC9A4">
            <w:pPr>
              <w:pStyle w:val="85"/>
              <w:jc w:val="center"/>
              <w:rPr>
                <w:color w:val="auto"/>
                <w:sz w:val="22"/>
                <w:szCs w:val="22"/>
              </w:rPr>
            </w:pPr>
            <w:r>
              <w:rPr>
                <w:color w:val="auto"/>
                <w:sz w:val="22"/>
                <w:szCs w:val="22"/>
              </w:rPr>
              <w:t>2.2</w:t>
            </w:r>
          </w:p>
        </w:tc>
        <w:tc>
          <w:tcPr>
            <w:tcW w:w="7370" w:type="dxa"/>
          </w:tcPr>
          <w:p w14:paraId="499121DF">
            <w:pPr>
              <w:pStyle w:val="85"/>
              <w:jc w:val="both"/>
              <w:rPr>
                <w:color w:val="auto"/>
                <w:sz w:val="22"/>
                <w:szCs w:val="22"/>
              </w:rPr>
            </w:pPr>
            <w:r>
              <w:rPr>
                <w:color w:val="auto"/>
                <w:sz w:val="22"/>
                <w:szCs w:val="22"/>
              </w:rPr>
              <w:t>Подбирать синонимы и антонимы к словам разных частей речи</w:t>
            </w:r>
          </w:p>
        </w:tc>
      </w:tr>
      <w:tr w14:paraId="22C345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701" w:type="dxa"/>
          </w:tcPr>
          <w:p w14:paraId="39ABEB74">
            <w:pPr>
              <w:pStyle w:val="85"/>
              <w:jc w:val="center"/>
              <w:rPr>
                <w:color w:val="auto"/>
                <w:sz w:val="22"/>
                <w:szCs w:val="22"/>
              </w:rPr>
            </w:pPr>
            <w:r>
              <w:rPr>
                <w:color w:val="auto"/>
                <w:sz w:val="22"/>
                <w:szCs w:val="22"/>
              </w:rPr>
              <w:t>2.3</w:t>
            </w:r>
          </w:p>
        </w:tc>
        <w:tc>
          <w:tcPr>
            <w:tcW w:w="7370" w:type="dxa"/>
          </w:tcPr>
          <w:p w14:paraId="6FF9948A">
            <w:pPr>
              <w:pStyle w:val="85"/>
              <w:jc w:val="both"/>
              <w:rPr>
                <w:color w:val="auto"/>
                <w:sz w:val="22"/>
                <w:szCs w:val="22"/>
              </w:rPr>
            </w:pPr>
            <w:r>
              <w:rPr>
                <w:color w:val="auto"/>
                <w:sz w:val="22"/>
                <w:szCs w:val="22"/>
              </w:rPr>
              <w:t>Распознавать слова, употребленные в прямом и переносном значении (простые случаи)</w:t>
            </w:r>
          </w:p>
        </w:tc>
      </w:tr>
      <w:tr w14:paraId="7F709B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701" w:type="dxa"/>
          </w:tcPr>
          <w:p w14:paraId="43CD8D22">
            <w:pPr>
              <w:pStyle w:val="85"/>
              <w:jc w:val="center"/>
              <w:rPr>
                <w:color w:val="auto"/>
                <w:sz w:val="22"/>
                <w:szCs w:val="22"/>
              </w:rPr>
            </w:pPr>
            <w:r>
              <w:rPr>
                <w:color w:val="auto"/>
                <w:sz w:val="22"/>
                <w:szCs w:val="22"/>
              </w:rPr>
              <w:t>2.4</w:t>
            </w:r>
          </w:p>
        </w:tc>
        <w:tc>
          <w:tcPr>
            <w:tcW w:w="7370" w:type="dxa"/>
          </w:tcPr>
          <w:p w14:paraId="7E89619E">
            <w:pPr>
              <w:pStyle w:val="85"/>
              <w:jc w:val="both"/>
              <w:rPr>
                <w:color w:val="auto"/>
                <w:sz w:val="22"/>
                <w:szCs w:val="22"/>
              </w:rPr>
            </w:pPr>
            <w:r>
              <w:rPr>
                <w:color w:val="auto"/>
                <w:sz w:val="22"/>
                <w:szCs w:val="22"/>
              </w:rPr>
              <w:t>Определять значение слова в тексте</w:t>
            </w:r>
          </w:p>
        </w:tc>
      </w:tr>
      <w:tr w14:paraId="110068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701" w:type="dxa"/>
          </w:tcPr>
          <w:p w14:paraId="0C410280">
            <w:pPr>
              <w:pStyle w:val="85"/>
              <w:jc w:val="center"/>
              <w:rPr>
                <w:color w:val="auto"/>
                <w:sz w:val="22"/>
                <w:szCs w:val="22"/>
              </w:rPr>
            </w:pPr>
            <w:r>
              <w:rPr>
                <w:color w:val="auto"/>
                <w:sz w:val="22"/>
                <w:szCs w:val="22"/>
              </w:rPr>
              <w:t>2.5</w:t>
            </w:r>
          </w:p>
        </w:tc>
        <w:tc>
          <w:tcPr>
            <w:tcW w:w="7370" w:type="dxa"/>
          </w:tcPr>
          <w:p w14:paraId="14526CE3">
            <w:pPr>
              <w:pStyle w:val="85"/>
              <w:jc w:val="both"/>
              <w:rPr>
                <w:color w:val="auto"/>
                <w:sz w:val="22"/>
                <w:szCs w:val="22"/>
              </w:rPr>
            </w:pPr>
            <w:r>
              <w:rPr>
                <w:color w:val="auto"/>
                <w:sz w:val="22"/>
                <w:szCs w:val="22"/>
              </w:rPr>
              <w:t>Уточнять значение слова с помощью толкового словаря</w:t>
            </w:r>
          </w:p>
        </w:tc>
      </w:tr>
      <w:tr w14:paraId="153547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701" w:type="dxa"/>
          </w:tcPr>
          <w:p w14:paraId="5DBF5021">
            <w:pPr>
              <w:pStyle w:val="85"/>
              <w:jc w:val="center"/>
              <w:rPr>
                <w:color w:val="auto"/>
                <w:sz w:val="22"/>
                <w:szCs w:val="22"/>
              </w:rPr>
            </w:pPr>
            <w:r>
              <w:rPr>
                <w:color w:val="auto"/>
                <w:sz w:val="22"/>
                <w:szCs w:val="22"/>
              </w:rPr>
              <w:t>2.6</w:t>
            </w:r>
          </w:p>
        </w:tc>
        <w:tc>
          <w:tcPr>
            <w:tcW w:w="7370" w:type="dxa"/>
          </w:tcPr>
          <w:p w14:paraId="25E9253D">
            <w:pPr>
              <w:pStyle w:val="85"/>
              <w:jc w:val="both"/>
              <w:rPr>
                <w:color w:val="auto"/>
                <w:sz w:val="22"/>
                <w:szCs w:val="22"/>
              </w:rPr>
            </w:pPr>
            <w:r>
              <w:rPr>
                <w:color w:val="auto"/>
                <w:sz w:val="22"/>
                <w:szCs w:val="22"/>
              </w:rPr>
              <w:t>Объяснять своими словами значение изученных понятий; использовать изученные понятия в процессе решения учебных задач</w:t>
            </w:r>
          </w:p>
        </w:tc>
      </w:tr>
      <w:tr w14:paraId="556CE8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701" w:type="dxa"/>
          </w:tcPr>
          <w:p w14:paraId="03917E5C">
            <w:pPr>
              <w:pStyle w:val="85"/>
              <w:jc w:val="center"/>
              <w:rPr>
                <w:color w:val="auto"/>
                <w:sz w:val="22"/>
                <w:szCs w:val="22"/>
              </w:rPr>
            </w:pPr>
            <w:r>
              <w:rPr>
                <w:color w:val="auto"/>
                <w:sz w:val="22"/>
                <w:szCs w:val="22"/>
              </w:rPr>
              <w:t>3</w:t>
            </w:r>
          </w:p>
        </w:tc>
        <w:tc>
          <w:tcPr>
            <w:tcW w:w="7370" w:type="dxa"/>
          </w:tcPr>
          <w:p w14:paraId="34C64073">
            <w:pPr>
              <w:pStyle w:val="85"/>
              <w:jc w:val="both"/>
              <w:rPr>
                <w:color w:val="auto"/>
                <w:sz w:val="22"/>
                <w:szCs w:val="22"/>
              </w:rPr>
            </w:pPr>
            <w:r>
              <w:rPr>
                <w:color w:val="auto"/>
                <w:sz w:val="22"/>
                <w:szCs w:val="22"/>
              </w:rPr>
              <w:t>Состав слова (морфемика)</w:t>
            </w:r>
          </w:p>
        </w:tc>
      </w:tr>
      <w:tr w14:paraId="2D4BBF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701" w:type="dxa"/>
          </w:tcPr>
          <w:p w14:paraId="6E1789C4">
            <w:pPr>
              <w:pStyle w:val="85"/>
              <w:jc w:val="center"/>
              <w:rPr>
                <w:color w:val="auto"/>
                <w:sz w:val="22"/>
                <w:szCs w:val="22"/>
              </w:rPr>
            </w:pPr>
            <w:r>
              <w:rPr>
                <w:color w:val="auto"/>
                <w:sz w:val="22"/>
                <w:szCs w:val="22"/>
              </w:rPr>
              <w:t>3.1</w:t>
            </w:r>
          </w:p>
        </w:tc>
        <w:tc>
          <w:tcPr>
            <w:tcW w:w="7370" w:type="dxa"/>
          </w:tcPr>
          <w:p w14:paraId="2A2EDA3B">
            <w:pPr>
              <w:pStyle w:val="85"/>
              <w:jc w:val="both"/>
              <w:rPr>
                <w:color w:val="auto"/>
                <w:sz w:val="22"/>
                <w:szCs w:val="22"/>
              </w:rPr>
            </w:pPr>
            <w:r>
              <w:rPr>
                <w:color w:val="auto"/>
                <w:sz w:val="22"/>
                <w:szCs w:val="22"/>
              </w:rPr>
              <w:t>Различать однокоренные слова и формы одного и того же слова; различать однокоренные слова и слова с омонимичными корнями (без называния термина); различать однокоренные слова и синонимы</w:t>
            </w:r>
          </w:p>
        </w:tc>
      </w:tr>
      <w:tr w14:paraId="75038E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701" w:type="dxa"/>
          </w:tcPr>
          <w:p w14:paraId="284E7B3C">
            <w:pPr>
              <w:pStyle w:val="85"/>
              <w:jc w:val="center"/>
              <w:rPr>
                <w:color w:val="auto"/>
                <w:sz w:val="22"/>
                <w:szCs w:val="22"/>
              </w:rPr>
            </w:pPr>
            <w:r>
              <w:rPr>
                <w:color w:val="auto"/>
                <w:sz w:val="22"/>
                <w:szCs w:val="22"/>
              </w:rPr>
              <w:t>3.2</w:t>
            </w:r>
          </w:p>
        </w:tc>
        <w:tc>
          <w:tcPr>
            <w:tcW w:w="7370" w:type="dxa"/>
          </w:tcPr>
          <w:p w14:paraId="33D67BA1">
            <w:pPr>
              <w:pStyle w:val="85"/>
              <w:jc w:val="both"/>
              <w:rPr>
                <w:color w:val="auto"/>
                <w:sz w:val="22"/>
                <w:szCs w:val="22"/>
              </w:rPr>
            </w:pPr>
            <w:r>
              <w:rPr>
                <w:color w:val="auto"/>
                <w:sz w:val="22"/>
                <w:szCs w:val="22"/>
              </w:rPr>
              <w:t>Находить в словах с однозначно выделяемыми морфемами окончание, корень, приставку, суффикс</w:t>
            </w:r>
          </w:p>
        </w:tc>
      </w:tr>
      <w:tr w14:paraId="26F924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701" w:type="dxa"/>
          </w:tcPr>
          <w:p w14:paraId="055CAB9B">
            <w:pPr>
              <w:pStyle w:val="85"/>
              <w:jc w:val="center"/>
              <w:rPr>
                <w:color w:val="auto"/>
                <w:sz w:val="22"/>
                <w:szCs w:val="22"/>
              </w:rPr>
            </w:pPr>
            <w:r>
              <w:rPr>
                <w:color w:val="auto"/>
                <w:sz w:val="22"/>
                <w:szCs w:val="22"/>
              </w:rPr>
              <w:t>3.3</w:t>
            </w:r>
          </w:p>
        </w:tc>
        <w:tc>
          <w:tcPr>
            <w:tcW w:w="7370" w:type="dxa"/>
          </w:tcPr>
          <w:p w14:paraId="325F287A">
            <w:pPr>
              <w:pStyle w:val="85"/>
              <w:jc w:val="both"/>
              <w:rPr>
                <w:color w:val="auto"/>
                <w:sz w:val="22"/>
                <w:szCs w:val="22"/>
              </w:rPr>
            </w:pPr>
            <w:r>
              <w:rPr>
                <w:color w:val="auto"/>
                <w:sz w:val="22"/>
                <w:szCs w:val="22"/>
              </w:rPr>
              <w:t>Объяснять своими словами значение изученных понятий; использовать изученные понятия в процессе решения учебных задач</w:t>
            </w:r>
          </w:p>
        </w:tc>
      </w:tr>
      <w:tr w14:paraId="38E583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701" w:type="dxa"/>
          </w:tcPr>
          <w:p w14:paraId="19C13BFB">
            <w:pPr>
              <w:pStyle w:val="85"/>
              <w:jc w:val="center"/>
              <w:rPr>
                <w:color w:val="auto"/>
                <w:sz w:val="22"/>
                <w:szCs w:val="22"/>
              </w:rPr>
            </w:pPr>
            <w:r>
              <w:rPr>
                <w:color w:val="auto"/>
                <w:sz w:val="22"/>
                <w:szCs w:val="22"/>
              </w:rPr>
              <w:t>4</w:t>
            </w:r>
          </w:p>
        </w:tc>
        <w:tc>
          <w:tcPr>
            <w:tcW w:w="7370" w:type="dxa"/>
          </w:tcPr>
          <w:p w14:paraId="23F453E1">
            <w:pPr>
              <w:pStyle w:val="85"/>
              <w:jc w:val="both"/>
              <w:rPr>
                <w:color w:val="auto"/>
                <w:sz w:val="22"/>
                <w:szCs w:val="22"/>
              </w:rPr>
            </w:pPr>
            <w:r>
              <w:rPr>
                <w:color w:val="auto"/>
                <w:sz w:val="22"/>
                <w:szCs w:val="22"/>
              </w:rPr>
              <w:t>Морфология</w:t>
            </w:r>
          </w:p>
        </w:tc>
      </w:tr>
      <w:tr w14:paraId="0EC2E0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701" w:type="dxa"/>
          </w:tcPr>
          <w:p w14:paraId="3F970153">
            <w:pPr>
              <w:pStyle w:val="85"/>
              <w:jc w:val="center"/>
              <w:rPr>
                <w:color w:val="auto"/>
                <w:sz w:val="22"/>
                <w:szCs w:val="22"/>
              </w:rPr>
            </w:pPr>
            <w:r>
              <w:rPr>
                <w:color w:val="auto"/>
                <w:sz w:val="22"/>
                <w:szCs w:val="22"/>
              </w:rPr>
              <w:t>4.1</w:t>
            </w:r>
          </w:p>
        </w:tc>
        <w:tc>
          <w:tcPr>
            <w:tcW w:w="7370" w:type="dxa"/>
          </w:tcPr>
          <w:p w14:paraId="3B2F7417">
            <w:pPr>
              <w:pStyle w:val="85"/>
              <w:jc w:val="both"/>
              <w:rPr>
                <w:color w:val="auto"/>
                <w:sz w:val="22"/>
                <w:szCs w:val="22"/>
              </w:rPr>
            </w:pPr>
            <w:r>
              <w:rPr>
                <w:color w:val="auto"/>
                <w:sz w:val="22"/>
                <w:szCs w:val="22"/>
              </w:rPr>
              <w:t>Распознавать имена существительные</w:t>
            </w:r>
          </w:p>
        </w:tc>
      </w:tr>
      <w:tr w14:paraId="08D8F9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701" w:type="dxa"/>
          </w:tcPr>
          <w:p w14:paraId="080169C7">
            <w:pPr>
              <w:pStyle w:val="85"/>
              <w:jc w:val="center"/>
              <w:rPr>
                <w:color w:val="auto"/>
                <w:sz w:val="22"/>
                <w:szCs w:val="22"/>
              </w:rPr>
            </w:pPr>
            <w:r>
              <w:rPr>
                <w:color w:val="auto"/>
                <w:sz w:val="22"/>
                <w:szCs w:val="22"/>
              </w:rPr>
              <w:t>4.2</w:t>
            </w:r>
          </w:p>
        </w:tc>
        <w:tc>
          <w:tcPr>
            <w:tcW w:w="7370" w:type="dxa"/>
          </w:tcPr>
          <w:p w14:paraId="6FAA2123">
            <w:pPr>
              <w:pStyle w:val="85"/>
              <w:jc w:val="both"/>
              <w:rPr>
                <w:color w:val="auto"/>
                <w:sz w:val="22"/>
                <w:szCs w:val="22"/>
              </w:rPr>
            </w:pPr>
            <w:r>
              <w:rPr>
                <w:color w:val="auto"/>
                <w:sz w:val="22"/>
                <w:szCs w:val="22"/>
              </w:rPr>
              <w:t>Определять грамматические признаки имен существительных: род, число, падеж</w:t>
            </w:r>
          </w:p>
        </w:tc>
      </w:tr>
      <w:tr w14:paraId="779472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701" w:type="dxa"/>
          </w:tcPr>
          <w:p w14:paraId="6E23F97E">
            <w:pPr>
              <w:pStyle w:val="85"/>
              <w:jc w:val="center"/>
              <w:rPr>
                <w:color w:val="auto"/>
                <w:sz w:val="22"/>
                <w:szCs w:val="22"/>
              </w:rPr>
            </w:pPr>
            <w:r>
              <w:rPr>
                <w:color w:val="auto"/>
                <w:sz w:val="22"/>
                <w:szCs w:val="22"/>
              </w:rPr>
              <w:t>4.3</w:t>
            </w:r>
          </w:p>
        </w:tc>
        <w:tc>
          <w:tcPr>
            <w:tcW w:w="7370" w:type="dxa"/>
          </w:tcPr>
          <w:p w14:paraId="6DEF6777">
            <w:pPr>
              <w:pStyle w:val="85"/>
              <w:jc w:val="both"/>
              <w:rPr>
                <w:color w:val="auto"/>
                <w:sz w:val="22"/>
                <w:szCs w:val="22"/>
              </w:rPr>
            </w:pPr>
            <w:r>
              <w:rPr>
                <w:color w:val="auto"/>
                <w:sz w:val="22"/>
                <w:szCs w:val="22"/>
              </w:rPr>
              <w:t>Склонять в единственном числе имена существительные с ударными окончаниями</w:t>
            </w:r>
          </w:p>
        </w:tc>
      </w:tr>
      <w:tr w14:paraId="2983FF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701" w:type="dxa"/>
          </w:tcPr>
          <w:p w14:paraId="714BADAC">
            <w:pPr>
              <w:pStyle w:val="85"/>
              <w:jc w:val="center"/>
              <w:rPr>
                <w:color w:val="auto"/>
                <w:sz w:val="22"/>
                <w:szCs w:val="22"/>
              </w:rPr>
            </w:pPr>
            <w:r>
              <w:rPr>
                <w:color w:val="auto"/>
                <w:sz w:val="22"/>
                <w:szCs w:val="22"/>
              </w:rPr>
              <w:t>4.4</w:t>
            </w:r>
          </w:p>
        </w:tc>
        <w:tc>
          <w:tcPr>
            <w:tcW w:w="7370" w:type="dxa"/>
          </w:tcPr>
          <w:p w14:paraId="070D7C4D">
            <w:pPr>
              <w:pStyle w:val="85"/>
              <w:jc w:val="both"/>
              <w:rPr>
                <w:color w:val="auto"/>
                <w:sz w:val="22"/>
                <w:szCs w:val="22"/>
              </w:rPr>
            </w:pPr>
            <w:r>
              <w:rPr>
                <w:color w:val="auto"/>
                <w:sz w:val="22"/>
                <w:szCs w:val="22"/>
              </w:rPr>
              <w:t>Распознавать имена прилагательные</w:t>
            </w:r>
          </w:p>
        </w:tc>
      </w:tr>
      <w:tr w14:paraId="6B93AA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701" w:type="dxa"/>
          </w:tcPr>
          <w:p w14:paraId="6DD6B95A">
            <w:pPr>
              <w:pStyle w:val="85"/>
              <w:jc w:val="center"/>
              <w:rPr>
                <w:color w:val="auto"/>
                <w:sz w:val="22"/>
                <w:szCs w:val="22"/>
              </w:rPr>
            </w:pPr>
            <w:r>
              <w:rPr>
                <w:color w:val="auto"/>
                <w:sz w:val="22"/>
                <w:szCs w:val="22"/>
              </w:rPr>
              <w:t>4.5</w:t>
            </w:r>
          </w:p>
        </w:tc>
        <w:tc>
          <w:tcPr>
            <w:tcW w:w="7370" w:type="dxa"/>
          </w:tcPr>
          <w:p w14:paraId="374AF868">
            <w:pPr>
              <w:pStyle w:val="85"/>
              <w:jc w:val="both"/>
              <w:rPr>
                <w:color w:val="auto"/>
                <w:sz w:val="22"/>
                <w:szCs w:val="22"/>
              </w:rPr>
            </w:pPr>
            <w:r>
              <w:rPr>
                <w:color w:val="auto"/>
                <w:sz w:val="22"/>
                <w:szCs w:val="22"/>
              </w:rPr>
              <w:t>Определять грамматические признаки имен прилагательных: род, число, падеж</w:t>
            </w:r>
          </w:p>
        </w:tc>
      </w:tr>
      <w:tr w14:paraId="406575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701" w:type="dxa"/>
          </w:tcPr>
          <w:p w14:paraId="056BAA88">
            <w:pPr>
              <w:pStyle w:val="85"/>
              <w:jc w:val="center"/>
              <w:rPr>
                <w:color w:val="auto"/>
                <w:sz w:val="22"/>
                <w:szCs w:val="22"/>
              </w:rPr>
            </w:pPr>
            <w:r>
              <w:rPr>
                <w:color w:val="auto"/>
                <w:sz w:val="22"/>
                <w:szCs w:val="22"/>
              </w:rPr>
              <w:t>4.6</w:t>
            </w:r>
          </w:p>
        </w:tc>
        <w:tc>
          <w:tcPr>
            <w:tcW w:w="7370" w:type="dxa"/>
          </w:tcPr>
          <w:p w14:paraId="132F7BC6">
            <w:pPr>
              <w:pStyle w:val="85"/>
              <w:jc w:val="both"/>
              <w:rPr>
                <w:color w:val="auto"/>
                <w:sz w:val="22"/>
                <w:szCs w:val="22"/>
              </w:rPr>
            </w:pPr>
            <w:r>
              <w:rPr>
                <w:color w:val="auto"/>
                <w:sz w:val="22"/>
                <w:szCs w:val="22"/>
              </w:rPr>
              <w:t>Изменять имена прилагательные по падежам, числам, родам (в единственном числе) в соответствии с падежом, числом и родом имен существительных</w:t>
            </w:r>
          </w:p>
        </w:tc>
      </w:tr>
      <w:tr w14:paraId="02C196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701" w:type="dxa"/>
          </w:tcPr>
          <w:p w14:paraId="0B5A89F6">
            <w:pPr>
              <w:pStyle w:val="85"/>
              <w:jc w:val="center"/>
              <w:rPr>
                <w:color w:val="auto"/>
                <w:sz w:val="22"/>
                <w:szCs w:val="22"/>
              </w:rPr>
            </w:pPr>
            <w:r>
              <w:rPr>
                <w:color w:val="auto"/>
                <w:sz w:val="22"/>
                <w:szCs w:val="22"/>
              </w:rPr>
              <w:t>4.7</w:t>
            </w:r>
          </w:p>
        </w:tc>
        <w:tc>
          <w:tcPr>
            <w:tcW w:w="7370" w:type="dxa"/>
          </w:tcPr>
          <w:p w14:paraId="64C4A9DB">
            <w:pPr>
              <w:pStyle w:val="85"/>
              <w:jc w:val="both"/>
              <w:rPr>
                <w:color w:val="auto"/>
                <w:sz w:val="22"/>
                <w:szCs w:val="22"/>
              </w:rPr>
            </w:pPr>
            <w:r>
              <w:rPr>
                <w:color w:val="auto"/>
                <w:sz w:val="22"/>
                <w:szCs w:val="22"/>
              </w:rPr>
              <w:t>Распознавать глаголы</w:t>
            </w:r>
          </w:p>
        </w:tc>
      </w:tr>
      <w:tr w14:paraId="6DC847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701" w:type="dxa"/>
          </w:tcPr>
          <w:p w14:paraId="7B2BF531">
            <w:pPr>
              <w:pStyle w:val="85"/>
              <w:jc w:val="center"/>
              <w:rPr>
                <w:color w:val="auto"/>
                <w:sz w:val="22"/>
                <w:szCs w:val="22"/>
              </w:rPr>
            </w:pPr>
            <w:r>
              <w:rPr>
                <w:color w:val="auto"/>
                <w:sz w:val="22"/>
                <w:szCs w:val="22"/>
              </w:rPr>
              <w:t>4.8</w:t>
            </w:r>
          </w:p>
        </w:tc>
        <w:tc>
          <w:tcPr>
            <w:tcW w:w="7370" w:type="dxa"/>
          </w:tcPr>
          <w:p w14:paraId="2092FE91">
            <w:pPr>
              <w:pStyle w:val="85"/>
              <w:jc w:val="both"/>
              <w:rPr>
                <w:color w:val="auto"/>
                <w:sz w:val="22"/>
                <w:szCs w:val="22"/>
              </w:rPr>
            </w:pPr>
            <w:r>
              <w:rPr>
                <w:color w:val="auto"/>
                <w:sz w:val="22"/>
                <w:szCs w:val="22"/>
              </w:rPr>
              <w:t>Различать глаголы, отвечающие на вопросы "что делать?" и "что сделать?"</w:t>
            </w:r>
          </w:p>
        </w:tc>
      </w:tr>
      <w:tr w14:paraId="55F5B3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701" w:type="dxa"/>
          </w:tcPr>
          <w:p w14:paraId="1E1D8286">
            <w:pPr>
              <w:pStyle w:val="85"/>
              <w:jc w:val="center"/>
              <w:rPr>
                <w:color w:val="auto"/>
                <w:sz w:val="22"/>
                <w:szCs w:val="22"/>
              </w:rPr>
            </w:pPr>
            <w:r>
              <w:rPr>
                <w:color w:val="auto"/>
                <w:sz w:val="22"/>
                <w:szCs w:val="22"/>
              </w:rPr>
              <w:t>4.9</w:t>
            </w:r>
          </w:p>
        </w:tc>
        <w:tc>
          <w:tcPr>
            <w:tcW w:w="7370" w:type="dxa"/>
          </w:tcPr>
          <w:p w14:paraId="4E088777">
            <w:pPr>
              <w:pStyle w:val="85"/>
              <w:jc w:val="both"/>
              <w:rPr>
                <w:color w:val="auto"/>
                <w:sz w:val="22"/>
                <w:szCs w:val="22"/>
              </w:rPr>
            </w:pPr>
            <w:r>
              <w:rPr>
                <w:color w:val="auto"/>
                <w:sz w:val="22"/>
                <w:szCs w:val="22"/>
              </w:rPr>
              <w:t>Определять грамматические признаки глаголов: форму времени, число, род (в прошедшем времени)</w:t>
            </w:r>
          </w:p>
        </w:tc>
      </w:tr>
      <w:tr w14:paraId="1FCAED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701" w:type="dxa"/>
          </w:tcPr>
          <w:p w14:paraId="4B05043B">
            <w:pPr>
              <w:pStyle w:val="85"/>
              <w:jc w:val="center"/>
              <w:rPr>
                <w:color w:val="auto"/>
                <w:sz w:val="22"/>
                <w:szCs w:val="22"/>
              </w:rPr>
            </w:pPr>
            <w:r>
              <w:rPr>
                <w:color w:val="auto"/>
                <w:sz w:val="22"/>
                <w:szCs w:val="22"/>
              </w:rPr>
              <w:t>4.10</w:t>
            </w:r>
          </w:p>
        </w:tc>
        <w:tc>
          <w:tcPr>
            <w:tcW w:w="7370" w:type="dxa"/>
          </w:tcPr>
          <w:p w14:paraId="2E57FD43">
            <w:pPr>
              <w:pStyle w:val="85"/>
              <w:jc w:val="both"/>
              <w:rPr>
                <w:color w:val="auto"/>
                <w:sz w:val="22"/>
                <w:szCs w:val="22"/>
              </w:rPr>
            </w:pPr>
            <w:r>
              <w:rPr>
                <w:color w:val="auto"/>
                <w:sz w:val="22"/>
                <w:szCs w:val="22"/>
              </w:rPr>
              <w:t>Изменять глагол по временам (простые случаи), в прошедшем времени - по родам</w:t>
            </w:r>
          </w:p>
        </w:tc>
      </w:tr>
      <w:tr w14:paraId="305EE4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701" w:type="dxa"/>
          </w:tcPr>
          <w:p w14:paraId="0F7596D7">
            <w:pPr>
              <w:pStyle w:val="85"/>
              <w:jc w:val="center"/>
              <w:rPr>
                <w:color w:val="auto"/>
                <w:sz w:val="22"/>
                <w:szCs w:val="22"/>
              </w:rPr>
            </w:pPr>
            <w:r>
              <w:rPr>
                <w:color w:val="auto"/>
                <w:sz w:val="22"/>
                <w:szCs w:val="22"/>
              </w:rPr>
              <w:t>4.11</w:t>
            </w:r>
          </w:p>
        </w:tc>
        <w:tc>
          <w:tcPr>
            <w:tcW w:w="7370" w:type="dxa"/>
          </w:tcPr>
          <w:p w14:paraId="46665EFB">
            <w:pPr>
              <w:pStyle w:val="85"/>
              <w:jc w:val="both"/>
              <w:rPr>
                <w:color w:val="auto"/>
                <w:sz w:val="22"/>
                <w:szCs w:val="22"/>
              </w:rPr>
            </w:pPr>
            <w:r>
              <w:rPr>
                <w:color w:val="auto"/>
                <w:sz w:val="22"/>
                <w:szCs w:val="22"/>
              </w:rPr>
              <w:t>Распознавать личные местоимения (в начальной форме)</w:t>
            </w:r>
          </w:p>
        </w:tc>
      </w:tr>
      <w:tr w14:paraId="3DD1C9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701" w:type="dxa"/>
          </w:tcPr>
          <w:p w14:paraId="76415DA1">
            <w:pPr>
              <w:pStyle w:val="85"/>
              <w:jc w:val="center"/>
              <w:rPr>
                <w:color w:val="auto"/>
                <w:sz w:val="22"/>
                <w:szCs w:val="22"/>
              </w:rPr>
            </w:pPr>
            <w:r>
              <w:rPr>
                <w:color w:val="auto"/>
                <w:sz w:val="22"/>
                <w:szCs w:val="22"/>
              </w:rPr>
              <w:t>4.12</w:t>
            </w:r>
          </w:p>
        </w:tc>
        <w:tc>
          <w:tcPr>
            <w:tcW w:w="7370" w:type="dxa"/>
          </w:tcPr>
          <w:p w14:paraId="7AD049F6">
            <w:pPr>
              <w:pStyle w:val="85"/>
              <w:jc w:val="both"/>
              <w:rPr>
                <w:color w:val="auto"/>
                <w:sz w:val="22"/>
                <w:szCs w:val="22"/>
              </w:rPr>
            </w:pPr>
            <w:r>
              <w:rPr>
                <w:color w:val="auto"/>
                <w:sz w:val="22"/>
                <w:szCs w:val="22"/>
              </w:rPr>
              <w:t>Использовать личные местоимения для устранения неоправданных повторов в тексте</w:t>
            </w:r>
          </w:p>
        </w:tc>
      </w:tr>
      <w:tr w14:paraId="5FE0CD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701" w:type="dxa"/>
          </w:tcPr>
          <w:p w14:paraId="3C510266">
            <w:pPr>
              <w:pStyle w:val="85"/>
              <w:jc w:val="center"/>
              <w:rPr>
                <w:color w:val="auto"/>
                <w:sz w:val="22"/>
                <w:szCs w:val="22"/>
              </w:rPr>
            </w:pPr>
            <w:r>
              <w:rPr>
                <w:color w:val="auto"/>
                <w:sz w:val="22"/>
                <w:szCs w:val="22"/>
              </w:rPr>
              <w:t>4.13</w:t>
            </w:r>
          </w:p>
        </w:tc>
        <w:tc>
          <w:tcPr>
            <w:tcW w:w="7370" w:type="dxa"/>
          </w:tcPr>
          <w:p w14:paraId="64364892">
            <w:pPr>
              <w:pStyle w:val="85"/>
              <w:jc w:val="both"/>
              <w:rPr>
                <w:color w:val="auto"/>
                <w:sz w:val="22"/>
                <w:szCs w:val="22"/>
              </w:rPr>
            </w:pPr>
            <w:r>
              <w:rPr>
                <w:color w:val="auto"/>
                <w:sz w:val="22"/>
                <w:szCs w:val="22"/>
              </w:rPr>
              <w:t>Различать предлоги и приставки</w:t>
            </w:r>
          </w:p>
        </w:tc>
      </w:tr>
      <w:tr w14:paraId="266510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701" w:type="dxa"/>
          </w:tcPr>
          <w:p w14:paraId="0FA7E568">
            <w:pPr>
              <w:pStyle w:val="85"/>
              <w:jc w:val="center"/>
              <w:rPr>
                <w:color w:val="auto"/>
                <w:sz w:val="22"/>
                <w:szCs w:val="22"/>
              </w:rPr>
            </w:pPr>
            <w:r>
              <w:rPr>
                <w:color w:val="auto"/>
                <w:sz w:val="22"/>
                <w:szCs w:val="22"/>
              </w:rPr>
              <w:t>4.14</w:t>
            </w:r>
          </w:p>
        </w:tc>
        <w:tc>
          <w:tcPr>
            <w:tcW w:w="7370" w:type="dxa"/>
          </w:tcPr>
          <w:p w14:paraId="1AB806FC">
            <w:pPr>
              <w:pStyle w:val="85"/>
              <w:jc w:val="both"/>
              <w:rPr>
                <w:color w:val="auto"/>
                <w:sz w:val="22"/>
                <w:szCs w:val="22"/>
              </w:rPr>
            </w:pPr>
            <w:r>
              <w:rPr>
                <w:color w:val="auto"/>
                <w:sz w:val="22"/>
                <w:szCs w:val="22"/>
              </w:rPr>
              <w:t>Объяснять своими словами значение изученных понятий; использовать изученные понятия в процессе решения учебных задач</w:t>
            </w:r>
          </w:p>
        </w:tc>
      </w:tr>
      <w:tr w14:paraId="0CF1B6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701" w:type="dxa"/>
          </w:tcPr>
          <w:p w14:paraId="49D5B05C">
            <w:pPr>
              <w:pStyle w:val="85"/>
              <w:jc w:val="center"/>
              <w:rPr>
                <w:color w:val="auto"/>
                <w:sz w:val="22"/>
                <w:szCs w:val="22"/>
              </w:rPr>
            </w:pPr>
            <w:r>
              <w:rPr>
                <w:color w:val="auto"/>
                <w:sz w:val="22"/>
                <w:szCs w:val="22"/>
              </w:rPr>
              <w:t>5</w:t>
            </w:r>
          </w:p>
        </w:tc>
        <w:tc>
          <w:tcPr>
            <w:tcW w:w="7370" w:type="dxa"/>
          </w:tcPr>
          <w:p w14:paraId="0FF5EE26">
            <w:pPr>
              <w:pStyle w:val="85"/>
              <w:jc w:val="both"/>
              <w:rPr>
                <w:color w:val="auto"/>
                <w:sz w:val="22"/>
                <w:szCs w:val="22"/>
              </w:rPr>
            </w:pPr>
            <w:r>
              <w:rPr>
                <w:color w:val="auto"/>
                <w:sz w:val="22"/>
                <w:szCs w:val="22"/>
              </w:rPr>
              <w:t>Синтаксис</w:t>
            </w:r>
          </w:p>
        </w:tc>
      </w:tr>
      <w:tr w14:paraId="19E564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701" w:type="dxa"/>
          </w:tcPr>
          <w:p w14:paraId="612F9FDF">
            <w:pPr>
              <w:pStyle w:val="85"/>
              <w:jc w:val="center"/>
              <w:rPr>
                <w:color w:val="auto"/>
                <w:sz w:val="22"/>
                <w:szCs w:val="22"/>
              </w:rPr>
            </w:pPr>
            <w:r>
              <w:rPr>
                <w:color w:val="auto"/>
                <w:sz w:val="22"/>
                <w:szCs w:val="22"/>
              </w:rPr>
              <w:t>5.1</w:t>
            </w:r>
          </w:p>
        </w:tc>
        <w:tc>
          <w:tcPr>
            <w:tcW w:w="7370" w:type="dxa"/>
          </w:tcPr>
          <w:p w14:paraId="5DE6C1D2">
            <w:pPr>
              <w:pStyle w:val="85"/>
              <w:jc w:val="both"/>
              <w:rPr>
                <w:color w:val="auto"/>
                <w:sz w:val="22"/>
                <w:szCs w:val="22"/>
              </w:rPr>
            </w:pPr>
            <w:r>
              <w:rPr>
                <w:color w:val="auto"/>
                <w:sz w:val="22"/>
                <w:szCs w:val="22"/>
              </w:rPr>
              <w:t>Определять вид предложения по цели высказывания и по эмоциональной окраске</w:t>
            </w:r>
          </w:p>
        </w:tc>
      </w:tr>
      <w:tr w14:paraId="35EAA9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701" w:type="dxa"/>
          </w:tcPr>
          <w:p w14:paraId="78777AB5">
            <w:pPr>
              <w:pStyle w:val="85"/>
              <w:jc w:val="center"/>
              <w:rPr>
                <w:color w:val="auto"/>
                <w:sz w:val="22"/>
                <w:szCs w:val="22"/>
              </w:rPr>
            </w:pPr>
            <w:r>
              <w:rPr>
                <w:color w:val="auto"/>
                <w:sz w:val="22"/>
                <w:szCs w:val="22"/>
              </w:rPr>
              <w:t>5.2</w:t>
            </w:r>
          </w:p>
        </w:tc>
        <w:tc>
          <w:tcPr>
            <w:tcW w:w="7370" w:type="dxa"/>
          </w:tcPr>
          <w:p w14:paraId="7F6CEF24">
            <w:pPr>
              <w:pStyle w:val="85"/>
              <w:jc w:val="both"/>
              <w:rPr>
                <w:color w:val="auto"/>
                <w:sz w:val="22"/>
                <w:szCs w:val="22"/>
              </w:rPr>
            </w:pPr>
            <w:r>
              <w:rPr>
                <w:color w:val="auto"/>
                <w:sz w:val="22"/>
                <w:szCs w:val="22"/>
              </w:rPr>
              <w:t>Находить главные и второстепенные (без деления на виды) члены предложения</w:t>
            </w:r>
          </w:p>
        </w:tc>
      </w:tr>
      <w:tr w14:paraId="579082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701" w:type="dxa"/>
          </w:tcPr>
          <w:p w14:paraId="210791EB">
            <w:pPr>
              <w:pStyle w:val="85"/>
              <w:jc w:val="center"/>
              <w:rPr>
                <w:color w:val="auto"/>
                <w:sz w:val="22"/>
                <w:szCs w:val="22"/>
              </w:rPr>
            </w:pPr>
            <w:r>
              <w:rPr>
                <w:color w:val="auto"/>
                <w:sz w:val="22"/>
                <w:szCs w:val="22"/>
              </w:rPr>
              <w:t>5.3</w:t>
            </w:r>
          </w:p>
        </w:tc>
        <w:tc>
          <w:tcPr>
            <w:tcW w:w="7370" w:type="dxa"/>
          </w:tcPr>
          <w:p w14:paraId="41C5AB49">
            <w:pPr>
              <w:pStyle w:val="85"/>
              <w:jc w:val="both"/>
              <w:rPr>
                <w:color w:val="auto"/>
                <w:sz w:val="22"/>
                <w:szCs w:val="22"/>
              </w:rPr>
            </w:pPr>
            <w:r>
              <w:rPr>
                <w:color w:val="auto"/>
                <w:sz w:val="22"/>
                <w:szCs w:val="22"/>
              </w:rPr>
              <w:t>Распознавать распространенные и нераспространенные предложения</w:t>
            </w:r>
          </w:p>
        </w:tc>
      </w:tr>
      <w:tr w14:paraId="163448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701" w:type="dxa"/>
          </w:tcPr>
          <w:p w14:paraId="0CEE53CA">
            <w:pPr>
              <w:pStyle w:val="85"/>
              <w:jc w:val="center"/>
              <w:rPr>
                <w:color w:val="auto"/>
                <w:sz w:val="22"/>
                <w:szCs w:val="22"/>
              </w:rPr>
            </w:pPr>
            <w:r>
              <w:rPr>
                <w:color w:val="auto"/>
                <w:sz w:val="22"/>
                <w:szCs w:val="22"/>
              </w:rPr>
              <w:t>5.4</w:t>
            </w:r>
          </w:p>
        </w:tc>
        <w:tc>
          <w:tcPr>
            <w:tcW w:w="7370" w:type="dxa"/>
          </w:tcPr>
          <w:p w14:paraId="3F890894">
            <w:pPr>
              <w:pStyle w:val="85"/>
              <w:jc w:val="both"/>
              <w:rPr>
                <w:color w:val="auto"/>
                <w:sz w:val="22"/>
                <w:szCs w:val="22"/>
              </w:rPr>
            </w:pPr>
            <w:r>
              <w:rPr>
                <w:color w:val="auto"/>
                <w:sz w:val="22"/>
                <w:szCs w:val="22"/>
              </w:rPr>
              <w:t>Объяснять своими словами значение изученных понятий; использовать изученные понятия в процессе решения учебных задач</w:t>
            </w:r>
          </w:p>
        </w:tc>
      </w:tr>
      <w:tr w14:paraId="2169B7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701" w:type="dxa"/>
          </w:tcPr>
          <w:p w14:paraId="71E416FA">
            <w:pPr>
              <w:pStyle w:val="85"/>
              <w:jc w:val="center"/>
              <w:rPr>
                <w:color w:val="auto"/>
                <w:sz w:val="22"/>
                <w:szCs w:val="22"/>
              </w:rPr>
            </w:pPr>
            <w:r>
              <w:rPr>
                <w:color w:val="auto"/>
                <w:sz w:val="22"/>
                <w:szCs w:val="22"/>
              </w:rPr>
              <w:t>6</w:t>
            </w:r>
          </w:p>
        </w:tc>
        <w:tc>
          <w:tcPr>
            <w:tcW w:w="7370" w:type="dxa"/>
          </w:tcPr>
          <w:p w14:paraId="770BC305">
            <w:pPr>
              <w:pStyle w:val="85"/>
              <w:jc w:val="both"/>
              <w:rPr>
                <w:color w:val="auto"/>
                <w:sz w:val="22"/>
                <w:szCs w:val="22"/>
              </w:rPr>
            </w:pPr>
            <w:r>
              <w:rPr>
                <w:color w:val="auto"/>
                <w:sz w:val="22"/>
                <w:szCs w:val="22"/>
              </w:rPr>
              <w:t>Орфография и пунктуация</w:t>
            </w:r>
          </w:p>
        </w:tc>
      </w:tr>
      <w:tr w14:paraId="5CC885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701" w:type="dxa"/>
          </w:tcPr>
          <w:p w14:paraId="01950F1B">
            <w:pPr>
              <w:pStyle w:val="85"/>
              <w:jc w:val="center"/>
              <w:rPr>
                <w:color w:val="auto"/>
                <w:sz w:val="22"/>
                <w:szCs w:val="22"/>
              </w:rPr>
            </w:pPr>
            <w:r>
              <w:rPr>
                <w:color w:val="auto"/>
                <w:sz w:val="22"/>
                <w:szCs w:val="22"/>
              </w:rPr>
              <w:t>6.1</w:t>
            </w:r>
          </w:p>
        </w:tc>
        <w:tc>
          <w:tcPr>
            <w:tcW w:w="7370" w:type="dxa"/>
          </w:tcPr>
          <w:p w14:paraId="31BE6C80">
            <w:pPr>
              <w:pStyle w:val="85"/>
              <w:jc w:val="both"/>
              <w:rPr>
                <w:color w:val="auto"/>
                <w:sz w:val="22"/>
                <w:szCs w:val="22"/>
              </w:rPr>
            </w:pPr>
            <w:r>
              <w:rPr>
                <w:color w:val="auto"/>
                <w:sz w:val="22"/>
                <w:szCs w:val="22"/>
              </w:rPr>
              <w:t>Применять изученные правила правописания, в том числе: непроверяемые гласные и согласные (перечень слов в орфографическом словаре учебника); непроизносимые согласные в корне слова; разделительный твердый знак; мягкий знак после шипящих на конце имен существительных; не с глаголами; раздельное написание предлогов со словами</w:t>
            </w:r>
          </w:p>
        </w:tc>
      </w:tr>
      <w:tr w14:paraId="53E261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701" w:type="dxa"/>
          </w:tcPr>
          <w:p w14:paraId="6187EE3C">
            <w:pPr>
              <w:pStyle w:val="85"/>
              <w:jc w:val="center"/>
              <w:rPr>
                <w:color w:val="auto"/>
                <w:sz w:val="22"/>
                <w:szCs w:val="22"/>
              </w:rPr>
            </w:pPr>
            <w:r>
              <w:rPr>
                <w:color w:val="auto"/>
                <w:sz w:val="22"/>
                <w:szCs w:val="22"/>
              </w:rPr>
              <w:t>6.2</w:t>
            </w:r>
          </w:p>
        </w:tc>
        <w:tc>
          <w:tcPr>
            <w:tcW w:w="7370" w:type="dxa"/>
          </w:tcPr>
          <w:p w14:paraId="611FF92C">
            <w:pPr>
              <w:pStyle w:val="85"/>
              <w:jc w:val="both"/>
              <w:rPr>
                <w:color w:val="auto"/>
                <w:sz w:val="22"/>
                <w:szCs w:val="22"/>
              </w:rPr>
            </w:pPr>
            <w:r>
              <w:rPr>
                <w:color w:val="auto"/>
                <w:sz w:val="22"/>
                <w:szCs w:val="22"/>
              </w:rPr>
              <w:t>Находить место орфограммы в слове и между словами на изученные правила</w:t>
            </w:r>
          </w:p>
        </w:tc>
      </w:tr>
      <w:tr w14:paraId="2F944A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701" w:type="dxa"/>
          </w:tcPr>
          <w:p w14:paraId="0FB09BFF">
            <w:pPr>
              <w:pStyle w:val="85"/>
              <w:jc w:val="center"/>
              <w:rPr>
                <w:color w:val="auto"/>
                <w:sz w:val="22"/>
                <w:szCs w:val="22"/>
              </w:rPr>
            </w:pPr>
            <w:r>
              <w:rPr>
                <w:color w:val="auto"/>
                <w:sz w:val="22"/>
                <w:szCs w:val="22"/>
              </w:rPr>
              <w:t>6.3</w:t>
            </w:r>
          </w:p>
        </w:tc>
        <w:tc>
          <w:tcPr>
            <w:tcW w:w="7370" w:type="dxa"/>
          </w:tcPr>
          <w:p w14:paraId="6663169A">
            <w:pPr>
              <w:pStyle w:val="85"/>
              <w:jc w:val="both"/>
              <w:rPr>
                <w:color w:val="auto"/>
                <w:sz w:val="22"/>
                <w:szCs w:val="22"/>
              </w:rPr>
            </w:pPr>
            <w:r>
              <w:rPr>
                <w:color w:val="auto"/>
                <w:sz w:val="22"/>
                <w:szCs w:val="22"/>
              </w:rPr>
              <w:t>Правильно списывать слова, предложения, тексты объемом не более 70 слов</w:t>
            </w:r>
          </w:p>
        </w:tc>
      </w:tr>
      <w:tr w14:paraId="7EFF9C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701" w:type="dxa"/>
          </w:tcPr>
          <w:p w14:paraId="59C4677A">
            <w:pPr>
              <w:pStyle w:val="85"/>
              <w:jc w:val="center"/>
              <w:rPr>
                <w:color w:val="auto"/>
                <w:sz w:val="22"/>
                <w:szCs w:val="22"/>
              </w:rPr>
            </w:pPr>
            <w:r>
              <w:rPr>
                <w:color w:val="auto"/>
                <w:sz w:val="22"/>
                <w:szCs w:val="22"/>
              </w:rPr>
              <w:t>6.4</w:t>
            </w:r>
          </w:p>
        </w:tc>
        <w:tc>
          <w:tcPr>
            <w:tcW w:w="7370" w:type="dxa"/>
          </w:tcPr>
          <w:p w14:paraId="7F9664E8">
            <w:pPr>
              <w:pStyle w:val="85"/>
              <w:jc w:val="both"/>
              <w:rPr>
                <w:color w:val="auto"/>
                <w:sz w:val="22"/>
                <w:szCs w:val="22"/>
              </w:rPr>
            </w:pPr>
            <w:r>
              <w:rPr>
                <w:color w:val="auto"/>
                <w:sz w:val="22"/>
                <w:szCs w:val="22"/>
              </w:rPr>
              <w:t>Писать под диктовку тексты объемом не более 65 слов с учетом изученных правил правописания</w:t>
            </w:r>
          </w:p>
        </w:tc>
      </w:tr>
      <w:tr w14:paraId="0A2AB4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701" w:type="dxa"/>
          </w:tcPr>
          <w:p w14:paraId="5EA18543">
            <w:pPr>
              <w:pStyle w:val="85"/>
              <w:jc w:val="center"/>
              <w:rPr>
                <w:color w:val="auto"/>
                <w:sz w:val="22"/>
                <w:szCs w:val="22"/>
              </w:rPr>
            </w:pPr>
            <w:r>
              <w:rPr>
                <w:color w:val="auto"/>
                <w:sz w:val="22"/>
                <w:szCs w:val="22"/>
              </w:rPr>
              <w:t>6.5</w:t>
            </w:r>
          </w:p>
        </w:tc>
        <w:tc>
          <w:tcPr>
            <w:tcW w:w="7370" w:type="dxa"/>
          </w:tcPr>
          <w:p w14:paraId="779789CB">
            <w:pPr>
              <w:pStyle w:val="85"/>
              <w:jc w:val="both"/>
              <w:rPr>
                <w:color w:val="auto"/>
                <w:sz w:val="22"/>
                <w:szCs w:val="22"/>
              </w:rPr>
            </w:pPr>
            <w:r>
              <w:rPr>
                <w:color w:val="auto"/>
                <w:sz w:val="22"/>
                <w:szCs w:val="22"/>
              </w:rPr>
              <w:t>Находить и исправлять ошибки на изученные правила, описки</w:t>
            </w:r>
          </w:p>
        </w:tc>
      </w:tr>
      <w:tr w14:paraId="1480F6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701" w:type="dxa"/>
          </w:tcPr>
          <w:p w14:paraId="577E52A3">
            <w:pPr>
              <w:pStyle w:val="85"/>
              <w:jc w:val="center"/>
              <w:rPr>
                <w:color w:val="auto"/>
                <w:sz w:val="22"/>
                <w:szCs w:val="22"/>
              </w:rPr>
            </w:pPr>
            <w:r>
              <w:rPr>
                <w:color w:val="auto"/>
                <w:sz w:val="22"/>
                <w:szCs w:val="22"/>
              </w:rPr>
              <w:t>7</w:t>
            </w:r>
          </w:p>
        </w:tc>
        <w:tc>
          <w:tcPr>
            <w:tcW w:w="7370" w:type="dxa"/>
          </w:tcPr>
          <w:p w14:paraId="0D0FA35B">
            <w:pPr>
              <w:pStyle w:val="85"/>
              <w:jc w:val="both"/>
              <w:rPr>
                <w:color w:val="auto"/>
                <w:sz w:val="22"/>
                <w:szCs w:val="22"/>
              </w:rPr>
            </w:pPr>
            <w:r>
              <w:rPr>
                <w:color w:val="auto"/>
                <w:sz w:val="22"/>
                <w:szCs w:val="22"/>
              </w:rPr>
              <w:t>Развитие речи</w:t>
            </w:r>
          </w:p>
        </w:tc>
      </w:tr>
      <w:tr w14:paraId="7B2B8E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701" w:type="dxa"/>
          </w:tcPr>
          <w:p w14:paraId="17D5E10F">
            <w:pPr>
              <w:pStyle w:val="85"/>
              <w:jc w:val="center"/>
              <w:rPr>
                <w:color w:val="auto"/>
                <w:sz w:val="22"/>
                <w:szCs w:val="22"/>
              </w:rPr>
            </w:pPr>
            <w:r>
              <w:rPr>
                <w:color w:val="auto"/>
                <w:sz w:val="22"/>
                <w:szCs w:val="22"/>
              </w:rPr>
              <w:t>7.1</w:t>
            </w:r>
          </w:p>
        </w:tc>
        <w:tc>
          <w:tcPr>
            <w:tcW w:w="7370" w:type="dxa"/>
          </w:tcPr>
          <w:p w14:paraId="0743475D">
            <w:pPr>
              <w:pStyle w:val="85"/>
              <w:jc w:val="both"/>
              <w:rPr>
                <w:color w:val="auto"/>
                <w:sz w:val="22"/>
                <w:szCs w:val="22"/>
              </w:rPr>
            </w:pPr>
            <w:r>
              <w:rPr>
                <w:color w:val="auto"/>
                <w:sz w:val="22"/>
                <w:szCs w:val="22"/>
              </w:rPr>
              <w:t>Понимать тексты разных типов, находить в тексте заданную информацию</w:t>
            </w:r>
          </w:p>
        </w:tc>
      </w:tr>
      <w:tr w14:paraId="685E7A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701" w:type="dxa"/>
          </w:tcPr>
          <w:p w14:paraId="549969C2">
            <w:pPr>
              <w:pStyle w:val="85"/>
              <w:jc w:val="center"/>
              <w:rPr>
                <w:color w:val="auto"/>
                <w:sz w:val="22"/>
                <w:szCs w:val="22"/>
              </w:rPr>
            </w:pPr>
            <w:r>
              <w:rPr>
                <w:color w:val="auto"/>
                <w:sz w:val="22"/>
                <w:szCs w:val="22"/>
              </w:rPr>
              <w:t>7.2</w:t>
            </w:r>
          </w:p>
        </w:tc>
        <w:tc>
          <w:tcPr>
            <w:tcW w:w="7370" w:type="dxa"/>
          </w:tcPr>
          <w:p w14:paraId="7242DFB1">
            <w:pPr>
              <w:pStyle w:val="85"/>
              <w:jc w:val="both"/>
              <w:rPr>
                <w:color w:val="auto"/>
                <w:sz w:val="22"/>
                <w:szCs w:val="22"/>
              </w:rPr>
            </w:pPr>
            <w:r>
              <w:rPr>
                <w:color w:val="auto"/>
                <w:sz w:val="22"/>
                <w:szCs w:val="22"/>
              </w:rPr>
              <w:t>Формулировать устно и письменно на основе прочитанной (услышанной) информации простые выводы (1 - 2 предложения)</w:t>
            </w:r>
          </w:p>
        </w:tc>
      </w:tr>
      <w:tr w14:paraId="519550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701" w:type="dxa"/>
          </w:tcPr>
          <w:p w14:paraId="7A1FE02B">
            <w:pPr>
              <w:pStyle w:val="85"/>
              <w:jc w:val="center"/>
              <w:rPr>
                <w:color w:val="auto"/>
                <w:sz w:val="22"/>
                <w:szCs w:val="22"/>
              </w:rPr>
            </w:pPr>
            <w:r>
              <w:rPr>
                <w:color w:val="auto"/>
                <w:sz w:val="22"/>
                <w:szCs w:val="22"/>
              </w:rPr>
              <w:t>7.3</w:t>
            </w:r>
          </w:p>
        </w:tc>
        <w:tc>
          <w:tcPr>
            <w:tcW w:w="7370" w:type="dxa"/>
          </w:tcPr>
          <w:p w14:paraId="7B473801">
            <w:pPr>
              <w:pStyle w:val="85"/>
              <w:jc w:val="both"/>
              <w:rPr>
                <w:color w:val="auto"/>
                <w:sz w:val="22"/>
                <w:szCs w:val="22"/>
              </w:rPr>
            </w:pPr>
            <w:r>
              <w:rPr>
                <w:color w:val="auto"/>
                <w:sz w:val="22"/>
                <w:szCs w:val="22"/>
              </w:rPr>
              <w:t>Строить устное диалогическое и монологическое высказывание (3 - 5 предложений на определенную тему, по результатам наблюдений) с соблюдением орфоэпических норм, правильной интонации</w:t>
            </w:r>
          </w:p>
        </w:tc>
      </w:tr>
      <w:tr w14:paraId="1F8EB8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701" w:type="dxa"/>
          </w:tcPr>
          <w:p w14:paraId="14F5902D">
            <w:pPr>
              <w:pStyle w:val="85"/>
              <w:jc w:val="center"/>
              <w:rPr>
                <w:color w:val="auto"/>
                <w:sz w:val="22"/>
                <w:szCs w:val="22"/>
              </w:rPr>
            </w:pPr>
            <w:r>
              <w:rPr>
                <w:color w:val="auto"/>
                <w:sz w:val="22"/>
                <w:szCs w:val="22"/>
              </w:rPr>
              <w:t>7.4</w:t>
            </w:r>
          </w:p>
        </w:tc>
        <w:tc>
          <w:tcPr>
            <w:tcW w:w="7370" w:type="dxa"/>
          </w:tcPr>
          <w:p w14:paraId="50D5A21D">
            <w:pPr>
              <w:pStyle w:val="85"/>
              <w:jc w:val="both"/>
              <w:rPr>
                <w:color w:val="auto"/>
                <w:sz w:val="22"/>
                <w:szCs w:val="22"/>
              </w:rPr>
            </w:pPr>
            <w:r>
              <w:rPr>
                <w:color w:val="auto"/>
                <w:sz w:val="22"/>
                <w:szCs w:val="22"/>
              </w:rPr>
              <w:t>Создавать небольшие устные и письменные тексты (2 - 4 предложения), содержащие приглашение, просьбу, извинение, благодарность, отказ, с использованием норм речевого этикета</w:t>
            </w:r>
          </w:p>
        </w:tc>
      </w:tr>
      <w:tr w14:paraId="383E1A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701" w:type="dxa"/>
          </w:tcPr>
          <w:p w14:paraId="2A5D911F">
            <w:pPr>
              <w:pStyle w:val="85"/>
              <w:jc w:val="center"/>
              <w:rPr>
                <w:color w:val="auto"/>
                <w:sz w:val="22"/>
                <w:szCs w:val="22"/>
              </w:rPr>
            </w:pPr>
            <w:r>
              <w:rPr>
                <w:color w:val="auto"/>
                <w:sz w:val="22"/>
                <w:szCs w:val="22"/>
              </w:rPr>
              <w:t>7.5</w:t>
            </w:r>
          </w:p>
        </w:tc>
        <w:tc>
          <w:tcPr>
            <w:tcW w:w="7370" w:type="dxa"/>
          </w:tcPr>
          <w:p w14:paraId="3507006A">
            <w:pPr>
              <w:pStyle w:val="85"/>
              <w:jc w:val="both"/>
              <w:rPr>
                <w:color w:val="auto"/>
                <w:sz w:val="22"/>
                <w:szCs w:val="22"/>
              </w:rPr>
            </w:pPr>
            <w:r>
              <w:rPr>
                <w:color w:val="auto"/>
                <w:sz w:val="22"/>
                <w:szCs w:val="22"/>
              </w:rPr>
              <w:t>Определять связь предложений в тексте (с помощью личных местоимений, синонимов, союзов и, а, но)</w:t>
            </w:r>
          </w:p>
        </w:tc>
      </w:tr>
      <w:tr w14:paraId="304A16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701" w:type="dxa"/>
          </w:tcPr>
          <w:p w14:paraId="533A3FCE">
            <w:pPr>
              <w:pStyle w:val="85"/>
              <w:jc w:val="center"/>
              <w:rPr>
                <w:color w:val="auto"/>
                <w:sz w:val="22"/>
                <w:szCs w:val="22"/>
              </w:rPr>
            </w:pPr>
            <w:r>
              <w:rPr>
                <w:color w:val="auto"/>
                <w:sz w:val="22"/>
                <w:szCs w:val="22"/>
              </w:rPr>
              <w:t>7.6</w:t>
            </w:r>
          </w:p>
        </w:tc>
        <w:tc>
          <w:tcPr>
            <w:tcW w:w="7370" w:type="dxa"/>
          </w:tcPr>
          <w:p w14:paraId="2BA22CE7">
            <w:pPr>
              <w:pStyle w:val="85"/>
              <w:jc w:val="both"/>
              <w:rPr>
                <w:color w:val="auto"/>
                <w:sz w:val="22"/>
                <w:szCs w:val="22"/>
              </w:rPr>
            </w:pPr>
            <w:r>
              <w:rPr>
                <w:color w:val="auto"/>
                <w:sz w:val="22"/>
                <w:szCs w:val="22"/>
              </w:rPr>
              <w:t>Определять ключевые слова в тексте</w:t>
            </w:r>
          </w:p>
        </w:tc>
      </w:tr>
      <w:tr w14:paraId="226962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701" w:type="dxa"/>
          </w:tcPr>
          <w:p w14:paraId="4CA8CBF7">
            <w:pPr>
              <w:pStyle w:val="85"/>
              <w:jc w:val="center"/>
              <w:rPr>
                <w:color w:val="auto"/>
                <w:sz w:val="22"/>
                <w:szCs w:val="22"/>
              </w:rPr>
            </w:pPr>
            <w:r>
              <w:rPr>
                <w:color w:val="auto"/>
                <w:sz w:val="22"/>
                <w:szCs w:val="22"/>
              </w:rPr>
              <w:t>7.7</w:t>
            </w:r>
          </w:p>
        </w:tc>
        <w:tc>
          <w:tcPr>
            <w:tcW w:w="7370" w:type="dxa"/>
          </w:tcPr>
          <w:p w14:paraId="1DB33E22">
            <w:pPr>
              <w:pStyle w:val="85"/>
              <w:jc w:val="both"/>
              <w:rPr>
                <w:color w:val="auto"/>
                <w:sz w:val="22"/>
                <w:szCs w:val="22"/>
              </w:rPr>
            </w:pPr>
            <w:r>
              <w:rPr>
                <w:color w:val="auto"/>
                <w:sz w:val="22"/>
                <w:szCs w:val="22"/>
              </w:rPr>
              <w:t>Определять тему текста и основную мысль текста</w:t>
            </w:r>
          </w:p>
        </w:tc>
      </w:tr>
      <w:tr w14:paraId="65B50D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701" w:type="dxa"/>
          </w:tcPr>
          <w:p w14:paraId="55869321">
            <w:pPr>
              <w:pStyle w:val="85"/>
              <w:jc w:val="center"/>
              <w:rPr>
                <w:color w:val="auto"/>
                <w:sz w:val="22"/>
                <w:szCs w:val="22"/>
              </w:rPr>
            </w:pPr>
            <w:r>
              <w:rPr>
                <w:color w:val="auto"/>
                <w:sz w:val="22"/>
                <w:szCs w:val="22"/>
              </w:rPr>
              <w:t>7.8</w:t>
            </w:r>
          </w:p>
        </w:tc>
        <w:tc>
          <w:tcPr>
            <w:tcW w:w="7370" w:type="dxa"/>
          </w:tcPr>
          <w:p w14:paraId="4D0F6B31">
            <w:pPr>
              <w:pStyle w:val="85"/>
              <w:jc w:val="both"/>
              <w:rPr>
                <w:color w:val="auto"/>
                <w:sz w:val="22"/>
                <w:szCs w:val="22"/>
              </w:rPr>
            </w:pPr>
            <w:r>
              <w:rPr>
                <w:color w:val="auto"/>
                <w:sz w:val="22"/>
                <w:szCs w:val="22"/>
              </w:rPr>
              <w:t>Выявлять части текста (абзацы) и отражать с помощью ключевых слов или предложений их смысловое содержание</w:t>
            </w:r>
          </w:p>
        </w:tc>
      </w:tr>
      <w:tr w14:paraId="0413FD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701" w:type="dxa"/>
          </w:tcPr>
          <w:p w14:paraId="12932810">
            <w:pPr>
              <w:pStyle w:val="85"/>
              <w:jc w:val="center"/>
              <w:rPr>
                <w:color w:val="auto"/>
                <w:sz w:val="22"/>
                <w:szCs w:val="22"/>
              </w:rPr>
            </w:pPr>
            <w:r>
              <w:rPr>
                <w:color w:val="auto"/>
                <w:sz w:val="22"/>
                <w:szCs w:val="22"/>
              </w:rPr>
              <w:t>7.9</w:t>
            </w:r>
          </w:p>
        </w:tc>
        <w:tc>
          <w:tcPr>
            <w:tcW w:w="7370" w:type="dxa"/>
          </w:tcPr>
          <w:p w14:paraId="43DC1777">
            <w:pPr>
              <w:pStyle w:val="85"/>
              <w:jc w:val="both"/>
              <w:rPr>
                <w:color w:val="auto"/>
                <w:sz w:val="22"/>
                <w:szCs w:val="22"/>
              </w:rPr>
            </w:pPr>
            <w:r>
              <w:rPr>
                <w:color w:val="auto"/>
                <w:sz w:val="22"/>
                <w:szCs w:val="22"/>
              </w:rPr>
              <w:t>Составлять план текста, создавать по нему текст и корректировать текст</w:t>
            </w:r>
          </w:p>
        </w:tc>
      </w:tr>
      <w:tr w14:paraId="0B9200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701" w:type="dxa"/>
          </w:tcPr>
          <w:p w14:paraId="10DB92DD">
            <w:pPr>
              <w:pStyle w:val="85"/>
              <w:jc w:val="center"/>
              <w:rPr>
                <w:color w:val="auto"/>
                <w:sz w:val="22"/>
                <w:szCs w:val="22"/>
              </w:rPr>
            </w:pPr>
            <w:r>
              <w:rPr>
                <w:color w:val="auto"/>
                <w:sz w:val="22"/>
                <w:szCs w:val="22"/>
              </w:rPr>
              <w:t>7.10</w:t>
            </w:r>
          </w:p>
        </w:tc>
        <w:tc>
          <w:tcPr>
            <w:tcW w:w="7370" w:type="dxa"/>
          </w:tcPr>
          <w:p w14:paraId="73FDA2CB">
            <w:pPr>
              <w:pStyle w:val="85"/>
              <w:jc w:val="both"/>
              <w:rPr>
                <w:color w:val="auto"/>
                <w:sz w:val="22"/>
                <w:szCs w:val="22"/>
              </w:rPr>
            </w:pPr>
            <w:r>
              <w:rPr>
                <w:color w:val="auto"/>
                <w:sz w:val="22"/>
                <w:szCs w:val="22"/>
              </w:rPr>
              <w:t>Писать подробное изложение по заданному, коллективно или самостоятельно составленному плану</w:t>
            </w:r>
          </w:p>
        </w:tc>
      </w:tr>
    </w:tbl>
    <w:p w14:paraId="6CDE29E5">
      <w:pPr>
        <w:pStyle w:val="85"/>
        <w:jc w:val="both"/>
        <w:rPr>
          <w:color w:val="auto"/>
          <w:sz w:val="22"/>
          <w:szCs w:val="22"/>
        </w:rPr>
      </w:pPr>
    </w:p>
    <w:p w14:paraId="525D1B3C">
      <w:pPr>
        <w:pStyle w:val="85"/>
        <w:jc w:val="right"/>
        <w:rPr>
          <w:color w:val="auto"/>
          <w:sz w:val="22"/>
          <w:szCs w:val="22"/>
        </w:rPr>
      </w:pPr>
      <w:r>
        <w:rPr>
          <w:color w:val="auto"/>
          <w:sz w:val="22"/>
          <w:szCs w:val="22"/>
        </w:rPr>
        <w:t>Таблица 3.5</w:t>
      </w:r>
    </w:p>
    <w:p w14:paraId="1CF3D786">
      <w:pPr>
        <w:pStyle w:val="85"/>
        <w:jc w:val="both"/>
        <w:rPr>
          <w:color w:val="auto"/>
          <w:sz w:val="22"/>
          <w:szCs w:val="22"/>
        </w:rPr>
      </w:pPr>
    </w:p>
    <w:p w14:paraId="4E32AF8A">
      <w:pPr>
        <w:pStyle w:val="85"/>
        <w:jc w:val="center"/>
        <w:rPr>
          <w:color w:val="auto"/>
          <w:sz w:val="22"/>
          <w:szCs w:val="22"/>
        </w:rPr>
      </w:pPr>
      <w:r>
        <w:rPr>
          <w:color w:val="auto"/>
          <w:sz w:val="22"/>
          <w:szCs w:val="22"/>
        </w:rPr>
        <w:t>Проверяемые элементы содержания (3 класс)</w:t>
      </w:r>
    </w:p>
    <w:p w14:paraId="551CDAD0">
      <w:pPr>
        <w:pStyle w:val="85"/>
        <w:jc w:val="both"/>
        <w:rPr>
          <w:color w:val="auto"/>
          <w:sz w:val="22"/>
          <w:szCs w:val="22"/>
        </w:rPr>
      </w:pPr>
    </w:p>
    <w:tbl>
      <w:tblPr>
        <w:tblStyle w:val="1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02" w:type="dxa"/>
          <w:left w:w="62" w:type="dxa"/>
          <w:bottom w:w="102" w:type="dxa"/>
          <w:right w:w="62" w:type="dxa"/>
        </w:tblCellMar>
      </w:tblPr>
      <w:tblGrid>
        <w:gridCol w:w="1077"/>
        <w:gridCol w:w="7994"/>
      </w:tblGrid>
      <w:tr w14:paraId="09194C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077" w:type="dxa"/>
          </w:tcPr>
          <w:p w14:paraId="0A623FC2">
            <w:pPr>
              <w:pStyle w:val="85"/>
              <w:jc w:val="center"/>
              <w:rPr>
                <w:color w:val="auto"/>
                <w:sz w:val="22"/>
                <w:szCs w:val="22"/>
              </w:rPr>
            </w:pPr>
            <w:r>
              <w:rPr>
                <w:color w:val="auto"/>
                <w:sz w:val="22"/>
                <w:szCs w:val="22"/>
              </w:rPr>
              <w:t>Код</w:t>
            </w:r>
          </w:p>
        </w:tc>
        <w:tc>
          <w:tcPr>
            <w:tcW w:w="7994" w:type="dxa"/>
          </w:tcPr>
          <w:p w14:paraId="65B20BD6">
            <w:pPr>
              <w:pStyle w:val="85"/>
              <w:jc w:val="center"/>
              <w:rPr>
                <w:color w:val="auto"/>
                <w:sz w:val="22"/>
                <w:szCs w:val="22"/>
              </w:rPr>
            </w:pPr>
            <w:r>
              <w:rPr>
                <w:color w:val="auto"/>
                <w:sz w:val="22"/>
                <w:szCs w:val="22"/>
              </w:rPr>
              <w:t>Проверяемый элемент содержания</w:t>
            </w:r>
          </w:p>
        </w:tc>
      </w:tr>
      <w:tr w14:paraId="7E52BB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077" w:type="dxa"/>
          </w:tcPr>
          <w:p w14:paraId="4D48F268">
            <w:pPr>
              <w:pStyle w:val="85"/>
              <w:jc w:val="center"/>
              <w:rPr>
                <w:color w:val="auto"/>
                <w:sz w:val="22"/>
                <w:szCs w:val="22"/>
              </w:rPr>
            </w:pPr>
            <w:r>
              <w:rPr>
                <w:color w:val="auto"/>
                <w:sz w:val="22"/>
                <w:szCs w:val="22"/>
              </w:rPr>
              <w:t>1</w:t>
            </w:r>
          </w:p>
        </w:tc>
        <w:tc>
          <w:tcPr>
            <w:tcW w:w="7994" w:type="dxa"/>
          </w:tcPr>
          <w:p w14:paraId="73861DB6">
            <w:pPr>
              <w:pStyle w:val="85"/>
              <w:jc w:val="both"/>
              <w:rPr>
                <w:color w:val="auto"/>
                <w:sz w:val="22"/>
                <w:szCs w:val="22"/>
              </w:rPr>
            </w:pPr>
            <w:r>
              <w:rPr>
                <w:color w:val="auto"/>
                <w:sz w:val="22"/>
                <w:szCs w:val="22"/>
              </w:rPr>
              <w:t>Фонетика. Графика. Орфоэпия</w:t>
            </w:r>
          </w:p>
        </w:tc>
      </w:tr>
      <w:tr w14:paraId="473CF8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077" w:type="dxa"/>
          </w:tcPr>
          <w:p w14:paraId="6725AB63">
            <w:pPr>
              <w:pStyle w:val="85"/>
              <w:jc w:val="center"/>
              <w:rPr>
                <w:color w:val="auto"/>
                <w:sz w:val="22"/>
                <w:szCs w:val="22"/>
              </w:rPr>
            </w:pPr>
            <w:r>
              <w:rPr>
                <w:color w:val="auto"/>
                <w:sz w:val="22"/>
                <w:szCs w:val="22"/>
              </w:rPr>
              <w:t>1.1</w:t>
            </w:r>
          </w:p>
        </w:tc>
        <w:tc>
          <w:tcPr>
            <w:tcW w:w="7994" w:type="dxa"/>
          </w:tcPr>
          <w:p w14:paraId="7BC61FD4">
            <w:pPr>
              <w:pStyle w:val="85"/>
              <w:jc w:val="both"/>
              <w:rPr>
                <w:color w:val="auto"/>
                <w:sz w:val="22"/>
                <w:szCs w:val="22"/>
              </w:rPr>
            </w:pPr>
            <w:r>
              <w:rPr>
                <w:color w:val="auto"/>
                <w:sz w:val="22"/>
                <w:szCs w:val="22"/>
              </w:rPr>
              <w:t>Звуки русского языка: гласный (согласный); гласный ударный (безударный); согласный твердый (мягкий), парный (непарный); согласный глухой (звонкий), парный (непарный); функции разделительных ь и ъ, условия использования на письме разделительных мягкого и твердого знаков (повторение изученного)</w:t>
            </w:r>
          </w:p>
        </w:tc>
      </w:tr>
      <w:tr w14:paraId="4914E9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077" w:type="dxa"/>
          </w:tcPr>
          <w:p w14:paraId="63C03F78">
            <w:pPr>
              <w:pStyle w:val="85"/>
              <w:jc w:val="center"/>
              <w:rPr>
                <w:color w:val="auto"/>
                <w:sz w:val="22"/>
                <w:szCs w:val="22"/>
              </w:rPr>
            </w:pPr>
            <w:r>
              <w:rPr>
                <w:color w:val="auto"/>
                <w:sz w:val="22"/>
                <w:szCs w:val="22"/>
              </w:rPr>
              <w:t>1.2</w:t>
            </w:r>
          </w:p>
        </w:tc>
        <w:tc>
          <w:tcPr>
            <w:tcW w:w="7994" w:type="dxa"/>
          </w:tcPr>
          <w:p w14:paraId="0C0A74B2">
            <w:pPr>
              <w:pStyle w:val="85"/>
              <w:jc w:val="both"/>
              <w:rPr>
                <w:color w:val="auto"/>
                <w:sz w:val="22"/>
                <w:szCs w:val="22"/>
              </w:rPr>
            </w:pPr>
            <w:r>
              <w:rPr>
                <w:color w:val="auto"/>
                <w:sz w:val="22"/>
                <w:szCs w:val="22"/>
              </w:rPr>
              <w:t>Соотношение звукового и буквенного состава в словах с разделительными ъ и ь, в словах с непроизносимыми согласными</w:t>
            </w:r>
          </w:p>
        </w:tc>
      </w:tr>
      <w:tr w14:paraId="175070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077" w:type="dxa"/>
          </w:tcPr>
          <w:p w14:paraId="10B56450">
            <w:pPr>
              <w:pStyle w:val="85"/>
              <w:jc w:val="center"/>
              <w:rPr>
                <w:color w:val="auto"/>
                <w:sz w:val="22"/>
                <w:szCs w:val="22"/>
              </w:rPr>
            </w:pPr>
            <w:r>
              <w:rPr>
                <w:color w:val="auto"/>
                <w:sz w:val="22"/>
                <w:szCs w:val="22"/>
              </w:rPr>
              <w:t>1.3</w:t>
            </w:r>
          </w:p>
        </w:tc>
        <w:tc>
          <w:tcPr>
            <w:tcW w:w="7994" w:type="dxa"/>
          </w:tcPr>
          <w:p w14:paraId="33C749C8">
            <w:pPr>
              <w:pStyle w:val="85"/>
              <w:jc w:val="both"/>
              <w:rPr>
                <w:color w:val="auto"/>
                <w:sz w:val="22"/>
                <w:szCs w:val="22"/>
              </w:rPr>
            </w:pPr>
            <w:r>
              <w:rPr>
                <w:color w:val="auto"/>
                <w:sz w:val="22"/>
                <w:szCs w:val="22"/>
              </w:rPr>
              <w:t>Использование алфавита при работе со словарями, справочниками, каталогами</w:t>
            </w:r>
          </w:p>
        </w:tc>
      </w:tr>
      <w:tr w14:paraId="118F60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077" w:type="dxa"/>
          </w:tcPr>
          <w:p w14:paraId="6558570F">
            <w:pPr>
              <w:pStyle w:val="85"/>
              <w:jc w:val="center"/>
              <w:rPr>
                <w:color w:val="auto"/>
                <w:sz w:val="22"/>
                <w:szCs w:val="22"/>
              </w:rPr>
            </w:pPr>
            <w:r>
              <w:rPr>
                <w:color w:val="auto"/>
                <w:sz w:val="22"/>
                <w:szCs w:val="22"/>
              </w:rPr>
              <w:t>1.4</w:t>
            </w:r>
          </w:p>
        </w:tc>
        <w:tc>
          <w:tcPr>
            <w:tcW w:w="7994" w:type="dxa"/>
          </w:tcPr>
          <w:p w14:paraId="4C5E7C53">
            <w:pPr>
              <w:pStyle w:val="85"/>
              <w:jc w:val="both"/>
              <w:rPr>
                <w:color w:val="auto"/>
                <w:sz w:val="22"/>
                <w:szCs w:val="22"/>
              </w:rPr>
            </w:pPr>
            <w:r>
              <w:rPr>
                <w:color w:val="auto"/>
                <w:sz w:val="22"/>
                <w:szCs w:val="22"/>
              </w:rPr>
              <w:t>Нормы произношения звуков и сочетаний звуков; ударение в словах в соответствии с нормами современного русского литературного языка (на ограниченном перечне слов, отрабатываемом в учебнике)</w:t>
            </w:r>
          </w:p>
        </w:tc>
      </w:tr>
      <w:tr w14:paraId="630DDA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077" w:type="dxa"/>
          </w:tcPr>
          <w:p w14:paraId="21D25DF8">
            <w:pPr>
              <w:pStyle w:val="85"/>
              <w:jc w:val="center"/>
              <w:rPr>
                <w:color w:val="auto"/>
                <w:sz w:val="22"/>
                <w:szCs w:val="22"/>
              </w:rPr>
            </w:pPr>
            <w:r>
              <w:rPr>
                <w:color w:val="auto"/>
                <w:sz w:val="22"/>
                <w:szCs w:val="22"/>
              </w:rPr>
              <w:t>1.5</w:t>
            </w:r>
          </w:p>
        </w:tc>
        <w:tc>
          <w:tcPr>
            <w:tcW w:w="7994" w:type="dxa"/>
          </w:tcPr>
          <w:p w14:paraId="2FAF5241">
            <w:pPr>
              <w:pStyle w:val="85"/>
              <w:jc w:val="both"/>
              <w:rPr>
                <w:color w:val="auto"/>
                <w:sz w:val="22"/>
                <w:szCs w:val="22"/>
              </w:rPr>
            </w:pPr>
            <w:r>
              <w:rPr>
                <w:color w:val="auto"/>
                <w:sz w:val="22"/>
                <w:szCs w:val="22"/>
              </w:rPr>
              <w:t>Использование орфоэпического словаря для решения практических задач</w:t>
            </w:r>
          </w:p>
        </w:tc>
      </w:tr>
      <w:tr w14:paraId="71050D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077" w:type="dxa"/>
          </w:tcPr>
          <w:p w14:paraId="2C3F667C">
            <w:pPr>
              <w:pStyle w:val="85"/>
              <w:jc w:val="center"/>
              <w:rPr>
                <w:color w:val="auto"/>
                <w:sz w:val="22"/>
                <w:szCs w:val="22"/>
              </w:rPr>
            </w:pPr>
            <w:r>
              <w:rPr>
                <w:color w:val="auto"/>
                <w:sz w:val="22"/>
                <w:szCs w:val="22"/>
              </w:rPr>
              <w:t>2</w:t>
            </w:r>
          </w:p>
        </w:tc>
        <w:tc>
          <w:tcPr>
            <w:tcW w:w="7994" w:type="dxa"/>
          </w:tcPr>
          <w:p w14:paraId="339CA6DF">
            <w:pPr>
              <w:pStyle w:val="85"/>
              <w:jc w:val="both"/>
              <w:rPr>
                <w:color w:val="auto"/>
                <w:sz w:val="22"/>
                <w:szCs w:val="22"/>
              </w:rPr>
            </w:pPr>
            <w:r>
              <w:rPr>
                <w:color w:val="auto"/>
                <w:sz w:val="22"/>
                <w:szCs w:val="22"/>
              </w:rPr>
              <w:t>Лексика</w:t>
            </w:r>
          </w:p>
        </w:tc>
      </w:tr>
      <w:tr w14:paraId="253415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077" w:type="dxa"/>
          </w:tcPr>
          <w:p w14:paraId="4F653C53">
            <w:pPr>
              <w:pStyle w:val="85"/>
              <w:jc w:val="center"/>
              <w:rPr>
                <w:color w:val="auto"/>
                <w:sz w:val="22"/>
                <w:szCs w:val="22"/>
              </w:rPr>
            </w:pPr>
            <w:r>
              <w:rPr>
                <w:color w:val="auto"/>
                <w:sz w:val="22"/>
                <w:szCs w:val="22"/>
              </w:rPr>
              <w:t>2.1</w:t>
            </w:r>
          </w:p>
        </w:tc>
        <w:tc>
          <w:tcPr>
            <w:tcW w:w="7994" w:type="dxa"/>
          </w:tcPr>
          <w:p w14:paraId="696EC9F4">
            <w:pPr>
              <w:pStyle w:val="85"/>
              <w:jc w:val="both"/>
              <w:rPr>
                <w:color w:val="auto"/>
                <w:sz w:val="22"/>
                <w:szCs w:val="22"/>
              </w:rPr>
            </w:pPr>
            <w:r>
              <w:rPr>
                <w:color w:val="auto"/>
                <w:sz w:val="22"/>
                <w:szCs w:val="22"/>
              </w:rPr>
              <w:t>Повторение: лексическое значение слова</w:t>
            </w:r>
          </w:p>
        </w:tc>
      </w:tr>
      <w:tr w14:paraId="252126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077" w:type="dxa"/>
          </w:tcPr>
          <w:p w14:paraId="3CFAA25C">
            <w:pPr>
              <w:pStyle w:val="85"/>
              <w:jc w:val="center"/>
              <w:rPr>
                <w:color w:val="auto"/>
                <w:sz w:val="22"/>
                <w:szCs w:val="22"/>
              </w:rPr>
            </w:pPr>
            <w:r>
              <w:rPr>
                <w:color w:val="auto"/>
                <w:sz w:val="22"/>
                <w:szCs w:val="22"/>
              </w:rPr>
              <w:t>2.2</w:t>
            </w:r>
          </w:p>
        </w:tc>
        <w:tc>
          <w:tcPr>
            <w:tcW w:w="7994" w:type="dxa"/>
          </w:tcPr>
          <w:p w14:paraId="5E5B5713">
            <w:pPr>
              <w:pStyle w:val="85"/>
              <w:jc w:val="both"/>
              <w:rPr>
                <w:color w:val="auto"/>
                <w:sz w:val="22"/>
                <w:szCs w:val="22"/>
              </w:rPr>
            </w:pPr>
            <w:r>
              <w:rPr>
                <w:color w:val="auto"/>
                <w:sz w:val="22"/>
                <w:szCs w:val="22"/>
              </w:rPr>
              <w:t>Прямое и переносное значение слова (ознакомление)</w:t>
            </w:r>
          </w:p>
        </w:tc>
      </w:tr>
      <w:tr w14:paraId="01C2C9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077" w:type="dxa"/>
          </w:tcPr>
          <w:p w14:paraId="2122561C">
            <w:pPr>
              <w:pStyle w:val="85"/>
              <w:jc w:val="center"/>
              <w:rPr>
                <w:color w:val="auto"/>
                <w:sz w:val="22"/>
                <w:szCs w:val="22"/>
              </w:rPr>
            </w:pPr>
            <w:r>
              <w:rPr>
                <w:color w:val="auto"/>
                <w:sz w:val="22"/>
                <w:szCs w:val="22"/>
              </w:rPr>
              <w:t>2.3</w:t>
            </w:r>
          </w:p>
        </w:tc>
        <w:tc>
          <w:tcPr>
            <w:tcW w:w="7994" w:type="dxa"/>
          </w:tcPr>
          <w:p w14:paraId="5B0708E7">
            <w:pPr>
              <w:pStyle w:val="85"/>
              <w:jc w:val="both"/>
              <w:rPr>
                <w:color w:val="auto"/>
                <w:sz w:val="22"/>
                <w:szCs w:val="22"/>
              </w:rPr>
            </w:pPr>
            <w:r>
              <w:rPr>
                <w:color w:val="auto"/>
                <w:sz w:val="22"/>
                <w:szCs w:val="22"/>
              </w:rPr>
              <w:t>Устаревшие слова (ознакомление)</w:t>
            </w:r>
          </w:p>
        </w:tc>
      </w:tr>
      <w:tr w14:paraId="3F07E9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077" w:type="dxa"/>
          </w:tcPr>
          <w:p w14:paraId="50CCE9FB">
            <w:pPr>
              <w:pStyle w:val="85"/>
              <w:jc w:val="center"/>
              <w:rPr>
                <w:color w:val="auto"/>
                <w:sz w:val="22"/>
                <w:szCs w:val="22"/>
              </w:rPr>
            </w:pPr>
            <w:r>
              <w:rPr>
                <w:color w:val="auto"/>
                <w:sz w:val="22"/>
                <w:szCs w:val="22"/>
              </w:rPr>
              <w:t>3</w:t>
            </w:r>
          </w:p>
        </w:tc>
        <w:tc>
          <w:tcPr>
            <w:tcW w:w="7994" w:type="dxa"/>
          </w:tcPr>
          <w:p w14:paraId="184E6ED1">
            <w:pPr>
              <w:pStyle w:val="85"/>
              <w:jc w:val="both"/>
              <w:rPr>
                <w:color w:val="auto"/>
                <w:sz w:val="22"/>
                <w:szCs w:val="22"/>
              </w:rPr>
            </w:pPr>
            <w:r>
              <w:rPr>
                <w:color w:val="auto"/>
                <w:sz w:val="22"/>
                <w:szCs w:val="22"/>
              </w:rPr>
              <w:t>Состав слова (морфемика)</w:t>
            </w:r>
          </w:p>
        </w:tc>
      </w:tr>
      <w:tr w14:paraId="73C258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077" w:type="dxa"/>
          </w:tcPr>
          <w:p w14:paraId="1ED92546">
            <w:pPr>
              <w:pStyle w:val="85"/>
              <w:jc w:val="center"/>
              <w:rPr>
                <w:color w:val="auto"/>
                <w:sz w:val="22"/>
                <w:szCs w:val="22"/>
              </w:rPr>
            </w:pPr>
            <w:r>
              <w:rPr>
                <w:color w:val="auto"/>
                <w:sz w:val="22"/>
                <w:szCs w:val="22"/>
              </w:rPr>
              <w:t>3.1</w:t>
            </w:r>
          </w:p>
        </w:tc>
        <w:tc>
          <w:tcPr>
            <w:tcW w:w="7994" w:type="dxa"/>
          </w:tcPr>
          <w:p w14:paraId="021C0442">
            <w:pPr>
              <w:pStyle w:val="85"/>
              <w:jc w:val="both"/>
              <w:rPr>
                <w:color w:val="auto"/>
                <w:sz w:val="22"/>
                <w:szCs w:val="22"/>
              </w:rPr>
            </w:pPr>
            <w:r>
              <w:rPr>
                <w:color w:val="auto"/>
                <w:sz w:val="22"/>
                <w:szCs w:val="22"/>
              </w:rPr>
              <w:t>Корень как обязательная часть слова; однокоренные (родственные) слова; признаки однокоренных (родственных) слов; различение однокоренных слов и синонимов, однокоренных слов и слов с омонимичными корнями; выделение в словах корня (простые случаи); окончание как изменяемая часть слова (повторение изученного)</w:t>
            </w:r>
          </w:p>
        </w:tc>
      </w:tr>
      <w:tr w14:paraId="1363A0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077" w:type="dxa"/>
          </w:tcPr>
          <w:p w14:paraId="37474BE8">
            <w:pPr>
              <w:pStyle w:val="85"/>
              <w:jc w:val="center"/>
              <w:rPr>
                <w:color w:val="auto"/>
                <w:sz w:val="22"/>
                <w:szCs w:val="22"/>
              </w:rPr>
            </w:pPr>
            <w:r>
              <w:rPr>
                <w:color w:val="auto"/>
                <w:sz w:val="22"/>
                <w:szCs w:val="22"/>
              </w:rPr>
              <w:t>3.2</w:t>
            </w:r>
          </w:p>
        </w:tc>
        <w:tc>
          <w:tcPr>
            <w:tcW w:w="7994" w:type="dxa"/>
          </w:tcPr>
          <w:p w14:paraId="0B1DECE7">
            <w:pPr>
              <w:pStyle w:val="85"/>
              <w:jc w:val="both"/>
              <w:rPr>
                <w:color w:val="auto"/>
                <w:sz w:val="22"/>
                <w:szCs w:val="22"/>
              </w:rPr>
            </w:pPr>
            <w:r>
              <w:rPr>
                <w:color w:val="auto"/>
                <w:sz w:val="22"/>
                <w:szCs w:val="22"/>
              </w:rPr>
              <w:t>Однокоренные слова и формы одного и того же слова</w:t>
            </w:r>
          </w:p>
        </w:tc>
      </w:tr>
      <w:tr w14:paraId="590299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077" w:type="dxa"/>
          </w:tcPr>
          <w:p w14:paraId="2F582504">
            <w:pPr>
              <w:pStyle w:val="85"/>
              <w:jc w:val="center"/>
              <w:rPr>
                <w:color w:val="auto"/>
                <w:sz w:val="22"/>
                <w:szCs w:val="22"/>
              </w:rPr>
            </w:pPr>
            <w:r>
              <w:rPr>
                <w:color w:val="auto"/>
                <w:sz w:val="22"/>
                <w:szCs w:val="22"/>
              </w:rPr>
              <w:t>3.3</w:t>
            </w:r>
          </w:p>
        </w:tc>
        <w:tc>
          <w:tcPr>
            <w:tcW w:w="7994" w:type="dxa"/>
          </w:tcPr>
          <w:p w14:paraId="22567A9B">
            <w:pPr>
              <w:pStyle w:val="85"/>
              <w:jc w:val="both"/>
              <w:rPr>
                <w:color w:val="auto"/>
                <w:sz w:val="22"/>
                <w:szCs w:val="22"/>
              </w:rPr>
            </w:pPr>
            <w:r>
              <w:rPr>
                <w:color w:val="auto"/>
                <w:sz w:val="22"/>
                <w:szCs w:val="22"/>
              </w:rPr>
              <w:t>Корень, приставка, суффикс - значимые части слова</w:t>
            </w:r>
          </w:p>
        </w:tc>
      </w:tr>
      <w:tr w14:paraId="393579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077" w:type="dxa"/>
          </w:tcPr>
          <w:p w14:paraId="033DDAC0">
            <w:pPr>
              <w:pStyle w:val="85"/>
              <w:jc w:val="center"/>
              <w:rPr>
                <w:color w:val="auto"/>
                <w:sz w:val="22"/>
                <w:szCs w:val="22"/>
              </w:rPr>
            </w:pPr>
            <w:r>
              <w:rPr>
                <w:color w:val="auto"/>
                <w:sz w:val="22"/>
                <w:szCs w:val="22"/>
              </w:rPr>
              <w:t>3.4</w:t>
            </w:r>
          </w:p>
        </w:tc>
        <w:tc>
          <w:tcPr>
            <w:tcW w:w="7994" w:type="dxa"/>
          </w:tcPr>
          <w:p w14:paraId="5594AAE4">
            <w:pPr>
              <w:pStyle w:val="85"/>
              <w:jc w:val="both"/>
              <w:rPr>
                <w:color w:val="auto"/>
                <w:sz w:val="22"/>
                <w:szCs w:val="22"/>
              </w:rPr>
            </w:pPr>
            <w:r>
              <w:rPr>
                <w:color w:val="auto"/>
                <w:sz w:val="22"/>
                <w:szCs w:val="22"/>
              </w:rPr>
              <w:t>Нулевое окончание (ознакомление)</w:t>
            </w:r>
          </w:p>
        </w:tc>
      </w:tr>
      <w:tr w14:paraId="55353C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077" w:type="dxa"/>
          </w:tcPr>
          <w:p w14:paraId="33AC413F">
            <w:pPr>
              <w:pStyle w:val="85"/>
              <w:jc w:val="center"/>
              <w:rPr>
                <w:color w:val="auto"/>
                <w:sz w:val="22"/>
                <w:szCs w:val="22"/>
              </w:rPr>
            </w:pPr>
            <w:r>
              <w:rPr>
                <w:color w:val="auto"/>
                <w:sz w:val="22"/>
                <w:szCs w:val="22"/>
              </w:rPr>
              <w:t>3.5</w:t>
            </w:r>
          </w:p>
        </w:tc>
        <w:tc>
          <w:tcPr>
            <w:tcW w:w="7994" w:type="dxa"/>
          </w:tcPr>
          <w:p w14:paraId="534D690B">
            <w:pPr>
              <w:pStyle w:val="85"/>
              <w:jc w:val="both"/>
              <w:rPr>
                <w:color w:val="auto"/>
                <w:sz w:val="22"/>
                <w:szCs w:val="22"/>
              </w:rPr>
            </w:pPr>
            <w:r>
              <w:rPr>
                <w:color w:val="auto"/>
                <w:sz w:val="22"/>
                <w:szCs w:val="22"/>
              </w:rPr>
              <w:t>Выделение в словах с однозначно выделяемыми морфемами окончания, корня, приставки, суффикса</w:t>
            </w:r>
          </w:p>
        </w:tc>
      </w:tr>
      <w:tr w14:paraId="1D2754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077" w:type="dxa"/>
          </w:tcPr>
          <w:p w14:paraId="03B332D9">
            <w:pPr>
              <w:pStyle w:val="85"/>
              <w:jc w:val="center"/>
              <w:rPr>
                <w:color w:val="auto"/>
                <w:sz w:val="22"/>
                <w:szCs w:val="22"/>
              </w:rPr>
            </w:pPr>
            <w:r>
              <w:rPr>
                <w:color w:val="auto"/>
                <w:sz w:val="22"/>
                <w:szCs w:val="22"/>
              </w:rPr>
              <w:t>4</w:t>
            </w:r>
          </w:p>
        </w:tc>
        <w:tc>
          <w:tcPr>
            <w:tcW w:w="7994" w:type="dxa"/>
          </w:tcPr>
          <w:p w14:paraId="02030567">
            <w:pPr>
              <w:pStyle w:val="85"/>
              <w:jc w:val="both"/>
              <w:rPr>
                <w:color w:val="auto"/>
                <w:sz w:val="22"/>
                <w:szCs w:val="22"/>
              </w:rPr>
            </w:pPr>
            <w:r>
              <w:rPr>
                <w:color w:val="auto"/>
                <w:sz w:val="22"/>
                <w:szCs w:val="22"/>
              </w:rPr>
              <w:t>Морфология</w:t>
            </w:r>
          </w:p>
        </w:tc>
      </w:tr>
      <w:tr w14:paraId="3611ED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077" w:type="dxa"/>
          </w:tcPr>
          <w:p w14:paraId="4E3B8969">
            <w:pPr>
              <w:pStyle w:val="85"/>
              <w:jc w:val="center"/>
              <w:rPr>
                <w:color w:val="auto"/>
                <w:sz w:val="22"/>
                <w:szCs w:val="22"/>
              </w:rPr>
            </w:pPr>
            <w:r>
              <w:rPr>
                <w:color w:val="auto"/>
                <w:sz w:val="22"/>
                <w:szCs w:val="22"/>
              </w:rPr>
              <w:t>4.1</w:t>
            </w:r>
          </w:p>
        </w:tc>
        <w:tc>
          <w:tcPr>
            <w:tcW w:w="7994" w:type="dxa"/>
          </w:tcPr>
          <w:p w14:paraId="02F7E324">
            <w:pPr>
              <w:pStyle w:val="85"/>
              <w:jc w:val="both"/>
              <w:rPr>
                <w:color w:val="auto"/>
                <w:sz w:val="22"/>
                <w:szCs w:val="22"/>
              </w:rPr>
            </w:pPr>
            <w:r>
              <w:rPr>
                <w:color w:val="auto"/>
                <w:sz w:val="22"/>
                <w:szCs w:val="22"/>
              </w:rPr>
              <w:t>Имя существительное: общее значение, вопросы, употребление в речи</w:t>
            </w:r>
          </w:p>
        </w:tc>
      </w:tr>
      <w:tr w14:paraId="6403CF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077" w:type="dxa"/>
          </w:tcPr>
          <w:p w14:paraId="244DC4CC">
            <w:pPr>
              <w:pStyle w:val="85"/>
              <w:jc w:val="center"/>
              <w:rPr>
                <w:color w:val="auto"/>
                <w:sz w:val="22"/>
                <w:szCs w:val="22"/>
              </w:rPr>
            </w:pPr>
            <w:r>
              <w:rPr>
                <w:color w:val="auto"/>
                <w:sz w:val="22"/>
                <w:szCs w:val="22"/>
              </w:rPr>
              <w:t>4.2</w:t>
            </w:r>
          </w:p>
        </w:tc>
        <w:tc>
          <w:tcPr>
            <w:tcW w:w="7994" w:type="dxa"/>
          </w:tcPr>
          <w:p w14:paraId="3B2EE192">
            <w:pPr>
              <w:pStyle w:val="85"/>
              <w:jc w:val="both"/>
              <w:rPr>
                <w:color w:val="auto"/>
                <w:sz w:val="22"/>
                <w:szCs w:val="22"/>
              </w:rPr>
            </w:pPr>
            <w:r>
              <w:rPr>
                <w:color w:val="auto"/>
                <w:sz w:val="22"/>
                <w:szCs w:val="22"/>
              </w:rPr>
              <w:t>Имена существительные единственного и множественного числа</w:t>
            </w:r>
          </w:p>
        </w:tc>
      </w:tr>
      <w:tr w14:paraId="6DDA98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077" w:type="dxa"/>
          </w:tcPr>
          <w:p w14:paraId="170110E4">
            <w:pPr>
              <w:pStyle w:val="85"/>
              <w:jc w:val="center"/>
              <w:rPr>
                <w:color w:val="auto"/>
                <w:sz w:val="22"/>
                <w:szCs w:val="22"/>
              </w:rPr>
            </w:pPr>
            <w:r>
              <w:rPr>
                <w:color w:val="auto"/>
                <w:sz w:val="22"/>
                <w:szCs w:val="22"/>
              </w:rPr>
              <w:t>4.3</w:t>
            </w:r>
          </w:p>
        </w:tc>
        <w:tc>
          <w:tcPr>
            <w:tcW w:w="7994" w:type="dxa"/>
          </w:tcPr>
          <w:p w14:paraId="42EAF055">
            <w:pPr>
              <w:pStyle w:val="85"/>
              <w:jc w:val="both"/>
              <w:rPr>
                <w:color w:val="auto"/>
                <w:sz w:val="22"/>
                <w:szCs w:val="22"/>
              </w:rPr>
            </w:pPr>
            <w:r>
              <w:rPr>
                <w:color w:val="auto"/>
                <w:sz w:val="22"/>
                <w:szCs w:val="22"/>
              </w:rPr>
              <w:t>Имена существительные мужского, женского и среднего рода</w:t>
            </w:r>
          </w:p>
        </w:tc>
      </w:tr>
      <w:tr w14:paraId="6A8A3E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077" w:type="dxa"/>
          </w:tcPr>
          <w:p w14:paraId="41061EA8">
            <w:pPr>
              <w:pStyle w:val="85"/>
              <w:jc w:val="center"/>
              <w:rPr>
                <w:color w:val="auto"/>
                <w:sz w:val="22"/>
                <w:szCs w:val="22"/>
              </w:rPr>
            </w:pPr>
            <w:r>
              <w:rPr>
                <w:color w:val="auto"/>
                <w:sz w:val="22"/>
                <w:szCs w:val="22"/>
              </w:rPr>
              <w:t>4.4</w:t>
            </w:r>
          </w:p>
        </w:tc>
        <w:tc>
          <w:tcPr>
            <w:tcW w:w="7994" w:type="dxa"/>
          </w:tcPr>
          <w:p w14:paraId="4DD55B9C">
            <w:pPr>
              <w:pStyle w:val="85"/>
              <w:jc w:val="both"/>
              <w:rPr>
                <w:color w:val="auto"/>
                <w:sz w:val="22"/>
                <w:szCs w:val="22"/>
              </w:rPr>
            </w:pPr>
            <w:r>
              <w:rPr>
                <w:color w:val="auto"/>
                <w:sz w:val="22"/>
                <w:szCs w:val="22"/>
              </w:rPr>
              <w:t>Падеж имен существительных. Определение падежа, в котором употреблено имя существительное</w:t>
            </w:r>
          </w:p>
        </w:tc>
      </w:tr>
      <w:tr w14:paraId="1790A1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077" w:type="dxa"/>
          </w:tcPr>
          <w:p w14:paraId="68138EB3">
            <w:pPr>
              <w:pStyle w:val="85"/>
              <w:jc w:val="center"/>
              <w:rPr>
                <w:color w:val="auto"/>
                <w:sz w:val="22"/>
                <w:szCs w:val="22"/>
              </w:rPr>
            </w:pPr>
            <w:r>
              <w:rPr>
                <w:color w:val="auto"/>
                <w:sz w:val="22"/>
                <w:szCs w:val="22"/>
              </w:rPr>
              <w:t>4.5</w:t>
            </w:r>
          </w:p>
        </w:tc>
        <w:tc>
          <w:tcPr>
            <w:tcW w:w="7994" w:type="dxa"/>
          </w:tcPr>
          <w:p w14:paraId="610AD00D">
            <w:pPr>
              <w:pStyle w:val="85"/>
              <w:jc w:val="both"/>
              <w:rPr>
                <w:color w:val="auto"/>
                <w:sz w:val="22"/>
                <w:szCs w:val="22"/>
              </w:rPr>
            </w:pPr>
            <w:r>
              <w:rPr>
                <w:color w:val="auto"/>
                <w:sz w:val="22"/>
                <w:szCs w:val="22"/>
              </w:rPr>
              <w:t>Изменение имен существительных по падежам и числам (склонение). Имена существительные 1-го, 2-го, 3-го склонений</w:t>
            </w:r>
          </w:p>
        </w:tc>
      </w:tr>
      <w:tr w14:paraId="2A060E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077" w:type="dxa"/>
          </w:tcPr>
          <w:p w14:paraId="1B422E09">
            <w:pPr>
              <w:pStyle w:val="85"/>
              <w:jc w:val="center"/>
              <w:rPr>
                <w:color w:val="auto"/>
                <w:sz w:val="22"/>
                <w:szCs w:val="22"/>
              </w:rPr>
            </w:pPr>
            <w:r>
              <w:rPr>
                <w:color w:val="auto"/>
                <w:sz w:val="22"/>
                <w:szCs w:val="22"/>
              </w:rPr>
              <w:t>4.6</w:t>
            </w:r>
          </w:p>
        </w:tc>
        <w:tc>
          <w:tcPr>
            <w:tcW w:w="7994" w:type="dxa"/>
          </w:tcPr>
          <w:p w14:paraId="287CD0E7">
            <w:pPr>
              <w:pStyle w:val="85"/>
              <w:jc w:val="both"/>
              <w:rPr>
                <w:color w:val="auto"/>
                <w:sz w:val="22"/>
                <w:szCs w:val="22"/>
              </w:rPr>
            </w:pPr>
            <w:r>
              <w:rPr>
                <w:color w:val="auto"/>
                <w:sz w:val="22"/>
                <w:szCs w:val="22"/>
              </w:rPr>
              <w:t>Имена существительные одушевленные и неодушевленные</w:t>
            </w:r>
          </w:p>
        </w:tc>
      </w:tr>
      <w:tr w14:paraId="7012B3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077" w:type="dxa"/>
          </w:tcPr>
          <w:p w14:paraId="4CBF8927">
            <w:pPr>
              <w:pStyle w:val="85"/>
              <w:jc w:val="center"/>
              <w:rPr>
                <w:color w:val="auto"/>
                <w:sz w:val="22"/>
                <w:szCs w:val="22"/>
              </w:rPr>
            </w:pPr>
            <w:r>
              <w:rPr>
                <w:color w:val="auto"/>
                <w:sz w:val="22"/>
                <w:szCs w:val="22"/>
              </w:rPr>
              <w:t>4.7</w:t>
            </w:r>
          </w:p>
        </w:tc>
        <w:tc>
          <w:tcPr>
            <w:tcW w:w="7994" w:type="dxa"/>
          </w:tcPr>
          <w:p w14:paraId="222DE8E2">
            <w:pPr>
              <w:pStyle w:val="85"/>
              <w:jc w:val="both"/>
              <w:rPr>
                <w:color w:val="auto"/>
                <w:sz w:val="22"/>
                <w:szCs w:val="22"/>
              </w:rPr>
            </w:pPr>
            <w:r>
              <w:rPr>
                <w:color w:val="auto"/>
                <w:sz w:val="22"/>
                <w:szCs w:val="22"/>
              </w:rPr>
              <w:t>Имя прилагательное: общее значение, вопросы, употребление в речи. Зависимость формы имени прилагательного от формы имени существительного</w:t>
            </w:r>
          </w:p>
        </w:tc>
      </w:tr>
      <w:tr w14:paraId="61A131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077" w:type="dxa"/>
          </w:tcPr>
          <w:p w14:paraId="0D7CAC7A">
            <w:pPr>
              <w:pStyle w:val="85"/>
              <w:jc w:val="center"/>
              <w:rPr>
                <w:color w:val="auto"/>
                <w:sz w:val="22"/>
                <w:szCs w:val="22"/>
              </w:rPr>
            </w:pPr>
            <w:r>
              <w:rPr>
                <w:color w:val="auto"/>
                <w:sz w:val="22"/>
                <w:szCs w:val="22"/>
              </w:rPr>
              <w:t>4.8</w:t>
            </w:r>
          </w:p>
        </w:tc>
        <w:tc>
          <w:tcPr>
            <w:tcW w:w="7994" w:type="dxa"/>
          </w:tcPr>
          <w:p w14:paraId="18C92FA3">
            <w:pPr>
              <w:pStyle w:val="85"/>
              <w:jc w:val="both"/>
              <w:rPr>
                <w:color w:val="auto"/>
                <w:sz w:val="22"/>
                <w:szCs w:val="22"/>
              </w:rPr>
            </w:pPr>
            <w:r>
              <w:rPr>
                <w:color w:val="auto"/>
                <w:sz w:val="22"/>
                <w:szCs w:val="22"/>
              </w:rPr>
              <w:t>Изменение имен прилагательных по родам, числам и падежам (кроме имен прилагательных на -ий, -ов, -ин). Склонение имен прилагательных</w:t>
            </w:r>
          </w:p>
        </w:tc>
      </w:tr>
      <w:tr w14:paraId="132BB8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077" w:type="dxa"/>
          </w:tcPr>
          <w:p w14:paraId="52E90253">
            <w:pPr>
              <w:pStyle w:val="85"/>
              <w:jc w:val="center"/>
              <w:rPr>
                <w:color w:val="auto"/>
                <w:sz w:val="22"/>
                <w:szCs w:val="22"/>
              </w:rPr>
            </w:pPr>
            <w:r>
              <w:rPr>
                <w:color w:val="auto"/>
                <w:sz w:val="22"/>
                <w:szCs w:val="22"/>
              </w:rPr>
              <w:t>4.9</w:t>
            </w:r>
          </w:p>
        </w:tc>
        <w:tc>
          <w:tcPr>
            <w:tcW w:w="7994" w:type="dxa"/>
          </w:tcPr>
          <w:p w14:paraId="71372E91">
            <w:pPr>
              <w:pStyle w:val="85"/>
              <w:jc w:val="both"/>
              <w:rPr>
                <w:color w:val="auto"/>
                <w:sz w:val="22"/>
                <w:szCs w:val="22"/>
              </w:rPr>
            </w:pPr>
            <w:r>
              <w:rPr>
                <w:color w:val="auto"/>
                <w:sz w:val="22"/>
                <w:szCs w:val="22"/>
              </w:rPr>
              <w:t>Местоимение (общее представление)</w:t>
            </w:r>
          </w:p>
        </w:tc>
      </w:tr>
      <w:tr w14:paraId="17AB28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077" w:type="dxa"/>
          </w:tcPr>
          <w:p w14:paraId="1C70D744">
            <w:pPr>
              <w:pStyle w:val="85"/>
              <w:jc w:val="center"/>
              <w:rPr>
                <w:color w:val="auto"/>
                <w:sz w:val="22"/>
                <w:szCs w:val="22"/>
              </w:rPr>
            </w:pPr>
            <w:r>
              <w:rPr>
                <w:color w:val="auto"/>
                <w:sz w:val="22"/>
                <w:szCs w:val="22"/>
              </w:rPr>
              <w:t>4.10</w:t>
            </w:r>
          </w:p>
        </w:tc>
        <w:tc>
          <w:tcPr>
            <w:tcW w:w="7994" w:type="dxa"/>
          </w:tcPr>
          <w:p w14:paraId="52E8F984">
            <w:pPr>
              <w:pStyle w:val="85"/>
              <w:jc w:val="both"/>
              <w:rPr>
                <w:color w:val="auto"/>
                <w:sz w:val="22"/>
                <w:szCs w:val="22"/>
              </w:rPr>
            </w:pPr>
            <w:r>
              <w:rPr>
                <w:color w:val="auto"/>
                <w:sz w:val="22"/>
                <w:szCs w:val="22"/>
              </w:rPr>
              <w:t>Личные местоимения, их употребление в речи</w:t>
            </w:r>
          </w:p>
        </w:tc>
      </w:tr>
      <w:tr w14:paraId="304A53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077" w:type="dxa"/>
          </w:tcPr>
          <w:p w14:paraId="566C0261">
            <w:pPr>
              <w:pStyle w:val="85"/>
              <w:jc w:val="center"/>
              <w:rPr>
                <w:color w:val="auto"/>
                <w:sz w:val="22"/>
                <w:szCs w:val="22"/>
              </w:rPr>
            </w:pPr>
            <w:r>
              <w:rPr>
                <w:color w:val="auto"/>
                <w:sz w:val="22"/>
                <w:szCs w:val="22"/>
              </w:rPr>
              <w:t>4.11</w:t>
            </w:r>
          </w:p>
        </w:tc>
        <w:tc>
          <w:tcPr>
            <w:tcW w:w="7994" w:type="dxa"/>
          </w:tcPr>
          <w:p w14:paraId="3FF9E3B9">
            <w:pPr>
              <w:pStyle w:val="85"/>
              <w:jc w:val="both"/>
              <w:rPr>
                <w:color w:val="auto"/>
                <w:sz w:val="22"/>
                <w:szCs w:val="22"/>
              </w:rPr>
            </w:pPr>
            <w:r>
              <w:rPr>
                <w:color w:val="auto"/>
                <w:sz w:val="22"/>
                <w:szCs w:val="22"/>
              </w:rPr>
              <w:t>Использование личных местоимений для устранения неоправданных повторов в тексте</w:t>
            </w:r>
          </w:p>
        </w:tc>
      </w:tr>
      <w:tr w14:paraId="2972D7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077" w:type="dxa"/>
          </w:tcPr>
          <w:p w14:paraId="4D16E016">
            <w:pPr>
              <w:pStyle w:val="85"/>
              <w:jc w:val="center"/>
              <w:rPr>
                <w:color w:val="auto"/>
                <w:sz w:val="22"/>
                <w:szCs w:val="22"/>
              </w:rPr>
            </w:pPr>
            <w:r>
              <w:rPr>
                <w:color w:val="auto"/>
                <w:sz w:val="22"/>
                <w:szCs w:val="22"/>
              </w:rPr>
              <w:t>4.12</w:t>
            </w:r>
          </w:p>
        </w:tc>
        <w:tc>
          <w:tcPr>
            <w:tcW w:w="7994" w:type="dxa"/>
          </w:tcPr>
          <w:p w14:paraId="33E681A0">
            <w:pPr>
              <w:pStyle w:val="85"/>
              <w:jc w:val="both"/>
              <w:rPr>
                <w:color w:val="auto"/>
                <w:sz w:val="22"/>
                <w:szCs w:val="22"/>
              </w:rPr>
            </w:pPr>
            <w:r>
              <w:rPr>
                <w:color w:val="auto"/>
                <w:sz w:val="22"/>
                <w:szCs w:val="22"/>
              </w:rPr>
              <w:t>Глагол: общее значение, вопросы, употребление в речи</w:t>
            </w:r>
          </w:p>
        </w:tc>
      </w:tr>
      <w:tr w14:paraId="3495C3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077" w:type="dxa"/>
          </w:tcPr>
          <w:p w14:paraId="156A6984">
            <w:pPr>
              <w:pStyle w:val="85"/>
              <w:jc w:val="center"/>
              <w:rPr>
                <w:color w:val="auto"/>
                <w:sz w:val="22"/>
                <w:szCs w:val="22"/>
              </w:rPr>
            </w:pPr>
            <w:r>
              <w:rPr>
                <w:color w:val="auto"/>
                <w:sz w:val="22"/>
                <w:szCs w:val="22"/>
              </w:rPr>
              <w:t>4.13</w:t>
            </w:r>
          </w:p>
        </w:tc>
        <w:tc>
          <w:tcPr>
            <w:tcW w:w="7994" w:type="dxa"/>
          </w:tcPr>
          <w:p w14:paraId="767D2508">
            <w:pPr>
              <w:pStyle w:val="85"/>
              <w:jc w:val="both"/>
              <w:rPr>
                <w:color w:val="auto"/>
                <w:sz w:val="22"/>
                <w:szCs w:val="22"/>
              </w:rPr>
            </w:pPr>
            <w:r>
              <w:rPr>
                <w:color w:val="auto"/>
                <w:sz w:val="22"/>
                <w:szCs w:val="22"/>
              </w:rPr>
              <w:t>Неопределенная форма глагола</w:t>
            </w:r>
          </w:p>
        </w:tc>
      </w:tr>
      <w:tr w14:paraId="668C30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077" w:type="dxa"/>
          </w:tcPr>
          <w:p w14:paraId="45D0957C">
            <w:pPr>
              <w:pStyle w:val="85"/>
              <w:jc w:val="center"/>
              <w:rPr>
                <w:color w:val="auto"/>
                <w:sz w:val="22"/>
                <w:szCs w:val="22"/>
              </w:rPr>
            </w:pPr>
            <w:r>
              <w:rPr>
                <w:color w:val="auto"/>
                <w:sz w:val="22"/>
                <w:szCs w:val="22"/>
              </w:rPr>
              <w:t>4.14</w:t>
            </w:r>
          </w:p>
        </w:tc>
        <w:tc>
          <w:tcPr>
            <w:tcW w:w="7994" w:type="dxa"/>
          </w:tcPr>
          <w:p w14:paraId="38B1BB75">
            <w:pPr>
              <w:pStyle w:val="85"/>
              <w:jc w:val="both"/>
              <w:rPr>
                <w:color w:val="auto"/>
                <w:sz w:val="22"/>
                <w:szCs w:val="22"/>
              </w:rPr>
            </w:pPr>
            <w:r>
              <w:rPr>
                <w:color w:val="auto"/>
                <w:sz w:val="22"/>
                <w:szCs w:val="22"/>
              </w:rPr>
              <w:t>Настоящее, будущее, прошедшее время глаголов</w:t>
            </w:r>
          </w:p>
        </w:tc>
      </w:tr>
      <w:tr w14:paraId="0C579F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077" w:type="dxa"/>
          </w:tcPr>
          <w:p w14:paraId="442C89EA">
            <w:pPr>
              <w:pStyle w:val="85"/>
              <w:jc w:val="center"/>
              <w:rPr>
                <w:color w:val="auto"/>
                <w:sz w:val="22"/>
                <w:szCs w:val="22"/>
              </w:rPr>
            </w:pPr>
            <w:r>
              <w:rPr>
                <w:color w:val="auto"/>
                <w:sz w:val="22"/>
                <w:szCs w:val="22"/>
              </w:rPr>
              <w:t>4.15</w:t>
            </w:r>
          </w:p>
        </w:tc>
        <w:tc>
          <w:tcPr>
            <w:tcW w:w="7994" w:type="dxa"/>
          </w:tcPr>
          <w:p w14:paraId="3E7934B8">
            <w:pPr>
              <w:pStyle w:val="85"/>
              <w:jc w:val="both"/>
              <w:rPr>
                <w:color w:val="auto"/>
                <w:sz w:val="22"/>
                <w:szCs w:val="22"/>
              </w:rPr>
            </w:pPr>
            <w:r>
              <w:rPr>
                <w:color w:val="auto"/>
                <w:sz w:val="22"/>
                <w:szCs w:val="22"/>
              </w:rPr>
              <w:t>Изменение глаголов по временам, числам</w:t>
            </w:r>
          </w:p>
        </w:tc>
      </w:tr>
      <w:tr w14:paraId="519AA7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077" w:type="dxa"/>
          </w:tcPr>
          <w:p w14:paraId="2E5F67F0">
            <w:pPr>
              <w:pStyle w:val="85"/>
              <w:jc w:val="center"/>
              <w:rPr>
                <w:color w:val="auto"/>
                <w:sz w:val="22"/>
                <w:szCs w:val="22"/>
              </w:rPr>
            </w:pPr>
            <w:r>
              <w:rPr>
                <w:color w:val="auto"/>
                <w:sz w:val="22"/>
                <w:szCs w:val="22"/>
              </w:rPr>
              <w:t>4.16</w:t>
            </w:r>
          </w:p>
        </w:tc>
        <w:tc>
          <w:tcPr>
            <w:tcW w:w="7994" w:type="dxa"/>
          </w:tcPr>
          <w:p w14:paraId="0907D3E7">
            <w:pPr>
              <w:pStyle w:val="85"/>
              <w:jc w:val="both"/>
              <w:rPr>
                <w:color w:val="auto"/>
                <w:sz w:val="22"/>
                <w:szCs w:val="22"/>
              </w:rPr>
            </w:pPr>
            <w:r>
              <w:rPr>
                <w:color w:val="auto"/>
                <w:sz w:val="22"/>
                <w:szCs w:val="22"/>
              </w:rPr>
              <w:t>Род глаголов в прошедшем времени</w:t>
            </w:r>
          </w:p>
        </w:tc>
      </w:tr>
      <w:tr w14:paraId="3FD772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077" w:type="dxa"/>
          </w:tcPr>
          <w:p w14:paraId="31177874">
            <w:pPr>
              <w:pStyle w:val="85"/>
              <w:jc w:val="center"/>
              <w:rPr>
                <w:color w:val="auto"/>
                <w:sz w:val="22"/>
                <w:szCs w:val="22"/>
              </w:rPr>
            </w:pPr>
            <w:r>
              <w:rPr>
                <w:color w:val="auto"/>
                <w:sz w:val="22"/>
                <w:szCs w:val="22"/>
              </w:rPr>
              <w:t>4.17</w:t>
            </w:r>
          </w:p>
        </w:tc>
        <w:tc>
          <w:tcPr>
            <w:tcW w:w="7994" w:type="dxa"/>
          </w:tcPr>
          <w:p w14:paraId="232B8D79">
            <w:pPr>
              <w:pStyle w:val="85"/>
              <w:jc w:val="both"/>
              <w:rPr>
                <w:color w:val="auto"/>
                <w:sz w:val="22"/>
                <w:szCs w:val="22"/>
              </w:rPr>
            </w:pPr>
            <w:r>
              <w:rPr>
                <w:color w:val="auto"/>
                <w:sz w:val="22"/>
                <w:szCs w:val="22"/>
              </w:rPr>
              <w:t>Частица не, ее значение</w:t>
            </w:r>
          </w:p>
        </w:tc>
      </w:tr>
      <w:tr w14:paraId="12DB32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077" w:type="dxa"/>
          </w:tcPr>
          <w:p w14:paraId="791AD218">
            <w:pPr>
              <w:pStyle w:val="85"/>
              <w:jc w:val="center"/>
              <w:rPr>
                <w:color w:val="auto"/>
                <w:sz w:val="22"/>
                <w:szCs w:val="22"/>
              </w:rPr>
            </w:pPr>
            <w:r>
              <w:rPr>
                <w:color w:val="auto"/>
                <w:sz w:val="22"/>
                <w:szCs w:val="22"/>
              </w:rPr>
              <w:t>5</w:t>
            </w:r>
          </w:p>
        </w:tc>
        <w:tc>
          <w:tcPr>
            <w:tcW w:w="7994" w:type="dxa"/>
          </w:tcPr>
          <w:p w14:paraId="0E9BF424">
            <w:pPr>
              <w:pStyle w:val="85"/>
              <w:jc w:val="both"/>
              <w:rPr>
                <w:color w:val="auto"/>
                <w:sz w:val="22"/>
                <w:szCs w:val="22"/>
              </w:rPr>
            </w:pPr>
            <w:r>
              <w:rPr>
                <w:color w:val="auto"/>
                <w:sz w:val="22"/>
                <w:szCs w:val="22"/>
              </w:rPr>
              <w:t>Синтаксис</w:t>
            </w:r>
          </w:p>
        </w:tc>
      </w:tr>
      <w:tr w14:paraId="5E1EBE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077" w:type="dxa"/>
          </w:tcPr>
          <w:p w14:paraId="217DA4CF">
            <w:pPr>
              <w:pStyle w:val="85"/>
              <w:jc w:val="center"/>
              <w:rPr>
                <w:color w:val="auto"/>
                <w:sz w:val="22"/>
                <w:szCs w:val="22"/>
              </w:rPr>
            </w:pPr>
            <w:r>
              <w:rPr>
                <w:color w:val="auto"/>
                <w:sz w:val="22"/>
                <w:szCs w:val="22"/>
              </w:rPr>
              <w:t>5.1</w:t>
            </w:r>
          </w:p>
        </w:tc>
        <w:tc>
          <w:tcPr>
            <w:tcW w:w="7994" w:type="dxa"/>
          </w:tcPr>
          <w:p w14:paraId="7C33169A">
            <w:pPr>
              <w:pStyle w:val="85"/>
              <w:jc w:val="both"/>
              <w:rPr>
                <w:color w:val="auto"/>
                <w:sz w:val="22"/>
                <w:szCs w:val="22"/>
              </w:rPr>
            </w:pPr>
            <w:r>
              <w:rPr>
                <w:color w:val="auto"/>
                <w:sz w:val="22"/>
                <w:szCs w:val="22"/>
              </w:rPr>
              <w:t>Предложение</w:t>
            </w:r>
          </w:p>
        </w:tc>
      </w:tr>
      <w:tr w14:paraId="023C45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077" w:type="dxa"/>
          </w:tcPr>
          <w:p w14:paraId="5B52D5D9">
            <w:pPr>
              <w:pStyle w:val="85"/>
              <w:jc w:val="center"/>
              <w:rPr>
                <w:color w:val="auto"/>
                <w:sz w:val="22"/>
                <w:szCs w:val="22"/>
              </w:rPr>
            </w:pPr>
            <w:r>
              <w:rPr>
                <w:color w:val="auto"/>
                <w:sz w:val="22"/>
                <w:szCs w:val="22"/>
              </w:rPr>
              <w:t>5.2</w:t>
            </w:r>
          </w:p>
        </w:tc>
        <w:tc>
          <w:tcPr>
            <w:tcW w:w="7994" w:type="dxa"/>
          </w:tcPr>
          <w:p w14:paraId="10786F07">
            <w:pPr>
              <w:pStyle w:val="85"/>
              <w:jc w:val="both"/>
              <w:rPr>
                <w:color w:val="auto"/>
                <w:sz w:val="22"/>
                <w:szCs w:val="22"/>
              </w:rPr>
            </w:pPr>
            <w:r>
              <w:rPr>
                <w:color w:val="auto"/>
                <w:sz w:val="22"/>
                <w:szCs w:val="22"/>
              </w:rPr>
              <w:t>Установление при помощи смысловых (синтаксических) вопросов связи между словами в предложении</w:t>
            </w:r>
          </w:p>
        </w:tc>
      </w:tr>
      <w:tr w14:paraId="55FEA5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077" w:type="dxa"/>
          </w:tcPr>
          <w:p w14:paraId="617D080B">
            <w:pPr>
              <w:pStyle w:val="85"/>
              <w:jc w:val="center"/>
              <w:rPr>
                <w:color w:val="auto"/>
                <w:sz w:val="22"/>
                <w:szCs w:val="22"/>
              </w:rPr>
            </w:pPr>
            <w:r>
              <w:rPr>
                <w:color w:val="auto"/>
                <w:sz w:val="22"/>
                <w:szCs w:val="22"/>
              </w:rPr>
              <w:t>5.3</w:t>
            </w:r>
          </w:p>
        </w:tc>
        <w:tc>
          <w:tcPr>
            <w:tcW w:w="7994" w:type="dxa"/>
          </w:tcPr>
          <w:p w14:paraId="4847DAC2">
            <w:pPr>
              <w:pStyle w:val="85"/>
              <w:jc w:val="both"/>
              <w:rPr>
                <w:color w:val="auto"/>
                <w:sz w:val="22"/>
                <w:szCs w:val="22"/>
              </w:rPr>
            </w:pPr>
            <w:r>
              <w:rPr>
                <w:color w:val="auto"/>
                <w:sz w:val="22"/>
                <w:szCs w:val="22"/>
              </w:rPr>
              <w:t>Главные члены предложения - подлежащее и сказуемое</w:t>
            </w:r>
          </w:p>
        </w:tc>
      </w:tr>
      <w:tr w14:paraId="7EBC1F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077" w:type="dxa"/>
          </w:tcPr>
          <w:p w14:paraId="3F28AE31">
            <w:pPr>
              <w:pStyle w:val="85"/>
              <w:jc w:val="center"/>
              <w:rPr>
                <w:color w:val="auto"/>
                <w:sz w:val="22"/>
                <w:szCs w:val="22"/>
              </w:rPr>
            </w:pPr>
            <w:r>
              <w:rPr>
                <w:color w:val="auto"/>
                <w:sz w:val="22"/>
                <w:szCs w:val="22"/>
              </w:rPr>
              <w:t>5.4</w:t>
            </w:r>
          </w:p>
        </w:tc>
        <w:tc>
          <w:tcPr>
            <w:tcW w:w="7994" w:type="dxa"/>
          </w:tcPr>
          <w:p w14:paraId="692D0917">
            <w:pPr>
              <w:pStyle w:val="85"/>
              <w:jc w:val="both"/>
              <w:rPr>
                <w:color w:val="auto"/>
                <w:sz w:val="22"/>
                <w:szCs w:val="22"/>
              </w:rPr>
            </w:pPr>
            <w:r>
              <w:rPr>
                <w:color w:val="auto"/>
                <w:sz w:val="22"/>
                <w:szCs w:val="22"/>
              </w:rPr>
              <w:t>Второстепенные члены предложения (без деления на виды)</w:t>
            </w:r>
          </w:p>
        </w:tc>
      </w:tr>
      <w:tr w14:paraId="5232DE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077" w:type="dxa"/>
          </w:tcPr>
          <w:p w14:paraId="7B1D5F7D">
            <w:pPr>
              <w:pStyle w:val="85"/>
              <w:jc w:val="center"/>
              <w:rPr>
                <w:color w:val="auto"/>
                <w:sz w:val="22"/>
                <w:szCs w:val="22"/>
              </w:rPr>
            </w:pPr>
            <w:r>
              <w:rPr>
                <w:color w:val="auto"/>
                <w:sz w:val="22"/>
                <w:szCs w:val="22"/>
              </w:rPr>
              <w:t>5.5</w:t>
            </w:r>
          </w:p>
        </w:tc>
        <w:tc>
          <w:tcPr>
            <w:tcW w:w="7994" w:type="dxa"/>
          </w:tcPr>
          <w:p w14:paraId="1BDAC3A9">
            <w:pPr>
              <w:pStyle w:val="85"/>
              <w:jc w:val="both"/>
              <w:rPr>
                <w:color w:val="auto"/>
                <w:sz w:val="22"/>
                <w:szCs w:val="22"/>
              </w:rPr>
            </w:pPr>
            <w:r>
              <w:rPr>
                <w:color w:val="auto"/>
                <w:sz w:val="22"/>
                <w:szCs w:val="22"/>
              </w:rPr>
              <w:t>Предложения распространенные и нераспространенные</w:t>
            </w:r>
          </w:p>
        </w:tc>
      </w:tr>
      <w:tr w14:paraId="0C15C5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077" w:type="dxa"/>
          </w:tcPr>
          <w:p w14:paraId="11272061">
            <w:pPr>
              <w:pStyle w:val="85"/>
              <w:jc w:val="center"/>
              <w:rPr>
                <w:color w:val="auto"/>
                <w:sz w:val="22"/>
                <w:szCs w:val="22"/>
              </w:rPr>
            </w:pPr>
            <w:r>
              <w:rPr>
                <w:color w:val="auto"/>
                <w:sz w:val="22"/>
                <w:szCs w:val="22"/>
              </w:rPr>
              <w:t>5.6</w:t>
            </w:r>
          </w:p>
        </w:tc>
        <w:tc>
          <w:tcPr>
            <w:tcW w:w="7994" w:type="dxa"/>
          </w:tcPr>
          <w:p w14:paraId="1919E63F">
            <w:pPr>
              <w:pStyle w:val="85"/>
              <w:jc w:val="both"/>
              <w:rPr>
                <w:color w:val="auto"/>
                <w:sz w:val="22"/>
                <w:szCs w:val="22"/>
              </w:rPr>
            </w:pPr>
            <w:r>
              <w:rPr>
                <w:color w:val="auto"/>
                <w:sz w:val="22"/>
                <w:szCs w:val="22"/>
              </w:rPr>
              <w:t>Наблюдение за однородными членами предложения с союзами и, а, но и без союзов</w:t>
            </w:r>
          </w:p>
        </w:tc>
      </w:tr>
      <w:tr w14:paraId="484950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077" w:type="dxa"/>
          </w:tcPr>
          <w:p w14:paraId="1114DA67">
            <w:pPr>
              <w:pStyle w:val="85"/>
              <w:jc w:val="center"/>
              <w:rPr>
                <w:color w:val="auto"/>
                <w:sz w:val="22"/>
                <w:szCs w:val="22"/>
              </w:rPr>
            </w:pPr>
            <w:r>
              <w:rPr>
                <w:color w:val="auto"/>
                <w:sz w:val="22"/>
                <w:szCs w:val="22"/>
              </w:rPr>
              <w:t>6</w:t>
            </w:r>
          </w:p>
        </w:tc>
        <w:tc>
          <w:tcPr>
            <w:tcW w:w="7994" w:type="dxa"/>
          </w:tcPr>
          <w:p w14:paraId="33E11D5D">
            <w:pPr>
              <w:pStyle w:val="85"/>
              <w:jc w:val="both"/>
              <w:rPr>
                <w:color w:val="auto"/>
                <w:sz w:val="22"/>
                <w:szCs w:val="22"/>
              </w:rPr>
            </w:pPr>
            <w:r>
              <w:rPr>
                <w:color w:val="auto"/>
                <w:sz w:val="22"/>
                <w:szCs w:val="22"/>
              </w:rPr>
              <w:t>Орфография и пунктуация</w:t>
            </w:r>
          </w:p>
        </w:tc>
      </w:tr>
      <w:tr w14:paraId="50E5A7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077" w:type="dxa"/>
          </w:tcPr>
          <w:p w14:paraId="5A9D82CC">
            <w:pPr>
              <w:pStyle w:val="85"/>
              <w:jc w:val="center"/>
              <w:rPr>
                <w:color w:val="auto"/>
                <w:sz w:val="22"/>
                <w:szCs w:val="22"/>
              </w:rPr>
            </w:pPr>
            <w:r>
              <w:rPr>
                <w:color w:val="auto"/>
                <w:sz w:val="22"/>
                <w:szCs w:val="22"/>
              </w:rPr>
              <w:t>6.1</w:t>
            </w:r>
          </w:p>
        </w:tc>
        <w:tc>
          <w:tcPr>
            <w:tcW w:w="7994" w:type="dxa"/>
          </w:tcPr>
          <w:p w14:paraId="67CAD1C9">
            <w:pPr>
              <w:pStyle w:val="85"/>
              <w:jc w:val="both"/>
              <w:rPr>
                <w:color w:val="auto"/>
                <w:sz w:val="22"/>
                <w:szCs w:val="22"/>
              </w:rPr>
            </w:pPr>
            <w:r>
              <w:rPr>
                <w:color w:val="auto"/>
                <w:sz w:val="22"/>
                <w:szCs w:val="22"/>
              </w:rPr>
              <w:t>Орфографическая зоркость как осознание места возможного возникновения орфографической ошибки, различные способы решения орфографической задачи в зависимости от места орфограммы в слове; контроль и самоконтроль при проверке собственных и предложенных текстов (повторение и применение на новом орфографическом материале)</w:t>
            </w:r>
          </w:p>
        </w:tc>
      </w:tr>
      <w:tr w14:paraId="4E0375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077" w:type="dxa"/>
          </w:tcPr>
          <w:p w14:paraId="33393233">
            <w:pPr>
              <w:pStyle w:val="85"/>
              <w:jc w:val="center"/>
              <w:rPr>
                <w:color w:val="auto"/>
                <w:sz w:val="22"/>
                <w:szCs w:val="22"/>
              </w:rPr>
            </w:pPr>
            <w:r>
              <w:rPr>
                <w:color w:val="auto"/>
                <w:sz w:val="22"/>
                <w:szCs w:val="22"/>
              </w:rPr>
              <w:t>6.2</w:t>
            </w:r>
          </w:p>
        </w:tc>
        <w:tc>
          <w:tcPr>
            <w:tcW w:w="7994" w:type="dxa"/>
          </w:tcPr>
          <w:p w14:paraId="3390EAC1">
            <w:pPr>
              <w:pStyle w:val="85"/>
              <w:jc w:val="both"/>
              <w:rPr>
                <w:color w:val="auto"/>
                <w:sz w:val="22"/>
                <w:szCs w:val="22"/>
              </w:rPr>
            </w:pPr>
            <w:r>
              <w:rPr>
                <w:color w:val="auto"/>
                <w:sz w:val="22"/>
                <w:szCs w:val="22"/>
              </w:rPr>
              <w:t>Использование орфографического словаря для определения (уточнения) написания слова</w:t>
            </w:r>
          </w:p>
        </w:tc>
      </w:tr>
      <w:tr w14:paraId="6B846A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077" w:type="dxa"/>
          </w:tcPr>
          <w:p w14:paraId="57E8616F">
            <w:pPr>
              <w:pStyle w:val="85"/>
              <w:jc w:val="center"/>
              <w:rPr>
                <w:color w:val="auto"/>
                <w:sz w:val="22"/>
                <w:szCs w:val="22"/>
              </w:rPr>
            </w:pPr>
            <w:r>
              <w:rPr>
                <w:color w:val="auto"/>
                <w:sz w:val="22"/>
                <w:szCs w:val="22"/>
              </w:rPr>
              <w:t>6.3</w:t>
            </w:r>
          </w:p>
        </w:tc>
        <w:tc>
          <w:tcPr>
            <w:tcW w:w="7994" w:type="dxa"/>
          </w:tcPr>
          <w:p w14:paraId="2FEAFCC1">
            <w:pPr>
              <w:pStyle w:val="85"/>
              <w:jc w:val="both"/>
              <w:rPr>
                <w:color w:val="auto"/>
                <w:sz w:val="22"/>
                <w:szCs w:val="22"/>
              </w:rPr>
            </w:pPr>
            <w:r>
              <w:rPr>
                <w:color w:val="auto"/>
                <w:sz w:val="22"/>
                <w:szCs w:val="22"/>
              </w:rPr>
              <w:t>Разделительный твердый знак</w:t>
            </w:r>
          </w:p>
        </w:tc>
      </w:tr>
      <w:tr w14:paraId="4F508C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077" w:type="dxa"/>
          </w:tcPr>
          <w:p w14:paraId="4A18080A">
            <w:pPr>
              <w:pStyle w:val="85"/>
              <w:jc w:val="center"/>
              <w:rPr>
                <w:color w:val="auto"/>
                <w:sz w:val="22"/>
                <w:szCs w:val="22"/>
              </w:rPr>
            </w:pPr>
            <w:r>
              <w:rPr>
                <w:color w:val="auto"/>
                <w:sz w:val="22"/>
                <w:szCs w:val="22"/>
              </w:rPr>
              <w:t>6.4</w:t>
            </w:r>
          </w:p>
        </w:tc>
        <w:tc>
          <w:tcPr>
            <w:tcW w:w="7994" w:type="dxa"/>
          </w:tcPr>
          <w:p w14:paraId="53C10C4D">
            <w:pPr>
              <w:pStyle w:val="85"/>
              <w:jc w:val="both"/>
              <w:rPr>
                <w:color w:val="auto"/>
                <w:sz w:val="22"/>
                <w:szCs w:val="22"/>
              </w:rPr>
            </w:pPr>
            <w:r>
              <w:rPr>
                <w:color w:val="auto"/>
                <w:sz w:val="22"/>
                <w:szCs w:val="22"/>
              </w:rPr>
              <w:t>Непроизносимые согласные в корне слова</w:t>
            </w:r>
          </w:p>
        </w:tc>
      </w:tr>
      <w:tr w14:paraId="0651BD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077" w:type="dxa"/>
          </w:tcPr>
          <w:p w14:paraId="17991E30">
            <w:pPr>
              <w:pStyle w:val="85"/>
              <w:jc w:val="center"/>
              <w:rPr>
                <w:color w:val="auto"/>
                <w:sz w:val="22"/>
                <w:szCs w:val="22"/>
              </w:rPr>
            </w:pPr>
            <w:r>
              <w:rPr>
                <w:color w:val="auto"/>
                <w:sz w:val="22"/>
                <w:szCs w:val="22"/>
              </w:rPr>
              <w:t>6.5</w:t>
            </w:r>
          </w:p>
        </w:tc>
        <w:tc>
          <w:tcPr>
            <w:tcW w:w="7994" w:type="dxa"/>
          </w:tcPr>
          <w:p w14:paraId="742B7408">
            <w:pPr>
              <w:pStyle w:val="85"/>
              <w:jc w:val="both"/>
              <w:rPr>
                <w:color w:val="auto"/>
                <w:sz w:val="22"/>
                <w:szCs w:val="22"/>
              </w:rPr>
            </w:pPr>
            <w:r>
              <w:rPr>
                <w:color w:val="auto"/>
                <w:sz w:val="22"/>
                <w:szCs w:val="22"/>
              </w:rPr>
              <w:t>Мягкий знак после шипящих на конце имен существительных</w:t>
            </w:r>
          </w:p>
        </w:tc>
      </w:tr>
      <w:tr w14:paraId="37EC31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077" w:type="dxa"/>
          </w:tcPr>
          <w:p w14:paraId="5C906798">
            <w:pPr>
              <w:pStyle w:val="85"/>
              <w:jc w:val="center"/>
              <w:rPr>
                <w:color w:val="auto"/>
                <w:sz w:val="22"/>
                <w:szCs w:val="22"/>
              </w:rPr>
            </w:pPr>
            <w:r>
              <w:rPr>
                <w:color w:val="auto"/>
                <w:sz w:val="22"/>
                <w:szCs w:val="22"/>
              </w:rPr>
              <w:t>6.6</w:t>
            </w:r>
          </w:p>
        </w:tc>
        <w:tc>
          <w:tcPr>
            <w:tcW w:w="7994" w:type="dxa"/>
          </w:tcPr>
          <w:p w14:paraId="2E231744">
            <w:pPr>
              <w:pStyle w:val="85"/>
              <w:jc w:val="both"/>
              <w:rPr>
                <w:color w:val="auto"/>
                <w:sz w:val="22"/>
                <w:szCs w:val="22"/>
              </w:rPr>
            </w:pPr>
            <w:r>
              <w:rPr>
                <w:color w:val="auto"/>
                <w:sz w:val="22"/>
                <w:szCs w:val="22"/>
              </w:rPr>
              <w:t>Безударные гласные в падежных окончаниях имен существительных (на уровне наблюдения)</w:t>
            </w:r>
          </w:p>
        </w:tc>
      </w:tr>
      <w:tr w14:paraId="1A892B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077" w:type="dxa"/>
          </w:tcPr>
          <w:p w14:paraId="2C96A0FA">
            <w:pPr>
              <w:pStyle w:val="85"/>
              <w:jc w:val="center"/>
              <w:rPr>
                <w:color w:val="auto"/>
                <w:sz w:val="22"/>
                <w:szCs w:val="22"/>
              </w:rPr>
            </w:pPr>
            <w:r>
              <w:rPr>
                <w:color w:val="auto"/>
                <w:sz w:val="22"/>
                <w:szCs w:val="22"/>
              </w:rPr>
              <w:t>6.7</w:t>
            </w:r>
          </w:p>
        </w:tc>
        <w:tc>
          <w:tcPr>
            <w:tcW w:w="7994" w:type="dxa"/>
          </w:tcPr>
          <w:p w14:paraId="72A49D4C">
            <w:pPr>
              <w:pStyle w:val="85"/>
              <w:jc w:val="both"/>
              <w:rPr>
                <w:color w:val="auto"/>
                <w:sz w:val="22"/>
                <w:szCs w:val="22"/>
              </w:rPr>
            </w:pPr>
            <w:r>
              <w:rPr>
                <w:color w:val="auto"/>
                <w:sz w:val="22"/>
                <w:szCs w:val="22"/>
              </w:rPr>
              <w:t>Безударные гласные в падежных окончаниях имен прилагательных (на уровне наблюдения)</w:t>
            </w:r>
          </w:p>
        </w:tc>
      </w:tr>
      <w:tr w14:paraId="61138C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077" w:type="dxa"/>
          </w:tcPr>
          <w:p w14:paraId="33E48FD0">
            <w:pPr>
              <w:pStyle w:val="85"/>
              <w:jc w:val="center"/>
              <w:rPr>
                <w:color w:val="auto"/>
                <w:sz w:val="22"/>
                <w:szCs w:val="22"/>
              </w:rPr>
            </w:pPr>
            <w:r>
              <w:rPr>
                <w:color w:val="auto"/>
                <w:sz w:val="22"/>
                <w:szCs w:val="22"/>
              </w:rPr>
              <w:t>6.8</w:t>
            </w:r>
          </w:p>
        </w:tc>
        <w:tc>
          <w:tcPr>
            <w:tcW w:w="7994" w:type="dxa"/>
          </w:tcPr>
          <w:p w14:paraId="5606D3C7">
            <w:pPr>
              <w:pStyle w:val="85"/>
              <w:jc w:val="both"/>
              <w:rPr>
                <w:color w:val="auto"/>
                <w:sz w:val="22"/>
                <w:szCs w:val="22"/>
              </w:rPr>
            </w:pPr>
            <w:r>
              <w:rPr>
                <w:color w:val="auto"/>
                <w:sz w:val="22"/>
                <w:szCs w:val="22"/>
              </w:rPr>
              <w:t>Раздельное написание предлогов с личными местоимениями</w:t>
            </w:r>
          </w:p>
        </w:tc>
      </w:tr>
      <w:tr w14:paraId="7E9A1A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077" w:type="dxa"/>
          </w:tcPr>
          <w:p w14:paraId="1355B8BE">
            <w:pPr>
              <w:pStyle w:val="85"/>
              <w:jc w:val="center"/>
              <w:rPr>
                <w:color w:val="auto"/>
                <w:sz w:val="22"/>
                <w:szCs w:val="22"/>
              </w:rPr>
            </w:pPr>
            <w:r>
              <w:rPr>
                <w:color w:val="auto"/>
                <w:sz w:val="22"/>
                <w:szCs w:val="22"/>
              </w:rPr>
              <w:t>6.9</w:t>
            </w:r>
          </w:p>
        </w:tc>
        <w:tc>
          <w:tcPr>
            <w:tcW w:w="7994" w:type="dxa"/>
          </w:tcPr>
          <w:p w14:paraId="780138B0">
            <w:pPr>
              <w:pStyle w:val="85"/>
              <w:jc w:val="both"/>
              <w:rPr>
                <w:color w:val="auto"/>
                <w:sz w:val="22"/>
                <w:szCs w:val="22"/>
              </w:rPr>
            </w:pPr>
            <w:r>
              <w:rPr>
                <w:color w:val="auto"/>
                <w:sz w:val="22"/>
                <w:szCs w:val="22"/>
              </w:rPr>
              <w:t>Непроверяемые гласные и согласные (перечень слов в орфографическом словаре учебника)</w:t>
            </w:r>
          </w:p>
        </w:tc>
      </w:tr>
      <w:tr w14:paraId="780D1F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077" w:type="dxa"/>
          </w:tcPr>
          <w:p w14:paraId="3637CB59">
            <w:pPr>
              <w:pStyle w:val="85"/>
              <w:jc w:val="center"/>
              <w:rPr>
                <w:color w:val="auto"/>
                <w:sz w:val="22"/>
                <w:szCs w:val="22"/>
              </w:rPr>
            </w:pPr>
            <w:r>
              <w:rPr>
                <w:color w:val="auto"/>
                <w:sz w:val="22"/>
                <w:szCs w:val="22"/>
              </w:rPr>
              <w:t>6.10</w:t>
            </w:r>
          </w:p>
        </w:tc>
        <w:tc>
          <w:tcPr>
            <w:tcW w:w="7994" w:type="dxa"/>
          </w:tcPr>
          <w:p w14:paraId="5E18B968">
            <w:pPr>
              <w:pStyle w:val="85"/>
              <w:jc w:val="both"/>
              <w:rPr>
                <w:color w:val="auto"/>
                <w:sz w:val="22"/>
                <w:szCs w:val="22"/>
              </w:rPr>
            </w:pPr>
            <w:r>
              <w:rPr>
                <w:color w:val="auto"/>
                <w:sz w:val="22"/>
                <w:szCs w:val="22"/>
              </w:rPr>
              <w:t>Раздельное написание частицы не с глаголами</w:t>
            </w:r>
          </w:p>
        </w:tc>
      </w:tr>
      <w:tr w14:paraId="0D7FF2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077" w:type="dxa"/>
          </w:tcPr>
          <w:p w14:paraId="4007A6DF">
            <w:pPr>
              <w:pStyle w:val="85"/>
              <w:jc w:val="center"/>
              <w:rPr>
                <w:color w:val="auto"/>
                <w:sz w:val="22"/>
                <w:szCs w:val="22"/>
              </w:rPr>
            </w:pPr>
            <w:r>
              <w:rPr>
                <w:color w:val="auto"/>
                <w:sz w:val="22"/>
                <w:szCs w:val="22"/>
              </w:rPr>
              <w:t>7</w:t>
            </w:r>
          </w:p>
        </w:tc>
        <w:tc>
          <w:tcPr>
            <w:tcW w:w="7994" w:type="dxa"/>
          </w:tcPr>
          <w:p w14:paraId="7883C355">
            <w:pPr>
              <w:pStyle w:val="85"/>
              <w:jc w:val="both"/>
              <w:rPr>
                <w:color w:val="auto"/>
                <w:sz w:val="22"/>
                <w:szCs w:val="22"/>
              </w:rPr>
            </w:pPr>
            <w:r>
              <w:rPr>
                <w:color w:val="auto"/>
                <w:sz w:val="22"/>
                <w:szCs w:val="22"/>
              </w:rPr>
              <w:t>Развитие речи</w:t>
            </w:r>
          </w:p>
        </w:tc>
      </w:tr>
      <w:tr w14:paraId="4D86A3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077" w:type="dxa"/>
          </w:tcPr>
          <w:p w14:paraId="4FEE2420">
            <w:pPr>
              <w:pStyle w:val="85"/>
              <w:jc w:val="center"/>
              <w:rPr>
                <w:color w:val="auto"/>
                <w:sz w:val="22"/>
                <w:szCs w:val="22"/>
              </w:rPr>
            </w:pPr>
            <w:r>
              <w:rPr>
                <w:color w:val="auto"/>
                <w:sz w:val="22"/>
                <w:szCs w:val="22"/>
              </w:rPr>
              <w:t>7.1</w:t>
            </w:r>
          </w:p>
        </w:tc>
        <w:tc>
          <w:tcPr>
            <w:tcW w:w="7994" w:type="dxa"/>
          </w:tcPr>
          <w:p w14:paraId="6668E425">
            <w:pPr>
              <w:pStyle w:val="85"/>
              <w:jc w:val="both"/>
              <w:rPr>
                <w:color w:val="auto"/>
                <w:sz w:val="22"/>
                <w:szCs w:val="22"/>
              </w:rPr>
            </w:pPr>
            <w:r>
              <w:rPr>
                <w:color w:val="auto"/>
                <w:sz w:val="22"/>
                <w:szCs w:val="22"/>
              </w:rPr>
              <w:t>Нормы речевого этикета: устное и письменное приглашение, просьба, извинение, благодарность, отказ и другие</w:t>
            </w:r>
          </w:p>
        </w:tc>
      </w:tr>
      <w:tr w14:paraId="21809D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077" w:type="dxa"/>
          </w:tcPr>
          <w:p w14:paraId="4B84A451">
            <w:pPr>
              <w:pStyle w:val="85"/>
              <w:jc w:val="center"/>
              <w:rPr>
                <w:color w:val="auto"/>
                <w:sz w:val="22"/>
                <w:szCs w:val="22"/>
              </w:rPr>
            </w:pPr>
            <w:r>
              <w:rPr>
                <w:color w:val="auto"/>
                <w:sz w:val="22"/>
                <w:szCs w:val="22"/>
              </w:rPr>
              <w:t>7.2</w:t>
            </w:r>
          </w:p>
        </w:tc>
        <w:tc>
          <w:tcPr>
            <w:tcW w:w="7994" w:type="dxa"/>
          </w:tcPr>
          <w:p w14:paraId="26769247">
            <w:pPr>
              <w:pStyle w:val="85"/>
              <w:jc w:val="both"/>
              <w:rPr>
                <w:color w:val="auto"/>
                <w:sz w:val="22"/>
                <w:szCs w:val="22"/>
              </w:rPr>
            </w:pPr>
            <w:r>
              <w:rPr>
                <w:color w:val="auto"/>
                <w:sz w:val="22"/>
                <w:szCs w:val="22"/>
              </w:rPr>
              <w:t>Соблюдение норм речевого этикета и орфоэпических норм в ситуациях учебного и бытового общения</w:t>
            </w:r>
          </w:p>
        </w:tc>
      </w:tr>
      <w:tr w14:paraId="650CDC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077" w:type="dxa"/>
          </w:tcPr>
          <w:p w14:paraId="27E62CC9">
            <w:pPr>
              <w:pStyle w:val="85"/>
              <w:jc w:val="center"/>
              <w:rPr>
                <w:color w:val="auto"/>
                <w:sz w:val="22"/>
                <w:szCs w:val="22"/>
              </w:rPr>
            </w:pPr>
            <w:r>
              <w:rPr>
                <w:color w:val="auto"/>
                <w:sz w:val="22"/>
                <w:szCs w:val="22"/>
              </w:rPr>
              <w:t>7.3</w:t>
            </w:r>
          </w:p>
        </w:tc>
        <w:tc>
          <w:tcPr>
            <w:tcW w:w="7994" w:type="dxa"/>
          </w:tcPr>
          <w:p w14:paraId="148349DF">
            <w:pPr>
              <w:pStyle w:val="85"/>
              <w:jc w:val="both"/>
              <w:rPr>
                <w:color w:val="auto"/>
                <w:sz w:val="22"/>
                <w:szCs w:val="22"/>
              </w:rPr>
            </w:pPr>
            <w:r>
              <w:rPr>
                <w:color w:val="auto"/>
                <w:sz w:val="22"/>
                <w:szCs w:val="22"/>
              </w:rPr>
              <w:t>Речевые средства, помогающие: формулировать и аргументировать собственное мнение в диалоге и дискуссии; договариваться и приходить к общему решению в совместной деятельности; контролировать (устно координировать) действия при проведении парной и групповой работы</w:t>
            </w:r>
          </w:p>
        </w:tc>
      </w:tr>
      <w:tr w14:paraId="01F52E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077" w:type="dxa"/>
          </w:tcPr>
          <w:p w14:paraId="4BC9F5B2">
            <w:pPr>
              <w:pStyle w:val="85"/>
              <w:jc w:val="center"/>
              <w:rPr>
                <w:color w:val="auto"/>
                <w:sz w:val="22"/>
                <w:szCs w:val="22"/>
              </w:rPr>
            </w:pPr>
            <w:r>
              <w:rPr>
                <w:color w:val="auto"/>
                <w:sz w:val="22"/>
                <w:szCs w:val="22"/>
              </w:rPr>
              <w:t>7.4</w:t>
            </w:r>
          </w:p>
        </w:tc>
        <w:tc>
          <w:tcPr>
            <w:tcW w:w="7994" w:type="dxa"/>
          </w:tcPr>
          <w:p w14:paraId="5D2A8215">
            <w:pPr>
              <w:pStyle w:val="85"/>
              <w:jc w:val="both"/>
              <w:rPr>
                <w:color w:val="auto"/>
                <w:sz w:val="22"/>
                <w:szCs w:val="22"/>
              </w:rPr>
            </w:pPr>
            <w:r>
              <w:rPr>
                <w:color w:val="auto"/>
                <w:sz w:val="22"/>
                <w:szCs w:val="22"/>
              </w:rPr>
              <w:t>Особенности речевого этикета в условиях общения с людьми, плохо владеющими русским языком</w:t>
            </w:r>
          </w:p>
        </w:tc>
      </w:tr>
      <w:tr w14:paraId="02A54A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077" w:type="dxa"/>
          </w:tcPr>
          <w:p w14:paraId="2195AA98">
            <w:pPr>
              <w:pStyle w:val="85"/>
              <w:jc w:val="center"/>
              <w:rPr>
                <w:color w:val="auto"/>
                <w:sz w:val="22"/>
                <w:szCs w:val="22"/>
              </w:rPr>
            </w:pPr>
            <w:r>
              <w:rPr>
                <w:color w:val="auto"/>
                <w:sz w:val="22"/>
                <w:szCs w:val="22"/>
              </w:rPr>
              <w:t>7.5</w:t>
            </w:r>
          </w:p>
        </w:tc>
        <w:tc>
          <w:tcPr>
            <w:tcW w:w="7994" w:type="dxa"/>
          </w:tcPr>
          <w:p w14:paraId="5362C499">
            <w:pPr>
              <w:pStyle w:val="85"/>
              <w:jc w:val="both"/>
              <w:rPr>
                <w:color w:val="auto"/>
                <w:sz w:val="22"/>
                <w:szCs w:val="22"/>
              </w:rPr>
            </w:pPr>
            <w:r>
              <w:rPr>
                <w:color w:val="auto"/>
                <w:sz w:val="22"/>
                <w:szCs w:val="22"/>
              </w:rPr>
              <w:t>Повторение и продолжение работы с текстом, начатой во 2 классе: признаки текста, тема текста, основная мысль текста, заголовок, корректирование текстов с нарушенным порядком предложений и абзацев</w:t>
            </w:r>
          </w:p>
        </w:tc>
      </w:tr>
      <w:tr w14:paraId="165367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077" w:type="dxa"/>
          </w:tcPr>
          <w:p w14:paraId="0E237E92">
            <w:pPr>
              <w:pStyle w:val="85"/>
              <w:jc w:val="center"/>
              <w:rPr>
                <w:color w:val="auto"/>
                <w:sz w:val="22"/>
                <w:szCs w:val="22"/>
              </w:rPr>
            </w:pPr>
            <w:r>
              <w:rPr>
                <w:color w:val="auto"/>
                <w:sz w:val="22"/>
                <w:szCs w:val="22"/>
              </w:rPr>
              <w:t>7.6</w:t>
            </w:r>
          </w:p>
        </w:tc>
        <w:tc>
          <w:tcPr>
            <w:tcW w:w="7994" w:type="dxa"/>
          </w:tcPr>
          <w:p w14:paraId="767A66D2">
            <w:pPr>
              <w:pStyle w:val="85"/>
              <w:jc w:val="both"/>
              <w:rPr>
                <w:color w:val="auto"/>
                <w:sz w:val="22"/>
                <w:szCs w:val="22"/>
              </w:rPr>
            </w:pPr>
            <w:r>
              <w:rPr>
                <w:color w:val="auto"/>
                <w:sz w:val="22"/>
                <w:szCs w:val="22"/>
              </w:rPr>
              <w:t>План текста. Составление плана текста, написание текста по заданному плану</w:t>
            </w:r>
          </w:p>
        </w:tc>
      </w:tr>
      <w:tr w14:paraId="7925F2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077" w:type="dxa"/>
          </w:tcPr>
          <w:p w14:paraId="3CCFB09F">
            <w:pPr>
              <w:pStyle w:val="85"/>
              <w:jc w:val="center"/>
              <w:rPr>
                <w:color w:val="auto"/>
                <w:sz w:val="22"/>
                <w:szCs w:val="22"/>
              </w:rPr>
            </w:pPr>
            <w:r>
              <w:rPr>
                <w:color w:val="auto"/>
                <w:sz w:val="22"/>
                <w:szCs w:val="22"/>
              </w:rPr>
              <w:t>7.7</w:t>
            </w:r>
          </w:p>
        </w:tc>
        <w:tc>
          <w:tcPr>
            <w:tcW w:w="7994" w:type="dxa"/>
          </w:tcPr>
          <w:p w14:paraId="3BE74BAD">
            <w:pPr>
              <w:pStyle w:val="85"/>
              <w:jc w:val="both"/>
              <w:rPr>
                <w:color w:val="auto"/>
                <w:sz w:val="22"/>
                <w:szCs w:val="22"/>
              </w:rPr>
            </w:pPr>
            <w:r>
              <w:rPr>
                <w:color w:val="auto"/>
                <w:sz w:val="22"/>
                <w:szCs w:val="22"/>
              </w:rPr>
              <w:t>Связь предложений в тексте с помощью личных местоимений, синонимов, союзов и, а, но</w:t>
            </w:r>
          </w:p>
        </w:tc>
      </w:tr>
      <w:tr w14:paraId="4F8927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077" w:type="dxa"/>
          </w:tcPr>
          <w:p w14:paraId="1A06C1B0">
            <w:pPr>
              <w:pStyle w:val="85"/>
              <w:jc w:val="center"/>
              <w:rPr>
                <w:color w:val="auto"/>
                <w:sz w:val="22"/>
                <w:szCs w:val="22"/>
              </w:rPr>
            </w:pPr>
            <w:r>
              <w:rPr>
                <w:color w:val="auto"/>
                <w:sz w:val="22"/>
                <w:szCs w:val="22"/>
              </w:rPr>
              <w:t>7.8</w:t>
            </w:r>
          </w:p>
        </w:tc>
        <w:tc>
          <w:tcPr>
            <w:tcW w:w="7994" w:type="dxa"/>
          </w:tcPr>
          <w:p w14:paraId="2B3996F6">
            <w:pPr>
              <w:pStyle w:val="85"/>
              <w:jc w:val="both"/>
              <w:rPr>
                <w:color w:val="auto"/>
                <w:sz w:val="22"/>
                <w:szCs w:val="22"/>
              </w:rPr>
            </w:pPr>
            <w:r>
              <w:rPr>
                <w:color w:val="auto"/>
                <w:sz w:val="22"/>
                <w:szCs w:val="22"/>
              </w:rPr>
              <w:t>Ключевые слова в тексте</w:t>
            </w:r>
          </w:p>
        </w:tc>
      </w:tr>
      <w:tr w14:paraId="6936C1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077" w:type="dxa"/>
          </w:tcPr>
          <w:p w14:paraId="03B2EDC6">
            <w:pPr>
              <w:pStyle w:val="85"/>
              <w:jc w:val="center"/>
              <w:rPr>
                <w:color w:val="auto"/>
                <w:sz w:val="22"/>
                <w:szCs w:val="22"/>
              </w:rPr>
            </w:pPr>
            <w:r>
              <w:rPr>
                <w:color w:val="auto"/>
                <w:sz w:val="22"/>
                <w:szCs w:val="22"/>
              </w:rPr>
              <w:t>7.9</w:t>
            </w:r>
          </w:p>
        </w:tc>
        <w:tc>
          <w:tcPr>
            <w:tcW w:w="7994" w:type="dxa"/>
          </w:tcPr>
          <w:p w14:paraId="4C7C9923">
            <w:pPr>
              <w:pStyle w:val="85"/>
              <w:jc w:val="both"/>
              <w:rPr>
                <w:color w:val="auto"/>
                <w:sz w:val="22"/>
                <w:szCs w:val="22"/>
              </w:rPr>
            </w:pPr>
            <w:r>
              <w:rPr>
                <w:color w:val="auto"/>
                <w:sz w:val="22"/>
                <w:szCs w:val="22"/>
              </w:rPr>
              <w:t>Определение типов текстов (повествование, описание, рассуждение) и создание собственных текстов заданного типа</w:t>
            </w:r>
          </w:p>
        </w:tc>
      </w:tr>
      <w:tr w14:paraId="47A882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077" w:type="dxa"/>
          </w:tcPr>
          <w:p w14:paraId="184ACD35">
            <w:pPr>
              <w:pStyle w:val="85"/>
              <w:jc w:val="center"/>
              <w:rPr>
                <w:color w:val="auto"/>
                <w:sz w:val="22"/>
                <w:szCs w:val="22"/>
              </w:rPr>
            </w:pPr>
            <w:r>
              <w:rPr>
                <w:color w:val="auto"/>
                <w:sz w:val="22"/>
                <w:szCs w:val="22"/>
              </w:rPr>
              <w:t>7.10</w:t>
            </w:r>
          </w:p>
        </w:tc>
        <w:tc>
          <w:tcPr>
            <w:tcW w:w="7994" w:type="dxa"/>
          </w:tcPr>
          <w:p w14:paraId="150C64B3">
            <w:pPr>
              <w:pStyle w:val="85"/>
              <w:jc w:val="both"/>
              <w:rPr>
                <w:color w:val="auto"/>
                <w:sz w:val="22"/>
                <w:szCs w:val="22"/>
              </w:rPr>
            </w:pPr>
            <w:r>
              <w:rPr>
                <w:color w:val="auto"/>
                <w:sz w:val="22"/>
                <w:szCs w:val="22"/>
              </w:rPr>
              <w:t>Жанр письма, объявления</w:t>
            </w:r>
          </w:p>
        </w:tc>
      </w:tr>
      <w:tr w14:paraId="69482C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077" w:type="dxa"/>
          </w:tcPr>
          <w:p w14:paraId="17229344">
            <w:pPr>
              <w:pStyle w:val="85"/>
              <w:jc w:val="center"/>
              <w:rPr>
                <w:color w:val="auto"/>
                <w:sz w:val="22"/>
                <w:szCs w:val="22"/>
              </w:rPr>
            </w:pPr>
            <w:r>
              <w:rPr>
                <w:color w:val="auto"/>
                <w:sz w:val="22"/>
                <w:szCs w:val="22"/>
              </w:rPr>
              <w:t>7.11</w:t>
            </w:r>
          </w:p>
        </w:tc>
        <w:tc>
          <w:tcPr>
            <w:tcW w:w="7994" w:type="dxa"/>
          </w:tcPr>
          <w:p w14:paraId="08CAAB04">
            <w:pPr>
              <w:pStyle w:val="85"/>
              <w:jc w:val="both"/>
              <w:rPr>
                <w:color w:val="auto"/>
                <w:sz w:val="22"/>
                <w:szCs w:val="22"/>
              </w:rPr>
            </w:pPr>
            <w:r>
              <w:rPr>
                <w:color w:val="auto"/>
                <w:sz w:val="22"/>
                <w:szCs w:val="22"/>
              </w:rPr>
              <w:t>Изложение текста по коллективно или самостоятельно составленному плану</w:t>
            </w:r>
          </w:p>
        </w:tc>
      </w:tr>
      <w:tr w14:paraId="22A07F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077" w:type="dxa"/>
          </w:tcPr>
          <w:p w14:paraId="261B0CF1">
            <w:pPr>
              <w:pStyle w:val="85"/>
              <w:jc w:val="center"/>
              <w:rPr>
                <w:color w:val="auto"/>
                <w:sz w:val="22"/>
                <w:szCs w:val="22"/>
              </w:rPr>
            </w:pPr>
            <w:r>
              <w:rPr>
                <w:color w:val="auto"/>
                <w:sz w:val="22"/>
                <w:szCs w:val="22"/>
              </w:rPr>
              <w:t>7.12</w:t>
            </w:r>
          </w:p>
        </w:tc>
        <w:tc>
          <w:tcPr>
            <w:tcW w:w="7994" w:type="dxa"/>
          </w:tcPr>
          <w:p w14:paraId="1B9222E0">
            <w:pPr>
              <w:pStyle w:val="85"/>
              <w:jc w:val="both"/>
              <w:rPr>
                <w:color w:val="auto"/>
                <w:sz w:val="22"/>
                <w:szCs w:val="22"/>
              </w:rPr>
            </w:pPr>
            <w:r>
              <w:rPr>
                <w:color w:val="auto"/>
                <w:sz w:val="22"/>
                <w:szCs w:val="22"/>
              </w:rPr>
              <w:t>Изучающее чтение</w:t>
            </w:r>
          </w:p>
        </w:tc>
      </w:tr>
      <w:tr w14:paraId="64E234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077" w:type="dxa"/>
          </w:tcPr>
          <w:p w14:paraId="1B0D657F">
            <w:pPr>
              <w:pStyle w:val="85"/>
              <w:jc w:val="center"/>
              <w:rPr>
                <w:color w:val="auto"/>
                <w:sz w:val="22"/>
                <w:szCs w:val="22"/>
              </w:rPr>
            </w:pPr>
            <w:r>
              <w:rPr>
                <w:color w:val="auto"/>
                <w:sz w:val="22"/>
                <w:szCs w:val="22"/>
              </w:rPr>
              <w:t>7.13</w:t>
            </w:r>
          </w:p>
        </w:tc>
        <w:tc>
          <w:tcPr>
            <w:tcW w:w="7994" w:type="dxa"/>
          </w:tcPr>
          <w:p w14:paraId="37119336">
            <w:pPr>
              <w:pStyle w:val="85"/>
              <w:jc w:val="both"/>
              <w:rPr>
                <w:color w:val="auto"/>
                <w:sz w:val="22"/>
                <w:szCs w:val="22"/>
              </w:rPr>
            </w:pPr>
            <w:r>
              <w:rPr>
                <w:color w:val="auto"/>
                <w:sz w:val="22"/>
                <w:szCs w:val="22"/>
              </w:rPr>
              <w:t>Функции ознакомительного чтения, ситуации применения</w:t>
            </w:r>
          </w:p>
        </w:tc>
      </w:tr>
    </w:tbl>
    <w:p w14:paraId="77A38042">
      <w:pPr>
        <w:pStyle w:val="85"/>
        <w:jc w:val="both"/>
        <w:rPr>
          <w:color w:val="auto"/>
          <w:sz w:val="22"/>
          <w:szCs w:val="22"/>
        </w:rPr>
      </w:pPr>
    </w:p>
    <w:p w14:paraId="13A06295">
      <w:pPr>
        <w:pStyle w:val="85"/>
        <w:jc w:val="right"/>
        <w:rPr>
          <w:color w:val="auto"/>
          <w:sz w:val="22"/>
          <w:szCs w:val="22"/>
        </w:rPr>
      </w:pPr>
      <w:r>
        <w:rPr>
          <w:color w:val="auto"/>
          <w:sz w:val="22"/>
          <w:szCs w:val="22"/>
        </w:rPr>
        <w:t>Таблица 3.6</w:t>
      </w:r>
    </w:p>
    <w:p w14:paraId="2080C2A8">
      <w:pPr>
        <w:pStyle w:val="85"/>
        <w:jc w:val="both"/>
        <w:rPr>
          <w:color w:val="auto"/>
          <w:sz w:val="22"/>
          <w:szCs w:val="22"/>
        </w:rPr>
      </w:pPr>
    </w:p>
    <w:p w14:paraId="3A51317C">
      <w:pPr>
        <w:pStyle w:val="85"/>
        <w:jc w:val="center"/>
        <w:rPr>
          <w:color w:val="auto"/>
          <w:sz w:val="22"/>
          <w:szCs w:val="22"/>
        </w:rPr>
      </w:pPr>
      <w:r>
        <w:rPr>
          <w:color w:val="auto"/>
          <w:sz w:val="22"/>
          <w:szCs w:val="22"/>
        </w:rPr>
        <w:t>Проверяемые требования к результатам освоения основной</w:t>
      </w:r>
    </w:p>
    <w:p w14:paraId="22D88905">
      <w:pPr>
        <w:pStyle w:val="85"/>
        <w:jc w:val="center"/>
        <w:rPr>
          <w:color w:val="auto"/>
          <w:sz w:val="22"/>
          <w:szCs w:val="22"/>
        </w:rPr>
      </w:pPr>
      <w:r>
        <w:rPr>
          <w:color w:val="auto"/>
          <w:sz w:val="22"/>
          <w:szCs w:val="22"/>
        </w:rPr>
        <w:t>образовательной программы (4 класс)</w:t>
      </w:r>
    </w:p>
    <w:p w14:paraId="2CC9848B">
      <w:pPr>
        <w:pStyle w:val="85"/>
        <w:jc w:val="both"/>
        <w:rPr>
          <w:color w:val="auto"/>
          <w:sz w:val="22"/>
          <w:szCs w:val="22"/>
        </w:rPr>
      </w:pPr>
    </w:p>
    <w:tbl>
      <w:tblPr>
        <w:tblStyle w:val="1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02" w:type="dxa"/>
          <w:left w:w="62" w:type="dxa"/>
          <w:bottom w:w="102" w:type="dxa"/>
          <w:right w:w="62" w:type="dxa"/>
        </w:tblCellMar>
      </w:tblPr>
      <w:tblGrid>
        <w:gridCol w:w="1701"/>
        <w:gridCol w:w="7370"/>
      </w:tblGrid>
      <w:tr w14:paraId="71D619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701" w:type="dxa"/>
          </w:tcPr>
          <w:p w14:paraId="0B3018CB">
            <w:pPr>
              <w:pStyle w:val="85"/>
              <w:jc w:val="center"/>
              <w:rPr>
                <w:color w:val="auto"/>
                <w:sz w:val="22"/>
                <w:szCs w:val="22"/>
              </w:rPr>
            </w:pPr>
            <w:r>
              <w:rPr>
                <w:color w:val="auto"/>
                <w:sz w:val="22"/>
                <w:szCs w:val="22"/>
              </w:rPr>
              <w:t>Код проверяемого результата</w:t>
            </w:r>
          </w:p>
        </w:tc>
        <w:tc>
          <w:tcPr>
            <w:tcW w:w="7370" w:type="dxa"/>
          </w:tcPr>
          <w:p w14:paraId="3C06EEFB">
            <w:pPr>
              <w:pStyle w:val="85"/>
              <w:jc w:val="center"/>
              <w:rPr>
                <w:color w:val="auto"/>
                <w:sz w:val="22"/>
                <w:szCs w:val="22"/>
              </w:rPr>
            </w:pPr>
            <w:r>
              <w:rPr>
                <w:color w:val="auto"/>
                <w:sz w:val="22"/>
                <w:szCs w:val="22"/>
              </w:rPr>
              <w:t>Проверяемые предметные результаты освоения основной образовательной программы начального общего образования</w:t>
            </w:r>
          </w:p>
        </w:tc>
      </w:tr>
      <w:tr w14:paraId="7102B9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701" w:type="dxa"/>
          </w:tcPr>
          <w:p w14:paraId="4EB8F5F1">
            <w:pPr>
              <w:pStyle w:val="85"/>
              <w:jc w:val="center"/>
              <w:rPr>
                <w:color w:val="auto"/>
                <w:sz w:val="22"/>
                <w:szCs w:val="22"/>
              </w:rPr>
            </w:pPr>
            <w:r>
              <w:rPr>
                <w:color w:val="auto"/>
                <w:sz w:val="22"/>
                <w:szCs w:val="22"/>
              </w:rPr>
              <w:t>1</w:t>
            </w:r>
          </w:p>
        </w:tc>
        <w:tc>
          <w:tcPr>
            <w:tcW w:w="7370" w:type="dxa"/>
          </w:tcPr>
          <w:p w14:paraId="07CAC31D">
            <w:pPr>
              <w:pStyle w:val="85"/>
              <w:jc w:val="both"/>
              <w:rPr>
                <w:color w:val="auto"/>
                <w:sz w:val="22"/>
                <w:szCs w:val="22"/>
              </w:rPr>
            </w:pPr>
            <w:r>
              <w:rPr>
                <w:color w:val="auto"/>
                <w:sz w:val="22"/>
                <w:szCs w:val="22"/>
              </w:rPr>
              <w:t>Фонетика. Графика. Орфоэпия</w:t>
            </w:r>
          </w:p>
        </w:tc>
      </w:tr>
      <w:tr w14:paraId="57516D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701" w:type="dxa"/>
          </w:tcPr>
          <w:p w14:paraId="38470492">
            <w:pPr>
              <w:pStyle w:val="85"/>
              <w:jc w:val="center"/>
              <w:rPr>
                <w:color w:val="auto"/>
                <w:sz w:val="22"/>
                <w:szCs w:val="22"/>
              </w:rPr>
            </w:pPr>
            <w:r>
              <w:rPr>
                <w:color w:val="auto"/>
                <w:sz w:val="22"/>
                <w:szCs w:val="22"/>
              </w:rPr>
              <w:t>1.1</w:t>
            </w:r>
          </w:p>
        </w:tc>
        <w:tc>
          <w:tcPr>
            <w:tcW w:w="7370" w:type="dxa"/>
          </w:tcPr>
          <w:p w14:paraId="3A5C1858">
            <w:pPr>
              <w:pStyle w:val="85"/>
              <w:jc w:val="both"/>
              <w:rPr>
                <w:color w:val="auto"/>
                <w:sz w:val="22"/>
                <w:szCs w:val="22"/>
              </w:rPr>
            </w:pPr>
            <w:r>
              <w:rPr>
                <w:color w:val="auto"/>
                <w:sz w:val="22"/>
                <w:szCs w:val="22"/>
              </w:rPr>
              <w:t>Проводить звуко-буквенный разбор слов (в соответствии с предложенным в учебнике алгоритмом)</w:t>
            </w:r>
          </w:p>
        </w:tc>
      </w:tr>
      <w:tr w14:paraId="4E3517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701" w:type="dxa"/>
          </w:tcPr>
          <w:p w14:paraId="5BFF71C9">
            <w:pPr>
              <w:pStyle w:val="85"/>
              <w:jc w:val="center"/>
              <w:rPr>
                <w:color w:val="auto"/>
                <w:sz w:val="22"/>
                <w:szCs w:val="22"/>
              </w:rPr>
            </w:pPr>
            <w:r>
              <w:rPr>
                <w:color w:val="auto"/>
                <w:sz w:val="22"/>
                <w:szCs w:val="22"/>
              </w:rPr>
              <w:t>1.2</w:t>
            </w:r>
          </w:p>
        </w:tc>
        <w:tc>
          <w:tcPr>
            <w:tcW w:w="7370" w:type="dxa"/>
          </w:tcPr>
          <w:p w14:paraId="4B6431A2">
            <w:pPr>
              <w:pStyle w:val="85"/>
              <w:jc w:val="both"/>
              <w:rPr>
                <w:color w:val="auto"/>
                <w:sz w:val="22"/>
                <w:szCs w:val="22"/>
              </w:rPr>
            </w:pPr>
            <w:r>
              <w:rPr>
                <w:color w:val="auto"/>
                <w:sz w:val="22"/>
                <w:szCs w:val="22"/>
              </w:rPr>
              <w:t>Объяснять своими словами значение изученных понятий; использовать изученные понятия в процессе решения учебных задач</w:t>
            </w:r>
          </w:p>
        </w:tc>
      </w:tr>
      <w:tr w14:paraId="7A3CFA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701" w:type="dxa"/>
          </w:tcPr>
          <w:p w14:paraId="2AFD4FE5">
            <w:pPr>
              <w:pStyle w:val="85"/>
              <w:jc w:val="center"/>
              <w:rPr>
                <w:color w:val="auto"/>
                <w:sz w:val="22"/>
                <w:szCs w:val="22"/>
              </w:rPr>
            </w:pPr>
            <w:r>
              <w:rPr>
                <w:color w:val="auto"/>
                <w:sz w:val="22"/>
                <w:szCs w:val="22"/>
              </w:rPr>
              <w:t>2</w:t>
            </w:r>
          </w:p>
        </w:tc>
        <w:tc>
          <w:tcPr>
            <w:tcW w:w="7370" w:type="dxa"/>
          </w:tcPr>
          <w:p w14:paraId="4653B629">
            <w:pPr>
              <w:pStyle w:val="85"/>
              <w:jc w:val="both"/>
              <w:rPr>
                <w:color w:val="auto"/>
                <w:sz w:val="22"/>
                <w:szCs w:val="22"/>
              </w:rPr>
            </w:pPr>
            <w:r>
              <w:rPr>
                <w:color w:val="auto"/>
                <w:sz w:val="22"/>
                <w:szCs w:val="22"/>
              </w:rPr>
              <w:t>Лексика</w:t>
            </w:r>
          </w:p>
        </w:tc>
      </w:tr>
      <w:tr w14:paraId="7DFFB6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701" w:type="dxa"/>
          </w:tcPr>
          <w:p w14:paraId="3A45293F">
            <w:pPr>
              <w:pStyle w:val="85"/>
              <w:jc w:val="center"/>
              <w:rPr>
                <w:color w:val="auto"/>
                <w:sz w:val="22"/>
                <w:szCs w:val="22"/>
              </w:rPr>
            </w:pPr>
            <w:r>
              <w:rPr>
                <w:color w:val="auto"/>
                <w:sz w:val="22"/>
                <w:szCs w:val="22"/>
              </w:rPr>
              <w:t>2.1</w:t>
            </w:r>
          </w:p>
        </w:tc>
        <w:tc>
          <w:tcPr>
            <w:tcW w:w="7370" w:type="dxa"/>
          </w:tcPr>
          <w:p w14:paraId="454BA495">
            <w:pPr>
              <w:pStyle w:val="85"/>
              <w:jc w:val="both"/>
              <w:rPr>
                <w:color w:val="auto"/>
                <w:sz w:val="22"/>
                <w:szCs w:val="22"/>
              </w:rPr>
            </w:pPr>
            <w:r>
              <w:rPr>
                <w:color w:val="auto"/>
                <w:sz w:val="22"/>
                <w:szCs w:val="22"/>
              </w:rPr>
              <w:t>Подбирать к предложенным словам синонимы</w:t>
            </w:r>
          </w:p>
        </w:tc>
      </w:tr>
      <w:tr w14:paraId="66589C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701" w:type="dxa"/>
          </w:tcPr>
          <w:p w14:paraId="010C8014">
            <w:pPr>
              <w:pStyle w:val="85"/>
              <w:jc w:val="center"/>
              <w:rPr>
                <w:color w:val="auto"/>
                <w:sz w:val="22"/>
                <w:szCs w:val="22"/>
              </w:rPr>
            </w:pPr>
            <w:r>
              <w:rPr>
                <w:color w:val="auto"/>
                <w:sz w:val="22"/>
                <w:szCs w:val="22"/>
              </w:rPr>
              <w:t>2.2</w:t>
            </w:r>
          </w:p>
        </w:tc>
        <w:tc>
          <w:tcPr>
            <w:tcW w:w="7370" w:type="dxa"/>
          </w:tcPr>
          <w:p w14:paraId="225F740D">
            <w:pPr>
              <w:pStyle w:val="85"/>
              <w:jc w:val="both"/>
              <w:rPr>
                <w:color w:val="auto"/>
                <w:sz w:val="22"/>
                <w:szCs w:val="22"/>
              </w:rPr>
            </w:pPr>
            <w:r>
              <w:rPr>
                <w:color w:val="auto"/>
                <w:sz w:val="22"/>
                <w:szCs w:val="22"/>
              </w:rPr>
              <w:t>Подбирать к предложенным словам антонимы</w:t>
            </w:r>
          </w:p>
        </w:tc>
      </w:tr>
      <w:tr w14:paraId="15BE7D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701" w:type="dxa"/>
          </w:tcPr>
          <w:p w14:paraId="6682F3BF">
            <w:pPr>
              <w:pStyle w:val="85"/>
              <w:jc w:val="center"/>
              <w:rPr>
                <w:color w:val="auto"/>
                <w:sz w:val="22"/>
                <w:szCs w:val="22"/>
              </w:rPr>
            </w:pPr>
            <w:r>
              <w:rPr>
                <w:color w:val="auto"/>
                <w:sz w:val="22"/>
                <w:szCs w:val="22"/>
              </w:rPr>
              <w:t>2.3</w:t>
            </w:r>
          </w:p>
        </w:tc>
        <w:tc>
          <w:tcPr>
            <w:tcW w:w="7370" w:type="dxa"/>
          </w:tcPr>
          <w:p w14:paraId="06F17691">
            <w:pPr>
              <w:pStyle w:val="85"/>
              <w:jc w:val="both"/>
              <w:rPr>
                <w:color w:val="auto"/>
                <w:sz w:val="22"/>
                <w:szCs w:val="22"/>
              </w:rPr>
            </w:pPr>
            <w:r>
              <w:rPr>
                <w:color w:val="auto"/>
                <w:sz w:val="22"/>
                <w:szCs w:val="22"/>
              </w:rPr>
              <w:t>Выявлять в речи слова, значение которых требует уточнения, определять значение слова по контексту</w:t>
            </w:r>
          </w:p>
        </w:tc>
      </w:tr>
      <w:tr w14:paraId="6481FC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701" w:type="dxa"/>
          </w:tcPr>
          <w:p w14:paraId="11FD167F">
            <w:pPr>
              <w:pStyle w:val="85"/>
              <w:jc w:val="center"/>
              <w:rPr>
                <w:color w:val="auto"/>
                <w:sz w:val="22"/>
                <w:szCs w:val="22"/>
              </w:rPr>
            </w:pPr>
            <w:r>
              <w:rPr>
                <w:color w:val="auto"/>
                <w:sz w:val="22"/>
                <w:szCs w:val="22"/>
              </w:rPr>
              <w:t>2.4</w:t>
            </w:r>
          </w:p>
        </w:tc>
        <w:tc>
          <w:tcPr>
            <w:tcW w:w="7370" w:type="dxa"/>
          </w:tcPr>
          <w:p w14:paraId="12B6A20C">
            <w:pPr>
              <w:pStyle w:val="85"/>
              <w:jc w:val="both"/>
              <w:rPr>
                <w:color w:val="auto"/>
                <w:sz w:val="22"/>
                <w:szCs w:val="22"/>
              </w:rPr>
            </w:pPr>
            <w:r>
              <w:rPr>
                <w:color w:val="auto"/>
                <w:sz w:val="22"/>
                <w:szCs w:val="22"/>
              </w:rPr>
              <w:t>Уточнять значение слова с помощью справочных изданий, в том числе из числа верифицированных электронных ресурсов, включенных в федеральный перечень</w:t>
            </w:r>
          </w:p>
        </w:tc>
      </w:tr>
      <w:tr w14:paraId="5ACA7E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701" w:type="dxa"/>
          </w:tcPr>
          <w:p w14:paraId="6D4A4B1F">
            <w:pPr>
              <w:pStyle w:val="85"/>
              <w:jc w:val="center"/>
              <w:rPr>
                <w:color w:val="auto"/>
                <w:sz w:val="22"/>
                <w:szCs w:val="22"/>
              </w:rPr>
            </w:pPr>
            <w:r>
              <w:rPr>
                <w:color w:val="auto"/>
                <w:sz w:val="22"/>
                <w:szCs w:val="22"/>
              </w:rPr>
              <w:t>2.5</w:t>
            </w:r>
          </w:p>
        </w:tc>
        <w:tc>
          <w:tcPr>
            <w:tcW w:w="7370" w:type="dxa"/>
          </w:tcPr>
          <w:p w14:paraId="714A31C7">
            <w:pPr>
              <w:pStyle w:val="85"/>
              <w:jc w:val="both"/>
              <w:rPr>
                <w:color w:val="auto"/>
                <w:sz w:val="22"/>
                <w:szCs w:val="22"/>
              </w:rPr>
            </w:pPr>
            <w:r>
              <w:rPr>
                <w:color w:val="auto"/>
                <w:sz w:val="22"/>
                <w:szCs w:val="22"/>
              </w:rPr>
              <w:t>Объяснять своими словами значение изученных понятий; использовать изученные понятия в процессе решения учебных задач</w:t>
            </w:r>
          </w:p>
        </w:tc>
      </w:tr>
      <w:tr w14:paraId="60865E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701" w:type="dxa"/>
          </w:tcPr>
          <w:p w14:paraId="51419796">
            <w:pPr>
              <w:pStyle w:val="85"/>
              <w:jc w:val="center"/>
              <w:rPr>
                <w:color w:val="auto"/>
                <w:sz w:val="22"/>
                <w:szCs w:val="22"/>
              </w:rPr>
            </w:pPr>
            <w:r>
              <w:rPr>
                <w:color w:val="auto"/>
                <w:sz w:val="22"/>
                <w:szCs w:val="22"/>
              </w:rPr>
              <w:t>3</w:t>
            </w:r>
          </w:p>
        </w:tc>
        <w:tc>
          <w:tcPr>
            <w:tcW w:w="7370" w:type="dxa"/>
          </w:tcPr>
          <w:p w14:paraId="04FE9043">
            <w:pPr>
              <w:pStyle w:val="85"/>
              <w:jc w:val="both"/>
              <w:rPr>
                <w:color w:val="auto"/>
                <w:sz w:val="22"/>
                <w:szCs w:val="22"/>
              </w:rPr>
            </w:pPr>
            <w:r>
              <w:rPr>
                <w:color w:val="auto"/>
                <w:sz w:val="22"/>
                <w:szCs w:val="22"/>
              </w:rPr>
              <w:t>Состав слова (морфемика)</w:t>
            </w:r>
          </w:p>
        </w:tc>
      </w:tr>
      <w:tr w14:paraId="066DB6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701" w:type="dxa"/>
          </w:tcPr>
          <w:p w14:paraId="2860DA6E">
            <w:pPr>
              <w:pStyle w:val="85"/>
              <w:jc w:val="center"/>
              <w:rPr>
                <w:color w:val="auto"/>
                <w:sz w:val="22"/>
                <w:szCs w:val="22"/>
              </w:rPr>
            </w:pPr>
            <w:r>
              <w:rPr>
                <w:color w:val="auto"/>
                <w:sz w:val="22"/>
                <w:szCs w:val="22"/>
              </w:rPr>
              <w:t>3.1</w:t>
            </w:r>
          </w:p>
        </w:tc>
        <w:tc>
          <w:tcPr>
            <w:tcW w:w="7370" w:type="dxa"/>
          </w:tcPr>
          <w:p w14:paraId="441337BE">
            <w:pPr>
              <w:pStyle w:val="85"/>
              <w:jc w:val="both"/>
              <w:rPr>
                <w:color w:val="auto"/>
                <w:sz w:val="22"/>
                <w:szCs w:val="22"/>
              </w:rPr>
            </w:pPr>
            <w:r>
              <w:rPr>
                <w:color w:val="auto"/>
                <w:sz w:val="22"/>
                <w:szCs w:val="22"/>
              </w:rPr>
              <w:t>Проводить разбор по составу слов с однозначно выделяемыми морфемами; составлять схему состава слова; соотносить состав слова с представленной схемой</w:t>
            </w:r>
          </w:p>
        </w:tc>
      </w:tr>
      <w:tr w14:paraId="34A015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701" w:type="dxa"/>
          </w:tcPr>
          <w:p w14:paraId="7108DE90">
            <w:pPr>
              <w:pStyle w:val="85"/>
              <w:jc w:val="center"/>
              <w:rPr>
                <w:color w:val="auto"/>
                <w:sz w:val="22"/>
                <w:szCs w:val="22"/>
              </w:rPr>
            </w:pPr>
            <w:r>
              <w:rPr>
                <w:color w:val="auto"/>
                <w:sz w:val="22"/>
                <w:szCs w:val="22"/>
              </w:rPr>
              <w:t>3.2</w:t>
            </w:r>
          </w:p>
        </w:tc>
        <w:tc>
          <w:tcPr>
            <w:tcW w:w="7370" w:type="dxa"/>
          </w:tcPr>
          <w:p w14:paraId="701158FA">
            <w:pPr>
              <w:pStyle w:val="85"/>
              <w:jc w:val="both"/>
              <w:rPr>
                <w:color w:val="auto"/>
                <w:sz w:val="22"/>
                <w:szCs w:val="22"/>
              </w:rPr>
            </w:pPr>
            <w:r>
              <w:rPr>
                <w:color w:val="auto"/>
                <w:sz w:val="22"/>
                <w:szCs w:val="22"/>
              </w:rPr>
              <w:t>Объяснять своими словами значение изученных понятий; использовать изученные понятия в процессе решения учебных задач</w:t>
            </w:r>
          </w:p>
        </w:tc>
      </w:tr>
      <w:tr w14:paraId="6A39F0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701" w:type="dxa"/>
          </w:tcPr>
          <w:p w14:paraId="526DC2CC">
            <w:pPr>
              <w:pStyle w:val="85"/>
              <w:jc w:val="center"/>
              <w:rPr>
                <w:color w:val="auto"/>
                <w:sz w:val="22"/>
                <w:szCs w:val="22"/>
              </w:rPr>
            </w:pPr>
            <w:r>
              <w:rPr>
                <w:color w:val="auto"/>
                <w:sz w:val="22"/>
                <w:szCs w:val="22"/>
              </w:rPr>
              <w:t>4</w:t>
            </w:r>
          </w:p>
        </w:tc>
        <w:tc>
          <w:tcPr>
            <w:tcW w:w="7370" w:type="dxa"/>
          </w:tcPr>
          <w:p w14:paraId="23449579">
            <w:pPr>
              <w:pStyle w:val="85"/>
              <w:jc w:val="both"/>
              <w:rPr>
                <w:color w:val="auto"/>
                <w:sz w:val="22"/>
                <w:szCs w:val="22"/>
              </w:rPr>
            </w:pPr>
            <w:r>
              <w:rPr>
                <w:color w:val="auto"/>
                <w:sz w:val="22"/>
                <w:szCs w:val="22"/>
              </w:rPr>
              <w:t>Морфология</w:t>
            </w:r>
          </w:p>
        </w:tc>
      </w:tr>
      <w:tr w14:paraId="297637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701" w:type="dxa"/>
          </w:tcPr>
          <w:p w14:paraId="03CE04BB">
            <w:pPr>
              <w:pStyle w:val="85"/>
              <w:jc w:val="center"/>
              <w:rPr>
                <w:color w:val="auto"/>
                <w:sz w:val="22"/>
                <w:szCs w:val="22"/>
              </w:rPr>
            </w:pPr>
            <w:r>
              <w:rPr>
                <w:color w:val="auto"/>
                <w:sz w:val="22"/>
                <w:szCs w:val="22"/>
              </w:rPr>
              <w:t>4.1</w:t>
            </w:r>
          </w:p>
        </w:tc>
        <w:tc>
          <w:tcPr>
            <w:tcW w:w="7370" w:type="dxa"/>
          </w:tcPr>
          <w:p w14:paraId="74201D31">
            <w:pPr>
              <w:pStyle w:val="85"/>
              <w:jc w:val="both"/>
              <w:rPr>
                <w:color w:val="auto"/>
                <w:sz w:val="22"/>
                <w:szCs w:val="22"/>
              </w:rPr>
            </w:pPr>
            <w:r>
              <w:rPr>
                <w:color w:val="auto"/>
                <w:sz w:val="22"/>
                <w:szCs w:val="22"/>
              </w:rPr>
              <w:t>Устанавливать принадлежность слова к определенной части речи (в объеме изученного) по комплексу освоенных грамматических признаков</w:t>
            </w:r>
          </w:p>
        </w:tc>
      </w:tr>
      <w:tr w14:paraId="564522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701" w:type="dxa"/>
          </w:tcPr>
          <w:p w14:paraId="4252EA92">
            <w:pPr>
              <w:pStyle w:val="85"/>
              <w:jc w:val="center"/>
              <w:rPr>
                <w:color w:val="auto"/>
                <w:sz w:val="22"/>
                <w:szCs w:val="22"/>
              </w:rPr>
            </w:pPr>
            <w:r>
              <w:rPr>
                <w:color w:val="auto"/>
                <w:sz w:val="22"/>
                <w:szCs w:val="22"/>
              </w:rPr>
              <w:t>4.2</w:t>
            </w:r>
          </w:p>
        </w:tc>
        <w:tc>
          <w:tcPr>
            <w:tcW w:w="7370" w:type="dxa"/>
          </w:tcPr>
          <w:p w14:paraId="30294484">
            <w:pPr>
              <w:pStyle w:val="85"/>
              <w:jc w:val="both"/>
              <w:rPr>
                <w:color w:val="auto"/>
                <w:sz w:val="22"/>
                <w:szCs w:val="22"/>
              </w:rPr>
            </w:pPr>
            <w:r>
              <w:rPr>
                <w:color w:val="auto"/>
                <w:sz w:val="22"/>
                <w:szCs w:val="22"/>
              </w:rPr>
              <w:t>Определять грамматические признаки имен существительных: склонение, род, число, падеж</w:t>
            </w:r>
          </w:p>
        </w:tc>
      </w:tr>
      <w:tr w14:paraId="2FE21F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701" w:type="dxa"/>
          </w:tcPr>
          <w:p w14:paraId="1CD29C46">
            <w:pPr>
              <w:pStyle w:val="85"/>
              <w:jc w:val="center"/>
              <w:rPr>
                <w:color w:val="auto"/>
                <w:sz w:val="22"/>
                <w:szCs w:val="22"/>
              </w:rPr>
            </w:pPr>
            <w:r>
              <w:rPr>
                <w:color w:val="auto"/>
                <w:sz w:val="22"/>
                <w:szCs w:val="22"/>
              </w:rPr>
              <w:t>4.3</w:t>
            </w:r>
          </w:p>
        </w:tc>
        <w:tc>
          <w:tcPr>
            <w:tcW w:w="7370" w:type="dxa"/>
          </w:tcPr>
          <w:p w14:paraId="0D36080C">
            <w:pPr>
              <w:pStyle w:val="85"/>
              <w:jc w:val="both"/>
              <w:rPr>
                <w:color w:val="auto"/>
                <w:sz w:val="22"/>
                <w:szCs w:val="22"/>
              </w:rPr>
            </w:pPr>
            <w:r>
              <w:rPr>
                <w:color w:val="auto"/>
                <w:sz w:val="22"/>
                <w:szCs w:val="22"/>
              </w:rPr>
              <w:t>Проводить разбор имени существительного как части речи</w:t>
            </w:r>
          </w:p>
        </w:tc>
      </w:tr>
      <w:tr w14:paraId="60C35C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701" w:type="dxa"/>
          </w:tcPr>
          <w:p w14:paraId="740E8F99">
            <w:pPr>
              <w:pStyle w:val="85"/>
              <w:jc w:val="center"/>
              <w:rPr>
                <w:color w:val="auto"/>
                <w:sz w:val="22"/>
                <w:szCs w:val="22"/>
              </w:rPr>
            </w:pPr>
            <w:r>
              <w:rPr>
                <w:color w:val="auto"/>
                <w:sz w:val="22"/>
                <w:szCs w:val="22"/>
              </w:rPr>
              <w:t>4.4</w:t>
            </w:r>
          </w:p>
        </w:tc>
        <w:tc>
          <w:tcPr>
            <w:tcW w:w="7370" w:type="dxa"/>
          </w:tcPr>
          <w:p w14:paraId="727E811A">
            <w:pPr>
              <w:pStyle w:val="85"/>
              <w:jc w:val="both"/>
              <w:rPr>
                <w:color w:val="auto"/>
                <w:sz w:val="22"/>
                <w:szCs w:val="22"/>
              </w:rPr>
            </w:pPr>
            <w:r>
              <w:rPr>
                <w:color w:val="auto"/>
                <w:sz w:val="22"/>
                <w:szCs w:val="22"/>
              </w:rPr>
              <w:t>Определять грамматические признаки имен прилагательных: род (в единственном числе), число, падеж</w:t>
            </w:r>
          </w:p>
        </w:tc>
      </w:tr>
      <w:tr w14:paraId="38B88E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701" w:type="dxa"/>
          </w:tcPr>
          <w:p w14:paraId="4D2BB590">
            <w:pPr>
              <w:pStyle w:val="85"/>
              <w:jc w:val="center"/>
              <w:rPr>
                <w:color w:val="auto"/>
                <w:sz w:val="22"/>
                <w:szCs w:val="22"/>
              </w:rPr>
            </w:pPr>
            <w:r>
              <w:rPr>
                <w:color w:val="auto"/>
                <w:sz w:val="22"/>
                <w:szCs w:val="22"/>
              </w:rPr>
              <w:t>4.5</w:t>
            </w:r>
          </w:p>
        </w:tc>
        <w:tc>
          <w:tcPr>
            <w:tcW w:w="7370" w:type="dxa"/>
          </w:tcPr>
          <w:p w14:paraId="1AD79AD6">
            <w:pPr>
              <w:pStyle w:val="85"/>
              <w:jc w:val="both"/>
              <w:rPr>
                <w:color w:val="auto"/>
                <w:sz w:val="22"/>
                <w:szCs w:val="22"/>
              </w:rPr>
            </w:pPr>
            <w:r>
              <w:rPr>
                <w:color w:val="auto"/>
                <w:sz w:val="22"/>
                <w:szCs w:val="22"/>
              </w:rPr>
              <w:t>Проводить разбор имени прилагательного как части речи</w:t>
            </w:r>
          </w:p>
        </w:tc>
      </w:tr>
      <w:tr w14:paraId="086B53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701" w:type="dxa"/>
          </w:tcPr>
          <w:p w14:paraId="44F4CCBA">
            <w:pPr>
              <w:pStyle w:val="85"/>
              <w:jc w:val="center"/>
              <w:rPr>
                <w:color w:val="auto"/>
                <w:sz w:val="22"/>
                <w:szCs w:val="22"/>
              </w:rPr>
            </w:pPr>
            <w:r>
              <w:rPr>
                <w:color w:val="auto"/>
                <w:sz w:val="22"/>
                <w:szCs w:val="22"/>
              </w:rPr>
              <w:t>4.6</w:t>
            </w:r>
          </w:p>
        </w:tc>
        <w:tc>
          <w:tcPr>
            <w:tcW w:w="7370" w:type="dxa"/>
          </w:tcPr>
          <w:p w14:paraId="6B398DB0">
            <w:pPr>
              <w:pStyle w:val="85"/>
              <w:jc w:val="both"/>
              <w:rPr>
                <w:color w:val="auto"/>
                <w:sz w:val="22"/>
                <w:szCs w:val="22"/>
              </w:rPr>
            </w:pPr>
            <w:r>
              <w:rPr>
                <w:color w:val="auto"/>
                <w:sz w:val="22"/>
                <w:szCs w:val="22"/>
              </w:rPr>
              <w:t>Устанавливать (находить) неопределенную форму глагола</w:t>
            </w:r>
          </w:p>
        </w:tc>
      </w:tr>
      <w:tr w14:paraId="47F29B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701" w:type="dxa"/>
          </w:tcPr>
          <w:p w14:paraId="63C02045">
            <w:pPr>
              <w:pStyle w:val="85"/>
              <w:jc w:val="center"/>
              <w:rPr>
                <w:color w:val="auto"/>
                <w:sz w:val="22"/>
                <w:szCs w:val="22"/>
              </w:rPr>
            </w:pPr>
            <w:r>
              <w:rPr>
                <w:color w:val="auto"/>
                <w:sz w:val="22"/>
                <w:szCs w:val="22"/>
              </w:rPr>
              <w:t>4.7</w:t>
            </w:r>
          </w:p>
        </w:tc>
        <w:tc>
          <w:tcPr>
            <w:tcW w:w="7370" w:type="dxa"/>
          </w:tcPr>
          <w:p w14:paraId="2D837EFF">
            <w:pPr>
              <w:pStyle w:val="85"/>
              <w:jc w:val="both"/>
              <w:rPr>
                <w:color w:val="auto"/>
                <w:sz w:val="22"/>
                <w:szCs w:val="22"/>
              </w:rPr>
            </w:pPr>
            <w:r>
              <w:rPr>
                <w:color w:val="auto"/>
                <w:sz w:val="22"/>
                <w:szCs w:val="22"/>
              </w:rPr>
              <w:t>Определять грамматические признаки глаголов: спряжение, время, лицо (в настоящем и будущем времени), число, род (в прошедшем времени в единственном числе)</w:t>
            </w:r>
          </w:p>
        </w:tc>
      </w:tr>
      <w:tr w14:paraId="264C2A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701" w:type="dxa"/>
          </w:tcPr>
          <w:p w14:paraId="2888E87D">
            <w:pPr>
              <w:pStyle w:val="85"/>
              <w:jc w:val="center"/>
              <w:rPr>
                <w:color w:val="auto"/>
                <w:sz w:val="22"/>
                <w:szCs w:val="22"/>
              </w:rPr>
            </w:pPr>
            <w:r>
              <w:rPr>
                <w:color w:val="auto"/>
                <w:sz w:val="22"/>
                <w:szCs w:val="22"/>
              </w:rPr>
              <w:t>4.8</w:t>
            </w:r>
          </w:p>
        </w:tc>
        <w:tc>
          <w:tcPr>
            <w:tcW w:w="7370" w:type="dxa"/>
          </w:tcPr>
          <w:p w14:paraId="7C1D8510">
            <w:pPr>
              <w:pStyle w:val="85"/>
              <w:jc w:val="both"/>
              <w:rPr>
                <w:color w:val="auto"/>
                <w:sz w:val="22"/>
                <w:szCs w:val="22"/>
              </w:rPr>
            </w:pPr>
            <w:r>
              <w:rPr>
                <w:color w:val="auto"/>
                <w:sz w:val="22"/>
                <w:szCs w:val="22"/>
              </w:rPr>
              <w:t>Изменять глаголы в настоящем и будущем времени по лицам и числам (спрягать)</w:t>
            </w:r>
          </w:p>
        </w:tc>
      </w:tr>
      <w:tr w14:paraId="2D312E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701" w:type="dxa"/>
          </w:tcPr>
          <w:p w14:paraId="09199D47">
            <w:pPr>
              <w:pStyle w:val="85"/>
              <w:jc w:val="center"/>
              <w:rPr>
                <w:color w:val="auto"/>
                <w:sz w:val="22"/>
                <w:szCs w:val="22"/>
              </w:rPr>
            </w:pPr>
            <w:r>
              <w:rPr>
                <w:color w:val="auto"/>
                <w:sz w:val="22"/>
                <w:szCs w:val="22"/>
              </w:rPr>
              <w:t>4.9</w:t>
            </w:r>
          </w:p>
        </w:tc>
        <w:tc>
          <w:tcPr>
            <w:tcW w:w="7370" w:type="dxa"/>
          </w:tcPr>
          <w:p w14:paraId="0766AFC1">
            <w:pPr>
              <w:pStyle w:val="85"/>
              <w:jc w:val="both"/>
              <w:rPr>
                <w:color w:val="auto"/>
                <w:sz w:val="22"/>
                <w:szCs w:val="22"/>
              </w:rPr>
            </w:pPr>
            <w:r>
              <w:rPr>
                <w:color w:val="auto"/>
                <w:sz w:val="22"/>
                <w:szCs w:val="22"/>
              </w:rPr>
              <w:t>Проводить разбор глагола как части речи</w:t>
            </w:r>
          </w:p>
        </w:tc>
      </w:tr>
      <w:tr w14:paraId="7DB769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701" w:type="dxa"/>
          </w:tcPr>
          <w:p w14:paraId="0844C930">
            <w:pPr>
              <w:pStyle w:val="85"/>
              <w:jc w:val="center"/>
              <w:rPr>
                <w:color w:val="auto"/>
                <w:sz w:val="22"/>
                <w:szCs w:val="22"/>
              </w:rPr>
            </w:pPr>
            <w:r>
              <w:rPr>
                <w:color w:val="auto"/>
                <w:sz w:val="22"/>
                <w:szCs w:val="22"/>
              </w:rPr>
              <w:t>4.10</w:t>
            </w:r>
          </w:p>
        </w:tc>
        <w:tc>
          <w:tcPr>
            <w:tcW w:w="7370" w:type="dxa"/>
          </w:tcPr>
          <w:p w14:paraId="72AE78C7">
            <w:pPr>
              <w:pStyle w:val="85"/>
              <w:jc w:val="both"/>
              <w:rPr>
                <w:color w:val="auto"/>
                <w:sz w:val="22"/>
                <w:szCs w:val="22"/>
              </w:rPr>
            </w:pPr>
            <w:r>
              <w:rPr>
                <w:color w:val="auto"/>
                <w:sz w:val="22"/>
                <w:szCs w:val="22"/>
              </w:rPr>
              <w:t>Определять грамматические признаки личного местоимения в начальной форме: лицо, число, род (у местоимений 3-го лица в единственном числе)</w:t>
            </w:r>
          </w:p>
        </w:tc>
      </w:tr>
      <w:tr w14:paraId="71373E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701" w:type="dxa"/>
          </w:tcPr>
          <w:p w14:paraId="00CBF4DB">
            <w:pPr>
              <w:pStyle w:val="85"/>
              <w:jc w:val="center"/>
              <w:rPr>
                <w:color w:val="auto"/>
                <w:sz w:val="22"/>
                <w:szCs w:val="22"/>
              </w:rPr>
            </w:pPr>
            <w:r>
              <w:rPr>
                <w:color w:val="auto"/>
                <w:sz w:val="22"/>
                <w:szCs w:val="22"/>
              </w:rPr>
              <w:t>4.11</w:t>
            </w:r>
          </w:p>
        </w:tc>
        <w:tc>
          <w:tcPr>
            <w:tcW w:w="7370" w:type="dxa"/>
          </w:tcPr>
          <w:p w14:paraId="4E25B382">
            <w:pPr>
              <w:pStyle w:val="85"/>
              <w:jc w:val="both"/>
              <w:rPr>
                <w:color w:val="auto"/>
                <w:sz w:val="22"/>
                <w:szCs w:val="22"/>
              </w:rPr>
            </w:pPr>
            <w:r>
              <w:rPr>
                <w:color w:val="auto"/>
                <w:sz w:val="22"/>
                <w:szCs w:val="22"/>
              </w:rPr>
              <w:t>Использовать личные местоимения для устранения неоправданных повторов в тексте</w:t>
            </w:r>
          </w:p>
        </w:tc>
      </w:tr>
      <w:tr w14:paraId="4A3056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701" w:type="dxa"/>
          </w:tcPr>
          <w:p w14:paraId="4AB82B9F">
            <w:pPr>
              <w:pStyle w:val="85"/>
              <w:jc w:val="center"/>
              <w:rPr>
                <w:color w:val="auto"/>
                <w:sz w:val="22"/>
                <w:szCs w:val="22"/>
              </w:rPr>
            </w:pPr>
            <w:r>
              <w:rPr>
                <w:color w:val="auto"/>
                <w:sz w:val="22"/>
                <w:szCs w:val="22"/>
              </w:rPr>
              <w:t>4.12</w:t>
            </w:r>
          </w:p>
        </w:tc>
        <w:tc>
          <w:tcPr>
            <w:tcW w:w="7370" w:type="dxa"/>
          </w:tcPr>
          <w:p w14:paraId="104C6002">
            <w:pPr>
              <w:pStyle w:val="85"/>
              <w:jc w:val="both"/>
              <w:rPr>
                <w:color w:val="auto"/>
                <w:sz w:val="22"/>
                <w:szCs w:val="22"/>
              </w:rPr>
            </w:pPr>
            <w:r>
              <w:rPr>
                <w:color w:val="auto"/>
                <w:sz w:val="22"/>
                <w:szCs w:val="22"/>
              </w:rPr>
              <w:t>Объяснять своими словами значение изученных понятий; использовать изученные понятия в процессе решения учебных задач</w:t>
            </w:r>
          </w:p>
        </w:tc>
      </w:tr>
      <w:tr w14:paraId="39D4A0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701" w:type="dxa"/>
          </w:tcPr>
          <w:p w14:paraId="6707E882">
            <w:pPr>
              <w:pStyle w:val="85"/>
              <w:jc w:val="center"/>
              <w:rPr>
                <w:color w:val="auto"/>
                <w:sz w:val="22"/>
                <w:szCs w:val="22"/>
              </w:rPr>
            </w:pPr>
            <w:r>
              <w:rPr>
                <w:color w:val="auto"/>
                <w:sz w:val="22"/>
                <w:szCs w:val="22"/>
              </w:rPr>
              <w:t>5</w:t>
            </w:r>
          </w:p>
        </w:tc>
        <w:tc>
          <w:tcPr>
            <w:tcW w:w="7370" w:type="dxa"/>
          </w:tcPr>
          <w:p w14:paraId="0C0D4830">
            <w:pPr>
              <w:pStyle w:val="85"/>
              <w:jc w:val="both"/>
              <w:rPr>
                <w:color w:val="auto"/>
                <w:sz w:val="22"/>
                <w:szCs w:val="22"/>
              </w:rPr>
            </w:pPr>
            <w:r>
              <w:rPr>
                <w:color w:val="auto"/>
                <w:sz w:val="22"/>
                <w:szCs w:val="22"/>
              </w:rPr>
              <w:t>Синтаксис</w:t>
            </w:r>
          </w:p>
        </w:tc>
      </w:tr>
      <w:tr w14:paraId="4420E4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701" w:type="dxa"/>
          </w:tcPr>
          <w:p w14:paraId="5152D72F">
            <w:pPr>
              <w:pStyle w:val="85"/>
              <w:jc w:val="center"/>
              <w:rPr>
                <w:color w:val="auto"/>
                <w:sz w:val="22"/>
                <w:szCs w:val="22"/>
              </w:rPr>
            </w:pPr>
            <w:r>
              <w:rPr>
                <w:color w:val="auto"/>
                <w:sz w:val="22"/>
                <w:szCs w:val="22"/>
              </w:rPr>
              <w:t>5.1</w:t>
            </w:r>
          </w:p>
        </w:tc>
        <w:tc>
          <w:tcPr>
            <w:tcW w:w="7370" w:type="dxa"/>
          </w:tcPr>
          <w:p w14:paraId="765BDCFB">
            <w:pPr>
              <w:pStyle w:val="85"/>
              <w:jc w:val="both"/>
              <w:rPr>
                <w:color w:val="auto"/>
                <w:sz w:val="22"/>
                <w:szCs w:val="22"/>
              </w:rPr>
            </w:pPr>
            <w:r>
              <w:rPr>
                <w:color w:val="auto"/>
                <w:sz w:val="22"/>
                <w:szCs w:val="22"/>
              </w:rPr>
              <w:t>Различать предложение, словосочетание и слово</w:t>
            </w:r>
          </w:p>
        </w:tc>
      </w:tr>
      <w:tr w14:paraId="20145F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701" w:type="dxa"/>
          </w:tcPr>
          <w:p w14:paraId="29F8FDA6">
            <w:pPr>
              <w:pStyle w:val="85"/>
              <w:jc w:val="center"/>
              <w:rPr>
                <w:color w:val="auto"/>
                <w:sz w:val="22"/>
                <w:szCs w:val="22"/>
              </w:rPr>
            </w:pPr>
            <w:r>
              <w:rPr>
                <w:color w:val="auto"/>
                <w:sz w:val="22"/>
                <w:szCs w:val="22"/>
              </w:rPr>
              <w:t>5.2</w:t>
            </w:r>
          </w:p>
        </w:tc>
        <w:tc>
          <w:tcPr>
            <w:tcW w:w="7370" w:type="dxa"/>
          </w:tcPr>
          <w:p w14:paraId="493E461B">
            <w:pPr>
              <w:pStyle w:val="85"/>
              <w:jc w:val="both"/>
              <w:rPr>
                <w:color w:val="auto"/>
                <w:sz w:val="22"/>
                <w:szCs w:val="22"/>
              </w:rPr>
            </w:pPr>
            <w:r>
              <w:rPr>
                <w:color w:val="auto"/>
                <w:sz w:val="22"/>
                <w:szCs w:val="22"/>
              </w:rPr>
              <w:t>Классифицировать предложения по цели высказывания и по эмоциональной окраске</w:t>
            </w:r>
          </w:p>
        </w:tc>
      </w:tr>
      <w:tr w14:paraId="1C0871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701" w:type="dxa"/>
          </w:tcPr>
          <w:p w14:paraId="178F2E89">
            <w:pPr>
              <w:pStyle w:val="85"/>
              <w:jc w:val="center"/>
              <w:rPr>
                <w:color w:val="auto"/>
                <w:sz w:val="22"/>
                <w:szCs w:val="22"/>
              </w:rPr>
            </w:pPr>
            <w:r>
              <w:rPr>
                <w:color w:val="auto"/>
                <w:sz w:val="22"/>
                <w:szCs w:val="22"/>
              </w:rPr>
              <w:t>5.3</w:t>
            </w:r>
          </w:p>
        </w:tc>
        <w:tc>
          <w:tcPr>
            <w:tcW w:w="7370" w:type="dxa"/>
          </w:tcPr>
          <w:p w14:paraId="72D41234">
            <w:pPr>
              <w:pStyle w:val="85"/>
              <w:jc w:val="both"/>
              <w:rPr>
                <w:color w:val="auto"/>
                <w:sz w:val="22"/>
                <w:szCs w:val="22"/>
              </w:rPr>
            </w:pPr>
            <w:r>
              <w:rPr>
                <w:color w:val="auto"/>
                <w:sz w:val="22"/>
                <w:szCs w:val="22"/>
              </w:rPr>
              <w:t>Различать распространенные и нераспространенные предложения</w:t>
            </w:r>
          </w:p>
        </w:tc>
      </w:tr>
      <w:tr w14:paraId="145FA1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701" w:type="dxa"/>
          </w:tcPr>
          <w:p w14:paraId="113B5130">
            <w:pPr>
              <w:pStyle w:val="85"/>
              <w:jc w:val="center"/>
              <w:rPr>
                <w:color w:val="auto"/>
                <w:sz w:val="22"/>
                <w:szCs w:val="22"/>
              </w:rPr>
            </w:pPr>
            <w:r>
              <w:rPr>
                <w:color w:val="auto"/>
                <w:sz w:val="22"/>
                <w:szCs w:val="22"/>
              </w:rPr>
              <w:t>5.4</w:t>
            </w:r>
          </w:p>
        </w:tc>
        <w:tc>
          <w:tcPr>
            <w:tcW w:w="7370" w:type="dxa"/>
          </w:tcPr>
          <w:p w14:paraId="7B6A1AC2">
            <w:pPr>
              <w:pStyle w:val="85"/>
              <w:jc w:val="both"/>
              <w:rPr>
                <w:color w:val="auto"/>
                <w:sz w:val="22"/>
                <w:szCs w:val="22"/>
              </w:rPr>
            </w:pPr>
            <w:r>
              <w:rPr>
                <w:color w:val="auto"/>
                <w:sz w:val="22"/>
                <w:szCs w:val="22"/>
              </w:rPr>
              <w:t>Распознавать предложения с однородными членами</w:t>
            </w:r>
          </w:p>
        </w:tc>
      </w:tr>
      <w:tr w14:paraId="4C95FE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701" w:type="dxa"/>
          </w:tcPr>
          <w:p w14:paraId="33D61D8F">
            <w:pPr>
              <w:pStyle w:val="85"/>
              <w:jc w:val="center"/>
              <w:rPr>
                <w:color w:val="auto"/>
                <w:sz w:val="22"/>
                <w:szCs w:val="22"/>
              </w:rPr>
            </w:pPr>
            <w:r>
              <w:rPr>
                <w:color w:val="auto"/>
                <w:sz w:val="22"/>
                <w:szCs w:val="22"/>
              </w:rPr>
              <w:t>5.5</w:t>
            </w:r>
          </w:p>
        </w:tc>
        <w:tc>
          <w:tcPr>
            <w:tcW w:w="7370" w:type="dxa"/>
          </w:tcPr>
          <w:p w14:paraId="6ADE2531">
            <w:pPr>
              <w:pStyle w:val="85"/>
              <w:jc w:val="both"/>
              <w:rPr>
                <w:color w:val="auto"/>
                <w:sz w:val="22"/>
                <w:szCs w:val="22"/>
              </w:rPr>
            </w:pPr>
            <w:r>
              <w:rPr>
                <w:color w:val="auto"/>
                <w:sz w:val="22"/>
                <w:szCs w:val="22"/>
              </w:rPr>
              <w:t>Составлять предложения с однородными членами</w:t>
            </w:r>
          </w:p>
        </w:tc>
      </w:tr>
      <w:tr w14:paraId="06E092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701" w:type="dxa"/>
          </w:tcPr>
          <w:p w14:paraId="0D07FCBD">
            <w:pPr>
              <w:pStyle w:val="85"/>
              <w:jc w:val="center"/>
              <w:rPr>
                <w:color w:val="auto"/>
                <w:sz w:val="22"/>
                <w:szCs w:val="22"/>
              </w:rPr>
            </w:pPr>
            <w:r>
              <w:rPr>
                <w:color w:val="auto"/>
                <w:sz w:val="22"/>
                <w:szCs w:val="22"/>
              </w:rPr>
              <w:t>5.6</w:t>
            </w:r>
          </w:p>
        </w:tc>
        <w:tc>
          <w:tcPr>
            <w:tcW w:w="7370" w:type="dxa"/>
          </w:tcPr>
          <w:p w14:paraId="7EFC4B2F">
            <w:pPr>
              <w:pStyle w:val="85"/>
              <w:jc w:val="both"/>
              <w:rPr>
                <w:color w:val="auto"/>
                <w:sz w:val="22"/>
                <w:szCs w:val="22"/>
              </w:rPr>
            </w:pPr>
            <w:r>
              <w:rPr>
                <w:color w:val="auto"/>
                <w:sz w:val="22"/>
                <w:szCs w:val="22"/>
              </w:rPr>
              <w:t>Использовать предложения с однородными членами в речи</w:t>
            </w:r>
          </w:p>
        </w:tc>
      </w:tr>
      <w:tr w14:paraId="48FCB8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701" w:type="dxa"/>
          </w:tcPr>
          <w:p w14:paraId="02DD42A0">
            <w:pPr>
              <w:pStyle w:val="85"/>
              <w:jc w:val="center"/>
              <w:rPr>
                <w:color w:val="auto"/>
                <w:sz w:val="22"/>
                <w:szCs w:val="22"/>
              </w:rPr>
            </w:pPr>
            <w:r>
              <w:rPr>
                <w:color w:val="auto"/>
                <w:sz w:val="22"/>
                <w:szCs w:val="22"/>
              </w:rPr>
              <w:t>5.7</w:t>
            </w:r>
          </w:p>
        </w:tc>
        <w:tc>
          <w:tcPr>
            <w:tcW w:w="7370" w:type="dxa"/>
          </w:tcPr>
          <w:p w14:paraId="3223F11F">
            <w:pPr>
              <w:pStyle w:val="85"/>
              <w:jc w:val="both"/>
              <w:rPr>
                <w:color w:val="auto"/>
                <w:sz w:val="22"/>
                <w:szCs w:val="22"/>
              </w:rPr>
            </w:pPr>
            <w:r>
              <w:rPr>
                <w:color w:val="auto"/>
                <w:sz w:val="22"/>
                <w:szCs w:val="22"/>
              </w:rPr>
              <w:t>Разграничивать простые распространенные и сложные</w:t>
            </w:r>
          </w:p>
          <w:p w14:paraId="2C866DE7">
            <w:pPr>
              <w:pStyle w:val="85"/>
              <w:jc w:val="both"/>
              <w:rPr>
                <w:color w:val="auto"/>
                <w:sz w:val="22"/>
                <w:szCs w:val="22"/>
              </w:rPr>
            </w:pPr>
            <w:r>
              <w:rPr>
                <w:color w:val="auto"/>
                <w:sz w:val="22"/>
                <w:szCs w:val="22"/>
              </w:rPr>
              <w:t>предложения, состоящие из двух простых (сложносочиненные с союзами и, а, но и бессоюзные сложные предложения без называния терминов)</w:t>
            </w:r>
          </w:p>
        </w:tc>
      </w:tr>
      <w:tr w14:paraId="57158E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701" w:type="dxa"/>
          </w:tcPr>
          <w:p w14:paraId="101A0B60">
            <w:pPr>
              <w:pStyle w:val="85"/>
              <w:jc w:val="center"/>
              <w:rPr>
                <w:color w:val="auto"/>
                <w:sz w:val="22"/>
                <w:szCs w:val="22"/>
              </w:rPr>
            </w:pPr>
            <w:r>
              <w:rPr>
                <w:color w:val="auto"/>
                <w:sz w:val="22"/>
                <w:szCs w:val="22"/>
              </w:rPr>
              <w:t>5.8</w:t>
            </w:r>
          </w:p>
        </w:tc>
        <w:tc>
          <w:tcPr>
            <w:tcW w:w="7370" w:type="dxa"/>
          </w:tcPr>
          <w:p w14:paraId="7A2F127B">
            <w:pPr>
              <w:pStyle w:val="85"/>
              <w:jc w:val="both"/>
              <w:rPr>
                <w:color w:val="auto"/>
                <w:sz w:val="22"/>
                <w:szCs w:val="22"/>
              </w:rPr>
            </w:pPr>
            <w:r>
              <w:rPr>
                <w:color w:val="auto"/>
                <w:sz w:val="22"/>
                <w:szCs w:val="22"/>
              </w:rPr>
              <w:t>Составлять простые распространенные и сложные предложения, состоящие из двух простых (сложносочиненные с союзами и, а, но и бессоюзные сложные предложения без называния терминов)</w:t>
            </w:r>
          </w:p>
        </w:tc>
      </w:tr>
      <w:tr w14:paraId="0BBBE8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701" w:type="dxa"/>
          </w:tcPr>
          <w:p w14:paraId="05E637C2">
            <w:pPr>
              <w:pStyle w:val="85"/>
              <w:jc w:val="center"/>
              <w:rPr>
                <w:color w:val="auto"/>
                <w:sz w:val="22"/>
                <w:szCs w:val="22"/>
              </w:rPr>
            </w:pPr>
            <w:r>
              <w:rPr>
                <w:color w:val="auto"/>
                <w:sz w:val="22"/>
                <w:szCs w:val="22"/>
              </w:rPr>
              <w:t>5.9</w:t>
            </w:r>
          </w:p>
        </w:tc>
        <w:tc>
          <w:tcPr>
            <w:tcW w:w="7370" w:type="dxa"/>
          </w:tcPr>
          <w:p w14:paraId="7418479E">
            <w:pPr>
              <w:pStyle w:val="85"/>
              <w:jc w:val="both"/>
              <w:rPr>
                <w:color w:val="auto"/>
                <w:sz w:val="22"/>
                <w:szCs w:val="22"/>
              </w:rPr>
            </w:pPr>
            <w:r>
              <w:rPr>
                <w:color w:val="auto"/>
                <w:sz w:val="22"/>
                <w:szCs w:val="22"/>
              </w:rPr>
              <w:t>Производить синтаксический разбор простого предложения</w:t>
            </w:r>
          </w:p>
        </w:tc>
      </w:tr>
      <w:tr w14:paraId="5CA847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701" w:type="dxa"/>
          </w:tcPr>
          <w:p w14:paraId="0C0DE063">
            <w:pPr>
              <w:pStyle w:val="85"/>
              <w:jc w:val="center"/>
              <w:rPr>
                <w:color w:val="auto"/>
                <w:sz w:val="22"/>
                <w:szCs w:val="22"/>
              </w:rPr>
            </w:pPr>
            <w:r>
              <w:rPr>
                <w:color w:val="auto"/>
                <w:sz w:val="22"/>
                <w:szCs w:val="22"/>
              </w:rPr>
              <w:t>5.10</w:t>
            </w:r>
          </w:p>
        </w:tc>
        <w:tc>
          <w:tcPr>
            <w:tcW w:w="7370" w:type="dxa"/>
          </w:tcPr>
          <w:p w14:paraId="691F142F">
            <w:pPr>
              <w:pStyle w:val="85"/>
              <w:jc w:val="both"/>
              <w:rPr>
                <w:color w:val="auto"/>
                <w:sz w:val="22"/>
                <w:szCs w:val="22"/>
              </w:rPr>
            </w:pPr>
            <w:r>
              <w:rPr>
                <w:color w:val="auto"/>
                <w:sz w:val="22"/>
                <w:szCs w:val="22"/>
              </w:rPr>
              <w:t>Объяснять своими словами значение изученных понятий; использовать изученные понятия в процессе решения учебных задач</w:t>
            </w:r>
          </w:p>
        </w:tc>
      </w:tr>
      <w:tr w14:paraId="162830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701" w:type="dxa"/>
          </w:tcPr>
          <w:p w14:paraId="6D409A17">
            <w:pPr>
              <w:pStyle w:val="85"/>
              <w:jc w:val="center"/>
              <w:rPr>
                <w:color w:val="auto"/>
                <w:sz w:val="22"/>
                <w:szCs w:val="22"/>
              </w:rPr>
            </w:pPr>
            <w:r>
              <w:rPr>
                <w:color w:val="auto"/>
                <w:sz w:val="22"/>
                <w:szCs w:val="22"/>
              </w:rPr>
              <w:t>6</w:t>
            </w:r>
          </w:p>
        </w:tc>
        <w:tc>
          <w:tcPr>
            <w:tcW w:w="7370" w:type="dxa"/>
          </w:tcPr>
          <w:p w14:paraId="38A2F672">
            <w:pPr>
              <w:pStyle w:val="85"/>
              <w:jc w:val="both"/>
              <w:rPr>
                <w:color w:val="auto"/>
                <w:sz w:val="22"/>
                <w:szCs w:val="22"/>
              </w:rPr>
            </w:pPr>
            <w:r>
              <w:rPr>
                <w:color w:val="auto"/>
                <w:sz w:val="22"/>
                <w:szCs w:val="22"/>
              </w:rPr>
              <w:t>Орфография и пунктуация</w:t>
            </w:r>
          </w:p>
        </w:tc>
      </w:tr>
      <w:tr w14:paraId="10172F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701" w:type="dxa"/>
          </w:tcPr>
          <w:p w14:paraId="1A32D77D">
            <w:pPr>
              <w:pStyle w:val="85"/>
              <w:jc w:val="center"/>
              <w:rPr>
                <w:color w:val="auto"/>
                <w:sz w:val="22"/>
                <w:szCs w:val="22"/>
              </w:rPr>
            </w:pPr>
            <w:r>
              <w:rPr>
                <w:color w:val="auto"/>
                <w:sz w:val="22"/>
                <w:szCs w:val="22"/>
              </w:rPr>
              <w:t>6.1</w:t>
            </w:r>
          </w:p>
        </w:tc>
        <w:tc>
          <w:tcPr>
            <w:tcW w:w="7370" w:type="dxa"/>
          </w:tcPr>
          <w:p w14:paraId="56CC7B8E">
            <w:pPr>
              <w:pStyle w:val="85"/>
              <w:jc w:val="both"/>
              <w:rPr>
                <w:color w:val="auto"/>
                <w:sz w:val="22"/>
                <w:szCs w:val="22"/>
              </w:rPr>
            </w:pPr>
            <w:r>
              <w:rPr>
                <w:color w:val="auto"/>
                <w:sz w:val="22"/>
                <w:szCs w:val="22"/>
              </w:rPr>
              <w:t>Применять изученные правила правописания, в том числе: знаки препинания в предложениях с однородными членами, соединенными союзами и, а, но и без союзов</w:t>
            </w:r>
          </w:p>
        </w:tc>
      </w:tr>
      <w:tr w14:paraId="169C89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701" w:type="dxa"/>
          </w:tcPr>
          <w:p w14:paraId="7C93E5E5">
            <w:pPr>
              <w:pStyle w:val="85"/>
              <w:jc w:val="center"/>
              <w:rPr>
                <w:color w:val="auto"/>
                <w:sz w:val="22"/>
                <w:szCs w:val="22"/>
              </w:rPr>
            </w:pPr>
            <w:r>
              <w:rPr>
                <w:color w:val="auto"/>
                <w:sz w:val="22"/>
                <w:szCs w:val="22"/>
              </w:rPr>
              <w:t>6.2</w:t>
            </w:r>
          </w:p>
        </w:tc>
        <w:tc>
          <w:tcPr>
            <w:tcW w:w="7370" w:type="dxa"/>
          </w:tcPr>
          <w:p w14:paraId="30E5C4D2">
            <w:pPr>
              <w:pStyle w:val="85"/>
              <w:jc w:val="both"/>
              <w:rPr>
                <w:color w:val="auto"/>
                <w:sz w:val="22"/>
                <w:szCs w:val="22"/>
              </w:rPr>
            </w:pPr>
            <w:r>
              <w:rPr>
                <w:color w:val="auto"/>
                <w:sz w:val="22"/>
                <w:szCs w:val="22"/>
              </w:rPr>
              <w:t>Применять изученные правила правописания, в том числе: непроверяемые гласные и согласные (перечень слов в орфографическом словаре учебника); безударные падежные окончания имен существительных (кроме существительных на -мя, -ий, -ие, -ия, на -ья типа гостья, на -ье типа ожерелье во множественном числе, а также кроме собственных имен существительных на -ов, -ин, -ий); безударные падежные окончания имен прилагательных; мягкий знак после шипящих на конце глаголов в форме 2-го лица единственного числа; наличие или отсутствие мягкого знака в глаголах на -ться и -тся; безударные личные окончания глаголов</w:t>
            </w:r>
          </w:p>
        </w:tc>
      </w:tr>
      <w:tr w14:paraId="49DA02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701" w:type="dxa"/>
          </w:tcPr>
          <w:p w14:paraId="57C12F15">
            <w:pPr>
              <w:pStyle w:val="85"/>
              <w:jc w:val="center"/>
              <w:rPr>
                <w:color w:val="auto"/>
                <w:sz w:val="22"/>
                <w:szCs w:val="22"/>
              </w:rPr>
            </w:pPr>
            <w:r>
              <w:rPr>
                <w:color w:val="auto"/>
                <w:sz w:val="22"/>
                <w:szCs w:val="22"/>
              </w:rPr>
              <w:t>6.3</w:t>
            </w:r>
          </w:p>
        </w:tc>
        <w:tc>
          <w:tcPr>
            <w:tcW w:w="7370" w:type="dxa"/>
          </w:tcPr>
          <w:p w14:paraId="0B857D07">
            <w:pPr>
              <w:pStyle w:val="85"/>
              <w:jc w:val="both"/>
              <w:rPr>
                <w:color w:val="auto"/>
                <w:sz w:val="22"/>
                <w:szCs w:val="22"/>
              </w:rPr>
            </w:pPr>
            <w:r>
              <w:rPr>
                <w:color w:val="auto"/>
                <w:sz w:val="22"/>
                <w:szCs w:val="22"/>
              </w:rPr>
              <w:t>Находить место орфограммы в слове и между словами на изученные правила</w:t>
            </w:r>
          </w:p>
        </w:tc>
      </w:tr>
      <w:tr w14:paraId="700244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701" w:type="dxa"/>
          </w:tcPr>
          <w:p w14:paraId="37A634AD">
            <w:pPr>
              <w:pStyle w:val="85"/>
              <w:jc w:val="center"/>
              <w:rPr>
                <w:color w:val="auto"/>
                <w:sz w:val="22"/>
                <w:szCs w:val="22"/>
              </w:rPr>
            </w:pPr>
            <w:r>
              <w:rPr>
                <w:color w:val="auto"/>
                <w:sz w:val="22"/>
                <w:szCs w:val="22"/>
              </w:rPr>
              <w:t>6.4</w:t>
            </w:r>
          </w:p>
        </w:tc>
        <w:tc>
          <w:tcPr>
            <w:tcW w:w="7370" w:type="dxa"/>
          </w:tcPr>
          <w:p w14:paraId="4DA6D056">
            <w:pPr>
              <w:pStyle w:val="85"/>
              <w:jc w:val="both"/>
              <w:rPr>
                <w:color w:val="auto"/>
                <w:sz w:val="22"/>
                <w:szCs w:val="22"/>
              </w:rPr>
            </w:pPr>
            <w:r>
              <w:rPr>
                <w:color w:val="auto"/>
                <w:sz w:val="22"/>
                <w:szCs w:val="22"/>
              </w:rPr>
              <w:t>Правильно списывать тексты объемом не более 85 слов</w:t>
            </w:r>
          </w:p>
        </w:tc>
      </w:tr>
      <w:tr w14:paraId="275F0B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701" w:type="dxa"/>
          </w:tcPr>
          <w:p w14:paraId="4B867E0C">
            <w:pPr>
              <w:pStyle w:val="85"/>
              <w:jc w:val="center"/>
              <w:rPr>
                <w:color w:val="auto"/>
                <w:sz w:val="22"/>
                <w:szCs w:val="22"/>
              </w:rPr>
            </w:pPr>
            <w:r>
              <w:rPr>
                <w:color w:val="auto"/>
                <w:sz w:val="22"/>
                <w:szCs w:val="22"/>
              </w:rPr>
              <w:t>6.5</w:t>
            </w:r>
          </w:p>
        </w:tc>
        <w:tc>
          <w:tcPr>
            <w:tcW w:w="7370" w:type="dxa"/>
          </w:tcPr>
          <w:p w14:paraId="3153CFC6">
            <w:pPr>
              <w:pStyle w:val="85"/>
              <w:jc w:val="both"/>
              <w:rPr>
                <w:color w:val="auto"/>
                <w:sz w:val="22"/>
                <w:szCs w:val="22"/>
              </w:rPr>
            </w:pPr>
            <w:r>
              <w:rPr>
                <w:color w:val="auto"/>
                <w:sz w:val="22"/>
                <w:szCs w:val="22"/>
              </w:rPr>
              <w:t>Писать под диктовку тексты объемом не более 80 слов с учетом изученных правил правописания</w:t>
            </w:r>
          </w:p>
        </w:tc>
      </w:tr>
      <w:tr w14:paraId="345E36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701" w:type="dxa"/>
          </w:tcPr>
          <w:p w14:paraId="5195F874">
            <w:pPr>
              <w:pStyle w:val="85"/>
              <w:jc w:val="center"/>
              <w:rPr>
                <w:color w:val="auto"/>
                <w:sz w:val="22"/>
                <w:szCs w:val="22"/>
              </w:rPr>
            </w:pPr>
            <w:r>
              <w:rPr>
                <w:color w:val="auto"/>
                <w:sz w:val="22"/>
                <w:szCs w:val="22"/>
              </w:rPr>
              <w:t>6.6</w:t>
            </w:r>
          </w:p>
        </w:tc>
        <w:tc>
          <w:tcPr>
            <w:tcW w:w="7370" w:type="dxa"/>
          </w:tcPr>
          <w:p w14:paraId="06470010">
            <w:pPr>
              <w:pStyle w:val="85"/>
              <w:jc w:val="both"/>
              <w:rPr>
                <w:color w:val="auto"/>
                <w:sz w:val="22"/>
                <w:szCs w:val="22"/>
              </w:rPr>
            </w:pPr>
            <w:r>
              <w:rPr>
                <w:color w:val="auto"/>
                <w:sz w:val="22"/>
                <w:szCs w:val="22"/>
              </w:rPr>
              <w:t>Находить и исправлять орфографические и пунктуационные ошибки на изученные правила, описки</w:t>
            </w:r>
          </w:p>
        </w:tc>
      </w:tr>
      <w:tr w14:paraId="490D0B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701" w:type="dxa"/>
          </w:tcPr>
          <w:p w14:paraId="4219152E">
            <w:pPr>
              <w:pStyle w:val="85"/>
              <w:jc w:val="center"/>
              <w:rPr>
                <w:color w:val="auto"/>
                <w:sz w:val="22"/>
                <w:szCs w:val="22"/>
              </w:rPr>
            </w:pPr>
            <w:r>
              <w:rPr>
                <w:color w:val="auto"/>
                <w:sz w:val="22"/>
                <w:szCs w:val="22"/>
              </w:rPr>
              <w:t>7</w:t>
            </w:r>
          </w:p>
        </w:tc>
        <w:tc>
          <w:tcPr>
            <w:tcW w:w="7370" w:type="dxa"/>
          </w:tcPr>
          <w:p w14:paraId="4F7FE1B6">
            <w:pPr>
              <w:pStyle w:val="85"/>
              <w:jc w:val="both"/>
              <w:rPr>
                <w:color w:val="auto"/>
                <w:sz w:val="22"/>
                <w:szCs w:val="22"/>
              </w:rPr>
            </w:pPr>
            <w:r>
              <w:rPr>
                <w:color w:val="auto"/>
                <w:sz w:val="22"/>
                <w:szCs w:val="22"/>
              </w:rPr>
              <w:t>Развитие речи</w:t>
            </w:r>
          </w:p>
        </w:tc>
      </w:tr>
      <w:tr w14:paraId="2891A4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701" w:type="dxa"/>
          </w:tcPr>
          <w:p w14:paraId="456E1D82">
            <w:pPr>
              <w:pStyle w:val="85"/>
              <w:jc w:val="center"/>
              <w:rPr>
                <w:color w:val="auto"/>
                <w:sz w:val="22"/>
                <w:szCs w:val="22"/>
              </w:rPr>
            </w:pPr>
            <w:r>
              <w:rPr>
                <w:color w:val="auto"/>
                <w:sz w:val="22"/>
                <w:szCs w:val="22"/>
              </w:rPr>
              <w:t>7.1</w:t>
            </w:r>
          </w:p>
        </w:tc>
        <w:tc>
          <w:tcPr>
            <w:tcW w:w="7370" w:type="dxa"/>
          </w:tcPr>
          <w:p w14:paraId="198B78E5">
            <w:pPr>
              <w:pStyle w:val="85"/>
              <w:jc w:val="both"/>
              <w:rPr>
                <w:color w:val="auto"/>
                <w:sz w:val="22"/>
                <w:szCs w:val="22"/>
              </w:rPr>
            </w:pPr>
            <w:r>
              <w:rPr>
                <w:color w:val="auto"/>
                <w:sz w:val="22"/>
                <w:szCs w:val="22"/>
              </w:rPr>
              <w:t>Осознавать ситуацию общения (с какой целью, с кем, где происходит общение); выбирать адекватные языковые средства в ситуации общения</w:t>
            </w:r>
          </w:p>
        </w:tc>
      </w:tr>
      <w:tr w14:paraId="4A4F29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701" w:type="dxa"/>
          </w:tcPr>
          <w:p w14:paraId="121DC561">
            <w:pPr>
              <w:pStyle w:val="85"/>
              <w:jc w:val="center"/>
              <w:rPr>
                <w:color w:val="auto"/>
                <w:sz w:val="22"/>
                <w:szCs w:val="22"/>
              </w:rPr>
            </w:pPr>
            <w:r>
              <w:rPr>
                <w:color w:val="auto"/>
                <w:sz w:val="22"/>
                <w:szCs w:val="22"/>
              </w:rPr>
              <w:t>7.2</w:t>
            </w:r>
          </w:p>
        </w:tc>
        <w:tc>
          <w:tcPr>
            <w:tcW w:w="7370" w:type="dxa"/>
          </w:tcPr>
          <w:p w14:paraId="2CEF18FB">
            <w:pPr>
              <w:pStyle w:val="85"/>
              <w:jc w:val="both"/>
              <w:rPr>
                <w:color w:val="auto"/>
                <w:sz w:val="22"/>
                <w:szCs w:val="22"/>
              </w:rPr>
            </w:pPr>
            <w:r>
              <w:rPr>
                <w:color w:val="auto"/>
                <w:sz w:val="22"/>
                <w:szCs w:val="22"/>
              </w:rPr>
              <w:t>Строить устное диалогическое и монологическое высказывание (4 - 6 предложений), соблюдая орфоэпические нормы, правильную интонацию, нормы речевого взаимодействия</w:t>
            </w:r>
          </w:p>
        </w:tc>
      </w:tr>
      <w:tr w14:paraId="0E3CAA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701" w:type="dxa"/>
          </w:tcPr>
          <w:p w14:paraId="791D4F90">
            <w:pPr>
              <w:pStyle w:val="85"/>
              <w:jc w:val="center"/>
              <w:rPr>
                <w:color w:val="auto"/>
                <w:sz w:val="22"/>
                <w:szCs w:val="22"/>
              </w:rPr>
            </w:pPr>
            <w:r>
              <w:rPr>
                <w:color w:val="auto"/>
                <w:sz w:val="22"/>
                <w:szCs w:val="22"/>
              </w:rPr>
              <w:t>7.3</w:t>
            </w:r>
          </w:p>
        </w:tc>
        <w:tc>
          <w:tcPr>
            <w:tcW w:w="7370" w:type="dxa"/>
          </w:tcPr>
          <w:p w14:paraId="662B3A4F">
            <w:pPr>
              <w:pStyle w:val="85"/>
              <w:jc w:val="both"/>
              <w:rPr>
                <w:color w:val="auto"/>
                <w:sz w:val="22"/>
                <w:szCs w:val="22"/>
              </w:rPr>
            </w:pPr>
            <w:r>
              <w:rPr>
                <w:color w:val="auto"/>
                <w:sz w:val="22"/>
                <w:szCs w:val="22"/>
              </w:rPr>
              <w:t>Создавать небольшие устные и письменные тексты (3 - 5 предложений) для конкретной ситуации письменного общения (письма, поздравительные открытки, объявления и другие)</w:t>
            </w:r>
          </w:p>
        </w:tc>
      </w:tr>
      <w:tr w14:paraId="6FE3AB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701" w:type="dxa"/>
          </w:tcPr>
          <w:p w14:paraId="7C28A61D">
            <w:pPr>
              <w:pStyle w:val="85"/>
              <w:jc w:val="center"/>
              <w:rPr>
                <w:color w:val="auto"/>
                <w:sz w:val="22"/>
                <w:szCs w:val="22"/>
              </w:rPr>
            </w:pPr>
            <w:r>
              <w:rPr>
                <w:color w:val="auto"/>
                <w:sz w:val="22"/>
                <w:szCs w:val="22"/>
              </w:rPr>
              <w:t>7.4</w:t>
            </w:r>
          </w:p>
        </w:tc>
        <w:tc>
          <w:tcPr>
            <w:tcW w:w="7370" w:type="dxa"/>
          </w:tcPr>
          <w:p w14:paraId="221FDD18">
            <w:pPr>
              <w:pStyle w:val="85"/>
              <w:jc w:val="both"/>
              <w:rPr>
                <w:color w:val="auto"/>
                <w:sz w:val="22"/>
                <w:szCs w:val="22"/>
              </w:rPr>
            </w:pPr>
            <w:r>
              <w:rPr>
                <w:color w:val="auto"/>
                <w:sz w:val="22"/>
                <w:szCs w:val="22"/>
              </w:rPr>
              <w:t>Определять тему и основную мысль текста; самостоятельно озаглавливать текст с использованием темы или основной мысли</w:t>
            </w:r>
          </w:p>
        </w:tc>
      </w:tr>
      <w:tr w14:paraId="092C92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701" w:type="dxa"/>
          </w:tcPr>
          <w:p w14:paraId="2DBC75D7">
            <w:pPr>
              <w:pStyle w:val="85"/>
              <w:jc w:val="center"/>
              <w:rPr>
                <w:color w:val="auto"/>
                <w:sz w:val="22"/>
                <w:szCs w:val="22"/>
              </w:rPr>
            </w:pPr>
            <w:r>
              <w:rPr>
                <w:color w:val="auto"/>
                <w:sz w:val="22"/>
                <w:szCs w:val="22"/>
              </w:rPr>
              <w:t>7.5</w:t>
            </w:r>
          </w:p>
        </w:tc>
        <w:tc>
          <w:tcPr>
            <w:tcW w:w="7370" w:type="dxa"/>
          </w:tcPr>
          <w:p w14:paraId="1499987E">
            <w:pPr>
              <w:pStyle w:val="85"/>
              <w:jc w:val="both"/>
              <w:rPr>
                <w:color w:val="auto"/>
                <w:sz w:val="22"/>
                <w:szCs w:val="22"/>
              </w:rPr>
            </w:pPr>
            <w:r>
              <w:rPr>
                <w:color w:val="auto"/>
                <w:sz w:val="22"/>
                <w:szCs w:val="22"/>
              </w:rPr>
              <w:t>Корректировать порядок предложений и частей текста</w:t>
            </w:r>
          </w:p>
        </w:tc>
      </w:tr>
      <w:tr w14:paraId="5C7F6F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701" w:type="dxa"/>
          </w:tcPr>
          <w:p w14:paraId="1D242DBB">
            <w:pPr>
              <w:pStyle w:val="85"/>
              <w:jc w:val="center"/>
              <w:rPr>
                <w:color w:val="auto"/>
                <w:sz w:val="22"/>
                <w:szCs w:val="22"/>
              </w:rPr>
            </w:pPr>
            <w:r>
              <w:rPr>
                <w:color w:val="auto"/>
                <w:sz w:val="22"/>
                <w:szCs w:val="22"/>
              </w:rPr>
              <w:t>7.6</w:t>
            </w:r>
          </w:p>
        </w:tc>
        <w:tc>
          <w:tcPr>
            <w:tcW w:w="7370" w:type="dxa"/>
          </w:tcPr>
          <w:p w14:paraId="2444B861">
            <w:pPr>
              <w:pStyle w:val="85"/>
              <w:jc w:val="both"/>
              <w:rPr>
                <w:color w:val="auto"/>
                <w:sz w:val="22"/>
                <w:szCs w:val="22"/>
              </w:rPr>
            </w:pPr>
            <w:r>
              <w:rPr>
                <w:color w:val="auto"/>
                <w:sz w:val="22"/>
                <w:szCs w:val="22"/>
              </w:rPr>
              <w:t>Составлять план к заданным текстам</w:t>
            </w:r>
          </w:p>
        </w:tc>
      </w:tr>
      <w:tr w14:paraId="311C5E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701" w:type="dxa"/>
          </w:tcPr>
          <w:p w14:paraId="12A8C2EB">
            <w:pPr>
              <w:pStyle w:val="85"/>
              <w:jc w:val="center"/>
              <w:rPr>
                <w:color w:val="auto"/>
                <w:sz w:val="22"/>
                <w:szCs w:val="22"/>
              </w:rPr>
            </w:pPr>
            <w:r>
              <w:rPr>
                <w:color w:val="auto"/>
                <w:sz w:val="22"/>
                <w:szCs w:val="22"/>
              </w:rPr>
              <w:t>7.7</w:t>
            </w:r>
          </w:p>
        </w:tc>
        <w:tc>
          <w:tcPr>
            <w:tcW w:w="7370" w:type="dxa"/>
          </w:tcPr>
          <w:p w14:paraId="22C69578">
            <w:pPr>
              <w:pStyle w:val="85"/>
              <w:jc w:val="both"/>
              <w:rPr>
                <w:color w:val="auto"/>
                <w:sz w:val="22"/>
                <w:szCs w:val="22"/>
              </w:rPr>
            </w:pPr>
            <w:r>
              <w:rPr>
                <w:color w:val="auto"/>
                <w:sz w:val="22"/>
                <w:szCs w:val="22"/>
              </w:rPr>
              <w:t>Осуществлять подробный пересказ текста (устно и письменно)</w:t>
            </w:r>
          </w:p>
        </w:tc>
      </w:tr>
      <w:tr w14:paraId="4C368D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701" w:type="dxa"/>
          </w:tcPr>
          <w:p w14:paraId="164324C2">
            <w:pPr>
              <w:pStyle w:val="85"/>
              <w:jc w:val="center"/>
              <w:rPr>
                <w:color w:val="auto"/>
                <w:sz w:val="22"/>
                <w:szCs w:val="22"/>
              </w:rPr>
            </w:pPr>
            <w:r>
              <w:rPr>
                <w:color w:val="auto"/>
                <w:sz w:val="22"/>
                <w:szCs w:val="22"/>
              </w:rPr>
              <w:t>7.8</w:t>
            </w:r>
          </w:p>
        </w:tc>
        <w:tc>
          <w:tcPr>
            <w:tcW w:w="7370" w:type="dxa"/>
          </w:tcPr>
          <w:p w14:paraId="445A05AD">
            <w:pPr>
              <w:pStyle w:val="85"/>
              <w:jc w:val="both"/>
              <w:rPr>
                <w:color w:val="auto"/>
                <w:sz w:val="22"/>
                <w:szCs w:val="22"/>
              </w:rPr>
            </w:pPr>
            <w:r>
              <w:rPr>
                <w:color w:val="auto"/>
                <w:sz w:val="22"/>
                <w:szCs w:val="22"/>
              </w:rPr>
              <w:t>Осуществлять выборочный пересказ текста (устно)</w:t>
            </w:r>
          </w:p>
        </w:tc>
      </w:tr>
      <w:tr w14:paraId="6D97C9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701" w:type="dxa"/>
          </w:tcPr>
          <w:p w14:paraId="1309A217">
            <w:pPr>
              <w:pStyle w:val="85"/>
              <w:jc w:val="center"/>
              <w:rPr>
                <w:color w:val="auto"/>
                <w:sz w:val="22"/>
                <w:szCs w:val="22"/>
              </w:rPr>
            </w:pPr>
            <w:r>
              <w:rPr>
                <w:color w:val="auto"/>
                <w:sz w:val="22"/>
                <w:szCs w:val="22"/>
              </w:rPr>
              <w:t>7.9</w:t>
            </w:r>
          </w:p>
        </w:tc>
        <w:tc>
          <w:tcPr>
            <w:tcW w:w="7370" w:type="dxa"/>
          </w:tcPr>
          <w:p w14:paraId="1097B8D9">
            <w:pPr>
              <w:pStyle w:val="85"/>
              <w:jc w:val="both"/>
              <w:rPr>
                <w:color w:val="auto"/>
                <w:sz w:val="22"/>
                <w:szCs w:val="22"/>
              </w:rPr>
            </w:pPr>
            <w:r>
              <w:rPr>
                <w:color w:val="auto"/>
                <w:sz w:val="22"/>
                <w:szCs w:val="22"/>
              </w:rPr>
              <w:t>Писать (после предварительной подготовки) сочинения по заданным темам</w:t>
            </w:r>
          </w:p>
        </w:tc>
      </w:tr>
      <w:tr w14:paraId="5C78AF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701" w:type="dxa"/>
          </w:tcPr>
          <w:p w14:paraId="59388FF2">
            <w:pPr>
              <w:pStyle w:val="85"/>
              <w:jc w:val="center"/>
              <w:rPr>
                <w:color w:val="auto"/>
                <w:sz w:val="22"/>
                <w:szCs w:val="22"/>
              </w:rPr>
            </w:pPr>
            <w:r>
              <w:rPr>
                <w:color w:val="auto"/>
                <w:sz w:val="22"/>
                <w:szCs w:val="22"/>
              </w:rPr>
              <w:t>7.10</w:t>
            </w:r>
          </w:p>
        </w:tc>
        <w:tc>
          <w:tcPr>
            <w:tcW w:w="7370" w:type="dxa"/>
          </w:tcPr>
          <w:p w14:paraId="0EE69990">
            <w:pPr>
              <w:pStyle w:val="85"/>
              <w:jc w:val="both"/>
              <w:rPr>
                <w:color w:val="auto"/>
                <w:sz w:val="22"/>
                <w:szCs w:val="22"/>
              </w:rPr>
            </w:pPr>
            <w:r>
              <w:rPr>
                <w:color w:val="auto"/>
                <w:sz w:val="22"/>
                <w:szCs w:val="22"/>
              </w:rPr>
              <w:t>Осуществлять в процессе изучающего чтения поиск информации</w:t>
            </w:r>
          </w:p>
        </w:tc>
      </w:tr>
      <w:tr w14:paraId="567907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701" w:type="dxa"/>
          </w:tcPr>
          <w:p w14:paraId="66400247">
            <w:pPr>
              <w:pStyle w:val="85"/>
              <w:jc w:val="center"/>
              <w:rPr>
                <w:color w:val="auto"/>
                <w:sz w:val="22"/>
                <w:szCs w:val="22"/>
              </w:rPr>
            </w:pPr>
            <w:r>
              <w:rPr>
                <w:color w:val="auto"/>
                <w:sz w:val="22"/>
                <w:szCs w:val="22"/>
              </w:rPr>
              <w:t>7.11</w:t>
            </w:r>
          </w:p>
        </w:tc>
        <w:tc>
          <w:tcPr>
            <w:tcW w:w="7370" w:type="dxa"/>
          </w:tcPr>
          <w:p w14:paraId="2D81B791">
            <w:pPr>
              <w:pStyle w:val="85"/>
              <w:jc w:val="both"/>
              <w:rPr>
                <w:color w:val="auto"/>
                <w:sz w:val="22"/>
                <w:szCs w:val="22"/>
              </w:rPr>
            </w:pPr>
            <w:r>
              <w:rPr>
                <w:color w:val="auto"/>
                <w:sz w:val="22"/>
                <w:szCs w:val="22"/>
              </w:rPr>
              <w:t>Формулировать устно и письменно простые выводы на основе прочитанной (услышанной) информации</w:t>
            </w:r>
          </w:p>
        </w:tc>
      </w:tr>
      <w:tr w14:paraId="5D6296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701" w:type="dxa"/>
          </w:tcPr>
          <w:p w14:paraId="514C6CDB">
            <w:pPr>
              <w:pStyle w:val="85"/>
              <w:jc w:val="center"/>
              <w:rPr>
                <w:color w:val="auto"/>
                <w:sz w:val="22"/>
                <w:szCs w:val="22"/>
              </w:rPr>
            </w:pPr>
            <w:r>
              <w:rPr>
                <w:color w:val="auto"/>
                <w:sz w:val="22"/>
                <w:szCs w:val="22"/>
              </w:rPr>
              <w:t>7.12</w:t>
            </w:r>
          </w:p>
        </w:tc>
        <w:tc>
          <w:tcPr>
            <w:tcW w:w="7370" w:type="dxa"/>
          </w:tcPr>
          <w:p w14:paraId="3DBAC4AF">
            <w:pPr>
              <w:pStyle w:val="85"/>
              <w:jc w:val="both"/>
              <w:rPr>
                <w:color w:val="auto"/>
                <w:sz w:val="22"/>
                <w:szCs w:val="22"/>
              </w:rPr>
            </w:pPr>
            <w:r>
              <w:rPr>
                <w:color w:val="auto"/>
                <w:sz w:val="22"/>
                <w:szCs w:val="22"/>
              </w:rPr>
              <w:t>Интерпретировать и обобщать содержащуюся в тексте информацию</w:t>
            </w:r>
          </w:p>
        </w:tc>
      </w:tr>
      <w:tr w14:paraId="304F6C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701" w:type="dxa"/>
          </w:tcPr>
          <w:p w14:paraId="201034A2">
            <w:pPr>
              <w:pStyle w:val="85"/>
              <w:jc w:val="center"/>
              <w:rPr>
                <w:color w:val="auto"/>
                <w:sz w:val="22"/>
                <w:szCs w:val="22"/>
              </w:rPr>
            </w:pPr>
            <w:r>
              <w:rPr>
                <w:color w:val="auto"/>
                <w:sz w:val="22"/>
                <w:szCs w:val="22"/>
              </w:rPr>
              <w:t>7.13</w:t>
            </w:r>
          </w:p>
        </w:tc>
        <w:tc>
          <w:tcPr>
            <w:tcW w:w="7370" w:type="dxa"/>
          </w:tcPr>
          <w:p w14:paraId="39FE5885">
            <w:pPr>
              <w:pStyle w:val="85"/>
              <w:jc w:val="both"/>
              <w:rPr>
                <w:color w:val="auto"/>
                <w:sz w:val="22"/>
                <w:szCs w:val="22"/>
              </w:rPr>
            </w:pPr>
            <w:r>
              <w:rPr>
                <w:color w:val="auto"/>
                <w:sz w:val="22"/>
                <w:szCs w:val="22"/>
              </w:rPr>
              <w:t>Осуществлять ознакомительное чтение в соответствии с поставленной задачей</w:t>
            </w:r>
          </w:p>
        </w:tc>
      </w:tr>
    </w:tbl>
    <w:p w14:paraId="2B9E2481">
      <w:pPr>
        <w:pStyle w:val="85"/>
        <w:jc w:val="both"/>
        <w:rPr>
          <w:color w:val="auto"/>
          <w:sz w:val="22"/>
          <w:szCs w:val="22"/>
        </w:rPr>
      </w:pPr>
    </w:p>
    <w:p w14:paraId="0D00D8C4">
      <w:pPr>
        <w:pStyle w:val="85"/>
        <w:jc w:val="right"/>
        <w:rPr>
          <w:color w:val="auto"/>
          <w:sz w:val="22"/>
          <w:szCs w:val="22"/>
        </w:rPr>
      </w:pPr>
      <w:r>
        <w:rPr>
          <w:color w:val="auto"/>
          <w:sz w:val="22"/>
          <w:szCs w:val="22"/>
        </w:rPr>
        <w:t>Таблица 3.7</w:t>
      </w:r>
    </w:p>
    <w:p w14:paraId="5C9850B9">
      <w:pPr>
        <w:pStyle w:val="85"/>
        <w:jc w:val="both"/>
        <w:rPr>
          <w:color w:val="auto"/>
          <w:sz w:val="22"/>
          <w:szCs w:val="22"/>
        </w:rPr>
      </w:pPr>
    </w:p>
    <w:p w14:paraId="7A3047D5">
      <w:pPr>
        <w:pStyle w:val="85"/>
        <w:jc w:val="center"/>
        <w:rPr>
          <w:color w:val="auto"/>
          <w:sz w:val="22"/>
          <w:szCs w:val="22"/>
        </w:rPr>
      </w:pPr>
      <w:r>
        <w:rPr>
          <w:color w:val="auto"/>
          <w:sz w:val="22"/>
          <w:szCs w:val="22"/>
        </w:rPr>
        <w:t>Проверяемые элементы содержания (4 класс)</w:t>
      </w:r>
    </w:p>
    <w:p w14:paraId="22BC669D">
      <w:pPr>
        <w:pStyle w:val="85"/>
        <w:jc w:val="both"/>
        <w:rPr>
          <w:color w:val="auto"/>
          <w:sz w:val="22"/>
          <w:szCs w:val="22"/>
        </w:rPr>
      </w:pPr>
    </w:p>
    <w:tbl>
      <w:tblPr>
        <w:tblStyle w:val="1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02" w:type="dxa"/>
          <w:left w:w="62" w:type="dxa"/>
          <w:bottom w:w="102" w:type="dxa"/>
          <w:right w:w="62" w:type="dxa"/>
        </w:tblCellMar>
      </w:tblPr>
      <w:tblGrid>
        <w:gridCol w:w="1077"/>
        <w:gridCol w:w="7994"/>
      </w:tblGrid>
      <w:tr w14:paraId="78C7F6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077" w:type="dxa"/>
          </w:tcPr>
          <w:p w14:paraId="02704F8B">
            <w:pPr>
              <w:pStyle w:val="85"/>
              <w:jc w:val="center"/>
              <w:rPr>
                <w:color w:val="auto"/>
                <w:sz w:val="22"/>
                <w:szCs w:val="22"/>
              </w:rPr>
            </w:pPr>
            <w:r>
              <w:rPr>
                <w:color w:val="auto"/>
                <w:sz w:val="22"/>
                <w:szCs w:val="22"/>
              </w:rPr>
              <w:t>Код</w:t>
            </w:r>
          </w:p>
        </w:tc>
        <w:tc>
          <w:tcPr>
            <w:tcW w:w="7994" w:type="dxa"/>
          </w:tcPr>
          <w:p w14:paraId="2C71726F">
            <w:pPr>
              <w:pStyle w:val="85"/>
              <w:jc w:val="center"/>
              <w:rPr>
                <w:color w:val="auto"/>
                <w:sz w:val="22"/>
                <w:szCs w:val="22"/>
              </w:rPr>
            </w:pPr>
            <w:r>
              <w:rPr>
                <w:color w:val="auto"/>
                <w:sz w:val="22"/>
                <w:szCs w:val="22"/>
              </w:rPr>
              <w:t>Проверяемый элемент содержания</w:t>
            </w:r>
          </w:p>
        </w:tc>
      </w:tr>
      <w:tr w14:paraId="3C3A9C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077" w:type="dxa"/>
          </w:tcPr>
          <w:p w14:paraId="6DCC04DB">
            <w:pPr>
              <w:pStyle w:val="85"/>
              <w:jc w:val="center"/>
              <w:rPr>
                <w:color w:val="auto"/>
                <w:sz w:val="22"/>
                <w:szCs w:val="22"/>
              </w:rPr>
            </w:pPr>
            <w:r>
              <w:rPr>
                <w:color w:val="auto"/>
                <w:sz w:val="22"/>
                <w:szCs w:val="22"/>
              </w:rPr>
              <w:t>1</w:t>
            </w:r>
          </w:p>
        </w:tc>
        <w:tc>
          <w:tcPr>
            <w:tcW w:w="7994" w:type="dxa"/>
          </w:tcPr>
          <w:p w14:paraId="1233932D">
            <w:pPr>
              <w:pStyle w:val="85"/>
              <w:jc w:val="both"/>
              <w:rPr>
                <w:color w:val="auto"/>
                <w:sz w:val="22"/>
                <w:szCs w:val="22"/>
              </w:rPr>
            </w:pPr>
            <w:r>
              <w:rPr>
                <w:color w:val="auto"/>
                <w:sz w:val="22"/>
                <w:szCs w:val="22"/>
              </w:rPr>
              <w:t>Фонетика. Графика. Орфоэпия</w:t>
            </w:r>
          </w:p>
        </w:tc>
      </w:tr>
      <w:tr w14:paraId="2C8178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077" w:type="dxa"/>
          </w:tcPr>
          <w:p w14:paraId="48062670">
            <w:pPr>
              <w:pStyle w:val="85"/>
              <w:jc w:val="center"/>
              <w:rPr>
                <w:color w:val="auto"/>
                <w:sz w:val="22"/>
                <w:szCs w:val="22"/>
              </w:rPr>
            </w:pPr>
            <w:r>
              <w:rPr>
                <w:color w:val="auto"/>
                <w:sz w:val="22"/>
                <w:szCs w:val="22"/>
              </w:rPr>
              <w:t>1.1</w:t>
            </w:r>
          </w:p>
        </w:tc>
        <w:tc>
          <w:tcPr>
            <w:tcW w:w="7994" w:type="dxa"/>
          </w:tcPr>
          <w:p w14:paraId="767E6521">
            <w:pPr>
              <w:pStyle w:val="85"/>
              <w:jc w:val="both"/>
              <w:rPr>
                <w:color w:val="auto"/>
                <w:sz w:val="22"/>
                <w:szCs w:val="22"/>
              </w:rPr>
            </w:pPr>
            <w:r>
              <w:rPr>
                <w:color w:val="auto"/>
                <w:sz w:val="22"/>
                <w:szCs w:val="22"/>
              </w:rPr>
              <w:t>Характеристика, сравнение, классификация звуков вне слова и в слове по заданным параметрам</w:t>
            </w:r>
          </w:p>
        </w:tc>
      </w:tr>
      <w:tr w14:paraId="1E76F7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077" w:type="dxa"/>
          </w:tcPr>
          <w:p w14:paraId="3D83323B">
            <w:pPr>
              <w:pStyle w:val="85"/>
              <w:jc w:val="center"/>
              <w:rPr>
                <w:color w:val="auto"/>
                <w:sz w:val="22"/>
                <w:szCs w:val="22"/>
              </w:rPr>
            </w:pPr>
            <w:r>
              <w:rPr>
                <w:color w:val="auto"/>
                <w:sz w:val="22"/>
                <w:szCs w:val="22"/>
              </w:rPr>
              <w:t>1.2</w:t>
            </w:r>
          </w:p>
        </w:tc>
        <w:tc>
          <w:tcPr>
            <w:tcW w:w="7994" w:type="dxa"/>
          </w:tcPr>
          <w:p w14:paraId="7B8EACF0">
            <w:pPr>
              <w:pStyle w:val="85"/>
              <w:jc w:val="both"/>
              <w:rPr>
                <w:color w:val="auto"/>
                <w:sz w:val="22"/>
                <w:szCs w:val="22"/>
              </w:rPr>
            </w:pPr>
            <w:r>
              <w:rPr>
                <w:color w:val="auto"/>
                <w:sz w:val="22"/>
                <w:szCs w:val="22"/>
              </w:rPr>
              <w:t>Звуко-буквенный разбор слова (по отработанному алгоритму)</w:t>
            </w:r>
          </w:p>
        </w:tc>
      </w:tr>
      <w:tr w14:paraId="0BFFD9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077" w:type="dxa"/>
          </w:tcPr>
          <w:p w14:paraId="4F04D5F5">
            <w:pPr>
              <w:pStyle w:val="85"/>
              <w:jc w:val="center"/>
              <w:rPr>
                <w:color w:val="auto"/>
                <w:sz w:val="22"/>
                <w:szCs w:val="22"/>
              </w:rPr>
            </w:pPr>
            <w:r>
              <w:rPr>
                <w:color w:val="auto"/>
                <w:sz w:val="22"/>
                <w:szCs w:val="22"/>
              </w:rPr>
              <w:t>1.3</w:t>
            </w:r>
          </w:p>
        </w:tc>
        <w:tc>
          <w:tcPr>
            <w:tcW w:w="7994" w:type="dxa"/>
          </w:tcPr>
          <w:p w14:paraId="0CE35910">
            <w:pPr>
              <w:pStyle w:val="85"/>
              <w:jc w:val="both"/>
              <w:rPr>
                <w:color w:val="auto"/>
                <w:sz w:val="22"/>
                <w:szCs w:val="22"/>
              </w:rPr>
            </w:pPr>
            <w:r>
              <w:rPr>
                <w:color w:val="auto"/>
                <w:sz w:val="22"/>
                <w:szCs w:val="22"/>
              </w:rPr>
              <w:t>Правильная интонация в процессе говорения и чтения</w:t>
            </w:r>
          </w:p>
        </w:tc>
      </w:tr>
      <w:tr w14:paraId="562357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077" w:type="dxa"/>
          </w:tcPr>
          <w:p w14:paraId="5288783D">
            <w:pPr>
              <w:pStyle w:val="85"/>
              <w:jc w:val="center"/>
              <w:rPr>
                <w:color w:val="auto"/>
                <w:sz w:val="22"/>
                <w:szCs w:val="22"/>
              </w:rPr>
            </w:pPr>
            <w:r>
              <w:rPr>
                <w:color w:val="auto"/>
                <w:sz w:val="22"/>
                <w:szCs w:val="22"/>
              </w:rPr>
              <w:t>1.4</w:t>
            </w:r>
          </w:p>
        </w:tc>
        <w:tc>
          <w:tcPr>
            <w:tcW w:w="7994" w:type="dxa"/>
          </w:tcPr>
          <w:p w14:paraId="5A8FC039">
            <w:pPr>
              <w:pStyle w:val="85"/>
              <w:jc w:val="both"/>
              <w:rPr>
                <w:color w:val="auto"/>
                <w:sz w:val="22"/>
                <w:szCs w:val="22"/>
              </w:rPr>
            </w:pPr>
            <w:r>
              <w:rPr>
                <w:color w:val="auto"/>
                <w:sz w:val="22"/>
                <w:szCs w:val="22"/>
              </w:rPr>
              <w:t>Нормы произношения звуков и сочетаний звуков; ударение в словах в соответствии с нормами современного русского литературного языка (на ограниченном перечне слов, отрабатываемом в учебнике)</w:t>
            </w:r>
          </w:p>
        </w:tc>
      </w:tr>
      <w:tr w14:paraId="602397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077" w:type="dxa"/>
          </w:tcPr>
          <w:p w14:paraId="6ED2A659">
            <w:pPr>
              <w:pStyle w:val="85"/>
              <w:jc w:val="center"/>
              <w:rPr>
                <w:color w:val="auto"/>
                <w:sz w:val="22"/>
                <w:szCs w:val="22"/>
              </w:rPr>
            </w:pPr>
            <w:r>
              <w:rPr>
                <w:color w:val="auto"/>
                <w:sz w:val="22"/>
                <w:szCs w:val="22"/>
              </w:rPr>
              <w:t>1.5</w:t>
            </w:r>
          </w:p>
        </w:tc>
        <w:tc>
          <w:tcPr>
            <w:tcW w:w="7994" w:type="dxa"/>
          </w:tcPr>
          <w:p w14:paraId="5BFA21E2">
            <w:pPr>
              <w:pStyle w:val="85"/>
              <w:jc w:val="both"/>
              <w:rPr>
                <w:color w:val="auto"/>
                <w:sz w:val="22"/>
                <w:szCs w:val="22"/>
              </w:rPr>
            </w:pPr>
            <w:r>
              <w:rPr>
                <w:color w:val="auto"/>
                <w:sz w:val="22"/>
                <w:szCs w:val="22"/>
              </w:rPr>
              <w:t>Использование орфоэпических словарей русского языка при определении правильного произношения слов</w:t>
            </w:r>
          </w:p>
        </w:tc>
      </w:tr>
      <w:tr w14:paraId="04E0E6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077" w:type="dxa"/>
          </w:tcPr>
          <w:p w14:paraId="372BA4D7">
            <w:pPr>
              <w:pStyle w:val="85"/>
              <w:jc w:val="center"/>
              <w:rPr>
                <w:color w:val="auto"/>
                <w:sz w:val="22"/>
                <w:szCs w:val="22"/>
              </w:rPr>
            </w:pPr>
            <w:r>
              <w:rPr>
                <w:color w:val="auto"/>
                <w:sz w:val="22"/>
                <w:szCs w:val="22"/>
              </w:rPr>
              <w:t>2</w:t>
            </w:r>
          </w:p>
        </w:tc>
        <w:tc>
          <w:tcPr>
            <w:tcW w:w="7994" w:type="dxa"/>
          </w:tcPr>
          <w:p w14:paraId="73DE7D11">
            <w:pPr>
              <w:pStyle w:val="85"/>
              <w:jc w:val="both"/>
              <w:rPr>
                <w:color w:val="auto"/>
                <w:sz w:val="22"/>
                <w:szCs w:val="22"/>
              </w:rPr>
            </w:pPr>
            <w:r>
              <w:rPr>
                <w:color w:val="auto"/>
                <w:sz w:val="22"/>
                <w:szCs w:val="22"/>
              </w:rPr>
              <w:t>Лексика</w:t>
            </w:r>
          </w:p>
        </w:tc>
      </w:tr>
      <w:tr w14:paraId="2475B1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077" w:type="dxa"/>
          </w:tcPr>
          <w:p w14:paraId="6163321F">
            <w:pPr>
              <w:pStyle w:val="85"/>
              <w:jc w:val="center"/>
              <w:rPr>
                <w:color w:val="auto"/>
                <w:sz w:val="22"/>
                <w:szCs w:val="22"/>
              </w:rPr>
            </w:pPr>
            <w:r>
              <w:rPr>
                <w:color w:val="auto"/>
                <w:sz w:val="22"/>
                <w:szCs w:val="22"/>
              </w:rPr>
              <w:t>2.1</w:t>
            </w:r>
          </w:p>
        </w:tc>
        <w:tc>
          <w:tcPr>
            <w:tcW w:w="7994" w:type="dxa"/>
          </w:tcPr>
          <w:p w14:paraId="27FEA5AE">
            <w:pPr>
              <w:pStyle w:val="85"/>
              <w:jc w:val="both"/>
              <w:rPr>
                <w:color w:val="auto"/>
                <w:sz w:val="22"/>
                <w:szCs w:val="22"/>
              </w:rPr>
            </w:pPr>
            <w:r>
              <w:rPr>
                <w:color w:val="auto"/>
                <w:sz w:val="22"/>
                <w:szCs w:val="22"/>
              </w:rPr>
              <w:t>Повторение и продолжение работы: наблюдение за использованием в речи синонимов, антонимов, устаревших слов (простые случаи)</w:t>
            </w:r>
          </w:p>
        </w:tc>
      </w:tr>
      <w:tr w14:paraId="7CC1A6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077" w:type="dxa"/>
          </w:tcPr>
          <w:p w14:paraId="54657CA1">
            <w:pPr>
              <w:pStyle w:val="85"/>
              <w:jc w:val="center"/>
              <w:rPr>
                <w:color w:val="auto"/>
                <w:sz w:val="22"/>
                <w:szCs w:val="22"/>
              </w:rPr>
            </w:pPr>
            <w:r>
              <w:rPr>
                <w:color w:val="auto"/>
                <w:sz w:val="22"/>
                <w:szCs w:val="22"/>
              </w:rPr>
              <w:t>2.2</w:t>
            </w:r>
          </w:p>
        </w:tc>
        <w:tc>
          <w:tcPr>
            <w:tcW w:w="7994" w:type="dxa"/>
          </w:tcPr>
          <w:p w14:paraId="2F660992">
            <w:pPr>
              <w:pStyle w:val="85"/>
              <w:jc w:val="both"/>
              <w:rPr>
                <w:color w:val="auto"/>
                <w:sz w:val="22"/>
                <w:szCs w:val="22"/>
              </w:rPr>
            </w:pPr>
            <w:r>
              <w:rPr>
                <w:color w:val="auto"/>
                <w:sz w:val="22"/>
                <w:szCs w:val="22"/>
              </w:rPr>
              <w:t>Наблюдение за использованием в речи фразеологизмов (простые случаи)</w:t>
            </w:r>
          </w:p>
        </w:tc>
      </w:tr>
      <w:tr w14:paraId="6A5C4B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077" w:type="dxa"/>
          </w:tcPr>
          <w:p w14:paraId="1D47582B">
            <w:pPr>
              <w:pStyle w:val="85"/>
              <w:jc w:val="center"/>
              <w:rPr>
                <w:color w:val="auto"/>
                <w:sz w:val="22"/>
                <w:szCs w:val="22"/>
              </w:rPr>
            </w:pPr>
            <w:r>
              <w:rPr>
                <w:color w:val="auto"/>
                <w:sz w:val="22"/>
                <w:szCs w:val="22"/>
              </w:rPr>
              <w:t>3</w:t>
            </w:r>
          </w:p>
        </w:tc>
        <w:tc>
          <w:tcPr>
            <w:tcW w:w="7994" w:type="dxa"/>
          </w:tcPr>
          <w:p w14:paraId="64369700">
            <w:pPr>
              <w:pStyle w:val="85"/>
              <w:jc w:val="both"/>
              <w:rPr>
                <w:color w:val="auto"/>
                <w:sz w:val="22"/>
                <w:szCs w:val="22"/>
              </w:rPr>
            </w:pPr>
            <w:r>
              <w:rPr>
                <w:color w:val="auto"/>
                <w:sz w:val="22"/>
                <w:szCs w:val="22"/>
              </w:rPr>
              <w:t>Состав слова (морфемика)</w:t>
            </w:r>
          </w:p>
        </w:tc>
      </w:tr>
      <w:tr w14:paraId="0572EC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077" w:type="dxa"/>
          </w:tcPr>
          <w:p w14:paraId="1597596E">
            <w:pPr>
              <w:pStyle w:val="85"/>
              <w:jc w:val="center"/>
              <w:rPr>
                <w:color w:val="auto"/>
                <w:sz w:val="22"/>
                <w:szCs w:val="22"/>
              </w:rPr>
            </w:pPr>
            <w:r>
              <w:rPr>
                <w:color w:val="auto"/>
                <w:sz w:val="22"/>
                <w:szCs w:val="22"/>
              </w:rPr>
              <w:t>3.1</w:t>
            </w:r>
          </w:p>
        </w:tc>
        <w:tc>
          <w:tcPr>
            <w:tcW w:w="7994" w:type="dxa"/>
          </w:tcPr>
          <w:p w14:paraId="39126673">
            <w:pPr>
              <w:pStyle w:val="85"/>
              <w:jc w:val="both"/>
              <w:rPr>
                <w:color w:val="auto"/>
                <w:sz w:val="22"/>
                <w:szCs w:val="22"/>
              </w:rPr>
            </w:pPr>
            <w:r>
              <w:rPr>
                <w:color w:val="auto"/>
                <w:sz w:val="22"/>
                <w:szCs w:val="22"/>
              </w:rPr>
              <w:t>Состав изменяемых слов, выделение в словах с однозначно выделяемыми морфемами окончания, корня, приставки, суффикса (повторение изученного)</w:t>
            </w:r>
          </w:p>
        </w:tc>
      </w:tr>
      <w:tr w14:paraId="5F800E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077" w:type="dxa"/>
          </w:tcPr>
          <w:p w14:paraId="788B2AF2">
            <w:pPr>
              <w:pStyle w:val="85"/>
              <w:jc w:val="center"/>
              <w:rPr>
                <w:color w:val="auto"/>
                <w:sz w:val="22"/>
                <w:szCs w:val="22"/>
              </w:rPr>
            </w:pPr>
            <w:r>
              <w:rPr>
                <w:color w:val="auto"/>
                <w:sz w:val="22"/>
                <w:szCs w:val="22"/>
              </w:rPr>
              <w:t>3.2</w:t>
            </w:r>
          </w:p>
        </w:tc>
        <w:tc>
          <w:tcPr>
            <w:tcW w:w="7994" w:type="dxa"/>
          </w:tcPr>
          <w:p w14:paraId="0FA40CC9">
            <w:pPr>
              <w:pStyle w:val="85"/>
              <w:jc w:val="both"/>
              <w:rPr>
                <w:color w:val="auto"/>
                <w:sz w:val="22"/>
                <w:szCs w:val="22"/>
              </w:rPr>
            </w:pPr>
            <w:r>
              <w:rPr>
                <w:color w:val="auto"/>
                <w:sz w:val="22"/>
                <w:szCs w:val="22"/>
              </w:rPr>
              <w:t>Основа слова</w:t>
            </w:r>
          </w:p>
        </w:tc>
      </w:tr>
      <w:tr w14:paraId="70A508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077" w:type="dxa"/>
          </w:tcPr>
          <w:p w14:paraId="42C3D073">
            <w:pPr>
              <w:pStyle w:val="85"/>
              <w:jc w:val="center"/>
              <w:rPr>
                <w:color w:val="auto"/>
                <w:sz w:val="22"/>
                <w:szCs w:val="22"/>
              </w:rPr>
            </w:pPr>
            <w:r>
              <w:rPr>
                <w:color w:val="auto"/>
                <w:sz w:val="22"/>
                <w:szCs w:val="22"/>
              </w:rPr>
              <w:t>3.3</w:t>
            </w:r>
          </w:p>
        </w:tc>
        <w:tc>
          <w:tcPr>
            <w:tcW w:w="7994" w:type="dxa"/>
          </w:tcPr>
          <w:p w14:paraId="010FB576">
            <w:pPr>
              <w:pStyle w:val="85"/>
              <w:jc w:val="both"/>
              <w:rPr>
                <w:color w:val="auto"/>
                <w:sz w:val="22"/>
                <w:szCs w:val="22"/>
              </w:rPr>
            </w:pPr>
            <w:r>
              <w:rPr>
                <w:color w:val="auto"/>
                <w:sz w:val="22"/>
                <w:szCs w:val="22"/>
              </w:rPr>
              <w:t>Состав неизменяемых слов (ознакомление)</w:t>
            </w:r>
          </w:p>
        </w:tc>
      </w:tr>
      <w:tr w14:paraId="50A77D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077" w:type="dxa"/>
          </w:tcPr>
          <w:p w14:paraId="66C505B2">
            <w:pPr>
              <w:pStyle w:val="85"/>
              <w:jc w:val="center"/>
              <w:rPr>
                <w:color w:val="auto"/>
                <w:sz w:val="22"/>
                <w:szCs w:val="22"/>
              </w:rPr>
            </w:pPr>
            <w:r>
              <w:rPr>
                <w:color w:val="auto"/>
                <w:sz w:val="22"/>
                <w:szCs w:val="22"/>
              </w:rPr>
              <w:t>3.4</w:t>
            </w:r>
          </w:p>
        </w:tc>
        <w:tc>
          <w:tcPr>
            <w:tcW w:w="7994" w:type="dxa"/>
          </w:tcPr>
          <w:p w14:paraId="49ABE50E">
            <w:pPr>
              <w:pStyle w:val="85"/>
              <w:jc w:val="both"/>
              <w:rPr>
                <w:color w:val="auto"/>
                <w:sz w:val="22"/>
                <w:szCs w:val="22"/>
              </w:rPr>
            </w:pPr>
            <w:r>
              <w:rPr>
                <w:color w:val="auto"/>
                <w:sz w:val="22"/>
                <w:szCs w:val="22"/>
              </w:rPr>
              <w:t>Значение наиболее употребляемых суффиксов изученных частей речи (ознакомление)</w:t>
            </w:r>
          </w:p>
        </w:tc>
      </w:tr>
      <w:tr w14:paraId="52E096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077" w:type="dxa"/>
          </w:tcPr>
          <w:p w14:paraId="6A40EFC2">
            <w:pPr>
              <w:pStyle w:val="85"/>
              <w:jc w:val="center"/>
              <w:rPr>
                <w:color w:val="auto"/>
                <w:sz w:val="22"/>
                <w:szCs w:val="22"/>
              </w:rPr>
            </w:pPr>
            <w:r>
              <w:rPr>
                <w:color w:val="auto"/>
                <w:sz w:val="22"/>
                <w:szCs w:val="22"/>
              </w:rPr>
              <w:t>4</w:t>
            </w:r>
          </w:p>
        </w:tc>
        <w:tc>
          <w:tcPr>
            <w:tcW w:w="7994" w:type="dxa"/>
          </w:tcPr>
          <w:p w14:paraId="0AEFFD70">
            <w:pPr>
              <w:pStyle w:val="85"/>
              <w:jc w:val="both"/>
              <w:rPr>
                <w:color w:val="auto"/>
                <w:sz w:val="22"/>
                <w:szCs w:val="22"/>
              </w:rPr>
            </w:pPr>
            <w:r>
              <w:rPr>
                <w:color w:val="auto"/>
                <w:sz w:val="22"/>
                <w:szCs w:val="22"/>
              </w:rPr>
              <w:t>Морфология</w:t>
            </w:r>
          </w:p>
        </w:tc>
      </w:tr>
      <w:tr w14:paraId="3D55AE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077" w:type="dxa"/>
          </w:tcPr>
          <w:p w14:paraId="0480E2B6">
            <w:pPr>
              <w:pStyle w:val="85"/>
              <w:jc w:val="center"/>
              <w:rPr>
                <w:color w:val="auto"/>
                <w:sz w:val="22"/>
                <w:szCs w:val="22"/>
              </w:rPr>
            </w:pPr>
            <w:r>
              <w:rPr>
                <w:color w:val="auto"/>
                <w:sz w:val="22"/>
                <w:szCs w:val="22"/>
              </w:rPr>
              <w:t>4.1</w:t>
            </w:r>
          </w:p>
        </w:tc>
        <w:tc>
          <w:tcPr>
            <w:tcW w:w="7994" w:type="dxa"/>
          </w:tcPr>
          <w:p w14:paraId="042DACE3">
            <w:pPr>
              <w:pStyle w:val="85"/>
              <w:jc w:val="both"/>
              <w:rPr>
                <w:color w:val="auto"/>
                <w:sz w:val="22"/>
                <w:szCs w:val="22"/>
              </w:rPr>
            </w:pPr>
            <w:r>
              <w:rPr>
                <w:color w:val="auto"/>
                <w:sz w:val="22"/>
                <w:szCs w:val="22"/>
              </w:rPr>
              <w:t>Части речи самостоятельные и служебные</w:t>
            </w:r>
          </w:p>
        </w:tc>
      </w:tr>
      <w:tr w14:paraId="24B63E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077" w:type="dxa"/>
          </w:tcPr>
          <w:p w14:paraId="750FE249">
            <w:pPr>
              <w:pStyle w:val="85"/>
              <w:jc w:val="center"/>
              <w:rPr>
                <w:color w:val="auto"/>
                <w:sz w:val="22"/>
                <w:szCs w:val="22"/>
              </w:rPr>
            </w:pPr>
            <w:r>
              <w:rPr>
                <w:color w:val="auto"/>
                <w:sz w:val="22"/>
                <w:szCs w:val="22"/>
              </w:rPr>
              <w:t>4.2</w:t>
            </w:r>
          </w:p>
        </w:tc>
        <w:tc>
          <w:tcPr>
            <w:tcW w:w="7994" w:type="dxa"/>
          </w:tcPr>
          <w:p w14:paraId="018FAAF8">
            <w:pPr>
              <w:pStyle w:val="85"/>
              <w:jc w:val="both"/>
              <w:rPr>
                <w:color w:val="auto"/>
                <w:sz w:val="22"/>
                <w:szCs w:val="22"/>
              </w:rPr>
            </w:pPr>
            <w:r>
              <w:rPr>
                <w:color w:val="auto"/>
                <w:sz w:val="22"/>
                <w:szCs w:val="22"/>
              </w:rPr>
              <w:t>Имя существительное. Склонение имен существительных (кроме существительных на -мя, -ий, -ие, -ия; на -ья типа гостья, на -ье типа ожерелье во множественном числе; а также кроме собственных имен существительных на -ов, -ин, -ий); имена существительные 1-го, 2-го, 3-го склонений (повторение изученного)</w:t>
            </w:r>
          </w:p>
        </w:tc>
      </w:tr>
      <w:tr w14:paraId="78F9AA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077" w:type="dxa"/>
          </w:tcPr>
          <w:p w14:paraId="3040BA49">
            <w:pPr>
              <w:pStyle w:val="85"/>
              <w:jc w:val="center"/>
              <w:rPr>
                <w:color w:val="auto"/>
                <w:sz w:val="22"/>
                <w:szCs w:val="22"/>
              </w:rPr>
            </w:pPr>
            <w:r>
              <w:rPr>
                <w:color w:val="auto"/>
                <w:sz w:val="22"/>
                <w:szCs w:val="22"/>
              </w:rPr>
              <w:t>4.3</w:t>
            </w:r>
          </w:p>
        </w:tc>
        <w:tc>
          <w:tcPr>
            <w:tcW w:w="7994" w:type="dxa"/>
          </w:tcPr>
          <w:p w14:paraId="097EC090">
            <w:pPr>
              <w:pStyle w:val="85"/>
              <w:jc w:val="both"/>
              <w:rPr>
                <w:color w:val="auto"/>
                <w:sz w:val="22"/>
                <w:szCs w:val="22"/>
              </w:rPr>
            </w:pPr>
            <w:r>
              <w:rPr>
                <w:color w:val="auto"/>
                <w:sz w:val="22"/>
                <w:szCs w:val="22"/>
              </w:rPr>
              <w:t>Несклоняемые имена существительные (ознакомление)</w:t>
            </w:r>
          </w:p>
        </w:tc>
      </w:tr>
      <w:tr w14:paraId="700E6A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077" w:type="dxa"/>
          </w:tcPr>
          <w:p w14:paraId="1F46CF39">
            <w:pPr>
              <w:pStyle w:val="85"/>
              <w:jc w:val="center"/>
              <w:rPr>
                <w:color w:val="auto"/>
                <w:sz w:val="22"/>
                <w:szCs w:val="22"/>
              </w:rPr>
            </w:pPr>
            <w:r>
              <w:rPr>
                <w:color w:val="auto"/>
                <w:sz w:val="22"/>
                <w:szCs w:val="22"/>
              </w:rPr>
              <w:t>4.4</w:t>
            </w:r>
          </w:p>
        </w:tc>
        <w:tc>
          <w:tcPr>
            <w:tcW w:w="7994" w:type="dxa"/>
          </w:tcPr>
          <w:p w14:paraId="03972663">
            <w:pPr>
              <w:pStyle w:val="85"/>
              <w:jc w:val="both"/>
              <w:rPr>
                <w:color w:val="auto"/>
                <w:sz w:val="22"/>
                <w:szCs w:val="22"/>
              </w:rPr>
            </w:pPr>
            <w:r>
              <w:rPr>
                <w:color w:val="auto"/>
                <w:sz w:val="22"/>
                <w:szCs w:val="22"/>
              </w:rPr>
              <w:t>Имя прилагательное. Зависимость формы имени прилагательного от формы имени существительного (повторение)</w:t>
            </w:r>
          </w:p>
        </w:tc>
      </w:tr>
      <w:tr w14:paraId="7878C1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077" w:type="dxa"/>
          </w:tcPr>
          <w:p w14:paraId="5C98ABBE">
            <w:pPr>
              <w:pStyle w:val="85"/>
              <w:jc w:val="center"/>
              <w:rPr>
                <w:color w:val="auto"/>
                <w:sz w:val="22"/>
                <w:szCs w:val="22"/>
              </w:rPr>
            </w:pPr>
            <w:r>
              <w:rPr>
                <w:color w:val="auto"/>
                <w:sz w:val="22"/>
                <w:szCs w:val="22"/>
              </w:rPr>
              <w:t>4.5</w:t>
            </w:r>
          </w:p>
        </w:tc>
        <w:tc>
          <w:tcPr>
            <w:tcW w:w="7994" w:type="dxa"/>
          </w:tcPr>
          <w:p w14:paraId="6AAB2DB7">
            <w:pPr>
              <w:pStyle w:val="85"/>
              <w:jc w:val="both"/>
              <w:rPr>
                <w:color w:val="auto"/>
                <w:sz w:val="22"/>
                <w:szCs w:val="22"/>
              </w:rPr>
            </w:pPr>
            <w:r>
              <w:rPr>
                <w:color w:val="auto"/>
                <w:sz w:val="22"/>
                <w:szCs w:val="22"/>
              </w:rPr>
              <w:t>Склонение имен прилагательных во множественном числе</w:t>
            </w:r>
          </w:p>
        </w:tc>
      </w:tr>
      <w:tr w14:paraId="3A4F9D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077" w:type="dxa"/>
          </w:tcPr>
          <w:p w14:paraId="77379E03">
            <w:pPr>
              <w:pStyle w:val="85"/>
              <w:jc w:val="center"/>
              <w:rPr>
                <w:color w:val="auto"/>
                <w:sz w:val="22"/>
                <w:szCs w:val="22"/>
              </w:rPr>
            </w:pPr>
            <w:r>
              <w:rPr>
                <w:color w:val="auto"/>
                <w:sz w:val="22"/>
                <w:szCs w:val="22"/>
              </w:rPr>
              <w:t>4.6</w:t>
            </w:r>
          </w:p>
        </w:tc>
        <w:tc>
          <w:tcPr>
            <w:tcW w:w="7994" w:type="dxa"/>
          </w:tcPr>
          <w:p w14:paraId="6F94AD3E">
            <w:pPr>
              <w:pStyle w:val="85"/>
              <w:jc w:val="both"/>
              <w:rPr>
                <w:color w:val="auto"/>
                <w:sz w:val="22"/>
                <w:szCs w:val="22"/>
              </w:rPr>
            </w:pPr>
            <w:r>
              <w:rPr>
                <w:color w:val="auto"/>
                <w:sz w:val="22"/>
                <w:szCs w:val="22"/>
              </w:rPr>
              <w:t>Местоимение. Личные местоимения (повторение)</w:t>
            </w:r>
          </w:p>
        </w:tc>
      </w:tr>
      <w:tr w14:paraId="349688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077" w:type="dxa"/>
          </w:tcPr>
          <w:p w14:paraId="4A902B61">
            <w:pPr>
              <w:pStyle w:val="85"/>
              <w:jc w:val="center"/>
              <w:rPr>
                <w:color w:val="auto"/>
                <w:sz w:val="22"/>
                <w:szCs w:val="22"/>
              </w:rPr>
            </w:pPr>
            <w:r>
              <w:rPr>
                <w:color w:val="auto"/>
                <w:sz w:val="22"/>
                <w:szCs w:val="22"/>
              </w:rPr>
              <w:t>4.7</w:t>
            </w:r>
          </w:p>
        </w:tc>
        <w:tc>
          <w:tcPr>
            <w:tcW w:w="7994" w:type="dxa"/>
          </w:tcPr>
          <w:p w14:paraId="62520E56">
            <w:pPr>
              <w:pStyle w:val="85"/>
              <w:jc w:val="both"/>
              <w:rPr>
                <w:color w:val="auto"/>
                <w:sz w:val="22"/>
                <w:szCs w:val="22"/>
              </w:rPr>
            </w:pPr>
            <w:r>
              <w:rPr>
                <w:color w:val="auto"/>
                <w:sz w:val="22"/>
                <w:szCs w:val="22"/>
              </w:rPr>
              <w:t>Личные местоимения 1-го и 3-го лица единственного и множественного числа</w:t>
            </w:r>
          </w:p>
        </w:tc>
      </w:tr>
      <w:tr w14:paraId="085F07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077" w:type="dxa"/>
          </w:tcPr>
          <w:p w14:paraId="6FF3E180">
            <w:pPr>
              <w:pStyle w:val="85"/>
              <w:jc w:val="center"/>
              <w:rPr>
                <w:color w:val="auto"/>
                <w:sz w:val="22"/>
                <w:szCs w:val="22"/>
              </w:rPr>
            </w:pPr>
            <w:r>
              <w:rPr>
                <w:color w:val="auto"/>
                <w:sz w:val="22"/>
                <w:szCs w:val="22"/>
              </w:rPr>
              <w:t>4.8</w:t>
            </w:r>
          </w:p>
        </w:tc>
        <w:tc>
          <w:tcPr>
            <w:tcW w:w="7994" w:type="dxa"/>
          </w:tcPr>
          <w:p w14:paraId="1D930263">
            <w:pPr>
              <w:pStyle w:val="85"/>
              <w:jc w:val="both"/>
              <w:rPr>
                <w:color w:val="auto"/>
                <w:sz w:val="22"/>
                <w:szCs w:val="22"/>
              </w:rPr>
            </w:pPr>
            <w:r>
              <w:rPr>
                <w:color w:val="auto"/>
                <w:sz w:val="22"/>
                <w:szCs w:val="22"/>
              </w:rPr>
              <w:t>Склонение личных местоимений</w:t>
            </w:r>
          </w:p>
        </w:tc>
      </w:tr>
      <w:tr w14:paraId="6B6D89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077" w:type="dxa"/>
          </w:tcPr>
          <w:p w14:paraId="5E5F4D5C">
            <w:pPr>
              <w:pStyle w:val="85"/>
              <w:jc w:val="center"/>
              <w:rPr>
                <w:color w:val="auto"/>
                <w:sz w:val="22"/>
                <w:szCs w:val="22"/>
              </w:rPr>
            </w:pPr>
            <w:r>
              <w:rPr>
                <w:color w:val="auto"/>
                <w:sz w:val="22"/>
                <w:szCs w:val="22"/>
              </w:rPr>
              <w:t>4.9</w:t>
            </w:r>
          </w:p>
        </w:tc>
        <w:tc>
          <w:tcPr>
            <w:tcW w:w="7994" w:type="dxa"/>
          </w:tcPr>
          <w:p w14:paraId="3A2DAF83">
            <w:pPr>
              <w:pStyle w:val="85"/>
              <w:jc w:val="both"/>
              <w:rPr>
                <w:color w:val="auto"/>
                <w:sz w:val="22"/>
                <w:szCs w:val="22"/>
              </w:rPr>
            </w:pPr>
            <w:r>
              <w:rPr>
                <w:color w:val="auto"/>
                <w:sz w:val="22"/>
                <w:szCs w:val="22"/>
              </w:rPr>
              <w:t>Глагол. Изменение глаголов по лицам и числам в настоящем и будущем времени (спряжение)</w:t>
            </w:r>
          </w:p>
        </w:tc>
      </w:tr>
      <w:tr w14:paraId="542C83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077" w:type="dxa"/>
          </w:tcPr>
          <w:p w14:paraId="64C1B302">
            <w:pPr>
              <w:pStyle w:val="85"/>
              <w:jc w:val="center"/>
              <w:rPr>
                <w:color w:val="auto"/>
                <w:sz w:val="22"/>
                <w:szCs w:val="22"/>
              </w:rPr>
            </w:pPr>
            <w:r>
              <w:rPr>
                <w:color w:val="auto"/>
                <w:sz w:val="22"/>
                <w:szCs w:val="22"/>
              </w:rPr>
              <w:t>4.10</w:t>
            </w:r>
          </w:p>
        </w:tc>
        <w:tc>
          <w:tcPr>
            <w:tcW w:w="7994" w:type="dxa"/>
          </w:tcPr>
          <w:p w14:paraId="2DFEF0C3">
            <w:pPr>
              <w:pStyle w:val="85"/>
              <w:jc w:val="both"/>
              <w:rPr>
                <w:color w:val="auto"/>
                <w:sz w:val="22"/>
                <w:szCs w:val="22"/>
              </w:rPr>
            </w:pPr>
            <w:r>
              <w:rPr>
                <w:color w:val="auto"/>
                <w:sz w:val="22"/>
                <w:szCs w:val="22"/>
              </w:rPr>
              <w:t>I и II спряжение глаголов. Способы определения I и II спряжения глаголов</w:t>
            </w:r>
          </w:p>
        </w:tc>
      </w:tr>
      <w:tr w14:paraId="23F4D6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077" w:type="dxa"/>
          </w:tcPr>
          <w:p w14:paraId="3D1E98CE">
            <w:pPr>
              <w:pStyle w:val="85"/>
              <w:jc w:val="center"/>
              <w:rPr>
                <w:color w:val="auto"/>
                <w:sz w:val="22"/>
                <w:szCs w:val="22"/>
              </w:rPr>
            </w:pPr>
            <w:r>
              <w:rPr>
                <w:color w:val="auto"/>
                <w:sz w:val="22"/>
                <w:szCs w:val="22"/>
              </w:rPr>
              <w:t>4.11</w:t>
            </w:r>
          </w:p>
        </w:tc>
        <w:tc>
          <w:tcPr>
            <w:tcW w:w="7994" w:type="dxa"/>
          </w:tcPr>
          <w:p w14:paraId="691C3203">
            <w:pPr>
              <w:pStyle w:val="85"/>
              <w:jc w:val="both"/>
              <w:rPr>
                <w:color w:val="auto"/>
                <w:sz w:val="22"/>
                <w:szCs w:val="22"/>
              </w:rPr>
            </w:pPr>
            <w:r>
              <w:rPr>
                <w:color w:val="auto"/>
                <w:sz w:val="22"/>
                <w:szCs w:val="22"/>
              </w:rPr>
              <w:t>Наречие (общее представление). Значение, вопросы, употребление в речи</w:t>
            </w:r>
          </w:p>
        </w:tc>
      </w:tr>
      <w:tr w14:paraId="283048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077" w:type="dxa"/>
          </w:tcPr>
          <w:p w14:paraId="72B3C052">
            <w:pPr>
              <w:pStyle w:val="85"/>
              <w:jc w:val="center"/>
              <w:rPr>
                <w:color w:val="auto"/>
                <w:sz w:val="22"/>
                <w:szCs w:val="22"/>
              </w:rPr>
            </w:pPr>
            <w:r>
              <w:rPr>
                <w:color w:val="auto"/>
                <w:sz w:val="22"/>
                <w:szCs w:val="22"/>
              </w:rPr>
              <w:t>4.12</w:t>
            </w:r>
          </w:p>
        </w:tc>
        <w:tc>
          <w:tcPr>
            <w:tcW w:w="7994" w:type="dxa"/>
          </w:tcPr>
          <w:p w14:paraId="380F5A98">
            <w:pPr>
              <w:pStyle w:val="85"/>
              <w:jc w:val="both"/>
              <w:rPr>
                <w:color w:val="auto"/>
                <w:sz w:val="22"/>
                <w:szCs w:val="22"/>
              </w:rPr>
            </w:pPr>
            <w:r>
              <w:rPr>
                <w:color w:val="auto"/>
                <w:sz w:val="22"/>
                <w:szCs w:val="22"/>
              </w:rPr>
              <w:t>Предлог. Отличие предлогов от приставок (повторение)</w:t>
            </w:r>
          </w:p>
        </w:tc>
      </w:tr>
      <w:tr w14:paraId="48B7D5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077" w:type="dxa"/>
          </w:tcPr>
          <w:p w14:paraId="1BC14C56">
            <w:pPr>
              <w:pStyle w:val="85"/>
              <w:jc w:val="center"/>
              <w:rPr>
                <w:color w:val="auto"/>
                <w:sz w:val="22"/>
                <w:szCs w:val="22"/>
              </w:rPr>
            </w:pPr>
            <w:r>
              <w:rPr>
                <w:color w:val="auto"/>
                <w:sz w:val="22"/>
                <w:szCs w:val="22"/>
              </w:rPr>
              <w:t>4.13</w:t>
            </w:r>
          </w:p>
        </w:tc>
        <w:tc>
          <w:tcPr>
            <w:tcW w:w="7994" w:type="dxa"/>
          </w:tcPr>
          <w:p w14:paraId="6ED05209">
            <w:pPr>
              <w:pStyle w:val="85"/>
              <w:jc w:val="both"/>
              <w:rPr>
                <w:color w:val="auto"/>
                <w:sz w:val="22"/>
                <w:szCs w:val="22"/>
              </w:rPr>
            </w:pPr>
            <w:r>
              <w:rPr>
                <w:color w:val="auto"/>
                <w:sz w:val="22"/>
                <w:szCs w:val="22"/>
              </w:rPr>
              <w:t>Союз; союзы и, а, но в простых и сложных предложениях</w:t>
            </w:r>
          </w:p>
        </w:tc>
      </w:tr>
      <w:tr w14:paraId="3D8F38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077" w:type="dxa"/>
          </w:tcPr>
          <w:p w14:paraId="63FD8AF6">
            <w:pPr>
              <w:pStyle w:val="85"/>
              <w:jc w:val="center"/>
              <w:rPr>
                <w:color w:val="auto"/>
                <w:sz w:val="22"/>
                <w:szCs w:val="22"/>
              </w:rPr>
            </w:pPr>
            <w:r>
              <w:rPr>
                <w:color w:val="auto"/>
                <w:sz w:val="22"/>
                <w:szCs w:val="22"/>
              </w:rPr>
              <w:t>4.14</w:t>
            </w:r>
          </w:p>
        </w:tc>
        <w:tc>
          <w:tcPr>
            <w:tcW w:w="7994" w:type="dxa"/>
          </w:tcPr>
          <w:p w14:paraId="2794744C">
            <w:pPr>
              <w:pStyle w:val="85"/>
              <w:jc w:val="both"/>
              <w:rPr>
                <w:color w:val="auto"/>
                <w:sz w:val="22"/>
                <w:szCs w:val="22"/>
              </w:rPr>
            </w:pPr>
            <w:r>
              <w:rPr>
                <w:color w:val="auto"/>
                <w:sz w:val="22"/>
                <w:szCs w:val="22"/>
              </w:rPr>
              <w:t>Частица не, ее значение (повторение)</w:t>
            </w:r>
          </w:p>
        </w:tc>
      </w:tr>
      <w:tr w14:paraId="5B72F9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077" w:type="dxa"/>
          </w:tcPr>
          <w:p w14:paraId="7C1A31B6">
            <w:pPr>
              <w:pStyle w:val="85"/>
              <w:jc w:val="center"/>
              <w:rPr>
                <w:color w:val="auto"/>
                <w:sz w:val="22"/>
                <w:szCs w:val="22"/>
              </w:rPr>
            </w:pPr>
            <w:r>
              <w:rPr>
                <w:color w:val="auto"/>
                <w:sz w:val="22"/>
                <w:szCs w:val="22"/>
              </w:rPr>
              <w:t>5</w:t>
            </w:r>
          </w:p>
        </w:tc>
        <w:tc>
          <w:tcPr>
            <w:tcW w:w="7994" w:type="dxa"/>
          </w:tcPr>
          <w:p w14:paraId="7105CD84">
            <w:pPr>
              <w:pStyle w:val="85"/>
              <w:jc w:val="both"/>
              <w:rPr>
                <w:color w:val="auto"/>
                <w:sz w:val="22"/>
                <w:szCs w:val="22"/>
              </w:rPr>
            </w:pPr>
            <w:r>
              <w:rPr>
                <w:color w:val="auto"/>
                <w:sz w:val="22"/>
                <w:szCs w:val="22"/>
              </w:rPr>
              <w:t>Синтаксис</w:t>
            </w:r>
          </w:p>
        </w:tc>
      </w:tr>
      <w:tr w14:paraId="2E52C9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077" w:type="dxa"/>
          </w:tcPr>
          <w:p w14:paraId="389AFC3C">
            <w:pPr>
              <w:pStyle w:val="85"/>
              <w:jc w:val="center"/>
              <w:rPr>
                <w:color w:val="auto"/>
                <w:sz w:val="22"/>
                <w:szCs w:val="22"/>
              </w:rPr>
            </w:pPr>
            <w:r>
              <w:rPr>
                <w:color w:val="auto"/>
                <w:sz w:val="22"/>
                <w:szCs w:val="22"/>
              </w:rPr>
              <w:t>5.1</w:t>
            </w:r>
          </w:p>
        </w:tc>
        <w:tc>
          <w:tcPr>
            <w:tcW w:w="7994" w:type="dxa"/>
          </w:tcPr>
          <w:p w14:paraId="5ED23D4B">
            <w:pPr>
              <w:pStyle w:val="85"/>
              <w:jc w:val="both"/>
              <w:rPr>
                <w:color w:val="auto"/>
                <w:sz w:val="22"/>
                <w:szCs w:val="22"/>
              </w:rPr>
            </w:pPr>
            <w:r>
              <w:rPr>
                <w:color w:val="auto"/>
                <w:sz w:val="22"/>
                <w:szCs w:val="22"/>
              </w:rPr>
              <w:t>Слово, сочетание слов (словосочетание) и предложение, осознание их сходства и различий; виды предложений по цели высказывания (повествовательные, вопросительные и побудительные); виды предложений по эмоциональной окраске (восклицательные и невосклицательные); связь между словами в словосочетании и предложении (при помощи смысловых вопросов); распространенные и нераспространенные предложения (повторение изученного)</w:t>
            </w:r>
          </w:p>
        </w:tc>
      </w:tr>
      <w:tr w14:paraId="79AF9A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077" w:type="dxa"/>
          </w:tcPr>
          <w:p w14:paraId="7FC1DEF1">
            <w:pPr>
              <w:pStyle w:val="85"/>
              <w:jc w:val="center"/>
              <w:rPr>
                <w:color w:val="auto"/>
                <w:sz w:val="22"/>
                <w:szCs w:val="22"/>
              </w:rPr>
            </w:pPr>
            <w:r>
              <w:rPr>
                <w:color w:val="auto"/>
                <w:sz w:val="22"/>
                <w:szCs w:val="22"/>
              </w:rPr>
              <w:t>5.2</w:t>
            </w:r>
          </w:p>
        </w:tc>
        <w:tc>
          <w:tcPr>
            <w:tcW w:w="7994" w:type="dxa"/>
          </w:tcPr>
          <w:p w14:paraId="6CE196BE">
            <w:pPr>
              <w:pStyle w:val="85"/>
              <w:jc w:val="both"/>
              <w:rPr>
                <w:color w:val="auto"/>
                <w:sz w:val="22"/>
                <w:szCs w:val="22"/>
              </w:rPr>
            </w:pPr>
            <w:r>
              <w:rPr>
                <w:color w:val="auto"/>
                <w:sz w:val="22"/>
                <w:szCs w:val="22"/>
              </w:rPr>
              <w:t>Предложения с однородными членами: без союзов, с союзами а, но, с одиночным союзом и. Интонация перечисления в предложениях с однородными членами</w:t>
            </w:r>
          </w:p>
        </w:tc>
      </w:tr>
      <w:tr w14:paraId="59C41E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077" w:type="dxa"/>
          </w:tcPr>
          <w:p w14:paraId="33A44557">
            <w:pPr>
              <w:pStyle w:val="85"/>
              <w:jc w:val="center"/>
              <w:rPr>
                <w:color w:val="auto"/>
                <w:sz w:val="22"/>
                <w:szCs w:val="22"/>
              </w:rPr>
            </w:pPr>
            <w:r>
              <w:rPr>
                <w:color w:val="auto"/>
                <w:sz w:val="22"/>
                <w:szCs w:val="22"/>
              </w:rPr>
              <w:t>5.3</w:t>
            </w:r>
          </w:p>
        </w:tc>
        <w:tc>
          <w:tcPr>
            <w:tcW w:w="7994" w:type="dxa"/>
          </w:tcPr>
          <w:p w14:paraId="0AB1FF6C">
            <w:pPr>
              <w:pStyle w:val="85"/>
              <w:jc w:val="both"/>
              <w:rPr>
                <w:color w:val="auto"/>
                <w:sz w:val="22"/>
                <w:szCs w:val="22"/>
              </w:rPr>
            </w:pPr>
            <w:r>
              <w:rPr>
                <w:color w:val="auto"/>
                <w:sz w:val="22"/>
                <w:szCs w:val="22"/>
              </w:rPr>
              <w:t>Простое и сложное предложение (ознакомление)</w:t>
            </w:r>
          </w:p>
        </w:tc>
      </w:tr>
      <w:tr w14:paraId="58A57F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077" w:type="dxa"/>
          </w:tcPr>
          <w:p w14:paraId="43E74568">
            <w:pPr>
              <w:pStyle w:val="85"/>
              <w:jc w:val="center"/>
              <w:rPr>
                <w:color w:val="auto"/>
                <w:sz w:val="22"/>
                <w:szCs w:val="22"/>
              </w:rPr>
            </w:pPr>
            <w:r>
              <w:rPr>
                <w:color w:val="auto"/>
                <w:sz w:val="22"/>
                <w:szCs w:val="22"/>
              </w:rPr>
              <w:t>5.4</w:t>
            </w:r>
          </w:p>
        </w:tc>
        <w:tc>
          <w:tcPr>
            <w:tcW w:w="7994" w:type="dxa"/>
          </w:tcPr>
          <w:p w14:paraId="4EC840BE">
            <w:pPr>
              <w:pStyle w:val="85"/>
              <w:jc w:val="both"/>
              <w:rPr>
                <w:color w:val="auto"/>
                <w:sz w:val="22"/>
                <w:szCs w:val="22"/>
              </w:rPr>
            </w:pPr>
            <w:r>
              <w:rPr>
                <w:color w:val="auto"/>
                <w:sz w:val="22"/>
                <w:szCs w:val="22"/>
              </w:rPr>
              <w:t>Сложные предложения: сложносочиненные с союзами и, а, но; бессоюзные сложные предложения (без называния терминов)</w:t>
            </w:r>
          </w:p>
        </w:tc>
      </w:tr>
      <w:tr w14:paraId="4A7B21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077" w:type="dxa"/>
          </w:tcPr>
          <w:p w14:paraId="7F7C30B7">
            <w:pPr>
              <w:pStyle w:val="85"/>
              <w:jc w:val="center"/>
              <w:rPr>
                <w:color w:val="auto"/>
                <w:sz w:val="22"/>
                <w:szCs w:val="22"/>
              </w:rPr>
            </w:pPr>
            <w:r>
              <w:rPr>
                <w:color w:val="auto"/>
                <w:sz w:val="22"/>
                <w:szCs w:val="22"/>
              </w:rPr>
              <w:t>6</w:t>
            </w:r>
          </w:p>
        </w:tc>
        <w:tc>
          <w:tcPr>
            <w:tcW w:w="7994" w:type="dxa"/>
          </w:tcPr>
          <w:p w14:paraId="40721157">
            <w:pPr>
              <w:pStyle w:val="85"/>
              <w:jc w:val="both"/>
              <w:rPr>
                <w:color w:val="auto"/>
                <w:sz w:val="22"/>
                <w:szCs w:val="22"/>
              </w:rPr>
            </w:pPr>
            <w:r>
              <w:rPr>
                <w:color w:val="auto"/>
                <w:sz w:val="22"/>
                <w:szCs w:val="22"/>
              </w:rPr>
              <w:t>Орфография и пунктуация</w:t>
            </w:r>
          </w:p>
        </w:tc>
      </w:tr>
      <w:tr w14:paraId="384115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077" w:type="dxa"/>
          </w:tcPr>
          <w:p w14:paraId="68BEDB65">
            <w:pPr>
              <w:pStyle w:val="85"/>
              <w:jc w:val="center"/>
              <w:rPr>
                <w:color w:val="auto"/>
                <w:sz w:val="22"/>
                <w:szCs w:val="22"/>
              </w:rPr>
            </w:pPr>
            <w:r>
              <w:rPr>
                <w:color w:val="auto"/>
                <w:sz w:val="22"/>
                <w:szCs w:val="22"/>
              </w:rPr>
              <w:t>6.1</w:t>
            </w:r>
          </w:p>
        </w:tc>
        <w:tc>
          <w:tcPr>
            <w:tcW w:w="7994" w:type="dxa"/>
          </w:tcPr>
          <w:p w14:paraId="39639752">
            <w:pPr>
              <w:pStyle w:val="85"/>
              <w:jc w:val="both"/>
              <w:rPr>
                <w:color w:val="auto"/>
                <w:sz w:val="22"/>
                <w:szCs w:val="22"/>
              </w:rPr>
            </w:pPr>
            <w:r>
              <w:rPr>
                <w:color w:val="auto"/>
                <w:sz w:val="22"/>
                <w:szCs w:val="22"/>
              </w:rPr>
              <w:t>Повторение правил правописания, изученных в 1 - 3 классах</w:t>
            </w:r>
          </w:p>
        </w:tc>
      </w:tr>
      <w:tr w14:paraId="0BBABB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077" w:type="dxa"/>
          </w:tcPr>
          <w:p w14:paraId="5E507BB3">
            <w:pPr>
              <w:pStyle w:val="85"/>
              <w:jc w:val="center"/>
              <w:rPr>
                <w:color w:val="auto"/>
                <w:sz w:val="22"/>
                <w:szCs w:val="22"/>
              </w:rPr>
            </w:pPr>
            <w:r>
              <w:rPr>
                <w:color w:val="auto"/>
                <w:sz w:val="22"/>
                <w:szCs w:val="22"/>
              </w:rPr>
              <w:t>6.2</w:t>
            </w:r>
          </w:p>
        </w:tc>
        <w:tc>
          <w:tcPr>
            <w:tcW w:w="7994" w:type="dxa"/>
          </w:tcPr>
          <w:p w14:paraId="46F8626E">
            <w:pPr>
              <w:pStyle w:val="85"/>
              <w:jc w:val="both"/>
              <w:rPr>
                <w:color w:val="auto"/>
                <w:sz w:val="22"/>
                <w:szCs w:val="22"/>
              </w:rPr>
            </w:pPr>
            <w:r>
              <w:rPr>
                <w:color w:val="auto"/>
                <w:sz w:val="22"/>
                <w:szCs w:val="22"/>
              </w:rPr>
              <w:t>Орфографическая зоркость как осознание места возможного возникновения орфографической ошибки; различные способы решения орфографической задачи в зависимости от места орфограммы в слове; контроль при проверке собственных и предложенных текстов (повторение и применение на новом орфографическом материале)</w:t>
            </w:r>
          </w:p>
        </w:tc>
      </w:tr>
      <w:tr w14:paraId="106C0E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077" w:type="dxa"/>
          </w:tcPr>
          <w:p w14:paraId="676D5F5D">
            <w:pPr>
              <w:pStyle w:val="85"/>
              <w:jc w:val="center"/>
              <w:rPr>
                <w:color w:val="auto"/>
                <w:sz w:val="22"/>
                <w:szCs w:val="22"/>
              </w:rPr>
            </w:pPr>
            <w:r>
              <w:rPr>
                <w:color w:val="auto"/>
                <w:sz w:val="22"/>
                <w:szCs w:val="22"/>
              </w:rPr>
              <w:t>6.3</w:t>
            </w:r>
          </w:p>
        </w:tc>
        <w:tc>
          <w:tcPr>
            <w:tcW w:w="7994" w:type="dxa"/>
          </w:tcPr>
          <w:p w14:paraId="046787F8">
            <w:pPr>
              <w:pStyle w:val="85"/>
              <w:jc w:val="both"/>
              <w:rPr>
                <w:color w:val="auto"/>
                <w:sz w:val="22"/>
                <w:szCs w:val="22"/>
              </w:rPr>
            </w:pPr>
            <w:r>
              <w:rPr>
                <w:color w:val="auto"/>
                <w:sz w:val="22"/>
                <w:szCs w:val="22"/>
              </w:rPr>
              <w:t>Использование орфографического словаря для определения (уточнения) написания слова</w:t>
            </w:r>
          </w:p>
        </w:tc>
      </w:tr>
      <w:tr w14:paraId="03FBD4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077" w:type="dxa"/>
          </w:tcPr>
          <w:p w14:paraId="7A5964AE">
            <w:pPr>
              <w:pStyle w:val="85"/>
              <w:jc w:val="center"/>
              <w:rPr>
                <w:color w:val="auto"/>
                <w:sz w:val="22"/>
                <w:szCs w:val="22"/>
              </w:rPr>
            </w:pPr>
            <w:r>
              <w:rPr>
                <w:color w:val="auto"/>
                <w:sz w:val="22"/>
                <w:szCs w:val="22"/>
              </w:rPr>
              <w:t>6.4</w:t>
            </w:r>
          </w:p>
        </w:tc>
        <w:tc>
          <w:tcPr>
            <w:tcW w:w="7994" w:type="dxa"/>
          </w:tcPr>
          <w:p w14:paraId="66736A4C">
            <w:pPr>
              <w:pStyle w:val="85"/>
              <w:jc w:val="both"/>
              <w:rPr>
                <w:color w:val="auto"/>
                <w:sz w:val="22"/>
                <w:szCs w:val="22"/>
              </w:rPr>
            </w:pPr>
            <w:r>
              <w:rPr>
                <w:color w:val="auto"/>
                <w:sz w:val="22"/>
                <w:szCs w:val="22"/>
              </w:rPr>
              <w:t>Безударные падежные окончания имен существительных (кроме существительных на -мя, -ий, -ие, -ия, на -ья типа гостья, на -ье типа ожерелье во множественном числе, а также кроме собственных имен существительных на -ов, -ин, -ий)</w:t>
            </w:r>
          </w:p>
        </w:tc>
      </w:tr>
      <w:tr w14:paraId="0ADD3D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077" w:type="dxa"/>
          </w:tcPr>
          <w:p w14:paraId="7229846D">
            <w:pPr>
              <w:pStyle w:val="85"/>
              <w:jc w:val="center"/>
              <w:rPr>
                <w:color w:val="auto"/>
                <w:sz w:val="22"/>
                <w:szCs w:val="22"/>
              </w:rPr>
            </w:pPr>
            <w:r>
              <w:rPr>
                <w:color w:val="auto"/>
                <w:sz w:val="22"/>
                <w:szCs w:val="22"/>
              </w:rPr>
              <w:t>6.5</w:t>
            </w:r>
          </w:p>
        </w:tc>
        <w:tc>
          <w:tcPr>
            <w:tcW w:w="7994" w:type="dxa"/>
          </w:tcPr>
          <w:p w14:paraId="0BFA6E50">
            <w:pPr>
              <w:pStyle w:val="85"/>
              <w:jc w:val="both"/>
              <w:rPr>
                <w:color w:val="auto"/>
                <w:sz w:val="22"/>
                <w:szCs w:val="22"/>
              </w:rPr>
            </w:pPr>
            <w:r>
              <w:rPr>
                <w:color w:val="auto"/>
                <w:sz w:val="22"/>
                <w:szCs w:val="22"/>
              </w:rPr>
              <w:t>Безударные падежные окончания имен прилагательных</w:t>
            </w:r>
          </w:p>
        </w:tc>
      </w:tr>
      <w:tr w14:paraId="09171E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077" w:type="dxa"/>
          </w:tcPr>
          <w:p w14:paraId="57E8EA73">
            <w:pPr>
              <w:pStyle w:val="85"/>
              <w:jc w:val="center"/>
              <w:rPr>
                <w:color w:val="auto"/>
                <w:sz w:val="22"/>
                <w:szCs w:val="22"/>
              </w:rPr>
            </w:pPr>
            <w:r>
              <w:rPr>
                <w:color w:val="auto"/>
                <w:sz w:val="22"/>
                <w:szCs w:val="22"/>
              </w:rPr>
              <w:t>6.6</w:t>
            </w:r>
          </w:p>
        </w:tc>
        <w:tc>
          <w:tcPr>
            <w:tcW w:w="7994" w:type="dxa"/>
          </w:tcPr>
          <w:p w14:paraId="3A81EBD0">
            <w:pPr>
              <w:pStyle w:val="85"/>
              <w:jc w:val="both"/>
              <w:rPr>
                <w:color w:val="auto"/>
                <w:sz w:val="22"/>
                <w:szCs w:val="22"/>
              </w:rPr>
            </w:pPr>
            <w:r>
              <w:rPr>
                <w:color w:val="auto"/>
                <w:sz w:val="22"/>
                <w:szCs w:val="22"/>
              </w:rPr>
              <w:t>Мягкий знак после шипящих на конце глаголов в форме 2-го лица единственного числа</w:t>
            </w:r>
          </w:p>
        </w:tc>
      </w:tr>
      <w:tr w14:paraId="5FCDFF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077" w:type="dxa"/>
          </w:tcPr>
          <w:p w14:paraId="6F57BD98">
            <w:pPr>
              <w:pStyle w:val="85"/>
              <w:jc w:val="center"/>
              <w:rPr>
                <w:color w:val="auto"/>
                <w:sz w:val="22"/>
                <w:szCs w:val="22"/>
              </w:rPr>
            </w:pPr>
            <w:r>
              <w:rPr>
                <w:color w:val="auto"/>
                <w:sz w:val="22"/>
                <w:szCs w:val="22"/>
              </w:rPr>
              <w:t>6.7</w:t>
            </w:r>
          </w:p>
        </w:tc>
        <w:tc>
          <w:tcPr>
            <w:tcW w:w="7994" w:type="dxa"/>
          </w:tcPr>
          <w:p w14:paraId="74C32BFC">
            <w:pPr>
              <w:pStyle w:val="85"/>
              <w:jc w:val="both"/>
              <w:rPr>
                <w:color w:val="auto"/>
                <w:sz w:val="22"/>
                <w:szCs w:val="22"/>
              </w:rPr>
            </w:pPr>
            <w:r>
              <w:rPr>
                <w:color w:val="auto"/>
                <w:sz w:val="22"/>
                <w:szCs w:val="22"/>
              </w:rPr>
              <w:t>Наличие или отсутствие мягкого знака в глаголах на -ться и -тся</w:t>
            </w:r>
          </w:p>
        </w:tc>
      </w:tr>
      <w:tr w14:paraId="22BD5C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077" w:type="dxa"/>
          </w:tcPr>
          <w:p w14:paraId="7264BB9D">
            <w:pPr>
              <w:pStyle w:val="85"/>
              <w:jc w:val="center"/>
              <w:rPr>
                <w:color w:val="auto"/>
                <w:sz w:val="22"/>
                <w:szCs w:val="22"/>
              </w:rPr>
            </w:pPr>
            <w:r>
              <w:rPr>
                <w:color w:val="auto"/>
                <w:sz w:val="22"/>
                <w:szCs w:val="22"/>
              </w:rPr>
              <w:t>6.8</w:t>
            </w:r>
          </w:p>
        </w:tc>
        <w:tc>
          <w:tcPr>
            <w:tcW w:w="7994" w:type="dxa"/>
          </w:tcPr>
          <w:p w14:paraId="1ED212CF">
            <w:pPr>
              <w:pStyle w:val="85"/>
              <w:jc w:val="both"/>
              <w:rPr>
                <w:color w:val="auto"/>
                <w:sz w:val="22"/>
                <w:szCs w:val="22"/>
              </w:rPr>
            </w:pPr>
            <w:r>
              <w:rPr>
                <w:color w:val="auto"/>
                <w:sz w:val="22"/>
                <w:szCs w:val="22"/>
              </w:rPr>
              <w:t>Безударные личные окончания глаголов</w:t>
            </w:r>
          </w:p>
        </w:tc>
      </w:tr>
      <w:tr w14:paraId="51C564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077" w:type="dxa"/>
          </w:tcPr>
          <w:p w14:paraId="0AD27A85">
            <w:pPr>
              <w:pStyle w:val="85"/>
              <w:jc w:val="center"/>
              <w:rPr>
                <w:color w:val="auto"/>
                <w:sz w:val="22"/>
                <w:szCs w:val="22"/>
              </w:rPr>
            </w:pPr>
            <w:r>
              <w:rPr>
                <w:color w:val="auto"/>
                <w:sz w:val="22"/>
                <w:szCs w:val="22"/>
              </w:rPr>
              <w:t>6.9</w:t>
            </w:r>
          </w:p>
        </w:tc>
        <w:tc>
          <w:tcPr>
            <w:tcW w:w="7994" w:type="dxa"/>
          </w:tcPr>
          <w:p w14:paraId="5E158D3D">
            <w:pPr>
              <w:pStyle w:val="85"/>
              <w:jc w:val="both"/>
              <w:rPr>
                <w:color w:val="auto"/>
                <w:sz w:val="22"/>
                <w:szCs w:val="22"/>
              </w:rPr>
            </w:pPr>
            <w:r>
              <w:rPr>
                <w:color w:val="auto"/>
                <w:sz w:val="22"/>
                <w:szCs w:val="22"/>
              </w:rPr>
              <w:t>Знаки препинания в предложениях с однородными членами, соединенными союзами и, а, но и без союзов</w:t>
            </w:r>
          </w:p>
        </w:tc>
      </w:tr>
      <w:tr w14:paraId="4A7A97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077" w:type="dxa"/>
          </w:tcPr>
          <w:p w14:paraId="1D83AFCE">
            <w:pPr>
              <w:pStyle w:val="85"/>
              <w:jc w:val="center"/>
              <w:rPr>
                <w:color w:val="auto"/>
                <w:sz w:val="22"/>
                <w:szCs w:val="22"/>
              </w:rPr>
            </w:pPr>
            <w:r>
              <w:rPr>
                <w:color w:val="auto"/>
                <w:sz w:val="22"/>
                <w:szCs w:val="22"/>
              </w:rPr>
              <w:t>6.10</w:t>
            </w:r>
          </w:p>
        </w:tc>
        <w:tc>
          <w:tcPr>
            <w:tcW w:w="7994" w:type="dxa"/>
          </w:tcPr>
          <w:p w14:paraId="751FA2DE">
            <w:pPr>
              <w:pStyle w:val="85"/>
              <w:jc w:val="both"/>
              <w:rPr>
                <w:color w:val="auto"/>
                <w:sz w:val="22"/>
                <w:szCs w:val="22"/>
              </w:rPr>
            </w:pPr>
            <w:r>
              <w:rPr>
                <w:color w:val="auto"/>
                <w:sz w:val="22"/>
                <w:szCs w:val="22"/>
              </w:rPr>
              <w:t>Знаки препинания в сложном предложении, состоящем из двух простых (наблюдение)</w:t>
            </w:r>
          </w:p>
        </w:tc>
      </w:tr>
      <w:tr w14:paraId="1EFE75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077" w:type="dxa"/>
          </w:tcPr>
          <w:p w14:paraId="262F1E57">
            <w:pPr>
              <w:pStyle w:val="85"/>
              <w:jc w:val="center"/>
              <w:rPr>
                <w:color w:val="auto"/>
                <w:sz w:val="22"/>
                <w:szCs w:val="22"/>
              </w:rPr>
            </w:pPr>
            <w:r>
              <w:rPr>
                <w:color w:val="auto"/>
                <w:sz w:val="22"/>
                <w:szCs w:val="22"/>
              </w:rPr>
              <w:t>6.11</w:t>
            </w:r>
          </w:p>
        </w:tc>
        <w:tc>
          <w:tcPr>
            <w:tcW w:w="7994" w:type="dxa"/>
          </w:tcPr>
          <w:p w14:paraId="7723C2A7">
            <w:pPr>
              <w:pStyle w:val="85"/>
              <w:jc w:val="both"/>
              <w:rPr>
                <w:color w:val="auto"/>
                <w:sz w:val="22"/>
                <w:szCs w:val="22"/>
              </w:rPr>
            </w:pPr>
            <w:r>
              <w:rPr>
                <w:color w:val="auto"/>
                <w:sz w:val="22"/>
                <w:szCs w:val="22"/>
              </w:rPr>
              <w:t>Знаки препинания в предложении с прямой речью после слов автора (наблюдение)</w:t>
            </w:r>
          </w:p>
        </w:tc>
      </w:tr>
      <w:tr w14:paraId="6874CF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077" w:type="dxa"/>
          </w:tcPr>
          <w:p w14:paraId="3659E0C1">
            <w:pPr>
              <w:pStyle w:val="85"/>
              <w:jc w:val="center"/>
              <w:rPr>
                <w:color w:val="auto"/>
                <w:sz w:val="22"/>
                <w:szCs w:val="22"/>
              </w:rPr>
            </w:pPr>
            <w:r>
              <w:rPr>
                <w:color w:val="auto"/>
                <w:sz w:val="22"/>
                <w:szCs w:val="22"/>
              </w:rPr>
              <w:t>7</w:t>
            </w:r>
          </w:p>
        </w:tc>
        <w:tc>
          <w:tcPr>
            <w:tcW w:w="7994" w:type="dxa"/>
          </w:tcPr>
          <w:p w14:paraId="4D23A6A0">
            <w:pPr>
              <w:pStyle w:val="85"/>
              <w:jc w:val="both"/>
              <w:rPr>
                <w:color w:val="auto"/>
                <w:sz w:val="22"/>
                <w:szCs w:val="22"/>
              </w:rPr>
            </w:pPr>
            <w:r>
              <w:rPr>
                <w:color w:val="auto"/>
                <w:sz w:val="22"/>
                <w:szCs w:val="22"/>
              </w:rPr>
              <w:t>Развитие речи</w:t>
            </w:r>
          </w:p>
        </w:tc>
      </w:tr>
      <w:tr w14:paraId="2BF2D6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077" w:type="dxa"/>
          </w:tcPr>
          <w:p w14:paraId="38358352">
            <w:pPr>
              <w:pStyle w:val="85"/>
              <w:jc w:val="center"/>
              <w:rPr>
                <w:color w:val="auto"/>
                <w:sz w:val="22"/>
                <w:szCs w:val="22"/>
              </w:rPr>
            </w:pPr>
            <w:r>
              <w:rPr>
                <w:color w:val="auto"/>
                <w:sz w:val="22"/>
                <w:szCs w:val="22"/>
              </w:rPr>
              <w:t>7.1</w:t>
            </w:r>
          </w:p>
        </w:tc>
        <w:tc>
          <w:tcPr>
            <w:tcW w:w="7994" w:type="dxa"/>
          </w:tcPr>
          <w:p w14:paraId="2DB95154">
            <w:pPr>
              <w:pStyle w:val="85"/>
              <w:jc w:val="both"/>
              <w:rPr>
                <w:color w:val="auto"/>
                <w:sz w:val="22"/>
                <w:szCs w:val="22"/>
              </w:rPr>
            </w:pPr>
            <w:r>
              <w:rPr>
                <w:color w:val="auto"/>
                <w:sz w:val="22"/>
                <w:szCs w:val="22"/>
              </w:rPr>
              <w:t>Повторение и продолжение работы, начатой в предыдущих классах: ситуации устного и письменного общения (письмо, поздравительная открытка, объявление и другое); диалог; монолог; отражение темы текста или основной мысли в заголовке</w:t>
            </w:r>
          </w:p>
        </w:tc>
      </w:tr>
      <w:tr w14:paraId="25E1B7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077" w:type="dxa"/>
          </w:tcPr>
          <w:p w14:paraId="7814A166">
            <w:pPr>
              <w:pStyle w:val="85"/>
              <w:jc w:val="center"/>
              <w:rPr>
                <w:color w:val="auto"/>
                <w:sz w:val="22"/>
                <w:szCs w:val="22"/>
              </w:rPr>
            </w:pPr>
            <w:r>
              <w:rPr>
                <w:color w:val="auto"/>
                <w:sz w:val="22"/>
                <w:szCs w:val="22"/>
              </w:rPr>
              <w:t>7.2</w:t>
            </w:r>
          </w:p>
        </w:tc>
        <w:tc>
          <w:tcPr>
            <w:tcW w:w="7994" w:type="dxa"/>
          </w:tcPr>
          <w:p w14:paraId="1DB9387C">
            <w:pPr>
              <w:pStyle w:val="85"/>
              <w:jc w:val="both"/>
              <w:rPr>
                <w:color w:val="auto"/>
                <w:sz w:val="22"/>
                <w:szCs w:val="22"/>
              </w:rPr>
            </w:pPr>
            <w:r>
              <w:rPr>
                <w:color w:val="auto"/>
                <w:sz w:val="22"/>
                <w:szCs w:val="22"/>
              </w:rPr>
              <w:t>Корректирование текстов (заданных и собственных) с учетом точности, правильности, богатства и выразительности письменной речи</w:t>
            </w:r>
          </w:p>
        </w:tc>
      </w:tr>
      <w:tr w14:paraId="689B78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077" w:type="dxa"/>
          </w:tcPr>
          <w:p w14:paraId="5AAB1B56">
            <w:pPr>
              <w:pStyle w:val="85"/>
              <w:jc w:val="center"/>
              <w:rPr>
                <w:color w:val="auto"/>
                <w:sz w:val="22"/>
                <w:szCs w:val="22"/>
              </w:rPr>
            </w:pPr>
            <w:r>
              <w:rPr>
                <w:color w:val="auto"/>
                <w:sz w:val="22"/>
                <w:szCs w:val="22"/>
              </w:rPr>
              <w:t>7.3</w:t>
            </w:r>
          </w:p>
        </w:tc>
        <w:tc>
          <w:tcPr>
            <w:tcW w:w="7994" w:type="dxa"/>
          </w:tcPr>
          <w:p w14:paraId="76A1D9E5">
            <w:pPr>
              <w:pStyle w:val="85"/>
              <w:jc w:val="both"/>
              <w:rPr>
                <w:color w:val="auto"/>
                <w:sz w:val="22"/>
                <w:szCs w:val="22"/>
              </w:rPr>
            </w:pPr>
            <w:r>
              <w:rPr>
                <w:color w:val="auto"/>
                <w:sz w:val="22"/>
                <w:szCs w:val="22"/>
              </w:rPr>
              <w:t>Изложение (подробный устный и письменный пересказ текста; выборочный устный пересказ текста)</w:t>
            </w:r>
          </w:p>
        </w:tc>
      </w:tr>
      <w:tr w14:paraId="0440F0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077" w:type="dxa"/>
          </w:tcPr>
          <w:p w14:paraId="048DC7BD">
            <w:pPr>
              <w:pStyle w:val="85"/>
              <w:jc w:val="center"/>
              <w:rPr>
                <w:color w:val="auto"/>
                <w:sz w:val="22"/>
                <w:szCs w:val="22"/>
              </w:rPr>
            </w:pPr>
            <w:r>
              <w:rPr>
                <w:color w:val="auto"/>
                <w:sz w:val="22"/>
                <w:szCs w:val="22"/>
              </w:rPr>
              <w:t>7.4</w:t>
            </w:r>
          </w:p>
        </w:tc>
        <w:tc>
          <w:tcPr>
            <w:tcW w:w="7994" w:type="dxa"/>
          </w:tcPr>
          <w:p w14:paraId="08F82DAB">
            <w:pPr>
              <w:pStyle w:val="85"/>
              <w:jc w:val="both"/>
              <w:rPr>
                <w:color w:val="auto"/>
                <w:sz w:val="22"/>
                <w:szCs w:val="22"/>
              </w:rPr>
            </w:pPr>
            <w:r>
              <w:rPr>
                <w:color w:val="auto"/>
                <w:sz w:val="22"/>
                <w:szCs w:val="22"/>
              </w:rPr>
              <w:t>Сочинение как вид письменной работы</w:t>
            </w:r>
          </w:p>
        </w:tc>
      </w:tr>
      <w:tr w14:paraId="260A38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077" w:type="dxa"/>
          </w:tcPr>
          <w:p w14:paraId="53243084">
            <w:pPr>
              <w:pStyle w:val="85"/>
              <w:jc w:val="center"/>
              <w:rPr>
                <w:color w:val="auto"/>
                <w:sz w:val="22"/>
                <w:szCs w:val="22"/>
              </w:rPr>
            </w:pPr>
            <w:r>
              <w:rPr>
                <w:color w:val="auto"/>
                <w:sz w:val="22"/>
                <w:szCs w:val="22"/>
              </w:rPr>
              <w:t>7.5</w:t>
            </w:r>
          </w:p>
        </w:tc>
        <w:tc>
          <w:tcPr>
            <w:tcW w:w="7994" w:type="dxa"/>
          </w:tcPr>
          <w:p w14:paraId="7D81F608">
            <w:pPr>
              <w:pStyle w:val="85"/>
              <w:jc w:val="both"/>
              <w:rPr>
                <w:color w:val="auto"/>
                <w:sz w:val="22"/>
                <w:szCs w:val="22"/>
              </w:rPr>
            </w:pPr>
            <w:r>
              <w:rPr>
                <w:color w:val="auto"/>
                <w:sz w:val="22"/>
                <w:szCs w:val="22"/>
              </w:rPr>
              <w:t>Изучающее чтение. Поиск информации, заданной в тексте в явном виде. Формулирование простых выводов на основе информации, содержащейся в тексте. Интерпретация и обобщение содержащейся в тексте информации</w:t>
            </w:r>
          </w:p>
        </w:tc>
      </w:tr>
      <w:tr w14:paraId="63D513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077" w:type="dxa"/>
          </w:tcPr>
          <w:p w14:paraId="570548D6">
            <w:pPr>
              <w:pStyle w:val="85"/>
              <w:jc w:val="center"/>
              <w:rPr>
                <w:color w:val="auto"/>
                <w:sz w:val="22"/>
                <w:szCs w:val="22"/>
              </w:rPr>
            </w:pPr>
            <w:r>
              <w:rPr>
                <w:color w:val="auto"/>
                <w:sz w:val="22"/>
                <w:szCs w:val="22"/>
              </w:rPr>
              <w:t>7.6</w:t>
            </w:r>
          </w:p>
        </w:tc>
        <w:tc>
          <w:tcPr>
            <w:tcW w:w="7994" w:type="dxa"/>
          </w:tcPr>
          <w:p w14:paraId="43550E44">
            <w:pPr>
              <w:pStyle w:val="85"/>
              <w:jc w:val="both"/>
              <w:rPr>
                <w:color w:val="auto"/>
                <w:sz w:val="22"/>
                <w:szCs w:val="22"/>
              </w:rPr>
            </w:pPr>
            <w:r>
              <w:rPr>
                <w:color w:val="auto"/>
                <w:sz w:val="22"/>
                <w:szCs w:val="22"/>
              </w:rPr>
              <w:t>Ознакомительное чтение в соответствии с поставленной задачей</w:t>
            </w:r>
          </w:p>
        </w:tc>
      </w:tr>
    </w:tbl>
    <w:p w14:paraId="574ED4CB">
      <w:pPr>
        <w:pStyle w:val="2"/>
        <w:pBdr>
          <w:bottom w:val="none" w:color="auto" w:sz="0" w:space="0"/>
        </w:pBdr>
        <w:spacing w:before="0" w:line="360" w:lineRule="auto"/>
        <w:ind w:firstLine="708"/>
        <w:jc w:val="both"/>
        <w:rPr>
          <w:rFonts w:eastAsia="SchoolBookSanPin"/>
          <w:b w:val="0"/>
          <w:sz w:val="22"/>
          <w:szCs w:val="22"/>
        </w:rPr>
      </w:pPr>
      <w:r>
        <w:rPr>
          <w:rFonts w:eastAsia="SchoolBookSanPin"/>
          <w:b w:val="0"/>
          <w:sz w:val="22"/>
          <w:szCs w:val="22"/>
        </w:rPr>
        <w:t>3.</w:t>
      </w:r>
      <w:r>
        <w:rPr>
          <w:b w:val="0"/>
          <w:sz w:val="22"/>
          <w:szCs w:val="22"/>
        </w:rPr>
        <w:t xml:space="preserve"> </w:t>
      </w:r>
      <w:r>
        <w:rPr>
          <w:rFonts w:eastAsia="SchoolBookSanPin"/>
          <w:b w:val="0"/>
          <w:sz w:val="22"/>
          <w:szCs w:val="22"/>
        </w:rPr>
        <w:t>Рабочая программа по учебному предмету «Литературное чтение».</w:t>
      </w:r>
    </w:p>
    <w:p w14:paraId="7F1B9855">
      <w:pPr>
        <w:spacing w:after="0" w:line="355" w:lineRule="auto"/>
        <w:ind w:firstLine="709"/>
        <w:jc w:val="both"/>
        <w:rPr>
          <w:rFonts w:ascii="Times New Roman" w:hAnsi="Times New Roman" w:eastAsia="SchoolBookSanPin"/>
        </w:rPr>
      </w:pPr>
      <w:r>
        <w:rPr>
          <w:rFonts w:ascii="Times New Roman" w:hAnsi="Times New Roman" w:eastAsia="SchoolBookSanPin"/>
        </w:rPr>
        <w:t>3.1. Рабочая программа по учебному предмету «Литературное чтение» (предметная область «Русский язык и литературное чтение») (далее соответственно – программа по литературному чтению, литературное чтение) включает пояснительную записку, содержание обучения, планируемые результаты освоения программы по литературному чтению.</w:t>
      </w:r>
    </w:p>
    <w:bookmarkEnd w:id="1"/>
    <w:p w14:paraId="59E1B494">
      <w:pPr>
        <w:spacing w:after="0" w:line="355" w:lineRule="auto"/>
        <w:ind w:firstLine="709"/>
        <w:jc w:val="both"/>
        <w:rPr>
          <w:rFonts w:ascii="Times New Roman" w:hAnsi="Times New Roman" w:eastAsia="Times New Roman"/>
        </w:rPr>
      </w:pPr>
      <w:r>
        <w:rPr>
          <w:rFonts w:ascii="Times New Roman" w:hAnsi="Times New Roman" w:eastAsia="SchoolBookSanPin"/>
        </w:rPr>
        <w:t>3.2. </w:t>
      </w:r>
      <w:r>
        <w:rPr>
          <w:rFonts w:ascii="Times New Roman" w:hAnsi="Times New Roman" w:eastAsia="Times New Roman"/>
        </w:rPr>
        <w:t>Пояснительная записка отражает общие цели и задачи изучения литературного чтения, место в структуре учебного плана, а также подходы к отбору содержания и планируемым результатам.</w:t>
      </w:r>
    </w:p>
    <w:p w14:paraId="2CCB3C81">
      <w:pPr>
        <w:spacing w:after="0" w:line="355" w:lineRule="auto"/>
        <w:ind w:firstLine="709"/>
        <w:jc w:val="both"/>
        <w:rPr>
          <w:rFonts w:ascii="Times New Roman" w:hAnsi="Times New Roman" w:eastAsia="Times New Roman"/>
        </w:rPr>
      </w:pPr>
      <w:r>
        <w:rPr>
          <w:rFonts w:ascii="Times New Roman" w:hAnsi="Times New Roman" w:eastAsia="Times New Roman"/>
        </w:rPr>
        <w:t xml:space="preserve">3.3. Содержание обучения представлено тематическими блоками, которые предлагаются для обязательного изучения в каждом классе на уровне начального общего образования. Содержание обучения в каждом классе завершается перечнем универсальных учебных действий (познавательных, коммуникативных, регулятивных), которые возможно формировать средствами литературного чтения с учётом возрастных особенностей обучающихся. </w:t>
      </w:r>
    </w:p>
    <w:p w14:paraId="09D97673">
      <w:pPr>
        <w:spacing w:after="0" w:line="355" w:lineRule="auto"/>
        <w:ind w:firstLine="709"/>
        <w:jc w:val="both"/>
        <w:rPr>
          <w:rFonts w:ascii="Times New Roman" w:hAnsi="Times New Roman" w:eastAsia="Times New Roman"/>
        </w:rPr>
      </w:pPr>
      <w:r>
        <w:rPr>
          <w:rFonts w:ascii="Times New Roman" w:hAnsi="Times New Roman" w:eastAsia="Times New Roman"/>
        </w:rPr>
        <w:t xml:space="preserve">3.4. Планируемые результаты </w:t>
      </w:r>
      <w:r>
        <w:rPr>
          <w:rFonts w:ascii="Times New Roman" w:hAnsi="Times New Roman" w:eastAsia="SchoolBookSanPin"/>
        </w:rPr>
        <w:t>освоения программы по литературному чтению</w:t>
      </w:r>
      <w:r>
        <w:rPr>
          <w:rFonts w:ascii="Times New Roman" w:hAnsi="Times New Roman" w:eastAsia="Times New Roman"/>
        </w:rPr>
        <w:t xml:space="preserve"> включают личностные, метапредметные результаты за период обучения, а также предметные достижения обучающегося за каждый год обучения на уровне начального общего образования.</w:t>
      </w:r>
    </w:p>
    <w:p w14:paraId="78B111CB">
      <w:pPr>
        <w:spacing w:after="0" w:line="355" w:lineRule="auto"/>
        <w:ind w:firstLine="709"/>
        <w:rPr>
          <w:rFonts w:ascii="Times New Roman" w:hAnsi="Times New Roman" w:eastAsia="Times New Roman"/>
          <w:lang w:eastAsia="ru-RU"/>
        </w:rPr>
      </w:pPr>
      <w:r>
        <w:rPr>
          <w:rFonts w:ascii="Times New Roman" w:hAnsi="Times New Roman" w:eastAsia="Times New Roman"/>
        </w:rPr>
        <w:t>3.5. </w:t>
      </w:r>
      <w:r>
        <w:rPr>
          <w:rFonts w:ascii="Times New Roman" w:hAnsi="Times New Roman" w:eastAsia="Times New Roman"/>
          <w:lang w:eastAsia="ru-RU"/>
        </w:rPr>
        <w:t>Пояснительная записка</w:t>
      </w:r>
      <w:r>
        <w:rPr>
          <w:rFonts w:ascii="Times New Roman" w:hAnsi="Times New Roman"/>
          <w:lang w:eastAsia="ru-RU"/>
        </w:rPr>
        <w:drawing>
          <wp:anchor distT="0" distB="0" distL="0" distR="0" simplePos="0" relativeHeight="251659264" behindDoc="1" locked="0" layoutInCell="1" allowOverlap="1">
            <wp:simplePos x="0" y="0"/>
            <wp:positionH relativeFrom="column">
              <wp:posOffset>-431800</wp:posOffset>
            </wp:positionH>
            <wp:positionV relativeFrom="paragraph">
              <wp:posOffset>241300</wp:posOffset>
            </wp:positionV>
            <wp:extent cx="4032250" cy="1270"/>
            <wp:effectExtent l="0" t="0" r="0" b="0"/>
            <wp:wrapNone/>
            <wp:docPr id="8"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Рисунок 9"/>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a:xfrm>
                      <a:off x="0" y="0"/>
                      <a:ext cx="4032250" cy="1270"/>
                    </a:xfrm>
                    <a:prstGeom prst="rect">
                      <a:avLst/>
                    </a:prstGeom>
                    <a:noFill/>
                    <a:ln>
                      <a:noFill/>
                    </a:ln>
                  </pic:spPr>
                </pic:pic>
              </a:graphicData>
            </a:graphic>
          </wp:anchor>
        </w:drawing>
      </w:r>
      <w:r>
        <w:rPr>
          <w:rFonts w:ascii="Times New Roman" w:hAnsi="Times New Roman" w:eastAsia="Times New Roman"/>
          <w:lang w:eastAsia="ru-RU"/>
        </w:rPr>
        <w:t>.</w:t>
      </w:r>
    </w:p>
    <w:p w14:paraId="6865B3B6">
      <w:pPr>
        <w:spacing w:after="0" w:line="355" w:lineRule="auto"/>
        <w:ind w:firstLine="709"/>
        <w:jc w:val="both"/>
        <w:rPr>
          <w:rFonts w:ascii="Times New Roman" w:hAnsi="Times New Roman" w:eastAsia="Times New Roman"/>
        </w:rPr>
      </w:pPr>
      <w:r>
        <w:rPr>
          <w:rFonts w:ascii="Times New Roman" w:hAnsi="Times New Roman" w:eastAsia="Times New Roman"/>
        </w:rPr>
        <w:t xml:space="preserve">3.5.1. Программа по литературному чтению на уровне начального общего образования составлена на основе требований к результатам освоения программы начального общего образования ФГОС НОО, а также ориентирована на целевые приоритеты духовно-нравственного развития, воспитания и социализации обучающихся, сформулированные в федеральной </w:t>
      </w:r>
      <w:r>
        <w:rPr>
          <w:rFonts w:ascii="Times New Roman" w:hAnsi="Times New Roman" w:eastAsia="SchoolBookSanPin"/>
        </w:rPr>
        <w:t xml:space="preserve">рабочей </w:t>
      </w:r>
      <w:r>
        <w:rPr>
          <w:rFonts w:ascii="Times New Roman" w:hAnsi="Times New Roman" w:eastAsia="Times New Roman"/>
        </w:rPr>
        <w:t>программе воспитания.</w:t>
      </w:r>
    </w:p>
    <w:p w14:paraId="6E402FD0">
      <w:pPr>
        <w:spacing w:after="0" w:line="355" w:lineRule="auto"/>
        <w:ind w:firstLine="709"/>
        <w:jc w:val="both"/>
        <w:rPr>
          <w:rFonts w:ascii="Times New Roman" w:hAnsi="Times New Roman" w:eastAsia="Times New Roman"/>
        </w:rPr>
      </w:pPr>
      <w:r>
        <w:rPr>
          <w:rFonts w:ascii="Times New Roman" w:hAnsi="Times New Roman" w:eastAsia="Times New Roman"/>
        </w:rPr>
        <w:t xml:space="preserve">3.5.2. Литературное чтение – один из ведущих учебных предметов уровня начального общего образования, который обеспечивает, наряду с достижением предметных результатов, становление базового умения, необходимого для успешного изучения других предметов и дальнейшего обучения, читательской грамотности и закладывает основы интеллектуального, речевого, эмоционального, духовно-нравственного развития обучающихся. </w:t>
      </w:r>
    </w:p>
    <w:p w14:paraId="1F2C5C98">
      <w:pPr>
        <w:spacing w:after="0" w:line="355" w:lineRule="auto"/>
        <w:ind w:firstLine="709"/>
        <w:jc w:val="both"/>
        <w:rPr>
          <w:rFonts w:ascii="Times New Roman" w:hAnsi="Times New Roman" w:eastAsia="Times New Roman"/>
        </w:rPr>
      </w:pPr>
      <w:r>
        <w:rPr>
          <w:rFonts w:ascii="Times New Roman" w:hAnsi="Times New Roman" w:eastAsia="Times New Roman"/>
        </w:rPr>
        <w:t>3.5.3. Литературное чтение призвано ввести обучающегося в мир художественной литературы, обеспечить формирование навыков смыслового чтения, способов и приёмов работы с различными видами текстов и книгой, знакомство с детской литературой и с учётом этого направлено на общее и литературное развитие обучающегося, реализацию творческих способностей обучающегося, а также на обеспечение преемственности в изучении систематического курса литературы.</w:t>
      </w:r>
    </w:p>
    <w:p w14:paraId="6162B345">
      <w:pPr>
        <w:spacing w:after="0" w:line="355" w:lineRule="auto"/>
        <w:ind w:firstLine="709"/>
        <w:jc w:val="both"/>
        <w:rPr>
          <w:rFonts w:ascii="Times New Roman" w:hAnsi="Times New Roman" w:eastAsia="Times New Roman"/>
        </w:rPr>
      </w:pPr>
      <w:r>
        <w:rPr>
          <w:rFonts w:ascii="Times New Roman" w:hAnsi="Times New Roman" w:eastAsia="Times New Roman"/>
        </w:rPr>
        <w:t>3.5.4. Приоритетная цель обучения литературному чтению – становление грамотного читателя, мотивированного к использованию читательской деятельности как средства самообразования и саморазвития, осознающего роль чтения в успешности обучения и повседневной жизни, эмоционально откликающегося на прослушанное или прочитанное произведение.</w:t>
      </w:r>
    </w:p>
    <w:p w14:paraId="701DC02C">
      <w:pPr>
        <w:spacing w:after="0" w:line="355" w:lineRule="auto"/>
        <w:ind w:firstLine="709"/>
        <w:jc w:val="both"/>
        <w:rPr>
          <w:rFonts w:ascii="Times New Roman" w:hAnsi="Times New Roman" w:eastAsia="Times New Roman"/>
        </w:rPr>
      </w:pPr>
      <w:r>
        <w:rPr>
          <w:rFonts w:ascii="Times New Roman" w:hAnsi="Times New Roman" w:eastAsia="Times New Roman"/>
        </w:rPr>
        <w:t>3.5.5. Приобретённые обучающимися знания, полученный опыт решения учебных задач, а также сформированность предметных и универсальных действий в процессе изучения литературного чтения станут фундаментом обучения на уровне основного общего образования, а также будут востребованы в жизни.</w:t>
      </w:r>
    </w:p>
    <w:p w14:paraId="021E639F">
      <w:pPr>
        <w:spacing w:after="0" w:line="355" w:lineRule="auto"/>
        <w:ind w:firstLine="709"/>
        <w:jc w:val="both"/>
        <w:rPr>
          <w:rFonts w:ascii="Times New Roman" w:hAnsi="Times New Roman" w:eastAsia="Times New Roman"/>
        </w:rPr>
      </w:pPr>
      <w:r>
        <w:rPr>
          <w:rFonts w:ascii="Times New Roman" w:hAnsi="Times New Roman" w:eastAsia="Times New Roman"/>
        </w:rPr>
        <w:t>3.5.6. Достижение цели изучения литературного чтения определяется решением следующих задач:</w:t>
      </w:r>
    </w:p>
    <w:p w14:paraId="1E6FAA4C">
      <w:pPr>
        <w:spacing w:after="0" w:line="355" w:lineRule="auto"/>
        <w:ind w:firstLine="709"/>
        <w:jc w:val="both"/>
        <w:rPr>
          <w:rFonts w:ascii="Times New Roman" w:hAnsi="Times New Roman" w:eastAsia="Times New Roman"/>
        </w:rPr>
      </w:pPr>
      <w:r>
        <w:rPr>
          <w:rFonts w:ascii="Times New Roman" w:hAnsi="Times New Roman" w:eastAsia="Times New Roman"/>
        </w:rPr>
        <w:t>формирование у обучающихся положительной мотивации к систематическому чтению и слушанию художественной литературы и произведений устного народного творчества;</w:t>
      </w:r>
    </w:p>
    <w:p w14:paraId="7981942F">
      <w:pPr>
        <w:spacing w:after="0" w:line="355" w:lineRule="auto"/>
        <w:ind w:firstLine="709"/>
        <w:jc w:val="both"/>
        <w:rPr>
          <w:rFonts w:ascii="Times New Roman" w:hAnsi="Times New Roman" w:eastAsia="Times New Roman"/>
        </w:rPr>
      </w:pPr>
      <w:r>
        <w:rPr>
          <w:rFonts w:ascii="Times New Roman" w:hAnsi="Times New Roman" w:eastAsia="Times New Roman"/>
        </w:rPr>
        <w:t>достижение необходимого для продолжения образования уровня общего речевого развития;</w:t>
      </w:r>
    </w:p>
    <w:p w14:paraId="196039DC">
      <w:pPr>
        <w:spacing w:after="0" w:line="355" w:lineRule="auto"/>
        <w:ind w:firstLine="709"/>
        <w:jc w:val="both"/>
        <w:rPr>
          <w:rFonts w:ascii="Times New Roman" w:hAnsi="Times New Roman" w:eastAsia="Times New Roman"/>
        </w:rPr>
      </w:pPr>
      <w:r>
        <w:rPr>
          <w:rFonts w:ascii="Times New Roman" w:hAnsi="Times New Roman" w:eastAsia="Times New Roman"/>
        </w:rPr>
        <w:t>осознание значимости художественной литературы и произведений устного народного творчества для всестороннего развития личности человека;</w:t>
      </w:r>
    </w:p>
    <w:p w14:paraId="1C534874">
      <w:pPr>
        <w:spacing w:after="0" w:line="355" w:lineRule="auto"/>
        <w:ind w:firstLine="709"/>
        <w:jc w:val="both"/>
        <w:rPr>
          <w:rFonts w:ascii="Times New Roman" w:hAnsi="Times New Roman" w:eastAsia="Times New Roman"/>
        </w:rPr>
      </w:pPr>
      <w:r>
        <w:rPr>
          <w:rFonts w:ascii="Times New Roman" w:hAnsi="Times New Roman" w:eastAsia="Times New Roman"/>
        </w:rPr>
        <w:t>первоначальное представление о многообразии жанров художественных произведений и произведений устного народного творчества;</w:t>
      </w:r>
    </w:p>
    <w:p w14:paraId="55114F08">
      <w:pPr>
        <w:spacing w:after="0" w:line="355" w:lineRule="auto"/>
        <w:ind w:firstLine="709"/>
        <w:jc w:val="both"/>
        <w:rPr>
          <w:rFonts w:ascii="Times New Roman" w:hAnsi="Times New Roman" w:eastAsia="Times New Roman"/>
        </w:rPr>
      </w:pPr>
      <w:r>
        <w:rPr>
          <w:rFonts w:ascii="Times New Roman" w:hAnsi="Times New Roman" w:eastAsia="Times New Roman"/>
        </w:rPr>
        <w:t>овладение элементарными умениями анализа и интерпретации текста, осознанного использования при анализе текста изученных литературных понятий в соответствии с представленными предметными результатами по классам;</w:t>
      </w:r>
    </w:p>
    <w:p w14:paraId="5D29E44D">
      <w:pPr>
        <w:spacing w:after="0" w:line="355" w:lineRule="auto"/>
        <w:ind w:firstLine="709"/>
        <w:jc w:val="both"/>
        <w:rPr>
          <w:rFonts w:ascii="Times New Roman" w:hAnsi="Times New Roman" w:eastAsia="Times New Roman"/>
        </w:rPr>
      </w:pPr>
      <w:r>
        <w:rPr>
          <w:rFonts w:ascii="Times New Roman" w:hAnsi="Times New Roman" w:eastAsia="Times New Roman"/>
        </w:rPr>
        <w:t>овладение техникой смыслового чтения вслух, обеспечивающей понимание и использование информации для решения учебных задач.</w:t>
      </w:r>
    </w:p>
    <w:p w14:paraId="60BB7793">
      <w:pPr>
        <w:spacing w:after="0" w:line="355" w:lineRule="auto"/>
        <w:ind w:firstLine="709"/>
        <w:jc w:val="both"/>
        <w:rPr>
          <w:rFonts w:ascii="Times New Roman" w:hAnsi="Times New Roman" w:eastAsia="Times New Roman"/>
        </w:rPr>
      </w:pPr>
      <w:r>
        <w:rPr>
          <w:rFonts w:ascii="Times New Roman" w:hAnsi="Times New Roman" w:eastAsia="Times New Roman"/>
        </w:rPr>
        <w:t>3.5.7. Программа по литературному чтению представляет вариант распределения предметного содержания по годам обучения с характеристикой планируемых результатов. Содержание программы по литературному чтению раскрывает следующие направления литературного образования обучающегося: речевая и читательская деятельности, круг чтения, творческая деятельность.</w:t>
      </w:r>
    </w:p>
    <w:p w14:paraId="6047E6EB">
      <w:pPr>
        <w:spacing w:after="0" w:line="355" w:lineRule="auto"/>
        <w:ind w:firstLine="709"/>
        <w:jc w:val="both"/>
        <w:rPr>
          <w:rFonts w:ascii="Times New Roman" w:hAnsi="Times New Roman" w:eastAsia="Times New Roman"/>
        </w:rPr>
      </w:pPr>
      <w:r>
        <w:rPr>
          <w:rFonts w:ascii="Times New Roman" w:hAnsi="Times New Roman" w:eastAsia="Times New Roman"/>
        </w:rPr>
        <w:t xml:space="preserve">3.5.8. В основу отбора произведений для литературного чтения положены общедидактические принципы обучения: соответствие возрастным возможностям и особенностям восприятия обучающимися фольклорных произведений и литературных текстов; представленность в произведениях нравственно-эстетических ценностей, культурных традиций народов России, отдельных произведений выдающихся представителей мировой детской литературы. </w:t>
      </w:r>
    </w:p>
    <w:p w14:paraId="567F44B7">
      <w:pPr>
        <w:spacing w:after="0" w:line="355" w:lineRule="auto"/>
        <w:ind w:firstLine="709"/>
        <w:jc w:val="both"/>
        <w:rPr>
          <w:rFonts w:ascii="Times New Roman" w:hAnsi="Times New Roman" w:eastAsia="Times New Roman"/>
        </w:rPr>
      </w:pPr>
      <w:r>
        <w:rPr>
          <w:rFonts w:ascii="Times New Roman" w:hAnsi="Times New Roman" w:eastAsia="Times New Roman"/>
        </w:rPr>
        <w:t>3.5.9. Важным принципом отбора содержания программы по литературному чтению является представленность разных жанров, видов и стилей произведений, обеспечивающих формирование функциональной литературной грамотности обучающегося, а также возможность достижения метапредметных результатов, способности обучающегося воспринимать различные учебные тексты при изучении других предметов учебного плана начального общего образования.</w:t>
      </w:r>
    </w:p>
    <w:p w14:paraId="03246C50">
      <w:pPr>
        <w:spacing w:after="0" w:line="355" w:lineRule="auto"/>
        <w:ind w:firstLine="709"/>
        <w:jc w:val="both"/>
        <w:rPr>
          <w:rFonts w:ascii="Times New Roman" w:hAnsi="Times New Roman" w:eastAsia="Times New Roman"/>
        </w:rPr>
      </w:pPr>
      <w:r>
        <w:rPr>
          <w:rFonts w:ascii="Times New Roman" w:hAnsi="Times New Roman" w:eastAsia="Times New Roman"/>
        </w:rPr>
        <w:t>3.5.10. Планируемые результаты изучения литературного чтения включают личностные, метапредметные результаты за период обучения, а также предметные достижения обучающегося за каждый год обучения на уровне начального общего образования.</w:t>
      </w:r>
    </w:p>
    <w:p w14:paraId="060BED28">
      <w:pPr>
        <w:spacing w:after="0" w:line="355" w:lineRule="auto"/>
        <w:ind w:firstLine="709"/>
        <w:jc w:val="both"/>
        <w:rPr>
          <w:rFonts w:ascii="Times New Roman" w:hAnsi="Times New Roman" w:eastAsia="Times New Roman"/>
        </w:rPr>
      </w:pPr>
      <w:r>
        <w:rPr>
          <w:rFonts w:ascii="Times New Roman" w:hAnsi="Times New Roman" w:eastAsia="Times New Roman"/>
        </w:rPr>
        <w:t>3.5.11. Литературное чтение является преемственным по отношению к учебному предмету «Литература», который изучается на уровне основного общего образования.</w:t>
      </w:r>
    </w:p>
    <w:p w14:paraId="619B55A6">
      <w:pPr>
        <w:spacing w:after="0" w:line="355" w:lineRule="auto"/>
        <w:ind w:firstLine="709"/>
        <w:jc w:val="both"/>
        <w:rPr>
          <w:rFonts w:ascii="Times New Roman" w:hAnsi="Times New Roman"/>
        </w:rPr>
      </w:pPr>
      <w:r>
        <w:rPr>
          <w:rFonts w:ascii="Times New Roman" w:hAnsi="Times New Roman" w:eastAsia="Times New Roman"/>
        </w:rPr>
        <w:t>3.5.12. </w:t>
      </w:r>
      <w:r>
        <w:rPr>
          <w:rFonts w:ascii="Times New Roman" w:hAnsi="Times New Roman"/>
        </w:rPr>
        <w:t>Освоение программы по литературному чтению в 1 классе начинается вводным интегрированным учебным курсом "Обучение грамоте" (рекомендуется 180 часов: русского языка 100 часов и литературного чтения 80 часов). Содержание литературного чтения, реализуемого в период обучения грамоте, представлено в программе по русскому языку. После периода обучения грамоте начинается раздельное изучение русского языка и литературного чтения. На литературное чтение в 1 классе рекомендуется отводить не менее 10 учебных недель (40 часов), для изучения литературного чтения во 2 - 4 классах рекомендуется отводить по 136 часов (4 часа в неделю в каждом классе). Для изучения литературного чтения во 2 - 4 классах (варианты 3 федерального учебного плана рекомендуется отводить по 102 часа (3 часа в неделю в каждом классе).</w:t>
      </w:r>
    </w:p>
    <w:p w14:paraId="7700A963">
      <w:pPr>
        <w:spacing w:after="0" w:line="355" w:lineRule="auto"/>
        <w:ind w:firstLine="709"/>
        <w:jc w:val="both"/>
        <w:rPr>
          <w:rFonts w:ascii="Times New Roman" w:hAnsi="Times New Roman" w:eastAsia="OfficinaSansBoldITC"/>
        </w:rPr>
      </w:pPr>
      <w:r>
        <w:rPr>
          <w:rFonts w:ascii="Times New Roman" w:hAnsi="Times New Roman" w:eastAsia="OfficinaSansBoldITC"/>
        </w:rPr>
        <w:t>3.6. Содержание обучения в 1 классе.</w:t>
      </w:r>
    </w:p>
    <w:p w14:paraId="7783D320">
      <w:pPr>
        <w:spacing w:after="0" w:line="346" w:lineRule="auto"/>
        <w:ind w:firstLine="709"/>
        <w:jc w:val="both"/>
        <w:rPr>
          <w:rFonts w:ascii="Times New Roman" w:hAnsi="Times New Roman" w:eastAsia="Times New Roman"/>
        </w:rPr>
      </w:pPr>
      <w:r>
        <w:rPr>
          <w:rFonts w:ascii="Times New Roman" w:hAnsi="Times New Roman" w:eastAsia="OfficinaSansBoldITC"/>
        </w:rPr>
        <w:t>3.6.1. </w:t>
      </w:r>
      <w:r>
        <w:rPr>
          <w:rFonts w:ascii="Times New Roman" w:hAnsi="Times New Roman" w:eastAsia="Times New Roman"/>
        </w:rPr>
        <w:t>Сказка фольклорная (народная) и литературная (авторская). Восприятие текста произведений художественной литературы и устного народного творчества (не менее четырёх произведений). Фольклорная и литературная (авторская) сказка: сходство и различия. Реальность и волшебство в сказке. Событийная сторона сказок: последовательность событий в фольклорной (народной) и литературной (авторской) сказке. Отражение сюжета в иллюстрациях. Герои сказочных произведений. Нравственные ценности и идеи в русских народных и литературных (авторских) сказках, поступки, отражающие нравственные качества (отношение к природе, людям, предметам).</w:t>
      </w:r>
    </w:p>
    <w:p w14:paraId="0FF1CC23">
      <w:pPr>
        <w:spacing w:after="0" w:line="355" w:lineRule="auto"/>
        <w:ind w:firstLine="709"/>
        <w:jc w:val="both"/>
        <w:rPr>
          <w:rFonts w:ascii="Times New Roman" w:hAnsi="Times New Roman" w:eastAsia="Times New Roman"/>
        </w:rPr>
      </w:pPr>
      <w:r>
        <w:rPr>
          <w:rFonts w:ascii="Times New Roman" w:hAnsi="Times New Roman" w:eastAsia="OfficinaSansBoldITC"/>
        </w:rPr>
        <w:t>3.6.1.1. </w:t>
      </w:r>
      <w:r>
        <w:rPr>
          <w:rFonts w:ascii="Times New Roman" w:hAnsi="Times New Roman" w:eastAsia="Times New Roman"/>
        </w:rPr>
        <w:t>Произведения для чтения: народные сказки о животных, например, «Лисица и тетерев», «Лиса и рак» и другие, литературные (авторские) сказки, например, К.Д. Ушинского «Петух и собака», сказки В.Г. Сутеева «Кораблик», «Под грибом» и другие (по выбору).</w:t>
      </w:r>
    </w:p>
    <w:p w14:paraId="2C1157DE">
      <w:pPr>
        <w:spacing w:after="0" w:line="355" w:lineRule="auto"/>
        <w:ind w:firstLine="709"/>
        <w:jc w:val="both"/>
        <w:rPr>
          <w:rFonts w:ascii="Times New Roman" w:hAnsi="Times New Roman" w:eastAsia="Times New Roman"/>
        </w:rPr>
      </w:pPr>
      <w:r>
        <w:rPr>
          <w:rFonts w:ascii="Times New Roman" w:hAnsi="Times New Roman" w:eastAsia="OfficinaSansBoldITC"/>
        </w:rPr>
        <w:t>3.6.2. </w:t>
      </w:r>
      <w:r>
        <w:rPr>
          <w:rFonts w:ascii="Times New Roman" w:hAnsi="Times New Roman" w:eastAsia="Times New Roman"/>
        </w:rPr>
        <w:t>Произведения о детях. Понятие «тема произведения» (общее представление): чему посвящено, о чём рассказывает. Главная мысль произведения: его основная идея (чему учит? какие качества воспитывает?). Произведения одной темы, но разных жанров: рассказ, стихотворение (общее представление на примере не менее шести произведений К.Д. Ушинского, Л.Н. Толстого, Е.А. Пермяка, В.А. Осеевой, А.Л. Барто, Ю.И. Ермолаева и других). Характеристика героя произведения, общая оценка поступков. Понимание заголовка произведения, его соотношения с содержанием произведения и его идеей. Осознание нравственно-этических понятий: друг, дружба, забота, труд, взаимопомощь.</w:t>
      </w:r>
    </w:p>
    <w:p w14:paraId="384394CE">
      <w:pPr>
        <w:spacing w:after="0" w:line="355" w:lineRule="auto"/>
        <w:ind w:firstLine="709"/>
        <w:jc w:val="both"/>
        <w:rPr>
          <w:rFonts w:ascii="Times New Roman" w:hAnsi="Times New Roman" w:eastAsia="Times New Roman"/>
        </w:rPr>
      </w:pPr>
      <w:r>
        <w:rPr>
          <w:rFonts w:ascii="Times New Roman" w:hAnsi="Times New Roman" w:eastAsia="OfficinaSansBoldITC"/>
        </w:rPr>
        <w:t>3.6.2.1. </w:t>
      </w:r>
      <w:r>
        <w:rPr>
          <w:rFonts w:ascii="Times New Roman" w:hAnsi="Times New Roman" w:eastAsia="Times New Roman"/>
        </w:rPr>
        <w:t>Произведения для чтения: К.Д. Ушинский «Худо тому, кто добра не делает никому», Л.Н. Толстой «Косточка», Е.А. Пермяк «Торопливый ножик», В.А. Осеева «Три товарища», А.Л. Барто «Я – лишний», Ю.И. Ермолаев «Лучший друг» и другие (по выбору).</w:t>
      </w:r>
    </w:p>
    <w:p w14:paraId="14DA85E0">
      <w:pPr>
        <w:spacing w:after="0" w:line="355" w:lineRule="auto"/>
        <w:ind w:firstLine="709"/>
        <w:jc w:val="both"/>
        <w:rPr>
          <w:rFonts w:ascii="Times New Roman" w:hAnsi="Times New Roman" w:eastAsia="Times New Roman"/>
        </w:rPr>
      </w:pPr>
      <w:r>
        <w:rPr>
          <w:rFonts w:ascii="Times New Roman" w:hAnsi="Times New Roman" w:eastAsia="OfficinaSansBoldITC"/>
        </w:rPr>
        <w:t>3.6.3. </w:t>
      </w:r>
      <w:r>
        <w:rPr>
          <w:rFonts w:ascii="Times New Roman" w:hAnsi="Times New Roman" w:eastAsia="Times New Roman"/>
        </w:rPr>
        <w:t>Произведения о родной природе. Восприятие и самостоятельное чтение произведений о природе (на примере трёх</w:t>
      </w:r>
      <w:r>
        <w:rPr>
          <w:rFonts w:ascii="Times New Roman" w:hAnsi="Times New Roman" w:eastAsia="Times New Roman"/>
          <w:lang w:eastAsia="ru-RU"/>
        </w:rPr>
        <w:t>–</w:t>
      </w:r>
      <w:r>
        <w:rPr>
          <w:rFonts w:ascii="Times New Roman" w:hAnsi="Times New Roman" w:eastAsia="Times New Roman"/>
        </w:rPr>
        <w:t>четырёх доступных произведений А.К. Толстого, А.Н. Плещеева, Е.Ф. Трутневой, С.Я. Маршака и другие). Тема поэтических произведений: звуки и краски природы, времена года, человек и природа; Родина, природа родного края. Особенности стихотворной речи, сравнение с прозаической: рифма, ритм (практическое ознакомление). Настроение, которое рождает поэтическое произведение. Отражение нравственной идеи в произведении: любовь к Родине, природе родного края. Иллюстрация к произведению как отражение эмоционального отклика на произведение. Роль интонации при выразительном чтении. Интонационный рисунок выразительного чтения: ритм, темп, сила голоса.</w:t>
      </w:r>
    </w:p>
    <w:p w14:paraId="259B1645">
      <w:pPr>
        <w:spacing w:after="0" w:line="355" w:lineRule="auto"/>
        <w:ind w:firstLine="709"/>
        <w:jc w:val="both"/>
        <w:rPr>
          <w:rFonts w:ascii="Times New Roman" w:hAnsi="Times New Roman" w:eastAsia="Times New Roman"/>
        </w:rPr>
      </w:pPr>
      <w:r>
        <w:rPr>
          <w:rFonts w:ascii="Times New Roman" w:hAnsi="Times New Roman" w:eastAsia="OfficinaSansBoldITC"/>
        </w:rPr>
        <w:t>3.6.4. </w:t>
      </w:r>
      <w:r>
        <w:rPr>
          <w:rFonts w:ascii="Times New Roman" w:hAnsi="Times New Roman" w:eastAsia="Times New Roman"/>
        </w:rPr>
        <w:t>Устное народное творчество: малые фольклорные жанры (не менее шести произведений). Многообразие малых жанров устного народного творчества: потешка, загадка, пословица, их назначение (веселить, потешать, играть, поучать). Особенности разных малых фольклорных жанров. Потешка – игровой народный фольклор. Загадка – средство воспитания живости ума, сообразительности. Пословицы – проявление народной мудрости, средство воспитания понимания жизненных правил.</w:t>
      </w:r>
    </w:p>
    <w:p w14:paraId="18C5BFAA">
      <w:pPr>
        <w:spacing w:after="0" w:line="355" w:lineRule="auto"/>
        <w:ind w:firstLine="709"/>
        <w:jc w:val="both"/>
        <w:rPr>
          <w:rFonts w:ascii="Times New Roman" w:hAnsi="Times New Roman" w:eastAsia="Times New Roman"/>
        </w:rPr>
      </w:pPr>
      <w:r>
        <w:rPr>
          <w:rFonts w:ascii="Times New Roman" w:hAnsi="Times New Roman" w:eastAsia="OfficinaSansBoldITC"/>
        </w:rPr>
        <w:t>3.6.4.1. </w:t>
      </w:r>
      <w:r>
        <w:rPr>
          <w:rFonts w:ascii="Times New Roman" w:hAnsi="Times New Roman" w:eastAsia="Times New Roman"/>
        </w:rPr>
        <w:t>Произведения для чтения: потешки, загадки, пословицы.</w:t>
      </w:r>
    </w:p>
    <w:p w14:paraId="5561553F">
      <w:pPr>
        <w:spacing w:after="0" w:line="355" w:lineRule="auto"/>
        <w:ind w:firstLine="709"/>
        <w:jc w:val="both"/>
        <w:rPr>
          <w:rFonts w:ascii="Times New Roman" w:hAnsi="Times New Roman" w:eastAsia="Times New Roman"/>
        </w:rPr>
      </w:pPr>
      <w:r>
        <w:rPr>
          <w:rFonts w:ascii="Times New Roman" w:hAnsi="Times New Roman" w:eastAsia="OfficinaSansBoldITC"/>
        </w:rPr>
        <w:t>3.6.5. </w:t>
      </w:r>
      <w:r>
        <w:rPr>
          <w:rFonts w:ascii="Times New Roman" w:hAnsi="Times New Roman" w:eastAsia="Times New Roman"/>
        </w:rPr>
        <w:t>Произведения о братьях наших меньших (три-четыре автора по выбору) – герои произведений. Цель и назначение произведений о взаимоотношениях человека и животных воспитание добрых чувств и бережного отношения к животным. Виды текстов: художественный и научно-познавательный, их сравнение. Характеристика героя: описание его внешности, действий, нравственно-этических понятий: любовь и забота о животных.</w:t>
      </w:r>
    </w:p>
    <w:p w14:paraId="2B0FDE02">
      <w:pPr>
        <w:spacing w:after="0" w:line="355" w:lineRule="auto"/>
        <w:ind w:firstLine="709"/>
        <w:jc w:val="both"/>
        <w:rPr>
          <w:rFonts w:ascii="Times New Roman" w:hAnsi="Times New Roman" w:eastAsia="Times New Roman"/>
        </w:rPr>
      </w:pPr>
      <w:r>
        <w:rPr>
          <w:rFonts w:ascii="Times New Roman" w:hAnsi="Times New Roman" w:eastAsia="OfficinaSansBoldITC"/>
        </w:rPr>
        <w:t>3.6.5.1. </w:t>
      </w:r>
      <w:r>
        <w:rPr>
          <w:rFonts w:ascii="Times New Roman" w:hAnsi="Times New Roman" w:eastAsia="Times New Roman"/>
        </w:rPr>
        <w:t>Произведения для чтения: В.В. Бианки «Лис и Мышонок», Е.И. Чарушин «Про Томку», М.М. Пришвин «Ёж», Н.И. Сладков «Лисица и Ёж» и другие.</w:t>
      </w:r>
    </w:p>
    <w:p w14:paraId="2D53B90F">
      <w:pPr>
        <w:spacing w:after="0" w:line="355" w:lineRule="auto"/>
        <w:ind w:firstLine="709"/>
        <w:jc w:val="both"/>
        <w:rPr>
          <w:rFonts w:ascii="Times New Roman" w:hAnsi="Times New Roman" w:eastAsia="Times New Roman"/>
        </w:rPr>
      </w:pPr>
      <w:r>
        <w:rPr>
          <w:rFonts w:ascii="Times New Roman" w:hAnsi="Times New Roman" w:eastAsia="OfficinaSansBoldITC"/>
        </w:rPr>
        <w:t>3.6.6. </w:t>
      </w:r>
      <w:r>
        <w:rPr>
          <w:rFonts w:ascii="Times New Roman" w:hAnsi="Times New Roman" w:eastAsia="Times New Roman"/>
        </w:rPr>
        <w:t>Произведения о маме. Восприятие и самостоятельное чтение произведений о маме (не менее одного автора по выбору, на примере произведений Е.А. Благининой, А.Л. Барто, А.В. Митяева и других). Осознание нравственно-этических понятий: чувство любви как привязанность одного человека к другому (матери к ребёнку, детей к матери, близким), проявление любви и заботы о родных людях.</w:t>
      </w:r>
    </w:p>
    <w:p w14:paraId="54B8B796">
      <w:pPr>
        <w:spacing w:after="0" w:line="355" w:lineRule="auto"/>
        <w:ind w:firstLine="709"/>
        <w:jc w:val="both"/>
        <w:rPr>
          <w:rFonts w:ascii="Times New Roman" w:hAnsi="Times New Roman" w:eastAsia="Times New Roman"/>
        </w:rPr>
      </w:pPr>
      <w:r>
        <w:rPr>
          <w:rFonts w:ascii="Times New Roman" w:hAnsi="Times New Roman" w:eastAsia="OfficinaSansBoldITC"/>
        </w:rPr>
        <w:t>3.6.6.1. </w:t>
      </w:r>
      <w:r>
        <w:rPr>
          <w:rFonts w:ascii="Times New Roman" w:hAnsi="Times New Roman" w:eastAsia="Times New Roman"/>
        </w:rPr>
        <w:t>Произведения для чтения: Е.А. Благинина «Посидим в тишине», А.Л. Барто «Мама», А.В. Митяев «За что я люблю маму» и другие (по выбору).</w:t>
      </w:r>
    </w:p>
    <w:p w14:paraId="2F150576">
      <w:pPr>
        <w:spacing w:after="0" w:line="355" w:lineRule="auto"/>
        <w:ind w:firstLine="709"/>
        <w:jc w:val="both"/>
        <w:rPr>
          <w:rFonts w:ascii="Times New Roman" w:hAnsi="Times New Roman" w:eastAsia="Times New Roman"/>
        </w:rPr>
      </w:pPr>
      <w:r>
        <w:rPr>
          <w:rFonts w:ascii="Times New Roman" w:hAnsi="Times New Roman" w:eastAsia="OfficinaSansBoldITC"/>
        </w:rPr>
        <w:t>3.6.7. </w:t>
      </w:r>
      <w:r>
        <w:rPr>
          <w:rFonts w:ascii="Times New Roman" w:hAnsi="Times New Roman" w:eastAsia="Times New Roman"/>
        </w:rPr>
        <w:t>Фольклорные и авторские произведения о чудесах и фантазии (не менее трёх произведений). Способность автора произведения находить чудесное в каждом жизненном проявлении, необычное в обыкновенных явлениях окружающего мира. Сочетание в произведении реалистических событий с необычными, сказочными, фантастическими.</w:t>
      </w:r>
    </w:p>
    <w:p w14:paraId="77B97A12">
      <w:pPr>
        <w:spacing w:after="0" w:line="355" w:lineRule="auto"/>
        <w:ind w:firstLine="709"/>
        <w:jc w:val="both"/>
        <w:rPr>
          <w:rFonts w:ascii="Times New Roman" w:hAnsi="Times New Roman" w:eastAsia="Times New Roman"/>
        </w:rPr>
      </w:pPr>
      <w:r>
        <w:rPr>
          <w:rFonts w:ascii="Times New Roman" w:hAnsi="Times New Roman" w:eastAsia="OfficinaSansBoldITC"/>
        </w:rPr>
        <w:t>3.6.7.1. </w:t>
      </w:r>
      <w:r>
        <w:rPr>
          <w:rFonts w:ascii="Times New Roman" w:hAnsi="Times New Roman" w:eastAsia="Times New Roman"/>
        </w:rPr>
        <w:t>Произведения для чтения: Р.С. Сеф «Чудо», В.В. Лунин «Я видел чудо», Б.В. Заходер «Моя Вообразилия», Ю.П. Мориц «Сто фантазий» и другие (по выбору).</w:t>
      </w:r>
    </w:p>
    <w:p w14:paraId="678713E0">
      <w:pPr>
        <w:spacing w:after="0" w:line="355" w:lineRule="auto"/>
        <w:ind w:firstLine="709"/>
        <w:jc w:val="both"/>
        <w:rPr>
          <w:rFonts w:ascii="Times New Roman" w:hAnsi="Times New Roman" w:eastAsia="Times New Roman"/>
        </w:rPr>
      </w:pPr>
      <w:r>
        <w:rPr>
          <w:rFonts w:ascii="Times New Roman" w:hAnsi="Times New Roman" w:eastAsia="OfficinaSansBoldITC"/>
        </w:rPr>
        <w:t>3.6.8. </w:t>
      </w:r>
      <w:r>
        <w:rPr>
          <w:rFonts w:ascii="Times New Roman" w:hAnsi="Times New Roman" w:eastAsia="Times New Roman"/>
        </w:rPr>
        <w:t>Библиографическая культура (работа с детской книгой). Представление о том, что книга – источник необходимых знаний. Обложка, оглавление, иллюстрации как элементы ориентировки в книге. Умение использовать тематический каталог при выборе книг в библиотеке.</w:t>
      </w:r>
    </w:p>
    <w:p w14:paraId="435E6421">
      <w:pPr>
        <w:spacing w:after="0" w:line="355" w:lineRule="auto"/>
        <w:ind w:firstLine="709"/>
        <w:jc w:val="both"/>
        <w:rPr>
          <w:rFonts w:ascii="Times New Roman" w:hAnsi="Times New Roman" w:eastAsia="SchoolBookSanPin"/>
          <w:bCs/>
        </w:rPr>
      </w:pPr>
      <w:r>
        <w:rPr>
          <w:rFonts w:ascii="Times New Roman" w:hAnsi="Times New Roman" w:eastAsia="SchoolBookSanPin"/>
        </w:rPr>
        <w:t xml:space="preserve">3.6.9. Изучение литературного чтения в 1 классе способствует </w:t>
      </w:r>
      <w:r>
        <w:rPr>
          <w:rFonts w:ascii="Times New Roman" w:hAnsi="Times New Roman" w:eastAsia="Times New Roman"/>
        </w:rPr>
        <w:t>освоению на пропедевтическом уровне ряда универсальных учебных действий</w:t>
      </w:r>
      <w:r>
        <w:rPr>
          <w:rFonts w:ascii="Times New Roman" w:hAnsi="Times New Roman" w:eastAsia="SchoolBookSanPin"/>
        </w:rPr>
        <w:t xml:space="preserve">: </w:t>
      </w:r>
      <w:r>
        <w:rPr>
          <w:rFonts w:ascii="Times New Roman" w:hAnsi="Times New Roman" w:eastAsia="SchoolBookSanPin"/>
          <w:bCs/>
        </w:rPr>
        <w:t xml:space="preserve">познавательных универсальных учебных действий, коммуникативных универсальных учебных действий, регулятивных универсальных учебных действий, совместной деятельности. </w:t>
      </w:r>
    </w:p>
    <w:p w14:paraId="50BE03C4">
      <w:pPr>
        <w:spacing w:after="0" w:line="355" w:lineRule="auto"/>
        <w:ind w:firstLine="709"/>
        <w:jc w:val="both"/>
        <w:rPr>
          <w:rFonts w:ascii="Times New Roman" w:hAnsi="Times New Roman" w:eastAsia="SchoolBookSanPin"/>
        </w:rPr>
      </w:pPr>
      <w:r>
        <w:rPr>
          <w:rFonts w:ascii="Times New Roman" w:hAnsi="Times New Roman" w:eastAsia="OfficinaSansBoldITC"/>
        </w:rPr>
        <w:t>3.6.9.1. </w:t>
      </w:r>
      <w:r>
        <w:rPr>
          <w:rFonts w:ascii="Times New Roman" w:hAnsi="Times New Roman" w:eastAsia="SchoolBookSanPin"/>
        </w:rPr>
        <w:t xml:space="preserve">Базовые логические действия как часть </w:t>
      </w:r>
      <w:r>
        <w:rPr>
          <w:rFonts w:ascii="Times New Roman" w:hAnsi="Times New Roman" w:eastAsia="SchoolBookSanPin"/>
          <w:bCs/>
        </w:rPr>
        <w:t>познавательных универсальных учебных действий</w:t>
      </w:r>
      <w:r>
        <w:rPr>
          <w:rFonts w:ascii="Times New Roman" w:hAnsi="Times New Roman" w:eastAsia="SchoolBookSanPin"/>
        </w:rPr>
        <w:t xml:space="preserve"> способствуют формированию умений:</w:t>
      </w:r>
    </w:p>
    <w:p w14:paraId="4BFE6760">
      <w:pPr>
        <w:spacing w:after="0" w:line="355" w:lineRule="auto"/>
        <w:ind w:firstLine="709"/>
        <w:jc w:val="both"/>
        <w:rPr>
          <w:rFonts w:ascii="Times New Roman" w:hAnsi="Times New Roman" w:eastAsia="Times New Roman"/>
        </w:rPr>
      </w:pPr>
      <w:r>
        <w:rPr>
          <w:rFonts w:ascii="Times New Roman" w:hAnsi="Times New Roman" w:eastAsia="Times New Roman"/>
        </w:rPr>
        <w:t>читать вслух целыми словами без пропусков и перестановок букв и слогов доступные по восприятию и небольшие по объёму прозаические и стихотворные произведения;</w:t>
      </w:r>
    </w:p>
    <w:p w14:paraId="509F752F">
      <w:pPr>
        <w:spacing w:after="0" w:line="355" w:lineRule="auto"/>
        <w:ind w:firstLine="709"/>
        <w:jc w:val="both"/>
        <w:rPr>
          <w:rFonts w:ascii="Times New Roman" w:hAnsi="Times New Roman" w:eastAsia="Times New Roman"/>
        </w:rPr>
      </w:pPr>
      <w:r>
        <w:rPr>
          <w:rFonts w:ascii="Times New Roman" w:hAnsi="Times New Roman" w:eastAsia="Times New Roman"/>
        </w:rPr>
        <w:t>понимать фактическое содержание прочитанного или прослушанного текста;</w:t>
      </w:r>
    </w:p>
    <w:p w14:paraId="58369236">
      <w:pPr>
        <w:spacing w:after="0" w:line="355" w:lineRule="auto"/>
        <w:ind w:firstLine="709"/>
        <w:jc w:val="both"/>
        <w:rPr>
          <w:rFonts w:ascii="Times New Roman" w:hAnsi="Times New Roman" w:eastAsia="Times New Roman"/>
        </w:rPr>
      </w:pPr>
      <w:r>
        <w:rPr>
          <w:rFonts w:ascii="Times New Roman" w:hAnsi="Times New Roman" w:eastAsia="Times New Roman"/>
        </w:rPr>
        <w:t>ориентироваться в терминах и понятиях: фольклор, малые фольклорные жанры, тема, идея, заголовок, содержание произведения, сказка (фольклорная и литературная), автор, герой, рассказ, стихотворение (в пределах изученного);</w:t>
      </w:r>
    </w:p>
    <w:p w14:paraId="4D1EE028">
      <w:pPr>
        <w:spacing w:after="0" w:line="355" w:lineRule="auto"/>
        <w:ind w:firstLine="709"/>
        <w:jc w:val="both"/>
        <w:rPr>
          <w:rFonts w:ascii="Times New Roman" w:hAnsi="Times New Roman" w:eastAsia="Times New Roman"/>
        </w:rPr>
      </w:pPr>
      <w:r>
        <w:rPr>
          <w:rFonts w:ascii="Times New Roman" w:hAnsi="Times New Roman" w:eastAsia="Times New Roman"/>
        </w:rPr>
        <w:t>различать и группировать произведения по жанрам (загадки, пословицы, сказки (фольклорная и литературная), стихотворение, рассказ);</w:t>
      </w:r>
    </w:p>
    <w:p w14:paraId="69D059E3">
      <w:pPr>
        <w:spacing w:after="0" w:line="355" w:lineRule="auto"/>
        <w:ind w:firstLine="709"/>
        <w:jc w:val="both"/>
        <w:rPr>
          <w:rFonts w:ascii="Times New Roman" w:hAnsi="Times New Roman" w:eastAsia="Times New Roman"/>
        </w:rPr>
      </w:pPr>
      <w:r>
        <w:rPr>
          <w:rFonts w:ascii="Times New Roman" w:hAnsi="Times New Roman" w:eastAsia="Times New Roman"/>
        </w:rPr>
        <w:t>анализировать текст: определять тему, устанавливать последовательность событий в произведении, характеризовать героя, давать положительную или отрицательную оценку его поступкам, задавать вопросы по фактическому содержанию;</w:t>
      </w:r>
    </w:p>
    <w:p w14:paraId="7998C6BB">
      <w:pPr>
        <w:spacing w:after="0" w:line="355" w:lineRule="auto"/>
        <w:ind w:firstLine="709"/>
        <w:jc w:val="both"/>
        <w:rPr>
          <w:rFonts w:ascii="Times New Roman" w:hAnsi="Times New Roman" w:eastAsia="Times New Roman"/>
        </w:rPr>
      </w:pPr>
      <w:r>
        <w:rPr>
          <w:rFonts w:ascii="Times New Roman" w:hAnsi="Times New Roman" w:eastAsia="Times New Roman"/>
        </w:rPr>
        <w:t>сравнивать произведения по теме, настроению, которое оно вызывает.</w:t>
      </w:r>
    </w:p>
    <w:p w14:paraId="79386DC8">
      <w:pPr>
        <w:spacing w:after="0" w:line="355" w:lineRule="auto"/>
        <w:ind w:firstLine="709"/>
        <w:jc w:val="both"/>
        <w:rPr>
          <w:rFonts w:ascii="Times New Roman" w:hAnsi="Times New Roman" w:eastAsia="SchoolBookSanPin"/>
        </w:rPr>
      </w:pPr>
      <w:r>
        <w:rPr>
          <w:rFonts w:ascii="Times New Roman" w:hAnsi="Times New Roman" w:eastAsia="OfficinaSansBoldITC"/>
        </w:rPr>
        <w:t>3.6.9.2. </w:t>
      </w:r>
      <w:r>
        <w:rPr>
          <w:rFonts w:ascii="Times New Roman" w:hAnsi="Times New Roman" w:eastAsia="SchoolBookSanPin"/>
        </w:rPr>
        <w:t xml:space="preserve">Работа с информацией как часть </w:t>
      </w:r>
      <w:r>
        <w:rPr>
          <w:rFonts w:ascii="Times New Roman" w:hAnsi="Times New Roman" w:eastAsia="SchoolBookSanPin"/>
          <w:bCs/>
        </w:rPr>
        <w:t>познавательных универсальных учебных действий</w:t>
      </w:r>
      <w:r>
        <w:rPr>
          <w:rFonts w:ascii="Times New Roman" w:hAnsi="Times New Roman" w:eastAsia="SchoolBookSanPin"/>
        </w:rPr>
        <w:t xml:space="preserve"> способствует формированию умений:</w:t>
      </w:r>
    </w:p>
    <w:p w14:paraId="030BE649">
      <w:pPr>
        <w:spacing w:after="0" w:line="355" w:lineRule="auto"/>
        <w:ind w:firstLine="709"/>
        <w:jc w:val="both"/>
        <w:rPr>
          <w:rFonts w:ascii="Times New Roman" w:hAnsi="Times New Roman" w:eastAsia="Times New Roman"/>
        </w:rPr>
      </w:pPr>
      <w:r>
        <w:rPr>
          <w:rFonts w:ascii="Times New Roman" w:hAnsi="Times New Roman" w:eastAsia="Times New Roman"/>
        </w:rPr>
        <w:t>понимать, что текст произведения может быть представлен в иллюстрациях, различных видах зрительного искусства (фильм, спектакль и другие);</w:t>
      </w:r>
    </w:p>
    <w:p w14:paraId="5204F71D">
      <w:pPr>
        <w:spacing w:after="0" w:line="355" w:lineRule="auto"/>
        <w:ind w:firstLine="709"/>
        <w:jc w:val="both"/>
        <w:rPr>
          <w:rFonts w:ascii="Times New Roman" w:hAnsi="Times New Roman" w:eastAsia="Times New Roman"/>
        </w:rPr>
      </w:pPr>
      <w:r>
        <w:rPr>
          <w:rFonts w:ascii="Times New Roman" w:hAnsi="Times New Roman" w:eastAsia="Times New Roman"/>
        </w:rPr>
        <w:t>соотносить иллюстрацию с текстом произведения, читать отрывки из текста, которые соответствуют иллюстрации.</w:t>
      </w:r>
    </w:p>
    <w:p w14:paraId="569E613E">
      <w:pPr>
        <w:spacing w:after="0" w:line="355" w:lineRule="auto"/>
        <w:ind w:firstLine="709"/>
        <w:jc w:val="both"/>
        <w:rPr>
          <w:rFonts w:ascii="Times New Roman" w:hAnsi="Times New Roman" w:eastAsia="SchoolBookSanPin"/>
        </w:rPr>
      </w:pPr>
      <w:r>
        <w:rPr>
          <w:rFonts w:ascii="Times New Roman" w:hAnsi="Times New Roman" w:eastAsia="OfficinaSansBoldITC"/>
        </w:rPr>
        <w:t>3.6.9.3. </w:t>
      </w:r>
      <w:r>
        <w:rPr>
          <w:rFonts w:ascii="Times New Roman" w:hAnsi="Times New Roman" w:eastAsia="Times New Roman"/>
        </w:rPr>
        <w:t>Коммуникативные универсальные учебные действия</w:t>
      </w:r>
      <w:r>
        <w:rPr>
          <w:rFonts w:ascii="Times New Roman" w:hAnsi="Times New Roman" w:eastAsia="SchoolBookSanPin"/>
        </w:rPr>
        <w:t xml:space="preserve"> (далее </w:t>
      </w:r>
      <w:r>
        <w:rPr>
          <w:rFonts w:ascii="Times New Roman" w:hAnsi="Times New Roman" w:eastAsia="Times New Roman"/>
        </w:rPr>
        <w:t>– УУД</w:t>
      </w:r>
      <w:r>
        <w:rPr>
          <w:rFonts w:ascii="Times New Roman" w:hAnsi="Times New Roman" w:eastAsia="SchoolBookSanPin"/>
        </w:rPr>
        <w:t>) способствуют формированию умений:</w:t>
      </w:r>
    </w:p>
    <w:p w14:paraId="08988D37">
      <w:pPr>
        <w:spacing w:after="0" w:line="355" w:lineRule="auto"/>
        <w:ind w:firstLine="709"/>
        <w:jc w:val="both"/>
        <w:rPr>
          <w:rFonts w:ascii="Times New Roman" w:hAnsi="Times New Roman" w:eastAsia="Times New Roman"/>
        </w:rPr>
      </w:pPr>
      <w:r>
        <w:rPr>
          <w:rFonts w:ascii="Times New Roman" w:hAnsi="Times New Roman" w:eastAsia="Times New Roman"/>
        </w:rPr>
        <w:t>читать наизусть стихотворения, соблюдать орфоэпические и пунктуационные нормы;</w:t>
      </w:r>
    </w:p>
    <w:p w14:paraId="6C09492C">
      <w:pPr>
        <w:spacing w:after="0" w:line="355" w:lineRule="auto"/>
        <w:ind w:firstLine="709"/>
        <w:jc w:val="both"/>
        <w:rPr>
          <w:rFonts w:ascii="Times New Roman" w:hAnsi="Times New Roman" w:eastAsia="Times New Roman"/>
        </w:rPr>
      </w:pPr>
      <w:r>
        <w:rPr>
          <w:rFonts w:ascii="Times New Roman" w:hAnsi="Times New Roman" w:eastAsia="Times New Roman"/>
        </w:rPr>
        <w:t>участвовать в беседе по обсуждению прослушанного или прочитанного текста: слушать собеседника, отвечать на вопросы, высказывать своё отношение к обсуждаемой проблеме;</w:t>
      </w:r>
    </w:p>
    <w:p w14:paraId="1F7E6D80">
      <w:pPr>
        <w:spacing w:after="0" w:line="355" w:lineRule="auto"/>
        <w:ind w:firstLine="709"/>
        <w:jc w:val="both"/>
        <w:rPr>
          <w:rFonts w:ascii="Times New Roman" w:hAnsi="Times New Roman" w:eastAsia="Times New Roman"/>
        </w:rPr>
      </w:pPr>
      <w:r>
        <w:rPr>
          <w:rFonts w:ascii="Times New Roman" w:hAnsi="Times New Roman" w:eastAsia="Times New Roman"/>
        </w:rPr>
        <w:t>пересказывать (устно) содержание произведения с использованием вопросов, рисунков, предложенного плана;</w:t>
      </w:r>
    </w:p>
    <w:p w14:paraId="034FD4AE">
      <w:pPr>
        <w:spacing w:after="0" w:line="355" w:lineRule="auto"/>
        <w:ind w:firstLine="709"/>
        <w:jc w:val="both"/>
        <w:rPr>
          <w:rFonts w:ascii="Times New Roman" w:hAnsi="Times New Roman" w:eastAsia="Times New Roman"/>
        </w:rPr>
      </w:pPr>
      <w:r>
        <w:rPr>
          <w:rFonts w:ascii="Times New Roman" w:hAnsi="Times New Roman" w:eastAsia="Times New Roman"/>
        </w:rPr>
        <w:t>объяснять своими словами значение изученных понятий;</w:t>
      </w:r>
    </w:p>
    <w:p w14:paraId="33438218">
      <w:pPr>
        <w:spacing w:after="0" w:line="355" w:lineRule="auto"/>
        <w:ind w:firstLine="709"/>
        <w:jc w:val="both"/>
        <w:rPr>
          <w:rFonts w:ascii="Times New Roman" w:hAnsi="Times New Roman" w:eastAsia="Times New Roman"/>
        </w:rPr>
      </w:pPr>
      <w:r>
        <w:rPr>
          <w:rFonts w:ascii="Times New Roman" w:hAnsi="Times New Roman" w:eastAsia="Times New Roman"/>
        </w:rPr>
        <w:t>описывать своё настроение после слушания (чтения) стихотворений, сказок, рассказов.</w:t>
      </w:r>
    </w:p>
    <w:p w14:paraId="3B5C1897">
      <w:pPr>
        <w:spacing w:after="0" w:line="355" w:lineRule="auto"/>
        <w:ind w:firstLine="709"/>
        <w:jc w:val="both"/>
        <w:rPr>
          <w:rFonts w:ascii="Times New Roman" w:hAnsi="Times New Roman" w:eastAsia="SchoolBookSanPin"/>
        </w:rPr>
      </w:pPr>
      <w:r>
        <w:rPr>
          <w:rFonts w:ascii="Times New Roman" w:hAnsi="Times New Roman" w:eastAsia="OfficinaSansBoldITC"/>
        </w:rPr>
        <w:t>3.6.9.4. </w:t>
      </w:r>
      <w:r>
        <w:rPr>
          <w:rFonts w:ascii="Times New Roman" w:hAnsi="Times New Roman" w:eastAsia="Times New Roman"/>
        </w:rPr>
        <w:t>Регулятивные универсальные учебные действия</w:t>
      </w:r>
      <w:r>
        <w:rPr>
          <w:rFonts w:ascii="Times New Roman" w:hAnsi="Times New Roman" w:eastAsia="SchoolBookSanPin"/>
        </w:rPr>
        <w:t xml:space="preserve"> способствуют формированию умений:</w:t>
      </w:r>
    </w:p>
    <w:p w14:paraId="75D948F7">
      <w:pPr>
        <w:spacing w:after="0" w:line="355" w:lineRule="auto"/>
        <w:ind w:firstLine="709"/>
        <w:jc w:val="both"/>
        <w:rPr>
          <w:rFonts w:ascii="Times New Roman" w:hAnsi="Times New Roman" w:eastAsia="Times New Roman"/>
        </w:rPr>
      </w:pPr>
      <w:r>
        <w:rPr>
          <w:rFonts w:ascii="Times New Roman" w:hAnsi="Times New Roman" w:eastAsia="Times New Roman"/>
        </w:rPr>
        <w:t>понимать и удерживать поставленную учебную задачу, в случае необходимости обращаться за помощью к педагогическому работнику;</w:t>
      </w:r>
    </w:p>
    <w:p w14:paraId="2B59E87F">
      <w:pPr>
        <w:spacing w:after="0" w:line="355" w:lineRule="auto"/>
        <w:ind w:firstLine="709"/>
        <w:jc w:val="both"/>
        <w:rPr>
          <w:rFonts w:ascii="Times New Roman" w:hAnsi="Times New Roman" w:eastAsia="Times New Roman"/>
        </w:rPr>
      </w:pPr>
      <w:r>
        <w:rPr>
          <w:rFonts w:ascii="Times New Roman" w:hAnsi="Times New Roman" w:eastAsia="Times New Roman"/>
        </w:rPr>
        <w:t xml:space="preserve">проявлять желание самостоятельно читать, совершенствовать свой навык чтения; </w:t>
      </w:r>
    </w:p>
    <w:p w14:paraId="08BCF01A">
      <w:pPr>
        <w:spacing w:after="0" w:line="355" w:lineRule="auto"/>
        <w:ind w:firstLine="709"/>
        <w:jc w:val="both"/>
        <w:rPr>
          <w:rFonts w:ascii="Times New Roman" w:hAnsi="Times New Roman" w:eastAsia="Times New Roman"/>
        </w:rPr>
      </w:pPr>
      <w:r>
        <w:rPr>
          <w:rFonts w:ascii="Times New Roman" w:hAnsi="Times New Roman" w:eastAsia="Times New Roman"/>
        </w:rPr>
        <w:t>с помощью учителя оценивать свои успехи (трудности) в освоении читательской деятельности.</w:t>
      </w:r>
    </w:p>
    <w:p w14:paraId="102E7A37">
      <w:pPr>
        <w:spacing w:after="0" w:line="355" w:lineRule="auto"/>
        <w:ind w:firstLine="709"/>
        <w:jc w:val="both"/>
        <w:rPr>
          <w:rFonts w:ascii="Times New Roman" w:hAnsi="Times New Roman" w:eastAsia="SchoolBookSanPin"/>
        </w:rPr>
      </w:pPr>
      <w:r>
        <w:rPr>
          <w:rFonts w:ascii="Times New Roman" w:hAnsi="Times New Roman" w:eastAsia="OfficinaSansBoldITC"/>
        </w:rPr>
        <w:t>3.6.9.5. </w:t>
      </w:r>
      <w:r>
        <w:rPr>
          <w:rFonts w:ascii="Times New Roman" w:hAnsi="Times New Roman" w:eastAsia="Times New Roman"/>
        </w:rPr>
        <w:t xml:space="preserve">Совместная деятельность </w:t>
      </w:r>
      <w:r>
        <w:rPr>
          <w:rFonts w:ascii="Times New Roman" w:hAnsi="Times New Roman" w:eastAsia="SchoolBookSanPin"/>
        </w:rPr>
        <w:t>способствует формированию умений:</w:t>
      </w:r>
    </w:p>
    <w:p w14:paraId="191BE7FD">
      <w:pPr>
        <w:spacing w:after="0" w:line="355" w:lineRule="auto"/>
        <w:ind w:firstLine="709"/>
        <w:jc w:val="both"/>
        <w:rPr>
          <w:rFonts w:ascii="Times New Roman" w:hAnsi="Times New Roman" w:eastAsia="Times New Roman"/>
        </w:rPr>
      </w:pPr>
      <w:r>
        <w:rPr>
          <w:rFonts w:ascii="Times New Roman" w:hAnsi="Times New Roman" w:eastAsia="Times New Roman"/>
        </w:rPr>
        <w:t>проявлять желание работать в парах, небольших группах;</w:t>
      </w:r>
    </w:p>
    <w:p w14:paraId="17FF1E3F">
      <w:pPr>
        <w:spacing w:after="0" w:line="355" w:lineRule="auto"/>
        <w:ind w:firstLine="709"/>
        <w:jc w:val="both"/>
        <w:rPr>
          <w:rFonts w:ascii="Times New Roman" w:hAnsi="Times New Roman" w:eastAsia="Times New Roman"/>
        </w:rPr>
      </w:pPr>
      <w:r>
        <w:rPr>
          <w:rFonts w:ascii="Times New Roman" w:hAnsi="Times New Roman" w:eastAsia="Times New Roman"/>
        </w:rPr>
        <w:t>проявлять культуру взаимодействия, терпение, умение договариваться, ответственно выполнять свою часть работы.</w:t>
      </w:r>
    </w:p>
    <w:p w14:paraId="24A3E69D">
      <w:pPr>
        <w:spacing w:after="0" w:line="355" w:lineRule="auto"/>
        <w:ind w:firstLine="709"/>
        <w:rPr>
          <w:rFonts w:ascii="Times New Roman" w:hAnsi="Times New Roman" w:eastAsia="OfficinaSansBoldITC"/>
        </w:rPr>
      </w:pPr>
      <w:r>
        <w:rPr>
          <w:rFonts w:ascii="Times New Roman" w:hAnsi="Times New Roman" w:eastAsia="OfficinaSansBoldITC"/>
        </w:rPr>
        <w:t>3.7. Содержание обучения во 2 классе.</w:t>
      </w:r>
    </w:p>
    <w:p w14:paraId="66B68CF4">
      <w:pPr>
        <w:spacing w:after="0" w:line="355" w:lineRule="auto"/>
        <w:ind w:firstLine="709"/>
        <w:jc w:val="both"/>
        <w:rPr>
          <w:rFonts w:ascii="Times New Roman" w:hAnsi="Times New Roman" w:eastAsia="Times New Roman"/>
        </w:rPr>
      </w:pPr>
      <w:r>
        <w:rPr>
          <w:rFonts w:ascii="Times New Roman" w:hAnsi="Times New Roman" w:eastAsia="Times New Roman"/>
        </w:rPr>
        <w:t>3.7.1. О нашей Родине. Круг чтения: произведения о Родине (на примере не менее трёх произведений И.С. Никитина, Ф.П. Савинова, А.А. Прокофьева и других). Патриотическое звучание произведений о родном крае и природе. Отражение в произведениях нравственно-этических понятий: любовь к Родине, родному краю, Отечеству. Анализ заголовка, соотнесение его с главной мыслью и идеей произведения. Отражение темы Родины в изобразительном искусстве (пейзажи И.И. Левитана, И.И. Шишкина, В.Д. Поленова и других).</w:t>
      </w:r>
    </w:p>
    <w:p w14:paraId="60A01178">
      <w:pPr>
        <w:spacing w:after="0" w:line="355" w:lineRule="auto"/>
        <w:ind w:firstLine="709"/>
        <w:jc w:val="both"/>
        <w:rPr>
          <w:rFonts w:ascii="Times New Roman" w:hAnsi="Times New Roman" w:eastAsia="Times New Roman"/>
        </w:rPr>
      </w:pPr>
      <w:r>
        <w:rPr>
          <w:rFonts w:ascii="Times New Roman" w:hAnsi="Times New Roman" w:eastAsia="Times New Roman"/>
        </w:rPr>
        <w:t>3.7.1.1. Произведения для чтения: И.С. Никитин «Русь», Ф.П. Савинов «Родина», А.А. Прокофьев «Родина» и другие (по выбору).</w:t>
      </w:r>
    </w:p>
    <w:p w14:paraId="060E386B">
      <w:pPr>
        <w:spacing w:after="0" w:line="355" w:lineRule="auto"/>
        <w:ind w:firstLine="709"/>
        <w:jc w:val="both"/>
        <w:rPr>
          <w:rFonts w:ascii="Times New Roman" w:hAnsi="Times New Roman" w:eastAsia="Times New Roman"/>
        </w:rPr>
      </w:pPr>
      <w:r>
        <w:rPr>
          <w:rFonts w:ascii="Times New Roman" w:hAnsi="Times New Roman" w:eastAsia="Times New Roman"/>
        </w:rPr>
        <w:t>3.7.2. Фольклор (устное народное творчество). Произведения малых жанров фольклора (потешки, считалки, пословицы, скороговорки, небылицы, загадки по выбору). Шуточные фольклорные произведения, скороговорки, небылицы. Особенности скороговорок, их роль в речи. Игра со словом, «перевёртыш событий» как основа построения небылиц. Ритм и счёт как основные средства выразительности и построения считалки. Народные песни, их особенности. Загадка как жанр фольклора, тематические группы загадок. Сказка – выражение народной мудрости, нравственная идея фольклорных сказок. Особенности сказок разного вида (о животных, бытовые, волшебные). Особенности сказок о животных: сказки народов России. Бытовая сказка: герои, место действия, особенности построения и языка. Диалог в сказке. Понятие о волшебной сказке (общее представление): наличие присказки, постоянные эпитеты, волшебные герои. Фольклорные произведения народов России: отражение в сказках народного быта и культуры.</w:t>
      </w:r>
    </w:p>
    <w:p w14:paraId="2305B018">
      <w:pPr>
        <w:spacing w:after="0" w:line="355" w:lineRule="auto"/>
        <w:ind w:firstLine="709"/>
        <w:jc w:val="both"/>
        <w:rPr>
          <w:rFonts w:ascii="Times New Roman" w:hAnsi="Times New Roman" w:eastAsia="Times New Roman"/>
        </w:rPr>
      </w:pPr>
      <w:r>
        <w:rPr>
          <w:rFonts w:ascii="Times New Roman" w:hAnsi="Times New Roman" w:eastAsia="Times New Roman"/>
        </w:rPr>
        <w:t>3.7.2.1. Произведения для чтения: потешки, считалки, пословицы, скороговорки, загадки, народные песни, русская народная сказка «Каша из топора», русская народная сказка «У страха глаза велики», русская народная сказка «Зимовье зверей», русская народная сказка «Снегурочка», сказки народов России (1-2 произведения) и другие.</w:t>
      </w:r>
    </w:p>
    <w:p w14:paraId="30D5DE4C">
      <w:pPr>
        <w:spacing w:after="0" w:line="355" w:lineRule="auto"/>
        <w:ind w:firstLine="709"/>
        <w:jc w:val="both"/>
        <w:rPr>
          <w:rFonts w:ascii="Times New Roman" w:hAnsi="Times New Roman" w:eastAsia="Times New Roman"/>
        </w:rPr>
      </w:pPr>
      <w:r>
        <w:rPr>
          <w:rFonts w:ascii="Times New Roman" w:hAnsi="Times New Roman" w:eastAsia="Times New Roman"/>
        </w:rPr>
        <w:t>3.7.3. Звуки и краски родной природы в разные времена года. Тема природы в разные времена года (осень, зима, весна, лето) в произведениях литературы (по выбору, не менее пяти авторов). Эстетическое восприятие явлений природы (звуки, краски времён года). Средства выразительности при описании природы: сравнение и эпитет. Настроение, которое создаёт пейзажная лирика. Отражение темы «Времена года» в картинах художников (на примере пейзажей И.И. Левитана, В.Д. Поленова, А.И. Куинджи, И.И. Шишкина и других) и музыкальных произведениях (например, произведения П.И. Чайковского, А. Вивальди и других).</w:t>
      </w:r>
    </w:p>
    <w:p w14:paraId="3A2C2A64">
      <w:pPr>
        <w:spacing w:after="0" w:line="355" w:lineRule="auto"/>
        <w:ind w:firstLine="709"/>
        <w:jc w:val="both"/>
        <w:rPr>
          <w:rFonts w:ascii="Times New Roman" w:hAnsi="Times New Roman" w:eastAsia="Times New Roman"/>
        </w:rPr>
      </w:pPr>
      <w:r>
        <w:rPr>
          <w:rFonts w:ascii="Times New Roman" w:hAnsi="Times New Roman" w:eastAsia="Times New Roman"/>
        </w:rPr>
        <w:t>3.7.3.1. Произведения для чтения: А.С. Пушкин «Уж небо осенью дышало…», «Вот север, тучи нагоняя…», А.А. Плещеев «Осень», А.К. Толстой «Осень. Обсыпается наш сад…», М.М. Пришвин «Осеннее утро», Г.А. Скребицкий «Четыре художника», Ф.И. Тютчев «Чародейкою Зимою», «Зима недаром злится», И.С. Соколов-Микитов «Зима в лесу», С.А. Есенин «Поёт зима – аукает…», И.З. Суриков «Лето» и другие.</w:t>
      </w:r>
    </w:p>
    <w:p w14:paraId="6C5787CF">
      <w:pPr>
        <w:spacing w:after="0" w:line="355" w:lineRule="auto"/>
        <w:ind w:firstLine="709"/>
        <w:jc w:val="both"/>
        <w:rPr>
          <w:rFonts w:ascii="Times New Roman" w:hAnsi="Times New Roman" w:eastAsia="Times New Roman"/>
        </w:rPr>
      </w:pPr>
      <w:r>
        <w:rPr>
          <w:rFonts w:ascii="Times New Roman" w:hAnsi="Times New Roman" w:eastAsia="Times New Roman"/>
        </w:rPr>
        <w:t>3.7.4. О детях и дружбе. Круг чтения: тема дружбы в художественном произведении (расширение круга чтения: не менее четырёх произведений, Н.Н. Носова, В.А. Осеевой, В.Ю. Драгунского, В.В. Лунина и других). Отражение в произведениях нравственно-этических понятий: дружба, терпение, уважение, помощь друг другу. Главная мысль произведения (идея). Герой произведения (введение понятия «главный герой»), его характеристика (портрет), оценка поступков.</w:t>
      </w:r>
    </w:p>
    <w:p w14:paraId="682CE539">
      <w:pPr>
        <w:spacing w:after="0" w:line="355" w:lineRule="auto"/>
        <w:ind w:firstLine="709"/>
        <w:jc w:val="both"/>
        <w:rPr>
          <w:rFonts w:ascii="Times New Roman" w:hAnsi="Times New Roman" w:eastAsia="Times New Roman"/>
        </w:rPr>
      </w:pPr>
      <w:r>
        <w:rPr>
          <w:rFonts w:ascii="Times New Roman" w:hAnsi="Times New Roman" w:eastAsia="Times New Roman"/>
        </w:rPr>
        <w:t>3.7.4.1. Произведения для чтения: Л.Н. Толстой «Филиппок», Е.А. Пермяк «Две пословицы», Ю.И. Ермолаев «Два пирожных», В.А. Осеева «Синие листья», Н.Н. Носов «На горке», «Заплатка», А.Л. Барто «Катя», В.В. Лунин «Я и Вовка», В.Ю. Драгунский «Тайное становится явным» и другие (по выбору).</w:t>
      </w:r>
    </w:p>
    <w:p w14:paraId="6AC686A7">
      <w:pPr>
        <w:spacing w:after="0" w:line="355" w:lineRule="auto"/>
        <w:ind w:firstLine="709"/>
        <w:jc w:val="both"/>
        <w:rPr>
          <w:rFonts w:ascii="Times New Roman" w:hAnsi="Times New Roman" w:eastAsia="Times New Roman"/>
        </w:rPr>
      </w:pPr>
      <w:r>
        <w:rPr>
          <w:rFonts w:ascii="Times New Roman" w:hAnsi="Times New Roman" w:eastAsia="Times New Roman"/>
        </w:rPr>
        <w:t>3.7.5. Мир сказок. Фольклорная (народная) и литературная (авторская) сказка: «бродячие» сюжеты (произведения по выбору, не менее четырёх). Фольклорная основа авторских сказок: сравнение сюжетов, героев, особенностей языка. Составление плана произведения: части текста, их главные темы. Иллюстрации, их значение в раскрытии содержания произведения.</w:t>
      </w:r>
    </w:p>
    <w:p w14:paraId="0D1683BE">
      <w:pPr>
        <w:spacing w:after="0" w:line="355" w:lineRule="auto"/>
        <w:ind w:firstLine="709"/>
        <w:jc w:val="both"/>
        <w:rPr>
          <w:rFonts w:ascii="Times New Roman" w:hAnsi="Times New Roman" w:eastAsia="Times New Roman"/>
        </w:rPr>
      </w:pPr>
      <w:r>
        <w:rPr>
          <w:rFonts w:ascii="Times New Roman" w:hAnsi="Times New Roman" w:eastAsia="Times New Roman"/>
        </w:rPr>
        <w:t>3.7.5.1. Произведения для чтения: народная сказка «Золотая рыбка», А.С. Пушкин «Сказка о рыбаке и рыбке», народная сказка «Морозко», В.Ф. Одоевский «Мороз Иванович», В.И. Даль «Девочка Снегурочка» и другие.</w:t>
      </w:r>
    </w:p>
    <w:p w14:paraId="492A152A">
      <w:pPr>
        <w:spacing w:after="0" w:line="355" w:lineRule="auto"/>
        <w:ind w:firstLine="709"/>
        <w:jc w:val="both"/>
        <w:rPr>
          <w:rFonts w:ascii="Times New Roman" w:hAnsi="Times New Roman" w:eastAsia="Times New Roman"/>
        </w:rPr>
      </w:pPr>
      <w:r>
        <w:rPr>
          <w:rFonts w:ascii="Times New Roman" w:hAnsi="Times New Roman" w:eastAsia="Times New Roman"/>
        </w:rPr>
        <w:t>3.7.6. О братьях наших меньших. Жанровое многообразие произведений о животных (песни, загадки, сказки, басни, рассказы, стихотворения; произведения по выбору, не менее пяти авторов). Дружба людей и животных – тема литературы (произведения Е.И. Чарушина, В.В. Бианки, С.В. Михалкова, Б.С. Житкова, М.М. Пришвина и других). Отражение образов животных в фольклоре (русские народные песни, загадки, сказки). Герои стихотворных и прозаических произведений о животных. Описание животных в художественном и научно-познавательном тексте. Нравственно-этические понятия: отношение человека к животным (любовь и забота). Особенности басни как жанра литературы, прозаические и стихотворные басни (на примере произведений И.А. Крылова, Л.Н. Толстого). Мораль басни как нравственный урок (поучение). Знакомство с художниками-иллюстраторами, анималистами (без использования термина): Е.И. Чарушин, В.В. Бианки.</w:t>
      </w:r>
    </w:p>
    <w:p w14:paraId="2BAA6AB7">
      <w:pPr>
        <w:spacing w:after="0" w:line="355" w:lineRule="auto"/>
        <w:ind w:firstLine="709"/>
        <w:jc w:val="both"/>
        <w:rPr>
          <w:rFonts w:ascii="Times New Roman" w:hAnsi="Times New Roman" w:eastAsia="Times New Roman"/>
        </w:rPr>
      </w:pPr>
      <w:r>
        <w:rPr>
          <w:rFonts w:ascii="Times New Roman" w:hAnsi="Times New Roman" w:eastAsia="Times New Roman"/>
        </w:rPr>
        <w:t>3.7.6.1. Произведения для чтения: И.А. Крылов «Лебедь, Щука и Рак», Л.Н. Толстой «Лев и мышь», М.М. Пришвин «Ребята и утята», Б.С. Житков «Храбрый утёнок», В.Д. Берестов «Кошкин щенок», В.В. Бианки «Музыкант», Е.И. Чарушин «Страшный рассказ», С.В. Михалков «Мой щенок» и другие (по выбору).</w:t>
      </w:r>
    </w:p>
    <w:p w14:paraId="4500D3D0">
      <w:pPr>
        <w:spacing w:after="0" w:line="355" w:lineRule="auto"/>
        <w:ind w:firstLine="709"/>
        <w:jc w:val="both"/>
        <w:rPr>
          <w:rFonts w:ascii="Times New Roman" w:hAnsi="Times New Roman" w:eastAsia="Times New Roman"/>
        </w:rPr>
      </w:pPr>
      <w:r>
        <w:rPr>
          <w:rFonts w:ascii="Times New Roman" w:hAnsi="Times New Roman" w:eastAsia="Times New Roman"/>
        </w:rPr>
        <w:t>3.7.7. О наших близких, о семье. Тема семьи, детства, взаимоотношений взрослых и детей в творчестве писателей и фольклорных произведениях (по выбору). Отражение нравственных семейных ценностей в произведениях о семье: любовь и сопереживание, уважение и внимание к старшему поколению, радость общения и защищённость в семье. Тема художественных произведений: Международный женский день, День Победы.</w:t>
      </w:r>
    </w:p>
    <w:p w14:paraId="39C69437">
      <w:pPr>
        <w:spacing w:after="0" w:line="355" w:lineRule="auto"/>
        <w:ind w:firstLine="709"/>
        <w:jc w:val="both"/>
        <w:rPr>
          <w:rFonts w:ascii="Times New Roman" w:hAnsi="Times New Roman" w:eastAsia="Times New Roman"/>
        </w:rPr>
      </w:pPr>
      <w:r>
        <w:rPr>
          <w:rFonts w:ascii="Times New Roman" w:hAnsi="Times New Roman" w:eastAsia="Times New Roman"/>
        </w:rPr>
        <w:t>3.7.7.1. Произведения для чтения: Л.Н. Толстой «Отец и сыновья», А.А. Плещеев «Песня матери», В.А. Осеева «Сыновья», С.В. Михалков «Быль для детей», С.А. Баруздин «Салют» и другие (по выбору).</w:t>
      </w:r>
    </w:p>
    <w:p w14:paraId="1DC2DD65">
      <w:pPr>
        <w:spacing w:after="0" w:line="355" w:lineRule="auto"/>
        <w:ind w:firstLine="709"/>
        <w:jc w:val="both"/>
        <w:rPr>
          <w:rFonts w:ascii="Times New Roman" w:hAnsi="Times New Roman" w:eastAsia="Times New Roman"/>
        </w:rPr>
      </w:pPr>
      <w:r>
        <w:rPr>
          <w:rFonts w:ascii="Times New Roman" w:hAnsi="Times New Roman" w:eastAsia="Times New Roman"/>
        </w:rPr>
        <w:t>3.7.8. Зарубежная литература. Круг чтения: литературная (авторская) сказка (не менее двух произведений): зарубежные писатели-сказочники (Ш. Перро, Х.-К. Андерсен и другие). Характеристика авторской сказки: герои, особенности построения и языка. Сходство тем и сюжетов сказок разных народов. Составление плана художественного произведения: части текста, их главные темы. Иллюстрации, их значение в раскрытии содержания произведения.</w:t>
      </w:r>
    </w:p>
    <w:p w14:paraId="08FD9946">
      <w:pPr>
        <w:spacing w:after="0" w:line="355" w:lineRule="auto"/>
        <w:ind w:firstLine="709"/>
        <w:jc w:val="both"/>
        <w:rPr>
          <w:rFonts w:ascii="Times New Roman" w:hAnsi="Times New Roman" w:eastAsia="Times New Roman"/>
        </w:rPr>
      </w:pPr>
      <w:r>
        <w:rPr>
          <w:rFonts w:ascii="Times New Roman" w:hAnsi="Times New Roman" w:eastAsia="Times New Roman"/>
        </w:rPr>
        <w:t>3.7.8.1. Произведения для чтения: Ш. Перро «Кот в сапогах», Х.-К. Андерсен «Пятеро из одного стручка» и другие (по выбору).</w:t>
      </w:r>
    </w:p>
    <w:p w14:paraId="76B74A28">
      <w:pPr>
        <w:spacing w:after="0" w:line="355" w:lineRule="auto"/>
        <w:ind w:firstLine="709"/>
        <w:jc w:val="both"/>
        <w:rPr>
          <w:rFonts w:ascii="Times New Roman" w:hAnsi="Times New Roman" w:eastAsia="Times New Roman"/>
        </w:rPr>
      </w:pPr>
      <w:r>
        <w:rPr>
          <w:rFonts w:ascii="Times New Roman" w:hAnsi="Times New Roman" w:eastAsia="Times New Roman"/>
        </w:rPr>
        <w:t>3.7.9. Библиографическая культура (работа с детской книгой и справочной литературой). Книга как источник необходимых знаний. Элементы книги: содержание или оглавление, аннотация, иллюстрация. Выбор книг на основе рекомендательного списка, тематические картотеки библиотеки. Книга учебная, художественная, справочная.</w:t>
      </w:r>
    </w:p>
    <w:p w14:paraId="489CF109">
      <w:pPr>
        <w:spacing w:after="0" w:line="355" w:lineRule="auto"/>
        <w:ind w:firstLine="709"/>
        <w:jc w:val="both"/>
        <w:rPr>
          <w:rFonts w:ascii="Times New Roman" w:hAnsi="Times New Roman" w:eastAsia="SchoolBookSanPin"/>
          <w:bCs/>
        </w:rPr>
      </w:pPr>
      <w:r>
        <w:rPr>
          <w:rFonts w:ascii="Times New Roman" w:hAnsi="Times New Roman" w:eastAsia="SchoolBookSanPin"/>
        </w:rPr>
        <w:t xml:space="preserve">3.7.10. Изучение литературного чтения во 2 классе способствует </w:t>
      </w:r>
      <w:r>
        <w:rPr>
          <w:rFonts w:ascii="Times New Roman" w:hAnsi="Times New Roman" w:eastAsia="Times New Roman"/>
        </w:rPr>
        <w:t>освоению на пропедевтическом уровне ряда универсальных учебных действий</w:t>
      </w:r>
      <w:r>
        <w:rPr>
          <w:rFonts w:ascii="Times New Roman" w:hAnsi="Times New Roman" w:eastAsia="SchoolBookSanPin"/>
        </w:rPr>
        <w:t xml:space="preserve">: </w:t>
      </w:r>
      <w:r>
        <w:rPr>
          <w:rFonts w:ascii="Times New Roman" w:hAnsi="Times New Roman" w:eastAsia="SchoolBookSanPin"/>
          <w:bCs/>
        </w:rPr>
        <w:t xml:space="preserve">познавательных универсальных учебных действий, коммуникативных универсальных учебных действий, регулятивных универсальных учебных действий, совместной деятельности. </w:t>
      </w:r>
    </w:p>
    <w:p w14:paraId="1DA2EA9F">
      <w:pPr>
        <w:spacing w:after="0" w:line="355" w:lineRule="auto"/>
        <w:ind w:firstLine="709"/>
        <w:jc w:val="both"/>
        <w:rPr>
          <w:rFonts w:ascii="Times New Roman" w:hAnsi="Times New Roman" w:eastAsia="SchoolBookSanPin"/>
        </w:rPr>
      </w:pPr>
      <w:r>
        <w:rPr>
          <w:rFonts w:ascii="Times New Roman" w:hAnsi="Times New Roman" w:eastAsia="OfficinaSansBoldITC"/>
        </w:rPr>
        <w:t>3.7.</w:t>
      </w:r>
      <w:r>
        <w:rPr>
          <w:rFonts w:ascii="Times New Roman" w:hAnsi="Times New Roman" w:eastAsia="SchoolBookSanPin"/>
        </w:rPr>
        <w:t>10</w:t>
      </w:r>
      <w:r>
        <w:rPr>
          <w:rFonts w:ascii="Times New Roman" w:hAnsi="Times New Roman" w:eastAsia="OfficinaSansBoldITC"/>
        </w:rPr>
        <w:t>.1. </w:t>
      </w:r>
      <w:r>
        <w:rPr>
          <w:rFonts w:ascii="Times New Roman" w:hAnsi="Times New Roman" w:eastAsia="SchoolBookSanPin"/>
        </w:rPr>
        <w:t xml:space="preserve">Базовые логические и исследовательские действия как часть </w:t>
      </w:r>
      <w:r>
        <w:rPr>
          <w:rFonts w:ascii="Times New Roman" w:hAnsi="Times New Roman" w:eastAsia="SchoolBookSanPin"/>
          <w:bCs/>
        </w:rPr>
        <w:t>познавательных универсальных учебных действий</w:t>
      </w:r>
      <w:r>
        <w:rPr>
          <w:rFonts w:ascii="Times New Roman" w:hAnsi="Times New Roman" w:eastAsia="SchoolBookSanPin"/>
        </w:rPr>
        <w:t xml:space="preserve"> способствуют формированию умений:</w:t>
      </w:r>
    </w:p>
    <w:p w14:paraId="43134952">
      <w:pPr>
        <w:spacing w:after="0" w:line="355" w:lineRule="auto"/>
        <w:ind w:firstLine="709"/>
        <w:jc w:val="both"/>
        <w:rPr>
          <w:rFonts w:ascii="Times New Roman" w:hAnsi="Times New Roman" w:eastAsia="Times New Roman"/>
        </w:rPr>
      </w:pPr>
      <w:r>
        <w:rPr>
          <w:rFonts w:ascii="Times New Roman" w:hAnsi="Times New Roman" w:eastAsia="Times New Roman"/>
        </w:rPr>
        <w:t>читать вслух целыми словами без пропусков и перестановок букв и слогов доступные по восприятию и небольшие по объёму прозаические и стихотворные произведения (без отметочного оценивания);</w:t>
      </w:r>
    </w:p>
    <w:p w14:paraId="12FE7B98">
      <w:pPr>
        <w:spacing w:after="0" w:line="355" w:lineRule="auto"/>
        <w:ind w:firstLine="709"/>
        <w:jc w:val="both"/>
        <w:rPr>
          <w:rFonts w:ascii="Times New Roman" w:hAnsi="Times New Roman" w:eastAsia="Times New Roman"/>
        </w:rPr>
      </w:pPr>
      <w:r>
        <w:rPr>
          <w:rFonts w:ascii="Times New Roman" w:hAnsi="Times New Roman" w:eastAsia="Times New Roman"/>
        </w:rPr>
        <w:t>сравнивать и группировать различные произведения по теме (о Родине, о родной природе, о детях, о животных, о семье, о чудесах и превращениях), по жанрам (произведения устного народного творчества, сказка (фольклорная и литературная), рассказ, басня, стихотворение);</w:t>
      </w:r>
    </w:p>
    <w:p w14:paraId="4413916E">
      <w:pPr>
        <w:spacing w:after="0" w:line="355" w:lineRule="auto"/>
        <w:ind w:firstLine="709"/>
        <w:jc w:val="both"/>
        <w:rPr>
          <w:rFonts w:ascii="Times New Roman" w:hAnsi="Times New Roman" w:eastAsia="Times New Roman"/>
        </w:rPr>
      </w:pPr>
      <w:r>
        <w:rPr>
          <w:rFonts w:ascii="Times New Roman" w:hAnsi="Times New Roman" w:eastAsia="Times New Roman"/>
        </w:rPr>
        <w:t>характеризовать (кратко) особенности жанров (произведения устного народного творчества, литературная сказка, рассказ, басня, стихотворение);</w:t>
      </w:r>
    </w:p>
    <w:p w14:paraId="747C6B09">
      <w:pPr>
        <w:spacing w:after="0" w:line="355" w:lineRule="auto"/>
        <w:ind w:firstLine="709"/>
        <w:jc w:val="both"/>
        <w:rPr>
          <w:rFonts w:ascii="Times New Roman" w:hAnsi="Times New Roman" w:eastAsia="Times New Roman"/>
        </w:rPr>
      </w:pPr>
      <w:r>
        <w:rPr>
          <w:rFonts w:ascii="Times New Roman" w:hAnsi="Times New Roman" w:eastAsia="Times New Roman"/>
        </w:rPr>
        <w:t>анализировать текст сказки, рассказа, басни: определять тему, главную мысль произведения, находить в тексте слова, подтверждающие характеристику героя, оценивать его поступки, сравнивать героев по предложенному алгоритму, устанавливать последовательность событий (действий) в сказке и рассказе;</w:t>
      </w:r>
    </w:p>
    <w:p w14:paraId="79C65E0E">
      <w:pPr>
        <w:spacing w:after="0" w:line="355" w:lineRule="auto"/>
        <w:ind w:firstLine="709"/>
        <w:jc w:val="both"/>
        <w:rPr>
          <w:rFonts w:ascii="Times New Roman" w:hAnsi="Times New Roman" w:eastAsia="Times New Roman"/>
        </w:rPr>
      </w:pPr>
      <w:r>
        <w:rPr>
          <w:rFonts w:ascii="Times New Roman" w:hAnsi="Times New Roman" w:eastAsia="Times New Roman"/>
        </w:rPr>
        <w:t>анализировать текст стихотворения: называть особенности жанра (ритм, рифма), находить в тексте сравнения, эпитеты, слова в переносном значении, объяснять значение незнакомого слова с использованием контекста и по словарю.</w:t>
      </w:r>
    </w:p>
    <w:p w14:paraId="167DDCF7">
      <w:pPr>
        <w:spacing w:after="0" w:line="355" w:lineRule="auto"/>
        <w:ind w:firstLine="709"/>
        <w:jc w:val="both"/>
        <w:rPr>
          <w:rFonts w:ascii="Times New Roman" w:hAnsi="Times New Roman" w:eastAsia="SchoolBookSanPin"/>
        </w:rPr>
      </w:pPr>
      <w:r>
        <w:rPr>
          <w:rFonts w:ascii="Times New Roman" w:hAnsi="Times New Roman" w:eastAsia="OfficinaSansBoldITC"/>
        </w:rPr>
        <w:t>3.7.</w:t>
      </w:r>
      <w:r>
        <w:rPr>
          <w:rFonts w:ascii="Times New Roman" w:hAnsi="Times New Roman" w:eastAsia="SchoolBookSanPin"/>
        </w:rPr>
        <w:t>10</w:t>
      </w:r>
      <w:r>
        <w:rPr>
          <w:rFonts w:ascii="Times New Roman" w:hAnsi="Times New Roman" w:eastAsia="OfficinaSansBoldITC"/>
        </w:rPr>
        <w:t>.2. </w:t>
      </w:r>
      <w:r>
        <w:rPr>
          <w:rFonts w:ascii="Times New Roman" w:hAnsi="Times New Roman" w:eastAsia="SchoolBookSanPin"/>
        </w:rPr>
        <w:t xml:space="preserve">Работа с информацией как часть </w:t>
      </w:r>
      <w:r>
        <w:rPr>
          <w:rFonts w:ascii="Times New Roman" w:hAnsi="Times New Roman" w:eastAsia="SchoolBookSanPin"/>
          <w:bCs/>
        </w:rPr>
        <w:t>познавательных универсальных учебных действий</w:t>
      </w:r>
      <w:r>
        <w:rPr>
          <w:rFonts w:ascii="Times New Roman" w:hAnsi="Times New Roman" w:eastAsia="SchoolBookSanPin"/>
        </w:rPr>
        <w:t xml:space="preserve"> способствует формированию умений:</w:t>
      </w:r>
    </w:p>
    <w:p w14:paraId="758C067B">
      <w:pPr>
        <w:spacing w:after="0" w:line="355" w:lineRule="auto"/>
        <w:ind w:firstLine="709"/>
        <w:jc w:val="both"/>
        <w:rPr>
          <w:rFonts w:ascii="Times New Roman" w:hAnsi="Times New Roman" w:eastAsia="Times New Roman"/>
        </w:rPr>
      </w:pPr>
      <w:r>
        <w:rPr>
          <w:rFonts w:ascii="Times New Roman" w:hAnsi="Times New Roman" w:eastAsia="Times New Roman"/>
        </w:rPr>
        <w:t>соотносить иллюстрации с текстом произведения;</w:t>
      </w:r>
    </w:p>
    <w:p w14:paraId="2905225D">
      <w:pPr>
        <w:spacing w:after="0" w:line="355" w:lineRule="auto"/>
        <w:ind w:firstLine="709"/>
        <w:jc w:val="both"/>
        <w:rPr>
          <w:rFonts w:ascii="Times New Roman" w:hAnsi="Times New Roman" w:eastAsia="Times New Roman"/>
        </w:rPr>
      </w:pPr>
      <w:r>
        <w:rPr>
          <w:rFonts w:ascii="Times New Roman" w:hAnsi="Times New Roman" w:eastAsia="Times New Roman"/>
        </w:rPr>
        <w:t>ориентироваться в содержании книги, каталоге, выбирать книгу по автору, каталогу на основе рекомендованного списка;</w:t>
      </w:r>
    </w:p>
    <w:p w14:paraId="6F1F1A98">
      <w:pPr>
        <w:spacing w:after="0" w:line="355" w:lineRule="auto"/>
        <w:ind w:firstLine="709"/>
        <w:jc w:val="both"/>
        <w:rPr>
          <w:rFonts w:ascii="Times New Roman" w:hAnsi="Times New Roman" w:eastAsia="Times New Roman"/>
        </w:rPr>
      </w:pPr>
      <w:r>
        <w:rPr>
          <w:rFonts w:ascii="Times New Roman" w:hAnsi="Times New Roman" w:eastAsia="Times New Roman"/>
        </w:rPr>
        <w:t>по информации, представленной в оглавлении, в иллюстрациях предполагать тему и содержание книги;</w:t>
      </w:r>
    </w:p>
    <w:p w14:paraId="41B9DD00">
      <w:pPr>
        <w:spacing w:after="0" w:line="355" w:lineRule="auto"/>
        <w:ind w:firstLine="709"/>
        <w:jc w:val="both"/>
        <w:rPr>
          <w:rFonts w:ascii="Times New Roman" w:hAnsi="Times New Roman" w:eastAsia="Times New Roman"/>
        </w:rPr>
      </w:pPr>
      <w:r>
        <w:rPr>
          <w:rFonts w:ascii="Times New Roman" w:hAnsi="Times New Roman" w:eastAsia="Times New Roman"/>
        </w:rPr>
        <w:t>пользоваться словарями для уточнения значения незнакомого слова.</w:t>
      </w:r>
    </w:p>
    <w:p w14:paraId="738BC22B">
      <w:pPr>
        <w:spacing w:after="0" w:line="355" w:lineRule="auto"/>
        <w:ind w:firstLine="709"/>
        <w:jc w:val="both"/>
        <w:rPr>
          <w:rFonts w:ascii="Times New Roman" w:hAnsi="Times New Roman" w:eastAsia="SchoolBookSanPin"/>
        </w:rPr>
      </w:pPr>
      <w:r>
        <w:rPr>
          <w:rFonts w:ascii="Times New Roman" w:hAnsi="Times New Roman" w:eastAsia="OfficinaSansBoldITC"/>
        </w:rPr>
        <w:t>3.7.10.3. </w:t>
      </w:r>
      <w:r>
        <w:rPr>
          <w:rFonts w:ascii="Times New Roman" w:hAnsi="Times New Roman" w:eastAsia="Times New Roman"/>
        </w:rPr>
        <w:t>Коммуникативные универсальные учебные действия</w:t>
      </w:r>
      <w:r>
        <w:rPr>
          <w:rFonts w:ascii="Times New Roman" w:hAnsi="Times New Roman" w:eastAsia="SchoolBookSanPin"/>
        </w:rPr>
        <w:t xml:space="preserve"> способствуют формированию умений:</w:t>
      </w:r>
    </w:p>
    <w:p w14:paraId="593A726A">
      <w:pPr>
        <w:spacing w:after="0" w:line="355" w:lineRule="auto"/>
        <w:ind w:firstLine="709"/>
        <w:jc w:val="both"/>
        <w:rPr>
          <w:rFonts w:ascii="Times New Roman" w:hAnsi="Times New Roman" w:eastAsia="Times New Roman"/>
        </w:rPr>
      </w:pPr>
      <w:r>
        <w:rPr>
          <w:rFonts w:ascii="Times New Roman" w:hAnsi="Times New Roman" w:eastAsia="Times New Roman"/>
        </w:rPr>
        <w:t>участвовать в диалоге: отвечать на вопросы, кратко объяснять свои ответы, дополнять ответы других участников, составлять свои вопросы и высказывания на заданную тему;</w:t>
      </w:r>
    </w:p>
    <w:p w14:paraId="4469AAF6">
      <w:pPr>
        <w:spacing w:after="0" w:line="355" w:lineRule="auto"/>
        <w:ind w:firstLine="709"/>
        <w:jc w:val="both"/>
        <w:rPr>
          <w:rFonts w:ascii="Times New Roman" w:hAnsi="Times New Roman" w:eastAsia="Times New Roman"/>
        </w:rPr>
      </w:pPr>
      <w:r>
        <w:rPr>
          <w:rFonts w:ascii="Times New Roman" w:hAnsi="Times New Roman" w:eastAsia="Times New Roman"/>
        </w:rPr>
        <w:t>пересказывать подробно и выборочно прочитанное произведение;</w:t>
      </w:r>
    </w:p>
    <w:p w14:paraId="3F661EF6">
      <w:pPr>
        <w:spacing w:after="0" w:line="355" w:lineRule="auto"/>
        <w:ind w:firstLine="709"/>
        <w:jc w:val="both"/>
        <w:rPr>
          <w:rFonts w:ascii="Times New Roman" w:hAnsi="Times New Roman" w:eastAsia="Times New Roman"/>
        </w:rPr>
      </w:pPr>
      <w:r>
        <w:rPr>
          <w:rFonts w:ascii="Times New Roman" w:hAnsi="Times New Roman" w:eastAsia="Times New Roman"/>
        </w:rPr>
        <w:t>обсуждать (в парах, группах) содержание текста, формулировать (устно) простые выводы на основе прочитанного (прослушанного) произведения;</w:t>
      </w:r>
    </w:p>
    <w:p w14:paraId="49C51994">
      <w:pPr>
        <w:spacing w:after="0" w:line="355" w:lineRule="auto"/>
        <w:ind w:firstLine="709"/>
        <w:jc w:val="both"/>
        <w:rPr>
          <w:rFonts w:ascii="Times New Roman" w:hAnsi="Times New Roman" w:eastAsia="Times New Roman"/>
        </w:rPr>
      </w:pPr>
      <w:r>
        <w:rPr>
          <w:rFonts w:ascii="Times New Roman" w:hAnsi="Times New Roman" w:eastAsia="Times New Roman"/>
        </w:rPr>
        <w:t>описывать (устно) картины природы;</w:t>
      </w:r>
    </w:p>
    <w:p w14:paraId="4457E70B">
      <w:pPr>
        <w:spacing w:after="0" w:line="355" w:lineRule="auto"/>
        <w:ind w:firstLine="709"/>
        <w:jc w:val="both"/>
        <w:rPr>
          <w:rFonts w:ascii="Times New Roman" w:hAnsi="Times New Roman" w:eastAsia="Times New Roman"/>
        </w:rPr>
      </w:pPr>
      <w:r>
        <w:rPr>
          <w:rFonts w:ascii="Times New Roman" w:hAnsi="Times New Roman" w:eastAsia="Times New Roman"/>
        </w:rPr>
        <w:t>сочинять по аналогии с прочитанным загадки, рассказы, небольшие сказки;</w:t>
      </w:r>
    </w:p>
    <w:p w14:paraId="3AF8B2D3">
      <w:pPr>
        <w:spacing w:after="0" w:line="355" w:lineRule="auto"/>
        <w:ind w:firstLine="709"/>
        <w:jc w:val="both"/>
        <w:rPr>
          <w:rFonts w:ascii="Times New Roman" w:hAnsi="Times New Roman" w:eastAsia="Times New Roman"/>
        </w:rPr>
      </w:pPr>
      <w:r>
        <w:rPr>
          <w:rFonts w:ascii="Times New Roman" w:hAnsi="Times New Roman" w:eastAsia="Times New Roman"/>
        </w:rPr>
        <w:t>участвовать в инсценировках и драматизации отрывков из художественных произведений.</w:t>
      </w:r>
    </w:p>
    <w:p w14:paraId="0230B01C">
      <w:pPr>
        <w:spacing w:after="0" w:line="355" w:lineRule="auto"/>
        <w:ind w:firstLine="709"/>
        <w:jc w:val="both"/>
        <w:rPr>
          <w:rFonts w:ascii="Times New Roman" w:hAnsi="Times New Roman" w:eastAsia="SchoolBookSanPin"/>
        </w:rPr>
      </w:pPr>
      <w:r>
        <w:rPr>
          <w:rFonts w:ascii="Times New Roman" w:hAnsi="Times New Roman" w:eastAsia="OfficinaSansBoldITC"/>
        </w:rPr>
        <w:t>3.7.10.4. </w:t>
      </w:r>
      <w:r>
        <w:rPr>
          <w:rFonts w:ascii="Times New Roman" w:hAnsi="Times New Roman" w:eastAsia="Times New Roman"/>
        </w:rPr>
        <w:t>Регулятивные универсальные учебные действия</w:t>
      </w:r>
      <w:r>
        <w:rPr>
          <w:rFonts w:ascii="Times New Roman" w:hAnsi="Times New Roman" w:eastAsia="SchoolBookSanPin"/>
        </w:rPr>
        <w:t xml:space="preserve"> способствуют формированию умений:</w:t>
      </w:r>
    </w:p>
    <w:p w14:paraId="4B9BA8E5">
      <w:pPr>
        <w:spacing w:after="0" w:line="355" w:lineRule="auto"/>
        <w:ind w:firstLine="709"/>
        <w:jc w:val="both"/>
        <w:rPr>
          <w:rFonts w:ascii="Times New Roman" w:hAnsi="Times New Roman" w:eastAsia="Times New Roman"/>
        </w:rPr>
      </w:pPr>
      <w:r>
        <w:rPr>
          <w:rFonts w:ascii="Times New Roman" w:hAnsi="Times New Roman" w:eastAsia="Times New Roman"/>
        </w:rPr>
        <w:t>оценивать своё эмоциональное состояние, возникшее при прочтении (слушании) произведения;</w:t>
      </w:r>
    </w:p>
    <w:p w14:paraId="584012E8">
      <w:pPr>
        <w:spacing w:after="0" w:line="355" w:lineRule="auto"/>
        <w:ind w:firstLine="709"/>
        <w:jc w:val="both"/>
        <w:rPr>
          <w:rFonts w:ascii="Times New Roman" w:hAnsi="Times New Roman" w:eastAsia="Times New Roman"/>
        </w:rPr>
      </w:pPr>
      <w:r>
        <w:rPr>
          <w:rFonts w:ascii="Times New Roman" w:hAnsi="Times New Roman" w:eastAsia="Times New Roman"/>
        </w:rPr>
        <w:t>удерживать в памяти последовательность событий прослушанного (прочитанного) текста;</w:t>
      </w:r>
    </w:p>
    <w:p w14:paraId="260EF037">
      <w:pPr>
        <w:spacing w:after="0" w:line="355" w:lineRule="auto"/>
        <w:ind w:firstLine="709"/>
        <w:jc w:val="both"/>
        <w:rPr>
          <w:rFonts w:ascii="Times New Roman" w:hAnsi="Times New Roman" w:eastAsia="Times New Roman"/>
        </w:rPr>
      </w:pPr>
      <w:r>
        <w:rPr>
          <w:rFonts w:ascii="Times New Roman" w:hAnsi="Times New Roman" w:eastAsia="Times New Roman"/>
        </w:rPr>
        <w:t>контролировать выполнение поставленной учебной задачи при чтении (слушании) произведения;</w:t>
      </w:r>
    </w:p>
    <w:p w14:paraId="6D51D88C">
      <w:pPr>
        <w:spacing w:after="0" w:line="355" w:lineRule="auto"/>
        <w:ind w:firstLine="709"/>
        <w:jc w:val="both"/>
        <w:rPr>
          <w:rFonts w:ascii="Times New Roman" w:hAnsi="Times New Roman" w:eastAsia="Times New Roman"/>
        </w:rPr>
      </w:pPr>
      <w:r>
        <w:rPr>
          <w:rFonts w:ascii="Times New Roman" w:hAnsi="Times New Roman" w:eastAsia="Times New Roman"/>
        </w:rPr>
        <w:t>проверять (по образцу) выполнение поставленной учебной задачи.</w:t>
      </w:r>
    </w:p>
    <w:p w14:paraId="1F9F2D8A">
      <w:pPr>
        <w:spacing w:after="0" w:line="355" w:lineRule="auto"/>
        <w:ind w:firstLine="709"/>
        <w:jc w:val="both"/>
        <w:rPr>
          <w:rFonts w:ascii="Times New Roman" w:hAnsi="Times New Roman" w:eastAsia="SchoolBookSanPin"/>
        </w:rPr>
      </w:pPr>
      <w:r>
        <w:rPr>
          <w:rFonts w:ascii="Times New Roman" w:hAnsi="Times New Roman" w:eastAsia="OfficinaSansBoldITC"/>
        </w:rPr>
        <w:t>3.7.10.5. </w:t>
      </w:r>
      <w:r>
        <w:rPr>
          <w:rFonts w:ascii="Times New Roman" w:hAnsi="Times New Roman" w:eastAsia="Times New Roman"/>
        </w:rPr>
        <w:t>Совместная деятельность</w:t>
      </w:r>
      <w:r>
        <w:rPr>
          <w:rFonts w:ascii="Times New Roman" w:hAnsi="Times New Roman" w:eastAsia="SchoolBookSanPin"/>
        </w:rPr>
        <w:t xml:space="preserve"> способствует формированию умений:</w:t>
      </w:r>
    </w:p>
    <w:p w14:paraId="661F5C03">
      <w:pPr>
        <w:spacing w:after="0" w:line="355" w:lineRule="auto"/>
        <w:ind w:firstLine="709"/>
        <w:jc w:val="both"/>
        <w:rPr>
          <w:rFonts w:ascii="Times New Roman" w:hAnsi="Times New Roman" w:eastAsia="Times New Roman"/>
        </w:rPr>
      </w:pPr>
      <w:r>
        <w:rPr>
          <w:rFonts w:ascii="Times New Roman" w:hAnsi="Times New Roman" w:eastAsia="Times New Roman"/>
        </w:rPr>
        <w:t>выбирать себе партнёров по совместной деятельности;</w:t>
      </w:r>
    </w:p>
    <w:p w14:paraId="16705672">
      <w:pPr>
        <w:spacing w:after="0" w:line="355" w:lineRule="auto"/>
        <w:ind w:firstLine="709"/>
        <w:jc w:val="both"/>
        <w:rPr>
          <w:rFonts w:ascii="Times New Roman" w:hAnsi="Times New Roman" w:eastAsia="Times New Roman"/>
        </w:rPr>
      </w:pPr>
      <w:r>
        <w:rPr>
          <w:rFonts w:ascii="Times New Roman" w:hAnsi="Times New Roman" w:eastAsia="Times New Roman"/>
        </w:rPr>
        <w:t>распределять работу, договариваться, приходить к общему решению, отвечать за общий результат работы.</w:t>
      </w:r>
    </w:p>
    <w:p w14:paraId="674C1C11">
      <w:pPr>
        <w:spacing w:after="0" w:line="355" w:lineRule="auto"/>
        <w:ind w:firstLine="709"/>
        <w:rPr>
          <w:rFonts w:ascii="Times New Roman" w:hAnsi="Times New Roman" w:eastAsia="OfficinaSansBoldITC"/>
        </w:rPr>
      </w:pPr>
      <w:r>
        <w:rPr>
          <w:rFonts w:ascii="Times New Roman" w:hAnsi="Times New Roman" w:eastAsia="OfficinaSansBoldITC"/>
        </w:rPr>
        <w:t>3.8. Содержание обучения в 3 классе.</w:t>
      </w:r>
    </w:p>
    <w:p w14:paraId="107432F7">
      <w:pPr>
        <w:spacing w:after="0" w:line="355" w:lineRule="auto"/>
        <w:ind w:firstLine="709"/>
        <w:jc w:val="both"/>
        <w:rPr>
          <w:rFonts w:ascii="Times New Roman" w:hAnsi="Times New Roman" w:eastAsia="Times New Roman"/>
        </w:rPr>
      </w:pPr>
      <w:r>
        <w:rPr>
          <w:rFonts w:ascii="Times New Roman" w:hAnsi="Times New Roman" w:eastAsia="Times New Roman"/>
        </w:rPr>
        <w:t>3.8.1. О Родине и её истории. Любовь к Родине и её история – важные темы произведений литературы (произведения одного-двух авторов по выбору). Чувство любви к Родине, сопричастность к прошлому и настоящему своей страны и родного края – главные идеи, нравственные ценности, выраженные в произведениях о Родине. Образ Родины в стихотворных и прозаических произведениях писателей и поэтов ХIХ и ХХ веков. Осознание нравственно-этических понятий: любовь к родной стороне, малой родине, гордость за красоту и величие своей Отчизны. Роль и особенности заголовка произведения. Репродукции картин как иллюстрации к произведениям о Родине. Использование средств выразительности при чтении вслух: интонация, темп, ритм, логические ударения.</w:t>
      </w:r>
    </w:p>
    <w:p w14:paraId="4FA77078">
      <w:pPr>
        <w:spacing w:after="0" w:line="355" w:lineRule="auto"/>
        <w:ind w:firstLine="709"/>
        <w:jc w:val="both"/>
        <w:rPr>
          <w:rFonts w:ascii="Times New Roman" w:hAnsi="Times New Roman" w:eastAsia="Times New Roman"/>
        </w:rPr>
      </w:pPr>
      <w:r>
        <w:rPr>
          <w:rFonts w:ascii="Times New Roman" w:hAnsi="Times New Roman" w:eastAsia="Times New Roman"/>
        </w:rPr>
        <w:t>3.8.1.1. Произведения для чтения: К.Д. Ушинский «Наше отечество», М.М. Пришвин «Моя Родина», С.А. Васильев «Россия», Н.П. Кончаловская «Наша древняя столица» (отрывки) и другие (по выбору).</w:t>
      </w:r>
    </w:p>
    <w:p w14:paraId="2C4CF697">
      <w:pPr>
        <w:spacing w:after="0" w:line="355" w:lineRule="auto"/>
        <w:ind w:firstLine="709"/>
        <w:jc w:val="both"/>
        <w:rPr>
          <w:rFonts w:ascii="Times New Roman" w:hAnsi="Times New Roman" w:eastAsia="Times New Roman"/>
        </w:rPr>
      </w:pPr>
      <w:r>
        <w:rPr>
          <w:rFonts w:ascii="Times New Roman" w:hAnsi="Times New Roman" w:eastAsia="Times New Roman"/>
        </w:rPr>
        <w:t>3.8.2. Фольклор (устное народное творчество). Круг чтения: малые жанры фольклора (пословицы, потешки, считалки, небылицы, скороговорки, загадки, по выбору). Знакомство с видами загадок. Пословицы народов России (значение, характеристика, нравственная основа). Книги и словари, созданные В.И. Далем. Активный словарь устной речи: использование образных слов, пословиц и поговорок, крылатых выражений. Нравственные ценности в фольклорных произведениях народов России.</w:t>
      </w:r>
    </w:p>
    <w:p w14:paraId="0EC62690">
      <w:pPr>
        <w:spacing w:after="0" w:line="355" w:lineRule="auto"/>
        <w:ind w:firstLine="709"/>
        <w:jc w:val="both"/>
        <w:rPr>
          <w:rFonts w:ascii="Times New Roman" w:hAnsi="Times New Roman" w:eastAsia="Times New Roman"/>
        </w:rPr>
      </w:pPr>
      <w:r>
        <w:rPr>
          <w:rFonts w:ascii="Times New Roman" w:hAnsi="Times New Roman" w:eastAsia="Times New Roman"/>
        </w:rPr>
        <w:t>3.8.3. Фольклорная сказка как отражение общечеловеческих ценностей и нравственных правил. Виды сказок (о животных, бытовые, волшебные). Художественные особенности сказок: построение (композиция), язык (лексика). Характеристика героя, волшебные помощники, иллюстрация как отражение сюжета волшебной сказки (например, картины В.М. Васнецова, иллюстрации И.Я. Билибина и других). Отражение в сказках народного быта и культуры. Составление плана сказки.</w:t>
      </w:r>
    </w:p>
    <w:p w14:paraId="16634494">
      <w:pPr>
        <w:spacing w:after="0" w:line="355" w:lineRule="auto"/>
        <w:ind w:firstLine="709"/>
        <w:jc w:val="both"/>
        <w:rPr>
          <w:rFonts w:ascii="Times New Roman" w:hAnsi="Times New Roman" w:eastAsia="Times New Roman"/>
        </w:rPr>
      </w:pPr>
      <w:r>
        <w:rPr>
          <w:rFonts w:ascii="Times New Roman" w:hAnsi="Times New Roman" w:eastAsia="Times New Roman"/>
        </w:rPr>
        <w:t>3.8.4. Круг чтения: народная песня. Чувства, которые рождают песни, темы песен. Описание картин природы как способ рассказать в песне о родной земле. Былина как народный песенный сказ о важном историческом событии. Фольклорные особенности жанра былин: язык (напевность исполнения, выразительность), характеристика главного героя (где жил, чем занимался, какими качествами обладал). Характеристика былин как героического песенного сказа, их особенности (тема, язык). Язык былин, устаревшие слова, их место в былине и представление в современной лексике. Репродукции картин как иллюстрации к эпизодам фольклорного произведения.</w:t>
      </w:r>
    </w:p>
    <w:p w14:paraId="06933843">
      <w:pPr>
        <w:spacing w:after="0" w:line="355" w:lineRule="auto"/>
        <w:ind w:firstLine="709"/>
        <w:jc w:val="both"/>
        <w:rPr>
          <w:rFonts w:ascii="Times New Roman" w:hAnsi="Times New Roman" w:eastAsia="Times New Roman"/>
        </w:rPr>
      </w:pPr>
      <w:r>
        <w:rPr>
          <w:rFonts w:ascii="Times New Roman" w:hAnsi="Times New Roman" w:eastAsia="Times New Roman"/>
        </w:rPr>
        <w:t>3.8.4.1. Произведения для чтения: малые жанры фольклора, русская народная сказка «Иван-царевич и серый волк», былина об Илье Муромце и другие (по выбору).</w:t>
      </w:r>
    </w:p>
    <w:p w14:paraId="4D7925ED">
      <w:pPr>
        <w:spacing w:after="0" w:line="355" w:lineRule="auto"/>
        <w:ind w:firstLine="709"/>
        <w:jc w:val="both"/>
        <w:rPr>
          <w:rFonts w:ascii="Times New Roman" w:hAnsi="Times New Roman" w:eastAsia="Times New Roman"/>
        </w:rPr>
      </w:pPr>
      <w:r>
        <w:rPr>
          <w:rFonts w:ascii="Times New Roman" w:hAnsi="Times New Roman" w:eastAsia="Times New Roman"/>
        </w:rPr>
        <w:t>3.8.5. Творчество А.С. Пушкина. А.С. Пушкин – великий русский поэт. Лирические произведения А.С. Пушкина: средства художественной выразительности (сравнение, эпитет); рифма, ритм. Литературные сказки А.С. Пушкина в стихах (по выбору, например, «Сказка о царе Салтане, о сыне его славном и могучем богатыре князе Гвидоне Салтановиче и о прекрасной царевне Лебеди»). Нравственный смысл произведения, структура сказочного текста, особенности сюжета, приём повтора как основа изменения сюжета. Связь пушкинских сказок с фольклорными. Положительные и отрицательные герои, волшебные помощники, язык авторской сказки. И.Я. Билибин – иллюстратор сказок А.С. Пушкина.</w:t>
      </w:r>
    </w:p>
    <w:p w14:paraId="2C4286EF">
      <w:pPr>
        <w:spacing w:after="0" w:line="355" w:lineRule="auto"/>
        <w:ind w:firstLine="709"/>
        <w:jc w:val="both"/>
        <w:rPr>
          <w:rFonts w:ascii="Times New Roman" w:hAnsi="Times New Roman" w:eastAsia="Times New Roman"/>
        </w:rPr>
      </w:pPr>
      <w:r>
        <w:rPr>
          <w:rFonts w:ascii="Times New Roman" w:hAnsi="Times New Roman" w:eastAsia="Times New Roman"/>
        </w:rPr>
        <w:t>3.8.5.1. Произведения для чтения: А.С. Пушкин «Сказка о царе Салтане, о сыне его славном и могучем богатыре князе Гвидоне Салтановиче и о прекрасной царевне Лебеди», «В тот год осенняя погода…», «Опрятней модного паркета…» и другие (по выбору).</w:t>
      </w:r>
    </w:p>
    <w:p w14:paraId="1180EAAA">
      <w:pPr>
        <w:spacing w:after="0" w:line="355" w:lineRule="auto"/>
        <w:ind w:firstLine="709"/>
        <w:jc w:val="both"/>
        <w:rPr>
          <w:rFonts w:ascii="Times New Roman" w:hAnsi="Times New Roman" w:eastAsia="Times New Roman"/>
        </w:rPr>
      </w:pPr>
      <w:r>
        <w:rPr>
          <w:rFonts w:ascii="Times New Roman" w:hAnsi="Times New Roman" w:eastAsia="Times New Roman"/>
        </w:rPr>
        <w:t>3.8.6. Творчество И.А. Крылова. Басня – произведение-поучение, которое помогает увидеть свои и чужие недостатки. Иносказание в баснях. И.А. Крылов – великий русский баснописец. Басни И.А. Крылова (не менее двух): назначение, темы и герои, особенности языка. Явная и скрытая мораль басен. Использование крылатых выражений в речи.</w:t>
      </w:r>
    </w:p>
    <w:p w14:paraId="64C699CA">
      <w:pPr>
        <w:spacing w:after="0" w:line="355" w:lineRule="auto"/>
        <w:ind w:firstLine="709"/>
        <w:jc w:val="both"/>
        <w:rPr>
          <w:rFonts w:ascii="Times New Roman" w:hAnsi="Times New Roman" w:eastAsia="Times New Roman"/>
        </w:rPr>
      </w:pPr>
      <w:r>
        <w:rPr>
          <w:rFonts w:ascii="Times New Roman" w:hAnsi="Times New Roman" w:eastAsia="Times New Roman"/>
        </w:rPr>
        <w:t>3.8.6.1. Произведения для чтения: И.А. Крылов «Ворона и Лисица», «Лисица и виноград», «Мартышка и очки» и другие (по выбору).</w:t>
      </w:r>
    </w:p>
    <w:p w14:paraId="6F0C5587">
      <w:pPr>
        <w:spacing w:after="0" w:line="355" w:lineRule="auto"/>
        <w:ind w:firstLine="709"/>
        <w:jc w:val="both"/>
        <w:rPr>
          <w:rFonts w:ascii="Times New Roman" w:hAnsi="Times New Roman" w:eastAsia="Times New Roman"/>
        </w:rPr>
      </w:pPr>
      <w:r>
        <w:rPr>
          <w:rFonts w:ascii="Times New Roman" w:hAnsi="Times New Roman" w:eastAsia="Times New Roman"/>
        </w:rPr>
        <w:t>3.8.7. Картины природы в произведениях поэтов и писателей ХIХ–ХХ веков. Лирические произведения как способ передачи чувств людей, автора. Картины природы в произведениях поэтов и писателей (не менее пяти авторов по выбору): Ф.И. Тютчев, А.А. Фет, А.Н. Майков, Н.А. Некрасов, А.А. Блок, С.А. Есенин, И.А. Бунин, А.П. Чехов, К.Г. Паустовский и другие. Чувства, вызываемые лирическими произведениями. Средства выразительности в произведениях лирики: эпитеты, синонимы, антонимы, сравнения. Звукопись, её выразительное значение. Олицетворение как одно из средств выразительности лирического произведения. Живописные полотна как иллюстрация к лирическому произведению: пейзаж. Сравнение средств создания пейзажа в тексте-описании (эпитеты, сравнения, олицетворения), в изобразительном искусстве (цвет, композиция), в произведениях музыкального искусства (тон, темп, мелодия).</w:t>
      </w:r>
    </w:p>
    <w:p w14:paraId="0C3070BE">
      <w:pPr>
        <w:spacing w:after="0" w:line="355" w:lineRule="auto"/>
        <w:ind w:firstLine="709"/>
        <w:jc w:val="both"/>
        <w:rPr>
          <w:rFonts w:ascii="Times New Roman" w:hAnsi="Times New Roman" w:eastAsia="Times New Roman"/>
        </w:rPr>
      </w:pPr>
      <w:r>
        <w:rPr>
          <w:rFonts w:ascii="Times New Roman" w:hAnsi="Times New Roman" w:eastAsia="Times New Roman"/>
        </w:rPr>
        <w:t>3.8.7.1. Произведения для чтения: Ф.И. Тютчев «Есть в осени первоначальной…», А.А. Фет «Кот поёт, глаза прищуря», «Мама! Глянь-ка из окошка…», А.Н. Майков «Осень», С.А. Есенин «Берёза», Н.А. Некрасов «Железная дорога» (отрывок), А.А. Блок «Ворона», И.А. Бунин «Первый снег» и другие (по выбору).</w:t>
      </w:r>
    </w:p>
    <w:p w14:paraId="2E58D13D">
      <w:pPr>
        <w:spacing w:after="0" w:line="355" w:lineRule="auto"/>
        <w:ind w:firstLine="709"/>
        <w:jc w:val="both"/>
        <w:rPr>
          <w:rFonts w:ascii="Times New Roman" w:hAnsi="Times New Roman" w:eastAsia="Times New Roman"/>
        </w:rPr>
      </w:pPr>
      <w:r>
        <w:rPr>
          <w:rFonts w:ascii="Times New Roman" w:hAnsi="Times New Roman" w:eastAsia="Times New Roman"/>
        </w:rPr>
        <w:t>3.8.8. Творчество Л.Н. Толстого. Жанровое многообразие произведений Л.Н. Толстого: сказки, рассказы, басни, быль (не менее трёх произведений). Рассказ как повествование: связь содержания с реальным событием. Структурные части произведения (композиция): начало, завязка действия, кульминация, развязка. Эпизод как часть рассказа. Различные виды планов. Сюжет рассказа: основные события, главные герои, различение рассказчика и автора произведения. Художественные особенности текста-описания, текста-рассуждения.</w:t>
      </w:r>
    </w:p>
    <w:p w14:paraId="768545DA">
      <w:pPr>
        <w:spacing w:after="0" w:line="355" w:lineRule="auto"/>
        <w:ind w:firstLine="709"/>
        <w:jc w:val="both"/>
        <w:rPr>
          <w:rFonts w:ascii="Times New Roman" w:hAnsi="Times New Roman" w:eastAsia="Times New Roman"/>
        </w:rPr>
      </w:pPr>
      <w:r>
        <w:rPr>
          <w:rFonts w:ascii="Times New Roman" w:hAnsi="Times New Roman" w:eastAsia="Times New Roman"/>
        </w:rPr>
        <w:t>3.8.8.1. Произведения для чтения: Л.Н. Толстой «Лебеди», «Зайцы», «Прыжок», «Акула» и другие.</w:t>
      </w:r>
    </w:p>
    <w:p w14:paraId="62586C22">
      <w:pPr>
        <w:spacing w:after="0" w:line="355" w:lineRule="auto"/>
        <w:ind w:firstLine="709"/>
        <w:jc w:val="both"/>
        <w:rPr>
          <w:rFonts w:ascii="Times New Roman" w:hAnsi="Times New Roman" w:eastAsia="Times New Roman"/>
        </w:rPr>
      </w:pPr>
      <w:r>
        <w:rPr>
          <w:rFonts w:ascii="Times New Roman" w:hAnsi="Times New Roman" w:eastAsia="Times New Roman"/>
        </w:rPr>
        <w:t>3.8.9. Литературная сказка. Литературная сказка русских писателей (не менее двух). Круг чтения: произведения В.М. Гаршина, М. Горького, И.С. Соколова-Микитова и других. Особенности авторских сказок (сюжет, язык, герои). Составление аннотации.</w:t>
      </w:r>
    </w:p>
    <w:p w14:paraId="5422A964">
      <w:pPr>
        <w:spacing w:after="0" w:line="355" w:lineRule="auto"/>
        <w:ind w:firstLine="709"/>
        <w:jc w:val="both"/>
        <w:rPr>
          <w:rFonts w:ascii="Times New Roman" w:hAnsi="Times New Roman" w:eastAsia="Times New Roman"/>
        </w:rPr>
      </w:pPr>
      <w:r>
        <w:rPr>
          <w:rFonts w:ascii="Times New Roman" w:hAnsi="Times New Roman" w:eastAsia="Times New Roman"/>
        </w:rPr>
        <w:t>3.8.9.1. Произведения для чтения: В.М. Гаршин «Лягушка-путешественница», И.С. Соколов-Микитов «Листопадничек», М. Горький «Случай с Евсейкой» и другие (по выбору).</w:t>
      </w:r>
    </w:p>
    <w:p w14:paraId="68B794E8">
      <w:pPr>
        <w:spacing w:after="0" w:line="355" w:lineRule="auto"/>
        <w:ind w:firstLine="709"/>
        <w:jc w:val="both"/>
        <w:rPr>
          <w:rFonts w:ascii="Times New Roman" w:hAnsi="Times New Roman" w:eastAsia="Times New Roman"/>
        </w:rPr>
      </w:pPr>
      <w:r>
        <w:rPr>
          <w:rFonts w:ascii="Times New Roman" w:hAnsi="Times New Roman" w:eastAsia="Times New Roman"/>
        </w:rPr>
        <w:t>3.8.10. Произведения о взаимоотношениях человека и животных. Человек и его отношения с животными: верность, преданность, забота и любовь. Круг чтения (по выбору, не менее четырёх произведений): произведения Д.Н. Мамина-Сибиряка, К.Г. Паустовского, М.М. Пришвина, Б.С. Житкова. Особенности рассказа: тема, герои, реальность событий, композиция, объекты описания (портрет героя, описание интерьера).</w:t>
      </w:r>
    </w:p>
    <w:p w14:paraId="5B63D795">
      <w:pPr>
        <w:spacing w:after="0" w:line="355" w:lineRule="auto"/>
        <w:ind w:firstLine="709"/>
        <w:jc w:val="both"/>
        <w:rPr>
          <w:rFonts w:ascii="Times New Roman" w:hAnsi="Times New Roman" w:eastAsia="Times New Roman"/>
        </w:rPr>
      </w:pPr>
      <w:r>
        <w:rPr>
          <w:rFonts w:ascii="Times New Roman" w:hAnsi="Times New Roman" w:eastAsia="Times New Roman"/>
        </w:rPr>
        <w:t>3.8.10.1. Произведения для чтения: Б.С. Житков «Про обезьянку», К.Г. Паустовский «Барсучий нос», «Кот-ворюга», Д.Н. Мамин-Сибиряк «Приёмыш» и другие (по выбору).</w:t>
      </w:r>
    </w:p>
    <w:p w14:paraId="26866604">
      <w:pPr>
        <w:spacing w:after="0" w:line="355" w:lineRule="auto"/>
        <w:ind w:firstLine="709"/>
        <w:jc w:val="both"/>
        <w:rPr>
          <w:rFonts w:ascii="Times New Roman" w:hAnsi="Times New Roman" w:eastAsia="Times New Roman"/>
        </w:rPr>
      </w:pPr>
      <w:r>
        <w:rPr>
          <w:rFonts w:ascii="Times New Roman" w:hAnsi="Times New Roman" w:eastAsia="Times New Roman"/>
        </w:rPr>
        <w:t>3.8.11. Произведения о детях. Дети – герои произведений: раскрытие тем «Разные детские судьбы», «Дети на войне». Отличие автора от героя и рассказчика. Герой художественного произведения: время и место проживания, особенности внешнего вида и характера. Историческая обстановка как фон создания произведения: судьбы крестьянских детей, дети на войне (произведения по выбору двух</w:t>
      </w:r>
      <w:r>
        <w:rPr>
          <w:rFonts w:ascii="Times New Roman" w:hAnsi="Times New Roman" w:eastAsia="Times New Roman"/>
          <w:lang w:eastAsia="ru-RU"/>
        </w:rPr>
        <w:t>–</w:t>
      </w:r>
      <w:r>
        <w:rPr>
          <w:rFonts w:ascii="Times New Roman" w:hAnsi="Times New Roman" w:eastAsia="Times New Roman"/>
        </w:rPr>
        <w:t>трёх авторов). Основные события сюжета, отношение к ним героев произведения. Оценка нравственных качеств, проявляющихся в военное время.</w:t>
      </w:r>
    </w:p>
    <w:p w14:paraId="716C0137">
      <w:pPr>
        <w:spacing w:after="0" w:line="355" w:lineRule="auto"/>
        <w:ind w:firstLine="709"/>
        <w:jc w:val="both"/>
        <w:rPr>
          <w:rFonts w:ascii="Times New Roman" w:hAnsi="Times New Roman" w:eastAsia="Times New Roman"/>
        </w:rPr>
      </w:pPr>
      <w:r>
        <w:rPr>
          <w:rFonts w:ascii="Times New Roman" w:hAnsi="Times New Roman" w:eastAsia="Times New Roman"/>
        </w:rPr>
        <w:t>3.8.11.1. Произведения для чтения: Л. Пантелеев «На ялике», А. Гайдар «Тимур и его команда» (отрывки), Л. Кассиль и другие (по выбору).</w:t>
      </w:r>
    </w:p>
    <w:p w14:paraId="364F963B">
      <w:pPr>
        <w:spacing w:after="0" w:line="355" w:lineRule="auto"/>
        <w:ind w:firstLine="709"/>
        <w:jc w:val="both"/>
        <w:rPr>
          <w:rFonts w:ascii="Times New Roman" w:hAnsi="Times New Roman" w:eastAsia="Times New Roman"/>
        </w:rPr>
      </w:pPr>
      <w:r>
        <w:rPr>
          <w:rFonts w:ascii="Times New Roman" w:hAnsi="Times New Roman" w:eastAsia="Times New Roman"/>
        </w:rPr>
        <w:t>3.8.12. Юмористические произведения. Комичность как основа сюжета. Герой юмористического произведения. Средства выразительности текста юмористического содержания: преувеличение. Авторы юмористических рассказов (не менее двух произведений): М.М. Зощенко, Н.Н. Носов, В.Ю. Драгунский и другие (по выбору).</w:t>
      </w:r>
    </w:p>
    <w:p w14:paraId="5EAA04F1">
      <w:pPr>
        <w:spacing w:after="0" w:line="355" w:lineRule="auto"/>
        <w:ind w:firstLine="709"/>
        <w:jc w:val="both"/>
        <w:rPr>
          <w:rFonts w:ascii="Times New Roman" w:hAnsi="Times New Roman" w:eastAsia="Times New Roman"/>
        </w:rPr>
      </w:pPr>
      <w:r>
        <w:rPr>
          <w:rFonts w:ascii="Times New Roman" w:hAnsi="Times New Roman" w:eastAsia="Times New Roman"/>
        </w:rPr>
        <w:t>3.8.12.1. Произведения для чтения: В.Ю. Драгунский «Денискины рассказы» (1</w:t>
      </w:r>
      <w:r>
        <w:rPr>
          <w:rFonts w:ascii="Times New Roman" w:hAnsi="Times New Roman" w:eastAsia="Times New Roman"/>
          <w:lang w:eastAsia="ru-RU"/>
        </w:rPr>
        <w:t>–</w:t>
      </w:r>
      <w:r>
        <w:rPr>
          <w:rFonts w:ascii="Times New Roman" w:hAnsi="Times New Roman" w:eastAsia="Times New Roman"/>
        </w:rPr>
        <w:t>2 произведения), Н.Н. Носов «Весёлая семейка» и другие (по выбору).</w:t>
      </w:r>
    </w:p>
    <w:p w14:paraId="1FE1170F">
      <w:pPr>
        <w:spacing w:after="0" w:line="355" w:lineRule="auto"/>
        <w:ind w:firstLine="709"/>
        <w:jc w:val="both"/>
        <w:rPr>
          <w:rFonts w:ascii="Times New Roman" w:hAnsi="Times New Roman" w:eastAsia="Times New Roman"/>
        </w:rPr>
      </w:pPr>
      <w:r>
        <w:rPr>
          <w:rFonts w:ascii="Times New Roman" w:hAnsi="Times New Roman" w:eastAsia="Times New Roman"/>
        </w:rPr>
        <w:t xml:space="preserve">3.8.13. Зарубежная литература. Круг чтения (произведения двух-трёх авторов по выбору): литературные сказки Ш. Перро, Х.-К. Андерсена, Р. Киплинга. Особенности авторских сказок (сюжет, язык, герои). Рассказы зарубежных писателей о животных. Известные переводчики зарубежной литературы: С.Я. Маршак, К.И. Чуковский, Б.В. Заходер. </w:t>
      </w:r>
    </w:p>
    <w:p w14:paraId="1419F55B">
      <w:pPr>
        <w:spacing w:after="0" w:line="355" w:lineRule="auto"/>
        <w:ind w:firstLine="709"/>
        <w:jc w:val="both"/>
        <w:rPr>
          <w:rFonts w:ascii="Times New Roman" w:hAnsi="Times New Roman" w:eastAsia="Times New Roman"/>
        </w:rPr>
      </w:pPr>
      <w:r>
        <w:rPr>
          <w:rFonts w:ascii="Times New Roman" w:hAnsi="Times New Roman" w:eastAsia="Times New Roman"/>
        </w:rPr>
        <w:t>3.8.13.1. Произведения для чтения: Х.-К. Андерсен «Гадкий утёнок», Ш. Перро «Подарок феи» и другие (по выбору).</w:t>
      </w:r>
    </w:p>
    <w:p w14:paraId="05A16C70">
      <w:pPr>
        <w:spacing w:after="0" w:line="355" w:lineRule="auto"/>
        <w:ind w:firstLine="709"/>
        <w:jc w:val="both"/>
        <w:rPr>
          <w:rFonts w:ascii="Times New Roman" w:hAnsi="Times New Roman" w:eastAsia="Times New Roman"/>
        </w:rPr>
      </w:pPr>
      <w:r>
        <w:rPr>
          <w:rFonts w:ascii="Times New Roman" w:hAnsi="Times New Roman" w:eastAsia="Times New Roman"/>
        </w:rPr>
        <w:t xml:space="preserve">3.8.14. Библиографическая культура (работа с детской книгой и справочной литературой). Ценность чтения художественной литературы и фольклора, осознание важности читательской деятельности. Использование с учётом учебных задач аппарата издания (обложка, оглавление, аннотация, предисловие, иллюстрации). Правила юного читателя. Книга как особый вид искусства. Общее представление о первых книгах на Руси, знакомство с рукописными книгами. </w:t>
      </w:r>
    </w:p>
    <w:p w14:paraId="0F837573">
      <w:pPr>
        <w:spacing w:after="0" w:line="355" w:lineRule="auto"/>
        <w:ind w:firstLine="709"/>
        <w:jc w:val="both"/>
        <w:rPr>
          <w:rFonts w:ascii="Times New Roman" w:hAnsi="Times New Roman" w:eastAsia="SchoolBookSanPin"/>
          <w:bCs/>
        </w:rPr>
      </w:pPr>
      <w:r>
        <w:rPr>
          <w:rFonts w:ascii="Times New Roman" w:hAnsi="Times New Roman" w:eastAsia="SchoolBookSanPin"/>
        </w:rPr>
        <w:t xml:space="preserve">3.8.15. Изучение литературного чтения в 3 классе способствует </w:t>
      </w:r>
      <w:r>
        <w:rPr>
          <w:rFonts w:ascii="Times New Roman" w:hAnsi="Times New Roman" w:eastAsia="Times New Roman"/>
        </w:rPr>
        <w:t>освоению ряда универсальных учебных действий</w:t>
      </w:r>
      <w:r>
        <w:rPr>
          <w:rFonts w:ascii="Times New Roman" w:hAnsi="Times New Roman" w:eastAsia="SchoolBookSanPin"/>
        </w:rPr>
        <w:t xml:space="preserve">: </w:t>
      </w:r>
      <w:r>
        <w:rPr>
          <w:rFonts w:ascii="Times New Roman" w:hAnsi="Times New Roman" w:eastAsia="SchoolBookSanPin"/>
          <w:bCs/>
        </w:rPr>
        <w:t xml:space="preserve">познавательных универсальных учебных действий, коммуникативных универсальных учебных действий, регулятивных универсальных учебных действий, совместной деятельности. </w:t>
      </w:r>
    </w:p>
    <w:p w14:paraId="1D8EBB80">
      <w:pPr>
        <w:spacing w:after="0" w:line="355" w:lineRule="auto"/>
        <w:ind w:firstLine="709"/>
        <w:jc w:val="both"/>
        <w:rPr>
          <w:rFonts w:ascii="Times New Roman" w:hAnsi="Times New Roman" w:eastAsia="SchoolBookSanPin"/>
        </w:rPr>
      </w:pPr>
      <w:r>
        <w:rPr>
          <w:rFonts w:ascii="Times New Roman" w:hAnsi="Times New Roman" w:eastAsia="OfficinaSansBoldITC"/>
        </w:rPr>
        <w:t>3.8.15.1. </w:t>
      </w:r>
      <w:r>
        <w:rPr>
          <w:rFonts w:ascii="Times New Roman" w:hAnsi="Times New Roman" w:eastAsia="SchoolBookSanPin"/>
        </w:rPr>
        <w:t xml:space="preserve">Базовые логические и исследовательские действия как часть </w:t>
      </w:r>
      <w:r>
        <w:rPr>
          <w:rFonts w:ascii="Times New Roman" w:hAnsi="Times New Roman" w:eastAsia="SchoolBookSanPin"/>
          <w:bCs/>
        </w:rPr>
        <w:t>познавательных универсальных учебных действий</w:t>
      </w:r>
      <w:r>
        <w:rPr>
          <w:rFonts w:ascii="Times New Roman" w:hAnsi="Times New Roman" w:eastAsia="SchoolBookSanPin"/>
        </w:rPr>
        <w:t xml:space="preserve"> способствуют формированию умений:</w:t>
      </w:r>
    </w:p>
    <w:p w14:paraId="53B2B64B">
      <w:pPr>
        <w:spacing w:after="0" w:line="355" w:lineRule="auto"/>
        <w:ind w:firstLine="709"/>
        <w:jc w:val="both"/>
        <w:rPr>
          <w:rFonts w:ascii="Times New Roman" w:hAnsi="Times New Roman" w:eastAsia="Times New Roman"/>
        </w:rPr>
      </w:pPr>
      <w:r>
        <w:rPr>
          <w:rFonts w:ascii="Times New Roman" w:hAnsi="Times New Roman" w:eastAsia="Times New Roman"/>
        </w:rPr>
        <w:t>читать доступные по восприятию и небольшие по объёму прозаические и стихотворные произведения;</w:t>
      </w:r>
    </w:p>
    <w:p w14:paraId="2822BE68">
      <w:pPr>
        <w:spacing w:after="0" w:line="355" w:lineRule="auto"/>
        <w:ind w:firstLine="709"/>
        <w:jc w:val="both"/>
        <w:rPr>
          <w:rFonts w:ascii="Times New Roman" w:hAnsi="Times New Roman" w:eastAsia="Times New Roman"/>
        </w:rPr>
      </w:pPr>
      <w:r>
        <w:rPr>
          <w:rFonts w:ascii="Times New Roman" w:hAnsi="Times New Roman" w:eastAsia="Times New Roman"/>
        </w:rPr>
        <w:t>различать сказочные и реалистические, лирические и эпические, народные и авторские произведения;</w:t>
      </w:r>
    </w:p>
    <w:p w14:paraId="1E37817B">
      <w:pPr>
        <w:spacing w:after="0" w:line="355" w:lineRule="auto"/>
        <w:ind w:firstLine="709"/>
        <w:jc w:val="both"/>
        <w:rPr>
          <w:rFonts w:ascii="Times New Roman" w:hAnsi="Times New Roman" w:eastAsia="Times New Roman"/>
        </w:rPr>
      </w:pPr>
      <w:r>
        <w:rPr>
          <w:rFonts w:ascii="Times New Roman" w:hAnsi="Times New Roman" w:eastAsia="Times New Roman"/>
        </w:rPr>
        <w:t>анализировать текст: обосновывать принадлежность к жанру, определять тему и главную мысль, делить текст на части, озаглавливать их, находить в тексте заданный эпизод, определять композицию произведения, характеризовать героя;</w:t>
      </w:r>
    </w:p>
    <w:p w14:paraId="48ABE63F">
      <w:pPr>
        <w:spacing w:after="0" w:line="355" w:lineRule="auto"/>
        <w:ind w:firstLine="709"/>
        <w:jc w:val="both"/>
        <w:rPr>
          <w:rFonts w:ascii="Times New Roman" w:hAnsi="Times New Roman" w:eastAsia="Times New Roman"/>
        </w:rPr>
      </w:pPr>
      <w:r>
        <w:rPr>
          <w:rFonts w:ascii="Times New Roman" w:hAnsi="Times New Roman" w:eastAsia="Times New Roman"/>
        </w:rPr>
        <w:t>конструировать план текста, дополнять и восстанавливать нарушенную последовательность;</w:t>
      </w:r>
    </w:p>
    <w:p w14:paraId="4B6EB56F">
      <w:pPr>
        <w:spacing w:after="0" w:line="355" w:lineRule="auto"/>
        <w:ind w:firstLine="709"/>
        <w:jc w:val="both"/>
        <w:rPr>
          <w:rFonts w:ascii="Times New Roman" w:hAnsi="Times New Roman" w:eastAsia="Times New Roman"/>
        </w:rPr>
      </w:pPr>
      <w:r>
        <w:rPr>
          <w:rFonts w:ascii="Times New Roman" w:hAnsi="Times New Roman" w:eastAsia="Times New Roman"/>
        </w:rPr>
        <w:t>сравнивать произведения, относящиеся к одной теме, но разным жанрам; произведения одного жанра, но разной тематики;</w:t>
      </w:r>
    </w:p>
    <w:p w14:paraId="33724932">
      <w:pPr>
        <w:spacing w:after="0" w:line="355" w:lineRule="auto"/>
        <w:ind w:firstLine="709"/>
        <w:jc w:val="both"/>
        <w:rPr>
          <w:rFonts w:ascii="Times New Roman" w:hAnsi="Times New Roman" w:eastAsia="Times New Roman"/>
        </w:rPr>
      </w:pPr>
      <w:r>
        <w:rPr>
          <w:rFonts w:ascii="Times New Roman" w:hAnsi="Times New Roman" w:eastAsia="Times New Roman"/>
        </w:rPr>
        <w:t>исследовать текст: находить описания в произведениях разных жанров (портрет, пейзаж, интерьер).</w:t>
      </w:r>
    </w:p>
    <w:p w14:paraId="4489DDCF">
      <w:pPr>
        <w:spacing w:after="0" w:line="355" w:lineRule="auto"/>
        <w:ind w:firstLine="709"/>
        <w:jc w:val="both"/>
        <w:rPr>
          <w:rFonts w:ascii="Times New Roman" w:hAnsi="Times New Roman" w:eastAsia="SchoolBookSanPin"/>
        </w:rPr>
      </w:pPr>
      <w:r>
        <w:rPr>
          <w:rFonts w:ascii="Times New Roman" w:hAnsi="Times New Roman" w:eastAsia="OfficinaSansBoldITC"/>
        </w:rPr>
        <w:t>3.8.15.2. </w:t>
      </w:r>
      <w:r>
        <w:rPr>
          <w:rFonts w:ascii="Times New Roman" w:hAnsi="Times New Roman" w:eastAsia="Times New Roman"/>
        </w:rPr>
        <w:t xml:space="preserve">Работа с информацией </w:t>
      </w:r>
      <w:r>
        <w:rPr>
          <w:rFonts w:ascii="Times New Roman" w:hAnsi="Times New Roman" w:eastAsia="SchoolBookSanPin"/>
        </w:rPr>
        <w:t xml:space="preserve">как часть </w:t>
      </w:r>
      <w:r>
        <w:rPr>
          <w:rFonts w:ascii="Times New Roman" w:hAnsi="Times New Roman" w:eastAsia="SchoolBookSanPin"/>
          <w:bCs/>
        </w:rPr>
        <w:t>познавательных универсальных учебных действий</w:t>
      </w:r>
      <w:r>
        <w:rPr>
          <w:rFonts w:ascii="Times New Roman" w:hAnsi="Times New Roman" w:eastAsia="SchoolBookSanPin"/>
        </w:rPr>
        <w:t xml:space="preserve"> способствуют формированию умений:</w:t>
      </w:r>
    </w:p>
    <w:p w14:paraId="0D3631E8">
      <w:pPr>
        <w:spacing w:after="0" w:line="355" w:lineRule="auto"/>
        <w:ind w:firstLine="709"/>
        <w:jc w:val="both"/>
        <w:rPr>
          <w:rFonts w:ascii="Times New Roman" w:hAnsi="Times New Roman" w:eastAsia="Times New Roman"/>
        </w:rPr>
      </w:pPr>
      <w:r>
        <w:rPr>
          <w:rFonts w:ascii="Times New Roman" w:hAnsi="Times New Roman" w:eastAsia="Times New Roman"/>
        </w:rPr>
        <w:t>сравнивать информацию словесную (текст), графическую или изобразительную (иллюстрация), звуковую (музыкальное произведение);</w:t>
      </w:r>
    </w:p>
    <w:p w14:paraId="320860B0">
      <w:pPr>
        <w:spacing w:after="0" w:line="355" w:lineRule="auto"/>
        <w:ind w:firstLine="709"/>
        <w:jc w:val="both"/>
        <w:rPr>
          <w:rFonts w:ascii="Times New Roman" w:hAnsi="Times New Roman" w:eastAsia="Times New Roman"/>
        </w:rPr>
      </w:pPr>
      <w:r>
        <w:rPr>
          <w:rFonts w:ascii="Times New Roman" w:hAnsi="Times New Roman" w:eastAsia="Times New Roman"/>
        </w:rPr>
        <w:t>подбирать иллюстрации к тексту, соотносить произведения литературы и изобразительного искусства по тематике, настроению, средствам выразительности;</w:t>
      </w:r>
    </w:p>
    <w:p w14:paraId="02578656">
      <w:pPr>
        <w:spacing w:after="0" w:line="355" w:lineRule="auto"/>
        <w:ind w:firstLine="709"/>
        <w:jc w:val="both"/>
        <w:rPr>
          <w:rFonts w:ascii="Times New Roman" w:hAnsi="Times New Roman" w:eastAsia="Times New Roman"/>
        </w:rPr>
      </w:pPr>
      <w:r>
        <w:rPr>
          <w:rFonts w:ascii="Times New Roman" w:hAnsi="Times New Roman" w:eastAsia="Times New Roman"/>
        </w:rPr>
        <w:t>выбирать книгу в библиотеке в соответствии с учебной задачей; составлять аннотацию.</w:t>
      </w:r>
    </w:p>
    <w:p w14:paraId="41D51E3F">
      <w:pPr>
        <w:spacing w:after="0" w:line="355" w:lineRule="auto"/>
        <w:ind w:firstLine="709"/>
        <w:jc w:val="both"/>
        <w:rPr>
          <w:rFonts w:ascii="Times New Roman" w:hAnsi="Times New Roman" w:eastAsia="SchoolBookSanPin"/>
        </w:rPr>
      </w:pPr>
      <w:r>
        <w:rPr>
          <w:rFonts w:ascii="Times New Roman" w:hAnsi="Times New Roman" w:eastAsia="OfficinaSansBoldITC"/>
        </w:rPr>
        <w:t>3.8.15.3. </w:t>
      </w:r>
      <w:r>
        <w:rPr>
          <w:rFonts w:ascii="Times New Roman" w:hAnsi="Times New Roman" w:eastAsia="Times New Roman"/>
        </w:rPr>
        <w:t>Коммуникативные универсальные учебные действия</w:t>
      </w:r>
      <w:r>
        <w:rPr>
          <w:rFonts w:ascii="Times New Roman" w:hAnsi="Times New Roman" w:eastAsia="SchoolBookSanPin"/>
        </w:rPr>
        <w:t xml:space="preserve"> способствуют формированию умений:</w:t>
      </w:r>
    </w:p>
    <w:p w14:paraId="040F9738">
      <w:pPr>
        <w:spacing w:after="0" w:line="355" w:lineRule="auto"/>
        <w:ind w:firstLine="709"/>
        <w:jc w:val="both"/>
        <w:rPr>
          <w:rFonts w:ascii="Times New Roman" w:hAnsi="Times New Roman" w:eastAsia="Times New Roman"/>
        </w:rPr>
      </w:pPr>
      <w:r>
        <w:rPr>
          <w:rFonts w:ascii="Times New Roman" w:hAnsi="Times New Roman" w:eastAsia="Times New Roman"/>
        </w:rPr>
        <w:t>читать текст с разными интонациями, передавая своё отношение к событиям, героям произведения;</w:t>
      </w:r>
    </w:p>
    <w:p w14:paraId="1E31E2D3">
      <w:pPr>
        <w:spacing w:after="0" w:line="355" w:lineRule="auto"/>
        <w:ind w:firstLine="709"/>
        <w:jc w:val="both"/>
        <w:rPr>
          <w:rFonts w:ascii="Times New Roman" w:hAnsi="Times New Roman" w:eastAsia="Times New Roman"/>
        </w:rPr>
      </w:pPr>
      <w:r>
        <w:rPr>
          <w:rFonts w:ascii="Times New Roman" w:hAnsi="Times New Roman" w:eastAsia="Times New Roman"/>
        </w:rPr>
        <w:t>формулировать вопросы по основным событиям текста;</w:t>
      </w:r>
    </w:p>
    <w:p w14:paraId="29C627A2">
      <w:pPr>
        <w:spacing w:after="0" w:line="355" w:lineRule="auto"/>
        <w:ind w:firstLine="709"/>
        <w:jc w:val="both"/>
        <w:rPr>
          <w:rFonts w:ascii="Times New Roman" w:hAnsi="Times New Roman" w:eastAsia="Times New Roman"/>
        </w:rPr>
      </w:pPr>
      <w:r>
        <w:rPr>
          <w:rFonts w:ascii="Times New Roman" w:hAnsi="Times New Roman" w:eastAsia="Times New Roman"/>
        </w:rPr>
        <w:t>пересказывать текст (подробно, выборочно, с изменением лица);</w:t>
      </w:r>
    </w:p>
    <w:p w14:paraId="02F67B45">
      <w:pPr>
        <w:spacing w:after="0" w:line="355" w:lineRule="auto"/>
        <w:ind w:firstLine="709"/>
        <w:jc w:val="both"/>
        <w:rPr>
          <w:rFonts w:ascii="Times New Roman" w:hAnsi="Times New Roman" w:eastAsia="Times New Roman"/>
        </w:rPr>
      </w:pPr>
      <w:r>
        <w:rPr>
          <w:rFonts w:ascii="Times New Roman" w:hAnsi="Times New Roman" w:eastAsia="Times New Roman"/>
        </w:rPr>
        <w:t>выразительно исполнять стихотворное произведение, создавая соответствующее настроение;</w:t>
      </w:r>
    </w:p>
    <w:p w14:paraId="44261833">
      <w:pPr>
        <w:spacing w:after="0" w:line="355" w:lineRule="auto"/>
        <w:ind w:firstLine="709"/>
        <w:jc w:val="both"/>
        <w:rPr>
          <w:rFonts w:ascii="Times New Roman" w:hAnsi="Times New Roman" w:eastAsia="Times New Roman"/>
        </w:rPr>
      </w:pPr>
      <w:r>
        <w:rPr>
          <w:rFonts w:ascii="Times New Roman" w:hAnsi="Times New Roman" w:eastAsia="Times New Roman"/>
        </w:rPr>
        <w:t>сочинять простые истории (сказки, рассказы) по аналогии.</w:t>
      </w:r>
    </w:p>
    <w:p w14:paraId="09576F99">
      <w:pPr>
        <w:spacing w:after="0" w:line="355" w:lineRule="auto"/>
        <w:ind w:firstLine="709"/>
        <w:jc w:val="both"/>
        <w:rPr>
          <w:rFonts w:ascii="Times New Roman" w:hAnsi="Times New Roman" w:eastAsia="SchoolBookSanPin"/>
        </w:rPr>
      </w:pPr>
      <w:r>
        <w:rPr>
          <w:rFonts w:ascii="Times New Roman" w:hAnsi="Times New Roman" w:eastAsia="OfficinaSansBoldITC"/>
        </w:rPr>
        <w:t>3.8.15.4. </w:t>
      </w:r>
      <w:r>
        <w:rPr>
          <w:rFonts w:ascii="Times New Roman" w:hAnsi="Times New Roman" w:eastAsia="Times New Roman"/>
        </w:rPr>
        <w:t xml:space="preserve">Регулятивные универсальные учебные </w:t>
      </w:r>
      <w:r>
        <w:rPr>
          <w:rFonts w:ascii="Times New Roman" w:hAnsi="Times New Roman" w:eastAsia="SchoolBookSanPin"/>
        </w:rPr>
        <w:t>способствуют формированию умений:</w:t>
      </w:r>
    </w:p>
    <w:p w14:paraId="1B0C8DE1">
      <w:pPr>
        <w:spacing w:after="0" w:line="355" w:lineRule="auto"/>
        <w:ind w:firstLine="709"/>
        <w:jc w:val="both"/>
        <w:rPr>
          <w:rFonts w:ascii="Times New Roman" w:hAnsi="Times New Roman" w:eastAsia="Times New Roman"/>
        </w:rPr>
      </w:pPr>
      <w:r>
        <w:rPr>
          <w:rFonts w:ascii="Times New Roman" w:hAnsi="Times New Roman" w:eastAsia="Times New Roman"/>
        </w:rPr>
        <w:t>понимать цель чтения, удерживать её в памяти, использовать в зависимости от учебной задачи вид чтения, контролировать реализацию поставленной задачи чтения;</w:t>
      </w:r>
    </w:p>
    <w:p w14:paraId="26B5A025">
      <w:pPr>
        <w:spacing w:after="0" w:line="355" w:lineRule="auto"/>
        <w:ind w:firstLine="709"/>
        <w:jc w:val="both"/>
        <w:rPr>
          <w:rFonts w:ascii="Times New Roman" w:hAnsi="Times New Roman" w:eastAsia="Times New Roman"/>
        </w:rPr>
      </w:pPr>
      <w:r>
        <w:rPr>
          <w:rFonts w:ascii="Times New Roman" w:hAnsi="Times New Roman" w:eastAsia="Times New Roman"/>
        </w:rPr>
        <w:t>оценивать качество своего восприятия текста на слух;</w:t>
      </w:r>
    </w:p>
    <w:p w14:paraId="622B8B3D">
      <w:pPr>
        <w:spacing w:after="0" w:line="355" w:lineRule="auto"/>
        <w:ind w:firstLine="709"/>
        <w:jc w:val="both"/>
        <w:rPr>
          <w:rFonts w:ascii="Times New Roman" w:hAnsi="Times New Roman" w:eastAsia="Times New Roman"/>
        </w:rPr>
      </w:pPr>
      <w:r>
        <w:rPr>
          <w:rFonts w:ascii="Times New Roman" w:hAnsi="Times New Roman" w:eastAsia="Times New Roman"/>
        </w:rPr>
        <w:t>выполнять действия контроля (самоконтроля) и оценки процесса и результата деятельности, при необходимости вносить коррективы в выполняемые действия.</w:t>
      </w:r>
    </w:p>
    <w:p w14:paraId="3FB330BF">
      <w:pPr>
        <w:spacing w:after="0" w:line="355" w:lineRule="auto"/>
        <w:ind w:firstLine="709"/>
        <w:jc w:val="both"/>
        <w:rPr>
          <w:rFonts w:ascii="Times New Roman" w:hAnsi="Times New Roman" w:eastAsia="SchoolBookSanPin"/>
        </w:rPr>
      </w:pPr>
      <w:r>
        <w:rPr>
          <w:rFonts w:ascii="Times New Roman" w:hAnsi="Times New Roman" w:eastAsia="OfficinaSansBoldITC"/>
        </w:rPr>
        <w:t>3.8.15.5. </w:t>
      </w:r>
      <w:r>
        <w:rPr>
          <w:rFonts w:ascii="Times New Roman" w:hAnsi="Times New Roman" w:eastAsia="Times New Roman"/>
        </w:rPr>
        <w:t>Совместная деятельность</w:t>
      </w:r>
      <w:r>
        <w:rPr>
          <w:rFonts w:ascii="Times New Roman" w:hAnsi="Times New Roman" w:eastAsia="SchoolBookSanPin"/>
        </w:rPr>
        <w:t xml:space="preserve"> способствует формированию умений:</w:t>
      </w:r>
    </w:p>
    <w:p w14:paraId="79769789">
      <w:pPr>
        <w:spacing w:after="0" w:line="355" w:lineRule="auto"/>
        <w:ind w:firstLine="709"/>
        <w:jc w:val="both"/>
        <w:rPr>
          <w:rFonts w:ascii="Times New Roman" w:hAnsi="Times New Roman" w:eastAsia="Times New Roman"/>
        </w:rPr>
      </w:pPr>
      <w:r>
        <w:rPr>
          <w:rFonts w:ascii="Times New Roman" w:hAnsi="Times New Roman" w:eastAsia="Times New Roman"/>
        </w:rPr>
        <w:t>участвовать в совместной деятельности: выполнять роли лидера, подчинённого, соблюдать равноправие и дружелюбие;</w:t>
      </w:r>
    </w:p>
    <w:p w14:paraId="539D9384">
      <w:pPr>
        <w:spacing w:after="0" w:line="355" w:lineRule="auto"/>
        <w:ind w:firstLine="709"/>
        <w:jc w:val="both"/>
        <w:rPr>
          <w:rFonts w:ascii="Times New Roman" w:hAnsi="Times New Roman" w:eastAsia="Times New Roman"/>
        </w:rPr>
      </w:pPr>
      <w:r>
        <w:rPr>
          <w:rFonts w:ascii="Times New Roman" w:hAnsi="Times New Roman" w:eastAsia="Times New Roman"/>
        </w:rPr>
        <w:t>в коллективной театрализованной деятельности читать по ролям, инсценировать несложные произведения фольклора и художественной литературы; выбирать роль, договариваться о манере её исполнения в соответствии с общим замыслом;</w:t>
      </w:r>
    </w:p>
    <w:p w14:paraId="12506916">
      <w:pPr>
        <w:spacing w:after="0" w:line="355" w:lineRule="auto"/>
        <w:ind w:firstLine="709"/>
        <w:jc w:val="both"/>
        <w:rPr>
          <w:rFonts w:ascii="Times New Roman" w:hAnsi="Times New Roman" w:eastAsia="Times New Roman"/>
        </w:rPr>
      </w:pPr>
      <w:r>
        <w:rPr>
          <w:rFonts w:ascii="Times New Roman" w:hAnsi="Times New Roman" w:eastAsia="Times New Roman"/>
        </w:rPr>
        <w:t>осуществлять взаимопомощь, проявлять ответственность при выполнении своей части работы, оценивать свой вклад в общее дело.</w:t>
      </w:r>
    </w:p>
    <w:p w14:paraId="6FE9AFAC">
      <w:pPr>
        <w:spacing w:after="0" w:line="355" w:lineRule="auto"/>
        <w:ind w:firstLine="709"/>
        <w:rPr>
          <w:rFonts w:ascii="Times New Roman" w:hAnsi="Times New Roman" w:eastAsia="OfficinaSansBoldITC"/>
        </w:rPr>
      </w:pPr>
      <w:r>
        <w:rPr>
          <w:rFonts w:ascii="Times New Roman" w:hAnsi="Times New Roman" w:eastAsia="OfficinaSansBoldITC"/>
        </w:rPr>
        <w:t>3.9. Содержание обучения в 4 классе.</w:t>
      </w:r>
    </w:p>
    <w:p w14:paraId="012F0F15">
      <w:pPr>
        <w:spacing w:after="0" w:line="355" w:lineRule="auto"/>
        <w:ind w:firstLine="709"/>
        <w:jc w:val="both"/>
        <w:rPr>
          <w:rFonts w:ascii="Times New Roman" w:hAnsi="Times New Roman" w:eastAsia="Times New Roman"/>
        </w:rPr>
      </w:pPr>
      <w:r>
        <w:rPr>
          <w:rFonts w:ascii="Times New Roman" w:hAnsi="Times New Roman" w:eastAsia="Times New Roman"/>
        </w:rPr>
        <w:t>3.9.1. О Родине, героические страницы истории. Наше Отечество, образ родной земли в стихотворных и прозаических произведениях писателей и поэтов ХIХ и ХХ веков (по выбору, не менее четырёх, например, произведения С.Т. Романовского, А.Т. Твардовского, С.Д. Дрожжина, В.М. Пескова и другие). Представление о проявлении любви к родной земле в литературе разных народов (на примере писателей родного края, представителей разных народов России). Страницы истории России, великие люди и события: образы Александра Невского, Михаила Кутузова и других выдающихся защитников Отечества в литературе для детей. Отражение нравственной идеи: любовь к Родине. Героическое прошлое России, тема Великой Отечественной войны в произведениях литературы (на примере рассказов Л.А. Кассиля, С.П. Алексеева). Осознание понятия: поступок, подвиг.</w:t>
      </w:r>
    </w:p>
    <w:p w14:paraId="3292A073">
      <w:pPr>
        <w:spacing w:after="0" w:line="355" w:lineRule="auto"/>
        <w:ind w:firstLine="709"/>
        <w:jc w:val="both"/>
        <w:rPr>
          <w:rFonts w:ascii="Times New Roman" w:hAnsi="Times New Roman" w:eastAsia="Times New Roman"/>
        </w:rPr>
      </w:pPr>
      <w:r>
        <w:rPr>
          <w:rFonts w:ascii="Times New Roman" w:hAnsi="Times New Roman" w:eastAsia="Times New Roman"/>
        </w:rPr>
        <w:t>3.9.1.1. Круг чтения: народная и авторская песня: понятие исторической песни, знакомство с песнями на тему Великой Отечественной войны (2–3 произведения по выбору).</w:t>
      </w:r>
    </w:p>
    <w:p w14:paraId="61C975B1">
      <w:pPr>
        <w:spacing w:after="0" w:line="355" w:lineRule="auto"/>
        <w:ind w:firstLine="709"/>
        <w:jc w:val="both"/>
        <w:rPr>
          <w:rFonts w:ascii="Times New Roman" w:hAnsi="Times New Roman" w:eastAsia="Times New Roman"/>
        </w:rPr>
      </w:pPr>
      <w:r>
        <w:rPr>
          <w:rFonts w:ascii="Times New Roman" w:hAnsi="Times New Roman" w:eastAsia="Times New Roman"/>
        </w:rPr>
        <w:t>3.9.1.2. Произведения для чтения: С.Д. Дрожжин «Родине», В.М. Песков «Родине», А.Т. Твардовский «О Родине большой и малой» (отрывок), С.Т. Романовский «Ледовое побоище», С.П. Алексеев (1</w:t>
      </w:r>
      <w:r>
        <w:rPr>
          <w:rFonts w:ascii="Times New Roman" w:hAnsi="Times New Roman" w:eastAsia="Times New Roman"/>
          <w:lang w:eastAsia="ru-RU"/>
        </w:rPr>
        <w:t>–</w:t>
      </w:r>
      <w:r>
        <w:rPr>
          <w:rFonts w:ascii="Times New Roman" w:hAnsi="Times New Roman" w:eastAsia="Times New Roman"/>
        </w:rPr>
        <w:t>2 рассказа военно-исторической тематики) и другие (по выбору).</w:t>
      </w:r>
    </w:p>
    <w:p w14:paraId="7DB2665C">
      <w:pPr>
        <w:spacing w:after="0" w:line="355" w:lineRule="auto"/>
        <w:ind w:firstLine="709"/>
        <w:jc w:val="both"/>
        <w:rPr>
          <w:rFonts w:ascii="Times New Roman" w:hAnsi="Times New Roman" w:eastAsia="Times New Roman"/>
        </w:rPr>
      </w:pPr>
      <w:r>
        <w:rPr>
          <w:rFonts w:ascii="Times New Roman" w:hAnsi="Times New Roman" w:eastAsia="Times New Roman"/>
        </w:rPr>
        <w:t>3.9.2. Фольклор (устное народное творчество). Фольклор как народная духовная культура (произведения по выбору). Многообразие видов фольклора: словесный, музыкальный, обрядовый (календарный). Культурное значение фольклора для появления художественной литературы. Малые жанры фольклора (назначение, сравнение, классификация). Собиратели фольклора (А.Н. Афанасьев, В.И. Даль). Виды сказок: о животных, бытовые, волшебные. Отражение в произведениях фольклора нравственных ценностей, быта и культуры народов мира. Сходство фольклорных произведений разных народов по тематике, художественным образам и форме («бродячие» сюжеты).</w:t>
      </w:r>
    </w:p>
    <w:p w14:paraId="602623B7">
      <w:pPr>
        <w:spacing w:after="0" w:line="355" w:lineRule="auto"/>
        <w:ind w:firstLine="709"/>
        <w:jc w:val="both"/>
        <w:rPr>
          <w:rFonts w:ascii="Times New Roman" w:hAnsi="Times New Roman" w:eastAsia="Times New Roman"/>
        </w:rPr>
      </w:pPr>
      <w:r>
        <w:rPr>
          <w:rFonts w:ascii="Times New Roman" w:hAnsi="Times New Roman" w:eastAsia="Times New Roman"/>
        </w:rPr>
        <w:t>3.9.2.1. Круг чтения: былина как эпическая песня о героическом событии. Герой былины – защитник страны. Образы русских богатырей: Ильи Муромца, Алёши Поповича, Добрыни Никитича, Никиты Кожемяки (где жил, чем занимался, какими качествами обладал). Средства художественной выразительности в былине: устойчивые выражения, повторы, гипербола. Устаревшие слова, их место в былине и представление в современной лексике. Народные былинно-сказочные темы в творчестве художника В.М. Васнецова.</w:t>
      </w:r>
    </w:p>
    <w:p w14:paraId="73E1E4C3">
      <w:pPr>
        <w:spacing w:after="0" w:line="355" w:lineRule="auto"/>
        <w:ind w:firstLine="709"/>
        <w:jc w:val="both"/>
        <w:rPr>
          <w:rFonts w:ascii="Times New Roman" w:hAnsi="Times New Roman" w:eastAsia="Times New Roman"/>
        </w:rPr>
      </w:pPr>
      <w:r>
        <w:rPr>
          <w:rFonts w:ascii="Times New Roman" w:hAnsi="Times New Roman" w:eastAsia="Times New Roman"/>
        </w:rPr>
        <w:t>3.9.2.2. Произведения для чтения: произведения малых жанров фольклора, народные сказки (2</w:t>
      </w:r>
      <w:r>
        <w:rPr>
          <w:rFonts w:ascii="Times New Roman" w:hAnsi="Times New Roman" w:eastAsia="Times New Roman"/>
          <w:lang w:eastAsia="ru-RU"/>
        </w:rPr>
        <w:t>–</w:t>
      </w:r>
      <w:r>
        <w:rPr>
          <w:rFonts w:ascii="Times New Roman" w:hAnsi="Times New Roman" w:eastAsia="Times New Roman"/>
        </w:rPr>
        <w:t>3 сказки по выбору), сказки народов России (2</w:t>
      </w:r>
      <w:r>
        <w:rPr>
          <w:rFonts w:ascii="Times New Roman" w:hAnsi="Times New Roman" w:eastAsia="Times New Roman"/>
          <w:lang w:eastAsia="ru-RU"/>
        </w:rPr>
        <w:t>–</w:t>
      </w:r>
      <w:r>
        <w:rPr>
          <w:rFonts w:ascii="Times New Roman" w:hAnsi="Times New Roman" w:eastAsia="Times New Roman"/>
        </w:rPr>
        <w:t>3 сказки по выбору), былины из цикла об Илье Муромце, Алёше Поповиче, Добрыне Никитиче (1</w:t>
      </w:r>
      <w:r>
        <w:rPr>
          <w:rFonts w:ascii="Times New Roman" w:hAnsi="Times New Roman" w:eastAsia="Times New Roman"/>
          <w:lang w:eastAsia="ru-RU"/>
        </w:rPr>
        <w:t>–</w:t>
      </w:r>
      <w:r>
        <w:rPr>
          <w:rFonts w:ascii="Times New Roman" w:hAnsi="Times New Roman" w:eastAsia="Times New Roman"/>
        </w:rPr>
        <w:t xml:space="preserve">2 по выбору). </w:t>
      </w:r>
    </w:p>
    <w:p w14:paraId="2945BA23">
      <w:pPr>
        <w:spacing w:after="0" w:line="355" w:lineRule="auto"/>
        <w:ind w:firstLine="709"/>
        <w:jc w:val="both"/>
        <w:rPr>
          <w:rFonts w:ascii="Times New Roman" w:hAnsi="Times New Roman" w:eastAsia="Times New Roman"/>
        </w:rPr>
      </w:pPr>
      <w:r>
        <w:rPr>
          <w:rFonts w:ascii="Times New Roman" w:hAnsi="Times New Roman" w:eastAsia="Times New Roman"/>
        </w:rPr>
        <w:t>3.9.3. Творчество А.С. Пушкина. Картины природы в лирических произведениях А.С. Пушкина. Средства художественной выразительности в стихотворном произведении (сравнение, эпитет, олицетворение) на примере 2-3 произведений. Литературные сказки А.С. Пушкина в стихах: «Сказка о мёртвой царевне и о семи богатырях». Фольклорная основа авторской сказки. Положительные и отрицательные герои, волшебные помощники, язык авторской сказки.</w:t>
      </w:r>
    </w:p>
    <w:p w14:paraId="55069380">
      <w:pPr>
        <w:spacing w:after="0" w:line="355" w:lineRule="auto"/>
        <w:ind w:firstLine="709"/>
        <w:jc w:val="both"/>
        <w:rPr>
          <w:rFonts w:ascii="Times New Roman" w:hAnsi="Times New Roman" w:eastAsia="Times New Roman"/>
        </w:rPr>
      </w:pPr>
      <w:r>
        <w:rPr>
          <w:rFonts w:ascii="Times New Roman" w:hAnsi="Times New Roman" w:eastAsia="Times New Roman"/>
        </w:rPr>
        <w:t xml:space="preserve">3.9.3.1. Произведения для чтения: А.С. Пушкин «Сказка о мёртвой царевне и о семи богатырях», «Няне», «Осень» (отрывки), «Зимняя дорога» и другие. </w:t>
      </w:r>
    </w:p>
    <w:p w14:paraId="6FEEF3E5">
      <w:pPr>
        <w:spacing w:after="0" w:line="355" w:lineRule="auto"/>
        <w:ind w:firstLine="709"/>
        <w:jc w:val="both"/>
        <w:rPr>
          <w:rFonts w:ascii="Times New Roman" w:hAnsi="Times New Roman" w:eastAsia="Times New Roman"/>
        </w:rPr>
      </w:pPr>
      <w:r>
        <w:rPr>
          <w:rFonts w:ascii="Times New Roman" w:hAnsi="Times New Roman" w:eastAsia="Times New Roman"/>
        </w:rPr>
        <w:t xml:space="preserve">3.9.4. Творчество И.А. Крылова. Представление о басне как лиро-эпическом жанре. Круг чтения: басни на примере произведений И.А. Крылова, И.И. Хемницера, Л.Н. Толстого, С.В. Михалкова. Басни стихотворные и прозаические (не менее трёх). Развитие событий в басне, её герои (положительные, отрицательные). Аллегория в баснях. Сравнение басен: назначение, темы и герои, особенности языка. </w:t>
      </w:r>
    </w:p>
    <w:p w14:paraId="457F2BFC">
      <w:pPr>
        <w:spacing w:after="0" w:line="355" w:lineRule="auto"/>
        <w:ind w:firstLine="709"/>
        <w:jc w:val="both"/>
        <w:rPr>
          <w:rFonts w:ascii="Times New Roman" w:hAnsi="Times New Roman" w:eastAsia="Times New Roman"/>
        </w:rPr>
      </w:pPr>
      <w:r>
        <w:rPr>
          <w:rFonts w:ascii="Times New Roman" w:hAnsi="Times New Roman" w:eastAsia="Times New Roman"/>
        </w:rPr>
        <w:t xml:space="preserve">3.9.4.1. Произведения для чтения: Крылов И.А. «Стрекоза и муравей», «Квартет», И.И. Хемницер «Стрекоза», Л.Н. Толстой «Стрекоза и муравьи» и другие. </w:t>
      </w:r>
    </w:p>
    <w:p w14:paraId="1473F13D">
      <w:pPr>
        <w:spacing w:after="0" w:line="355" w:lineRule="auto"/>
        <w:ind w:firstLine="709"/>
        <w:jc w:val="both"/>
        <w:rPr>
          <w:rFonts w:ascii="Times New Roman" w:hAnsi="Times New Roman" w:eastAsia="Times New Roman"/>
        </w:rPr>
      </w:pPr>
      <w:r>
        <w:rPr>
          <w:rFonts w:ascii="Times New Roman" w:hAnsi="Times New Roman" w:eastAsia="Times New Roman"/>
        </w:rPr>
        <w:t>3.9.5. Творчество М.Ю. Лермонтова. Круг чтения: лирические произведения М.Ю. Лермонтова (не менее трёх). Средства художественной выразительности (сравнение, эпитет, олицетворение); рифма, ритм. Метафора как «свёрнутое» сравнение. Строфа как элемент композиции стихотворения. Переносное значение слов в метафоре. Метафора в стихотворениях М.Ю. Лермонтова.</w:t>
      </w:r>
    </w:p>
    <w:p w14:paraId="55E72927">
      <w:pPr>
        <w:spacing w:after="0" w:line="355" w:lineRule="auto"/>
        <w:ind w:firstLine="709"/>
        <w:jc w:val="both"/>
        <w:rPr>
          <w:rFonts w:ascii="Times New Roman" w:hAnsi="Times New Roman" w:eastAsia="Times New Roman"/>
        </w:rPr>
      </w:pPr>
      <w:r>
        <w:rPr>
          <w:rFonts w:ascii="Times New Roman" w:hAnsi="Times New Roman" w:eastAsia="Times New Roman"/>
        </w:rPr>
        <w:t>3.9.5.1. Произведения для чтения: М.Ю. Лермонтов «Утёс», «Парус», «Москва, Москва! …Люблю тебя как сын…» и другие.</w:t>
      </w:r>
    </w:p>
    <w:p w14:paraId="456EA0A6">
      <w:pPr>
        <w:spacing w:after="0" w:line="355" w:lineRule="auto"/>
        <w:ind w:firstLine="709"/>
        <w:jc w:val="both"/>
        <w:rPr>
          <w:rFonts w:ascii="Times New Roman" w:hAnsi="Times New Roman" w:eastAsia="Times New Roman"/>
        </w:rPr>
      </w:pPr>
      <w:r>
        <w:rPr>
          <w:rFonts w:ascii="Times New Roman" w:hAnsi="Times New Roman" w:eastAsia="Times New Roman"/>
        </w:rPr>
        <w:t>3.9.6. Литературная сказка. Тематика авторских стихотворных сказок (две-три по выбору). Герои литературных сказок (произведения П.П. Ершова, П.П. Бажова, С.Т. Аксакова, С.Я. Маршака и другие). Связь литературной сказки с фольклорной: народная речь как особенность авторской сказки. Иллюстрации в сказке: назначение, особенности.</w:t>
      </w:r>
    </w:p>
    <w:p w14:paraId="2C07253D">
      <w:pPr>
        <w:spacing w:after="0" w:line="355" w:lineRule="auto"/>
        <w:ind w:firstLine="709"/>
        <w:jc w:val="both"/>
        <w:rPr>
          <w:rFonts w:ascii="Times New Roman" w:hAnsi="Times New Roman" w:eastAsia="Times New Roman"/>
        </w:rPr>
      </w:pPr>
      <w:r>
        <w:rPr>
          <w:rFonts w:ascii="Times New Roman" w:hAnsi="Times New Roman" w:eastAsia="Times New Roman"/>
        </w:rPr>
        <w:t xml:space="preserve">3.9.6.1. Произведения для чтения: П.П. Бажов «Серебряное копытце», П.П. Ершов «Конёк-Горбунок», С.Т. Аксаков «Аленький цветочек» и другие. </w:t>
      </w:r>
    </w:p>
    <w:p w14:paraId="3CBF785D">
      <w:pPr>
        <w:spacing w:after="0" w:line="355" w:lineRule="auto"/>
        <w:ind w:firstLine="709"/>
        <w:jc w:val="both"/>
        <w:rPr>
          <w:rFonts w:ascii="Times New Roman" w:hAnsi="Times New Roman" w:eastAsia="Times New Roman"/>
        </w:rPr>
      </w:pPr>
      <w:r>
        <w:rPr>
          <w:rFonts w:ascii="Times New Roman" w:hAnsi="Times New Roman" w:eastAsia="Times New Roman"/>
        </w:rPr>
        <w:t>3.9.7. Картины природы в творчестве поэтов и писателей ХIХ‒ХХ веков. Лирика, лирические произведения как описание в стихотворной форме чувств поэта, связанных с наблюдениями, описаниями природы. Круг чтения: лирические произведения поэтов и писателей (не менее пяти авторов по выбору): В.А. Жуковский, И.С. Никитин, Е.А. Баратынский, Ф.И. Тютчев, А.А. Фет, Н.А. Некрасов, И.А. Бунин, А.А. Блок, К.Д. Бальмонт и другие. Темы стихотворных произведений, герой лирического произведения. Авторские приёмы создания художественного образа в лирике. Средства выразительности в произведениях лирики: эпитеты, синонимы, антонимы, сравнения, олицетворения, метафоры. Репродукция картины как иллюстрация к лирическому произведению.</w:t>
      </w:r>
    </w:p>
    <w:p w14:paraId="3BDEC707">
      <w:pPr>
        <w:spacing w:after="0" w:line="355" w:lineRule="auto"/>
        <w:ind w:firstLine="709"/>
        <w:jc w:val="both"/>
        <w:rPr>
          <w:rFonts w:ascii="Times New Roman" w:hAnsi="Times New Roman" w:eastAsia="Times New Roman"/>
        </w:rPr>
      </w:pPr>
      <w:r>
        <w:rPr>
          <w:rFonts w:ascii="Times New Roman" w:hAnsi="Times New Roman" w:eastAsia="Times New Roman"/>
        </w:rPr>
        <w:t>3.9.7.1. Произведения для чтения: В.А. Жуковский «Загадка», И.С. Никитин «В синем небе плывут над полями…», Ф.И. Тютчев «Как неожиданно и ярко», А.А. Фет «Весенний дождь», Е.А. Баратынский «Весна, весна! Как воздух чист…», И.А. Бунин «Листопад» (отрывки) и другие (по выбору).</w:t>
      </w:r>
    </w:p>
    <w:p w14:paraId="46202F13">
      <w:pPr>
        <w:spacing w:after="0" w:line="355" w:lineRule="auto"/>
        <w:ind w:firstLine="709"/>
        <w:jc w:val="both"/>
        <w:rPr>
          <w:rFonts w:ascii="Times New Roman" w:hAnsi="Times New Roman" w:eastAsia="Times New Roman"/>
        </w:rPr>
      </w:pPr>
      <w:r>
        <w:rPr>
          <w:rFonts w:ascii="Times New Roman" w:hAnsi="Times New Roman" w:eastAsia="Times New Roman"/>
        </w:rPr>
        <w:t>3.9.8. Творчество Л.Н. Толстого. Круг чтения (не менее трёх произведений): рассказ (художественный и научно-познавательный), сказки, басни, быль. Повесть как эпический жанр (общее представление). Значение реальных жизненных ситуаций в создании рассказа, повести. Отрывки из автобиографической повести Л.Н. Толстого «Детство». Особенности художественного текста-описания: пейзаж, портрет героя, интерьер. Примеры текста-рассуждения в рассказах Л.Н. Толстого.</w:t>
      </w:r>
    </w:p>
    <w:p w14:paraId="1851E3A8">
      <w:pPr>
        <w:spacing w:after="0" w:line="355" w:lineRule="auto"/>
        <w:ind w:firstLine="709"/>
        <w:jc w:val="both"/>
        <w:rPr>
          <w:rFonts w:ascii="Times New Roman" w:hAnsi="Times New Roman" w:eastAsia="Times New Roman"/>
        </w:rPr>
      </w:pPr>
      <w:r>
        <w:rPr>
          <w:rFonts w:ascii="Times New Roman" w:hAnsi="Times New Roman" w:eastAsia="Times New Roman"/>
        </w:rPr>
        <w:t>3.9.8.1. Произведения для чтения: Л.Н. Толстой «Детство» (отдельные главы), «Русак», «Черепаха» и другие (по выбору).</w:t>
      </w:r>
    </w:p>
    <w:p w14:paraId="0A057C16">
      <w:pPr>
        <w:spacing w:after="0" w:line="355" w:lineRule="auto"/>
        <w:ind w:firstLine="709"/>
        <w:jc w:val="both"/>
        <w:rPr>
          <w:rFonts w:ascii="Times New Roman" w:hAnsi="Times New Roman" w:eastAsia="Times New Roman"/>
        </w:rPr>
      </w:pPr>
      <w:r>
        <w:rPr>
          <w:rFonts w:ascii="Times New Roman" w:hAnsi="Times New Roman" w:eastAsia="Times New Roman"/>
        </w:rPr>
        <w:t>3.9.9. Произведения о животных и родной природе. Взаимоотношения человека и животных, защита и охрана природы как тема произведений литературы. Круг чтения (не менее трёх авторов): на примере произведений А.И. Куприна, В.П. Астафьева, К.Г. Паустовского, М.М. Пришвина, Ю.И. Коваля и другие.</w:t>
      </w:r>
    </w:p>
    <w:p w14:paraId="2F296897">
      <w:pPr>
        <w:spacing w:after="0" w:line="355" w:lineRule="auto"/>
        <w:ind w:firstLine="709"/>
        <w:jc w:val="both"/>
        <w:rPr>
          <w:rFonts w:ascii="Times New Roman" w:hAnsi="Times New Roman" w:eastAsia="Times New Roman"/>
        </w:rPr>
      </w:pPr>
      <w:r>
        <w:rPr>
          <w:rFonts w:ascii="Times New Roman" w:hAnsi="Times New Roman" w:eastAsia="Times New Roman"/>
        </w:rPr>
        <w:t>3.9.9.1. Произведения для чтения: В.П. Астафьев «Капалуха», М.М. Пришвин «Выскочка» и другие (по выбору).</w:t>
      </w:r>
    </w:p>
    <w:p w14:paraId="127B9018">
      <w:pPr>
        <w:spacing w:after="0" w:line="355" w:lineRule="auto"/>
        <w:ind w:firstLine="709"/>
        <w:jc w:val="both"/>
        <w:rPr>
          <w:rFonts w:ascii="Times New Roman" w:hAnsi="Times New Roman" w:eastAsia="Times New Roman"/>
        </w:rPr>
      </w:pPr>
      <w:r>
        <w:rPr>
          <w:rFonts w:ascii="Times New Roman" w:hAnsi="Times New Roman" w:eastAsia="Times New Roman"/>
        </w:rPr>
        <w:t>3.9.10. Произведения о детях. Тематика произведений о детях, их жизни, играх и занятиях, взаимоотношениях с взрослыми и сверстниками (на примере произведений не менее трёх авторов): А.П. Чехова, Б.С. Житкова, Н.Г. Гарина-Михайловского, В.В. Крапивина и других. Словесный портрет героя как его характеристика. Авторский способ выражения главной мысли. Основные события сюжета, отношение к ним героев.</w:t>
      </w:r>
    </w:p>
    <w:p w14:paraId="3553F13E">
      <w:pPr>
        <w:spacing w:after="0" w:line="355" w:lineRule="auto"/>
        <w:ind w:firstLine="709"/>
        <w:jc w:val="both"/>
        <w:rPr>
          <w:rFonts w:ascii="Times New Roman" w:hAnsi="Times New Roman" w:eastAsia="Times New Roman"/>
        </w:rPr>
      </w:pPr>
      <w:r>
        <w:rPr>
          <w:rFonts w:ascii="Times New Roman" w:hAnsi="Times New Roman" w:eastAsia="Times New Roman"/>
        </w:rPr>
        <w:t>3.9.10.1. Произведения для чтения: А.П. Чехов «Мальчики», Н.Г. Гарин-Михайловский «Детство Тёмы» (отдельные главы), М.М. Зощенко «О Лёньке и Миньке» (1</w:t>
      </w:r>
      <w:r>
        <w:rPr>
          <w:rFonts w:ascii="Times New Roman" w:hAnsi="Times New Roman" w:eastAsia="Times New Roman"/>
          <w:lang w:eastAsia="ru-RU"/>
        </w:rPr>
        <w:t>–</w:t>
      </w:r>
      <w:r>
        <w:rPr>
          <w:rFonts w:ascii="Times New Roman" w:hAnsi="Times New Roman" w:eastAsia="Times New Roman"/>
        </w:rPr>
        <w:t>2 рассказа из цикла), К.Г. Паустовский «Корзина с еловыми шишками» и другие.</w:t>
      </w:r>
    </w:p>
    <w:p w14:paraId="0A23377F">
      <w:pPr>
        <w:spacing w:after="0" w:line="355" w:lineRule="auto"/>
        <w:ind w:firstLine="709"/>
        <w:jc w:val="both"/>
        <w:rPr>
          <w:rFonts w:ascii="Times New Roman" w:hAnsi="Times New Roman" w:eastAsia="Times New Roman"/>
        </w:rPr>
      </w:pPr>
      <w:r>
        <w:rPr>
          <w:rFonts w:ascii="Times New Roman" w:hAnsi="Times New Roman" w:eastAsia="Times New Roman"/>
        </w:rPr>
        <w:t>3.9.11. Пьеса. Знакомство с новым жанром пьесой-сказкой. Пьеса – произведение литературы и театрального искусства (одна по выбору). Пьеса как жанр драматического произведения.</w:t>
      </w:r>
    </w:p>
    <w:p w14:paraId="7DCC9E99">
      <w:pPr>
        <w:spacing w:after="0" w:line="355" w:lineRule="auto"/>
        <w:ind w:firstLine="709"/>
        <w:jc w:val="both"/>
        <w:rPr>
          <w:rFonts w:ascii="Times New Roman" w:hAnsi="Times New Roman" w:eastAsia="Times New Roman"/>
        </w:rPr>
      </w:pPr>
      <w:r>
        <w:rPr>
          <w:rFonts w:ascii="Times New Roman" w:hAnsi="Times New Roman" w:eastAsia="Times New Roman"/>
        </w:rPr>
        <w:t>3.9.11.1. Пьеса и сказка: драматическое и эпическое произведения. Авторские ремарки: назначение, содержание.</w:t>
      </w:r>
    </w:p>
    <w:p w14:paraId="04F42EB5">
      <w:pPr>
        <w:spacing w:after="0" w:line="355" w:lineRule="auto"/>
        <w:ind w:firstLine="709"/>
        <w:jc w:val="both"/>
        <w:rPr>
          <w:rFonts w:ascii="Times New Roman" w:hAnsi="Times New Roman" w:eastAsia="Times New Roman"/>
        </w:rPr>
      </w:pPr>
      <w:r>
        <w:rPr>
          <w:rFonts w:ascii="Times New Roman" w:hAnsi="Times New Roman" w:eastAsia="Times New Roman"/>
        </w:rPr>
        <w:t xml:space="preserve">3.9.11.2. Произведения для чтения: С.Я. Маршак «Двенадцать месяцев» и другие. </w:t>
      </w:r>
    </w:p>
    <w:p w14:paraId="630CCD2D">
      <w:pPr>
        <w:spacing w:after="0" w:line="355" w:lineRule="auto"/>
        <w:ind w:firstLine="709"/>
        <w:jc w:val="both"/>
        <w:rPr>
          <w:rFonts w:ascii="Times New Roman" w:hAnsi="Times New Roman" w:eastAsia="Times New Roman"/>
        </w:rPr>
      </w:pPr>
      <w:r>
        <w:rPr>
          <w:rFonts w:ascii="Times New Roman" w:hAnsi="Times New Roman" w:eastAsia="Times New Roman"/>
        </w:rPr>
        <w:t>3.9.12. Юмористические произведения. Круг чтения (не менее двух произведений по выбору): юмористические произведения на примере рассказов М.М. Зощенко, В.Ю. Драгунского, Н.Н. Носова, В.В. Голявкина. Герои юмористических произведений. Средства выразительности текста юмористического содержания: гипербола. Юмористические произведения в кино и театре.</w:t>
      </w:r>
    </w:p>
    <w:p w14:paraId="5790069D">
      <w:pPr>
        <w:spacing w:after="0" w:line="355" w:lineRule="auto"/>
        <w:ind w:firstLine="709"/>
        <w:jc w:val="both"/>
        <w:rPr>
          <w:rFonts w:ascii="Times New Roman" w:hAnsi="Times New Roman" w:eastAsia="Times New Roman"/>
        </w:rPr>
      </w:pPr>
      <w:r>
        <w:rPr>
          <w:rFonts w:ascii="Times New Roman" w:hAnsi="Times New Roman" w:eastAsia="Times New Roman"/>
        </w:rPr>
        <w:t>3.9.12.1. Произведения для чтения: В.Ю. Драгунский «Денискины рассказы» (1</w:t>
      </w:r>
      <w:r>
        <w:rPr>
          <w:rFonts w:ascii="Times New Roman" w:hAnsi="Times New Roman" w:eastAsia="Times New Roman"/>
          <w:lang w:eastAsia="ru-RU"/>
        </w:rPr>
        <w:t>–</w:t>
      </w:r>
      <w:r>
        <w:rPr>
          <w:rFonts w:ascii="Times New Roman" w:hAnsi="Times New Roman" w:eastAsia="Times New Roman"/>
        </w:rPr>
        <w:t>2 произведения по выбору), Н.Н. Носов «Витя Малеев в школе и дома» (отдельные главы) и другие.</w:t>
      </w:r>
    </w:p>
    <w:p w14:paraId="0BA69AFD">
      <w:pPr>
        <w:spacing w:after="0" w:line="355" w:lineRule="auto"/>
        <w:ind w:firstLine="709"/>
        <w:jc w:val="both"/>
        <w:rPr>
          <w:rFonts w:ascii="Times New Roman" w:hAnsi="Times New Roman" w:eastAsia="Times New Roman"/>
        </w:rPr>
      </w:pPr>
      <w:r>
        <w:rPr>
          <w:rFonts w:ascii="Times New Roman" w:hAnsi="Times New Roman" w:eastAsia="Times New Roman"/>
        </w:rPr>
        <w:t>3.9.13. Зарубежная литература. Расширение круга чтения произведений зарубежных писателей. Литературные сказки Ш. Перро, Х.-К. Андерсена, братьев Гримм и других (по выбору). Приключенческая литература: произведения Д. Свифта, М. Твена.</w:t>
      </w:r>
    </w:p>
    <w:p w14:paraId="6A94D44A">
      <w:pPr>
        <w:spacing w:after="0" w:line="355" w:lineRule="auto"/>
        <w:ind w:firstLine="709"/>
        <w:jc w:val="both"/>
        <w:rPr>
          <w:rFonts w:ascii="Times New Roman" w:hAnsi="Times New Roman" w:eastAsia="Times New Roman"/>
        </w:rPr>
      </w:pPr>
      <w:r>
        <w:rPr>
          <w:rFonts w:ascii="Times New Roman" w:hAnsi="Times New Roman" w:eastAsia="Times New Roman"/>
        </w:rPr>
        <w:t>3.9.13.1. Произведения для чтения: Х.-К. Андерсен «Дикие лебеди», «Русалочка», Д. Свифт «Приключения Гулливера» (отдельные главы), М. Твен «Том Сойер» (отдельные главы) и другие (по выбору).</w:t>
      </w:r>
    </w:p>
    <w:p w14:paraId="06E69947">
      <w:pPr>
        <w:spacing w:after="0" w:line="355" w:lineRule="auto"/>
        <w:ind w:firstLine="709"/>
        <w:jc w:val="both"/>
        <w:rPr>
          <w:rFonts w:ascii="Times New Roman" w:hAnsi="Times New Roman" w:eastAsia="Times New Roman"/>
        </w:rPr>
      </w:pPr>
      <w:r>
        <w:rPr>
          <w:rFonts w:ascii="Times New Roman" w:hAnsi="Times New Roman" w:eastAsia="Times New Roman"/>
        </w:rPr>
        <w:t>3.9.14. Библиографическая культура (работа с детской книгой и справочной литературой). Польза чтения и книги: книга – друг и учитель. Правила читателя и способы выбора книги (тематический, систематический каталог). Виды информации в книге: научная, художественная, справочно-иллюстративный материал. Типы книг (изданий): книга-произведение, книга-сборник, собрание сочинений, периодическая печать, справочные издания. Работа с источниками периодической печати.</w:t>
      </w:r>
    </w:p>
    <w:p w14:paraId="23C4111B">
      <w:pPr>
        <w:spacing w:after="0" w:line="355" w:lineRule="auto"/>
        <w:ind w:firstLine="709"/>
        <w:jc w:val="both"/>
        <w:rPr>
          <w:rFonts w:ascii="Times New Roman" w:hAnsi="Times New Roman" w:eastAsia="SchoolBookSanPin"/>
          <w:bCs/>
        </w:rPr>
      </w:pPr>
      <w:r>
        <w:rPr>
          <w:rFonts w:ascii="Times New Roman" w:hAnsi="Times New Roman" w:eastAsia="SchoolBookSanPin"/>
        </w:rPr>
        <w:t xml:space="preserve">3.9.15. Изучение литературного чтения в 4 классе способствует </w:t>
      </w:r>
      <w:r>
        <w:rPr>
          <w:rFonts w:ascii="Times New Roman" w:hAnsi="Times New Roman" w:eastAsia="Times New Roman"/>
        </w:rPr>
        <w:t>освоению ряда универсальных учебных действий</w:t>
      </w:r>
      <w:r>
        <w:rPr>
          <w:rFonts w:ascii="Times New Roman" w:hAnsi="Times New Roman" w:eastAsia="SchoolBookSanPin"/>
        </w:rPr>
        <w:t xml:space="preserve">: </w:t>
      </w:r>
      <w:r>
        <w:rPr>
          <w:rFonts w:ascii="Times New Roman" w:hAnsi="Times New Roman" w:eastAsia="SchoolBookSanPin"/>
          <w:bCs/>
        </w:rPr>
        <w:t xml:space="preserve">познавательных универсальных учебных действий, коммуникативных универсальных учебных действий, регулятивных универсальных учебных действий, совместной деятельности. </w:t>
      </w:r>
    </w:p>
    <w:p w14:paraId="49C2AF4A">
      <w:pPr>
        <w:spacing w:after="0" w:line="355" w:lineRule="auto"/>
        <w:ind w:firstLine="709"/>
        <w:jc w:val="both"/>
        <w:rPr>
          <w:rFonts w:ascii="Times New Roman" w:hAnsi="Times New Roman" w:eastAsia="SchoolBookSanPin"/>
        </w:rPr>
      </w:pPr>
      <w:r>
        <w:rPr>
          <w:rFonts w:ascii="Times New Roman" w:hAnsi="Times New Roman" w:eastAsia="OfficinaSansBoldITC"/>
        </w:rPr>
        <w:t>3.9.15.1. </w:t>
      </w:r>
      <w:r>
        <w:rPr>
          <w:rFonts w:ascii="Times New Roman" w:hAnsi="Times New Roman" w:eastAsia="SchoolBookSanPin"/>
        </w:rPr>
        <w:t xml:space="preserve">Базовые логические и исследовательские действия как часть </w:t>
      </w:r>
      <w:r>
        <w:rPr>
          <w:rFonts w:ascii="Times New Roman" w:hAnsi="Times New Roman" w:eastAsia="SchoolBookSanPin"/>
          <w:bCs/>
        </w:rPr>
        <w:t>познавательных универсальных учебных действий</w:t>
      </w:r>
      <w:r>
        <w:rPr>
          <w:rFonts w:ascii="Times New Roman" w:hAnsi="Times New Roman" w:eastAsia="SchoolBookSanPin"/>
        </w:rPr>
        <w:t xml:space="preserve"> способствуют формированию умений:</w:t>
      </w:r>
    </w:p>
    <w:p w14:paraId="129FFD8C">
      <w:pPr>
        <w:spacing w:after="0" w:line="355" w:lineRule="auto"/>
        <w:ind w:firstLine="709"/>
        <w:jc w:val="both"/>
        <w:rPr>
          <w:rFonts w:ascii="Times New Roman" w:hAnsi="Times New Roman" w:eastAsia="Times New Roman"/>
        </w:rPr>
      </w:pPr>
      <w:r>
        <w:rPr>
          <w:rFonts w:ascii="Times New Roman" w:hAnsi="Times New Roman" w:eastAsia="Times New Roman"/>
        </w:rPr>
        <w:t>читать вслух целыми словами без пропусков и перестановок букв и слогов доступные по восприятию и небольшие по объёму прозаические и стихотворные произведения (без отметочного оценивания);</w:t>
      </w:r>
    </w:p>
    <w:p w14:paraId="787B9D54">
      <w:pPr>
        <w:spacing w:after="0" w:line="355" w:lineRule="auto"/>
        <w:ind w:firstLine="709"/>
        <w:jc w:val="both"/>
        <w:rPr>
          <w:rFonts w:ascii="Times New Roman" w:hAnsi="Times New Roman" w:eastAsia="Times New Roman"/>
        </w:rPr>
      </w:pPr>
      <w:r>
        <w:rPr>
          <w:rFonts w:ascii="Times New Roman" w:hAnsi="Times New Roman" w:eastAsia="Times New Roman"/>
        </w:rPr>
        <w:t>читать про себя (молча), оценивать своё чтение с точки зрения понимания и запоминания текста;</w:t>
      </w:r>
    </w:p>
    <w:p w14:paraId="7FB2C752">
      <w:pPr>
        <w:spacing w:after="0" w:line="355" w:lineRule="auto"/>
        <w:ind w:firstLine="709"/>
        <w:jc w:val="both"/>
        <w:rPr>
          <w:rFonts w:ascii="Times New Roman" w:hAnsi="Times New Roman" w:eastAsia="Times New Roman"/>
        </w:rPr>
      </w:pPr>
      <w:r>
        <w:rPr>
          <w:rFonts w:ascii="Times New Roman" w:hAnsi="Times New Roman" w:eastAsia="Times New Roman"/>
        </w:rPr>
        <w:t>анализировать текст: определять главную мысль, обосновывать принадлежность к жанру, определять тему и главную мысль, находить в тексте заданный эпизод, устанавливать взаимосвязь между событиями, эпизодами текста;</w:t>
      </w:r>
    </w:p>
    <w:p w14:paraId="30243DB6">
      <w:pPr>
        <w:spacing w:after="0" w:line="355" w:lineRule="auto"/>
        <w:ind w:firstLine="709"/>
        <w:jc w:val="both"/>
        <w:rPr>
          <w:rFonts w:ascii="Times New Roman" w:hAnsi="Times New Roman" w:eastAsia="Times New Roman"/>
        </w:rPr>
      </w:pPr>
      <w:r>
        <w:rPr>
          <w:rFonts w:ascii="Times New Roman" w:hAnsi="Times New Roman" w:eastAsia="Times New Roman"/>
        </w:rPr>
        <w:t xml:space="preserve">характеризовать героя и давать оценку его поступкам; </w:t>
      </w:r>
    </w:p>
    <w:p w14:paraId="4A341016">
      <w:pPr>
        <w:spacing w:after="0" w:line="355" w:lineRule="auto"/>
        <w:ind w:firstLine="709"/>
        <w:jc w:val="both"/>
        <w:rPr>
          <w:rFonts w:ascii="Times New Roman" w:hAnsi="Times New Roman" w:eastAsia="Times New Roman"/>
        </w:rPr>
      </w:pPr>
      <w:r>
        <w:rPr>
          <w:rFonts w:ascii="Times New Roman" w:hAnsi="Times New Roman" w:eastAsia="Times New Roman"/>
        </w:rPr>
        <w:t>сравнивать героев одного произведения по предложенным критериям, самостоятельно выбирать критерий сопоставления героев, их поступков (по контрасту или аналогии);</w:t>
      </w:r>
    </w:p>
    <w:p w14:paraId="43C530D5">
      <w:pPr>
        <w:spacing w:after="0" w:line="355" w:lineRule="auto"/>
        <w:ind w:firstLine="709"/>
        <w:jc w:val="both"/>
        <w:rPr>
          <w:rFonts w:ascii="Times New Roman" w:hAnsi="Times New Roman" w:eastAsia="Times New Roman"/>
        </w:rPr>
      </w:pPr>
      <w:r>
        <w:rPr>
          <w:rFonts w:ascii="Times New Roman" w:hAnsi="Times New Roman" w:eastAsia="Times New Roman"/>
        </w:rPr>
        <w:t>составлять план (вопросный, номинативный, цитатный) текста, дополнять и восстанавливать нарушенную последовательность;</w:t>
      </w:r>
    </w:p>
    <w:p w14:paraId="71905859">
      <w:pPr>
        <w:spacing w:after="0" w:line="355" w:lineRule="auto"/>
        <w:ind w:firstLine="709"/>
        <w:jc w:val="both"/>
        <w:rPr>
          <w:rFonts w:ascii="Times New Roman" w:hAnsi="Times New Roman" w:eastAsia="Times New Roman"/>
        </w:rPr>
      </w:pPr>
      <w:r>
        <w:rPr>
          <w:rFonts w:ascii="Times New Roman" w:hAnsi="Times New Roman" w:eastAsia="Times New Roman"/>
        </w:rPr>
        <w:t>исследовать текст: находить средства художественной выразительности (сравнение, эпитет, олицетворение, метафора), описания в произведениях разных жанров (пейзаж, интерьер), выявлять особенности стихотворного текста (ритм, рифма, строфа).</w:t>
      </w:r>
    </w:p>
    <w:p w14:paraId="764EC28F">
      <w:pPr>
        <w:spacing w:after="0" w:line="355" w:lineRule="auto"/>
        <w:ind w:firstLine="709"/>
        <w:jc w:val="both"/>
        <w:rPr>
          <w:rFonts w:ascii="Times New Roman" w:hAnsi="Times New Roman" w:eastAsia="SchoolBookSanPin"/>
        </w:rPr>
      </w:pPr>
      <w:r>
        <w:rPr>
          <w:rFonts w:ascii="Times New Roman" w:hAnsi="Times New Roman" w:eastAsia="OfficinaSansBoldITC"/>
        </w:rPr>
        <w:t>3.9.15.2. </w:t>
      </w:r>
      <w:r>
        <w:rPr>
          <w:rFonts w:ascii="Times New Roman" w:hAnsi="Times New Roman" w:eastAsia="Times New Roman"/>
        </w:rPr>
        <w:t xml:space="preserve">Работа с информацией </w:t>
      </w:r>
      <w:r>
        <w:rPr>
          <w:rFonts w:ascii="Times New Roman" w:hAnsi="Times New Roman" w:eastAsia="SchoolBookSanPin"/>
        </w:rPr>
        <w:t xml:space="preserve">как часть </w:t>
      </w:r>
      <w:r>
        <w:rPr>
          <w:rFonts w:ascii="Times New Roman" w:hAnsi="Times New Roman" w:eastAsia="SchoolBookSanPin"/>
          <w:bCs/>
        </w:rPr>
        <w:t>познавательных универсальных учебных действий</w:t>
      </w:r>
      <w:r>
        <w:rPr>
          <w:rFonts w:ascii="Times New Roman" w:hAnsi="Times New Roman" w:eastAsia="SchoolBookSanPin"/>
        </w:rPr>
        <w:t xml:space="preserve"> способствуют формированию умений:</w:t>
      </w:r>
    </w:p>
    <w:p w14:paraId="60501A5E">
      <w:pPr>
        <w:spacing w:after="0" w:line="355" w:lineRule="auto"/>
        <w:ind w:firstLine="709"/>
        <w:jc w:val="both"/>
        <w:rPr>
          <w:rFonts w:ascii="Times New Roman" w:hAnsi="Times New Roman" w:eastAsia="Times New Roman"/>
        </w:rPr>
      </w:pPr>
      <w:r>
        <w:rPr>
          <w:rFonts w:ascii="Times New Roman" w:hAnsi="Times New Roman" w:eastAsia="Times New Roman"/>
        </w:rPr>
        <w:t>использовать справочную информацию для получения дополнительной информации в соответствии с учебной задачей;</w:t>
      </w:r>
    </w:p>
    <w:p w14:paraId="1A7869FF">
      <w:pPr>
        <w:spacing w:after="0" w:line="355" w:lineRule="auto"/>
        <w:ind w:firstLine="709"/>
        <w:jc w:val="both"/>
        <w:rPr>
          <w:rFonts w:ascii="Times New Roman" w:hAnsi="Times New Roman" w:eastAsia="Times New Roman"/>
        </w:rPr>
      </w:pPr>
      <w:r>
        <w:rPr>
          <w:rFonts w:ascii="Times New Roman" w:hAnsi="Times New Roman" w:eastAsia="Times New Roman"/>
        </w:rPr>
        <w:t>характеризовать книгу по её элементам (обложка, оглавление, аннотация, предисловие, иллюстрации, примечания и другие);</w:t>
      </w:r>
    </w:p>
    <w:p w14:paraId="391E2779">
      <w:pPr>
        <w:spacing w:after="0" w:line="355" w:lineRule="auto"/>
        <w:ind w:firstLine="709"/>
        <w:jc w:val="both"/>
        <w:rPr>
          <w:rFonts w:ascii="Times New Roman" w:hAnsi="Times New Roman" w:eastAsia="Times New Roman"/>
        </w:rPr>
      </w:pPr>
      <w:r>
        <w:rPr>
          <w:rFonts w:ascii="Times New Roman" w:hAnsi="Times New Roman" w:eastAsia="Times New Roman"/>
        </w:rPr>
        <w:t>выбирать книгу в библиотеке в соответствии с учебной задачей; составлять аннотацию.</w:t>
      </w:r>
    </w:p>
    <w:p w14:paraId="694100EE">
      <w:pPr>
        <w:spacing w:after="0" w:line="355" w:lineRule="auto"/>
        <w:ind w:firstLine="709"/>
        <w:jc w:val="both"/>
        <w:rPr>
          <w:rFonts w:ascii="Times New Roman" w:hAnsi="Times New Roman" w:eastAsia="SchoolBookSanPin"/>
        </w:rPr>
      </w:pPr>
      <w:r>
        <w:rPr>
          <w:rFonts w:ascii="Times New Roman" w:hAnsi="Times New Roman" w:eastAsia="OfficinaSansBoldITC"/>
        </w:rPr>
        <w:t>3.9.15.3. </w:t>
      </w:r>
      <w:r>
        <w:rPr>
          <w:rFonts w:ascii="Times New Roman" w:hAnsi="Times New Roman" w:eastAsia="Times New Roman"/>
        </w:rPr>
        <w:t>Коммуникативные универсальные учебные действия</w:t>
      </w:r>
      <w:r>
        <w:rPr>
          <w:rFonts w:ascii="Times New Roman" w:hAnsi="Times New Roman" w:eastAsia="SchoolBookSanPin"/>
        </w:rPr>
        <w:t xml:space="preserve"> способствуют формированию умений:</w:t>
      </w:r>
    </w:p>
    <w:p w14:paraId="6508E0AA">
      <w:pPr>
        <w:spacing w:after="0" w:line="355" w:lineRule="auto"/>
        <w:ind w:firstLine="709"/>
        <w:jc w:val="both"/>
        <w:rPr>
          <w:rFonts w:ascii="Times New Roman" w:hAnsi="Times New Roman" w:eastAsia="Times New Roman"/>
        </w:rPr>
      </w:pPr>
      <w:r>
        <w:rPr>
          <w:rFonts w:ascii="Times New Roman" w:hAnsi="Times New Roman" w:eastAsia="Times New Roman"/>
        </w:rPr>
        <w:t>соблюдать правила речевого этикета в учебном диалоге, отвечать и задавать вопросы к учебным и художественным текстам;</w:t>
      </w:r>
    </w:p>
    <w:p w14:paraId="5B599460">
      <w:pPr>
        <w:spacing w:after="0" w:line="355" w:lineRule="auto"/>
        <w:ind w:firstLine="709"/>
        <w:jc w:val="both"/>
        <w:rPr>
          <w:rFonts w:ascii="Times New Roman" w:hAnsi="Times New Roman" w:eastAsia="Times New Roman"/>
        </w:rPr>
      </w:pPr>
      <w:r>
        <w:rPr>
          <w:rFonts w:ascii="Times New Roman" w:hAnsi="Times New Roman" w:eastAsia="Times New Roman"/>
        </w:rPr>
        <w:t>пересказывать текст в соответствии с учебной задачей;</w:t>
      </w:r>
    </w:p>
    <w:p w14:paraId="6123C74A">
      <w:pPr>
        <w:spacing w:after="0" w:line="355" w:lineRule="auto"/>
        <w:ind w:firstLine="709"/>
        <w:jc w:val="both"/>
        <w:rPr>
          <w:rFonts w:ascii="Times New Roman" w:hAnsi="Times New Roman" w:eastAsia="Times New Roman"/>
        </w:rPr>
      </w:pPr>
      <w:r>
        <w:rPr>
          <w:rFonts w:ascii="Times New Roman" w:hAnsi="Times New Roman" w:eastAsia="Times New Roman"/>
        </w:rPr>
        <w:t>рассказывать о тематике детской литературы, о любимом писателе и его произведениях;</w:t>
      </w:r>
    </w:p>
    <w:p w14:paraId="7DE808F1">
      <w:pPr>
        <w:spacing w:after="0" w:line="355" w:lineRule="auto"/>
        <w:ind w:firstLine="709"/>
        <w:jc w:val="both"/>
        <w:rPr>
          <w:rFonts w:ascii="Times New Roman" w:hAnsi="Times New Roman" w:eastAsia="Times New Roman"/>
        </w:rPr>
      </w:pPr>
      <w:r>
        <w:rPr>
          <w:rFonts w:ascii="Times New Roman" w:hAnsi="Times New Roman" w:eastAsia="Times New Roman"/>
        </w:rPr>
        <w:t>оценивать мнение авторов о героях и своё отношение к ним;</w:t>
      </w:r>
    </w:p>
    <w:p w14:paraId="6391B267">
      <w:pPr>
        <w:spacing w:after="0" w:line="355" w:lineRule="auto"/>
        <w:ind w:firstLine="709"/>
        <w:jc w:val="both"/>
        <w:rPr>
          <w:rFonts w:ascii="Times New Roman" w:hAnsi="Times New Roman" w:eastAsia="Times New Roman"/>
        </w:rPr>
      </w:pPr>
      <w:r>
        <w:rPr>
          <w:rFonts w:ascii="Times New Roman" w:hAnsi="Times New Roman" w:eastAsia="Times New Roman"/>
        </w:rPr>
        <w:t>использовать элементы импровизации при исполнении фольклорных произведений;</w:t>
      </w:r>
    </w:p>
    <w:p w14:paraId="34C3F9D3">
      <w:pPr>
        <w:spacing w:after="0" w:line="355" w:lineRule="auto"/>
        <w:ind w:firstLine="709"/>
        <w:jc w:val="both"/>
        <w:rPr>
          <w:rFonts w:ascii="Times New Roman" w:hAnsi="Times New Roman" w:eastAsia="Times New Roman"/>
        </w:rPr>
      </w:pPr>
      <w:r>
        <w:rPr>
          <w:rFonts w:ascii="Times New Roman" w:hAnsi="Times New Roman" w:eastAsia="Times New Roman"/>
        </w:rPr>
        <w:t>сочинять небольшие тексты повествовательного и описательного характера по наблюдениям, на заданную тему.</w:t>
      </w:r>
    </w:p>
    <w:p w14:paraId="1E8FA1B4">
      <w:pPr>
        <w:spacing w:after="0" w:line="355" w:lineRule="auto"/>
        <w:ind w:firstLine="709"/>
        <w:jc w:val="both"/>
        <w:rPr>
          <w:rFonts w:ascii="Times New Roman" w:hAnsi="Times New Roman" w:eastAsia="SchoolBookSanPin"/>
        </w:rPr>
      </w:pPr>
      <w:r>
        <w:rPr>
          <w:rFonts w:ascii="Times New Roman" w:hAnsi="Times New Roman" w:eastAsia="OfficinaSansBoldITC"/>
        </w:rPr>
        <w:t>3.9.15.4. </w:t>
      </w:r>
      <w:r>
        <w:rPr>
          <w:rFonts w:ascii="Times New Roman" w:hAnsi="Times New Roman" w:eastAsia="Times New Roman"/>
        </w:rPr>
        <w:t xml:space="preserve">Регулятивные универсальные учебные действия </w:t>
      </w:r>
      <w:r>
        <w:rPr>
          <w:rFonts w:ascii="Times New Roman" w:hAnsi="Times New Roman" w:eastAsia="SchoolBookSanPin"/>
        </w:rPr>
        <w:t>способствуют формированию умений:</w:t>
      </w:r>
    </w:p>
    <w:p w14:paraId="6D908F4D">
      <w:pPr>
        <w:spacing w:after="0" w:line="355" w:lineRule="auto"/>
        <w:ind w:firstLine="709"/>
        <w:jc w:val="both"/>
        <w:rPr>
          <w:rFonts w:ascii="Times New Roman" w:hAnsi="Times New Roman" w:eastAsia="Times New Roman"/>
        </w:rPr>
      </w:pPr>
      <w:r>
        <w:rPr>
          <w:rFonts w:ascii="Times New Roman" w:hAnsi="Times New Roman" w:eastAsia="Times New Roman"/>
        </w:rPr>
        <w:t>понимать значения чтения для самообразования и саморазвития; самостоятельно организовывать читательскую деятельность во время досуга;</w:t>
      </w:r>
    </w:p>
    <w:p w14:paraId="6E47A922">
      <w:pPr>
        <w:spacing w:after="0" w:line="355" w:lineRule="auto"/>
        <w:ind w:firstLine="709"/>
        <w:jc w:val="both"/>
        <w:rPr>
          <w:rFonts w:ascii="Times New Roman" w:hAnsi="Times New Roman" w:eastAsia="Times New Roman"/>
        </w:rPr>
      </w:pPr>
      <w:r>
        <w:rPr>
          <w:rFonts w:ascii="Times New Roman" w:hAnsi="Times New Roman" w:eastAsia="Times New Roman"/>
        </w:rPr>
        <w:t>определять цель выразительного исполнения и работы с текстом;</w:t>
      </w:r>
    </w:p>
    <w:p w14:paraId="74E724B7">
      <w:pPr>
        <w:spacing w:after="0" w:line="355" w:lineRule="auto"/>
        <w:ind w:firstLine="709"/>
        <w:jc w:val="both"/>
        <w:rPr>
          <w:rFonts w:ascii="Times New Roman" w:hAnsi="Times New Roman" w:eastAsia="Times New Roman"/>
        </w:rPr>
      </w:pPr>
      <w:r>
        <w:rPr>
          <w:rFonts w:ascii="Times New Roman" w:hAnsi="Times New Roman" w:eastAsia="Times New Roman"/>
        </w:rPr>
        <w:t>оценивать выступление (своё и других обучающихся) с точки зрения передачи настроения, особенностей произведения и героев;</w:t>
      </w:r>
    </w:p>
    <w:p w14:paraId="44458502">
      <w:pPr>
        <w:spacing w:after="0" w:line="355" w:lineRule="auto"/>
        <w:ind w:firstLine="709"/>
        <w:jc w:val="both"/>
        <w:rPr>
          <w:rFonts w:ascii="Times New Roman" w:hAnsi="Times New Roman" w:eastAsia="Times New Roman"/>
        </w:rPr>
      </w:pPr>
      <w:r>
        <w:rPr>
          <w:rFonts w:ascii="Times New Roman" w:hAnsi="Times New Roman" w:eastAsia="Times New Roman"/>
        </w:rPr>
        <w:t>осуществлять контроль процесса и результата деятельности, устанавливать причины возникших ошибок и трудностей, проявлять способность предвидеть их в предстоящей работе.</w:t>
      </w:r>
    </w:p>
    <w:p w14:paraId="2242B5FB">
      <w:pPr>
        <w:spacing w:after="0" w:line="355" w:lineRule="auto"/>
        <w:ind w:firstLine="709"/>
        <w:jc w:val="both"/>
        <w:rPr>
          <w:rFonts w:ascii="Times New Roman" w:hAnsi="Times New Roman" w:eastAsia="SchoolBookSanPin"/>
        </w:rPr>
      </w:pPr>
      <w:r>
        <w:rPr>
          <w:rFonts w:ascii="Times New Roman" w:hAnsi="Times New Roman" w:eastAsia="OfficinaSansBoldITC"/>
        </w:rPr>
        <w:t>3.9.15.5. </w:t>
      </w:r>
      <w:r>
        <w:rPr>
          <w:rFonts w:ascii="Times New Roman" w:hAnsi="Times New Roman" w:eastAsia="Times New Roman"/>
        </w:rPr>
        <w:t>Совместная деятельность</w:t>
      </w:r>
      <w:r>
        <w:rPr>
          <w:rFonts w:ascii="Times New Roman" w:hAnsi="Times New Roman" w:eastAsia="SchoolBookSanPin"/>
        </w:rPr>
        <w:t xml:space="preserve"> способствует формированию умений:</w:t>
      </w:r>
    </w:p>
    <w:p w14:paraId="717BEC56">
      <w:pPr>
        <w:spacing w:after="0" w:line="355" w:lineRule="auto"/>
        <w:ind w:firstLine="709"/>
        <w:jc w:val="both"/>
        <w:rPr>
          <w:rFonts w:ascii="Times New Roman" w:hAnsi="Times New Roman" w:eastAsia="Times New Roman"/>
        </w:rPr>
      </w:pPr>
      <w:r>
        <w:rPr>
          <w:rFonts w:ascii="Times New Roman" w:hAnsi="Times New Roman" w:eastAsia="Times New Roman"/>
        </w:rPr>
        <w:t>участвовать в театрализованной деятельности: инсценировании (читать по ролям, разыгрывать сценки);</w:t>
      </w:r>
    </w:p>
    <w:p w14:paraId="2803EFCE">
      <w:pPr>
        <w:spacing w:after="0" w:line="355" w:lineRule="auto"/>
        <w:ind w:firstLine="709"/>
        <w:jc w:val="both"/>
        <w:rPr>
          <w:rFonts w:ascii="Times New Roman" w:hAnsi="Times New Roman" w:eastAsia="Times New Roman"/>
        </w:rPr>
      </w:pPr>
      <w:r>
        <w:rPr>
          <w:rFonts w:ascii="Times New Roman" w:hAnsi="Times New Roman" w:eastAsia="Times New Roman"/>
        </w:rPr>
        <w:t>соблюдать правила взаимодействия;</w:t>
      </w:r>
    </w:p>
    <w:p w14:paraId="2420054A">
      <w:pPr>
        <w:spacing w:after="0" w:line="355" w:lineRule="auto"/>
        <w:ind w:firstLine="709"/>
        <w:jc w:val="both"/>
        <w:rPr>
          <w:rFonts w:ascii="Times New Roman" w:hAnsi="Times New Roman" w:eastAsia="Times New Roman"/>
        </w:rPr>
      </w:pPr>
      <w:r>
        <w:rPr>
          <w:rFonts w:ascii="Times New Roman" w:hAnsi="Times New Roman" w:eastAsia="Times New Roman"/>
        </w:rPr>
        <w:t>ответственно относиться к своим обязанностям в процессе совместной деятельности, оценивать свой вклад в общее дело.</w:t>
      </w:r>
    </w:p>
    <w:p w14:paraId="112200EA">
      <w:pPr>
        <w:spacing w:after="0" w:line="355" w:lineRule="auto"/>
        <w:ind w:firstLine="709"/>
        <w:jc w:val="both"/>
        <w:rPr>
          <w:rFonts w:ascii="Times New Roman" w:hAnsi="Times New Roman" w:eastAsia="OfficinaSansBoldITC"/>
        </w:rPr>
      </w:pPr>
      <w:r>
        <w:rPr>
          <w:rFonts w:ascii="Times New Roman" w:hAnsi="Times New Roman" w:eastAsia="OfficinaSansBoldITC"/>
        </w:rPr>
        <w:t>3.10. Планируемые результаты освоения программы по литературному чтению на уровне начального общего образования.</w:t>
      </w:r>
    </w:p>
    <w:p w14:paraId="406B187C">
      <w:pPr>
        <w:spacing w:after="0" w:line="355" w:lineRule="auto"/>
        <w:ind w:firstLine="709"/>
        <w:jc w:val="both"/>
        <w:rPr>
          <w:rFonts w:ascii="Times New Roman" w:hAnsi="Times New Roman" w:eastAsia="Times New Roman"/>
        </w:rPr>
      </w:pPr>
      <w:r>
        <w:rPr>
          <w:rFonts w:ascii="Times New Roman" w:hAnsi="Times New Roman" w:eastAsia="SchoolBookSanPin"/>
        </w:rPr>
        <w:t xml:space="preserve">3.10.1. </w:t>
      </w:r>
      <w:r>
        <w:rPr>
          <w:rFonts w:ascii="Times New Roman" w:hAnsi="Times New Roman" w:eastAsia="Times New Roman"/>
        </w:rPr>
        <w:t>Личностные результаты освоения программы по литературному чтению достигаются в процессе единства учебной и воспитательной деятельности, обеспечивающей позитивную динамику развития личности обучающегося, ориентированную на процессы самопознания, саморазвития и самовоспитания. Личностные результаты освоения программы по литературному чтению отражают освоение обучающимися социально значимых норм и отношений, развитие позитивного отношения обучающихся к общественным, традиционным, социокультурным и духовно-нравственным ценностям, приобретение опыта применения сформированных представлений и отношений на практике.</w:t>
      </w:r>
    </w:p>
    <w:p w14:paraId="0D5143BE">
      <w:pPr>
        <w:spacing w:after="0" w:line="355" w:lineRule="auto"/>
        <w:ind w:firstLine="709"/>
        <w:jc w:val="both"/>
        <w:rPr>
          <w:rFonts w:ascii="Times New Roman" w:hAnsi="Times New Roman" w:eastAsia="SchoolBookSanPin"/>
        </w:rPr>
      </w:pPr>
      <w:r>
        <w:rPr>
          <w:rFonts w:ascii="Times New Roman" w:hAnsi="Times New Roman" w:eastAsia="SchoolBookSanPin"/>
        </w:rPr>
        <w:t xml:space="preserve">В результате изучения литературного чтения на уровне начального общего образования у обучающегося будут сформированы личностные результаты: </w:t>
      </w:r>
    </w:p>
    <w:p w14:paraId="726734DA">
      <w:pPr>
        <w:spacing w:after="0" w:line="355" w:lineRule="auto"/>
        <w:ind w:firstLine="709"/>
        <w:jc w:val="both"/>
        <w:rPr>
          <w:rFonts w:ascii="Times New Roman" w:hAnsi="Times New Roman" w:eastAsia="Times New Roman"/>
        </w:rPr>
      </w:pPr>
      <w:r>
        <w:rPr>
          <w:rFonts w:ascii="Times New Roman" w:hAnsi="Times New Roman" w:eastAsia="SchoolBookSanPin"/>
        </w:rPr>
        <w:t>1) г</w:t>
      </w:r>
      <w:r>
        <w:rPr>
          <w:rFonts w:ascii="Times New Roman" w:hAnsi="Times New Roman" w:eastAsia="Times New Roman"/>
        </w:rPr>
        <w:t>ражданско-патриотическое воспитание:</w:t>
      </w:r>
    </w:p>
    <w:p w14:paraId="6841B3BD">
      <w:pPr>
        <w:spacing w:after="0" w:line="355" w:lineRule="auto"/>
        <w:ind w:firstLine="709"/>
        <w:jc w:val="both"/>
        <w:rPr>
          <w:rFonts w:ascii="Times New Roman" w:hAnsi="Times New Roman" w:eastAsia="Times New Roman"/>
        </w:rPr>
      </w:pPr>
      <w:r>
        <w:rPr>
          <w:rFonts w:ascii="Times New Roman" w:hAnsi="Times New Roman" w:eastAsia="Times New Roman"/>
        </w:rPr>
        <w:t>становление ценностного отношения к своей Родине, малой родине, проявление интереса к изучению родного языка, истории и культуре Российской Федерации, понимание естественной связи прошлого и настоящего в культуре общества;</w:t>
      </w:r>
    </w:p>
    <w:p w14:paraId="69129FB7">
      <w:pPr>
        <w:spacing w:after="0" w:line="355" w:lineRule="auto"/>
        <w:ind w:firstLine="709"/>
        <w:jc w:val="both"/>
        <w:rPr>
          <w:rFonts w:ascii="Times New Roman" w:hAnsi="Times New Roman" w:eastAsia="Times New Roman"/>
        </w:rPr>
      </w:pPr>
      <w:r>
        <w:rPr>
          <w:rFonts w:ascii="Times New Roman" w:hAnsi="Times New Roman" w:eastAsia="Times New Roman"/>
        </w:rPr>
        <w:t>осознание своей этнокультурной и российской гражданской идентичности, сопричастности к прошлому, настоящему и будущему своей страны и родного края, проявление уважения к традициям и культуре своего и других народов в процессе восприятия и анализа произведений выдающихся представителей русской литературы и творчества народов России;</w:t>
      </w:r>
    </w:p>
    <w:p w14:paraId="68B653F5">
      <w:pPr>
        <w:spacing w:after="0" w:line="355" w:lineRule="auto"/>
        <w:ind w:firstLine="709"/>
        <w:jc w:val="both"/>
        <w:rPr>
          <w:rFonts w:ascii="Times New Roman" w:hAnsi="Times New Roman" w:eastAsia="Times New Roman"/>
        </w:rPr>
      </w:pPr>
      <w:r>
        <w:rPr>
          <w:rFonts w:ascii="Times New Roman" w:hAnsi="Times New Roman" w:eastAsia="Times New Roman"/>
        </w:rPr>
        <w:t>первоначальные представления о человеке как члене общества, о правах и ответственности, уважении и достоинстве человека, о нравственно-этических нормах поведения и правилах межличностных отношений.</w:t>
      </w:r>
    </w:p>
    <w:p w14:paraId="60AF176A">
      <w:pPr>
        <w:spacing w:after="0" w:line="355" w:lineRule="auto"/>
        <w:ind w:firstLine="709"/>
        <w:jc w:val="both"/>
        <w:rPr>
          <w:rFonts w:ascii="Times New Roman" w:hAnsi="Times New Roman" w:eastAsia="Times New Roman"/>
        </w:rPr>
      </w:pPr>
      <w:r>
        <w:rPr>
          <w:rFonts w:ascii="Times New Roman" w:hAnsi="Times New Roman" w:eastAsia="Times New Roman"/>
        </w:rPr>
        <w:t>2) духовно-нравственное воспитание:</w:t>
      </w:r>
    </w:p>
    <w:p w14:paraId="4389ECC0">
      <w:pPr>
        <w:spacing w:after="0" w:line="355" w:lineRule="auto"/>
        <w:ind w:firstLine="709"/>
        <w:jc w:val="both"/>
        <w:rPr>
          <w:rFonts w:ascii="Times New Roman" w:hAnsi="Times New Roman" w:eastAsia="Times New Roman"/>
        </w:rPr>
      </w:pPr>
      <w:r>
        <w:rPr>
          <w:rFonts w:ascii="Times New Roman" w:hAnsi="Times New Roman" w:eastAsia="Times New Roman"/>
        </w:rPr>
        <w:t>освоение опыта человеческих взаимоотношений, проявление сопереживания, уважения, любви, доброжелательности и других моральных качеств к родным и другим людям, независимо от их национальности, социального статуса, вероисповедания;</w:t>
      </w:r>
    </w:p>
    <w:p w14:paraId="285658F6">
      <w:pPr>
        <w:spacing w:after="0" w:line="355" w:lineRule="auto"/>
        <w:ind w:firstLine="709"/>
        <w:jc w:val="both"/>
        <w:rPr>
          <w:rFonts w:ascii="Times New Roman" w:hAnsi="Times New Roman" w:eastAsia="Times New Roman"/>
        </w:rPr>
      </w:pPr>
      <w:r>
        <w:rPr>
          <w:rFonts w:ascii="Times New Roman" w:hAnsi="Times New Roman" w:eastAsia="Times New Roman"/>
        </w:rPr>
        <w:t>осознание этических понятий, оценка поведения и поступков персонажей художественных произведений в ситуации нравственного выбора;</w:t>
      </w:r>
    </w:p>
    <w:p w14:paraId="1CFBC2A2">
      <w:pPr>
        <w:spacing w:after="0" w:line="355" w:lineRule="auto"/>
        <w:ind w:firstLine="709"/>
        <w:jc w:val="both"/>
        <w:rPr>
          <w:rFonts w:ascii="Times New Roman" w:hAnsi="Times New Roman" w:eastAsia="Times New Roman"/>
        </w:rPr>
      </w:pPr>
      <w:r>
        <w:rPr>
          <w:rFonts w:ascii="Times New Roman" w:hAnsi="Times New Roman" w:eastAsia="Times New Roman"/>
        </w:rPr>
        <w:t>выражение своего видения мира, индивидуальной позиции посредством накопления и систематизации литературных впечатлений, разнообразных по эмоциональной окраске;</w:t>
      </w:r>
    </w:p>
    <w:p w14:paraId="4409AACB">
      <w:pPr>
        <w:spacing w:after="0" w:line="355" w:lineRule="auto"/>
        <w:ind w:firstLine="709"/>
        <w:jc w:val="both"/>
        <w:rPr>
          <w:rFonts w:ascii="Times New Roman" w:hAnsi="Times New Roman" w:eastAsia="Times New Roman"/>
        </w:rPr>
      </w:pPr>
      <w:r>
        <w:rPr>
          <w:rFonts w:ascii="Times New Roman" w:hAnsi="Times New Roman" w:eastAsia="Times New Roman"/>
        </w:rPr>
        <w:t>неприятие любых форм поведения, направленных на причинение физического и морального вреда другим людям.</w:t>
      </w:r>
    </w:p>
    <w:p w14:paraId="75DE1E32">
      <w:pPr>
        <w:spacing w:after="0" w:line="355" w:lineRule="auto"/>
        <w:ind w:firstLine="709"/>
        <w:jc w:val="both"/>
        <w:rPr>
          <w:rFonts w:ascii="Times New Roman" w:hAnsi="Times New Roman" w:eastAsia="Times New Roman"/>
        </w:rPr>
      </w:pPr>
      <w:r>
        <w:rPr>
          <w:rFonts w:ascii="Times New Roman" w:hAnsi="Times New Roman" w:eastAsia="Times New Roman"/>
        </w:rPr>
        <w:t>3) эстетическое воспитание:</w:t>
      </w:r>
    </w:p>
    <w:p w14:paraId="24531D4B">
      <w:pPr>
        <w:spacing w:after="0" w:line="355" w:lineRule="auto"/>
        <w:ind w:firstLine="709"/>
        <w:jc w:val="both"/>
        <w:rPr>
          <w:rFonts w:ascii="Times New Roman" w:hAnsi="Times New Roman" w:eastAsia="Times New Roman"/>
        </w:rPr>
      </w:pPr>
      <w:r>
        <w:rPr>
          <w:rFonts w:ascii="Times New Roman" w:hAnsi="Times New Roman" w:eastAsia="Times New Roman"/>
        </w:rPr>
        <w:t>проявление уважительного отношения и интереса к художественной культуре, к различным видам искусства, восприимчивость к традициям и творчеству своего и других народов, готовность выражать своё отношение в разных видах художественной деятельности;</w:t>
      </w:r>
    </w:p>
    <w:p w14:paraId="36DBBD86">
      <w:pPr>
        <w:spacing w:after="0" w:line="355" w:lineRule="auto"/>
        <w:ind w:firstLine="709"/>
        <w:jc w:val="both"/>
        <w:rPr>
          <w:rFonts w:ascii="Times New Roman" w:hAnsi="Times New Roman" w:eastAsia="Times New Roman"/>
        </w:rPr>
      </w:pPr>
      <w:r>
        <w:rPr>
          <w:rFonts w:ascii="Times New Roman" w:hAnsi="Times New Roman" w:eastAsia="Times New Roman"/>
        </w:rPr>
        <w:t>приобретение эстетического опыта слушания, чтения и эмоционально-эстетической оценки произведений фольклора и художественной литературы;</w:t>
      </w:r>
    </w:p>
    <w:p w14:paraId="2888FA26">
      <w:pPr>
        <w:spacing w:after="0" w:line="355" w:lineRule="auto"/>
        <w:ind w:firstLine="709"/>
        <w:jc w:val="both"/>
        <w:rPr>
          <w:rFonts w:ascii="Times New Roman" w:hAnsi="Times New Roman" w:eastAsia="Times New Roman"/>
        </w:rPr>
      </w:pPr>
      <w:r>
        <w:rPr>
          <w:rFonts w:ascii="Times New Roman" w:hAnsi="Times New Roman" w:eastAsia="Times New Roman"/>
        </w:rPr>
        <w:t>понимание образного языка художественных произведений, выразительных средств, создающих художественный образ.</w:t>
      </w:r>
    </w:p>
    <w:p w14:paraId="44CC13E7">
      <w:pPr>
        <w:spacing w:after="0" w:line="355" w:lineRule="auto"/>
        <w:ind w:firstLine="709"/>
        <w:jc w:val="both"/>
        <w:rPr>
          <w:rFonts w:ascii="Times New Roman" w:hAnsi="Times New Roman" w:eastAsia="Times New Roman"/>
        </w:rPr>
      </w:pPr>
      <w:r>
        <w:rPr>
          <w:rFonts w:ascii="Times New Roman" w:hAnsi="Times New Roman" w:eastAsia="Times New Roman"/>
        </w:rPr>
        <w:t>4) трудовое воспитание:</w:t>
      </w:r>
    </w:p>
    <w:p w14:paraId="30E1D3C1">
      <w:pPr>
        <w:spacing w:after="0" w:line="355" w:lineRule="auto"/>
        <w:ind w:firstLine="709"/>
        <w:jc w:val="both"/>
        <w:rPr>
          <w:rFonts w:ascii="Times New Roman" w:hAnsi="Times New Roman" w:eastAsia="Times New Roman"/>
        </w:rPr>
      </w:pPr>
      <w:r>
        <w:rPr>
          <w:rFonts w:ascii="Times New Roman" w:hAnsi="Times New Roman" w:eastAsia="Times New Roman"/>
        </w:rPr>
        <w:t>осознание ценности труда в жизни человека и общества, ответственное потребление и бережное отношение к результатам труда, навыки участия в различных видах трудовой деятельности, интерес к различным профессиям.</w:t>
      </w:r>
    </w:p>
    <w:p w14:paraId="203B3971">
      <w:pPr>
        <w:spacing w:after="0" w:line="355" w:lineRule="auto"/>
        <w:ind w:firstLine="709"/>
        <w:jc w:val="both"/>
        <w:rPr>
          <w:rFonts w:ascii="Times New Roman" w:hAnsi="Times New Roman" w:eastAsia="Times New Roman"/>
        </w:rPr>
      </w:pPr>
      <w:r>
        <w:rPr>
          <w:rFonts w:ascii="Times New Roman" w:hAnsi="Times New Roman" w:eastAsia="Times New Roman"/>
        </w:rPr>
        <w:t>5) экологическое воспитание:</w:t>
      </w:r>
    </w:p>
    <w:p w14:paraId="5ADB37B5">
      <w:pPr>
        <w:spacing w:after="0" w:line="355" w:lineRule="auto"/>
        <w:ind w:firstLine="709"/>
        <w:jc w:val="both"/>
        <w:rPr>
          <w:rFonts w:ascii="Times New Roman" w:hAnsi="Times New Roman" w:eastAsia="Times New Roman"/>
        </w:rPr>
      </w:pPr>
      <w:r>
        <w:rPr>
          <w:rFonts w:ascii="Times New Roman" w:hAnsi="Times New Roman" w:eastAsia="Times New Roman"/>
        </w:rPr>
        <w:t>бережное отношение к природе, осознание проблем взаимоотношений человека и животных, отражённых в литературных произведениях;</w:t>
      </w:r>
    </w:p>
    <w:p w14:paraId="47196AAD">
      <w:pPr>
        <w:spacing w:after="0" w:line="355" w:lineRule="auto"/>
        <w:ind w:firstLine="709"/>
        <w:jc w:val="both"/>
        <w:rPr>
          <w:rFonts w:ascii="Times New Roman" w:hAnsi="Times New Roman" w:eastAsia="Times New Roman"/>
        </w:rPr>
      </w:pPr>
      <w:r>
        <w:rPr>
          <w:rFonts w:ascii="Times New Roman" w:hAnsi="Times New Roman" w:eastAsia="Times New Roman"/>
        </w:rPr>
        <w:t>неприятие действий, приносящих вред окружающей среде.</w:t>
      </w:r>
    </w:p>
    <w:p w14:paraId="457A684E">
      <w:pPr>
        <w:spacing w:after="0" w:line="355" w:lineRule="auto"/>
        <w:ind w:firstLine="709"/>
        <w:jc w:val="both"/>
        <w:rPr>
          <w:rFonts w:ascii="Times New Roman" w:hAnsi="Times New Roman" w:eastAsia="Times New Roman"/>
        </w:rPr>
      </w:pPr>
      <w:r>
        <w:rPr>
          <w:rFonts w:ascii="Times New Roman" w:hAnsi="Times New Roman" w:eastAsia="Times New Roman"/>
        </w:rPr>
        <w:t>6) ценности научного познания:</w:t>
      </w:r>
    </w:p>
    <w:p w14:paraId="18F38E9F">
      <w:pPr>
        <w:spacing w:after="0" w:line="355" w:lineRule="auto"/>
        <w:ind w:firstLine="709"/>
        <w:jc w:val="both"/>
        <w:rPr>
          <w:rFonts w:ascii="Times New Roman" w:hAnsi="Times New Roman" w:eastAsia="Times New Roman"/>
        </w:rPr>
      </w:pPr>
      <w:r>
        <w:rPr>
          <w:rFonts w:ascii="Times New Roman" w:hAnsi="Times New Roman" w:eastAsia="Times New Roman"/>
        </w:rPr>
        <w:t>ориентация в деятельности на первоначальные представления о научной картине мира, понимание важности слова как средства создания словесно-художественного образа, способа выражения мыслей, чувств, идей автора;</w:t>
      </w:r>
    </w:p>
    <w:p w14:paraId="59C8265C">
      <w:pPr>
        <w:spacing w:after="0" w:line="355" w:lineRule="auto"/>
        <w:ind w:firstLine="709"/>
        <w:jc w:val="both"/>
        <w:rPr>
          <w:rFonts w:ascii="Times New Roman" w:hAnsi="Times New Roman" w:eastAsia="Times New Roman"/>
        </w:rPr>
      </w:pPr>
      <w:r>
        <w:rPr>
          <w:rFonts w:ascii="Times New Roman" w:hAnsi="Times New Roman" w:eastAsia="Times New Roman"/>
        </w:rPr>
        <w:t>овладение смысловым чтением для решения различного уровня учебных и жизненных задач;</w:t>
      </w:r>
    </w:p>
    <w:p w14:paraId="46788FE0">
      <w:pPr>
        <w:spacing w:after="0" w:line="355" w:lineRule="auto"/>
        <w:ind w:firstLine="709"/>
        <w:jc w:val="both"/>
        <w:rPr>
          <w:rFonts w:ascii="Times New Roman" w:hAnsi="Times New Roman" w:eastAsia="Times New Roman"/>
        </w:rPr>
      </w:pPr>
      <w:r>
        <w:rPr>
          <w:rFonts w:ascii="Times New Roman" w:hAnsi="Times New Roman" w:eastAsia="Times New Roman"/>
        </w:rPr>
        <w:t>потребность в самостоятельной читательской деятельности, саморазвитии средствами литературы, развитие познавательного интереса, активности, инициативности, любознательности и самостоятельности в познании произведений фольклора и художественной литературы, творчества писателей.</w:t>
      </w:r>
    </w:p>
    <w:p w14:paraId="6F4DC73E">
      <w:pPr>
        <w:spacing w:after="0" w:line="355" w:lineRule="auto"/>
        <w:ind w:firstLine="709"/>
        <w:jc w:val="both"/>
        <w:rPr>
          <w:rFonts w:ascii="Times New Roman" w:hAnsi="Times New Roman" w:eastAsia="SchoolBookSanPin"/>
          <w:bCs/>
        </w:rPr>
      </w:pPr>
      <w:r>
        <w:rPr>
          <w:rFonts w:ascii="Times New Roman" w:hAnsi="Times New Roman" w:eastAsia="SchoolBookSanPin"/>
        </w:rPr>
        <w:t xml:space="preserve">3.10.2. В результате изучения литературного чтения на уровне начального общего образования у обучающегося будут сформированы </w:t>
      </w:r>
      <w:r>
        <w:rPr>
          <w:rFonts w:ascii="Times New Roman" w:hAnsi="Times New Roman" w:eastAsia="SchoolBookSanPin"/>
          <w:bCs/>
        </w:rPr>
        <w:t xml:space="preserve">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деятельность. </w:t>
      </w:r>
    </w:p>
    <w:p w14:paraId="2D7C9A86">
      <w:pPr>
        <w:spacing w:after="0" w:line="355" w:lineRule="auto"/>
        <w:ind w:firstLine="709"/>
        <w:jc w:val="both"/>
        <w:rPr>
          <w:rFonts w:ascii="Times New Roman" w:hAnsi="Times New Roman" w:eastAsia="SchoolBookSanPin"/>
        </w:rPr>
      </w:pPr>
      <w:r>
        <w:rPr>
          <w:rFonts w:ascii="Times New Roman" w:hAnsi="Times New Roman" w:eastAsia="OfficinaSansBoldITC"/>
        </w:rPr>
        <w:t>3.10.2.1. </w:t>
      </w:r>
      <w:r>
        <w:rPr>
          <w:rFonts w:ascii="Times New Roman" w:hAnsi="Times New Roman" w:eastAsia="SchoolBookSanPin"/>
        </w:rPr>
        <w:t xml:space="preserve">У обучающегося будут сформированы следующие базовые логические действия как часть </w:t>
      </w:r>
      <w:r>
        <w:rPr>
          <w:rFonts w:ascii="Times New Roman" w:hAnsi="Times New Roman" w:eastAsia="SchoolBookSanPin"/>
          <w:bCs/>
        </w:rPr>
        <w:t>познавательных универсальных учебных действий</w:t>
      </w:r>
      <w:r>
        <w:rPr>
          <w:rFonts w:ascii="Times New Roman" w:hAnsi="Times New Roman" w:eastAsia="SchoolBookSanPin"/>
        </w:rPr>
        <w:t>:</w:t>
      </w:r>
    </w:p>
    <w:p w14:paraId="247E0E9D">
      <w:pPr>
        <w:spacing w:after="0" w:line="355" w:lineRule="auto"/>
        <w:ind w:firstLine="709"/>
        <w:jc w:val="both"/>
        <w:rPr>
          <w:rFonts w:ascii="Times New Roman" w:hAnsi="Times New Roman" w:eastAsia="Times New Roman"/>
        </w:rPr>
      </w:pPr>
      <w:r>
        <w:rPr>
          <w:rFonts w:ascii="Times New Roman" w:hAnsi="Times New Roman" w:eastAsia="Times New Roman"/>
        </w:rPr>
        <w:t>сравнивать произведения по теме, главной мысли, жанру, соотносить произведение и его автора, устанавливать основания для сравнения произведений, устанавливать аналогии;</w:t>
      </w:r>
    </w:p>
    <w:p w14:paraId="5D978C58">
      <w:pPr>
        <w:spacing w:after="0" w:line="355" w:lineRule="auto"/>
        <w:ind w:firstLine="709"/>
        <w:jc w:val="both"/>
        <w:rPr>
          <w:rFonts w:ascii="Times New Roman" w:hAnsi="Times New Roman" w:eastAsia="Times New Roman"/>
        </w:rPr>
      </w:pPr>
      <w:r>
        <w:rPr>
          <w:rFonts w:ascii="Times New Roman" w:hAnsi="Times New Roman" w:eastAsia="Times New Roman"/>
        </w:rPr>
        <w:t>объединять произведения по жанру, авторской принадлежности;</w:t>
      </w:r>
    </w:p>
    <w:p w14:paraId="10AEBA7F">
      <w:pPr>
        <w:spacing w:after="0" w:line="355" w:lineRule="auto"/>
        <w:ind w:firstLine="709"/>
        <w:jc w:val="both"/>
        <w:rPr>
          <w:rFonts w:ascii="Times New Roman" w:hAnsi="Times New Roman" w:eastAsia="Times New Roman"/>
        </w:rPr>
      </w:pPr>
      <w:r>
        <w:rPr>
          <w:rFonts w:ascii="Times New Roman" w:hAnsi="Times New Roman" w:eastAsia="Times New Roman"/>
        </w:rPr>
        <w:t>определять существенный признак для классификации, классифицировать произведения по темам, жанрам;</w:t>
      </w:r>
    </w:p>
    <w:p w14:paraId="41C8AF50">
      <w:pPr>
        <w:spacing w:after="0" w:line="355" w:lineRule="auto"/>
        <w:ind w:firstLine="709"/>
        <w:jc w:val="both"/>
        <w:rPr>
          <w:rFonts w:ascii="Times New Roman" w:hAnsi="Times New Roman" w:eastAsia="Times New Roman"/>
        </w:rPr>
      </w:pPr>
      <w:r>
        <w:rPr>
          <w:rFonts w:ascii="Times New Roman" w:hAnsi="Times New Roman" w:eastAsia="Times New Roman"/>
        </w:rPr>
        <w:t>находить закономерности и противоречия при анализе сюжета (композиции), восстанавливать нарушенную последовательность событий (сюжета), составлять аннотацию, отзыв по предложенному алгоритму;</w:t>
      </w:r>
    </w:p>
    <w:p w14:paraId="7B33C625">
      <w:pPr>
        <w:spacing w:after="0" w:line="355" w:lineRule="auto"/>
        <w:ind w:firstLine="709"/>
        <w:jc w:val="both"/>
        <w:rPr>
          <w:rFonts w:ascii="Times New Roman" w:hAnsi="Times New Roman" w:eastAsia="Times New Roman"/>
        </w:rPr>
      </w:pPr>
      <w:r>
        <w:rPr>
          <w:rFonts w:ascii="Times New Roman" w:hAnsi="Times New Roman" w:eastAsia="Times New Roman"/>
        </w:rPr>
        <w:t>выявлять недостаток информации для решения учебной (практической) задачи на основе предложенного алгоритма;</w:t>
      </w:r>
    </w:p>
    <w:p w14:paraId="63187F02">
      <w:pPr>
        <w:spacing w:after="0" w:line="355" w:lineRule="auto"/>
        <w:ind w:firstLine="709"/>
        <w:jc w:val="both"/>
        <w:rPr>
          <w:rFonts w:ascii="Times New Roman" w:hAnsi="Times New Roman" w:eastAsia="Times New Roman"/>
        </w:rPr>
      </w:pPr>
      <w:r>
        <w:rPr>
          <w:rFonts w:ascii="Times New Roman" w:hAnsi="Times New Roman" w:eastAsia="Times New Roman"/>
        </w:rPr>
        <w:t>устанавливать причинно-следственные связи в сюжете фольклорного и художественного текста, при составлении плана, пересказе текста, характеристике поступков героев.</w:t>
      </w:r>
    </w:p>
    <w:p w14:paraId="56B7ED39">
      <w:pPr>
        <w:spacing w:after="0" w:line="355" w:lineRule="auto"/>
        <w:ind w:firstLine="709"/>
        <w:jc w:val="both"/>
        <w:rPr>
          <w:rFonts w:ascii="Times New Roman" w:hAnsi="Times New Roman" w:eastAsia="SchoolBookSanPin"/>
        </w:rPr>
      </w:pPr>
      <w:r>
        <w:rPr>
          <w:rFonts w:ascii="Times New Roman" w:hAnsi="Times New Roman" w:eastAsia="OfficinaSansBoldITC"/>
        </w:rPr>
        <w:t>3.10.2.2. </w:t>
      </w:r>
      <w:r>
        <w:rPr>
          <w:rFonts w:ascii="Times New Roman" w:hAnsi="Times New Roman" w:eastAsia="SchoolBookSanPin"/>
        </w:rPr>
        <w:t xml:space="preserve">У обучающегося будут сформированы следующие базовые исследовательские действия как часть </w:t>
      </w:r>
      <w:r>
        <w:rPr>
          <w:rFonts w:ascii="Times New Roman" w:hAnsi="Times New Roman" w:eastAsia="SchoolBookSanPin"/>
          <w:bCs/>
        </w:rPr>
        <w:t>познавательных универсальных учебных действий</w:t>
      </w:r>
      <w:r>
        <w:rPr>
          <w:rFonts w:ascii="Times New Roman" w:hAnsi="Times New Roman" w:eastAsia="SchoolBookSanPin"/>
        </w:rPr>
        <w:t>:</w:t>
      </w:r>
    </w:p>
    <w:p w14:paraId="5EC41589">
      <w:pPr>
        <w:spacing w:after="0" w:line="355" w:lineRule="auto"/>
        <w:ind w:firstLine="709"/>
        <w:jc w:val="both"/>
        <w:rPr>
          <w:rFonts w:ascii="Times New Roman" w:hAnsi="Times New Roman" w:eastAsia="Times New Roman"/>
        </w:rPr>
      </w:pPr>
      <w:r>
        <w:rPr>
          <w:rFonts w:ascii="Times New Roman" w:hAnsi="Times New Roman" w:eastAsia="Times New Roman"/>
        </w:rPr>
        <w:t>определять разрыв между реальным и желательным состоянием объекта (ситуации) на основе предложенных учителем вопросов;</w:t>
      </w:r>
    </w:p>
    <w:p w14:paraId="23E3B85E">
      <w:pPr>
        <w:spacing w:after="0" w:line="355" w:lineRule="auto"/>
        <w:ind w:firstLine="709"/>
        <w:jc w:val="both"/>
        <w:rPr>
          <w:rFonts w:ascii="Times New Roman" w:hAnsi="Times New Roman" w:eastAsia="Times New Roman"/>
        </w:rPr>
      </w:pPr>
      <w:r>
        <w:rPr>
          <w:rFonts w:ascii="Times New Roman" w:hAnsi="Times New Roman" w:eastAsia="Times New Roman"/>
        </w:rPr>
        <w:t>формулировать с помощью учителя цель, планировать изменения объекта, ситуации;</w:t>
      </w:r>
    </w:p>
    <w:p w14:paraId="3ED8127F">
      <w:pPr>
        <w:spacing w:after="0" w:line="355" w:lineRule="auto"/>
        <w:ind w:firstLine="709"/>
        <w:jc w:val="both"/>
        <w:rPr>
          <w:rFonts w:ascii="Times New Roman" w:hAnsi="Times New Roman" w:eastAsia="Times New Roman"/>
        </w:rPr>
      </w:pPr>
      <w:r>
        <w:rPr>
          <w:rFonts w:ascii="Times New Roman" w:hAnsi="Times New Roman" w:eastAsia="Times New Roman"/>
        </w:rPr>
        <w:t xml:space="preserve">сравнивать несколько вариантов решения задачи, выбирать наиболее подходящий (на основе предложенных критериев); </w:t>
      </w:r>
    </w:p>
    <w:p w14:paraId="30BD071C">
      <w:pPr>
        <w:spacing w:after="0" w:line="355" w:lineRule="auto"/>
        <w:ind w:firstLine="709"/>
        <w:jc w:val="both"/>
        <w:rPr>
          <w:rFonts w:ascii="Times New Roman" w:hAnsi="Times New Roman" w:eastAsia="Times New Roman"/>
        </w:rPr>
      </w:pPr>
      <w:r>
        <w:rPr>
          <w:rFonts w:ascii="Times New Roman" w:hAnsi="Times New Roman" w:eastAsia="Times New Roman"/>
        </w:rPr>
        <w:t>формулировать выводы и подкреплять их доказательствами на основе результатов проведённого наблюдения (опыта, классификации, сравнения, исследования);</w:t>
      </w:r>
    </w:p>
    <w:p w14:paraId="442A0E39">
      <w:pPr>
        <w:spacing w:after="0" w:line="355" w:lineRule="auto"/>
        <w:ind w:firstLine="709"/>
        <w:jc w:val="both"/>
        <w:rPr>
          <w:rFonts w:ascii="Times New Roman" w:hAnsi="Times New Roman" w:eastAsia="Times New Roman"/>
        </w:rPr>
      </w:pPr>
      <w:r>
        <w:rPr>
          <w:rFonts w:ascii="Times New Roman" w:hAnsi="Times New Roman" w:eastAsia="Times New Roman"/>
        </w:rPr>
        <w:t>прогнозировать возможное развитие процессов, событий и их последствия в аналогичных или сходных ситуациях.</w:t>
      </w:r>
    </w:p>
    <w:p w14:paraId="11BF2B2C">
      <w:pPr>
        <w:spacing w:after="0" w:line="355" w:lineRule="auto"/>
        <w:ind w:firstLine="709"/>
        <w:jc w:val="both"/>
        <w:rPr>
          <w:rFonts w:ascii="Times New Roman" w:hAnsi="Times New Roman" w:eastAsia="SchoolBookSanPin"/>
        </w:rPr>
      </w:pPr>
      <w:r>
        <w:rPr>
          <w:rFonts w:ascii="Times New Roman" w:hAnsi="Times New Roman" w:eastAsia="OfficinaSansBoldITC"/>
        </w:rPr>
        <w:t>3.10.2.3. </w:t>
      </w:r>
      <w:r>
        <w:rPr>
          <w:rFonts w:ascii="Times New Roman" w:hAnsi="Times New Roman" w:eastAsia="SchoolBookSanPin"/>
        </w:rPr>
        <w:t xml:space="preserve">У обучающегося будут сформированы умения работать с информацией как часть </w:t>
      </w:r>
      <w:r>
        <w:rPr>
          <w:rFonts w:ascii="Times New Roman" w:hAnsi="Times New Roman" w:eastAsia="SchoolBookSanPin"/>
          <w:bCs/>
        </w:rPr>
        <w:t>познавательных универсальных учебных действий</w:t>
      </w:r>
      <w:r>
        <w:rPr>
          <w:rFonts w:ascii="Times New Roman" w:hAnsi="Times New Roman" w:eastAsia="SchoolBookSanPin"/>
        </w:rPr>
        <w:t>:</w:t>
      </w:r>
    </w:p>
    <w:p w14:paraId="2940DDEE">
      <w:pPr>
        <w:spacing w:after="0" w:line="355" w:lineRule="auto"/>
        <w:ind w:firstLine="709"/>
        <w:jc w:val="both"/>
        <w:rPr>
          <w:rFonts w:ascii="Times New Roman" w:hAnsi="Times New Roman" w:eastAsia="Times New Roman"/>
        </w:rPr>
      </w:pPr>
      <w:r>
        <w:rPr>
          <w:rFonts w:ascii="Times New Roman" w:hAnsi="Times New Roman" w:eastAsia="Times New Roman"/>
        </w:rPr>
        <w:t>выбирать источник получения информации;</w:t>
      </w:r>
    </w:p>
    <w:p w14:paraId="38FDF7A8">
      <w:pPr>
        <w:spacing w:after="0" w:line="355" w:lineRule="auto"/>
        <w:ind w:firstLine="709"/>
        <w:jc w:val="both"/>
        <w:rPr>
          <w:rFonts w:ascii="Times New Roman" w:hAnsi="Times New Roman" w:eastAsia="Times New Roman"/>
        </w:rPr>
      </w:pPr>
      <w:r>
        <w:rPr>
          <w:rFonts w:ascii="Times New Roman" w:hAnsi="Times New Roman" w:eastAsia="Times New Roman"/>
        </w:rPr>
        <w:t>находить в предложенном источнике информацию, представленную в явном виде, согласно заданному алгоритму;</w:t>
      </w:r>
    </w:p>
    <w:p w14:paraId="7E28C70E">
      <w:pPr>
        <w:spacing w:after="0" w:line="355" w:lineRule="auto"/>
        <w:ind w:firstLine="709"/>
        <w:jc w:val="both"/>
        <w:rPr>
          <w:rFonts w:ascii="Times New Roman" w:hAnsi="Times New Roman" w:eastAsia="Times New Roman"/>
        </w:rPr>
      </w:pPr>
      <w:r>
        <w:rPr>
          <w:rFonts w:ascii="Times New Roman" w:hAnsi="Times New Roman" w:eastAsia="Times New Roman"/>
        </w:rPr>
        <w:t>распознавать достоверную и недостоверную информацию самостоятельно или на основании предложенного учителем способа её проверки;</w:t>
      </w:r>
    </w:p>
    <w:p w14:paraId="0AE9D14F">
      <w:pPr>
        <w:spacing w:after="0" w:line="355" w:lineRule="auto"/>
        <w:ind w:firstLine="709"/>
        <w:jc w:val="both"/>
        <w:rPr>
          <w:rFonts w:ascii="Times New Roman" w:hAnsi="Times New Roman" w:eastAsia="Times New Roman"/>
        </w:rPr>
      </w:pPr>
      <w:r>
        <w:rPr>
          <w:rFonts w:ascii="Times New Roman" w:hAnsi="Times New Roman" w:eastAsia="Times New Roman"/>
        </w:rPr>
        <w:t>соблюдать с помощью взрослых (учителей, родителей (законных представителей) правила информационной безопасности при поиске информации в Интернете;</w:t>
      </w:r>
    </w:p>
    <w:p w14:paraId="23776112">
      <w:pPr>
        <w:spacing w:after="0" w:line="355" w:lineRule="auto"/>
        <w:ind w:firstLine="709"/>
        <w:jc w:val="both"/>
        <w:rPr>
          <w:rFonts w:ascii="Times New Roman" w:hAnsi="Times New Roman" w:eastAsia="Times New Roman"/>
        </w:rPr>
      </w:pPr>
      <w:r>
        <w:rPr>
          <w:rFonts w:ascii="Times New Roman" w:hAnsi="Times New Roman" w:eastAsia="Times New Roman"/>
        </w:rPr>
        <w:t>анализировать и создавать текстовую, видео, графическую, звуковую информацию в соответствии с учебной задачей;</w:t>
      </w:r>
    </w:p>
    <w:p w14:paraId="1CCF3D96">
      <w:pPr>
        <w:spacing w:after="0" w:line="355" w:lineRule="auto"/>
        <w:ind w:firstLine="709"/>
        <w:jc w:val="both"/>
        <w:rPr>
          <w:rFonts w:ascii="Times New Roman" w:hAnsi="Times New Roman" w:eastAsia="Times New Roman"/>
        </w:rPr>
      </w:pPr>
      <w:r>
        <w:rPr>
          <w:rFonts w:ascii="Times New Roman" w:hAnsi="Times New Roman" w:eastAsia="Times New Roman"/>
        </w:rPr>
        <w:t>самостоятельно создавать схемы, таблицы для представления информации.</w:t>
      </w:r>
    </w:p>
    <w:p w14:paraId="60438A89">
      <w:pPr>
        <w:spacing w:after="0" w:line="355" w:lineRule="auto"/>
        <w:ind w:firstLine="709"/>
        <w:jc w:val="both"/>
        <w:rPr>
          <w:rFonts w:ascii="Times New Roman" w:hAnsi="Times New Roman" w:eastAsia="SchoolBookSanPin"/>
        </w:rPr>
      </w:pPr>
      <w:r>
        <w:rPr>
          <w:rFonts w:ascii="Times New Roman" w:hAnsi="Times New Roman" w:eastAsia="OfficinaSansBoldITC"/>
        </w:rPr>
        <w:t>3.10.2.4. </w:t>
      </w:r>
      <w:r>
        <w:rPr>
          <w:rFonts w:ascii="Times New Roman" w:hAnsi="Times New Roman" w:eastAsia="SchoolBookSanPin"/>
        </w:rPr>
        <w:t xml:space="preserve">У обучающегося будут сформированы умения общения как часть </w:t>
      </w:r>
      <w:r>
        <w:rPr>
          <w:rFonts w:ascii="Times New Roman" w:hAnsi="Times New Roman" w:eastAsia="SchoolBookSanPin"/>
          <w:bCs/>
        </w:rPr>
        <w:t>коммуникативных универсальных учебных действий</w:t>
      </w:r>
      <w:r>
        <w:rPr>
          <w:rFonts w:ascii="Times New Roman" w:hAnsi="Times New Roman" w:eastAsia="SchoolBookSanPin"/>
        </w:rPr>
        <w:t>:</w:t>
      </w:r>
    </w:p>
    <w:p w14:paraId="5D93F936">
      <w:pPr>
        <w:spacing w:after="0" w:line="355" w:lineRule="auto"/>
        <w:ind w:firstLine="709"/>
        <w:jc w:val="both"/>
        <w:rPr>
          <w:rFonts w:ascii="Times New Roman" w:hAnsi="Times New Roman" w:eastAsia="Times New Roman"/>
        </w:rPr>
      </w:pPr>
      <w:r>
        <w:rPr>
          <w:rFonts w:ascii="Times New Roman" w:hAnsi="Times New Roman" w:eastAsia="Times New Roman"/>
        </w:rPr>
        <w:t>воспринимать и формулировать суждения, выражать эмоции в соответствии с целями и условиями общения в знакомой среде;</w:t>
      </w:r>
    </w:p>
    <w:p w14:paraId="103A0725">
      <w:pPr>
        <w:spacing w:after="0" w:line="355" w:lineRule="auto"/>
        <w:ind w:firstLine="709"/>
        <w:jc w:val="both"/>
        <w:rPr>
          <w:rFonts w:ascii="Times New Roman" w:hAnsi="Times New Roman" w:eastAsia="Times New Roman"/>
        </w:rPr>
      </w:pPr>
      <w:r>
        <w:rPr>
          <w:rFonts w:ascii="Times New Roman" w:hAnsi="Times New Roman" w:eastAsia="Times New Roman"/>
        </w:rPr>
        <w:t>проявлять уважительное отношение к собеседнику, соблюдать правила ведения диалога и дискуссии;</w:t>
      </w:r>
    </w:p>
    <w:p w14:paraId="45298261">
      <w:pPr>
        <w:spacing w:after="0" w:line="355" w:lineRule="auto"/>
        <w:ind w:firstLine="709"/>
        <w:jc w:val="both"/>
        <w:rPr>
          <w:rFonts w:ascii="Times New Roman" w:hAnsi="Times New Roman" w:eastAsia="Times New Roman"/>
        </w:rPr>
      </w:pPr>
      <w:r>
        <w:rPr>
          <w:rFonts w:ascii="Times New Roman" w:hAnsi="Times New Roman" w:eastAsia="Times New Roman"/>
        </w:rPr>
        <w:t>признавать возможность существования разных точек зрения;</w:t>
      </w:r>
    </w:p>
    <w:p w14:paraId="1B2F464C">
      <w:pPr>
        <w:spacing w:after="0" w:line="355" w:lineRule="auto"/>
        <w:ind w:firstLine="709"/>
        <w:jc w:val="both"/>
        <w:rPr>
          <w:rFonts w:ascii="Times New Roman" w:hAnsi="Times New Roman" w:eastAsia="Times New Roman"/>
        </w:rPr>
      </w:pPr>
      <w:r>
        <w:rPr>
          <w:rFonts w:ascii="Times New Roman" w:hAnsi="Times New Roman" w:eastAsia="Times New Roman"/>
        </w:rPr>
        <w:t>корректно и аргументированно высказывать своё мнение;</w:t>
      </w:r>
    </w:p>
    <w:p w14:paraId="2689A660">
      <w:pPr>
        <w:spacing w:after="0" w:line="355" w:lineRule="auto"/>
        <w:ind w:firstLine="709"/>
        <w:jc w:val="both"/>
        <w:rPr>
          <w:rFonts w:ascii="Times New Roman" w:hAnsi="Times New Roman" w:eastAsia="Times New Roman"/>
        </w:rPr>
      </w:pPr>
      <w:r>
        <w:rPr>
          <w:rFonts w:ascii="Times New Roman" w:hAnsi="Times New Roman" w:eastAsia="Times New Roman"/>
        </w:rPr>
        <w:t>строить речевое высказывание в соответствии с поставленной задачей;</w:t>
      </w:r>
    </w:p>
    <w:p w14:paraId="79F02378">
      <w:pPr>
        <w:spacing w:after="0" w:line="355" w:lineRule="auto"/>
        <w:ind w:firstLine="709"/>
        <w:jc w:val="both"/>
        <w:rPr>
          <w:rFonts w:ascii="Times New Roman" w:hAnsi="Times New Roman" w:eastAsia="Times New Roman"/>
        </w:rPr>
      </w:pPr>
      <w:r>
        <w:rPr>
          <w:rFonts w:ascii="Times New Roman" w:hAnsi="Times New Roman" w:eastAsia="Times New Roman"/>
        </w:rPr>
        <w:t>создавать устные и письменные тексты (описание, рассуждение, повествование);</w:t>
      </w:r>
    </w:p>
    <w:p w14:paraId="67745194">
      <w:pPr>
        <w:spacing w:after="0" w:line="355" w:lineRule="auto"/>
        <w:ind w:firstLine="709"/>
        <w:jc w:val="both"/>
        <w:rPr>
          <w:rFonts w:ascii="Times New Roman" w:hAnsi="Times New Roman" w:eastAsia="Times New Roman"/>
        </w:rPr>
      </w:pPr>
      <w:r>
        <w:rPr>
          <w:rFonts w:ascii="Times New Roman" w:hAnsi="Times New Roman" w:eastAsia="Times New Roman"/>
        </w:rPr>
        <w:t>подготавливать небольшие публичные выступления;</w:t>
      </w:r>
    </w:p>
    <w:p w14:paraId="5A820C5F">
      <w:pPr>
        <w:spacing w:after="0" w:line="355" w:lineRule="auto"/>
        <w:ind w:firstLine="709"/>
        <w:jc w:val="both"/>
        <w:rPr>
          <w:rFonts w:ascii="Times New Roman" w:hAnsi="Times New Roman" w:eastAsia="Times New Roman"/>
        </w:rPr>
      </w:pPr>
      <w:r>
        <w:rPr>
          <w:rFonts w:ascii="Times New Roman" w:hAnsi="Times New Roman" w:eastAsia="Times New Roman"/>
        </w:rPr>
        <w:t>подбирать иллюстративный материал (рисунки, фото, плакаты) к тексту выступления.</w:t>
      </w:r>
    </w:p>
    <w:p w14:paraId="08A9F0EA">
      <w:pPr>
        <w:spacing w:after="0" w:line="355" w:lineRule="auto"/>
        <w:ind w:firstLine="709"/>
        <w:jc w:val="both"/>
        <w:rPr>
          <w:rFonts w:ascii="Times New Roman" w:hAnsi="Times New Roman" w:eastAsia="SchoolBookSanPin"/>
        </w:rPr>
      </w:pPr>
      <w:r>
        <w:rPr>
          <w:rFonts w:ascii="Times New Roman" w:hAnsi="Times New Roman" w:eastAsia="OfficinaSansBoldITC"/>
        </w:rPr>
        <w:t>3.10.2.5. </w:t>
      </w:r>
      <w:r>
        <w:rPr>
          <w:rFonts w:ascii="Times New Roman" w:hAnsi="Times New Roman" w:eastAsia="SchoolBookSanPin"/>
        </w:rPr>
        <w:t xml:space="preserve">У обучающегося будут сформированы умения самоорганизации как части </w:t>
      </w:r>
      <w:r>
        <w:rPr>
          <w:rFonts w:ascii="Times New Roman" w:hAnsi="Times New Roman" w:eastAsia="SchoolBookSanPin"/>
          <w:bCs/>
        </w:rPr>
        <w:t>регулятивных универсальных учебных действий</w:t>
      </w:r>
      <w:r>
        <w:rPr>
          <w:rFonts w:ascii="Times New Roman" w:hAnsi="Times New Roman" w:eastAsia="SchoolBookSanPin"/>
        </w:rPr>
        <w:t>:</w:t>
      </w:r>
    </w:p>
    <w:p w14:paraId="57A68CE5">
      <w:pPr>
        <w:spacing w:after="0" w:line="355" w:lineRule="auto"/>
        <w:ind w:firstLine="709"/>
        <w:jc w:val="both"/>
        <w:rPr>
          <w:rFonts w:ascii="Times New Roman" w:hAnsi="Times New Roman" w:eastAsia="Times New Roman"/>
        </w:rPr>
      </w:pPr>
      <w:r>
        <w:rPr>
          <w:rFonts w:ascii="Times New Roman" w:hAnsi="Times New Roman" w:eastAsia="Times New Roman"/>
        </w:rPr>
        <w:t>планировать действия по решению учебной задачи для получения результата;</w:t>
      </w:r>
    </w:p>
    <w:p w14:paraId="399BB900">
      <w:pPr>
        <w:spacing w:after="0" w:line="355" w:lineRule="auto"/>
        <w:ind w:firstLine="709"/>
        <w:jc w:val="both"/>
        <w:rPr>
          <w:rFonts w:ascii="Times New Roman" w:hAnsi="Times New Roman" w:eastAsia="Times New Roman"/>
        </w:rPr>
      </w:pPr>
      <w:r>
        <w:rPr>
          <w:rFonts w:ascii="Times New Roman" w:hAnsi="Times New Roman" w:eastAsia="Times New Roman"/>
        </w:rPr>
        <w:t>выстраивать последовательность выбранных действий.</w:t>
      </w:r>
    </w:p>
    <w:p w14:paraId="518F1849">
      <w:pPr>
        <w:spacing w:after="0" w:line="355" w:lineRule="auto"/>
        <w:ind w:firstLine="709"/>
        <w:jc w:val="both"/>
        <w:rPr>
          <w:rFonts w:ascii="Times New Roman" w:hAnsi="Times New Roman" w:eastAsia="SchoolBookSanPin"/>
        </w:rPr>
      </w:pPr>
      <w:r>
        <w:rPr>
          <w:rFonts w:ascii="Times New Roman" w:hAnsi="Times New Roman" w:eastAsia="OfficinaSansBoldITC"/>
        </w:rPr>
        <w:t>3.10.2.6. </w:t>
      </w:r>
      <w:r>
        <w:rPr>
          <w:rFonts w:ascii="Times New Roman" w:hAnsi="Times New Roman" w:eastAsia="SchoolBookSanPin"/>
        </w:rPr>
        <w:t xml:space="preserve">У обучающегося будут сформированы умения самоконтроля как части </w:t>
      </w:r>
      <w:r>
        <w:rPr>
          <w:rFonts w:ascii="Times New Roman" w:hAnsi="Times New Roman" w:eastAsia="SchoolBookSanPin"/>
          <w:bCs/>
        </w:rPr>
        <w:t>регулятивных универсальных учебных действий</w:t>
      </w:r>
      <w:r>
        <w:rPr>
          <w:rFonts w:ascii="Times New Roman" w:hAnsi="Times New Roman" w:eastAsia="SchoolBookSanPin"/>
        </w:rPr>
        <w:t>:</w:t>
      </w:r>
    </w:p>
    <w:p w14:paraId="2128E642">
      <w:pPr>
        <w:spacing w:after="0" w:line="355" w:lineRule="auto"/>
        <w:ind w:firstLine="709"/>
        <w:jc w:val="both"/>
        <w:rPr>
          <w:rFonts w:ascii="Times New Roman" w:hAnsi="Times New Roman" w:eastAsia="Times New Roman"/>
        </w:rPr>
      </w:pPr>
      <w:r>
        <w:rPr>
          <w:rFonts w:ascii="Times New Roman" w:hAnsi="Times New Roman" w:eastAsia="Times New Roman"/>
        </w:rPr>
        <w:t>устанавливать причины успеха (неудач) учебной деятельности;</w:t>
      </w:r>
    </w:p>
    <w:p w14:paraId="0AB01438">
      <w:pPr>
        <w:spacing w:after="0" w:line="355" w:lineRule="auto"/>
        <w:ind w:firstLine="709"/>
        <w:jc w:val="both"/>
        <w:rPr>
          <w:rFonts w:ascii="Times New Roman" w:hAnsi="Times New Roman" w:eastAsia="Times New Roman"/>
        </w:rPr>
      </w:pPr>
      <w:r>
        <w:rPr>
          <w:rFonts w:ascii="Times New Roman" w:hAnsi="Times New Roman" w:eastAsia="Times New Roman"/>
        </w:rPr>
        <w:t>корректировать свои учебные действия для преодоления ошибок.</w:t>
      </w:r>
    </w:p>
    <w:p w14:paraId="1B765105">
      <w:pPr>
        <w:spacing w:after="0" w:line="355" w:lineRule="auto"/>
        <w:ind w:firstLine="709"/>
        <w:jc w:val="both"/>
        <w:rPr>
          <w:rFonts w:ascii="Times New Roman" w:hAnsi="Times New Roman" w:eastAsia="SchoolBookSanPin"/>
        </w:rPr>
      </w:pPr>
      <w:r>
        <w:rPr>
          <w:rFonts w:ascii="Times New Roman" w:hAnsi="Times New Roman" w:eastAsia="OfficinaSansBoldITC"/>
        </w:rPr>
        <w:t>3.10.2.7. </w:t>
      </w:r>
      <w:r>
        <w:rPr>
          <w:rFonts w:ascii="Times New Roman" w:hAnsi="Times New Roman" w:eastAsia="SchoolBookSanPin"/>
        </w:rPr>
        <w:t>У обучающегося будут сформированы умения совместной деятельности:</w:t>
      </w:r>
    </w:p>
    <w:p w14:paraId="4903B600">
      <w:pPr>
        <w:spacing w:after="0" w:line="355" w:lineRule="auto"/>
        <w:ind w:firstLine="709"/>
        <w:jc w:val="both"/>
        <w:rPr>
          <w:rFonts w:ascii="Times New Roman" w:hAnsi="Times New Roman" w:eastAsia="Times New Roman"/>
        </w:rPr>
      </w:pPr>
      <w:r>
        <w:rPr>
          <w:rFonts w:ascii="Times New Roman" w:hAnsi="Times New Roman" w:eastAsia="Times New Roman"/>
        </w:rPr>
        <w:t>формулировать краткосрочные и долгосрочные цели (индивидуальные с учётом участия в коллективных задачах) в стандартной (типовой) ситуации на основе предложенного формата планирования, распределения промежуточных шагов и сроков;</w:t>
      </w:r>
    </w:p>
    <w:p w14:paraId="3BBBAF53">
      <w:pPr>
        <w:spacing w:after="0" w:line="355" w:lineRule="auto"/>
        <w:ind w:firstLine="709"/>
        <w:jc w:val="both"/>
        <w:rPr>
          <w:rFonts w:ascii="Times New Roman" w:hAnsi="Times New Roman" w:eastAsia="Times New Roman"/>
        </w:rPr>
      </w:pPr>
      <w:r>
        <w:rPr>
          <w:rFonts w:ascii="Times New Roman" w:hAnsi="Times New Roman" w:eastAsia="Times New Roman"/>
        </w:rPr>
        <w:t>принимать цель совместной деятельности, коллективно строить действия по её достижению: распределять роли, договариваться, обсуждать процесс и результат совместной работы;</w:t>
      </w:r>
    </w:p>
    <w:p w14:paraId="5D303876">
      <w:pPr>
        <w:spacing w:after="0" w:line="355" w:lineRule="auto"/>
        <w:ind w:firstLine="709"/>
        <w:jc w:val="both"/>
        <w:rPr>
          <w:rFonts w:ascii="Times New Roman" w:hAnsi="Times New Roman" w:eastAsia="Times New Roman"/>
        </w:rPr>
      </w:pPr>
      <w:r>
        <w:rPr>
          <w:rFonts w:ascii="Times New Roman" w:hAnsi="Times New Roman" w:eastAsia="Times New Roman"/>
        </w:rPr>
        <w:t>проявлять готовность руководить, выполнять поручения, подчиняться;</w:t>
      </w:r>
    </w:p>
    <w:p w14:paraId="05004570">
      <w:pPr>
        <w:spacing w:after="0" w:line="355" w:lineRule="auto"/>
        <w:ind w:firstLine="709"/>
        <w:jc w:val="both"/>
        <w:rPr>
          <w:rFonts w:ascii="Times New Roman" w:hAnsi="Times New Roman" w:eastAsia="Times New Roman"/>
        </w:rPr>
      </w:pPr>
      <w:r>
        <w:rPr>
          <w:rFonts w:ascii="Times New Roman" w:hAnsi="Times New Roman" w:eastAsia="Times New Roman"/>
        </w:rPr>
        <w:t>ответственно выполнять свою часть работы;</w:t>
      </w:r>
    </w:p>
    <w:p w14:paraId="4BACC29E">
      <w:pPr>
        <w:spacing w:after="0" w:line="355" w:lineRule="auto"/>
        <w:ind w:firstLine="709"/>
        <w:jc w:val="both"/>
        <w:rPr>
          <w:rFonts w:ascii="Times New Roman" w:hAnsi="Times New Roman" w:eastAsia="Times New Roman"/>
        </w:rPr>
      </w:pPr>
      <w:r>
        <w:rPr>
          <w:rFonts w:ascii="Times New Roman" w:hAnsi="Times New Roman" w:eastAsia="Times New Roman"/>
        </w:rPr>
        <w:t>оценивать свой вклад в общий результат;</w:t>
      </w:r>
    </w:p>
    <w:p w14:paraId="4391777D">
      <w:pPr>
        <w:spacing w:after="0" w:line="355" w:lineRule="auto"/>
        <w:ind w:firstLine="709"/>
        <w:jc w:val="both"/>
        <w:rPr>
          <w:rFonts w:ascii="Times New Roman" w:hAnsi="Times New Roman" w:eastAsia="Times New Roman"/>
        </w:rPr>
      </w:pPr>
      <w:r>
        <w:rPr>
          <w:rFonts w:ascii="Times New Roman" w:hAnsi="Times New Roman" w:eastAsia="Times New Roman"/>
        </w:rPr>
        <w:t>выполнять совместные проектные задания с использованием предложенных образцов;</w:t>
      </w:r>
    </w:p>
    <w:p w14:paraId="6515742A">
      <w:pPr>
        <w:spacing w:after="0" w:line="355" w:lineRule="auto"/>
        <w:ind w:firstLine="709"/>
        <w:jc w:val="both"/>
        <w:rPr>
          <w:rFonts w:ascii="Times New Roman" w:hAnsi="Times New Roman" w:eastAsia="SchoolBookSanPin"/>
        </w:rPr>
      </w:pPr>
      <w:r>
        <w:rPr>
          <w:rFonts w:ascii="Times New Roman" w:hAnsi="Times New Roman" w:eastAsia="SchoolBookSanPin"/>
        </w:rPr>
        <w:t>планировать действия по решению учебной задачи для получения результата;</w:t>
      </w:r>
    </w:p>
    <w:p w14:paraId="2421F3DD">
      <w:pPr>
        <w:spacing w:after="0" w:line="355" w:lineRule="auto"/>
        <w:ind w:firstLine="709"/>
        <w:jc w:val="both"/>
        <w:rPr>
          <w:rFonts w:ascii="Times New Roman" w:hAnsi="Times New Roman" w:eastAsia="SchoolBookSanPin"/>
        </w:rPr>
      </w:pPr>
      <w:r>
        <w:rPr>
          <w:rFonts w:ascii="Times New Roman" w:hAnsi="Times New Roman" w:eastAsia="SchoolBookSanPin"/>
        </w:rPr>
        <w:t>выстраивать последовательность выбранных действий.</w:t>
      </w:r>
    </w:p>
    <w:p w14:paraId="05A1D31C">
      <w:pPr>
        <w:spacing w:after="0" w:line="355" w:lineRule="auto"/>
        <w:ind w:firstLine="709"/>
        <w:jc w:val="both"/>
        <w:rPr>
          <w:rFonts w:ascii="Times New Roman" w:hAnsi="Times New Roman" w:eastAsia="SchoolBookSanPin"/>
        </w:rPr>
      </w:pPr>
      <w:r>
        <w:rPr>
          <w:rFonts w:ascii="Times New Roman" w:hAnsi="Times New Roman" w:eastAsia="SchoolBookSanPin"/>
        </w:rPr>
        <w:t>3.10.3. </w:t>
      </w:r>
      <w:r>
        <w:rPr>
          <w:rFonts w:ascii="Times New Roman" w:hAnsi="Times New Roman" w:eastAsia="OfficinaSansBoldITC"/>
        </w:rPr>
        <w:t>Предметные результаты изучения литературного чтения. К</w:t>
      </w:r>
      <w:r>
        <w:rPr>
          <w:rFonts w:ascii="Times New Roman" w:hAnsi="Times New Roman" w:eastAsia="SchoolBookSanPin"/>
        </w:rPr>
        <w:t xml:space="preserve"> концу обучения в </w:t>
      </w:r>
      <w:r>
        <w:rPr>
          <w:rFonts w:ascii="Times New Roman" w:hAnsi="Times New Roman" w:eastAsia="SchoolBookSanPin"/>
          <w:bCs/>
        </w:rPr>
        <w:t xml:space="preserve">1 классе </w:t>
      </w:r>
      <w:r>
        <w:rPr>
          <w:rFonts w:ascii="Times New Roman" w:hAnsi="Times New Roman" w:eastAsia="SchoolBookSanPin"/>
        </w:rPr>
        <w:t>обучающийся научится:</w:t>
      </w:r>
    </w:p>
    <w:p w14:paraId="635216C4">
      <w:pPr>
        <w:spacing w:after="0" w:line="355" w:lineRule="auto"/>
        <w:ind w:firstLine="709"/>
        <w:jc w:val="both"/>
        <w:rPr>
          <w:rFonts w:ascii="Times New Roman" w:hAnsi="Times New Roman" w:eastAsia="Times New Roman"/>
        </w:rPr>
      </w:pPr>
      <w:r>
        <w:rPr>
          <w:rFonts w:ascii="Times New Roman" w:hAnsi="Times New Roman" w:eastAsia="Times New Roman"/>
        </w:rPr>
        <w:t>понимать ценность чтения для решения учебных задач и применения в различных жизненных ситуациях: отвечать на вопрос о важности чтения для личного развития, находить в художественных произведениях отражение нравственных ценностей, традиций, быта разных народов;</w:t>
      </w:r>
    </w:p>
    <w:p w14:paraId="6C555B18">
      <w:pPr>
        <w:spacing w:after="0" w:line="355" w:lineRule="auto"/>
        <w:ind w:firstLine="709"/>
        <w:jc w:val="both"/>
        <w:rPr>
          <w:rFonts w:ascii="Times New Roman" w:hAnsi="Times New Roman" w:eastAsia="Times New Roman"/>
        </w:rPr>
      </w:pPr>
      <w:r>
        <w:rPr>
          <w:rFonts w:ascii="Times New Roman" w:hAnsi="Times New Roman" w:eastAsia="Times New Roman"/>
        </w:rPr>
        <w:t>владеть техникой слогового плавного чтения с переходом на чтение целыми словами, читать осознанно вслух целыми словами без пропусков и перестановок букв и слогов доступные для восприятия и небольшие по объёму произведения в темпе не менее 30 слов в минуту (без отметочного оценивания);</w:t>
      </w:r>
    </w:p>
    <w:p w14:paraId="2E3817F9">
      <w:pPr>
        <w:spacing w:after="0" w:line="355" w:lineRule="auto"/>
        <w:ind w:firstLine="709"/>
        <w:jc w:val="both"/>
        <w:rPr>
          <w:rFonts w:ascii="Times New Roman" w:hAnsi="Times New Roman" w:eastAsia="Times New Roman"/>
        </w:rPr>
      </w:pPr>
      <w:r>
        <w:rPr>
          <w:rFonts w:ascii="Times New Roman" w:hAnsi="Times New Roman" w:eastAsia="Times New Roman"/>
        </w:rPr>
        <w:t>читать наизусть с соблюдением орфоэпических и пунктуационных норм не менее 2 стихотворений о Родине, о детях, о семье, о родной природе в разные времена года;</w:t>
      </w:r>
    </w:p>
    <w:p w14:paraId="0A49AC42">
      <w:pPr>
        <w:spacing w:after="0" w:line="355" w:lineRule="auto"/>
        <w:ind w:firstLine="709"/>
        <w:jc w:val="both"/>
        <w:rPr>
          <w:rFonts w:ascii="Times New Roman" w:hAnsi="Times New Roman" w:eastAsia="Times New Roman"/>
        </w:rPr>
      </w:pPr>
      <w:r>
        <w:rPr>
          <w:rFonts w:ascii="Times New Roman" w:hAnsi="Times New Roman" w:eastAsia="Times New Roman"/>
        </w:rPr>
        <w:t>различать прозаическую (нестихотворную) и стихотворную речь;</w:t>
      </w:r>
    </w:p>
    <w:p w14:paraId="7013862C">
      <w:pPr>
        <w:spacing w:after="0" w:line="355" w:lineRule="auto"/>
        <w:ind w:firstLine="709"/>
        <w:jc w:val="both"/>
        <w:rPr>
          <w:rFonts w:ascii="Times New Roman" w:hAnsi="Times New Roman" w:eastAsia="Times New Roman"/>
        </w:rPr>
      </w:pPr>
      <w:r>
        <w:rPr>
          <w:rFonts w:ascii="Times New Roman" w:hAnsi="Times New Roman" w:eastAsia="Times New Roman"/>
        </w:rPr>
        <w:t>различать отдельные жанры фольклора (устного народного творчества) и художественной литературы (загадки, пословицы, потешки, сказки (фольклорные и литературные), рассказы, стихотворения);</w:t>
      </w:r>
    </w:p>
    <w:p w14:paraId="444112CA">
      <w:pPr>
        <w:spacing w:after="0" w:line="355" w:lineRule="auto"/>
        <w:ind w:firstLine="709"/>
        <w:jc w:val="both"/>
        <w:rPr>
          <w:rFonts w:ascii="Times New Roman" w:hAnsi="Times New Roman" w:eastAsia="Times New Roman"/>
        </w:rPr>
      </w:pPr>
      <w:r>
        <w:rPr>
          <w:rFonts w:ascii="Times New Roman" w:hAnsi="Times New Roman" w:eastAsia="Times New Roman"/>
        </w:rPr>
        <w:t>понимать содержание прослушанного (прочитанного) произведения: отвечать на вопросы по фактическому содержанию произведения;</w:t>
      </w:r>
    </w:p>
    <w:p w14:paraId="465DFCE6">
      <w:pPr>
        <w:spacing w:after="0" w:line="355" w:lineRule="auto"/>
        <w:ind w:firstLine="709"/>
        <w:jc w:val="both"/>
        <w:rPr>
          <w:rFonts w:ascii="Times New Roman" w:hAnsi="Times New Roman" w:eastAsia="Times New Roman"/>
        </w:rPr>
      </w:pPr>
      <w:r>
        <w:rPr>
          <w:rFonts w:ascii="Times New Roman" w:hAnsi="Times New Roman" w:eastAsia="Times New Roman"/>
        </w:rPr>
        <w:t>владеть элементарными умениями анализа текста прослушанного (прочитанного) произведения: определять последовательность событий в произведении, характеризовать поступки (положительные или отрицательные) героя, объяснять значение незнакомого слова с использованием словаря;</w:t>
      </w:r>
    </w:p>
    <w:p w14:paraId="63E15B52">
      <w:pPr>
        <w:spacing w:after="0" w:line="355" w:lineRule="auto"/>
        <w:ind w:firstLine="709"/>
        <w:jc w:val="both"/>
        <w:rPr>
          <w:rFonts w:ascii="Times New Roman" w:hAnsi="Times New Roman" w:eastAsia="Times New Roman"/>
        </w:rPr>
      </w:pPr>
      <w:r>
        <w:rPr>
          <w:rFonts w:ascii="Times New Roman" w:hAnsi="Times New Roman" w:eastAsia="Times New Roman"/>
        </w:rPr>
        <w:t>участвовать в обсуждении прослушанного (прочитанного) произведения: отвечать на вопросы о впечатлении от произведения, использовать в беседе изученные литературные понятия (автор, герой, тема, идея, заголовок, содержание произведения), подтверждать свой ответ примерами из текста;</w:t>
      </w:r>
    </w:p>
    <w:p w14:paraId="7FECEB56">
      <w:pPr>
        <w:spacing w:after="0" w:line="355" w:lineRule="auto"/>
        <w:ind w:firstLine="709"/>
        <w:jc w:val="both"/>
        <w:rPr>
          <w:rFonts w:ascii="Times New Roman" w:hAnsi="Times New Roman" w:eastAsia="Times New Roman"/>
        </w:rPr>
      </w:pPr>
      <w:r>
        <w:rPr>
          <w:rFonts w:ascii="Times New Roman" w:hAnsi="Times New Roman" w:eastAsia="Times New Roman"/>
        </w:rPr>
        <w:t>пересказывать (устно) содержание произведения с соблюдением последовательности событий, с использованием предложенных ключевых слов, вопросов, рисунков, предложенного плана;</w:t>
      </w:r>
    </w:p>
    <w:p w14:paraId="7BCA44C2">
      <w:pPr>
        <w:spacing w:after="0" w:line="355" w:lineRule="auto"/>
        <w:ind w:firstLine="709"/>
        <w:jc w:val="both"/>
        <w:rPr>
          <w:rFonts w:ascii="Times New Roman" w:hAnsi="Times New Roman" w:eastAsia="Times New Roman"/>
        </w:rPr>
      </w:pPr>
      <w:r>
        <w:rPr>
          <w:rFonts w:ascii="Times New Roman" w:hAnsi="Times New Roman" w:eastAsia="Times New Roman"/>
        </w:rPr>
        <w:t>читать по ролям с соблюдением норм произношения, расстановки ударения;</w:t>
      </w:r>
    </w:p>
    <w:p w14:paraId="1240653F">
      <w:pPr>
        <w:spacing w:after="0" w:line="355" w:lineRule="auto"/>
        <w:ind w:firstLine="709"/>
        <w:jc w:val="both"/>
        <w:rPr>
          <w:rFonts w:ascii="Times New Roman" w:hAnsi="Times New Roman" w:eastAsia="Times New Roman"/>
        </w:rPr>
      </w:pPr>
      <w:r>
        <w:rPr>
          <w:rFonts w:ascii="Times New Roman" w:hAnsi="Times New Roman" w:eastAsia="Times New Roman"/>
        </w:rPr>
        <w:t>составлять высказывания по содержанию произведения (не менее 3 предложений) по заданному алгоритму;</w:t>
      </w:r>
    </w:p>
    <w:p w14:paraId="7377E48A">
      <w:pPr>
        <w:spacing w:after="0" w:line="355" w:lineRule="auto"/>
        <w:ind w:firstLine="709"/>
        <w:jc w:val="both"/>
        <w:rPr>
          <w:rFonts w:ascii="Times New Roman" w:hAnsi="Times New Roman" w:eastAsia="Times New Roman"/>
        </w:rPr>
      </w:pPr>
      <w:r>
        <w:rPr>
          <w:rFonts w:ascii="Times New Roman" w:hAnsi="Times New Roman" w:eastAsia="Times New Roman"/>
        </w:rPr>
        <w:t>сочинять небольшие тексты по предложенному началу (не менее 3 предложений);</w:t>
      </w:r>
    </w:p>
    <w:p w14:paraId="3D166D45">
      <w:pPr>
        <w:spacing w:after="0" w:line="355" w:lineRule="auto"/>
        <w:ind w:firstLine="709"/>
        <w:jc w:val="both"/>
        <w:rPr>
          <w:rFonts w:ascii="Times New Roman" w:hAnsi="Times New Roman" w:eastAsia="Times New Roman"/>
        </w:rPr>
      </w:pPr>
      <w:r>
        <w:rPr>
          <w:rFonts w:ascii="Times New Roman" w:hAnsi="Times New Roman" w:eastAsia="Times New Roman"/>
        </w:rPr>
        <w:t>ориентироваться в книге (учебнике) по обложке, оглавлению, иллюстрациям;</w:t>
      </w:r>
    </w:p>
    <w:p w14:paraId="542B6889">
      <w:pPr>
        <w:spacing w:after="0" w:line="355" w:lineRule="auto"/>
        <w:ind w:firstLine="709"/>
        <w:jc w:val="both"/>
        <w:rPr>
          <w:rFonts w:ascii="Times New Roman" w:hAnsi="Times New Roman" w:eastAsia="Times New Roman"/>
        </w:rPr>
      </w:pPr>
      <w:r>
        <w:rPr>
          <w:rFonts w:ascii="Times New Roman" w:hAnsi="Times New Roman" w:eastAsia="Times New Roman"/>
        </w:rPr>
        <w:t>выбирать книги для самостоятельного чтения по совету взрослого и с учётом рекомендованного учителем списка, рассказывать о прочитанной книге по предложенному алгоритму;</w:t>
      </w:r>
    </w:p>
    <w:p w14:paraId="7A6124B0">
      <w:pPr>
        <w:spacing w:after="0" w:line="355" w:lineRule="auto"/>
        <w:ind w:firstLine="709"/>
        <w:jc w:val="both"/>
        <w:rPr>
          <w:rFonts w:ascii="Times New Roman" w:hAnsi="Times New Roman" w:eastAsia="Times New Roman"/>
        </w:rPr>
      </w:pPr>
      <w:r>
        <w:rPr>
          <w:rFonts w:ascii="Times New Roman" w:hAnsi="Times New Roman" w:eastAsia="Times New Roman"/>
        </w:rPr>
        <w:t>обращаться к справочной литературе для получения дополнительной информации в соответствии с учебной задачей.</w:t>
      </w:r>
    </w:p>
    <w:p w14:paraId="031893E9">
      <w:pPr>
        <w:spacing w:after="0" w:line="355" w:lineRule="auto"/>
        <w:ind w:firstLine="709"/>
        <w:jc w:val="both"/>
        <w:rPr>
          <w:rFonts w:ascii="Times New Roman" w:hAnsi="Times New Roman" w:eastAsia="SchoolBookSanPin"/>
        </w:rPr>
      </w:pPr>
      <w:r>
        <w:rPr>
          <w:rFonts w:ascii="Times New Roman" w:hAnsi="Times New Roman" w:eastAsia="SchoolBookSanPin"/>
        </w:rPr>
        <w:t>3.10.4. </w:t>
      </w:r>
      <w:r>
        <w:rPr>
          <w:rFonts w:ascii="Times New Roman" w:hAnsi="Times New Roman" w:eastAsia="OfficinaSansBoldITC"/>
        </w:rPr>
        <w:t>Предметные результаты изучения литературного чтения. К</w:t>
      </w:r>
      <w:r>
        <w:rPr>
          <w:rFonts w:ascii="Times New Roman" w:hAnsi="Times New Roman" w:eastAsia="SchoolBookSanPin"/>
        </w:rPr>
        <w:t xml:space="preserve"> концу обучения во </w:t>
      </w:r>
      <w:r>
        <w:rPr>
          <w:rFonts w:ascii="Times New Roman" w:hAnsi="Times New Roman" w:eastAsia="SchoolBookSanPin"/>
          <w:bCs/>
        </w:rPr>
        <w:t xml:space="preserve">2 классе </w:t>
      </w:r>
      <w:r>
        <w:rPr>
          <w:rFonts w:ascii="Times New Roman" w:hAnsi="Times New Roman" w:eastAsia="SchoolBookSanPin"/>
        </w:rPr>
        <w:t>обучающийся научится:</w:t>
      </w:r>
    </w:p>
    <w:p w14:paraId="42F32B88">
      <w:pPr>
        <w:spacing w:after="0" w:line="355" w:lineRule="auto"/>
        <w:ind w:firstLine="709"/>
        <w:jc w:val="both"/>
        <w:rPr>
          <w:rFonts w:ascii="Times New Roman" w:hAnsi="Times New Roman" w:eastAsia="Times New Roman"/>
        </w:rPr>
      </w:pPr>
      <w:r>
        <w:rPr>
          <w:rFonts w:ascii="Times New Roman" w:hAnsi="Times New Roman" w:eastAsia="Times New Roman"/>
        </w:rPr>
        <w:t>объяснять важность чтения для решения учебных задач и применения в различных жизненных ситуациях: переходить от чтения вслух к чтению про себя в соответствии с учебной задачей, обращаться к разным видам чтения (изучающее, ознакомительное, поисковое выборочное, просмотровое выборочное), находить в фольклоре и литературных произведениях отражение нравственных ценностей, традиций, быта, культуры разных народов, ориентироваться в нравственно-этических понятиях в контексте изученных произведений;</w:t>
      </w:r>
    </w:p>
    <w:p w14:paraId="2E7BC0A9">
      <w:pPr>
        <w:spacing w:after="0" w:line="355" w:lineRule="auto"/>
        <w:ind w:firstLine="709"/>
        <w:jc w:val="both"/>
        <w:rPr>
          <w:rFonts w:ascii="Times New Roman" w:hAnsi="Times New Roman" w:eastAsia="Times New Roman"/>
        </w:rPr>
      </w:pPr>
      <w:r>
        <w:rPr>
          <w:rFonts w:ascii="Times New Roman" w:hAnsi="Times New Roman" w:eastAsia="Times New Roman"/>
        </w:rPr>
        <w:t>читать вслух целыми словами без пропусков и перестановок букв и слогов доступные по восприятию и небольшие по объёму прозаические и стихотворные произведения в темпе не менее 40 слов в минуту (без отметочного оценивания);</w:t>
      </w:r>
    </w:p>
    <w:p w14:paraId="63F1C095">
      <w:pPr>
        <w:spacing w:after="0" w:line="355" w:lineRule="auto"/>
        <w:ind w:firstLine="709"/>
        <w:jc w:val="both"/>
        <w:rPr>
          <w:rFonts w:ascii="Times New Roman" w:hAnsi="Times New Roman" w:eastAsia="Times New Roman"/>
        </w:rPr>
      </w:pPr>
      <w:r>
        <w:rPr>
          <w:rFonts w:ascii="Times New Roman" w:hAnsi="Times New Roman" w:eastAsia="Times New Roman"/>
        </w:rPr>
        <w:t>читать наизусть с соблюдением орфоэпических и пунктуационных норм не менее 3 стихотворений о Родине, о детях, о семье, о родной природе в разные времена года;</w:t>
      </w:r>
    </w:p>
    <w:p w14:paraId="4C548ECD">
      <w:pPr>
        <w:spacing w:after="0" w:line="355" w:lineRule="auto"/>
        <w:ind w:firstLine="709"/>
        <w:jc w:val="both"/>
        <w:rPr>
          <w:rFonts w:ascii="Times New Roman" w:hAnsi="Times New Roman" w:eastAsia="Times New Roman"/>
        </w:rPr>
      </w:pPr>
      <w:r>
        <w:rPr>
          <w:rFonts w:ascii="Times New Roman" w:hAnsi="Times New Roman" w:eastAsia="Times New Roman"/>
        </w:rPr>
        <w:t>различать прозаическую и стихотворную речь: называть особенности стихотворного произведения (ритм, рифма);</w:t>
      </w:r>
    </w:p>
    <w:p w14:paraId="39ADAA59">
      <w:pPr>
        <w:spacing w:after="0" w:line="355" w:lineRule="auto"/>
        <w:ind w:firstLine="709"/>
        <w:jc w:val="both"/>
        <w:rPr>
          <w:rFonts w:ascii="Times New Roman" w:hAnsi="Times New Roman" w:eastAsia="Times New Roman"/>
        </w:rPr>
      </w:pPr>
      <w:r>
        <w:rPr>
          <w:rFonts w:ascii="Times New Roman" w:hAnsi="Times New Roman" w:eastAsia="Times New Roman"/>
        </w:rPr>
        <w:t>понимать содержание, смысл прослушанного (прочитанного) произведения: отвечать и формулировать вопросы по фактическому содержанию произведения;</w:t>
      </w:r>
    </w:p>
    <w:p w14:paraId="67038752">
      <w:pPr>
        <w:spacing w:after="0" w:line="355" w:lineRule="auto"/>
        <w:ind w:firstLine="709"/>
        <w:jc w:val="both"/>
        <w:rPr>
          <w:rFonts w:ascii="Times New Roman" w:hAnsi="Times New Roman" w:eastAsia="Times New Roman"/>
        </w:rPr>
      </w:pPr>
      <w:r>
        <w:rPr>
          <w:rFonts w:ascii="Times New Roman" w:hAnsi="Times New Roman" w:eastAsia="Times New Roman"/>
        </w:rPr>
        <w:t>различать отдельные жанры фольклора (считалки, загадки, пословицы, потешки, небылицы, народные песни, скороговорки, сказки о животных, бытовые и волшебные) и художественной литературы (литературные сказки, рассказы, стихотворения, басни);</w:t>
      </w:r>
    </w:p>
    <w:p w14:paraId="2419431C">
      <w:pPr>
        <w:spacing w:after="0" w:line="355" w:lineRule="auto"/>
        <w:ind w:firstLine="709"/>
        <w:jc w:val="both"/>
        <w:rPr>
          <w:rFonts w:ascii="Times New Roman" w:hAnsi="Times New Roman" w:eastAsia="Times New Roman"/>
        </w:rPr>
      </w:pPr>
      <w:r>
        <w:rPr>
          <w:rFonts w:ascii="Times New Roman" w:hAnsi="Times New Roman" w:eastAsia="Times New Roman"/>
        </w:rPr>
        <w:t>владеть элементарными умениями анализа и интерпретации текста: определять тему и главную мысль, воспроизводить последовательность событий тексте произведения, составлять план текста (вопросный, номинативный);</w:t>
      </w:r>
    </w:p>
    <w:p w14:paraId="666180C1">
      <w:pPr>
        <w:spacing w:after="0" w:line="355" w:lineRule="auto"/>
        <w:ind w:firstLine="709"/>
        <w:jc w:val="both"/>
        <w:rPr>
          <w:rFonts w:ascii="Times New Roman" w:hAnsi="Times New Roman" w:eastAsia="Times New Roman"/>
        </w:rPr>
      </w:pPr>
      <w:r>
        <w:rPr>
          <w:rFonts w:ascii="Times New Roman" w:hAnsi="Times New Roman" w:eastAsia="Times New Roman"/>
        </w:rPr>
        <w:t>описывать характер героя, находить в тексте средства изображения (портрет) героя и выражения его чувств, оценивать поступки героев произведения, устанавливать взаимосвязь между характером героя и его поступками, сравнивать героев одного произведения по предложенным критериям, характеризовать отношение автора к героям, его поступкам;</w:t>
      </w:r>
    </w:p>
    <w:p w14:paraId="5634E787">
      <w:pPr>
        <w:spacing w:after="0" w:line="355" w:lineRule="auto"/>
        <w:ind w:firstLine="709"/>
        <w:jc w:val="both"/>
        <w:rPr>
          <w:rFonts w:ascii="Times New Roman" w:hAnsi="Times New Roman" w:eastAsia="Times New Roman"/>
        </w:rPr>
      </w:pPr>
      <w:r>
        <w:rPr>
          <w:rFonts w:ascii="Times New Roman" w:hAnsi="Times New Roman" w:eastAsia="Times New Roman"/>
        </w:rPr>
        <w:t>объяснять значение незнакомого слова с использованием контекста и словаря; находить в тексте примеры использования слов в прямом и переносном значении;</w:t>
      </w:r>
    </w:p>
    <w:p w14:paraId="36280B96">
      <w:pPr>
        <w:spacing w:after="0" w:line="355" w:lineRule="auto"/>
        <w:ind w:firstLine="709"/>
        <w:jc w:val="both"/>
        <w:rPr>
          <w:rFonts w:ascii="Times New Roman" w:hAnsi="Times New Roman" w:eastAsia="Times New Roman"/>
        </w:rPr>
      </w:pPr>
      <w:r>
        <w:rPr>
          <w:rFonts w:ascii="Times New Roman" w:hAnsi="Times New Roman" w:eastAsia="Times New Roman"/>
        </w:rPr>
        <w:t>осознанно применять для анализа текста изученные понятия (автор, литературный герой, тема, идея, заголовок, содержание произведения, сравнение, эпитет);</w:t>
      </w:r>
    </w:p>
    <w:p w14:paraId="18E0C211">
      <w:pPr>
        <w:spacing w:after="0" w:line="355" w:lineRule="auto"/>
        <w:ind w:firstLine="709"/>
        <w:jc w:val="both"/>
        <w:rPr>
          <w:rFonts w:ascii="Times New Roman" w:hAnsi="Times New Roman" w:eastAsia="Times New Roman"/>
        </w:rPr>
      </w:pPr>
      <w:r>
        <w:rPr>
          <w:rFonts w:ascii="Times New Roman" w:hAnsi="Times New Roman" w:eastAsia="Times New Roman"/>
        </w:rPr>
        <w:t>участвовать в обсуждении прослушанного (прочитанного) произведения: понимать жанровую принадлежность произведения, формулировать устно простые выводы, подтверждать свой ответ примерами из текста;</w:t>
      </w:r>
    </w:p>
    <w:p w14:paraId="3030AEC8">
      <w:pPr>
        <w:spacing w:after="0" w:line="355" w:lineRule="auto"/>
        <w:ind w:firstLine="709"/>
        <w:jc w:val="both"/>
        <w:rPr>
          <w:rFonts w:ascii="Times New Roman" w:hAnsi="Times New Roman" w:eastAsia="Times New Roman"/>
        </w:rPr>
      </w:pPr>
      <w:r>
        <w:rPr>
          <w:rFonts w:ascii="Times New Roman" w:hAnsi="Times New Roman" w:eastAsia="Times New Roman"/>
        </w:rPr>
        <w:t>пересказывать (устно) содержание произведения подробно, выборочно, от лица героя, от третьего лица;</w:t>
      </w:r>
    </w:p>
    <w:p w14:paraId="030A262C">
      <w:pPr>
        <w:spacing w:after="0" w:line="355" w:lineRule="auto"/>
        <w:ind w:firstLine="709"/>
        <w:jc w:val="both"/>
        <w:rPr>
          <w:rFonts w:ascii="Times New Roman" w:hAnsi="Times New Roman" w:eastAsia="Times New Roman"/>
        </w:rPr>
      </w:pPr>
      <w:r>
        <w:rPr>
          <w:rFonts w:ascii="Times New Roman" w:hAnsi="Times New Roman" w:eastAsia="Times New Roman"/>
        </w:rPr>
        <w:t>читать по ролям с соблюдением норм произношения, расстановки ударения, инсценировать небольшие эпизоды из произведения;</w:t>
      </w:r>
    </w:p>
    <w:p w14:paraId="5AF23B07">
      <w:pPr>
        <w:spacing w:after="0" w:line="355" w:lineRule="auto"/>
        <w:ind w:firstLine="709"/>
        <w:jc w:val="both"/>
        <w:rPr>
          <w:rFonts w:ascii="Times New Roman" w:hAnsi="Times New Roman" w:eastAsia="Times New Roman"/>
        </w:rPr>
      </w:pPr>
      <w:r>
        <w:rPr>
          <w:rFonts w:ascii="Times New Roman" w:hAnsi="Times New Roman" w:eastAsia="Times New Roman"/>
        </w:rPr>
        <w:t>составлять высказывания на заданную тему по содержанию произведения (не менее 5 предложений);</w:t>
      </w:r>
    </w:p>
    <w:p w14:paraId="440C9870">
      <w:pPr>
        <w:spacing w:after="0" w:line="355" w:lineRule="auto"/>
        <w:ind w:firstLine="709"/>
        <w:jc w:val="both"/>
        <w:rPr>
          <w:rFonts w:ascii="Times New Roman" w:hAnsi="Times New Roman" w:eastAsia="Times New Roman"/>
        </w:rPr>
      </w:pPr>
      <w:r>
        <w:rPr>
          <w:rFonts w:ascii="Times New Roman" w:hAnsi="Times New Roman" w:eastAsia="Times New Roman"/>
        </w:rPr>
        <w:t>сочинять по аналогии с прочитанным загадки, небольшие сказки, рассказы;</w:t>
      </w:r>
    </w:p>
    <w:p w14:paraId="77336DC5">
      <w:pPr>
        <w:spacing w:after="0" w:line="355" w:lineRule="auto"/>
        <w:ind w:firstLine="709"/>
        <w:jc w:val="both"/>
        <w:rPr>
          <w:rFonts w:ascii="Times New Roman" w:hAnsi="Times New Roman" w:eastAsia="Times New Roman"/>
        </w:rPr>
      </w:pPr>
      <w:r>
        <w:rPr>
          <w:rFonts w:ascii="Times New Roman" w:hAnsi="Times New Roman" w:eastAsia="Times New Roman"/>
        </w:rPr>
        <w:t>ориентироваться в книге и (или) учебнике по обложке, оглавлению, аннотации, иллюстрациям, предисловию, условным обозначениям;</w:t>
      </w:r>
    </w:p>
    <w:p w14:paraId="5B455681">
      <w:pPr>
        <w:spacing w:after="0" w:line="355" w:lineRule="auto"/>
        <w:ind w:firstLine="709"/>
        <w:jc w:val="both"/>
        <w:rPr>
          <w:rFonts w:ascii="Times New Roman" w:hAnsi="Times New Roman" w:eastAsia="Times New Roman"/>
        </w:rPr>
      </w:pPr>
      <w:r>
        <w:rPr>
          <w:rFonts w:ascii="Times New Roman" w:hAnsi="Times New Roman" w:eastAsia="Times New Roman"/>
        </w:rPr>
        <w:t>выбирать книги для самостоятельного чтения с учётом рекомендательного списка, используя картотеки, рассказывать о прочитанной книге;</w:t>
      </w:r>
    </w:p>
    <w:p w14:paraId="698A603D">
      <w:pPr>
        <w:spacing w:after="0" w:line="355" w:lineRule="auto"/>
        <w:ind w:firstLine="709"/>
        <w:jc w:val="both"/>
        <w:rPr>
          <w:rFonts w:ascii="Times New Roman" w:hAnsi="Times New Roman" w:eastAsia="Times New Roman"/>
        </w:rPr>
      </w:pPr>
      <w:r>
        <w:rPr>
          <w:rFonts w:ascii="Times New Roman" w:hAnsi="Times New Roman" w:eastAsia="Times New Roman"/>
        </w:rPr>
        <w:t>использовать справочную литературу для получения дополнительной информации в соответствии с учебной задачей.</w:t>
      </w:r>
    </w:p>
    <w:p w14:paraId="4C5846FE">
      <w:pPr>
        <w:spacing w:after="0" w:line="355" w:lineRule="auto"/>
        <w:ind w:firstLine="709"/>
        <w:jc w:val="both"/>
        <w:rPr>
          <w:rFonts w:ascii="Times New Roman" w:hAnsi="Times New Roman" w:eastAsia="SchoolBookSanPin"/>
        </w:rPr>
      </w:pPr>
      <w:r>
        <w:rPr>
          <w:rFonts w:ascii="Times New Roman" w:hAnsi="Times New Roman" w:eastAsia="SchoolBookSanPin"/>
        </w:rPr>
        <w:t>3.10.5. </w:t>
      </w:r>
      <w:r>
        <w:rPr>
          <w:rFonts w:ascii="Times New Roman" w:hAnsi="Times New Roman" w:eastAsia="OfficinaSansBoldITC"/>
        </w:rPr>
        <w:t>Предметные результаты изучения литературного чтения. К</w:t>
      </w:r>
      <w:r>
        <w:rPr>
          <w:rFonts w:ascii="Times New Roman" w:hAnsi="Times New Roman" w:eastAsia="SchoolBookSanPin"/>
        </w:rPr>
        <w:t xml:space="preserve"> концу обучения в </w:t>
      </w:r>
      <w:r>
        <w:rPr>
          <w:rFonts w:ascii="Times New Roman" w:hAnsi="Times New Roman" w:eastAsia="SchoolBookSanPin"/>
          <w:bCs/>
        </w:rPr>
        <w:t xml:space="preserve">3 классе </w:t>
      </w:r>
      <w:r>
        <w:rPr>
          <w:rFonts w:ascii="Times New Roman" w:hAnsi="Times New Roman" w:eastAsia="SchoolBookSanPin"/>
        </w:rPr>
        <w:t>обучающийся научится:</w:t>
      </w:r>
    </w:p>
    <w:p w14:paraId="2818EA7E">
      <w:pPr>
        <w:spacing w:after="0" w:line="355" w:lineRule="auto"/>
        <w:ind w:firstLine="709"/>
        <w:jc w:val="both"/>
        <w:rPr>
          <w:rFonts w:ascii="Times New Roman" w:hAnsi="Times New Roman" w:eastAsia="Times New Roman"/>
        </w:rPr>
      </w:pPr>
      <w:r>
        <w:rPr>
          <w:rFonts w:ascii="Times New Roman" w:hAnsi="Times New Roman" w:eastAsia="Times New Roman"/>
        </w:rPr>
        <w:t>отвечать на вопрос о культурной значимости устного народного творчества и художественной литературы, находить в фольклоре и литературных произведениях отражение нравственных ценностей, традиций, быта, культуры разных народов, ориентироваться в нравственно-этических понятиях в контексте изученных произведений;</w:t>
      </w:r>
    </w:p>
    <w:p w14:paraId="64BE3385">
      <w:pPr>
        <w:spacing w:after="0" w:line="355" w:lineRule="auto"/>
        <w:ind w:firstLine="709"/>
        <w:jc w:val="both"/>
        <w:rPr>
          <w:rFonts w:ascii="Times New Roman" w:hAnsi="Times New Roman" w:eastAsia="Times New Roman"/>
        </w:rPr>
      </w:pPr>
      <w:r>
        <w:rPr>
          <w:rFonts w:ascii="Times New Roman" w:hAnsi="Times New Roman" w:eastAsia="Times New Roman"/>
        </w:rPr>
        <w:t>читать вслух и про себя в соответствии с учебной задачей, использовать разные виды чтения (изучающее, ознакомительное, поисковое выборочное, просмотровое выборочное);</w:t>
      </w:r>
    </w:p>
    <w:p w14:paraId="7A2DD72F">
      <w:pPr>
        <w:spacing w:after="0" w:line="355" w:lineRule="auto"/>
        <w:ind w:firstLine="709"/>
        <w:jc w:val="both"/>
        <w:rPr>
          <w:rFonts w:ascii="Times New Roman" w:hAnsi="Times New Roman" w:eastAsia="Times New Roman"/>
        </w:rPr>
      </w:pPr>
      <w:r>
        <w:rPr>
          <w:rFonts w:ascii="Times New Roman" w:hAnsi="Times New Roman" w:eastAsia="Times New Roman"/>
        </w:rPr>
        <w:t>читать вслух целыми словами без пропусков и перестановок букв и слогов доступные по восприятию и небольшие по объёму прозаические и стихотворные произведения в темпе не менее 60 слов в минуту (без отметочного оценивания);</w:t>
      </w:r>
    </w:p>
    <w:p w14:paraId="02B32F87">
      <w:pPr>
        <w:spacing w:after="0" w:line="355" w:lineRule="auto"/>
        <w:ind w:firstLine="709"/>
        <w:jc w:val="both"/>
        <w:rPr>
          <w:rFonts w:ascii="Times New Roman" w:hAnsi="Times New Roman" w:eastAsia="Times New Roman"/>
        </w:rPr>
      </w:pPr>
      <w:r>
        <w:rPr>
          <w:rFonts w:ascii="Times New Roman" w:hAnsi="Times New Roman" w:eastAsia="Times New Roman"/>
        </w:rPr>
        <w:t>читать наизусть не менее 4 стихотворений в соответствии с изученной тематикой произведений;</w:t>
      </w:r>
    </w:p>
    <w:p w14:paraId="7400A1B3">
      <w:pPr>
        <w:spacing w:after="0" w:line="355" w:lineRule="auto"/>
        <w:ind w:firstLine="709"/>
        <w:jc w:val="both"/>
        <w:rPr>
          <w:rFonts w:ascii="Times New Roman" w:hAnsi="Times New Roman" w:eastAsia="Times New Roman"/>
        </w:rPr>
      </w:pPr>
      <w:r>
        <w:rPr>
          <w:rFonts w:ascii="Times New Roman" w:hAnsi="Times New Roman" w:eastAsia="Times New Roman"/>
        </w:rPr>
        <w:t>различать художественные произведения и познавательные тексты;</w:t>
      </w:r>
    </w:p>
    <w:p w14:paraId="432A2C49">
      <w:pPr>
        <w:spacing w:after="0" w:line="355" w:lineRule="auto"/>
        <w:ind w:firstLine="709"/>
        <w:jc w:val="both"/>
        <w:rPr>
          <w:rFonts w:ascii="Times New Roman" w:hAnsi="Times New Roman" w:eastAsia="Times New Roman"/>
        </w:rPr>
      </w:pPr>
      <w:r>
        <w:rPr>
          <w:rFonts w:ascii="Times New Roman" w:hAnsi="Times New Roman" w:eastAsia="Times New Roman"/>
        </w:rPr>
        <w:t>различать прозаическую и стихотворную речь: называть особенности стихотворного произведения (ритм, рифма, строфа), отличать лирическое произведение от эпического;</w:t>
      </w:r>
    </w:p>
    <w:p w14:paraId="60C5FAB6">
      <w:pPr>
        <w:spacing w:after="0" w:line="355" w:lineRule="auto"/>
        <w:ind w:firstLine="709"/>
        <w:jc w:val="both"/>
        <w:rPr>
          <w:rFonts w:ascii="Times New Roman" w:hAnsi="Times New Roman" w:eastAsia="Times New Roman"/>
        </w:rPr>
      </w:pPr>
      <w:r>
        <w:rPr>
          <w:rFonts w:ascii="Times New Roman" w:hAnsi="Times New Roman" w:eastAsia="Times New Roman"/>
        </w:rPr>
        <w:t>понимать жанровую принадлежность, содержание, смысл прослушанного (прочитанного) произведения: отвечать и формулировать вопросы к учебным и художественным текстам;</w:t>
      </w:r>
    </w:p>
    <w:p w14:paraId="32D74906">
      <w:pPr>
        <w:spacing w:after="0" w:line="355" w:lineRule="auto"/>
        <w:ind w:firstLine="709"/>
        <w:jc w:val="both"/>
        <w:rPr>
          <w:rFonts w:ascii="Times New Roman" w:hAnsi="Times New Roman" w:eastAsia="Times New Roman"/>
        </w:rPr>
      </w:pPr>
      <w:r>
        <w:rPr>
          <w:rFonts w:ascii="Times New Roman" w:hAnsi="Times New Roman" w:eastAsia="Times New Roman"/>
        </w:rPr>
        <w:t>различать отдельные жанры фольклора (считалки, загадки, пословицы, потешки, небылицы, народные песни, скороговорки, сказки о животных, бытовые и волшебные) и художественной литературы (литературные сказки, рассказы, стихотворения, басни), приводить примеры произведений фольклора разных народов России;</w:t>
      </w:r>
    </w:p>
    <w:p w14:paraId="40D8BCCD">
      <w:pPr>
        <w:spacing w:after="0" w:line="355" w:lineRule="auto"/>
        <w:ind w:firstLine="709"/>
        <w:jc w:val="both"/>
        <w:rPr>
          <w:rFonts w:ascii="Times New Roman" w:hAnsi="Times New Roman" w:eastAsia="Times New Roman"/>
        </w:rPr>
      </w:pPr>
      <w:r>
        <w:rPr>
          <w:rFonts w:ascii="Times New Roman" w:hAnsi="Times New Roman" w:eastAsia="Times New Roman"/>
        </w:rPr>
        <w:t>владеть элементарными умениями анализа и интерпретации текста: формулировать тему и главную мысль, определять последовательность событий в тексте произведения, выявлять связь событий, эпизодов текста; составлять план текста (вопросный, номинативный, цитатный);</w:t>
      </w:r>
    </w:p>
    <w:p w14:paraId="2A3D26DF">
      <w:pPr>
        <w:spacing w:after="0" w:line="355" w:lineRule="auto"/>
        <w:ind w:firstLine="709"/>
        <w:jc w:val="both"/>
        <w:rPr>
          <w:rFonts w:ascii="Times New Roman" w:hAnsi="Times New Roman" w:eastAsia="Times New Roman"/>
        </w:rPr>
      </w:pPr>
      <w:r>
        <w:rPr>
          <w:rFonts w:ascii="Times New Roman" w:hAnsi="Times New Roman" w:eastAsia="Times New Roman"/>
        </w:rPr>
        <w:t>характеризовать героев, описывать характер героя, давать оценку поступкам героев, составлять портретные характеристики персонажей; выявлять взаимосвязь между поступками, мыслями, чувствами героев, сравнивать героев одного произведения и сопоставлять их поступки по предложенным критериям (по аналогии или по контрасту);</w:t>
      </w:r>
    </w:p>
    <w:p w14:paraId="549746D7">
      <w:pPr>
        <w:spacing w:after="0" w:line="355" w:lineRule="auto"/>
        <w:ind w:firstLine="709"/>
        <w:jc w:val="both"/>
        <w:rPr>
          <w:rFonts w:ascii="Times New Roman" w:hAnsi="Times New Roman" w:eastAsia="Times New Roman"/>
        </w:rPr>
      </w:pPr>
      <w:r>
        <w:rPr>
          <w:rFonts w:ascii="Times New Roman" w:hAnsi="Times New Roman" w:eastAsia="Times New Roman"/>
        </w:rPr>
        <w:t>отличать автора произведения от героя и рассказчика, характеризовать отношение автора к героям, поступкам, описанной картине, находить в тексте средства изображения героев (портрет), описание пейзажа и интерьера;</w:t>
      </w:r>
    </w:p>
    <w:p w14:paraId="16838C00">
      <w:pPr>
        <w:spacing w:after="0" w:line="355" w:lineRule="auto"/>
        <w:ind w:firstLine="709"/>
        <w:jc w:val="both"/>
        <w:rPr>
          <w:rFonts w:ascii="Times New Roman" w:hAnsi="Times New Roman" w:eastAsia="Times New Roman"/>
        </w:rPr>
      </w:pPr>
      <w:r>
        <w:rPr>
          <w:rFonts w:ascii="Times New Roman" w:hAnsi="Times New Roman" w:eastAsia="Times New Roman"/>
        </w:rPr>
        <w:t>объяснять значение незнакомого слова с использованием контекста и словаря; находить в тексте примеры использования слов в прямом и переносном значении, средств художественной выразительности (сравнение, эпитет, олицетворение);</w:t>
      </w:r>
    </w:p>
    <w:p w14:paraId="58CD6D31">
      <w:pPr>
        <w:spacing w:after="0" w:line="355" w:lineRule="auto"/>
        <w:ind w:firstLine="709"/>
        <w:jc w:val="both"/>
        <w:rPr>
          <w:rFonts w:ascii="Times New Roman" w:hAnsi="Times New Roman" w:eastAsia="Times New Roman"/>
        </w:rPr>
      </w:pPr>
      <w:r>
        <w:rPr>
          <w:rFonts w:ascii="Times New Roman" w:hAnsi="Times New Roman" w:eastAsia="Times New Roman"/>
        </w:rPr>
        <w:t>осознанно применять изученные понятия (автор, мораль басни, литературный герой, персонаж, характер, тема, идея, заголовок, содержание произведения, эпизод, смысловые части, композиция, сравнение, эпитет, олицетворение);</w:t>
      </w:r>
    </w:p>
    <w:p w14:paraId="6F1C40DF">
      <w:pPr>
        <w:spacing w:after="0" w:line="355" w:lineRule="auto"/>
        <w:ind w:firstLine="709"/>
        <w:jc w:val="both"/>
        <w:rPr>
          <w:rFonts w:ascii="Times New Roman" w:hAnsi="Times New Roman" w:eastAsia="Times New Roman"/>
        </w:rPr>
      </w:pPr>
      <w:r>
        <w:rPr>
          <w:rFonts w:ascii="Times New Roman" w:hAnsi="Times New Roman" w:eastAsia="Times New Roman"/>
        </w:rPr>
        <w:t>участвовать в обсуждении прослушанного (прочитанного) произведения: строить монологическое и диалогическое высказывание с соблюдением орфоэпических и пунктуационных норм, устно и письменно формулировать простые выводы, подтверждать свой ответ примерами из текста; использовать в беседе изученные литературные понятия;</w:t>
      </w:r>
    </w:p>
    <w:p w14:paraId="569FEB7F">
      <w:pPr>
        <w:spacing w:after="0" w:line="355" w:lineRule="auto"/>
        <w:ind w:firstLine="709"/>
        <w:jc w:val="both"/>
        <w:rPr>
          <w:rFonts w:ascii="Times New Roman" w:hAnsi="Times New Roman" w:eastAsia="Times New Roman"/>
        </w:rPr>
      </w:pPr>
      <w:r>
        <w:rPr>
          <w:rFonts w:ascii="Times New Roman" w:hAnsi="Times New Roman" w:eastAsia="Times New Roman"/>
        </w:rPr>
        <w:t>пересказывать произведение (устно) подробно, выборочно, сжато (кратко), от лица героя, с изменением лица рассказчика, от третьего лица;</w:t>
      </w:r>
    </w:p>
    <w:p w14:paraId="70FFC755">
      <w:pPr>
        <w:spacing w:after="0" w:line="355" w:lineRule="auto"/>
        <w:ind w:firstLine="709"/>
        <w:jc w:val="both"/>
        <w:rPr>
          <w:rFonts w:ascii="Times New Roman" w:hAnsi="Times New Roman" w:eastAsia="Times New Roman"/>
        </w:rPr>
      </w:pPr>
      <w:r>
        <w:rPr>
          <w:rFonts w:ascii="Times New Roman" w:hAnsi="Times New Roman" w:eastAsia="Times New Roman"/>
        </w:rPr>
        <w:t>при анализе и интерпретации текста использовать разные типы речи (повествование, описание, рассуждение) с учётом специфики учебного и художественного текстов;</w:t>
      </w:r>
    </w:p>
    <w:p w14:paraId="39AF920A">
      <w:pPr>
        <w:spacing w:after="0" w:line="355" w:lineRule="auto"/>
        <w:ind w:firstLine="709"/>
        <w:jc w:val="both"/>
        <w:rPr>
          <w:rFonts w:ascii="Times New Roman" w:hAnsi="Times New Roman" w:eastAsia="Times New Roman"/>
        </w:rPr>
      </w:pPr>
      <w:r>
        <w:rPr>
          <w:rFonts w:ascii="Times New Roman" w:hAnsi="Times New Roman" w:eastAsia="Times New Roman"/>
        </w:rPr>
        <w:t>читать по ролям с соблюдением норм произношения, инсценировать небольшие эпизоды из произведения;</w:t>
      </w:r>
    </w:p>
    <w:p w14:paraId="638A020A">
      <w:pPr>
        <w:spacing w:after="0" w:line="355" w:lineRule="auto"/>
        <w:ind w:firstLine="709"/>
        <w:jc w:val="both"/>
        <w:rPr>
          <w:rFonts w:ascii="Times New Roman" w:hAnsi="Times New Roman" w:eastAsia="Times New Roman"/>
        </w:rPr>
      </w:pPr>
      <w:r>
        <w:rPr>
          <w:rFonts w:ascii="Times New Roman" w:hAnsi="Times New Roman" w:eastAsia="Times New Roman"/>
        </w:rPr>
        <w:t>составлять устные и письменные высказывания на основе прочитанного (прослушанного) текста на заданную тему по содержанию произведения (не менее 8 предложений), корректировать собственный письменный текст;</w:t>
      </w:r>
    </w:p>
    <w:p w14:paraId="416D56E4">
      <w:pPr>
        <w:spacing w:after="0" w:line="355" w:lineRule="auto"/>
        <w:ind w:firstLine="709"/>
        <w:jc w:val="both"/>
        <w:rPr>
          <w:rFonts w:ascii="Times New Roman" w:hAnsi="Times New Roman" w:eastAsia="Times New Roman"/>
        </w:rPr>
      </w:pPr>
      <w:r>
        <w:rPr>
          <w:rFonts w:ascii="Times New Roman" w:hAnsi="Times New Roman" w:eastAsia="Times New Roman"/>
        </w:rPr>
        <w:t>составлять краткий отзыв о прочитанном произведении по заданному алгоритму;</w:t>
      </w:r>
    </w:p>
    <w:p w14:paraId="0B714E87">
      <w:pPr>
        <w:spacing w:after="0" w:line="355" w:lineRule="auto"/>
        <w:ind w:firstLine="709"/>
        <w:jc w:val="both"/>
        <w:rPr>
          <w:rFonts w:ascii="Times New Roman" w:hAnsi="Times New Roman" w:eastAsia="Times New Roman"/>
        </w:rPr>
      </w:pPr>
      <w:r>
        <w:rPr>
          <w:rFonts w:ascii="Times New Roman" w:hAnsi="Times New Roman" w:eastAsia="Times New Roman"/>
        </w:rPr>
        <w:t>сочинять тексты, используя аналогии, иллюстрации, придумывать продолжение прочитанного произведения;</w:t>
      </w:r>
    </w:p>
    <w:p w14:paraId="46327464">
      <w:pPr>
        <w:spacing w:after="0" w:line="355" w:lineRule="auto"/>
        <w:ind w:firstLine="709"/>
        <w:jc w:val="both"/>
        <w:rPr>
          <w:rFonts w:ascii="Times New Roman" w:hAnsi="Times New Roman" w:eastAsia="Times New Roman"/>
        </w:rPr>
      </w:pPr>
      <w:r>
        <w:rPr>
          <w:rFonts w:ascii="Times New Roman" w:hAnsi="Times New Roman"/>
        </w:rPr>
        <w:t>ориентироваться в книге по её элементам (автор, название, обложка, титульный лист, оглавление, предисловие, аннотация, иллюстрации);</w:t>
      </w:r>
    </w:p>
    <w:p w14:paraId="6735BDAF">
      <w:pPr>
        <w:spacing w:after="0" w:line="355" w:lineRule="auto"/>
        <w:ind w:firstLine="709"/>
        <w:jc w:val="both"/>
        <w:rPr>
          <w:rFonts w:ascii="Times New Roman" w:hAnsi="Times New Roman" w:eastAsia="Times New Roman"/>
        </w:rPr>
      </w:pPr>
      <w:r>
        <w:rPr>
          <w:rFonts w:ascii="Times New Roman" w:hAnsi="Times New Roman" w:eastAsia="Times New Roman"/>
        </w:rPr>
        <w:t>выбирать книги для самостоятельного чтения с учётом рекомендательного списка, используя картотеки, рассказывать о прочитанной книге;</w:t>
      </w:r>
    </w:p>
    <w:p w14:paraId="462B793B">
      <w:pPr>
        <w:spacing w:after="0" w:line="355" w:lineRule="auto"/>
        <w:ind w:firstLine="709"/>
        <w:jc w:val="both"/>
        <w:rPr>
          <w:rFonts w:ascii="Times New Roman" w:hAnsi="Times New Roman" w:eastAsia="Times New Roman"/>
        </w:rPr>
      </w:pPr>
      <w:r>
        <w:rPr>
          <w:rFonts w:ascii="Times New Roman" w:hAnsi="Times New Roman" w:eastAsia="Times New Roman"/>
        </w:rPr>
        <w:t>использовать справочные издания, в том числе верифицированные электронные образовательные и информационные ресурсы, включённые в федеральный перечень.</w:t>
      </w:r>
    </w:p>
    <w:p w14:paraId="4FC41A4F">
      <w:pPr>
        <w:spacing w:after="0" w:line="355" w:lineRule="auto"/>
        <w:ind w:firstLine="709"/>
        <w:jc w:val="both"/>
        <w:rPr>
          <w:rFonts w:ascii="Times New Roman" w:hAnsi="Times New Roman" w:eastAsia="SchoolBookSanPin"/>
        </w:rPr>
      </w:pPr>
      <w:r>
        <w:rPr>
          <w:rFonts w:ascii="Times New Roman" w:hAnsi="Times New Roman" w:eastAsia="SchoolBookSanPin"/>
        </w:rPr>
        <w:t>3.10.6. </w:t>
      </w:r>
      <w:r>
        <w:rPr>
          <w:rFonts w:ascii="Times New Roman" w:hAnsi="Times New Roman" w:eastAsia="OfficinaSansBoldITC"/>
        </w:rPr>
        <w:t>Предметные результаты изучения литературного чтения. К</w:t>
      </w:r>
      <w:r>
        <w:rPr>
          <w:rFonts w:ascii="Times New Roman" w:hAnsi="Times New Roman" w:eastAsia="SchoolBookSanPin"/>
        </w:rPr>
        <w:t xml:space="preserve"> концу обучения в </w:t>
      </w:r>
      <w:r>
        <w:rPr>
          <w:rFonts w:ascii="Times New Roman" w:hAnsi="Times New Roman" w:eastAsia="SchoolBookSanPin"/>
          <w:bCs/>
        </w:rPr>
        <w:t xml:space="preserve">4 классе </w:t>
      </w:r>
      <w:r>
        <w:rPr>
          <w:rFonts w:ascii="Times New Roman" w:hAnsi="Times New Roman" w:eastAsia="SchoolBookSanPin"/>
        </w:rPr>
        <w:t>обучающийся научится:</w:t>
      </w:r>
    </w:p>
    <w:p w14:paraId="1758734C">
      <w:pPr>
        <w:spacing w:after="0" w:line="355" w:lineRule="auto"/>
        <w:ind w:firstLine="709"/>
        <w:jc w:val="both"/>
        <w:rPr>
          <w:rFonts w:ascii="Times New Roman" w:hAnsi="Times New Roman" w:eastAsia="Times New Roman"/>
        </w:rPr>
      </w:pPr>
      <w:r>
        <w:rPr>
          <w:rFonts w:ascii="Times New Roman" w:hAnsi="Times New Roman" w:eastAsia="Times New Roman"/>
        </w:rPr>
        <w:t>осознавать значимость художественной литературы и фольклора для всестороннего развития личности человека, находить в произведениях отражение нравственных ценностей, фактов бытовой и духовной культуры народов России и мира, ориентироваться в нравственно-этических понятиях в контексте изученных произведений;</w:t>
      </w:r>
    </w:p>
    <w:p w14:paraId="1E6AEE4C">
      <w:pPr>
        <w:spacing w:after="0" w:line="355" w:lineRule="auto"/>
        <w:ind w:firstLine="709"/>
        <w:jc w:val="both"/>
        <w:rPr>
          <w:rFonts w:ascii="Times New Roman" w:hAnsi="Times New Roman" w:eastAsia="Times New Roman"/>
        </w:rPr>
      </w:pPr>
      <w:r>
        <w:rPr>
          <w:rFonts w:ascii="Times New Roman" w:hAnsi="Times New Roman" w:eastAsia="Times New Roman"/>
        </w:rPr>
        <w:t>читать вслух и про себя в соответствии с учебной задачей, использовать разные виды чтения (изучающее, ознакомительное, поисковое выборочное, просмотровое выборочное);</w:t>
      </w:r>
    </w:p>
    <w:p w14:paraId="04F15D01">
      <w:pPr>
        <w:spacing w:after="0" w:line="355" w:lineRule="auto"/>
        <w:ind w:firstLine="709"/>
        <w:jc w:val="both"/>
        <w:rPr>
          <w:rFonts w:ascii="Times New Roman" w:hAnsi="Times New Roman" w:eastAsia="Times New Roman"/>
        </w:rPr>
      </w:pPr>
      <w:r>
        <w:rPr>
          <w:rFonts w:ascii="Times New Roman" w:hAnsi="Times New Roman" w:eastAsia="Times New Roman"/>
        </w:rPr>
        <w:t>читать вслух целыми словами без пропусков и перестановок букв и слогов доступные по восприятию и небольшие по объёму прозаические и стихотворные произведения в темпе не менее 80 слов в минуту (без отметочного оценивания);</w:t>
      </w:r>
    </w:p>
    <w:p w14:paraId="0E10F50E">
      <w:pPr>
        <w:spacing w:after="0" w:line="355" w:lineRule="auto"/>
        <w:ind w:firstLine="709"/>
        <w:jc w:val="both"/>
        <w:rPr>
          <w:rFonts w:ascii="Times New Roman" w:hAnsi="Times New Roman" w:eastAsia="Times New Roman"/>
        </w:rPr>
      </w:pPr>
      <w:r>
        <w:rPr>
          <w:rFonts w:ascii="Times New Roman" w:hAnsi="Times New Roman" w:eastAsia="Times New Roman"/>
        </w:rPr>
        <w:t>читать наизусть не менее 5 стихотворений в соответствии с изученной тематикой произведений;</w:t>
      </w:r>
    </w:p>
    <w:p w14:paraId="6C99DA69">
      <w:pPr>
        <w:spacing w:after="0" w:line="355" w:lineRule="auto"/>
        <w:ind w:firstLine="709"/>
        <w:jc w:val="both"/>
        <w:rPr>
          <w:rFonts w:ascii="Times New Roman" w:hAnsi="Times New Roman" w:eastAsia="Times New Roman"/>
        </w:rPr>
      </w:pPr>
      <w:r>
        <w:rPr>
          <w:rFonts w:ascii="Times New Roman" w:hAnsi="Times New Roman" w:eastAsia="Times New Roman"/>
        </w:rPr>
        <w:t>различать художественные произведения и познавательные тексты;</w:t>
      </w:r>
    </w:p>
    <w:p w14:paraId="46854EB9">
      <w:pPr>
        <w:spacing w:after="0" w:line="355" w:lineRule="auto"/>
        <w:ind w:firstLine="709"/>
        <w:jc w:val="both"/>
        <w:rPr>
          <w:rFonts w:ascii="Times New Roman" w:hAnsi="Times New Roman" w:eastAsia="Times New Roman"/>
        </w:rPr>
      </w:pPr>
      <w:r>
        <w:rPr>
          <w:rFonts w:ascii="Times New Roman" w:hAnsi="Times New Roman" w:eastAsia="Times New Roman"/>
        </w:rPr>
        <w:t>различать прозаическую и стихотворную речь: называть особенности стихотворного произведения (ритм, рифма, строфа), отличать лирическое произведение от эпического;</w:t>
      </w:r>
    </w:p>
    <w:p w14:paraId="531EE2D7">
      <w:pPr>
        <w:spacing w:after="0" w:line="355" w:lineRule="auto"/>
        <w:ind w:firstLine="709"/>
        <w:jc w:val="both"/>
        <w:rPr>
          <w:rFonts w:ascii="Times New Roman" w:hAnsi="Times New Roman" w:eastAsia="Times New Roman"/>
        </w:rPr>
      </w:pPr>
      <w:r>
        <w:rPr>
          <w:rFonts w:ascii="Times New Roman" w:hAnsi="Times New Roman" w:eastAsia="Times New Roman"/>
        </w:rPr>
        <w:t>понимать жанровую принадлежность, содержание, смысл прослушанного (прочитанного) произведения;</w:t>
      </w:r>
    </w:p>
    <w:p w14:paraId="7FE39E50">
      <w:pPr>
        <w:spacing w:after="0" w:line="355" w:lineRule="auto"/>
        <w:ind w:firstLine="709"/>
        <w:jc w:val="both"/>
        <w:rPr>
          <w:rFonts w:ascii="Times New Roman" w:hAnsi="Times New Roman" w:eastAsia="Times New Roman"/>
        </w:rPr>
      </w:pPr>
      <w:r>
        <w:rPr>
          <w:rFonts w:ascii="Times New Roman" w:hAnsi="Times New Roman" w:eastAsia="Times New Roman"/>
        </w:rPr>
        <w:t>различать отдельные жанры фольклора (считалки, загадки, пословицы, потешки, небылицы, народные песни, скороговорки, сказки о животных, бытовые и волшебные), приводить примеры произведений фольклора разных народов России;</w:t>
      </w:r>
    </w:p>
    <w:p w14:paraId="1F457979">
      <w:pPr>
        <w:spacing w:after="0" w:line="355" w:lineRule="auto"/>
        <w:ind w:firstLine="709"/>
        <w:jc w:val="both"/>
        <w:rPr>
          <w:rFonts w:ascii="Times New Roman" w:hAnsi="Times New Roman" w:eastAsia="Times New Roman"/>
        </w:rPr>
      </w:pPr>
      <w:r>
        <w:rPr>
          <w:rFonts w:ascii="Times New Roman" w:hAnsi="Times New Roman" w:eastAsia="Times New Roman"/>
        </w:rPr>
        <w:t>соотносить читаемый текст с жанром художественной литературы (литературные сказки, рассказы, стихотворения, басни), приводить примеры разных жанров литературы России и стран мира;</w:t>
      </w:r>
    </w:p>
    <w:p w14:paraId="7591630B">
      <w:pPr>
        <w:spacing w:after="0" w:line="355" w:lineRule="auto"/>
        <w:ind w:firstLine="709"/>
        <w:jc w:val="both"/>
        <w:rPr>
          <w:rFonts w:ascii="Times New Roman" w:hAnsi="Times New Roman" w:eastAsia="Times New Roman"/>
        </w:rPr>
      </w:pPr>
      <w:r>
        <w:rPr>
          <w:rFonts w:ascii="Times New Roman" w:hAnsi="Times New Roman" w:eastAsia="Times New Roman"/>
        </w:rPr>
        <w:t>владеть элементарными умениями анализа и интерпретации текста: определять тему и главную мысль, последовательность событий в тексте произведения, выявлять связь событий, эпизодов текста;</w:t>
      </w:r>
    </w:p>
    <w:p w14:paraId="2D56888B">
      <w:pPr>
        <w:spacing w:after="0" w:line="355" w:lineRule="auto"/>
        <w:ind w:firstLine="709"/>
        <w:jc w:val="both"/>
        <w:rPr>
          <w:rFonts w:ascii="Times New Roman" w:hAnsi="Times New Roman" w:eastAsia="Times New Roman"/>
        </w:rPr>
      </w:pPr>
      <w:r>
        <w:rPr>
          <w:rFonts w:ascii="Times New Roman" w:hAnsi="Times New Roman" w:eastAsia="Times New Roman"/>
        </w:rPr>
        <w:t>характеризовать героев, давать оценку их поступкам, составлять портретные характеристики персонажей, выявлять взаимосвязь между поступками и мыслями, чувствами героев, сравнивать героев одного произведения по самостоятельно выбранному критерию (по аналогии или по контрасту), характеризовать собственное отношение к героям, поступкам; находить в тексте средства изображения героев (портрет) и выражения их чувств, описание пейзажа и интерьера, устанавливать причинно-следственные связи событий, явлений, поступков героев;</w:t>
      </w:r>
    </w:p>
    <w:p w14:paraId="595A7A98">
      <w:pPr>
        <w:spacing w:after="0" w:line="355" w:lineRule="auto"/>
        <w:ind w:firstLine="709"/>
        <w:jc w:val="both"/>
        <w:rPr>
          <w:rFonts w:ascii="Times New Roman" w:hAnsi="Times New Roman" w:eastAsia="Times New Roman"/>
        </w:rPr>
      </w:pPr>
      <w:r>
        <w:rPr>
          <w:rFonts w:ascii="Times New Roman" w:hAnsi="Times New Roman" w:eastAsia="Times New Roman"/>
        </w:rPr>
        <w:t xml:space="preserve">объяснять значение незнакомого слова с использованием контекста и словаря; </w:t>
      </w:r>
    </w:p>
    <w:p w14:paraId="74C6F058">
      <w:pPr>
        <w:spacing w:after="0" w:line="355" w:lineRule="auto"/>
        <w:ind w:firstLine="709"/>
        <w:jc w:val="both"/>
        <w:rPr>
          <w:rFonts w:ascii="Times New Roman" w:hAnsi="Times New Roman" w:eastAsia="Times New Roman"/>
        </w:rPr>
      </w:pPr>
      <w:r>
        <w:rPr>
          <w:rFonts w:ascii="Times New Roman" w:hAnsi="Times New Roman" w:eastAsia="Times New Roman"/>
        </w:rPr>
        <w:t>находить в тексте примеры использования слов в прямом и переносном значении, средства художественной выразительности (сравнение, эпитет, олицетворение, метафора);</w:t>
      </w:r>
    </w:p>
    <w:p w14:paraId="4C8855F1">
      <w:pPr>
        <w:spacing w:after="0" w:line="355" w:lineRule="auto"/>
        <w:ind w:firstLine="709"/>
        <w:jc w:val="both"/>
        <w:rPr>
          <w:rFonts w:ascii="Times New Roman" w:hAnsi="Times New Roman" w:eastAsia="Times New Roman"/>
        </w:rPr>
      </w:pPr>
      <w:r>
        <w:rPr>
          <w:rFonts w:ascii="Times New Roman" w:hAnsi="Times New Roman" w:eastAsia="Times New Roman"/>
        </w:rPr>
        <w:t>осознанно применять изученные понятия (автор, мораль басни, литературный герой, персонаж, характер, тема, идея, заголовок, содержание произведения, эпизод, смысловые части, композиция, сравнение, эпитет, олицетворение, метафора, лирика, эпос, образ);</w:t>
      </w:r>
    </w:p>
    <w:p w14:paraId="5750E6C1">
      <w:pPr>
        <w:spacing w:after="0" w:line="355" w:lineRule="auto"/>
        <w:ind w:firstLine="709"/>
        <w:jc w:val="both"/>
        <w:rPr>
          <w:rFonts w:ascii="Times New Roman" w:hAnsi="Times New Roman" w:eastAsia="Times New Roman"/>
        </w:rPr>
      </w:pPr>
      <w:r>
        <w:rPr>
          <w:rFonts w:ascii="Times New Roman" w:hAnsi="Times New Roman" w:eastAsia="Times New Roman"/>
        </w:rPr>
        <w:t>участвовать в обсуждении прослушанного (прочитанного) произведения: строить монологическое и диалогическое высказывание с соблюдением норм русского литературного языка (норм произношения, словоупотребления, грамматики); устно и письменно формулировать простые выводы на основе прослушанного (прочитанного) текста, подтверждать свой ответ примерами из текста;</w:t>
      </w:r>
    </w:p>
    <w:p w14:paraId="777BE4FD">
      <w:pPr>
        <w:spacing w:after="0" w:line="355" w:lineRule="auto"/>
        <w:ind w:firstLine="709"/>
        <w:jc w:val="both"/>
        <w:rPr>
          <w:rFonts w:ascii="Times New Roman" w:hAnsi="Times New Roman" w:eastAsia="Times New Roman"/>
        </w:rPr>
      </w:pPr>
      <w:r>
        <w:rPr>
          <w:rFonts w:ascii="Times New Roman" w:hAnsi="Times New Roman" w:eastAsia="Times New Roman"/>
        </w:rPr>
        <w:t>составлять план текста (вопросный, номинативный, цитатный), пересказывать (устно) подробно, выборочно, сжато (кратко), от лица героя, с изменением лица рассказчика, от третьего лица;</w:t>
      </w:r>
    </w:p>
    <w:p w14:paraId="030210DD">
      <w:pPr>
        <w:spacing w:after="0" w:line="355" w:lineRule="auto"/>
        <w:ind w:firstLine="709"/>
        <w:jc w:val="both"/>
        <w:rPr>
          <w:rFonts w:ascii="Times New Roman" w:hAnsi="Times New Roman" w:eastAsia="Times New Roman"/>
        </w:rPr>
      </w:pPr>
      <w:r>
        <w:rPr>
          <w:rFonts w:ascii="Times New Roman" w:hAnsi="Times New Roman" w:eastAsia="Times New Roman"/>
        </w:rPr>
        <w:t>читать по ролям с соблюдением норм произношения, расстановки ударения, инсценировать небольшие эпизоды из произведения;</w:t>
      </w:r>
    </w:p>
    <w:p w14:paraId="3A8BBE54">
      <w:pPr>
        <w:spacing w:after="0" w:line="355" w:lineRule="auto"/>
        <w:ind w:firstLine="709"/>
        <w:jc w:val="both"/>
        <w:rPr>
          <w:rFonts w:ascii="Times New Roman" w:hAnsi="Times New Roman" w:eastAsia="Times New Roman"/>
        </w:rPr>
      </w:pPr>
      <w:r>
        <w:rPr>
          <w:rFonts w:ascii="Times New Roman" w:hAnsi="Times New Roman" w:eastAsia="Times New Roman"/>
        </w:rPr>
        <w:t>составлять устные и письменные высказывания на заданную тему по содержанию произведения (не менее 10 предложений), писать сочинения на заданную тему, используя разные типы речи (повествование, описание, рассуждение), корректировать собственный текст с учётом правильности, выразительности письменной речи;</w:t>
      </w:r>
    </w:p>
    <w:p w14:paraId="39F785AE">
      <w:pPr>
        <w:spacing w:after="0" w:line="355" w:lineRule="auto"/>
        <w:ind w:firstLine="709"/>
        <w:jc w:val="both"/>
        <w:rPr>
          <w:rFonts w:ascii="Times New Roman" w:hAnsi="Times New Roman" w:eastAsia="Times New Roman"/>
        </w:rPr>
      </w:pPr>
      <w:r>
        <w:rPr>
          <w:rFonts w:ascii="Times New Roman" w:hAnsi="Times New Roman" w:eastAsia="Times New Roman"/>
        </w:rPr>
        <w:t>составлять краткий отзыв о прочитанном произведении по заданному алгоритму;</w:t>
      </w:r>
    </w:p>
    <w:p w14:paraId="049769CF">
      <w:pPr>
        <w:spacing w:after="0" w:line="355" w:lineRule="auto"/>
        <w:ind w:firstLine="709"/>
        <w:jc w:val="both"/>
        <w:rPr>
          <w:rFonts w:ascii="Times New Roman" w:hAnsi="Times New Roman" w:eastAsia="Times New Roman"/>
        </w:rPr>
      </w:pPr>
      <w:r>
        <w:rPr>
          <w:rFonts w:ascii="Times New Roman" w:hAnsi="Times New Roman" w:eastAsia="Times New Roman"/>
        </w:rPr>
        <w:t>сочинять по аналогии с прочитанным, составлять рассказ по иллюстрациям, от имени одного из героев, придумывать продолжение прочитанного произведения (не менее 10 предложений);</w:t>
      </w:r>
    </w:p>
    <w:p w14:paraId="33F0B869">
      <w:pPr>
        <w:spacing w:after="0" w:line="355" w:lineRule="auto"/>
        <w:ind w:firstLine="709"/>
        <w:jc w:val="both"/>
        <w:rPr>
          <w:rFonts w:ascii="Times New Roman" w:hAnsi="Times New Roman" w:eastAsia="Times New Roman"/>
        </w:rPr>
      </w:pPr>
      <w:r>
        <w:rPr>
          <w:rFonts w:ascii="Times New Roman" w:hAnsi="Times New Roman"/>
        </w:rPr>
        <w:t>ориентироваться в книге по её элементам (автор, название, обложка, титульный лист, оглавление, предисловие, аннотация, иллюстрации);</w:t>
      </w:r>
    </w:p>
    <w:p w14:paraId="7790FCCB">
      <w:pPr>
        <w:spacing w:after="0" w:line="355" w:lineRule="auto"/>
        <w:ind w:firstLine="709"/>
        <w:jc w:val="both"/>
        <w:rPr>
          <w:rFonts w:ascii="Times New Roman" w:hAnsi="Times New Roman" w:eastAsia="Times New Roman"/>
        </w:rPr>
      </w:pPr>
      <w:r>
        <w:rPr>
          <w:rFonts w:ascii="Times New Roman" w:hAnsi="Times New Roman" w:eastAsia="Times New Roman"/>
        </w:rPr>
        <w:t>выбирать книги для самостоятельного чтения с учётом рекомендательного списка, используя картотеки, рассказывать о прочитанной книге;</w:t>
      </w:r>
    </w:p>
    <w:p w14:paraId="7C1F741D">
      <w:pPr>
        <w:spacing w:after="0" w:line="355" w:lineRule="auto"/>
        <w:ind w:firstLine="709"/>
        <w:jc w:val="both"/>
        <w:rPr>
          <w:rFonts w:ascii="Times New Roman" w:hAnsi="Times New Roman"/>
        </w:rPr>
      </w:pPr>
      <w:r>
        <w:rPr>
          <w:rFonts w:ascii="Times New Roman" w:hAnsi="Times New Roman" w:eastAsia="Times New Roman"/>
        </w:rPr>
        <w:t>использовать справочную литературу, электронные образовательные и информационные ресурсы в Интернете (в условиях контролируемого входа), для получения дополнительной информации в соответствии с учебной задачей.</w:t>
      </w:r>
      <w:r>
        <w:rPr>
          <w:rFonts w:ascii="Times New Roman" w:hAnsi="Times New Roman"/>
        </w:rPr>
        <w:t xml:space="preserve"> </w:t>
      </w:r>
    </w:p>
    <w:p w14:paraId="6F406BDD">
      <w:pPr>
        <w:pStyle w:val="85"/>
        <w:spacing w:before="200"/>
        <w:ind w:firstLine="540"/>
        <w:jc w:val="both"/>
        <w:rPr>
          <w:color w:val="auto"/>
          <w:sz w:val="22"/>
          <w:szCs w:val="22"/>
        </w:rPr>
      </w:pPr>
      <w:r>
        <w:rPr>
          <w:color w:val="auto"/>
          <w:sz w:val="22"/>
          <w:szCs w:val="22"/>
        </w:rPr>
        <w:t>Поурочное планирование</w:t>
      </w:r>
    </w:p>
    <w:p w14:paraId="7261ED78">
      <w:pPr>
        <w:pStyle w:val="85"/>
        <w:ind w:firstLine="540"/>
        <w:jc w:val="both"/>
        <w:rPr>
          <w:color w:val="auto"/>
          <w:sz w:val="22"/>
          <w:szCs w:val="22"/>
        </w:rPr>
      </w:pPr>
    </w:p>
    <w:p w14:paraId="392771EB">
      <w:pPr>
        <w:pStyle w:val="85"/>
        <w:jc w:val="both"/>
        <w:rPr>
          <w:color w:val="auto"/>
          <w:sz w:val="22"/>
          <w:szCs w:val="22"/>
        </w:rPr>
      </w:pPr>
      <w:r>
        <w:rPr>
          <w:color w:val="auto"/>
          <w:sz w:val="22"/>
          <w:szCs w:val="22"/>
        </w:rPr>
        <w:t>Вариант 1. Поурочное планирование для педагогов, использующих учебники "Азбука" (авторы В.Г. Горецкий и другие), "Литературное чтение. 1 - 4 класс (авторы Л.Ф. Климанова., В.Г. Горецкий, М.В. Голованова и другие)</w:t>
      </w:r>
    </w:p>
    <w:p w14:paraId="384B2D9B">
      <w:pPr>
        <w:pStyle w:val="85"/>
        <w:jc w:val="both"/>
        <w:rPr>
          <w:color w:val="auto"/>
          <w:sz w:val="22"/>
          <w:szCs w:val="22"/>
        </w:rPr>
      </w:pPr>
    </w:p>
    <w:p w14:paraId="71B47AEF">
      <w:pPr>
        <w:pStyle w:val="85"/>
        <w:jc w:val="right"/>
        <w:rPr>
          <w:color w:val="auto"/>
          <w:sz w:val="22"/>
          <w:szCs w:val="22"/>
        </w:rPr>
      </w:pPr>
      <w:r>
        <w:rPr>
          <w:color w:val="auto"/>
          <w:sz w:val="22"/>
          <w:szCs w:val="22"/>
        </w:rPr>
        <w:t>Таблица 4</w:t>
      </w:r>
    </w:p>
    <w:p w14:paraId="427B5858">
      <w:pPr>
        <w:pStyle w:val="85"/>
        <w:jc w:val="both"/>
        <w:rPr>
          <w:color w:val="auto"/>
          <w:sz w:val="22"/>
          <w:szCs w:val="22"/>
        </w:rPr>
      </w:pPr>
    </w:p>
    <w:p w14:paraId="289725A6">
      <w:pPr>
        <w:pStyle w:val="85"/>
        <w:jc w:val="both"/>
        <w:rPr>
          <w:color w:val="auto"/>
          <w:sz w:val="22"/>
          <w:szCs w:val="22"/>
        </w:rPr>
      </w:pPr>
      <w:r>
        <w:rPr>
          <w:color w:val="auto"/>
          <w:sz w:val="22"/>
          <w:szCs w:val="22"/>
        </w:rPr>
        <w:t>1 класс</w:t>
      </w:r>
    </w:p>
    <w:p w14:paraId="3D457A38">
      <w:pPr>
        <w:pStyle w:val="85"/>
        <w:jc w:val="both"/>
        <w:rPr>
          <w:color w:val="auto"/>
          <w:sz w:val="22"/>
          <w:szCs w:val="22"/>
        </w:rPr>
      </w:pPr>
    </w:p>
    <w:tbl>
      <w:tblPr>
        <w:tblStyle w:val="1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02" w:type="dxa"/>
          <w:left w:w="62" w:type="dxa"/>
          <w:bottom w:w="102" w:type="dxa"/>
          <w:right w:w="62" w:type="dxa"/>
        </w:tblCellMar>
      </w:tblPr>
      <w:tblGrid>
        <w:gridCol w:w="1134"/>
        <w:gridCol w:w="7937"/>
      </w:tblGrid>
      <w:tr w14:paraId="4A78AC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tcPr>
          <w:p w14:paraId="4973BEED">
            <w:pPr>
              <w:pStyle w:val="85"/>
              <w:jc w:val="center"/>
              <w:rPr>
                <w:color w:val="auto"/>
                <w:sz w:val="22"/>
                <w:szCs w:val="22"/>
              </w:rPr>
            </w:pPr>
            <w:r>
              <w:rPr>
                <w:color w:val="auto"/>
                <w:sz w:val="22"/>
                <w:szCs w:val="22"/>
              </w:rPr>
              <w:t>N урока</w:t>
            </w:r>
          </w:p>
        </w:tc>
        <w:tc>
          <w:tcPr>
            <w:tcW w:w="7937" w:type="dxa"/>
          </w:tcPr>
          <w:p w14:paraId="7B49C7AA">
            <w:pPr>
              <w:pStyle w:val="85"/>
              <w:jc w:val="center"/>
              <w:rPr>
                <w:color w:val="auto"/>
                <w:sz w:val="22"/>
                <w:szCs w:val="22"/>
              </w:rPr>
            </w:pPr>
            <w:r>
              <w:rPr>
                <w:color w:val="auto"/>
                <w:sz w:val="22"/>
                <w:szCs w:val="22"/>
              </w:rPr>
              <w:t>Тема урока</w:t>
            </w:r>
          </w:p>
        </w:tc>
      </w:tr>
      <w:tr w14:paraId="4C4B9C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4D7437D2">
            <w:pPr>
              <w:pStyle w:val="85"/>
              <w:jc w:val="center"/>
              <w:rPr>
                <w:color w:val="auto"/>
                <w:sz w:val="22"/>
                <w:szCs w:val="22"/>
              </w:rPr>
            </w:pPr>
            <w:r>
              <w:rPr>
                <w:color w:val="auto"/>
                <w:sz w:val="22"/>
                <w:szCs w:val="22"/>
              </w:rPr>
              <w:t>Урок 1</w:t>
            </w:r>
          </w:p>
        </w:tc>
        <w:tc>
          <w:tcPr>
            <w:tcW w:w="7937" w:type="dxa"/>
            <w:vAlign w:val="center"/>
          </w:tcPr>
          <w:p w14:paraId="77C91BE4">
            <w:pPr>
              <w:pStyle w:val="85"/>
              <w:jc w:val="both"/>
              <w:rPr>
                <w:color w:val="auto"/>
                <w:sz w:val="22"/>
                <w:szCs w:val="22"/>
              </w:rPr>
            </w:pPr>
            <w:r>
              <w:rPr>
                <w:color w:val="auto"/>
                <w:sz w:val="22"/>
                <w:szCs w:val="22"/>
              </w:rPr>
              <w:t>Выделение предложения из речевого потока. Устная и письменная речь</w:t>
            </w:r>
          </w:p>
        </w:tc>
      </w:tr>
      <w:tr w14:paraId="12B027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61E8219A">
            <w:pPr>
              <w:pStyle w:val="85"/>
              <w:jc w:val="center"/>
              <w:rPr>
                <w:color w:val="auto"/>
                <w:sz w:val="22"/>
                <w:szCs w:val="22"/>
              </w:rPr>
            </w:pPr>
            <w:r>
              <w:rPr>
                <w:color w:val="auto"/>
                <w:sz w:val="22"/>
                <w:szCs w:val="22"/>
              </w:rPr>
              <w:t>Урок 2</w:t>
            </w:r>
          </w:p>
        </w:tc>
        <w:tc>
          <w:tcPr>
            <w:tcW w:w="7937" w:type="dxa"/>
            <w:vAlign w:val="center"/>
          </w:tcPr>
          <w:p w14:paraId="4766E63D">
            <w:pPr>
              <w:pStyle w:val="85"/>
              <w:jc w:val="both"/>
              <w:rPr>
                <w:color w:val="auto"/>
                <w:sz w:val="22"/>
                <w:szCs w:val="22"/>
              </w:rPr>
            </w:pPr>
            <w:r>
              <w:rPr>
                <w:color w:val="auto"/>
                <w:sz w:val="22"/>
                <w:szCs w:val="22"/>
              </w:rPr>
              <w:t>Составление рассказов по сюжетным картинкам. Предложение и слово</w:t>
            </w:r>
          </w:p>
        </w:tc>
      </w:tr>
      <w:tr w14:paraId="41545C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2C5109F1">
            <w:pPr>
              <w:pStyle w:val="85"/>
              <w:jc w:val="center"/>
              <w:rPr>
                <w:color w:val="auto"/>
                <w:sz w:val="22"/>
                <w:szCs w:val="22"/>
              </w:rPr>
            </w:pPr>
            <w:r>
              <w:rPr>
                <w:color w:val="auto"/>
                <w:sz w:val="22"/>
                <w:szCs w:val="22"/>
              </w:rPr>
              <w:t>Урок 3</w:t>
            </w:r>
          </w:p>
        </w:tc>
        <w:tc>
          <w:tcPr>
            <w:tcW w:w="7937" w:type="dxa"/>
            <w:vAlign w:val="center"/>
          </w:tcPr>
          <w:p w14:paraId="6E10E01E">
            <w:pPr>
              <w:pStyle w:val="85"/>
              <w:jc w:val="both"/>
              <w:rPr>
                <w:color w:val="auto"/>
                <w:sz w:val="22"/>
                <w:szCs w:val="22"/>
              </w:rPr>
            </w:pPr>
            <w:r>
              <w:rPr>
                <w:color w:val="auto"/>
                <w:sz w:val="22"/>
                <w:szCs w:val="22"/>
              </w:rPr>
              <w:t>Моделирование состава предложения. Предложение и слово</w:t>
            </w:r>
          </w:p>
        </w:tc>
      </w:tr>
      <w:tr w14:paraId="5D2B03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4B23A426">
            <w:pPr>
              <w:pStyle w:val="85"/>
              <w:jc w:val="center"/>
              <w:rPr>
                <w:color w:val="auto"/>
                <w:sz w:val="22"/>
                <w:szCs w:val="22"/>
              </w:rPr>
            </w:pPr>
            <w:r>
              <w:rPr>
                <w:color w:val="auto"/>
                <w:sz w:val="22"/>
                <w:szCs w:val="22"/>
              </w:rPr>
              <w:t>Урок 4</w:t>
            </w:r>
          </w:p>
        </w:tc>
        <w:tc>
          <w:tcPr>
            <w:tcW w:w="7937" w:type="dxa"/>
            <w:vAlign w:val="center"/>
          </w:tcPr>
          <w:p w14:paraId="4E8ABB01">
            <w:pPr>
              <w:pStyle w:val="85"/>
              <w:jc w:val="both"/>
              <w:rPr>
                <w:color w:val="auto"/>
                <w:sz w:val="22"/>
                <w:szCs w:val="22"/>
              </w:rPr>
            </w:pPr>
            <w:r>
              <w:rPr>
                <w:color w:val="auto"/>
                <w:sz w:val="22"/>
                <w:szCs w:val="22"/>
              </w:rPr>
              <w:t>Слушание литературного произведения о Родине. Произведение по выбору, например, С.Д. Дрожжин "Привет"</w:t>
            </w:r>
          </w:p>
        </w:tc>
      </w:tr>
      <w:tr w14:paraId="21D19B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08C9E2AF">
            <w:pPr>
              <w:pStyle w:val="85"/>
              <w:jc w:val="center"/>
              <w:rPr>
                <w:color w:val="auto"/>
                <w:sz w:val="22"/>
                <w:szCs w:val="22"/>
              </w:rPr>
            </w:pPr>
            <w:r>
              <w:rPr>
                <w:color w:val="auto"/>
                <w:sz w:val="22"/>
                <w:szCs w:val="22"/>
              </w:rPr>
              <w:t>Урок 5</w:t>
            </w:r>
          </w:p>
        </w:tc>
        <w:tc>
          <w:tcPr>
            <w:tcW w:w="7937" w:type="dxa"/>
            <w:vAlign w:val="center"/>
          </w:tcPr>
          <w:p w14:paraId="576BF389">
            <w:pPr>
              <w:pStyle w:val="85"/>
              <w:jc w:val="both"/>
              <w:rPr>
                <w:color w:val="auto"/>
                <w:sz w:val="22"/>
                <w:szCs w:val="22"/>
              </w:rPr>
            </w:pPr>
            <w:r>
              <w:rPr>
                <w:color w:val="auto"/>
                <w:sz w:val="22"/>
                <w:szCs w:val="22"/>
              </w:rPr>
              <w:t>Различение слова и обозначаемого им предмета</w:t>
            </w:r>
          </w:p>
        </w:tc>
      </w:tr>
      <w:tr w14:paraId="4ED402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79D20C5B">
            <w:pPr>
              <w:pStyle w:val="85"/>
              <w:jc w:val="center"/>
              <w:rPr>
                <w:color w:val="auto"/>
                <w:sz w:val="22"/>
                <w:szCs w:val="22"/>
              </w:rPr>
            </w:pPr>
            <w:r>
              <w:rPr>
                <w:color w:val="auto"/>
                <w:sz w:val="22"/>
                <w:szCs w:val="22"/>
              </w:rPr>
              <w:t>Урок 6</w:t>
            </w:r>
          </w:p>
        </w:tc>
        <w:tc>
          <w:tcPr>
            <w:tcW w:w="7937" w:type="dxa"/>
            <w:vAlign w:val="center"/>
          </w:tcPr>
          <w:p w14:paraId="2B9850FC">
            <w:pPr>
              <w:pStyle w:val="85"/>
              <w:jc w:val="both"/>
              <w:rPr>
                <w:color w:val="auto"/>
                <w:sz w:val="22"/>
                <w:szCs w:val="22"/>
              </w:rPr>
            </w:pPr>
            <w:r>
              <w:rPr>
                <w:color w:val="auto"/>
                <w:sz w:val="22"/>
                <w:szCs w:val="22"/>
              </w:rPr>
              <w:t>Слово и слог. Как образуется слог</w:t>
            </w:r>
          </w:p>
        </w:tc>
      </w:tr>
      <w:tr w14:paraId="58DF7A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22A4A2B1">
            <w:pPr>
              <w:pStyle w:val="85"/>
              <w:jc w:val="center"/>
              <w:rPr>
                <w:color w:val="auto"/>
                <w:sz w:val="22"/>
                <w:szCs w:val="22"/>
              </w:rPr>
            </w:pPr>
            <w:r>
              <w:rPr>
                <w:color w:val="auto"/>
                <w:sz w:val="22"/>
                <w:szCs w:val="22"/>
              </w:rPr>
              <w:t>Урок 7</w:t>
            </w:r>
          </w:p>
        </w:tc>
        <w:tc>
          <w:tcPr>
            <w:tcW w:w="7937" w:type="dxa"/>
            <w:vAlign w:val="center"/>
          </w:tcPr>
          <w:p w14:paraId="585B8631">
            <w:pPr>
              <w:pStyle w:val="85"/>
              <w:jc w:val="both"/>
              <w:rPr>
                <w:color w:val="auto"/>
                <w:sz w:val="22"/>
                <w:szCs w:val="22"/>
              </w:rPr>
            </w:pPr>
            <w:r>
              <w:rPr>
                <w:color w:val="auto"/>
                <w:sz w:val="22"/>
                <w:szCs w:val="22"/>
              </w:rPr>
              <w:t>Выделение первого звука в слове. Выделение гласных звуков в слове</w:t>
            </w:r>
          </w:p>
        </w:tc>
      </w:tr>
      <w:tr w14:paraId="459A6F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338923F1">
            <w:pPr>
              <w:pStyle w:val="85"/>
              <w:jc w:val="center"/>
              <w:rPr>
                <w:color w:val="auto"/>
                <w:sz w:val="22"/>
                <w:szCs w:val="22"/>
              </w:rPr>
            </w:pPr>
            <w:r>
              <w:rPr>
                <w:color w:val="auto"/>
                <w:sz w:val="22"/>
                <w:szCs w:val="22"/>
              </w:rPr>
              <w:t>Урок 8</w:t>
            </w:r>
          </w:p>
        </w:tc>
        <w:tc>
          <w:tcPr>
            <w:tcW w:w="7937" w:type="dxa"/>
            <w:vAlign w:val="center"/>
          </w:tcPr>
          <w:p w14:paraId="467DB50E">
            <w:pPr>
              <w:pStyle w:val="85"/>
              <w:jc w:val="both"/>
              <w:rPr>
                <w:color w:val="auto"/>
                <w:sz w:val="22"/>
                <w:szCs w:val="22"/>
              </w:rPr>
            </w:pPr>
            <w:r>
              <w:rPr>
                <w:color w:val="auto"/>
                <w:sz w:val="22"/>
                <w:szCs w:val="22"/>
              </w:rPr>
              <w:t>Проведение звукового анализа слова. Выделение гласных звуков в слове</w:t>
            </w:r>
          </w:p>
        </w:tc>
      </w:tr>
      <w:tr w14:paraId="0F8FF0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1679EAC5">
            <w:pPr>
              <w:pStyle w:val="85"/>
              <w:jc w:val="center"/>
              <w:rPr>
                <w:color w:val="auto"/>
                <w:sz w:val="22"/>
                <w:szCs w:val="22"/>
              </w:rPr>
            </w:pPr>
            <w:r>
              <w:rPr>
                <w:color w:val="auto"/>
                <w:sz w:val="22"/>
                <w:szCs w:val="22"/>
              </w:rPr>
              <w:t>Урок 9</w:t>
            </w:r>
          </w:p>
        </w:tc>
        <w:tc>
          <w:tcPr>
            <w:tcW w:w="7937" w:type="dxa"/>
            <w:vAlign w:val="center"/>
          </w:tcPr>
          <w:p w14:paraId="432F64E3">
            <w:pPr>
              <w:pStyle w:val="85"/>
              <w:jc w:val="both"/>
              <w:rPr>
                <w:color w:val="auto"/>
                <w:sz w:val="22"/>
                <w:szCs w:val="22"/>
              </w:rPr>
            </w:pPr>
            <w:r>
              <w:rPr>
                <w:color w:val="auto"/>
                <w:sz w:val="22"/>
                <w:szCs w:val="22"/>
              </w:rPr>
              <w:t>Слушание литературного произведения о Родине. Произведение по выбору, например, Е.В. Серова "Мой дом"</w:t>
            </w:r>
          </w:p>
        </w:tc>
      </w:tr>
      <w:tr w14:paraId="4C40C4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1FD97F3D">
            <w:pPr>
              <w:pStyle w:val="85"/>
              <w:jc w:val="center"/>
              <w:rPr>
                <w:color w:val="auto"/>
                <w:sz w:val="22"/>
                <w:szCs w:val="22"/>
              </w:rPr>
            </w:pPr>
            <w:r>
              <w:rPr>
                <w:color w:val="auto"/>
                <w:sz w:val="22"/>
                <w:szCs w:val="22"/>
              </w:rPr>
              <w:t>Урок 10</w:t>
            </w:r>
          </w:p>
        </w:tc>
        <w:tc>
          <w:tcPr>
            <w:tcW w:w="7937" w:type="dxa"/>
            <w:vAlign w:val="center"/>
          </w:tcPr>
          <w:p w14:paraId="4DF9DEFA">
            <w:pPr>
              <w:pStyle w:val="85"/>
              <w:jc w:val="both"/>
              <w:rPr>
                <w:color w:val="auto"/>
                <w:sz w:val="22"/>
                <w:szCs w:val="22"/>
              </w:rPr>
            </w:pPr>
            <w:r>
              <w:rPr>
                <w:color w:val="auto"/>
                <w:sz w:val="22"/>
                <w:szCs w:val="22"/>
              </w:rPr>
              <w:t>Гласные и согласные звуки</w:t>
            </w:r>
          </w:p>
        </w:tc>
      </w:tr>
      <w:tr w14:paraId="07966A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326F0434">
            <w:pPr>
              <w:pStyle w:val="85"/>
              <w:jc w:val="center"/>
              <w:rPr>
                <w:color w:val="auto"/>
                <w:sz w:val="22"/>
                <w:szCs w:val="22"/>
              </w:rPr>
            </w:pPr>
            <w:r>
              <w:rPr>
                <w:color w:val="auto"/>
                <w:sz w:val="22"/>
                <w:szCs w:val="22"/>
              </w:rPr>
              <w:t>Урок 11</w:t>
            </w:r>
          </w:p>
        </w:tc>
        <w:tc>
          <w:tcPr>
            <w:tcW w:w="7937" w:type="dxa"/>
            <w:vAlign w:val="center"/>
          </w:tcPr>
          <w:p w14:paraId="130E1C70">
            <w:pPr>
              <w:pStyle w:val="85"/>
              <w:jc w:val="both"/>
              <w:rPr>
                <w:color w:val="auto"/>
                <w:sz w:val="22"/>
                <w:szCs w:val="22"/>
              </w:rPr>
            </w:pPr>
            <w:r>
              <w:rPr>
                <w:color w:val="auto"/>
                <w:sz w:val="22"/>
                <w:szCs w:val="22"/>
              </w:rPr>
              <w:t>Сравнение звуков по твердости-мягкости</w:t>
            </w:r>
          </w:p>
        </w:tc>
      </w:tr>
      <w:tr w14:paraId="45ED8B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565D2D2E">
            <w:pPr>
              <w:pStyle w:val="85"/>
              <w:jc w:val="center"/>
              <w:rPr>
                <w:color w:val="auto"/>
                <w:sz w:val="22"/>
                <w:szCs w:val="22"/>
              </w:rPr>
            </w:pPr>
            <w:r>
              <w:rPr>
                <w:color w:val="auto"/>
                <w:sz w:val="22"/>
                <w:szCs w:val="22"/>
              </w:rPr>
              <w:t>Урок 12</w:t>
            </w:r>
          </w:p>
        </w:tc>
        <w:tc>
          <w:tcPr>
            <w:tcW w:w="7937" w:type="dxa"/>
            <w:vAlign w:val="center"/>
          </w:tcPr>
          <w:p w14:paraId="29CCDD31">
            <w:pPr>
              <w:pStyle w:val="85"/>
              <w:jc w:val="both"/>
              <w:rPr>
                <w:color w:val="auto"/>
                <w:sz w:val="22"/>
                <w:szCs w:val="22"/>
              </w:rPr>
            </w:pPr>
            <w:r>
              <w:rPr>
                <w:color w:val="auto"/>
                <w:sz w:val="22"/>
                <w:szCs w:val="22"/>
              </w:rPr>
              <w:t>Отражение качественных характеристик звуков в моделях слов</w:t>
            </w:r>
          </w:p>
        </w:tc>
      </w:tr>
      <w:tr w14:paraId="34B2C9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4001AF8E">
            <w:pPr>
              <w:pStyle w:val="85"/>
              <w:jc w:val="center"/>
              <w:rPr>
                <w:color w:val="auto"/>
                <w:sz w:val="22"/>
                <w:szCs w:val="22"/>
              </w:rPr>
            </w:pPr>
            <w:r>
              <w:rPr>
                <w:color w:val="auto"/>
                <w:sz w:val="22"/>
                <w:szCs w:val="22"/>
              </w:rPr>
              <w:t>Урок 13</w:t>
            </w:r>
          </w:p>
        </w:tc>
        <w:tc>
          <w:tcPr>
            <w:tcW w:w="7937" w:type="dxa"/>
            <w:vAlign w:val="center"/>
          </w:tcPr>
          <w:p w14:paraId="0ACEF1DD">
            <w:pPr>
              <w:pStyle w:val="85"/>
              <w:jc w:val="both"/>
              <w:rPr>
                <w:color w:val="auto"/>
                <w:sz w:val="22"/>
                <w:szCs w:val="22"/>
              </w:rPr>
            </w:pPr>
            <w:r>
              <w:rPr>
                <w:color w:val="auto"/>
                <w:sz w:val="22"/>
                <w:szCs w:val="22"/>
              </w:rPr>
              <w:t>Гласные и согласные звуки. Участие в диалоге</w:t>
            </w:r>
          </w:p>
        </w:tc>
      </w:tr>
      <w:tr w14:paraId="44310E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658AED38">
            <w:pPr>
              <w:pStyle w:val="85"/>
              <w:jc w:val="center"/>
              <w:rPr>
                <w:color w:val="auto"/>
                <w:sz w:val="22"/>
                <w:szCs w:val="22"/>
              </w:rPr>
            </w:pPr>
            <w:r>
              <w:rPr>
                <w:color w:val="auto"/>
                <w:sz w:val="22"/>
                <w:szCs w:val="22"/>
              </w:rPr>
              <w:t>Урок 14</w:t>
            </w:r>
          </w:p>
        </w:tc>
        <w:tc>
          <w:tcPr>
            <w:tcW w:w="7937" w:type="dxa"/>
            <w:vAlign w:val="center"/>
          </w:tcPr>
          <w:p w14:paraId="6FEA697C">
            <w:pPr>
              <w:pStyle w:val="85"/>
              <w:jc w:val="both"/>
              <w:rPr>
                <w:color w:val="auto"/>
                <w:sz w:val="22"/>
                <w:szCs w:val="22"/>
              </w:rPr>
            </w:pPr>
            <w:r>
              <w:rPr>
                <w:color w:val="auto"/>
                <w:sz w:val="22"/>
                <w:szCs w:val="22"/>
              </w:rPr>
              <w:t>Отработка умения проводить звуковой анализ слова</w:t>
            </w:r>
          </w:p>
        </w:tc>
      </w:tr>
      <w:tr w14:paraId="11D925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79100032">
            <w:pPr>
              <w:pStyle w:val="85"/>
              <w:jc w:val="center"/>
              <w:rPr>
                <w:color w:val="auto"/>
                <w:sz w:val="22"/>
                <w:szCs w:val="22"/>
              </w:rPr>
            </w:pPr>
            <w:r>
              <w:rPr>
                <w:color w:val="auto"/>
                <w:sz w:val="22"/>
                <w:szCs w:val="22"/>
              </w:rPr>
              <w:t>Урок 15</w:t>
            </w:r>
          </w:p>
        </w:tc>
        <w:tc>
          <w:tcPr>
            <w:tcW w:w="7937" w:type="dxa"/>
            <w:vAlign w:val="center"/>
          </w:tcPr>
          <w:p w14:paraId="6D951C62">
            <w:pPr>
              <w:pStyle w:val="85"/>
              <w:jc w:val="both"/>
              <w:rPr>
                <w:color w:val="auto"/>
                <w:sz w:val="22"/>
                <w:szCs w:val="22"/>
              </w:rPr>
            </w:pPr>
            <w:r>
              <w:rPr>
                <w:color w:val="auto"/>
                <w:sz w:val="22"/>
                <w:szCs w:val="22"/>
              </w:rPr>
              <w:t>Слушание литературного произведения о Родине. Произведение по выбору, например, С.Д. Дрожжин "Привет"</w:t>
            </w:r>
          </w:p>
        </w:tc>
      </w:tr>
      <w:tr w14:paraId="1C9208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3EDA67A1">
            <w:pPr>
              <w:pStyle w:val="85"/>
              <w:jc w:val="center"/>
              <w:rPr>
                <w:color w:val="auto"/>
                <w:sz w:val="22"/>
                <w:szCs w:val="22"/>
              </w:rPr>
            </w:pPr>
            <w:r>
              <w:rPr>
                <w:color w:val="auto"/>
                <w:sz w:val="22"/>
                <w:szCs w:val="22"/>
              </w:rPr>
              <w:t>Урок 16</w:t>
            </w:r>
          </w:p>
        </w:tc>
        <w:tc>
          <w:tcPr>
            <w:tcW w:w="7937" w:type="dxa"/>
            <w:vAlign w:val="center"/>
          </w:tcPr>
          <w:p w14:paraId="4ADB5321">
            <w:pPr>
              <w:pStyle w:val="85"/>
              <w:jc w:val="both"/>
              <w:rPr>
                <w:color w:val="auto"/>
                <w:sz w:val="22"/>
                <w:szCs w:val="22"/>
              </w:rPr>
            </w:pPr>
            <w:r>
              <w:rPr>
                <w:color w:val="auto"/>
                <w:sz w:val="22"/>
                <w:szCs w:val="22"/>
              </w:rPr>
              <w:t>Знакомство со строчной и заглавной буквами А, а. Звук [а]</w:t>
            </w:r>
          </w:p>
        </w:tc>
      </w:tr>
      <w:tr w14:paraId="2389A4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67498D8F">
            <w:pPr>
              <w:pStyle w:val="85"/>
              <w:jc w:val="center"/>
              <w:rPr>
                <w:color w:val="auto"/>
                <w:sz w:val="22"/>
                <w:szCs w:val="22"/>
              </w:rPr>
            </w:pPr>
            <w:r>
              <w:rPr>
                <w:color w:val="auto"/>
                <w:sz w:val="22"/>
                <w:szCs w:val="22"/>
              </w:rPr>
              <w:t>Урок 17</w:t>
            </w:r>
          </w:p>
        </w:tc>
        <w:tc>
          <w:tcPr>
            <w:tcW w:w="7937" w:type="dxa"/>
            <w:vAlign w:val="center"/>
          </w:tcPr>
          <w:p w14:paraId="3D6D16B5">
            <w:pPr>
              <w:pStyle w:val="85"/>
              <w:jc w:val="both"/>
              <w:rPr>
                <w:color w:val="auto"/>
                <w:sz w:val="22"/>
                <w:szCs w:val="22"/>
              </w:rPr>
            </w:pPr>
            <w:r>
              <w:rPr>
                <w:color w:val="auto"/>
                <w:sz w:val="22"/>
                <w:szCs w:val="22"/>
              </w:rPr>
              <w:t>Функция буквы А, а в слоге-слиянии</w:t>
            </w:r>
          </w:p>
        </w:tc>
      </w:tr>
      <w:tr w14:paraId="34B936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7D196DC7">
            <w:pPr>
              <w:pStyle w:val="85"/>
              <w:jc w:val="center"/>
              <w:rPr>
                <w:color w:val="auto"/>
                <w:sz w:val="22"/>
                <w:szCs w:val="22"/>
              </w:rPr>
            </w:pPr>
            <w:r>
              <w:rPr>
                <w:color w:val="auto"/>
                <w:sz w:val="22"/>
                <w:szCs w:val="22"/>
              </w:rPr>
              <w:t>Урок 18</w:t>
            </w:r>
          </w:p>
        </w:tc>
        <w:tc>
          <w:tcPr>
            <w:tcW w:w="7937" w:type="dxa"/>
            <w:vAlign w:val="center"/>
          </w:tcPr>
          <w:p w14:paraId="269CBB6F">
            <w:pPr>
              <w:pStyle w:val="85"/>
              <w:jc w:val="both"/>
              <w:rPr>
                <w:color w:val="auto"/>
                <w:sz w:val="22"/>
                <w:szCs w:val="22"/>
              </w:rPr>
            </w:pPr>
            <w:r>
              <w:rPr>
                <w:color w:val="auto"/>
                <w:sz w:val="22"/>
                <w:szCs w:val="22"/>
              </w:rPr>
              <w:t>Знакомство со строчной и заглавной буквами О, о. Звук [о]</w:t>
            </w:r>
          </w:p>
        </w:tc>
      </w:tr>
      <w:tr w14:paraId="7E2599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68746790">
            <w:pPr>
              <w:pStyle w:val="85"/>
              <w:jc w:val="center"/>
              <w:rPr>
                <w:color w:val="auto"/>
                <w:sz w:val="22"/>
                <w:szCs w:val="22"/>
              </w:rPr>
            </w:pPr>
            <w:r>
              <w:rPr>
                <w:color w:val="auto"/>
                <w:sz w:val="22"/>
                <w:szCs w:val="22"/>
              </w:rPr>
              <w:t>Урок 19</w:t>
            </w:r>
          </w:p>
        </w:tc>
        <w:tc>
          <w:tcPr>
            <w:tcW w:w="7937" w:type="dxa"/>
            <w:vAlign w:val="center"/>
          </w:tcPr>
          <w:p w14:paraId="2E88B0D8">
            <w:pPr>
              <w:pStyle w:val="85"/>
              <w:jc w:val="both"/>
              <w:rPr>
                <w:color w:val="auto"/>
                <w:sz w:val="22"/>
                <w:szCs w:val="22"/>
              </w:rPr>
            </w:pPr>
            <w:r>
              <w:rPr>
                <w:color w:val="auto"/>
                <w:sz w:val="22"/>
                <w:szCs w:val="22"/>
              </w:rPr>
              <w:t>Функция буквы О, о в слоге-слиянии</w:t>
            </w:r>
          </w:p>
        </w:tc>
      </w:tr>
      <w:tr w14:paraId="63EB12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1E31873B">
            <w:pPr>
              <w:pStyle w:val="85"/>
              <w:jc w:val="center"/>
              <w:rPr>
                <w:color w:val="auto"/>
                <w:sz w:val="22"/>
                <w:szCs w:val="22"/>
              </w:rPr>
            </w:pPr>
            <w:r>
              <w:rPr>
                <w:color w:val="auto"/>
                <w:sz w:val="22"/>
                <w:szCs w:val="22"/>
              </w:rPr>
              <w:t>Урок 20</w:t>
            </w:r>
          </w:p>
        </w:tc>
        <w:tc>
          <w:tcPr>
            <w:tcW w:w="7937" w:type="dxa"/>
            <w:vAlign w:val="center"/>
          </w:tcPr>
          <w:p w14:paraId="5B9CCDF0">
            <w:pPr>
              <w:pStyle w:val="85"/>
              <w:jc w:val="both"/>
              <w:rPr>
                <w:color w:val="auto"/>
                <w:sz w:val="22"/>
                <w:szCs w:val="22"/>
              </w:rPr>
            </w:pPr>
            <w:r>
              <w:rPr>
                <w:color w:val="auto"/>
                <w:sz w:val="22"/>
                <w:szCs w:val="22"/>
              </w:rPr>
              <w:t>Проведение звукового анализа слов с буквами И, и. Звук [и]</w:t>
            </w:r>
          </w:p>
        </w:tc>
      </w:tr>
      <w:tr w14:paraId="4BA508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1548090D">
            <w:pPr>
              <w:pStyle w:val="85"/>
              <w:jc w:val="center"/>
              <w:rPr>
                <w:color w:val="auto"/>
                <w:sz w:val="22"/>
                <w:szCs w:val="22"/>
              </w:rPr>
            </w:pPr>
            <w:r>
              <w:rPr>
                <w:color w:val="auto"/>
                <w:sz w:val="22"/>
                <w:szCs w:val="22"/>
              </w:rPr>
              <w:t>Урок 21</w:t>
            </w:r>
          </w:p>
        </w:tc>
        <w:tc>
          <w:tcPr>
            <w:tcW w:w="7937" w:type="dxa"/>
            <w:vAlign w:val="center"/>
          </w:tcPr>
          <w:p w14:paraId="463CB2A6">
            <w:pPr>
              <w:pStyle w:val="85"/>
              <w:jc w:val="both"/>
              <w:rPr>
                <w:color w:val="auto"/>
                <w:sz w:val="22"/>
                <w:szCs w:val="22"/>
              </w:rPr>
            </w:pPr>
            <w:r>
              <w:rPr>
                <w:color w:val="auto"/>
                <w:sz w:val="22"/>
                <w:szCs w:val="22"/>
              </w:rPr>
              <w:t>Буквы И, и, их функция в слоге-слиянии</w:t>
            </w:r>
          </w:p>
        </w:tc>
      </w:tr>
      <w:tr w14:paraId="53AB77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5FBB23A8">
            <w:pPr>
              <w:pStyle w:val="85"/>
              <w:jc w:val="center"/>
              <w:rPr>
                <w:color w:val="auto"/>
                <w:sz w:val="22"/>
                <w:szCs w:val="22"/>
              </w:rPr>
            </w:pPr>
            <w:r>
              <w:rPr>
                <w:color w:val="auto"/>
                <w:sz w:val="22"/>
                <w:szCs w:val="22"/>
              </w:rPr>
              <w:t>Урок 22</w:t>
            </w:r>
          </w:p>
        </w:tc>
        <w:tc>
          <w:tcPr>
            <w:tcW w:w="7937" w:type="dxa"/>
            <w:vAlign w:val="center"/>
          </w:tcPr>
          <w:p w14:paraId="56146856">
            <w:pPr>
              <w:pStyle w:val="85"/>
              <w:jc w:val="both"/>
              <w:rPr>
                <w:color w:val="auto"/>
                <w:sz w:val="22"/>
                <w:szCs w:val="22"/>
              </w:rPr>
            </w:pPr>
            <w:r>
              <w:rPr>
                <w:color w:val="auto"/>
                <w:sz w:val="22"/>
                <w:szCs w:val="22"/>
              </w:rPr>
              <w:t>Знакомство со строчной буквой ы. Звук [ы]. Буква ы, ее функция в слоге-слиянии</w:t>
            </w:r>
          </w:p>
        </w:tc>
      </w:tr>
      <w:tr w14:paraId="27FDEA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2958296E">
            <w:pPr>
              <w:pStyle w:val="85"/>
              <w:jc w:val="center"/>
              <w:rPr>
                <w:color w:val="auto"/>
                <w:sz w:val="22"/>
                <w:szCs w:val="22"/>
              </w:rPr>
            </w:pPr>
            <w:r>
              <w:rPr>
                <w:color w:val="auto"/>
                <w:sz w:val="22"/>
                <w:szCs w:val="22"/>
              </w:rPr>
              <w:t>Урок 23</w:t>
            </w:r>
          </w:p>
        </w:tc>
        <w:tc>
          <w:tcPr>
            <w:tcW w:w="7937" w:type="dxa"/>
            <w:vAlign w:val="center"/>
          </w:tcPr>
          <w:p w14:paraId="01EB89CA">
            <w:pPr>
              <w:pStyle w:val="85"/>
              <w:jc w:val="both"/>
              <w:rPr>
                <w:color w:val="auto"/>
                <w:sz w:val="22"/>
                <w:szCs w:val="22"/>
              </w:rPr>
            </w:pPr>
            <w:r>
              <w:rPr>
                <w:color w:val="auto"/>
                <w:sz w:val="22"/>
                <w:szCs w:val="22"/>
              </w:rPr>
              <w:t>Знакомство со строчной и заглавной буквами У, у. Звук [у]</w:t>
            </w:r>
          </w:p>
        </w:tc>
      </w:tr>
      <w:tr w14:paraId="7EC44D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6F80DB85">
            <w:pPr>
              <w:pStyle w:val="85"/>
              <w:jc w:val="center"/>
              <w:rPr>
                <w:color w:val="auto"/>
                <w:sz w:val="22"/>
                <w:szCs w:val="22"/>
              </w:rPr>
            </w:pPr>
            <w:r>
              <w:rPr>
                <w:color w:val="auto"/>
                <w:sz w:val="22"/>
                <w:szCs w:val="22"/>
              </w:rPr>
              <w:t>Урок 24</w:t>
            </w:r>
          </w:p>
        </w:tc>
        <w:tc>
          <w:tcPr>
            <w:tcW w:w="7937" w:type="dxa"/>
            <w:vAlign w:val="center"/>
          </w:tcPr>
          <w:p w14:paraId="1FBDB154">
            <w:pPr>
              <w:pStyle w:val="85"/>
              <w:jc w:val="both"/>
              <w:rPr>
                <w:color w:val="auto"/>
                <w:sz w:val="22"/>
                <w:szCs w:val="22"/>
              </w:rPr>
            </w:pPr>
            <w:r>
              <w:rPr>
                <w:color w:val="auto"/>
                <w:sz w:val="22"/>
                <w:szCs w:val="22"/>
              </w:rPr>
              <w:t>Слушание литературного произведения о родной природе. Произведение по выбору, например, И.С. Соколов-Микитов "Русский лес"</w:t>
            </w:r>
          </w:p>
        </w:tc>
      </w:tr>
      <w:tr w14:paraId="35DBCB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7FD20CB1">
            <w:pPr>
              <w:pStyle w:val="85"/>
              <w:jc w:val="center"/>
              <w:rPr>
                <w:color w:val="auto"/>
                <w:sz w:val="22"/>
                <w:szCs w:val="22"/>
              </w:rPr>
            </w:pPr>
            <w:r>
              <w:rPr>
                <w:color w:val="auto"/>
                <w:sz w:val="22"/>
                <w:szCs w:val="22"/>
              </w:rPr>
              <w:t>Урок 25</w:t>
            </w:r>
          </w:p>
        </w:tc>
        <w:tc>
          <w:tcPr>
            <w:tcW w:w="7937" w:type="dxa"/>
            <w:vAlign w:val="center"/>
          </w:tcPr>
          <w:p w14:paraId="550D7290">
            <w:pPr>
              <w:pStyle w:val="85"/>
              <w:jc w:val="both"/>
              <w:rPr>
                <w:color w:val="auto"/>
                <w:sz w:val="22"/>
                <w:szCs w:val="22"/>
              </w:rPr>
            </w:pPr>
            <w:r>
              <w:rPr>
                <w:color w:val="auto"/>
                <w:sz w:val="22"/>
                <w:szCs w:val="22"/>
              </w:rPr>
              <w:t>Проведение звукового анализа слов с буквами У, у. Буквы У, у, их функция в слоге-слиянии</w:t>
            </w:r>
          </w:p>
        </w:tc>
      </w:tr>
      <w:tr w14:paraId="4FDF65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252924BF">
            <w:pPr>
              <w:pStyle w:val="85"/>
              <w:jc w:val="center"/>
              <w:rPr>
                <w:color w:val="auto"/>
                <w:sz w:val="22"/>
                <w:szCs w:val="22"/>
              </w:rPr>
            </w:pPr>
            <w:r>
              <w:rPr>
                <w:color w:val="auto"/>
                <w:sz w:val="22"/>
                <w:szCs w:val="22"/>
              </w:rPr>
              <w:t>Урок 26</w:t>
            </w:r>
          </w:p>
        </w:tc>
        <w:tc>
          <w:tcPr>
            <w:tcW w:w="7937" w:type="dxa"/>
            <w:vAlign w:val="center"/>
          </w:tcPr>
          <w:p w14:paraId="795990E6">
            <w:pPr>
              <w:pStyle w:val="85"/>
              <w:jc w:val="both"/>
              <w:rPr>
                <w:color w:val="auto"/>
                <w:sz w:val="22"/>
                <w:szCs w:val="22"/>
              </w:rPr>
            </w:pPr>
            <w:r>
              <w:rPr>
                <w:color w:val="auto"/>
                <w:sz w:val="22"/>
                <w:szCs w:val="22"/>
              </w:rPr>
              <w:t>Слушание литературного произведения о родной природе. Произведение по выбору, например, М.Л. Михайлов "Лесные хоромы"</w:t>
            </w:r>
          </w:p>
        </w:tc>
      </w:tr>
      <w:tr w14:paraId="7FA570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005A98FD">
            <w:pPr>
              <w:pStyle w:val="85"/>
              <w:jc w:val="center"/>
              <w:rPr>
                <w:color w:val="auto"/>
                <w:sz w:val="22"/>
                <w:szCs w:val="22"/>
              </w:rPr>
            </w:pPr>
            <w:r>
              <w:rPr>
                <w:color w:val="auto"/>
                <w:sz w:val="22"/>
                <w:szCs w:val="22"/>
              </w:rPr>
              <w:t>Урок 27</w:t>
            </w:r>
          </w:p>
        </w:tc>
        <w:tc>
          <w:tcPr>
            <w:tcW w:w="7937" w:type="dxa"/>
            <w:vAlign w:val="center"/>
          </w:tcPr>
          <w:p w14:paraId="4327CFF6">
            <w:pPr>
              <w:pStyle w:val="85"/>
              <w:jc w:val="both"/>
              <w:rPr>
                <w:color w:val="auto"/>
                <w:sz w:val="22"/>
                <w:szCs w:val="22"/>
              </w:rPr>
            </w:pPr>
            <w:r>
              <w:rPr>
                <w:color w:val="auto"/>
                <w:sz w:val="22"/>
                <w:szCs w:val="22"/>
              </w:rPr>
              <w:t>Знакомство со строчной и заглавной буквами Н, н. Звуки [н], [н']</w:t>
            </w:r>
          </w:p>
        </w:tc>
      </w:tr>
      <w:tr w14:paraId="3495D1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682D1241">
            <w:pPr>
              <w:pStyle w:val="85"/>
              <w:jc w:val="center"/>
              <w:rPr>
                <w:color w:val="auto"/>
                <w:sz w:val="22"/>
                <w:szCs w:val="22"/>
              </w:rPr>
            </w:pPr>
            <w:r>
              <w:rPr>
                <w:color w:val="auto"/>
                <w:sz w:val="22"/>
                <w:szCs w:val="22"/>
              </w:rPr>
              <w:t>Урок 28</w:t>
            </w:r>
          </w:p>
        </w:tc>
        <w:tc>
          <w:tcPr>
            <w:tcW w:w="7937" w:type="dxa"/>
            <w:vAlign w:val="center"/>
          </w:tcPr>
          <w:p w14:paraId="3225A582">
            <w:pPr>
              <w:pStyle w:val="85"/>
              <w:jc w:val="both"/>
              <w:rPr>
                <w:color w:val="auto"/>
                <w:sz w:val="22"/>
                <w:szCs w:val="22"/>
              </w:rPr>
            </w:pPr>
            <w:r>
              <w:rPr>
                <w:color w:val="auto"/>
                <w:sz w:val="22"/>
                <w:szCs w:val="22"/>
              </w:rPr>
              <w:t>Проведение звукового анализа слов с буквами Н, н</w:t>
            </w:r>
          </w:p>
        </w:tc>
      </w:tr>
      <w:tr w14:paraId="7F2E30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0BFBEBD7">
            <w:pPr>
              <w:pStyle w:val="85"/>
              <w:jc w:val="center"/>
              <w:rPr>
                <w:color w:val="auto"/>
                <w:sz w:val="22"/>
                <w:szCs w:val="22"/>
              </w:rPr>
            </w:pPr>
            <w:r>
              <w:rPr>
                <w:color w:val="auto"/>
                <w:sz w:val="22"/>
                <w:szCs w:val="22"/>
              </w:rPr>
              <w:t>Урок 29</w:t>
            </w:r>
          </w:p>
        </w:tc>
        <w:tc>
          <w:tcPr>
            <w:tcW w:w="7937" w:type="dxa"/>
            <w:vAlign w:val="center"/>
          </w:tcPr>
          <w:p w14:paraId="4ADD884D">
            <w:pPr>
              <w:pStyle w:val="85"/>
              <w:jc w:val="both"/>
              <w:rPr>
                <w:color w:val="auto"/>
                <w:sz w:val="22"/>
                <w:szCs w:val="22"/>
              </w:rPr>
            </w:pPr>
            <w:r>
              <w:rPr>
                <w:color w:val="auto"/>
                <w:sz w:val="22"/>
                <w:szCs w:val="22"/>
              </w:rPr>
              <w:t>Знакомство со строчной и заглавной буквами С, с. Звуки [с], [с']</w:t>
            </w:r>
          </w:p>
        </w:tc>
      </w:tr>
      <w:tr w14:paraId="1C8743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5878813A">
            <w:pPr>
              <w:pStyle w:val="85"/>
              <w:jc w:val="center"/>
              <w:rPr>
                <w:color w:val="auto"/>
                <w:sz w:val="22"/>
                <w:szCs w:val="22"/>
              </w:rPr>
            </w:pPr>
            <w:r>
              <w:rPr>
                <w:color w:val="auto"/>
                <w:sz w:val="22"/>
                <w:szCs w:val="22"/>
              </w:rPr>
              <w:t>Урок 30</w:t>
            </w:r>
          </w:p>
        </w:tc>
        <w:tc>
          <w:tcPr>
            <w:tcW w:w="7937" w:type="dxa"/>
            <w:vAlign w:val="center"/>
          </w:tcPr>
          <w:p w14:paraId="1CCEC8BD">
            <w:pPr>
              <w:pStyle w:val="85"/>
              <w:jc w:val="both"/>
              <w:rPr>
                <w:color w:val="auto"/>
                <w:sz w:val="22"/>
                <w:szCs w:val="22"/>
              </w:rPr>
            </w:pPr>
            <w:r>
              <w:rPr>
                <w:color w:val="auto"/>
                <w:sz w:val="22"/>
                <w:szCs w:val="22"/>
              </w:rPr>
              <w:t>Проведение звукового анализа слов с буквами С, с</w:t>
            </w:r>
          </w:p>
        </w:tc>
      </w:tr>
      <w:tr w14:paraId="310A73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5D2D70DA">
            <w:pPr>
              <w:pStyle w:val="85"/>
              <w:jc w:val="center"/>
              <w:rPr>
                <w:color w:val="auto"/>
                <w:sz w:val="22"/>
                <w:szCs w:val="22"/>
              </w:rPr>
            </w:pPr>
            <w:r>
              <w:rPr>
                <w:color w:val="auto"/>
                <w:sz w:val="22"/>
                <w:szCs w:val="22"/>
              </w:rPr>
              <w:t>Урок 31</w:t>
            </w:r>
          </w:p>
        </w:tc>
        <w:tc>
          <w:tcPr>
            <w:tcW w:w="7937" w:type="dxa"/>
            <w:vAlign w:val="center"/>
          </w:tcPr>
          <w:p w14:paraId="55436060">
            <w:pPr>
              <w:pStyle w:val="85"/>
              <w:jc w:val="both"/>
              <w:rPr>
                <w:color w:val="auto"/>
                <w:sz w:val="22"/>
                <w:szCs w:val="22"/>
              </w:rPr>
            </w:pPr>
            <w:r>
              <w:rPr>
                <w:color w:val="auto"/>
                <w:sz w:val="22"/>
                <w:szCs w:val="22"/>
              </w:rPr>
              <w:t>Знакомство со строчной и заглавной буквами К, к. Звуки [к], [к']</w:t>
            </w:r>
          </w:p>
        </w:tc>
      </w:tr>
      <w:tr w14:paraId="135F1C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0D535371">
            <w:pPr>
              <w:pStyle w:val="85"/>
              <w:jc w:val="center"/>
              <w:rPr>
                <w:color w:val="auto"/>
                <w:sz w:val="22"/>
                <w:szCs w:val="22"/>
              </w:rPr>
            </w:pPr>
            <w:r>
              <w:rPr>
                <w:color w:val="auto"/>
                <w:sz w:val="22"/>
                <w:szCs w:val="22"/>
              </w:rPr>
              <w:t>Урок 32</w:t>
            </w:r>
          </w:p>
        </w:tc>
        <w:tc>
          <w:tcPr>
            <w:tcW w:w="7937" w:type="dxa"/>
            <w:vAlign w:val="center"/>
          </w:tcPr>
          <w:p w14:paraId="7F2440DA">
            <w:pPr>
              <w:pStyle w:val="85"/>
              <w:jc w:val="both"/>
              <w:rPr>
                <w:color w:val="auto"/>
                <w:sz w:val="22"/>
                <w:szCs w:val="22"/>
              </w:rPr>
            </w:pPr>
            <w:r>
              <w:rPr>
                <w:color w:val="auto"/>
                <w:sz w:val="22"/>
                <w:szCs w:val="22"/>
              </w:rPr>
              <w:t>Проведение звукового анализа слов с буквами К, к</w:t>
            </w:r>
          </w:p>
        </w:tc>
      </w:tr>
      <w:tr w14:paraId="40C888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4B6B25EF">
            <w:pPr>
              <w:pStyle w:val="85"/>
              <w:jc w:val="center"/>
              <w:rPr>
                <w:color w:val="auto"/>
                <w:sz w:val="22"/>
                <w:szCs w:val="22"/>
              </w:rPr>
            </w:pPr>
            <w:r>
              <w:rPr>
                <w:color w:val="auto"/>
                <w:sz w:val="22"/>
                <w:szCs w:val="22"/>
              </w:rPr>
              <w:t>Урок 33</w:t>
            </w:r>
          </w:p>
        </w:tc>
        <w:tc>
          <w:tcPr>
            <w:tcW w:w="7937" w:type="dxa"/>
            <w:vAlign w:val="center"/>
          </w:tcPr>
          <w:p w14:paraId="6E6B1B51">
            <w:pPr>
              <w:pStyle w:val="85"/>
              <w:jc w:val="both"/>
              <w:rPr>
                <w:color w:val="auto"/>
                <w:sz w:val="22"/>
                <w:szCs w:val="22"/>
              </w:rPr>
            </w:pPr>
            <w:r>
              <w:rPr>
                <w:color w:val="auto"/>
                <w:sz w:val="22"/>
                <w:szCs w:val="22"/>
              </w:rPr>
              <w:t>Знакомство со строчной и заглавной буквами Т, т. Проведение звукового анализа слов с буквами Т, т. Согласные звуки [т], [т']</w:t>
            </w:r>
          </w:p>
        </w:tc>
      </w:tr>
      <w:tr w14:paraId="63631E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49E067C4">
            <w:pPr>
              <w:pStyle w:val="85"/>
              <w:jc w:val="center"/>
              <w:rPr>
                <w:color w:val="auto"/>
                <w:sz w:val="22"/>
                <w:szCs w:val="22"/>
              </w:rPr>
            </w:pPr>
            <w:r>
              <w:rPr>
                <w:color w:val="auto"/>
                <w:sz w:val="22"/>
                <w:szCs w:val="22"/>
              </w:rPr>
              <w:t>Урок 34</w:t>
            </w:r>
          </w:p>
        </w:tc>
        <w:tc>
          <w:tcPr>
            <w:tcW w:w="7937" w:type="dxa"/>
            <w:vAlign w:val="center"/>
          </w:tcPr>
          <w:p w14:paraId="7CC4F8F8">
            <w:pPr>
              <w:pStyle w:val="85"/>
              <w:jc w:val="both"/>
              <w:rPr>
                <w:color w:val="auto"/>
                <w:sz w:val="22"/>
                <w:szCs w:val="22"/>
              </w:rPr>
            </w:pPr>
            <w:r>
              <w:rPr>
                <w:color w:val="auto"/>
                <w:sz w:val="22"/>
                <w:szCs w:val="22"/>
              </w:rPr>
              <w:t>Знакомство со строчной и заглавной буквами Л, л. Согласные звуки [л], [л']</w:t>
            </w:r>
          </w:p>
        </w:tc>
      </w:tr>
      <w:tr w14:paraId="424CC0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62CD824A">
            <w:pPr>
              <w:pStyle w:val="85"/>
              <w:jc w:val="center"/>
              <w:rPr>
                <w:color w:val="auto"/>
                <w:sz w:val="22"/>
                <w:szCs w:val="22"/>
              </w:rPr>
            </w:pPr>
            <w:r>
              <w:rPr>
                <w:color w:val="auto"/>
                <w:sz w:val="22"/>
                <w:szCs w:val="22"/>
              </w:rPr>
              <w:t>Урок 35</w:t>
            </w:r>
          </w:p>
        </w:tc>
        <w:tc>
          <w:tcPr>
            <w:tcW w:w="7937" w:type="dxa"/>
            <w:vAlign w:val="center"/>
          </w:tcPr>
          <w:p w14:paraId="3A29CA8E">
            <w:pPr>
              <w:pStyle w:val="85"/>
              <w:jc w:val="both"/>
              <w:rPr>
                <w:color w:val="auto"/>
                <w:sz w:val="22"/>
                <w:szCs w:val="22"/>
              </w:rPr>
            </w:pPr>
            <w:r>
              <w:rPr>
                <w:color w:val="auto"/>
                <w:sz w:val="22"/>
                <w:szCs w:val="22"/>
              </w:rPr>
              <w:t>Проведение звукового анализа слов с буквами Л, л</w:t>
            </w:r>
          </w:p>
        </w:tc>
      </w:tr>
      <w:tr w14:paraId="4F9A43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7791C705">
            <w:pPr>
              <w:pStyle w:val="85"/>
              <w:jc w:val="center"/>
              <w:rPr>
                <w:color w:val="auto"/>
                <w:sz w:val="22"/>
                <w:szCs w:val="22"/>
              </w:rPr>
            </w:pPr>
            <w:r>
              <w:rPr>
                <w:color w:val="auto"/>
                <w:sz w:val="22"/>
                <w:szCs w:val="22"/>
              </w:rPr>
              <w:t>Урок 36</w:t>
            </w:r>
          </w:p>
        </w:tc>
        <w:tc>
          <w:tcPr>
            <w:tcW w:w="7937" w:type="dxa"/>
            <w:vAlign w:val="center"/>
          </w:tcPr>
          <w:p w14:paraId="716626E3">
            <w:pPr>
              <w:pStyle w:val="85"/>
              <w:jc w:val="both"/>
              <w:rPr>
                <w:color w:val="auto"/>
                <w:sz w:val="22"/>
                <w:szCs w:val="22"/>
              </w:rPr>
            </w:pPr>
            <w:r>
              <w:rPr>
                <w:color w:val="auto"/>
                <w:sz w:val="22"/>
                <w:szCs w:val="22"/>
              </w:rPr>
              <w:t>Знакомство со строчной и заглавной буквами Р, р. Согласные звуки [р], [р']</w:t>
            </w:r>
          </w:p>
        </w:tc>
      </w:tr>
      <w:tr w14:paraId="1216BC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77A2DAE4">
            <w:pPr>
              <w:pStyle w:val="85"/>
              <w:jc w:val="center"/>
              <w:rPr>
                <w:color w:val="auto"/>
                <w:sz w:val="22"/>
                <w:szCs w:val="22"/>
              </w:rPr>
            </w:pPr>
            <w:r>
              <w:rPr>
                <w:color w:val="auto"/>
                <w:sz w:val="22"/>
                <w:szCs w:val="22"/>
              </w:rPr>
              <w:t>Урок 37</w:t>
            </w:r>
          </w:p>
        </w:tc>
        <w:tc>
          <w:tcPr>
            <w:tcW w:w="7937" w:type="dxa"/>
            <w:vAlign w:val="center"/>
          </w:tcPr>
          <w:p w14:paraId="342B648B">
            <w:pPr>
              <w:pStyle w:val="85"/>
              <w:jc w:val="both"/>
              <w:rPr>
                <w:color w:val="auto"/>
                <w:sz w:val="22"/>
                <w:szCs w:val="22"/>
              </w:rPr>
            </w:pPr>
            <w:r>
              <w:rPr>
                <w:color w:val="auto"/>
                <w:sz w:val="22"/>
                <w:szCs w:val="22"/>
              </w:rPr>
              <w:t>Проведение звукового анализа слов с буквами Р, р</w:t>
            </w:r>
          </w:p>
        </w:tc>
      </w:tr>
      <w:tr w14:paraId="2B3505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4DA8D284">
            <w:pPr>
              <w:pStyle w:val="85"/>
              <w:rPr>
                <w:color w:val="auto"/>
                <w:sz w:val="22"/>
                <w:szCs w:val="22"/>
              </w:rPr>
            </w:pPr>
            <w:r>
              <w:rPr>
                <w:color w:val="auto"/>
                <w:sz w:val="22"/>
                <w:szCs w:val="22"/>
              </w:rPr>
              <w:t>Урок 38</w:t>
            </w:r>
          </w:p>
        </w:tc>
        <w:tc>
          <w:tcPr>
            <w:tcW w:w="7937" w:type="dxa"/>
            <w:vAlign w:val="center"/>
          </w:tcPr>
          <w:p w14:paraId="712AD329">
            <w:pPr>
              <w:pStyle w:val="85"/>
              <w:jc w:val="both"/>
              <w:rPr>
                <w:color w:val="auto"/>
                <w:sz w:val="22"/>
                <w:szCs w:val="22"/>
              </w:rPr>
            </w:pPr>
            <w:r>
              <w:rPr>
                <w:color w:val="auto"/>
                <w:sz w:val="22"/>
                <w:szCs w:val="22"/>
              </w:rPr>
              <w:t>Знакомство со строчной и заглавной буквами В, в. Согласные звуки [в], [в']</w:t>
            </w:r>
          </w:p>
        </w:tc>
      </w:tr>
      <w:tr w14:paraId="65DF5E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10E506BA">
            <w:pPr>
              <w:pStyle w:val="85"/>
              <w:rPr>
                <w:color w:val="auto"/>
                <w:sz w:val="22"/>
                <w:szCs w:val="22"/>
              </w:rPr>
            </w:pPr>
            <w:r>
              <w:rPr>
                <w:color w:val="auto"/>
                <w:sz w:val="22"/>
                <w:szCs w:val="22"/>
              </w:rPr>
              <w:t>Урок 39</w:t>
            </w:r>
          </w:p>
        </w:tc>
        <w:tc>
          <w:tcPr>
            <w:tcW w:w="7937" w:type="dxa"/>
            <w:vAlign w:val="center"/>
          </w:tcPr>
          <w:p w14:paraId="68118D8C">
            <w:pPr>
              <w:pStyle w:val="85"/>
              <w:jc w:val="both"/>
              <w:rPr>
                <w:color w:val="auto"/>
                <w:sz w:val="22"/>
                <w:szCs w:val="22"/>
              </w:rPr>
            </w:pPr>
            <w:r>
              <w:rPr>
                <w:color w:val="auto"/>
                <w:sz w:val="22"/>
                <w:szCs w:val="22"/>
              </w:rPr>
              <w:t>Проведение звукового анализа слов с буквами В, в</w:t>
            </w:r>
          </w:p>
        </w:tc>
      </w:tr>
      <w:tr w14:paraId="06D08C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10AAC4F5">
            <w:pPr>
              <w:pStyle w:val="85"/>
              <w:rPr>
                <w:color w:val="auto"/>
                <w:sz w:val="22"/>
                <w:szCs w:val="22"/>
              </w:rPr>
            </w:pPr>
            <w:r>
              <w:rPr>
                <w:color w:val="auto"/>
                <w:sz w:val="22"/>
                <w:szCs w:val="22"/>
              </w:rPr>
              <w:t>Урок 40</w:t>
            </w:r>
          </w:p>
        </w:tc>
        <w:tc>
          <w:tcPr>
            <w:tcW w:w="7937" w:type="dxa"/>
            <w:vAlign w:val="center"/>
          </w:tcPr>
          <w:p w14:paraId="15DBCDD7">
            <w:pPr>
              <w:pStyle w:val="85"/>
              <w:jc w:val="both"/>
              <w:rPr>
                <w:color w:val="auto"/>
                <w:sz w:val="22"/>
                <w:szCs w:val="22"/>
              </w:rPr>
            </w:pPr>
            <w:r>
              <w:rPr>
                <w:color w:val="auto"/>
                <w:sz w:val="22"/>
                <w:szCs w:val="22"/>
              </w:rPr>
              <w:t>Знакомство со строчной и заглавной буквами Е, е. Звуки [й'э], ['э]</w:t>
            </w:r>
          </w:p>
        </w:tc>
      </w:tr>
      <w:tr w14:paraId="71236F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6E420DD1">
            <w:pPr>
              <w:pStyle w:val="85"/>
              <w:rPr>
                <w:color w:val="auto"/>
                <w:sz w:val="22"/>
                <w:szCs w:val="22"/>
              </w:rPr>
            </w:pPr>
            <w:r>
              <w:rPr>
                <w:color w:val="auto"/>
                <w:sz w:val="22"/>
                <w:szCs w:val="22"/>
              </w:rPr>
              <w:t>Урок 41</w:t>
            </w:r>
          </w:p>
        </w:tc>
        <w:tc>
          <w:tcPr>
            <w:tcW w:w="7937" w:type="dxa"/>
            <w:vAlign w:val="center"/>
          </w:tcPr>
          <w:p w14:paraId="4B85478B">
            <w:pPr>
              <w:pStyle w:val="85"/>
              <w:jc w:val="both"/>
              <w:rPr>
                <w:color w:val="auto"/>
                <w:sz w:val="22"/>
                <w:szCs w:val="22"/>
              </w:rPr>
            </w:pPr>
            <w:r>
              <w:rPr>
                <w:color w:val="auto"/>
                <w:sz w:val="22"/>
                <w:szCs w:val="22"/>
              </w:rPr>
              <w:t>Проведение звукового анализа слов с буквами Е, е</w:t>
            </w:r>
          </w:p>
        </w:tc>
      </w:tr>
      <w:tr w14:paraId="2403FA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40A05338">
            <w:pPr>
              <w:pStyle w:val="85"/>
              <w:rPr>
                <w:color w:val="auto"/>
                <w:sz w:val="22"/>
                <w:szCs w:val="22"/>
              </w:rPr>
            </w:pPr>
            <w:r>
              <w:rPr>
                <w:color w:val="auto"/>
                <w:sz w:val="22"/>
                <w:szCs w:val="22"/>
              </w:rPr>
              <w:t>Урок 42</w:t>
            </w:r>
          </w:p>
        </w:tc>
        <w:tc>
          <w:tcPr>
            <w:tcW w:w="7937" w:type="dxa"/>
            <w:vAlign w:val="center"/>
          </w:tcPr>
          <w:p w14:paraId="36C8DAAB">
            <w:pPr>
              <w:pStyle w:val="85"/>
              <w:jc w:val="both"/>
              <w:rPr>
                <w:color w:val="auto"/>
                <w:sz w:val="22"/>
                <w:szCs w:val="22"/>
              </w:rPr>
            </w:pPr>
            <w:r>
              <w:rPr>
                <w:color w:val="auto"/>
                <w:sz w:val="22"/>
                <w:szCs w:val="22"/>
              </w:rPr>
              <w:t>Знакомство со строчной и заглавной буквами П, п. Согласные звуки [п], [п']</w:t>
            </w:r>
          </w:p>
        </w:tc>
      </w:tr>
      <w:tr w14:paraId="6EC7E0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785DA0C9">
            <w:pPr>
              <w:pStyle w:val="85"/>
              <w:rPr>
                <w:color w:val="auto"/>
                <w:sz w:val="22"/>
                <w:szCs w:val="22"/>
              </w:rPr>
            </w:pPr>
            <w:r>
              <w:rPr>
                <w:color w:val="auto"/>
                <w:sz w:val="22"/>
                <w:szCs w:val="22"/>
              </w:rPr>
              <w:t>Урок 43</w:t>
            </w:r>
          </w:p>
        </w:tc>
        <w:tc>
          <w:tcPr>
            <w:tcW w:w="7937" w:type="dxa"/>
            <w:vAlign w:val="center"/>
          </w:tcPr>
          <w:p w14:paraId="22DB9495">
            <w:pPr>
              <w:pStyle w:val="85"/>
              <w:jc w:val="both"/>
              <w:rPr>
                <w:color w:val="auto"/>
                <w:sz w:val="22"/>
                <w:szCs w:val="22"/>
              </w:rPr>
            </w:pPr>
            <w:r>
              <w:rPr>
                <w:color w:val="auto"/>
                <w:sz w:val="22"/>
                <w:szCs w:val="22"/>
              </w:rPr>
              <w:t>Проведение звукового анализа слов с буквами П, п</w:t>
            </w:r>
          </w:p>
        </w:tc>
      </w:tr>
      <w:tr w14:paraId="5C02CC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6B0CEA6F">
            <w:pPr>
              <w:pStyle w:val="85"/>
              <w:rPr>
                <w:color w:val="auto"/>
                <w:sz w:val="22"/>
                <w:szCs w:val="22"/>
              </w:rPr>
            </w:pPr>
            <w:r>
              <w:rPr>
                <w:color w:val="auto"/>
                <w:sz w:val="22"/>
                <w:szCs w:val="22"/>
              </w:rPr>
              <w:t>Урок 44</w:t>
            </w:r>
          </w:p>
        </w:tc>
        <w:tc>
          <w:tcPr>
            <w:tcW w:w="7937" w:type="dxa"/>
            <w:vAlign w:val="center"/>
          </w:tcPr>
          <w:p w14:paraId="14754A42">
            <w:pPr>
              <w:pStyle w:val="85"/>
              <w:jc w:val="both"/>
              <w:rPr>
                <w:color w:val="auto"/>
                <w:sz w:val="22"/>
                <w:szCs w:val="22"/>
              </w:rPr>
            </w:pPr>
            <w:r>
              <w:rPr>
                <w:color w:val="auto"/>
                <w:sz w:val="22"/>
                <w:szCs w:val="22"/>
              </w:rPr>
              <w:t>Знакомство со строчной и заглавной буквами М, м. Согласные звуки [м], [м']</w:t>
            </w:r>
          </w:p>
        </w:tc>
      </w:tr>
      <w:tr w14:paraId="487891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036867B3">
            <w:pPr>
              <w:pStyle w:val="85"/>
              <w:rPr>
                <w:color w:val="auto"/>
                <w:sz w:val="22"/>
                <w:szCs w:val="22"/>
              </w:rPr>
            </w:pPr>
            <w:r>
              <w:rPr>
                <w:color w:val="auto"/>
                <w:sz w:val="22"/>
                <w:szCs w:val="22"/>
              </w:rPr>
              <w:t>Урок 45</w:t>
            </w:r>
          </w:p>
        </w:tc>
        <w:tc>
          <w:tcPr>
            <w:tcW w:w="7937" w:type="dxa"/>
            <w:vAlign w:val="center"/>
          </w:tcPr>
          <w:p w14:paraId="212A7A94">
            <w:pPr>
              <w:pStyle w:val="85"/>
              <w:jc w:val="both"/>
              <w:rPr>
                <w:color w:val="auto"/>
                <w:sz w:val="22"/>
                <w:szCs w:val="22"/>
              </w:rPr>
            </w:pPr>
            <w:r>
              <w:rPr>
                <w:color w:val="auto"/>
                <w:sz w:val="22"/>
                <w:szCs w:val="22"/>
              </w:rPr>
              <w:t>Знакомство со строчной и заглавной буквами М, м. Согласные звуки [м], [м']</w:t>
            </w:r>
          </w:p>
        </w:tc>
      </w:tr>
      <w:tr w14:paraId="2A4A2B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1EAAE151">
            <w:pPr>
              <w:pStyle w:val="85"/>
              <w:rPr>
                <w:color w:val="auto"/>
                <w:sz w:val="22"/>
                <w:szCs w:val="22"/>
              </w:rPr>
            </w:pPr>
            <w:r>
              <w:rPr>
                <w:color w:val="auto"/>
                <w:sz w:val="22"/>
                <w:szCs w:val="22"/>
              </w:rPr>
              <w:t>Урок 46</w:t>
            </w:r>
          </w:p>
        </w:tc>
        <w:tc>
          <w:tcPr>
            <w:tcW w:w="7937" w:type="dxa"/>
            <w:vAlign w:val="center"/>
          </w:tcPr>
          <w:p w14:paraId="4362EA30">
            <w:pPr>
              <w:pStyle w:val="85"/>
              <w:jc w:val="both"/>
              <w:rPr>
                <w:color w:val="auto"/>
                <w:sz w:val="22"/>
                <w:szCs w:val="22"/>
              </w:rPr>
            </w:pPr>
            <w:r>
              <w:rPr>
                <w:color w:val="auto"/>
                <w:sz w:val="22"/>
                <w:szCs w:val="22"/>
              </w:rPr>
              <w:t>Знакомство со строчной и заглавной буквами З, з. Звуки [з], [з']</w:t>
            </w:r>
          </w:p>
        </w:tc>
      </w:tr>
      <w:tr w14:paraId="498155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2DEDC8C7">
            <w:pPr>
              <w:pStyle w:val="85"/>
              <w:rPr>
                <w:color w:val="auto"/>
                <w:sz w:val="22"/>
                <w:szCs w:val="22"/>
              </w:rPr>
            </w:pPr>
            <w:r>
              <w:rPr>
                <w:color w:val="auto"/>
                <w:sz w:val="22"/>
                <w:szCs w:val="22"/>
              </w:rPr>
              <w:t>Урок 47</w:t>
            </w:r>
          </w:p>
        </w:tc>
        <w:tc>
          <w:tcPr>
            <w:tcW w:w="7937" w:type="dxa"/>
            <w:vAlign w:val="center"/>
          </w:tcPr>
          <w:p w14:paraId="56F3A4A4">
            <w:pPr>
              <w:pStyle w:val="85"/>
              <w:jc w:val="both"/>
              <w:rPr>
                <w:color w:val="auto"/>
                <w:sz w:val="22"/>
                <w:szCs w:val="22"/>
              </w:rPr>
            </w:pPr>
            <w:r>
              <w:rPr>
                <w:color w:val="auto"/>
                <w:sz w:val="22"/>
                <w:szCs w:val="22"/>
              </w:rPr>
              <w:t>Проведение звукового анализа слов с буквами З, з. Отработка навыка чтения предложений с буквами З, з</w:t>
            </w:r>
          </w:p>
        </w:tc>
      </w:tr>
      <w:tr w14:paraId="6F9C56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29215555">
            <w:pPr>
              <w:pStyle w:val="85"/>
              <w:rPr>
                <w:color w:val="auto"/>
                <w:sz w:val="22"/>
                <w:szCs w:val="22"/>
              </w:rPr>
            </w:pPr>
            <w:r>
              <w:rPr>
                <w:color w:val="auto"/>
                <w:sz w:val="22"/>
                <w:szCs w:val="22"/>
              </w:rPr>
              <w:t>Урок 48</w:t>
            </w:r>
          </w:p>
        </w:tc>
        <w:tc>
          <w:tcPr>
            <w:tcW w:w="7937" w:type="dxa"/>
            <w:vAlign w:val="center"/>
          </w:tcPr>
          <w:p w14:paraId="3B8763B3">
            <w:pPr>
              <w:pStyle w:val="85"/>
              <w:jc w:val="both"/>
              <w:rPr>
                <w:color w:val="auto"/>
                <w:sz w:val="22"/>
                <w:szCs w:val="22"/>
              </w:rPr>
            </w:pPr>
            <w:r>
              <w:rPr>
                <w:color w:val="auto"/>
                <w:sz w:val="22"/>
                <w:szCs w:val="22"/>
              </w:rPr>
              <w:t>Знакомство со строчной и заглавной буквами Б, б. Проведение звукового анализа слов с буквами Б, б. Согласные звуки [б], [б'].</w:t>
            </w:r>
          </w:p>
        </w:tc>
      </w:tr>
      <w:tr w14:paraId="02BC5A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47B79D08">
            <w:pPr>
              <w:pStyle w:val="85"/>
              <w:rPr>
                <w:color w:val="auto"/>
                <w:sz w:val="22"/>
                <w:szCs w:val="22"/>
              </w:rPr>
            </w:pPr>
            <w:r>
              <w:rPr>
                <w:color w:val="auto"/>
                <w:sz w:val="22"/>
                <w:szCs w:val="22"/>
              </w:rPr>
              <w:t>Урок 49</w:t>
            </w:r>
          </w:p>
        </w:tc>
        <w:tc>
          <w:tcPr>
            <w:tcW w:w="7937" w:type="dxa"/>
            <w:vAlign w:val="center"/>
          </w:tcPr>
          <w:p w14:paraId="63185E17">
            <w:pPr>
              <w:pStyle w:val="85"/>
              <w:jc w:val="both"/>
              <w:rPr>
                <w:color w:val="auto"/>
                <w:sz w:val="22"/>
                <w:szCs w:val="22"/>
              </w:rPr>
            </w:pPr>
            <w:r>
              <w:rPr>
                <w:color w:val="auto"/>
                <w:sz w:val="22"/>
                <w:szCs w:val="22"/>
              </w:rPr>
              <w:t>Закрепление знаний о буквах Б, б. Сопоставление звуков [б] - [п]</w:t>
            </w:r>
          </w:p>
        </w:tc>
      </w:tr>
      <w:tr w14:paraId="78ED6D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09F7F499">
            <w:pPr>
              <w:pStyle w:val="85"/>
              <w:rPr>
                <w:color w:val="auto"/>
                <w:sz w:val="22"/>
                <w:szCs w:val="22"/>
              </w:rPr>
            </w:pPr>
            <w:r>
              <w:rPr>
                <w:color w:val="auto"/>
                <w:sz w:val="22"/>
                <w:szCs w:val="22"/>
              </w:rPr>
              <w:t>Урок 50</w:t>
            </w:r>
          </w:p>
        </w:tc>
        <w:tc>
          <w:tcPr>
            <w:tcW w:w="7937" w:type="dxa"/>
            <w:vAlign w:val="center"/>
          </w:tcPr>
          <w:p w14:paraId="16842C50">
            <w:pPr>
              <w:pStyle w:val="85"/>
              <w:jc w:val="both"/>
              <w:rPr>
                <w:color w:val="auto"/>
                <w:sz w:val="22"/>
                <w:szCs w:val="22"/>
              </w:rPr>
            </w:pPr>
            <w:r>
              <w:rPr>
                <w:color w:val="auto"/>
                <w:sz w:val="22"/>
                <w:szCs w:val="22"/>
              </w:rPr>
              <w:t>Знакомство со строчной и заглавной буквами Д, д. Согласные звуки [д], [д']</w:t>
            </w:r>
          </w:p>
        </w:tc>
      </w:tr>
      <w:tr w14:paraId="5EC554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6B25C075">
            <w:pPr>
              <w:pStyle w:val="85"/>
              <w:rPr>
                <w:color w:val="auto"/>
                <w:sz w:val="22"/>
                <w:szCs w:val="22"/>
              </w:rPr>
            </w:pPr>
            <w:r>
              <w:rPr>
                <w:color w:val="auto"/>
                <w:sz w:val="22"/>
                <w:szCs w:val="22"/>
              </w:rPr>
              <w:t>Урок 51</w:t>
            </w:r>
          </w:p>
        </w:tc>
        <w:tc>
          <w:tcPr>
            <w:tcW w:w="7937" w:type="dxa"/>
            <w:vAlign w:val="center"/>
          </w:tcPr>
          <w:p w14:paraId="09067841">
            <w:pPr>
              <w:pStyle w:val="85"/>
              <w:jc w:val="both"/>
              <w:rPr>
                <w:color w:val="auto"/>
                <w:sz w:val="22"/>
                <w:szCs w:val="22"/>
              </w:rPr>
            </w:pPr>
            <w:r>
              <w:rPr>
                <w:color w:val="auto"/>
                <w:sz w:val="22"/>
                <w:szCs w:val="22"/>
              </w:rPr>
              <w:t>Проведение звукового анализа слов с буквами Д, д. Сопоставление звуков [д] - [т]</w:t>
            </w:r>
          </w:p>
        </w:tc>
      </w:tr>
      <w:tr w14:paraId="17C61A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0A707D2F">
            <w:pPr>
              <w:pStyle w:val="85"/>
              <w:rPr>
                <w:color w:val="auto"/>
                <w:sz w:val="22"/>
                <w:szCs w:val="22"/>
              </w:rPr>
            </w:pPr>
            <w:r>
              <w:rPr>
                <w:color w:val="auto"/>
                <w:sz w:val="22"/>
                <w:szCs w:val="22"/>
              </w:rPr>
              <w:t>Урок 52</w:t>
            </w:r>
          </w:p>
        </w:tc>
        <w:tc>
          <w:tcPr>
            <w:tcW w:w="7937" w:type="dxa"/>
            <w:vAlign w:val="center"/>
          </w:tcPr>
          <w:p w14:paraId="338084FA">
            <w:pPr>
              <w:pStyle w:val="85"/>
              <w:jc w:val="both"/>
              <w:rPr>
                <w:color w:val="auto"/>
                <w:sz w:val="22"/>
                <w:szCs w:val="22"/>
              </w:rPr>
            </w:pPr>
            <w:r>
              <w:rPr>
                <w:color w:val="auto"/>
                <w:sz w:val="22"/>
                <w:szCs w:val="22"/>
              </w:rPr>
              <w:t>Знакомство со строчной и заглавной буквами Я, я. Звуки [й'а], ['а].</w:t>
            </w:r>
          </w:p>
          <w:p w14:paraId="662E3E2F">
            <w:pPr>
              <w:pStyle w:val="85"/>
              <w:jc w:val="both"/>
              <w:rPr>
                <w:color w:val="auto"/>
                <w:sz w:val="22"/>
                <w:szCs w:val="22"/>
              </w:rPr>
            </w:pPr>
            <w:r>
              <w:rPr>
                <w:color w:val="auto"/>
                <w:sz w:val="22"/>
                <w:szCs w:val="22"/>
              </w:rPr>
              <w:t>Двойная роль букв Я, я</w:t>
            </w:r>
          </w:p>
        </w:tc>
      </w:tr>
      <w:tr w14:paraId="2EEF72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1C20BA4C">
            <w:pPr>
              <w:pStyle w:val="85"/>
              <w:rPr>
                <w:color w:val="auto"/>
                <w:sz w:val="22"/>
                <w:szCs w:val="22"/>
              </w:rPr>
            </w:pPr>
            <w:r>
              <w:rPr>
                <w:color w:val="auto"/>
                <w:sz w:val="22"/>
                <w:szCs w:val="22"/>
              </w:rPr>
              <w:t>Урок 53</w:t>
            </w:r>
          </w:p>
        </w:tc>
        <w:tc>
          <w:tcPr>
            <w:tcW w:w="7937" w:type="dxa"/>
            <w:vAlign w:val="center"/>
          </w:tcPr>
          <w:p w14:paraId="150DB85F">
            <w:pPr>
              <w:pStyle w:val="85"/>
              <w:jc w:val="both"/>
              <w:rPr>
                <w:color w:val="auto"/>
                <w:sz w:val="22"/>
                <w:szCs w:val="22"/>
              </w:rPr>
            </w:pPr>
            <w:r>
              <w:rPr>
                <w:color w:val="auto"/>
                <w:sz w:val="22"/>
                <w:szCs w:val="22"/>
              </w:rPr>
              <w:t>Слушание литературного произведения. Произведение по выбору, например, В.Г. Сутеев "Дядя Миша". Чтение текстов с изученными буквами</w:t>
            </w:r>
          </w:p>
        </w:tc>
      </w:tr>
      <w:tr w14:paraId="73815D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4996B598">
            <w:pPr>
              <w:pStyle w:val="85"/>
              <w:rPr>
                <w:color w:val="auto"/>
                <w:sz w:val="22"/>
                <w:szCs w:val="22"/>
              </w:rPr>
            </w:pPr>
            <w:r>
              <w:rPr>
                <w:color w:val="auto"/>
                <w:sz w:val="22"/>
                <w:szCs w:val="22"/>
              </w:rPr>
              <w:t>Урок 54</w:t>
            </w:r>
          </w:p>
        </w:tc>
        <w:tc>
          <w:tcPr>
            <w:tcW w:w="7937" w:type="dxa"/>
            <w:vAlign w:val="center"/>
          </w:tcPr>
          <w:p w14:paraId="0D7C0DE6">
            <w:pPr>
              <w:pStyle w:val="85"/>
              <w:jc w:val="both"/>
              <w:rPr>
                <w:color w:val="auto"/>
                <w:sz w:val="22"/>
                <w:szCs w:val="22"/>
              </w:rPr>
            </w:pPr>
            <w:r>
              <w:rPr>
                <w:color w:val="auto"/>
                <w:sz w:val="22"/>
                <w:szCs w:val="22"/>
              </w:rPr>
              <w:t>Знакомство со строчной и заглавной буквами Г, г. Проведение звукового анализа слов с буквами Г, г. Согласные звуки [г], [г']</w:t>
            </w:r>
          </w:p>
        </w:tc>
      </w:tr>
      <w:tr w14:paraId="31227B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7118B823">
            <w:pPr>
              <w:pStyle w:val="85"/>
              <w:rPr>
                <w:color w:val="auto"/>
                <w:sz w:val="22"/>
                <w:szCs w:val="22"/>
              </w:rPr>
            </w:pPr>
            <w:r>
              <w:rPr>
                <w:color w:val="auto"/>
                <w:sz w:val="22"/>
                <w:szCs w:val="22"/>
              </w:rPr>
              <w:t>Урок 55</w:t>
            </w:r>
          </w:p>
        </w:tc>
        <w:tc>
          <w:tcPr>
            <w:tcW w:w="7937" w:type="dxa"/>
            <w:vAlign w:val="center"/>
          </w:tcPr>
          <w:p w14:paraId="1F5B1408">
            <w:pPr>
              <w:pStyle w:val="85"/>
              <w:jc w:val="both"/>
              <w:rPr>
                <w:color w:val="auto"/>
                <w:sz w:val="22"/>
                <w:szCs w:val="22"/>
              </w:rPr>
            </w:pPr>
            <w:r>
              <w:rPr>
                <w:color w:val="auto"/>
                <w:sz w:val="22"/>
                <w:szCs w:val="22"/>
              </w:rPr>
              <w:t>Закрепление знаний о буквах Г, г. Сопоставление звуков [г] - [к].</w:t>
            </w:r>
          </w:p>
        </w:tc>
      </w:tr>
      <w:tr w14:paraId="510549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4AC93087">
            <w:pPr>
              <w:pStyle w:val="85"/>
              <w:rPr>
                <w:color w:val="auto"/>
                <w:sz w:val="22"/>
                <w:szCs w:val="22"/>
              </w:rPr>
            </w:pPr>
            <w:r>
              <w:rPr>
                <w:color w:val="auto"/>
                <w:sz w:val="22"/>
                <w:szCs w:val="22"/>
              </w:rPr>
              <w:t>Урок 56</w:t>
            </w:r>
          </w:p>
        </w:tc>
        <w:tc>
          <w:tcPr>
            <w:tcW w:w="7937" w:type="dxa"/>
            <w:vAlign w:val="center"/>
          </w:tcPr>
          <w:p w14:paraId="506D890E">
            <w:pPr>
              <w:pStyle w:val="85"/>
              <w:jc w:val="both"/>
              <w:rPr>
                <w:color w:val="auto"/>
                <w:sz w:val="22"/>
                <w:szCs w:val="22"/>
              </w:rPr>
            </w:pPr>
            <w:r>
              <w:rPr>
                <w:color w:val="auto"/>
                <w:sz w:val="22"/>
                <w:szCs w:val="22"/>
              </w:rPr>
              <w:t>Знакомство со строчной и заглавной буквами Ч, ч. Звук [ч']. Сочетания ча - чу</w:t>
            </w:r>
          </w:p>
        </w:tc>
      </w:tr>
      <w:tr w14:paraId="0EECB6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6EA6DEC9">
            <w:pPr>
              <w:pStyle w:val="85"/>
              <w:rPr>
                <w:color w:val="auto"/>
                <w:sz w:val="22"/>
                <w:szCs w:val="22"/>
              </w:rPr>
            </w:pPr>
            <w:r>
              <w:rPr>
                <w:color w:val="auto"/>
                <w:sz w:val="22"/>
                <w:szCs w:val="22"/>
              </w:rPr>
              <w:t>Урок 57</w:t>
            </w:r>
          </w:p>
        </w:tc>
        <w:tc>
          <w:tcPr>
            <w:tcW w:w="7937" w:type="dxa"/>
            <w:vAlign w:val="center"/>
          </w:tcPr>
          <w:p w14:paraId="78AA40B1">
            <w:pPr>
              <w:pStyle w:val="85"/>
              <w:jc w:val="both"/>
              <w:rPr>
                <w:color w:val="auto"/>
                <w:sz w:val="22"/>
                <w:szCs w:val="22"/>
              </w:rPr>
            </w:pPr>
            <w:r>
              <w:rPr>
                <w:color w:val="auto"/>
                <w:sz w:val="22"/>
                <w:szCs w:val="22"/>
              </w:rPr>
              <w:t>Проведение звукового анализа слов с буквами Ч, ч</w:t>
            </w:r>
          </w:p>
        </w:tc>
      </w:tr>
      <w:tr w14:paraId="66404E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79DA0A27">
            <w:pPr>
              <w:pStyle w:val="85"/>
              <w:rPr>
                <w:color w:val="auto"/>
                <w:sz w:val="22"/>
                <w:szCs w:val="22"/>
              </w:rPr>
            </w:pPr>
            <w:r>
              <w:rPr>
                <w:color w:val="auto"/>
                <w:sz w:val="22"/>
                <w:szCs w:val="22"/>
              </w:rPr>
              <w:t>Урок 58</w:t>
            </w:r>
          </w:p>
        </w:tc>
        <w:tc>
          <w:tcPr>
            <w:tcW w:w="7937" w:type="dxa"/>
            <w:vAlign w:val="center"/>
          </w:tcPr>
          <w:p w14:paraId="3E15D421">
            <w:pPr>
              <w:pStyle w:val="85"/>
              <w:jc w:val="both"/>
              <w:rPr>
                <w:color w:val="auto"/>
                <w:sz w:val="22"/>
                <w:szCs w:val="22"/>
              </w:rPr>
            </w:pPr>
            <w:r>
              <w:rPr>
                <w:color w:val="auto"/>
                <w:sz w:val="22"/>
                <w:szCs w:val="22"/>
              </w:rPr>
              <w:t>Знакомство с буквой ь. Различение функций буквы ь.</w:t>
            </w:r>
          </w:p>
        </w:tc>
      </w:tr>
      <w:tr w14:paraId="685C7D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79F917B2">
            <w:pPr>
              <w:pStyle w:val="85"/>
              <w:rPr>
                <w:color w:val="auto"/>
                <w:sz w:val="22"/>
                <w:szCs w:val="22"/>
              </w:rPr>
            </w:pPr>
            <w:r>
              <w:rPr>
                <w:color w:val="auto"/>
                <w:sz w:val="22"/>
                <w:szCs w:val="22"/>
              </w:rPr>
              <w:t>Урок 59</w:t>
            </w:r>
          </w:p>
        </w:tc>
        <w:tc>
          <w:tcPr>
            <w:tcW w:w="7937" w:type="dxa"/>
            <w:vAlign w:val="center"/>
          </w:tcPr>
          <w:p w14:paraId="09ABE6CB">
            <w:pPr>
              <w:pStyle w:val="85"/>
              <w:jc w:val="both"/>
              <w:rPr>
                <w:color w:val="auto"/>
                <w:sz w:val="22"/>
                <w:szCs w:val="22"/>
              </w:rPr>
            </w:pPr>
            <w:r>
              <w:rPr>
                <w:color w:val="auto"/>
                <w:sz w:val="22"/>
                <w:szCs w:val="22"/>
              </w:rPr>
              <w:t>Слушание литературного произведения о детях. Произведение по выбору, например, А.Л. Барто "В школу".</w:t>
            </w:r>
          </w:p>
        </w:tc>
      </w:tr>
      <w:tr w14:paraId="00508A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3CD34E5D">
            <w:pPr>
              <w:pStyle w:val="85"/>
              <w:rPr>
                <w:color w:val="auto"/>
                <w:sz w:val="22"/>
                <w:szCs w:val="22"/>
              </w:rPr>
            </w:pPr>
            <w:r>
              <w:rPr>
                <w:color w:val="auto"/>
                <w:sz w:val="22"/>
                <w:szCs w:val="22"/>
              </w:rPr>
              <w:t>Урок 60</w:t>
            </w:r>
          </w:p>
        </w:tc>
        <w:tc>
          <w:tcPr>
            <w:tcW w:w="7937" w:type="dxa"/>
            <w:vAlign w:val="center"/>
          </w:tcPr>
          <w:p w14:paraId="2320360D">
            <w:pPr>
              <w:pStyle w:val="85"/>
              <w:jc w:val="both"/>
              <w:rPr>
                <w:color w:val="auto"/>
                <w:sz w:val="22"/>
                <w:szCs w:val="22"/>
              </w:rPr>
            </w:pPr>
            <w:r>
              <w:rPr>
                <w:color w:val="auto"/>
                <w:sz w:val="22"/>
                <w:szCs w:val="22"/>
              </w:rPr>
              <w:t>Знакомство со строчной и заглавной буквами Ш, ш. Проведение звукового анализа слов с буквами Ш, ш. Звук [ш]</w:t>
            </w:r>
          </w:p>
        </w:tc>
      </w:tr>
      <w:tr w14:paraId="0C0A71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75963D35">
            <w:pPr>
              <w:pStyle w:val="85"/>
              <w:rPr>
                <w:color w:val="auto"/>
                <w:sz w:val="22"/>
                <w:szCs w:val="22"/>
              </w:rPr>
            </w:pPr>
            <w:r>
              <w:rPr>
                <w:color w:val="auto"/>
                <w:sz w:val="22"/>
                <w:szCs w:val="22"/>
              </w:rPr>
              <w:t>Урок 61</w:t>
            </w:r>
          </w:p>
        </w:tc>
        <w:tc>
          <w:tcPr>
            <w:tcW w:w="7937" w:type="dxa"/>
            <w:vAlign w:val="center"/>
          </w:tcPr>
          <w:p w14:paraId="600C6F82">
            <w:pPr>
              <w:pStyle w:val="85"/>
              <w:jc w:val="both"/>
              <w:rPr>
                <w:color w:val="auto"/>
                <w:sz w:val="22"/>
                <w:szCs w:val="22"/>
              </w:rPr>
            </w:pPr>
            <w:r>
              <w:rPr>
                <w:color w:val="auto"/>
                <w:sz w:val="22"/>
                <w:szCs w:val="22"/>
              </w:rPr>
              <w:t>Отработка навыка чтения предложений с буквами Ш, ш. Слушание литературного произведения о животных. Произведение по выбору, например, М.М. Пришвин "Лисичкин хлеб"</w:t>
            </w:r>
          </w:p>
        </w:tc>
      </w:tr>
      <w:tr w14:paraId="4ADF9B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5E080923">
            <w:pPr>
              <w:pStyle w:val="85"/>
              <w:rPr>
                <w:color w:val="auto"/>
                <w:sz w:val="22"/>
                <w:szCs w:val="22"/>
              </w:rPr>
            </w:pPr>
            <w:r>
              <w:rPr>
                <w:color w:val="auto"/>
                <w:sz w:val="22"/>
                <w:szCs w:val="22"/>
              </w:rPr>
              <w:t>Урок 62</w:t>
            </w:r>
          </w:p>
        </w:tc>
        <w:tc>
          <w:tcPr>
            <w:tcW w:w="7937" w:type="dxa"/>
            <w:vAlign w:val="center"/>
          </w:tcPr>
          <w:p w14:paraId="57D6F4DE">
            <w:pPr>
              <w:pStyle w:val="85"/>
              <w:jc w:val="both"/>
              <w:rPr>
                <w:color w:val="auto"/>
                <w:sz w:val="22"/>
                <w:szCs w:val="22"/>
              </w:rPr>
            </w:pPr>
            <w:r>
              <w:rPr>
                <w:color w:val="auto"/>
                <w:sz w:val="22"/>
                <w:szCs w:val="22"/>
              </w:rPr>
              <w:t>Знакомство со строчной и заглавной буквами Ж, ж</w:t>
            </w:r>
          </w:p>
        </w:tc>
      </w:tr>
      <w:tr w14:paraId="5F130F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28136863">
            <w:pPr>
              <w:pStyle w:val="85"/>
              <w:rPr>
                <w:color w:val="auto"/>
                <w:sz w:val="22"/>
                <w:szCs w:val="22"/>
              </w:rPr>
            </w:pPr>
            <w:r>
              <w:rPr>
                <w:color w:val="auto"/>
                <w:sz w:val="22"/>
                <w:szCs w:val="22"/>
              </w:rPr>
              <w:t>Урок 63</w:t>
            </w:r>
          </w:p>
        </w:tc>
        <w:tc>
          <w:tcPr>
            <w:tcW w:w="7937" w:type="dxa"/>
            <w:vAlign w:val="center"/>
          </w:tcPr>
          <w:p w14:paraId="5B1D7E5F">
            <w:pPr>
              <w:pStyle w:val="85"/>
              <w:jc w:val="both"/>
              <w:rPr>
                <w:color w:val="auto"/>
                <w:sz w:val="22"/>
                <w:szCs w:val="22"/>
              </w:rPr>
            </w:pPr>
            <w:r>
              <w:rPr>
                <w:color w:val="auto"/>
                <w:sz w:val="22"/>
                <w:szCs w:val="22"/>
              </w:rPr>
              <w:t>Проведение звукового анализа слов с буквами Ж, ж. Сочетания жи - ши</w:t>
            </w:r>
          </w:p>
        </w:tc>
      </w:tr>
      <w:tr w14:paraId="5F696C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3FE268AF">
            <w:pPr>
              <w:pStyle w:val="85"/>
              <w:rPr>
                <w:color w:val="auto"/>
                <w:sz w:val="22"/>
                <w:szCs w:val="22"/>
              </w:rPr>
            </w:pPr>
            <w:r>
              <w:rPr>
                <w:color w:val="auto"/>
                <w:sz w:val="22"/>
                <w:szCs w:val="22"/>
              </w:rPr>
              <w:t>Урок 64</w:t>
            </w:r>
          </w:p>
        </w:tc>
        <w:tc>
          <w:tcPr>
            <w:tcW w:w="7937" w:type="dxa"/>
            <w:vAlign w:val="center"/>
          </w:tcPr>
          <w:p w14:paraId="20D37324">
            <w:pPr>
              <w:pStyle w:val="85"/>
              <w:jc w:val="both"/>
              <w:rPr>
                <w:color w:val="auto"/>
                <w:sz w:val="22"/>
                <w:szCs w:val="22"/>
              </w:rPr>
            </w:pPr>
            <w:r>
              <w:rPr>
                <w:color w:val="auto"/>
                <w:sz w:val="22"/>
                <w:szCs w:val="22"/>
              </w:rPr>
              <w:t>Знакомство со строчной и заглавной буквами Ё, ё. Звуки [й'о], ['о]</w:t>
            </w:r>
          </w:p>
        </w:tc>
      </w:tr>
      <w:tr w14:paraId="4D4350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6949242B">
            <w:pPr>
              <w:pStyle w:val="85"/>
              <w:rPr>
                <w:color w:val="auto"/>
                <w:sz w:val="22"/>
                <w:szCs w:val="22"/>
              </w:rPr>
            </w:pPr>
            <w:r>
              <w:rPr>
                <w:color w:val="auto"/>
                <w:sz w:val="22"/>
                <w:szCs w:val="22"/>
              </w:rPr>
              <w:t>Урок 65</w:t>
            </w:r>
          </w:p>
        </w:tc>
        <w:tc>
          <w:tcPr>
            <w:tcW w:w="7937" w:type="dxa"/>
            <w:vAlign w:val="center"/>
          </w:tcPr>
          <w:p w14:paraId="1A7C53B5">
            <w:pPr>
              <w:pStyle w:val="85"/>
              <w:jc w:val="both"/>
              <w:rPr>
                <w:color w:val="auto"/>
                <w:sz w:val="22"/>
                <w:szCs w:val="22"/>
              </w:rPr>
            </w:pPr>
            <w:r>
              <w:rPr>
                <w:color w:val="auto"/>
                <w:sz w:val="22"/>
                <w:szCs w:val="22"/>
              </w:rPr>
              <w:t>Проведение звукового анализа слов с буквами Ё, е</w:t>
            </w:r>
          </w:p>
        </w:tc>
      </w:tr>
      <w:tr w14:paraId="1116BB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1E0BDB78">
            <w:pPr>
              <w:pStyle w:val="85"/>
              <w:rPr>
                <w:color w:val="auto"/>
                <w:sz w:val="22"/>
                <w:szCs w:val="22"/>
              </w:rPr>
            </w:pPr>
            <w:r>
              <w:rPr>
                <w:color w:val="auto"/>
                <w:sz w:val="22"/>
                <w:szCs w:val="22"/>
              </w:rPr>
              <w:t>Урок 66</w:t>
            </w:r>
          </w:p>
        </w:tc>
        <w:tc>
          <w:tcPr>
            <w:tcW w:w="7937" w:type="dxa"/>
            <w:vAlign w:val="center"/>
          </w:tcPr>
          <w:p w14:paraId="322F6613">
            <w:pPr>
              <w:pStyle w:val="85"/>
              <w:jc w:val="both"/>
              <w:rPr>
                <w:color w:val="auto"/>
                <w:sz w:val="22"/>
                <w:szCs w:val="22"/>
              </w:rPr>
            </w:pPr>
            <w:r>
              <w:rPr>
                <w:color w:val="auto"/>
                <w:sz w:val="22"/>
                <w:szCs w:val="22"/>
              </w:rPr>
              <w:t>Знакомство со строчной и заглавной буквами Й, й. Проведение звукового анализа слов с буквами Й, й</w:t>
            </w:r>
          </w:p>
        </w:tc>
      </w:tr>
      <w:tr w14:paraId="574E84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2A80B710">
            <w:pPr>
              <w:pStyle w:val="85"/>
              <w:rPr>
                <w:color w:val="auto"/>
                <w:sz w:val="22"/>
                <w:szCs w:val="22"/>
              </w:rPr>
            </w:pPr>
            <w:r>
              <w:rPr>
                <w:color w:val="auto"/>
                <w:sz w:val="22"/>
                <w:szCs w:val="22"/>
              </w:rPr>
              <w:t>Урок 67</w:t>
            </w:r>
          </w:p>
        </w:tc>
        <w:tc>
          <w:tcPr>
            <w:tcW w:w="7937" w:type="dxa"/>
            <w:vAlign w:val="center"/>
          </w:tcPr>
          <w:p w14:paraId="33D7A3D6">
            <w:pPr>
              <w:pStyle w:val="85"/>
              <w:jc w:val="both"/>
              <w:rPr>
                <w:color w:val="auto"/>
                <w:sz w:val="22"/>
                <w:szCs w:val="22"/>
              </w:rPr>
            </w:pPr>
            <w:r>
              <w:rPr>
                <w:color w:val="auto"/>
                <w:sz w:val="22"/>
                <w:szCs w:val="22"/>
              </w:rPr>
              <w:t>Слушание литературного произведения о детях. Произведение по выбору, например, В.К. Железников "История с азбукой"</w:t>
            </w:r>
          </w:p>
        </w:tc>
      </w:tr>
      <w:tr w14:paraId="13F4BD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69C6B74A">
            <w:pPr>
              <w:pStyle w:val="85"/>
              <w:rPr>
                <w:color w:val="auto"/>
                <w:sz w:val="22"/>
                <w:szCs w:val="22"/>
              </w:rPr>
            </w:pPr>
            <w:r>
              <w:rPr>
                <w:color w:val="auto"/>
                <w:sz w:val="22"/>
                <w:szCs w:val="22"/>
              </w:rPr>
              <w:t>Урок 68</w:t>
            </w:r>
          </w:p>
        </w:tc>
        <w:tc>
          <w:tcPr>
            <w:tcW w:w="7937" w:type="dxa"/>
            <w:vAlign w:val="center"/>
          </w:tcPr>
          <w:p w14:paraId="6926013D">
            <w:pPr>
              <w:pStyle w:val="85"/>
              <w:jc w:val="both"/>
              <w:rPr>
                <w:color w:val="auto"/>
                <w:sz w:val="22"/>
                <w:szCs w:val="22"/>
              </w:rPr>
            </w:pPr>
            <w:r>
              <w:rPr>
                <w:color w:val="auto"/>
                <w:sz w:val="22"/>
                <w:szCs w:val="22"/>
              </w:rPr>
              <w:t>Знакомство со строчной и заглавной буквами Х, х. Проведение звукового анализа слов с буквами Х, х</w:t>
            </w:r>
          </w:p>
        </w:tc>
      </w:tr>
      <w:tr w14:paraId="7FB21D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3240359F">
            <w:pPr>
              <w:pStyle w:val="85"/>
              <w:rPr>
                <w:color w:val="auto"/>
                <w:sz w:val="22"/>
                <w:szCs w:val="22"/>
              </w:rPr>
            </w:pPr>
            <w:r>
              <w:rPr>
                <w:color w:val="auto"/>
                <w:sz w:val="22"/>
                <w:szCs w:val="22"/>
              </w:rPr>
              <w:t>Урок 69</w:t>
            </w:r>
          </w:p>
        </w:tc>
        <w:tc>
          <w:tcPr>
            <w:tcW w:w="7937" w:type="dxa"/>
            <w:vAlign w:val="center"/>
          </w:tcPr>
          <w:p w14:paraId="4F437ED2">
            <w:pPr>
              <w:pStyle w:val="85"/>
              <w:jc w:val="both"/>
              <w:rPr>
                <w:color w:val="auto"/>
                <w:sz w:val="22"/>
                <w:szCs w:val="22"/>
              </w:rPr>
            </w:pPr>
            <w:r>
              <w:rPr>
                <w:color w:val="auto"/>
                <w:sz w:val="22"/>
                <w:szCs w:val="22"/>
              </w:rPr>
              <w:t>Знакомство со строчной и заглавной буквами Ю, ю. Проведение звукового анализа слов с буквами Ю, ю. Звуки [й'у], ['у]</w:t>
            </w:r>
          </w:p>
        </w:tc>
      </w:tr>
      <w:tr w14:paraId="1098B4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68D5F12E">
            <w:pPr>
              <w:pStyle w:val="85"/>
              <w:rPr>
                <w:color w:val="auto"/>
                <w:sz w:val="22"/>
                <w:szCs w:val="22"/>
              </w:rPr>
            </w:pPr>
            <w:r>
              <w:rPr>
                <w:color w:val="auto"/>
                <w:sz w:val="22"/>
                <w:szCs w:val="22"/>
              </w:rPr>
              <w:t>Урок 70</w:t>
            </w:r>
          </w:p>
        </w:tc>
        <w:tc>
          <w:tcPr>
            <w:tcW w:w="7937" w:type="dxa"/>
            <w:vAlign w:val="center"/>
          </w:tcPr>
          <w:p w14:paraId="0B1654AB">
            <w:pPr>
              <w:pStyle w:val="85"/>
              <w:jc w:val="both"/>
              <w:rPr>
                <w:color w:val="auto"/>
                <w:sz w:val="22"/>
                <w:szCs w:val="22"/>
              </w:rPr>
            </w:pPr>
            <w:r>
              <w:rPr>
                <w:color w:val="auto"/>
                <w:sz w:val="22"/>
                <w:szCs w:val="22"/>
              </w:rPr>
              <w:t>Отработка навыка чтения. На примере произведения Л.Н. Толстого "Ехали два мужика..."</w:t>
            </w:r>
          </w:p>
        </w:tc>
      </w:tr>
      <w:tr w14:paraId="126FFF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3156EAB0">
            <w:pPr>
              <w:pStyle w:val="85"/>
              <w:rPr>
                <w:color w:val="auto"/>
                <w:sz w:val="22"/>
                <w:szCs w:val="22"/>
              </w:rPr>
            </w:pPr>
            <w:r>
              <w:rPr>
                <w:color w:val="auto"/>
                <w:sz w:val="22"/>
                <w:szCs w:val="22"/>
              </w:rPr>
              <w:t>Урок 71</w:t>
            </w:r>
          </w:p>
        </w:tc>
        <w:tc>
          <w:tcPr>
            <w:tcW w:w="7937" w:type="dxa"/>
            <w:vAlign w:val="center"/>
          </w:tcPr>
          <w:p w14:paraId="198DCAF5">
            <w:pPr>
              <w:pStyle w:val="85"/>
              <w:jc w:val="both"/>
              <w:rPr>
                <w:color w:val="auto"/>
                <w:sz w:val="22"/>
                <w:szCs w:val="22"/>
              </w:rPr>
            </w:pPr>
            <w:r>
              <w:rPr>
                <w:color w:val="auto"/>
                <w:sz w:val="22"/>
                <w:szCs w:val="22"/>
              </w:rPr>
              <w:t>Знакомство со строчной и заглавной буквами Ц, ц. Проведение звукового анализа слов с буквами Ц, ц. Согласный звук [ц]</w:t>
            </w:r>
          </w:p>
        </w:tc>
      </w:tr>
      <w:tr w14:paraId="57602E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50B3B039">
            <w:pPr>
              <w:pStyle w:val="85"/>
              <w:rPr>
                <w:color w:val="auto"/>
                <w:sz w:val="22"/>
                <w:szCs w:val="22"/>
              </w:rPr>
            </w:pPr>
            <w:r>
              <w:rPr>
                <w:color w:val="auto"/>
                <w:sz w:val="22"/>
                <w:szCs w:val="22"/>
              </w:rPr>
              <w:t>Урок 72</w:t>
            </w:r>
          </w:p>
        </w:tc>
        <w:tc>
          <w:tcPr>
            <w:tcW w:w="7937" w:type="dxa"/>
            <w:vAlign w:val="center"/>
          </w:tcPr>
          <w:p w14:paraId="03571DA7">
            <w:pPr>
              <w:pStyle w:val="85"/>
              <w:jc w:val="both"/>
              <w:rPr>
                <w:color w:val="auto"/>
                <w:sz w:val="22"/>
                <w:szCs w:val="22"/>
              </w:rPr>
            </w:pPr>
            <w:r>
              <w:rPr>
                <w:color w:val="auto"/>
                <w:sz w:val="22"/>
                <w:szCs w:val="22"/>
              </w:rPr>
              <w:t>Слушание стихотворений о животных. Произведение по выбору, например, А.А. Блок "Зайчик"</w:t>
            </w:r>
          </w:p>
        </w:tc>
      </w:tr>
      <w:tr w14:paraId="6C01DD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7570655E">
            <w:pPr>
              <w:pStyle w:val="85"/>
              <w:rPr>
                <w:color w:val="auto"/>
                <w:sz w:val="22"/>
                <w:szCs w:val="22"/>
              </w:rPr>
            </w:pPr>
            <w:r>
              <w:rPr>
                <w:color w:val="auto"/>
                <w:sz w:val="22"/>
                <w:szCs w:val="22"/>
              </w:rPr>
              <w:t>Урок 73</w:t>
            </w:r>
          </w:p>
        </w:tc>
        <w:tc>
          <w:tcPr>
            <w:tcW w:w="7937" w:type="dxa"/>
            <w:vAlign w:val="center"/>
          </w:tcPr>
          <w:p w14:paraId="73A7717A">
            <w:pPr>
              <w:pStyle w:val="85"/>
              <w:jc w:val="both"/>
              <w:rPr>
                <w:color w:val="auto"/>
                <w:sz w:val="22"/>
                <w:szCs w:val="22"/>
              </w:rPr>
            </w:pPr>
            <w:r>
              <w:rPr>
                <w:color w:val="auto"/>
                <w:sz w:val="22"/>
                <w:szCs w:val="22"/>
              </w:rPr>
              <w:t>Знакомство со строчной и заглавной буквами Э, э. Проведение звукового анализа слов с буквами Э, э. Звук [э]</w:t>
            </w:r>
          </w:p>
        </w:tc>
      </w:tr>
      <w:tr w14:paraId="2E2D1A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14870EEC">
            <w:pPr>
              <w:pStyle w:val="85"/>
              <w:rPr>
                <w:color w:val="auto"/>
                <w:sz w:val="22"/>
                <w:szCs w:val="22"/>
              </w:rPr>
            </w:pPr>
            <w:r>
              <w:rPr>
                <w:color w:val="auto"/>
                <w:sz w:val="22"/>
                <w:szCs w:val="22"/>
              </w:rPr>
              <w:t>Урок 74</w:t>
            </w:r>
          </w:p>
        </w:tc>
        <w:tc>
          <w:tcPr>
            <w:tcW w:w="7937" w:type="dxa"/>
            <w:vAlign w:val="center"/>
          </w:tcPr>
          <w:p w14:paraId="06A21D9F">
            <w:pPr>
              <w:pStyle w:val="85"/>
              <w:jc w:val="both"/>
              <w:rPr>
                <w:color w:val="auto"/>
                <w:sz w:val="22"/>
                <w:szCs w:val="22"/>
              </w:rPr>
            </w:pPr>
            <w:r>
              <w:rPr>
                <w:color w:val="auto"/>
                <w:sz w:val="22"/>
                <w:szCs w:val="22"/>
              </w:rPr>
              <w:t>Отработка техники чтения. На примере произведений В.Д. Берестов. "Читалочка". Е.И. Чарушин. "Как мальчик Женя научился говорить букву р</w:t>
            </w:r>
          </w:p>
        </w:tc>
      </w:tr>
      <w:tr w14:paraId="7DAC26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01975390">
            <w:pPr>
              <w:pStyle w:val="85"/>
              <w:rPr>
                <w:color w:val="auto"/>
                <w:sz w:val="22"/>
                <w:szCs w:val="22"/>
              </w:rPr>
            </w:pPr>
            <w:r>
              <w:rPr>
                <w:color w:val="auto"/>
                <w:sz w:val="22"/>
                <w:szCs w:val="22"/>
              </w:rPr>
              <w:t>Урок 75</w:t>
            </w:r>
          </w:p>
        </w:tc>
        <w:tc>
          <w:tcPr>
            <w:tcW w:w="7937" w:type="dxa"/>
            <w:vAlign w:val="center"/>
          </w:tcPr>
          <w:p w14:paraId="641F19A3">
            <w:pPr>
              <w:pStyle w:val="85"/>
              <w:jc w:val="both"/>
              <w:rPr>
                <w:color w:val="auto"/>
                <w:sz w:val="22"/>
                <w:szCs w:val="22"/>
              </w:rPr>
            </w:pPr>
            <w:r>
              <w:rPr>
                <w:color w:val="auto"/>
                <w:sz w:val="22"/>
                <w:szCs w:val="22"/>
              </w:rPr>
              <w:t>Знакомство со строчной и заглавной буквами Щ, щ. Звук [щ']</w:t>
            </w:r>
          </w:p>
        </w:tc>
      </w:tr>
      <w:tr w14:paraId="151293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11822EE0">
            <w:pPr>
              <w:pStyle w:val="85"/>
              <w:rPr>
                <w:color w:val="auto"/>
                <w:sz w:val="22"/>
                <w:szCs w:val="22"/>
              </w:rPr>
            </w:pPr>
            <w:r>
              <w:rPr>
                <w:color w:val="auto"/>
                <w:sz w:val="22"/>
                <w:szCs w:val="22"/>
              </w:rPr>
              <w:t>Урок 76</w:t>
            </w:r>
          </w:p>
        </w:tc>
        <w:tc>
          <w:tcPr>
            <w:tcW w:w="7937" w:type="dxa"/>
            <w:vAlign w:val="center"/>
          </w:tcPr>
          <w:p w14:paraId="5307B853">
            <w:pPr>
              <w:pStyle w:val="85"/>
              <w:jc w:val="both"/>
              <w:rPr>
                <w:color w:val="auto"/>
                <w:sz w:val="22"/>
                <w:szCs w:val="22"/>
              </w:rPr>
            </w:pPr>
            <w:r>
              <w:rPr>
                <w:color w:val="auto"/>
                <w:sz w:val="22"/>
                <w:szCs w:val="22"/>
              </w:rPr>
              <w:t>Проведение звукового анализа слов с буквами Щ, щ. Сочетания ча - ща, чу - щу</w:t>
            </w:r>
          </w:p>
        </w:tc>
      </w:tr>
      <w:tr w14:paraId="0C03C8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2C636C8D">
            <w:pPr>
              <w:pStyle w:val="85"/>
              <w:rPr>
                <w:color w:val="auto"/>
                <w:sz w:val="22"/>
                <w:szCs w:val="22"/>
              </w:rPr>
            </w:pPr>
            <w:r>
              <w:rPr>
                <w:color w:val="auto"/>
                <w:sz w:val="22"/>
                <w:szCs w:val="22"/>
              </w:rPr>
              <w:t>Урок 77</w:t>
            </w:r>
          </w:p>
        </w:tc>
        <w:tc>
          <w:tcPr>
            <w:tcW w:w="7937" w:type="dxa"/>
            <w:vAlign w:val="center"/>
          </w:tcPr>
          <w:p w14:paraId="0634FB0C">
            <w:pPr>
              <w:pStyle w:val="85"/>
              <w:jc w:val="both"/>
              <w:rPr>
                <w:color w:val="auto"/>
                <w:sz w:val="22"/>
                <w:szCs w:val="22"/>
              </w:rPr>
            </w:pPr>
            <w:r>
              <w:rPr>
                <w:color w:val="auto"/>
                <w:sz w:val="22"/>
                <w:szCs w:val="22"/>
              </w:rPr>
              <w:t>Знакомство со строчной и заглавной буквами Ф, ф. Звук [ф]</w:t>
            </w:r>
          </w:p>
        </w:tc>
      </w:tr>
      <w:tr w14:paraId="5DCB75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04D738CC">
            <w:pPr>
              <w:pStyle w:val="85"/>
              <w:rPr>
                <w:color w:val="auto"/>
                <w:sz w:val="22"/>
                <w:szCs w:val="22"/>
              </w:rPr>
            </w:pPr>
            <w:r>
              <w:rPr>
                <w:color w:val="auto"/>
                <w:sz w:val="22"/>
                <w:szCs w:val="22"/>
              </w:rPr>
              <w:t>Урок 78</w:t>
            </w:r>
          </w:p>
        </w:tc>
        <w:tc>
          <w:tcPr>
            <w:tcW w:w="7937" w:type="dxa"/>
            <w:vAlign w:val="center"/>
          </w:tcPr>
          <w:p w14:paraId="11D69701">
            <w:pPr>
              <w:pStyle w:val="85"/>
              <w:jc w:val="both"/>
              <w:rPr>
                <w:color w:val="auto"/>
                <w:sz w:val="22"/>
                <w:szCs w:val="22"/>
              </w:rPr>
            </w:pPr>
            <w:r>
              <w:rPr>
                <w:color w:val="auto"/>
                <w:sz w:val="22"/>
                <w:szCs w:val="22"/>
              </w:rPr>
              <w:t>Знакомство с особенностями буквы ъ. Буквы ь и ъ</w:t>
            </w:r>
          </w:p>
        </w:tc>
      </w:tr>
      <w:tr w14:paraId="2C2B7F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0F378B2A">
            <w:pPr>
              <w:pStyle w:val="85"/>
              <w:rPr>
                <w:color w:val="auto"/>
                <w:sz w:val="22"/>
                <w:szCs w:val="22"/>
              </w:rPr>
            </w:pPr>
            <w:r>
              <w:rPr>
                <w:color w:val="auto"/>
                <w:sz w:val="22"/>
                <w:szCs w:val="22"/>
              </w:rPr>
              <w:t>Урок 79</w:t>
            </w:r>
          </w:p>
        </w:tc>
        <w:tc>
          <w:tcPr>
            <w:tcW w:w="7937" w:type="dxa"/>
            <w:vAlign w:val="center"/>
          </w:tcPr>
          <w:p w14:paraId="595F371D">
            <w:pPr>
              <w:pStyle w:val="85"/>
              <w:jc w:val="both"/>
              <w:rPr>
                <w:color w:val="auto"/>
                <w:sz w:val="22"/>
                <w:szCs w:val="22"/>
              </w:rPr>
            </w:pPr>
            <w:r>
              <w:rPr>
                <w:color w:val="auto"/>
                <w:sz w:val="22"/>
                <w:szCs w:val="22"/>
              </w:rPr>
              <w:t>Осознанное чтение слов, словосочетаний, предложений. Чтение с интонациями и паузами в соответствии со знаками препинания на примере сказки К.И. Чуковского "Телефон"</w:t>
            </w:r>
          </w:p>
        </w:tc>
      </w:tr>
      <w:tr w14:paraId="6D1AC0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533462AF">
            <w:pPr>
              <w:pStyle w:val="85"/>
              <w:rPr>
                <w:color w:val="auto"/>
                <w:sz w:val="22"/>
                <w:szCs w:val="22"/>
              </w:rPr>
            </w:pPr>
            <w:r>
              <w:rPr>
                <w:color w:val="auto"/>
                <w:sz w:val="22"/>
                <w:szCs w:val="22"/>
              </w:rPr>
              <w:t>Урок 80</w:t>
            </w:r>
          </w:p>
        </w:tc>
        <w:tc>
          <w:tcPr>
            <w:tcW w:w="7937" w:type="dxa"/>
            <w:vAlign w:val="center"/>
          </w:tcPr>
          <w:p w14:paraId="332C31BC">
            <w:pPr>
              <w:pStyle w:val="85"/>
              <w:jc w:val="both"/>
              <w:rPr>
                <w:color w:val="auto"/>
                <w:sz w:val="22"/>
                <w:szCs w:val="22"/>
              </w:rPr>
            </w:pPr>
            <w:r>
              <w:rPr>
                <w:color w:val="auto"/>
                <w:sz w:val="22"/>
                <w:szCs w:val="22"/>
              </w:rPr>
              <w:t>Выразительное чтение на примере стихотворений А.Л. Барто "Помощница", "Зайка", "Игра в слова"</w:t>
            </w:r>
          </w:p>
        </w:tc>
      </w:tr>
      <w:tr w14:paraId="76B77C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0592CB3C">
            <w:pPr>
              <w:pStyle w:val="85"/>
              <w:rPr>
                <w:color w:val="auto"/>
                <w:sz w:val="22"/>
                <w:szCs w:val="22"/>
              </w:rPr>
            </w:pPr>
            <w:r>
              <w:rPr>
                <w:color w:val="auto"/>
                <w:sz w:val="22"/>
                <w:szCs w:val="22"/>
              </w:rPr>
              <w:t>Урок 81</w:t>
            </w:r>
          </w:p>
        </w:tc>
        <w:tc>
          <w:tcPr>
            <w:tcW w:w="7937" w:type="dxa"/>
            <w:vAlign w:val="center"/>
          </w:tcPr>
          <w:p w14:paraId="2C5A995A">
            <w:pPr>
              <w:pStyle w:val="85"/>
              <w:jc w:val="both"/>
              <w:rPr>
                <w:color w:val="auto"/>
                <w:sz w:val="22"/>
                <w:szCs w:val="22"/>
              </w:rPr>
            </w:pPr>
            <w:r>
              <w:rPr>
                <w:color w:val="auto"/>
                <w:sz w:val="22"/>
                <w:szCs w:val="22"/>
              </w:rPr>
              <w:t>Резервный урок. Обобщение знаний о буквах. Русский алфавит</w:t>
            </w:r>
          </w:p>
        </w:tc>
      </w:tr>
      <w:tr w14:paraId="4AD6EB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457268CF">
            <w:pPr>
              <w:pStyle w:val="85"/>
              <w:rPr>
                <w:color w:val="auto"/>
                <w:sz w:val="22"/>
                <w:szCs w:val="22"/>
              </w:rPr>
            </w:pPr>
            <w:r>
              <w:rPr>
                <w:color w:val="auto"/>
                <w:sz w:val="22"/>
                <w:szCs w:val="22"/>
              </w:rPr>
              <w:t>Урок 82</w:t>
            </w:r>
          </w:p>
        </w:tc>
        <w:tc>
          <w:tcPr>
            <w:tcW w:w="7937" w:type="dxa"/>
            <w:vAlign w:val="center"/>
          </w:tcPr>
          <w:p w14:paraId="0F208C33">
            <w:pPr>
              <w:pStyle w:val="85"/>
              <w:jc w:val="both"/>
              <w:rPr>
                <w:color w:val="auto"/>
                <w:sz w:val="22"/>
                <w:szCs w:val="22"/>
              </w:rPr>
            </w:pPr>
            <w:r>
              <w:rPr>
                <w:color w:val="auto"/>
                <w:sz w:val="22"/>
                <w:szCs w:val="22"/>
              </w:rPr>
              <w:t>Резервный урок. Чтение произведений о буквах алфавита. С.Я. Маршак "Ты эти буквы заучи"</w:t>
            </w:r>
          </w:p>
        </w:tc>
      </w:tr>
      <w:tr w14:paraId="18CB58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7FD15BBB">
            <w:pPr>
              <w:pStyle w:val="85"/>
              <w:rPr>
                <w:color w:val="auto"/>
                <w:sz w:val="22"/>
                <w:szCs w:val="22"/>
              </w:rPr>
            </w:pPr>
            <w:r>
              <w:rPr>
                <w:color w:val="auto"/>
                <w:sz w:val="22"/>
                <w:szCs w:val="22"/>
              </w:rPr>
              <w:t>Урок 83</w:t>
            </w:r>
          </w:p>
        </w:tc>
        <w:tc>
          <w:tcPr>
            <w:tcW w:w="7937" w:type="dxa"/>
            <w:vAlign w:val="center"/>
          </w:tcPr>
          <w:p w14:paraId="64262E28">
            <w:pPr>
              <w:pStyle w:val="85"/>
              <w:jc w:val="both"/>
              <w:rPr>
                <w:color w:val="auto"/>
                <w:sz w:val="22"/>
                <w:szCs w:val="22"/>
              </w:rPr>
            </w:pPr>
            <w:r>
              <w:rPr>
                <w:color w:val="auto"/>
                <w:sz w:val="22"/>
                <w:szCs w:val="22"/>
              </w:rPr>
              <w:t>Резервный урок. Совершенствование навыка чтения. А.А. Шибаев "Беспокойные соседки", "Познакомились"</w:t>
            </w:r>
          </w:p>
        </w:tc>
      </w:tr>
      <w:tr w14:paraId="2F8F7B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74DDE189">
            <w:pPr>
              <w:pStyle w:val="85"/>
              <w:rPr>
                <w:color w:val="auto"/>
                <w:sz w:val="22"/>
                <w:szCs w:val="22"/>
              </w:rPr>
            </w:pPr>
            <w:r>
              <w:rPr>
                <w:color w:val="auto"/>
                <w:sz w:val="22"/>
                <w:szCs w:val="22"/>
              </w:rPr>
              <w:t>Урок 84</w:t>
            </w:r>
          </w:p>
        </w:tc>
        <w:tc>
          <w:tcPr>
            <w:tcW w:w="7937" w:type="dxa"/>
            <w:vAlign w:val="center"/>
          </w:tcPr>
          <w:p w14:paraId="4777FA53">
            <w:pPr>
              <w:pStyle w:val="85"/>
              <w:jc w:val="both"/>
              <w:rPr>
                <w:color w:val="auto"/>
                <w:sz w:val="22"/>
                <w:szCs w:val="22"/>
              </w:rPr>
            </w:pPr>
            <w:r>
              <w:rPr>
                <w:color w:val="auto"/>
                <w:sz w:val="22"/>
                <w:szCs w:val="22"/>
              </w:rPr>
              <w:t>Резервный урок. Слушание литературных (авторских) сказок. Сказка К.И. Чуковского "Муха-Цокотуха"</w:t>
            </w:r>
          </w:p>
        </w:tc>
      </w:tr>
      <w:tr w14:paraId="31BFB3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48E2F012">
            <w:pPr>
              <w:pStyle w:val="85"/>
              <w:rPr>
                <w:color w:val="auto"/>
                <w:sz w:val="22"/>
                <w:szCs w:val="22"/>
              </w:rPr>
            </w:pPr>
            <w:r>
              <w:rPr>
                <w:color w:val="auto"/>
                <w:sz w:val="22"/>
                <w:szCs w:val="22"/>
              </w:rPr>
              <w:t>Урок 85</w:t>
            </w:r>
          </w:p>
        </w:tc>
        <w:tc>
          <w:tcPr>
            <w:tcW w:w="7937" w:type="dxa"/>
            <w:vAlign w:val="center"/>
          </w:tcPr>
          <w:p w14:paraId="2D7FD7A8">
            <w:pPr>
              <w:pStyle w:val="85"/>
              <w:jc w:val="both"/>
              <w:rPr>
                <w:color w:val="auto"/>
                <w:sz w:val="22"/>
                <w:szCs w:val="22"/>
              </w:rPr>
            </w:pPr>
            <w:r>
              <w:rPr>
                <w:color w:val="auto"/>
                <w:sz w:val="22"/>
                <w:szCs w:val="22"/>
              </w:rPr>
              <w:t>Резервный урок. Определение темы произведения: о животных. На примере произведений Е.И. Чарушина</w:t>
            </w:r>
          </w:p>
        </w:tc>
      </w:tr>
      <w:tr w14:paraId="54303B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064B6A0A">
            <w:pPr>
              <w:pStyle w:val="85"/>
              <w:rPr>
                <w:color w:val="auto"/>
                <w:sz w:val="22"/>
                <w:szCs w:val="22"/>
              </w:rPr>
            </w:pPr>
            <w:r>
              <w:rPr>
                <w:color w:val="auto"/>
                <w:sz w:val="22"/>
                <w:szCs w:val="22"/>
              </w:rPr>
              <w:t>Урок 86</w:t>
            </w:r>
          </w:p>
        </w:tc>
        <w:tc>
          <w:tcPr>
            <w:tcW w:w="7937" w:type="dxa"/>
            <w:vAlign w:val="center"/>
          </w:tcPr>
          <w:p w14:paraId="1138B494">
            <w:pPr>
              <w:pStyle w:val="85"/>
              <w:jc w:val="both"/>
              <w:rPr>
                <w:color w:val="auto"/>
                <w:sz w:val="22"/>
                <w:szCs w:val="22"/>
              </w:rPr>
            </w:pPr>
            <w:r>
              <w:rPr>
                <w:color w:val="auto"/>
                <w:sz w:val="22"/>
                <w:szCs w:val="22"/>
              </w:rPr>
              <w:t>Резервный урок. Чтение небольших произведений о животных Н.И. Сладкова</w:t>
            </w:r>
          </w:p>
        </w:tc>
      </w:tr>
      <w:tr w14:paraId="564155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5487A629">
            <w:pPr>
              <w:pStyle w:val="85"/>
              <w:rPr>
                <w:color w:val="auto"/>
                <w:sz w:val="22"/>
                <w:szCs w:val="22"/>
              </w:rPr>
            </w:pPr>
            <w:r>
              <w:rPr>
                <w:color w:val="auto"/>
                <w:sz w:val="22"/>
                <w:szCs w:val="22"/>
              </w:rPr>
              <w:t>Урок 87</w:t>
            </w:r>
          </w:p>
        </w:tc>
        <w:tc>
          <w:tcPr>
            <w:tcW w:w="7937" w:type="dxa"/>
            <w:vAlign w:val="center"/>
          </w:tcPr>
          <w:p w14:paraId="263760E1">
            <w:pPr>
              <w:pStyle w:val="85"/>
              <w:jc w:val="both"/>
              <w:rPr>
                <w:color w:val="auto"/>
                <w:sz w:val="22"/>
                <w:szCs w:val="22"/>
              </w:rPr>
            </w:pPr>
            <w:r>
              <w:rPr>
                <w:color w:val="auto"/>
                <w:sz w:val="22"/>
                <w:szCs w:val="22"/>
              </w:rPr>
              <w:t>Резервный урок. Чтение рассказов о животных. Ответы на вопросы по содержанию произведения</w:t>
            </w:r>
          </w:p>
        </w:tc>
      </w:tr>
      <w:tr w14:paraId="477BC7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192D3EFC">
            <w:pPr>
              <w:pStyle w:val="85"/>
              <w:rPr>
                <w:color w:val="auto"/>
                <w:sz w:val="22"/>
                <w:szCs w:val="22"/>
              </w:rPr>
            </w:pPr>
            <w:r>
              <w:rPr>
                <w:color w:val="auto"/>
                <w:sz w:val="22"/>
                <w:szCs w:val="22"/>
              </w:rPr>
              <w:t>Урок 88</w:t>
            </w:r>
          </w:p>
        </w:tc>
        <w:tc>
          <w:tcPr>
            <w:tcW w:w="7937" w:type="dxa"/>
            <w:vAlign w:val="center"/>
          </w:tcPr>
          <w:p w14:paraId="390868AD">
            <w:pPr>
              <w:pStyle w:val="85"/>
              <w:jc w:val="both"/>
              <w:rPr>
                <w:color w:val="auto"/>
                <w:sz w:val="22"/>
                <w:szCs w:val="22"/>
              </w:rPr>
            </w:pPr>
            <w:r>
              <w:rPr>
                <w:color w:val="auto"/>
                <w:sz w:val="22"/>
                <w:szCs w:val="22"/>
              </w:rPr>
              <w:t>Резервный урок. Слушание литературных (авторских) сказок. Русская народная сказка "Лисичка-сестричка и волк"</w:t>
            </w:r>
          </w:p>
        </w:tc>
      </w:tr>
      <w:tr w14:paraId="18D03A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78963C57">
            <w:pPr>
              <w:pStyle w:val="85"/>
              <w:rPr>
                <w:color w:val="auto"/>
                <w:sz w:val="22"/>
                <w:szCs w:val="22"/>
              </w:rPr>
            </w:pPr>
            <w:r>
              <w:rPr>
                <w:color w:val="auto"/>
                <w:sz w:val="22"/>
                <w:szCs w:val="22"/>
              </w:rPr>
              <w:t>Урок 89</w:t>
            </w:r>
          </w:p>
        </w:tc>
        <w:tc>
          <w:tcPr>
            <w:tcW w:w="7937" w:type="dxa"/>
            <w:vAlign w:val="center"/>
          </w:tcPr>
          <w:p w14:paraId="66AE8784">
            <w:pPr>
              <w:pStyle w:val="85"/>
              <w:jc w:val="both"/>
              <w:rPr>
                <w:color w:val="auto"/>
                <w:sz w:val="22"/>
                <w:szCs w:val="22"/>
              </w:rPr>
            </w:pPr>
            <w:r>
              <w:rPr>
                <w:color w:val="auto"/>
                <w:sz w:val="22"/>
                <w:szCs w:val="22"/>
              </w:rPr>
              <w:t>Резервный урок. Чтение небольших произведений Л.Н. Толстого о детях</w:t>
            </w:r>
          </w:p>
        </w:tc>
      </w:tr>
      <w:tr w14:paraId="67578D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4947C651">
            <w:pPr>
              <w:pStyle w:val="85"/>
              <w:rPr>
                <w:color w:val="auto"/>
                <w:sz w:val="22"/>
                <w:szCs w:val="22"/>
              </w:rPr>
            </w:pPr>
            <w:r>
              <w:rPr>
                <w:color w:val="auto"/>
                <w:sz w:val="22"/>
                <w:szCs w:val="22"/>
              </w:rPr>
              <w:t>Урок 90</w:t>
            </w:r>
          </w:p>
        </w:tc>
        <w:tc>
          <w:tcPr>
            <w:tcW w:w="7937" w:type="dxa"/>
            <w:vAlign w:val="center"/>
          </w:tcPr>
          <w:p w14:paraId="4BD27632">
            <w:pPr>
              <w:pStyle w:val="85"/>
              <w:jc w:val="both"/>
              <w:rPr>
                <w:color w:val="auto"/>
                <w:sz w:val="22"/>
                <w:szCs w:val="22"/>
              </w:rPr>
            </w:pPr>
            <w:r>
              <w:rPr>
                <w:color w:val="auto"/>
                <w:sz w:val="22"/>
                <w:szCs w:val="22"/>
              </w:rPr>
              <w:t>Резервный урок. Чтение произведений о детях Н.Н. Носова</w:t>
            </w:r>
          </w:p>
        </w:tc>
      </w:tr>
      <w:tr w14:paraId="73F207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689729E7">
            <w:pPr>
              <w:pStyle w:val="85"/>
              <w:rPr>
                <w:color w:val="auto"/>
                <w:sz w:val="22"/>
                <w:szCs w:val="22"/>
              </w:rPr>
            </w:pPr>
            <w:r>
              <w:rPr>
                <w:color w:val="auto"/>
                <w:sz w:val="22"/>
                <w:szCs w:val="22"/>
              </w:rPr>
              <w:t>Урок 91</w:t>
            </w:r>
          </w:p>
        </w:tc>
        <w:tc>
          <w:tcPr>
            <w:tcW w:w="7937" w:type="dxa"/>
            <w:vAlign w:val="center"/>
          </w:tcPr>
          <w:p w14:paraId="39BE3966">
            <w:pPr>
              <w:pStyle w:val="85"/>
              <w:jc w:val="both"/>
              <w:rPr>
                <w:color w:val="auto"/>
                <w:sz w:val="22"/>
                <w:szCs w:val="22"/>
              </w:rPr>
            </w:pPr>
            <w:r>
              <w:rPr>
                <w:color w:val="auto"/>
                <w:sz w:val="22"/>
                <w:szCs w:val="22"/>
              </w:rPr>
              <w:t>Резервный урок. Чтение рассказов о детях. Ответы на вопросы по содержанию произведения</w:t>
            </w:r>
          </w:p>
        </w:tc>
      </w:tr>
      <w:tr w14:paraId="4ED463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4D3F7CD5">
            <w:pPr>
              <w:pStyle w:val="85"/>
              <w:rPr>
                <w:color w:val="auto"/>
                <w:sz w:val="22"/>
                <w:szCs w:val="22"/>
              </w:rPr>
            </w:pPr>
            <w:r>
              <w:rPr>
                <w:color w:val="auto"/>
                <w:sz w:val="22"/>
                <w:szCs w:val="22"/>
              </w:rPr>
              <w:t>Урок 92</w:t>
            </w:r>
          </w:p>
        </w:tc>
        <w:tc>
          <w:tcPr>
            <w:tcW w:w="7937" w:type="dxa"/>
            <w:vAlign w:val="center"/>
          </w:tcPr>
          <w:p w14:paraId="084DCA23">
            <w:pPr>
              <w:pStyle w:val="85"/>
              <w:jc w:val="both"/>
              <w:rPr>
                <w:color w:val="auto"/>
                <w:sz w:val="22"/>
                <w:szCs w:val="22"/>
              </w:rPr>
            </w:pPr>
            <w:r>
              <w:rPr>
                <w:color w:val="auto"/>
                <w:sz w:val="22"/>
                <w:szCs w:val="22"/>
              </w:rPr>
              <w:t>Резервный урок. Слушание литературных произведений. Е.Ф. Трутнева "Когда это бывает?"</w:t>
            </w:r>
          </w:p>
        </w:tc>
      </w:tr>
      <w:tr w14:paraId="50F290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5CB877EA">
            <w:pPr>
              <w:pStyle w:val="85"/>
              <w:rPr>
                <w:color w:val="auto"/>
                <w:sz w:val="22"/>
                <w:szCs w:val="22"/>
              </w:rPr>
            </w:pPr>
            <w:r>
              <w:rPr>
                <w:color w:val="auto"/>
                <w:sz w:val="22"/>
                <w:szCs w:val="22"/>
              </w:rPr>
              <w:t>Урок 93</w:t>
            </w:r>
          </w:p>
        </w:tc>
        <w:tc>
          <w:tcPr>
            <w:tcW w:w="7937" w:type="dxa"/>
            <w:vAlign w:val="center"/>
          </w:tcPr>
          <w:p w14:paraId="7CBED0F7">
            <w:pPr>
              <w:pStyle w:val="85"/>
              <w:jc w:val="both"/>
              <w:rPr>
                <w:color w:val="auto"/>
                <w:sz w:val="22"/>
                <w:szCs w:val="22"/>
              </w:rPr>
            </w:pPr>
            <w:r>
              <w:rPr>
                <w:color w:val="auto"/>
                <w:sz w:val="22"/>
                <w:szCs w:val="22"/>
              </w:rPr>
              <w:t>Ориентировка в книге: Обложка, оглавление, иллюстрации</w:t>
            </w:r>
          </w:p>
        </w:tc>
      </w:tr>
      <w:tr w14:paraId="7C198C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4A006D6D">
            <w:pPr>
              <w:pStyle w:val="85"/>
              <w:rPr>
                <w:color w:val="auto"/>
                <w:sz w:val="22"/>
                <w:szCs w:val="22"/>
              </w:rPr>
            </w:pPr>
            <w:r>
              <w:rPr>
                <w:color w:val="auto"/>
                <w:sz w:val="22"/>
                <w:szCs w:val="22"/>
              </w:rPr>
              <w:t>Урок 94</w:t>
            </w:r>
          </w:p>
        </w:tc>
        <w:tc>
          <w:tcPr>
            <w:tcW w:w="7937" w:type="dxa"/>
            <w:vAlign w:val="center"/>
          </w:tcPr>
          <w:p w14:paraId="32544D39">
            <w:pPr>
              <w:pStyle w:val="85"/>
              <w:jc w:val="both"/>
              <w:rPr>
                <w:color w:val="auto"/>
                <w:sz w:val="22"/>
                <w:szCs w:val="22"/>
              </w:rPr>
            </w:pPr>
            <w:r>
              <w:rPr>
                <w:color w:val="auto"/>
                <w:sz w:val="22"/>
                <w:szCs w:val="22"/>
              </w:rPr>
              <w:t>Реальность и волшебство в сказке. На примере сказки И. Токмаковой "Аля, Кляксич и буква а</w:t>
            </w:r>
          </w:p>
        </w:tc>
      </w:tr>
      <w:tr w14:paraId="31842A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668E62BF">
            <w:pPr>
              <w:pStyle w:val="85"/>
              <w:rPr>
                <w:color w:val="auto"/>
                <w:sz w:val="22"/>
                <w:szCs w:val="22"/>
              </w:rPr>
            </w:pPr>
            <w:r>
              <w:rPr>
                <w:color w:val="auto"/>
                <w:sz w:val="22"/>
                <w:szCs w:val="22"/>
              </w:rPr>
              <w:t>Урок 95</w:t>
            </w:r>
          </w:p>
        </w:tc>
        <w:tc>
          <w:tcPr>
            <w:tcW w:w="7937" w:type="dxa"/>
            <w:vAlign w:val="center"/>
          </w:tcPr>
          <w:p w14:paraId="4448F31C">
            <w:pPr>
              <w:pStyle w:val="85"/>
              <w:jc w:val="both"/>
              <w:rPr>
                <w:color w:val="auto"/>
                <w:sz w:val="22"/>
                <w:szCs w:val="22"/>
              </w:rPr>
            </w:pPr>
            <w:r>
              <w:rPr>
                <w:color w:val="auto"/>
                <w:sz w:val="22"/>
                <w:szCs w:val="22"/>
              </w:rPr>
              <w:t>Характеристика героев в фольклорных (народных) сказках о животных. На примере сказок "Лисица и тетерев", "Лиса и рак"</w:t>
            </w:r>
          </w:p>
        </w:tc>
      </w:tr>
      <w:tr w14:paraId="1588DB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2C591557">
            <w:pPr>
              <w:pStyle w:val="85"/>
              <w:rPr>
                <w:color w:val="auto"/>
                <w:sz w:val="22"/>
                <w:szCs w:val="22"/>
              </w:rPr>
            </w:pPr>
            <w:r>
              <w:rPr>
                <w:color w:val="auto"/>
                <w:sz w:val="22"/>
                <w:szCs w:val="22"/>
              </w:rPr>
              <w:t>Урок 96</w:t>
            </w:r>
          </w:p>
        </w:tc>
        <w:tc>
          <w:tcPr>
            <w:tcW w:w="7937" w:type="dxa"/>
            <w:vAlign w:val="center"/>
          </w:tcPr>
          <w:p w14:paraId="1B49A70A">
            <w:pPr>
              <w:pStyle w:val="85"/>
              <w:jc w:val="both"/>
              <w:rPr>
                <w:color w:val="auto"/>
                <w:sz w:val="22"/>
                <w:szCs w:val="22"/>
              </w:rPr>
            </w:pPr>
            <w:r>
              <w:rPr>
                <w:color w:val="auto"/>
                <w:sz w:val="22"/>
                <w:szCs w:val="22"/>
              </w:rPr>
              <w:t>Реальность и волшебство в литературных (авторских) сказках. На примере произведений В.Г. Сутеева "Под грибом", "Кораблик"</w:t>
            </w:r>
          </w:p>
        </w:tc>
      </w:tr>
      <w:tr w14:paraId="60F623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065C234F">
            <w:pPr>
              <w:pStyle w:val="85"/>
              <w:rPr>
                <w:color w:val="auto"/>
                <w:sz w:val="22"/>
                <w:szCs w:val="22"/>
              </w:rPr>
            </w:pPr>
            <w:r>
              <w:rPr>
                <w:color w:val="auto"/>
                <w:sz w:val="22"/>
                <w:szCs w:val="22"/>
              </w:rPr>
              <w:t>Урок 97</w:t>
            </w:r>
          </w:p>
        </w:tc>
        <w:tc>
          <w:tcPr>
            <w:tcW w:w="7937" w:type="dxa"/>
            <w:vAlign w:val="center"/>
          </w:tcPr>
          <w:p w14:paraId="09553A21">
            <w:pPr>
              <w:pStyle w:val="85"/>
              <w:jc w:val="both"/>
              <w:rPr>
                <w:color w:val="auto"/>
                <w:sz w:val="22"/>
                <w:szCs w:val="22"/>
              </w:rPr>
            </w:pPr>
            <w:r>
              <w:rPr>
                <w:color w:val="auto"/>
                <w:sz w:val="22"/>
                <w:szCs w:val="22"/>
              </w:rPr>
              <w:t>Работа с фольклорной и литературной (авторской) сказками: событийная сторона сказок (последовательность событий). На примере сказки Е. Чарушина "Теремок" и русской народной сказки "Рукавичка"</w:t>
            </w:r>
          </w:p>
        </w:tc>
      </w:tr>
      <w:tr w14:paraId="17A194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552879F7">
            <w:pPr>
              <w:pStyle w:val="85"/>
              <w:rPr>
                <w:color w:val="auto"/>
                <w:sz w:val="22"/>
                <w:szCs w:val="22"/>
              </w:rPr>
            </w:pPr>
            <w:r>
              <w:rPr>
                <w:color w:val="auto"/>
                <w:sz w:val="22"/>
                <w:szCs w:val="22"/>
              </w:rPr>
              <w:t>Урок 98</w:t>
            </w:r>
          </w:p>
        </w:tc>
        <w:tc>
          <w:tcPr>
            <w:tcW w:w="7937" w:type="dxa"/>
            <w:vAlign w:val="center"/>
          </w:tcPr>
          <w:p w14:paraId="40CA095A">
            <w:pPr>
              <w:pStyle w:val="85"/>
              <w:jc w:val="both"/>
              <w:rPr>
                <w:color w:val="auto"/>
                <w:sz w:val="22"/>
                <w:szCs w:val="22"/>
              </w:rPr>
            </w:pPr>
            <w:r>
              <w:rPr>
                <w:color w:val="auto"/>
                <w:sz w:val="22"/>
                <w:szCs w:val="22"/>
              </w:rPr>
              <w:t>Отражение сюжета произведения в иллюстрациях</w:t>
            </w:r>
          </w:p>
        </w:tc>
      </w:tr>
      <w:tr w14:paraId="63C4FB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428723B3">
            <w:pPr>
              <w:pStyle w:val="85"/>
              <w:rPr>
                <w:color w:val="auto"/>
                <w:sz w:val="22"/>
                <w:szCs w:val="22"/>
              </w:rPr>
            </w:pPr>
            <w:r>
              <w:rPr>
                <w:color w:val="auto"/>
                <w:sz w:val="22"/>
                <w:szCs w:val="22"/>
              </w:rPr>
              <w:t>Урок 99</w:t>
            </w:r>
          </w:p>
        </w:tc>
        <w:tc>
          <w:tcPr>
            <w:tcW w:w="7937" w:type="dxa"/>
            <w:vAlign w:val="center"/>
          </w:tcPr>
          <w:p w14:paraId="3E5F6A82">
            <w:pPr>
              <w:pStyle w:val="85"/>
              <w:jc w:val="both"/>
              <w:rPr>
                <w:color w:val="auto"/>
                <w:sz w:val="22"/>
                <w:szCs w:val="22"/>
              </w:rPr>
            </w:pPr>
            <w:r>
              <w:rPr>
                <w:color w:val="auto"/>
                <w:sz w:val="22"/>
                <w:szCs w:val="22"/>
              </w:rPr>
              <w:t>Сравнение героев фольклорных (народных) и литературных (авторских) сказок: сходство и различия. На примере произведения К.Д. Ушинского "Петух и собака"</w:t>
            </w:r>
          </w:p>
        </w:tc>
      </w:tr>
      <w:tr w14:paraId="1018B8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4CD35854">
            <w:pPr>
              <w:pStyle w:val="85"/>
              <w:rPr>
                <w:color w:val="auto"/>
                <w:sz w:val="22"/>
                <w:szCs w:val="22"/>
              </w:rPr>
            </w:pPr>
            <w:r>
              <w:rPr>
                <w:color w:val="auto"/>
                <w:sz w:val="22"/>
                <w:szCs w:val="22"/>
              </w:rPr>
              <w:t>Урок 100</w:t>
            </w:r>
          </w:p>
        </w:tc>
        <w:tc>
          <w:tcPr>
            <w:tcW w:w="7937" w:type="dxa"/>
            <w:vAlign w:val="center"/>
          </w:tcPr>
          <w:p w14:paraId="2C7741B7">
            <w:pPr>
              <w:pStyle w:val="85"/>
              <w:jc w:val="both"/>
              <w:rPr>
                <w:color w:val="auto"/>
                <w:sz w:val="22"/>
                <w:szCs w:val="22"/>
              </w:rPr>
            </w:pPr>
            <w:r>
              <w:rPr>
                <w:color w:val="auto"/>
                <w:sz w:val="22"/>
                <w:szCs w:val="22"/>
              </w:rPr>
              <w:t>Знакомство с малыми жанрами устного народного творчества: потешка, загадка, пословица</w:t>
            </w:r>
          </w:p>
        </w:tc>
      </w:tr>
      <w:tr w14:paraId="152371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27E0EBCD">
            <w:pPr>
              <w:pStyle w:val="85"/>
              <w:rPr>
                <w:color w:val="auto"/>
                <w:sz w:val="22"/>
                <w:szCs w:val="22"/>
              </w:rPr>
            </w:pPr>
            <w:r>
              <w:rPr>
                <w:color w:val="auto"/>
                <w:sz w:val="22"/>
                <w:szCs w:val="22"/>
              </w:rPr>
              <w:t>Урок 101</w:t>
            </w:r>
          </w:p>
        </w:tc>
        <w:tc>
          <w:tcPr>
            <w:tcW w:w="7937" w:type="dxa"/>
            <w:vAlign w:val="center"/>
          </w:tcPr>
          <w:p w14:paraId="12A9900A">
            <w:pPr>
              <w:pStyle w:val="85"/>
              <w:jc w:val="both"/>
              <w:rPr>
                <w:color w:val="auto"/>
                <w:sz w:val="22"/>
                <w:szCs w:val="22"/>
              </w:rPr>
            </w:pPr>
            <w:r>
              <w:rPr>
                <w:color w:val="auto"/>
                <w:sz w:val="22"/>
                <w:szCs w:val="22"/>
              </w:rPr>
              <w:t>Загадка - средство воспитания живости ума, сообразительности.</w:t>
            </w:r>
          </w:p>
        </w:tc>
      </w:tr>
      <w:tr w14:paraId="07BCE7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35E693EC">
            <w:pPr>
              <w:pStyle w:val="85"/>
              <w:rPr>
                <w:color w:val="auto"/>
                <w:sz w:val="22"/>
                <w:szCs w:val="22"/>
              </w:rPr>
            </w:pPr>
            <w:r>
              <w:rPr>
                <w:color w:val="auto"/>
                <w:sz w:val="22"/>
                <w:szCs w:val="22"/>
              </w:rPr>
              <w:t>Урок 102</w:t>
            </w:r>
          </w:p>
        </w:tc>
        <w:tc>
          <w:tcPr>
            <w:tcW w:w="7937" w:type="dxa"/>
            <w:vAlign w:val="center"/>
          </w:tcPr>
          <w:p w14:paraId="50FD7A75">
            <w:pPr>
              <w:pStyle w:val="85"/>
              <w:jc w:val="both"/>
              <w:rPr>
                <w:color w:val="auto"/>
                <w:sz w:val="22"/>
                <w:szCs w:val="22"/>
              </w:rPr>
            </w:pPr>
            <w:r>
              <w:rPr>
                <w:color w:val="auto"/>
                <w:sz w:val="22"/>
                <w:szCs w:val="22"/>
              </w:rPr>
              <w:t>Игровой народный фольклор: потешки</w:t>
            </w:r>
          </w:p>
        </w:tc>
      </w:tr>
      <w:tr w14:paraId="620268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45840B05">
            <w:pPr>
              <w:pStyle w:val="85"/>
              <w:rPr>
                <w:color w:val="auto"/>
                <w:sz w:val="22"/>
                <w:szCs w:val="22"/>
              </w:rPr>
            </w:pPr>
            <w:r>
              <w:rPr>
                <w:color w:val="auto"/>
                <w:sz w:val="22"/>
                <w:szCs w:val="22"/>
              </w:rPr>
              <w:t>Урок 103</w:t>
            </w:r>
          </w:p>
        </w:tc>
        <w:tc>
          <w:tcPr>
            <w:tcW w:w="7937" w:type="dxa"/>
            <w:vAlign w:val="center"/>
          </w:tcPr>
          <w:p w14:paraId="1880F4C8">
            <w:pPr>
              <w:pStyle w:val="85"/>
              <w:jc w:val="both"/>
              <w:rPr>
                <w:color w:val="auto"/>
                <w:sz w:val="22"/>
                <w:szCs w:val="22"/>
              </w:rPr>
            </w:pPr>
            <w:r>
              <w:rPr>
                <w:color w:val="auto"/>
                <w:sz w:val="22"/>
                <w:szCs w:val="22"/>
              </w:rPr>
              <w:t>Восприятие произведений о чудесах и фантазии: способность автора замечать необычное в окружающем мире</w:t>
            </w:r>
          </w:p>
        </w:tc>
      </w:tr>
      <w:tr w14:paraId="599520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0CF54E12">
            <w:pPr>
              <w:pStyle w:val="85"/>
              <w:rPr>
                <w:color w:val="auto"/>
                <w:sz w:val="22"/>
                <w:szCs w:val="22"/>
              </w:rPr>
            </w:pPr>
            <w:r>
              <w:rPr>
                <w:color w:val="auto"/>
                <w:sz w:val="22"/>
                <w:szCs w:val="22"/>
              </w:rPr>
              <w:t>Урок 104</w:t>
            </w:r>
          </w:p>
        </w:tc>
        <w:tc>
          <w:tcPr>
            <w:tcW w:w="7937" w:type="dxa"/>
            <w:vAlign w:val="center"/>
          </w:tcPr>
          <w:p w14:paraId="22AEEB89">
            <w:pPr>
              <w:pStyle w:val="85"/>
              <w:jc w:val="both"/>
              <w:rPr>
                <w:color w:val="auto"/>
                <w:sz w:val="22"/>
                <w:szCs w:val="22"/>
              </w:rPr>
            </w:pPr>
            <w:r>
              <w:rPr>
                <w:color w:val="auto"/>
                <w:sz w:val="22"/>
                <w:szCs w:val="22"/>
              </w:rPr>
              <w:t>Мир фантазий и чудес в произведениях Б.В. Заходер "Моя Вообразилия", Ю. Мориц "Сто фантазий" и других</w:t>
            </w:r>
          </w:p>
        </w:tc>
      </w:tr>
      <w:tr w14:paraId="28C590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05576B8D">
            <w:pPr>
              <w:pStyle w:val="85"/>
              <w:rPr>
                <w:color w:val="auto"/>
                <w:sz w:val="22"/>
                <w:szCs w:val="22"/>
              </w:rPr>
            </w:pPr>
            <w:r>
              <w:rPr>
                <w:color w:val="auto"/>
                <w:sz w:val="22"/>
                <w:szCs w:val="22"/>
              </w:rPr>
              <w:t>Урок 105</w:t>
            </w:r>
          </w:p>
        </w:tc>
        <w:tc>
          <w:tcPr>
            <w:tcW w:w="7937" w:type="dxa"/>
            <w:vAlign w:val="center"/>
          </w:tcPr>
          <w:p w14:paraId="70C971E1">
            <w:pPr>
              <w:pStyle w:val="85"/>
              <w:jc w:val="both"/>
              <w:rPr>
                <w:color w:val="auto"/>
                <w:sz w:val="22"/>
                <w:szCs w:val="22"/>
              </w:rPr>
            </w:pPr>
            <w:r>
              <w:rPr>
                <w:color w:val="auto"/>
                <w:sz w:val="22"/>
                <w:szCs w:val="22"/>
              </w:rPr>
              <w:t>Открытие чудесного в обыкновенных явлениях. На примере стихотворений В.В. Лунина "Я видел чудо", Р.С. Сефа "Чудо"</w:t>
            </w:r>
          </w:p>
        </w:tc>
      </w:tr>
      <w:tr w14:paraId="33D894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1031D715">
            <w:pPr>
              <w:pStyle w:val="85"/>
              <w:rPr>
                <w:color w:val="auto"/>
                <w:sz w:val="22"/>
                <w:szCs w:val="22"/>
              </w:rPr>
            </w:pPr>
            <w:r>
              <w:rPr>
                <w:color w:val="auto"/>
                <w:sz w:val="22"/>
                <w:szCs w:val="22"/>
              </w:rPr>
              <w:t>Урок 106</w:t>
            </w:r>
          </w:p>
        </w:tc>
        <w:tc>
          <w:tcPr>
            <w:tcW w:w="7937" w:type="dxa"/>
            <w:vAlign w:val="center"/>
          </w:tcPr>
          <w:p w14:paraId="6359E145">
            <w:pPr>
              <w:pStyle w:val="85"/>
              <w:jc w:val="both"/>
              <w:rPr>
                <w:color w:val="auto"/>
                <w:sz w:val="22"/>
                <w:szCs w:val="22"/>
              </w:rPr>
            </w:pPr>
            <w:r>
              <w:rPr>
                <w:color w:val="auto"/>
                <w:sz w:val="22"/>
                <w:szCs w:val="22"/>
              </w:rPr>
              <w:t>Сравнение авторских и фольклорных произведений о чудесах и фантазии</w:t>
            </w:r>
          </w:p>
        </w:tc>
      </w:tr>
      <w:tr w14:paraId="6E636B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5EE52A5F">
            <w:pPr>
              <w:pStyle w:val="85"/>
              <w:rPr>
                <w:color w:val="auto"/>
                <w:sz w:val="22"/>
                <w:szCs w:val="22"/>
              </w:rPr>
            </w:pPr>
            <w:r>
              <w:rPr>
                <w:color w:val="auto"/>
                <w:sz w:val="22"/>
                <w:szCs w:val="22"/>
              </w:rPr>
              <w:t>Урок 107</w:t>
            </w:r>
          </w:p>
        </w:tc>
        <w:tc>
          <w:tcPr>
            <w:tcW w:w="7937" w:type="dxa"/>
            <w:vAlign w:val="center"/>
          </w:tcPr>
          <w:p w14:paraId="710A757D">
            <w:pPr>
              <w:pStyle w:val="85"/>
              <w:jc w:val="both"/>
              <w:rPr>
                <w:color w:val="auto"/>
                <w:sz w:val="22"/>
                <w:szCs w:val="22"/>
              </w:rPr>
            </w:pPr>
            <w:r>
              <w:rPr>
                <w:color w:val="auto"/>
                <w:sz w:val="22"/>
                <w:szCs w:val="22"/>
              </w:rPr>
              <w:t>Понимание пословиц как средства проявления народной мудрости, краткого изречения жизненных правил</w:t>
            </w:r>
          </w:p>
        </w:tc>
      </w:tr>
      <w:tr w14:paraId="632296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64F7E7ED">
            <w:pPr>
              <w:pStyle w:val="85"/>
              <w:rPr>
                <w:color w:val="auto"/>
                <w:sz w:val="22"/>
                <w:szCs w:val="22"/>
              </w:rPr>
            </w:pPr>
            <w:r>
              <w:rPr>
                <w:color w:val="auto"/>
                <w:sz w:val="22"/>
                <w:szCs w:val="22"/>
              </w:rPr>
              <w:t>Урок 108</w:t>
            </w:r>
          </w:p>
        </w:tc>
        <w:tc>
          <w:tcPr>
            <w:tcW w:w="7937" w:type="dxa"/>
            <w:vAlign w:val="center"/>
          </w:tcPr>
          <w:p w14:paraId="057C972F">
            <w:pPr>
              <w:pStyle w:val="85"/>
              <w:jc w:val="both"/>
              <w:rPr>
                <w:color w:val="auto"/>
                <w:sz w:val="22"/>
                <w:szCs w:val="22"/>
              </w:rPr>
            </w:pPr>
            <w:r>
              <w:rPr>
                <w:color w:val="auto"/>
                <w:sz w:val="22"/>
                <w:szCs w:val="22"/>
              </w:rPr>
              <w:t>Определение темы произведения: изображение природы в разные времена года</w:t>
            </w:r>
          </w:p>
        </w:tc>
      </w:tr>
      <w:tr w14:paraId="0E7ED5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135C02E9">
            <w:pPr>
              <w:pStyle w:val="85"/>
              <w:rPr>
                <w:color w:val="auto"/>
                <w:sz w:val="22"/>
                <w:szCs w:val="22"/>
              </w:rPr>
            </w:pPr>
            <w:r>
              <w:rPr>
                <w:color w:val="auto"/>
                <w:sz w:val="22"/>
                <w:szCs w:val="22"/>
              </w:rPr>
              <w:t>Урок 109</w:t>
            </w:r>
          </w:p>
        </w:tc>
        <w:tc>
          <w:tcPr>
            <w:tcW w:w="7937" w:type="dxa"/>
            <w:vAlign w:val="center"/>
          </w:tcPr>
          <w:p w14:paraId="3661C6C5">
            <w:pPr>
              <w:pStyle w:val="85"/>
              <w:jc w:val="both"/>
              <w:rPr>
                <w:color w:val="auto"/>
                <w:sz w:val="22"/>
                <w:szCs w:val="22"/>
              </w:rPr>
            </w:pPr>
            <w:r>
              <w:rPr>
                <w:color w:val="auto"/>
                <w:sz w:val="22"/>
                <w:szCs w:val="22"/>
              </w:rPr>
              <w:t>Наблюдение за особенностями стихотворной речи: рифма, ритм. Роль интонации при выразительном чтении: темп, сила голоса</w:t>
            </w:r>
          </w:p>
        </w:tc>
      </w:tr>
      <w:tr w14:paraId="011524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48F370DD">
            <w:pPr>
              <w:pStyle w:val="85"/>
              <w:rPr>
                <w:color w:val="auto"/>
                <w:sz w:val="22"/>
                <w:szCs w:val="22"/>
              </w:rPr>
            </w:pPr>
            <w:r>
              <w:rPr>
                <w:color w:val="auto"/>
                <w:sz w:val="22"/>
                <w:szCs w:val="22"/>
              </w:rPr>
              <w:t>Урок 110</w:t>
            </w:r>
          </w:p>
        </w:tc>
        <w:tc>
          <w:tcPr>
            <w:tcW w:w="7937" w:type="dxa"/>
            <w:vAlign w:val="center"/>
          </w:tcPr>
          <w:p w14:paraId="3EBA96FE">
            <w:pPr>
              <w:pStyle w:val="85"/>
              <w:jc w:val="both"/>
              <w:rPr>
                <w:color w:val="auto"/>
                <w:sz w:val="22"/>
                <w:szCs w:val="22"/>
              </w:rPr>
            </w:pPr>
            <w:r>
              <w:rPr>
                <w:color w:val="auto"/>
                <w:sz w:val="22"/>
                <w:szCs w:val="22"/>
              </w:rPr>
              <w:t>Восприятие произведений о родной природе: краски и звуки весны</w:t>
            </w:r>
          </w:p>
        </w:tc>
      </w:tr>
      <w:tr w14:paraId="716DBF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36F92EAA">
            <w:pPr>
              <w:pStyle w:val="85"/>
              <w:rPr>
                <w:color w:val="auto"/>
                <w:sz w:val="22"/>
                <w:szCs w:val="22"/>
              </w:rPr>
            </w:pPr>
            <w:r>
              <w:rPr>
                <w:color w:val="auto"/>
                <w:sz w:val="22"/>
                <w:szCs w:val="22"/>
              </w:rPr>
              <w:t>Урок 111</w:t>
            </w:r>
          </w:p>
        </w:tc>
        <w:tc>
          <w:tcPr>
            <w:tcW w:w="7937" w:type="dxa"/>
            <w:vAlign w:val="center"/>
          </w:tcPr>
          <w:p w14:paraId="1C87E6B9">
            <w:pPr>
              <w:pStyle w:val="85"/>
              <w:jc w:val="both"/>
              <w:rPr>
                <w:color w:val="auto"/>
                <w:sz w:val="22"/>
                <w:szCs w:val="22"/>
              </w:rPr>
            </w:pPr>
            <w:r>
              <w:rPr>
                <w:color w:val="auto"/>
                <w:sz w:val="22"/>
                <w:szCs w:val="22"/>
              </w:rPr>
              <w:t>Определение темы произведения: изображение природы в разные времена года. Настроение, которое рождает стихотворение</w:t>
            </w:r>
          </w:p>
        </w:tc>
      </w:tr>
      <w:tr w14:paraId="55F8E4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6F712F1E">
            <w:pPr>
              <w:pStyle w:val="85"/>
              <w:rPr>
                <w:color w:val="auto"/>
                <w:sz w:val="22"/>
                <w:szCs w:val="22"/>
              </w:rPr>
            </w:pPr>
            <w:r>
              <w:rPr>
                <w:color w:val="auto"/>
                <w:sz w:val="22"/>
                <w:szCs w:val="22"/>
              </w:rPr>
              <w:t>Урок 112</w:t>
            </w:r>
          </w:p>
        </w:tc>
        <w:tc>
          <w:tcPr>
            <w:tcW w:w="7937" w:type="dxa"/>
            <w:vAlign w:val="center"/>
          </w:tcPr>
          <w:p w14:paraId="0CF46B49">
            <w:pPr>
              <w:pStyle w:val="85"/>
              <w:jc w:val="both"/>
              <w:rPr>
                <w:color w:val="auto"/>
                <w:sz w:val="22"/>
                <w:szCs w:val="22"/>
              </w:rPr>
            </w:pPr>
            <w:r>
              <w:rPr>
                <w:color w:val="auto"/>
                <w:sz w:val="22"/>
                <w:szCs w:val="22"/>
              </w:rPr>
              <w:t>Выявление главной мысли (идеи) в произведениях о природе родного края. Любовь к Родине</w:t>
            </w:r>
          </w:p>
        </w:tc>
      </w:tr>
      <w:tr w14:paraId="41FCAC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3B7EE00A">
            <w:pPr>
              <w:pStyle w:val="85"/>
              <w:rPr>
                <w:color w:val="auto"/>
                <w:sz w:val="22"/>
                <w:szCs w:val="22"/>
              </w:rPr>
            </w:pPr>
            <w:r>
              <w:rPr>
                <w:color w:val="auto"/>
                <w:sz w:val="22"/>
                <w:szCs w:val="22"/>
              </w:rPr>
              <w:t>Урок 113</w:t>
            </w:r>
          </w:p>
        </w:tc>
        <w:tc>
          <w:tcPr>
            <w:tcW w:w="7937" w:type="dxa"/>
            <w:vAlign w:val="center"/>
          </w:tcPr>
          <w:p w14:paraId="03AB8770">
            <w:pPr>
              <w:pStyle w:val="85"/>
              <w:jc w:val="both"/>
              <w:rPr>
                <w:color w:val="auto"/>
                <w:sz w:val="22"/>
                <w:szCs w:val="22"/>
              </w:rPr>
            </w:pPr>
            <w:r>
              <w:rPr>
                <w:color w:val="auto"/>
                <w:sz w:val="22"/>
                <w:szCs w:val="22"/>
              </w:rPr>
              <w:t>Работа с детскими книгами. Отражении в иллюстрации эмоционального отклика на произведение.</w:t>
            </w:r>
          </w:p>
        </w:tc>
      </w:tr>
      <w:tr w14:paraId="43E645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1AE2B06E">
            <w:pPr>
              <w:pStyle w:val="85"/>
              <w:rPr>
                <w:color w:val="auto"/>
                <w:sz w:val="22"/>
                <w:szCs w:val="22"/>
              </w:rPr>
            </w:pPr>
            <w:r>
              <w:rPr>
                <w:color w:val="auto"/>
                <w:sz w:val="22"/>
                <w:szCs w:val="22"/>
              </w:rPr>
              <w:t>Урок 114</w:t>
            </w:r>
          </w:p>
        </w:tc>
        <w:tc>
          <w:tcPr>
            <w:tcW w:w="7937" w:type="dxa"/>
            <w:vAlign w:val="center"/>
          </w:tcPr>
          <w:p w14:paraId="3BFA700A">
            <w:pPr>
              <w:pStyle w:val="85"/>
              <w:jc w:val="both"/>
              <w:rPr>
                <w:color w:val="auto"/>
                <w:sz w:val="22"/>
                <w:szCs w:val="22"/>
              </w:rPr>
            </w:pPr>
            <w:r>
              <w:rPr>
                <w:color w:val="auto"/>
                <w:sz w:val="22"/>
                <w:szCs w:val="22"/>
              </w:rPr>
              <w:t>Определение темы произведения: о жизни, играх, делах детей</w:t>
            </w:r>
          </w:p>
        </w:tc>
      </w:tr>
      <w:tr w14:paraId="397914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70D87871">
            <w:pPr>
              <w:pStyle w:val="85"/>
              <w:rPr>
                <w:color w:val="auto"/>
                <w:sz w:val="22"/>
                <w:szCs w:val="22"/>
              </w:rPr>
            </w:pPr>
            <w:r>
              <w:rPr>
                <w:color w:val="auto"/>
                <w:sz w:val="22"/>
                <w:szCs w:val="22"/>
              </w:rPr>
              <w:t>Урок 115</w:t>
            </w:r>
          </w:p>
        </w:tc>
        <w:tc>
          <w:tcPr>
            <w:tcW w:w="7937" w:type="dxa"/>
            <w:vAlign w:val="center"/>
          </w:tcPr>
          <w:p w14:paraId="2D4833CC">
            <w:pPr>
              <w:pStyle w:val="85"/>
              <w:jc w:val="both"/>
              <w:rPr>
                <w:color w:val="auto"/>
                <w:sz w:val="22"/>
                <w:szCs w:val="22"/>
              </w:rPr>
            </w:pPr>
            <w:r>
              <w:rPr>
                <w:color w:val="auto"/>
                <w:sz w:val="22"/>
                <w:szCs w:val="22"/>
              </w:rPr>
              <w:t>Выделение главной мысли (идеи) произведения. На примере текста К.Д. Ушинского "Худо тому, кто добра не делает никому" и других. Сказка М.С. Пляцковского "Помощник"</w:t>
            </w:r>
          </w:p>
        </w:tc>
      </w:tr>
      <w:tr w14:paraId="6300F3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10FAA821">
            <w:pPr>
              <w:pStyle w:val="85"/>
              <w:rPr>
                <w:color w:val="auto"/>
                <w:sz w:val="22"/>
                <w:szCs w:val="22"/>
              </w:rPr>
            </w:pPr>
            <w:r>
              <w:rPr>
                <w:color w:val="auto"/>
                <w:sz w:val="22"/>
                <w:szCs w:val="22"/>
              </w:rPr>
              <w:t>Урок 116</w:t>
            </w:r>
          </w:p>
        </w:tc>
        <w:tc>
          <w:tcPr>
            <w:tcW w:w="7937" w:type="dxa"/>
            <w:vAlign w:val="center"/>
          </w:tcPr>
          <w:p w14:paraId="155F98C4">
            <w:pPr>
              <w:pStyle w:val="85"/>
              <w:jc w:val="both"/>
              <w:rPr>
                <w:color w:val="auto"/>
                <w:sz w:val="22"/>
                <w:szCs w:val="22"/>
              </w:rPr>
            </w:pPr>
            <w:r>
              <w:rPr>
                <w:color w:val="auto"/>
                <w:sz w:val="22"/>
                <w:szCs w:val="22"/>
              </w:rPr>
              <w:t>Заголовок произведения, его значение для понимания содержания. Произведения о дружбе</w:t>
            </w:r>
          </w:p>
        </w:tc>
      </w:tr>
      <w:tr w14:paraId="69076D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0546CEF0">
            <w:pPr>
              <w:pStyle w:val="85"/>
              <w:rPr>
                <w:color w:val="auto"/>
                <w:sz w:val="22"/>
                <w:szCs w:val="22"/>
              </w:rPr>
            </w:pPr>
            <w:r>
              <w:rPr>
                <w:color w:val="auto"/>
                <w:sz w:val="22"/>
                <w:szCs w:val="22"/>
              </w:rPr>
              <w:t>Урок 117</w:t>
            </w:r>
          </w:p>
        </w:tc>
        <w:tc>
          <w:tcPr>
            <w:tcW w:w="7937" w:type="dxa"/>
            <w:vAlign w:val="center"/>
          </w:tcPr>
          <w:p w14:paraId="6FD55AD3">
            <w:pPr>
              <w:pStyle w:val="85"/>
              <w:jc w:val="both"/>
              <w:rPr>
                <w:color w:val="auto"/>
                <w:sz w:val="22"/>
                <w:szCs w:val="22"/>
              </w:rPr>
            </w:pPr>
            <w:r>
              <w:rPr>
                <w:color w:val="auto"/>
                <w:sz w:val="22"/>
                <w:szCs w:val="22"/>
              </w:rPr>
              <w:t>Работа с текстом произведения: осознание понятий друг, дружба, забота. На примере произведения Ю.И. Ермолаев "Лучший друг"</w:t>
            </w:r>
          </w:p>
        </w:tc>
      </w:tr>
      <w:tr w14:paraId="7A4ADE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017DE9A3">
            <w:pPr>
              <w:pStyle w:val="85"/>
              <w:rPr>
                <w:color w:val="auto"/>
                <w:sz w:val="22"/>
                <w:szCs w:val="22"/>
              </w:rPr>
            </w:pPr>
            <w:r>
              <w:rPr>
                <w:color w:val="auto"/>
                <w:sz w:val="22"/>
                <w:szCs w:val="22"/>
              </w:rPr>
              <w:t>Урок 118</w:t>
            </w:r>
          </w:p>
        </w:tc>
        <w:tc>
          <w:tcPr>
            <w:tcW w:w="7937" w:type="dxa"/>
            <w:vAlign w:val="center"/>
          </w:tcPr>
          <w:p w14:paraId="656F4D42">
            <w:pPr>
              <w:pStyle w:val="85"/>
              <w:jc w:val="both"/>
              <w:rPr>
                <w:color w:val="auto"/>
                <w:sz w:val="22"/>
                <w:szCs w:val="22"/>
              </w:rPr>
            </w:pPr>
            <w:r>
              <w:rPr>
                <w:color w:val="auto"/>
                <w:sz w:val="22"/>
                <w:szCs w:val="22"/>
              </w:rPr>
              <w:t>Произведения о детях. На примере произведений В.А. Осеевой "Три товарища", Е.А. Благининой "Подарок", В.Н. Орлова "Кто кого?"</w:t>
            </w:r>
          </w:p>
        </w:tc>
      </w:tr>
      <w:tr w14:paraId="1AEE53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2F8D7CF2">
            <w:pPr>
              <w:pStyle w:val="85"/>
              <w:rPr>
                <w:color w:val="auto"/>
                <w:sz w:val="22"/>
                <w:szCs w:val="22"/>
              </w:rPr>
            </w:pPr>
            <w:r>
              <w:rPr>
                <w:color w:val="auto"/>
                <w:sz w:val="22"/>
                <w:szCs w:val="22"/>
              </w:rPr>
              <w:t>Урок 119</w:t>
            </w:r>
          </w:p>
        </w:tc>
        <w:tc>
          <w:tcPr>
            <w:tcW w:w="7937" w:type="dxa"/>
            <w:vAlign w:val="center"/>
          </w:tcPr>
          <w:p w14:paraId="4BADB6C0">
            <w:pPr>
              <w:pStyle w:val="85"/>
              <w:jc w:val="both"/>
              <w:rPr>
                <w:color w:val="auto"/>
                <w:sz w:val="22"/>
                <w:szCs w:val="22"/>
              </w:rPr>
            </w:pPr>
            <w:r>
              <w:rPr>
                <w:color w:val="auto"/>
                <w:sz w:val="22"/>
                <w:szCs w:val="22"/>
              </w:rPr>
              <w:t>Характеристика героя произведения: оценка поступков и поведения. На примере произведения Е.А. Пермяка "Торопливый ножик"</w:t>
            </w:r>
          </w:p>
        </w:tc>
      </w:tr>
      <w:tr w14:paraId="42B96F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53F335D9">
            <w:pPr>
              <w:pStyle w:val="85"/>
              <w:rPr>
                <w:color w:val="auto"/>
                <w:sz w:val="22"/>
                <w:szCs w:val="22"/>
              </w:rPr>
            </w:pPr>
            <w:r>
              <w:rPr>
                <w:color w:val="auto"/>
                <w:sz w:val="22"/>
                <w:szCs w:val="22"/>
              </w:rPr>
              <w:t>Урок 120</w:t>
            </w:r>
          </w:p>
        </w:tc>
        <w:tc>
          <w:tcPr>
            <w:tcW w:w="7937" w:type="dxa"/>
            <w:vAlign w:val="center"/>
          </w:tcPr>
          <w:p w14:paraId="590E8914">
            <w:pPr>
              <w:pStyle w:val="85"/>
              <w:jc w:val="both"/>
              <w:rPr>
                <w:color w:val="auto"/>
                <w:sz w:val="22"/>
                <w:szCs w:val="22"/>
              </w:rPr>
            </w:pPr>
            <w:r>
              <w:rPr>
                <w:color w:val="auto"/>
                <w:sz w:val="22"/>
                <w:szCs w:val="22"/>
              </w:rPr>
              <w:t>Рассказы о детях. На примере произведения Л.Н. Толстого "Косточка"</w:t>
            </w:r>
          </w:p>
        </w:tc>
      </w:tr>
      <w:tr w14:paraId="49D08C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1E340D3A">
            <w:pPr>
              <w:pStyle w:val="85"/>
              <w:rPr>
                <w:color w:val="auto"/>
                <w:sz w:val="22"/>
                <w:szCs w:val="22"/>
              </w:rPr>
            </w:pPr>
            <w:r>
              <w:rPr>
                <w:color w:val="auto"/>
                <w:sz w:val="22"/>
                <w:szCs w:val="22"/>
              </w:rPr>
              <w:t>Урок 121</w:t>
            </w:r>
          </w:p>
        </w:tc>
        <w:tc>
          <w:tcPr>
            <w:tcW w:w="7937" w:type="dxa"/>
            <w:vAlign w:val="center"/>
          </w:tcPr>
          <w:p w14:paraId="201E650C">
            <w:pPr>
              <w:pStyle w:val="85"/>
              <w:jc w:val="both"/>
              <w:rPr>
                <w:color w:val="auto"/>
                <w:sz w:val="22"/>
                <w:szCs w:val="22"/>
              </w:rPr>
            </w:pPr>
            <w:r>
              <w:rPr>
                <w:color w:val="auto"/>
                <w:sz w:val="22"/>
                <w:szCs w:val="22"/>
              </w:rPr>
              <w:t>Стихотворения о детях. На примере произведений А.Л. Барто "Я - лишний", Р.С. Сефа "Совет", В.Н. Орлова "Если дружбой..."</w:t>
            </w:r>
          </w:p>
        </w:tc>
      </w:tr>
      <w:tr w14:paraId="190538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50688436">
            <w:pPr>
              <w:pStyle w:val="85"/>
              <w:rPr>
                <w:color w:val="auto"/>
                <w:sz w:val="22"/>
                <w:szCs w:val="22"/>
              </w:rPr>
            </w:pPr>
            <w:r>
              <w:rPr>
                <w:color w:val="auto"/>
                <w:sz w:val="22"/>
                <w:szCs w:val="22"/>
              </w:rPr>
              <w:t>Урок 122</w:t>
            </w:r>
          </w:p>
        </w:tc>
        <w:tc>
          <w:tcPr>
            <w:tcW w:w="7937" w:type="dxa"/>
            <w:vAlign w:val="center"/>
          </w:tcPr>
          <w:p w14:paraId="35DD15AE">
            <w:pPr>
              <w:pStyle w:val="85"/>
              <w:jc w:val="both"/>
              <w:rPr>
                <w:color w:val="auto"/>
                <w:sz w:val="22"/>
                <w:szCs w:val="22"/>
              </w:rPr>
            </w:pPr>
            <w:r>
              <w:rPr>
                <w:color w:val="auto"/>
                <w:sz w:val="22"/>
                <w:szCs w:val="22"/>
              </w:rPr>
              <w:t>Работа с текстом произведения: осознание понятий труд, взаимопомощь. На примере произведения М.С. Пляцковского "Сердитый дог Буль"</w:t>
            </w:r>
          </w:p>
        </w:tc>
      </w:tr>
      <w:tr w14:paraId="30FC24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6A20B55B">
            <w:pPr>
              <w:pStyle w:val="85"/>
              <w:rPr>
                <w:color w:val="auto"/>
                <w:sz w:val="22"/>
                <w:szCs w:val="22"/>
              </w:rPr>
            </w:pPr>
            <w:r>
              <w:rPr>
                <w:color w:val="auto"/>
                <w:sz w:val="22"/>
                <w:szCs w:val="22"/>
              </w:rPr>
              <w:t>Урок 123</w:t>
            </w:r>
          </w:p>
        </w:tc>
        <w:tc>
          <w:tcPr>
            <w:tcW w:w="7937" w:type="dxa"/>
            <w:vAlign w:val="center"/>
          </w:tcPr>
          <w:p w14:paraId="1DBCE991">
            <w:pPr>
              <w:pStyle w:val="85"/>
              <w:jc w:val="both"/>
              <w:rPr>
                <w:color w:val="auto"/>
                <w:sz w:val="22"/>
                <w:szCs w:val="22"/>
              </w:rPr>
            </w:pPr>
            <w:r>
              <w:rPr>
                <w:color w:val="auto"/>
                <w:sz w:val="22"/>
                <w:szCs w:val="22"/>
              </w:rPr>
              <w:t>Восприятие и самостоятельное чтение произведений о маме: проявление любви и заботы о родных людях на примере произведений А.Л. Барто "Мама", С.Я. Маршака "Хороший день" и других</w:t>
            </w:r>
          </w:p>
        </w:tc>
      </w:tr>
      <w:tr w14:paraId="76AC6F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4781488B">
            <w:pPr>
              <w:pStyle w:val="85"/>
              <w:jc w:val="center"/>
              <w:rPr>
                <w:color w:val="auto"/>
                <w:sz w:val="22"/>
                <w:szCs w:val="22"/>
              </w:rPr>
            </w:pPr>
            <w:r>
              <w:rPr>
                <w:color w:val="auto"/>
                <w:sz w:val="22"/>
                <w:szCs w:val="22"/>
              </w:rPr>
              <w:t>Урок 124</w:t>
            </w:r>
          </w:p>
        </w:tc>
        <w:tc>
          <w:tcPr>
            <w:tcW w:w="7937" w:type="dxa"/>
            <w:vAlign w:val="center"/>
          </w:tcPr>
          <w:p w14:paraId="47B0B183">
            <w:pPr>
              <w:pStyle w:val="85"/>
              <w:jc w:val="both"/>
              <w:rPr>
                <w:color w:val="auto"/>
                <w:sz w:val="22"/>
                <w:szCs w:val="22"/>
              </w:rPr>
            </w:pPr>
            <w:r>
              <w:rPr>
                <w:color w:val="auto"/>
                <w:sz w:val="22"/>
                <w:szCs w:val="22"/>
              </w:rPr>
              <w:t>Выделение главной мысли (идеи): заботливое и внимательное отношение к родным и близким людям. На примере стихотворения Е.А. Благинина "Посидим в тишине" и других</w:t>
            </w:r>
          </w:p>
        </w:tc>
      </w:tr>
      <w:tr w14:paraId="6181E2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57C05145">
            <w:pPr>
              <w:pStyle w:val="85"/>
              <w:jc w:val="center"/>
              <w:rPr>
                <w:color w:val="auto"/>
                <w:sz w:val="22"/>
                <w:szCs w:val="22"/>
              </w:rPr>
            </w:pPr>
            <w:r>
              <w:rPr>
                <w:color w:val="auto"/>
                <w:sz w:val="22"/>
                <w:szCs w:val="22"/>
              </w:rPr>
              <w:t>Урок 125</w:t>
            </w:r>
          </w:p>
        </w:tc>
        <w:tc>
          <w:tcPr>
            <w:tcW w:w="7937" w:type="dxa"/>
            <w:vAlign w:val="center"/>
          </w:tcPr>
          <w:p w14:paraId="5F97DB5F">
            <w:pPr>
              <w:pStyle w:val="85"/>
              <w:jc w:val="both"/>
              <w:rPr>
                <w:color w:val="auto"/>
                <w:sz w:val="22"/>
                <w:szCs w:val="22"/>
              </w:rPr>
            </w:pPr>
            <w:r>
              <w:rPr>
                <w:color w:val="auto"/>
                <w:sz w:val="22"/>
                <w:szCs w:val="22"/>
              </w:rPr>
              <w:t>Осознание отраженных в произведении понятий: чувство любви матери к ребенку, детей к матери, близким. На примере произведений А.В. Митяева "За что я люблю маму", С.Я. Маршака "Хороший день"</w:t>
            </w:r>
          </w:p>
        </w:tc>
      </w:tr>
      <w:tr w14:paraId="7E0921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63632286">
            <w:pPr>
              <w:pStyle w:val="85"/>
              <w:jc w:val="center"/>
              <w:rPr>
                <w:color w:val="auto"/>
                <w:sz w:val="22"/>
                <w:szCs w:val="22"/>
              </w:rPr>
            </w:pPr>
            <w:r>
              <w:rPr>
                <w:color w:val="auto"/>
                <w:sz w:val="22"/>
                <w:szCs w:val="22"/>
              </w:rPr>
              <w:t>Урок 126</w:t>
            </w:r>
          </w:p>
        </w:tc>
        <w:tc>
          <w:tcPr>
            <w:tcW w:w="7937" w:type="dxa"/>
            <w:vAlign w:val="center"/>
          </w:tcPr>
          <w:p w14:paraId="7FE42781">
            <w:pPr>
              <w:pStyle w:val="85"/>
              <w:jc w:val="both"/>
              <w:rPr>
                <w:color w:val="auto"/>
                <w:sz w:val="22"/>
                <w:szCs w:val="22"/>
              </w:rPr>
            </w:pPr>
            <w:r>
              <w:rPr>
                <w:color w:val="auto"/>
                <w:sz w:val="22"/>
                <w:szCs w:val="22"/>
              </w:rPr>
              <w:t>Определение темы произведения: о взаимоотношениях человека и животных. Составление рассказа о самостоятельно прочитанной книге о животных</w:t>
            </w:r>
          </w:p>
        </w:tc>
      </w:tr>
      <w:tr w14:paraId="484678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49D7E8C8">
            <w:pPr>
              <w:pStyle w:val="85"/>
              <w:jc w:val="center"/>
              <w:rPr>
                <w:color w:val="auto"/>
                <w:sz w:val="22"/>
                <w:szCs w:val="22"/>
              </w:rPr>
            </w:pPr>
            <w:r>
              <w:rPr>
                <w:color w:val="auto"/>
                <w:sz w:val="22"/>
                <w:szCs w:val="22"/>
              </w:rPr>
              <w:t>Урок 127</w:t>
            </w:r>
          </w:p>
        </w:tc>
        <w:tc>
          <w:tcPr>
            <w:tcW w:w="7937" w:type="dxa"/>
            <w:vAlign w:val="center"/>
          </w:tcPr>
          <w:p w14:paraId="34B94B03">
            <w:pPr>
              <w:pStyle w:val="85"/>
              <w:jc w:val="both"/>
              <w:rPr>
                <w:color w:val="auto"/>
                <w:sz w:val="22"/>
                <w:szCs w:val="22"/>
              </w:rPr>
            </w:pPr>
            <w:r>
              <w:rPr>
                <w:color w:val="auto"/>
                <w:sz w:val="22"/>
                <w:szCs w:val="22"/>
              </w:rPr>
              <w:t>Описание героя произведения, его внешности, действий. На примере произведений В.В. Бианки "Лис и Мышонок", С.В. Михалкова "Трезор"</w:t>
            </w:r>
          </w:p>
        </w:tc>
      </w:tr>
      <w:tr w14:paraId="296A61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6E7ECC9C">
            <w:pPr>
              <w:pStyle w:val="85"/>
              <w:jc w:val="center"/>
              <w:rPr>
                <w:color w:val="auto"/>
                <w:sz w:val="22"/>
                <w:szCs w:val="22"/>
              </w:rPr>
            </w:pPr>
            <w:r>
              <w:rPr>
                <w:color w:val="auto"/>
                <w:sz w:val="22"/>
                <w:szCs w:val="22"/>
              </w:rPr>
              <w:t>Урок 128</w:t>
            </w:r>
          </w:p>
        </w:tc>
        <w:tc>
          <w:tcPr>
            <w:tcW w:w="7937" w:type="dxa"/>
            <w:vAlign w:val="center"/>
          </w:tcPr>
          <w:p w14:paraId="5151BCC0">
            <w:pPr>
              <w:pStyle w:val="85"/>
              <w:jc w:val="both"/>
              <w:rPr>
                <w:color w:val="auto"/>
                <w:sz w:val="22"/>
                <w:szCs w:val="22"/>
              </w:rPr>
            </w:pPr>
            <w:r>
              <w:rPr>
                <w:color w:val="auto"/>
                <w:sz w:val="22"/>
                <w:szCs w:val="22"/>
              </w:rPr>
              <w:t>Отражение в произведениях понятий: любовь и забота о животных. На примере произведения М.М. Пришвина "Еж" и других</w:t>
            </w:r>
          </w:p>
        </w:tc>
      </w:tr>
      <w:tr w14:paraId="2A1C56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1462DAFB">
            <w:pPr>
              <w:pStyle w:val="85"/>
              <w:jc w:val="center"/>
              <w:rPr>
                <w:color w:val="auto"/>
                <w:sz w:val="22"/>
                <w:szCs w:val="22"/>
              </w:rPr>
            </w:pPr>
            <w:r>
              <w:rPr>
                <w:color w:val="auto"/>
                <w:sz w:val="22"/>
                <w:szCs w:val="22"/>
              </w:rPr>
              <w:t>Урок 129</w:t>
            </w:r>
          </w:p>
        </w:tc>
        <w:tc>
          <w:tcPr>
            <w:tcW w:w="7937" w:type="dxa"/>
            <w:vAlign w:val="center"/>
          </w:tcPr>
          <w:p w14:paraId="68DC6EB8">
            <w:pPr>
              <w:pStyle w:val="85"/>
              <w:jc w:val="both"/>
              <w:rPr>
                <w:color w:val="auto"/>
                <w:sz w:val="22"/>
                <w:szCs w:val="22"/>
              </w:rPr>
            </w:pPr>
            <w:r>
              <w:rPr>
                <w:color w:val="auto"/>
                <w:sz w:val="22"/>
                <w:szCs w:val="22"/>
              </w:rPr>
              <w:t>Выделение главной мысли (идеи) в произведениях о братьях наших меньших: бережное отношение к животным. На примере рассказа В.А. Осеевой "Плохо"</w:t>
            </w:r>
          </w:p>
        </w:tc>
      </w:tr>
      <w:tr w14:paraId="3F7F90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79F362CB">
            <w:pPr>
              <w:pStyle w:val="85"/>
              <w:jc w:val="center"/>
              <w:rPr>
                <w:color w:val="auto"/>
                <w:sz w:val="22"/>
                <w:szCs w:val="22"/>
              </w:rPr>
            </w:pPr>
            <w:r>
              <w:rPr>
                <w:color w:val="auto"/>
                <w:sz w:val="22"/>
                <w:szCs w:val="22"/>
              </w:rPr>
              <w:t>Урок 130</w:t>
            </w:r>
          </w:p>
        </w:tc>
        <w:tc>
          <w:tcPr>
            <w:tcW w:w="7937" w:type="dxa"/>
            <w:vAlign w:val="center"/>
          </w:tcPr>
          <w:p w14:paraId="62719717">
            <w:pPr>
              <w:pStyle w:val="85"/>
              <w:jc w:val="both"/>
              <w:rPr>
                <w:color w:val="auto"/>
                <w:sz w:val="22"/>
                <w:szCs w:val="22"/>
              </w:rPr>
            </w:pPr>
            <w:r>
              <w:rPr>
                <w:color w:val="auto"/>
                <w:sz w:val="22"/>
                <w:szCs w:val="22"/>
              </w:rPr>
              <w:t>Сравнение художественных и научно-познавательных текстов: описание героя-животного</w:t>
            </w:r>
          </w:p>
        </w:tc>
      </w:tr>
      <w:tr w14:paraId="149BF484">
        <w:tblPrEx>
          <w:tblCellMar>
            <w:top w:w="102" w:type="dxa"/>
            <w:left w:w="62" w:type="dxa"/>
            <w:bottom w:w="102" w:type="dxa"/>
            <w:right w:w="62" w:type="dxa"/>
          </w:tblCellMar>
        </w:tblPrEx>
        <w:tc>
          <w:tcPr>
            <w:tcW w:w="1134" w:type="dxa"/>
            <w:vAlign w:val="center"/>
          </w:tcPr>
          <w:p w14:paraId="5D834940">
            <w:pPr>
              <w:pStyle w:val="85"/>
              <w:jc w:val="center"/>
              <w:rPr>
                <w:color w:val="auto"/>
                <w:sz w:val="22"/>
                <w:szCs w:val="22"/>
              </w:rPr>
            </w:pPr>
            <w:r>
              <w:rPr>
                <w:color w:val="auto"/>
                <w:sz w:val="22"/>
                <w:szCs w:val="22"/>
              </w:rPr>
              <w:t>Урок 131</w:t>
            </w:r>
          </w:p>
        </w:tc>
        <w:tc>
          <w:tcPr>
            <w:tcW w:w="7937" w:type="dxa"/>
            <w:vAlign w:val="center"/>
          </w:tcPr>
          <w:p w14:paraId="4C1FD2DC">
            <w:pPr>
              <w:pStyle w:val="85"/>
              <w:jc w:val="both"/>
              <w:rPr>
                <w:color w:val="auto"/>
                <w:sz w:val="22"/>
                <w:szCs w:val="22"/>
              </w:rPr>
            </w:pPr>
            <w:r>
              <w:rPr>
                <w:color w:val="auto"/>
                <w:sz w:val="22"/>
                <w:szCs w:val="22"/>
              </w:rPr>
              <w:t>Работа с текстом произведения: характеристика героя, его внешности, действий. На примере произведений Е.И. Чарушина "Про Томку", Н.И. Сладкова "Лисица и Еж"</w:t>
            </w:r>
          </w:p>
        </w:tc>
      </w:tr>
      <w:tr w14:paraId="0B25C3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00E6FC5C">
            <w:pPr>
              <w:pStyle w:val="85"/>
              <w:jc w:val="center"/>
              <w:rPr>
                <w:color w:val="auto"/>
                <w:sz w:val="22"/>
                <w:szCs w:val="22"/>
              </w:rPr>
            </w:pPr>
            <w:r>
              <w:rPr>
                <w:color w:val="auto"/>
                <w:sz w:val="22"/>
                <w:szCs w:val="22"/>
              </w:rPr>
              <w:t>Урок 132</w:t>
            </w:r>
          </w:p>
        </w:tc>
        <w:tc>
          <w:tcPr>
            <w:tcW w:w="7937" w:type="dxa"/>
            <w:vAlign w:val="center"/>
          </w:tcPr>
          <w:p w14:paraId="5118481E">
            <w:pPr>
              <w:pStyle w:val="85"/>
              <w:jc w:val="both"/>
              <w:rPr>
                <w:color w:val="auto"/>
                <w:sz w:val="22"/>
                <w:szCs w:val="22"/>
              </w:rPr>
            </w:pPr>
            <w:r>
              <w:rPr>
                <w:color w:val="auto"/>
                <w:sz w:val="22"/>
                <w:szCs w:val="22"/>
              </w:rPr>
              <w:t>Собаки - защитники Родины</w:t>
            </w:r>
          </w:p>
        </w:tc>
      </w:tr>
      <w:tr w14:paraId="1C7CC3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9071" w:type="dxa"/>
            <w:gridSpan w:val="2"/>
            <w:vAlign w:val="center"/>
          </w:tcPr>
          <w:p w14:paraId="78E25A4C">
            <w:pPr>
              <w:pStyle w:val="85"/>
              <w:jc w:val="both"/>
              <w:rPr>
                <w:color w:val="auto"/>
                <w:sz w:val="22"/>
                <w:szCs w:val="22"/>
              </w:rPr>
            </w:pPr>
            <w:r>
              <w:rPr>
                <w:color w:val="auto"/>
                <w:sz w:val="22"/>
                <w:szCs w:val="22"/>
              </w:rPr>
              <w:t>ОБЩЕЕ КОЛИЧЕСТВО УРОКОВ ПО ПРОГРАММЕ: 132</w:t>
            </w:r>
          </w:p>
        </w:tc>
      </w:tr>
    </w:tbl>
    <w:p w14:paraId="01ECEA76">
      <w:pPr>
        <w:pStyle w:val="85"/>
        <w:jc w:val="both"/>
        <w:rPr>
          <w:color w:val="auto"/>
          <w:sz w:val="22"/>
          <w:szCs w:val="22"/>
        </w:rPr>
      </w:pPr>
    </w:p>
    <w:p w14:paraId="3ADDA9BF">
      <w:pPr>
        <w:pStyle w:val="85"/>
        <w:jc w:val="right"/>
        <w:rPr>
          <w:color w:val="auto"/>
          <w:sz w:val="22"/>
          <w:szCs w:val="22"/>
        </w:rPr>
      </w:pPr>
      <w:r>
        <w:rPr>
          <w:color w:val="auto"/>
          <w:sz w:val="22"/>
          <w:szCs w:val="22"/>
        </w:rPr>
        <w:t>Таблица 4.1</w:t>
      </w:r>
    </w:p>
    <w:p w14:paraId="010DA00A">
      <w:pPr>
        <w:pStyle w:val="85"/>
        <w:jc w:val="both"/>
        <w:rPr>
          <w:color w:val="auto"/>
          <w:sz w:val="22"/>
          <w:szCs w:val="22"/>
        </w:rPr>
      </w:pPr>
    </w:p>
    <w:p w14:paraId="6535CF62">
      <w:pPr>
        <w:pStyle w:val="85"/>
        <w:jc w:val="both"/>
        <w:rPr>
          <w:color w:val="auto"/>
          <w:sz w:val="22"/>
          <w:szCs w:val="22"/>
        </w:rPr>
      </w:pPr>
      <w:r>
        <w:rPr>
          <w:color w:val="auto"/>
          <w:sz w:val="22"/>
          <w:szCs w:val="22"/>
        </w:rPr>
        <w:t>2 класс</w:t>
      </w:r>
    </w:p>
    <w:p w14:paraId="563CD840">
      <w:pPr>
        <w:pStyle w:val="85"/>
        <w:jc w:val="both"/>
        <w:rPr>
          <w:color w:val="auto"/>
          <w:sz w:val="22"/>
          <w:szCs w:val="22"/>
        </w:rPr>
      </w:pPr>
    </w:p>
    <w:tbl>
      <w:tblPr>
        <w:tblStyle w:val="1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02" w:type="dxa"/>
          <w:left w:w="62" w:type="dxa"/>
          <w:bottom w:w="102" w:type="dxa"/>
          <w:right w:w="62" w:type="dxa"/>
        </w:tblCellMar>
      </w:tblPr>
      <w:tblGrid>
        <w:gridCol w:w="1134"/>
        <w:gridCol w:w="7937"/>
      </w:tblGrid>
      <w:tr w14:paraId="4D99D0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134" w:type="dxa"/>
          </w:tcPr>
          <w:p w14:paraId="278C0029">
            <w:pPr>
              <w:pStyle w:val="85"/>
              <w:jc w:val="center"/>
              <w:rPr>
                <w:color w:val="auto"/>
                <w:sz w:val="22"/>
                <w:szCs w:val="22"/>
              </w:rPr>
            </w:pPr>
            <w:r>
              <w:rPr>
                <w:color w:val="auto"/>
                <w:sz w:val="22"/>
                <w:szCs w:val="22"/>
              </w:rPr>
              <w:t>N урока</w:t>
            </w:r>
          </w:p>
        </w:tc>
        <w:tc>
          <w:tcPr>
            <w:tcW w:w="7937" w:type="dxa"/>
          </w:tcPr>
          <w:p w14:paraId="0536FDD2">
            <w:pPr>
              <w:pStyle w:val="85"/>
              <w:jc w:val="center"/>
              <w:rPr>
                <w:color w:val="auto"/>
                <w:sz w:val="22"/>
                <w:szCs w:val="22"/>
              </w:rPr>
            </w:pPr>
            <w:r>
              <w:rPr>
                <w:color w:val="auto"/>
                <w:sz w:val="22"/>
                <w:szCs w:val="22"/>
              </w:rPr>
              <w:t>Тема урока</w:t>
            </w:r>
          </w:p>
        </w:tc>
      </w:tr>
      <w:tr w14:paraId="19EB1D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134" w:type="dxa"/>
            <w:vAlign w:val="center"/>
          </w:tcPr>
          <w:p w14:paraId="079016D8">
            <w:pPr>
              <w:pStyle w:val="85"/>
              <w:jc w:val="center"/>
              <w:rPr>
                <w:color w:val="auto"/>
                <w:sz w:val="22"/>
                <w:szCs w:val="22"/>
              </w:rPr>
            </w:pPr>
            <w:r>
              <w:rPr>
                <w:color w:val="auto"/>
                <w:sz w:val="22"/>
                <w:szCs w:val="22"/>
              </w:rPr>
              <w:t>Урок 1</w:t>
            </w:r>
          </w:p>
        </w:tc>
        <w:tc>
          <w:tcPr>
            <w:tcW w:w="7937" w:type="dxa"/>
          </w:tcPr>
          <w:p w14:paraId="5031A6AC">
            <w:pPr>
              <w:pStyle w:val="85"/>
              <w:jc w:val="both"/>
              <w:rPr>
                <w:color w:val="auto"/>
                <w:sz w:val="22"/>
                <w:szCs w:val="22"/>
              </w:rPr>
            </w:pPr>
            <w:r>
              <w:rPr>
                <w:color w:val="auto"/>
                <w:sz w:val="22"/>
                <w:szCs w:val="22"/>
              </w:rPr>
              <w:t>Резервный урок. Работа с детскими книгами: виды книг (учебная, художественная, справочная) (Час из резервных)</w:t>
            </w:r>
          </w:p>
        </w:tc>
      </w:tr>
      <w:tr w14:paraId="285D9C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18A7BFD4">
            <w:pPr>
              <w:pStyle w:val="85"/>
              <w:jc w:val="center"/>
              <w:rPr>
                <w:color w:val="auto"/>
                <w:sz w:val="22"/>
                <w:szCs w:val="22"/>
              </w:rPr>
            </w:pPr>
            <w:r>
              <w:rPr>
                <w:color w:val="auto"/>
                <w:sz w:val="22"/>
                <w:szCs w:val="22"/>
              </w:rPr>
              <w:t>Урок 2</w:t>
            </w:r>
          </w:p>
        </w:tc>
        <w:tc>
          <w:tcPr>
            <w:tcW w:w="7937" w:type="dxa"/>
          </w:tcPr>
          <w:p w14:paraId="63F4B7EC">
            <w:pPr>
              <w:pStyle w:val="85"/>
              <w:jc w:val="both"/>
              <w:rPr>
                <w:color w:val="auto"/>
                <w:sz w:val="22"/>
                <w:szCs w:val="22"/>
              </w:rPr>
            </w:pPr>
            <w:r>
              <w:rPr>
                <w:color w:val="auto"/>
                <w:sz w:val="22"/>
                <w:szCs w:val="22"/>
              </w:rPr>
              <w:t>Произведения малых жанров фольклора</w:t>
            </w:r>
          </w:p>
        </w:tc>
      </w:tr>
      <w:tr w14:paraId="605109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52E9E497">
            <w:pPr>
              <w:pStyle w:val="85"/>
              <w:jc w:val="center"/>
              <w:rPr>
                <w:color w:val="auto"/>
                <w:sz w:val="22"/>
                <w:szCs w:val="22"/>
              </w:rPr>
            </w:pPr>
            <w:r>
              <w:rPr>
                <w:color w:val="auto"/>
                <w:sz w:val="22"/>
                <w:szCs w:val="22"/>
              </w:rPr>
              <w:t>Урок 3</w:t>
            </w:r>
          </w:p>
        </w:tc>
        <w:tc>
          <w:tcPr>
            <w:tcW w:w="7937" w:type="dxa"/>
          </w:tcPr>
          <w:p w14:paraId="620DC837">
            <w:pPr>
              <w:pStyle w:val="85"/>
              <w:jc w:val="both"/>
              <w:rPr>
                <w:color w:val="auto"/>
                <w:sz w:val="22"/>
                <w:szCs w:val="22"/>
              </w:rPr>
            </w:pPr>
            <w:r>
              <w:rPr>
                <w:color w:val="auto"/>
                <w:sz w:val="22"/>
                <w:szCs w:val="22"/>
              </w:rPr>
              <w:t>Пословицы как жанр фольклора</w:t>
            </w:r>
          </w:p>
        </w:tc>
      </w:tr>
      <w:tr w14:paraId="29D288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7D6B2C45">
            <w:pPr>
              <w:pStyle w:val="85"/>
              <w:jc w:val="center"/>
              <w:rPr>
                <w:color w:val="auto"/>
                <w:sz w:val="22"/>
                <w:szCs w:val="22"/>
              </w:rPr>
            </w:pPr>
            <w:r>
              <w:rPr>
                <w:color w:val="auto"/>
                <w:sz w:val="22"/>
                <w:szCs w:val="22"/>
              </w:rPr>
              <w:t>Урок 4</w:t>
            </w:r>
          </w:p>
        </w:tc>
        <w:tc>
          <w:tcPr>
            <w:tcW w:w="7937" w:type="dxa"/>
          </w:tcPr>
          <w:p w14:paraId="66DB7752">
            <w:pPr>
              <w:pStyle w:val="85"/>
              <w:jc w:val="both"/>
              <w:rPr>
                <w:color w:val="auto"/>
                <w:sz w:val="22"/>
                <w:szCs w:val="22"/>
              </w:rPr>
            </w:pPr>
            <w:r>
              <w:rPr>
                <w:color w:val="auto"/>
                <w:sz w:val="22"/>
                <w:szCs w:val="22"/>
              </w:rPr>
              <w:t>Характеристика особенностей народных песен</w:t>
            </w:r>
          </w:p>
        </w:tc>
      </w:tr>
      <w:tr w14:paraId="25D68B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5A17F041">
            <w:pPr>
              <w:pStyle w:val="85"/>
              <w:jc w:val="center"/>
              <w:rPr>
                <w:color w:val="auto"/>
                <w:sz w:val="22"/>
                <w:szCs w:val="22"/>
              </w:rPr>
            </w:pPr>
            <w:r>
              <w:rPr>
                <w:color w:val="auto"/>
                <w:sz w:val="22"/>
                <w:szCs w:val="22"/>
              </w:rPr>
              <w:t>Урок 5</w:t>
            </w:r>
          </w:p>
        </w:tc>
        <w:tc>
          <w:tcPr>
            <w:tcW w:w="7937" w:type="dxa"/>
          </w:tcPr>
          <w:p w14:paraId="16231412">
            <w:pPr>
              <w:pStyle w:val="85"/>
              <w:jc w:val="both"/>
              <w:rPr>
                <w:color w:val="auto"/>
                <w:sz w:val="22"/>
                <w:szCs w:val="22"/>
              </w:rPr>
            </w:pPr>
            <w:r>
              <w:rPr>
                <w:color w:val="auto"/>
                <w:sz w:val="22"/>
                <w:szCs w:val="22"/>
              </w:rPr>
              <w:t>Шуточные фольклорные произведения: игра со словом. Небылица как "перевертыш событий". Потешки и прибаутки</w:t>
            </w:r>
          </w:p>
        </w:tc>
      </w:tr>
      <w:tr w14:paraId="02E980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4729B27A">
            <w:pPr>
              <w:pStyle w:val="85"/>
              <w:jc w:val="center"/>
              <w:rPr>
                <w:color w:val="auto"/>
                <w:sz w:val="22"/>
                <w:szCs w:val="22"/>
              </w:rPr>
            </w:pPr>
            <w:r>
              <w:rPr>
                <w:color w:val="auto"/>
                <w:sz w:val="22"/>
                <w:szCs w:val="22"/>
              </w:rPr>
              <w:t>Урок 6</w:t>
            </w:r>
          </w:p>
        </w:tc>
        <w:tc>
          <w:tcPr>
            <w:tcW w:w="7937" w:type="dxa"/>
          </w:tcPr>
          <w:p w14:paraId="17676EF5">
            <w:pPr>
              <w:pStyle w:val="85"/>
              <w:jc w:val="both"/>
              <w:rPr>
                <w:color w:val="auto"/>
                <w:sz w:val="22"/>
                <w:szCs w:val="22"/>
              </w:rPr>
            </w:pPr>
            <w:r>
              <w:rPr>
                <w:color w:val="auto"/>
                <w:sz w:val="22"/>
                <w:szCs w:val="22"/>
              </w:rPr>
              <w:t>Ритм и счет - основа построения считалок</w:t>
            </w:r>
          </w:p>
        </w:tc>
      </w:tr>
      <w:tr w14:paraId="746C2E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1C3C7F41">
            <w:pPr>
              <w:pStyle w:val="85"/>
              <w:jc w:val="center"/>
              <w:rPr>
                <w:color w:val="auto"/>
                <w:sz w:val="22"/>
                <w:szCs w:val="22"/>
              </w:rPr>
            </w:pPr>
            <w:r>
              <w:rPr>
                <w:color w:val="auto"/>
                <w:sz w:val="22"/>
                <w:szCs w:val="22"/>
              </w:rPr>
              <w:t>Урок 7</w:t>
            </w:r>
          </w:p>
        </w:tc>
        <w:tc>
          <w:tcPr>
            <w:tcW w:w="7937" w:type="dxa"/>
          </w:tcPr>
          <w:p w14:paraId="229D8583">
            <w:pPr>
              <w:pStyle w:val="85"/>
              <w:jc w:val="both"/>
              <w:rPr>
                <w:color w:val="auto"/>
                <w:sz w:val="22"/>
                <w:szCs w:val="22"/>
              </w:rPr>
            </w:pPr>
            <w:r>
              <w:rPr>
                <w:color w:val="auto"/>
                <w:sz w:val="22"/>
                <w:szCs w:val="22"/>
              </w:rPr>
              <w:t>Анализ особенностей скороговорок, их роль в речи</w:t>
            </w:r>
          </w:p>
        </w:tc>
      </w:tr>
      <w:tr w14:paraId="14757C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134" w:type="dxa"/>
            <w:vAlign w:val="center"/>
          </w:tcPr>
          <w:p w14:paraId="7FB6E253">
            <w:pPr>
              <w:pStyle w:val="85"/>
              <w:jc w:val="center"/>
              <w:rPr>
                <w:color w:val="auto"/>
                <w:sz w:val="22"/>
                <w:szCs w:val="22"/>
              </w:rPr>
            </w:pPr>
            <w:r>
              <w:rPr>
                <w:color w:val="auto"/>
                <w:sz w:val="22"/>
                <w:szCs w:val="22"/>
              </w:rPr>
              <w:t>Урок 8</w:t>
            </w:r>
          </w:p>
        </w:tc>
        <w:tc>
          <w:tcPr>
            <w:tcW w:w="7937" w:type="dxa"/>
          </w:tcPr>
          <w:p w14:paraId="5774C53B">
            <w:pPr>
              <w:pStyle w:val="85"/>
              <w:jc w:val="both"/>
              <w:rPr>
                <w:color w:val="auto"/>
                <w:sz w:val="22"/>
                <w:szCs w:val="22"/>
              </w:rPr>
            </w:pPr>
            <w:r>
              <w:rPr>
                <w:color w:val="auto"/>
                <w:sz w:val="22"/>
                <w:szCs w:val="22"/>
              </w:rPr>
              <w:t>Загадка как жанр фольклора, тематические группы загадок</w:t>
            </w:r>
          </w:p>
        </w:tc>
      </w:tr>
      <w:tr w14:paraId="413C2D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577A8F7D">
            <w:pPr>
              <w:pStyle w:val="85"/>
              <w:jc w:val="center"/>
              <w:rPr>
                <w:color w:val="auto"/>
                <w:sz w:val="22"/>
                <w:szCs w:val="22"/>
              </w:rPr>
            </w:pPr>
            <w:r>
              <w:rPr>
                <w:color w:val="auto"/>
                <w:sz w:val="22"/>
                <w:szCs w:val="22"/>
              </w:rPr>
              <w:t>Урок 9</w:t>
            </w:r>
          </w:p>
        </w:tc>
        <w:tc>
          <w:tcPr>
            <w:tcW w:w="7937" w:type="dxa"/>
          </w:tcPr>
          <w:p w14:paraId="629ECAD9">
            <w:pPr>
              <w:pStyle w:val="85"/>
              <w:jc w:val="both"/>
              <w:rPr>
                <w:color w:val="auto"/>
                <w:sz w:val="22"/>
                <w:szCs w:val="22"/>
              </w:rPr>
            </w:pPr>
            <w:r>
              <w:rPr>
                <w:color w:val="auto"/>
                <w:sz w:val="22"/>
                <w:szCs w:val="22"/>
              </w:rPr>
              <w:t>Произведения устного народного творчества</w:t>
            </w:r>
          </w:p>
        </w:tc>
      </w:tr>
      <w:tr w14:paraId="010BC5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28BA96AF">
            <w:pPr>
              <w:pStyle w:val="85"/>
              <w:rPr>
                <w:color w:val="auto"/>
                <w:sz w:val="22"/>
                <w:szCs w:val="22"/>
              </w:rPr>
            </w:pPr>
            <w:r>
              <w:rPr>
                <w:color w:val="auto"/>
                <w:sz w:val="22"/>
                <w:szCs w:val="22"/>
              </w:rPr>
              <w:t>Урок 10</w:t>
            </w:r>
          </w:p>
        </w:tc>
        <w:tc>
          <w:tcPr>
            <w:tcW w:w="7937" w:type="dxa"/>
          </w:tcPr>
          <w:p w14:paraId="6F17517E">
            <w:pPr>
              <w:pStyle w:val="85"/>
              <w:jc w:val="both"/>
              <w:rPr>
                <w:color w:val="auto"/>
                <w:sz w:val="22"/>
                <w:szCs w:val="22"/>
              </w:rPr>
            </w:pPr>
            <w:r>
              <w:rPr>
                <w:color w:val="auto"/>
                <w:sz w:val="22"/>
                <w:szCs w:val="22"/>
              </w:rPr>
              <w:t>Особенности сказок разного вида (о животных, бытовые, волшебные). На примере русской народной сказки "У страха глаза велики"</w:t>
            </w:r>
          </w:p>
        </w:tc>
      </w:tr>
      <w:tr w14:paraId="1B155B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4655967B">
            <w:pPr>
              <w:pStyle w:val="85"/>
              <w:rPr>
                <w:color w:val="auto"/>
                <w:sz w:val="22"/>
                <w:szCs w:val="22"/>
              </w:rPr>
            </w:pPr>
            <w:r>
              <w:rPr>
                <w:color w:val="auto"/>
                <w:sz w:val="22"/>
                <w:szCs w:val="22"/>
              </w:rPr>
              <w:t>Урок 11</w:t>
            </w:r>
          </w:p>
        </w:tc>
        <w:tc>
          <w:tcPr>
            <w:tcW w:w="7937" w:type="dxa"/>
          </w:tcPr>
          <w:p w14:paraId="052340BA">
            <w:pPr>
              <w:pStyle w:val="85"/>
              <w:jc w:val="both"/>
              <w:rPr>
                <w:color w:val="auto"/>
                <w:sz w:val="22"/>
                <w:szCs w:val="22"/>
              </w:rPr>
            </w:pPr>
            <w:r>
              <w:rPr>
                <w:color w:val="auto"/>
                <w:sz w:val="22"/>
                <w:szCs w:val="22"/>
              </w:rPr>
              <w:t>Особенности сказок о животных. На примере русской народной сказки "Петушок и бобовое зернышко"</w:t>
            </w:r>
          </w:p>
        </w:tc>
      </w:tr>
      <w:tr w14:paraId="7A17E2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134" w:type="dxa"/>
            <w:vAlign w:val="center"/>
          </w:tcPr>
          <w:p w14:paraId="774303BB">
            <w:pPr>
              <w:pStyle w:val="85"/>
              <w:rPr>
                <w:color w:val="auto"/>
                <w:sz w:val="22"/>
                <w:szCs w:val="22"/>
              </w:rPr>
            </w:pPr>
            <w:r>
              <w:rPr>
                <w:color w:val="auto"/>
                <w:sz w:val="22"/>
                <w:szCs w:val="22"/>
              </w:rPr>
              <w:t>Урок 12</w:t>
            </w:r>
          </w:p>
        </w:tc>
        <w:tc>
          <w:tcPr>
            <w:tcW w:w="7937" w:type="dxa"/>
          </w:tcPr>
          <w:p w14:paraId="2F5208D2">
            <w:pPr>
              <w:pStyle w:val="85"/>
              <w:jc w:val="both"/>
              <w:rPr>
                <w:color w:val="auto"/>
                <w:sz w:val="22"/>
                <w:szCs w:val="22"/>
              </w:rPr>
            </w:pPr>
            <w:r>
              <w:rPr>
                <w:color w:val="auto"/>
                <w:sz w:val="22"/>
                <w:szCs w:val="22"/>
              </w:rPr>
              <w:t>Бытовые сказки: особенности построения и язык. Диалоги героев в русской народной сказке "Каша из топора"</w:t>
            </w:r>
          </w:p>
        </w:tc>
      </w:tr>
      <w:tr w14:paraId="02B06D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29DA3065">
            <w:pPr>
              <w:pStyle w:val="85"/>
              <w:rPr>
                <w:color w:val="auto"/>
                <w:sz w:val="22"/>
                <w:szCs w:val="22"/>
              </w:rPr>
            </w:pPr>
            <w:r>
              <w:rPr>
                <w:color w:val="auto"/>
                <w:sz w:val="22"/>
                <w:szCs w:val="22"/>
              </w:rPr>
              <w:t>Урок 13</w:t>
            </w:r>
          </w:p>
        </w:tc>
        <w:tc>
          <w:tcPr>
            <w:tcW w:w="7937" w:type="dxa"/>
          </w:tcPr>
          <w:p w14:paraId="7F254357">
            <w:pPr>
              <w:pStyle w:val="85"/>
              <w:jc w:val="both"/>
              <w:rPr>
                <w:color w:val="auto"/>
                <w:sz w:val="22"/>
                <w:szCs w:val="22"/>
              </w:rPr>
            </w:pPr>
            <w:r>
              <w:rPr>
                <w:color w:val="auto"/>
                <w:sz w:val="22"/>
                <w:szCs w:val="22"/>
              </w:rPr>
              <w:t>Сказка - выражение народной мудрости, нравственная идея фольклорных сказок на примере сказки "Лиса и журавль"</w:t>
            </w:r>
          </w:p>
        </w:tc>
      </w:tr>
      <w:tr w14:paraId="2921D3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29C316B2">
            <w:pPr>
              <w:pStyle w:val="85"/>
              <w:rPr>
                <w:color w:val="auto"/>
                <w:sz w:val="22"/>
                <w:szCs w:val="22"/>
              </w:rPr>
            </w:pPr>
            <w:r>
              <w:rPr>
                <w:color w:val="auto"/>
                <w:sz w:val="22"/>
                <w:szCs w:val="22"/>
              </w:rPr>
              <w:t>Урок 14</w:t>
            </w:r>
          </w:p>
        </w:tc>
        <w:tc>
          <w:tcPr>
            <w:tcW w:w="7937" w:type="dxa"/>
          </w:tcPr>
          <w:p w14:paraId="5C4AE87C">
            <w:pPr>
              <w:pStyle w:val="85"/>
              <w:jc w:val="both"/>
              <w:rPr>
                <w:color w:val="auto"/>
                <w:sz w:val="22"/>
                <w:szCs w:val="22"/>
              </w:rPr>
            </w:pPr>
            <w:r>
              <w:rPr>
                <w:color w:val="auto"/>
                <w:sz w:val="22"/>
                <w:szCs w:val="22"/>
              </w:rPr>
              <w:t>Общее представление о волшебной сказке: присказки, повторы. Русская народная сказка "Снегурочка"</w:t>
            </w:r>
          </w:p>
        </w:tc>
      </w:tr>
      <w:tr w14:paraId="47B436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3402B60E">
            <w:pPr>
              <w:pStyle w:val="85"/>
              <w:rPr>
                <w:color w:val="auto"/>
                <w:sz w:val="22"/>
                <w:szCs w:val="22"/>
              </w:rPr>
            </w:pPr>
            <w:r>
              <w:rPr>
                <w:color w:val="auto"/>
                <w:sz w:val="22"/>
                <w:szCs w:val="22"/>
              </w:rPr>
              <w:t>Урок 15</w:t>
            </w:r>
          </w:p>
        </w:tc>
        <w:tc>
          <w:tcPr>
            <w:tcW w:w="7937" w:type="dxa"/>
          </w:tcPr>
          <w:p w14:paraId="4E72D3BA">
            <w:pPr>
              <w:pStyle w:val="85"/>
              <w:jc w:val="both"/>
              <w:rPr>
                <w:color w:val="auto"/>
                <w:sz w:val="22"/>
                <w:szCs w:val="22"/>
              </w:rPr>
            </w:pPr>
            <w:r>
              <w:rPr>
                <w:color w:val="auto"/>
                <w:sz w:val="22"/>
                <w:szCs w:val="22"/>
              </w:rPr>
              <w:t>Характеристика героя волшебной сказки, постоянные эпитеты. На примере русской народной сказки "Гуси-лебеди"</w:t>
            </w:r>
          </w:p>
        </w:tc>
      </w:tr>
      <w:tr w14:paraId="15B98E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2A6BD948">
            <w:pPr>
              <w:pStyle w:val="85"/>
              <w:rPr>
                <w:color w:val="auto"/>
                <w:sz w:val="22"/>
                <w:szCs w:val="22"/>
              </w:rPr>
            </w:pPr>
            <w:r>
              <w:rPr>
                <w:color w:val="auto"/>
                <w:sz w:val="22"/>
                <w:szCs w:val="22"/>
              </w:rPr>
              <w:t>Урок 16</w:t>
            </w:r>
          </w:p>
        </w:tc>
        <w:tc>
          <w:tcPr>
            <w:tcW w:w="7937" w:type="dxa"/>
          </w:tcPr>
          <w:p w14:paraId="2691FD6B">
            <w:pPr>
              <w:pStyle w:val="85"/>
              <w:jc w:val="both"/>
              <w:rPr>
                <w:color w:val="auto"/>
                <w:sz w:val="22"/>
                <w:szCs w:val="22"/>
              </w:rPr>
            </w:pPr>
            <w:r>
              <w:rPr>
                <w:color w:val="auto"/>
                <w:sz w:val="22"/>
                <w:szCs w:val="22"/>
              </w:rPr>
              <w:t>Фольклорные произведения народов России: отражение в сказках народного быта и культуры</w:t>
            </w:r>
          </w:p>
        </w:tc>
      </w:tr>
      <w:tr w14:paraId="5BDEF9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tcPr>
          <w:p w14:paraId="0F7EB919">
            <w:pPr>
              <w:pStyle w:val="85"/>
              <w:rPr>
                <w:color w:val="auto"/>
                <w:sz w:val="22"/>
                <w:szCs w:val="22"/>
              </w:rPr>
            </w:pPr>
            <w:r>
              <w:rPr>
                <w:color w:val="auto"/>
                <w:sz w:val="22"/>
                <w:szCs w:val="22"/>
              </w:rPr>
              <w:t>Урок 17</w:t>
            </w:r>
          </w:p>
        </w:tc>
        <w:tc>
          <w:tcPr>
            <w:tcW w:w="7937" w:type="dxa"/>
          </w:tcPr>
          <w:p w14:paraId="4B697F20">
            <w:pPr>
              <w:pStyle w:val="85"/>
              <w:jc w:val="both"/>
              <w:rPr>
                <w:color w:val="auto"/>
                <w:sz w:val="22"/>
                <w:szCs w:val="22"/>
              </w:rPr>
            </w:pPr>
            <w:r>
              <w:rPr>
                <w:color w:val="auto"/>
                <w:sz w:val="22"/>
                <w:szCs w:val="22"/>
              </w:rPr>
              <w:t>Тематическая контрольная работа по итогам раздела "Фольклор"</w:t>
            </w:r>
          </w:p>
        </w:tc>
      </w:tr>
      <w:tr w14:paraId="262ADB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4E0DB15C">
            <w:pPr>
              <w:pStyle w:val="85"/>
              <w:rPr>
                <w:color w:val="auto"/>
                <w:sz w:val="22"/>
                <w:szCs w:val="22"/>
              </w:rPr>
            </w:pPr>
            <w:r>
              <w:rPr>
                <w:color w:val="auto"/>
                <w:sz w:val="22"/>
                <w:szCs w:val="22"/>
              </w:rPr>
              <w:t>Урок 18</w:t>
            </w:r>
          </w:p>
        </w:tc>
        <w:tc>
          <w:tcPr>
            <w:tcW w:w="7937" w:type="dxa"/>
          </w:tcPr>
          <w:p w14:paraId="1D220292">
            <w:pPr>
              <w:pStyle w:val="85"/>
              <w:jc w:val="both"/>
              <w:rPr>
                <w:color w:val="auto"/>
                <w:sz w:val="22"/>
                <w:szCs w:val="22"/>
              </w:rPr>
            </w:pPr>
            <w:r>
              <w:rPr>
                <w:color w:val="auto"/>
                <w:sz w:val="22"/>
                <w:szCs w:val="22"/>
              </w:rPr>
              <w:t>Работа с детскими книгами: "Произведения писателей о родной природе" Эстетическое восприятие явлений осенней природы</w:t>
            </w:r>
          </w:p>
        </w:tc>
      </w:tr>
      <w:tr w14:paraId="3D9324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516384FF">
            <w:pPr>
              <w:pStyle w:val="85"/>
              <w:rPr>
                <w:color w:val="auto"/>
                <w:sz w:val="22"/>
                <w:szCs w:val="22"/>
              </w:rPr>
            </w:pPr>
            <w:r>
              <w:rPr>
                <w:color w:val="auto"/>
                <w:sz w:val="22"/>
                <w:szCs w:val="22"/>
              </w:rPr>
              <w:t>Урок 19</w:t>
            </w:r>
          </w:p>
        </w:tc>
        <w:tc>
          <w:tcPr>
            <w:tcW w:w="7937" w:type="dxa"/>
          </w:tcPr>
          <w:p w14:paraId="2828C777">
            <w:pPr>
              <w:pStyle w:val="85"/>
              <w:jc w:val="both"/>
              <w:rPr>
                <w:color w:val="auto"/>
                <w:sz w:val="22"/>
                <w:szCs w:val="22"/>
              </w:rPr>
            </w:pPr>
            <w:r>
              <w:rPr>
                <w:color w:val="auto"/>
                <w:sz w:val="22"/>
                <w:szCs w:val="22"/>
              </w:rPr>
              <w:t>Создание осеннего пейзажа: краски и звуки. Произведения художников и композиторов по выбору</w:t>
            </w:r>
          </w:p>
        </w:tc>
      </w:tr>
      <w:tr w14:paraId="098B5F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tcPr>
          <w:p w14:paraId="300FD5D5">
            <w:pPr>
              <w:pStyle w:val="85"/>
              <w:rPr>
                <w:color w:val="auto"/>
                <w:sz w:val="22"/>
                <w:szCs w:val="22"/>
              </w:rPr>
            </w:pPr>
            <w:r>
              <w:rPr>
                <w:color w:val="auto"/>
                <w:sz w:val="22"/>
                <w:szCs w:val="22"/>
              </w:rPr>
              <w:t>Урок 20</w:t>
            </w:r>
          </w:p>
        </w:tc>
        <w:tc>
          <w:tcPr>
            <w:tcW w:w="7937" w:type="dxa"/>
          </w:tcPr>
          <w:p w14:paraId="60BCEA2E">
            <w:pPr>
              <w:pStyle w:val="85"/>
              <w:jc w:val="both"/>
              <w:rPr>
                <w:color w:val="auto"/>
                <w:sz w:val="22"/>
                <w:szCs w:val="22"/>
              </w:rPr>
            </w:pPr>
            <w:r>
              <w:rPr>
                <w:color w:val="auto"/>
                <w:sz w:val="22"/>
                <w:szCs w:val="22"/>
              </w:rPr>
              <w:t>Восприятие пейзажной лирики. Слушание стихотворений об осени</w:t>
            </w:r>
          </w:p>
        </w:tc>
      </w:tr>
      <w:tr w14:paraId="1397F3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3BDB52C4">
            <w:pPr>
              <w:pStyle w:val="85"/>
              <w:rPr>
                <w:color w:val="auto"/>
                <w:sz w:val="22"/>
                <w:szCs w:val="22"/>
              </w:rPr>
            </w:pPr>
            <w:r>
              <w:rPr>
                <w:color w:val="auto"/>
                <w:sz w:val="22"/>
                <w:szCs w:val="22"/>
              </w:rPr>
              <w:t>Урок 21</w:t>
            </w:r>
          </w:p>
        </w:tc>
        <w:tc>
          <w:tcPr>
            <w:tcW w:w="7937" w:type="dxa"/>
          </w:tcPr>
          <w:p w14:paraId="3E95702C">
            <w:pPr>
              <w:pStyle w:val="85"/>
              <w:jc w:val="both"/>
              <w:rPr>
                <w:color w:val="auto"/>
                <w:sz w:val="22"/>
                <w:szCs w:val="22"/>
              </w:rPr>
            </w:pPr>
            <w:r>
              <w:rPr>
                <w:color w:val="auto"/>
                <w:sz w:val="22"/>
                <w:szCs w:val="22"/>
              </w:rPr>
              <w:t>Сравнение стихотворений об осени. На примере произведений Ф.И. Тютчева "Есть в осени первоначальной...", К.Д. Бальмонта "Осень"</w:t>
            </w:r>
          </w:p>
        </w:tc>
      </w:tr>
      <w:tr w14:paraId="22DDC3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47DED44E">
            <w:pPr>
              <w:pStyle w:val="85"/>
              <w:rPr>
                <w:color w:val="auto"/>
                <w:sz w:val="22"/>
                <w:szCs w:val="22"/>
              </w:rPr>
            </w:pPr>
            <w:r>
              <w:rPr>
                <w:color w:val="auto"/>
                <w:sz w:val="22"/>
                <w:szCs w:val="22"/>
              </w:rPr>
              <w:t>Урок 22</w:t>
            </w:r>
          </w:p>
        </w:tc>
        <w:tc>
          <w:tcPr>
            <w:tcW w:w="7937" w:type="dxa"/>
          </w:tcPr>
          <w:p w14:paraId="31D5B168">
            <w:pPr>
              <w:pStyle w:val="85"/>
              <w:jc w:val="both"/>
              <w:rPr>
                <w:color w:val="auto"/>
                <w:sz w:val="22"/>
                <w:szCs w:val="22"/>
              </w:rPr>
            </w:pPr>
            <w:r>
              <w:rPr>
                <w:color w:val="auto"/>
                <w:sz w:val="22"/>
                <w:szCs w:val="22"/>
              </w:rPr>
              <w:t>Наблюдение за художественными особенностями текста: настроение, средства выразительности на примере текстов А.Н. Плещеева "Осень наступила...", А.А. Фета "Ласточки пропали..."</w:t>
            </w:r>
          </w:p>
        </w:tc>
      </w:tr>
      <w:tr w14:paraId="1E7652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1A82BCBC">
            <w:pPr>
              <w:pStyle w:val="85"/>
              <w:rPr>
                <w:color w:val="auto"/>
                <w:sz w:val="22"/>
                <w:szCs w:val="22"/>
              </w:rPr>
            </w:pPr>
            <w:r>
              <w:rPr>
                <w:color w:val="auto"/>
                <w:sz w:val="22"/>
                <w:szCs w:val="22"/>
              </w:rPr>
              <w:t>Урок 23</w:t>
            </w:r>
          </w:p>
        </w:tc>
        <w:tc>
          <w:tcPr>
            <w:tcW w:w="7937" w:type="dxa"/>
          </w:tcPr>
          <w:p w14:paraId="6DFD50EC">
            <w:pPr>
              <w:pStyle w:val="85"/>
              <w:jc w:val="both"/>
              <w:rPr>
                <w:color w:val="auto"/>
                <w:sz w:val="22"/>
                <w:szCs w:val="22"/>
              </w:rPr>
            </w:pPr>
            <w:r>
              <w:rPr>
                <w:color w:val="auto"/>
                <w:sz w:val="22"/>
                <w:szCs w:val="22"/>
              </w:rPr>
              <w:t>Восприятие осени в произведении М.М. Пришвина "Осеннее утро" и других на выбор</w:t>
            </w:r>
          </w:p>
        </w:tc>
      </w:tr>
      <w:tr w14:paraId="3449E3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4BA889DE">
            <w:pPr>
              <w:pStyle w:val="85"/>
              <w:rPr>
                <w:color w:val="auto"/>
                <w:sz w:val="22"/>
                <w:szCs w:val="22"/>
              </w:rPr>
            </w:pPr>
            <w:r>
              <w:rPr>
                <w:color w:val="auto"/>
                <w:sz w:val="22"/>
                <w:szCs w:val="22"/>
              </w:rPr>
              <w:t>Урок 24</w:t>
            </w:r>
          </w:p>
        </w:tc>
        <w:tc>
          <w:tcPr>
            <w:tcW w:w="7937" w:type="dxa"/>
          </w:tcPr>
          <w:p w14:paraId="03AFF2A9">
            <w:pPr>
              <w:pStyle w:val="85"/>
              <w:jc w:val="both"/>
              <w:rPr>
                <w:color w:val="auto"/>
                <w:sz w:val="22"/>
                <w:szCs w:val="22"/>
              </w:rPr>
            </w:pPr>
            <w:r>
              <w:rPr>
                <w:color w:val="auto"/>
                <w:sz w:val="22"/>
                <w:szCs w:val="22"/>
              </w:rPr>
              <w:t>Осень в произведениях А.С. Пушкина "Уж небо осенью дышало...", Г.А. Скребицкого "Четыре художника"</w:t>
            </w:r>
          </w:p>
        </w:tc>
      </w:tr>
      <w:tr w14:paraId="6CDDE2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52109E79">
            <w:pPr>
              <w:pStyle w:val="85"/>
              <w:rPr>
                <w:color w:val="auto"/>
                <w:sz w:val="22"/>
                <w:szCs w:val="22"/>
              </w:rPr>
            </w:pPr>
            <w:r>
              <w:rPr>
                <w:color w:val="auto"/>
                <w:sz w:val="22"/>
                <w:szCs w:val="22"/>
              </w:rPr>
              <w:t>Урок 25</w:t>
            </w:r>
          </w:p>
        </w:tc>
        <w:tc>
          <w:tcPr>
            <w:tcW w:w="7937" w:type="dxa"/>
          </w:tcPr>
          <w:p w14:paraId="6562E51F">
            <w:pPr>
              <w:pStyle w:val="85"/>
              <w:jc w:val="both"/>
              <w:rPr>
                <w:color w:val="auto"/>
                <w:sz w:val="22"/>
                <w:szCs w:val="22"/>
              </w:rPr>
            </w:pPr>
            <w:r>
              <w:rPr>
                <w:color w:val="auto"/>
                <w:sz w:val="22"/>
                <w:szCs w:val="22"/>
              </w:rPr>
              <w:t>Сравнение стихотворений об осенних листьях разных поэтов. А.К. Толстой "Осень. Обсыпается весь наш бедный сад..." и произведения других поэтов</w:t>
            </w:r>
          </w:p>
        </w:tc>
      </w:tr>
      <w:tr w14:paraId="4EF876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38C42A42">
            <w:pPr>
              <w:pStyle w:val="85"/>
              <w:rPr>
                <w:color w:val="auto"/>
                <w:sz w:val="22"/>
                <w:szCs w:val="22"/>
              </w:rPr>
            </w:pPr>
            <w:r>
              <w:rPr>
                <w:color w:val="auto"/>
                <w:sz w:val="22"/>
                <w:szCs w:val="22"/>
              </w:rPr>
              <w:t>Урок 26</w:t>
            </w:r>
          </w:p>
        </w:tc>
        <w:tc>
          <w:tcPr>
            <w:tcW w:w="7937" w:type="dxa"/>
          </w:tcPr>
          <w:p w14:paraId="33983619">
            <w:pPr>
              <w:pStyle w:val="85"/>
              <w:jc w:val="both"/>
              <w:rPr>
                <w:color w:val="auto"/>
                <w:sz w:val="22"/>
                <w:szCs w:val="22"/>
              </w:rPr>
            </w:pPr>
            <w:r>
              <w:rPr>
                <w:color w:val="auto"/>
                <w:sz w:val="22"/>
                <w:szCs w:val="22"/>
              </w:rPr>
              <w:t>Тематическое повторение по итогам раздела "Звуки и краски осенней природы"</w:t>
            </w:r>
          </w:p>
        </w:tc>
      </w:tr>
      <w:tr w14:paraId="73B526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4E2C2A28">
            <w:pPr>
              <w:pStyle w:val="85"/>
              <w:rPr>
                <w:color w:val="auto"/>
                <w:sz w:val="22"/>
                <w:szCs w:val="22"/>
              </w:rPr>
            </w:pPr>
            <w:r>
              <w:rPr>
                <w:color w:val="auto"/>
                <w:sz w:val="22"/>
                <w:szCs w:val="22"/>
              </w:rPr>
              <w:t>Урок 27</w:t>
            </w:r>
          </w:p>
        </w:tc>
        <w:tc>
          <w:tcPr>
            <w:tcW w:w="7937" w:type="dxa"/>
          </w:tcPr>
          <w:p w14:paraId="488C171D">
            <w:pPr>
              <w:pStyle w:val="85"/>
              <w:jc w:val="both"/>
              <w:rPr>
                <w:color w:val="auto"/>
                <w:sz w:val="22"/>
                <w:szCs w:val="22"/>
              </w:rPr>
            </w:pPr>
            <w:r>
              <w:rPr>
                <w:color w:val="auto"/>
                <w:sz w:val="22"/>
                <w:szCs w:val="22"/>
              </w:rPr>
              <w:t>Составление устных рассказов "Природа осенью" по изученным текстам. Сравнение художественного и научно-познавательного текстов</w:t>
            </w:r>
          </w:p>
        </w:tc>
      </w:tr>
      <w:tr w14:paraId="0F0317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134" w:type="dxa"/>
            <w:vAlign w:val="center"/>
          </w:tcPr>
          <w:p w14:paraId="6DB657E1">
            <w:pPr>
              <w:pStyle w:val="85"/>
              <w:rPr>
                <w:color w:val="auto"/>
                <w:sz w:val="22"/>
                <w:szCs w:val="22"/>
              </w:rPr>
            </w:pPr>
            <w:r>
              <w:rPr>
                <w:color w:val="auto"/>
                <w:sz w:val="22"/>
                <w:szCs w:val="22"/>
              </w:rPr>
              <w:t>Урок 28</w:t>
            </w:r>
          </w:p>
        </w:tc>
        <w:tc>
          <w:tcPr>
            <w:tcW w:w="7937" w:type="dxa"/>
          </w:tcPr>
          <w:p w14:paraId="15CA1EB5">
            <w:pPr>
              <w:pStyle w:val="85"/>
              <w:jc w:val="both"/>
              <w:rPr>
                <w:color w:val="auto"/>
                <w:sz w:val="22"/>
                <w:szCs w:val="22"/>
              </w:rPr>
            </w:pPr>
            <w:r>
              <w:rPr>
                <w:color w:val="auto"/>
                <w:sz w:val="22"/>
                <w:szCs w:val="22"/>
              </w:rPr>
              <w:t>Работа с текстом произведения С.В. Михалкова "Быль для детей": осознание темы Великой Отечественной войны</w:t>
            </w:r>
          </w:p>
        </w:tc>
      </w:tr>
      <w:tr w14:paraId="482C9A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134" w:type="dxa"/>
            <w:vAlign w:val="center"/>
          </w:tcPr>
          <w:p w14:paraId="21E53823">
            <w:pPr>
              <w:pStyle w:val="85"/>
              <w:rPr>
                <w:color w:val="auto"/>
                <w:sz w:val="22"/>
                <w:szCs w:val="22"/>
              </w:rPr>
            </w:pPr>
            <w:r>
              <w:rPr>
                <w:color w:val="auto"/>
                <w:sz w:val="22"/>
                <w:szCs w:val="22"/>
              </w:rPr>
              <w:t>Урок 29</w:t>
            </w:r>
          </w:p>
        </w:tc>
        <w:tc>
          <w:tcPr>
            <w:tcW w:w="7937" w:type="dxa"/>
          </w:tcPr>
          <w:p w14:paraId="7E09F63B">
            <w:pPr>
              <w:pStyle w:val="85"/>
              <w:jc w:val="both"/>
              <w:rPr>
                <w:color w:val="auto"/>
                <w:sz w:val="22"/>
                <w:szCs w:val="22"/>
              </w:rPr>
            </w:pPr>
            <w:r>
              <w:rPr>
                <w:color w:val="auto"/>
                <w:sz w:val="22"/>
                <w:szCs w:val="22"/>
              </w:rPr>
              <w:t>Патриотическое звучание произведений о Родине. Ф.П. Савинова "Родина" и другие по выбору</w:t>
            </w:r>
          </w:p>
        </w:tc>
      </w:tr>
      <w:tr w14:paraId="583326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tcPr>
          <w:p w14:paraId="3F433048">
            <w:pPr>
              <w:pStyle w:val="85"/>
              <w:rPr>
                <w:color w:val="auto"/>
                <w:sz w:val="22"/>
                <w:szCs w:val="22"/>
              </w:rPr>
            </w:pPr>
            <w:r>
              <w:rPr>
                <w:color w:val="auto"/>
                <w:sz w:val="22"/>
                <w:szCs w:val="22"/>
              </w:rPr>
              <w:t>Урок 30</w:t>
            </w:r>
          </w:p>
        </w:tc>
        <w:tc>
          <w:tcPr>
            <w:tcW w:w="7937" w:type="dxa"/>
          </w:tcPr>
          <w:p w14:paraId="18951B30">
            <w:pPr>
              <w:pStyle w:val="85"/>
              <w:jc w:val="both"/>
              <w:rPr>
                <w:color w:val="auto"/>
                <w:sz w:val="22"/>
                <w:szCs w:val="22"/>
              </w:rPr>
            </w:pPr>
            <w:r>
              <w:rPr>
                <w:color w:val="auto"/>
                <w:sz w:val="22"/>
                <w:szCs w:val="22"/>
              </w:rPr>
              <w:t>Отражение темы Родина в произведении И.С. Никитина "Русь"</w:t>
            </w:r>
          </w:p>
        </w:tc>
      </w:tr>
      <w:tr w14:paraId="0A7DD6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1026CBE3">
            <w:pPr>
              <w:pStyle w:val="85"/>
              <w:rPr>
                <w:color w:val="auto"/>
                <w:sz w:val="22"/>
                <w:szCs w:val="22"/>
              </w:rPr>
            </w:pPr>
            <w:r>
              <w:rPr>
                <w:color w:val="auto"/>
                <w:sz w:val="22"/>
                <w:szCs w:val="22"/>
              </w:rPr>
              <w:t>Урок 31</w:t>
            </w:r>
          </w:p>
        </w:tc>
        <w:tc>
          <w:tcPr>
            <w:tcW w:w="7937" w:type="dxa"/>
          </w:tcPr>
          <w:p w14:paraId="534E087B">
            <w:pPr>
              <w:pStyle w:val="85"/>
              <w:jc w:val="both"/>
              <w:rPr>
                <w:color w:val="auto"/>
                <w:sz w:val="22"/>
                <w:szCs w:val="22"/>
              </w:rPr>
            </w:pPr>
            <w:r>
              <w:rPr>
                <w:color w:val="auto"/>
                <w:sz w:val="22"/>
                <w:szCs w:val="22"/>
              </w:rPr>
              <w:t>Отражение нравственных ценностей в произведениях о Родине: любовь к родному краю на примере произведения С.Т. Романовского "Русь". Почему хлеб всегда связан с трудом, жизнью и Родиной</w:t>
            </w:r>
          </w:p>
        </w:tc>
      </w:tr>
      <w:tr w14:paraId="100FC9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24112F18">
            <w:pPr>
              <w:pStyle w:val="85"/>
              <w:rPr>
                <w:color w:val="auto"/>
                <w:sz w:val="22"/>
                <w:szCs w:val="22"/>
              </w:rPr>
            </w:pPr>
            <w:r>
              <w:rPr>
                <w:color w:val="auto"/>
                <w:sz w:val="22"/>
                <w:szCs w:val="22"/>
              </w:rPr>
              <w:t>Урок 32</w:t>
            </w:r>
          </w:p>
        </w:tc>
        <w:tc>
          <w:tcPr>
            <w:tcW w:w="7937" w:type="dxa"/>
          </w:tcPr>
          <w:p w14:paraId="0720D178">
            <w:pPr>
              <w:pStyle w:val="85"/>
              <w:jc w:val="both"/>
              <w:rPr>
                <w:color w:val="auto"/>
                <w:sz w:val="22"/>
                <w:szCs w:val="22"/>
              </w:rPr>
            </w:pPr>
            <w:r>
              <w:rPr>
                <w:color w:val="auto"/>
                <w:sz w:val="22"/>
                <w:szCs w:val="22"/>
              </w:rPr>
              <w:t>Любовь к природе - тема произведений о Родине. На примере произведения К.Г. Паустовского "Мещерская сторона"</w:t>
            </w:r>
          </w:p>
        </w:tc>
      </w:tr>
      <w:tr w14:paraId="5CC48E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279B1721">
            <w:pPr>
              <w:pStyle w:val="85"/>
              <w:rPr>
                <w:color w:val="auto"/>
                <w:sz w:val="22"/>
                <w:szCs w:val="22"/>
              </w:rPr>
            </w:pPr>
            <w:r>
              <w:rPr>
                <w:color w:val="auto"/>
                <w:sz w:val="22"/>
                <w:szCs w:val="22"/>
              </w:rPr>
              <w:t>Урок 33</w:t>
            </w:r>
          </w:p>
        </w:tc>
        <w:tc>
          <w:tcPr>
            <w:tcW w:w="7937" w:type="dxa"/>
          </w:tcPr>
          <w:p w14:paraId="02E82741">
            <w:pPr>
              <w:pStyle w:val="85"/>
              <w:jc w:val="both"/>
              <w:rPr>
                <w:color w:val="auto"/>
                <w:sz w:val="22"/>
                <w:szCs w:val="22"/>
              </w:rPr>
            </w:pPr>
            <w:r>
              <w:rPr>
                <w:color w:val="auto"/>
                <w:sz w:val="22"/>
                <w:szCs w:val="22"/>
              </w:rPr>
              <w:t>Анализ заголовка стихотворения А.А. Прокофьева "Родина" и соотнесение его с главной мыслью произведения. Понимание главной мысли (идеи) и темы произведений о Родине</w:t>
            </w:r>
          </w:p>
        </w:tc>
      </w:tr>
      <w:tr w14:paraId="4E02CD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tcPr>
          <w:p w14:paraId="1198978A">
            <w:pPr>
              <w:pStyle w:val="85"/>
              <w:rPr>
                <w:color w:val="auto"/>
                <w:sz w:val="22"/>
                <w:szCs w:val="22"/>
              </w:rPr>
            </w:pPr>
            <w:r>
              <w:rPr>
                <w:color w:val="auto"/>
                <w:sz w:val="22"/>
                <w:szCs w:val="22"/>
              </w:rPr>
              <w:t>Урок 34</w:t>
            </w:r>
          </w:p>
        </w:tc>
        <w:tc>
          <w:tcPr>
            <w:tcW w:w="7937" w:type="dxa"/>
          </w:tcPr>
          <w:p w14:paraId="60B589D6">
            <w:pPr>
              <w:pStyle w:val="85"/>
              <w:jc w:val="both"/>
              <w:rPr>
                <w:color w:val="auto"/>
                <w:sz w:val="22"/>
                <w:szCs w:val="22"/>
              </w:rPr>
            </w:pPr>
            <w:r>
              <w:rPr>
                <w:color w:val="auto"/>
                <w:sz w:val="22"/>
                <w:szCs w:val="22"/>
              </w:rPr>
              <w:t>Отражение темы Родины в изобразительном искусстве</w:t>
            </w:r>
          </w:p>
        </w:tc>
      </w:tr>
      <w:tr w14:paraId="7B6629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515B528B">
            <w:pPr>
              <w:pStyle w:val="85"/>
              <w:rPr>
                <w:color w:val="auto"/>
                <w:sz w:val="22"/>
                <w:szCs w:val="22"/>
              </w:rPr>
            </w:pPr>
            <w:r>
              <w:rPr>
                <w:color w:val="auto"/>
                <w:sz w:val="22"/>
                <w:szCs w:val="22"/>
              </w:rPr>
              <w:t>Урок 35</w:t>
            </w:r>
          </w:p>
        </w:tc>
        <w:tc>
          <w:tcPr>
            <w:tcW w:w="7937" w:type="dxa"/>
          </w:tcPr>
          <w:p w14:paraId="1EDC501D">
            <w:pPr>
              <w:pStyle w:val="85"/>
              <w:jc w:val="both"/>
              <w:rPr>
                <w:color w:val="auto"/>
                <w:sz w:val="22"/>
                <w:szCs w:val="22"/>
              </w:rPr>
            </w:pPr>
            <w:r>
              <w:rPr>
                <w:color w:val="auto"/>
                <w:sz w:val="22"/>
                <w:szCs w:val="22"/>
              </w:rPr>
              <w:t>Создание пейзажа в произведениях писателей. В.А. Жуковский "Летний вечер"</w:t>
            </w:r>
          </w:p>
        </w:tc>
      </w:tr>
      <w:tr w14:paraId="2AA275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65519B1E">
            <w:pPr>
              <w:pStyle w:val="85"/>
              <w:rPr>
                <w:color w:val="auto"/>
                <w:sz w:val="22"/>
                <w:szCs w:val="22"/>
              </w:rPr>
            </w:pPr>
            <w:r>
              <w:rPr>
                <w:color w:val="auto"/>
                <w:sz w:val="22"/>
                <w:szCs w:val="22"/>
              </w:rPr>
              <w:t>Урок 36</w:t>
            </w:r>
          </w:p>
        </w:tc>
        <w:tc>
          <w:tcPr>
            <w:tcW w:w="7937" w:type="dxa"/>
          </w:tcPr>
          <w:p w14:paraId="3D5922C6">
            <w:pPr>
              <w:pStyle w:val="85"/>
              <w:jc w:val="both"/>
              <w:rPr>
                <w:color w:val="auto"/>
                <w:sz w:val="22"/>
                <w:szCs w:val="22"/>
              </w:rPr>
            </w:pPr>
            <w:r>
              <w:rPr>
                <w:color w:val="auto"/>
                <w:sz w:val="22"/>
                <w:szCs w:val="22"/>
              </w:rPr>
              <w:t>Тема прихода весны в произведениях В.А. Жуковского "Жаворонок" и "Приход весны"</w:t>
            </w:r>
          </w:p>
        </w:tc>
      </w:tr>
      <w:tr w14:paraId="2373D1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tcPr>
          <w:p w14:paraId="6895739C">
            <w:pPr>
              <w:pStyle w:val="85"/>
              <w:rPr>
                <w:color w:val="auto"/>
                <w:sz w:val="22"/>
                <w:szCs w:val="22"/>
              </w:rPr>
            </w:pPr>
            <w:r>
              <w:rPr>
                <w:color w:val="auto"/>
                <w:sz w:val="22"/>
                <w:szCs w:val="22"/>
              </w:rPr>
              <w:t>Урок 37</w:t>
            </w:r>
          </w:p>
        </w:tc>
        <w:tc>
          <w:tcPr>
            <w:tcW w:w="7937" w:type="dxa"/>
          </w:tcPr>
          <w:p w14:paraId="08DC830A">
            <w:pPr>
              <w:pStyle w:val="85"/>
              <w:jc w:val="both"/>
              <w:rPr>
                <w:color w:val="auto"/>
                <w:sz w:val="22"/>
                <w:szCs w:val="22"/>
              </w:rPr>
            </w:pPr>
            <w:r>
              <w:rPr>
                <w:color w:val="auto"/>
                <w:sz w:val="22"/>
                <w:szCs w:val="22"/>
              </w:rPr>
              <w:t>Волшебный мир сказок. А.С. Пушкин "У лукоморья дуб зеленый..."</w:t>
            </w:r>
          </w:p>
        </w:tc>
      </w:tr>
      <w:tr w14:paraId="377FB2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6AA723D2">
            <w:pPr>
              <w:pStyle w:val="85"/>
              <w:rPr>
                <w:color w:val="auto"/>
                <w:sz w:val="22"/>
                <w:szCs w:val="22"/>
              </w:rPr>
            </w:pPr>
            <w:r>
              <w:rPr>
                <w:color w:val="auto"/>
                <w:sz w:val="22"/>
                <w:szCs w:val="22"/>
              </w:rPr>
              <w:t>Урок 38</w:t>
            </w:r>
          </w:p>
        </w:tc>
        <w:tc>
          <w:tcPr>
            <w:tcW w:w="7937" w:type="dxa"/>
          </w:tcPr>
          <w:p w14:paraId="54D40147">
            <w:pPr>
              <w:pStyle w:val="85"/>
              <w:jc w:val="both"/>
              <w:rPr>
                <w:color w:val="auto"/>
                <w:sz w:val="22"/>
                <w:szCs w:val="22"/>
              </w:rPr>
            </w:pPr>
            <w:r>
              <w:rPr>
                <w:color w:val="auto"/>
                <w:sz w:val="22"/>
                <w:szCs w:val="22"/>
              </w:rPr>
              <w:t>Поучительный смысл сказки А.С. Пушкина "Сказка о рыбаке и рыбке". Характеристика героев</w:t>
            </w:r>
          </w:p>
        </w:tc>
      </w:tr>
      <w:tr w14:paraId="5F1A9C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14642798">
            <w:pPr>
              <w:pStyle w:val="85"/>
              <w:rPr>
                <w:color w:val="auto"/>
                <w:sz w:val="22"/>
                <w:szCs w:val="22"/>
              </w:rPr>
            </w:pPr>
            <w:r>
              <w:rPr>
                <w:color w:val="auto"/>
                <w:sz w:val="22"/>
                <w:szCs w:val="22"/>
              </w:rPr>
              <w:t>Урок 39</w:t>
            </w:r>
          </w:p>
        </w:tc>
        <w:tc>
          <w:tcPr>
            <w:tcW w:w="7937" w:type="dxa"/>
          </w:tcPr>
          <w:p w14:paraId="1D9B4619">
            <w:pPr>
              <w:pStyle w:val="85"/>
              <w:jc w:val="both"/>
              <w:rPr>
                <w:color w:val="auto"/>
                <w:sz w:val="22"/>
                <w:szCs w:val="22"/>
              </w:rPr>
            </w:pPr>
            <w:r>
              <w:rPr>
                <w:color w:val="auto"/>
                <w:sz w:val="22"/>
                <w:szCs w:val="22"/>
              </w:rPr>
              <w:t>Сравнение сказки А.С. Пушкина "Сказка о рыбаке и рыбке" с фольклорными (народными) сказками</w:t>
            </w:r>
          </w:p>
        </w:tc>
      </w:tr>
      <w:tr w14:paraId="4B3BDE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190C211C">
            <w:pPr>
              <w:pStyle w:val="85"/>
              <w:rPr>
                <w:color w:val="auto"/>
                <w:sz w:val="22"/>
                <w:szCs w:val="22"/>
              </w:rPr>
            </w:pPr>
            <w:r>
              <w:rPr>
                <w:color w:val="auto"/>
                <w:sz w:val="22"/>
                <w:szCs w:val="22"/>
              </w:rPr>
              <w:t>Урок 40</w:t>
            </w:r>
          </w:p>
        </w:tc>
        <w:tc>
          <w:tcPr>
            <w:tcW w:w="7937" w:type="dxa"/>
          </w:tcPr>
          <w:p w14:paraId="4BC423F4">
            <w:pPr>
              <w:pStyle w:val="85"/>
              <w:jc w:val="both"/>
              <w:rPr>
                <w:color w:val="auto"/>
                <w:sz w:val="22"/>
                <w:szCs w:val="22"/>
              </w:rPr>
            </w:pPr>
            <w:r>
              <w:rPr>
                <w:color w:val="auto"/>
                <w:sz w:val="22"/>
                <w:szCs w:val="22"/>
              </w:rPr>
              <w:t>Работа с фольклорной (народной) и литературной (авторской) сказкой: составление плана произведения, выделение особенностей языка. Художественные особенности авторской сказки. "Сказка о рыбаке и рыбке" А.С. Пушкина</w:t>
            </w:r>
          </w:p>
        </w:tc>
      </w:tr>
      <w:tr w14:paraId="112182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100AEA60">
            <w:pPr>
              <w:pStyle w:val="85"/>
              <w:rPr>
                <w:color w:val="auto"/>
                <w:sz w:val="22"/>
                <w:szCs w:val="22"/>
              </w:rPr>
            </w:pPr>
            <w:r>
              <w:rPr>
                <w:color w:val="auto"/>
                <w:sz w:val="22"/>
                <w:szCs w:val="22"/>
              </w:rPr>
              <w:t>Урок 41</w:t>
            </w:r>
          </w:p>
        </w:tc>
        <w:tc>
          <w:tcPr>
            <w:tcW w:w="7937" w:type="dxa"/>
          </w:tcPr>
          <w:p w14:paraId="183661DD">
            <w:pPr>
              <w:pStyle w:val="85"/>
              <w:jc w:val="both"/>
              <w:rPr>
                <w:color w:val="auto"/>
                <w:sz w:val="22"/>
                <w:szCs w:val="22"/>
              </w:rPr>
            </w:pPr>
            <w:r>
              <w:rPr>
                <w:color w:val="auto"/>
                <w:sz w:val="22"/>
                <w:szCs w:val="22"/>
              </w:rPr>
              <w:t>Иллюстрации, их назначение в раскрытии содержания произведения. Иллюстрации к сказкам А.С. Пушкина, созданные разными художниками</w:t>
            </w:r>
          </w:p>
        </w:tc>
      </w:tr>
      <w:tr w14:paraId="51EFE0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7C823FCD">
            <w:pPr>
              <w:pStyle w:val="85"/>
              <w:rPr>
                <w:color w:val="auto"/>
                <w:sz w:val="22"/>
                <w:szCs w:val="22"/>
              </w:rPr>
            </w:pPr>
            <w:r>
              <w:rPr>
                <w:color w:val="auto"/>
                <w:sz w:val="22"/>
                <w:szCs w:val="22"/>
              </w:rPr>
              <w:t>Урок 42</w:t>
            </w:r>
          </w:p>
        </w:tc>
        <w:tc>
          <w:tcPr>
            <w:tcW w:w="7937" w:type="dxa"/>
          </w:tcPr>
          <w:p w14:paraId="4B494FA7">
            <w:pPr>
              <w:pStyle w:val="85"/>
              <w:jc w:val="both"/>
              <w:rPr>
                <w:color w:val="auto"/>
                <w:sz w:val="22"/>
                <w:szCs w:val="22"/>
              </w:rPr>
            </w:pPr>
            <w:r>
              <w:rPr>
                <w:color w:val="auto"/>
                <w:sz w:val="22"/>
                <w:szCs w:val="22"/>
              </w:rPr>
              <w:t>Сравнение прозаической и стихотворной басен И.А. Крылова "Лебедь, Щука и Рак" и Л.Н. Толстого "Лев и мышь"</w:t>
            </w:r>
          </w:p>
        </w:tc>
      </w:tr>
      <w:tr w14:paraId="350F24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134" w:type="dxa"/>
            <w:vAlign w:val="center"/>
          </w:tcPr>
          <w:p w14:paraId="3948A257">
            <w:pPr>
              <w:pStyle w:val="85"/>
              <w:rPr>
                <w:color w:val="auto"/>
                <w:sz w:val="22"/>
                <w:szCs w:val="22"/>
              </w:rPr>
            </w:pPr>
            <w:r>
              <w:rPr>
                <w:color w:val="auto"/>
                <w:sz w:val="22"/>
                <w:szCs w:val="22"/>
              </w:rPr>
              <w:t>Урок 43</w:t>
            </w:r>
          </w:p>
        </w:tc>
        <w:tc>
          <w:tcPr>
            <w:tcW w:w="7937" w:type="dxa"/>
          </w:tcPr>
          <w:p w14:paraId="2DAEBA85">
            <w:pPr>
              <w:pStyle w:val="85"/>
              <w:jc w:val="both"/>
              <w:rPr>
                <w:color w:val="auto"/>
                <w:sz w:val="22"/>
                <w:szCs w:val="22"/>
              </w:rPr>
            </w:pPr>
            <w:r>
              <w:rPr>
                <w:color w:val="auto"/>
                <w:sz w:val="22"/>
                <w:szCs w:val="22"/>
              </w:rPr>
              <w:t>Особенности басни как жанра литературы. Мораль басни как нравственный урок (поучение)</w:t>
            </w:r>
          </w:p>
        </w:tc>
      </w:tr>
      <w:tr w14:paraId="119FF8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6A098273">
            <w:pPr>
              <w:pStyle w:val="85"/>
              <w:rPr>
                <w:color w:val="auto"/>
                <w:sz w:val="22"/>
                <w:szCs w:val="22"/>
              </w:rPr>
            </w:pPr>
            <w:r>
              <w:rPr>
                <w:color w:val="auto"/>
                <w:sz w:val="22"/>
                <w:szCs w:val="22"/>
              </w:rPr>
              <w:t>Урок 44</w:t>
            </w:r>
          </w:p>
        </w:tc>
        <w:tc>
          <w:tcPr>
            <w:tcW w:w="7937" w:type="dxa"/>
          </w:tcPr>
          <w:p w14:paraId="5815DA02">
            <w:pPr>
              <w:pStyle w:val="85"/>
              <w:jc w:val="both"/>
              <w:rPr>
                <w:color w:val="auto"/>
                <w:sz w:val="22"/>
                <w:szCs w:val="22"/>
              </w:rPr>
            </w:pPr>
            <w:r>
              <w:rPr>
                <w:color w:val="auto"/>
                <w:sz w:val="22"/>
                <w:szCs w:val="22"/>
              </w:rPr>
              <w:t>Представление темы "Отношение человека к животным" в произведениях писателей (Например, Л.Н. Толстой "Котенок")</w:t>
            </w:r>
          </w:p>
        </w:tc>
      </w:tr>
      <w:tr w14:paraId="535055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134" w:type="dxa"/>
            <w:vAlign w:val="center"/>
          </w:tcPr>
          <w:p w14:paraId="28470D5D">
            <w:pPr>
              <w:pStyle w:val="85"/>
              <w:rPr>
                <w:color w:val="auto"/>
                <w:sz w:val="22"/>
                <w:szCs w:val="22"/>
              </w:rPr>
            </w:pPr>
            <w:r>
              <w:rPr>
                <w:color w:val="auto"/>
                <w:sz w:val="22"/>
                <w:szCs w:val="22"/>
              </w:rPr>
              <w:t>Урок 45</w:t>
            </w:r>
          </w:p>
        </w:tc>
        <w:tc>
          <w:tcPr>
            <w:tcW w:w="7937" w:type="dxa"/>
          </w:tcPr>
          <w:p w14:paraId="4738D769">
            <w:pPr>
              <w:pStyle w:val="85"/>
              <w:jc w:val="both"/>
              <w:rPr>
                <w:color w:val="auto"/>
                <w:sz w:val="22"/>
                <w:szCs w:val="22"/>
              </w:rPr>
            </w:pPr>
            <w:r>
              <w:rPr>
                <w:color w:val="auto"/>
                <w:sz w:val="22"/>
                <w:szCs w:val="22"/>
              </w:rPr>
              <w:t>Тема семьи в творчестве писателей. На примере произведений Л.Н. Толстого "Правда всего дороже", "Отец и сыновья"</w:t>
            </w:r>
          </w:p>
        </w:tc>
      </w:tr>
      <w:tr w14:paraId="5B8622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134" w:type="dxa"/>
            <w:vAlign w:val="center"/>
          </w:tcPr>
          <w:p w14:paraId="1489742B">
            <w:pPr>
              <w:pStyle w:val="85"/>
              <w:rPr>
                <w:color w:val="auto"/>
                <w:sz w:val="22"/>
                <w:szCs w:val="22"/>
              </w:rPr>
            </w:pPr>
            <w:r>
              <w:rPr>
                <w:color w:val="auto"/>
                <w:sz w:val="22"/>
                <w:szCs w:val="22"/>
              </w:rPr>
              <w:t>Урок 46</w:t>
            </w:r>
          </w:p>
        </w:tc>
        <w:tc>
          <w:tcPr>
            <w:tcW w:w="7937" w:type="dxa"/>
          </w:tcPr>
          <w:p w14:paraId="18674557">
            <w:pPr>
              <w:pStyle w:val="85"/>
              <w:jc w:val="both"/>
              <w:rPr>
                <w:color w:val="auto"/>
                <w:sz w:val="22"/>
                <w:szCs w:val="22"/>
              </w:rPr>
            </w:pPr>
            <w:r>
              <w:rPr>
                <w:color w:val="auto"/>
                <w:sz w:val="22"/>
                <w:szCs w:val="22"/>
              </w:rPr>
              <w:t>Характеристика главного героя рассказа. Главная мысль произведения (идея). Л.Н. Толстой "Филиппок"</w:t>
            </w:r>
          </w:p>
        </w:tc>
      </w:tr>
      <w:tr w14:paraId="31A609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184569FF">
            <w:pPr>
              <w:pStyle w:val="85"/>
              <w:rPr>
                <w:color w:val="auto"/>
                <w:sz w:val="22"/>
                <w:szCs w:val="22"/>
              </w:rPr>
            </w:pPr>
            <w:r>
              <w:rPr>
                <w:color w:val="auto"/>
                <w:sz w:val="22"/>
                <w:szCs w:val="22"/>
              </w:rPr>
              <w:t>Урок 47</w:t>
            </w:r>
          </w:p>
        </w:tc>
        <w:tc>
          <w:tcPr>
            <w:tcW w:w="7937" w:type="dxa"/>
          </w:tcPr>
          <w:p w14:paraId="45A1204F">
            <w:pPr>
              <w:pStyle w:val="85"/>
              <w:jc w:val="both"/>
              <w:rPr>
                <w:color w:val="auto"/>
                <w:sz w:val="22"/>
                <w:szCs w:val="22"/>
              </w:rPr>
            </w:pPr>
            <w:r>
              <w:rPr>
                <w:color w:val="auto"/>
                <w:sz w:val="22"/>
                <w:szCs w:val="22"/>
              </w:rPr>
              <w:t>Работа с детскими книгами на тему: "О братьях наших меньших": составление аннотации</w:t>
            </w:r>
          </w:p>
        </w:tc>
      </w:tr>
      <w:tr w14:paraId="242CB1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2CB6E9A2">
            <w:pPr>
              <w:pStyle w:val="85"/>
              <w:rPr>
                <w:color w:val="auto"/>
                <w:sz w:val="22"/>
                <w:szCs w:val="22"/>
              </w:rPr>
            </w:pPr>
            <w:r>
              <w:rPr>
                <w:color w:val="auto"/>
                <w:sz w:val="22"/>
                <w:szCs w:val="22"/>
              </w:rPr>
              <w:t>Урок 48</w:t>
            </w:r>
          </w:p>
        </w:tc>
        <w:tc>
          <w:tcPr>
            <w:tcW w:w="7937" w:type="dxa"/>
          </w:tcPr>
          <w:p w14:paraId="6DED10EF">
            <w:pPr>
              <w:pStyle w:val="85"/>
              <w:jc w:val="both"/>
              <w:rPr>
                <w:color w:val="auto"/>
                <w:sz w:val="22"/>
                <w:szCs w:val="22"/>
              </w:rPr>
            </w:pPr>
            <w:r>
              <w:rPr>
                <w:color w:val="auto"/>
                <w:sz w:val="22"/>
                <w:szCs w:val="22"/>
              </w:rPr>
              <w:t>Образы героев стихотворных и прозаических произведений о животных. Какими бывают собаки? И.М. Пивоварова "Жила-была собака...". Сравнение героев стихотворения, небылицы и сказки</w:t>
            </w:r>
          </w:p>
        </w:tc>
      </w:tr>
      <w:tr w14:paraId="434AD4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6CC8055B">
            <w:pPr>
              <w:pStyle w:val="85"/>
              <w:rPr>
                <w:color w:val="auto"/>
                <w:sz w:val="22"/>
                <w:szCs w:val="22"/>
              </w:rPr>
            </w:pPr>
            <w:r>
              <w:rPr>
                <w:color w:val="auto"/>
                <w:sz w:val="22"/>
                <w:szCs w:val="22"/>
              </w:rPr>
              <w:t>Урок 49</w:t>
            </w:r>
          </w:p>
        </w:tc>
        <w:tc>
          <w:tcPr>
            <w:tcW w:w="7937" w:type="dxa"/>
          </w:tcPr>
          <w:p w14:paraId="116A995D">
            <w:pPr>
              <w:pStyle w:val="85"/>
              <w:jc w:val="both"/>
              <w:rPr>
                <w:color w:val="auto"/>
                <w:sz w:val="22"/>
                <w:szCs w:val="22"/>
              </w:rPr>
            </w:pPr>
            <w:r>
              <w:rPr>
                <w:color w:val="auto"/>
                <w:sz w:val="22"/>
                <w:szCs w:val="22"/>
              </w:rPr>
              <w:t>Отражение темы "Дружба животных" в стихотворении В.Д. Берестова "Кошкин щенок" и других на выбор</w:t>
            </w:r>
          </w:p>
        </w:tc>
      </w:tr>
      <w:tr w14:paraId="152F46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134" w:type="dxa"/>
            <w:vAlign w:val="center"/>
          </w:tcPr>
          <w:p w14:paraId="00BF9C27">
            <w:pPr>
              <w:pStyle w:val="85"/>
              <w:rPr>
                <w:color w:val="auto"/>
                <w:sz w:val="22"/>
                <w:szCs w:val="22"/>
              </w:rPr>
            </w:pPr>
            <w:r>
              <w:rPr>
                <w:color w:val="auto"/>
                <w:sz w:val="22"/>
                <w:szCs w:val="22"/>
              </w:rPr>
              <w:t>Урок 50</w:t>
            </w:r>
          </w:p>
        </w:tc>
        <w:tc>
          <w:tcPr>
            <w:tcW w:w="7937" w:type="dxa"/>
          </w:tcPr>
          <w:p w14:paraId="571D6B03">
            <w:pPr>
              <w:pStyle w:val="85"/>
              <w:jc w:val="both"/>
              <w:rPr>
                <w:color w:val="auto"/>
                <w:sz w:val="22"/>
                <w:szCs w:val="22"/>
              </w:rPr>
            </w:pPr>
            <w:r>
              <w:rPr>
                <w:color w:val="auto"/>
                <w:sz w:val="22"/>
                <w:szCs w:val="22"/>
              </w:rPr>
              <w:t>Отражение нравственно-этических понятий (защита и забота о животных) на примере рассказа М.М. Пришвина "Ребята и утята"</w:t>
            </w:r>
          </w:p>
        </w:tc>
      </w:tr>
      <w:tr w14:paraId="567553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134" w:type="dxa"/>
            <w:vAlign w:val="center"/>
          </w:tcPr>
          <w:p w14:paraId="3C560562">
            <w:pPr>
              <w:pStyle w:val="85"/>
              <w:rPr>
                <w:color w:val="auto"/>
                <w:sz w:val="22"/>
                <w:szCs w:val="22"/>
              </w:rPr>
            </w:pPr>
            <w:r>
              <w:rPr>
                <w:color w:val="auto"/>
                <w:sz w:val="22"/>
                <w:szCs w:val="22"/>
              </w:rPr>
              <w:t>Урок 51</w:t>
            </w:r>
          </w:p>
        </w:tc>
        <w:tc>
          <w:tcPr>
            <w:tcW w:w="7937" w:type="dxa"/>
          </w:tcPr>
          <w:p w14:paraId="79477414">
            <w:pPr>
              <w:pStyle w:val="85"/>
              <w:jc w:val="both"/>
              <w:rPr>
                <w:color w:val="auto"/>
                <w:sz w:val="22"/>
                <w:szCs w:val="22"/>
              </w:rPr>
            </w:pPr>
            <w:r>
              <w:rPr>
                <w:color w:val="auto"/>
                <w:sz w:val="22"/>
                <w:szCs w:val="22"/>
              </w:rPr>
              <w:t>Соотнесение заголовка и главной мысли рассказа Е.И. Чарушина "Страшный рассказ"</w:t>
            </w:r>
          </w:p>
        </w:tc>
      </w:tr>
      <w:tr w14:paraId="102433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6B5EDA30">
            <w:pPr>
              <w:pStyle w:val="85"/>
              <w:rPr>
                <w:color w:val="auto"/>
                <w:sz w:val="22"/>
                <w:szCs w:val="22"/>
              </w:rPr>
            </w:pPr>
            <w:r>
              <w:rPr>
                <w:color w:val="auto"/>
                <w:sz w:val="22"/>
                <w:szCs w:val="22"/>
              </w:rPr>
              <w:t>Урок 52</w:t>
            </w:r>
          </w:p>
        </w:tc>
        <w:tc>
          <w:tcPr>
            <w:tcW w:w="7937" w:type="dxa"/>
          </w:tcPr>
          <w:p w14:paraId="57D4E234">
            <w:pPr>
              <w:pStyle w:val="85"/>
              <w:jc w:val="both"/>
              <w:rPr>
                <w:color w:val="auto"/>
                <w:sz w:val="22"/>
                <w:szCs w:val="22"/>
              </w:rPr>
            </w:pPr>
            <w:r>
              <w:rPr>
                <w:color w:val="auto"/>
                <w:sz w:val="22"/>
                <w:szCs w:val="22"/>
              </w:rPr>
              <w:t>Оценка поступков и поведения героя произведения Б.С. Житкова "Храбрый утенок"</w:t>
            </w:r>
          </w:p>
        </w:tc>
      </w:tr>
      <w:tr w14:paraId="0EDDAA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223E30AC">
            <w:pPr>
              <w:pStyle w:val="85"/>
              <w:rPr>
                <w:color w:val="auto"/>
                <w:sz w:val="22"/>
                <w:szCs w:val="22"/>
              </w:rPr>
            </w:pPr>
            <w:r>
              <w:rPr>
                <w:color w:val="auto"/>
                <w:sz w:val="22"/>
                <w:szCs w:val="22"/>
              </w:rPr>
              <w:t>Урок 53</w:t>
            </w:r>
          </w:p>
        </w:tc>
        <w:tc>
          <w:tcPr>
            <w:tcW w:w="7937" w:type="dxa"/>
          </w:tcPr>
          <w:p w14:paraId="5F1D6DAC">
            <w:pPr>
              <w:pStyle w:val="85"/>
              <w:jc w:val="both"/>
              <w:rPr>
                <w:color w:val="auto"/>
                <w:sz w:val="22"/>
                <w:szCs w:val="22"/>
              </w:rPr>
            </w:pPr>
            <w:r>
              <w:rPr>
                <w:color w:val="auto"/>
                <w:sz w:val="22"/>
                <w:szCs w:val="22"/>
              </w:rPr>
              <w:t>Знакомство с художниками-иллюстраторами, анималистами Е.И. Чарушиным, В.В. Бианки</w:t>
            </w:r>
          </w:p>
        </w:tc>
      </w:tr>
      <w:tr w14:paraId="504439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337D8F7C">
            <w:pPr>
              <w:pStyle w:val="85"/>
              <w:rPr>
                <w:color w:val="auto"/>
                <w:sz w:val="22"/>
                <w:szCs w:val="22"/>
              </w:rPr>
            </w:pPr>
            <w:r>
              <w:rPr>
                <w:color w:val="auto"/>
                <w:sz w:val="22"/>
                <w:szCs w:val="22"/>
              </w:rPr>
              <w:t>Урок 54</w:t>
            </w:r>
          </w:p>
        </w:tc>
        <w:tc>
          <w:tcPr>
            <w:tcW w:w="7937" w:type="dxa"/>
          </w:tcPr>
          <w:p w14:paraId="687F8233">
            <w:pPr>
              <w:pStyle w:val="85"/>
              <w:jc w:val="both"/>
              <w:rPr>
                <w:color w:val="auto"/>
                <w:sz w:val="22"/>
                <w:szCs w:val="22"/>
              </w:rPr>
            </w:pPr>
            <w:r>
              <w:rPr>
                <w:color w:val="auto"/>
                <w:sz w:val="22"/>
                <w:szCs w:val="22"/>
              </w:rPr>
              <w:t>Отражение образов животных в устном народном творчестве (фольклоре). На примере русской народной песни "Коровушка"</w:t>
            </w:r>
          </w:p>
        </w:tc>
      </w:tr>
      <w:tr w14:paraId="15402A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134" w:type="dxa"/>
            <w:vAlign w:val="center"/>
          </w:tcPr>
          <w:p w14:paraId="70755070">
            <w:pPr>
              <w:pStyle w:val="85"/>
              <w:rPr>
                <w:color w:val="auto"/>
                <w:sz w:val="22"/>
                <w:szCs w:val="22"/>
              </w:rPr>
            </w:pPr>
            <w:r>
              <w:rPr>
                <w:color w:val="auto"/>
                <w:sz w:val="22"/>
                <w:szCs w:val="22"/>
              </w:rPr>
              <w:t>Урок 55</w:t>
            </w:r>
          </w:p>
        </w:tc>
        <w:tc>
          <w:tcPr>
            <w:tcW w:w="7937" w:type="dxa"/>
          </w:tcPr>
          <w:p w14:paraId="777504DD">
            <w:pPr>
              <w:pStyle w:val="85"/>
              <w:jc w:val="both"/>
              <w:rPr>
                <w:color w:val="auto"/>
                <w:sz w:val="22"/>
                <w:szCs w:val="22"/>
              </w:rPr>
            </w:pPr>
            <w:r>
              <w:rPr>
                <w:color w:val="auto"/>
                <w:sz w:val="22"/>
                <w:szCs w:val="22"/>
              </w:rPr>
              <w:t>Характеристика героев-животных в фольклорных (народных) сказках. Чукотская народная сказка "Хвост" и другие на выбор</w:t>
            </w:r>
          </w:p>
        </w:tc>
      </w:tr>
      <w:tr w14:paraId="055681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1544B169">
            <w:pPr>
              <w:pStyle w:val="85"/>
              <w:rPr>
                <w:color w:val="auto"/>
                <w:sz w:val="22"/>
                <w:szCs w:val="22"/>
              </w:rPr>
            </w:pPr>
            <w:r>
              <w:rPr>
                <w:color w:val="auto"/>
                <w:sz w:val="22"/>
                <w:szCs w:val="22"/>
              </w:rPr>
              <w:t>Урок 56</w:t>
            </w:r>
          </w:p>
        </w:tc>
        <w:tc>
          <w:tcPr>
            <w:tcW w:w="7937" w:type="dxa"/>
          </w:tcPr>
          <w:p w14:paraId="3FA59488">
            <w:pPr>
              <w:pStyle w:val="85"/>
              <w:jc w:val="both"/>
              <w:rPr>
                <w:color w:val="auto"/>
                <w:sz w:val="22"/>
                <w:szCs w:val="22"/>
              </w:rPr>
            </w:pPr>
            <w:r>
              <w:rPr>
                <w:color w:val="auto"/>
                <w:sz w:val="22"/>
                <w:szCs w:val="22"/>
              </w:rPr>
              <w:t>Особенности сказок о животных. На примере русской народной сказки "Зимовье зверей" и других на выбор</w:t>
            </w:r>
          </w:p>
        </w:tc>
      </w:tr>
      <w:tr w14:paraId="620C9C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tcPr>
          <w:p w14:paraId="1D2F16C9">
            <w:pPr>
              <w:pStyle w:val="85"/>
              <w:rPr>
                <w:color w:val="auto"/>
                <w:sz w:val="22"/>
                <w:szCs w:val="22"/>
              </w:rPr>
            </w:pPr>
            <w:r>
              <w:rPr>
                <w:color w:val="auto"/>
                <w:sz w:val="22"/>
                <w:szCs w:val="22"/>
              </w:rPr>
              <w:t>Урок 57</w:t>
            </w:r>
          </w:p>
        </w:tc>
        <w:tc>
          <w:tcPr>
            <w:tcW w:w="7937" w:type="dxa"/>
          </w:tcPr>
          <w:p w14:paraId="6873DA1F">
            <w:pPr>
              <w:pStyle w:val="85"/>
              <w:jc w:val="both"/>
              <w:rPr>
                <w:color w:val="auto"/>
                <w:sz w:val="22"/>
                <w:szCs w:val="22"/>
              </w:rPr>
            </w:pPr>
            <w:r>
              <w:rPr>
                <w:color w:val="auto"/>
                <w:sz w:val="22"/>
                <w:szCs w:val="22"/>
              </w:rPr>
              <w:t>Фольклорные произведения народов России. Произведения по выбору</w:t>
            </w:r>
          </w:p>
        </w:tc>
      </w:tr>
      <w:tr w14:paraId="045D64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608D00E2">
            <w:pPr>
              <w:pStyle w:val="85"/>
              <w:rPr>
                <w:color w:val="auto"/>
                <w:sz w:val="22"/>
                <w:szCs w:val="22"/>
              </w:rPr>
            </w:pPr>
            <w:r>
              <w:rPr>
                <w:color w:val="auto"/>
                <w:sz w:val="22"/>
                <w:szCs w:val="22"/>
              </w:rPr>
              <w:t>Урок 58</w:t>
            </w:r>
          </w:p>
        </w:tc>
        <w:tc>
          <w:tcPr>
            <w:tcW w:w="7937" w:type="dxa"/>
          </w:tcPr>
          <w:p w14:paraId="1D846F42">
            <w:pPr>
              <w:pStyle w:val="85"/>
              <w:jc w:val="both"/>
              <w:rPr>
                <w:color w:val="auto"/>
                <w:sz w:val="22"/>
                <w:szCs w:val="22"/>
              </w:rPr>
            </w:pPr>
            <w:r>
              <w:rPr>
                <w:color w:val="auto"/>
                <w:sz w:val="22"/>
                <w:szCs w:val="22"/>
              </w:rPr>
              <w:t>Сравнение описания героев-животных в фольклорных (народных) и литературных произведениях. На примере произведений К.Д. Ушинского и других на выбор. В.В. Бианки "Музыкант".</w:t>
            </w:r>
          </w:p>
        </w:tc>
      </w:tr>
      <w:tr w14:paraId="1206C8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628ED2B5">
            <w:pPr>
              <w:pStyle w:val="85"/>
              <w:rPr>
                <w:color w:val="auto"/>
                <w:sz w:val="22"/>
                <w:szCs w:val="22"/>
              </w:rPr>
            </w:pPr>
            <w:r>
              <w:rPr>
                <w:color w:val="auto"/>
                <w:sz w:val="22"/>
                <w:szCs w:val="22"/>
              </w:rPr>
              <w:t>Урок 59</w:t>
            </w:r>
          </w:p>
        </w:tc>
        <w:tc>
          <w:tcPr>
            <w:tcW w:w="7937" w:type="dxa"/>
          </w:tcPr>
          <w:p w14:paraId="6DB7C341">
            <w:pPr>
              <w:pStyle w:val="85"/>
              <w:jc w:val="both"/>
              <w:rPr>
                <w:color w:val="auto"/>
                <w:sz w:val="22"/>
                <w:szCs w:val="22"/>
              </w:rPr>
            </w:pPr>
            <w:r>
              <w:rPr>
                <w:color w:val="auto"/>
                <w:sz w:val="22"/>
                <w:szCs w:val="22"/>
              </w:rPr>
              <w:t>Сравнение описания животных в художественном и научно-познавательном тексте</w:t>
            </w:r>
          </w:p>
        </w:tc>
      </w:tr>
      <w:tr w14:paraId="5EC76E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7A313B38">
            <w:pPr>
              <w:pStyle w:val="85"/>
              <w:rPr>
                <w:color w:val="auto"/>
                <w:sz w:val="22"/>
                <w:szCs w:val="22"/>
              </w:rPr>
            </w:pPr>
            <w:r>
              <w:rPr>
                <w:color w:val="auto"/>
                <w:sz w:val="22"/>
                <w:szCs w:val="22"/>
              </w:rPr>
              <w:t>Урок 60</w:t>
            </w:r>
          </w:p>
        </w:tc>
        <w:tc>
          <w:tcPr>
            <w:tcW w:w="7937" w:type="dxa"/>
          </w:tcPr>
          <w:p w14:paraId="48A92C71">
            <w:pPr>
              <w:pStyle w:val="85"/>
              <w:jc w:val="both"/>
              <w:rPr>
                <w:color w:val="auto"/>
                <w:sz w:val="22"/>
                <w:szCs w:val="22"/>
              </w:rPr>
            </w:pPr>
            <w:r>
              <w:rPr>
                <w:color w:val="auto"/>
                <w:sz w:val="22"/>
                <w:szCs w:val="22"/>
              </w:rPr>
              <w:t>Тематическое повторение по итогам раздела "О братьях наших меньших"</w:t>
            </w:r>
          </w:p>
        </w:tc>
      </w:tr>
      <w:tr w14:paraId="3FE994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tcPr>
          <w:p w14:paraId="0BF9D799">
            <w:pPr>
              <w:pStyle w:val="85"/>
              <w:rPr>
                <w:color w:val="auto"/>
                <w:sz w:val="22"/>
                <w:szCs w:val="22"/>
              </w:rPr>
            </w:pPr>
            <w:r>
              <w:rPr>
                <w:color w:val="auto"/>
                <w:sz w:val="22"/>
                <w:szCs w:val="22"/>
              </w:rPr>
              <w:t>Урок 61</w:t>
            </w:r>
          </w:p>
        </w:tc>
        <w:tc>
          <w:tcPr>
            <w:tcW w:w="7937" w:type="dxa"/>
          </w:tcPr>
          <w:p w14:paraId="4C1FA0DC">
            <w:pPr>
              <w:pStyle w:val="85"/>
              <w:jc w:val="both"/>
              <w:rPr>
                <w:color w:val="auto"/>
                <w:sz w:val="22"/>
                <w:szCs w:val="22"/>
              </w:rPr>
            </w:pPr>
            <w:r>
              <w:rPr>
                <w:color w:val="auto"/>
                <w:sz w:val="22"/>
                <w:szCs w:val="22"/>
              </w:rPr>
              <w:t>Восприятие пейзажной лирики. Слушание стихотворений о зиме</w:t>
            </w:r>
          </w:p>
        </w:tc>
      </w:tr>
      <w:tr w14:paraId="7977AB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7BC57940">
            <w:pPr>
              <w:pStyle w:val="85"/>
              <w:rPr>
                <w:color w:val="auto"/>
                <w:sz w:val="22"/>
                <w:szCs w:val="22"/>
              </w:rPr>
            </w:pPr>
            <w:r>
              <w:rPr>
                <w:color w:val="auto"/>
                <w:sz w:val="22"/>
                <w:szCs w:val="22"/>
              </w:rPr>
              <w:t>Урок 62</w:t>
            </w:r>
          </w:p>
        </w:tc>
        <w:tc>
          <w:tcPr>
            <w:tcW w:w="7937" w:type="dxa"/>
          </w:tcPr>
          <w:p w14:paraId="60379B13">
            <w:pPr>
              <w:pStyle w:val="85"/>
              <w:jc w:val="both"/>
              <w:rPr>
                <w:color w:val="auto"/>
                <w:sz w:val="22"/>
                <w:szCs w:val="22"/>
              </w:rPr>
            </w:pPr>
            <w:r>
              <w:rPr>
                <w:color w:val="auto"/>
                <w:sz w:val="22"/>
                <w:szCs w:val="22"/>
              </w:rPr>
              <w:t>Средства художественной выразительности: сравнение. Произведения по выбору, например, И.А. Бунин "Первый снег"</w:t>
            </w:r>
          </w:p>
        </w:tc>
      </w:tr>
      <w:tr w14:paraId="68DC74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48000F75">
            <w:pPr>
              <w:pStyle w:val="85"/>
              <w:rPr>
                <w:color w:val="auto"/>
                <w:sz w:val="22"/>
                <w:szCs w:val="22"/>
              </w:rPr>
            </w:pPr>
            <w:r>
              <w:rPr>
                <w:color w:val="auto"/>
                <w:sz w:val="22"/>
                <w:szCs w:val="22"/>
              </w:rPr>
              <w:t>Урок 63</w:t>
            </w:r>
          </w:p>
        </w:tc>
        <w:tc>
          <w:tcPr>
            <w:tcW w:w="7937" w:type="dxa"/>
          </w:tcPr>
          <w:p w14:paraId="2D895AB9">
            <w:pPr>
              <w:pStyle w:val="85"/>
              <w:jc w:val="both"/>
              <w:rPr>
                <w:color w:val="auto"/>
                <w:sz w:val="22"/>
                <w:szCs w:val="22"/>
              </w:rPr>
            </w:pPr>
            <w:r>
              <w:rPr>
                <w:color w:val="auto"/>
                <w:sz w:val="22"/>
                <w:szCs w:val="22"/>
              </w:rPr>
              <w:t>Наблюдение за художественными особенностями текста: настроение, средства выразительности на примере текста Ф.И. Тютчева "Чародейкою Зимою..."</w:t>
            </w:r>
          </w:p>
        </w:tc>
      </w:tr>
      <w:tr w14:paraId="53D5AE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4B53645F">
            <w:pPr>
              <w:pStyle w:val="85"/>
              <w:rPr>
                <w:color w:val="auto"/>
                <w:sz w:val="22"/>
                <w:szCs w:val="22"/>
              </w:rPr>
            </w:pPr>
            <w:r>
              <w:rPr>
                <w:color w:val="auto"/>
                <w:sz w:val="22"/>
                <w:szCs w:val="22"/>
              </w:rPr>
              <w:t>Урок 64</w:t>
            </w:r>
          </w:p>
        </w:tc>
        <w:tc>
          <w:tcPr>
            <w:tcW w:w="7937" w:type="dxa"/>
          </w:tcPr>
          <w:p w14:paraId="7BF0BA71">
            <w:pPr>
              <w:pStyle w:val="85"/>
              <w:jc w:val="both"/>
              <w:rPr>
                <w:color w:val="auto"/>
                <w:sz w:val="22"/>
                <w:szCs w:val="22"/>
              </w:rPr>
            </w:pPr>
            <w:r>
              <w:rPr>
                <w:color w:val="auto"/>
                <w:sz w:val="22"/>
                <w:szCs w:val="22"/>
              </w:rPr>
              <w:t>Сравнение образа зимы в произведениях А.С. Пушкина "Вот север, тучи нагоняя..." и С.А. Есенина "Поет зима - аукает"</w:t>
            </w:r>
          </w:p>
        </w:tc>
      </w:tr>
      <w:tr w14:paraId="6D57FB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2BC9F173">
            <w:pPr>
              <w:pStyle w:val="85"/>
              <w:rPr>
                <w:color w:val="auto"/>
                <w:sz w:val="22"/>
                <w:szCs w:val="22"/>
              </w:rPr>
            </w:pPr>
            <w:r>
              <w:rPr>
                <w:color w:val="auto"/>
                <w:sz w:val="22"/>
                <w:szCs w:val="22"/>
              </w:rPr>
              <w:t>Урок 65</w:t>
            </w:r>
          </w:p>
        </w:tc>
        <w:tc>
          <w:tcPr>
            <w:tcW w:w="7937" w:type="dxa"/>
          </w:tcPr>
          <w:p w14:paraId="27C80A2A">
            <w:pPr>
              <w:pStyle w:val="85"/>
              <w:jc w:val="both"/>
              <w:rPr>
                <w:color w:val="auto"/>
                <w:sz w:val="22"/>
                <w:szCs w:val="22"/>
              </w:rPr>
            </w:pPr>
            <w:r>
              <w:rPr>
                <w:color w:val="auto"/>
                <w:sz w:val="22"/>
                <w:szCs w:val="22"/>
              </w:rPr>
              <w:t>Средства художественной выразительности: эпитет. Произведения по выбору, например, отрывки из романа А.С. Пушкина "Евгений Онегин"</w:t>
            </w:r>
          </w:p>
        </w:tc>
      </w:tr>
      <w:tr w14:paraId="488184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59E8FA2E">
            <w:pPr>
              <w:pStyle w:val="85"/>
              <w:rPr>
                <w:color w:val="auto"/>
                <w:sz w:val="22"/>
                <w:szCs w:val="22"/>
              </w:rPr>
            </w:pPr>
            <w:r>
              <w:rPr>
                <w:color w:val="auto"/>
                <w:sz w:val="22"/>
                <w:szCs w:val="22"/>
              </w:rPr>
              <w:t>Урок 66</w:t>
            </w:r>
          </w:p>
        </w:tc>
        <w:tc>
          <w:tcPr>
            <w:tcW w:w="7937" w:type="dxa"/>
          </w:tcPr>
          <w:p w14:paraId="54EA82EB">
            <w:pPr>
              <w:pStyle w:val="85"/>
              <w:jc w:val="both"/>
              <w:rPr>
                <w:color w:val="auto"/>
                <w:sz w:val="22"/>
                <w:szCs w:val="22"/>
              </w:rPr>
            </w:pPr>
            <w:r>
              <w:rPr>
                <w:color w:val="auto"/>
                <w:sz w:val="22"/>
                <w:szCs w:val="22"/>
              </w:rPr>
              <w:t>Описание игр и зимних забав детей. Произведения по выбору, например, И.З. Суриков "Детство"</w:t>
            </w:r>
          </w:p>
        </w:tc>
      </w:tr>
      <w:tr w14:paraId="2CDA82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7D32D265">
            <w:pPr>
              <w:pStyle w:val="85"/>
              <w:rPr>
                <w:color w:val="auto"/>
                <w:sz w:val="22"/>
                <w:szCs w:val="22"/>
              </w:rPr>
            </w:pPr>
            <w:r>
              <w:rPr>
                <w:color w:val="auto"/>
                <w:sz w:val="22"/>
                <w:szCs w:val="22"/>
              </w:rPr>
              <w:t>Урок 67</w:t>
            </w:r>
          </w:p>
        </w:tc>
        <w:tc>
          <w:tcPr>
            <w:tcW w:w="7937" w:type="dxa"/>
          </w:tcPr>
          <w:p w14:paraId="5C686B8E">
            <w:pPr>
              <w:pStyle w:val="85"/>
              <w:jc w:val="both"/>
              <w:rPr>
                <w:color w:val="auto"/>
                <w:sz w:val="22"/>
                <w:szCs w:val="22"/>
              </w:rPr>
            </w:pPr>
            <w:r>
              <w:rPr>
                <w:color w:val="auto"/>
                <w:sz w:val="22"/>
                <w:szCs w:val="22"/>
              </w:rPr>
              <w:t>Картины зимнего леса в рассказе И.С. Соколова-Микитова "Зима в лесу"</w:t>
            </w:r>
          </w:p>
        </w:tc>
      </w:tr>
      <w:tr w14:paraId="79BF71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27DC94B2">
            <w:pPr>
              <w:pStyle w:val="85"/>
              <w:rPr>
                <w:color w:val="auto"/>
                <w:sz w:val="22"/>
                <w:szCs w:val="22"/>
              </w:rPr>
            </w:pPr>
            <w:r>
              <w:rPr>
                <w:color w:val="auto"/>
                <w:sz w:val="22"/>
                <w:szCs w:val="22"/>
              </w:rPr>
              <w:t>Урок 68</w:t>
            </w:r>
          </w:p>
        </w:tc>
        <w:tc>
          <w:tcPr>
            <w:tcW w:w="7937" w:type="dxa"/>
          </w:tcPr>
          <w:p w14:paraId="120F7D1B">
            <w:pPr>
              <w:pStyle w:val="85"/>
              <w:jc w:val="both"/>
              <w:rPr>
                <w:color w:val="auto"/>
                <w:sz w:val="22"/>
                <w:szCs w:val="22"/>
              </w:rPr>
            </w:pPr>
            <w:r>
              <w:rPr>
                <w:color w:val="auto"/>
                <w:sz w:val="22"/>
                <w:szCs w:val="22"/>
              </w:rPr>
              <w:t>Жизнь животных зимой: научно-познавательные рассказы. Произведения по выбору, например, Г.А. Скребицкого</w:t>
            </w:r>
          </w:p>
        </w:tc>
      </w:tr>
      <w:tr w14:paraId="040747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3476E032">
            <w:pPr>
              <w:pStyle w:val="85"/>
              <w:rPr>
                <w:color w:val="auto"/>
                <w:sz w:val="22"/>
                <w:szCs w:val="22"/>
              </w:rPr>
            </w:pPr>
            <w:r>
              <w:rPr>
                <w:color w:val="auto"/>
                <w:sz w:val="22"/>
                <w:szCs w:val="22"/>
              </w:rPr>
              <w:t>Урок 69</w:t>
            </w:r>
          </w:p>
        </w:tc>
        <w:tc>
          <w:tcPr>
            <w:tcW w:w="7937" w:type="dxa"/>
          </w:tcPr>
          <w:p w14:paraId="7E0A8849">
            <w:pPr>
              <w:pStyle w:val="85"/>
              <w:jc w:val="both"/>
              <w:rPr>
                <w:color w:val="auto"/>
                <w:sz w:val="22"/>
                <w:szCs w:val="22"/>
              </w:rPr>
            </w:pPr>
            <w:r>
              <w:rPr>
                <w:color w:val="auto"/>
                <w:sz w:val="22"/>
                <w:szCs w:val="22"/>
              </w:rPr>
              <w:t>Составление устного рассказа "Краски и звуки зимы" по изученным текстам</w:t>
            </w:r>
          </w:p>
        </w:tc>
      </w:tr>
      <w:tr w14:paraId="4E2EBF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61841EE9">
            <w:pPr>
              <w:pStyle w:val="85"/>
              <w:rPr>
                <w:color w:val="auto"/>
                <w:sz w:val="22"/>
                <w:szCs w:val="22"/>
              </w:rPr>
            </w:pPr>
            <w:r>
              <w:rPr>
                <w:color w:val="auto"/>
                <w:sz w:val="22"/>
                <w:szCs w:val="22"/>
              </w:rPr>
              <w:t>Урок 70</w:t>
            </w:r>
          </w:p>
        </w:tc>
        <w:tc>
          <w:tcPr>
            <w:tcW w:w="7937" w:type="dxa"/>
          </w:tcPr>
          <w:p w14:paraId="2C9924C5">
            <w:pPr>
              <w:pStyle w:val="85"/>
              <w:jc w:val="both"/>
              <w:rPr>
                <w:color w:val="auto"/>
                <w:sz w:val="22"/>
                <w:szCs w:val="22"/>
              </w:rPr>
            </w:pPr>
            <w:r>
              <w:rPr>
                <w:color w:val="auto"/>
                <w:sz w:val="22"/>
                <w:szCs w:val="22"/>
              </w:rPr>
              <w:t>Тема "Природа зимой" в картинах художников и произведениях композиторов</w:t>
            </w:r>
          </w:p>
        </w:tc>
      </w:tr>
      <w:tr w14:paraId="21C6AE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16CBA927">
            <w:pPr>
              <w:pStyle w:val="85"/>
              <w:rPr>
                <w:color w:val="auto"/>
                <w:sz w:val="22"/>
                <w:szCs w:val="22"/>
              </w:rPr>
            </w:pPr>
            <w:r>
              <w:rPr>
                <w:color w:val="auto"/>
                <w:sz w:val="22"/>
                <w:szCs w:val="22"/>
              </w:rPr>
              <w:t>Урок 71</w:t>
            </w:r>
          </w:p>
        </w:tc>
        <w:tc>
          <w:tcPr>
            <w:tcW w:w="7937" w:type="dxa"/>
          </w:tcPr>
          <w:p w14:paraId="4D3A128B">
            <w:pPr>
              <w:pStyle w:val="85"/>
              <w:jc w:val="both"/>
              <w:rPr>
                <w:color w:val="auto"/>
                <w:sz w:val="22"/>
                <w:szCs w:val="22"/>
              </w:rPr>
            </w:pPr>
            <w:r>
              <w:rPr>
                <w:color w:val="auto"/>
                <w:sz w:val="22"/>
                <w:szCs w:val="22"/>
              </w:rPr>
              <w:t>Наблюдение за описанием в художественном тексте. Произведения по выбору, например, С.В. Михалков "Новогодняя быль"</w:t>
            </w:r>
          </w:p>
        </w:tc>
      </w:tr>
      <w:tr w14:paraId="4E76E9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40CDFF26">
            <w:pPr>
              <w:pStyle w:val="85"/>
              <w:rPr>
                <w:color w:val="auto"/>
                <w:sz w:val="22"/>
                <w:szCs w:val="22"/>
              </w:rPr>
            </w:pPr>
            <w:r>
              <w:rPr>
                <w:color w:val="auto"/>
                <w:sz w:val="22"/>
                <w:szCs w:val="22"/>
              </w:rPr>
              <w:t>Урок 72</w:t>
            </w:r>
          </w:p>
        </w:tc>
        <w:tc>
          <w:tcPr>
            <w:tcW w:w="7937" w:type="dxa"/>
          </w:tcPr>
          <w:p w14:paraId="05E9513F">
            <w:pPr>
              <w:pStyle w:val="85"/>
              <w:jc w:val="both"/>
              <w:rPr>
                <w:color w:val="auto"/>
                <w:sz w:val="22"/>
                <w:szCs w:val="22"/>
              </w:rPr>
            </w:pPr>
            <w:r>
              <w:rPr>
                <w:color w:val="auto"/>
                <w:sz w:val="22"/>
                <w:szCs w:val="22"/>
              </w:rPr>
              <w:t>Составление плана сказки: части текста, их главные темы. На примере русской народной сказки "Два мороза"</w:t>
            </w:r>
          </w:p>
        </w:tc>
      </w:tr>
      <w:tr w14:paraId="414F0B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134" w:type="dxa"/>
            <w:vAlign w:val="center"/>
          </w:tcPr>
          <w:p w14:paraId="515D5D95">
            <w:pPr>
              <w:pStyle w:val="85"/>
              <w:rPr>
                <w:color w:val="auto"/>
                <w:sz w:val="22"/>
                <w:szCs w:val="22"/>
              </w:rPr>
            </w:pPr>
            <w:r>
              <w:rPr>
                <w:color w:val="auto"/>
                <w:sz w:val="22"/>
                <w:szCs w:val="22"/>
              </w:rPr>
              <w:t>Урок 73</w:t>
            </w:r>
          </w:p>
        </w:tc>
        <w:tc>
          <w:tcPr>
            <w:tcW w:w="7937" w:type="dxa"/>
          </w:tcPr>
          <w:p w14:paraId="1AA79CC6">
            <w:pPr>
              <w:pStyle w:val="85"/>
              <w:jc w:val="both"/>
              <w:rPr>
                <w:color w:val="auto"/>
                <w:sz w:val="22"/>
                <w:szCs w:val="22"/>
              </w:rPr>
            </w:pPr>
            <w:r>
              <w:rPr>
                <w:color w:val="auto"/>
                <w:sz w:val="22"/>
                <w:szCs w:val="22"/>
              </w:rPr>
              <w:t>Фольклорная основа литературной (авторской) сказки В.И. Даля "Девочка Снегурочка"</w:t>
            </w:r>
          </w:p>
        </w:tc>
      </w:tr>
      <w:tr w14:paraId="1EF7BF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134" w:type="dxa"/>
            <w:vAlign w:val="center"/>
          </w:tcPr>
          <w:p w14:paraId="4C227788">
            <w:pPr>
              <w:pStyle w:val="85"/>
              <w:rPr>
                <w:color w:val="auto"/>
                <w:sz w:val="22"/>
                <w:szCs w:val="22"/>
              </w:rPr>
            </w:pPr>
            <w:r>
              <w:rPr>
                <w:color w:val="auto"/>
                <w:sz w:val="22"/>
                <w:szCs w:val="22"/>
              </w:rPr>
              <w:t>Урок 74</w:t>
            </w:r>
          </w:p>
        </w:tc>
        <w:tc>
          <w:tcPr>
            <w:tcW w:w="7937" w:type="dxa"/>
          </w:tcPr>
          <w:p w14:paraId="4049E45C">
            <w:pPr>
              <w:pStyle w:val="85"/>
              <w:jc w:val="both"/>
              <w:rPr>
                <w:color w:val="auto"/>
                <w:sz w:val="22"/>
                <w:szCs w:val="22"/>
              </w:rPr>
            </w:pPr>
            <w:r>
              <w:rPr>
                <w:color w:val="auto"/>
                <w:sz w:val="22"/>
                <w:szCs w:val="22"/>
              </w:rPr>
              <w:t>Сравнение сюжетов и героев русской народной сказки "Снегурочка" и литературной (авторской) В.И. Даля "Девочка Снегурочка"</w:t>
            </w:r>
          </w:p>
        </w:tc>
      </w:tr>
      <w:tr w14:paraId="0B5548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5D3E94AD">
            <w:pPr>
              <w:pStyle w:val="85"/>
              <w:rPr>
                <w:color w:val="auto"/>
                <w:sz w:val="22"/>
                <w:szCs w:val="22"/>
              </w:rPr>
            </w:pPr>
            <w:r>
              <w:rPr>
                <w:color w:val="auto"/>
                <w:sz w:val="22"/>
                <w:szCs w:val="22"/>
              </w:rPr>
              <w:t>Урок 75</w:t>
            </w:r>
          </w:p>
        </w:tc>
        <w:tc>
          <w:tcPr>
            <w:tcW w:w="7937" w:type="dxa"/>
          </w:tcPr>
          <w:p w14:paraId="00AD021F">
            <w:pPr>
              <w:pStyle w:val="85"/>
              <w:jc w:val="both"/>
              <w:rPr>
                <w:color w:val="auto"/>
                <w:sz w:val="22"/>
                <w:szCs w:val="22"/>
              </w:rPr>
            </w:pPr>
            <w:r>
              <w:rPr>
                <w:color w:val="auto"/>
                <w:sz w:val="22"/>
                <w:szCs w:val="22"/>
              </w:rPr>
              <w:t>Фольклорная основа литературной (авторской) сказки В.Ф. Одоевского "Мороз Иванович"</w:t>
            </w:r>
          </w:p>
        </w:tc>
      </w:tr>
      <w:tr w14:paraId="57ED99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tcPr>
          <w:p w14:paraId="019091F6">
            <w:pPr>
              <w:pStyle w:val="85"/>
              <w:rPr>
                <w:color w:val="auto"/>
                <w:sz w:val="22"/>
                <w:szCs w:val="22"/>
              </w:rPr>
            </w:pPr>
            <w:r>
              <w:rPr>
                <w:color w:val="auto"/>
                <w:sz w:val="22"/>
                <w:szCs w:val="22"/>
              </w:rPr>
              <w:t>Урок 76</w:t>
            </w:r>
          </w:p>
        </w:tc>
        <w:tc>
          <w:tcPr>
            <w:tcW w:w="7937" w:type="dxa"/>
          </w:tcPr>
          <w:p w14:paraId="688A7935">
            <w:pPr>
              <w:pStyle w:val="85"/>
              <w:jc w:val="both"/>
              <w:rPr>
                <w:color w:val="auto"/>
                <w:sz w:val="22"/>
                <w:szCs w:val="22"/>
              </w:rPr>
            </w:pPr>
            <w:r>
              <w:rPr>
                <w:color w:val="auto"/>
                <w:sz w:val="22"/>
                <w:szCs w:val="22"/>
              </w:rPr>
              <w:t>Тематическое потворение по разделу "Звуки и краски зимней природы"</w:t>
            </w:r>
          </w:p>
        </w:tc>
      </w:tr>
      <w:tr w14:paraId="395C9C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0F071AA5">
            <w:pPr>
              <w:pStyle w:val="85"/>
              <w:rPr>
                <w:color w:val="auto"/>
                <w:sz w:val="22"/>
                <w:szCs w:val="22"/>
              </w:rPr>
            </w:pPr>
            <w:r>
              <w:rPr>
                <w:color w:val="auto"/>
                <w:sz w:val="22"/>
                <w:szCs w:val="22"/>
              </w:rPr>
              <w:t>Урок 77</w:t>
            </w:r>
          </w:p>
        </w:tc>
        <w:tc>
          <w:tcPr>
            <w:tcW w:w="7937" w:type="dxa"/>
          </w:tcPr>
          <w:p w14:paraId="36BEC7EE">
            <w:pPr>
              <w:pStyle w:val="85"/>
              <w:jc w:val="both"/>
              <w:rPr>
                <w:color w:val="auto"/>
                <w:sz w:val="22"/>
                <w:szCs w:val="22"/>
              </w:rPr>
            </w:pPr>
            <w:r>
              <w:rPr>
                <w:color w:val="auto"/>
                <w:sz w:val="22"/>
                <w:szCs w:val="22"/>
              </w:rPr>
              <w:t>Выявление последовательности событий. Составление вопросного плана. К.И. Чуковский "Федорино горе"</w:t>
            </w:r>
          </w:p>
        </w:tc>
      </w:tr>
      <w:tr w14:paraId="3DC120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18F5CD2C">
            <w:pPr>
              <w:pStyle w:val="85"/>
              <w:rPr>
                <w:color w:val="auto"/>
                <w:sz w:val="22"/>
                <w:szCs w:val="22"/>
              </w:rPr>
            </w:pPr>
            <w:r>
              <w:rPr>
                <w:color w:val="auto"/>
                <w:sz w:val="22"/>
                <w:szCs w:val="22"/>
              </w:rPr>
              <w:t>Урок 78</w:t>
            </w:r>
          </w:p>
        </w:tc>
        <w:tc>
          <w:tcPr>
            <w:tcW w:w="7937" w:type="dxa"/>
          </w:tcPr>
          <w:p w14:paraId="7E56616B">
            <w:pPr>
              <w:pStyle w:val="85"/>
              <w:jc w:val="both"/>
              <w:rPr>
                <w:color w:val="auto"/>
                <w:sz w:val="22"/>
                <w:szCs w:val="22"/>
              </w:rPr>
            </w:pPr>
            <w:r>
              <w:rPr>
                <w:color w:val="auto"/>
                <w:sz w:val="22"/>
                <w:szCs w:val="22"/>
              </w:rPr>
              <w:t>Чтение по ролям (инсценировка) сказки К.И. Чуковский "Федорино горе"</w:t>
            </w:r>
          </w:p>
        </w:tc>
      </w:tr>
      <w:tr w14:paraId="7BE11E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6F9F82C9">
            <w:pPr>
              <w:pStyle w:val="85"/>
              <w:rPr>
                <w:color w:val="auto"/>
                <w:sz w:val="22"/>
                <w:szCs w:val="22"/>
              </w:rPr>
            </w:pPr>
            <w:r>
              <w:rPr>
                <w:color w:val="auto"/>
                <w:sz w:val="22"/>
                <w:szCs w:val="22"/>
              </w:rPr>
              <w:t>Урок 79</w:t>
            </w:r>
          </w:p>
        </w:tc>
        <w:tc>
          <w:tcPr>
            <w:tcW w:w="7937" w:type="dxa"/>
          </w:tcPr>
          <w:p w14:paraId="5AC2AEE5">
            <w:pPr>
              <w:pStyle w:val="85"/>
              <w:jc w:val="both"/>
              <w:rPr>
                <w:color w:val="auto"/>
                <w:sz w:val="22"/>
                <w:szCs w:val="22"/>
              </w:rPr>
            </w:pPr>
            <w:r>
              <w:rPr>
                <w:color w:val="auto"/>
                <w:sz w:val="22"/>
                <w:szCs w:val="22"/>
              </w:rPr>
              <w:t>Осознание понятий друг, дружба на примере произведений о животных. Произведения по выбору, например, С.В. Михалков "Мой щенок"</w:t>
            </w:r>
          </w:p>
        </w:tc>
      </w:tr>
      <w:tr w14:paraId="142AF6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3352B77B">
            <w:pPr>
              <w:pStyle w:val="85"/>
              <w:rPr>
                <w:color w:val="auto"/>
                <w:sz w:val="22"/>
                <w:szCs w:val="22"/>
              </w:rPr>
            </w:pPr>
            <w:r>
              <w:rPr>
                <w:color w:val="auto"/>
                <w:sz w:val="22"/>
                <w:szCs w:val="22"/>
              </w:rPr>
              <w:t>Урок 80</w:t>
            </w:r>
          </w:p>
        </w:tc>
        <w:tc>
          <w:tcPr>
            <w:tcW w:w="7937" w:type="dxa"/>
          </w:tcPr>
          <w:p w14:paraId="38FD6B8C">
            <w:pPr>
              <w:pStyle w:val="85"/>
              <w:jc w:val="both"/>
              <w:rPr>
                <w:color w:val="auto"/>
                <w:sz w:val="22"/>
                <w:szCs w:val="22"/>
              </w:rPr>
            </w:pPr>
            <w:r>
              <w:rPr>
                <w:color w:val="auto"/>
                <w:sz w:val="22"/>
                <w:szCs w:val="22"/>
              </w:rPr>
              <w:t>Средства художественной выразительности в стихотворениях о весне. Произведения по выбору, например, А.Л. Барто "Веревочка"</w:t>
            </w:r>
          </w:p>
        </w:tc>
      </w:tr>
      <w:tr w14:paraId="1072FD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tcPr>
          <w:p w14:paraId="492F473C">
            <w:pPr>
              <w:pStyle w:val="85"/>
              <w:rPr>
                <w:color w:val="auto"/>
                <w:sz w:val="22"/>
                <w:szCs w:val="22"/>
              </w:rPr>
            </w:pPr>
            <w:r>
              <w:rPr>
                <w:color w:val="auto"/>
                <w:sz w:val="22"/>
                <w:szCs w:val="22"/>
              </w:rPr>
              <w:t>Урок 81</w:t>
            </w:r>
          </w:p>
        </w:tc>
        <w:tc>
          <w:tcPr>
            <w:tcW w:w="7937" w:type="dxa"/>
          </w:tcPr>
          <w:p w14:paraId="71453B82">
            <w:pPr>
              <w:pStyle w:val="85"/>
              <w:jc w:val="both"/>
              <w:rPr>
                <w:color w:val="auto"/>
                <w:sz w:val="22"/>
                <w:szCs w:val="22"/>
              </w:rPr>
            </w:pPr>
            <w:r>
              <w:rPr>
                <w:color w:val="auto"/>
                <w:sz w:val="22"/>
                <w:szCs w:val="22"/>
              </w:rPr>
              <w:t>Произведения о детях. На примере рассказов Н.Н. Носова "Затейники"</w:t>
            </w:r>
          </w:p>
        </w:tc>
      </w:tr>
      <w:tr w14:paraId="4F73A0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0C3C6C44">
            <w:pPr>
              <w:pStyle w:val="85"/>
              <w:rPr>
                <w:color w:val="auto"/>
                <w:sz w:val="22"/>
                <w:szCs w:val="22"/>
              </w:rPr>
            </w:pPr>
            <w:r>
              <w:rPr>
                <w:color w:val="auto"/>
                <w:sz w:val="22"/>
                <w:szCs w:val="22"/>
              </w:rPr>
              <w:t>Урок 82</w:t>
            </w:r>
          </w:p>
        </w:tc>
        <w:tc>
          <w:tcPr>
            <w:tcW w:w="7937" w:type="dxa"/>
          </w:tcPr>
          <w:p w14:paraId="5E6FD7F4">
            <w:pPr>
              <w:pStyle w:val="85"/>
              <w:jc w:val="both"/>
              <w:rPr>
                <w:color w:val="auto"/>
                <w:sz w:val="22"/>
                <w:szCs w:val="22"/>
              </w:rPr>
            </w:pPr>
            <w:r>
              <w:rPr>
                <w:color w:val="auto"/>
                <w:sz w:val="22"/>
                <w:szCs w:val="22"/>
              </w:rPr>
              <w:t>Характеристика героя, его портрет. Произведения о детях на выбор, например, Н.Н. Носов "Живая шляпа"</w:t>
            </w:r>
          </w:p>
        </w:tc>
      </w:tr>
      <w:tr w14:paraId="03C547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3D361B91">
            <w:pPr>
              <w:pStyle w:val="85"/>
              <w:rPr>
                <w:color w:val="auto"/>
                <w:sz w:val="22"/>
                <w:szCs w:val="22"/>
              </w:rPr>
            </w:pPr>
            <w:r>
              <w:rPr>
                <w:color w:val="auto"/>
                <w:sz w:val="22"/>
                <w:szCs w:val="22"/>
              </w:rPr>
              <w:t>Урок 83</w:t>
            </w:r>
          </w:p>
        </w:tc>
        <w:tc>
          <w:tcPr>
            <w:tcW w:w="7937" w:type="dxa"/>
          </w:tcPr>
          <w:p w14:paraId="74B25DB9">
            <w:pPr>
              <w:pStyle w:val="85"/>
              <w:jc w:val="both"/>
              <w:rPr>
                <w:color w:val="auto"/>
                <w:sz w:val="22"/>
                <w:szCs w:val="22"/>
              </w:rPr>
            </w:pPr>
            <w:r>
              <w:rPr>
                <w:color w:val="auto"/>
                <w:sz w:val="22"/>
                <w:szCs w:val="22"/>
              </w:rPr>
              <w:t>Отражение в произведениях нравственно-этических понятий: дружба, терпение, уважение, помощь друг другу. В.А. Осеева "Синие листья"</w:t>
            </w:r>
          </w:p>
        </w:tc>
      </w:tr>
      <w:tr w14:paraId="04E719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1C95D95F">
            <w:pPr>
              <w:pStyle w:val="85"/>
              <w:rPr>
                <w:color w:val="auto"/>
                <w:sz w:val="22"/>
                <w:szCs w:val="22"/>
              </w:rPr>
            </w:pPr>
            <w:r>
              <w:rPr>
                <w:color w:val="auto"/>
                <w:sz w:val="22"/>
                <w:szCs w:val="22"/>
              </w:rPr>
              <w:t>Урок 84</w:t>
            </w:r>
          </w:p>
        </w:tc>
        <w:tc>
          <w:tcPr>
            <w:tcW w:w="7937" w:type="dxa"/>
          </w:tcPr>
          <w:p w14:paraId="27B132C1">
            <w:pPr>
              <w:pStyle w:val="85"/>
              <w:jc w:val="both"/>
              <w:rPr>
                <w:color w:val="auto"/>
                <w:sz w:val="22"/>
                <w:szCs w:val="22"/>
              </w:rPr>
            </w:pPr>
            <w:r>
              <w:rPr>
                <w:color w:val="auto"/>
                <w:sz w:val="22"/>
                <w:szCs w:val="22"/>
              </w:rPr>
              <w:t>Сравнение героев рассказов Н.Н. Носова "На горке" и "Заплатка". Оценка поступков героя рассказа</w:t>
            </w:r>
          </w:p>
        </w:tc>
      </w:tr>
      <w:tr w14:paraId="728D84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6D14351A">
            <w:pPr>
              <w:pStyle w:val="85"/>
              <w:rPr>
                <w:color w:val="auto"/>
                <w:sz w:val="22"/>
                <w:szCs w:val="22"/>
              </w:rPr>
            </w:pPr>
            <w:r>
              <w:rPr>
                <w:color w:val="auto"/>
                <w:sz w:val="22"/>
                <w:szCs w:val="22"/>
              </w:rPr>
              <w:t>Урок 85</w:t>
            </w:r>
          </w:p>
        </w:tc>
        <w:tc>
          <w:tcPr>
            <w:tcW w:w="7937" w:type="dxa"/>
          </w:tcPr>
          <w:p w14:paraId="40472A9A">
            <w:pPr>
              <w:pStyle w:val="85"/>
              <w:jc w:val="both"/>
              <w:rPr>
                <w:color w:val="auto"/>
                <w:sz w:val="22"/>
                <w:szCs w:val="22"/>
              </w:rPr>
            </w:pPr>
            <w:r>
              <w:rPr>
                <w:color w:val="auto"/>
                <w:sz w:val="22"/>
                <w:szCs w:val="22"/>
              </w:rPr>
              <w:t>Отражение темы дружбы в рассказах о детях. Выставка книг: произведения о детях.</w:t>
            </w:r>
          </w:p>
        </w:tc>
      </w:tr>
      <w:tr w14:paraId="1BE79C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5A7D39B5">
            <w:pPr>
              <w:pStyle w:val="85"/>
              <w:rPr>
                <w:color w:val="auto"/>
                <w:sz w:val="22"/>
                <w:szCs w:val="22"/>
              </w:rPr>
            </w:pPr>
            <w:r>
              <w:rPr>
                <w:color w:val="auto"/>
                <w:sz w:val="22"/>
                <w:szCs w:val="22"/>
              </w:rPr>
              <w:t>Урок 86</w:t>
            </w:r>
          </w:p>
        </w:tc>
        <w:tc>
          <w:tcPr>
            <w:tcW w:w="7937" w:type="dxa"/>
          </w:tcPr>
          <w:p w14:paraId="7CCCF2E5">
            <w:pPr>
              <w:pStyle w:val="85"/>
              <w:jc w:val="both"/>
              <w:rPr>
                <w:color w:val="auto"/>
                <w:sz w:val="22"/>
                <w:szCs w:val="22"/>
              </w:rPr>
            </w:pPr>
            <w:r>
              <w:rPr>
                <w:color w:val="auto"/>
                <w:sz w:val="22"/>
                <w:szCs w:val="22"/>
              </w:rPr>
              <w:t>Отражение понятия взаимопомощь в произведениях А.Л. Барто "Катя". Разные точки зрения на одно событие. Ю.И. Ермолаев "Два пирожных"</w:t>
            </w:r>
          </w:p>
        </w:tc>
      </w:tr>
      <w:tr w14:paraId="2826D2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5BBFA2D1">
            <w:pPr>
              <w:pStyle w:val="85"/>
              <w:rPr>
                <w:color w:val="auto"/>
                <w:sz w:val="22"/>
                <w:szCs w:val="22"/>
              </w:rPr>
            </w:pPr>
            <w:r>
              <w:rPr>
                <w:color w:val="auto"/>
                <w:sz w:val="22"/>
                <w:szCs w:val="22"/>
              </w:rPr>
              <w:t>Урок 87</w:t>
            </w:r>
          </w:p>
        </w:tc>
        <w:tc>
          <w:tcPr>
            <w:tcW w:w="7937" w:type="dxa"/>
          </w:tcPr>
          <w:p w14:paraId="4A2D5045">
            <w:pPr>
              <w:pStyle w:val="85"/>
              <w:jc w:val="both"/>
              <w:rPr>
                <w:color w:val="auto"/>
                <w:sz w:val="22"/>
                <w:szCs w:val="22"/>
              </w:rPr>
            </w:pPr>
            <w:r>
              <w:rPr>
                <w:color w:val="auto"/>
                <w:sz w:val="22"/>
                <w:szCs w:val="22"/>
              </w:rPr>
              <w:t>Главный герой: общее представление. Характеристика героя, его портрет. На примере рассказа В.А. Осеева "Волшебное слово"</w:t>
            </w:r>
          </w:p>
        </w:tc>
      </w:tr>
      <w:tr w14:paraId="7763BA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134" w:type="dxa"/>
            <w:vAlign w:val="center"/>
          </w:tcPr>
          <w:p w14:paraId="4606922C">
            <w:pPr>
              <w:pStyle w:val="85"/>
              <w:rPr>
                <w:color w:val="auto"/>
                <w:sz w:val="22"/>
                <w:szCs w:val="22"/>
              </w:rPr>
            </w:pPr>
            <w:r>
              <w:rPr>
                <w:color w:val="auto"/>
                <w:sz w:val="22"/>
                <w:szCs w:val="22"/>
              </w:rPr>
              <w:t>Урок 88</w:t>
            </w:r>
          </w:p>
        </w:tc>
        <w:tc>
          <w:tcPr>
            <w:tcW w:w="7937" w:type="dxa"/>
          </w:tcPr>
          <w:p w14:paraId="06390D21">
            <w:pPr>
              <w:pStyle w:val="85"/>
              <w:jc w:val="both"/>
              <w:rPr>
                <w:color w:val="auto"/>
                <w:sz w:val="22"/>
                <w:szCs w:val="22"/>
              </w:rPr>
            </w:pPr>
            <w:r>
              <w:rPr>
                <w:color w:val="auto"/>
                <w:sz w:val="22"/>
                <w:szCs w:val="22"/>
              </w:rPr>
              <w:t>Выделение главной мысли (идеи): уважение и внимание к старшему поколению. Произведения по выбору, например, В.А. Осеева "Хорошее"</w:t>
            </w:r>
          </w:p>
        </w:tc>
      </w:tr>
      <w:tr w14:paraId="27B819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tcPr>
          <w:p w14:paraId="1D74DAEC">
            <w:pPr>
              <w:pStyle w:val="85"/>
              <w:rPr>
                <w:color w:val="auto"/>
                <w:sz w:val="22"/>
                <w:szCs w:val="22"/>
              </w:rPr>
            </w:pPr>
            <w:r>
              <w:rPr>
                <w:color w:val="auto"/>
                <w:sz w:val="22"/>
                <w:szCs w:val="22"/>
              </w:rPr>
              <w:t>Урок 89</w:t>
            </w:r>
          </w:p>
        </w:tc>
        <w:tc>
          <w:tcPr>
            <w:tcW w:w="7937" w:type="dxa"/>
          </w:tcPr>
          <w:p w14:paraId="3C3E2E8E">
            <w:pPr>
              <w:pStyle w:val="85"/>
              <w:jc w:val="both"/>
              <w:rPr>
                <w:color w:val="auto"/>
                <w:sz w:val="22"/>
                <w:szCs w:val="22"/>
              </w:rPr>
            </w:pPr>
            <w:r>
              <w:rPr>
                <w:color w:val="auto"/>
                <w:sz w:val="22"/>
                <w:szCs w:val="22"/>
              </w:rPr>
              <w:t>Оценка поступков героя. В.В. Лунин "Я и Вовка"</w:t>
            </w:r>
          </w:p>
        </w:tc>
      </w:tr>
      <w:tr w14:paraId="50386F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23439C40">
            <w:pPr>
              <w:pStyle w:val="85"/>
              <w:rPr>
                <w:color w:val="auto"/>
                <w:sz w:val="22"/>
                <w:szCs w:val="22"/>
              </w:rPr>
            </w:pPr>
            <w:r>
              <w:rPr>
                <w:color w:val="auto"/>
                <w:sz w:val="22"/>
                <w:szCs w:val="22"/>
              </w:rPr>
              <w:t>Урок 90</w:t>
            </w:r>
          </w:p>
        </w:tc>
        <w:tc>
          <w:tcPr>
            <w:tcW w:w="7937" w:type="dxa"/>
          </w:tcPr>
          <w:p w14:paraId="163527C6">
            <w:pPr>
              <w:pStyle w:val="85"/>
              <w:jc w:val="both"/>
              <w:rPr>
                <w:color w:val="auto"/>
                <w:sz w:val="22"/>
                <w:szCs w:val="22"/>
              </w:rPr>
            </w:pPr>
            <w:r>
              <w:rPr>
                <w:color w:val="auto"/>
                <w:sz w:val="22"/>
                <w:szCs w:val="22"/>
              </w:rPr>
              <w:t>Тема дружбы в произведении Е.А. Пермяка "Две пословицы". Дружбу помни, а зло забывай</w:t>
            </w:r>
          </w:p>
        </w:tc>
      </w:tr>
      <w:tr w14:paraId="55E1BE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35345D54">
            <w:pPr>
              <w:pStyle w:val="85"/>
              <w:rPr>
                <w:color w:val="auto"/>
                <w:sz w:val="22"/>
                <w:szCs w:val="22"/>
              </w:rPr>
            </w:pPr>
            <w:r>
              <w:rPr>
                <w:color w:val="auto"/>
                <w:sz w:val="22"/>
                <w:szCs w:val="22"/>
              </w:rPr>
              <w:t>Урок 91</w:t>
            </w:r>
          </w:p>
        </w:tc>
        <w:tc>
          <w:tcPr>
            <w:tcW w:w="7937" w:type="dxa"/>
          </w:tcPr>
          <w:p w14:paraId="1F8EB826">
            <w:pPr>
              <w:pStyle w:val="85"/>
              <w:jc w:val="both"/>
              <w:rPr>
                <w:color w:val="auto"/>
                <w:sz w:val="22"/>
                <w:szCs w:val="22"/>
              </w:rPr>
            </w:pPr>
            <w:r>
              <w:rPr>
                <w:color w:val="auto"/>
                <w:sz w:val="22"/>
                <w:szCs w:val="22"/>
              </w:rPr>
              <w:t>Оценка взаимоотношений взрослых и детей на примере рассказа В.А. Осеевой "Почему"</w:t>
            </w:r>
          </w:p>
        </w:tc>
      </w:tr>
      <w:tr w14:paraId="5F586C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5DC93888">
            <w:pPr>
              <w:pStyle w:val="85"/>
              <w:rPr>
                <w:color w:val="auto"/>
                <w:sz w:val="22"/>
                <w:szCs w:val="22"/>
              </w:rPr>
            </w:pPr>
            <w:r>
              <w:rPr>
                <w:color w:val="auto"/>
                <w:sz w:val="22"/>
                <w:szCs w:val="22"/>
              </w:rPr>
              <w:t>Урок 92</w:t>
            </w:r>
          </w:p>
        </w:tc>
        <w:tc>
          <w:tcPr>
            <w:tcW w:w="7937" w:type="dxa"/>
          </w:tcPr>
          <w:p w14:paraId="3CCAA8C8">
            <w:pPr>
              <w:pStyle w:val="85"/>
              <w:jc w:val="both"/>
              <w:rPr>
                <w:color w:val="auto"/>
                <w:sz w:val="22"/>
                <w:szCs w:val="22"/>
              </w:rPr>
            </w:pPr>
            <w:r>
              <w:rPr>
                <w:color w:val="auto"/>
                <w:sz w:val="22"/>
                <w:szCs w:val="22"/>
              </w:rPr>
              <w:t>Анализ заголовка и соотнесение его с главной мыслью произведения: В.А. Осеева "Почему"</w:t>
            </w:r>
          </w:p>
        </w:tc>
      </w:tr>
      <w:tr w14:paraId="33C6A6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tcPr>
          <w:p w14:paraId="15B32A03">
            <w:pPr>
              <w:pStyle w:val="85"/>
              <w:rPr>
                <w:color w:val="auto"/>
                <w:sz w:val="22"/>
                <w:szCs w:val="22"/>
              </w:rPr>
            </w:pPr>
            <w:r>
              <w:rPr>
                <w:color w:val="auto"/>
                <w:sz w:val="22"/>
                <w:szCs w:val="22"/>
              </w:rPr>
              <w:t>Урок 93</w:t>
            </w:r>
          </w:p>
        </w:tc>
        <w:tc>
          <w:tcPr>
            <w:tcW w:w="7937" w:type="dxa"/>
          </w:tcPr>
          <w:p w14:paraId="405F30FF">
            <w:pPr>
              <w:pStyle w:val="85"/>
              <w:jc w:val="both"/>
              <w:rPr>
                <w:color w:val="auto"/>
                <w:sz w:val="22"/>
                <w:szCs w:val="22"/>
              </w:rPr>
            </w:pPr>
            <w:r>
              <w:rPr>
                <w:color w:val="auto"/>
                <w:sz w:val="22"/>
                <w:szCs w:val="22"/>
              </w:rPr>
              <w:t>Тематическое повторение по итогам раздела "О детях и дружбе"</w:t>
            </w:r>
          </w:p>
        </w:tc>
      </w:tr>
      <w:tr w14:paraId="204982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tcPr>
          <w:p w14:paraId="442DFE7F">
            <w:pPr>
              <w:pStyle w:val="85"/>
              <w:rPr>
                <w:color w:val="auto"/>
                <w:sz w:val="22"/>
                <w:szCs w:val="22"/>
              </w:rPr>
            </w:pPr>
            <w:r>
              <w:rPr>
                <w:color w:val="auto"/>
                <w:sz w:val="22"/>
                <w:szCs w:val="22"/>
              </w:rPr>
              <w:t>Урок 94</w:t>
            </w:r>
          </w:p>
        </w:tc>
        <w:tc>
          <w:tcPr>
            <w:tcW w:w="7937" w:type="dxa"/>
          </w:tcPr>
          <w:p w14:paraId="32985996">
            <w:pPr>
              <w:pStyle w:val="85"/>
              <w:jc w:val="both"/>
              <w:rPr>
                <w:color w:val="auto"/>
                <w:sz w:val="22"/>
                <w:szCs w:val="22"/>
              </w:rPr>
            </w:pPr>
            <w:r>
              <w:rPr>
                <w:color w:val="auto"/>
                <w:sz w:val="22"/>
                <w:szCs w:val="22"/>
              </w:rPr>
              <w:t>Старинные народные весенние праздники и обряды. Заклички, веснянки</w:t>
            </w:r>
          </w:p>
        </w:tc>
      </w:tr>
      <w:tr w14:paraId="15E355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10E6B69D">
            <w:pPr>
              <w:pStyle w:val="85"/>
              <w:rPr>
                <w:color w:val="auto"/>
                <w:sz w:val="22"/>
                <w:szCs w:val="22"/>
              </w:rPr>
            </w:pPr>
            <w:r>
              <w:rPr>
                <w:color w:val="auto"/>
                <w:sz w:val="22"/>
                <w:szCs w:val="22"/>
              </w:rPr>
              <w:t>Урок 95</w:t>
            </w:r>
          </w:p>
        </w:tc>
        <w:tc>
          <w:tcPr>
            <w:tcW w:w="7937" w:type="dxa"/>
          </w:tcPr>
          <w:p w14:paraId="07AF4F0C">
            <w:pPr>
              <w:pStyle w:val="85"/>
              <w:jc w:val="both"/>
              <w:rPr>
                <w:color w:val="auto"/>
                <w:sz w:val="22"/>
                <w:szCs w:val="22"/>
              </w:rPr>
            </w:pPr>
            <w:r>
              <w:rPr>
                <w:color w:val="auto"/>
                <w:sz w:val="22"/>
                <w:szCs w:val="22"/>
              </w:rPr>
              <w:t>Народная наблюдательность, выраженная в малых жанрах устного народного творчества (фольклоре)</w:t>
            </w:r>
          </w:p>
        </w:tc>
      </w:tr>
      <w:tr w14:paraId="03A7B4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53B0A262">
            <w:pPr>
              <w:pStyle w:val="85"/>
              <w:rPr>
                <w:color w:val="auto"/>
                <w:sz w:val="22"/>
                <w:szCs w:val="22"/>
              </w:rPr>
            </w:pPr>
            <w:r>
              <w:rPr>
                <w:color w:val="auto"/>
                <w:sz w:val="22"/>
                <w:szCs w:val="22"/>
              </w:rPr>
              <w:t>Урок 96</w:t>
            </w:r>
          </w:p>
        </w:tc>
        <w:tc>
          <w:tcPr>
            <w:tcW w:w="7937" w:type="dxa"/>
          </w:tcPr>
          <w:p w14:paraId="1150EA9B">
            <w:pPr>
              <w:pStyle w:val="85"/>
              <w:jc w:val="both"/>
              <w:rPr>
                <w:color w:val="auto"/>
                <w:sz w:val="22"/>
                <w:szCs w:val="22"/>
              </w:rPr>
            </w:pPr>
            <w:r>
              <w:rPr>
                <w:color w:val="auto"/>
                <w:sz w:val="22"/>
                <w:szCs w:val="22"/>
              </w:rPr>
              <w:t>Наблюдение за описанием весны в художественном тексте. Произведения по выбору, например, А.П. Чехов "Весной" (отрывок)</w:t>
            </w:r>
          </w:p>
        </w:tc>
      </w:tr>
      <w:tr w14:paraId="5790E6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3427D8D2">
            <w:pPr>
              <w:pStyle w:val="85"/>
              <w:rPr>
                <w:color w:val="auto"/>
                <w:sz w:val="22"/>
                <w:szCs w:val="22"/>
              </w:rPr>
            </w:pPr>
            <w:r>
              <w:rPr>
                <w:color w:val="auto"/>
                <w:sz w:val="22"/>
                <w:szCs w:val="22"/>
              </w:rPr>
              <w:t>Урок 97</w:t>
            </w:r>
          </w:p>
        </w:tc>
        <w:tc>
          <w:tcPr>
            <w:tcW w:w="7937" w:type="dxa"/>
          </w:tcPr>
          <w:p w14:paraId="50F40F50">
            <w:pPr>
              <w:pStyle w:val="85"/>
              <w:jc w:val="both"/>
              <w:rPr>
                <w:color w:val="auto"/>
                <w:sz w:val="22"/>
                <w:szCs w:val="22"/>
              </w:rPr>
            </w:pPr>
            <w:r>
              <w:rPr>
                <w:color w:val="auto"/>
                <w:sz w:val="22"/>
                <w:szCs w:val="22"/>
              </w:rPr>
              <w:t>Картины весеннего леса в рассказе Г.А. Скребицкого "Четыре художника". Составление плана текста</w:t>
            </w:r>
          </w:p>
        </w:tc>
      </w:tr>
      <w:tr w14:paraId="0B3762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486D23D5">
            <w:pPr>
              <w:pStyle w:val="85"/>
              <w:rPr>
                <w:color w:val="auto"/>
                <w:sz w:val="22"/>
                <w:szCs w:val="22"/>
              </w:rPr>
            </w:pPr>
            <w:r>
              <w:rPr>
                <w:color w:val="auto"/>
                <w:sz w:val="22"/>
                <w:szCs w:val="22"/>
              </w:rPr>
              <w:t>Урок 98</w:t>
            </w:r>
          </w:p>
        </w:tc>
        <w:tc>
          <w:tcPr>
            <w:tcW w:w="7937" w:type="dxa"/>
          </w:tcPr>
          <w:p w14:paraId="1868B45C">
            <w:pPr>
              <w:pStyle w:val="85"/>
              <w:jc w:val="both"/>
              <w:rPr>
                <w:color w:val="auto"/>
                <w:sz w:val="22"/>
                <w:szCs w:val="22"/>
              </w:rPr>
            </w:pPr>
            <w:r>
              <w:rPr>
                <w:color w:val="auto"/>
                <w:sz w:val="22"/>
                <w:szCs w:val="22"/>
              </w:rPr>
              <w:t>Картины весеннего леса в рассказе Г.А. Скребицкого "Четыре художника". Средства выразительности</w:t>
            </w:r>
          </w:p>
        </w:tc>
      </w:tr>
      <w:tr w14:paraId="66B760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tcPr>
          <w:p w14:paraId="06704E40">
            <w:pPr>
              <w:pStyle w:val="85"/>
              <w:rPr>
                <w:color w:val="auto"/>
                <w:sz w:val="22"/>
                <w:szCs w:val="22"/>
              </w:rPr>
            </w:pPr>
            <w:r>
              <w:rPr>
                <w:color w:val="auto"/>
                <w:sz w:val="22"/>
                <w:szCs w:val="22"/>
              </w:rPr>
              <w:t>Урок 99</w:t>
            </w:r>
          </w:p>
        </w:tc>
        <w:tc>
          <w:tcPr>
            <w:tcW w:w="7937" w:type="dxa"/>
          </w:tcPr>
          <w:p w14:paraId="2DA6F448">
            <w:pPr>
              <w:pStyle w:val="85"/>
              <w:jc w:val="both"/>
              <w:rPr>
                <w:color w:val="auto"/>
                <w:sz w:val="22"/>
                <w:szCs w:val="22"/>
              </w:rPr>
            </w:pPr>
            <w:r>
              <w:rPr>
                <w:color w:val="auto"/>
                <w:sz w:val="22"/>
                <w:szCs w:val="22"/>
              </w:rPr>
              <w:t>Восприятие пейзажной лирики. Слушание стихотворений о весне и лете</w:t>
            </w:r>
          </w:p>
        </w:tc>
      </w:tr>
      <w:tr w14:paraId="51602C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3A3539CC">
            <w:pPr>
              <w:pStyle w:val="85"/>
              <w:rPr>
                <w:color w:val="auto"/>
                <w:sz w:val="22"/>
                <w:szCs w:val="22"/>
              </w:rPr>
            </w:pPr>
            <w:r>
              <w:rPr>
                <w:color w:val="auto"/>
                <w:sz w:val="22"/>
                <w:szCs w:val="22"/>
              </w:rPr>
              <w:t>Урок 100</w:t>
            </w:r>
          </w:p>
        </w:tc>
        <w:tc>
          <w:tcPr>
            <w:tcW w:w="7937" w:type="dxa"/>
          </w:tcPr>
          <w:p w14:paraId="6EAB6253">
            <w:pPr>
              <w:pStyle w:val="85"/>
              <w:jc w:val="both"/>
              <w:rPr>
                <w:color w:val="auto"/>
                <w:sz w:val="22"/>
                <w:szCs w:val="22"/>
              </w:rPr>
            </w:pPr>
            <w:r>
              <w:rPr>
                <w:color w:val="auto"/>
                <w:sz w:val="22"/>
                <w:szCs w:val="22"/>
              </w:rPr>
              <w:t>Работа со стихотворением Ф.И. Тютчева "Зима недаром злится...": выделение средств художественной выразительности. Устное сочинение "Я рад весне"</w:t>
            </w:r>
          </w:p>
        </w:tc>
      </w:tr>
      <w:tr w14:paraId="3722C2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tcPr>
          <w:p w14:paraId="5B4813F9">
            <w:pPr>
              <w:pStyle w:val="85"/>
              <w:rPr>
                <w:color w:val="auto"/>
                <w:sz w:val="22"/>
                <w:szCs w:val="22"/>
              </w:rPr>
            </w:pPr>
            <w:r>
              <w:rPr>
                <w:color w:val="auto"/>
                <w:sz w:val="22"/>
                <w:szCs w:val="22"/>
              </w:rPr>
              <w:t>Урок 101</w:t>
            </w:r>
          </w:p>
        </w:tc>
        <w:tc>
          <w:tcPr>
            <w:tcW w:w="7937" w:type="dxa"/>
          </w:tcPr>
          <w:p w14:paraId="5D594C9D">
            <w:pPr>
              <w:pStyle w:val="85"/>
              <w:jc w:val="both"/>
              <w:rPr>
                <w:color w:val="auto"/>
                <w:sz w:val="22"/>
                <w:szCs w:val="22"/>
              </w:rPr>
            </w:pPr>
            <w:r>
              <w:rPr>
                <w:color w:val="auto"/>
                <w:sz w:val="22"/>
                <w:szCs w:val="22"/>
              </w:rPr>
              <w:t>Жизнь животных весной: рассказы и сказки писателей</w:t>
            </w:r>
          </w:p>
        </w:tc>
      </w:tr>
      <w:tr w14:paraId="24E46F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1D5C82B4">
            <w:pPr>
              <w:pStyle w:val="85"/>
              <w:rPr>
                <w:color w:val="auto"/>
                <w:sz w:val="22"/>
                <w:szCs w:val="22"/>
              </w:rPr>
            </w:pPr>
            <w:r>
              <w:rPr>
                <w:color w:val="auto"/>
                <w:sz w:val="22"/>
                <w:szCs w:val="22"/>
              </w:rPr>
              <w:t>Урок 102</w:t>
            </w:r>
          </w:p>
        </w:tc>
        <w:tc>
          <w:tcPr>
            <w:tcW w:w="7937" w:type="dxa"/>
          </w:tcPr>
          <w:p w14:paraId="705AD22C">
            <w:pPr>
              <w:pStyle w:val="85"/>
              <w:jc w:val="both"/>
              <w:rPr>
                <w:color w:val="auto"/>
                <w:sz w:val="22"/>
                <w:szCs w:val="22"/>
              </w:rPr>
            </w:pPr>
            <w:r>
              <w:rPr>
                <w:color w:val="auto"/>
                <w:sz w:val="22"/>
                <w:szCs w:val="22"/>
              </w:rPr>
              <w:t>Красота весенней природы, отраженная в лирических произведениях. Произведения по выбору, например, Ф.И. Тютчев "Весенние воды"</w:t>
            </w:r>
          </w:p>
        </w:tc>
      </w:tr>
      <w:tr w14:paraId="37D451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209FA8C2">
            <w:pPr>
              <w:pStyle w:val="85"/>
              <w:rPr>
                <w:color w:val="auto"/>
                <w:sz w:val="22"/>
                <w:szCs w:val="22"/>
              </w:rPr>
            </w:pPr>
            <w:r>
              <w:rPr>
                <w:color w:val="auto"/>
                <w:sz w:val="22"/>
                <w:szCs w:val="22"/>
              </w:rPr>
              <w:t>Урок 103</w:t>
            </w:r>
          </w:p>
        </w:tc>
        <w:tc>
          <w:tcPr>
            <w:tcW w:w="7937" w:type="dxa"/>
          </w:tcPr>
          <w:p w14:paraId="6CE7D7E3">
            <w:pPr>
              <w:pStyle w:val="85"/>
              <w:jc w:val="both"/>
              <w:rPr>
                <w:color w:val="auto"/>
                <w:sz w:val="22"/>
                <w:szCs w:val="22"/>
              </w:rPr>
            </w:pPr>
            <w:r>
              <w:rPr>
                <w:color w:val="auto"/>
                <w:sz w:val="22"/>
                <w:szCs w:val="22"/>
              </w:rPr>
              <w:t>Звуки весеннего леса и картины пробуждающейся природы в произведения писателей. Произведения по выбору, например, Г.А. Скребицкий "Весенняя песня"</w:t>
            </w:r>
          </w:p>
        </w:tc>
      </w:tr>
      <w:tr w14:paraId="386CF9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374DF40E">
            <w:pPr>
              <w:pStyle w:val="85"/>
              <w:rPr>
                <w:color w:val="auto"/>
                <w:sz w:val="22"/>
                <w:szCs w:val="22"/>
              </w:rPr>
            </w:pPr>
            <w:r>
              <w:rPr>
                <w:color w:val="auto"/>
                <w:sz w:val="22"/>
                <w:szCs w:val="22"/>
              </w:rPr>
              <w:t>Урок 104</w:t>
            </w:r>
          </w:p>
        </w:tc>
        <w:tc>
          <w:tcPr>
            <w:tcW w:w="7937" w:type="dxa"/>
          </w:tcPr>
          <w:p w14:paraId="10327C48">
            <w:pPr>
              <w:pStyle w:val="85"/>
              <w:jc w:val="both"/>
              <w:rPr>
                <w:color w:val="auto"/>
                <w:sz w:val="22"/>
                <w:szCs w:val="22"/>
              </w:rPr>
            </w:pPr>
            <w:r>
              <w:rPr>
                <w:color w:val="auto"/>
                <w:sz w:val="22"/>
                <w:szCs w:val="22"/>
              </w:rPr>
              <w:t>Признаки весны, отраженные в произведениях писателей. Картины весны в стихотворениях разных поэтов. Сравнение стихотворений</w:t>
            </w:r>
          </w:p>
        </w:tc>
      </w:tr>
      <w:tr w14:paraId="1F5FEA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1511DD7D">
            <w:pPr>
              <w:pStyle w:val="85"/>
              <w:rPr>
                <w:color w:val="auto"/>
                <w:sz w:val="22"/>
                <w:szCs w:val="22"/>
              </w:rPr>
            </w:pPr>
            <w:r>
              <w:rPr>
                <w:color w:val="auto"/>
                <w:sz w:val="22"/>
                <w:szCs w:val="22"/>
              </w:rPr>
              <w:t>Урок 105</w:t>
            </w:r>
          </w:p>
        </w:tc>
        <w:tc>
          <w:tcPr>
            <w:tcW w:w="7937" w:type="dxa"/>
          </w:tcPr>
          <w:p w14:paraId="47EAFE2D">
            <w:pPr>
              <w:pStyle w:val="85"/>
              <w:jc w:val="both"/>
              <w:rPr>
                <w:color w:val="auto"/>
                <w:sz w:val="22"/>
                <w:szCs w:val="22"/>
              </w:rPr>
            </w:pPr>
            <w:r>
              <w:rPr>
                <w:color w:val="auto"/>
                <w:sz w:val="22"/>
                <w:szCs w:val="22"/>
              </w:rPr>
              <w:t>Сравнение образов одуванчика в произведениях О.И. Высотской "Одуванчик" и М.М. Пришвина "Золотой луг"</w:t>
            </w:r>
          </w:p>
        </w:tc>
      </w:tr>
      <w:tr w14:paraId="7C94BD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tcPr>
          <w:p w14:paraId="6544D280">
            <w:pPr>
              <w:pStyle w:val="85"/>
              <w:rPr>
                <w:color w:val="auto"/>
                <w:sz w:val="22"/>
                <w:szCs w:val="22"/>
              </w:rPr>
            </w:pPr>
            <w:r>
              <w:rPr>
                <w:color w:val="auto"/>
                <w:sz w:val="22"/>
                <w:szCs w:val="22"/>
              </w:rPr>
              <w:t>Урок 106</w:t>
            </w:r>
          </w:p>
        </w:tc>
        <w:tc>
          <w:tcPr>
            <w:tcW w:w="7937" w:type="dxa"/>
          </w:tcPr>
          <w:p w14:paraId="0ECD5A29">
            <w:pPr>
              <w:pStyle w:val="85"/>
              <w:jc w:val="both"/>
              <w:rPr>
                <w:color w:val="auto"/>
                <w:sz w:val="22"/>
                <w:szCs w:val="22"/>
              </w:rPr>
            </w:pPr>
            <w:r>
              <w:rPr>
                <w:color w:val="auto"/>
                <w:sz w:val="22"/>
                <w:szCs w:val="22"/>
              </w:rPr>
              <w:t>Резервный урок. Восприятие лета в произведении И.З. Сурикова "Лето"</w:t>
            </w:r>
          </w:p>
        </w:tc>
      </w:tr>
      <w:tr w14:paraId="776B43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0040AE91">
            <w:pPr>
              <w:pStyle w:val="85"/>
              <w:rPr>
                <w:color w:val="auto"/>
                <w:sz w:val="22"/>
                <w:szCs w:val="22"/>
              </w:rPr>
            </w:pPr>
            <w:r>
              <w:rPr>
                <w:color w:val="auto"/>
                <w:sz w:val="22"/>
                <w:szCs w:val="22"/>
              </w:rPr>
              <w:t>Урок 107</w:t>
            </w:r>
          </w:p>
        </w:tc>
        <w:tc>
          <w:tcPr>
            <w:tcW w:w="7937" w:type="dxa"/>
          </w:tcPr>
          <w:p w14:paraId="728F61CC">
            <w:pPr>
              <w:pStyle w:val="85"/>
              <w:jc w:val="both"/>
              <w:rPr>
                <w:color w:val="auto"/>
                <w:sz w:val="22"/>
                <w:szCs w:val="22"/>
              </w:rPr>
            </w:pPr>
            <w:r>
              <w:rPr>
                <w:color w:val="auto"/>
                <w:sz w:val="22"/>
                <w:szCs w:val="22"/>
              </w:rPr>
              <w:t>Составление устного рассказа "Краски и звуки весеннего леса" по изученным текстам</w:t>
            </w:r>
          </w:p>
        </w:tc>
      </w:tr>
      <w:tr w14:paraId="06B83C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44016601">
            <w:pPr>
              <w:pStyle w:val="85"/>
              <w:rPr>
                <w:color w:val="auto"/>
                <w:sz w:val="22"/>
                <w:szCs w:val="22"/>
              </w:rPr>
            </w:pPr>
            <w:r>
              <w:rPr>
                <w:color w:val="auto"/>
                <w:sz w:val="22"/>
                <w:szCs w:val="22"/>
              </w:rPr>
              <w:t>Урок 108</w:t>
            </w:r>
          </w:p>
        </w:tc>
        <w:tc>
          <w:tcPr>
            <w:tcW w:w="7937" w:type="dxa"/>
          </w:tcPr>
          <w:p w14:paraId="3BB49400">
            <w:pPr>
              <w:pStyle w:val="85"/>
              <w:jc w:val="both"/>
              <w:rPr>
                <w:color w:val="auto"/>
                <w:sz w:val="22"/>
                <w:szCs w:val="22"/>
              </w:rPr>
            </w:pPr>
            <w:r>
              <w:rPr>
                <w:color w:val="auto"/>
                <w:sz w:val="22"/>
                <w:szCs w:val="22"/>
              </w:rPr>
              <w:t>Тематическое потворение по итогам раздела "Звуки и краски весенней природы"</w:t>
            </w:r>
          </w:p>
        </w:tc>
      </w:tr>
      <w:tr w14:paraId="477026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68A0EFF1">
            <w:pPr>
              <w:pStyle w:val="85"/>
              <w:rPr>
                <w:color w:val="auto"/>
                <w:sz w:val="22"/>
                <w:szCs w:val="22"/>
              </w:rPr>
            </w:pPr>
            <w:r>
              <w:rPr>
                <w:color w:val="auto"/>
                <w:sz w:val="22"/>
                <w:szCs w:val="22"/>
              </w:rPr>
              <w:t>Урок 109</w:t>
            </w:r>
          </w:p>
        </w:tc>
        <w:tc>
          <w:tcPr>
            <w:tcW w:w="7937" w:type="dxa"/>
          </w:tcPr>
          <w:p w14:paraId="4E717284">
            <w:pPr>
              <w:pStyle w:val="85"/>
              <w:jc w:val="both"/>
              <w:rPr>
                <w:color w:val="auto"/>
                <w:sz w:val="22"/>
                <w:szCs w:val="22"/>
              </w:rPr>
            </w:pPr>
            <w:r>
              <w:rPr>
                <w:color w:val="auto"/>
                <w:sz w:val="22"/>
                <w:szCs w:val="22"/>
              </w:rPr>
              <w:t>Тема "Природа весной" в картинах художников и произведениях композиторов. Образы пробуждающейся природы в живописи и музыки.</w:t>
            </w:r>
          </w:p>
        </w:tc>
      </w:tr>
      <w:tr w14:paraId="5FCCB0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6BF5C345">
            <w:pPr>
              <w:pStyle w:val="85"/>
              <w:rPr>
                <w:color w:val="auto"/>
                <w:sz w:val="22"/>
                <w:szCs w:val="22"/>
              </w:rPr>
            </w:pPr>
            <w:r>
              <w:rPr>
                <w:color w:val="auto"/>
                <w:sz w:val="22"/>
                <w:szCs w:val="22"/>
              </w:rPr>
              <w:t>Урок 110</w:t>
            </w:r>
          </w:p>
        </w:tc>
        <w:tc>
          <w:tcPr>
            <w:tcW w:w="7937" w:type="dxa"/>
          </w:tcPr>
          <w:p w14:paraId="3AE156CB">
            <w:pPr>
              <w:pStyle w:val="85"/>
              <w:jc w:val="both"/>
              <w:rPr>
                <w:color w:val="auto"/>
                <w:sz w:val="22"/>
                <w:szCs w:val="22"/>
              </w:rPr>
            </w:pPr>
            <w:r>
              <w:rPr>
                <w:color w:val="auto"/>
                <w:sz w:val="22"/>
                <w:szCs w:val="22"/>
              </w:rPr>
              <w:t>Характеристика особенностей колыбельных народных песен: интонационный рисунок</w:t>
            </w:r>
          </w:p>
        </w:tc>
      </w:tr>
      <w:tr w14:paraId="1186E0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134" w:type="dxa"/>
            <w:vAlign w:val="center"/>
          </w:tcPr>
          <w:p w14:paraId="589A53D1">
            <w:pPr>
              <w:pStyle w:val="85"/>
              <w:rPr>
                <w:color w:val="auto"/>
                <w:sz w:val="22"/>
                <w:szCs w:val="22"/>
              </w:rPr>
            </w:pPr>
            <w:r>
              <w:rPr>
                <w:color w:val="auto"/>
                <w:sz w:val="22"/>
                <w:szCs w:val="22"/>
              </w:rPr>
              <w:t>Урок 111</w:t>
            </w:r>
          </w:p>
        </w:tc>
        <w:tc>
          <w:tcPr>
            <w:tcW w:w="7937" w:type="dxa"/>
          </w:tcPr>
          <w:p w14:paraId="6B5AE74E">
            <w:pPr>
              <w:pStyle w:val="85"/>
              <w:jc w:val="both"/>
              <w:rPr>
                <w:color w:val="auto"/>
                <w:sz w:val="22"/>
                <w:szCs w:val="22"/>
              </w:rPr>
            </w:pPr>
            <w:r>
              <w:rPr>
                <w:color w:val="auto"/>
                <w:sz w:val="22"/>
                <w:szCs w:val="22"/>
              </w:rPr>
              <w:t>Сравнение народной колыбельной песни и стихотворения А.А. Плещеева "Песня матери": любовь и переживание матери</w:t>
            </w:r>
          </w:p>
        </w:tc>
      </w:tr>
      <w:tr w14:paraId="3FB8F1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4C55997C">
            <w:pPr>
              <w:pStyle w:val="85"/>
              <w:rPr>
                <w:color w:val="auto"/>
                <w:sz w:val="22"/>
                <w:szCs w:val="22"/>
              </w:rPr>
            </w:pPr>
            <w:r>
              <w:rPr>
                <w:color w:val="auto"/>
                <w:sz w:val="22"/>
                <w:szCs w:val="22"/>
              </w:rPr>
              <w:t>Урок 112</w:t>
            </w:r>
          </w:p>
        </w:tc>
        <w:tc>
          <w:tcPr>
            <w:tcW w:w="7937" w:type="dxa"/>
          </w:tcPr>
          <w:p w14:paraId="51596C0C">
            <w:pPr>
              <w:pStyle w:val="85"/>
              <w:jc w:val="both"/>
              <w:rPr>
                <w:color w:val="auto"/>
                <w:sz w:val="22"/>
                <w:szCs w:val="22"/>
              </w:rPr>
            </w:pPr>
            <w:r>
              <w:rPr>
                <w:color w:val="auto"/>
                <w:sz w:val="22"/>
                <w:szCs w:val="22"/>
              </w:rPr>
              <w:t>Нравственные семейные ценности в фольклорных (народных) сказках. Произведения по выбору, например, татарская народная сказка "Три дочери"</w:t>
            </w:r>
          </w:p>
        </w:tc>
      </w:tr>
      <w:tr w14:paraId="66C879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tcPr>
          <w:p w14:paraId="3CE13350">
            <w:pPr>
              <w:pStyle w:val="85"/>
              <w:rPr>
                <w:color w:val="auto"/>
                <w:sz w:val="22"/>
                <w:szCs w:val="22"/>
              </w:rPr>
            </w:pPr>
            <w:r>
              <w:rPr>
                <w:color w:val="auto"/>
                <w:sz w:val="22"/>
                <w:szCs w:val="22"/>
              </w:rPr>
              <w:t>Урок 113</w:t>
            </w:r>
          </w:p>
        </w:tc>
        <w:tc>
          <w:tcPr>
            <w:tcW w:w="7937" w:type="dxa"/>
          </w:tcPr>
          <w:p w14:paraId="4B3496EC">
            <w:pPr>
              <w:pStyle w:val="85"/>
              <w:jc w:val="both"/>
              <w:rPr>
                <w:color w:val="auto"/>
                <w:sz w:val="22"/>
                <w:szCs w:val="22"/>
              </w:rPr>
            </w:pPr>
            <w:r>
              <w:rPr>
                <w:color w:val="auto"/>
                <w:sz w:val="22"/>
                <w:szCs w:val="22"/>
              </w:rPr>
              <w:t>Международный женский день - тема художественных произведений</w:t>
            </w:r>
          </w:p>
        </w:tc>
      </w:tr>
      <w:tr w14:paraId="604331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2D7617BA">
            <w:pPr>
              <w:pStyle w:val="85"/>
              <w:rPr>
                <w:color w:val="auto"/>
                <w:sz w:val="22"/>
                <w:szCs w:val="22"/>
              </w:rPr>
            </w:pPr>
            <w:r>
              <w:rPr>
                <w:color w:val="auto"/>
                <w:sz w:val="22"/>
                <w:szCs w:val="22"/>
              </w:rPr>
              <w:t>Урок 114</w:t>
            </w:r>
          </w:p>
        </w:tc>
        <w:tc>
          <w:tcPr>
            <w:tcW w:w="7937" w:type="dxa"/>
          </w:tcPr>
          <w:p w14:paraId="0D8CBE4C">
            <w:pPr>
              <w:pStyle w:val="85"/>
              <w:jc w:val="both"/>
              <w:rPr>
                <w:color w:val="auto"/>
                <w:sz w:val="22"/>
                <w:szCs w:val="22"/>
              </w:rPr>
            </w:pPr>
            <w:r>
              <w:rPr>
                <w:color w:val="auto"/>
                <w:sz w:val="22"/>
                <w:szCs w:val="22"/>
              </w:rPr>
              <w:t>Восприятие произведений о маме: проявление любви и радости общения. Произведения по выбору, например, А.П. Плещеев "В бурю"</w:t>
            </w:r>
          </w:p>
        </w:tc>
      </w:tr>
      <w:tr w14:paraId="4C1042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134" w:type="dxa"/>
            <w:vAlign w:val="center"/>
          </w:tcPr>
          <w:p w14:paraId="606C9607">
            <w:pPr>
              <w:pStyle w:val="85"/>
              <w:rPr>
                <w:color w:val="auto"/>
                <w:sz w:val="22"/>
                <w:szCs w:val="22"/>
              </w:rPr>
            </w:pPr>
            <w:r>
              <w:rPr>
                <w:color w:val="auto"/>
                <w:sz w:val="22"/>
                <w:szCs w:val="22"/>
              </w:rPr>
              <w:t>Урок 115</w:t>
            </w:r>
          </w:p>
        </w:tc>
        <w:tc>
          <w:tcPr>
            <w:tcW w:w="7937" w:type="dxa"/>
          </w:tcPr>
          <w:p w14:paraId="6175281B">
            <w:pPr>
              <w:pStyle w:val="85"/>
              <w:jc w:val="both"/>
              <w:rPr>
                <w:color w:val="auto"/>
                <w:sz w:val="22"/>
                <w:szCs w:val="22"/>
              </w:rPr>
            </w:pPr>
            <w:r>
              <w:rPr>
                <w:color w:val="auto"/>
                <w:sz w:val="22"/>
                <w:szCs w:val="22"/>
              </w:rPr>
              <w:t>Отражение темы День Победы в произведениях С.А. Баруздина "Салют" и С.А. Васильева "Белая береза"</w:t>
            </w:r>
          </w:p>
        </w:tc>
      </w:tr>
      <w:tr w14:paraId="19F944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745FFD5D">
            <w:pPr>
              <w:pStyle w:val="85"/>
              <w:rPr>
                <w:color w:val="auto"/>
                <w:sz w:val="22"/>
                <w:szCs w:val="22"/>
              </w:rPr>
            </w:pPr>
            <w:r>
              <w:rPr>
                <w:color w:val="auto"/>
                <w:sz w:val="22"/>
                <w:szCs w:val="22"/>
              </w:rPr>
              <w:t>Урок 116</w:t>
            </w:r>
          </w:p>
        </w:tc>
        <w:tc>
          <w:tcPr>
            <w:tcW w:w="7937" w:type="dxa"/>
          </w:tcPr>
          <w:p w14:paraId="765BDA68">
            <w:pPr>
              <w:pStyle w:val="85"/>
              <w:jc w:val="both"/>
              <w:rPr>
                <w:color w:val="auto"/>
                <w:sz w:val="22"/>
                <w:szCs w:val="22"/>
              </w:rPr>
            </w:pPr>
            <w:r>
              <w:rPr>
                <w:color w:val="auto"/>
                <w:sz w:val="22"/>
                <w:szCs w:val="22"/>
              </w:rPr>
              <w:t>Тематическое повторение по итогам раздела "О наших близких, о семье"</w:t>
            </w:r>
          </w:p>
        </w:tc>
      </w:tr>
      <w:tr w14:paraId="3CB346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6EF76E0D">
            <w:pPr>
              <w:pStyle w:val="85"/>
              <w:rPr>
                <w:color w:val="auto"/>
                <w:sz w:val="22"/>
                <w:szCs w:val="22"/>
              </w:rPr>
            </w:pPr>
            <w:r>
              <w:rPr>
                <w:color w:val="auto"/>
                <w:sz w:val="22"/>
                <w:szCs w:val="22"/>
              </w:rPr>
              <w:t>Урок 117</w:t>
            </w:r>
          </w:p>
        </w:tc>
        <w:tc>
          <w:tcPr>
            <w:tcW w:w="7937" w:type="dxa"/>
          </w:tcPr>
          <w:p w14:paraId="19AA5381">
            <w:pPr>
              <w:pStyle w:val="85"/>
              <w:jc w:val="both"/>
              <w:rPr>
                <w:color w:val="auto"/>
                <w:sz w:val="22"/>
                <w:szCs w:val="22"/>
              </w:rPr>
            </w:pPr>
            <w:r>
              <w:rPr>
                <w:color w:val="auto"/>
                <w:sz w:val="22"/>
                <w:szCs w:val="22"/>
              </w:rPr>
              <w:t>Работа с детскими книгами на тему: "О наших близких, о семье": выбор книг на основе тематической картотеки</w:t>
            </w:r>
          </w:p>
        </w:tc>
      </w:tr>
      <w:tr w14:paraId="05A7A7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412B18CF">
            <w:pPr>
              <w:pStyle w:val="85"/>
              <w:rPr>
                <w:color w:val="auto"/>
                <w:sz w:val="22"/>
                <w:szCs w:val="22"/>
              </w:rPr>
            </w:pPr>
            <w:r>
              <w:rPr>
                <w:color w:val="auto"/>
                <w:sz w:val="22"/>
                <w:szCs w:val="22"/>
              </w:rPr>
              <w:t>Урок 118</w:t>
            </w:r>
          </w:p>
        </w:tc>
        <w:tc>
          <w:tcPr>
            <w:tcW w:w="7937" w:type="dxa"/>
          </w:tcPr>
          <w:p w14:paraId="698E8C44">
            <w:pPr>
              <w:pStyle w:val="85"/>
              <w:jc w:val="both"/>
              <w:rPr>
                <w:color w:val="auto"/>
                <w:sz w:val="22"/>
                <w:szCs w:val="22"/>
              </w:rPr>
            </w:pPr>
            <w:r>
              <w:rPr>
                <w:color w:val="auto"/>
                <w:sz w:val="22"/>
                <w:szCs w:val="22"/>
              </w:rPr>
              <w:t>Резервный урок. Шутливое искажение действительности. На примере произведений А.И. Введенского "Ученый Петя", Д.И. Хармса "Врун"</w:t>
            </w:r>
          </w:p>
        </w:tc>
      </w:tr>
      <w:tr w14:paraId="6E9E0E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4B31F046">
            <w:pPr>
              <w:pStyle w:val="85"/>
              <w:rPr>
                <w:color w:val="auto"/>
                <w:sz w:val="22"/>
                <w:szCs w:val="22"/>
              </w:rPr>
            </w:pPr>
            <w:r>
              <w:rPr>
                <w:color w:val="auto"/>
                <w:sz w:val="22"/>
                <w:szCs w:val="22"/>
              </w:rPr>
              <w:t>Урок 119</w:t>
            </w:r>
          </w:p>
        </w:tc>
        <w:tc>
          <w:tcPr>
            <w:tcW w:w="7937" w:type="dxa"/>
          </w:tcPr>
          <w:p w14:paraId="3A2CA0A5">
            <w:pPr>
              <w:pStyle w:val="85"/>
              <w:jc w:val="both"/>
              <w:rPr>
                <w:color w:val="auto"/>
                <w:sz w:val="22"/>
                <w:szCs w:val="22"/>
              </w:rPr>
            </w:pPr>
            <w:r>
              <w:rPr>
                <w:color w:val="auto"/>
                <w:sz w:val="22"/>
                <w:szCs w:val="22"/>
              </w:rPr>
              <w:t>Резервный урок. Средства создания комического в произведении. На примере произведения Э.Н. Успенского "Над нашей квартирой"</w:t>
            </w:r>
          </w:p>
        </w:tc>
      </w:tr>
      <w:tr w14:paraId="1ADA88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42427C3C">
            <w:pPr>
              <w:pStyle w:val="85"/>
              <w:rPr>
                <w:color w:val="auto"/>
                <w:sz w:val="22"/>
                <w:szCs w:val="22"/>
              </w:rPr>
            </w:pPr>
            <w:r>
              <w:rPr>
                <w:color w:val="auto"/>
                <w:sz w:val="22"/>
                <w:szCs w:val="22"/>
              </w:rPr>
              <w:t>Урок 120</w:t>
            </w:r>
          </w:p>
        </w:tc>
        <w:tc>
          <w:tcPr>
            <w:tcW w:w="7937" w:type="dxa"/>
          </w:tcPr>
          <w:p w14:paraId="44E70E44">
            <w:pPr>
              <w:pStyle w:val="85"/>
              <w:jc w:val="both"/>
              <w:rPr>
                <w:color w:val="auto"/>
                <w:sz w:val="22"/>
                <w:szCs w:val="22"/>
              </w:rPr>
            </w:pPr>
            <w:r>
              <w:rPr>
                <w:color w:val="auto"/>
                <w:sz w:val="22"/>
                <w:szCs w:val="22"/>
              </w:rPr>
              <w:t>Герои литературной (авторской) сказки. На примере произведения Э.Н. Успенского "Чебурашка"</w:t>
            </w:r>
          </w:p>
        </w:tc>
      </w:tr>
      <w:tr w14:paraId="3E59EC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6564C1D0">
            <w:pPr>
              <w:pStyle w:val="85"/>
              <w:rPr>
                <w:color w:val="auto"/>
                <w:sz w:val="22"/>
                <w:szCs w:val="22"/>
              </w:rPr>
            </w:pPr>
            <w:r>
              <w:rPr>
                <w:color w:val="auto"/>
                <w:sz w:val="22"/>
                <w:szCs w:val="22"/>
              </w:rPr>
              <w:t>Урок 121</w:t>
            </w:r>
          </w:p>
        </w:tc>
        <w:tc>
          <w:tcPr>
            <w:tcW w:w="7937" w:type="dxa"/>
          </w:tcPr>
          <w:p w14:paraId="1EF9BCFE">
            <w:pPr>
              <w:pStyle w:val="85"/>
              <w:jc w:val="both"/>
              <w:rPr>
                <w:color w:val="auto"/>
                <w:sz w:val="22"/>
                <w:szCs w:val="22"/>
              </w:rPr>
            </w:pPr>
            <w:r>
              <w:rPr>
                <w:color w:val="auto"/>
                <w:sz w:val="22"/>
                <w:szCs w:val="22"/>
              </w:rPr>
              <w:t>Выделение главной мысли (идеи) рассказа В.Ю. Драгунского "Тайное становится явным"</w:t>
            </w:r>
          </w:p>
        </w:tc>
      </w:tr>
      <w:tr w14:paraId="42269A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07EBF503">
            <w:pPr>
              <w:pStyle w:val="85"/>
              <w:rPr>
                <w:color w:val="auto"/>
                <w:sz w:val="22"/>
                <w:szCs w:val="22"/>
              </w:rPr>
            </w:pPr>
            <w:r>
              <w:rPr>
                <w:color w:val="auto"/>
                <w:sz w:val="22"/>
                <w:szCs w:val="22"/>
              </w:rPr>
              <w:t>Урок 122</w:t>
            </w:r>
          </w:p>
        </w:tc>
        <w:tc>
          <w:tcPr>
            <w:tcW w:w="7937" w:type="dxa"/>
          </w:tcPr>
          <w:p w14:paraId="120C6A39">
            <w:pPr>
              <w:pStyle w:val="85"/>
              <w:jc w:val="both"/>
              <w:rPr>
                <w:color w:val="auto"/>
                <w:sz w:val="22"/>
                <w:szCs w:val="22"/>
              </w:rPr>
            </w:pPr>
            <w:r>
              <w:rPr>
                <w:color w:val="auto"/>
                <w:sz w:val="22"/>
                <w:szCs w:val="22"/>
              </w:rPr>
              <w:t>Сходство тем и сюжетов сказок разных народов. Произведения по выбору, например, английская народная сказка "Как Джек ходил счастье искать"</w:t>
            </w:r>
          </w:p>
        </w:tc>
      </w:tr>
      <w:tr w14:paraId="6E5A68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53131D1B">
            <w:pPr>
              <w:pStyle w:val="85"/>
              <w:rPr>
                <w:color w:val="auto"/>
                <w:sz w:val="22"/>
                <w:szCs w:val="22"/>
              </w:rPr>
            </w:pPr>
            <w:r>
              <w:rPr>
                <w:color w:val="auto"/>
                <w:sz w:val="22"/>
                <w:szCs w:val="22"/>
              </w:rPr>
              <w:t>Урок 123</w:t>
            </w:r>
          </w:p>
        </w:tc>
        <w:tc>
          <w:tcPr>
            <w:tcW w:w="7937" w:type="dxa"/>
          </w:tcPr>
          <w:p w14:paraId="0DCE31AF">
            <w:pPr>
              <w:pStyle w:val="85"/>
              <w:jc w:val="both"/>
              <w:rPr>
                <w:color w:val="auto"/>
                <w:sz w:val="22"/>
                <w:szCs w:val="22"/>
              </w:rPr>
            </w:pPr>
            <w:r>
              <w:rPr>
                <w:color w:val="auto"/>
                <w:sz w:val="22"/>
                <w:szCs w:val="22"/>
              </w:rPr>
              <w:t>Хитрец и глупец в фольклорных (народных) сказках. Произведения по выбору, например, норвежская сказка "Лис Миккель и медведь Бамсе" и русская народная сказка "Вершки и корешки"</w:t>
            </w:r>
          </w:p>
        </w:tc>
      </w:tr>
      <w:tr w14:paraId="423432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491500F0">
            <w:pPr>
              <w:pStyle w:val="85"/>
              <w:rPr>
                <w:color w:val="auto"/>
                <w:sz w:val="22"/>
                <w:szCs w:val="22"/>
              </w:rPr>
            </w:pPr>
            <w:r>
              <w:rPr>
                <w:color w:val="auto"/>
                <w:sz w:val="22"/>
                <w:szCs w:val="22"/>
              </w:rPr>
              <w:t>Урок 124</w:t>
            </w:r>
          </w:p>
        </w:tc>
        <w:tc>
          <w:tcPr>
            <w:tcW w:w="7937" w:type="dxa"/>
          </w:tcPr>
          <w:p w14:paraId="707643B7">
            <w:pPr>
              <w:pStyle w:val="85"/>
              <w:jc w:val="both"/>
              <w:rPr>
                <w:color w:val="auto"/>
                <w:sz w:val="22"/>
                <w:szCs w:val="22"/>
              </w:rPr>
            </w:pPr>
            <w:r>
              <w:rPr>
                <w:color w:val="auto"/>
                <w:sz w:val="22"/>
                <w:szCs w:val="22"/>
              </w:rPr>
              <w:t>Отражение темы дружбы в сказке братьев Гримм "Бременские музыканты"</w:t>
            </w:r>
          </w:p>
        </w:tc>
      </w:tr>
      <w:tr w14:paraId="062C13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356E4419">
            <w:pPr>
              <w:pStyle w:val="85"/>
              <w:rPr>
                <w:color w:val="auto"/>
                <w:sz w:val="22"/>
                <w:szCs w:val="22"/>
              </w:rPr>
            </w:pPr>
            <w:r>
              <w:rPr>
                <w:color w:val="auto"/>
                <w:sz w:val="22"/>
                <w:szCs w:val="22"/>
              </w:rPr>
              <w:t>Урок 125</w:t>
            </w:r>
          </w:p>
        </w:tc>
        <w:tc>
          <w:tcPr>
            <w:tcW w:w="7937" w:type="dxa"/>
          </w:tcPr>
          <w:p w14:paraId="78BBAFD9">
            <w:pPr>
              <w:pStyle w:val="85"/>
              <w:jc w:val="both"/>
              <w:rPr>
                <w:color w:val="auto"/>
                <w:sz w:val="22"/>
                <w:szCs w:val="22"/>
              </w:rPr>
            </w:pPr>
            <w:r>
              <w:rPr>
                <w:color w:val="auto"/>
                <w:sz w:val="22"/>
                <w:szCs w:val="22"/>
              </w:rPr>
              <w:t>Работа со сказкой братьев Гримм "Бременские музыканты": составление плана произведения</w:t>
            </w:r>
          </w:p>
        </w:tc>
      </w:tr>
      <w:tr w14:paraId="16A3B9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103192DC">
            <w:pPr>
              <w:pStyle w:val="85"/>
              <w:rPr>
                <w:color w:val="auto"/>
                <w:sz w:val="22"/>
                <w:szCs w:val="22"/>
              </w:rPr>
            </w:pPr>
            <w:r>
              <w:rPr>
                <w:color w:val="auto"/>
                <w:sz w:val="22"/>
                <w:szCs w:val="22"/>
              </w:rPr>
              <w:t>Урок 126</w:t>
            </w:r>
          </w:p>
        </w:tc>
        <w:tc>
          <w:tcPr>
            <w:tcW w:w="7937" w:type="dxa"/>
          </w:tcPr>
          <w:p w14:paraId="3C1D3A6B">
            <w:pPr>
              <w:pStyle w:val="85"/>
              <w:jc w:val="both"/>
              <w:rPr>
                <w:color w:val="auto"/>
                <w:sz w:val="22"/>
                <w:szCs w:val="22"/>
              </w:rPr>
            </w:pPr>
            <w:r>
              <w:rPr>
                <w:color w:val="auto"/>
                <w:sz w:val="22"/>
                <w:szCs w:val="22"/>
              </w:rPr>
              <w:t>Работа с детскими книгами на тему: "Зарубежные сказочники": соотнесение иллюстраций с содержанием сказок</w:t>
            </w:r>
          </w:p>
        </w:tc>
      </w:tr>
      <w:tr w14:paraId="643B1C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5F37159B">
            <w:pPr>
              <w:pStyle w:val="85"/>
              <w:rPr>
                <w:color w:val="auto"/>
                <w:sz w:val="22"/>
                <w:szCs w:val="22"/>
              </w:rPr>
            </w:pPr>
            <w:r>
              <w:rPr>
                <w:color w:val="auto"/>
                <w:sz w:val="22"/>
                <w:szCs w:val="22"/>
              </w:rPr>
              <w:t>Урок 127</w:t>
            </w:r>
          </w:p>
        </w:tc>
        <w:tc>
          <w:tcPr>
            <w:tcW w:w="7937" w:type="dxa"/>
          </w:tcPr>
          <w:p w14:paraId="7F72E1C2">
            <w:pPr>
              <w:pStyle w:val="85"/>
              <w:jc w:val="both"/>
              <w:rPr>
                <w:color w:val="auto"/>
                <w:sz w:val="22"/>
                <w:szCs w:val="22"/>
              </w:rPr>
            </w:pPr>
            <w:r>
              <w:rPr>
                <w:color w:val="auto"/>
                <w:sz w:val="22"/>
                <w:szCs w:val="22"/>
              </w:rPr>
              <w:t>Фантазеры и мечтатели - герои произведений. Произведения по выбору, например, английские народные песенки</w:t>
            </w:r>
          </w:p>
        </w:tc>
      </w:tr>
      <w:tr w14:paraId="7B373D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tcPr>
          <w:p w14:paraId="2BF4ED08">
            <w:pPr>
              <w:pStyle w:val="85"/>
              <w:rPr>
                <w:color w:val="auto"/>
                <w:sz w:val="22"/>
                <w:szCs w:val="22"/>
              </w:rPr>
            </w:pPr>
            <w:r>
              <w:rPr>
                <w:color w:val="auto"/>
                <w:sz w:val="22"/>
                <w:szCs w:val="22"/>
              </w:rPr>
              <w:t>Урок 128</w:t>
            </w:r>
          </w:p>
        </w:tc>
        <w:tc>
          <w:tcPr>
            <w:tcW w:w="7937" w:type="dxa"/>
          </w:tcPr>
          <w:p w14:paraId="17775B03">
            <w:pPr>
              <w:pStyle w:val="85"/>
              <w:jc w:val="both"/>
              <w:rPr>
                <w:color w:val="auto"/>
                <w:sz w:val="22"/>
                <w:szCs w:val="22"/>
              </w:rPr>
            </w:pPr>
            <w:r>
              <w:rPr>
                <w:color w:val="auto"/>
                <w:sz w:val="22"/>
                <w:szCs w:val="22"/>
              </w:rPr>
              <w:t>Особенности построения волшебной сказки Ш. Перро "Кот в сапогах"</w:t>
            </w:r>
          </w:p>
        </w:tc>
      </w:tr>
      <w:tr w14:paraId="16AC0E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tcPr>
          <w:p w14:paraId="2C44ECD4">
            <w:pPr>
              <w:pStyle w:val="85"/>
              <w:rPr>
                <w:color w:val="auto"/>
                <w:sz w:val="22"/>
                <w:szCs w:val="22"/>
              </w:rPr>
            </w:pPr>
            <w:r>
              <w:rPr>
                <w:color w:val="auto"/>
                <w:sz w:val="22"/>
                <w:szCs w:val="22"/>
              </w:rPr>
              <w:t>Урок 129</w:t>
            </w:r>
          </w:p>
        </w:tc>
        <w:tc>
          <w:tcPr>
            <w:tcW w:w="7937" w:type="dxa"/>
          </w:tcPr>
          <w:p w14:paraId="788A6B78">
            <w:pPr>
              <w:pStyle w:val="85"/>
              <w:jc w:val="both"/>
              <w:rPr>
                <w:color w:val="auto"/>
                <w:sz w:val="22"/>
                <w:szCs w:val="22"/>
              </w:rPr>
            </w:pPr>
            <w:r>
              <w:rPr>
                <w:color w:val="auto"/>
                <w:sz w:val="22"/>
                <w:szCs w:val="22"/>
              </w:rPr>
              <w:t>Характеристика героев сказки Ш. Перро "Кот в сапогах"</w:t>
            </w:r>
          </w:p>
        </w:tc>
      </w:tr>
      <w:tr w14:paraId="208551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4829A32F">
            <w:pPr>
              <w:pStyle w:val="85"/>
              <w:rPr>
                <w:color w:val="auto"/>
                <w:sz w:val="22"/>
                <w:szCs w:val="22"/>
              </w:rPr>
            </w:pPr>
            <w:r>
              <w:rPr>
                <w:color w:val="auto"/>
                <w:sz w:val="22"/>
                <w:szCs w:val="22"/>
              </w:rPr>
              <w:t>Урок 130</w:t>
            </w:r>
          </w:p>
        </w:tc>
        <w:tc>
          <w:tcPr>
            <w:tcW w:w="7937" w:type="dxa"/>
          </w:tcPr>
          <w:p w14:paraId="6D4D2070">
            <w:pPr>
              <w:pStyle w:val="85"/>
              <w:jc w:val="both"/>
              <w:rPr>
                <w:color w:val="auto"/>
                <w:sz w:val="22"/>
                <w:szCs w:val="22"/>
              </w:rPr>
            </w:pPr>
            <w:r>
              <w:rPr>
                <w:color w:val="auto"/>
                <w:sz w:val="22"/>
                <w:szCs w:val="22"/>
              </w:rPr>
              <w:t>Х.-К. Андерсен - известный писатель-сказочник. Знакомство с его произведениями. Сказка "Огниво"</w:t>
            </w:r>
          </w:p>
        </w:tc>
      </w:tr>
      <w:tr w14:paraId="182CF0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134" w:type="dxa"/>
            <w:vAlign w:val="center"/>
          </w:tcPr>
          <w:p w14:paraId="1BA0D95E">
            <w:pPr>
              <w:pStyle w:val="85"/>
              <w:rPr>
                <w:color w:val="auto"/>
                <w:sz w:val="22"/>
                <w:szCs w:val="22"/>
              </w:rPr>
            </w:pPr>
            <w:r>
              <w:rPr>
                <w:color w:val="auto"/>
                <w:sz w:val="22"/>
                <w:szCs w:val="22"/>
              </w:rPr>
              <w:t>Урок 131</w:t>
            </w:r>
          </w:p>
        </w:tc>
        <w:tc>
          <w:tcPr>
            <w:tcW w:w="7937" w:type="dxa"/>
          </w:tcPr>
          <w:p w14:paraId="0AD3E5E0">
            <w:pPr>
              <w:pStyle w:val="85"/>
              <w:jc w:val="both"/>
              <w:rPr>
                <w:color w:val="auto"/>
                <w:sz w:val="22"/>
                <w:szCs w:val="22"/>
              </w:rPr>
            </w:pPr>
            <w:r>
              <w:rPr>
                <w:color w:val="auto"/>
                <w:sz w:val="22"/>
                <w:szCs w:val="22"/>
              </w:rPr>
              <w:t>Выделение главной мысли (идеи) сказки Х.-К. Андерсена "Пятеро из одного стручка" и других его сказок на выбор</w:t>
            </w:r>
          </w:p>
        </w:tc>
      </w:tr>
      <w:tr w14:paraId="1CAE64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6682F748">
            <w:pPr>
              <w:pStyle w:val="85"/>
              <w:rPr>
                <w:color w:val="auto"/>
                <w:sz w:val="22"/>
                <w:szCs w:val="22"/>
              </w:rPr>
            </w:pPr>
            <w:r>
              <w:rPr>
                <w:color w:val="auto"/>
                <w:sz w:val="22"/>
                <w:szCs w:val="22"/>
              </w:rPr>
              <w:t>Урок 132</w:t>
            </w:r>
          </w:p>
        </w:tc>
        <w:tc>
          <w:tcPr>
            <w:tcW w:w="7937" w:type="dxa"/>
          </w:tcPr>
          <w:p w14:paraId="55A19CAA">
            <w:pPr>
              <w:pStyle w:val="85"/>
              <w:jc w:val="both"/>
              <w:rPr>
                <w:color w:val="auto"/>
                <w:sz w:val="22"/>
                <w:szCs w:val="22"/>
              </w:rPr>
            </w:pPr>
            <w:r>
              <w:rPr>
                <w:color w:val="auto"/>
                <w:sz w:val="22"/>
                <w:szCs w:val="22"/>
              </w:rPr>
              <w:t>Тематическое повторение по итогам раздела "Зарубежные писатели-сказочники"</w:t>
            </w:r>
          </w:p>
        </w:tc>
      </w:tr>
      <w:tr w14:paraId="6F4728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tcPr>
          <w:p w14:paraId="3334A77C">
            <w:pPr>
              <w:pStyle w:val="85"/>
              <w:rPr>
                <w:color w:val="auto"/>
                <w:sz w:val="22"/>
                <w:szCs w:val="22"/>
              </w:rPr>
            </w:pPr>
            <w:r>
              <w:rPr>
                <w:color w:val="auto"/>
                <w:sz w:val="22"/>
                <w:szCs w:val="22"/>
              </w:rPr>
              <w:t>Урок 133</w:t>
            </w:r>
          </w:p>
        </w:tc>
        <w:tc>
          <w:tcPr>
            <w:tcW w:w="7937" w:type="dxa"/>
          </w:tcPr>
          <w:p w14:paraId="405EE11D">
            <w:pPr>
              <w:pStyle w:val="85"/>
              <w:jc w:val="both"/>
              <w:rPr>
                <w:color w:val="auto"/>
                <w:sz w:val="22"/>
                <w:szCs w:val="22"/>
              </w:rPr>
            </w:pPr>
            <w:r>
              <w:rPr>
                <w:color w:val="auto"/>
                <w:sz w:val="22"/>
                <w:szCs w:val="22"/>
              </w:rPr>
              <w:t>Резервный урок. Повторение по итогам изученного во 2 классе</w:t>
            </w:r>
          </w:p>
        </w:tc>
      </w:tr>
      <w:tr w14:paraId="66213D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67134C63">
            <w:pPr>
              <w:pStyle w:val="85"/>
              <w:rPr>
                <w:color w:val="auto"/>
                <w:sz w:val="22"/>
                <w:szCs w:val="22"/>
              </w:rPr>
            </w:pPr>
            <w:r>
              <w:rPr>
                <w:color w:val="auto"/>
                <w:sz w:val="22"/>
                <w:szCs w:val="22"/>
              </w:rPr>
              <w:t>Урок 134</w:t>
            </w:r>
          </w:p>
        </w:tc>
        <w:tc>
          <w:tcPr>
            <w:tcW w:w="7937" w:type="dxa"/>
          </w:tcPr>
          <w:p w14:paraId="6A4DD3F4">
            <w:pPr>
              <w:pStyle w:val="85"/>
              <w:jc w:val="both"/>
              <w:rPr>
                <w:color w:val="auto"/>
                <w:sz w:val="22"/>
                <w:szCs w:val="22"/>
              </w:rPr>
            </w:pPr>
            <w:r>
              <w:rPr>
                <w:color w:val="auto"/>
                <w:sz w:val="22"/>
                <w:szCs w:val="22"/>
              </w:rPr>
              <w:t>Книга как источник необходимых знаний. На примере произведения Г.А. Ладонщиков "Лучший друг"</w:t>
            </w:r>
          </w:p>
        </w:tc>
      </w:tr>
      <w:tr w14:paraId="6E11D5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tcPr>
          <w:p w14:paraId="3E500686">
            <w:pPr>
              <w:pStyle w:val="85"/>
              <w:rPr>
                <w:color w:val="auto"/>
                <w:sz w:val="22"/>
                <w:szCs w:val="22"/>
              </w:rPr>
            </w:pPr>
            <w:r>
              <w:rPr>
                <w:color w:val="auto"/>
                <w:sz w:val="22"/>
                <w:szCs w:val="22"/>
              </w:rPr>
              <w:t>Урок 135</w:t>
            </w:r>
          </w:p>
        </w:tc>
        <w:tc>
          <w:tcPr>
            <w:tcW w:w="7937" w:type="dxa"/>
          </w:tcPr>
          <w:p w14:paraId="0152456E">
            <w:pPr>
              <w:pStyle w:val="85"/>
              <w:jc w:val="both"/>
              <w:rPr>
                <w:color w:val="auto"/>
                <w:sz w:val="22"/>
                <w:szCs w:val="22"/>
              </w:rPr>
            </w:pPr>
            <w:r>
              <w:rPr>
                <w:color w:val="auto"/>
                <w:sz w:val="22"/>
                <w:szCs w:val="22"/>
              </w:rPr>
              <w:t>Ориентировка в книге: обложка, содержание, аннотация, иллюстрация</w:t>
            </w:r>
          </w:p>
        </w:tc>
      </w:tr>
      <w:tr w14:paraId="3376A7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60FFE996">
            <w:pPr>
              <w:pStyle w:val="85"/>
              <w:rPr>
                <w:color w:val="auto"/>
                <w:sz w:val="22"/>
                <w:szCs w:val="22"/>
              </w:rPr>
            </w:pPr>
            <w:r>
              <w:rPr>
                <w:color w:val="auto"/>
                <w:sz w:val="22"/>
                <w:szCs w:val="22"/>
              </w:rPr>
              <w:t>Урок 136</w:t>
            </w:r>
          </w:p>
        </w:tc>
        <w:tc>
          <w:tcPr>
            <w:tcW w:w="7937" w:type="dxa"/>
          </w:tcPr>
          <w:p w14:paraId="4ACA5CF4">
            <w:pPr>
              <w:pStyle w:val="85"/>
              <w:jc w:val="both"/>
              <w:rPr>
                <w:color w:val="auto"/>
                <w:sz w:val="22"/>
                <w:szCs w:val="22"/>
              </w:rPr>
            </w:pPr>
            <w:r>
              <w:rPr>
                <w:color w:val="auto"/>
                <w:sz w:val="22"/>
                <w:szCs w:val="22"/>
              </w:rPr>
              <w:t>Резервный урок. Выбор книг на основе рекомендательного списка: летнее чтение</w:t>
            </w:r>
          </w:p>
        </w:tc>
      </w:tr>
      <w:tr w14:paraId="4ED06A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9071" w:type="dxa"/>
            <w:gridSpan w:val="2"/>
          </w:tcPr>
          <w:p w14:paraId="59A66B6B">
            <w:pPr>
              <w:pStyle w:val="85"/>
              <w:jc w:val="both"/>
              <w:rPr>
                <w:color w:val="auto"/>
                <w:sz w:val="22"/>
                <w:szCs w:val="22"/>
              </w:rPr>
            </w:pPr>
            <w:r>
              <w:rPr>
                <w:color w:val="auto"/>
                <w:sz w:val="22"/>
                <w:szCs w:val="22"/>
              </w:rPr>
              <w:t>ОБЩЕЕ КОЛИЧЕСТВО УРОКОВ ПО ПРОГРАММЕ: 136, из них уроков, отведенных на контрольные работы, - не более 13</w:t>
            </w:r>
          </w:p>
        </w:tc>
      </w:tr>
    </w:tbl>
    <w:p w14:paraId="3418B074">
      <w:pPr>
        <w:pStyle w:val="85"/>
        <w:jc w:val="both"/>
        <w:rPr>
          <w:color w:val="auto"/>
          <w:sz w:val="22"/>
          <w:szCs w:val="22"/>
        </w:rPr>
      </w:pPr>
    </w:p>
    <w:p w14:paraId="7C5FD041">
      <w:pPr>
        <w:pStyle w:val="85"/>
        <w:jc w:val="right"/>
        <w:rPr>
          <w:color w:val="auto"/>
          <w:sz w:val="22"/>
          <w:szCs w:val="22"/>
        </w:rPr>
      </w:pPr>
      <w:r>
        <w:rPr>
          <w:color w:val="auto"/>
          <w:sz w:val="22"/>
          <w:szCs w:val="22"/>
        </w:rPr>
        <w:t>Таблица 4.2</w:t>
      </w:r>
    </w:p>
    <w:p w14:paraId="67C4E1B7">
      <w:pPr>
        <w:pStyle w:val="85"/>
        <w:jc w:val="both"/>
        <w:rPr>
          <w:color w:val="auto"/>
          <w:sz w:val="22"/>
          <w:szCs w:val="22"/>
        </w:rPr>
      </w:pPr>
    </w:p>
    <w:p w14:paraId="3C208F05">
      <w:pPr>
        <w:pStyle w:val="85"/>
        <w:jc w:val="both"/>
        <w:rPr>
          <w:color w:val="auto"/>
          <w:sz w:val="22"/>
          <w:szCs w:val="22"/>
        </w:rPr>
      </w:pPr>
      <w:r>
        <w:rPr>
          <w:color w:val="auto"/>
          <w:sz w:val="22"/>
          <w:szCs w:val="22"/>
        </w:rPr>
        <w:t>3 класс</w:t>
      </w:r>
    </w:p>
    <w:p w14:paraId="4AD4F3EF">
      <w:pPr>
        <w:pStyle w:val="85"/>
        <w:jc w:val="both"/>
        <w:rPr>
          <w:color w:val="auto"/>
          <w:sz w:val="22"/>
          <w:szCs w:val="22"/>
        </w:rPr>
      </w:pPr>
    </w:p>
    <w:tbl>
      <w:tblPr>
        <w:tblStyle w:val="1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02" w:type="dxa"/>
          <w:left w:w="62" w:type="dxa"/>
          <w:bottom w:w="102" w:type="dxa"/>
          <w:right w:w="62" w:type="dxa"/>
        </w:tblCellMar>
      </w:tblPr>
      <w:tblGrid>
        <w:gridCol w:w="1134"/>
        <w:gridCol w:w="7937"/>
      </w:tblGrid>
      <w:tr w14:paraId="6193C4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tcPr>
          <w:p w14:paraId="585B88E2">
            <w:pPr>
              <w:pStyle w:val="85"/>
              <w:jc w:val="center"/>
              <w:rPr>
                <w:color w:val="auto"/>
                <w:sz w:val="22"/>
                <w:szCs w:val="22"/>
              </w:rPr>
            </w:pPr>
            <w:r>
              <w:rPr>
                <w:color w:val="auto"/>
                <w:sz w:val="22"/>
                <w:szCs w:val="22"/>
              </w:rPr>
              <w:t>N урока</w:t>
            </w:r>
          </w:p>
        </w:tc>
        <w:tc>
          <w:tcPr>
            <w:tcW w:w="7937" w:type="dxa"/>
          </w:tcPr>
          <w:p w14:paraId="3E9E8C7B">
            <w:pPr>
              <w:pStyle w:val="85"/>
              <w:jc w:val="center"/>
              <w:rPr>
                <w:color w:val="auto"/>
                <w:sz w:val="22"/>
                <w:szCs w:val="22"/>
              </w:rPr>
            </w:pPr>
            <w:r>
              <w:rPr>
                <w:color w:val="auto"/>
                <w:sz w:val="22"/>
                <w:szCs w:val="22"/>
              </w:rPr>
              <w:t>Тема урока</w:t>
            </w:r>
          </w:p>
        </w:tc>
      </w:tr>
      <w:tr w14:paraId="4473FA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1FDDB1E5">
            <w:pPr>
              <w:pStyle w:val="85"/>
              <w:jc w:val="center"/>
              <w:rPr>
                <w:color w:val="auto"/>
                <w:sz w:val="22"/>
                <w:szCs w:val="22"/>
              </w:rPr>
            </w:pPr>
            <w:r>
              <w:rPr>
                <w:color w:val="auto"/>
                <w:sz w:val="22"/>
                <w:szCs w:val="22"/>
              </w:rPr>
              <w:t>Урок 1</w:t>
            </w:r>
          </w:p>
        </w:tc>
        <w:tc>
          <w:tcPr>
            <w:tcW w:w="7937" w:type="dxa"/>
            <w:vAlign w:val="center"/>
          </w:tcPr>
          <w:p w14:paraId="0BBB9A22">
            <w:pPr>
              <w:pStyle w:val="85"/>
              <w:jc w:val="both"/>
              <w:rPr>
                <w:color w:val="auto"/>
                <w:sz w:val="22"/>
                <w:szCs w:val="22"/>
              </w:rPr>
            </w:pPr>
            <w:r>
              <w:rPr>
                <w:color w:val="auto"/>
                <w:sz w:val="22"/>
                <w:szCs w:val="22"/>
              </w:rPr>
              <w:t>В мире книг. Книга как особый вид искусства</w:t>
            </w:r>
          </w:p>
        </w:tc>
      </w:tr>
      <w:tr w14:paraId="4CDABA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76B99EF9">
            <w:pPr>
              <w:pStyle w:val="85"/>
              <w:jc w:val="center"/>
              <w:rPr>
                <w:color w:val="auto"/>
                <w:sz w:val="22"/>
                <w:szCs w:val="22"/>
              </w:rPr>
            </w:pPr>
            <w:r>
              <w:rPr>
                <w:color w:val="auto"/>
                <w:sz w:val="22"/>
                <w:szCs w:val="22"/>
              </w:rPr>
              <w:t>Урок 2</w:t>
            </w:r>
          </w:p>
        </w:tc>
        <w:tc>
          <w:tcPr>
            <w:tcW w:w="7937" w:type="dxa"/>
            <w:vAlign w:val="center"/>
          </w:tcPr>
          <w:p w14:paraId="2DAC8190">
            <w:pPr>
              <w:pStyle w:val="85"/>
              <w:jc w:val="both"/>
              <w:rPr>
                <w:color w:val="auto"/>
                <w:sz w:val="22"/>
                <w:szCs w:val="22"/>
              </w:rPr>
            </w:pPr>
            <w:r>
              <w:rPr>
                <w:color w:val="auto"/>
                <w:sz w:val="22"/>
                <w:szCs w:val="22"/>
              </w:rPr>
              <w:t>Общее представление о первых книгах на Руси, знакомство с рукописными книгами</w:t>
            </w:r>
          </w:p>
        </w:tc>
      </w:tr>
      <w:tr w14:paraId="51D4BC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39E842CF">
            <w:pPr>
              <w:pStyle w:val="85"/>
              <w:jc w:val="center"/>
              <w:rPr>
                <w:color w:val="auto"/>
                <w:sz w:val="22"/>
                <w:szCs w:val="22"/>
              </w:rPr>
            </w:pPr>
            <w:r>
              <w:rPr>
                <w:color w:val="auto"/>
                <w:sz w:val="22"/>
                <w:szCs w:val="22"/>
              </w:rPr>
              <w:t>Урок 3</w:t>
            </w:r>
          </w:p>
        </w:tc>
        <w:tc>
          <w:tcPr>
            <w:tcW w:w="7937" w:type="dxa"/>
            <w:vAlign w:val="center"/>
          </w:tcPr>
          <w:p w14:paraId="5AB5E07B">
            <w:pPr>
              <w:pStyle w:val="85"/>
              <w:jc w:val="both"/>
              <w:rPr>
                <w:color w:val="auto"/>
                <w:sz w:val="22"/>
                <w:szCs w:val="22"/>
              </w:rPr>
            </w:pPr>
            <w:r>
              <w:rPr>
                <w:color w:val="auto"/>
                <w:sz w:val="22"/>
                <w:szCs w:val="22"/>
              </w:rPr>
              <w:t>Ценность чтения художественной литературы и фольклора, осознание важности читательской деятельности</w:t>
            </w:r>
          </w:p>
        </w:tc>
      </w:tr>
      <w:tr w14:paraId="36A4E3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2D4BB2F4">
            <w:pPr>
              <w:pStyle w:val="85"/>
              <w:jc w:val="center"/>
              <w:rPr>
                <w:color w:val="auto"/>
                <w:sz w:val="22"/>
                <w:szCs w:val="22"/>
              </w:rPr>
            </w:pPr>
            <w:r>
              <w:rPr>
                <w:color w:val="auto"/>
                <w:sz w:val="22"/>
                <w:szCs w:val="22"/>
              </w:rPr>
              <w:t>Урок 4</w:t>
            </w:r>
          </w:p>
        </w:tc>
        <w:tc>
          <w:tcPr>
            <w:tcW w:w="7937" w:type="dxa"/>
            <w:vAlign w:val="center"/>
          </w:tcPr>
          <w:p w14:paraId="75DF35F7">
            <w:pPr>
              <w:pStyle w:val="85"/>
              <w:jc w:val="both"/>
              <w:rPr>
                <w:color w:val="auto"/>
                <w:sz w:val="22"/>
                <w:szCs w:val="22"/>
              </w:rPr>
            </w:pPr>
            <w:r>
              <w:rPr>
                <w:color w:val="auto"/>
                <w:sz w:val="22"/>
                <w:szCs w:val="22"/>
              </w:rPr>
              <w:t>Развитие речи: использование образных слов, пословиц и поговорок, крылатых выражений. Книги и словари, созданные В.И. Далем</w:t>
            </w:r>
          </w:p>
        </w:tc>
      </w:tr>
      <w:tr w14:paraId="48D0D8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1135B258">
            <w:pPr>
              <w:pStyle w:val="85"/>
              <w:jc w:val="center"/>
              <w:rPr>
                <w:color w:val="auto"/>
                <w:sz w:val="22"/>
                <w:szCs w:val="22"/>
              </w:rPr>
            </w:pPr>
            <w:r>
              <w:rPr>
                <w:color w:val="auto"/>
                <w:sz w:val="22"/>
                <w:szCs w:val="22"/>
              </w:rPr>
              <w:t>Урок 5</w:t>
            </w:r>
          </w:p>
        </w:tc>
        <w:tc>
          <w:tcPr>
            <w:tcW w:w="7937" w:type="dxa"/>
            <w:vAlign w:val="center"/>
          </w:tcPr>
          <w:p w14:paraId="2C1F4166">
            <w:pPr>
              <w:pStyle w:val="85"/>
              <w:jc w:val="both"/>
              <w:rPr>
                <w:color w:val="auto"/>
                <w:sz w:val="22"/>
                <w:szCs w:val="22"/>
              </w:rPr>
            </w:pPr>
            <w:r>
              <w:rPr>
                <w:color w:val="auto"/>
                <w:sz w:val="22"/>
                <w:szCs w:val="22"/>
              </w:rPr>
              <w:t>Художественные особенности волшебной сказки разного вида (о животных, бытовые)</w:t>
            </w:r>
          </w:p>
        </w:tc>
      </w:tr>
      <w:tr w14:paraId="4CF88E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31DB8392">
            <w:pPr>
              <w:pStyle w:val="85"/>
              <w:jc w:val="center"/>
              <w:rPr>
                <w:color w:val="auto"/>
                <w:sz w:val="22"/>
                <w:szCs w:val="22"/>
              </w:rPr>
            </w:pPr>
            <w:r>
              <w:rPr>
                <w:color w:val="auto"/>
                <w:sz w:val="22"/>
                <w:szCs w:val="22"/>
              </w:rPr>
              <w:t>Урок 6</w:t>
            </w:r>
          </w:p>
        </w:tc>
        <w:tc>
          <w:tcPr>
            <w:tcW w:w="7937" w:type="dxa"/>
            <w:vAlign w:val="center"/>
          </w:tcPr>
          <w:p w14:paraId="06272A9F">
            <w:pPr>
              <w:pStyle w:val="85"/>
              <w:jc w:val="both"/>
              <w:rPr>
                <w:color w:val="auto"/>
                <w:sz w:val="22"/>
                <w:szCs w:val="22"/>
              </w:rPr>
            </w:pPr>
            <w:r>
              <w:rPr>
                <w:color w:val="auto"/>
                <w:sz w:val="22"/>
                <w:szCs w:val="22"/>
              </w:rPr>
              <w:t>Былина как народный песенный сказ о героическом событии. Фольклорные особенности: выразительность, напевность исполнения</w:t>
            </w:r>
          </w:p>
        </w:tc>
      </w:tr>
      <w:tr w14:paraId="44845A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1A03B437">
            <w:pPr>
              <w:pStyle w:val="85"/>
              <w:jc w:val="center"/>
              <w:rPr>
                <w:color w:val="auto"/>
                <w:sz w:val="22"/>
                <w:szCs w:val="22"/>
              </w:rPr>
            </w:pPr>
            <w:r>
              <w:rPr>
                <w:color w:val="auto"/>
                <w:sz w:val="22"/>
                <w:szCs w:val="22"/>
              </w:rPr>
              <w:t>Урок 7</w:t>
            </w:r>
          </w:p>
        </w:tc>
        <w:tc>
          <w:tcPr>
            <w:tcW w:w="7937" w:type="dxa"/>
            <w:vAlign w:val="center"/>
          </w:tcPr>
          <w:p w14:paraId="65A4FE77">
            <w:pPr>
              <w:pStyle w:val="85"/>
              <w:jc w:val="both"/>
              <w:rPr>
                <w:color w:val="auto"/>
                <w:sz w:val="22"/>
                <w:szCs w:val="22"/>
              </w:rPr>
            </w:pPr>
            <w:r>
              <w:rPr>
                <w:color w:val="auto"/>
                <w:sz w:val="22"/>
                <w:szCs w:val="22"/>
              </w:rPr>
              <w:t>Характеристика главного героя (где жил, чем занимался, какими качествами обладал). На примере образа Ильи Муромца</w:t>
            </w:r>
          </w:p>
        </w:tc>
      </w:tr>
      <w:tr w14:paraId="6C6537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55594CAF">
            <w:pPr>
              <w:pStyle w:val="85"/>
              <w:jc w:val="center"/>
              <w:rPr>
                <w:color w:val="auto"/>
                <w:sz w:val="22"/>
                <w:szCs w:val="22"/>
              </w:rPr>
            </w:pPr>
            <w:r>
              <w:rPr>
                <w:color w:val="auto"/>
                <w:sz w:val="22"/>
                <w:szCs w:val="22"/>
              </w:rPr>
              <w:t>Урок 8</w:t>
            </w:r>
          </w:p>
        </w:tc>
        <w:tc>
          <w:tcPr>
            <w:tcW w:w="7937" w:type="dxa"/>
            <w:vAlign w:val="center"/>
          </w:tcPr>
          <w:p w14:paraId="5B633991">
            <w:pPr>
              <w:pStyle w:val="85"/>
              <w:jc w:val="both"/>
              <w:rPr>
                <w:color w:val="auto"/>
                <w:sz w:val="22"/>
                <w:szCs w:val="22"/>
              </w:rPr>
            </w:pPr>
            <w:r>
              <w:rPr>
                <w:color w:val="auto"/>
                <w:sz w:val="22"/>
                <w:szCs w:val="22"/>
              </w:rPr>
              <w:t>Описание картин природы как способ рассказать в песне о родной земле. Темы народных песен</w:t>
            </w:r>
          </w:p>
        </w:tc>
      </w:tr>
      <w:tr w14:paraId="71562D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3AC787C7">
            <w:pPr>
              <w:pStyle w:val="85"/>
              <w:jc w:val="center"/>
              <w:rPr>
                <w:color w:val="auto"/>
                <w:sz w:val="22"/>
                <w:szCs w:val="22"/>
              </w:rPr>
            </w:pPr>
            <w:r>
              <w:rPr>
                <w:color w:val="auto"/>
                <w:sz w:val="22"/>
                <w:szCs w:val="22"/>
              </w:rPr>
              <w:t>Урок 9</w:t>
            </w:r>
          </w:p>
        </w:tc>
        <w:tc>
          <w:tcPr>
            <w:tcW w:w="7937" w:type="dxa"/>
            <w:vAlign w:val="center"/>
          </w:tcPr>
          <w:p w14:paraId="751BE43D">
            <w:pPr>
              <w:pStyle w:val="85"/>
              <w:jc w:val="both"/>
              <w:rPr>
                <w:color w:val="auto"/>
                <w:sz w:val="22"/>
                <w:szCs w:val="22"/>
              </w:rPr>
            </w:pPr>
            <w:r>
              <w:rPr>
                <w:color w:val="auto"/>
                <w:sz w:val="22"/>
                <w:szCs w:val="22"/>
              </w:rPr>
              <w:t>Отражение нравственных ценностей и правил в фольклорной сказке. Произведения по выбору, например, русская народная сказка "Сестрица Аленушка и братец Иванушка"</w:t>
            </w:r>
          </w:p>
        </w:tc>
      </w:tr>
      <w:tr w14:paraId="026531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54C4DC29">
            <w:pPr>
              <w:pStyle w:val="85"/>
              <w:rPr>
                <w:color w:val="auto"/>
                <w:sz w:val="22"/>
                <w:szCs w:val="22"/>
              </w:rPr>
            </w:pPr>
            <w:r>
              <w:rPr>
                <w:color w:val="auto"/>
                <w:sz w:val="22"/>
                <w:szCs w:val="22"/>
              </w:rPr>
              <w:t>Урок 10</w:t>
            </w:r>
          </w:p>
        </w:tc>
        <w:tc>
          <w:tcPr>
            <w:tcW w:w="7937" w:type="dxa"/>
            <w:vAlign w:val="center"/>
          </w:tcPr>
          <w:p w14:paraId="13ECCF49">
            <w:pPr>
              <w:pStyle w:val="85"/>
              <w:jc w:val="both"/>
              <w:rPr>
                <w:color w:val="auto"/>
                <w:sz w:val="22"/>
                <w:szCs w:val="22"/>
              </w:rPr>
            </w:pPr>
            <w:r>
              <w:rPr>
                <w:color w:val="auto"/>
                <w:sz w:val="22"/>
                <w:szCs w:val="22"/>
              </w:rPr>
              <w:t>Осознание понятия трудолюбие на примере народных сказок. Произведения по выбору, например, русская народная сказка "Сестрица Аленушка и братец Иванушка"</w:t>
            </w:r>
          </w:p>
        </w:tc>
      </w:tr>
      <w:tr w14:paraId="2AC552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18B1C2F9">
            <w:pPr>
              <w:pStyle w:val="85"/>
              <w:rPr>
                <w:color w:val="auto"/>
                <w:sz w:val="22"/>
                <w:szCs w:val="22"/>
              </w:rPr>
            </w:pPr>
            <w:r>
              <w:rPr>
                <w:color w:val="auto"/>
                <w:sz w:val="22"/>
                <w:szCs w:val="22"/>
              </w:rPr>
              <w:t>Урок 11</w:t>
            </w:r>
          </w:p>
        </w:tc>
        <w:tc>
          <w:tcPr>
            <w:tcW w:w="7937" w:type="dxa"/>
            <w:vAlign w:val="center"/>
          </w:tcPr>
          <w:p w14:paraId="541A227F">
            <w:pPr>
              <w:pStyle w:val="85"/>
              <w:jc w:val="both"/>
              <w:rPr>
                <w:color w:val="auto"/>
                <w:sz w:val="22"/>
                <w:szCs w:val="22"/>
              </w:rPr>
            </w:pPr>
            <w:r>
              <w:rPr>
                <w:color w:val="auto"/>
                <w:sz w:val="22"/>
                <w:szCs w:val="22"/>
              </w:rPr>
              <w:t>Особенности построения (композиция) волшебной сказки: составление плана. На примере русской народной сказки "Иван-царевич и Серый Волк"</w:t>
            </w:r>
          </w:p>
        </w:tc>
      </w:tr>
      <w:tr w14:paraId="327D76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02A340F5">
            <w:pPr>
              <w:pStyle w:val="85"/>
              <w:rPr>
                <w:color w:val="auto"/>
                <w:sz w:val="22"/>
                <w:szCs w:val="22"/>
              </w:rPr>
            </w:pPr>
            <w:r>
              <w:rPr>
                <w:color w:val="auto"/>
                <w:sz w:val="22"/>
                <w:szCs w:val="22"/>
              </w:rPr>
              <w:t>Урок 12</w:t>
            </w:r>
          </w:p>
        </w:tc>
        <w:tc>
          <w:tcPr>
            <w:tcW w:w="7937" w:type="dxa"/>
            <w:vAlign w:val="center"/>
          </w:tcPr>
          <w:p w14:paraId="08212120">
            <w:pPr>
              <w:pStyle w:val="85"/>
              <w:jc w:val="both"/>
              <w:rPr>
                <w:color w:val="auto"/>
                <w:sz w:val="22"/>
                <w:szCs w:val="22"/>
              </w:rPr>
            </w:pPr>
            <w:r>
              <w:rPr>
                <w:color w:val="auto"/>
                <w:sz w:val="22"/>
                <w:szCs w:val="22"/>
              </w:rPr>
              <w:t>Иллюстрация как отражение сюжета волшебной сказки (картины В.М. Васнецова, иллюстрации И.Я. Билибина)</w:t>
            </w:r>
          </w:p>
        </w:tc>
      </w:tr>
      <w:tr w14:paraId="322062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51287B85">
            <w:pPr>
              <w:pStyle w:val="85"/>
              <w:rPr>
                <w:color w:val="auto"/>
                <w:sz w:val="22"/>
                <w:szCs w:val="22"/>
              </w:rPr>
            </w:pPr>
            <w:r>
              <w:rPr>
                <w:color w:val="auto"/>
                <w:sz w:val="22"/>
                <w:szCs w:val="22"/>
              </w:rPr>
              <w:t>Урок 13</w:t>
            </w:r>
          </w:p>
        </w:tc>
        <w:tc>
          <w:tcPr>
            <w:tcW w:w="7937" w:type="dxa"/>
            <w:vAlign w:val="center"/>
          </w:tcPr>
          <w:p w14:paraId="4E27CC09">
            <w:pPr>
              <w:pStyle w:val="85"/>
              <w:jc w:val="both"/>
              <w:rPr>
                <w:color w:val="auto"/>
                <w:sz w:val="22"/>
                <w:szCs w:val="22"/>
              </w:rPr>
            </w:pPr>
            <w:r>
              <w:rPr>
                <w:color w:val="auto"/>
                <w:sz w:val="22"/>
                <w:szCs w:val="22"/>
              </w:rPr>
              <w:t>Характеристика героя, волшебные помощники. На примере русской народной сказки "Иван-царевич и серый волк"</w:t>
            </w:r>
          </w:p>
        </w:tc>
      </w:tr>
      <w:tr w14:paraId="4BC39C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28441BC1">
            <w:pPr>
              <w:pStyle w:val="85"/>
              <w:rPr>
                <w:color w:val="auto"/>
                <w:sz w:val="22"/>
                <w:szCs w:val="22"/>
              </w:rPr>
            </w:pPr>
            <w:r>
              <w:rPr>
                <w:color w:val="auto"/>
                <w:sz w:val="22"/>
                <w:szCs w:val="22"/>
              </w:rPr>
              <w:t>Урок 14</w:t>
            </w:r>
          </w:p>
        </w:tc>
        <w:tc>
          <w:tcPr>
            <w:tcW w:w="7937" w:type="dxa"/>
            <w:vAlign w:val="center"/>
          </w:tcPr>
          <w:p w14:paraId="541EE2FE">
            <w:pPr>
              <w:pStyle w:val="85"/>
              <w:jc w:val="both"/>
              <w:rPr>
                <w:color w:val="auto"/>
                <w:sz w:val="22"/>
                <w:szCs w:val="22"/>
              </w:rPr>
            </w:pPr>
            <w:r>
              <w:rPr>
                <w:color w:val="auto"/>
                <w:sz w:val="22"/>
                <w:szCs w:val="22"/>
              </w:rPr>
              <w:t>Представление в сказке народного быта и культуры. Произведения по выбору, например, русская народная сказка "Сивка-бурка"</w:t>
            </w:r>
          </w:p>
        </w:tc>
      </w:tr>
      <w:tr w14:paraId="424CAE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239461E2">
            <w:pPr>
              <w:pStyle w:val="85"/>
              <w:rPr>
                <w:color w:val="auto"/>
                <w:sz w:val="22"/>
                <w:szCs w:val="22"/>
              </w:rPr>
            </w:pPr>
            <w:r>
              <w:rPr>
                <w:color w:val="auto"/>
                <w:sz w:val="22"/>
                <w:szCs w:val="22"/>
              </w:rPr>
              <w:t>Урок 15</w:t>
            </w:r>
          </w:p>
        </w:tc>
        <w:tc>
          <w:tcPr>
            <w:tcW w:w="7937" w:type="dxa"/>
            <w:vAlign w:val="center"/>
          </w:tcPr>
          <w:p w14:paraId="5F532DA4">
            <w:pPr>
              <w:pStyle w:val="85"/>
              <w:jc w:val="both"/>
              <w:rPr>
                <w:color w:val="auto"/>
                <w:sz w:val="22"/>
                <w:szCs w:val="22"/>
              </w:rPr>
            </w:pPr>
            <w:r>
              <w:rPr>
                <w:color w:val="auto"/>
                <w:sz w:val="22"/>
                <w:szCs w:val="22"/>
              </w:rPr>
              <w:t>Пословицы народов России</w:t>
            </w:r>
          </w:p>
        </w:tc>
      </w:tr>
      <w:tr w14:paraId="34ACD3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701124B2">
            <w:pPr>
              <w:pStyle w:val="85"/>
              <w:rPr>
                <w:color w:val="auto"/>
                <w:sz w:val="22"/>
                <w:szCs w:val="22"/>
              </w:rPr>
            </w:pPr>
            <w:r>
              <w:rPr>
                <w:color w:val="auto"/>
                <w:sz w:val="22"/>
                <w:szCs w:val="22"/>
              </w:rPr>
              <w:t>Урок 16</w:t>
            </w:r>
          </w:p>
        </w:tc>
        <w:tc>
          <w:tcPr>
            <w:tcW w:w="7937" w:type="dxa"/>
            <w:vAlign w:val="center"/>
          </w:tcPr>
          <w:p w14:paraId="286E6DB5">
            <w:pPr>
              <w:pStyle w:val="85"/>
              <w:jc w:val="both"/>
              <w:rPr>
                <w:color w:val="auto"/>
                <w:sz w:val="22"/>
                <w:szCs w:val="22"/>
              </w:rPr>
            </w:pPr>
            <w:r>
              <w:rPr>
                <w:color w:val="auto"/>
                <w:sz w:val="22"/>
                <w:szCs w:val="22"/>
              </w:rPr>
              <w:t>Устное народное творчество. Характеристика малых жанров фольклора: потешки, небылицы, скороговорки, считалки...</w:t>
            </w:r>
          </w:p>
        </w:tc>
      </w:tr>
      <w:tr w14:paraId="4595AB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192A721A">
            <w:pPr>
              <w:pStyle w:val="85"/>
              <w:rPr>
                <w:color w:val="auto"/>
                <w:sz w:val="22"/>
                <w:szCs w:val="22"/>
              </w:rPr>
            </w:pPr>
            <w:r>
              <w:rPr>
                <w:color w:val="auto"/>
                <w:sz w:val="22"/>
                <w:szCs w:val="22"/>
              </w:rPr>
              <w:t>Урок 17</w:t>
            </w:r>
          </w:p>
        </w:tc>
        <w:tc>
          <w:tcPr>
            <w:tcW w:w="7937" w:type="dxa"/>
            <w:vAlign w:val="center"/>
          </w:tcPr>
          <w:p w14:paraId="133830C9">
            <w:pPr>
              <w:pStyle w:val="85"/>
              <w:jc w:val="both"/>
              <w:rPr>
                <w:color w:val="auto"/>
                <w:sz w:val="22"/>
                <w:szCs w:val="22"/>
              </w:rPr>
            </w:pPr>
            <w:r>
              <w:rPr>
                <w:color w:val="auto"/>
                <w:sz w:val="22"/>
                <w:szCs w:val="22"/>
              </w:rPr>
              <w:t>Загадка как жанр фольклора, знакомство с видами загадок</w:t>
            </w:r>
          </w:p>
        </w:tc>
      </w:tr>
      <w:tr w14:paraId="04148A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2EF24EEF">
            <w:pPr>
              <w:pStyle w:val="85"/>
              <w:rPr>
                <w:color w:val="auto"/>
                <w:sz w:val="22"/>
                <w:szCs w:val="22"/>
              </w:rPr>
            </w:pPr>
            <w:r>
              <w:rPr>
                <w:color w:val="auto"/>
                <w:sz w:val="22"/>
                <w:szCs w:val="22"/>
              </w:rPr>
              <w:t>Урок 18</w:t>
            </w:r>
          </w:p>
        </w:tc>
        <w:tc>
          <w:tcPr>
            <w:tcW w:w="7937" w:type="dxa"/>
            <w:vAlign w:val="center"/>
          </w:tcPr>
          <w:p w14:paraId="10EA0EB6">
            <w:pPr>
              <w:pStyle w:val="85"/>
              <w:jc w:val="both"/>
              <w:rPr>
                <w:color w:val="auto"/>
                <w:sz w:val="22"/>
                <w:szCs w:val="22"/>
              </w:rPr>
            </w:pPr>
            <w:r>
              <w:rPr>
                <w:color w:val="auto"/>
                <w:sz w:val="22"/>
                <w:szCs w:val="22"/>
              </w:rPr>
              <w:t>Тематическое повторение по итогам раздела "Фольклор (устное народное творчество)"</w:t>
            </w:r>
          </w:p>
        </w:tc>
      </w:tr>
      <w:tr w14:paraId="1BFFC9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290CD981">
            <w:pPr>
              <w:pStyle w:val="85"/>
              <w:rPr>
                <w:color w:val="auto"/>
                <w:sz w:val="22"/>
                <w:szCs w:val="22"/>
              </w:rPr>
            </w:pPr>
            <w:r>
              <w:rPr>
                <w:color w:val="auto"/>
                <w:sz w:val="22"/>
                <w:szCs w:val="22"/>
              </w:rPr>
              <w:t>Урок 19</w:t>
            </w:r>
          </w:p>
        </w:tc>
        <w:tc>
          <w:tcPr>
            <w:tcW w:w="7937" w:type="dxa"/>
            <w:vAlign w:val="center"/>
          </w:tcPr>
          <w:p w14:paraId="5F576CA7">
            <w:pPr>
              <w:pStyle w:val="85"/>
              <w:jc w:val="both"/>
              <w:rPr>
                <w:color w:val="auto"/>
                <w:sz w:val="22"/>
                <w:szCs w:val="22"/>
              </w:rPr>
            </w:pPr>
            <w:r>
              <w:rPr>
                <w:color w:val="auto"/>
                <w:sz w:val="22"/>
                <w:szCs w:val="22"/>
              </w:rPr>
              <w:t>Работа с детскими книгами. Проект: составляем словарь устаревших слов</w:t>
            </w:r>
          </w:p>
        </w:tc>
      </w:tr>
      <w:tr w14:paraId="4DA0E5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24FE3DD1">
            <w:pPr>
              <w:pStyle w:val="85"/>
              <w:rPr>
                <w:color w:val="auto"/>
                <w:sz w:val="22"/>
                <w:szCs w:val="22"/>
              </w:rPr>
            </w:pPr>
            <w:r>
              <w:rPr>
                <w:color w:val="auto"/>
                <w:sz w:val="22"/>
                <w:szCs w:val="22"/>
              </w:rPr>
              <w:t>Урок 20</w:t>
            </w:r>
          </w:p>
        </w:tc>
        <w:tc>
          <w:tcPr>
            <w:tcW w:w="7937" w:type="dxa"/>
            <w:vAlign w:val="center"/>
          </w:tcPr>
          <w:p w14:paraId="555A840B">
            <w:pPr>
              <w:pStyle w:val="85"/>
              <w:jc w:val="both"/>
              <w:rPr>
                <w:color w:val="auto"/>
                <w:sz w:val="22"/>
                <w:szCs w:val="22"/>
              </w:rPr>
            </w:pPr>
            <w:r>
              <w:rPr>
                <w:color w:val="auto"/>
                <w:sz w:val="22"/>
                <w:szCs w:val="22"/>
              </w:rPr>
              <w:t>Резервный урок. Работа со словарем: язык былины, устаревшие слова, их место и представление в современной лексике. Проект "Словарь устаревших слов"</w:t>
            </w:r>
          </w:p>
        </w:tc>
      </w:tr>
      <w:tr w14:paraId="5414E6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180F9D1D">
            <w:pPr>
              <w:pStyle w:val="85"/>
              <w:rPr>
                <w:color w:val="auto"/>
                <w:sz w:val="22"/>
                <w:szCs w:val="22"/>
              </w:rPr>
            </w:pPr>
            <w:r>
              <w:rPr>
                <w:color w:val="auto"/>
                <w:sz w:val="22"/>
                <w:szCs w:val="22"/>
              </w:rPr>
              <w:t>Урок 21</w:t>
            </w:r>
          </w:p>
        </w:tc>
        <w:tc>
          <w:tcPr>
            <w:tcW w:w="7937" w:type="dxa"/>
            <w:vAlign w:val="center"/>
          </w:tcPr>
          <w:p w14:paraId="68E9C85C">
            <w:pPr>
              <w:pStyle w:val="85"/>
              <w:jc w:val="both"/>
              <w:rPr>
                <w:color w:val="auto"/>
                <w:sz w:val="22"/>
                <w:szCs w:val="22"/>
              </w:rPr>
            </w:pPr>
            <w:r>
              <w:rPr>
                <w:color w:val="auto"/>
                <w:sz w:val="22"/>
                <w:szCs w:val="22"/>
              </w:rPr>
              <w:t>Резервный урок. Историческая обстановка как фон создания произведения (на примере былин)</w:t>
            </w:r>
          </w:p>
        </w:tc>
      </w:tr>
      <w:tr w14:paraId="457058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7B4BF7F9">
            <w:pPr>
              <w:pStyle w:val="85"/>
              <w:rPr>
                <w:color w:val="auto"/>
                <w:sz w:val="22"/>
                <w:szCs w:val="22"/>
              </w:rPr>
            </w:pPr>
            <w:r>
              <w:rPr>
                <w:color w:val="auto"/>
                <w:sz w:val="22"/>
                <w:szCs w:val="22"/>
              </w:rPr>
              <w:t>Урок 22</w:t>
            </w:r>
          </w:p>
        </w:tc>
        <w:tc>
          <w:tcPr>
            <w:tcW w:w="7937" w:type="dxa"/>
            <w:vAlign w:val="center"/>
          </w:tcPr>
          <w:p w14:paraId="3A1B32ED">
            <w:pPr>
              <w:pStyle w:val="85"/>
              <w:jc w:val="both"/>
              <w:rPr>
                <w:color w:val="auto"/>
                <w:sz w:val="22"/>
                <w:szCs w:val="22"/>
              </w:rPr>
            </w:pPr>
            <w:r>
              <w:rPr>
                <w:color w:val="auto"/>
                <w:sz w:val="22"/>
                <w:szCs w:val="22"/>
              </w:rPr>
              <w:t>Резервный урок. Сравнение средств создания пейзажа в тексте-описании, в изобразительном искусстве, в произведениях музыкального искусства XIX - XX вв.</w:t>
            </w:r>
          </w:p>
        </w:tc>
      </w:tr>
      <w:tr w14:paraId="4067F7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7467AD57">
            <w:pPr>
              <w:pStyle w:val="85"/>
              <w:rPr>
                <w:color w:val="auto"/>
                <w:sz w:val="22"/>
                <w:szCs w:val="22"/>
              </w:rPr>
            </w:pPr>
            <w:r>
              <w:rPr>
                <w:color w:val="auto"/>
                <w:sz w:val="22"/>
                <w:szCs w:val="22"/>
              </w:rPr>
              <w:t>Урок 23</w:t>
            </w:r>
          </w:p>
        </w:tc>
        <w:tc>
          <w:tcPr>
            <w:tcW w:w="7937" w:type="dxa"/>
            <w:vAlign w:val="center"/>
          </w:tcPr>
          <w:p w14:paraId="1B9D52BF">
            <w:pPr>
              <w:pStyle w:val="85"/>
              <w:jc w:val="both"/>
              <w:rPr>
                <w:color w:val="auto"/>
                <w:sz w:val="22"/>
                <w:szCs w:val="22"/>
              </w:rPr>
            </w:pPr>
            <w:r>
              <w:rPr>
                <w:color w:val="auto"/>
                <w:sz w:val="22"/>
                <w:szCs w:val="22"/>
              </w:rPr>
              <w:t>Средства художественной выразительности (эпитет, сравнение, олицетворение) в лирических произведениях поэтов XIX - XX вв.</w:t>
            </w:r>
          </w:p>
        </w:tc>
      </w:tr>
      <w:tr w14:paraId="5AF894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265C9D2D">
            <w:pPr>
              <w:pStyle w:val="85"/>
              <w:rPr>
                <w:color w:val="auto"/>
                <w:sz w:val="22"/>
                <w:szCs w:val="22"/>
              </w:rPr>
            </w:pPr>
            <w:r>
              <w:rPr>
                <w:color w:val="auto"/>
                <w:sz w:val="22"/>
                <w:szCs w:val="22"/>
              </w:rPr>
              <w:t>Урок 24</w:t>
            </w:r>
          </w:p>
        </w:tc>
        <w:tc>
          <w:tcPr>
            <w:tcW w:w="7937" w:type="dxa"/>
            <w:vAlign w:val="center"/>
          </w:tcPr>
          <w:p w14:paraId="41D0D6C6">
            <w:pPr>
              <w:pStyle w:val="85"/>
              <w:jc w:val="both"/>
              <w:rPr>
                <w:color w:val="auto"/>
                <w:sz w:val="22"/>
                <w:szCs w:val="22"/>
              </w:rPr>
            </w:pPr>
            <w:r>
              <w:rPr>
                <w:color w:val="auto"/>
                <w:sz w:val="22"/>
                <w:szCs w:val="22"/>
              </w:rPr>
              <w:t>Описание картин осенней природы в стихотворении Ф.И. Тютчева "Есть в осени первоначальной...", "Листья"</w:t>
            </w:r>
          </w:p>
        </w:tc>
      </w:tr>
      <w:tr w14:paraId="1ED6F8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1565CB57">
            <w:pPr>
              <w:pStyle w:val="85"/>
              <w:rPr>
                <w:color w:val="auto"/>
                <w:sz w:val="22"/>
                <w:szCs w:val="22"/>
              </w:rPr>
            </w:pPr>
            <w:r>
              <w:rPr>
                <w:color w:val="auto"/>
                <w:sz w:val="22"/>
                <w:szCs w:val="22"/>
              </w:rPr>
              <w:t>Урок 25</w:t>
            </w:r>
          </w:p>
        </w:tc>
        <w:tc>
          <w:tcPr>
            <w:tcW w:w="7937" w:type="dxa"/>
            <w:vAlign w:val="center"/>
          </w:tcPr>
          <w:p w14:paraId="641FB7A2">
            <w:pPr>
              <w:pStyle w:val="85"/>
              <w:jc w:val="both"/>
              <w:rPr>
                <w:color w:val="auto"/>
                <w:sz w:val="22"/>
                <w:szCs w:val="22"/>
              </w:rPr>
            </w:pPr>
            <w:r>
              <w:rPr>
                <w:color w:val="auto"/>
                <w:sz w:val="22"/>
                <w:szCs w:val="22"/>
              </w:rPr>
              <w:t>Сравнение стихотворений об осени. На примере произведений Ф.И. Тютчева "Есть в осени первоначальной..." и А.Н. Майкова "Осень"</w:t>
            </w:r>
          </w:p>
        </w:tc>
      </w:tr>
      <w:tr w14:paraId="37A180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56CC427B">
            <w:pPr>
              <w:pStyle w:val="85"/>
              <w:rPr>
                <w:color w:val="auto"/>
                <w:sz w:val="22"/>
                <w:szCs w:val="22"/>
              </w:rPr>
            </w:pPr>
            <w:r>
              <w:rPr>
                <w:color w:val="auto"/>
                <w:sz w:val="22"/>
                <w:szCs w:val="22"/>
              </w:rPr>
              <w:t>Урок 26</w:t>
            </w:r>
          </w:p>
        </w:tc>
        <w:tc>
          <w:tcPr>
            <w:tcW w:w="7937" w:type="dxa"/>
            <w:vAlign w:val="center"/>
          </w:tcPr>
          <w:p w14:paraId="003424D8">
            <w:pPr>
              <w:pStyle w:val="85"/>
              <w:jc w:val="both"/>
              <w:rPr>
                <w:color w:val="auto"/>
                <w:sz w:val="22"/>
                <w:szCs w:val="22"/>
              </w:rPr>
            </w:pPr>
            <w:r>
              <w:rPr>
                <w:color w:val="auto"/>
                <w:sz w:val="22"/>
                <w:szCs w:val="22"/>
              </w:rPr>
              <w:t>Олицетворение как одно из средств выразительности лирического произведения</w:t>
            </w:r>
          </w:p>
        </w:tc>
      </w:tr>
      <w:tr w14:paraId="4933C4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593FE521">
            <w:pPr>
              <w:pStyle w:val="85"/>
              <w:rPr>
                <w:color w:val="auto"/>
                <w:sz w:val="22"/>
                <w:szCs w:val="22"/>
              </w:rPr>
            </w:pPr>
            <w:r>
              <w:rPr>
                <w:color w:val="auto"/>
                <w:sz w:val="22"/>
                <w:szCs w:val="22"/>
              </w:rPr>
              <w:t>Урок 27</w:t>
            </w:r>
          </w:p>
        </w:tc>
        <w:tc>
          <w:tcPr>
            <w:tcW w:w="7937" w:type="dxa"/>
            <w:vAlign w:val="center"/>
          </w:tcPr>
          <w:p w14:paraId="76201452">
            <w:pPr>
              <w:pStyle w:val="85"/>
              <w:jc w:val="both"/>
              <w:rPr>
                <w:color w:val="auto"/>
                <w:sz w:val="22"/>
                <w:szCs w:val="22"/>
              </w:rPr>
            </w:pPr>
            <w:r>
              <w:rPr>
                <w:color w:val="auto"/>
                <w:sz w:val="22"/>
                <w:szCs w:val="22"/>
              </w:rPr>
              <w:t>Восприятие картин зимнего пейзажа в стихотворениях, А.А. Фета "Кот поет, глаза прищуря", "Мама! Глянь-ка из окошка...", И.С. Никитин "Встреча зимы"</w:t>
            </w:r>
          </w:p>
        </w:tc>
      </w:tr>
      <w:tr w14:paraId="12BB7F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7A842A9F">
            <w:pPr>
              <w:pStyle w:val="85"/>
              <w:rPr>
                <w:color w:val="auto"/>
                <w:sz w:val="22"/>
                <w:szCs w:val="22"/>
              </w:rPr>
            </w:pPr>
            <w:r>
              <w:rPr>
                <w:color w:val="auto"/>
                <w:sz w:val="22"/>
                <w:szCs w:val="22"/>
              </w:rPr>
              <w:t>Урок 28</w:t>
            </w:r>
          </w:p>
        </w:tc>
        <w:tc>
          <w:tcPr>
            <w:tcW w:w="7937" w:type="dxa"/>
            <w:vAlign w:val="center"/>
          </w:tcPr>
          <w:p w14:paraId="37428119">
            <w:pPr>
              <w:pStyle w:val="85"/>
              <w:jc w:val="both"/>
              <w:rPr>
                <w:color w:val="auto"/>
                <w:sz w:val="22"/>
                <w:szCs w:val="22"/>
              </w:rPr>
            </w:pPr>
            <w:r>
              <w:rPr>
                <w:color w:val="auto"/>
                <w:sz w:val="22"/>
                <w:szCs w:val="22"/>
              </w:rPr>
              <w:t>Слова, с помощью которых поэт описывает и оживляет природу на примере стихотворений И.З. Сурикова "Детство", "Зима"</w:t>
            </w:r>
          </w:p>
        </w:tc>
      </w:tr>
      <w:tr w14:paraId="79C2AB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255560E9">
            <w:pPr>
              <w:pStyle w:val="85"/>
              <w:rPr>
                <w:color w:val="auto"/>
                <w:sz w:val="22"/>
                <w:szCs w:val="22"/>
              </w:rPr>
            </w:pPr>
            <w:r>
              <w:rPr>
                <w:color w:val="auto"/>
                <w:sz w:val="22"/>
                <w:szCs w:val="22"/>
              </w:rPr>
              <w:t>Урок 29</w:t>
            </w:r>
          </w:p>
        </w:tc>
        <w:tc>
          <w:tcPr>
            <w:tcW w:w="7937" w:type="dxa"/>
            <w:vAlign w:val="center"/>
          </w:tcPr>
          <w:p w14:paraId="7EC38231">
            <w:pPr>
              <w:pStyle w:val="85"/>
              <w:jc w:val="both"/>
              <w:rPr>
                <w:color w:val="auto"/>
                <w:sz w:val="22"/>
                <w:szCs w:val="22"/>
              </w:rPr>
            </w:pPr>
            <w:r>
              <w:rPr>
                <w:color w:val="auto"/>
                <w:sz w:val="22"/>
                <w:szCs w:val="22"/>
              </w:rPr>
              <w:t>Поэты о красоте родной природы. На примере произведения Н.А. Некрасова "Железная дорога" (отрывок)</w:t>
            </w:r>
          </w:p>
        </w:tc>
      </w:tr>
      <w:tr w14:paraId="21B890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15B7395A">
            <w:pPr>
              <w:pStyle w:val="85"/>
              <w:rPr>
                <w:color w:val="auto"/>
                <w:sz w:val="22"/>
                <w:szCs w:val="22"/>
              </w:rPr>
            </w:pPr>
            <w:r>
              <w:rPr>
                <w:color w:val="auto"/>
                <w:sz w:val="22"/>
                <w:szCs w:val="22"/>
              </w:rPr>
              <w:t>Урок 30</w:t>
            </w:r>
          </w:p>
        </w:tc>
        <w:tc>
          <w:tcPr>
            <w:tcW w:w="7937" w:type="dxa"/>
            <w:vAlign w:val="center"/>
          </w:tcPr>
          <w:p w14:paraId="0E2CACD9">
            <w:pPr>
              <w:pStyle w:val="85"/>
              <w:jc w:val="both"/>
              <w:rPr>
                <w:color w:val="auto"/>
                <w:sz w:val="22"/>
                <w:szCs w:val="22"/>
              </w:rPr>
            </w:pPr>
            <w:r>
              <w:rPr>
                <w:color w:val="auto"/>
                <w:sz w:val="22"/>
                <w:szCs w:val="22"/>
              </w:rPr>
              <w:t>Оценка чувств и настроения, вызываемых лирическим произведением. На примере произведения Н.А. Некрасова "Не ветер бушует над бором..." (отрывок)</w:t>
            </w:r>
          </w:p>
        </w:tc>
      </w:tr>
      <w:tr w14:paraId="7947DD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242AC93C">
            <w:pPr>
              <w:pStyle w:val="85"/>
              <w:rPr>
                <w:color w:val="auto"/>
                <w:sz w:val="22"/>
                <w:szCs w:val="22"/>
              </w:rPr>
            </w:pPr>
            <w:r>
              <w:rPr>
                <w:color w:val="auto"/>
                <w:sz w:val="22"/>
                <w:szCs w:val="22"/>
              </w:rPr>
              <w:t>Урок 31</w:t>
            </w:r>
          </w:p>
        </w:tc>
        <w:tc>
          <w:tcPr>
            <w:tcW w:w="7937" w:type="dxa"/>
            <w:vAlign w:val="center"/>
          </w:tcPr>
          <w:p w14:paraId="6A100B3D">
            <w:pPr>
              <w:pStyle w:val="85"/>
              <w:jc w:val="both"/>
              <w:rPr>
                <w:color w:val="auto"/>
                <w:sz w:val="22"/>
                <w:szCs w:val="22"/>
              </w:rPr>
            </w:pPr>
            <w:r>
              <w:rPr>
                <w:color w:val="auto"/>
                <w:sz w:val="22"/>
                <w:szCs w:val="22"/>
              </w:rPr>
              <w:t>Наблюдение за словами и выражениями, с помощью которых создаются картины зимы на примере стихотворения И.А. Некрасова "Не ветер бушует над бором..."</w:t>
            </w:r>
          </w:p>
        </w:tc>
      </w:tr>
      <w:tr w14:paraId="19EF34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771ABFFB">
            <w:pPr>
              <w:pStyle w:val="85"/>
              <w:rPr>
                <w:color w:val="auto"/>
                <w:sz w:val="22"/>
                <w:szCs w:val="22"/>
              </w:rPr>
            </w:pPr>
            <w:r>
              <w:rPr>
                <w:color w:val="auto"/>
                <w:sz w:val="22"/>
                <w:szCs w:val="22"/>
              </w:rPr>
              <w:t>Урок 32</w:t>
            </w:r>
          </w:p>
        </w:tc>
        <w:tc>
          <w:tcPr>
            <w:tcW w:w="7937" w:type="dxa"/>
            <w:vAlign w:val="center"/>
          </w:tcPr>
          <w:p w14:paraId="71C1BF06">
            <w:pPr>
              <w:pStyle w:val="85"/>
              <w:jc w:val="both"/>
              <w:rPr>
                <w:color w:val="auto"/>
                <w:sz w:val="22"/>
                <w:szCs w:val="22"/>
              </w:rPr>
            </w:pPr>
            <w:r>
              <w:rPr>
                <w:color w:val="auto"/>
                <w:sz w:val="22"/>
                <w:szCs w:val="22"/>
              </w:rPr>
              <w:t>Использование с учетом учебных задач аппарата издания (обложка, оглавление, аннотация, предисловие, иллюстрации). Художник-иллюстратор</w:t>
            </w:r>
          </w:p>
        </w:tc>
      </w:tr>
      <w:tr w14:paraId="5EE12D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1B6E4999">
            <w:pPr>
              <w:pStyle w:val="85"/>
              <w:rPr>
                <w:color w:val="auto"/>
                <w:sz w:val="22"/>
                <w:szCs w:val="22"/>
              </w:rPr>
            </w:pPr>
            <w:r>
              <w:rPr>
                <w:color w:val="auto"/>
                <w:sz w:val="22"/>
                <w:szCs w:val="22"/>
              </w:rPr>
              <w:t>Урок 33</w:t>
            </w:r>
          </w:p>
        </w:tc>
        <w:tc>
          <w:tcPr>
            <w:tcW w:w="7937" w:type="dxa"/>
            <w:vAlign w:val="center"/>
          </w:tcPr>
          <w:p w14:paraId="2C337749">
            <w:pPr>
              <w:pStyle w:val="85"/>
              <w:jc w:val="both"/>
              <w:rPr>
                <w:color w:val="auto"/>
                <w:sz w:val="22"/>
                <w:szCs w:val="22"/>
              </w:rPr>
            </w:pPr>
            <w:r>
              <w:rPr>
                <w:color w:val="auto"/>
                <w:sz w:val="22"/>
                <w:szCs w:val="22"/>
              </w:rPr>
              <w:t>А.С. Пушкин - великий русский поэт</w:t>
            </w:r>
          </w:p>
        </w:tc>
      </w:tr>
      <w:tr w14:paraId="0DADBD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12FE09EF">
            <w:pPr>
              <w:pStyle w:val="85"/>
              <w:rPr>
                <w:color w:val="auto"/>
                <w:sz w:val="22"/>
                <w:szCs w:val="22"/>
              </w:rPr>
            </w:pPr>
            <w:r>
              <w:rPr>
                <w:color w:val="auto"/>
                <w:sz w:val="22"/>
                <w:szCs w:val="22"/>
              </w:rPr>
              <w:t>Урок 34</w:t>
            </w:r>
          </w:p>
        </w:tc>
        <w:tc>
          <w:tcPr>
            <w:tcW w:w="7937" w:type="dxa"/>
            <w:vAlign w:val="center"/>
          </w:tcPr>
          <w:p w14:paraId="60EBE569">
            <w:pPr>
              <w:pStyle w:val="85"/>
              <w:jc w:val="both"/>
              <w:rPr>
                <w:color w:val="auto"/>
                <w:sz w:val="22"/>
                <w:szCs w:val="22"/>
              </w:rPr>
            </w:pPr>
            <w:r>
              <w:rPr>
                <w:color w:val="auto"/>
                <w:sz w:val="22"/>
                <w:szCs w:val="22"/>
              </w:rPr>
              <w:t>Восприятие пейзажной лирики А.С. Пушкина: средства художественной выразительности (сравнение, эпитет), рифма, ритм</w:t>
            </w:r>
          </w:p>
        </w:tc>
      </w:tr>
      <w:tr w14:paraId="5C882AB5">
        <w:tblPrEx>
          <w:tblCellMar>
            <w:top w:w="102" w:type="dxa"/>
            <w:left w:w="62" w:type="dxa"/>
            <w:bottom w:w="102" w:type="dxa"/>
            <w:right w:w="62" w:type="dxa"/>
          </w:tblCellMar>
        </w:tblPrEx>
        <w:tc>
          <w:tcPr>
            <w:tcW w:w="1134" w:type="dxa"/>
            <w:vAlign w:val="center"/>
          </w:tcPr>
          <w:p w14:paraId="27E13524">
            <w:pPr>
              <w:pStyle w:val="85"/>
              <w:rPr>
                <w:color w:val="auto"/>
                <w:sz w:val="22"/>
                <w:szCs w:val="22"/>
              </w:rPr>
            </w:pPr>
            <w:r>
              <w:rPr>
                <w:color w:val="auto"/>
                <w:sz w:val="22"/>
                <w:szCs w:val="22"/>
              </w:rPr>
              <w:t>Урок 35</w:t>
            </w:r>
          </w:p>
        </w:tc>
        <w:tc>
          <w:tcPr>
            <w:tcW w:w="7937" w:type="dxa"/>
            <w:vAlign w:val="center"/>
          </w:tcPr>
          <w:p w14:paraId="0AD5FB99">
            <w:pPr>
              <w:pStyle w:val="85"/>
              <w:jc w:val="both"/>
              <w:rPr>
                <w:color w:val="auto"/>
                <w:sz w:val="22"/>
                <w:szCs w:val="22"/>
              </w:rPr>
            </w:pPr>
            <w:r>
              <w:rPr>
                <w:color w:val="auto"/>
                <w:sz w:val="22"/>
                <w:szCs w:val="22"/>
              </w:rPr>
              <w:t>Фольклорная основа литературной сказки А.С. Пушкина "Сказка о царе Салтане, о сыне его славном и могучем богатыре князе Гвидоне Салтановиче и о прекрасной царевне Лебеди"</w:t>
            </w:r>
          </w:p>
        </w:tc>
      </w:tr>
      <w:tr w14:paraId="19507D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0C16A88A">
            <w:pPr>
              <w:pStyle w:val="85"/>
              <w:rPr>
                <w:color w:val="auto"/>
                <w:sz w:val="22"/>
                <w:szCs w:val="22"/>
              </w:rPr>
            </w:pPr>
            <w:r>
              <w:rPr>
                <w:color w:val="auto"/>
                <w:sz w:val="22"/>
                <w:szCs w:val="22"/>
              </w:rPr>
              <w:t>Урок 36</w:t>
            </w:r>
          </w:p>
        </w:tc>
        <w:tc>
          <w:tcPr>
            <w:tcW w:w="7937" w:type="dxa"/>
            <w:vAlign w:val="center"/>
          </w:tcPr>
          <w:p w14:paraId="261289F4">
            <w:pPr>
              <w:pStyle w:val="85"/>
              <w:jc w:val="both"/>
              <w:rPr>
                <w:color w:val="auto"/>
                <w:sz w:val="22"/>
                <w:szCs w:val="22"/>
              </w:rPr>
            </w:pPr>
            <w:r>
              <w:rPr>
                <w:color w:val="auto"/>
                <w:sz w:val="22"/>
                <w:szCs w:val="22"/>
              </w:rPr>
              <w:t>Знакомство с литературной сказкой А.С. Пушкина "Сказка о царе Салтане, о сыне его славном и могучем богатыре князе Гвидоне Салтановиче и о прекрасной царевне Лебеди": прием повтора как основа изменения сюжета</w:t>
            </w:r>
          </w:p>
        </w:tc>
      </w:tr>
      <w:tr w14:paraId="718392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12F08E18">
            <w:pPr>
              <w:pStyle w:val="85"/>
              <w:rPr>
                <w:color w:val="auto"/>
                <w:sz w:val="22"/>
                <w:szCs w:val="22"/>
              </w:rPr>
            </w:pPr>
            <w:r>
              <w:rPr>
                <w:color w:val="auto"/>
                <w:sz w:val="22"/>
                <w:szCs w:val="22"/>
              </w:rPr>
              <w:t>Урок 37</w:t>
            </w:r>
          </w:p>
        </w:tc>
        <w:tc>
          <w:tcPr>
            <w:tcW w:w="7937" w:type="dxa"/>
            <w:vAlign w:val="center"/>
          </w:tcPr>
          <w:p w14:paraId="47208EC5">
            <w:pPr>
              <w:pStyle w:val="85"/>
              <w:jc w:val="both"/>
              <w:rPr>
                <w:color w:val="auto"/>
                <w:sz w:val="22"/>
                <w:szCs w:val="22"/>
              </w:rPr>
            </w:pPr>
            <w:r>
              <w:rPr>
                <w:color w:val="auto"/>
                <w:sz w:val="22"/>
                <w:szCs w:val="22"/>
              </w:rPr>
              <w:t>Характеристика положительных и отрицательных героев, примеры превращений и чудес в сказке А.С. Пушкина "Сказка о царе Салтане, о сыне его славном и могучем богатыре князе Гвидоне Салтановиче и о прекрасной царевне Лебеди"</w:t>
            </w:r>
          </w:p>
        </w:tc>
      </w:tr>
      <w:tr w14:paraId="7492F1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05FFFD7C">
            <w:pPr>
              <w:pStyle w:val="85"/>
              <w:rPr>
                <w:color w:val="auto"/>
                <w:sz w:val="22"/>
                <w:szCs w:val="22"/>
              </w:rPr>
            </w:pPr>
            <w:r>
              <w:rPr>
                <w:color w:val="auto"/>
                <w:sz w:val="22"/>
                <w:szCs w:val="22"/>
              </w:rPr>
              <w:t>Урок 38</w:t>
            </w:r>
          </w:p>
        </w:tc>
        <w:tc>
          <w:tcPr>
            <w:tcW w:w="7937" w:type="dxa"/>
            <w:vAlign w:val="center"/>
          </w:tcPr>
          <w:p w14:paraId="553E1FA4">
            <w:pPr>
              <w:pStyle w:val="85"/>
              <w:jc w:val="both"/>
              <w:rPr>
                <w:color w:val="auto"/>
                <w:sz w:val="22"/>
                <w:szCs w:val="22"/>
              </w:rPr>
            </w:pPr>
            <w:r>
              <w:rPr>
                <w:color w:val="auto"/>
                <w:sz w:val="22"/>
                <w:szCs w:val="22"/>
              </w:rPr>
              <w:t>Наблюдение за художественными особенностями текста сказки А.С. Пушкина "Сказка о царе Салтане, о сыне его славном и могучем богатыре князе Гвидоне Салтановиче и о прекрасной царевне Лебеди"</w:t>
            </w:r>
          </w:p>
        </w:tc>
      </w:tr>
      <w:tr w14:paraId="7F321C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1855A0EB">
            <w:pPr>
              <w:pStyle w:val="85"/>
              <w:rPr>
                <w:color w:val="auto"/>
                <w:sz w:val="22"/>
                <w:szCs w:val="22"/>
              </w:rPr>
            </w:pPr>
            <w:r>
              <w:rPr>
                <w:color w:val="auto"/>
                <w:sz w:val="22"/>
                <w:szCs w:val="22"/>
              </w:rPr>
              <w:t>Урок 39</w:t>
            </w:r>
          </w:p>
        </w:tc>
        <w:tc>
          <w:tcPr>
            <w:tcW w:w="7937" w:type="dxa"/>
            <w:vAlign w:val="center"/>
          </w:tcPr>
          <w:p w14:paraId="3F385D11">
            <w:pPr>
              <w:pStyle w:val="85"/>
              <w:jc w:val="both"/>
              <w:rPr>
                <w:color w:val="auto"/>
                <w:sz w:val="22"/>
                <w:szCs w:val="22"/>
              </w:rPr>
            </w:pPr>
            <w:r>
              <w:rPr>
                <w:color w:val="auto"/>
                <w:sz w:val="22"/>
                <w:szCs w:val="22"/>
              </w:rPr>
              <w:t>Работа с детскими книгами. И.Я. Билибин - иллюстратор сказок А.С. Пушкина</w:t>
            </w:r>
          </w:p>
        </w:tc>
      </w:tr>
      <w:tr w14:paraId="23A377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59AECAB3">
            <w:pPr>
              <w:pStyle w:val="85"/>
              <w:rPr>
                <w:color w:val="auto"/>
                <w:sz w:val="22"/>
                <w:szCs w:val="22"/>
              </w:rPr>
            </w:pPr>
            <w:r>
              <w:rPr>
                <w:color w:val="auto"/>
                <w:sz w:val="22"/>
                <w:szCs w:val="22"/>
              </w:rPr>
              <w:t>Урок 40</w:t>
            </w:r>
          </w:p>
        </w:tc>
        <w:tc>
          <w:tcPr>
            <w:tcW w:w="7937" w:type="dxa"/>
            <w:vAlign w:val="center"/>
          </w:tcPr>
          <w:p w14:paraId="1E881ABC">
            <w:pPr>
              <w:pStyle w:val="85"/>
              <w:jc w:val="both"/>
              <w:rPr>
                <w:color w:val="auto"/>
                <w:sz w:val="22"/>
                <w:szCs w:val="22"/>
              </w:rPr>
            </w:pPr>
            <w:r>
              <w:rPr>
                <w:color w:val="auto"/>
                <w:sz w:val="22"/>
                <w:szCs w:val="22"/>
              </w:rPr>
              <w:t>Резервный урок. Средства художественной выразительности в тексте сказки А.С. Пушкина "Сказка о царе Салтане, о сыне его славном и могучем богатыре князе Гвидоне Салтановиче и о прекрасной царевне Лебеди"</w:t>
            </w:r>
          </w:p>
        </w:tc>
      </w:tr>
      <w:tr w14:paraId="15A438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25EAEEDF">
            <w:pPr>
              <w:pStyle w:val="85"/>
              <w:rPr>
                <w:color w:val="auto"/>
                <w:sz w:val="22"/>
                <w:szCs w:val="22"/>
              </w:rPr>
            </w:pPr>
            <w:r>
              <w:rPr>
                <w:color w:val="auto"/>
                <w:sz w:val="22"/>
                <w:szCs w:val="22"/>
              </w:rPr>
              <w:t>Урок 41</w:t>
            </w:r>
          </w:p>
        </w:tc>
        <w:tc>
          <w:tcPr>
            <w:tcW w:w="7937" w:type="dxa"/>
            <w:vAlign w:val="center"/>
          </w:tcPr>
          <w:p w14:paraId="38B29C06">
            <w:pPr>
              <w:pStyle w:val="85"/>
              <w:jc w:val="both"/>
              <w:rPr>
                <w:color w:val="auto"/>
                <w:sz w:val="22"/>
                <w:szCs w:val="22"/>
              </w:rPr>
            </w:pPr>
            <w:r>
              <w:rPr>
                <w:color w:val="auto"/>
                <w:sz w:val="22"/>
                <w:szCs w:val="22"/>
              </w:rPr>
              <w:t>Роль интерьера. Иллюстрации Билибина (описание интерьера)</w:t>
            </w:r>
          </w:p>
        </w:tc>
      </w:tr>
      <w:tr w14:paraId="604D3D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1FBA95EB">
            <w:pPr>
              <w:pStyle w:val="85"/>
              <w:rPr>
                <w:color w:val="auto"/>
                <w:sz w:val="22"/>
                <w:szCs w:val="22"/>
              </w:rPr>
            </w:pPr>
            <w:r>
              <w:rPr>
                <w:color w:val="auto"/>
                <w:sz w:val="22"/>
                <w:szCs w:val="22"/>
              </w:rPr>
              <w:t>Урок 42</w:t>
            </w:r>
          </w:p>
        </w:tc>
        <w:tc>
          <w:tcPr>
            <w:tcW w:w="7937" w:type="dxa"/>
            <w:vAlign w:val="center"/>
          </w:tcPr>
          <w:p w14:paraId="0B72AE7A">
            <w:pPr>
              <w:pStyle w:val="85"/>
              <w:jc w:val="both"/>
              <w:rPr>
                <w:color w:val="auto"/>
                <w:sz w:val="22"/>
                <w:szCs w:val="22"/>
              </w:rPr>
            </w:pPr>
            <w:r>
              <w:rPr>
                <w:color w:val="auto"/>
                <w:sz w:val="22"/>
                <w:szCs w:val="22"/>
              </w:rPr>
              <w:t>Составление устного рассказа "Почему я люблю сказки А.С. Пушкина"</w:t>
            </w:r>
          </w:p>
        </w:tc>
      </w:tr>
      <w:tr w14:paraId="2E570E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428AFC1D">
            <w:pPr>
              <w:pStyle w:val="85"/>
              <w:rPr>
                <w:color w:val="auto"/>
                <w:sz w:val="22"/>
                <w:szCs w:val="22"/>
              </w:rPr>
            </w:pPr>
            <w:r>
              <w:rPr>
                <w:color w:val="auto"/>
                <w:sz w:val="22"/>
                <w:szCs w:val="22"/>
              </w:rPr>
              <w:t>Урок 43</w:t>
            </w:r>
          </w:p>
        </w:tc>
        <w:tc>
          <w:tcPr>
            <w:tcW w:w="7937" w:type="dxa"/>
            <w:vAlign w:val="center"/>
          </w:tcPr>
          <w:p w14:paraId="44949638">
            <w:pPr>
              <w:pStyle w:val="85"/>
              <w:jc w:val="both"/>
              <w:rPr>
                <w:color w:val="auto"/>
                <w:sz w:val="22"/>
                <w:szCs w:val="22"/>
              </w:rPr>
            </w:pPr>
            <w:r>
              <w:rPr>
                <w:color w:val="auto"/>
                <w:sz w:val="22"/>
                <w:szCs w:val="22"/>
              </w:rPr>
              <w:t>Тематическое повторение по итогам раздела "Творчество А.С. Пушкина"</w:t>
            </w:r>
          </w:p>
        </w:tc>
      </w:tr>
      <w:tr w14:paraId="190464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2C1F1AB6">
            <w:pPr>
              <w:pStyle w:val="85"/>
              <w:rPr>
                <w:color w:val="auto"/>
                <w:sz w:val="22"/>
                <w:szCs w:val="22"/>
              </w:rPr>
            </w:pPr>
            <w:r>
              <w:rPr>
                <w:color w:val="auto"/>
                <w:sz w:val="22"/>
                <w:szCs w:val="22"/>
              </w:rPr>
              <w:t>Урок 44</w:t>
            </w:r>
          </w:p>
        </w:tc>
        <w:tc>
          <w:tcPr>
            <w:tcW w:w="7937" w:type="dxa"/>
            <w:vAlign w:val="center"/>
          </w:tcPr>
          <w:p w14:paraId="4469A9EC">
            <w:pPr>
              <w:pStyle w:val="85"/>
              <w:jc w:val="both"/>
              <w:rPr>
                <w:color w:val="auto"/>
                <w:sz w:val="22"/>
                <w:szCs w:val="22"/>
              </w:rPr>
            </w:pPr>
            <w:r>
              <w:rPr>
                <w:color w:val="auto"/>
                <w:sz w:val="22"/>
                <w:szCs w:val="22"/>
              </w:rPr>
              <w:t>И.А. Крылов - великий русский баснописец. Иносказание в его баснях</w:t>
            </w:r>
          </w:p>
        </w:tc>
      </w:tr>
      <w:tr w14:paraId="37FB9A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397B51EA">
            <w:pPr>
              <w:pStyle w:val="85"/>
              <w:rPr>
                <w:color w:val="auto"/>
                <w:sz w:val="22"/>
                <w:szCs w:val="22"/>
              </w:rPr>
            </w:pPr>
            <w:r>
              <w:rPr>
                <w:color w:val="auto"/>
                <w:sz w:val="22"/>
                <w:szCs w:val="22"/>
              </w:rPr>
              <w:t>Урок 45</w:t>
            </w:r>
          </w:p>
        </w:tc>
        <w:tc>
          <w:tcPr>
            <w:tcW w:w="7937" w:type="dxa"/>
            <w:vAlign w:val="center"/>
          </w:tcPr>
          <w:p w14:paraId="04829B7B">
            <w:pPr>
              <w:pStyle w:val="85"/>
              <w:jc w:val="both"/>
              <w:rPr>
                <w:color w:val="auto"/>
                <w:sz w:val="22"/>
                <w:szCs w:val="22"/>
              </w:rPr>
            </w:pPr>
            <w:r>
              <w:rPr>
                <w:color w:val="auto"/>
                <w:sz w:val="22"/>
                <w:szCs w:val="22"/>
              </w:rPr>
              <w:t>Осознание особенностей басни, как произведения-поучения, которое помогает увидеть свои и чужие недостатки</w:t>
            </w:r>
          </w:p>
        </w:tc>
      </w:tr>
      <w:tr w14:paraId="6AA7A1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3DD051FE">
            <w:pPr>
              <w:pStyle w:val="85"/>
              <w:rPr>
                <w:color w:val="auto"/>
                <w:sz w:val="22"/>
                <w:szCs w:val="22"/>
              </w:rPr>
            </w:pPr>
            <w:r>
              <w:rPr>
                <w:color w:val="auto"/>
                <w:sz w:val="22"/>
                <w:szCs w:val="22"/>
              </w:rPr>
              <w:t>Урок 46</w:t>
            </w:r>
          </w:p>
        </w:tc>
        <w:tc>
          <w:tcPr>
            <w:tcW w:w="7937" w:type="dxa"/>
            <w:vAlign w:val="center"/>
          </w:tcPr>
          <w:p w14:paraId="1E967DD4">
            <w:pPr>
              <w:pStyle w:val="85"/>
              <w:jc w:val="both"/>
              <w:rPr>
                <w:color w:val="auto"/>
                <w:sz w:val="22"/>
                <w:szCs w:val="22"/>
              </w:rPr>
            </w:pPr>
            <w:r>
              <w:rPr>
                <w:color w:val="auto"/>
                <w:sz w:val="22"/>
                <w:szCs w:val="22"/>
              </w:rPr>
              <w:t>Знакомство с произведениями И.А. Крылова. Явная и скрытая мораль басен</w:t>
            </w:r>
          </w:p>
        </w:tc>
      </w:tr>
      <w:tr w14:paraId="4AA4E5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42563068">
            <w:pPr>
              <w:pStyle w:val="85"/>
              <w:rPr>
                <w:color w:val="auto"/>
                <w:sz w:val="22"/>
                <w:szCs w:val="22"/>
              </w:rPr>
            </w:pPr>
            <w:r>
              <w:rPr>
                <w:color w:val="auto"/>
                <w:sz w:val="22"/>
                <w:szCs w:val="22"/>
              </w:rPr>
              <w:t>Урок 47</w:t>
            </w:r>
          </w:p>
        </w:tc>
        <w:tc>
          <w:tcPr>
            <w:tcW w:w="7937" w:type="dxa"/>
            <w:vAlign w:val="center"/>
          </w:tcPr>
          <w:p w14:paraId="0DEB7AF7">
            <w:pPr>
              <w:pStyle w:val="85"/>
              <w:jc w:val="both"/>
              <w:rPr>
                <w:color w:val="auto"/>
                <w:sz w:val="22"/>
                <w:szCs w:val="22"/>
              </w:rPr>
            </w:pPr>
            <w:r>
              <w:rPr>
                <w:color w:val="auto"/>
                <w:sz w:val="22"/>
                <w:szCs w:val="22"/>
              </w:rPr>
              <w:t>Работа с басней И.А. Крылова "Ворона и Лисица": тема, мораль, герои, особенности языка</w:t>
            </w:r>
          </w:p>
        </w:tc>
      </w:tr>
      <w:tr w14:paraId="17D5FE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4682BF10">
            <w:pPr>
              <w:pStyle w:val="85"/>
              <w:rPr>
                <w:color w:val="auto"/>
                <w:sz w:val="22"/>
                <w:szCs w:val="22"/>
              </w:rPr>
            </w:pPr>
            <w:r>
              <w:rPr>
                <w:color w:val="auto"/>
                <w:sz w:val="22"/>
                <w:szCs w:val="22"/>
              </w:rPr>
              <w:t>Урок 48</w:t>
            </w:r>
          </w:p>
        </w:tc>
        <w:tc>
          <w:tcPr>
            <w:tcW w:w="7937" w:type="dxa"/>
            <w:vAlign w:val="center"/>
          </w:tcPr>
          <w:p w14:paraId="6448DD3F">
            <w:pPr>
              <w:pStyle w:val="85"/>
              <w:jc w:val="both"/>
              <w:rPr>
                <w:color w:val="auto"/>
                <w:sz w:val="22"/>
                <w:szCs w:val="22"/>
              </w:rPr>
            </w:pPr>
            <w:r>
              <w:rPr>
                <w:color w:val="auto"/>
                <w:sz w:val="22"/>
                <w:szCs w:val="22"/>
              </w:rPr>
              <w:t>Живописные полотна как иллюстрация к лирическому произведению: пейзаж</w:t>
            </w:r>
          </w:p>
        </w:tc>
      </w:tr>
      <w:tr w14:paraId="550CB4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4551D2C3">
            <w:pPr>
              <w:pStyle w:val="85"/>
              <w:rPr>
                <w:color w:val="auto"/>
                <w:sz w:val="22"/>
                <w:szCs w:val="22"/>
              </w:rPr>
            </w:pPr>
            <w:r>
              <w:rPr>
                <w:color w:val="auto"/>
                <w:sz w:val="22"/>
                <w:szCs w:val="22"/>
              </w:rPr>
              <w:t>Урок 49</w:t>
            </w:r>
          </w:p>
        </w:tc>
        <w:tc>
          <w:tcPr>
            <w:tcW w:w="7937" w:type="dxa"/>
            <w:vAlign w:val="center"/>
          </w:tcPr>
          <w:p w14:paraId="48E387E4">
            <w:pPr>
              <w:pStyle w:val="85"/>
              <w:jc w:val="both"/>
              <w:rPr>
                <w:color w:val="auto"/>
                <w:sz w:val="22"/>
                <w:szCs w:val="22"/>
              </w:rPr>
            </w:pPr>
            <w:r>
              <w:rPr>
                <w:color w:val="auto"/>
                <w:sz w:val="22"/>
                <w:szCs w:val="22"/>
              </w:rPr>
              <w:t>Жанровое многообразие произведений Л.Н. Толстого: сказки, рассказы, басни, быль</w:t>
            </w:r>
          </w:p>
        </w:tc>
      </w:tr>
      <w:tr w14:paraId="5239B8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50EC3B40">
            <w:pPr>
              <w:pStyle w:val="85"/>
              <w:rPr>
                <w:color w:val="auto"/>
                <w:sz w:val="22"/>
                <w:szCs w:val="22"/>
              </w:rPr>
            </w:pPr>
            <w:r>
              <w:rPr>
                <w:color w:val="auto"/>
                <w:sz w:val="22"/>
                <w:szCs w:val="22"/>
              </w:rPr>
              <w:t>Урок 50</w:t>
            </w:r>
          </w:p>
        </w:tc>
        <w:tc>
          <w:tcPr>
            <w:tcW w:w="7937" w:type="dxa"/>
            <w:vAlign w:val="center"/>
          </w:tcPr>
          <w:p w14:paraId="29961A2A">
            <w:pPr>
              <w:pStyle w:val="85"/>
              <w:jc w:val="both"/>
              <w:rPr>
                <w:color w:val="auto"/>
                <w:sz w:val="22"/>
                <w:szCs w:val="22"/>
              </w:rPr>
            </w:pPr>
            <w:r>
              <w:rPr>
                <w:color w:val="auto"/>
                <w:sz w:val="22"/>
                <w:szCs w:val="22"/>
              </w:rPr>
              <w:t>Наблюдение за художественными особенностями рассказа-описания и рассказа-рассуждения на примере рассказа Л.Н. Толстого "Лебеди" и других</w:t>
            </w:r>
          </w:p>
        </w:tc>
      </w:tr>
      <w:tr w14:paraId="2865D9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3ACF89D1">
            <w:pPr>
              <w:pStyle w:val="85"/>
              <w:rPr>
                <w:color w:val="auto"/>
                <w:sz w:val="22"/>
                <w:szCs w:val="22"/>
              </w:rPr>
            </w:pPr>
            <w:r>
              <w:rPr>
                <w:color w:val="auto"/>
                <w:sz w:val="22"/>
                <w:szCs w:val="22"/>
              </w:rPr>
              <w:t>Урок 51</w:t>
            </w:r>
          </w:p>
        </w:tc>
        <w:tc>
          <w:tcPr>
            <w:tcW w:w="7937" w:type="dxa"/>
            <w:vAlign w:val="center"/>
          </w:tcPr>
          <w:p w14:paraId="3D2D56AB">
            <w:pPr>
              <w:pStyle w:val="85"/>
              <w:jc w:val="both"/>
              <w:rPr>
                <w:color w:val="auto"/>
                <w:sz w:val="22"/>
                <w:szCs w:val="22"/>
              </w:rPr>
            </w:pPr>
            <w:r>
              <w:rPr>
                <w:color w:val="auto"/>
                <w:sz w:val="22"/>
                <w:szCs w:val="22"/>
              </w:rPr>
              <w:t>Различение рассказчика и автора произведения. На примере рассказа Л.Н. Толстого "Акула"</w:t>
            </w:r>
          </w:p>
        </w:tc>
      </w:tr>
      <w:tr w14:paraId="15E38F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203B967F">
            <w:pPr>
              <w:pStyle w:val="85"/>
              <w:rPr>
                <w:color w:val="auto"/>
                <w:sz w:val="22"/>
                <w:szCs w:val="22"/>
              </w:rPr>
            </w:pPr>
            <w:r>
              <w:rPr>
                <w:color w:val="auto"/>
                <w:sz w:val="22"/>
                <w:szCs w:val="22"/>
              </w:rPr>
              <w:t>Урок 52</w:t>
            </w:r>
          </w:p>
        </w:tc>
        <w:tc>
          <w:tcPr>
            <w:tcW w:w="7937" w:type="dxa"/>
            <w:vAlign w:val="center"/>
          </w:tcPr>
          <w:p w14:paraId="57C4D7F4">
            <w:pPr>
              <w:pStyle w:val="85"/>
              <w:jc w:val="both"/>
              <w:rPr>
                <w:color w:val="auto"/>
                <w:sz w:val="22"/>
                <w:szCs w:val="22"/>
              </w:rPr>
            </w:pPr>
            <w:r>
              <w:rPr>
                <w:color w:val="auto"/>
                <w:sz w:val="22"/>
                <w:szCs w:val="22"/>
              </w:rPr>
              <w:t>Разные виды планов на примере произведения Л.Н. Толстого "Акула"</w:t>
            </w:r>
          </w:p>
        </w:tc>
      </w:tr>
      <w:tr w14:paraId="289E9B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217E8621">
            <w:pPr>
              <w:pStyle w:val="85"/>
              <w:rPr>
                <w:color w:val="auto"/>
                <w:sz w:val="22"/>
                <w:szCs w:val="22"/>
              </w:rPr>
            </w:pPr>
            <w:r>
              <w:rPr>
                <w:color w:val="auto"/>
                <w:sz w:val="22"/>
                <w:szCs w:val="22"/>
              </w:rPr>
              <w:t>Урок 53</w:t>
            </w:r>
          </w:p>
        </w:tc>
        <w:tc>
          <w:tcPr>
            <w:tcW w:w="7937" w:type="dxa"/>
            <w:vAlign w:val="center"/>
          </w:tcPr>
          <w:p w14:paraId="0514C20A">
            <w:pPr>
              <w:pStyle w:val="85"/>
              <w:jc w:val="both"/>
              <w:rPr>
                <w:color w:val="auto"/>
                <w:sz w:val="22"/>
                <w:szCs w:val="22"/>
              </w:rPr>
            </w:pPr>
            <w:r>
              <w:rPr>
                <w:color w:val="auto"/>
                <w:sz w:val="22"/>
                <w:szCs w:val="22"/>
              </w:rPr>
              <w:t>Различение художественного и научно-познавательного текстов Л.Н. Толстого "Лебеди" и "Зайцы"</w:t>
            </w:r>
          </w:p>
        </w:tc>
      </w:tr>
      <w:tr w14:paraId="3BC016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213D374D">
            <w:pPr>
              <w:pStyle w:val="85"/>
              <w:rPr>
                <w:color w:val="auto"/>
                <w:sz w:val="22"/>
                <w:szCs w:val="22"/>
              </w:rPr>
            </w:pPr>
            <w:r>
              <w:rPr>
                <w:color w:val="auto"/>
                <w:sz w:val="22"/>
                <w:szCs w:val="22"/>
              </w:rPr>
              <w:t>Урок 54</w:t>
            </w:r>
          </w:p>
        </w:tc>
        <w:tc>
          <w:tcPr>
            <w:tcW w:w="7937" w:type="dxa"/>
            <w:vAlign w:val="center"/>
          </w:tcPr>
          <w:p w14:paraId="290C7BBE">
            <w:pPr>
              <w:pStyle w:val="85"/>
              <w:jc w:val="both"/>
              <w:rPr>
                <w:color w:val="auto"/>
                <w:sz w:val="22"/>
                <w:szCs w:val="22"/>
              </w:rPr>
            </w:pPr>
            <w:r>
              <w:rPr>
                <w:color w:val="auto"/>
                <w:sz w:val="22"/>
                <w:szCs w:val="22"/>
              </w:rPr>
              <w:t>Анализ сюжета были "Прыжок" Л.Н. Толстого: главные герои, отдельные эпизоды, составление плана</w:t>
            </w:r>
          </w:p>
        </w:tc>
      </w:tr>
      <w:tr w14:paraId="0D654F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6809811E">
            <w:pPr>
              <w:pStyle w:val="85"/>
              <w:rPr>
                <w:color w:val="auto"/>
                <w:sz w:val="22"/>
                <w:szCs w:val="22"/>
              </w:rPr>
            </w:pPr>
            <w:r>
              <w:rPr>
                <w:color w:val="auto"/>
                <w:sz w:val="22"/>
                <w:szCs w:val="22"/>
              </w:rPr>
              <w:t>Урок 55</w:t>
            </w:r>
          </w:p>
        </w:tc>
        <w:tc>
          <w:tcPr>
            <w:tcW w:w="7937" w:type="dxa"/>
            <w:vAlign w:val="center"/>
          </w:tcPr>
          <w:p w14:paraId="08F12B66">
            <w:pPr>
              <w:pStyle w:val="85"/>
              <w:jc w:val="both"/>
              <w:rPr>
                <w:color w:val="auto"/>
                <w:sz w:val="22"/>
                <w:szCs w:val="22"/>
              </w:rPr>
            </w:pPr>
            <w:r>
              <w:rPr>
                <w:color w:val="auto"/>
                <w:sz w:val="22"/>
                <w:szCs w:val="22"/>
              </w:rPr>
              <w:t>Выделение структурных частей композиции (начало действия, завязка, кульминация, развязка) произведения Л.Н. Толстого "Прыжок" и других по выбору</w:t>
            </w:r>
          </w:p>
        </w:tc>
      </w:tr>
      <w:tr w14:paraId="46F05D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23C428A8">
            <w:pPr>
              <w:pStyle w:val="85"/>
              <w:rPr>
                <w:color w:val="auto"/>
                <w:sz w:val="22"/>
                <w:szCs w:val="22"/>
              </w:rPr>
            </w:pPr>
            <w:r>
              <w:rPr>
                <w:color w:val="auto"/>
                <w:sz w:val="22"/>
                <w:szCs w:val="22"/>
              </w:rPr>
              <w:t>Урок 56</w:t>
            </w:r>
          </w:p>
        </w:tc>
        <w:tc>
          <w:tcPr>
            <w:tcW w:w="7937" w:type="dxa"/>
            <w:vAlign w:val="center"/>
          </w:tcPr>
          <w:p w14:paraId="4C88BE0E">
            <w:pPr>
              <w:pStyle w:val="85"/>
              <w:jc w:val="both"/>
              <w:rPr>
                <w:color w:val="auto"/>
                <w:sz w:val="22"/>
                <w:szCs w:val="22"/>
              </w:rPr>
            </w:pPr>
            <w:r>
              <w:rPr>
                <w:color w:val="auto"/>
                <w:sz w:val="22"/>
                <w:szCs w:val="22"/>
              </w:rPr>
              <w:t>Осознание связи содержания произведения с реальным событием. На примере были "Прыжок" Л.Н. Толстого</w:t>
            </w:r>
          </w:p>
        </w:tc>
      </w:tr>
      <w:tr w14:paraId="7C80A4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0277AC50">
            <w:pPr>
              <w:pStyle w:val="85"/>
              <w:rPr>
                <w:color w:val="auto"/>
                <w:sz w:val="22"/>
                <w:szCs w:val="22"/>
              </w:rPr>
            </w:pPr>
            <w:r>
              <w:rPr>
                <w:color w:val="auto"/>
                <w:sz w:val="22"/>
                <w:szCs w:val="22"/>
              </w:rPr>
              <w:t>Урок 57</w:t>
            </w:r>
          </w:p>
        </w:tc>
        <w:tc>
          <w:tcPr>
            <w:tcW w:w="7937" w:type="dxa"/>
            <w:vAlign w:val="center"/>
          </w:tcPr>
          <w:p w14:paraId="4AD1D955">
            <w:pPr>
              <w:pStyle w:val="85"/>
              <w:jc w:val="both"/>
              <w:rPr>
                <w:color w:val="auto"/>
                <w:sz w:val="22"/>
                <w:szCs w:val="22"/>
              </w:rPr>
            </w:pPr>
            <w:r>
              <w:rPr>
                <w:color w:val="auto"/>
                <w:sz w:val="22"/>
                <w:szCs w:val="22"/>
              </w:rPr>
              <w:t>Работа с детскими книгами: жанровое многообразие произведений Л.Н. Толстого</w:t>
            </w:r>
          </w:p>
        </w:tc>
      </w:tr>
      <w:tr w14:paraId="790A75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41A15BFD">
            <w:pPr>
              <w:pStyle w:val="85"/>
              <w:rPr>
                <w:color w:val="auto"/>
                <w:sz w:val="22"/>
                <w:szCs w:val="22"/>
              </w:rPr>
            </w:pPr>
            <w:r>
              <w:rPr>
                <w:color w:val="auto"/>
                <w:sz w:val="22"/>
                <w:szCs w:val="22"/>
              </w:rPr>
              <w:t>Урок 58</w:t>
            </w:r>
          </w:p>
        </w:tc>
        <w:tc>
          <w:tcPr>
            <w:tcW w:w="7937" w:type="dxa"/>
            <w:vAlign w:val="center"/>
          </w:tcPr>
          <w:p w14:paraId="68375769">
            <w:pPr>
              <w:pStyle w:val="85"/>
              <w:jc w:val="both"/>
              <w:rPr>
                <w:color w:val="auto"/>
                <w:sz w:val="22"/>
                <w:szCs w:val="22"/>
              </w:rPr>
            </w:pPr>
            <w:r>
              <w:rPr>
                <w:color w:val="auto"/>
                <w:sz w:val="22"/>
                <w:szCs w:val="22"/>
              </w:rPr>
              <w:t>Тематическое повторение по итогам раздела "Творчество Л.Н. Толстого"</w:t>
            </w:r>
          </w:p>
        </w:tc>
      </w:tr>
      <w:tr w14:paraId="69C967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6CF8F3A1">
            <w:pPr>
              <w:pStyle w:val="85"/>
              <w:rPr>
                <w:color w:val="auto"/>
                <w:sz w:val="22"/>
                <w:szCs w:val="22"/>
              </w:rPr>
            </w:pPr>
            <w:r>
              <w:rPr>
                <w:color w:val="auto"/>
                <w:sz w:val="22"/>
                <w:szCs w:val="22"/>
              </w:rPr>
              <w:t>Урок 59</w:t>
            </w:r>
          </w:p>
        </w:tc>
        <w:tc>
          <w:tcPr>
            <w:tcW w:w="7937" w:type="dxa"/>
            <w:vAlign w:val="center"/>
          </w:tcPr>
          <w:p w14:paraId="033039EB">
            <w:pPr>
              <w:pStyle w:val="85"/>
              <w:jc w:val="both"/>
              <w:rPr>
                <w:color w:val="auto"/>
                <w:sz w:val="22"/>
                <w:szCs w:val="22"/>
              </w:rPr>
            </w:pPr>
            <w:r>
              <w:rPr>
                <w:color w:val="auto"/>
                <w:sz w:val="22"/>
                <w:szCs w:val="22"/>
              </w:rPr>
              <w:t>Работа с детскими книгами "Литературные сказки писателей": составление аннотации</w:t>
            </w:r>
          </w:p>
        </w:tc>
      </w:tr>
      <w:tr w14:paraId="3213E9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60118740">
            <w:pPr>
              <w:pStyle w:val="85"/>
              <w:rPr>
                <w:color w:val="auto"/>
                <w:sz w:val="22"/>
                <w:szCs w:val="22"/>
              </w:rPr>
            </w:pPr>
            <w:r>
              <w:rPr>
                <w:color w:val="auto"/>
                <w:sz w:val="22"/>
                <w:szCs w:val="22"/>
              </w:rPr>
              <w:t>Урок 60</w:t>
            </w:r>
          </w:p>
        </w:tc>
        <w:tc>
          <w:tcPr>
            <w:tcW w:w="7937" w:type="dxa"/>
            <w:vAlign w:val="center"/>
          </w:tcPr>
          <w:p w14:paraId="06D0C8F2">
            <w:pPr>
              <w:pStyle w:val="85"/>
              <w:jc w:val="both"/>
              <w:rPr>
                <w:color w:val="auto"/>
                <w:sz w:val="22"/>
                <w:szCs w:val="22"/>
              </w:rPr>
            </w:pPr>
            <w:r>
              <w:rPr>
                <w:color w:val="auto"/>
                <w:sz w:val="22"/>
                <w:szCs w:val="22"/>
              </w:rPr>
              <w:t>Создание образов героев-животных в литературных сказках. На примере произведения Д.Н. Мамина-Сибиряка "Сказка про храброго зайца..."</w:t>
            </w:r>
          </w:p>
        </w:tc>
      </w:tr>
      <w:tr w14:paraId="61128A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1A1E06E5">
            <w:pPr>
              <w:pStyle w:val="85"/>
              <w:rPr>
                <w:color w:val="auto"/>
                <w:sz w:val="22"/>
                <w:szCs w:val="22"/>
              </w:rPr>
            </w:pPr>
            <w:r>
              <w:rPr>
                <w:color w:val="auto"/>
                <w:sz w:val="22"/>
                <w:szCs w:val="22"/>
              </w:rPr>
              <w:t>Урок 61</w:t>
            </w:r>
          </w:p>
        </w:tc>
        <w:tc>
          <w:tcPr>
            <w:tcW w:w="7937" w:type="dxa"/>
            <w:vAlign w:val="center"/>
          </w:tcPr>
          <w:p w14:paraId="1BC4DBAB">
            <w:pPr>
              <w:pStyle w:val="85"/>
              <w:jc w:val="both"/>
              <w:rPr>
                <w:color w:val="auto"/>
                <w:sz w:val="22"/>
                <w:szCs w:val="22"/>
              </w:rPr>
            </w:pPr>
            <w:r>
              <w:rPr>
                <w:color w:val="auto"/>
                <w:sz w:val="22"/>
                <w:szCs w:val="22"/>
              </w:rPr>
              <w:t>Особенности литературной сказки В.М. Гаршина "Лягушка-путешественница": анализ сюжета, композиции</w:t>
            </w:r>
          </w:p>
        </w:tc>
      </w:tr>
      <w:tr w14:paraId="742D22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297AB78C">
            <w:pPr>
              <w:pStyle w:val="85"/>
              <w:rPr>
                <w:color w:val="auto"/>
                <w:sz w:val="22"/>
                <w:szCs w:val="22"/>
              </w:rPr>
            </w:pPr>
            <w:r>
              <w:rPr>
                <w:color w:val="auto"/>
                <w:sz w:val="22"/>
                <w:szCs w:val="22"/>
              </w:rPr>
              <w:t>Урок 62</w:t>
            </w:r>
          </w:p>
        </w:tc>
        <w:tc>
          <w:tcPr>
            <w:tcW w:w="7937" w:type="dxa"/>
            <w:vAlign w:val="center"/>
          </w:tcPr>
          <w:p w14:paraId="70842D39">
            <w:pPr>
              <w:pStyle w:val="85"/>
              <w:jc w:val="both"/>
              <w:rPr>
                <w:color w:val="auto"/>
                <w:sz w:val="22"/>
                <w:szCs w:val="22"/>
              </w:rPr>
            </w:pPr>
            <w:r>
              <w:rPr>
                <w:color w:val="auto"/>
                <w:sz w:val="22"/>
                <w:szCs w:val="22"/>
              </w:rPr>
              <w:t>Осознание главной мысли (идеи) сказки В.М. Гаршина "Лягушка-путешественница"</w:t>
            </w:r>
          </w:p>
        </w:tc>
      </w:tr>
      <w:tr w14:paraId="301FA6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671ED642">
            <w:pPr>
              <w:pStyle w:val="85"/>
              <w:rPr>
                <w:color w:val="auto"/>
                <w:sz w:val="22"/>
                <w:szCs w:val="22"/>
              </w:rPr>
            </w:pPr>
            <w:r>
              <w:rPr>
                <w:color w:val="auto"/>
                <w:sz w:val="22"/>
                <w:szCs w:val="22"/>
              </w:rPr>
              <w:t>Урок 63</w:t>
            </w:r>
          </w:p>
        </w:tc>
        <w:tc>
          <w:tcPr>
            <w:tcW w:w="7937" w:type="dxa"/>
            <w:vAlign w:val="center"/>
          </w:tcPr>
          <w:p w14:paraId="7C999655">
            <w:pPr>
              <w:pStyle w:val="85"/>
              <w:jc w:val="both"/>
              <w:rPr>
                <w:color w:val="auto"/>
                <w:sz w:val="22"/>
                <w:szCs w:val="22"/>
              </w:rPr>
            </w:pPr>
            <w:r>
              <w:rPr>
                <w:color w:val="auto"/>
                <w:sz w:val="22"/>
                <w:szCs w:val="22"/>
              </w:rPr>
              <w:t>Характеристика героя сказки В.М. Гаршина "Лягушка-путешественница", Д.Н. Мамин-Сибиряк "Сказка про храброго зайца..."</w:t>
            </w:r>
          </w:p>
        </w:tc>
      </w:tr>
      <w:tr w14:paraId="24D15E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128D53B0">
            <w:pPr>
              <w:pStyle w:val="85"/>
              <w:rPr>
                <w:color w:val="auto"/>
                <w:sz w:val="22"/>
                <w:szCs w:val="22"/>
              </w:rPr>
            </w:pPr>
            <w:r>
              <w:rPr>
                <w:color w:val="auto"/>
                <w:sz w:val="22"/>
                <w:szCs w:val="22"/>
              </w:rPr>
              <w:t>Урок 64</w:t>
            </w:r>
          </w:p>
        </w:tc>
        <w:tc>
          <w:tcPr>
            <w:tcW w:w="7937" w:type="dxa"/>
            <w:vAlign w:val="center"/>
          </w:tcPr>
          <w:p w14:paraId="3AE6C920">
            <w:pPr>
              <w:pStyle w:val="85"/>
              <w:jc w:val="both"/>
              <w:rPr>
                <w:color w:val="auto"/>
                <w:sz w:val="22"/>
                <w:szCs w:val="22"/>
              </w:rPr>
            </w:pPr>
            <w:r>
              <w:rPr>
                <w:color w:val="auto"/>
                <w:sz w:val="22"/>
                <w:szCs w:val="22"/>
              </w:rPr>
              <w:t>Судьбы крестьянских детей в произведениях писателей. Произведения по выбору</w:t>
            </w:r>
          </w:p>
        </w:tc>
      </w:tr>
      <w:tr w14:paraId="2EB0DE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211F0586">
            <w:pPr>
              <w:pStyle w:val="85"/>
              <w:rPr>
                <w:color w:val="auto"/>
                <w:sz w:val="22"/>
                <w:szCs w:val="22"/>
              </w:rPr>
            </w:pPr>
            <w:r>
              <w:rPr>
                <w:color w:val="auto"/>
                <w:sz w:val="22"/>
                <w:szCs w:val="22"/>
              </w:rPr>
              <w:t>Урок 65</w:t>
            </w:r>
          </w:p>
        </w:tc>
        <w:tc>
          <w:tcPr>
            <w:tcW w:w="7937" w:type="dxa"/>
            <w:vAlign w:val="center"/>
          </w:tcPr>
          <w:p w14:paraId="1994EC31">
            <w:pPr>
              <w:pStyle w:val="85"/>
              <w:jc w:val="both"/>
              <w:rPr>
                <w:color w:val="auto"/>
                <w:sz w:val="22"/>
                <w:szCs w:val="22"/>
              </w:rPr>
            </w:pPr>
            <w:r>
              <w:rPr>
                <w:color w:val="auto"/>
                <w:sz w:val="22"/>
                <w:szCs w:val="22"/>
              </w:rPr>
              <w:t>Составление устного рассказа "Моя любимая книга"</w:t>
            </w:r>
          </w:p>
        </w:tc>
      </w:tr>
      <w:tr w14:paraId="30F3AC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551E6AE4">
            <w:pPr>
              <w:pStyle w:val="85"/>
              <w:rPr>
                <w:color w:val="auto"/>
                <w:sz w:val="22"/>
                <w:szCs w:val="22"/>
              </w:rPr>
            </w:pPr>
            <w:r>
              <w:rPr>
                <w:color w:val="auto"/>
                <w:sz w:val="22"/>
                <w:szCs w:val="22"/>
              </w:rPr>
              <w:t>Урок 66</w:t>
            </w:r>
          </w:p>
        </w:tc>
        <w:tc>
          <w:tcPr>
            <w:tcW w:w="7937" w:type="dxa"/>
            <w:vAlign w:val="center"/>
          </w:tcPr>
          <w:p w14:paraId="29A6EC74">
            <w:pPr>
              <w:pStyle w:val="85"/>
              <w:jc w:val="both"/>
              <w:rPr>
                <w:color w:val="auto"/>
                <w:sz w:val="22"/>
                <w:szCs w:val="22"/>
              </w:rPr>
            </w:pPr>
            <w:r>
              <w:rPr>
                <w:color w:val="auto"/>
                <w:sz w:val="22"/>
                <w:szCs w:val="22"/>
              </w:rPr>
              <w:t>Научно-естественные сведения о природе в сказке Максима Горького "Случай с Евсейкой"</w:t>
            </w:r>
          </w:p>
        </w:tc>
      </w:tr>
      <w:tr w14:paraId="23A92B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0F845763">
            <w:pPr>
              <w:pStyle w:val="85"/>
              <w:rPr>
                <w:color w:val="auto"/>
                <w:sz w:val="22"/>
                <w:szCs w:val="22"/>
              </w:rPr>
            </w:pPr>
            <w:r>
              <w:rPr>
                <w:color w:val="auto"/>
                <w:sz w:val="22"/>
                <w:szCs w:val="22"/>
              </w:rPr>
              <w:t>Урок 67</w:t>
            </w:r>
          </w:p>
        </w:tc>
        <w:tc>
          <w:tcPr>
            <w:tcW w:w="7937" w:type="dxa"/>
            <w:vAlign w:val="center"/>
          </w:tcPr>
          <w:p w14:paraId="5BD2391E">
            <w:pPr>
              <w:pStyle w:val="85"/>
              <w:jc w:val="both"/>
              <w:rPr>
                <w:color w:val="auto"/>
                <w:sz w:val="22"/>
                <w:szCs w:val="22"/>
              </w:rPr>
            </w:pPr>
            <w:r>
              <w:rPr>
                <w:color w:val="auto"/>
                <w:sz w:val="22"/>
                <w:szCs w:val="22"/>
              </w:rPr>
              <w:t>Средства художественной выразительности (эпитет, сравнение) в лирических произведениях поэтов. На примере произведения Саши Черного "Воробей"</w:t>
            </w:r>
          </w:p>
        </w:tc>
      </w:tr>
      <w:tr w14:paraId="28EAA6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759305D2">
            <w:pPr>
              <w:pStyle w:val="85"/>
              <w:rPr>
                <w:color w:val="auto"/>
                <w:sz w:val="22"/>
                <w:szCs w:val="22"/>
              </w:rPr>
            </w:pPr>
            <w:r>
              <w:rPr>
                <w:color w:val="auto"/>
                <w:sz w:val="22"/>
                <w:szCs w:val="22"/>
              </w:rPr>
              <w:t>Урок 68</w:t>
            </w:r>
          </w:p>
        </w:tc>
        <w:tc>
          <w:tcPr>
            <w:tcW w:w="7937" w:type="dxa"/>
            <w:vAlign w:val="center"/>
          </w:tcPr>
          <w:p w14:paraId="6548B6F7">
            <w:pPr>
              <w:pStyle w:val="85"/>
              <w:jc w:val="both"/>
              <w:rPr>
                <w:color w:val="auto"/>
                <w:sz w:val="22"/>
                <w:szCs w:val="22"/>
              </w:rPr>
            </w:pPr>
            <w:r>
              <w:rPr>
                <w:color w:val="auto"/>
                <w:sz w:val="22"/>
                <w:szCs w:val="22"/>
              </w:rPr>
              <w:t>Оценка чувств и настроения, вызываемых лирическим произведением. На примере произведений Саши Черного "Что ты тискаешь утенка..." и "Слон"</w:t>
            </w:r>
          </w:p>
        </w:tc>
      </w:tr>
      <w:tr w14:paraId="551D57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53C08D38">
            <w:pPr>
              <w:pStyle w:val="85"/>
              <w:rPr>
                <w:color w:val="auto"/>
                <w:sz w:val="22"/>
                <w:szCs w:val="22"/>
              </w:rPr>
            </w:pPr>
            <w:r>
              <w:rPr>
                <w:color w:val="auto"/>
                <w:sz w:val="22"/>
                <w:szCs w:val="22"/>
              </w:rPr>
              <w:t>Урок 69</w:t>
            </w:r>
          </w:p>
        </w:tc>
        <w:tc>
          <w:tcPr>
            <w:tcW w:w="7937" w:type="dxa"/>
            <w:vAlign w:val="center"/>
          </w:tcPr>
          <w:p w14:paraId="5616DAB7">
            <w:pPr>
              <w:pStyle w:val="85"/>
              <w:jc w:val="both"/>
              <w:rPr>
                <w:color w:val="auto"/>
                <w:sz w:val="22"/>
                <w:szCs w:val="22"/>
              </w:rPr>
            </w:pPr>
            <w:r>
              <w:rPr>
                <w:color w:val="auto"/>
                <w:sz w:val="22"/>
                <w:szCs w:val="22"/>
              </w:rPr>
              <w:t>Отражение темы Родина в произведении М.М. Пришвин "Моя Родина": роль и особенности заголовка</w:t>
            </w:r>
          </w:p>
        </w:tc>
      </w:tr>
      <w:tr w14:paraId="12853C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7A254115">
            <w:pPr>
              <w:pStyle w:val="85"/>
              <w:rPr>
                <w:color w:val="auto"/>
                <w:sz w:val="22"/>
                <w:szCs w:val="22"/>
              </w:rPr>
            </w:pPr>
            <w:r>
              <w:rPr>
                <w:color w:val="auto"/>
                <w:sz w:val="22"/>
                <w:szCs w:val="22"/>
              </w:rPr>
              <w:t>Урок 70</w:t>
            </w:r>
          </w:p>
        </w:tc>
        <w:tc>
          <w:tcPr>
            <w:tcW w:w="7937" w:type="dxa"/>
            <w:vAlign w:val="center"/>
          </w:tcPr>
          <w:p w14:paraId="4817DAB6">
            <w:pPr>
              <w:pStyle w:val="85"/>
              <w:jc w:val="both"/>
              <w:rPr>
                <w:color w:val="auto"/>
                <w:sz w:val="22"/>
                <w:szCs w:val="22"/>
              </w:rPr>
            </w:pPr>
            <w:r>
              <w:rPr>
                <w:color w:val="auto"/>
                <w:sz w:val="22"/>
                <w:szCs w:val="22"/>
              </w:rPr>
              <w:t>Осознание нравственных ценностей в произведениях о Родине: любовь к родной стороне, гордость за красоту и величие своей Отчизны. Любить Родину - значит знать ее историю</w:t>
            </w:r>
          </w:p>
        </w:tc>
      </w:tr>
      <w:tr w14:paraId="385A1D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1E38C4A9">
            <w:pPr>
              <w:pStyle w:val="85"/>
              <w:rPr>
                <w:color w:val="auto"/>
                <w:sz w:val="22"/>
                <w:szCs w:val="22"/>
              </w:rPr>
            </w:pPr>
            <w:r>
              <w:rPr>
                <w:color w:val="auto"/>
                <w:sz w:val="22"/>
                <w:szCs w:val="22"/>
              </w:rPr>
              <w:t>Урок 71</w:t>
            </w:r>
          </w:p>
        </w:tc>
        <w:tc>
          <w:tcPr>
            <w:tcW w:w="7937" w:type="dxa"/>
            <w:vAlign w:val="center"/>
          </w:tcPr>
          <w:p w14:paraId="2A03B01B">
            <w:pPr>
              <w:pStyle w:val="85"/>
              <w:jc w:val="both"/>
              <w:rPr>
                <w:color w:val="auto"/>
                <w:sz w:val="22"/>
                <w:szCs w:val="22"/>
              </w:rPr>
            </w:pPr>
            <w:r>
              <w:rPr>
                <w:color w:val="auto"/>
                <w:sz w:val="22"/>
                <w:szCs w:val="22"/>
              </w:rPr>
              <w:t>Патриотическое звучание стихотворений о Родине. На пример произведения С.А. Васильева "Россия": интонация, темп, ритм, логические ударения</w:t>
            </w:r>
          </w:p>
        </w:tc>
      </w:tr>
      <w:tr w14:paraId="52C973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3FD58B8E">
            <w:pPr>
              <w:pStyle w:val="85"/>
              <w:rPr>
                <w:color w:val="auto"/>
                <w:sz w:val="22"/>
                <w:szCs w:val="22"/>
              </w:rPr>
            </w:pPr>
            <w:r>
              <w:rPr>
                <w:color w:val="auto"/>
                <w:sz w:val="22"/>
                <w:szCs w:val="22"/>
              </w:rPr>
              <w:t>Урок 72</w:t>
            </w:r>
          </w:p>
        </w:tc>
        <w:tc>
          <w:tcPr>
            <w:tcW w:w="7937" w:type="dxa"/>
            <w:vAlign w:val="center"/>
          </w:tcPr>
          <w:p w14:paraId="5A28B6CF">
            <w:pPr>
              <w:pStyle w:val="85"/>
              <w:jc w:val="both"/>
              <w:rPr>
                <w:color w:val="auto"/>
                <w:sz w:val="22"/>
                <w:szCs w:val="22"/>
              </w:rPr>
            </w:pPr>
            <w:r>
              <w:rPr>
                <w:color w:val="auto"/>
                <w:sz w:val="22"/>
                <w:szCs w:val="22"/>
              </w:rPr>
              <w:t>Репродукции картин как иллюстрации к произведениям о Родине</w:t>
            </w:r>
          </w:p>
        </w:tc>
      </w:tr>
      <w:tr w14:paraId="0A4C4E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22DA6E34">
            <w:pPr>
              <w:pStyle w:val="85"/>
              <w:rPr>
                <w:color w:val="auto"/>
                <w:sz w:val="22"/>
                <w:szCs w:val="22"/>
              </w:rPr>
            </w:pPr>
            <w:r>
              <w:rPr>
                <w:color w:val="auto"/>
                <w:sz w:val="22"/>
                <w:szCs w:val="22"/>
              </w:rPr>
              <w:t>Урок 73</w:t>
            </w:r>
          </w:p>
        </w:tc>
        <w:tc>
          <w:tcPr>
            <w:tcW w:w="7937" w:type="dxa"/>
            <w:vAlign w:val="center"/>
          </w:tcPr>
          <w:p w14:paraId="7CA97C78">
            <w:pPr>
              <w:pStyle w:val="85"/>
              <w:jc w:val="both"/>
              <w:rPr>
                <w:color w:val="auto"/>
                <w:sz w:val="22"/>
                <w:szCs w:val="22"/>
              </w:rPr>
            </w:pPr>
            <w:r>
              <w:rPr>
                <w:color w:val="auto"/>
                <w:sz w:val="22"/>
                <w:szCs w:val="22"/>
              </w:rPr>
              <w:t>Создание образа Родины в произведениях писателей. Произведения по выбору, например, И.С. Никитин "Встреча зимы"</w:t>
            </w:r>
          </w:p>
        </w:tc>
      </w:tr>
      <w:tr w14:paraId="244842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1E0DC19F">
            <w:pPr>
              <w:pStyle w:val="85"/>
              <w:rPr>
                <w:color w:val="auto"/>
                <w:sz w:val="22"/>
                <w:szCs w:val="22"/>
              </w:rPr>
            </w:pPr>
            <w:r>
              <w:rPr>
                <w:color w:val="auto"/>
                <w:sz w:val="22"/>
                <w:szCs w:val="22"/>
              </w:rPr>
              <w:t>Урок 74</w:t>
            </w:r>
          </w:p>
        </w:tc>
        <w:tc>
          <w:tcPr>
            <w:tcW w:w="7937" w:type="dxa"/>
            <w:vAlign w:val="center"/>
          </w:tcPr>
          <w:p w14:paraId="780C4B35">
            <w:pPr>
              <w:pStyle w:val="85"/>
              <w:jc w:val="both"/>
              <w:rPr>
                <w:color w:val="auto"/>
                <w:sz w:val="22"/>
                <w:szCs w:val="22"/>
              </w:rPr>
            </w:pPr>
            <w:r>
              <w:rPr>
                <w:color w:val="auto"/>
                <w:sz w:val="22"/>
                <w:szCs w:val="22"/>
              </w:rPr>
              <w:t>Раскрытие главной идеи произведения К.Д. Ушинского "Наше отечество": чувство любви к Родине, сопричастность к прошлому и настоящему своей страны</w:t>
            </w:r>
          </w:p>
        </w:tc>
      </w:tr>
      <w:tr w14:paraId="43BC9D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7144B24E">
            <w:pPr>
              <w:pStyle w:val="85"/>
              <w:rPr>
                <w:color w:val="auto"/>
                <w:sz w:val="22"/>
                <w:szCs w:val="22"/>
              </w:rPr>
            </w:pPr>
            <w:r>
              <w:rPr>
                <w:color w:val="auto"/>
                <w:sz w:val="22"/>
                <w:szCs w:val="22"/>
              </w:rPr>
              <w:t>Урок 75</w:t>
            </w:r>
          </w:p>
        </w:tc>
        <w:tc>
          <w:tcPr>
            <w:tcW w:w="7937" w:type="dxa"/>
            <w:vAlign w:val="center"/>
          </w:tcPr>
          <w:p w14:paraId="3F8D96A0">
            <w:pPr>
              <w:pStyle w:val="85"/>
              <w:jc w:val="both"/>
              <w:rPr>
                <w:color w:val="auto"/>
                <w:sz w:val="22"/>
                <w:szCs w:val="22"/>
              </w:rPr>
            </w:pPr>
            <w:r>
              <w:rPr>
                <w:color w:val="auto"/>
                <w:sz w:val="22"/>
                <w:szCs w:val="22"/>
              </w:rPr>
              <w:t>Представление темы "Дети на войне" в рассказе Л. Пантелеева "На ялике"</w:t>
            </w:r>
          </w:p>
        </w:tc>
      </w:tr>
      <w:tr w14:paraId="73B1E9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31697607">
            <w:pPr>
              <w:pStyle w:val="85"/>
              <w:rPr>
                <w:color w:val="auto"/>
                <w:sz w:val="22"/>
                <w:szCs w:val="22"/>
              </w:rPr>
            </w:pPr>
            <w:r>
              <w:rPr>
                <w:color w:val="auto"/>
                <w:sz w:val="22"/>
                <w:szCs w:val="22"/>
              </w:rPr>
              <w:t>Урок 76</w:t>
            </w:r>
          </w:p>
        </w:tc>
        <w:tc>
          <w:tcPr>
            <w:tcW w:w="7937" w:type="dxa"/>
            <w:vAlign w:val="center"/>
          </w:tcPr>
          <w:p w14:paraId="112BF59F">
            <w:pPr>
              <w:pStyle w:val="85"/>
              <w:jc w:val="both"/>
              <w:rPr>
                <w:color w:val="auto"/>
                <w:sz w:val="22"/>
                <w:szCs w:val="22"/>
              </w:rPr>
            </w:pPr>
            <w:r>
              <w:rPr>
                <w:color w:val="auto"/>
                <w:sz w:val="22"/>
                <w:szCs w:val="22"/>
              </w:rPr>
              <w:t>Составление портрета главного героя рассказа Л.А. Кассиля "Алексей Андреевич"</w:t>
            </w:r>
          </w:p>
        </w:tc>
      </w:tr>
      <w:tr w14:paraId="749BD2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4466067E">
            <w:pPr>
              <w:pStyle w:val="85"/>
              <w:rPr>
                <w:color w:val="auto"/>
                <w:sz w:val="22"/>
                <w:szCs w:val="22"/>
              </w:rPr>
            </w:pPr>
            <w:r>
              <w:rPr>
                <w:color w:val="auto"/>
                <w:sz w:val="22"/>
                <w:szCs w:val="22"/>
              </w:rPr>
              <w:t>Урок 77</w:t>
            </w:r>
          </w:p>
        </w:tc>
        <w:tc>
          <w:tcPr>
            <w:tcW w:w="7937" w:type="dxa"/>
            <w:vAlign w:val="center"/>
          </w:tcPr>
          <w:p w14:paraId="34FA9C59">
            <w:pPr>
              <w:pStyle w:val="85"/>
              <w:jc w:val="both"/>
              <w:rPr>
                <w:color w:val="auto"/>
                <w:sz w:val="22"/>
                <w:szCs w:val="22"/>
              </w:rPr>
            </w:pPr>
            <w:r>
              <w:rPr>
                <w:color w:val="auto"/>
                <w:sz w:val="22"/>
                <w:szCs w:val="22"/>
              </w:rPr>
              <w:t>Осмысление поступков и поведения главного героя рассказа Л.А. Кассиля "Алексей Андреевич"</w:t>
            </w:r>
          </w:p>
        </w:tc>
      </w:tr>
      <w:tr w14:paraId="0FA5CC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5EF47CE6">
            <w:pPr>
              <w:pStyle w:val="85"/>
              <w:rPr>
                <w:color w:val="auto"/>
                <w:sz w:val="22"/>
                <w:szCs w:val="22"/>
              </w:rPr>
            </w:pPr>
            <w:r>
              <w:rPr>
                <w:color w:val="auto"/>
                <w:sz w:val="22"/>
                <w:szCs w:val="22"/>
              </w:rPr>
              <w:t>Урок 78</w:t>
            </w:r>
          </w:p>
        </w:tc>
        <w:tc>
          <w:tcPr>
            <w:tcW w:w="7937" w:type="dxa"/>
            <w:vAlign w:val="center"/>
          </w:tcPr>
          <w:p w14:paraId="2EF7EA0C">
            <w:pPr>
              <w:pStyle w:val="85"/>
              <w:jc w:val="both"/>
              <w:rPr>
                <w:color w:val="auto"/>
                <w:sz w:val="22"/>
                <w:szCs w:val="22"/>
              </w:rPr>
            </w:pPr>
            <w:r>
              <w:rPr>
                <w:color w:val="auto"/>
                <w:sz w:val="22"/>
                <w:szCs w:val="22"/>
              </w:rPr>
              <w:t>Восприятие картин природы в стихотворениях С.А. Есенина "Береза", "Черемуха" и другие</w:t>
            </w:r>
          </w:p>
        </w:tc>
      </w:tr>
      <w:tr w14:paraId="0AE2D4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2261B773">
            <w:pPr>
              <w:pStyle w:val="85"/>
              <w:rPr>
                <w:color w:val="auto"/>
                <w:sz w:val="22"/>
                <w:szCs w:val="22"/>
              </w:rPr>
            </w:pPr>
            <w:r>
              <w:rPr>
                <w:color w:val="auto"/>
                <w:sz w:val="22"/>
                <w:szCs w:val="22"/>
              </w:rPr>
              <w:t>Урок 79</w:t>
            </w:r>
          </w:p>
        </w:tc>
        <w:tc>
          <w:tcPr>
            <w:tcW w:w="7937" w:type="dxa"/>
            <w:vAlign w:val="center"/>
          </w:tcPr>
          <w:p w14:paraId="0F4AFB25">
            <w:pPr>
              <w:pStyle w:val="85"/>
              <w:jc w:val="both"/>
              <w:rPr>
                <w:color w:val="auto"/>
                <w:sz w:val="22"/>
                <w:szCs w:val="22"/>
              </w:rPr>
            </w:pPr>
            <w:r>
              <w:rPr>
                <w:color w:val="auto"/>
                <w:sz w:val="22"/>
                <w:szCs w:val="22"/>
              </w:rPr>
              <w:t>Работа со стихотворением С.А. Есенина "Береза": средства выразительности в произведении</w:t>
            </w:r>
          </w:p>
        </w:tc>
      </w:tr>
      <w:tr w14:paraId="7D24DA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5B133238">
            <w:pPr>
              <w:pStyle w:val="85"/>
              <w:rPr>
                <w:color w:val="auto"/>
                <w:sz w:val="22"/>
                <w:szCs w:val="22"/>
              </w:rPr>
            </w:pPr>
            <w:r>
              <w:rPr>
                <w:color w:val="auto"/>
                <w:sz w:val="22"/>
                <w:szCs w:val="22"/>
              </w:rPr>
              <w:t>Урок 80</w:t>
            </w:r>
          </w:p>
        </w:tc>
        <w:tc>
          <w:tcPr>
            <w:tcW w:w="7937" w:type="dxa"/>
            <w:vAlign w:val="center"/>
          </w:tcPr>
          <w:p w14:paraId="70B0F9B9">
            <w:pPr>
              <w:pStyle w:val="85"/>
              <w:jc w:val="both"/>
              <w:rPr>
                <w:color w:val="auto"/>
                <w:sz w:val="22"/>
                <w:szCs w:val="22"/>
              </w:rPr>
            </w:pPr>
            <w:r>
              <w:rPr>
                <w:color w:val="auto"/>
                <w:sz w:val="22"/>
                <w:szCs w:val="22"/>
              </w:rPr>
              <w:t>Работа с детскими книгами о братьях наших меньших: написание отзыва</w:t>
            </w:r>
          </w:p>
        </w:tc>
      </w:tr>
      <w:tr w14:paraId="475488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0DC3D52E">
            <w:pPr>
              <w:pStyle w:val="85"/>
              <w:rPr>
                <w:color w:val="auto"/>
                <w:sz w:val="22"/>
                <w:szCs w:val="22"/>
              </w:rPr>
            </w:pPr>
            <w:r>
              <w:rPr>
                <w:color w:val="auto"/>
                <w:sz w:val="22"/>
                <w:szCs w:val="22"/>
              </w:rPr>
              <w:t>Урок 81</w:t>
            </w:r>
          </w:p>
        </w:tc>
        <w:tc>
          <w:tcPr>
            <w:tcW w:w="7937" w:type="dxa"/>
            <w:vAlign w:val="center"/>
          </w:tcPr>
          <w:p w14:paraId="05592A49">
            <w:pPr>
              <w:pStyle w:val="85"/>
              <w:jc w:val="both"/>
              <w:rPr>
                <w:color w:val="auto"/>
                <w:sz w:val="22"/>
                <w:szCs w:val="22"/>
              </w:rPr>
            </w:pPr>
            <w:r>
              <w:rPr>
                <w:color w:val="auto"/>
                <w:sz w:val="22"/>
                <w:szCs w:val="22"/>
              </w:rPr>
              <w:t>Животные в литературных сказках. На примере произведения И.С. Соколова-Микитова "Листопадничек"</w:t>
            </w:r>
          </w:p>
        </w:tc>
      </w:tr>
      <w:tr w14:paraId="03B342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6E095809">
            <w:pPr>
              <w:pStyle w:val="85"/>
              <w:rPr>
                <w:color w:val="auto"/>
                <w:sz w:val="22"/>
                <w:szCs w:val="22"/>
              </w:rPr>
            </w:pPr>
            <w:r>
              <w:rPr>
                <w:color w:val="auto"/>
                <w:sz w:val="22"/>
                <w:szCs w:val="22"/>
              </w:rPr>
              <w:t>Урок 82</w:t>
            </w:r>
          </w:p>
        </w:tc>
        <w:tc>
          <w:tcPr>
            <w:tcW w:w="7937" w:type="dxa"/>
            <w:vAlign w:val="center"/>
          </w:tcPr>
          <w:p w14:paraId="63B14952">
            <w:pPr>
              <w:pStyle w:val="85"/>
              <w:jc w:val="both"/>
              <w:rPr>
                <w:color w:val="auto"/>
                <w:sz w:val="22"/>
                <w:szCs w:val="22"/>
              </w:rPr>
            </w:pPr>
            <w:r>
              <w:rPr>
                <w:color w:val="auto"/>
                <w:sz w:val="22"/>
                <w:szCs w:val="22"/>
              </w:rPr>
              <w:t>Поучительный смысл сказок о животных. На примере произведения И.С. Соколова-Микитова "Листопадничек"</w:t>
            </w:r>
          </w:p>
        </w:tc>
      </w:tr>
      <w:tr w14:paraId="43A081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3B2C6208">
            <w:pPr>
              <w:pStyle w:val="85"/>
              <w:rPr>
                <w:color w:val="auto"/>
                <w:sz w:val="22"/>
                <w:szCs w:val="22"/>
              </w:rPr>
            </w:pPr>
            <w:r>
              <w:rPr>
                <w:color w:val="auto"/>
                <w:sz w:val="22"/>
                <w:szCs w:val="22"/>
              </w:rPr>
              <w:t>Урок 83</w:t>
            </w:r>
          </w:p>
        </w:tc>
        <w:tc>
          <w:tcPr>
            <w:tcW w:w="7937" w:type="dxa"/>
            <w:vAlign w:val="center"/>
          </w:tcPr>
          <w:p w14:paraId="3A0DE195">
            <w:pPr>
              <w:pStyle w:val="85"/>
              <w:jc w:val="both"/>
              <w:rPr>
                <w:color w:val="auto"/>
                <w:sz w:val="22"/>
                <w:szCs w:val="22"/>
              </w:rPr>
            </w:pPr>
            <w:r>
              <w:rPr>
                <w:color w:val="auto"/>
                <w:sz w:val="22"/>
                <w:szCs w:val="22"/>
              </w:rPr>
              <w:t>Резервный урок. Работа с детской книгой и справочной литературой</w:t>
            </w:r>
          </w:p>
        </w:tc>
      </w:tr>
      <w:tr w14:paraId="0B5B68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6499F697">
            <w:pPr>
              <w:pStyle w:val="85"/>
              <w:rPr>
                <w:color w:val="auto"/>
                <w:sz w:val="22"/>
                <w:szCs w:val="22"/>
              </w:rPr>
            </w:pPr>
            <w:r>
              <w:rPr>
                <w:color w:val="auto"/>
                <w:sz w:val="22"/>
                <w:szCs w:val="22"/>
              </w:rPr>
              <w:t>Урок 84</w:t>
            </w:r>
          </w:p>
        </w:tc>
        <w:tc>
          <w:tcPr>
            <w:tcW w:w="7937" w:type="dxa"/>
            <w:vAlign w:val="center"/>
          </w:tcPr>
          <w:p w14:paraId="73EDEDBA">
            <w:pPr>
              <w:pStyle w:val="85"/>
              <w:jc w:val="both"/>
              <w:rPr>
                <w:color w:val="auto"/>
                <w:sz w:val="22"/>
                <w:szCs w:val="22"/>
              </w:rPr>
            </w:pPr>
            <w:r>
              <w:rPr>
                <w:color w:val="auto"/>
                <w:sz w:val="22"/>
                <w:szCs w:val="22"/>
              </w:rPr>
              <w:t>Отражение нравственно-этических понятий (любовь и забота о животных) в рассказах писателей</w:t>
            </w:r>
          </w:p>
        </w:tc>
      </w:tr>
      <w:tr w14:paraId="4D72D7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4380A41F">
            <w:pPr>
              <w:pStyle w:val="85"/>
              <w:rPr>
                <w:color w:val="auto"/>
                <w:sz w:val="22"/>
                <w:szCs w:val="22"/>
              </w:rPr>
            </w:pPr>
            <w:r>
              <w:rPr>
                <w:color w:val="auto"/>
                <w:sz w:val="22"/>
                <w:szCs w:val="22"/>
              </w:rPr>
              <w:t>Урок 85</w:t>
            </w:r>
          </w:p>
        </w:tc>
        <w:tc>
          <w:tcPr>
            <w:tcW w:w="7937" w:type="dxa"/>
            <w:vAlign w:val="center"/>
          </w:tcPr>
          <w:p w14:paraId="5595EB52">
            <w:pPr>
              <w:pStyle w:val="85"/>
              <w:jc w:val="both"/>
              <w:rPr>
                <w:color w:val="auto"/>
                <w:sz w:val="22"/>
                <w:szCs w:val="22"/>
              </w:rPr>
            </w:pPr>
            <w:r>
              <w:rPr>
                <w:color w:val="auto"/>
                <w:sz w:val="22"/>
                <w:szCs w:val="22"/>
              </w:rPr>
              <w:t>Осознание понятий верность и преданность животных</w:t>
            </w:r>
          </w:p>
        </w:tc>
      </w:tr>
      <w:tr w14:paraId="73B3D1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05EC9BB1">
            <w:pPr>
              <w:pStyle w:val="85"/>
              <w:rPr>
                <w:color w:val="auto"/>
                <w:sz w:val="22"/>
                <w:szCs w:val="22"/>
              </w:rPr>
            </w:pPr>
            <w:r>
              <w:rPr>
                <w:color w:val="auto"/>
                <w:sz w:val="22"/>
                <w:szCs w:val="22"/>
              </w:rPr>
              <w:t>Урок 86</w:t>
            </w:r>
          </w:p>
        </w:tc>
        <w:tc>
          <w:tcPr>
            <w:tcW w:w="7937" w:type="dxa"/>
            <w:vAlign w:val="center"/>
          </w:tcPr>
          <w:p w14:paraId="20A30C12">
            <w:pPr>
              <w:pStyle w:val="85"/>
              <w:jc w:val="both"/>
              <w:rPr>
                <w:color w:val="auto"/>
                <w:sz w:val="22"/>
                <w:szCs w:val="22"/>
              </w:rPr>
            </w:pPr>
            <w:r>
              <w:rPr>
                <w:color w:val="auto"/>
                <w:sz w:val="22"/>
                <w:szCs w:val="22"/>
              </w:rPr>
              <w:t>Взаимоотношения человека и животных - тема произведения Д.Н. Мамин-Сибиряка "Приемыш"</w:t>
            </w:r>
          </w:p>
        </w:tc>
      </w:tr>
      <w:tr w14:paraId="13C164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20D81DD4">
            <w:pPr>
              <w:pStyle w:val="85"/>
              <w:rPr>
                <w:color w:val="auto"/>
                <w:sz w:val="22"/>
                <w:szCs w:val="22"/>
              </w:rPr>
            </w:pPr>
            <w:r>
              <w:rPr>
                <w:color w:val="auto"/>
                <w:sz w:val="22"/>
                <w:szCs w:val="22"/>
              </w:rPr>
              <w:t>Урок 87</w:t>
            </w:r>
          </w:p>
        </w:tc>
        <w:tc>
          <w:tcPr>
            <w:tcW w:w="7937" w:type="dxa"/>
            <w:vAlign w:val="center"/>
          </w:tcPr>
          <w:p w14:paraId="6ABF6A05">
            <w:pPr>
              <w:pStyle w:val="85"/>
              <w:jc w:val="both"/>
              <w:rPr>
                <w:color w:val="auto"/>
                <w:sz w:val="22"/>
                <w:szCs w:val="22"/>
              </w:rPr>
            </w:pPr>
            <w:r>
              <w:rPr>
                <w:color w:val="auto"/>
                <w:sz w:val="22"/>
                <w:szCs w:val="22"/>
              </w:rPr>
              <w:t>Соотнесение заглавия и главной мысли рассказа Д.Н. Мамин-Сибиряка "Приемыш"</w:t>
            </w:r>
          </w:p>
        </w:tc>
      </w:tr>
      <w:tr w14:paraId="258B42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5677B4D6">
            <w:pPr>
              <w:pStyle w:val="85"/>
              <w:rPr>
                <w:color w:val="auto"/>
                <w:sz w:val="22"/>
                <w:szCs w:val="22"/>
              </w:rPr>
            </w:pPr>
            <w:r>
              <w:rPr>
                <w:color w:val="auto"/>
                <w:sz w:val="22"/>
                <w:szCs w:val="22"/>
              </w:rPr>
              <w:t>Урок 88</w:t>
            </w:r>
          </w:p>
        </w:tc>
        <w:tc>
          <w:tcPr>
            <w:tcW w:w="7937" w:type="dxa"/>
            <w:vAlign w:val="center"/>
          </w:tcPr>
          <w:p w14:paraId="67F2D220">
            <w:pPr>
              <w:pStyle w:val="85"/>
              <w:jc w:val="both"/>
              <w:rPr>
                <w:color w:val="auto"/>
                <w:sz w:val="22"/>
                <w:szCs w:val="22"/>
              </w:rPr>
            </w:pPr>
            <w:r>
              <w:rPr>
                <w:color w:val="auto"/>
                <w:sz w:val="22"/>
                <w:szCs w:val="22"/>
              </w:rPr>
              <w:t>Обсуждение проблемы "Что значит любить животных?". На примере рассказа В.Ю. Драгунского "Он живой и светится"</w:t>
            </w:r>
          </w:p>
        </w:tc>
      </w:tr>
      <w:tr w14:paraId="242A7D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10085637">
            <w:pPr>
              <w:pStyle w:val="85"/>
              <w:rPr>
                <w:color w:val="auto"/>
                <w:sz w:val="22"/>
                <w:szCs w:val="22"/>
              </w:rPr>
            </w:pPr>
            <w:r>
              <w:rPr>
                <w:color w:val="auto"/>
                <w:sz w:val="22"/>
                <w:szCs w:val="22"/>
              </w:rPr>
              <w:t>Урок 89</w:t>
            </w:r>
          </w:p>
        </w:tc>
        <w:tc>
          <w:tcPr>
            <w:tcW w:w="7937" w:type="dxa"/>
            <w:vAlign w:val="center"/>
          </w:tcPr>
          <w:p w14:paraId="43507646">
            <w:pPr>
              <w:pStyle w:val="85"/>
              <w:jc w:val="both"/>
              <w:rPr>
                <w:color w:val="auto"/>
                <w:sz w:val="22"/>
                <w:szCs w:val="22"/>
              </w:rPr>
            </w:pPr>
            <w:r>
              <w:rPr>
                <w:color w:val="auto"/>
                <w:sz w:val="22"/>
                <w:szCs w:val="22"/>
              </w:rPr>
              <w:t>Отражение темы дружба животных в рассказах писателей. На примере произведения К.Г. Паустовского "Кот-ворюга"</w:t>
            </w:r>
          </w:p>
        </w:tc>
      </w:tr>
      <w:tr w14:paraId="7064B9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5F4D8A14">
            <w:pPr>
              <w:pStyle w:val="85"/>
              <w:rPr>
                <w:color w:val="auto"/>
                <w:sz w:val="22"/>
                <w:szCs w:val="22"/>
              </w:rPr>
            </w:pPr>
            <w:r>
              <w:rPr>
                <w:color w:val="auto"/>
                <w:sz w:val="22"/>
                <w:szCs w:val="22"/>
              </w:rPr>
              <w:t>Урок 90</w:t>
            </w:r>
          </w:p>
        </w:tc>
        <w:tc>
          <w:tcPr>
            <w:tcW w:w="7937" w:type="dxa"/>
            <w:vAlign w:val="center"/>
          </w:tcPr>
          <w:p w14:paraId="04B135AA">
            <w:pPr>
              <w:pStyle w:val="85"/>
              <w:jc w:val="both"/>
              <w:rPr>
                <w:color w:val="auto"/>
                <w:sz w:val="22"/>
                <w:szCs w:val="22"/>
              </w:rPr>
            </w:pPr>
            <w:r>
              <w:rPr>
                <w:color w:val="auto"/>
                <w:sz w:val="22"/>
                <w:szCs w:val="22"/>
              </w:rPr>
              <w:t>Характеристика героев-животных, их портрет в рассказах писателей. На примере рассказа К.Г. Паустовского "Кот-ворюга"</w:t>
            </w:r>
          </w:p>
        </w:tc>
      </w:tr>
      <w:tr w14:paraId="3B0CDC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1CDEC02C">
            <w:pPr>
              <w:pStyle w:val="85"/>
              <w:rPr>
                <w:color w:val="auto"/>
                <w:sz w:val="22"/>
                <w:szCs w:val="22"/>
              </w:rPr>
            </w:pPr>
            <w:r>
              <w:rPr>
                <w:color w:val="auto"/>
                <w:sz w:val="22"/>
                <w:szCs w:val="22"/>
              </w:rPr>
              <w:t>Урок 91</w:t>
            </w:r>
          </w:p>
        </w:tc>
        <w:tc>
          <w:tcPr>
            <w:tcW w:w="7937" w:type="dxa"/>
            <w:vAlign w:val="center"/>
          </w:tcPr>
          <w:p w14:paraId="6BF35471">
            <w:pPr>
              <w:pStyle w:val="85"/>
              <w:jc w:val="both"/>
              <w:rPr>
                <w:color w:val="auto"/>
                <w:sz w:val="22"/>
                <w:szCs w:val="22"/>
              </w:rPr>
            </w:pPr>
            <w:r>
              <w:rPr>
                <w:color w:val="auto"/>
                <w:sz w:val="22"/>
                <w:szCs w:val="22"/>
              </w:rPr>
              <w:t>Работа с рассказом К.Г. Паустовского "Кот-ворюга": анализ композиции, составление плана</w:t>
            </w:r>
          </w:p>
        </w:tc>
      </w:tr>
      <w:tr w14:paraId="5736B7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2CBDBD8D">
            <w:pPr>
              <w:pStyle w:val="85"/>
              <w:rPr>
                <w:color w:val="auto"/>
                <w:sz w:val="22"/>
                <w:szCs w:val="22"/>
              </w:rPr>
            </w:pPr>
            <w:r>
              <w:rPr>
                <w:color w:val="auto"/>
                <w:sz w:val="22"/>
                <w:szCs w:val="22"/>
              </w:rPr>
              <w:t>Урок 92</w:t>
            </w:r>
          </w:p>
        </w:tc>
        <w:tc>
          <w:tcPr>
            <w:tcW w:w="7937" w:type="dxa"/>
            <w:vAlign w:val="center"/>
          </w:tcPr>
          <w:p w14:paraId="2A806CB3">
            <w:pPr>
              <w:pStyle w:val="85"/>
              <w:jc w:val="both"/>
              <w:rPr>
                <w:color w:val="auto"/>
                <w:sz w:val="22"/>
                <w:szCs w:val="22"/>
              </w:rPr>
            </w:pPr>
            <w:r>
              <w:rPr>
                <w:color w:val="auto"/>
                <w:sz w:val="22"/>
                <w:szCs w:val="22"/>
              </w:rPr>
              <w:t>Произведения К.Г. Паустовского о природе и животных. Главная мысль (идея) рассказа "Барсучий нос"</w:t>
            </w:r>
          </w:p>
        </w:tc>
      </w:tr>
      <w:tr w14:paraId="01D0EA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3F9104D2">
            <w:pPr>
              <w:pStyle w:val="85"/>
              <w:rPr>
                <w:color w:val="auto"/>
                <w:sz w:val="22"/>
                <w:szCs w:val="22"/>
              </w:rPr>
            </w:pPr>
            <w:r>
              <w:rPr>
                <w:color w:val="auto"/>
                <w:sz w:val="22"/>
                <w:szCs w:val="22"/>
              </w:rPr>
              <w:t>Урок 93</w:t>
            </w:r>
          </w:p>
        </w:tc>
        <w:tc>
          <w:tcPr>
            <w:tcW w:w="7937" w:type="dxa"/>
            <w:vAlign w:val="center"/>
          </w:tcPr>
          <w:p w14:paraId="624E1EDD">
            <w:pPr>
              <w:pStyle w:val="85"/>
              <w:jc w:val="both"/>
              <w:rPr>
                <w:color w:val="auto"/>
                <w:sz w:val="22"/>
                <w:szCs w:val="22"/>
              </w:rPr>
            </w:pPr>
            <w:r>
              <w:rPr>
                <w:color w:val="auto"/>
                <w:sz w:val="22"/>
                <w:szCs w:val="22"/>
              </w:rPr>
              <w:t>Работа с произведением К.Г. Паустовского "Барсучий нос": особенности композиции, составление плана рассказа</w:t>
            </w:r>
          </w:p>
        </w:tc>
      </w:tr>
      <w:tr w14:paraId="61D003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25B36474">
            <w:pPr>
              <w:pStyle w:val="85"/>
              <w:rPr>
                <w:color w:val="auto"/>
                <w:sz w:val="22"/>
                <w:szCs w:val="22"/>
              </w:rPr>
            </w:pPr>
            <w:r>
              <w:rPr>
                <w:color w:val="auto"/>
                <w:sz w:val="22"/>
                <w:szCs w:val="22"/>
              </w:rPr>
              <w:t>Урок 94</w:t>
            </w:r>
          </w:p>
        </w:tc>
        <w:tc>
          <w:tcPr>
            <w:tcW w:w="7937" w:type="dxa"/>
            <w:vAlign w:val="center"/>
          </w:tcPr>
          <w:p w14:paraId="23EF613D">
            <w:pPr>
              <w:pStyle w:val="85"/>
              <w:jc w:val="both"/>
              <w:rPr>
                <w:color w:val="auto"/>
                <w:sz w:val="22"/>
                <w:szCs w:val="22"/>
              </w:rPr>
            </w:pPr>
            <w:r>
              <w:rPr>
                <w:color w:val="auto"/>
                <w:sz w:val="22"/>
                <w:szCs w:val="22"/>
              </w:rPr>
              <w:t>Особенности композиции в рассказах о животных. На примере рассказа Б.С. Житкова "Про обезьяну"</w:t>
            </w:r>
          </w:p>
        </w:tc>
      </w:tr>
      <w:tr w14:paraId="2E3711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787163DE">
            <w:pPr>
              <w:pStyle w:val="85"/>
              <w:rPr>
                <w:color w:val="auto"/>
                <w:sz w:val="22"/>
                <w:szCs w:val="22"/>
              </w:rPr>
            </w:pPr>
            <w:r>
              <w:rPr>
                <w:color w:val="auto"/>
                <w:sz w:val="22"/>
                <w:szCs w:val="22"/>
              </w:rPr>
              <w:t>Урок 95</w:t>
            </w:r>
          </w:p>
        </w:tc>
        <w:tc>
          <w:tcPr>
            <w:tcW w:w="7937" w:type="dxa"/>
            <w:vAlign w:val="center"/>
          </w:tcPr>
          <w:p w14:paraId="75D079A6">
            <w:pPr>
              <w:pStyle w:val="85"/>
              <w:jc w:val="both"/>
              <w:rPr>
                <w:color w:val="auto"/>
                <w:sz w:val="22"/>
                <w:szCs w:val="22"/>
              </w:rPr>
            </w:pPr>
            <w:r>
              <w:rPr>
                <w:color w:val="auto"/>
                <w:sz w:val="22"/>
                <w:szCs w:val="22"/>
              </w:rPr>
              <w:t>Создание характеров героев-животных в рассказах писателей. На примере рассказа Б.С. Житкова "Про обезьяну"</w:t>
            </w:r>
          </w:p>
        </w:tc>
      </w:tr>
      <w:tr w14:paraId="11D2FD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1452B06F">
            <w:pPr>
              <w:pStyle w:val="85"/>
              <w:rPr>
                <w:color w:val="auto"/>
                <w:sz w:val="22"/>
                <w:szCs w:val="22"/>
              </w:rPr>
            </w:pPr>
            <w:r>
              <w:rPr>
                <w:color w:val="auto"/>
                <w:sz w:val="22"/>
                <w:szCs w:val="22"/>
              </w:rPr>
              <w:t>Урок 96</w:t>
            </w:r>
          </w:p>
        </w:tc>
        <w:tc>
          <w:tcPr>
            <w:tcW w:w="7937" w:type="dxa"/>
            <w:vAlign w:val="center"/>
          </w:tcPr>
          <w:p w14:paraId="64320BF2">
            <w:pPr>
              <w:pStyle w:val="85"/>
              <w:jc w:val="both"/>
              <w:rPr>
                <w:color w:val="auto"/>
                <w:sz w:val="22"/>
                <w:szCs w:val="22"/>
              </w:rPr>
            </w:pPr>
            <w:r>
              <w:rPr>
                <w:color w:val="auto"/>
                <w:sz w:val="22"/>
                <w:szCs w:val="22"/>
              </w:rPr>
              <w:t>Резервный урок. Рассказы писателей-натуралистов о заботливом и бережном отношении человека к животным к природе родного края</w:t>
            </w:r>
          </w:p>
        </w:tc>
      </w:tr>
      <w:tr w14:paraId="1E34CF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3F494C01">
            <w:pPr>
              <w:pStyle w:val="85"/>
              <w:rPr>
                <w:color w:val="auto"/>
                <w:sz w:val="22"/>
                <w:szCs w:val="22"/>
              </w:rPr>
            </w:pPr>
            <w:r>
              <w:rPr>
                <w:color w:val="auto"/>
                <w:sz w:val="22"/>
                <w:szCs w:val="22"/>
              </w:rPr>
              <w:t>Урок 97</w:t>
            </w:r>
          </w:p>
        </w:tc>
        <w:tc>
          <w:tcPr>
            <w:tcW w:w="7937" w:type="dxa"/>
            <w:vAlign w:val="center"/>
          </w:tcPr>
          <w:p w14:paraId="0042FF2A">
            <w:pPr>
              <w:pStyle w:val="85"/>
              <w:jc w:val="both"/>
              <w:rPr>
                <w:color w:val="auto"/>
                <w:sz w:val="22"/>
                <w:szCs w:val="22"/>
              </w:rPr>
            </w:pPr>
            <w:r>
              <w:rPr>
                <w:color w:val="auto"/>
                <w:sz w:val="22"/>
                <w:szCs w:val="22"/>
              </w:rPr>
              <w:t>Тематическое повторение по итогам раздела "Взаимоотношения человека и животных"</w:t>
            </w:r>
          </w:p>
        </w:tc>
      </w:tr>
      <w:tr w14:paraId="04240C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15F1F24D">
            <w:pPr>
              <w:pStyle w:val="85"/>
              <w:rPr>
                <w:color w:val="auto"/>
                <w:sz w:val="22"/>
                <w:szCs w:val="22"/>
              </w:rPr>
            </w:pPr>
            <w:r>
              <w:rPr>
                <w:color w:val="auto"/>
                <w:sz w:val="22"/>
                <w:szCs w:val="22"/>
              </w:rPr>
              <w:t>Урок 98</w:t>
            </w:r>
          </w:p>
        </w:tc>
        <w:tc>
          <w:tcPr>
            <w:tcW w:w="7937" w:type="dxa"/>
            <w:vAlign w:val="center"/>
          </w:tcPr>
          <w:p w14:paraId="37C5B90E">
            <w:pPr>
              <w:pStyle w:val="85"/>
              <w:jc w:val="both"/>
              <w:rPr>
                <w:color w:val="auto"/>
                <w:sz w:val="22"/>
                <w:szCs w:val="22"/>
              </w:rPr>
            </w:pPr>
            <w:r>
              <w:rPr>
                <w:color w:val="auto"/>
                <w:sz w:val="22"/>
                <w:szCs w:val="22"/>
              </w:rPr>
              <w:t>Резервный урок. Составление устного рассказа "Любовь и забота о братьях наших меньших" по изученным произведениям</w:t>
            </w:r>
          </w:p>
        </w:tc>
      </w:tr>
      <w:tr w14:paraId="590A7D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2536853C">
            <w:pPr>
              <w:pStyle w:val="85"/>
              <w:rPr>
                <w:color w:val="auto"/>
                <w:sz w:val="22"/>
                <w:szCs w:val="22"/>
              </w:rPr>
            </w:pPr>
            <w:r>
              <w:rPr>
                <w:color w:val="auto"/>
                <w:sz w:val="22"/>
                <w:szCs w:val="22"/>
              </w:rPr>
              <w:t>Урок 99</w:t>
            </w:r>
          </w:p>
        </w:tc>
        <w:tc>
          <w:tcPr>
            <w:tcW w:w="7937" w:type="dxa"/>
            <w:vAlign w:val="center"/>
          </w:tcPr>
          <w:p w14:paraId="77EB1439">
            <w:pPr>
              <w:pStyle w:val="85"/>
              <w:jc w:val="both"/>
              <w:rPr>
                <w:color w:val="auto"/>
                <w:sz w:val="22"/>
                <w:szCs w:val="22"/>
              </w:rPr>
            </w:pPr>
            <w:r>
              <w:rPr>
                <w:color w:val="auto"/>
                <w:sz w:val="22"/>
                <w:szCs w:val="22"/>
              </w:rPr>
              <w:t>Звукопись, ее выразительное значение в лирических произведениях. Чувства, вызываемые лирическими произведениями. С.Я. Маршак "Гроза днем", "Голос в лесу"</w:t>
            </w:r>
          </w:p>
        </w:tc>
      </w:tr>
      <w:tr w14:paraId="6FB6C4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4E29825B">
            <w:pPr>
              <w:pStyle w:val="85"/>
              <w:rPr>
                <w:color w:val="auto"/>
                <w:sz w:val="22"/>
                <w:szCs w:val="22"/>
              </w:rPr>
            </w:pPr>
            <w:r>
              <w:rPr>
                <w:color w:val="auto"/>
                <w:sz w:val="22"/>
                <w:szCs w:val="22"/>
              </w:rPr>
              <w:t>Урок 100</w:t>
            </w:r>
          </w:p>
        </w:tc>
        <w:tc>
          <w:tcPr>
            <w:tcW w:w="7937" w:type="dxa"/>
            <w:vAlign w:val="center"/>
          </w:tcPr>
          <w:p w14:paraId="6191115C">
            <w:pPr>
              <w:pStyle w:val="85"/>
              <w:jc w:val="both"/>
              <w:rPr>
                <w:color w:val="auto"/>
                <w:sz w:val="22"/>
                <w:szCs w:val="22"/>
              </w:rPr>
            </w:pPr>
            <w:r>
              <w:rPr>
                <w:color w:val="auto"/>
                <w:sz w:val="22"/>
                <w:szCs w:val="22"/>
              </w:rPr>
              <w:t>Создание картин природы в произведениях поэтов. На примере стихотворения И.А. Бунина "Первый снег"</w:t>
            </w:r>
          </w:p>
        </w:tc>
      </w:tr>
      <w:tr w14:paraId="5E98F9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0859B254">
            <w:pPr>
              <w:pStyle w:val="85"/>
              <w:rPr>
                <w:color w:val="auto"/>
                <w:sz w:val="22"/>
                <w:szCs w:val="22"/>
              </w:rPr>
            </w:pPr>
            <w:r>
              <w:rPr>
                <w:color w:val="auto"/>
                <w:sz w:val="22"/>
                <w:szCs w:val="22"/>
              </w:rPr>
              <w:t>Урок 101</w:t>
            </w:r>
          </w:p>
        </w:tc>
        <w:tc>
          <w:tcPr>
            <w:tcW w:w="7937" w:type="dxa"/>
            <w:vAlign w:val="center"/>
          </w:tcPr>
          <w:p w14:paraId="2F2AA594">
            <w:pPr>
              <w:pStyle w:val="85"/>
              <w:jc w:val="both"/>
              <w:rPr>
                <w:color w:val="auto"/>
                <w:sz w:val="22"/>
                <w:szCs w:val="22"/>
              </w:rPr>
            </w:pPr>
            <w:r>
              <w:rPr>
                <w:color w:val="auto"/>
                <w:sz w:val="22"/>
                <w:szCs w:val="22"/>
              </w:rPr>
              <w:t>Наблюдение за описанием зимнего пейзажа. На примере стихотворения С.Д. Дрожжина "Зимний день"</w:t>
            </w:r>
          </w:p>
        </w:tc>
      </w:tr>
      <w:tr w14:paraId="57CD03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4B175C89">
            <w:pPr>
              <w:pStyle w:val="85"/>
              <w:rPr>
                <w:color w:val="auto"/>
                <w:sz w:val="22"/>
                <w:szCs w:val="22"/>
              </w:rPr>
            </w:pPr>
            <w:r>
              <w:rPr>
                <w:color w:val="auto"/>
                <w:sz w:val="22"/>
                <w:szCs w:val="22"/>
              </w:rPr>
              <w:t>Урок 102</w:t>
            </w:r>
          </w:p>
        </w:tc>
        <w:tc>
          <w:tcPr>
            <w:tcW w:w="7937" w:type="dxa"/>
            <w:vAlign w:val="center"/>
          </w:tcPr>
          <w:p w14:paraId="1DA54AE0">
            <w:pPr>
              <w:pStyle w:val="85"/>
              <w:jc w:val="both"/>
              <w:rPr>
                <w:color w:val="auto"/>
                <w:sz w:val="22"/>
                <w:szCs w:val="22"/>
              </w:rPr>
            </w:pPr>
            <w:r>
              <w:rPr>
                <w:color w:val="auto"/>
                <w:sz w:val="22"/>
                <w:szCs w:val="22"/>
              </w:rPr>
              <w:t>Работа детскими книгами. Проект "Составление сборника стихов"</w:t>
            </w:r>
          </w:p>
        </w:tc>
      </w:tr>
      <w:tr w14:paraId="4AC9CB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6AD53916">
            <w:pPr>
              <w:pStyle w:val="85"/>
              <w:rPr>
                <w:color w:val="auto"/>
                <w:sz w:val="22"/>
                <w:szCs w:val="22"/>
              </w:rPr>
            </w:pPr>
            <w:r>
              <w:rPr>
                <w:color w:val="auto"/>
                <w:sz w:val="22"/>
                <w:szCs w:val="22"/>
              </w:rPr>
              <w:t>Урок 103</w:t>
            </w:r>
          </w:p>
        </w:tc>
        <w:tc>
          <w:tcPr>
            <w:tcW w:w="7937" w:type="dxa"/>
            <w:vAlign w:val="center"/>
          </w:tcPr>
          <w:p w14:paraId="3245EE66">
            <w:pPr>
              <w:pStyle w:val="85"/>
              <w:jc w:val="both"/>
              <w:rPr>
                <w:color w:val="auto"/>
                <w:sz w:val="22"/>
                <w:szCs w:val="22"/>
              </w:rPr>
            </w:pPr>
            <w:r>
              <w:rPr>
                <w:color w:val="auto"/>
                <w:sz w:val="22"/>
                <w:szCs w:val="22"/>
              </w:rPr>
              <w:t>Тематическое повторение по итогам раздела "Картины природы в произведениях поэтов и писателей XIX - XX вв."</w:t>
            </w:r>
          </w:p>
        </w:tc>
      </w:tr>
      <w:tr w14:paraId="4EDD6F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240BFF09">
            <w:pPr>
              <w:pStyle w:val="85"/>
              <w:rPr>
                <w:color w:val="auto"/>
                <w:sz w:val="22"/>
                <w:szCs w:val="22"/>
              </w:rPr>
            </w:pPr>
            <w:r>
              <w:rPr>
                <w:color w:val="auto"/>
                <w:sz w:val="22"/>
                <w:szCs w:val="22"/>
              </w:rPr>
              <w:t>Урок 104</w:t>
            </w:r>
          </w:p>
        </w:tc>
        <w:tc>
          <w:tcPr>
            <w:tcW w:w="7937" w:type="dxa"/>
            <w:vAlign w:val="center"/>
          </w:tcPr>
          <w:p w14:paraId="29A7BB4F">
            <w:pPr>
              <w:pStyle w:val="85"/>
              <w:jc w:val="both"/>
              <w:rPr>
                <w:color w:val="auto"/>
                <w:sz w:val="22"/>
                <w:szCs w:val="22"/>
              </w:rPr>
            </w:pPr>
            <w:r>
              <w:rPr>
                <w:color w:val="auto"/>
                <w:sz w:val="22"/>
                <w:szCs w:val="22"/>
              </w:rPr>
              <w:t>Сравнение средств создания пейзажа в тексте-описании, в изобразительном искусстве, в произведениях музыкального искусства XX в.</w:t>
            </w:r>
          </w:p>
        </w:tc>
      </w:tr>
      <w:tr w14:paraId="2B88B9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73DDC629">
            <w:pPr>
              <w:pStyle w:val="85"/>
              <w:rPr>
                <w:color w:val="auto"/>
                <w:sz w:val="22"/>
                <w:szCs w:val="22"/>
              </w:rPr>
            </w:pPr>
            <w:r>
              <w:rPr>
                <w:color w:val="auto"/>
                <w:sz w:val="22"/>
                <w:szCs w:val="22"/>
              </w:rPr>
              <w:t>Урок 105</w:t>
            </w:r>
          </w:p>
        </w:tc>
        <w:tc>
          <w:tcPr>
            <w:tcW w:w="7937" w:type="dxa"/>
            <w:vAlign w:val="center"/>
          </w:tcPr>
          <w:p w14:paraId="60ECA90A">
            <w:pPr>
              <w:pStyle w:val="85"/>
              <w:jc w:val="both"/>
              <w:rPr>
                <w:color w:val="auto"/>
                <w:sz w:val="22"/>
                <w:szCs w:val="22"/>
              </w:rPr>
            </w:pPr>
            <w:r>
              <w:rPr>
                <w:color w:val="auto"/>
                <w:sz w:val="22"/>
                <w:szCs w:val="22"/>
              </w:rPr>
              <w:t>Выделение главной мысли (идеи) в произведениях о детях</w:t>
            </w:r>
          </w:p>
        </w:tc>
      </w:tr>
      <w:tr w14:paraId="402722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1DFE50A8">
            <w:pPr>
              <w:pStyle w:val="85"/>
              <w:rPr>
                <w:color w:val="auto"/>
                <w:sz w:val="22"/>
                <w:szCs w:val="22"/>
              </w:rPr>
            </w:pPr>
            <w:r>
              <w:rPr>
                <w:color w:val="auto"/>
                <w:sz w:val="22"/>
                <w:szCs w:val="22"/>
              </w:rPr>
              <w:t>Урок 106</w:t>
            </w:r>
          </w:p>
        </w:tc>
        <w:tc>
          <w:tcPr>
            <w:tcW w:w="7937" w:type="dxa"/>
            <w:vAlign w:val="center"/>
          </w:tcPr>
          <w:p w14:paraId="55DCF2FB">
            <w:pPr>
              <w:pStyle w:val="85"/>
              <w:jc w:val="both"/>
              <w:rPr>
                <w:color w:val="auto"/>
                <w:sz w:val="22"/>
                <w:szCs w:val="22"/>
              </w:rPr>
            </w:pPr>
            <w:r>
              <w:rPr>
                <w:color w:val="auto"/>
                <w:sz w:val="22"/>
                <w:szCs w:val="22"/>
              </w:rPr>
              <w:t>Работа с детскими книгами: авторы юмористических рассказов</w:t>
            </w:r>
          </w:p>
        </w:tc>
      </w:tr>
      <w:tr w14:paraId="642008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7D9BCAF7">
            <w:pPr>
              <w:pStyle w:val="85"/>
              <w:rPr>
                <w:color w:val="auto"/>
                <w:sz w:val="22"/>
                <w:szCs w:val="22"/>
              </w:rPr>
            </w:pPr>
            <w:r>
              <w:rPr>
                <w:color w:val="auto"/>
                <w:sz w:val="22"/>
                <w:szCs w:val="22"/>
              </w:rPr>
              <w:t>Урок 107</w:t>
            </w:r>
          </w:p>
        </w:tc>
        <w:tc>
          <w:tcPr>
            <w:tcW w:w="7937" w:type="dxa"/>
            <w:vAlign w:val="center"/>
          </w:tcPr>
          <w:p w14:paraId="21741245">
            <w:pPr>
              <w:pStyle w:val="85"/>
              <w:jc w:val="both"/>
              <w:rPr>
                <w:color w:val="auto"/>
                <w:sz w:val="22"/>
                <w:szCs w:val="22"/>
              </w:rPr>
            </w:pPr>
            <w:r>
              <w:rPr>
                <w:color w:val="auto"/>
                <w:sz w:val="22"/>
                <w:szCs w:val="22"/>
              </w:rPr>
              <w:t>Нравственная оценка ситуаций, поведения и поступков героев. На примере произведения М.М. Зощенко "Золотые слова"</w:t>
            </w:r>
          </w:p>
        </w:tc>
      </w:tr>
      <w:tr w14:paraId="7C1765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430CAD35">
            <w:pPr>
              <w:pStyle w:val="85"/>
              <w:rPr>
                <w:color w:val="auto"/>
                <w:sz w:val="22"/>
                <w:szCs w:val="22"/>
              </w:rPr>
            </w:pPr>
            <w:r>
              <w:rPr>
                <w:color w:val="auto"/>
                <w:sz w:val="22"/>
                <w:szCs w:val="22"/>
              </w:rPr>
              <w:t>Урок 108</w:t>
            </w:r>
          </w:p>
        </w:tc>
        <w:tc>
          <w:tcPr>
            <w:tcW w:w="7937" w:type="dxa"/>
            <w:vAlign w:val="center"/>
          </w:tcPr>
          <w:p w14:paraId="482D50A4">
            <w:pPr>
              <w:pStyle w:val="85"/>
              <w:jc w:val="both"/>
              <w:rPr>
                <w:color w:val="auto"/>
                <w:sz w:val="22"/>
                <w:szCs w:val="22"/>
              </w:rPr>
            </w:pPr>
            <w:r>
              <w:rPr>
                <w:color w:val="auto"/>
                <w:sz w:val="22"/>
                <w:szCs w:val="22"/>
              </w:rPr>
              <w:t>Особенности юмористических произведений (ирония) М.М. Зощенко и других авторов на выбор</w:t>
            </w:r>
          </w:p>
        </w:tc>
      </w:tr>
      <w:tr w14:paraId="542B9E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3932E03A">
            <w:pPr>
              <w:pStyle w:val="85"/>
              <w:rPr>
                <w:color w:val="auto"/>
                <w:sz w:val="22"/>
                <w:szCs w:val="22"/>
              </w:rPr>
            </w:pPr>
            <w:r>
              <w:rPr>
                <w:color w:val="auto"/>
                <w:sz w:val="22"/>
                <w:szCs w:val="22"/>
              </w:rPr>
              <w:t>Урок 109</w:t>
            </w:r>
          </w:p>
        </w:tc>
        <w:tc>
          <w:tcPr>
            <w:tcW w:w="7937" w:type="dxa"/>
            <w:vAlign w:val="center"/>
          </w:tcPr>
          <w:p w14:paraId="564450F3">
            <w:pPr>
              <w:pStyle w:val="85"/>
              <w:jc w:val="both"/>
              <w:rPr>
                <w:color w:val="auto"/>
                <w:sz w:val="22"/>
                <w:szCs w:val="22"/>
              </w:rPr>
            </w:pPr>
            <w:r>
              <w:rPr>
                <w:color w:val="auto"/>
                <w:sz w:val="22"/>
                <w:szCs w:val="22"/>
              </w:rPr>
              <w:t>Основные события сюжета произведения А.П. Гайдара "Тимур и его команда" (отрывки)</w:t>
            </w:r>
          </w:p>
        </w:tc>
      </w:tr>
      <w:tr w14:paraId="463D5C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799D1730">
            <w:pPr>
              <w:pStyle w:val="85"/>
              <w:rPr>
                <w:color w:val="auto"/>
                <w:sz w:val="22"/>
                <w:szCs w:val="22"/>
              </w:rPr>
            </w:pPr>
            <w:r>
              <w:rPr>
                <w:color w:val="auto"/>
                <w:sz w:val="22"/>
                <w:szCs w:val="22"/>
              </w:rPr>
              <w:t>Урок 110</w:t>
            </w:r>
          </w:p>
        </w:tc>
        <w:tc>
          <w:tcPr>
            <w:tcW w:w="7937" w:type="dxa"/>
            <w:vAlign w:val="center"/>
          </w:tcPr>
          <w:p w14:paraId="1B2DE8B1">
            <w:pPr>
              <w:pStyle w:val="85"/>
              <w:jc w:val="both"/>
              <w:rPr>
                <w:color w:val="auto"/>
                <w:sz w:val="22"/>
                <w:szCs w:val="22"/>
              </w:rPr>
            </w:pPr>
            <w:r>
              <w:rPr>
                <w:color w:val="auto"/>
                <w:sz w:val="22"/>
                <w:szCs w:val="22"/>
              </w:rPr>
              <w:t>Роль интерьера (описание штаба) в создании образов героев произведения А.П. Гайдара "Тимур и его команда" (отрывки)</w:t>
            </w:r>
          </w:p>
        </w:tc>
      </w:tr>
      <w:tr w14:paraId="0587D7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7794CE6B">
            <w:pPr>
              <w:pStyle w:val="85"/>
              <w:rPr>
                <w:color w:val="auto"/>
                <w:sz w:val="22"/>
                <w:szCs w:val="22"/>
              </w:rPr>
            </w:pPr>
            <w:r>
              <w:rPr>
                <w:color w:val="auto"/>
                <w:sz w:val="22"/>
                <w:szCs w:val="22"/>
              </w:rPr>
              <w:t>Урок 111</w:t>
            </w:r>
          </w:p>
        </w:tc>
        <w:tc>
          <w:tcPr>
            <w:tcW w:w="7937" w:type="dxa"/>
            <w:vAlign w:val="center"/>
          </w:tcPr>
          <w:p w14:paraId="534442E8">
            <w:pPr>
              <w:pStyle w:val="85"/>
              <w:jc w:val="both"/>
              <w:rPr>
                <w:color w:val="auto"/>
                <w:sz w:val="22"/>
                <w:szCs w:val="22"/>
              </w:rPr>
            </w:pPr>
            <w:r>
              <w:rPr>
                <w:color w:val="auto"/>
                <w:sz w:val="22"/>
                <w:szCs w:val="22"/>
              </w:rPr>
              <w:t>Нравственная оценка ситуаций, поведения и поступков героев произведения А.П. Гайдара "Тимур и его команда" (отрывки)</w:t>
            </w:r>
          </w:p>
        </w:tc>
      </w:tr>
      <w:tr w14:paraId="785D67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61E4A60A">
            <w:pPr>
              <w:pStyle w:val="85"/>
              <w:rPr>
                <w:color w:val="auto"/>
                <w:sz w:val="22"/>
                <w:szCs w:val="22"/>
              </w:rPr>
            </w:pPr>
            <w:r>
              <w:rPr>
                <w:color w:val="auto"/>
                <w:sz w:val="22"/>
                <w:szCs w:val="22"/>
              </w:rPr>
              <w:t>Урок 112</w:t>
            </w:r>
          </w:p>
        </w:tc>
        <w:tc>
          <w:tcPr>
            <w:tcW w:w="7937" w:type="dxa"/>
            <w:vAlign w:val="center"/>
          </w:tcPr>
          <w:p w14:paraId="46A41C79">
            <w:pPr>
              <w:pStyle w:val="85"/>
              <w:jc w:val="both"/>
              <w:rPr>
                <w:color w:val="auto"/>
                <w:sz w:val="22"/>
                <w:szCs w:val="22"/>
              </w:rPr>
            </w:pPr>
            <w:r>
              <w:rPr>
                <w:color w:val="auto"/>
                <w:sz w:val="22"/>
                <w:szCs w:val="22"/>
              </w:rPr>
              <w:t>Отражение в произведении важных человеческих качеств: честности, стойкости, ответственности. На примере рассказа А.П. Платонова "Цветок на земле"</w:t>
            </w:r>
          </w:p>
        </w:tc>
      </w:tr>
      <w:tr w14:paraId="6CD7BD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784A628D">
            <w:pPr>
              <w:pStyle w:val="85"/>
              <w:rPr>
                <w:color w:val="auto"/>
                <w:sz w:val="22"/>
                <w:szCs w:val="22"/>
              </w:rPr>
            </w:pPr>
            <w:r>
              <w:rPr>
                <w:color w:val="auto"/>
                <w:sz w:val="22"/>
                <w:szCs w:val="22"/>
              </w:rPr>
              <w:t>Урок 113</w:t>
            </w:r>
          </w:p>
        </w:tc>
        <w:tc>
          <w:tcPr>
            <w:tcW w:w="7937" w:type="dxa"/>
            <w:vAlign w:val="center"/>
          </w:tcPr>
          <w:p w14:paraId="0272F6EC">
            <w:pPr>
              <w:pStyle w:val="85"/>
              <w:jc w:val="both"/>
              <w:rPr>
                <w:color w:val="auto"/>
                <w:sz w:val="22"/>
                <w:szCs w:val="22"/>
              </w:rPr>
            </w:pPr>
            <w:r>
              <w:rPr>
                <w:color w:val="auto"/>
                <w:sz w:val="22"/>
                <w:szCs w:val="22"/>
              </w:rPr>
              <w:t>Деление текста на части, составление плана, выявление главной мысли (идеи). На примере рассказа А.П. Платонова "Цветок на земле"</w:t>
            </w:r>
          </w:p>
        </w:tc>
      </w:tr>
      <w:tr w14:paraId="21F1E1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5DBC95E0">
            <w:pPr>
              <w:pStyle w:val="85"/>
              <w:rPr>
                <w:color w:val="auto"/>
                <w:sz w:val="22"/>
                <w:szCs w:val="22"/>
              </w:rPr>
            </w:pPr>
            <w:r>
              <w:rPr>
                <w:color w:val="auto"/>
                <w:sz w:val="22"/>
                <w:szCs w:val="22"/>
              </w:rPr>
              <w:t>Урок 114</w:t>
            </w:r>
          </w:p>
        </w:tc>
        <w:tc>
          <w:tcPr>
            <w:tcW w:w="7937" w:type="dxa"/>
            <w:vAlign w:val="center"/>
          </w:tcPr>
          <w:p w14:paraId="3C42A410">
            <w:pPr>
              <w:pStyle w:val="85"/>
              <w:jc w:val="both"/>
              <w:rPr>
                <w:color w:val="auto"/>
                <w:sz w:val="22"/>
                <w:szCs w:val="22"/>
              </w:rPr>
            </w:pPr>
            <w:r>
              <w:rPr>
                <w:color w:val="auto"/>
                <w:sz w:val="22"/>
                <w:szCs w:val="22"/>
              </w:rPr>
              <w:t>Особенности внешнего вида и характера героя-ребенка. А.П. Платонов "Цветок на земле"</w:t>
            </w:r>
          </w:p>
        </w:tc>
      </w:tr>
      <w:tr w14:paraId="79974F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36016FE0">
            <w:pPr>
              <w:pStyle w:val="85"/>
              <w:rPr>
                <w:color w:val="auto"/>
                <w:sz w:val="22"/>
                <w:szCs w:val="22"/>
              </w:rPr>
            </w:pPr>
            <w:r>
              <w:rPr>
                <w:color w:val="auto"/>
                <w:sz w:val="22"/>
                <w:szCs w:val="22"/>
              </w:rPr>
              <w:t>Урок 115</w:t>
            </w:r>
          </w:p>
        </w:tc>
        <w:tc>
          <w:tcPr>
            <w:tcW w:w="7937" w:type="dxa"/>
            <w:vAlign w:val="center"/>
          </w:tcPr>
          <w:p w14:paraId="2361BAFC">
            <w:pPr>
              <w:pStyle w:val="85"/>
              <w:jc w:val="both"/>
              <w:rPr>
                <w:color w:val="auto"/>
                <w:sz w:val="22"/>
                <w:szCs w:val="22"/>
              </w:rPr>
            </w:pPr>
            <w:r>
              <w:rPr>
                <w:color w:val="auto"/>
                <w:sz w:val="22"/>
                <w:szCs w:val="22"/>
              </w:rPr>
              <w:t>Особенности юмористических произведений Н.Н. Носова и других авторов на выбор</w:t>
            </w:r>
          </w:p>
        </w:tc>
      </w:tr>
      <w:tr w14:paraId="089681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1C44F545">
            <w:pPr>
              <w:pStyle w:val="85"/>
              <w:rPr>
                <w:color w:val="auto"/>
                <w:sz w:val="22"/>
                <w:szCs w:val="22"/>
              </w:rPr>
            </w:pPr>
            <w:r>
              <w:rPr>
                <w:color w:val="auto"/>
                <w:sz w:val="22"/>
                <w:szCs w:val="22"/>
              </w:rPr>
              <w:t>Урок 116</w:t>
            </w:r>
          </w:p>
        </w:tc>
        <w:tc>
          <w:tcPr>
            <w:tcW w:w="7937" w:type="dxa"/>
            <w:vAlign w:val="center"/>
          </w:tcPr>
          <w:p w14:paraId="0EBBDE47">
            <w:pPr>
              <w:pStyle w:val="85"/>
              <w:jc w:val="both"/>
              <w:rPr>
                <w:color w:val="auto"/>
                <w:sz w:val="22"/>
                <w:szCs w:val="22"/>
              </w:rPr>
            </w:pPr>
            <w:r>
              <w:rPr>
                <w:color w:val="auto"/>
                <w:sz w:val="22"/>
                <w:szCs w:val="22"/>
              </w:rPr>
              <w:t>Комичность как основа сюжета рассказов Н.Н. Носова и других авторов на выбор</w:t>
            </w:r>
          </w:p>
        </w:tc>
      </w:tr>
      <w:tr w14:paraId="588EDC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2B80D6AE">
            <w:pPr>
              <w:pStyle w:val="85"/>
              <w:rPr>
                <w:color w:val="auto"/>
                <w:sz w:val="22"/>
                <w:szCs w:val="22"/>
              </w:rPr>
            </w:pPr>
            <w:r>
              <w:rPr>
                <w:color w:val="auto"/>
                <w:sz w:val="22"/>
                <w:szCs w:val="22"/>
              </w:rPr>
              <w:t>Урок 117</w:t>
            </w:r>
          </w:p>
        </w:tc>
        <w:tc>
          <w:tcPr>
            <w:tcW w:w="7937" w:type="dxa"/>
            <w:vAlign w:val="center"/>
          </w:tcPr>
          <w:p w14:paraId="59D2AA18">
            <w:pPr>
              <w:pStyle w:val="85"/>
              <w:jc w:val="both"/>
              <w:rPr>
                <w:color w:val="auto"/>
                <w:sz w:val="22"/>
                <w:szCs w:val="22"/>
              </w:rPr>
            </w:pPr>
            <w:r>
              <w:rPr>
                <w:color w:val="auto"/>
                <w:sz w:val="22"/>
                <w:szCs w:val="22"/>
              </w:rPr>
              <w:t>Характеристика героя "Денискиных рассказов" В.Ю. Драгунского</w:t>
            </w:r>
          </w:p>
        </w:tc>
      </w:tr>
      <w:tr w14:paraId="338E3B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090F57D1">
            <w:pPr>
              <w:pStyle w:val="85"/>
              <w:rPr>
                <w:color w:val="auto"/>
                <w:sz w:val="22"/>
                <w:szCs w:val="22"/>
              </w:rPr>
            </w:pPr>
            <w:r>
              <w:rPr>
                <w:color w:val="auto"/>
                <w:sz w:val="22"/>
                <w:szCs w:val="22"/>
              </w:rPr>
              <w:t>Урок 118</w:t>
            </w:r>
          </w:p>
        </w:tc>
        <w:tc>
          <w:tcPr>
            <w:tcW w:w="7937" w:type="dxa"/>
            <w:vAlign w:val="center"/>
          </w:tcPr>
          <w:p w14:paraId="1FD48C8B">
            <w:pPr>
              <w:pStyle w:val="85"/>
              <w:jc w:val="both"/>
              <w:rPr>
                <w:color w:val="auto"/>
                <w:sz w:val="22"/>
                <w:szCs w:val="22"/>
              </w:rPr>
            </w:pPr>
            <w:r>
              <w:rPr>
                <w:color w:val="auto"/>
                <w:sz w:val="22"/>
                <w:szCs w:val="22"/>
              </w:rPr>
              <w:t>Средства выразительности текста юмористического содержания: преувеличение. На примере произведений В.Ю. Драгунского</w:t>
            </w:r>
          </w:p>
        </w:tc>
      </w:tr>
      <w:tr w14:paraId="77A746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0D72B088">
            <w:pPr>
              <w:pStyle w:val="85"/>
              <w:rPr>
                <w:color w:val="auto"/>
                <w:sz w:val="22"/>
                <w:szCs w:val="22"/>
              </w:rPr>
            </w:pPr>
            <w:r>
              <w:rPr>
                <w:color w:val="auto"/>
                <w:sz w:val="22"/>
                <w:szCs w:val="22"/>
              </w:rPr>
              <w:t>Урок 119</w:t>
            </w:r>
          </w:p>
        </w:tc>
        <w:tc>
          <w:tcPr>
            <w:tcW w:w="7937" w:type="dxa"/>
            <w:vAlign w:val="center"/>
          </w:tcPr>
          <w:p w14:paraId="7EDED79A">
            <w:pPr>
              <w:pStyle w:val="85"/>
              <w:jc w:val="both"/>
              <w:rPr>
                <w:color w:val="auto"/>
                <w:sz w:val="22"/>
                <w:szCs w:val="22"/>
              </w:rPr>
            </w:pPr>
            <w:r>
              <w:rPr>
                <w:color w:val="auto"/>
                <w:sz w:val="22"/>
                <w:szCs w:val="22"/>
              </w:rPr>
              <w:t>Составление юмористического рассказа</w:t>
            </w:r>
          </w:p>
        </w:tc>
      </w:tr>
      <w:tr w14:paraId="7F9C41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23576855">
            <w:pPr>
              <w:pStyle w:val="85"/>
              <w:rPr>
                <w:color w:val="auto"/>
                <w:sz w:val="22"/>
                <w:szCs w:val="22"/>
              </w:rPr>
            </w:pPr>
            <w:r>
              <w:rPr>
                <w:color w:val="auto"/>
                <w:sz w:val="22"/>
                <w:szCs w:val="22"/>
              </w:rPr>
              <w:t>Урок 120</w:t>
            </w:r>
          </w:p>
        </w:tc>
        <w:tc>
          <w:tcPr>
            <w:tcW w:w="7937" w:type="dxa"/>
            <w:vAlign w:val="center"/>
          </w:tcPr>
          <w:p w14:paraId="05F265DF">
            <w:pPr>
              <w:pStyle w:val="85"/>
              <w:jc w:val="both"/>
              <w:rPr>
                <w:color w:val="auto"/>
                <w:sz w:val="22"/>
                <w:szCs w:val="22"/>
              </w:rPr>
            </w:pPr>
            <w:r>
              <w:rPr>
                <w:color w:val="auto"/>
                <w:sz w:val="22"/>
                <w:szCs w:val="22"/>
              </w:rPr>
              <w:t>Составление устного рассказа "Мой любимый детский писатель" на примере изученных произведений</w:t>
            </w:r>
          </w:p>
        </w:tc>
      </w:tr>
      <w:tr w14:paraId="6A46EE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3899DBE0">
            <w:pPr>
              <w:pStyle w:val="85"/>
              <w:rPr>
                <w:color w:val="auto"/>
                <w:sz w:val="22"/>
                <w:szCs w:val="22"/>
              </w:rPr>
            </w:pPr>
            <w:r>
              <w:rPr>
                <w:color w:val="auto"/>
                <w:sz w:val="22"/>
                <w:szCs w:val="22"/>
              </w:rPr>
              <w:t>Урок 121</w:t>
            </w:r>
          </w:p>
        </w:tc>
        <w:tc>
          <w:tcPr>
            <w:tcW w:w="7937" w:type="dxa"/>
            <w:vAlign w:val="center"/>
          </w:tcPr>
          <w:p w14:paraId="2A553F32">
            <w:pPr>
              <w:pStyle w:val="85"/>
              <w:jc w:val="both"/>
              <w:rPr>
                <w:color w:val="auto"/>
                <w:sz w:val="22"/>
                <w:szCs w:val="22"/>
              </w:rPr>
            </w:pPr>
            <w:r>
              <w:rPr>
                <w:color w:val="auto"/>
                <w:sz w:val="22"/>
                <w:szCs w:val="22"/>
              </w:rPr>
              <w:t>Работа с книгами о детях: написание отзыва</w:t>
            </w:r>
          </w:p>
        </w:tc>
      </w:tr>
      <w:tr w14:paraId="6243DA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2D09D43A">
            <w:pPr>
              <w:pStyle w:val="85"/>
              <w:rPr>
                <w:color w:val="auto"/>
                <w:sz w:val="22"/>
                <w:szCs w:val="22"/>
              </w:rPr>
            </w:pPr>
            <w:r>
              <w:rPr>
                <w:color w:val="auto"/>
                <w:sz w:val="22"/>
                <w:szCs w:val="22"/>
              </w:rPr>
              <w:t>Урок 122</w:t>
            </w:r>
          </w:p>
        </w:tc>
        <w:tc>
          <w:tcPr>
            <w:tcW w:w="7937" w:type="dxa"/>
            <w:vAlign w:val="center"/>
          </w:tcPr>
          <w:p w14:paraId="4FE82024">
            <w:pPr>
              <w:pStyle w:val="85"/>
              <w:jc w:val="both"/>
              <w:rPr>
                <w:color w:val="auto"/>
                <w:sz w:val="22"/>
                <w:szCs w:val="22"/>
              </w:rPr>
            </w:pPr>
            <w:r>
              <w:rPr>
                <w:color w:val="auto"/>
                <w:sz w:val="22"/>
                <w:szCs w:val="22"/>
              </w:rPr>
              <w:t>Тематическое повторение по итогам раздела "Произведения о детях"</w:t>
            </w:r>
          </w:p>
        </w:tc>
      </w:tr>
      <w:tr w14:paraId="2BE7BC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66B49799">
            <w:pPr>
              <w:pStyle w:val="85"/>
              <w:rPr>
                <w:color w:val="auto"/>
                <w:sz w:val="22"/>
                <w:szCs w:val="22"/>
              </w:rPr>
            </w:pPr>
            <w:r>
              <w:rPr>
                <w:color w:val="auto"/>
                <w:sz w:val="22"/>
                <w:szCs w:val="22"/>
              </w:rPr>
              <w:t>Урок 123</w:t>
            </w:r>
          </w:p>
        </w:tc>
        <w:tc>
          <w:tcPr>
            <w:tcW w:w="7937" w:type="dxa"/>
            <w:vAlign w:val="center"/>
          </w:tcPr>
          <w:p w14:paraId="134709C2">
            <w:pPr>
              <w:pStyle w:val="85"/>
              <w:jc w:val="both"/>
              <w:rPr>
                <w:color w:val="auto"/>
                <w:sz w:val="22"/>
                <w:szCs w:val="22"/>
              </w:rPr>
            </w:pPr>
            <w:r>
              <w:rPr>
                <w:color w:val="auto"/>
                <w:sz w:val="22"/>
                <w:szCs w:val="22"/>
              </w:rPr>
              <w:t>Работа с книгами о детях: составление аннотации</w:t>
            </w:r>
          </w:p>
        </w:tc>
      </w:tr>
      <w:tr w14:paraId="2BD4EF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37373B6D">
            <w:pPr>
              <w:pStyle w:val="85"/>
              <w:rPr>
                <w:color w:val="auto"/>
                <w:sz w:val="22"/>
                <w:szCs w:val="22"/>
              </w:rPr>
            </w:pPr>
            <w:r>
              <w:rPr>
                <w:color w:val="auto"/>
                <w:sz w:val="22"/>
                <w:szCs w:val="22"/>
              </w:rPr>
              <w:t>Урок 124</w:t>
            </w:r>
          </w:p>
        </w:tc>
        <w:tc>
          <w:tcPr>
            <w:tcW w:w="7937" w:type="dxa"/>
            <w:vAlign w:val="center"/>
          </w:tcPr>
          <w:p w14:paraId="188ED96E">
            <w:pPr>
              <w:pStyle w:val="85"/>
              <w:jc w:val="both"/>
              <w:rPr>
                <w:color w:val="auto"/>
                <w:sz w:val="22"/>
                <w:szCs w:val="22"/>
              </w:rPr>
            </w:pPr>
            <w:r>
              <w:rPr>
                <w:color w:val="auto"/>
                <w:sz w:val="22"/>
                <w:szCs w:val="22"/>
              </w:rPr>
              <w:t>Расширение знаний о писателях, как переводчиках зарубежной литературы. На примере переводов С.Я. Маршака, К.И. Чуковского и других</w:t>
            </w:r>
          </w:p>
        </w:tc>
      </w:tr>
      <w:tr w14:paraId="6A54BA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4A0977E3">
            <w:pPr>
              <w:pStyle w:val="85"/>
              <w:rPr>
                <w:color w:val="auto"/>
                <w:sz w:val="22"/>
                <w:szCs w:val="22"/>
              </w:rPr>
            </w:pPr>
            <w:r>
              <w:rPr>
                <w:color w:val="auto"/>
                <w:sz w:val="22"/>
                <w:szCs w:val="22"/>
              </w:rPr>
              <w:t>Урок 125</w:t>
            </w:r>
          </w:p>
        </w:tc>
        <w:tc>
          <w:tcPr>
            <w:tcW w:w="7937" w:type="dxa"/>
            <w:vAlign w:val="center"/>
          </w:tcPr>
          <w:p w14:paraId="1461296C">
            <w:pPr>
              <w:pStyle w:val="85"/>
              <w:jc w:val="both"/>
              <w:rPr>
                <w:color w:val="auto"/>
                <w:sz w:val="22"/>
                <w:szCs w:val="22"/>
              </w:rPr>
            </w:pPr>
            <w:r>
              <w:rPr>
                <w:color w:val="auto"/>
                <w:sz w:val="22"/>
                <w:szCs w:val="22"/>
              </w:rPr>
              <w:t>Волшебные предметы и помощники в литературных сказках Ш. Перро</w:t>
            </w:r>
          </w:p>
        </w:tc>
      </w:tr>
      <w:tr w14:paraId="2CD72A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6D273C2F">
            <w:pPr>
              <w:pStyle w:val="85"/>
              <w:rPr>
                <w:color w:val="auto"/>
                <w:sz w:val="22"/>
                <w:szCs w:val="22"/>
              </w:rPr>
            </w:pPr>
            <w:r>
              <w:rPr>
                <w:color w:val="auto"/>
                <w:sz w:val="22"/>
                <w:szCs w:val="22"/>
              </w:rPr>
              <w:t>Урок 126</w:t>
            </w:r>
          </w:p>
        </w:tc>
        <w:tc>
          <w:tcPr>
            <w:tcW w:w="7937" w:type="dxa"/>
            <w:vAlign w:val="center"/>
          </w:tcPr>
          <w:p w14:paraId="12559A1B">
            <w:pPr>
              <w:pStyle w:val="85"/>
              <w:jc w:val="both"/>
              <w:rPr>
                <w:color w:val="auto"/>
                <w:sz w:val="22"/>
                <w:szCs w:val="22"/>
              </w:rPr>
            </w:pPr>
            <w:r>
              <w:rPr>
                <w:color w:val="auto"/>
                <w:sz w:val="22"/>
                <w:szCs w:val="22"/>
              </w:rPr>
              <w:t>Особенности литературных сказок Х.-К. Андерсена (сюжет, язык, герои) на примере сказки "Гадкий утенок"</w:t>
            </w:r>
          </w:p>
        </w:tc>
      </w:tr>
      <w:tr w14:paraId="096CE8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310CC0EF">
            <w:pPr>
              <w:pStyle w:val="85"/>
              <w:rPr>
                <w:color w:val="auto"/>
                <w:sz w:val="22"/>
                <w:szCs w:val="22"/>
              </w:rPr>
            </w:pPr>
            <w:r>
              <w:rPr>
                <w:color w:val="auto"/>
                <w:sz w:val="22"/>
                <w:szCs w:val="22"/>
              </w:rPr>
              <w:t>Урок 127</w:t>
            </w:r>
          </w:p>
        </w:tc>
        <w:tc>
          <w:tcPr>
            <w:tcW w:w="7937" w:type="dxa"/>
            <w:vAlign w:val="center"/>
          </w:tcPr>
          <w:p w14:paraId="3FB6CA45">
            <w:pPr>
              <w:pStyle w:val="85"/>
              <w:jc w:val="both"/>
              <w:rPr>
                <w:color w:val="auto"/>
                <w:sz w:val="22"/>
                <w:szCs w:val="22"/>
              </w:rPr>
            </w:pPr>
            <w:r>
              <w:rPr>
                <w:color w:val="auto"/>
                <w:sz w:val="22"/>
                <w:szCs w:val="22"/>
              </w:rPr>
              <w:t>Особенности литературных сказок: раскрытие главной мысли, композиция, герои. На примере сказки Х.-К. Андерсена "Гадкий утенок"</w:t>
            </w:r>
          </w:p>
        </w:tc>
      </w:tr>
      <w:tr w14:paraId="42F70B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20EBBBC3">
            <w:pPr>
              <w:pStyle w:val="85"/>
              <w:rPr>
                <w:color w:val="auto"/>
                <w:sz w:val="22"/>
                <w:szCs w:val="22"/>
              </w:rPr>
            </w:pPr>
            <w:r>
              <w:rPr>
                <w:color w:val="auto"/>
                <w:sz w:val="22"/>
                <w:szCs w:val="22"/>
              </w:rPr>
              <w:t>Урок 128</w:t>
            </w:r>
          </w:p>
        </w:tc>
        <w:tc>
          <w:tcPr>
            <w:tcW w:w="7937" w:type="dxa"/>
            <w:vAlign w:val="center"/>
          </w:tcPr>
          <w:p w14:paraId="553DA456">
            <w:pPr>
              <w:pStyle w:val="85"/>
              <w:jc w:val="both"/>
              <w:rPr>
                <w:color w:val="auto"/>
                <w:sz w:val="22"/>
                <w:szCs w:val="22"/>
              </w:rPr>
            </w:pPr>
            <w:r>
              <w:rPr>
                <w:color w:val="auto"/>
                <w:sz w:val="22"/>
                <w:szCs w:val="22"/>
              </w:rPr>
              <w:t>Взаимоотношения человека и животных в рассказах зарубежных писателей. На примере рассказа Джека Лондона "Бурый волк"</w:t>
            </w:r>
          </w:p>
        </w:tc>
      </w:tr>
      <w:tr w14:paraId="59EC4C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4C2A0872">
            <w:pPr>
              <w:pStyle w:val="85"/>
              <w:rPr>
                <w:color w:val="auto"/>
                <w:sz w:val="22"/>
                <w:szCs w:val="22"/>
              </w:rPr>
            </w:pPr>
            <w:r>
              <w:rPr>
                <w:color w:val="auto"/>
                <w:sz w:val="22"/>
                <w:szCs w:val="22"/>
              </w:rPr>
              <w:t>Урок 129</w:t>
            </w:r>
          </w:p>
        </w:tc>
        <w:tc>
          <w:tcPr>
            <w:tcW w:w="7937" w:type="dxa"/>
            <w:vAlign w:val="center"/>
          </w:tcPr>
          <w:p w14:paraId="4B80A24C">
            <w:pPr>
              <w:pStyle w:val="85"/>
              <w:jc w:val="both"/>
              <w:rPr>
                <w:color w:val="auto"/>
                <w:sz w:val="22"/>
                <w:szCs w:val="22"/>
              </w:rPr>
            </w:pPr>
            <w:r>
              <w:rPr>
                <w:color w:val="auto"/>
                <w:sz w:val="22"/>
                <w:szCs w:val="22"/>
              </w:rPr>
              <w:t>Деление текста на части, составление плана, выявление главной мысли (идеи) рассказа Джека Лондона "Бурый волк"</w:t>
            </w:r>
          </w:p>
        </w:tc>
      </w:tr>
      <w:tr w14:paraId="41AF91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28065C26">
            <w:pPr>
              <w:pStyle w:val="85"/>
              <w:rPr>
                <w:color w:val="auto"/>
                <w:sz w:val="22"/>
                <w:szCs w:val="22"/>
              </w:rPr>
            </w:pPr>
            <w:r>
              <w:rPr>
                <w:color w:val="auto"/>
                <w:sz w:val="22"/>
                <w:szCs w:val="22"/>
              </w:rPr>
              <w:t>Урок 130</w:t>
            </w:r>
          </w:p>
        </w:tc>
        <w:tc>
          <w:tcPr>
            <w:tcW w:w="7937" w:type="dxa"/>
            <w:vAlign w:val="center"/>
          </w:tcPr>
          <w:p w14:paraId="6DFD958B">
            <w:pPr>
              <w:pStyle w:val="85"/>
              <w:jc w:val="both"/>
              <w:rPr>
                <w:color w:val="auto"/>
                <w:sz w:val="22"/>
                <w:szCs w:val="22"/>
              </w:rPr>
            </w:pPr>
            <w:r>
              <w:rPr>
                <w:color w:val="auto"/>
                <w:sz w:val="22"/>
                <w:szCs w:val="22"/>
              </w:rPr>
              <w:t>Средства создания образов героев-животных в рассказах зарубежных писателей. На примере рассказа Э. Сетон-Томпсона "Чинк"</w:t>
            </w:r>
          </w:p>
        </w:tc>
      </w:tr>
      <w:tr w14:paraId="533FA6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12B15201">
            <w:pPr>
              <w:pStyle w:val="85"/>
              <w:rPr>
                <w:color w:val="auto"/>
                <w:sz w:val="22"/>
                <w:szCs w:val="22"/>
              </w:rPr>
            </w:pPr>
            <w:r>
              <w:rPr>
                <w:color w:val="auto"/>
                <w:sz w:val="22"/>
                <w:szCs w:val="22"/>
              </w:rPr>
              <w:t>Урок 131</w:t>
            </w:r>
          </w:p>
        </w:tc>
        <w:tc>
          <w:tcPr>
            <w:tcW w:w="7937" w:type="dxa"/>
            <w:vAlign w:val="center"/>
          </w:tcPr>
          <w:p w14:paraId="16E3B113">
            <w:pPr>
              <w:pStyle w:val="85"/>
              <w:jc w:val="both"/>
              <w:rPr>
                <w:color w:val="auto"/>
                <w:sz w:val="22"/>
                <w:szCs w:val="22"/>
              </w:rPr>
            </w:pPr>
            <w:r>
              <w:rPr>
                <w:color w:val="auto"/>
                <w:sz w:val="22"/>
                <w:szCs w:val="22"/>
              </w:rPr>
              <w:t>Осознание нравственно-этических понятий: верность и преданность животных. На примере рассказа Э. Сетон-Томпсона "Чинк"</w:t>
            </w:r>
          </w:p>
        </w:tc>
      </w:tr>
      <w:tr w14:paraId="53E8AA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460635B7">
            <w:pPr>
              <w:pStyle w:val="85"/>
              <w:rPr>
                <w:color w:val="auto"/>
                <w:sz w:val="22"/>
                <w:szCs w:val="22"/>
              </w:rPr>
            </w:pPr>
            <w:r>
              <w:rPr>
                <w:color w:val="auto"/>
                <w:sz w:val="22"/>
                <w:szCs w:val="22"/>
              </w:rPr>
              <w:t>Урок 132</w:t>
            </w:r>
          </w:p>
        </w:tc>
        <w:tc>
          <w:tcPr>
            <w:tcW w:w="7937" w:type="dxa"/>
            <w:vAlign w:val="center"/>
          </w:tcPr>
          <w:p w14:paraId="7C736DFB">
            <w:pPr>
              <w:pStyle w:val="85"/>
              <w:jc w:val="both"/>
              <w:rPr>
                <w:color w:val="auto"/>
                <w:sz w:val="22"/>
                <w:szCs w:val="22"/>
              </w:rPr>
            </w:pPr>
            <w:r>
              <w:rPr>
                <w:color w:val="auto"/>
                <w:sz w:val="22"/>
                <w:szCs w:val="22"/>
              </w:rPr>
              <w:t>Тематическое повторение по итогам раздела "Зарубежная литература"</w:t>
            </w:r>
          </w:p>
        </w:tc>
      </w:tr>
      <w:tr w14:paraId="1D6957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31BB347B">
            <w:pPr>
              <w:pStyle w:val="85"/>
              <w:rPr>
                <w:color w:val="auto"/>
                <w:sz w:val="22"/>
                <w:szCs w:val="22"/>
              </w:rPr>
            </w:pPr>
            <w:r>
              <w:rPr>
                <w:color w:val="auto"/>
                <w:sz w:val="22"/>
                <w:szCs w:val="22"/>
              </w:rPr>
              <w:t>Урок 133</w:t>
            </w:r>
          </w:p>
        </w:tc>
        <w:tc>
          <w:tcPr>
            <w:tcW w:w="7937" w:type="dxa"/>
            <w:vAlign w:val="center"/>
          </w:tcPr>
          <w:p w14:paraId="19ECBEC4">
            <w:pPr>
              <w:pStyle w:val="85"/>
              <w:jc w:val="both"/>
              <w:rPr>
                <w:color w:val="auto"/>
                <w:sz w:val="22"/>
                <w:szCs w:val="22"/>
              </w:rPr>
            </w:pPr>
            <w:r>
              <w:rPr>
                <w:color w:val="auto"/>
                <w:sz w:val="22"/>
                <w:szCs w:val="22"/>
              </w:rPr>
              <w:t>Составление устного рассказа "Мой любимый детский писатель" на примере изученных произведений</w:t>
            </w:r>
          </w:p>
        </w:tc>
      </w:tr>
      <w:tr w14:paraId="321708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4898F381">
            <w:pPr>
              <w:pStyle w:val="85"/>
              <w:rPr>
                <w:color w:val="auto"/>
                <w:sz w:val="22"/>
                <w:szCs w:val="22"/>
              </w:rPr>
            </w:pPr>
            <w:r>
              <w:rPr>
                <w:color w:val="auto"/>
                <w:sz w:val="22"/>
                <w:szCs w:val="22"/>
              </w:rPr>
              <w:t>Урок 134</w:t>
            </w:r>
          </w:p>
        </w:tc>
        <w:tc>
          <w:tcPr>
            <w:tcW w:w="7937" w:type="dxa"/>
            <w:vAlign w:val="center"/>
          </w:tcPr>
          <w:p w14:paraId="41851B92">
            <w:pPr>
              <w:pStyle w:val="85"/>
              <w:jc w:val="both"/>
              <w:rPr>
                <w:color w:val="auto"/>
                <w:sz w:val="22"/>
                <w:szCs w:val="22"/>
              </w:rPr>
            </w:pPr>
            <w:r>
              <w:rPr>
                <w:color w:val="auto"/>
                <w:sz w:val="22"/>
                <w:szCs w:val="22"/>
              </w:rPr>
              <w:t>Резервный урок. Осознание важности читательской деятельности. Работа со стихотворением Б. Заходера "Что такое стихи"</w:t>
            </w:r>
          </w:p>
        </w:tc>
      </w:tr>
      <w:tr w14:paraId="45C0FC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7500F757">
            <w:pPr>
              <w:pStyle w:val="85"/>
              <w:rPr>
                <w:color w:val="auto"/>
                <w:sz w:val="22"/>
                <w:szCs w:val="22"/>
              </w:rPr>
            </w:pPr>
            <w:r>
              <w:rPr>
                <w:color w:val="auto"/>
                <w:sz w:val="22"/>
                <w:szCs w:val="22"/>
              </w:rPr>
              <w:t>Урок 135</w:t>
            </w:r>
          </w:p>
        </w:tc>
        <w:tc>
          <w:tcPr>
            <w:tcW w:w="7937" w:type="dxa"/>
            <w:vAlign w:val="center"/>
          </w:tcPr>
          <w:p w14:paraId="0E452CDC">
            <w:pPr>
              <w:pStyle w:val="85"/>
              <w:jc w:val="both"/>
              <w:rPr>
                <w:color w:val="auto"/>
                <w:sz w:val="22"/>
                <w:szCs w:val="22"/>
              </w:rPr>
            </w:pPr>
            <w:r>
              <w:rPr>
                <w:color w:val="auto"/>
                <w:sz w:val="22"/>
                <w:szCs w:val="22"/>
              </w:rPr>
              <w:t>Резервный урок. Повторение по итогам изученного в 3 классе</w:t>
            </w:r>
          </w:p>
        </w:tc>
      </w:tr>
      <w:tr w14:paraId="0FCC843E">
        <w:tblPrEx>
          <w:tblCellMar>
            <w:top w:w="102" w:type="dxa"/>
            <w:left w:w="62" w:type="dxa"/>
            <w:bottom w:w="102" w:type="dxa"/>
            <w:right w:w="62" w:type="dxa"/>
          </w:tblCellMar>
        </w:tblPrEx>
        <w:tc>
          <w:tcPr>
            <w:tcW w:w="1134" w:type="dxa"/>
            <w:vAlign w:val="center"/>
          </w:tcPr>
          <w:p w14:paraId="3633474B">
            <w:pPr>
              <w:pStyle w:val="85"/>
              <w:rPr>
                <w:color w:val="auto"/>
                <w:sz w:val="22"/>
                <w:szCs w:val="22"/>
              </w:rPr>
            </w:pPr>
            <w:r>
              <w:rPr>
                <w:color w:val="auto"/>
                <w:sz w:val="22"/>
                <w:szCs w:val="22"/>
              </w:rPr>
              <w:t>Урок 136</w:t>
            </w:r>
          </w:p>
        </w:tc>
        <w:tc>
          <w:tcPr>
            <w:tcW w:w="7937" w:type="dxa"/>
            <w:vAlign w:val="center"/>
          </w:tcPr>
          <w:p w14:paraId="797D7B93">
            <w:pPr>
              <w:pStyle w:val="85"/>
              <w:jc w:val="both"/>
              <w:rPr>
                <w:color w:val="auto"/>
                <w:sz w:val="22"/>
                <w:szCs w:val="22"/>
              </w:rPr>
            </w:pPr>
            <w:r>
              <w:rPr>
                <w:color w:val="auto"/>
                <w:sz w:val="22"/>
                <w:szCs w:val="22"/>
              </w:rPr>
              <w:t>Резервный урок. Летнее чтение. Выбор книг на основе рекомендательного списка и тематического каталога</w:t>
            </w:r>
          </w:p>
        </w:tc>
      </w:tr>
      <w:tr w14:paraId="7A6AB1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9071" w:type="dxa"/>
            <w:gridSpan w:val="2"/>
            <w:vAlign w:val="center"/>
          </w:tcPr>
          <w:p w14:paraId="287F7F1F">
            <w:pPr>
              <w:pStyle w:val="85"/>
              <w:jc w:val="both"/>
              <w:rPr>
                <w:color w:val="auto"/>
                <w:sz w:val="22"/>
                <w:szCs w:val="22"/>
              </w:rPr>
            </w:pPr>
            <w:r>
              <w:rPr>
                <w:color w:val="auto"/>
                <w:sz w:val="22"/>
                <w:szCs w:val="22"/>
              </w:rPr>
              <w:t>ОБЩЕЕ КОЛИЧЕСТВО УРОКОВ ПО ПРОГРАММЕ: 136, из них уроков, отведенных на контрольные работы, - не более 13</w:t>
            </w:r>
          </w:p>
        </w:tc>
      </w:tr>
    </w:tbl>
    <w:p w14:paraId="43003B81">
      <w:pPr>
        <w:pStyle w:val="85"/>
        <w:jc w:val="both"/>
        <w:rPr>
          <w:color w:val="auto"/>
          <w:sz w:val="22"/>
          <w:szCs w:val="22"/>
        </w:rPr>
      </w:pPr>
    </w:p>
    <w:p w14:paraId="4469AA6D">
      <w:pPr>
        <w:pStyle w:val="85"/>
        <w:jc w:val="right"/>
        <w:rPr>
          <w:color w:val="auto"/>
          <w:sz w:val="22"/>
          <w:szCs w:val="22"/>
        </w:rPr>
      </w:pPr>
      <w:r>
        <w:rPr>
          <w:color w:val="auto"/>
          <w:sz w:val="22"/>
          <w:szCs w:val="22"/>
        </w:rPr>
        <w:t>Таблица 4.3</w:t>
      </w:r>
    </w:p>
    <w:p w14:paraId="4E1FAF43">
      <w:pPr>
        <w:pStyle w:val="85"/>
        <w:jc w:val="both"/>
        <w:rPr>
          <w:color w:val="auto"/>
          <w:sz w:val="22"/>
          <w:szCs w:val="22"/>
        </w:rPr>
      </w:pPr>
    </w:p>
    <w:p w14:paraId="76E48FB9">
      <w:pPr>
        <w:pStyle w:val="85"/>
        <w:jc w:val="both"/>
        <w:rPr>
          <w:color w:val="auto"/>
          <w:sz w:val="22"/>
          <w:szCs w:val="22"/>
        </w:rPr>
      </w:pPr>
      <w:r>
        <w:rPr>
          <w:color w:val="auto"/>
          <w:sz w:val="22"/>
          <w:szCs w:val="22"/>
        </w:rPr>
        <w:t>4 класс</w:t>
      </w:r>
    </w:p>
    <w:p w14:paraId="7704D0EE">
      <w:pPr>
        <w:pStyle w:val="85"/>
        <w:jc w:val="both"/>
        <w:rPr>
          <w:color w:val="auto"/>
          <w:sz w:val="22"/>
          <w:szCs w:val="22"/>
        </w:rPr>
      </w:pPr>
    </w:p>
    <w:tbl>
      <w:tblPr>
        <w:tblStyle w:val="1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02" w:type="dxa"/>
          <w:left w:w="62" w:type="dxa"/>
          <w:bottom w:w="102" w:type="dxa"/>
          <w:right w:w="62" w:type="dxa"/>
        </w:tblCellMar>
      </w:tblPr>
      <w:tblGrid>
        <w:gridCol w:w="1134"/>
        <w:gridCol w:w="7937"/>
      </w:tblGrid>
      <w:tr w14:paraId="0EFC75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tcPr>
          <w:p w14:paraId="19552257">
            <w:pPr>
              <w:pStyle w:val="85"/>
              <w:jc w:val="center"/>
              <w:rPr>
                <w:color w:val="auto"/>
                <w:sz w:val="22"/>
                <w:szCs w:val="22"/>
              </w:rPr>
            </w:pPr>
            <w:r>
              <w:rPr>
                <w:color w:val="auto"/>
                <w:sz w:val="22"/>
                <w:szCs w:val="22"/>
              </w:rPr>
              <w:t>N урока</w:t>
            </w:r>
          </w:p>
        </w:tc>
        <w:tc>
          <w:tcPr>
            <w:tcW w:w="7937" w:type="dxa"/>
          </w:tcPr>
          <w:p w14:paraId="52BB6BD4">
            <w:pPr>
              <w:pStyle w:val="85"/>
              <w:jc w:val="center"/>
              <w:rPr>
                <w:color w:val="auto"/>
                <w:sz w:val="22"/>
                <w:szCs w:val="22"/>
              </w:rPr>
            </w:pPr>
            <w:r>
              <w:rPr>
                <w:color w:val="auto"/>
                <w:sz w:val="22"/>
                <w:szCs w:val="22"/>
              </w:rPr>
              <w:t>Тема урока</w:t>
            </w:r>
          </w:p>
        </w:tc>
      </w:tr>
      <w:tr w14:paraId="39956F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7B3ED6F6">
            <w:pPr>
              <w:pStyle w:val="85"/>
              <w:jc w:val="center"/>
              <w:rPr>
                <w:color w:val="auto"/>
                <w:sz w:val="22"/>
                <w:szCs w:val="22"/>
              </w:rPr>
            </w:pPr>
            <w:r>
              <w:rPr>
                <w:color w:val="auto"/>
                <w:sz w:val="22"/>
                <w:szCs w:val="22"/>
              </w:rPr>
              <w:t>Урок 1</w:t>
            </w:r>
          </w:p>
        </w:tc>
        <w:tc>
          <w:tcPr>
            <w:tcW w:w="7937" w:type="dxa"/>
            <w:vAlign w:val="center"/>
          </w:tcPr>
          <w:p w14:paraId="731DD830">
            <w:pPr>
              <w:pStyle w:val="85"/>
              <w:jc w:val="both"/>
              <w:rPr>
                <w:color w:val="auto"/>
                <w:sz w:val="22"/>
                <w:szCs w:val="22"/>
              </w:rPr>
            </w:pPr>
            <w:r>
              <w:rPr>
                <w:color w:val="auto"/>
                <w:sz w:val="22"/>
                <w:szCs w:val="22"/>
              </w:rPr>
              <w:t>Разнообразие малых жанров фольклора (назначение, сравнение, классификация)</w:t>
            </w:r>
          </w:p>
        </w:tc>
      </w:tr>
      <w:tr w14:paraId="2AED07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76051987">
            <w:pPr>
              <w:pStyle w:val="85"/>
              <w:jc w:val="center"/>
              <w:rPr>
                <w:color w:val="auto"/>
                <w:sz w:val="22"/>
                <w:szCs w:val="22"/>
              </w:rPr>
            </w:pPr>
            <w:r>
              <w:rPr>
                <w:color w:val="auto"/>
                <w:sz w:val="22"/>
                <w:szCs w:val="22"/>
              </w:rPr>
              <w:t>Урок 2</w:t>
            </w:r>
          </w:p>
        </w:tc>
        <w:tc>
          <w:tcPr>
            <w:tcW w:w="7937" w:type="dxa"/>
            <w:vAlign w:val="center"/>
          </w:tcPr>
          <w:p w14:paraId="76AECBDD">
            <w:pPr>
              <w:pStyle w:val="85"/>
              <w:jc w:val="both"/>
              <w:rPr>
                <w:color w:val="auto"/>
                <w:sz w:val="22"/>
                <w:szCs w:val="22"/>
              </w:rPr>
            </w:pPr>
            <w:r>
              <w:rPr>
                <w:color w:val="auto"/>
                <w:sz w:val="22"/>
                <w:szCs w:val="22"/>
              </w:rPr>
              <w:t>Проявление народной культуры в разнообразных видах фольклора: словесном, музыкальном, обрядовом (календарном)</w:t>
            </w:r>
          </w:p>
        </w:tc>
      </w:tr>
      <w:tr w14:paraId="557EB3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25C3D2F9">
            <w:pPr>
              <w:pStyle w:val="85"/>
              <w:jc w:val="center"/>
              <w:rPr>
                <w:color w:val="auto"/>
                <w:sz w:val="22"/>
                <w:szCs w:val="22"/>
              </w:rPr>
            </w:pPr>
            <w:r>
              <w:rPr>
                <w:color w:val="auto"/>
                <w:sz w:val="22"/>
                <w:szCs w:val="22"/>
              </w:rPr>
              <w:t>Урок 3</w:t>
            </w:r>
          </w:p>
        </w:tc>
        <w:tc>
          <w:tcPr>
            <w:tcW w:w="7937" w:type="dxa"/>
            <w:vAlign w:val="center"/>
          </w:tcPr>
          <w:p w14:paraId="4ABC61DA">
            <w:pPr>
              <w:pStyle w:val="85"/>
              <w:jc w:val="both"/>
              <w:rPr>
                <w:color w:val="auto"/>
                <w:sz w:val="22"/>
                <w:szCs w:val="22"/>
              </w:rPr>
            </w:pPr>
            <w:r>
              <w:rPr>
                <w:color w:val="auto"/>
                <w:sz w:val="22"/>
                <w:szCs w:val="22"/>
              </w:rPr>
              <w:t>Образы русских богатырей: где жил, чем занимался, какими качествами обладал. На примере былины "Ильины три поездочки"</w:t>
            </w:r>
          </w:p>
        </w:tc>
      </w:tr>
      <w:tr w14:paraId="7A6DC6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1F1E8D31">
            <w:pPr>
              <w:pStyle w:val="85"/>
              <w:jc w:val="center"/>
              <w:rPr>
                <w:color w:val="auto"/>
                <w:sz w:val="22"/>
                <w:szCs w:val="22"/>
              </w:rPr>
            </w:pPr>
            <w:r>
              <w:rPr>
                <w:color w:val="auto"/>
                <w:sz w:val="22"/>
                <w:szCs w:val="22"/>
              </w:rPr>
              <w:t>Урок 4</w:t>
            </w:r>
          </w:p>
        </w:tc>
        <w:tc>
          <w:tcPr>
            <w:tcW w:w="7937" w:type="dxa"/>
            <w:vAlign w:val="center"/>
          </w:tcPr>
          <w:p w14:paraId="53FC9041">
            <w:pPr>
              <w:pStyle w:val="85"/>
              <w:jc w:val="both"/>
              <w:rPr>
                <w:color w:val="auto"/>
                <w:sz w:val="22"/>
                <w:szCs w:val="22"/>
              </w:rPr>
            </w:pPr>
            <w:r>
              <w:rPr>
                <w:color w:val="auto"/>
                <w:sz w:val="22"/>
                <w:szCs w:val="22"/>
              </w:rPr>
              <w:t>Герой былины - защитник страны. На примере былины "Ильины три поездочки"</w:t>
            </w:r>
          </w:p>
        </w:tc>
      </w:tr>
      <w:tr w14:paraId="152FC4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78307EC8">
            <w:pPr>
              <w:pStyle w:val="85"/>
              <w:jc w:val="center"/>
              <w:rPr>
                <w:color w:val="auto"/>
                <w:sz w:val="22"/>
                <w:szCs w:val="22"/>
              </w:rPr>
            </w:pPr>
            <w:r>
              <w:rPr>
                <w:color w:val="auto"/>
                <w:sz w:val="22"/>
                <w:szCs w:val="22"/>
              </w:rPr>
              <w:t>Урок 5</w:t>
            </w:r>
          </w:p>
        </w:tc>
        <w:tc>
          <w:tcPr>
            <w:tcW w:w="7937" w:type="dxa"/>
            <w:vAlign w:val="center"/>
          </w:tcPr>
          <w:p w14:paraId="3256B4CD">
            <w:pPr>
              <w:pStyle w:val="85"/>
              <w:jc w:val="both"/>
              <w:rPr>
                <w:color w:val="auto"/>
                <w:sz w:val="22"/>
                <w:szCs w:val="22"/>
              </w:rPr>
            </w:pPr>
            <w:r>
              <w:rPr>
                <w:color w:val="auto"/>
                <w:sz w:val="22"/>
                <w:szCs w:val="22"/>
              </w:rPr>
              <w:t>Резервный урок. Средства художественной выразительности в былине: устойчивые выражения, повторы, гипербола, устаревшие слова</w:t>
            </w:r>
          </w:p>
        </w:tc>
      </w:tr>
      <w:tr w14:paraId="01FAE2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4CB07D08">
            <w:pPr>
              <w:pStyle w:val="85"/>
              <w:jc w:val="center"/>
              <w:rPr>
                <w:color w:val="auto"/>
                <w:sz w:val="22"/>
                <w:szCs w:val="22"/>
              </w:rPr>
            </w:pPr>
            <w:r>
              <w:rPr>
                <w:color w:val="auto"/>
                <w:sz w:val="22"/>
                <w:szCs w:val="22"/>
              </w:rPr>
              <w:t>Урок 6</w:t>
            </w:r>
          </w:p>
        </w:tc>
        <w:tc>
          <w:tcPr>
            <w:tcW w:w="7937" w:type="dxa"/>
            <w:vAlign w:val="center"/>
          </w:tcPr>
          <w:p w14:paraId="56884424">
            <w:pPr>
              <w:pStyle w:val="85"/>
              <w:jc w:val="both"/>
              <w:rPr>
                <w:color w:val="auto"/>
                <w:sz w:val="22"/>
                <w:szCs w:val="22"/>
              </w:rPr>
            </w:pPr>
            <w:r>
              <w:rPr>
                <w:color w:val="auto"/>
                <w:sz w:val="22"/>
                <w:szCs w:val="22"/>
              </w:rPr>
              <w:t>Отражение народной былинной темы в творчестве художника В.М. Васнецова</w:t>
            </w:r>
          </w:p>
        </w:tc>
      </w:tr>
      <w:tr w14:paraId="5D1BC8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44877814">
            <w:pPr>
              <w:pStyle w:val="85"/>
              <w:jc w:val="center"/>
              <w:rPr>
                <w:color w:val="auto"/>
                <w:sz w:val="22"/>
                <w:szCs w:val="22"/>
              </w:rPr>
            </w:pPr>
            <w:r>
              <w:rPr>
                <w:color w:val="auto"/>
                <w:sz w:val="22"/>
                <w:szCs w:val="22"/>
              </w:rPr>
              <w:t>Урок 7</w:t>
            </w:r>
          </w:p>
        </w:tc>
        <w:tc>
          <w:tcPr>
            <w:tcW w:w="7937" w:type="dxa"/>
            <w:vAlign w:val="center"/>
          </w:tcPr>
          <w:p w14:paraId="4E3BC272">
            <w:pPr>
              <w:pStyle w:val="85"/>
              <w:jc w:val="both"/>
              <w:rPr>
                <w:color w:val="auto"/>
                <w:sz w:val="22"/>
                <w:szCs w:val="22"/>
              </w:rPr>
            </w:pPr>
            <w:r>
              <w:rPr>
                <w:color w:val="auto"/>
                <w:sz w:val="22"/>
                <w:szCs w:val="22"/>
              </w:rPr>
              <w:t>Резервный урок. Летопись "И повесил Олег щит свой на вратах Царьграда". Знакомство с произведением А.С. Пушкина "Песнь о вещем Олеге"</w:t>
            </w:r>
          </w:p>
        </w:tc>
      </w:tr>
      <w:tr w14:paraId="651424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0A66B234">
            <w:pPr>
              <w:pStyle w:val="85"/>
              <w:jc w:val="center"/>
              <w:rPr>
                <w:color w:val="auto"/>
                <w:sz w:val="22"/>
                <w:szCs w:val="22"/>
              </w:rPr>
            </w:pPr>
            <w:r>
              <w:rPr>
                <w:color w:val="auto"/>
                <w:sz w:val="22"/>
                <w:szCs w:val="22"/>
              </w:rPr>
              <w:t>Урок 8</w:t>
            </w:r>
          </w:p>
        </w:tc>
        <w:tc>
          <w:tcPr>
            <w:tcW w:w="7937" w:type="dxa"/>
            <w:vAlign w:val="center"/>
          </w:tcPr>
          <w:p w14:paraId="0E80E60B">
            <w:pPr>
              <w:pStyle w:val="85"/>
              <w:jc w:val="both"/>
              <w:rPr>
                <w:color w:val="auto"/>
                <w:sz w:val="22"/>
                <w:szCs w:val="22"/>
              </w:rPr>
            </w:pPr>
            <w:r>
              <w:rPr>
                <w:color w:val="auto"/>
                <w:sz w:val="22"/>
                <w:szCs w:val="22"/>
              </w:rPr>
              <w:t>Путешествие героя как основа композиции волшебной сказки. На примере русской народной сказки "Волшебное кольцо"</w:t>
            </w:r>
          </w:p>
        </w:tc>
      </w:tr>
      <w:tr w14:paraId="1C2F3B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2683CE0B">
            <w:pPr>
              <w:pStyle w:val="85"/>
              <w:jc w:val="center"/>
              <w:rPr>
                <w:color w:val="auto"/>
                <w:sz w:val="22"/>
                <w:szCs w:val="22"/>
              </w:rPr>
            </w:pPr>
            <w:r>
              <w:rPr>
                <w:color w:val="auto"/>
                <w:sz w:val="22"/>
                <w:szCs w:val="22"/>
              </w:rPr>
              <w:t>Урок 9</w:t>
            </w:r>
          </w:p>
        </w:tc>
        <w:tc>
          <w:tcPr>
            <w:tcW w:w="7937" w:type="dxa"/>
            <w:vAlign w:val="center"/>
          </w:tcPr>
          <w:p w14:paraId="22AC3ACB">
            <w:pPr>
              <w:pStyle w:val="85"/>
              <w:jc w:val="both"/>
              <w:rPr>
                <w:color w:val="auto"/>
                <w:sz w:val="22"/>
                <w:szCs w:val="22"/>
              </w:rPr>
            </w:pPr>
            <w:r>
              <w:rPr>
                <w:color w:val="auto"/>
                <w:sz w:val="22"/>
                <w:szCs w:val="22"/>
              </w:rPr>
              <w:t>Образ Александра Невского в произведении С.Т. Романовского "Ледовое побоище". Страницы истории России, великие люди и события. На примере Жития Сергия Радонежского</w:t>
            </w:r>
          </w:p>
        </w:tc>
      </w:tr>
      <w:tr w14:paraId="071B1C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763BC085">
            <w:pPr>
              <w:pStyle w:val="85"/>
              <w:rPr>
                <w:color w:val="auto"/>
                <w:sz w:val="22"/>
                <w:szCs w:val="22"/>
              </w:rPr>
            </w:pPr>
            <w:r>
              <w:rPr>
                <w:color w:val="auto"/>
                <w:sz w:val="22"/>
                <w:szCs w:val="22"/>
              </w:rPr>
              <w:t>Урок 10</w:t>
            </w:r>
          </w:p>
        </w:tc>
        <w:tc>
          <w:tcPr>
            <w:tcW w:w="7937" w:type="dxa"/>
            <w:vAlign w:val="center"/>
          </w:tcPr>
          <w:p w14:paraId="5FD9E791">
            <w:pPr>
              <w:pStyle w:val="85"/>
              <w:jc w:val="both"/>
              <w:rPr>
                <w:color w:val="auto"/>
                <w:sz w:val="22"/>
                <w:szCs w:val="22"/>
              </w:rPr>
            </w:pPr>
            <w:r>
              <w:rPr>
                <w:color w:val="auto"/>
                <w:sz w:val="22"/>
                <w:szCs w:val="22"/>
              </w:rPr>
              <w:t>Представление в сказке народного быта и культуры: сказки о животных, бытовые, волшебные</w:t>
            </w:r>
          </w:p>
        </w:tc>
      </w:tr>
      <w:tr w14:paraId="0AA042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44D0EB3F">
            <w:pPr>
              <w:pStyle w:val="85"/>
              <w:rPr>
                <w:color w:val="auto"/>
                <w:sz w:val="22"/>
                <w:szCs w:val="22"/>
              </w:rPr>
            </w:pPr>
            <w:r>
              <w:rPr>
                <w:color w:val="auto"/>
                <w:sz w:val="22"/>
                <w:szCs w:val="22"/>
              </w:rPr>
              <w:t>Урок 11</w:t>
            </w:r>
          </w:p>
        </w:tc>
        <w:tc>
          <w:tcPr>
            <w:tcW w:w="7937" w:type="dxa"/>
            <w:vAlign w:val="center"/>
          </w:tcPr>
          <w:p w14:paraId="6B726D57">
            <w:pPr>
              <w:pStyle w:val="85"/>
              <w:jc w:val="both"/>
              <w:rPr>
                <w:color w:val="auto"/>
                <w:sz w:val="22"/>
                <w:szCs w:val="22"/>
              </w:rPr>
            </w:pPr>
            <w:r>
              <w:rPr>
                <w:color w:val="auto"/>
                <w:sz w:val="22"/>
                <w:szCs w:val="22"/>
              </w:rPr>
              <w:t>Характеристика героев волшебной сказки: чем занимались, какими качествами обладают. На примере русской народной сказки "Волшебное кольцо"</w:t>
            </w:r>
          </w:p>
        </w:tc>
      </w:tr>
      <w:tr w14:paraId="43D871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5CFADFB2">
            <w:pPr>
              <w:pStyle w:val="85"/>
              <w:rPr>
                <w:color w:val="auto"/>
                <w:sz w:val="22"/>
                <w:szCs w:val="22"/>
              </w:rPr>
            </w:pPr>
            <w:r>
              <w:rPr>
                <w:color w:val="auto"/>
                <w:sz w:val="22"/>
                <w:szCs w:val="22"/>
              </w:rPr>
              <w:t>Урок 12</w:t>
            </w:r>
          </w:p>
        </w:tc>
        <w:tc>
          <w:tcPr>
            <w:tcW w:w="7937" w:type="dxa"/>
            <w:vAlign w:val="center"/>
          </w:tcPr>
          <w:p w14:paraId="3039774D">
            <w:pPr>
              <w:pStyle w:val="85"/>
              <w:jc w:val="both"/>
              <w:rPr>
                <w:color w:val="auto"/>
                <w:sz w:val="22"/>
                <w:szCs w:val="22"/>
              </w:rPr>
            </w:pPr>
            <w:r>
              <w:rPr>
                <w:color w:val="auto"/>
                <w:sz w:val="22"/>
                <w:szCs w:val="22"/>
              </w:rPr>
              <w:t>Сравнение фольклорных произведений разных народов: тема, герои, сюжет. Представление в сказке нравственных ценностей, быта и культуры народов мира</w:t>
            </w:r>
          </w:p>
        </w:tc>
      </w:tr>
      <w:tr w14:paraId="249D1D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4A06BD28">
            <w:pPr>
              <w:pStyle w:val="85"/>
              <w:rPr>
                <w:color w:val="auto"/>
                <w:sz w:val="22"/>
                <w:szCs w:val="22"/>
              </w:rPr>
            </w:pPr>
            <w:r>
              <w:rPr>
                <w:color w:val="auto"/>
                <w:sz w:val="22"/>
                <w:szCs w:val="22"/>
              </w:rPr>
              <w:t>Урок 13</w:t>
            </w:r>
          </w:p>
        </w:tc>
        <w:tc>
          <w:tcPr>
            <w:tcW w:w="7937" w:type="dxa"/>
            <w:vAlign w:val="center"/>
          </w:tcPr>
          <w:p w14:paraId="52F43B94">
            <w:pPr>
              <w:pStyle w:val="85"/>
              <w:jc w:val="both"/>
              <w:rPr>
                <w:color w:val="auto"/>
                <w:sz w:val="22"/>
                <w:szCs w:val="22"/>
              </w:rPr>
            </w:pPr>
            <w:r>
              <w:rPr>
                <w:color w:val="auto"/>
                <w:sz w:val="22"/>
                <w:szCs w:val="22"/>
              </w:rPr>
              <w:t>Отражение нравственных ценностей на примере фольклорных сказок народов России и мира</w:t>
            </w:r>
          </w:p>
        </w:tc>
      </w:tr>
      <w:tr w14:paraId="66CCF7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1CB320FB">
            <w:pPr>
              <w:pStyle w:val="85"/>
              <w:rPr>
                <w:color w:val="auto"/>
                <w:sz w:val="22"/>
                <w:szCs w:val="22"/>
              </w:rPr>
            </w:pPr>
            <w:r>
              <w:rPr>
                <w:color w:val="auto"/>
                <w:sz w:val="22"/>
                <w:szCs w:val="22"/>
              </w:rPr>
              <w:t>Урок 14</w:t>
            </w:r>
          </w:p>
        </w:tc>
        <w:tc>
          <w:tcPr>
            <w:tcW w:w="7937" w:type="dxa"/>
            <w:vAlign w:val="center"/>
          </w:tcPr>
          <w:p w14:paraId="5321A907">
            <w:pPr>
              <w:pStyle w:val="85"/>
              <w:jc w:val="both"/>
              <w:rPr>
                <w:color w:val="auto"/>
                <w:sz w:val="22"/>
                <w:szCs w:val="22"/>
              </w:rPr>
            </w:pPr>
            <w:r>
              <w:rPr>
                <w:color w:val="auto"/>
                <w:sz w:val="22"/>
                <w:szCs w:val="22"/>
              </w:rPr>
              <w:t>Тематическое повторение по итогам раздела "Фольклор - народная мудрость"</w:t>
            </w:r>
          </w:p>
        </w:tc>
      </w:tr>
      <w:tr w14:paraId="69EEA5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361FC36D">
            <w:pPr>
              <w:pStyle w:val="85"/>
              <w:rPr>
                <w:color w:val="auto"/>
                <w:sz w:val="22"/>
                <w:szCs w:val="22"/>
              </w:rPr>
            </w:pPr>
            <w:r>
              <w:rPr>
                <w:color w:val="auto"/>
                <w:sz w:val="22"/>
                <w:szCs w:val="22"/>
              </w:rPr>
              <w:t>Урок 15</w:t>
            </w:r>
          </w:p>
        </w:tc>
        <w:tc>
          <w:tcPr>
            <w:tcW w:w="7937" w:type="dxa"/>
            <w:vAlign w:val="center"/>
          </w:tcPr>
          <w:p w14:paraId="5D1D5580">
            <w:pPr>
              <w:pStyle w:val="85"/>
              <w:jc w:val="both"/>
              <w:rPr>
                <w:color w:val="auto"/>
                <w:sz w:val="22"/>
                <w:szCs w:val="22"/>
              </w:rPr>
            </w:pPr>
            <w:r>
              <w:rPr>
                <w:color w:val="auto"/>
                <w:sz w:val="22"/>
                <w:szCs w:val="22"/>
              </w:rPr>
              <w:t>Резервный урок. Работа с детскими книгами на тему: "Фольклор (устное народное творчество)": собиратели фольклора (А.Н. Афанасьев, В.И. Даль)</w:t>
            </w:r>
          </w:p>
        </w:tc>
      </w:tr>
      <w:tr w14:paraId="1F861D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792A378D">
            <w:pPr>
              <w:pStyle w:val="85"/>
              <w:rPr>
                <w:color w:val="auto"/>
                <w:sz w:val="22"/>
                <w:szCs w:val="22"/>
              </w:rPr>
            </w:pPr>
            <w:r>
              <w:rPr>
                <w:color w:val="auto"/>
                <w:sz w:val="22"/>
                <w:szCs w:val="22"/>
              </w:rPr>
              <w:t>Урок 16</w:t>
            </w:r>
          </w:p>
        </w:tc>
        <w:tc>
          <w:tcPr>
            <w:tcW w:w="7937" w:type="dxa"/>
            <w:vAlign w:val="center"/>
          </w:tcPr>
          <w:p w14:paraId="67212A48">
            <w:pPr>
              <w:pStyle w:val="85"/>
              <w:jc w:val="both"/>
              <w:rPr>
                <w:color w:val="auto"/>
                <w:sz w:val="22"/>
                <w:szCs w:val="22"/>
              </w:rPr>
            </w:pPr>
            <w:r>
              <w:rPr>
                <w:color w:val="auto"/>
                <w:sz w:val="22"/>
                <w:szCs w:val="22"/>
              </w:rPr>
              <w:t>Составление устного рассказа "Мое любимое произведение А.С. Пушкина"</w:t>
            </w:r>
          </w:p>
        </w:tc>
      </w:tr>
      <w:tr w14:paraId="30F5BA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60D9B2AE">
            <w:pPr>
              <w:pStyle w:val="85"/>
              <w:rPr>
                <w:color w:val="auto"/>
                <w:sz w:val="22"/>
                <w:szCs w:val="22"/>
              </w:rPr>
            </w:pPr>
            <w:r>
              <w:rPr>
                <w:color w:val="auto"/>
                <w:sz w:val="22"/>
                <w:szCs w:val="22"/>
              </w:rPr>
              <w:t>Урок 17</w:t>
            </w:r>
          </w:p>
        </w:tc>
        <w:tc>
          <w:tcPr>
            <w:tcW w:w="7937" w:type="dxa"/>
            <w:vAlign w:val="center"/>
          </w:tcPr>
          <w:p w14:paraId="22AABF96">
            <w:pPr>
              <w:pStyle w:val="85"/>
              <w:jc w:val="both"/>
              <w:rPr>
                <w:color w:val="auto"/>
                <w:sz w:val="22"/>
                <w:szCs w:val="22"/>
              </w:rPr>
            </w:pPr>
            <w:r>
              <w:rPr>
                <w:color w:val="auto"/>
                <w:sz w:val="22"/>
                <w:szCs w:val="22"/>
              </w:rPr>
              <w:t>Составление выставки "Произведения А.С. Пушкина". Написание аннотации к книгам на выставке</w:t>
            </w:r>
          </w:p>
        </w:tc>
      </w:tr>
      <w:tr w14:paraId="0EF0C1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6E8F7DDF">
            <w:pPr>
              <w:pStyle w:val="85"/>
              <w:rPr>
                <w:color w:val="auto"/>
                <w:sz w:val="22"/>
                <w:szCs w:val="22"/>
              </w:rPr>
            </w:pPr>
            <w:r>
              <w:rPr>
                <w:color w:val="auto"/>
                <w:sz w:val="22"/>
                <w:szCs w:val="22"/>
              </w:rPr>
              <w:t>Урок 18</w:t>
            </w:r>
          </w:p>
        </w:tc>
        <w:tc>
          <w:tcPr>
            <w:tcW w:w="7937" w:type="dxa"/>
            <w:vAlign w:val="center"/>
          </w:tcPr>
          <w:p w14:paraId="2AFC7A8F">
            <w:pPr>
              <w:pStyle w:val="85"/>
              <w:jc w:val="both"/>
              <w:rPr>
                <w:color w:val="auto"/>
                <w:sz w:val="22"/>
                <w:szCs w:val="22"/>
              </w:rPr>
            </w:pPr>
            <w:r>
              <w:rPr>
                <w:color w:val="auto"/>
                <w:sz w:val="22"/>
                <w:szCs w:val="22"/>
              </w:rPr>
              <w:t>Оценка настроения и чувств, вызываемых лирическим произведением А.С. Пушкина. На примере стихотворения "Няне"</w:t>
            </w:r>
          </w:p>
        </w:tc>
      </w:tr>
      <w:tr w14:paraId="7B5345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64FAFA7D">
            <w:pPr>
              <w:pStyle w:val="85"/>
              <w:rPr>
                <w:color w:val="auto"/>
                <w:sz w:val="22"/>
                <w:szCs w:val="22"/>
              </w:rPr>
            </w:pPr>
            <w:r>
              <w:rPr>
                <w:color w:val="auto"/>
                <w:sz w:val="22"/>
                <w:szCs w:val="22"/>
              </w:rPr>
              <w:t>Урок 19</w:t>
            </w:r>
          </w:p>
        </w:tc>
        <w:tc>
          <w:tcPr>
            <w:tcW w:w="7937" w:type="dxa"/>
            <w:vAlign w:val="center"/>
          </w:tcPr>
          <w:p w14:paraId="11CA9D16">
            <w:pPr>
              <w:pStyle w:val="85"/>
              <w:jc w:val="both"/>
              <w:rPr>
                <w:color w:val="auto"/>
                <w:sz w:val="22"/>
                <w:szCs w:val="22"/>
              </w:rPr>
            </w:pPr>
            <w:r>
              <w:rPr>
                <w:color w:val="auto"/>
                <w:sz w:val="22"/>
                <w:szCs w:val="22"/>
              </w:rPr>
              <w:t>Картины осени в лирических произведениях А.С. Пушкина: сравнения, эпитет, олицетворения</w:t>
            </w:r>
          </w:p>
        </w:tc>
      </w:tr>
      <w:tr w14:paraId="57FD95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063B41D6">
            <w:pPr>
              <w:pStyle w:val="85"/>
              <w:rPr>
                <w:color w:val="auto"/>
                <w:sz w:val="22"/>
                <w:szCs w:val="22"/>
              </w:rPr>
            </w:pPr>
            <w:r>
              <w:rPr>
                <w:color w:val="auto"/>
                <w:sz w:val="22"/>
                <w:szCs w:val="22"/>
              </w:rPr>
              <w:t>Урок 20</w:t>
            </w:r>
          </w:p>
        </w:tc>
        <w:tc>
          <w:tcPr>
            <w:tcW w:w="7937" w:type="dxa"/>
            <w:vAlign w:val="center"/>
          </w:tcPr>
          <w:p w14:paraId="01437064">
            <w:pPr>
              <w:pStyle w:val="85"/>
              <w:jc w:val="both"/>
              <w:rPr>
                <w:color w:val="auto"/>
                <w:sz w:val="22"/>
                <w:szCs w:val="22"/>
              </w:rPr>
            </w:pPr>
            <w:r>
              <w:rPr>
                <w:color w:val="auto"/>
                <w:sz w:val="22"/>
                <w:szCs w:val="22"/>
              </w:rPr>
              <w:t>Восприятие пейзажной лирики А.С. Пушкина: средства художественной выразительности в стихотворении "Зимняя дорога" и других его произведениях</w:t>
            </w:r>
          </w:p>
        </w:tc>
      </w:tr>
      <w:tr w14:paraId="59A3EB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03C51B21">
            <w:pPr>
              <w:pStyle w:val="85"/>
              <w:rPr>
                <w:color w:val="auto"/>
                <w:sz w:val="22"/>
                <w:szCs w:val="22"/>
              </w:rPr>
            </w:pPr>
            <w:r>
              <w:rPr>
                <w:color w:val="auto"/>
                <w:sz w:val="22"/>
                <w:szCs w:val="22"/>
              </w:rPr>
              <w:t>Урок 21</w:t>
            </w:r>
          </w:p>
        </w:tc>
        <w:tc>
          <w:tcPr>
            <w:tcW w:w="7937" w:type="dxa"/>
            <w:vAlign w:val="center"/>
          </w:tcPr>
          <w:p w14:paraId="377664D9">
            <w:pPr>
              <w:pStyle w:val="85"/>
              <w:jc w:val="both"/>
              <w:rPr>
                <w:color w:val="auto"/>
                <w:sz w:val="22"/>
                <w:szCs w:val="22"/>
              </w:rPr>
            </w:pPr>
            <w:r>
              <w:rPr>
                <w:color w:val="auto"/>
                <w:sz w:val="22"/>
                <w:szCs w:val="22"/>
              </w:rPr>
              <w:t>Сравнение стихотворения А.С. Пушкина с репродукцией картины. На примере стихотворения "Туча" и репродукции картины И.И. Левитана "Вечерний звон"</w:t>
            </w:r>
          </w:p>
        </w:tc>
      </w:tr>
      <w:tr w14:paraId="20C855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0A1A36F8">
            <w:pPr>
              <w:pStyle w:val="85"/>
              <w:rPr>
                <w:color w:val="auto"/>
                <w:sz w:val="22"/>
                <w:szCs w:val="22"/>
              </w:rPr>
            </w:pPr>
            <w:r>
              <w:rPr>
                <w:color w:val="auto"/>
                <w:sz w:val="22"/>
                <w:szCs w:val="22"/>
              </w:rPr>
              <w:t>Урок 22</w:t>
            </w:r>
          </w:p>
        </w:tc>
        <w:tc>
          <w:tcPr>
            <w:tcW w:w="7937" w:type="dxa"/>
            <w:vAlign w:val="center"/>
          </w:tcPr>
          <w:p w14:paraId="7834B0B2">
            <w:pPr>
              <w:pStyle w:val="85"/>
              <w:jc w:val="both"/>
              <w:rPr>
                <w:color w:val="auto"/>
                <w:sz w:val="22"/>
                <w:szCs w:val="22"/>
              </w:rPr>
            </w:pPr>
            <w:r>
              <w:rPr>
                <w:color w:val="auto"/>
                <w:sz w:val="22"/>
                <w:szCs w:val="22"/>
              </w:rPr>
              <w:t>Знакомство с литературной сказкой А.С. Пушкина "Сказка о мертвой царевне и о семи богатырях": сюжет произведения</w:t>
            </w:r>
          </w:p>
        </w:tc>
      </w:tr>
      <w:tr w14:paraId="1B41CE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49194EAE">
            <w:pPr>
              <w:pStyle w:val="85"/>
              <w:rPr>
                <w:color w:val="auto"/>
                <w:sz w:val="22"/>
                <w:szCs w:val="22"/>
              </w:rPr>
            </w:pPr>
            <w:r>
              <w:rPr>
                <w:color w:val="auto"/>
                <w:sz w:val="22"/>
                <w:szCs w:val="22"/>
              </w:rPr>
              <w:t>Урок 23</w:t>
            </w:r>
          </w:p>
        </w:tc>
        <w:tc>
          <w:tcPr>
            <w:tcW w:w="7937" w:type="dxa"/>
            <w:vAlign w:val="center"/>
          </w:tcPr>
          <w:p w14:paraId="3126196E">
            <w:pPr>
              <w:pStyle w:val="85"/>
              <w:jc w:val="both"/>
              <w:rPr>
                <w:color w:val="auto"/>
                <w:sz w:val="22"/>
                <w:szCs w:val="22"/>
              </w:rPr>
            </w:pPr>
            <w:r>
              <w:rPr>
                <w:color w:val="auto"/>
                <w:sz w:val="22"/>
                <w:szCs w:val="22"/>
              </w:rPr>
              <w:t>Характеристика положительных и отрицательных героев, волшебные помощники в сказке А.С. Пушкина "Сказка о мертвой царевне и о семи богатырях"</w:t>
            </w:r>
          </w:p>
        </w:tc>
      </w:tr>
      <w:tr w14:paraId="0733FA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770226FD">
            <w:pPr>
              <w:pStyle w:val="85"/>
              <w:rPr>
                <w:color w:val="auto"/>
                <w:sz w:val="22"/>
                <w:szCs w:val="22"/>
              </w:rPr>
            </w:pPr>
            <w:r>
              <w:rPr>
                <w:color w:val="auto"/>
                <w:sz w:val="22"/>
                <w:szCs w:val="22"/>
              </w:rPr>
              <w:t>Урок 24</w:t>
            </w:r>
          </w:p>
        </w:tc>
        <w:tc>
          <w:tcPr>
            <w:tcW w:w="7937" w:type="dxa"/>
            <w:vAlign w:val="center"/>
          </w:tcPr>
          <w:p w14:paraId="5F028DF6">
            <w:pPr>
              <w:pStyle w:val="85"/>
              <w:jc w:val="both"/>
              <w:rPr>
                <w:color w:val="auto"/>
                <w:sz w:val="22"/>
                <w:szCs w:val="22"/>
              </w:rPr>
            </w:pPr>
            <w:r>
              <w:rPr>
                <w:color w:val="auto"/>
                <w:sz w:val="22"/>
                <w:szCs w:val="22"/>
              </w:rPr>
              <w:t>Наблюдение за художественными особенностями текста, языком авторской сказки А.С. Пушкина "Сказка о мертвой царевне и о семи богатырях"</w:t>
            </w:r>
          </w:p>
        </w:tc>
      </w:tr>
      <w:tr w14:paraId="31FA43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6FFB6292">
            <w:pPr>
              <w:pStyle w:val="85"/>
              <w:rPr>
                <w:color w:val="auto"/>
                <w:sz w:val="22"/>
                <w:szCs w:val="22"/>
              </w:rPr>
            </w:pPr>
            <w:r>
              <w:rPr>
                <w:color w:val="auto"/>
                <w:sz w:val="22"/>
                <w:szCs w:val="22"/>
              </w:rPr>
              <w:t>Урок 25</w:t>
            </w:r>
          </w:p>
        </w:tc>
        <w:tc>
          <w:tcPr>
            <w:tcW w:w="7937" w:type="dxa"/>
            <w:vAlign w:val="center"/>
          </w:tcPr>
          <w:p w14:paraId="4BFED326">
            <w:pPr>
              <w:pStyle w:val="85"/>
              <w:jc w:val="both"/>
              <w:rPr>
                <w:color w:val="auto"/>
                <w:sz w:val="22"/>
                <w:szCs w:val="22"/>
              </w:rPr>
            </w:pPr>
            <w:r>
              <w:rPr>
                <w:color w:val="auto"/>
                <w:sz w:val="22"/>
                <w:szCs w:val="22"/>
              </w:rPr>
              <w:t>Фольклорная основа литературной сказки А.С. Пушкина "Сказка о мертвой царевне и о семи богатырях"</w:t>
            </w:r>
          </w:p>
        </w:tc>
      </w:tr>
      <w:tr w14:paraId="016760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7ACEC024">
            <w:pPr>
              <w:pStyle w:val="85"/>
              <w:rPr>
                <w:color w:val="auto"/>
                <w:sz w:val="22"/>
                <w:szCs w:val="22"/>
              </w:rPr>
            </w:pPr>
            <w:r>
              <w:rPr>
                <w:color w:val="auto"/>
                <w:sz w:val="22"/>
                <w:szCs w:val="22"/>
              </w:rPr>
              <w:t>Урок 26</w:t>
            </w:r>
          </w:p>
        </w:tc>
        <w:tc>
          <w:tcPr>
            <w:tcW w:w="7937" w:type="dxa"/>
            <w:vAlign w:val="center"/>
          </w:tcPr>
          <w:p w14:paraId="10001DD9">
            <w:pPr>
              <w:pStyle w:val="85"/>
              <w:jc w:val="both"/>
              <w:rPr>
                <w:color w:val="auto"/>
                <w:sz w:val="22"/>
                <w:szCs w:val="22"/>
              </w:rPr>
            </w:pPr>
            <w:r>
              <w:rPr>
                <w:color w:val="auto"/>
                <w:sz w:val="22"/>
                <w:szCs w:val="22"/>
              </w:rPr>
              <w:t>Сходство фольклорных и литературных произведений А.С. Пушкина, В.А. Жуковского по тематике, художественным образам ("бродячие" сюжеты)</w:t>
            </w:r>
          </w:p>
        </w:tc>
      </w:tr>
      <w:tr w14:paraId="24F469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1C992987">
            <w:pPr>
              <w:pStyle w:val="85"/>
              <w:rPr>
                <w:color w:val="auto"/>
                <w:sz w:val="22"/>
                <w:szCs w:val="22"/>
              </w:rPr>
            </w:pPr>
            <w:r>
              <w:rPr>
                <w:color w:val="auto"/>
                <w:sz w:val="22"/>
                <w:szCs w:val="22"/>
              </w:rPr>
              <w:t>Урок 27</w:t>
            </w:r>
          </w:p>
        </w:tc>
        <w:tc>
          <w:tcPr>
            <w:tcW w:w="7937" w:type="dxa"/>
            <w:vAlign w:val="center"/>
          </w:tcPr>
          <w:p w14:paraId="42F13B50">
            <w:pPr>
              <w:pStyle w:val="85"/>
              <w:jc w:val="both"/>
              <w:rPr>
                <w:color w:val="auto"/>
                <w:sz w:val="22"/>
                <w:szCs w:val="22"/>
              </w:rPr>
            </w:pPr>
            <w:r>
              <w:rPr>
                <w:color w:val="auto"/>
                <w:sz w:val="22"/>
                <w:szCs w:val="22"/>
              </w:rPr>
              <w:t>Тематическое повторение по итогам раздела "Творчество А.С. Пушкина"</w:t>
            </w:r>
          </w:p>
        </w:tc>
      </w:tr>
      <w:tr w14:paraId="612D23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0248E218">
            <w:pPr>
              <w:pStyle w:val="85"/>
              <w:rPr>
                <w:color w:val="auto"/>
                <w:sz w:val="22"/>
                <w:szCs w:val="22"/>
              </w:rPr>
            </w:pPr>
            <w:r>
              <w:rPr>
                <w:color w:val="auto"/>
                <w:sz w:val="22"/>
                <w:szCs w:val="22"/>
              </w:rPr>
              <w:t>Урок 28</w:t>
            </w:r>
          </w:p>
        </w:tc>
        <w:tc>
          <w:tcPr>
            <w:tcW w:w="7937" w:type="dxa"/>
            <w:vAlign w:val="center"/>
          </w:tcPr>
          <w:p w14:paraId="68CDE42E">
            <w:pPr>
              <w:pStyle w:val="85"/>
              <w:jc w:val="both"/>
              <w:rPr>
                <w:color w:val="auto"/>
                <w:sz w:val="22"/>
                <w:szCs w:val="22"/>
              </w:rPr>
            </w:pPr>
            <w:r>
              <w:rPr>
                <w:color w:val="auto"/>
                <w:sz w:val="22"/>
                <w:szCs w:val="22"/>
              </w:rPr>
              <w:t>Составление сообщения о М.Ю. Лермонтове. Строфа как элемент композиции стихотворения М.Ю. Лермонтова "Парус"</w:t>
            </w:r>
          </w:p>
        </w:tc>
      </w:tr>
      <w:tr w14:paraId="02BEB5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17100628">
            <w:pPr>
              <w:pStyle w:val="85"/>
              <w:rPr>
                <w:color w:val="auto"/>
                <w:sz w:val="22"/>
                <w:szCs w:val="22"/>
              </w:rPr>
            </w:pPr>
            <w:r>
              <w:rPr>
                <w:color w:val="auto"/>
                <w:sz w:val="22"/>
                <w:szCs w:val="22"/>
              </w:rPr>
              <w:t>Урок 29</w:t>
            </w:r>
          </w:p>
        </w:tc>
        <w:tc>
          <w:tcPr>
            <w:tcW w:w="7937" w:type="dxa"/>
            <w:vAlign w:val="center"/>
          </w:tcPr>
          <w:p w14:paraId="754CEE50">
            <w:pPr>
              <w:pStyle w:val="85"/>
              <w:jc w:val="both"/>
              <w:rPr>
                <w:color w:val="auto"/>
                <w:sz w:val="22"/>
                <w:szCs w:val="22"/>
              </w:rPr>
            </w:pPr>
            <w:r>
              <w:rPr>
                <w:color w:val="auto"/>
                <w:sz w:val="22"/>
                <w:szCs w:val="22"/>
              </w:rPr>
              <w:t>Работа со стихотворением М.Ю. Лермонтова "Утес": характеристика средств художественной выразительности</w:t>
            </w:r>
          </w:p>
        </w:tc>
      </w:tr>
      <w:tr w14:paraId="1373ED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1CCE97E9">
            <w:pPr>
              <w:pStyle w:val="85"/>
              <w:rPr>
                <w:color w:val="auto"/>
                <w:sz w:val="22"/>
                <w:szCs w:val="22"/>
              </w:rPr>
            </w:pPr>
            <w:r>
              <w:rPr>
                <w:color w:val="auto"/>
                <w:sz w:val="22"/>
                <w:szCs w:val="22"/>
              </w:rPr>
              <w:t>Урок 30</w:t>
            </w:r>
          </w:p>
        </w:tc>
        <w:tc>
          <w:tcPr>
            <w:tcW w:w="7937" w:type="dxa"/>
            <w:vAlign w:val="center"/>
          </w:tcPr>
          <w:p w14:paraId="08A25D29">
            <w:pPr>
              <w:pStyle w:val="85"/>
              <w:jc w:val="both"/>
              <w:rPr>
                <w:color w:val="auto"/>
                <w:sz w:val="22"/>
                <w:szCs w:val="22"/>
              </w:rPr>
            </w:pPr>
            <w:r>
              <w:rPr>
                <w:color w:val="auto"/>
                <w:sz w:val="22"/>
                <w:szCs w:val="22"/>
              </w:rPr>
              <w:t>Наблюдение за художественными особенностями лирических произведений М.Ю. Лермонтова. Стихотворения о Кавказе</w:t>
            </w:r>
          </w:p>
        </w:tc>
      </w:tr>
      <w:tr w14:paraId="379487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7DDFA135">
            <w:pPr>
              <w:pStyle w:val="85"/>
              <w:rPr>
                <w:color w:val="auto"/>
                <w:sz w:val="22"/>
                <w:szCs w:val="22"/>
              </w:rPr>
            </w:pPr>
            <w:r>
              <w:rPr>
                <w:color w:val="auto"/>
                <w:sz w:val="22"/>
                <w:szCs w:val="22"/>
              </w:rPr>
              <w:t>Урок 31</w:t>
            </w:r>
          </w:p>
        </w:tc>
        <w:tc>
          <w:tcPr>
            <w:tcW w:w="7937" w:type="dxa"/>
            <w:vAlign w:val="center"/>
          </w:tcPr>
          <w:p w14:paraId="3798E18C">
            <w:pPr>
              <w:pStyle w:val="85"/>
              <w:jc w:val="both"/>
              <w:rPr>
                <w:color w:val="auto"/>
                <w:sz w:val="22"/>
                <w:szCs w:val="22"/>
              </w:rPr>
            </w:pPr>
            <w:r>
              <w:rPr>
                <w:color w:val="auto"/>
                <w:sz w:val="22"/>
                <w:szCs w:val="22"/>
              </w:rPr>
              <w:t>Патриотическое звучание стихотворения М.Ю. Лермонтова "Москва, Москва!... Люблю тебя как сын...": метафора как "свернутое" сравнение</w:t>
            </w:r>
          </w:p>
        </w:tc>
      </w:tr>
      <w:tr w14:paraId="479120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4A7E8470">
            <w:pPr>
              <w:pStyle w:val="85"/>
              <w:rPr>
                <w:color w:val="auto"/>
                <w:sz w:val="22"/>
                <w:szCs w:val="22"/>
              </w:rPr>
            </w:pPr>
            <w:r>
              <w:rPr>
                <w:color w:val="auto"/>
                <w:sz w:val="22"/>
                <w:szCs w:val="22"/>
              </w:rPr>
              <w:t>Урок 32</w:t>
            </w:r>
          </w:p>
        </w:tc>
        <w:tc>
          <w:tcPr>
            <w:tcW w:w="7937" w:type="dxa"/>
            <w:vAlign w:val="center"/>
          </w:tcPr>
          <w:p w14:paraId="60D05C3D">
            <w:pPr>
              <w:pStyle w:val="85"/>
              <w:jc w:val="both"/>
              <w:rPr>
                <w:color w:val="auto"/>
                <w:sz w:val="22"/>
                <w:szCs w:val="22"/>
              </w:rPr>
            </w:pPr>
            <w:r>
              <w:rPr>
                <w:color w:val="auto"/>
                <w:sz w:val="22"/>
                <w:szCs w:val="22"/>
              </w:rPr>
              <w:t>Творчество Л.Н. Толстого - великого русского писателя</w:t>
            </w:r>
          </w:p>
        </w:tc>
      </w:tr>
      <w:tr w14:paraId="47D6B1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676C39D8">
            <w:pPr>
              <w:pStyle w:val="85"/>
              <w:rPr>
                <w:color w:val="auto"/>
                <w:sz w:val="22"/>
                <w:szCs w:val="22"/>
              </w:rPr>
            </w:pPr>
            <w:r>
              <w:rPr>
                <w:color w:val="auto"/>
                <w:sz w:val="22"/>
                <w:szCs w:val="22"/>
              </w:rPr>
              <w:t>Урок 33</w:t>
            </w:r>
          </w:p>
        </w:tc>
        <w:tc>
          <w:tcPr>
            <w:tcW w:w="7937" w:type="dxa"/>
            <w:vAlign w:val="center"/>
          </w:tcPr>
          <w:p w14:paraId="65668F47">
            <w:pPr>
              <w:pStyle w:val="85"/>
              <w:jc w:val="both"/>
              <w:rPr>
                <w:color w:val="auto"/>
                <w:sz w:val="22"/>
                <w:szCs w:val="22"/>
              </w:rPr>
            </w:pPr>
            <w:r>
              <w:rPr>
                <w:color w:val="auto"/>
                <w:sz w:val="22"/>
                <w:szCs w:val="22"/>
              </w:rPr>
              <w:t>Общее представление о повести как эпическом жанре. Знакомство с отрывками из повести Л.Н. Толстого "Детство"</w:t>
            </w:r>
          </w:p>
        </w:tc>
      </w:tr>
      <w:tr w14:paraId="70EB05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21259A93">
            <w:pPr>
              <w:pStyle w:val="85"/>
              <w:rPr>
                <w:color w:val="auto"/>
                <w:sz w:val="22"/>
                <w:szCs w:val="22"/>
              </w:rPr>
            </w:pPr>
            <w:r>
              <w:rPr>
                <w:color w:val="auto"/>
                <w:sz w:val="22"/>
                <w:szCs w:val="22"/>
              </w:rPr>
              <w:t>Урок 34</w:t>
            </w:r>
          </w:p>
        </w:tc>
        <w:tc>
          <w:tcPr>
            <w:tcW w:w="7937" w:type="dxa"/>
            <w:vAlign w:val="center"/>
          </w:tcPr>
          <w:p w14:paraId="4EBB96F4">
            <w:pPr>
              <w:pStyle w:val="85"/>
              <w:jc w:val="both"/>
              <w:rPr>
                <w:color w:val="auto"/>
                <w:sz w:val="22"/>
                <w:szCs w:val="22"/>
              </w:rPr>
            </w:pPr>
            <w:r>
              <w:rPr>
                <w:color w:val="auto"/>
                <w:sz w:val="22"/>
                <w:szCs w:val="22"/>
              </w:rPr>
              <w:t>Чтение научно-познавательных рассказов Л.Н. Толстого. Примеры текста-рассуждения в рассказе "Черепаха" и в повести Л.Н. Толстого "Детство"</w:t>
            </w:r>
          </w:p>
        </w:tc>
      </w:tr>
      <w:tr w14:paraId="222E08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7713C373">
            <w:pPr>
              <w:pStyle w:val="85"/>
              <w:rPr>
                <w:color w:val="auto"/>
                <w:sz w:val="22"/>
                <w:szCs w:val="22"/>
              </w:rPr>
            </w:pPr>
            <w:r>
              <w:rPr>
                <w:color w:val="auto"/>
                <w:sz w:val="22"/>
                <w:szCs w:val="22"/>
              </w:rPr>
              <w:t>Урок 35</w:t>
            </w:r>
          </w:p>
        </w:tc>
        <w:tc>
          <w:tcPr>
            <w:tcW w:w="7937" w:type="dxa"/>
            <w:vAlign w:val="center"/>
          </w:tcPr>
          <w:p w14:paraId="4775A1FC">
            <w:pPr>
              <w:pStyle w:val="85"/>
              <w:jc w:val="both"/>
              <w:rPr>
                <w:color w:val="auto"/>
                <w:sz w:val="22"/>
                <w:szCs w:val="22"/>
              </w:rPr>
            </w:pPr>
            <w:r>
              <w:rPr>
                <w:color w:val="auto"/>
                <w:sz w:val="22"/>
                <w:szCs w:val="22"/>
              </w:rPr>
              <w:t>Анализ художественных рассказов Л.Н. Толстого. Особенности художественного текста-описания на примере рассказа "Русак" и отрывков из повести Л.Н. Толстого "Детство". Составление цитатного плана</w:t>
            </w:r>
          </w:p>
        </w:tc>
      </w:tr>
      <w:tr w14:paraId="2F0533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3FAE4D18">
            <w:pPr>
              <w:pStyle w:val="85"/>
              <w:rPr>
                <w:color w:val="auto"/>
                <w:sz w:val="22"/>
                <w:szCs w:val="22"/>
              </w:rPr>
            </w:pPr>
            <w:r>
              <w:rPr>
                <w:color w:val="auto"/>
                <w:sz w:val="22"/>
                <w:szCs w:val="22"/>
              </w:rPr>
              <w:t>Урок 36</w:t>
            </w:r>
          </w:p>
        </w:tc>
        <w:tc>
          <w:tcPr>
            <w:tcW w:w="7937" w:type="dxa"/>
            <w:vAlign w:val="center"/>
          </w:tcPr>
          <w:p w14:paraId="78FA64C3">
            <w:pPr>
              <w:pStyle w:val="85"/>
              <w:jc w:val="both"/>
              <w:rPr>
                <w:color w:val="auto"/>
                <w:sz w:val="22"/>
                <w:szCs w:val="22"/>
              </w:rPr>
            </w:pPr>
            <w:r>
              <w:rPr>
                <w:color w:val="auto"/>
                <w:sz w:val="22"/>
                <w:szCs w:val="22"/>
              </w:rPr>
              <w:t>Роль портрета, интерьера в создании образа героя повести "Детство"</w:t>
            </w:r>
          </w:p>
        </w:tc>
      </w:tr>
      <w:tr w14:paraId="2FAEBC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44233A6C">
            <w:pPr>
              <w:pStyle w:val="85"/>
              <w:rPr>
                <w:color w:val="auto"/>
                <w:sz w:val="22"/>
                <w:szCs w:val="22"/>
              </w:rPr>
            </w:pPr>
            <w:r>
              <w:rPr>
                <w:color w:val="auto"/>
                <w:sz w:val="22"/>
                <w:szCs w:val="22"/>
              </w:rPr>
              <w:t>Урок 37</w:t>
            </w:r>
          </w:p>
        </w:tc>
        <w:tc>
          <w:tcPr>
            <w:tcW w:w="7937" w:type="dxa"/>
            <w:vAlign w:val="center"/>
          </w:tcPr>
          <w:p w14:paraId="7C716E43">
            <w:pPr>
              <w:pStyle w:val="85"/>
              <w:jc w:val="both"/>
              <w:rPr>
                <w:color w:val="auto"/>
                <w:sz w:val="22"/>
                <w:szCs w:val="22"/>
              </w:rPr>
            </w:pPr>
            <w:r>
              <w:rPr>
                <w:color w:val="auto"/>
                <w:sz w:val="22"/>
                <w:szCs w:val="22"/>
              </w:rPr>
              <w:t>Басни Л.Н. Толстого: выделение жанровых особенностей</w:t>
            </w:r>
          </w:p>
        </w:tc>
      </w:tr>
      <w:tr w14:paraId="389B97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120F47A9">
            <w:pPr>
              <w:pStyle w:val="85"/>
              <w:rPr>
                <w:color w:val="auto"/>
                <w:sz w:val="22"/>
                <w:szCs w:val="22"/>
              </w:rPr>
            </w:pPr>
            <w:r>
              <w:rPr>
                <w:color w:val="auto"/>
                <w:sz w:val="22"/>
                <w:szCs w:val="22"/>
              </w:rPr>
              <w:t>Урок 38</w:t>
            </w:r>
          </w:p>
        </w:tc>
        <w:tc>
          <w:tcPr>
            <w:tcW w:w="7937" w:type="dxa"/>
            <w:vAlign w:val="center"/>
          </w:tcPr>
          <w:p w14:paraId="38693245">
            <w:pPr>
              <w:pStyle w:val="85"/>
              <w:jc w:val="both"/>
              <w:rPr>
                <w:color w:val="auto"/>
                <w:sz w:val="22"/>
                <w:szCs w:val="22"/>
              </w:rPr>
            </w:pPr>
            <w:r>
              <w:rPr>
                <w:color w:val="auto"/>
                <w:sz w:val="22"/>
                <w:szCs w:val="22"/>
              </w:rPr>
              <w:t>Контрольная работа по разделу "Жанровое многообразие творчества Л.Н. Толстого"</w:t>
            </w:r>
          </w:p>
        </w:tc>
      </w:tr>
      <w:tr w14:paraId="674A73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46DEB5BE">
            <w:pPr>
              <w:pStyle w:val="85"/>
              <w:rPr>
                <w:color w:val="auto"/>
                <w:sz w:val="22"/>
                <w:szCs w:val="22"/>
              </w:rPr>
            </w:pPr>
            <w:r>
              <w:rPr>
                <w:color w:val="auto"/>
                <w:sz w:val="22"/>
                <w:szCs w:val="22"/>
              </w:rPr>
              <w:t>Урок 39</w:t>
            </w:r>
          </w:p>
        </w:tc>
        <w:tc>
          <w:tcPr>
            <w:tcW w:w="7937" w:type="dxa"/>
            <w:vAlign w:val="center"/>
          </w:tcPr>
          <w:p w14:paraId="5B558251">
            <w:pPr>
              <w:pStyle w:val="85"/>
              <w:jc w:val="both"/>
              <w:rPr>
                <w:color w:val="auto"/>
                <w:sz w:val="22"/>
                <w:szCs w:val="22"/>
              </w:rPr>
            </w:pPr>
            <w:r>
              <w:rPr>
                <w:color w:val="auto"/>
                <w:sz w:val="22"/>
                <w:szCs w:val="22"/>
              </w:rPr>
              <w:t>Резервный урок. Подготовка выставки книг Л.Н. Толстого. Подготовка сообщения о книгах Л.Н. Толстого (сказки, рассказы, были, басни)</w:t>
            </w:r>
          </w:p>
        </w:tc>
      </w:tr>
      <w:tr w14:paraId="5E0D1F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0B773FBF">
            <w:pPr>
              <w:pStyle w:val="85"/>
              <w:rPr>
                <w:color w:val="auto"/>
                <w:sz w:val="22"/>
                <w:szCs w:val="22"/>
              </w:rPr>
            </w:pPr>
            <w:r>
              <w:rPr>
                <w:color w:val="auto"/>
                <w:sz w:val="22"/>
                <w:szCs w:val="22"/>
              </w:rPr>
              <w:t>Урок 40</w:t>
            </w:r>
          </w:p>
        </w:tc>
        <w:tc>
          <w:tcPr>
            <w:tcW w:w="7937" w:type="dxa"/>
            <w:vAlign w:val="center"/>
          </w:tcPr>
          <w:p w14:paraId="1D977A5C">
            <w:pPr>
              <w:pStyle w:val="85"/>
              <w:jc w:val="both"/>
              <w:rPr>
                <w:color w:val="auto"/>
                <w:sz w:val="22"/>
                <w:szCs w:val="22"/>
              </w:rPr>
            </w:pPr>
            <w:r>
              <w:rPr>
                <w:color w:val="auto"/>
                <w:sz w:val="22"/>
                <w:szCs w:val="22"/>
              </w:rPr>
              <w:t>Взаимоотношения со сверстниками - тема рассказа А.П. Чехова "Мальчики"</w:t>
            </w:r>
          </w:p>
        </w:tc>
      </w:tr>
      <w:tr w14:paraId="6011DA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32AD3038">
            <w:pPr>
              <w:pStyle w:val="85"/>
              <w:rPr>
                <w:color w:val="auto"/>
                <w:sz w:val="22"/>
                <w:szCs w:val="22"/>
              </w:rPr>
            </w:pPr>
            <w:r>
              <w:rPr>
                <w:color w:val="auto"/>
                <w:sz w:val="22"/>
                <w:szCs w:val="22"/>
              </w:rPr>
              <w:t>Урок 41</w:t>
            </w:r>
          </w:p>
        </w:tc>
        <w:tc>
          <w:tcPr>
            <w:tcW w:w="7937" w:type="dxa"/>
            <w:vAlign w:val="center"/>
          </w:tcPr>
          <w:p w14:paraId="0FE4F018">
            <w:pPr>
              <w:pStyle w:val="85"/>
              <w:jc w:val="both"/>
              <w:rPr>
                <w:color w:val="auto"/>
                <w:sz w:val="22"/>
                <w:szCs w:val="22"/>
              </w:rPr>
            </w:pPr>
            <w:r>
              <w:rPr>
                <w:color w:val="auto"/>
                <w:sz w:val="22"/>
                <w:szCs w:val="22"/>
              </w:rPr>
              <w:t>Образы героев-детей в рассказе А.П. Чехова "Мальчики"</w:t>
            </w:r>
          </w:p>
        </w:tc>
      </w:tr>
      <w:tr w14:paraId="6A3C34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7F0F793A">
            <w:pPr>
              <w:pStyle w:val="85"/>
              <w:rPr>
                <w:color w:val="auto"/>
                <w:sz w:val="22"/>
                <w:szCs w:val="22"/>
              </w:rPr>
            </w:pPr>
            <w:r>
              <w:rPr>
                <w:color w:val="auto"/>
                <w:sz w:val="22"/>
                <w:szCs w:val="22"/>
              </w:rPr>
              <w:t>Урок 42</w:t>
            </w:r>
          </w:p>
        </w:tc>
        <w:tc>
          <w:tcPr>
            <w:tcW w:w="7937" w:type="dxa"/>
            <w:vAlign w:val="center"/>
          </w:tcPr>
          <w:p w14:paraId="598C44AC">
            <w:pPr>
              <w:pStyle w:val="85"/>
              <w:jc w:val="both"/>
              <w:rPr>
                <w:color w:val="auto"/>
                <w:sz w:val="22"/>
                <w:szCs w:val="22"/>
              </w:rPr>
            </w:pPr>
            <w:r>
              <w:rPr>
                <w:color w:val="auto"/>
                <w:sz w:val="22"/>
                <w:szCs w:val="22"/>
              </w:rPr>
              <w:t>Соотнесение заглавия и главной мысли рассказа А.П. Чехова "Мальчики"</w:t>
            </w:r>
          </w:p>
        </w:tc>
      </w:tr>
      <w:tr w14:paraId="707914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09D17049">
            <w:pPr>
              <w:pStyle w:val="85"/>
              <w:rPr>
                <w:color w:val="auto"/>
                <w:sz w:val="22"/>
                <w:szCs w:val="22"/>
              </w:rPr>
            </w:pPr>
            <w:r>
              <w:rPr>
                <w:color w:val="auto"/>
                <w:sz w:val="22"/>
                <w:szCs w:val="22"/>
              </w:rPr>
              <w:t>Урок 43</w:t>
            </w:r>
          </w:p>
        </w:tc>
        <w:tc>
          <w:tcPr>
            <w:tcW w:w="7937" w:type="dxa"/>
            <w:vAlign w:val="center"/>
          </w:tcPr>
          <w:p w14:paraId="631D67E3">
            <w:pPr>
              <w:pStyle w:val="85"/>
              <w:jc w:val="both"/>
              <w:rPr>
                <w:color w:val="auto"/>
                <w:sz w:val="22"/>
                <w:szCs w:val="22"/>
              </w:rPr>
            </w:pPr>
            <w:r>
              <w:rPr>
                <w:color w:val="auto"/>
                <w:sz w:val="22"/>
                <w:szCs w:val="22"/>
              </w:rPr>
              <w:t>Осознание ценности чтения для учебы и жизни</w:t>
            </w:r>
          </w:p>
        </w:tc>
      </w:tr>
      <w:tr w14:paraId="13F981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2D66B8C3">
            <w:pPr>
              <w:pStyle w:val="85"/>
              <w:rPr>
                <w:color w:val="auto"/>
                <w:sz w:val="22"/>
                <w:szCs w:val="22"/>
              </w:rPr>
            </w:pPr>
            <w:r>
              <w:rPr>
                <w:color w:val="auto"/>
                <w:sz w:val="22"/>
                <w:szCs w:val="22"/>
              </w:rPr>
              <w:t>Урок 44</w:t>
            </w:r>
          </w:p>
        </w:tc>
        <w:tc>
          <w:tcPr>
            <w:tcW w:w="7937" w:type="dxa"/>
            <w:vAlign w:val="center"/>
          </w:tcPr>
          <w:p w14:paraId="486A3B30">
            <w:pPr>
              <w:pStyle w:val="85"/>
              <w:jc w:val="both"/>
              <w:rPr>
                <w:color w:val="auto"/>
                <w:sz w:val="22"/>
                <w:szCs w:val="22"/>
              </w:rPr>
            </w:pPr>
            <w:r>
              <w:rPr>
                <w:color w:val="auto"/>
                <w:sz w:val="22"/>
                <w:szCs w:val="22"/>
              </w:rPr>
              <w:t>Поэты о красоте родной природы: анализ авторских приемов создания художественного образа</w:t>
            </w:r>
          </w:p>
        </w:tc>
      </w:tr>
      <w:tr w14:paraId="46CC1E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548E1400">
            <w:pPr>
              <w:pStyle w:val="85"/>
              <w:rPr>
                <w:color w:val="auto"/>
                <w:sz w:val="22"/>
                <w:szCs w:val="22"/>
              </w:rPr>
            </w:pPr>
            <w:r>
              <w:rPr>
                <w:color w:val="auto"/>
                <w:sz w:val="22"/>
                <w:szCs w:val="22"/>
              </w:rPr>
              <w:t>Урок 45</w:t>
            </w:r>
          </w:p>
        </w:tc>
        <w:tc>
          <w:tcPr>
            <w:tcW w:w="7937" w:type="dxa"/>
            <w:vAlign w:val="center"/>
          </w:tcPr>
          <w:p w14:paraId="74534DEB">
            <w:pPr>
              <w:pStyle w:val="85"/>
              <w:jc w:val="both"/>
              <w:rPr>
                <w:color w:val="auto"/>
                <w:sz w:val="22"/>
                <w:szCs w:val="22"/>
              </w:rPr>
            </w:pPr>
            <w:r>
              <w:rPr>
                <w:color w:val="auto"/>
                <w:sz w:val="22"/>
                <w:szCs w:val="22"/>
              </w:rPr>
              <w:t>Составление устного рассказа по репродукции картины на основе изученных произведений</w:t>
            </w:r>
          </w:p>
        </w:tc>
      </w:tr>
      <w:tr w14:paraId="479674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693B7DAA">
            <w:pPr>
              <w:pStyle w:val="85"/>
              <w:rPr>
                <w:color w:val="auto"/>
                <w:sz w:val="22"/>
                <w:szCs w:val="22"/>
              </w:rPr>
            </w:pPr>
            <w:r>
              <w:rPr>
                <w:color w:val="auto"/>
                <w:sz w:val="22"/>
                <w:szCs w:val="22"/>
              </w:rPr>
              <w:t>Урок 46</w:t>
            </w:r>
          </w:p>
        </w:tc>
        <w:tc>
          <w:tcPr>
            <w:tcW w:w="7937" w:type="dxa"/>
            <w:vAlign w:val="center"/>
          </w:tcPr>
          <w:p w14:paraId="35D3437A">
            <w:pPr>
              <w:pStyle w:val="85"/>
              <w:jc w:val="both"/>
              <w:rPr>
                <w:color w:val="auto"/>
                <w:sz w:val="22"/>
                <w:szCs w:val="22"/>
              </w:rPr>
            </w:pPr>
            <w:r>
              <w:rPr>
                <w:color w:val="auto"/>
                <w:sz w:val="22"/>
                <w:szCs w:val="22"/>
              </w:rPr>
              <w:t>Описание явления природы в стихотворении В.А. Жуковский "Загадка": приемы создания художественного образа</w:t>
            </w:r>
          </w:p>
        </w:tc>
      </w:tr>
      <w:tr w14:paraId="7B3B89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1216A0DD">
            <w:pPr>
              <w:pStyle w:val="85"/>
              <w:rPr>
                <w:color w:val="auto"/>
                <w:sz w:val="22"/>
                <w:szCs w:val="22"/>
              </w:rPr>
            </w:pPr>
            <w:r>
              <w:rPr>
                <w:color w:val="auto"/>
                <w:sz w:val="22"/>
                <w:szCs w:val="22"/>
              </w:rPr>
              <w:t>Урок 47</w:t>
            </w:r>
          </w:p>
        </w:tc>
        <w:tc>
          <w:tcPr>
            <w:tcW w:w="7937" w:type="dxa"/>
            <w:vAlign w:val="center"/>
          </w:tcPr>
          <w:p w14:paraId="5D70CD5A">
            <w:pPr>
              <w:pStyle w:val="85"/>
              <w:jc w:val="both"/>
              <w:rPr>
                <w:color w:val="auto"/>
                <w:sz w:val="22"/>
                <w:szCs w:val="22"/>
              </w:rPr>
            </w:pPr>
            <w:r>
              <w:rPr>
                <w:color w:val="auto"/>
                <w:sz w:val="22"/>
                <w:szCs w:val="22"/>
              </w:rPr>
              <w:t>Сравнение образа радуги в стихотворениях В.А. Жуковского "Загадка" и Ф.И. Тютчева "Как неожиданно и ярко"</w:t>
            </w:r>
          </w:p>
        </w:tc>
      </w:tr>
      <w:tr w14:paraId="4A2460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1F7CE691">
            <w:pPr>
              <w:pStyle w:val="85"/>
              <w:rPr>
                <w:color w:val="auto"/>
                <w:sz w:val="22"/>
                <w:szCs w:val="22"/>
              </w:rPr>
            </w:pPr>
            <w:r>
              <w:rPr>
                <w:color w:val="auto"/>
                <w:sz w:val="22"/>
                <w:szCs w:val="22"/>
              </w:rPr>
              <w:t>Урок 48</w:t>
            </w:r>
          </w:p>
        </w:tc>
        <w:tc>
          <w:tcPr>
            <w:tcW w:w="7937" w:type="dxa"/>
            <w:vAlign w:val="center"/>
          </w:tcPr>
          <w:p w14:paraId="06AA67CF">
            <w:pPr>
              <w:pStyle w:val="85"/>
              <w:jc w:val="both"/>
              <w:rPr>
                <w:color w:val="auto"/>
                <w:sz w:val="22"/>
                <w:szCs w:val="22"/>
              </w:rPr>
            </w:pPr>
            <w:r>
              <w:rPr>
                <w:color w:val="auto"/>
                <w:sz w:val="22"/>
                <w:szCs w:val="22"/>
              </w:rPr>
              <w:t>Восприятие картин природы в стихотворении А.А. Фета "Весенний дождь" и других его стихотворений</w:t>
            </w:r>
          </w:p>
        </w:tc>
      </w:tr>
      <w:tr w14:paraId="6B9A41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6F528FD3">
            <w:pPr>
              <w:pStyle w:val="85"/>
              <w:rPr>
                <w:color w:val="auto"/>
                <w:sz w:val="22"/>
                <w:szCs w:val="22"/>
              </w:rPr>
            </w:pPr>
            <w:r>
              <w:rPr>
                <w:color w:val="auto"/>
                <w:sz w:val="22"/>
                <w:szCs w:val="22"/>
              </w:rPr>
              <w:t>Урок 49</w:t>
            </w:r>
          </w:p>
        </w:tc>
        <w:tc>
          <w:tcPr>
            <w:tcW w:w="7937" w:type="dxa"/>
            <w:vAlign w:val="center"/>
          </w:tcPr>
          <w:p w14:paraId="3E9B2997">
            <w:pPr>
              <w:pStyle w:val="85"/>
              <w:jc w:val="both"/>
              <w:rPr>
                <w:color w:val="auto"/>
                <w:sz w:val="22"/>
                <w:szCs w:val="22"/>
              </w:rPr>
            </w:pPr>
            <w:r>
              <w:rPr>
                <w:color w:val="auto"/>
                <w:sz w:val="22"/>
                <w:szCs w:val="22"/>
              </w:rPr>
              <w:t>Авторские приемы создания художественного образа в стихотворении Е.А. Баратынского "Весна, весна! Как воздух чист..."</w:t>
            </w:r>
          </w:p>
        </w:tc>
      </w:tr>
      <w:tr w14:paraId="150BEC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0C020F54">
            <w:pPr>
              <w:pStyle w:val="85"/>
              <w:rPr>
                <w:color w:val="auto"/>
                <w:sz w:val="22"/>
                <w:szCs w:val="22"/>
              </w:rPr>
            </w:pPr>
            <w:r>
              <w:rPr>
                <w:color w:val="auto"/>
                <w:sz w:val="22"/>
                <w:szCs w:val="22"/>
              </w:rPr>
              <w:t>Урок 50</w:t>
            </w:r>
          </w:p>
        </w:tc>
        <w:tc>
          <w:tcPr>
            <w:tcW w:w="7937" w:type="dxa"/>
            <w:vAlign w:val="center"/>
          </w:tcPr>
          <w:p w14:paraId="1767FCBC">
            <w:pPr>
              <w:pStyle w:val="85"/>
              <w:jc w:val="both"/>
              <w:rPr>
                <w:color w:val="auto"/>
                <w:sz w:val="22"/>
                <w:szCs w:val="22"/>
              </w:rPr>
            </w:pPr>
            <w:r>
              <w:rPr>
                <w:color w:val="auto"/>
                <w:sz w:val="22"/>
                <w:szCs w:val="22"/>
              </w:rPr>
              <w:t>Резервный урок. Анализ настроения в стихотворении</w:t>
            </w:r>
          </w:p>
        </w:tc>
      </w:tr>
      <w:tr w14:paraId="7FAC44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377F48FC">
            <w:pPr>
              <w:pStyle w:val="85"/>
              <w:rPr>
                <w:color w:val="auto"/>
                <w:sz w:val="22"/>
                <w:szCs w:val="22"/>
              </w:rPr>
            </w:pPr>
            <w:r>
              <w:rPr>
                <w:color w:val="auto"/>
                <w:sz w:val="22"/>
                <w:szCs w:val="22"/>
              </w:rPr>
              <w:t>Урок 51</w:t>
            </w:r>
          </w:p>
        </w:tc>
        <w:tc>
          <w:tcPr>
            <w:tcW w:w="7937" w:type="dxa"/>
            <w:vAlign w:val="center"/>
          </w:tcPr>
          <w:p w14:paraId="62FF3DFB">
            <w:pPr>
              <w:pStyle w:val="85"/>
              <w:jc w:val="both"/>
              <w:rPr>
                <w:color w:val="auto"/>
                <w:sz w:val="22"/>
                <w:szCs w:val="22"/>
              </w:rPr>
            </w:pPr>
            <w:r>
              <w:rPr>
                <w:color w:val="auto"/>
                <w:sz w:val="22"/>
                <w:szCs w:val="22"/>
              </w:rPr>
              <w:t>Выразительность поэтической речи стихотворения И.С. Никитина "В синем небе плывут над полями..." и другие на выбор</w:t>
            </w:r>
          </w:p>
        </w:tc>
      </w:tr>
      <w:tr w14:paraId="0CDEE0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0B7568BD">
            <w:pPr>
              <w:pStyle w:val="85"/>
              <w:rPr>
                <w:color w:val="auto"/>
                <w:sz w:val="22"/>
                <w:szCs w:val="22"/>
              </w:rPr>
            </w:pPr>
            <w:r>
              <w:rPr>
                <w:color w:val="auto"/>
                <w:sz w:val="22"/>
                <w:szCs w:val="22"/>
              </w:rPr>
              <w:t>Урок 52</w:t>
            </w:r>
          </w:p>
        </w:tc>
        <w:tc>
          <w:tcPr>
            <w:tcW w:w="7937" w:type="dxa"/>
            <w:vAlign w:val="center"/>
          </w:tcPr>
          <w:p w14:paraId="164121F7">
            <w:pPr>
              <w:pStyle w:val="85"/>
              <w:jc w:val="both"/>
              <w:rPr>
                <w:color w:val="auto"/>
                <w:sz w:val="22"/>
                <w:szCs w:val="22"/>
              </w:rPr>
            </w:pPr>
            <w:r>
              <w:rPr>
                <w:color w:val="auto"/>
                <w:sz w:val="22"/>
                <w:szCs w:val="22"/>
              </w:rPr>
              <w:t>Анализ чувств и настроения, создаваемых лирическим произведением. На примере произведения А.А. Прокофьева "Люблю березу русскую..."</w:t>
            </w:r>
          </w:p>
        </w:tc>
      </w:tr>
      <w:tr w14:paraId="398545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56DA1D7F">
            <w:pPr>
              <w:pStyle w:val="85"/>
              <w:rPr>
                <w:color w:val="auto"/>
                <w:sz w:val="22"/>
                <w:szCs w:val="22"/>
              </w:rPr>
            </w:pPr>
            <w:r>
              <w:rPr>
                <w:color w:val="auto"/>
                <w:sz w:val="22"/>
                <w:szCs w:val="22"/>
              </w:rPr>
              <w:t>Урок 53</w:t>
            </w:r>
          </w:p>
        </w:tc>
        <w:tc>
          <w:tcPr>
            <w:tcW w:w="7937" w:type="dxa"/>
            <w:vAlign w:val="center"/>
          </w:tcPr>
          <w:p w14:paraId="183B97C4">
            <w:pPr>
              <w:pStyle w:val="85"/>
              <w:jc w:val="both"/>
              <w:rPr>
                <w:color w:val="auto"/>
                <w:sz w:val="22"/>
                <w:szCs w:val="22"/>
              </w:rPr>
            </w:pPr>
            <w:r>
              <w:rPr>
                <w:color w:val="auto"/>
                <w:sz w:val="22"/>
                <w:szCs w:val="22"/>
              </w:rPr>
              <w:t>Образное изображение осени в стихотворении И.А. Бунина "Листопад"</w:t>
            </w:r>
          </w:p>
        </w:tc>
      </w:tr>
      <w:tr w14:paraId="34A7D2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2AA7E84E">
            <w:pPr>
              <w:pStyle w:val="85"/>
              <w:rPr>
                <w:color w:val="auto"/>
                <w:sz w:val="22"/>
                <w:szCs w:val="22"/>
              </w:rPr>
            </w:pPr>
            <w:r>
              <w:rPr>
                <w:color w:val="auto"/>
                <w:sz w:val="22"/>
                <w:szCs w:val="22"/>
              </w:rPr>
              <w:t>Урок 54</w:t>
            </w:r>
          </w:p>
        </w:tc>
        <w:tc>
          <w:tcPr>
            <w:tcW w:w="7937" w:type="dxa"/>
            <w:vAlign w:val="center"/>
          </w:tcPr>
          <w:p w14:paraId="792CA9B2">
            <w:pPr>
              <w:pStyle w:val="85"/>
              <w:jc w:val="both"/>
              <w:rPr>
                <w:color w:val="auto"/>
                <w:sz w:val="22"/>
                <w:szCs w:val="22"/>
              </w:rPr>
            </w:pPr>
            <w:r>
              <w:rPr>
                <w:color w:val="auto"/>
                <w:sz w:val="22"/>
                <w:szCs w:val="22"/>
              </w:rPr>
              <w:t>Средства создания речевой выразительности в стихотворения К.Д. Бальмонта. На примере стихотворения "Камыши"</w:t>
            </w:r>
          </w:p>
        </w:tc>
      </w:tr>
      <w:tr w14:paraId="36F94D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012C3BCA">
            <w:pPr>
              <w:pStyle w:val="85"/>
              <w:rPr>
                <w:color w:val="auto"/>
                <w:sz w:val="22"/>
                <w:szCs w:val="22"/>
              </w:rPr>
            </w:pPr>
            <w:r>
              <w:rPr>
                <w:color w:val="auto"/>
                <w:sz w:val="22"/>
                <w:szCs w:val="22"/>
              </w:rPr>
              <w:t>Урок 55</w:t>
            </w:r>
          </w:p>
        </w:tc>
        <w:tc>
          <w:tcPr>
            <w:tcW w:w="7937" w:type="dxa"/>
            <w:vAlign w:val="center"/>
          </w:tcPr>
          <w:p w14:paraId="5E0FA811">
            <w:pPr>
              <w:pStyle w:val="85"/>
              <w:jc w:val="both"/>
              <w:rPr>
                <w:color w:val="auto"/>
                <w:sz w:val="22"/>
                <w:szCs w:val="22"/>
              </w:rPr>
            </w:pPr>
            <w:r>
              <w:rPr>
                <w:color w:val="auto"/>
                <w:sz w:val="22"/>
                <w:szCs w:val="22"/>
              </w:rPr>
              <w:t>Резервный урок. Составление текста-рассуждения на тему "Зачем нужна поэзия современному человеку"</w:t>
            </w:r>
          </w:p>
        </w:tc>
      </w:tr>
      <w:tr w14:paraId="514370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14ED7AFF">
            <w:pPr>
              <w:pStyle w:val="85"/>
              <w:rPr>
                <w:color w:val="auto"/>
                <w:sz w:val="22"/>
                <w:szCs w:val="22"/>
              </w:rPr>
            </w:pPr>
            <w:r>
              <w:rPr>
                <w:color w:val="auto"/>
                <w:sz w:val="22"/>
                <w:szCs w:val="22"/>
              </w:rPr>
              <w:t>Урок 56</w:t>
            </w:r>
          </w:p>
        </w:tc>
        <w:tc>
          <w:tcPr>
            <w:tcW w:w="7937" w:type="dxa"/>
            <w:vAlign w:val="center"/>
          </w:tcPr>
          <w:p w14:paraId="1F736F6E">
            <w:pPr>
              <w:pStyle w:val="85"/>
              <w:jc w:val="both"/>
              <w:rPr>
                <w:color w:val="auto"/>
                <w:sz w:val="22"/>
                <w:szCs w:val="22"/>
              </w:rPr>
            </w:pPr>
            <w:r>
              <w:rPr>
                <w:color w:val="auto"/>
                <w:sz w:val="22"/>
                <w:szCs w:val="22"/>
              </w:rPr>
              <w:t>Темы лирических произведений А.А. Блока. На примере стихотворения "Рождество"</w:t>
            </w:r>
          </w:p>
        </w:tc>
      </w:tr>
      <w:tr w14:paraId="1E4969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47442B38">
            <w:pPr>
              <w:pStyle w:val="85"/>
              <w:rPr>
                <w:color w:val="auto"/>
                <w:sz w:val="22"/>
                <w:szCs w:val="22"/>
              </w:rPr>
            </w:pPr>
            <w:r>
              <w:rPr>
                <w:color w:val="auto"/>
                <w:sz w:val="22"/>
                <w:szCs w:val="22"/>
              </w:rPr>
              <w:t>Урок 57</w:t>
            </w:r>
          </w:p>
        </w:tc>
        <w:tc>
          <w:tcPr>
            <w:tcW w:w="7937" w:type="dxa"/>
            <w:vAlign w:val="center"/>
          </w:tcPr>
          <w:p w14:paraId="11D3E358">
            <w:pPr>
              <w:pStyle w:val="85"/>
              <w:jc w:val="both"/>
              <w:rPr>
                <w:color w:val="auto"/>
                <w:sz w:val="22"/>
                <w:szCs w:val="22"/>
              </w:rPr>
            </w:pPr>
            <w:r>
              <w:rPr>
                <w:color w:val="auto"/>
                <w:sz w:val="22"/>
                <w:szCs w:val="22"/>
              </w:rPr>
              <w:t>Составление устного рассказа по репродукции картины на основе изученных лирических произведений</w:t>
            </w:r>
          </w:p>
        </w:tc>
      </w:tr>
      <w:tr w14:paraId="79222B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17BDAF84">
            <w:pPr>
              <w:pStyle w:val="85"/>
              <w:rPr>
                <w:color w:val="auto"/>
                <w:sz w:val="22"/>
                <w:szCs w:val="22"/>
              </w:rPr>
            </w:pPr>
            <w:r>
              <w:rPr>
                <w:color w:val="auto"/>
                <w:sz w:val="22"/>
                <w:szCs w:val="22"/>
              </w:rPr>
              <w:t>Урок 58</w:t>
            </w:r>
          </w:p>
        </w:tc>
        <w:tc>
          <w:tcPr>
            <w:tcW w:w="7937" w:type="dxa"/>
            <w:vAlign w:val="center"/>
          </w:tcPr>
          <w:p w14:paraId="2234BD2C">
            <w:pPr>
              <w:pStyle w:val="85"/>
              <w:jc w:val="both"/>
              <w:rPr>
                <w:color w:val="auto"/>
                <w:sz w:val="22"/>
                <w:szCs w:val="22"/>
              </w:rPr>
            </w:pPr>
            <w:r>
              <w:rPr>
                <w:color w:val="auto"/>
                <w:sz w:val="22"/>
                <w:szCs w:val="22"/>
              </w:rPr>
              <w:t>Резервный урок. Читательский дневник (правила оформления)</w:t>
            </w:r>
          </w:p>
        </w:tc>
      </w:tr>
      <w:tr w14:paraId="7A00A7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08C2CB5A">
            <w:pPr>
              <w:pStyle w:val="85"/>
              <w:rPr>
                <w:color w:val="auto"/>
                <w:sz w:val="22"/>
                <w:szCs w:val="22"/>
              </w:rPr>
            </w:pPr>
            <w:r>
              <w:rPr>
                <w:color w:val="auto"/>
                <w:sz w:val="22"/>
                <w:szCs w:val="22"/>
              </w:rPr>
              <w:t>Урок 59</w:t>
            </w:r>
          </w:p>
        </w:tc>
        <w:tc>
          <w:tcPr>
            <w:tcW w:w="7937" w:type="dxa"/>
            <w:vAlign w:val="center"/>
          </w:tcPr>
          <w:p w14:paraId="7193B8EF">
            <w:pPr>
              <w:pStyle w:val="85"/>
              <w:jc w:val="both"/>
              <w:rPr>
                <w:color w:val="auto"/>
                <w:sz w:val="22"/>
                <w:szCs w:val="22"/>
              </w:rPr>
            </w:pPr>
            <w:r>
              <w:rPr>
                <w:color w:val="auto"/>
                <w:sz w:val="22"/>
                <w:szCs w:val="22"/>
              </w:rPr>
              <w:t>Характеристика героя литературной сказки. На примере сказки В.Ф. Одоевского "Городок в табакерке"</w:t>
            </w:r>
          </w:p>
        </w:tc>
      </w:tr>
      <w:tr w14:paraId="740813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60AFF4DD">
            <w:pPr>
              <w:pStyle w:val="85"/>
              <w:rPr>
                <w:color w:val="auto"/>
                <w:sz w:val="22"/>
                <w:szCs w:val="22"/>
              </w:rPr>
            </w:pPr>
            <w:r>
              <w:rPr>
                <w:color w:val="auto"/>
                <w:sz w:val="22"/>
                <w:szCs w:val="22"/>
              </w:rPr>
              <w:t>Урок 60</w:t>
            </w:r>
          </w:p>
        </w:tc>
        <w:tc>
          <w:tcPr>
            <w:tcW w:w="7937" w:type="dxa"/>
            <w:vAlign w:val="center"/>
          </w:tcPr>
          <w:p w14:paraId="3909FB08">
            <w:pPr>
              <w:pStyle w:val="85"/>
              <w:jc w:val="both"/>
              <w:rPr>
                <w:color w:val="auto"/>
                <w:sz w:val="22"/>
                <w:szCs w:val="22"/>
              </w:rPr>
            </w:pPr>
            <w:r>
              <w:rPr>
                <w:color w:val="auto"/>
                <w:sz w:val="22"/>
                <w:szCs w:val="22"/>
              </w:rPr>
              <w:t>Народные образы героев сказа П.П. Бажова "Серебряное копытце"</w:t>
            </w:r>
          </w:p>
        </w:tc>
      </w:tr>
      <w:tr w14:paraId="7394C0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391FA291">
            <w:pPr>
              <w:pStyle w:val="85"/>
              <w:rPr>
                <w:color w:val="auto"/>
                <w:sz w:val="22"/>
                <w:szCs w:val="22"/>
              </w:rPr>
            </w:pPr>
            <w:r>
              <w:rPr>
                <w:color w:val="auto"/>
                <w:sz w:val="22"/>
                <w:szCs w:val="22"/>
              </w:rPr>
              <w:t>Урок 61</w:t>
            </w:r>
          </w:p>
        </w:tc>
        <w:tc>
          <w:tcPr>
            <w:tcW w:w="7937" w:type="dxa"/>
            <w:vAlign w:val="center"/>
          </w:tcPr>
          <w:p w14:paraId="76CFF881">
            <w:pPr>
              <w:pStyle w:val="85"/>
              <w:jc w:val="both"/>
              <w:rPr>
                <w:color w:val="auto"/>
                <w:sz w:val="22"/>
                <w:szCs w:val="22"/>
              </w:rPr>
            </w:pPr>
            <w:r>
              <w:rPr>
                <w:color w:val="auto"/>
                <w:sz w:val="22"/>
                <w:szCs w:val="22"/>
              </w:rPr>
              <w:t>Наблюдение за художественными особенностями, языком сказа П.П. Бажова "Серебряное копытце"</w:t>
            </w:r>
          </w:p>
        </w:tc>
      </w:tr>
      <w:tr w14:paraId="4BED11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45D0B338">
            <w:pPr>
              <w:pStyle w:val="85"/>
              <w:rPr>
                <w:color w:val="auto"/>
                <w:sz w:val="22"/>
                <w:szCs w:val="22"/>
              </w:rPr>
            </w:pPr>
            <w:r>
              <w:rPr>
                <w:color w:val="auto"/>
                <w:sz w:val="22"/>
                <w:szCs w:val="22"/>
              </w:rPr>
              <w:t>Урок 62</w:t>
            </w:r>
          </w:p>
        </w:tc>
        <w:tc>
          <w:tcPr>
            <w:tcW w:w="7937" w:type="dxa"/>
            <w:vAlign w:val="center"/>
          </w:tcPr>
          <w:p w14:paraId="24A961FD">
            <w:pPr>
              <w:pStyle w:val="85"/>
              <w:jc w:val="both"/>
              <w:rPr>
                <w:color w:val="auto"/>
                <w:sz w:val="22"/>
                <w:szCs w:val="22"/>
              </w:rPr>
            </w:pPr>
            <w:r>
              <w:rPr>
                <w:color w:val="auto"/>
                <w:sz w:val="22"/>
                <w:szCs w:val="22"/>
              </w:rPr>
              <w:t>Иллюстрации как отражение сюжета сказов П.П. Бажова</w:t>
            </w:r>
          </w:p>
        </w:tc>
      </w:tr>
      <w:tr w14:paraId="2E3EC1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2FE966D2">
            <w:pPr>
              <w:pStyle w:val="85"/>
              <w:rPr>
                <w:color w:val="auto"/>
                <w:sz w:val="22"/>
                <w:szCs w:val="22"/>
              </w:rPr>
            </w:pPr>
            <w:r>
              <w:rPr>
                <w:color w:val="auto"/>
                <w:sz w:val="22"/>
                <w:szCs w:val="22"/>
              </w:rPr>
              <w:t>Урок 63</w:t>
            </w:r>
          </w:p>
        </w:tc>
        <w:tc>
          <w:tcPr>
            <w:tcW w:w="7937" w:type="dxa"/>
            <w:vAlign w:val="center"/>
          </w:tcPr>
          <w:p w14:paraId="6FEC8F96">
            <w:pPr>
              <w:pStyle w:val="85"/>
              <w:jc w:val="both"/>
              <w:rPr>
                <w:color w:val="auto"/>
                <w:sz w:val="22"/>
                <w:szCs w:val="22"/>
              </w:rPr>
            </w:pPr>
            <w:r>
              <w:rPr>
                <w:color w:val="auto"/>
                <w:sz w:val="22"/>
                <w:szCs w:val="22"/>
              </w:rPr>
              <w:t>Литературная сказка П.П. Ершова "Конек-Горбунок": сюжет и построение (композиция) сказки</w:t>
            </w:r>
          </w:p>
        </w:tc>
      </w:tr>
      <w:tr w14:paraId="383A8B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272D4AC4">
            <w:pPr>
              <w:pStyle w:val="85"/>
              <w:rPr>
                <w:color w:val="auto"/>
                <w:sz w:val="22"/>
                <w:szCs w:val="22"/>
              </w:rPr>
            </w:pPr>
            <w:r>
              <w:rPr>
                <w:color w:val="auto"/>
                <w:sz w:val="22"/>
                <w:szCs w:val="22"/>
              </w:rPr>
              <w:t>Урок 64</w:t>
            </w:r>
          </w:p>
        </w:tc>
        <w:tc>
          <w:tcPr>
            <w:tcW w:w="7937" w:type="dxa"/>
            <w:vAlign w:val="center"/>
          </w:tcPr>
          <w:p w14:paraId="7B112D7D">
            <w:pPr>
              <w:pStyle w:val="85"/>
              <w:jc w:val="both"/>
              <w:rPr>
                <w:color w:val="auto"/>
                <w:sz w:val="22"/>
                <w:szCs w:val="22"/>
              </w:rPr>
            </w:pPr>
            <w:r>
              <w:rPr>
                <w:color w:val="auto"/>
                <w:sz w:val="22"/>
                <w:szCs w:val="22"/>
              </w:rPr>
              <w:t>Речевые особенности (сказочные формулы, повторы, постоянные эпитеты) сказки П.П. Ершова "Конек-Горбунок"</w:t>
            </w:r>
          </w:p>
        </w:tc>
      </w:tr>
      <w:tr w14:paraId="4A2C34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59EFE26F">
            <w:pPr>
              <w:pStyle w:val="85"/>
              <w:rPr>
                <w:color w:val="auto"/>
                <w:sz w:val="22"/>
                <w:szCs w:val="22"/>
              </w:rPr>
            </w:pPr>
            <w:r>
              <w:rPr>
                <w:color w:val="auto"/>
                <w:sz w:val="22"/>
                <w:szCs w:val="22"/>
              </w:rPr>
              <w:t>Урок 65</w:t>
            </w:r>
          </w:p>
        </w:tc>
        <w:tc>
          <w:tcPr>
            <w:tcW w:w="7937" w:type="dxa"/>
            <w:vAlign w:val="center"/>
          </w:tcPr>
          <w:p w14:paraId="46EE67B1">
            <w:pPr>
              <w:pStyle w:val="85"/>
              <w:jc w:val="both"/>
              <w:rPr>
                <w:color w:val="auto"/>
                <w:sz w:val="22"/>
                <w:szCs w:val="22"/>
              </w:rPr>
            </w:pPr>
            <w:r>
              <w:rPr>
                <w:color w:val="auto"/>
                <w:sz w:val="22"/>
                <w:szCs w:val="22"/>
              </w:rPr>
              <w:t>Литературная сказка С.Т. Аксакова "Аленький цветочек" (сюжет, композиция, герои)</w:t>
            </w:r>
          </w:p>
        </w:tc>
      </w:tr>
      <w:tr w14:paraId="054827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0DCC8646">
            <w:pPr>
              <w:pStyle w:val="85"/>
              <w:rPr>
                <w:color w:val="auto"/>
                <w:sz w:val="22"/>
                <w:szCs w:val="22"/>
              </w:rPr>
            </w:pPr>
            <w:r>
              <w:rPr>
                <w:color w:val="auto"/>
                <w:sz w:val="22"/>
                <w:szCs w:val="22"/>
              </w:rPr>
              <w:t>Урок 66</w:t>
            </w:r>
          </w:p>
        </w:tc>
        <w:tc>
          <w:tcPr>
            <w:tcW w:w="7937" w:type="dxa"/>
            <w:vAlign w:val="center"/>
          </w:tcPr>
          <w:p w14:paraId="476D6E5E">
            <w:pPr>
              <w:pStyle w:val="85"/>
              <w:jc w:val="both"/>
              <w:rPr>
                <w:color w:val="auto"/>
                <w:sz w:val="22"/>
                <w:szCs w:val="22"/>
              </w:rPr>
            </w:pPr>
            <w:r>
              <w:rPr>
                <w:color w:val="auto"/>
                <w:sz w:val="22"/>
                <w:szCs w:val="22"/>
              </w:rPr>
              <w:t>Фольклорная основа литературной сказки С.Т. Аксакова "Аленький цветочек". Сочинение по сказке</w:t>
            </w:r>
          </w:p>
        </w:tc>
      </w:tr>
      <w:tr w14:paraId="42706C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6DFE34F4">
            <w:pPr>
              <w:pStyle w:val="85"/>
              <w:rPr>
                <w:color w:val="auto"/>
                <w:sz w:val="22"/>
                <w:szCs w:val="22"/>
              </w:rPr>
            </w:pPr>
            <w:r>
              <w:rPr>
                <w:color w:val="auto"/>
                <w:sz w:val="22"/>
                <w:szCs w:val="22"/>
              </w:rPr>
              <w:t>Урок 67</w:t>
            </w:r>
          </w:p>
        </w:tc>
        <w:tc>
          <w:tcPr>
            <w:tcW w:w="7937" w:type="dxa"/>
            <w:vAlign w:val="center"/>
          </w:tcPr>
          <w:p w14:paraId="66379203">
            <w:pPr>
              <w:pStyle w:val="85"/>
              <w:jc w:val="both"/>
              <w:rPr>
                <w:color w:val="auto"/>
                <w:sz w:val="22"/>
                <w:szCs w:val="22"/>
              </w:rPr>
            </w:pPr>
            <w:r>
              <w:rPr>
                <w:color w:val="auto"/>
                <w:sz w:val="22"/>
                <w:szCs w:val="22"/>
              </w:rPr>
              <w:t>Тематическая повторение по итогам раздела "Литературная сказка"</w:t>
            </w:r>
          </w:p>
        </w:tc>
      </w:tr>
      <w:tr w14:paraId="5D7DAF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31F25103">
            <w:pPr>
              <w:pStyle w:val="85"/>
              <w:rPr>
                <w:color w:val="auto"/>
                <w:sz w:val="22"/>
                <w:szCs w:val="22"/>
              </w:rPr>
            </w:pPr>
            <w:r>
              <w:rPr>
                <w:color w:val="auto"/>
                <w:sz w:val="22"/>
                <w:szCs w:val="22"/>
              </w:rPr>
              <w:t>Урок 68</w:t>
            </w:r>
          </w:p>
        </w:tc>
        <w:tc>
          <w:tcPr>
            <w:tcW w:w="7937" w:type="dxa"/>
            <w:vAlign w:val="center"/>
          </w:tcPr>
          <w:p w14:paraId="743B043D">
            <w:pPr>
              <w:pStyle w:val="85"/>
              <w:jc w:val="both"/>
              <w:rPr>
                <w:color w:val="auto"/>
                <w:sz w:val="22"/>
                <w:szCs w:val="22"/>
              </w:rPr>
            </w:pPr>
            <w:r>
              <w:rPr>
                <w:color w:val="auto"/>
                <w:sz w:val="22"/>
                <w:szCs w:val="22"/>
              </w:rPr>
              <w:t>Расширение круга детского чтения. Знакомство с авторами юмористических произведений</w:t>
            </w:r>
          </w:p>
        </w:tc>
      </w:tr>
      <w:tr w14:paraId="3947F1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5777E676">
            <w:pPr>
              <w:pStyle w:val="85"/>
              <w:rPr>
                <w:color w:val="auto"/>
                <w:sz w:val="22"/>
                <w:szCs w:val="22"/>
              </w:rPr>
            </w:pPr>
            <w:r>
              <w:rPr>
                <w:color w:val="auto"/>
                <w:sz w:val="22"/>
                <w:szCs w:val="22"/>
              </w:rPr>
              <w:t>Урок 69</w:t>
            </w:r>
          </w:p>
        </w:tc>
        <w:tc>
          <w:tcPr>
            <w:tcW w:w="7937" w:type="dxa"/>
            <w:vAlign w:val="center"/>
          </w:tcPr>
          <w:p w14:paraId="543816B6">
            <w:pPr>
              <w:pStyle w:val="85"/>
              <w:jc w:val="both"/>
              <w:rPr>
                <w:color w:val="auto"/>
                <w:sz w:val="22"/>
                <w:szCs w:val="22"/>
              </w:rPr>
            </w:pPr>
            <w:r>
              <w:rPr>
                <w:color w:val="auto"/>
                <w:sz w:val="22"/>
                <w:szCs w:val="22"/>
              </w:rPr>
              <w:t>Средства создания комического в произведениях Н.Н. Носова и других авторов на выбор</w:t>
            </w:r>
          </w:p>
        </w:tc>
      </w:tr>
      <w:tr w14:paraId="1D8192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6D142039">
            <w:pPr>
              <w:pStyle w:val="85"/>
              <w:rPr>
                <w:color w:val="auto"/>
                <w:sz w:val="22"/>
                <w:szCs w:val="22"/>
              </w:rPr>
            </w:pPr>
            <w:r>
              <w:rPr>
                <w:color w:val="auto"/>
                <w:sz w:val="22"/>
                <w:szCs w:val="22"/>
              </w:rPr>
              <w:t>Урок 70</w:t>
            </w:r>
          </w:p>
        </w:tc>
        <w:tc>
          <w:tcPr>
            <w:tcW w:w="7937" w:type="dxa"/>
            <w:vAlign w:val="center"/>
          </w:tcPr>
          <w:p w14:paraId="3BB14309">
            <w:pPr>
              <w:pStyle w:val="85"/>
              <w:jc w:val="both"/>
              <w:rPr>
                <w:color w:val="auto"/>
                <w:sz w:val="22"/>
                <w:szCs w:val="22"/>
              </w:rPr>
            </w:pPr>
            <w:r>
              <w:rPr>
                <w:color w:val="auto"/>
                <w:sz w:val="22"/>
                <w:szCs w:val="22"/>
              </w:rPr>
              <w:t>Знакомство с экранизацией произведений юмористических произведений. На примере экранизации "Сказки о потерянном времени" Е.Л. Шварца (1964 г.)</w:t>
            </w:r>
          </w:p>
        </w:tc>
      </w:tr>
      <w:tr w14:paraId="3E6710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1F26475F">
            <w:pPr>
              <w:pStyle w:val="85"/>
              <w:rPr>
                <w:color w:val="auto"/>
                <w:sz w:val="22"/>
                <w:szCs w:val="22"/>
              </w:rPr>
            </w:pPr>
            <w:r>
              <w:rPr>
                <w:color w:val="auto"/>
                <w:sz w:val="22"/>
                <w:szCs w:val="22"/>
              </w:rPr>
              <w:t>Урок 71</w:t>
            </w:r>
          </w:p>
        </w:tc>
        <w:tc>
          <w:tcPr>
            <w:tcW w:w="7937" w:type="dxa"/>
            <w:vAlign w:val="center"/>
          </w:tcPr>
          <w:p w14:paraId="35CB8BDD">
            <w:pPr>
              <w:pStyle w:val="85"/>
              <w:jc w:val="both"/>
              <w:rPr>
                <w:color w:val="auto"/>
                <w:sz w:val="22"/>
                <w:szCs w:val="22"/>
              </w:rPr>
            </w:pPr>
            <w:r>
              <w:rPr>
                <w:color w:val="auto"/>
                <w:sz w:val="22"/>
                <w:szCs w:val="22"/>
              </w:rPr>
              <w:t>Резервный урок. Работа с детскими книгами. Произведения В.Ю. Драгунского</w:t>
            </w:r>
          </w:p>
        </w:tc>
      </w:tr>
      <w:tr w14:paraId="1AD102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615E9FFA">
            <w:pPr>
              <w:pStyle w:val="85"/>
              <w:rPr>
                <w:color w:val="auto"/>
                <w:sz w:val="22"/>
                <w:szCs w:val="22"/>
              </w:rPr>
            </w:pPr>
            <w:r>
              <w:rPr>
                <w:color w:val="auto"/>
                <w:sz w:val="22"/>
                <w:szCs w:val="22"/>
              </w:rPr>
              <w:t>Урок 72</w:t>
            </w:r>
          </w:p>
        </w:tc>
        <w:tc>
          <w:tcPr>
            <w:tcW w:w="7937" w:type="dxa"/>
            <w:vAlign w:val="center"/>
          </w:tcPr>
          <w:p w14:paraId="7AB298F6">
            <w:pPr>
              <w:pStyle w:val="85"/>
              <w:jc w:val="both"/>
              <w:rPr>
                <w:color w:val="auto"/>
                <w:sz w:val="22"/>
                <w:szCs w:val="22"/>
              </w:rPr>
            </w:pPr>
            <w:r>
              <w:rPr>
                <w:color w:val="auto"/>
                <w:sz w:val="22"/>
                <w:szCs w:val="22"/>
              </w:rPr>
              <w:t>Герой юмористических произведений В.Ю. Драгунского. Средства создания юмористического содержания</w:t>
            </w:r>
          </w:p>
        </w:tc>
      </w:tr>
      <w:tr w14:paraId="302814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735A2319">
            <w:pPr>
              <w:pStyle w:val="85"/>
              <w:rPr>
                <w:color w:val="auto"/>
                <w:sz w:val="22"/>
                <w:szCs w:val="22"/>
              </w:rPr>
            </w:pPr>
            <w:r>
              <w:rPr>
                <w:color w:val="auto"/>
                <w:sz w:val="22"/>
                <w:szCs w:val="22"/>
              </w:rPr>
              <w:t>Урок 73</w:t>
            </w:r>
          </w:p>
        </w:tc>
        <w:tc>
          <w:tcPr>
            <w:tcW w:w="7937" w:type="dxa"/>
            <w:vAlign w:val="center"/>
          </w:tcPr>
          <w:p w14:paraId="15BE03F9">
            <w:pPr>
              <w:pStyle w:val="85"/>
              <w:jc w:val="both"/>
              <w:rPr>
                <w:color w:val="auto"/>
                <w:sz w:val="22"/>
                <w:szCs w:val="22"/>
              </w:rPr>
            </w:pPr>
            <w:r>
              <w:rPr>
                <w:color w:val="auto"/>
                <w:sz w:val="22"/>
                <w:szCs w:val="22"/>
              </w:rPr>
              <w:t>Средства выразительности текста юмористического содержания: гипербола. На примере рассказа В.Ю. Драгунского "Главные реки"</w:t>
            </w:r>
          </w:p>
        </w:tc>
      </w:tr>
      <w:tr w14:paraId="1FC89A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62E7DA67">
            <w:pPr>
              <w:pStyle w:val="85"/>
              <w:rPr>
                <w:color w:val="auto"/>
                <w:sz w:val="22"/>
                <w:szCs w:val="22"/>
              </w:rPr>
            </w:pPr>
            <w:r>
              <w:rPr>
                <w:color w:val="auto"/>
                <w:sz w:val="22"/>
                <w:szCs w:val="22"/>
              </w:rPr>
              <w:t>Урок 74</w:t>
            </w:r>
          </w:p>
        </w:tc>
        <w:tc>
          <w:tcPr>
            <w:tcW w:w="7937" w:type="dxa"/>
            <w:vAlign w:val="center"/>
          </w:tcPr>
          <w:p w14:paraId="534518DB">
            <w:pPr>
              <w:pStyle w:val="85"/>
              <w:jc w:val="both"/>
              <w:rPr>
                <w:color w:val="auto"/>
                <w:sz w:val="22"/>
                <w:szCs w:val="22"/>
              </w:rPr>
            </w:pPr>
            <w:r>
              <w:rPr>
                <w:color w:val="auto"/>
                <w:sz w:val="22"/>
                <w:szCs w:val="22"/>
              </w:rPr>
              <w:t>Знакомство с пьесой как жанром литературы. Как подготовить произведение к постановке в театре?</w:t>
            </w:r>
          </w:p>
        </w:tc>
      </w:tr>
      <w:tr w14:paraId="1C31E5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4668B9C1">
            <w:pPr>
              <w:pStyle w:val="85"/>
              <w:rPr>
                <w:color w:val="auto"/>
                <w:sz w:val="22"/>
                <w:szCs w:val="22"/>
              </w:rPr>
            </w:pPr>
            <w:r>
              <w:rPr>
                <w:color w:val="auto"/>
                <w:sz w:val="22"/>
                <w:szCs w:val="22"/>
              </w:rPr>
              <w:t>Урок 75</w:t>
            </w:r>
          </w:p>
        </w:tc>
        <w:tc>
          <w:tcPr>
            <w:tcW w:w="7937" w:type="dxa"/>
            <w:vAlign w:val="center"/>
          </w:tcPr>
          <w:p w14:paraId="6AE534DB">
            <w:pPr>
              <w:pStyle w:val="85"/>
              <w:jc w:val="both"/>
              <w:rPr>
                <w:color w:val="auto"/>
                <w:sz w:val="22"/>
                <w:szCs w:val="22"/>
              </w:rPr>
            </w:pPr>
            <w:r>
              <w:rPr>
                <w:color w:val="auto"/>
                <w:sz w:val="22"/>
                <w:szCs w:val="22"/>
              </w:rPr>
              <w:t>Создание ремарок (их назначение и содержание) на основе анализа характера героев произведения. На примере рассказа В.Ю. Драгунского "Главные реки"</w:t>
            </w:r>
          </w:p>
        </w:tc>
      </w:tr>
      <w:tr w14:paraId="3D14E7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298D8FAA">
            <w:pPr>
              <w:pStyle w:val="85"/>
              <w:rPr>
                <w:color w:val="auto"/>
                <w:sz w:val="22"/>
                <w:szCs w:val="22"/>
              </w:rPr>
            </w:pPr>
            <w:r>
              <w:rPr>
                <w:color w:val="auto"/>
                <w:sz w:val="22"/>
                <w:szCs w:val="22"/>
              </w:rPr>
              <w:t>Урок 76</w:t>
            </w:r>
          </w:p>
        </w:tc>
        <w:tc>
          <w:tcPr>
            <w:tcW w:w="7937" w:type="dxa"/>
            <w:vAlign w:val="center"/>
          </w:tcPr>
          <w:p w14:paraId="50F60F05">
            <w:pPr>
              <w:pStyle w:val="85"/>
              <w:jc w:val="both"/>
              <w:rPr>
                <w:color w:val="auto"/>
                <w:sz w:val="22"/>
                <w:szCs w:val="22"/>
              </w:rPr>
            </w:pPr>
            <w:r>
              <w:rPr>
                <w:color w:val="auto"/>
                <w:sz w:val="22"/>
                <w:szCs w:val="22"/>
              </w:rPr>
              <w:t>Создание реквизита для инсценивроания произведения. Подготовка пригласительных билетов и афиши на примере рассказа В.Ю. Драгунского "Главные реки"</w:t>
            </w:r>
          </w:p>
        </w:tc>
      </w:tr>
      <w:tr w14:paraId="1687C4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6FAD0921">
            <w:pPr>
              <w:pStyle w:val="85"/>
              <w:rPr>
                <w:color w:val="auto"/>
                <w:sz w:val="22"/>
                <w:szCs w:val="22"/>
              </w:rPr>
            </w:pPr>
            <w:r>
              <w:rPr>
                <w:color w:val="auto"/>
                <w:sz w:val="22"/>
                <w:szCs w:val="22"/>
              </w:rPr>
              <w:t>Урок 77</w:t>
            </w:r>
          </w:p>
        </w:tc>
        <w:tc>
          <w:tcPr>
            <w:tcW w:w="7937" w:type="dxa"/>
            <w:vAlign w:val="center"/>
          </w:tcPr>
          <w:p w14:paraId="61BC4C24">
            <w:pPr>
              <w:pStyle w:val="85"/>
              <w:jc w:val="both"/>
              <w:rPr>
                <w:color w:val="auto"/>
                <w:sz w:val="22"/>
                <w:szCs w:val="22"/>
              </w:rPr>
            </w:pPr>
            <w:r>
              <w:rPr>
                <w:color w:val="auto"/>
                <w:sz w:val="22"/>
                <w:szCs w:val="22"/>
              </w:rPr>
              <w:t>Пьеса и сказка: драматическое и эпическое произведения, их структурные и жанровые особенности</w:t>
            </w:r>
          </w:p>
        </w:tc>
      </w:tr>
      <w:tr w14:paraId="74F702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463A3361">
            <w:pPr>
              <w:pStyle w:val="85"/>
              <w:rPr>
                <w:color w:val="auto"/>
                <w:sz w:val="22"/>
                <w:szCs w:val="22"/>
              </w:rPr>
            </w:pPr>
            <w:r>
              <w:rPr>
                <w:color w:val="auto"/>
                <w:sz w:val="22"/>
                <w:szCs w:val="22"/>
              </w:rPr>
              <w:t>Урок 78</w:t>
            </w:r>
          </w:p>
        </w:tc>
        <w:tc>
          <w:tcPr>
            <w:tcW w:w="7937" w:type="dxa"/>
            <w:vAlign w:val="center"/>
          </w:tcPr>
          <w:p w14:paraId="13C68E94">
            <w:pPr>
              <w:pStyle w:val="85"/>
              <w:jc w:val="both"/>
              <w:rPr>
                <w:color w:val="auto"/>
                <w:sz w:val="22"/>
                <w:szCs w:val="22"/>
              </w:rPr>
            </w:pPr>
            <w:r>
              <w:rPr>
                <w:color w:val="auto"/>
                <w:sz w:val="22"/>
                <w:szCs w:val="22"/>
              </w:rPr>
              <w:t>Работа с пьесой-сказкой С.Я. Маршака "Двенадцать месяцев"</w:t>
            </w:r>
          </w:p>
        </w:tc>
      </w:tr>
      <w:tr w14:paraId="7636CC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0CFC62A6">
            <w:pPr>
              <w:pStyle w:val="85"/>
              <w:rPr>
                <w:color w:val="auto"/>
                <w:sz w:val="22"/>
                <w:szCs w:val="22"/>
              </w:rPr>
            </w:pPr>
            <w:r>
              <w:rPr>
                <w:color w:val="auto"/>
                <w:sz w:val="22"/>
                <w:szCs w:val="22"/>
              </w:rPr>
              <w:t>Урок 79</w:t>
            </w:r>
          </w:p>
        </w:tc>
        <w:tc>
          <w:tcPr>
            <w:tcW w:w="7937" w:type="dxa"/>
            <w:vAlign w:val="center"/>
          </w:tcPr>
          <w:p w14:paraId="39598D6D">
            <w:pPr>
              <w:pStyle w:val="85"/>
              <w:jc w:val="both"/>
              <w:rPr>
                <w:color w:val="auto"/>
                <w:sz w:val="22"/>
                <w:szCs w:val="22"/>
              </w:rPr>
            </w:pPr>
            <w:r>
              <w:rPr>
                <w:color w:val="auto"/>
                <w:sz w:val="22"/>
                <w:szCs w:val="22"/>
              </w:rPr>
              <w:t>Характеристика героев юмористических произведений. На примере рассказа Л.Д. Каминского "Автопортрет"</w:t>
            </w:r>
          </w:p>
        </w:tc>
      </w:tr>
      <w:tr w14:paraId="1864FB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35A5CDB0">
            <w:pPr>
              <w:pStyle w:val="85"/>
              <w:rPr>
                <w:color w:val="auto"/>
                <w:sz w:val="22"/>
                <w:szCs w:val="22"/>
              </w:rPr>
            </w:pPr>
            <w:r>
              <w:rPr>
                <w:color w:val="auto"/>
                <w:sz w:val="22"/>
                <w:szCs w:val="22"/>
              </w:rPr>
              <w:t>Урок 80</w:t>
            </w:r>
          </w:p>
        </w:tc>
        <w:tc>
          <w:tcPr>
            <w:tcW w:w="7937" w:type="dxa"/>
            <w:vAlign w:val="center"/>
          </w:tcPr>
          <w:p w14:paraId="7F688856">
            <w:pPr>
              <w:pStyle w:val="85"/>
              <w:jc w:val="both"/>
              <w:rPr>
                <w:color w:val="auto"/>
                <w:sz w:val="22"/>
                <w:szCs w:val="22"/>
              </w:rPr>
            </w:pPr>
            <w:r>
              <w:rPr>
                <w:color w:val="auto"/>
                <w:sz w:val="22"/>
                <w:szCs w:val="22"/>
              </w:rPr>
              <w:t>Резервный урок. Знакомство с детскими журналами: "Веселые картинки", "Мурзилка" и другими. Сочинение веселой истории</w:t>
            </w:r>
          </w:p>
        </w:tc>
      </w:tr>
      <w:tr w14:paraId="3F7EEF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23FA8505">
            <w:pPr>
              <w:pStyle w:val="85"/>
              <w:rPr>
                <w:color w:val="auto"/>
                <w:sz w:val="22"/>
                <w:szCs w:val="22"/>
              </w:rPr>
            </w:pPr>
            <w:r>
              <w:rPr>
                <w:color w:val="auto"/>
                <w:sz w:val="22"/>
                <w:szCs w:val="22"/>
              </w:rPr>
              <w:t>Урок 81</w:t>
            </w:r>
          </w:p>
        </w:tc>
        <w:tc>
          <w:tcPr>
            <w:tcW w:w="7937" w:type="dxa"/>
            <w:vAlign w:val="center"/>
          </w:tcPr>
          <w:p w14:paraId="570071B3">
            <w:pPr>
              <w:pStyle w:val="85"/>
              <w:jc w:val="both"/>
              <w:rPr>
                <w:color w:val="auto"/>
                <w:sz w:val="22"/>
                <w:szCs w:val="22"/>
              </w:rPr>
            </w:pPr>
            <w:r>
              <w:rPr>
                <w:color w:val="auto"/>
                <w:sz w:val="22"/>
                <w:szCs w:val="22"/>
              </w:rPr>
              <w:t>Приемы раскрытия главной мысли рассказа. На примере произведения Б.С. Житкова "Как я ловил человечков"</w:t>
            </w:r>
          </w:p>
        </w:tc>
      </w:tr>
      <w:tr w14:paraId="5D2F5A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3A11243B">
            <w:pPr>
              <w:pStyle w:val="85"/>
              <w:rPr>
                <w:color w:val="auto"/>
                <w:sz w:val="22"/>
                <w:szCs w:val="22"/>
              </w:rPr>
            </w:pPr>
            <w:r>
              <w:rPr>
                <w:color w:val="auto"/>
                <w:sz w:val="22"/>
                <w:szCs w:val="22"/>
              </w:rPr>
              <w:t>Урок 82</w:t>
            </w:r>
          </w:p>
        </w:tc>
        <w:tc>
          <w:tcPr>
            <w:tcW w:w="7937" w:type="dxa"/>
            <w:vAlign w:val="center"/>
          </w:tcPr>
          <w:p w14:paraId="37BB2001">
            <w:pPr>
              <w:pStyle w:val="85"/>
              <w:jc w:val="both"/>
              <w:rPr>
                <w:color w:val="auto"/>
                <w:sz w:val="22"/>
                <w:szCs w:val="22"/>
              </w:rPr>
            </w:pPr>
            <w:r>
              <w:rPr>
                <w:color w:val="auto"/>
                <w:sz w:val="22"/>
                <w:szCs w:val="22"/>
              </w:rPr>
              <w:t>Работа с рассказом К.Г. Паустовского "Корзина с еловыми шишками"</w:t>
            </w:r>
          </w:p>
        </w:tc>
      </w:tr>
      <w:tr w14:paraId="07DF48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6A84A8FC">
            <w:pPr>
              <w:pStyle w:val="85"/>
              <w:rPr>
                <w:color w:val="auto"/>
                <w:sz w:val="22"/>
                <w:szCs w:val="22"/>
              </w:rPr>
            </w:pPr>
            <w:r>
              <w:rPr>
                <w:color w:val="auto"/>
                <w:sz w:val="22"/>
                <w:szCs w:val="22"/>
              </w:rPr>
              <w:t>Урок 83</w:t>
            </w:r>
          </w:p>
        </w:tc>
        <w:tc>
          <w:tcPr>
            <w:tcW w:w="7937" w:type="dxa"/>
            <w:vAlign w:val="center"/>
          </w:tcPr>
          <w:p w14:paraId="1D132BA4">
            <w:pPr>
              <w:pStyle w:val="85"/>
              <w:jc w:val="both"/>
              <w:rPr>
                <w:color w:val="auto"/>
                <w:sz w:val="22"/>
                <w:szCs w:val="22"/>
              </w:rPr>
            </w:pPr>
            <w:r>
              <w:rPr>
                <w:color w:val="auto"/>
                <w:sz w:val="22"/>
                <w:szCs w:val="22"/>
              </w:rPr>
              <w:t>Особенности художественного текста-описания: пейзаж, портрет героя, интерьер на примере рассказа К.Г. Паустовского "Корзина с еловыми шишками"</w:t>
            </w:r>
          </w:p>
        </w:tc>
      </w:tr>
      <w:tr w14:paraId="3403C8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11749102">
            <w:pPr>
              <w:pStyle w:val="85"/>
              <w:rPr>
                <w:color w:val="auto"/>
                <w:sz w:val="22"/>
                <w:szCs w:val="22"/>
              </w:rPr>
            </w:pPr>
            <w:r>
              <w:rPr>
                <w:color w:val="auto"/>
                <w:sz w:val="22"/>
                <w:szCs w:val="22"/>
              </w:rPr>
              <w:t>Урок 84</w:t>
            </w:r>
          </w:p>
        </w:tc>
        <w:tc>
          <w:tcPr>
            <w:tcW w:w="7937" w:type="dxa"/>
            <w:vAlign w:val="center"/>
          </w:tcPr>
          <w:p w14:paraId="56D83852">
            <w:pPr>
              <w:pStyle w:val="85"/>
              <w:jc w:val="both"/>
              <w:rPr>
                <w:color w:val="auto"/>
                <w:sz w:val="22"/>
                <w:szCs w:val="22"/>
              </w:rPr>
            </w:pPr>
            <w:r>
              <w:rPr>
                <w:color w:val="auto"/>
                <w:sz w:val="22"/>
                <w:szCs w:val="22"/>
              </w:rPr>
              <w:t>Отличие автора от героя и рассказчика на примере рассказов М.М. Зощенко "О Леньке и Миньке"</w:t>
            </w:r>
          </w:p>
        </w:tc>
      </w:tr>
      <w:tr w14:paraId="74E886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164FDA27">
            <w:pPr>
              <w:pStyle w:val="85"/>
              <w:rPr>
                <w:color w:val="auto"/>
                <w:sz w:val="22"/>
                <w:szCs w:val="22"/>
              </w:rPr>
            </w:pPr>
            <w:r>
              <w:rPr>
                <w:color w:val="auto"/>
                <w:sz w:val="22"/>
                <w:szCs w:val="22"/>
              </w:rPr>
              <w:t>Урок 85</w:t>
            </w:r>
          </w:p>
        </w:tc>
        <w:tc>
          <w:tcPr>
            <w:tcW w:w="7937" w:type="dxa"/>
            <w:vAlign w:val="center"/>
          </w:tcPr>
          <w:p w14:paraId="660A04BE">
            <w:pPr>
              <w:pStyle w:val="85"/>
              <w:jc w:val="both"/>
              <w:rPr>
                <w:color w:val="auto"/>
                <w:sz w:val="22"/>
                <w:szCs w:val="22"/>
              </w:rPr>
            </w:pPr>
            <w:r>
              <w:rPr>
                <w:color w:val="auto"/>
                <w:sz w:val="22"/>
                <w:szCs w:val="22"/>
              </w:rPr>
              <w:t>Отражение нравственно-этических понятий в рассказах М.М. Зощенко "О Леньке и Миньке". На примере рассказа "Елка"</w:t>
            </w:r>
          </w:p>
        </w:tc>
      </w:tr>
      <w:tr w14:paraId="2D6EA4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4FF5F24B">
            <w:pPr>
              <w:pStyle w:val="85"/>
              <w:rPr>
                <w:color w:val="auto"/>
                <w:sz w:val="22"/>
                <w:szCs w:val="22"/>
              </w:rPr>
            </w:pPr>
            <w:r>
              <w:rPr>
                <w:color w:val="auto"/>
                <w:sz w:val="22"/>
                <w:szCs w:val="22"/>
              </w:rPr>
              <w:t>Урок 86</w:t>
            </w:r>
          </w:p>
        </w:tc>
        <w:tc>
          <w:tcPr>
            <w:tcW w:w="7937" w:type="dxa"/>
            <w:vAlign w:val="center"/>
          </w:tcPr>
          <w:p w14:paraId="5ECBC47D">
            <w:pPr>
              <w:pStyle w:val="85"/>
              <w:jc w:val="both"/>
              <w:rPr>
                <w:color w:val="auto"/>
                <w:sz w:val="22"/>
                <w:szCs w:val="22"/>
              </w:rPr>
            </w:pPr>
            <w:r>
              <w:rPr>
                <w:color w:val="auto"/>
                <w:sz w:val="22"/>
                <w:szCs w:val="22"/>
              </w:rPr>
              <w:t>Знакомство с отрывками из повести Н.Г. Гарин-Михайловского "Детство Темы" (отдельные главы): основные события сюжета</w:t>
            </w:r>
          </w:p>
        </w:tc>
      </w:tr>
      <w:tr w14:paraId="0BE523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43BC2281">
            <w:pPr>
              <w:pStyle w:val="85"/>
              <w:rPr>
                <w:color w:val="auto"/>
                <w:sz w:val="22"/>
                <w:szCs w:val="22"/>
              </w:rPr>
            </w:pPr>
            <w:r>
              <w:rPr>
                <w:color w:val="auto"/>
                <w:sz w:val="22"/>
                <w:szCs w:val="22"/>
              </w:rPr>
              <w:t>Урок 87</w:t>
            </w:r>
          </w:p>
        </w:tc>
        <w:tc>
          <w:tcPr>
            <w:tcW w:w="7937" w:type="dxa"/>
            <w:vAlign w:val="center"/>
          </w:tcPr>
          <w:p w14:paraId="1F3C2A22">
            <w:pPr>
              <w:pStyle w:val="85"/>
              <w:jc w:val="both"/>
              <w:rPr>
                <w:color w:val="auto"/>
                <w:sz w:val="22"/>
                <w:szCs w:val="22"/>
              </w:rPr>
            </w:pPr>
            <w:r>
              <w:rPr>
                <w:color w:val="auto"/>
                <w:sz w:val="22"/>
                <w:szCs w:val="22"/>
              </w:rPr>
              <w:t>Словесный портрет героя повести Н.Г. Гарин-Михайловского "Детство Темы" (отдельне главы)</w:t>
            </w:r>
          </w:p>
        </w:tc>
      </w:tr>
      <w:tr w14:paraId="089053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26A18742">
            <w:pPr>
              <w:pStyle w:val="85"/>
              <w:rPr>
                <w:color w:val="auto"/>
                <w:sz w:val="22"/>
                <w:szCs w:val="22"/>
              </w:rPr>
            </w:pPr>
            <w:r>
              <w:rPr>
                <w:color w:val="auto"/>
                <w:sz w:val="22"/>
                <w:szCs w:val="22"/>
              </w:rPr>
              <w:t>Урок 88</w:t>
            </w:r>
          </w:p>
        </w:tc>
        <w:tc>
          <w:tcPr>
            <w:tcW w:w="7937" w:type="dxa"/>
            <w:vAlign w:val="center"/>
          </w:tcPr>
          <w:p w14:paraId="65780373">
            <w:pPr>
              <w:pStyle w:val="85"/>
              <w:jc w:val="both"/>
              <w:rPr>
                <w:color w:val="auto"/>
                <w:sz w:val="22"/>
                <w:szCs w:val="22"/>
              </w:rPr>
            </w:pPr>
            <w:r>
              <w:rPr>
                <w:color w:val="auto"/>
                <w:sz w:val="22"/>
                <w:szCs w:val="22"/>
              </w:rPr>
              <w:t>Осмысление поступков и поведения главного героя повести Н.Г. Гарин-Михайловского "Детство Темы" (отдельные главы)</w:t>
            </w:r>
          </w:p>
        </w:tc>
      </w:tr>
      <w:tr w14:paraId="20E354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1DCF48F8">
            <w:pPr>
              <w:pStyle w:val="85"/>
              <w:rPr>
                <w:color w:val="auto"/>
                <w:sz w:val="22"/>
                <w:szCs w:val="22"/>
              </w:rPr>
            </w:pPr>
            <w:r>
              <w:rPr>
                <w:color w:val="auto"/>
                <w:sz w:val="22"/>
                <w:szCs w:val="22"/>
              </w:rPr>
              <w:t>Урок 89</w:t>
            </w:r>
          </w:p>
        </w:tc>
        <w:tc>
          <w:tcPr>
            <w:tcW w:w="7937" w:type="dxa"/>
            <w:vAlign w:val="center"/>
          </w:tcPr>
          <w:p w14:paraId="26CA5592">
            <w:pPr>
              <w:pStyle w:val="85"/>
              <w:jc w:val="both"/>
              <w:rPr>
                <w:color w:val="auto"/>
                <w:sz w:val="22"/>
                <w:szCs w:val="22"/>
              </w:rPr>
            </w:pPr>
            <w:r>
              <w:rPr>
                <w:color w:val="auto"/>
                <w:sz w:val="22"/>
                <w:szCs w:val="22"/>
              </w:rPr>
              <w:t>Темы лирических произведений. На примере стихотворений М.И. Цветаевой "Наши царства", "Бежит тропинка с бугорка..."</w:t>
            </w:r>
          </w:p>
        </w:tc>
      </w:tr>
      <w:tr w14:paraId="674B78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118E22BF">
            <w:pPr>
              <w:pStyle w:val="85"/>
              <w:rPr>
                <w:color w:val="auto"/>
                <w:sz w:val="22"/>
                <w:szCs w:val="22"/>
              </w:rPr>
            </w:pPr>
            <w:r>
              <w:rPr>
                <w:color w:val="auto"/>
                <w:sz w:val="22"/>
                <w:szCs w:val="22"/>
              </w:rPr>
              <w:t>Урок 90</w:t>
            </w:r>
          </w:p>
        </w:tc>
        <w:tc>
          <w:tcPr>
            <w:tcW w:w="7937" w:type="dxa"/>
            <w:vAlign w:val="center"/>
          </w:tcPr>
          <w:p w14:paraId="04A67BD3">
            <w:pPr>
              <w:pStyle w:val="85"/>
              <w:jc w:val="both"/>
              <w:rPr>
                <w:color w:val="auto"/>
                <w:sz w:val="22"/>
                <w:szCs w:val="22"/>
              </w:rPr>
            </w:pPr>
            <w:r>
              <w:rPr>
                <w:color w:val="auto"/>
                <w:sz w:val="22"/>
                <w:szCs w:val="22"/>
              </w:rPr>
              <w:t>Резервный урок. Выразительность поэтических картин родной природы. На примере стихотворения И.А. Бунина "Детство"</w:t>
            </w:r>
          </w:p>
        </w:tc>
      </w:tr>
      <w:tr w14:paraId="7B9DDE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5B54B8A2">
            <w:pPr>
              <w:pStyle w:val="85"/>
              <w:rPr>
                <w:color w:val="auto"/>
                <w:sz w:val="22"/>
                <w:szCs w:val="22"/>
              </w:rPr>
            </w:pPr>
            <w:r>
              <w:rPr>
                <w:color w:val="auto"/>
                <w:sz w:val="22"/>
                <w:szCs w:val="22"/>
              </w:rPr>
              <w:t>Урок 91</w:t>
            </w:r>
          </w:p>
        </w:tc>
        <w:tc>
          <w:tcPr>
            <w:tcW w:w="7937" w:type="dxa"/>
            <w:vAlign w:val="center"/>
          </w:tcPr>
          <w:p w14:paraId="669E071E">
            <w:pPr>
              <w:pStyle w:val="85"/>
              <w:jc w:val="both"/>
              <w:rPr>
                <w:color w:val="auto"/>
                <w:sz w:val="22"/>
                <w:szCs w:val="22"/>
              </w:rPr>
            </w:pPr>
            <w:r>
              <w:rPr>
                <w:color w:val="auto"/>
                <w:sz w:val="22"/>
                <w:szCs w:val="22"/>
              </w:rPr>
              <w:t>Любовь к природе и родному краю - тема произведений поэтов. На примере стихотворений С.А. Есенина</w:t>
            </w:r>
          </w:p>
        </w:tc>
      </w:tr>
      <w:tr w14:paraId="4536EA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48185662">
            <w:pPr>
              <w:pStyle w:val="85"/>
              <w:rPr>
                <w:color w:val="auto"/>
                <w:sz w:val="22"/>
                <w:szCs w:val="22"/>
              </w:rPr>
            </w:pPr>
            <w:r>
              <w:rPr>
                <w:color w:val="auto"/>
                <w:sz w:val="22"/>
                <w:szCs w:val="22"/>
              </w:rPr>
              <w:t>Урок 92</w:t>
            </w:r>
          </w:p>
        </w:tc>
        <w:tc>
          <w:tcPr>
            <w:tcW w:w="7937" w:type="dxa"/>
            <w:vAlign w:val="center"/>
          </w:tcPr>
          <w:p w14:paraId="1B2ACB4F">
            <w:pPr>
              <w:pStyle w:val="85"/>
              <w:jc w:val="both"/>
              <w:rPr>
                <w:color w:val="auto"/>
                <w:sz w:val="22"/>
                <w:szCs w:val="22"/>
              </w:rPr>
            </w:pPr>
            <w:r>
              <w:rPr>
                <w:color w:val="auto"/>
                <w:sz w:val="22"/>
                <w:szCs w:val="22"/>
              </w:rPr>
              <w:t>Тематическое повторение по итогам раздела "Произведения о детях и для детей"</w:t>
            </w:r>
          </w:p>
        </w:tc>
      </w:tr>
      <w:tr w14:paraId="742F4B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2A9EF497">
            <w:pPr>
              <w:pStyle w:val="85"/>
              <w:rPr>
                <w:color w:val="auto"/>
                <w:sz w:val="22"/>
                <w:szCs w:val="22"/>
              </w:rPr>
            </w:pPr>
            <w:r>
              <w:rPr>
                <w:color w:val="auto"/>
                <w:sz w:val="22"/>
                <w:szCs w:val="22"/>
              </w:rPr>
              <w:t>Урок 93</w:t>
            </w:r>
          </w:p>
        </w:tc>
        <w:tc>
          <w:tcPr>
            <w:tcW w:w="7937" w:type="dxa"/>
            <w:vAlign w:val="center"/>
          </w:tcPr>
          <w:p w14:paraId="1DEADC76">
            <w:pPr>
              <w:pStyle w:val="85"/>
              <w:jc w:val="both"/>
              <w:rPr>
                <w:color w:val="auto"/>
                <w:sz w:val="22"/>
                <w:szCs w:val="22"/>
              </w:rPr>
            </w:pPr>
            <w:r>
              <w:rPr>
                <w:color w:val="auto"/>
                <w:sz w:val="22"/>
                <w:szCs w:val="22"/>
              </w:rPr>
              <w:t>Составление устного рассказа "Герой, который мне больше всего запомнился"</w:t>
            </w:r>
          </w:p>
        </w:tc>
      </w:tr>
      <w:tr w14:paraId="352770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3671EB99">
            <w:pPr>
              <w:pStyle w:val="85"/>
              <w:rPr>
                <w:color w:val="auto"/>
                <w:sz w:val="22"/>
                <w:szCs w:val="22"/>
              </w:rPr>
            </w:pPr>
            <w:r>
              <w:rPr>
                <w:color w:val="auto"/>
                <w:sz w:val="22"/>
                <w:szCs w:val="22"/>
              </w:rPr>
              <w:t>Урок 94</w:t>
            </w:r>
          </w:p>
        </w:tc>
        <w:tc>
          <w:tcPr>
            <w:tcW w:w="7937" w:type="dxa"/>
            <w:vAlign w:val="center"/>
          </w:tcPr>
          <w:p w14:paraId="59255430">
            <w:pPr>
              <w:pStyle w:val="85"/>
              <w:jc w:val="both"/>
              <w:rPr>
                <w:color w:val="auto"/>
                <w:sz w:val="22"/>
                <w:szCs w:val="22"/>
              </w:rPr>
            </w:pPr>
            <w:r>
              <w:rPr>
                <w:color w:val="auto"/>
                <w:sz w:val="22"/>
                <w:szCs w:val="22"/>
              </w:rPr>
              <w:t>Книга как источник информации. Виды информации в книге</w:t>
            </w:r>
          </w:p>
        </w:tc>
      </w:tr>
      <w:tr w14:paraId="23C312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2B44BC6B">
            <w:pPr>
              <w:pStyle w:val="85"/>
              <w:rPr>
                <w:color w:val="auto"/>
                <w:sz w:val="22"/>
                <w:szCs w:val="22"/>
              </w:rPr>
            </w:pPr>
            <w:r>
              <w:rPr>
                <w:color w:val="auto"/>
                <w:sz w:val="22"/>
                <w:szCs w:val="22"/>
              </w:rPr>
              <w:t>Урок 95</w:t>
            </w:r>
          </w:p>
        </w:tc>
        <w:tc>
          <w:tcPr>
            <w:tcW w:w="7937" w:type="dxa"/>
            <w:vAlign w:val="center"/>
          </w:tcPr>
          <w:p w14:paraId="0E54925F">
            <w:pPr>
              <w:pStyle w:val="85"/>
              <w:jc w:val="both"/>
              <w:rPr>
                <w:color w:val="auto"/>
                <w:sz w:val="22"/>
                <w:szCs w:val="22"/>
              </w:rPr>
            </w:pPr>
            <w:r>
              <w:rPr>
                <w:color w:val="auto"/>
                <w:sz w:val="22"/>
                <w:szCs w:val="22"/>
              </w:rPr>
              <w:t>Человек и животные - тема многих произведений писателей</w:t>
            </w:r>
          </w:p>
        </w:tc>
      </w:tr>
      <w:tr w14:paraId="1FCA0A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7240A51B">
            <w:pPr>
              <w:pStyle w:val="85"/>
              <w:rPr>
                <w:color w:val="auto"/>
                <w:sz w:val="22"/>
                <w:szCs w:val="22"/>
              </w:rPr>
            </w:pPr>
            <w:r>
              <w:rPr>
                <w:color w:val="auto"/>
                <w:sz w:val="22"/>
                <w:szCs w:val="22"/>
              </w:rPr>
              <w:t>Урок 96</w:t>
            </w:r>
          </w:p>
        </w:tc>
        <w:tc>
          <w:tcPr>
            <w:tcW w:w="7937" w:type="dxa"/>
            <w:vAlign w:val="center"/>
          </w:tcPr>
          <w:p w14:paraId="3929B1F7">
            <w:pPr>
              <w:pStyle w:val="85"/>
              <w:jc w:val="both"/>
              <w:rPr>
                <w:color w:val="auto"/>
                <w:sz w:val="22"/>
                <w:szCs w:val="22"/>
              </w:rPr>
            </w:pPr>
            <w:r>
              <w:rPr>
                <w:color w:val="auto"/>
                <w:sz w:val="22"/>
                <w:szCs w:val="22"/>
              </w:rPr>
              <w:t>Писатели - авторы произведений о животных: выставка книг</w:t>
            </w:r>
          </w:p>
        </w:tc>
      </w:tr>
      <w:tr w14:paraId="1AB4C9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08CD399E">
            <w:pPr>
              <w:pStyle w:val="85"/>
              <w:rPr>
                <w:color w:val="auto"/>
                <w:sz w:val="22"/>
                <w:szCs w:val="22"/>
              </w:rPr>
            </w:pPr>
            <w:r>
              <w:rPr>
                <w:color w:val="auto"/>
                <w:sz w:val="22"/>
                <w:szCs w:val="22"/>
              </w:rPr>
              <w:t>Урок 97</w:t>
            </w:r>
          </w:p>
        </w:tc>
        <w:tc>
          <w:tcPr>
            <w:tcW w:w="7937" w:type="dxa"/>
            <w:vAlign w:val="center"/>
          </w:tcPr>
          <w:p w14:paraId="20B4A762">
            <w:pPr>
              <w:pStyle w:val="85"/>
              <w:jc w:val="both"/>
              <w:rPr>
                <w:color w:val="auto"/>
                <w:sz w:val="22"/>
                <w:szCs w:val="22"/>
              </w:rPr>
            </w:pPr>
            <w:r>
              <w:rPr>
                <w:color w:val="auto"/>
                <w:sz w:val="22"/>
                <w:szCs w:val="22"/>
              </w:rPr>
              <w:t>Наблюдательность писателей, выражающаяся в описании жизни животных. На примере рассказа А.И. Куприна "Скворцы"</w:t>
            </w:r>
          </w:p>
        </w:tc>
      </w:tr>
      <w:tr w14:paraId="434E09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5BCBB324">
            <w:pPr>
              <w:pStyle w:val="85"/>
              <w:rPr>
                <w:color w:val="auto"/>
                <w:sz w:val="22"/>
                <w:szCs w:val="22"/>
              </w:rPr>
            </w:pPr>
            <w:r>
              <w:rPr>
                <w:color w:val="auto"/>
                <w:sz w:val="22"/>
                <w:szCs w:val="22"/>
              </w:rPr>
              <w:t>Урок 98</w:t>
            </w:r>
          </w:p>
        </w:tc>
        <w:tc>
          <w:tcPr>
            <w:tcW w:w="7937" w:type="dxa"/>
            <w:vAlign w:val="center"/>
          </w:tcPr>
          <w:p w14:paraId="7CD44035">
            <w:pPr>
              <w:pStyle w:val="85"/>
              <w:jc w:val="both"/>
              <w:rPr>
                <w:color w:val="auto"/>
                <w:sz w:val="22"/>
                <w:szCs w:val="22"/>
              </w:rPr>
            </w:pPr>
            <w:r>
              <w:rPr>
                <w:color w:val="auto"/>
                <w:sz w:val="22"/>
                <w:szCs w:val="22"/>
              </w:rPr>
              <w:t>Раскрытие темы о бережном отношении человека к природе родного края</w:t>
            </w:r>
          </w:p>
        </w:tc>
      </w:tr>
      <w:tr w14:paraId="227B5E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3738FACE">
            <w:pPr>
              <w:pStyle w:val="85"/>
              <w:rPr>
                <w:color w:val="auto"/>
                <w:sz w:val="22"/>
                <w:szCs w:val="22"/>
              </w:rPr>
            </w:pPr>
            <w:r>
              <w:rPr>
                <w:color w:val="auto"/>
                <w:sz w:val="22"/>
                <w:szCs w:val="22"/>
              </w:rPr>
              <w:t>Урок 99</w:t>
            </w:r>
          </w:p>
        </w:tc>
        <w:tc>
          <w:tcPr>
            <w:tcW w:w="7937" w:type="dxa"/>
            <w:vAlign w:val="center"/>
          </w:tcPr>
          <w:p w14:paraId="1EA9E263">
            <w:pPr>
              <w:pStyle w:val="85"/>
              <w:jc w:val="both"/>
              <w:rPr>
                <w:color w:val="auto"/>
                <w:sz w:val="22"/>
                <w:szCs w:val="22"/>
              </w:rPr>
            </w:pPr>
            <w:r>
              <w:rPr>
                <w:color w:val="auto"/>
                <w:sz w:val="22"/>
                <w:szCs w:val="22"/>
              </w:rPr>
              <w:t>Особенности художественного описания родной природы. На примере рассказа В.П. Астафьева "Весенний остров"</w:t>
            </w:r>
          </w:p>
        </w:tc>
      </w:tr>
      <w:tr w14:paraId="2FAA59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3E326D8E">
            <w:pPr>
              <w:pStyle w:val="85"/>
              <w:rPr>
                <w:color w:val="auto"/>
                <w:sz w:val="22"/>
                <w:szCs w:val="22"/>
              </w:rPr>
            </w:pPr>
            <w:r>
              <w:rPr>
                <w:color w:val="auto"/>
                <w:sz w:val="22"/>
                <w:szCs w:val="22"/>
              </w:rPr>
              <w:t>Урок 100</w:t>
            </w:r>
          </w:p>
        </w:tc>
        <w:tc>
          <w:tcPr>
            <w:tcW w:w="7937" w:type="dxa"/>
            <w:vAlign w:val="center"/>
          </w:tcPr>
          <w:p w14:paraId="2ABA888D">
            <w:pPr>
              <w:pStyle w:val="85"/>
              <w:jc w:val="both"/>
              <w:rPr>
                <w:color w:val="auto"/>
                <w:sz w:val="22"/>
                <w:szCs w:val="22"/>
              </w:rPr>
            </w:pPr>
            <w:r>
              <w:rPr>
                <w:color w:val="auto"/>
                <w:sz w:val="22"/>
                <w:szCs w:val="22"/>
              </w:rPr>
              <w:t>Отражение темы "Материнская любовь" в рассказе В.П. Астафьева "Капалуха" и стихотворении С.А. Есенина "Лебедушка"</w:t>
            </w:r>
          </w:p>
        </w:tc>
      </w:tr>
      <w:tr w14:paraId="702E86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44508C2A">
            <w:pPr>
              <w:pStyle w:val="85"/>
              <w:rPr>
                <w:color w:val="auto"/>
                <w:sz w:val="22"/>
                <w:szCs w:val="22"/>
              </w:rPr>
            </w:pPr>
            <w:r>
              <w:rPr>
                <w:color w:val="auto"/>
                <w:sz w:val="22"/>
                <w:szCs w:val="22"/>
              </w:rPr>
              <w:t>Урок 101</w:t>
            </w:r>
          </w:p>
        </w:tc>
        <w:tc>
          <w:tcPr>
            <w:tcW w:w="7937" w:type="dxa"/>
            <w:vAlign w:val="center"/>
          </w:tcPr>
          <w:p w14:paraId="08DE9814">
            <w:pPr>
              <w:pStyle w:val="85"/>
              <w:jc w:val="both"/>
              <w:rPr>
                <w:color w:val="auto"/>
                <w:sz w:val="22"/>
                <w:szCs w:val="22"/>
              </w:rPr>
            </w:pPr>
            <w:r>
              <w:rPr>
                <w:color w:val="auto"/>
                <w:sz w:val="22"/>
                <w:szCs w:val="22"/>
              </w:rPr>
              <w:t>Образ автора в рассказе В.П. Астафьев "Капалуха"</w:t>
            </w:r>
          </w:p>
        </w:tc>
      </w:tr>
      <w:tr w14:paraId="6EFA83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3D5613DA">
            <w:pPr>
              <w:pStyle w:val="85"/>
              <w:rPr>
                <w:color w:val="auto"/>
                <w:sz w:val="22"/>
                <w:szCs w:val="22"/>
              </w:rPr>
            </w:pPr>
            <w:r>
              <w:rPr>
                <w:color w:val="auto"/>
                <w:sz w:val="22"/>
                <w:szCs w:val="22"/>
              </w:rPr>
              <w:t>Урок 102</w:t>
            </w:r>
          </w:p>
        </w:tc>
        <w:tc>
          <w:tcPr>
            <w:tcW w:w="7937" w:type="dxa"/>
            <w:vAlign w:val="center"/>
          </w:tcPr>
          <w:p w14:paraId="2F3AE570">
            <w:pPr>
              <w:pStyle w:val="85"/>
              <w:jc w:val="both"/>
              <w:rPr>
                <w:color w:val="auto"/>
                <w:sz w:val="22"/>
                <w:szCs w:val="22"/>
              </w:rPr>
            </w:pPr>
            <w:r>
              <w:rPr>
                <w:color w:val="auto"/>
                <w:sz w:val="22"/>
                <w:szCs w:val="22"/>
              </w:rPr>
              <w:t>М.М. Пришвин - певец русской природы. Чтение произведения М.М. Пришвина "Выскочка"</w:t>
            </w:r>
          </w:p>
        </w:tc>
      </w:tr>
      <w:tr w14:paraId="335D28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497EDEE6">
            <w:pPr>
              <w:pStyle w:val="85"/>
              <w:rPr>
                <w:color w:val="auto"/>
                <w:sz w:val="22"/>
                <w:szCs w:val="22"/>
              </w:rPr>
            </w:pPr>
            <w:r>
              <w:rPr>
                <w:color w:val="auto"/>
                <w:sz w:val="22"/>
                <w:szCs w:val="22"/>
              </w:rPr>
              <w:t>Урок 103</w:t>
            </w:r>
          </w:p>
        </w:tc>
        <w:tc>
          <w:tcPr>
            <w:tcW w:w="7937" w:type="dxa"/>
            <w:vAlign w:val="center"/>
          </w:tcPr>
          <w:p w14:paraId="4FED320F">
            <w:pPr>
              <w:pStyle w:val="85"/>
              <w:jc w:val="both"/>
              <w:rPr>
                <w:color w:val="auto"/>
                <w:sz w:val="22"/>
                <w:szCs w:val="22"/>
              </w:rPr>
            </w:pPr>
            <w:r>
              <w:rPr>
                <w:color w:val="auto"/>
                <w:sz w:val="22"/>
                <w:szCs w:val="22"/>
              </w:rPr>
              <w:t>Авторское мастерство создания образов героев-животных. На примере произведения Максима Горького "Воробьишка"</w:t>
            </w:r>
          </w:p>
        </w:tc>
      </w:tr>
      <w:tr w14:paraId="740428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5F574D9C">
            <w:pPr>
              <w:pStyle w:val="85"/>
              <w:rPr>
                <w:color w:val="auto"/>
                <w:sz w:val="22"/>
                <w:szCs w:val="22"/>
              </w:rPr>
            </w:pPr>
            <w:r>
              <w:rPr>
                <w:color w:val="auto"/>
                <w:sz w:val="22"/>
                <w:szCs w:val="22"/>
              </w:rPr>
              <w:t>Урок 104</w:t>
            </w:r>
          </w:p>
        </w:tc>
        <w:tc>
          <w:tcPr>
            <w:tcW w:w="7937" w:type="dxa"/>
            <w:vAlign w:val="center"/>
          </w:tcPr>
          <w:p w14:paraId="53416395">
            <w:pPr>
              <w:pStyle w:val="85"/>
              <w:jc w:val="both"/>
              <w:rPr>
                <w:color w:val="auto"/>
                <w:sz w:val="22"/>
                <w:szCs w:val="22"/>
              </w:rPr>
            </w:pPr>
            <w:r>
              <w:rPr>
                <w:color w:val="auto"/>
                <w:sz w:val="22"/>
                <w:szCs w:val="22"/>
              </w:rPr>
              <w:t>Человек и его отношения с животными. Обсуждение в классе темы "Что такое самопожертвование"</w:t>
            </w:r>
          </w:p>
        </w:tc>
      </w:tr>
      <w:tr w14:paraId="006B68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23DD5FA3">
            <w:pPr>
              <w:pStyle w:val="85"/>
              <w:rPr>
                <w:color w:val="auto"/>
                <w:sz w:val="22"/>
                <w:szCs w:val="22"/>
              </w:rPr>
            </w:pPr>
            <w:r>
              <w:rPr>
                <w:color w:val="auto"/>
                <w:sz w:val="22"/>
                <w:szCs w:val="22"/>
              </w:rPr>
              <w:t>Урок 105</w:t>
            </w:r>
          </w:p>
        </w:tc>
        <w:tc>
          <w:tcPr>
            <w:tcW w:w="7937" w:type="dxa"/>
            <w:vAlign w:val="center"/>
          </w:tcPr>
          <w:p w14:paraId="78B47CF1">
            <w:pPr>
              <w:pStyle w:val="85"/>
              <w:jc w:val="both"/>
              <w:rPr>
                <w:color w:val="auto"/>
                <w:sz w:val="22"/>
                <w:szCs w:val="22"/>
              </w:rPr>
            </w:pPr>
            <w:r>
              <w:rPr>
                <w:color w:val="auto"/>
                <w:sz w:val="22"/>
                <w:szCs w:val="22"/>
              </w:rPr>
              <w:t>Развитие речи: озаглавливание частей. На примере произведения В.П. Астафьева "Стрижонок Скрип"</w:t>
            </w:r>
          </w:p>
        </w:tc>
      </w:tr>
      <w:tr w14:paraId="47890C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416B7D40">
            <w:pPr>
              <w:pStyle w:val="85"/>
              <w:rPr>
                <w:color w:val="auto"/>
                <w:sz w:val="22"/>
                <w:szCs w:val="22"/>
              </w:rPr>
            </w:pPr>
            <w:r>
              <w:rPr>
                <w:color w:val="auto"/>
                <w:sz w:val="22"/>
                <w:szCs w:val="22"/>
              </w:rPr>
              <w:t>Урок 106</w:t>
            </w:r>
          </w:p>
        </w:tc>
        <w:tc>
          <w:tcPr>
            <w:tcW w:w="7937" w:type="dxa"/>
            <w:vAlign w:val="center"/>
          </w:tcPr>
          <w:p w14:paraId="4B51E56C">
            <w:pPr>
              <w:pStyle w:val="85"/>
              <w:jc w:val="both"/>
              <w:rPr>
                <w:color w:val="auto"/>
                <w:sz w:val="22"/>
                <w:szCs w:val="22"/>
              </w:rPr>
            </w:pPr>
            <w:r>
              <w:rPr>
                <w:color w:val="auto"/>
                <w:sz w:val="22"/>
                <w:szCs w:val="22"/>
              </w:rPr>
              <w:t>Тематическое повторение по итогам раздела "Произведения о животных и родной природе"</w:t>
            </w:r>
          </w:p>
        </w:tc>
      </w:tr>
      <w:tr w14:paraId="2C3B4C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5315DE33">
            <w:pPr>
              <w:pStyle w:val="85"/>
              <w:rPr>
                <w:color w:val="auto"/>
                <w:sz w:val="22"/>
                <w:szCs w:val="22"/>
              </w:rPr>
            </w:pPr>
            <w:r>
              <w:rPr>
                <w:color w:val="auto"/>
                <w:sz w:val="22"/>
                <w:szCs w:val="22"/>
              </w:rPr>
              <w:t>Урок 107</w:t>
            </w:r>
          </w:p>
        </w:tc>
        <w:tc>
          <w:tcPr>
            <w:tcW w:w="7937" w:type="dxa"/>
            <w:vAlign w:val="center"/>
          </w:tcPr>
          <w:p w14:paraId="645F3699">
            <w:pPr>
              <w:pStyle w:val="85"/>
              <w:jc w:val="both"/>
              <w:rPr>
                <w:color w:val="auto"/>
                <w:sz w:val="22"/>
                <w:szCs w:val="22"/>
              </w:rPr>
            </w:pPr>
            <w:r>
              <w:rPr>
                <w:color w:val="auto"/>
                <w:sz w:val="22"/>
                <w:szCs w:val="22"/>
              </w:rPr>
              <w:t>Резервный урок. Работа с детскими книгами на тему: "Книги о Родине и ее истории": типы книг (изданий). Презентация книги, прочитанной самостоятельно</w:t>
            </w:r>
          </w:p>
        </w:tc>
      </w:tr>
      <w:tr w14:paraId="3C5EAC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5FCE9CE7">
            <w:pPr>
              <w:pStyle w:val="85"/>
              <w:rPr>
                <w:color w:val="auto"/>
                <w:sz w:val="22"/>
                <w:szCs w:val="22"/>
              </w:rPr>
            </w:pPr>
            <w:r>
              <w:rPr>
                <w:color w:val="auto"/>
                <w:sz w:val="22"/>
                <w:szCs w:val="22"/>
              </w:rPr>
              <w:t>Урок 108</w:t>
            </w:r>
          </w:p>
        </w:tc>
        <w:tc>
          <w:tcPr>
            <w:tcW w:w="7937" w:type="dxa"/>
            <w:vAlign w:val="center"/>
          </w:tcPr>
          <w:p w14:paraId="775B6B77">
            <w:pPr>
              <w:pStyle w:val="85"/>
              <w:jc w:val="both"/>
              <w:rPr>
                <w:color w:val="auto"/>
                <w:sz w:val="22"/>
                <w:szCs w:val="22"/>
              </w:rPr>
            </w:pPr>
            <w:r>
              <w:rPr>
                <w:color w:val="auto"/>
                <w:sz w:val="22"/>
                <w:szCs w:val="22"/>
              </w:rPr>
              <w:t>Составление устного рассказа "Моя любимая книга"</w:t>
            </w:r>
          </w:p>
        </w:tc>
      </w:tr>
      <w:tr w14:paraId="641770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6BCACD4D">
            <w:pPr>
              <w:pStyle w:val="85"/>
              <w:rPr>
                <w:color w:val="auto"/>
                <w:sz w:val="22"/>
                <w:szCs w:val="22"/>
              </w:rPr>
            </w:pPr>
            <w:r>
              <w:rPr>
                <w:color w:val="auto"/>
                <w:sz w:val="22"/>
                <w:szCs w:val="22"/>
              </w:rPr>
              <w:t>Урок 109</w:t>
            </w:r>
          </w:p>
        </w:tc>
        <w:tc>
          <w:tcPr>
            <w:tcW w:w="7937" w:type="dxa"/>
            <w:vAlign w:val="center"/>
          </w:tcPr>
          <w:p w14:paraId="47F29DAF">
            <w:pPr>
              <w:pStyle w:val="85"/>
              <w:jc w:val="both"/>
              <w:rPr>
                <w:color w:val="auto"/>
                <w:sz w:val="22"/>
                <w:szCs w:val="22"/>
              </w:rPr>
            </w:pPr>
            <w:r>
              <w:rPr>
                <w:color w:val="auto"/>
                <w:sz w:val="22"/>
                <w:szCs w:val="22"/>
              </w:rPr>
              <w:t>Проявление любви к родной земле в литературе народов России. На примере стихотворных и прозаических произведениях писателей и поэтов XIX и XX вв.</w:t>
            </w:r>
          </w:p>
        </w:tc>
      </w:tr>
      <w:tr w14:paraId="24FC01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3412D454">
            <w:pPr>
              <w:pStyle w:val="85"/>
              <w:rPr>
                <w:color w:val="auto"/>
                <w:sz w:val="22"/>
                <w:szCs w:val="22"/>
              </w:rPr>
            </w:pPr>
            <w:r>
              <w:rPr>
                <w:color w:val="auto"/>
                <w:sz w:val="22"/>
                <w:szCs w:val="22"/>
              </w:rPr>
              <w:t>Урок 110</w:t>
            </w:r>
          </w:p>
        </w:tc>
        <w:tc>
          <w:tcPr>
            <w:tcW w:w="7937" w:type="dxa"/>
            <w:vAlign w:val="center"/>
          </w:tcPr>
          <w:p w14:paraId="2945B513">
            <w:pPr>
              <w:pStyle w:val="85"/>
              <w:jc w:val="both"/>
              <w:rPr>
                <w:color w:val="auto"/>
                <w:sz w:val="22"/>
                <w:szCs w:val="22"/>
              </w:rPr>
            </w:pPr>
            <w:r>
              <w:rPr>
                <w:color w:val="auto"/>
                <w:sz w:val="22"/>
                <w:szCs w:val="22"/>
              </w:rPr>
              <w:t>Образ родной земли в стихотворении С.Д. Дрожжина "Родине"</w:t>
            </w:r>
          </w:p>
        </w:tc>
      </w:tr>
      <w:tr w14:paraId="44FB4D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60E37FE6">
            <w:pPr>
              <w:pStyle w:val="85"/>
              <w:rPr>
                <w:color w:val="auto"/>
                <w:sz w:val="22"/>
                <w:szCs w:val="22"/>
              </w:rPr>
            </w:pPr>
            <w:r>
              <w:rPr>
                <w:color w:val="auto"/>
                <w:sz w:val="22"/>
                <w:szCs w:val="22"/>
              </w:rPr>
              <w:t>Урок 111</w:t>
            </w:r>
          </w:p>
        </w:tc>
        <w:tc>
          <w:tcPr>
            <w:tcW w:w="7937" w:type="dxa"/>
            <w:vAlign w:val="center"/>
          </w:tcPr>
          <w:p w14:paraId="35557D40">
            <w:pPr>
              <w:pStyle w:val="85"/>
              <w:jc w:val="both"/>
              <w:rPr>
                <w:color w:val="auto"/>
                <w:sz w:val="22"/>
                <w:szCs w:val="22"/>
              </w:rPr>
            </w:pPr>
            <w:r>
              <w:rPr>
                <w:color w:val="auto"/>
                <w:sz w:val="22"/>
                <w:szCs w:val="22"/>
              </w:rPr>
              <w:t>Раскрытие главной идеи произведения А.Т. Твардовского "О Родине большой и малой" (отрывок): чувство любви к своей стране и малой родине</w:t>
            </w:r>
          </w:p>
        </w:tc>
      </w:tr>
      <w:tr w14:paraId="616A31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209A55E3">
            <w:pPr>
              <w:pStyle w:val="85"/>
              <w:rPr>
                <w:color w:val="auto"/>
                <w:sz w:val="22"/>
                <w:szCs w:val="22"/>
              </w:rPr>
            </w:pPr>
            <w:r>
              <w:rPr>
                <w:color w:val="auto"/>
                <w:sz w:val="22"/>
                <w:szCs w:val="22"/>
              </w:rPr>
              <w:t>Урок 112</w:t>
            </w:r>
          </w:p>
        </w:tc>
        <w:tc>
          <w:tcPr>
            <w:tcW w:w="7937" w:type="dxa"/>
            <w:vAlign w:val="center"/>
          </w:tcPr>
          <w:p w14:paraId="10E7A4ED">
            <w:pPr>
              <w:pStyle w:val="85"/>
              <w:jc w:val="both"/>
              <w:rPr>
                <w:color w:val="auto"/>
                <w:sz w:val="22"/>
                <w:szCs w:val="22"/>
              </w:rPr>
            </w:pPr>
            <w:r>
              <w:rPr>
                <w:color w:val="auto"/>
                <w:sz w:val="22"/>
                <w:szCs w:val="22"/>
              </w:rPr>
              <w:t>Характеристика народной исторической песни: темы, образы, герои</w:t>
            </w:r>
          </w:p>
        </w:tc>
      </w:tr>
      <w:tr w14:paraId="65083F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4FDD814B">
            <w:pPr>
              <w:pStyle w:val="85"/>
              <w:rPr>
                <w:color w:val="auto"/>
                <w:sz w:val="22"/>
                <w:szCs w:val="22"/>
              </w:rPr>
            </w:pPr>
            <w:r>
              <w:rPr>
                <w:color w:val="auto"/>
                <w:sz w:val="22"/>
                <w:szCs w:val="22"/>
              </w:rPr>
              <w:t>Урок 113</w:t>
            </w:r>
          </w:p>
        </w:tc>
        <w:tc>
          <w:tcPr>
            <w:tcW w:w="7937" w:type="dxa"/>
            <w:vAlign w:val="center"/>
          </w:tcPr>
          <w:p w14:paraId="36BFFA6B">
            <w:pPr>
              <w:pStyle w:val="85"/>
              <w:jc w:val="both"/>
              <w:rPr>
                <w:color w:val="auto"/>
                <w:sz w:val="22"/>
                <w:szCs w:val="22"/>
              </w:rPr>
            </w:pPr>
            <w:r>
              <w:rPr>
                <w:color w:val="auto"/>
                <w:sz w:val="22"/>
                <w:szCs w:val="22"/>
              </w:rPr>
              <w:t>Осознание понятий поступок, подвиг на примере произведений о Великой Отечественной войне</w:t>
            </w:r>
          </w:p>
        </w:tc>
      </w:tr>
      <w:tr w14:paraId="2DB2D6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75E38721">
            <w:pPr>
              <w:pStyle w:val="85"/>
              <w:rPr>
                <w:color w:val="auto"/>
                <w:sz w:val="22"/>
                <w:szCs w:val="22"/>
              </w:rPr>
            </w:pPr>
            <w:r>
              <w:rPr>
                <w:color w:val="auto"/>
                <w:sz w:val="22"/>
                <w:szCs w:val="22"/>
              </w:rPr>
              <w:t>Урок 114</w:t>
            </w:r>
          </w:p>
        </w:tc>
        <w:tc>
          <w:tcPr>
            <w:tcW w:w="7937" w:type="dxa"/>
            <w:vAlign w:val="center"/>
          </w:tcPr>
          <w:p w14:paraId="1C2B5E23">
            <w:pPr>
              <w:pStyle w:val="85"/>
              <w:jc w:val="both"/>
              <w:rPr>
                <w:color w:val="auto"/>
                <w:sz w:val="22"/>
                <w:szCs w:val="22"/>
              </w:rPr>
            </w:pPr>
            <w:r>
              <w:rPr>
                <w:color w:val="auto"/>
                <w:sz w:val="22"/>
                <w:szCs w:val="22"/>
              </w:rPr>
              <w:t>Наблюдение за художественными особенностями текста авторской песни. Знакомство с песнями на тему Великой Отечественной войны</w:t>
            </w:r>
          </w:p>
        </w:tc>
      </w:tr>
      <w:tr w14:paraId="4515A7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6A3B8CDA">
            <w:pPr>
              <w:pStyle w:val="85"/>
              <w:rPr>
                <w:color w:val="auto"/>
                <w:sz w:val="22"/>
                <w:szCs w:val="22"/>
              </w:rPr>
            </w:pPr>
            <w:r>
              <w:rPr>
                <w:color w:val="auto"/>
                <w:sz w:val="22"/>
                <w:szCs w:val="22"/>
              </w:rPr>
              <w:t>Урок 115</w:t>
            </w:r>
          </w:p>
        </w:tc>
        <w:tc>
          <w:tcPr>
            <w:tcW w:w="7937" w:type="dxa"/>
            <w:vAlign w:val="center"/>
          </w:tcPr>
          <w:p w14:paraId="4860632C">
            <w:pPr>
              <w:pStyle w:val="85"/>
              <w:jc w:val="both"/>
              <w:rPr>
                <w:color w:val="auto"/>
                <w:sz w:val="22"/>
                <w:szCs w:val="22"/>
              </w:rPr>
            </w:pPr>
            <w:r>
              <w:rPr>
                <w:color w:val="auto"/>
                <w:sz w:val="22"/>
                <w:szCs w:val="22"/>
              </w:rPr>
              <w:t>Тема героического прошлого России в произведениях литературы. На примере "Солдатской песни" Ф.Н. Глинки</w:t>
            </w:r>
          </w:p>
        </w:tc>
      </w:tr>
      <w:tr w14:paraId="0870B3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7E09D172">
            <w:pPr>
              <w:pStyle w:val="85"/>
              <w:rPr>
                <w:color w:val="auto"/>
                <w:sz w:val="22"/>
                <w:szCs w:val="22"/>
              </w:rPr>
            </w:pPr>
            <w:r>
              <w:rPr>
                <w:color w:val="auto"/>
                <w:sz w:val="22"/>
                <w:szCs w:val="22"/>
              </w:rPr>
              <w:t>Урок 116</w:t>
            </w:r>
          </w:p>
        </w:tc>
        <w:tc>
          <w:tcPr>
            <w:tcW w:w="7937" w:type="dxa"/>
            <w:vAlign w:val="center"/>
          </w:tcPr>
          <w:p w14:paraId="45841F5D">
            <w:pPr>
              <w:pStyle w:val="85"/>
              <w:jc w:val="both"/>
              <w:rPr>
                <w:color w:val="auto"/>
                <w:sz w:val="22"/>
                <w:szCs w:val="22"/>
              </w:rPr>
            </w:pPr>
            <w:r>
              <w:rPr>
                <w:color w:val="auto"/>
                <w:sz w:val="22"/>
                <w:szCs w:val="22"/>
              </w:rPr>
              <w:t>Составление устного рассказа "Защитник Отечества" по изученным произведениям</w:t>
            </w:r>
          </w:p>
        </w:tc>
      </w:tr>
      <w:tr w14:paraId="22D744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3288610A">
            <w:pPr>
              <w:pStyle w:val="85"/>
              <w:rPr>
                <w:color w:val="auto"/>
                <w:sz w:val="22"/>
                <w:szCs w:val="22"/>
              </w:rPr>
            </w:pPr>
            <w:r>
              <w:rPr>
                <w:color w:val="auto"/>
                <w:sz w:val="22"/>
                <w:szCs w:val="22"/>
              </w:rPr>
              <w:t>Урок 117</w:t>
            </w:r>
          </w:p>
        </w:tc>
        <w:tc>
          <w:tcPr>
            <w:tcW w:w="7937" w:type="dxa"/>
            <w:vAlign w:val="center"/>
          </w:tcPr>
          <w:p w14:paraId="3216A3D7">
            <w:pPr>
              <w:pStyle w:val="85"/>
              <w:jc w:val="both"/>
              <w:rPr>
                <w:color w:val="auto"/>
                <w:sz w:val="22"/>
                <w:szCs w:val="22"/>
              </w:rPr>
            </w:pPr>
            <w:r>
              <w:rPr>
                <w:color w:val="auto"/>
                <w:sz w:val="22"/>
                <w:szCs w:val="22"/>
              </w:rPr>
              <w:t>Тематическое повторение по итогам раздела "О Родине, героические страницы истории"</w:t>
            </w:r>
          </w:p>
        </w:tc>
      </w:tr>
      <w:tr w14:paraId="05B790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6C6D188B">
            <w:pPr>
              <w:pStyle w:val="85"/>
              <w:rPr>
                <w:color w:val="auto"/>
                <w:sz w:val="22"/>
                <w:szCs w:val="22"/>
              </w:rPr>
            </w:pPr>
            <w:r>
              <w:rPr>
                <w:color w:val="auto"/>
                <w:sz w:val="22"/>
                <w:szCs w:val="22"/>
              </w:rPr>
              <w:t>Урок 118</w:t>
            </w:r>
          </w:p>
        </w:tc>
        <w:tc>
          <w:tcPr>
            <w:tcW w:w="7937" w:type="dxa"/>
            <w:vAlign w:val="center"/>
          </w:tcPr>
          <w:p w14:paraId="4F3E253C">
            <w:pPr>
              <w:pStyle w:val="85"/>
              <w:jc w:val="both"/>
              <w:rPr>
                <w:color w:val="auto"/>
                <w:sz w:val="22"/>
                <w:szCs w:val="22"/>
              </w:rPr>
            </w:pPr>
            <w:r>
              <w:rPr>
                <w:color w:val="auto"/>
                <w:sz w:val="22"/>
                <w:szCs w:val="22"/>
              </w:rPr>
              <w:t>Патриотическое звучание произведений о Родине, о славных и героических страницах истории России</w:t>
            </w:r>
          </w:p>
        </w:tc>
      </w:tr>
      <w:tr w14:paraId="73DB0E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3FF404AA">
            <w:pPr>
              <w:pStyle w:val="85"/>
              <w:rPr>
                <w:color w:val="auto"/>
                <w:sz w:val="22"/>
                <w:szCs w:val="22"/>
              </w:rPr>
            </w:pPr>
            <w:r>
              <w:rPr>
                <w:color w:val="auto"/>
                <w:sz w:val="22"/>
                <w:szCs w:val="22"/>
              </w:rPr>
              <w:t>Урок 119</w:t>
            </w:r>
          </w:p>
        </w:tc>
        <w:tc>
          <w:tcPr>
            <w:tcW w:w="7937" w:type="dxa"/>
            <w:vAlign w:val="center"/>
          </w:tcPr>
          <w:p w14:paraId="15EC2F59">
            <w:pPr>
              <w:pStyle w:val="85"/>
              <w:jc w:val="both"/>
              <w:rPr>
                <w:color w:val="auto"/>
                <w:sz w:val="22"/>
                <w:szCs w:val="22"/>
              </w:rPr>
            </w:pPr>
            <w:r>
              <w:rPr>
                <w:color w:val="auto"/>
                <w:sz w:val="22"/>
                <w:szCs w:val="22"/>
              </w:rPr>
              <w:t>Зарубежные писатели-сказочники: раскрытие главной мысли и особенности композиции</w:t>
            </w:r>
          </w:p>
        </w:tc>
      </w:tr>
      <w:tr w14:paraId="2ABE2F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74E68643">
            <w:pPr>
              <w:pStyle w:val="85"/>
              <w:rPr>
                <w:color w:val="auto"/>
                <w:sz w:val="22"/>
                <w:szCs w:val="22"/>
              </w:rPr>
            </w:pPr>
            <w:r>
              <w:rPr>
                <w:color w:val="auto"/>
                <w:sz w:val="22"/>
                <w:szCs w:val="22"/>
              </w:rPr>
              <w:t>Урок 120</w:t>
            </w:r>
          </w:p>
        </w:tc>
        <w:tc>
          <w:tcPr>
            <w:tcW w:w="7937" w:type="dxa"/>
            <w:vAlign w:val="center"/>
          </w:tcPr>
          <w:p w14:paraId="555ABF06">
            <w:pPr>
              <w:pStyle w:val="85"/>
              <w:jc w:val="both"/>
              <w:rPr>
                <w:color w:val="auto"/>
                <w:sz w:val="22"/>
                <w:szCs w:val="22"/>
              </w:rPr>
            </w:pPr>
            <w:r>
              <w:rPr>
                <w:color w:val="auto"/>
                <w:sz w:val="22"/>
                <w:szCs w:val="22"/>
              </w:rPr>
              <w:t>Особенности басни как лиро-эпического жанра. Басни стихотворные и прозаические</w:t>
            </w:r>
          </w:p>
        </w:tc>
      </w:tr>
      <w:tr w14:paraId="54F9EB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3CC4C316">
            <w:pPr>
              <w:pStyle w:val="85"/>
              <w:rPr>
                <w:color w:val="auto"/>
                <w:sz w:val="22"/>
                <w:szCs w:val="22"/>
              </w:rPr>
            </w:pPr>
            <w:r>
              <w:rPr>
                <w:color w:val="auto"/>
                <w:sz w:val="22"/>
                <w:szCs w:val="22"/>
              </w:rPr>
              <w:t>Урок 121</w:t>
            </w:r>
          </w:p>
        </w:tc>
        <w:tc>
          <w:tcPr>
            <w:tcW w:w="7937" w:type="dxa"/>
            <w:vAlign w:val="center"/>
          </w:tcPr>
          <w:p w14:paraId="44E15EAE">
            <w:pPr>
              <w:pStyle w:val="85"/>
              <w:jc w:val="both"/>
              <w:rPr>
                <w:color w:val="auto"/>
                <w:sz w:val="22"/>
                <w:szCs w:val="22"/>
              </w:rPr>
            </w:pPr>
            <w:r>
              <w:rPr>
                <w:color w:val="auto"/>
                <w:sz w:val="22"/>
                <w:szCs w:val="22"/>
              </w:rPr>
              <w:t>Сравнение басен: темы и герои, особенности языка. На примере басен И.А. Крылова "Стрекоза и муравей", И.И. Хемницера "Стрекоза", Л.Н. Толстого "Стрекоза и муравьи"</w:t>
            </w:r>
          </w:p>
        </w:tc>
      </w:tr>
      <w:tr w14:paraId="357858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134" w:type="dxa"/>
            <w:vAlign w:val="center"/>
          </w:tcPr>
          <w:p w14:paraId="71242E62">
            <w:pPr>
              <w:pStyle w:val="85"/>
              <w:rPr>
                <w:color w:val="auto"/>
                <w:sz w:val="22"/>
                <w:szCs w:val="22"/>
              </w:rPr>
            </w:pPr>
            <w:r>
              <w:rPr>
                <w:color w:val="auto"/>
                <w:sz w:val="22"/>
                <w:szCs w:val="22"/>
              </w:rPr>
              <w:t>Урок 122</w:t>
            </w:r>
          </w:p>
        </w:tc>
        <w:tc>
          <w:tcPr>
            <w:tcW w:w="7937" w:type="dxa"/>
            <w:vAlign w:val="center"/>
          </w:tcPr>
          <w:p w14:paraId="5339A922">
            <w:pPr>
              <w:pStyle w:val="85"/>
              <w:jc w:val="both"/>
              <w:rPr>
                <w:color w:val="auto"/>
                <w:sz w:val="22"/>
                <w:szCs w:val="22"/>
              </w:rPr>
            </w:pPr>
            <w:r>
              <w:rPr>
                <w:color w:val="auto"/>
                <w:sz w:val="22"/>
                <w:szCs w:val="22"/>
              </w:rPr>
              <w:t>Аллегория и ирония как характеристика героев басен. На примере басни И.А. Крылова "Мартышка и очки"</w:t>
            </w:r>
          </w:p>
        </w:tc>
      </w:tr>
      <w:tr w14:paraId="4CDF9A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5312832E">
            <w:pPr>
              <w:pStyle w:val="85"/>
              <w:rPr>
                <w:color w:val="auto"/>
                <w:sz w:val="22"/>
                <w:szCs w:val="22"/>
              </w:rPr>
            </w:pPr>
            <w:r>
              <w:rPr>
                <w:color w:val="auto"/>
                <w:sz w:val="22"/>
                <w:szCs w:val="22"/>
              </w:rPr>
              <w:t>Урок 123</w:t>
            </w:r>
          </w:p>
        </w:tc>
        <w:tc>
          <w:tcPr>
            <w:tcW w:w="7937" w:type="dxa"/>
            <w:vAlign w:val="center"/>
          </w:tcPr>
          <w:p w14:paraId="5C094DC7">
            <w:pPr>
              <w:pStyle w:val="85"/>
              <w:jc w:val="both"/>
              <w:rPr>
                <w:color w:val="auto"/>
                <w:sz w:val="22"/>
                <w:szCs w:val="22"/>
              </w:rPr>
            </w:pPr>
            <w:r>
              <w:rPr>
                <w:color w:val="auto"/>
                <w:sz w:val="22"/>
                <w:szCs w:val="22"/>
              </w:rPr>
              <w:t>Работа с баснями И.А. Крылова. Инсценирование их сюжета</w:t>
            </w:r>
          </w:p>
        </w:tc>
      </w:tr>
      <w:tr w14:paraId="6E7E5B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67A868BC">
            <w:pPr>
              <w:pStyle w:val="85"/>
              <w:rPr>
                <w:color w:val="auto"/>
                <w:sz w:val="22"/>
                <w:szCs w:val="22"/>
              </w:rPr>
            </w:pPr>
            <w:r>
              <w:rPr>
                <w:color w:val="auto"/>
                <w:sz w:val="22"/>
                <w:szCs w:val="22"/>
              </w:rPr>
              <w:t>Урок 124</w:t>
            </w:r>
          </w:p>
        </w:tc>
        <w:tc>
          <w:tcPr>
            <w:tcW w:w="7937" w:type="dxa"/>
            <w:vAlign w:val="center"/>
          </w:tcPr>
          <w:p w14:paraId="29A9D51C">
            <w:pPr>
              <w:pStyle w:val="85"/>
              <w:jc w:val="both"/>
              <w:rPr>
                <w:color w:val="auto"/>
                <w:sz w:val="22"/>
                <w:szCs w:val="22"/>
              </w:rPr>
            </w:pPr>
            <w:r>
              <w:rPr>
                <w:color w:val="auto"/>
                <w:sz w:val="22"/>
                <w:szCs w:val="22"/>
              </w:rPr>
              <w:t>Язык басен И.А. Крылова: пословицы, поговорки, крылатые выражения</w:t>
            </w:r>
          </w:p>
        </w:tc>
      </w:tr>
      <w:tr w14:paraId="1C401F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5E45AA00">
            <w:pPr>
              <w:pStyle w:val="85"/>
              <w:rPr>
                <w:color w:val="auto"/>
                <w:sz w:val="22"/>
                <w:szCs w:val="22"/>
              </w:rPr>
            </w:pPr>
            <w:r>
              <w:rPr>
                <w:color w:val="auto"/>
                <w:sz w:val="22"/>
                <w:szCs w:val="22"/>
              </w:rPr>
              <w:t>Урок 125</w:t>
            </w:r>
          </w:p>
        </w:tc>
        <w:tc>
          <w:tcPr>
            <w:tcW w:w="7937" w:type="dxa"/>
            <w:vAlign w:val="center"/>
          </w:tcPr>
          <w:p w14:paraId="7C26850F">
            <w:pPr>
              <w:pStyle w:val="85"/>
              <w:jc w:val="both"/>
              <w:rPr>
                <w:color w:val="auto"/>
                <w:sz w:val="22"/>
                <w:szCs w:val="22"/>
              </w:rPr>
            </w:pPr>
            <w:r>
              <w:rPr>
                <w:color w:val="auto"/>
                <w:sz w:val="22"/>
                <w:szCs w:val="22"/>
              </w:rPr>
              <w:t>Особенности сюжета "Путешествия Гулливера" Джонатана Свифта (отдельные главы)</w:t>
            </w:r>
          </w:p>
        </w:tc>
      </w:tr>
      <w:tr w14:paraId="1CE2AD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153454D3">
            <w:pPr>
              <w:pStyle w:val="85"/>
              <w:rPr>
                <w:color w:val="auto"/>
                <w:sz w:val="22"/>
                <w:szCs w:val="22"/>
              </w:rPr>
            </w:pPr>
            <w:r>
              <w:rPr>
                <w:color w:val="auto"/>
                <w:sz w:val="22"/>
                <w:szCs w:val="22"/>
              </w:rPr>
              <w:t>Урок 126</w:t>
            </w:r>
          </w:p>
        </w:tc>
        <w:tc>
          <w:tcPr>
            <w:tcW w:w="7937" w:type="dxa"/>
            <w:vAlign w:val="center"/>
          </w:tcPr>
          <w:p w14:paraId="42CFAC11">
            <w:pPr>
              <w:pStyle w:val="85"/>
              <w:jc w:val="both"/>
              <w:rPr>
                <w:color w:val="auto"/>
                <w:sz w:val="22"/>
                <w:szCs w:val="22"/>
              </w:rPr>
            </w:pPr>
            <w:r>
              <w:rPr>
                <w:color w:val="auto"/>
                <w:sz w:val="22"/>
                <w:szCs w:val="22"/>
              </w:rPr>
              <w:t>Характеристика главного героя "Путешествия Гулливера" Джонатана Свифта (отдельные главы)</w:t>
            </w:r>
          </w:p>
        </w:tc>
      </w:tr>
      <w:tr w14:paraId="398118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5687517E">
            <w:pPr>
              <w:pStyle w:val="85"/>
              <w:rPr>
                <w:color w:val="auto"/>
                <w:sz w:val="22"/>
                <w:szCs w:val="22"/>
              </w:rPr>
            </w:pPr>
            <w:r>
              <w:rPr>
                <w:color w:val="auto"/>
                <w:sz w:val="22"/>
                <w:szCs w:val="22"/>
              </w:rPr>
              <w:t>Урок 127</w:t>
            </w:r>
          </w:p>
        </w:tc>
        <w:tc>
          <w:tcPr>
            <w:tcW w:w="7937" w:type="dxa"/>
            <w:vAlign w:val="center"/>
          </w:tcPr>
          <w:p w14:paraId="78A5306A">
            <w:pPr>
              <w:pStyle w:val="85"/>
              <w:jc w:val="both"/>
              <w:rPr>
                <w:color w:val="auto"/>
                <w:sz w:val="22"/>
                <w:szCs w:val="22"/>
              </w:rPr>
            </w:pPr>
            <w:r>
              <w:rPr>
                <w:color w:val="auto"/>
                <w:sz w:val="22"/>
                <w:szCs w:val="22"/>
              </w:rPr>
              <w:t>Особенности построения (композиция) литературной сказки: составление плана. Х.К. Андерсен "Русалочка"</w:t>
            </w:r>
          </w:p>
        </w:tc>
      </w:tr>
      <w:tr w14:paraId="785A0D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1EEE67BF">
            <w:pPr>
              <w:pStyle w:val="85"/>
              <w:rPr>
                <w:color w:val="auto"/>
                <w:sz w:val="22"/>
                <w:szCs w:val="22"/>
              </w:rPr>
            </w:pPr>
            <w:r>
              <w:rPr>
                <w:color w:val="auto"/>
                <w:sz w:val="22"/>
                <w:szCs w:val="22"/>
              </w:rPr>
              <w:t>Урок 128</w:t>
            </w:r>
          </w:p>
        </w:tc>
        <w:tc>
          <w:tcPr>
            <w:tcW w:w="7937" w:type="dxa"/>
            <w:vAlign w:val="center"/>
          </w:tcPr>
          <w:p w14:paraId="2268A8A9">
            <w:pPr>
              <w:pStyle w:val="85"/>
              <w:jc w:val="both"/>
              <w:rPr>
                <w:color w:val="auto"/>
                <w:sz w:val="22"/>
                <w:szCs w:val="22"/>
              </w:rPr>
            </w:pPr>
            <w:r>
              <w:rPr>
                <w:color w:val="auto"/>
                <w:sz w:val="22"/>
                <w:szCs w:val="22"/>
              </w:rPr>
              <w:t>Средства художественной выразительности в литературной сказке. Х.К. Андерсен "Дикие лебеди"</w:t>
            </w:r>
          </w:p>
        </w:tc>
      </w:tr>
      <w:tr w14:paraId="23DD9C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69012177">
            <w:pPr>
              <w:pStyle w:val="85"/>
              <w:rPr>
                <w:color w:val="auto"/>
                <w:sz w:val="22"/>
                <w:szCs w:val="22"/>
              </w:rPr>
            </w:pPr>
            <w:r>
              <w:rPr>
                <w:color w:val="auto"/>
                <w:sz w:val="22"/>
                <w:szCs w:val="22"/>
              </w:rPr>
              <w:t>Урок 129</w:t>
            </w:r>
          </w:p>
        </w:tc>
        <w:tc>
          <w:tcPr>
            <w:tcW w:w="7937" w:type="dxa"/>
            <w:vAlign w:val="center"/>
          </w:tcPr>
          <w:p w14:paraId="601D2491">
            <w:pPr>
              <w:pStyle w:val="85"/>
              <w:jc w:val="both"/>
              <w:rPr>
                <w:color w:val="auto"/>
                <w:sz w:val="22"/>
                <w:szCs w:val="22"/>
              </w:rPr>
            </w:pPr>
            <w:r>
              <w:rPr>
                <w:color w:val="auto"/>
                <w:sz w:val="22"/>
                <w:szCs w:val="22"/>
              </w:rPr>
              <w:t>Описание героя в произведении Марка Твена "Том Сойер" (отдельные главы)</w:t>
            </w:r>
          </w:p>
        </w:tc>
      </w:tr>
      <w:tr w14:paraId="54DB47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05FA4170">
            <w:pPr>
              <w:pStyle w:val="85"/>
              <w:rPr>
                <w:color w:val="auto"/>
                <w:sz w:val="22"/>
                <w:szCs w:val="22"/>
              </w:rPr>
            </w:pPr>
            <w:r>
              <w:rPr>
                <w:color w:val="auto"/>
                <w:sz w:val="22"/>
                <w:szCs w:val="22"/>
              </w:rPr>
              <w:t>Урок 130</w:t>
            </w:r>
          </w:p>
        </w:tc>
        <w:tc>
          <w:tcPr>
            <w:tcW w:w="7937" w:type="dxa"/>
            <w:vAlign w:val="center"/>
          </w:tcPr>
          <w:p w14:paraId="6E2ACDE8">
            <w:pPr>
              <w:pStyle w:val="85"/>
              <w:jc w:val="both"/>
              <w:rPr>
                <w:color w:val="auto"/>
                <w:sz w:val="22"/>
                <w:szCs w:val="22"/>
              </w:rPr>
            </w:pPr>
            <w:r>
              <w:rPr>
                <w:color w:val="auto"/>
                <w:sz w:val="22"/>
                <w:szCs w:val="22"/>
              </w:rPr>
              <w:t>Анализ отдельных эпизодов произведения Марка Твена "Том Сойер" (отдельные главы): средства создания комического. Написание отзыва</w:t>
            </w:r>
          </w:p>
        </w:tc>
      </w:tr>
      <w:tr w14:paraId="026B31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1E51E0EA">
            <w:pPr>
              <w:pStyle w:val="85"/>
              <w:rPr>
                <w:color w:val="auto"/>
                <w:sz w:val="22"/>
                <w:szCs w:val="22"/>
              </w:rPr>
            </w:pPr>
            <w:r>
              <w:rPr>
                <w:color w:val="auto"/>
                <w:sz w:val="22"/>
                <w:szCs w:val="22"/>
              </w:rPr>
              <w:t>Урок 131</w:t>
            </w:r>
          </w:p>
        </w:tc>
        <w:tc>
          <w:tcPr>
            <w:tcW w:w="7937" w:type="dxa"/>
            <w:vAlign w:val="center"/>
          </w:tcPr>
          <w:p w14:paraId="59A293E0">
            <w:pPr>
              <w:pStyle w:val="85"/>
              <w:jc w:val="both"/>
              <w:rPr>
                <w:color w:val="auto"/>
                <w:sz w:val="22"/>
                <w:szCs w:val="22"/>
              </w:rPr>
            </w:pPr>
            <w:r>
              <w:rPr>
                <w:color w:val="auto"/>
                <w:sz w:val="22"/>
                <w:szCs w:val="22"/>
              </w:rPr>
              <w:t>Книги зарубежных писателей</w:t>
            </w:r>
          </w:p>
        </w:tc>
      </w:tr>
      <w:tr w14:paraId="66ACE7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73660D52">
            <w:pPr>
              <w:pStyle w:val="85"/>
              <w:rPr>
                <w:color w:val="auto"/>
                <w:sz w:val="22"/>
                <w:szCs w:val="22"/>
              </w:rPr>
            </w:pPr>
            <w:r>
              <w:rPr>
                <w:color w:val="auto"/>
                <w:sz w:val="22"/>
                <w:szCs w:val="22"/>
              </w:rPr>
              <w:t>Урок 132</w:t>
            </w:r>
          </w:p>
        </w:tc>
        <w:tc>
          <w:tcPr>
            <w:tcW w:w="7937" w:type="dxa"/>
            <w:vAlign w:val="center"/>
          </w:tcPr>
          <w:p w14:paraId="0263DF18">
            <w:pPr>
              <w:pStyle w:val="85"/>
              <w:jc w:val="both"/>
              <w:rPr>
                <w:color w:val="auto"/>
                <w:sz w:val="22"/>
                <w:szCs w:val="22"/>
              </w:rPr>
            </w:pPr>
            <w:r>
              <w:rPr>
                <w:color w:val="auto"/>
                <w:sz w:val="22"/>
                <w:szCs w:val="22"/>
              </w:rPr>
              <w:t>Работа со словарем: поиск необходимой информации</w:t>
            </w:r>
          </w:p>
        </w:tc>
      </w:tr>
      <w:tr w14:paraId="12F0CD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21940B76">
            <w:pPr>
              <w:pStyle w:val="85"/>
              <w:rPr>
                <w:color w:val="auto"/>
                <w:sz w:val="22"/>
                <w:szCs w:val="22"/>
              </w:rPr>
            </w:pPr>
            <w:r>
              <w:rPr>
                <w:color w:val="auto"/>
                <w:sz w:val="22"/>
                <w:szCs w:val="22"/>
              </w:rPr>
              <w:t>Урок 133</w:t>
            </w:r>
          </w:p>
        </w:tc>
        <w:tc>
          <w:tcPr>
            <w:tcW w:w="7937" w:type="dxa"/>
            <w:vAlign w:val="center"/>
          </w:tcPr>
          <w:p w14:paraId="67B7F7F1">
            <w:pPr>
              <w:pStyle w:val="85"/>
              <w:jc w:val="both"/>
              <w:rPr>
                <w:color w:val="auto"/>
                <w:sz w:val="22"/>
                <w:szCs w:val="22"/>
              </w:rPr>
            </w:pPr>
            <w:r>
              <w:rPr>
                <w:color w:val="auto"/>
                <w:sz w:val="22"/>
                <w:szCs w:val="22"/>
              </w:rPr>
              <w:t>Знакомство с современными изданиями периодической печати. Золотой фонд детской литературы. В.Ю. Драгунский, И.П. Токмакова и другие авторы детских журналов</w:t>
            </w:r>
          </w:p>
        </w:tc>
      </w:tr>
      <w:tr w14:paraId="553155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4B747818">
            <w:pPr>
              <w:pStyle w:val="85"/>
              <w:rPr>
                <w:color w:val="auto"/>
                <w:sz w:val="22"/>
                <w:szCs w:val="22"/>
              </w:rPr>
            </w:pPr>
            <w:r>
              <w:rPr>
                <w:color w:val="auto"/>
                <w:sz w:val="22"/>
                <w:szCs w:val="22"/>
              </w:rPr>
              <w:t>Урок 134</w:t>
            </w:r>
          </w:p>
        </w:tc>
        <w:tc>
          <w:tcPr>
            <w:tcW w:w="7937" w:type="dxa"/>
            <w:vAlign w:val="center"/>
          </w:tcPr>
          <w:p w14:paraId="3C4975B5">
            <w:pPr>
              <w:pStyle w:val="85"/>
              <w:jc w:val="both"/>
              <w:rPr>
                <w:color w:val="auto"/>
                <w:sz w:val="22"/>
                <w:szCs w:val="22"/>
              </w:rPr>
            </w:pPr>
            <w:r>
              <w:rPr>
                <w:color w:val="auto"/>
                <w:sz w:val="22"/>
                <w:szCs w:val="22"/>
              </w:rPr>
              <w:t>Резервный урок. Повторение "Оценим свои достижения"</w:t>
            </w:r>
          </w:p>
        </w:tc>
      </w:tr>
      <w:tr w14:paraId="4C410C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5454604F">
            <w:pPr>
              <w:pStyle w:val="85"/>
              <w:rPr>
                <w:color w:val="auto"/>
                <w:sz w:val="22"/>
                <w:szCs w:val="22"/>
              </w:rPr>
            </w:pPr>
            <w:r>
              <w:rPr>
                <w:color w:val="auto"/>
                <w:sz w:val="22"/>
                <w:szCs w:val="22"/>
              </w:rPr>
              <w:t>Урок 135</w:t>
            </w:r>
          </w:p>
        </w:tc>
        <w:tc>
          <w:tcPr>
            <w:tcW w:w="7937" w:type="dxa"/>
            <w:vAlign w:val="center"/>
          </w:tcPr>
          <w:p w14:paraId="5B1F3766">
            <w:pPr>
              <w:pStyle w:val="85"/>
              <w:jc w:val="both"/>
              <w:rPr>
                <w:color w:val="auto"/>
                <w:sz w:val="22"/>
                <w:szCs w:val="22"/>
              </w:rPr>
            </w:pPr>
            <w:r>
              <w:rPr>
                <w:color w:val="auto"/>
                <w:sz w:val="22"/>
                <w:szCs w:val="22"/>
              </w:rPr>
              <w:t>Книги о приключениях и фантастике</w:t>
            </w:r>
          </w:p>
        </w:tc>
      </w:tr>
      <w:tr w14:paraId="774D15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60634EC7">
            <w:pPr>
              <w:pStyle w:val="85"/>
              <w:rPr>
                <w:color w:val="auto"/>
                <w:sz w:val="22"/>
                <w:szCs w:val="22"/>
              </w:rPr>
            </w:pPr>
            <w:r>
              <w:rPr>
                <w:color w:val="auto"/>
                <w:sz w:val="22"/>
                <w:szCs w:val="22"/>
              </w:rPr>
              <w:t>Урок 136</w:t>
            </w:r>
          </w:p>
        </w:tc>
        <w:tc>
          <w:tcPr>
            <w:tcW w:w="7937" w:type="dxa"/>
            <w:vAlign w:val="center"/>
          </w:tcPr>
          <w:p w14:paraId="3E519B58">
            <w:pPr>
              <w:pStyle w:val="85"/>
              <w:jc w:val="both"/>
              <w:rPr>
                <w:color w:val="auto"/>
                <w:sz w:val="22"/>
                <w:szCs w:val="22"/>
              </w:rPr>
            </w:pPr>
            <w:r>
              <w:rPr>
                <w:color w:val="auto"/>
                <w:sz w:val="22"/>
                <w:szCs w:val="22"/>
              </w:rPr>
              <w:t>Резервный урок. Рекомендации по летнему чтению. Правила читателя и способы выбора книги (тематический, систематический каталог)</w:t>
            </w:r>
          </w:p>
        </w:tc>
      </w:tr>
      <w:tr w14:paraId="71E71A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9071" w:type="dxa"/>
            <w:gridSpan w:val="2"/>
            <w:vAlign w:val="center"/>
          </w:tcPr>
          <w:p w14:paraId="09CACF34">
            <w:pPr>
              <w:pStyle w:val="85"/>
              <w:jc w:val="both"/>
              <w:rPr>
                <w:color w:val="auto"/>
                <w:sz w:val="22"/>
                <w:szCs w:val="22"/>
              </w:rPr>
            </w:pPr>
            <w:r>
              <w:rPr>
                <w:color w:val="auto"/>
                <w:sz w:val="22"/>
                <w:szCs w:val="22"/>
              </w:rPr>
              <w:t>ОБЩЕЕ КОЛИЧЕСТВО УРОКОВ ПО ПРОГРАММЕ: 136, из них уроков, отведенных на контрольные работы (в том числе Всероссийские проверочные работы), - не более 13</w:t>
            </w:r>
          </w:p>
        </w:tc>
      </w:tr>
    </w:tbl>
    <w:p w14:paraId="23513B04">
      <w:pPr>
        <w:pStyle w:val="85"/>
        <w:jc w:val="both"/>
        <w:rPr>
          <w:color w:val="auto"/>
          <w:sz w:val="22"/>
          <w:szCs w:val="22"/>
        </w:rPr>
      </w:pPr>
    </w:p>
    <w:p w14:paraId="7495AA11">
      <w:pPr>
        <w:pStyle w:val="85"/>
        <w:jc w:val="right"/>
        <w:rPr>
          <w:color w:val="auto"/>
          <w:sz w:val="22"/>
          <w:szCs w:val="22"/>
        </w:rPr>
      </w:pPr>
      <w:r>
        <w:rPr>
          <w:color w:val="auto"/>
          <w:sz w:val="22"/>
          <w:szCs w:val="22"/>
        </w:rPr>
        <w:t>Таблица 4.4</w:t>
      </w:r>
    </w:p>
    <w:p w14:paraId="1866EADF">
      <w:pPr>
        <w:pStyle w:val="85"/>
        <w:jc w:val="both"/>
        <w:rPr>
          <w:color w:val="auto"/>
          <w:sz w:val="22"/>
          <w:szCs w:val="22"/>
        </w:rPr>
      </w:pPr>
    </w:p>
    <w:p w14:paraId="0284E137">
      <w:pPr>
        <w:pStyle w:val="85"/>
        <w:jc w:val="both"/>
        <w:rPr>
          <w:color w:val="auto"/>
          <w:sz w:val="22"/>
          <w:szCs w:val="22"/>
        </w:rPr>
      </w:pPr>
      <w:r>
        <w:rPr>
          <w:color w:val="auto"/>
          <w:sz w:val="22"/>
          <w:szCs w:val="22"/>
        </w:rPr>
        <w:t>Вариант 2. Для самостоятельного конструирования поурочного планирования</w:t>
      </w:r>
    </w:p>
    <w:p w14:paraId="371D8704">
      <w:pPr>
        <w:pStyle w:val="85"/>
        <w:jc w:val="both"/>
        <w:rPr>
          <w:color w:val="auto"/>
          <w:sz w:val="22"/>
          <w:szCs w:val="22"/>
        </w:rPr>
      </w:pPr>
    </w:p>
    <w:p w14:paraId="6C8FF6B8">
      <w:pPr>
        <w:pStyle w:val="85"/>
        <w:jc w:val="both"/>
        <w:rPr>
          <w:color w:val="auto"/>
          <w:sz w:val="22"/>
          <w:szCs w:val="22"/>
        </w:rPr>
      </w:pPr>
      <w:r>
        <w:rPr>
          <w:color w:val="auto"/>
          <w:sz w:val="22"/>
          <w:szCs w:val="22"/>
        </w:rPr>
        <w:t>1 класс</w:t>
      </w:r>
    </w:p>
    <w:p w14:paraId="745DF196">
      <w:pPr>
        <w:pStyle w:val="85"/>
        <w:jc w:val="both"/>
        <w:rPr>
          <w:color w:val="auto"/>
          <w:sz w:val="22"/>
          <w:szCs w:val="22"/>
        </w:rPr>
      </w:pPr>
    </w:p>
    <w:tbl>
      <w:tblPr>
        <w:tblStyle w:val="1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02" w:type="dxa"/>
          <w:left w:w="62" w:type="dxa"/>
          <w:bottom w:w="102" w:type="dxa"/>
          <w:right w:w="62" w:type="dxa"/>
        </w:tblCellMar>
      </w:tblPr>
      <w:tblGrid>
        <w:gridCol w:w="1134"/>
        <w:gridCol w:w="7937"/>
      </w:tblGrid>
      <w:tr w14:paraId="2632D8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tcPr>
          <w:p w14:paraId="32722155">
            <w:pPr>
              <w:pStyle w:val="85"/>
              <w:jc w:val="center"/>
              <w:rPr>
                <w:color w:val="auto"/>
                <w:sz w:val="22"/>
                <w:szCs w:val="22"/>
              </w:rPr>
            </w:pPr>
            <w:r>
              <w:rPr>
                <w:color w:val="auto"/>
                <w:sz w:val="22"/>
                <w:szCs w:val="22"/>
              </w:rPr>
              <w:t>N урока</w:t>
            </w:r>
          </w:p>
        </w:tc>
        <w:tc>
          <w:tcPr>
            <w:tcW w:w="7937" w:type="dxa"/>
          </w:tcPr>
          <w:p w14:paraId="1806352E">
            <w:pPr>
              <w:pStyle w:val="85"/>
              <w:jc w:val="center"/>
              <w:rPr>
                <w:color w:val="auto"/>
                <w:sz w:val="22"/>
                <w:szCs w:val="22"/>
              </w:rPr>
            </w:pPr>
            <w:r>
              <w:rPr>
                <w:color w:val="auto"/>
                <w:sz w:val="22"/>
                <w:szCs w:val="22"/>
              </w:rPr>
              <w:t>Тема урока</w:t>
            </w:r>
          </w:p>
        </w:tc>
      </w:tr>
      <w:tr w14:paraId="2CA40D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066DCBC5">
            <w:pPr>
              <w:pStyle w:val="85"/>
              <w:jc w:val="center"/>
              <w:rPr>
                <w:color w:val="auto"/>
                <w:sz w:val="22"/>
                <w:szCs w:val="22"/>
              </w:rPr>
            </w:pPr>
            <w:r>
              <w:rPr>
                <w:color w:val="auto"/>
                <w:sz w:val="22"/>
                <w:szCs w:val="22"/>
              </w:rPr>
              <w:t>Урок 1</w:t>
            </w:r>
          </w:p>
        </w:tc>
        <w:tc>
          <w:tcPr>
            <w:tcW w:w="7937" w:type="dxa"/>
            <w:vAlign w:val="center"/>
          </w:tcPr>
          <w:p w14:paraId="0C35D09B">
            <w:pPr>
              <w:pStyle w:val="85"/>
              <w:jc w:val="both"/>
              <w:rPr>
                <w:color w:val="auto"/>
                <w:sz w:val="22"/>
                <w:szCs w:val="22"/>
              </w:rPr>
            </w:pPr>
            <w:r>
              <w:rPr>
                <w:color w:val="auto"/>
                <w:sz w:val="22"/>
                <w:szCs w:val="22"/>
              </w:rPr>
              <w:t>Составление рассказов по сюжетным картинкам</w:t>
            </w:r>
          </w:p>
        </w:tc>
      </w:tr>
      <w:tr w14:paraId="66BD17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4AD26910">
            <w:pPr>
              <w:pStyle w:val="85"/>
              <w:jc w:val="center"/>
              <w:rPr>
                <w:color w:val="auto"/>
                <w:sz w:val="22"/>
                <w:szCs w:val="22"/>
              </w:rPr>
            </w:pPr>
            <w:r>
              <w:rPr>
                <w:color w:val="auto"/>
                <w:sz w:val="22"/>
                <w:szCs w:val="22"/>
              </w:rPr>
              <w:t>Урок 2</w:t>
            </w:r>
          </w:p>
        </w:tc>
        <w:tc>
          <w:tcPr>
            <w:tcW w:w="7937" w:type="dxa"/>
            <w:vAlign w:val="center"/>
          </w:tcPr>
          <w:p w14:paraId="12042C16">
            <w:pPr>
              <w:pStyle w:val="85"/>
              <w:jc w:val="both"/>
              <w:rPr>
                <w:color w:val="auto"/>
                <w:sz w:val="22"/>
                <w:szCs w:val="22"/>
              </w:rPr>
            </w:pPr>
            <w:r>
              <w:rPr>
                <w:color w:val="auto"/>
                <w:sz w:val="22"/>
                <w:szCs w:val="22"/>
              </w:rPr>
              <w:t>Выделение предложения из речевого потока</w:t>
            </w:r>
          </w:p>
        </w:tc>
      </w:tr>
      <w:tr w14:paraId="550A85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19EAF68E">
            <w:pPr>
              <w:pStyle w:val="85"/>
              <w:jc w:val="center"/>
              <w:rPr>
                <w:color w:val="auto"/>
                <w:sz w:val="22"/>
                <w:szCs w:val="22"/>
              </w:rPr>
            </w:pPr>
            <w:r>
              <w:rPr>
                <w:color w:val="auto"/>
                <w:sz w:val="22"/>
                <w:szCs w:val="22"/>
              </w:rPr>
              <w:t>Урок 3</w:t>
            </w:r>
          </w:p>
        </w:tc>
        <w:tc>
          <w:tcPr>
            <w:tcW w:w="7937" w:type="dxa"/>
            <w:vAlign w:val="center"/>
          </w:tcPr>
          <w:p w14:paraId="6BD39CBC">
            <w:pPr>
              <w:pStyle w:val="85"/>
              <w:jc w:val="both"/>
              <w:rPr>
                <w:color w:val="auto"/>
                <w:sz w:val="22"/>
                <w:szCs w:val="22"/>
              </w:rPr>
            </w:pPr>
            <w:r>
              <w:rPr>
                <w:color w:val="auto"/>
                <w:sz w:val="22"/>
                <w:szCs w:val="22"/>
              </w:rPr>
              <w:t>Моделирование состава предложения</w:t>
            </w:r>
          </w:p>
        </w:tc>
      </w:tr>
      <w:tr w14:paraId="54EC67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3033196B">
            <w:pPr>
              <w:pStyle w:val="85"/>
              <w:jc w:val="center"/>
              <w:rPr>
                <w:color w:val="auto"/>
                <w:sz w:val="22"/>
                <w:szCs w:val="22"/>
              </w:rPr>
            </w:pPr>
            <w:r>
              <w:rPr>
                <w:color w:val="auto"/>
                <w:sz w:val="22"/>
                <w:szCs w:val="22"/>
              </w:rPr>
              <w:t>Урок 4</w:t>
            </w:r>
          </w:p>
        </w:tc>
        <w:tc>
          <w:tcPr>
            <w:tcW w:w="7937" w:type="dxa"/>
            <w:vAlign w:val="center"/>
          </w:tcPr>
          <w:p w14:paraId="22AFFD55">
            <w:pPr>
              <w:pStyle w:val="85"/>
              <w:jc w:val="both"/>
              <w:rPr>
                <w:color w:val="auto"/>
                <w:sz w:val="22"/>
                <w:szCs w:val="22"/>
              </w:rPr>
            </w:pPr>
            <w:r>
              <w:rPr>
                <w:color w:val="auto"/>
                <w:sz w:val="22"/>
                <w:szCs w:val="22"/>
              </w:rPr>
              <w:t>Слушание литературного произведения о Родине. Произведение по выбору, например, С.Д. Дрожжин "Привет"</w:t>
            </w:r>
          </w:p>
        </w:tc>
      </w:tr>
      <w:tr w14:paraId="0D5463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606268AD">
            <w:pPr>
              <w:pStyle w:val="85"/>
              <w:jc w:val="center"/>
              <w:rPr>
                <w:color w:val="auto"/>
                <w:sz w:val="22"/>
                <w:szCs w:val="22"/>
              </w:rPr>
            </w:pPr>
            <w:r>
              <w:rPr>
                <w:color w:val="auto"/>
                <w:sz w:val="22"/>
                <w:szCs w:val="22"/>
              </w:rPr>
              <w:t>Урок 5</w:t>
            </w:r>
          </w:p>
        </w:tc>
        <w:tc>
          <w:tcPr>
            <w:tcW w:w="7937" w:type="dxa"/>
            <w:vAlign w:val="center"/>
          </w:tcPr>
          <w:p w14:paraId="373FE98C">
            <w:pPr>
              <w:pStyle w:val="85"/>
              <w:jc w:val="both"/>
              <w:rPr>
                <w:color w:val="auto"/>
                <w:sz w:val="22"/>
                <w:szCs w:val="22"/>
              </w:rPr>
            </w:pPr>
            <w:r>
              <w:rPr>
                <w:color w:val="auto"/>
                <w:sz w:val="22"/>
                <w:szCs w:val="22"/>
              </w:rPr>
              <w:t>Выделение первого звука в слове</w:t>
            </w:r>
          </w:p>
        </w:tc>
      </w:tr>
      <w:tr w14:paraId="645E6B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1894EAB7">
            <w:pPr>
              <w:pStyle w:val="85"/>
              <w:jc w:val="center"/>
              <w:rPr>
                <w:color w:val="auto"/>
                <w:sz w:val="22"/>
                <w:szCs w:val="22"/>
              </w:rPr>
            </w:pPr>
            <w:r>
              <w:rPr>
                <w:color w:val="auto"/>
                <w:sz w:val="22"/>
                <w:szCs w:val="22"/>
              </w:rPr>
              <w:t>Урок 6</w:t>
            </w:r>
          </w:p>
        </w:tc>
        <w:tc>
          <w:tcPr>
            <w:tcW w:w="7937" w:type="dxa"/>
            <w:vAlign w:val="center"/>
          </w:tcPr>
          <w:p w14:paraId="57A506C9">
            <w:pPr>
              <w:pStyle w:val="85"/>
              <w:jc w:val="both"/>
              <w:rPr>
                <w:color w:val="auto"/>
                <w:sz w:val="22"/>
                <w:szCs w:val="22"/>
              </w:rPr>
            </w:pPr>
            <w:r>
              <w:rPr>
                <w:color w:val="auto"/>
                <w:sz w:val="22"/>
                <w:szCs w:val="22"/>
              </w:rPr>
              <w:t>Проведение звукового анализа слова</w:t>
            </w:r>
          </w:p>
        </w:tc>
      </w:tr>
      <w:tr w14:paraId="073B46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2B6DB9FB">
            <w:pPr>
              <w:pStyle w:val="85"/>
              <w:jc w:val="center"/>
              <w:rPr>
                <w:color w:val="auto"/>
                <w:sz w:val="22"/>
                <w:szCs w:val="22"/>
              </w:rPr>
            </w:pPr>
            <w:r>
              <w:rPr>
                <w:color w:val="auto"/>
                <w:sz w:val="22"/>
                <w:szCs w:val="22"/>
              </w:rPr>
              <w:t>Урок 7</w:t>
            </w:r>
          </w:p>
        </w:tc>
        <w:tc>
          <w:tcPr>
            <w:tcW w:w="7937" w:type="dxa"/>
            <w:vAlign w:val="center"/>
          </w:tcPr>
          <w:p w14:paraId="2414EB0E">
            <w:pPr>
              <w:pStyle w:val="85"/>
              <w:jc w:val="both"/>
              <w:rPr>
                <w:color w:val="auto"/>
                <w:sz w:val="22"/>
                <w:szCs w:val="22"/>
              </w:rPr>
            </w:pPr>
            <w:r>
              <w:rPr>
                <w:color w:val="auto"/>
                <w:sz w:val="22"/>
                <w:szCs w:val="22"/>
              </w:rPr>
              <w:t>Выделение гласных звуков в слове</w:t>
            </w:r>
          </w:p>
        </w:tc>
      </w:tr>
      <w:tr w14:paraId="449491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122A068C">
            <w:pPr>
              <w:pStyle w:val="85"/>
              <w:jc w:val="center"/>
              <w:rPr>
                <w:color w:val="auto"/>
                <w:sz w:val="22"/>
                <w:szCs w:val="22"/>
              </w:rPr>
            </w:pPr>
            <w:r>
              <w:rPr>
                <w:color w:val="auto"/>
                <w:sz w:val="22"/>
                <w:szCs w:val="22"/>
              </w:rPr>
              <w:t>Урок 8</w:t>
            </w:r>
          </w:p>
        </w:tc>
        <w:tc>
          <w:tcPr>
            <w:tcW w:w="7937" w:type="dxa"/>
            <w:vAlign w:val="center"/>
          </w:tcPr>
          <w:p w14:paraId="40B8CE9B">
            <w:pPr>
              <w:pStyle w:val="85"/>
              <w:jc w:val="both"/>
              <w:rPr>
                <w:color w:val="auto"/>
                <w:sz w:val="22"/>
                <w:szCs w:val="22"/>
              </w:rPr>
            </w:pPr>
            <w:r>
              <w:rPr>
                <w:color w:val="auto"/>
                <w:sz w:val="22"/>
                <w:szCs w:val="22"/>
              </w:rPr>
              <w:t>Слушание литературного произведения о Родине. Произведение по выбору, например, Е.В. Серова "Мой дом"</w:t>
            </w:r>
          </w:p>
        </w:tc>
      </w:tr>
      <w:tr w14:paraId="03064C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08751D9E">
            <w:pPr>
              <w:pStyle w:val="85"/>
              <w:jc w:val="center"/>
              <w:rPr>
                <w:color w:val="auto"/>
                <w:sz w:val="22"/>
                <w:szCs w:val="22"/>
              </w:rPr>
            </w:pPr>
            <w:r>
              <w:rPr>
                <w:color w:val="auto"/>
                <w:sz w:val="22"/>
                <w:szCs w:val="22"/>
              </w:rPr>
              <w:t>Урок 9</w:t>
            </w:r>
          </w:p>
        </w:tc>
        <w:tc>
          <w:tcPr>
            <w:tcW w:w="7937" w:type="dxa"/>
            <w:vAlign w:val="center"/>
          </w:tcPr>
          <w:p w14:paraId="47130F7E">
            <w:pPr>
              <w:pStyle w:val="85"/>
              <w:jc w:val="both"/>
              <w:rPr>
                <w:color w:val="auto"/>
                <w:sz w:val="22"/>
                <w:szCs w:val="22"/>
              </w:rPr>
            </w:pPr>
            <w:r>
              <w:rPr>
                <w:color w:val="auto"/>
                <w:sz w:val="22"/>
                <w:szCs w:val="22"/>
              </w:rPr>
              <w:t>Сравнение звуков по твердости-мягкости</w:t>
            </w:r>
          </w:p>
        </w:tc>
      </w:tr>
      <w:tr w14:paraId="2885BD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3FFD8040">
            <w:pPr>
              <w:pStyle w:val="85"/>
              <w:jc w:val="center"/>
              <w:rPr>
                <w:color w:val="auto"/>
                <w:sz w:val="22"/>
                <w:szCs w:val="22"/>
              </w:rPr>
            </w:pPr>
            <w:r>
              <w:rPr>
                <w:color w:val="auto"/>
                <w:sz w:val="22"/>
                <w:szCs w:val="22"/>
              </w:rPr>
              <w:t>Урок 10</w:t>
            </w:r>
          </w:p>
        </w:tc>
        <w:tc>
          <w:tcPr>
            <w:tcW w:w="7937" w:type="dxa"/>
            <w:vAlign w:val="center"/>
          </w:tcPr>
          <w:p w14:paraId="09D827F4">
            <w:pPr>
              <w:pStyle w:val="85"/>
              <w:jc w:val="both"/>
              <w:rPr>
                <w:color w:val="auto"/>
                <w:sz w:val="22"/>
                <w:szCs w:val="22"/>
              </w:rPr>
            </w:pPr>
            <w:r>
              <w:rPr>
                <w:color w:val="auto"/>
                <w:sz w:val="22"/>
                <w:szCs w:val="22"/>
              </w:rPr>
              <w:t>Отражение качественных характеристик звуков в моделях слов</w:t>
            </w:r>
          </w:p>
        </w:tc>
      </w:tr>
      <w:tr w14:paraId="525A90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674D2F2A">
            <w:pPr>
              <w:pStyle w:val="85"/>
              <w:jc w:val="center"/>
              <w:rPr>
                <w:color w:val="auto"/>
                <w:sz w:val="22"/>
                <w:szCs w:val="22"/>
              </w:rPr>
            </w:pPr>
            <w:r>
              <w:rPr>
                <w:color w:val="auto"/>
                <w:sz w:val="22"/>
                <w:szCs w:val="22"/>
              </w:rPr>
              <w:t>Урок 11</w:t>
            </w:r>
          </w:p>
        </w:tc>
        <w:tc>
          <w:tcPr>
            <w:tcW w:w="7937" w:type="dxa"/>
            <w:vAlign w:val="center"/>
          </w:tcPr>
          <w:p w14:paraId="1C369DB3">
            <w:pPr>
              <w:pStyle w:val="85"/>
              <w:jc w:val="both"/>
              <w:rPr>
                <w:color w:val="auto"/>
                <w:sz w:val="22"/>
                <w:szCs w:val="22"/>
              </w:rPr>
            </w:pPr>
            <w:r>
              <w:rPr>
                <w:color w:val="auto"/>
                <w:sz w:val="22"/>
                <w:szCs w:val="22"/>
              </w:rPr>
              <w:t>Отработка умения проводить звуковой анализ слова</w:t>
            </w:r>
          </w:p>
        </w:tc>
      </w:tr>
      <w:tr w14:paraId="7BA5D3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01740F46">
            <w:pPr>
              <w:pStyle w:val="85"/>
              <w:jc w:val="center"/>
              <w:rPr>
                <w:color w:val="auto"/>
                <w:sz w:val="22"/>
                <w:szCs w:val="22"/>
              </w:rPr>
            </w:pPr>
            <w:r>
              <w:rPr>
                <w:color w:val="auto"/>
                <w:sz w:val="22"/>
                <w:szCs w:val="22"/>
              </w:rPr>
              <w:t>Урок 12</w:t>
            </w:r>
          </w:p>
        </w:tc>
        <w:tc>
          <w:tcPr>
            <w:tcW w:w="7937" w:type="dxa"/>
            <w:vAlign w:val="center"/>
          </w:tcPr>
          <w:p w14:paraId="1A14540A">
            <w:pPr>
              <w:pStyle w:val="85"/>
              <w:jc w:val="both"/>
              <w:rPr>
                <w:color w:val="auto"/>
                <w:sz w:val="22"/>
                <w:szCs w:val="22"/>
              </w:rPr>
            </w:pPr>
            <w:r>
              <w:rPr>
                <w:color w:val="auto"/>
                <w:sz w:val="22"/>
                <w:szCs w:val="22"/>
              </w:rPr>
              <w:t>Слушание литературного произведения о природе. Произведение по выбору, например, И.С Соколов-Микитов "Русский лес"</w:t>
            </w:r>
          </w:p>
        </w:tc>
      </w:tr>
      <w:tr w14:paraId="16A25C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034CFFCB">
            <w:pPr>
              <w:pStyle w:val="85"/>
              <w:jc w:val="center"/>
              <w:rPr>
                <w:color w:val="auto"/>
                <w:sz w:val="22"/>
                <w:szCs w:val="22"/>
              </w:rPr>
            </w:pPr>
            <w:r>
              <w:rPr>
                <w:color w:val="auto"/>
                <w:sz w:val="22"/>
                <w:szCs w:val="22"/>
              </w:rPr>
              <w:t>Урок 13</w:t>
            </w:r>
          </w:p>
        </w:tc>
        <w:tc>
          <w:tcPr>
            <w:tcW w:w="7937" w:type="dxa"/>
            <w:vAlign w:val="center"/>
          </w:tcPr>
          <w:p w14:paraId="33500EAC">
            <w:pPr>
              <w:pStyle w:val="85"/>
              <w:jc w:val="both"/>
              <w:rPr>
                <w:color w:val="auto"/>
                <w:sz w:val="22"/>
                <w:szCs w:val="22"/>
              </w:rPr>
            </w:pPr>
            <w:r>
              <w:rPr>
                <w:color w:val="auto"/>
                <w:sz w:val="22"/>
                <w:szCs w:val="22"/>
              </w:rPr>
              <w:t>Отработка умения устанавливать последовательность звуков в слове</w:t>
            </w:r>
          </w:p>
        </w:tc>
      </w:tr>
      <w:tr w14:paraId="2061E7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67E88172">
            <w:pPr>
              <w:pStyle w:val="85"/>
              <w:jc w:val="center"/>
              <w:rPr>
                <w:color w:val="auto"/>
                <w:sz w:val="22"/>
                <w:szCs w:val="22"/>
              </w:rPr>
            </w:pPr>
            <w:r>
              <w:rPr>
                <w:color w:val="auto"/>
                <w:sz w:val="22"/>
                <w:szCs w:val="22"/>
              </w:rPr>
              <w:t>Урок 14</w:t>
            </w:r>
          </w:p>
        </w:tc>
        <w:tc>
          <w:tcPr>
            <w:tcW w:w="7937" w:type="dxa"/>
            <w:vAlign w:val="center"/>
          </w:tcPr>
          <w:p w14:paraId="096421E7">
            <w:pPr>
              <w:pStyle w:val="85"/>
              <w:jc w:val="both"/>
              <w:rPr>
                <w:color w:val="auto"/>
                <w:sz w:val="22"/>
                <w:szCs w:val="22"/>
              </w:rPr>
            </w:pPr>
            <w:r>
              <w:rPr>
                <w:color w:val="auto"/>
                <w:sz w:val="22"/>
                <w:szCs w:val="22"/>
              </w:rPr>
              <w:t>Знакомство со строчной и заглавной буквами А, а</w:t>
            </w:r>
          </w:p>
        </w:tc>
      </w:tr>
      <w:tr w14:paraId="2BA76E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56B1667F">
            <w:pPr>
              <w:pStyle w:val="85"/>
              <w:jc w:val="center"/>
              <w:rPr>
                <w:color w:val="auto"/>
                <w:sz w:val="22"/>
                <w:szCs w:val="22"/>
              </w:rPr>
            </w:pPr>
            <w:r>
              <w:rPr>
                <w:color w:val="auto"/>
                <w:sz w:val="22"/>
                <w:szCs w:val="22"/>
              </w:rPr>
              <w:t>Урок 15</w:t>
            </w:r>
          </w:p>
        </w:tc>
        <w:tc>
          <w:tcPr>
            <w:tcW w:w="7937" w:type="dxa"/>
            <w:vAlign w:val="center"/>
          </w:tcPr>
          <w:p w14:paraId="320DBE39">
            <w:pPr>
              <w:pStyle w:val="85"/>
              <w:jc w:val="both"/>
              <w:rPr>
                <w:color w:val="auto"/>
                <w:sz w:val="22"/>
                <w:szCs w:val="22"/>
              </w:rPr>
            </w:pPr>
            <w:r>
              <w:rPr>
                <w:color w:val="auto"/>
                <w:sz w:val="22"/>
                <w:szCs w:val="22"/>
              </w:rPr>
              <w:t>Проведение звукового анализа слов с буквами А, а</w:t>
            </w:r>
          </w:p>
        </w:tc>
      </w:tr>
      <w:tr w14:paraId="20763F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614E0BF5">
            <w:pPr>
              <w:pStyle w:val="85"/>
              <w:jc w:val="center"/>
              <w:rPr>
                <w:color w:val="auto"/>
                <w:sz w:val="22"/>
                <w:szCs w:val="22"/>
              </w:rPr>
            </w:pPr>
            <w:r>
              <w:rPr>
                <w:color w:val="auto"/>
                <w:sz w:val="22"/>
                <w:szCs w:val="22"/>
              </w:rPr>
              <w:t>Урок 16</w:t>
            </w:r>
          </w:p>
        </w:tc>
        <w:tc>
          <w:tcPr>
            <w:tcW w:w="7937" w:type="dxa"/>
            <w:vAlign w:val="center"/>
          </w:tcPr>
          <w:p w14:paraId="73F3A548">
            <w:pPr>
              <w:pStyle w:val="85"/>
              <w:jc w:val="both"/>
              <w:rPr>
                <w:color w:val="auto"/>
                <w:sz w:val="22"/>
                <w:szCs w:val="22"/>
              </w:rPr>
            </w:pPr>
            <w:r>
              <w:rPr>
                <w:color w:val="auto"/>
                <w:sz w:val="22"/>
                <w:szCs w:val="22"/>
              </w:rPr>
              <w:t>Знакомство со строчной и заглавной буквами Я, я</w:t>
            </w:r>
          </w:p>
        </w:tc>
      </w:tr>
      <w:tr w14:paraId="221F20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4E91341D">
            <w:pPr>
              <w:pStyle w:val="85"/>
              <w:jc w:val="center"/>
              <w:rPr>
                <w:color w:val="auto"/>
                <w:sz w:val="22"/>
                <w:szCs w:val="22"/>
              </w:rPr>
            </w:pPr>
            <w:r>
              <w:rPr>
                <w:color w:val="auto"/>
                <w:sz w:val="22"/>
                <w:szCs w:val="22"/>
              </w:rPr>
              <w:t>Урок 17</w:t>
            </w:r>
          </w:p>
        </w:tc>
        <w:tc>
          <w:tcPr>
            <w:tcW w:w="7937" w:type="dxa"/>
            <w:vAlign w:val="center"/>
          </w:tcPr>
          <w:p w14:paraId="3B776854">
            <w:pPr>
              <w:pStyle w:val="85"/>
              <w:jc w:val="both"/>
              <w:rPr>
                <w:color w:val="auto"/>
                <w:sz w:val="22"/>
                <w:szCs w:val="22"/>
              </w:rPr>
            </w:pPr>
            <w:r>
              <w:rPr>
                <w:color w:val="auto"/>
                <w:sz w:val="22"/>
                <w:szCs w:val="22"/>
              </w:rPr>
              <w:t>Проведение звукового анализа слов с буквами Я, я</w:t>
            </w:r>
          </w:p>
        </w:tc>
      </w:tr>
      <w:tr w14:paraId="54C70C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26C23E24">
            <w:pPr>
              <w:pStyle w:val="85"/>
              <w:jc w:val="center"/>
              <w:rPr>
                <w:color w:val="auto"/>
                <w:sz w:val="22"/>
                <w:szCs w:val="22"/>
              </w:rPr>
            </w:pPr>
            <w:r>
              <w:rPr>
                <w:color w:val="auto"/>
                <w:sz w:val="22"/>
                <w:szCs w:val="22"/>
              </w:rPr>
              <w:t>Урок 18</w:t>
            </w:r>
          </w:p>
        </w:tc>
        <w:tc>
          <w:tcPr>
            <w:tcW w:w="7937" w:type="dxa"/>
            <w:vAlign w:val="center"/>
          </w:tcPr>
          <w:p w14:paraId="47CE93D5">
            <w:pPr>
              <w:pStyle w:val="85"/>
              <w:jc w:val="both"/>
              <w:rPr>
                <w:color w:val="auto"/>
                <w:sz w:val="22"/>
                <w:szCs w:val="22"/>
              </w:rPr>
            </w:pPr>
            <w:r>
              <w:rPr>
                <w:color w:val="auto"/>
                <w:sz w:val="22"/>
                <w:szCs w:val="22"/>
              </w:rPr>
              <w:t>Знакомство со строчной и заглавной буквами О, о</w:t>
            </w:r>
          </w:p>
        </w:tc>
      </w:tr>
      <w:tr w14:paraId="2B28A7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24E329F9">
            <w:pPr>
              <w:pStyle w:val="85"/>
              <w:jc w:val="center"/>
              <w:rPr>
                <w:color w:val="auto"/>
                <w:sz w:val="22"/>
                <w:szCs w:val="22"/>
              </w:rPr>
            </w:pPr>
            <w:r>
              <w:rPr>
                <w:color w:val="auto"/>
                <w:sz w:val="22"/>
                <w:szCs w:val="22"/>
              </w:rPr>
              <w:t>Урок 19</w:t>
            </w:r>
          </w:p>
        </w:tc>
        <w:tc>
          <w:tcPr>
            <w:tcW w:w="7937" w:type="dxa"/>
            <w:vAlign w:val="center"/>
          </w:tcPr>
          <w:p w14:paraId="1EBB57C7">
            <w:pPr>
              <w:pStyle w:val="85"/>
              <w:jc w:val="both"/>
              <w:rPr>
                <w:color w:val="auto"/>
                <w:sz w:val="22"/>
                <w:szCs w:val="22"/>
              </w:rPr>
            </w:pPr>
            <w:r>
              <w:rPr>
                <w:color w:val="auto"/>
                <w:sz w:val="22"/>
                <w:szCs w:val="22"/>
              </w:rPr>
              <w:t>Слушание литературного произведения о родной природе. Произведение по выбору, например, М.Л. Михайлов "Лесные хоромы"</w:t>
            </w:r>
          </w:p>
        </w:tc>
      </w:tr>
      <w:tr w14:paraId="29EC05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7D15BBB1">
            <w:pPr>
              <w:pStyle w:val="85"/>
              <w:jc w:val="center"/>
              <w:rPr>
                <w:color w:val="auto"/>
                <w:sz w:val="22"/>
                <w:szCs w:val="22"/>
              </w:rPr>
            </w:pPr>
            <w:r>
              <w:rPr>
                <w:color w:val="auto"/>
                <w:sz w:val="22"/>
                <w:szCs w:val="22"/>
              </w:rPr>
              <w:t>Урок 20</w:t>
            </w:r>
          </w:p>
        </w:tc>
        <w:tc>
          <w:tcPr>
            <w:tcW w:w="7937" w:type="dxa"/>
            <w:vAlign w:val="center"/>
          </w:tcPr>
          <w:p w14:paraId="0D42ED7D">
            <w:pPr>
              <w:pStyle w:val="85"/>
              <w:jc w:val="both"/>
              <w:rPr>
                <w:color w:val="auto"/>
                <w:sz w:val="22"/>
                <w:szCs w:val="22"/>
              </w:rPr>
            </w:pPr>
            <w:r>
              <w:rPr>
                <w:color w:val="auto"/>
                <w:sz w:val="22"/>
                <w:szCs w:val="22"/>
              </w:rPr>
              <w:t>Знакомство со строчной и заглавной буквами Ё, ё</w:t>
            </w:r>
          </w:p>
        </w:tc>
      </w:tr>
      <w:tr w14:paraId="297DDF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01134285">
            <w:pPr>
              <w:pStyle w:val="85"/>
              <w:jc w:val="center"/>
              <w:rPr>
                <w:color w:val="auto"/>
                <w:sz w:val="22"/>
                <w:szCs w:val="22"/>
              </w:rPr>
            </w:pPr>
            <w:r>
              <w:rPr>
                <w:color w:val="auto"/>
                <w:sz w:val="22"/>
                <w:szCs w:val="22"/>
              </w:rPr>
              <w:t>Урок 21</w:t>
            </w:r>
          </w:p>
        </w:tc>
        <w:tc>
          <w:tcPr>
            <w:tcW w:w="7937" w:type="dxa"/>
            <w:vAlign w:val="center"/>
          </w:tcPr>
          <w:p w14:paraId="15DF93F6">
            <w:pPr>
              <w:pStyle w:val="85"/>
              <w:jc w:val="both"/>
              <w:rPr>
                <w:color w:val="auto"/>
                <w:sz w:val="22"/>
                <w:szCs w:val="22"/>
              </w:rPr>
            </w:pPr>
            <w:r>
              <w:rPr>
                <w:color w:val="auto"/>
                <w:sz w:val="22"/>
                <w:szCs w:val="22"/>
              </w:rPr>
              <w:t>Проведение звукового анализа слов с буквами Ё, ё</w:t>
            </w:r>
          </w:p>
        </w:tc>
      </w:tr>
      <w:tr w14:paraId="13DDB7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046BA6A4">
            <w:pPr>
              <w:pStyle w:val="85"/>
              <w:jc w:val="center"/>
              <w:rPr>
                <w:color w:val="auto"/>
                <w:sz w:val="22"/>
                <w:szCs w:val="22"/>
              </w:rPr>
            </w:pPr>
            <w:r>
              <w:rPr>
                <w:color w:val="auto"/>
                <w:sz w:val="22"/>
                <w:szCs w:val="22"/>
              </w:rPr>
              <w:t>Урок 22</w:t>
            </w:r>
          </w:p>
        </w:tc>
        <w:tc>
          <w:tcPr>
            <w:tcW w:w="7937" w:type="dxa"/>
            <w:vAlign w:val="center"/>
          </w:tcPr>
          <w:p w14:paraId="58BB4039">
            <w:pPr>
              <w:pStyle w:val="85"/>
              <w:jc w:val="both"/>
              <w:rPr>
                <w:color w:val="auto"/>
                <w:sz w:val="22"/>
                <w:szCs w:val="22"/>
              </w:rPr>
            </w:pPr>
            <w:r>
              <w:rPr>
                <w:color w:val="auto"/>
                <w:sz w:val="22"/>
                <w:szCs w:val="22"/>
              </w:rPr>
              <w:t>Знакомство со строчной и заглавной буквами У, у</w:t>
            </w:r>
          </w:p>
        </w:tc>
      </w:tr>
      <w:tr w14:paraId="57F801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42911AA8">
            <w:pPr>
              <w:pStyle w:val="85"/>
              <w:jc w:val="center"/>
              <w:rPr>
                <w:color w:val="auto"/>
                <w:sz w:val="22"/>
                <w:szCs w:val="22"/>
              </w:rPr>
            </w:pPr>
            <w:r>
              <w:rPr>
                <w:color w:val="auto"/>
                <w:sz w:val="22"/>
                <w:szCs w:val="22"/>
              </w:rPr>
              <w:t>Урок 23</w:t>
            </w:r>
          </w:p>
        </w:tc>
        <w:tc>
          <w:tcPr>
            <w:tcW w:w="7937" w:type="dxa"/>
            <w:vAlign w:val="center"/>
          </w:tcPr>
          <w:p w14:paraId="23AB5C7E">
            <w:pPr>
              <w:pStyle w:val="85"/>
              <w:jc w:val="both"/>
              <w:rPr>
                <w:color w:val="auto"/>
                <w:sz w:val="22"/>
                <w:szCs w:val="22"/>
              </w:rPr>
            </w:pPr>
            <w:r>
              <w:rPr>
                <w:color w:val="auto"/>
                <w:sz w:val="22"/>
                <w:szCs w:val="22"/>
              </w:rPr>
              <w:t>Проведение звукового анализа слов с буквами У, у</w:t>
            </w:r>
          </w:p>
        </w:tc>
      </w:tr>
      <w:tr w14:paraId="092DF0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13F06231">
            <w:pPr>
              <w:pStyle w:val="85"/>
              <w:jc w:val="center"/>
              <w:rPr>
                <w:color w:val="auto"/>
                <w:sz w:val="22"/>
                <w:szCs w:val="22"/>
              </w:rPr>
            </w:pPr>
            <w:r>
              <w:rPr>
                <w:color w:val="auto"/>
                <w:sz w:val="22"/>
                <w:szCs w:val="22"/>
              </w:rPr>
              <w:t>Урок 24</w:t>
            </w:r>
          </w:p>
        </w:tc>
        <w:tc>
          <w:tcPr>
            <w:tcW w:w="7937" w:type="dxa"/>
            <w:vAlign w:val="center"/>
          </w:tcPr>
          <w:p w14:paraId="32754DD8">
            <w:pPr>
              <w:pStyle w:val="85"/>
              <w:jc w:val="both"/>
              <w:rPr>
                <w:color w:val="auto"/>
                <w:sz w:val="22"/>
                <w:szCs w:val="22"/>
              </w:rPr>
            </w:pPr>
            <w:r>
              <w:rPr>
                <w:color w:val="auto"/>
                <w:sz w:val="22"/>
                <w:szCs w:val="22"/>
              </w:rPr>
              <w:t>Знакомство со строчной и заглавной буквами Ю, ю</w:t>
            </w:r>
          </w:p>
        </w:tc>
      </w:tr>
      <w:tr w14:paraId="1FD3D0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2A7E1C95">
            <w:pPr>
              <w:pStyle w:val="85"/>
              <w:jc w:val="center"/>
              <w:rPr>
                <w:color w:val="auto"/>
                <w:sz w:val="22"/>
                <w:szCs w:val="22"/>
              </w:rPr>
            </w:pPr>
            <w:r>
              <w:rPr>
                <w:color w:val="auto"/>
                <w:sz w:val="22"/>
                <w:szCs w:val="22"/>
              </w:rPr>
              <w:t>Урок 25</w:t>
            </w:r>
          </w:p>
        </w:tc>
        <w:tc>
          <w:tcPr>
            <w:tcW w:w="7937" w:type="dxa"/>
            <w:vAlign w:val="center"/>
          </w:tcPr>
          <w:p w14:paraId="24D9785A">
            <w:pPr>
              <w:pStyle w:val="85"/>
              <w:jc w:val="both"/>
              <w:rPr>
                <w:color w:val="auto"/>
                <w:sz w:val="22"/>
                <w:szCs w:val="22"/>
              </w:rPr>
            </w:pPr>
            <w:r>
              <w:rPr>
                <w:color w:val="auto"/>
                <w:sz w:val="22"/>
                <w:szCs w:val="22"/>
              </w:rPr>
              <w:t>Проведение звукового анализа слов с буквами Ю, ю</w:t>
            </w:r>
          </w:p>
        </w:tc>
      </w:tr>
      <w:tr w14:paraId="58CF8C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4CA47D8C">
            <w:pPr>
              <w:pStyle w:val="85"/>
              <w:jc w:val="center"/>
              <w:rPr>
                <w:color w:val="auto"/>
                <w:sz w:val="22"/>
                <w:szCs w:val="22"/>
              </w:rPr>
            </w:pPr>
            <w:r>
              <w:rPr>
                <w:color w:val="auto"/>
                <w:sz w:val="22"/>
                <w:szCs w:val="22"/>
              </w:rPr>
              <w:t>Урок 26</w:t>
            </w:r>
          </w:p>
        </w:tc>
        <w:tc>
          <w:tcPr>
            <w:tcW w:w="7937" w:type="dxa"/>
            <w:vAlign w:val="center"/>
          </w:tcPr>
          <w:p w14:paraId="165534EA">
            <w:pPr>
              <w:pStyle w:val="85"/>
              <w:jc w:val="both"/>
              <w:rPr>
                <w:color w:val="auto"/>
                <w:sz w:val="22"/>
                <w:szCs w:val="22"/>
              </w:rPr>
            </w:pPr>
            <w:r>
              <w:rPr>
                <w:color w:val="auto"/>
                <w:sz w:val="22"/>
                <w:szCs w:val="22"/>
              </w:rPr>
              <w:t>Знакомство со строчной и заглавной буквами Э, э</w:t>
            </w:r>
          </w:p>
        </w:tc>
      </w:tr>
      <w:tr w14:paraId="67A17F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5D2DDBBD">
            <w:pPr>
              <w:pStyle w:val="85"/>
              <w:jc w:val="center"/>
              <w:rPr>
                <w:color w:val="auto"/>
                <w:sz w:val="22"/>
                <w:szCs w:val="22"/>
              </w:rPr>
            </w:pPr>
            <w:r>
              <w:rPr>
                <w:color w:val="auto"/>
                <w:sz w:val="22"/>
                <w:szCs w:val="22"/>
              </w:rPr>
              <w:t>Урок 27</w:t>
            </w:r>
          </w:p>
        </w:tc>
        <w:tc>
          <w:tcPr>
            <w:tcW w:w="7937" w:type="dxa"/>
            <w:vAlign w:val="center"/>
          </w:tcPr>
          <w:p w14:paraId="669ABB5E">
            <w:pPr>
              <w:pStyle w:val="85"/>
              <w:jc w:val="both"/>
              <w:rPr>
                <w:color w:val="auto"/>
                <w:sz w:val="22"/>
                <w:szCs w:val="22"/>
              </w:rPr>
            </w:pPr>
            <w:r>
              <w:rPr>
                <w:color w:val="auto"/>
                <w:sz w:val="22"/>
                <w:szCs w:val="22"/>
              </w:rPr>
              <w:t>Слушание литературного произведения о детях. Произведение по выбору, например, А.Л. Барто "В школу"</w:t>
            </w:r>
          </w:p>
        </w:tc>
      </w:tr>
      <w:tr w14:paraId="2845D4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6682384E">
            <w:pPr>
              <w:pStyle w:val="85"/>
              <w:jc w:val="center"/>
              <w:rPr>
                <w:color w:val="auto"/>
                <w:sz w:val="22"/>
                <w:szCs w:val="22"/>
              </w:rPr>
            </w:pPr>
            <w:r>
              <w:rPr>
                <w:color w:val="auto"/>
                <w:sz w:val="22"/>
                <w:szCs w:val="22"/>
              </w:rPr>
              <w:t>Урок 28</w:t>
            </w:r>
          </w:p>
        </w:tc>
        <w:tc>
          <w:tcPr>
            <w:tcW w:w="7937" w:type="dxa"/>
            <w:vAlign w:val="center"/>
          </w:tcPr>
          <w:p w14:paraId="6A7A85C6">
            <w:pPr>
              <w:pStyle w:val="85"/>
              <w:jc w:val="both"/>
              <w:rPr>
                <w:color w:val="auto"/>
                <w:sz w:val="22"/>
                <w:szCs w:val="22"/>
              </w:rPr>
            </w:pPr>
            <w:r>
              <w:rPr>
                <w:color w:val="auto"/>
                <w:sz w:val="22"/>
                <w:szCs w:val="22"/>
              </w:rPr>
              <w:t>Знакомство со строчной и заглавной буквами Е, е</w:t>
            </w:r>
          </w:p>
        </w:tc>
      </w:tr>
      <w:tr w14:paraId="5D1BB4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677F807C">
            <w:pPr>
              <w:pStyle w:val="85"/>
              <w:jc w:val="center"/>
              <w:rPr>
                <w:color w:val="auto"/>
                <w:sz w:val="22"/>
                <w:szCs w:val="22"/>
              </w:rPr>
            </w:pPr>
            <w:r>
              <w:rPr>
                <w:color w:val="auto"/>
                <w:sz w:val="22"/>
                <w:szCs w:val="22"/>
              </w:rPr>
              <w:t>Урок 29</w:t>
            </w:r>
          </w:p>
        </w:tc>
        <w:tc>
          <w:tcPr>
            <w:tcW w:w="7937" w:type="dxa"/>
            <w:vAlign w:val="center"/>
          </w:tcPr>
          <w:p w14:paraId="7A7AB212">
            <w:pPr>
              <w:pStyle w:val="85"/>
              <w:jc w:val="both"/>
              <w:rPr>
                <w:color w:val="auto"/>
                <w:sz w:val="22"/>
                <w:szCs w:val="22"/>
              </w:rPr>
            </w:pPr>
            <w:r>
              <w:rPr>
                <w:color w:val="auto"/>
                <w:sz w:val="22"/>
                <w:szCs w:val="22"/>
              </w:rPr>
              <w:t>Проведение звукового анализа слов с буквами Е, е</w:t>
            </w:r>
          </w:p>
        </w:tc>
      </w:tr>
      <w:tr w14:paraId="5C60FE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131AB0F7">
            <w:pPr>
              <w:pStyle w:val="85"/>
              <w:jc w:val="center"/>
              <w:rPr>
                <w:color w:val="auto"/>
                <w:sz w:val="22"/>
                <w:szCs w:val="22"/>
              </w:rPr>
            </w:pPr>
            <w:r>
              <w:rPr>
                <w:color w:val="auto"/>
                <w:sz w:val="22"/>
                <w:szCs w:val="22"/>
              </w:rPr>
              <w:t>Урок 30</w:t>
            </w:r>
          </w:p>
        </w:tc>
        <w:tc>
          <w:tcPr>
            <w:tcW w:w="7937" w:type="dxa"/>
            <w:vAlign w:val="center"/>
          </w:tcPr>
          <w:p w14:paraId="0E70A87A">
            <w:pPr>
              <w:pStyle w:val="85"/>
              <w:jc w:val="both"/>
              <w:rPr>
                <w:color w:val="auto"/>
                <w:sz w:val="22"/>
                <w:szCs w:val="22"/>
              </w:rPr>
            </w:pPr>
            <w:r>
              <w:rPr>
                <w:color w:val="auto"/>
                <w:sz w:val="22"/>
                <w:szCs w:val="22"/>
              </w:rPr>
              <w:t>Знакомство со строчной буквой ы</w:t>
            </w:r>
          </w:p>
        </w:tc>
      </w:tr>
      <w:tr w14:paraId="0F8A79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616C97A0">
            <w:pPr>
              <w:pStyle w:val="85"/>
              <w:jc w:val="center"/>
              <w:rPr>
                <w:color w:val="auto"/>
                <w:sz w:val="22"/>
                <w:szCs w:val="22"/>
              </w:rPr>
            </w:pPr>
            <w:r>
              <w:rPr>
                <w:color w:val="auto"/>
                <w:sz w:val="22"/>
                <w:szCs w:val="22"/>
              </w:rPr>
              <w:t>Урок 31</w:t>
            </w:r>
          </w:p>
        </w:tc>
        <w:tc>
          <w:tcPr>
            <w:tcW w:w="7937" w:type="dxa"/>
            <w:vAlign w:val="center"/>
          </w:tcPr>
          <w:p w14:paraId="40C6A595">
            <w:pPr>
              <w:pStyle w:val="85"/>
              <w:jc w:val="both"/>
              <w:rPr>
                <w:color w:val="auto"/>
                <w:sz w:val="22"/>
                <w:szCs w:val="22"/>
              </w:rPr>
            </w:pPr>
            <w:r>
              <w:rPr>
                <w:color w:val="auto"/>
                <w:sz w:val="22"/>
                <w:szCs w:val="22"/>
              </w:rPr>
              <w:t>Знакомство со строчной и заглавной буквами И, и</w:t>
            </w:r>
          </w:p>
        </w:tc>
      </w:tr>
      <w:tr w14:paraId="2F7A34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579DBBE5">
            <w:pPr>
              <w:pStyle w:val="85"/>
              <w:jc w:val="center"/>
              <w:rPr>
                <w:color w:val="auto"/>
                <w:sz w:val="22"/>
                <w:szCs w:val="22"/>
              </w:rPr>
            </w:pPr>
            <w:r>
              <w:rPr>
                <w:color w:val="auto"/>
                <w:sz w:val="22"/>
                <w:szCs w:val="22"/>
              </w:rPr>
              <w:t>Урок 32</w:t>
            </w:r>
          </w:p>
        </w:tc>
        <w:tc>
          <w:tcPr>
            <w:tcW w:w="7937" w:type="dxa"/>
            <w:vAlign w:val="center"/>
          </w:tcPr>
          <w:p w14:paraId="4A065424">
            <w:pPr>
              <w:pStyle w:val="85"/>
              <w:jc w:val="both"/>
              <w:rPr>
                <w:color w:val="auto"/>
                <w:sz w:val="22"/>
                <w:szCs w:val="22"/>
              </w:rPr>
            </w:pPr>
            <w:r>
              <w:rPr>
                <w:color w:val="auto"/>
                <w:sz w:val="22"/>
                <w:szCs w:val="22"/>
              </w:rPr>
              <w:t>Проведение звукового анализа слов с буквами И, и</w:t>
            </w:r>
          </w:p>
        </w:tc>
      </w:tr>
      <w:tr w14:paraId="26B243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5EC4913B">
            <w:pPr>
              <w:pStyle w:val="85"/>
              <w:jc w:val="center"/>
              <w:rPr>
                <w:color w:val="auto"/>
                <w:sz w:val="22"/>
                <w:szCs w:val="22"/>
              </w:rPr>
            </w:pPr>
            <w:r>
              <w:rPr>
                <w:color w:val="auto"/>
                <w:sz w:val="22"/>
                <w:szCs w:val="22"/>
              </w:rPr>
              <w:t>Урок 33</w:t>
            </w:r>
          </w:p>
        </w:tc>
        <w:tc>
          <w:tcPr>
            <w:tcW w:w="7937" w:type="dxa"/>
            <w:vAlign w:val="center"/>
          </w:tcPr>
          <w:p w14:paraId="5255CDC5">
            <w:pPr>
              <w:pStyle w:val="85"/>
              <w:jc w:val="both"/>
              <w:rPr>
                <w:color w:val="auto"/>
                <w:sz w:val="22"/>
                <w:szCs w:val="22"/>
              </w:rPr>
            </w:pPr>
            <w:r>
              <w:rPr>
                <w:color w:val="auto"/>
                <w:sz w:val="22"/>
                <w:szCs w:val="22"/>
              </w:rPr>
              <w:t>Слушание литературного произведения о детях. Произведение по выбору, например, В.К. Железников "История с азбукой"</w:t>
            </w:r>
          </w:p>
        </w:tc>
      </w:tr>
      <w:tr w14:paraId="591EF6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253C1A64">
            <w:pPr>
              <w:pStyle w:val="85"/>
              <w:jc w:val="center"/>
              <w:rPr>
                <w:color w:val="auto"/>
                <w:sz w:val="22"/>
                <w:szCs w:val="22"/>
              </w:rPr>
            </w:pPr>
            <w:r>
              <w:rPr>
                <w:color w:val="auto"/>
                <w:sz w:val="22"/>
                <w:szCs w:val="22"/>
              </w:rPr>
              <w:t>Урок 34</w:t>
            </w:r>
          </w:p>
        </w:tc>
        <w:tc>
          <w:tcPr>
            <w:tcW w:w="7937" w:type="dxa"/>
            <w:vAlign w:val="center"/>
          </w:tcPr>
          <w:p w14:paraId="47A16302">
            <w:pPr>
              <w:pStyle w:val="85"/>
              <w:jc w:val="both"/>
              <w:rPr>
                <w:color w:val="auto"/>
                <w:sz w:val="22"/>
                <w:szCs w:val="22"/>
              </w:rPr>
            </w:pPr>
            <w:r>
              <w:rPr>
                <w:color w:val="auto"/>
                <w:sz w:val="22"/>
                <w:szCs w:val="22"/>
              </w:rPr>
              <w:t>Повторение правил обозначения буквами гласных звуков после мягких и твердых согласных звуков</w:t>
            </w:r>
          </w:p>
        </w:tc>
      </w:tr>
      <w:tr w14:paraId="71B87D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142F8794">
            <w:pPr>
              <w:pStyle w:val="85"/>
              <w:jc w:val="center"/>
              <w:rPr>
                <w:color w:val="auto"/>
                <w:sz w:val="22"/>
                <w:szCs w:val="22"/>
              </w:rPr>
            </w:pPr>
            <w:r>
              <w:rPr>
                <w:color w:val="auto"/>
                <w:sz w:val="22"/>
                <w:szCs w:val="22"/>
              </w:rPr>
              <w:t>Урок 35</w:t>
            </w:r>
          </w:p>
        </w:tc>
        <w:tc>
          <w:tcPr>
            <w:tcW w:w="7937" w:type="dxa"/>
            <w:vAlign w:val="center"/>
          </w:tcPr>
          <w:p w14:paraId="136A3F4F">
            <w:pPr>
              <w:pStyle w:val="85"/>
              <w:jc w:val="both"/>
              <w:rPr>
                <w:color w:val="auto"/>
                <w:sz w:val="22"/>
                <w:szCs w:val="22"/>
              </w:rPr>
            </w:pPr>
            <w:r>
              <w:rPr>
                <w:color w:val="auto"/>
                <w:sz w:val="22"/>
                <w:szCs w:val="22"/>
              </w:rPr>
              <w:t>Знакомство со строчной и заглавной буквами М, м</w:t>
            </w:r>
          </w:p>
        </w:tc>
      </w:tr>
      <w:tr w14:paraId="35F0BF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14EFA067">
            <w:pPr>
              <w:pStyle w:val="85"/>
              <w:jc w:val="center"/>
              <w:rPr>
                <w:color w:val="auto"/>
                <w:sz w:val="22"/>
                <w:szCs w:val="22"/>
              </w:rPr>
            </w:pPr>
            <w:r>
              <w:rPr>
                <w:color w:val="auto"/>
                <w:sz w:val="22"/>
                <w:szCs w:val="22"/>
              </w:rPr>
              <w:t>Урок 36</w:t>
            </w:r>
          </w:p>
        </w:tc>
        <w:tc>
          <w:tcPr>
            <w:tcW w:w="7937" w:type="dxa"/>
            <w:vAlign w:val="center"/>
          </w:tcPr>
          <w:p w14:paraId="562C4BE6">
            <w:pPr>
              <w:pStyle w:val="85"/>
              <w:jc w:val="both"/>
              <w:rPr>
                <w:color w:val="auto"/>
                <w:sz w:val="22"/>
                <w:szCs w:val="22"/>
              </w:rPr>
            </w:pPr>
            <w:r>
              <w:rPr>
                <w:color w:val="auto"/>
                <w:sz w:val="22"/>
                <w:szCs w:val="22"/>
              </w:rPr>
              <w:t>Проведение звукового анализа слов с буквами М, м</w:t>
            </w:r>
          </w:p>
        </w:tc>
      </w:tr>
      <w:tr w14:paraId="304419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511902D0">
            <w:pPr>
              <w:pStyle w:val="85"/>
              <w:jc w:val="center"/>
              <w:rPr>
                <w:color w:val="auto"/>
                <w:sz w:val="22"/>
                <w:szCs w:val="22"/>
              </w:rPr>
            </w:pPr>
            <w:r>
              <w:rPr>
                <w:color w:val="auto"/>
                <w:sz w:val="22"/>
                <w:szCs w:val="22"/>
              </w:rPr>
              <w:t>Урок 37</w:t>
            </w:r>
          </w:p>
        </w:tc>
        <w:tc>
          <w:tcPr>
            <w:tcW w:w="7937" w:type="dxa"/>
            <w:vAlign w:val="center"/>
          </w:tcPr>
          <w:p w14:paraId="2D0D7767">
            <w:pPr>
              <w:pStyle w:val="85"/>
              <w:jc w:val="both"/>
              <w:rPr>
                <w:color w:val="auto"/>
                <w:sz w:val="22"/>
                <w:szCs w:val="22"/>
              </w:rPr>
            </w:pPr>
            <w:r>
              <w:rPr>
                <w:color w:val="auto"/>
                <w:sz w:val="22"/>
                <w:szCs w:val="22"/>
              </w:rPr>
              <w:t>Знакомство со строчной и заглавной буквами Н, н</w:t>
            </w:r>
          </w:p>
        </w:tc>
      </w:tr>
      <w:tr w14:paraId="3B2C2C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7C7A7A7C">
            <w:pPr>
              <w:pStyle w:val="85"/>
              <w:jc w:val="center"/>
              <w:rPr>
                <w:color w:val="auto"/>
                <w:sz w:val="22"/>
                <w:szCs w:val="22"/>
              </w:rPr>
            </w:pPr>
            <w:r>
              <w:rPr>
                <w:color w:val="auto"/>
                <w:sz w:val="22"/>
                <w:szCs w:val="22"/>
              </w:rPr>
              <w:t>Урок 38</w:t>
            </w:r>
          </w:p>
        </w:tc>
        <w:tc>
          <w:tcPr>
            <w:tcW w:w="7937" w:type="dxa"/>
            <w:vAlign w:val="center"/>
          </w:tcPr>
          <w:p w14:paraId="7EF3191C">
            <w:pPr>
              <w:pStyle w:val="85"/>
              <w:jc w:val="both"/>
              <w:rPr>
                <w:color w:val="auto"/>
                <w:sz w:val="22"/>
                <w:szCs w:val="22"/>
              </w:rPr>
            </w:pPr>
            <w:r>
              <w:rPr>
                <w:color w:val="auto"/>
                <w:sz w:val="22"/>
                <w:szCs w:val="22"/>
              </w:rPr>
              <w:t>Проведение звукового анализа слов с буквами Н, н</w:t>
            </w:r>
          </w:p>
        </w:tc>
      </w:tr>
      <w:tr w14:paraId="2096CD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278A6868">
            <w:pPr>
              <w:pStyle w:val="85"/>
              <w:jc w:val="center"/>
              <w:rPr>
                <w:color w:val="auto"/>
                <w:sz w:val="22"/>
                <w:szCs w:val="22"/>
              </w:rPr>
            </w:pPr>
            <w:r>
              <w:rPr>
                <w:color w:val="auto"/>
                <w:sz w:val="22"/>
                <w:szCs w:val="22"/>
              </w:rPr>
              <w:t>Урок 39</w:t>
            </w:r>
          </w:p>
        </w:tc>
        <w:tc>
          <w:tcPr>
            <w:tcW w:w="7937" w:type="dxa"/>
            <w:vAlign w:val="center"/>
          </w:tcPr>
          <w:p w14:paraId="3C28AA30">
            <w:pPr>
              <w:pStyle w:val="85"/>
              <w:jc w:val="both"/>
              <w:rPr>
                <w:color w:val="auto"/>
                <w:sz w:val="22"/>
                <w:szCs w:val="22"/>
              </w:rPr>
            </w:pPr>
            <w:r>
              <w:rPr>
                <w:color w:val="auto"/>
                <w:sz w:val="22"/>
                <w:szCs w:val="22"/>
              </w:rPr>
              <w:t>Знакомство со строчной и заглавной буквами Р, р</w:t>
            </w:r>
          </w:p>
        </w:tc>
      </w:tr>
      <w:tr w14:paraId="3AA9DB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57A6D40C">
            <w:pPr>
              <w:pStyle w:val="85"/>
              <w:jc w:val="center"/>
              <w:rPr>
                <w:color w:val="auto"/>
                <w:sz w:val="22"/>
                <w:szCs w:val="22"/>
              </w:rPr>
            </w:pPr>
            <w:r>
              <w:rPr>
                <w:color w:val="auto"/>
                <w:sz w:val="22"/>
                <w:szCs w:val="22"/>
              </w:rPr>
              <w:t>Урок 40</w:t>
            </w:r>
          </w:p>
        </w:tc>
        <w:tc>
          <w:tcPr>
            <w:tcW w:w="7937" w:type="dxa"/>
            <w:vAlign w:val="center"/>
          </w:tcPr>
          <w:p w14:paraId="1CFFE6E4">
            <w:pPr>
              <w:pStyle w:val="85"/>
              <w:jc w:val="both"/>
              <w:rPr>
                <w:color w:val="auto"/>
                <w:sz w:val="22"/>
                <w:szCs w:val="22"/>
              </w:rPr>
            </w:pPr>
            <w:r>
              <w:rPr>
                <w:color w:val="auto"/>
                <w:sz w:val="22"/>
                <w:szCs w:val="22"/>
              </w:rPr>
              <w:t>Проведение звукового анализа слов с буквами Р, р</w:t>
            </w:r>
          </w:p>
        </w:tc>
      </w:tr>
      <w:tr w14:paraId="2EBC29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5EA46C66">
            <w:pPr>
              <w:pStyle w:val="85"/>
              <w:jc w:val="center"/>
              <w:rPr>
                <w:color w:val="auto"/>
                <w:sz w:val="22"/>
                <w:szCs w:val="22"/>
              </w:rPr>
            </w:pPr>
            <w:r>
              <w:rPr>
                <w:color w:val="auto"/>
                <w:sz w:val="22"/>
                <w:szCs w:val="22"/>
              </w:rPr>
              <w:t>Урок 41</w:t>
            </w:r>
          </w:p>
        </w:tc>
        <w:tc>
          <w:tcPr>
            <w:tcW w:w="7937" w:type="dxa"/>
            <w:vAlign w:val="center"/>
          </w:tcPr>
          <w:p w14:paraId="7405F893">
            <w:pPr>
              <w:pStyle w:val="85"/>
              <w:jc w:val="both"/>
              <w:rPr>
                <w:color w:val="auto"/>
                <w:sz w:val="22"/>
                <w:szCs w:val="22"/>
              </w:rPr>
            </w:pPr>
            <w:r>
              <w:rPr>
                <w:color w:val="auto"/>
                <w:sz w:val="22"/>
                <w:szCs w:val="22"/>
              </w:rPr>
              <w:t>Знакомство со строчной и заглавной буквами Л, л</w:t>
            </w:r>
          </w:p>
        </w:tc>
      </w:tr>
      <w:tr w14:paraId="538D63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40931CA2">
            <w:pPr>
              <w:pStyle w:val="85"/>
              <w:jc w:val="center"/>
              <w:rPr>
                <w:color w:val="auto"/>
                <w:sz w:val="22"/>
                <w:szCs w:val="22"/>
              </w:rPr>
            </w:pPr>
            <w:r>
              <w:rPr>
                <w:color w:val="auto"/>
                <w:sz w:val="22"/>
                <w:szCs w:val="22"/>
              </w:rPr>
              <w:t>Урок 42</w:t>
            </w:r>
          </w:p>
        </w:tc>
        <w:tc>
          <w:tcPr>
            <w:tcW w:w="7937" w:type="dxa"/>
            <w:vAlign w:val="center"/>
          </w:tcPr>
          <w:p w14:paraId="05CD5163">
            <w:pPr>
              <w:pStyle w:val="85"/>
              <w:jc w:val="both"/>
              <w:rPr>
                <w:color w:val="auto"/>
                <w:sz w:val="22"/>
                <w:szCs w:val="22"/>
              </w:rPr>
            </w:pPr>
            <w:r>
              <w:rPr>
                <w:color w:val="auto"/>
                <w:sz w:val="22"/>
                <w:szCs w:val="22"/>
              </w:rPr>
              <w:t>Проведение звукового анализа слов с буквами Л, л</w:t>
            </w:r>
          </w:p>
        </w:tc>
      </w:tr>
      <w:tr w14:paraId="5E41E2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4E232460">
            <w:pPr>
              <w:pStyle w:val="85"/>
              <w:jc w:val="center"/>
              <w:rPr>
                <w:color w:val="auto"/>
                <w:sz w:val="22"/>
                <w:szCs w:val="22"/>
              </w:rPr>
            </w:pPr>
            <w:r>
              <w:rPr>
                <w:color w:val="auto"/>
                <w:sz w:val="22"/>
                <w:szCs w:val="22"/>
              </w:rPr>
              <w:t>Урок 43</w:t>
            </w:r>
          </w:p>
        </w:tc>
        <w:tc>
          <w:tcPr>
            <w:tcW w:w="7937" w:type="dxa"/>
            <w:vAlign w:val="center"/>
          </w:tcPr>
          <w:p w14:paraId="4688DCC5">
            <w:pPr>
              <w:pStyle w:val="85"/>
              <w:jc w:val="both"/>
              <w:rPr>
                <w:color w:val="auto"/>
                <w:sz w:val="22"/>
                <w:szCs w:val="22"/>
              </w:rPr>
            </w:pPr>
            <w:r>
              <w:rPr>
                <w:color w:val="auto"/>
                <w:sz w:val="22"/>
                <w:szCs w:val="22"/>
              </w:rPr>
              <w:t>Знакомство со строчной и заглавной буквами Й, й</w:t>
            </w:r>
          </w:p>
        </w:tc>
      </w:tr>
      <w:tr w14:paraId="6F3572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7D710A73">
            <w:pPr>
              <w:pStyle w:val="85"/>
              <w:jc w:val="center"/>
              <w:rPr>
                <w:color w:val="auto"/>
                <w:sz w:val="22"/>
                <w:szCs w:val="22"/>
              </w:rPr>
            </w:pPr>
            <w:r>
              <w:rPr>
                <w:color w:val="auto"/>
                <w:sz w:val="22"/>
                <w:szCs w:val="22"/>
              </w:rPr>
              <w:t>Урок 44</w:t>
            </w:r>
          </w:p>
        </w:tc>
        <w:tc>
          <w:tcPr>
            <w:tcW w:w="7937" w:type="dxa"/>
            <w:vAlign w:val="center"/>
          </w:tcPr>
          <w:p w14:paraId="30333577">
            <w:pPr>
              <w:pStyle w:val="85"/>
              <w:jc w:val="both"/>
              <w:rPr>
                <w:color w:val="auto"/>
                <w:sz w:val="22"/>
                <w:szCs w:val="22"/>
              </w:rPr>
            </w:pPr>
            <w:r>
              <w:rPr>
                <w:color w:val="auto"/>
                <w:sz w:val="22"/>
                <w:szCs w:val="22"/>
              </w:rPr>
              <w:t>Слушание литературного произведения. Произведение по выбору, например, В.Г. Сутеев "Дядя Миша"</w:t>
            </w:r>
          </w:p>
        </w:tc>
      </w:tr>
      <w:tr w14:paraId="44ED6A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4632BC86">
            <w:pPr>
              <w:pStyle w:val="85"/>
              <w:jc w:val="center"/>
              <w:rPr>
                <w:color w:val="auto"/>
                <w:sz w:val="22"/>
                <w:szCs w:val="22"/>
              </w:rPr>
            </w:pPr>
            <w:r>
              <w:rPr>
                <w:color w:val="auto"/>
                <w:sz w:val="22"/>
                <w:szCs w:val="22"/>
              </w:rPr>
              <w:t>Урок 45</w:t>
            </w:r>
          </w:p>
        </w:tc>
        <w:tc>
          <w:tcPr>
            <w:tcW w:w="7937" w:type="dxa"/>
            <w:vAlign w:val="center"/>
          </w:tcPr>
          <w:p w14:paraId="6EB423E8">
            <w:pPr>
              <w:pStyle w:val="85"/>
              <w:jc w:val="both"/>
              <w:rPr>
                <w:color w:val="auto"/>
                <w:sz w:val="22"/>
                <w:szCs w:val="22"/>
              </w:rPr>
            </w:pPr>
            <w:r>
              <w:rPr>
                <w:color w:val="auto"/>
                <w:sz w:val="22"/>
                <w:szCs w:val="22"/>
              </w:rPr>
              <w:t>Знакомство со строчной и заглавной буквами Г, г</w:t>
            </w:r>
          </w:p>
        </w:tc>
      </w:tr>
      <w:tr w14:paraId="0CF1D4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6E2DF893">
            <w:pPr>
              <w:pStyle w:val="85"/>
              <w:jc w:val="center"/>
              <w:rPr>
                <w:color w:val="auto"/>
                <w:sz w:val="22"/>
                <w:szCs w:val="22"/>
              </w:rPr>
            </w:pPr>
            <w:r>
              <w:rPr>
                <w:color w:val="auto"/>
                <w:sz w:val="22"/>
                <w:szCs w:val="22"/>
              </w:rPr>
              <w:t>Урок 46</w:t>
            </w:r>
          </w:p>
        </w:tc>
        <w:tc>
          <w:tcPr>
            <w:tcW w:w="7937" w:type="dxa"/>
            <w:vAlign w:val="center"/>
          </w:tcPr>
          <w:p w14:paraId="2B478F50">
            <w:pPr>
              <w:pStyle w:val="85"/>
              <w:jc w:val="both"/>
              <w:rPr>
                <w:color w:val="auto"/>
                <w:sz w:val="22"/>
                <w:szCs w:val="22"/>
              </w:rPr>
            </w:pPr>
            <w:r>
              <w:rPr>
                <w:color w:val="auto"/>
                <w:sz w:val="22"/>
                <w:szCs w:val="22"/>
              </w:rPr>
              <w:t>Проведение звукового анализа слов с буквами Г, г</w:t>
            </w:r>
          </w:p>
        </w:tc>
      </w:tr>
      <w:tr w14:paraId="2374D1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2301130A">
            <w:pPr>
              <w:pStyle w:val="85"/>
              <w:jc w:val="center"/>
              <w:rPr>
                <w:color w:val="auto"/>
                <w:sz w:val="22"/>
                <w:szCs w:val="22"/>
              </w:rPr>
            </w:pPr>
            <w:r>
              <w:rPr>
                <w:color w:val="auto"/>
                <w:sz w:val="22"/>
                <w:szCs w:val="22"/>
              </w:rPr>
              <w:t>Урок 47</w:t>
            </w:r>
          </w:p>
        </w:tc>
        <w:tc>
          <w:tcPr>
            <w:tcW w:w="7937" w:type="dxa"/>
            <w:vAlign w:val="center"/>
          </w:tcPr>
          <w:p w14:paraId="331BC409">
            <w:pPr>
              <w:pStyle w:val="85"/>
              <w:jc w:val="both"/>
              <w:rPr>
                <w:color w:val="auto"/>
                <w:sz w:val="22"/>
                <w:szCs w:val="22"/>
              </w:rPr>
            </w:pPr>
            <w:r>
              <w:rPr>
                <w:color w:val="auto"/>
                <w:sz w:val="22"/>
                <w:szCs w:val="22"/>
              </w:rPr>
              <w:t>Знакомство со строчной и заглавной буквами К, к</w:t>
            </w:r>
          </w:p>
        </w:tc>
      </w:tr>
      <w:tr w14:paraId="7CAED4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6700704B">
            <w:pPr>
              <w:pStyle w:val="85"/>
              <w:jc w:val="center"/>
              <w:rPr>
                <w:color w:val="auto"/>
                <w:sz w:val="22"/>
                <w:szCs w:val="22"/>
              </w:rPr>
            </w:pPr>
            <w:r>
              <w:rPr>
                <w:color w:val="auto"/>
                <w:sz w:val="22"/>
                <w:szCs w:val="22"/>
              </w:rPr>
              <w:t>Урок 48</w:t>
            </w:r>
          </w:p>
        </w:tc>
        <w:tc>
          <w:tcPr>
            <w:tcW w:w="7937" w:type="dxa"/>
            <w:vAlign w:val="center"/>
          </w:tcPr>
          <w:p w14:paraId="719C4DA6">
            <w:pPr>
              <w:pStyle w:val="85"/>
              <w:jc w:val="both"/>
              <w:rPr>
                <w:color w:val="auto"/>
                <w:sz w:val="22"/>
                <w:szCs w:val="22"/>
              </w:rPr>
            </w:pPr>
            <w:r>
              <w:rPr>
                <w:color w:val="auto"/>
                <w:sz w:val="22"/>
                <w:szCs w:val="22"/>
              </w:rPr>
              <w:t>Проведение звукового анализа слов с буквами К, к</w:t>
            </w:r>
          </w:p>
        </w:tc>
      </w:tr>
      <w:tr w14:paraId="1A775F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4F095E93">
            <w:pPr>
              <w:pStyle w:val="85"/>
              <w:jc w:val="center"/>
              <w:rPr>
                <w:color w:val="auto"/>
                <w:sz w:val="22"/>
                <w:szCs w:val="22"/>
              </w:rPr>
            </w:pPr>
            <w:r>
              <w:rPr>
                <w:color w:val="auto"/>
                <w:sz w:val="22"/>
                <w:szCs w:val="22"/>
              </w:rPr>
              <w:t>Урок 49</w:t>
            </w:r>
          </w:p>
        </w:tc>
        <w:tc>
          <w:tcPr>
            <w:tcW w:w="7937" w:type="dxa"/>
            <w:vAlign w:val="center"/>
          </w:tcPr>
          <w:p w14:paraId="48977C54">
            <w:pPr>
              <w:pStyle w:val="85"/>
              <w:jc w:val="both"/>
              <w:rPr>
                <w:color w:val="auto"/>
                <w:sz w:val="22"/>
                <w:szCs w:val="22"/>
              </w:rPr>
            </w:pPr>
            <w:r>
              <w:rPr>
                <w:color w:val="auto"/>
                <w:sz w:val="22"/>
                <w:szCs w:val="22"/>
              </w:rPr>
              <w:t>Знакомство со строчной и заглавной буквами З, з</w:t>
            </w:r>
          </w:p>
        </w:tc>
      </w:tr>
      <w:tr w14:paraId="6BDD61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0E34563E">
            <w:pPr>
              <w:pStyle w:val="85"/>
              <w:jc w:val="center"/>
              <w:rPr>
                <w:color w:val="auto"/>
                <w:sz w:val="22"/>
                <w:szCs w:val="22"/>
              </w:rPr>
            </w:pPr>
            <w:r>
              <w:rPr>
                <w:color w:val="auto"/>
                <w:sz w:val="22"/>
                <w:szCs w:val="22"/>
              </w:rPr>
              <w:t>Урок 50</w:t>
            </w:r>
          </w:p>
        </w:tc>
        <w:tc>
          <w:tcPr>
            <w:tcW w:w="7937" w:type="dxa"/>
            <w:vAlign w:val="center"/>
          </w:tcPr>
          <w:p w14:paraId="201F761B">
            <w:pPr>
              <w:pStyle w:val="85"/>
              <w:jc w:val="both"/>
              <w:rPr>
                <w:color w:val="auto"/>
                <w:sz w:val="22"/>
                <w:szCs w:val="22"/>
              </w:rPr>
            </w:pPr>
            <w:r>
              <w:rPr>
                <w:color w:val="auto"/>
                <w:sz w:val="22"/>
                <w:szCs w:val="22"/>
              </w:rPr>
              <w:t>Проведение звукового анализа слов с буквами З, з</w:t>
            </w:r>
          </w:p>
        </w:tc>
      </w:tr>
      <w:tr w14:paraId="4A4811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69268D76">
            <w:pPr>
              <w:pStyle w:val="85"/>
              <w:jc w:val="center"/>
              <w:rPr>
                <w:color w:val="auto"/>
                <w:sz w:val="22"/>
                <w:szCs w:val="22"/>
              </w:rPr>
            </w:pPr>
            <w:r>
              <w:rPr>
                <w:color w:val="auto"/>
                <w:sz w:val="22"/>
                <w:szCs w:val="22"/>
              </w:rPr>
              <w:t>Урок 51</w:t>
            </w:r>
          </w:p>
        </w:tc>
        <w:tc>
          <w:tcPr>
            <w:tcW w:w="7937" w:type="dxa"/>
            <w:vAlign w:val="center"/>
          </w:tcPr>
          <w:p w14:paraId="623F616B">
            <w:pPr>
              <w:pStyle w:val="85"/>
              <w:jc w:val="both"/>
              <w:rPr>
                <w:color w:val="auto"/>
                <w:sz w:val="22"/>
                <w:szCs w:val="22"/>
              </w:rPr>
            </w:pPr>
            <w:r>
              <w:rPr>
                <w:color w:val="auto"/>
                <w:sz w:val="22"/>
                <w:szCs w:val="22"/>
              </w:rPr>
              <w:t>Знакомство со строчной и заглавной буквами С, с</w:t>
            </w:r>
          </w:p>
        </w:tc>
      </w:tr>
      <w:tr w14:paraId="073FDE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50FE3392">
            <w:pPr>
              <w:pStyle w:val="85"/>
              <w:jc w:val="center"/>
              <w:rPr>
                <w:color w:val="auto"/>
                <w:sz w:val="22"/>
                <w:szCs w:val="22"/>
              </w:rPr>
            </w:pPr>
            <w:r>
              <w:rPr>
                <w:color w:val="auto"/>
                <w:sz w:val="22"/>
                <w:szCs w:val="22"/>
              </w:rPr>
              <w:t>Урок 52</w:t>
            </w:r>
          </w:p>
        </w:tc>
        <w:tc>
          <w:tcPr>
            <w:tcW w:w="7937" w:type="dxa"/>
            <w:vAlign w:val="center"/>
          </w:tcPr>
          <w:p w14:paraId="5950C9D5">
            <w:pPr>
              <w:pStyle w:val="85"/>
              <w:jc w:val="both"/>
              <w:rPr>
                <w:color w:val="auto"/>
                <w:sz w:val="22"/>
                <w:szCs w:val="22"/>
              </w:rPr>
            </w:pPr>
            <w:r>
              <w:rPr>
                <w:color w:val="auto"/>
                <w:sz w:val="22"/>
                <w:szCs w:val="22"/>
              </w:rPr>
              <w:t>Проведение звукового анализа слов с буквами С, с</w:t>
            </w:r>
          </w:p>
        </w:tc>
      </w:tr>
      <w:tr w14:paraId="2939B2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702D10C3">
            <w:pPr>
              <w:pStyle w:val="85"/>
              <w:jc w:val="center"/>
              <w:rPr>
                <w:color w:val="auto"/>
                <w:sz w:val="22"/>
                <w:szCs w:val="22"/>
              </w:rPr>
            </w:pPr>
            <w:r>
              <w:rPr>
                <w:color w:val="auto"/>
                <w:sz w:val="22"/>
                <w:szCs w:val="22"/>
              </w:rPr>
              <w:t>Урок 53</w:t>
            </w:r>
          </w:p>
        </w:tc>
        <w:tc>
          <w:tcPr>
            <w:tcW w:w="7937" w:type="dxa"/>
            <w:vAlign w:val="center"/>
          </w:tcPr>
          <w:p w14:paraId="5E66DDEC">
            <w:pPr>
              <w:pStyle w:val="85"/>
              <w:jc w:val="both"/>
              <w:rPr>
                <w:color w:val="auto"/>
                <w:sz w:val="22"/>
                <w:szCs w:val="22"/>
              </w:rPr>
            </w:pPr>
            <w:r>
              <w:rPr>
                <w:color w:val="auto"/>
                <w:sz w:val="22"/>
                <w:szCs w:val="22"/>
              </w:rPr>
              <w:t>Знакомство со строчной и заглавной буквами Д, д</w:t>
            </w:r>
          </w:p>
        </w:tc>
      </w:tr>
      <w:tr w14:paraId="35B3E2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2E67F23A">
            <w:pPr>
              <w:pStyle w:val="85"/>
              <w:jc w:val="center"/>
              <w:rPr>
                <w:color w:val="auto"/>
                <w:sz w:val="22"/>
                <w:szCs w:val="22"/>
              </w:rPr>
            </w:pPr>
            <w:r>
              <w:rPr>
                <w:color w:val="auto"/>
                <w:sz w:val="22"/>
                <w:szCs w:val="22"/>
              </w:rPr>
              <w:t>Урок 54</w:t>
            </w:r>
          </w:p>
        </w:tc>
        <w:tc>
          <w:tcPr>
            <w:tcW w:w="7937" w:type="dxa"/>
            <w:vAlign w:val="center"/>
          </w:tcPr>
          <w:p w14:paraId="08F0A796">
            <w:pPr>
              <w:pStyle w:val="85"/>
              <w:jc w:val="both"/>
              <w:rPr>
                <w:color w:val="auto"/>
                <w:sz w:val="22"/>
                <w:szCs w:val="22"/>
              </w:rPr>
            </w:pPr>
            <w:r>
              <w:rPr>
                <w:color w:val="auto"/>
                <w:sz w:val="22"/>
                <w:szCs w:val="22"/>
              </w:rPr>
              <w:t>Проведение звукового анализа слов с буквами Д, д</w:t>
            </w:r>
          </w:p>
        </w:tc>
      </w:tr>
      <w:tr w14:paraId="5FD73B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129078CB">
            <w:pPr>
              <w:pStyle w:val="85"/>
              <w:jc w:val="center"/>
              <w:rPr>
                <w:color w:val="auto"/>
                <w:sz w:val="22"/>
                <w:szCs w:val="22"/>
              </w:rPr>
            </w:pPr>
            <w:r>
              <w:rPr>
                <w:color w:val="auto"/>
                <w:sz w:val="22"/>
                <w:szCs w:val="22"/>
              </w:rPr>
              <w:t>Урок 55</w:t>
            </w:r>
          </w:p>
        </w:tc>
        <w:tc>
          <w:tcPr>
            <w:tcW w:w="7937" w:type="dxa"/>
            <w:vAlign w:val="center"/>
          </w:tcPr>
          <w:p w14:paraId="15076EE4">
            <w:pPr>
              <w:pStyle w:val="85"/>
              <w:jc w:val="both"/>
              <w:rPr>
                <w:color w:val="auto"/>
                <w:sz w:val="22"/>
                <w:szCs w:val="22"/>
              </w:rPr>
            </w:pPr>
            <w:r>
              <w:rPr>
                <w:color w:val="auto"/>
                <w:sz w:val="22"/>
                <w:szCs w:val="22"/>
              </w:rPr>
              <w:t>Знакомство со строчной и заглавной буквами Т, т</w:t>
            </w:r>
          </w:p>
        </w:tc>
      </w:tr>
      <w:tr w14:paraId="171327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4854FE0F">
            <w:pPr>
              <w:pStyle w:val="85"/>
              <w:jc w:val="center"/>
              <w:rPr>
                <w:color w:val="auto"/>
                <w:sz w:val="22"/>
                <w:szCs w:val="22"/>
              </w:rPr>
            </w:pPr>
            <w:r>
              <w:rPr>
                <w:color w:val="auto"/>
                <w:sz w:val="22"/>
                <w:szCs w:val="22"/>
              </w:rPr>
              <w:t>Урок 56</w:t>
            </w:r>
          </w:p>
        </w:tc>
        <w:tc>
          <w:tcPr>
            <w:tcW w:w="7937" w:type="dxa"/>
            <w:vAlign w:val="center"/>
          </w:tcPr>
          <w:p w14:paraId="6E9D5884">
            <w:pPr>
              <w:pStyle w:val="85"/>
              <w:jc w:val="both"/>
              <w:rPr>
                <w:color w:val="auto"/>
                <w:sz w:val="22"/>
                <w:szCs w:val="22"/>
              </w:rPr>
            </w:pPr>
            <w:r>
              <w:rPr>
                <w:color w:val="auto"/>
                <w:sz w:val="22"/>
                <w:szCs w:val="22"/>
              </w:rPr>
              <w:t>Слушание литературного произведения. Произведение по выбору, например, В.В. Бианки "Лесной Колобок - Колючий бок"</w:t>
            </w:r>
          </w:p>
        </w:tc>
      </w:tr>
      <w:tr w14:paraId="114060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4BD87A70">
            <w:pPr>
              <w:pStyle w:val="85"/>
              <w:jc w:val="center"/>
              <w:rPr>
                <w:color w:val="auto"/>
                <w:sz w:val="22"/>
                <w:szCs w:val="22"/>
              </w:rPr>
            </w:pPr>
            <w:r>
              <w:rPr>
                <w:color w:val="auto"/>
                <w:sz w:val="22"/>
                <w:szCs w:val="22"/>
              </w:rPr>
              <w:t>Урок 57</w:t>
            </w:r>
          </w:p>
        </w:tc>
        <w:tc>
          <w:tcPr>
            <w:tcW w:w="7937" w:type="dxa"/>
            <w:vAlign w:val="center"/>
          </w:tcPr>
          <w:p w14:paraId="31EEA716">
            <w:pPr>
              <w:pStyle w:val="85"/>
              <w:jc w:val="both"/>
              <w:rPr>
                <w:color w:val="auto"/>
                <w:sz w:val="22"/>
                <w:szCs w:val="22"/>
              </w:rPr>
            </w:pPr>
            <w:r>
              <w:rPr>
                <w:color w:val="auto"/>
                <w:sz w:val="22"/>
                <w:szCs w:val="22"/>
              </w:rPr>
              <w:t>Знакомство со строчной и заглавной буквами Б, б</w:t>
            </w:r>
          </w:p>
        </w:tc>
      </w:tr>
      <w:tr w14:paraId="655123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27191F1B">
            <w:pPr>
              <w:pStyle w:val="85"/>
              <w:jc w:val="center"/>
              <w:rPr>
                <w:color w:val="auto"/>
                <w:sz w:val="22"/>
                <w:szCs w:val="22"/>
              </w:rPr>
            </w:pPr>
            <w:r>
              <w:rPr>
                <w:color w:val="auto"/>
                <w:sz w:val="22"/>
                <w:szCs w:val="22"/>
              </w:rPr>
              <w:t>Урок 58</w:t>
            </w:r>
          </w:p>
        </w:tc>
        <w:tc>
          <w:tcPr>
            <w:tcW w:w="7937" w:type="dxa"/>
            <w:vAlign w:val="center"/>
          </w:tcPr>
          <w:p w14:paraId="16C7D34C">
            <w:pPr>
              <w:pStyle w:val="85"/>
              <w:jc w:val="both"/>
              <w:rPr>
                <w:color w:val="auto"/>
                <w:sz w:val="22"/>
                <w:szCs w:val="22"/>
              </w:rPr>
            </w:pPr>
            <w:r>
              <w:rPr>
                <w:color w:val="auto"/>
                <w:sz w:val="22"/>
                <w:szCs w:val="22"/>
              </w:rPr>
              <w:t>Проведение звукового анализа слов с буквами Б, б</w:t>
            </w:r>
          </w:p>
        </w:tc>
      </w:tr>
      <w:tr w14:paraId="4D3EA0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6AC1CE76">
            <w:pPr>
              <w:pStyle w:val="85"/>
              <w:jc w:val="center"/>
              <w:rPr>
                <w:color w:val="auto"/>
                <w:sz w:val="22"/>
                <w:szCs w:val="22"/>
              </w:rPr>
            </w:pPr>
            <w:r>
              <w:rPr>
                <w:color w:val="auto"/>
                <w:sz w:val="22"/>
                <w:szCs w:val="22"/>
              </w:rPr>
              <w:t>Урок 59</w:t>
            </w:r>
          </w:p>
        </w:tc>
        <w:tc>
          <w:tcPr>
            <w:tcW w:w="7937" w:type="dxa"/>
            <w:vAlign w:val="center"/>
          </w:tcPr>
          <w:p w14:paraId="73D48D2C">
            <w:pPr>
              <w:pStyle w:val="85"/>
              <w:jc w:val="both"/>
              <w:rPr>
                <w:color w:val="auto"/>
                <w:sz w:val="22"/>
                <w:szCs w:val="22"/>
              </w:rPr>
            </w:pPr>
            <w:r>
              <w:rPr>
                <w:color w:val="auto"/>
                <w:sz w:val="22"/>
                <w:szCs w:val="22"/>
              </w:rPr>
              <w:t>Знакомство со строчной и заглавной буквами П, п</w:t>
            </w:r>
          </w:p>
        </w:tc>
      </w:tr>
      <w:tr w14:paraId="08123C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4BAC07CA">
            <w:pPr>
              <w:pStyle w:val="85"/>
              <w:jc w:val="center"/>
              <w:rPr>
                <w:color w:val="auto"/>
                <w:sz w:val="22"/>
                <w:szCs w:val="22"/>
              </w:rPr>
            </w:pPr>
            <w:r>
              <w:rPr>
                <w:color w:val="auto"/>
                <w:sz w:val="22"/>
                <w:szCs w:val="22"/>
              </w:rPr>
              <w:t>Урок 60</w:t>
            </w:r>
          </w:p>
        </w:tc>
        <w:tc>
          <w:tcPr>
            <w:tcW w:w="7937" w:type="dxa"/>
            <w:vAlign w:val="center"/>
          </w:tcPr>
          <w:p w14:paraId="757D4D1F">
            <w:pPr>
              <w:pStyle w:val="85"/>
              <w:jc w:val="both"/>
              <w:rPr>
                <w:color w:val="auto"/>
                <w:sz w:val="22"/>
                <w:szCs w:val="22"/>
              </w:rPr>
            </w:pPr>
            <w:r>
              <w:rPr>
                <w:color w:val="auto"/>
                <w:sz w:val="22"/>
                <w:szCs w:val="22"/>
              </w:rPr>
              <w:t>Проведение звукового анализа слов с буквами П, п</w:t>
            </w:r>
          </w:p>
        </w:tc>
      </w:tr>
      <w:tr w14:paraId="1D0F17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5A37EAD1">
            <w:pPr>
              <w:pStyle w:val="85"/>
              <w:jc w:val="center"/>
              <w:rPr>
                <w:color w:val="auto"/>
                <w:sz w:val="22"/>
                <w:szCs w:val="22"/>
              </w:rPr>
            </w:pPr>
            <w:r>
              <w:rPr>
                <w:color w:val="auto"/>
                <w:sz w:val="22"/>
                <w:szCs w:val="22"/>
              </w:rPr>
              <w:t>Урок 61</w:t>
            </w:r>
          </w:p>
        </w:tc>
        <w:tc>
          <w:tcPr>
            <w:tcW w:w="7937" w:type="dxa"/>
            <w:vAlign w:val="center"/>
          </w:tcPr>
          <w:p w14:paraId="2DD79FC3">
            <w:pPr>
              <w:pStyle w:val="85"/>
              <w:jc w:val="both"/>
              <w:rPr>
                <w:color w:val="auto"/>
                <w:sz w:val="22"/>
                <w:szCs w:val="22"/>
              </w:rPr>
            </w:pPr>
            <w:r>
              <w:rPr>
                <w:color w:val="auto"/>
                <w:sz w:val="22"/>
                <w:szCs w:val="22"/>
              </w:rPr>
              <w:t>Знакомство со строчной и заглавной буквами В, в</w:t>
            </w:r>
          </w:p>
        </w:tc>
      </w:tr>
      <w:tr w14:paraId="62C9B8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111B5B27">
            <w:pPr>
              <w:pStyle w:val="85"/>
              <w:jc w:val="center"/>
              <w:rPr>
                <w:color w:val="auto"/>
                <w:sz w:val="22"/>
                <w:szCs w:val="22"/>
              </w:rPr>
            </w:pPr>
            <w:r>
              <w:rPr>
                <w:color w:val="auto"/>
                <w:sz w:val="22"/>
                <w:szCs w:val="22"/>
              </w:rPr>
              <w:t>Урок 62</w:t>
            </w:r>
          </w:p>
        </w:tc>
        <w:tc>
          <w:tcPr>
            <w:tcW w:w="7937" w:type="dxa"/>
            <w:vAlign w:val="center"/>
          </w:tcPr>
          <w:p w14:paraId="24CA31DE">
            <w:pPr>
              <w:pStyle w:val="85"/>
              <w:jc w:val="both"/>
              <w:rPr>
                <w:color w:val="auto"/>
                <w:sz w:val="22"/>
                <w:szCs w:val="22"/>
              </w:rPr>
            </w:pPr>
            <w:r>
              <w:rPr>
                <w:color w:val="auto"/>
                <w:sz w:val="22"/>
                <w:szCs w:val="22"/>
              </w:rPr>
              <w:t>Проведение звукового анализа слов с буквами В, в</w:t>
            </w:r>
          </w:p>
        </w:tc>
      </w:tr>
      <w:tr w14:paraId="2F70CA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6F4FC5D2">
            <w:pPr>
              <w:pStyle w:val="85"/>
              <w:jc w:val="center"/>
              <w:rPr>
                <w:color w:val="auto"/>
                <w:sz w:val="22"/>
                <w:szCs w:val="22"/>
              </w:rPr>
            </w:pPr>
            <w:r>
              <w:rPr>
                <w:color w:val="auto"/>
                <w:sz w:val="22"/>
                <w:szCs w:val="22"/>
              </w:rPr>
              <w:t>Урок 63</w:t>
            </w:r>
          </w:p>
        </w:tc>
        <w:tc>
          <w:tcPr>
            <w:tcW w:w="7937" w:type="dxa"/>
            <w:vAlign w:val="center"/>
          </w:tcPr>
          <w:p w14:paraId="3242D870">
            <w:pPr>
              <w:pStyle w:val="85"/>
              <w:jc w:val="both"/>
              <w:rPr>
                <w:color w:val="auto"/>
                <w:sz w:val="22"/>
                <w:szCs w:val="22"/>
              </w:rPr>
            </w:pPr>
            <w:r>
              <w:rPr>
                <w:color w:val="auto"/>
                <w:sz w:val="22"/>
                <w:szCs w:val="22"/>
              </w:rPr>
              <w:t>Знакомство со строчной и заглавной буквами Ф, ф</w:t>
            </w:r>
          </w:p>
        </w:tc>
      </w:tr>
      <w:tr w14:paraId="02AE8F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134" w:type="dxa"/>
            <w:vAlign w:val="center"/>
          </w:tcPr>
          <w:p w14:paraId="04961B5C">
            <w:pPr>
              <w:pStyle w:val="85"/>
              <w:jc w:val="center"/>
              <w:rPr>
                <w:color w:val="auto"/>
                <w:sz w:val="22"/>
                <w:szCs w:val="22"/>
              </w:rPr>
            </w:pPr>
            <w:r>
              <w:rPr>
                <w:color w:val="auto"/>
                <w:sz w:val="22"/>
                <w:szCs w:val="22"/>
              </w:rPr>
              <w:t>Урок 64</w:t>
            </w:r>
          </w:p>
        </w:tc>
        <w:tc>
          <w:tcPr>
            <w:tcW w:w="7937" w:type="dxa"/>
            <w:vAlign w:val="center"/>
          </w:tcPr>
          <w:p w14:paraId="4057FC61">
            <w:pPr>
              <w:pStyle w:val="85"/>
              <w:jc w:val="both"/>
              <w:rPr>
                <w:color w:val="auto"/>
                <w:sz w:val="22"/>
                <w:szCs w:val="22"/>
              </w:rPr>
            </w:pPr>
            <w:r>
              <w:rPr>
                <w:color w:val="auto"/>
                <w:sz w:val="22"/>
                <w:szCs w:val="22"/>
              </w:rPr>
              <w:t>Слушание стихотворений о животных. Произведение по выбору, например, А.А. Блок "Зайчик"</w:t>
            </w:r>
          </w:p>
        </w:tc>
      </w:tr>
      <w:tr w14:paraId="2345D1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2C85D72C">
            <w:pPr>
              <w:pStyle w:val="85"/>
              <w:jc w:val="center"/>
              <w:rPr>
                <w:color w:val="auto"/>
                <w:sz w:val="22"/>
                <w:szCs w:val="22"/>
              </w:rPr>
            </w:pPr>
            <w:r>
              <w:rPr>
                <w:color w:val="auto"/>
                <w:sz w:val="22"/>
                <w:szCs w:val="22"/>
              </w:rPr>
              <w:t>Урок 65</w:t>
            </w:r>
          </w:p>
        </w:tc>
        <w:tc>
          <w:tcPr>
            <w:tcW w:w="7937" w:type="dxa"/>
            <w:vAlign w:val="center"/>
          </w:tcPr>
          <w:p w14:paraId="43E9EF5C">
            <w:pPr>
              <w:pStyle w:val="85"/>
              <w:jc w:val="both"/>
              <w:rPr>
                <w:color w:val="auto"/>
                <w:sz w:val="22"/>
                <w:szCs w:val="22"/>
              </w:rPr>
            </w:pPr>
            <w:r>
              <w:rPr>
                <w:color w:val="auto"/>
                <w:sz w:val="22"/>
                <w:szCs w:val="22"/>
              </w:rPr>
              <w:t>Знакомство со строчной и заглавной буквами Ж, ж</w:t>
            </w:r>
          </w:p>
        </w:tc>
      </w:tr>
      <w:tr w14:paraId="697CC4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5CC3B819">
            <w:pPr>
              <w:pStyle w:val="85"/>
              <w:jc w:val="center"/>
              <w:rPr>
                <w:color w:val="auto"/>
                <w:sz w:val="22"/>
                <w:szCs w:val="22"/>
              </w:rPr>
            </w:pPr>
            <w:r>
              <w:rPr>
                <w:color w:val="auto"/>
                <w:sz w:val="22"/>
                <w:szCs w:val="22"/>
              </w:rPr>
              <w:t>Урок 66</w:t>
            </w:r>
          </w:p>
        </w:tc>
        <w:tc>
          <w:tcPr>
            <w:tcW w:w="7937" w:type="dxa"/>
            <w:vAlign w:val="center"/>
          </w:tcPr>
          <w:p w14:paraId="57E8B2B8">
            <w:pPr>
              <w:pStyle w:val="85"/>
              <w:jc w:val="both"/>
              <w:rPr>
                <w:color w:val="auto"/>
                <w:sz w:val="22"/>
                <w:szCs w:val="22"/>
              </w:rPr>
            </w:pPr>
            <w:r>
              <w:rPr>
                <w:color w:val="auto"/>
                <w:sz w:val="22"/>
                <w:szCs w:val="22"/>
              </w:rPr>
              <w:t>Проведение звукового анализа слов с буквами Ж, ж</w:t>
            </w:r>
          </w:p>
        </w:tc>
      </w:tr>
      <w:tr w14:paraId="59DF8C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151FA9FD">
            <w:pPr>
              <w:pStyle w:val="85"/>
              <w:jc w:val="center"/>
              <w:rPr>
                <w:color w:val="auto"/>
                <w:sz w:val="22"/>
                <w:szCs w:val="22"/>
              </w:rPr>
            </w:pPr>
            <w:r>
              <w:rPr>
                <w:color w:val="auto"/>
                <w:sz w:val="22"/>
                <w:szCs w:val="22"/>
              </w:rPr>
              <w:t>Урок 67</w:t>
            </w:r>
          </w:p>
        </w:tc>
        <w:tc>
          <w:tcPr>
            <w:tcW w:w="7937" w:type="dxa"/>
            <w:vAlign w:val="center"/>
          </w:tcPr>
          <w:p w14:paraId="40F494A4">
            <w:pPr>
              <w:pStyle w:val="85"/>
              <w:jc w:val="both"/>
              <w:rPr>
                <w:color w:val="auto"/>
                <w:sz w:val="22"/>
                <w:szCs w:val="22"/>
              </w:rPr>
            </w:pPr>
            <w:r>
              <w:rPr>
                <w:color w:val="auto"/>
                <w:sz w:val="22"/>
                <w:szCs w:val="22"/>
              </w:rPr>
              <w:t>Знакомство со строчной и заглавной буквами Ш, ш</w:t>
            </w:r>
          </w:p>
        </w:tc>
      </w:tr>
      <w:tr w14:paraId="2CCA14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13237EA4">
            <w:pPr>
              <w:pStyle w:val="85"/>
              <w:jc w:val="center"/>
              <w:rPr>
                <w:color w:val="auto"/>
                <w:sz w:val="22"/>
                <w:szCs w:val="22"/>
              </w:rPr>
            </w:pPr>
            <w:r>
              <w:rPr>
                <w:color w:val="auto"/>
                <w:sz w:val="22"/>
                <w:szCs w:val="22"/>
              </w:rPr>
              <w:t>Урок 68</w:t>
            </w:r>
          </w:p>
        </w:tc>
        <w:tc>
          <w:tcPr>
            <w:tcW w:w="7937" w:type="dxa"/>
            <w:vAlign w:val="center"/>
          </w:tcPr>
          <w:p w14:paraId="126D9DDE">
            <w:pPr>
              <w:pStyle w:val="85"/>
              <w:jc w:val="both"/>
              <w:rPr>
                <w:color w:val="auto"/>
                <w:sz w:val="22"/>
                <w:szCs w:val="22"/>
              </w:rPr>
            </w:pPr>
            <w:r>
              <w:rPr>
                <w:color w:val="auto"/>
                <w:sz w:val="22"/>
                <w:szCs w:val="22"/>
              </w:rPr>
              <w:t>Слушание литературного произведения о животных. Произведение по выбору, например, М.М. Пришвин "Лисичкин хлеб"</w:t>
            </w:r>
          </w:p>
        </w:tc>
      </w:tr>
      <w:tr w14:paraId="3F5BF5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482605E3">
            <w:pPr>
              <w:pStyle w:val="85"/>
              <w:jc w:val="center"/>
              <w:rPr>
                <w:color w:val="auto"/>
                <w:sz w:val="22"/>
                <w:szCs w:val="22"/>
              </w:rPr>
            </w:pPr>
            <w:r>
              <w:rPr>
                <w:color w:val="auto"/>
                <w:sz w:val="22"/>
                <w:szCs w:val="22"/>
              </w:rPr>
              <w:t>Урок 69</w:t>
            </w:r>
          </w:p>
        </w:tc>
        <w:tc>
          <w:tcPr>
            <w:tcW w:w="7937" w:type="dxa"/>
            <w:vAlign w:val="center"/>
          </w:tcPr>
          <w:p w14:paraId="097CE58A">
            <w:pPr>
              <w:pStyle w:val="85"/>
              <w:jc w:val="both"/>
              <w:rPr>
                <w:color w:val="auto"/>
                <w:sz w:val="22"/>
                <w:szCs w:val="22"/>
              </w:rPr>
            </w:pPr>
            <w:r>
              <w:rPr>
                <w:color w:val="auto"/>
                <w:sz w:val="22"/>
                <w:szCs w:val="22"/>
              </w:rPr>
              <w:t>Знакомство со строчной и заглавной буквами Ч, ч</w:t>
            </w:r>
          </w:p>
        </w:tc>
      </w:tr>
      <w:tr w14:paraId="7F6924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6F2A2B16">
            <w:pPr>
              <w:pStyle w:val="85"/>
              <w:jc w:val="center"/>
              <w:rPr>
                <w:color w:val="auto"/>
                <w:sz w:val="22"/>
                <w:szCs w:val="22"/>
              </w:rPr>
            </w:pPr>
            <w:r>
              <w:rPr>
                <w:color w:val="auto"/>
                <w:sz w:val="22"/>
                <w:szCs w:val="22"/>
              </w:rPr>
              <w:t>Урок 70</w:t>
            </w:r>
          </w:p>
        </w:tc>
        <w:tc>
          <w:tcPr>
            <w:tcW w:w="7937" w:type="dxa"/>
            <w:vAlign w:val="center"/>
          </w:tcPr>
          <w:p w14:paraId="465A5CCD">
            <w:pPr>
              <w:pStyle w:val="85"/>
              <w:jc w:val="both"/>
              <w:rPr>
                <w:color w:val="auto"/>
                <w:sz w:val="22"/>
                <w:szCs w:val="22"/>
              </w:rPr>
            </w:pPr>
            <w:r>
              <w:rPr>
                <w:color w:val="auto"/>
                <w:sz w:val="22"/>
                <w:szCs w:val="22"/>
              </w:rPr>
              <w:t>Проведение звукового анализа слов с буквами Ч, ч</w:t>
            </w:r>
          </w:p>
        </w:tc>
      </w:tr>
      <w:tr w14:paraId="604CE9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2682184F">
            <w:pPr>
              <w:pStyle w:val="85"/>
              <w:jc w:val="center"/>
              <w:rPr>
                <w:color w:val="auto"/>
                <w:sz w:val="22"/>
                <w:szCs w:val="22"/>
              </w:rPr>
            </w:pPr>
            <w:r>
              <w:rPr>
                <w:color w:val="auto"/>
                <w:sz w:val="22"/>
                <w:szCs w:val="22"/>
              </w:rPr>
              <w:t>Урок 71</w:t>
            </w:r>
          </w:p>
        </w:tc>
        <w:tc>
          <w:tcPr>
            <w:tcW w:w="7937" w:type="dxa"/>
            <w:vAlign w:val="center"/>
          </w:tcPr>
          <w:p w14:paraId="6510A46D">
            <w:pPr>
              <w:pStyle w:val="85"/>
              <w:jc w:val="both"/>
              <w:rPr>
                <w:color w:val="auto"/>
                <w:sz w:val="22"/>
                <w:szCs w:val="22"/>
              </w:rPr>
            </w:pPr>
            <w:r>
              <w:rPr>
                <w:color w:val="auto"/>
                <w:sz w:val="22"/>
                <w:szCs w:val="22"/>
              </w:rPr>
              <w:t>Знакомство со строчной и заглавной буквами Щ, щ</w:t>
            </w:r>
          </w:p>
        </w:tc>
      </w:tr>
      <w:tr w14:paraId="414282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3CF6E68C">
            <w:pPr>
              <w:pStyle w:val="85"/>
              <w:jc w:val="center"/>
              <w:rPr>
                <w:color w:val="auto"/>
                <w:sz w:val="22"/>
                <w:szCs w:val="22"/>
              </w:rPr>
            </w:pPr>
            <w:r>
              <w:rPr>
                <w:color w:val="auto"/>
                <w:sz w:val="22"/>
                <w:szCs w:val="22"/>
              </w:rPr>
              <w:t>Урок 72</w:t>
            </w:r>
          </w:p>
        </w:tc>
        <w:tc>
          <w:tcPr>
            <w:tcW w:w="7937" w:type="dxa"/>
            <w:vAlign w:val="center"/>
          </w:tcPr>
          <w:p w14:paraId="14FDD77B">
            <w:pPr>
              <w:pStyle w:val="85"/>
              <w:jc w:val="both"/>
              <w:rPr>
                <w:color w:val="auto"/>
                <w:sz w:val="22"/>
                <w:szCs w:val="22"/>
              </w:rPr>
            </w:pPr>
            <w:r>
              <w:rPr>
                <w:color w:val="auto"/>
                <w:sz w:val="22"/>
                <w:szCs w:val="22"/>
              </w:rPr>
              <w:t>Слушание литературного произведения о детях. Произведение по выбору, например, Е.А. Пермяк "Пичугин мост"</w:t>
            </w:r>
          </w:p>
        </w:tc>
      </w:tr>
      <w:tr w14:paraId="3CDF7E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63B92C46">
            <w:pPr>
              <w:pStyle w:val="85"/>
              <w:jc w:val="center"/>
              <w:rPr>
                <w:color w:val="auto"/>
                <w:sz w:val="22"/>
                <w:szCs w:val="22"/>
              </w:rPr>
            </w:pPr>
            <w:r>
              <w:rPr>
                <w:color w:val="auto"/>
                <w:sz w:val="22"/>
                <w:szCs w:val="22"/>
              </w:rPr>
              <w:t>Урок 73</w:t>
            </w:r>
          </w:p>
        </w:tc>
        <w:tc>
          <w:tcPr>
            <w:tcW w:w="7937" w:type="dxa"/>
            <w:vAlign w:val="center"/>
          </w:tcPr>
          <w:p w14:paraId="65BDA973">
            <w:pPr>
              <w:pStyle w:val="85"/>
              <w:jc w:val="both"/>
              <w:rPr>
                <w:color w:val="auto"/>
                <w:sz w:val="22"/>
                <w:szCs w:val="22"/>
              </w:rPr>
            </w:pPr>
            <w:r>
              <w:rPr>
                <w:color w:val="auto"/>
                <w:sz w:val="22"/>
                <w:szCs w:val="22"/>
              </w:rPr>
              <w:t>Знакомство со строчной и заглавной буквами Х, х</w:t>
            </w:r>
          </w:p>
        </w:tc>
      </w:tr>
      <w:tr w14:paraId="6A01B2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291DD2B7">
            <w:pPr>
              <w:pStyle w:val="85"/>
              <w:jc w:val="center"/>
              <w:rPr>
                <w:color w:val="auto"/>
                <w:sz w:val="22"/>
                <w:szCs w:val="22"/>
              </w:rPr>
            </w:pPr>
            <w:r>
              <w:rPr>
                <w:color w:val="auto"/>
                <w:sz w:val="22"/>
                <w:szCs w:val="22"/>
              </w:rPr>
              <w:t>Урок 74</w:t>
            </w:r>
          </w:p>
        </w:tc>
        <w:tc>
          <w:tcPr>
            <w:tcW w:w="7937" w:type="dxa"/>
            <w:vAlign w:val="center"/>
          </w:tcPr>
          <w:p w14:paraId="3B7D6A1C">
            <w:pPr>
              <w:pStyle w:val="85"/>
              <w:jc w:val="both"/>
              <w:rPr>
                <w:color w:val="auto"/>
                <w:sz w:val="22"/>
                <w:szCs w:val="22"/>
              </w:rPr>
            </w:pPr>
            <w:r>
              <w:rPr>
                <w:color w:val="auto"/>
                <w:sz w:val="22"/>
                <w:szCs w:val="22"/>
              </w:rPr>
              <w:t>Проведение звукового анализа слов с буквами Х, х</w:t>
            </w:r>
          </w:p>
        </w:tc>
      </w:tr>
      <w:tr w14:paraId="7321C1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415BA378">
            <w:pPr>
              <w:pStyle w:val="85"/>
              <w:jc w:val="center"/>
              <w:rPr>
                <w:color w:val="auto"/>
                <w:sz w:val="22"/>
                <w:szCs w:val="22"/>
              </w:rPr>
            </w:pPr>
            <w:r>
              <w:rPr>
                <w:color w:val="auto"/>
                <w:sz w:val="22"/>
                <w:szCs w:val="22"/>
              </w:rPr>
              <w:t>Урок 75</w:t>
            </w:r>
          </w:p>
        </w:tc>
        <w:tc>
          <w:tcPr>
            <w:tcW w:w="7937" w:type="dxa"/>
            <w:vAlign w:val="center"/>
          </w:tcPr>
          <w:p w14:paraId="43ACC150">
            <w:pPr>
              <w:pStyle w:val="85"/>
              <w:jc w:val="both"/>
              <w:rPr>
                <w:color w:val="auto"/>
                <w:sz w:val="22"/>
                <w:szCs w:val="22"/>
              </w:rPr>
            </w:pPr>
            <w:r>
              <w:rPr>
                <w:color w:val="auto"/>
                <w:sz w:val="22"/>
                <w:szCs w:val="22"/>
              </w:rPr>
              <w:t>Знакомство со строчной и заглавной буквами Ц, ц</w:t>
            </w:r>
          </w:p>
        </w:tc>
      </w:tr>
      <w:tr w14:paraId="355D9E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47767240">
            <w:pPr>
              <w:pStyle w:val="85"/>
              <w:jc w:val="center"/>
              <w:rPr>
                <w:color w:val="auto"/>
                <w:sz w:val="22"/>
                <w:szCs w:val="22"/>
              </w:rPr>
            </w:pPr>
            <w:r>
              <w:rPr>
                <w:color w:val="auto"/>
                <w:sz w:val="22"/>
                <w:szCs w:val="22"/>
              </w:rPr>
              <w:t>Урок 76</w:t>
            </w:r>
          </w:p>
        </w:tc>
        <w:tc>
          <w:tcPr>
            <w:tcW w:w="7937" w:type="dxa"/>
            <w:vAlign w:val="center"/>
          </w:tcPr>
          <w:p w14:paraId="3FA8C876">
            <w:pPr>
              <w:pStyle w:val="85"/>
              <w:jc w:val="both"/>
              <w:rPr>
                <w:color w:val="auto"/>
                <w:sz w:val="22"/>
                <w:szCs w:val="22"/>
              </w:rPr>
            </w:pPr>
            <w:r>
              <w:rPr>
                <w:color w:val="auto"/>
                <w:sz w:val="22"/>
                <w:szCs w:val="22"/>
              </w:rPr>
              <w:t>Слушание литературного произведения. Произведение по выбору, например, С.Я. Маршак "Тихая сказка"</w:t>
            </w:r>
          </w:p>
        </w:tc>
      </w:tr>
      <w:tr w14:paraId="264545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7DB7C07D">
            <w:pPr>
              <w:pStyle w:val="85"/>
              <w:jc w:val="center"/>
              <w:rPr>
                <w:color w:val="auto"/>
                <w:sz w:val="22"/>
                <w:szCs w:val="22"/>
              </w:rPr>
            </w:pPr>
            <w:r>
              <w:rPr>
                <w:color w:val="auto"/>
                <w:sz w:val="22"/>
                <w:szCs w:val="22"/>
              </w:rPr>
              <w:t>Урок 77</w:t>
            </w:r>
          </w:p>
        </w:tc>
        <w:tc>
          <w:tcPr>
            <w:tcW w:w="7937" w:type="dxa"/>
            <w:vAlign w:val="center"/>
          </w:tcPr>
          <w:p w14:paraId="561E7CBE">
            <w:pPr>
              <w:pStyle w:val="85"/>
              <w:jc w:val="both"/>
              <w:rPr>
                <w:color w:val="auto"/>
                <w:sz w:val="22"/>
                <w:szCs w:val="22"/>
              </w:rPr>
            </w:pPr>
            <w:r>
              <w:rPr>
                <w:color w:val="auto"/>
                <w:sz w:val="22"/>
                <w:szCs w:val="22"/>
              </w:rPr>
              <w:t>Отработка навыка чтения</w:t>
            </w:r>
          </w:p>
        </w:tc>
      </w:tr>
      <w:tr w14:paraId="22C999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10A4C9EB">
            <w:pPr>
              <w:pStyle w:val="85"/>
              <w:jc w:val="center"/>
              <w:rPr>
                <w:color w:val="auto"/>
                <w:sz w:val="22"/>
                <w:szCs w:val="22"/>
              </w:rPr>
            </w:pPr>
            <w:r>
              <w:rPr>
                <w:color w:val="auto"/>
                <w:sz w:val="22"/>
                <w:szCs w:val="22"/>
              </w:rPr>
              <w:t>Урок 78</w:t>
            </w:r>
          </w:p>
        </w:tc>
        <w:tc>
          <w:tcPr>
            <w:tcW w:w="7937" w:type="dxa"/>
            <w:vAlign w:val="center"/>
          </w:tcPr>
          <w:p w14:paraId="609E0D46">
            <w:pPr>
              <w:pStyle w:val="85"/>
              <w:jc w:val="both"/>
              <w:rPr>
                <w:color w:val="auto"/>
                <w:sz w:val="22"/>
                <w:szCs w:val="22"/>
              </w:rPr>
            </w:pPr>
            <w:r>
              <w:rPr>
                <w:color w:val="auto"/>
                <w:sz w:val="22"/>
                <w:szCs w:val="22"/>
              </w:rPr>
              <w:t>Знакомство с буквой ь. Различение функций буквы ь</w:t>
            </w:r>
          </w:p>
        </w:tc>
      </w:tr>
      <w:tr w14:paraId="467FD3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495EAD9C">
            <w:pPr>
              <w:pStyle w:val="85"/>
              <w:jc w:val="center"/>
              <w:rPr>
                <w:color w:val="auto"/>
                <w:sz w:val="22"/>
                <w:szCs w:val="22"/>
              </w:rPr>
            </w:pPr>
            <w:r>
              <w:rPr>
                <w:color w:val="auto"/>
                <w:sz w:val="22"/>
                <w:szCs w:val="22"/>
              </w:rPr>
              <w:t>Урок 79</w:t>
            </w:r>
          </w:p>
        </w:tc>
        <w:tc>
          <w:tcPr>
            <w:tcW w:w="7937" w:type="dxa"/>
            <w:vAlign w:val="center"/>
          </w:tcPr>
          <w:p w14:paraId="62123E69">
            <w:pPr>
              <w:pStyle w:val="85"/>
              <w:jc w:val="both"/>
              <w:rPr>
                <w:color w:val="auto"/>
                <w:sz w:val="22"/>
                <w:szCs w:val="22"/>
              </w:rPr>
            </w:pPr>
            <w:r>
              <w:rPr>
                <w:color w:val="auto"/>
                <w:sz w:val="22"/>
                <w:szCs w:val="22"/>
              </w:rPr>
              <w:t>Знакомство с особенностями буквы ъ</w:t>
            </w:r>
          </w:p>
        </w:tc>
      </w:tr>
      <w:tr w14:paraId="6210F3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5D135681">
            <w:pPr>
              <w:pStyle w:val="85"/>
              <w:jc w:val="center"/>
              <w:rPr>
                <w:color w:val="auto"/>
                <w:sz w:val="22"/>
                <w:szCs w:val="22"/>
              </w:rPr>
            </w:pPr>
            <w:r>
              <w:rPr>
                <w:color w:val="auto"/>
                <w:sz w:val="22"/>
                <w:szCs w:val="22"/>
              </w:rPr>
              <w:t>Урок 80</w:t>
            </w:r>
          </w:p>
        </w:tc>
        <w:tc>
          <w:tcPr>
            <w:tcW w:w="7937" w:type="dxa"/>
            <w:vAlign w:val="center"/>
          </w:tcPr>
          <w:p w14:paraId="69270174">
            <w:pPr>
              <w:pStyle w:val="85"/>
              <w:jc w:val="both"/>
              <w:rPr>
                <w:color w:val="auto"/>
                <w:sz w:val="22"/>
                <w:szCs w:val="22"/>
              </w:rPr>
            </w:pPr>
            <w:r>
              <w:rPr>
                <w:color w:val="auto"/>
                <w:sz w:val="22"/>
                <w:szCs w:val="22"/>
              </w:rPr>
              <w:t>Слушание литературного произведения. Произведение по выбору, например, В.Г. Сутеев "Елка"</w:t>
            </w:r>
          </w:p>
        </w:tc>
      </w:tr>
      <w:tr w14:paraId="64C861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4A835953">
            <w:pPr>
              <w:pStyle w:val="85"/>
              <w:jc w:val="center"/>
              <w:rPr>
                <w:color w:val="auto"/>
                <w:sz w:val="22"/>
                <w:szCs w:val="22"/>
              </w:rPr>
            </w:pPr>
            <w:r>
              <w:rPr>
                <w:color w:val="auto"/>
                <w:sz w:val="22"/>
                <w:szCs w:val="22"/>
              </w:rPr>
              <w:t>Урок 81</w:t>
            </w:r>
          </w:p>
        </w:tc>
        <w:tc>
          <w:tcPr>
            <w:tcW w:w="7937" w:type="dxa"/>
            <w:vAlign w:val="center"/>
          </w:tcPr>
          <w:p w14:paraId="5CBA0BCC">
            <w:pPr>
              <w:pStyle w:val="85"/>
              <w:jc w:val="both"/>
              <w:rPr>
                <w:color w:val="auto"/>
                <w:sz w:val="22"/>
                <w:szCs w:val="22"/>
              </w:rPr>
            </w:pPr>
            <w:r>
              <w:rPr>
                <w:color w:val="auto"/>
                <w:sz w:val="22"/>
                <w:szCs w:val="22"/>
              </w:rPr>
              <w:t>Резервный урок. Обобщение знаний о буквах. Русский алфавит</w:t>
            </w:r>
          </w:p>
        </w:tc>
      </w:tr>
      <w:tr w14:paraId="2DBA63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0B58E829">
            <w:pPr>
              <w:pStyle w:val="85"/>
              <w:jc w:val="center"/>
              <w:rPr>
                <w:color w:val="auto"/>
                <w:sz w:val="22"/>
                <w:szCs w:val="22"/>
              </w:rPr>
            </w:pPr>
            <w:r>
              <w:rPr>
                <w:color w:val="auto"/>
                <w:sz w:val="22"/>
                <w:szCs w:val="22"/>
              </w:rPr>
              <w:t>Урок 82</w:t>
            </w:r>
          </w:p>
        </w:tc>
        <w:tc>
          <w:tcPr>
            <w:tcW w:w="7937" w:type="dxa"/>
            <w:vAlign w:val="center"/>
          </w:tcPr>
          <w:p w14:paraId="0AFC0FBF">
            <w:pPr>
              <w:pStyle w:val="85"/>
              <w:jc w:val="both"/>
              <w:rPr>
                <w:color w:val="auto"/>
                <w:sz w:val="22"/>
                <w:szCs w:val="22"/>
              </w:rPr>
            </w:pPr>
            <w:r>
              <w:rPr>
                <w:color w:val="auto"/>
                <w:sz w:val="22"/>
                <w:szCs w:val="22"/>
              </w:rPr>
              <w:t>Резервный урок. Чтение произведений о буквах алфавита. С.Я. Маршак "Ты эти буквы заучи"</w:t>
            </w:r>
          </w:p>
        </w:tc>
      </w:tr>
      <w:tr w14:paraId="6B70E9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4FEEE27B">
            <w:pPr>
              <w:pStyle w:val="85"/>
              <w:jc w:val="center"/>
              <w:rPr>
                <w:color w:val="auto"/>
                <w:sz w:val="22"/>
                <w:szCs w:val="22"/>
              </w:rPr>
            </w:pPr>
            <w:r>
              <w:rPr>
                <w:color w:val="auto"/>
                <w:sz w:val="22"/>
                <w:szCs w:val="22"/>
              </w:rPr>
              <w:t>Урок 83</w:t>
            </w:r>
          </w:p>
        </w:tc>
        <w:tc>
          <w:tcPr>
            <w:tcW w:w="7937" w:type="dxa"/>
            <w:vAlign w:val="center"/>
          </w:tcPr>
          <w:p w14:paraId="20DAD383">
            <w:pPr>
              <w:pStyle w:val="85"/>
              <w:jc w:val="both"/>
              <w:rPr>
                <w:color w:val="auto"/>
                <w:sz w:val="22"/>
                <w:szCs w:val="22"/>
              </w:rPr>
            </w:pPr>
            <w:r>
              <w:rPr>
                <w:color w:val="auto"/>
                <w:sz w:val="22"/>
                <w:szCs w:val="22"/>
              </w:rPr>
              <w:t>Резервный урок. Совершенствование навыка чтения. А.А. Шибаев "Беспокойные соседки", "Познакомились"</w:t>
            </w:r>
          </w:p>
        </w:tc>
      </w:tr>
      <w:tr w14:paraId="6D584E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066A1E6E">
            <w:pPr>
              <w:pStyle w:val="85"/>
              <w:jc w:val="center"/>
              <w:rPr>
                <w:color w:val="auto"/>
                <w:sz w:val="22"/>
                <w:szCs w:val="22"/>
              </w:rPr>
            </w:pPr>
            <w:r>
              <w:rPr>
                <w:color w:val="auto"/>
                <w:sz w:val="22"/>
                <w:szCs w:val="22"/>
              </w:rPr>
              <w:t>Урок 84</w:t>
            </w:r>
          </w:p>
        </w:tc>
        <w:tc>
          <w:tcPr>
            <w:tcW w:w="7937" w:type="dxa"/>
            <w:vAlign w:val="center"/>
          </w:tcPr>
          <w:p w14:paraId="127D9424">
            <w:pPr>
              <w:pStyle w:val="85"/>
              <w:jc w:val="both"/>
              <w:rPr>
                <w:color w:val="auto"/>
                <w:sz w:val="22"/>
                <w:szCs w:val="22"/>
              </w:rPr>
            </w:pPr>
            <w:r>
              <w:rPr>
                <w:color w:val="auto"/>
                <w:sz w:val="22"/>
                <w:szCs w:val="22"/>
              </w:rPr>
              <w:t>Резервный урок. Слушание литературных (авторских) сказок. Сказка К.И. Чуковского "Муха-Цокотуха"</w:t>
            </w:r>
          </w:p>
        </w:tc>
      </w:tr>
      <w:tr w14:paraId="5BFCF5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22F9F690">
            <w:pPr>
              <w:pStyle w:val="85"/>
              <w:jc w:val="center"/>
              <w:rPr>
                <w:color w:val="auto"/>
                <w:sz w:val="22"/>
                <w:szCs w:val="22"/>
              </w:rPr>
            </w:pPr>
            <w:r>
              <w:rPr>
                <w:color w:val="auto"/>
                <w:sz w:val="22"/>
                <w:szCs w:val="22"/>
              </w:rPr>
              <w:t>Урок 85</w:t>
            </w:r>
          </w:p>
        </w:tc>
        <w:tc>
          <w:tcPr>
            <w:tcW w:w="7937" w:type="dxa"/>
            <w:vAlign w:val="center"/>
          </w:tcPr>
          <w:p w14:paraId="63A1BF58">
            <w:pPr>
              <w:pStyle w:val="85"/>
              <w:jc w:val="both"/>
              <w:rPr>
                <w:color w:val="auto"/>
                <w:sz w:val="22"/>
                <w:szCs w:val="22"/>
              </w:rPr>
            </w:pPr>
            <w:r>
              <w:rPr>
                <w:color w:val="auto"/>
                <w:sz w:val="22"/>
                <w:szCs w:val="22"/>
              </w:rPr>
              <w:t>Резервный урок. Определение темы произведения: о животных. На примере произведений Е.И. Чарушина</w:t>
            </w:r>
          </w:p>
        </w:tc>
      </w:tr>
      <w:tr w14:paraId="0E8752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3D538F15">
            <w:pPr>
              <w:pStyle w:val="85"/>
              <w:jc w:val="center"/>
              <w:rPr>
                <w:color w:val="auto"/>
                <w:sz w:val="22"/>
                <w:szCs w:val="22"/>
              </w:rPr>
            </w:pPr>
            <w:r>
              <w:rPr>
                <w:color w:val="auto"/>
                <w:sz w:val="22"/>
                <w:szCs w:val="22"/>
              </w:rPr>
              <w:t>Урок 86</w:t>
            </w:r>
          </w:p>
        </w:tc>
        <w:tc>
          <w:tcPr>
            <w:tcW w:w="7937" w:type="dxa"/>
            <w:vAlign w:val="center"/>
          </w:tcPr>
          <w:p w14:paraId="42858C16">
            <w:pPr>
              <w:pStyle w:val="85"/>
              <w:jc w:val="both"/>
              <w:rPr>
                <w:color w:val="auto"/>
                <w:sz w:val="22"/>
                <w:szCs w:val="22"/>
              </w:rPr>
            </w:pPr>
            <w:r>
              <w:rPr>
                <w:color w:val="auto"/>
                <w:sz w:val="22"/>
                <w:szCs w:val="22"/>
              </w:rPr>
              <w:t>Резервный урок. Чтение небольших произведений о животных Н.И. Сладкова</w:t>
            </w:r>
          </w:p>
        </w:tc>
      </w:tr>
      <w:tr w14:paraId="738A84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438941DC">
            <w:pPr>
              <w:pStyle w:val="85"/>
              <w:jc w:val="center"/>
              <w:rPr>
                <w:color w:val="auto"/>
                <w:sz w:val="22"/>
                <w:szCs w:val="22"/>
              </w:rPr>
            </w:pPr>
            <w:r>
              <w:rPr>
                <w:color w:val="auto"/>
                <w:sz w:val="22"/>
                <w:szCs w:val="22"/>
              </w:rPr>
              <w:t>Урок 87</w:t>
            </w:r>
          </w:p>
        </w:tc>
        <w:tc>
          <w:tcPr>
            <w:tcW w:w="7937" w:type="dxa"/>
            <w:vAlign w:val="center"/>
          </w:tcPr>
          <w:p w14:paraId="452BA13B">
            <w:pPr>
              <w:pStyle w:val="85"/>
              <w:jc w:val="both"/>
              <w:rPr>
                <w:color w:val="auto"/>
                <w:sz w:val="22"/>
                <w:szCs w:val="22"/>
              </w:rPr>
            </w:pPr>
            <w:r>
              <w:rPr>
                <w:color w:val="auto"/>
                <w:sz w:val="22"/>
                <w:szCs w:val="22"/>
              </w:rPr>
              <w:t>Резервный урок. Чтение рассказов о животных. Ответы на вопросы по содержанию произведения</w:t>
            </w:r>
          </w:p>
        </w:tc>
      </w:tr>
      <w:tr w14:paraId="3FA0D4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6F1E5143">
            <w:pPr>
              <w:pStyle w:val="85"/>
              <w:jc w:val="center"/>
              <w:rPr>
                <w:color w:val="auto"/>
                <w:sz w:val="22"/>
                <w:szCs w:val="22"/>
              </w:rPr>
            </w:pPr>
            <w:r>
              <w:rPr>
                <w:color w:val="auto"/>
                <w:sz w:val="22"/>
                <w:szCs w:val="22"/>
              </w:rPr>
              <w:t>Урок 88</w:t>
            </w:r>
          </w:p>
        </w:tc>
        <w:tc>
          <w:tcPr>
            <w:tcW w:w="7937" w:type="dxa"/>
            <w:vAlign w:val="center"/>
          </w:tcPr>
          <w:p w14:paraId="50397729">
            <w:pPr>
              <w:pStyle w:val="85"/>
              <w:jc w:val="both"/>
              <w:rPr>
                <w:color w:val="auto"/>
                <w:sz w:val="22"/>
                <w:szCs w:val="22"/>
              </w:rPr>
            </w:pPr>
            <w:r>
              <w:rPr>
                <w:color w:val="auto"/>
                <w:sz w:val="22"/>
                <w:szCs w:val="22"/>
              </w:rPr>
              <w:t>Резервный урок. Слушание литературных (авторских) сказок. Русская народная сказка "Лисичка-сестричка и волк"</w:t>
            </w:r>
          </w:p>
        </w:tc>
      </w:tr>
      <w:tr w14:paraId="2A2F56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3F3BDD0D">
            <w:pPr>
              <w:pStyle w:val="85"/>
              <w:jc w:val="center"/>
              <w:rPr>
                <w:color w:val="auto"/>
                <w:sz w:val="22"/>
                <w:szCs w:val="22"/>
              </w:rPr>
            </w:pPr>
            <w:r>
              <w:rPr>
                <w:color w:val="auto"/>
                <w:sz w:val="22"/>
                <w:szCs w:val="22"/>
              </w:rPr>
              <w:t>Урок 89</w:t>
            </w:r>
          </w:p>
        </w:tc>
        <w:tc>
          <w:tcPr>
            <w:tcW w:w="7937" w:type="dxa"/>
            <w:vAlign w:val="center"/>
          </w:tcPr>
          <w:p w14:paraId="13DD6AEF">
            <w:pPr>
              <w:pStyle w:val="85"/>
              <w:jc w:val="both"/>
              <w:rPr>
                <w:color w:val="auto"/>
                <w:sz w:val="22"/>
                <w:szCs w:val="22"/>
              </w:rPr>
            </w:pPr>
            <w:r>
              <w:rPr>
                <w:color w:val="auto"/>
                <w:sz w:val="22"/>
                <w:szCs w:val="22"/>
              </w:rPr>
              <w:t>Резервный урок. Чтение небольших произведений Л.Н. Толстого о детях</w:t>
            </w:r>
          </w:p>
        </w:tc>
      </w:tr>
      <w:tr w14:paraId="6C735E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6CD5BFFC">
            <w:pPr>
              <w:pStyle w:val="85"/>
              <w:jc w:val="center"/>
              <w:rPr>
                <w:color w:val="auto"/>
                <w:sz w:val="22"/>
                <w:szCs w:val="22"/>
              </w:rPr>
            </w:pPr>
            <w:r>
              <w:rPr>
                <w:color w:val="auto"/>
                <w:sz w:val="22"/>
                <w:szCs w:val="22"/>
              </w:rPr>
              <w:t>Урок 90</w:t>
            </w:r>
          </w:p>
        </w:tc>
        <w:tc>
          <w:tcPr>
            <w:tcW w:w="7937" w:type="dxa"/>
            <w:vAlign w:val="center"/>
          </w:tcPr>
          <w:p w14:paraId="4C8D9A40">
            <w:pPr>
              <w:pStyle w:val="85"/>
              <w:jc w:val="both"/>
              <w:rPr>
                <w:color w:val="auto"/>
                <w:sz w:val="22"/>
                <w:szCs w:val="22"/>
              </w:rPr>
            </w:pPr>
            <w:r>
              <w:rPr>
                <w:color w:val="auto"/>
                <w:sz w:val="22"/>
                <w:szCs w:val="22"/>
              </w:rPr>
              <w:t>Резервный урок. Чтение произведений о детях Н.Н. Носова</w:t>
            </w:r>
          </w:p>
        </w:tc>
      </w:tr>
      <w:tr w14:paraId="468EDA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490D6EE6">
            <w:pPr>
              <w:pStyle w:val="85"/>
              <w:jc w:val="center"/>
              <w:rPr>
                <w:color w:val="auto"/>
                <w:sz w:val="22"/>
                <w:szCs w:val="22"/>
              </w:rPr>
            </w:pPr>
            <w:r>
              <w:rPr>
                <w:color w:val="auto"/>
                <w:sz w:val="22"/>
                <w:szCs w:val="22"/>
              </w:rPr>
              <w:t>Урок 91</w:t>
            </w:r>
          </w:p>
        </w:tc>
        <w:tc>
          <w:tcPr>
            <w:tcW w:w="7937" w:type="dxa"/>
            <w:vAlign w:val="center"/>
          </w:tcPr>
          <w:p w14:paraId="019A44E8">
            <w:pPr>
              <w:pStyle w:val="85"/>
              <w:jc w:val="both"/>
              <w:rPr>
                <w:color w:val="auto"/>
                <w:sz w:val="22"/>
                <w:szCs w:val="22"/>
              </w:rPr>
            </w:pPr>
            <w:r>
              <w:rPr>
                <w:color w:val="auto"/>
                <w:sz w:val="22"/>
                <w:szCs w:val="22"/>
              </w:rPr>
              <w:t>Резервный урок. Чтение рассказов о детях. Ответы на вопросы по содержанию произведения</w:t>
            </w:r>
          </w:p>
        </w:tc>
      </w:tr>
      <w:tr w14:paraId="18ABD8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775AC5AF">
            <w:pPr>
              <w:pStyle w:val="85"/>
              <w:jc w:val="center"/>
              <w:rPr>
                <w:color w:val="auto"/>
                <w:sz w:val="22"/>
                <w:szCs w:val="22"/>
              </w:rPr>
            </w:pPr>
            <w:r>
              <w:rPr>
                <w:color w:val="auto"/>
                <w:sz w:val="22"/>
                <w:szCs w:val="22"/>
              </w:rPr>
              <w:t>Урок 92</w:t>
            </w:r>
          </w:p>
        </w:tc>
        <w:tc>
          <w:tcPr>
            <w:tcW w:w="7937" w:type="dxa"/>
            <w:vAlign w:val="center"/>
          </w:tcPr>
          <w:p w14:paraId="62F965F4">
            <w:pPr>
              <w:pStyle w:val="85"/>
              <w:jc w:val="both"/>
              <w:rPr>
                <w:color w:val="auto"/>
                <w:sz w:val="22"/>
                <w:szCs w:val="22"/>
              </w:rPr>
            </w:pPr>
            <w:r>
              <w:rPr>
                <w:color w:val="auto"/>
                <w:sz w:val="22"/>
                <w:szCs w:val="22"/>
              </w:rPr>
              <w:t>Резервный урок. Слушание литературных произведений. Е.Ф. Трутнева "Когда это бывает?"</w:t>
            </w:r>
          </w:p>
        </w:tc>
      </w:tr>
      <w:tr w14:paraId="52E801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6BA5F764">
            <w:pPr>
              <w:pStyle w:val="85"/>
              <w:jc w:val="center"/>
              <w:rPr>
                <w:color w:val="auto"/>
                <w:sz w:val="22"/>
                <w:szCs w:val="22"/>
              </w:rPr>
            </w:pPr>
            <w:r>
              <w:rPr>
                <w:color w:val="auto"/>
                <w:sz w:val="22"/>
                <w:szCs w:val="22"/>
              </w:rPr>
              <w:t>Урок 93</w:t>
            </w:r>
          </w:p>
        </w:tc>
        <w:tc>
          <w:tcPr>
            <w:tcW w:w="7937" w:type="dxa"/>
            <w:vAlign w:val="center"/>
          </w:tcPr>
          <w:p w14:paraId="6A051E4B">
            <w:pPr>
              <w:pStyle w:val="85"/>
              <w:jc w:val="both"/>
              <w:rPr>
                <w:color w:val="auto"/>
                <w:sz w:val="22"/>
                <w:szCs w:val="22"/>
              </w:rPr>
            </w:pPr>
            <w:r>
              <w:rPr>
                <w:color w:val="auto"/>
                <w:sz w:val="22"/>
                <w:szCs w:val="22"/>
              </w:rPr>
              <w:t>Нравственные ценности и идеи в фольклорных (народных) сказках: отношения к природе, людям, предметам</w:t>
            </w:r>
          </w:p>
        </w:tc>
      </w:tr>
      <w:tr w14:paraId="0B7CF9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222B2766">
            <w:pPr>
              <w:pStyle w:val="85"/>
              <w:jc w:val="center"/>
              <w:rPr>
                <w:color w:val="auto"/>
                <w:sz w:val="22"/>
                <w:szCs w:val="22"/>
              </w:rPr>
            </w:pPr>
            <w:r>
              <w:rPr>
                <w:color w:val="auto"/>
                <w:sz w:val="22"/>
                <w:szCs w:val="22"/>
              </w:rPr>
              <w:t>Урок 94</w:t>
            </w:r>
          </w:p>
        </w:tc>
        <w:tc>
          <w:tcPr>
            <w:tcW w:w="7937" w:type="dxa"/>
            <w:vAlign w:val="center"/>
          </w:tcPr>
          <w:p w14:paraId="3C0C3830">
            <w:pPr>
              <w:pStyle w:val="85"/>
              <w:jc w:val="both"/>
              <w:rPr>
                <w:color w:val="auto"/>
                <w:sz w:val="22"/>
                <w:szCs w:val="22"/>
              </w:rPr>
            </w:pPr>
            <w:r>
              <w:rPr>
                <w:color w:val="auto"/>
                <w:sz w:val="22"/>
                <w:szCs w:val="22"/>
              </w:rPr>
              <w:t>Характеристика героев в фольклорных (народных) сказках о животных. На примере сказок "Лисица и тетерев", "Лиса и рак" и других на выбор</w:t>
            </w:r>
          </w:p>
        </w:tc>
      </w:tr>
      <w:tr w14:paraId="5EDF6E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5F7510ED">
            <w:pPr>
              <w:pStyle w:val="85"/>
              <w:jc w:val="center"/>
              <w:rPr>
                <w:color w:val="auto"/>
                <w:sz w:val="22"/>
                <w:szCs w:val="22"/>
              </w:rPr>
            </w:pPr>
            <w:r>
              <w:rPr>
                <w:color w:val="auto"/>
                <w:sz w:val="22"/>
                <w:szCs w:val="22"/>
              </w:rPr>
              <w:t>Урок 95</w:t>
            </w:r>
          </w:p>
        </w:tc>
        <w:tc>
          <w:tcPr>
            <w:tcW w:w="7937" w:type="dxa"/>
            <w:vAlign w:val="center"/>
          </w:tcPr>
          <w:p w14:paraId="270E8A00">
            <w:pPr>
              <w:pStyle w:val="85"/>
              <w:jc w:val="both"/>
              <w:rPr>
                <w:color w:val="auto"/>
                <w:sz w:val="22"/>
                <w:szCs w:val="22"/>
              </w:rPr>
            </w:pPr>
            <w:r>
              <w:rPr>
                <w:color w:val="auto"/>
                <w:sz w:val="22"/>
                <w:szCs w:val="22"/>
              </w:rPr>
              <w:t>Реальность и волшебство в литературных (авторских) сказках. На примере произведений В.Г. Сутеева и других на выбор</w:t>
            </w:r>
          </w:p>
        </w:tc>
      </w:tr>
      <w:tr w14:paraId="4BEF19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3867B0D1">
            <w:pPr>
              <w:pStyle w:val="85"/>
              <w:jc w:val="center"/>
              <w:rPr>
                <w:color w:val="auto"/>
                <w:sz w:val="22"/>
                <w:szCs w:val="22"/>
              </w:rPr>
            </w:pPr>
            <w:r>
              <w:rPr>
                <w:color w:val="auto"/>
                <w:sz w:val="22"/>
                <w:szCs w:val="22"/>
              </w:rPr>
              <w:t>Урок 96</w:t>
            </w:r>
          </w:p>
        </w:tc>
        <w:tc>
          <w:tcPr>
            <w:tcW w:w="7937" w:type="dxa"/>
            <w:vAlign w:val="center"/>
          </w:tcPr>
          <w:p w14:paraId="3F229F2C">
            <w:pPr>
              <w:pStyle w:val="85"/>
              <w:jc w:val="both"/>
              <w:rPr>
                <w:color w:val="auto"/>
                <w:sz w:val="22"/>
                <w:szCs w:val="22"/>
              </w:rPr>
            </w:pPr>
            <w:r>
              <w:rPr>
                <w:color w:val="auto"/>
                <w:sz w:val="22"/>
                <w:szCs w:val="22"/>
              </w:rPr>
              <w:t>Работа с фольклорной и литературной (авторской) сказками: событийная сторона сказок (последовательность событий)</w:t>
            </w:r>
          </w:p>
        </w:tc>
      </w:tr>
      <w:tr w14:paraId="493B93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73CC2B7B">
            <w:pPr>
              <w:pStyle w:val="85"/>
              <w:jc w:val="center"/>
              <w:rPr>
                <w:color w:val="auto"/>
                <w:sz w:val="22"/>
                <w:szCs w:val="22"/>
              </w:rPr>
            </w:pPr>
            <w:r>
              <w:rPr>
                <w:color w:val="auto"/>
                <w:sz w:val="22"/>
                <w:szCs w:val="22"/>
              </w:rPr>
              <w:t>Урок 97</w:t>
            </w:r>
          </w:p>
        </w:tc>
        <w:tc>
          <w:tcPr>
            <w:tcW w:w="7937" w:type="dxa"/>
            <w:vAlign w:val="center"/>
          </w:tcPr>
          <w:p w14:paraId="28631580">
            <w:pPr>
              <w:pStyle w:val="85"/>
              <w:jc w:val="both"/>
              <w:rPr>
                <w:color w:val="auto"/>
                <w:sz w:val="22"/>
                <w:szCs w:val="22"/>
              </w:rPr>
            </w:pPr>
            <w:r>
              <w:rPr>
                <w:color w:val="auto"/>
                <w:sz w:val="22"/>
                <w:szCs w:val="22"/>
              </w:rPr>
              <w:t>Отражение сюжета произведения в иллюстрациях</w:t>
            </w:r>
          </w:p>
        </w:tc>
      </w:tr>
      <w:tr w14:paraId="314799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656218BC">
            <w:pPr>
              <w:pStyle w:val="85"/>
              <w:jc w:val="center"/>
              <w:rPr>
                <w:color w:val="auto"/>
                <w:sz w:val="22"/>
                <w:szCs w:val="22"/>
              </w:rPr>
            </w:pPr>
            <w:r>
              <w:rPr>
                <w:color w:val="auto"/>
                <w:sz w:val="22"/>
                <w:szCs w:val="22"/>
              </w:rPr>
              <w:t>Урок 98</w:t>
            </w:r>
          </w:p>
        </w:tc>
        <w:tc>
          <w:tcPr>
            <w:tcW w:w="7937" w:type="dxa"/>
            <w:vAlign w:val="center"/>
          </w:tcPr>
          <w:p w14:paraId="544A7729">
            <w:pPr>
              <w:pStyle w:val="85"/>
              <w:jc w:val="both"/>
              <w:rPr>
                <w:color w:val="auto"/>
                <w:sz w:val="22"/>
                <w:szCs w:val="22"/>
              </w:rPr>
            </w:pPr>
            <w:r>
              <w:rPr>
                <w:color w:val="auto"/>
                <w:sz w:val="22"/>
                <w:szCs w:val="22"/>
              </w:rPr>
              <w:t>Сравнение героев фольклорных (народных) и литературных (авторских) сказок: сходство и различия. На примере произведения К.Д. Ушинского "Петух и собака" и других на выбор</w:t>
            </w:r>
          </w:p>
        </w:tc>
      </w:tr>
      <w:tr w14:paraId="5988AC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70413DAE">
            <w:pPr>
              <w:pStyle w:val="85"/>
              <w:jc w:val="center"/>
              <w:rPr>
                <w:color w:val="auto"/>
                <w:sz w:val="22"/>
                <w:szCs w:val="22"/>
              </w:rPr>
            </w:pPr>
            <w:r>
              <w:rPr>
                <w:color w:val="auto"/>
                <w:sz w:val="22"/>
                <w:szCs w:val="22"/>
              </w:rPr>
              <w:t>Урок 99</w:t>
            </w:r>
          </w:p>
        </w:tc>
        <w:tc>
          <w:tcPr>
            <w:tcW w:w="7937" w:type="dxa"/>
            <w:vAlign w:val="center"/>
          </w:tcPr>
          <w:p w14:paraId="248D2438">
            <w:pPr>
              <w:pStyle w:val="85"/>
              <w:jc w:val="both"/>
              <w:rPr>
                <w:color w:val="auto"/>
                <w:sz w:val="22"/>
                <w:szCs w:val="22"/>
              </w:rPr>
            </w:pPr>
            <w:r>
              <w:rPr>
                <w:color w:val="auto"/>
                <w:sz w:val="22"/>
                <w:szCs w:val="22"/>
              </w:rPr>
              <w:t>Определение темы произведения: о жизни, играх, делах детей</w:t>
            </w:r>
          </w:p>
        </w:tc>
      </w:tr>
      <w:tr w14:paraId="7D87B9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7C9F66B1">
            <w:pPr>
              <w:pStyle w:val="85"/>
              <w:jc w:val="center"/>
              <w:rPr>
                <w:color w:val="auto"/>
                <w:sz w:val="22"/>
                <w:szCs w:val="22"/>
              </w:rPr>
            </w:pPr>
            <w:r>
              <w:rPr>
                <w:color w:val="auto"/>
                <w:sz w:val="22"/>
                <w:szCs w:val="22"/>
              </w:rPr>
              <w:t>Урок 100</w:t>
            </w:r>
          </w:p>
        </w:tc>
        <w:tc>
          <w:tcPr>
            <w:tcW w:w="7937" w:type="dxa"/>
            <w:vAlign w:val="center"/>
          </w:tcPr>
          <w:p w14:paraId="2F671A04">
            <w:pPr>
              <w:pStyle w:val="85"/>
              <w:jc w:val="both"/>
              <w:rPr>
                <w:color w:val="auto"/>
                <w:sz w:val="22"/>
                <w:szCs w:val="22"/>
              </w:rPr>
            </w:pPr>
            <w:r>
              <w:rPr>
                <w:color w:val="auto"/>
                <w:sz w:val="22"/>
                <w:szCs w:val="22"/>
              </w:rPr>
              <w:t>Выделение главной мысли (идеи) произведения. На примере рассказов К.Д. Ушинского и других на выбор</w:t>
            </w:r>
          </w:p>
        </w:tc>
      </w:tr>
      <w:tr w14:paraId="6319BC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47B5D31A">
            <w:pPr>
              <w:pStyle w:val="85"/>
              <w:jc w:val="center"/>
              <w:rPr>
                <w:color w:val="auto"/>
                <w:sz w:val="22"/>
                <w:szCs w:val="22"/>
              </w:rPr>
            </w:pPr>
            <w:r>
              <w:rPr>
                <w:color w:val="auto"/>
                <w:sz w:val="22"/>
                <w:szCs w:val="22"/>
              </w:rPr>
              <w:t>Урок 101</w:t>
            </w:r>
          </w:p>
        </w:tc>
        <w:tc>
          <w:tcPr>
            <w:tcW w:w="7937" w:type="dxa"/>
            <w:vAlign w:val="center"/>
          </w:tcPr>
          <w:p w14:paraId="22168188">
            <w:pPr>
              <w:pStyle w:val="85"/>
              <w:jc w:val="both"/>
              <w:rPr>
                <w:color w:val="auto"/>
                <w:sz w:val="22"/>
                <w:szCs w:val="22"/>
              </w:rPr>
            </w:pPr>
            <w:r>
              <w:rPr>
                <w:color w:val="auto"/>
                <w:sz w:val="22"/>
                <w:szCs w:val="22"/>
              </w:rPr>
              <w:t>Заголовок произведения, его значение для понимания содержания</w:t>
            </w:r>
          </w:p>
        </w:tc>
      </w:tr>
      <w:tr w14:paraId="0F5937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71655B08">
            <w:pPr>
              <w:pStyle w:val="85"/>
              <w:jc w:val="center"/>
              <w:rPr>
                <w:color w:val="auto"/>
                <w:sz w:val="22"/>
                <w:szCs w:val="22"/>
              </w:rPr>
            </w:pPr>
            <w:r>
              <w:rPr>
                <w:color w:val="auto"/>
                <w:sz w:val="22"/>
                <w:szCs w:val="22"/>
              </w:rPr>
              <w:t>Урок 102</w:t>
            </w:r>
          </w:p>
        </w:tc>
        <w:tc>
          <w:tcPr>
            <w:tcW w:w="7937" w:type="dxa"/>
            <w:vAlign w:val="center"/>
          </w:tcPr>
          <w:p w14:paraId="73132BEB">
            <w:pPr>
              <w:pStyle w:val="85"/>
              <w:jc w:val="both"/>
              <w:rPr>
                <w:color w:val="auto"/>
                <w:sz w:val="22"/>
                <w:szCs w:val="22"/>
              </w:rPr>
            </w:pPr>
            <w:r>
              <w:rPr>
                <w:color w:val="auto"/>
                <w:sz w:val="22"/>
                <w:szCs w:val="22"/>
              </w:rPr>
              <w:t>Рассказы о детях. На примере произведения Л.Н. Толстого "Косточка" и других на выбор</w:t>
            </w:r>
          </w:p>
        </w:tc>
      </w:tr>
      <w:tr w14:paraId="066946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10433D38">
            <w:pPr>
              <w:pStyle w:val="85"/>
              <w:jc w:val="center"/>
              <w:rPr>
                <w:color w:val="auto"/>
                <w:sz w:val="22"/>
                <w:szCs w:val="22"/>
              </w:rPr>
            </w:pPr>
            <w:r>
              <w:rPr>
                <w:color w:val="auto"/>
                <w:sz w:val="22"/>
                <w:szCs w:val="22"/>
              </w:rPr>
              <w:t>Урок 103</w:t>
            </w:r>
          </w:p>
        </w:tc>
        <w:tc>
          <w:tcPr>
            <w:tcW w:w="7937" w:type="dxa"/>
            <w:vAlign w:val="center"/>
          </w:tcPr>
          <w:p w14:paraId="4533FA56">
            <w:pPr>
              <w:pStyle w:val="85"/>
              <w:jc w:val="both"/>
              <w:rPr>
                <w:color w:val="auto"/>
                <w:sz w:val="22"/>
                <w:szCs w:val="22"/>
              </w:rPr>
            </w:pPr>
            <w:r>
              <w:rPr>
                <w:color w:val="auto"/>
                <w:sz w:val="22"/>
                <w:szCs w:val="22"/>
              </w:rPr>
              <w:t>Рассказы о детях. На примере произведения В.А. Осеевой "Три товарища" и других на выбор</w:t>
            </w:r>
          </w:p>
        </w:tc>
      </w:tr>
      <w:tr w14:paraId="647A86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446C0E00">
            <w:pPr>
              <w:pStyle w:val="85"/>
              <w:jc w:val="center"/>
              <w:rPr>
                <w:color w:val="auto"/>
                <w:sz w:val="22"/>
                <w:szCs w:val="22"/>
              </w:rPr>
            </w:pPr>
            <w:r>
              <w:rPr>
                <w:color w:val="auto"/>
                <w:sz w:val="22"/>
                <w:szCs w:val="22"/>
              </w:rPr>
              <w:t>Урок 104</w:t>
            </w:r>
          </w:p>
        </w:tc>
        <w:tc>
          <w:tcPr>
            <w:tcW w:w="7937" w:type="dxa"/>
            <w:vAlign w:val="center"/>
          </w:tcPr>
          <w:p w14:paraId="03EAFC58">
            <w:pPr>
              <w:pStyle w:val="85"/>
              <w:jc w:val="both"/>
              <w:rPr>
                <w:color w:val="auto"/>
                <w:sz w:val="22"/>
                <w:szCs w:val="22"/>
              </w:rPr>
            </w:pPr>
            <w:r>
              <w:rPr>
                <w:color w:val="auto"/>
                <w:sz w:val="22"/>
                <w:szCs w:val="22"/>
              </w:rPr>
              <w:t>Характеристика героя произведения: оценка поступков и поведения. На примере произведения Е.А. Пермяка "Торопливый ножик"</w:t>
            </w:r>
          </w:p>
        </w:tc>
      </w:tr>
      <w:tr w14:paraId="724094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0808527E">
            <w:pPr>
              <w:pStyle w:val="85"/>
              <w:jc w:val="center"/>
              <w:rPr>
                <w:color w:val="auto"/>
                <w:sz w:val="22"/>
                <w:szCs w:val="22"/>
              </w:rPr>
            </w:pPr>
            <w:r>
              <w:rPr>
                <w:color w:val="auto"/>
                <w:sz w:val="22"/>
                <w:szCs w:val="22"/>
              </w:rPr>
              <w:t>Урок 105</w:t>
            </w:r>
          </w:p>
        </w:tc>
        <w:tc>
          <w:tcPr>
            <w:tcW w:w="7937" w:type="dxa"/>
            <w:vAlign w:val="center"/>
          </w:tcPr>
          <w:p w14:paraId="0EF344B3">
            <w:pPr>
              <w:pStyle w:val="85"/>
              <w:jc w:val="both"/>
              <w:rPr>
                <w:color w:val="auto"/>
                <w:sz w:val="22"/>
                <w:szCs w:val="22"/>
              </w:rPr>
            </w:pPr>
            <w:r>
              <w:rPr>
                <w:color w:val="auto"/>
                <w:sz w:val="22"/>
                <w:szCs w:val="22"/>
              </w:rPr>
              <w:t>Работа с текстом произведения: осознание понятий друг, дружба, забота. На примере произведения Ю.И. Ермолаев "Лучший друг"</w:t>
            </w:r>
          </w:p>
        </w:tc>
      </w:tr>
      <w:tr w14:paraId="093CFB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63348952">
            <w:pPr>
              <w:pStyle w:val="85"/>
              <w:jc w:val="center"/>
              <w:rPr>
                <w:color w:val="auto"/>
                <w:sz w:val="22"/>
                <w:szCs w:val="22"/>
              </w:rPr>
            </w:pPr>
            <w:r>
              <w:rPr>
                <w:color w:val="auto"/>
                <w:sz w:val="22"/>
                <w:szCs w:val="22"/>
              </w:rPr>
              <w:t>Урок 106</w:t>
            </w:r>
          </w:p>
        </w:tc>
        <w:tc>
          <w:tcPr>
            <w:tcW w:w="7937" w:type="dxa"/>
            <w:vAlign w:val="center"/>
          </w:tcPr>
          <w:p w14:paraId="1FD96D15">
            <w:pPr>
              <w:pStyle w:val="85"/>
              <w:jc w:val="both"/>
              <w:rPr>
                <w:color w:val="auto"/>
                <w:sz w:val="22"/>
                <w:szCs w:val="22"/>
              </w:rPr>
            </w:pPr>
            <w:r>
              <w:rPr>
                <w:color w:val="auto"/>
                <w:sz w:val="22"/>
                <w:szCs w:val="22"/>
              </w:rPr>
              <w:t>Стихотворения о детях. На примере произведения А.Л. Барто "Я - лишний" и других на выбор</w:t>
            </w:r>
          </w:p>
        </w:tc>
      </w:tr>
      <w:tr w14:paraId="6965B0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2FE45C37">
            <w:pPr>
              <w:pStyle w:val="85"/>
              <w:jc w:val="center"/>
              <w:rPr>
                <w:color w:val="auto"/>
                <w:sz w:val="22"/>
                <w:szCs w:val="22"/>
              </w:rPr>
            </w:pPr>
            <w:r>
              <w:rPr>
                <w:color w:val="auto"/>
                <w:sz w:val="22"/>
                <w:szCs w:val="22"/>
              </w:rPr>
              <w:t>Урок 107</w:t>
            </w:r>
          </w:p>
        </w:tc>
        <w:tc>
          <w:tcPr>
            <w:tcW w:w="7937" w:type="dxa"/>
            <w:vAlign w:val="center"/>
          </w:tcPr>
          <w:p w14:paraId="56A743C0">
            <w:pPr>
              <w:pStyle w:val="85"/>
              <w:jc w:val="both"/>
              <w:rPr>
                <w:color w:val="auto"/>
                <w:sz w:val="22"/>
                <w:szCs w:val="22"/>
              </w:rPr>
            </w:pPr>
            <w:r>
              <w:rPr>
                <w:color w:val="auto"/>
                <w:sz w:val="22"/>
                <w:szCs w:val="22"/>
              </w:rPr>
              <w:t>Работа с текстом произведения: осознание понятий труд, взаимопомощь</w:t>
            </w:r>
          </w:p>
        </w:tc>
      </w:tr>
      <w:tr w14:paraId="247740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65538F84">
            <w:pPr>
              <w:pStyle w:val="85"/>
              <w:jc w:val="center"/>
              <w:rPr>
                <w:color w:val="auto"/>
                <w:sz w:val="22"/>
                <w:szCs w:val="22"/>
              </w:rPr>
            </w:pPr>
            <w:r>
              <w:rPr>
                <w:color w:val="auto"/>
                <w:sz w:val="22"/>
                <w:szCs w:val="22"/>
              </w:rPr>
              <w:t>Урок 108</w:t>
            </w:r>
          </w:p>
        </w:tc>
        <w:tc>
          <w:tcPr>
            <w:tcW w:w="7937" w:type="dxa"/>
            <w:vAlign w:val="center"/>
          </w:tcPr>
          <w:p w14:paraId="0C015E53">
            <w:pPr>
              <w:pStyle w:val="85"/>
              <w:jc w:val="both"/>
              <w:rPr>
                <w:color w:val="auto"/>
                <w:sz w:val="22"/>
                <w:szCs w:val="22"/>
              </w:rPr>
            </w:pPr>
            <w:r>
              <w:rPr>
                <w:color w:val="auto"/>
                <w:sz w:val="22"/>
                <w:szCs w:val="22"/>
              </w:rPr>
              <w:t>Восприятие произведений о маме: проявление любви и заботы о родных людях. На примере стихотворения А.Л. Барто "Мама" и других на выбор</w:t>
            </w:r>
          </w:p>
        </w:tc>
      </w:tr>
      <w:tr w14:paraId="56B660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6C965472">
            <w:pPr>
              <w:pStyle w:val="85"/>
              <w:jc w:val="center"/>
              <w:rPr>
                <w:color w:val="auto"/>
                <w:sz w:val="22"/>
                <w:szCs w:val="22"/>
              </w:rPr>
            </w:pPr>
            <w:r>
              <w:rPr>
                <w:color w:val="auto"/>
                <w:sz w:val="22"/>
                <w:szCs w:val="22"/>
              </w:rPr>
              <w:t>Урок 109</w:t>
            </w:r>
          </w:p>
        </w:tc>
        <w:tc>
          <w:tcPr>
            <w:tcW w:w="7937" w:type="dxa"/>
            <w:vAlign w:val="center"/>
          </w:tcPr>
          <w:p w14:paraId="11079FE2">
            <w:pPr>
              <w:pStyle w:val="85"/>
              <w:jc w:val="both"/>
              <w:rPr>
                <w:color w:val="auto"/>
                <w:sz w:val="22"/>
                <w:szCs w:val="22"/>
              </w:rPr>
            </w:pPr>
            <w:r>
              <w:rPr>
                <w:color w:val="auto"/>
                <w:sz w:val="22"/>
                <w:szCs w:val="22"/>
              </w:rPr>
              <w:t>Выделение главной мысли (идеи): заботливое и внимательное отношение к родным и близким людям. На примере стихотворения Е.А. Благинина "Посидим в тишине" и других на выбор</w:t>
            </w:r>
          </w:p>
        </w:tc>
      </w:tr>
      <w:tr w14:paraId="0916EA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7E3F197E">
            <w:pPr>
              <w:pStyle w:val="85"/>
              <w:rPr>
                <w:color w:val="auto"/>
                <w:sz w:val="22"/>
                <w:szCs w:val="22"/>
              </w:rPr>
            </w:pPr>
            <w:r>
              <w:rPr>
                <w:color w:val="auto"/>
                <w:sz w:val="22"/>
                <w:szCs w:val="22"/>
              </w:rPr>
              <w:t>Урок 110</w:t>
            </w:r>
          </w:p>
        </w:tc>
        <w:tc>
          <w:tcPr>
            <w:tcW w:w="7937" w:type="dxa"/>
            <w:vAlign w:val="center"/>
          </w:tcPr>
          <w:p w14:paraId="403A4A73">
            <w:pPr>
              <w:pStyle w:val="85"/>
              <w:jc w:val="both"/>
              <w:rPr>
                <w:color w:val="auto"/>
                <w:sz w:val="22"/>
                <w:szCs w:val="22"/>
              </w:rPr>
            </w:pPr>
            <w:r>
              <w:rPr>
                <w:color w:val="auto"/>
                <w:sz w:val="22"/>
                <w:szCs w:val="22"/>
              </w:rPr>
              <w:t>Осознание отраженных в произведении понятий: чувство любви матери к ребенку, детей к матери, близким. На примере произведения А.В. Митяева "За что я люблю маму" и других на выбор</w:t>
            </w:r>
          </w:p>
        </w:tc>
      </w:tr>
      <w:tr w14:paraId="55487C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562D575B">
            <w:pPr>
              <w:pStyle w:val="85"/>
              <w:rPr>
                <w:color w:val="auto"/>
                <w:sz w:val="22"/>
                <w:szCs w:val="22"/>
              </w:rPr>
            </w:pPr>
            <w:r>
              <w:rPr>
                <w:color w:val="auto"/>
                <w:sz w:val="22"/>
                <w:szCs w:val="22"/>
              </w:rPr>
              <w:t>Урок 111</w:t>
            </w:r>
          </w:p>
        </w:tc>
        <w:tc>
          <w:tcPr>
            <w:tcW w:w="7937" w:type="dxa"/>
            <w:vAlign w:val="center"/>
          </w:tcPr>
          <w:p w14:paraId="737FB901">
            <w:pPr>
              <w:pStyle w:val="85"/>
              <w:jc w:val="both"/>
              <w:rPr>
                <w:color w:val="auto"/>
                <w:sz w:val="22"/>
                <w:szCs w:val="22"/>
              </w:rPr>
            </w:pPr>
            <w:r>
              <w:rPr>
                <w:color w:val="auto"/>
                <w:sz w:val="22"/>
                <w:szCs w:val="22"/>
              </w:rPr>
              <w:t>Определение темы произведения: изображение природы в разные времена года</w:t>
            </w:r>
          </w:p>
        </w:tc>
      </w:tr>
      <w:tr w14:paraId="28E4CE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7754A079">
            <w:pPr>
              <w:pStyle w:val="85"/>
              <w:rPr>
                <w:color w:val="auto"/>
                <w:sz w:val="22"/>
                <w:szCs w:val="22"/>
              </w:rPr>
            </w:pPr>
            <w:r>
              <w:rPr>
                <w:color w:val="auto"/>
                <w:sz w:val="22"/>
                <w:szCs w:val="22"/>
              </w:rPr>
              <w:t>Урок 112</w:t>
            </w:r>
          </w:p>
        </w:tc>
        <w:tc>
          <w:tcPr>
            <w:tcW w:w="7937" w:type="dxa"/>
            <w:vAlign w:val="center"/>
          </w:tcPr>
          <w:p w14:paraId="02772107">
            <w:pPr>
              <w:pStyle w:val="85"/>
              <w:jc w:val="both"/>
              <w:rPr>
                <w:color w:val="auto"/>
                <w:sz w:val="22"/>
                <w:szCs w:val="22"/>
              </w:rPr>
            </w:pPr>
            <w:r>
              <w:rPr>
                <w:color w:val="auto"/>
                <w:sz w:val="22"/>
                <w:szCs w:val="22"/>
              </w:rPr>
              <w:t>Наблюдение за особенностями стихотворной речи: рифма, ритм. Роль интонации при выразительном чтении: темп, сила голоса</w:t>
            </w:r>
          </w:p>
        </w:tc>
      </w:tr>
      <w:tr w14:paraId="176EA0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24A52142">
            <w:pPr>
              <w:pStyle w:val="85"/>
              <w:rPr>
                <w:color w:val="auto"/>
                <w:sz w:val="22"/>
                <w:szCs w:val="22"/>
              </w:rPr>
            </w:pPr>
            <w:r>
              <w:rPr>
                <w:color w:val="auto"/>
                <w:sz w:val="22"/>
                <w:szCs w:val="22"/>
              </w:rPr>
              <w:t>Урок 113</w:t>
            </w:r>
          </w:p>
        </w:tc>
        <w:tc>
          <w:tcPr>
            <w:tcW w:w="7937" w:type="dxa"/>
            <w:vAlign w:val="center"/>
          </w:tcPr>
          <w:p w14:paraId="4BB1CDAD">
            <w:pPr>
              <w:pStyle w:val="85"/>
              <w:jc w:val="both"/>
              <w:rPr>
                <w:color w:val="auto"/>
                <w:sz w:val="22"/>
                <w:szCs w:val="22"/>
              </w:rPr>
            </w:pPr>
            <w:r>
              <w:rPr>
                <w:color w:val="auto"/>
                <w:sz w:val="22"/>
                <w:szCs w:val="22"/>
              </w:rPr>
              <w:t>Восприятие произведений о родной природе: краски и звуки весны</w:t>
            </w:r>
          </w:p>
        </w:tc>
      </w:tr>
      <w:tr w14:paraId="45EE6A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173520C2">
            <w:pPr>
              <w:pStyle w:val="85"/>
              <w:rPr>
                <w:color w:val="auto"/>
                <w:sz w:val="22"/>
                <w:szCs w:val="22"/>
              </w:rPr>
            </w:pPr>
            <w:r>
              <w:rPr>
                <w:color w:val="auto"/>
                <w:sz w:val="22"/>
                <w:szCs w:val="22"/>
              </w:rPr>
              <w:t>Урок 114</w:t>
            </w:r>
          </w:p>
        </w:tc>
        <w:tc>
          <w:tcPr>
            <w:tcW w:w="7937" w:type="dxa"/>
            <w:vAlign w:val="center"/>
          </w:tcPr>
          <w:p w14:paraId="4D667ACD">
            <w:pPr>
              <w:pStyle w:val="85"/>
              <w:jc w:val="both"/>
              <w:rPr>
                <w:color w:val="auto"/>
                <w:sz w:val="22"/>
                <w:szCs w:val="22"/>
              </w:rPr>
            </w:pPr>
            <w:r>
              <w:rPr>
                <w:color w:val="auto"/>
                <w:sz w:val="22"/>
                <w:szCs w:val="22"/>
              </w:rPr>
              <w:t>Сравнение стихотворного и прозаического текста о природе весной. Определение настроений, которые они создают</w:t>
            </w:r>
          </w:p>
        </w:tc>
      </w:tr>
      <w:tr w14:paraId="1CB312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67940812">
            <w:pPr>
              <w:pStyle w:val="85"/>
              <w:rPr>
                <w:color w:val="auto"/>
                <w:sz w:val="22"/>
                <w:szCs w:val="22"/>
              </w:rPr>
            </w:pPr>
            <w:r>
              <w:rPr>
                <w:color w:val="auto"/>
                <w:sz w:val="22"/>
                <w:szCs w:val="22"/>
              </w:rPr>
              <w:t>Урок 115</w:t>
            </w:r>
          </w:p>
        </w:tc>
        <w:tc>
          <w:tcPr>
            <w:tcW w:w="7937" w:type="dxa"/>
            <w:vAlign w:val="center"/>
          </w:tcPr>
          <w:p w14:paraId="03C86018">
            <w:pPr>
              <w:pStyle w:val="85"/>
              <w:jc w:val="both"/>
              <w:rPr>
                <w:color w:val="auto"/>
                <w:sz w:val="22"/>
                <w:szCs w:val="22"/>
              </w:rPr>
            </w:pPr>
            <w:r>
              <w:rPr>
                <w:color w:val="auto"/>
                <w:sz w:val="22"/>
                <w:szCs w:val="22"/>
              </w:rPr>
              <w:t>Выделение главной мысли (идеи) в произведениях о родной природе, о Родине</w:t>
            </w:r>
          </w:p>
        </w:tc>
      </w:tr>
      <w:tr w14:paraId="18E3CB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072D3CFB">
            <w:pPr>
              <w:pStyle w:val="85"/>
              <w:rPr>
                <w:color w:val="auto"/>
                <w:sz w:val="22"/>
                <w:szCs w:val="22"/>
              </w:rPr>
            </w:pPr>
            <w:r>
              <w:rPr>
                <w:color w:val="auto"/>
                <w:sz w:val="22"/>
                <w:szCs w:val="22"/>
              </w:rPr>
              <w:t>Урок 116</w:t>
            </w:r>
          </w:p>
        </w:tc>
        <w:tc>
          <w:tcPr>
            <w:tcW w:w="7937" w:type="dxa"/>
            <w:vAlign w:val="center"/>
          </w:tcPr>
          <w:p w14:paraId="5CBE6CD1">
            <w:pPr>
              <w:pStyle w:val="85"/>
              <w:jc w:val="both"/>
              <w:rPr>
                <w:color w:val="auto"/>
                <w:sz w:val="22"/>
                <w:szCs w:val="22"/>
              </w:rPr>
            </w:pPr>
            <w:r>
              <w:rPr>
                <w:color w:val="auto"/>
                <w:sz w:val="22"/>
                <w:szCs w:val="22"/>
              </w:rPr>
              <w:t>Работа с детскими книгами. Отражение в иллюстрации эмоционального отклика на произведение</w:t>
            </w:r>
          </w:p>
        </w:tc>
      </w:tr>
      <w:tr w14:paraId="67BC8C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726A4B65">
            <w:pPr>
              <w:pStyle w:val="85"/>
              <w:rPr>
                <w:color w:val="auto"/>
                <w:sz w:val="22"/>
                <w:szCs w:val="22"/>
              </w:rPr>
            </w:pPr>
            <w:r>
              <w:rPr>
                <w:color w:val="auto"/>
                <w:sz w:val="22"/>
                <w:szCs w:val="22"/>
              </w:rPr>
              <w:t>Урок 117</w:t>
            </w:r>
          </w:p>
        </w:tc>
        <w:tc>
          <w:tcPr>
            <w:tcW w:w="7937" w:type="dxa"/>
            <w:vAlign w:val="center"/>
          </w:tcPr>
          <w:p w14:paraId="55C6F0A1">
            <w:pPr>
              <w:pStyle w:val="85"/>
              <w:jc w:val="both"/>
              <w:rPr>
                <w:color w:val="auto"/>
                <w:sz w:val="22"/>
                <w:szCs w:val="22"/>
              </w:rPr>
            </w:pPr>
            <w:r>
              <w:rPr>
                <w:color w:val="auto"/>
                <w:sz w:val="22"/>
                <w:szCs w:val="22"/>
              </w:rPr>
              <w:t>Знакомство с малыми жанрами устного народного творчества: потешка, загадка, пословица</w:t>
            </w:r>
          </w:p>
        </w:tc>
      </w:tr>
      <w:tr w14:paraId="501018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5518E22D">
            <w:pPr>
              <w:pStyle w:val="85"/>
              <w:rPr>
                <w:color w:val="auto"/>
                <w:sz w:val="22"/>
                <w:szCs w:val="22"/>
              </w:rPr>
            </w:pPr>
            <w:r>
              <w:rPr>
                <w:color w:val="auto"/>
                <w:sz w:val="22"/>
                <w:szCs w:val="22"/>
              </w:rPr>
              <w:t>Урок 118</w:t>
            </w:r>
          </w:p>
        </w:tc>
        <w:tc>
          <w:tcPr>
            <w:tcW w:w="7937" w:type="dxa"/>
            <w:vAlign w:val="center"/>
          </w:tcPr>
          <w:p w14:paraId="4F262A11">
            <w:pPr>
              <w:pStyle w:val="85"/>
              <w:jc w:val="both"/>
              <w:rPr>
                <w:color w:val="auto"/>
                <w:sz w:val="22"/>
                <w:szCs w:val="22"/>
              </w:rPr>
            </w:pPr>
            <w:r>
              <w:rPr>
                <w:color w:val="auto"/>
                <w:sz w:val="22"/>
                <w:szCs w:val="22"/>
              </w:rPr>
              <w:t>Особенности загадки как средства воспитания живости ума, сообразительности</w:t>
            </w:r>
          </w:p>
        </w:tc>
      </w:tr>
      <w:tr w14:paraId="700804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2115337E">
            <w:pPr>
              <w:pStyle w:val="85"/>
              <w:rPr>
                <w:color w:val="auto"/>
                <w:sz w:val="22"/>
                <w:szCs w:val="22"/>
              </w:rPr>
            </w:pPr>
            <w:r>
              <w:rPr>
                <w:color w:val="auto"/>
                <w:sz w:val="22"/>
                <w:szCs w:val="22"/>
              </w:rPr>
              <w:t>Урок 119</w:t>
            </w:r>
          </w:p>
        </w:tc>
        <w:tc>
          <w:tcPr>
            <w:tcW w:w="7937" w:type="dxa"/>
            <w:vAlign w:val="center"/>
          </w:tcPr>
          <w:p w14:paraId="7D698B9D">
            <w:pPr>
              <w:pStyle w:val="85"/>
              <w:jc w:val="both"/>
              <w:rPr>
                <w:color w:val="auto"/>
                <w:sz w:val="22"/>
                <w:szCs w:val="22"/>
              </w:rPr>
            </w:pPr>
            <w:r>
              <w:rPr>
                <w:color w:val="auto"/>
                <w:sz w:val="22"/>
                <w:szCs w:val="22"/>
              </w:rPr>
              <w:t>Понимание пословицы как средства проявления народной мудрости, краткого изречения жизненных правил</w:t>
            </w:r>
          </w:p>
        </w:tc>
      </w:tr>
      <w:tr w14:paraId="3DF41E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42CC90C8">
            <w:pPr>
              <w:pStyle w:val="85"/>
              <w:rPr>
                <w:color w:val="auto"/>
                <w:sz w:val="22"/>
                <w:szCs w:val="22"/>
              </w:rPr>
            </w:pPr>
            <w:r>
              <w:rPr>
                <w:color w:val="auto"/>
                <w:sz w:val="22"/>
                <w:szCs w:val="22"/>
              </w:rPr>
              <w:t>Урок 120</w:t>
            </w:r>
          </w:p>
        </w:tc>
        <w:tc>
          <w:tcPr>
            <w:tcW w:w="7937" w:type="dxa"/>
            <w:vAlign w:val="center"/>
          </w:tcPr>
          <w:p w14:paraId="242C22DA">
            <w:pPr>
              <w:pStyle w:val="85"/>
              <w:jc w:val="both"/>
              <w:rPr>
                <w:color w:val="auto"/>
                <w:sz w:val="22"/>
                <w:szCs w:val="22"/>
              </w:rPr>
            </w:pPr>
            <w:r>
              <w:rPr>
                <w:color w:val="auto"/>
                <w:sz w:val="22"/>
                <w:szCs w:val="22"/>
              </w:rPr>
              <w:t>Характеристика особенностей потешки как игрового народного фольклора</w:t>
            </w:r>
          </w:p>
        </w:tc>
      </w:tr>
      <w:tr w14:paraId="5C5640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34AB2A71">
            <w:pPr>
              <w:pStyle w:val="85"/>
              <w:rPr>
                <w:color w:val="auto"/>
                <w:sz w:val="22"/>
                <w:szCs w:val="22"/>
              </w:rPr>
            </w:pPr>
            <w:r>
              <w:rPr>
                <w:color w:val="auto"/>
                <w:sz w:val="22"/>
                <w:szCs w:val="22"/>
              </w:rPr>
              <w:t>Урок 121</w:t>
            </w:r>
          </w:p>
        </w:tc>
        <w:tc>
          <w:tcPr>
            <w:tcW w:w="7937" w:type="dxa"/>
            <w:vAlign w:val="center"/>
          </w:tcPr>
          <w:p w14:paraId="4D72DBAF">
            <w:pPr>
              <w:pStyle w:val="85"/>
              <w:jc w:val="both"/>
              <w:rPr>
                <w:color w:val="auto"/>
                <w:sz w:val="22"/>
                <w:szCs w:val="22"/>
              </w:rPr>
            </w:pPr>
            <w:r>
              <w:rPr>
                <w:color w:val="auto"/>
                <w:sz w:val="22"/>
                <w:szCs w:val="22"/>
              </w:rPr>
              <w:t>Определение темы произведения: о взаимоотношениях человека и животных</w:t>
            </w:r>
          </w:p>
        </w:tc>
      </w:tr>
      <w:tr w14:paraId="7942EF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28D6A553">
            <w:pPr>
              <w:pStyle w:val="85"/>
              <w:rPr>
                <w:color w:val="auto"/>
                <w:sz w:val="22"/>
                <w:szCs w:val="22"/>
              </w:rPr>
            </w:pPr>
            <w:r>
              <w:rPr>
                <w:color w:val="auto"/>
                <w:sz w:val="22"/>
                <w:szCs w:val="22"/>
              </w:rPr>
              <w:t>Урок 122</w:t>
            </w:r>
          </w:p>
        </w:tc>
        <w:tc>
          <w:tcPr>
            <w:tcW w:w="7937" w:type="dxa"/>
            <w:vAlign w:val="center"/>
          </w:tcPr>
          <w:p w14:paraId="51C05107">
            <w:pPr>
              <w:pStyle w:val="85"/>
              <w:jc w:val="both"/>
              <w:rPr>
                <w:color w:val="auto"/>
                <w:sz w:val="22"/>
                <w:szCs w:val="22"/>
              </w:rPr>
            </w:pPr>
            <w:r>
              <w:rPr>
                <w:color w:val="auto"/>
                <w:sz w:val="22"/>
                <w:szCs w:val="22"/>
              </w:rPr>
              <w:t>Выделение главной мысли (идеи) в произведениях о братьях наших меньших: бережное отношение к животным</w:t>
            </w:r>
          </w:p>
        </w:tc>
      </w:tr>
      <w:tr w14:paraId="3656AC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10C77373">
            <w:pPr>
              <w:pStyle w:val="85"/>
              <w:rPr>
                <w:color w:val="auto"/>
                <w:sz w:val="22"/>
                <w:szCs w:val="22"/>
              </w:rPr>
            </w:pPr>
            <w:r>
              <w:rPr>
                <w:color w:val="auto"/>
                <w:sz w:val="22"/>
                <w:szCs w:val="22"/>
              </w:rPr>
              <w:t>Урок 123</w:t>
            </w:r>
          </w:p>
        </w:tc>
        <w:tc>
          <w:tcPr>
            <w:tcW w:w="7937" w:type="dxa"/>
            <w:vAlign w:val="center"/>
          </w:tcPr>
          <w:p w14:paraId="1AE18CC6">
            <w:pPr>
              <w:pStyle w:val="85"/>
              <w:jc w:val="both"/>
              <w:rPr>
                <w:color w:val="auto"/>
                <w:sz w:val="22"/>
                <w:szCs w:val="22"/>
              </w:rPr>
            </w:pPr>
            <w:r>
              <w:rPr>
                <w:color w:val="auto"/>
                <w:sz w:val="22"/>
                <w:szCs w:val="22"/>
              </w:rPr>
              <w:t>Отражение в произведениях понятий: любовь и забота о животных. На примере произведений М.М. Пришвина и других на выбор</w:t>
            </w:r>
          </w:p>
        </w:tc>
      </w:tr>
      <w:tr w14:paraId="1DC749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7FAC5EE3">
            <w:pPr>
              <w:pStyle w:val="85"/>
              <w:rPr>
                <w:color w:val="auto"/>
                <w:sz w:val="22"/>
                <w:szCs w:val="22"/>
              </w:rPr>
            </w:pPr>
            <w:r>
              <w:rPr>
                <w:color w:val="auto"/>
                <w:sz w:val="22"/>
                <w:szCs w:val="22"/>
              </w:rPr>
              <w:t>Урок 124</w:t>
            </w:r>
          </w:p>
        </w:tc>
        <w:tc>
          <w:tcPr>
            <w:tcW w:w="7937" w:type="dxa"/>
            <w:vAlign w:val="center"/>
          </w:tcPr>
          <w:p w14:paraId="113976B4">
            <w:pPr>
              <w:pStyle w:val="85"/>
              <w:jc w:val="both"/>
              <w:rPr>
                <w:color w:val="auto"/>
                <w:sz w:val="22"/>
                <w:szCs w:val="22"/>
              </w:rPr>
            </w:pPr>
            <w:r>
              <w:rPr>
                <w:color w:val="auto"/>
                <w:sz w:val="22"/>
                <w:szCs w:val="22"/>
              </w:rPr>
              <w:t>Описание героя произведения, его внешности, действий. На примере произведений В.В. Бианки и других на выбор</w:t>
            </w:r>
          </w:p>
        </w:tc>
      </w:tr>
      <w:tr w14:paraId="4B91E8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1E6034DB">
            <w:pPr>
              <w:pStyle w:val="85"/>
              <w:rPr>
                <w:color w:val="auto"/>
                <w:sz w:val="22"/>
                <w:szCs w:val="22"/>
              </w:rPr>
            </w:pPr>
            <w:r>
              <w:rPr>
                <w:color w:val="auto"/>
                <w:sz w:val="22"/>
                <w:szCs w:val="22"/>
              </w:rPr>
              <w:t>Урок 125</w:t>
            </w:r>
          </w:p>
        </w:tc>
        <w:tc>
          <w:tcPr>
            <w:tcW w:w="7937" w:type="dxa"/>
            <w:vAlign w:val="center"/>
          </w:tcPr>
          <w:p w14:paraId="63FB9B77">
            <w:pPr>
              <w:pStyle w:val="85"/>
              <w:jc w:val="both"/>
              <w:rPr>
                <w:color w:val="auto"/>
                <w:sz w:val="22"/>
                <w:szCs w:val="22"/>
              </w:rPr>
            </w:pPr>
            <w:r>
              <w:rPr>
                <w:color w:val="auto"/>
                <w:sz w:val="22"/>
                <w:szCs w:val="22"/>
              </w:rPr>
              <w:t>Сравнение художественных и научно-познавательных текстов: описание героя-животного</w:t>
            </w:r>
          </w:p>
        </w:tc>
      </w:tr>
      <w:tr w14:paraId="12DF14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742D533A">
            <w:pPr>
              <w:pStyle w:val="85"/>
              <w:rPr>
                <w:color w:val="auto"/>
                <w:sz w:val="22"/>
                <w:szCs w:val="22"/>
              </w:rPr>
            </w:pPr>
            <w:r>
              <w:rPr>
                <w:color w:val="auto"/>
                <w:sz w:val="22"/>
                <w:szCs w:val="22"/>
              </w:rPr>
              <w:t>Урок 126</w:t>
            </w:r>
          </w:p>
        </w:tc>
        <w:tc>
          <w:tcPr>
            <w:tcW w:w="7937" w:type="dxa"/>
            <w:vAlign w:val="center"/>
          </w:tcPr>
          <w:p w14:paraId="4AAED625">
            <w:pPr>
              <w:pStyle w:val="85"/>
              <w:jc w:val="both"/>
              <w:rPr>
                <w:color w:val="auto"/>
                <w:sz w:val="22"/>
                <w:szCs w:val="22"/>
              </w:rPr>
            </w:pPr>
            <w:r>
              <w:rPr>
                <w:color w:val="auto"/>
                <w:sz w:val="22"/>
                <w:szCs w:val="22"/>
              </w:rPr>
              <w:t>Работа с текстом произведения: характеристика героя, его внешности, действий. На примере произведения Е.И. Чарушина "Про Томку" и других на выбор</w:t>
            </w:r>
          </w:p>
        </w:tc>
      </w:tr>
      <w:tr w14:paraId="161A5E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68739DF9">
            <w:pPr>
              <w:pStyle w:val="85"/>
              <w:rPr>
                <w:color w:val="auto"/>
                <w:sz w:val="22"/>
                <w:szCs w:val="22"/>
              </w:rPr>
            </w:pPr>
            <w:r>
              <w:rPr>
                <w:color w:val="auto"/>
                <w:sz w:val="22"/>
                <w:szCs w:val="22"/>
              </w:rPr>
              <w:t>Урок 127</w:t>
            </w:r>
          </w:p>
        </w:tc>
        <w:tc>
          <w:tcPr>
            <w:tcW w:w="7937" w:type="dxa"/>
            <w:vAlign w:val="center"/>
          </w:tcPr>
          <w:p w14:paraId="1AA11AEF">
            <w:pPr>
              <w:pStyle w:val="85"/>
              <w:jc w:val="both"/>
              <w:rPr>
                <w:color w:val="auto"/>
                <w:sz w:val="22"/>
                <w:szCs w:val="22"/>
              </w:rPr>
            </w:pPr>
            <w:r>
              <w:rPr>
                <w:color w:val="auto"/>
                <w:sz w:val="22"/>
                <w:szCs w:val="22"/>
              </w:rPr>
              <w:t>Составление выставки книг "Произведения о животных": художественный и научно-познавательные</w:t>
            </w:r>
          </w:p>
        </w:tc>
      </w:tr>
      <w:tr w14:paraId="56565A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45E415F9">
            <w:pPr>
              <w:pStyle w:val="85"/>
              <w:rPr>
                <w:color w:val="auto"/>
                <w:sz w:val="22"/>
                <w:szCs w:val="22"/>
              </w:rPr>
            </w:pPr>
            <w:r>
              <w:rPr>
                <w:color w:val="auto"/>
                <w:sz w:val="22"/>
                <w:szCs w:val="22"/>
              </w:rPr>
              <w:t>Урок 128</w:t>
            </w:r>
          </w:p>
        </w:tc>
        <w:tc>
          <w:tcPr>
            <w:tcW w:w="7937" w:type="dxa"/>
            <w:vAlign w:val="center"/>
          </w:tcPr>
          <w:p w14:paraId="34A64EA7">
            <w:pPr>
              <w:pStyle w:val="85"/>
              <w:jc w:val="both"/>
              <w:rPr>
                <w:color w:val="auto"/>
                <w:sz w:val="22"/>
                <w:szCs w:val="22"/>
              </w:rPr>
            </w:pPr>
            <w:r>
              <w:rPr>
                <w:color w:val="auto"/>
                <w:sz w:val="22"/>
                <w:szCs w:val="22"/>
              </w:rPr>
              <w:t>Восприятие произведений о чудесах и фантазии: способность автора замечать необычное в окружающем мире произведения авторов на выбор</w:t>
            </w:r>
          </w:p>
        </w:tc>
      </w:tr>
      <w:tr w14:paraId="601CE6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3932AE71">
            <w:pPr>
              <w:pStyle w:val="85"/>
              <w:rPr>
                <w:color w:val="auto"/>
                <w:sz w:val="22"/>
                <w:szCs w:val="22"/>
              </w:rPr>
            </w:pPr>
            <w:r>
              <w:rPr>
                <w:color w:val="auto"/>
                <w:sz w:val="22"/>
                <w:szCs w:val="22"/>
              </w:rPr>
              <w:t>Урок 129</w:t>
            </w:r>
          </w:p>
        </w:tc>
        <w:tc>
          <w:tcPr>
            <w:tcW w:w="7937" w:type="dxa"/>
            <w:vAlign w:val="center"/>
          </w:tcPr>
          <w:p w14:paraId="545B8DE7">
            <w:pPr>
              <w:pStyle w:val="85"/>
              <w:jc w:val="both"/>
              <w:rPr>
                <w:color w:val="auto"/>
                <w:sz w:val="22"/>
                <w:szCs w:val="22"/>
              </w:rPr>
            </w:pPr>
            <w:r>
              <w:rPr>
                <w:color w:val="auto"/>
                <w:sz w:val="22"/>
                <w:szCs w:val="22"/>
              </w:rPr>
              <w:t>Открытие чудесного в обыкновенных явлениях. На примере стихотворений В.В. Лунина "Я видел чудо", Р.С. Сефа "Чудо" и других на выбор</w:t>
            </w:r>
          </w:p>
        </w:tc>
      </w:tr>
      <w:tr w14:paraId="1DE283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1FD3E00C">
            <w:pPr>
              <w:pStyle w:val="85"/>
              <w:rPr>
                <w:color w:val="auto"/>
                <w:sz w:val="22"/>
                <w:szCs w:val="22"/>
              </w:rPr>
            </w:pPr>
            <w:r>
              <w:rPr>
                <w:color w:val="auto"/>
                <w:sz w:val="22"/>
                <w:szCs w:val="22"/>
              </w:rPr>
              <w:t>Урок 130</w:t>
            </w:r>
          </w:p>
        </w:tc>
        <w:tc>
          <w:tcPr>
            <w:tcW w:w="7937" w:type="dxa"/>
            <w:vAlign w:val="center"/>
          </w:tcPr>
          <w:p w14:paraId="2843D6EB">
            <w:pPr>
              <w:pStyle w:val="85"/>
              <w:jc w:val="both"/>
              <w:rPr>
                <w:color w:val="auto"/>
                <w:sz w:val="22"/>
                <w:szCs w:val="22"/>
              </w:rPr>
            </w:pPr>
            <w:r>
              <w:rPr>
                <w:color w:val="auto"/>
                <w:sz w:val="22"/>
                <w:szCs w:val="22"/>
              </w:rPr>
              <w:t>Мир фантазии и чудес в произведениях Б.В. Заходера "Моя Вообразилия", Ю.П. Мориц "Сто фантазий" и других на выбор</w:t>
            </w:r>
          </w:p>
        </w:tc>
      </w:tr>
      <w:tr w14:paraId="029AE7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7E1873DD">
            <w:pPr>
              <w:pStyle w:val="85"/>
              <w:rPr>
                <w:color w:val="auto"/>
                <w:sz w:val="22"/>
                <w:szCs w:val="22"/>
              </w:rPr>
            </w:pPr>
            <w:r>
              <w:rPr>
                <w:color w:val="auto"/>
                <w:sz w:val="22"/>
                <w:szCs w:val="22"/>
              </w:rPr>
              <w:t>Урок 131</w:t>
            </w:r>
          </w:p>
        </w:tc>
        <w:tc>
          <w:tcPr>
            <w:tcW w:w="7937" w:type="dxa"/>
            <w:vAlign w:val="center"/>
          </w:tcPr>
          <w:p w14:paraId="7976A342">
            <w:pPr>
              <w:pStyle w:val="85"/>
              <w:jc w:val="both"/>
              <w:rPr>
                <w:color w:val="auto"/>
                <w:sz w:val="22"/>
                <w:szCs w:val="22"/>
              </w:rPr>
            </w:pPr>
            <w:r>
              <w:rPr>
                <w:color w:val="auto"/>
                <w:sz w:val="22"/>
                <w:szCs w:val="22"/>
              </w:rPr>
              <w:t>Сравнение фольклорных и авторских произведений о чудесах и фантазии: сходство и различие</w:t>
            </w:r>
          </w:p>
        </w:tc>
      </w:tr>
      <w:tr w14:paraId="44CC6B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5592C6F5">
            <w:pPr>
              <w:pStyle w:val="85"/>
              <w:rPr>
                <w:color w:val="auto"/>
                <w:sz w:val="22"/>
                <w:szCs w:val="22"/>
              </w:rPr>
            </w:pPr>
            <w:r>
              <w:rPr>
                <w:color w:val="auto"/>
                <w:sz w:val="22"/>
                <w:szCs w:val="22"/>
              </w:rPr>
              <w:t>Урок 132</w:t>
            </w:r>
          </w:p>
        </w:tc>
        <w:tc>
          <w:tcPr>
            <w:tcW w:w="7937" w:type="dxa"/>
            <w:vAlign w:val="center"/>
          </w:tcPr>
          <w:p w14:paraId="2CD2C4A2">
            <w:pPr>
              <w:pStyle w:val="85"/>
              <w:jc w:val="both"/>
              <w:rPr>
                <w:color w:val="auto"/>
                <w:sz w:val="22"/>
                <w:szCs w:val="22"/>
              </w:rPr>
            </w:pPr>
            <w:r>
              <w:rPr>
                <w:color w:val="auto"/>
                <w:sz w:val="22"/>
                <w:szCs w:val="22"/>
              </w:rPr>
              <w:t>Ориентировка в книге: обложка, иллюстрация, оглавление. Выбор книг в библиотеке</w:t>
            </w:r>
          </w:p>
        </w:tc>
      </w:tr>
      <w:tr w14:paraId="361918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9071" w:type="dxa"/>
            <w:gridSpan w:val="2"/>
            <w:vAlign w:val="center"/>
          </w:tcPr>
          <w:p w14:paraId="5AFEFF87">
            <w:pPr>
              <w:pStyle w:val="85"/>
              <w:jc w:val="both"/>
              <w:rPr>
                <w:color w:val="auto"/>
                <w:sz w:val="22"/>
                <w:szCs w:val="22"/>
              </w:rPr>
            </w:pPr>
            <w:r>
              <w:rPr>
                <w:color w:val="auto"/>
                <w:sz w:val="22"/>
                <w:szCs w:val="22"/>
              </w:rPr>
              <w:t>ОБЩЕЕ КОЛИЧЕСТВО УРОКОВ ПО ПРОГРАММЕ: 132</w:t>
            </w:r>
          </w:p>
        </w:tc>
      </w:tr>
    </w:tbl>
    <w:p w14:paraId="13F37852">
      <w:pPr>
        <w:pStyle w:val="85"/>
        <w:jc w:val="both"/>
        <w:rPr>
          <w:color w:val="auto"/>
          <w:sz w:val="22"/>
          <w:szCs w:val="22"/>
        </w:rPr>
      </w:pPr>
    </w:p>
    <w:p w14:paraId="23417E4A">
      <w:pPr>
        <w:pStyle w:val="85"/>
        <w:jc w:val="right"/>
        <w:rPr>
          <w:color w:val="auto"/>
          <w:sz w:val="22"/>
          <w:szCs w:val="22"/>
        </w:rPr>
      </w:pPr>
      <w:r>
        <w:rPr>
          <w:color w:val="auto"/>
          <w:sz w:val="22"/>
          <w:szCs w:val="22"/>
        </w:rPr>
        <w:t>Таблица 4.5</w:t>
      </w:r>
    </w:p>
    <w:p w14:paraId="6C971DF9">
      <w:pPr>
        <w:pStyle w:val="85"/>
        <w:jc w:val="both"/>
        <w:rPr>
          <w:color w:val="auto"/>
          <w:sz w:val="22"/>
          <w:szCs w:val="22"/>
        </w:rPr>
      </w:pPr>
    </w:p>
    <w:p w14:paraId="57CB2B88">
      <w:pPr>
        <w:pStyle w:val="85"/>
        <w:jc w:val="both"/>
        <w:rPr>
          <w:color w:val="auto"/>
          <w:sz w:val="22"/>
          <w:szCs w:val="22"/>
        </w:rPr>
      </w:pPr>
      <w:r>
        <w:rPr>
          <w:color w:val="auto"/>
          <w:sz w:val="22"/>
          <w:szCs w:val="22"/>
        </w:rPr>
        <w:t>2 класс</w:t>
      </w:r>
    </w:p>
    <w:p w14:paraId="2B8C2937">
      <w:pPr>
        <w:pStyle w:val="85"/>
        <w:jc w:val="both"/>
        <w:rPr>
          <w:color w:val="auto"/>
          <w:sz w:val="22"/>
          <w:szCs w:val="22"/>
        </w:rPr>
      </w:pPr>
    </w:p>
    <w:tbl>
      <w:tblPr>
        <w:tblStyle w:val="1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02" w:type="dxa"/>
          <w:left w:w="62" w:type="dxa"/>
          <w:bottom w:w="102" w:type="dxa"/>
          <w:right w:w="62" w:type="dxa"/>
        </w:tblCellMar>
      </w:tblPr>
      <w:tblGrid>
        <w:gridCol w:w="1134"/>
        <w:gridCol w:w="7937"/>
      </w:tblGrid>
      <w:tr w14:paraId="0AA057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tcPr>
          <w:p w14:paraId="2679F3E4">
            <w:pPr>
              <w:pStyle w:val="85"/>
              <w:jc w:val="center"/>
              <w:rPr>
                <w:color w:val="auto"/>
                <w:sz w:val="22"/>
                <w:szCs w:val="22"/>
              </w:rPr>
            </w:pPr>
            <w:r>
              <w:rPr>
                <w:color w:val="auto"/>
                <w:sz w:val="22"/>
                <w:szCs w:val="22"/>
              </w:rPr>
              <w:t>N урока</w:t>
            </w:r>
          </w:p>
        </w:tc>
        <w:tc>
          <w:tcPr>
            <w:tcW w:w="7937" w:type="dxa"/>
          </w:tcPr>
          <w:p w14:paraId="3D5FD212">
            <w:pPr>
              <w:pStyle w:val="85"/>
              <w:jc w:val="center"/>
              <w:rPr>
                <w:color w:val="auto"/>
                <w:sz w:val="22"/>
                <w:szCs w:val="22"/>
              </w:rPr>
            </w:pPr>
            <w:r>
              <w:rPr>
                <w:color w:val="auto"/>
                <w:sz w:val="22"/>
                <w:szCs w:val="22"/>
              </w:rPr>
              <w:t>Тема урока</w:t>
            </w:r>
          </w:p>
        </w:tc>
      </w:tr>
      <w:tr w14:paraId="5145BF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04B9A90F">
            <w:pPr>
              <w:pStyle w:val="85"/>
              <w:jc w:val="center"/>
              <w:rPr>
                <w:color w:val="auto"/>
                <w:sz w:val="22"/>
                <w:szCs w:val="22"/>
              </w:rPr>
            </w:pPr>
            <w:r>
              <w:rPr>
                <w:color w:val="auto"/>
                <w:sz w:val="22"/>
                <w:szCs w:val="22"/>
              </w:rPr>
              <w:t>Урок 1</w:t>
            </w:r>
          </w:p>
        </w:tc>
        <w:tc>
          <w:tcPr>
            <w:tcW w:w="7937" w:type="dxa"/>
            <w:vAlign w:val="center"/>
          </w:tcPr>
          <w:p w14:paraId="58F128BB">
            <w:pPr>
              <w:pStyle w:val="85"/>
              <w:jc w:val="both"/>
              <w:rPr>
                <w:color w:val="auto"/>
                <w:sz w:val="22"/>
                <w:szCs w:val="22"/>
              </w:rPr>
            </w:pPr>
            <w:r>
              <w:rPr>
                <w:color w:val="auto"/>
                <w:sz w:val="22"/>
                <w:szCs w:val="22"/>
              </w:rPr>
              <w:t>Патриотическое звучание произведения Ф.П. Савинова "Родина" и другие по выбору</w:t>
            </w:r>
          </w:p>
        </w:tc>
      </w:tr>
      <w:tr w14:paraId="08DB89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6140CFDF">
            <w:pPr>
              <w:pStyle w:val="85"/>
              <w:jc w:val="center"/>
              <w:rPr>
                <w:color w:val="auto"/>
                <w:sz w:val="22"/>
                <w:szCs w:val="22"/>
              </w:rPr>
            </w:pPr>
            <w:r>
              <w:rPr>
                <w:color w:val="auto"/>
                <w:sz w:val="22"/>
                <w:szCs w:val="22"/>
              </w:rPr>
              <w:t>Урок 2</w:t>
            </w:r>
          </w:p>
        </w:tc>
        <w:tc>
          <w:tcPr>
            <w:tcW w:w="7937" w:type="dxa"/>
            <w:vAlign w:val="center"/>
          </w:tcPr>
          <w:p w14:paraId="73D0DBE8">
            <w:pPr>
              <w:pStyle w:val="85"/>
              <w:jc w:val="both"/>
              <w:rPr>
                <w:color w:val="auto"/>
                <w:sz w:val="22"/>
                <w:szCs w:val="22"/>
              </w:rPr>
            </w:pPr>
            <w:r>
              <w:rPr>
                <w:color w:val="auto"/>
                <w:sz w:val="22"/>
                <w:szCs w:val="22"/>
              </w:rPr>
              <w:t>Отражение темы Родина в произведении И.С. Никитина "Русь"</w:t>
            </w:r>
          </w:p>
        </w:tc>
      </w:tr>
      <w:tr w14:paraId="4785E7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098B952C">
            <w:pPr>
              <w:pStyle w:val="85"/>
              <w:jc w:val="center"/>
              <w:rPr>
                <w:color w:val="auto"/>
                <w:sz w:val="22"/>
                <w:szCs w:val="22"/>
              </w:rPr>
            </w:pPr>
            <w:r>
              <w:rPr>
                <w:color w:val="auto"/>
                <w:sz w:val="22"/>
                <w:szCs w:val="22"/>
              </w:rPr>
              <w:t>Урок 3</w:t>
            </w:r>
          </w:p>
        </w:tc>
        <w:tc>
          <w:tcPr>
            <w:tcW w:w="7937" w:type="dxa"/>
            <w:vAlign w:val="center"/>
          </w:tcPr>
          <w:p w14:paraId="44A6BCF4">
            <w:pPr>
              <w:pStyle w:val="85"/>
              <w:jc w:val="both"/>
              <w:rPr>
                <w:color w:val="auto"/>
                <w:sz w:val="22"/>
                <w:szCs w:val="22"/>
              </w:rPr>
            </w:pPr>
            <w:r>
              <w:rPr>
                <w:color w:val="auto"/>
                <w:sz w:val="22"/>
                <w:szCs w:val="22"/>
              </w:rPr>
              <w:t>Отражение нравственных ценностей в произведениях о Родине: любовь к родному краю. На примере произведения С.Т. Романовского "Русь"</w:t>
            </w:r>
          </w:p>
        </w:tc>
      </w:tr>
      <w:tr w14:paraId="1885E0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55E96372">
            <w:pPr>
              <w:pStyle w:val="85"/>
              <w:jc w:val="center"/>
              <w:rPr>
                <w:color w:val="auto"/>
                <w:sz w:val="22"/>
                <w:szCs w:val="22"/>
              </w:rPr>
            </w:pPr>
            <w:r>
              <w:rPr>
                <w:color w:val="auto"/>
                <w:sz w:val="22"/>
                <w:szCs w:val="22"/>
              </w:rPr>
              <w:t>Урок 4</w:t>
            </w:r>
          </w:p>
        </w:tc>
        <w:tc>
          <w:tcPr>
            <w:tcW w:w="7937" w:type="dxa"/>
            <w:vAlign w:val="center"/>
          </w:tcPr>
          <w:p w14:paraId="235FD49D">
            <w:pPr>
              <w:pStyle w:val="85"/>
              <w:jc w:val="both"/>
              <w:rPr>
                <w:color w:val="auto"/>
                <w:sz w:val="22"/>
                <w:szCs w:val="22"/>
              </w:rPr>
            </w:pPr>
            <w:r>
              <w:rPr>
                <w:color w:val="auto"/>
                <w:sz w:val="22"/>
                <w:szCs w:val="22"/>
              </w:rPr>
              <w:t>Любовь к природе - тема произведений о Родине. На примере произведения К.Г. Паустовского "Мещерская сторона"</w:t>
            </w:r>
          </w:p>
        </w:tc>
      </w:tr>
      <w:tr w14:paraId="57F7B1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2679550B">
            <w:pPr>
              <w:pStyle w:val="85"/>
              <w:jc w:val="center"/>
              <w:rPr>
                <w:color w:val="auto"/>
                <w:sz w:val="22"/>
                <w:szCs w:val="22"/>
              </w:rPr>
            </w:pPr>
            <w:r>
              <w:rPr>
                <w:color w:val="auto"/>
                <w:sz w:val="22"/>
                <w:szCs w:val="22"/>
              </w:rPr>
              <w:t>Урок 5</w:t>
            </w:r>
          </w:p>
        </w:tc>
        <w:tc>
          <w:tcPr>
            <w:tcW w:w="7937" w:type="dxa"/>
            <w:vAlign w:val="center"/>
          </w:tcPr>
          <w:p w14:paraId="1437F02E">
            <w:pPr>
              <w:pStyle w:val="85"/>
              <w:jc w:val="both"/>
              <w:rPr>
                <w:color w:val="auto"/>
                <w:sz w:val="22"/>
                <w:szCs w:val="22"/>
              </w:rPr>
            </w:pPr>
            <w:r>
              <w:rPr>
                <w:color w:val="auto"/>
                <w:sz w:val="22"/>
                <w:szCs w:val="22"/>
              </w:rPr>
              <w:t>Анализ заголовка стихотворения А.А. Прокофьева "Родина" и соотнесение его с главной мыслью произведения</w:t>
            </w:r>
          </w:p>
        </w:tc>
      </w:tr>
      <w:tr w14:paraId="542C55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0B3A2BFF">
            <w:pPr>
              <w:pStyle w:val="85"/>
              <w:jc w:val="center"/>
              <w:rPr>
                <w:color w:val="auto"/>
                <w:sz w:val="22"/>
                <w:szCs w:val="22"/>
              </w:rPr>
            </w:pPr>
            <w:r>
              <w:rPr>
                <w:color w:val="auto"/>
                <w:sz w:val="22"/>
                <w:szCs w:val="22"/>
              </w:rPr>
              <w:t>Урок 6</w:t>
            </w:r>
          </w:p>
        </w:tc>
        <w:tc>
          <w:tcPr>
            <w:tcW w:w="7937" w:type="dxa"/>
            <w:vAlign w:val="center"/>
          </w:tcPr>
          <w:p w14:paraId="3A44C9E6">
            <w:pPr>
              <w:pStyle w:val="85"/>
              <w:jc w:val="both"/>
              <w:rPr>
                <w:color w:val="auto"/>
                <w:sz w:val="22"/>
                <w:szCs w:val="22"/>
              </w:rPr>
            </w:pPr>
            <w:r>
              <w:rPr>
                <w:color w:val="auto"/>
                <w:sz w:val="22"/>
                <w:szCs w:val="22"/>
              </w:rPr>
              <w:t>Отражение темы Родины в изобразительном искусстве</w:t>
            </w:r>
          </w:p>
        </w:tc>
      </w:tr>
      <w:tr w14:paraId="63C11B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1B2A02A8">
            <w:pPr>
              <w:pStyle w:val="85"/>
              <w:jc w:val="center"/>
              <w:rPr>
                <w:color w:val="auto"/>
                <w:sz w:val="22"/>
                <w:szCs w:val="22"/>
              </w:rPr>
            </w:pPr>
            <w:r>
              <w:rPr>
                <w:color w:val="auto"/>
                <w:sz w:val="22"/>
                <w:szCs w:val="22"/>
              </w:rPr>
              <w:t>Урок 7</w:t>
            </w:r>
          </w:p>
        </w:tc>
        <w:tc>
          <w:tcPr>
            <w:tcW w:w="7937" w:type="dxa"/>
            <w:vAlign w:val="center"/>
          </w:tcPr>
          <w:p w14:paraId="6F102D8D">
            <w:pPr>
              <w:pStyle w:val="85"/>
              <w:jc w:val="both"/>
              <w:rPr>
                <w:color w:val="auto"/>
                <w:sz w:val="22"/>
                <w:szCs w:val="22"/>
              </w:rPr>
            </w:pPr>
            <w:r>
              <w:rPr>
                <w:color w:val="auto"/>
                <w:sz w:val="22"/>
                <w:szCs w:val="22"/>
              </w:rPr>
              <w:t>Характеристика особенностей народных песен</w:t>
            </w:r>
          </w:p>
        </w:tc>
      </w:tr>
      <w:tr w14:paraId="1D3997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57BE01FF">
            <w:pPr>
              <w:pStyle w:val="85"/>
              <w:jc w:val="center"/>
              <w:rPr>
                <w:color w:val="auto"/>
                <w:sz w:val="22"/>
                <w:szCs w:val="22"/>
              </w:rPr>
            </w:pPr>
            <w:r>
              <w:rPr>
                <w:color w:val="auto"/>
                <w:sz w:val="22"/>
                <w:szCs w:val="22"/>
              </w:rPr>
              <w:t>Урок 8</w:t>
            </w:r>
          </w:p>
        </w:tc>
        <w:tc>
          <w:tcPr>
            <w:tcW w:w="7937" w:type="dxa"/>
            <w:vAlign w:val="center"/>
          </w:tcPr>
          <w:p w14:paraId="1B6FDAC3">
            <w:pPr>
              <w:pStyle w:val="85"/>
              <w:jc w:val="both"/>
              <w:rPr>
                <w:color w:val="auto"/>
                <w:sz w:val="22"/>
                <w:szCs w:val="22"/>
              </w:rPr>
            </w:pPr>
            <w:r>
              <w:rPr>
                <w:color w:val="auto"/>
                <w:sz w:val="22"/>
                <w:szCs w:val="22"/>
              </w:rPr>
              <w:t>Загадка как жанр фольклора, тематические группы загадок</w:t>
            </w:r>
          </w:p>
        </w:tc>
      </w:tr>
      <w:tr w14:paraId="70B0DA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0C6A2617">
            <w:pPr>
              <w:pStyle w:val="85"/>
              <w:jc w:val="center"/>
              <w:rPr>
                <w:color w:val="auto"/>
                <w:sz w:val="22"/>
                <w:szCs w:val="22"/>
              </w:rPr>
            </w:pPr>
            <w:r>
              <w:rPr>
                <w:color w:val="auto"/>
                <w:sz w:val="22"/>
                <w:szCs w:val="22"/>
              </w:rPr>
              <w:t>Урок 9</w:t>
            </w:r>
          </w:p>
        </w:tc>
        <w:tc>
          <w:tcPr>
            <w:tcW w:w="7937" w:type="dxa"/>
            <w:vAlign w:val="center"/>
          </w:tcPr>
          <w:p w14:paraId="4042CBB3">
            <w:pPr>
              <w:pStyle w:val="85"/>
              <w:jc w:val="both"/>
              <w:rPr>
                <w:color w:val="auto"/>
                <w:sz w:val="22"/>
                <w:szCs w:val="22"/>
              </w:rPr>
            </w:pPr>
            <w:r>
              <w:rPr>
                <w:color w:val="auto"/>
                <w:sz w:val="22"/>
                <w:szCs w:val="22"/>
              </w:rPr>
              <w:t>Анализ особенностей скороговорок, их роль в речи</w:t>
            </w:r>
          </w:p>
        </w:tc>
      </w:tr>
      <w:tr w14:paraId="79EC79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6A785E94">
            <w:pPr>
              <w:pStyle w:val="85"/>
              <w:rPr>
                <w:color w:val="auto"/>
                <w:sz w:val="22"/>
                <w:szCs w:val="22"/>
              </w:rPr>
            </w:pPr>
            <w:r>
              <w:rPr>
                <w:color w:val="auto"/>
                <w:sz w:val="22"/>
                <w:szCs w:val="22"/>
              </w:rPr>
              <w:t>Урок 10</w:t>
            </w:r>
          </w:p>
        </w:tc>
        <w:tc>
          <w:tcPr>
            <w:tcW w:w="7937" w:type="dxa"/>
            <w:vAlign w:val="center"/>
          </w:tcPr>
          <w:p w14:paraId="655CE392">
            <w:pPr>
              <w:pStyle w:val="85"/>
              <w:jc w:val="both"/>
              <w:rPr>
                <w:color w:val="auto"/>
                <w:sz w:val="22"/>
                <w:szCs w:val="22"/>
              </w:rPr>
            </w:pPr>
            <w:r>
              <w:rPr>
                <w:color w:val="auto"/>
                <w:sz w:val="22"/>
                <w:szCs w:val="22"/>
              </w:rPr>
              <w:t>Ритм и счет - основа построения считалок</w:t>
            </w:r>
          </w:p>
        </w:tc>
      </w:tr>
      <w:tr w14:paraId="3305D5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3ACA8AAB">
            <w:pPr>
              <w:pStyle w:val="85"/>
              <w:rPr>
                <w:color w:val="auto"/>
                <w:sz w:val="22"/>
                <w:szCs w:val="22"/>
              </w:rPr>
            </w:pPr>
            <w:r>
              <w:rPr>
                <w:color w:val="auto"/>
                <w:sz w:val="22"/>
                <w:szCs w:val="22"/>
              </w:rPr>
              <w:t>Урок 11</w:t>
            </w:r>
          </w:p>
        </w:tc>
        <w:tc>
          <w:tcPr>
            <w:tcW w:w="7937" w:type="dxa"/>
            <w:vAlign w:val="center"/>
          </w:tcPr>
          <w:p w14:paraId="6C880E4C">
            <w:pPr>
              <w:pStyle w:val="85"/>
              <w:jc w:val="both"/>
              <w:rPr>
                <w:color w:val="auto"/>
                <w:sz w:val="22"/>
                <w:szCs w:val="22"/>
              </w:rPr>
            </w:pPr>
            <w:r>
              <w:rPr>
                <w:color w:val="auto"/>
                <w:sz w:val="22"/>
                <w:szCs w:val="22"/>
              </w:rPr>
              <w:t>Шуточные фольклорные произведения: игра со словом. Небылица как "перевертыш событий"</w:t>
            </w:r>
          </w:p>
        </w:tc>
      </w:tr>
      <w:tr w14:paraId="17A578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1ADBCE1C">
            <w:pPr>
              <w:pStyle w:val="85"/>
              <w:rPr>
                <w:color w:val="auto"/>
                <w:sz w:val="22"/>
                <w:szCs w:val="22"/>
              </w:rPr>
            </w:pPr>
            <w:r>
              <w:rPr>
                <w:color w:val="auto"/>
                <w:sz w:val="22"/>
                <w:szCs w:val="22"/>
              </w:rPr>
              <w:t>Урок 12</w:t>
            </w:r>
          </w:p>
        </w:tc>
        <w:tc>
          <w:tcPr>
            <w:tcW w:w="7937" w:type="dxa"/>
            <w:vAlign w:val="center"/>
          </w:tcPr>
          <w:p w14:paraId="5904CDCA">
            <w:pPr>
              <w:pStyle w:val="85"/>
              <w:jc w:val="both"/>
              <w:rPr>
                <w:color w:val="auto"/>
                <w:sz w:val="22"/>
                <w:szCs w:val="22"/>
              </w:rPr>
            </w:pPr>
            <w:r>
              <w:rPr>
                <w:color w:val="auto"/>
                <w:sz w:val="22"/>
                <w:szCs w:val="22"/>
              </w:rPr>
              <w:t>Пословицы как жанр фольклора</w:t>
            </w:r>
          </w:p>
        </w:tc>
      </w:tr>
      <w:tr w14:paraId="1D3CE6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793EFA3F">
            <w:pPr>
              <w:pStyle w:val="85"/>
              <w:rPr>
                <w:color w:val="auto"/>
                <w:sz w:val="22"/>
                <w:szCs w:val="22"/>
              </w:rPr>
            </w:pPr>
            <w:r>
              <w:rPr>
                <w:color w:val="auto"/>
                <w:sz w:val="22"/>
                <w:szCs w:val="22"/>
              </w:rPr>
              <w:t>Урок 13</w:t>
            </w:r>
          </w:p>
        </w:tc>
        <w:tc>
          <w:tcPr>
            <w:tcW w:w="7937" w:type="dxa"/>
            <w:vAlign w:val="center"/>
          </w:tcPr>
          <w:p w14:paraId="289A9BD8">
            <w:pPr>
              <w:pStyle w:val="85"/>
              <w:jc w:val="both"/>
              <w:rPr>
                <w:color w:val="auto"/>
                <w:sz w:val="22"/>
                <w:szCs w:val="22"/>
              </w:rPr>
            </w:pPr>
            <w:r>
              <w:rPr>
                <w:color w:val="auto"/>
                <w:sz w:val="22"/>
                <w:szCs w:val="22"/>
              </w:rPr>
              <w:t>Произведения малых жанров фольклора: потешки, считалки, пословицы, скороговорки, небылицы, загадки</w:t>
            </w:r>
          </w:p>
        </w:tc>
      </w:tr>
      <w:tr w14:paraId="409F76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2F3616ED">
            <w:pPr>
              <w:pStyle w:val="85"/>
              <w:rPr>
                <w:color w:val="auto"/>
                <w:sz w:val="22"/>
                <w:szCs w:val="22"/>
              </w:rPr>
            </w:pPr>
            <w:r>
              <w:rPr>
                <w:color w:val="auto"/>
                <w:sz w:val="22"/>
                <w:szCs w:val="22"/>
              </w:rPr>
              <w:t>Урок 14</w:t>
            </w:r>
          </w:p>
        </w:tc>
        <w:tc>
          <w:tcPr>
            <w:tcW w:w="7937" w:type="dxa"/>
            <w:vAlign w:val="center"/>
          </w:tcPr>
          <w:p w14:paraId="5436CFB8">
            <w:pPr>
              <w:pStyle w:val="85"/>
              <w:jc w:val="both"/>
              <w:rPr>
                <w:color w:val="auto"/>
                <w:sz w:val="22"/>
                <w:szCs w:val="22"/>
              </w:rPr>
            </w:pPr>
            <w:r>
              <w:rPr>
                <w:color w:val="auto"/>
                <w:sz w:val="22"/>
                <w:szCs w:val="22"/>
              </w:rPr>
              <w:t>Общее представление о волшебной сказке: присказки, повторы. Русская народная сказка "Снегурочка"</w:t>
            </w:r>
          </w:p>
        </w:tc>
      </w:tr>
      <w:tr w14:paraId="2A8E6D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1357C207">
            <w:pPr>
              <w:pStyle w:val="85"/>
              <w:rPr>
                <w:color w:val="auto"/>
                <w:sz w:val="22"/>
                <w:szCs w:val="22"/>
              </w:rPr>
            </w:pPr>
            <w:r>
              <w:rPr>
                <w:color w:val="auto"/>
                <w:sz w:val="22"/>
                <w:szCs w:val="22"/>
              </w:rPr>
              <w:t>Урок 15</w:t>
            </w:r>
          </w:p>
        </w:tc>
        <w:tc>
          <w:tcPr>
            <w:tcW w:w="7937" w:type="dxa"/>
            <w:vAlign w:val="center"/>
          </w:tcPr>
          <w:p w14:paraId="7CDAC00E">
            <w:pPr>
              <w:pStyle w:val="85"/>
              <w:jc w:val="both"/>
              <w:rPr>
                <w:color w:val="auto"/>
                <w:sz w:val="22"/>
                <w:szCs w:val="22"/>
              </w:rPr>
            </w:pPr>
            <w:r>
              <w:rPr>
                <w:color w:val="auto"/>
                <w:sz w:val="22"/>
                <w:szCs w:val="22"/>
              </w:rPr>
              <w:t>Характеристика героя волшебной сказки, постоянные эпитеты</w:t>
            </w:r>
          </w:p>
        </w:tc>
      </w:tr>
      <w:tr w14:paraId="18D62B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134" w:type="dxa"/>
            <w:vAlign w:val="center"/>
          </w:tcPr>
          <w:p w14:paraId="5D8D4CE3">
            <w:pPr>
              <w:pStyle w:val="85"/>
              <w:rPr>
                <w:color w:val="auto"/>
                <w:sz w:val="22"/>
                <w:szCs w:val="22"/>
              </w:rPr>
            </w:pPr>
            <w:r>
              <w:rPr>
                <w:color w:val="auto"/>
                <w:sz w:val="22"/>
                <w:szCs w:val="22"/>
              </w:rPr>
              <w:t>Урок 16</w:t>
            </w:r>
          </w:p>
        </w:tc>
        <w:tc>
          <w:tcPr>
            <w:tcW w:w="7937" w:type="dxa"/>
            <w:vAlign w:val="center"/>
          </w:tcPr>
          <w:p w14:paraId="76463FB9">
            <w:pPr>
              <w:pStyle w:val="85"/>
              <w:jc w:val="both"/>
              <w:rPr>
                <w:color w:val="auto"/>
                <w:sz w:val="22"/>
                <w:szCs w:val="22"/>
              </w:rPr>
            </w:pPr>
            <w:r>
              <w:rPr>
                <w:color w:val="auto"/>
                <w:sz w:val="22"/>
                <w:szCs w:val="22"/>
              </w:rPr>
              <w:t>Особенности сказок о животных. На примере русской народной сказки "Петушок и бобовое зернышко"</w:t>
            </w:r>
          </w:p>
        </w:tc>
      </w:tr>
      <w:tr w14:paraId="36D3EB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58E0E4CF">
            <w:pPr>
              <w:pStyle w:val="85"/>
              <w:rPr>
                <w:color w:val="auto"/>
                <w:sz w:val="22"/>
                <w:szCs w:val="22"/>
              </w:rPr>
            </w:pPr>
            <w:r>
              <w:rPr>
                <w:color w:val="auto"/>
                <w:sz w:val="22"/>
                <w:szCs w:val="22"/>
              </w:rPr>
              <w:t>Урок 17</w:t>
            </w:r>
          </w:p>
        </w:tc>
        <w:tc>
          <w:tcPr>
            <w:tcW w:w="7937" w:type="dxa"/>
            <w:vAlign w:val="center"/>
          </w:tcPr>
          <w:p w14:paraId="7D18B35A">
            <w:pPr>
              <w:pStyle w:val="85"/>
              <w:jc w:val="both"/>
              <w:rPr>
                <w:color w:val="auto"/>
                <w:sz w:val="22"/>
                <w:szCs w:val="22"/>
              </w:rPr>
            </w:pPr>
            <w:r>
              <w:rPr>
                <w:color w:val="auto"/>
                <w:sz w:val="22"/>
                <w:szCs w:val="22"/>
              </w:rPr>
              <w:t>Бытовые сказки: особенности построения и язык. Диалоги героев в русской народной сказке "Каша из топора"</w:t>
            </w:r>
          </w:p>
        </w:tc>
      </w:tr>
      <w:tr w14:paraId="6B011C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2409972A">
            <w:pPr>
              <w:pStyle w:val="85"/>
              <w:rPr>
                <w:color w:val="auto"/>
                <w:sz w:val="22"/>
                <w:szCs w:val="22"/>
              </w:rPr>
            </w:pPr>
            <w:r>
              <w:rPr>
                <w:color w:val="auto"/>
                <w:sz w:val="22"/>
                <w:szCs w:val="22"/>
              </w:rPr>
              <w:t>Урок 18</w:t>
            </w:r>
          </w:p>
        </w:tc>
        <w:tc>
          <w:tcPr>
            <w:tcW w:w="7937" w:type="dxa"/>
            <w:vAlign w:val="center"/>
          </w:tcPr>
          <w:p w14:paraId="0BC254C9">
            <w:pPr>
              <w:pStyle w:val="85"/>
              <w:jc w:val="both"/>
              <w:rPr>
                <w:color w:val="auto"/>
                <w:sz w:val="22"/>
                <w:szCs w:val="22"/>
              </w:rPr>
            </w:pPr>
            <w:r>
              <w:rPr>
                <w:color w:val="auto"/>
                <w:sz w:val="22"/>
                <w:szCs w:val="22"/>
              </w:rPr>
              <w:t>Сказка - выражение народной мудрости, нравственная идея фольклорных сказок</w:t>
            </w:r>
          </w:p>
        </w:tc>
      </w:tr>
      <w:tr w14:paraId="591CE6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35704701">
            <w:pPr>
              <w:pStyle w:val="85"/>
              <w:rPr>
                <w:color w:val="auto"/>
                <w:sz w:val="22"/>
                <w:szCs w:val="22"/>
              </w:rPr>
            </w:pPr>
            <w:r>
              <w:rPr>
                <w:color w:val="auto"/>
                <w:sz w:val="22"/>
                <w:szCs w:val="22"/>
              </w:rPr>
              <w:t>Урок 19</w:t>
            </w:r>
          </w:p>
        </w:tc>
        <w:tc>
          <w:tcPr>
            <w:tcW w:w="7937" w:type="dxa"/>
            <w:vAlign w:val="center"/>
          </w:tcPr>
          <w:p w14:paraId="0CEAB617">
            <w:pPr>
              <w:pStyle w:val="85"/>
              <w:jc w:val="both"/>
              <w:rPr>
                <w:color w:val="auto"/>
                <w:sz w:val="22"/>
                <w:szCs w:val="22"/>
              </w:rPr>
            </w:pPr>
            <w:r>
              <w:rPr>
                <w:color w:val="auto"/>
                <w:sz w:val="22"/>
                <w:szCs w:val="22"/>
              </w:rPr>
              <w:t>Особенности сказок разного вида (о животных, бытовые, волшебные)</w:t>
            </w:r>
          </w:p>
        </w:tc>
      </w:tr>
      <w:tr w14:paraId="1CEE8E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570BA79B">
            <w:pPr>
              <w:pStyle w:val="85"/>
              <w:rPr>
                <w:color w:val="auto"/>
                <w:sz w:val="22"/>
                <w:szCs w:val="22"/>
              </w:rPr>
            </w:pPr>
            <w:r>
              <w:rPr>
                <w:color w:val="auto"/>
                <w:sz w:val="22"/>
                <w:szCs w:val="22"/>
              </w:rPr>
              <w:t>Урок 20</w:t>
            </w:r>
          </w:p>
        </w:tc>
        <w:tc>
          <w:tcPr>
            <w:tcW w:w="7937" w:type="dxa"/>
            <w:vAlign w:val="center"/>
          </w:tcPr>
          <w:p w14:paraId="6BAF488A">
            <w:pPr>
              <w:pStyle w:val="85"/>
              <w:jc w:val="both"/>
              <w:rPr>
                <w:color w:val="auto"/>
                <w:sz w:val="22"/>
                <w:szCs w:val="22"/>
              </w:rPr>
            </w:pPr>
            <w:r>
              <w:rPr>
                <w:color w:val="auto"/>
                <w:sz w:val="22"/>
                <w:szCs w:val="22"/>
              </w:rPr>
              <w:t>Фольклорные произведения народов России. Отражение в сказках быта и культуры народов России. Произведения по выбору</w:t>
            </w:r>
          </w:p>
        </w:tc>
      </w:tr>
      <w:tr w14:paraId="758A3A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41EDD735">
            <w:pPr>
              <w:pStyle w:val="85"/>
              <w:rPr>
                <w:color w:val="auto"/>
                <w:sz w:val="22"/>
                <w:szCs w:val="22"/>
              </w:rPr>
            </w:pPr>
            <w:r>
              <w:rPr>
                <w:color w:val="auto"/>
                <w:sz w:val="22"/>
                <w:szCs w:val="22"/>
              </w:rPr>
              <w:t>Урок 21</w:t>
            </w:r>
          </w:p>
        </w:tc>
        <w:tc>
          <w:tcPr>
            <w:tcW w:w="7937" w:type="dxa"/>
            <w:vAlign w:val="center"/>
          </w:tcPr>
          <w:p w14:paraId="78C3FC04">
            <w:pPr>
              <w:pStyle w:val="85"/>
              <w:jc w:val="both"/>
              <w:rPr>
                <w:color w:val="auto"/>
                <w:sz w:val="22"/>
                <w:szCs w:val="22"/>
              </w:rPr>
            </w:pPr>
            <w:r>
              <w:rPr>
                <w:color w:val="auto"/>
                <w:sz w:val="22"/>
                <w:szCs w:val="22"/>
              </w:rPr>
              <w:t>Произведения устного народного творчества</w:t>
            </w:r>
          </w:p>
        </w:tc>
      </w:tr>
      <w:tr w14:paraId="0BAC4E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49289032">
            <w:pPr>
              <w:pStyle w:val="85"/>
              <w:rPr>
                <w:color w:val="auto"/>
                <w:sz w:val="22"/>
                <w:szCs w:val="22"/>
              </w:rPr>
            </w:pPr>
            <w:r>
              <w:rPr>
                <w:color w:val="auto"/>
                <w:sz w:val="22"/>
                <w:szCs w:val="22"/>
              </w:rPr>
              <w:t>Урок 22</w:t>
            </w:r>
          </w:p>
        </w:tc>
        <w:tc>
          <w:tcPr>
            <w:tcW w:w="7937" w:type="dxa"/>
            <w:vAlign w:val="center"/>
          </w:tcPr>
          <w:p w14:paraId="211A9E36">
            <w:pPr>
              <w:pStyle w:val="85"/>
              <w:jc w:val="both"/>
              <w:rPr>
                <w:color w:val="auto"/>
                <w:sz w:val="22"/>
                <w:szCs w:val="22"/>
              </w:rPr>
            </w:pPr>
            <w:r>
              <w:rPr>
                <w:color w:val="auto"/>
                <w:sz w:val="22"/>
                <w:szCs w:val="22"/>
              </w:rPr>
              <w:t>Тематическое повторение по итогам раздела "Фольклор"</w:t>
            </w:r>
          </w:p>
        </w:tc>
      </w:tr>
      <w:tr w14:paraId="2F837E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6765D4B2">
            <w:pPr>
              <w:pStyle w:val="85"/>
              <w:rPr>
                <w:color w:val="auto"/>
                <w:sz w:val="22"/>
                <w:szCs w:val="22"/>
              </w:rPr>
            </w:pPr>
            <w:r>
              <w:rPr>
                <w:color w:val="auto"/>
                <w:sz w:val="22"/>
                <w:szCs w:val="22"/>
              </w:rPr>
              <w:t>Урок 23</w:t>
            </w:r>
          </w:p>
        </w:tc>
        <w:tc>
          <w:tcPr>
            <w:tcW w:w="7937" w:type="dxa"/>
            <w:vAlign w:val="center"/>
          </w:tcPr>
          <w:p w14:paraId="790E10AC">
            <w:pPr>
              <w:pStyle w:val="85"/>
              <w:jc w:val="both"/>
              <w:rPr>
                <w:color w:val="auto"/>
                <w:sz w:val="22"/>
                <w:szCs w:val="22"/>
              </w:rPr>
            </w:pPr>
            <w:r>
              <w:rPr>
                <w:color w:val="auto"/>
                <w:sz w:val="22"/>
                <w:szCs w:val="22"/>
              </w:rPr>
              <w:t>Осень в произведениях А.С. Пушкина "Уж небо осенью дышало...", Г.А. Скребицкого "Четыре художника" и других на выбор</w:t>
            </w:r>
          </w:p>
        </w:tc>
      </w:tr>
      <w:tr w14:paraId="2D3E39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6053F44C">
            <w:pPr>
              <w:pStyle w:val="85"/>
              <w:rPr>
                <w:color w:val="auto"/>
                <w:sz w:val="22"/>
                <w:szCs w:val="22"/>
              </w:rPr>
            </w:pPr>
            <w:r>
              <w:rPr>
                <w:color w:val="auto"/>
                <w:sz w:val="22"/>
                <w:szCs w:val="22"/>
              </w:rPr>
              <w:t>Урок 24</w:t>
            </w:r>
          </w:p>
        </w:tc>
        <w:tc>
          <w:tcPr>
            <w:tcW w:w="7937" w:type="dxa"/>
            <w:vAlign w:val="center"/>
          </w:tcPr>
          <w:p w14:paraId="219AF01F">
            <w:pPr>
              <w:pStyle w:val="85"/>
              <w:jc w:val="both"/>
              <w:rPr>
                <w:color w:val="auto"/>
                <w:sz w:val="22"/>
                <w:szCs w:val="22"/>
              </w:rPr>
            </w:pPr>
            <w:r>
              <w:rPr>
                <w:color w:val="auto"/>
                <w:sz w:val="22"/>
                <w:szCs w:val="22"/>
              </w:rPr>
              <w:t>Восприятие осени в произведении М.М. Пришвина "Утро" и других на выбор</w:t>
            </w:r>
          </w:p>
        </w:tc>
      </w:tr>
      <w:tr w14:paraId="671DBB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158ACCB6">
            <w:pPr>
              <w:pStyle w:val="85"/>
              <w:rPr>
                <w:color w:val="auto"/>
                <w:sz w:val="22"/>
                <w:szCs w:val="22"/>
              </w:rPr>
            </w:pPr>
            <w:r>
              <w:rPr>
                <w:color w:val="auto"/>
                <w:sz w:val="22"/>
                <w:szCs w:val="22"/>
              </w:rPr>
              <w:t>Урок 25</w:t>
            </w:r>
          </w:p>
        </w:tc>
        <w:tc>
          <w:tcPr>
            <w:tcW w:w="7937" w:type="dxa"/>
            <w:vAlign w:val="center"/>
          </w:tcPr>
          <w:p w14:paraId="4EE209A8">
            <w:pPr>
              <w:pStyle w:val="85"/>
              <w:jc w:val="both"/>
              <w:rPr>
                <w:color w:val="auto"/>
                <w:sz w:val="22"/>
                <w:szCs w:val="22"/>
              </w:rPr>
            </w:pPr>
            <w:r>
              <w:rPr>
                <w:color w:val="auto"/>
                <w:sz w:val="22"/>
                <w:szCs w:val="22"/>
              </w:rPr>
              <w:t>Наблюдение за художественными особенностями текста. Произведения по выбору</w:t>
            </w:r>
          </w:p>
        </w:tc>
      </w:tr>
      <w:tr w14:paraId="22EDCF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16BCE054">
            <w:pPr>
              <w:pStyle w:val="85"/>
              <w:rPr>
                <w:color w:val="auto"/>
                <w:sz w:val="22"/>
                <w:szCs w:val="22"/>
              </w:rPr>
            </w:pPr>
            <w:r>
              <w:rPr>
                <w:color w:val="auto"/>
                <w:sz w:val="22"/>
                <w:szCs w:val="22"/>
              </w:rPr>
              <w:t>Урок 26</w:t>
            </w:r>
          </w:p>
        </w:tc>
        <w:tc>
          <w:tcPr>
            <w:tcW w:w="7937" w:type="dxa"/>
            <w:vAlign w:val="center"/>
          </w:tcPr>
          <w:p w14:paraId="5752E491">
            <w:pPr>
              <w:pStyle w:val="85"/>
              <w:jc w:val="both"/>
              <w:rPr>
                <w:color w:val="auto"/>
                <w:sz w:val="22"/>
                <w:szCs w:val="22"/>
              </w:rPr>
            </w:pPr>
            <w:r>
              <w:rPr>
                <w:color w:val="auto"/>
                <w:sz w:val="22"/>
                <w:szCs w:val="22"/>
              </w:rPr>
              <w:t>Описание картин осеннего леса в произведениях писателей. Произведения по выбору</w:t>
            </w:r>
          </w:p>
        </w:tc>
      </w:tr>
      <w:tr w14:paraId="068EA1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142A51A8">
            <w:pPr>
              <w:pStyle w:val="85"/>
              <w:rPr>
                <w:color w:val="auto"/>
                <w:sz w:val="22"/>
                <w:szCs w:val="22"/>
              </w:rPr>
            </w:pPr>
            <w:r>
              <w:rPr>
                <w:color w:val="auto"/>
                <w:sz w:val="22"/>
                <w:szCs w:val="22"/>
              </w:rPr>
              <w:t>Урок 27</w:t>
            </w:r>
          </w:p>
        </w:tc>
        <w:tc>
          <w:tcPr>
            <w:tcW w:w="7937" w:type="dxa"/>
            <w:vAlign w:val="center"/>
          </w:tcPr>
          <w:p w14:paraId="2A3A7490">
            <w:pPr>
              <w:pStyle w:val="85"/>
              <w:jc w:val="both"/>
              <w:rPr>
                <w:color w:val="auto"/>
                <w:sz w:val="22"/>
                <w:szCs w:val="22"/>
              </w:rPr>
            </w:pPr>
            <w:r>
              <w:rPr>
                <w:color w:val="auto"/>
                <w:sz w:val="22"/>
                <w:szCs w:val="22"/>
              </w:rPr>
              <w:t>Сравнение стихотворений об осени. На примере произведений А.А. Плещеева "Осень" и А.К. Толстого "Осень. Обсыпается весь наш бедный сад..."</w:t>
            </w:r>
          </w:p>
        </w:tc>
      </w:tr>
      <w:tr w14:paraId="3ECC41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0C9DF62F">
            <w:pPr>
              <w:pStyle w:val="85"/>
              <w:rPr>
                <w:color w:val="auto"/>
                <w:sz w:val="22"/>
                <w:szCs w:val="22"/>
              </w:rPr>
            </w:pPr>
            <w:r>
              <w:rPr>
                <w:color w:val="auto"/>
                <w:sz w:val="22"/>
                <w:szCs w:val="22"/>
              </w:rPr>
              <w:t>Урок 28</w:t>
            </w:r>
          </w:p>
        </w:tc>
        <w:tc>
          <w:tcPr>
            <w:tcW w:w="7937" w:type="dxa"/>
            <w:vAlign w:val="center"/>
          </w:tcPr>
          <w:p w14:paraId="7F4E6506">
            <w:pPr>
              <w:pStyle w:val="85"/>
              <w:jc w:val="both"/>
              <w:rPr>
                <w:color w:val="auto"/>
                <w:sz w:val="22"/>
                <w:szCs w:val="22"/>
              </w:rPr>
            </w:pPr>
            <w:r>
              <w:rPr>
                <w:color w:val="auto"/>
                <w:sz w:val="22"/>
                <w:szCs w:val="22"/>
              </w:rPr>
              <w:t>Восприятие пейзажной лирики. Произведения по выбору, например, К.Д. Бальмонт "Осень"</w:t>
            </w:r>
          </w:p>
        </w:tc>
      </w:tr>
      <w:tr w14:paraId="2D743C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67C07D26">
            <w:pPr>
              <w:pStyle w:val="85"/>
              <w:rPr>
                <w:color w:val="auto"/>
                <w:sz w:val="22"/>
                <w:szCs w:val="22"/>
              </w:rPr>
            </w:pPr>
            <w:r>
              <w:rPr>
                <w:color w:val="auto"/>
                <w:sz w:val="22"/>
                <w:szCs w:val="22"/>
              </w:rPr>
              <w:t>Урок 29</w:t>
            </w:r>
          </w:p>
        </w:tc>
        <w:tc>
          <w:tcPr>
            <w:tcW w:w="7937" w:type="dxa"/>
            <w:vAlign w:val="center"/>
          </w:tcPr>
          <w:p w14:paraId="13D77629">
            <w:pPr>
              <w:pStyle w:val="85"/>
              <w:jc w:val="both"/>
              <w:rPr>
                <w:color w:val="auto"/>
                <w:sz w:val="22"/>
                <w:szCs w:val="22"/>
              </w:rPr>
            </w:pPr>
            <w:r>
              <w:rPr>
                <w:color w:val="auto"/>
                <w:sz w:val="22"/>
                <w:szCs w:val="22"/>
              </w:rPr>
              <w:t>Тематическое повторение по итогам раздела "Звуки и краски осенней природы"</w:t>
            </w:r>
          </w:p>
        </w:tc>
      </w:tr>
      <w:tr w14:paraId="071B76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3E2FFE64">
            <w:pPr>
              <w:pStyle w:val="85"/>
              <w:rPr>
                <w:color w:val="auto"/>
                <w:sz w:val="22"/>
                <w:szCs w:val="22"/>
              </w:rPr>
            </w:pPr>
            <w:r>
              <w:rPr>
                <w:color w:val="auto"/>
                <w:sz w:val="22"/>
                <w:szCs w:val="22"/>
              </w:rPr>
              <w:t>Урок 30</w:t>
            </w:r>
          </w:p>
        </w:tc>
        <w:tc>
          <w:tcPr>
            <w:tcW w:w="7937" w:type="dxa"/>
            <w:vAlign w:val="center"/>
          </w:tcPr>
          <w:p w14:paraId="471F8AED">
            <w:pPr>
              <w:pStyle w:val="85"/>
              <w:jc w:val="both"/>
              <w:rPr>
                <w:color w:val="auto"/>
                <w:sz w:val="22"/>
                <w:szCs w:val="22"/>
              </w:rPr>
            </w:pPr>
            <w:r>
              <w:rPr>
                <w:color w:val="auto"/>
                <w:sz w:val="22"/>
                <w:szCs w:val="22"/>
              </w:rPr>
              <w:t>Составление устных рассказов "Природа осенью" по изученным текстам</w:t>
            </w:r>
          </w:p>
        </w:tc>
      </w:tr>
      <w:tr w14:paraId="6E61E4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6E0B0C1A">
            <w:pPr>
              <w:pStyle w:val="85"/>
              <w:rPr>
                <w:color w:val="auto"/>
                <w:sz w:val="22"/>
                <w:szCs w:val="22"/>
              </w:rPr>
            </w:pPr>
            <w:r>
              <w:rPr>
                <w:color w:val="auto"/>
                <w:sz w:val="22"/>
                <w:szCs w:val="22"/>
              </w:rPr>
              <w:t>Урок 31</w:t>
            </w:r>
          </w:p>
        </w:tc>
        <w:tc>
          <w:tcPr>
            <w:tcW w:w="7937" w:type="dxa"/>
            <w:vAlign w:val="center"/>
          </w:tcPr>
          <w:p w14:paraId="49F2EB6C">
            <w:pPr>
              <w:pStyle w:val="85"/>
              <w:jc w:val="both"/>
              <w:rPr>
                <w:color w:val="auto"/>
                <w:sz w:val="22"/>
                <w:szCs w:val="22"/>
              </w:rPr>
            </w:pPr>
            <w:r>
              <w:rPr>
                <w:color w:val="auto"/>
                <w:sz w:val="22"/>
                <w:szCs w:val="22"/>
              </w:rPr>
              <w:t>Резервный урок. Создание осеннего пейзажа: краски и звуки. Произведения художников и композиторов по выбору</w:t>
            </w:r>
          </w:p>
        </w:tc>
      </w:tr>
      <w:tr w14:paraId="19240A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1C78762B">
            <w:pPr>
              <w:pStyle w:val="85"/>
              <w:rPr>
                <w:color w:val="auto"/>
                <w:sz w:val="22"/>
                <w:szCs w:val="22"/>
              </w:rPr>
            </w:pPr>
            <w:r>
              <w:rPr>
                <w:color w:val="auto"/>
                <w:sz w:val="22"/>
                <w:szCs w:val="22"/>
              </w:rPr>
              <w:t>Урок 32</w:t>
            </w:r>
          </w:p>
        </w:tc>
        <w:tc>
          <w:tcPr>
            <w:tcW w:w="7937" w:type="dxa"/>
            <w:vAlign w:val="center"/>
          </w:tcPr>
          <w:p w14:paraId="319BDB1F">
            <w:pPr>
              <w:pStyle w:val="85"/>
              <w:jc w:val="both"/>
              <w:rPr>
                <w:color w:val="auto"/>
                <w:sz w:val="22"/>
                <w:szCs w:val="22"/>
              </w:rPr>
            </w:pPr>
            <w:r>
              <w:rPr>
                <w:color w:val="auto"/>
                <w:sz w:val="22"/>
                <w:szCs w:val="22"/>
              </w:rPr>
              <w:t>Резервный урок. Работа с детскими книгами: "Произведения писателей о родной природе"</w:t>
            </w:r>
          </w:p>
        </w:tc>
      </w:tr>
      <w:tr w14:paraId="297184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1DE70C3E">
            <w:pPr>
              <w:pStyle w:val="85"/>
              <w:rPr>
                <w:color w:val="auto"/>
                <w:sz w:val="22"/>
                <w:szCs w:val="22"/>
              </w:rPr>
            </w:pPr>
            <w:r>
              <w:rPr>
                <w:color w:val="auto"/>
                <w:sz w:val="22"/>
                <w:szCs w:val="22"/>
              </w:rPr>
              <w:t>Урок 33</w:t>
            </w:r>
          </w:p>
        </w:tc>
        <w:tc>
          <w:tcPr>
            <w:tcW w:w="7937" w:type="dxa"/>
            <w:vAlign w:val="center"/>
          </w:tcPr>
          <w:p w14:paraId="51275B6E">
            <w:pPr>
              <w:pStyle w:val="85"/>
              <w:jc w:val="both"/>
              <w:rPr>
                <w:color w:val="auto"/>
                <w:sz w:val="22"/>
                <w:szCs w:val="22"/>
              </w:rPr>
            </w:pPr>
            <w:r>
              <w:rPr>
                <w:color w:val="auto"/>
                <w:sz w:val="22"/>
                <w:szCs w:val="22"/>
              </w:rPr>
              <w:t>Отражение понятия взаимопомощь в произведениях А.Л. Барто "Катя", Ю.И. Ермолаева "Два пирожных" и других на выбор</w:t>
            </w:r>
          </w:p>
        </w:tc>
      </w:tr>
      <w:tr w14:paraId="634116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63310345">
            <w:pPr>
              <w:pStyle w:val="85"/>
              <w:rPr>
                <w:color w:val="auto"/>
                <w:sz w:val="22"/>
                <w:szCs w:val="22"/>
              </w:rPr>
            </w:pPr>
            <w:r>
              <w:rPr>
                <w:color w:val="auto"/>
                <w:sz w:val="22"/>
                <w:szCs w:val="22"/>
              </w:rPr>
              <w:t>Урок 34</w:t>
            </w:r>
          </w:p>
        </w:tc>
        <w:tc>
          <w:tcPr>
            <w:tcW w:w="7937" w:type="dxa"/>
            <w:vAlign w:val="center"/>
          </w:tcPr>
          <w:p w14:paraId="11B2A132">
            <w:pPr>
              <w:pStyle w:val="85"/>
              <w:jc w:val="both"/>
              <w:rPr>
                <w:color w:val="auto"/>
                <w:sz w:val="22"/>
                <w:szCs w:val="22"/>
              </w:rPr>
            </w:pPr>
            <w:r>
              <w:rPr>
                <w:color w:val="auto"/>
                <w:sz w:val="22"/>
                <w:szCs w:val="22"/>
              </w:rPr>
              <w:t>Главный герой: общее представление. Рассказ на выбор, например, С.А. Баруздин "Как Алешке учиться надоело"</w:t>
            </w:r>
          </w:p>
        </w:tc>
      </w:tr>
      <w:tr w14:paraId="2DA8EC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01648A62">
            <w:pPr>
              <w:pStyle w:val="85"/>
              <w:rPr>
                <w:color w:val="auto"/>
                <w:sz w:val="22"/>
                <w:szCs w:val="22"/>
              </w:rPr>
            </w:pPr>
            <w:r>
              <w:rPr>
                <w:color w:val="auto"/>
                <w:sz w:val="22"/>
                <w:szCs w:val="22"/>
              </w:rPr>
              <w:t>Урок 35</w:t>
            </w:r>
          </w:p>
        </w:tc>
        <w:tc>
          <w:tcPr>
            <w:tcW w:w="7937" w:type="dxa"/>
            <w:vAlign w:val="center"/>
          </w:tcPr>
          <w:p w14:paraId="287FE40B">
            <w:pPr>
              <w:pStyle w:val="85"/>
              <w:jc w:val="both"/>
              <w:rPr>
                <w:color w:val="auto"/>
                <w:sz w:val="22"/>
                <w:szCs w:val="22"/>
              </w:rPr>
            </w:pPr>
            <w:r>
              <w:rPr>
                <w:color w:val="auto"/>
                <w:sz w:val="22"/>
                <w:szCs w:val="22"/>
              </w:rPr>
              <w:t>Оценка поступков и поведения главного героя. Произведения на выбор, например, А.Е. Пермяк "Смородинка"</w:t>
            </w:r>
          </w:p>
        </w:tc>
      </w:tr>
      <w:tr w14:paraId="1A8831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66FBC1CF">
            <w:pPr>
              <w:pStyle w:val="85"/>
              <w:rPr>
                <w:color w:val="auto"/>
                <w:sz w:val="22"/>
                <w:szCs w:val="22"/>
              </w:rPr>
            </w:pPr>
            <w:r>
              <w:rPr>
                <w:color w:val="auto"/>
                <w:sz w:val="22"/>
                <w:szCs w:val="22"/>
              </w:rPr>
              <w:t>Урок 36</w:t>
            </w:r>
          </w:p>
        </w:tc>
        <w:tc>
          <w:tcPr>
            <w:tcW w:w="7937" w:type="dxa"/>
            <w:vAlign w:val="center"/>
          </w:tcPr>
          <w:p w14:paraId="790EDBF9">
            <w:pPr>
              <w:pStyle w:val="85"/>
              <w:jc w:val="both"/>
              <w:rPr>
                <w:color w:val="auto"/>
                <w:sz w:val="22"/>
                <w:szCs w:val="22"/>
              </w:rPr>
            </w:pPr>
            <w:r>
              <w:rPr>
                <w:color w:val="auto"/>
                <w:sz w:val="22"/>
                <w:szCs w:val="22"/>
              </w:rPr>
              <w:t>Сравнение героев рассказов Н.Н. Носова "На горке" и "Заплатка"</w:t>
            </w:r>
          </w:p>
        </w:tc>
      </w:tr>
      <w:tr w14:paraId="7D9C1E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7FB5F4AD">
            <w:pPr>
              <w:pStyle w:val="85"/>
              <w:rPr>
                <w:color w:val="auto"/>
                <w:sz w:val="22"/>
                <w:szCs w:val="22"/>
              </w:rPr>
            </w:pPr>
            <w:r>
              <w:rPr>
                <w:color w:val="auto"/>
                <w:sz w:val="22"/>
                <w:szCs w:val="22"/>
              </w:rPr>
              <w:t>Урок 37</w:t>
            </w:r>
          </w:p>
        </w:tc>
        <w:tc>
          <w:tcPr>
            <w:tcW w:w="7937" w:type="dxa"/>
            <w:vAlign w:val="center"/>
          </w:tcPr>
          <w:p w14:paraId="4ED6410E">
            <w:pPr>
              <w:pStyle w:val="85"/>
              <w:jc w:val="both"/>
              <w:rPr>
                <w:color w:val="auto"/>
                <w:sz w:val="22"/>
                <w:szCs w:val="22"/>
              </w:rPr>
            </w:pPr>
            <w:r>
              <w:rPr>
                <w:color w:val="auto"/>
                <w:sz w:val="22"/>
                <w:szCs w:val="22"/>
              </w:rPr>
              <w:t>Представление темы труда в произведениях писателей, на выбор, например, В.Г. Сутеев "Кто лучше?"</w:t>
            </w:r>
          </w:p>
        </w:tc>
      </w:tr>
      <w:tr w14:paraId="79DA16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4449A4E6">
            <w:pPr>
              <w:pStyle w:val="85"/>
              <w:rPr>
                <w:color w:val="auto"/>
                <w:sz w:val="22"/>
                <w:szCs w:val="22"/>
              </w:rPr>
            </w:pPr>
            <w:r>
              <w:rPr>
                <w:color w:val="auto"/>
                <w:sz w:val="22"/>
                <w:szCs w:val="22"/>
              </w:rPr>
              <w:t>Урок 38</w:t>
            </w:r>
          </w:p>
        </w:tc>
        <w:tc>
          <w:tcPr>
            <w:tcW w:w="7937" w:type="dxa"/>
            <w:vAlign w:val="center"/>
          </w:tcPr>
          <w:p w14:paraId="3400B9B4">
            <w:pPr>
              <w:pStyle w:val="85"/>
              <w:jc w:val="both"/>
              <w:rPr>
                <w:color w:val="auto"/>
                <w:sz w:val="22"/>
                <w:szCs w:val="22"/>
              </w:rPr>
            </w:pPr>
            <w:r>
              <w:rPr>
                <w:color w:val="auto"/>
                <w:sz w:val="22"/>
                <w:szCs w:val="22"/>
              </w:rPr>
              <w:t>Характеристика героя, его портрет. Произведения о детях на выбор, например, М.М. Зощенко "Самое главное"</w:t>
            </w:r>
          </w:p>
        </w:tc>
      </w:tr>
      <w:tr w14:paraId="5F77E1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0FDB3E8B">
            <w:pPr>
              <w:pStyle w:val="85"/>
              <w:rPr>
                <w:color w:val="auto"/>
                <w:sz w:val="22"/>
                <w:szCs w:val="22"/>
              </w:rPr>
            </w:pPr>
            <w:r>
              <w:rPr>
                <w:color w:val="auto"/>
                <w:sz w:val="22"/>
                <w:szCs w:val="22"/>
              </w:rPr>
              <w:t>Урок 39</w:t>
            </w:r>
          </w:p>
        </w:tc>
        <w:tc>
          <w:tcPr>
            <w:tcW w:w="7937" w:type="dxa"/>
            <w:vAlign w:val="center"/>
          </w:tcPr>
          <w:p w14:paraId="1B05AB53">
            <w:pPr>
              <w:pStyle w:val="85"/>
              <w:jc w:val="both"/>
              <w:rPr>
                <w:color w:val="auto"/>
                <w:sz w:val="22"/>
                <w:szCs w:val="22"/>
              </w:rPr>
            </w:pPr>
            <w:r>
              <w:rPr>
                <w:color w:val="auto"/>
                <w:sz w:val="22"/>
                <w:szCs w:val="22"/>
              </w:rPr>
              <w:t>Работа со стихотворением В.В. Лунина "Я и Вовка"</w:t>
            </w:r>
          </w:p>
        </w:tc>
      </w:tr>
      <w:tr w14:paraId="3C7390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20A3CD59">
            <w:pPr>
              <w:pStyle w:val="85"/>
              <w:rPr>
                <w:color w:val="auto"/>
                <w:sz w:val="22"/>
                <w:szCs w:val="22"/>
              </w:rPr>
            </w:pPr>
            <w:r>
              <w:rPr>
                <w:color w:val="auto"/>
                <w:sz w:val="22"/>
                <w:szCs w:val="22"/>
              </w:rPr>
              <w:t>Урок 40</w:t>
            </w:r>
          </w:p>
        </w:tc>
        <w:tc>
          <w:tcPr>
            <w:tcW w:w="7937" w:type="dxa"/>
            <w:vAlign w:val="center"/>
          </w:tcPr>
          <w:p w14:paraId="693C81DA">
            <w:pPr>
              <w:pStyle w:val="85"/>
              <w:jc w:val="both"/>
              <w:rPr>
                <w:color w:val="auto"/>
                <w:sz w:val="22"/>
                <w:szCs w:val="22"/>
              </w:rPr>
            </w:pPr>
            <w:r>
              <w:rPr>
                <w:color w:val="auto"/>
                <w:sz w:val="22"/>
                <w:szCs w:val="22"/>
              </w:rPr>
              <w:t>Тема дружбы в рассказе Е.А. Пермяка "Две пословицы" и других на выбор</w:t>
            </w:r>
          </w:p>
        </w:tc>
      </w:tr>
      <w:tr w14:paraId="015931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49D18E2C">
            <w:pPr>
              <w:pStyle w:val="85"/>
              <w:rPr>
                <w:color w:val="auto"/>
                <w:sz w:val="22"/>
                <w:szCs w:val="22"/>
              </w:rPr>
            </w:pPr>
            <w:r>
              <w:rPr>
                <w:color w:val="auto"/>
                <w:sz w:val="22"/>
                <w:szCs w:val="22"/>
              </w:rPr>
              <w:t>Урок 41</w:t>
            </w:r>
          </w:p>
        </w:tc>
        <w:tc>
          <w:tcPr>
            <w:tcW w:w="7937" w:type="dxa"/>
            <w:vAlign w:val="center"/>
          </w:tcPr>
          <w:p w14:paraId="1EF88119">
            <w:pPr>
              <w:pStyle w:val="85"/>
              <w:jc w:val="both"/>
              <w:rPr>
                <w:color w:val="auto"/>
                <w:sz w:val="22"/>
                <w:szCs w:val="22"/>
              </w:rPr>
            </w:pPr>
            <w:r>
              <w:rPr>
                <w:color w:val="auto"/>
                <w:sz w:val="22"/>
                <w:szCs w:val="22"/>
              </w:rPr>
              <w:t>Характеристика главного героя рассказа Л.Н. Толстого "Филиппок"</w:t>
            </w:r>
          </w:p>
        </w:tc>
      </w:tr>
      <w:tr w14:paraId="7AC33C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3D840F59">
            <w:pPr>
              <w:pStyle w:val="85"/>
              <w:rPr>
                <w:color w:val="auto"/>
                <w:sz w:val="22"/>
                <w:szCs w:val="22"/>
              </w:rPr>
            </w:pPr>
            <w:r>
              <w:rPr>
                <w:color w:val="auto"/>
                <w:sz w:val="22"/>
                <w:szCs w:val="22"/>
              </w:rPr>
              <w:t>Урок 42</w:t>
            </w:r>
          </w:p>
        </w:tc>
        <w:tc>
          <w:tcPr>
            <w:tcW w:w="7937" w:type="dxa"/>
            <w:vAlign w:val="center"/>
          </w:tcPr>
          <w:p w14:paraId="55731E7F">
            <w:pPr>
              <w:pStyle w:val="85"/>
              <w:jc w:val="both"/>
              <w:rPr>
                <w:color w:val="auto"/>
                <w:sz w:val="22"/>
                <w:szCs w:val="22"/>
              </w:rPr>
            </w:pPr>
            <w:r>
              <w:rPr>
                <w:color w:val="auto"/>
                <w:sz w:val="22"/>
                <w:szCs w:val="22"/>
              </w:rPr>
              <w:t>Выделение главной мысли (идеи) рассказа В.Ю. Драгунского "Тайное становится явным"</w:t>
            </w:r>
          </w:p>
        </w:tc>
      </w:tr>
      <w:tr w14:paraId="2F7ABD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51EC7119">
            <w:pPr>
              <w:pStyle w:val="85"/>
              <w:rPr>
                <w:color w:val="auto"/>
                <w:sz w:val="22"/>
                <w:szCs w:val="22"/>
              </w:rPr>
            </w:pPr>
            <w:r>
              <w:rPr>
                <w:color w:val="auto"/>
                <w:sz w:val="22"/>
                <w:szCs w:val="22"/>
              </w:rPr>
              <w:t>Урок 43</w:t>
            </w:r>
          </w:p>
        </w:tc>
        <w:tc>
          <w:tcPr>
            <w:tcW w:w="7937" w:type="dxa"/>
            <w:vAlign w:val="center"/>
          </w:tcPr>
          <w:p w14:paraId="6CDD1915">
            <w:pPr>
              <w:pStyle w:val="85"/>
              <w:jc w:val="both"/>
              <w:rPr>
                <w:color w:val="auto"/>
                <w:sz w:val="22"/>
                <w:szCs w:val="22"/>
              </w:rPr>
            </w:pPr>
            <w:r>
              <w:rPr>
                <w:color w:val="auto"/>
                <w:sz w:val="22"/>
                <w:szCs w:val="22"/>
              </w:rPr>
              <w:t>Отражение темы дружбы в рассказах о детях</w:t>
            </w:r>
          </w:p>
        </w:tc>
      </w:tr>
      <w:tr w14:paraId="0740B0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3DB8F937">
            <w:pPr>
              <w:pStyle w:val="85"/>
              <w:rPr>
                <w:color w:val="auto"/>
                <w:sz w:val="22"/>
                <w:szCs w:val="22"/>
              </w:rPr>
            </w:pPr>
            <w:r>
              <w:rPr>
                <w:color w:val="auto"/>
                <w:sz w:val="22"/>
                <w:szCs w:val="22"/>
              </w:rPr>
              <w:t>Урок 44</w:t>
            </w:r>
          </w:p>
        </w:tc>
        <w:tc>
          <w:tcPr>
            <w:tcW w:w="7937" w:type="dxa"/>
            <w:vAlign w:val="center"/>
          </w:tcPr>
          <w:p w14:paraId="1F582F4B">
            <w:pPr>
              <w:pStyle w:val="85"/>
              <w:jc w:val="both"/>
              <w:rPr>
                <w:color w:val="auto"/>
                <w:sz w:val="22"/>
                <w:szCs w:val="22"/>
              </w:rPr>
            </w:pPr>
            <w:r>
              <w:rPr>
                <w:color w:val="auto"/>
                <w:sz w:val="22"/>
                <w:szCs w:val="22"/>
              </w:rPr>
              <w:t>Контрольная работа по разделу "О детях и дружбе"</w:t>
            </w:r>
          </w:p>
        </w:tc>
      </w:tr>
      <w:tr w14:paraId="690545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7361F627">
            <w:pPr>
              <w:pStyle w:val="85"/>
              <w:rPr>
                <w:color w:val="auto"/>
                <w:sz w:val="22"/>
                <w:szCs w:val="22"/>
              </w:rPr>
            </w:pPr>
            <w:r>
              <w:rPr>
                <w:color w:val="auto"/>
                <w:sz w:val="22"/>
                <w:szCs w:val="22"/>
              </w:rPr>
              <w:t>Урок 45</w:t>
            </w:r>
          </w:p>
        </w:tc>
        <w:tc>
          <w:tcPr>
            <w:tcW w:w="7937" w:type="dxa"/>
            <w:vAlign w:val="center"/>
          </w:tcPr>
          <w:p w14:paraId="1C7E19A7">
            <w:pPr>
              <w:pStyle w:val="85"/>
              <w:jc w:val="both"/>
              <w:rPr>
                <w:color w:val="auto"/>
                <w:sz w:val="22"/>
                <w:szCs w:val="22"/>
              </w:rPr>
            </w:pPr>
            <w:r>
              <w:rPr>
                <w:color w:val="auto"/>
                <w:sz w:val="22"/>
                <w:szCs w:val="22"/>
              </w:rPr>
              <w:t>Средства художественной выразительности: сравнение. Произведения по выбору, например, З.Н. Александрова "Снежок"</w:t>
            </w:r>
          </w:p>
        </w:tc>
      </w:tr>
      <w:tr w14:paraId="235187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35A3AC5C">
            <w:pPr>
              <w:pStyle w:val="85"/>
              <w:rPr>
                <w:color w:val="auto"/>
                <w:sz w:val="22"/>
                <w:szCs w:val="22"/>
              </w:rPr>
            </w:pPr>
            <w:r>
              <w:rPr>
                <w:color w:val="auto"/>
                <w:sz w:val="22"/>
                <w:szCs w:val="22"/>
              </w:rPr>
              <w:t>Урок 46</w:t>
            </w:r>
          </w:p>
        </w:tc>
        <w:tc>
          <w:tcPr>
            <w:tcW w:w="7937" w:type="dxa"/>
            <w:vAlign w:val="center"/>
          </w:tcPr>
          <w:p w14:paraId="2DC79580">
            <w:pPr>
              <w:pStyle w:val="85"/>
              <w:jc w:val="both"/>
              <w:rPr>
                <w:color w:val="auto"/>
                <w:sz w:val="22"/>
                <w:szCs w:val="22"/>
              </w:rPr>
            </w:pPr>
            <w:r>
              <w:rPr>
                <w:color w:val="auto"/>
                <w:sz w:val="22"/>
                <w:szCs w:val="22"/>
              </w:rPr>
              <w:t>Наблюдение за описанием в художественном тексте. Произведения по выбору, например, С.А. Иванов "Каким бывает снег"</w:t>
            </w:r>
          </w:p>
        </w:tc>
      </w:tr>
      <w:tr w14:paraId="78044E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475B007E">
            <w:pPr>
              <w:pStyle w:val="85"/>
              <w:rPr>
                <w:color w:val="auto"/>
                <w:sz w:val="22"/>
                <w:szCs w:val="22"/>
              </w:rPr>
            </w:pPr>
            <w:r>
              <w:rPr>
                <w:color w:val="auto"/>
                <w:sz w:val="22"/>
                <w:szCs w:val="22"/>
              </w:rPr>
              <w:t>Урок 47</w:t>
            </w:r>
          </w:p>
        </w:tc>
        <w:tc>
          <w:tcPr>
            <w:tcW w:w="7937" w:type="dxa"/>
            <w:vAlign w:val="center"/>
          </w:tcPr>
          <w:p w14:paraId="24669D7F">
            <w:pPr>
              <w:pStyle w:val="85"/>
              <w:jc w:val="both"/>
              <w:rPr>
                <w:color w:val="auto"/>
                <w:sz w:val="22"/>
                <w:szCs w:val="22"/>
              </w:rPr>
            </w:pPr>
            <w:r>
              <w:rPr>
                <w:color w:val="auto"/>
                <w:sz w:val="22"/>
                <w:szCs w:val="22"/>
              </w:rPr>
              <w:t>Картины зимнего леса в рассказе И.С. Соколова-Микитова "Зима в лесу"</w:t>
            </w:r>
          </w:p>
        </w:tc>
      </w:tr>
      <w:tr w14:paraId="1207FE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2656804D">
            <w:pPr>
              <w:pStyle w:val="85"/>
              <w:rPr>
                <w:color w:val="auto"/>
                <w:sz w:val="22"/>
                <w:szCs w:val="22"/>
              </w:rPr>
            </w:pPr>
            <w:r>
              <w:rPr>
                <w:color w:val="auto"/>
                <w:sz w:val="22"/>
                <w:szCs w:val="22"/>
              </w:rPr>
              <w:t>Урок 48</w:t>
            </w:r>
          </w:p>
        </w:tc>
        <w:tc>
          <w:tcPr>
            <w:tcW w:w="7937" w:type="dxa"/>
            <w:vAlign w:val="center"/>
          </w:tcPr>
          <w:p w14:paraId="1B281B65">
            <w:pPr>
              <w:pStyle w:val="85"/>
              <w:jc w:val="both"/>
              <w:rPr>
                <w:color w:val="auto"/>
                <w:sz w:val="22"/>
                <w:szCs w:val="22"/>
              </w:rPr>
            </w:pPr>
            <w:r>
              <w:rPr>
                <w:color w:val="auto"/>
                <w:sz w:val="22"/>
                <w:szCs w:val="22"/>
              </w:rPr>
              <w:t>Сравнение образа зимы в произведениях А.С. Пушкина "Вот север, тучи нагоняя..." и С.А. Есенина "Поет зима - аукает"</w:t>
            </w:r>
          </w:p>
        </w:tc>
      </w:tr>
      <w:tr w14:paraId="7C9DCA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003D647D">
            <w:pPr>
              <w:pStyle w:val="85"/>
              <w:rPr>
                <w:color w:val="auto"/>
                <w:sz w:val="22"/>
                <w:szCs w:val="22"/>
              </w:rPr>
            </w:pPr>
            <w:r>
              <w:rPr>
                <w:color w:val="auto"/>
                <w:sz w:val="22"/>
                <w:szCs w:val="22"/>
              </w:rPr>
              <w:t>Урок 49</w:t>
            </w:r>
          </w:p>
        </w:tc>
        <w:tc>
          <w:tcPr>
            <w:tcW w:w="7937" w:type="dxa"/>
            <w:vAlign w:val="center"/>
          </w:tcPr>
          <w:p w14:paraId="67528EC0">
            <w:pPr>
              <w:pStyle w:val="85"/>
              <w:jc w:val="both"/>
              <w:rPr>
                <w:color w:val="auto"/>
                <w:sz w:val="22"/>
                <w:szCs w:val="22"/>
              </w:rPr>
            </w:pPr>
            <w:r>
              <w:rPr>
                <w:color w:val="auto"/>
                <w:sz w:val="22"/>
                <w:szCs w:val="22"/>
              </w:rPr>
              <w:t>Работа со стихотворением Ф.И. Тютчева "Чародейкою Зимою"</w:t>
            </w:r>
          </w:p>
        </w:tc>
      </w:tr>
      <w:tr w14:paraId="456BE9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488CEDA7">
            <w:pPr>
              <w:pStyle w:val="85"/>
              <w:rPr>
                <w:color w:val="auto"/>
                <w:sz w:val="22"/>
                <w:szCs w:val="22"/>
              </w:rPr>
            </w:pPr>
            <w:r>
              <w:rPr>
                <w:color w:val="auto"/>
                <w:sz w:val="22"/>
                <w:szCs w:val="22"/>
              </w:rPr>
              <w:t>Урок 50</w:t>
            </w:r>
          </w:p>
        </w:tc>
        <w:tc>
          <w:tcPr>
            <w:tcW w:w="7937" w:type="dxa"/>
            <w:vAlign w:val="center"/>
          </w:tcPr>
          <w:p w14:paraId="7C076F31">
            <w:pPr>
              <w:pStyle w:val="85"/>
              <w:jc w:val="both"/>
              <w:rPr>
                <w:color w:val="auto"/>
                <w:sz w:val="22"/>
                <w:szCs w:val="22"/>
              </w:rPr>
            </w:pPr>
            <w:r>
              <w:rPr>
                <w:color w:val="auto"/>
                <w:sz w:val="22"/>
                <w:szCs w:val="22"/>
              </w:rPr>
              <w:t>Средства художественной выразительности: эпитет. Произведения по выбору, например, Н.А. Некрасов "Мороз-воевода"</w:t>
            </w:r>
          </w:p>
        </w:tc>
      </w:tr>
      <w:tr w14:paraId="454167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58384314">
            <w:pPr>
              <w:pStyle w:val="85"/>
              <w:rPr>
                <w:color w:val="auto"/>
                <w:sz w:val="22"/>
                <w:szCs w:val="22"/>
              </w:rPr>
            </w:pPr>
            <w:r>
              <w:rPr>
                <w:color w:val="auto"/>
                <w:sz w:val="22"/>
                <w:szCs w:val="22"/>
              </w:rPr>
              <w:t>Урок 51</w:t>
            </w:r>
          </w:p>
        </w:tc>
        <w:tc>
          <w:tcPr>
            <w:tcW w:w="7937" w:type="dxa"/>
            <w:vAlign w:val="center"/>
          </w:tcPr>
          <w:p w14:paraId="42481A0C">
            <w:pPr>
              <w:pStyle w:val="85"/>
              <w:jc w:val="both"/>
              <w:rPr>
                <w:color w:val="auto"/>
                <w:sz w:val="22"/>
                <w:szCs w:val="22"/>
              </w:rPr>
            </w:pPr>
            <w:r>
              <w:rPr>
                <w:color w:val="auto"/>
                <w:sz w:val="22"/>
                <w:szCs w:val="22"/>
              </w:rPr>
              <w:t>Составление устного рассказа "Краски и звуки зимнего леса" по изученным текстам</w:t>
            </w:r>
          </w:p>
        </w:tc>
      </w:tr>
      <w:tr w14:paraId="4A3548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11E14026">
            <w:pPr>
              <w:pStyle w:val="85"/>
              <w:rPr>
                <w:color w:val="auto"/>
                <w:sz w:val="22"/>
                <w:szCs w:val="22"/>
              </w:rPr>
            </w:pPr>
            <w:r>
              <w:rPr>
                <w:color w:val="auto"/>
                <w:sz w:val="22"/>
                <w:szCs w:val="22"/>
              </w:rPr>
              <w:t>Урок 52</w:t>
            </w:r>
          </w:p>
        </w:tc>
        <w:tc>
          <w:tcPr>
            <w:tcW w:w="7937" w:type="dxa"/>
            <w:vAlign w:val="center"/>
          </w:tcPr>
          <w:p w14:paraId="3A56B5F2">
            <w:pPr>
              <w:pStyle w:val="85"/>
              <w:jc w:val="both"/>
              <w:rPr>
                <w:color w:val="auto"/>
                <w:sz w:val="22"/>
                <w:szCs w:val="22"/>
              </w:rPr>
            </w:pPr>
            <w:r>
              <w:rPr>
                <w:color w:val="auto"/>
                <w:sz w:val="22"/>
                <w:szCs w:val="22"/>
              </w:rPr>
              <w:t>Описание игр и зимних забав детей. Произведения по выбору, например, И.З. Суриков "Детство"</w:t>
            </w:r>
          </w:p>
        </w:tc>
      </w:tr>
      <w:tr w14:paraId="071336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5AE94140">
            <w:pPr>
              <w:pStyle w:val="85"/>
              <w:rPr>
                <w:color w:val="auto"/>
                <w:sz w:val="22"/>
                <w:szCs w:val="22"/>
              </w:rPr>
            </w:pPr>
            <w:r>
              <w:rPr>
                <w:color w:val="auto"/>
                <w:sz w:val="22"/>
                <w:szCs w:val="22"/>
              </w:rPr>
              <w:t>Урок 53</w:t>
            </w:r>
          </w:p>
        </w:tc>
        <w:tc>
          <w:tcPr>
            <w:tcW w:w="7937" w:type="dxa"/>
            <w:vAlign w:val="center"/>
          </w:tcPr>
          <w:p w14:paraId="0DA83CD7">
            <w:pPr>
              <w:pStyle w:val="85"/>
              <w:jc w:val="both"/>
              <w:rPr>
                <w:color w:val="auto"/>
                <w:sz w:val="22"/>
                <w:szCs w:val="22"/>
              </w:rPr>
            </w:pPr>
            <w:r>
              <w:rPr>
                <w:color w:val="auto"/>
                <w:sz w:val="22"/>
                <w:szCs w:val="22"/>
              </w:rPr>
              <w:t>Жизнь животных зимой: научно-познавательные рассказы. Произведения по выбору, например, Г.А. Скребицкого</w:t>
            </w:r>
          </w:p>
        </w:tc>
      </w:tr>
      <w:tr w14:paraId="1D960D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0183FA65">
            <w:pPr>
              <w:pStyle w:val="85"/>
              <w:rPr>
                <w:color w:val="auto"/>
                <w:sz w:val="22"/>
                <w:szCs w:val="22"/>
              </w:rPr>
            </w:pPr>
            <w:r>
              <w:rPr>
                <w:color w:val="auto"/>
                <w:sz w:val="22"/>
                <w:szCs w:val="22"/>
              </w:rPr>
              <w:t>Урок 54</w:t>
            </w:r>
          </w:p>
        </w:tc>
        <w:tc>
          <w:tcPr>
            <w:tcW w:w="7937" w:type="dxa"/>
            <w:vAlign w:val="center"/>
          </w:tcPr>
          <w:p w14:paraId="22DEAE45">
            <w:pPr>
              <w:pStyle w:val="85"/>
              <w:jc w:val="both"/>
              <w:rPr>
                <w:color w:val="auto"/>
                <w:sz w:val="22"/>
                <w:szCs w:val="22"/>
              </w:rPr>
            </w:pPr>
            <w:r>
              <w:rPr>
                <w:color w:val="auto"/>
                <w:sz w:val="22"/>
                <w:szCs w:val="22"/>
              </w:rPr>
              <w:t>Восприятие зимнего пейзажа в лирических произведениях по выбору</w:t>
            </w:r>
          </w:p>
        </w:tc>
      </w:tr>
      <w:tr w14:paraId="703D95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001C6047">
            <w:pPr>
              <w:pStyle w:val="85"/>
              <w:rPr>
                <w:color w:val="auto"/>
                <w:sz w:val="22"/>
                <w:szCs w:val="22"/>
              </w:rPr>
            </w:pPr>
            <w:r>
              <w:rPr>
                <w:color w:val="auto"/>
                <w:sz w:val="22"/>
                <w:szCs w:val="22"/>
              </w:rPr>
              <w:t>Урок 55</w:t>
            </w:r>
          </w:p>
        </w:tc>
        <w:tc>
          <w:tcPr>
            <w:tcW w:w="7937" w:type="dxa"/>
            <w:vAlign w:val="center"/>
          </w:tcPr>
          <w:p w14:paraId="6EE2A965">
            <w:pPr>
              <w:pStyle w:val="85"/>
              <w:jc w:val="both"/>
              <w:rPr>
                <w:color w:val="auto"/>
                <w:sz w:val="22"/>
                <w:szCs w:val="22"/>
              </w:rPr>
            </w:pPr>
            <w:r>
              <w:rPr>
                <w:color w:val="auto"/>
                <w:sz w:val="22"/>
                <w:szCs w:val="22"/>
              </w:rPr>
              <w:t>Тематическое повторение по итогам раздела "Звуки и краски зимней природы"</w:t>
            </w:r>
          </w:p>
        </w:tc>
      </w:tr>
      <w:tr w14:paraId="505096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43EC2158">
            <w:pPr>
              <w:pStyle w:val="85"/>
              <w:rPr>
                <w:color w:val="auto"/>
                <w:sz w:val="22"/>
                <w:szCs w:val="22"/>
              </w:rPr>
            </w:pPr>
            <w:r>
              <w:rPr>
                <w:color w:val="auto"/>
                <w:sz w:val="22"/>
                <w:szCs w:val="22"/>
              </w:rPr>
              <w:t>Урок 56</w:t>
            </w:r>
          </w:p>
        </w:tc>
        <w:tc>
          <w:tcPr>
            <w:tcW w:w="7937" w:type="dxa"/>
            <w:vAlign w:val="center"/>
          </w:tcPr>
          <w:p w14:paraId="55369F06">
            <w:pPr>
              <w:pStyle w:val="85"/>
              <w:jc w:val="both"/>
              <w:rPr>
                <w:color w:val="auto"/>
                <w:sz w:val="22"/>
                <w:szCs w:val="22"/>
              </w:rPr>
            </w:pPr>
            <w:r>
              <w:rPr>
                <w:color w:val="auto"/>
                <w:sz w:val="22"/>
                <w:szCs w:val="22"/>
              </w:rPr>
              <w:t>Тема "Природа зимой" в картинах художников и произведениях композиторов</w:t>
            </w:r>
          </w:p>
        </w:tc>
      </w:tr>
      <w:tr w14:paraId="161B23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314278E0">
            <w:pPr>
              <w:pStyle w:val="85"/>
              <w:rPr>
                <w:color w:val="auto"/>
                <w:sz w:val="22"/>
                <w:szCs w:val="22"/>
              </w:rPr>
            </w:pPr>
            <w:r>
              <w:rPr>
                <w:color w:val="auto"/>
                <w:sz w:val="22"/>
                <w:szCs w:val="22"/>
              </w:rPr>
              <w:t>Урок 57</w:t>
            </w:r>
          </w:p>
        </w:tc>
        <w:tc>
          <w:tcPr>
            <w:tcW w:w="7937" w:type="dxa"/>
            <w:vAlign w:val="center"/>
          </w:tcPr>
          <w:p w14:paraId="74BB2BC1">
            <w:pPr>
              <w:pStyle w:val="85"/>
              <w:jc w:val="both"/>
              <w:rPr>
                <w:color w:val="auto"/>
                <w:sz w:val="22"/>
                <w:szCs w:val="22"/>
              </w:rPr>
            </w:pPr>
            <w:r>
              <w:rPr>
                <w:color w:val="auto"/>
                <w:sz w:val="22"/>
                <w:szCs w:val="22"/>
              </w:rPr>
              <w:t>Характеристика героев русской народной сказки "Дети Деда Мороза"</w:t>
            </w:r>
          </w:p>
        </w:tc>
      </w:tr>
      <w:tr w14:paraId="5E4429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55CA013C">
            <w:pPr>
              <w:pStyle w:val="85"/>
              <w:rPr>
                <w:color w:val="auto"/>
                <w:sz w:val="22"/>
                <w:szCs w:val="22"/>
              </w:rPr>
            </w:pPr>
            <w:r>
              <w:rPr>
                <w:color w:val="auto"/>
                <w:sz w:val="22"/>
                <w:szCs w:val="22"/>
              </w:rPr>
              <w:t>Урок 58</w:t>
            </w:r>
          </w:p>
        </w:tc>
        <w:tc>
          <w:tcPr>
            <w:tcW w:w="7937" w:type="dxa"/>
            <w:vAlign w:val="center"/>
          </w:tcPr>
          <w:p w14:paraId="51E0859E">
            <w:pPr>
              <w:pStyle w:val="85"/>
              <w:jc w:val="both"/>
              <w:rPr>
                <w:color w:val="auto"/>
                <w:sz w:val="22"/>
                <w:szCs w:val="22"/>
              </w:rPr>
            </w:pPr>
            <w:r>
              <w:rPr>
                <w:color w:val="auto"/>
                <w:sz w:val="22"/>
                <w:szCs w:val="22"/>
              </w:rPr>
              <w:t>Фольклорная основа авторской сказки В.И. Даля "Девочка Снегурочка"</w:t>
            </w:r>
          </w:p>
        </w:tc>
      </w:tr>
      <w:tr w14:paraId="6138CB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3DE10396">
            <w:pPr>
              <w:pStyle w:val="85"/>
              <w:rPr>
                <w:color w:val="auto"/>
                <w:sz w:val="22"/>
                <w:szCs w:val="22"/>
              </w:rPr>
            </w:pPr>
            <w:r>
              <w:rPr>
                <w:color w:val="auto"/>
                <w:sz w:val="22"/>
                <w:szCs w:val="22"/>
              </w:rPr>
              <w:t>Урок 59</w:t>
            </w:r>
          </w:p>
        </w:tc>
        <w:tc>
          <w:tcPr>
            <w:tcW w:w="7937" w:type="dxa"/>
            <w:vAlign w:val="center"/>
          </w:tcPr>
          <w:p w14:paraId="087BCA0D">
            <w:pPr>
              <w:pStyle w:val="85"/>
              <w:jc w:val="both"/>
              <w:rPr>
                <w:color w:val="auto"/>
                <w:sz w:val="22"/>
                <w:szCs w:val="22"/>
              </w:rPr>
            </w:pPr>
            <w:r>
              <w:rPr>
                <w:color w:val="auto"/>
                <w:sz w:val="22"/>
                <w:szCs w:val="22"/>
              </w:rPr>
              <w:t>Сравнение сюжетов и героев русской народной сказки "Снегурочка" и литературной (авторской) В.И. Даля "Девочка Снегурочка"</w:t>
            </w:r>
          </w:p>
        </w:tc>
      </w:tr>
      <w:tr w14:paraId="661D08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19C26833">
            <w:pPr>
              <w:pStyle w:val="85"/>
              <w:rPr>
                <w:color w:val="auto"/>
                <w:sz w:val="22"/>
                <w:szCs w:val="22"/>
              </w:rPr>
            </w:pPr>
            <w:r>
              <w:rPr>
                <w:color w:val="auto"/>
                <w:sz w:val="22"/>
                <w:szCs w:val="22"/>
              </w:rPr>
              <w:t>Урок 60</w:t>
            </w:r>
          </w:p>
        </w:tc>
        <w:tc>
          <w:tcPr>
            <w:tcW w:w="7937" w:type="dxa"/>
            <w:vAlign w:val="center"/>
          </w:tcPr>
          <w:p w14:paraId="79BC19AB">
            <w:pPr>
              <w:pStyle w:val="85"/>
              <w:jc w:val="both"/>
              <w:rPr>
                <w:color w:val="auto"/>
                <w:sz w:val="22"/>
                <w:szCs w:val="22"/>
              </w:rPr>
            </w:pPr>
            <w:r>
              <w:rPr>
                <w:color w:val="auto"/>
                <w:sz w:val="22"/>
                <w:szCs w:val="22"/>
              </w:rPr>
              <w:t>Фольклорная основа литературной (авторской) сказки В.Ф. Одоевского "Мороз Иванович"</w:t>
            </w:r>
          </w:p>
        </w:tc>
      </w:tr>
      <w:tr w14:paraId="1D808E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61D77071">
            <w:pPr>
              <w:pStyle w:val="85"/>
              <w:rPr>
                <w:color w:val="auto"/>
                <w:sz w:val="22"/>
                <w:szCs w:val="22"/>
              </w:rPr>
            </w:pPr>
            <w:r>
              <w:rPr>
                <w:color w:val="auto"/>
                <w:sz w:val="22"/>
                <w:szCs w:val="22"/>
              </w:rPr>
              <w:t>Урок 61</w:t>
            </w:r>
          </w:p>
        </w:tc>
        <w:tc>
          <w:tcPr>
            <w:tcW w:w="7937" w:type="dxa"/>
            <w:vAlign w:val="center"/>
          </w:tcPr>
          <w:p w14:paraId="77292662">
            <w:pPr>
              <w:pStyle w:val="85"/>
              <w:jc w:val="both"/>
              <w:rPr>
                <w:color w:val="auto"/>
                <w:sz w:val="22"/>
                <w:szCs w:val="22"/>
              </w:rPr>
            </w:pPr>
            <w:r>
              <w:rPr>
                <w:color w:val="auto"/>
                <w:sz w:val="22"/>
                <w:szCs w:val="22"/>
              </w:rPr>
              <w:t>Составление плана сказки: части текста, их главные темы</w:t>
            </w:r>
          </w:p>
        </w:tc>
      </w:tr>
      <w:tr w14:paraId="0A0E21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1CCF4071">
            <w:pPr>
              <w:pStyle w:val="85"/>
              <w:rPr>
                <w:color w:val="auto"/>
                <w:sz w:val="22"/>
                <w:szCs w:val="22"/>
              </w:rPr>
            </w:pPr>
            <w:r>
              <w:rPr>
                <w:color w:val="auto"/>
                <w:sz w:val="22"/>
                <w:szCs w:val="22"/>
              </w:rPr>
              <w:t>Урок 62</w:t>
            </w:r>
          </w:p>
        </w:tc>
        <w:tc>
          <w:tcPr>
            <w:tcW w:w="7937" w:type="dxa"/>
            <w:vAlign w:val="center"/>
          </w:tcPr>
          <w:p w14:paraId="179AD6FB">
            <w:pPr>
              <w:pStyle w:val="85"/>
              <w:jc w:val="both"/>
              <w:rPr>
                <w:color w:val="auto"/>
                <w:sz w:val="22"/>
                <w:szCs w:val="22"/>
              </w:rPr>
            </w:pPr>
            <w:r>
              <w:rPr>
                <w:color w:val="auto"/>
                <w:sz w:val="22"/>
                <w:szCs w:val="22"/>
              </w:rPr>
              <w:t>Иллюстрации, их назначение в раскрытии содержания произведения</w:t>
            </w:r>
          </w:p>
        </w:tc>
      </w:tr>
      <w:tr w14:paraId="5350EB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76228DBC">
            <w:pPr>
              <w:pStyle w:val="85"/>
              <w:rPr>
                <w:color w:val="auto"/>
                <w:sz w:val="22"/>
                <w:szCs w:val="22"/>
              </w:rPr>
            </w:pPr>
            <w:r>
              <w:rPr>
                <w:color w:val="auto"/>
                <w:sz w:val="22"/>
                <w:szCs w:val="22"/>
              </w:rPr>
              <w:t>Урок 63</w:t>
            </w:r>
          </w:p>
        </w:tc>
        <w:tc>
          <w:tcPr>
            <w:tcW w:w="7937" w:type="dxa"/>
            <w:vAlign w:val="center"/>
          </w:tcPr>
          <w:p w14:paraId="3EE7D5FF">
            <w:pPr>
              <w:pStyle w:val="85"/>
              <w:jc w:val="both"/>
              <w:rPr>
                <w:color w:val="auto"/>
                <w:sz w:val="22"/>
                <w:szCs w:val="22"/>
              </w:rPr>
            </w:pPr>
            <w:r>
              <w:rPr>
                <w:color w:val="auto"/>
                <w:sz w:val="22"/>
                <w:szCs w:val="22"/>
              </w:rPr>
              <w:t>Организация творческих проектов "Царство Мороза Ивановича" и "Приметы Нового года"</w:t>
            </w:r>
          </w:p>
        </w:tc>
      </w:tr>
      <w:tr w14:paraId="69EA13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25758B73">
            <w:pPr>
              <w:pStyle w:val="85"/>
              <w:rPr>
                <w:color w:val="auto"/>
                <w:sz w:val="22"/>
                <w:szCs w:val="22"/>
              </w:rPr>
            </w:pPr>
            <w:r>
              <w:rPr>
                <w:color w:val="auto"/>
                <w:sz w:val="22"/>
                <w:szCs w:val="22"/>
              </w:rPr>
              <w:t>Урок 64</w:t>
            </w:r>
          </w:p>
        </w:tc>
        <w:tc>
          <w:tcPr>
            <w:tcW w:w="7937" w:type="dxa"/>
            <w:vAlign w:val="center"/>
          </w:tcPr>
          <w:p w14:paraId="60EC0C75">
            <w:pPr>
              <w:pStyle w:val="85"/>
              <w:jc w:val="both"/>
              <w:rPr>
                <w:color w:val="auto"/>
                <w:sz w:val="22"/>
                <w:szCs w:val="22"/>
              </w:rPr>
            </w:pPr>
            <w:r>
              <w:rPr>
                <w:color w:val="auto"/>
                <w:sz w:val="22"/>
                <w:szCs w:val="22"/>
              </w:rPr>
              <w:t>Здравствуй, праздник новогодний!</w:t>
            </w:r>
          </w:p>
        </w:tc>
      </w:tr>
      <w:tr w14:paraId="780E99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63C960E5">
            <w:pPr>
              <w:pStyle w:val="85"/>
              <w:rPr>
                <w:color w:val="auto"/>
                <w:sz w:val="22"/>
                <w:szCs w:val="22"/>
              </w:rPr>
            </w:pPr>
            <w:r>
              <w:rPr>
                <w:color w:val="auto"/>
                <w:sz w:val="22"/>
                <w:szCs w:val="22"/>
              </w:rPr>
              <w:t>Урок 65</w:t>
            </w:r>
          </w:p>
        </w:tc>
        <w:tc>
          <w:tcPr>
            <w:tcW w:w="7937" w:type="dxa"/>
            <w:vAlign w:val="center"/>
          </w:tcPr>
          <w:p w14:paraId="48BABD79">
            <w:pPr>
              <w:pStyle w:val="85"/>
              <w:jc w:val="both"/>
              <w:rPr>
                <w:color w:val="auto"/>
                <w:sz w:val="22"/>
                <w:szCs w:val="22"/>
              </w:rPr>
            </w:pPr>
            <w:r>
              <w:rPr>
                <w:color w:val="auto"/>
                <w:sz w:val="22"/>
                <w:szCs w:val="22"/>
              </w:rPr>
              <w:t>Волшебный мир сказок. "У лукоморья дуб зеленый..." А.С. Пушкин</w:t>
            </w:r>
          </w:p>
        </w:tc>
      </w:tr>
      <w:tr w14:paraId="5FAA45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0AD6ED18">
            <w:pPr>
              <w:pStyle w:val="85"/>
              <w:rPr>
                <w:color w:val="auto"/>
                <w:sz w:val="22"/>
                <w:szCs w:val="22"/>
              </w:rPr>
            </w:pPr>
            <w:r>
              <w:rPr>
                <w:color w:val="auto"/>
                <w:sz w:val="22"/>
                <w:szCs w:val="22"/>
              </w:rPr>
              <w:t>Урок 66</w:t>
            </w:r>
          </w:p>
        </w:tc>
        <w:tc>
          <w:tcPr>
            <w:tcW w:w="7937" w:type="dxa"/>
            <w:vAlign w:val="center"/>
          </w:tcPr>
          <w:p w14:paraId="3F56FC16">
            <w:pPr>
              <w:pStyle w:val="85"/>
              <w:jc w:val="both"/>
              <w:rPr>
                <w:color w:val="auto"/>
                <w:sz w:val="22"/>
                <w:szCs w:val="22"/>
              </w:rPr>
            </w:pPr>
            <w:r>
              <w:rPr>
                <w:color w:val="auto"/>
                <w:sz w:val="22"/>
                <w:szCs w:val="22"/>
              </w:rPr>
              <w:t>Поучительный смысл "Сказки о рыбаке и рыбке" А.С. Пушкина. Характеристика героев</w:t>
            </w:r>
          </w:p>
        </w:tc>
      </w:tr>
      <w:tr w14:paraId="7ED6BE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0BDD9E71">
            <w:pPr>
              <w:pStyle w:val="85"/>
              <w:rPr>
                <w:color w:val="auto"/>
                <w:sz w:val="22"/>
                <w:szCs w:val="22"/>
              </w:rPr>
            </w:pPr>
            <w:r>
              <w:rPr>
                <w:color w:val="auto"/>
                <w:sz w:val="22"/>
                <w:szCs w:val="22"/>
              </w:rPr>
              <w:t>Урок 67</w:t>
            </w:r>
          </w:p>
        </w:tc>
        <w:tc>
          <w:tcPr>
            <w:tcW w:w="7937" w:type="dxa"/>
            <w:vAlign w:val="center"/>
          </w:tcPr>
          <w:p w14:paraId="4EB8CE50">
            <w:pPr>
              <w:pStyle w:val="85"/>
              <w:jc w:val="both"/>
              <w:rPr>
                <w:color w:val="auto"/>
                <w:sz w:val="22"/>
                <w:szCs w:val="22"/>
              </w:rPr>
            </w:pPr>
            <w:r>
              <w:rPr>
                <w:color w:val="auto"/>
                <w:sz w:val="22"/>
                <w:szCs w:val="22"/>
              </w:rPr>
              <w:t>Сравнение "Сказки о рыбаке и рыбке" А.С. Пушкина с фольклорными (народными) сказками</w:t>
            </w:r>
          </w:p>
        </w:tc>
      </w:tr>
      <w:tr w14:paraId="0639C3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3A85778E">
            <w:pPr>
              <w:pStyle w:val="85"/>
              <w:rPr>
                <w:color w:val="auto"/>
                <w:sz w:val="22"/>
                <w:szCs w:val="22"/>
              </w:rPr>
            </w:pPr>
            <w:r>
              <w:rPr>
                <w:color w:val="auto"/>
                <w:sz w:val="22"/>
                <w:szCs w:val="22"/>
              </w:rPr>
              <w:t>Урок 68</w:t>
            </w:r>
          </w:p>
        </w:tc>
        <w:tc>
          <w:tcPr>
            <w:tcW w:w="7937" w:type="dxa"/>
            <w:vAlign w:val="center"/>
          </w:tcPr>
          <w:p w14:paraId="2FECF371">
            <w:pPr>
              <w:pStyle w:val="85"/>
              <w:jc w:val="both"/>
              <w:rPr>
                <w:color w:val="auto"/>
                <w:sz w:val="22"/>
                <w:szCs w:val="22"/>
              </w:rPr>
            </w:pPr>
            <w:r>
              <w:rPr>
                <w:color w:val="auto"/>
                <w:sz w:val="22"/>
                <w:szCs w:val="22"/>
              </w:rPr>
              <w:t>Работа с фольклорной (народной) и литературной (авторской) сказкой: составление плана произведения, выделение особенностей языка</w:t>
            </w:r>
          </w:p>
        </w:tc>
      </w:tr>
      <w:tr w14:paraId="11F0BF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159546BC">
            <w:pPr>
              <w:pStyle w:val="85"/>
              <w:rPr>
                <w:color w:val="auto"/>
                <w:sz w:val="22"/>
                <w:szCs w:val="22"/>
              </w:rPr>
            </w:pPr>
            <w:r>
              <w:rPr>
                <w:color w:val="auto"/>
                <w:sz w:val="22"/>
                <w:szCs w:val="22"/>
              </w:rPr>
              <w:t>Урок 69</w:t>
            </w:r>
          </w:p>
        </w:tc>
        <w:tc>
          <w:tcPr>
            <w:tcW w:w="7937" w:type="dxa"/>
            <w:vAlign w:val="center"/>
          </w:tcPr>
          <w:p w14:paraId="27B0BD32">
            <w:pPr>
              <w:pStyle w:val="85"/>
              <w:jc w:val="both"/>
              <w:rPr>
                <w:color w:val="auto"/>
                <w:sz w:val="22"/>
                <w:szCs w:val="22"/>
              </w:rPr>
            </w:pPr>
            <w:r>
              <w:rPr>
                <w:color w:val="auto"/>
                <w:sz w:val="22"/>
                <w:szCs w:val="22"/>
              </w:rPr>
              <w:t>Отражение образов животных в устном народном творчестве (фольклоре). На примере русской народной песни "Коровушка"</w:t>
            </w:r>
          </w:p>
        </w:tc>
      </w:tr>
      <w:tr w14:paraId="668B68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71D18BFE">
            <w:pPr>
              <w:pStyle w:val="85"/>
              <w:rPr>
                <w:color w:val="auto"/>
                <w:sz w:val="22"/>
                <w:szCs w:val="22"/>
              </w:rPr>
            </w:pPr>
            <w:r>
              <w:rPr>
                <w:color w:val="auto"/>
                <w:sz w:val="22"/>
                <w:szCs w:val="22"/>
              </w:rPr>
              <w:t>Урок 70</w:t>
            </w:r>
          </w:p>
        </w:tc>
        <w:tc>
          <w:tcPr>
            <w:tcW w:w="7937" w:type="dxa"/>
            <w:vAlign w:val="center"/>
          </w:tcPr>
          <w:p w14:paraId="0674A041">
            <w:pPr>
              <w:pStyle w:val="85"/>
              <w:jc w:val="both"/>
              <w:rPr>
                <w:color w:val="auto"/>
                <w:sz w:val="22"/>
                <w:szCs w:val="22"/>
              </w:rPr>
            </w:pPr>
            <w:r>
              <w:rPr>
                <w:color w:val="auto"/>
                <w:sz w:val="22"/>
                <w:szCs w:val="22"/>
              </w:rPr>
              <w:t>Характеристика героев-животных в фольклорных (народных) сказках. Корякская народная сказка "Хитрая лиса" и другие на выбор</w:t>
            </w:r>
          </w:p>
        </w:tc>
      </w:tr>
      <w:tr w14:paraId="1E3EF7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26863DBD">
            <w:pPr>
              <w:pStyle w:val="85"/>
              <w:rPr>
                <w:color w:val="auto"/>
                <w:sz w:val="22"/>
                <w:szCs w:val="22"/>
              </w:rPr>
            </w:pPr>
            <w:r>
              <w:rPr>
                <w:color w:val="auto"/>
                <w:sz w:val="22"/>
                <w:szCs w:val="22"/>
              </w:rPr>
              <w:t>Урок 71</w:t>
            </w:r>
          </w:p>
        </w:tc>
        <w:tc>
          <w:tcPr>
            <w:tcW w:w="7937" w:type="dxa"/>
            <w:vAlign w:val="center"/>
          </w:tcPr>
          <w:p w14:paraId="78EDABA4">
            <w:pPr>
              <w:pStyle w:val="85"/>
              <w:jc w:val="both"/>
              <w:rPr>
                <w:color w:val="auto"/>
                <w:sz w:val="22"/>
                <w:szCs w:val="22"/>
              </w:rPr>
            </w:pPr>
            <w:r>
              <w:rPr>
                <w:color w:val="auto"/>
                <w:sz w:val="22"/>
                <w:szCs w:val="22"/>
              </w:rPr>
              <w:t>Особенности сказок о животных. На примере русской народной сказки "Зимовье зверей" и других на выбор</w:t>
            </w:r>
          </w:p>
        </w:tc>
      </w:tr>
      <w:tr w14:paraId="67C48A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358D6E9F">
            <w:pPr>
              <w:pStyle w:val="85"/>
              <w:rPr>
                <w:color w:val="auto"/>
                <w:sz w:val="22"/>
                <w:szCs w:val="22"/>
              </w:rPr>
            </w:pPr>
            <w:r>
              <w:rPr>
                <w:color w:val="auto"/>
                <w:sz w:val="22"/>
                <w:szCs w:val="22"/>
              </w:rPr>
              <w:t>Урок 72</w:t>
            </w:r>
          </w:p>
        </w:tc>
        <w:tc>
          <w:tcPr>
            <w:tcW w:w="7937" w:type="dxa"/>
            <w:vAlign w:val="center"/>
          </w:tcPr>
          <w:p w14:paraId="683B4BC4">
            <w:pPr>
              <w:pStyle w:val="85"/>
              <w:jc w:val="both"/>
              <w:rPr>
                <w:color w:val="auto"/>
                <w:sz w:val="22"/>
                <w:szCs w:val="22"/>
              </w:rPr>
            </w:pPr>
            <w:r>
              <w:rPr>
                <w:color w:val="auto"/>
                <w:sz w:val="22"/>
                <w:szCs w:val="22"/>
              </w:rPr>
              <w:t>Фольклорные произведения народов России. Произведения по выбору, например, осетинская народная сказка "Человек и еж"</w:t>
            </w:r>
          </w:p>
        </w:tc>
      </w:tr>
      <w:tr w14:paraId="77680E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66614A15">
            <w:pPr>
              <w:pStyle w:val="85"/>
              <w:rPr>
                <w:color w:val="auto"/>
                <w:sz w:val="22"/>
                <w:szCs w:val="22"/>
              </w:rPr>
            </w:pPr>
            <w:r>
              <w:rPr>
                <w:color w:val="auto"/>
                <w:sz w:val="22"/>
                <w:szCs w:val="22"/>
              </w:rPr>
              <w:t>Урок 73</w:t>
            </w:r>
          </w:p>
        </w:tc>
        <w:tc>
          <w:tcPr>
            <w:tcW w:w="7937" w:type="dxa"/>
            <w:vAlign w:val="center"/>
          </w:tcPr>
          <w:p w14:paraId="0E4CAE4D">
            <w:pPr>
              <w:pStyle w:val="85"/>
              <w:jc w:val="both"/>
              <w:rPr>
                <w:color w:val="auto"/>
                <w:sz w:val="22"/>
                <w:szCs w:val="22"/>
              </w:rPr>
            </w:pPr>
            <w:r>
              <w:rPr>
                <w:color w:val="auto"/>
                <w:sz w:val="22"/>
                <w:szCs w:val="22"/>
              </w:rPr>
              <w:t>Сравнение описания героев-животных в фольклорных (народных) и литературных произведениях. На примере произведений К.Д. Ушинского и других на выбор</w:t>
            </w:r>
          </w:p>
        </w:tc>
      </w:tr>
      <w:tr w14:paraId="076800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5308C989">
            <w:pPr>
              <w:pStyle w:val="85"/>
              <w:rPr>
                <w:color w:val="auto"/>
                <w:sz w:val="22"/>
                <w:szCs w:val="22"/>
              </w:rPr>
            </w:pPr>
            <w:r>
              <w:rPr>
                <w:color w:val="auto"/>
                <w:sz w:val="22"/>
                <w:szCs w:val="22"/>
              </w:rPr>
              <w:t>Урок 74</w:t>
            </w:r>
          </w:p>
        </w:tc>
        <w:tc>
          <w:tcPr>
            <w:tcW w:w="7937" w:type="dxa"/>
            <w:vAlign w:val="center"/>
          </w:tcPr>
          <w:p w14:paraId="5B7C1660">
            <w:pPr>
              <w:pStyle w:val="85"/>
              <w:jc w:val="both"/>
              <w:rPr>
                <w:color w:val="auto"/>
                <w:sz w:val="22"/>
                <w:szCs w:val="22"/>
              </w:rPr>
            </w:pPr>
            <w:r>
              <w:rPr>
                <w:color w:val="auto"/>
                <w:sz w:val="22"/>
                <w:szCs w:val="22"/>
              </w:rPr>
              <w:t>Соотнесение заголовка и главной мысли рассказа Е.И. Чарушина "Страшный рассказ"</w:t>
            </w:r>
          </w:p>
        </w:tc>
      </w:tr>
      <w:tr w14:paraId="5018A0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6DA31F3A">
            <w:pPr>
              <w:pStyle w:val="85"/>
              <w:rPr>
                <w:color w:val="auto"/>
                <w:sz w:val="22"/>
                <w:szCs w:val="22"/>
              </w:rPr>
            </w:pPr>
            <w:r>
              <w:rPr>
                <w:color w:val="auto"/>
                <w:sz w:val="22"/>
                <w:szCs w:val="22"/>
              </w:rPr>
              <w:t>Урок 75</w:t>
            </w:r>
          </w:p>
        </w:tc>
        <w:tc>
          <w:tcPr>
            <w:tcW w:w="7937" w:type="dxa"/>
            <w:vAlign w:val="center"/>
          </w:tcPr>
          <w:p w14:paraId="3B820102">
            <w:pPr>
              <w:pStyle w:val="85"/>
              <w:jc w:val="both"/>
              <w:rPr>
                <w:color w:val="auto"/>
                <w:sz w:val="22"/>
                <w:szCs w:val="22"/>
              </w:rPr>
            </w:pPr>
            <w:r>
              <w:rPr>
                <w:color w:val="auto"/>
                <w:sz w:val="22"/>
                <w:szCs w:val="22"/>
              </w:rPr>
              <w:t>Осознание понятий друг, дружба на примере произведений о животных. Произведения по выбору, например, удмуртская народная сказка "Мышь и воробей"</w:t>
            </w:r>
          </w:p>
        </w:tc>
      </w:tr>
      <w:tr w14:paraId="58EC16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3382DC2B">
            <w:pPr>
              <w:pStyle w:val="85"/>
              <w:rPr>
                <w:color w:val="auto"/>
                <w:sz w:val="22"/>
                <w:szCs w:val="22"/>
              </w:rPr>
            </w:pPr>
            <w:r>
              <w:rPr>
                <w:color w:val="auto"/>
                <w:sz w:val="22"/>
                <w:szCs w:val="22"/>
              </w:rPr>
              <w:t>Урок 76</w:t>
            </w:r>
          </w:p>
        </w:tc>
        <w:tc>
          <w:tcPr>
            <w:tcW w:w="7937" w:type="dxa"/>
            <w:vAlign w:val="center"/>
          </w:tcPr>
          <w:p w14:paraId="22F065B6">
            <w:pPr>
              <w:pStyle w:val="85"/>
              <w:jc w:val="both"/>
              <w:rPr>
                <w:color w:val="auto"/>
                <w:sz w:val="22"/>
                <w:szCs w:val="22"/>
              </w:rPr>
            </w:pPr>
            <w:r>
              <w:rPr>
                <w:color w:val="auto"/>
                <w:sz w:val="22"/>
                <w:szCs w:val="22"/>
              </w:rPr>
              <w:t>Особенности басни как жанра литературы. Мораль басни как нравственный урок (поучение)</w:t>
            </w:r>
          </w:p>
        </w:tc>
      </w:tr>
      <w:tr w14:paraId="279701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420C11B9">
            <w:pPr>
              <w:pStyle w:val="85"/>
              <w:rPr>
                <w:color w:val="auto"/>
                <w:sz w:val="22"/>
                <w:szCs w:val="22"/>
              </w:rPr>
            </w:pPr>
            <w:r>
              <w:rPr>
                <w:color w:val="auto"/>
                <w:sz w:val="22"/>
                <w:szCs w:val="22"/>
              </w:rPr>
              <w:t>Урок 77</w:t>
            </w:r>
          </w:p>
        </w:tc>
        <w:tc>
          <w:tcPr>
            <w:tcW w:w="7937" w:type="dxa"/>
            <w:vAlign w:val="center"/>
          </w:tcPr>
          <w:p w14:paraId="25D73E76">
            <w:pPr>
              <w:pStyle w:val="85"/>
              <w:jc w:val="both"/>
              <w:rPr>
                <w:color w:val="auto"/>
                <w:sz w:val="22"/>
                <w:szCs w:val="22"/>
              </w:rPr>
            </w:pPr>
            <w:r>
              <w:rPr>
                <w:color w:val="auto"/>
                <w:sz w:val="22"/>
                <w:szCs w:val="22"/>
              </w:rPr>
              <w:t>Сравнение прозаической и стихотворной басен И.А. Крылова "Лебедь, Щука и Рак" и Л.Н. Толстого "Лев и мышь"</w:t>
            </w:r>
          </w:p>
        </w:tc>
      </w:tr>
      <w:tr w14:paraId="26C129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7BB30CF6">
            <w:pPr>
              <w:pStyle w:val="85"/>
              <w:rPr>
                <w:color w:val="auto"/>
                <w:sz w:val="22"/>
                <w:szCs w:val="22"/>
              </w:rPr>
            </w:pPr>
            <w:r>
              <w:rPr>
                <w:color w:val="auto"/>
                <w:sz w:val="22"/>
                <w:szCs w:val="22"/>
              </w:rPr>
              <w:t>Урок 78</w:t>
            </w:r>
          </w:p>
        </w:tc>
        <w:tc>
          <w:tcPr>
            <w:tcW w:w="7937" w:type="dxa"/>
            <w:vAlign w:val="center"/>
          </w:tcPr>
          <w:p w14:paraId="151D53CA">
            <w:pPr>
              <w:pStyle w:val="85"/>
              <w:jc w:val="both"/>
              <w:rPr>
                <w:color w:val="auto"/>
                <w:sz w:val="22"/>
                <w:szCs w:val="22"/>
              </w:rPr>
            </w:pPr>
            <w:r>
              <w:rPr>
                <w:color w:val="auto"/>
                <w:sz w:val="22"/>
                <w:szCs w:val="22"/>
              </w:rPr>
              <w:t>Оценка поступков и поведения героя произведения Б.С. Житкова "Храбрый утенок"</w:t>
            </w:r>
          </w:p>
        </w:tc>
      </w:tr>
      <w:tr w14:paraId="7D047A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79837FC7">
            <w:pPr>
              <w:pStyle w:val="85"/>
              <w:rPr>
                <w:color w:val="auto"/>
                <w:sz w:val="22"/>
                <w:szCs w:val="22"/>
              </w:rPr>
            </w:pPr>
            <w:r>
              <w:rPr>
                <w:color w:val="auto"/>
                <w:sz w:val="22"/>
                <w:szCs w:val="22"/>
              </w:rPr>
              <w:t>Урок 79</w:t>
            </w:r>
          </w:p>
        </w:tc>
        <w:tc>
          <w:tcPr>
            <w:tcW w:w="7937" w:type="dxa"/>
            <w:vAlign w:val="center"/>
          </w:tcPr>
          <w:p w14:paraId="6E5CCB4D">
            <w:pPr>
              <w:pStyle w:val="85"/>
              <w:jc w:val="both"/>
              <w:rPr>
                <w:color w:val="auto"/>
                <w:sz w:val="22"/>
                <w:szCs w:val="22"/>
              </w:rPr>
            </w:pPr>
            <w:r>
              <w:rPr>
                <w:color w:val="auto"/>
                <w:sz w:val="22"/>
                <w:szCs w:val="22"/>
              </w:rPr>
              <w:t>Отражение темы "Дружба животных" в стихотворении В.Д. Берестова "Кошкин щенок" и других на выбор</w:t>
            </w:r>
          </w:p>
        </w:tc>
      </w:tr>
      <w:tr w14:paraId="4C6ECB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1CC06D89">
            <w:pPr>
              <w:pStyle w:val="85"/>
              <w:rPr>
                <w:color w:val="auto"/>
                <w:sz w:val="22"/>
                <w:szCs w:val="22"/>
              </w:rPr>
            </w:pPr>
            <w:r>
              <w:rPr>
                <w:color w:val="auto"/>
                <w:sz w:val="22"/>
                <w:szCs w:val="22"/>
              </w:rPr>
              <w:t>Урок 80</w:t>
            </w:r>
          </w:p>
        </w:tc>
        <w:tc>
          <w:tcPr>
            <w:tcW w:w="7937" w:type="dxa"/>
            <w:vAlign w:val="center"/>
          </w:tcPr>
          <w:p w14:paraId="31FA4ADE">
            <w:pPr>
              <w:pStyle w:val="85"/>
              <w:jc w:val="both"/>
              <w:rPr>
                <w:color w:val="auto"/>
                <w:sz w:val="22"/>
                <w:szCs w:val="22"/>
              </w:rPr>
            </w:pPr>
            <w:r>
              <w:rPr>
                <w:color w:val="auto"/>
                <w:sz w:val="22"/>
                <w:szCs w:val="22"/>
              </w:rPr>
              <w:t>Сравнение описания животных в художественном и научно-познавательном тексте</w:t>
            </w:r>
          </w:p>
        </w:tc>
      </w:tr>
      <w:tr w14:paraId="4F290A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15254FBC">
            <w:pPr>
              <w:pStyle w:val="85"/>
              <w:rPr>
                <w:color w:val="auto"/>
                <w:sz w:val="22"/>
                <w:szCs w:val="22"/>
              </w:rPr>
            </w:pPr>
            <w:r>
              <w:rPr>
                <w:color w:val="auto"/>
                <w:sz w:val="22"/>
                <w:szCs w:val="22"/>
              </w:rPr>
              <w:t>Урок 81</w:t>
            </w:r>
          </w:p>
        </w:tc>
        <w:tc>
          <w:tcPr>
            <w:tcW w:w="7937" w:type="dxa"/>
            <w:vAlign w:val="center"/>
          </w:tcPr>
          <w:p w14:paraId="251F8377">
            <w:pPr>
              <w:pStyle w:val="85"/>
              <w:jc w:val="both"/>
              <w:rPr>
                <w:color w:val="auto"/>
                <w:sz w:val="22"/>
                <w:szCs w:val="22"/>
              </w:rPr>
            </w:pPr>
            <w:r>
              <w:rPr>
                <w:color w:val="auto"/>
                <w:sz w:val="22"/>
                <w:szCs w:val="22"/>
              </w:rPr>
              <w:t>Представление темы "Отношение человека к животным" в произведениях писателей</w:t>
            </w:r>
          </w:p>
        </w:tc>
      </w:tr>
      <w:tr w14:paraId="2327A9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3FDD252A">
            <w:pPr>
              <w:pStyle w:val="85"/>
              <w:rPr>
                <w:color w:val="auto"/>
                <w:sz w:val="22"/>
                <w:szCs w:val="22"/>
              </w:rPr>
            </w:pPr>
            <w:r>
              <w:rPr>
                <w:color w:val="auto"/>
                <w:sz w:val="22"/>
                <w:szCs w:val="22"/>
              </w:rPr>
              <w:t>Урок 82</w:t>
            </w:r>
          </w:p>
        </w:tc>
        <w:tc>
          <w:tcPr>
            <w:tcW w:w="7937" w:type="dxa"/>
            <w:vAlign w:val="center"/>
          </w:tcPr>
          <w:p w14:paraId="79EE848D">
            <w:pPr>
              <w:pStyle w:val="85"/>
              <w:jc w:val="both"/>
              <w:rPr>
                <w:color w:val="auto"/>
                <w:sz w:val="22"/>
                <w:szCs w:val="22"/>
              </w:rPr>
            </w:pPr>
            <w:r>
              <w:rPr>
                <w:color w:val="auto"/>
                <w:sz w:val="22"/>
                <w:szCs w:val="22"/>
              </w:rPr>
              <w:t>Отражение нравственно-этических понятий (защита и забота о животных) на примере рассказа М.М. Пришвина "Ребята и утята" и других на выбор</w:t>
            </w:r>
          </w:p>
        </w:tc>
      </w:tr>
      <w:tr w14:paraId="595DF8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7A21CEBF">
            <w:pPr>
              <w:pStyle w:val="85"/>
              <w:rPr>
                <w:color w:val="auto"/>
                <w:sz w:val="22"/>
                <w:szCs w:val="22"/>
              </w:rPr>
            </w:pPr>
            <w:r>
              <w:rPr>
                <w:color w:val="auto"/>
                <w:sz w:val="22"/>
                <w:szCs w:val="22"/>
              </w:rPr>
              <w:t>Урок 83</w:t>
            </w:r>
          </w:p>
        </w:tc>
        <w:tc>
          <w:tcPr>
            <w:tcW w:w="7937" w:type="dxa"/>
            <w:vAlign w:val="center"/>
          </w:tcPr>
          <w:p w14:paraId="69401859">
            <w:pPr>
              <w:pStyle w:val="85"/>
              <w:jc w:val="both"/>
              <w:rPr>
                <w:color w:val="auto"/>
                <w:sz w:val="22"/>
                <w:szCs w:val="22"/>
              </w:rPr>
            </w:pPr>
            <w:r>
              <w:rPr>
                <w:color w:val="auto"/>
                <w:sz w:val="22"/>
                <w:szCs w:val="22"/>
              </w:rPr>
              <w:t>Образы героев стихотворных и прозаических произведений о животных</w:t>
            </w:r>
          </w:p>
        </w:tc>
      </w:tr>
      <w:tr w14:paraId="3D4A65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78A3F92F">
            <w:pPr>
              <w:pStyle w:val="85"/>
              <w:rPr>
                <w:color w:val="auto"/>
                <w:sz w:val="22"/>
                <w:szCs w:val="22"/>
              </w:rPr>
            </w:pPr>
            <w:r>
              <w:rPr>
                <w:color w:val="auto"/>
                <w:sz w:val="22"/>
                <w:szCs w:val="22"/>
              </w:rPr>
              <w:t>Урок 84</w:t>
            </w:r>
          </w:p>
        </w:tc>
        <w:tc>
          <w:tcPr>
            <w:tcW w:w="7937" w:type="dxa"/>
            <w:vAlign w:val="center"/>
          </w:tcPr>
          <w:p w14:paraId="1175DD6A">
            <w:pPr>
              <w:pStyle w:val="85"/>
              <w:jc w:val="both"/>
              <w:rPr>
                <w:color w:val="auto"/>
                <w:sz w:val="22"/>
                <w:szCs w:val="22"/>
              </w:rPr>
            </w:pPr>
            <w:r>
              <w:rPr>
                <w:color w:val="auto"/>
                <w:sz w:val="22"/>
                <w:szCs w:val="22"/>
              </w:rPr>
              <w:t>Тематическое повторение по итогам раздела "О братьях наших меньших"</w:t>
            </w:r>
          </w:p>
        </w:tc>
      </w:tr>
      <w:tr w14:paraId="793758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51066A33">
            <w:pPr>
              <w:pStyle w:val="85"/>
              <w:rPr>
                <w:color w:val="auto"/>
                <w:sz w:val="22"/>
                <w:szCs w:val="22"/>
              </w:rPr>
            </w:pPr>
            <w:r>
              <w:rPr>
                <w:color w:val="auto"/>
                <w:sz w:val="22"/>
                <w:szCs w:val="22"/>
              </w:rPr>
              <w:t>Урок 85</w:t>
            </w:r>
          </w:p>
        </w:tc>
        <w:tc>
          <w:tcPr>
            <w:tcW w:w="7937" w:type="dxa"/>
            <w:vAlign w:val="center"/>
          </w:tcPr>
          <w:p w14:paraId="1B060EBE">
            <w:pPr>
              <w:pStyle w:val="85"/>
              <w:jc w:val="both"/>
              <w:rPr>
                <w:color w:val="auto"/>
                <w:sz w:val="22"/>
                <w:szCs w:val="22"/>
              </w:rPr>
            </w:pPr>
            <w:r>
              <w:rPr>
                <w:color w:val="auto"/>
                <w:sz w:val="22"/>
                <w:szCs w:val="22"/>
              </w:rPr>
              <w:t>Знакомство с художниками-иллюстраторами, анималистами Е.И. Чарушиным, В.В. Бианки</w:t>
            </w:r>
          </w:p>
        </w:tc>
      </w:tr>
      <w:tr w14:paraId="0A2CD7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6F8B9279">
            <w:pPr>
              <w:pStyle w:val="85"/>
              <w:rPr>
                <w:color w:val="auto"/>
                <w:sz w:val="22"/>
                <w:szCs w:val="22"/>
              </w:rPr>
            </w:pPr>
            <w:r>
              <w:rPr>
                <w:color w:val="auto"/>
                <w:sz w:val="22"/>
                <w:szCs w:val="22"/>
              </w:rPr>
              <w:t>Урок 86</w:t>
            </w:r>
          </w:p>
        </w:tc>
        <w:tc>
          <w:tcPr>
            <w:tcW w:w="7937" w:type="dxa"/>
            <w:vAlign w:val="center"/>
          </w:tcPr>
          <w:p w14:paraId="67AB5307">
            <w:pPr>
              <w:pStyle w:val="85"/>
              <w:jc w:val="both"/>
              <w:rPr>
                <w:color w:val="auto"/>
                <w:sz w:val="22"/>
                <w:szCs w:val="22"/>
              </w:rPr>
            </w:pPr>
            <w:r>
              <w:rPr>
                <w:color w:val="auto"/>
                <w:sz w:val="22"/>
                <w:szCs w:val="22"/>
              </w:rPr>
              <w:t>Работа с детскими книгами на тему: "О братьях наших меньших": составление аннотации</w:t>
            </w:r>
          </w:p>
        </w:tc>
      </w:tr>
      <w:tr w14:paraId="4B3173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0F4AE233">
            <w:pPr>
              <w:pStyle w:val="85"/>
              <w:rPr>
                <w:color w:val="auto"/>
                <w:sz w:val="22"/>
                <w:szCs w:val="22"/>
              </w:rPr>
            </w:pPr>
            <w:r>
              <w:rPr>
                <w:color w:val="auto"/>
                <w:sz w:val="22"/>
                <w:szCs w:val="22"/>
              </w:rPr>
              <w:t>Урок 87</w:t>
            </w:r>
          </w:p>
        </w:tc>
        <w:tc>
          <w:tcPr>
            <w:tcW w:w="7937" w:type="dxa"/>
            <w:vAlign w:val="center"/>
          </w:tcPr>
          <w:p w14:paraId="7A9DF7D7">
            <w:pPr>
              <w:pStyle w:val="85"/>
              <w:jc w:val="both"/>
              <w:rPr>
                <w:color w:val="auto"/>
                <w:sz w:val="22"/>
                <w:szCs w:val="22"/>
              </w:rPr>
            </w:pPr>
            <w:r>
              <w:rPr>
                <w:color w:val="auto"/>
                <w:sz w:val="22"/>
                <w:szCs w:val="22"/>
              </w:rPr>
              <w:t>Старинные народные весенние праздники и обряды. Заклички, веснянки</w:t>
            </w:r>
          </w:p>
        </w:tc>
      </w:tr>
      <w:tr w14:paraId="59F1EA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261AF831">
            <w:pPr>
              <w:pStyle w:val="85"/>
              <w:rPr>
                <w:color w:val="auto"/>
                <w:sz w:val="22"/>
                <w:szCs w:val="22"/>
              </w:rPr>
            </w:pPr>
            <w:r>
              <w:rPr>
                <w:color w:val="auto"/>
                <w:sz w:val="22"/>
                <w:szCs w:val="22"/>
              </w:rPr>
              <w:t>Урок 88</w:t>
            </w:r>
          </w:p>
        </w:tc>
        <w:tc>
          <w:tcPr>
            <w:tcW w:w="7937" w:type="dxa"/>
            <w:vAlign w:val="center"/>
          </w:tcPr>
          <w:p w14:paraId="338A7EFC">
            <w:pPr>
              <w:pStyle w:val="85"/>
              <w:jc w:val="both"/>
              <w:rPr>
                <w:color w:val="auto"/>
                <w:sz w:val="22"/>
                <w:szCs w:val="22"/>
              </w:rPr>
            </w:pPr>
            <w:r>
              <w:rPr>
                <w:color w:val="auto"/>
                <w:sz w:val="22"/>
                <w:szCs w:val="22"/>
              </w:rPr>
              <w:t>Народная наблюдательность, выраженная в малых жанрах устного народного творчества (фольклоре)</w:t>
            </w:r>
          </w:p>
        </w:tc>
      </w:tr>
      <w:tr w14:paraId="58ED4C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5AEB0C8B">
            <w:pPr>
              <w:pStyle w:val="85"/>
              <w:rPr>
                <w:color w:val="auto"/>
                <w:sz w:val="22"/>
                <w:szCs w:val="22"/>
              </w:rPr>
            </w:pPr>
            <w:r>
              <w:rPr>
                <w:color w:val="auto"/>
                <w:sz w:val="22"/>
                <w:szCs w:val="22"/>
              </w:rPr>
              <w:t>Урок 89</w:t>
            </w:r>
          </w:p>
        </w:tc>
        <w:tc>
          <w:tcPr>
            <w:tcW w:w="7937" w:type="dxa"/>
            <w:vAlign w:val="center"/>
          </w:tcPr>
          <w:p w14:paraId="60FCEC74">
            <w:pPr>
              <w:pStyle w:val="85"/>
              <w:jc w:val="both"/>
              <w:rPr>
                <w:color w:val="auto"/>
                <w:sz w:val="22"/>
                <w:szCs w:val="22"/>
              </w:rPr>
            </w:pPr>
            <w:r>
              <w:rPr>
                <w:color w:val="auto"/>
                <w:sz w:val="22"/>
                <w:szCs w:val="22"/>
              </w:rPr>
              <w:t>Наблюдение за описанием весны в художественном тексте. Произведения по выбору, например, А.П. Чехов "Весной" (отрывок)</w:t>
            </w:r>
          </w:p>
        </w:tc>
      </w:tr>
      <w:tr w14:paraId="157FCE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46A92417">
            <w:pPr>
              <w:pStyle w:val="85"/>
              <w:rPr>
                <w:color w:val="auto"/>
                <w:sz w:val="22"/>
                <w:szCs w:val="22"/>
              </w:rPr>
            </w:pPr>
            <w:r>
              <w:rPr>
                <w:color w:val="auto"/>
                <w:sz w:val="22"/>
                <w:szCs w:val="22"/>
              </w:rPr>
              <w:t>Урок 90</w:t>
            </w:r>
          </w:p>
        </w:tc>
        <w:tc>
          <w:tcPr>
            <w:tcW w:w="7937" w:type="dxa"/>
            <w:vAlign w:val="center"/>
          </w:tcPr>
          <w:p w14:paraId="40B1F7A5">
            <w:pPr>
              <w:pStyle w:val="85"/>
              <w:jc w:val="both"/>
              <w:rPr>
                <w:color w:val="auto"/>
                <w:sz w:val="22"/>
                <w:szCs w:val="22"/>
              </w:rPr>
            </w:pPr>
            <w:r>
              <w:rPr>
                <w:color w:val="auto"/>
                <w:sz w:val="22"/>
                <w:szCs w:val="22"/>
              </w:rPr>
              <w:t>Картины весеннего леса в рассказе Г.А. Скребицкого "Четыре художника"</w:t>
            </w:r>
          </w:p>
        </w:tc>
      </w:tr>
      <w:tr w14:paraId="0E0DDE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13A37460">
            <w:pPr>
              <w:pStyle w:val="85"/>
              <w:rPr>
                <w:color w:val="auto"/>
                <w:sz w:val="22"/>
                <w:szCs w:val="22"/>
              </w:rPr>
            </w:pPr>
            <w:r>
              <w:rPr>
                <w:color w:val="auto"/>
                <w:sz w:val="22"/>
                <w:szCs w:val="22"/>
              </w:rPr>
              <w:t>Урок 91</w:t>
            </w:r>
          </w:p>
        </w:tc>
        <w:tc>
          <w:tcPr>
            <w:tcW w:w="7937" w:type="dxa"/>
            <w:vAlign w:val="center"/>
          </w:tcPr>
          <w:p w14:paraId="746EF13F">
            <w:pPr>
              <w:pStyle w:val="85"/>
              <w:jc w:val="both"/>
              <w:rPr>
                <w:color w:val="auto"/>
                <w:sz w:val="22"/>
                <w:szCs w:val="22"/>
              </w:rPr>
            </w:pPr>
            <w:r>
              <w:rPr>
                <w:color w:val="auto"/>
                <w:sz w:val="22"/>
                <w:szCs w:val="22"/>
              </w:rPr>
              <w:t>Средства художественной выразительности в стихотворениях о весне. Произведения по выбору, например, С.Я. Маршак "Весенняя песенка"</w:t>
            </w:r>
          </w:p>
        </w:tc>
      </w:tr>
      <w:tr w14:paraId="0AEDE1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795AD1E1">
            <w:pPr>
              <w:pStyle w:val="85"/>
              <w:rPr>
                <w:color w:val="auto"/>
                <w:sz w:val="22"/>
                <w:szCs w:val="22"/>
              </w:rPr>
            </w:pPr>
            <w:r>
              <w:rPr>
                <w:color w:val="auto"/>
                <w:sz w:val="22"/>
                <w:szCs w:val="22"/>
              </w:rPr>
              <w:t>Урок 92</w:t>
            </w:r>
          </w:p>
        </w:tc>
        <w:tc>
          <w:tcPr>
            <w:tcW w:w="7937" w:type="dxa"/>
            <w:vAlign w:val="center"/>
          </w:tcPr>
          <w:p w14:paraId="0FA5BFE5">
            <w:pPr>
              <w:pStyle w:val="85"/>
              <w:jc w:val="both"/>
              <w:rPr>
                <w:color w:val="auto"/>
                <w:sz w:val="22"/>
                <w:szCs w:val="22"/>
              </w:rPr>
            </w:pPr>
            <w:r>
              <w:rPr>
                <w:color w:val="auto"/>
                <w:sz w:val="22"/>
                <w:szCs w:val="22"/>
              </w:rPr>
              <w:t>Работа со стихотворением Ф.И. Тютчева "Зима недаром злится": выделение средств художественной выразительности</w:t>
            </w:r>
          </w:p>
        </w:tc>
      </w:tr>
      <w:tr w14:paraId="314884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4C2DE36A">
            <w:pPr>
              <w:pStyle w:val="85"/>
              <w:rPr>
                <w:color w:val="auto"/>
                <w:sz w:val="22"/>
                <w:szCs w:val="22"/>
              </w:rPr>
            </w:pPr>
            <w:r>
              <w:rPr>
                <w:color w:val="auto"/>
                <w:sz w:val="22"/>
                <w:szCs w:val="22"/>
              </w:rPr>
              <w:t>Урок 93</w:t>
            </w:r>
          </w:p>
        </w:tc>
        <w:tc>
          <w:tcPr>
            <w:tcW w:w="7937" w:type="dxa"/>
            <w:vAlign w:val="center"/>
          </w:tcPr>
          <w:p w14:paraId="40E99BA4">
            <w:pPr>
              <w:pStyle w:val="85"/>
              <w:jc w:val="both"/>
              <w:rPr>
                <w:color w:val="auto"/>
                <w:sz w:val="22"/>
                <w:szCs w:val="22"/>
              </w:rPr>
            </w:pPr>
            <w:r>
              <w:rPr>
                <w:color w:val="auto"/>
                <w:sz w:val="22"/>
                <w:szCs w:val="22"/>
              </w:rPr>
              <w:t>Жизнь животных весной: рассказы и сказки писателей. Произведения по выбору, например, сказки и рассказы Н.И. Сладкова</w:t>
            </w:r>
          </w:p>
        </w:tc>
      </w:tr>
      <w:tr w14:paraId="31B114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45970D33">
            <w:pPr>
              <w:pStyle w:val="85"/>
              <w:rPr>
                <w:color w:val="auto"/>
                <w:sz w:val="22"/>
                <w:szCs w:val="22"/>
              </w:rPr>
            </w:pPr>
            <w:r>
              <w:rPr>
                <w:color w:val="auto"/>
                <w:sz w:val="22"/>
                <w:szCs w:val="22"/>
              </w:rPr>
              <w:t>Урок 94</w:t>
            </w:r>
          </w:p>
        </w:tc>
        <w:tc>
          <w:tcPr>
            <w:tcW w:w="7937" w:type="dxa"/>
            <w:vAlign w:val="center"/>
          </w:tcPr>
          <w:p w14:paraId="5AF440FF">
            <w:pPr>
              <w:pStyle w:val="85"/>
              <w:jc w:val="both"/>
              <w:rPr>
                <w:color w:val="auto"/>
                <w:sz w:val="22"/>
                <w:szCs w:val="22"/>
              </w:rPr>
            </w:pPr>
            <w:r>
              <w:rPr>
                <w:color w:val="auto"/>
                <w:sz w:val="22"/>
                <w:szCs w:val="22"/>
              </w:rPr>
              <w:t>Красота весенней природы, отраженная в лирических произведениях. Произведения по выбору, например, А.А. Фет "Уж верба вся пушистая"</w:t>
            </w:r>
          </w:p>
        </w:tc>
      </w:tr>
      <w:tr w14:paraId="788CE6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7E741D49">
            <w:pPr>
              <w:pStyle w:val="85"/>
              <w:rPr>
                <w:color w:val="auto"/>
                <w:sz w:val="22"/>
                <w:szCs w:val="22"/>
              </w:rPr>
            </w:pPr>
            <w:r>
              <w:rPr>
                <w:color w:val="auto"/>
                <w:sz w:val="22"/>
                <w:szCs w:val="22"/>
              </w:rPr>
              <w:t>Урок 95</w:t>
            </w:r>
          </w:p>
        </w:tc>
        <w:tc>
          <w:tcPr>
            <w:tcW w:w="7937" w:type="dxa"/>
            <w:vAlign w:val="center"/>
          </w:tcPr>
          <w:p w14:paraId="0DE7CC26">
            <w:pPr>
              <w:pStyle w:val="85"/>
              <w:jc w:val="both"/>
              <w:rPr>
                <w:color w:val="auto"/>
                <w:sz w:val="22"/>
                <w:szCs w:val="22"/>
              </w:rPr>
            </w:pPr>
            <w:r>
              <w:rPr>
                <w:color w:val="auto"/>
                <w:sz w:val="22"/>
                <w:szCs w:val="22"/>
              </w:rPr>
              <w:t>Звуки весеннего леса и картины пробуждающейся природы в произведения писателей. Произведения по выбору, например, Г.А. Скребицкий "Весенняя песня"</w:t>
            </w:r>
          </w:p>
        </w:tc>
      </w:tr>
      <w:tr w14:paraId="409F14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54DB8015">
            <w:pPr>
              <w:pStyle w:val="85"/>
              <w:rPr>
                <w:color w:val="auto"/>
                <w:sz w:val="22"/>
                <w:szCs w:val="22"/>
              </w:rPr>
            </w:pPr>
            <w:r>
              <w:rPr>
                <w:color w:val="auto"/>
                <w:sz w:val="22"/>
                <w:szCs w:val="22"/>
              </w:rPr>
              <w:t>Урок 96</w:t>
            </w:r>
          </w:p>
        </w:tc>
        <w:tc>
          <w:tcPr>
            <w:tcW w:w="7937" w:type="dxa"/>
            <w:vAlign w:val="center"/>
          </w:tcPr>
          <w:p w14:paraId="0B83716D">
            <w:pPr>
              <w:pStyle w:val="85"/>
              <w:jc w:val="both"/>
              <w:rPr>
                <w:color w:val="auto"/>
                <w:sz w:val="22"/>
                <w:szCs w:val="22"/>
              </w:rPr>
            </w:pPr>
            <w:r>
              <w:rPr>
                <w:color w:val="auto"/>
                <w:sz w:val="22"/>
                <w:szCs w:val="22"/>
              </w:rPr>
              <w:t>Восприятие весеннего пейзажа в лирических произведениях</w:t>
            </w:r>
          </w:p>
        </w:tc>
      </w:tr>
      <w:tr w14:paraId="29357C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379A71C9">
            <w:pPr>
              <w:pStyle w:val="85"/>
              <w:rPr>
                <w:color w:val="auto"/>
                <w:sz w:val="22"/>
                <w:szCs w:val="22"/>
              </w:rPr>
            </w:pPr>
            <w:r>
              <w:rPr>
                <w:color w:val="auto"/>
                <w:sz w:val="22"/>
                <w:szCs w:val="22"/>
              </w:rPr>
              <w:t>Урок 97</w:t>
            </w:r>
          </w:p>
        </w:tc>
        <w:tc>
          <w:tcPr>
            <w:tcW w:w="7937" w:type="dxa"/>
            <w:vAlign w:val="center"/>
          </w:tcPr>
          <w:p w14:paraId="06AABED1">
            <w:pPr>
              <w:pStyle w:val="85"/>
              <w:jc w:val="both"/>
              <w:rPr>
                <w:color w:val="auto"/>
                <w:sz w:val="22"/>
                <w:szCs w:val="22"/>
              </w:rPr>
            </w:pPr>
            <w:r>
              <w:rPr>
                <w:color w:val="auto"/>
                <w:sz w:val="22"/>
                <w:szCs w:val="22"/>
              </w:rPr>
              <w:t>Тема прихода весны в произведениях В.А. Жуковского "Жаворонок" и "Приход весны"</w:t>
            </w:r>
          </w:p>
        </w:tc>
      </w:tr>
      <w:tr w14:paraId="6F2669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12B5A539">
            <w:pPr>
              <w:pStyle w:val="85"/>
              <w:rPr>
                <w:color w:val="auto"/>
                <w:sz w:val="22"/>
                <w:szCs w:val="22"/>
              </w:rPr>
            </w:pPr>
            <w:r>
              <w:rPr>
                <w:color w:val="auto"/>
                <w:sz w:val="22"/>
                <w:szCs w:val="22"/>
              </w:rPr>
              <w:t>Урок 98</w:t>
            </w:r>
          </w:p>
        </w:tc>
        <w:tc>
          <w:tcPr>
            <w:tcW w:w="7937" w:type="dxa"/>
            <w:vAlign w:val="center"/>
          </w:tcPr>
          <w:p w14:paraId="54D74FFF">
            <w:pPr>
              <w:pStyle w:val="85"/>
              <w:jc w:val="both"/>
              <w:rPr>
                <w:color w:val="auto"/>
                <w:sz w:val="22"/>
                <w:szCs w:val="22"/>
              </w:rPr>
            </w:pPr>
            <w:r>
              <w:rPr>
                <w:color w:val="auto"/>
                <w:sz w:val="22"/>
                <w:szCs w:val="22"/>
              </w:rPr>
              <w:t>Признаки весны, отраженные в произведениях писателей</w:t>
            </w:r>
          </w:p>
        </w:tc>
      </w:tr>
      <w:tr w14:paraId="2B70DC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49F07D73">
            <w:pPr>
              <w:pStyle w:val="85"/>
              <w:rPr>
                <w:color w:val="auto"/>
                <w:sz w:val="22"/>
                <w:szCs w:val="22"/>
              </w:rPr>
            </w:pPr>
            <w:r>
              <w:rPr>
                <w:color w:val="auto"/>
                <w:sz w:val="22"/>
                <w:szCs w:val="22"/>
              </w:rPr>
              <w:t>Урок 99</w:t>
            </w:r>
          </w:p>
        </w:tc>
        <w:tc>
          <w:tcPr>
            <w:tcW w:w="7937" w:type="dxa"/>
            <w:vAlign w:val="center"/>
          </w:tcPr>
          <w:p w14:paraId="26F4C280">
            <w:pPr>
              <w:pStyle w:val="85"/>
              <w:jc w:val="both"/>
              <w:rPr>
                <w:color w:val="auto"/>
                <w:sz w:val="22"/>
                <w:szCs w:val="22"/>
              </w:rPr>
            </w:pPr>
            <w:r>
              <w:rPr>
                <w:color w:val="auto"/>
                <w:sz w:val="22"/>
                <w:szCs w:val="22"/>
              </w:rPr>
              <w:t>Сравнение образов одуванчика в произведениях О.И. Высотской "Одуванчик" и М.М. Пришвина "Золотой луг"</w:t>
            </w:r>
          </w:p>
        </w:tc>
      </w:tr>
      <w:tr w14:paraId="29B3FB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514B7735">
            <w:pPr>
              <w:pStyle w:val="85"/>
              <w:rPr>
                <w:color w:val="auto"/>
                <w:sz w:val="22"/>
                <w:szCs w:val="22"/>
              </w:rPr>
            </w:pPr>
            <w:r>
              <w:rPr>
                <w:color w:val="auto"/>
                <w:sz w:val="22"/>
                <w:szCs w:val="22"/>
              </w:rPr>
              <w:t>Урок 100</w:t>
            </w:r>
          </w:p>
        </w:tc>
        <w:tc>
          <w:tcPr>
            <w:tcW w:w="7937" w:type="dxa"/>
            <w:vAlign w:val="center"/>
          </w:tcPr>
          <w:p w14:paraId="0DAD2818">
            <w:pPr>
              <w:pStyle w:val="85"/>
              <w:jc w:val="both"/>
              <w:rPr>
                <w:color w:val="auto"/>
                <w:sz w:val="22"/>
                <w:szCs w:val="22"/>
              </w:rPr>
            </w:pPr>
            <w:r>
              <w:rPr>
                <w:color w:val="auto"/>
                <w:sz w:val="22"/>
                <w:szCs w:val="22"/>
              </w:rPr>
              <w:t>Создание весеннего пейзажа в произведениях писателей</w:t>
            </w:r>
          </w:p>
        </w:tc>
      </w:tr>
      <w:tr w14:paraId="3BB194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238BD4C9">
            <w:pPr>
              <w:pStyle w:val="85"/>
              <w:rPr>
                <w:color w:val="auto"/>
                <w:sz w:val="22"/>
                <w:szCs w:val="22"/>
              </w:rPr>
            </w:pPr>
            <w:r>
              <w:rPr>
                <w:color w:val="auto"/>
                <w:sz w:val="22"/>
                <w:szCs w:val="22"/>
              </w:rPr>
              <w:t>Урок 101</w:t>
            </w:r>
          </w:p>
        </w:tc>
        <w:tc>
          <w:tcPr>
            <w:tcW w:w="7937" w:type="dxa"/>
            <w:vAlign w:val="center"/>
          </w:tcPr>
          <w:p w14:paraId="14783906">
            <w:pPr>
              <w:pStyle w:val="85"/>
              <w:jc w:val="both"/>
              <w:rPr>
                <w:color w:val="auto"/>
                <w:sz w:val="22"/>
                <w:szCs w:val="22"/>
              </w:rPr>
            </w:pPr>
            <w:r>
              <w:rPr>
                <w:color w:val="auto"/>
                <w:sz w:val="22"/>
                <w:szCs w:val="22"/>
              </w:rPr>
              <w:t>Составление устного рассказа "Краски и звуки весеннего леса" по изученным текстам</w:t>
            </w:r>
          </w:p>
        </w:tc>
      </w:tr>
      <w:tr w14:paraId="3429A9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5F5999BD">
            <w:pPr>
              <w:pStyle w:val="85"/>
              <w:rPr>
                <w:color w:val="auto"/>
                <w:sz w:val="22"/>
                <w:szCs w:val="22"/>
              </w:rPr>
            </w:pPr>
            <w:r>
              <w:rPr>
                <w:color w:val="auto"/>
                <w:sz w:val="22"/>
                <w:szCs w:val="22"/>
              </w:rPr>
              <w:t>Урок 102</w:t>
            </w:r>
          </w:p>
        </w:tc>
        <w:tc>
          <w:tcPr>
            <w:tcW w:w="7937" w:type="dxa"/>
            <w:vAlign w:val="center"/>
          </w:tcPr>
          <w:p w14:paraId="3784E1AB">
            <w:pPr>
              <w:pStyle w:val="85"/>
              <w:jc w:val="both"/>
              <w:rPr>
                <w:color w:val="auto"/>
                <w:sz w:val="22"/>
                <w:szCs w:val="22"/>
              </w:rPr>
            </w:pPr>
            <w:r>
              <w:rPr>
                <w:color w:val="auto"/>
                <w:sz w:val="22"/>
                <w:szCs w:val="22"/>
              </w:rPr>
              <w:t>Тематическое повторение по итогам раздела "Звуки и краски весенней природы"</w:t>
            </w:r>
          </w:p>
        </w:tc>
      </w:tr>
      <w:tr w14:paraId="76C60F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346D669C">
            <w:pPr>
              <w:pStyle w:val="85"/>
              <w:rPr>
                <w:color w:val="auto"/>
                <w:sz w:val="22"/>
                <w:szCs w:val="22"/>
              </w:rPr>
            </w:pPr>
            <w:r>
              <w:rPr>
                <w:color w:val="auto"/>
                <w:sz w:val="22"/>
                <w:szCs w:val="22"/>
              </w:rPr>
              <w:t>Урок 103</w:t>
            </w:r>
          </w:p>
        </w:tc>
        <w:tc>
          <w:tcPr>
            <w:tcW w:w="7937" w:type="dxa"/>
            <w:vAlign w:val="center"/>
          </w:tcPr>
          <w:p w14:paraId="3F00D0CC">
            <w:pPr>
              <w:pStyle w:val="85"/>
              <w:jc w:val="both"/>
              <w:rPr>
                <w:color w:val="auto"/>
                <w:sz w:val="22"/>
                <w:szCs w:val="22"/>
              </w:rPr>
            </w:pPr>
            <w:r>
              <w:rPr>
                <w:color w:val="auto"/>
                <w:sz w:val="22"/>
                <w:szCs w:val="22"/>
              </w:rPr>
              <w:t>Восприятие произведений о весне. Выделение средств художественной выразительности (сравнение, эпитет)</w:t>
            </w:r>
          </w:p>
        </w:tc>
      </w:tr>
      <w:tr w14:paraId="7675F2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1AE1A47F">
            <w:pPr>
              <w:pStyle w:val="85"/>
              <w:rPr>
                <w:color w:val="auto"/>
                <w:sz w:val="22"/>
                <w:szCs w:val="22"/>
              </w:rPr>
            </w:pPr>
            <w:r>
              <w:rPr>
                <w:color w:val="auto"/>
                <w:sz w:val="22"/>
                <w:szCs w:val="22"/>
              </w:rPr>
              <w:t>Урок 104</w:t>
            </w:r>
          </w:p>
        </w:tc>
        <w:tc>
          <w:tcPr>
            <w:tcW w:w="7937" w:type="dxa"/>
            <w:vAlign w:val="center"/>
          </w:tcPr>
          <w:p w14:paraId="6E810AA7">
            <w:pPr>
              <w:pStyle w:val="85"/>
              <w:jc w:val="both"/>
              <w:rPr>
                <w:color w:val="auto"/>
                <w:sz w:val="22"/>
                <w:szCs w:val="22"/>
              </w:rPr>
            </w:pPr>
            <w:r>
              <w:rPr>
                <w:color w:val="auto"/>
                <w:sz w:val="22"/>
                <w:szCs w:val="22"/>
              </w:rPr>
              <w:t>Тема "Природа весной" в картинах художников и произведениях композиторов</w:t>
            </w:r>
          </w:p>
        </w:tc>
      </w:tr>
      <w:tr w14:paraId="5EAC73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040DDEB3">
            <w:pPr>
              <w:pStyle w:val="85"/>
              <w:rPr>
                <w:color w:val="auto"/>
                <w:sz w:val="22"/>
                <w:szCs w:val="22"/>
              </w:rPr>
            </w:pPr>
            <w:r>
              <w:rPr>
                <w:color w:val="auto"/>
                <w:sz w:val="22"/>
                <w:szCs w:val="22"/>
              </w:rPr>
              <w:t>Урок 105</w:t>
            </w:r>
          </w:p>
        </w:tc>
        <w:tc>
          <w:tcPr>
            <w:tcW w:w="7937" w:type="dxa"/>
            <w:vAlign w:val="center"/>
          </w:tcPr>
          <w:p w14:paraId="7A00D99F">
            <w:pPr>
              <w:pStyle w:val="85"/>
              <w:jc w:val="both"/>
              <w:rPr>
                <w:color w:val="auto"/>
                <w:sz w:val="22"/>
                <w:szCs w:val="22"/>
              </w:rPr>
            </w:pPr>
            <w:r>
              <w:rPr>
                <w:color w:val="auto"/>
                <w:sz w:val="22"/>
                <w:szCs w:val="22"/>
              </w:rPr>
              <w:t>Тема семьи в творчестве писателей. На примере произведения Л.Н. Толстого "Отец и сыновья" и других на выбор</w:t>
            </w:r>
          </w:p>
        </w:tc>
      </w:tr>
      <w:tr w14:paraId="2A5F79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134" w:type="dxa"/>
            <w:vAlign w:val="center"/>
          </w:tcPr>
          <w:p w14:paraId="62374157">
            <w:pPr>
              <w:pStyle w:val="85"/>
              <w:rPr>
                <w:color w:val="auto"/>
                <w:sz w:val="22"/>
                <w:szCs w:val="22"/>
              </w:rPr>
            </w:pPr>
            <w:r>
              <w:rPr>
                <w:color w:val="auto"/>
                <w:sz w:val="22"/>
                <w:szCs w:val="22"/>
              </w:rPr>
              <w:t>Урок 106</w:t>
            </w:r>
          </w:p>
        </w:tc>
        <w:tc>
          <w:tcPr>
            <w:tcW w:w="7937" w:type="dxa"/>
            <w:vAlign w:val="center"/>
          </w:tcPr>
          <w:p w14:paraId="38094846">
            <w:pPr>
              <w:pStyle w:val="85"/>
              <w:jc w:val="both"/>
              <w:rPr>
                <w:color w:val="auto"/>
                <w:sz w:val="22"/>
                <w:szCs w:val="22"/>
              </w:rPr>
            </w:pPr>
            <w:r>
              <w:rPr>
                <w:color w:val="auto"/>
                <w:sz w:val="22"/>
                <w:szCs w:val="22"/>
              </w:rPr>
              <w:t>Характеристика особенностей колыбельных народных песен: интонационный рисунок</w:t>
            </w:r>
          </w:p>
        </w:tc>
      </w:tr>
      <w:tr w14:paraId="7D67D1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188F6987">
            <w:pPr>
              <w:pStyle w:val="85"/>
              <w:rPr>
                <w:color w:val="auto"/>
                <w:sz w:val="22"/>
                <w:szCs w:val="22"/>
              </w:rPr>
            </w:pPr>
            <w:r>
              <w:rPr>
                <w:color w:val="auto"/>
                <w:sz w:val="22"/>
                <w:szCs w:val="22"/>
              </w:rPr>
              <w:t>Урок 107</w:t>
            </w:r>
          </w:p>
        </w:tc>
        <w:tc>
          <w:tcPr>
            <w:tcW w:w="7937" w:type="dxa"/>
            <w:vAlign w:val="center"/>
          </w:tcPr>
          <w:p w14:paraId="169B9A68">
            <w:pPr>
              <w:pStyle w:val="85"/>
              <w:jc w:val="both"/>
              <w:rPr>
                <w:color w:val="auto"/>
                <w:sz w:val="22"/>
                <w:szCs w:val="22"/>
              </w:rPr>
            </w:pPr>
            <w:r>
              <w:rPr>
                <w:color w:val="auto"/>
                <w:sz w:val="22"/>
                <w:szCs w:val="22"/>
              </w:rPr>
              <w:t>Сравнение народной колыбельной песни и стихотворения А.А. Плещеева "Песня матери": любовь и переживание матери</w:t>
            </w:r>
          </w:p>
        </w:tc>
      </w:tr>
      <w:tr w14:paraId="2BEA45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1CE75745">
            <w:pPr>
              <w:pStyle w:val="85"/>
              <w:rPr>
                <w:color w:val="auto"/>
                <w:sz w:val="22"/>
                <w:szCs w:val="22"/>
              </w:rPr>
            </w:pPr>
            <w:r>
              <w:rPr>
                <w:color w:val="auto"/>
                <w:sz w:val="22"/>
                <w:szCs w:val="22"/>
              </w:rPr>
              <w:t>Урок 108</w:t>
            </w:r>
          </w:p>
        </w:tc>
        <w:tc>
          <w:tcPr>
            <w:tcW w:w="7937" w:type="dxa"/>
            <w:vAlign w:val="center"/>
          </w:tcPr>
          <w:p w14:paraId="2A2142F8">
            <w:pPr>
              <w:pStyle w:val="85"/>
              <w:jc w:val="both"/>
              <w:rPr>
                <w:color w:val="auto"/>
                <w:sz w:val="22"/>
                <w:szCs w:val="22"/>
              </w:rPr>
            </w:pPr>
            <w:r>
              <w:rPr>
                <w:color w:val="auto"/>
                <w:sz w:val="22"/>
                <w:szCs w:val="22"/>
              </w:rPr>
              <w:t>Оценка взаимоотношений взрослых и детей на примере рассказа Е.А. Пермяка "Случай с кошельком"</w:t>
            </w:r>
          </w:p>
        </w:tc>
      </w:tr>
      <w:tr w14:paraId="337006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2FB42391">
            <w:pPr>
              <w:pStyle w:val="85"/>
              <w:rPr>
                <w:color w:val="auto"/>
                <w:sz w:val="22"/>
                <w:szCs w:val="22"/>
              </w:rPr>
            </w:pPr>
            <w:r>
              <w:rPr>
                <w:color w:val="auto"/>
                <w:sz w:val="22"/>
                <w:szCs w:val="22"/>
              </w:rPr>
              <w:t>Урок 109</w:t>
            </w:r>
          </w:p>
        </w:tc>
        <w:tc>
          <w:tcPr>
            <w:tcW w:w="7937" w:type="dxa"/>
            <w:vAlign w:val="center"/>
          </w:tcPr>
          <w:p w14:paraId="2406D560">
            <w:pPr>
              <w:pStyle w:val="85"/>
              <w:jc w:val="both"/>
              <w:rPr>
                <w:color w:val="auto"/>
                <w:sz w:val="22"/>
                <w:szCs w:val="22"/>
              </w:rPr>
            </w:pPr>
            <w:r>
              <w:rPr>
                <w:color w:val="auto"/>
                <w:sz w:val="22"/>
                <w:szCs w:val="22"/>
              </w:rPr>
              <w:t>Анализ заголовка и соотнесение его с главной мыслью произведения: В.А. Осеева "Сыновья"</w:t>
            </w:r>
          </w:p>
        </w:tc>
      </w:tr>
      <w:tr w14:paraId="15B9A6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40CE6C85">
            <w:pPr>
              <w:pStyle w:val="85"/>
              <w:rPr>
                <w:color w:val="auto"/>
                <w:sz w:val="22"/>
                <w:szCs w:val="22"/>
              </w:rPr>
            </w:pPr>
            <w:r>
              <w:rPr>
                <w:color w:val="auto"/>
                <w:sz w:val="22"/>
                <w:szCs w:val="22"/>
              </w:rPr>
              <w:t>Урок 110</w:t>
            </w:r>
          </w:p>
        </w:tc>
        <w:tc>
          <w:tcPr>
            <w:tcW w:w="7937" w:type="dxa"/>
            <w:vAlign w:val="center"/>
          </w:tcPr>
          <w:p w14:paraId="732545BC">
            <w:pPr>
              <w:pStyle w:val="85"/>
              <w:jc w:val="both"/>
              <w:rPr>
                <w:color w:val="auto"/>
                <w:sz w:val="22"/>
                <w:szCs w:val="22"/>
              </w:rPr>
            </w:pPr>
            <w:r>
              <w:rPr>
                <w:color w:val="auto"/>
                <w:sz w:val="22"/>
                <w:szCs w:val="22"/>
              </w:rPr>
              <w:t>Нравственные семейные ценности в фольклорных (народных) сказках. Произведения по выбору, например, татарская народная сказка "Три дочери"</w:t>
            </w:r>
          </w:p>
        </w:tc>
      </w:tr>
      <w:tr w14:paraId="48812A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751BFA9A">
            <w:pPr>
              <w:pStyle w:val="85"/>
              <w:rPr>
                <w:color w:val="auto"/>
                <w:sz w:val="22"/>
                <w:szCs w:val="22"/>
              </w:rPr>
            </w:pPr>
            <w:r>
              <w:rPr>
                <w:color w:val="auto"/>
                <w:sz w:val="22"/>
                <w:szCs w:val="22"/>
              </w:rPr>
              <w:t>Урок 111</w:t>
            </w:r>
          </w:p>
        </w:tc>
        <w:tc>
          <w:tcPr>
            <w:tcW w:w="7937" w:type="dxa"/>
            <w:vAlign w:val="center"/>
          </w:tcPr>
          <w:p w14:paraId="373DEAC7">
            <w:pPr>
              <w:pStyle w:val="85"/>
              <w:jc w:val="both"/>
              <w:rPr>
                <w:color w:val="auto"/>
                <w:sz w:val="22"/>
                <w:szCs w:val="22"/>
              </w:rPr>
            </w:pPr>
            <w:r>
              <w:rPr>
                <w:color w:val="auto"/>
                <w:sz w:val="22"/>
                <w:szCs w:val="22"/>
              </w:rPr>
              <w:t>Международный женский день - тема художественных произведений</w:t>
            </w:r>
          </w:p>
        </w:tc>
      </w:tr>
      <w:tr w14:paraId="21AB5D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000855E3">
            <w:pPr>
              <w:pStyle w:val="85"/>
              <w:rPr>
                <w:color w:val="auto"/>
                <w:sz w:val="22"/>
                <w:szCs w:val="22"/>
              </w:rPr>
            </w:pPr>
            <w:r>
              <w:rPr>
                <w:color w:val="auto"/>
                <w:sz w:val="22"/>
                <w:szCs w:val="22"/>
              </w:rPr>
              <w:t>Урок 112</w:t>
            </w:r>
          </w:p>
        </w:tc>
        <w:tc>
          <w:tcPr>
            <w:tcW w:w="7937" w:type="dxa"/>
            <w:vAlign w:val="center"/>
          </w:tcPr>
          <w:p w14:paraId="0785DFF3">
            <w:pPr>
              <w:pStyle w:val="85"/>
              <w:jc w:val="both"/>
              <w:rPr>
                <w:color w:val="auto"/>
                <w:sz w:val="22"/>
                <w:szCs w:val="22"/>
              </w:rPr>
            </w:pPr>
            <w:r>
              <w:rPr>
                <w:color w:val="auto"/>
                <w:sz w:val="22"/>
                <w:szCs w:val="22"/>
              </w:rPr>
              <w:t>Восприятие произведений о маме: проявление любви и радости общения. Произведения по выбору, например, Л.Н. Толстой "Лучше всех"</w:t>
            </w:r>
          </w:p>
        </w:tc>
      </w:tr>
      <w:tr w14:paraId="7FF4C0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59BFA1F4">
            <w:pPr>
              <w:pStyle w:val="85"/>
              <w:rPr>
                <w:color w:val="auto"/>
                <w:sz w:val="22"/>
                <w:szCs w:val="22"/>
              </w:rPr>
            </w:pPr>
            <w:r>
              <w:rPr>
                <w:color w:val="auto"/>
                <w:sz w:val="22"/>
                <w:szCs w:val="22"/>
              </w:rPr>
              <w:t>Урок 113</w:t>
            </w:r>
          </w:p>
        </w:tc>
        <w:tc>
          <w:tcPr>
            <w:tcW w:w="7937" w:type="dxa"/>
            <w:vAlign w:val="center"/>
          </w:tcPr>
          <w:p w14:paraId="435F8815">
            <w:pPr>
              <w:pStyle w:val="85"/>
              <w:jc w:val="both"/>
              <w:rPr>
                <w:color w:val="auto"/>
                <w:sz w:val="22"/>
                <w:szCs w:val="22"/>
              </w:rPr>
            </w:pPr>
            <w:r>
              <w:rPr>
                <w:color w:val="auto"/>
                <w:sz w:val="22"/>
                <w:szCs w:val="22"/>
              </w:rPr>
              <w:t>Выделение главной мысли (идеи): уважение и внимание к старшему поколению. Произведения по выбору, например, Р.С. Сеф "Если ты ужасно гордый"</w:t>
            </w:r>
          </w:p>
        </w:tc>
      </w:tr>
      <w:tr w14:paraId="1DCCEC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4D7C981F">
            <w:pPr>
              <w:pStyle w:val="85"/>
              <w:rPr>
                <w:color w:val="auto"/>
                <w:sz w:val="22"/>
                <w:szCs w:val="22"/>
              </w:rPr>
            </w:pPr>
            <w:r>
              <w:rPr>
                <w:color w:val="auto"/>
                <w:sz w:val="22"/>
                <w:szCs w:val="22"/>
              </w:rPr>
              <w:t>Урок 114</w:t>
            </w:r>
          </w:p>
        </w:tc>
        <w:tc>
          <w:tcPr>
            <w:tcW w:w="7937" w:type="dxa"/>
            <w:vAlign w:val="center"/>
          </w:tcPr>
          <w:p w14:paraId="4F591B3E">
            <w:pPr>
              <w:pStyle w:val="85"/>
              <w:jc w:val="both"/>
              <w:rPr>
                <w:color w:val="auto"/>
                <w:sz w:val="22"/>
                <w:szCs w:val="22"/>
              </w:rPr>
            </w:pPr>
            <w:r>
              <w:rPr>
                <w:color w:val="auto"/>
                <w:sz w:val="22"/>
                <w:szCs w:val="22"/>
              </w:rPr>
              <w:t>Работа с текстом произведения С.В. Михалкова "Быль для детей": осознание темы Великой Отечественной войны</w:t>
            </w:r>
          </w:p>
        </w:tc>
      </w:tr>
      <w:tr w14:paraId="4C6FC5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68C4C124">
            <w:pPr>
              <w:pStyle w:val="85"/>
              <w:rPr>
                <w:color w:val="auto"/>
                <w:sz w:val="22"/>
                <w:szCs w:val="22"/>
              </w:rPr>
            </w:pPr>
            <w:r>
              <w:rPr>
                <w:color w:val="auto"/>
                <w:sz w:val="22"/>
                <w:szCs w:val="22"/>
              </w:rPr>
              <w:t>Урок 115</w:t>
            </w:r>
          </w:p>
        </w:tc>
        <w:tc>
          <w:tcPr>
            <w:tcW w:w="7937" w:type="dxa"/>
            <w:vAlign w:val="center"/>
          </w:tcPr>
          <w:p w14:paraId="6750B8C1">
            <w:pPr>
              <w:pStyle w:val="85"/>
              <w:jc w:val="both"/>
              <w:rPr>
                <w:color w:val="auto"/>
                <w:sz w:val="22"/>
                <w:szCs w:val="22"/>
              </w:rPr>
            </w:pPr>
            <w:r>
              <w:rPr>
                <w:color w:val="auto"/>
                <w:sz w:val="22"/>
                <w:szCs w:val="22"/>
              </w:rPr>
              <w:t>Отражение темы День Победы в произведении С.А. Баруздина "Салют" и другие на выбор</w:t>
            </w:r>
          </w:p>
        </w:tc>
      </w:tr>
      <w:tr w14:paraId="7F0EE5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3535E3C2">
            <w:pPr>
              <w:pStyle w:val="85"/>
              <w:rPr>
                <w:color w:val="auto"/>
                <w:sz w:val="22"/>
                <w:szCs w:val="22"/>
              </w:rPr>
            </w:pPr>
            <w:r>
              <w:rPr>
                <w:color w:val="auto"/>
                <w:sz w:val="22"/>
                <w:szCs w:val="22"/>
              </w:rPr>
              <w:t>Урок 116</w:t>
            </w:r>
          </w:p>
        </w:tc>
        <w:tc>
          <w:tcPr>
            <w:tcW w:w="7937" w:type="dxa"/>
            <w:vAlign w:val="center"/>
          </w:tcPr>
          <w:p w14:paraId="351FBE71">
            <w:pPr>
              <w:pStyle w:val="85"/>
              <w:jc w:val="both"/>
              <w:rPr>
                <w:color w:val="auto"/>
                <w:sz w:val="22"/>
                <w:szCs w:val="22"/>
              </w:rPr>
            </w:pPr>
            <w:r>
              <w:rPr>
                <w:color w:val="auto"/>
                <w:sz w:val="22"/>
                <w:szCs w:val="22"/>
              </w:rPr>
              <w:t>Тематическое повторение по итогам раздела "О наших близких, о семье"</w:t>
            </w:r>
          </w:p>
        </w:tc>
      </w:tr>
      <w:tr w14:paraId="0FCEA3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315F7033">
            <w:pPr>
              <w:pStyle w:val="85"/>
              <w:rPr>
                <w:color w:val="auto"/>
                <w:sz w:val="22"/>
                <w:szCs w:val="22"/>
              </w:rPr>
            </w:pPr>
            <w:r>
              <w:rPr>
                <w:color w:val="auto"/>
                <w:sz w:val="22"/>
                <w:szCs w:val="22"/>
              </w:rPr>
              <w:t>Урок 117</w:t>
            </w:r>
          </w:p>
        </w:tc>
        <w:tc>
          <w:tcPr>
            <w:tcW w:w="7937" w:type="dxa"/>
            <w:vAlign w:val="center"/>
          </w:tcPr>
          <w:p w14:paraId="23255C73">
            <w:pPr>
              <w:pStyle w:val="85"/>
              <w:jc w:val="both"/>
              <w:rPr>
                <w:color w:val="auto"/>
                <w:sz w:val="22"/>
                <w:szCs w:val="22"/>
              </w:rPr>
            </w:pPr>
            <w:r>
              <w:rPr>
                <w:color w:val="auto"/>
                <w:sz w:val="22"/>
                <w:szCs w:val="22"/>
              </w:rPr>
              <w:t>Работа с детскими книгами на тему: "О наших близких, о семье": выбор книг на основе тематической картотеки</w:t>
            </w:r>
          </w:p>
        </w:tc>
      </w:tr>
      <w:tr w14:paraId="142E28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7C132CD4">
            <w:pPr>
              <w:pStyle w:val="85"/>
              <w:rPr>
                <w:color w:val="auto"/>
                <w:sz w:val="22"/>
                <w:szCs w:val="22"/>
              </w:rPr>
            </w:pPr>
            <w:r>
              <w:rPr>
                <w:color w:val="auto"/>
                <w:sz w:val="22"/>
                <w:szCs w:val="22"/>
              </w:rPr>
              <w:t>Урок 118</w:t>
            </w:r>
          </w:p>
        </w:tc>
        <w:tc>
          <w:tcPr>
            <w:tcW w:w="7937" w:type="dxa"/>
            <w:vAlign w:val="center"/>
          </w:tcPr>
          <w:p w14:paraId="502E6020">
            <w:pPr>
              <w:pStyle w:val="85"/>
              <w:jc w:val="both"/>
              <w:rPr>
                <w:color w:val="auto"/>
                <w:sz w:val="22"/>
                <w:szCs w:val="22"/>
              </w:rPr>
            </w:pPr>
            <w:r>
              <w:rPr>
                <w:color w:val="auto"/>
                <w:sz w:val="22"/>
                <w:szCs w:val="22"/>
              </w:rPr>
              <w:t>Сходство тем и сюжетов сказок разных народов. Произведения по выбору, например, английская народная сказка "Как Джек ходил счастье искать"</w:t>
            </w:r>
          </w:p>
        </w:tc>
      </w:tr>
      <w:tr w14:paraId="1A9834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082D29A2">
            <w:pPr>
              <w:pStyle w:val="85"/>
              <w:rPr>
                <w:color w:val="auto"/>
                <w:sz w:val="22"/>
                <w:szCs w:val="22"/>
              </w:rPr>
            </w:pPr>
            <w:r>
              <w:rPr>
                <w:color w:val="auto"/>
                <w:sz w:val="22"/>
                <w:szCs w:val="22"/>
              </w:rPr>
              <w:t>Урок 119</w:t>
            </w:r>
          </w:p>
        </w:tc>
        <w:tc>
          <w:tcPr>
            <w:tcW w:w="7937" w:type="dxa"/>
            <w:vAlign w:val="center"/>
          </w:tcPr>
          <w:p w14:paraId="75A38E30">
            <w:pPr>
              <w:pStyle w:val="85"/>
              <w:jc w:val="both"/>
              <w:rPr>
                <w:color w:val="auto"/>
                <w:sz w:val="22"/>
                <w:szCs w:val="22"/>
              </w:rPr>
            </w:pPr>
            <w:r>
              <w:rPr>
                <w:color w:val="auto"/>
                <w:sz w:val="22"/>
                <w:szCs w:val="22"/>
              </w:rPr>
              <w:t>Хитрец и глупец в фольклорных (народных) сказках. Произведения по выбору, например, норвежская сказка "Лис Миккель и медведь Бамсе" и русская народная сказка "Вершки и корешки"</w:t>
            </w:r>
          </w:p>
        </w:tc>
      </w:tr>
      <w:tr w14:paraId="03F134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4B9530D7">
            <w:pPr>
              <w:pStyle w:val="85"/>
              <w:rPr>
                <w:color w:val="auto"/>
                <w:sz w:val="22"/>
                <w:szCs w:val="22"/>
              </w:rPr>
            </w:pPr>
            <w:r>
              <w:rPr>
                <w:color w:val="auto"/>
                <w:sz w:val="22"/>
                <w:szCs w:val="22"/>
              </w:rPr>
              <w:t>Урок 120</w:t>
            </w:r>
          </w:p>
        </w:tc>
        <w:tc>
          <w:tcPr>
            <w:tcW w:w="7937" w:type="dxa"/>
            <w:vAlign w:val="center"/>
          </w:tcPr>
          <w:p w14:paraId="4AF5E8AA">
            <w:pPr>
              <w:pStyle w:val="85"/>
              <w:jc w:val="both"/>
              <w:rPr>
                <w:color w:val="auto"/>
                <w:sz w:val="22"/>
                <w:szCs w:val="22"/>
              </w:rPr>
            </w:pPr>
            <w:r>
              <w:rPr>
                <w:color w:val="auto"/>
                <w:sz w:val="22"/>
                <w:szCs w:val="22"/>
              </w:rPr>
              <w:t>Отражение темы дружбы в сказке братьев Гримм "Бременские музыканты"</w:t>
            </w:r>
          </w:p>
        </w:tc>
      </w:tr>
      <w:tr w14:paraId="7351AC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3CBE101E">
            <w:pPr>
              <w:pStyle w:val="85"/>
              <w:rPr>
                <w:color w:val="auto"/>
                <w:sz w:val="22"/>
                <w:szCs w:val="22"/>
              </w:rPr>
            </w:pPr>
            <w:r>
              <w:rPr>
                <w:color w:val="auto"/>
                <w:sz w:val="22"/>
                <w:szCs w:val="22"/>
              </w:rPr>
              <w:t>Урок 121</w:t>
            </w:r>
          </w:p>
        </w:tc>
        <w:tc>
          <w:tcPr>
            <w:tcW w:w="7937" w:type="dxa"/>
            <w:vAlign w:val="center"/>
          </w:tcPr>
          <w:p w14:paraId="5808C044">
            <w:pPr>
              <w:pStyle w:val="85"/>
              <w:jc w:val="both"/>
              <w:rPr>
                <w:color w:val="auto"/>
                <w:sz w:val="22"/>
                <w:szCs w:val="22"/>
              </w:rPr>
            </w:pPr>
            <w:r>
              <w:rPr>
                <w:color w:val="auto"/>
                <w:sz w:val="22"/>
                <w:szCs w:val="22"/>
              </w:rPr>
              <w:t>Работа со сказкой братьев Гримм "Бременские музыканты": составление плана произведения</w:t>
            </w:r>
          </w:p>
        </w:tc>
      </w:tr>
      <w:tr w14:paraId="271CAC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5809DD30">
            <w:pPr>
              <w:pStyle w:val="85"/>
              <w:rPr>
                <w:color w:val="auto"/>
                <w:sz w:val="22"/>
                <w:szCs w:val="22"/>
              </w:rPr>
            </w:pPr>
            <w:r>
              <w:rPr>
                <w:color w:val="auto"/>
                <w:sz w:val="22"/>
                <w:szCs w:val="22"/>
              </w:rPr>
              <w:t>Урок 122</w:t>
            </w:r>
          </w:p>
        </w:tc>
        <w:tc>
          <w:tcPr>
            <w:tcW w:w="7937" w:type="dxa"/>
            <w:vAlign w:val="center"/>
          </w:tcPr>
          <w:p w14:paraId="76DE6C30">
            <w:pPr>
              <w:pStyle w:val="85"/>
              <w:jc w:val="both"/>
              <w:rPr>
                <w:color w:val="auto"/>
                <w:sz w:val="22"/>
                <w:szCs w:val="22"/>
              </w:rPr>
            </w:pPr>
            <w:r>
              <w:rPr>
                <w:color w:val="auto"/>
                <w:sz w:val="22"/>
                <w:szCs w:val="22"/>
              </w:rPr>
              <w:t>Х.-К. Андерсен - известный писатель-сказочник. Знакомство с его произведениями</w:t>
            </w:r>
          </w:p>
        </w:tc>
      </w:tr>
      <w:tr w14:paraId="0A2B59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0FE2F449">
            <w:pPr>
              <w:pStyle w:val="85"/>
              <w:rPr>
                <w:color w:val="auto"/>
                <w:sz w:val="22"/>
                <w:szCs w:val="22"/>
              </w:rPr>
            </w:pPr>
            <w:r>
              <w:rPr>
                <w:color w:val="auto"/>
                <w:sz w:val="22"/>
                <w:szCs w:val="22"/>
              </w:rPr>
              <w:t>Урок 123</w:t>
            </w:r>
          </w:p>
        </w:tc>
        <w:tc>
          <w:tcPr>
            <w:tcW w:w="7937" w:type="dxa"/>
            <w:vAlign w:val="center"/>
          </w:tcPr>
          <w:p w14:paraId="4649FCDB">
            <w:pPr>
              <w:pStyle w:val="85"/>
              <w:jc w:val="both"/>
              <w:rPr>
                <w:color w:val="auto"/>
                <w:sz w:val="22"/>
                <w:szCs w:val="22"/>
              </w:rPr>
            </w:pPr>
            <w:r>
              <w:rPr>
                <w:color w:val="auto"/>
                <w:sz w:val="22"/>
                <w:szCs w:val="22"/>
              </w:rPr>
              <w:t>Выделение главной мысли (идеи) сказки Х.-К. Андерсена "Пятеро из одного стручка" и других его сказок на выбор</w:t>
            </w:r>
          </w:p>
        </w:tc>
      </w:tr>
      <w:tr w14:paraId="3BCB10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17395467">
            <w:pPr>
              <w:pStyle w:val="85"/>
              <w:rPr>
                <w:color w:val="auto"/>
                <w:sz w:val="22"/>
                <w:szCs w:val="22"/>
              </w:rPr>
            </w:pPr>
            <w:r>
              <w:rPr>
                <w:color w:val="auto"/>
                <w:sz w:val="22"/>
                <w:szCs w:val="22"/>
              </w:rPr>
              <w:t>Урок 124</w:t>
            </w:r>
          </w:p>
        </w:tc>
        <w:tc>
          <w:tcPr>
            <w:tcW w:w="7937" w:type="dxa"/>
            <w:vAlign w:val="center"/>
          </w:tcPr>
          <w:p w14:paraId="6D0DB2CC">
            <w:pPr>
              <w:pStyle w:val="85"/>
              <w:jc w:val="both"/>
              <w:rPr>
                <w:color w:val="auto"/>
                <w:sz w:val="22"/>
                <w:szCs w:val="22"/>
              </w:rPr>
            </w:pPr>
            <w:r>
              <w:rPr>
                <w:color w:val="auto"/>
                <w:sz w:val="22"/>
                <w:szCs w:val="22"/>
              </w:rPr>
              <w:t>Особенности построения волшебной сказки Ш. Перро "Кот в сапогах"</w:t>
            </w:r>
          </w:p>
        </w:tc>
      </w:tr>
      <w:tr w14:paraId="3D00EC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5A8FB143">
            <w:pPr>
              <w:pStyle w:val="85"/>
              <w:rPr>
                <w:color w:val="auto"/>
                <w:sz w:val="22"/>
                <w:szCs w:val="22"/>
              </w:rPr>
            </w:pPr>
            <w:r>
              <w:rPr>
                <w:color w:val="auto"/>
                <w:sz w:val="22"/>
                <w:szCs w:val="22"/>
              </w:rPr>
              <w:t>Урок 125</w:t>
            </w:r>
          </w:p>
        </w:tc>
        <w:tc>
          <w:tcPr>
            <w:tcW w:w="7937" w:type="dxa"/>
            <w:vAlign w:val="center"/>
          </w:tcPr>
          <w:p w14:paraId="0F866C63">
            <w:pPr>
              <w:pStyle w:val="85"/>
              <w:jc w:val="both"/>
              <w:rPr>
                <w:color w:val="auto"/>
                <w:sz w:val="22"/>
                <w:szCs w:val="22"/>
              </w:rPr>
            </w:pPr>
            <w:r>
              <w:rPr>
                <w:color w:val="auto"/>
                <w:sz w:val="22"/>
                <w:szCs w:val="22"/>
              </w:rPr>
              <w:t>Характеристика героев сказки Ш. Перро "Кот в сапогах"</w:t>
            </w:r>
          </w:p>
        </w:tc>
      </w:tr>
      <w:tr w14:paraId="5F9309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134526A4">
            <w:pPr>
              <w:pStyle w:val="85"/>
              <w:rPr>
                <w:color w:val="auto"/>
                <w:sz w:val="22"/>
                <w:szCs w:val="22"/>
              </w:rPr>
            </w:pPr>
            <w:r>
              <w:rPr>
                <w:color w:val="auto"/>
                <w:sz w:val="22"/>
                <w:szCs w:val="22"/>
              </w:rPr>
              <w:t>Урок 126</w:t>
            </w:r>
          </w:p>
        </w:tc>
        <w:tc>
          <w:tcPr>
            <w:tcW w:w="7937" w:type="dxa"/>
            <w:vAlign w:val="center"/>
          </w:tcPr>
          <w:p w14:paraId="50E352B8">
            <w:pPr>
              <w:pStyle w:val="85"/>
              <w:jc w:val="both"/>
              <w:rPr>
                <w:color w:val="auto"/>
                <w:sz w:val="22"/>
                <w:szCs w:val="22"/>
              </w:rPr>
            </w:pPr>
            <w:r>
              <w:rPr>
                <w:color w:val="auto"/>
                <w:sz w:val="22"/>
                <w:szCs w:val="22"/>
              </w:rPr>
              <w:t>Фантазеры и мечтатели - герои произведений. Произведения по выбору, например, Э. Распе "Необыкновенный олень"</w:t>
            </w:r>
          </w:p>
        </w:tc>
      </w:tr>
      <w:tr w14:paraId="0A2C01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6CD2EB03">
            <w:pPr>
              <w:pStyle w:val="85"/>
              <w:rPr>
                <w:color w:val="auto"/>
                <w:sz w:val="22"/>
                <w:szCs w:val="22"/>
              </w:rPr>
            </w:pPr>
            <w:r>
              <w:rPr>
                <w:color w:val="auto"/>
                <w:sz w:val="22"/>
                <w:szCs w:val="22"/>
              </w:rPr>
              <w:t>Урок 127</w:t>
            </w:r>
          </w:p>
        </w:tc>
        <w:tc>
          <w:tcPr>
            <w:tcW w:w="7937" w:type="dxa"/>
            <w:vAlign w:val="center"/>
          </w:tcPr>
          <w:p w14:paraId="1C5E8EEB">
            <w:pPr>
              <w:pStyle w:val="85"/>
              <w:jc w:val="both"/>
              <w:rPr>
                <w:color w:val="auto"/>
                <w:sz w:val="22"/>
                <w:szCs w:val="22"/>
              </w:rPr>
            </w:pPr>
            <w:r>
              <w:rPr>
                <w:color w:val="auto"/>
                <w:sz w:val="22"/>
                <w:szCs w:val="22"/>
              </w:rPr>
              <w:t>Контрольная работа по разделу "Зарубежные писатели-сказочники"</w:t>
            </w:r>
          </w:p>
        </w:tc>
      </w:tr>
      <w:tr w14:paraId="307041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03B52C77">
            <w:pPr>
              <w:pStyle w:val="85"/>
              <w:rPr>
                <w:color w:val="auto"/>
                <w:sz w:val="22"/>
                <w:szCs w:val="22"/>
              </w:rPr>
            </w:pPr>
            <w:r>
              <w:rPr>
                <w:color w:val="auto"/>
                <w:sz w:val="22"/>
                <w:szCs w:val="22"/>
              </w:rPr>
              <w:t>Урок 128</w:t>
            </w:r>
          </w:p>
        </w:tc>
        <w:tc>
          <w:tcPr>
            <w:tcW w:w="7937" w:type="dxa"/>
            <w:vAlign w:val="center"/>
          </w:tcPr>
          <w:p w14:paraId="32B6A85C">
            <w:pPr>
              <w:pStyle w:val="85"/>
              <w:jc w:val="both"/>
              <w:rPr>
                <w:color w:val="auto"/>
                <w:sz w:val="22"/>
                <w:szCs w:val="22"/>
              </w:rPr>
            </w:pPr>
            <w:r>
              <w:rPr>
                <w:color w:val="auto"/>
                <w:sz w:val="22"/>
                <w:szCs w:val="22"/>
              </w:rPr>
              <w:t>Работа с детскими книгами на тему: "Зарубежные сказочники": соотнесение иллюстраций с содержанием сказок</w:t>
            </w:r>
          </w:p>
        </w:tc>
      </w:tr>
      <w:tr w14:paraId="3E9821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49DF58FD">
            <w:pPr>
              <w:pStyle w:val="85"/>
              <w:rPr>
                <w:color w:val="auto"/>
                <w:sz w:val="22"/>
                <w:szCs w:val="22"/>
              </w:rPr>
            </w:pPr>
            <w:r>
              <w:rPr>
                <w:color w:val="auto"/>
                <w:sz w:val="22"/>
                <w:szCs w:val="22"/>
              </w:rPr>
              <w:t>Урок 129</w:t>
            </w:r>
          </w:p>
        </w:tc>
        <w:tc>
          <w:tcPr>
            <w:tcW w:w="7937" w:type="dxa"/>
            <w:vAlign w:val="center"/>
          </w:tcPr>
          <w:p w14:paraId="4B628FEC">
            <w:pPr>
              <w:pStyle w:val="85"/>
              <w:jc w:val="both"/>
              <w:rPr>
                <w:color w:val="auto"/>
                <w:sz w:val="22"/>
                <w:szCs w:val="22"/>
              </w:rPr>
            </w:pPr>
            <w:r>
              <w:rPr>
                <w:color w:val="auto"/>
                <w:sz w:val="22"/>
                <w:szCs w:val="22"/>
              </w:rPr>
              <w:t>Книга как источник необходимых знаний. На примере произведения Г.А. Ладонщиков "Лучший друг"</w:t>
            </w:r>
          </w:p>
        </w:tc>
      </w:tr>
      <w:tr w14:paraId="0D8A6C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4A3545D4">
            <w:pPr>
              <w:pStyle w:val="85"/>
              <w:rPr>
                <w:color w:val="auto"/>
                <w:sz w:val="22"/>
                <w:szCs w:val="22"/>
              </w:rPr>
            </w:pPr>
            <w:r>
              <w:rPr>
                <w:color w:val="auto"/>
                <w:sz w:val="22"/>
                <w:szCs w:val="22"/>
              </w:rPr>
              <w:t>Урок 130</w:t>
            </w:r>
          </w:p>
        </w:tc>
        <w:tc>
          <w:tcPr>
            <w:tcW w:w="7937" w:type="dxa"/>
            <w:vAlign w:val="center"/>
          </w:tcPr>
          <w:p w14:paraId="5451A4D7">
            <w:pPr>
              <w:pStyle w:val="85"/>
              <w:jc w:val="both"/>
              <w:rPr>
                <w:color w:val="auto"/>
                <w:sz w:val="22"/>
                <w:szCs w:val="22"/>
              </w:rPr>
            </w:pPr>
            <w:r>
              <w:rPr>
                <w:color w:val="auto"/>
                <w:sz w:val="22"/>
                <w:szCs w:val="22"/>
              </w:rPr>
              <w:t>Ориентировка в книге: обложка, содержание, аннотация, иллюстрация</w:t>
            </w:r>
          </w:p>
        </w:tc>
      </w:tr>
      <w:tr w14:paraId="17B904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0FAA0012">
            <w:pPr>
              <w:pStyle w:val="85"/>
              <w:rPr>
                <w:color w:val="auto"/>
                <w:sz w:val="22"/>
                <w:szCs w:val="22"/>
              </w:rPr>
            </w:pPr>
            <w:r>
              <w:rPr>
                <w:color w:val="auto"/>
                <w:sz w:val="22"/>
                <w:szCs w:val="22"/>
              </w:rPr>
              <w:t>Урок 131</w:t>
            </w:r>
          </w:p>
        </w:tc>
        <w:tc>
          <w:tcPr>
            <w:tcW w:w="7937" w:type="dxa"/>
            <w:vAlign w:val="center"/>
          </w:tcPr>
          <w:p w14:paraId="46423C68">
            <w:pPr>
              <w:pStyle w:val="85"/>
              <w:jc w:val="both"/>
              <w:rPr>
                <w:color w:val="auto"/>
                <w:sz w:val="22"/>
                <w:szCs w:val="22"/>
              </w:rPr>
            </w:pPr>
            <w:r>
              <w:rPr>
                <w:color w:val="auto"/>
                <w:sz w:val="22"/>
                <w:szCs w:val="22"/>
              </w:rPr>
              <w:t>Резервный урок. Работа с детскими книгами: виды книг (учебная, художественная, справочная)</w:t>
            </w:r>
          </w:p>
        </w:tc>
      </w:tr>
      <w:tr w14:paraId="0C73A2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1982D889">
            <w:pPr>
              <w:pStyle w:val="85"/>
              <w:rPr>
                <w:color w:val="auto"/>
                <w:sz w:val="22"/>
                <w:szCs w:val="22"/>
              </w:rPr>
            </w:pPr>
            <w:r>
              <w:rPr>
                <w:color w:val="auto"/>
                <w:sz w:val="22"/>
                <w:szCs w:val="22"/>
              </w:rPr>
              <w:t>Урок 132</w:t>
            </w:r>
          </w:p>
        </w:tc>
        <w:tc>
          <w:tcPr>
            <w:tcW w:w="7937" w:type="dxa"/>
            <w:vAlign w:val="center"/>
          </w:tcPr>
          <w:p w14:paraId="0CF8B968">
            <w:pPr>
              <w:pStyle w:val="85"/>
              <w:jc w:val="both"/>
              <w:rPr>
                <w:color w:val="auto"/>
                <w:sz w:val="22"/>
                <w:szCs w:val="22"/>
              </w:rPr>
            </w:pPr>
            <w:r>
              <w:rPr>
                <w:color w:val="auto"/>
                <w:sz w:val="22"/>
                <w:szCs w:val="22"/>
              </w:rPr>
              <w:t>Резервный урок. Восприятие лета в произведении И.З. Сурикова "Лето"</w:t>
            </w:r>
          </w:p>
        </w:tc>
      </w:tr>
      <w:tr w14:paraId="69CB4C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657946B7">
            <w:pPr>
              <w:pStyle w:val="85"/>
              <w:rPr>
                <w:color w:val="auto"/>
                <w:sz w:val="22"/>
                <w:szCs w:val="22"/>
              </w:rPr>
            </w:pPr>
            <w:r>
              <w:rPr>
                <w:color w:val="auto"/>
                <w:sz w:val="22"/>
                <w:szCs w:val="22"/>
              </w:rPr>
              <w:t>Урок 133</w:t>
            </w:r>
          </w:p>
        </w:tc>
        <w:tc>
          <w:tcPr>
            <w:tcW w:w="7937" w:type="dxa"/>
            <w:vAlign w:val="center"/>
          </w:tcPr>
          <w:p w14:paraId="6000A041">
            <w:pPr>
              <w:pStyle w:val="85"/>
              <w:jc w:val="both"/>
              <w:rPr>
                <w:color w:val="auto"/>
                <w:sz w:val="22"/>
                <w:szCs w:val="22"/>
              </w:rPr>
            </w:pPr>
            <w:r>
              <w:rPr>
                <w:color w:val="auto"/>
                <w:sz w:val="22"/>
                <w:szCs w:val="22"/>
              </w:rPr>
              <w:t>Резервный урок. Повторение по итогам изученного во 2 классе</w:t>
            </w:r>
          </w:p>
        </w:tc>
      </w:tr>
      <w:tr w14:paraId="165B10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2FD525C1">
            <w:pPr>
              <w:pStyle w:val="85"/>
              <w:rPr>
                <w:color w:val="auto"/>
                <w:sz w:val="22"/>
                <w:szCs w:val="22"/>
              </w:rPr>
            </w:pPr>
            <w:r>
              <w:rPr>
                <w:color w:val="auto"/>
                <w:sz w:val="22"/>
                <w:szCs w:val="22"/>
              </w:rPr>
              <w:t>Урок 134</w:t>
            </w:r>
          </w:p>
        </w:tc>
        <w:tc>
          <w:tcPr>
            <w:tcW w:w="7937" w:type="dxa"/>
            <w:vAlign w:val="center"/>
          </w:tcPr>
          <w:p w14:paraId="60CB699B">
            <w:pPr>
              <w:pStyle w:val="85"/>
              <w:jc w:val="both"/>
              <w:rPr>
                <w:color w:val="auto"/>
                <w:sz w:val="22"/>
                <w:szCs w:val="22"/>
              </w:rPr>
            </w:pPr>
            <w:r>
              <w:rPr>
                <w:color w:val="auto"/>
                <w:sz w:val="22"/>
                <w:szCs w:val="22"/>
              </w:rPr>
              <w:t>Резервный урок. Шутливое искажение действительности. На примере произведения Ю. Мориц "Хохотальная путаница"</w:t>
            </w:r>
          </w:p>
        </w:tc>
      </w:tr>
      <w:tr w14:paraId="5FE6F1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1AC6E9AD">
            <w:pPr>
              <w:pStyle w:val="85"/>
              <w:rPr>
                <w:color w:val="auto"/>
                <w:sz w:val="22"/>
                <w:szCs w:val="22"/>
              </w:rPr>
            </w:pPr>
            <w:r>
              <w:rPr>
                <w:color w:val="auto"/>
                <w:sz w:val="22"/>
                <w:szCs w:val="22"/>
              </w:rPr>
              <w:t>Урок 135</w:t>
            </w:r>
          </w:p>
        </w:tc>
        <w:tc>
          <w:tcPr>
            <w:tcW w:w="7937" w:type="dxa"/>
            <w:vAlign w:val="center"/>
          </w:tcPr>
          <w:p w14:paraId="1928861B">
            <w:pPr>
              <w:pStyle w:val="85"/>
              <w:jc w:val="both"/>
              <w:rPr>
                <w:color w:val="auto"/>
                <w:sz w:val="22"/>
                <w:szCs w:val="22"/>
              </w:rPr>
            </w:pPr>
            <w:r>
              <w:rPr>
                <w:color w:val="auto"/>
                <w:sz w:val="22"/>
                <w:szCs w:val="22"/>
              </w:rPr>
              <w:t>Резервный урок. Средства создания комического в произведении. На примере произведения Д. Хармса "Веселый старичок"</w:t>
            </w:r>
          </w:p>
        </w:tc>
      </w:tr>
      <w:tr w14:paraId="4055F8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05B3B49F">
            <w:pPr>
              <w:pStyle w:val="85"/>
              <w:rPr>
                <w:color w:val="auto"/>
                <w:sz w:val="22"/>
                <w:szCs w:val="22"/>
              </w:rPr>
            </w:pPr>
            <w:r>
              <w:rPr>
                <w:color w:val="auto"/>
                <w:sz w:val="22"/>
                <w:szCs w:val="22"/>
              </w:rPr>
              <w:t>Урок 136</w:t>
            </w:r>
          </w:p>
        </w:tc>
        <w:tc>
          <w:tcPr>
            <w:tcW w:w="7937" w:type="dxa"/>
            <w:vAlign w:val="center"/>
          </w:tcPr>
          <w:p w14:paraId="2BA3B3C0">
            <w:pPr>
              <w:pStyle w:val="85"/>
              <w:jc w:val="both"/>
              <w:rPr>
                <w:color w:val="auto"/>
                <w:sz w:val="22"/>
                <w:szCs w:val="22"/>
              </w:rPr>
            </w:pPr>
            <w:r>
              <w:rPr>
                <w:color w:val="auto"/>
                <w:sz w:val="22"/>
                <w:szCs w:val="22"/>
              </w:rPr>
              <w:t>Резервный урок. Выбор книг на основе рекомендательного списка: летнее чтение</w:t>
            </w:r>
          </w:p>
        </w:tc>
      </w:tr>
      <w:tr w14:paraId="3B5A51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9071" w:type="dxa"/>
            <w:gridSpan w:val="2"/>
            <w:vAlign w:val="center"/>
          </w:tcPr>
          <w:p w14:paraId="191EC7EB">
            <w:pPr>
              <w:pStyle w:val="85"/>
              <w:jc w:val="both"/>
              <w:rPr>
                <w:color w:val="auto"/>
                <w:sz w:val="22"/>
                <w:szCs w:val="22"/>
              </w:rPr>
            </w:pPr>
            <w:r>
              <w:rPr>
                <w:color w:val="auto"/>
                <w:sz w:val="22"/>
                <w:szCs w:val="22"/>
              </w:rPr>
              <w:t>ОБЩЕЕ КОЛИЧЕСТВО УРОКОВ ПО ПРОГРАММЕ: 136, из них уроков, отведенных на контрольные работы, - не более 13</w:t>
            </w:r>
          </w:p>
        </w:tc>
      </w:tr>
    </w:tbl>
    <w:p w14:paraId="5C28B19B">
      <w:pPr>
        <w:pStyle w:val="85"/>
        <w:jc w:val="both"/>
        <w:rPr>
          <w:color w:val="auto"/>
          <w:sz w:val="22"/>
          <w:szCs w:val="22"/>
        </w:rPr>
      </w:pPr>
    </w:p>
    <w:p w14:paraId="00DCF6D6">
      <w:pPr>
        <w:pStyle w:val="85"/>
        <w:jc w:val="right"/>
        <w:rPr>
          <w:color w:val="auto"/>
          <w:sz w:val="22"/>
          <w:szCs w:val="22"/>
        </w:rPr>
      </w:pPr>
      <w:r>
        <w:rPr>
          <w:color w:val="auto"/>
          <w:sz w:val="22"/>
          <w:szCs w:val="22"/>
        </w:rPr>
        <w:t>Таблица 4.6</w:t>
      </w:r>
    </w:p>
    <w:p w14:paraId="6008627A">
      <w:pPr>
        <w:pStyle w:val="85"/>
        <w:jc w:val="both"/>
        <w:rPr>
          <w:color w:val="auto"/>
          <w:sz w:val="22"/>
          <w:szCs w:val="22"/>
        </w:rPr>
      </w:pPr>
    </w:p>
    <w:p w14:paraId="5F8887D6">
      <w:pPr>
        <w:pStyle w:val="85"/>
        <w:jc w:val="both"/>
        <w:rPr>
          <w:color w:val="auto"/>
          <w:sz w:val="22"/>
          <w:szCs w:val="22"/>
        </w:rPr>
      </w:pPr>
      <w:r>
        <w:rPr>
          <w:color w:val="auto"/>
          <w:sz w:val="22"/>
          <w:szCs w:val="22"/>
        </w:rPr>
        <w:t>3 класс</w:t>
      </w:r>
    </w:p>
    <w:p w14:paraId="2ED2C8BC">
      <w:pPr>
        <w:pStyle w:val="85"/>
        <w:jc w:val="both"/>
        <w:rPr>
          <w:color w:val="auto"/>
          <w:sz w:val="22"/>
          <w:szCs w:val="22"/>
        </w:rPr>
      </w:pPr>
    </w:p>
    <w:tbl>
      <w:tblPr>
        <w:tblStyle w:val="1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02" w:type="dxa"/>
          <w:left w:w="62" w:type="dxa"/>
          <w:bottom w:w="102" w:type="dxa"/>
          <w:right w:w="62" w:type="dxa"/>
        </w:tblCellMar>
      </w:tblPr>
      <w:tblGrid>
        <w:gridCol w:w="1134"/>
        <w:gridCol w:w="7937"/>
      </w:tblGrid>
      <w:tr w14:paraId="5B8947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tcPr>
          <w:p w14:paraId="44944899">
            <w:pPr>
              <w:pStyle w:val="85"/>
              <w:jc w:val="center"/>
              <w:rPr>
                <w:color w:val="auto"/>
                <w:sz w:val="22"/>
                <w:szCs w:val="22"/>
              </w:rPr>
            </w:pPr>
            <w:r>
              <w:rPr>
                <w:color w:val="auto"/>
                <w:sz w:val="22"/>
                <w:szCs w:val="22"/>
              </w:rPr>
              <w:t>N урока</w:t>
            </w:r>
          </w:p>
        </w:tc>
        <w:tc>
          <w:tcPr>
            <w:tcW w:w="7937" w:type="dxa"/>
          </w:tcPr>
          <w:p w14:paraId="47214CF0">
            <w:pPr>
              <w:pStyle w:val="85"/>
              <w:jc w:val="center"/>
              <w:rPr>
                <w:color w:val="auto"/>
                <w:sz w:val="22"/>
                <w:szCs w:val="22"/>
              </w:rPr>
            </w:pPr>
            <w:r>
              <w:rPr>
                <w:color w:val="auto"/>
                <w:sz w:val="22"/>
                <w:szCs w:val="22"/>
              </w:rPr>
              <w:t>Тема урока</w:t>
            </w:r>
          </w:p>
        </w:tc>
      </w:tr>
      <w:tr w14:paraId="61A31A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4E8A3A78">
            <w:pPr>
              <w:pStyle w:val="85"/>
              <w:jc w:val="center"/>
              <w:rPr>
                <w:color w:val="auto"/>
                <w:sz w:val="22"/>
                <w:szCs w:val="22"/>
              </w:rPr>
            </w:pPr>
            <w:r>
              <w:rPr>
                <w:color w:val="auto"/>
                <w:sz w:val="22"/>
                <w:szCs w:val="22"/>
              </w:rPr>
              <w:t>Урок 1</w:t>
            </w:r>
          </w:p>
        </w:tc>
        <w:tc>
          <w:tcPr>
            <w:tcW w:w="7937" w:type="dxa"/>
            <w:vAlign w:val="center"/>
          </w:tcPr>
          <w:p w14:paraId="204A45C9">
            <w:pPr>
              <w:pStyle w:val="85"/>
              <w:jc w:val="both"/>
              <w:rPr>
                <w:color w:val="auto"/>
                <w:sz w:val="22"/>
                <w:szCs w:val="22"/>
              </w:rPr>
            </w:pPr>
            <w:r>
              <w:rPr>
                <w:color w:val="auto"/>
                <w:sz w:val="22"/>
                <w:szCs w:val="22"/>
              </w:rPr>
              <w:t>Раскрытие главной идеи произведения К.Д. Ушинского "Наше отечество": чувство любви к Родине, сопричастность к прошлому и настоящему своей страны</w:t>
            </w:r>
          </w:p>
        </w:tc>
      </w:tr>
      <w:tr w14:paraId="3C0AF9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11AF3969">
            <w:pPr>
              <w:pStyle w:val="85"/>
              <w:jc w:val="center"/>
              <w:rPr>
                <w:color w:val="auto"/>
                <w:sz w:val="22"/>
                <w:szCs w:val="22"/>
              </w:rPr>
            </w:pPr>
            <w:r>
              <w:rPr>
                <w:color w:val="auto"/>
                <w:sz w:val="22"/>
                <w:szCs w:val="22"/>
              </w:rPr>
              <w:t>Урок 2</w:t>
            </w:r>
          </w:p>
        </w:tc>
        <w:tc>
          <w:tcPr>
            <w:tcW w:w="7937" w:type="dxa"/>
            <w:vAlign w:val="center"/>
          </w:tcPr>
          <w:p w14:paraId="5D5096C8">
            <w:pPr>
              <w:pStyle w:val="85"/>
              <w:jc w:val="both"/>
              <w:rPr>
                <w:color w:val="auto"/>
                <w:sz w:val="22"/>
                <w:szCs w:val="22"/>
              </w:rPr>
            </w:pPr>
            <w:r>
              <w:rPr>
                <w:color w:val="auto"/>
                <w:sz w:val="22"/>
                <w:szCs w:val="22"/>
              </w:rPr>
              <w:t>Патриотическое звучание стихотворения С.А. Васильева "Россия": интонация, темп, ритм, логические ударения</w:t>
            </w:r>
          </w:p>
        </w:tc>
      </w:tr>
      <w:tr w14:paraId="5D6D84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441532D1">
            <w:pPr>
              <w:pStyle w:val="85"/>
              <w:jc w:val="center"/>
              <w:rPr>
                <w:color w:val="auto"/>
                <w:sz w:val="22"/>
                <w:szCs w:val="22"/>
              </w:rPr>
            </w:pPr>
            <w:r>
              <w:rPr>
                <w:color w:val="auto"/>
                <w:sz w:val="22"/>
                <w:szCs w:val="22"/>
              </w:rPr>
              <w:t>Урок 3</w:t>
            </w:r>
          </w:p>
        </w:tc>
        <w:tc>
          <w:tcPr>
            <w:tcW w:w="7937" w:type="dxa"/>
            <w:vAlign w:val="center"/>
          </w:tcPr>
          <w:p w14:paraId="4987736C">
            <w:pPr>
              <w:pStyle w:val="85"/>
              <w:jc w:val="both"/>
              <w:rPr>
                <w:color w:val="auto"/>
                <w:sz w:val="22"/>
                <w:szCs w:val="22"/>
              </w:rPr>
            </w:pPr>
            <w:r>
              <w:rPr>
                <w:color w:val="auto"/>
                <w:sz w:val="22"/>
                <w:szCs w:val="22"/>
              </w:rPr>
              <w:t>Осознание нравственных ценностей в произведениях о Родине: любовь к родной стороне, гордость за красоту и величие своей Отчизны</w:t>
            </w:r>
          </w:p>
        </w:tc>
      </w:tr>
      <w:tr w14:paraId="51F71C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50B9F293">
            <w:pPr>
              <w:pStyle w:val="85"/>
              <w:jc w:val="center"/>
              <w:rPr>
                <w:color w:val="auto"/>
                <w:sz w:val="22"/>
                <w:szCs w:val="22"/>
              </w:rPr>
            </w:pPr>
            <w:r>
              <w:rPr>
                <w:color w:val="auto"/>
                <w:sz w:val="22"/>
                <w:szCs w:val="22"/>
              </w:rPr>
              <w:t>Урок 4</w:t>
            </w:r>
          </w:p>
        </w:tc>
        <w:tc>
          <w:tcPr>
            <w:tcW w:w="7937" w:type="dxa"/>
            <w:vAlign w:val="center"/>
          </w:tcPr>
          <w:p w14:paraId="7D1A655F">
            <w:pPr>
              <w:pStyle w:val="85"/>
              <w:jc w:val="both"/>
              <w:rPr>
                <w:color w:val="auto"/>
                <w:sz w:val="22"/>
                <w:szCs w:val="22"/>
              </w:rPr>
            </w:pPr>
            <w:r>
              <w:rPr>
                <w:color w:val="auto"/>
                <w:sz w:val="22"/>
                <w:szCs w:val="22"/>
              </w:rPr>
              <w:t>Создание образа Родины в произведениях писателей. Произведения по выбору, например, Т.В. Бокова "Родина"</w:t>
            </w:r>
          </w:p>
        </w:tc>
      </w:tr>
      <w:tr w14:paraId="7D8428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356E1088">
            <w:pPr>
              <w:pStyle w:val="85"/>
              <w:jc w:val="center"/>
              <w:rPr>
                <w:color w:val="auto"/>
                <w:sz w:val="22"/>
                <w:szCs w:val="22"/>
              </w:rPr>
            </w:pPr>
            <w:r>
              <w:rPr>
                <w:color w:val="auto"/>
                <w:sz w:val="22"/>
                <w:szCs w:val="22"/>
              </w:rPr>
              <w:t>Урок 5</w:t>
            </w:r>
          </w:p>
        </w:tc>
        <w:tc>
          <w:tcPr>
            <w:tcW w:w="7937" w:type="dxa"/>
            <w:vAlign w:val="center"/>
          </w:tcPr>
          <w:p w14:paraId="5E66FAFE">
            <w:pPr>
              <w:pStyle w:val="85"/>
              <w:jc w:val="both"/>
              <w:rPr>
                <w:color w:val="auto"/>
                <w:sz w:val="22"/>
                <w:szCs w:val="22"/>
              </w:rPr>
            </w:pPr>
            <w:r>
              <w:rPr>
                <w:color w:val="auto"/>
                <w:sz w:val="22"/>
                <w:szCs w:val="22"/>
              </w:rPr>
              <w:t>Отражение темы Родина в произведении М.М. Пришвин "Моя Родина": роль и особенности заголовка</w:t>
            </w:r>
          </w:p>
        </w:tc>
      </w:tr>
      <w:tr w14:paraId="439C32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7F5FA98D">
            <w:pPr>
              <w:pStyle w:val="85"/>
              <w:jc w:val="center"/>
              <w:rPr>
                <w:color w:val="auto"/>
                <w:sz w:val="22"/>
                <w:szCs w:val="22"/>
              </w:rPr>
            </w:pPr>
            <w:r>
              <w:rPr>
                <w:color w:val="auto"/>
                <w:sz w:val="22"/>
                <w:szCs w:val="22"/>
              </w:rPr>
              <w:t>Урок 6</w:t>
            </w:r>
          </w:p>
        </w:tc>
        <w:tc>
          <w:tcPr>
            <w:tcW w:w="7937" w:type="dxa"/>
            <w:vAlign w:val="center"/>
          </w:tcPr>
          <w:p w14:paraId="269D3B6B">
            <w:pPr>
              <w:pStyle w:val="85"/>
              <w:jc w:val="both"/>
              <w:rPr>
                <w:color w:val="auto"/>
                <w:sz w:val="22"/>
                <w:szCs w:val="22"/>
              </w:rPr>
            </w:pPr>
            <w:r>
              <w:rPr>
                <w:color w:val="auto"/>
                <w:sz w:val="22"/>
                <w:szCs w:val="22"/>
              </w:rPr>
              <w:t>Репродукции картин как иллюстрации к произведениям о Родине</w:t>
            </w:r>
          </w:p>
        </w:tc>
      </w:tr>
      <w:tr w14:paraId="0F541F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6E62E208">
            <w:pPr>
              <w:pStyle w:val="85"/>
              <w:jc w:val="center"/>
              <w:rPr>
                <w:color w:val="auto"/>
                <w:sz w:val="22"/>
                <w:szCs w:val="22"/>
              </w:rPr>
            </w:pPr>
            <w:r>
              <w:rPr>
                <w:color w:val="auto"/>
                <w:sz w:val="22"/>
                <w:szCs w:val="22"/>
              </w:rPr>
              <w:t>Урок 7</w:t>
            </w:r>
          </w:p>
        </w:tc>
        <w:tc>
          <w:tcPr>
            <w:tcW w:w="7937" w:type="dxa"/>
            <w:vAlign w:val="center"/>
          </w:tcPr>
          <w:p w14:paraId="0D547201">
            <w:pPr>
              <w:pStyle w:val="85"/>
              <w:jc w:val="both"/>
              <w:rPr>
                <w:color w:val="auto"/>
                <w:sz w:val="22"/>
                <w:szCs w:val="22"/>
              </w:rPr>
            </w:pPr>
            <w:r>
              <w:rPr>
                <w:color w:val="auto"/>
                <w:sz w:val="22"/>
                <w:szCs w:val="22"/>
              </w:rPr>
              <w:t>Устное народное творчество. Характеристика малых жанров фольклора: потешки, небылицы, скороговорки, считалки</w:t>
            </w:r>
          </w:p>
        </w:tc>
      </w:tr>
      <w:tr w14:paraId="05524B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1EB17A62">
            <w:pPr>
              <w:pStyle w:val="85"/>
              <w:jc w:val="center"/>
              <w:rPr>
                <w:color w:val="auto"/>
                <w:sz w:val="22"/>
                <w:szCs w:val="22"/>
              </w:rPr>
            </w:pPr>
            <w:r>
              <w:rPr>
                <w:color w:val="auto"/>
                <w:sz w:val="22"/>
                <w:szCs w:val="22"/>
              </w:rPr>
              <w:t>Урок 8</w:t>
            </w:r>
          </w:p>
        </w:tc>
        <w:tc>
          <w:tcPr>
            <w:tcW w:w="7937" w:type="dxa"/>
            <w:vAlign w:val="center"/>
          </w:tcPr>
          <w:p w14:paraId="0E4057F7">
            <w:pPr>
              <w:pStyle w:val="85"/>
              <w:jc w:val="both"/>
              <w:rPr>
                <w:color w:val="auto"/>
                <w:sz w:val="22"/>
                <w:szCs w:val="22"/>
              </w:rPr>
            </w:pPr>
            <w:r>
              <w:rPr>
                <w:color w:val="auto"/>
                <w:sz w:val="22"/>
                <w:szCs w:val="22"/>
              </w:rPr>
              <w:t>Загадка как жанр фольклора, знакомство с видами загадок</w:t>
            </w:r>
          </w:p>
        </w:tc>
      </w:tr>
      <w:tr w14:paraId="03B5FA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6A8C6E87">
            <w:pPr>
              <w:pStyle w:val="85"/>
              <w:jc w:val="center"/>
              <w:rPr>
                <w:color w:val="auto"/>
                <w:sz w:val="22"/>
                <w:szCs w:val="22"/>
              </w:rPr>
            </w:pPr>
            <w:r>
              <w:rPr>
                <w:color w:val="auto"/>
                <w:sz w:val="22"/>
                <w:szCs w:val="22"/>
              </w:rPr>
              <w:t>Урок 9</w:t>
            </w:r>
          </w:p>
        </w:tc>
        <w:tc>
          <w:tcPr>
            <w:tcW w:w="7937" w:type="dxa"/>
            <w:vAlign w:val="center"/>
          </w:tcPr>
          <w:p w14:paraId="1C8139DC">
            <w:pPr>
              <w:pStyle w:val="85"/>
              <w:jc w:val="both"/>
              <w:rPr>
                <w:color w:val="auto"/>
                <w:sz w:val="22"/>
                <w:szCs w:val="22"/>
              </w:rPr>
            </w:pPr>
            <w:r>
              <w:rPr>
                <w:color w:val="auto"/>
                <w:sz w:val="22"/>
                <w:szCs w:val="22"/>
              </w:rPr>
              <w:t>Пословицы народов России: тематические группы</w:t>
            </w:r>
          </w:p>
        </w:tc>
      </w:tr>
      <w:tr w14:paraId="431FF5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17366037">
            <w:pPr>
              <w:pStyle w:val="85"/>
              <w:rPr>
                <w:color w:val="auto"/>
                <w:sz w:val="22"/>
                <w:szCs w:val="22"/>
              </w:rPr>
            </w:pPr>
            <w:r>
              <w:rPr>
                <w:color w:val="auto"/>
                <w:sz w:val="22"/>
                <w:szCs w:val="22"/>
              </w:rPr>
              <w:t>Урок 10</w:t>
            </w:r>
          </w:p>
        </w:tc>
        <w:tc>
          <w:tcPr>
            <w:tcW w:w="7937" w:type="dxa"/>
            <w:vAlign w:val="center"/>
          </w:tcPr>
          <w:p w14:paraId="202AD7B7">
            <w:pPr>
              <w:pStyle w:val="85"/>
              <w:jc w:val="both"/>
              <w:rPr>
                <w:color w:val="auto"/>
                <w:sz w:val="22"/>
                <w:szCs w:val="22"/>
              </w:rPr>
            </w:pPr>
            <w:r>
              <w:rPr>
                <w:color w:val="auto"/>
                <w:sz w:val="22"/>
                <w:szCs w:val="22"/>
              </w:rPr>
              <w:t>Развитие речи: использование образных слов, пословиц и поговорок, крылатых выражений. Книги и словари, созданные В.И. Далем</w:t>
            </w:r>
          </w:p>
        </w:tc>
      </w:tr>
      <w:tr w14:paraId="658200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0A2E6078">
            <w:pPr>
              <w:pStyle w:val="85"/>
              <w:rPr>
                <w:color w:val="auto"/>
                <w:sz w:val="22"/>
                <w:szCs w:val="22"/>
              </w:rPr>
            </w:pPr>
            <w:r>
              <w:rPr>
                <w:color w:val="auto"/>
                <w:sz w:val="22"/>
                <w:szCs w:val="22"/>
              </w:rPr>
              <w:t>Урок 11</w:t>
            </w:r>
          </w:p>
        </w:tc>
        <w:tc>
          <w:tcPr>
            <w:tcW w:w="7937" w:type="dxa"/>
            <w:vAlign w:val="center"/>
          </w:tcPr>
          <w:p w14:paraId="3B1EA118">
            <w:pPr>
              <w:pStyle w:val="85"/>
              <w:jc w:val="both"/>
              <w:rPr>
                <w:color w:val="auto"/>
                <w:sz w:val="22"/>
                <w:szCs w:val="22"/>
              </w:rPr>
            </w:pPr>
            <w:r>
              <w:rPr>
                <w:color w:val="auto"/>
                <w:sz w:val="22"/>
                <w:szCs w:val="22"/>
              </w:rPr>
              <w:t>Художественные особенности сказок разного вида (о животных, бытовые, волшебные)</w:t>
            </w:r>
          </w:p>
        </w:tc>
      </w:tr>
      <w:tr w14:paraId="2FFCDD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2AA8AC9F">
            <w:pPr>
              <w:pStyle w:val="85"/>
              <w:rPr>
                <w:color w:val="auto"/>
                <w:sz w:val="22"/>
                <w:szCs w:val="22"/>
              </w:rPr>
            </w:pPr>
            <w:r>
              <w:rPr>
                <w:color w:val="auto"/>
                <w:sz w:val="22"/>
                <w:szCs w:val="22"/>
              </w:rPr>
              <w:t>Урок 12</w:t>
            </w:r>
          </w:p>
        </w:tc>
        <w:tc>
          <w:tcPr>
            <w:tcW w:w="7937" w:type="dxa"/>
            <w:vAlign w:val="center"/>
          </w:tcPr>
          <w:p w14:paraId="488A444D">
            <w:pPr>
              <w:pStyle w:val="85"/>
              <w:jc w:val="both"/>
              <w:rPr>
                <w:color w:val="auto"/>
                <w:sz w:val="22"/>
                <w:szCs w:val="22"/>
              </w:rPr>
            </w:pPr>
            <w:r>
              <w:rPr>
                <w:color w:val="auto"/>
                <w:sz w:val="22"/>
                <w:szCs w:val="22"/>
              </w:rPr>
              <w:t>Отражение нравственных ценностей и правил в фольклорной сказке. Произведения по выбору, например, русская народная сказка "Самое дорогое"</w:t>
            </w:r>
          </w:p>
        </w:tc>
      </w:tr>
      <w:tr w14:paraId="366FC3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1DBB449A">
            <w:pPr>
              <w:pStyle w:val="85"/>
              <w:rPr>
                <w:color w:val="auto"/>
                <w:sz w:val="22"/>
                <w:szCs w:val="22"/>
              </w:rPr>
            </w:pPr>
            <w:r>
              <w:rPr>
                <w:color w:val="auto"/>
                <w:sz w:val="22"/>
                <w:szCs w:val="22"/>
              </w:rPr>
              <w:t>Урок 13</w:t>
            </w:r>
          </w:p>
        </w:tc>
        <w:tc>
          <w:tcPr>
            <w:tcW w:w="7937" w:type="dxa"/>
            <w:vAlign w:val="center"/>
          </w:tcPr>
          <w:p w14:paraId="1B3A92C2">
            <w:pPr>
              <w:pStyle w:val="85"/>
              <w:jc w:val="both"/>
              <w:rPr>
                <w:color w:val="auto"/>
                <w:sz w:val="22"/>
                <w:szCs w:val="22"/>
              </w:rPr>
            </w:pPr>
            <w:r>
              <w:rPr>
                <w:color w:val="auto"/>
                <w:sz w:val="22"/>
                <w:szCs w:val="22"/>
              </w:rPr>
              <w:t>Осознание понятия трудолюбие на примере народных сказок. Произведения по выбору, например, русская народная сказка "Про Ленивую и Радивую"</w:t>
            </w:r>
          </w:p>
        </w:tc>
      </w:tr>
      <w:tr w14:paraId="382939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24610073">
            <w:pPr>
              <w:pStyle w:val="85"/>
              <w:rPr>
                <w:color w:val="auto"/>
                <w:sz w:val="22"/>
                <w:szCs w:val="22"/>
              </w:rPr>
            </w:pPr>
            <w:r>
              <w:rPr>
                <w:color w:val="auto"/>
                <w:sz w:val="22"/>
                <w:szCs w:val="22"/>
              </w:rPr>
              <w:t>Урок 14</w:t>
            </w:r>
          </w:p>
        </w:tc>
        <w:tc>
          <w:tcPr>
            <w:tcW w:w="7937" w:type="dxa"/>
            <w:vAlign w:val="center"/>
          </w:tcPr>
          <w:p w14:paraId="2BDEAAE6">
            <w:pPr>
              <w:pStyle w:val="85"/>
              <w:jc w:val="both"/>
              <w:rPr>
                <w:color w:val="auto"/>
                <w:sz w:val="22"/>
                <w:szCs w:val="22"/>
              </w:rPr>
            </w:pPr>
            <w:r>
              <w:rPr>
                <w:color w:val="auto"/>
                <w:sz w:val="22"/>
                <w:szCs w:val="22"/>
              </w:rPr>
              <w:t>Представление в сказке народного быта и культуры. Произведения по выбору, например, русская народная сказка "Дочь-семилетка"</w:t>
            </w:r>
          </w:p>
        </w:tc>
      </w:tr>
      <w:tr w14:paraId="6EFDE2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2D1DFBA4">
            <w:pPr>
              <w:pStyle w:val="85"/>
              <w:rPr>
                <w:color w:val="auto"/>
                <w:sz w:val="22"/>
                <w:szCs w:val="22"/>
              </w:rPr>
            </w:pPr>
            <w:r>
              <w:rPr>
                <w:color w:val="auto"/>
                <w:sz w:val="22"/>
                <w:szCs w:val="22"/>
              </w:rPr>
              <w:t>Урок 15</w:t>
            </w:r>
          </w:p>
        </w:tc>
        <w:tc>
          <w:tcPr>
            <w:tcW w:w="7937" w:type="dxa"/>
            <w:vAlign w:val="center"/>
          </w:tcPr>
          <w:p w14:paraId="76DC89ED">
            <w:pPr>
              <w:pStyle w:val="85"/>
              <w:jc w:val="both"/>
              <w:rPr>
                <w:color w:val="auto"/>
                <w:sz w:val="22"/>
                <w:szCs w:val="22"/>
              </w:rPr>
            </w:pPr>
            <w:r>
              <w:rPr>
                <w:color w:val="auto"/>
                <w:sz w:val="22"/>
                <w:szCs w:val="22"/>
              </w:rPr>
              <w:t>Характеристика героя, волшебные помощники. На примере русской народной сказки "Иван-царевич и серый волк"</w:t>
            </w:r>
          </w:p>
        </w:tc>
      </w:tr>
      <w:tr w14:paraId="4221D9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3BD31C5A">
            <w:pPr>
              <w:pStyle w:val="85"/>
              <w:rPr>
                <w:color w:val="auto"/>
                <w:sz w:val="22"/>
                <w:szCs w:val="22"/>
              </w:rPr>
            </w:pPr>
            <w:r>
              <w:rPr>
                <w:color w:val="auto"/>
                <w:sz w:val="22"/>
                <w:szCs w:val="22"/>
              </w:rPr>
              <w:t>Урок 16</w:t>
            </w:r>
          </w:p>
        </w:tc>
        <w:tc>
          <w:tcPr>
            <w:tcW w:w="7937" w:type="dxa"/>
            <w:vAlign w:val="center"/>
          </w:tcPr>
          <w:p w14:paraId="337845E4">
            <w:pPr>
              <w:pStyle w:val="85"/>
              <w:jc w:val="both"/>
              <w:rPr>
                <w:color w:val="auto"/>
                <w:sz w:val="22"/>
                <w:szCs w:val="22"/>
              </w:rPr>
            </w:pPr>
            <w:r>
              <w:rPr>
                <w:color w:val="auto"/>
                <w:sz w:val="22"/>
                <w:szCs w:val="22"/>
              </w:rPr>
              <w:t>Особенности построения (композиция) волшебной сказки: составление плана. На примере русской народной сказки "Иван-царевич и серый волк"</w:t>
            </w:r>
          </w:p>
        </w:tc>
      </w:tr>
      <w:tr w14:paraId="063D82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5F984D5A">
            <w:pPr>
              <w:pStyle w:val="85"/>
              <w:rPr>
                <w:color w:val="auto"/>
                <w:sz w:val="22"/>
                <w:szCs w:val="22"/>
              </w:rPr>
            </w:pPr>
            <w:r>
              <w:rPr>
                <w:color w:val="auto"/>
                <w:sz w:val="22"/>
                <w:szCs w:val="22"/>
              </w:rPr>
              <w:t>Урок 17</w:t>
            </w:r>
          </w:p>
        </w:tc>
        <w:tc>
          <w:tcPr>
            <w:tcW w:w="7937" w:type="dxa"/>
            <w:vAlign w:val="center"/>
          </w:tcPr>
          <w:p w14:paraId="78316482">
            <w:pPr>
              <w:pStyle w:val="85"/>
              <w:jc w:val="both"/>
              <w:rPr>
                <w:color w:val="auto"/>
                <w:sz w:val="22"/>
                <w:szCs w:val="22"/>
              </w:rPr>
            </w:pPr>
            <w:r>
              <w:rPr>
                <w:color w:val="auto"/>
                <w:sz w:val="22"/>
                <w:szCs w:val="22"/>
              </w:rPr>
              <w:t>Иллюстрация как отражение сюжета волшебной сказки: В.М. Васнецов "Иван Царевич на Сером волке"</w:t>
            </w:r>
          </w:p>
        </w:tc>
      </w:tr>
      <w:tr w14:paraId="49B60A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0C02BD24">
            <w:pPr>
              <w:pStyle w:val="85"/>
              <w:rPr>
                <w:color w:val="auto"/>
                <w:sz w:val="22"/>
                <w:szCs w:val="22"/>
              </w:rPr>
            </w:pPr>
            <w:r>
              <w:rPr>
                <w:color w:val="auto"/>
                <w:sz w:val="22"/>
                <w:szCs w:val="22"/>
              </w:rPr>
              <w:t>Урок 18</w:t>
            </w:r>
          </w:p>
        </w:tc>
        <w:tc>
          <w:tcPr>
            <w:tcW w:w="7937" w:type="dxa"/>
            <w:vAlign w:val="center"/>
          </w:tcPr>
          <w:p w14:paraId="1576B09C">
            <w:pPr>
              <w:pStyle w:val="85"/>
              <w:jc w:val="both"/>
              <w:rPr>
                <w:color w:val="auto"/>
                <w:sz w:val="22"/>
                <w:szCs w:val="22"/>
              </w:rPr>
            </w:pPr>
            <w:r>
              <w:rPr>
                <w:color w:val="auto"/>
                <w:sz w:val="22"/>
                <w:szCs w:val="22"/>
              </w:rPr>
              <w:t>Описание картин природы как способ рассказать в песне о родной земле. Темы народных песен</w:t>
            </w:r>
          </w:p>
        </w:tc>
      </w:tr>
      <w:tr w14:paraId="3CA06D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5980157D">
            <w:pPr>
              <w:pStyle w:val="85"/>
              <w:rPr>
                <w:color w:val="auto"/>
                <w:sz w:val="22"/>
                <w:szCs w:val="22"/>
              </w:rPr>
            </w:pPr>
            <w:r>
              <w:rPr>
                <w:color w:val="auto"/>
                <w:sz w:val="22"/>
                <w:szCs w:val="22"/>
              </w:rPr>
              <w:t>Урок 19</w:t>
            </w:r>
          </w:p>
        </w:tc>
        <w:tc>
          <w:tcPr>
            <w:tcW w:w="7937" w:type="dxa"/>
            <w:vAlign w:val="center"/>
          </w:tcPr>
          <w:p w14:paraId="4F115D94">
            <w:pPr>
              <w:pStyle w:val="85"/>
              <w:jc w:val="both"/>
              <w:rPr>
                <w:color w:val="auto"/>
                <w:sz w:val="22"/>
                <w:szCs w:val="22"/>
              </w:rPr>
            </w:pPr>
            <w:r>
              <w:rPr>
                <w:color w:val="auto"/>
                <w:sz w:val="22"/>
                <w:szCs w:val="22"/>
              </w:rPr>
              <w:t>Былина как народный песенный сказ о героическом событии. Фольклорные особенности: выразительность, напевность исполнения</w:t>
            </w:r>
          </w:p>
        </w:tc>
      </w:tr>
      <w:tr w14:paraId="5A1E43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42DDB9E0">
            <w:pPr>
              <w:pStyle w:val="85"/>
              <w:rPr>
                <w:color w:val="auto"/>
                <w:sz w:val="22"/>
                <w:szCs w:val="22"/>
              </w:rPr>
            </w:pPr>
            <w:r>
              <w:rPr>
                <w:color w:val="auto"/>
                <w:sz w:val="22"/>
                <w:szCs w:val="22"/>
              </w:rPr>
              <w:t>Урок 20</w:t>
            </w:r>
          </w:p>
        </w:tc>
        <w:tc>
          <w:tcPr>
            <w:tcW w:w="7937" w:type="dxa"/>
            <w:vAlign w:val="center"/>
          </w:tcPr>
          <w:p w14:paraId="5A5BA655">
            <w:pPr>
              <w:pStyle w:val="85"/>
              <w:jc w:val="both"/>
              <w:rPr>
                <w:color w:val="auto"/>
                <w:sz w:val="22"/>
                <w:szCs w:val="22"/>
              </w:rPr>
            </w:pPr>
            <w:r>
              <w:rPr>
                <w:color w:val="auto"/>
                <w:sz w:val="22"/>
                <w:szCs w:val="22"/>
              </w:rPr>
              <w:t>Характеристика главного героя (где жил, чем занимался, какими качествами обладал). На примере образа Ильи Муромца</w:t>
            </w:r>
          </w:p>
        </w:tc>
      </w:tr>
      <w:tr w14:paraId="7F0EAC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11E368A7">
            <w:pPr>
              <w:pStyle w:val="85"/>
              <w:rPr>
                <w:color w:val="auto"/>
                <w:sz w:val="22"/>
                <w:szCs w:val="22"/>
              </w:rPr>
            </w:pPr>
            <w:r>
              <w:rPr>
                <w:color w:val="auto"/>
                <w:sz w:val="22"/>
                <w:szCs w:val="22"/>
              </w:rPr>
              <w:t>Урок 21</w:t>
            </w:r>
          </w:p>
        </w:tc>
        <w:tc>
          <w:tcPr>
            <w:tcW w:w="7937" w:type="dxa"/>
            <w:vAlign w:val="center"/>
          </w:tcPr>
          <w:p w14:paraId="548196B2">
            <w:pPr>
              <w:pStyle w:val="85"/>
              <w:jc w:val="both"/>
              <w:rPr>
                <w:color w:val="auto"/>
                <w:sz w:val="22"/>
                <w:szCs w:val="22"/>
              </w:rPr>
            </w:pPr>
            <w:r>
              <w:rPr>
                <w:color w:val="auto"/>
                <w:sz w:val="22"/>
                <w:szCs w:val="22"/>
              </w:rPr>
              <w:t>Тематическое повторение по итогам раздела "Фольклор (устное народное творчество)"</w:t>
            </w:r>
          </w:p>
        </w:tc>
      </w:tr>
      <w:tr w14:paraId="1E6E71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18CA6C07">
            <w:pPr>
              <w:pStyle w:val="85"/>
              <w:rPr>
                <w:color w:val="auto"/>
                <w:sz w:val="22"/>
                <w:szCs w:val="22"/>
              </w:rPr>
            </w:pPr>
            <w:r>
              <w:rPr>
                <w:color w:val="auto"/>
                <w:sz w:val="22"/>
                <w:szCs w:val="22"/>
              </w:rPr>
              <w:t>Урок 22</w:t>
            </w:r>
          </w:p>
        </w:tc>
        <w:tc>
          <w:tcPr>
            <w:tcW w:w="7937" w:type="dxa"/>
            <w:vAlign w:val="center"/>
          </w:tcPr>
          <w:p w14:paraId="497B24C4">
            <w:pPr>
              <w:pStyle w:val="85"/>
              <w:jc w:val="both"/>
              <w:rPr>
                <w:color w:val="auto"/>
                <w:sz w:val="22"/>
                <w:szCs w:val="22"/>
              </w:rPr>
            </w:pPr>
            <w:r>
              <w:rPr>
                <w:color w:val="auto"/>
                <w:sz w:val="22"/>
                <w:szCs w:val="22"/>
              </w:rPr>
              <w:t>Работа с детскими книгами на тему: "Фольклор": использование аппарата издания</w:t>
            </w:r>
          </w:p>
        </w:tc>
      </w:tr>
      <w:tr w14:paraId="0FF363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57EA6ABD">
            <w:pPr>
              <w:pStyle w:val="85"/>
              <w:rPr>
                <w:color w:val="auto"/>
                <w:sz w:val="22"/>
                <w:szCs w:val="22"/>
              </w:rPr>
            </w:pPr>
            <w:r>
              <w:rPr>
                <w:color w:val="auto"/>
                <w:sz w:val="22"/>
                <w:szCs w:val="22"/>
              </w:rPr>
              <w:t>Урок 23</w:t>
            </w:r>
          </w:p>
        </w:tc>
        <w:tc>
          <w:tcPr>
            <w:tcW w:w="7937" w:type="dxa"/>
            <w:vAlign w:val="center"/>
          </w:tcPr>
          <w:p w14:paraId="3E31AFD5">
            <w:pPr>
              <w:pStyle w:val="85"/>
              <w:jc w:val="both"/>
              <w:rPr>
                <w:color w:val="auto"/>
                <w:sz w:val="22"/>
                <w:szCs w:val="22"/>
              </w:rPr>
            </w:pPr>
            <w:r>
              <w:rPr>
                <w:color w:val="auto"/>
                <w:sz w:val="22"/>
                <w:szCs w:val="22"/>
              </w:rPr>
              <w:t>Резервный урок. Работа со словарем: язык былины, устаревшие слова, их место и представление в современной лексике</w:t>
            </w:r>
          </w:p>
        </w:tc>
      </w:tr>
      <w:tr w14:paraId="4E87B2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27D7F346">
            <w:pPr>
              <w:pStyle w:val="85"/>
              <w:rPr>
                <w:color w:val="auto"/>
                <w:sz w:val="22"/>
                <w:szCs w:val="22"/>
              </w:rPr>
            </w:pPr>
            <w:r>
              <w:rPr>
                <w:color w:val="auto"/>
                <w:sz w:val="22"/>
                <w:szCs w:val="22"/>
              </w:rPr>
              <w:t>Урок 24</w:t>
            </w:r>
          </w:p>
        </w:tc>
        <w:tc>
          <w:tcPr>
            <w:tcW w:w="7937" w:type="dxa"/>
            <w:vAlign w:val="center"/>
          </w:tcPr>
          <w:p w14:paraId="1C26EE83">
            <w:pPr>
              <w:pStyle w:val="85"/>
              <w:jc w:val="both"/>
              <w:rPr>
                <w:color w:val="auto"/>
                <w:sz w:val="22"/>
                <w:szCs w:val="22"/>
              </w:rPr>
            </w:pPr>
            <w:r>
              <w:rPr>
                <w:color w:val="auto"/>
                <w:sz w:val="22"/>
                <w:szCs w:val="22"/>
              </w:rPr>
              <w:t>Резервный урок. Репродукции картин В.М. Васнецова как иллюстрации к эпизодам фольклорного произведения</w:t>
            </w:r>
          </w:p>
        </w:tc>
      </w:tr>
      <w:tr w14:paraId="4CA764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4A085AE5">
            <w:pPr>
              <w:pStyle w:val="85"/>
              <w:rPr>
                <w:color w:val="auto"/>
                <w:sz w:val="22"/>
                <w:szCs w:val="22"/>
              </w:rPr>
            </w:pPr>
            <w:r>
              <w:rPr>
                <w:color w:val="auto"/>
                <w:sz w:val="22"/>
                <w:szCs w:val="22"/>
              </w:rPr>
              <w:t>Урок 25</w:t>
            </w:r>
          </w:p>
        </w:tc>
        <w:tc>
          <w:tcPr>
            <w:tcW w:w="7937" w:type="dxa"/>
            <w:vAlign w:val="center"/>
          </w:tcPr>
          <w:p w14:paraId="1478FEBC">
            <w:pPr>
              <w:pStyle w:val="85"/>
              <w:jc w:val="both"/>
              <w:rPr>
                <w:color w:val="auto"/>
                <w:sz w:val="22"/>
                <w:szCs w:val="22"/>
              </w:rPr>
            </w:pPr>
            <w:r>
              <w:rPr>
                <w:color w:val="auto"/>
                <w:sz w:val="22"/>
                <w:szCs w:val="22"/>
              </w:rPr>
              <w:t>В мире книг. Книга как особый вид искусства</w:t>
            </w:r>
          </w:p>
        </w:tc>
      </w:tr>
      <w:tr w14:paraId="1A4FE2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0CA6E23B">
            <w:pPr>
              <w:pStyle w:val="85"/>
              <w:rPr>
                <w:color w:val="auto"/>
                <w:sz w:val="22"/>
                <w:szCs w:val="22"/>
              </w:rPr>
            </w:pPr>
            <w:r>
              <w:rPr>
                <w:color w:val="auto"/>
                <w:sz w:val="22"/>
                <w:szCs w:val="22"/>
              </w:rPr>
              <w:t>Урок 26</w:t>
            </w:r>
          </w:p>
        </w:tc>
        <w:tc>
          <w:tcPr>
            <w:tcW w:w="7937" w:type="dxa"/>
            <w:vAlign w:val="center"/>
          </w:tcPr>
          <w:p w14:paraId="2BBE2080">
            <w:pPr>
              <w:pStyle w:val="85"/>
              <w:jc w:val="both"/>
              <w:rPr>
                <w:color w:val="auto"/>
                <w:sz w:val="22"/>
                <w:szCs w:val="22"/>
              </w:rPr>
            </w:pPr>
            <w:r>
              <w:rPr>
                <w:color w:val="auto"/>
                <w:sz w:val="22"/>
                <w:szCs w:val="22"/>
              </w:rPr>
              <w:t>Общее представление о первых книгах на Руси, знакомство с рукописными книгами</w:t>
            </w:r>
          </w:p>
        </w:tc>
      </w:tr>
      <w:tr w14:paraId="08F51F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29AFB5EE">
            <w:pPr>
              <w:pStyle w:val="85"/>
              <w:rPr>
                <w:color w:val="auto"/>
                <w:sz w:val="22"/>
                <w:szCs w:val="22"/>
              </w:rPr>
            </w:pPr>
            <w:r>
              <w:rPr>
                <w:color w:val="auto"/>
                <w:sz w:val="22"/>
                <w:szCs w:val="22"/>
              </w:rPr>
              <w:t>Урок 27</w:t>
            </w:r>
          </w:p>
        </w:tc>
        <w:tc>
          <w:tcPr>
            <w:tcW w:w="7937" w:type="dxa"/>
            <w:vAlign w:val="center"/>
          </w:tcPr>
          <w:p w14:paraId="504CEF50">
            <w:pPr>
              <w:pStyle w:val="85"/>
              <w:jc w:val="both"/>
              <w:rPr>
                <w:color w:val="auto"/>
                <w:sz w:val="22"/>
                <w:szCs w:val="22"/>
              </w:rPr>
            </w:pPr>
            <w:r>
              <w:rPr>
                <w:color w:val="auto"/>
                <w:sz w:val="22"/>
                <w:szCs w:val="22"/>
              </w:rPr>
              <w:t>Первая печатная книга на Руси. Н.П. Кончаловская "Мастер Федоров Иван и его печатный стан" (отрывок из "Наша древняя столица")</w:t>
            </w:r>
          </w:p>
        </w:tc>
      </w:tr>
      <w:tr w14:paraId="0D2904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339CD0BC">
            <w:pPr>
              <w:pStyle w:val="85"/>
              <w:rPr>
                <w:color w:val="auto"/>
                <w:sz w:val="22"/>
                <w:szCs w:val="22"/>
              </w:rPr>
            </w:pPr>
            <w:r>
              <w:rPr>
                <w:color w:val="auto"/>
                <w:sz w:val="22"/>
                <w:szCs w:val="22"/>
              </w:rPr>
              <w:t>Урок 28</w:t>
            </w:r>
          </w:p>
        </w:tc>
        <w:tc>
          <w:tcPr>
            <w:tcW w:w="7937" w:type="dxa"/>
            <w:vAlign w:val="center"/>
          </w:tcPr>
          <w:p w14:paraId="432D49CF">
            <w:pPr>
              <w:pStyle w:val="85"/>
              <w:jc w:val="both"/>
              <w:rPr>
                <w:color w:val="auto"/>
                <w:sz w:val="22"/>
                <w:szCs w:val="22"/>
              </w:rPr>
            </w:pPr>
            <w:r>
              <w:rPr>
                <w:color w:val="auto"/>
                <w:sz w:val="22"/>
                <w:szCs w:val="22"/>
              </w:rPr>
              <w:t>Осознание важности чтения художественной литературы и фольклора. Правила юного читателя</w:t>
            </w:r>
          </w:p>
        </w:tc>
      </w:tr>
      <w:tr w14:paraId="71CD04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3ECE8B99">
            <w:pPr>
              <w:pStyle w:val="85"/>
              <w:rPr>
                <w:color w:val="auto"/>
                <w:sz w:val="22"/>
                <w:szCs w:val="22"/>
              </w:rPr>
            </w:pPr>
            <w:r>
              <w:rPr>
                <w:color w:val="auto"/>
                <w:sz w:val="22"/>
                <w:szCs w:val="22"/>
              </w:rPr>
              <w:t>Урок 29</w:t>
            </w:r>
          </w:p>
        </w:tc>
        <w:tc>
          <w:tcPr>
            <w:tcW w:w="7937" w:type="dxa"/>
            <w:vAlign w:val="center"/>
          </w:tcPr>
          <w:p w14:paraId="275FE72D">
            <w:pPr>
              <w:pStyle w:val="85"/>
              <w:jc w:val="both"/>
              <w:rPr>
                <w:color w:val="auto"/>
                <w:sz w:val="22"/>
                <w:szCs w:val="22"/>
              </w:rPr>
            </w:pPr>
            <w:r>
              <w:rPr>
                <w:color w:val="auto"/>
                <w:sz w:val="22"/>
                <w:szCs w:val="22"/>
              </w:rPr>
              <w:t>Осознание особенностей басни, как произведения-поучения, которое помогает увидеть свои и чужие недостатки</w:t>
            </w:r>
          </w:p>
        </w:tc>
      </w:tr>
      <w:tr w14:paraId="366188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109A3C04">
            <w:pPr>
              <w:pStyle w:val="85"/>
              <w:rPr>
                <w:color w:val="auto"/>
                <w:sz w:val="22"/>
                <w:szCs w:val="22"/>
              </w:rPr>
            </w:pPr>
            <w:r>
              <w:rPr>
                <w:color w:val="auto"/>
                <w:sz w:val="22"/>
                <w:szCs w:val="22"/>
              </w:rPr>
              <w:t>Урок 30</w:t>
            </w:r>
          </w:p>
        </w:tc>
        <w:tc>
          <w:tcPr>
            <w:tcW w:w="7937" w:type="dxa"/>
            <w:vAlign w:val="center"/>
          </w:tcPr>
          <w:p w14:paraId="76FC69AA">
            <w:pPr>
              <w:pStyle w:val="85"/>
              <w:jc w:val="both"/>
              <w:rPr>
                <w:color w:val="auto"/>
                <w:sz w:val="22"/>
                <w:szCs w:val="22"/>
              </w:rPr>
            </w:pPr>
            <w:r>
              <w:rPr>
                <w:color w:val="auto"/>
                <w:sz w:val="22"/>
                <w:szCs w:val="22"/>
              </w:rPr>
              <w:t>И.А. Крылов - великий русский баснописец. Иносказание в его баснях</w:t>
            </w:r>
          </w:p>
        </w:tc>
      </w:tr>
      <w:tr w14:paraId="29EFFA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2E441C2F">
            <w:pPr>
              <w:pStyle w:val="85"/>
              <w:rPr>
                <w:color w:val="auto"/>
                <w:sz w:val="22"/>
                <w:szCs w:val="22"/>
              </w:rPr>
            </w:pPr>
            <w:r>
              <w:rPr>
                <w:color w:val="auto"/>
                <w:sz w:val="22"/>
                <w:szCs w:val="22"/>
              </w:rPr>
              <w:t>Урок 31</w:t>
            </w:r>
          </w:p>
        </w:tc>
        <w:tc>
          <w:tcPr>
            <w:tcW w:w="7937" w:type="dxa"/>
            <w:vAlign w:val="center"/>
          </w:tcPr>
          <w:p w14:paraId="6E63CC54">
            <w:pPr>
              <w:pStyle w:val="85"/>
              <w:jc w:val="both"/>
              <w:rPr>
                <w:color w:val="auto"/>
                <w:sz w:val="22"/>
                <w:szCs w:val="22"/>
              </w:rPr>
            </w:pPr>
            <w:r>
              <w:rPr>
                <w:color w:val="auto"/>
                <w:sz w:val="22"/>
                <w:szCs w:val="22"/>
              </w:rPr>
              <w:t>Знакомство с произведениями И.А. Крылова. Явная и скрытая мораль басен</w:t>
            </w:r>
          </w:p>
        </w:tc>
      </w:tr>
      <w:tr w14:paraId="6EAE2A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6AF9A700">
            <w:pPr>
              <w:pStyle w:val="85"/>
              <w:rPr>
                <w:color w:val="auto"/>
                <w:sz w:val="22"/>
                <w:szCs w:val="22"/>
              </w:rPr>
            </w:pPr>
            <w:r>
              <w:rPr>
                <w:color w:val="auto"/>
                <w:sz w:val="22"/>
                <w:szCs w:val="22"/>
              </w:rPr>
              <w:t>Урок 32</w:t>
            </w:r>
          </w:p>
        </w:tc>
        <w:tc>
          <w:tcPr>
            <w:tcW w:w="7937" w:type="dxa"/>
            <w:vAlign w:val="center"/>
          </w:tcPr>
          <w:p w14:paraId="78756CC1">
            <w:pPr>
              <w:pStyle w:val="85"/>
              <w:jc w:val="both"/>
              <w:rPr>
                <w:color w:val="auto"/>
                <w:sz w:val="22"/>
                <w:szCs w:val="22"/>
              </w:rPr>
            </w:pPr>
            <w:r>
              <w:rPr>
                <w:color w:val="auto"/>
                <w:sz w:val="22"/>
                <w:szCs w:val="22"/>
              </w:rPr>
              <w:t>Работа с басней И.А. Крылова "Ворона и Лисица": тема, мораль, герои, особенности языка</w:t>
            </w:r>
          </w:p>
        </w:tc>
      </w:tr>
      <w:tr w14:paraId="69614B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6C90AEE4">
            <w:pPr>
              <w:pStyle w:val="85"/>
              <w:rPr>
                <w:color w:val="auto"/>
                <w:sz w:val="22"/>
                <w:szCs w:val="22"/>
              </w:rPr>
            </w:pPr>
            <w:r>
              <w:rPr>
                <w:color w:val="auto"/>
                <w:sz w:val="22"/>
                <w:szCs w:val="22"/>
              </w:rPr>
              <w:t>Урок 33</w:t>
            </w:r>
          </w:p>
        </w:tc>
        <w:tc>
          <w:tcPr>
            <w:tcW w:w="7937" w:type="dxa"/>
            <w:vAlign w:val="center"/>
          </w:tcPr>
          <w:p w14:paraId="5551E976">
            <w:pPr>
              <w:pStyle w:val="85"/>
              <w:jc w:val="both"/>
              <w:rPr>
                <w:color w:val="auto"/>
                <w:sz w:val="22"/>
                <w:szCs w:val="22"/>
              </w:rPr>
            </w:pPr>
            <w:r>
              <w:rPr>
                <w:color w:val="auto"/>
                <w:sz w:val="22"/>
                <w:szCs w:val="22"/>
              </w:rPr>
              <w:t>А.С. Пушкин - великий русский поэт</w:t>
            </w:r>
          </w:p>
        </w:tc>
      </w:tr>
      <w:tr w14:paraId="320CBD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3DB8278E">
            <w:pPr>
              <w:pStyle w:val="85"/>
              <w:rPr>
                <w:color w:val="auto"/>
                <w:sz w:val="22"/>
                <w:szCs w:val="22"/>
              </w:rPr>
            </w:pPr>
            <w:r>
              <w:rPr>
                <w:color w:val="auto"/>
                <w:sz w:val="22"/>
                <w:szCs w:val="22"/>
              </w:rPr>
              <w:t>Урок 34</w:t>
            </w:r>
          </w:p>
        </w:tc>
        <w:tc>
          <w:tcPr>
            <w:tcW w:w="7937" w:type="dxa"/>
            <w:vAlign w:val="center"/>
          </w:tcPr>
          <w:p w14:paraId="29966284">
            <w:pPr>
              <w:pStyle w:val="85"/>
              <w:jc w:val="both"/>
              <w:rPr>
                <w:color w:val="auto"/>
                <w:sz w:val="22"/>
                <w:szCs w:val="22"/>
              </w:rPr>
            </w:pPr>
            <w:r>
              <w:rPr>
                <w:color w:val="auto"/>
                <w:sz w:val="22"/>
                <w:szCs w:val="22"/>
              </w:rPr>
              <w:t>Восприятие пейзажной лирики А.С. Пушкина: средства художественной выразительности (сравнение, эпитет), рифма, ритм</w:t>
            </w:r>
          </w:p>
        </w:tc>
      </w:tr>
      <w:tr w14:paraId="0A2746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6D6BCE0B">
            <w:pPr>
              <w:pStyle w:val="85"/>
              <w:rPr>
                <w:color w:val="auto"/>
                <w:sz w:val="22"/>
                <w:szCs w:val="22"/>
              </w:rPr>
            </w:pPr>
            <w:r>
              <w:rPr>
                <w:color w:val="auto"/>
                <w:sz w:val="22"/>
                <w:szCs w:val="22"/>
              </w:rPr>
              <w:t>Урок 35</w:t>
            </w:r>
          </w:p>
        </w:tc>
        <w:tc>
          <w:tcPr>
            <w:tcW w:w="7937" w:type="dxa"/>
            <w:vAlign w:val="center"/>
          </w:tcPr>
          <w:p w14:paraId="31BE2379">
            <w:pPr>
              <w:pStyle w:val="85"/>
              <w:jc w:val="both"/>
              <w:rPr>
                <w:color w:val="auto"/>
                <w:sz w:val="22"/>
                <w:szCs w:val="22"/>
              </w:rPr>
            </w:pPr>
            <w:r>
              <w:rPr>
                <w:color w:val="auto"/>
                <w:sz w:val="22"/>
                <w:szCs w:val="22"/>
              </w:rPr>
              <w:t>Знакомство с литературной сказкой А.С. Пушкина "Сказка о царе Салтане, о сыне его славном и могучем богатыре князе Гвидоне Салтановиче и о прекрасной царевне Лебеди": прием повтора как основа изменения сюжета</w:t>
            </w:r>
          </w:p>
        </w:tc>
      </w:tr>
      <w:tr w14:paraId="5DC1FA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3BAC08D4">
            <w:pPr>
              <w:pStyle w:val="85"/>
              <w:rPr>
                <w:color w:val="auto"/>
                <w:sz w:val="22"/>
                <w:szCs w:val="22"/>
              </w:rPr>
            </w:pPr>
            <w:r>
              <w:rPr>
                <w:color w:val="auto"/>
                <w:sz w:val="22"/>
                <w:szCs w:val="22"/>
              </w:rPr>
              <w:t>Урок 36</w:t>
            </w:r>
          </w:p>
        </w:tc>
        <w:tc>
          <w:tcPr>
            <w:tcW w:w="7937" w:type="dxa"/>
            <w:vAlign w:val="center"/>
          </w:tcPr>
          <w:p w14:paraId="69FA152A">
            <w:pPr>
              <w:pStyle w:val="85"/>
              <w:jc w:val="both"/>
              <w:rPr>
                <w:color w:val="auto"/>
                <w:sz w:val="22"/>
                <w:szCs w:val="22"/>
              </w:rPr>
            </w:pPr>
            <w:r>
              <w:rPr>
                <w:color w:val="auto"/>
                <w:sz w:val="22"/>
                <w:szCs w:val="22"/>
              </w:rPr>
              <w:t>Характеристика положительных и отрицательных героев, примеры превращений и чудес в сказке А.С. Пушкина "Сказка о царе Салтане, о сыне его славном и могучем богатыре князе Гвидоне Салтановиче и о прекрасной царевне Лебеди"</w:t>
            </w:r>
          </w:p>
        </w:tc>
      </w:tr>
      <w:tr w14:paraId="217350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08ACD068">
            <w:pPr>
              <w:pStyle w:val="85"/>
              <w:rPr>
                <w:color w:val="auto"/>
                <w:sz w:val="22"/>
                <w:szCs w:val="22"/>
              </w:rPr>
            </w:pPr>
            <w:r>
              <w:rPr>
                <w:color w:val="auto"/>
                <w:sz w:val="22"/>
                <w:szCs w:val="22"/>
              </w:rPr>
              <w:t>Урок 37</w:t>
            </w:r>
          </w:p>
        </w:tc>
        <w:tc>
          <w:tcPr>
            <w:tcW w:w="7937" w:type="dxa"/>
            <w:vAlign w:val="center"/>
          </w:tcPr>
          <w:p w14:paraId="5CC63D0C">
            <w:pPr>
              <w:pStyle w:val="85"/>
              <w:jc w:val="both"/>
              <w:rPr>
                <w:color w:val="auto"/>
                <w:sz w:val="22"/>
                <w:szCs w:val="22"/>
              </w:rPr>
            </w:pPr>
            <w:r>
              <w:rPr>
                <w:color w:val="auto"/>
                <w:sz w:val="22"/>
                <w:szCs w:val="22"/>
              </w:rPr>
              <w:t>Наблюдение за художественными особенностями текста сказки А.С. Пушкина "Сказка о царе Салтане, о сыне его славном и могучем богатыре князе Гвидоне Салтановиче и о прекрасной царевне Лебеди"</w:t>
            </w:r>
          </w:p>
        </w:tc>
      </w:tr>
      <w:tr w14:paraId="1F34B2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074AD807">
            <w:pPr>
              <w:pStyle w:val="85"/>
              <w:rPr>
                <w:color w:val="auto"/>
                <w:sz w:val="22"/>
                <w:szCs w:val="22"/>
              </w:rPr>
            </w:pPr>
            <w:r>
              <w:rPr>
                <w:color w:val="auto"/>
                <w:sz w:val="22"/>
                <w:szCs w:val="22"/>
              </w:rPr>
              <w:t>Урок 38</w:t>
            </w:r>
          </w:p>
        </w:tc>
        <w:tc>
          <w:tcPr>
            <w:tcW w:w="7937" w:type="dxa"/>
            <w:vAlign w:val="center"/>
          </w:tcPr>
          <w:p w14:paraId="3D96CA96">
            <w:pPr>
              <w:pStyle w:val="85"/>
              <w:jc w:val="both"/>
              <w:rPr>
                <w:color w:val="auto"/>
                <w:sz w:val="22"/>
                <w:szCs w:val="22"/>
              </w:rPr>
            </w:pPr>
            <w:r>
              <w:rPr>
                <w:color w:val="auto"/>
                <w:sz w:val="22"/>
                <w:szCs w:val="22"/>
              </w:rPr>
              <w:t>Фольклорная основа литературной сказки А.С. Пушкина "Сказка о царе Салтане, о сыне его славном и могучем богатыре князе Гвидоне Салтановиче и о прекрасной царевне Лебеди"</w:t>
            </w:r>
          </w:p>
        </w:tc>
      </w:tr>
      <w:tr w14:paraId="794C7B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1821F86A">
            <w:pPr>
              <w:pStyle w:val="85"/>
              <w:rPr>
                <w:color w:val="auto"/>
                <w:sz w:val="22"/>
                <w:szCs w:val="22"/>
              </w:rPr>
            </w:pPr>
            <w:r>
              <w:rPr>
                <w:color w:val="auto"/>
                <w:sz w:val="22"/>
                <w:szCs w:val="22"/>
              </w:rPr>
              <w:t>Урок 39</w:t>
            </w:r>
          </w:p>
        </w:tc>
        <w:tc>
          <w:tcPr>
            <w:tcW w:w="7937" w:type="dxa"/>
            <w:vAlign w:val="center"/>
          </w:tcPr>
          <w:p w14:paraId="2325AED0">
            <w:pPr>
              <w:pStyle w:val="85"/>
              <w:jc w:val="both"/>
              <w:rPr>
                <w:color w:val="auto"/>
                <w:sz w:val="22"/>
                <w:szCs w:val="22"/>
              </w:rPr>
            </w:pPr>
            <w:r>
              <w:rPr>
                <w:color w:val="auto"/>
                <w:sz w:val="22"/>
                <w:szCs w:val="22"/>
              </w:rPr>
              <w:t>Составление устного рассказа "Мое любимое произведение А.С. Пушкина"</w:t>
            </w:r>
          </w:p>
        </w:tc>
      </w:tr>
      <w:tr w14:paraId="01BC2E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2AC12F61">
            <w:pPr>
              <w:pStyle w:val="85"/>
              <w:rPr>
                <w:color w:val="auto"/>
                <w:sz w:val="22"/>
                <w:szCs w:val="22"/>
              </w:rPr>
            </w:pPr>
            <w:r>
              <w:rPr>
                <w:color w:val="auto"/>
                <w:sz w:val="22"/>
                <w:szCs w:val="22"/>
              </w:rPr>
              <w:t>Урок 40</w:t>
            </w:r>
          </w:p>
        </w:tc>
        <w:tc>
          <w:tcPr>
            <w:tcW w:w="7937" w:type="dxa"/>
            <w:vAlign w:val="center"/>
          </w:tcPr>
          <w:p w14:paraId="56E9AF3E">
            <w:pPr>
              <w:pStyle w:val="85"/>
              <w:jc w:val="both"/>
              <w:rPr>
                <w:color w:val="auto"/>
                <w:sz w:val="22"/>
                <w:szCs w:val="22"/>
              </w:rPr>
            </w:pPr>
            <w:r>
              <w:rPr>
                <w:color w:val="auto"/>
                <w:sz w:val="22"/>
                <w:szCs w:val="22"/>
              </w:rPr>
              <w:t>Тематическое повторение по итогам раздела "Творчество А.С. Пушкина"</w:t>
            </w:r>
          </w:p>
        </w:tc>
      </w:tr>
      <w:tr w14:paraId="1DC3AE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6FEE3633">
            <w:pPr>
              <w:pStyle w:val="85"/>
              <w:rPr>
                <w:color w:val="auto"/>
                <w:sz w:val="22"/>
                <w:szCs w:val="22"/>
              </w:rPr>
            </w:pPr>
            <w:r>
              <w:rPr>
                <w:color w:val="auto"/>
                <w:sz w:val="22"/>
                <w:szCs w:val="22"/>
              </w:rPr>
              <w:t>Урок 41</w:t>
            </w:r>
          </w:p>
        </w:tc>
        <w:tc>
          <w:tcPr>
            <w:tcW w:w="7937" w:type="dxa"/>
            <w:vAlign w:val="center"/>
          </w:tcPr>
          <w:p w14:paraId="0BB74D69">
            <w:pPr>
              <w:pStyle w:val="85"/>
              <w:jc w:val="both"/>
              <w:rPr>
                <w:color w:val="auto"/>
                <w:sz w:val="22"/>
                <w:szCs w:val="22"/>
              </w:rPr>
            </w:pPr>
            <w:r>
              <w:rPr>
                <w:color w:val="auto"/>
                <w:sz w:val="22"/>
                <w:szCs w:val="22"/>
              </w:rPr>
              <w:t>Работа с детскими книгами. И.Я. Билибин - иллюстратор сказок А.С. Пушкина</w:t>
            </w:r>
          </w:p>
        </w:tc>
      </w:tr>
      <w:tr w14:paraId="4A9312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3EA28CBB">
            <w:pPr>
              <w:pStyle w:val="85"/>
              <w:rPr>
                <w:color w:val="auto"/>
                <w:sz w:val="22"/>
                <w:szCs w:val="22"/>
              </w:rPr>
            </w:pPr>
            <w:r>
              <w:rPr>
                <w:color w:val="auto"/>
                <w:sz w:val="22"/>
                <w:szCs w:val="22"/>
              </w:rPr>
              <w:t>Урок 42</w:t>
            </w:r>
          </w:p>
        </w:tc>
        <w:tc>
          <w:tcPr>
            <w:tcW w:w="7937" w:type="dxa"/>
            <w:vAlign w:val="center"/>
          </w:tcPr>
          <w:p w14:paraId="69DDCCF8">
            <w:pPr>
              <w:pStyle w:val="85"/>
              <w:jc w:val="both"/>
              <w:rPr>
                <w:color w:val="auto"/>
                <w:sz w:val="22"/>
                <w:szCs w:val="22"/>
              </w:rPr>
            </w:pPr>
            <w:r>
              <w:rPr>
                <w:color w:val="auto"/>
                <w:sz w:val="22"/>
                <w:szCs w:val="22"/>
              </w:rPr>
              <w:t>Описание картин осенней природы в стихотворении Ф.И. Тютчева "Есть в осени первоначальной..." и другие по выбору</w:t>
            </w:r>
          </w:p>
        </w:tc>
      </w:tr>
      <w:tr w14:paraId="6684DC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0F5B5479">
            <w:pPr>
              <w:pStyle w:val="85"/>
              <w:rPr>
                <w:color w:val="auto"/>
                <w:sz w:val="22"/>
                <w:szCs w:val="22"/>
              </w:rPr>
            </w:pPr>
            <w:r>
              <w:rPr>
                <w:color w:val="auto"/>
                <w:sz w:val="22"/>
                <w:szCs w:val="22"/>
              </w:rPr>
              <w:t>Урок 43</w:t>
            </w:r>
          </w:p>
        </w:tc>
        <w:tc>
          <w:tcPr>
            <w:tcW w:w="7937" w:type="dxa"/>
            <w:vAlign w:val="center"/>
          </w:tcPr>
          <w:p w14:paraId="6EC82E7F">
            <w:pPr>
              <w:pStyle w:val="85"/>
              <w:jc w:val="both"/>
              <w:rPr>
                <w:color w:val="auto"/>
                <w:sz w:val="22"/>
                <w:szCs w:val="22"/>
              </w:rPr>
            </w:pPr>
            <w:r>
              <w:rPr>
                <w:color w:val="auto"/>
                <w:sz w:val="22"/>
                <w:szCs w:val="22"/>
              </w:rPr>
              <w:t>Сравнение стихотворений об осени. На примере произведений Ф.И. Тютчева "Есть в осени первоначальной..." и А.Н. Майкова "Осень"</w:t>
            </w:r>
          </w:p>
        </w:tc>
      </w:tr>
      <w:tr w14:paraId="77113C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6BAD17B0">
            <w:pPr>
              <w:pStyle w:val="85"/>
              <w:rPr>
                <w:color w:val="auto"/>
                <w:sz w:val="22"/>
                <w:szCs w:val="22"/>
              </w:rPr>
            </w:pPr>
            <w:r>
              <w:rPr>
                <w:color w:val="auto"/>
                <w:sz w:val="22"/>
                <w:szCs w:val="22"/>
              </w:rPr>
              <w:t>Урок 44</w:t>
            </w:r>
          </w:p>
        </w:tc>
        <w:tc>
          <w:tcPr>
            <w:tcW w:w="7937" w:type="dxa"/>
            <w:vAlign w:val="center"/>
          </w:tcPr>
          <w:p w14:paraId="3BB6A120">
            <w:pPr>
              <w:pStyle w:val="85"/>
              <w:jc w:val="both"/>
              <w:rPr>
                <w:color w:val="auto"/>
                <w:sz w:val="22"/>
                <w:szCs w:val="22"/>
              </w:rPr>
            </w:pPr>
            <w:r>
              <w:rPr>
                <w:color w:val="auto"/>
                <w:sz w:val="22"/>
                <w:szCs w:val="22"/>
              </w:rPr>
              <w:t>Восприятие картин зимнего пейзажа в стихотворениях А.А. Фета "Кот поет, глаза прищуря", "Мама! Глянь-ка из окошка..." и другие по выбору</w:t>
            </w:r>
          </w:p>
        </w:tc>
      </w:tr>
      <w:tr w14:paraId="5AB58F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6777F38F">
            <w:pPr>
              <w:pStyle w:val="85"/>
              <w:rPr>
                <w:color w:val="auto"/>
                <w:sz w:val="22"/>
                <w:szCs w:val="22"/>
              </w:rPr>
            </w:pPr>
            <w:r>
              <w:rPr>
                <w:color w:val="auto"/>
                <w:sz w:val="22"/>
                <w:szCs w:val="22"/>
              </w:rPr>
              <w:t>Урок 45</w:t>
            </w:r>
          </w:p>
        </w:tc>
        <w:tc>
          <w:tcPr>
            <w:tcW w:w="7937" w:type="dxa"/>
            <w:vAlign w:val="center"/>
          </w:tcPr>
          <w:p w14:paraId="27F340AB">
            <w:pPr>
              <w:pStyle w:val="85"/>
              <w:jc w:val="both"/>
              <w:rPr>
                <w:color w:val="auto"/>
                <w:sz w:val="22"/>
                <w:szCs w:val="22"/>
              </w:rPr>
            </w:pPr>
            <w:r>
              <w:rPr>
                <w:color w:val="auto"/>
                <w:sz w:val="22"/>
                <w:szCs w:val="22"/>
              </w:rPr>
              <w:t>Средства художественной выразительности (эпитет, сравнение) в лирических произведениях поэтов</w:t>
            </w:r>
          </w:p>
        </w:tc>
      </w:tr>
      <w:tr w14:paraId="4C4C82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7B81EF94">
            <w:pPr>
              <w:pStyle w:val="85"/>
              <w:rPr>
                <w:color w:val="auto"/>
                <w:sz w:val="22"/>
                <w:szCs w:val="22"/>
              </w:rPr>
            </w:pPr>
            <w:r>
              <w:rPr>
                <w:color w:val="auto"/>
                <w:sz w:val="22"/>
                <w:szCs w:val="22"/>
              </w:rPr>
              <w:t>Урок 46</w:t>
            </w:r>
          </w:p>
        </w:tc>
        <w:tc>
          <w:tcPr>
            <w:tcW w:w="7937" w:type="dxa"/>
            <w:vAlign w:val="center"/>
          </w:tcPr>
          <w:p w14:paraId="7F2C2D8B">
            <w:pPr>
              <w:pStyle w:val="85"/>
              <w:jc w:val="both"/>
              <w:rPr>
                <w:color w:val="auto"/>
                <w:sz w:val="22"/>
                <w:szCs w:val="22"/>
              </w:rPr>
            </w:pPr>
            <w:r>
              <w:rPr>
                <w:color w:val="auto"/>
                <w:sz w:val="22"/>
                <w:szCs w:val="22"/>
              </w:rPr>
              <w:t>Особенности авторской сказки Л.Н. Толстого "Ореховая ветка": основные события, главные герои, волшебные помощники</w:t>
            </w:r>
          </w:p>
        </w:tc>
      </w:tr>
      <w:tr w14:paraId="76D8E8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2EC78697">
            <w:pPr>
              <w:pStyle w:val="85"/>
              <w:rPr>
                <w:color w:val="auto"/>
                <w:sz w:val="22"/>
                <w:szCs w:val="22"/>
              </w:rPr>
            </w:pPr>
            <w:r>
              <w:rPr>
                <w:color w:val="auto"/>
                <w:sz w:val="22"/>
                <w:szCs w:val="22"/>
              </w:rPr>
              <w:t>Урок 47</w:t>
            </w:r>
          </w:p>
        </w:tc>
        <w:tc>
          <w:tcPr>
            <w:tcW w:w="7937" w:type="dxa"/>
            <w:vAlign w:val="center"/>
          </w:tcPr>
          <w:p w14:paraId="1650B694">
            <w:pPr>
              <w:pStyle w:val="85"/>
              <w:jc w:val="both"/>
              <w:rPr>
                <w:color w:val="auto"/>
                <w:sz w:val="22"/>
                <w:szCs w:val="22"/>
              </w:rPr>
            </w:pPr>
            <w:r>
              <w:rPr>
                <w:color w:val="auto"/>
                <w:sz w:val="22"/>
                <w:szCs w:val="22"/>
              </w:rPr>
              <w:t>Работа с баснями Л.Н. Толстого: выделение жанровых особенностей. На примере басни "Белка и волк"</w:t>
            </w:r>
          </w:p>
        </w:tc>
      </w:tr>
      <w:tr w14:paraId="128646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2517549D">
            <w:pPr>
              <w:pStyle w:val="85"/>
              <w:rPr>
                <w:color w:val="auto"/>
                <w:sz w:val="22"/>
                <w:szCs w:val="22"/>
              </w:rPr>
            </w:pPr>
            <w:r>
              <w:rPr>
                <w:color w:val="auto"/>
                <w:sz w:val="22"/>
                <w:szCs w:val="22"/>
              </w:rPr>
              <w:t>Урок 48</w:t>
            </w:r>
          </w:p>
        </w:tc>
        <w:tc>
          <w:tcPr>
            <w:tcW w:w="7937" w:type="dxa"/>
            <w:vAlign w:val="center"/>
          </w:tcPr>
          <w:p w14:paraId="184CA947">
            <w:pPr>
              <w:pStyle w:val="85"/>
              <w:jc w:val="both"/>
              <w:rPr>
                <w:color w:val="auto"/>
                <w:sz w:val="22"/>
                <w:szCs w:val="22"/>
              </w:rPr>
            </w:pPr>
            <w:r>
              <w:rPr>
                <w:color w:val="auto"/>
                <w:sz w:val="22"/>
                <w:szCs w:val="22"/>
              </w:rPr>
              <w:t>Наблюдение за художественными особенностями рассказа-описания Л.Н. Толстого "Лебеди"</w:t>
            </w:r>
          </w:p>
        </w:tc>
      </w:tr>
      <w:tr w14:paraId="3D45F7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527317D4">
            <w:pPr>
              <w:pStyle w:val="85"/>
              <w:rPr>
                <w:color w:val="auto"/>
                <w:sz w:val="22"/>
                <w:szCs w:val="22"/>
              </w:rPr>
            </w:pPr>
            <w:r>
              <w:rPr>
                <w:color w:val="auto"/>
                <w:sz w:val="22"/>
                <w:szCs w:val="22"/>
              </w:rPr>
              <w:t>Урок 49</w:t>
            </w:r>
          </w:p>
        </w:tc>
        <w:tc>
          <w:tcPr>
            <w:tcW w:w="7937" w:type="dxa"/>
            <w:vAlign w:val="center"/>
          </w:tcPr>
          <w:p w14:paraId="5B02D971">
            <w:pPr>
              <w:pStyle w:val="85"/>
              <w:jc w:val="both"/>
              <w:rPr>
                <w:color w:val="auto"/>
                <w:sz w:val="22"/>
                <w:szCs w:val="22"/>
              </w:rPr>
            </w:pPr>
            <w:r>
              <w:rPr>
                <w:color w:val="auto"/>
                <w:sz w:val="22"/>
                <w:szCs w:val="22"/>
              </w:rPr>
              <w:t>Различение художественного и научно-познавательного текстов "Лебеди" и "Зайцы" Л.Н. Толстого</w:t>
            </w:r>
          </w:p>
        </w:tc>
      </w:tr>
      <w:tr w14:paraId="4D3B3A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1DF3152F">
            <w:pPr>
              <w:pStyle w:val="85"/>
              <w:rPr>
                <w:color w:val="auto"/>
                <w:sz w:val="22"/>
                <w:szCs w:val="22"/>
              </w:rPr>
            </w:pPr>
            <w:r>
              <w:rPr>
                <w:color w:val="auto"/>
                <w:sz w:val="22"/>
                <w:szCs w:val="22"/>
              </w:rPr>
              <w:t>Урок 50</w:t>
            </w:r>
          </w:p>
        </w:tc>
        <w:tc>
          <w:tcPr>
            <w:tcW w:w="7937" w:type="dxa"/>
            <w:vAlign w:val="center"/>
          </w:tcPr>
          <w:p w14:paraId="28EBB26D">
            <w:pPr>
              <w:pStyle w:val="85"/>
              <w:jc w:val="both"/>
              <w:rPr>
                <w:color w:val="auto"/>
                <w:sz w:val="22"/>
                <w:szCs w:val="22"/>
              </w:rPr>
            </w:pPr>
            <w:r>
              <w:rPr>
                <w:color w:val="auto"/>
                <w:sz w:val="22"/>
                <w:szCs w:val="22"/>
              </w:rPr>
              <w:t>Осознание связи содержания произведения с реальным событием. На примере были "Прыжок" Л.Н. Толстого</w:t>
            </w:r>
          </w:p>
        </w:tc>
      </w:tr>
      <w:tr w14:paraId="0AC0E4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43EC0899">
            <w:pPr>
              <w:pStyle w:val="85"/>
              <w:rPr>
                <w:color w:val="auto"/>
                <w:sz w:val="22"/>
                <w:szCs w:val="22"/>
              </w:rPr>
            </w:pPr>
            <w:r>
              <w:rPr>
                <w:color w:val="auto"/>
                <w:sz w:val="22"/>
                <w:szCs w:val="22"/>
              </w:rPr>
              <w:t>Урок 51</w:t>
            </w:r>
          </w:p>
        </w:tc>
        <w:tc>
          <w:tcPr>
            <w:tcW w:w="7937" w:type="dxa"/>
            <w:vAlign w:val="center"/>
          </w:tcPr>
          <w:p w14:paraId="76EDFA60">
            <w:pPr>
              <w:pStyle w:val="85"/>
              <w:jc w:val="both"/>
              <w:rPr>
                <w:color w:val="auto"/>
                <w:sz w:val="22"/>
                <w:szCs w:val="22"/>
              </w:rPr>
            </w:pPr>
            <w:r>
              <w:rPr>
                <w:color w:val="auto"/>
                <w:sz w:val="22"/>
                <w:szCs w:val="22"/>
              </w:rPr>
              <w:t>Анализ сюжета были "Прыжок" Л.Н. Толстого: главные герои, отдельные эпизоды, составление плана</w:t>
            </w:r>
          </w:p>
        </w:tc>
      </w:tr>
      <w:tr w14:paraId="2A0D31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4D651740">
            <w:pPr>
              <w:pStyle w:val="85"/>
              <w:rPr>
                <w:color w:val="auto"/>
                <w:sz w:val="22"/>
                <w:szCs w:val="22"/>
              </w:rPr>
            </w:pPr>
            <w:r>
              <w:rPr>
                <w:color w:val="auto"/>
                <w:sz w:val="22"/>
                <w:szCs w:val="22"/>
              </w:rPr>
              <w:t>Урок 52</w:t>
            </w:r>
          </w:p>
        </w:tc>
        <w:tc>
          <w:tcPr>
            <w:tcW w:w="7937" w:type="dxa"/>
            <w:vAlign w:val="center"/>
          </w:tcPr>
          <w:p w14:paraId="4888B345">
            <w:pPr>
              <w:pStyle w:val="85"/>
              <w:jc w:val="both"/>
              <w:rPr>
                <w:color w:val="auto"/>
                <w:sz w:val="22"/>
                <w:szCs w:val="22"/>
              </w:rPr>
            </w:pPr>
            <w:r>
              <w:rPr>
                <w:color w:val="auto"/>
                <w:sz w:val="22"/>
                <w:szCs w:val="22"/>
              </w:rPr>
              <w:t>Различение рассказчика и автора произведения в рассказе Л.Н. Толстого "Акула" и других по выбору</w:t>
            </w:r>
          </w:p>
        </w:tc>
      </w:tr>
      <w:tr w14:paraId="561AF4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3F8E3A11">
            <w:pPr>
              <w:pStyle w:val="85"/>
              <w:rPr>
                <w:color w:val="auto"/>
                <w:sz w:val="22"/>
                <w:szCs w:val="22"/>
              </w:rPr>
            </w:pPr>
            <w:r>
              <w:rPr>
                <w:color w:val="auto"/>
                <w:sz w:val="22"/>
                <w:szCs w:val="22"/>
              </w:rPr>
              <w:t>Урок 53</w:t>
            </w:r>
          </w:p>
        </w:tc>
        <w:tc>
          <w:tcPr>
            <w:tcW w:w="7937" w:type="dxa"/>
            <w:vAlign w:val="center"/>
          </w:tcPr>
          <w:p w14:paraId="150A452E">
            <w:pPr>
              <w:pStyle w:val="85"/>
              <w:jc w:val="both"/>
              <w:rPr>
                <w:color w:val="auto"/>
                <w:sz w:val="22"/>
                <w:szCs w:val="22"/>
              </w:rPr>
            </w:pPr>
            <w:r>
              <w:rPr>
                <w:color w:val="auto"/>
                <w:sz w:val="22"/>
                <w:szCs w:val="22"/>
              </w:rPr>
              <w:t>Выделение структурных частей произведения Л.Н. Толстого "Акула" и других по выбору (композиции): начало, завязка действия, кульминация, развязка</w:t>
            </w:r>
          </w:p>
        </w:tc>
      </w:tr>
      <w:tr w14:paraId="5CAF0E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0E765EF5">
            <w:pPr>
              <w:pStyle w:val="85"/>
              <w:rPr>
                <w:color w:val="auto"/>
                <w:sz w:val="22"/>
                <w:szCs w:val="22"/>
              </w:rPr>
            </w:pPr>
            <w:r>
              <w:rPr>
                <w:color w:val="auto"/>
                <w:sz w:val="22"/>
                <w:szCs w:val="22"/>
              </w:rPr>
              <w:t>Урок 54</w:t>
            </w:r>
          </w:p>
        </w:tc>
        <w:tc>
          <w:tcPr>
            <w:tcW w:w="7937" w:type="dxa"/>
            <w:vAlign w:val="center"/>
          </w:tcPr>
          <w:p w14:paraId="43AF7ED9">
            <w:pPr>
              <w:pStyle w:val="85"/>
              <w:jc w:val="both"/>
              <w:rPr>
                <w:color w:val="auto"/>
                <w:sz w:val="22"/>
                <w:szCs w:val="22"/>
              </w:rPr>
            </w:pPr>
            <w:r>
              <w:rPr>
                <w:color w:val="auto"/>
                <w:sz w:val="22"/>
                <w:szCs w:val="22"/>
              </w:rPr>
              <w:t>Тематическое повторение по итогам раздела "Творчество Л.Н. Толстого"</w:t>
            </w:r>
          </w:p>
        </w:tc>
      </w:tr>
      <w:tr w14:paraId="3CE284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1E8D5FFA">
            <w:pPr>
              <w:pStyle w:val="85"/>
              <w:rPr>
                <w:color w:val="auto"/>
                <w:sz w:val="22"/>
                <w:szCs w:val="22"/>
              </w:rPr>
            </w:pPr>
            <w:r>
              <w:rPr>
                <w:color w:val="auto"/>
                <w:sz w:val="22"/>
                <w:szCs w:val="22"/>
              </w:rPr>
              <w:t>Урок 55</w:t>
            </w:r>
          </w:p>
        </w:tc>
        <w:tc>
          <w:tcPr>
            <w:tcW w:w="7937" w:type="dxa"/>
            <w:vAlign w:val="center"/>
          </w:tcPr>
          <w:p w14:paraId="66B6D3C4">
            <w:pPr>
              <w:pStyle w:val="85"/>
              <w:jc w:val="both"/>
              <w:rPr>
                <w:color w:val="auto"/>
                <w:sz w:val="22"/>
                <w:szCs w:val="22"/>
              </w:rPr>
            </w:pPr>
            <w:r>
              <w:rPr>
                <w:color w:val="auto"/>
                <w:sz w:val="22"/>
                <w:szCs w:val="22"/>
              </w:rPr>
              <w:t>Работа с детскими книгами: жанровое многообразие произведений Л.Н. Толстого</w:t>
            </w:r>
          </w:p>
        </w:tc>
      </w:tr>
      <w:tr w14:paraId="68FFB4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4ABE3303">
            <w:pPr>
              <w:pStyle w:val="85"/>
              <w:rPr>
                <w:color w:val="auto"/>
                <w:sz w:val="22"/>
                <w:szCs w:val="22"/>
              </w:rPr>
            </w:pPr>
            <w:r>
              <w:rPr>
                <w:color w:val="auto"/>
                <w:sz w:val="22"/>
                <w:szCs w:val="22"/>
              </w:rPr>
              <w:t>Урок 56</w:t>
            </w:r>
          </w:p>
        </w:tc>
        <w:tc>
          <w:tcPr>
            <w:tcW w:w="7937" w:type="dxa"/>
            <w:vAlign w:val="center"/>
          </w:tcPr>
          <w:p w14:paraId="00849B33">
            <w:pPr>
              <w:pStyle w:val="85"/>
              <w:jc w:val="both"/>
              <w:rPr>
                <w:color w:val="auto"/>
                <w:sz w:val="22"/>
                <w:szCs w:val="22"/>
              </w:rPr>
            </w:pPr>
            <w:r>
              <w:rPr>
                <w:color w:val="auto"/>
                <w:sz w:val="22"/>
                <w:szCs w:val="22"/>
              </w:rPr>
              <w:t>Оценка чувств и настроения, вызываемых лирическим произведением. На примере произведения Н.А. Некрасова "Однажды в студеную зимнюю пору..." (отрывок)</w:t>
            </w:r>
          </w:p>
        </w:tc>
      </w:tr>
      <w:tr w14:paraId="31C5CF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5E62DBDC">
            <w:pPr>
              <w:pStyle w:val="85"/>
              <w:rPr>
                <w:color w:val="auto"/>
                <w:sz w:val="22"/>
                <w:szCs w:val="22"/>
              </w:rPr>
            </w:pPr>
            <w:r>
              <w:rPr>
                <w:color w:val="auto"/>
                <w:sz w:val="22"/>
                <w:szCs w:val="22"/>
              </w:rPr>
              <w:t>Урок 57</w:t>
            </w:r>
          </w:p>
        </w:tc>
        <w:tc>
          <w:tcPr>
            <w:tcW w:w="7937" w:type="dxa"/>
            <w:vAlign w:val="center"/>
          </w:tcPr>
          <w:p w14:paraId="2C6DAE4C">
            <w:pPr>
              <w:pStyle w:val="85"/>
              <w:jc w:val="both"/>
              <w:rPr>
                <w:color w:val="auto"/>
                <w:sz w:val="22"/>
                <w:szCs w:val="22"/>
              </w:rPr>
            </w:pPr>
            <w:r>
              <w:rPr>
                <w:color w:val="auto"/>
                <w:sz w:val="22"/>
                <w:szCs w:val="22"/>
              </w:rPr>
              <w:t>Поэты о красоте родной природы. На примере произведения Н.А. Некрасова "Железная дорога" (отрывок)</w:t>
            </w:r>
          </w:p>
        </w:tc>
      </w:tr>
      <w:tr w14:paraId="629C32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600C6DBE">
            <w:pPr>
              <w:pStyle w:val="85"/>
              <w:rPr>
                <w:color w:val="auto"/>
                <w:sz w:val="22"/>
                <w:szCs w:val="22"/>
              </w:rPr>
            </w:pPr>
            <w:r>
              <w:rPr>
                <w:color w:val="auto"/>
                <w:sz w:val="22"/>
                <w:szCs w:val="22"/>
              </w:rPr>
              <w:t>Урок 58</w:t>
            </w:r>
          </w:p>
        </w:tc>
        <w:tc>
          <w:tcPr>
            <w:tcW w:w="7937" w:type="dxa"/>
            <w:vAlign w:val="center"/>
          </w:tcPr>
          <w:p w14:paraId="5459358C">
            <w:pPr>
              <w:pStyle w:val="85"/>
              <w:jc w:val="both"/>
              <w:rPr>
                <w:color w:val="auto"/>
                <w:sz w:val="22"/>
                <w:szCs w:val="22"/>
              </w:rPr>
            </w:pPr>
            <w:r>
              <w:rPr>
                <w:color w:val="auto"/>
                <w:sz w:val="22"/>
                <w:szCs w:val="22"/>
              </w:rPr>
              <w:t>Олицетворение как одно из средств выразительности лирического произведения</w:t>
            </w:r>
          </w:p>
        </w:tc>
      </w:tr>
      <w:tr w14:paraId="0B0E62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5ADC37DB">
            <w:pPr>
              <w:pStyle w:val="85"/>
              <w:rPr>
                <w:color w:val="auto"/>
                <w:sz w:val="22"/>
                <w:szCs w:val="22"/>
              </w:rPr>
            </w:pPr>
            <w:r>
              <w:rPr>
                <w:color w:val="auto"/>
                <w:sz w:val="22"/>
                <w:szCs w:val="22"/>
              </w:rPr>
              <w:t>Урок 59</w:t>
            </w:r>
          </w:p>
        </w:tc>
        <w:tc>
          <w:tcPr>
            <w:tcW w:w="7937" w:type="dxa"/>
            <w:vAlign w:val="center"/>
          </w:tcPr>
          <w:p w14:paraId="07CBF4CE">
            <w:pPr>
              <w:pStyle w:val="85"/>
              <w:jc w:val="both"/>
              <w:rPr>
                <w:color w:val="auto"/>
                <w:sz w:val="22"/>
                <w:szCs w:val="22"/>
              </w:rPr>
            </w:pPr>
            <w:r>
              <w:rPr>
                <w:color w:val="auto"/>
                <w:sz w:val="22"/>
                <w:szCs w:val="22"/>
              </w:rPr>
              <w:t>Описание природы (пейзаж) в художественном произведении. На примере произведения А.П. Чехова "Степь" (отрывок)</w:t>
            </w:r>
          </w:p>
        </w:tc>
      </w:tr>
      <w:tr w14:paraId="643010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5B2B29EC">
            <w:pPr>
              <w:pStyle w:val="85"/>
              <w:rPr>
                <w:color w:val="auto"/>
                <w:sz w:val="22"/>
                <w:szCs w:val="22"/>
              </w:rPr>
            </w:pPr>
            <w:r>
              <w:rPr>
                <w:color w:val="auto"/>
                <w:sz w:val="22"/>
                <w:szCs w:val="22"/>
              </w:rPr>
              <w:t>Урок 60</w:t>
            </w:r>
          </w:p>
        </w:tc>
        <w:tc>
          <w:tcPr>
            <w:tcW w:w="7937" w:type="dxa"/>
            <w:vAlign w:val="center"/>
          </w:tcPr>
          <w:p w14:paraId="0C9CC44C">
            <w:pPr>
              <w:pStyle w:val="85"/>
              <w:jc w:val="both"/>
              <w:rPr>
                <w:color w:val="auto"/>
                <w:sz w:val="22"/>
                <w:szCs w:val="22"/>
              </w:rPr>
            </w:pPr>
            <w:r>
              <w:rPr>
                <w:color w:val="auto"/>
                <w:sz w:val="22"/>
                <w:szCs w:val="22"/>
              </w:rPr>
              <w:t>Резервный урок. Сравнение средств создания пейзажа в тексте-описании, в изобразительном искусстве, в произведениях музыкального искусства</w:t>
            </w:r>
          </w:p>
        </w:tc>
      </w:tr>
      <w:tr w14:paraId="5D6938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1D17BDC1">
            <w:pPr>
              <w:pStyle w:val="85"/>
              <w:rPr>
                <w:color w:val="auto"/>
                <w:sz w:val="22"/>
                <w:szCs w:val="22"/>
              </w:rPr>
            </w:pPr>
            <w:r>
              <w:rPr>
                <w:color w:val="auto"/>
                <w:sz w:val="22"/>
                <w:szCs w:val="22"/>
              </w:rPr>
              <w:t>Урок 61</w:t>
            </w:r>
          </w:p>
        </w:tc>
        <w:tc>
          <w:tcPr>
            <w:tcW w:w="7937" w:type="dxa"/>
            <w:vAlign w:val="center"/>
          </w:tcPr>
          <w:p w14:paraId="34DBF1DB">
            <w:pPr>
              <w:pStyle w:val="85"/>
              <w:jc w:val="both"/>
              <w:rPr>
                <w:color w:val="auto"/>
                <w:sz w:val="22"/>
                <w:szCs w:val="22"/>
              </w:rPr>
            </w:pPr>
            <w:r>
              <w:rPr>
                <w:color w:val="auto"/>
                <w:sz w:val="22"/>
                <w:szCs w:val="22"/>
              </w:rPr>
              <w:t>Характеристика героя сказки В.М. Гаршина "Лягушка-путешественница"</w:t>
            </w:r>
          </w:p>
        </w:tc>
      </w:tr>
      <w:tr w14:paraId="1D51A1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6144C386">
            <w:pPr>
              <w:pStyle w:val="85"/>
              <w:rPr>
                <w:color w:val="auto"/>
                <w:sz w:val="22"/>
                <w:szCs w:val="22"/>
              </w:rPr>
            </w:pPr>
            <w:r>
              <w:rPr>
                <w:color w:val="auto"/>
                <w:sz w:val="22"/>
                <w:szCs w:val="22"/>
              </w:rPr>
              <w:t>Урок 62</w:t>
            </w:r>
          </w:p>
        </w:tc>
        <w:tc>
          <w:tcPr>
            <w:tcW w:w="7937" w:type="dxa"/>
            <w:vAlign w:val="center"/>
          </w:tcPr>
          <w:p w14:paraId="74484C53">
            <w:pPr>
              <w:pStyle w:val="85"/>
              <w:jc w:val="both"/>
              <w:rPr>
                <w:color w:val="auto"/>
                <w:sz w:val="22"/>
                <w:szCs w:val="22"/>
              </w:rPr>
            </w:pPr>
            <w:r>
              <w:rPr>
                <w:color w:val="auto"/>
                <w:sz w:val="22"/>
                <w:szCs w:val="22"/>
              </w:rPr>
              <w:t>Особенности литературной сказки В.М. Гаршина "Лягушка-путешественница": анализ сюжета, композиции</w:t>
            </w:r>
          </w:p>
        </w:tc>
      </w:tr>
      <w:tr w14:paraId="580E53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5426FE93">
            <w:pPr>
              <w:pStyle w:val="85"/>
              <w:rPr>
                <w:color w:val="auto"/>
                <w:sz w:val="22"/>
                <w:szCs w:val="22"/>
              </w:rPr>
            </w:pPr>
            <w:r>
              <w:rPr>
                <w:color w:val="auto"/>
                <w:sz w:val="22"/>
                <w:szCs w:val="22"/>
              </w:rPr>
              <w:t>Урок 63</w:t>
            </w:r>
          </w:p>
        </w:tc>
        <w:tc>
          <w:tcPr>
            <w:tcW w:w="7937" w:type="dxa"/>
            <w:vAlign w:val="center"/>
          </w:tcPr>
          <w:p w14:paraId="03216218">
            <w:pPr>
              <w:pStyle w:val="85"/>
              <w:jc w:val="both"/>
              <w:rPr>
                <w:color w:val="auto"/>
                <w:sz w:val="22"/>
                <w:szCs w:val="22"/>
              </w:rPr>
            </w:pPr>
            <w:r>
              <w:rPr>
                <w:color w:val="auto"/>
                <w:sz w:val="22"/>
                <w:szCs w:val="22"/>
              </w:rPr>
              <w:t>Осознание главной мысли (идеи) сказки В.М. Гаршина "Лягушка-путешественница"</w:t>
            </w:r>
          </w:p>
        </w:tc>
      </w:tr>
      <w:tr w14:paraId="153F99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51DA4B43">
            <w:pPr>
              <w:pStyle w:val="85"/>
              <w:rPr>
                <w:color w:val="auto"/>
                <w:sz w:val="22"/>
                <w:szCs w:val="22"/>
              </w:rPr>
            </w:pPr>
            <w:r>
              <w:rPr>
                <w:color w:val="auto"/>
                <w:sz w:val="22"/>
                <w:szCs w:val="22"/>
              </w:rPr>
              <w:t>Урок 64</w:t>
            </w:r>
          </w:p>
        </w:tc>
        <w:tc>
          <w:tcPr>
            <w:tcW w:w="7937" w:type="dxa"/>
            <w:vAlign w:val="center"/>
          </w:tcPr>
          <w:p w14:paraId="5FAF0DE0">
            <w:pPr>
              <w:pStyle w:val="85"/>
              <w:jc w:val="both"/>
              <w:rPr>
                <w:color w:val="auto"/>
                <w:sz w:val="22"/>
                <w:szCs w:val="22"/>
              </w:rPr>
            </w:pPr>
            <w:r>
              <w:rPr>
                <w:color w:val="auto"/>
                <w:sz w:val="22"/>
                <w:szCs w:val="22"/>
              </w:rPr>
              <w:t>Работа с детскими книгами "Литературные сказки писателей": составление аннотации</w:t>
            </w:r>
          </w:p>
        </w:tc>
      </w:tr>
      <w:tr w14:paraId="1D7119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5A0F2907">
            <w:pPr>
              <w:pStyle w:val="85"/>
              <w:rPr>
                <w:color w:val="auto"/>
                <w:sz w:val="22"/>
                <w:szCs w:val="22"/>
              </w:rPr>
            </w:pPr>
            <w:r>
              <w:rPr>
                <w:color w:val="auto"/>
                <w:sz w:val="22"/>
                <w:szCs w:val="22"/>
              </w:rPr>
              <w:t>Урок 65</w:t>
            </w:r>
          </w:p>
        </w:tc>
        <w:tc>
          <w:tcPr>
            <w:tcW w:w="7937" w:type="dxa"/>
            <w:vAlign w:val="center"/>
          </w:tcPr>
          <w:p w14:paraId="1AC01097">
            <w:pPr>
              <w:pStyle w:val="85"/>
              <w:jc w:val="both"/>
              <w:rPr>
                <w:color w:val="auto"/>
                <w:sz w:val="22"/>
                <w:szCs w:val="22"/>
              </w:rPr>
            </w:pPr>
            <w:r>
              <w:rPr>
                <w:color w:val="auto"/>
                <w:sz w:val="22"/>
                <w:szCs w:val="22"/>
              </w:rPr>
              <w:t>Животные в литературных сказках. На примере произведения И.С. Соколова-Микитова "Листопадничек"</w:t>
            </w:r>
          </w:p>
        </w:tc>
      </w:tr>
      <w:tr w14:paraId="066380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0409FEE9">
            <w:pPr>
              <w:pStyle w:val="85"/>
              <w:rPr>
                <w:color w:val="auto"/>
                <w:sz w:val="22"/>
                <w:szCs w:val="22"/>
              </w:rPr>
            </w:pPr>
            <w:r>
              <w:rPr>
                <w:color w:val="auto"/>
                <w:sz w:val="22"/>
                <w:szCs w:val="22"/>
              </w:rPr>
              <w:t>Урок 66</w:t>
            </w:r>
          </w:p>
        </w:tc>
        <w:tc>
          <w:tcPr>
            <w:tcW w:w="7937" w:type="dxa"/>
            <w:vAlign w:val="center"/>
          </w:tcPr>
          <w:p w14:paraId="766D6D52">
            <w:pPr>
              <w:pStyle w:val="85"/>
              <w:jc w:val="both"/>
              <w:rPr>
                <w:color w:val="auto"/>
                <w:sz w:val="22"/>
                <w:szCs w:val="22"/>
              </w:rPr>
            </w:pPr>
            <w:r>
              <w:rPr>
                <w:color w:val="auto"/>
                <w:sz w:val="22"/>
                <w:szCs w:val="22"/>
              </w:rPr>
              <w:t>Научно-естественные сведения о природе в сказке И.С. Соколова-Микитова "Листопадничек"</w:t>
            </w:r>
          </w:p>
        </w:tc>
      </w:tr>
      <w:tr w14:paraId="238089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5BFCFD5D">
            <w:pPr>
              <w:pStyle w:val="85"/>
              <w:rPr>
                <w:color w:val="auto"/>
                <w:sz w:val="22"/>
                <w:szCs w:val="22"/>
              </w:rPr>
            </w:pPr>
            <w:r>
              <w:rPr>
                <w:color w:val="auto"/>
                <w:sz w:val="22"/>
                <w:szCs w:val="22"/>
              </w:rPr>
              <w:t>Урок 67</w:t>
            </w:r>
          </w:p>
        </w:tc>
        <w:tc>
          <w:tcPr>
            <w:tcW w:w="7937" w:type="dxa"/>
            <w:vAlign w:val="center"/>
          </w:tcPr>
          <w:p w14:paraId="64327B61">
            <w:pPr>
              <w:pStyle w:val="85"/>
              <w:jc w:val="both"/>
              <w:rPr>
                <w:color w:val="auto"/>
                <w:sz w:val="22"/>
                <w:szCs w:val="22"/>
              </w:rPr>
            </w:pPr>
            <w:r>
              <w:rPr>
                <w:color w:val="auto"/>
                <w:sz w:val="22"/>
                <w:szCs w:val="22"/>
              </w:rPr>
              <w:t>Создание образов героев-животных в литературных сказках. На примере произведения Д.Н. Мамин-Сибиряка "Умнее всех"</w:t>
            </w:r>
          </w:p>
        </w:tc>
      </w:tr>
      <w:tr w14:paraId="008948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6D32D24D">
            <w:pPr>
              <w:pStyle w:val="85"/>
              <w:rPr>
                <w:color w:val="auto"/>
                <w:sz w:val="22"/>
                <w:szCs w:val="22"/>
              </w:rPr>
            </w:pPr>
            <w:r>
              <w:rPr>
                <w:color w:val="auto"/>
                <w:sz w:val="22"/>
                <w:szCs w:val="22"/>
              </w:rPr>
              <w:t>Урок 68</w:t>
            </w:r>
          </w:p>
        </w:tc>
        <w:tc>
          <w:tcPr>
            <w:tcW w:w="7937" w:type="dxa"/>
            <w:vAlign w:val="center"/>
          </w:tcPr>
          <w:p w14:paraId="126CAB5A">
            <w:pPr>
              <w:pStyle w:val="85"/>
              <w:jc w:val="both"/>
              <w:rPr>
                <w:color w:val="auto"/>
                <w:sz w:val="22"/>
                <w:szCs w:val="22"/>
              </w:rPr>
            </w:pPr>
            <w:r>
              <w:rPr>
                <w:color w:val="auto"/>
                <w:sz w:val="22"/>
                <w:szCs w:val="22"/>
              </w:rPr>
              <w:t>Поучительный смысл сказок о животных. На примере произведения Д.Н. Мамин-Сибиряка "Умнее всех"</w:t>
            </w:r>
          </w:p>
        </w:tc>
      </w:tr>
      <w:tr w14:paraId="2B6A6B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199323CB">
            <w:pPr>
              <w:pStyle w:val="85"/>
              <w:rPr>
                <w:color w:val="auto"/>
                <w:sz w:val="22"/>
                <w:szCs w:val="22"/>
              </w:rPr>
            </w:pPr>
            <w:r>
              <w:rPr>
                <w:color w:val="auto"/>
                <w:sz w:val="22"/>
                <w:szCs w:val="22"/>
              </w:rPr>
              <w:t>Урок 69</w:t>
            </w:r>
          </w:p>
        </w:tc>
        <w:tc>
          <w:tcPr>
            <w:tcW w:w="7937" w:type="dxa"/>
            <w:vAlign w:val="center"/>
          </w:tcPr>
          <w:p w14:paraId="3ADF842F">
            <w:pPr>
              <w:pStyle w:val="85"/>
              <w:jc w:val="both"/>
              <w:rPr>
                <w:color w:val="auto"/>
                <w:sz w:val="22"/>
                <w:szCs w:val="22"/>
              </w:rPr>
            </w:pPr>
            <w:r>
              <w:rPr>
                <w:color w:val="auto"/>
                <w:sz w:val="22"/>
                <w:szCs w:val="22"/>
              </w:rPr>
              <w:t>Составление устного рассказа "Моя любимая книга"</w:t>
            </w:r>
          </w:p>
        </w:tc>
      </w:tr>
      <w:tr w14:paraId="6E985E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7F40D451">
            <w:pPr>
              <w:pStyle w:val="85"/>
              <w:rPr>
                <w:color w:val="auto"/>
                <w:sz w:val="22"/>
                <w:szCs w:val="22"/>
              </w:rPr>
            </w:pPr>
            <w:r>
              <w:rPr>
                <w:color w:val="auto"/>
                <w:sz w:val="22"/>
                <w:szCs w:val="22"/>
              </w:rPr>
              <w:t>Урок 70</w:t>
            </w:r>
          </w:p>
        </w:tc>
        <w:tc>
          <w:tcPr>
            <w:tcW w:w="7937" w:type="dxa"/>
            <w:vAlign w:val="center"/>
          </w:tcPr>
          <w:p w14:paraId="5CF25389">
            <w:pPr>
              <w:pStyle w:val="85"/>
              <w:jc w:val="both"/>
              <w:rPr>
                <w:color w:val="auto"/>
                <w:sz w:val="22"/>
                <w:szCs w:val="22"/>
              </w:rPr>
            </w:pPr>
            <w:r>
              <w:rPr>
                <w:color w:val="auto"/>
                <w:sz w:val="22"/>
                <w:szCs w:val="22"/>
              </w:rPr>
              <w:t>Наблюдение за описанием зимнего пейзажа. На примере стихотворения С.Д. Дрожжина "Зимний день"</w:t>
            </w:r>
          </w:p>
        </w:tc>
      </w:tr>
      <w:tr w14:paraId="257F78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7EFF34C0">
            <w:pPr>
              <w:pStyle w:val="85"/>
              <w:rPr>
                <w:color w:val="auto"/>
                <w:sz w:val="22"/>
                <w:szCs w:val="22"/>
              </w:rPr>
            </w:pPr>
            <w:r>
              <w:rPr>
                <w:color w:val="auto"/>
                <w:sz w:val="22"/>
                <w:szCs w:val="22"/>
              </w:rPr>
              <w:t>Урок 71</w:t>
            </w:r>
          </w:p>
        </w:tc>
        <w:tc>
          <w:tcPr>
            <w:tcW w:w="7937" w:type="dxa"/>
            <w:vAlign w:val="center"/>
          </w:tcPr>
          <w:p w14:paraId="71199577">
            <w:pPr>
              <w:pStyle w:val="85"/>
              <w:jc w:val="both"/>
              <w:rPr>
                <w:color w:val="auto"/>
                <w:sz w:val="22"/>
                <w:szCs w:val="22"/>
              </w:rPr>
            </w:pPr>
            <w:r>
              <w:rPr>
                <w:color w:val="auto"/>
                <w:sz w:val="22"/>
                <w:szCs w:val="22"/>
              </w:rPr>
              <w:t>Оценка чувств и настроения, вызываемых лирическим произведением</w:t>
            </w:r>
          </w:p>
        </w:tc>
      </w:tr>
      <w:tr w14:paraId="6CDCA8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1FE4E9CC">
            <w:pPr>
              <w:pStyle w:val="85"/>
              <w:rPr>
                <w:color w:val="auto"/>
                <w:sz w:val="22"/>
                <w:szCs w:val="22"/>
              </w:rPr>
            </w:pPr>
            <w:r>
              <w:rPr>
                <w:color w:val="auto"/>
                <w:sz w:val="22"/>
                <w:szCs w:val="22"/>
              </w:rPr>
              <w:t>Урок 72</w:t>
            </w:r>
          </w:p>
        </w:tc>
        <w:tc>
          <w:tcPr>
            <w:tcW w:w="7937" w:type="dxa"/>
            <w:vAlign w:val="center"/>
          </w:tcPr>
          <w:p w14:paraId="2DE9918A">
            <w:pPr>
              <w:pStyle w:val="85"/>
              <w:jc w:val="both"/>
              <w:rPr>
                <w:color w:val="auto"/>
                <w:sz w:val="22"/>
                <w:szCs w:val="22"/>
              </w:rPr>
            </w:pPr>
            <w:r>
              <w:rPr>
                <w:color w:val="auto"/>
                <w:sz w:val="22"/>
                <w:szCs w:val="22"/>
              </w:rPr>
              <w:t>Работа со стихотворением С.А. Есенина "Береза": средства выразительности в произведении</w:t>
            </w:r>
          </w:p>
        </w:tc>
      </w:tr>
      <w:tr w14:paraId="412DAC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43F79C3A">
            <w:pPr>
              <w:pStyle w:val="85"/>
              <w:rPr>
                <w:color w:val="auto"/>
                <w:sz w:val="22"/>
                <w:szCs w:val="22"/>
              </w:rPr>
            </w:pPr>
            <w:r>
              <w:rPr>
                <w:color w:val="auto"/>
                <w:sz w:val="22"/>
                <w:szCs w:val="22"/>
              </w:rPr>
              <w:t>Урок 73</w:t>
            </w:r>
          </w:p>
        </w:tc>
        <w:tc>
          <w:tcPr>
            <w:tcW w:w="7937" w:type="dxa"/>
            <w:vAlign w:val="center"/>
          </w:tcPr>
          <w:p w14:paraId="71E9961F">
            <w:pPr>
              <w:pStyle w:val="85"/>
              <w:jc w:val="both"/>
              <w:rPr>
                <w:color w:val="auto"/>
                <w:sz w:val="22"/>
                <w:szCs w:val="22"/>
              </w:rPr>
            </w:pPr>
            <w:r>
              <w:rPr>
                <w:color w:val="auto"/>
                <w:sz w:val="22"/>
                <w:szCs w:val="22"/>
              </w:rPr>
              <w:t>Восприятие картин природы в стихотворениях С.А. Есенина</w:t>
            </w:r>
          </w:p>
        </w:tc>
      </w:tr>
      <w:tr w14:paraId="6F370D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7F330AB5">
            <w:pPr>
              <w:pStyle w:val="85"/>
              <w:rPr>
                <w:color w:val="auto"/>
                <w:sz w:val="22"/>
                <w:szCs w:val="22"/>
              </w:rPr>
            </w:pPr>
            <w:r>
              <w:rPr>
                <w:color w:val="auto"/>
                <w:sz w:val="22"/>
                <w:szCs w:val="22"/>
              </w:rPr>
              <w:t>Урок 74</w:t>
            </w:r>
          </w:p>
        </w:tc>
        <w:tc>
          <w:tcPr>
            <w:tcW w:w="7937" w:type="dxa"/>
            <w:vAlign w:val="center"/>
          </w:tcPr>
          <w:p w14:paraId="5B3CEB6D">
            <w:pPr>
              <w:pStyle w:val="85"/>
              <w:jc w:val="both"/>
              <w:rPr>
                <w:color w:val="auto"/>
                <w:sz w:val="22"/>
                <w:szCs w:val="22"/>
              </w:rPr>
            </w:pPr>
            <w:r>
              <w:rPr>
                <w:color w:val="auto"/>
                <w:sz w:val="22"/>
                <w:szCs w:val="22"/>
              </w:rPr>
              <w:t>Живописные полотна как иллюстрация к лирическому произведению: пейзаж</w:t>
            </w:r>
          </w:p>
        </w:tc>
      </w:tr>
      <w:tr w14:paraId="2B3AED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791C2914">
            <w:pPr>
              <w:pStyle w:val="85"/>
              <w:rPr>
                <w:color w:val="auto"/>
                <w:sz w:val="22"/>
                <w:szCs w:val="22"/>
              </w:rPr>
            </w:pPr>
            <w:r>
              <w:rPr>
                <w:color w:val="auto"/>
                <w:sz w:val="22"/>
                <w:szCs w:val="22"/>
              </w:rPr>
              <w:t>Урок 75</w:t>
            </w:r>
          </w:p>
        </w:tc>
        <w:tc>
          <w:tcPr>
            <w:tcW w:w="7937" w:type="dxa"/>
            <w:vAlign w:val="center"/>
          </w:tcPr>
          <w:p w14:paraId="492AE2C1">
            <w:pPr>
              <w:pStyle w:val="85"/>
              <w:jc w:val="both"/>
              <w:rPr>
                <w:color w:val="auto"/>
                <w:sz w:val="22"/>
                <w:szCs w:val="22"/>
              </w:rPr>
            </w:pPr>
            <w:r>
              <w:rPr>
                <w:color w:val="auto"/>
                <w:sz w:val="22"/>
                <w:szCs w:val="22"/>
              </w:rPr>
              <w:t>Взаимоотношения человека и животных - тема произведения Д.Н. Мамин-Сибиряка "Приемыш"</w:t>
            </w:r>
          </w:p>
        </w:tc>
      </w:tr>
      <w:tr w14:paraId="3B22B6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0A229690">
            <w:pPr>
              <w:pStyle w:val="85"/>
              <w:rPr>
                <w:color w:val="auto"/>
                <w:sz w:val="22"/>
                <w:szCs w:val="22"/>
              </w:rPr>
            </w:pPr>
            <w:r>
              <w:rPr>
                <w:color w:val="auto"/>
                <w:sz w:val="22"/>
                <w:szCs w:val="22"/>
              </w:rPr>
              <w:t>Урок 76</w:t>
            </w:r>
          </w:p>
        </w:tc>
        <w:tc>
          <w:tcPr>
            <w:tcW w:w="7937" w:type="dxa"/>
            <w:vAlign w:val="center"/>
          </w:tcPr>
          <w:p w14:paraId="61D412AE">
            <w:pPr>
              <w:pStyle w:val="85"/>
              <w:jc w:val="both"/>
              <w:rPr>
                <w:color w:val="auto"/>
                <w:sz w:val="22"/>
                <w:szCs w:val="22"/>
              </w:rPr>
            </w:pPr>
            <w:r>
              <w:rPr>
                <w:color w:val="auto"/>
                <w:sz w:val="22"/>
                <w:szCs w:val="22"/>
              </w:rPr>
              <w:t>Соотнесение заглавия и главной мысли рассказа Д.Н. Мамин-Сибиряка "Приемыш"</w:t>
            </w:r>
          </w:p>
        </w:tc>
      </w:tr>
      <w:tr w14:paraId="2B57AA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4930B3E7">
            <w:pPr>
              <w:pStyle w:val="85"/>
              <w:rPr>
                <w:color w:val="auto"/>
                <w:sz w:val="22"/>
                <w:szCs w:val="22"/>
              </w:rPr>
            </w:pPr>
            <w:r>
              <w:rPr>
                <w:color w:val="auto"/>
                <w:sz w:val="22"/>
                <w:szCs w:val="22"/>
              </w:rPr>
              <w:t>Урок 77</w:t>
            </w:r>
          </w:p>
        </w:tc>
        <w:tc>
          <w:tcPr>
            <w:tcW w:w="7937" w:type="dxa"/>
            <w:vAlign w:val="center"/>
          </w:tcPr>
          <w:p w14:paraId="71492920">
            <w:pPr>
              <w:pStyle w:val="85"/>
              <w:jc w:val="both"/>
              <w:rPr>
                <w:color w:val="auto"/>
                <w:sz w:val="22"/>
                <w:szCs w:val="22"/>
              </w:rPr>
            </w:pPr>
            <w:r>
              <w:rPr>
                <w:color w:val="auto"/>
                <w:sz w:val="22"/>
                <w:szCs w:val="22"/>
              </w:rPr>
              <w:t>Отражение темы дружба животных в рассказах писателей. На примере произведения А.И. Куприна "Барбос и Жулька"</w:t>
            </w:r>
          </w:p>
        </w:tc>
      </w:tr>
      <w:tr w14:paraId="2FC1FF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03B7779B">
            <w:pPr>
              <w:pStyle w:val="85"/>
              <w:rPr>
                <w:color w:val="auto"/>
                <w:sz w:val="22"/>
                <w:szCs w:val="22"/>
              </w:rPr>
            </w:pPr>
            <w:r>
              <w:rPr>
                <w:color w:val="auto"/>
                <w:sz w:val="22"/>
                <w:szCs w:val="22"/>
              </w:rPr>
              <w:t>Урок 78</w:t>
            </w:r>
          </w:p>
        </w:tc>
        <w:tc>
          <w:tcPr>
            <w:tcW w:w="7937" w:type="dxa"/>
            <w:vAlign w:val="center"/>
          </w:tcPr>
          <w:p w14:paraId="0F2B86E4">
            <w:pPr>
              <w:pStyle w:val="85"/>
              <w:jc w:val="both"/>
              <w:rPr>
                <w:color w:val="auto"/>
                <w:sz w:val="22"/>
                <w:szCs w:val="22"/>
              </w:rPr>
            </w:pPr>
            <w:r>
              <w:rPr>
                <w:color w:val="auto"/>
                <w:sz w:val="22"/>
                <w:szCs w:val="22"/>
              </w:rPr>
              <w:t>Характеристика героев-животных, их портрет в рассказах писателей. На примере рассказа А.И. Куприна "Барбос и Жулька"</w:t>
            </w:r>
          </w:p>
        </w:tc>
      </w:tr>
      <w:tr w14:paraId="5BE75F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566CD2F1">
            <w:pPr>
              <w:pStyle w:val="85"/>
              <w:rPr>
                <w:color w:val="auto"/>
                <w:sz w:val="22"/>
                <w:szCs w:val="22"/>
              </w:rPr>
            </w:pPr>
            <w:r>
              <w:rPr>
                <w:color w:val="auto"/>
                <w:sz w:val="22"/>
                <w:szCs w:val="22"/>
              </w:rPr>
              <w:t>Урок 79</w:t>
            </w:r>
          </w:p>
        </w:tc>
        <w:tc>
          <w:tcPr>
            <w:tcW w:w="7937" w:type="dxa"/>
            <w:vAlign w:val="center"/>
          </w:tcPr>
          <w:p w14:paraId="7E5064D6">
            <w:pPr>
              <w:pStyle w:val="85"/>
              <w:jc w:val="both"/>
              <w:rPr>
                <w:color w:val="auto"/>
                <w:sz w:val="22"/>
                <w:szCs w:val="22"/>
              </w:rPr>
            </w:pPr>
            <w:r>
              <w:rPr>
                <w:color w:val="auto"/>
                <w:sz w:val="22"/>
                <w:szCs w:val="22"/>
              </w:rPr>
              <w:t>Отражение нравственно-этических понятий (любовь и забота о животных) в рассказах писателей</w:t>
            </w:r>
          </w:p>
        </w:tc>
      </w:tr>
      <w:tr w14:paraId="4675F9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05D8F4C9">
            <w:pPr>
              <w:pStyle w:val="85"/>
              <w:rPr>
                <w:color w:val="auto"/>
                <w:sz w:val="22"/>
                <w:szCs w:val="22"/>
              </w:rPr>
            </w:pPr>
            <w:r>
              <w:rPr>
                <w:color w:val="auto"/>
                <w:sz w:val="22"/>
                <w:szCs w:val="22"/>
              </w:rPr>
              <w:t>Урок 80</w:t>
            </w:r>
          </w:p>
        </w:tc>
        <w:tc>
          <w:tcPr>
            <w:tcW w:w="7937" w:type="dxa"/>
            <w:vAlign w:val="center"/>
          </w:tcPr>
          <w:p w14:paraId="7ED725F7">
            <w:pPr>
              <w:pStyle w:val="85"/>
              <w:jc w:val="both"/>
              <w:rPr>
                <w:color w:val="auto"/>
                <w:sz w:val="22"/>
                <w:szCs w:val="22"/>
              </w:rPr>
            </w:pPr>
            <w:r>
              <w:rPr>
                <w:color w:val="auto"/>
                <w:sz w:val="22"/>
                <w:szCs w:val="22"/>
              </w:rPr>
              <w:t>Осознание понятий верность и преданность животных</w:t>
            </w:r>
          </w:p>
        </w:tc>
      </w:tr>
      <w:tr w14:paraId="793A41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675D20B5">
            <w:pPr>
              <w:pStyle w:val="85"/>
              <w:rPr>
                <w:color w:val="auto"/>
                <w:sz w:val="22"/>
                <w:szCs w:val="22"/>
              </w:rPr>
            </w:pPr>
            <w:r>
              <w:rPr>
                <w:color w:val="auto"/>
                <w:sz w:val="22"/>
                <w:szCs w:val="22"/>
              </w:rPr>
              <w:t>Урок 81</w:t>
            </w:r>
          </w:p>
        </w:tc>
        <w:tc>
          <w:tcPr>
            <w:tcW w:w="7937" w:type="dxa"/>
            <w:vAlign w:val="center"/>
          </w:tcPr>
          <w:p w14:paraId="690E74EE">
            <w:pPr>
              <w:pStyle w:val="85"/>
              <w:jc w:val="both"/>
              <w:rPr>
                <w:color w:val="auto"/>
                <w:sz w:val="22"/>
                <w:szCs w:val="22"/>
              </w:rPr>
            </w:pPr>
            <w:r>
              <w:rPr>
                <w:color w:val="auto"/>
                <w:sz w:val="22"/>
                <w:szCs w:val="22"/>
              </w:rPr>
              <w:t>Работа с детскими книгами о братьях наших меньших: написание отзыва</w:t>
            </w:r>
          </w:p>
        </w:tc>
      </w:tr>
      <w:tr w14:paraId="7025AD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1FC6E586">
            <w:pPr>
              <w:pStyle w:val="85"/>
              <w:rPr>
                <w:color w:val="auto"/>
                <w:sz w:val="22"/>
                <w:szCs w:val="22"/>
              </w:rPr>
            </w:pPr>
            <w:r>
              <w:rPr>
                <w:color w:val="auto"/>
                <w:sz w:val="22"/>
                <w:szCs w:val="22"/>
              </w:rPr>
              <w:t>Урок 82</w:t>
            </w:r>
          </w:p>
        </w:tc>
        <w:tc>
          <w:tcPr>
            <w:tcW w:w="7937" w:type="dxa"/>
            <w:vAlign w:val="center"/>
          </w:tcPr>
          <w:p w14:paraId="5EAC5496">
            <w:pPr>
              <w:pStyle w:val="85"/>
              <w:jc w:val="both"/>
              <w:rPr>
                <w:color w:val="auto"/>
                <w:sz w:val="22"/>
                <w:szCs w:val="22"/>
              </w:rPr>
            </w:pPr>
            <w:r>
              <w:rPr>
                <w:color w:val="auto"/>
                <w:sz w:val="22"/>
                <w:szCs w:val="22"/>
              </w:rPr>
              <w:t>Создание картин природы в произведениях поэтов. На примере стихотворения И.А. Бунина "Первый снег"</w:t>
            </w:r>
          </w:p>
        </w:tc>
      </w:tr>
      <w:tr w14:paraId="343C19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6958F61B">
            <w:pPr>
              <w:pStyle w:val="85"/>
              <w:rPr>
                <w:color w:val="auto"/>
                <w:sz w:val="22"/>
                <w:szCs w:val="22"/>
              </w:rPr>
            </w:pPr>
            <w:r>
              <w:rPr>
                <w:color w:val="auto"/>
                <w:sz w:val="22"/>
                <w:szCs w:val="22"/>
              </w:rPr>
              <w:t>Урок 83</w:t>
            </w:r>
          </w:p>
        </w:tc>
        <w:tc>
          <w:tcPr>
            <w:tcW w:w="7937" w:type="dxa"/>
            <w:vAlign w:val="center"/>
          </w:tcPr>
          <w:p w14:paraId="5CEE7C56">
            <w:pPr>
              <w:pStyle w:val="85"/>
              <w:jc w:val="both"/>
              <w:rPr>
                <w:color w:val="auto"/>
                <w:sz w:val="22"/>
                <w:szCs w:val="22"/>
              </w:rPr>
            </w:pPr>
            <w:r>
              <w:rPr>
                <w:color w:val="auto"/>
                <w:sz w:val="22"/>
                <w:szCs w:val="22"/>
              </w:rPr>
              <w:t>Звукопись, ее выразительное значение в лирических произведениях</w:t>
            </w:r>
          </w:p>
        </w:tc>
      </w:tr>
      <w:tr w14:paraId="0BD817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28630C8B">
            <w:pPr>
              <w:pStyle w:val="85"/>
              <w:rPr>
                <w:color w:val="auto"/>
                <w:sz w:val="22"/>
                <w:szCs w:val="22"/>
              </w:rPr>
            </w:pPr>
            <w:r>
              <w:rPr>
                <w:color w:val="auto"/>
                <w:sz w:val="22"/>
                <w:szCs w:val="22"/>
              </w:rPr>
              <w:t>Урок 84</w:t>
            </w:r>
          </w:p>
        </w:tc>
        <w:tc>
          <w:tcPr>
            <w:tcW w:w="7937" w:type="dxa"/>
            <w:vAlign w:val="center"/>
          </w:tcPr>
          <w:p w14:paraId="3C35B83C">
            <w:pPr>
              <w:pStyle w:val="85"/>
              <w:jc w:val="both"/>
              <w:rPr>
                <w:color w:val="auto"/>
                <w:sz w:val="22"/>
                <w:szCs w:val="22"/>
              </w:rPr>
            </w:pPr>
            <w:r>
              <w:rPr>
                <w:color w:val="auto"/>
                <w:sz w:val="22"/>
                <w:szCs w:val="22"/>
              </w:rPr>
              <w:t>Поэтические картины родной природы</w:t>
            </w:r>
          </w:p>
        </w:tc>
      </w:tr>
      <w:tr w14:paraId="02CD5F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731F0A0D">
            <w:pPr>
              <w:pStyle w:val="85"/>
              <w:rPr>
                <w:color w:val="auto"/>
                <w:sz w:val="22"/>
                <w:szCs w:val="22"/>
              </w:rPr>
            </w:pPr>
            <w:r>
              <w:rPr>
                <w:color w:val="auto"/>
                <w:sz w:val="22"/>
                <w:szCs w:val="22"/>
              </w:rPr>
              <w:t>Урок 85</w:t>
            </w:r>
          </w:p>
        </w:tc>
        <w:tc>
          <w:tcPr>
            <w:tcW w:w="7937" w:type="dxa"/>
            <w:vAlign w:val="center"/>
          </w:tcPr>
          <w:p w14:paraId="242BC1E8">
            <w:pPr>
              <w:pStyle w:val="85"/>
              <w:jc w:val="both"/>
              <w:rPr>
                <w:color w:val="auto"/>
                <w:sz w:val="22"/>
                <w:szCs w:val="22"/>
              </w:rPr>
            </w:pPr>
            <w:r>
              <w:rPr>
                <w:color w:val="auto"/>
                <w:sz w:val="22"/>
                <w:szCs w:val="22"/>
              </w:rPr>
              <w:t>Составление устного рассказа "Красота родной природы" по изученным текстам</w:t>
            </w:r>
          </w:p>
        </w:tc>
      </w:tr>
      <w:tr w14:paraId="191D41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664688FC">
            <w:pPr>
              <w:pStyle w:val="85"/>
              <w:rPr>
                <w:color w:val="auto"/>
                <w:sz w:val="22"/>
                <w:szCs w:val="22"/>
              </w:rPr>
            </w:pPr>
            <w:r>
              <w:rPr>
                <w:color w:val="auto"/>
                <w:sz w:val="22"/>
                <w:szCs w:val="22"/>
              </w:rPr>
              <w:t>Урок 86</w:t>
            </w:r>
          </w:p>
        </w:tc>
        <w:tc>
          <w:tcPr>
            <w:tcW w:w="7937" w:type="dxa"/>
            <w:vAlign w:val="center"/>
          </w:tcPr>
          <w:p w14:paraId="5F93A180">
            <w:pPr>
              <w:pStyle w:val="85"/>
              <w:jc w:val="both"/>
              <w:rPr>
                <w:color w:val="auto"/>
                <w:sz w:val="22"/>
                <w:szCs w:val="22"/>
              </w:rPr>
            </w:pPr>
            <w:r>
              <w:rPr>
                <w:color w:val="auto"/>
                <w:sz w:val="22"/>
                <w:szCs w:val="22"/>
              </w:rPr>
              <w:t>Тематическое повторение по итогам раздела "Картины природы в произведениях поэтов и писателей XIX - XX вв."</w:t>
            </w:r>
          </w:p>
        </w:tc>
      </w:tr>
      <w:tr w14:paraId="6980D5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2869506C">
            <w:pPr>
              <w:pStyle w:val="85"/>
              <w:rPr>
                <w:color w:val="auto"/>
                <w:sz w:val="22"/>
                <w:szCs w:val="22"/>
              </w:rPr>
            </w:pPr>
            <w:r>
              <w:rPr>
                <w:color w:val="auto"/>
                <w:sz w:val="22"/>
                <w:szCs w:val="22"/>
              </w:rPr>
              <w:t>Урок 87</w:t>
            </w:r>
          </w:p>
        </w:tc>
        <w:tc>
          <w:tcPr>
            <w:tcW w:w="7937" w:type="dxa"/>
            <w:vAlign w:val="center"/>
          </w:tcPr>
          <w:p w14:paraId="65C3BB21">
            <w:pPr>
              <w:pStyle w:val="85"/>
              <w:jc w:val="both"/>
              <w:rPr>
                <w:color w:val="auto"/>
                <w:sz w:val="22"/>
                <w:szCs w:val="22"/>
              </w:rPr>
            </w:pPr>
            <w:r>
              <w:rPr>
                <w:color w:val="auto"/>
                <w:sz w:val="22"/>
                <w:szCs w:val="22"/>
              </w:rPr>
              <w:t>Дети - герои произведений</w:t>
            </w:r>
          </w:p>
        </w:tc>
      </w:tr>
      <w:tr w14:paraId="42D7FC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2A915618">
            <w:pPr>
              <w:pStyle w:val="85"/>
              <w:rPr>
                <w:color w:val="auto"/>
                <w:sz w:val="22"/>
                <w:szCs w:val="22"/>
              </w:rPr>
            </w:pPr>
            <w:r>
              <w:rPr>
                <w:color w:val="auto"/>
                <w:sz w:val="22"/>
                <w:szCs w:val="22"/>
              </w:rPr>
              <w:t>Урок 88</w:t>
            </w:r>
          </w:p>
        </w:tc>
        <w:tc>
          <w:tcPr>
            <w:tcW w:w="7937" w:type="dxa"/>
            <w:vAlign w:val="center"/>
          </w:tcPr>
          <w:p w14:paraId="0C81FA45">
            <w:pPr>
              <w:pStyle w:val="85"/>
              <w:jc w:val="both"/>
              <w:rPr>
                <w:color w:val="auto"/>
                <w:sz w:val="22"/>
                <w:szCs w:val="22"/>
              </w:rPr>
            </w:pPr>
            <w:r>
              <w:rPr>
                <w:color w:val="auto"/>
                <w:sz w:val="22"/>
                <w:szCs w:val="22"/>
              </w:rPr>
              <w:t>Историческая обстановка как фон создания произведения</w:t>
            </w:r>
          </w:p>
        </w:tc>
      </w:tr>
      <w:tr w14:paraId="6664F6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7E0A229D">
            <w:pPr>
              <w:pStyle w:val="85"/>
              <w:rPr>
                <w:color w:val="auto"/>
                <w:sz w:val="22"/>
                <w:szCs w:val="22"/>
              </w:rPr>
            </w:pPr>
            <w:r>
              <w:rPr>
                <w:color w:val="auto"/>
                <w:sz w:val="22"/>
                <w:szCs w:val="22"/>
              </w:rPr>
              <w:t>Урок 89</w:t>
            </w:r>
          </w:p>
        </w:tc>
        <w:tc>
          <w:tcPr>
            <w:tcW w:w="7937" w:type="dxa"/>
            <w:vAlign w:val="center"/>
          </w:tcPr>
          <w:p w14:paraId="70342879">
            <w:pPr>
              <w:pStyle w:val="85"/>
              <w:jc w:val="both"/>
              <w:rPr>
                <w:color w:val="auto"/>
                <w:sz w:val="22"/>
                <w:szCs w:val="22"/>
              </w:rPr>
            </w:pPr>
            <w:r>
              <w:rPr>
                <w:color w:val="auto"/>
                <w:sz w:val="22"/>
                <w:szCs w:val="22"/>
              </w:rPr>
              <w:t>Судьбы крестьянских детей в произведениях писателей. На примере рассказа А.П. Чехова "Ванька"</w:t>
            </w:r>
          </w:p>
        </w:tc>
      </w:tr>
      <w:tr w14:paraId="7C4E76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0850242C">
            <w:pPr>
              <w:pStyle w:val="85"/>
              <w:rPr>
                <w:color w:val="auto"/>
                <w:sz w:val="22"/>
                <w:szCs w:val="22"/>
              </w:rPr>
            </w:pPr>
            <w:r>
              <w:rPr>
                <w:color w:val="auto"/>
                <w:sz w:val="22"/>
                <w:szCs w:val="22"/>
              </w:rPr>
              <w:t>Урок 90</w:t>
            </w:r>
          </w:p>
        </w:tc>
        <w:tc>
          <w:tcPr>
            <w:tcW w:w="7937" w:type="dxa"/>
            <w:vAlign w:val="center"/>
          </w:tcPr>
          <w:p w14:paraId="3801CDCC">
            <w:pPr>
              <w:pStyle w:val="85"/>
              <w:jc w:val="both"/>
              <w:rPr>
                <w:color w:val="auto"/>
                <w:sz w:val="22"/>
                <w:szCs w:val="22"/>
              </w:rPr>
            </w:pPr>
            <w:r>
              <w:rPr>
                <w:color w:val="auto"/>
                <w:sz w:val="22"/>
                <w:szCs w:val="22"/>
              </w:rPr>
              <w:t>Особенности внешнего вида и характера героя-ребенка. На примере рассказа А.П. Чехова "Ванька"</w:t>
            </w:r>
          </w:p>
        </w:tc>
      </w:tr>
      <w:tr w14:paraId="326847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59D6B97B">
            <w:pPr>
              <w:pStyle w:val="85"/>
              <w:rPr>
                <w:color w:val="auto"/>
                <w:sz w:val="22"/>
                <w:szCs w:val="22"/>
              </w:rPr>
            </w:pPr>
            <w:r>
              <w:rPr>
                <w:color w:val="auto"/>
                <w:sz w:val="22"/>
                <w:szCs w:val="22"/>
              </w:rPr>
              <w:t>Урок 91</w:t>
            </w:r>
          </w:p>
        </w:tc>
        <w:tc>
          <w:tcPr>
            <w:tcW w:w="7937" w:type="dxa"/>
            <w:vAlign w:val="center"/>
          </w:tcPr>
          <w:p w14:paraId="42707A43">
            <w:pPr>
              <w:pStyle w:val="85"/>
              <w:jc w:val="both"/>
              <w:rPr>
                <w:color w:val="auto"/>
                <w:sz w:val="22"/>
                <w:szCs w:val="22"/>
              </w:rPr>
            </w:pPr>
            <w:r>
              <w:rPr>
                <w:color w:val="auto"/>
                <w:sz w:val="22"/>
                <w:szCs w:val="22"/>
              </w:rPr>
              <w:t>Отражение в произведении важных человеческих качеств: честности, стойкости, ответственности. На примере рассказа Л. Пантелеева "Честное слово"</w:t>
            </w:r>
          </w:p>
        </w:tc>
      </w:tr>
      <w:tr w14:paraId="7F41F3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68118F2F">
            <w:pPr>
              <w:pStyle w:val="85"/>
              <w:rPr>
                <w:color w:val="auto"/>
                <w:sz w:val="22"/>
                <w:szCs w:val="22"/>
              </w:rPr>
            </w:pPr>
            <w:r>
              <w:rPr>
                <w:color w:val="auto"/>
                <w:sz w:val="22"/>
                <w:szCs w:val="22"/>
              </w:rPr>
              <w:t>Урок 92</w:t>
            </w:r>
          </w:p>
        </w:tc>
        <w:tc>
          <w:tcPr>
            <w:tcW w:w="7937" w:type="dxa"/>
            <w:vAlign w:val="center"/>
          </w:tcPr>
          <w:p w14:paraId="102B373C">
            <w:pPr>
              <w:pStyle w:val="85"/>
              <w:jc w:val="both"/>
              <w:rPr>
                <w:color w:val="auto"/>
                <w:sz w:val="22"/>
                <w:szCs w:val="22"/>
              </w:rPr>
            </w:pPr>
            <w:r>
              <w:rPr>
                <w:color w:val="auto"/>
                <w:sz w:val="22"/>
                <w:szCs w:val="22"/>
              </w:rPr>
              <w:t>Деление текста на части, составление плана, выявление главной мысли (идеи) рассказа Л. Пантелеева "Честное слово"</w:t>
            </w:r>
          </w:p>
        </w:tc>
      </w:tr>
      <w:tr w14:paraId="53A90D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3D9B12FA">
            <w:pPr>
              <w:pStyle w:val="85"/>
              <w:rPr>
                <w:color w:val="auto"/>
                <w:sz w:val="22"/>
                <w:szCs w:val="22"/>
              </w:rPr>
            </w:pPr>
            <w:r>
              <w:rPr>
                <w:color w:val="auto"/>
                <w:sz w:val="22"/>
                <w:szCs w:val="22"/>
              </w:rPr>
              <w:t>Урок 93</w:t>
            </w:r>
          </w:p>
        </w:tc>
        <w:tc>
          <w:tcPr>
            <w:tcW w:w="7937" w:type="dxa"/>
            <w:vAlign w:val="center"/>
          </w:tcPr>
          <w:p w14:paraId="1487AEB7">
            <w:pPr>
              <w:pStyle w:val="85"/>
              <w:jc w:val="both"/>
              <w:rPr>
                <w:color w:val="auto"/>
                <w:sz w:val="22"/>
                <w:szCs w:val="22"/>
              </w:rPr>
            </w:pPr>
            <w:r>
              <w:rPr>
                <w:color w:val="auto"/>
                <w:sz w:val="22"/>
                <w:szCs w:val="22"/>
              </w:rPr>
              <w:t>Представление темы "Дети на войне" в рассказе Л. Пантелеева "На ялике"</w:t>
            </w:r>
          </w:p>
        </w:tc>
      </w:tr>
      <w:tr w14:paraId="78AAB8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3B065602">
            <w:pPr>
              <w:pStyle w:val="85"/>
              <w:rPr>
                <w:color w:val="auto"/>
                <w:sz w:val="22"/>
                <w:szCs w:val="22"/>
              </w:rPr>
            </w:pPr>
            <w:r>
              <w:rPr>
                <w:color w:val="auto"/>
                <w:sz w:val="22"/>
                <w:szCs w:val="22"/>
              </w:rPr>
              <w:t>Урок 94</w:t>
            </w:r>
          </w:p>
        </w:tc>
        <w:tc>
          <w:tcPr>
            <w:tcW w:w="7937" w:type="dxa"/>
            <w:vAlign w:val="center"/>
          </w:tcPr>
          <w:p w14:paraId="39F17514">
            <w:pPr>
              <w:pStyle w:val="85"/>
              <w:jc w:val="both"/>
              <w:rPr>
                <w:color w:val="auto"/>
                <w:sz w:val="22"/>
                <w:szCs w:val="22"/>
              </w:rPr>
            </w:pPr>
            <w:r>
              <w:rPr>
                <w:color w:val="auto"/>
                <w:sz w:val="22"/>
                <w:szCs w:val="22"/>
              </w:rPr>
              <w:t>Мужество и бесстрашие - качества, проявляемые детьми в военное время</w:t>
            </w:r>
          </w:p>
        </w:tc>
      </w:tr>
      <w:tr w14:paraId="147117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303B95D9">
            <w:pPr>
              <w:pStyle w:val="85"/>
              <w:rPr>
                <w:color w:val="auto"/>
                <w:sz w:val="22"/>
                <w:szCs w:val="22"/>
              </w:rPr>
            </w:pPr>
            <w:r>
              <w:rPr>
                <w:color w:val="auto"/>
                <w:sz w:val="22"/>
                <w:szCs w:val="22"/>
              </w:rPr>
              <w:t>Урок 95</w:t>
            </w:r>
          </w:p>
        </w:tc>
        <w:tc>
          <w:tcPr>
            <w:tcW w:w="7937" w:type="dxa"/>
            <w:vAlign w:val="center"/>
          </w:tcPr>
          <w:p w14:paraId="1E0F33B0">
            <w:pPr>
              <w:pStyle w:val="85"/>
              <w:jc w:val="both"/>
              <w:rPr>
                <w:color w:val="auto"/>
                <w:sz w:val="22"/>
                <w:szCs w:val="22"/>
              </w:rPr>
            </w:pPr>
            <w:r>
              <w:rPr>
                <w:color w:val="auto"/>
                <w:sz w:val="22"/>
                <w:szCs w:val="22"/>
              </w:rPr>
              <w:t>Составление портрета главного героя рассказа Л.А. Кассиля "Алексей Андреевич"</w:t>
            </w:r>
          </w:p>
        </w:tc>
      </w:tr>
      <w:tr w14:paraId="74D0D5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6C1291C2">
            <w:pPr>
              <w:pStyle w:val="85"/>
              <w:rPr>
                <w:color w:val="auto"/>
                <w:sz w:val="22"/>
                <w:szCs w:val="22"/>
              </w:rPr>
            </w:pPr>
            <w:r>
              <w:rPr>
                <w:color w:val="auto"/>
                <w:sz w:val="22"/>
                <w:szCs w:val="22"/>
              </w:rPr>
              <w:t>Урок 96</w:t>
            </w:r>
          </w:p>
        </w:tc>
        <w:tc>
          <w:tcPr>
            <w:tcW w:w="7937" w:type="dxa"/>
            <w:vAlign w:val="center"/>
          </w:tcPr>
          <w:p w14:paraId="5A494E98">
            <w:pPr>
              <w:pStyle w:val="85"/>
              <w:jc w:val="both"/>
              <w:rPr>
                <w:color w:val="auto"/>
                <w:sz w:val="22"/>
                <w:szCs w:val="22"/>
              </w:rPr>
            </w:pPr>
            <w:r>
              <w:rPr>
                <w:color w:val="auto"/>
                <w:sz w:val="22"/>
                <w:szCs w:val="22"/>
              </w:rPr>
              <w:t>Осмысление поступков и поведения главного героя рассказа Л.А. Кассиля "Алексей Андреевич"</w:t>
            </w:r>
          </w:p>
        </w:tc>
      </w:tr>
      <w:tr w14:paraId="29E61D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1AD8B84F">
            <w:pPr>
              <w:pStyle w:val="85"/>
              <w:rPr>
                <w:color w:val="auto"/>
                <w:sz w:val="22"/>
                <w:szCs w:val="22"/>
              </w:rPr>
            </w:pPr>
            <w:r>
              <w:rPr>
                <w:color w:val="auto"/>
                <w:sz w:val="22"/>
                <w:szCs w:val="22"/>
              </w:rPr>
              <w:t>Урок 97</w:t>
            </w:r>
          </w:p>
        </w:tc>
        <w:tc>
          <w:tcPr>
            <w:tcW w:w="7937" w:type="dxa"/>
            <w:vAlign w:val="center"/>
          </w:tcPr>
          <w:p w14:paraId="19957115">
            <w:pPr>
              <w:pStyle w:val="85"/>
              <w:jc w:val="both"/>
              <w:rPr>
                <w:color w:val="auto"/>
                <w:sz w:val="22"/>
                <w:szCs w:val="22"/>
              </w:rPr>
            </w:pPr>
            <w:r>
              <w:rPr>
                <w:color w:val="auto"/>
                <w:sz w:val="22"/>
                <w:szCs w:val="22"/>
              </w:rPr>
              <w:t>Отличие автора от героя и рассказчика. На примере рассказа А.П. Гайдара "Горячий камень"</w:t>
            </w:r>
          </w:p>
        </w:tc>
      </w:tr>
      <w:tr w14:paraId="72132B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5CDFB1B5">
            <w:pPr>
              <w:pStyle w:val="85"/>
              <w:rPr>
                <w:color w:val="auto"/>
                <w:sz w:val="22"/>
                <w:szCs w:val="22"/>
              </w:rPr>
            </w:pPr>
            <w:r>
              <w:rPr>
                <w:color w:val="auto"/>
                <w:sz w:val="22"/>
                <w:szCs w:val="22"/>
              </w:rPr>
              <w:t>Урок 98</w:t>
            </w:r>
          </w:p>
        </w:tc>
        <w:tc>
          <w:tcPr>
            <w:tcW w:w="7937" w:type="dxa"/>
            <w:vAlign w:val="center"/>
          </w:tcPr>
          <w:p w14:paraId="09D3DDD9">
            <w:pPr>
              <w:pStyle w:val="85"/>
              <w:jc w:val="both"/>
              <w:rPr>
                <w:color w:val="auto"/>
                <w:sz w:val="22"/>
                <w:szCs w:val="22"/>
              </w:rPr>
            </w:pPr>
            <w:r>
              <w:rPr>
                <w:color w:val="auto"/>
                <w:sz w:val="22"/>
                <w:szCs w:val="22"/>
              </w:rPr>
              <w:t>Выделение главной мысли (идеи) произведения о детях. На примере рассказа А.П. Гайдара "Горячий камень"</w:t>
            </w:r>
          </w:p>
        </w:tc>
      </w:tr>
      <w:tr w14:paraId="48C630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1439FF36">
            <w:pPr>
              <w:pStyle w:val="85"/>
              <w:rPr>
                <w:color w:val="auto"/>
                <w:sz w:val="22"/>
                <w:szCs w:val="22"/>
              </w:rPr>
            </w:pPr>
            <w:r>
              <w:rPr>
                <w:color w:val="auto"/>
                <w:sz w:val="22"/>
                <w:szCs w:val="22"/>
              </w:rPr>
              <w:t>Урок 99</w:t>
            </w:r>
          </w:p>
        </w:tc>
        <w:tc>
          <w:tcPr>
            <w:tcW w:w="7937" w:type="dxa"/>
            <w:vAlign w:val="center"/>
          </w:tcPr>
          <w:p w14:paraId="3D4F3CA5">
            <w:pPr>
              <w:pStyle w:val="85"/>
              <w:jc w:val="both"/>
              <w:rPr>
                <w:color w:val="auto"/>
                <w:sz w:val="22"/>
                <w:szCs w:val="22"/>
              </w:rPr>
            </w:pPr>
            <w:r>
              <w:rPr>
                <w:color w:val="auto"/>
                <w:sz w:val="22"/>
                <w:szCs w:val="22"/>
              </w:rPr>
              <w:t>Основные события сюжета произведения А.П. Гайдара "Тимур и его команда" (отрывки)</w:t>
            </w:r>
          </w:p>
        </w:tc>
      </w:tr>
      <w:tr w14:paraId="1E7432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0C141850">
            <w:pPr>
              <w:pStyle w:val="85"/>
              <w:rPr>
                <w:color w:val="auto"/>
                <w:sz w:val="22"/>
                <w:szCs w:val="22"/>
              </w:rPr>
            </w:pPr>
            <w:r>
              <w:rPr>
                <w:color w:val="auto"/>
                <w:sz w:val="22"/>
                <w:szCs w:val="22"/>
              </w:rPr>
              <w:t>Урок 100</w:t>
            </w:r>
          </w:p>
        </w:tc>
        <w:tc>
          <w:tcPr>
            <w:tcW w:w="7937" w:type="dxa"/>
            <w:vAlign w:val="center"/>
          </w:tcPr>
          <w:p w14:paraId="51B9661E">
            <w:pPr>
              <w:pStyle w:val="85"/>
              <w:jc w:val="both"/>
              <w:rPr>
                <w:color w:val="auto"/>
                <w:sz w:val="22"/>
                <w:szCs w:val="22"/>
              </w:rPr>
            </w:pPr>
            <w:r>
              <w:rPr>
                <w:color w:val="auto"/>
                <w:sz w:val="22"/>
                <w:szCs w:val="22"/>
              </w:rPr>
              <w:t>Роль интерьера (описание штаба) в создании образов героев произведения А.П. Гайдара "Тимур и его команда" (отрывки)</w:t>
            </w:r>
          </w:p>
        </w:tc>
      </w:tr>
      <w:tr w14:paraId="08FDA7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1B7D2A0F">
            <w:pPr>
              <w:pStyle w:val="85"/>
              <w:rPr>
                <w:color w:val="auto"/>
                <w:sz w:val="22"/>
                <w:szCs w:val="22"/>
              </w:rPr>
            </w:pPr>
            <w:r>
              <w:rPr>
                <w:color w:val="auto"/>
                <w:sz w:val="22"/>
                <w:szCs w:val="22"/>
              </w:rPr>
              <w:t>Урок 101</w:t>
            </w:r>
          </w:p>
        </w:tc>
        <w:tc>
          <w:tcPr>
            <w:tcW w:w="7937" w:type="dxa"/>
            <w:vAlign w:val="center"/>
          </w:tcPr>
          <w:p w14:paraId="701C729E">
            <w:pPr>
              <w:pStyle w:val="85"/>
              <w:jc w:val="both"/>
              <w:rPr>
                <w:color w:val="auto"/>
                <w:sz w:val="22"/>
                <w:szCs w:val="22"/>
              </w:rPr>
            </w:pPr>
            <w:r>
              <w:rPr>
                <w:color w:val="auto"/>
                <w:sz w:val="22"/>
                <w:szCs w:val="22"/>
              </w:rPr>
              <w:t>Нравственная оценка ситуаций, поведения и поступков героев произведения А.П. Гайдара "Тимур и его команда" (отрывки)</w:t>
            </w:r>
          </w:p>
        </w:tc>
      </w:tr>
      <w:tr w14:paraId="1A10B5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1F050125">
            <w:pPr>
              <w:pStyle w:val="85"/>
              <w:rPr>
                <w:color w:val="auto"/>
                <w:sz w:val="22"/>
                <w:szCs w:val="22"/>
              </w:rPr>
            </w:pPr>
            <w:r>
              <w:rPr>
                <w:color w:val="auto"/>
                <w:sz w:val="22"/>
                <w:szCs w:val="22"/>
              </w:rPr>
              <w:t>Урок 102</w:t>
            </w:r>
          </w:p>
        </w:tc>
        <w:tc>
          <w:tcPr>
            <w:tcW w:w="7937" w:type="dxa"/>
            <w:vAlign w:val="center"/>
          </w:tcPr>
          <w:p w14:paraId="7A699FB8">
            <w:pPr>
              <w:pStyle w:val="85"/>
              <w:jc w:val="both"/>
              <w:rPr>
                <w:color w:val="auto"/>
                <w:sz w:val="22"/>
                <w:szCs w:val="22"/>
              </w:rPr>
            </w:pPr>
            <w:r>
              <w:rPr>
                <w:color w:val="auto"/>
                <w:sz w:val="22"/>
                <w:szCs w:val="22"/>
              </w:rPr>
              <w:t>Раскрытие темы "Разные детские судьбы" в произведениях писателей</w:t>
            </w:r>
          </w:p>
        </w:tc>
      </w:tr>
      <w:tr w14:paraId="60C22B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5C1FA991">
            <w:pPr>
              <w:pStyle w:val="85"/>
              <w:rPr>
                <w:color w:val="auto"/>
                <w:sz w:val="22"/>
                <w:szCs w:val="22"/>
              </w:rPr>
            </w:pPr>
            <w:r>
              <w:rPr>
                <w:color w:val="auto"/>
                <w:sz w:val="22"/>
                <w:szCs w:val="22"/>
              </w:rPr>
              <w:t>Урок 103</w:t>
            </w:r>
          </w:p>
        </w:tc>
        <w:tc>
          <w:tcPr>
            <w:tcW w:w="7937" w:type="dxa"/>
            <w:vAlign w:val="center"/>
          </w:tcPr>
          <w:p w14:paraId="288D7E9B">
            <w:pPr>
              <w:pStyle w:val="85"/>
              <w:jc w:val="both"/>
              <w:rPr>
                <w:color w:val="auto"/>
                <w:sz w:val="22"/>
                <w:szCs w:val="22"/>
              </w:rPr>
            </w:pPr>
            <w:r>
              <w:rPr>
                <w:color w:val="auto"/>
                <w:sz w:val="22"/>
                <w:szCs w:val="22"/>
              </w:rPr>
              <w:t>Тематическое повторение по итогам раздела "Произведения о детях"</w:t>
            </w:r>
          </w:p>
        </w:tc>
      </w:tr>
      <w:tr w14:paraId="080416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31002D91">
            <w:pPr>
              <w:pStyle w:val="85"/>
              <w:rPr>
                <w:color w:val="auto"/>
                <w:sz w:val="22"/>
                <w:szCs w:val="22"/>
              </w:rPr>
            </w:pPr>
            <w:r>
              <w:rPr>
                <w:color w:val="auto"/>
                <w:sz w:val="22"/>
                <w:szCs w:val="22"/>
              </w:rPr>
              <w:t>Урок 104</w:t>
            </w:r>
          </w:p>
        </w:tc>
        <w:tc>
          <w:tcPr>
            <w:tcW w:w="7937" w:type="dxa"/>
            <w:vAlign w:val="center"/>
          </w:tcPr>
          <w:p w14:paraId="019B4B45">
            <w:pPr>
              <w:pStyle w:val="85"/>
              <w:jc w:val="both"/>
              <w:rPr>
                <w:color w:val="auto"/>
                <w:sz w:val="22"/>
                <w:szCs w:val="22"/>
              </w:rPr>
            </w:pPr>
            <w:r>
              <w:rPr>
                <w:color w:val="auto"/>
                <w:sz w:val="22"/>
                <w:szCs w:val="22"/>
              </w:rPr>
              <w:t>Работа с книгами о детях: составление аннотации</w:t>
            </w:r>
          </w:p>
        </w:tc>
      </w:tr>
      <w:tr w14:paraId="454927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50DF30FF">
            <w:pPr>
              <w:pStyle w:val="85"/>
              <w:rPr>
                <w:color w:val="auto"/>
                <w:sz w:val="22"/>
                <w:szCs w:val="22"/>
              </w:rPr>
            </w:pPr>
            <w:r>
              <w:rPr>
                <w:color w:val="auto"/>
                <w:sz w:val="22"/>
                <w:szCs w:val="22"/>
              </w:rPr>
              <w:t>Урок 105</w:t>
            </w:r>
          </w:p>
        </w:tc>
        <w:tc>
          <w:tcPr>
            <w:tcW w:w="7937" w:type="dxa"/>
            <w:vAlign w:val="center"/>
          </w:tcPr>
          <w:p w14:paraId="658C0C3E">
            <w:pPr>
              <w:pStyle w:val="85"/>
              <w:jc w:val="both"/>
              <w:rPr>
                <w:color w:val="auto"/>
                <w:sz w:val="22"/>
                <w:szCs w:val="22"/>
              </w:rPr>
            </w:pPr>
            <w:r>
              <w:rPr>
                <w:color w:val="auto"/>
                <w:sz w:val="22"/>
                <w:szCs w:val="22"/>
              </w:rPr>
              <w:t>Произведения К.Г. Паустовского о природе и животных. Главная мысль (идея) рассказа "Барсучий нос"</w:t>
            </w:r>
          </w:p>
        </w:tc>
      </w:tr>
      <w:tr w14:paraId="1DA6BC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3D00D353">
            <w:pPr>
              <w:pStyle w:val="85"/>
              <w:rPr>
                <w:color w:val="auto"/>
                <w:sz w:val="22"/>
                <w:szCs w:val="22"/>
              </w:rPr>
            </w:pPr>
            <w:r>
              <w:rPr>
                <w:color w:val="auto"/>
                <w:sz w:val="22"/>
                <w:szCs w:val="22"/>
              </w:rPr>
              <w:t>Урок 106</w:t>
            </w:r>
          </w:p>
        </w:tc>
        <w:tc>
          <w:tcPr>
            <w:tcW w:w="7937" w:type="dxa"/>
            <w:vAlign w:val="center"/>
          </w:tcPr>
          <w:p w14:paraId="47DFF829">
            <w:pPr>
              <w:pStyle w:val="85"/>
              <w:jc w:val="both"/>
              <w:rPr>
                <w:color w:val="auto"/>
                <w:sz w:val="22"/>
                <w:szCs w:val="22"/>
              </w:rPr>
            </w:pPr>
            <w:r>
              <w:rPr>
                <w:color w:val="auto"/>
                <w:sz w:val="22"/>
                <w:szCs w:val="22"/>
              </w:rPr>
              <w:t>Работа с рассказом К.Г. Паустовского "Кот-ворюга": анализ композиции, составление плана</w:t>
            </w:r>
          </w:p>
        </w:tc>
      </w:tr>
      <w:tr w14:paraId="3BFC78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4C80493A">
            <w:pPr>
              <w:pStyle w:val="85"/>
              <w:rPr>
                <w:color w:val="auto"/>
                <w:sz w:val="22"/>
                <w:szCs w:val="22"/>
              </w:rPr>
            </w:pPr>
            <w:r>
              <w:rPr>
                <w:color w:val="auto"/>
                <w:sz w:val="22"/>
                <w:szCs w:val="22"/>
              </w:rPr>
              <w:t>Урок 107</w:t>
            </w:r>
          </w:p>
        </w:tc>
        <w:tc>
          <w:tcPr>
            <w:tcW w:w="7937" w:type="dxa"/>
            <w:vAlign w:val="center"/>
          </w:tcPr>
          <w:p w14:paraId="2E33CCAE">
            <w:pPr>
              <w:pStyle w:val="85"/>
              <w:jc w:val="both"/>
              <w:rPr>
                <w:color w:val="auto"/>
                <w:sz w:val="22"/>
                <w:szCs w:val="22"/>
              </w:rPr>
            </w:pPr>
            <w:r>
              <w:rPr>
                <w:color w:val="auto"/>
                <w:sz w:val="22"/>
                <w:szCs w:val="22"/>
              </w:rPr>
              <w:t>Составление портрета героя-животного в рассказе К.Г. Паустовского "Кот-ворюга"</w:t>
            </w:r>
          </w:p>
        </w:tc>
      </w:tr>
      <w:tr w14:paraId="4D1F22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192D1D5D">
            <w:pPr>
              <w:pStyle w:val="85"/>
              <w:rPr>
                <w:color w:val="auto"/>
                <w:sz w:val="22"/>
                <w:szCs w:val="22"/>
              </w:rPr>
            </w:pPr>
            <w:r>
              <w:rPr>
                <w:color w:val="auto"/>
                <w:sz w:val="22"/>
                <w:szCs w:val="22"/>
              </w:rPr>
              <w:t>Урок 108</w:t>
            </w:r>
          </w:p>
        </w:tc>
        <w:tc>
          <w:tcPr>
            <w:tcW w:w="7937" w:type="dxa"/>
            <w:vAlign w:val="center"/>
          </w:tcPr>
          <w:p w14:paraId="3D644CDF">
            <w:pPr>
              <w:pStyle w:val="85"/>
              <w:jc w:val="both"/>
              <w:rPr>
                <w:color w:val="auto"/>
                <w:sz w:val="22"/>
                <w:szCs w:val="22"/>
              </w:rPr>
            </w:pPr>
            <w:r>
              <w:rPr>
                <w:color w:val="auto"/>
                <w:sz w:val="22"/>
                <w:szCs w:val="22"/>
              </w:rPr>
              <w:t>Раскрытие темы взаимоотношения человека и животного на примере рассказа К.Г. Паустовского "Заячьи лапы"</w:t>
            </w:r>
          </w:p>
        </w:tc>
      </w:tr>
      <w:tr w14:paraId="5A3042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3460D772">
            <w:pPr>
              <w:pStyle w:val="85"/>
              <w:rPr>
                <w:color w:val="auto"/>
                <w:sz w:val="22"/>
                <w:szCs w:val="22"/>
              </w:rPr>
            </w:pPr>
            <w:r>
              <w:rPr>
                <w:color w:val="auto"/>
                <w:sz w:val="22"/>
                <w:szCs w:val="22"/>
              </w:rPr>
              <w:t>Урок 109</w:t>
            </w:r>
          </w:p>
        </w:tc>
        <w:tc>
          <w:tcPr>
            <w:tcW w:w="7937" w:type="dxa"/>
            <w:vAlign w:val="center"/>
          </w:tcPr>
          <w:p w14:paraId="4ABF4305">
            <w:pPr>
              <w:pStyle w:val="85"/>
              <w:jc w:val="both"/>
              <w:rPr>
                <w:color w:val="auto"/>
                <w:sz w:val="22"/>
                <w:szCs w:val="22"/>
              </w:rPr>
            </w:pPr>
            <w:r>
              <w:rPr>
                <w:color w:val="auto"/>
                <w:sz w:val="22"/>
                <w:szCs w:val="22"/>
              </w:rPr>
              <w:t>Особенности композиции в рассказах о животных. На примере рассказа К.Г. Паустовского "Заячьи лапы"</w:t>
            </w:r>
          </w:p>
        </w:tc>
      </w:tr>
      <w:tr w14:paraId="67519A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4BD28BBB">
            <w:pPr>
              <w:pStyle w:val="85"/>
              <w:rPr>
                <w:color w:val="auto"/>
                <w:sz w:val="22"/>
                <w:szCs w:val="22"/>
              </w:rPr>
            </w:pPr>
            <w:r>
              <w:rPr>
                <w:color w:val="auto"/>
                <w:sz w:val="22"/>
                <w:szCs w:val="22"/>
              </w:rPr>
              <w:t>Урок 110</w:t>
            </w:r>
          </w:p>
        </w:tc>
        <w:tc>
          <w:tcPr>
            <w:tcW w:w="7937" w:type="dxa"/>
            <w:vAlign w:val="center"/>
          </w:tcPr>
          <w:p w14:paraId="6BEEE5EC">
            <w:pPr>
              <w:pStyle w:val="85"/>
              <w:jc w:val="both"/>
              <w:rPr>
                <w:color w:val="auto"/>
                <w:sz w:val="22"/>
                <w:szCs w:val="22"/>
              </w:rPr>
            </w:pPr>
            <w:r>
              <w:rPr>
                <w:color w:val="auto"/>
                <w:sz w:val="22"/>
                <w:szCs w:val="22"/>
              </w:rPr>
              <w:t>Создание характеров героев-животных в рассказах писателей. На примере рассказа М.М. Пришвина "Выскочка"</w:t>
            </w:r>
          </w:p>
        </w:tc>
      </w:tr>
      <w:tr w14:paraId="18A2B0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2C74CFC9">
            <w:pPr>
              <w:pStyle w:val="85"/>
              <w:rPr>
                <w:color w:val="auto"/>
                <w:sz w:val="22"/>
                <w:szCs w:val="22"/>
              </w:rPr>
            </w:pPr>
            <w:r>
              <w:rPr>
                <w:color w:val="auto"/>
                <w:sz w:val="22"/>
                <w:szCs w:val="22"/>
              </w:rPr>
              <w:t>Урок 111</w:t>
            </w:r>
          </w:p>
        </w:tc>
        <w:tc>
          <w:tcPr>
            <w:tcW w:w="7937" w:type="dxa"/>
            <w:vAlign w:val="center"/>
          </w:tcPr>
          <w:p w14:paraId="4D85032E">
            <w:pPr>
              <w:pStyle w:val="85"/>
              <w:jc w:val="both"/>
              <w:rPr>
                <w:color w:val="auto"/>
                <w:sz w:val="22"/>
                <w:szCs w:val="22"/>
              </w:rPr>
            </w:pPr>
            <w:r>
              <w:rPr>
                <w:color w:val="auto"/>
                <w:sz w:val="22"/>
                <w:szCs w:val="22"/>
              </w:rPr>
              <w:t>Рассказы писателей-натуралистов о заботливом и бережном отношении человека к животным к природе родного края</w:t>
            </w:r>
          </w:p>
        </w:tc>
      </w:tr>
      <w:tr w14:paraId="170BDB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4DE9839D">
            <w:pPr>
              <w:pStyle w:val="85"/>
              <w:rPr>
                <w:color w:val="auto"/>
                <w:sz w:val="22"/>
                <w:szCs w:val="22"/>
              </w:rPr>
            </w:pPr>
            <w:r>
              <w:rPr>
                <w:color w:val="auto"/>
                <w:sz w:val="22"/>
                <w:szCs w:val="22"/>
              </w:rPr>
              <w:t>Урок 112</w:t>
            </w:r>
          </w:p>
        </w:tc>
        <w:tc>
          <w:tcPr>
            <w:tcW w:w="7937" w:type="dxa"/>
            <w:vAlign w:val="center"/>
          </w:tcPr>
          <w:p w14:paraId="6E54F0A9">
            <w:pPr>
              <w:pStyle w:val="85"/>
              <w:jc w:val="both"/>
              <w:rPr>
                <w:color w:val="auto"/>
                <w:sz w:val="22"/>
                <w:szCs w:val="22"/>
              </w:rPr>
            </w:pPr>
            <w:r>
              <w:rPr>
                <w:color w:val="auto"/>
                <w:sz w:val="22"/>
                <w:szCs w:val="22"/>
              </w:rPr>
              <w:t>Тематическое повторение по итогам раздела "Взаимоотношения человека и животных"</w:t>
            </w:r>
          </w:p>
        </w:tc>
      </w:tr>
      <w:tr w14:paraId="5E211E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60F058D4">
            <w:pPr>
              <w:pStyle w:val="85"/>
              <w:rPr>
                <w:color w:val="auto"/>
                <w:sz w:val="22"/>
                <w:szCs w:val="22"/>
              </w:rPr>
            </w:pPr>
            <w:r>
              <w:rPr>
                <w:color w:val="auto"/>
                <w:sz w:val="22"/>
                <w:szCs w:val="22"/>
              </w:rPr>
              <w:t>Урок 113</w:t>
            </w:r>
          </w:p>
        </w:tc>
        <w:tc>
          <w:tcPr>
            <w:tcW w:w="7937" w:type="dxa"/>
            <w:vAlign w:val="center"/>
          </w:tcPr>
          <w:p w14:paraId="7C0DCB38">
            <w:pPr>
              <w:pStyle w:val="85"/>
              <w:jc w:val="both"/>
              <w:rPr>
                <w:color w:val="auto"/>
                <w:sz w:val="22"/>
                <w:szCs w:val="22"/>
              </w:rPr>
            </w:pPr>
            <w:r>
              <w:rPr>
                <w:color w:val="auto"/>
                <w:sz w:val="22"/>
                <w:szCs w:val="22"/>
              </w:rPr>
              <w:t>Составление устного рассказа "Любовь и забота о братьях наших меньших" по изученным произведениям</w:t>
            </w:r>
          </w:p>
        </w:tc>
      </w:tr>
      <w:tr w14:paraId="0835F7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7519D2B4">
            <w:pPr>
              <w:pStyle w:val="85"/>
              <w:rPr>
                <w:color w:val="auto"/>
                <w:sz w:val="22"/>
                <w:szCs w:val="22"/>
              </w:rPr>
            </w:pPr>
            <w:r>
              <w:rPr>
                <w:color w:val="auto"/>
                <w:sz w:val="22"/>
                <w:szCs w:val="22"/>
              </w:rPr>
              <w:t>Урок 114</w:t>
            </w:r>
          </w:p>
        </w:tc>
        <w:tc>
          <w:tcPr>
            <w:tcW w:w="7937" w:type="dxa"/>
            <w:vAlign w:val="center"/>
          </w:tcPr>
          <w:p w14:paraId="76383623">
            <w:pPr>
              <w:pStyle w:val="85"/>
              <w:jc w:val="both"/>
              <w:rPr>
                <w:color w:val="auto"/>
                <w:sz w:val="22"/>
                <w:szCs w:val="22"/>
              </w:rPr>
            </w:pPr>
            <w:r>
              <w:rPr>
                <w:color w:val="auto"/>
                <w:sz w:val="22"/>
                <w:szCs w:val="22"/>
              </w:rPr>
              <w:t>Резервный урок. Человек и его взаимоотношения с животными в рассказах писателей</w:t>
            </w:r>
          </w:p>
        </w:tc>
      </w:tr>
      <w:tr w14:paraId="1D5F23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5BFAA15B">
            <w:pPr>
              <w:pStyle w:val="85"/>
              <w:rPr>
                <w:color w:val="auto"/>
                <w:sz w:val="22"/>
                <w:szCs w:val="22"/>
              </w:rPr>
            </w:pPr>
            <w:r>
              <w:rPr>
                <w:color w:val="auto"/>
                <w:sz w:val="22"/>
                <w:szCs w:val="22"/>
              </w:rPr>
              <w:t>Урок 115</w:t>
            </w:r>
          </w:p>
        </w:tc>
        <w:tc>
          <w:tcPr>
            <w:tcW w:w="7937" w:type="dxa"/>
            <w:vAlign w:val="center"/>
          </w:tcPr>
          <w:p w14:paraId="1A1FC0A5">
            <w:pPr>
              <w:pStyle w:val="85"/>
              <w:jc w:val="both"/>
              <w:rPr>
                <w:color w:val="auto"/>
                <w:sz w:val="22"/>
                <w:szCs w:val="22"/>
              </w:rPr>
            </w:pPr>
            <w:r>
              <w:rPr>
                <w:color w:val="auto"/>
                <w:sz w:val="22"/>
                <w:szCs w:val="22"/>
              </w:rPr>
              <w:t>Особенности юмористических произведений Н.Н. Носова и других авторов на выбор</w:t>
            </w:r>
          </w:p>
        </w:tc>
      </w:tr>
      <w:tr w14:paraId="43E7CD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7717F90B">
            <w:pPr>
              <w:pStyle w:val="85"/>
              <w:rPr>
                <w:color w:val="auto"/>
                <w:sz w:val="22"/>
                <w:szCs w:val="22"/>
              </w:rPr>
            </w:pPr>
            <w:r>
              <w:rPr>
                <w:color w:val="auto"/>
                <w:sz w:val="22"/>
                <w:szCs w:val="22"/>
              </w:rPr>
              <w:t>Урок 116</w:t>
            </w:r>
          </w:p>
        </w:tc>
        <w:tc>
          <w:tcPr>
            <w:tcW w:w="7937" w:type="dxa"/>
            <w:vAlign w:val="center"/>
          </w:tcPr>
          <w:p w14:paraId="5D267458">
            <w:pPr>
              <w:pStyle w:val="85"/>
              <w:jc w:val="both"/>
              <w:rPr>
                <w:color w:val="auto"/>
                <w:sz w:val="22"/>
                <w:szCs w:val="22"/>
              </w:rPr>
            </w:pPr>
            <w:r>
              <w:rPr>
                <w:color w:val="auto"/>
                <w:sz w:val="22"/>
                <w:szCs w:val="22"/>
              </w:rPr>
              <w:t>Комичность как основа сюжета рассказов Н.Н. Носова и других авторов на выбор</w:t>
            </w:r>
          </w:p>
        </w:tc>
      </w:tr>
      <w:tr w14:paraId="4514D6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5ABC1EBA">
            <w:pPr>
              <w:pStyle w:val="85"/>
              <w:rPr>
                <w:color w:val="auto"/>
                <w:sz w:val="22"/>
                <w:szCs w:val="22"/>
              </w:rPr>
            </w:pPr>
            <w:r>
              <w:rPr>
                <w:color w:val="auto"/>
                <w:sz w:val="22"/>
                <w:szCs w:val="22"/>
              </w:rPr>
              <w:t>Урок 117</w:t>
            </w:r>
          </w:p>
        </w:tc>
        <w:tc>
          <w:tcPr>
            <w:tcW w:w="7937" w:type="dxa"/>
            <w:vAlign w:val="center"/>
          </w:tcPr>
          <w:p w14:paraId="04A2F96E">
            <w:pPr>
              <w:pStyle w:val="85"/>
              <w:jc w:val="both"/>
              <w:rPr>
                <w:color w:val="auto"/>
                <w:sz w:val="22"/>
                <w:szCs w:val="22"/>
              </w:rPr>
            </w:pPr>
            <w:r>
              <w:rPr>
                <w:color w:val="auto"/>
                <w:sz w:val="22"/>
                <w:szCs w:val="22"/>
              </w:rPr>
              <w:t>Характеристика героя "Денискиных рассказов" В.Ю. Драгунского</w:t>
            </w:r>
          </w:p>
        </w:tc>
      </w:tr>
      <w:tr w14:paraId="672578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595B3115">
            <w:pPr>
              <w:pStyle w:val="85"/>
              <w:rPr>
                <w:color w:val="auto"/>
                <w:sz w:val="22"/>
                <w:szCs w:val="22"/>
              </w:rPr>
            </w:pPr>
            <w:r>
              <w:rPr>
                <w:color w:val="auto"/>
                <w:sz w:val="22"/>
                <w:szCs w:val="22"/>
              </w:rPr>
              <w:t>Урок 118</w:t>
            </w:r>
          </w:p>
        </w:tc>
        <w:tc>
          <w:tcPr>
            <w:tcW w:w="7937" w:type="dxa"/>
            <w:vAlign w:val="center"/>
          </w:tcPr>
          <w:p w14:paraId="13C5E915">
            <w:pPr>
              <w:pStyle w:val="85"/>
              <w:jc w:val="both"/>
              <w:rPr>
                <w:color w:val="auto"/>
                <w:sz w:val="22"/>
                <w:szCs w:val="22"/>
              </w:rPr>
            </w:pPr>
            <w:r>
              <w:rPr>
                <w:color w:val="auto"/>
                <w:sz w:val="22"/>
                <w:szCs w:val="22"/>
              </w:rPr>
              <w:t>Средства выразительности текста юмористического содержания: преувеличение. На примере произведений В.Ю. Драгунского</w:t>
            </w:r>
          </w:p>
        </w:tc>
      </w:tr>
      <w:tr w14:paraId="104271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5B7A6594">
            <w:pPr>
              <w:pStyle w:val="85"/>
              <w:rPr>
                <w:color w:val="auto"/>
                <w:sz w:val="22"/>
                <w:szCs w:val="22"/>
              </w:rPr>
            </w:pPr>
            <w:r>
              <w:rPr>
                <w:color w:val="auto"/>
                <w:sz w:val="22"/>
                <w:szCs w:val="22"/>
              </w:rPr>
              <w:t>Урок 119</w:t>
            </w:r>
          </w:p>
        </w:tc>
        <w:tc>
          <w:tcPr>
            <w:tcW w:w="7937" w:type="dxa"/>
            <w:vAlign w:val="center"/>
          </w:tcPr>
          <w:p w14:paraId="1992D1A3">
            <w:pPr>
              <w:pStyle w:val="85"/>
              <w:jc w:val="both"/>
              <w:rPr>
                <w:color w:val="auto"/>
                <w:sz w:val="22"/>
                <w:szCs w:val="22"/>
              </w:rPr>
            </w:pPr>
            <w:r>
              <w:rPr>
                <w:color w:val="auto"/>
                <w:sz w:val="22"/>
                <w:szCs w:val="22"/>
              </w:rPr>
              <w:t>Работа с детскими книгами: авторы юмористических рассказов</w:t>
            </w:r>
          </w:p>
        </w:tc>
      </w:tr>
      <w:tr w14:paraId="2B6F70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15E14CD5">
            <w:pPr>
              <w:pStyle w:val="85"/>
              <w:rPr>
                <w:color w:val="auto"/>
                <w:sz w:val="22"/>
                <w:szCs w:val="22"/>
              </w:rPr>
            </w:pPr>
            <w:r>
              <w:rPr>
                <w:color w:val="auto"/>
                <w:sz w:val="22"/>
                <w:szCs w:val="22"/>
              </w:rPr>
              <w:t>Урок 120</w:t>
            </w:r>
          </w:p>
        </w:tc>
        <w:tc>
          <w:tcPr>
            <w:tcW w:w="7937" w:type="dxa"/>
            <w:vAlign w:val="center"/>
          </w:tcPr>
          <w:p w14:paraId="423E7BFC">
            <w:pPr>
              <w:pStyle w:val="85"/>
              <w:jc w:val="both"/>
              <w:rPr>
                <w:color w:val="auto"/>
                <w:sz w:val="22"/>
                <w:szCs w:val="22"/>
              </w:rPr>
            </w:pPr>
            <w:r>
              <w:rPr>
                <w:color w:val="auto"/>
                <w:sz w:val="22"/>
                <w:szCs w:val="22"/>
              </w:rPr>
              <w:t>Составление устного рассказа "Мой любимый детский писатель" на примере изученных произведений</w:t>
            </w:r>
          </w:p>
        </w:tc>
      </w:tr>
      <w:tr w14:paraId="441AFB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1FC76A3F">
            <w:pPr>
              <w:pStyle w:val="85"/>
              <w:rPr>
                <w:color w:val="auto"/>
                <w:sz w:val="22"/>
                <w:szCs w:val="22"/>
              </w:rPr>
            </w:pPr>
            <w:r>
              <w:rPr>
                <w:color w:val="auto"/>
                <w:sz w:val="22"/>
                <w:szCs w:val="22"/>
              </w:rPr>
              <w:t>Урок 121</w:t>
            </w:r>
          </w:p>
        </w:tc>
        <w:tc>
          <w:tcPr>
            <w:tcW w:w="7937" w:type="dxa"/>
            <w:vAlign w:val="center"/>
          </w:tcPr>
          <w:p w14:paraId="07C5C5FA">
            <w:pPr>
              <w:pStyle w:val="85"/>
              <w:jc w:val="both"/>
              <w:rPr>
                <w:color w:val="auto"/>
                <w:sz w:val="22"/>
                <w:szCs w:val="22"/>
              </w:rPr>
            </w:pPr>
            <w:r>
              <w:rPr>
                <w:color w:val="auto"/>
                <w:sz w:val="22"/>
                <w:szCs w:val="22"/>
              </w:rPr>
              <w:t>Волшебные предметы и помощники в литературных сказках Ш. Перро</w:t>
            </w:r>
          </w:p>
        </w:tc>
      </w:tr>
      <w:tr w14:paraId="30C3BE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3EF7C68D">
            <w:pPr>
              <w:pStyle w:val="85"/>
              <w:rPr>
                <w:color w:val="auto"/>
                <w:sz w:val="22"/>
                <w:szCs w:val="22"/>
              </w:rPr>
            </w:pPr>
            <w:r>
              <w:rPr>
                <w:color w:val="auto"/>
                <w:sz w:val="22"/>
                <w:szCs w:val="22"/>
              </w:rPr>
              <w:t>Урок 122</w:t>
            </w:r>
          </w:p>
        </w:tc>
        <w:tc>
          <w:tcPr>
            <w:tcW w:w="7937" w:type="dxa"/>
            <w:vAlign w:val="center"/>
          </w:tcPr>
          <w:p w14:paraId="4672D139">
            <w:pPr>
              <w:pStyle w:val="85"/>
              <w:jc w:val="both"/>
              <w:rPr>
                <w:color w:val="auto"/>
                <w:sz w:val="22"/>
                <w:szCs w:val="22"/>
              </w:rPr>
            </w:pPr>
            <w:r>
              <w:rPr>
                <w:color w:val="auto"/>
                <w:sz w:val="22"/>
                <w:szCs w:val="22"/>
              </w:rPr>
              <w:t>Особенности литературных сказок Х.-К. Андерсена (сюжет, язык, герои)</w:t>
            </w:r>
          </w:p>
        </w:tc>
      </w:tr>
      <w:tr w14:paraId="0BF9B5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21488F0B">
            <w:pPr>
              <w:pStyle w:val="85"/>
              <w:rPr>
                <w:color w:val="auto"/>
                <w:sz w:val="22"/>
                <w:szCs w:val="22"/>
              </w:rPr>
            </w:pPr>
            <w:r>
              <w:rPr>
                <w:color w:val="auto"/>
                <w:sz w:val="22"/>
                <w:szCs w:val="22"/>
              </w:rPr>
              <w:t>Урок 123</w:t>
            </w:r>
          </w:p>
        </w:tc>
        <w:tc>
          <w:tcPr>
            <w:tcW w:w="7937" w:type="dxa"/>
            <w:vAlign w:val="center"/>
          </w:tcPr>
          <w:p w14:paraId="0209DE6A">
            <w:pPr>
              <w:pStyle w:val="85"/>
              <w:jc w:val="both"/>
              <w:rPr>
                <w:color w:val="auto"/>
                <w:sz w:val="22"/>
                <w:szCs w:val="22"/>
              </w:rPr>
            </w:pPr>
            <w:r>
              <w:rPr>
                <w:color w:val="auto"/>
                <w:sz w:val="22"/>
                <w:szCs w:val="22"/>
              </w:rPr>
              <w:t>Особенности авторских сказок: раскрытие главной мысли, композиция, герои. На примере сказок Р. Киплинга</w:t>
            </w:r>
          </w:p>
        </w:tc>
      </w:tr>
      <w:tr w14:paraId="36885C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4D119E9A">
            <w:pPr>
              <w:pStyle w:val="85"/>
              <w:rPr>
                <w:color w:val="auto"/>
                <w:sz w:val="22"/>
                <w:szCs w:val="22"/>
              </w:rPr>
            </w:pPr>
            <w:r>
              <w:rPr>
                <w:color w:val="auto"/>
                <w:sz w:val="22"/>
                <w:szCs w:val="22"/>
              </w:rPr>
              <w:t>Урок 124</w:t>
            </w:r>
          </w:p>
        </w:tc>
        <w:tc>
          <w:tcPr>
            <w:tcW w:w="7937" w:type="dxa"/>
            <w:vAlign w:val="center"/>
          </w:tcPr>
          <w:p w14:paraId="012B6A4A">
            <w:pPr>
              <w:pStyle w:val="85"/>
              <w:jc w:val="both"/>
              <w:rPr>
                <w:color w:val="auto"/>
                <w:sz w:val="22"/>
                <w:szCs w:val="22"/>
              </w:rPr>
            </w:pPr>
            <w:r>
              <w:rPr>
                <w:color w:val="auto"/>
                <w:sz w:val="22"/>
                <w:szCs w:val="22"/>
              </w:rPr>
              <w:t>Взаимоотношения человека и животных в рассказах зарубежных писателей. На примере рассказа Джека Лондона "Бурый волк"</w:t>
            </w:r>
          </w:p>
        </w:tc>
      </w:tr>
      <w:tr w14:paraId="18773E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5E7152B4">
            <w:pPr>
              <w:pStyle w:val="85"/>
              <w:rPr>
                <w:color w:val="auto"/>
                <w:sz w:val="22"/>
                <w:szCs w:val="22"/>
              </w:rPr>
            </w:pPr>
            <w:r>
              <w:rPr>
                <w:color w:val="auto"/>
                <w:sz w:val="22"/>
                <w:szCs w:val="22"/>
              </w:rPr>
              <w:t>Урок 125</w:t>
            </w:r>
          </w:p>
        </w:tc>
        <w:tc>
          <w:tcPr>
            <w:tcW w:w="7937" w:type="dxa"/>
            <w:vAlign w:val="center"/>
          </w:tcPr>
          <w:p w14:paraId="523C981D">
            <w:pPr>
              <w:pStyle w:val="85"/>
              <w:jc w:val="both"/>
              <w:rPr>
                <w:color w:val="auto"/>
                <w:sz w:val="22"/>
                <w:szCs w:val="22"/>
              </w:rPr>
            </w:pPr>
            <w:r>
              <w:rPr>
                <w:color w:val="auto"/>
                <w:sz w:val="22"/>
                <w:szCs w:val="22"/>
              </w:rPr>
              <w:t>Деление текста на части, составление плана, выявление главной мысли (идеи) рассказа Джека Лондона "Бурый волк"</w:t>
            </w:r>
          </w:p>
        </w:tc>
      </w:tr>
      <w:tr w14:paraId="0500DF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0079A0D0">
            <w:pPr>
              <w:pStyle w:val="85"/>
              <w:rPr>
                <w:color w:val="auto"/>
                <w:sz w:val="22"/>
                <w:szCs w:val="22"/>
              </w:rPr>
            </w:pPr>
            <w:r>
              <w:rPr>
                <w:color w:val="auto"/>
                <w:sz w:val="22"/>
                <w:szCs w:val="22"/>
              </w:rPr>
              <w:t>Урок 126</w:t>
            </w:r>
          </w:p>
        </w:tc>
        <w:tc>
          <w:tcPr>
            <w:tcW w:w="7937" w:type="dxa"/>
            <w:vAlign w:val="center"/>
          </w:tcPr>
          <w:p w14:paraId="750C5106">
            <w:pPr>
              <w:pStyle w:val="85"/>
              <w:jc w:val="both"/>
              <w:rPr>
                <w:color w:val="auto"/>
                <w:sz w:val="22"/>
                <w:szCs w:val="22"/>
              </w:rPr>
            </w:pPr>
            <w:r>
              <w:rPr>
                <w:color w:val="auto"/>
                <w:sz w:val="22"/>
                <w:szCs w:val="22"/>
              </w:rPr>
              <w:t>Средства создания образов героев-животных в рассказах зарубежных писателей. На примере рассказа Э. Сетон-Томпсона "Чинк"</w:t>
            </w:r>
          </w:p>
        </w:tc>
      </w:tr>
      <w:tr w14:paraId="468697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37652D37">
            <w:pPr>
              <w:pStyle w:val="85"/>
              <w:rPr>
                <w:color w:val="auto"/>
                <w:sz w:val="22"/>
                <w:szCs w:val="22"/>
              </w:rPr>
            </w:pPr>
            <w:r>
              <w:rPr>
                <w:color w:val="auto"/>
                <w:sz w:val="22"/>
                <w:szCs w:val="22"/>
              </w:rPr>
              <w:t>Урок 127</w:t>
            </w:r>
          </w:p>
        </w:tc>
        <w:tc>
          <w:tcPr>
            <w:tcW w:w="7937" w:type="dxa"/>
            <w:vAlign w:val="center"/>
          </w:tcPr>
          <w:p w14:paraId="4163824D">
            <w:pPr>
              <w:pStyle w:val="85"/>
              <w:jc w:val="both"/>
              <w:rPr>
                <w:color w:val="auto"/>
                <w:sz w:val="22"/>
                <w:szCs w:val="22"/>
              </w:rPr>
            </w:pPr>
            <w:r>
              <w:rPr>
                <w:color w:val="auto"/>
                <w:sz w:val="22"/>
                <w:szCs w:val="22"/>
              </w:rPr>
              <w:t>Осознание нравственно-этических понятий: верность и преданность животных. На примере рассказа Э. Сетон-Томпсона "Чинк"</w:t>
            </w:r>
          </w:p>
        </w:tc>
      </w:tr>
      <w:tr w14:paraId="6A0114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531511CF">
            <w:pPr>
              <w:pStyle w:val="85"/>
              <w:rPr>
                <w:color w:val="auto"/>
                <w:sz w:val="22"/>
                <w:szCs w:val="22"/>
              </w:rPr>
            </w:pPr>
            <w:r>
              <w:rPr>
                <w:color w:val="auto"/>
                <w:sz w:val="22"/>
                <w:szCs w:val="22"/>
              </w:rPr>
              <w:t>Урок 128</w:t>
            </w:r>
          </w:p>
        </w:tc>
        <w:tc>
          <w:tcPr>
            <w:tcW w:w="7937" w:type="dxa"/>
            <w:vAlign w:val="center"/>
          </w:tcPr>
          <w:p w14:paraId="1C7C8D6C">
            <w:pPr>
              <w:pStyle w:val="85"/>
              <w:jc w:val="both"/>
              <w:rPr>
                <w:color w:val="auto"/>
                <w:sz w:val="22"/>
                <w:szCs w:val="22"/>
              </w:rPr>
            </w:pPr>
            <w:r>
              <w:rPr>
                <w:color w:val="auto"/>
                <w:sz w:val="22"/>
                <w:szCs w:val="22"/>
              </w:rPr>
              <w:t>Расширение знаний о писателях, как переводчиках зарубежной литературы. На примере переводов С.Я. Маршака, К.И. Чуковского, Б.В. Заходера</w:t>
            </w:r>
          </w:p>
        </w:tc>
      </w:tr>
      <w:tr w14:paraId="3FEA86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6B6B621A">
            <w:pPr>
              <w:pStyle w:val="85"/>
              <w:rPr>
                <w:color w:val="auto"/>
                <w:sz w:val="22"/>
                <w:szCs w:val="22"/>
              </w:rPr>
            </w:pPr>
            <w:r>
              <w:rPr>
                <w:color w:val="auto"/>
                <w:sz w:val="22"/>
                <w:szCs w:val="22"/>
              </w:rPr>
              <w:t>Урок 129</w:t>
            </w:r>
          </w:p>
        </w:tc>
        <w:tc>
          <w:tcPr>
            <w:tcW w:w="7937" w:type="dxa"/>
            <w:vAlign w:val="center"/>
          </w:tcPr>
          <w:p w14:paraId="0A994A02">
            <w:pPr>
              <w:pStyle w:val="85"/>
              <w:jc w:val="both"/>
              <w:rPr>
                <w:color w:val="auto"/>
                <w:sz w:val="22"/>
                <w:szCs w:val="22"/>
              </w:rPr>
            </w:pPr>
            <w:r>
              <w:rPr>
                <w:color w:val="auto"/>
                <w:sz w:val="22"/>
                <w:szCs w:val="22"/>
              </w:rPr>
              <w:t>Контрольная работа по разделу "Зарубежная литература"</w:t>
            </w:r>
          </w:p>
        </w:tc>
      </w:tr>
      <w:tr w14:paraId="3C388E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126BE34C">
            <w:pPr>
              <w:pStyle w:val="85"/>
              <w:rPr>
                <w:color w:val="auto"/>
                <w:sz w:val="22"/>
                <w:szCs w:val="22"/>
              </w:rPr>
            </w:pPr>
            <w:r>
              <w:rPr>
                <w:color w:val="auto"/>
                <w:sz w:val="22"/>
                <w:szCs w:val="22"/>
              </w:rPr>
              <w:t>Урок 130</w:t>
            </w:r>
          </w:p>
        </w:tc>
        <w:tc>
          <w:tcPr>
            <w:tcW w:w="7937" w:type="dxa"/>
            <w:vAlign w:val="center"/>
          </w:tcPr>
          <w:p w14:paraId="424AD8E8">
            <w:pPr>
              <w:pStyle w:val="85"/>
              <w:jc w:val="both"/>
              <w:rPr>
                <w:color w:val="auto"/>
                <w:sz w:val="22"/>
                <w:szCs w:val="22"/>
              </w:rPr>
            </w:pPr>
            <w:r>
              <w:rPr>
                <w:color w:val="auto"/>
                <w:sz w:val="22"/>
                <w:szCs w:val="22"/>
              </w:rPr>
              <w:t>Составление устного рассказа "Мой любимый детский писатель" на примере изученных произведений</w:t>
            </w:r>
          </w:p>
        </w:tc>
      </w:tr>
      <w:tr w14:paraId="3C264D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699DFF22">
            <w:pPr>
              <w:pStyle w:val="85"/>
              <w:rPr>
                <w:color w:val="auto"/>
                <w:sz w:val="22"/>
                <w:szCs w:val="22"/>
              </w:rPr>
            </w:pPr>
            <w:r>
              <w:rPr>
                <w:color w:val="auto"/>
                <w:sz w:val="22"/>
                <w:szCs w:val="22"/>
              </w:rPr>
              <w:t>Урок 131</w:t>
            </w:r>
          </w:p>
        </w:tc>
        <w:tc>
          <w:tcPr>
            <w:tcW w:w="7937" w:type="dxa"/>
            <w:vAlign w:val="center"/>
          </w:tcPr>
          <w:p w14:paraId="60F4406B">
            <w:pPr>
              <w:pStyle w:val="85"/>
              <w:jc w:val="both"/>
              <w:rPr>
                <w:color w:val="auto"/>
                <w:sz w:val="22"/>
                <w:szCs w:val="22"/>
              </w:rPr>
            </w:pPr>
            <w:r>
              <w:rPr>
                <w:color w:val="auto"/>
                <w:sz w:val="22"/>
                <w:szCs w:val="22"/>
              </w:rPr>
              <w:t>Резервный урок. Составление устного рассказа "Дружба человека и животного" на примере изученных произведений</w:t>
            </w:r>
          </w:p>
        </w:tc>
      </w:tr>
      <w:tr w14:paraId="5FB10C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11DBE679">
            <w:pPr>
              <w:pStyle w:val="85"/>
              <w:rPr>
                <w:color w:val="auto"/>
                <w:sz w:val="22"/>
                <w:szCs w:val="22"/>
              </w:rPr>
            </w:pPr>
            <w:r>
              <w:rPr>
                <w:color w:val="auto"/>
                <w:sz w:val="22"/>
                <w:szCs w:val="22"/>
              </w:rPr>
              <w:t>Урок 132</w:t>
            </w:r>
          </w:p>
        </w:tc>
        <w:tc>
          <w:tcPr>
            <w:tcW w:w="7937" w:type="dxa"/>
            <w:vAlign w:val="center"/>
          </w:tcPr>
          <w:p w14:paraId="16E98701">
            <w:pPr>
              <w:pStyle w:val="85"/>
              <w:jc w:val="both"/>
              <w:rPr>
                <w:color w:val="auto"/>
                <w:sz w:val="22"/>
                <w:szCs w:val="22"/>
              </w:rPr>
            </w:pPr>
            <w:r>
              <w:rPr>
                <w:color w:val="auto"/>
                <w:sz w:val="22"/>
                <w:szCs w:val="22"/>
              </w:rPr>
              <w:t>Резервный урок. Работа с детскими книгами "Зарубежные писатели - детям": написание отзыва</w:t>
            </w:r>
          </w:p>
        </w:tc>
      </w:tr>
      <w:tr w14:paraId="2ED360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60505FF2">
            <w:pPr>
              <w:pStyle w:val="85"/>
              <w:rPr>
                <w:color w:val="auto"/>
                <w:sz w:val="22"/>
                <w:szCs w:val="22"/>
              </w:rPr>
            </w:pPr>
            <w:r>
              <w:rPr>
                <w:color w:val="auto"/>
                <w:sz w:val="22"/>
                <w:szCs w:val="22"/>
              </w:rPr>
              <w:t>Урок 133</w:t>
            </w:r>
          </w:p>
        </w:tc>
        <w:tc>
          <w:tcPr>
            <w:tcW w:w="7937" w:type="dxa"/>
            <w:vAlign w:val="center"/>
          </w:tcPr>
          <w:p w14:paraId="457814B7">
            <w:pPr>
              <w:pStyle w:val="85"/>
              <w:jc w:val="both"/>
              <w:rPr>
                <w:color w:val="auto"/>
                <w:sz w:val="22"/>
                <w:szCs w:val="22"/>
              </w:rPr>
            </w:pPr>
            <w:r>
              <w:rPr>
                <w:color w:val="auto"/>
                <w:sz w:val="22"/>
                <w:szCs w:val="22"/>
              </w:rPr>
              <w:t>Резервный урок. Осознание важности читательской деятельности. Работа со стихотворением Б. Заходера "Что такое стихи"</w:t>
            </w:r>
          </w:p>
        </w:tc>
      </w:tr>
      <w:tr w14:paraId="5BB2AF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6874FAC4">
            <w:pPr>
              <w:pStyle w:val="85"/>
              <w:rPr>
                <w:color w:val="auto"/>
                <w:sz w:val="22"/>
                <w:szCs w:val="22"/>
              </w:rPr>
            </w:pPr>
            <w:r>
              <w:rPr>
                <w:color w:val="auto"/>
                <w:sz w:val="22"/>
                <w:szCs w:val="22"/>
              </w:rPr>
              <w:t>Урок 134</w:t>
            </w:r>
          </w:p>
        </w:tc>
        <w:tc>
          <w:tcPr>
            <w:tcW w:w="7937" w:type="dxa"/>
            <w:vAlign w:val="center"/>
          </w:tcPr>
          <w:p w14:paraId="11A51282">
            <w:pPr>
              <w:pStyle w:val="85"/>
              <w:jc w:val="both"/>
              <w:rPr>
                <w:color w:val="auto"/>
                <w:sz w:val="22"/>
                <w:szCs w:val="22"/>
              </w:rPr>
            </w:pPr>
            <w:r>
              <w:rPr>
                <w:color w:val="auto"/>
                <w:sz w:val="22"/>
                <w:szCs w:val="22"/>
              </w:rPr>
              <w:t>Резервный урок. Повторение по итогам изученного в 3 классе</w:t>
            </w:r>
          </w:p>
        </w:tc>
      </w:tr>
      <w:tr w14:paraId="493C1D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2FA3202C">
            <w:pPr>
              <w:pStyle w:val="85"/>
              <w:rPr>
                <w:color w:val="auto"/>
                <w:sz w:val="22"/>
                <w:szCs w:val="22"/>
              </w:rPr>
            </w:pPr>
            <w:r>
              <w:rPr>
                <w:color w:val="auto"/>
                <w:sz w:val="22"/>
                <w:szCs w:val="22"/>
              </w:rPr>
              <w:t>Урок 135</w:t>
            </w:r>
          </w:p>
        </w:tc>
        <w:tc>
          <w:tcPr>
            <w:tcW w:w="7937" w:type="dxa"/>
            <w:vAlign w:val="center"/>
          </w:tcPr>
          <w:p w14:paraId="13CBDC6A">
            <w:pPr>
              <w:pStyle w:val="85"/>
              <w:jc w:val="both"/>
              <w:rPr>
                <w:color w:val="auto"/>
                <w:sz w:val="22"/>
                <w:szCs w:val="22"/>
              </w:rPr>
            </w:pPr>
            <w:r>
              <w:rPr>
                <w:color w:val="auto"/>
                <w:sz w:val="22"/>
                <w:szCs w:val="22"/>
              </w:rPr>
              <w:t>Резервный урок. Работа с детской книгой и справочной литературой</w:t>
            </w:r>
          </w:p>
        </w:tc>
      </w:tr>
      <w:tr w14:paraId="071B8B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738E8F74">
            <w:pPr>
              <w:pStyle w:val="85"/>
              <w:rPr>
                <w:color w:val="auto"/>
                <w:sz w:val="22"/>
                <w:szCs w:val="22"/>
              </w:rPr>
            </w:pPr>
            <w:r>
              <w:rPr>
                <w:color w:val="auto"/>
                <w:sz w:val="22"/>
                <w:szCs w:val="22"/>
              </w:rPr>
              <w:t>Урок 136</w:t>
            </w:r>
          </w:p>
        </w:tc>
        <w:tc>
          <w:tcPr>
            <w:tcW w:w="7937" w:type="dxa"/>
            <w:vAlign w:val="center"/>
          </w:tcPr>
          <w:p w14:paraId="52EA9C38">
            <w:pPr>
              <w:pStyle w:val="85"/>
              <w:jc w:val="both"/>
              <w:rPr>
                <w:color w:val="auto"/>
                <w:sz w:val="22"/>
                <w:szCs w:val="22"/>
              </w:rPr>
            </w:pPr>
            <w:r>
              <w:rPr>
                <w:color w:val="auto"/>
                <w:sz w:val="22"/>
                <w:szCs w:val="22"/>
              </w:rPr>
              <w:t>Резервный урок. Летнее чтение. Выбор книг на основе рекомендательного списка и тематического каталога</w:t>
            </w:r>
          </w:p>
        </w:tc>
      </w:tr>
      <w:tr w14:paraId="2C3231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9071" w:type="dxa"/>
            <w:gridSpan w:val="2"/>
          </w:tcPr>
          <w:p w14:paraId="2D32AEE6">
            <w:pPr>
              <w:pStyle w:val="85"/>
              <w:jc w:val="both"/>
              <w:rPr>
                <w:color w:val="auto"/>
                <w:sz w:val="22"/>
                <w:szCs w:val="22"/>
              </w:rPr>
            </w:pPr>
            <w:r>
              <w:rPr>
                <w:color w:val="auto"/>
                <w:sz w:val="22"/>
                <w:szCs w:val="22"/>
              </w:rPr>
              <w:t>ОБЩЕЕ КОЛИЧЕСТВО УРОКОВ ПО ПРОГРАММЕ: 136, из них уроков, отведенных на контрольные работы, - не более 13</w:t>
            </w:r>
          </w:p>
        </w:tc>
      </w:tr>
    </w:tbl>
    <w:p w14:paraId="59C87853">
      <w:pPr>
        <w:pStyle w:val="85"/>
        <w:jc w:val="both"/>
        <w:rPr>
          <w:color w:val="auto"/>
          <w:sz w:val="22"/>
          <w:szCs w:val="22"/>
        </w:rPr>
      </w:pPr>
    </w:p>
    <w:p w14:paraId="3CC04FDF">
      <w:pPr>
        <w:pStyle w:val="85"/>
        <w:jc w:val="right"/>
        <w:rPr>
          <w:color w:val="auto"/>
          <w:sz w:val="22"/>
          <w:szCs w:val="22"/>
        </w:rPr>
      </w:pPr>
      <w:r>
        <w:rPr>
          <w:color w:val="auto"/>
          <w:sz w:val="22"/>
          <w:szCs w:val="22"/>
        </w:rPr>
        <w:t>Таблица 4.7</w:t>
      </w:r>
    </w:p>
    <w:p w14:paraId="33005C1F">
      <w:pPr>
        <w:pStyle w:val="85"/>
        <w:jc w:val="both"/>
        <w:rPr>
          <w:color w:val="auto"/>
          <w:sz w:val="22"/>
          <w:szCs w:val="22"/>
        </w:rPr>
      </w:pPr>
    </w:p>
    <w:p w14:paraId="647DDE88">
      <w:pPr>
        <w:pStyle w:val="85"/>
        <w:jc w:val="both"/>
        <w:rPr>
          <w:color w:val="auto"/>
          <w:sz w:val="22"/>
          <w:szCs w:val="22"/>
        </w:rPr>
      </w:pPr>
      <w:r>
        <w:rPr>
          <w:color w:val="auto"/>
          <w:sz w:val="22"/>
          <w:szCs w:val="22"/>
        </w:rPr>
        <w:t>4 класс</w:t>
      </w:r>
    </w:p>
    <w:p w14:paraId="59ACE1CC">
      <w:pPr>
        <w:pStyle w:val="85"/>
        <w:jc w:val="both"/>
        <w:rPr>
          <w:color w:val="auto"/>
          <w:sz w:val="22"/>
          <w:szCs w:val="22"/>
        </w:rPr>
      </w:pPr>
    </w:p>
    <w:tbl>
      <w:tblPr>
        <w:tblStyle w:val="1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02" w:type="dxa"/>
          <w:left w:w="62" w:type="dxa"/>
          <w:bottom w:w="102" w:type="dxa"/>
          <w:right w:w="62" w:type="dxa"/>
        </w:tblCellMar>
      </w:tblPr>
      <w:tblGrid>
        <w:gridCol w:w="1134"/>
        <w:gridCol w:w="7937"/>
      </w:tblGrid>
      <w:tr w14:paraId="0A54D9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tcPr>
          <w:p w14:paraId="1D5079DD">
            <w:pPr>
              <w:pStyle w:val="85"/>
              <w:jc w:val="center"/>
              <w:rPr>
                <w:color w:val="auto"/>
                <w:sz w:val="22"/>
                <w:szCs w:val="22"/>
              </w:rPr>
            </w:pPr>
            <w:r>
              <w:rPr>
                <w:color w:val="auto"/>
                <w:sz w:val="22"/>
                <w:szCs w:val="22"/>
              </w:rPr>
              <w:t>N урока</w:t>
            </w:r>
          </w:p>
        </w:tc>
        <w:tc>
          <w:tcPr>
            <w:tcW w:w="7937" w:type="dxa"/>
          </w:tcPr>
          <w:p w14:paraId="4E6F3ACB">
            <w:pPr>
              <w:pStyle w:val="85"/>
              <w:jc w:val="center"/>
              <w:rPr>
                <w:color w:val="auto"/>
                <w:sz w:val="22"/>
                <w:szCs w:val="22"/>
              </w:rPr>
            </w:pPr>
            <w:r>
              <w:rPr>
                <w:color w:val="auto"/>
                <w:sz w:val="22"/>
                <w:szCs w:val="22"/>
              </w:rPr>
              <w:t>Тема урока</w:t>
            </w:r>
          </w:p>
        </w:tc>
      </w:tr>
      <w:tr w14:paraId="2D81DB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764AB1E9">
            <w:pPr>
              <w:pStyle w:val="85"/>
              <w:rPr>
                <w:color w:val="auto"/>
                <w:sz w:val="22"/>
                <w:szCs w:val="22"/>
              </w:rPr>
            </w:pPr>
            <w:r>
              <w:rPr>
                <w:color w:val="auto"/>
                <w:sz w:val="22"/>
                <w:szCs w:val="22"/>
              </w:rPr>
              <w:t>Урок 1</w:t>
            </w:r>
          </w:p>
        </w:tc>
        <w:tc>
          <w:tcPr>
            <w:tcW w:w="7937" w:type="dxa"/>
            <w:vAlign w:val="center"/>
          </w:tcPr>
          <w:p w14:paraId="4FAE8836">
            <w:pPr>
              <w:pStyle w:val="85"/>
              <w:jc w:val="both"/>
              <w:rPr>
                <w:color w:val="auto"/>
                <w:sz w:val="22"/>
                <w:szCs w:val="22"/>
              </w:rPr>
            </w:pPr>
            <w:r>
              <w:rPr>
                <w:color w:val="auto"/>
                <w:sz w:val="22"/>
                <w:szCs w:val="22"/>
              </w:rPr>
              <w:t>Раскрытие главной идеи произведения А. Т Твардовского "О Родине большой и малой" (отрывок): чувство любви к своей стране и малой родине</w:t>
            </w:r>
          </w:p>
        </w:tc>
      </w:tr>
      <w:tr w14:paraId="2924B1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0918A8DE">
            <w:pPr>
              <w:pStyle w:val="85"/>
              <w:rPr>
                <w:color w:val="auto"/>
                <w:sz w:val="22"/>
                <w:szCs w:val="22"/>
              </w:rPr>
            </w:pPr>
            <w:r>
              <w:rPr>
                <w:color w:val="auto"/>
                <w:sz w:val="22"/>
                <w:szCs w:val="22"/>
              </w:rPr>
              <w:t>Урок 2</w:t>
            </w:r>
          </w:p>
        </w:tc>
        <w:tc>
          <w:tcPr>
            <w:tcW w:w="7937" w:type="dxa"/>
            <w:vAlign w:val="center"/>
          </w:tcPr>
          <w:p w14:paraId="6009AAD2">
            <w:pPr>
              <w:pStyle w:val="85"/>
              <w:jc w:val="both"/>
              <w:rPr>
                <w:color w:val="auto"/>
                <w:sz w:val="22"/>
                <w:szCs w:val="22"/>
              </w:rPr>
            </w:pPr>
            <w:r>
              <w:rPr>
                <w:color w:val="auto"/>
                <w:sz w:val="22"/>
                <w:szCs w:val="22"/>
              </w:rPr>
              <w:t>Образ родной земли в стихотворении С.Д. Дрожжина "Родине"</w:t>
            </w:r>
          </w:p>
        </w:tc>
      </w:tr>
      <w:tr w14:paraId="75CFED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2906DA88">
            <w:pPr>
              <w:pStyle w:val="85"/>
              <w:rPr>
                <w:color w:val="auto"/>
                <w:sz w:val="22"/>
                <w:szCs w:val="22"/>
              </w:rPr>
            </w:pPr>
            <w:r>
              <w:rPr>
                <w:color w:val="auto"/>
                <w:sz w:val="22"/>
                <w:szCs w:val="22"/>
              </w:rPr>
              <w:t>Урок 3</w:t>
            </w:r>
          </w:p>
        </w:tc>
        <w:tc>
          <w:tcPr>
            <w:tcW w:w="7937" w:type="dxa"/>
            <w:vAlign w:val="center"/>
          </w:tcPr>
          <w:p w14:paraId="5D104F99">
            <w:pPr>
              <w:pStyle w:val="85"/>
              <w:jc w:val="both"/>
              <w:rPr>
                <w:color w:val="auto"/>
                <w:sz w:val="22"/>
                <w:szCs w:val="22"/>
              </w:rPr>
            </w:pPr>
            <w:r>
              <w:rPr>
                <w:color w:val="auto"/>
                <w:sz w:val="22"/>
                <w:szCs w:val="22"/>
              </w:rPr>
              <w:t>Любовь к природе и родному краю - тема произведений поэтов. На примере стихотворений С.А. Есенина</w:t>
            </w:r>
          </w:p>
        </w:tc>
      </w:tr>
      <w:tr w14:paraId="6E6E4F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3B6527B8">
            <w:pPr>
              <w:pStyle w:val="85"/>
              <w:rPr>
                <w:color w:val="auto"/>
                <w:sz w:val="22"/>
                <w:szCs w:val="22"/>
              </w:rPr>
            </w:pPr>
            <w:r>
              <w:rPr>
                <w:color w:val="auto"/>
                <w:sz w:val="22"/>
                <w:szCs w:val="22"/>
              </w:rPr>
              <w:t>Урок 4</w:t>
            </w:r>
          </w:p>
        </w:tc>
        <w:tc>
          <w:tcPr>
            <w:tcW w:w="7937" w:type="dxa"/>
            <w:vAlign w:val="center"/>
          </w:tcPr>
          <w:p w14:paraId="71126956">
            <w:pPr>
              <w:pStyle w:val="85"/>
              <w:jc w:val="both"/>
              <w:rPr>
                <w:color w:val="auto"/>
                <w:sz w:val="22"/>
                <w:szCs w:val="22"/>
              </w:rPr>
            </w:pPr>
            <w:r>
              <w:rPr>
                <w:color w:val="auto"/>
                <w:sz w:val="22"/>
                <w:szCs w:val="22"/>
              </w:rPr>
              <w:t>Проявление любви к родной земле в литературе народов России. На примере стихотворений Р.Г. Гамзатова</w:t>
            </w:r>
          </w:p>
        </w:tc>
      </w:tr>
      <w:tr w14:paraId="230E1C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675336FD">
            <w:pPr>
              <w:pStyle w:val="85"/>
              <w:rPr>
                <w:color w:val="auto"/>
                <w:sz w:val="22"/>
                <w:szCs w:val="22"/>
              </w:rPr>
            </w:pPr>
            <w:r>
              <w:rPr>
                <w:color w:val="auto"/>
                <w:sz w:val="22"/>
                <w:szCs w:val="22"/>
              </w:rPr>
              <w:t>Урок 5</w:t>
            </w:r>
          </w:p>
        </w:tc>
        <w:tc>
          <w:tcPr>
            <w:tcW w:w="7937" w:type="dxa"/>
            <w:vAlign w:val="center"/>
          </w:tcPr>
          <w:p w14:paraId="07FD7A60">
            <w:pPr>
              <w:pStyle w:val="85"/>
              <w:jc w:val="both"/>
              <w:rPr>
                <w:color w:val="auto"/>
                <w:sz w:val="22"/>
                <w:szCs w:val="22"/>
              </w:rPr>
            </w:pPr>
            <w:r>
              <w:rPr>
                <w:color w:val="auto"/>
                <w:sz w:val="22"/>
                <w:szCs w:val="22"/>
              </w:rPr>
              <w:t>Образ Александра Невского в произведении С.Т. Романовского "Ледовое побоище"</w:t>
            </w:r>
          </w:p>
        </w:tc>
      </w:tr>
      <w:tr w14:paraId="082F94AE">
        <w:tblPrEx>
          <w:tblCellMar>
            <w:top w:w="102" w:type="dxa"/>
            <w:left w:w="62" w:type="dxa"/>
            <w:bottom w:w="102" w:type="dxa"/>
            <w:right w:w="62" w:type="dxa"/>
          </w:tblCellMar>
        </w:tblPrEx>
        <w:tc>
          <w:tcPr>
            <w:tcW w:w="1134" w:type="dxa"/>
            <w:vAlign w:val="center"/>
          </w:tcPr>
          <w:p w14:paraId="6F33A180">
            <w:pPr>
              <w:pStyle w:val="85"/>
              <w:rPr>
                <w:color w:val="auto"/>
                <w:sz w:val="22"/>
                <w:szCs w:val="22"/>
              </w:rPr>
            </w:pPr>
            <w:r>
              <w:rPr>
                <w:color w:val="auto"/>
                <w:sz w:val="22"/>
                <w:szCs w:val="22"/>
              </w:rPr>
              <w:t>Урок 6</w:t>
            </w:r>
          </w:p>
        </w:tc>
        <w:tc>
          <w:tcPr>
            <w:tcW w:w="7937" w:type="dxa"/>
            <w:vAlign w:val="center"/>
          </w:tcPr>
          <w:p w14:paraId="69FBE09C">
            <w:pPr>
              <w:pStyle w:val="85"/>
              <w:jc w:val="both"/>
              <w:rPr>
                <w:color w:val="auto"/>
                <w:sz w:val="22"/>
                <w:szCs w:val="22"/>
              </w:rPr>
            </w:pPr>
            <w:r>
              <w:rPr>
                <w:color w:val="auto"/>
                <w:sz w:val="22"/>
                <w:szCs w:val="22"/>
              </w:rPr>
              <w:t>Характеристика народной исторической песни: темы, образы, герои</w:t>
            </w:r>
          </w:p>
        </w:tc>
      </w:tr>
      <w:tr w14:paraId="4404DC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380BEF2E">
            <w:pPr>
              <w:pStyle w:val="85"/>
              <w:rPr>
                <w:color w:val="auto"/>
                <w:sz w:val="22"/>
                <w:szCs w:val="22"/>
              </w:rPr>
            </w:pPr>
            <w:r>
              <w:rPr>
                <w:color w:val="auto"/>
                <w:sz w:val="22"/>
                <w:szCs w:val="22"/>
              </w:rPr>
              <w:t>Урок 7</w:t>
            </w:r>
          </w:p>
        </w:tc>
        <w:tc>
          <w:tcPr>
            <w:tcW w:w="7937" w:type="dxa"/>
            <w:vAlign w:val="center"/>
          </w:tcPr>
          <w:p w14:paraId="760BEFC9">
            <w:pPr>
              <w:pStyle w:val="85"/>
              <w:jc w:val="both"/>
              <w:rPr>
                <w:color w:val="auto"/>
                <w:sz w:val="22"/>
                <w:szCs w:val="22"/>
              </w:rPr>
            </w:pPr>
            <w:r>
              <w:rPr>
                <w:color w:val="auto"/>
                <w:sz w:val="22"/>
                <w:szCs w:val="22"/>
              </w:rPr>
              <w:t>Тема Великой Отечественной войны в произведениях литературы. На примере рассказа М.С. Ефетов "Девочка из Сталинграда"</w:t>
            </w:r>
          </w:p>
        </w:tc>
      </w:tr>
      <w:tr w14:paraId="6086D4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4F5BAFC0">
            <w:pPr>
              <w:pStyle w:val="85"/>
              <w:rPr>
                <w:color w:val="auto"/>
                <w:sz w:val="22"/>
                <w:szCs w:val="22"/>
              </w:rPr>
            </w:pPr>
            <w:r>
              <w:rPr>
                <w:color w:val="auto"/>
                <w:sz w:val="22"/>
                <w:szCs w:val="22"/>
              </w:rPr>
              <w:t>Урок 8</w:t>
            </w:r>
          </w:p>
        </w:tc>
        <w:tc>
          <w:tcPr>
            <w:tcW w:w="7937" w:type="dxa"/>
            <w:vAlign w:val="center"/>
          </w:tcPr>
          <w:p w14:paraId="06C187C5">
            <w:pPr>
              <w:pStyle w:val="85"/>
              <w:jc w:val="both"/>
              <w:rPr>
                <w:color w:val="auto"/>
                <w:sz w:val="22"/>
                <w:szCs w:val="22"/>
              </w:rPr>
            </w:pPr>
            <w:r>
              <w:rPr>
                <w:color w:val="auto"/>
                <w:sz w:val="22"/>
                <w:szCs w:val="22"/>
              </w:rPr>
              <w:t>Осознание понятий поступок, подвиг на примере произведений о Великой Отечественной войне</w:t>
            </w:r>
          </w:p>
        </w:tc>
      </w:tr>
      <w:tr w14:paraId="7DE7DF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69377E68">
            <w:pPr>
              <w:pStyle w:val="85"/>
              <w:rPr>
                <w:color w:val="auto"/>
                <w:sz w:val="22"/>
                <w:szCs w:val="22"/>
              </w:rPr>
            </w:pPr>
            <w:r>
              <w:rPr>
                <w:color w:val="auto"/>
                <w:sz w:val="22"/>
                <w:szCs w:val="22"/>
              </w:rPr>
              <w:t>Урок 9</w:t>
            </w:r>
          </w:p>
        </w:tc>
        <w:tc>
          <w:tcPr>
            <w:tcW w:w="7937" w:type="dxa"/>
            <w:vAlign w:val="center"/>
          </w:tcPr>
          <w:p w14:paraId="5EDBBA83">
            <w:pPr>
              <w:pStyle w:val="85"/>
              <w:jc w:val="both"/>
              <w:rPr>
                <w:color w:val="auto"/>
                <w:sz w:val="22"/>
                <w:szCs w:val="22"/>
              </w:rPr>
            </w:pPr>
            <w:r>
              <w:rPr>
                <w:color w:val="auto"/>
                <w:sz w:val="22"/>
                <w:szCs w:val="22"/>
              </w:rPr>
              <w:t>Наблюдение за художественными особенностями текста авторской песни</w:t>
            </w:r>
          </w:p>
        </w:tc>
      </w:tr>
      <w:tr w14:paraId="37BAAA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480990C3">
            <w:pPr>
              <w:pStyle w:val="85"/>
              <w:rPr>
                <w:color w:val="auto"/>
                <w:sz w:val="22"/>
                <w:szCs w:val="22"/>
              </w:rPr>
            </w:pPr>
            <w:r>
              <w:rPr>
                <w:color w:val="auto"/>
                <w:sz w:val="22"/>
                <w:szCs w:val="22"/>
              </w:rPr>
              <w:t>Урок 10</w:t>
            </w:r>
          </w:p>
        </w:tc>
        <w:tc>
          <w:tcPr>
            <w:tcW w:w="7937" w:type="dxa"/>
            <w:vAlign w:val="center"/>
          </w:tcPr>
          <w:p w14:paraId="3F0D1A3C">
            <w:pPr>
              <w:pStyle w:val="85"/>
              <w:jc w:val="both"/>
              <w:rPr>
                <w:color w:val="auto"/>
                <w:sz w:val="22"/>
                <w:szCs w:val="22"/>
              </w:rPr>
            </w:pPr>
            <w:r>
              <w:rPr>
                <w:color w:val="auto"/>
                <w:sz w:val="22"/>
                <w:szCs w:val="22"/>
              </w:rPr>
              <w:t>Составление устного рассказа "Защитник Отечества" по изученным произведениям</w:t>
            </w:r>
          </w:p>
        </w:tc>
      </w:tr>
      <w:tr w14:paraId="26882F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4E16B985">
            <w:pPr>
              <w:pStyle w:val="85"/>
              <w:rPr>
                <w:color w:val="auto"/>
                <w:sz w:val="22"/>
                <w:szCs w:val="22"/>
              </w:rPr>
            </w:pPr>
            <w:r>
              <w:rPr>
                <w:color w:val="auto"/>
                <w:sz w:val="22"/>
                <w:szCs w:val="22"/>
              </w:rPr>
              <w:t>Урок 11</w:t>
            </w:r>
          </w:p>
        </w:tc>
        <w:tc>
          <w:tcPr>
            <w:tcW w:w="7937" w:type="dxa"/>
            <w:vAlign w:val="center"/>
          </w:tcPr>
          <w:p w14:paraId="08FB76D3">
            <w:pPr>
              <w:pStyle w:val="85"/>
              <w:jc w:val="both"/>
              <w:rPr>
                <w:color w:val="auto"/>
                <w:sz w:val="22"/>
                <w:szCs w:val="22"/>
              </w:rPr>
            </w:pPr>
            <w:r>
              <w:rPr>
                <w:color w:val="auto"/>
                <w:sz w:val="22"/>
                <w:szCs w:val="22"/>
              </w:rPr>
              <w:t>Тематическое повторение по итогам раздела "О Родине, героические страницы истории"</w:t>
            </w:r>
          </w:p>
        </w:tc>
      </w:tr>
      <w:tr w14:paraId="779DFF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57D52B7A">
            <w:pPr>
              <w:pStyle w:val="85"/>
              <w:rPr>
                <w:color w:val="auto"/>
                <w:sz w:val="22"/>
                <w:szCs w:val="22"/>
              </w:rPr>
            </w:pPr>
            <w:r>
              <w:rPr>
                <w:color w:val="auto"/>
                <w:sz w:val="22"/>
                <w:szCs w:val="22"/>
              </w:rPr>
              <w:t>Урок 12</w:t>
            </w:r>
          </w:p>
        </w:tc>
        <w:tc>
          <w:tcPr>
            <w:tcW w:w="7937" w:type="dxa"/>
            <w:vAlign w:val="center"/>
          </w:tcPr>
          <w:p w14:paraId="3A42DE28">
            <w:pPr>
              <w:pStyle w:val="85"/>
              <w:jc w:val="both"/>
              <w:rPr>
                <w:color w:val="auto"/>
                <w:sz w:val="22"/>
                <w:szCs w:val="22"/>
              </w:rPr>
            </w:pPr>
            <w:r>
              <w:rPr>
                <w:color w:val="auto"/>
                <w:sz w:val="22"/>
                <w:szCs w:val="22"/>
              </w:rPr>
              <w:t>Патриотическое звучание произведений о Родине, о славных и героических страницах истории России</w:t>
            </w:r>
          </w:p>
        </w:tc>
      </w:tr>
      <w:tr w14:paraId="204086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704221C2">
            <w:pPr>
              <w:pStyle w:val="85"/>
              <w:rPr>
                <w:color w:val="auto"/>
                <w:sz w:val="22"/>
                <w:szCs w:val="22"/>
              </w:rPr>
            </w:pPr>
            <w:r>
              <w:rPr>
                <w:color w:val="auto"/>
                <w:sz w:val="22"/>
                <w:szCs w:val="22"/>
              </w:rPr>
              <w:t>Урок 13</w:t>
            </w:r>
          </w:p>
        </w:tc>
        <w:tc>
          <w:tcPr>
            <w:tcW w:w="7937" w:type="dxa"/>
            <w:vAlign w:val="center"/>
          </w:tcPr>
          <w:p w14:paraId="4A73535A">
            <w:pPr>
              <w:pStyle w:val="85"/>
              <w:jc w:val="both"/>
              <w:rPr>
                <w:color w:val="auto"/>
                <w:sz w:val="22"/>
                <w:szCs w:val="22"/>
              </w:rPr>
            </w:pPr>
            <w:r>
              <w:rPr>
                <w:color w:val="auto"/>
                <w:sz w:val="22"/>
                <w:szCs w:val="22"/>
              </w:rPr>
              <w:t>Резервный урок. Работа с детскими книгами на тему: "Книги о Родине и ее истории": типы книг (изданий)</w:t>
            </w:r>
          </w:p>
        </w:tc>
      </w:tr>
      <w:tr w14:paraId="263CC4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044E06CB">
            <w:pPr>
              <w:pStyle w:val="85"/>
              <w:rPr>
                <w:color w:val="auto"/>
                <w:sz w:val="22"/>
                <w:szCs w:val="22"/>
              </w:rPr>
            </w:pPr>
            <w:r>
              <w:rPr>
                <w:color w:val="auto"/>
                <w:sz w:val="22"/>
                <w:szCs w:val="22"/>
              </w:rPr>
              <w:t>Урок 14</w:t>
            </w:r>
          </w:p>
        </w:tc>
        <w:tc>
          <w:tcPr>
            <w:tcW w:w="7937" w:type="dxa"/>
            <w:vAlign w:val="center"/>
          </w:tcPr>
          <w:p w14:paraId="0D76206B">
            <w:pPr>
              <w:pStyle w:val="85"/>
              <w:jc w:val="both"/>
              <w:rPr>
                <w:color w:val="auto"/>
                <w:sz w:val="22"/>
                <w:szCs w:val="22"/>
              </w:rPr>
            </w:pPr>
            <w:r>
              <w:rPr>
                <w:color w:val="auto"/>
                <w:sz w:val="22"/>
                <w:szCs w:val="22"/>
              </w:rPr>
              <w:t>Проявление народной культуры в разнообразных видах фольклора: словесном, музыкальном, обрядовом (календарном)</w:t>
            </w:r>
          </w:p>
        </w:tc>
      </w:tr>
      <w:tr w14:paraId="48A049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759C8034">
            <w:pPr>
              <w:pStyle w:val="85"/>
              <w:rPr>
                <w:color w:val="auto"/>
                <w:sz w:val="22"/>
                <w:szCs w:val="22"/>
              </w:rPr>
            </w:pPr>
            <w:r>
              <w:rPr>
                <w:color w:val="auto"/>
                <w:sz w:val="22"/>
                <w:szCs w:val="22"/>
              </w:rPr>
              <w:t>Урок 15</w:t>
            </w:r>
          </w:p>
        </w:tc>
        <w:tc>
          <w:tcPr>
            <w:tcW w:w="7937" w:type="dxa"/>
            <w:vAlign w:val="center"/>
          </w:tcPr>
          <w:p w14:paraId="715C5FB6">
            <w:pPr>
              <w:pStyle w:val="85"/>
              <w:jc w:val="both"/>
              <w:rPr>
                <w:color w:val="auto"/>
                <w:sz w:val="22"/>
                <w:szCs w:val="22"/>
              </w:rPr>
            </w:pPr>
            <w:r>
              <w:rPr>
                <w:color w:val="auto"/>
                <w:sz w:val="22"/>
                <w:szCs w:val="22"/>
              </w:rPr>
              <w:t>Разнообразие малых жанров фольклора (назначение, сравнение, классификация)</w:t>
            </w:r>
          </w:p>
        </w:tc>
      </w:tr>
      <w:tr w14:paraId="513425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24F82834">
            <w:pPr>
              <w:pStyle w:val="85"/>
              <w:rPr>
                <w:color w:val="auto"/>
                <w:sz w:val="22"/>
                <w:szCs w:val="22"/>
              </w:rPr>
            </w:pPr>
            <w:r>
              <w:rPr>
                <w:color w:val="auto"/>
                <w:sz w:val="22"/>
                <w:szCs w:val="22"/>
              </w:rPr>
              <w:t>Урок 16</w:t>
            </w:r>
          </w:p>
        </w:tc>
        <w:tc>
          <w:tcPr>
            <w:tcW w:w="7937" w:type="dxa"/>
            <w:vAlign w:val="center"/>
          </w:tcPr>
          <w:p w14:paraId="4FA18A70">
            <w:pPr>
              <w:pStyle w:val="85"/>
              <w:jc w:val="both"/>
              <w:rPr>
                <w:color w:val="auto"/>
                <w:sz w:val="22"/>
                <w:szCs w:val="22"/>
              </w:rPr>
            </w:pPr>
            <w:r>
              <w:rPr>
                <w:color w:val="auto"/>
                <w:sz w:val="22"/>
                <w:szCs w:val="22"/>
              </w:rPr>
              <w:t>Представление в сказке народного быта и культуры: сказки о животных, бытовые, волшебные</w:t>
            </w:r>
          </w:p>
        </w:tc>
      </w:tr>
      <w:tr w14:paraId="153AA9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43243A44">
            <w:pPr>
              <w:pStyle w:val="85"/>
              <w:rPr>
                <w:color w:val="auto"/>
                <w:sz w:val="22"/>
                <w:szCs w:val="22"/>
              </w:rPr>
            </w:pPr>
            <w:r>
              <w:rPr>
                <w:color w:val="auto"/>
                <w:sz w:val="22"/>
                <w:szCs w:val="22"/>
              </w:rPr>
              <w:t>Урок 17</w:t>
            </w:r>
          </w:p>
        </w:tc>
        <w:tc>
          <w:tcPr>
            <w:tcW w:w="7937" w:type="dxa"/>
            <w:vAlign w:val="center"/>
          </w:tcPr>
          <w:p w14:paraId="16A74597">
            <w:pPr>
              <w:pStyle w:val="85"/>
              <w:jc w:val="both"/>
              <w:rPr>
                <w:color w:val="auto"/>
                <w:sz w:val="22"/>
                <w:szCs w:val="22"/>
              </w:rPr>
            </w:pPr>
            <w:r>
              <w:rPr>
                <w:color w:val="auto"/>
                <w:sz w:val="22"/>
                <w:szCs w:val="22"/>
              </w:rPr>
              <w:t>Характеристика героев волшебной сказки: чем занимались, какими качествами обладают. На примере русской народной сказки "Семь Семионов"</w:t>
            </w:r>
          </w:p>
        </w:tc>
      </w:tr>
      <w:tr w14:paraId="183ADD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366AE82B">
            <w:pPr>
              <w:pStyle w:val="85"/>
              <w:rPr>
                <w:color w:val="auto"/>
                <w:sz w:val="22"/>
                <w:szCs w:val="22"/>
              </w:rPr>
            </w:pPr>
            <w:r>
              <w:rPr>
                <w:color w:val="auto"/>
                <w:sz w:val="22"/>
                <w:szCs w:val="22"/>
              </w:rPr>
              <w:t>Урок 18</w:t>
            </w:r>
          </w:p>
        </w:tc>
        <w:tc>
          <w:tcPr>
            <w:tcW w:w="7937" w:type="dxa"/>
            <w:vAlign w:val="center"/>
          </w:tcPr>
          <w:p w14:paraId="1858BE09">
            <w:pPr>
              <w:pStyle w:val="85"/>
              <w:jc w:val="both"/>
              <w:rPr>
                <w:color w:val="auto"/>
                <w:sz w:val="22"/>
                <w:szCs w:val="22"/>
              </w:rPr>
            </w:pPr>
            <w:r>
              <w:rPr>
                <w:color w:val="auto"/>
                <w:sz w:val="22"/>
                <w:szCs w:val="22"/>
              </w:rPr>
              <w:t>Путешествие героя как основа композиции волшебной сказки. На примере русской народной сказки "Семь Семионов"</w:t>
            </w:r>
          </w:p>
        </w:tc>
      </w:tr>
      <w:tr w14:paraId="4F3C46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59DC1EBF">
            <w:pPr>
              <w:pStyle w:val="85"/>
              <w:rPr>
                <w:color w:val="auto"/>
                <w:sz w:val="22"/>
                <w:szCs w:val="22"/>
              </w:rPr>
            </w:pPr>
            <w:r>
              <w:rPr>
                <w:color w:val="auto"/>
                <w:sz w:val="22"/>
                <w:szCs w:val="22"/>
              </w:rPr>
              <w:t>Урок 19</w:t>
            </w:r>
          </w:p>
        </w:tc>
        <w:tc>
          <w:tcPr>
            <w:tcW w:w="7937" w:type="dxa"/>
            <w:vAlign w:val="center"/>
          </w:tcPr>
          <w:p w14:paraId="573D7B09">
            <w:pPr>
              <w:pStyle w:val="85"/>
              <w:jc w:val="both"/>
              <w:rPr>
                <w:color w:val="auto"/>
                <w:sz w:val="22"/>
                <w:szCs w:val="22"/>
              </w:rPr>
            </w:pPr>
            <w:r>
              <w:rPr>
                <w:color w:val="auto"/>
                <w:sz w:val="22"/>
                <w:szCs w:val="22"/>
              </w:rPr>
              <w:t>Отражение нравственных ценностей на примере фольклорных сказок народов России и мира</w:t>
            </w:r>
          </w:p>
        </w:tc>
      </w:tr>
      <w:tr w14:paraId="0A8A0B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47CBD82F">
            <w:pPr>
              <w:pStyle w:val="85"/>
              <w:rPr>
                <w:color w:val="auto"/>
                <w:sz w:val="22"/>
                <w:szCs w:val="22"/>
              </w:rPr>
            </w:pPr>
            <w:r>
              <w:rPr>
                <w:color w:val="auto"/>
                <w:sz w:val="22"/>
                <w:szCs w:val="22"/>
              </w:rPr>
              <w:t>Урок 20</w:t>
            </w:r>
          </w:p>
        </w:tc>
        <w:tc>
          <w:tcPr>
            <w:tcW w:w="7937" w:type="dxa"/>
            <w:vAlign w:val="center"/>
          </w:tcPr>
          <w:p w14:paraId="00CB1D7D">
            <w:pPr>
              <w:pStyle w:val="85"/>
              <w:jc w:val="both"/>
              <w:rPr>
                <w:color w:val="auto"/>
                <w:sz w:val="22"/>
                <w:szCs w:val="22"/>
              </w:rPr>
            </w:pPr>
            <w:r>
              <w:rPr>
                <w:color w:val="auto"/>
                <w:sz w:val="22"/>
                <w:szCs w:val="22"/>
              </w:rPr>
              <w:t>Осознание понятий взаимопомощь и дружба в сказках народов России и мира. На примере осетинской народной сказки "Что дороже?"</w:t>
            </w:r>
          </w:p>
        </w:tc>
      </w:tr>
      <w:tr w14:paraId="6D8B9A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7E88E2C0">
            <w:pPr>
              <w:pStyle w:val="85"/>
              <w:rPr>
                <w:color w:val="auto"/>
                <w:sz w:val="22"/>
                <w:szCs w:val="22"/>
              </w:rPr>
            </w:pPr>
            <w:r>
              <w:rPr>
                <w:color w:val="auto"/>
                <w:sz w:val="22"/>
                <w:szCs w:val="22"/>
              </w:rPr>
              <w:t>Урок 21</w:t>
            </w:r>
          </w:p>
        </w:tc>
        <w:tc>
          <w:tcPr>
            <w:tcW w:w="7937" w:type="dxa"/>
            <w:vAlign w:val="center"/>
          </w:tcPr>
          <w:p w14:paraId="388ACB8F">
            <w:pPr>
              <w:pStyle w:val="85"/>
              <w:jc w:val="both"/>
              <w:rPr>
                <w:color w:val="auto"/>
                <w:sz w:val="22"/>
                <w:szCs w:val="22"/>
              </w:rPr>
            </w:pPr>
            <w:r>
              <w:rPr>
                <w:color w:val="auto"/>
                <w:sz w:val="22"/>
                <w:szCs w:val="22"/>
              </w:rPr>
              <w:t>Представление в сказке нравственных ценностей, быта и культуры народов мира. На примере немецкой народной сказки "Три бабочки"</w:t>
            </w:r>
          </w:p>
        </w:tc>
      </w:tr>
      <w:tr w14:paraId="305147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272C4419">
            <w:pPr>
              <w:pStyle w:val="85"/>
              <w:rPr>
                <w:color w:val="auto"/>
                <w:sz w:val="22"/>
                <w:szCs w:val="22"/>
              </w:rPr>
            </w:pPr>
            <w:r>
              <w:rPr>
                <w:color w:val="auto"/>
                <w:sz w:val="22"/>
                <w:szCs w:val="22"/>
              </w:rPr>
              <w:t>Урок 22</w:t>
            </w:r>
          </w:p>
        </w:tc>
        <w:tc>
          <w:tcPr>
            <w:tcW w:w="7937" w:type="dxa"/>
            <w:vAlign w:val="center"/>
          </w:tcPr>
          <w:p w14:paraId="177B4668">
            <w:pPr>
              <w:pStyle w:val="85"/>
              <w:jc w:val="both"/>
              <w:rPr>
                <w:color w:val="auto"/>
                <w:sz w:val="22"/>
                <w:szCs w:val="22"/>
              </w:rPr>
            </w:pPr>
            <w:r>
              <w:rPr>
                <w:color w:val="auto"/>
                <w:sz w:val="22"/>
                <w:szCs w:val="22"/>
              </w:rPr>
              <w:t>Сравнение фольклорных произведений разных народов: тема, герои, сюжет</w:t>
            </w:r>
          </w:p>
        </w:tc>
      </w:tr>
      <w:tr w14:paraId="465F55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0E901C66">
            <w:pPr>
              <w:pStyle w:val="85"/>
              <w:rPr>
                <w:color w:val="auto"/>
                <w:sz w:val="22"/>
                <w:szCs w:val="22"/>
              </w:rPr>
            </w:pPr>
            <w:r>
              <w:rPr>
                <w:color w:val="auto"/>
                <w:sz w:val="22"/>
                <w:szCs w:val="22"/>
              </w:rPr>
              <w:t>Урок 23</w:t>
            </w:r>
          </w:p>
        </w:tc>
        <w:tc>
          <w:tcPr>
            <w:tcW w:w="7937" w:type="dxa"/>
            <w:vAlign w:val="center"/>
          </w:tcPr>
          <w:p w14:paraId="4F363836">
            <w:pPr>
              <w:pStyle w:val="85"/>
              <w:jc w:val="both"/>
              <w:rPr>
                <w:color w:val="auto"/>
                <w:sz w:val="22"/>
                <w:szCs w:val="22"/>
              </w:rPr>
            </w:pPr>
            <w:r>
              <w:rPr>
                <w:color w:val="auto"/>
                <w:sz w:val="22"/>
                <w:szCs w:val="22"/>
              </w:rPr>
              <w:t>Образы русских богатырей: где жил, чем занимался, какими качествами обладал</w:t>
            </w:r>
          </w:p>
        </w:tc>
      </w:tr>
      <w:tr w14:paraId="732CF3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141C583A">
            <w:pPr>
              <w:pStyle w:val="85"/>
              <w:rPr>
                <w:color w:val="auto"/>
                <w:sz w:val="22"/>
                <w:szCs w:val="22"/>
              </w:rPr>
            </w:pPr>
            <w:r>
              <w:rPr>
                <w:color w:val="auto"/>
                <w:sz w:val="22"/>
                <w:szCs w:val="22"/>
              </w:rPr>
              <w:t>Урок 24</w:t>
            </w:r>
          </w:p>
        </w:tc>
        <w:tc>
          <w:tcPr>
            <w:tcW w:w="7937" w:type="dxa"/>
            <w:vAlign w:val="center"/>
          </w:tcPr>
          <w:p w14:paraId="76EFC0CA">
            <w:pPr>
              <w:pStyle w:val="85"/>
              <w:jc w:val="both"/>
              <w:rPr>
                <w:color w:val="auto"/>
                <w:sz w:val="22"/>
                <w:szCs w:val="22"/>
              </w:rPr>
            </w:pPr>
            <w:r>
              <w:rPr>
                <w:color w:val="auto"/>
                <w:sz w:val="22"/>
                <w:szCs w:val="22"/>
              </w:rPr>
              <w:t>Резервный урок. Средства художественной выразительности в былине: устойчивые выражения, повторы, гипербола, устаревшие слова</w:t>
            </w:r>
          </w:p>
        </w:tc>
      </w:tr>
      <w:tr w14:paraId="513546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35BC9BEE">
            <w:pPr>
              <w:pStyle w:val="85"/>
              <w:rPr>
                <w:color w:val="auto"/>
                <w:sz w:val="22"/>
                <w:szCs w:val="22"/>
              </w:rPr>
            </w:pPr>
            <w:r>
              <w:rPr>
                <w:color w:val="auto"/>
                <w:sz w:val="22"/>
                <w:szCs w:val="22"/>
              </w:rPr>
              <w:t>Урок 25</w:t>
            </w:r>
          </w:p>
        </w:tc>
        <w:tc>
          <w:tcPr>
            <w:tcW w:w="7937" w:type="dxa"/>
            <w:vAlign w:val="center"/>
          </w:tcPr>
          <w:p w14:paraId="238B3C7B">
            <w:pPr>
              <w:pStyle w:val="85"/>
              <w:jc w:val="both"/>
              <w:rPr>
                <w:color w:val="auto"/>
                <w:sz w:val="22"/>
                <w:szCs w:val="22"/>
              </w:rPr>
            </w:pPr>
            <w:r>
              <w:rPr>
                <w:color w:val="auto"/>
                <w:sz w:val="22"/>
                <w:szCs w:val="22"/>
              </w:rPr>
              <w:t>Резервный урок. Отражение народной былинной темы в творчестве художника В.М. Васнецова</w:t>
            </w:r>
          </w:p>
        </w:tc>
      </w:tr>
      <w:tr w14:paraId="348EC4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40E3FACF">
            <w:pPr>
              <w:pStyle w:val="85"/>
              <w:rPr>
                <w:color w:val="auto"/>
                <w:sz w:val="22"/>
                <w:szCs w:val="22"/>
              </w:rPr>
            </w:pPr>
            <w:r>
              <w:rPr>
                <w:color w:val="auto"/>
                <w:sz w:val="22"/>
                <w:szCs w:val="22"/>
              </w:rPr>
              <w:t>Урок 26</w:t>
            </w:r>
          </w:p>
        </w:tc>
        <w:tc>
          <w:tcPr>
            <w:tcW w:w="7937" w:type="dxa"/>
            <w:vAlign w:val="center"/>
          </w:tcPr>
          <w:p w14:paraId="559DFEDA">
            <w:pPr>
              <w:pStyle w:val="85"/>
              <w:jc w:val="both"/>
              <w:rPr>
                <w:color w:val="auto"/>
                <w:sz w:val="22"/>
                <w:szCs w:val="22"/>
              </w:rPr>
            </w:pPr>
            <w:r>
              <w:rPr>
                <w:color w:val="auto"/>
                <w:sz w:val="22"/>
                <w:szCs w:val="22"/>
              </w:rPr>
              <w:t>Тематическое повторение по итогам раздела "Фольклор - народная мудрость"</w:t>
            </w:r>
          </w:p>
        </w:tc>
      </w:tr>
      <w:tr w14:paraId="505C89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75073089">
            <w:pPr>
              <w:pStyle w:val="85"/>
              <w:rPr>
                <w:color w:val="auto"/>
                <w:sz w:val="22"/>
                <w:szCs w:val="22"/>
              </w:rPr>
            </w:pPr>
            <w:r>
              <w:rPr>
                <w:color w:val="auto"/>
                <w:sz w:val="22"/>
                <w:szCs w:val="22"/>
              </w:rPr>
              <w:t>Урок 27</w:t>
            </w:r>
          </w:p>
        </w:tc>
        <w:tc>
          <w:tcPr>
            <w:tcW w:w="7937" w:type="dxa"/>
            <w:vAlign w:val="center"/>
          </w:tcPr>
          <w:p w14:paraId="0EEEB606">
            <w:pPr>
              <w:pStyle w:val="85"/>
              <w:jc w:val="both"/>
              <w:rPr>
                <w:color w:val="auto"/>
                <w:sz w:val="22"/>
                <w:szCs w:val="22"/>
              </w:rPr>
            </w:pPr>
            <w:r>
              <w:rPr>
                <w:color w:val="auto"/>
                <w:sz w:val="22"/>
                <w:szCs w:val="22"/>
              </w:rPr>
              <w:t>Резервный урок. Работа с детскими книгами на тему: "Фольклор (устное народное творчество)": собиратели фольклора (А.Н. Афанасьев, В.И. Даль)</w:t>
            </w:r>
          </w:p>
        </w:tc>
      </w:tr>
      <w:tr w14:paraId="51E37B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17E704B1">
            <w:pPr>
              <w:pStyle w:val="85"/>
              <w:rPr>
                <w:color w:val="auto"/>
                <w:sz w:val="22"/>
                <w:szCs w:val="22"/>
              </w:rPr>
            </w:pPr>
            <w:r>
              <w:rPr>
                <w:color w:val="auto"/>
                <w:sz w:val="22"/>
                <w:szCs w:val="22"/>
              </w:rPr>
              <w:t>Урок 28</w:t>
            </w:r>
          </w:p>
        </w:tc>
        <w:tc>
          <w:tcPr>
            <w:tcW w:w="7937" w:type="dxa"/>
            <w:vAlign w:val="center"/>
          </w:tcPr>
          <w:p w14:paraId="76E90CDE">
            <w:pPr>
              <w:pStyle w:val="85"/>
              <w:jc w:val="both"/>
              <w:rPr>
                <w:color w:val="auto"/>
                <w:sz w:val="22"/>
                <w:szCs w:val="22"/>
              </w:rPr>
            </w:pPr>
            <w:r>
              <w:rPr>
                <w:color w:val="auto"/>
                <w:sz w:val="22"/>
                <w:szCs w:val="22"/>
              </w:rPr>
              <w:t>Особенности басни как лиро-эпического жанра. Басни стихотворные и прозаические</w:t>
            </w:r>
          </w:p>
        </w:tc>
      </w:tr>
      <w:tr w14:paraId="5263E0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0C6813B7">
            <w:pPr>
              <w:pStyle w:val="85"/>
              <w:rPr>
                <w:color w:val="auto"/>
                <w:sz w:val="22"/>
                <w:szCs w:val="22"/>
              </w:rPr>
            </w:pPr>
            <w:r>
              <w:rPr>
                <w:color w:val="auto"/>
                <w:sz w:val="22"/>
                <w:szCs w:val="22"/>
              </w:rPr>
              <w:t>Урок 29</w:t>
            </w:r>
          </w:p>
        </w:tc>
        <w:tc>
          <w:tcPr>
            <w:tcW w:w="7937" w:type="dxa"/>
            <w:vAlign w:val="center"/>
          </w:tcPr>
          <w:p w14:paraId="34E18593">
            <w:pPr>
              <w:pStyle w:val="85"/>
              <w:jc w:val="both"/>
              <w:rPr>
                <w:color w:val="auto"/>
                <w:sz w:val="22"/>
                <w:szCs w:val="22"/>
              </w:rPr>
            </w:pPr>
            <w:r>
              <w:rPr>
                <w:color w:val="auto"/>
                <w:sz w:val="22"/>
                <w:szCs w:val="22"/>
              </w:rPr>
              <w:t>Сравнение басен: темы и герои, особенности языка. На примере басен И.А. Крылов "Стрекоза и муравей", И.И. Хемницера "Стрекоза", Л.Н. Толстого "Стрекоза и муравьи"</w:t>
            </w:r>
          </w:p>
        </w:tc>
      </w:tr>
      <w:tr w14:paraId="3AC78C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5AAF2516">
            <w:pPr>
              <w:pStyle w:val="85"/>
              <w:rPr>
                <w:color w:val="auto"/>
                <w:sz w:val="22"/>
                <w:szCs w:val="22"/>
              </w:rPr>
            </w:pPr>
            <w:r>
              <w:rPr>
                <w:color w:val="auto"/>
                <w:sz w:val="22"/>
                <w:szCs w:val="22"/>
              </w:rPr>
              <w:t>Урок 30</w:t>
            </w:r>
          </w:p>
        </w:tc>
        <w:tc>
          <w:tcPr>
            <w:tcW w:w="7937" w:type="dxa"/>
            <w:vAlign w:val="center"/>
          </w:tcPr>
          <w:p w14:paraId="63517898">
            <w:pPr>
              <w:pStyle w:val="85"/>
              <w:jc w:val="both"/>
              <w:rPr>
                <w:color w:val="auto"/>
                <w:sz w:val="22"/>
                <w:szCs w:val="22"/>
              </w:rPr>
            </w:pPr>
            <w:r>
              <w:rPr>
                <w:color w:val="auto"/>
                <w:sz w:val="22"/>
                <w:szCs w:val="22"/>
              </w:rPr>
              <w:t>Аллегория и ирония как характеристика героев басен. На примере басни И.А. Крылова "Мартышка и очки"</w:t>
            </w:r>
          </w:p>
        </w:tc>
      </w:tr>
      <w:tr w14:paraId="7B141A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54FD364C">
            <w:pPr>
              <w:pStyle w:val="85"/>
              <w:rPr>
                <w:color w:val="auto"/>
                <w:sz w:val="22"/>
                <w:szCs w:val="22"/>
              </w:rPr>
            </w:pPr>
            <w:r>
              <w:rPr>
                <w:color w:val="auto"/>
                <w:sz w:val="22"/>
                <w:szCs w:val="22"/>
              </w:rPr>
              <w:t>Урок 31</w:t>
            </w:r>
          </w:p>
        </w:tc>
        <w:tc>
          <w:tcPr>
            <w:tcW w:w="7937" w:type="dxa"/>
            <w:vAlign w:val="center"/>
          </w:tcPr>
          <w:p w14:paraId="55D87913">
            <w:pPr>
              <w:pStyle w:val="85"/>
              <w:jc w:val="both"/>
              <w:rPr>
                <w:color w:val="auto"/>
                <w:sz w:val="22"/>
                <w:szCs w:val="22"/>
              </w:rPr>
            </w:pPr>
            <w:r>
              <w:rPr>
                <w:color w:val="auto"/>
                <w:sz w:val="22"/>
                <w:szCs w:val="22"/>
              </w:rPr>
              <w:t>Работа с баснями И.А. Крылова. Инсценирование их сюжета</w:t>
            </w:r>
          </w:p>
        </w:tc>
      </w:tr>
      <w:tr w14:paraId="39B227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4B7011BB">
            <w:pPr>
              <w:pStyle w:val="85"/>
              <w:rPr>
                <w:color w:val="auto"/>
                <w:sz w:val="22"/>
                <w:szCs w:val="22"/>
              </w:rPr>
            </w:pPr>
            <w:r>
              <w:rPr>
                <w:color w:val="auto"/>
                <w:sz w:val="22"/>
                <w:szCs w:val="22"/>
              </w:rPr>
              <w:t>Урок 32</w:t>
            </w:r>
          </w:p>
        </w:tc>
        <w:tc>
          <w:tcPr>
            <w:tcW w:w="7937" w:type="dxa"/>
            <w:vAlign w:val="center"/>
          </w:tcPr>
          <w:p w14:paraId="560716D3">
            <w:pPr>
              <w:pStyle w:val="85"/>
              <w:jc w:val="both"/>
              <w:rPr>
                <w:color w:val="auto"/>
                <w:sz w:val="22"/>
                <w:szCs w:val="22"/>
              </w:rPr>
            </w:pPr>
            <w:r>
              <w:rPr>
                <w:color w:val="auto"/>
                <w:sz w:val="22"/>
                <w:szCs w:val="22"/>
              </w:rPr>
              <w:t>Резервный урок. Язык басен И.А. Крылова: пословицы, поговорки, крылатые выражения</w:t>
            </w:r>
          </w:p>
        </w:tc>
      </w:tr>
      <w:tr w14:paraId="530E61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08FFFE0F">
            <w:pPr>
              <w:pStyle w:val="85"/>
              <w:rPr>
                <w:color w:val="auto"/>
                <w:sz w:val="22"/>
                <w:szCs w:val="22"/>
              </w:rPr>
            </w:pPr>
            <w:r>
              <w:rPr>
                <w:color w:val="auto"/>
                <w:sz w:val="22"/>
                <w:szCs w:val="22"/>
              </w:rPr>
              <w:t>Урок 33</w:t>
            </w:r>
          </w:p>
        </w:tc>
        <w:tc>
          <w:tcPr>
            <w:tcW w:w="7937" w:type="dxa"/>
            <w:vAlign w:val="center"/>
          </w:tcPr>
          <w:p w14:paraId="63040E88">
            <w:pPr>
              <w:pStyle w:val="85"/>
              <w:jc w:val="both"/>
              <w:rPr>
                <w:color w:val="auto"/>
                <w:sz w:val="22"/>
                <w:szCs w:val="22"/>
              </w:rPr>
            </w:pPr>
            <w:r>
              <w:rPr>
                <w:color w:val="auto"/>
                <w:sz w:val="22"/>
                <w:szCs w:val="22"/>
              </w:rPr>
              <w:t>Знакомство с литературной сказкой А.С. Пушкина "Сказка о мертвой царевне и о семи богатырях": сюжет произведения</w:t>
            </w:r>
          </w:p>
        </w:tc>
      </w:tr>
      <w:tr w14:paraId="1583AE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79E52785">
            <w:pPr>
              <w:pStyle w:val="85"/>
              <w:rPr>
                <w:color w:val="auto"/>
                <w:sz w:val="22"/>
                <w:szCs w:val="22"/>
              </w:rPr>
            </w:pPr>
            <w:r>
              <w:rPr>
                <w:color w:val="auto"/>
                <w:sz w:val="22"/>
                <w:szCs w:val="22"/>
              </w:rPr>
              <w:t>Урок 34</w:t>
            </w:r>
          </w:p>
        </w:tc>
        <w:tc>
          <w:tcPr>
            <w:tcW w:w="7937" w:type="dxa"/>
            <w:vAlign w:val="center"/>
          </w:tcPr>
          <w:p w14:paraId="0DB656ED">
            <w:pPr>
              <w:pStyle w:val="85"/>
              <w:jc w:val="both"/>
              <w:rPr>
                <w:color w:val="auto"/>
                <w:sz w:val="22"/>
                <w:szCs w:val="22"/>
              </w:rPr>
            </w:pPr>
            <w:r>
              <w:rPr>
                <w:color w:val="auto"/>
                <w:sz w:val="22"/>
                <w:szCs w:val="22"/>
              </w:rPr>
              <w:t>Характеристика положительных и отрицательных героев, волшебные помощники в сказке А.С. Пушкина "Сказка о мертвой царевне и о семи богатырях"</w:t>
            </w:r>
          </w:p>
        </w:tc>
      </w:tr>
      <w:tr w14:paraId="49D521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1192BD03">
            <w:pPr>
              <w:pStyle w:val="85"/>
              <w:rPr>
                <w:color w:val="auto"/>
                <w:sz w:val="22"/>
                <w:szCs w:val="22"/>
              </w:rPr>
            </w:pPr>
            <w:r>
              <w:rPr>
                <w:color w:val="auto"/>
                <w:sz w:val="22"/>
                <w:szCs w:val="22"/>
              </w:rPr>
              <w:t>Урок 35</w:t>
            </w:r>
          </w:p>
        </w:tc>
        <w:tc>
          <w:tcPr>
            <w:tcW w:w="7937" w:type="dxa"/>
            <w:vAlign w:val="center"/>
          </w:tcPr>
          <w:p w14:paraId="7D8CB9C4">
            <w:pPr>
              <w:pStyle w:val="85"/>
              <w:jc w:val="both"/>
              <w:rPr>
                <w:color w:val="auto"/>
                <w:sz w:val="22"/>
                <w:szCs w:val="22"/>
              </w:rPr>
            </w:pPr>
            <w:r>
              <w:rPr>
                <w:color w:val="auto"/>
                <w:sz w:val="22"/>
                <w:szCs w:val="22"/>
              </w:rPr>
              <w:t>Наблюдение за художественными особенностями текста, языком авторской сказки А.С. Пушкина "Сказка о мертвой царевне и о семи богатырях"</w:t>
            </w:r>
          </w:p>
        </w:tc>
      </w:tr>
      <w:tr w14:paraId="726D93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4967C67C">
            <w:pPr>
              <w:pStyle w:val="85"/>
              <w:rPr>
                <w:color w:val="auto"/>
                <w:sz w:val="22"/>
                <w:szCs w:val="22"/>
              </w:rPr>
            </w:pPr>
            <w:r>
              <w:rPr>
                <w:color w:val="auto"/>
                <w:sz w:val="22"/>
                <w:szCs w:val="22"/>
              </w:rPr>
              <w:t>Урок 36</w:t>
            </w:r>
          </w:p>
        </w:tc>
        <w:tc>
          <w:tcPr>
            <w:tcW w:w="7937" w:type="dxa"/>
            <w:vAlign w:val="center"/>
          </w:tcPr>
          <w:p w14:paraId="111AA07A">
            <w:pPr>
              <w:pStyle w:val="85"/>
              <w:jc w:val="both"/>
              <w:rPr>
                <w:color w:val="auto"/>
                <w:sz w:val="22"/>
                <w:szCs w:val="22"/>
              </w:rPr>
            </w:pPr>
            <w:r>
              <w:rPr>
                <w:color w:val="auto"/>
                <w:sz w:val="22"/>
                <w:szCs w:val="22"/>
              </w:rPr>
              <w:t>Фольклорная основа литературной сказки А.С. Пушкина "Сказка о мертвой царевне и о семи богатырях"</w:t>
            </w:r>
          </w:p>
        </w:tc>
      </w:tr>
      <w:tr w14:paraId="094001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74A8A3F7">
            <w:pPr>
              <w:pStyle w:val="85"/>
              <w:rPr>
                <w:color w:val="auto"/>
                <w:sz w:val="22"/>
                <w:szCs w:val="22"/>
              </w:rPr>
            </w:pPr>
            <w:r>
              <w:rPr>
                <w:color w:val="auto"/>
                <w:sz w:val="22"/>
                <w:szCs w:val="22"/>
              </w:rPr>
              <w:t>Урок 37</w:t>
            </w:r>
          </w:p>
        </w:tc>
        <w:tc>
          <w:tcPr>
            <w:tcW w:w="7937" w:type="dxa"/>
            <w:vAlign w:val="center"/>
          </w:tcPr>
          <w:p w14:paraId="0667F91F">
            <w:pPr>
              <w:pStyle w:val="85"/>
              <w:jc w:val="both"/>
              <w:rPr>
                <w:color w:val="auto"/>
                <w:sz w:val="22"/>
                <w:szCs w:val="22"/>
              </w:rPr>
            </w:pPr>
            <w:r>
              <w:rPr>
                <w:color w:val="auto"/>
                <w:sz w:val="22"/>
                <w:szCs w:val="22"/>
              </w:rPr>
              <w:t>Сходство фольклорных и литературных произведений А.С. Пушкина, В.А. Жуковского по тематике, художественным образам ("бродячие" сюжеты)</w:t>
            </w:r>
          </w:p>
        </w:tc>
      </w:tr>
      <w:tr w14:paraId="0E7EB2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39885908">
            <w:pPr>
              <w:pStyle w:val="85"/>
              <w:rPr>
                <w:color w:val="auto"/>
                <w:sz w:val="22"/>
                <w:szCs w:val="22"/>
              </w:rPr>
            </w:pPr>
            <w:r>
              <w:rPr>
                <w:color w:val="auto"/>
                <w:sz w:val="22"/>
                <w:szCs w:val="22"/>
              </w:rPr>
              <w:t>Урок 38</w:t>
            </w:r>
          </w:p>
        </w:tc>
        <w:tc>
          <w:tcPr>
            <w:tcW w:w="7937" w:type="dxa"/>
            <w:vAlign w:val="center"/>
          </w:tcPr>
          <w:p w14:paraId="75DB3D7E">
            <w:pPr>
              <w:pStyle w:val="85"/>
              <w:jc w:val="both"/>
              <w:rPr>
                <w:color w:val="auto"/>
                <w:sz w:val="22"/>
                <w:szCs w:val="22"/>
              </w:rPr>
            </w:pPr>
            <w:r>
              <w:rPr>
                <w:color w:val="auto"/>
                <w:sz w:val="22"/>
                <w:szCs w:val="22"/>
              </w:rPr>
              <w:t>Картины осени в лирических произведениях А.С. Пушкина: сравнения, эпитет, олицетворения</w:t>
            </w:r>
          </w:p>
        </w:tc>
      </w:tr>
      <w:tr w14:paraId="05C808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6564AEA8">
            <w:pPr>
              <w:pStyle w:val="85"/>
              <w:rPr>
                <w:color w:val="auto"/>
                <w:sz w:val="22"/>
                <w:szCs w:val="22"/>
              </w:rPr>
            </w:pPr>
            <w:r>
              <w:rPr>
                <w:color w:val="auto"/>
                <w:sz w:val="22"/>
                <w:szCs w:val="22"/>
              </w:rPr>
              <w:t>Урок 39</w:t>
            </w:r>
          </w:p>
        </w:tc>
        <w:tc>
          <w:tcPr>
            <w:tcW w:w="7937" w:type="dxa"/>
            <w:vAlign w:val="center"/>
          </w:tcPr>
          <w:p w14:paraId="681E3368">
            <w:pPr>
              <w:pStyle w:val="85"/>
              <w:jc w:val="both"/>
              <w:rPr>
                <w:color w:val="auto"/>
                <w:sz w:val="22"/>
                <w:szCs w:val="22"/>
              </w:rPr>
            </w:pPr>
            <w:r>
              <w:rPr>
                <w:color w:val="auto"/>
                <w:sz w:val="22"/>
                <w:szCs w:val="22"/>
              </w:rPr>
              <w:t>Восприятие пейзажной лирики А.С. Пушкина: средства художественной выразительности в стихотворении "Зимняя дорога" и других его стихотворениях</w:t>
            </w:r>
          </w:p>
        </w:tc>
      </w:tr>
      <w:tr w14:paraId="518D65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75938197">
            <w:pPr>
              <w:pStyle w:val="85"/>
              <w:rPr>
                <w:color w:val="auto"/>
                <w:sz w:val="22"/>
                <w:szCs w:val="22"/>
              </w:rPr>
            </w:pPr>
            <w:r>
              <w:rPr>
                <w:color w:val="auto"/>
                <w:sz w:val="22"/>
                <w:szCs w:val="22"/>
              </w:rPr>
              <w:t>Урок 40</w:t>
            </w:r>
          </w:p>
        </w:tc>
        <w:tc>
          <w:tcPr>
            <w:tcW w:w="7937" w:type="dxa"/>
            <w:vAlign w:val="center"/>
          </w:tcPr>
          <w:p w14:paraId="2AE83F9B">
            <w:pPr>
              <w:pStyle w:val="85"/>
              <w:jc w:val="both"/>
              <w:rPr>
                <w:color w:val="auto"/>
                <w:sz w:val="22"/>
                <w:szCs w:val="22"/>
              </w:rPr>
            </w:pPr>
            <w:r>
              <w:rPr>
                <w:color w:val="auto"/>
                <w:sz w:val="22"/>
                <w:szCs w:val="22"/>
              </w:rPr>
              <w:t>Отражение темы дружбы в произведениях А.С. Пушкина. На примере стихотворения "И.И. Пущину"</w:t>
            </w:r>
          </w:p>
        </w:tc>
      </w:tr>
      <w:tr w14:paraId="2D31C8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3086D6E8">
            <w:pPr>
              <w:pStyle w:val="85"/>
              <w:rPr>
                <w:color w:val="auto"/>
                <w:sz w:val="22"/>
                <w:szCs w:val="22"/>
              </w:rPr>
            </w:pPr>
            <w:r>
              <w:rPr>
                <w:color w:val="auto"/>
                <w:sz w:val="22"/>
                <w:szCs w:val="22"/>
              </w:rPr>
              <w:t>Урок 41</w:t>
            </w:r>
          </w:p>
        </w:tc>
        <w:tc>
          <w:tcPr>
            <w:tcW w:w="7937" w:type="dxa"/>
            <w:vAlign w:val="center"/>
          </w:tcPr>
          <w:p w14:paraId="41F14B5D">
            <w:pPr>
              <w:pStyle w:val="85"/>
              <w:jc w:val="both"/>
              <w:rPr>
                <w:color w:val="auto"/>
                <w:sz w:val="22"/>
                <w:szCs w:val="22"/>
              </w:rPr>
            </w:pPr>
            <w:r>
              <w:rPr>
                <w:color w:val="auto"/>
                <w:sz w:val="22"/>
                <w:szCs w:val="22"/>
              </w:rPr>
              <w:t>Оценка настроения и чувств, вызываемых лирическим произведением А.С. Пушкина. На примере стихотворения "Няне"</w:t>
            </w:r>
          </w:p>
        </w:tc>
      </w:tr>
      <w:tr w14:paraId="1315BC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0D4A635B">
            <w:pPr>
              <w:pStyle w:val="85"/>
              <w:rPr>
                <w:color w:val="auto"/>
                <w:sz w:val="22"/>
                <w:szCs w:val="22"/>
              </w:rPr>
            </w:pPr>
            <w:r>
              <w:rPr>
                <w:color w:val="auto"/>
                <w:sz w:val="22"/>
                <w:szCs w:val="22"/>
              </w:rPr>
              <w:t>Урок 42</w:t>
            </w:r>
          </w:p>
        </w:tc>
        <w:tc>
          <w:tcPr>
            <w:tcW w:w="7937" w:type="dxa"/>
            <w:vAlign w:val="center"/>
          </w:tcPr>
          <w:p w14:paraId="51DB987D">
            <w:pPr>
              <w:pStyle w:val="85"/>
              <w:jc w:val="both"/>
              <w:rPr>
                <w:color w:val="auto"/>
                <w:sz w:val="22"/>
                <w:szCs w:val="22"/>
              </w:rPr>
            </w:pPr>
            <w:r>
              <w:rPr>
                <w:color w:val="auto"/>
                <w:sz w:val="22"/>
                <w:szCs w:val="22"/>
              </w:rPr>
              <w:t>Составление устного рассказа "Мое любимое стихотворение А.С. Пушкина"</w:t>
            </w:r>
          </w:p>
        </w:tc>
      </w:tr>
      <w:tr w14:paraId="6DD4AC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37C1137F">
            <w:pPr>
              <w:pStyle w:val="85"/>
              <w:rPr>
                <w:color w:val="auto"/>
                <w:sz w:val="22"/>
                <w:szCs w:val="22"/>
              </w:rPr>
            </w:pPr>
            <w:r>
              <w:rPr>
                <w:color w:val="auto"/>
                <w:sz w:val="22"/>
                <w:szCs w:val="22"/>
              </w:rPr>
              <w:t>Урок 43</w:t>
            </w:r>
          </w:p>
        </w:tc>
        <w:tc>
          <w:tcPr>
            <w:tcW w:w="7937" w:type="dxa"/>
            <w:vAlign w:val="center"/>
          </w:tcPr>
          <w:p w14:paraId="1D54AF7E">
            <w:pPr>
              <w:pStyle w:val="85"/>
              <w:jc w:val="both"/>
              <w:rPr>
                <w:color w:val="auto"/>
                <w:sz w:val="22"/>
                <w:szCs w:val="22"/>
              </w:rPr>
            </w:pPr>
            <w:r>
              <w:rPr>
                <w:color w:val="auto"/>
                <w:sz w:val="22"/>
                <w:szCs w:val="22"/>
              </w:rPr>
              <w:t>Тематическое повторение по итогам раздела "Творчество А.С. Пушкина"</w:t>
            </w:r>
          </w:p>
        </w:tc>
      </w:tr>
      <w:tr w14:paraId="6C6937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30216AA3">
            <w:pPr>
              <w:pStyle w:val="85"/>
              <w:rPr>
                <w:color w:val="auto"/>
                <w:sz w:val="22"/>
                <w:szCs w:val="22"/>
              </w:rPr>
            </w:pPr>
            <w:r>
              <w:rPr>
                <w:color w:val="auto"/>
                <w:sz w:val="22"/>
                <w:szCs w:val="22"/>
              </w:rPr>
              <w:t>Урок 44</w:t>
            </w:r>
          </w:p>
        </w:tc>
        <w:tc>
          <w:tcPr>
            <w:tcW w:w="7937" w:type="dxa"/>
            <w:vAlign w:val="center"/>
          </w:tcPr>
          <w:p w14:paraId="67715284">
            <w:pPr>
              <w:pStyle w:val="85"/>
              <w:jc w:val="both"/>
              <w:rPr>
                <w:color w:val="auto"/>
                <w:sz w:val="22"/>
                <w:szCs w:val="22"/>
              </w:rPr>
            </w:pPr>
            <w:r>
              <w:rPr>
                <w:color w:val="auto"/>
                <w:sz w:val="22"/>
                <w:szCs w:val="22"/>
              </w:rPr>
              <w:t>Составление выставки "Произведения А.С. Пушкина"</w:t>
            </w:r>
          </w:p>
        </w:tc>
      </w:tr>
      <w:tr w14:paraId="539F11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0AE668FE">
            <w:pPr>
              <w:pStyle w:val="85"/>
              <w:rPr>
                <w:color w:val="auto"/>
                <w:sz w:val="22"/>
                <w:szCs w:val="22"/>
              </w:rPr>
            </w:pPr>
            <w:r>
              <w:rPr>
                <w:color w:val="auto"/>
                <w:sz w:val="22"/>
                <w:szCs w:val="22"/>
              </w:rPr>
              <w:t>Урок 45</w:t>
            </w:r>
          </w:p>
        </w:tc>
        <w:tc>
          <w:tcPr>
            <w:tcW w:w="7937" w:type="dxa"/>
            <w:vAlign w:val="center"/>
          </w:tcPr>
          <w:p w14:paraId="1B22A0BB">
            <w:pPr>
              <w:pStyle w:val="85"/>
              <w:jc w:val="both"/>
              <w:rPr>
                <w:color w:val="auto"/>
                <w:sz w:val="22"/>
                <w:szCs w:val="22"/>
              </w:rPr>
            </w:pPr>
            <w:r>
              <w:rPr>
                <w:color w:val="auto"/>
                <w:sz w:val="22"/>
                <w:szCs w:val="22"/>
              </w:rPr>
              <w:t>Патриотическое звучание стихотворения М.Ю. Лермонтова "Москва, Москва!... Люблю тебя как сын...": метафора как "свернутое" сравнение</w:t>
            </w:r>
          </w:p>
        </w:tc>
      </w:tr>
      <w:tr w14:paraId="295229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0DA0ABB0">
            <w:pPr>
              <w:pStyle w:val="85"/>
              <w:rPr>
                <w:color w:val="auto"/>
                <w:sz w:val="22"/>
                <w:szCs w:val="22"/>
              </w:rPr>
            </w:pPr>
            <w:r>
              <w:rPr>
                <w:color w:val="auto"/>
                <w:sz w:val="22"/>
                <w:szCs w:val="22"/>
              </w:rPr>
              <w:t>Урок 46</w:t>
            </w:r>
          </w:p>
        </w:tc>
        <w:tc>
          <w:tcPr>
            <w:tcW w:w="7937" w:type="dxa"/>
            <w:vAlign w:val="center"/>
          </w:tcPr>
          <w:p w14:paraId="704F08AE">
            <w:pPr>
              <w:pStyle w:val="85"/>
              <w:jc w:val="both"/>
              <w:rPr>
                <w:color w:val="auto"/>
                <w:sz w:val="22"/>
                <w:szCs w:val="22"/>
              </w:rPr>
            </w:pPr>
            <w:r>
              <w:rPr>
                <w:color w:val="auto"/>
                <w:sz w:val="22"/>
                <w:szCs w:val="22"/>
              </w:rPr>
              <w:t>Строфа как элемент композиции стихотворения М.Ю. Лермонтова "Парус"</w:t>
            </w:r>
          </w:p>
        </w:tc>
      </w:tr>
      <w:tr w14:paraId="19EE45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6F95F073">
            <w:pPr>
              <w:pStyle w:val="85"/>
              <w:rPr>
                <w:color w:val="auto"/>
                <w:sz w:val="22"/>
                <w:szCs w:val="22"/>
              </w:rPr>
            </w:pPr>
            <w:r>
              <w:rPr>
                <w:color w:val="auto"/>
                <w:sz w:val="22"/>
                <w:szCs w:val="22"/>
              </w:rPr>
              <w:t>Урок 47</w:t>
            </w:r>
          </w:p>
        </w:tc>
        <w:tc>
          <w:tcPr>
            <w:tcW w:w="7937" w:type="dxa"/>
            <w:vAlign w:val="center"/>
          </w:tcPr>
          <w:p w14:paraId="1305581E">
            <w:pPr>
              <w:pStyle w:val="85"/>
              <w:jc w:val="both"/>
              <w:rPr>
                <w:color w:val="auto"/>
                <w:sz w:val="22"/>
                <w:szCs w:val="22"/>
              </w:rPr>
            </w:pPr>
            <w:r>
              <w:rPr>
                <w:color w:val="auto"/>
                <w:sz w:val="22"/>
                <w:szCs w:val="22"/>
              </w:rPr>
              <w:t>Работа со стихотворением М.Ю. Лермонтова "Утес": характеристика средств художественной выразительности</w:t>
            </w:r>
          </w:p>
        </w:tc>
      </w:tr>
      <w:tr w14:paraId="174776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7767EFB2">
            <w:pPr>
              <w:pStyle w:val="85"/>
              <w:rPr>
                <w:color w:val="auto"/>
                <w:sz w:val="22"/>
                <w:szCs w:val="22"/>
              </w:rPr>
            </w:pPr>
            <w:r>
              <w:rPr>
                <w:color w:val="auto"/>
                <w:sz w:val="22"/>
                <w:szCs w:val="22"/>
              </w:rPr>
              <w:t>Урок 48</w:t>
            </w:r>
          </w:p>
        </w:tc>
        <w:tc>
          <w:tcPr>
            <w:tcW w:w="7937" w:type="dxa"/>
            <w:vAlign w:val="center"/>
          </w:tcPr>
          <w:p w14:paraId="05B46AFB">
            <w:pPr>
              <w:pStyle w:val="85"/>
              <w:jc w:val="both"/>
              <w:rPr>
                <w:color w:val="auto"/>
                <w:sz w:val="22"/>
                <w:szCs w:val="22"/>
              </w:rPr>
            </w:pPr>
            <w:r>
              <w:rPr>
                <w:color w:val="auto"/>
                <w:sz w:val="22"/>
                <w:szCs w:val="22"/>
              </w:rPr>
              <w:t>Наблюдение за художественными особенностями лирических произведений М.Ю. Лермонтова</w:t>
            </w:r>
          </w:p>
        </w:tc>
      </w:tr>
      <w:tr w14:paraId="507033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440D1DED">
            <w:pPr>
              <w:pStyle w:val="85"/>
              <w:rPr>
                <w:color w:val="auto"/>
                <w:sz w:val="22"/>
                <w:szCs w:val="22"/>
              </w:rPr>
            </w:pPr>
            <w:r>
              <w:rPr>
                <w:color w:val="auto"/>
                <w:sz w:val="22"/>
                <w:szCs w:val="22"/>
              </w:rPr>
              <w:t>Урок 49</w:t>
            </w:r>
          </w:p>
        </w:tc>
        <w:tc>
          <w:tcPr>
            <w:tcW w:w="7937" w:type="dxa"/>
            <w:vAlign w:val="center"/>
          </w:tcPr>
          <w:p w14:paraId="2C575F64">
            <w:pPr>
              <w:pStyle w:val="85"/>
              <w:jc w:val="both"/>
              <w:rPr>
                <w:color w:val="auto"/>
                <w:sz w:val="22"/>
                <w:szCs w:val="22"/>
              </w:rPr>
            </w:pPr>
            <w:r>
              <w:rPr>
                <w:color w:val="auto"/>
                <w:sz w:val="22"/>
                <w:szCs w:val="22"/>
              </w:rPr>
              <w:t>Литературная сказка П.П. Ершова "Конек-Горбунок": сюжет и построение (композиция) сказки</w:t>
            </w:r>
          </w:p>
        </w:tc>
      </w:tr>
      <w:tr w14:paraId="4DC0DB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73383EA8">
            <w:pPr>
              <w:pStyle w:val="85"/>
              <w:rPr>
                <w:color w:val="auto"/>
                <w:sz w:val="22"/>
                <w:szCs w:val="22"/>
              </w:rPr>
            </w:pPr>
            <w:r>
              <w:rPr>
                <w:color w:val="auto"/>
                <w:sz w:val="22"/>
                <w:szCs w:val="22"/>
              </w:rPr>
              <w:t>Урок 50</w:t>
            </w:r>
          </w:p>
        </w:tc>
        <w:tc>
          <w:tcPr>
            <w:tcW w:w="7937" w:type="dxa"/>
            <w:vAlign w:val="center"/>
          </w:tcPr>
          <w:p w14:paraId="123C7B34">
            <w:pPr>
              <w:pStyle w:val="85"/>
              <w:jc w:val="both"/>
              <w:rPr>
                <w:color w:val="auto"/>
                <w:sz w:val="22"/>
                <w:szCs w:val="22"/>
              </w:rPr>
            </w:pPr>
            <w:r>
              <w:rPr>
                <w:color w:val="auto"/>
                <w:sz w:val="22"/>
                <w:szCs w:val="22"/>
              </w:rPr>
              <w:t>Речевые особенности (сказочные формулы, повторы, постоянные эпитеты) сказки П.П. Ершова "Конек-Горбунок"</w:t>
            </w:r>
          </w:p>
        </w:tc>
      </w:tr>
      <w:tr w14:paraId="78A5C7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714FEBF0">
            <w:pPr>
              <w:pStyle w:val="85"/>
              <w:rPr>
                <w:color w:val="auto"/>
                <w:sz w:val="22"/>
                <w:szCs w:val="22"/>
              </w:rPr>
            </w:pPr>
            <w:r>
              <w:rPr>
                <w:color w:val="auto"/>
                <w:sz w:val="22"/>
                <w:szCs w:val="22"/>
              </w:rPr>
              <w:t>Урок 51</w:t>
            </w:r>
          </w:p>
        </w:tc>
        <w:tc>
          <w:tcPr>
            <w:tcW w:w="7937" w:type="dxa"/>
            <w:vAlign w:val="center"/>
          </w:tcPr>
          <w:p w14:paraId="56185EE9">
            <w:pPr>
              <w:pStyle w:val="85"/>
              <w:jc w:val="both"/>
              <w:rPr>
                <w:color w:val="auto"/>
                <w:sz w:val="22"/>
                <w:szCs w:val="22"/>
              </w:rPr>
            </w:pPr>
            <w:r>
              <w:rPr>
                <w:color w:val="auto"/>
                <w:sz w:val="22"/>
                <w:szCs w:val="22"/>
              </w:rPr>
              <w:t>Характеристика героя и его волшебного помощника сказки П.П. Ершова "Конек-Горбунок"</w:t>
            </w:r>
          </w:p>
        </w:tc>
      </w:tr>
      <w:tr w14:paraId="24D96A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140CF3DB">
            <w:pPr>
              <w:pStyle w:val="85"/>
              <w:rPr>
                <w:color w:val="auto"/>
                <w:sz w:val="22"/>
                <w:szCs w:val="22"/>
              </w:rPr>
            </w:pPr>
            <w:r>
              <w:rPr>
                <w:color w:val="auto"/>
                <w:sz w:val="22"/>
                <w:szCs w:val="22"/>
              </w:rPr>
              <w:t>Урок 52</w:t>
            </w:r>
          </w:p>
        </w:tc>
        <w:tc>
          <w:tcPr>
            <w:tcW w:w="7937" w:type="dxa"/>
            <w:vAlign w:val="center"/>
          </w:tcPr>
          <w:p w14:paraId="16E05BF7">
            <w:pPr>
              <w:pStyle w:val="85"/>
              <w:jc w:val="both"/>
              <w:rPr>
                <w:color w:val="auto"/>
                <w:sz w:val="22"/>
                <w:szCs w:val="22"/>
              </w:rPr>
            </w:pPr>
            <w:r>
              <w:rPr>
                <w:color w:val="auto"/>
                <w:sz w:val="22"/>
                <w:szCs w:val="22"/>
              </w:rPr>
              <w:t>Тематика авторских стихотворных сказок</w:t>
            </w:r>
          </w:p>
        </w:tc>
      </w:tr>
      <w:tr w14:paraId="7732EC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0C74AD07">
            <w:pPr>
              <w:pStyle w:val="85"/>
              <w:rPr>
                <w:color w:val="auto"/>
                <w:sz w:val="22"/>
                <w:szCs w:val="22"/>
              </w:rPr>
            </w:pPr>
            <w:r>
              <w:rPr>
                <w:color w:val="auto"/>
                <w:sz w:val="22"/>
                <w:szCs w:val="22"/>
              </w:rPr>
              <w:t>Урок 53</w:t>
            </w:r>
          </w:p>
        </w:tc>
        <w:tc>
          <w:tcPr>
            <w:tcW w:w="7937" w:type="dxa"/>
            <w:vAlign w:val="center"/>
          </w:tcPr>
          <w:p w14:paraId="6FF68E73">
            <w:pPr>
              <w:pStyle w:val="85"/>
              <w:jc w:val="both"/>
              <w:rPr>
                <w:color w:val="auto"/>
                <w:sz w:val="22"/>
                <w:szCs w:val="22"/>
              </w:rPr>
            </w:pPr>
            <w:r>
              <w:rPr>
                <w:color w:val="auto"/>
                <w:sz w:val="22"/>
                <w:szCs w:val="22"/>
              </w:rPr>
              <w:t>Знакомство с уральскими сказами П.П. Бажова. Сочетание в сказах вымысла и реальности</w:t>
            </w:r>
          </w:p>
        </w:tc>
      </w:tr>
      <w:tr w14:paraId="384E3A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4F219AED">
            <w:pPr>
              <w:pStyle w:val="85"/>
              <w:rPr>
                <w:color w:val="auto"/>
                <w:sz w:val="22"/>
                <w:szCs w:val="22"/>
              </w:rPr>
            </w:pPr>
            <w:r>
              <w:rPr>
                <w:color w:val="auto"/>
                <w:sz w:val="22"/>
                <w:szCs w:val="22"/>
              </w:rPr>
              <w:t>Урок 54</w:t>
            </w:r>
          </w:p>
        </w:tc>
        <w:tc>
          <w:tcPr>
            <w:tcW w:w="7937" w:type="dxa"/>
            <w:vAlign w:val="center"/>
          </w:tcPr>
          <w:p w14:paraId="3A1DD63F">
            <w:pPr>
              <w:pStyle w:val="85"/>
              <w:jc w:val="both"/>
              <w:rPr>
                <w:color w:val="auto"/>
                <w:sz w:val="22"/>
                <w:szCs w:val="22"/>
              </w:rPr>
            </w:pPr>
            <w:r>
              <w:rPr>
                <w:color w:val="auto"/>
                <w:sz w:val="22"/>
                <w:szCs w:val="22"/>
              </w:rPr>
              <w:t>Народные образы героев сказа П.П. Бажова "Серебряное копытце"</w:t>
            </w:r>
          </w:p>
        </w:tc>
      </w:tr>
      <w:tr w14:paraId="40C6BE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41E0E1E3">
            <w:pPr>
              <w:pStyle w:val="85"/>
              <w:rPr>
                <w:color w:val="auto"/>
                <w:sz w:val="22"/>
                <w:szCs w:val="22"/>
              </w:rPr>
            </w:pPr>
            <w:r>
              <w:rPr>
                <w:color w:val="auto"/>
                <w:sz w:val="22"/>
                <w:szCs w:val="22"/>
              </w:rPr>
              <w:t>Урок 55</w:t>
            </w:r>
          </w:p>
        </w:tc>
        <w:tc>
          <w:tcPr>
            <w:tcW w:w="7937" w:type="dxa"/>
            <w:vAlign w:val="center"/>
          </w:tcPr>
          <w:p w14:paraId="3A06EBC2">
            <w:pPr>
              <w:pStyle w:val="85"/>
              <w:jc w:val="both"/>
              <w:rPr>
                <w:color w:val="auto"/>
                <w:sz w:val="22"/>
                <w:szCs w:val="22"/>
              </w:rPr>
            </w:pPr>
            <w:r>
              <w:rPr>
                <w:color w:val="auto"/>
                <w:sz w:val="22"/>
                <w:szCs w:val="22"/>
              </w:rPr>
              <w:t>Наблюдение за художественными особенностями, языком сказа П.П. Бажова "Серебряное копытце"</w:t>
            </w:r>
          </w:p>
        </w:tc>
      </w:tr>
      <w:tr w14:paraId="5DE2D7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60C1C32F">
            <w:pPr>
              <w:pStyle w:val="85"/>
              <w:rPr>
                <w:color w:val="auto"/>
                <w:sz w:val="22"/>
                <w:szCs w:val="22"/>
              </w:rPr>
            </w:pPr>
            <w:r>
              <w:rPr>
                <w:color w:val="auto"/>
                <w:sz w:val="22"/>
                <w:szCs w:val="22"/>
              </w:rPr>
              <w:t>Урок 56</w:t>
            </w:r>
          </w:p>
        </w:tc>
        <w:tc>
          <w:tcPr>
            <w:tcW w:w="7937" w:type="dxa"/>
            <w:vAlign w:val="center"/>
          </w:tcPr>
          <w:p w14:paraId="0DF35EE4">
            <w:pPr>
              <w:pStyle w:val="85"/>
              <w:jc w:val="both"/>
              <w:rPr>
                <w:color w:val="auto"/>
                <w:sz w:val="22"/>
                <w:szCs w:val="22"/>
              </w:rPr>
            </w:pPr>
            <w:r>
              <w:rPr>
                <w:color w:val="auto"/>
                <w:sz w:val="22"/>
                <w:szCs w:val="22"/>
              </w:rPr>
              <w:t>Иллюстрации как отражение сюжета сказов П.П. Бажова</w:t>
            </w:r>
          </w:p>
        </w:tc>
      </w:tr>
      <w:tr w14:paraId="791806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5B427137">
            <w:pPr>
              <w:pStyle w:val="85"/>
              <w:rPr>
                <w:color w:val="auto"/>
                <w:sz w:val="22"/>
                <w:szCs w:val="22"/>
              </w:rPr>
            </w:pPr>
            <w:r>
              <w:rPr>
                <w:color w:val="auto"/>
                <w:sz w:val="22"/>
                <w:szCs w:val="22"/>
              </w:rPr>
              <w:t>Урок 57</w:t>
            </w:r>
          </w:p>
        </w:tc>
        <w:tc>
          <w:tcPr>
            <w:tcW w:w="7937" w:type="dxa"/>
            <w:vAlign w:val="center"/>
          </w:tcPr>
          <w:p w14:paraId="20516C29">
            <w:pPr>
              <w:pStyle w:val="85"/>
              <w:jc w:val="both"/>
              <w:rPr>
                <w:color w:val="auto"/>
                <w:sz w:val="22"/>
                <w:szCs w:val="22"/>
              </w:rPr>
            </w:pPr>
            <w:r>
              <w:rPr>
                <w:color w:val="auto"/>
                <w:sz w:val="22"/>
                <w:szCs w:val="22"/>
              </w:rPr>
              <w:t>Контрольная работа по разделу "Литературная сказка"</w:t>
            </w:r>
          </w:p>
        </w:tc>
      </w:tr>
      <w:tr w14:paraId="5D2B98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186D46C8">
            <w:pPr>
              <w:pStyle w:val="85"/>
              <w:rPr>
                <w:color w:val="auto"/>
                <w:sz w:val="22"/>
                <w:szCs w:val="22"/>
              </w:rPr>
            </w:pPr>
            <w:r>
              <w:rPr>
                <w:color w:val="auto"/>
                <w:sz w:val="22"/>
                <w:szCs w:val="22"/>
              </w:rPr>
              <w:t>Урок 58</w:t>
            </w:r>
          </w:p>
        </w:tc>
        <w:tc>
          <w:tcPr>
            <w:tcW w:w="7937" w:type="dxa"/>
            <w:vAlign w:val="center"/>
          </w:tcPr>
          <w:p w14:paraId="6764FE8D">
            <w:pPr>
              <w:pStyle w:val="85"/>
              <w:jc w:val="both"/>
              <w:rPr>
                <w:color w:val="auto"/>
                <w:sz w:val="22"/>
                <w:szCs w:val="22"/>
              </w:rPr>
            </w:pPr>
            <w:r>
              <w:rPr>
                <w:color w:val="auto"/>
                <w:sz w:val="22"/>
                <w:szCs w:val="22"/>
              </w:rPr>
              <w:t>Описание явления природы в стихотворении В.А. Жуковский "Загадка": приемы создания художественного образа</w:t>
            </w:r>
          </w:p>
        </w:tc>
      </w:tr>
      <w:tr w14:paraId="268587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5191F70B">
            <w:pPr>
              <w:pStyle w:val="85"/>
              <w:rPr>
                <w:color w:val="auto"/>
                <w:sz w:val="22"/>
                <w:szCs w:val="22"/>
              </w:rPr>
            </w:pPr>
            <w:r>
              <w:rPr>
                <w:color w:val="auto"/>
                <w:sz w:val="22"/>
                <w:szCs w:val="22"/>
              </w:rPr>
              <w:t>Урок 59</w:t>
            </w:r>
          </w:p>
        </w:tc>
        <w:tc>
          <w:tcPr>
            <w:tcW w:w="7937" w:type="dxa"/>
            <w:vAlign w:val="center"/>
          </w:tcPr>
          <w:p w14:paraId="692AC78F">
            <w:pPr>
              <w:pStyle w:val="85"/>
              <w:jc w:val="both"/>
              <w:rPr>
                <w:color w:val="auto"/>
                <w:sz w:val="22"/>
                <w:szCs w:val="22"/>
              </w:rPr>
            </w:pPr>
            <w:r>
              <w:rPr>
                <w:color w:val="auto"/>
                <w:sz w:val="22"/>
                <w:szCs w:val="22"/>
              </w:rPr>
              <w:t>Сравнение образа радуги в стихотворениях В.А. Жуковского "Загадка" и Ф.И. Тютчева "Как неожиданно и ярко"</w:t>
            </w:r>
          </w:p>
        </w:tc>
      </w:tr>
      <w:tr w14:paraId="3D7B75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75085210">
            <w:pPr>
              <w:pStyle w:val="85"/>
              <w:rPr>
                <w:color w:val="auto"/>
                <w:sz w:val="22"/>
                <w:szCs w:val="22"/>
              </w:rPr>
            </w:pPr>
            <w:r>
              <w:rPr>
                <w:color w:val="auto"/>
                <w:sz w:val="22"/>
                <w:szCs w:val="22"/>
              </w:rPr>
              <w:t>Урок 60</w:t>
            </w:r>
          </w:p>
        </w:tc>
        <w:tc>
          <w:tcPr>
            <w:tcW w:w="7937" w:type="dxa"/>
            <w:vAlign w:val="center"/>
          </w:tcPr>
          <w:p w14:paraId="7A38D113">
            <w:pPr>
              <w:pStyle w:val="85"/>
              <w:jc w:val="both"/>
              <w:rPr>
                <w:color w:val="auto"/>
                <w:sz w:val="22"/>
                <w:szCs w:val="22"/>
              </w:rPr>
            </w:pPr>
            <w:r>
              <w:rPr>
                <w:color w:val="auto"/>
                <w:sz w:val="22"/>
                <w:szCs w:val="22"/>
              </w:rPr>
              <w:t>Восприятие картин природы в стихотворении А.А. Фета "Весенний дождь" и других его стихотворений</w:t>
            </w:r>
          </w:p>
        </w:tc>
      </w:tr>
      <w:tr w14:paraId="1C4602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7A2825B5">
            <w:pPr>
              <w:pStyle w:val="85"/>
              <w:rPr>
                <w:color w:val="auto"/>
                <w:sz w:val="22"/>
                <w:szCs w:val="22"/>
              </w:rPr>
            </w:pPr>
            <w:r>
              <w:rPr>
                <w:color w:val="auto"/>
                <w:sz w:val="22"/>
                <w:szCs w:val="22"/>
              </w:rPr>
              <w:t>Урок 61</w:t>
            </w:r>
          </w:p>
        </w:tc>
        <w:tc>
          <w:tcPr>
            <w:tcW w:w="7937" w:type="dxa"/>
            <w:vAlign w:val="center"/>
          </w:tcPr>
          <w:p w14:paraId="5C7E7977">
            <w:pPr>
              <w:pStyle w:val="85"/>
              <w:jc w:val="both"/>
              <w:rPr>
                <w:color w:val="auto"/>
                <w:sz w:val="22"/>
                <w:szCs w:val="22"/>
              </w:rPr>
            </w:pPr>
            <w:r>
              <w:rPr>
                <w:color w:val="auto"/>
                <w:sz w:val="22"/>
                <w:szCs w:val="22"/>
              </w:rPr>
              <w:t>Авторские приемы создания художественного образа в стихотворении Е.А. Баратынского "Весна, весна! Как воздух чист".."</w:t>
            </w:r>
          </w:p>
        </w:tc>
      </w:tr>
      <w:tr w14:paraId="791133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0C3A9A79">
            <w:pPr>
              <w:pStyle w:val="85"/>
              <w:rPr>
                <w:color w:val="auto"/>
                <w:sz w:val="22"/>
                <w:szCs w:val="22"/>
              </w:rPr>
            </w:pPr>
            <w:r>
              <w:rPr>
                <w:color w:val="auto"/>
                <w:sz w:val="22"/>
                <w:szCs w:val="22"/>
              </w:rPr>
              <w:t>Урок 62</w:t>
            </w:r>
          </w:p>
        </w:tc>
        <w:tc>
          <w:tcPr>
            <w:tcW w:w="7937" w:type="dxa"/>
            <w:vAlign w:val="center"/>
          </w:tcPr>
          <w:p w14:paraId="4C592F77">
            <w:pPr>
              <w:pStyle w:val="85"/>
              <w:jc w:val="both"/>
              <w:rPr>
                <w:color w:val="auto"/>
                <w:sz w:val="22"/>
                <w:szCs w:val="22"/>
              </w:rPr>
            </w:pPr>
            <w:r>
              <w:rPr>
                <w:color w:val="auto"/>
                <w:sz w:val="22"/>
                <w:szCs w:val="22"/>
              </w:rPr>
              <w:t>Анализ чувств и настроения, создаваемых лирическим произведением. На примере произведения Н.А. Некрасова "Саша"</w:t>
            </w:r>
          </w:p>
        </w:tc>
      </w:tr>
      <w:tr w14:paraId="5DC3D4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2FEC91CE">
            <w:pPr>
              <w:pStyle w:val="85"/>
              <w:rPr>
                <w:color w:val="auto"/>
                <w:sz w:val="22"/>
                <w:szCs w:val="22"/>
              </w:rPr>
            </w:pPr>
            <w:r>
              <w:rPr>
                <w:color w:val="auto"/>
                <w:sz w:val="22"/>
                <w:szCs w:val="22"/>
              </w:rPr>
              <w:t>Урок 63</w:t>
            </w:r>
          </w:p>
        </w:tc>
        <w:tc>
          <w:tcPr>
            <w:tcW w:w="7937" w:type="dxa"/>
            <w:vAlign w:val="center"/>
          </w:tcPr>
          <w:p w14:paraId="03F0CEFA">
            <w:pPr>
              <w:pStyle w:val="85"/>
              <w:jc w:val="both"/>
              <w:rPr>
                <w:color w:val="auto"/>
                <w:sz w:val="22"/>
                <w:szCs w:val="22"/>
              </w:rPr>
            </w:pPr>
            <w:r>
              <w:rPr>
                <w:color w:val="auto"/>
                <w:sz w:val="22"/>
                <w:szCs w:val="22"/>
              </w:rPr>
              <w:t>Поэты о красоте родной природы: анализ авторских приемов создания художественного образа</w:t>
            </w:r>
          </w:p>
        </w:tc>
      </w:tr>
      <w:tr w14:paraId="5ED9CC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2F2CB25E">
            <w:pPr>
              <w:pStyle w:val="85"/>
              <w:rPr>
                <w:color w:val="auto"/>
                <w:sz w:val="22"/>
                <w:szCs w:val="22"/>
              </w:rPr>
            </w:pPr>
            <w:r>
              <w:rPr>
                <w:color w:val="auto"/>
                <w:sz w:val="22"/>
                <w:szCs w:val="22"/>
              </w:rPr>
              <w:t>Урок 64</w:t>
            </w:r>
          </w:p>
        </w:tc>
        <w:tc>
          <w:tcPr>
            <w:tcW w:w="7937" w:type="dxa"/>
            <w:vAlign w:val="center"/>
          </w:tcPr>
          <w:p w14:paraId="1FB8B6A9">
            <w:pPr>
              <w:pStyle w:val="85"/>
              <w:jc w:val="both"/>
              <w:rPr>
                <w:color w:val="auto"/>
                <w:sz w:val="22"/>
                <w:szCs w:val="22"/>
              </w:rPr>
            </w:pPr>
            <w:r>
              <w:rPr>
                <w:color w:val="auto"/>
                <w:sz w:val="22"/>
                <w:szCs w:val="22"/>
              </w:rPr>
              <w:t>Составление устного рассказа по репродукции картины на основе изученных произведений</w:t>
            </w:r>
          </w:p>
        </w:tc>
      </w:tr>
      <w:tr w14:paraId="06D669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54A4A1BF">
            <w:pPr>
              <w:pStyle w:val="85"/>
              <w:rPr>
                <w:color w:val="auto"/>
                <w:sz w:val="22"/>
                <w:szCs w:val="22"/>
              </w:rPr>
            </w:pPr>
            <w:r>
              <w:rPr>
                <w:color w:val="auto"/>
                <w:sz w:val="22"/>
                <w:szCs w:val="22"/>
              </w:rPr>
              <w:t>Урок 65</w:t>
            </w:r>
          </w:p>
        </w:tc>
        <w:tc>
          <w:tcPr>
            <w:tcW w:w="7937" w:type="dxa"/>
            <w:vAlign w:val="center"/>
          </w:tcPr>
          <w:p w14:paraId="47D36897">
            <w:pPr>
              <w:pStyle w:val="85"/>
              <w:jc w:val="both"/>
              <w:rPr>
                <w:color w:val="auto"/>
                <w:sz w:val="22"/>
                <w:szCs w:val="22"/>
              </w:rPr>
            </w:pPr>
            <w:r>
              <w:rPr>
                <w:color w:val="auto"/>
                <w:sz w:val="22"/>
                <w:szCs w:val="22"/>
              </w:rPr>
              <w:t>Творчество Л.Н. Толстого - великого русского писателя</w:t>
            </w:r>
          </w:p>
        </w:tc>
      </w:tr>
      <w:tr w14:paraId="6177E8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0D944DD8">
            <w:pPr>
              <w:pStyle w:val="85"/>
              <w:rPr>
                <w:color w:val="auto"/>
                <w:sz w:val="22"/>
                <w:szCs w:val="22"/>
              </w:rPr>
            </w:pPr>
            <w:r>
              <w:rPr>
                <w:color w:val="auto"/>
                <w:sz w:val="22"/>
                <w:szCs w:val="22"/>
              </w:rPr>
              <w:t>Урок 66</w:t>
            </w:r>
          </w:p>
        </w:tc>
        <w:tc>
          <w:tcPr>
            <w:tcW w:w="7937" w:type="dxa"/>
            <w:vAlign w:val="center"/>
          </w:tcPr>
          <w:p w14:paraId="0371E7E1">
            <w:pPr>
              <w:pStyle w:val="85"/>
              <w:jc w:val="both"/>
              <w:rPr>
                <w:color w:val="auto"/>
                <w:sz w:val="22"/>
                <w:szCs w:val="22"/>
              </w:rPr>
            </w:pPr>
            <w:r>
              <w:rPr>
                <w:color w:val="auto"/>
                <w:sz w:val="22"/>
                <w:szCs w:val="22"/>
              </w:rPr>
              <w:t>Басни Л.Н. Толстого: выделение жанровых особенностей</w:t>
            </w:r>
          </w:p>
        </w:tc>
      </w:tr>
      <w:tr w14:paraId="0E8379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749875D2">
            <w:pPr>
              <w:pStyle w:val="85"/>
              <w:rPr>
                <w:color w:val="auto"/>
                <w:sz w:val="22"/>
                <w:szCs w:val="22"/>
              </w:rPr>
            </w:pPr>
            <w:r>
              <w:rPr>
                <w:color w:val="auto"/>
                <w:sz w:val="22"/>
                <w:szCs w:val="22"/>
              </w:rPr>
              <w:t>Урок 67</w:t>
            </w:r>
          </w:p>
        </w:tc>
        <w:tc>
          <w:tcPr>
            <w:tcW w:w="7937" w:type="dxa"/>
            <w:vAlign w:val="center"/>
          </w:tcPr>
          <w:p w14:paraId="3B16CDD8">
            <w:pPr>
              <w:pStyle w:val="85"/>
              <w:jc w:val="both"/>
              <w:rPr>
                <w:color w:val="auto"/>
                <w:sz w:val="22"/>
                <w:szCs w:val="22"/>
              </w:rPr>
            </w:pPr>
            <w:r>
              <w:rPr>
                <w:color w:val="auto"/>
                <w:sz w:val="22"/>
                <w:szCs w:val="22"/>
              </w:rPr>
              <w:t>Чтение научно-познавательных рассказов Л.Н. Толстого. Примеры текста-рассуждения в рассказе "Черепаха"</w:t>
            </w:r>
          </w:p>
        </w:tc>
      </w:tr>
      <w:tr w14:paraId="20E3E6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309EC58E">
            <w:pPr>
              <w:pStyle w:val="85"/>
              <w:rPr>
                <w:color w:val="auto"/>
                <w:sz w:val="22"/>
                <w:szCs w:val="22"/>
              </w:rPr>
            </w:pPr>
            <w:r>
              <w:rPr>
                <w:color w:val="auto"/>
                <w:sz w:val="22"/>
                <w:szCs w:val="22"/>
              </w:rPr>
              <w:t>Урок 68</w:t>
            </w:r>
          </w:p>
        </w:tc>
        <w:tc>
          <w:tcPr>
            <w:tcW w:w="7937" w:type="dxa"/>
            <w:vAlign w:val="center"/>
          </w:tcPr>
          <w:p w14:paraId="14EF4D0F">
            <w:pPr>
              <w:pStyle w:val="85"/>
              <w:jc w:val="both"/>
              <w:rPr>
                <w:color w:val="auto"/>
                <w:sz w:val="22"/>
                <w:szCs w:val="22"/>
              </w:rPr>
            </w:pPr>
            <w:r>
              <w:rPr>
                <w:color w:val="auto"/>
                <w:sz w:val="22"/>
                <w:szCs w:val="22"/>
              </w:rPr>
              <w:t>Анализ художественных рассказов Л.Н. Толстого. Особенности художественного текста-описания на примере рассказа "Русак"</w:t>
            </w:r>
          </w:p>
        </w:tc>
      </w:tr>
      <w:tr w14:paraId="16F9E4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14F812A0">
            <w:pPr>
              <w:pStyle w:val="85"/>
              <w:rPr>
                <w:color w:val="auto"/>
                <w:sz w:val="22"/>
                <w:szCs w:val="22"/>
              </w:rPr>
            </w:pPr>
            <w:r>
              <w:rPr>
                <w:color w:val="auto"/>
                <w:sz w:val="22"/>
                <w:szCs w:val="22"/>
              </w:rPr>
              <w:t>Урок 69</w:t>
            </w:r>
          </w:p>
        </w:tc>
        <w:tc>
          <w:tcPr>
            <w:tcW w:w="7937" w:type="dxa"/>
            <w:vAlign w:val="center"/>
          </w:tcPr>
          <w:p w14:paraId="5112921E">
            <w:pPr>
              <w:pStyle w:val="85"/>
              <w:jc w:val="both"/>
              <w:rPr>
                <w:color w:val="auto"/>
                <w:sz w:val="22"/>
                <w:szCs w:val="22"/>
              </w:rPr>
            </w:pPr>
            <w:r>
              <w:rPr>
                <w:color w:val="auto"/>
                <w:sz w:val="22"/>
                <w:szCs w:val="22"/>
              </w:rPr>
              <w:t>Общее представление о повести как эпическом жанре. Знакомство с отрывками из повести Л.Н. Толстого "Детство"</w:t>
            </w:r>
          </w:p>
        </w:tc>
      </w:tr>
      <w:tr w14:paraId="450058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47AF62E0">
            <w:pPr>
              <w:pStyle w:val="85"/>
              <w:rPr>
                <w:color w:val="auto"/>
                <w:sz w:val="22"/>
                <w:szCs w:val="22"/>
              </w:rPr>
            </w:pPr>
            <w:r>
              <w:rPr>
                <w:color w:val="auto"/>
                <w:sz w:val="22"/>
                <w:szCs w:val="22"/>
              </w:rPr>
              <w:t>Урок 70</w:t>
            </w:r>
          </w:p>
        </w:tc>
        <w:tc>
          <w:tcPr>
            <w:tcW w:w="7937" w:type="dxa"/>
            <w:vAlign w:val="center"/>
          </w:tcPr>
          <w:p w14:paraId="741A960C">
            <w:pPr>
              <w:pStyle w:val="85"/>
              <w:jc w:val="both"/>
              <w:rPr>
                <w:color w:val="auto"/>
                <w:sz w:val="22"/>
                <w:szCs w:val="22"/>
              </w:rPr>
            </w:pPr>
            <w:r>
              <w:rPr>
                <w:color w:val="auto"/>
                <w:sz w:val="22"/>
                <w:szCs w:val="22"/>
              </w:rPr>
              <w:t>Роль портрета, интерьера в создании образа героя повести "Детство"</w:t>
            </w:r>
          </w:p>
        </w:tc>
      </w:tr>
      <w:tr w14:paraId="2FEED7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3B18044D">
            <w:pPr>
              <w:pStyle w:val="85"/>
              <w:rPr>
                <w:color w:val="auto"/>
                <w:sz w:val="22"/>
                <w:szCs w:val="22"/>
              </w:rPr>
            </w:pPr>
            <w:r>
              <w:rPr>
                <w:color w:val="auto"/>
                <w:sz w:val="22"/>
                <w:szCs w:val="22"/>
              </w:rPr>
              <w:t>Урок 71</w:t>
            </w:r>
          </w:p>
        </w:tc>
        <w:tc>
          <w:tcPr>
            <w:tcW w:w="7937" w:type="dxa"/>
            <w:vAlign w:val="center"/>
          </w:tcPr>
          <w:p w14:paraId="4BCF83B0">
            <w:pPr>
              <w:pStyle w:val="85"/>
              <w:jc w:val="both"/>
              <w:rPr>
                <w:color w:val="auto"/>
                <w:sz w:val="22"/>
                <w:szCs w:val="22"/>
              </w:rPr>
            </w:pPr>
            <w:r>
              <w:rPr>
                <w:color w:val="auto"/>
                <w:sz w:val="22"/>
                <w:szCs w:val="22"/>
              </w:rPr>
              <w:t>Контрольная работа по разделу "Жанровое многообразие творчества Л.Н. Толстого"</w:t>
            </w:r>
          </w:p>
        </w:tc>
      </w:tr>
      <w:tr w14:paraId="42BF5C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44C080E7">
            <w:pPr>
              <w:pStyle w:val="85"/>
              <w:rPr>
                <w:color w:val="auto"/>
                <w:sz w:val="22"/>
                <w:szCs w:val="22"/>
              </w:rPr>
            </w:pPr>
            <w:r>
              <w:rPr>
                <w:color w:val="auto"/>
                <w:sz w:val="22"/>
                <w:szCs w:val="22"/>
              </w:rPr>
              <w:t>Урок 72</w:t>
            </w:r>
          </w:p>
        </w:tc>
        <w:tc>
          <w:tcPr>
            <w:tcW w:w="7937" w:type="dxa"/>
            <w:vAlign w:val="center"/>
          </w:tcPr>
          <w:p w14:paraId="307788B4">
            <w:pPr>
              <w:pStyle w:val="85"/>
              <w:jc w:val="both"/>
              <w:rPr>
                <w:color w:val="auto"/>
                <w:sz w:val="22"/>
                <w:szCs w:val="22"/>
              </w:rPr>
            </w:pPr>
            <w:r>
              <w:rPr>
                <w:color w:val="auto"/>
                <w:sz w:val="22"/>
                <w:szCs w:val="22"/>
              </w:rPr>
              <w:t>Резервный урок. Работа с детскими книгами на тему "Книги Л.Н. Толстого для детей": составление отзыва</w:t>
            </w:r>
          </w:p>
        </w:tc>
      </w:tr>
      <w:tr w14:paraId="73758D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6EEF555D">
            <w:pPr>
              <w:pStyle w:val="85"/>
              <w:rPr>
                <w:color w:val="auto"/>
                <w:sz w:val="22"/>
                <w:szCs w:val="22"/>
              </w:rPr>
            </w:pPr>
            <w:r>
              <w:rPr>
                <w:color w:val="auto"/>
                <w:sz w:val="22"/>
                <w:szCs w:val="22"/>
              </w:rPr>
              <w:t>Урок 73</w:t>
            </w:r>
          </w:p>
        </w:tc>
        <w:tc>
          <w:tcPr>
            <w:tcW w:w="7937" w:type="dxa"/>
            <w:vAlign w:val="center"/>
          </w:tcPr>
          <w:p w14:paraId="308E3435">
            <w:pPr>
              <w:pStyle w:val="85"/>
              <w:jc w:val="both"/>
              <w:rPr>
                <w:color w:val="auto"/>
                <w:sz w:val="22"/>
                <w:szCs w:val="22"/>
              </w:rPr>
            </w:pPr>
            <w:r>
              <w:rPr>
                <w:color w:val="auto"/>
                <w:sz w:val="22"/>
                <w:szCs w:val="22"/>
              </w:rPr>
              <w:t>Знакомство с отрывками из повести Н.Г. Гарин-Михайловского "Детство Темы" (отдельные главы): основные события сюжета</w:t>
            </w:r>
          </w:p>
        </w:tc>
      </w:tr>
      <w:tr w14:paraId="6C9231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294EE163">
            <w:pPr>
              <w:pStyle w:val="85"/>
              <w:rPr>
                <w:color w:val="auto"/>
                <w:sz w:val="22"/>
                <w:szCs w:val="22"/>
              </w:rPr>
            </w:pPr>
            <w:r>
              <w:rPr>
                <w:color w:val="auto"/>
                <w:sz w:val="22"/>
                <w:szCs w:val="22"/>
              </w:rPr>
              <w:t>Урок 74</w:t>
            </w:r>
          </w:p>
        </w:tc>
        <w:tc>
          <w:tcPr>
            <w:tcW w:w="7937" w:type="dxa"/>
            <w:vAlign w:val="center"/>
          </w:tcPr>
          <w:p w14:paraId="683F214C">
            <w:pPr>
              <w:pStyle w:val="85"/>
              <w:jc w:val="both"/>
              <w:rPr>
                <w:color w:val="auto"/>
                <w:sz w:val="22"/>
                <w:szCs w:val="22"/>
              </w:rPr>
            </w:pPr>
            <w:r>
              <w:rPr>
                <w:color w:val="auto"/>
                <w:sz w:val="22"/>
                <w:szCs w:val="22"/>
              </w:rPr>
              <w:t>Словесный портрет героя повести Н.Г. Гарин-Михайловского "Детство Темы" (отдельные главы)</w:t>
            </w:r>
          </w:p>
        </w:tc>
      </w:tr>
      <w:tr w14:paraId="184BDE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50258203">
            <w:pPr>
              <w:pStyle w:val="85"/>
              <w:rPr>
                <w:color w:val="auto"/>
                <w:sz w:val="22"/>
                <w:szCs w:val="22"/>
              </w:rPr>
            </w:pPr>
            <w:r>
              <w:rPr>
                <w:color w:val="auto"/>
                <w:sz w:val="22"/>
                <w:szCs w:val="22"/>
              </w:rPr>
              <w:t>Урок 75</w:t>
            </w:r>
          </w:p>
        </w:tc>
        <w:tc>
          <w:tcPr>
            <w:tcW w:w="7937" w:type="dxa"/>
            <w:vAlign w:val="center"/>
          </w:tcPr>
          <w:p w14:paraId="56DE0334">
            <w:pPr>
              <w:pStyle w:val="85"/>
              <w:jc w:val="both"/>
              <w:rPr>
                <w:color w:val="auto"/>
                <w:sz w:val="22"/>
                <w:szCs w:val="22"/>
              </w:rPr>
            </w:pPr>
            <w:r>
              <w:rPr>
                <w:color w:val="auto"/>
                <w:sz w:val="22"/>
                <w:szCs w:val="22"/>
              </w:rPr>
              <w:t>Осмысление поступков и поведения главного героя повести Н.Г. Гарин-Михайловского "Детство Темы" (отдельные главы)</w:t>
            </w:r>
          </w:p>
        </w:tc>
      </w:tr>
      <w:tr w14:paraId="19CAF6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56D7BD25">
            <w:pPr>
              <w:pStyle w:val="85"/>
              <w:rPr>
                <w:color w:val="auto"/>
                <w:sz w:val="22"/>
                <w:szCs w:val="22"/>
              </w:rPr>
            </w:pPr>
            <w:r>
              <w:rPr>
                <w:color w:val="auto"/>
                <w:sz w:val="22"/>
                <w:szCs w:val="22"/>
              </w:rPr>
              <w:t>Урок 76</w:t>
            </w:r>
          </w:p>
        </w:tc>
        <w:tc>
          <w:tcPr>
            <w:tcW w:w="7937" w:type="dxa"/>
            <w:vAlign w:val="center"/>
          </w:tcPr>
          <w:p w14:paraId="76B002A9">
            <w:pPr>
              <w:pStyle w:val="85"/>
              <w:jc w:val="both"/>
              <w:rPr>
                <w:color w:val="auto"/>
                <w:sz w:val="22"/>
                <w:szCs w:val="22"/>
              </w:rPr>
            </w:pPr>
            <w:r>
              <w:rPr>
                <w:color w:val="auto"/>
                <w:sz w:val="22"/>
                <w:szCs w:val="22"/>
              </w:rPr>
              <w:t>Взаимоотношения со сверстниками - тема рассказа А.П. Чехова "Мальчики"</w:t>
            </w:r>
          </w:p>
        </w:tc>
      </w:tr>
      <w:tr w14:paraId="5FD978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6306EF8A">
            <w:pPr>
              <w:pStyle w:val="85"/>
              <w:rPr>
                <w:color w:val="auto"/>
                <w:sz w:val="22"/>
                <w:szCs w:val="22"/>
              </w:rPr>
            </w:pPr>
            <w:r>
              <w:rPr>
                <w:color w:val="auto"/>
                <w:sz w:val="22"/>
                <w:szCs w:val="22"/>
              </w:rPr>
              <w:t>Урок 77</w:t>
            </w:r>
          </w:p>
        </w:tc>
        <w:tc>
          <w:tcPr>
            <w:tcW w:w="7937" w:type="dxa"/>
            <w:vAlign w:val="center"/>
          </w:tcPr>
          <w:p w14:paraId="6F47ECD2">
            <w:pPr>
              <w:pStyle w:val="85"/>
              <w:jc w:val="both"/>
              <w:rPr>
                <w:color w:val="auto"/>
                <w:sz w:val="22"/>
                <w:szCs w:val="22"/>
              </w:rPr>
            </w:pPr>
            <w:r>
              <w:rPr>
                <w:color w:val="auto"/>
                <w:sz w:val="22"/>
                <w:szCs w:val="22"/>
              </w:rPr>
              <w:t>Образы героев-детей в рассказе А.П. Чехова "Мальчики"</w:t>
            </w:r>
          </w:p>
        </w:tc>
      </w:tr>
      <w:tr w14:paraId="3F4E5E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691F648D">
            <w:pPr>
              <w:pStyle w:val="85"/>
              <w:rPr>
                <w:color w:val="auto"/>
                <w:sz w:val="22"/>
                <w:szCs w:val="22"/>
              </w:rPr>
            </w:pPr>
            <w:r>
              <w:rPr>
                <w:color w:val="auto"/>
                <w:sz w:val="22"/>
                <w:szCs w:val="22"/>
              </w:rPr>
              <w:t>Урок 78</w:t>
            </w:r>
          </w:p>
        </w:tc>
        <w:tc>
          <w:tcPr>
            <w:tcW w:w="7937" w:type="dxa"/>
            <w:vAlign w:val="center"/>
          </w:tcPr>
          <w:p w14:paraId="714716D2">
            <w:pPr>
              <w:pStyle w:val="85"/>
              <w:jc w:val="both"/>
              <w:rPr>
                <w:color w:val="auto"/>
                <w:sz w:val="22"/>
                <w:szCs w:val="22"/>
              </w:rPr>
            </w:pPr>
            <w:r>
              <w:rPr>
                <w:color w:val="auto"/>
                <w:sz w:val="22"/>
                <w:szCs w:val="22"/>
              </w:rPr>
              <w:t>Соотнесение заглавия и главной мысли рассказа А.П. Чехова "Мальчики"</w:t>
            </w:r>
          </w:p>
        </w:tc>
      </w:tr>
      <w:tr w14:paraId="0C48A0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4B272211">
            <w:pPr>
              <w:pStyle w:val="85"/>
              <w:rPr>
                <w:color w:val="auto"/>
                <w:sz w:val="22"/>
                <w:szCs w:val="22"/>
              </w:rPr>
            </w:pPr>
            <w:r>
              <w:rPr>
                <w:color w:val="auto"/>
                <w:sz w:val="22"/>
                <w:szCs w:val="22"/>
              </w:rPr>
              <w:t>Урок 79</w:t>
            </w:r>
          </w:p>
        </w:tc>
        <w:tc>
          <w:tcPr>
            <w:tcW w:w="7937" w:type="dxa"/>
            <w:vAlign w:val="center"/>
          </w:tcPr>
          <w:p w14:paraId="2E7FBA23">
            <w:pPr>
              <w:pStyle w:val="85"/>
              <w:jc w:val="both"/>
              <w:rPr>
                <w:color w:val="auto"/>
                <w:sz w:val="22"/>
                <w:szCs w:val="22"/>
              </w:rPr>
            </w:pPr>
            <w:r>
              <w:rPr>
                <w:color w:val="auto"/>
                <w:sz w:val="22"/>
                <w:szCs w:val="22"/>
              </w:rPr>
              <w:t>Отличие автора от героя и рассказчика на примере рассказов М.М. Зощенко "О Леньке и Миньке"</w:t>
            </w:r>
          </w:p>
        </w:tc>
      </w:tr>
      <w:tr w14:paraId="60FEA2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5850BB52">
            <w:pPr>
              <w:pStyle w:val="85"/>
              <w:rPr>
                <w:color w:val="auto"/>
                <w:sz w:val="22"/>
                <w:szCs w:val="22"/>
              </w:rPr>
            </w:pPr>
            <w:r>
              <w:rPr>
                <w:color w:val="auto"/>
                <w:sz w:val="22"/>
                <w:szCs w:val="22"/>
              </w:rPr>
              <w:t>Урок 80</w:t>
            </w:r>
          </w:p>
        </w:tc>
        <w:tc>
          <w:tcPr>
            <w:tcW w:w="7937" w:type="dxa"/>
            <w:vAlign w:val="center"/>
          </w:tcPr>
          <w:p w14:paraId="3ED184AC">
            <w:pPr>
              <w:pStyle w:val="85"/>
              <w:jc w:val="both"/>
              <w:rPr>
                <w:color w:val="auto"/>
                <w:sz w:val="22"/>
                <w:szCs w:val="22"/>
              </w:rPr>
            </w:pPr>
            <w:r>
              <w:rPr>
                <w:color w:val="auto"/>
                <w:sz w:val="22"/>
                <w:szCs w:val="22"/>
              </w:rPr>
              <w:t>Отражение нравственно-этических понятий в рассказах М.М. Зощенко "О Леньке и Миньке". На примере рассказа "Не надо врать"</w:t>
            </w:r>
          </w:p>
        </w:tc>
      </w:tr>
      <w:tr w14:paraId="5144D5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3F7DDCDA">
            <w:pPr>
              <w:pStyle w:val="85"/>
              <w:rPr>
                <w:color w:val="auto"/>
                <w:sz w:val="22"/>
                <w:szCs w:val="22"/>
              </w:rPr>
            </w:pPr>
            <w:r>
              <w:rPr>
                <w:color w:val="auto"/>
                <w:sz w:val="22"/>
                <w:szCs w:val="22"/>
              </w:rPr>
              <w:t>Урок 81</w:t>
            </w:r>
          </w:p>
        </w:tc>
        <w:tc>
          <w:tcPr>
            <w:tcW w:w="7937" w:type="dxa"/>
            <w:vAlign w:val="center"/>
          </w:tcPr>
          <w:p w14:paraId="39CE4313">
            <w:pPr>
              <w:pStyle w:val="85"/>
              <w:jc w:val="both"/>
              <w:rPr>
                <w:color w:val="auto"/>
                <w:sz w:val="22"/>
                <w:szCs w:val="22"/>
              </w:rPr>
            </w:pPr>
            <w:r>
              <w:rPr>
                <w:color w:val="auto"/>
                <w:sz w:val="22"/>
                <w:szCs w:val="22"/>
              </w:rPr>
              <w:t>Раскрытие главной мысли рассказов М.М. Зощенко "О Леньке и Миньке". На примере рассказа "Тридцать лет спустя"</w:t>
            </w:r>
          </w:p>
        </w:tc>
      </w:tr>
      <w:tr w14:paraId="1A4478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1A678015">
            <w:pPr>
              <w:pStyle w:val="85"/>
              <w:rPr>
                <w:color w:val="auto"/>
                <w:sz w:val="22"/>
                <w:szCs w:val="22"/>
              </w:rPr>
            </w:pPr>
            <w:r>
              <w:rPr>
                <w:color w:val="auto"/>
                <w:sz w:val="22"/>
                <w:szCs w:val="22"/>
              </w:rPr>
              <w:t>Урок 82</w:t>
            </w:r>
          </w:p>
        </w:tc>
        <w:tc>
          <w:tcPr>
            <w:tcW w:w="7937" w:type="dxa"/>
            <w:vAlign w:val="center"/>
          </w:tcPr>
          <w:p w14:paraId="10D1CC80">
            <w:pPr>
              <w:pStyle w:val="85"/>
              <w:jc w:val="both"/>
              <w:rPr>
                <w:color w:val="auto"/>
                <w:sz w:val="22"/>
                <w:szCs w:val="22"/>
              </w:rPr>
            </w:pPr>
            <w:r>
              <w:rPr>
                <w:color w:val="auto"/>
                <w:sz w:val="22"/>
                <w:szCs w:val="22"/>
              </w:rPr>
              <w:t>Работа с рассказом К.Г. Паустовского "Корзина с еловыми шишками"</w:t>
            </w:r>
          </w:p>
        </w:tc>
      </w:tr>
      <w:tr w14:paraId="2383F4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5D54F5F8">
            <w:pPr>
              <w:pStyle w:val="85"/>
              <w:rPr>
                <w:color w:val="auto"/>
                <w:sz w:val="22"/>
                <w:szCs w:val="22"/>
              </w:rPr>
            </w:pPr>
            <w:r>
              <w:rPr>
                <w:color w:val="auto"/>
                <w:sz w:val="22"/>
                <w:szCs w:val="22"/>
              </w:rPr>
              <w:t>Урок 83</w:t>
            </w:r>
          </w:p>
        </w:tc>
        <w:tc>
          <w:tcPr>
            <w:tcW w:w="7937" w:type="dxa"/>
            <w:vAlign w:val="center"/>
          </w:tcPr>
          <w:p w14:paraId="4D65F86A">
            <w:pPr>
              <w:pStyle w:val="85"/>
              <w:jc w:val="both"/>
              <w:rPr>
                <w:color w:val="auto"/>
                <w:sz w:val="22"/>
                <w:szCs w:val="22"/>
              </w:rPr>
            </w:pPr>
            <w:r>
              <w:rPr>
                <w:color w:val="auto"/>
                <w:sz w:val="22"/>
                <w:szCs w:val="22"/>
              </w:rPr>
              <w:t>Особенности художественного текста-описания: пейзаж, портрет героя, интерьер на примере рассказа К.Г. Паустовского "Корзина с еловыми шишками"</w:t>
            </w:r>
          </w:p>
        </w:tc>
      </w:tr>
      <w:tr w14:paraId="3FD98A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6D84A777">
            <w:pPr>
              <w:pStyle w:val="85"/>
              <w:rPr>
                <w:color w:val="auto"/>
                <w:sz w:val="22"/>
                <w:szCs w:val="22"/>
              </w:rPr>
            </w:pPr>
            <w:r>
              <w:rPr>
                <w:color w:val="auto"/>
                <w:sz w:val="22"/>
                <w:szCs w:val="22"/>
              </w:rPr>
              <w:t>Урок 84</w:t>
            </w:r>
          </w:p>
        </w:tc>
        <w:tc>
          <w:tcPr>
            <w:tcW w:w="7937" w:type="dxa"/>
            <w:vAlign w:val="center"/>
          </w:tcPr>
          <w:p w14:paraId="7C4A0CDE">
            <w:pPr>
              <w:pStyle w:val="85"/>
              <w:jc w:val="both"/>
              <w:rPr>
                <w:color w:val="auto"/>
                <w:sz w:val="22"/>
                <w:szCs w:val="22"/>
              </w:rPr>
            </w:pPr>
            <w:r>
              <w:rPr>
                <w:color w:val="auto"/>
                <w:sz w:val="22"/>
                <w:szCs w:val="22"/>
              </w:rPr>
              <w:t>Тематическое повторение по итогам раздела "Произведения о детях и для детей"</w:t>
            </w:r>
          </w:p>
        </w:tc>
      </w:tr>
      <w:tr w14:paraId="454072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41DA715A">
            <w:pPr>
              <w:pStyle w:val="85"/>
              <w:rPr>
                <w:color w:val="auto"/>
                <w:sz w:val="22"/>
                <w:szCs w:val="22"/>
              </w:rPr>
            </w:pPr>
            <w:r>
              <w:rPr>
                <w:color w:val="auto"/>
                <w:sz w:val="22"/>
                <w:szCs w:val="22"/>
              </w:rPr>
              <w:t>Урок 85</w:t>
            </w:r>
          </w:p>
        </w:tc>
        <w:tc>
          <w:tcPr>
            <w:tcW w:w="7937" w:type="dxa"/>
            <w:vAlign w:val="center"/>
          </w:tcPr>
          <w:p w14:paraId="41C6DAC2">
            <w:pPr>
              <w:pStyle w:val="85"/>
              <w:jc w:val="both"/>
              <w:rPr>
                <w:color w:val="auto"/>
                <w:sz w:val="22"/>
                <w:szCs w:val="22"/>
              </w:rPr>
            </w:pPr>
            <w:r>
              <w:rPr>
                <w:color w:val="auto"/>
                <w:sz w:val="22"/>
                <w:szCs w:val="22"/>
              </w:rPr>
              <w:t>Составление устного рассказа "Герой, который мне больше всего запомнился"</w:t>
            </w:r>
          </w:p>
        </w:tc>
      </w:tr>
      <w:tr w14:paraId="383F45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7D028A87">
            <w:pPr>
              <w:pStyle w:val="85"/>
              <w:rPr>
                <w:color w:val="auto"/>
                <w:sz w:val="22"/>
                <w:szCs w:val="22"/>
              </w:rPr>
            </w:pPr>
            <w:r>
              <w:rPr>
                <w:color w:val="auto"/>
                <w:sz w:val="22"/>
                <w:szCs w:val="22"/>
              </w:rPr>
              <w:t>Урок 86</w:t>
            </w:r>
          </w:p>
        </w:tc>
        <w:tc>
          <w:tcPr>
            <w:tcW w:w="7937" w:type="dxa"/>
            <w:vAlign w:val="center"/>
          </w:tcPr>
          <w:p w14:paraId="3A21B051">
            <w:pPr>
              <w:pStyle w:val="85"/>
              <w:jc w:val="both"/>
              <w:rPr>
                <w:color w:val="auto"/>
                <w:sz w:val="22"/>
                <w:szCs w:val="22"/>
              </w:rPr>
            </w:pPr>
            <w:r>
              <w:rPr>
                <w:color w:val="auto"/>
                <w:sz w:val="22"/>
                <w:szCs w:val="22"/>
              </w:rPr>
              <w:t>Выразительность поэтической речи стихотворения И.С. Никитина "В синем небе плывут над полями..." и другие на выбор</w:t>
            </w:r>
          </w:p>
        </w:tc>
      </w:tr>
      <w:tr w14:paraId="0FC98A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618BBABA">
            <w:pPr>
              <w:pStyle w:val="85"/>
              <w:rPr>
                <w:color w:val="auto"/>
                <w:sz w:val="22"/>
                <w:szCs w:val="22"/>
              </w:rPr>
            </w:pPr>
            <w:r>
              <w:rPr>
                <w:color w:val="auto"/>
                <w:sz w:val="22"/>
                <w:szCs w:val="22"/>
              </w:rPr>
              <w:t>Урок 87</w:t>
            </w:r>
          </w:p>
        </w:tc>
        <w:tc>
          <w:tcPr>
            <w:tcW w:w="7937" w:type="dxa"/>
            <w:vAlign w:val="center"/>
          </w:tcPr>
          <w:p w14:paraId="5C2BB1F3">
            <w:pPr>
              <w:pStyle w:val="85"/>
              <w:jc w:val="both"/>
              <w:rPr>
                <w:color w:val="auto"/>
                <w:sz w:val="22"/>
                <w:szCs w:val="22"/>
              </w:rPr>
            </w:pPr>
            <w:r>
              <w:rPr>
                <w:color w:val="auto"/>
                <w:sz w:val="22"/>
                <w:szCs w:val="22"/>
              </w:rPr>
              <w:t>Темы лирических произведений А.А. Блока. На примере стихотворения "Рождество"</w:t>
            </w:r>
          </w:p>
        </w:tc>
      </w:tr>
      <w:tr w14:paraId="52FFF2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468E9107">
            <w:pPr>
              <w:pStyle w:val="85"/>
              <w:rPr>
                <w:color w:val="auto"/>
                <w:sz w:val="22"/>
                <w:szCs w:val="22"/>
              </w:rPr>
            </w:pPr>
            <w:r>
              <w:rPr>
                <w:color w:val="auto"/>
                <w:sz w:val="22"/>
                <w:szCs w:val="22"/>
              </w:rPr>
              <w:t>Урок 88</w:t>
            </w:r>
          </w:p>
        </w:tc>
        <w:tc>
          <w:tcPr>
            <w:tcW w:w="7937" w:type="dxa"/>
            <w:vAlign w:val="center"/>
          </w:tcPr>
          <w:p w14:paraId="64C8207A">
            <w:pPr>
              <w:pStyle w:val="85"/>
              <w:jc w:val="both"/>
              <w:rPr>
                <w:color w:val="auto"/>
                <w:sz w:val="22"/>
                <w:szCs w:val="22"/>
              </w:rPr>
            </w:pPr>
            <w:r>
              <w:rPr>
                <w:color w:val="auto"/>
                <w:sz w:val="22"/>
                <w:szCs w:val="22"/>
              </w:rPr>
              <w:t>Темы лирических произведений К.Д. Бальмонта. На примере стихотворения "У чудищ"</w:t>
            </w:r>
          </w:p>
        </w:tc>
      </w:tr>
      <w:tr w14:paraId="4A7CAB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0ED9EC5D">
            <w:pPr>
              <w:pStyle w:val="85"/>
              <w:rPr>
                <w:color w:val="auto"/>
                <w:sz w:val="22"/>
                <w:szCs w:val="22"/>
              </w:rPr>
            </w:pPr>
            <w:r>
              <w:rPr>
                <w:color w:val="auto"/>
                <w:sz w:val="22"/>
                <w:szCs w:val="22"/>
              </w:rPr>
              <w:t>Урок 89</w:t>
            </w:r>
          </w:p>
        </w:tc>
        <w:tc>
          <w:tcPr>
            <w:tcW w:w="7937" w:type="dxa"/>
            <w:vAlign w:val="center"/>
          </w:tcPr>
          <w:p w14:paraId="7A8C792B">
            <w:pPr>
              <w:pStyle w:val="85"/>
              <w:jc w:val="both"/>
              <w:rPr>
                <w:color w:val="auto"/>
                <w:sz w:val="22"/>
                <w:szCs w:val="22"/>
              </w:rPr>
            </w:pPr>
            <w:r>
              <w:rPr>
                <w:color w:val="auto"/>
                <w:sz w:val="22"/>
                <w:szCs w:val="22"/>
              </w:rPr>
              <w:t>Средства создания речевой выразительности в стихотворения К.Д. Бальмонта</w:t>
            </w:r>
          </w:p>
        </w:tc>
      </w:tr>
      <w:tr w14:paraId="72BE31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50209484">
            <w:pPr>
              <w:pStyle w:val="85"/>
              <w:rPr>
                <w:color w:val="auto"/>
                <w:sz w:val="22"/>
                <w:szCs w:val="22"/>
              </w:rPr>
            </w:pPr>
            <w:r>
              <w:rPr>
                <w:color w:val="auto"/>
                <w:sz w:val="22"/>
                <w:szCs w:val="22"/>
              </w:rPr>
              <w:t>Урок 90</w:t>
            </w:r>
          </w:p>
        </w:tc>
        <w:tc>
          <w:tcPr>
            <w:tcW w:w="7937" w:type="dxa"/>
            <w:vAlign w:val="center"/>
          </w:tcPr>
          <w:p w14:paraId="143BF8A3">
            <w:pPr>
              <w:pStyle w:val="85"/>
              <w:jc w:val="both"/>
              <w:rPr>
                <w:color w:val="auto"/>
                <w:sz w:val="22"/>
                <w:szCs w:val="22"/>
              </w:rPr>
            </w:pPr>
            <w:r>
              <w:rPr>
                <w:color w:val="auto"/>
                <w:sz w:val="22"/>
                <w:szCs w:val="22"/>
              </w:rPr>
              <w:t>Образное изображение осени в стихотворении И.А. Бунина "Листопад"</w:t>
            </w:r>
          </w:p>
        </w:tc>
      </w:tr>
      <w:tr w14:paraId="4D0659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58928F89">
            <w:pPr>
              <w:pStyle w:val="85"/>
              <w:rPr>
                <w:color w:val="auto"/>
                <w:sz w:val="22"/>
                <w:szCs w:val="22"/>
              </w:rPr>
            </w:pPr>
            <w:r>
              <w:rPr>
                <w:color w:val="auto"/>
                <w:sz w:val="22"/>
                <w:szCs w:val="22"/>
              </w:rPr>
              <w:t>Урок 91</w:t>
            </w:r>
          </w:p>
        </w:tc>
        <w:tc>
          <w:tcPr>
            <w:tcW w:w="7937" w:type="dxa"/>
            <w:vAlign w:val="center"/>
          </w:tcPr>
          <w:p w14:paraId="6A112FB6">
            <w:pPr>
              <w:pStyle w:val="85"/>
              <w:jc w:val="both"/>
              <w:rPr>
                <w:color w:val="auto"/>
                <w:sz w:val="22"/>
                <w:szCs w:val="22"/>
              </w:rPr>
            </w:pPr>
            <w:r>
              <w:rPr>
                <w:color w:val="auto"/>
                <w:sz w:val="22"/>
                <w:szCs w:val="22"/>
              </w:rPr>
              <w:t>Составление устного рассказа по репродукции картины на основе изученных лирических произведений</w:t>
            </w:r>
          </w:p>
        </w:tc>
      </w:tr>
      <w:tr w14:paraId="00F5F9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35D1D842">
            <w:pPr>
              <w:pStyle w:val="85"/>
              <w:rPr>
                <w:color w:val="auto"/>
                <w:sz w:val="22"/>
                <w:szCs w:val="22"/>
              </w:rPr>
            </w:pPr>
            <w:r>
              <w:rPr>
                <w:color w:val="auto"/>
                <w:sz w:val="22"/>
                <w:szCs w:val="22"/>
              </w:rPr>
              <w:t>Урок 92</w:t>
            </w:r>
          </w:p>
        </w:tc>
        <w:tc>
          <w:tcPr>
            <w:tcW w:w="7937" w:type="dxa"/>
            <w:vAlign w:val="center"/>
          </w:tcPr>
          <w:p w14:paraId="1E5F5655">
            <w:pPr>
              <w:pStyle w:val="85"/>
              <w:jc w:val="both"/>
              <w:rPr>
                <w:color w:val="auto"/>
                <w:sz w:val="22"/>
                <w:szCs w:val="22"/>
              </w:rPr>
            </w:pPr>
            <w:r>
              <w:rPr>
                <w:color w:val="auto"/>
                <w:sz w:val="22"/>
                <w:szCs w:val="22"/>
              </w:rPr>
              <w:t>Резервный урок. Выразительность поэтических картин родной природы. На примере стихотворения И.А. Бунина "Детство"</w:t>
            </w:r>
          </w:p>
        </w:tc>
      </w:tr>
      <w:tr w14:paraId="1A00ED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04B3CFD0">
            <w:pPr>
              <w:pStyle w:val="85"/>
              <w:rPr>
                <w:color w:val="auto"/>
                <w:sz w:val="22"/>
                <w:szCs w:val="22"/>
              </w:rPr>
            </w:pPr>
            <w:r>
              <w:rPr>
                <w:color w:val="auto"/>
                <w:sz w:val="22"/>
                <w:szCs w:val="22"/>
              </w:rPr>
              <w:t>Урок 93</w:t>
            </w:r>
          </w:p>
        </w:tc>
        <w:tc>
          <w:tcPr>
            <w:tcW w:w="7937" w:type="dxa"/>
            <w:vAlign w:val="center"/>
          </w:tcPr>
          <w:p w14:paraId="26831596">
            <w:pPr>
              <w:pStyle w:val="85"/>
              <w:jc w:val="both"/>
              <w:rPr>
                <w:color w:val="auto"/>
                <w:sz w:val="22"/>
                <w:szCs w:val="22"/>
              </w:rPr>
            </w:pPr>
            <w:r>
              <w:rPr>
                <w:color w:val="auto"/>
                <w:sz w:val="22"/>
                <w:szCs w:val="22"/>
              </w:rPr>
              <w:t>Человек и животные - тема многих произведений писателей</w:t>
            </w:r>
          </w:p>
        </w:tc>
      </w:tr>
      <w:tr w14:paraId="3EE209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0E721FC3">
            <w:pPr>
              <w:pStyle w:val="85"/>
              <w:rPr>
                <w:color w:val="auto"/>
                <w:sz w:val="22"/>
                <w:szCs w:val="22"/>
              </w:rPr>
            </w:pPr>
            <w:r>
              <w:rPr>
                <w:color w:val="auto"/>
                <w:sz w:val="22"/>
                <w:szCs w:val="22"/>
              </w:rPr>
              <w:t>Урок 94</w:t>
            </w:r>
          </w:p>
        </w:tc>
        <w:tc>
          <w:tcPr>
            <w:tcW w:w="7937" w:type="dxa"/>
            <w:vAlign w:val="center"/>
          </w:tcPr>
          <w:p w14:paraId="4B4E433D">
            <w:pPr>
              <w:pStyle w:val="85"/>
              <w:jc w:val="both"/>
              <w:rPr>
                <w:color w:val="auto"/>
                <w:sz w:val="22"/>
                <w:szCs w:val="22"/>
              </w:rPr>
            </w:pPr>
            <w:r>
              <w:rPr>
                <w:color w:val="auto"/>
                <w:sz w:val="22"/>
                <w:szCs w:val="22"/>
              </w:rPr>
              <w:t>Наблюдательность писателей, выражающаяся в описании жизни животных. На примере рассказа А.И. Куприна "Скворцы"</w:t>
            </w:r>
          </w:p>
        </w:tc>
      </w:tr>
      <w:tr w14:paraId="5A2BAF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6DA47DD4">
            <w:pPr>
              <w:pStyle w:val="85"/>
              <w:rPr>
                <w:color w:val="auto"/>
                <w:sz w:val="22"/>
                <w:szCs w:val="22"/>
              </w:rPr>
            </w:pPr>
            <w:r>
              <w:rPr>
                <w:color w:val="auto"/>
                <w:sz w:val="22"/>
                <w:szCs w:val="22"/>
              </w:rPr>
              <w:t>Урок 95</w:t>
            </w:r>
          </w:p>
        </w:tc>
        <w:tc>
          <w:tcPr>
            <w:tcW w:w="7937" w:type="dxa"/>
            <w:vAlign w:val="center"/>
          </w:tcPr>
          <w:p w14:paraId="21D658CE">
            <w:pPr>
              <w:pStyle w:val="85"/>
              <w:jc w:val="both"/>
              <w:rPr>
                <w:color w:val="auto"/>
                <w:sz w:val="22"/>
                <w:szCs w:val="22"/>
              </w:rPr>
            </w:pPr>
            <w:r>
              <w:rPr>
                <w:color w:val="auto"/>
                <w:sz w:val="22"/>
                <w:szCs w:val="22"/>
              </w:rPr>
              <w:t>Раскрытие темы о бережном отношении человека к природе родного края</w:t>
            </w:r>
          </w:p>
        </w:tc>
      </w:tr>
      <w:tr w14:paraId="63E3B3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61C9D41E">
            <w:pPr>
              <w:pStyle w:val="85"/>
              <w:rPr>
                <w:color w:val="auto"/>
                <w:sz w:val="22"/>
                <w:szCs w:val="22"/>
              </w:rPr>
            </w:pPr>
            <w:r>
              <w:rPr>
                <w:color w:val="auto"/>
                <w:sz w:val="22"/>
                <w:szCs w:val="22"/>
              </w:rPr>
              <w:t>Урок 96</w:t>
            </w:r>
          </w:p>
        </w:tc>
        <w:tc>
          <w:tcPr>
            <w:tcW w:w="7937" w:type="dxa"/>
            <w:vAlign w:val="center"/>
          </w:tcPr>
          <w:p w14:paraId="25E1A30A">
            <w:pPr>
              <w:pStyle w:val="85"/>
              <w:jc w:val="both"/>
              <w:rPr>
                <w:color w:val="auto"/>
                <w:sz w:val="22"/>
                <w:szCs w:val="22"/>
              </w:rPr>
            </w:pPr>
            <w:r>
              <w:rPr>
                <w:color w:val="auto"/>
                <w:sz w:val="22"/>
                <w:szCs w:val="22"/>
              </w:rPr>
              <w:t>Особенности художественного описания родной природы. На примере рассказа В.П. Астафьева "Весенний остров"</w:t>
            </w:r>
          </w:p>
        </w:tc>
      </w:tr>
      <w:tr w14:paraId="46041F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25031BEA">
            <w:pPr>
              <w:pStyle w:val="85"/>
              <w:rPr>
                <w:color w:val="auto"/>
                <w:sz w:val="22"/>
                <w:szCs w:val="22"/>
              </w:rPr>
            </w:pPr>
            <w:r>
              <w:rPr>
                <w:color w:val="auto"/>
                <w:sz w:val="22"/>
                <w:szCs w:val="22"/>
              </w:rPr>
              <w:t>Урок 97</w:t>
            </w:r>
          </w:p>
        </w:tc>
        <w:tc>
          <w:tcPr>
            <w:tcW w:w="7937" w:type="dxa"/>
            <w:vAlign w:val="center"/>
          </w:tcPr>
          <w:p w14:paraId="5D1155E8">
            <w:pPr>
              <w:pStyle w:val="85"/>
              <w:jc w:val="both"/>
              <w:rPr>
                <w:color w:val="auto"/>
                <w:sz w:val="22"/>
                <w:szCs w:val="22"/>
              </w:rPr>
            </w:pPr>
            <w:r>
              <w:rPr>
                <w:color w:val="auto"/>
                <w:sz w:val="22"/>
                <w:szCs w:val="22"/>
              </w:rPr>
              <w:t>Человек и его отношения с животными</w:t>
            </w:r>
          </w:p>
        </w:tc>
      </w:tr>
      <w:tr w14:paraId="6403F4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57E763F1">
            <w:pPr>
              <w:pStyle w:val="85"/>
              <w:rPr>
                <w:color w:val="auto"/>
                <w:sz w:val="22"/>
                <w:szCs w:val="22"/>
              </w:rPr>
            </w:pPr>
            <w:r>
              <w:rPr>
                <w:color w:val="auto"/>
                <w:sz w:val="22"/>
                <w:szCs w:val="22"/>
              </w:rPr>
              <w:t>Урок 98</w:t>
            </w:r>
          </w:p>
        </w:tc>
        <w:tc>
          <w:tcPr>
            <w:tcW w:w="7937" w:type="dxa"/>
            <w:vAlign w:val="center"/>
          </w:tcPr>
          <w:p w14:paraId="6BBB7321">
            <w:pPr>
              <w:pStyle w:val="85"/>
              <w:jc w:val="both"/>
              <w:rPr>
                <w:color w:val="auto"/>
                <w:sz w:val="22"/>
                <w:szCs w:val="22"/>
              </w:rPr>
            </w:pPr>
            <w:r>
              <w:rPr>
                <w:color w:val="auto"/>
                <w:sz w:val="22"/>
                <w:szCs w:val="22"/>
              </w:rPr>
              <w:t>Образ автора в рассказе В.П. Астафьев "Капалуха"</w:t>
            </w:r>
          </w:p>
        </w:tc>
      </w:tr>
      <w:tr w14:paraId="2A5B6E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19EF34C7">
            <w:pPr>
              <w:pStyle w:val="85"/>
              <w:rPr>
                <w:color w:val="auto"/>
                <w:sz w:val="22"/>
                <w:szCs w:val="22"/>
              </w:rPr>
            </w:pPr>
            <w:r>
              <w:rPr>
                <w:color w:val="auto"/>
                <w:sz w:val="22"/>
                <w:szCs w:val="22"/>
              </w:rPr>
              <w:t>Урок 99</w:t>
            </w:r>
          </w:p>
        </w:tc>
        <w:tc>
          <w:tcPr>
            <w:tcW w:w="7937" w:type="dxa"/>
            <w:vAlign w:val="center"/>
          </w:tcPr>
          <w:p w14:paraId="755F01FF">
            <w:pPr>
              <w:pStyle w:val="85"/>
              <w:jc w:val="both"/>
              <w:rPr>
                <w:color w:val="auto"/>
                <w:sz w:val="22"/>
                <w:szCs w:val="22"/>
              </w:rPr>
            </w:pPr>
            <w:r>
              <w:rPr>
                <w:color w:val="auto"/>
                <w:sz w:val="22"/>
                <w:szCs w:val="22"/>
              </w:rPr>
              <w:t>Отражение темы "Материнская любовь" в рассказе В.П. Астафьева "Капалуха" и стихотворении С. Есенина "Лебедушка"</w:t>
            </w:r>
          </w:p>
        </w:tc>
      </w:tr>
      <w:tr w14:paraId="53E4AE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3D7C56ED">
            <w:pPr>
              <w:pStyle w:val="85"/>
              <w:rPr>
                <w:color w:val="auto"/>
                <w:sz w:val="22"/>
                <w:szCs w:val="22"/>
              </w:rPr>
            </w:pPr>
            <w:r>
              <w:rPr>
                <w:color w:val="auto"/>
                <w:sz w:val="22"/>
                <w:szCs w:val="22"/>
              </w:rPr>
              <w:t>Урок 100</w:t>
            </w:r>
          </w:p>
        </w:tc>
        <w:tc>
          <w:tcPr>
            <w:tcW w:w="7937" w:type="dxa"/>
            <w:vAlign w:val="center"/>
          </w:tcPr>
          <w:p w14:paraId="04ED5772">
            <w:pPr>
              <w:pStyle w:val="85"/>
              <w:jc w:val="both"/>
              <w:rPr>
                <w:color w:val="auto"/>
                <w:sz w:val="22"/>
                <w:szCs w:val="22"/>
              </w:rPr>
            </w:pPr>
            <w:r>
              <w:rPr>
                <w:color w:val="auto"/>
                <w:sz w:val="22"/>
                <w:szCs w:val="22"/>
              </w:rPr>
              <w:t>М.М. Пришвин - певец русской природы</w:t>
            </w:r>
          </w:p>
        </w:tc>
      </w:tr>
      <w:tr w14:paraId="77A1C2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32CCCD1F">
            <w:pPr>
              <w:pStyle w:val="85"/>
              <w:rPr>
                <w:color w:val="auto"/>
                <w:sz w:val="22"/>
                <w:szCs w:val="22"/>
              </w:rPr>
            </w:pPr>
            <w:r>
              <w:rPr>
                <w:color w:val="auto"/>
                <w:sz w:val="22"/>
                <w:szCs w:val="22"/>
              </w:rPr>
              <w:t>Урок 101</w:t>
            </w:r>
          </w:p>
        </w:tc>
        <w:tc>
          <w:tcPr>
            <w:tcW w:w="7937" w:type="dxa"/>
            <w:vAlign w:val="center"/>
          </w:tcPr>
          <w:p w14:paraId="1B82D3B0">
            <w:pPr>
              <w:pStyle w:val="85"/>
              <w:jc w:val="both"/>
              <w:rPr>
                <w:color w:val="auto"/>
                <w:sz w:val="22"/>
                <w:szCs w:val="22"/>
              </w:rPr>
            </w:pPr>
            <w:r>
              <w:rPr>
                <w:color w:val="auto"/>
                <w:sz w:val="22"/>
                <w:szCs w:val="22"/>
              </w:rPr>
              <w:t>Авторское мастерство создания образов героев-животных</w:t>
            </w:r>
          </w:p>
        </w:tc>
      </w:tr>
      <w:tr w14:paraId="58BA5A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3B5D1DEA">
            <w:pPr>
              <w:pStyle w:val="85"/>
              <w:rPr>
                <w:color w:val="auto"/>
                <w:sz w:val="22"/>
                <w:szCs w:val="22"/>
              </w:rPr>
            </w:pPr>
            <w:r>
              <w:rPr>
                <w:color w:val="auto"/>
                <w:sz w:val="22"/>
                <w:szCs w:val="22"/>
              </w:rPr>
              <w:t>Урок 102</w:t>
            </w:r>
          </w:p>
        </w:tc>
        <w:tc>
          <w:tcPr>
            <w:tcW w:w="7937" w:type="dxa"/>
            <w:vAlign w:val="center"/>
          </w:tcPr>
          <w:p w14:paraId="05860324">
            <w:pPr>
              <w:pStyle w:val="85"/>
              <w:jc w:val="both"/>
              <w:rPr>
                <w:color w:val="auto"/>
                <w:sz w:val="22"/>
                <w:szCs w:val="22"/>
              </w:rPr>
            </w:pPr>
            <w:r>
              <w:rPr>
                <w:color w:val="auto"/>
                <w:sz w:val="22"/>
                <w:szCs w:val="22"/>
              </w:rPr>
              <w:t>Любовь к природе, взаимоотношения человека и животного - тема многих произведений литературы</w:t>
            </w:r>
          </w:p>
        </w:tc>
      </w:tr>
      <w:tr w14:paraId="47F0C8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0950B31F">
            <w:pPr>
              <w:pStyle w:val="85"/>
              <w:rPr>
                <w:color w:val="auto"/>
                <w:sz w:val="22"/>
                <w:szCs w:val="22"/>
              </w:rPr>
            </w:pPr>
            <w:r>
              <w:rPr>
                <w:color w:val="auto"/>
                <w:sz w:val="22"/>
                <w:szCs w:val="22"/>
              </w:rPr>
              <w:t>Урок 103</w:t>
            </w:r>
          </w:p>
        </w:tc>
        <w:tc>
          <w:tcPr>
            <w:tcW w:w="7937" w:type="dxa"/>
            <w:vAlign w:val="center"/>
          </w:tcPr>
          <w:p w14:paraId="16DF772F">
            <w:pPr>
              <w:pStyle w:val="85"/>
              <w:jc w:val="both"/>
              <w:rPr>
                <w:color w:val="auto"/>
                <w:sz w:val="22"/>
                <w:szCs w:val="22"/>
              </w:rPr>
            </w:pPr>
            <w:r>
              <w:rPr>
                <w:color w:val="auto"/>
                <w:sz w:val="22"/>
                <w:szCs w:val="22"/>
              </w:rPr>
              <w:t>Тематическое повторение по итогам раздела "Произведения о животных и родной природе"</w:t>
            </w:r>
          </w:p>
        </w:tc>
      </w:tr>
      <w:tr w14:paraId="5FFAAD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409BFBDF">
            <w:pPr>
              <w:pStyle w:val="85"/>
              <w:rPr>
                <w:color w:val="auto"/>
                <w:sz w:val="22"/>
                <w:szCs w:val="22"/>
              </w:rPr>
            </w:pPr>
            <w:r>
              <w:rPr>
                <w:color w:val="auto"/>
                <w:sz w:val="22"/>
                <w:szCs w:val="22"/>
              </w:rPr>
              <w:t>Урок 104</w:t>
            </w:r>
          </w:p>
        </w:tc>
        <w:tc>
          <w:tcPr>
            <w:tcW w:w="7937" w:type="dxa"/>
            <w:vAlign w:val="center"/>
          </w:tcPr>
          <w:p w14:paraId="5469D8FA">
            <w:pPr>
              <w:pStyle w:val="85"/>
              <w:jc w:val="both"/>
              <w:rPr>
                <w:color w:val="auto"/>
                <w:sz w:val="22"/>
                <w:szCs w:val="22"/>
              </w:rPr>
            </w:pPr>
            <w:r>
              <w:rPr>
                <w:color w:val="auto"/>
                <w:sz w:val="22"/>
                <w:szCs w:val="22"/>
              </w:rPr>
              <w:t>Писатели - авторы произведений о животных: выставка книг</w:t>
            </w:r>
          </w:p>
        </w:tc>
      </w:tr>
      <w:tr w14:paraId="5A6DE1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2B2207A2">
            <w:pPr>
              <w:pStyle w:val="85"/>
              <w:rPr>
                <w:color w:val="auto"/>
                <w:sz w:val="22"/>
                <w:szCs w:val="22"/>
              </w:rPr>
            </w:pPr>
            <w:r>
              <w:rPr>
                <w:color w:val="auto"/>
                <w:sz w:val="22"/>
                <w:szCs w:val="22"/>
              </w:rPr>
              <w:t>Урок 105</w:t>
            </w:r>
          </w:p>
        </w:tc>
        <w:tc>
          <w:tcPr>
            <w:tcW w:w="7937" w:type="dxa"/>
            <w:vAlign w:val="center"/>
          </w:tcPr>
          <w:p w14:paraId="609CDD60">
            <w:pPr>
              <w:pStyle w:val="85"/>
              <w:jc w:val="both"/>
              <w:rPr>
                <w:color w:val="auto"/>
                <w:sz w:val="22"/>
                <w:szCs w:val="22"/>
              </w:rPr>
            </w:pPr>
            <w:r>
              <w:rPr>
                <w:color w:val="auto"/>
                <w:sz w:val="22"/>
                <w:szCs w:val="22"/>
              </w:rPr>
              <w:t>Знакомство с пьесой как жанром литературы</w:t>
            </w:r>
          </w:p>
        </w:tc>
      </w:tr>
      <w:tr w14:paraId="579D61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3E265049">
            <w:pPr>
              <w:pStyle w:val="85"/>
              <w:rPr>
                <w:color w:val="auto"/>
                <w:sz w:val="22"/>
                <w:szCs w:val="22"/>
              </w:rPr>
            </w:pPr>
            <w:r>
              <w:rPr>
                <w:color w:val="auto"/>
                <w:sz w:val="22"/>
                <w:szCs w:val="22"/>
              </w:rPr>
              <w:t>Урок 106</w:t>
            </w:r>
          </w:p>
        </w:tc>
        <w:tc>
          <w:tcPr>
            <w:tcW w:w="7937" w:type="dxa"/>
            <w:vAlign w:val="center"/>
          </w:tcPr>
          <w:p w14:paraId="64235D84">
            <w:pPr>
              <w:pStyle w:val="85"/>
              <w:jc w:val="both"/>
              <w:rPr>
                <w:color w:val="auto"/>
                <w:sz w:val="22"/>
                <w:szCs w:val="22"/>
              </w:rPr>
            </w:pPr>
            <w:r>
              <w:rPr>
                <w:color w:val="auto"/>
                <w:sz w:val="22"/>
                <w:szCs w:val="22"/>
              </w:rPr>
              <w:t>Пьеса и сказка: драматическое и эпическое произведения, их структурные и жанровые особенности</w:t>
            </w:r>
          </w:p>
        </w:tc>
      </w:tr>
      <w:tr w14:paraId="5FCEAB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1615319E">
            <w:pPr>
              <w:pStyle w:val="85"/>
              <w:rPr>
                <w:color w:val="auto"/>
                <w:sz w:val="22"/>
                <w:szCs w:val="22"/>
              </w:rPr>
            </w:pPr>
            <w:r>
              <w:rPr>
                <w:color w:val="auto"/>
                <w:sz w:val="22"/>
                <w:szCs w:val="22"/>
              </w:rPr>
              <w:t>Урок 107</w:t>
            </w:r>
          </w:p>
        </w:tc>
        <w:tc>
          <w:tcPr>
            <w:tcW w:w="7937" w:type="dxa"/>
            <w:vAlign w:val="center"/>
          </w:tcPr>
          <w:p w14:paraId="165040FB">
            <w:pPr>
              <w:pStyle w:val="85"/>
              <w:jc w:val="both"/>
              <w:rPr>
                <w:color w:val="auto"/>
                <w:sz w:val="22"/>
                <w:szCs w:val="22"/>
              </w:rPr>
            </w:pPr>
            <w:r>
              <w:rPr>
                <w:color w:val="auto"/>
                <w:sz w:val="22"/>
                <w:szCs w:val="22"/>
              </w:rPr>
              <w:t>Работа с пьесой-сказкой С.Я. Маршака "Двенадцать месяцев": сюжет</w:t>
            </w:r>
          </w:p>
        </w:tc>
      </w:tr>
      <w:tr w14:paraId="77C2F9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3441FCBF">
            <w:pPr>
              <w:pStyle w:val="85"/>
              <w:rPr>
                <w:color w:val="auto"/>
                <w:sz w:val="22"/>
                <w:szCs w:val="22"/>
              </w:rPr>
            </w:pPr>
            <w:r>
              <w:rPr>
                <w:color w:val="auto"/>
                <w:sz w:val="22"/>
                <w:szCs w:val="22"/>
              </w:rPr>
              <w:t>Урок 108</w:t>
            </w:r>
          </w:p>
        </w:tc>
        <w:tc>
          <w:tcPr>
            <w:tcW w:w="7937" w:type="dxa"/>
            <w:vAlign w:val="center"/>
          </w:tcPr>
          <w:p w14:paraId="2D68445F">
            <w:pPr>
              <w:pStyle w:val="85"/>
              <w:jc w:val="both"/>
              <w:rPr>
                <w:color w:val="auto"/>
                <w:sz w:val="22"/>
                <w:szCs w:val="22"/>
              </w:rPr>
            </w:pPr>
            <w:r>
              <w:rPr>
                <w:color w:val="auto"/>
                <w:sz w:val="22"/>
                <w:szCs w:val="22"/>
              </w:rPr>
              <w:t>Представление действующих лиц в пьесе (сказке)</w:t>
            </w:r>
          </w:p>
        </w:tc>
      </w:tr>
      <w:tr w14:paraId="7064BD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6EACD959">
            <w:pPr>
              <w:pStyle w:val="85"/>
              <w:rPr>
                <w:color w:val="auto"/>
                <w:sz w:val="22"/>
                <w:szCs w:val="22"/>
              </w:rPr>
            </w:pPr>
            <w:r>
              <w:rPr>
                <w:color w:val="auto"/>
                <w:sz w:val="22"/>
                <w:szCs w:val="22"/>
              </w:rPr>
              <w:t>Урок 109</w:t>
            </w:r>
          </w:p>
        </w:tc>
        <w:tc>
          <w:tcPr>
            <w:tcW w:w="7937" w:type="dxa"/>
            <w:vAlign w:val="center"/>
          </w:tcPr>
          <w:p w14:paraId="679DA3DE">
            <w:pPr>
              <w:pStyle w:val="85"/>
              <w:jc w:val="both"/>
              <w:rPr>
                <w:color w:val="auto"/>
                <w:sz w:val="22"/>
                <w:szCs w:val="22"/>
              </w:rPr>
            </w:pPr>
            <w:r>
              <w:rPr>
                <w:color w:val="auto"/>
                <w:sz w:val="22"/>
                <w:szCs w:val="22"/>
              </w:rPr>
              <w:t>Понимание содержания и назначения авторских ремарок</w:t>
            </w:r>
          </w:p>
        </w:tc>
      </w:tr>
      <w:tr w14:paraId="2AA124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1EE3A7C9">
            <w:pPr>
              <w:pStyle w:val="85"/>
              <w:rPr>
                <w:color w:val="auto"/>
                <w:sz w:val="22"/>
                <w:szCs w:val="22"/>
              </w:rPr>
            </w:pPr>
            <w:r>
              <w:rPr>
                <w:color w:val="auto"/>
                <w:sz w:val="22"/>
                <w:szCs w:val="22"/>
              </w:rPr>
              <w:t>Урок 110</w:t>
            </w:r>
          </w:p>
        </w:tc>
        <w:tc>
          <w:tcPr>
            <w:tcW w:w="7937" w:type="dxa"/>
            <w:vAlign w:val="center"/>
          </w:tcPr>
          <w:p w14:paraId="7A0424B5">
            <w:pPr>
              <w:pStyle w:val="85"/>
              <w:jc w:val="both"/>
              <w:rPr>
                <w:color w:val="auto"/>
                <w:sz w:val="22"/>
                <w:szCs w:val="22"/>
              </w:rPr>
            </w:pPr>
            <w:r>
              <w:rPr>
                <w:color w:val="auto"/>
                <w:sz w:val="22"/>
                <w:szCs w:val="22"/>
              </w:rPr>
              <w:t>Резервный урок. Лирические произведения С.Я. Маршака</w:t>
            </w:r>
          </w:p>
        </w:tc>
      </w:tr>
      <w:tr w14:paraId="63555A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609F7E33">
            <w:pPr>
              <w:pStyle w:val="85"/>
              <w:rPr>
                <w:color w:val="auto"/>
                <w:sz w:val="22"/>
                <w:szCs w:val="22"/>
              </w:rPr>
            </w:pPr>
            <w:r>
              <w:rPr>
                <w:color w:val="auto"/>
                <w:sz w:val="22"/>
                <w:szCs w:val="22"/>
              </w:rPr>
              <w:t>Урок 111</w:t>
            </w:r>
          </w:p>
        </w:tc>
        <w:tc>
          <w:tcPr>
            <w:tcW w:w="7937" w:type="dxa"/>
            <w:vAlign w:val="center"/>
          </w:tcPr>
          <w:p w14:paraId="5292CD49">
            <w:pPr>
              <w:pStyle w:val="85"/>
              <w:jc w:val="both"/>
              <w:rPr>
                <w:color w:val="auto"/>
                <w:sz w:val="22"/>
                <w:szCs w:val="22"/>
              </w:rPr>
            </w:pPr>
            <w:r>
              <w:rPr>
                <w:color w:val="auto"/>
                <w:sz w:val="22"/>
                <w:szCs w:val="22"/>
              </w:rPr>
              <w:t>Резервный урок. С.Я. Маршак - писатель и переводчик</w:t>
            </w:r>
          </w:p>
        </w:tc>
      </w:tr>
      <w:tr w14:paraId="7B9753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3543FEF6">
            <w:pPr>
              <w:pStyle w:val="85"/>
              <w:rPr>
                <w:color w:val="auto"/>
                <w:sz w:val="22"/>
                <w:szCs w:val="22"/>
              </w:rPr>
            </w:pPr>
            <w:r>
              <w:rPr>
                <w:color w:val="auto"/>
                <w:sz w:val="22"/>
                <w:szCs w:val="22"/>
              </w:rPr>
              <w:t>Урок 112</w:t>
            </w:r>
          </w:p>
        </w:tc>
        <w:tc>
          <w:tcPr>
            <w:tcW w:w="7937" w:type="dxa"/>
            <w:vAlign w:val="center"/>
          </w:tcPr>
          <w:p w14:paraId="559C0033">
            <w:pPr>
              <w:pStyle w:val="85"/>
              <w:jc w:val="both"/>
              <w:rPr>
                <w:color w:val="auto"/>
                <w:sz w:val="22"/>
                <w:szCs w:val="22"/>
              </w:rPr>
            </w:pPr>
            <w:r>
              <w:rPr>
                <w:color w:val="auto"/>
                <w:sz w:val="22"/>
                <w:szCs w:val="22"/>
              </w:rPr>
              <w:t>Резервный урок. Работа с детскими книгами "Произведения С.Я. Маршака"</w:t>
            </w:r>
          </w:p>
        </w:tc>
      </w:tr>
      <w:tr w14:paraId="3ACBB9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30D23A6F">
            <w:pPr>
              <w:pStyle w:val="85"/>
              <w:rPr>
                <w:color w:val="auto"/>
                <w:sz w:val="22"/>
                <w:szCs w:val="22"/>
              </w:rPr>
            </w:pPr>
            <w:r>
              <w:rPr>
                <w:color w:val="auto"/>
                <w:sz w:val="22"/>
                <w:szCs w:val="22"/>
              </w:rPr>
              <w:t>Урок 113</w:t>
            </w:r>
          </w:p>
        </w:tc>
        <w:tc>
          <w:tcPr>
            <w:tcW w:w="7937" w:type="dxa"/>
            <w:vAlign w:val="center"/>
          </w:tcPr>
          <w:p w14:paraId="422B5F17">
            <w:pPr>
              <w:pStyle w:val="85"/>
              <w:jc w:val="both"/>
              <w:rPr>
                <w:color w:val="auto"/>
                <w:sz w:val="22"/>
                <w:szCs w:val="22"/>
              </w:rPr>
            </w:pPr>
            <w:r>
              <w:rPr>
                <w:color w:val="auto"/>
                <w:sz w:val="22"/>
                <w:szCs w:val="22"/>
              </w:rPr>
              <w:t>Расширение круга детского чтения. Знакомство с авторами юмористических произведений</w:t>
            </w:r>
          </w:p>
        </w:tc>
      </w:tr>
      <w:tr w14:paraId="75FA8D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70098BD3">
            <w:pPr>
              <w:pStyle w:val="85"/>
              <w:rPr>
                <w:color w:val="auto"/>
                <w:sz w:val="22"/>
                <w:szCs w:val="22"/>
              </w:rPr>
            </w:pPr>
            <w:r>
              <w:rPr>
                <w:color w:val="auto"/>
                <w:sz w:val="22"/>
                <w:szCs w:val="22"/>
              </w:rPr>
              <w:t>Урок 114</w:t>
            </w:r>
          </w:p>
        </w:tc>
        <w:tc>
          <w:tcPr>
            <w:tcW w:w="7937" w:type="dxa"/>
            <w:vAlign w:val="center"/>
          </w:tcPr>
          <w:p w14:paraId="1D377C24">
            <w:pPr>
              <w:pStyle w:val="85"/>
              <w:jc w:val="both"/>
              <w:rPr>
                <w:color w:val="auto"/>
                <w:sz w:val="22"/>
                <w:szCs w:val="22"/>
              </w:rPr>
            </w:pPr>
            <w:r>
              <w:rPr>
                <w:color w:val="auto"/>
                <w:sz w:val="22"/>
                <w:szCs w:val="22"/>
              </w:rPr>
              <w:t>Характеристика героев юмористических произведений</w:t>
            </w:r>
          </w:p>
        </w:tc>
      </w:tr>
      <w:tr w14:paraId="011BE0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74CA9683">
            <w:pPr>
              <w:pStyle w:val="85"/>
              <w:rPr>
                <w:color w:val="auto"/>
                <w:sz w:val="22"/>
                <w:szCs w:val="22"/>
              </w:rPr>
            </w:pPr>
            <w:r>
              <w:rPr>
                <w:color w:val="auto"/>
                <w:sz w:val="22"/>
                <w:szCs w:val="22"/>
              </w:rPr>
              <w:t>Урок 115</w:t>
            </w:r>
          </w:p>
        </w:tc>
        <w:tc>
          <w:tcPr>
            <w:tcW w:w="7937" w:type="dxa"/>
            <w:vAlign w:val="center"/>
          </w:tcPr>
          <w:p w14:paraId="23DF0EE6">
            <w:pPr>
              <w:pStyle w:val="85"/>
              <w:jc w:val="both"/>
              <w:rPr>
                <w:color w:val="auto"/>
                <w:sz w:val="22"/>
                <w:szCs w:val="22"/>
              </w:rPr>
            </w:pPr>
            <w:r>
              <w:rPr>
                <w:color w:val="auto"/>
                <w:sz w:val="22"/>
                <w:szCs w:val="22"/>
              </w:rPr>
              <w:t>Герой юмористических произведений В.Ю. Драгунского. Средства создания юмористического содержания</w:t>
            </w:r>
          </w:p>
        </w:tc>
      </w:tr>
      <w:tr w14:paraId="2760FC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7E13ED63">
            <w:pPr>
              <w:pStyle w:val="85"/>
              <w:rPr>
                <w:color w:val="auto"/>
                <w:sz w:val="22"/>
                <w:szCs w:val="22"/>
              </w:rPr>
            </w:pPr>
            <w:r>
              <w:rPr>
                <w:color w:val="auto"/>
                <w:sz w:val="22"/>
                <w:szCs w:val="22"/>
              </w:rPr>
              <w:t>Урок 116</w:t>
            </w:r>
          </w:p>
        </w:tc>
        <w:tc>
          <w:tcPr>
            <w:tcW w:w="7937" w:type="dxa"/>
            <w:vAlign w:val="center"/>
          </w:tcPr>
          <w:p w14:paraId="6C62763C">
            <w:pPr>
              <w:pStyle w:val="85"/>
              <w:jc w:val="both"/>
              <w:rPr>
                <w:color w:val="auto"/>
                <w:sz w:val="22"/>
                <w:szCs w:val="22"/>
              </w:rPr>
            </w:pPr>
            <w:r>
              <w:rPr>
                <w:color w:val="auto"/>
                <w:sz w:val="22"/>
                <w:szCs w:val="22"/>
              </w:rPr>
              <w:t>Средства выразительности текста юмористического содержания: гипербола</w:t>
            </w:r>
          </w:p>
        </w:tc>
      </w:tr>
      <w:tr w14:paraId="5F5399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7B3164BE">
            <w:pPr>
              <w:pStyle w:val="85"/>
              <w:rPr>
                <w:color w:val="auto"/>
                <w:sz w:val="22"/>
                <w:szCs w:val="22"/>
              </w:rPr>
            </w:pPr>
            <w:r>
              <w:rPr>
                <w:color w:val="auto"/>
                <w:sz w:val="22"/>
                <w:szCs w:val="22"/>
              </w:rPr>
              <w:t>Урок 117</w:t>
            </w:r>
          </w:p>
        </w:tc>
        <w:tc>
          <w:tcPr>
            <w:tcW w:w="7937" w:type="dxa"/>
            <w:vAlign w:val="center"/>
          </w:tcPr>
          <w:p w14:paraId="4FFA8DBD">
            <w:pPr>
              <w:pStyle w:val="85"/>
              <w:jc w:val="both"/>
              <w:rPr>
                <w:color w:val="auto"/>
                <w:sz w:val="22"/>
                <w:szCs w:val="22"/>
              </w:rPr>
            </w:pPr>
            <w:r>
              <w:rPr>
                <w:color w:val="auto"/>
                <w:sz w:val="22"/>
                <w:szCs w:val="22"/>
              </w:rPr>
              <w:t>Средства создания комического в произведениях Н.Н. Носова и других авторов на выбор</w:t>
            </w:r>
          </w:p>
        </w:tc>
      </w:tr>
      <w:tr w14:paraId="07AADB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7C0228C7">
            <w:pPr>
              <w:pStyle w:val="85"/>
              <w:rPr>
                <w:color w:val="auto"/>
                <w:sz w:val="22"/>
                <w:szCs w:val="22"/>
              </w:rPr>
            </w:pPr>
            <w:r>
              <w:rPr>
                <w:color w:val="auto"/>
                <w:sz w:val="22"/>
                <w:szCs w:val="22"/>
              </w:rPr>
              <w:t>Урок 118</w:t>
            </w:r>
          </w:p>
        </w:tc>
        <w:tc>
          <w:tcPr>
            <w:tcW w:w="7937" w:type="dxa"/>
            <w:vAlign w:val="center"/>
          </w:tcPr>
          <w:p w14:paraId="3C3401DB">
            <w:pPr>
              <w:pStyle w:val="85"/>
              <w:jc w:val="both"/>
              <w:rPr>
                <w:color w:val="auto"/>
                <w:sz w:val="22"/>
                <w:szCs w:val="22"/>
              </w:rPr>
            </w:pPr>
            <w:r>
              <w:rPr>
                <w:color w:val="auto"/>
                <w:sz w:val="22"/>
                <w:szCs w:val="22"/>
              </w:rPr>
              <w:t>Знакомство с экранизацией произведений юмористических произведений</w:t>
            </w:r>
          </w:p>
        </w:tc>
      </w:tr>
      <w:tr w14:paraId="249A95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4EA02BAB">
            <w:pPr>
              <w:pStyle w:val="85"/>
              <w:rPr>
                <w:color w:val="auto"/>
                <w:sz w:val="22"/>
                <w:szCs w:val="22"/>
              </w:rPr>
            </w:pPr>
            <w:r>
              <w:rPr>
                <w:color w:val="auto"/>
                <w:sz w:val="22"/>
                <w:szCs w:val="22"/>
              </w:rPr>
              <w:t>Урок 119</w:t>
            </w:r>
          </w:p>
        </w:tc>
        <w:tc>
          <w:tcPr>
            <w:tcW w:w="7937" w:type="dxa"/>
            <w:vAlign w:val="center"/>
          </w:tcPr>
          <w:p w14:paraId="2B4E98D4">
            <w:pPr>
              <w:pStyle w:val="85"/>
              <w:jc w:val="both"/>
              <w:rPr>
                <w:color w:val="auto"/>
                <w:sz w:val="22"/>
                <w:szCs w:val="22"/>
              </w:rPr>
            </w:pPr>
            <w:r>
              <w:rPr>
                <w:color w:val="auto"/>
                <w:sz w:val="22"/>
                <w:szCs w:val="22"/>
              </w:rPr>
              <w:t>Работа с детскими книгам "Юмористические произведения для детей"</w:t>
            </w:r>
          </w:p>
        </w:tc>
      </w:tr>
      <w:tr w14:paraId="4C28B7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5A1907C8">
            <w:pPr>
              <w:pStyle w:val="85"/>
              <w:rPr>
                <w:color w:val="auto"/>
                <w:sz w:val="22"/>
                <w:szCs w:val="22"/>
              </w:rPr>
            </w:pPr>
            <w:r>
              <w:rPr>
                <w:color w:val="auto"/>
                <w:sz w:val="22"/>
                <w:szCs w:val="22"/>
              </w:rPr>
              <w:t>Урок 120</w:t>
            </w:r>
          </w:p>
        </w:tc>
        <w:tc>
          <w:tcPr>
            <w:tcW w:w="7937" w:type="dxa"/>
            <w:vAlign w:val="center"/>
          </w:tcPr>
          <w:p w14:paraId="7DD330AD">
            <w:pPr>
              <w:pStyle w:val="85"/>
              <w:jc w:val="both"/>
              <w:rPr>
                <w:color w:val="auto"/>
                <w:sz w:val="22"/>
                <w:szCs w:val="22"/>
              </w:rPr>
            </w:pPr>
            <w:r>
              <w:rPr>
                <w:color w:val="auto"/>
                <w:sz w:val="22"/>
                <w:szCs w:val="22"/>
              </w:rPr>
              <w:t>Резервный урок. Повторение "Оценим свои достижения"</w:t>
            </w:r>
          </w:p>
        </w:tc>
      </w:tr>
      <w:tr w14:paraId="65AE8A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7ECDDB5E">
            <w:pPr>
              <w:pStyle w:val="85"/>
              <w:rPr>
                <w:color w:val="auto"/>
                <w:sz w:val="22"/>
                <w:szCs w:val="22"/>
              </w:rPr>
            </w:pPr>
            <w:r>
              <w:rPr>
                <w:color w:val="auto"/>
                <w:sz w:val="22"/>
                <w:szCs w:val="22"/>
              </w:rPr>
              <w:t>Урок 121</w:t>
            </w:r>
          </w:p>
        </w:tc>
        <w:tc>
          <w:tcPr>
            <w:tcW w:w="7937" w:type="dxa"/>
            <w:vAlign w:val="center"/>
          </w:tcPr>
          <w:p w14:paraId="70DDAF93">
            <w:pPr>
              <w:pStyle w:val="85"/>
              <w:jc w:val="both"/>
              <w:rPr>
                <w:color w:val="auto"/>
                <w:sz w:val="22"/>
                <w:szCs w:val="22"/>
              </w:rPr>
            </w:pPr>
            <w:r>
              <w:rPr>
                <w:color w:val="auto"/>
                <w:sz w:val="22"/>
                <w:szCs w:val="22"/>
              </w:rPr>
              <w:t>Зарубежные писатели-сказочники: раскрытие главной мысли и особенности композиции</w:t>
            </w:r>
          </w:p>
        </w:tc>
      </w:tr>
      <w:tr w14:paraId="29FC5D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13CA21DD">
            <w:pPr>
              <w:pStyle w:val="85"/>
              <w:rPr>
                <w:color w:val="auto"/>
                <w:sz w:val="22"/>
                <w:szCs w:val="22"/>
              </w:rPr>
            </w:pPr>
            <w:r>
              <w:rPr>
                <w:color w:val="auto"/>
                <w:sz w:val="22"/>
                <w:szCs w:val="22"/>
              </w:rPr>
              <w:t>Урок 122</w:t>
            </w:r>
          </w:p>
        </w:tc>
        <w:tc>
          <w:tcPr>
            <w:tcW w:w="7937" w:type="dxa"/>
            <w:vAlign w:val="center"/>
          </w:tcPr>
          <w:p w14:paraId="3929FE33">
            <w:pPr>
              <w:pStyle w:val="85"/>
              <w:jc w:val="both"/>
              <w:rPr>
                <w:color w:val="auto"/>
                <w:sz w:val="22"/>
                <w:szCs w:val="22"/>
              </w:rPr>
            </w:pPr>
            <w:r>
              <w:rPr>
                <w:color w:val="auto"/>
                <w:sz w:val="22"/>
                <w:szCs w:val="22"/>
              </w:rPr>
              <w:t>Особенности построения (композиция) волшебной сказки: составление плана. На примере сказок зарубежных писателей</w:t>
            </w:r>
          </w:p>
        </w:tc>
      </w:tr>
      <w:tr w14:paraId="1A0FED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34AFD2B4">
            <w:pPr>
              <w:pStyle w:val="85"/>
              <w:rPr>
                <w:color w:val="auto"/>
                <w:sz w:val="22"/>
                <w:szCs w:val="22"/>
              </w:rPr>
            </w:pPr>
            <w:r>
              <w:rPr>
                <w:color w:val="auto"/>
                <w:sz w:val="22"/>
                <w:szCs w:val="22"/>
              </w:rPr>
              <w:t>Урок 123</w:t>
            </w:r>
          </w:p>
        </w:tc>
        <w:tc>
          <w:tcPr>
            <w:tcW w:w="7937" w:type="dxa"/>
            <w:vAlign w:val="center"/>
          </w:tcPr>
          <w:p w14:paraId="43864201">
            <w:pPr>
              <w:pStyle w:val="85"/>
              <w:jc w:val="both"/>
              <w:rPr>
                <w:color w:val="auto"/>
                <w:sz w:val="22"/>
                <w:szCs w:val="22"/>
              </w:rPr>
            </w:pPr>
            <w:r>
              <w:rPr>
                <w:color w:val="auto"/>
                <w:sz w:val="22"/>
                <w:szCs w:val="22"/>
              </w:rPr>
              <w:t>Персонаж-повествователь в произведениях зарубежных писателей</w:t>
            </w:r>
          </w:p>
        </w:tc>
      </w:tr>
      <w:tr w14:paraId="5FE00D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0D610F50">
            <w:pPr>
              <w:pStyle w:val="85"/>
              <w:rPr>
                <w:color w:val="auto"/>
                <w:sz w:val="22"/>
                <w:szCs w:val="22"/>
              </w:rPr>
            </w:pPr>
            <w:r>
              <w:rPr>
                <w:color w:val="auto"/>
                <w:sz w:val="22"/>
                <w:szCs w:val="22"/>
              </w:rPr>
              <w:t>Урок 124</w:t>
            </w:r>
          </w:p>
        </w:tc>
        <w:tc>
          <w:tcPr>
            <w:tcW w:w="7937" w:type="dxa"/>
            <w:vAlign w:val="center"/>
          </w:tcPr>
          <w:p w14:paraId="6E5FC753">
            <w:pPr>
              <w:pStyle w:val="85"/>
              <w:jc w:val="both"/>
              <w:rPr>
                <w:color w:val="auto"/>
                <w:sz w:val="22"/>
                <w:szCs w:val="22"/>
              </w:rPr>
            </w:pPr>
            <w:r>
              <w:rPr>
                <w:color w:val="auto"/>
                <w:sz w:val="22"/>
                <w:szCs w:val="22"/>
              </w:rPr>
              <w:t>Особенности сюжета "Путешествия Гулливера" Д. Свифта (отдельные главы)</w:t>
            </w:r>
          </w:p>
        </w:tc>
      </w:tr>
      <w:tr w14:paraId="2E8274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65A3849E">
            <w:pPr>
              <w:pStyle w:val="85"/>
              <w:rPr>
                <w:color w:val="auto"/>
                <w:sz w:val="22"/>
                <w:szCs w:val="22"/>
              </w:rPr>
            </w:pPr>
            <w:r>
              <w:rPr>
                <w:color w:val="auto"/>
                <w:sz w:val="22"/>
                <w:szCs w:val="22"/>
              </w:rPr>
              <w:t>Урок 125</w:t>
            </w:r>
          </w:p>
        </w:tc>
        <w:tc>
          <w:tcPr>
            <w:tcW w:w="7937" w:type="dxa"/>
            <w:vAlign w:val="center"/>
          </w:tcPr>
          <w:p w14:paraId="4B47B0FC">
            <w:pPr>
              <w:pStyle w:val="85"/>
              <w:jc w:val="both"/>
              <w:rPr>
                <w:color w:val="auto"/>
                <w:sz w:val="22"/>
                <w:szCs w:val="22"/>
              </w:rPr>
            </w:pPr>
            <w:r>
              <w:rPr>
                <w:color w:val="auto"/>
                <w:sz w:val="22"/>
                <w:szCs w:val="22"/>
              </w:rPr>
              <w:t>Характеристика главного героя "Путешествия Гулливера" Д. Свифта (отдельные главы)</w:t>
            </w:r>
          </w:p>
        </w:tc>
      </w:tr>
      <w:tr w14:paraId="713262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54E05622">
            <w:pPr>
              <w:pStyle w:val="85"/>
              <w:rPr>
                <w:color w:val="auto"/>
                <w:sz w:val="22"/>
                <w:szCs w:val="22"/>
              </w:rPr>
            </w:pPr>
            <w:r>
              <w:rPr>
                <w:color w:val="auto"/>
                <w:sz w:val="22"/>
                <w:szCs w:val="22"/>
              </w:rPr>
              <w:t>Урок 126</w:t>
            </w:r>
          </w:p>
        </w:tc>
        <w:tc>
          <w:tcPr>
            <w:tcW w:w="7937" w:type="dxa"/>
            <w:vAlign w:val="center"/>
          </w:tcPr>
          <w:p w14:paraId="41642901">
            <w:pPr>
              <w:pStyle w:val="85"/>
              <w:jc w:val="both"/>
              <w:rPr>
                <w:color w:val="auto"/>
                <w:sz w:val="22"/>
                <w:szCs w:val="22"/>
              </w:rPr>
            </w:pPr>
            <w:r>
              <w:rPr>
                <w:color w:val="auto"/>
                <w:sz w:val="22"/>
                <w:szCs w:val="22"/>
              </w:rPr>
              <w:t>Описание героя в произведении Марка Твена "Том Сойер" (отдельные главы)</w:t>
            </w:r>
          </w:p>
        </w:tc>
      </w:tr>
      <w:tr w14:paraId="2657E9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479FE262">
            <w:pPr>
              <w:pStyle w:val="85"/>
              <w:rPr>
                <w:color w:val="auto"/>
                <w:sz w:val="22"/>
                <w:szCs w:val="22"/>
              </w:rPr>
            </w:pPr>
            <w:r>
              <w:rPr>
                <w:color w:val="auto"/>
                <w:sz w:val="22"/>
                <w:szCs w:val="22"/>
              </w:rPr>
              <w:t>Урок 127</w:t>
            </w:r>
          </w:p>
        </w:tc>
        <w:tc>
          <w:tcPr>
            <w:tcW w:w="7937" w:type="dxa"/>
            <w:vAlign w:val="center"/>
          </w:tcPr>
          <w:p w14:paraId="25A84709">
            <w:pPr>
              <w:pStyle w:val="85"/>
              <w:jc w:val="both"/>
              <w:rPr>
                <w:color w:val="auto"/>
                <w:sz w:val="22"/>
                <w:szCs w:val="22"/>
              </w:rPr>
            </w:pPr>
            <w:r>
              <w:rPr>
                <w:color w:val="auto"/>
                <w:sz w:val="22"/>
                <w:szCs w:val="22"/>
              </w:rPr>
              <w:t>Анализ отдельных эпизодов произведения Марка Твена "Том Сойер" (отдельные главы): средства создания комического</w:t>
            </w:r>
          </w:p>
        </w:tc>
      </w:tr>
      <w:tr w14:paraId="08672B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698ECE1A">
            <w:pPr>
              <w:pStyle w:val="85"/>
              <w:rPr>
                <w:color w:val="auto"/>
                <w:sz w:val="22"/>
                <w:szCs w:val="22"/>
              </w:rPr>
            </w:pPr>
            <w:r>
              <w:rPr>
                <w:color w:val="auto"/>
                <w:sz w:val="22"/>
                <w:szCs w:val="22"/>
              </w:rPr>
              <w:t>Урок 128</w:t>
            </w:r>
          </w:p>
        </w:tc>
        <w:tc>
          <w:tcPr>
            <w:tcW w:w="7937" w:type="dxa"/>
            <w:vAlign w:val="center"/>
          </w:tcPr>
          <w:p w14:paraId="041E38EC">
            <w:pPr>
              <w:pStyle w:val="85"/>
              <w:jc w:val="both"/>
              <w:rPr>
                <w:color w:val="auto"/>
                <w:sz w:val="22"/>
                <w:szCs w:val="22"/>
              </w:rPr>
            </w:pPr>
            <w:r>
              <w:rPr>
                <w:color w:val="auto"/>
                <w:sz w:val="22"/>
                <w:szCs w:val="22"/>
              </w:rPr>
              <w:t>Книги зарубежных писателей</w:t>
            </w:r>
          </w:p>
        </w:tc>
      </w:tr>
      <w:tr w14:paraId="6040DC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1D37B0CB">
            <w:pPr>
              <w:pStyle w:val="85"/>
              <w:rPr>
                <w:color w:val="auto"/>
                <w:sz w:val="22"/>
                <w:szCs w:val="22"/>
              </w:rPr>
            </w:pPr>
            <w:r>
              <w:rPr>
                <w:color w:val="auto"/>
                <w:sz w:val="22"/>
                <w:szCs w:val="22"/>
              </w:rPr>
              <w:t>Урок 129</w:t>
            </w:r>
          </w:p>
        </w:tc>
        <w:tc>
          <w:tcPr>
            <w:tcW w:w="7937" w:type="dxa"/>
            <w:vAlign w:val="center"/>
          </w:tcPr>
          <w:p w14:paraId="7F911974">
            <w:pPr>
              <w:pStyle w:val="85"/>
              <w:jc w:val="both"/>
              <w:rPr>
                <w:color w:val="auto"/>
                <w:sz w:val="22"/>
                <w:szCs w:val="22"/>
              </w:rPr>
            </w:pPr>
            <w:r>
              <w:rPr>
                <w:color w:val="auto"/>
                <w:sz w:val="22"/>
                <w:szCs w:val="22"/>
              </w:rPr>
              <w:t>Осознание ценности чтения для учебы и жизни</w:t>
            </w:r>
          </w:p>
        </w:tc>
      </w:tr>
      <w:tr w14:paraId="5744F8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37DA2E54">
            <w:pPr>
              <w:pStyle w:val="85"/>
              <w:rPr>
                <w:color w:val="auto"/>
                <w:sz w:val="22"/>
                <w:szCs w:val="22"/>
              </w:rPr>
            </w:pPr>
            <w:r>
              <w:rPr>
                <w:color w:val="auto"/>
                <w:sz w:val="22"/>
                <w:szCs w:val="22"/>
              </w:rPr>
              <w:t>Урок 130</w:t>
            </w:r>
          </w:p>
        </w:tc>
        <w:tc>
          <w:tcPr>
            <w:tcW w:w="7937" w:type="dxa"/>
            <w:vAlign w:val="center"/>
          </w:tcPr>
          <w:p w14:paraId="72547E73">
            <w:pPr>
              <w:pStyle w:val="85"/>
              <w:jc w:val="both"/>
              <w:rPr>
                <w:color w:val="auto"/>
                <w:sz w:val="22"/>
                <w:szCs w:val="22"/>
              </w:rPr>
            </w:pPr>
            <w:r>
              <w:rPr>
                <w:color w:val="auto"/>
                <w:sz w:val="22"/>
                <w:szCs w:val="22"/>
              </w:rPr>
              <w:t>Книга как источник информации. Виды информации в книге</w:t>
            </w:r>
          </w:p>
        </w:tc>
      </w:tr>
      <w:tr w14:paraId="104C83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1EA3324C">
            <w:pPr>
              <w:pStyle w:val="85"/>
              <w:rPr>
                <w:color w:val="auto"/>
                <w:sz w:val="22"/>
                <w:szCs w:val="22"/>
              </w:rPr>
            </w:pPr>
            <w:r>
              <w:rPr>
                <w:color w:val="auto"/>
                <w:sz w:val="22"/>
                <w:szCs w:val="22"/>
              </w:rPr>
              <w:t>Урок 131</w:t>
            </w:r>
          </w:p>
        </w:tc>
        <w:tc>
          <w:tcPr>
            <w:tcW w:w="7937" w:type="dxa"/>
            <w:vAlign w:val="center"/>
          </w:tcPr>
          <w:p w14:paraId="2D3A3638">
            <w:pPr>
              <w:pStyle w:val="85"/>
              <w:jc w:val="both"/>
              <w:rPr>
                <w:color w:val="auto"/>
                <w:sz w:val="22"/>
                <w:szCs w:val="22"/>
              </w:rPr>
            </w:pPr>
            <w:r>
              <w:rPr>
                <w:color w:val="auto"/>
                <w:sz w:val="22"/>
                <w:szCs w:val="22"/>
              </w:rPr>
              <w:t>Работа со словарем: поиск необходимой информации</w:t>
            </w:r>
          </w:p>
        </w:tc>
      </w:tr>
      <w:tr w14:paraId="345155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0FAAC219">
            <w:pPr>
              <w:pStyle w:val="85"/>
              <w:rPr>
                <w:color w:val="auto"/>
                <w:sz w:val="22"/>
                <w:szCs w:val="22"/>
              </w:rPr>
            </w:pPr>
            <w:r>
              <w:rPr>
                <w:color w:val="auto"/>
                <w:sz w:val="22"/>
                <w:szCs w:val="22"/>
              </w:rPr>
              <w:t>Урок 132</w:t>
            </w:r>
          </w:p>
        </w:tc>
        <w:tc>
          <w:tcPr>
            <w:tcW w:w="7937" w:type="dxa"/>
            <w:vAlign w:val="center"/>
          </w:tcPr>
          <w:p w14:paraId="60E2B8BD">
            <w:pPr>
              <w:pStyle w:val="85"/>
              <w:jc w:val="both"/>
              <w:rPr>
                <w:color w:val="auto"/>
                <w:sz w:val="22"/>
                <w:szCs w:val="22"/>
              </w:rPr>
            </w:pPr>
            <w:r>
              <w:rPr>
                <w:color w:val="auto"/>
                <w:sz w:val="22"/>
                <w:szCs w:val="22"/>
              </w:rPr>
              <w:t>Книги о приключениях и фантастике</w:t>
            </w:r>
          </w:p>
        </w:tc>
      </w:tr>
      <w:tr w14:paraId="6309A4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75C234D4">
            <w:pPr>
              <w:pStyle w:val="85"/>
              <w:rPr>
                <w:color w:val="auto"/>
                <w:sz w:val="22"/>
                <w:szCs w:val="22"/>
              </w:rPr>
            </w:pPr>
            <w:r>
              <w:rPr>
                <w:color w:val="auto"/>
                <w:sz w:val="22"/>
                <w:szCs w:val="22"/>
              </w:rPr>
              <w:t>Урок 133</w:t>
            </w:r>
          </w:p>
        </w:tc>
        <w:tc>
          <w:tcPr>
            <w:tcW w:w="7937" w:type="dxa"/>
            <w:vAlign w:val="center"/>
          </w:tcPr>
          <w:p w14:paraId="566888BA">
            <w:pPr>
              <w:pStyle w:val="85"/>
              <w:jc w:val="both"/>
              <w:rPr>
                <w:color w:val="auto"/>
                <w:sz w:val="22"/>
                <w:szCs w:val="22"/>
              </w:rPr>
            </w:pPr>
            <w:r>
              <w:rPr>
                <w:color w:val="auto"/>
                <w:sz w:val="22"/>
                <w:szCs w:val="22"/>
              </w:rPr>
              <w:t>Составление устного рассказа "Моя любимая книга"</w:t>
            </w:r>
          </w:p>
        </w:tc>
      </w:tr>
      <w:tr w14:paraId="6646AB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55349D03">
            <w:pPr>
              <w:pStyle w:val="85"/>
              <w:rPr>
                <w:color w:val="auto"/>
                <w:sz w:val="22"/>
                <w:szCs w:val="22"/>
              </w:rPr>
            </w:pPr>
            <w:r>
              <w:rPr>
                <w:color w:val="auto"/>
                <w:sz w:val="22"/>
                <w:szCs w:val="22"/>
              </w:rPr>
              <w:t>Урок 134</w:t>
            </w:r>
          </w:p>
        </w:tc>
        <w:tc>
          <w:tcPr>
            <w:tcW w:w="7937" w:type="dxa"/>
            <w:vAlign w:val="center"/>
          </w:tcPr>
          <w:p w14:paraId="3BB37D30">
            <w:pPr>
              <w:pStyle w:val="85"/>
              <w:jc w:val="both"/>
              <w:rPr>
                <w:color w:val="auto"/>
                <w:sz w:val="22"/>
                <w:szCs w:val="22"/>
              </w:rPr>
            </w:pPr>
            <w:r>
              <w:rPr>
                <w:color w:val="auto"/>
                <w:sz w:val="22"/>
                <w:szCs w:val="22"/>
              </w:rPr>
              <w:t>Знакомство с современными изданиями периодической печати</w:t>
            </w:r>
          </w:p>
        </w:tc>
      </w:tr>
      <w:tr w14:paraId="5B1F8C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4F88F6EB">
            <w:pPr>
              <w:pStyle w:val="85"/>
              <w:rPr>
                <w:color w:val="auto"/>
                <w:sz w:val="22"/>
                <w:szCs w:val="22"/>
              </w:rPr>
            </w:pPr>
            <w:r>
              <w:rPr>
                <w:color w:val="auto"/>
                <w:sz w:val="22"/>
                <w:szCs w:val="22"/>
              </w:rPr>
              <w:t>Урок 135</w:t>
            </w:r>
          </w:p>
        </w:tc>
        <w:tc>
          <w:tcPr>
            <w:tcW w:w="7937" w:type="dxa"/>
            <w:vAlign w:val="center"/>
          </w:tcPr>
          <w:p w14:paraId="11A02E6E">
            <w:pPr>
              <w:pStyle w:val="85"/>
              <w:jc w:val="both"/>
              <w:rPr>
                <w:color w:val="auto"/>
                <w:sz w:val="22"/>
                <w:szCs w:val="22"/>
              </w:rPr>
            </w:pPr>
            <w:r>
              <w:rPr>
                <w:color w:val="auto"/>
                <w:sz w:val="22"/>
                <w:szCs w:val="22"/>
              </w:rPr>
              <w:t>Резервный урок. Знакомство с детскими журналами: "Веселые картинки", "Мурзилка" и другие</w:t>
            </w:r>
          </w:p>
        </w:tc>
      </w:tr>
      <w:tr w14:paraId="5E1A99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57F757E0">
            <w:pPr>
              <w:pStyle w:val="85"/>
              <w:rPr>
                <w:color w:val="auto"/>
                <w:sz w:val="22"/>
                <w:szCs w:val="22"/>
              </w:rPr>
            </w:pPr>
            <w:r>
              <w:rPr>
                <w:color w:val="auto"/>
                <w:sz w:val="22"/>
                <w:szCs w:val="22"/>
              </w:rPr>
              <w:t>Урок 136</w:t>
            </w:r>
          </w:p>
        </w:tc>
        <w:tc>
          <w:tcPr>
            <w:tcW w:w="7937" w:type="dxa"/>
            <w:vAlign w:val="center"/>
          </w:tcPr>
          <w:p w14:paraId="23BCB376">
            <w:pPr>
              <w:pStyle w:val="85"/>
              <w:jc w:val="both"/>
              <w:rPr>
                <w:color w:val="auto"/>
                <w:sz w:val="22"/>
                <w:szCs w:val="22"/>
              </w:rPr>
            </w:pPr>
            <w:r>
              <w:rPr>
                <w:color w:val="auto"/>
                <w:sz w:val="22"/>
                <w:szCs w:val="22"/>
              </w:rPr>
              <w:t>Рекомендации по летнему чтению. Правила читателя и способы выбора книги (тематический, систематический каталог)</w:t>
            </w:r>
          </w:p>
        </w:tc>
      </w:tr>
      <w:tr w14:paraId="6B765F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9071" w:type="dxa"/>
            <w:gridSpan w:val="2"/>
            <w:vAlign w:val="center"/>
          </w:tcPr>
          <w:p w14:paraId="2323AB6F">
            <w:pPr>
              <w:pStyle w:val="85"/>
              <w:jc w:val="both"/>
              <w:rPr>
                <w:color w:val="auto"/>
                <w:sz w:val="22"/>
                <w:szCs w:val="22"/>
              </w:rPr>
            </w:pPr>
            <w:r>
              <w:rPr>
                <w:color w:val="auto"/>
                <w:sz w:val="22"/>
                <w:szCs w:val="22"/>
              </w:rPr>
              <w:t>ОБЩЕЕ КОЛИЧЕСТВО УРОКОВ ПО ПРОГРАММЕ: 136, из них уроков, отведенных на контрольные работы (в том числе Всероссийские проверочные работы), - не более 13</w:t>
            </w:r>
          </w:p>
        </w:tc>
      </w:tr>
    </w:tbl>
    <w:p w14:paraId="07E9337B">
      <w:pPr>
        <w:pStyle w:val="85"/>
        <w:jc w:val="both"/>
        <w:rPr>
          <w:color w:val="auto"/>
          <w:sz w:val="22"/>
          <w:szCs w:val="22"/>
        </w:rPr>
      </w:pPr>
    </w:p>
    <w:p w14:paraId="754EEDC3">
      <w:pPr>
        <w:pStyle w:val="85"/>
        <w:ind w:firstLine="540"/>
        <w:jc w:val="both"/>
        <w:rPr>
          <w:color w:val="auto"/>
          <w:sz w:val="22"/>
          <w:szCs w:val="22"/>
        </w:rPr>
      </w:pPr>
      <w:r>
        <w:rPr>
          <w:color w:val="auto"/>
          <w:sz w:val="22"/>
          <w:szCs w:val="22"/>
        </w:rPr>
        <w:t>21.12. В федеральных и региональных процедурах оценки качества образования используется перечень (кодификатор) распределенных по классам проверяемых требований к результатам освоения основной образовательной программы начального общего образования и элементов содержания по литературному чтению.</w:t>
      </w:r>
    </w:p>
    <w:p w14:paraId="35D2F092">
      <w:pPr>
        <w:pStyle w:val="85"/>
        <w:ind w:firstLine="540"/>
        <w:jc w:val="both"/>
        <w:rPr>
          <w:color w:val="auto"/>
          <w:sz w:val="22"/>
          <w:szCs w:val="22"/>
        </w:rPr>
      </w:pPr>
    </w:p>
    <w:p w14:paraId="088420AC">
      <w:pPr>
        <w:pStyle w:val="85"/>
        <w:jc w:val="right"/>
        <w:rPr>
          <w:color w:val="auto"/>
          <w:sz w:val="22"/>
          <w:szCs w:val="22"/>
        </w:rPr>
      </w:pPr>
      <w:r>
        <w:rPr>
          <w:color w:val="auto"/>
          <w:sz w:val="22"/>
          <w:szCs w:val="22"/>
        </w:rPr>
        <w:t>Таблица 5</w:t>
      </w:r>
    </w:p>
    <w:p w14:paraId="71E05153">
      <w:pPr>
        <w:pStyle w:val="85"/>
        <w:ind w:firstLine="540"/>
        <w:jc w:val="both"/>
        <w:rPr>
          <w:color w:val="auto"/>
          <w:sz w:val="22"/>
          <w:szCs w:val="22"/>
        </w:rPr>
      </w:pPr>
    </w:p>
    <w:p w14:paraId="362DF524">
      <w:pPr>
        <w:pStyle w:val="85"/>
        <w:jc w:val="center"/>
        <w:rPr>
          <w:color w:val="auto"/>
          <w:sz w:val="22"/>
          <w:szCs w:val="22"/>
        </w:rPr>
      </w:pPr>
      <w:r>
        <w:rPr>
          <w:color w:val="auto"/>
          <w:sz w:val="22"/>
          <w:szCs w:val="22"/>
        </w:rPr>
        <w:t>Проверяемые требования к результатам освоения основной</w:t>
      </w:r>
    </w:p>
    <w:p w14:paraId="19A20152">
      <w:pPr>
        <w:pStyle w:val="85"/>
        <w:jc w:val="center"/>
        <w:rPr>
          <w:color w:val="auto"/>
          <w:sz w:val="22"/>
          <w:szCs w:val="22"/>
        </w:rPr>
      </w:pPr>
      <w:r>
        <w:rPr>
          <w:color w:val="auto"/>
          <w:sz w:val="22"/>
          <w:szCs w:val="22"/>
        </w:rPr>
        <w:t>образовательной программы (1 класс)</w:t>
      </w:r>
    </w:p>
    <w:p w14:paraId="1E77FDDD">
      <w:pPr>
        <w:pStyle w:val="85"/>
        <w:ind w:firstLine="540"/>
        <w:jc w:val="both"/>
        <w:rPr>
          <w:color w:val="auto"/>
          <w:sz w:val="22"/>
          <w:szCs w:val="22"/>
        </w:rPr>
      </w:pPr>
    </w:p>
    <w:tbl>
      <w:tblPr>
        <w:tblStyle w:val="1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02" w:type="dxa"/>
          <w:left w:w="62" w:type="dxa"/>
          <w:bottom w:w="102" w:type="dxa"/>
          <w:right w:w="62" w:type="dxa"/>
        </w:tblCellMar>
      </w:tblPr>
      <w:tblGrid>
        <w:gridCol w:w="1701"/>
        <w:gridCol w:w="7370"/>
      </w:tblGrid>
      <w:tr w14:paraId="738A6D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701" w:type="dxa"/>
          </w:tcPr>
          <w:p w14:paraId="2E962535">
            <w:pPr>
              <w:pStyle w:val="85"/>
              <w:jc w:val="center"/>
              <w:rPr>
                <w:color w:val="auto"/>
                <w:sz w:val="22"/>
                <w:szCs w:val="22"/>
              </w:rPr>
            </w:pPr>
            <w:r>
              <w:rPr>
                <w:color w:val="auto"/>
                <w:sz w:val="22"/>
                <w:szCs w:val="22"/>
              </w:rPr>
              <w:t>Код проверяемого результата</w:t>
            </w:r>
          </w:p>
        </w:tc>
        <w:tc>
          <w:tcPr>
            <w:tcW w:w="7370" w:type="dxa"/>
          </w:tcPr>
          <w:p w14:paraId="0FB3D467">
            <w:pPr>
              <w:pStyle w:val="85"/>
              <w:jc w:val="center"/>
              <w:rPr>
                <w:color w:val="auto"/>
                <w:sz w:val="22"/>
                <w:szCs w:val="22"/>
              </w:rPr>
            </w:pPr>
            <w:r>
              <w:rPr>
                <w:color w:val="auto"/>
                <w:sz w:val="22"/>
                <w:szCs w:val="22"/>
              </w:rPr>
              <w:t>Проверяемые предметные результаты освоения основной образовательной программы начального общего образования</w:t>
            </w:r>
          </w:p>
        </w:tc>
      </w:tr>
      <w:tr w14:paraId="04DB0B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701" w:type="dxa"/>
          </w:tcPr>
          <w:p w14:paraId="481A4A56">
            <w:pPr>
              <w:pStyle w:val="85"/>
              <w:jc w:val="center"/>
              <w:rPr>
                <w:color w:val="auto"/>
                <w:sz w:val="22"/>
                <w:szCs w:val="22"/>
              </w:rPr>
            </w:pPr>
            <w:r>
              <w:rPr>
                <w:color w:val="auto"/>
                <w:sz w:val="22"/>
                <w:szCs w:val="22"/>
              </w:rPr>
              <w:t>1.1</w:t>
            </w:r>
          </w:p>
        </w:tc>
        <w:tc>
          <w:tcPr>
            <w:tcW w:w="7370" w:type="dxa"/>
          </w:tcPr>
          <w:p w14:paraId="0E121D4E">
            <w:pPr>
              <w:pStyle w:val="85"/>
              <w:jc w:val="both"/>
              <w:rPr>
                <w:color w:val="auto"/>
                <w:sz w:val="22"/>
                <w:szCs w:val="22"/>
              </w:rPr>
            </w:pPr>
            <w:r>
              <w:rPr>
                <w:color w:val="auto"/>
                <w:sz w:val="22"/>
                <w:szCs w:val="22"/>
              </w:rPr>
              <w:t>понимать ценность чтения для решения учебных задач и применения в различных жизненных ситуациях: отвечать на вопрос о важности чтения для личного развития</w:t>
            </w:r>
          </w:p>
        </w:tc>
      </w:tr>
      <w:tr w14:paraId="6FAAA0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701" w:type="dxa"/>
          </w:tcPr>
          <w:p w14:paraId="153F547B">
            <w:pPr>
              <w:pStyle w:val="85"/>
              <w:jc w:val="center"/>
              <w:rPr>
                <w:color w:val="auto"/>
                <w:sz w:val="22"/>
                <w:szCs w:val="22"/>
              </w:rPr>
            </w:pPr>
            <w:r>
              <w:rPr>
                <w:color w:val="auto"/>
                <w:sz w:val="22"/>
                <w:szCs w:val="22"/>
              </w:rPr>
              <w:t>1.2</w:t>
            </w:r>
          </w:p>
        </w:tc>
        <w:tc>
          <w:tcPr>
            <w:tcW w:w="7370" w:type="dxa"/>
          </w:tcPr>
          <w:p w14:paraId="207E10D8">
            <w:pPr>
              <w:pStyle w:val="85"/>
              <w:jc w:val="both"/>
              <w:rPr>
                <w:color w:val="auto"/>
                <w:sz w:val="22"/>
                <w:szCs w:val="22"/>
              </w:rPr>
            </w:pPr>
            <w:r>
              <w:rPr>
                <w:color w:val="auto"/>
                <w:sz w:val="22"/>
                <w:szCs w:val="22"/>
              </w:rPr>
              <w:t>находить в художественных произведениях отражение нравственных ценностей, традиций, быта разных народов</w:t>
            </w:r>
          </w:p>
        </w:tc>
      </w:tr>
      <w:tr w14:paraId="518AF9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701" w:type="dxa"/>
          </w:tcPr>
          <w:p w14:paraId="509C46A9">
            <w:pPr>
              <w:pStyle w:val="85"/>
              <w:jc w:val="center"/>
              <w:rPr>
                <w:color w:val="auto"/>
                <w:sz w:val="22"/>
                <w:szCs w:val="22"/>
              </w:rPr>
            </w:pPr>
            <w:r>
              <w:rPr>
                <w:color w:val="auto"/>
                <w:sz w:val="22"/>
                <w:szCs w:val="22"/>
              </w:rPr>
              <w:t>1.3</w:t>
            </w:r>
          </w:p>
        </w:tc>
        <w:tc>
          <w:tcPr>
            <w:tcW w:w="7370" w:type="dxa"/>
          </w:tcPr>
          <w:p w14:paraId="43ED47F3">
            <w:pPr>
              <w:pStyle w:val="85"/>
              <w:jc w:val="both"/>
              <w:rPr>
                <w:color w:val="auto"/>
                <w:sz w:val="22"/>
                <w:szCs w:val="22"/>
              </w:rPr>
            </w:pPr>
            <w:r>
              <w:rPr>
                <w:color w:val="auto"/>
                <w:sz w:val="22"/>
                <w:szCs w:val="22"/>
              </w:rPr>
              <w:t>владеть техникой слогового плавного чтения с переходом на чтение целыми словами, читать осознанно вслух целыми словами без пропусков и перестановок букв и слогов доступные для восприятия и небольшие по объему произведения в темпе не менее 30 слов в минуту (без отметочного оценивания)</w:t>
            </w:r>
          </w:p>
        </w:tc>
      </w:tr>
      <w:tr w14:paraId="66DF04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701" w:type="dxa"/>
          </w:tcPr>
          <w:p w14:paraId="0E268364">
            <w:pPr>
              <w:pStyle w:val="85"/>
              <w:jc w:val="center"/>
              <w:rPr>
                <w:color w:val="auto"/>
                <w:sz w:val="22"/>
                <w:szCs w:val="22"/>
              </w:rPr>
            </w:pPr>
            <w:r>
              <w:rPr>
                <w:color w:val="auto"/>
                <w:sz w:val="22"/>
                <w:szCs w:val="22"/>
              </w:rPr>
              <w:t>1.4</w:t>
            </w:r>
          </w:p>
        </w:tc>
        <w:tc>
          <w:tcPr>
            <w:tcW w:w="7370" w:type="dxa"/>
          </w:tcPr>
          <w:p w14:paraId="6FD3F8D7">
            <w:pPr>
              <w:pStyle w:val="85"/>
              <w:jc w:val="both"/>
              <w:rPr>
                <w:color w:val="auto"/>
                <w:sz w:val="22"/>
                <w:szCs w:val="22"/>
              </w:rPr>
            </w:pPr>
            <w:r>
              <w:rPr>
                <w:color w:val="auto"/>
                <w:sz w:val="22"/>
                <w:szCs w:val="22"/>
              </w:rPr>
              <w:t>читать наизусть с соблюдением орфоэпических и пунктуационных норм не менее 2 стихотворений о Родине, о детях, о семье, о родной природе в разные времена года</w:t>
            </w:r>
          </w:p>
        </w:tc>
      </w:tr>
      <w:tr w14:paraId="415C86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701" w:type="dxa"/>
          </w:tcPr>
          <w:p w14:paraId="7E7F8CE0">
            <w:pPr>
              <w:pStyle w:val="85"/>
              <w:jc w:val="center"/>
              <w:rPr>
                <w:color w:val="auto"/>
                <w:sz w:val="22"/>
                <w:szCs w:val="22"/>
              </w:rPr>
            </w:pPr>
            <w:r>
              <w:rPr>
                <w:color w:val="auto"/>
                <w:sz w:val="22"/>
                <w:szCs w:val="22"/>
              </w:rPr>
              <w:t>1.5</w:t>
            </w:r>
          </w:p>
        </w:tc>
        <w:tc>
          <w:tcPr>
            <w:tcW w:w="7370" w:type="dxa"/>
          </w:tcPr>
          <w:p w14:paraId="3A5854F5">
            <w:pPr>
              <w:pStyle w:val="85"/>
              <w:jc w:val="both"/>
              <w:rPr>
                <w:color w:val="auto"/>
                <w:sz w:val="22"/>
                <w:szCs w:val="22"/>
              </w:rPr>
            </w:pPr>
            <w:r>
              <w:rPr>
                <w:color w:val="auto"/>
                <w:sz w:val="22"/>
                <w:szCs w:val="22"/>
              </w:rPr>
              <w:t>различать прозаическую (нестихотворную) и стихотворную речь</w:t>
            </w:r>
          </w:p>
        </w:tc>
      </w:tr>
      <w:tr w14:paraId="555E9B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701" w:type="dxa"/>
          </w:tcPr>
          <w:p w14:paraId="7EDA55D6">
            <w:pPr>
              <w:pStyle w:val="85"/>
              <w:jc w:val="center"/>
              <w:rPr>
                <w:color w:val="auto"/>
                <w:sz w:val="22"/>
                <w:szCs w:val="22"/>
              </w:rPr>
            </w:pPr>
            <w:r>
              <w:rPr>
                <w:color w:val="auto"/>
                <w:sz w:val="22"/>
                <w:szCs w:val="22"/>
              </w:rPr>
              <w:t>1.6</w:t>
            </w:r>
          </w:p>
        </w:tc>
        <w:tc>
          <w:tcPr>
            <w:tcW w:w="7370" w:type="dxa"/>
          </w:tcPr>
          <w:p w14:paraId="7DDA8E09">
            <w:pPr>
              <w:pStyle w:val="85"/>
              <w:jc w:val="both"/>
              <w:rPr>
                <w:color w:val="auto"/>
                <w:sz w:val="22"/>
                <w:szCs w:val="22"/>
              </w:rPr>
            </w:pPr>
            <w:r>
              <w:rPr>
                <w:color w:val="auto"/>
                <w:sz w:val="22"/>
                <w:szCs w:val="22"/>
              </w:rPr>
              <w:t>различать отдельные жанры фольклора (устного народного творчества) и художественной литературы (загадки, пословицы, потешки, сказки (фольклорные и литературные), рассказы, стихотворения)</w:t>
            </w:r>
          </w:p>
        </w:tc>
      </w:tr>
      <w:tr w14:paraId="78BEB1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701" w:type="dxa"/>
          </w:tcPr>
          <w:p w14:paraId="2137E618">
            <w:pPr>
              <w:pStyle w:val="85"/>
              <w:jc w:val="center"/>
              <w:rPr>
                <w:color w:val="auto"/>
                <w:sz w:val="22"/>
                <w:szCs w:val="22"/>
              </w:rPr>
            </w:pPr>
            <w:r>
              <w:rPr>
                <w:color w:val="auto"/>
                <w:sz w:val="22"/>
                <w:szCs w:val="22"/>
              </w:rPr>
              <w:t>1.7</w:t>
            </w:r>
          </w:p>
        </w:tc>
        <w:tc>
          <w:tcPr>
            <w:tcW w:w="7370" w:type="dxa"/>
          </w:tcPr>
          <w:p w14:paraId="2DC9E66B">
            <w:pPr>
              <w:pStyle w:val="85"/>
              <w:jc w:val="both"/>
              <w:rPr>
                <w:color w:val="auto"/>
                <w:sz w:val="22"/>
                <w:szCs w:val="22"/>
              </w:rPr>
            </w:pPr>
            <w:r>
              <w:rPr>
                <w:color w:val="auto"/>
                <w:sz w:val="22"/>
                <w:szCs w:val="22"/>
              </w:rPr>
              <w:t>понимать содержание прослушанного (прочитанного) произведения: отвечать на вопросы по фактическому содержанию произведения</w:t>
            </w:r>
          </w:p>
        </w:tc>
      </w:tr>
      <w:tr w14:paraId="7C40AF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701" w:type="dxa"/>
          </w:tcPr>
          <w:p w14:paraId="6E08A038">
            <w:pPr>
              <w:pStyle w:val="85"/>
              <w:jc w:val="center"/>
              <w:rPr>
                <w:color w:val="auto"/>
                <w:sz w:val="22"/>
                <w:szCs w:val="22"/>
              </w:rPr>
            </w:pPr>
            <w:r>
              <w:rPr>
                <w:color w:val="auto"/>
                <w:sz w:val="22"/>
                <w:szCs w:val="22"/>
              </w:rPr>
              <w:t>1.8</w:t>
            </w:r>
          </w:p>
        </w:tc>
        <w:tc>
          <w:tcPr>
            <w:tcW w:w="7370" w:type="dxa"/>
          </w:tcPr>
          <w:p w14:paraId="57FC13A5">
            <w:pPr>
              <w:pStyle w:val="85"/>
              <w:jc w:val="both"/>
              <w:rPr>
                <w:color w:val="auto"/>
                <w:sz w:val="22"/>
                <w:szCs w:val="22"/>
              </w:rPr>
            </w:pPr>
            <w:r>
              <w:rPr>
                <w:color w:val="auto"/>
                <w:sz w:val="22"/>
                <w:szCs w:val="22"/>
              </w:rPr>
              <w:t>владеть элементарными умениями анализа текста прослушанного (прочитанного) произведения: определять последовательность событий в произведении, характеризовать поступки (положительные или отрицательные) героя, объяснять значение незнакомого слова с использованием словаря</w:t>
            </w:r>
          </w:p>
        </w:tc>
      </w:tr>
      <w:tr w14:paraId="45DCC1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701" w:type="dxa"/>
          </w:tcPr>
          <w:p w14:paraId="0090DF94">
            <w:pPr>
              <w:pStyle w:val="85"/>
              <w:jc w:val="center"/>
              <w:rPr>
                <w:color w:val="auto"/>
                <w:sz w:val="22"/>
                <w:szCs w:val="22"/>
              </w:rPr>
            </w:pPr>
            <w:r>
              <w:rPr>
                <w:color w:val="auto"/>
                <w:sz w:val="22"/>
                <w:szCs w:val="22"/>
              </w:rPr>
              <w:t>1.9</w:t>
            </w:r>
          </w:p>
        </w:tc>
        <w:tc>
          <w:tcPr>
            <w:tcW w:w="7370" w:type="dxa"/>
          </w:tcPr>
          <w:p w14:paraId="563CDF3C">
            <w:pPr>
              <w:pStyle w:val="85"/>
              <w:jc w:val="both"/>
              <w:rPr>
                <w:color w:val="auto"/>
                <w:sz w:val="22"/>
                <w:szCs w:val="22"/>
              </w:rPr>
            </w:pPr>
            <w:r>
              <w:rPr>
                <w:color w:val="auto"/>
                <w:sz w:val="22"/>
                <w:szCs w:val="22"/>
              </w:rPr>
              <w:t>участвовать в обсуждении прослушанного (прочитанного) произведения: отвечать на вопросы о впечатлении от произведения, использовать в беседе изученные литературные понятия (автор, герой, тема, идея, заголовок, содержание произведения), подтверждать свой ответ примерами из текста</w:t>
            </w:r>
          </w:p>
        </w:tc>
      </w:tr>
      <w:tr w14:paraId="3A0DB3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701" w:type="dxa"/>
          </w:tcPr>
          <w:p w14:paraId="2527C223">
            <w:pPr>
              <w:pStyle w:val="85"/>
              <w:jc w:val="center"/>
              <w:rPr>
                <w:color w:val="auto"/>
                <w:sz w:val="22"/>
                <w:szCs w:val="22"/>
              </w:rPr>
            </w:pPr>
            <w:r>
              <w:rPr>
                <w:color w:val="auto"/>
                <w:sz w:val="22"/>
                <w:szCs w:val="22"/>
              </w:rPr>
              <w:t>1.10</w:t>
            </w:r>
          </w:p>
        </w:tc>
        <w:tc>
          <w:tcPr>
            <w:tcW w:w="7370" w:type="dxa"/>
          </w:tcPr>
          <w:p w14:paraId="659E2047">
            <w:pPr>
              <w:pStyle w:val="85"/>
              <w:jc w:val="both"/>
              <w:rPr>
                <w:color w:val="auto"/>
                <w:sz w:val="22"/>
                <w:szCs w:val="22"/>
              </w:rPr>
            </w:pPr>
            <w:r>
              <w:rPr>
                <w:color w:val="auto"/>
                <w:sz w:val="22"/>
                <w:szCs w:val="22"/>
              </w:rPr>
              <w:t>пересказывать (устно) содержание произведения с соблюдением последовательности событий, с использованием предложенных ключевых слов, вопросов, рисунков, предложенного плана</w:t>
            </w:r>
          </w:p>
        </w:tc>
      </w:tr>
      <w:tr w14:paraId="2728DD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701" w:type="dxa"/>
          </w:tcPr>
          <w:p w14:paraId="256C1FEC">
            <w:pPr>
              <w:pStyle w:val="85"/>
              <w:jc w:val="center"/>
              <w:rPr>
                <w:color w:val="auto"/>
                <w:sz w:val="22"/>
                <w:szCs w:val="22"/>
              </w:rPr>
            </w:pPr>
            <w:r>
              <w:rPr>
                <w:color w:val="auto"/>
                <w:sz w:val="22"/>
                <w:szCs w:val="22"/>
              </w:rPr>
              <w:t>1.11</w:t>
            </w:r>
          </w:p>
        </w:tc>
        <w:tc>
          <w:tcPr>
            <w:tcW w:w="7370" w:type="dxa"/>
          </w:tcPr>
          <w:p w14:paraId="100BD012">
            <w:pPr>
              <w:pStyle w:val="85"/>
              <w:jc w:val="both"/>
              <w:rPr>
                <w:color w:val="auto"/>
                <w:sz w:val="22"/>
                <w:szCs w:val="22"/>
              </w:rPr>
            </w:pPr>
            <w:r>
              <w:rPr>
                <w:color w:val="auto"/>
                <w:sz w:val="22"/>
                <w:szCs w:val="22"/>
              </w:rPr>
              <w:t>читать по ролям с соблюдением норм произношения, расстановки ударения</w:t>
            </w:r>
          </w:p>
        </w:tc>
      </w:tr>
      <w:tr w14:paraId="2AF7A6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701" w:type="dxa"/>
          </w:tcPr>
          <w:p w14:paraId="46F7E2AD">
            <w:pPr>
              <w:pStyle w:val="85"/>
              <w:jc w:val="center"/>
              <w:rPr>
                <w:color w:val="auto"/>
                <w:sz w:val="22"/>
                <w:szCs w:val="22"/>
              </w:rPr>
            </w:pPr>
            <w:r>
              <w:rPr>
                <w:color w:val="auto"/>
                <w:sz w:val="22"/>
                <w:szCs w:val="22"/>
              </w:rPr>
              <w:t>1.12</w:t>
            </w:r>
          </w:p>
        </w:tc>
        <w:tc>
          <w:tcPr>
            <w:tcW w:w="7370" w:type="dxa"/>
          </w:tcPr>
          <w:p w14:paraId="3F41705E">
            <w:pPr>
              <w:pStyle w:val="85"/>
              <w:jc w:val="both"/>
              <w:rPr>
                <w:color w:val="auto"/>
                <w:sz w:val="22"/>
                <w:szCs w:val="22"/>
              </w:rPr>
            </w:pPr>
            <w:r>
              <w:rPr>
                <w:color w:val="auto"/>
                <w:sz w:val="22"/>
                <w:szCs w:val="22"/>
              </w:rPr>
              <w:t>составлять высказывания по содержанию произведения (не менее 3 предложений) по заданному алгоритму</w:t>
            </w:r>
          </w:p>
        </w:tc>
      </w:tr>
      <w:tr w14:paraId="4483F7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701" w:type="dxa"/>
          </w:tcPr>
          <w:p w14:paraId="2777B921">
            <w:pPr>
              <w:pStyle w:val="85"/>
              <w:jc w:val="center"/>
              <w:rPr>
                <w:color w:val="auto"/>
                <w:sz w:val="22"/>
                <w:szCs w:val="22"/>
              </w:rPr>
            </w:pPr>
            <w:r>
              <w:rPr>
                <w:color w:val="auto"/>
                <w:sz w:val="22"/>
                <w:szCs w:val="22"/>
              </w:rPr>
              <w:t>1.13</w:t>
            </w:r>
          </w:p>
        </w:tc>
        <w:tc>
          <w:tcPr>
            <w:tcW w:w="7370" w:type="dxa"/>
          </w:tcPr>
          <w:p w14:paraId="4D02B9F8">
            <w:pPr>
              <w:pStyle w:val="85"/>
              <w:jc w:val="both"/>
              <w:rPr>
                <w:color w:val="auto"/>
                <w:sz w:val="22"/>
                <w:szCs w:val="22"/>
              </w:rPr>
            </w:pPr>
            <w:r>
              <w:rPr>
                <w:color w:val="auto"/>
                <w:sz w:val="22"/>
                <w:szCs w:val="22"/>
              </w:rPr>
              <w:t>сочинять небольшие тексты по предложенному началу (не менее 3 предложений)</w:t>
            </w:r>
          </w:p>
        </w:tc>
      </w:tr>
      <w:tr w14:paraId="1D2F73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701" w:type="dxa"/>
          </w:tcPr>
          <w:p w14:paraId="311A2801">
            <w:pPr>
              <w:pStyle w:val="85"/>
              <w:jc w:val="center"/>
              <w:rPr>
                <w:color w:val="auto"/>
                <w:sz w:val="22"/>
                <w:szCs w:val="22"/>
              </w:rPr>
            </w:pPr>
            <w:r>
              <w:rPr>
                <w:color w:val="auto"/>
                <w:sz w:val="22"/>
                <w:szCs w:val="22"/>
              </w:rPr>
              <w:t>1.14</w:t>
            </w:r>
          </w:p>
        </w:tc>
        <w:tc>
          <w:tcPr>
            <w:tcW w:w="7370" w:type="dxa"/>
          </w:tcPr>
          <w:p w14:paraId="07E702BB">
            <w:pPr>
              <w:pStyle w:val="85"/>
              <w:jc w:val="both"/>
              <w:rPr>
                <w:color w:val="auto"/>
                <w:sz w:val="22"/>
                <w:szCs w:val="22"/>
              </w:rPr>
            </w:pPr>
            <w:r>
              <w:rPr>
                <w:color w:val="auto"/>
                <w:sz w:val="22"/>
                <w:szCs w:val="22"/>
              </w:rPr>
              <w:t>ориентироваться в книге (учебнике) по обложке, оглавлению, иллюстрациям;</w:t>
            </w:r>
          </w:p>
          <w:p w14:paraId="4D0BE954">
            <w:pPr>
              <w:pStyle w:val="85"/>
              <w:jc w:val="both"/>
              <w:rPr>
                <w:color w:val="auto"/>
                <w:sz w:val="22"/>
                <w:szCs w:val="22"/>
              </w:rPr>
            </w:pPr>
            <w:r>
              <w:rPr>
                <w:color w:val="auto"/>
                <w:sz w:val="22"/>
                <w:szCs w:val="22"/>
              </w:rPr>
              <w:t>выбирать книги для самостоятельного чтения по совету взрослого и с учетом рекомендованного учителем списка, рассказывать о прочитанной книге по предложенному алгоритму</w:t>
            </w:r>
          </w:p>
        </w:tc>
      </w:tr>
      <w:tr w14:paraId="3EFBB5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701" w:type="dxa"/>
          </w:tcPr>
          <w:p w14:paraId="42222C64">
            <w:pPr>
              <w:pStyle w:val="85"/>
              <w:jc w:val="center"/>
              <w:rPr>
                <w:color w:val="auto"/>
                <w:sz w:val="22"/>
                <w:szCs w:val="22"/>
              </w:rPr>
            </w:pPr>
            <w:r>
              <w:rPr>
                <w:color w:val="auto"/>
                <w:sz w:val="22"/>
                <w:szCs w:val="22"/>
              </w:rPr>
              <w:t>1.15</w:t>
            </w:r>
          </w:p>
        </w:tc>
        <w:tc>
          <w:tcPr>
            <w:tcW w:w="7370" w:type="dxa"/>
          </w:tcPr>
          <w:p w14:paraId="24031F0D">
            <w:pPr>
              <w:pStyle w:val="85"/>
              <w:jc w:val="both"/>
              <w:rPr>
                <w:color w:val="auto"/>
                <w:sz w:val="22"/>
                <w:szCs w:val="22"/>
              </w:rPr>
            </w:pPr>
            <w:r>
              <w:rPr>
                <w:color w:val="auto"/>
                <w:sz w:val="22"/>
                <w:szCs w:val="22"/>
              </w:rPr>
              <w:t>обращаться к справочной литературе для получения дополнительной информации в соответствии с учебной задачей</w:t>
            </w:r>
          </w:p>
        </w:tc>
      </w:tr>
    </w:tbl>
    <w:p w14:paraId="2FA8436A">
      <w:pPr>
        <w:pStyle w:val="85"/>
        <w:ind w:firstLine="540"/>
        <w:jc w:val="both"/>
        <w:rPr>
          <w:color w:val="auto"/>
          <w:sz w:val="22"/>
          <w:szCs w:val="22"/>
        </w:rPr>
      </w:pPr>
    </w:p>
    <w:p w14:paraId="4E749E7C">
      <w:pPr>
        <w:pStyle w:val="85"/>
        <w:jc w:val="right"/>
        <w:rPr>
          <w:color w:val="auto"/>
          <w:sz w:val="22"/>
          <w:szCs w:val="22"/>
        </w:rPr>
      </w:pPr>
      <w:r>
        <w:rPr>
          <w:color w:val="auto"/>
          <w:sz w:val="22"/>
          <w:szCs w:val="22"/>
        </w:rPr>
        <w:t>Таблица 5.1</w:t>
      </w:r>
    </w:p>
    <w:p w14:paraId="405562D7">
      <w:pPr>
        <w:pStyle w:val="85"/>
        <w:ind w:firstLine="540"/>
        <w:jc w:val="both"/>
        <w:rPr>
          <w:color w:val="auto"/>
          <w:sz w:val="22"/>
          <w:szCs w:val="22"/>
        </w:rPr>
      </w:pPr>
    </w:p>
    <w:p w14:paraId="02A9BBD0">
      <w:pPr>
        <w:pStyle w:val="85"/>
        <w:jc w:val="center"/>
        <w:rPr>
          <w:color w:val="auto"/>
          <w:sz w:val="22"/>
          <w:szCs w:val="22"/>
        </w:rPr>
      </w:pPr>
      <w:r>
        <w:rPr>
          <w:color w:val="auto"/>
          <w:sz w:val="22"/>
          <w:szCs w:val="22"/>
        </w:rPr>
        <w:t>Проверяемые элементы содержания (1 класс)</w:t>
      </w:r>
    </w:p>
    <w:p w14:paraId="05B40174">
      <w:pPr>
        <w:pStyle w:val="85"/>
        <w:ind w:firstLine="540"/>
        <w:jc w:val="both"/>
        <w:rPr>
          <w:color w:val="auto"/>
          <w:sz w:val="22"/>
          <w:szCs w:val="22"/>
        </w:rPr>
      </w:pPr>
    </w:p>
    <w:tbl>
      <w:tblPr>
        <w:tblStyle w:val="1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02" w:type="dxa"/>
          <w:left w:w="62" w:type="dxa"/>
          <w:bottom w:w="102" w:type="dxa"/>
          <w:right w:w="62" w:type="dxa"/>
        </w:tblCellMar>
      </w:tblPr>
      <w:tblGrid>
        <w:gridCol w:w="1077"/>
        <w:gridCol w:w="7994"/>
      </w:tblGrid>
      <w:tr w14:paraId="6C7FFF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077" w:type="dxa"/>
          </w:tcPr>
          <w:p w14:paraId="1278692D">
            <w:pPr>
              <w:pStyle w:val="85"/>
              <w:jc w:val="center"/>
              <w:rPr>
                <w:color w:val="auto"/>
                <w:sz w:val="22"/>
                <w:szCs w:val="22"/>
              </w:rPr>
            </w:pPr>
            <w:r>
              <w:rPr>
                <w:color w:val="auto"/>
                <w:sz w:val="22"/>
                <w:szCs w:val="22"/>
              </w:rPr>
              <w:t>Код</w:t>
            </w:r>
          </w:p>
        </w:tc>
        <w:tc>
          <w:tcPr>
            <w:tcW w:w="7994" w:type="dxa"/>
          </w:tcPr>
          <w:p w14:paraId="2C3E4357">
            <w:pPr>
              <w:pStyle w:val="85"/>
              <w:jc w:val="center"/>
              <w:rPr>
                <w:color w:val="auto"/>
                <w:sz w:val="22"/>
                <w:szCs w:val="22"/>
              </w:rPr>
            </w:pPr>
            <w:r>
              <w:rPr>
                <w:color w:val="auto"/>
                <w:sz w:val="22"/>
                <w:szCs w:val="22"/>
              </w:rPr>
              <w:t>Проверяемый элемент содержания</w:t>
            </w:r>
          </w:p>
        </w:tc>
      </w:tr>
      <w:tr w14:paraId="162688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077" w:type="dxa"/>
          </w:tcPr>
          <w:p w14:paraId="599BBF66">
            <w:pPr>
              <w:pStyle w:val="85"/>
              <w:jc w:val="center"/>
              <w:rPr>
                <w:color w:val="auto"/>
                <w:sz w:val="22"/>
                <w:szCs w:val="22"/>
              </w:rPr>
            </w:pPr>
            <w:r>
              <w:rPr>
                <w:color w:val="auto"/>
                <w:sz w:val="22"/>
                <w:szCs w:val="22"/>
              </w:rPr>
              <w:t>1</w:t>
            </w:r>
          </w:p>
        </w:tc>
        <w:tc>
          <w:tcPr>
            <w:tcW w:w="7994" w:type="dxa"/>
          </w:tcPr>
          <w:p w14:paraId="29C3B878">
            <w:pPr>
              <w:pStyle w:val="85"/>
              <w:jc w:val="both"/>
              <w:rPr>
                <w:color w:val="auto"/>
                <w:sz w:val="22"/>
                <w:szCs w:val="22"/>
              </w:rPr>
            </w:pPr>
            <w:r>
              <w:rPr>
                <w:color w:val="auto"/>
                <w:sz w:val="22"/>
                <w:szCs w:val="22"/>
              </w:rPr>
              <w:t>Сказка фольклорная (народная) о животных и литературная (авторская) (не менее четырех произведений)</w:t>
            </w:r>
          </w:p>
        </w:tc>
      </w:tr>
      <w:tr w14:paraId="059FFA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077" w:type="dxa"/>
          </w:tcPr>
          <w:p w14:paraId="075C7892">
            <w:pPr>
              <w:pStyle w:val="85"/>
              <w:jc w:val="center"/>
              <w:rPr>
                <w:color w:val="auto"/>
                <w:sz w:val="22"/>
                <w:szCs w:val="22"/>
              </w:rPr>
            </w:pPr>
            <w:r>
              <w:rPr>
                <w:color w:val="auto"/>
                <w:sz w:val="22"/>
                <w:szCs w:val="22"/>
              </w:rPr>
              <w:t>1.1</w:t>
            </w:r>
          </w:p>
        </w:tc>
        <w:tc>
          <w:tcPr>
            <w:tcW w:w="7994" w:type="dxa"/>
          </w:tcPr>
          <w:p w14:paraId="04FCF6FD">
            <w:pPr>
              <w:pStyle w:val="85"/>
              <w:jc w:val="both"/>
              <w:rPr>
                <w:color w:val="auto"/>
                <w:sz w:val="22"/>
                <w:szCs w:val="22"/>
              </w:rPr>
            </w:pPr>
            <w:r>
              <w:rPr>
                <w:color w:val="auto"/>
                <w:sz w:val="22"/>
                <w:szCs w:val="22"/>
              </w:rPr>
              <w:t>Народные сказки о животных, например, "Лисица и тетерев", "Лиса и рак" и другие</w:t>
            </w:r>
          </w:p>
        </w:tc>
      </w:tr>
      <w:tr w14:paraId="33488D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077" w:type="dxa"/>
          </w:tcPr>
          <w:p w14:paraId="3BCC4F75">
            <w:pPr>
              <w:pStyle w:val="85"/>
              <w:jc w:val="center"/>
              <w:rPr>
                <w:color w:val="auto"/>
                <w:sz w:val="22"/>
                <w:szCs w:val="22"/>
              </w:rPr>
            </w:pPr>
            <w:r>
              <w:rPr>
                <w:color w:val="auto"/>
                <w:sz w:val="22"/>
                <w:szCs w:val="22"/>
              </w:rPr>
              <w:t>1.2</w:t>
            </w:r>
          </w:p>
        </w:tc>
        <w:tc>
          <w:tcPr>
            <w:tcW w:w="7994" w:type="dxa"/>
          </w:tcPr>
          <w:p w14:paraId="3D924B8C">
            <w:pPr>
              <w:pStyle w:val="85"/>
              <w:jc w:val="both"/>
              <w:rPr>
                <w:color w:val="auto"/>
                <w:sz w:val="22"/>
                <w:szCs w:val="22"/>
              </w:rPr>
            </w:pPr>
            <w:r>
              <w:rPr>
                <w:color w:val="auto"/>
                <w:sz w:val="22"/>
                <w:szCs w:val="22"/>
              </w:rPr>
              <w:t>Литературные (авторские) сказки, например, К.Д. Ушинского "Петух и собака", сказки В.Г. Сутеева "Кораблик", "Под грибом" и другие (по выбору)</w:t>
            </w:r>
          </w:p>
        </w:tc>
      </w:tr>
      <w:tr w14:paraId="3B0AF3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077" w:type="dxa"/>
          </w:tcPr>
          <w:p w14:paraId="2C549DAD">
            <w:pPr>
              <w:pStyle w:val="85"/>
              <w:jc w:val="center"/>
              <w:rPr>
                <w:color w:val="auto"/>
                <w:sz w:val="22"/>
                <w:szCs w:val="22"/>
              </w:rPr>
            </w:pPr>
            <w:r>
              <w:rPr>
                <w:color w:val="auto"/>
                <w:sz w:val="22"/>
                <w:szCs w:val="22"/>
              </w:rPr>
              <w:t>2</w:t>
            </w:r>
          </w:p>
        </w:tc>
        <w:tc>
          <w:tcPr>
            <w:tcW w:w="7994" w:type="dxa"/>
          </w:tcPr>
          <w:p w14:paraId="386188AB">
            <w:pPr>
              <w:pStyle w:val="85"/>
              <w:jc w:val="both"/>
              <w:rPr>
                <w:color w:val="auto"/>
                <w:sz w:val="22"/>
                <w:szCs w:val="22"/>
              </w:rPr>
            </w:pPr>
            <w:r>
              <w:rPr>
                <w:color w:val="auto"/>
                <w:sz w:val="22"/>
                <w:szCs w:val="22"/>
              </w:rPr>
              <w:t>Произведения о детях разных жанров: рассказ, стихотворение (на примере не менее шести произведений К.Д. Ушинского, Л.Н. Толстого, Е.А. Пермяка, В.А. Осеевой, А.Л. Барто, Ю.И. Ермолаева и других).</w:t>
            </w:r>
          </w:p>
          <w:p w14:paraId="377D7F2D">
            <w:pPr>
              <w:pStyle w:val="85"/>
              <w:jc w:val="both"/>
              <w:rPr>
                <w:color w:val="auto"/>
                <w:sz w:val="22"/>
                <w:szCs w:val="22"/>
              </w:rPr>
            </w:pPr>
            <w:r>
              <w:rPr>
                <w:color w:val="auto"/>
                <w:sz w:val="22"/>
                <w:szCs w:val="22"/>
              </w:rPr>
              <w:t>К.Д. Ушинский "Худо тому, кто добра не делает никому", Л.Н. Толстой "Косточка", Е.А. Пермяк "Торопливый ножик", В.А. Осеева "Три товарища", А.Л. Барто "Я - лишний", Ю.И. Ермолаев "Лучший друг" и другие (по выбору)</w:t>
            </w:r>
          </w:p>
        </w:tc>
      </w:tr>
      <w:tr w14:paraId="6FD3D3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077" w:type="dxa"/>
          </w:tcPr>
          <w:p w14:paraId="44474FBE">
            <w:pPr>
              <w:pStyle w:val="85"/>
              <w:jc w:val="center"/>
              <w:rPr>
                <w:color w:val="auto"/>
                <w:sz w:val="22"/>
                <w:szCs w:val="22"/>
              </w:rPr>
            </w:pPr>
            <w:r>
              <w:rPr>
                <w:color w:val="auto"/>
                <w:sz w:val="22"/>
                <w:szCs w:val="22"/>
              </w:rPr>
              <w:t>3</w:t>
            </w:r>
          </w:p>
        </w:tc>
        <w:tc>
          <w:tcPr>
            <w:tcW w:w="7994" w:type="dxa"/>
          </w:tcPr>
          <w:p w14:paraId="16E9E48C">
            <w:pPr>
              <w:pStyle w:val="85"/>
              <w:jc w:val="both"/>
              <w:rPr>
                <w:color w:val="auto"/>
                <w:sz w:val="22"/>
                <w:szCs w:val="22"/>
              </w:rPr>
            </w:pPr>
            <w:r>
              <w:rPr>
                <w:color w:val="auto"/>
                <w:sz w:val="22"/>
                <w:szCs w:val="22"/>
              </w:rPr>
              <w:t>Произведения о родной природе (на примере трех-четырех доступных произведений А.К. Толстого, А.Н. Плещеева, Е.Ф. Трутневой, С.Я. Маршака и другие)</w:t>
            </w:r>
          </w:p>
        </w:tc>
      </w:tr>
      <w:tr w14:paraId="00DFEC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077" w:type="dxa"/>
          </w:tcPr>
          <w:p w14:paraId="3F3E5B15">
            <w:pPr>
              <w:pStyle w:val="85"/>
              <w:jc w:val="center"/>
              <w:rPr>
                <w:color w:val="auto"/>
                <w:sz w:val="22"/>
                <w:szCs w:val="22"/>
              </w:rPr>
            </w:pPr>
            <w:r>
              <w:rPr>
                <w:color w:val="auto"/>
                <w:sz w:val="22"/>
                <w:szCs w:val="22"/>
              </w:rPr>
              <w:t>4</w:t>
            </w:r>
          </w:p>
        </w:tc>
        <w:tc>
          <w:tcPr>
            <w:tcW w:w="7994" w:type="dxa"/>
          </w:tcPr>
          <w:p w14:paraId="47ABB7F3">
            <w:pPr>
              <w:pStyle w:val="85"/>
              <w:jc w:val="both"/>
              <w:rPr>
                <w:color w:val="auto"/>
                <w:sz w:val="22"/>
                <w:szCs w:val="22"/>
              </w:rPr>
            </w:pPr>
            <w:r>
              <w:rPr>
                <w:color w:val="auto"/>
                <w:sz w:val="22"/>
                <w:szCs w:val="22"/>
              </w:rPr>
              <w:t>Малые фольклорные жанры: потешка, загадка, пословица (не менее шести произведений)</w:t>
            </w:r>
          </w:p>
        </w:tc>
      </w:tr>
      <w:tr w14:paraId="6275AA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077" w:type="dxa"/>
          </w:tcPr>
          <w:p w14:paraId="6096D3D8">
            <w:pPr>
              <w:pStyle w:val="85"/>
              <w:jc w:val="center"/>
              <w:rPr>
                <w:color w:val="auto"/>
                <w:sz w:val="22"/>
                <w:szCs w:val="22"/>
              </w:rPr>
            </w:pPr>
            <w:r>
              <w:rPr>
                <w:color w:val="auto"/>
                <w:sz w:val="22"/>
                <w:szCs w:val="22"/>
              </w:rPr>
              <w:t>5</w:t>
            </w:r>
          </w:p>
        </w:tc>
        <w:tc>
          <w:tcPr>
            <w:tcW w:w="7994" w:type="dxa"/>
          </w:tcPr>
          <w:p w14:paraId="54B4F26A">
            <w:pPr>
              <w:pStyle w:val="85"/>
              <w:jc w:val="both"/>
              <w:rPr>
                <w:color w:val="auto"/>
                <w:sz w:val="22"/>
                <w:szCs w:val="22"/>
              </w:rPr>
            </w:pPr>
            <w:r>
              <w:rPr>
                <w:color w:val="auto"/>
                <w:sz w:val="22"/>
                <w:szCs w:val="22"/>
              </w:rPr>
              <w:t>Произведения о братьях наших меньших В.В. Бианки, Е.И. Чарушина, М.М. Пришвина, Н.И. Сладкова и другие (три-четыре автора по выбору).</w:t>
            </w:r>
          </w:p>
          <w:p w14:paraId="400B74CD">
            <w:pPr>
              <w:pStyle w:val="85"/>
              <w:jc w:val="both"/>
              <w:rPr>
                <w:color w:val="auto"/>
                <w:sz w:val="22"/>
                <w:szCs w:val="22"/>
              </w:rPr>
            </w:pPr>
            <w:r>
              <w:rPr>
                <w:color w:val="auto"/>
                <w:sz w:val="22"/>
                <w:szCs w:val="22"/>
              </w:rPr>
              <w:t>В.В. Бианки "Лис и Мышонок", Е.И. Чарушин "Про Томку", М.М. Пришвин "Еж", Н.И. Сладков "Лисица и Еж" и другие</w:t>
            </w:r>
          </w:p>
        </w:tc>
      </w:tr>
      <w:tr w14:paraId="2B0227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077" w:type="dxa"/>
          </w:tcPr>
          <w:p w14:paraId="4DBB5A84">
            <w:pPr>
              <w:pStyle w:val="85"/>
              <w:jc w:val="center"/>
              <w:rPr>
                <w:color w:val="auto"/>
                <w:sz w:val="22"/>
                <w:szCs w:val="22"/>
              </w:rPr>
            </w:pPr>
            <w:r>
              <w:rPr>
                <w:color w:val="auto"/>
                <w:sz w:val="22"/>
                <w:szCs w:val="22"/>
              </w:rPr>
              <w:t>6</w:t>
            </w:r>
          </w:p>
        </w:tc>
        <w:tc>
          <w:tcPr>
            <w:tcW w:w="7994" w:type="dxa"/>
          </w:tcPr>
          <w:p w14:paraId="3FC5DE39">
            <w:pPr>
              <w:pStyle w:val="85"/>
              <w:jc w:val="both"/>
              <w:rPr>
                <w:color w:val="auto"/>
                <w:sz w:val="22"/>
                <w:szCs w:val="22"/>
              </w:rPr>
            </w:pPr>
            <w:r>
              <w:rPr>
                <w:color w:val="auto"/>
                <w:sz w:val="22"/>
                <w:szCs w:val="22"/>
              </w:rPr>
              <w:t>Произведения о маме (не менее одного автора по выбору, на примере произведений Е.А. Благининой, А.Л. Барто, А.В. Митяева и других). Е.А. Благинина "Посидим в тишине", А.Л. Барто "Мама", А.В. Митяев "За что я люблю маму" и другие (по выбору)</w:t>
            </w:r>
          </w:p>
        </w:tc>
      </w:tr>
      <w:tr w14:paraId="4F7FF4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077" w:type="dxa"/>
          </w:tcPr>
          <w:p w14:paraId="3EDBD102">
            <w:pPr>
              <w:pStyle w:val="85"/>
              <w:jc w:val="center"/>
              <w:rPr>
                <w:color w:val="auto"/>
                <w:sz w:val="22"/>
                <w:szCs w:val="22"/>
              </w:rPr>
            </w:pPr>
            <w:r>
              <w:rPr>
                <w:color w:val="auto"/>
                <w:sz w:val="22"/>
                <w:szCs w:val="22"/>
              </w:rPr>
              <w:t>7</w:t>
            </w:r>
          </w:p>
        </w:tc>
        <w:tc>
          <w:tcPr>
            <w:tcW w:w="7994" w:type="dxa"/>
          </w:tcPr>
          <w:p w14:paraId="05B0C0CE">
            <w:pPr>
              <w:pStyle w:val="85"/>
              <w:jc w:val="both"/>
              <w:rPr>
                <w:color w:val="auto"/>
                <w:sz w:val="22"/>
                <w:szCs w:val="22"/>
              </w:rPr>
            </w:pPr>
            <w:r>
              <w:rPr>
                <w:color w:val="auto"/>
                <w:sz w:val="22"/>
                <w:szCs w:val="22"/>
              </w:rPr>
              <w:t>Фольклорные и авторские произведения о чудесах и фантазии (не менее трех произведений по выбору).</w:t>
            </w:r>
          </w:p>
          <w:p w14:paraId="4452242E">
            <w:pPr>
              <w:pStyle w:val="85"/>
              <w:jc w:val="both"/>
              <w:rPr>
                <w:color w:val="auto"/>
                <w:sz w:val="22"/>
                <w:szCs w:val="22"/>
              </w:rPr>
            </w:pPr>
            <w:r>
              <w:rPr>
                <w:color w:val="auto"/>
                <w:sz w:val="22"/>
                <w:szCs w:val="22"/>
              </w:rPr>
              <w:t>Р.С. Сеф "Чудо", В.В. Лунин "Я видел чудо", Б.В. Заходер "Моя Вообразилия", Ю.П. Мориц "Сто фантазий" и другие (по выбору)</w:t>
            </w:r>
          </w:p>
        </w:tc>
      </w:tr>
      <w:tr w14:paraId="0324AE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077" w:type="dxa"/>
          </w:tcPr>
          <w:p w14:paraId="64D31B4C">
            <w:pPr>
              <w:pStyle w:val="85"/>
              <w:jc w:val="center"/>
              <w:rPr>
                <w:color w:val="auto"/>
                <w:sz w:val="22"/>
                <w:szCs w:val="22"/>
              </w:rPr>
            </w:pPr>
            <w:r>
              <w:rPr>
                <w:color w:val="auto"/>
                <w:sz w:val="22"/>
                <w:szCs w:val="22"/>
              </w:rPr>
              <w:t>8</w:t>
            </w:r>
          </w:p>
        </w:tc>
        <w:tc>
          <w:tcPr>
            <w:tcW w:w="7994" w:type="dxa"/>
          </w:tcPr>
          <w:p w14:paraId="532D2E86">
            <w:pPr>
              <w:pStyle w:val="85"/>
              <w:jc w:val="both"/>
              <w:rPr>
                <w:color w:val="auto"/>
                <w:sz w:val="22"/>
                <w:szCs w:val="22"/>
              </w:rPr>
            </w:pPr>
            <w:r>
              <w:rPr>
                <w:color w:val="auto"/>
                <w:sz w:val="22"/>
                <w:szCs w:val="22"/>
              </w:rPr>
              <w:t>Сведения по теории и истории литературы</w:t>
            </w:r>
          </w:p>
          <w:p w14:paraId="31C40101">
            <w:pPr>
              <w:pStyle w:val="85"/>
              <w:jc w:val="both"/>
              <w:rPr>
                <w:color w:val="auto"/>
                <w:sz w:val="22"/>
                <w:szCs w:val="22"/>
              </w:rPr>
            </w:pPr>
            <w:r>
              <w:rPr>
                <w:color w:val="auto"/>
                <w:sz w:val="22"/>
                <w:szCs w:val="22"/>
              </w:rPr>
              <w:t>Автор, писатель. Произведение.</w:t>
            </w:r>
          </w:p>
          <w:p w14:paraId="52E2F9E1">
            <w:pPr>
              <w:pStyle w:val="85"/>
              <w:jc w:val="both"/>
              <w:rPr>
                <w:color w:val="auto"/>
                <w:sz w:val="22"/>
                <w:szCs w:val="22"/>
              </w:rPr>
            </w:pPr>
            <w:r>
              <w:rPr>
                <w:color w:val="auto"/>
                <w:sz w:val="22"/>
                <w:szCs w:val="22"/>
              </w:rPr>
              <w:t>Жанры (стихотворение, рассказ); жанры фольклора малые (потешка, пословица, загадка). Фольклорная и литературная сказки.</w:t>
            </w:r>
          </w:p>
          <w:p w14:paraId="56BACDB1">
            <w:pPr>
              <w:pStyle w:val="85"/>
              <w:jc w:val="both"/>
              <w:rPr>
                <w:color w:val="auto"/>
                <w:sz w:val="22"/>
                <w:szCs w:val="22"/>
              </w:rPr>
            </w:pPr>
            <w:r>
              <w:rPr>
                <w:color w:val="auto"/>
                <w:sz w:val="22"/>
                <w:szCs w:val="22"/>
              </w:rPr>
              <w:t>Идея. Тема. Заголовок.</w:t>
            </w:r>
          </w:p>
          <w:p w14:paraId="40BB938C">
            <w:pPr>
              <w:pStyle w:val="85"/>
              <w:jc w:val="both"/>
              <w:rPr>
                <w:color w:val="auto"/>
                <w:sz w:val="22"/>
                <w:szCs w:val="22"/>
              </w:rPr>
            </w:pPr>
            <w:r>
              <w:rPr>
                <w:color w:val="auto"/>
                <w:sz w:val="22"/>
                <w:szCs w:val="22"/>
              </w:rPr>
              <w:t>Литературный герой.</w:t>
            </w:r>
          </w:p>
          <w:p w14:paraId="0D4D44A4">
            <w:pPr>
              <w:pStyle w:val="85"/>
              <w:jc w:val="both"/>
              <w:rPr>
                <w:color w:val="auto"/>
                <w:sz w:val="22"/>
                <w:szCs w:val="22"/>
              </w:rPr>
            </w:pPr>
            <w:r>
              <w:rPr>
                <w:color w:val="auto"/>
                <w:sz w:val="22"/>
                <w:szCs w:val="22"/>
              </w:rPr>
              <w:t>Ритм. Рифма.</w:t>
            </w:r>
          </w:p>
          <w:p w14:paraId="23EAAB83">
            <w:pPr>
              <w:pStyle w:val="85"/>
              <w:jc w:val="both"/>
              <w:rPr>
                <w:color w:val="auto"/>
                <w:sz w:val="22"/>
                <w:szCs w:val="22"/>
              </w:rPr>
            </w:pPr>
            <w:r>
              <w:rPr>
                <w:color w:val="auto"/>
                <w:sz w:val="22"/>
                <w:szCs w:val="22"/>
              </w:rPr>
              <w:t>Содержание произведения.</w:t>
            </w:r>
          </w:p>
          <w:p w14:paraId="660566D5">
            <w:pPr>
              <w:pStyle w:val="85"/>
              <w:jc w:val="both"/>
              <w:rPr>
                <w:color w:val="auto"/>
                <w:sz w:val="22"/>
                <w:szCs w:val="22"/>
              </w:rPr>
            </w:pPr>
            <w:r>
              <w:rPr>
                <w:color w:val="auto"/>
                <w:sz w:val="22"/>
                <w:szCs w:val="22"/>
              </w:rPr>
              <w:t>Прозаическая (нестихотворная) и стихотворная речь</w:t>
            </w:r>
          </w:p>
        </w:tc>
      </w:tr>
    </w:tbl>
    <w:p w14:paraId="72A571FE">
      <w:pPr>
        <w:pStyle w:val="85"/>
        <w:ind w:firstLine="540"/>
        <w:jc w:val="both"/>
        <w:rPr>
          <w:color w:val="auto"/>
          <w:sz w:val="22"/>
          <w:szCs w:val="22"/>
        </w:rPr>
      </w:pPr>
    </w:p>
    <w:p w14:paraId="03B72C17">
      <w:pPr>
        <w:pStyle w:val="85"/>
        <w:jc w:val="right"/>
        <w:rPr>
          <w:color w:val="auto"/>
          <w:sz w:val="22"/>
          <w:szCs w:val="22"/>
        </w:rPr>
      </w:pPr>
      <w:r>
        <w:rPr>
          <w:color w:val="auto"/>
          <w:sz w:val="22"/>
          <w:szCs w:val="22"/>
        </w:rPr>
        <w:t>Таблица 5.2</w:t>
      </w:r>
    </w:p>
    <w:p w14:paraId="6702C39E">
      <w:pPr>
        <w:pStyle w:val="85"/>
        <w:ind w:firstLine="540"/>
        <w:jc w:val="both"/>
        <w:rPr>
          <w:color w:val="auto"/>
          <w:sz w:val="22"/>
          <w:szCs w:val="22"/>
        </w:rPr>
      </w:pPr>
    </w:p>
    <w:p w14:paraId="62898F79">
      <w:pPr>
        <w:pStyle w:val="85"/>
        <w:jc w:val="center"/>
        <w:rPr>
          <w:color w:val="auto"/>
          <w:sz w:val="22"/>
          <w:szCs w:val="22"/>
        </w:rPr>
      </w:pPr>
      <w:r>
        <w:rPr>
          <w:color w:val="auto"/>
          <w:sz w:val="22"/>
          <w:szCs w:val="22"/>
        </w:rPr>
        <w:t>Проверяемые требования к результатам освоения основной</w:t>
      </w:r>
    </w:p>
    <w:p w14:paraId="01B18899">
      <w:pPr>
        <w:pStyle w:val="85"/>
        <w:jc w:val="center"/>
        <w:rPr>
          <w:color w:val="auto"/>
          <w:sz w:val="22"/>
          <w:szCs w:val="22"/>
        </w:rPr>
      </w:pPr>
      <w:r>
        <w:rPr>
          <w:color w:val="auto"/>
          <w:sz w:val="22"/>
          <w:szCs w:val="22"/>
        </w:rPr>
        <w:t>образовательной программы (2 класс)</w:t>
      </w:r>
    </w:p>
    <w:p w14:paraId="017D79FF">
      <w:pPr>
        <w:pStyle w:val="85"/>
        <w:ind w:firstLine="540"/>
        <w:jc w:val="both"/>
        <w:rPr>
          <w:color w:val="auto"/>
          <w:sz w:val="22"/>
          <w:szCs w:val="22"/>
        </w:rPr>
      </w:pPr>
    </w:p>
    <w:tbl>
      <w:tblPr>
        <w:tblStyle w:val="1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02" w:type="dxa"/>
          <w:left w:w="62" w:type="dxa"/>
          <w:bottom w:w="102" w:type="dxa"/>
          <w:right w:w="62" w:type="dxa"/>
        </w:tblCellMar>
      </w:tblPr>
      <w:tblGrid>
        <w:gridCol w:w="1701"/>
        <w:gridCol w:w="7370"/>
      </w:tblGrid>
      <w:tr w14:paraId="5EBD2B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701" w:type="dxa"/>
          </w:tcPr>
          <w:p w14:paraId="644698DF">
            <w:pPr>
              <w:pStyle w:val="85"/>
              <w:jc w:val="center"/>
              <w:rPr>
                <w:color w:val="auto"/>
                <w:sz w:val="22"/>
                <w:szCs w:val="22"/>
              </w:rPr>
            </w:pPr>
            <w:r>
              <w:rPr>
                <w:color w:val="auto"/>
                <w:sz w:val="22"/>
                <w:szCs w:val="22"/>
              </w:rPr>
              <w:t>Код проверяемого результата</w:t>
            </w:r>
          </w:p>
        </w:tc>
        <w:tc>
          <w:tcPr>
            <w:tcW w:w="7370" w:type="dxa"/>
          </w:tcPr>
          <w:p w14:paraId="5225F5B1">
            <w:pPr>
              <w:pStyle w:val="85"/>
              <w:jc w:val="center"/>
              <w:rPr>
                <w:color w:val="auto"/>
                <w:sz w:val="22"/>
                <w:szCs w:val="22"/>
              </w:rPr>
            </w:pPr>
            <w:r>
              <w:rPr>
                <w:color w:val="auto"/>
                <w:sz w:val="22"/>
                <w:szCs w:val="22"/>
              </w:rPr>
              <w:t>Проверяемые предметные результаты освоения основной образовательной программы начального общего образования</w:t>
            </w:r>
          </w:p>
        </w:tc>
      </w:tr>
      <w:tr w14:paraId="53CDE9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701" w:type="dxa"/>
          </w:tcPr>
          <w:p w14:paraId="33AEA3DE">
            <w:pPr>
              <w:pStyle w:val="85"/>
              <w:jc w:val="center"/>
              <w:rPr>
                <w:color w:val="auto"/>
                <w:sz w:val="22"/>
                <w:szCs w:val="22"/>
              </w:rPr>
            </w:pPr>
            <w:r>
              <w:rPr>
                <w:color w:val="auto"/>
                <w:sz w:val="22"/>
                <w:szCs w:val="22"/>
              </w:rPr>
              <w:t>1.1</w:t>
            </w:r>
          </w:p>
        </w:tc>
        <w:tc>
          <w:tcPr>
            <w:tcW w:w="7370" w:type="dxa"/>
          </w:tcPr>
          <w:p w14:paraId="32F50FB3">
            <w:pPr>
              <w:pStyle w:val="85"/>
              <w:jc w:val="both"/>
              <w:rPr>
                <w:color w:val="auto"/>
                <w:sz w:val="22"/>
                <w:szCs w:val="22"/>
              </w:rPr>
            </w:pPr>
            <w:r>
              <w:rPr>
                <w:color w:val="auto"/>
                <w:sz w:val="22"/>
                <w:szCs w:val="22"/>
              </w:rPr>
              <w:t>объяснять важность чтения для решения учебных задач и применения в различных жизненных ситуациях: переходить от чтения вслух к чтению про себя в соответствии с учебной задачей, обращаться к разным видам чтения (изучающее, ознакомительное, поисковое выборочное, просмотровое выборочное)</w:t>
            </w:r>
          </w:p>
        </w:tc>
      </w:tr>
      <w:tr w14:paraId="55E101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701" w:type="dxa"/>
          </w:tcPr>
          <w:p w14:paraId="64EFE494">
            <w:pPr>
              <w:pStyle w:val="85"/>
              <w:jc w:val="center"/>
              <w:rPr>
                <w:color w:val="auto"/>
                <w:sz w:val="22"/>
                <w:szCs w:val="22"/>
              </w:rPr>
            </w:pPr>
            <w:r>
              <w:rPr>
                <w:color w:val="auto"/>
                <w:sz w:val="22"/>
                <w:szCs w:val="22"/>
              </w:rPr>
              <w:t>1.2</w:t>
            </w:r>
          </w:p>
        </w:tc>
        <w:tc>
          <w:tcPr>
            <w:tcW w:w="7370" w:type="dxa"/>
          </w:tcPr>
          <w:p w14:paraId="342D83E4">
            <w:pPr>
              <w:pStyle w:val="85"/>
              <w:jc w:val="both"/>
              <w:rPr>
                <w:color w:val="auto"/>
                <w:sz w:val="22"/>
                <w:szCs w:val="22"/>
              </w:rPr>
            </w:pPr>
            <w:r>
              <w:rPr>
                <w:color w:val="auto"/>
                <w:sz w:val="22"/>
                <w:szCs w:val="22"/>
              </w:rPr>
              <w:t>находить в фольклоре и литературных произведениях отражение нравственных ценностей, традиций, быта, культуры разных народов, ориентироваться в нравственно-этических понятиях в контексте изученных произведений</w:t>
            </w:r>
          </w:p>
        </w:tc>
      </w:tr>
      <w:tr w14:paraId="16F993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701" w:type="dxa"/>
          </w:tcPr>
          <w:p w14:paraId="0375DC17">
            <w:pPr>
              <w:pStyle w:val="85"/>
              <w:jc w:val="center"/>
              <w:rPr>
                <w:color w:val="auto"/>
                <w:sz w:val="22"/>
                <w:szCs w:val="22"/>
              </w:rPr>
            </w:pPr>
            <w:r>
              <w:rPr>
                <w:color w:val="auto"/>
                <w:sz w:val="22"/>
                <w:szCs w:val="22"/>
              </w:rPr>
              <w:t>1.3</w:t>
            </w:r>
          </w:p>
        </w:tc>
        <w:tc>
          <w:tcPr>
            <w:tcW w:w="7370" w:type="dxa"/>
          </w:tcPr>
          <w:p w14:paraId="610E6367">
            <w:pPr>
              <w:pStyle w:val="85"/>
              <w:jc w:val="both"/>
              <w:rPr>
                <w:color w:val="auto"/>
                <w:sz w:val="22"/>
                <w:szCs w:val="22"/>
              </w:rPr>
            </w:pPr>
            <w:r>
              <w:rPr>
                <w:color w:val="auto"/>
                <w:sz w:val="22"/>
                <w:szCs w:val="22"/>
              </w:rPr>
              <w:t>читать вслух целыми словами без пропусков и перестановок букв и слогов доступные по восприятию и небольшие по объему прозаические и стихотворные произведения в темпе не менее 40 слов в минуту (без отметочного оценивания)</w:t>
            </w:r>
          </w:p>
        </w:tc>
      </w:tr>
      <w:tr w14:paraId="12CAFA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701" w:type="dxa"/>
          </w:tcPr>
          <w:p w14:paraId="00A27361">
            <w:pPr>
              <w:pStyle w:val="85"/>
              <w:jc w:val="center"/>
              <w:rPr>
                <w:color w:val="auto"/>
                <w:sz w:val="22"/>
                <w:szCs w:val="22"/>
              </w:rPr>
            </w:pPr>
            <w:r>
              <w:rPr>
                <w:color w:val="auto"/>
                <w:sz w:val="22"/>
                <w:szCs w:val="22"/>
              </w:rPr>
              <w:t>1.4</w:t>
            </w:r>
          </w:p>
        </w:tc>
        <w:tc>
          <w:tcPr>
            <w:tcW w:w="7370" w:type="dxa"/>
          </w:tcPr>
          <w:p w14:paraId="114DE9DF">
            <w:pPr>
              <w:pStyle w:val="85"/>
              <w:jc w:val="both"/>
              <w:rPr>
                <w:color w:val="auto"/>
                <w:sz w:val="22"/>
                <w:szCs w:val="22"/>
              </w:rPr>
            </w:pPr>
            <w:r>
              <w:rPr>
                <w:color w:val="auto"/>
                <w:sz w:val="22"/>
                <w:szCs w:val="22"/>
              </w:rPr>
              <w:t>читать наизусть с соблюдением орфоэпических и пунктуационных норм не менее 3 стихотворений о Родине, о детях, о семье, о родной природе в разные времена года</w:t>
            </w:r>
          </w:p>
        </w:tc>
      </w:tr>
      <w:tr w14:paraId="615E5A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701" w:type="dxa"/>
          </w:tcPr>
          <w:p w14:paraId="24417174">
            <w:pPr>
              <w:pStyle w:val="85"/>
              <w:jc w:val="center"/>
              <w:rPr>
                <w:color w:val="auto"/>
                <w:sz w:val="22"/>
                <w:szCs w:val="22"/>
              </w:rPr>
            </w:pPr>
            <w:r>
              <w:rPr>
                <w:color w:val="auto"/>
                <w:sz w:val="22"/>
                <w:szCs w:val="22"/>
              </w:rPr>
              <w:t>1.5</w:t>
            </w:r>
          </w:p>
        </w:tc>
        <w:tc>
          <w:tcPr>
            <w:tcW w:w="7370" w:type="dxa"/>
          </w:tcPr>
          <w:p w14:paraId="6CCC064B">
            <w:pPr>
              <w:pStyle w:val="85"/>
              <w:jc w:val="both"/>
              <w:rPr>
                <w:color w:val="auto"/>
                <w:sz w:val="22"/>
                <w:szCs w:val="22"/>
              </w:rPr>
            </w:pPr>
            <w:r>
              <w:rPr>
                <w:color w:val="auto"/>
                <w:sz w:val="22"/>
                <w:szCs w:val="22"/>
              </w:rPr>
              <w:t>различать прозаическую и стихотворную речь: называть особенности стихотворного произведения (ритм, рифма)</w:t>
            </w:r>
          </w:p>
        </w:tc>
      </w:tr>
      <w:tr w14:paraId="2D820F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701" w:type="dxa"/>
          </w:tcPr>
          <w:p w14:paraId="5BDF2E08">
            <w:pPr>
              <w:pStyle w:val="85"/>
              <w:jc w:val="center"/>
              <w:rPr>
                <w:color w:val="auto"/>
                <w:sz w:val="22"/>
                <w:szCs w:val="22"/>
              </w:rPr>
            </w:pPr>
            <w:r>
              <w:rPr>
                <w:color w:val="auto"/>
                <w:sz w:val="22"/>
                <w:szCs w:val="22"/>
              </w:rPr>
              <w:t>1.6</w:t>
            </w:r>
          </w:p>
        </w:tc>
        <w:tc>
          <w:tcPr>
            <w:tcW w:w="7370" w:type="dxa"/>
          </w:tcPr>
          <w:p w14:paraId="22B9D27B">
            <w:pPr>
              <w:pStyle w:val="85"/>
              <w:jc w:val="both"/>
              <w:rPr>
                <w:color w:val="auto"/>
                <w:sz w:val="22"/>
                <w:szCs w:val="22"/>
              </w:rPr>
            </w:pPr>
            <w:r>
              <w:rPr>
                <w:color w:val="auto"/>
                <w:sz w:val="22"/>
                <w:szCs w:val="22"/>
              </w:rPr>
              <w:t>различать отдельные жанры фольклора (считалки, загадки, пословицы, потешки, небылицы, народные песни, скороговорки, сказки о животных, бытовые и волшебные) и художественной литературы (литературные сказки, рассказы, стихотворения, басни)</w:t>
            </w:r>
          </w:p>
        </w:tc>
      </w:tr>
      <w:tr w14:paraId="0C596C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701" w:type="dxa"/>
          </w:tcPr>
          <w:p w14:paraId="165BF0CE">
            <w:pPr>
              <w:pStyle w:val="85"/>
              <w:jc w:val="center"/>
              <w:rPr>
                <w:color w:val="auto"/>
                <w:sz w:val="22"/>
                <w:szCs w:val="22"/>
              </w:rPr>
            </w:pPr>
            <w:r>
              <w:rPr>
                <w:color w:val="auto"/>
                <w:sz w:val="22"/>
                <w:szCs w:val="22"/>
              </w:rPr>
              <w:t>1.7</w:t>
            </w:r>
          </w:p>
        </w:tc>
        <w:tc>
          <w:tcPr>
            <w:tcW w:w="7370" w:type="dxa"/>
          </w:tcPr>
          <w:p w14:paraId="13F1D3C6">
            <w:pPr>
              <w:pStyle w:val="85"/>
              <w:jc w:val="both"/>
              <w:rPr>
                <w:color w:val="auto"/>
                <w:sz w:val="22"/>
                <w:szCs w:val="22"/>
              </w:rPr>
            </w:pPr>
            <w:r>
              <w:rPr>
                <w:color w:val="auto"/>
                <w:sz w:val="22"/>
                <w:szCs w:val="22"/>
              </w:rPr>
              <w:t>понимать содержание, смысл прослушанного (прочитанного) произведения: отвечать и формулировать вопросы по фактическому содержанию произведения;</w:t>
            </w:r>
          </w:p>
          <w:p w14:paraId="75566B64">
            <w:pPr>
              <w:pStyle w:val="85"/>
              <w:jc w:val="both"/>
              <w:rPr>
                <w:color w:val="auto"/>
                <w:sz w:val="22"/>
                <w:szCs w:val="22"/>
              </w:rPr>
            </w:pPr>
            <w:r>
              <w:rPr>
                <w:color w:val="auto"/>
                <w:sz w:val="22"/>
                <w:szCs w:val="22"/>
              </w:rPr>
              <w:t>владеть элементарными умениями анализа и интерпретации текста: определять тему и главную мысль, воспроизводить последовательность событий в тексте произведения, составлять план текста (вопросный, номинативный)</w:t>
            </w:r>
          </w:p>
        </w:tc>
      </w:tr>
      <w:tr w14:paraId="725172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701" w:type="dxa"/>
          </w:tcPr>
          <w:p w14:paraId="0E862E93">
            <w:pPr>
              <w:pStyle w:val="85"/>
              <w:jc w:val="center"/>
              <w:rPr>
                <w:color w:val="auto"/>
                <w:sz w:val="22"/>
                <w:szCs w:val="22"/>
              </w:rPr>
            </w:pPr>
            <w:r>
              <w:rPr>
                <w:color w:val="auto"/>
                <w:sz w:val="22"/>
                <w:szCs w:val="22"/>
              </w:rPr>
              <w:t>1.8</w:t>
            </w:r>
          </w:p>
        </w:tc>
        <w:tc>
          <w:tcPr>
            <w:tcW w:w="7370" w:type="dxa"/>
          </w:tcPr>
          <w:p w14:paraId="0324509C">
            <w:pPr>
              <w:pStyle w:val="85"/>
              <w:jc w:val="both"/>
              <w:rPr>
                <w:color w:val="auto"/>
                <w:sz w:val="22"/>
                <w:szCs w:val="22"/>
              </w:rPr>
            </w:pPr>
            <w:r>
              <w:rPr>
                <w:color w:val="auto"/>
                <w:sz w:val="22"/>
                <w:szCs w:val="22"/>
              </w:rPr>
              <w:t>описывать характер героя, находить в тексте средства изображения (портрет) героя и выражения его чувств, оценивать поступки героев произведения, устанавливать взаимосвязь между характером героя и его поступками, сравнивать героев одного произведения по предложенным критериям, характеризовать отношение автора к героям, его поступкам</w:t>
            </w:r>
          </w:p>
        </w:tc>
      </w:tr>
      <w:tr w14:paraId="705C9C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701" w:type="dxa"/>
          </w:tcPr>
          <w:p w14:paraId="171C8DC8">
            <w:pPr>
              <w:pStyle w:val="85"/>
              <w:jc w:val="center"/>
              <w:rPr>
                <w:color w:val="auto"/>
                <w:sz w:val="22"/>
                <w:szCs w:val="22"/>
              </w:rPr>
            </w:pPr>
            <w:r>
              <w:rPr>
                <w:color w:val="auto"/>
                <w:sz w:val="22"/>
                <w:szCs w:val="22"/>
              </w:rPr>
              <w:t>1.9</w:t>
            </w:r>
          </w:p>
        </w:tc>
        <w:tc>
          <w:tcPr>
            <w:tcW w:w="7370" w:type="dxa"/>
          </w:tcPr>
          <w:p w14:paraId="7900BEF5">
            <w:pPr>
              <w:pStyle w:val="85"/>
              <w:jc w:val="both"/>
              <w:rPr>
                <w:color w:val="auto"/>
                <w:sz w:val="22"/>
                <w:szCs w:val="22"/>
              </w:rPr>
            </w:pPr>
            <w:r>
              <w:rPr>
                <w:color w:val="auto"/>
                <w:sz w:val="22"/>
                <w:szCs w:val="22"/>
              </w:rPr>
              <w:t>объяснять значение незнакомого слова с использованием контекста и словаря; находить в тексте примеры использования слов в прямом и переносном значении</w:t>
            </w:r>
          </w:p>
        </w:tc>
      </w:tr>
      <w:tr w14:paraId="5C8268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701" w:type="dxa"/>
          </w:tcPr>
          <w:p w14:paraId="4F63F76C">
            <w:pPr>
              <w:pStyle w:val="85"/>
              <w:jc w:val="center"/>
              <w:rPr>
                <w:color w:val="auto"/>
                <w:sz w:val="22"/>
                <w:szCs w:val="22"/>
              </w:rPr>
            </w:pPr>
            <w:r>
              <w:rPr>
                <w:color w:val="auto"/>
                <w:sz w:val="22"/>
                <w:szCs w:val="22"/>
              </w:rPr>
              <w:t>1.10</w:t>
            </w:r>
          </w:p>
        </w:tc>
        <w:tc>
          <w:tcPr>
            <w:tcW w:w="7370" w:type="dxa"/>
          </w:tcPr>
          <w:p w14:paraId="7851E6E2">
            <w:pPr>
              <w:pStyle w:val="85"/>
              <w:jc w:val="both"/>
              <w:rPr>
                <w:color w:val="auto"/>
                <w:sz w:val="22"/>
                <w:szCs w:val="22"/>
              </w:rPr>
            </w:pPr>
            <w:r>
              <w:rPr>
                <w:color w:val="auto"/>
                <w:sz w:val="22"/>
                <w:szCs w:val="22"/>
              </w:rPr>
              <w:t>осознанно применять для анализа текста изученные понятия (автор, литературный герой, тема, идея, заголовок, содержание произведения, сравнение, эпитет)</w:t>
            </w:r>
          </w:p>
        </w:tc>
      </w:tr>
      <w:tr w14:paraId="64D994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701" w:type="dxa"/>
          </w:tcPr>
          <w:p w14:paraId="6A1101D9">
            <w:pPr>
              <w:pStyle w:val="85"/>
              <w:jc w:val="center"/>
              <w:rPr>
                <w:color w:val="auto"/>
                <w:sz w:val="22"/>
                <w:szCs w:val="22"/>
              </w:rPr>
            </w:pPr>
            <w:r>
              <w:rPr>
                <w:color w:val="auto"/>
                <w:sz w:val="22"/>
                <w:szCs w:val="22"/>
              </w:rPr>
              <w:t>1.11</w:t>
            </w:r>
          </w:p>
        </w:tc>
        <w:tc>
          <w:tcPr>
            <w:tcW w:w="7370" w:type="dxa"/>
          </w:tcPr>
          <w:p w14:paraId="6B664D53">
            <w:pPr>
              <w:pStyle w:val="85"/>
              <w:jc w:val="both"/>
              <w:rPr>
                <w:color w:val="auto"/>
                <w:sz w:val="22"/>
                <w:szCs w:val="22"/>
              </w:rPr>
            </w:pPr>
            <w:r>
              <w:rPr>
                <w:color w:val="auto"/>
                <w:sz w:val="22"/>
                <w:szCs w:val="22"/>
              </w:rPr>
              <w:t>участвовать в обсуждении прослушанного (прочитанного) произведения: понимать жанровую принадлежность произведения, формулировать устно простые выводы, подтверждать свой ответ примерами из текста</w:t>
            </w:r>
          </w:p>
        </w:tc>
      </w:tr>
      <w:tr w14:paraId="5F561D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701" w:type="dxa"/>
          </w:tcPr>
          <w:p w14:paraId="611640FE">
            <w:pPr>
              <w:pStyle w:val="85"/>
              <w:jc w:val="center"/>
              <w:rPr>
                <w:color w:val="auto"/>
                <w:sz w:val="22"/>
                <w:szCs w:val="22"/>
              </w:rPr>
            </w:pPr>
            <w:r>
              <w:rPr>
                <w:color w:val="auto"/>
                <w:sz w:val="22"/>
                <w:szCs w:val="22"/>
              </w:rPr>
              <w:t>1.12</w:t>
            </w:r>
          </w:p>
        </w:tc>
        <w:tc>
          <w:tcPr>
            <w:tcW w:w="7370" w:type="dxa"/>
          </w:tcPr>
          <w:p w14:paraId="69C3192F">
            <w:pPr>
              <w:pStyle w:val="85"/>
              <w:jc w:val="both"/>
              <w:rPr>
                <w:color w:val="auto"/>
                <w:sz w:val="22"/>
                <w:szCs w:val="22"/>
              </w:rPr>
            </w:pPr>
            <w:r>
              <w:rPr>
                <w:color w:val="auto"/>
                <w:sz w:val="22"/>
                <w:szCs w:val="22"/>
              </w:rPr>
              <w:t>пересказывать (устно) содержание произведения подробно, выборочно, от лица героя, от третьего лица</w:t>
            </w:r>
          </w:p>
        </w:tc>
      </w:tr>
      <w:tr w14:paraId="03E558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701" w:type="dxa"/>
          </w:tcPr>
          <w:p w14:paraId="444D7E82">
            <w:pPr>
              <w:pStyle w:val="85"/>
              <w:jc w:val="center"/>
              <w:rPr>
                <w:color w:val="auto"/>
                <w:sz w:val="22"/>
                <w:szCs w:val="22"/>
              </w:rPr>
            </w:pPr>
            <w:r>
              <w:rPr>
                <w:color w:val="auto"/>
                <w:sz w:val="22"/>
                <w:szCs w:val="22"/>
              </w:rPr>
              <w:t>1.13</w:t>
            </w:r>
          </w:p>
        </w:tc>
        <w:tc>
          <w:tcPr>
            <w:tcW w:w="7370" w:type="dxa"/>
          </w:tcPr>
          <w:p w14:paraId="23B05487">
            <w:pPr>
              <w:pStyle w:val="85"/>
              <w:jc w:val="both"/>
              <w:rPr>
                <w:color w:val="auto"/>
                <w:sz w:val="22"/>
                <w:szCs w:val="22"/>
              </w:rPr>
            </w:pPr>
            <w:r>
              <w:rPr>
                <w:color w:val="auto"/>
                <w:sz w:val="22"/>
                <w:szCs w:val="22"/>
              </w:rPr>
              <w:t>читать по ролям с соблюдением норм произношения, расстановки ударения, инсценировать небольшие эпизоды из произведения</w:t>
            </w:r>
          </w:p>
        </w:tc>
      </w:tr>
      <w:tr w14:paraId="632E80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701" w:type="dxa"/>
          </w:tcPr>
          <w:p w14:paraId="0FF6E6D8">
            <w:pPr>
              <w:pStyle w:val="85"/>
              <w:jc w:val="center"/>
              <w:rPr>
                <w:color w:val="auto"/>
                <w:sz w:val="22"/>
                <w:szCs w:val="22"/>
              </w:rPr>
            </w:pPr>
            <w:r>
              <w:rPr>
                <w:color w:val="auto"/>
                <w:sz w:val="22"/>
                <w:szCs w:val="22"/>
              </w:rPr>
              <w:t>1.14</w:t>
            </w:r>
          </w:p>
        </w:tc>
        <w:tc>
          <w:tcPr>
            <w:tcW w:w="7370" w:type="dxa"/>
          </w:tcPr>
          <w:p w14:paraId="4DBC81F2">
            <w:pPr>
              <w:pStyle w:val="85"/>
              <w:jc w:val="both"/>
              <w:rPr>
                <w:color w:val="auto"/>
                <w:sz w:val="22"/>
                <w:szCs w:val="22"/>
              </w:rPr>
            </w:pPr>
            <w:r>
              <w:rPr>
                <w:color w:val="auto"/>
                <w:sz w:val="22"/>
                <w:szCs w:val="22"/>
              </w:rPr>
              <w:t>составлять высказывания на заданную тему по содержанию произведения (не менее 5 предложений)</w:t>
            </w:r>
          </w:p>
        </w:tc>
      </w:tr>
      <w:tr w14:paraId="70D3A7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701" w:type="dxa"/>
          </w:tcPr>
          <w:p w14:paraId="06B5BF64">
            <w:pPr>
              <w:pStyle w:val="85"/>
              <w:jc w:val="center"/>
              <w:rPr>
                <w:color w:val="auto"/>
                <w:sz w:val="22"/>
                <w:szCs w:val="22"/>
              </w:rPr>
            </w:pPr>
            <w:r>
              <w:rPr>
                <w:color w:val="auto"/>
                <w:sz w:val="22"/>
                <w:szCs w:val="22"/>
              </w:rPr>
              <w:t>1.15</w:t>
            </w:r>
          </w:p>
        </w:tc>
        <w:tc>
          <w:tcPr>
            <w:tcW w:w="7370" w:type="dxa"/>
          </w:tcPr>
          <w:p w14:paraId="2974C143">
            <w:pPr>
              <w:pStyle w:val="85"/>
              <w:jc w:val="both"/>
              <w:rPr>
                <w:color w:val="auto"/>
                <w:sz w:val="22"/>
                <w:szCs w:val="22"/>
              </w:rPr>
            </w:pPr>
            <w:r>
              <w:rPr>
                <w:color w:val="auto"/>
                <w:sz w:val="22"/>
                <w:szCs w:val="22"/>
              </w:rPr>
              <w:t>сочинять по аналогии с прочитанным загадки, небольшие сказки, рассказы</w:t>
            </w:r>
          </w:p>
        </w:tc>
      </w:tr>
      <w:tr w14:paraId="138603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701" w:type="dxa"/>
          </w:tcPr>
          <w:p w14:paraId="01549FBA">
            <w:pPr>
              <w:pStyle w:val="85"/>
              <w:jc w:val="center"/>
              <w:rPr>
                <w:color w:val="auto"/>
                <w:sz w:val="22"/>
                <w:szCs w:val="22"/>
              </w:rPr>
            </w:pPr>
            <w:r>
              <w:rPr>
                <w:color w:val="auto"/>
                <w:sz w:val="22"/>
                <w:szCs w:val="22"/>
              </w:rPr>
              <w:t>1.16</w:t>
            </w:r>
          </w:p>
        </w:tc>
        <w:tc>
          <w:tcPr>
            <w:tcW w:w="7370" w:type="dxa"/>
          </w:tcPr>
          <w:p w14:paraId="77D3AD54">
            <w:pPr>
              <w:pStyle w:val="85"/>
              <w:jc w:val="both"/>
              <w:rPr>
                <w:color w:val="auto"/>
                <w:sz w:val="22"/>
                <w:szCs w:val="22"/>
              </w:rPr>
            </w:pPr>
            <w:r>
              <w:rPr>
                <w:color w:val="auto"/>
                <w:sz w:val="22"/>
                <w:szCs w:val="22"/>
              </w:rPr>
              <w:t>ориентироваться в книге и (или) учебнике по обложке, оглавлению, аннотации, иллюстрациям, предисловию, условным обозначениям; выбирать книги для самостоятельного чтения с учетом рекомендательного списка, используя картотеки, рассказывать о прочитанной книге</w:t>
            </w:r>
          </w:p>
        </w:tc>
      </w:tr>
      <w:tr w14:paraId="010B84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701" w:type="dxa"/>
          </w:tcPr>
          <w:p w14:paraId="7B827185">
            <w:pPr>
              <w:pStyle w:val="85"/>
              <w:jc w:val="center"/>
              <w:rPr>
                <w:color w:val="auto"/>
                <w:sz w:val="22"/>
                <w:szCs w:val="22"/>
              </w:rPr>
            </w:pPr>
            <w:r>
              <w:rPr>
                <w:color w:val="auto"/>
                <w:sz w:val="22"/>
                <w:szCs w:val="22"/>
              </w:rPr>
              <w:t>1.17</w:t>
            </w:r>
          </w:p>
        </w:tc>
        <w:tc>
          <w:tcPr>
            <w:tcW w:w="7370" w:type="dxa"/>
          </w:tcPr>
          <w:p w14:paraId="214D6292">
            <w:pPr>
              <w:pStyle w:val="85"/>
              <w:jc w:val="both"/>
              <w:rPr>
                <w:color w:val="auto"/>
                <w:sz w:val="22"/>
                <w:szCs w:val="22"/>
              </w:rPr>
            </w:pPr>
            <w:r>
              <w:rPr>
                <w:color w:val="auto"/>
                <w:sz w:val="22"/>
                <w:szCs w:val="22"/>
              </w:rPr>
              <w:t>использовать справочную литературу для получения дополнительной информации в соответствии с учебной задачей</w:t>
            </w:r>
          </w:p>
        </w:tc>
      </w:tr>
    </w:tbl>
    <w:p w14:paraId="41BD9776">
      <w:pPr>
        <w:pStyle w:val="85"/>
        <w:ind w:firstLine="540"/>
        <w:jc w:val="both"/>
        <w:rPr>
          <w:color w:val="auto"/>
          <w:sz w:val="22"/>
          <w:szCs w:val="22"/>
        </w:rPr>
      </w:pPr>
    </w:p>
    <w:p w14:paraId="25E27030">
      <w:pPr>
        <w:pStyle w:val="85"/>
        <w:jc w:val="right"/>
        <w:rPr>
          <w:color w:val="auto"/>
          <w:sz w:val="22"/>
          <w:szCs w:val="22"/>
        </w:rPr>
      </w:pPr>
      <w:r>
        <w:rPr>
          <w:color w:val="auto"/>
          <w:sz w:val="22"/>
          <w:szCs w:val="22"/>
        </w:rPr>
        <w:t>Таблица 5.3</w:t>
      </w:r>
    </w:p>
    <w:p w14:paraId="07C1F2A5">
      <w:pPr>
        <w:pStyle w:val="85"/>
        <w:ind w:firstLine="540"/>
        <w:jc w:val="both"/>
        <w:rPr>
          <w:color w:val="auto"/>
          <w:sz w:val="22"/>
          <w:szCs w:val="22"/>
        </w:rPr>
      </w:pPr>
    </w:p>
    <w:p w14:paraId="127A5F48">
      <w:pPr>
        <w:pStyle w:val="85"/>
        <w:jc w:val="center"/>
        <w:rPr>
          <w:color w:val="auto"/>
          <w:sz w:val="22"/>
          <w:szCs w:val="22"/>
        </w:rPr>
      </w:pPr>
      <w:r>
        <w:rPr>
          <w:color w:val="auto"/>
          <w:sz w:val="22"/>
          <w:szCs w:val="22"/>
        </w:rPr>
        <w:t>Проверяемые элементы содержания (2 класс)</w:t>
      </w:r>
    </w:p>
    <w:p w14:paraId="7DD2C16C">
      <w:pPr>
        <w:pStyle w:val="85"/>
        <w:ind w:firstLine="540"/>
        <w:jc w:val="both"/>
        <w:rPr>
          <w:color w:val="auto"/>
          <w:sz w:val="22"/>
          <w:szCs w:val="22"/>
        </w:rPr>
      </w:pPr>
    </w:p>
    <w:tbl>
      <w:tblPr>
        <w:tblStyle w:val="1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02" w:type="dxa"/>
          <w:left w:w="62" w:type="dxa"/>
          <w:bottom w:w="102" w:type="dxa"/>
          <w:right w:w="62" w:type="dxa"/>
        </w:tblCellMar>
      </w:tblPr>
      <w:tblGrid>
        <w:gridCol w:w="1077"/>
        <w:gridCol w:w="7994"/>
      </w:tblGrid>
      <w:tr w14:paraId="146CE7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077" w:type="dxa"/>
          </w:tcPr>
          <w:p w14:paraId="27EFBCA7">
            <w:pPr>
              <w:pStyle w:val="85"/>
              <w:jc w:val="center"/>
              <w:rPr>
                <w:color w:val="auto"/>
                <w:sz w:val="22"/>
                <w:szCs w:val="22"/>
              </w:rPr>
            </w:pPr>
            <w:r>
              <w:rPr>
                <w:color w:val="auto"/>
                <w:sz w:val="22"/>
                <w:szCs w:val="22"/>
              </w:rPr>
              <w:t>Код</w:t>
            </w:r>
          </w:p>
        </w:tc>
        <w:tc>
          <w:tcPr>
            <w:tcW w:w="7994" w:type="dxa"/>
          </w:tcPr>
          <w:p w14:paraId="545DED60">
            <w:pPr>
              <w:pStyle w:val="85"/>
              <w:jc w:val="center"/>
              <w:rPr>
                <w:color w:val="auto"/>
                <w:sz w:val="22"/>
                <w:szCs w:val="22"/>
              </w:rPr>
            </w:pPr>
            <w:r>
              <w:rPr>
                <w:color w:val="auto"/>
                <w:sz w:val="22"/>
                <w:szCs w:val="22"/>
              </w:rPr>
              <w:t>Проверяемый элемент содержания</w:t>
            </w:r>
          </w:p>
        </w:tc>
      </w:tr>
      <w:tr w14:paraId="13EA27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077" w:type="dxa"/>
          </w:tcPr>
          <w:p w14:paraId="1FB52D13">
            <w:pPr>
              <w:pStyle w:val="85"/>
              <w:jc w:val="center"/>
              <w:rPr>
                <w:color w:val="auto"/>
                <w:sz w:val="22"/>
                <w:szCs w:val="22"/>
              </w:rPr>
            </w:pPr>
            <w:r>
              <w:rPr>
                <w:color w:val="auto"/>
                <w:sz w:val="22"/>
                <w:szCs w:val="22"/>
              </w:rPr>
              <w:t>1</w:t>
            </w:r>
          </w:p>
        </w:tc>
        <w:tc>
          <w:tcPr>
            <w:tcW w:w="7994" w:type="dxa"/>
          </w:tcPr>
          <w:p w14:paraId="3B093B64">
            <w:pPr>
              <w:pStyle w:val="85"/>
              <w:jc w:val="both"/>
              <w:rPr>
                <w:color w:val="auto"/>
                <w:sz w:val="22"/>
                <w:szCs w:val="22"/>
              </w:rPr>
            </w:pPr>
            <w:r>
              <w:rPr>
                <w:color w:val="auto"/>
                <w:sz w:val="22"/>
                <w:szCs w:val="22"/>
              </w:rPr>
              <w:t>Произведения о нашей Родине (на примере не менее трех произведений И.С. Никитина, Ф.П. Савинова, А.А. Прокофьева и других).</w:t>
            </w:r>
          </w:p>
          <w:p w14:paraId="6A91510C">
            <w:pPr>
              <w:pStyle w:val="85"/>
              <w:jc w:val="both"/>
              <w:rPr>
                <w:color w:val="auto"/>
                <w:sz w:val="22"/>
                <w:szCs w:val="22"/>
              </w:rPr>
            </w:pPr>
            <w:r>
              <w:rPr>
                <w:color w:val="auto"/>
                <w:sz w:val="22"/>
                <w:szCs w:val="22"/>
              </w:rPr>
              <w:t>И.С. Никитин "Русь", Ф.П. Савинов "Родина", А.А. Прокофьев "Родина" и другие (по выбору)</w:t>
            </w:r>
          </w:p>
        </w:tc>
      </w:tr>
      <w:tr w14:paraId="51C126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077" w:type="dxa"/>
          </w:tcPr>
          <w:p w14:paraId="2F5D140E">
            <w:pPr>
              <w:pStyle w:val="85"/>
              <w:jc w:val="center"/>
              <w:rPr>
                <w:color w:val="auto"/>
                <w:sz w:val="22"/>
                <w:szCs w:val="22"/>
              </w:rPr>
            </w:pPr>
            <w:r>
              <w:rPr>
                <w:color w:val="auto"/>
                <w:sz w:val="22"/>
                <w:szCs w:val="22"/>
              </w:rPr>
              <w:t>2</w:t>
            </w:r>
          </w:p>
        </w:tc>
        <w:tc>
          <w:tcPr>
            <w:tcW w:w="7994" w:type="dxa"/>
          </w:tcPr>
          <w:p w14:paraId="1E860225">
            <w:pPr>
              <w:pStyle w:val="85"/>
              <w:jc w:val="both"/>
              <w:rPr>
                <w:color w:val="auto"/>
                <w:sz w:val="22"/>
                <w:szCs w:val="22"/>
              </w:rPr>
            </w:pPr>
            <w:r>
              <w:rPr>
                <w:color w:val="auto"/>
                <w:sz w:val="22"/>
                <w:szCs w:val="22"/>
              </w:rPr>
              <w:t>Фольклор (устное народное творчество).</w:t>
            </w:r>
          </w:p>
        </w:tc>
      </w:tr>
      <w:tr w14:paraId="19B942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077" w:type="dxa"/>
          </w:tcPr>
          <w:p w14:paraId="2391CEE6">
            <w:pPr>
              <w:pStyle w:val="85"/>
              <w:jc w:val="center"/>
              <w:rPr>
                <w:color w:val="auto"/>
                <w:sz w:val="22"/>
                <w:szCs w:val="22"/>
              </w:rPr>
            </w:pPr>
            <w:r>
              <w:rPr>
                <w:color w:val="auto"/>
                <w:sz w:val="22"/>
                <w:szCs w:val="22"/>
              </w:rPr>
              <w:t>2.1</w:t>
            </w:r>
          </w:p>
        </w:tc>
        <w:tc>
          <w:tcPr>
            <w:tcW w:w="7994" w:type="dxa"/>
          </w:tcPr>
          <w:p w14:paraId="46181DDA">
            <w:pPr>
              <w:pStyle w:val="85"/>
              <w:jc w:val="both"/>
              <w:rPr>
                <w:color w:val="auto"/>
                <w:sz w:val="22"/>
                <w:szCs w:val="22"/>
              </w:rPr>
            </w:pPr>
            <w:r>
              <w:rPr>
                <w:color w:val="auto"/>
                <w:sz w:val="22"/>
                <w:szCs w:val="22"/>
              </w:rPr>
              <w:t>Произведения малых жанров фольклора: потешки, считалки, пословицы, скороговорки, небылицы, загадки (по выбору)</w:t>
            </w:r>
          </w:p>
        </w:tc>
      </w:tr>
      <w:tr w14:paraId="2A25C5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077" w:type="dxa"/>
          </w:tcPr>
          <w:p w14:paraId="3E92F33F">
            <w:pPr>
              <w:pStyle w:val="85"/>
              <w:jc w:val="center"/>
              <w:rPr>
                <w:color w:val="auto"/>
                <w:sz w:val="22"/>
                <w:szCs w:val="22"/>
              </w:rPr>
            </w:pPr>
            <w:r>
              <w:rPr>
                <w:color w:val="auto"/>
                <w:sz w:val="22"/>
                <w:szCs w:val="22"/>
              </w:rPr>
              <w:t>2.2</w:t>
            </w:r>
          </w:p>
        </w:tc>
        <w:tc>
          <w:tcPr>
            <w:tcW w:w="7994" w:type="dxa"/>
          </w:tcPr>
          <w:p w14:paraId="6FA5390D">
            <w:pPr>
              <w:pStyle w:val="85"/>
              <w:jc w:val="both"/>
              <w:rPr>
                <w:color w:val="auto"/>
                <w:sz w:val="22"/>
                <w:szCs w:val="22"/>
              </w:rPr>
            </w:pPr>
            <w:r>
              <w:rPr>
                <w:color w:val="auto"/>
                <w:sz w:val="22"/>
                <w:szCs w:val="22"/>
              </w:rPr>
              <w:t>Народные песни, их особенности</w:t>
            </w:r>
          </w:p>
        </w:tc>
      </w:tr>
      <w:tr w14:paraId="72F375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077" w:type="dxa"/>
          </w:tcPr>
          <w:p w14:paraId="29970F0D">
            <w:pPr>
              <w:pStyle w:val="85"/>
              <w:jc w:val="center"/>
              <w:rPr>
                <w:color w:val="auto"/>
                <w:sz w:val="22"/>
                <w:szCs w:val="22"/>
              </w:rPr>
            </w:pPr>
            <w:r>
              <w:rPr>
                <w:color w:val="auto"/>
                <w:sz w:val="22"/>
                <w:szCs w:val="22"/>
              </w:rPr>
              <w:t>2.3</w:t>
            </w:r>
          </w:p>
        </w:tc>
        <w:tc>
          <w:tcPr>
            <w:tcW w:w="7994" w:type="dxa"/>
          </w:tcPr>
          <w:p w14:paraId="274711F8">
            <w:pPr>
              <w:pStyle w:val="85"/>
              <w:jc w:val="both"/>
              <w:rPr>
                <w:color w:val="auto"/>
                <w:sz w:val="22"/>
                <w:szCs w:val="22"/>
              </w:rPr>
            </w:pPr>
            <w:r>
              <w:rPr>
                <w:color w:val="auto"/>
                <w:sz w:val="22"/>
                <w:szCs w:val="22"/>
              </w:rPr>
              <w:t>Сказки о животных, бытовые, волшебные.</w:t>
            </w:r>
          </w:p>
          <w:p w14:paraId="767EC4F6">
            <w:pPr>
              <w:pStyle w:val="85"/>
              <w:jc w:val="both"/>
              <w:rPr>
                <w:color w:val="auto"/>
                <w:sz w:val="22"/>
                <w:szCs w:val="22"/>
              </w:rPr>
            </w:pPr>
            <w:r>
              <w:rPr>
                <w:color w:val="auto"/>
                <w:sz w:val="22"/>
                <w:szCs w:val="22"/>
              </w:rPr>
              <w:t>Русские народные сказки: "Каша из топора", "У страха глаза велики", "Зимовье зверей", "Снегурочка"; сказки народов России (1 - 2 произведения) и другие</w:t>
            </w:r>
          </w:p>
        </w:tc>
      </w:tr>
      <w:tr w14:paraId="2B4B74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077" w:type="dxa"/>
          </w:tcPr>
          <w:p w14:paraId="672DDF0D">
            <w:pPr>
              <w:pStyle w:val="85"/>
              <w:jc w:val="center"/>
              <w:rPr>
                <w:color w:val="auto"/>
                <w:sz w:val="22"/>
                <w:szCs w:val="22"/>
              </w:rPr>
            </w:pPr>
            <w:r>
              <w:rPr>
                <w:color w:val="auto"/>
                <w:sz w:val="22"/>
                <w:szCs w:val="22"/>
              </w:rPr>
              <w:t>3</w:t>
            </w:r>
          </w:p>
        </w:tc>
        <w:tc>
          <w:tcPr>
            <w:tcW w:w="7994" w:type="dxa"/>
          </w:tcPr>
          <w:p w14:paraId="7DD10BD8">
            <w:pPr>
              <w:pStyle w:val="85"/>
              <w:jc w:val="both"/>
              <w:rPr>
                <w:color w:val="auto"/>
                <w:sz w:val="22"/>
                <w:szCs w:val="22"/>
              </w:rPr>
            </w:pPr>
            <w:r>
              <w:rPr>
                <w:color w:val="auto"/>
                <w:sz w:val="22"/>
                <w:szCs w:val="22"/>
              </w:rPr>
              <w:t>Звуки и краски родной природы в разные времена года (осень, зима, весна, лето) в произведениях литературы (по выбору, не менее пяти авторов).</w:t>
            </w:r>
          </w:p>
          <w:p w14:paraId="74C82E0B">
            <w:pPr>
              <w:pStyle w:val="85"/>
              <w:jc w:val="both"/>
              <w:rPr>
                <w:color w:val="auto"/>
                <w:sz w:val="22"/>
                <w:szCs w:val="22"/>
              </w:rPr>
            </w:pPr>
            <w:r>
              <w:rPr>
                <w:color w:val="auto"/>
                <w:sz w:val="22"/>
                <w:szCs w:val="22"/>
              </w:rPr>
              <w:t>А.С. Пушкин "Уж небо осенью дышало...", "Вот север, тучи нагоняя...", А.А. Плещеев "Осень", А.К. Толстой "Осень. Обсыпается наш сад...", М.М. Пришвин "Осеннее утро", Г.А. Скребицкий "Четыре художника", Ф.И. Тютчев "Чародейкою Зимою", "Зима недаром злится", И.С. Соколов-Микитов "Зима в лесу", С.А. Есенин "Поет зима - аукает...", И.З. Суриков "Лето" и другие</w:t>
            </w:r>
          </w:p>
        </w:tc>
      </w:tr>
      <w:tr w14:paraId="45E6E4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077" w:type="dxa"/>
          </w:tcPr>
          <w:p w14:paraId="1F00DC3D">
            <w:pPr>
              <w:pStyle w:val="85"/>
              <w:jc w:val="center"/>
              <w:rPr>
                <w:color w:val="auto"/>
                <w:sz w:val="22"/>
                <w:szCs w:val="22"/>
              </w:rPr>
            </w:pPr>
            <w:r>
              <w:rPr>
                <w:color w:val="auto"/>
                <w:sz w:val="22"/>
                <w:szCs w:val="22"/>
              </w:rPr>
              <w:t>4</w:t>
            </w:r>
          </w:p>
        </w:tc>
        <w:tc>
          <w:tcPr>
            <w:tcW w:w="7994" w:type="dxa"/>
          </w:tcPr>
          <w:p w14:paraId="25412FBE">
            <w:pPr>
              <w:pStyle w:val="85"/>
              <w:jc w:val="both"/>
              <w:rPr>
                <w:color w:val="auto"/>
                <w:sz w:val="22"/>
                <w:szCs w:val="22"/>
              </w:rPr>
            </w:pPr>
            <w:r>
              <w:rPr>
                <w:color w:val="auto"/>
                <w:sz w:val="22"/>
                <w:szCs w:val="22"/>
              </w:rPr>
              <w:t>Произведения о детях и дружбе (не менее четырех произведений). Л.Н. Толстой "Филиппок", Е.А. Пермяк "Две пословицы", Ю.И. Ермолаев "Два пирожных", В.А. Осеева "Синие листья", Н.Н. Носов "На горке", "Заплатка", А.Л. Барто "Катя", В.В. Лунин "Я и Вовка", В.Ю. Драгунский "Тайное становится явным" и другие (по выбору)</w:t>
            </w:r>
          </w:p>
        </w:tc>
      </w:tr>
      <w:tr w14:paraId="3E1F8C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077" w:type="dxa"/>
          </w:tcPr>
          <w:p w14:paraId="76BC571D">
            <w:pPr>
              <w:pStyle w:val="85"/>
              <w:jc w:val="center"/>
              <w:rPr>
                <w:color w:val="auto"/>
                <w:sz w:val="22"/>
                <w:szCs w:val="22"/>
              </w:rPr>
            </w:pPr>
            <w:r>
              <w:rPr>
                <w:color w:val="auto"/>
                <w:sz w:val="22"/>
                <w:szCs w:val="22"/>
              </w:rPr>
              <w:t>5</w:t>
            </w:r>
          </w:p>
        </w:tc>
        <w:tc>
          <w:tcPr>
            <w:tcW w:w="7994" w:type="dxa"/>
          </w:tcPr>
          <w:p w14:paraId="711292DA">
            <w:pPr>
              <w:pStyle w:val="85"/>
              <w:jc w:val="both"/>
              <w:rPr>
                <w:color w:val="auto"/>
                <w:sz w:val="22"/>
                <w:szCs w:val="22"/>
              </w:rPr>
            </w:pPr>
            <w:r>
              <w:rPr>
                <w:color w:val="auto"/>
                <w:sz w:val="22"/>
                <w:szCs w:val="22"/>
              </w:rPr>
              <w:t>Фольклорная (народная) и литературная (авторская) сказка: "бродячие" сюжеты (произведения по выбору, не менее четырех). Народная сказка "Золотая рыбка", А.С. Пушкин "Сказка о рыбаке и рыбке", народная сказка "Морозко", В.Ф. Одоевский "Мороз Иванович", В.И. Даль "Девочка Снегурочка" и другие</w:t>
            </w:r>
          </w:p>
        </w:tc>
      </w:tr>
      <w:tr w14:paraId="267074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077" w:type="dxa"/>
          </w:tcPr>
          <w:p w14:paraId="2D7FDDC6">
            <w:pPr>
              <w:pStyle w:val="85"/>
              <w:jc w:val="center"/>
              <w:rPr>
                <w:color w:val="auto"/>
                <w:sz w:val="22"/>
                <w:szCs w:val="22"/>
              </w:rPr>
            </w:pPr>
            <w:r>
              <w:rPr>
                <w:color w:val="auto"/>
                <w:sz w:val="22"/>
                <w:szCs w:val="22"/>
              </w:rPr>
              <w:t>6</w:t>
            </w:r>
          </w:p>
        </w:tc>
        <w:tc>
          <w:tcPr>
            <w:tcW w:w="7994" w:type="dxa"/>
          </w:tcPr>
          <w:p w14:paraId="5F16ABF0">
            <w:pPr>
              <w:pStyle w:val="85"/>
              <w:jc w:val="both"/>
              <w:rPr>
                <w:color w:val="auto"/>
                <w:sz w:val="22"/>
                <w:szCs w:val="22"/>
              </w:rPr>
            </w:pPr>
            <w:r>
              <w:rPr>
                <w:color w:val="auto"/>
                <w:sz w:val="22"/>
                <w:szCs w:val="22"/>
              </w:rPr>
              <w:t>Жанровое многообразие произведений о животных (песни, загадки, сказки, басни, рассказы, стихотворения; произведения по выбору, не менее пяти авторов)</w:t>
            </w:r>
          </w:p>
        </w:tc>
      </w:tr>
      <w:tr w14:paraId="6F357E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077" w:type="dxa"/>
          </w:tcPr>
          <w:p w14:paraId="130285E9">
            <w:pPr>
              <w:pStyle w:val="85"/>
              <w:jc w:val="center"/>
              <w:rPr>
                <w:color w:val="auto"/>
                <w:sz w:val="22"/>
                <w:szCs w:val="22"/>
              </w:rPr>
            </w:pPr>
            <w:r>
              <w:rPr>
                <w:color w:val="auto"/>
                <w:sz w:val="22"/>
                <w:szCs w:val="22"/>
              </w:rPr>
              <w:t>6.1</w:t>
            </w:r>
          </w:p>
        </w:tc>
        <w:tc>
          <w:tcPr>
            <w:tcW w:w="7994" w:type="dxa"/>
          </w:tcPr>
          <w:p w14:paraId="675C98D8">
            <w:pPr>
              <w:pStyle w:val="85"/>
              <w:jc w:val="both"/>
              <w:rPr>
                <w:color w:val="auto"/>
                <w:sz w:val="22"/>
                <w:szCs w:val="22"/>
              </w:rPr>
            </w:pPr>
            <w:r>
              <w:rPr>
                <w:color w:val="auto"/>
                <w:sz w:val="22"/>
                <w:szCs w:val="22"/>
              </w:rPr>
              <w:t>Отражение образов животных в фольклоре: русские народные песни, загадки, сказки</w:t>
            </w:r>
          </w:p>
        </w:tc>
      </w:tr>
      <w:tr w14:paraId="7E9EFA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077" w:type="dxa"/>
          </w:tcPr>
          <w:p w14:paraId="765205E0">
            <w:pPr>
              <w:pStyle w:val="85"/>
              <w:jc w:val="center"/>
              <w:rPr>
                <w:color w:val="auto"/>
                <w:sz w:val="22"/>
                <w:szCs w:val="22"/>
              </w:rPr>
            </w:pPr>
            <w:r>
              <w:rPr>
                <w:color w:val="auto"/>
                <w:sz w:val="22"/>
                <w:szCs w:val="22"/>
              </w:rPr>
              <w:t>6.2</w:t>
            </w:r>
          </w:p>
        </w:tc>
        <w:tc>
          <w:tcPr>
            <w:tcW w:w="7994" w:type="dxa"/>
          </w:tcPr>
          <w:p w14:paraId="6EDCF1E9">
            <w:pPr>
              <w:pStyle w:val="85"/>
              <w:jc w:val="both"/>
              <w:rPr>
                <w:color w:val="auto"/>
                <w:sz w:val="22"/>
                <w:szCs w:val="22"/>
              </w:rPr>
            </w:pPr>
            <w:r>
              <w:rPr>
                <w:color w:val="auto"/>
                <w:sz w:val="22"/>
                <w:szCs w:val="22"/>
              </w:rPr>
              <w:t>Дружба людей и животных - тема литературы.</w:t>
            </w:r>
          </w:p>
          <w:p w14:paraId="7BC7F7B3">
            <w:pPr>
              <w:pStyle w:val="85"/>
              <w:jc w:val="both"/>
              <w:rPr>
                <w:color w:val="auto"/>
                <w:sz w:val="22"/>
                <w:szCs w:val="22"/>
              </w:rPr>
            </w:pPr>
            <w:r>
              <w:rPr>
                <w:color w:val="auto"/>
                <w:sz w:val="22"/>
                <w:szCs w:val="22"/>
              </w:rPr>
              <w:t>М.М. Пришвин "Ребята и утята", Б.С. Житков "Храбрый утенок", В.Д. Берестов "Кошкин щенок", В.В. Бианки "Музыкант", Е.И. Чарушин "Страшный рассказ", С.В. Михалков "Мой щенок" и другие (по выбору)</w:t>
            </w:r>
          </w:p>
        </w:tc>
      </w:tr>
      <w:tr w14:paraId="387121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077" w:type="dxa"/>
          </w:tcPr>
          <w:p w14:paraId="0E06B6A9">
            <w:pPr>
              <w:pStyle w:val="85"/>
              <w:jc w:val="center"/>
              <w:rPr>
                <w:color w:val="auto"/>
                <w:sz w:val="22"/>
                <w:szCs w:val="22"/>
              </w:rPr>
            </w:pPr>
            <w:r>
              <w:rPr>
                <w:color w:val="auto"/>
                <w:sz w:val="22"/>
                <w:szCs w:val="22"/>
              </w:rPr>
              <w:t>6.3</w:t>
            </w:r>
          </w:p>
        </w:tc>
        <w:tc>
          <w:tcPr>
            <w:tcW w:w="7994" w:type="dxa"/>
          </w:tcPr>
          <w:p w14:paraId="3789B6EC">
            <w:pPr>
              <w:pStyle w:val="85"/>
              <w:jc w:val="both"/>
              <w:rPr>
                <w:color w:val="auto"/>
                <w:sz w:val="22"/>
                <w:szCs w:val="22"/>
              </w:rPr>
            </w:pPr>
            <w:r>
              <w:rPr>
                <w:color w:val="auto"/>
                <w:sz w:val="22"/>
                <w:szCs w:val="22"/>
              </w:rPr>
              <w:t>Особенности басни как жанра литературы, прозаические и стихотворные басни И.А. Крылов "Лебедь, Щука и Рак", Л.Н. Толстой "Лев и мышь" и другие (по выбору)</w:t>
            </w:r>
          </w:p>
        </w:tc>
      </w:tr>
      <w:tr w14:paraId="27C304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077" w:type="dxa"/>
          </w:tcPr>
          <w:p w14:paraId="2AD318D0">
            <w:pPr>
              <w:pStyle w:val="85"/>
              <w:jc w:val="center"/>
              <w:rPr>
                <w:color w:val="auto"/>
                <w:sz w:val="22"/>
                <w:szCs w:val="22"/>
              </w:rPr>
            </w:pPr>
            <w:r>
              <w:rPr>
                <w:color w:val="auto"/>
                <w:sz w:val="22"/>
                <w:szCs w:val="22"/>
              </w:rPr>
              <w:t>7</w:t>
            </w:r>
          </w:p>
        </w:tc>
        <w:tc>
          <w:tcPr>
            <w:tcW w:w="7994" w:type="dxa"/>
          </w:tcPr>
          <w:p w14:paraId="40FFB4AA">
            <w:pPr>
              <w:pStyle w:val="85"/>
              <w:jc w:val="both"/>
              <w:rPr>
                <w:color w:val="auto"/>
                <w:sz w:val="22"/>
                <w:szCs w:val="22"/>
              </w:rPr>
            </w:pPr>
            <w:r>
              <w:rPr>
                <w:color w:val="auto"/>
                <w:sz w:val="22"/>
                <w:szCs w:val="22"/>
              </w:rPr>
              <w:t>Тема семьи, детства, взаимоотношений взрослых и детей в творчестве писателей и фольклорных произведениях (по выбору). Л.Н. Толстой "Отец и сыновья", А.А. Плещеев "Песня матери", В.А. Осеева "Сыновья", С.В. Михалков "Быль для детей", С.А. Баруздин "Салют" и другие (по выбору).</w:t>
            </w:r>
          </w:p>
        </w:tc>
      </w:tr>
      <w:tr w14:paraId="10BEA9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077" w:type="dxa"/>
          </w:tcPr>
          <w:p w14:paraId="7691EDDA">
            <w:pPr>
              <w:pStyle w:val="85"/>
              <w:jc w:val="center"/>
              <w:rPr>
                <w:color w:val="auto"/>
                <w:sz w:val="22"/>
                <w:szCs w:val="22"/>
              </w:rPr>
            </w:pPr>
            <w:r>
              <w:rPr>
                <w:color w:val="auto"/>
                <w:sz w:val="22"/>
                <w:szCs w:val="22"/>
              </w:rPr>
              <w:t>8</w:t>
            </w:r>
          </w:p>
        </w:tc>
        <w:tc>
          <w:tcPr>
            <w:tcW w:w="7994" w:type="dxa"/>
          </w:tcPr>
          <w:p w14:paraId="4112141C">
            <w:pPr>
              <w:pStyle w:val="85"/>
              <w:jc w:val="both"/>
              <w:rPr>
                <w:color w:val="auto"/>
                <w:sz w:val="22"/>
                <w:szCs w:val="22"/>
              </w:rPr>
            </w:pPr>
            <w:r>
              <w:rPr>
                <w:color w:val="auto"/>
                <w:sz w:val="22"/>
                <w:szCs w:val="22"/>
              </w:rPr>
              <w:t>Зарубежная литература: литературная (авторская) сказка (не менее двух произведений): зарубежные писатели-сказочники (Ш. Перро, Х.-К. Андерсен и другие).</w:t>
            </w:r>
          </w:p>
          <w:p w14:paraId="77C7D724">
            <w:pPr>
              <w:pStyle w:val="85"/>
              <w:jc w:val="both"/>
              <w:rPr>
                <w:color w:val="auto"/>
                <w:sz w:val="22"/>
                <w:szCs w:val="22"/>
              </w:rPr>
            </w:pPr>
            <w:r>
              <w:rPr>
                <w:color w:val="auto"/>
                <w:sz w:val="22"/>
                <w:szCs w:val="22"/>
              </w:rPr>
              <w:t>Ш. Перро "Кот в сапогах", Х.-К. Андерсен "Пятеро из одного стручка" и другие (по выбору)</w:t>
            </w:r>
          </w:p>
        </w:tc>
      </w:tr>
      <w:tr w14:paraId="261AB5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077" w:type="dxa"/>
          </w:tcPr>
          <w:p w14:paraId="27D34040">
            <w:pPr>
              <w:pStyle w:val="85"/>
              <w:jc w:val="center"/>
              <w:rPr>
                <w:color w:val="auto"/>
                <w:sz w:val="22"/>
                <w:szCs w:val="22"/>
              </w:rPr>
            </w:pPr>
            <w:r>
              <w:rPr>
                <w:color w:val="auto"/>
                <w:sz w:val="22"/>
                <w:szCs w:val="22"/>
              </w:rPr>
              <w:t>9</w:t>
            </w:r>
          </w:p>
        </w:tc>
        <w:tc>
          <w:tcPr>
            <w:tcW w:w="7994" w:type="dxa"/>
          </w:tcPr>
          <w:p w14:paraId="3DD53186">
            <w:pPr>
              <w:pStyle w:val="85"/>
              <w:jc w:val="both"/>
              <w:rPr>
                <w:color w:val="auto"/>
                <w:sz w:val="22"/>
                <w:szCs w:val="22"/>
              </w:rPr>
            </w:pPr>
            <w:r>
              <w:rPr>
                <w:color w:val="auto"/>
                <w:sz w:val="22"/>
                <w:szCs w:val="22"/>
              </w:rPr>
              <w:t>Сведения по теории и истории литературы</w:t>
            </w:r>
          </w:p>
          <w:p w14:paraId="2865646A">
            <w:pPr>
              <w:pStyle w:val="85"/>
              <w:jc w:val="both"/>
              <w:rPr>
                <w:color w:val="auto"/>
                <w:sz w:val="22"/>
                <w:szCs w:val="22"/>
              </w:rPr>
            </w:pPr>
            <w:r>
              <w:rPr>
                <w:color w:val="auto"/>
                <w:sz w:val="22"/>
                <w:szCs w:val="22"/>
              </w:rPr>
              <w:t>Автор, писатель. Произведение.</w:t>
            </w:r>
          </w:p>
          <w:p w14:paraId="724F4E7C">
            <w:pPr>
              <w:pStyle w:val="85"/>
              <w:jc w:val="both"/>
              <w:rPr>
                <w:color w:val="auto"/>
                <w:sz w:val="22"/>
                <w:szCs w:val="22"/>
              </w:rPr>
            </w:pPr>
            <w:r>
              <w:rPr>
                <w:color w:val="auto"/>
                <w:sz w:val="22"/>
                <w:szCs w:val="22"/>
              </w:rPr>
              <w:t>Жанры (стихотворение, рассказ); жанры фольклора малые (потешка, считалка, небылица, пословица, загадка). Фольклорная сказка (сказка о животных, бытовая, волшебная) и литературная сказка.</w:t>
            </w:r>
          </w:p>
          <w:p w14:paraId="75A609FE">
            <w:pPr>
              <w:pStyle w:val="85"/>
              <w:jc w:val="both"/>
              <w:rPr>
                <w:color w:val="auto"/>
                <w:sz w:val="22"/>
                <w:szCs w:val="22"/>
              </w:rPr>
            </w:pPr>
            <w:r>
              <w:rPr>
                <w:color w:val="auto"/>
                <w:sz w:val="22"/>
                <w:szCs w:val="22"/>
              </w:rPr>
              <w:t>Идея. Тема. Заголовок.</w:t>
            </w:r>
          </w:p>
          <w:p w14:paraId="0A934F84">
            <w:pPr>
              <w:pStyle w:val="85"/>
              <w:jc w:val="both"/>
              <w:rPr>
                <w:color w:val="auto"/>
                <w:sz w:val="22"/>
                <w:szCs w:val="22"/>
              </w:rPr>
            </w:pPr>
            <w:r>
              <w:rPr>
                <w:color w:val="auto"/>
                <w:sz w:val="22"/>
                <w:szCs w:val="22"/>
              </w:rPr>
              <w:t>Литературный герой, характер. Портрет героя.</w:t>
            </w:r>
          </w:p>
          <w:p w14:paraId="3C49FCD2">
            <w:pPr>
              <w:pStyle w:val="85"/>
              <w:jc w:val="both"/>
              <w:rPr>
                <w:color w:val="auto"/>
                <w:sz w:val="22"/>
                <w:szCs w:val="22"/>
              </w:rPr>
            </w:pPr>
            <w:r>
              <w:rPr>
                <w:color w:val="auto"/>
                <w:sz w:val="22"/>
                <w:szCs w:val="22"/>
              </w:rPr>
              <w:t>Ритм. Рифма.</w:t>
            </w:r>
          </w:p>
          <w:p w14:paraId="3AFFB119">
            <w:pPr>
              <w:pStyle w:val="85"/>
              <w:jc w:val="both"/>
              <w:rPr>
                <w:color w:val="auto"/>
                <w:sz w:val="22"/>
                <w:szCs w:val="22"/>
              </w:rPr>
            </w:pPr>
            <w:r>
              <w:rPr>
                <w:color w:val="auto"/>
                <w:sz w:val="22"/>
                <w:szCs w:val="22"/>
              </w:rPr>
              <w:t>Содержание произведения, сюжет. Композиция. Эпизод.</w:t>
            </w:r>
          </w:p>
          <w:p w14:paraId="3E515256">
            <w:pPr>
              <w:pStyle w:val="85"/>
              <w:jc w:val="both"/>
              <w:rPr>
                <w:color w:val="auto"/>
                <w:sz w:val="22"/>
                <w:szCs w:val="22"/>
              </w:rPr>
            </w:pPr>
            <w:r>
              <w:rPr>
                <w:color w:val="auto"/>
                <w:sz w:val="22"/>
                <w:szCs w:val="22"/>
              </w:rPr>
              <w:t>Средства художественной выразительности (сравнение, эпитет).</w:t>
            </w:r>
          </w:p>
          <w:p w14:paraId="2791EEC6">
            <w:pPr>
              <w:pStyle w:val="85"/>
              <w:jc w:val="both"/>
              <w:rPr>
                <w:color w:val="auto"/>
                <w:sz w:val="22"/>
                <w:szCs w:val="22"/>
              </w:rPr>
            </w:pPr>
            <w:r>
              <w:rPr>
                <w:color w:val="auto"/>
                <w:sz w:val="22"/>
                <w:szCs w:val="22"/>
              </w:rPr>
              <w:t>Проза и поэзия</w:t>
            </w:r>
          </w:p>
        </w:tc>
      </w:tr>
    </w:tbl>
    <w:p w14:paraId="60561EE6">
      <w:pPr>
        <w:pStyle w:val="85"/>
        <w:ind w:firstLine="540"/>
        <w:jc w:val="both"/>
        <w:rPr>
          <w:color w:val="auto"/>
          <w:sz w:val="22"/>
          <w:szCs w:val="22"/>
        </w:rPr>
      </w:pPr>
    </w:p>
    <w:p w14:paraId="59AAE77D">
      <w:pPr>
        <w:pStyle w:val="85"/>
        <w:jc w:val="right"/>
        <w:rPr>
          <w:color w:val="auto"/>
          <w:sz w:val="22"/>
          <w:szCs w:val="22"/>
        </w:rPr>
      </w:pPr>
      <w:r>
        <w:rPr>
          <w:color w:val="auto"/>
          <w:sz w:val="22"/>
          <w:szCs w:val="22"/>
        </w:rPr>
        <w:t>Таблица 5.4</w:t>
      </w:r>
    </w:p>
    <w:p w14:paraId="6DC52437">
      <w:pPr>
        <w:pStyle w:val="85"/>
        <w:ind w:firstLine="540"/>
        <w:jc w:val="both"/>
        <w:rPr>
          <w:color w:val="auto"/>
          <w:sz w:val="22"/>
          <w:szCs w:val="22"/>
        </w:rPr>
      </w:pPr>
    </w:p>
    <w:p w14:paraId="5E9DBC7F">
      <w:pPr>
        <w:pStyle w:val="85"/>
        <w:jc w:val="center"/>
        <w:rPr>
          <w:color w:val="auto"/>
          <w:sz w:val="22"/>
          <w:szCs w:val="22"/>
        </w:rPr>
      </w:pPr>
      <w:r>
        <w:rPr>
          <w:color w:val="auto"/>
          <w:sz w:val="22"/>
          <w:szCs w:val="22"/>
        </w:rPr>
        <w:t>Проверяемые требования к результатам освоения основной</w:t>
      </w:r>
    </w:p>
    <w:p w14:paraId="1CC77CB5">
      <w:pPr>
        <w:pStyle w:val="85"/>
        <w:jc w:val="center"/>
        <w:rPr>
          <w:color w:val="auto"/>
          <w:sz w:val="22"/>
          <w:szCs w:val="22"/>
        </w:rPr>
      </w:pPr>
      <w:r>
        <w:rPr>
          <w:color w:val="auto"/>
          <w:sz w:val="22"/>
          <w:szCs w:val="22"/>
        </w:rPr>
        <w:t>образовательной программы (3 класс)</w:t>
      </w:r>
    </w:p>
    <w:p w14:paraId="1366A14F">
      <w:pPr>
        <w:pStyle w:val="85"/>
        <w:ind w:firstLine="540"/>
        <w:jc w:val="both"/>
        <w:rPr>
          <w:color w:val="auto"/>
          <w:sz w:val="22"/>
          <w:szCs w:val="22"/>
        </w:rPr>
      </w:pPr>
    </w:p>
    <w:tbl>
      <w:tblPr>
        <w:tblStyle w:val="1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02" w:type="dxa"/>
          <w:left w:w="62" w:type="dxa"/>
          <w:bottom w:w="102" w:type="dxa"/>
          <w:right w:w="62" w:type="dxa"/>
        </w:tblCellMar>
      </w:tblPr>
      <w:tblGrid>
        <w:gridCol w:w="1701"/>
        <w:gridCol w:w="7370"/>
      </w:tblGrid>
      <w:tr w14:paraId="61DD54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701" w:type="dxa"/>
          </w:tcPr>
          <w:p w14:paraId="4354DDBA">
            <w:pPr>
              <w:pStyle w:val="85"/>
              <w:jc w:val="center"/>
              <w:rPr>
                <w:color w:val="auto"/>
                <w:sz w:val="22"/>
                <w:szCs w:val="22"/>
              </w:rPr>
            </w:pPr>
            <w:r>
              <w:rPr>
                <w:color w:val="auto"/>
                <w:sz w:val="22"/>
                <w:szCs w:val="22"/>
              </w:rPr>
              <w:t>Код проверяемого результата</w:t>
            </w:r>
          </w:p>
        </w:tc>
        <w:tc>
          <w:tcPr>
            <w:tcW w:w="7370" w:type="dxa"/>
          </w:tcPr>
          <w:p w14:paraId="56667C89">
            <w:pPr>
              <w:pStyle w:val="85"/>
              <w:jc w:val="center"/>
              <w:rPr>
                <w:color w:val="auto"/>
                <w:sz w:val="22"/>
                <w:szCs w:val="22"/>
              </w:rPr>
            </w:pPr>
            <w:r>
              <w:rPr>
                <w:color w:val="auto"/>
                <w:sz w:val="22"/>
                <w:szCs w:val="22"/>
              </w:rPr>
              <w:t>Проверяемые предметные результаты освоения основной образовательной программы начального общего образования</w:t>
            </w:r>
          </w:p>
        </w:tc>
      </w:tr>
      <w:tr w14:paraId="6F8B4D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701" w:type="dxa"/>
          </w:tcPr>
          <w:p w14:paraId="6255E35F">
            <w:pPr>
              <w:pStyle w:val="85"/>
              <w:jc w:val="center"/>
              <w:rPr>
                <w:color w:val="auto"/>
                <w:sz w:val="22"/>
                <w:szCs w:val="22"/>
              </w:rPr>
            </w:pPr>
            <w:r>
              <w:rPr>
                <w:color w:val="auto"/>
                <w:sz w:val="22"/>
                <w:szCs w:val="22"/>
              </w:rPr>
              <w:t>1.1</w:t>
            </w:r>
          </w:p>
        </w:tc>
        <w:tc>
          <w:tcPr>
            <w:tcW w:w="7370" w:type="dxa"/>
          </w:tcPr>
          <w:p w14:paraId="351B33CF">
            <w:pPr>
              <w:pStyle w:val="85"/>
              <w:jc w:val="both"/>
              <w:rPr>
                <w:color w:val="auto"/>
                <w:sz w:val="22"/>
                <w:szCs w:val="22"/>
              </w:rPr>
            </w:pPr>
            <w:r>
              <w:rPr>
                <w:color w:val="auto"/>
                <w:sz w:val="22"/>
                <w:szCs w:val="22"/>
              </w:rPr>
              <w:t>отвечать на вопрос о культурной значимости устного народного творчества и художественной литературы, находить в фольклоре и литературных произведениях отражение нравственных ценностей, традиций, быта, культуры разных народов, ориентироваться в нравственно-этических понятиях в контексте изученных произведений</w:t>
            </w:r>
          </w:p>
        </w:tc>
      </w:tr>
      <w:tr w14:paraId="1C2660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701" w:type="dxa"/>
          </w:tcPr>
          <w:p w14:paraId="46C04482">
            <w:pPr>
              <w:pStyle w:val="85"/>
              <w:jc w:val="center"/>
              <w:rPr>
                <w:color w:val="auto"/>
                <w:sz w:val="22"/>
                <w:szCs w:val="22"/>
              </w:rPr>
            </w:pPr>
            <w:r>
              <w:rPr>
                <w:color w:val="auto"/>
                <w:sz w:val="22"/>
                <w:szCs w:val="22"/>
              </w:rPr>
              <w:t>1.2</w:t>
            </w:r>
          </w:p>
        </w:tc>
        <w:tc>
          <w:tcPr>
            <w:tcW w:w="7370" w:type="dxa"/>
          </w:tcPr>
          <w:p w14:paraId="362735A4">
            <w:pPr>
              <w:pStyle w:val="85"/>
              <w:jc w:val="both"/>
              <w:rPr>
                <w:color w:val="auto"/>
                <w:sz w:val="22"/>
                <w:szCs w:val="22"/>
              </w:rPr>
            </w:pPr>
            <w:r>
              <w:rPr>
                <w:color w:val="auto"/>
                <w:sz w:val="22"/>
                <w:szCs w:val="22"/>
              </w:rPr>
              <w:t>читать вслух и про себя в соответствии с учебной задачей, использовать разные виды чтения (изучающее, ознакомительное, поисковое выборочное, просмотровое выборочное);</w:t>
            </w:r>
          </w:p>
          <w:p w14:paraId="25419E51">
            <w:pPr>
              <w:pStyle w:val="85"/>
              <w:jc w:val="both"/>
              <w:rPr>
                <w:color w:val="auto"/>
                <w:sz w:val="22"/>
                <w:szCs w:val="22"/>
              </w:rPr>
            </w:pPr>
            <w:r>
              <w:rPr>
                <w:color w:val="auto"/>
                <w:sz w:val="22"/>
                <w:szCs w:val="22"/>
              </w:rPr>
              <w:t>читать вслух целыми словами без пропусков и перестановок букв и слогов доступные по восприятию и небольшие по объему прозаические и стихотворные произведения в темпе не менее 60 слов в минуту (без отметочного оценивания)</w:t>
            </w:r>
          </w:p>
        </w:tc>
      </w:tr>
      <w:tr w14:paraId="5C71B3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701" w:type="dxa"/>
          </w:tcPr>
          <w:p w14:paraId="5A1F2672">
            <w:pPr>
              <w:pStyle w:val="85"/>
              <w:jc w:val="center"/>
              <w:rPr>
                <w:color w:val="auto"/>
                <w:sz w:val="22"/>
                <w:szCs w:val="22"/>
              </w:rPr>
            </w:pPr>
            <w:r>
              <w:rPr>
                <w:color w:val="auto"/>
                <w:sz w:val="22"/>
                <w:szCs w:val="22"/>
              </w:rPr>
              <w:t>1.3</w:t>
            </w:r>
          </w:p>
        </w:tc>
        <w:tc>
          <w:tcPr>
            <w:tcW w:w="7370" w:type="dxa"/>
          </w:tcPr>
          <w:p w14:paraId="65B4C7E3">
            <w:pPr>
              <w:pStyle w:val="85"/>
              <w:jc w:val="both"/>
              <w:rPr>
                <w:color w:val="auto"/>
                <w:sz w:val="22"/>
                <w:szCs w:val="22"/>
              </w:rPr>
            </w:pPr>
            <w:r>
              <w:rPr>
                <w:color w:val="auto"/>
                <w:sz w:val="22"/>
                <w:szCs w:val="22"/>
              </w:rPr>
              <w:t>читать наизусть не менее 4 стихотворений в соответствии с изученной тематикой произведений</w:t>
            </w:r>
          </w:p>
        </w:tc>
      </w:tr>
      <w:tr w14:paraId="1F2BE4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701" w:type="dxa"/>
          </w:tcPr>
          <w:p w14:paraId="5D6E9292">
            <w:pPr>
              <w:pStyle w:val="85"/>
              <w:jc w:val="center"/>
              <w:rPr>
                <w:color w:val="auto"/>
                <w:sz w:val="22"/>
                <w:szCs w:val="22"/>
              </w:rPr>
            </w:pPr>
            <w:r>
              <w:rPr>
                <w:color w:val="auto"/>
                <w:sz w:val="22"/>
                <w:szCs w:val="22"/>
              </w:rPr>
              <w:t>1.4</w:t>
            </w:r>
          </w:p>
        </w:tc>
        <w:tc>
          <w:tcPr>
            <w:tcW w:w="7370" w:type="dxa"/>
          </w:tcPr>
          <w:p w14:paraId="76469468">
            <w:pPr>
              <w:pStyle w:val="85"/>
              <w:jc w:val="both"/>
              <w:rPr>
                <w:color w:val="auto"/>
                <w:sz w:val="22"/>
                <w:szCs w:val="22"/>
              </w:rPr>
            </w:pPr>
            <w:r>
              <w:rPr>
                <w:color w:val="auto"/>
                <w:sz w:val="22"/>
                <w:szCs w:val="22"/>
              </w:rPr>
              <w:t>различать художественные произведения и познавательные тексты</w:t>
            </w:r>
          </w:p>
        </w:tc>
      </w:tr>
      <w:tr w14:paraId="4B1CD7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701" w:type="dxa"/>
          </w:tcPr>
          <w:p w14:paraId="0C32A1E9">
            <w:pPr>
              <w:pStyle w:val="85"/>
              <w:jc w:val="center"/>
              <w:rPr>
                <w:color w:val="auto"/>
                <w:sz w:val="22"/>
                <w:szCs w:val="22"/>
              </w:rPr>
            </w:pPr>
            <w:r>
              <w:rPr>
                <w:color w:val="auto"/>
                <w:sz w:val="22"/>
                <w:szCs w:val="22"/>
              </w:rPr>
              <w:t>1.5</w:t>
            </w:r>
          </w:p>
        </w:tc>
        <w:tc>
          <w:tcPr>
            <w:tcW w:w="7370" w:type="dxa"/>
          </w:tcPr>
          <w:p w14:paraId="18EC20B4">
            <w:pPr>
              <w:pStyle w:val="85"/>
              <w:jc w:val="both"/>
              <w:rPr>
                <w:color w:val="auto"/>
                <w:sz w:val="22"/>
                <w:szCs w:val="22"/>
              </w:rPr>
            </w:pPr>
            <w:r>
              <w:rPr>
                <w:color w:val="auto"/>
                <w:sz w:val="22"/>
                <w:szCs w:val="22"/>
              </w:rPr>
              <w:t>различать прозаическую и стихотворную речь: называть особенности стихотворного произведения (ритм, рифма, строфа), отличать лирическое произведение от эпического</w:t>
            </w:r>
          </w:p>
        </w:tc>
      </w:tr>
      <w:tr w14:paraId="03C4C9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701" w:type="dxa"/>
          </w:tcPr>
          <w:p w14:paraId="4B1B8609">
            <w:pPr>
              <w:pStyle w:val="85"/>
              <w:jc w:val="center"/>
              <w:rPr>
                <w:color w:val="auto"/>
                <w:sz w:val="22"/>
                <w:szCs w:val="22"/>
              </w:rPr>
            </w:pPr>
            <w:r>
              <w:rPr>
                <w:color w:val="auto"/>
                <w:sz w:val="22"/>
                <w:szCs w:val="22"/>
              </w:rPr>
              <w:t>1.6</w:t>
            </w:r>
          </w:p>
        </w:tc>
        <w:tc>
          <w:tcPr>
            <w:tcW w:w="7370" w:type="dxa"/>
          </w:tcPr>
          <w:p w14:paraId="7B76C2B8">
            <w:pPr>
              <w:pStyle w:val="85"/>
              <w:jc w:val="both"/>
              <w:rPr>
                <w:color w:val="auto"/>
                <w:sz w:val="22"/>
                <w:szCs w:val="22"/>
              </w:rPr>
            </w:pPr>
            <w:r>
              <w:rPr>
                <w:color w:val="auto"/>
                <w:sz w:val="22"/>
                <w:szCs w:val="22"/>
              </w:rPr>
              <w:t>понимать жанровую принадлежность, содержание, смысл прослушанного (прочитанного) произведения: отвечать и формулировать вопросы к учебным и художественным текстам;</w:t>
            </w:r>
          </w:p>
          <w:p w14:paraId="3C59A8DE">
            <w:pPr>
              <w:pStyle w:val="85"/>
              <w:jc w:val="both"/>
              <w:rPr>
                <w:color w:val="auto"/>
                <w:sz w:val="22"/>
                <w:szCs w:val="22"/>
              </w:rPr>
            </w:pPr>
            <w:r>
              <w:rPr>
                <w:color w:val="auto"/>
                <w:sz w:val="22"/>
                <w:szCs w:val="22"/>
              </w:rPr>
              <w:t>различать отдельные жанры фольклора (считалки, загадки, пословицы, потешки, небылицы, народные песни, скороговорки, сказки о животных, бытовые и волшебные) и художественной литературы (литературные сказки, рассказы, стихотворения, басни), приводить примеры произведений фольклора разных народов России</w:t>
            </w:r>
          </w:p>
        </w:tc>
      </w:tr>
      <w:tr w14:paraId="452F5E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701" w:type="dxa"/>
          </w:tcPr>
          <w:p w14:paraId="5DC857E4">
            <w:pPr>
              <w:pStyle w:val="85"/>
              <w:jc w:val="center"/>
              <w:rPr>
                <w:color w:val="auto"/>
                <w:sz w:val="22"/>
                <w:szCs w:val="22"/>
              </w:rPr>
            </w:pPr>
            <w:r>
              <w:rPr>
                <w:color w:val="auto"/>
                <w:sz w:val="22"/>
                <w:szCs w:val="22"/>
              </w:rPr>
              <w:t>1.7</w:t>
            </w:r>
          </w:p>
        </w:tc>
        <w:tc>
          <w:tcPr>
            <w:tcW w:w="7370" w:type="dxa"/>
          </w:tcPr>
          <w:p w14:paraId="5B20093B">
            <w:pPr>
              <w:pStyle w:val="85"/>
              <w:jc w:val="both"/>
              <w:rPr>
                <w:color w:val="auto"/>
                <w:sz w:val="22"/>
                <w:szCs w:val="22"/>
              </w:rPr>
            </w:pPr>
            <w:r>
              <w:rPr>
                <w:color w:val="auto"/>
                <w:sz w:val="22"/>
                <w:szCs w:val="22"/>
              </w:rPr>
              <w:t>владеть элементарными умениями анализа и интерпретации текста: формулировать тему и главную мысль, определять последовательность событий в тексте произведения, выявлять связь событий, эпизодов текста; составлять план текста (вопросный, номинативный, цитатный)</w:t>
            </w:r>
          </w:p>
        </w:tc>
      </w:tr>
      <w:tr w14:paraId="59981A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701" w:type="dxa"/>
          </w:tcPr>
          <w:p w14:paraId="7461AD62">
            <w:pPr>
              <w:pStyle w:val="85"/>
              <w:jc w:val="center"/>
              <w:rPr>
                <w:color w:val="auto"/>
                <w:sz w:val="22"/>
                <w:szCs w:val="22"/>
              </w:rPr>
            </w:pPr>
            <w:r>
              <w:rPr>
                <w:color w:val="auto"/>
                <w:sz w:val="22"/>
                <w:szCs w:val="22"/>
              </w:rPr>
              <w:t>1.8</w:t>
            </w:r>
          </w:p>
        </w:tc>
        <w:tc>
          <w:tcPr>
            <w:tcW w:w="7370" w:type="dxa"/>
          </w:tcPr>
          <w:p w14:paraId="7A9C5110">
            <w:pPr>
              <w:pStyle w:val="85"/>
              <w:jc w:val="both"/>
              <w:rPr>
                <w:color w:val="auto"/>
                <w:sz w:val="22"/>
                <w:szCs w:val="22"/>
              </w:rPr>
            </w:pPr>
            <w:r>
              <w:rPr>
                <w:color w:val="auto"/>
                <w:sz w:val="22"/>
                <w:szCs w:val="22"/>
              </w:rPr>
              <w:t>характеризовать героев, описывать характер героя, давать оценку поступкам героев, составлять портретные характеристики персонажей; выявлять взаимосвязь между поступками, мыслями, чувствами героев, сравнивать героев одного произведения и сопоставлять их поступки по предложенным критериям (по аналогии или по контрасту);</w:t>
            </w:r>
          </w:p>
          <w:p w14:paraId="0A3BA967">
            <w:pPr>
              <w:pStyle w:val="85"/>
              <w:jc w:val="both"/>
              <w:rPr>
                <w:color w:val="auto"/>
                <w:sz w:val="22"/>
                <w:szCs w:val="22"/>
              </w:rPr>
            </w:pPr>
            <w:r>
              <w:rPr>
                <w:color w:val="auto"/>
                <w:sz w:val="22"/>
                <w:szCs w:val="22"/>
              </w:rPr>
              <w:t>отличать автора произведения от героя и рассказчика, характеризовать отношение автора к героям, поступкам, описанной картине, находить в тексте средства изображения героев (портрет), описание пейзажа и интерьера</w:t>
            </w:r>
          </w:p>
        </w:tc>
      </w:tr>
      <w:tr w14:paraId="590A69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701" w:type="dxa"/>
          </w:tcPr>
          <w:p w14:paraId="2FFAA782">
            <w:pPr>
              <w:pStyle w:val="85"/>
              <w:jc w:val="center"/>
              <w:rPr>
                <w:color w:val="auto"/>
                <w:sz w:val="22"/>
                <w:szCs w:val="22"/>
              </w:rPr>
            </w:pPr>
            <w:r>
              <w:rPr>
                <w:color w:val="auto"/>
                <w:sz w:val="22"/>
                <w:szCs w:val="22"/>
              </w:rPr>
              <w:t>1.9</w:t>
            </w:r>
          </w:p>
        </w:tc>
        <w:tc>
          <w:tcPr>
            <w:tcW w:w="7370" w:type="dxa"/>
          </w:tcPr>
          <w:p w14:paraId="78689605">
            <w:pPr>
              <w:pStyle w:val="85"/>
              <w:jc w:val="both"/>
              <w:rPr>
                <w:color w:val="auto"/>
                <w:sz w:val="22"/>
                <w:szCs w:val="22"/>
              </w:rPr>
            </w:pPr>
            <w:r>
              <w:rPr>
                <w:color w:val="auto"/>
                <w:sz w:val="22"/>
                <w:szCs w:val="22"/>
              </w:rPr>
              <w:t>объяснять значение незнакомого слова с использованием контекста и словаря; находить в тексте примеры использования слов в прямом и переносном значении, средств художественной выразительности (сравнение, эпитет, олицетворение)</w:t>
            </w:r>
          </w:p>
        </w:tc>
      </w:tr>
      <w:tr w14:paraId="743463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701" w:type="dxa"/>
          </w:tcPr>
          <w:p w14:paraId="5452A81A">
            <w:pPr>
              <w:pStyle w:val="85"/>
              <w:jc w:val="center"/>
              <w:rPr>
                <w:color w:val="auto"/>
                <w:sz w:val="22"/>
                <w:szCs w:val="22"/>
              </w:rPr>
            </w:pPr>
            <w:r>
              <w:rPr>
                <w:color w:val="auto"/>
                <w:sz w:val="22"/>
                <w:szCs w:val="22"/>
              </w:rPr>
              <w:t>1.10</w:t>
            </w:r>
          </w:p>
        </w:tc>
        <w:tc>
          <w:tcPr>
            <w:tcW w:w="7370" w:type="dxa"/>
          </w:tcPr>
          <w:p w14:paraId="52D1B874">
            <w:pPr>
              <w:pStyle w:val="85"/>
              <w:jc w:val="both"/>
              <w:rPr>
                <w:color w:val="auto"/>
                <w:sz w:val="22"/>
                <w:szCs w:val="22"/>
              </w:rPr>
            </w:pPr>
            <w:r>
              <w:rPr>
                <w:color w:val="auto"/>
                <w:sz w:val="22"/>
                <w:szCs w:val="22"/>
              </w:rPr>
              <w:t>осознанно применять изученные понятия (автор, мораль басни, литературный герой, персонаж, характер, тема, идея, заголовок, содержание произведения, эпизод, смысловые части, композиция, сравнение, эпитет, олицетворение)</w:t>
            </w:r>
          </w:p>
        </w:tc>
      </w:tr>
      <w:tr w14:paraId="000067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701" w:type="dxa"/>
          </w:tcPr>
          <w:p w14:paraId="44D32831">
            <w:pPr>
              <w:pStyle w:val="85"/>
              <w:jc w:val="center"/>
              <w:rPr>
                <w:color w:val="auto"/>
                <w:sz w:val="22"/>
                <w:szCs w:val="22"/>
              </w:rPr>
            </w:pPr>
            <w:r>
              <w:rPr>
                <w:color w:val="auto"/>
                <w:sz w:val="22"/>
                <w:szCs w:val="22"/>
              </w:rPr>
              <w:t>1.11</w:t>
            </w:r>
          </w:p>
        </w:tc>
        <w:tc>
          <w:tcPr>
            <w:tcW w:w="7370" w:type="dxa"/>
          </w:tcPr>
          <w:p w14:paraId="4064FA81">
            <w:pPr>
              <w:pStyle w:val="85"/>
              <w:jc w:val="both"/>
              <w:rPr>
                <w:color w:val="auto"/>
                <w:sz w:val="22"/>
                <w:szCs w:val="22"/>
              </w:rPr>
            </w:pPr>
            <w:r>
              <w:rPr>
                <w:color w:val="auto"/>
                <w:sz w:val="22"/>
                <w:szCs w:val="22"/>
              </w:rPr>
              <w:t>участвовать в обсуждении прослушанного (прочитанного) произведения: строить монологическое и диалогическое высказывание с соблюдением орфоэпических и пунктуационных норм, устно и письменно формулировать простые выводы, подтверждать свой ответ примерами из текста; использовать в беседе изученные литературные понятия</w:t>
            </w:r>
          </w:p>
        </w:tc>
      </w:tr>
      <w:tr w14:paraId="7A8285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701" w:type="dxa"/>
          </w:tcPr>
          <w:p w14:paraId="731D8364">
            <w:pPr>
              <w:pStyle w:val="85"/>
              <w:jc w:val="center"/>
              <w:rPr>
                <w:color w:val="auto"/>
                <w:sz w:val="22"/>
                <w:szCs w:val="22"/>
              </w:rPr>
            </w:pPr>
            <w:r>
              <w:rPr>
                <w:color w:val="auto"/>
                <w:sz w:val="22"/>
                <w:szCs w:val="22"/>
              </w:rPr>
              <w:t>1.12</w:t>
            </w:r>
          </w:p>
        </w:tc>
        <w:tc>
          <w:tcPr>
            <w:tcW w:w="7370" w:type="dxa"/>
          </w:tcPr>
          <w:p w14:paraId="0AFAA24B">
            <w:pPr>
              <w:pStyle w:val="85"/>
              <w:jc w:val="both"/>
              <w:rPr>
                <w:color w:val="auto"/>
                <w:sz w:val="22"/>
                <w:szCs w:val="22"/>
              </w:rPr>
            </w:pPr>
            <w:r>
              <w:rPr>
                <w:color w:val="auto"/>
                <w:sz w:val="22"/>
                <w:szCs w:val="22"/>
              </w:rPr>
              <w:t>пересказывать произведение (устно) подробно, выборочно, сжато (кратко), от лица героя, с изменением лица рассказчика, от третьего лица</w:t>
            </w:r>
          </w:p>
        </w:tc>
      </w:tr>
      <w:tr w14:paraId="3360D7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701" w:type="dxa"/>
          </w:tcPr>
          <w:p w14:paraId="70DF3F83">
            <w:pPr>
              <w:pStyle w:val="85"/>
              <w:jc w:val="center"/>
              <w:rPr>
                <w:color w:val="auto"/>
                <w:sz w:val="22"/>
                <w:szCs w:val="22"/>
              </w:rPr>
            </w:pPr>
            <w:r>
              <w:rPr>
                <w:color w:val="auto"/>
                <w:sz w:val="22"/>
                <w:szCs w:val="22"/>
              </w:rPr>
              <w:t>1.13</w:t>
            </w:r>
          </w:p>
        </w:tc>
        <w:tc>
          <w:tcPr>
            <w:tcW w:w="7370" w:type="dxa"/>
          </w:tcPr>
          <w:p w14:paraId="09FC891B">
            <w:pPr>
              <w:pStyle w:val="85"/>
              <w:jc w:val="both"/>
              <w:rPr>
                <w:color w:val="auto"/>
                <w:sz w:val="22"/>
                <w:szCs w:val="22"/>
              </w:rPr>
            </w:pPr>
            <w:r>
              <w:rPr>
                <w:color w:val="auto"/>
                <w:sz w:val="22"/>
                <w:szCs w:val="22"/>
              </w:rPr>
              <w:t>при анализе и интерпретации текста использовать разные типы речи (повествование, описание, рассуждение) с учетом специфики учебного и художественного текстов</w:t>
            </w:r>
          </w:p>
        </w:tc>
      </w:tr>
      <w:tr w14:paraId="25EB98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701" w:type="dxa"/>
          </w:tcPr>
          <w:p w14:paraId="482F92B7">
            <w:pPr>
              <w:pStyle w:val="85"/>
              <w:jc w:val="center"/>
              <w:rPr>
                <w:color w:val="auto"/>
                <w:sz w:val="22"/>
                <w:szCs w:val="22"/>
              </w:rPr>
            </w:pPr>
            <w:r>
              <w:rPr>
                <w:color w:val="auto"/>
                <w:sz w:val="22"/>
                <w:szCs w:val="22"/>
              </w:rPr>
              <w:t>1.14</w:t>
            </w:r>
          </w:p>
        </w:tc>
        <w:tc>
          <w:tcPr>
            <w:tcW w:w="7370" w:type="dxa"/>
          </w:tcPr>
          <w:p w14:paraId="01A3D95A">
            <w:pPr>
              <w:pStyle w:val="85"/>
              <w:jc w:val="both"/>
              <w:rPr>
                <w:color w:val="auto"/>
                <w:sz w:val="22"/>
                <w:szCs w:val="22"/>
              </w:rPr>
            </w:pPr>
            <w:r>
              <w:rPr>
                <w:color w:val="auto"/>
                <w:sz w:val="22"/>
                <w:szCs w:val="22"/>
              </w:rPr>
              <w:t>читать по ролям с соблюдением норм произношения, инсценировать небольшие эпизоды из произведения</w:t>
            </w:r>
          </w:p>
        </w:tc>
      </w:tr>
      <w:tr w14:paraId="11CE2F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701" w:type="dxa"/>
          </w:tcPr>
          <w:p w14:paraId="431C4F9A">
            <w:pPr>
              <w:pStyle w:val="85"/>
              <w:jc w:val="center"/>
              <w:rPr>
                <w:color w:val="auto"/>
                <w:sz w:val="22"/>
                <w:szCs w:val="22"/>
              </w:rPr>
            </w:pPr>
            <w:r>
              <w:rPr>
                <w:color w:val="auto"/>
                <w:sz w:val="22"/>
                <w:szCs w:val="22"/>
              </w:rPr>
              <w:t>1.15</w:t>
            </w:r>
          </w:p>
        </w:tc>
        <w:tc>
          <w:tcPr>
            <w:tcW w:w="7370" w:type="dxa"/>
          </w:tcPr>
          <w:p w14:paraId="51E846A8">
            <w:pPr>
              <w:pStyle w:val="85"/>
              <w:jc w:val="both"/>
              <w:rPr>
                <w:color w:val="auto"/>
                <w:sz w:val="22"/>
                <w:szCs w:val="22"/>
              </w:rPr>
            </w:pPr>
            <w:r>
              <w:rPr>
                <w:color w:val="auto"/>
                <w:sz w:val="22"/>
                <w:szCs w:val="22"/>
              </w:rPr>
              <w:t>составлять устные и письменные высказывания на основе прочитанного (прослушанного) текста на заданную тему по содержанию произведения (не менее 8 предложений), корректировать собственный письменный текст;</w:t>
            </w:r>
          </w:p>
          <w:p w14:paraId="349D35BB">
            <w:pPr>
              <w:pStyle w:val="85"/>
              <w:jc w:val="both"/>
              <w:rPr>
                <w:color w:val="auto"/>
                <w:sz w:val="22"/>
                <w:szCs w:val="22"/>
              </w:rPr>
            </w:pPr>
            <w:r>
              <w:rPr>
                <w:color w:val="auto"/>
                <w:sz w:val="22"/>
                <w:szCs w:val="22"/>
              </w:rPr>
              <w:t>составлять краткий отзыв о прочитанном произведении по заданному алгоритму</w:t>
            </w:r>
          </w:p>
        </w:tc>
      </w:tr>
      <w:tr w14:paraId="27AE2E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701" w:type="dxa"/>
          </w:tcPr>
          <w:p w14:paraId="625A0252">
            <w:pPr>
              <w:pStyle w:val="85"/>
              <w:jc w:val="center"/>
              <w:rPr>
                <w:color w:val="auto"/>
                <w:sz w:val="22"/>
                <w:szCs w:val="22"/>
              </w:rPr>
            </w:pPr>
            <w:r>
              <w:rPr>
                <w:color w:val="auto"/>
                <w:sz w:val="22"/>
                <w:szCs w:val="22"/>
              </w:rPr>
              <w:t>1.16</w:t>
            </w:r>
          </w:p>
        </w:tc>
        <w:tc>
          <w:tcPr>
            <w:tcW w:w="7370" w:type="dxa"/>
          </w:tcPr>
          <w:p w14:paraId="67AFDC53">
            <w:pPr>
              <w:pStyle w:val="85"/>
              <w:jc w:val="both"/>
              <w:rPr>
                <w:color w:val="auto"/>
                <w:sz w:val="22"/>
                <w:szCs w:val="22"/>
              </w:rPr>
            </w:pPr>
            <w:r>
              <w:rPr>
                <w:color w:val="auto"/>
                <w:sz w:val="22"/>
                <w:szCs w:val="22"/>
              </w:rPr>
              <w:t>сочинять тексты, используя аналогии, иллюстрации, придумывать продолжение прочитанного произведения</w:t>
            </w:r>
          </w:p>
        </w:tc>
      </w:tr>
      <w:tr w14:paraId="5B0F67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701" w:type="dxa"/>
          </w:tcPr>
          <w:p w14:paraId="0EA88A25">
            <w:pPr>
              <w:pStyle w:val="85"/>
              <w:jc w:val="center"/>
              <w:rPr>
                <w:color w:val="auto"/>
                <w:sz w:val="22"/>
                <w:szCs w:val="22"/>
              </w:rPr>
            </w:pPr>
            <w:r>
              <w:rPr>
                <w:color w:val="auto"/>
                <w:sz w:val="22"/>
                <w:szCs w:val="22"/>
              </w:rPr>
              <w:t>1.17</w:t>
            </w:r>
          </w:p>
        </w:tc>
        <w:tc>
          <w:tcPr>
            <w:tcW w:w="7370" w:type="dxa"/>
          </w:tcPr>
          <w:p w14:paraId="198D9DC1">
            <w:pPr>
              <w:pStyle w:val="85"/>
              <w:jc w:val="both"/>
              <w:rPr>
                <w:color w:val="auto"/>
                <w:sz w:val="22"/>
                <w:szCs w:val="22"/>
              </w:rPr>
            </w:pPr>
            <w:r>
              <w:rPr>
                <w:color w:val="auto"/>
                <w:sz w:val="22"/>
                <w:szCs w:val="22"/>
              </w:rPr>
              <w:t>ориентироваться в книге по ее элементам (автор, название, обложка, титульный лист, оглавление, предисловие, аннотация, иллюстрации);</w:t>
            </w:r>
          </w:p>
          <w:p w14:paraId="1FAAF314">
            <w:pPr>
              <w:pStyle w:val="85"/>
              <w:jc w:val="both"/>
              <w:rPr>
                <w:color w:val="auto"/>
                <w:sz w:val="22"/>
                <w:szCs w:val="22"/>
              </w:rPr>
            </w:pPr>
            <w:r>
              <w:rPr>
                <w:color w:val="auto"/>
                <w:sz w:val="22"/>
                <w:szCs w:val="22"/>
              </w:rPr>
              <w:t>выбирать книги для самостоятельного чтения с учетом рекомендательного списка, используя картотеки, рассказывать о прочитанной книге</w:t>
            </w:r>
          </w:p>
        </w:tc>
      </w:tr>
      <w:tr w14:paraId="76CE5B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701" w:type="dxa"/>
          </w:tcPr>
          <w:p w14:paraId="3B795520">
            <w:pPr>
              <w:pStyle w:val="85"/>
              <w:jc w:val="center"/>
              <w:rPr>
                <w:color w:val="auto"/>
                <w:sz w:val="22"/>
                <w:szCs w:val="22"/>
              </w:rPr>
            </w:pPr>
            <w:r>
              <w:rPr>
                <w:color w:val="auto"/>
                <w:sz w:val="22"/>
                <w:szCs w:val="22"/>
              </w:rPr>
              <w:t>1.18</w:t>
            </w:r>
          </w:p>
        </w:tc>
        <w:tc>
          <w:tcPr>
            <w:tcW w:w="7370" w:type="dxa"/>
          </w:tcPr>
          <w:p w14:paraId="29A4193D">
            <w:pPr>
              <w:pStyle w:val="85"/>
              <w:jc w:val="both"/>
              <w:rPr>
                <w:color w:val="auto"/>
                <w:sz w:val="22"/>
                <w:szCs w:val="22"/>
              </w:rPr>
            </w:pPr>
            <w:r>
              <w:rPr>
                <w:color w:val="auto"/>
                <w:sz w:val="22"/>
                <w:szCs w:val="22"/>
              </w:rPr>
              <w:t>использовать справочные издания, в том числе верифицированные электронные образовательные и информационные ресурсы, включенные в федеральный перечень</w:t>
            </w:r>
          </w:p>
        </w:tc>
      </w:tr>
    </w:tbl>
    <w:p w14:paraId="345F1C82">
      <w:pPr>
        <w:pStyle w:val="85"/>
        <w:ind w:firstLine="540"/>
        <w:jc w:val="both"/>
        <w:rPr>
          <w:color w:val="auto"/>
          <w:sz w:val="22"/>
          <w:szCs w:val="22"/>
        </w:rPr>
      </w:pPr>
    </w:p>
    <w:p w14:paraId="0BC3532E">
      <w:pPr>
        <w:pStyle w:val="85"/>
        <w:jc w:val="right"/>
        <w:rPr>
          <w:color w:val="auto"/>
          <w:sz w:val="22"/>
          <w:szCs w:val="22"/>
        </w:rPr>
      </w:pPr>
      <w:r>
        <w:rPr>
          <w:color w:val="auto"/>
          <w:sz w:val="22"/>
          <w:szCs w:val="22"/>
        </w:rPr>
        <w:t>Таблица 5.5</w:t>
      </w:r>
    </w:p>
    <w:p w14:paraId="291F83D8">
      <w:pPr>
        <w:pStyle w:val="85"/>
        <w:ind w:firstLine="540"/>
        <w:jc w:val="both"/>
        <w:rPr>
          <w:color w:val="auto"/>
          <w:sz w:val="22"/>
          <w:szCs w:val="22"/>
        </w:rPr>
      </w:pPr>
    </w:p>
    <w:p w14:paraId="622213A6">
      <w:pPr>
        <w:pStyle w:val="85"/>
        <w:jc w:val="center"/>
        <w:rPr>
          <w:color w:val="auto"/>
          <w:sz w:val="22"/>
          <w:szCs w:val="22"/>
        </w:rPr>
      </w:pPr>
      <w:r>
        <w:rPr>
          <w:color w:val="auto"/>
          <w:sz w:val="22"/>
          <w:szCs w:val="22"/>
        </w:rPr>
        <w:t>Проверяемые элементы содержания (3 класс)</w:t>
      </w:r>
    </w:p>
    <w:p w14:paraId="1FBF688F">
      <w:pPr>
        <w:pStyle w:val="85"/>
        <w:ind w:firstLine="540"/>
        <w:jc w:val="both"/>
        <w:rPr>
          <w:color w:val="auto"/>
          <w:sz w:val="22"/>
          <w:szCs w:val="22"/>
        </w:rPr>
      </w:pPr>
    </w:p>
    <w:tbl>
      <w:tblPr>
        <w:tblStyle w:val="1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02" w:type="dxa"/>
          <w:left w:w="62" w:type="dxa"/>
          <w:bottom w:w="102" w:type="dxa"/>
          <w:right w:w="62" w:type="dxa"/>
        </w:tblCellMar>
      </w:tblPr>
      <w:tblGrid>
        <w:gridCol w:w="1077"/>
        <w:gridCol w:w="7994"/>
      </w:tblGrid>
      <w:tr w14:paraId="0D0449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077" w:type="dxa"/>
          </w:tcPr>
          <w:p w14:paraId="0F97667A">
            <w:pPr>
              <w:pStyle w:val="85"/>
              <w:jc w:val="center"/>
              <w:rPr>
                <w:color w:val="auto"/>
                <w:sz w:val="22"/>
                <w:szCs w:val="22"/>
              </w:rPr>
            </w:pPr>
            <w:r>
              <w:rPr>
                <w:color w:val="auto"/>
                <w:sz w:val="22"/>
                <w:szCs w:val="22"/>
              </w:rPr>
              <w:t>Код</w:t>
            </w:r>
          </w:p>
        </w:tc>
        <w:tc>
          <w:tcPr>
            <w:tcW w:w="7994" w:type="dxa"/>
          </w:tcPr>
          <w:p w14:paraId="24C0134A">
            <w:pPr>
              <w:pStyle w:val="85"/>
              <w:jc w:val="center"/>
              <w:rPr>
                <w:color w:val="auto"/>
                <w:sz w:val="22"/>
                <w:szCs w:val="22"/>
              </w:rPr>
            </w:pPr>
            <w:r>
              <w:rPr>
                <w:color w:val="auto"/>
                <w:sz w:val="22"/>
                <w:szCs w:val="22"/>
              </w:rPr>
              <w:t>Проверяемый элемент содержания</w:t>
            </w:r>
          </w:p>
        </w:tc>
      </w:tr>
      <w:tr w14:paraId="0F8D74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077" w:type="dxa"/>
          </w:tcPr>
          <w:p w14:paraId="6AA3A0CC">
            <w:pPr>
              <w:pStyle w:val="85"/>
              <w:jc w:val="center"/>
              <w:rPr>
                <w:color w:val="auto"/>
                <w:sz w:val="22"/>
                <w:szCs w:val="22"/>
              </w:rPr>
            </w:pPr>
            <w:r>
              <w:rPr>
                <w:color w:val="auto"/>
                <w:sz w:val="22"/>
                <w:szCs w:val="22"/>
              </w:rPr>
              <w:t>1</w:t>
            </w:r>
          </w:p>
        </w:tc>
        <w:tc>
          <w:tcPr>
            <w:tcW w:w="7994" w:type="dxa"/>
          </w:tcPr>
          <w:p w14:paraId="2B91D83C">
            <w:pPr>
              <w:pStyle w:val="85"/>
              <w:jc w:val="both"/>
              <w:rPr>
                <w:color w:val="auto"/>
                <w:sz w:val="22"/>
                <w:szCs w:val="22"/>
              </w:rPr>
            </w:pPr>
            <w:r>
              <w:rPr>
                <w:color w:val="auto"/>
                <w:sz w:val="22"/>
                <w:szCs w:val="22"/>
              </w:rPr>
              <w:t>Произведения о Родине и ее истории (произведения одного-двух авторов по выбору).</w:t>
            </w:r>
          </w:p>
          <w:p w14:paraId="074DCF63">
            <w:pPr>
              <w:pStyle w:val="85"/>
              <w:jc w:val="both"/>
              <w:rPr>
                <w:color w:val="auto"/>
                <w:sz w:val="22"/>
                <w:szCs w:val="22"/>
              </w:rPr>
            </w:pPr>
            <w:r>
              <w:rPr>
                <w:color w:val="auto"/>
                <w:sz w:val="22"/>
                <w:szCs w:val="22"/>
              </w:rPr>
              <w:t>К.Д. Ушинский "Наше отечество", М.М. Пришвин "Моя Родина", С.А. Васильев "Россия", Н.П. Кончаловская "Наша древняя столица" (отрывки) и другие (по выбору)</w:t>
            </w:r>
          </w:p>
        </w:tc>
      </w:tr>
      <w:tr w14:paraId="641973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077" w:type="dxa"/>
          </w:tcPr>
          <w:p w14:paraId="20062051">
            <w:pPr>
              <w:pStyle w:val="85"/>
              <w:jc w:val="center"/>
              <w:rPr>
                <w:color w:val="auto"/>
                <w:sz w:val="22"/>
                <w:szCs w:val="22"/>
              </w:rPr>
            </w:pPr>
            <w:r>
              <w:rPr>
                <w:color w:val="auto"/>
                <w:sz w:val="22"/>
                <w:szCs w:val="22"/>
              </w:rPr>
              <w:t>2</w:t>
            </w:r>
          </w:p>
        </w:tc>
        <w:tc>
          <w:tcPr>
            <w:tcW w:w="7994" w:type="dxa"/>
          </w:tcPr>
          <w:p w14:paraId="13BD95DA">
            <w:pPr>
              <w:pStyle w:val="85"/>
              <w:jc w:val="both"/>
              <w:rPr>
                <w:color w:val="auto"/>
                <w:sz w:val="22"/>
                <w:szCs w:val="22"/>
              </w:rPr>
            </w:pPr>
            <w:r>
              <w:rPr>
                <w:color w:val="auto"/>
                <w:sz w:val="22"/>
                <w:szCs w:val="22"/>
              </w:rPr>
              <w:t>Фольклор (устное народное творчество)</w:t>
            </w:r>
          </w:p>
        </w:tc>
      </w:tr>
      <w:tr w14:paraId="06BD28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077" w:type="dxa"/>
          </w:tcPr>
          <w:p w14:paraId="719388D0">
            <w:pPr>
              <w:pStyle w:val="85"/>
              <w:jc w:val="center"/>
              <w:rPr>
                <w:color w:val="auto"/>
                <w:sz w:val="22"/>
                <w:szCs w:val="22"/>
              </w:rPr>
            </w:pPr>
            <w:r>
              <w:rPr>
                <w:color w:val="auto"/>
                <w:sz w:val="22"/>
                <w:szCs w:val="22"/>
              </w:rPr>
              <w:t>2.1</w:t>
            </w:r>
          </w:p>
        </w:tc>
        <w:tc>
          <w:tcPr>
            <w:tcW w:w="7994" w:type="dxa"/>
          </w:tcPr>
          <w:p w14:paraId="4B466533">
            <w:pPr>
              <w:pStyle w:val="85"/>
              <w:jc w:val="both"/>
              <w:rPr>
                <w:color w:val="auto"/>
                <w:sz w:val="22"/>
                <w:szCs w:val="22"/>
              </w:rPr>
            </w:pPr>
            <w:r>
              <w:rPr>
                <w:color w:val="auto"/>
                <w:sz w:val="22"/>
                <w:szCs w:val="22"/>
              </w:rPr>
              <w:t>Малые жанры фольклора (пословицы, потешки, считалки, небылицы, скороговорки, загадки, по выбору). Виды загадок. Пословицы народов России</w:t>
            </w:r>
          </w:p>
        </w:tc>
      </w:tr>
      <w:tr w14:paraId="00FAA4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077" w:type="dxa"/>
          </w:tcPr>
          <w:p w14:paraId="5E0F78DF">
            <w:pPr>
              <w:pStyle w:val="85"/>
              <w:jc w:val="center"/>
              <w:rPr>
                <w:color w:val="auto"/>
                <w:sz w:val="22"/>
                <w:szCs w:val="22"/>
              </w:rPr>
            </w:pPr>
            <w:r>
              <w:rPr>
                <w:color w:val="auto"/>
                <w:sz w:val="22"/>
                <w:szCs w:val="22"/>
              </w:rPr>
              <w:t>2.2</w:t>
            </w:r>
          </w:p>
        </w:tc>
        <w:tc>
          <w:tcPr>
            <w:tcW w:w="7994" w:type="dxa"/>
          </w:tcPr>
          <w:p w14:paraId="2B3CB23B">
            <w:pPr>
              <w:pStyle w:val="85"/>
              <w:jc w:val="both"/>
              <w:rPr>
                <w:color w:val="auto"/>
                <w:sz w:val="22"/>
                <w:szCs w:val="22"/>
              </w:rPr>
            </w:pPr>
            <w:r>
              <w:rPr>
                <w:color w:val="auto"/>
                <w:sz w:val="22"/>
                <w:szCs w:val="22"/>
              </w:rPr>
              <w:t>Книги и словари, созданные В.И. Далем</w:t>
            </w:r>
          </w:p>
        </w:tc>
      </w:tr>
      <w:tr w14:paraId="457593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077" w:type="dxa"/>
          </w:tcPr>
          <w:p w14:paraId="44ED6E5D">
            <w:pPr>
              <w:pStyle w:val="85"/>
              <w:jc w:val="center"/>
              <w:rPr>
                <w:color w:val="auto"/>
                <w:sz w:val="22"/>
                <w:szCs w:val="22"/>
              </w:rPr>
            </w:pPr>
            <w:r>
              <w:rPr>
                <w:color w:val="auto"/>
                <w:sz w:val="22"/>
                <w:szCs w:val="22"/>
              </w:rPr>
              <w:t>2.3</w:t>
            </w:r>
          </w:p>
        </w:tc>
        <w:tc>
          <w:tcPr>
            <w:tcW w:w="7994" w:type="dxa"/>
          </w:tcPr>
          <w:p w14:paraId="5364FFF7">
            <w:pPr>
              <w:pStyle w:val="85"/>
              <w:jc w:val="both"/>
              <w:rPr>
                <w:color w:val="auto"/>
                <w:sz w:val="22"/>
                <w:szCs w:val="22"/>
              </w:rPr>
            </w:pPr>
            <w:r>
              <w:rPr>
                <w:color w:val="auto"/>
                <w:sz w:val="22"/>
                <w:szCs w:val="22"/>
              </w:rPr>
              <w:t>Фольклорная сказка как отражение общечеловеческих ценностей и нравственных правил. Виды сказок (о животных, бытовые, волшебные), их художественные особенности.</w:t>
            </w:r>
          </w:p>
          <w:p w14:paraId="2B53A970">
            <w:pPr>
              <w:pStyle w:val="85"/>
              <w:jc w:val="both"/>
              <w:rPr>
                <w:color w:val="auto"/>
                <w:sz w:val="22"/>
                <w:szCs w:val="22"/>
              </w:rPr>
            </w:pPr>
            <w:r>
              <w:rPr>
                <w:color w:val="auto"/>
                <w:sz w:val="22"/>
                <w:szCs w:val="22"/>
              </w:rPr>
              <w:t>Русская народная сказка "Иван-царевич и серый волк" и другие (по выбору)</w:t>
            </w:r>
          </w:p>
        </w:tc>
      </w:tr>
      <w:tr w14:paraId="3DDFC3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077" w:type="dxa"/>
          </w:tcPr>
          <w:p w14:paraId="164D57DF">
            <w:pPr>
              <w:pStyle w:val="85"/>
              <w:jc w:val="center"/>
              <w:rPr>
                <w:color w:val="auto"/>
                <w:sz w:val="22"/>
                <w:szCs w:val="22"/>
              </w:rPr>
            </w:pPr>
            <w:r>
              <w:rPr>
                <w:color w:val="auto"/>
                <w:sz w:val="22"/>
                <w:szCs w:val="22"/>
              </w:rPr>
              <w:t>2.4</w:t>
            </w:r>
          </w:p>
        </w:tc>
        <w:tc>
          <w:tcPr>
            <w:tcW w:w="7994" w:type="dxa"/>
          </w:tcPr>
          <w:p w14:paraId="7CA3000A">
            <w:pPr>
              <w:pStyle w:val="85"/>
              <w:jc w:val="both"/>
              <w:rPr>
                <w:color w:val="auto"/>
                <w:sz w:val="22"/>
                <w:szCs w:val="22"/>
              </w:rPr>
            </w:pPr>
            <w:r>
              <w:rPr>
                <w:color w:val="auto"/>
                <w:sz w:val="22"/>
                <w:szCs w:val="22"/>
              </w:rPr>
              <w:t>Народная песня.</w:t>
            </w:r>
          </w:p>
          <w:p w14:paraId="534F5825">
            <w:pPr>
              <w:pStyle w:val="85"/>
              <w:jc w:val="both"/>
              <w:rPr>
                <w:color w:val="auto"/>
                <w:sz w:val="22"/>
                <w:szCs w:val="22"/>
              </w:rPr>
            </w:pPr>
            <w:r>
              <w:rPr>
                <w:color w:val="auto"/>
                <w:sz w:val="22"/>
                <w:szCs w:val="22"/>
              </w:rPr>
              <w:t>Чувства, которые рождают песни, темы песен. Описание картин природы как способ рассказать в песне о родной земле.</w:t>
            </w:r>
          </w:p>
        </w:tc>
      </w:tr>
      <w:tr w14:paraId="71399B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077" w:type="dxa"/>
          </w:tcPr>
          <w:p w14:paraId="58831256">
            <w:pPr>
              <w:pStyle w:val="85"/>
              <w:jc w:val="center"/>
              <w:rPr>
                <w:color w:val="auto"/>
                <w:sz w:val="22"/>
                <w:szCs w:val="22"/>
              </w:rPr>
            </w:pPr>
            <w:r>
              <w:rPr>
                <w:color w:val="auto"/>
                <w:sz w:val="22"/>
                <w:szCs w:val="22"/>
              </w:rPr>
              <w:t>2.5</w:t>
            </w:r>
          </w:p>
        </w:tc>
        <w:tc>
          <w:tcPr>
            <w:tcW w:w="7994" w:type="dxa"/>
          </w:tcPr>
          <w:p w14:paraId="23CC3095">
            <w:pPr>
              <w:pStyle w:val="85"/>
              <w:jc w:val="both"/>
              <w:rPr>
                <w:color w:val="auto"/>
                <w:sz w:val="22"/>
                <w:szCs w:val="22"/>
              </w:rPr>
            </w:pPr>
            <w:r>
              <w:rPr>
                <w:color w:val="auto"/>
                <w:sz w:val="22"/>
                <w:szCs w:val="22"/>
              </w:rPr>
              <w:t>Былина как народный песенный сказ. Фольклорные особенности жанра былин. Былина об Илье Муромце и другие (по выбору)</w:t>
            </w:r>
          </w:p>
        </w:tc>
      </w:tr>
      <w:tr w14:paraId="436997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077" w:type="dxa"/>
          </w:tcPr>
          <w:p w14:paraId="6357BC12">
            <w:pPr>
              <w:pStyle w:val="85"/>
              <w:jc w:val="center"/>
              <w:rPr>
                <w:color w:val="auto"/>
                <w:sz w:val="22"/>
                <w:szCs w:val="22"/>
              </w:rPr>
            </w:pPr>
            <w:r>
              <w:rPr>
                <w:color w:val="auto"/>
                <w:sz w:val="22"/>
                <w:szCs w:val="22"/>
              </w:rPr>
              <w:t>3</w:t>
            </w:r>
          </w:p>
        </w:tc>
        <w:tc>
          <w:tcPr>
            <w:tcW w:w="7994" w:type="dxa"/>
          </w:tcPr>
          <w:p w14:paraId="382438B8">
            <w:pPr>
              <w:pStyle w:val="85"/>
              <w:jc w:val="both"/>
              <w:rPr>
                <w:color w:val="auto"/>
                <w:sz w:val="22"/>
                <w:szCs w:val="22"/>
              </w:rPr>
            </w:pPr>
            <w:r>
              <w:rPr>
                <w:color w:val="auto"/>
                <w:sz w:val="22"/>
                <w:szCs w:val="22"/>
              </w:rPr>
              <w:t>Творчество А.С. Пушкина</w:t>
            </w:r>
          </w:p>
        </w:tc>
      </w:tr>
      <w:tr w14:paraId="7F16CB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077" w:type="dxa"/>
          </w:tcPr>
          <w:p w14:paraId="58012BDD">
            <w:pPr>
              <w:pStyle w:val="85"/>
              <w:jc w:val="center"/>
              <w:rPr>
                <w:color w:val="auto"/>
                <w:sz w:val="22"/>
                <w:szCs w:val="22"/>
              </w:rPr>
            </w:pPr>
            <w:r>
              <w:rPr>
                <w:color w:val="auto"/>
                <w:sz w:val="22"/>
                <w:szCs w:val="22"/>
              </w:rPr>
              <w:t>3.1</w:t>
            </w:r>
          </w:p>
        </w:tc>
        <w:tc>
          <w:tcPr>
            <w:tcW w:w="7994" w:type="dxa"/>
          </w:tcPr>
          <w:p w14:paraId="2B9B630E">
            <w:pPr>
              <w:pStyle w:val="85"/>
              <w:jc w:val="both"/>
              <w:rPr>
                <w:color w:val="auto"/>
                <w:sz w:val="22"/>
                <w:szCs w:val="22"/>
              </w:rPr>
            </w:pPr>
            <w:r>
              <w:rPr>
                <w:color w:val="auto"/>
                <w:sz w:val="22"/>
                <w:szCs w:val="22"/>
              </w:rPr>
              <w:t>Лирические произведения А.С. Пушкина.</w:t>
            </w:r>
          </w:p>
          <w:p w14:paraId="5D5619C4">
            <w:pPr>
              <w:pStyle w:val="85"/>
              <w:jc w:val="both"/>
              <w:rPr>
                <w:color w:val="auto"/>
                <w:sz w:val="22"/>
                <w:szCs w:val="22"/>
              </w:rPr>
            </w:pPr>
            <w:r>
              <w:rPr>
                <w:color w:val="auto"/>
                <w:sz w:val="22"/>
                <w:szCs w:val="22"/>
              </w:rPr>
              <w:t>Стихотворения "В тот год осенняя погода...", "Опрятней модного паркета..." и другие (по выбору)</w:t>
            </w:r>
          </w:p>
        </w:tc>
      </w:tr>
      <w:tr w14:paraId="16E4FA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077" w:type="dxa"/>
          </w:tcPr>
          <w:p w14:paraId="4C670FF9">
            <w:pPr>
              <w:pStyle w:val="85"/>
              <w:jc w:val="center"/>
              <w:rPr>
                <w:color w:val="auto"/>
                <w:sz w:val="22"/>
                <w:szCs w:val="22"/>
              </w:rPr>
            </w:pPr>
            <w:r>
              <w:rPr>
                <w:color w:val="auto"/>
                <w:sz w:val="22"/>
                <w:szCs w:val="22"/>
              </w:rPr>
              <w:t>3.2</w:t>
            </w:r>
          </w:p>
        </w:tc>
        <w:tc>
          <w:tcPr>
            <w:tcW w:w="7994" w:type="dxa"/>
          </w:tcPr>
          <w:p w14:paraId="27340C5D">
            <w:pPr>
              <w:pStyle w:val="85"/>
              <w:jc w:val="both"/>
              <w:rPr>
                <w:color w:val="auto"/>
                <w:sz w:val="22"/>
                <w:szCs w:val="22"/>
              </w:rPr>
            </w:pPr>
            <w:r>
              <w:rPr>
                <w:color w:val="auto"/>
                <w:sz w:val="22"/>
                <w:szCs w:val="22"/>
              </w:rPr>
              <w:t>Литературные сказки А.С. Пушкина в стихах (по выбору, например, "Сказка о царе Салтане, о сыне его славном и могучем богатыре князе Гвидоне Салтановиче и о прекрасной царевне Лебеди")</w:t>
            </w:r>
          </w:p>
        </w:tc>
      </w:tr>
      <w:tr w14:paraId="5C0D12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077" w:type="dxa"/>
          </w:tcPr>
          <w:p w14:paraId="14758F2D">
            <w:pPr>
              <w:pStyle w:val="85"/>
              <w:jc w:val="center"/>
              <w:rPr>
                <w:color w:val="auto"/>
                <w:sz w:val="22"/>
                <w:szCs w:val="22"/>
              </w:rPr>
            </w:pPr>
            <w:r>
              <w:rPr>
                <w:color w:val="auto"/>
                <w:sz w:val="22"/>
                <w:szCs w:val="22"/>
              </w:rPr>
              <w:t>4</w:t>
            </w:r>
          </w:p>
        </w:tc>
        <w:tc>
          <w:tcPr>
            <w:tcW w:w="7994" w:type="dxa"/>
          </w:tcPr>
          <w:p w14:paraId="3BA89DFB">
            <w:pPr>
              <w:pStyle w:val="85"/>
              <w:jc w:val="both"/>
              <w:rPr>
                <w:color w:val="auto"/>
                <w:sz w:val="22"/>
                <w:szCs w:val="22"/>
              </w:rPr>
            </w:pPr>
            <w:r>
              <w:rPr>
                <w:color w:val="auto"/>
                <w:sz w:val="22"/>
                <w:szCs w:val="22"/>
              </w:rPr>
              <w:t>Басни И.А. Крылова (не менее двух)</w:t>
            </w:r>
          </w:p>
          <w:p w14:paraId="270E18CC">
            <w:pPr>
              <w:pStyle w:val="85"/>
              <w:jc w:val="both"/>
              <w:rPr>
                <w:color w:val="auto"/>
                <w:sz w:val="22"/>
                <w:szCs w:val="22"/>
              </w:rPr>
            </w:pPr>
            <w:r>
              <w:rPr>
                <w:color w:val="auto"/>
                <w:sz w:val="22"/>
                <w:szCs w:val="22"/>
              </w:rPr>
              <w:t>Басни: "Ворона и Лисица", "Лисица и виноград", "Мартышка и очки" и другие (по выбору)</w:t>
            </w:r>
          </w:p>
        </w:tc>
      </w:tr>
      <w:tr w14:paraId="0AD6A9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077" w:type="dxa"/>
          </w:tcPr>
          <w:p w14:paraId="6C6E19A5">
            <w:pPr>
              <w:pStyle w:val="85"/>
              <w:jc w:val="center"/>
              <w:rPr>
                <w:color w:val="auto"/>
                <w:sz w:val="22"/>
                <w:szCs w:val="22"/>
              </w:rPr>
            </w:pPr>
            <w:r>
              <w:rPr>
                <w:color w:val="auto"/>
                <w:sz w:val="22"/>
                <w:szCs w:val="22"/>
              </w:rPr>
              <w:t>5</w:t>
            </w:r>
          </w:p>
        </w:tc>
        <w:tc>
          <w:tcPr>
            <w:tcW w:w="7994" w:type="dxa"/>
          </w:tcPr>
          <w:p w14:paraId="3193737A">
            <w:pPr>
              <w:pStyle w:val="85"/>
              <w:jc w:val="both"/>
              <w:rPr>
                <w:color w:val="auto"/>
                <w:sz w:val="22"/>
                <w:szCs w:val="22"/>
              </w:rPr>
            </w:pPr>
            <w:r>
              <w:rPr>
                <w:color w:val="auto"/>
                <w:sz w:val="22"/>
                <w:szCs w:val="22"/>
              </w:rPr>
              <w:t>Картины природы в произведениях поэтов и писателей XIX - XX вв. (произведения не менее пяти авторов по выбору).</w:t>
            </w:r>
          </w:p>
          <w:p w14:paraId="161AD33C">
            <w:pPr>
              <w:pStyle w:val="85"/>
              <w:jc w:val="both"/>
              <w:rPr>
                <w:color w:val="auto"/>
                <w:sz w:val="22"/>
                <w:szCs w:val="22"/>
              </w:rPr>
            </w:pPr>
            <w:r>
              <w:rPr>
                <w:color w:val="auto"/>
                <w:sz w:val="22"/>
                <w:szCs w:val="22"/>
              </w:rPr>
              <w:t>Ф.И. Тютчев "Есть в осени первоначальной...", А.А. Фет "Кот поет, глаза прищуря", "Мама! Глянь-ка из окошка...", А.Н. Майков "Осень", С.А. Есенин "Береза", Н.А. Некрасов "Железная дорога" (отрывок), А.А. Блок "Ворона", И.А. Бунин "Первый снег" и другие (по выбору).</w:t>
            </w:r>
          </w:p>
        </w:tc>
      </w:tr>
      <w:tr w14:paraId="7FB778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077" w:type="dxa"/>
          </w:tcPr>
          <w:p w14:paraId="3D148B39">
            <w:pPr>
              <w:pStyle w:val="85"/>
              <w:jc w:val="center"/>
              <w:rPr>
                <w:color w:val="auto"/>
                <w:sz w:val="22"/>
                <w:szCs w:val="22"/>
              </w:rPr>
            </w:pPr>
            <w:r>
              <w:rPr>
                <w:color w:val="auto"/>
                <w:sz w:val="22"/>
                <w:szCs w:val="22"/>
              </w:rPr>
              <w:t>6</w:t>
            </w:r>
          </w:p>
        </w:tc>
        <w:tc>
          <w:tcPr>
            <w:tcW w:w="7994" w:type="dxa"/>
          </w:tcPr>
          <w:p w14:paraId="0F52C3FF">
            <w:pPr>
              <w:pStyle w:val="85"/>
              <w:jc w:val="both"/>
              <w:rPr>
                <w:color w:val="auto"/>
                <w:sz w:val="22"/>
                <w:szCs w:val="22"/>
              </w:rPr>
            </w:pPr>
            <w:r>
              <w:rPr>
                <w:color w:val="auto"/>
                <w:sz w:val="22"/>
                <w:szCs w:val="22"/>
              </w:rPr>
              <w:t>Произведения Л.Н. Толстого, их жанровое многообразие: сказки, рассказы, басни, быль (не менее трех произведений).</w:t>
            </w:r>
          </w:p>
          <w:p w14:paraId="27A6B081">
            <w:pPr>
              <w:pStyle w:val="85"/>
              <w:jc w:val="both"/>
              <w:rPr>
                <w:color w:val="auto"/>
                <w:sz w:val="22"/>
                <w:szCs w:val="22"/>
              </w:rPr>
            </w:pPr>
            <w:r>
              <w:rPr>
                <w:color w:val="auto"/>
                <w:sz w:val="22"/>
                <w:szCs w:val="22"/>
              </w:rPr>
              <w:t>Л.Н. Толстой "Лебеди", "Зайцы", "Прыжок", "Акула" и другие</w:t>
            </w:r>
          </w:p>
        </w:tc>
      </w:tr>
      <w:tr w14:paraId="10BABF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077" w:type="dxa"/>
          </w:tcPr>
          <w:p w14:paraId="30E419BB">
            <w:pPr>
              <w:pStyle w:val="85"/>
              <w:jc w:val="center"/>
              <w:rPr>
                <w:color w:val="auto"/>
                <w:sz w:val="22"/>
                <w:szCs w:val="22"/>
              </w:rPr>
            </w:pPr>
            <w:r>
              <w:rPr>
                <w:color w:val="auto"/>
                <w:sz w:val="22"/>
                <w:szCs w:val="22"/>
              </w:rPr>
              <w:t>7</w:t>
            </w:r>
          </w:p>
        </w:tc>
        <w:tc>
          <w:tcPr>
            <w:tcW w:w="7994" w:type="dxa"/>
          </w:tcPr>
          <w:p w14:paraId="6A86B80A">
            <w:pPr>
              <w:pStyle w:val="85"/>
              <w:jc w:val="both"/>
              <w:rPr>
                <w:color w:val="auto"/>
                <w:sz w:val="22"/>
                <w:szCs w:val="22"/>
              </w:rPr>
            </w:pPr>
            <w:r>
              <w:rPr>
                <w:color w:val="auto"/>
                <w:sz w:val="22"/>
                <w:szCs w:val="22"/>
              </w:rPr>
              <w:t>Литературная сказка (не менее двух сказок русских писателей)</w:t>
            </w:r>
          </w:p>
          <w:p w14:paraId="0D0D6E0E">
            <w:pPr>
              <w:pStyle w:val="85"/>
              <w:jc w:val="both"/>
              <w:rPr>
                <w:color w:val="auto"/>
                <w:sz w:val="22"/>
                <w:szCs w:val="22"/>
              </w:rPr>
            </w:pPr>
            <w:r>
              <w:rPr>
                <w:color w:val="auto"/>
                <w:sz w:val="22"/>
                <w:szCs w:val="22"/>
              </w:rPr>
              <w:t>В.М. Гаршин "Лягушка-путешественница", И.С. Соколов-Микитов "Листопадничек", М. Горький "Случай с Евсейкой" и другие (по выбору)</w:t>
            </w:r>
          </w:p>
        </w:tc>
      </w:tr>
      <w:tr w14:paraId="7A11A0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077" w:type="dxa"/>
          </w:tcPr>
          <w:p w14:paraId="487B4C2F">
            <w:pPr>
              <w:pStyle w:val="85"/>
              <w:jc w:val="center"/>
              <w:rPr>
                <w:color w:val="auto"/>
                <w:sz w:val="22"/>
                <w:szCs w:val="22"/>
              </w:rPr>
            </w:pPr>
            <w:r>
              <w:rPr>
                <w:color w:val="auto"/>
                <w:sz w:val="22"/>
                <w:szCs w:val="22"/>
              </w:rPr>
              <w:t>8</w:t>
            </w:r>
          </w:p>
        </w:tc>
        <w:tc>
          <w:tcPr>
            <w:tcW w:w="7994" w:type="dxa"/>
          </w:tcPr>
          <w:p w14:paraId="0FA7F7C4">
            <w:pPr>
              <w:pStyle w:val="85"/>
              <w:jc w:val="both"/>
              <w:rPr>
                <w:color w:val="auto"/>
                <w:sz w:val="22"/>
                <w:szCs w:val="22"/>
              </w:rPr>
            </w:pPr>
            <w:r>
              <w:rPr>
                <w:color w:val="auto"/>
                <w:sz w:val="22"/>
                <w:szCs w:val="22"/>
              </w:rPr>
              <w:t>Произведения о взаимоотношениях человека и животных (по выбору, не менее четырех произведений).</w:t>
            </w:r>
          </w:p>
          <w:p w14:paraId="4177145F">
            <w:pPr>
              <w:pStyle w:val="85"/>
              <w:jc w:val="both"/>
              <w:rPr>
                <w:color w:val="auto"/>
                <w:sz w:val="22"/>
                <w:szCs w:val="22"/>
              </w:rPr>
            </w:pPr>
            <w:r>
              <w:rPr>
                <w:color w:val="auto"/>
                <w:sz w:val="22"/>
                <w:szCs w:val="22"/>
              </w:rPr>
              <w:t>Б.С. Житков "Про обезьянку", К.Г. Паустовский "Барсучий нос", "Кот-ворюга", Д.Н. Мамин-Сибиряк "Приемыш" и другие (по выбору)</w:t>
            </w:r>
          </w:p>
        </w:tc>
      </w:tr>
      <w:tr w14:paraId="5A62FC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077" w:type="dxa"/>
          </w:tcPr>
          <w:p w14:paraId="6381DFF1">
            <w:pPr>
              <w:pStyle w:val="85"/>
              <w:jc w:val="center"/>
              <w:rPr>
                <w:color w:val="auto"/>
                <w:sz w:val="22"/>
                <w:szCs w:val="22"/>
              </w:rPr>
            </w:pPr>
            <w:r>
              <w:rPr>
                <w:color w:val="auto"/>
                <w:sz w:val="22"/>
                <w:szCs w:val="22"/>
              </w:rPr>
              <w:t>9</w:t>
            </w:r>
          </w:p>
        </w:tc>
        <w:tc>
          <w:tcPr>
            <w:tcW w:w="7994" w:type="dxa"/>
          </w:tcPr>
          <w:p w14:paraId="4C1BA377">
            <w:pPr>
              <w:pStyle w:val="85"/>
              <w:jc w:val="both"/>
              <w:rPr>
                <w:color w:val="auto"/>
                <w:sz w:val="22"/>
                <w:szCs w:val="22"/>
              </w:rPr>
            </w:pPr>
            <w:r>
              <w:rPr>
                <w:color w:val="auto"/>
                <w:sz w:val="22"/>
                <w:szCs w:val="22"/>
              </w:rPr>
              <w:t>Произведения о детях (темы: "Разные детские судьбы", "Дети на войне").</w:t>
            </w:r>
          </w:p>
          <w:p w14:paraId="5FE3244F">
            <w:pPr>
              <w:pStyle w:val="85"/>
              <w:jc w:val="both"/>
              <w:rPr>
                <w:color w:val="auto"/>
                <w:sz w:val="22"/>
                <w:szCs w:val="22"/>
              </w:rPr>
            </w:pPr>
            <w:r>
              <w:rPr>
                <w:color w:val="auto"/>
                <w:sz w:val="22"/>
                <w:szCs w:val="22"/>
              </w:rPr>
              <w:t>Л. Пантелеев "На ялике", А. Гайдар "Тимур и его команда" (отрывки), Л. Кассиль и другие (по выбору)</w:t>
            </w:r>
          </w:p>
        </w:tc>
      </w:tr>
      <w:tr w14:paraId="5B4251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077" w:type="dxa"/>
          </w:tcPr>
          <w:p w14:paraId="7D427CE4">
            <w:pPr>
              <w:pStyle w:val="85"/>
              <w:jc w:val="center"/>
              <w:rPr>
                <w:color w:val="auto"/>
                <w:sz w:val="22"/>
                <w:szCs w:val="22"/>
              </w:rPr>
            </w:pPr>
            <w:r>
              <w:rPr>
                <w:color w:val="auto"/>
                <w:sz w:val="22"/>
                <w:szCs w:val="22"/>
              </w:rPr>
              <w:t>10</w:t>
            </w:r>
          </w:p>
        </w:tc>
        <w:tc>
          <w:tcPr>
            <w:tcW w:w="7994" w:type="dxa"/>
          </w:tcPr>
          <w:p w14:paraId="0F19C5E8">
            <w:pPr>
              <w:pStyle w:val="85"/>
              <w:jc w:val="both"/>
              <w:rPr>
                <w:color w:val="auto"/>
                <w:sz w:val="22"/>
                <w:szCs w:val="22"/>
              </w:rPr>
            </w:pPr>
            <w:r>
              <w:rPr>
                <w:color w:val="auto"/>
                <w:sz w:val="22"/>
                <w:szCs w:val="22"/>
              </w:rPr>
              <w:t>Юмористические произведения (не менее двух произведений): М.М. Зощенко, Н.Н. Носов, В.Ю. Драгунский и другие (по выбору).</w:t>
            </w:r>
          </w:p>
          <w:p w14:paraId="2BC213B4">
            <w:pPr>
              <w:pStyle w:val="85"/>
              <w:jc w:val="both"/>
              <w:rPr>
                <w:color w:val="auto"/>
                <w:sz w:val="22"/>
                <w:szCs w:val="22"/>
              </w:rPr>
            </w:pPr>
            <w:r>
              <w:rPr>
                <w:color w:val="auto"/>
                <w:sz w:val="22"/>
                <w:szCs w:val="22"/>
              </w:rPr>
              <w:t>В.Ю. Драгунский "Денискины рассказы" (1 - 2 произведения), Н.Н. Носов "Веселая семейка" и другие (по выбору).</w:t>
            </w:r>
          </w:p>
        </w:tc>
      </w:tr>
      <w:tr w14:paraId="23903D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077" w:type="dxa"/>
          </w:tcPr>
          <w:p w14:paraId="2B1EC480">
            <w:pPr>
              <w:pStyle w:val="85"/>
              <w:jc w:val="center"/>
              <w:rPr>
                <w:color w:val="auto"/>
                <w:sz w:val="22"/>
                <w:szCs w:val="22"/>
              </w:rPr>
            </w:pPr>
            <w:r>
              <w:rPr>
                <w:color w:val="auto"/>
                <w:sz w:val="22"/>
                <w:szCs w:val="22"/>
              </w:rPr>
              <w:t>11</w:t>
            </w:r>
          </w:p>
        </w:tc>
        <w:tc>
          <w:tcPr>
            <w:tcW w:w="7994" w:type="dxa"/>
          </w:tcPr>
          <w:p w14:paraId="70A1E5CE">
            <w:pPr>
              <w:pStyle w:val="85"/>
              <w:jc w:val="both"/>
              <w:rPr>
                <w:color w:val="auto"/>
                <w:sz w:val="22"/>
                <w:szCs w:val="22"/>
              </w:rPr>
            </w:pPr>
            <w:r>
              <w:rPr>
                <w:color w:val="auto"/>
                <w:sz w:val="22"/>
                <w:szCs w:val="22"/>
              </w:rPr>
              <w:t>Зарубежная литература</w:t>
            </w:r>
          </w:p>
        </w:tc>
      </w:tr>
      <w:tr w14:paraId="0058C3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077" w:type="dxa"/>
          </w:tcPr>
          <w:p w14:paraId="7FB4C318">
            <w:pPr>
              <w:pStyle w:val="85"/>
              <w:jc w:val="center"/>
              <w:rPr>
                <w:color w:val="auto"/>
                <w:sz w:val="22"/>
                <w:szCs w:val="22"/>
              </w:rPr>
            </w:pPr>
            <w:r>
              <w:rPr>
                <w:color w:val="auto"/>
                <w:sz w:val="22"/>
                <w:szCs w:val="22"/>
              </w:rPr>
              <w:t>11.1</w:t>
            </w:r>
          </w:p>
        </w:tc>
        <w:tc>
          <w:tcPr>
            <w:tcW w:w="7994" w:type="dxa"/>
          </w:tcPr>
          <w:p w14:paraId="05AE8812">
            <w:pPr>
              <w:pStyle w:val="85"/>
              <w:jc w:val="both"/>
              <w:rPr>
                <w:color w:val="auto"/>
                <w:sz w:val="22"/>
                <w:szCs w:val="22"/>
              </w:rPr>
            </w:pPr>
            <w:r>
              <w:rPr>
                <w:color w:val="auto"/>
                <w:sz w:val="22"/>
                <w:szCs w:val="22"/>
              </w:rPr>
              <w:t>Литературные сказки Ш. Перро, Х.-К. Андерсена, Р. Киплинга (произведения двух-трех авторов по выбору).</w:t>
            </w:r>
          </w:p>
          <w:p w14:paraId="387318B0">
            <w:pPr>
              <w:pStyle w:val="85"/>
              <w:jc w:val="both"/>
              <w:rPr>
                <w:color w:val="auto"/>
                <w:sz w:val="22"/>
                <w:szCs w:val="22"/>
              </w:rPr>
            </w:pPr>
            <w:r>
              <w:rPr>
                <w:color w:val="auto"/>
                <w:sz w:val="22"/>
                <w:szCs w:val="22"/>
              </w:rPr>
              <w:t>Х.-К. Андерсен "Гадкий утенок", Ш. Перро "Подарок феи" и другие (по выбору)</w:t>
            </w:r>
          </w:p>
        </w:tc>
      </w:tr>
      <w:tr w14:paraId="547694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077" w:type="dxa"/>
          </w:tcPr>
          <w:p w14:paraId="603A8271">
            <w:pPr>
              <w:pStyle w:val="85"/>
              <w:jc w:val="center"/>
              <w:rPr>
                <w:color w:val="auto"/>
                <w:sz w:val="22"/>
                <w:szCs w:val="22"/>
              </w:rPr>
            </w:pPr>
            <w:r>
              <w:rPr>
                <w:color w:val="auto"/>
                <w:sz w:val="22"/>
                <w:szCs w:val="22"/>
              </w:rPr>
              <w:t>11.2</w:t>
            </w:r>
          </w:p>
        </w:tc>
        <w:tc>
          <w:tcPr>
            <w:tcW w:w="7994" w:type="dxa"/>
          </w:tcPr>
          <w:p w14:paraId="361EBAA0">
            <w:pPr>
              <w:pStyle w:val="85"/>
              <w:jc w:val="both"/>
              <w:rPr>
                <w:color w:val="auto"/>
                <w:sz w:val="22"/>
                <w:szCs w:val="22"/>
              </w:rPr>
            </w:pPr>
            <w:r>
              <w:rPr>
                <w:color w:val="auto"/>
                <w:sz w:val="22"/>
                <w:szCs w:val="22"/>
              </w:rPr>
              <w:t>Рассказы зарубежных писателей о животных</w:t>
            </w:r>
          </w:p>
        </w:tc>
      </w:tr>
      <w:tr w14:paraId="58EE60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077" w:type="dxa"/>
          </w:tcPr>
          <w:p w14:paraId="2EA58761">
            <w:pPr>
              <w:pStyle w:val="85"/>
              <w:jc w:val="center"/>
              <w:rPr>
                <w:color w:val="auto"/>
                <w:sz w:val="22"/>
                <w:szCs w:val="22"/>
              </w:rPr>
            </w:pPr>
            <w:r>
              <w:rPr>
                <w:color w:val="auto"/>
                <w:sz w:val="22"/>
                <w:szCs w:val="22"/>
              </w:rPr>
              <w:t>11.3</w:t>
            </w:r>
          </w:p>
        </w:tc>
        <w:tc>
          <w:tcPr>
            <w:tcW w:w="7994" w:type="dxa"/>
          </w:tcPr>
          <w:p w14:paraId="723397A8">
            <w:pPr>
              <w:pStyle w:val="85"/>
              <w:jc w:val="both"/>
              <w:rPr>
                <w:color w:val="auto"/>
                <w:sz w:val="22"/>
                <w:szCs w:val="22"/>
              </w:rPr>
            </w:pPr>
            <w:r>
              <w:rPr>
                <w:color w:val="auto"/>
                <w:sz w:val="22"/>
                <w:szCs w:val="22"/>
              </w:rPr>
              <w:t>Известные переводчики зарубежной литературы: С.Я. Маршак, К.И. Чуковский, Б.В. Заходер</w:t>
            </w:r>
          </w:p>
        </w:tc>
      </w:tr>
      <w:tr w14:paraId="17937A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077" w:type="dxa"/>
          </w:tcPr>
          <w:p w14:paraId="6B0C5EA5">
            <w:pPr>
              <w:pStyle w:val="85"/>
              <w:jc w:val="center"/>
              <w:rPr>
                <w:color w:val="auto"/>
                <w:sz w:val="22"/>
                <w:szCs w:val="22"/>
              </w:rPr>
            </w:pPr>
            <w:r>
              <w:rPr>
                <w:color w:val="auto"/>
                <w:sz w:val="22"/>
                <w:szCs w:val="22"/>
              </w:rPr>
              <w:t>12</w:t>
            </w:r>
          </w:p>
        </w:tc>
        <w:tc>
          <w:tcPr>
            <w:tcW w:w="7994" w:type="dxa"/>
          </w:tcPr>
          <w:p w14:paraId="59AB0D8B">
            <w:pPr>
              <w:pStyle w:val="85"/>
              <w:jc w:val="both"/>
              <w:rPr>
                <w:color w:val="auto"/>
                <w:sz w:val="22"/>
                <w:szCs w:val="22"/>
              </w:rPr>
            </w:pPr>
            <w:r>
              <w:rPr>
                <w:color w:val="auto"/>
                <w:sz w:val="22"/>
                <w:szCs w:val="22"/>
              </w:rPr>
              <w:t>Сведения по теории и истории литературы</w:t>
            </w:r>
          </w:p>
          <w:p w14:paraId="393C5ADF">
            <w:pPr>
              <w:pStyle w:val="85"/>
              <w:jc w:val="both"/>
              <w:rPr>
                <w:color w:val="auto"/>
                <w:sz w:val="22"/>
                <w:szCs w:val="22"/>
              </w:rPr>
            </w:pPr>
            <w:r>
              <w:rPr>
                <w:color w:val="auto"/>
                <w:sz w:val="22"/>
                <w:szCs w:val="22"/>
              </w:rPr>
              <w:t>Автор, писатель. Произведение.</w:t>
            </w:r>
          </w:p>
          <w:p w14:paraId="11949FF8">
            <w:pPr>
              <w:pStyle w:val="85"/>
              <w:jc w:val="both"/>
              <w:rPr>
                <w:color w:val="auto"/>
                <w:sz w:val="22"/>
                <w:szCs w:val="22"/>
              </w:rPr>
            </w:pPr>
            <w:r>
              <w:rPr>
                <w:color w:val="auto"/>
                <w:sz w:val="22"/>
                <w:szCs w:val="22"/>
              </w:rPr>
              <w:t>Жанры (стихотворение, басня, рассказ, повесть); жанры фольклора малые (потешка, считалка, небылица, пословица, загадка, народная песня, былина и другие). Фольклорная сказка (сказка о животных, бытовая, волшебная) и литературная сказка.</w:t>
            </w:r>
          </w:p>
          <w:p w14:paraId="421B668D">
            <w:pPr>
              <w:pStyle w:val="85"/>
              <w:jc w:val="both"/>
              <w:rPr>
                <w:color w:val="auto"/>
                <w:sz w:val="22"/>
                <w:szCs w:val="22"/>
              </w:rPr>
            </w:pPr>
            <w:r>
              <w:rPr>
                <w:color w:val="auto"/>
                <w:sz w:val="22"/>
                <w:szCs w:val="22"/>
              </w:rPr>
              <w:t>Идея. Тема. Заголовок.</w:t>
            </w:r>
          </w:p>
          <w:p w14:paraId="1B90A3E3">
            <w:pPr>
              <w:pStyle w:val="85"/>
              <w:jc w:val="both"/>
              <w:rPr>
                <w:color w:val="auto"/>
                <w:sz w:val="22"/>
                <w:szCs w:val="22"/>
              </w:rPr>
            </w:pPr>
            <w:r>
              <w:rPr>
                <w:color w:val="auto"/>
                <w:sz w:val="22"/>
                <w:szCs w:val="22"/>
              </w:rPr>
              <w:t>Образ художественный. Литературный герой, персонаж, характер.</w:t>
            </w:r>
          </w:p>
          <w:p w14:paraId="0C9C0E46">
            <w:pPr>
              <w:pStyle w:val="85"/>
              <w:jc w:val="both"/>
              <w:rPr>
                <w:color w:val="auto"/>
                <w:sz w:val="22"/>
                <w:szCs w:val="22"/>
              </w:rPr>
            </w:pPr>
            <w:r>
              <w:rPr>
                <w:color w:val="auto"/>
                <w:sz w:val="22"/>
                <w:szCs w:val="22"/>
              </w:rPr>
              <w:t>Рассказчик. Портрет героя.</w:t>
            </w:r>
          </w:p>
          <w:p w14:paraId="48B549EF">
            <w:pPr>
              <w:pStyle w:val="85"/>
              <w:jc w:val="both"/>
              <w:rPr>
                <w:color w:val="auto"/>
                <w:sz w:val="22"/>
                <w:szCs w:val="22"/>
              </w:rPr>
            </w:pPr>
            <w:r>
              <w:rPr>
                <w:color w:val="auto"/>
                <w:sz w:val="22"/>
                <w:szCs w:val="22"/>
              </w:rPr>
              <w:t>Ритм. Рифма. Строфа.</w:t>
            </w:r>
          </w:p>
          <w:p w14:paraId="51F79F67">
            <w:pPr>
              <w:pStyle w:val="85"/>
              <w:jc w:val="both"/>
              <w:rPr>
                <w:color w:val="auto"/>
                <w:sz w:val="22"/>
                <w:szCs w:val="22"/>
              </w:rPr>
            </w:pPr>
            <w:r>
              <w:rPr>
                <w:color w:val="auto"/>
                <w:sz w:val="22"/>
                <w:szCs w:val="22"/>
              </w:rPr>
              <w:t>Содержание произведения, сюжет. Композиция. Эпизод, смысловые части.</w:t>
            </w:r>
          </w:p>
          <w:p w14:paraId="4BA2CFB5">
            <w:pPr>
              <w:pStyle w:val="85"/>
              <w:jc w:val="both"/>
              <w:rPr>
                <w:color w:val="auto"/>
                <w:sz w:val="22"/>
                <w:szCs w:val="22"/>
              </w:rPr>
            </w:pPr>
            <w:r>
              <w:rPr>
                <w:color w:val="auto"/>
                <w:sz w:val="22"/>
                <w:szCs w:val="22"/>
              </w:rPr>
              <w:t>Средства художественной выразительности (сравнение, олицетворение, эпитет).</w:t>
            </w:r>
          </w:p>
          <w:p w14:paraId="165A7D74">
            <w:pPr>
              <w:pStyle w:val="85"/>
              <w:jc w:val="both"/>
              <w:rPr>
                <w:color w:val="auto"/>
                <w:sz w:val="22"/>
                <w:szCs w:val="22"/>
              </w:rPr>
            </w:pPr>
            <w:r>
              <w:rPr>
                <w:color w:val="auto"/>
                <w:sz w:val="22"/>
                <w:szCs w:val="22"/>
              </w:rPr>
              <w:t>Проза и поэзия</w:t>
            </w:r>
          </w:p>
        </w:tc>
      </w:tr>
    </w:tbl>
    <w:p w14:paraId="7124B52E">
      <w:pPr>
        <w:pStyle w:val="85"/>
        <w:ind w:firstLine="540"/>
        <w:jc w:val="both"/>
        <w:rPr>
          <w:color w:val="auto"/>
          <w:sz w:val="22"/>
          <w:szCs w:val="22"/>
        </w:rPr>
      </w:pPr>
    </w:p>
    <w:p w14:paraId="1F7B5729">
      <w:pPr>
        <w:pStyle w:val="85"/>
        <w:jc w:val="right"/>
        <w:rPr>
          <w:color w:val="auto"/>
          <w:sz w:val="22"/>
          <w:szCs w:val="22"/>
        </w:rPr>
      </w:pPr>
      <w:r>
        <w:rPr>
          <w:color w:val="auto"/>
          <w:sz w:val="22"/>
          <w:szCs w:val="22"/>
        </w:rPr>
        <w:t>Таблица 5.6</w:t>
      </w:r>
    </w:p>
    <w:p w14:paraId="7CA2D8BB">
      <w:pPr>
        <w:pStyle w:val="85"/>
        <w:ind w:firstLine="540"/>
        <w:jc w:val="both"/>
        <w:rPr>
          <w:color w:val="auto"/>
          <w:sz w:val="22"/>
          <w:szCs w:val="22"/>
        </w:rPr>
      </w:pPr>
    </w:p>
    <w:p w14:paraId="6E9D9CB9">
      <w:pPr>
        <w:pStyle w:val="85"/>
        <w:jc w:val="center"/>
        <w:rPr>
          <w:color w:val="auto"/>
          <w:sz w:val="22"/>
          <w:szCs w:val="22"/>
        </w:rPr>
      </w:pPr>
      <w:r>
        <w:rPr>
          <w:color w:val="auto"/>
          <w:sz w:val="22"/>
          <w:szCs w:val="22"/>
        </w:rPr>
        <w:t>Проверяемые требования к результатам освоения основной</w:t>
      </w:r>
    </w:p>
    <w:p w14:paraId="20A5B955">
      <w:pPr>
        <w:pStyle w:val="85"/>
        <w:jc w:val="center"/>
        <w:rPr>
          <w:color w:val="auto"/>
          <w:sz w:val="22"/>
          <w:szCs w:val="22"/>
        </w:rPr>
      </w:pPr>
      <w:r>
        <w:rPr>
          <w:color w:val="auto"/>
          <w:sz w:val="22"/>
          <w:szCs w:val="22"/>
        </w:rPr>
        <w:t>образовательной программы (4 класс)</w:t>
      </w:r>
    </w:p>
    <w:p w14:paraId="33DE0A6C">
      <w:pPr>
        <w:pStyle w:val="85"/>
        <w:ind w:firstLine="540"/>
        <w:jc w:val="both"/>
        <w:rPr>
          <w:color w:val="auto"/>
          <w:sz w:val="22"/>
          <w:szCs w:val="22"/>
        </w:rPr>
      </w:pPr>
    </w:p>
    <w:tbl>
      <w:tblPr>
        <w:tblStyle w:val="1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02" w:type="dxa"/>
          <w:left w:w="62" w:type="dxa"/>
          <w:bottom w:w="102" w:type="dxa"/>
          <w:right w:w="62" w:type="dxa"/>
        </w:tblCellMar>
      </w:tblPr>
      <w:tblGrid>
        <w:gridCol w:w="1701"/>
        <w:gridCol w:w="7370"/>
      </w:tblGrid>
      <w:tr w14:paraId="072358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701" w:type="dxa"/>
          </w:tcPr>
          <w:p w14:paraId="7655CB0E">
            <w:pPr>
              <w:pStyle w:val="85"/>
              <w:jc w:val="center"/>
              <w:rPr>
                <w:color w:val="auto"/>
                <w:sz w:val="22"/>
                <w:szCs w:val="22"/>
              </w:rPr>
            </w:pPr>
            <w:r>
              <w:rPr>
                <w:color w:val="auto"/>
                <w:sz w:val="22"/>
                <w:szCs w:val="22"/>
              </w:rPr>
              <w:t>Код проверяемого результата</w:t>
            </w:r>
          </w:p>
        </w:tc>
        <w:tc>
          <w:tcPr>
            <w:tcW w:w="7370" w:type="dxa"/>
          </w:tcPr>
          <w:p w14:paraId="2AF448D1">
            <w:pPr>
              <w:pStyle w:val="85"/>
              <w:jc w:val="center"/>
              <w:rPr>
                <w:color w:val="auto"/>
                <w:sz w:val="22"/>
                <w:szCs w:val="22"/>
              </w:rPr>
            </w:pPr>
            <w:r>
              <w:rPr>
                <w:color w:val="auto"/>
                <w:sz w:val="22"/>
                <w:szCs w:val="22"/>
              </w:rPr>
              <w:t>Проверяемые предметные результаты освоения основной образовательной программы начального общего образования</w:t>
            </w:r>
          </w:p>
        </w:tc>
      </w:tr>
      <w:tr w14:paraId="2802FB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701" w:type="dxa"/>
          </w:tcPr>
          <w:p w14:paraId="6DECDE2B">
            <w:pPr>
              <w:pStyle w:val="85"/>
              <w:jc w:val="center"/>
              <w:rPr>
                <w:color w:val="auto"/>
                <w:sz w:val="22"/>
                <w:szCs w:val="22"/>
              </w:rPr>
            </w:pPr>
            <w:r>
              <w:rPr>
                <w:color w:val="auto"/>
                <w:sz w:val="22"/>
                <w:szCs w:val="22"/>
              </w:rPr>
              <w:t>1.1</w:t>
            </w:r>
          </w:p>
        </w:tc>
        <w:tc>
          <w:tcPr>
            <w:tcW w:w="7370" w:type="dxa"/>
          </w:tcPr>
          <w:p w14:paraId="77520A4D">
            <w:pPr>
              <w:pStyle w:val="85"/>
              <w:jc w:val="both"/>
              <w:rPr>
                <w:color w:val="auto"/>
                <w:sz w:val="22"/>
                <w:szCs w:val="22"/>
              </w:rPr>
            </w:pPr>
            <w:r>
              <w:rPr>
                <w:color w:val="auto"/>
                <w:sz w:val="22"/>
                <w:szCs w:val="22"/>
              </w:rPr>
              <w:t>осознавать значимость художественной литературы и фольклора для всестороннего развития личности человека, находить в произведениях отражение нравственных ценностей, фактов бытовой и духовной культуры народов России и мира, ориентироваться в нравственно-этических понятиях в контексте изученных произведений</w:t>
            </w:r>
          </w:p>
        </w:tc>
      </w:tr>
      <w:tr w14:paraId="7276D0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701" w:type="dxa"/>
          </w:tcPr>
          <w:p w14:paraId="352F47D6">
            <w:pPr>
              <w:pStyle w:val="85"/>
              <w:jc w:val="center"/>
              <w:rPr>
                <w:color w:val="auto"/>
                <w:sz w:val="22"/>
                <w:szCs w:val="22"/>
              </w:rPr>
            </w:pPr>
            <w:r>
              <w:rPr>
                <w:color w:val="auto"/>
                <w:sz w:val="22"/>
                <w:szCs w:val="22"/>
              </w:rPr>
              <w:t>1.2</w:t>
            </w:r>
          </w:p>
        </w:tc>
        <w:tc>
          <w:tcPr>
            <w:tcW w:w="7370" w:type="dxa"/>
          </w:tcPr>
          <w:p w14:paraId="2B3E1584">
            <w:pPr>
              <w:pStyle w:val="85"/>
              <w:jc w:val="both"/>
              <w:rPr>
                <w:color w:val="auto"/>
                <w:sz w:val="22"/>
                <w:szCs w:val="22"/>
              </w:rPr>
            </w:pPr>
            <w:r>
              <w:rPr>
                <w:color w:val="auto"/>
                <w:sz w:val="22"/>
                <w:szCs w:val="22"/>
              </w:rPr>
              <w:t>читать вслух и про себя в соответствии с учебной задачей, использовать разные виды чтения (изучающее, ознакомительное, поисковое выборочное, просмотровое выборочное);</w:t>
            </w:r>
          </w:p>
          <w:p w14:paraId="178556C4">
            <w:pPr>
              <w:pStyle w:val="85"/>
              <w:jc w:val="both"/>
              <w:rPr>
                <w:color w:val="auto"/>
                <w:sz w:val="22"/>
                <w:szCs w:val="22"/>
              </w:rPr>
            </w:pPr>
            <w:r>
              <w:rPr>
                <w:color w:val="auto"/>
                <w:sz w:val="22"/>
                <w:szCs w:val="22"/>
              </w:rPr>
              <w:t>читать вслух целыми словами без пропусков и перестановок букв и слогов доступные по восприятию и небольшие по объему прозаические и стихотворные произведения в темпе не менее 80 слов в минуту (без отметочного оценивания)</w:t>
            </w:r>
          </w:p>
        </w:tc>
      </w:tr>
      <w:tr w14:paraId="6E22E8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701" w:type="dxa"/>
          </w:tcPr>
          <w:p w14:paraId="01BCC251">
            <w:pPr>
              <w:pStyle w:val="85"/>
              <w:jc w:val="center"/>
              <w:rPr>
                <w:color w:val="auto"/>
                <w:sz w:val="22"/>
                <w:szCs w:val="22"/>
              </w:rPr>
            </w:pPr>
            <w:r>
              <w:rPr>
                <w:color w:val="auto"/>
                <w:sz w:val="22"/>
                <w:szCs w:val="22"/>
              </w:rPr>
              <w:t>1.3</w:t>
            </w:r>
          </w:p>
        </w:tc>
        <w:tc>
          <w:tcPr>
            <w:tcW w:w="7370" w:type="dxa"/>
          </w:tcPr>
          <w:p w14:paraId="38FF9F42">
            <w:pPr>
              <w:pStyle w:val="85"/>
              <w:jc w:val="both"/>
              <w:rPr>
                <w:color w:val="auto"/>
                <w:sz w:val="22"/>
                <w:szCs w:val="22"/>
              </w:rPr>
            </w:pPr>
            <w:r>
              <w:rPr>
                <w:color w:val="auto"/>
                <w:sz w:val="22"/>
                <w:szCs w:val="22"/>
              </w:rPr>
              <w:t>читать наизусть не менее 5 стихотворений в соответствии с изученной тематикой произведений</w:t>
            </w:r>
          </w:p>
        </w:tc>
      </w:tr>
      <w:tr w14:paraId="25244D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701" w:type="dxa"/>
          </w:tcPr>
          <w:p w14:paraId="07C6ACB7">
            <w:pPr>
              <w:pStyle w:val="85"/>
              <w:jc w:val="center"/>
              <w:rPr>
                <w:color w:val="auto"/>
                <w:sz w:val="22"/>
                <w:szCs w:val="22"/>
              </w:rPr>
            </w:pPr>
            <w:r>
              <w:rPr>
                <w:color w:val="auto"/>
                <w:sz w:val="22"/>
                <w:szCs w:val="22"/>
              </w:rPr>
              <w:t>1.4</w:t>
            </w:r>
          </w:p>
        </w:tc>
        <w:tc>
          <w:tcPr>
            <w:tcW w:w="7370" w:type="dxa"/>
          </w:tcPr>
          <w:p w14:paraId="716D21B0">
            <w:pPr>
              <w:pStyle w:val="85"/>
              <w:jc w:val="both"/>
              <w:rPr>
                <w:color w:val="auto"/>
                <w:sz w:val="22"/>
                <w:szCs w:val="22"/>
              </w:rPr>
            </w:pPr>
            <w:r>
              <w:rPr>
                <w:color w:val="auto"/>
                <w:sz w:val="22"/>
                <w:szCs w:val="22"/>
              </w:rPr>
              <w:t>различать художественные произведения и познавательные тексты</w:t>
            </w:r>
          </w:p>
        </w:tc>
      </w:tr>
      <w:tr w14:paraId="63B6EB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701" w:type="dxa"/>
          </w:tcPr>
          <w:p w14:paraId="64A06175">
            <w:pPr>
              <w:pStyle w:val="85"/>
              <w:jc w:val="center"/>
              <w:rPr>
                <w:color w:val="auto"/>
                <w:sz w:val="22"/>
                <w:szCs w:val="22"/>
              </w:rPr>
            </w:pPr>
            <w:r>
              <w:rPr>
                <w:color w:val="auto"/>
                <w:sz w:val="22"/>
                <w:szCs w:val="22"/>
              </w:rPr>
              <w:t>1.5</w:t>
            </w:r>
          </w:p>
        </w:tc>
        <w:tc>
          <w:tcPr>
            <w:tcW w:w="7370" w:type="dxa"/>
          </w:tcPr>
          <w:p w14:paraId="3871B9B3">
            <w:pPr>
              <w:pStyle w:val="85"/>
              <w:jc w:val="both"/>
              <w:rPr>
                <w:color w:val="auto"/>
                <w:sz w:val="22"/>
                <w:szCs w:val="22"/>
              </w:rPr>
            </w:pPr>
            <w:r>
              <w:rPr>
                <w:color w:val="auto"/>
                <w:sz w:val="22"/>
                <w:szCs w:val="22"/>
              </w:rPr>
              <w:t>различать прозаическую и стихотворную речь: называть особенности стихотворного произведения (ритм, рифма, строфа), отличать лирическое произведение от эпического</w:t>
            </w:r>
          </w:p>
        </w:tc>
      </w:tr>
      <w:tr w14:paraId="34E57C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701" w:type="dxa"/>
          </w:tcPr>
          <w:p w14:paraId="235F99B8">
            <w:pPr>
              <w:pStyle w:val="85"/>
              <w:jc w:val="center"/>
              <w:rPr>
                <w:color w:val="auto"/>
                <w:sz w:val="22"/>
                <w:szCs w:val="22"/>
              </w:rPr>
            </w:pPr>
            <w:r>
              <w:rPr>
                <w:color w:val="auto"/>
                <w:sz w:val="22"/>
                <w:szCs w:val="22"/>
              </w:rPr>
              <w:t>1.6</w:t>
            </w:r>
          </w:p>
        </w:tc>
        <w:tc>
          <w:tcPr>
            <w:tcW w:w="7370" w:type="dxa"/>
          </w:tcPr>
          <w:p w14:paraId="68A01E6B">
            <w:pPr>
              <w:pStyle w:val="85"/>
              <w:jc w:val="both"/>
              <w:rPr>
                <w:color w:val="auto"/>
                <w:sz w:val="22"/>
                <w:szCs w:val="22"/>
              </w:rPr>
            </w:pPr>
            <w:r>
              <w:rPr>
                <w:color w:val="auto"/>
                <w:sz w:val="22"/>
                <w:szCs w:val="22"/>
              </w:rPr>
              <w:t>понимать жанровую принадлежность, содержание, смысл прослушанного (прочитанного) произведения: отвечать и формулировать вопросы (в том числе проблемные) к познавательным, учебным и художественным текстам;</w:t>
            </w:r>
          </w:p>
          <w:p w14:paraId="2BECDE4F">
            <w:pPr>
              <w:pStyle w:val="85"/>
              <w:jc w:val="both"/>
              <w:rPr>
                <w:color w:val="auto"/>
                <w:sz w:val="22"/>
                <w:szCs w:val="22"/>
              </w:rPr>
            </w:pPr>
            <w:r>
              <w:rPr>
                <w:color w:val="auto"/>
                <w:sz w:val="22"/>
                <w:szCs w:val="22"/>
              </w:rPr>
              <w:t>различать и называть отдельные жанры фольклора (считалки, загадки, пословицы, потешки, небылицы, народные песни, скороговорки, сказки о животных, бытовые и волшебные), приводить примеры произведений фольклора разных народов России;</w:t>
            </w:r>
          </w:p>
          <w:p w14:paraId="5D9DE6C3">
            <w:pPr>
              <w:pStyle w:val="85"/>
              <w:jc w:val="both"/>
              <w:rPr>
                <w:color w:val="auto"/>
                <w:sz w:val="22"/>
                <w:szCs w:val="22"/>
              </w:rPr>
            </w:pPr>
            <w:r>
              <w:rPr>
                <w:color w:val="auto"/>
                <w:sz w:val="22"/>
                <w:szCs w:val="22"/>
              </w:rPr>
              <w:t>соотносить читаемый текст с жанром художественной литературы (литературные сказки, рассказы, стихотворения, басни), приводить примеры разных жанров литературы России и стран мира</w:t>
            </w:r>
          </w:p>
        </w:tc>
      </w:tr>
      <w:tr w14:paraId="50BF83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701" w:type="dxa"/>
          </w:tcPr>
          <w:p w14:paraId="7B26B1C7">
            <w:pPr>
              <w:pStyle w:val="85"/>
              <w:jc w:val="center"/>
              <w:rPr>
                <w:color w:val="auto"/>
                <w:sz w:val="22"/>
                <w:szCs w:val="22"/>
              </w:rPr>
            </w:pPr>
            <w:r>
              <w:rPr>
                <w:color w:val="auto"/>
                <w:sz w:val="22"/>
                <w:szCs w:val="22"/>
              </w:rPr>
              <w:t>1.7</w:t>
            </w:r>
          </w:p>
        </w:tc>
        <w:tc>
          <w:tcPr>
            <w:tcW w:w="7370" w:type="dxa"/>
          </w:tcPr>
          <w:p w14:paraId="0D04A080">
            <w:pPr>
              <w:pStyle w:val="85"/>
              <w:jc w:val="both"/>
              <w:rPr>
                <w:color w:val="auto"/>
                <w:sz w:val="22"/>
                <w:szCs w:val="22"/>
              </w:rPr>
            </w:pPr>
            <w:r>
              <w:rPr>
                <w:color w:val="auto"/>
                <w:sz w:val="22"/>
                <w:szCs w:val="22"/>
              </w:rPr>
              <w:t>владеть элементарными умениями анализа и интерпретации текста: определять тему и главную мысль, последовательность событий в тексте произведения, выявлять связь событий, эпизодов текста</w:t>
            </w:r>
          </w:p>
        </w:tc>
      </w:tr>
      <w:tr w14:paraId="48E731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701" w:type="dxa"/>
          </w:tcPr>
          <w:p w14:paraId="4A743530">
            <w:pPr>
              <w:pStyle w:val="85"/>
              <w:jc w:val="center"/>
              <w:rPr>
                <w:color w:val="auto"/>
                <w:sz w:val="22"/>
                <w:szCs w:val="22"/>
              </w:rPr>
            </w:pPr>
            <w:r>
              <w:rPr>
                <w:color w:val="auto"/>
                <w:sz w:val="22"/>
                <w:szCs w:val="22"/>
              </w:rPr>
              <w:t>1.8</w:t>
            </w:r>
          </w:p>
        </w:tc>
        <w:tc>
          <w:tcPr>
            <w:tcW w:w="7370" w:type="dxa"/>
          </w:tcPr>
          <w:p w14:paraId="1D150C97">
            <w:pPr>
              <w:pStyle w:val="85"/>
              <w:jc w:val="both"/>
              <w:rPr>
                <w:color w:val="auto"/>
                <w:sz w:val="22"/>
                <w:szCs w:val="22"/>
              </w:rPr>
            </w:pPr>
            <w:r>
              <w:rPr>
                <w:color w:val="auto"/>
                <w:sz w:val="22"/>
                <w:szCs w:val="22"/>
              </w:rPr>
              <w:t>характеризовать героев, давать оценку их поступкам, составлять портретные характеристики персонажей, выявлять взаимосвязь между поступками и мыслями, чувствами героев, сравнивать героев одного произведения по самостоятельно выбранному критерию (по аналогии или по контрасту), характеризовать собственное отношение к героям, поступкам; находить в тексте средства изображения героев (портрет) и выражения их чувств, описание пейзажа и интерьера, устанавливать причинно-следственные связи событий, явлений, поступков героев</w:t>
            </w:r>
          </w:p>
        </w:tc>
      </w:tr>
      <w:tr w14:paraId="3A4EA9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701" w:type="dxa"/>
          </w:tcPr>
          <w:p w14:paraId="2EDB0053">
            <w:pPr>
              <w:pStyle w:val="85"/>
              <w:jc w:val="center"/>
              <w:rPr>
                <w:color w:val="auto"/>
                <w:sz w:val="22"/>
                <w:szCs w:val="22"/>
              </w:rPr>
            </w:pPr>
            <w:r>
              <w:rPr>
                <w:color w:val="auto"/>
                <w:sz w:val="22"/>
                <w:szCs w:val="22"/>
              </w:rPr>
              <w:t>1.9</w:t>
            </w:r>
          </w:p>
        </w:tc>
        <w:tc>
          <w:tcPr>
            <w:tcW w:w="7370" w:type="dxa"/>
          </w:tcPr>
          <w:p w14:paraId="1E400687">
            <w:pPr>
              <w:pStyle w:val="85"/>
              <w:jc w:val="both"/>
              <w:rPr>
                <w:color w:val="auto"/>
                <w:sz w:val="22"/>
                <w:szCs w:val="22"/>
              </w:rPr>
            </w:pPr>
            <w:r>
              <w:rPr>
                <w:color w:val="auto"/>
                <w:sz w:val="22"/>
                <w:szCs w:val="22"/>
              </w:rPr>
              <w:t>объяснять значение незнакомого слова с использованием контекста и словаря;</w:t>
            </w:r>
          </w:p>
          <w:p w14:paraId="198204D6">
            <w:pPr>
              <w:pStyle w:val="85"/>
              <w:jc w:val="both"/>
              <w:rPr>
                <w:color w:val="auto"/>
                <w:sz w:val="22"/>
                <w:szCs w:val="22"/>
              </w:rPr>
            </w:pPr>
            <w:r>
              <w:rPr>
                <w:color w:val="auto"/>
                <w:sz w:val="22"/>
                <w:szCs w:val="22"/>
              </w:rPr>
              <w:t>находить в тексте примеры использования слов в прямом и переносном значении, средства художественной выразительности (сравнение, эпитет, олицетворение, метафора)</w:t>
            </w:r>
          </w:p>
        </w:tc>
      </w:tr>
      <w:tr w14:paraId="1621C1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701" w:type="dxa"/>
          </w:tcPr>
          <w:p w14:paraId="4ED77B7A">
            <w:pPr>
              <w:pStyle w:val="85"/>
              <w:jc w:val="center"/>
              <w:rPr>
                <w:color w:val="auto"/>
                <w:sz w:val="22"/>
                <w:szCs w:val="22"/>
              </w:rPr>
            </w:pPr>
            <w:r>
              <w:rPr>
                <w:color w:val="auto"/>
                <w:sz w:val="22"/>
                <w:szCs w:val="22"/>
              </w:rPr>
              <w:t>1.10</w:t>
            </w:r>
          </w:p>
        </w:tc>
        <w:tc>
          <w:tcPr>
            <w:tcW w:w="7370" w:type="dxa"/>
          </w:tcPr>
          <w:p w14:paraId="54EBD39E">
            <w:pPr>
              <w:pStyle w:val="85"/>
              <w:jc w:val="both"/>
              <w:rPr>
                <w:color w:val="auto"/>
                <w:sz w:val="22"/>
                <w:szCs w:val="22"/>
              </w:rPr>
            </w:pPr>
            <w:r>
              <w:rPr>
                <w:color w:val="auto"/>
                <w:sz w:val="22"/>
                <w:szCs w:val="22"/>
              </w:rPr>
              <w:t>осознанно применять изученные понятия (автор, мораль басни, литературный герой, персонаж, характер, тема, идея, заголовок, содержание произведения, эпизод, смысловые части, композиция, сравнение, эпитет, олицетворение, метафора, лирика, эпос, образ)</w:t>
            </w:r>
          </w:p>
        </w:tc>
      </w:tr>
      <w:tr w14:paraId="6E4331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701" w:type="dxa"/>
          </w:tcPr>
          <w:p w14:paraId="079DAF87">
            <w:pPr>
              <w:pStyle w:val="85"/>
              <w:jc w:val="center"/>
              <w:rPr>
                <w:color w:val="auto"/>
                <w:sz w:val="22"/>
                <w:szCs w:val="22"/>
              </w:rPr>
            </w:pPr>
            <w:r>
              <w:rPr>
                <w:color w:val="auto"/>
                <w:sz w:val="22"/>
                <w:szCs w:val="22"/>
              </w:rPr>
              <w:t>1.11</w:t>
            </w:r>
          </w:p>
        </w:tc>
        <w:tc>
          <w:tcPr>
            <w:tcW w:w="7370" w:type="dxa"/>
          </w:tcPr>
          <w:p w14:paraId="7232C884">
            <w:pPr>
              <w:pStyle w:val="85"/>
              <w:jc w:val="both"/>
              <w:rPr>
                <w:color w:val="auto"/>
                <w:sz w:val="22"/>
                <w:szCs w:val="22"/>
              </w:rPr>
            </w:pPr>
            <w:r>
              <w:rPr>
                <w:color w:val="auto"/>
                <w:sz w:val="22"/>
                <w:szCs w:val="22"/>
              </w:rPr>
              <w:t>участвовать в обсуждении прослушанного (прочитанного) произведения: строить монологическое и диалогическое высказывание с соблюдением норм русского литературного языка (норм произношения, словоупотребления, грамматики); устно и письменно формулировать простые выводы на основе прослушанного (прочитанного) текста, подтверждать свой ответ примерами из текста</w:t>
            </w:r>
          </w:p>
        </w:tc>
      </w:tr>
      <w:tr w14:paraId="4D435E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701" w:type="dxa"/>
          </w:tcPr>
          <w:p w14:paraId="26800BB9">
            <w:pPr>
              <w:pStyle w:val="85"/>
              <w:jc w:val="center"/>
              <w:rPr>
                <w:color w:val="auto"/>
                <w:sz w:val="22"/>
                <w:szCs w:val="22"/>
              </w:rPr>
            </w:pPr>
            <w:r>
              <w:rPr>
                <w:color w:val="auto"/>
                <w:sz w:val="22"/>
                <w:szCs w:val="22"/>
              </w:rPr>
              <w:t>1.12</w:t>
            </w:r>
          </w:p>
        </w:tc>
        <w:tc>
          <w:tcPr>
            <w:tcW w:w="7370" w:type="dxa"/>
          </w:tcPr>
          <w:p w14:paraId="790B054C">
            <w:pPr>
              <w:pStyle w:val="85"/>
              <w:jc w:val="both"/>
              <w:rPr>
                <w:color w:val="auto"/>
                <w:sz w:val="22"/>
                <w:szCs w:val="22"/>
              </w:rPr>
            </w:pPr>
            <w:r>
              <w:rPr>
                <w:color w:val="auto"/>
                <w:sz w:val="22"/>
                <w:szCs w:val="22"/>
              </w:rPr>
              <w:t>составлять план текста (вопросный, номинативный, цитатный), пересказывать (устно) подробно, выборочно, сжато (кратко), от лица героя, с изменением лица рассказчика, от третьего лица</w:t>
            </w:r>
          </w:p>
        </w:tc>
      </w:tr>
      <w:tr w14:paraId="0AC2B2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701" w:type="dxa"/>
          </w:tcPr>
          <w:p w14:paraId="3A6BB5E4">
            <w:pPr>
              <w:pStyle w:val="85"/>
              <w:jc w:val="center"/>
              <w:rPr>
                <w:color w:val="auto"/>
                <w:sz w:val="22"/>
                <w:szCs w:val="22"/>
              </w:rPr>
            </w:pPr>
            <w:r>
              <w:rPr>
                <w:color w:val="auto"/>
                <w:sz w:val="22"/>
                <w:szCs w:val="22"/>
              </w:rPr>
              <w:t>1.13</w:t>
            </w:r>
          </w:p>
        </w:tc>
        <w:tc>
          <w:tcPr>
            <w:tcW w:w="7370" w:type="dxa"/>
          </w:tcPr>
          <w:p w14:paraId="4E2BB42C">
            <w:pPr>
              <w:pStyle w:val="85"/>
              <w:jc w:val="both"/>
              <w:rPr>
                <w:color w:val="auto"/>
                <w:sz w:val="22"/>
                <w:szCs w:val="22"/>
              </w:rPr>
            </w:pPr>
            <w:r>
              <w:rPr>
                <w:color w:val="auto"/>
                <w:sz w:val="22"/>
                <w:szCs w:val="22"/>
              </w:rPr>
              <w:t>читать по ролям с соблюдением норм произношения, расстановки ударения, инсценировать небольшие эпизоды из произведения</w:t>
            </w:r>
          </w:p>
        </w:tc>
      </w:tr>
      <w:tr w14:paraId="62088D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701" w:type="dxa"/>
          </w:tcPr>
          <w:p w14:paraId="6BFDB0D2">
            <w:pPr>
              <w:pStyle w:val="85"/>
              <w:jc w:val="center"/>
              <w:rPr>
                <w:color w:val="auto"/>
                <w:sz w:val="22"/>
                <w:szCs w:val="22"/>
              </w:rPr>
            </w:pPr>
            <w:r>
              <w:rPr>
                <w:color w:val="auto"/>
                <w:sz w:val="22"/>
                <w:szCs w:val="22"/>
              </w:rPr>
              <w:t>1.14</w:t>
            </w:r>
          </w:p>
        </w:tc>
        <w:tc>
          <w:tcPr>
            <w:tcW w:w="7370" w:type="dxa"/>
          </w:tcPr>
          <w:p w14:paraId="20C365C2">
            <w:pPr>
              <w:pStyle w:val="85"/>
              <w:jc w:val="both"/>
              <w:rPr>
                <w:color w:val="auto"/>
                <w:sz w:val="22"/>
                <w:szCs w:val="22"/>
              </w:rPr>
            </w:pPr>
            <w:r>
              <w:rPr>
                <w:color w:val="auto"/>
                <w:sz w:val="22"/>
                <w:szCs w:val="22"/>
              </w:rPr>
              <w:t>составлять устные и письменные высказывания на заданную тему по содержанию произведения (не менее 10 предложений), писать сочинения на заданную тему, используя разные типы речи (повествование, описание, рассуждение), корректировать собственный текст с учетом правильности, выразительности письменной речи;</w:t>
            </w:r>
          </w:p>
          <w:p w14:paraId="0F776BFE">
            <w:pPr>
              <w:pStyle w:val="85"/>
              <w:jc w:val="both"/>
              <w:rPr>
                <w:color w:val="auto"/>
                <w:sz w:val="22"/>
                <w:szCs w:val="22"/>
              </w:rPr>
            </w:pPr>
            <w:r>
              <w:rPr>
                <w:color w:val="auto"/>
                <w:sz w:val="22"/>
                <w:szCs w:val="22"/>
              </w:rPr>
              <w:t>составлять краткий отзыв о прочитанном произведении по заданному алгоритму</w:t>
            </w:r>
          </w:p>
        </w:tc>
      </w:tr>
      <w:tr w14:paraId="37E6B7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701" w:type="dxa"/>
          </w:tcPr>
          <w:p w14:paraId="5273B1CE">
            <w:pPr>
              <w:pStyle w:val="85"/>
              <w:jc w:val="center"/>
              <w:rPr>
                <w:color w:val="auto"/>
                <w:sz w:val="22"/>
                <w:szCs w:val="22"/>
              </w:rPr>
            </w:pPr>
            <w:r>
              <w:rPr>
                <w:color w:val="auto"/>
                <w:sz w:val="22"/>
                <w:szCs w:val="22"/>
              </w:rPr>
              <w:t>1.15</w:t>
            </w:r>
          </w:p>
        </w:tc>
        <w:tc>
          <w:tcPr>
            <w:tcW w:w="7370" w:type="dxa"/>
          </w:tcPr>
          <w:p w14:paraId="0C4C46A9">
            <w:pPr>
              <w:pStyle w:val="85"/>
              <w:jc w:val="both"/>
              <w:rPr>
                <w:color w:val="auto"/>
                <w:sz w:val="22"/>
                <w:szCs w:val="22"/>
              </w:rPr>
            </w:pPr>
            <w:r>
              <w:rPr>
                <w:color w:val="auto"/>
                <w:sz w:val="22"/>
                <w:szCs w:val="22"/>
              </w:rPr>
              <w:t>сочинять по аналогии с прочитанным, составлять рассказ по иллюстрациям, от имени одного из героев, придумывать продолжение прочитанного произведения (не менее 10 предложений)</w:t>
            </w:r>
          </w:p>
        </w:tc>
      </w:tr>
      <w:tr w14:paraId="1D08C9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701" w:type="dxa"/>
          </w:tcPr>
          <w:p w14:paraId="65E1B805">
            <w:pPr>
              <w:pStyle w:val="85"/>
              <w:jc w:val="center"/>
              <w:rPr>
                <w:color w:val="auto"/>
                <w:sz w:val="22"/>
                <w:szCs w:val="22"/>
              </w:rPr>
            </w:pPr>
            <w:r>
              <w:rPr>
                <w:color w:val="auto"/>
                <w:sz w:val="22"/>
                <w:szCs w:val="22"/>
              </w:rPr>
              <w:t>1.16</w:t>
            </w:r>
          </w:p>
        </w:tc>
        <w:tc>
          <w:tcPr>
            <w:tcW w:w="7370" w:type="dxa"/>
          </w:tcPr>
          <w:p w14:paraId="31A6C9D4">
            <w:pPr>
              <w:pStyle w:val="85"/>
              <w:jc w:val="both"/>
              <w:rPr>
                <w:color w:val="auto"/>
                <w:sz w:val="22"/>
                <w:szCs w:val="22"/>
              </w:rPr>
            </w:pPr>
            <w:r>
              <w:rPr>
                <w:color w:val="auto"/>
                <w:sz w:val="22"/>
                <w:szCs w:val="22"/>
              </w:rPr>
              <w:t>использовать в соответствии с учебной задачей аппарат издания (обложка, оглавление, аннотация, иллюстрация, предисловие, приложение, сноски, примечания);</w:t>
            </w:r>
          </w:p>
          <w:p w14:paraId="09AB1ECF">
            <w:pPr>
              <w:pStyle w:val="85"/>
              <w:jc w:val="both"/>
              <w:rPr>
                <w:color w:val="auto"/>
                <w:sz w:val="22"/>
                <w:szCs w:val="22"/>
              </w:rPr>
            </w:pPr>
            <w:r>
              <w:rPr>
                <w:color w:val="auto"/>
                <w:sz w:val="22"/>
                <w:szCs w:val="22"/>
              </w:rPr>
              <w:t>выбирать книги для самостоятельного чтения с учетом рекомендательного списка, используя картотеки, рассказывать о прочитанной книге</w:t>
            </w:r>
          </w:p>
        </w:tc>
      </w:tr>
      <w:tr w14:paraId="723F5D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701" w:type="dxa"/>
          </w:tcPr>
          <w:p w14:paraId="6895691F">
            <w:pPr>
              <w:pStyle w:val="85"/>
              <w:jc w:val="center"/>
              <w:rPr>
                <w:color w:val="auto"/>
                <w:sz w:val="22"/>
                <w:szCs w:val="22"/>
              </w:rPr>
            </w:pPr>
            <w:r>
              <w:rPr>
                <w:color w:val="auto"/>
                <w:sz w:val="22"/>
                <w:szCs w:val="22"/>
              </w:rPr>
              <w:t>1.17</w:t>
            </w:r>
          </w:p>
        </w:tc>
        <w:tc>
          <w:tcPr>
            <w:tcW w:w="7370" w:type="dxa"/>
          </w:tcPr>
          <w:p w14:paraId="2FB1C0EC">
            <w:pPr>
              <w:pStyle w:val="85"/>
              <w:jc w:val="both"/>
              <w:rPr>
                <w:color w:val="auto"/>
                <w:sz w:val="22"/>
                <w:szCs w:val="22"/>
              </w:rPr>
            </w:pPr>
            <w:r>
              <w:rPr>
                <w:color w:val="auto"/>
                <w:sz w:val="22"/>
                <w:szCs w:val="22"/>
              </w:rPr>
              <w:t>использовать справочную литературу, электронные образовательные и информационные ресурсы сети Интернет (в условиях контролируемого входа) для получения дополнительной информации в соответствии с учебной задачей</w:t>
            </w:r>
          </w:p>
        </w:tc>
      </w:tr>
    </w:tbl>
    <w:p w14:paraId="4B7EBF35">
      <w:pPr>
        <w:pStyle w:val="85"/>
        <w:ind w:firstLine="540"/>
        <w:jc w:val="both"/>
        <w:rPr>
          <w:color w:val="auto"/>
          <w:sz w:val="22"/>
          <w:szCs w:val="22"/>
        </w:rPr>
      </w:pPr>
    </w:p>
    <w:p w14:paraId="0A148D9C">
      <w:pPr>
        <w:pStyle w:val="85"/>
        <w:jc w:val="right"/>
        <w:rPr>
          <w:color w:val="auto"/>
          <w:sz w:val="22"/>
          <w:szCs w:val="22"/>
        </w:rPr>
      </w:pPr>
      <w:r>
        <w:rPr>
          <w:color w:val="auto"/>
          <w:sz w:val="22"/>
          <w:szCs w:val="22"/>
        </w:rPr>
        <w:t>Таблица 5.7</w:t>
      </w:r>
    </w:p>
    <w:p w14:paraId="712D1285">
      <w:pPr>
        <w:pStyle w:val="85"/>
        <w:ind w:firstLine="540"/>
        <w:jc w:val="both"/>
        <w:rPr>
          <w:color w:val="auto"/>
          <w:sz w:val="22"/>
          <w:szCs w:val="22"/>
        </w:rPr>
      </w:pPr>
    </w:p>
    <w:p w14:paraId="4A365D86">
      <w:pPr>
        <w:pStyle w:val="85"/>
        <w:jc w:val="center"/>
        <w:rPr>
          <w:color w:val="auto"/>
          <w:sz w:val="22"/>
          <w:szCs w:val="22"/>
        </w:rPr>
      </w:pPr>
      <w:r>
        <w:rPr>
          <w:color w:val="auto"/>
          <w:sz w:val="22"/>
          <w:szCs w:val="22"/>
        </w:rPr>
        <w:t>Проверяемые элементы содержания (4 класс)</w:t>
      </w:r>
    </w:p>
    <w:p w14:paraId="0CD8BD4F">
      <w:pPr>
        <w:pStyle w:val="85"/>
        <w:ind w:firstLine="540"/>
        <w:jc w:val="both"/>
        <w:rPr>
          <w:color w:val="auto"/>
          <w:sz w:val="22"/>
          <w:szCs w:val="22"/>
        </w:rPr>
      </w:pPr>
    </w:p>
    <w:tbl>
      <w:tblPr>
        <w:tblStyle w:val="1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02" w:type="dxa"/>
          <w:left w:w="62" w:type="dxa"/>
          <w:bottom w:w="102" w:type="dxa"/>
          <w:right w:w="62" w:type="dxa"/>
        </w:tblCellMar>
      </w:tblPr>
      <w:tblGrid>
        <w:gridCol w:w="1077"/>
        <w:gridCol w:w="7994"/>
      </w:tblGrid>
      <w:tr w14:paraId="3E8ACC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077" w:type="dxa"/>
          </w:tcPr>
          <w:p w14:paraId="469B83AB">
            <w:pPr>
              <w:pStyle w:val="85"/>
              <w:jc w:val="center"/>
              <w:rPr>
                <w:color w:val="auto"/>
                <w:sz w:val="22"/>
                <w:szCs w:val="22"/>
              </w:rPr>
            </w:pPr>
            <w:r>
              <w:rPr>
                <w:color w:val="auto"/>
                <w:sz w:val="22"/>
                <w:szCs w:val="22"/>
              </w:rPr>
              <w:t>Код</w:t>
            </w:r>
          </w:p>
        </w:tc>
        <w:tc>
          <w:tcPr>
            <w:tcW w:w="7994" w:type="dxa"/>
          </w:tcPr>
          <w:p w14:paraId="1AED072A">
            <w:pPr>
              <w:pStyle w:val="85"/>
              <w:jc w:val="center"/>
              <w:rPr>
                <w:color w:val="auto"/>
                <w:sz w:val="22"/>
                <w:szCs w:val="22"/>
              </w:rPr>
            </w:pPr>
            <w:r>
              <w:rPr>
                <w:color w:val="auto"/>
                <w:sz w:val="22"/>
                <w:szCs w:val="22"/>
              </w:rPr>
              <w:t>Проверяемый элемент содержания</w:t>
            </w:r>
          </w:p>
        </w:tc>
      </w:tr>
      <w:tr w14:paraId="06FFF8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077" w:type="dxa"/>
          </w:tcPr>
          <w:p w14:paraId="369A0136">
            <w:pPr>
              <w:pStyle w:val="85"/>
              <w:jc w:val="center"/>
              <w:rPr>
                <w:color w:val="auto"/>
                <w:sz w:val="22"/>
                <w:szCs w:val="22"/>
              </w:rPr>
            </w:pPr>
            <w:r>
              <w:rPr>
                <w:color w:val="auto"/>
                <w:sz w:val="22"/>
                <w:szCs w:val="22"/>
              </w:rPr>
              <w:t>1</w:t>
            </w:r>
          </w:p>
        </w:tc>
        <w:tc>
          <w:tcPr>
            <w:tcW w:w="7994" w:type="dxa"/>
          </w:tcPr>
          <w:p w14:paraId="23BCCE3B">
            <w:pPr>
              <w:pStyle w:val="85"/>
              <w:jc w:val="both"/>
              <w:rPr>
                <w:color w:val="auto"/>
                <w:sz w:val="22"/>
                <w:szCs w:val="22"/>
              </w:rPr>
            </w:pPr>
            <w:r>
              <w:rPr>
                <w:color w:val="auto"/>
                <w:sz w:val="22"/>
                <w:szCs w:val="22"/>
              </w:rPr>
              <w:t>Произведения о Родине</w:t>
            </w:r>
          </w:p>
        </w:tc>
      </w:tr>
      <w:tr w14:paraId="1FD959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077" w:type="dxa"/>
          </w:tcPr>
          <w:p w14:paraId="4373EF2A">
            <w:pPr>
              <w:pStyle w:val="85"/>
              <w:jc w:val="center"/>
              <w:rPr>
                <w:color w:val="auto"/>
                <w:sz w:val="22"/>
                <w:szCs w:val="22"/>
              </w:rPr>
            </w:pPr>
            <w:r>
              <w:rPr>
                <w:color w:val="auto"/>
                <w:sz w:val="22"/>
                <w:szCs w:val="22"/>
              </w:rPr>
              <w:t>1.1</w:t>
            </w:r>
          </w:p>
        </w:tc>
        <w:tc>
          <w:tcPr>
            <w:tcW w:w="7994" w:type="dxa"/>
          </w:tcPr>
          <w:p w14:paraId="71BE727E">
            <w:pPr>
              <w:pStyle w:val="85"/>
              <w:jc w:val="both"/>
              <w:rPr>
                <w:color w:val="auto"/>
                <w:sz w:val="22"/>
                <w:szCs w:val="22"/>
              </w:rPr>
            </w:pPr>
            <w:r>
              <w:rPr>
                <w:color w:val="auto"/>
                <w:sz w:val="22"/>
                <w:szCs w:val="22"/>
              </w:rPr>
              <w:t>Образ родной земли в стихотворных и прозаических произведениях писателей и поэтов XIX и XX вв. (по выбору, не менее четырех, например, произведения С.Т. Романовского, А.Т. Твардовского, С.Д. Дрожжина, В.М. Пескова и другие).</w:t>
            </w:r>
          </w:p>
          <w:p w14:paraId="7231A148">
            <w:pPr>
              <w:pStyle w:val="85"/>
              <w:jc w:val="both"/>
              <w:rPr>
                <w:color w:val="auto"/>
                <w:sz w:val="22"/>
                <w:szCs w:val="22"/>
              </w:rPr>
            </w:pPr>
            <w:r>
              <w:rPr>
                <w:color w:val="auto"/>
                <w:sz w:val="22"/>
                <w:szCs w:val="22"/>
              </w:rPr>
              <w:t>С.Д. Дрожжин "Родине", В.М. Песков "Родине", А.Т. Твардовский "О Родине большой и малой" (отрывок), С.Т. Романовский "Ледовое побоище", С.П. Алексеев (1 - 2 рассказа военно-исторической тематики) и другие (по выбору)</w:t>
            </w:r>
          </w:p>
        </w:tc>
      </w:tr>
      <w:tr w14:paraId="6F3072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077" w:type="dxa"/>
          </w:tcPr>
          <w:p w14:paraId="478194FE">
            <w:pPr>
              <w:pStyle w:val="85"/>
              <w:jc w:val="center"/>
              <w:rPr>
                <w:color w:val="auto"/>
                <w:sz w:val="22"/>
                <w:szCs w:val="22"/>
              </w:rPr>
            </w:pPr>
            <w:r>
              <w:rPr>
                <w:color w:val="auto"/>
                <w:sz w:val="22"/>
                <w:szCs w:val="22"/>
              </w:rPr>
              <w:t>1.2</w:t>
            </w:r>
          </w:p>
        </w:tc>
        <w:tc>
          <w:tcPr>
            <w:tcW w:w="7994" w:type="dxa"/>
          </w:tcPr>
          <w:p w14:paraId="4022D32A">
            <w:pPr>
              <w:pStyle w:val="85"/>
              <w:jc w:val="both"/>
              <w:rPr>
                <w:color w:val="auto"/>
                <w:sz w:val="22"/>
                <w:szCs w:val="22"/>
              </w:rPr>
            </w:pPr>
            <w:r>
              <w:rPr>
                <w:color w:val="auto"/>
                <w:sz w:val="22"/>
                <w:szCs w:val="22"/>
              </w:rPr>
              <w:t>Отражение любви к родной земле в литературе разных народов (на примере писателей родного края, представителей разных народов России)</w:t>
            </w:r>
          </w:p>
        </w:tc>
      </w:tr>
      <w:tr w14:paraId="1EB3DC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077" w:type="dxa"/>
          </w:tcPr>
          <w:p w14:paraId="4ADE0A60">
            <w:pPr>
              <w:pStyle w:val="85"/>
              <w:jc w:val="center"/>
              <w:rPr>
                <w:color w:val="auto"/>
                <w:sz w:val="22"/>
                <w:szCs w:val="22"/>
              </w:rPr>
            </w:pPr>
            <w:r>
              <w:rPr>
                <w:color w:val="auto"/>
                <w:sz w:val="22"/>
                <w:szCs w:val="22"/>
              </w:rPr>
              <w:t>1.3</w:t>
            </w:r>
          </w:p>
        </w:tc>
        <w:tc>
          <w:tcPr>
            <w:tcW w:w="7994" w:type="dxa"/>
          </w:tcPr>
          <w:p w14:paraId="2C95C37E">
            <w:pPr>
              <w:pStyle w:val="85"/>
              <w:jc w:val="both"/>
              <w:rPr>
                <w:color w:val="auto"/>
                <w:sz w:val="22"/>
                <w:szCs w:val="22"/>
              </w:rPr>
            </w:pPr>
            <w:r>
              <w:rPr>
                <w:color w:val="auto"/>
                <w:sz w:val="22"/>
                <w:szCs w:val="22"/>
              </w:rPr>
              <w:t>Страницы истории России, великие люди и события: образы Александра Невского, Михаила Кутузова и других выдающихся защитников Отечества в литературе для детей. Героическое прошлое России, тема Великой Отечественной войны в произведениях литературы (на примере рассказов Л.А. Кассиля, С.П. Алексеева)</w:t>
            </w:r>
          </w:p>
        </w:tc>
      </w:tr>
      <w:tr w14:paraId="793E00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077" w:type="dxa"/>
          </w:tcPr>
          <w:p w14:paraId="03B203C9">
            <w:pPr>
              <w:pStyle w:val="85"/>
              <w:jc w:val="center"/>
              <w:rPr>
                <w:color w:val="auto"/>
                <w:sz w:val="22"/>
                <w:szCs w:val="22"/>
              </w:rPr>
            </w:pPr>
            <w:r>
              <w:rPr>
                <w:color w:val="auto"/>
                <w:sz w:val="22"/>
                <w:szCs w:val="22"/>
              </w:rPr>
              <w:t>1.4</w:t>
            </w:r>
          </w:p>
        </w:tc>
        <w:tc>
          <w:tcPr>
            <w:tcW w:w="7994" w:type="dxa"/>
          </w:tcPr>
          <w:p w14:paraId="00214677">
            <w:pPr>
              <w:pStyle w:val="85"/>
              <w:jc w:val="both"/>
              <w:rPr>
                <w:color w:val="auto"/>
                <w:sz w:val="22"/>
                <w:szCs w:val="22"/>
              </w:rPr>
            </w:pPr>
            <w:r>
              <w:rPr>
                <w:color w:val="auto"/>
                <w:sz w:val="22"/>
                <w:szCs w:val="22"/>
              </w:rPr>
              <w:t>Понятие исторической песни; песни на тему Великой Отечественной войны (2 - 3 произведения по выбору)</w:t>
            </w:r>
          </w:p>
        </w:tc>
      </w:tr>
      <w:tr w14:paraId="79FB8D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077" w:type="dxa"/>
          </w:tcPr>
          <w:p w14:paraId="5C109AA2">
            <w:pPr>
              <w:pStyle w:val="85"/>
              <w:jc w:val="center"/>
              <w:rPr>
                <w:color w:val="auto"/>
                <w:sz w:val="22"/>
                <w:szCs w:val="22"/>
              </w:rPr>
            </w:pPr>
            <w:r>
              <w:rPr>
                <w:color w:val="auto"/>
                <w:sz w:val="22"/>
                <w:szCs w:val="22"/>
              </w:rPr>
              <w:t>2</w:t>
            </w:r>
          </w:p>
        </w:tc>
        <w:tc>
          <w:tcPr>
            <w:tcW w:w="7994" w:type="dxa"/>
          </w:tcPr>
          <w:p w14:paraId="1B3579D6">
            <w:pPr>
              <w:pStyle w:val="85"/>
              <w:jc w:val="both"/>
              <w:rPr>
                <w:color w:val="auto"/>
                <w:sz w:val="22"/>
                <w:szCs w:val="22"/>
              </w:rPr>
            </w:pPr>
            <w:r>
              <w:rPr>
                <w:color w:val="auto"/>
                <w:sz w:val="22"/>
                <w:szCs w:val="22"/>
              </w:rPr>
              <w:t>Фольклор (устное народное творчество)</w:t>
            </w:r>
          </w:p>
        </w:tc>
      </w:tr>
      <w:tr w14:paraId="427D53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077" w:type="dxa"/>
          </w:tcPr>
          <w:p w14:paraId="424D7BCB">
            <w:pPr>
              <w:pStyle w:val="85"/>
              <w:jc w:val="center"/>
              <w:rPr>
                <w:color w:val="auto"/>
                <w:sz w:val="22"/>
                <w:szCs w:val="22"/>
              </w:rPr>
            </w:pPr>
            <w:r>
              <w:rPr>
                <w:color w:val="auto"/>
                <w:sz w:val="22"/>
                <w:szCs w:val="22"/>
              </w:rPr>
              <w:t>2.1</w:t>
            </w:r>
          </w:p>
        </w:tc>
        <w:tc>
          <w:tcPr>
            <w:tcW w:w="7994" w:type="dxa"/>
          </w:tcPr>
          <w:p w14:paraId="46C9D139">
            <w:pPr>
              <w:pStyle w:val="85"/>
              <w:jc w:val="both"/>
              <w:rPr>
                <w:color w:val="auto"/>
                <w:sz w:val="22"/>
                <w:szCs w:val="22"/>
              </w:rPr>
            </w:pPr>
            <w:r>
              <w:rPr>
                <w:color w:val="auto"/>
                <w:sz w:val="22"/>
                <w:szCs w:val="22"/>
              </w:rPr>
              <w:t>Фольклор как народная духовная культура (произведения по выбору). Многообразие видов фольклора: словесный, музыкальный, обрядовый (календарный). Культурное значение фольклора для появления художественной литературы</w:t>
            </w:r>
          </w:p>
        </w:tc>
      </w:tr>
      <w:tr w14:paraId="3DC2CA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077" w:type="dxa"/>
          </w:tcPr>
          <w:p w14:paraId="44F25D24">
            <w:pPr>
              <w:pStyle w:val="85"/>
              <w:jc w:val="center"/>
              <w:rPr>
                <w:color w:val="auto"/>
                <w:sz w:val="22"/>
                <w:szCs w:val="22"/>
              </w:rPr>
            </w:pPr>
            <w:r>
              <w:rPr>
                <w:color w:val="auto"/>
                <w:sz w:val="22"/>
                <w:szCs w:val="22"/>
              </w:rPr>
              <w:t>2.2</w:t>
            </w:r>
          </w:p>
        </w:tc>
        <w:tc>
          <w:tcPr>
            <w:tcW w:w="7994" w:type="dxa"/>
          </w:tcPr>
          <w:p w14:paraId="28702783">
            <w:pPr>
              <w:pStyle w:val="85"/>
              <w:jc w:val="both"/>
              <w:rPr>
                <w:color w:val="auto"/>
                <w:sz w:val="22"/>
                <w:szCs w:val="22"/>
              </w:rPr>
            </w:pPr>
            <w:r>
              <w:rPr>
                <w:color w:val="auto"/>
                <w:sz w:val="22"/>
                <w:szCs w:val="22"/>
              </w:rPr>
              <w:t>Малые жанры фольклора (назначение, сравнение, классификация). Собиратели фольклора (А.Н. Афанасьев, В.И. Даль)</w:t>
            </w:r>
          </w:p>
        </w:tc>
      </w:tr>
      <w:tr w14:paraId="4AC76C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077" w:type="dxa"/>
          </w:tcPr>
          <w:p w14:paraId="7AC93969">
            <w:pPr>
              <w:pStyle w:val="85"/>
              <w:jc w:val="center"/>
              <w:rPr>
                <w:color w:val="auto"/>
                <w:sz w:val="22"/>
                <w:szCs w:val="22"/>
              </w:rPr>
            </w:pPr>
            <w:r>
              <w:rPr>
                <w:color w:val="auto"/>
                <w:sz w:val="22"/>
                <w:szCs w:val="22"/>
              </w:rPr>
              <w:t>2.3</w:t>
            </w:r>
          </w:p>
        </w:tc>
        <w:tc>
          <w:tcPr>
            <w:tcW w:w="7994" w:type="dxa"/>
          </w:tcPr>
          <w:p w14:paraId="48142CD6">
            <w:pPr>
              <w:pStyle w:val="85"/>
              <w:jc w:val="both"/>
              <w:rPr>
                <w:color w:val="auto"/>
                <w:sz w:val="22"/>
                <w:szCs w:val="22"/>
              </w:rPr>
            </w:pPr>
            <w:r>
              <w:rPr>
                <w:color w:val="auto"/>
                <w:sz w:val="22"/>
                <w:szCs w:val="22"/>
              </w:rPr>
              <w:t>Виды сказок: о животных, бытовые, волшебные. 2 - 3 русские народные сказки по выбору и 2 - 3 сказки народов России по выбору</w:t>
            </w:r>
          </w:p>
        </w:tc>
      </w:tr>
      <w:tr w14:paraId="22D040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077" w:type="dxa"/>
          </w:tcPr>
          <w:p w14:paraId="6A94086B">
            <w:pPr>
              <w:pStyle w:val="85"/>
              <w:jc w:val="center"/>
              <w:rPr>
                <w:color w:val="auto"/>
                <w:sz w:val="22"/>
                <w:szCs w:val="22"/>
              </w:rPr>
            </w:pPr>
            <w:r>
              <w:rPr>
                <w:color w:val="auto"/>
                <w:sz w:val="22"/>
                <w:szCs w:val="22"/>
              </w:rPr>
              <w:t>2.4</w:t>
            </w:r>
          </w:p>
        </w:tc>
        <w:tc>
          <w:tcPr>
            <w:tcW w:w="7994" w:type="dxa"/>
          </w:tcPr>
          <w:p w14:paraId="37C4EE69">
            <w:pPr>
              <w:pStyle w:val="85"/>
              <w:jc w:val="both"/>
              <w:rPr>
                <w:color w:val="auto"/>
                <w:sz w:val="22"/>
                <w:szCs w:val="22"/>
              </w:rPr>
            </w:pPr>
            <w:r>
              <w:rPr>
                <w:color w:val="auto"/>
                <w:sz w:val="22"/>
                <w:szCs w:val="22"/>
              </w:rPr>
              <w:t>Отражение в произведениях фольклора нравственных ценностей, быта и культуры народов мира. Сходство фольклорных произведений разных народов по тематике, художественным образам и форме ("бродячие" сюжеты)</w:t>
            </w:r>
          </w:p>
        </w:tc>
      </w:tr>
      <w:tr w14:paraId="303505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077" w:type="dxa"/>
          </w:tcPr>
          <w:p w14:paraId="53AF6D2B">
            <w:pPr>
              <w:pStyle w:val="85"/>
              <w:jc w:val="center"/>
              <w:rPr>
                <w:color w:val="auto"/>
                <w:sz w:val="22"/>
                <w:szCs w:val="22"/>
              </w:rPr>
            </w:pPr>
            <w:r>
              <w:rPr>
                <w:color w:val="auto"/>
                <w:sz w:val="22"/>
                <w:szCs w:val="22"/>
              </w:rPr>
              <w:t>2.5</w:t>
            </w:r>
          </w:p>
        </w:tc>
        <w:tc>
          <w:tcPr>
            <w:tcW w:w="7994" w:type="dxa"/>
          </w:tcPr>
          <w:p w14:paraId="6C593D15">
            <w:pPr>
              <w:pStyle w:val="85"/>
              <w:jc w:val="both"/>
              <w:rPr>
                <w:color w:val="auto"/>
                <w:sz w:val="22"/>
                <w:szCs w:val="22"/>
              </w:rPr>
            </w:pPr>
            <w:r>
              <w:rPr>
                <w:color w:val="auto"/>
                <w:sz w:val="22"/>
                <w:szCs w:val="22"/>
              </w:rPr>
              <w:t>Былины из цикла об Илье Муромце, Алеше Поповиче, Добрыне Никитиче (1 - 2 по выбору). Образы русских богатырей: Ильи Муромца, Алеши Поповича, Добрыни Никитича, Никиты Кожемяки</w:t>
            </w:r>
          </w:p>
        </w:tc>
      </w:tr>
      <w:tr w14:paraId="1D561E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077" w:type="dxa"/>
          </w:tcPr>
          <w:p w14:paraId="59553F7B">
            <w:pPr>
              <w:pStyle w:val="85"/>
              <w:jc w:val="center"/>
              <w:rPr>
                <w:color w:val="auto"/>
                <w:sz w:val="22"/>
                <w:szCs w:val="22"/>
              </w:rPr>
            </w:pPr>
            <w:r>
              <w:rPr>
                <w:color w:val="auto"/>
                <w:sz w:val="22"/>
                <w:szCs w:val="22"/>
              </w:rPr>
              <w:t>3</w:t>
            </w:r>
          </w:p>
        </w:tc>
        <w:tc>
          <w:tcPr>
            <w:tcW w:w="7994" w:type="dxa"/>
          </w:tcPr>
          <w:p w14:paraId="5D401CFD">
            <w:pPr>
              <w:pStyle w:val="85"/>
              <w:jc w:val="both"/>
              <w:rPr>
                <w:color w:val="auto"/>
                <w:sz w:val="22"/>
                <w:szCs w:val="22"/>
              </w:rPr>
            </w:pPr>
            <w:r>
              <w:rPr>
                <w:color w:val="auto"/>
                <w:sz w:val="22"/>
                <w:szCs w:val="22"/>
              </w:rPr>
              <w:t>Творчество А.С. Пушкина</w:t>
            </w:r>
          </w:p>
        </w:tc>
      </w:tr>
      <w:tr w14:paraId="26B35F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077" w:type="dxa"/>
          </w:tcPr>
          <w:p w14:paraId="4994358E">
            <w:pPr>
              <w:pStyle w:val="85"/>
              <w:jc w:val="center"/>
              <w:rPr>
                <w:color w:val="auto"/>
                <w:sz w:val="22"/>
                <w:szCs w:val="22"/>
              </w:rPr>
            </w:pPr>
            <w:r>
              <w:rPr>
                <w:color w:val="auto"/>
                <w:sz w:val="22"/>
                <w:szCs w:val="22"/>
              </w:rPr>
              <w:t>3.1</w:t>
            </w:r>
          </w:p>
        </w:tc>
        <w:tc>
          <w:tcPr>
            <w:tcW w:w="7994" w:type="dxa"/>
          </w:tcPr>
          <w:p w14:paraId="167A2DB1">
            <w:pPr>
              <w:pStyle w:val="85"/>
              <w:jc w:val="both"/>
              <w:rPr>
                <w:color w:val="auto"/>
                <w:sz w:val="22"/>
                <w:szCs w:val="22"/>
              </w:rPr>
            </w:pPr>
            <w:r>
              <w:rPr>
                <w:color w:val="auto"/>
                <w:sz w:val="22"/>
                <w:szCs w:val="22"/>
              </w:rPr>
              <w:t>Картины природы в лирических произведениях А.С. Пушкина (на примере 2 - 3 произведений).</w:t>
            </w:r>
          </w:p>
          <w:p w14:paraId="62385248">
            <w:pPr>
              <w:pStyle w:val="85"/>
              <w:jc w:val="both"/>
              <w:rPr>
                <w:color w:val="auto"/>
                <w:sz w:val="22"/>
                <w:szCs w:val="22"/>
              </w:rPr>
            </w:pPr>
            <w:r>
              <w:rPr>
                <w:color w:val="auto"/>
                <w:sz w:val="22"/>
                <w:szCs w:val="22"/>
              </w:rPr>
              <w:t>Стихотворения: "Няне", "Осень" (отрывки), "Зимняя дорога" и другие.</w:t>
            </w:r>
          </w:p>
        </w:tc>
      </w:tr>
      <w:tr w14:paraId="47FC50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077" w:type="dxa"/>
          </w:tcPr>
          <w:p w14:paraId="1E2178AD">
            <w:pPr>
              <w:pStyle w:val="85"/>
              <w:jc w:val="center"/>
              <w:rPr>
                <w:color w:val="auto"/>
                <w:sz w:val="22"/>
                <w:szCs w:val="22"/>
              </w:rPr>
            </w:pPr>
            <w:r>
              <w:rPr>
                <w:color w:val="auto"/>
                <w:sz w:val="22"/>
                <w:szCs w:val="22"/>
              </w:rPr>
              <w:t>3.2</w:t>
            </w:r>
          </w:p>
        </w:tc>
        <w:tc>
          <w:tcPr>
            <w:tcW w:w="7994" w:type="dxa"/>
          </w:tcPr>
          <w:p w14:paraId="24EB2112">
            <w:pPr>
              <w:pStyle w:val="85"/>
              <w:jc w:val="both"/>
              <w:rPr>
                <w:color w:val="auto"/>
                <w:sz w:val="22"/>
                <w:szCs w:val="22"/>
              </w:rPr>
            </w:pPr>
            <w:r>
              <w:rPr>
                <w:color w:val="auto"/>
                <w:sz w:val="22"/>
                <w:szCs w:val="22"/>
              </w:rPr>
              <w:t>Литературные сказки А.С. Пушкина в стихах: "Сказка о мертвой царевне и о семи богатырях". Фольклорная основа авторской сказки</w:t>
            </w:r>
          </w:p>
        </w:tc>
      </w:tr>
      <w:tr w14:paraId="19DB48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077" w:type="dxa"/>
          </w:tcPr>
          <w:p w14:paraId="0E91F8F4">
            <w:pPr>
              <w:pStyle w:val="85"/>
              <w:jc w:val="center"/>
              <w:rPr>
                <w:color w:val="auto"/>
                <w:sz w:val="22"/>
                <w:szCs w:val="22"/>
              </w:rPr>
            </w:pPr>
            <w:r>
              <w:rPr>
                <w:color w:val="auto"/>
                <w:sz w:val="22"/>
                <w:szCs w:val="22"/>
              </w:rPr>
              <w:t>4</w:t>
            </w:r>
          </w:p>
        </w:tc>
        <w:tc>
          <w:tcPr>
            <w:tcW w:w="7994" w:type="dxa"/>
          </w:tcPr>
          <w:p w14:paraId="5350D0FB">
            <w:pPr>
              <w:pStyle w:val="85"/>
              <w:jc w:val="both"/>
              <w:rPr>
                <w:color w:val="auto"/>
                <w:sz w:val="22"/>
                <w:szCs w:val="22"/>
              </w:rPr>
            </w:pPr>
            <w:r>
              <w:rPr>
                <w:color w:val="auto"/>
                <w:sz w:val="22"/>
                <w:szCs w:val="22"/>
              </w:rPr>
              <w:t>Басни И.А. Крылова, И.И. Хемницера, Л.Н. Толстого, С.В. Михалкова (не менее трех). Басня как лиро-эпический жанр. Аллегория в баснях</w:t>
            </w:r>
          </w:p>
        </w:tc>
      </w:tr>
      <w:tr w14:paraId="39BAE8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077" w:type="dxa"/>
          </w:tcPr>
          <w:p w14:paraId="794780DE">
            <w:pPr>
              <w:pStyle w:val="85"/>
              <w:jc w:val="center"/>
              <w:rPr>
                <w:color w:val="auto"/>
                <w:sz w:val="22"/>
                <w:szCs w:val="22"/>
              </w:rPr>
            </w:pPr>
            <w:r>
              <w:rPr>
                <w:color w:val="auto"/>
                <w:sz w:val="22"/>
                <w:szCs w:val="22"/>
              </w:rPr>
              <w:t>4.1</w:t>
            </w:r>
          </w:p>
        </w:tc>
        <w:tc>
          <w:tcPr>
            <w:tcW w:w="7994" w:type="dxa"/>
          </w:tcPr>
          <w:p w14:paraId="03842F5A">
            <w:pPr>
              <w:pStyle w:val="85"/>
              <w:jc w:val="both"/>
              <w:rPr>
                <w:color w:val="auto"/>
                <w:sz w:val="22"/>
                <w:szCs w:val="22"/>
              </w:rPr>
            </w:pPr>
            <w:r>
              <w:rPr>
                <w:color w:val="auto"/>
                <w:sz w:val="22"/>
                <w:szCs w:val="22"/>
              </w:rPr>
              <w:t>Басни И.А. Крылова: "Стрекоза и муравей", "Квартет" и другие</w:t>
            </w:r>
          </w:p>
        </w:tc>
      </w:tr>
      <w:tr w14:paraId="579678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077" w:type="dxa"/>
          </w:tcPr>
          <w:p w14:paraId="68CA08CE">
            <w:pPr>
              <w:pStyle w:val="85"/>
              <w:jc w:val="center"/>
              <w:rPr>
                <w:color w:val="auto"/>
                <w:sz w:val="22"/>
                <w:szCs w:val="22"/>
              </w:rPr>
            </w:pPr>
            <w:r>
              <w:rPr>
                <w:color w:val="auto"/>
                <w:sz w:val="22"/>
                <w:szCs w:val="22"/>
              </w:rPr>
              <w:t>4.2</w:t>
            </w:r>
          </w:p>
        </w:tc>
        <w:tc>
          <w:tcPr>
            <w:tcW w:w="7994" w:type="dxa"/>
          </w:tcPr>
          <w:p w14:paraId="54D9804A">
            <w:pPr>
              <w:pStyle w:val="85"/>
              <w:jc w:val="both"/>
              <w:rPr>
                <w:color w:val="auto"/>
                <w:sz w:val="22"/>
                <w:szCs w:val="22"/>
              </w:rPr>
            </w:pPr>
            <w:r>
              <w:rPr>
                <w:color w:val="auto"/>
                <w:sz w:val="22"/>
                <w:szCs w:val="22"/>
              </w:rPr>
              <w:t>Басни стихотворные и прозаические.</w:t>
            </w:r>
          </w:p>
          <w:p w14:paraId="3D670B6E">
            <w:pPr>
              <w:pStyle w:val="85"/>
              <w:jc w:val="both"/>
              <w:rPr>
                <w:color w:val="auto"/>
                <w:sz w:val="22"/>
                <w:szCs w:val="22"/>
              </w:rPr>
            </w:pPr>
            <w:r>
              <w:rPr>
                <w:color w:val="auto"/>
                <w:sz w:val="22"/>
                <w:szCs w:val="22"/>
              </w:rPr>
              <w:t>И.И. Хемницер "Стрекоза", Л.Н. Толстой "Стрекоза и муравьи", С.В. Михалков и другие</w:t>
            </w:r>
          </w:p>
        </w:tc>
      </w:tr>
      <w:tr w14:paraId="5BAFF1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077" w:type="dxa"/>
          </w:tcPr>
          <w:p w14:paraId="2E71DA10">
            <w:pPr>
              <w:pStyle w:val="85"/>
              <w:jc w:val="center"/>
              <w:rPr>
                <w:color w:val="auto"/>
                <w:sz w:val="22"/>
                <w:szCs w:val="22"/>
              </w:rPr>
            </w:pPr>
            <w:r>
              <w:rPr>
                <w:color w:val="auto"/>
                <w:sz w:val="22"/>
                <w:szCs w:val="22"/>
              </w:rPr>
              <w:t>5</w:t>
            </w:r>
          </w:p>
        </w:tc>
        <w:tc>
          <w:tcPr>
            <w:tcW w:w="7994" w:type="dxa"/>
          </w:tcPr>
          <w:p w14:paraId="2315E139">
            <w:pPr>
              <w:pStyle w:val="85"/>
              <w:jc w:val="both"/>
              <w:rPr>
                <w:color w:val="auto"/>
                <w:sz w:val="22"/>
                <w:szCs w:val="22"/>
              </w:rPr>
            </w:pPr>
            <w:r>
              <w:rPr>
                <w:color w:val="auto"/>
                <w:sz w:val="22"/>
                <w:szCs w:val="22"/>
              </w:rPr>
              <w:t>Лирические произведения М.Ю. Лермонтова (не менее трех).</w:t>
            </w:r>
          </w:p>
          <w:p w14:paraId="07F8C7F6">
            <w:pPr>
              <w:pStyle w:val="85"/>
              <w:jc w:val="both"/>
              <w:rPr>
                <w:color w:val="auto"/>
                <w:sz w:val="22"/>
                <w:szCs w:val="22"/>
              </w:rPr>
            </w:pPr>
            <w:r>
              <w:rPr>
                <w:color w:val="auto"/>
                <w:sz w:val="22"/>
                <w:szCs w:val="22"/>
              </w:rPr>
              <w:t>Стихотворения: "Утес", "Парус", "Москва, Москва! ...Люблю тебя как сын..." и другие</w:t>
            </w:r>
          </w:p>
        </w:tc>
      </w:tr>
      <w:tr w14:paraId="3FB450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077" w:type="dxa"/>
          </w:tcPr>
          <w:p w14:paraId="0290C562">
            <w:pPr>
              <w:pStyle w:val="85"/>
              <w:jc w:val="center"/>
              <w:rPr>
                <w:color w:val="auto"/>
                <w:sz w:val="22"/>
                <w:szCs w:val="22"/>
              </w:rPr>
            </w:pPr>
            <w:r>
              <w:rPr>
                <w:color w:val="auto"/>
                <w:sz w:val="22"/>
                <w:szCs w:val="22"/>
              </w:rPr>
              <w:t>6</w:t>
            </w:r>
          </w:p>
        </w:tc>
        <w:tc>
          <w:tcPr>
            <w:tcW w:w="7994" w:type="dxa"/>
          </w:tcPr>
          <w:p w14:paraId="4C332652">
            <w:pPr>
              <w:pStyle w:val="85"/>
              <w:jc w:val="both"/>
              <w:rPr>
                <w:color w:val="auto"/>
                <w:sz w:val="22"/>
                <w:szCs w:val="22"/>
              </w:rPr>
            </w:pPr>
            <w:r>
              <w:rPr>
                <w:color w:val="auto"/>
                <w:sz w:val="22"/>
                <w:szCs w:val="22"/>
              </w:rPr>
              <w:t>Литературная сказка (две-три по выбору).</w:t>
            </w:r>
          </w:p>
          <w:p w14:paraId="5AD04C57">
            <w:pPr>
              <w:pStyle w:val="85"/>
              <w:jc w:val="both"/>
              <w:rPr>
                <w:color w:val="auto"/>
                <w:sz w:val="22"/>
                <w:szCs w:val="22"/>
              </w:rPr>
            </w:pPr>
            <w:r>
              <w:rPr>
                <w:color w:val="auto"/>
                <w:sz w:val="22"/>
                <w:szCs w:val="22"/>
              </w:rPr>
              <w:t>П.П. Бажов "Серебряное копытце", П.П. Ершов "Конек-Горбунок", С.Т. Аксаков "Аленький цветочек" и другие.</w:t>
            </w:r>
          </w:p>
        </w:tc>
      </w:tr>
      <w:tr w14:paraId="11BF05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077" w:type="dxa"/>
          </w:tcPr>
          <w:p w14:paraId="247D888B">
            <w:pPr>
              <w:pStyle w:val="85"/>
              <w:jc w:val="center"/>
              <w:rPr>
                <w:color w:val="auto"/>
                <w:sz w:val="22"/>
                <w:szCs w:val="22"/>
              </w:rPr>
            </w:pPr>
            <w:r>
              <w:rPr>
                <w:color w:val="auto"/>
                <w:sz w:val="22"/>
                <w:szCs w:val="22"/>
              </w:rPr>
              <w:t>7</w:t>
            </w:r>
          </w:p>
        </w:tc>
        <w:tc>
          <w:tcPr>
            <w:tcW w:w="7994" w:type="dxa"/>
          </w:tcPr>
          <w:p w14:paraId="4B376AAD">
            <w:pPr>
              <w:pStyle w:val="85"/>
              <w:jc w:val="both"/>
              <w:rPr>
                <w:color w:val="auto"/>
                <w:sz w:val="22"/>
                <w:szCs w:val="22"/>
              </w:rPr>
            </w:pPr>
            <w:r>
              <w:rPr>
                <w:color w:val="auto"/>
                <w:sz w:val="22"/>
                <w:szCs w:val="22"/>
              </w:rPr>
              <w:t>Картины природы в творчестве поэтов и писателей XIX - XX вв. (не менее пяти авторов по выбору).</w:t>
            </w:r>
          </w:p>
          <w:p w14:paraId="290F7CF3">
            <w:pPr>
              <w:pStyle w:val="85"/>
              <w:jc w:val="both"/>
              <w:rPr>
                <w:color w:val="auto"/>
                <w:sz w:val="22"/>
                <w:szCs w:val="22"/>
              </w:rPr>
            </w:pPr>
            <w:r>
              <w:rPr>
                <w:color w:val="auto"/>
                <w:sz w:val="22"/>
                <w:szCs w:val="22"/>
              </w:rPr>
              <w:t>В.А. Жуковский "Загадка", И.С. Никитин "В синем небе плывут над полями...", Ф.И. Тютчев "Как неожиданно и ярко", А.А. Фет "Весенний дождь", Е.А. Баратынский "Весна, весна! Как воздух чист...", И.А. Бунин "Листопад" (отрывки) и другие (по выбору).</w:t>
            </w:r>
          </w:p>
        </w:tc>
      </w:tr>
      <w:tr w14:paraId="329CE4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077" w:type="dxa"/>
          </w:tcPr>
          <w:p w14:paraId="100506D9">
            <w:pPr>
              <w:pStyle w:val="85"/>
              <w:jc w:val="center"/>
              <w:rPr>
                <w:color w:val="auto"/>
                <w:sz w:val="22"/>
                <w:szCs w:val="22"/>
              </w:rPr>
            </w:pPr>
            <w:r>
              <w:rPr>
                <w:color w:val="auto"/>
                <w:sz w:val="22"/>
                <w:szCs w:val="22"/>
              </w:rPr>
              <w:t>8</w:t>
            </w:r>
          </w:p>
        </w:tc>
        <w:tc>
          <w:tcPr>
            <w:tcW w:w="7994" w:type="dxa"/>
          </w:tcPr>
          <w:p w14:paraId="4E4E25F2">
            <w:pPr>
              <w:pStyle w:val="85"/>
              <w:jc w:val="both"/>
              <w:rPr>
                <w:color w:val="auto"/>
                <w:sz w:val="22"/>
                <w:szCs w:val="22"/>
              </w:rPr>
            </w:pPr>
            <w:r>
              <w:rPr>
                <w:color w:val="auto"/>
                <w:sz w:val="22"/>
                <w:szCs w:val="22"/>
              </w:rPr>
              <w:t>Проза Л.Н. Толстого (не менее трех произведений): рассказ (художественный и научно-познавательный), сказки, басни, быль.</w:t>
            </w:r>
          </w:p>
          <w:p w14:paraId="7F41A1F4">
            <w:pPr>
              <w:pStyle w:val="85"/>
              <w:jc w:val="both"/>
              <w:rPr>
                <w:color w:val="auto"/>
                <w:sz w:val="22"/>
                <w:szCs w:val="22"/>
              </w:rPr>
            </w:pPr>
            <w:r>
              <w:rPr>
                <w:color w:val="auto"/>
                <w:sz w:val="22"/>
                <w:szCs w:val="22"/>
              </w:rPr>
              <w:t>Л.Н. Толстой "Детство" (отдельные главы), "Русак", "Черепаха" и другие (по выбору)</w:t>
            </w:r>
          </w:p>
        </w:tc>
      </w:tr>
      <w:tr w14:paraId="35489E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077" w:type="dxa"/>
          </w:tcPr>
          <w:p w14:paraId="2BD6FD95">
            <w:pPr>
              <w:pStyle w:val="85"/>
              <w:jc w:val="center"/>
              <w:rPr>
                <w:color w:val="auto"/>
                <w:sz w:val="22"/>
                <w:szCs w:val="22"/>
              </w:rPr>
            </w:pPr>
            <w:r>
              <w:rPr>
                <w:color w:val="auto"/>
                <w:sz w:val="22"/>
                <w:szCs w:val="22"/>
              </w:rPr>
              <w:t>9</w:t>
            </w:r>
          </w:p>
        </w:tc>
        <w:tc>
          <w:tcPr>
            <w:tcW w:w="7994" w:type="dxa"/>
          </w:tcPr>
          <w:p w14:paraId="3031B0F7">
            <w:pPr>
              <w:pStyle w:val="85"/>
              <w:jc w:val="both"/>
              <w:rPr>
                <w:color w:val="auto"/>
                <w:sz w:val="22"/>
                <w:szCs w:val="22"/>
              </w:rPr>
            </w:pPr>
            <w:r>
              <w:rPr>
                <w:color w:val="auto"/>
                <w:sz w:val="22"/>
                <w:szCs w:val="22"/>
              </w:rPr>
              <w:t>Произведения о животных и родной природе (не менее трех авторов): А.И. Куприна, В.П. Астафьева, К.Г. Паустовского, М.М. Пришвина, Ю.И. Коваля и других.</w:t>
            </w:r>
          </w:p>
          <w:p w14:paraId="69F956B2">
            <w:pPr>
              <w:pStyle w:val="85"/>
              <w:jc w:val="both"/>
              <w:rPr>
                <w:color w:val="auto"/>
                <w:sz w:val="22"/>
                <w:szCs w:val="22"/>
              </w:rPr>
            </w:pPr>
            <w:r>
              <w:rPr>
                <w:color w:val="auto"/>
                <w:sz w:val="22"/>
                <w:szCs w:val="22"/>
              </w:rPr>
              <w:t>В.П. Астафьев "Капалуха", М.М. Пришвин "Выскочка" и другие (по выбору)</w:t>
            </w:r>
          </w:p>
        </w:tc>
      </w:tr>
      <w:tr w14:paraId="32FAD8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077" w:type="dxa"/>
          </w:tcPr>
          <w:p w14:paraId="56493702">
            <w:pPr>
              <w:pStyle w:val="85"/>
              <w:jc w:val="center"/>
              <w:rPr>
                <w:color w:val="auto"/>
                <w:sz w:val="22"/>
                <w:szCs w:val="22"/>
              </w:rPr>
            </w:pPr>
            <w:r>
              <w:rPr>
                <w:color w:val="auto"/>
                <w:sz w:val="22"/>
                <w:szCs w:val="22"/>
              </w:rPr>
              <w:t>10</w:t>
            </w:r>
          </w:p>
        </w:tc>
        <w:tc>
          <w:tcPr>
            <w:tcW w:w="7994" w:type="dxa"/>
          </w:tcPr>
          <w:p w14:paraId="5BFB7EB1">
            <w:pPr>
              <w:pStyle w:val="85"/>
              <w:jc w:val="both"/>
              <w:rPr>
                <w:color w:val="auto"/>
                <w:sz w:val="22"/>
                <w:szCs w:val="22"/>
              </w:rPr>
            </w:pPr>
            <w:r>
              <w:rPr>
                <w:color w:val="auto"/>
                <w:sz w:val="22"/>
                <w:szCs w:val="22"/>
              </w:rPr>
              <w:t>Произведения о детях (на примере произведений не менее трех авторов): А.П. Чехова, Б.С. Житкова, Н.Г. Гарина-Михайловского, В.В. Крапивина и других.</w:t>
            </w:r>
          </w:p>
          <w:p w14:paraId="5FE7FC84">
            <w:pPr>
              <w:pStyle w:val="85"/>
              <w:jc w:val="both"/>
              <w:rPr>
                <w:color w:val="auto"/>
                <w:sz w:val="22"/>
                <w:szCs w:val="22"/>
              </w:rPr>
            </w:pPr>
            <w:r>
              <w:rPr>
                <w:color w:val="auto"/>
                <w:sz w:val="22"/>
                <w:szCs w:val="22"/>
              </w:rPr>
              <w:t>А.П. Чехов "Мальчики", Н.Г. Гарин-Михайловский "Детство Темы" (отдельные главы), М.М. Зощенко "О Леньке и Миньке" (1 - 2 рассказа из цикла), К.Г. Паустовский "Корзина с еловыми шишками" и другие</w:t>
            </w:r>
          </w:p>
        </w:tc>
      </w:tr>
      <w:tr w14:paraId="12C75E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077" w:type="dxa"/>
          </w:tcPr>
          <w:p w14:paraId="775EA6D6">
            <w:pPr>
              <w:pStyle w:val="85"/>
              <w:jc w:val="center"/>
              <w:rPr>
                <w:color w:val="auto"/>
                <w:sz w:val="22"/>
                <w:szCs w:val="22"/>
              </w:rPr>
            </w:pPr>
            <w:r>
              <w:rPr>
                <w:color w:val="auto"/>
                <w:sz w:val="22"/>
                <w:szCs w:val="22"/>
              </w:rPr>
              <w:t>11</w:t>
            </w:r>
          </w:p>
        </w:tc>
        <w:tc>
          <w:tcPr>
            <w:tcW w:w="7994" w:type="dxa"/>
          </w:tcPr>
          <w:p w14:paraId="7C49E010">
            <w:pPr>
              <w:pStyle w:val="85"/>
              <w:jc w:val="both"/>
              <w:rPr>
                <w:color w:val="auto"/>
                <w:sz w:val="22"/>
                <w:szCs w:val="22"/>
              </w:rPr>
            </w:pPr>
            <w:r>
              <w:rPr>
                <w:color w:val="auto"/>
                <w:sz w:val="22"/>
                <w:szCs w:val="22"/>
              </w:rPr>
              <w:t>Пьеса (одна по выбору).</w:t>
            </w:r>
          </w:p>
          <w:p w14:paraId="3DD797A7">
            <w:pPr>
              <w:pStyle w:val="85"/>
              <w:jc w:val="both"/>
              <w:rPr>
                <w:color w:val="auto"/>
                <w:sz w:val="22"/>
                <w:szCs w:val="22"/>
              </w:rPr>
            </w:pPr>
            <w:r>
              <w:rPr>
                <w:color w:val="auto"/>
                <w:sz w:val="22"/>
                <w:szCs w:val="22"/>
              </w:rPr>
              <w:t>С.Я. Маршак "Двенадцать месяцев" и другие</w:t>
            </w:r>
          </w:p>
        </w:tc>
      </w:tr>
      <w:tr w14:paraId="25FCF5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077" w:type="dxa"/>
          </w:tcPr>
          <w:p w14:paraId="691E3FDC">
            <w:pPr>
              <w:pStyle w:val="85"/>
              <w:jc w:val="center"/>
              <w:rPr>
                <w:color w:val="auto"/>
                <w:sz w:val="22"/>
                <w:szCs w:val="22"/>
              </w:rPr>
            </w:pPr>
            <w:r>
              <w:rPr>
                <w:color w:val="auto"/>
                <w:sz w:val="22"/>
                <w:szCs w:val="22"/>
              </w:rPr>
              <w:t>12</w:t>
            </w:r>
          </w:p>
        </w:tc>
        <w:tc>
          <w:tcPr>
            <w:tcW w:w="7994" w:type="dxa"/>
          </w:tcPr>
          <w:p w14:paraId="0B616F0B">
            <w:pPr>
              <w:pStyle w:val="85"/>
              <w:jc w:val="both"/>
              <w:rPr>
                <w:color w:val="auto"/>
                <w:sz w:val="22"/>
                <w:szCs w:val="22"/>
              </w:rPr>
            </w:pPr>
            <w:r>
              <w:rPr>
                <w:color w:val="auto"/>
                <w:sz w:val="22"/>
                <w:szCs w:val="22"/>
              </w:rPr>
              <w:t>Юмористические произведения. Круг чтения (не менее двух произведений по выбору): на примере рассказов М.М. Зощенко, В.Ю. Драгунского, Н.Н. Носова, В.В. Голявкина.</w:t>
            </w:r>
          </w:p>
          <w:p w14:paraId="356C798F">
            <w:pPr>
              <w:pStyle w:val="85"/>
              <w:jc w:val="both"/>
              <w:rPr>
                <w:color w:val="auto"/>
                <w:sz w:val="22"/>
                <w:szCs w:val="22"/>
              </w:rPr>
            </w:pPr>
            <w:r>
              <w:rPr>
                <w:color w:val="auto"/>
                <w:sz w:val="22"/>
                <w:szCs w:val="22"/>
              </w:rPr>
              <w:t>В.Ю. Драгунский "Денискины рассказы" (1 - 2 произведения по выбору), Н.Н. Носов "Витя Малеев в школе и дома" (отдельные главы) и другие.</w:t>
            </w:r>
          </w:p>
        </w:tc>
      </w:tr>
      <w:tr w14:paraId="0B8D79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077" w:type="dxa"/>
          </w:tcPr>
          <w:p w14:paraId="14A1070E">
            <w:pPr>
              <w:pStyle w:val="85"/>
              <w:jc w:val="center"/>
              <w:rPr>
                <w:color w:val="auto"/>
                <w:sz w:val="22"/>
                <w:szCs w:val="22"/>
              </w:rPr>
            </w:pPr>
            <w:r>
              <w:rPr>
                <w:color w:val="auto"/>
                <w:sz w:val="22"/>
                <w:szCs w:val="22"/>
              </w:rPr>
              <w:t>13</w:t>
            </w:r>
          </w:p>
        </w:tc>
        <w:tc>
          <w:tcPr>
            <w:tcW w:w="7994" w:type="dxa"/>
          </w:tcPr>
          <w:p w14:paraId="47EB012B">
            <w:pPr>
              <w:pStyle w:val="85"/>
              <w:jc w:val="both"/>
              <w:rPr>
                <w:color w:val="auto"/>
                <w:sz w:val="22"/>
                <w:szCs w:val="22"/>
              </w:rPr>
            </w:pPr>
            <w:r>
              <w:rPr>
                <w:color w:val="auto"/>
                <w:sz w:val="22"/>
                <w:szCs w:val="22"/>
              </w:rPr>
              <w:t>Зарубежная литература</w:t>
            </w:r>
          </w:p>
        </w:tc>
      </w:tr>
      <w:tr w14:paraId="7478E4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077" w:type="dxa"/>
          </w:tcPr>
          <w:p w14:paraId="081C4EC3">
            <w:pPr>
              <w:pStyle w:val="85"/>
              <w:jc w:val="center"/>
              <w:rPr>
                <w:color w:val="auto"/>
                <w:sz w:val="22"/>
                <w:szCs w:val="22"/>
              </w:rPr>
            </w:pPr>
            <w:r>
              <w:rPr>
                <w:color w:val="auto"/>
                <w:sz w:val="22"/>
                <w:szCs w:val="22"/>
              </w:rPr>
              <w:t>13.1</w:t>
            </w:r>
          </w:p>
        </w:tc>
        <w:tc>
          <w:tcPr>
            <w:tcW w:w="7994" w:type="dxa"/>
          </w:tcPr>
          <w:p w14:paraId="14DEA25E">
            <w:pPr>
              <w:pStyle w:val="85"/>
              <w:jc w:val="both"/>
              <w:rPr>
                <w:color w:val="auto"/>
                <w:sz w:val="22"/>
                <w:szCs w:val="22"/>
              </w:rPr>
            </w:pPr>
            <w:r>
              <w:rPr>
                <w:color w:val="auto"/>
                <w:sz w:val="22"/>
                <w:szCs w:val="22"/>
              </w:rPr>
              <w:t>Литературные сказки зарубежных писателей Ш. Перро, Х.-К. Андерсена, братьев Гримм и других (по выбору).</w:t>
            </w:r>
          </w:p>
          <w:p w14:paraId="0EE08247">
            <w:pPr>
              <w:pStyle w:val="85"/>
              <w:jc w:val="both"/>
              <w:rPr>
                <w:color w:val="auto"/>
                <w:sz w:val="22"/>
                <w:szCs w:val="22"/>
              </w:rPr>
            </w:pPr>
            <w:r>
              <w:rPr>
                <w:color w:val="auto"/>
                <w:sz w:val="22"/>
                <w:szCs w:val="22"/>
              </w:rPr>
              <w:t>Х.-К. Андерсен "Дикие лебеди", "Русалочка"</w:t>
            </w:r>
          </w:p>
        </w:tc>
      </w:tr>
      <w:tr w14:paraId="2F9EF5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077" w:type="dxa"/>
          </w:tcPr>
          <w:p w14:paraId="6AF035D6">
            <w:pPr>
              <w:pStyle w:val="85"/>
              <w:jc w:val="center"/>
              <w:rPr>
                <w:color w:val="auto"/>
                <w:sz w:val="22"/>
                <w:szCs w:val="22"/>
              </w:rPr>
            </w:pPr>
            <w:r>
              <w:rPr>
                <w:color w:val="auto"/>
                <w:sz w:val="22"/>
                <w:szCs w:val="22"/>
              </w:rPr>
              <w:t>13.2</w:t>
            </w:r>
          </w:p>
        </w:tc>
        <w:tc>
          <w:tcPr>
            <w:tcW w:w="7994" w:type="dxa"/>
          </w:tcPr>
          <w:p w14:paraId="25850E35">
            <w:pPr>
              <w:pStyle w:val="85"/>
              <w:jc w:val="both"/>
              <w:rPr>
                <w:color w:val="auto"/>
                <w:sz w:val="22"/>
                <w:szCs w:val="22"/>
              </w:rPr>
            </w:pPr>
            <w:r>
              <w:rPr>
                <w:color w:val="auto"/>
                <w:sz w:val="22"/>
                <w:szCs w:val="22"/>
              </w:rPr>
              <w:t>Приключенческая зарубежная литература: произведения Дж. Свифта, Марка Твена и других.</w:t>
            </w:r>
          </w:p>
          <w:p w14:paraId="5CCE2C0E">
            <w:pPr>
              <w:pStyle w:val="85"/>
              <w:jc w:val="both"/>
              <w:rPr>
                <w:color w:val="auto"/>
                <w:sz w:val="22"/>
                <w:szCs w:val="22"/>
              </w:rPr>
            </w:pPr>
            <w:r>
              <w:rPr>
                <w:color w:val="auto"/>
                <w:sz w:val="22"/>
                <w:szCs w:val="22"/>
              </w:rPr>
              <w:t>Д. Свифт "Приключения Гулливера" (отдельные главы), Марк Твен "Том Сойер" (отдельные главы) и другие (по выбору).</w:t>
            </w:r>
          </w:p>
        </w:tc>
      </w:tr>
      <w:tr w14:paraId="35A714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077" w:type="dxa"/>
          </w:tcPr>
          <w:p w14:paraId="15A0DFA8">
            <w:pPr>
              <w:pStyle w:val="85"/>
              <w:jc w:val="center"/>
              <w:rPr>
                <w:color w:val="auto"/>
                <w:sz w:val="22"/>
                <w:szCs w:val="22"/>
              </w:rPr>
            </w:pPr>
            <w:r>
              <w:rPr>
                <w:color w:val="auto"/>
                <w:sz w:val="22"/>
                <w:szCs w:val="22"/>
              </w:rPr>
              <w:t>14</w:t>
            </w:r>
          </w:p>
        </w:tc>
        <w:tc>
          <w:tcPr>
            <w:tcW w:w="7994" w:type="dxa"/>
          </w:tcPr>
          <w:p w14:paraId="7C5EFA47">
            <w:pPr>
              <w:pStyle w:val="85"/>
              <w:jc w:val="both"/>
              <w:rPr>
                <w:color w:val="auto"/>
                <w:sz w:val="22"/>
                <w:szCs w:val="22"/>
              </w:rPr>
            </w:pPr>
            <w:r>
              <w:rPr>
                <w:color w:val="auto"/>
                <w:sz w:val="22"/>
                <w:szCs w:val="22"/>
              </w:rPr>
              <w:t>Сведения по теории и истории литературы</w:t>
            </w:r>
          </w:p>
          <w:p w14:paraId="06E1B711">
            <w:pPr>
              <w:pStyle w:val="85"/>
              <w:jc w:val="both"/>
              <w:rPr>
                <w:color w:val="auto"/>
                <w:sz w:val="22"/>
                <w:szCs w:val="22"/>
              </w:rPr>
            </w:pPr>
            <w:r>
              <w:rPr>
                <w:color w:val="auto"/>
                <w:sz w:val="22"/>
                <w:szCs w:val="22"/>
              </w:rPr>
              <w:t>Автор, писатель. Произведение.</w:t>
            </w:r>
          </w:p>
          <w:p w14:paraId="2BD6C253">
            <w:pPr>
              <w:pStyle w:val="85"/>
              <w:jc w:val="both"/>
              <w:rPr>
                <w:color w:val="auto"/>
                <w:sz w:val="22"/>
                <w:szCs w:val="22"/>
              </w:rPr>
            </w:pPr>
            <w:r>
              <w:rPr>
                <w:color w:val="auto"/>
                <w:sz w:val="22"/>
                <w:szCs w:val="22"/>
              </w:rPr>
              <w:t>Жанры (стихотворение, басня, рассказ, повесть, драма); жанры фольклора малые (потешка, считалка, небылица, пословица, загадка, народная песня, былина и другие). Фольклорная сказка (сказка о животных, бытовая, волшебная) и литературная сказка.</w:t>
            </w:r>
          </w:p>
          <w:p w14:paraId="187B2F16">
            <w:pPr>
              <w:pStyle w:val="85"/>
              <w:jc w:val="both"/>
              <w:rPr>
                <w:color w:val="auto"/>
                <w:sz w:val="22"/>
                <w:szCs w:val="22"/>
              </w:rPr>
            </w:pPr>
            <w:r>
              <w:rPr>
                <w:color w:val="auto"/>
                <w:sz w:val="22"/>
                <w:szCs w:val="22"/>
              </w:rPr>
              <w:t>Идея. Тема. Заголовок.</w:t>
            </w:r>
          </w:p>
          <w:p w14:paraId="69FC9A62">
            <w:pPr>
              <w:pStyle w:val="85"/>
              <w:jc w:val="both"/>
              <w:rPr>
                <w:color w:val="auto"/>
                <w:sz w:val="22"/>
                <w:szCs w:val="22"/>
              </w:rPr>
            </w:pPr>
            <w:r>
              <w:rPr>
                <w:color w:val="auto"/>
                <w:sz w:val="22"/>
                <w:szCs w:val="22"/>
              </w:rPr>
              <w:t>Образ художественный. Литературный герой, персонаж, характер.</w:t>
            </w:r>
          </w:p>
          <w:p w14:paraId="3711E3D0">
            <w:pPr>
              <w:pStyle w:val="85"/>
              <w:jc w:val="both"/>
              <w:rPr>
                <w:color w:val="auto"/>
                <w:sz w:val="22"/>
                <w:szCs w:val="22"/>
              </w:rPr>
            </w:pPr>
            <w:r>
              <w:rPr>
                <w:color w:val="auto"/>
                <w:sz w:val="22"/>
                <w:szCs w:val="22"/>
              </w:rPr>
              <w:t>Рассказчик. Портрет героя.</w:t>
            </w:r>
          </w:p>
          <w:p w14:paraId="14AA475E">
            <w:pPr>
              <w:pStyle w:val="85"/>
              <w:jc w:val="both"/>
              <w:rPr>
                <w:color w:val="auto"/>
                <w:sz w:val="22"/>
                <w:szCs w:val="22"/>
              </w:rPr>
            </w:pPr>
            <w:r>
              <w:rPr>
                <w:color w:val="auto"/>
                <w:sz w:val="22"/>
                <w:szCs w:val="22"/>
              </w:rPr>
              <w:t>Ритм. Рифма. Строфа.</w:t>
            </w:r>
          </w:p>
          <w:p w14:paraId="64608409">
            <w:pPr>
              <w:pStyle w:val="85"/>
              <w:jc w:val="both"/>
              <w:rPr>
                <w:color w:val="auto"/>
                <w:sz w:val="22"/>
                <w:szCs w:val="22"/>
              </w:rPr>
            </w:pPr>
            <w:r>
              <w:rPr>
                <w:color w:val="auto"/>
                <w:sz w:val="22"/>
                <w:szCs w:val="22"/>
              </w:rPr>
              <w:t>Содержание произведения, сюжет. Композиция. Эпизод, смысловые части.</w:t>
            </w:r>
          </w:p>
          <w:p w14:paraId="7E49CCBB">
            <w:pPr>
              <w:pStyle w:val="85"/>
              <w:jc w:val="both"/>
              <w:rPr>
                <w:color w:val="auto"/>
                <w:sz w:val="22"/>
                <w:szCs w:val="22"/>
              </w:rPr>
            </w:pPr>
            <w:r>
              <w:rPr>
                <w:color w:val="auto"/>
                <w:sz w:val="22"/>
                <w:szCs w:val="22"/>
              </w:rPr>
              <w:t>Средства художественной выразительности (сравнение, метафора, олицетворение, эпитет, повтор, гипербола).</w:t>
            </w:r>
          </w:p>
          <w:p w14:paraId="326D0CE6">
            <w:pPr>
              <w:pStyle w:val="85"/>
              <w:jc w:val="both"/>
              <w:rPr>
                <w:color w:val="auto"/>
                <w:sz w:val="22"/>
                <w:szCs w:val="22"/>
              </w:rPr>
            </w:pPr>
            <w:r>
              <w:rPr>
                <w:color w:val="auto"/>
                <w:sz w:val="22"/>
                <w:szCs w:val="22"/>
              </w:rPr>
              <w:t>Эпос. Лирика. Драма. Проза и поэзия</w:t>
            </w:r>
          </w:p>
        </w:tc>
      </w:tr>
    </w:tbl>
    <w:p w14:paraId="61F65BCE">
      <w:pPr>
        <w:spacing w:after="0" w:line="355" w:lineRule="auto"/>
        <w:jc w:val="both"/>
        <w:rPr>
          <w:rFonts w:ascii="Times New Roman" w:hAnsi="Times New Roman"/>
        </w:rPr>
      </w:pPr>
    </w:p>
    <w:p w14:paraId="0D27FAD3">
      <w:pPr>
        <w:pStyle w:val="2"/>
        <w:pBdr>
          <w:bottom w:val="none" w:color="auto" w:sz="0" w:space="0"/>
        </w:pBdr>
        <w:spacing w:before="0" w:line="360" w:lineRule="auto"/>
        <w:ind w:firstLine="708"/>
        <w:jc w:val="both"/>
        <w:rPr>
          <w:b w:val="0"/>
          <w:sz w:val="22"/>
          <w:szCs w:val="22"/>
        </w:rPr>
      </w:pPr>
      <w:r>
        <w:rPr>
          <w:b w:val="0"/>
          <w:sz w:val="22"/>
          <w:szCs w:val="22"/>
        </w:rPr>
        <w:t>4. Рабочая программа по учебному предмету «Родной (чувашский) язык».</w:t>
      </w:r>
    </w:p>
    <w:p w14:paraId="1C0ABD2A">
      <w:pPr>
        <w:widowControl/>
        <w:tabs>
          <w:tab w:val="left" w:pos="1134"/>
        </w:tabs>
        <w:spacing w:after="0" w:line="360" w:lineRule="auto"/>
        <w:ind w:firstLine="709"/>
        <w:jc w:val="both"/>
        <w:rPr>
          <w:rFonts w:ascii="Times New Roman" w:hAnsi="Times New Roman"/>
        </w:rPr>
      </w:pPr>
      <w:r>
        <w:rPr>
          <w:rFonts w:ascii="Times New Roman" w:hAnsi="Times New Roman"/>
        </w:rPr>
        <w:t>4.1.Рабочая программа по учебному предмету «Родной (чувашский) язык» (предметная область «Родной язык и литературное чтение на родном языке») (далее соответственно – программа по родному (чувашскому) языку, родной (чувашский) язык, чувашский язык) разработана для обучающихся</w:t>
      </w:r>
      <w:r>
        <w:rPr>
          <w:rFonts w:ascii="Times New Roman" w:hAnsi="Times New Roman"/>
          <w:lang w:val="uk-UA"/>
        </w:rPr>
        <w:t>,</w:t>
      </w:r>
      <w:r>
        <w:rPr>
          <w:rFonts w:ascii="Times New Roman" w:hAnsi="Times New Roman"/>
        </w:rPr>
        <w:t xml:space="preserve"> владеющих родным (чувашским) языком, и включает пояснительную записку, содержание обучения, планируемые результаты освоения программы по родному (чувашскому) языку.</w:t>
      </w:r>
    </w:p>
    <w:p w14:paraId="5738FB08">
      <w:pPr>
        <w:widowControl/>
        <w:tabs>
          <w:tab w:val="left" w:pos="1134"/>
        </w:tabs>
        <w:spacing w:after="0" w:line="360" w:lineRule="auto"/>
        <w:ind w:firstLine="709"/>
        <w:jc w:val="both"/>
        <w:rPr>
          <w:rFonts w:ascii="Times New Roman" w:hAnsi="Times New Roman"/>
        </w:rPr>
      </w:pPr>
      <w:r>
        <w:rPr>
          <w:rFonts w:ascii="Times New Roman" w:hAnsi="Times New Roman"/>
        </w:rPr>
        <w:t>4.2. Пояснительная записка отражает общие цели и задачи изучения родного (чувашского) языка, место в структуре учебного плана, а также подходы к отбору содержания, к определению планируемых результатов.</w:t>
      </w:r>
    </w:p>
    <w:p w14:paraId="36FAFC61">
      <w:pPr>
        <w:widowControl/>
        <w:tabs>
          <w:tab w:val="left" w:pos="1134"/>
        </w:tabs>
        <w:spacing w:after="0" w:line="360" w:lineRule="auto"/>
        <w:ind w:firstLine="709"/>
        <w:jc w:val="both"/>
        <w:rPr>
          <w:rFonts w:ascii="Times New Roman" w:hAnsi="Times New Roman"/>
        </w:rPr>
      </w:pPr>
      <w:r>
        <w:rPr>
          <w:rFonts w:ascii="Times New Roman" w:hAnsi="Times New Roman"/>
        </w:rPr>
        <w:t>4.3. Содержание обучения раскрывает содержательные линии, которые предлагаются для обязательного изучения в каждом классе на уровне начального общего образования.</w:t>
      </w:r>
    </w:p>
    <w:p w14:paraId="090FA41C">
      <w:pPr>
        <w:widowControl/>
        <w:tabs>
          <w:tab w:val="left" w:pos="1134"/>
        </w:tabs>
        <w:spacing w:after="0" w:line="360" w:lineRule="auto"/>
        <w:ind w:firstLine="709"/>
        <w:jc w:val="both"/>
        <w:rPr>
          <w:rFonts w:ascii="Times New Roman" w:hAnsi="Times New Roman"/>
        </w:rPr>
      </w:pPr>
      <w:r>
        <w:rPr>
          <w:rFonts w:ascii="Times New Roman" w:hAnsi="Times New Roman"/>
        </w:rPr>
        <w:t>4.4. Планируемые результаты освоения программы по родному (чувашскому) языку включают личностные, метапредметные результаты за период обучения на уровне начального общего образования, а также предметные достижения обучающегося за каждый год обучения.</w:t>
      </w:r>
    </w:p>
    <w:p w14:paraId="5510CDCF">
      <w:pPr>
        <w:widowControl/>
        <w:tabs>
          <w:tab w:val="left" w:pos="1134"/>
        </w:tabs>
        <w:spacing w:after="0" w:line="360" w:lineRule="auto"/>
        <w:ind w:firstLine="709"/>
        <w:jc w:val="both"/>
        <w:rPr>
          <w:rFonts w:ascii="Times New Roman" w:hAnsi="Times New Roman"/>
        </w:rPr>
      </w:pPr>
      <w:r>
        <w:rPr>
          <w:rFonts w:ascii="Times New Roman" w:hAnsi="Times New Roman"/>
        </w:rPr>
        <w:t>4.5. Пояснительная записка.</w:t>
      </w:r>
    </w:p>
    <w:p w14:paraId="7FC146AD">
      <w:pPr>
        <w:widowControl/>
        <w:tabs>
          <w:tab w:val="left" w:pos="1134"/>
        </w:tabs>
        <w:spacing w:after="0" w:line="360" w:lineRule="auto"/>
        <w:ind w:firstLine="709"/>
        <w:jc w:val="both"/>
        <w:rPr>
          <w:rFonts w:ascii="Times New Roman" w:hAnsi="Times New Roman"/>
        </w:rPr>
      </w:pPr>
      <w:r>
        <w:rPr>
          <w:rFonts w:ascii="Times New Roman" w:hAnsi="Times New Roman"/>
        </w:rPr>
        <w:t>4.5.1. Программа по родному (чувашскому) языку разработана с целью оказания методической помощи учителю в создании рабочей программы по учебному предмету, ориентированной на современные тенденции в образовании и активные методики обучения.</w:t>
      </w:r>
    </w:p>
    <w:p w14:paraId="55BED306">
      <w:pPr>
        <w:widowControl/>
        <w:tabs>
          <w:tab w:val="left" w:pos="1134"/>
        </w:tabs>
        <w:spacing w:after="0" w:line="360" w:lineRule="auto"/>
        <w:ind w:firstLine="709"/>
        <w:jc w:val="both"/>
        <w:rPr>
          <w:rFonts w:ascii="Times New Roman" w:hAnsi="Times New Roman"/>
        </w:rPr>
      </w:pPr>
      <w:r>
        <w:rPr>
          <w:rFonts w:ascii="Times New Roman" w:hAnsi="Times New Roman"/>
        </w:rPr>
        <w:t>4.5.1.1. Программа по родному (чувашскому) языку выстроена на основе концентрического принципа с учётом основ системно-деятельностного методологического подхода. В процессе обучения чувашскому языку в каждом классе при прохождении разделов программы включаются новые элементы содержания и задаются новые требования, компетенции, освоенные на более ранних этапах, закрепляются и расширяются на новом материале. Программа по родному (чувашскому) языку предусматривает создание условий для формирования у обучающихся позитивного эмоционально-ценностного отношения к родному языку, понимания его роли в жизни общества и каждого человека, осознания необходимости сохранять его чистоту и богатство.</w:t>
      </w:r>
    </w:p>
    <w:p w14:paraId="79772E3F">
      <w:pPr>
        <w:widowControl/>
        <w:tabs>
          <w:tab w:val="left" w:pos="1134"/>
        </w:tabs>
        <w:spacing w:after="0" w:line="360" w:lineRule="auto"/>
        <w:ind w:firstLine="709"/>
        <w:jc w:val="both"/>
        <w:rPr>
          <w:rFonts w:ascii="Times New Roman" w:hAnsi="Times New Roman"/>
        </w:rPr>
      </w:pPr>
      <w:r>
        <w:rPr>
          <w:rFonts w:ascii="Times New Roman" w:hAnsi="Times New Roman"/>
        </w:rPr>
        <w:t>4.5.1.2. Программа по родному (чувашскому) языку представлена на уровне начального общего образования как совокупность понятий, правил, сведений, органически связанных между собой. Языковой материал формирует первоначальные представления о структуре чувашского языка с учётом возрастных особенностей обучающихся, а также способствует усвоению норм чувашского литературного языка. Изучение орфоэпических, орфографических и пунктуационных правил, развитие устной и письменной речи учащ обучающихся ихся служат решению практических задач общения и формируют навыки, определяющие языковой уровень культуры обучающихся. Знакомясь с единицами языка разных уровней, обучающиеся усваивают их роль, функции, а также связи и отношения, существующие в системе языка и речи. Усвоение морфологической и синтаксической структуры языка, правил строения слова и предложения осуществляется на основе формирования символико-моделирующих учебных действий с языковыми единицами. Через овладение языком – его лексикой, фразеологией, фонетикой и графикой, словообразовательной системой, его грамматикой, разнообразием синтаксических структур – формируется собственная языковая способность обучающегося, осуществляется становление языковой личности.</w:t>
      </w:r>
    </w:p>
    <w:p w14:paraId="3BA42CAF">
      <w:pPr>
        <w:widowControl/>
        <w:tabs>
          <w:tab w:val="left" w:pos="1134"/>
        </w:tabs>
        <w:spacing w:after="0" w:line="360" w:lineRule="auto"/>
        <w:ind w:firstLine="709"/>
        <w:jc w:val="both"/>
        <w:rPr>
          <w:rFonts w:ascii="Times New Roman" w:hAnsi="Times New Roman"/>
        </w:rPr>
      </w:pPr>
      <w:r>
        <w:rPr>
          <w:rFonts w:ascii="Times New Roman" w:hAnsi="Times New Roman"/>
        </w:rPr>
        <w:t>4.5.1.3. Работа над синтаксической стороной речи направлена на обучение нормам построения словосочетаний и предложений на развитие умений пользоваться предложениями в устной и письменной речи, на обеспечение понимания содержания и структуры предложений в родной (чувашской) речи. На синтаксической основе обучающиеся усваивают процессы словоизменения, формируются грамматические умения, орфографические и речевые навыки. Определенное место в программе отводится формированию текстовых компетенций, что в свою очередь призвано обеспечивать формирование и развитие коммуникативно-речевой компетенции обучающихся.</w:t>
      </w:r>
    </w:p>
    <w:p w14:paraId="206DACEB">
      <w:pPr>
        <w:widowControl/>
        <w:tabs>
          <w:tab w:val="left" w:pos="1134"/>
        </w:tabs>
        <w:spacing w:after="0" w:line="360" w:lineRule="auto"/>
        <w:ind w:firstLine="709"/>
        <w:jc w:val="both"/>
        <w:rPr>
          <w:rFonts w:ascii="Times New Roman" w:hAnsi="Times New Roman"/>
        </w:rPr>
      </w:pPr>
      <w:r>
        <w:rPr>
          <w:rFonts w:ascii="Times New Roman" w:hAnsi="Times New Roman"/>
        </w:rPr>
        <w:t>4.5.1.4. Целенаправленная работа по развитию речи обучащихся включает совершенствование навыков произношения, обогащение и уточнение словарного запаса, развитие умений правильного построения предложения, формирование навыков, необходимых для восприятия и создания связного высказывания, освоение правил речевого поведения в определенных ситуациях учебного и внеучебного общения. Работа по формированию и совершенствованию навыков чтения и письма обусловливает качественное овладение устной и письменной речью. Обучающиеся на уровне начального общего образования научатся правильно, достаточно бегло и осознанно читать, а также разборчиво и грамотно писать.</w:t>
      </w:r>
    </w:p>
    <w:p w14:paraId="61AF8D52">
      <w:pPr>
        <w:widowControl/>
        <w:tabs>
          <w:tab w:val="left" w:pos="1134"/>
        </w:tabs>
        <w:spacing w:after="0" w:line="360" w:lineRule="auto"/>
        <w:ind w:firstLine="709"/>
        <w:jc w:val="both"/>
        <w:rPr>
          <w:rFonts w:ascii="Times New Roman" w:hAnsi="Times New Roman"/>
        </w:rPr>
      </w:pPr>
      <w:r>
        <w:rPr>
          <w:rFonts w:ascii="Times New Roman" w:hAnsi="Times New Roman"/>
        </w:rPr>
        <w:t>4.5.2. В содержании программы по родному (чувашскому) языку выделяются следующие содержательные линии: основы лингвистических знаний (фонетика и графика, орфоэпия, состав слова (морфемика), грамматика (морфология и синтаксис), орфография и пунктуация, развитие речи.</w:t>
      </w:r>
    </w:p>
    <w:p w14:paraId="039B7C5C">
      <w:pPr>
        <w:widowControl/>
        <w:tabs>
          <w:tab w:val="left" w:pos="1134"/>
        </w:tabs>
        <w:spacing w:after="0" w:line="360" w:lineRule="auto"/>
        <w:ind w:firstLine="709"/>
        <w:jc w:val="both"/>
        <w:rPr>
          <w:rFonts w:ascii="Times New Roman" w:hAnsi="Times New Roman"/>
        </w:rPr>
      </w:pPr>
      <w:r>
        <w:rPr>
          <w:rFonts w:ascii="Times New Roman" w:hAnsi="Times New Roman"/>
        </w:rPr>
        <w:t>4.5.3. Изучение родного (чувашского) языка направлено на достижение следующих целей:</w:t>
      </w:r>
    </w:p>
    <w:p w14:paraId="4716FB95">
      <w:pPr>
        <w:widowControl/>
        <w:tabs>
          <w:tab w:val="left" w:pos="1134"/>
        </w:tabs>
        <w:spacing w:after="0" w:line="360" w:lineRule="auto"/>
        <w:ind w:firstLine="709"/>
        <w:jc w:val="both"/>
        <w:rPr>
          <w:rFonts w:ascii="Times New Roman" w:hAnsi="Times New Roman"/>
        </w:rPr>
      </w:pPr>
      <w:r>
        <w:rPr>
          <w:rFonts w:ascii="Times New Roman" w:hAnsi="Times New Roman"/>
        </w:rPr>
        <w:t>приобретение обучающимися первоначальных представлений о многообразии языков и культур на территории Российской Федерации, о языке как одной из главных духовно-нравственных ценностей народа;</w:t>
      </w:r>
    </w:p>
    <w:p w14:paraId="4B7B02FD">
      <w:pPr>
        <w:widowControl/>
        <w:tabs>
          <w:tab w:val="left" w:pos="1134"/>
        </w:tabs>
        <w:spacing w:after="0" w:line="360" w:lineRule="auto"/>
        <w:ind w:firstLine="709"/>
        <w:jc w:val="both"/>
        <w:rPr>
          <w:rFonts w:ascii="Times New Roman" w:hAnsi="Times New Roman"/>
        </w:rPr>
      </w:pPr>
      <w:r>
        <w:rPr>
          <w:rFonts w:ascii="Times New Roman" w:hAnsi="Times New Roman"/>
        </w:rPr>
        <w:t>понимание роли языка как основного средства общения, формирование первоначальных представлений о единстве и многообразии языкового и культурного пространства Российской Федерации, о месте родного языка среди других языков народов России, о роли родного языка как носителя народной культуры, средства её познания, осознание правильной устной и письменной речи как показателя общей культуры человека;</w:t>
      </w:r>
    </w:p>
    <w:p w14:paraId="40434929">
      <w:pPr>
        <w:widowControl/>
        <w:tabs>
          <w:tab w:val="left" w:pos="1134"/>
        </w:tabs>
        <w:spacing w:after="0" w:line="360" w:lineRule="auto"/>
        <w:ind w:firstLine="709"/>
        <w:jc w:val="both"/>
        <w:rPr>
          <w:rFonts w:ascii="Times New Roman" w:hAnsi="Times New Roman"/>
        </w:rPr>
      </w:pPr>
      <w:r>
        <w:rPr>
          <w:rFonts w:ascii="Times New Roman" w:hAnsi="Times New Roman"/>
        </w:rPr>
        <w:t>овладение основными видами речевой деятельности на основе первоначальных представлений о нормах современного чувашского литературного языка: аудирование, говорение, чтение, письмо;</w:t>
      </w:r>
    </w:p>
    <w:p w14:paraId="4DAEA703">
      <w:pPr>
        <w:widowControl/>
        <w:tabs>
          <w:tab w:val="left" w:pos="1134"/>
        </w:tabs>
        <w:spacing w:after="0" w:line="360" w:lineRule="auto"/>
        <w:ind w:firstLine="709"/>
        <w:jc w:val="both"/>
        <w:rPr>
          <w:rFonts w:ascii="Times New Roman" w:hAnsi="Times New Roman"/>
        </w:rPr>
      </w:pPr>
      <w:r>
        <w:rPr>
          <w:rFonts w:ascii="Times New Roman" w:hAnsi="Times New Roman"/>
        </w:rPr>
        <w:t>овладение первоначальными научными представлениями о системе чувашского языка (фонетика, графика, лексика, морфемика, морфология и синтаксис), об основных единицах языка (их признаках и особенностях употребления в речи), использование в речевой деятельности норм современного чувашского литературного языка (орфоэпических, лексических, грамматических, орфографических, пунктуационных) и речевого этикета;</w:t>
      </w:r>
    </w:p>
    <w:p w14:paraId="44B86404">
      <w:pPr>
        <w:widowControl/>
        <w:tabs>
          <w:tab w:val="left" w:pos="1134"/>
        </w:tabs>
        <w:spacing w:after="0" w:line="360" w:lineRule="auto"/>
        <w:ind w:firstLine="709"/>
        <w:jc w:val="both"/>
        <w:rPr>
          <w:rFonts w:ascii="Times New Roman" w:hAnsi="Times New Roman"/>
        </w:rPr>
      </w:pPr>
      <w:r>
        <w:rPr>
          <w:rFonts w:ascii="Times New Roman" w:hAnsi="Times New Roman"/>
        </w:rPr>
        <w:t>развитие функциональной грамотности, готовности к успешному взаимодействию с изменяющимся миром и дальнейшему успешному образованию.</w:t>
      </w:r>
    </w:p>
    <w:p w14:paraId="530FF540">
      <w:pPr>
        <w:widowControl/>
        <w:tabs>
          <w:tab w:val="left" w:pos="1134"/>
        </w:tabs>
        <w:spacing w:after="0" w:line="360" w:lineRule="auto"/>
        <w:ind w:firstLine="709"/>
        <w:jc w:val="both"/>
        <w:rPr>
          <w:rFonts w:ascii="Times New Roman" w:hAnsi="Times New Roman"/>
        </w:rPr>
      </w:pPr>
      <w:r>
        <w:rPr>
          <w:rFonts w:ascii="Times New Roman" w:hAnsi="Times New Roman"/>
        </w:rPr>
        <w:t>4.5.4. Общее число часов, рекомендованных для изучения родного (чувашского) языка, – 108 часов: в 1 классе – 23 часов (0,5 часов в неделю), во 2 классе – 34 часа (1 час в неделю), в 3 классе – 34 часа (1 час в неделю), в 4 классе – 17 часов (0,5 час в неделю).</w:t>
      </w:r>
    </w:p>
    <w:p w14:paraId="1329B436">
      <w:pPr>
        <w:widowControl/>
        <w:tabs>
          <w:tab w:val="left" w:pos="1134"/>
        </w:tabs>
        <w:spacing w:after="0" w:line="360" w:lineRule="auto"/>
        <w:jc w:val="both"/>
        <w:rPr>
          <w:rFonts w:ascii="Times New Roman" w:hAnsi="Times New Roman"/>
        </w:rPr>
      </w:pPr>
      <w:r>
        <w:rPr>
          <w:rFonts w:ascii="Times New Roman" w:hAnsi="Times New Roman"/>
        </w:rPr>
        <w:t>Возможна корректировка общего числа часов, рекомендованных для изучения предмета, с учетом индивидуального подхода образовательных организаций к выбору родного (чувашского) языка и его реализации, в рамках соблюдения гигиенических нормативов к недельной образовательной нагрузке.</w:t>
      </w:r>
    </w:p>
    <w:p w14:paraId="1E2CE939">
      <w:pPr>
        <w:widowControl/>
        <w:tabs>
          <w:tab w:val="left" w:pos="1134"/>
        </w:tabs>
        <w:spacing w:after="0" w:line="360" w:lineRule="auto"/>
        <w:ind w:firstLine="709"/>
        <w:jc w:val="both"/>
        <w:rPr>
          <w:rFonts w:ascii="Times New Roman" w:hAnsi="Times New Roman"/>
        </w:rPr>
      </w:pPr>
      <w:r>
        <w:rPr>
          <w:rFonts w:ascii="Times New Roman" w:hAnsi="Times New Roman"/>
        </w:rPr>
        <w:t>4.6. Содержание обучения в 1 классе.</w:t>
      </w:r>
    </w:p>
    <w:p w14:paraId="22629F2D">
      <w:pPr>
        <w:widowControl/>
        <w:tabs>
          <w:tab w:val="left" w:pos="1134"/>
        </w:tabs>
        <w:spacing w:after="0" w:line="360" w:lineRule="auto"/>
        <w:ind w:firstLine="709"/>
        <w:jc w:val="both"/>
        <w:rPr>
          <w:rFonts w:ascii="Times New Roman" w:hAnsi="Times New Roman"/>
        </w:rPr>
      </w:pPr>
      <w:r>
        <w:rPr>
          <w:rFonts w:ascii="Times New Roman" w:hAnsi="Times New Roman"/>
        </w:rPr>
        <w:t>4.6.1. Начальным этапом изучения родного (чувашского) языка в 1 классе является учебный курс «Обучение грамоте». На учебный курс «Обучение грамоте» рекомендуется отводить 23 часа (1 час в неделю: 0,5 час учебного предмета «Родной (чувашский) язык» и 0,5 час учебного предмета «Литературное чтение на родном (чувашском) языке»). Продолжительность учебного курса «Обучение грамоте» зависит от уровня подготовки обучающихся и может составлять до 23 учебных недель, соответственно, продолжительность изучения систематического курса в 1 классе может варьироваться до 10 недель.</w:t>
      </w:r>
    </w:p>
    <w:p w14:paraId="0CCD7A49">
      <w:pPr>
        <w:widowControl/>
        <w:tabs>
          <w:tab w:val="left" w:pos="1134"/>
        </w:tabs>
        <w:spacing w:after="0" w:line="360" w:lineRule="auto"/>
        <w:ind w:firstLine="709"/>
        <w:jc w:val="both"/>
        <w:rPr>
          <w:rFonts w:ascii="Times New Roman" w:hAnsi="Times New Roman"/>
        </w:rPr>
      </w:pPr>
      <w:r>
        <w:rPr>
          <w:rFonts w:ascii="Times New Roman" w:hAnsi="Times New Roman"/>
        </w:rPr>
        <w:t>В начале обучения грамоте осуществляется введение в систему языкового и литературного образования. Содержание этого этапа направлено на создание мотивации к учебной деятельности, развитие интереса к самому процессу чтения. Особое внимание уделяется развитию устных форм речи у каждого обучающегося. Обучение письму идет параллельно с обучением чтению. Обучение родной чувашской грамоте, цель которого – формирование первоначальных навыков чтения и письма на основе ознакомления с общими закономерностями устройства фонетической и графической систем чувашского языка, делится на 3 периода. На начальном периоде решаются задачи речевого развития, овладевания основами литературной речи, развития фонематического слуха, формирования навыков анализа и синтеза речи, формирования у обучающихся универсальных учебных действий. У обучающихся, в том числе и посредством моделирования, формируется представление об основных единицах речи: текст, предложение, словосочетание, слово, звук, о системных отношениях между языковыми единицами. Основной задачей букварного периода является овладение обучающимися механизмом чтения и письма, формирование у них первоначальных навыков чтения и письма. Звуки и буквы вводятся поэтапно. При определении порядка подачи звуков и букв учитывается своеобразие соотношений между звуковой и графической системами, которое в чувашском языке достаточно сложное. На первом этапе главная цель – заложить основы механизма слогового чтения на примере простых слогов и слов с однозначным соотношением звука и алфавитного значения буквы. На следующих этапах идёт усвоение особенностей позиционного чтения, способами обозначения мягкости и твердости согласных звуков при письме, формированию в учебном действии представления о механизме закона сингармонизма в чувашском языке. На последнем этапе предполагается знакомство с буквами, обозначающими звуки, встречающиеся в чувашском языке лишь в заимствованных словах, осознание закономерности чтения заимствованных слов, сложностей чувашского двухсистемного письма. Методической основой обучения родной чувашской грамоте является аналитико-синтетический метод. На заключительном периоде обучения грамоте осуществляется постепенный переход к чтению целыми словами, формируется умение читать про себя, развиваются и совершенствуются процессы правильного, осознанного, темпового и выразительного чтения (слов, предложений, текстов), идёт формирование потребности и мотива чтения. Обучение элементам фонетики, лексики и грамматики, орфографии и пунктуации идёт параллельно с формированием коммуникативно-речевых умений и навыков, с развитием творческих способностей обучающихся.</w:t>
      </w:r>
    </w:p>
    <w:p w14:paraId="1E984ABF">
      <w:pPr>
        <w:widowControl/>
        <w:tabs>
          <w:tab w:val="left" w:pos="1134"/>
        </w:tabs>
        <w:spacing w:after="0" w:line="360" w:lineRule="auto"/>
        <w:ind w:firstLine="709"/>
        <w:jc w:val="both"/>
        <w:rPr>
          <w:rFonts w:ascii="Times New Roman" w:hAnsi="Times New Roman"/>
        </w:rPr>
      </w:pPr>
      <w:r>
        <w:rPr>
          <w:rFonts w:ascii="Times New Roman" w:hAnsi="Times New Roman"/>
        </w:rPr>
        <w:t>4.6.2. Развитие речи.</w:t>
      </w:r>
    </w:p>
    <w:p w14:paraId="0FAB2AA2">
      <w:pPr>
        <w:widowControl/>
        <w:tabs>
          <w:tab w:val="left" w:pos="1134"/>
        </w:tabs>
        <w:spacing w:after="0" w:line="360" w:lineRule="auto"/>
        <w:ind w:firstLine="709"/>
        <w:jc w:val="both"/>
        <w:rPr>
          <w:rFonts w:ascii="Times New Roman" w:hAnsi="Times New Roman"/>
        </w:rPr>
      </w:pPr>
      <w:r>
        <w:rPr>
          <w:rFonts w:ascii="Times New Roman" w:hAnsi="Times New Roman"/>
        </w:rPr>
        <w:t>Восприятие и понимание слов, предложений, небольших текстов при самостоятельном чтении вслух и при прослушивании. Составление небольших рассказов повествовательного характера: по предметным и сюжетным картинам, из личного опыта и наблюдений, на основе вопросов, указаний и опорных слов. Участие в диалоге.</w:t>
      </w:r>
    </w:p>
    <w:p w14:paraId="04463C53">
      <w:pPr>
        <w:widowControl/>
        <w:tabs>
          <w:tab w:val="left" w:pos="1134"/>
        </w:tabs>
        <w:spacing w:after="0" w:line="360" w:lineRule="auto"/>
        <w:ind w:firstLine="709"/>
        <w:jc w:val="both"/>
        <w:rPr>
          <w:rFonts w:ascii="Times New Roman" w:hAnsi="Times New Roman"/>
        </w:rPr>
      </w:pPr>
      <w:r>
        <w:rPr>
          <w:rFonts w:ascii="Times New Roman" w:hAnsi="Times New Roman"/>
        </w:rPr>
        <w:t>4.6.3. Слово и предложение.</w:t>
      </w:r>
    </w:p>
    <w:p w14:paraId="5875F0DF">
      <w:pPr>
        <w:widowControl/>
        <w:tabs>
          <w:tab w:val="left" w:pos="1134"/>
        </w:tabs>
        <w:spacing w:after="0" w:line="360" w:lineRule="auto"/>
        <w:ind w:firstLine="709"/>
        <w:jc w:val="both"/>
        <w:rPr>
          <w:rFonts w:ascii="Times New Roman" w:hAnsi="Times New Roman"/>
        </w:rPr>
      </w:pPr>
      <w:r>
        <w:rPr>
          <w:rFonts w:ascii="Times New Roman" w:hAnsi="Times New Roman"/>
        </w:rPr>
        <w:t>Восприятие слова как объекта изучения, материала для анализа. Наблюдение над значением слова. Различение слова и предложения. Работа с предложением: определение начала и конца предложения, выделение слов, определение их порядка. Интонация в предложении.</w:t>
      </w:r>
    </w:p>
    <w:p w14:paraId="025837B7">
      <w:pPr>
        <w:widowControl/>
        <w:tabs>
          <w:tab w:val="left" w:pos="1134"/>
        </w:tabs>
        <w:spacing w:after="0" w:line="360" w:lineRule="auto"/>
        <w:ind w:firstLine="709"/>
        <w:jc w:val="both"/>
        <w:rPr>
          <w:rFonts w:ascii="Times New Roman" w:hAnsi="Times New Roman"/>
        </w:rPr>
      </w:pPr>
      <w:r>
        <w:rPr>
          <w:rFonts w:ascii="Times New Roman" w:hAnsi="Times New Roman"/>
        </w:rPr>
        <w:t>4.6.4. Фонетика. Звуки речи.</w:t>
      </w:r>
    </w:p>
    <w:p w14:paraId="371CD2E2">
      <w:pPr>
        <w:widowControl/>
        <w:tabs>
          <w:tab w:val="left" w:pos="1134"/>
        </w:tabs>
        <w:spacing w:after="0" w:line="360" w:lineRule="auto"/>
        <w:ind w:firstLine="709"/>
        <w:jc w:val="both"/>
        <w:rPr>
          <w:rFonts w:ascii="Times New Roman" w:hAnsi="Times New Roman"/>
        </w:rPr>
      </w:pPr>
      <w:r>
        <w:rPr>
          <w:rFonts w:ascii="Times New Roman" w:hAnsi="Times New Roman"/>
        </w:rPr>
        <w:t>Осознание единства звукового состава слова и его значения. Восприятие на слух звукового состава слова. Установление числа и последовательности звуков в слове, различение и выделение звуков в словах. Сопоставление слов, различающихся одним или несколькими звуками. Производство полного звукового анализа слов, составление звуковых моделей слов. Сравнение моделей различных слов. Различение гласных и согласных звуков, мягких и твёрдых гласных, мягких и твёрдых согласных. Звонкие согласные, встречающиеся в чувашском языке лишь в заимствованных словах. Слог как минимальная произносительная единица. Количество слогов в слове. Ударный слог.</w:t>
      </w:r>
    </w:p>
    <w:p w14:paraId="091ABE1F">
      <w:pPr>
        <w:widowControl/>
        <w:tabs>
          <w:tab w:val="left" w:pos="1134"/>
        </w:tabs>
        <w:spacing w:after="0" w:line="360" w:lineRule="auto"/>
        <w:ind w:firstLine="709"/>
        <w:jc w:val="both"/>
        <w:rPr>
          <w:rFonts w:ascii="Times New Roman" w:hAnsi="Times New Roman"/>
        </w:rPr>
      </w:pPr>
      <w:r>
        <w:rPr>
          <w:rFonts w:ascii="Times New Roman" w:hAnsi="Times New Roman"/>
        </w:rPr>
        <w:t>4.6.5. Графика.</w:t>
      </w:r>
    </w:p>
    <w:p w14:paraId="10147074">
      <w:pPr>
        <w:widowControl/>
        <w:tabs>
          <w:tab w:val="left" w:pos="1134"/>
        </w:tabs>
        <w:spacing w:after="0" w:line="360" w:lineRule="auto"/>
        <w:ind w:firstLine="709"/>
        <w:jc w:val="both"/>
        <w:rPr>
          <w:rFonts w:ascii="Times New Roman" w:hAnsi="Times New Roman"/>
        </w:rPr>
      </w:pPr>
      <w:r>
        <w:rPr>
          <w:rFonts w:ascii="Times New Roman" w:hAnsi="Times New Roman"/>
        </w:rPr>
        <w:t>Различение звука и буквы: буква как знак звука. Слоговой принцип чувашской графики. Буквы гласных – как показатель твёрдости или мягкости согласных звуков. Функции букв е, ё, ю, я. Мягкий (ь) и твердый (ъ) знаки. Последовательность букв в чувашском алфавите.</w:t>
      </w:r>
    </w:p>
    <w:p w14:paraId="367BBA95">
      <w:pPr>
        <w:widowControl/>
        <w:tabs>
          <w:tab w:val="left" w:pos="1134"/>
        </w:tabs>
        <w:spacing w:after="0" w:line="360" w:lineRule="auto"/>
        <w:ind w:firstLine="709"/>
        <w:jc w:val="both"/>
        <w:rPr>
          <w:rFonts w:ascii="Times New Roman" w:hAnsi="Times New Roman"/>
        </w:rPr>
      </w:pPr>
      <w:r>
        <w:rPr>
          <w:rFonts w:ascii="Times New Roman" w:hAnsi="Times New Roman"/>
        </w:rPr>
        <w:t>4.6.6. Чтение и письмо.</w:t>
      </w:r>
    </w:p>
    <w:p w14:paraId="3FA0305F">
      <w:pPr>
        <w:widowControl/>
        <w:tabs>
          <w:tab w:val="left" w:pos="1134"/>
        </w:tabs>
        <w:spacing w:after="0" w:line="360" w:lineRule="auto"/>
        <w:ind w:firstLine="709"/>
        <w:jc w:val="both"/>
        <w:rPr>
          <w:rFonts w:ascii="Times New Roman" w:hAnsi="Times New Roman"/>
        </w:rPr>
      </w:pPr>
      <w:r>
        <w:rPr>
          <w:rFonts w:ascii="Times New Roman" w:hAnsi="Times New Roman"/>
        </w:rPr>
        <w:t>Слоговое чтение (ориентация на букву, обозначающую гласный звук). Плавное слоговое чтение и чтение целыми словами со скоростью, соответствующей индивидуальному темпу обучающегося. Осознанное чтение слов, словосочетаний, предложений. Чтение с интонациями и паузами в соответствии со знаками препинания. Выразительное чтение на материале небольших прозаических текстов и стихотворений.</w:t>
      </w:r>
    </w:p>
    <w:p w14:paraId="7C3AD040">
      <w:pPr>
        <w:widowControl/>
        <w:tabs>
          <w:tab w:val="left" w:pos="1134"/>
        </w:tabs>
        <w:spacing w:after="0" w:line="360" w:lineRule="auto"/>
        <w:ind w:firstLine="709"/>
        <w:jc w:val="both"/>
        <w:rPr>
          <w:rFonts w:ascii="Times New Roman" w:hAnsi="Times New Roman"/>
        </w:rPr>
      </w:pPr>
      <w:r>
        <w:rPr>
          <w:rFonts w:ascii="Times New Roman" w:hAnsi="Times New Roman"/>
        </w:rPr>
        <w:t>Усвоение гигиенических требований при письме. Умение ориентироваться на пространстве листа в тетради и на пространстве классной доски. Начертание письменных прописных (заглавных) и строчных букв. Письмо разборчивым, аккуратным письмом. Приемы и последовательность правильного списывания текста. Письмо под диктовку слов и предложений. Понимание функции небуквенных графических средств: пробела между словами, предложениями, знака переноса.</w:t>
      </w:r>
    </w:p>
    <w:p w14:paraId="7B84F7AC">
      <w:pPr>
        <w:widowControl/>
        <w:tabs>
          <w:tab w:val="left" w:pos="1134"/>
        </w:tabs>
        <w:spacing w:after="0" w:line="360" w:lineRule="auto"/>
        <w:ind w:firstLine="709"/>
        <w:jc w:val="both"/>
        <w:rPr>
          <w:rFonts w:ascii="Times New Roman" w:hAnsi="Times New Roman"/>
        </w:rPr>
      </w:pPr>
      <w:r>
        <w:rPr>
          <w:rFonts w:ascii="Times New Roman" w:hAnsi="Times New Roman"/>
        </w:rPr>
        <w:t>4.6.7. Орфография и пунктуация.</w:t>
      </w:r>
    </w:p>
    <w:p w14:paraId="0A4383C8">
      <w:pPr>
        <w:widowControl/>
        <w:tabs>
          <w:tab w:val="left" w:pos="1134"/>
        </w:tabs>
        <w:spacing w:after="0" w:line="360" w:lineRule="auto"/>
        <w:ind w:firstLine="709"/>
        <w:jc w:val="both"/>
        <w:rPr>
          <w:rFonts w:ascii="Times New Roman" w:hAnsi="Times New Roman"/>
        </w:rPr>
      </w:pPr>
      <w:r>
        <w:rPr>
          <w:rFonts w:ascii="Times New Roman" w:hAnsi="Times New Roman"/>
        </w:rPr>
        <w:t>Знакомство с правилами правописания и их применение: раздельное написание слов, прописная буква в начале предложения и в именах собственных (имена, фамилии людей, клички животных, названия населённых пунктов), перенос по слогам слов без стечения согласных, знаки препинания в конце предложения.</w:t>
      </w:r>
    </w:p>
    <w:p w14:paraId="5BFF35FD">
      <w:pPr>
        <w:widowControl/>
        <w:tabs>
          <w:tab w:val="left" w:pos="1134"/>
        </w:tabs>
        <w:spacing w:after="0" w:line="360" w:lineRule="auto"/>
        <w:ind w:firstLine="709"/>
        <w:jc w:val="both"/>
        <w:rPr>
          <w:rFonts w:ascii="Times New Roman" w:hAnsi="Times New Roman"/>
        </w:rPr>
      </w:pPr>
      <w:r>
        <w:rPr>
          <w:rFonts w:ascii="Times New Roman" w:hAnsi="Times New Roman"/>
        </w:rPr>
        <w:t>4.7. Содержание обучения во 2 классе.</w:t>
      </w:r>
    </w:p>
    <w:p w14:paraId="4CF97618">
      <w:pPr>
        <w:widowControl/>
        <w:tabs>
          <w:tab w:val="left" w:pos="1134"/>
        </w:tabs>
        <w:spacing w:after="0" w:line="360" w:lineRule="auto"/>
        <w:ind w:firstLine="709"/>
        <w:jc w:val="both"/>
        <w:rPr>
          <w:rFonts w:ascii="Times New Roman" w:hAnsi="Times New Roman"/>
        </w:rPr>
      </w:pPr>
      <w:r>
        <w:rPr>
          <w:rFonts w:ascii="Times New Roman" w:hAnsi="Times New Roman"/>
        </w:rPr>
        <w:t>4.7.1. Общие сведения о языке.</w:t>
      </w:r>
    </w:p>
    <w:p w14:paraId="04E60CA8">
      <w:pPr>
        <w:widowControl/>
        <w:tabs>
          <w:tab w:val="left" w:pos="1134"/>
        </w:tabs>
        <w:spacing w:after="0" w:line="360" w:lineRule="auto"/>
        <w:ind w:firstLine="709"/>
        <w:jc w:val="both"/>
        <w:rPr>
          <w:rFonts w:ascii="Times New Roman" w:hAnsi="Times New Roman"/>
        </w:rPr>
      </w:pPr>
      <w:r>
        <w:rPr>
          <w:rFonts w:ascii="Times New Roman" w:hAnsi="Times New Roman"/>
        </w:rPr>
        <w:t>Язык как основное средство человеческого общения и явление национальной культуры. Первоначальные представления о многообразии языкового пространства России и мира. Методы познания языка: наблюдение, анализ.</w:t>
      </w:r>
    </w:p>
    <w:p w14:paraId="65932472">
      <w:pPr>
        <w:widowControl/>
        <w:tabs>
          <w:tab w:val="left" w:pos="1134"/>
        </w:tabs>
        <w:spacing w:after="0" w:line="360" w:lineRule="auto"/>
        <w:ind w:firstLine="709"/>
        <w:jc w:val="both"/>
        <w:rPr>
          <w:rFonts w:ascii="Times New Roman" w:hAnsi="Times New Roman"/>
        </w:rPr>
      </w:pPr>
      <w:r>
        <w:rPr>
          <w:rFonts w:ascii="Times New Roman" w:hAnsi="Times New Roman"/>
        </w:rPr>
        <w:t>4.7.2. Фонетика и графика.</w:t>
      </w:r>
    </w:p>
    <w:p w14:paraId="3B00D1CD">
      <w:pPr>
        <w:widowControl/>
        <w:tabs>
          <w:tab w:val="left" w:pos="1134"/>
        </w:tabs>
        <w:spacing w:after="0" w:line="360" w:lineRule="auto"/>
        <w:ind w:firstLine="709"/>
        <w:jc w:val="both"/>
        <w:rPr>
          <w:rFonts w:ascii="Times New Roman" w:hAnsi="Times New Roman"/>
        </w:rPr>
      </w:pPr>
      <w:r>
        <w:rPr>
          <w:rFonts w:ascii="Times New Roman" w:hAnsi="Times New Roman"/>
        </w:rPr>
        <w:t>Смыслоразличительная функция звуков, различение звуков и букв, различение ударных и безударных гласных звуков. Твердые и мягкие гласные звуки. Парные и непарные по твёрдости (мягкости) согласные звуки. Качественная характеристика звука: гласный или согласный, согласный твёрдый или мягкий, гласный мягкий или твёрдый.</w:t>
      </w:r>
    </w:p>
    <w:p w14:paraId="4A0CB5B6">
      <w:pPr>
        <w:widowControl/>
        <w:tabs>
          <w:tab w:val="left" w:pos="1134"/>
        </w:tabs>
        <w:spacing w:after="0" w:line="360" w:lineRule="auto"/>
        <w:ind w:firstLine="709"/>
        <w:jc w:val="both"/>
        <w:rPr>
          <w:rFonts w:ascii="Times New Roman" w:hAnsi="Times New Roman"/>
        </w:rPr>
      </w:pPr>
      <w:r>
        <w:rPr>
          <w:rFonts w:ascii="Times New Roman" w:hAnsi="Times New Roman"/>
        </w:rPr>
        <w:t>Закон сингармонизма в чувашском языке: в слове гласные звуки бывают только одного ряда (ача, кĕнеке, курак, пилеш). Обозначение мягкости согласных звуков при письме. Функции ь. Использование при письме разделительных ъ и ь. Соотношение звукового и буквенного состава в словах с буквами е, ё, ю, я (в начале слова и после гласных). Долгие и краткие согласные.</w:t>
      </w:r>
    </w:p>
    <w:p w14:paraId="3D949CBA">
      <w:pPr>
        <w:widowControl/>
        <w:tabs>
          <w:tab w:val="left" w:pos="1134"/>
        </w:tabs>
        <w:spacing w:after="0" w:line="360" w:lineRule="auto"/>
        <w:ind w:firstLine="709"/>
        <w:jc w:val="both"/>
        <w:rPr>
          <w:rFonts w:ascii="Times New Roman" w:hAnsi="Times New Roman"/>
        </w:rPr>
      </w:pPr>
      <w:r>
        <w:rPr>
          <w:rFonts w:ascii="Times New Roman" w:hAnsi="Times New Roman"/>
        </w:rPr>
        <w:t>Деление слов на слоги (в том числе и при стечении согласных). Небуквенные графические средства: пробел между словами, знак переноса, абзац (красная строка), пунктуационные знаки (в пределах изученного).</w:t>
      </w:r>
    </w:p>
    <w:p w14:paraId="3D7A8941">
      <w:pPr>
        <w:widowControl/>
        <w:tabs>
          <w:tab w:val="left" w:pos="1134"/>
        </w:tabs>
        <w:spacing w:after="0" w:line="360" w:lineRule="auto"/>
        <w:ind w:firstLine="709"/>
        <w:jc w:val="both"/>
        <w:rPr>
          <w:rFonts w:ascii="Times New Roman" w:hAnsi="Times New Roman"/>
        </w:rPr>
      </w:pPr>
      <w:r>
        <w:rPr>
          <w:rFonts w:ascii="Times New Roman" w:hAnsi="Times New Roman"/>
        </w:rPr>
        <w:t>4.7.3. Орфоэпия.</w:t>
      </w:r>
    </w:p>
    <w:p w14:paraId="11919EC4">
      <w:pPr>
        <w:widowControl/>
        <w:tabs>
          <w:tab w:val="left" w:pos="1134"/>
        </w:tabs>
        <w:spacing w:after="0" w:line="360" w:lineRule="auto"/>
        <w:ind w:firstLine="709"/>
        <w:jc w:val="both"/>
        <w:rPr>
          <w:rFonts w:ascii="Times New Roman" w:hAnsi="Times New Roman"/>
        </w:rPr>
      </w:pPr>
      <w:r>
        <w:rPr>
          <w:rFonts w:ascii="Times New Roman" w:hAnsi="Times New Roman"/>
        </w:rPr>
        <w:t>Произношение звуков и сочетаний звуков, ударение в словах в соответствии с нормами современного чувашского литературного языка. Произношение заимствованных слов.</w:t>
      </w:r>
    </w:p>
    <w:p w14:paraId="00EAACF9">
      <w:pPr>
        <w:widowControl/>
        <w:tabs>
          <w:tab w:val="left" w:pos="1134"/>
        </w:tabs>
        <w:spacing w:after="0" w:line="360" w:lineRule="auto"/>
        <w:ind w:firstLine="709"/>
        <w:jc w:val="both"/>
        <w:rPr>
          <w:rFonts w:ascii="Times New Roman" w:hAnsi="Times New Roman"/>
        </w:rPr>
      </w:pPr>
      <w:r>
        <w:rPr>
          <w:rFonts w:ascii="Times New Roman" w:hAnsi="Times New Roman"/>
        </w:rPr>
        <w:t>4.7.4. Лексика.</w:t>
      </w:r>
    </w:p>
    <w:p w14:paraId="00903384">
      <w:pPr>
        <w:widowControl/>
        <w:tabs>
          <w:tab w:val="left" w:pos="1134"/>
        </w:tabs>
        <w:spacing w:after="0" w:line="360" w:lineRule="auto"/>
        <w:ind w:firstLine="709"/>
        <w:jc w:val="both"/>
        <w:rPr>
          <w:rFonts w:ascii="Times New Roman" w:hAnsi="Times New Roman"/>
        </w:rPr>
      </w:pPr>
      <w:r>
        <w:rPr>
          <w:rFonts w:ascii="Times New Roman" w:hAnsi="Times New Roman"/>
        </w:rPr>
        <w:t>Слово как единство звучания и значения. Лексическое значение слова. Выявление слов, значение которых требует уточнения. Определение значения слова. Этикетные слова, термины родства (в объёме содержания курса). Исконно чувашские слова и слова, заимствованные из других языков. Наблюдение за использованием в речи синонимов, антонимов.</w:t>
      </w:r>
    </w:p>
    <w:p w14:paraId="2D962C41">
      <w:pPr>
        <w:widowControl/>
        <w:tabs>
          <w:tab w:val="left" w:pos="1134"/>
        </w:tabs>
        <w:spacing w:after="0" w:line="360" w:lineRule="auto"/>
        <w:ind w:firstLine="709"/>
        <w:jc w:val="both"/>
        <w:rPr>
          <w:rFonts w:ascii="Times New Roman" w:hAnsi="Times New Roman"/>
        </w:rPr>
      </w:pPr>
      <w:r>
        <w:rPr>
          <w:rFonts w:ascii="Times New Roman" w:hAnsi="Times New Roman"/>
        </w:rPr>
        <w:t>4.7.5. Морфология. Части речи.</w:t>
      </w:r>
    </w:p>
    <w:p w14:paraId="3C03C8AB">
      <w:pPr>
        <w:widowControl/>
        <w:tabs>
          <w:tab w:val="left" w:pos="1134"/>
        </w:tabs>
        <w:spacing w:after="0" w:line="360" w:lineRule="auto"/>
        <w:ind w:firstLine="709"/>
        <w:jc w:val="both"/>
        <w:rPr>
          <w:rFonts w:ascii="Times New Roman" w:hAnsi="Times New Roman"/>
        </w:rPr>
      </w:pPr>
      <w:r>
        <w:rPr>
          <w:rFonts w:ascii="Times New Roman" w:hAnsi="Times New Roman"/>
        </w:rPr>
        <w:t>Имя существительное: общее значение, вопросы «кам?» («кто?»), «мĕн?» («что?»), употребление в речи. Употребление в чувашском языке вопроса, выраженного местоимением «кам?» («кто?»), только для называния человека. Значение и употребление в речи. Имена существительные, обозначающие один предмет и множество предметов.</w:t>
      </w:r>
    </w:p>
    <w:p w14:paraId="3154F386">
      <w:pPr>
        <w:widowControl/>
        <w:tabs>
          <w:tab w:val="left" w:pos="1134"/>
        </w:tabs>
        <w:spacing w:after="0" w:line="360" w:lineRule="auto"/>
        <w:ind w:firstLine="709"/>
        <w:jc w:val="both"/>
        <w:rPr>
          <w:rFonts w:ascii="Times New Roman" w:hAnsi="Times New Roman"/>
        </w:rPr>
      </w:pPr>
      <w:r>
        <w:rPr>
          <w:rFonts w:ascii="Times New Roman" w:hAnsi="Times New Roman"/>
        </w:rPr>
        <w:t>Имя прилагательное: общее значение, вопрос «мĕнле?» («какой?», «какая?», «какое?», «какие?»), употребление в речи. Синонимичные и антонимичные имена прилагательные.</w:t>
      </w:r>
    </w:p>
    <w:p w14:paraId="58ACC6F2">
      <w:pPr>
        <w:widowControl/>
        <w:tabs>
          <w:tab w:val="left" w:pos="1134"/>
        </w:tabs>
        <w:spacing w:after="0" w:line="360" w:lineRule="auto"/>
        <w:ind w:firstLine="709"/>
        <w:jc w:val="both"/>
        <w:rPr>
          <w:rFonts w:ascii="Times New Roman" w:hAnsi="Times New Roman"/>
        </w:rPr>
      </w:pPr>
      <w:r>
        <w:rPr>
          <w:rFonts w:ascii="Times New Roman" w:hAnsi="Times New Roman"/>
        </w:rPr>
        <w:t>Глагол. Общее значение, вопросы: «мĕн тăвать?» («что делает?»), «мĕн тăваççĕ?» («что делают?»), «мĕн турĕ?» («что делал?»), «мĕн турĕç?» («что делали?»). Глаголы близкие и противоположные по значению. Употребление в речи.</w:t>
      </w:r>
    </w:p>
    <w:p w14:paraId="796533AD">
      <w:pPr>
        <w:widowControl/>
        <w:tabs>
          <w:tab w:val="left" w:pos="1134"/>
        </w:tabs>
        <w:spacing w:after="0" w:line="360" w:lineRule="auto"/>
        <w:ind w:firstLine="709"/>
        <w:jc w:val="both"/>
        <w:rPr>
          <w:rFonts w:ascii="Times New Roman" w:hAnsi="Times New Roman"/>
        </w:rPr>
      </w:pPr>
      <w:r>
        <w:rPr>
          <w:rFonts w:ascii="Times New Roman" w:hAnsi="Times New Roman"/>
        </w:rPr>
        <w:t>4.7.6. Синтаксис.</w:t>
      </w:r>
    </w:p>
    <w:p w14:paraId="28643B4D">
      <w:pPr>
        <w:widowControl/>
        <w:tabs>
          <w:tab w:val="left" w:pos="1134"/>
        </w:tabs>
        <w:spacing w:after="0" w:line="360" w:lineRule="auto"/>
        <w:ind w:firstLine="709"/>
        <w:jc w:val="both"/>
        <w:rPr>
          <w:rFonts w:ascii="Times New Roman" w:hAnsi="Times New Roman"/>
        </w:rPr>
      </w:pPr>
      <w:r>
        <w:rPr>
          <w:rFonts w:ascii="Times New Roman" w:hAnsi="Times New Roman"/>
        </w:rPr>
        <w:t>Предложение как единица языка и речи. Предложение и слово. Отличие предложения от слова. Порядок слов в предложении, связь слов в предложении. Предложения, различные по цели высказывания: повествовательные, вопросительные, побудительные. Виды предложений по эмоциональной окраске (по интонации): восклицательная и невосклицательная. Главные члены предложения: подлежащее и сказуемое.</w:t>
      </w:r>
    </w:p>
    <w:p w14:paraId="3025D70E">
      <w:pPr>
        <w:widowControl/>
        <w:tabs>
          <w:tab w:val="left" w:pos="1134"/>
        </w:tabs>
        <w:spacing w:after="0" w:line="360" w:lineRule="auto"/>
        <w:ind w:firstLine="709"/>
        <w:jc w:val="both"/>
        <w:rPr>
          <w:rFonts w:ascii="Times New Roman" w:hAnsi="Times New Roman"/>
        </w:rPr>
      </w:pPr>
      <w:r>
        <w:rPr>
          <w:rFonts w:ascii="Times New Roman" w:hAnsi="Times New Roman"/>
        </w:rPr>
        <w:t>4.7.7. Орфография и пунктуация.</w:t>
      </w:r>
    </w:p>
    <w:p w14:paraId="31E5FF94">
      <w:pPr>
        <w:widowControl/>
        <w:tabs>
          <w:tab w:val="left" w:pos="1134"/>
        </w:tabs>
        <w:spacing w:after="0" w:line="360" w:lineRule="auto"/>
        <w:ind w:firstLine="709"/>
        <w:jc w:val="both"/>
        <w:rPr>
          <w:rFonts w:ascii="Times New Roman" w:hAnsi="Times New Roman"/>
        </w:rPr>
      </w:pPr>
      <w:r>
        <w:rPr>
          <w:rFonts w:ascii="Times New Roman" w:hAnsi="Times New Roman"/>
        </w:rPr>
        <w:t>Формирование орфографической зоркости. Использование разных принципов правописания в зависимости от места орфограммы в слове. Использование орфографического словаря учебника для определения (уточнения) написания слова. Контроль и самоконтроль при проверке собственных и предложенных текстов.</w:t>
      </w:r>
    </w:p>
    <w:p w14:paraId="74CDA474">
      <w:pPr>
        <w:widowControl/>
        <w:tabs>
          <w:tab w:val="left" w:pos="1134"/>
        </w:tabs>
        <w:spacing w:after="0" w:line="360" w:lineRule="auto"/>
        <w:ind w:firstLine="709"/>
        <w:jc w:val="both"/>
        <w:rPr>
          <w:rFonts w:ascii="Times New Roman" w:hAnsi="Times New Roman"/>
        </w:rPr>
      </w:pPr>
      <w:r>
        <w:rPr>
          <w:rFonts w:ascii="Times New Roman" w:hAnsi="Times New Roman"/>
        </w:rPr>
        <w:t>Применение правил правописания: перенос слов без стечения согласных, прописная буква в начале предложения, в именах собственных (имена, фамилии, отчества людей, клички животных, названия населённых пунктов, рек), правописание букв е, ю, я, ё в словах, правописание удвоенных согласных в корне слов (аппа, анне, атте), правописание мягкого знака в словах с гласными заднего ряда (мăкăнь, кукăль, вулать), разделительный мягкий знак в словах (мăрье, Марье, тухья), правописание заимствованных слов в пределах изучаемых тем, знаки препинания в конце предложения: точка, вопросительный знак, восклицательный знак.</w:t>
      </w:r>
    </w:p>
    <w:p w14:paraId="2F01574D">
      <w:pPr>
        <w:widowControl/>
        <w:tabs>
          <w:tab w:val="left" w:pos="1134"/>
        </w:tabs>
        <w:spacing w:after="0" w:line="360" w:lineRule="auto"/>
        <w:ind w:firstLine="709"/>
        <w:jc w:val="both"/>
        <w:rPr>
          <w:rFonts w:ascii="Times New Roman" w:hAnsi="Times New Roman"/>
        </w:rPr>
      </w:pPr>
      <w:r>
        <w:rPr>
          <w:rFonts w:ascii="Times New Roman" w:hAnsi="Times New Roman"/>
        </w:rPr>
        <w:t>4.7.8. Развитие речи.</w:t>
      </w:r>
    </w:p>
    <w:p w14:paraId="0886B840">
      <w:pPr>
        <w:widowControl/>
        <w:tabs>
          <w:tab w:val="left" w:pos="1134"/>
        </w:tabs>
        <w:spacing w:after="0" w:line="360" w:lineRule="auto"/>
        <w:ind w:firstLine="709"/>
        <w:jc w:val="both"/>
        <w:rPr>
          <w:rFonts w:ascii="Times New Roman" w:hAnsi="Times New Roman"/>
        </w:rPr>
      </w:pPr>
      <w:r>
        <w:rPr>
          <w:rFonts w:ascii="Times New Roman" w:hAnsi="Times New Roman"/>
        </w:rPr>
        <w:t>Выбор языковых средств в соответствии с целями и условиями устного общения для решения коммуникативной задачи (для ответа на заданный вопрос, для выражения собственного мнения). Умение вести разговор (начать, поддержать, закончить разговор, привлечь внимание и другие). Практическое овладение диалогической формой речи. Соблюдение норм речевого этикета и орфоэпических норм в ситуациях учебного и бытового общения. Умение договариваться и приходить к общему решению в совместной деятельности при проведении парной и групповой работы.</w:t>
      </w:r>
    </w:p>
    <w:p w14:paraId="7C36C8D9">
      <w:pPr>
        <w:widowControl/>
        <w:tabs>
          <w:tab w:val="left" w:pos="1134"/>
        </w:tabs>
        <w:spacing w:after="0" w:line="360" w:lineRule="auto"/>
        <w:ind w:firstLine="709"/>
        <w:jc w:val="both"/>
        <w:rPr>
          <w:rFonts w:ascii="Times New Roman" w:hAnsi="Times New Roman"/>
        </w:rPr>
      </w:pPr>
      <w:r>
        <w:rPr>
          <w:rFonts w:ascii="Times New Roman" w:hAnsi="Times New Roman"/>
        </w:rPr>
        <w:t>Составление устного рассказа по репродукции картины. Составление устного рассказа с использованием личных наблюдений и вопросов.</w:t>
      </w:r>
    </w:p>
    <w:p w14:paraId="60841592">
      <w:pPr>
        <w:widowControl/>
        <w:tabs>
          <w:tab w:val="left" w:pos="1134"/>
        </w:tabs>
        <w:spacing w:after="0" w:line="360" w:lineRule="auto"/>
        <w:ind w:firstLine="709"/>
        <w:jc w:val="both"/>
        <w:rPr>
          <w:rFonts w:ascii="Times New Roman" w:hAnsi="Times New Roman"/>
        </w:rPr>
      </w:pPr>
      <w:r>
        <w:rPr>
          <w:rFonts w:ascii="Times New Roman" w:hAnsi="Times New Roman"/>
        </w:rPr>
        <w:t>Письмо. Списывание текста. Диктант. Свободный диктант. Обучающее изложение. Знакомство с жанром письма.</w:t>
      </w:r>
    </w:p>
    <w:p w14:paraId="1BA99AF2">
      <w:pPr>
        <w:widowControl/>
        <w:tabs>
          <w:tab w:val="left" w:pos="1134"/>
        </w:tabs>
        <w:spacing w:after="0" w:line="360" w:lineRule="auto"/>
        <w:ind w:firstLine="709"/>
        <w:jc w:val="both"/>
        <w:rPr>
          <w:rFonts w:ascii="Times New Roman" w:hAnsi="Times New Roman"/>
        </w:rPr>
      </w:pPr>
      <w:r>
        <w:rPr>
          <w:rFonts w:ascii="Times New Roman" w:hAnsi="Times New Roman"/>
        </w:rPr>
        <w:t>Текст. Признаки текста: смысловое единство предложений в тексте, последовательность предложений в тексте, выражение в тексте законченной мысли. Тема текста. Основная мысль. Заглавие текста. Подбор заголовков к предложенным текстам. Последовательность частей текста (абзацев). Корректирование текстов с нарушенным порядком предложений и абзацев. Типы текстов: описание, повествование и их особенности (первичное ознакомление). Понимание текста: развитие умения формулировать простые выводы на основе информации, содержащейся в тексте. Выразительное чтение текста вслух с соблюдением правильной интонации.</w:t>
      </w:r>
    </w:p>
    <w:p w14:paraId="5FD11D6E">
      <w:pPr>
        <w:widowControl/>
        <w:tabs>
          <w:tab w:val="left" w:pos="1134"/>
        </w:tabs>
        <w:spacing w:after="0" w:line="360" w:lineRule="auto"/>
        <w:ind w:firstLine="709"/>
        <w:jc w:val="both"/>
        <w:rPr>
          <w:rFonts w:ascii="Times New Roman" w:hAnsi="Times New Roman"/>
        </w:rPr>
      </w:pPr>
      <w:r>
        <w:rPr>
          <w:rFonts w:ascii="Times New Roman" w:hAnsi="Times New Roman"/>
        </w:rPr>
        <w:t>Подробное изложение повествовательного текста объёмом 30–45 слов с использованием вопросов.</w:t>
      </w:r>
    </w:p>
    <w:p w14:paraId="65903DDC">
      <w:pPr>
        <w:widowControl/>
        <w:tabs>
          <w:tab w:val="left" w:pos="1134"/>
        </w:tabs>
        <w:spacing w:after="0" w:line="360" w:lineRule="auto"/>
        <w:ind w:firstLine="709"/>
        <w:jc w:val="both"/>
        <w:rPr>
          <w:rFonts w:ascii="Times New Roman" w:hAnsi="Times New Roman"/>
        </w:rPr>
      </w:pPr>
      <w:r>
        <w:rPr>
          <w:rFonts w:ascii="Times New Roman" w:hAnsi="Times New Roman"/>
        </w:rPr>
        <w:t>4.8. Содержание обучения в 3 классе.</w:t>
      </w:r>
    </w:p>
    <w:p w14:paraId="60E22943">
      <w:pPr>
        <w:widowControl/>
        <w:tabs>
          <w:tab w:val="left" w:pos="1134"/>
        </w:tabs>
        <w:spacing w:after="0" w:line="360" w:lineRule="auto"/>
        <w:ind w:firstLine="709"/>
        <w:jc w:val="both"/>
        <w:rPr>
          <w:rFonts w:ascii="Times New Roman" w:hAnsi="Times New Roman"/>
        </w:rPr>
      </w:pPr>
      <w:r>
        <w:rPr>
          <w:rFonts w:ascii="Times New Roman" w:hAnsi="Times New Roman"/>
        </w:rPr>
        <w:t>4.8.1. Сведения о чувашском языке.</w:t>
      </w:r>
    </w:p>
    <w:p w14:paraId="55EA5D6E">
      <w:pPr>
        <w:widowControl/>
        <w:tabs>
          <w:tab w:val="left" w:pos="1134"/>
        </w:tabs>
        <w:spacing w:after="0" w:line="360" w:lineRule="auto"/>
        <w:ind w:firstLine="709"/>
        <w:jc w:val="both"/>
        <w:rPr>
          <w:rFonts w:ascii="Times New Roman" w:hAnsi="Times New Roman"/>
        </w:rPr>
      </w:pPr>
      <w:r>
        <w:rPr>
          <w:rFonts w:ascii="Times New Roman" w:hAnsi="Times New Roman"/>
        </w:rPr>
        <w:t>Чувашский язык как государственный язык Чувашской Республики. Методы познания языка: наблюдение, анализ.</w:t>
      </w:r>
    </w:p>
    <w:p w14:paraId="32DB214E">
      <w:pPr>
        <w:widowControl/>
        <w:tabs>
          <w:tab w:val="left" w:pos="1134"/>
        </w:tabs>
        <w:spacing w:after="0" w:line="360" w:lineRule="auto"/>
        <w:ind w:firstLine="709"/>
        <w:jc w:val="both"/>
        <w:rPr>
          <w:rFonts w:ascii="Times New Roman" w:hAnsi="Times New Roman"/>
        </w:rPr>
      </w:pPr>
      <w:r>
        <w:rPr>
          <w:rFonts w:ascii="Times New Roman" w:hAnsi="Times New Roman"/>
        </w:rPr>
        <w:t>4.8.2. Фонетика и графика.</w:t>
      </w:r>
    </w:p>
    <w:p w14:paraId="3E58F431">
      <w:pPr>
        <w:widowControl/>
        <w:tabs>
          <w:tab w:val="left" w:pos="1134"/>
        </w:tabs>
        <w:spacing w:after="0" w:line="360" w:lineRule="auto"/>
        <w:ind w:firstLine="709"/>
        <w:jc w:val="both"/>
        <w:rPr>
          <w:rFonts w:ascii="Times New Roman" w:hAnsi="Times New Roman"/>
        </w:rPr>
      </w:pPr>
      <w:r>
        <w:rPr>
          <w:rFonts w:ascii="Times New Roman" w:hAnsi="Times New Roman"/>
        </w:rPr>
        <w:t>Звуки чувашского языка: гласный и согласный, гласный ударный и безударный, гласный твёрдый и мягкий, согласный твёрдый и мягкий. Функции разделительных мягкого и твёрдого знаков, условия использования при письме разделительных мягкого и твёрдого знаков (повторение изученного). Соотношение звукового и буквенного состава в словах с разделительными ь и ъ, с буквами е, ю, я, ё. Использование алфавита при работе со словарями, справочниками, каталогами.</w:t>
      </w:r>
    </w:p>
    <w:p w14:paraId="157BD930">
      <w:pPr>
        <w:widowControl/>
        <w:tabs>
          <w:tab w:val="left" w:pos="1134"/>
        </w:tabs>
        <w:spacing w:after="0" w:line="360" w:lineRule="auto"/>
        <w:ind w:firstLine="709"/>
        <w:jc w:val="both"/>
        <w:rPr>
          <w:rFonts w:ascii="Times New Roman" w:hAnsi="Times New Roman"/>
        </w:rPr>
      </w:pPr>
      <w:r>
        <w:rPr>
          <w:rFonts w:ascii="Times New Roman" w:hAnsi="Times New Roman"/>
        </w:rPr>
        <w:t>4.8.3. Орфоэпия.</w:t>
      </w:r>
    </w:p>
    <w:p w14:paraId="3F768DB3">
      <w:pPr>
        <w:widowControl/>
        <w:tabs>
          <w:tab w:val="left" w:pos="1134"/>
        </w:tabs>
        <w:spacing w:after="0" w:line="360" w:lineRule="auto"/>
        <w:ind w:firstLine="709"/>
        <w:jc w:val="both"/>
        <w:rPr>
          <w:rFonts w:ascii="Times New Roman" w:hAnsi="Times New Roman"/>
        </w:rPr>
      </w:pPr>
      <w:r>
        <w:rPr>
          <w:rFonts w:ascii="Times New Roman" w:hAnsi="Times New Roman"/>
        </w:rPr>
        <w:t>Нормы произношения звуков и сочетаний звуков (слов), ударение в словах в соответствии с нормами современного чувашского литературного языка.</w:t>
      </w:r>
    </w:p>
    <w:p w14:paraId="6EB82090">
      <w:pPr>
        <w:widowControl/>
        <w:tabs>
          <w:tab w:val="left" w:pos="1134"/>
        </w:tabs>
        <w:spacing w:after="0" w:line="360" w:lineRule="auto"/>
        <w:ind w:firstLine="709"/>
        <w:jc w:val="both"/>
        <w:rPr>
          <w:rFonts w:ascii="Times New Roman" w:hAnsi="Times New Roman"/>
        </w:rPr>
      </w:pPr>
      <w:r>
        <w:rPr>
          <w:rFonts w:ascii="Times New Roman" w:hAnsi="Times New Roman"/>
        </w:rPr>
        <w:t>4.8.4. Лексика.</w:t>
      </w:r>
    </w:p>
    <w:p w14:paraId="43C09CD7">
      <w:pPr>
        <w:widowControl/>
        <w:tabs>
          <w:tab w:val="left" w:pos="1134"/>
        </w:tabs>
        <w:spacing w:after="0" w:line="360" w:lineRule="auto"/>
        <w:ind w:firstLine="709"/>
        <w:jc w:val="both"/>
        <w:rPr>
          <w:rFonts w:ascii="Times New Roman" w:hAnsi="Times New Roman"/>
        </w:rPr>
      </w:pPr>
      <w:r>
        <w:rPr>
          <w:rFonts w:ascii="Times New Roman" w:hAnsi="Times New Roman"/>
        </w:rPr>
        <w:t>Слова, значение которых требует уточнения. Использование в речи синонимов, антонимов и омонимов. Этикетные слова, термины родства (в объёме содержания курса). Исконно чувашские слова и слова, заимствованные из других языков (в объёме содержания курса).</w:t>
      </w:r>
    </w:p>
    <w:p w14:paraId="3399F410">
      <w:pPr>
        <w:widowControl/>
        <w:tabs>
          <w:tab w:val="left" w:pos="1134"/>
        </w:tabs>
        <w:spacing w:after="0" w:line="360" w:lineRule="auto"/>
        <w:ind w:firstLine="709"/>
        <w:jc w:val="both"/>
        <w:rPr>
          <w:rFonts w:ascii="Times New Roman" w:hAnsi="Times New Roman"/>
        </w:rPr>
      </w:pPr>
      <w:r>
        <w:rPr>
          <w:rFonts w:ascii="Times New Roman" w:hAnsi="Times New Roman"/>
        </w:rPr>
        <w:t>4.8.5. Состав слова (морфемика).</w:t>
      </w:r>
    </w:p>
    <w:p w14:paraId="11BD79D8">
      <w:pPr>
        <w:widowControl/>
        <w:tabs>
          <w:tab w:val="left" w:pos="1134"/>
        </w:tabs>
        <w:spacing w:after="0" w:line="360" w:lineRule="auto"/>
        <w:ind w:firstLine="709"/>
        <w:jc w:val="both"/>
        <w:rPr>
          <w:rFonts w:ascii="Times New Roman" w:hAnsi="Times New Roman"/>
        </w:rPr>
      </w:pPr>
      <w:r>
        <w:rPr>
          <w:rFonts w:ascii="Times New Roman" w:hAnsi="Times New Roman"/>
        </w:rPr>
        <w:t>Состав слова. Понятие «корень слова» («сăмах тымарĕ») и «аффиксы» («аффикссем»), «словообразовательные аффиксы» и «словоизменяющие аффиксы» («сăмах тăвакан аффикссем тата сăмаха улăштаракан аффикссем»). Однокоренные слова, образованные с помощью словообразовательных аффиксов.</w:t>
      </w:r>
    </w:p>
    <w:p w14:paraId="65C2C028">
      <w:pPr>
        <w:widowControl/>
        <w:tabs>
          <w:tab w:val="left" w:pos="1134"/>
        </w:tabs>
        <w:spacing w:after="0" w:line="360" w:lineRule="auto"/>
        <w:ind w:firstLine="709"/>
        <w:jc w:val="both"/>
        <w:rPr>
          <w:rFonts w:ascii="Times New Roman" w:hAnsi="Times New Roman"/>
        </w:rPr>
      </w:pPr>
      <w:r>
        <w:rPr>
          <w:rFonts w:ascii="Times New Roman" w:hAnsi="Times New Roman"/>
        </w:rPr>
        <w:t>4.8.6. Морфология. Части речи.</w:t>
      </w:r>
    </w:p>
    <w:p w14:paraId="4EC01C80">
      <w:pPr>
        <w:widowControl/>
        <w:tabs>
          <w:tab w:val="left" w:pos="1134"/>
        </w:tabs>
        <w:spacing w:after="0" w:line="360" w:lineRule="auto"/>
        <w:ind w:firstLine="709"/>
        <w:jc w:val="both"/>
        <w:rPr>
          <w:rFonts w:ascii="Times New Roman" w:hAnsi="Times New Roman"/>
        </w:rPr>
      </w:pPr>
      <w:r>
        <w:rPr>
          <w:rFonts w:ascii="Times New Roman" w:hAnsi="Times New Roman"/>
        </w:rPr>
        <w:t>Имя существительное. Значение, вопросы и употребление в речи. Умение распознавать имена собственные. Изменение существительных по числам. Единственное и множественное число имён существительных. Правописание форм множественного числа имён существительных.</w:t>
      </w:r>
    </w:p>
    <w:p w14:paraId="55E0D50A">
      <w:pPr>
        <w:widowControl/>
        <w:tabs>
          <w:tab w:val="left" w:pos="1134"/>
        </w:tabs>
        <w:spacing w:after="0" w:line="360" w:lineRule="auto"/>
        <w:ind w:firstLine="709"/>
        <w:jc w:val="both"/>
        <w:rPr>
          <w:rFonts w:ascii="Times New Roman" w:hAnsi="Times New Roman"/>
        </w:rPr>
      </w:pPr>
      <w:r>
        <w:rPr>
          <w:rFonts w:ascii="Times New Roman" w:hAnsi="Times New Roman"/>
        </w:rPr>
        <w:t>Имя прилагательное. Значение, вопросы и употребление в речи. Сочетание имен прилагательных с именами существительными и глаголами. Особенности употребления имен прилагательных в чувашском языке с именами существительными. Синонимичные и антонимичные имена прилагательные.</w:t>
      </w:r>
    </w:p>
    <w:p w14:paraId="01B21DD0">
      <w:pPr>
        <w:widowControl/>
        <w:tabs>
          <w:tab w:val="left" w:pos="1134"/>
        </w:tabs>
        <w:spacing w:after="0" w:line="360" w:lineRule="auto"/>
        <w:ind w:firstLine="709"/>
        <w:jc w:val="both"/>
        <w:rPr>
          <w:rFonts w:ascii="Times New Roman" w:hAnsi="Times New Roman"/>
        </w:rPr>
      </w:pPr>
      <w:r>
        <w:rPr>
          <w:rFonts w:ascii="Times New Roman" w:hAnsi="Times New Roman"/>
        </w:rPr>
        <w:t>Глагол. Значение, вопросы и употребление в речи. Синонимичные и антонимичные глаголы. Изменение глаголов по временам: настоящее время, прошедшее время, будущее время. Изменение глаголов по лицам, числам. Вопросы к глаголам настоящего и прошедшего времени в единственном и во множественном числе.</w:t>
      </w:r>
    </w:p>
    <w:p w14:paraId="395C6E71">
      <w:pPr>
        <w:widowControl/>
        <w:tabs>
          <w:tab w:val="left" w:pos="1134"/>
        </w:tabs>
        <w:spacing w:after="0" w:line="360" w:lineRule="auto"/>
        <w:ind w:firstLine="709"/>
        <w:jc w:val="both"/>
        <w:rPr>
          <w:rFonts w:ascii="Times New Roman" w:hAnsi="Times New Roman"/>
        </w:rPr>
      </w:pPr>
      <w:r>
        <w:rPr>
          <w:rFonts w:ascii="Times New Roman" w:hAnsi="Times New Roman"/>
        </w:rPr>
        <w:t>Местоимение. Общее значение. Употребление в речи.</w:t>
      </w:r>
    </w:p>
    <w:p w14:paraId="06EFEBD2">
      <w:pPr>
        <w:widowControl/>
        <w:tabs>
          <w:tab w:val="left" w:pos="1134"/>
        </w:tabs>
        <w:spacing w:after="0" w:line="360" w:lineRule="auto"/>
        <w:ind w:firstLine="709"/>
        <w:jc w:val="both"/>
        <w:rPr>
          <w:rFonts w:ascii="Times New Roman" w:hAnsi="Times New Roman"/>
        </w:rPr>
      </w:pPr>
      <w:r>
        <w:rPr>
          <w:rFonts w:ascii="Times New Roman" w:hAnsi="Times New Roman"/>
        </w:rPr>
        <w:t>Имя числительное. Общее значение. Употребление в речи.</w:t>
      </w:r>
    </w:p>
    <w:p w14:paraId="2B00C087">
      <w:pPr>
        <w:widowControl/>
        <w:tabs>
          <w:tab w:val="left" w:pos="1134"/>
        </w:tabs>
        <w:spacing w:after="0" w:line="360" w:lineRule="auto"/>
        <w:ind w:firstLine="709"/>
        <w:jc w:val="both"/>
        <w:rPr>
          <w:rFonts w:ascii="Times New Roman" w:hAnsi="Times New Roman"/>
        </w:rPr>
      </w:pPr>
      <w:r>
        <w:rPr>
          <w:rFonts w:ascii="Times New Roman" w:hAnsi="Times New Roman"/>
        </w:rPr>
        <w:t>4.8.7. Синтаксис.</w:t>
      </w:r>
    </w:p>
    <w:p w14:paraId="79E543A5">
      <w:pPr>
        <w:widowControl/>
        <w:tabs>
          <w:tab w:val="left" w:pos="1134"/>
        </w:tabs>
        <w:spacing w:after="0" w:line="360" w:lineRule="auto"/>
        <w:ind w:firstLine="709"/>
        <w:jc w:val="both"/>
        <w:rPr>
          <w:rFonts w:ascii="Times New Roman" w:hAnsi="Times New Roman"/>
        </w:rPr>
      </w:pPr>
      <w:r>
        <w:rPr>
          <w:rFonts w:ascii="Times New Roman" w:hAnsi="Times New Roman"/>
        </w:rPr>
        <w:t>Установление связи между словами в словосочетании и предложении при помощи смысловых вопросов. Главные члены предложения – подлежащее и сказуемое. Второстепенные члены предложения (без деления на виды). Распространённые и нераспространённые предложения.</w:t>
      </w:r>
    </w:p>
    <w:p w14:paraId="6019E129">
      <w:pPr>
        <w:widowControl/>
        <w:tabs>
          <w:tab w:val="left" w:pos="1134"/>
        </w:tabs>
        <w:spacing w:after="0" w:line="360" w:lineRule="auto"/>
        <w:ind w:firstLine="709"/>
        <w:jc w:val="both"/>
        <w:rPr>
          <w:rFonts w:ascii="Times New Roman" w:hAnsi="Times New Roman"/>
        </w:rPr>
      </w:pPr>
      <w:r>
        <w:rPr>
          <w:rFonts w:ascii="Times New Roman" w:hAnsi="Times New Roman"/>
        </w:rPr>
        <w:t>4.8.8. Орфография и пунктуация.</w:t>
      </w:r>
    </w:p>
    <w:p w14:paraId="58234975">
      <w:pPr>
        <w:widowControl/>
        <w:tabs>
          <w:tab w:val="left" w:pos="1134"/>
        </w:tabs>
        <w:spacing w:after="0" w:line="360" w:lineRule="auto"/>
        <w:ind w:firstLine="709"/>
        <w:jc w:val="both"/>
        <w:rPr>
          <w:rFonts w:ascii="Times New Roman" w:hAnsi="Times New Roman"/>
        </w:rPr>
      </w:pPr>
      <w:r>
        <w:rPr>
          <w:rFonts w:ascii="Times New Roman" w:hAnsi="Times New Roman"/>
        </w:rPr>
        <w:t>Контроль и самоконтроль при проверке собственных и предложенных текстов. Использование орфографического словаря для определения (уточнения) написания слова.</w:t>
      </w:r>
    </w:p>
    <w:p w14:paraId="7EF1E4B3">
      <w:pPr>
        <w:widowControl/>
        <w:tabs>
          <w:tab w:val="left" w:pos="1134"/>
        </w:tabs>
        <w:spacing w:after="0" w:line="360" w:lineRule="auto"/>
        <w:ind w:firstLine="709"/>
        <w:jc w:val="both"/>
        <w:rPr>
          <w:rFonts w:ascii="Times New Roman" w:hAnsi="Times New Roman"/>
        </w:rPr>
      </w:pPr>
      <w:r>
        <w:rPr>
          <w:rFonts w:ascii="Times New Roman" w:hAnsi="Times New Roman"/>
        </w:rPr>
        <w:t>Применение правил правописания: прописная буква в именах собственных, правописание букв э, е, ю, я, ё в словах, учёт озвончения шумного согласного в позициях между двумя гласными, между сонорным и гласным (атă, упа, карта, калта), правописание сочетания лч и нч в словах (вăлча, калча, мунча, анчах), правописание ы или и после ç, ч (çын, çимĕç, чылай, чикĕ), удвоенные согласные на стыке между корнем и аффиксом (лаша – лашалла, лапта – лапталла, пукане – пуканелле), правописание слов со словообразовательными аффиксами -лăх (-лĕх), -лă (-лĕ) (пултаруллă, пултарулăх, кĕпеллĕ, кĕпелĕх), правописание форм множественного числа имён существительных, заканчивающихся на ш, с, ç, правописание глаголов в разных временах, лицах.</w:t>
      </w:r>
    </w:p>
    <w:p w14:paraId="496509AC">
      <w:pPr>
        <w:widowControl/>
        <w:tabs>
          <w:tab w:val="left" w:pos="1134"/>
        </w:tabs>
        <w:spacing w:after="0" w:line="360" w:lineRule="auto"/>
        <w:ind w:firstLine="709"/>
        <w:jc w:val="both"/>
        <w:rPr>
          <w:rFonts w:ascii="Times New Roman" w:hAnsi="Times New Roman"/>
        </w:rPr>
      </w:pPr>
      <w:r>
        <w:rPr>
          <w:rFonts w:ascii="Times New Roman" w:hAnsi="Times New Roman"/>
        </w:rPr>
        <w:t>4.8.9. Развитие речи.</w:t>
      </w:r>
    </w:p>
    <w:p w14:paraId="46D86C28">
      <w:pPr>
        <w:widowControl/>
        <w:tabs>
          <w:tab w:val="left" w:pos="1134"/>
        </w:tabs>
        <w:spacing w:after="0" w:line="360" w:lineRule="auto"/>
        <w:ind w:firstLine="709"/>
        <w:jc w:val="both"/>
        <w:rPr>
          <w:rFonts w:ascii="Times New Roman" w:hAnsi="Times New Roman"/>
        </w:rPr>
      </w:pPr>
      <w:r>
        <w:rPr>
          <w:rFonts w:ascii="Times New Roman" w:hAnsi="Times New Roman"/>
        </w:rPr>
        <w:t>Нормы речевого этикета: устное и письменное приглашение, просьба, извинение, благодарность, отказ и другие. Соблюдение норм речевого этикета и орфоэпических норм в ситуациях учебного и бытового общения. Речевые средства, помогающие: формулировать и аргументировать собственное мнение в диалоге и дискуссии, договариваться и приходить к общему решению в совместной деятельности, контролировать (устно координировать) действия при проведении парной и групповой работы.</w:t>
      </w:r>
    </w:p>
    <w:p w14:paraId="6F3B02DF">
      <w:pPr>
        <w:widowControl/>
        <w:tabs>
          <w:tab w:val="left" w:pos="1134"/>
        </w:tabs>
        <w:spacing w:after="0" w:line="360" w:lineRule="auto"/>
        <w:ind w:firstLine="709"/>
        <w:jc w:val="both"/>
        <w:rPr>
          <w:rFonts w:ascii="Times New Roman" w:hAnsi="Times New Roman"/>
        </w:rPr>
      </w:pPr>
      <w:r>
        <w:rPr>
          <w:rFonts w:ascii="Times New Roman" w:hAnsi="Times New Roman"/>
        </w:rPr>
        <w:t>Текст. Признаки текста, тема текста, основная мысль текста, заголовок (повторение). План текста. Составление плана текста, написание текста по заданному плану. Связь предложений в тексте с помощью личных местоимений, синонимов, союзов и (та (те) тата), но (анчах). Ключевые слова в тексте. Определение типов текстов (повествование, описание, рассуждение) и создание собственных текстов заданного типа. Изложение текста по коллективно или самостоятельно составленному плану.</w:t>
      </w:r>
    </w:p>
    <w:p w14:paraId="4FB57145">
      <w:pPr>
        <w:widowControl/>
        <w:tabs>
          <w:tab w:val="left" w:pos="1134"/>
        </w:tabs>
        <w:spacing w:after="0" w:line="360" w:lineRule="auto"/>
        <w:ind w:firstLine="709"/>
        <w:jc w:val="both"/>
        <w:rPr>
          <w:rFonts w:ascii="Times New Roman" w:hAnsi="Times New Roman"/>
        </w:rPr>
      </w:pPr>
      <w:r>
        <w:rPr>
          <w:rFonts w:ascii="Times New Roman" w:hAnsi="Times New Roman"/>
        </w:rPr>
        <w:t>Жанр письма, объявления.</w:t>
      </w:r>
    </w:p>
    <w:p w14:paraId="12F06271">
      <w:pPr>
        <w:widowControl/>
        <w:tabs>
          <w:tab w:val="left" w:pos="1134"/>
        </w:tabs>
        <w:spacing w:after="0" w:line="360" w:lineRule="auto"/>
        <w:ind w:firstLine="709"/>
        <w:jc w:val="both"/>
        <w:rPr>
          <w:rFonts w:ascii="Times New Roman" w:hAnsi="Times New Roman"/>
        </w:rPr>
      </w:pPr>
      <w:r>
        <w:rPr>
          <w:rFonts w:ascii="Times New Roman" w:hAnsi="Times New Roman"/>
        </w:rPr>
        <w:t>Изучающее чтение. Функции ознакомительного чтения, ситуации применения.</w:t>
      </w:r>
    </w:p>
    <w:p w14:paraId="201429DF">
      <w:pPr>
        <w:widowControl/>
        <w:tabs>
          <w:tab w:val="left" w:pos="1134"/>
        </w:tabs>
        <w:spacing w:after="0" w:line="360" w:lineRule="auto"/>
        <w:ind w:firstLine="709"/>
        <w:jc w:val="both"/>
        <w:rPr>
          <w:rFonts w:ascii="Times New Roman" w:hAnsi="Times New Roman"/>
        </w:rPr>
      </w:pPr>
      <w:r>
        <w:rPr>
          <w:rFonts w:ascii="Times New Roman" w:hAnsi="Times New Roman"/>
        </w:rPr>
        <w:t>4.9. Содержание обучения в 4 классе.</w:t>
      </w:r>
    </w:p>
    <w:p w14:paraId="61419BEE">
      <w:pPr>
        <w:widowControl/>
        <w:tabs>
          <w:tab w:val="left" w:pos="1134"/>
        </w:tabs>
        <w:spacing w:after="0" w:line="360" w:lineRule="auto"/>
        <w:ind w:firstLine="709"/>
        <w:jc w:val="both"/>
        <w:rPr>
          <w:rFonts w:ascii="Times New Roman" w:hAnsi="Times New Roman"/>
        </w:rPr>
      </w:pPr>
      <w:r>
        <w:rPr>
          <w:rFonts w:ascii="Times New Roman" w:hAnsi="Times New Roman"/>
        </w:rPr>
        <w:t>4.9.1. Сведения о чувашском языке.</w:t>
      </w:r>
    </w:p>
    <w:p w14:paraId="3356E248">
      <w:pPr>
        <w:widowControl/>
        <w:tabs>
          <w:tab w:val="left" w:pos="1134"/>
        </w:tabs>
        <w:spacing w:after="0" w:line="360" w:lineRule="auto"/>
        <w:ind w:firstLine="709"/>
        <w:jc w:val="both"/>
        <w:rPr>
          <w:rFonts w:ascii="Times New Roman" w:hAnsi="Times New Roman"/>
        </w:rPr>
      </w:pPr>
      <w:r>
        <w:rPr>
          <w:rFonts w:ascii="Times New Roman" w:hAnsi="Times New Roman"/>
        </w:rPr>
        <w:t>Чувашский язык как национальный язык чувашского народа. Различные методы познания языка: наблюдение, анализ, мини исследование, проект.</w:t>
      </w:r>
    </w:p>
    <w:p w14:paraId="52AB80BC">
      <w:pPr>
        <w:widowControl/>
        <w:tabs>
          <w:tab w:val="left" w:pos="1134"/>
        </w:tabs>
        <w:spacing w:after="0" w:line="360" w:lineRule="auto"/>
        <w:ind w:firstLine="709"/>
        <w:jc w:val="both"/>
        <w:rPr>
          <w:rFonts w:ascii="Times New Roman" w:hAnsi="Times New Roman"/>
        </w:rPr>
      </w:pPr>
      <w:r>
        <w:rPr>
          <w:rFonts w:ascii="Times New Roman" w:hAnsi="Times New Roman"/>
        </w:rPr>
        <w:t>4.9.2. Фонетика и графика.</w:t>
      </w:r>
    </w:p>
    <w:p w14:paraId="3356ED3E">
      <w:pPr>
        <w:widowControl/>
        <w:tabs>
          <w:tab w:val="left" w:pos="1134"/>
        </w:tabs>
        <w:spacing w:after="0" w:line="360" w:lineRule="auto"/>
        <w:ind w:firstLine="709"/>
        <w:jc w:val="both"/>
        <w:rPr>
          <w:rFonts w:ascii="Times New Roman" w:hAnsi="Times New Roman"/>
        </w:rPr>
      </w:pPr>
      <w:r>
        <w:rPr>
          <w:rFonts w:ascii="Times New Roman" w:hAnsi="Times New Roman"/>
        </w:rPr>
        <w:t>Характеристика, сравнение, классификация звуков вне слова и в слове по заданным параметрам. Звуко-буквенный разбор слова (по отработанному алгоритму). Использование алфавита при работе со справочниками, каталогами.</w:t>
      </w:r>
    </w:p>
    <w:p w14:paraId="7ED12CB6">
      <w:pPr>
        <w:widowControl/>
        <w:tabs>
          <w:tab w:val="left" w:pos="1134"/>
        </w:tabs>
        <w:spacing w:after="0" w:line="360" w:lineRule="auto"/>
        <w:ind w:firstLine="709"/>
        <w:jc w:val="both"/>
        <w:rPr>
          <w:rFonts w:ascii="Times New Roman" w:hAnsi="Times New Roman"/>
        </w:rPr>
      </w:pPr>
      <w:r>
        <w:rPr>
          <w:rFonts w:ascii="Times New Roman" w:hAnsi="Times New Roman"/>
        </w:rPr>
        <w:t>4.9.3. Орфоэпия.</w:t>
      </w:r>
    </w:p>
    <w:p w14:paraId="6263AD83">
      <w:pPr>
        <w:widowControl/>
        <w:tabs>
          <w:tab w:val="left" w:pos="1134"/>
        </w:tabs>
        <w:spacing w:after="0" w:line="360" w:lineRule="auto"/>
        <w:ind w:firstLine="709"/>
        <w:jc w:val="both"/>
        <w:rPr>
          <w:rFonts w:ascii="Times New Roman" w:hAnsi="Times New Roman"/>
        </w:rPr>
      </w:pPr>
      <w:r>
        <w:rPr>
          <w:rFonts w:ascii="Times New Roman" w:hAnsi="Times New Roman"/>
        </w:rPr>
        <w:t>Правильная интонация в процессе говорения и чтения. Нормы произношения звуков и сочетаний звуков, ударение в словах в соответствии с нормами современного чувашского литературного языка (на ограниченном перечне слов, отрабатываемом в учебнике).</w:t>
      </w:r>
    </w:p>
    <w:p w14:paraId="70632239">
      <w:pPr>
        <w:widowControl/>
        <w:tabs>
          <w:tab w:val="left" w:pos="1134"/>
        </w:tabs>
        <w:spacing w:after="0" w:line="360" w:lineRule="auto"/>
        <w:ind w:firstLine="709"/>
        <w:jc w:val="both"/>
        <w:rPr>
          <w:rFonts w:ascii="Times New Roman" w:hAnsi="Times New Roman"/>
        </w:rPr>
      </w:pPr>
      <w:r>
        <w:rPr>
          <w:rFonts w:ascii="Times New Roman" w:hAnsi="Times New Roman"/>
        </w:rPr>
        <w:t>Использование орфоэпического словаря.</w:t>
      </w:r>
    </w:p>
    <w:p w14:paraId="20FDC325">
      <w:pPr>
        <w:widowControl/>
        <w:tabs>
          <w:tab w:val="left" w:pos="1134"/>
        </w:tabs>
        <w:spacing w:after="0" w:line="360" w:lineRule="auto"/>
        <w:ind w:firstLine="709"/>
        <w:jc w:val="both"/>
        <w:rPr>
          <w:rFonts w:ascii="Times New Roman" w:hAnsi="Times New Roman"/>
        </w:rPr>
      </w:pPr>
      <w:r>
        <w:rPr>
          <w:rFonts w:ascii="Times New Roman" w:hAnsi="Times New Roman"/>
        </w:rPr>
        <w:t>4.9.4. Лексика.</w:t>
      </w:r>
    </w:p>
    <w:p w14:paraId="4B6FA8E4">
      <w:pPr>
        <w:widowControl/>
        <w:tabs>
          <w:tab w:val="left" w:pos="1134"/>
        </w:tabs>
        <w:spacing w:after="0" w:line="360" w:lineRule="auto"/>
        <w:ind w:firstLine="709"/>
        <w:jc w:val="both"/>
        <w:rPr>
          <w:rFonts w:ascii="Times New Roman" w:hAnsi="Times New Roman"/>
        </w:rPr>
      </w:pPr>
      <w:r>
        <w:rPr>
          <w:rFonts w:ascii="Times New Roman" w:hAnsi="Times New Roman"/>
        </w:rPr>
        <w:t>Повторение и продолжение работы: наблюдение за использованием в речи синонимов, антонимов, фразеологизмов (простые случаи). Представление об однозначных и многозначных словах, о прямом и переносном значении слова.</w:t>
      </w:r>
    </w:p>
    <w:p w14:paraId="0066C29A">
      <w:pPr>
        <w:widowControl/>
        <w:tabs>
          <w:tab w:val="left" w:pos="1134"/>
        </w:tabs>
        <w:spacing w:after="0" w:line="360" w:lineRule="auto"/>
        <w:ind w:firstLine="709"/>
        <w:jc w:val="both"/>
        <w:rPr>
          <w:rFonts w:ascii="Times New Roman" w:hAnsi="Times New Roman"/>
        </w:rPr>
      </w:pPr>
      <w:r>
        <w:rPr>
          <w:rFonts w:ascii="Times New Roman" w:hAnsi="Times New Roman"/>
        </w:rPr>
        <w:t>4.9.5. Состав слова (морфемика).</w:t>
      </w:r>
    </w:p>
    <w:p w14:paraId="0381E1A9">
      <w:pPr>
        <w:widowControl/>
        <w:tabs>
          <w:tab w:val="left" w:pos="1134"/>
        </w:tabs>
        <w:spacing w:after="0" w:line="360" w:lineRule="auto"/>
        <w:ind w:firstLine="709"/>
        <w:jc w:val="both"/>
        <w:rPr>
          <w:rFonts w:ascii="Times New Roman" w:hAnsi="Times New Roman"/>
        </w:rPr>
      </w:pPr>
      <w:r>
        <w:rPr>
          <w:rFonts w:ascii="Times New Roman" w:hAnsi="Times New Roman"/>
        </w:rPr>
        <w:t>Корень слова. Основа слова. Слова, состоящие только из корня. Однокоренные слова. Образование однокоренных слов с помощью словообразовательных аффиксов. Признаки однокоренных (родственных) слов, различение однокоренных слов и синонимов (однокоренных слов и слов с омонимичными корнями), выделение в словах корня (простые случаи). Парные слова. Повторяющиеся слова.</w:t>
      </w:r>
    </w:p>
    <w:p w14:paraId="3C23D39E">
      <w:pPr>
        <w:widowControl/>
        <w:tabs>
          <w:tab w:val="left" w:pos="1134"/>
        </w:tabs>
        <w:spacing w:after="0" w:line="360" w:lineRule="auto"/>
        <w:ind w:firstLine="709"/>
        <w:jc w:val="both"/>
        <w:rPr>
          <w:rFonts w:ascii="Times New Roman" w:hAnsi="Times New Roman"/>
        </w:rPr>
      </w:pPr>
      <w:r>
        <w:rPr>
          <w:rFonts w:ascii="Times New Roman" w:hAnsi="Times New Roman"/>
        </w:rPr>
        <w:t>4.9.6. Морфология. Части речи.</w:t>
      </w:r>
    </w:p>
    <w:p w14:paraId="6655BA9E">
      <w:pPr>
        <w:widowControl/>
        <w:tabs>
          <w:tab w:val="left" w:pos="1134"/>
        </w:tabs>
        <w:spacing w:after="0" w:line="360" w:lineRule="auto"/>
        <w:ind w:firstLine="709"/>
        <w:jc w:val="both"/>
        <w:rPr>
          <w:rFonts w:ascii="Times New Roman" w:hAnsi="Times New Roman"/>
        </w:rPr>
      </w:pPr>
      <w:r>
        <w:rPr>
          <w:rFonts w:ascii="Times New Roman" w:hAnsi="Times New Roman"/>
        </w:rPr>
        <w:t>Имя существительное. Изменение имён существительных по падежам. Склонение имён существительных в единственном и во множественном числе. Изменение по падежам существительных, заимствованных из русского языка. Использование в предложениях существительных с послелогами и именными словами.</w:t>
      </w:r>
    </w:p>
    <w:p w14:paraId="59D002DF">
      <w:pPr>
        <w:widowControl/>
        <w:tabs>
          <w:tab w:val="left" w:pos="1134"/>
        </w:tabs>
        <w:spacing w:after="0" w:line="360" w:lineRule="auto"/>
        <w:ind w:firstLine="709"/>
        <w:jc w:val="both"/>
        <w:rPr>
          <w:rFonts w:ascii="Times New Roman" w:hAnsi="Times New Roman"/>
        </w:rPr>
      </w:pPr>
      <w:r>
        <w:rPr>
          <w:rFonts w:ascii="Times New Roman" w:hAnsi="Times New Roman"/>
        </w:rPr>
        <w:t>Имя прилагательное. Значение и употребление в речи. Образование имён прилагательных. Степени сравнения прилагательных: положительная, сравнительная, превосходная степени.</w:t>
      </w:r>
    </w:p>
    <w:p w14:paraId="1F11FF0A">
      <w:pPr>
        <w:widowControl/>
        <w:tabs>
          <w:tab w:val="left" w:pos="1134"/>
        </w:tabs>
        <w:spacing w:after="0" w:line="360" w:lineRule="auto"/>
        <w:ind w:firstLine="709"/>
        <w:jc w:val="both"/>
        <w:rPr>
          <w:rFonts w:ascii="Times New Roman" w:hAnsi="Times New Roman"/>
        </w:rPr>
      </w:pPr>
      <w:r>
        <w:rPr>
          <w:rFonts w:ascii="Times New Roman" w:hAnsi="Times New Roman"/>
        </w:rPr>
        <w:t>Имя числительное. Значение и употребление в речи. Количественные и порядковые числительные. Связь числительного с существительным.</w:t>
      </w:r>
    </w:p>
    <w:p w14:paraId="0267330D">
      <w:pPr>
        <w:widowControl/>
        <w:tabs>
          <w:tab w:val="left" w:pos="1134"/>
        </w:tabs>
        <w:spacing w:after="0" w:line="360" w:lineRule="auto"/>
        <w:ind w:firstLine="709"/>
        <w:jc w:val="both"/>
        <w:rPr>
          <w:rFonts w:ascii="Times New Roman" w:hAnsi="Times New Roman"/>
        </w:rPr>
      </w:pPr>
      <w:r>
        <w:rPr>
          <w:rFonts w:ascii="Times New Roman" w:hAnsi="Times New Roman"/>
        </w:rPr>
        <w:t>Местоимение. Личные местоимения. Значение и употребление в речи. Личные местоимения 1, 2 и 3-го лица единственного и множественного числа. Употребление вопросительных и указательных местоимений.</w:t>
      </w:r>
    </w:p>
    <w:p w14:paraId="28902399">
      <w:pPr>
        <w:widowControl/>
        <w:tabs>
          <w:tab w:val="left" w:pos="1134"/>
        </w:tabs>
        <w:spacing w:after="0" w:line="360" w:lineRule="auto"/>
        <w:ind w:firstLine="709"/>
        <w:jc w:val="both"/>
        <w:rPr>
          <w:rFonts w:ascii="Times New Roman" w:hAnsi="Times New Roman"/>
        </w:rPr>
      </w:pPr>
      <w:r>
        <w:rPr>
          <w:rFonts w:ascii="Times New Roman" w:hAnsi="Times New Roman"/>
        </w:rPr>
        <w:t>Глагол. Изменение глаголов по временам (настоящее время, прошедшее время, будущее время), изменение глаголов по лицам, числам. Спряжение глаголов настоящего, прошедшего и будущего времени. Утвердительная и отрицательная формы глаголов настоящего, прошедшего, будущего времени.</w:t>
      </w:r>
    </w:p>
    <w:p w14:paraId="22EF6846">
      <w:pPr>
        <w:widowControl/>
        <w:tabs>
          <w:tab w:val="left" w:pos="1134"/>
        </w:tabs>
        <w:spacing w:after="0" w:line="360" w:lineRule="auto"/>
        <w:ind w:firstLine="709"/>
        <w:jc w:val="both"/>
        <w:rPr>
          <w:rFonts w:ascii="Times New Roman" w:hAnsi="Times New Roman"/>
        </w:rPr>
      </w:pPr>
      <w:r>
        <w:rPr>
          <w:rFonts w:ascii="Times New Roman" w:hAnsi="Times New Roman"/>
        </w:rPr>
        <w:t>Употребление наречий, послелогов, частиц, союзов в предложениях.</w:t>
      </w:r>
    </w:p>
    <w:p w14:paraId="5DC83B73">
      <w:pPr>
        <w:widowControl/>
        <w:tabs>
          <w:tab w:val="left" w:pos="1134"/>
        </w:tabs>
        <w:spacing w:after="0" w:line="360" w:lineRule="auto"/>
        <w:ind w:firstLine="709"/>
        <w:jc w:val="both"/>
        <w:rPr>
          <w:rFonts w:ascii="Times New Roman" w:hAnsi="Times New Roman"/>
        </w:rPr>
      </w:pPr>
      <w:r>
        <w:rPr>
          <w:rFonts w:ascii="Times New Roman" w:hAnsi="Times New Roman"/>
        </w:rPr>
        <w:t>4.9.7. Синтаксис.</w:t>
      </w:r>
    </w:p>
    <w:p w14:paraId="4100A8FA">
      <w:pPr>
        <w:widowControl/>
        <w:tabs>
          <w:tab w:val="left" w:pos="1134"/>
        </w:tabs>
        <w:spacing w:after="0" w:line="360" w:lineRule="auto"/>
        <w:ind w:firstLine="709"/>
        <w:jc w:val="both"/>
        <w:rPr>
          <w:rFonts w:ascii="Times New Roman" w:hAnsi="Times New Roman"/>
        </w:rPr>
      </w:pPr>
      <w:r>
        <w:rPr>
          <w:rFonts w:ascii="Times New Roman" w:hAnsi="Times New Roman"/>
        </w:rPr>
        <w:t>Главные и второстепенные члены предложения, различение главных и второстепенных членов предложения, распространённые и нераспространённые предложения (повторение). Предложения с однородными членами без союзов и союзами (тата, та (те), анчах, çапах). Синтаксический разбор простого предложения.</w:t>
      </w:r>
    </w:p>
    <w:p w14:paraId="7B034793">
      <w:pPr>
        <w:widowControl/>
        <w:tabs>
          <w:tab w:val="left" w:pos="1134"/>
        </w:tabs>
        <w:spacing w:after="0" w:line="360" w:lineRule="auto"/>
        <w:ind w:firstLine="709"/>
        <w:jc w:val="both"/>
        <w:rPr>
          <w:rFonts w:ascii="Times New Roman" w:hAnsi="Times New Roman"/>
        </w:rPr>
      </w:pPr>
      <w:r>
        <w:rPr>
          <w:rFonts w:ascii="Times New Roman" w:hAnsi="Times New Roman"/>
        </w:rPr>
        <w:t>4.9.8. Орфография и пунктуация.</w:t>
      </w:r>
    </w:p>
    <w:p w14:paraId="26483753">
      <w:pPr>
        <w:widowControl/>
        <w:tabs>
          <w:tab w:val="left" w:pos="1134"/>
        </w:tabs>
        <w:spacing w:after="0" w:line="360" w:lineRule="auto"/>
        <w:ind w:firstLine="709"/>
        <w:jc w:val="both"/>
        <w:rPr>
          <w:rFonts w:ascii="Times New Roman" w:hAnsi="Times New Roman"/>
        </w:rPr>
      </w:pPr>
      <w:r>
        <w:rPr>
          <w:rFonts w:ascii="Times New Roman" w:hAnsi="Times New Roman"/>
        </w:rPr>
        <w:t>Использование разных принципов правописания в зависимости от места орфограммы в слове. Использование орфографического словаря.</w:t>
      </w:r>
    </w:p>
    <w:p w14:paraId="19236559">
      <w:pPr>
        <w:widowControl/>
        <w:tabs>
          <w:tab w:val="left" w:pos="1134"/>
        </w:tabs>
        <w:spacing w:after="0" w:line="360" w:lineRule="auto"/>
        <w:ind w:firstLine="709"/>
        <w:jc w:val="both"/>
        <w:rPr>
          <w:rFonts w:ascii="Times New Roman" w:hAnsi="Times New Roman"/>
        </w:rPr>
      </w:pPr>
      <w:r>
        <w:rPr>
          <w:rFonts w:ascii="Times New Roman" w:hAnsi="Times New Roman"/>
        </w:rPr>
        <w:t>Применение правил правописания: правописание парных слов, повторяющихся слов, правописание падежных форм имён существительных, правописание составных числительных, правописание кратких и полных числительных, правописание форм лица глаголов настоящего, прошедшего и будущего времени, правописание прилагательных в превосходной степени (хуп-хура, сап-сарă, кăн-кăвак), знаки препинания в предложениях с однородными членами.</w:t>
      </w:r>
    </w:p>
    <w:p w14:paraId="57B2AEBC">
      <w:pPr>
        <w:widowControl/>
        <w:tabs>
          <w:tab w:val="left" w:pos="1134"/>
        </w:tabs>
        <w:spacing w:after="0" w:line="360" w:lineRule="auto"/>
        <w:ind w:firstLine="709"/>
        <w:jc w:val="both"/>
        <w:rPr>
          <w:rFonts w:ascii="Times New Roman" w:hAnsi="Times New Roman"/>
        </w:rPr>
      </w:pPr>
      <w:r>
        <w:rPr>
          <w:rFonts w:ascii="Times New Roman" w:hAnsi="Times New Roman"/>
        </w:rPr>
        <w:t>4.9.9. Развитие речи.</w:t>
      </w:r>
    </w:p>
    <w:p w14:paraId="4B987113">
      <w:pPr>
        <w:widowControl/>
        <w:tabs>
          <w:tab w:val="left" w:pos="1134"/>
        </w:tabs>
        <w:spacing w:after="0" w:line="360" w:lineRule="auto"/>
        <w:ind w:firstLine="709"/>
        <w:jc w:val="both"/>
        <w:rPr>
          <w:rFonts w:ascii="Times New Roman" w:hAnsi="Times New Roman"/>
        </w:rPr>
      </w:pPr>
      <w:r>
        <w:rPr>
          <w:rFonts w:ascii="Times New Roman" w:hAnsi="Times New Roman"/>
        </w:rPr>
        <w:t>Повторение и продолжение работы, начатой в предыдущих классах: ситуации устного и письменного общения (письмо, поздравительная открытка, объявление и другие), диалог, монолог, отражение темы текста или основной мысли в заголовке.</w:t>
      </w:r>
    </w:p>
    <w:p w14:paraId="61BA41FE">
      <w:pPr>
        <w:widowControl/>
        <w:tabs>
          <w:tab w:val="left" w:pos="1134"/>
        </w:tabs>
        <w:spacing w:after="0" w:line="360" w:lineRule="auto"/>
        <w:ind w:firstLine="709"/>
        <w:jc w:val="both"/>
        <w:rPr>
          <w:rFonts w:ascii="Times New Roman" w:hAnsi="Times New Roman"/>
        </w:rPr>
      </w:pPr>
      <w:r>
        <w:rPr>
          <w:rFonts w:ascii="Times New Roman" w:hAnsi="Times New Roman"/>
        </w:rPr>
        <w:t>Корректирование текстов (заданных и собственных) с учётом точности, правильности, богатства и выразительности письменной речи.</w:t>
      </w:r>
    </w:p>
    <w:p w14:paraId="4E407460">
      <w:pPr>
        <w:widowControl/>
        <w:tabs>
          <w:tab w:val="left" w:pos="1134"/>
        </w:tabs>
        <w:spacing w:after="0" w:line="360" w:lineRule="auto"/>
        <w:ind w:firstLine="709"/>
        <w:jc w:val="both"/>
        <w:rPr>
          <w:rFonts w:ascii="Times New Roman" w:hAnsi="Times New Roman"/>
        </w:rPr>
      </w:pPr>
      <w:r>
        <w:rPr>
          <w:rFonts w:ascii="Times New Roman" w:hAnsi="Times New Roman"/>
        </w:rPr>
        <w:t>Изучающее чтение. Поиск информации, заданной в тексте в явном виде. Формулирование простых выводов на основе информации, содержащейся в тексте. Интерпретация и обобщение содержащейся в тексте информации. Ознакомительное чтение в соответствии с поставленной задачей.</w:t>
      </w:r>
    </w:p>
    <w:p w14:paraId="758E92F4">
      <w:pPr>
        <w:widowControl/>
        <w:tabs>
          <w:tab w:val="left" w:pos="1134"/>
        </w:tabs>
        <w:spacing w:after="0" w:line="360" w:lineRule="auto"/>
        <w:ind w:firstLine="709"/>
        <w:jc w:val="both"/>
        <w:rPr>
          <w:rFonts w:ascii="Times New Roman" w:hAnsi="Times New Roman"/>
        </w:rPr>
      </w:pPr>
      <w:r>
        <w:rPr>
          <w:rFonts w:ascii="Times New Roman" w:hAnsi="Times New Roman"/>
        </w:rPr>
        <w:t>Изложение (подробный устный и письменный пересказ текста, выборочный устный пересказ текста). Сочинение как вид письменной работы.</w:t>
      </w:r>
    </w:p>
    <w:p w14:paraId="2993AA1C">
      <w:pPr>
        <w:widowControl/>
        <w:tabs>
          <w:tab w:val="left" w:pos="1134"/>
        </w:tabs>
        <w:spacing w:after="0" w:line="360" w:lineRule="auto"/>
        <w:ind w:firstLine="709"/>
        <w:jc w:val="both"/>
        <w:rPr>
          <w:rFonts w:ascii="Times New Roman" w:hAnsi="Times New Roman"/>
        </w:rPr>
      </w:pPr>
      <w:r>
        <w:rPr>
          <w:rFonts w:ascii="Times New Roman" w:hAnsi="Times New Roman"/>
        </w:rPr>
        <w:t>4.10. Планируемые результаты освоения программы по родному (чувашскому) языку на уровне начального общего образования.</w:t>
      </w:r>
    </w:p>
    <w:p w14:paraId="605265B6">
      <w:pPr>
        <w:widowControl/>
        <w:tabs>
          <w:tab w:val="left" w:pos="1134"/>
        </w:tabs>
        <w:spacing w:after="0" w:line="360" w:lineRule="auto"/>
        <w:ind w:firstLine="709"/>
        <w:jc w:val="both"/>
        <w:rPr>
          <w:rFonts w:ascii="Times New Roman" w:hAnsi="Times New Roman"/>
        </w:rPr>
      </w:pPr>
      <w:r>
        <w:rPr>
          <w:rFonts w:ascii="Times New Roman" w:hAnsi="Times New Roman"/>
        </w:rPr>
        <w:t>4.10.1. В результате изучения родного (чувашского) языка на уровне начального общего образования у обучающегося будут сформированы следующие личностные результаты:</w:t>
      </w:r>
    </w:p>
    <w:p w14:paraId="35FA8A1F">
      <w:pPr>
        <w:widowControl/>
        <w:tabs>
          <w:tab w:val="left" w:pos="1134"/>
        </w:tabs>
        <w:spacing w:after="0" w:line="360" w:lineRule="auto"/>
        <w:ind w:firstLine="709"/>
        <w:jc w:val="both"/>
        <w:rPr>
          <w:rFonts w:ascii="Times New Roman" w:hAnsi="Times New Roman"/>
        </w:rPr>
      </w:pPr>
      <w:r>
        <w:rPr>
          <w:rFonts w:ascii="Times New Roman" w:hAnsi="Times New Roman"/>
        </w:rPr>
        <w:t>1) гражданско-патриотического воспитания:</w:t>
      </w:r>
    </w:p>
    <w:p w14:paraId="7511531A">
      <w:pPr>
        <w:widowControl/>
        <w:tabs>
          <w:tab w:val="left" w:pos="1134"/>
        </w:tabs>
        <w:spacing w:after="0" w:line="360" w:lineRule="auto"/>
        <w:ind w:firstLine="709"/>
        <w:jc w:val="both"/>
        <w:rPr>
          <w:rFonts w:ascii="Times New Roman" w:hAnsi="Times New Roman"/>
        </w:rPr>
      </w:pPr>
      <w:r>
        <w:rPr>
          <w:rFonts w:ascii="Times New Roman" w:hAnsi="Times New Roman"/>
        </w:rPr>
        <w:t>становление ценностного отношения к своей Родине – России, малой Родине – Чувашской Республике, в том числе через изучение родного (чувашского) языка, являющегося частью истории и культуры страны;</w:t>
      </w:r>
    </w:p>
    <w:p w14:paraId="558756C5">
      <w:pPr>
        <w:widowControl/>
        <w:tabs>
          <w:tab w:val="left" w:pos="1134"/>
        </w:tabs>
        <w:spacing w:after="0" w:line="360" w:lineRule="auto"/>
        <w:ind w:firstLine="709"/>
        <w:jc w:val="both"/>
        <w:rPr>
          <w:rFonts w:ascii="Times New Roman" w:hAnsi="Times New Roman"/>
        </w:rPr>
      </w:pPr>
      <w:r>
        <w:rPr>
          <w:rFonts w:ascii="Times New Roman" w:hAnsi="Times New Roman"/>
        </w:rPr>
        <w:t>осознание своей этнокультурной и российской гражданской идентичности, понимание статуса родного (чувашского) языка в Российской Федерации и в Чувашской Республике;</w:t>
      </w:r>
    </w:p>
    <w:p w14:paraId="16FEF302">
      <w:pPr>
        <w:widowControl/>
        <w:tabs>
          <w:tab w:val="left" w:pos="1134"/>
        </w:tabs>
        <w:spacing w:after="0" w:line="360" w:lineRule="auto"/>
        <w:ind w:firstLine="709"/>
        <w:jc w:val="both"/>
        <w:rPr>
          <w:rFonts w:ascii="Times New Roman" w:hAnsi="Times New Roman"/>
        </w:rPr>
      </w:pPr>
      <w:r>
        <w:rPr>
          <w:rFonts w:ascii="Times New Roman" w:hAnsi="Times New Roman"/>
        </w:rPr>
        <w:t>сопричастность к прошлому, настоящему и будущему родного края, в том числе при работе с учебными текстами;</w:t>
      </w:r>
    </w:p>
    <w:p w14:paraId="7E2128C9">
      <w:pPr>
        <w:widowControl/>
        <w:tabs>
          <w:tab w:val="left" w:pos="1134"/>
        </w:tabs>
        <w:spacing w:after="0" w:line="360" w:lineRule="auto"/>
        <w:ind w:firstLine="709"/>
        <w:jc w:val="both"/>
        <w:rPr>
          <w:rFonts w:ascii="Times New Roman" w:hAnsi="Times New Roman"/>
        </w:rPr>
      </w:pPr>
      <w:r>
        <w:rPr>
          <w:rFonts w:ascii="Times New Roman" w:hAnsi="Times New Roman"/>
        </w:rPr>
        <w:t>уважение к своему и другим народам России;</w:t>
      </w:r>
    </w:p>
    <w:p w14:paraId="59886721">
      <w:pPr>
        <w:widowControl/>
        <w:tabs>
          <w:tab w:val="left" w:pos="1134"/>
        </w:tabs>
        <w:spacing w:after="0" w:line="360" w:lineRule="auto"/>
        <w:ind w:firstLine="709"/>
        <w:jc w:val="both"/>
        <w:rPr>
          <w:rFonts w:ascii="Times New Roman" w:hAnsi="Times New Roman"/>
        </w:rPr>
      </w:pPr>
      <w:r>
        <w:rPr>
          <w:rFonts w:ascii="Times New Roman" w:hAnsi="Times New Roman"/>
        </w:rPr>
        <w:t>первоначальные представления о человеке как члене общества, о правах и ответственности, уважении и достоинстве человека, о нравственно-этических нормах поведения и правилах межличностных отношений, через работу с учебными текстами;</w:t>
      </w:r>
    </w:p>
    <w:p w14:paraId="3778EC0D">
      <w:pPr>
        <w:widowControl/>
        <w:tabs>
          <w:tab w:val="left" w:pos="1134"/>
        </w:tabs>
        <w:spacing w:after="0" w:line="360" w:lineRule="auto"/>
        <w:ind w:firstLine="709"/>
        <w:jc w:val="both"/>
        <w:rPr>
          <w:rFonts w:ascii="Times New Roman" w:hAnsi="Times New Roman"/>
        </w:rPr>
      </w:pPr>
      <w:r>
        <w:rPr>
          <w:rFonts w:ascii="Times New Roman" w:hAnsi="Times New Roman"/>
        </w:rPr>
        <w:t>2) духовно-нравственного воспитания:</w:t>
      </w:r>
    </w:p>
    <w:p w14:paraId="3AE58663">
      <w:pPr>
        <w:widowControl/>
        <w:tabs>
          <w:tab w:val="left" w:pos="1134"/>
        </w:tabs>
        <w:spacing w:after="0" w:line="360" w:lineRule="auto"/>
        <w:ind w:firstLine="709"/>
        <w:jc w:val="both"/>
        <w:rPr>
          <w:rFonts w:ascii="Times New Roman" w:hAnsi="Times New Roman"/>
        </w:rPr>
      </w:pPr>
      <w:r>
        <w:rPr>
          <w:rFonts w:ascii="Times New Roman" w:hAnsi="Times New Roman"/>
        </w:rPr>
        <w:t>признание индивидуальности каждого человека;</w:t>
      </w:r>
    </w:p>
    <w:p w14:paraId="73A62610">
      <w:pPr>
        <w:widowControl/>
        <w:tabs>
          <w:tab w:val="left" w:pos="1134"/>
        </w:tabs>
        <w:spacing w:after="0" w:line="360" w:lineRule="auto"/>
        <w:ind w:firstLine="709"/>
        <w:jc w:val="both"/>
        <w:rPr>
          <w:rFonts w:ascii="Times New Roman" w:hAnsi="Times New Roman"/>
        </w:rPr>
      </w:pPr>
      <w:r>
        <w:rPr>
          <w:rFonts w:ascii="Times New Roman" w:hAnsi="Times New Roman"/>
        </w:rPr>
        <w:t>проявление сопереживания, уважения и доброжелательности (в том числе с использованием языковых средств для выражения своего состояния и чувств);</w:t>
      </w:r>
    </w:p>
    <w:p w14:paraId="471AEC7A">
      <w:pPr>
        <w:widowControl/>
        <w:tabs>
          <w:tab w:val="left" w:pos="1134"/>
        </w:tabs>
        <w:spacing w:after="0" w:line="360" w:lineRule="auto"/>
        <w:ind w:firstLine="709"/>
        <w:jc w:val="both"/>
        <w:rPr>
          <w:rFonts w:ascii="Times New Roman" w:hAnsi="Times New Roman"/>
        </w:rPr>
      </w:pPr>
      <w:r>
        <w:rPr>
          <w:rFonts w:ascii="Times New Roman" w:hAnsi="Times New Roman"/>
        </w:rPr>
        <w:t>неприятие любых форм поведения, направленных на причинение физического и морального вреда другим людям (в том числе связанного с использованием недопустимых средств языка);</w:t>
      </w:r>
    </w:p>
    <w:p w14:paraId="02462B46">
      <w:pPr>
        <w:widowControl/>
        <w:tabs>
          <w:tab w:val="left" w:pos="1134"/>
        </w:tabs>
        <w:spacing w:after="0" w:line="360" w:lineRule="auto"/>
        <w:ind w:firstLine="709"/>
        <w:jc w:val="both"/>
        <w:rPr>
          <w:rFonts w:ascii="Times New Roman" w:hAnsi="Times New Roman"/>
        </w:rPr>
      </w:pPr>
      <w:r>
        <w:rPr>
          <w:rFonts w:ascii="Times New Roman" w:hAnsi="Times New Roman"/>
        </w:rPr>
        <w:t>3) эстетического воспитания:</w:t>
      </w:r>
    </w:p>
    <w:p w14:paraId="495F3944">
      <w:pPr>
        <w:widowControl/>
        <w:tabs>
          <w:tab w:val="left" w:pos="1134"/>
        </w:tabs>
        <w:spacing w:after="0" w:line="360" w:lineRule="auto"/>
        <w:ind w:firstLine="709"/>
        <w:jc w:val="both"/>
        <w:rPr>
          <w:rFonts w:ascii="Times New Roman" w:hAnsi="Times New Roman"/>
        </w:rPr>
      </w:pPr>
      <w:r>
        <w:rPr>
          <w:rFonts w:ascii="Times New Roman" w:hAnsi="Times New Roman"/>
        </w:rPr>
        <w:t>уважительное отношение и интерес к художественной культуре, восприимчивость к разным видам искусства, традициям и творчеству своего и других народов;</w:t>
      </w:r>
    </w:p>
    <w:p w14:paraId="410520A2">
      <w:pPr>
        <w:widowControl/>
        <w:tabs>
          <w:tab w:val="left" w:pos="1134"/>
        </w:tabs>
        <w:spacing w:after="0" w:line="360" w:lineRule="auto"/>
        <w:ind w:firstLine="709"/>
        <w:jc w:val="both"/>
        <w:rPr>
          <w:rFonts w:ascii="Times New Roman" w:hAnsi="Times New Roman"/>
        </w:rPr>
      </w:pPr>
      <w:r>
        <w:rPr>
          <w:rFonts w:ascii="Times New Roman" w:hAnsi="Times New Roman"/>
        </w:rPr>
        <w:t>стремление к самовыражению в искусстве слова, осознание важности родного языка как средства общения и самовыражения;</w:t>
      </w:r>
    </w:p>
    <w:p w14:paraId="464A26A4">
      <w:pPr>
        <w:widowControl/>
        <w:tabs>
          <w:tab w:val="left" w:pos="1134"/>
        </w:tabs>
        <w:spacing w:after="0" w:line="360" w:lineRule="auto"/>
        <w:ind w:firstLine="709"/>
        <w:jc w:val="both"/>
        <w:rPr>
          <w:rFonts w:ascii="Times New Roman" w:hAnsi="Times New Roman"/>
        </w:rPr>
      </w:pPr>
      <w:r>
        <w:rPr>
          <w:rFonts w:ascii="Times New Roman" w:hAnsi="Times New Roman"/>
        </w:rPr>
        <w:t>4) физического воспитания, формирования культуры здоровья и эмоционального благополучия:</w:t>
      </w:r>
    </w:p>
    <w:p w14:paraId="54C3D7E9">
      <w:pPr>
        <w:widowControl/>
        <w:tabs>
          <w:tab w:val="left" w:pos="1134"/>
        </w:tabs>
        <w:spacing w:after="0" w:line="360" w:lineRule="auto"/>
        <w:ind w:firstLine="709"/>
        <w:jc w:val="both"/>
        <w:rPr>
          <w:rFonts w:ascii="Times New Roman" w:hAnsi="Times New Roman"/>
        </w:rPr>
      </w:pPr>
      <w:r>
        <w:rPr>
          <w:rFonts w:ascii="Times New Roman" w:hAnsi="Times New Roman"/>
        </w:rPr>
        <w:t>соблюдение правил здорового и безопасного (для себя и других людей) образа жизни в окружающей среде (в том числе информационной) в процессе языкового образования;</w:t>
      </w:r>
    </w:p>
    <w:p w14:paraId="7ABD4721">
      <w:pPr>
        <w:widowControl/>
        <w:tabs>
          <w:tab w:val="left" w:pos="1134"/>
        </w:tabs>
        <w:spacing w:after="0" w:line="360" w:lineRule="auto"/>
        <w:ind w:firstLine="709"/>
        <w:jc w:val="both"/>
        <w:rPr>
          <w:rFonts w:ascii="Times New Roman" w:hAnsi="Times New Roman"/>
        </w:rPr>
      </w:pPr>
      <w:r>
        <w:rPr>
          <w:rFonts w:ascii="Times New Roman" w:hAnsi="Times New Roman"/>
        </w:rPr>
        <w:t>бережное отношение к физическому и психическому здоровью, выбор приемлемых способов речевого самовыражения, соблюдение норм речевого этикета;</w:t>
      </w:r>
    </w:p>
    <w:p w14:paraId="0165F020">
      <w:pPr>
        <w:widowControl/>
        <w:tabs>
          <w:tab w:val="left" w:pos="1134"/>
        </w:tabs>
        <w:spacing w:after="0" w:line="360" w:lineRule="auto"/>
        <w:ind w:firstLine="709"/>
        <w:jc w:val="both"/>
        <w:rPr>
          <w:rFonts w:ascii="Times New Roman" w:hAnsi="Times New Roman"/>
        </w:rPr>
      </w:pPr>
      <w:r>
        <w:rPr>
          <w:rFonts w:ascii="Times New Roman" w:hAnsi="Times New Roman"/>
        </w:rPr>
        <w:t>5) трудового воспитания:</w:t>
      </w:r>
    </w:p>
    <w:p w14:paraId="694B0121">
      <w:pPr>
        <w:widowControl/>
        <w:tabs>
          <w:tab w:val="left" w:pos="1134"/>
        </w:tabs>
        <w:spacing w:after="0" w:line="360" w:lineRule="auto"/>
        <w:ind w:firstLine="709"/>
        <w:jc w:val="both"/>
        <w:rPr>
          <w:rFonts w:ascii="Times New Roman" w:hAnsi="Times New Roman"/>
        </w:rPr>
      </w:pPr>
      <w:r>
        <w:rPr>
          <w:rFonts w:ascii="Times New Roman" w:hAnsi="Times New Roman"/>
        </w:rPr>
        <w:t>осознание ценности труда в жизни человека и общества, ответственное потребление и бережное отношение к результатам труда, навыки участия в различных видах трудовой деятельности, интерес к различным профессиям (в том числе через примеры из учебных текстов);</w:t>
      </w:r>
    </w:p>
    <w:p w14:paraId="61173EA2">
      <w:pPr>
        <w:widowControl/>
        <w:tabs>
          <w:tab w:val="left" w:pos="1134"/>
        </w:tabs>
        <w:spacing w:after="0" w:line="360" w:lineRule="auto"/>
        <w:ind w:firstLine="709"/>
        <w:jc w:val="both"/>
        <w:rPr>
          <w:rFonts w:ascii="Times New Roman" w:hAnsi="Times New Roman"/>
        </w:rPr>
      </w:pPr>
      <w:r>
        <w:rPr>
          <w:rFonts w:ascii="Times New Roman" w:hAnsi="Times New Roman"/>
        </w:rPr>
        <w:t>6) экологического воспитания:</w:t>
      </w:r>
    </w:p>
    <w:p w14:paraId="2880B0A4">
      <w:pPr>
        <w:widowControl/>
        <w:tabs>
          <w:tab w:val="left" w:pos="1134"/>
        </w:tabs>
        <w:spacing w:after="0" w:line="360" w:lineRule="auto"/>
        <w:ind w:firstLine="709"/>
        <w:jc w:val="both"/>
        <w:rPr>
          <w:rFonts w:ascii="Times New Roman" w:hAnsi="Times New Roman"/>
        </w:rPr>
      </w:pPr>
      <w:r>
        <w:rPr>
          <w:rFonts w:ascii="Times New Roman" w:hAnsi="Times New Roman"/>
        </w:rPr>
        <w:t>бережное отношение к природе, формируемое в процессе работы над текстами;</w:t>
      </w:r>
    </w:p>
    <w:p w14:paraId="27795EE5">
      <w:pPr>
        <w:widowControl/>
        <w:tabs>
          <w:tab w:val="left" w:pos="1134"/>
        </w:tabs>
        <w:spacing w:after="0" w:line="360" w:lineRule="auto"/>
        <w:ind w:firstLine="709"/>
        <w:jc w:val="both"/>
        <w:rPr>
          <w:rFonts w:ascii="Times New Roman" w:hAnsi="Times New Roman"/>
        </w:rPr>
      </w:pPr>
      <w:r>
        <w:rPr>
          <w:rFonts w:ascii="Times New Roman" w:hAnsi="Times New Roman"/>
        </w:rPr>
        <w:t>неприятие действий, приносящих вред природе;</w:t>
      </w:r>
    </w:p>
    <w:p w14:paraId="5EDABFDA">
      <w:pPr>
        <w:widowControl/>
        <w:tabs>
          <w:tab w:val="left" w:pos="1134"/>
        </w:tabs>
        <w:spacing w:after="0" w:line="360" w:lineRule="auto"/>
        <w:ind w:firstLine="709"/>
        <w:jc w:val="both"/>
        <w:rPr>
          <w:rFonts w:ascii="Times New Roman" w:hAnsi="Times New Roman"/>
        </w:rPr>
      </w:pPr>
      <w:r>
        <w:rPr>
          <w:rFonts w:ascii="Times New Roman" w:hAnsi="Times New Roman"/>
        </w:rPr>
        <w:t>7) ценности научного познания:</w:t>
      </w:r>
    </w:p>
    <w:p w14:paraId="77D807E6">
      <w:pPr>
        <w:widowControl/>
        <w:tabs>
          <w:tab w:val="left" w:pos="1134"/>
        </w:tabs>
        <w:spacing w:after="0" w:line="360" w:lineRule="auto"/>
        <w:ind w:firstLine="709"/>
        <w:jc w:val="both"/>
        <w:rPr>
          <w:rFonts w:ascii="Times New Roman" w:hAnsi="Times New Roman"/>
        </w:rPr>
      </w:pPr>
      <w:r>
        <w:rPr>
          <w:rFonts w:ascii="Times New Roman" w:hAnsi="Times New Roman"/>
        </w:rPr>
        <w:t>первоначальные представления о научной картине мира (в том числе первоначальные представление о системе родного (чувашского) языка);</w:t>
      </w:r>
    </w:p>
    <w:p w14:paraId="339788E1">
      <w:pPr>
        <w:widowControl/>
        <w:tabs>
          <w:tab w:val="left" w:pos="1134"/>
        </w:tabs>
        <w:spacing w:after="0" w:line="360" w:lineRule="auto"/>
        <w:ind w:firstLine="709"/>
        <w:jc w:val="both"/>
        <w:rPr>
          <w:rFonts w:ascii="Times New Roman" w:hAnsi="Times New Roman"/>
        </w:rPr>
      </w:pPr>
      <w:r>
        <w:rPr>
          <w:rFonts w:ascii="Times New Roman" w:hAnsi="Times New Roman"/>
        </w:rPr>
        <w:t>познавательные интересы, активность, инициативность, любознательность и самостоятельность в познании (в том числе познавательный интерес к изучению родного (чувашского) языка).</w:t>
      </w:r>
    </w:p>
    <w:p w14:paraId="1F6D0381">
      <w:pPr>
        <w:widowControl/>
        <w:tabs>
          <w:tab w:val="left" w:pos="1134"/>
        </w:tabs>
        <w:spacing w:after="0" w:line="360" w:lineRule="auto"/>
        <w:ind w:firstLine="709"/>
        <w:jc w:val="both"/>
        <w:rPr>
          <w:rFonts w:ascii="Times New Roman" w:hAnsi="Times New Roman"/>
        </w:rPr>
      </w:pPr>
      <w:r>
        <w:rPr>
          <w:rFonts w:ascii="Times New Roman" w:hAnsi="Times New Roman"/>
        </w:rPr>
        <w:t>4.10.2. В результате изучения родного (чувашского) языка на уровне начального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 умения совместной деятельности.</w:t>
      </w:r>
    </w:p>
    <w:p w14:paraId="49CE870D">
      <w:pPr>
        <w:widowControl/>
        <w:tabs>
          <w:tab w:val="left" w:pos="1134"/>
        </w:tabs>
        <w:spacing w:after="0" w:line="360" w:lineRule="auto"/>
        <w:ind w:firstLine="709"/>
        <w:jc w:val="both"/>
        <w:rPr>
          <w:rFonts w:ascii="Times New Roman" w:hAnsi="Times New Roman"/>
        </w:rPr>
      </w:pPr>
      <w:r>
        <w:rPr>
          <w:rFonts w:ascii="Times New Roman" w:hAnsi="Times New Roman"/>
        </w:rPr>
        <w:t>4.10.2.1. У обучающегося будут сформированы следующие базовые логические действия как часть познавательных универсальных учебных действий:</w:t>
      </w:r>
    </w:p>
    <w:p w14:paraId="213CBB52">
      <w:pPr>
        <w:widowControl/>
        <w:tabs>
          <w:tab w:val="left" w:pos="1134"/>
        </w:tabs>
        <w:spacing w:after="0" w:line="360" w:lineRule="auto"/>
        <w:ind w:firstLine="709"/>
        <w:jc w:val="both"/>
        <w:rPr>
          <w:rFonts w:ascii="Times New Roman" w:hAnsi="Times New Roman"/>
        </w:rPr>
      </w:pPr>
      <w:r>
        <w:rPr>
          <w:rFonts w:ascii="Times New Roman" w:hAnsi="Times New Roman"/>
        </w:rPr>
        <w:t>сравнивать различные языковые единицы, устанавливать основания для сравнения языковых единиц, устанавливать аналогии языковых единиц, сравнивать языковые единицы и явления родного (чувашского) языка с языковыми явлениями русского языка;</w:t>
      </w:r>
    </w:p>
    <w:p w14:paraId="3A43E28C">
      <w:pPr>
        <w:widowControl/>
        <w:tabs>
          <w:tab w:val="left" w:pos="1134"/>
        </w:tabs>
        <w:spacing w:after="0" w:line="360" w:lineRule="auto"/>
        <w:ind w:firstLine="709"/>
        <w:jc w:val="both"/>
        <w:rPr>
          <w:rFonts w:ascii="Times New Roman" w:hAnsi="Times New Roman"/>
        </w:rPr>
      </w:pPr>
      <w:r>
        <w:rPr>
          <w:rFonts w:ascii="Times New Roman" w:hAnsi="Times New Roman"/>
        </w:rPr>
        <w:t>объединять объекты (языковые единицы) по заданному признаку;</w:t>
      </w:r>
    </w:p>
    <w:p w14:paraId="1AF9A863">
      <w:pPr>
        <w:widowControl/>
        <w:tabs>
          <w:tab w:val="left" w:pos="1134"/>
        </w:tabs>
        <w:spacing w:after="0" w:line="360" w:lineRule="auto"/>
        <w:ind w:firstLine="709"/>
        <w:jc w:val="both"/>
        <w:rPr>
          <w:rFonts w:ascii="Times New Roman" w:hAnsi="Times New Roman"/>
        </w:rPr>
      </w:pPr>
      <w:r>
        <w:rPr>
          <w:rFonts w:ascii="Times New Roman" w:hAnsi="Times New Roman"/>
        </w:rPr>
        <w:t>определять существенный признак для классификации языковых единиц, классифицировать предложенные языковые единицы;</w:t>
      </w:r>
    </w:p>
    <w:p w14:paraId="28D42F6A">
      <w:pPr>
        <w:widowControl/>
        <w:tabs>
          <w:tab w:val="left" w:pos="1134"/>
        </w:tabs>
        <w:spacing w:after="0" w:line="360" w:lineRule="auto"/>
        <w:ind w:firstLine="709"/>
        <w:jc w:val="both"/>
        <w:rPr>
          <w:rFonts w:ascii="Times New Roman" w:hAnsi="Times New Roman"/>
        </w:rPr>
      </w:pPr>
      <w:r>
        <w:rPr>
          <w:rFonts w:ascii="Times New Roman" w:hAnsi="Times New Roman"/>
        </w:rPr>
        <w:t>находить закономерности и противоречия в языковом материале на основе предложенного учителем алгоритма наблюдения;</w:t>
      </w:r>
    </w:p>
    <w:p w14:paraId="2AE611AF">
      <w:pPr>
        <w:widowControl/>
        <w:tabs>
          <w:tab w:val="left" w:pos="1134"/>
        </w:tabs>
        <w:spacing w:after="0" w:line="360" w:lineRule="auto"/>
        <w:ind w:firstLine="709"/>
        <w:jc w:val="both"/>
        <w:rPr>
          <w:rFonts w:ascii="Times New Roman" w:hAnsi="Times New Roman"/>
        </w:rPr>
      </w:pPr>
      <w:r>
        <w:rPr>
          <w:rFonts w:ascii="Times New Roman" w:hAnsi="Times New Roman"/>
        </w:rPr>
        <w:t>выявлять недостаток информации для решения учебной и практической задачи на основе предложенного алгоритма;</w:t>
      </w:r>
    </w:p>
    <w:p w14:paraId="7F07513D">
      <w:pPr>
        <w:widowControl/>
        <w:tabs>
          <w:tab w:val="left" w:pos="1134"/>
        </w:tabs>
        <w:spacing w:after="0" w:line="360" w:lineRule="auto"/>
        <w:ind w:firstLine="709"/>
        <w:jc w:val="both"/>
        <w:rPr>
          <w:rFonts w:ascii="Times New Roman" w:hAnsi="Times New Roman"/>
        </w:rPr>
      </w:pPr>
      <w:r>
        <w:rPr>
          <w:rFonts w:ascii="Times New Roman" w:hAnsi="Times New Roman"/>
        </w:rPr>
        <w:t>устанавливать причинно-следственные связи в ситуациях наблюдения за языковым материалом, делать выводы.</w:t>
      </w:r>
    </w:p>
    <w:p w14:paraId="618E52AD">
      <w:pPr>
        <w:widowControl/>
        <w:tabs>
          <w:tab w:val="left" w:pos="1134"/>
        </w:tabs>
        <w:spacing w:after="0" w:line="360" w:lineRule="auto"/>
        <w:ind w:firstLine="709"/>
        <w:jc w:val="both"/>
        <w:rPr>
          <w:rFonts w:ascii="Times New Roman" w:hAnsi="Times New Roman"/>
        </w:rPr>
      </w:pPr>
      <w:r>
        <w:rPr>
          <w:rFonts w:ascii="Times New Roman" w:hAnsi="Times New Roman"/>
        </w:rPr>
        <w:t>4.10.2.2. У обучающегося будут сформированы следующие базовые исследовательские действия как часть познавательных универсальных учебных действий:</w:t>
      </w:r>
    </w:p>
    <w:p w14:paraId="1683A9C1">
      <w:pPr>
        <w:widowControl/>
        <w:tabs>
          <w:tab w:val="left" w:pos="1134"/>
        </w:tabs>
        <w:spacing w:after="0" w:line="360" w:lineRule="auto"/>
        <w:ind w:firstLine="709"/>
        <w:jc w:val="both"/>
        <w:rPr>
          <w:rFonts w:ascii="Times New Roman" w:hAnsi="Times New Roman"/>
        </w:rPr>
      </w:pPr>
      <w:r>
        <w:rPr>
          <w:rFonts w:ascii="Times New Roman" w:hAnsi="Times New Roman"/>
        </w:rPr>
        <w:t>определять разрыв между реальным и желательным состоянием языкового объекта (речевой ситуации) на основе предложенных учителем вопросов;</w:t>
      </w:r>
    </w:p>
    <w:p w14:paraId="2E9314C9">
      <w:pPr>
        <w:widowControl/>
        <w:tabs>
          <w:tab w:val="left" w:pos="1134"/>
        </w:tabs>
        <w:spacing w:after="0" w:line="360" w:lineRule="auto"/>
        <w:ind w:firstLine="709"/>
        <w:jc w:val="both"/>
        <w:rPr>
          <w:rFonts w:ascii="Times New Roman" w:hAnsi="Times New Roman"/>
        </w:rPr>
      </w:pPr>
      <w:r>
        <w:rPr>
          <w:rFonts w:ascii="Times New Roman" w:hAnsi="Times New Roman"/>
        </w:rPr>
        <w:t>с помощью учителя формулировать цель, планировать изменения языкового объекта, речевой ситуации;</w:t>
      </w:r>
    </w:p>
    <w:p w14:paraId="709553F8">
      <w:pPr>
        <w:widowControl/>
        <w:tabs>
          <w:tab w:val="left" w:pos="1134"/>
        </w:tabs>
        <w:spacing w:after="0" w:line="360" w:lineRule="auto"/>
        <w:ind w:firstLine="709"/>
        <w:jc w:val="both"/>
        <w:rPr>
          <w:rFonts w:ascii="Times New Roman" w:hAnsi="Times New Roman"/>
        </w:rPr>
      </w:pPr>
      <w:r>
        <w:rPr>
          <w:rFonts w:ascii="Times New Roman" w:hAnsi="Times New Roman"/>
        </w:rPr>
        <w:t>сравнивать несколько вариантов решения задачи, выбирать наиболее подходящий (на основе предложенных критериев);</w:t>
      </w:r>
    </w:p>
    <w:p w14:paraId="74FE5164">
      <w:pPr>
        <w:widowControl/>
        <w:tabs>
          <w:tab w:val="left" w:pos="1134"/>
        </w:tabs>
        <w:spacing w:after="0" w:line="360" w:lineRule="auto"/>
        <w:ind w:firstLine="709"/>
        <w:jc w:val="both"/>
        <w:rPr>
          <w:rFonts w:ascii="Times New Roman" w:hAnsi="Times New Roman"/>
        </w:rPr>
      </w:pPr>
      <w:r>
        <w:rPr>
          <w:rFonts w:ascii="Times New Roman" w:hAnsi="Times New Roman"/>
        </w:rPr>
        <w:t>выполнять по предложенному плану проектное задание;</w:t>
      </w:r>
    </w:p>
    <w:p w14:paraId="7E856879">
      <w:pPr>
        <w:widowControl/>
        <w:tabs>
          <w:tab w:val="left" w:pos="1134"/>
        </w:tabs>
        <w:spacing w:after="0" w:line="360" w:lineRule="auto"/>
        <w:ind w:firstLine="709"/>
        <w:jc w:val="both"/>
        <w:rPr>
          <w:rFonts w:ascii="Times New Roman" w:hAnsi="Times New Roman"/>
        </w:rPr>
      </w:pPr>
      <w:r>
        <w:rPr>
          <w:rFonts w:ascii="Times New Roman" w:hAnsi="Times New Roman"/>
        </w:rPr>
        <w:t>формулировать выводы и подкреплять их доказательствами на основе результатов проведенного наблюдения за языковым материалом (классификации, сравнения, исследования);</w:t>
      </w:r>
    </w:p>
    <w:p w14:paraId="37D5D07D">
      <w:pPr>
        <w:widowControl/>
        <w:tabs>
          <w:tab w:val="left" w:pos="1134"/>
        </w:tabs>
        <w:spacing w:after="0" w:line="360" w:lineRule="auto"/>
        <w:ind w:firstLine="709"/>
        <w:jc w:val="both"/>
        <w:rPr>
          <w:rFonts w:ascii="Times New Roman" w:hAnsi="Times New Roman"/>
        </w:rPr>
      </w:pPr>
      <w:r>
        <w:rPr>
          <w:rFonts w:ascii="Times New Roman" w:hAnsi="Times New Roman"/>
        </w:rPr>
        <w:t>прогнозировать возможное развитие процессов, событий и их последствия в аналогичных или сходных ситуациях.</w:t>
      </w:r>
    </w:p>
    <w:p w14:paraId="1C7195D5">
      <w:pPr>
        <w:widowControl/>
        <w:tabs>
          <w:tab w:val="left" w:pos="1134"/>
        </w:tabs>
        <w:spacing w:after="0" w:line="360" w:lineRule="auto"/>
        <w:ind w:firstLine="709"/>
        <w:jc w:val="both"/>
        <w:rPr>
          <w:rFonts w:ascii="Times New Roman" w:hAnsi="Times New Roman"/>
        </w:rPr>
      </w:pPr>
      <w:r>
        <w:rPr>
          <w:rFonts w:ascii="Times New Roman" w:hAnsi="Times New Roman"/>
        </w:rPr>
        <w:t>4.10.2.3. У обучающегося будут сформированы умения работать с информацией как часть познавательных универсальных учебных действий:</w:t>
      </w:r>
    </w:p>
    <w:p w14:paraId="7BDC4CB6">
      <w:pPr>
        <w:widowControl/>
        <w:tabs>
          <w:tab w:val="left" w:pos="1134"/>
        </w:tabs>
        <w:spacing w:after="0" w:line="360" w:lineRule="auto"/>
        <w:ind w:firstLine="709"/>
        <w:jc w:val="both"/>
        <w:rPr>
          <w:rFonts w:ascii="Times New Roman" w:hAnsi="Times New Roman"/>
        </w:rPr>
      </w:pPr>
      <w:r>
        <w:rPr>
          <w:rFonts w:ascii="Times New Roman" w:hAnsi="Times New Roman"/>
        </w:rPr>
        <w:t>выбирать источник получения информации: словарь, справочник;</w:t>
      </w:r>
    </w:p>
    <w:p w14:paraId="66C88FC9">
      <w:pPr>
        <w:widowControl/>
        <w:tabs>
          <w:tab w:val="left" w:pos="1134"/>
        </w:tabs>
        <w:spacing w:after="0" w:line="360" w:lineRule="auto"/>
        <w:ind w:firstLine="709"/>
        <w:jc w:val="both"/>
        <w:rPr>
          <w:rFonts w:ascii="Times New Roman" w:hAnsi="Times New Roman"/>
        </w:rPr>
      </w:pPr>
      <w:r>
        <w:rPr>
          <w:rFonts w:ascii="Times New Roman" w:hAnsi="Times New Roman"/>
        </w:rPr>
        <w:t>согласно заданному алгоритму находить в предложенном источнике (словаре, справочнике) информацию, представленную в явном виде;</w:t>
      </w:r>
    </w:p>
    <w:p w14:paraId="25717CA3">
      <w:pPr>
        <w:widowControl/>
        <w:tabs>
          <w:tab w:val="left" w:pos="1134"/>
        </w:tabs>
        <w:spacing w:after="0" w:line="360" w:lineRule="auto"/>
        <w:ind w:firstLine="709"/>
        <w:jc w:val="both"/>
        <w:rPr>
          <w:rFonts w:ascii="Times New Roman" w:hAnsi="Times New Roman"/>
        </w:rPr>
      </w:pPr>
      <w:r>
        <w:rPr>
          <w:rFonts w:ascii="Times New Roman" w:hAnsi="Times New Roman"/>
        </w:rPr>
        <w:t>распознавать достоверную и недостоверную информацию самостоятельно или на основании предложенного учителем способа её проверки (с помощью словарей, справочников);</w:t>
      </w:r>
    </w:p>
    <w:p w14:paraId="0DCA321B">
      <w:pPr>
        <w:widowControl/>
        <w:tabs>
          <w:tab w:val="left" w:pos="1134"/>
        </w:tabs>
        <w:spacing w:after="0" w:line="360" w:lineRule="auto"/>
        <w:ind w:firstLine="709"/>
        <w:jc w:val="both"/>
        <w:rPr>
          <w:rFonts w:ascii="Times New Roman" w:hAnsi="Times New Roman"/>
        </w:rPr>
      </w:pPr>
      <w:r>
        <w:rPr>
          <w:rFonts w:ascii="Times New Roman" w:hAnsi="Times New Roman"/>
        </w:rPr>
        <w:t>соблюдать с помощью взрослых (учителей, родителей, законных представителей) правила информационной безопасности при поиске информации в Интернете (информации о написании и произношении слова, о значении слова, о происхождении слова, о синонимах слова);</w:t>
      </w:r>
    </w:p>
    <w:p w14:paraId="192040A6">
      <w:pPr>
        <w:widowControl/>
        <w:tabs>
          <w:tab w:val="left" w:pos="1134"/>
        </w:tabs>
        <w:spacing w:after="0" w:line="360" w:lineRule="auto"/>
        <w:ind w:firstLine="709"/>
        <w:jc w:val="both"/>
        <w:rPr>
          <w:rFonts w:ascii="Times New Roman" w:hAnsi="Times New Roman"/>
        </w:rPr>
      </w:pPr>
      <w:r>
        <w:rPr>
          <w:rFonts w:ascii="Times New Roman" w:hAnsi="Times New Roman"/>
        </w:rPr>
        <w:t>анализировать и создавать текстовую, видео-, графическую, звуковую информацию в соответствии с учебной задачей;</w:t>
      </w:r>
    </w:p>
    <w:p w14:paraId="1E3AD733">
      <w:pPr>
        <w:widowControl/>
        <w:tabs>
          <w:tab w:val="left" w:pos="1134"/>
        </w:tabs>
        <w:spacing w:after="0" w:line="360" w:lineRule="auto"/>
        <w:ind w:firstLine="709"/>
        <w:jc w:val="both"/>
        <w:rPr>
          <w:rFonts w:ascii="Times New Roman" w:hAnsi="Times New Roman"/>
        </w:rPr>
      </w:pPr>
      <w:r>
        <w:rPr>
          <w:rFonts w:ascii="Times New Roman" w:hAnsi="Times New Roman"/>
        </w:rPr>
        <w:t>самостоятельно создавать схемы, таблицы для представления лингвистической информации, понимать лингвистическую информацию, зафиксированную в виде таблиц, схем.</w:t>
      </w:r>
    </w:p>
    <w:p w14:paraId="14BFD9DE">
      <w:pPr>
        <w:widowControl/>
        <w:tabs>
          <w:tab w:val="left" w:pos="1134"/>
        </w:tabs>
        <w:spacing w:after="0" w:line="360" w:lineRule="auto"/>
        <w:ind w:firstLine="709"/>
        <w:jc w:val="both"/>
        <w:rPr>
          <w:rFonts w:ascii="Times New Roman" w:hAnsi="Times New Roman"/>
        </w:rPr>
      </w:pPr>
      <w:r>
        <w:rPr>
          <w:rFonts w:ascii="Times New Roman" w:hAnsi="Times New Roman"/>
        </w:rPr>
        <w:t>4.10.2.4. У обучающегося будут сформированы умения общения как часть коммуникативных универсальных учебных действий:</w:t>
      </w:r>
    </w:p>
    <w:p w14:paraId="029AB4CF">
      <w:pPr>
        <w:widowControl/>
        <w:tabs>
          <w:tab w:val="left" w:pos="1134"/>
        </w:tabs>
        <w:spacing w:after="0" w:line="360" w:lineRule="auto"/>
        <w:ind w:firstLine="709"/>
        <w:jc w:val="both"/>
        <w:rPr>
          <w:rFonts w:ascii="Times New Roman" w:hAnsi="Times New Roman"/>
        </w:rPr>
      </w:pPr>
      <w:r>
        <w:rPr>
          <w:rFonts w:ascii="Times New Roman" w:hAnsi="Times New Roman"/>
        </w:rPr>
        <w:t>воспринимать и формулировать суждения, выражать эмоции в соответствии с целями и условиями общения в знакомой среде;</w:t>
      </w:r>
    </w:p>
    <w:p w14:paraId="077D1676">
      <w:pPr>
        <w:widowControl/>
        <w:tabs>
          <w:tab w:val="left" w:pos="1134"/>
        </w:tabs>
        <w:spacing w:after="0" w:line="360" w:lineRule="auto"/>
        <w:ind w:firstLine="709"/>
        <w:jc w:val="both"/>
        <w:rPr>
          <w:rFonts w:ascii="Times New Roman" w:hAnsi="Times New Roman"/>
        </w:rPr>
      </w:pPr>
      <w:r>
        <w:rPr>
          <w:rFonts w:ascii="Times New Roman" w:hAnsi="Times New Roman"/>
        </w:rPr>
        <w:t>проявлять уважительное отношение к собеседнику, соблюдать правила ведения диалога и дискуссии;</w:t>
      </w:r>
    </w:p>
    <w:p w14:paraId="5D9C99AA">
      <w:pPr>
        <w:widowControl/>
        <w:tabs>
          <w:tab w:val="left" w:pos="1134"/>
        </w:tabs>
        <w:spacing w:after="0" w:line="360" w:lineRule="auto"/>
        <w:ind w:firstLine="709"/>
        <w:jc w:val="both"/>
        <w:rPr>
          <w:rFonts w:ascii="Times New Roman" w:hAnsi="Times New Roman"/>
        </w:rPr>
      </w:pPr>
      <w:r>
        <w:rPr>
          <w:rFonts w:ascii="Times New Roman" w:hAnsi="Times New Roman"/>
        </w:rPr>
        <w:t>признавать возможность существования разных точек зрения;</w:t>
      </w:r>
    </w:p>
    <w:p w14:paraId="57BE6177">
      <w:pPr>
        <w:widowControl/>
        <w:tabs>
          <w:tab w:val="left" w:pos="1134"/>
        </w:tabs>
        <w:spacing w:after="0" w:line="360" w:lineRule="auto"/>
        <w:ind w:firstLine="709"/>
        <w:jc w:val="both"/>
        <w:rPr>
          <w:rFonts w:ascii="Times New Roman" w:hAnsi="Times New Roman"/>
        </w:rPr>
      </w:pPr>
      <w:r>
        <w:rPr>
          <w:rFonts w:ascii="Times New Roman" w:hAnsi="Times New Roman"/>
        </w:rPr>
        <w:t>корректно и аргументированно высказывать своё мнение;</w:t>
      </w:r>
    </w:p>
    <w:p w14:paraId="0D193816">
      <w:pPr>
        <w:widowControl/>
        <w:tabs>
          <w:tab w:val="left" w:pos="1134"/>
        </w:tabs>
        <w:spacing w:after="0" w:line="360" w:lineRule="auto"/>
        <w:ind w:firstLine="709"/>
        <w:jc w:val="both"/>
        <w:rPr>
          <w:rFonts w:ascii="Times New Roman" w:hAnsi="Times New Roman"/>
        </w:rPr>
      </w:pPr>
      <w:r>
        <w:rPr>
          <w:rFonts w:ascii="Times New Roman" w:hAnsi="Times New Roman"/>
        </w:rPr>
        <w:t>строить речевое высказывание в соответствии с поставленной задачей;</w:t>
      </w:r>
    </w:p>
    <w:p w14:paraId="4D6EE133">
      <w:pPr>
        <w:widowControl/>
        <w:tabs>
          <w:tab w:val="left" w:pos="1134"/>
        </w:tabs>
        <w:spacing w:after="0" w:line="360" w:lineRule="auto"/>
        <w:ind w:firstLine="709"/>
        <w:jc w:val="both"/>
        <w:rPr>
          <w:rFonts w:ascii="Times New Roman" w:hAnsi="Times New Roman"/>
        </w:rPr>
      </w:pPr>
      <w:r>
        <w:rPr>
          <w:rFonts w:ascii="Times New Roman" w:hAnsi="Times New Roman"/>
        </w:rPr>
        <w:t>создавать устные и письменные тексты (описание, рассуждение, повествование);</w:t>
      </w:r>
    </w:p>
    <w:p w14:paraId="623D3FC1">
      <w:pPr>
        <w:widowControl/>
        <w:tabs>
          <w:tab w:val="left" w:pos="1134"/>
        </w:tabs>
        <w:spacing w:after="0" w:line="360" w:lineRule="auto"/>
        <w:ind w:firstLine="709"/>
        <w:jc w:val="both"/>
        <w:rPr>
          <w:rFonts w:ascii="Times New Roman" w:hAnsi="Times New Roman"/>
        </w:rPr>
      </w:pPr>
      <w:r>
        <w:rPr>
          <w:rFonts w:ascii="Times New Roman" w:hAnsi="Times New Roman"/>
        </w:rPr>
        <w:t>подготавливать небольшие публичные выступления;</w:t>
      </w:r>
    </w:p>
    <w:p w14:paraId="35EDFF62">
      <w:pPr>
        <w:widowControl/>
        <w:tabs>
          <w:tab w:val="left" w:pos="1134"/>
        </w:tabs>
        <w:spacing w:after="0" w:line="360" w:lineRule="auto"/>
        <w:ind w:firstLine="709"/>
        <w:jc w:val="both"/>
        <w:rPr>
          <w:rFonts w:ascii="Times New Roman" w:hAnsi="Times New Roman"/>
        </w:rPr>
      </w:pPr>
      <w:r>
        <w:rPr>
          <w:rFonts w:ascii="Times New Roman" w:hAnsi="Times New Roman"/>
        </w:rPr>
        <w:t>подбирать иллюстративный материал (рисунки, фото, плакаты) к тексту выступления.</w:t>
      </w:r>
    </w:p>
    <w:p w14:paraId="75F1F13D">
      <w:pPr>
        <w:widowControl/>
        <w:tabs>
          <w:tab w:val="left" w:pos="1134"/>
        </w:tabs>
        <w:spacing w:after="0" w:line="360" w:lineRule="auto"/>
        <w:ind w:firstLine="709"/>
        <w:jc w:val="both"/>
        <w:rPr>
          <w:rFonts w:ascii="Times New Roman" w:hAnsi="Times New Roman"/>
        </w:rPr>
      </w:pPr>
      <w:r>
        <w:rPr>
          <w:rFonts w:ascii="Times New Roman" w:hAnsi="Times New Roman"/>
        </w:rPr>
        <w:t>4.10.2.5. У обучающегося будут сформированы умения самоорганизации как части регулятивных универсальных учебных действий:</w:t>
      </w:r>
    </w:p>
    <w:p w14:paraId="6CD3BC50">
      <w:pPr>
        <w:widowControl/>
        <w:tabs>
          <w:tab w:val="left" w:pos="1134"/>
        </w:tabs>
        <w:spacing w:after="0" w:line="360" w:lineRule="auto"/>
        <w:ind w:firstLine="709"/>
        <w:jc w:val="both"/>
        <w:rPr>
          <w:rFonts w:ascii="Times New Roman" w:hAnsi="Times New Roman"/>
        </w:rPr>
      </w:pPr>
      <w:r>
        <w:rPr>
          <w:rFonts w:ascii="Times New Roman" w:hAnsi="Times New Roman"/>
        </w:rPr>
        <w:t>планировать действия по решению учебной задачи для получения результата;</w:t>
      </w:r>
    </w:p>
    <w:p w14:paraId="0E066F45">
      <w:pPr>
        <w:widowControl/>
        <w:tabs>
          <w:tab w:val="left" w:pos="1134"/>
        </w:tabs>
        <w:spacing w:after="0" w:line="360" w:lineRule="auto"/>
        <w:ind w:firstLine="709"/>
        <w:jc w:val="both"/>
        <w:rPr>
          <w:rFonts w:ascii="Times New Roman" w:hAnsi="Times New Roman"/>
        </w:rPr>
      </w:pPr>
      <w:r>
        <w:rPr>
          <w:rFonts w:ascii="Times New Roman" w:hAnsi="Times New Roman"/>
        </w:rPr>
        <w:t>выстраивать последовательность выбранных действий.</w:t>
      </w:r>
    </w:p>
    <w:p w14:paraId="1B904D08">
      <w:pPr>
        <w:widowControl/>
        <w:tabs>
          <w:tab w:val="left" w:pos="1134"/>
        </w:tabs>
        <w:spacing w:after="0" w:line="360" w:lineRule="auto"/>
        <w:ind w:firstLine="709"/>
        <w:jc w:val="both"/>
        <w:rPr>
          <w:rFonts w:ascii="Times New Roman" w:hAnsi="Times New Roman"/>
        </w:rPr>
      </w:pPr>
      <w:r>
        <w:rPr>
          <w:rFonts w:ascii="Times New Roman" w:hAnsi="Times New Roman"/>
        </w:rPr>
        <w:t>4.10.2.6. У обучающегося будут сформированы умения самоконтроля как части регулятивных универсальных учебных действий:</w:t>
      </w:r>
    </w:p>
    <w:p w14:paraId="18F85108">
      <w:pPr>
        <w:widowControl/>
        <w:tabs>
          <w:tab w:val="left" w:pos="1134"/>
        </w:tabs>
        <w:spacing w:after="0" w:line="360" w:lineRule="auto"/>
        <w:ind w:firstLine="709"/>
        <w:jc w:val="both"/>
        <w:rPr>
          <w:rFonts w:ascii="Times New Roman" w:hAnsi="Times New Roman"/>
        </w:rPr>
      </w:pPr>
      <w:r>
        <w:rPr>
          <w:rFonts w:ascii="Times New Roman" w:hAnsi="Times New Roman"/>
        </w:rPr>
        <w:t>устанавливать причины успеха (неудач) учебной деятельности;</w:t>
      </w:r>
    </w:p>
    <w:p w14:paraId="1F1BEC3F">
      <w:pPr>
        <w:widowControl/>
        <w:tabs>
          <w:tab w:val="left" w:pos="1134"/>
        </w:tabs>
        <w:spacing w:after="0" w:line="360" w:lineRule="auto"/>
        <w:ind w:firstLine="709"/>
        <w:jc w:val="both"/>
        <w:rPr>
          <w:rFonts w:ascii="Times New Roman" w:hAnsi="Times New Roman"/>
        </w:rPr>
      </w:pPr>
      <w:r>
        <w:rPr>
          <w:rFonts w:ascii="Times New Roman" w:hAnsi="Times New Roman"/>
        </w:rPr>
        <w:t>корректировать свои учебные действия для преодоления речевых и орфографических ошибок.</w:t>
      </w:r>
    </w:p>
    <w:p w14:paraId="3FE0E72D">
      <w:pPr>
        <w:widowControl/>
        <w:tabs>
          <w:tab w:val="left" w:pos="1134"/>
        </w:tabs>
        <w:spacing w:after="0" w:line="360" w:lineRule="auto"/>
        <w:ind w:firstLine="709"/>
        <w:jc w:val="both"/>
        <w:rPr>
          <w:rFonts w:ascii="Times New Roman" w:hAnsi="Times New Roman"/>
        </w:rPr>
      </w:pPr>
      <w:r>
        <w:rPr>
          <w:rFonts w:ascii="Times New Roman" w:hAnsi="Times New Roman"/>
        </w:rPr>
        <w:t>4.10.2.7. У обучающегося будут сформированы умения совместной деятельности:</w:t>
      </w:r>
    </w:p>
    <w:p w14:paraId="5359C17F">
      <w:pPr>
        <w:widowControl/>
        <w:tabs>
          <w:tab w:val="left" w:pos="1134"/>
        </w:tabs>
        <w:spacing w:after="0" w:line="360" w:lineRule="auto"/>
        <w:ind w:firstLine="709"/>
        <w:jc w:val="both"/>
        <w:rPr>
          <w:rFonts w:ascii="Times New Roman" w:hAnsi="Times New Roman"/>
        </w:rPr>
      </w:pPr>
      <w:r>
        <w:rPr>
          <w:rFonts w:ascii="Times New Roman" w:hAnsi="Times New Roman"/>
        </w:rPr>
        <w:t>формулировать краткосрочные и долгосрочные цели (индивидуальные с учетом участия в коллективных задачах) в стандартной (типовой) ситуации на основе предложенного формата планирования, распределения промежуточных шагов и сроков;</w:t>
      </w:r>
    </w:p>
    <w:p w14:paraId="469093FF">
      <w:pPr>
        <w:widowControl/>
        <w:tabs>
          <w:tab w:val="left" w:pos="1134"/>
        </w:tabs>
        <w:spacing w:after="0" w:line="360" w:lineRule="auto"/>
        <w:ind w:firstLine="709"/>
        <w:jc w:val="both"/>
        <w:rPr>
          <w:rFonts w:ascii="Times New Roman" w:hAnsi="Times New Roman"/>
        </w:rPr>
      </w:pPr>
      <w:r>
        <w:rPr>
          <w:rFonts w:ascii="Times New Roman" w:hAnsi="Times New Roman"/>
        </w:rPr>
        <w:t>принимать цель совместной деятельности, коллективно выстраивать действия по её достижению (распределять роли, договариваться, обсуждать процесс и результат совместной работы);</w:t>
      </w:r>
    </w:p>
    <w:p w14:paraId="28BD8EB4">
      <w:pPr>
        <w:widowControl/>
        <w:tabs>
          <w:tab w:val="left" w:pos="1134"/>
        </w:tabs>
        <w:spacing w:after="0" w:line="360" w:lineRule="auto"/>
        <w:ind w:firstLine="709"/>
        <w:jc w:val="both"/>
        <w:rPr>
          <w:rFonts w:ascii="Times New Roman" w:hAnsi="Times New Roman"/>
        </w:rPr>
      </w:pPr>
      <w:r>
        <w:rPr>
          <w:rFonts w:ascii="Times New Roman" w:hAnsi="Times New Roman"/>
        </w:rPr>
        <w:t>проявлять готовность руководить, выполнять поручения, подчиняться;</w:t>
      </w:r>
    </w:p>
    <w:p w14:paraId="7C687960">
      <w:pPr>
        <w:widowControl/>
        <w:tabs>
          <w:tab w:val="left" w:pos="1134"/>
        </w:tabs>
        <w:spacing w:after="0" w:line="360" w:lineRule="auto"/>
        <w:ind w:firstLine="709"/>
        <w:jc w:val="both"/>
        <w:rPr>
          <w:rFonts w:ascii="Times New Roman" w:hAnsi="Times New Roman"/>
        </w:rPr>
      </w:pPr>
      <w:r>
        <w:rPr>
          <w:rFonts w:ascii="Times New Roman" w:hAnsi="Times New Roman"/>
        </w:rPr>
        <w:t>ответственно выполнять свою часть работы;</w:t>
      </w:r>
    </w:p>
    <w:p w14:paraId="05623777">
      <w:pPr>
        <w:widowControl/>
        <w:tabs>
          <w:tab w:val="left" w:pos="1134"/>
        </w:tabs>
        <w:spacing w:after="0" w:line="360" w:lineRule="auto"/>
        <w:ind w:firstLine="709"/>
        <w:jc w:val="both"/>
        <w:rPr>
          <w:rFonts w:ascii="Times New Roman" w:hAnsi="Times New Roman"/>
        </w:rPr>
      </w:pPr>
      <w:r>
        <w:rPr>
          <w:rFonts w:ascii="Times New Roman" w:hAnsi="Times New Roman"/>
        </w:rPr>
        <w:t>оценивать свой вклад в общий результат;</w:t>
      </w:r>
    </w:p>
    <w:p w14:paraId="4AF49391">
      <w:pPr>
        <w:widowControl/>
        <w:tabs>
          <w:tab w:val="left" w:pos="1134"/>
        </w:tabs>
        <w:spacing w:after="0" w:line="360" w:lineRule="auto"/>
        <w:ind w:firstLine="709"/>
        <w:jc w:val="both"/>
        <w:rPr>
          <w:rFonts w:ascii="Times New Roman" w:hAnsi="Times New Roman"/>
        </w:rPr>
      </w:pPr>
      <w:r>
        <w:rPr>
          <w:rFonts w:ascii="Times New Roman" w:hAnsi="Times New Roman"/>
        </w:rPr>
        <w:t>выполнять совместные проектные задания с использованием предложенного образца.</w:t>
      </w:r>
      <w:bookmarkStart w:id="2" w:name="_bookmark11"/>
      <w:bookmarkEnd w:id="2"/>
    </w:p>
    <w:p w14:paraId="51FF69C4">
      <w:pPr>
        <w:widowControl/>
        <w:tabs>
          <w:tab w:val="left" w:pos="1134"/>
        </w:tabs>
        <w:spacing w:after="0" w:line="360" w:lineRule="auto"/>
        <w:ind w:firstLine="709"/>
        <w:jc w:val="both"/>
        <w:rPr>
          <w:rFonts w:ascii="Times New Roman" w:hAnsi="Times New Roman"/>
        </w:rPr>
      </w:pPr>
      <w:r>
        <w:rPr>
          <w:rFonts w:ascii="Times New Roman" w:hAnsi="Times New Roman"/>
        </w:rPr>
        <w:t>4.10.3. Предметные результаты изучения родного (чувашского) языка. К концу обучения в 1 классе обучающийся научится:</w:t>
      </w:r>
    </w:p>
    <w:p w14:paraId="38995CB9">
      <w:pPr>
        <w:widowControl/>
        <w:tabs>
          <w:tab w:val="left" w:pos="1134"/>
        </w:tabs>
        <w:spacing w:after="0" w:line="360" w:lineRule="auto"/>
        <w:ind w:firstLine="709"/>
        <w:jc w:val="both"/>
        <w:rPr>
          <w:rFonts w:ascii="Times New Roman" w:hAnsi="Times New Roman"/>
        </w:rPr>
      </w:pPr>
      <w:r>
        <w:rPr>
          <w:rFonts w:ascii="Times New Roman" w:hAnsi="Times New Roman"/>
        </w:rPr>
        <w:t>различать слово и предложение;</w:t>
      </w:r>
    </w:p>
    <w:p w14:paraId="07BC829D">
      <w:pPr>
        <w:widowControl/>
        <w:tabs>
          <w:tab w:val="left" w:pos="1134"/>
        </w:tabs>
        <w:spacing w:after="0" w:line="360" w:lineRule="auto"/>
        <w:ind w:firstLine="709"/>
        <w:jc w:val="both"/>
        <w:rPr>
          <w:rFonts w:ascii="Times New Roman" w:hAnsi="Times New Roman"/>
        </w:rPr>
      </w:pPr>
      <w:r>
        <w:rPr>
          <w:rFonts w:ascii="Times New Roman" w:hAnsi="Times New Roman"/>
        </w:rPr>
        <w:t>выделять слова из предложений;</w:t>
      </w:r>
    </w:p>
    <w:p w14:paraId="2040E731">
      <w:pPr>
        <w:widowControl/>
        <w:tabs>
          <w:tab w:val="left" w:pos="1134"/>
        </w:tabs>
        <w:spacing w:after="0" w:line="360" w:lineRule="auto"/>
        <w:ind w:firstLine="709"/>
        <w:jc w:val="both"/>
        <w:rPr>
          <w:rFonts w:ascii="Times New Roman" w:hAnsi="Times New Roman"/>
        </w:rPr>
      </w:pPr>
      <w:r>
        <w:rPr>
          <w:rFonts w:ascii="Times New Roman" w:hAnsi="Times New Roman"/>
        </w:rPr>
        <w:t>определять звуковой состав слова,</w:t>
      </w:r>
    </w:p>
    <w:p w14:paraId="5DB95697">
      <w:pPr>
        <w:widowControl/>
        <w:tabs>
          <w:tab w:val="left" w:pos="1134"/>
        </w:tabs>
        <w:spacing w:after="0" w:line="360" w:lineRule="auto"/>
        <w:ind w:firstLine="709"/>
        <w:jc w:val="both"/>
        <w:rPr>
          <w:rFonts w:ascii="Times New Roman" w:hAnsi="Times New Roman"/>
        </w:rPr>
      </w:pPr>
      <w:r>
        <w:rPr>
          <w:rFonts w:ascii="Times New Roman" w:hAnsi="Times New Roman"/>
        </w:rPr>
        <w:t>выделять звуки из слова;</w:t>
      </w:r>
    </w:p>
    <w:p w14:paraId="26354CC0">
      <w:pPr>
        <w:widowControl/>
        <w:tabs>
          <w:tab w:val="left" w:pos="1134"/>
        </w:tabs>
        <w:spacing w:after="0" w:line="360" w:lineRule="auto"/>
        <w:ind w:firstLine="709"/>
        <w:jc w:val="both"/>
        <w:rPr>
          <w:rFonts w:ascii="Times New Roman" w:hAnsi="Times New Roman"/>
        </w:rPr>
      </w:pPr>
      <w:r>
        <w:rPr>
          <w:rFonts w:ascii="Times New Roman" w:hAnsi="Times New Roman"/>
        </w:rPr>
        <w:t>различать гласные и согласные звуки;</w:t>
      </w:r>
    </w:p>
    <w:p w14:paraId="27431E2B">
      <w:pPr>
        <w:widowControl/>
        <w:tabs>
          <w:tab w:val="left" w:pos="1134"/>
        </w:tabs>
        <w:spacing w:after="0" w:line="360" w:lineRule="auto"/>
        <w:ind w:firstLine="709"/>
        <w:jc w:val="both"/>
        <w:rPr>
          <w:rFonts w:ascii="Times New Roman" w:hAnsi="Times New Roman"/>
        </w:rPr>
      </w:pPr>
      <w:r>
        <w:rPr>
          <w:rFonts w:ascii="Times New Roman" w:hAnsi="Times New Roman"/>
        </w:rPr>
        <w:t>различать гласные звуки чувашского языка [а], [ă], [у], [ы], [о], [э], [ĕ], [ÿ], [и] и обозначающие их буквы;</w:t>
      </w:r>
    </w:p>
    <w:p w14:paraId="2E3C066D">
      <w:pPr>
        <w:widowControl/>
        <w:tabs>
          <w:tab w:val="left" w:pos="1134"/>
        </w:tabs>
        <w:spacing w:after="0" w:line="360" w:lineRule="auto"/>
        <w:ind w:firstLine="709"/>
        <w:jc w:val="both"/>
        <w:rPr>
          <w:rFonts w:ascii="Times New Roman" w:hAnsi="Times New Roman"/>
        </w:rPr>
      </w:pPr>
      <w:r>
        <w:rPr>
          <w:rFonts w:ascii="Times New Roman" w:hAnsi="Times New Roman"/>
        </w:rPr>
        <w:t>различать гласные: мягкие ([э], [ĕ], [ÿ], [и]), твёрдые ([а], [ă], [у], [ы], [о]) и обозначающие их буквы;</w:t>
      </w:r>
    </w:p>
    <w:p w14:paraId="1C0D3A2B">
      <w:pPr>
        <w:widowControl/>
        <w:tabs>
          <w:tab w:val="left" w:pos="1134"/>
        </w:tabs>
        <w:spacing w:after="0" w:line="360" w:lineRule="auto"/>
        <w:ind w:firstLine="709"/>
        <w:jc w:val="both"/>
        <w:rPr>
          <w:rFonts w:ascii="Times New Roman" w:hAnsi="Times New Roman"/>
        </w:rPr>
      </w:pPr>
      <w:r>
        <w:rPr>
          <w:rFonts w:ascii="Times New Roman" w:hAnsi="Times New Roman"/>
        </w:rPr>
        <w:t>различать мягкие и твёрдые согласные звуки чувашского языка (вне слова, в слове);</w:t>
      </w:r>
    </w:p>
    <w:p w14:paraId="003BF9BB">
      <w:pPr>
        <w:widowControl/>
        <w:tabs>
          <w:tab w:val="left" w:pos="1134"/>
        </w:tabs>
        <w:spacing w:after="0" w:line="360" w:lineRule="auto"/>
        <w:ind w:firstLine="709"/>
        <w:jc w:val="both"/>
        <w:rPr>
          <w:rFonts w:ascii="Times New Roman" w:hAnsi="Times New Roman"/>
        </w:rPr>
      </w:pPr>
      <w:r>
        <w:rPr>
          <w:rFonts w:ascii="Times New Roman" w:hAnsi="Times New Roman"/>
        </w:rPr>
        <w:t>различать понятия «звук» и «буква», правильно называть буквы чувашского алфавита;</w:t>
      </w:r>
    </w:p>
    <w:p w14:paraId="648E0AA7">
      <w:pPr>
        <w:widowControl/>
        <w:tabs>
          <w:tab w:val="left" w:pos="1134"/>
        </w:tabs>
        <w:spacing w:after="0" w:line="360" w:lineRule="auto"/>
        <w:ind w:firstLine="709"/>
        <w:jc w:val="both"/>
        <w:rPr>
          <w:rFonts w:ascii="Times New Roman" w:hAnsi="Times New Roman"/>
        </w:rPr>
      </w:pPr>
      <w:r>
        <w:rPr>
          <w:rFonts w:ascii="Times New Roman" w:hAnsi="Times New Roman"/>
        </w:rPr>
        <w:t>обозначать при письме мягкость согласных звуков буквами е, ё, ю, я и буквой ь;</w:t>
      </w:r>
    </w:p>
    <w:p w14:paraId="393D24D0">
      <w:pPr>
        <w:widowControl/>
        <w:tabs>
          <w:tab w:val="left" w:pos="1134"/>
        </w:tabs>
        <w:spacing w:after="0" w:line="360" w:lineRule="auto"/>
        <w:ind w:firstLine="709"/>
        <w:jc w:val="both"/>
        <w:rPr>
          <w:rFonts w:ascii="Times New Roman" w:hAnsi="Times New Roman"/>
        </w:rPr>
      </w:pPr>
      <w:r>
        <w:rPr>
          <w:rFonts w:ascii="Times New Roman" w:hAnsi="Times New Roman"/>
        </w:rPr>
        <w:t>определять количество слогов в слове, делить слова на слоги (простые случаи: слова без стечения согласных), определять в слове ударный слог;</w:t>
      </w:r>
    </w:p>
    <w:p w14:paraId="58F87354">
      <w:pPr>
        <w:widowControl/>
        <w:tabs>
          <w:tab w:val="left" w:pos="1134"/>
        </w:tabs>
        <w:spacing w:after="0" w:line="360" w:lineRule="auto"/>
        <w:ind w:firstLine="709"/>
        <w:jc w:val="both"/>
        <w:rPr>
          <w:rFonts w:ascii="Times New Roman" w:hAnsi="Times New Roman"/>
        </w:rPr>
      </w:pPr>
      <w:r>
        <w:rPr>
          <w:rFonts w:ascii="Times New Roman" w:hAnsi="Times New Roman"/>
        </w:rPr>
        <w:t>читать по слогам и целыми словами вслух и про себя, читать слова, предложения, тексты осознанно, правильно, в темпе и выразительно;</w:t>
      </w:r>
    </w:p>
    <w:p w14:paraId="41837202">
      <w:pPr>
        <w:widowControl/>
        <w:tabs>
          <w:tab w:val="left" w:pos="1134"/>
        </w:tabs>
        <w:spacing w:after="0" w:line="360" w:lineRule="auto"/>
        <w:ind w:firstLine="709"/>
        <w:jc w:val="both"/>
        <w:rPr>
          <w:rFonts w:ascii="Times New Roman" w:hAnsi="Times New Roman"/>
        </w:rPr>
      </w:pPr>
      <w:r>
        <w:rPr>
          <w:rFonts w:ascii="Times New Roman" w:hAnsi="Times New Roman"/>
        </w:rPr>
        <w:t>писать аккуратным разборчивым почерком прописные и строчные буквы, соединения букв, слова;</w:t>
      </w:r>
    </w:p>
    <w:p w14:paraId="74080D08">
      <w:pPr>
        <w:widowControl/>
        <w:tabs>
          <w:tab w:val="left" w:pos="1134"/>
        </w:tabs>
        <w:spacing w:after="0" w:line="360" w:lineRule="auto"/>
        <w:ind w:firstLine="709"/>
        <w:jc w:val="both"/>
        <w:rPr>
          <w:rFonts w:ascii="Times New Roman" w:hAnsi="Times New Roman"/>
        </w:rPr>
      </w:pPr>
      <w:r>
        <w:rPr>
          <w:rFonts w:ascii="Times New Roman" w:hAnsi="Times New Roman"/>
        </w:rPr>
        <w:t>понимать функции небуквенных графических средств: пробела между словами, знака переноса;</w:t>
      </w:r>
    </w:p>
    <w:p w14:paraId="3DD987F1">
      <w:pPr>
        <w:widowControl/>
        <w:tabs>
          <w:tab w:val="left" w:pos="1134"/>
        </w:tabs>
        <w:spacing w:after="0" w:line="360" w:lineRule="auto"/>
        <w:ind w:firstLine="709"/>
        <w:jc w:val="both"/>
        <w:rPr>
          <w:rFonts w:ascii="Times New Roman" w:hAnsi="Times New Roman"/>
        </w:rPr>
      </w:pPr>
      <w:r>
        <w:rPr>
          <w:rFonts w:ascii="Times New Roman" w:hAnsi="Times New Roman"/>
        </w:rPr>
        <w:t>применять изученные правила правописания: раздельное написание слов в предложении, знаки препинания в конце предложения (точка, вопросительный и восклицательный знаки), прописная буква в начале предложения и в именах собственных (имена, фамилии, клички животных, названия населенных пунктов), перенос слов по слогам (простые случаи);</w:t>
      </w:r>
    </w:p>
    <w:p w14:paraId="3FE88DCD">
      <w:pPr>
        <w:widowControl/>
        <w:tabs>
          <w:tab w:val="left" w:pos="1134"/>
        </w:tabs>
        <w:spacing w:after="0" w:line="360" w:lineRule="auto"/>
        <w:ind w:firstLine="709"/>
        <w:jc w:val="both"/>
        <w:rPr>
          <w:rFonts w:ascii="Times New Roman" w:hAnsi="Times New Roman"/>
        </w:rPr>
      </w:pPr>
      <w:r>
        <w:rPr>
          <w:rFonts w:ascii="Times New Roman" w:hAnsi="Times New Roman"/>
        </w:rPr>
        <w:t>правильно списывать (без пропусков и искажений букв) слова и предложения, тексты объёмом не более 25 слов;</w:t>
      </w:r>
    </w:p>
    <w:p w14:paraId="0889609A">
      <w:pPr>
        <w:widowControl/>
        <w:tabs>
          <w:tab w:val="left" w:pos="1134"/>
        </w:tabs>
        <w:spacing w:after="0" w:line="360" w:lineRule="auto"/>
        <w:ind w:firstLine="709"/>
        <w:jc w:val="both"/>
        <w:rPr>
          <w:rFonts w:ascii="Times New Roman" w:hAnsi="Times New Roman"/>
        </w:rPr>
      </w:pPr>
      <w:r>
        <w:rPr>
          <w:rFonts w:ascii="Times New Roman" w:hAnsi="Times New Roman"/>
        </w:rPr>
        <w:t>писать под диктовку (без пропусков и искажений букв) слова, предложения из 3–5 слов, тексты объёмом не более 20 слов, правописание которых не расходится с произношением;</w:t>
      </w:r>
    </w:p>
    <w:p w14:paraId="57C0D19D">
      <w:pPr>
        <w:widowControl/>
        <w:tabs>
          <w:tab w:val="left" w:pos="1134"/>
        </w:tabs>
        <w:spacing w:after="0" w:line="360" w:lineRule="auto"/>
        <w:ind w:firstLine="709"/>
        <w:jc w:val="both"/>
        <w:rPr>
          <w:rFonts w:ascii="Times New Roman" w:hAnsi="Times New Roman"/>
        </w:rPr>
      </w:pPr>
      <w:r>
        <w:rPr>
          <w:rFonts w:ascii="Times New Roman" w:hAnsi="Times New Roman"/>
        </w:rPr>
        <w:t>читать вслух и про себя (с пониманием) короткие тексты с соблюдением интонации и пауз в соответствии со знаками препинания в конце предложения;</w:t>
      </w:r>
    </w:p>
    <w:p w14:paraId="12711A69">
      <w:pPr>
        <w:widowControl/>
        <w:tabs>
          <w:tab w:val="left" w:pos="1134"/>
        </w:tabs>
        <w:spacing w:after="0" w:line="360" w:lineRule="auto"/>
        <w:ind w:firstLine="709"/>
        <w:jc w:val="both"/>
        <w:rPr>
          <w:rFonts w:ascii="Times New Roman" w:hAnsi="Times New Roman"/>
        </w:rPr>
      </w:pPr>
      <w:r>
        <w:rPr>
          <w:rFonts w:ascii="Times New Roman" w:hAnsi="Times New Roman"/>
        </w:rPr>
        <w:t>находить в тексте слова, значение которых требует уточнения;</w:t>
      </w:r>
    </w:p>
    <w:p w14:paraId="3A057B01">
      <w:pPr>
        <w:widowControl/>
        <w:tabs>
          <w:tab w:val="left" w:pos="1134"/>
        </w:tabs>
        <w:spacing w:after="0" w:line="360" w:lineRule="auto"/>
        <w:ind w:firstLine="709"/>
        <w:jc w:val="both"/>
        <w:rPr>
          <w:rFonts w:ascii="Times New Roman" w:hAnsi="Times New Roman"/>
        </w:rPr>
      </w:pPr>
      <w:r>
        <w:rPr>
          <w:rFonts w:ascii="Times New Roman" w:hAnsi="Times New Roman"/>
        </w:rPr>
        <w:t>составлять предложение из набора форм слов;</w:t>
      </w:r>
    </w:p>
    <w:p w14:paraId="296046CA">
      <w:pPr>
        <w:widowControl/>
        <w:tabs>
          <w:tab w:val="left" w:pos="1134"/>
        </w:tabs>
        <w:spacing w:after="0" w:line="360" w:lineRule="auto"/>
        <w:ind w:firstLine="709"/>
        <w:jc w:val="both"/>
        <w:rPr>
          <w:rFonts w:ascii="Times New Roman" w:hAnsi="Times New Roman"/>
        </w:rPr>
      </w:pPr>
      <w:r>
        <w:rPr>
          <w:rFonts w:ascii="Times New Roman" w:hAnsi="Times New Roman"/>
        </w:rPr>
        <w:t>устно составлять текст из 3–5 предложений по сюжетным картинкам и на основе наблюдений;</w:t>
      </w:r>
    </w:p>
    <w:p w14:paraId="4926EBD3">
      <w:pPr>
        <w:widowControl/>
        <w:tabs>
          <w:tab w:val="left" w:pos="1134"/>
        </w:tabs>
        <w:spacing w:after="0" w:line="360" w:lineRule="auto"/>
        <w:ind w:firstLine="709"/>
        <w:jc w:val="both"/>
        <w:rPr>
          <w:rFonts w:ascii="Times New Roman" w:hAnsi="Times New Roman"/>
        </w:rPr>
      </w:pPr>
      <w:r>
        <w:rPr>
          <w:rFonts w:ascii="Times New Roman" w:hAnsi="Times New Roman"/>
        </w:rPr>
        <w:t>использовать изученные понятия в процессе решения учебных задач.</w:t>
      </w:r>
    </w:p>
    <w:p w14:paraId="7115FD54">
      <w:pPr>
        <w:widowControl/>
        <w:tabs>
          <w:tab w:val="left" w:pos="1134"/>
        </w:tabs>
        <w:spacing w:after="0" w:line="360" w:lineRule="auto"/>
        <w:ind w:firstLine="709"/>
        <w:jc w:val="both"/>
        <w:rPr>
          <w:rFonts w:ascii="Times New Roman" w:hAnsi="Times New Roman"/>
        </w:rPr>
      </w:pPr>
      <w:r>
        <w:rPr>
          <w:rFonts w:ascii="Times New Roman" w:hAnsi="Times New Roman"/>
        </w:rPr>
        <w:t>4.10.4. Предметные результаты изучения родного (чувашского) языка. К концу обучения во 2 классе обучающийся научится:</w:t>
      </w:r>
    </w:p>
    <w:p w14:paraId="7907EEE5">
      <w:pPr>
        <w:widowControl/>
        <w:tabs>
          <w:tab w:val="left" w:pos="1134"/>
        </w:tabs>
        <w:spacing w:after="0" w:line="360" w:lineRule="auto"/>
        <w:ind w:firstLine="709"/>
        <w:jc w:val="both"/>
        <w:rPr>
          <w:rFonts w:ascii="Times New Roman" w:hAnsi="Times New Roman"/>
        </w:rPr>
      </w:pPr>
      <w:r>
        <w:rPr>
          <w:rFonts w:ascii="Times New Roman" w:hAnsi="Times New Roman"/>
        </w:rPr>
        <w:t>осознавать язык как основное средство общения людей;</w:t>
      </w:r>
    </w:p>
    <w:p w14:paraId="5D23A163">
      <w:pPr>
        <w:widowControl/>
        <w:tabs>
          <w:tab w:val="left" w:pos="1134"/>
        </w:tabs>
        <w:spacing w:after="0" w:line="360" w:lineRule="auto"/>
        <w:ind w:firstLine="709"/>
        <w:jc w:val="both"/>
        <w:rPr>
          <w:rFonts w:ascii="Times New Roman" w:hAnsi="Times New Roman"/>
        </w:rPr>
      </w:pPr>
      <w:r>
        <w:rPr>
          <w:rFonts w:ascii="Times New Roman" w:hAnsi="Times New Roman"/>
        </w:rPr>
        <w:t>характеризовать согласные и гласные звуки вне слова и в слове по заданным параметрам: гласный или согласный, согласный твёрдый или мягкий, гласный твёрдый или мягкий;</w:t>
      </w:r>
    </w:p>
    <w:p w14:paraId="2589F9EA">
      <w:pPr>
        <w:widowControl/>
        <w:tabs>
          <w:tab w:val="left" w:pos="1134"/>
        </w:tabs>
        <w:spacing w:after="0" w:line="360" w:lineRule="auto"/>
        <w:ind w:firstLine="709"/>
        <w:jc w:val="both"/>
        <w:rPr>
          <w:rFonts w:ascii="Times New Roman" w:hAnsi="Times New Roman"/>
        </w:rPr>
      </w:pPr>
      <w:r>
        <w:rPr>
          <w:rFonts w:ascii="Times New Roman" w:hAnsi="Times New Roman"/>
        </w:rPr>
        <w:t>определять количество слогов в слове, делить слово на слоги (в том числе слова со стечением согласных);</w:t>
      </w:r>
    </w:p>
    <w:p w14:paraId="16F10480">
      <w:pPr>
        <w:widowControl/>
        <w:tabs>
          <w:tab w:val="left" w:pos="1134"/>
        </w:tabs>
        <w:spacing w:after="0" w:line="360" w:lineRule="auto"/>
        <w:ind w:firstLine="709"/>
        <w:jc w:val="both"/>
        <w:rPr>
          <w:rFonts w:ascii="Times New Roman" w:hAnsi="Times New Roman"/>
        </w:rPr>
      </w:pPr>
      <w:r>
        <w:rPr>
          <w:rFonts w:ascii="Times New Roman" w:hAnsi="Times New Roman"/>
        </w:rPr>
        <w:t>устанавливать соотношение звукового и буквенного состава слова, в том числе с учётом функций букв е, ё, ю, я, ь, ъ: (Елюк, кĕпе, выля, ялав, Ванюк, юпа, ёлка, мăкăнь, мăрье, подъезд);</w:t>
      </w:r>
    </w:p>
    <w:p w14:paraId="1B322AA7">
      <w:pPr>
        <w:widowControl/>
        <w:tabs>
          <w:tab w:val="left" w:pos="1134"/>
        </w:tabs>
        <w:spacing w:after="0" w:line="360" w:lineRule="auto"/>
        <w:ind w:firstLine="709"/>
        <w:jc w:val="both"/>
        <w:rPr>
          <w:rFonts w:ascii="Times New Roman" w:hAnsi="Times New Roman"/>
        </w:rPr>
      </w:pPr>
      <w:r>
        <w:rPr>
          <w:rFonts w:ascii="Times New Roman" w:hAnsi="Times New Roman"/>
        </w:rPr>
        <w:t>обозначать при письме мягкость согласных звуков буквой мягкий знак;</w:t>
      </w:r>
    </w:p>
    <w:p w14:paraId="7D99737A">
      <w:pPr>
        <w:widowControl/>
        <w:tabs>
          <w:tab w:val="left" w:pos="1134"/>
        </w:tabs>
        <w:spacing w:after="0" w:line="360" w:lineRule="auto"/>
        <w:ind w:firstLine="709"/>
        <w:jc w:val="both"/>
        <w:rPr>
          <w:rFonts w:ascii="Times New Roman" w:hAnsi="Times New Roman"/>
        </w:rPr>
      </w:pPr>
      <w:r>
        <w:rPr>
          <w:rFonts w:ascii="Times New Roman" w:hAnsi="Times New Roman"/>
        </w:rPr>
        <w:t>осознавать закон сингармонизма в чувашском языке: в слове гласные звуки бывают только одного ряда (ача, кĕнеке, курак, пилеш);</w:t>
      </w:r>
    </w:p>
    <w:p w14:paraId="1E8F1166">
      <w:pPr>
        <w:widowControl/>
        <w:tabs>
          <w:tab w:val="left" w:pos="1134"/>
        </w:tabs>
        <w:spacing w:after="0" w:line="360" w:lineRule="auto"/>
        <w:ind w:firstLine="709"/>
        <w:jc w:val="both"/>
        <w:rPr>
          <w:rFonts w:ascii="Times New Roman" w:hAnsi="Times New Roman"/>
        </w:rPr>
      </w:pPr>
      <w:r>
        <w:rPr>
          <w:rFonts w:ascii="Times New Roman" w:hAnsi="Times New Roman"/>
        </w:rPr>
        <w:t>правильно ставить ударение в чувашском языке: на первом слоге (если гласные краткие), на последнем слоге (если гласные долгие), на последнем с долгим гласным в слоге (если в слове и краткие, и долгие гласные);</w:t>
      </w:r>
    </w:p>
    <w:p w14:paraId="78F693D2">
      <w:pPr>
        <w:widowControl/>
        <w:tabs>
          <w:tab w:val="left" w:pos="1134"/>
        </w:tabs>
        <w:spacing w:after="0" w:line="360" w:lineRule="auto"/>
        <w:ind w:firstLine="709"/>
        <w:jc w:val="both"/>
        <w:rPr>
          <w:rFonts w:ascii="Times New Roman" w:hAnsi="Times New Roman"/>
        </w:rPr>
      </w:pPr>
      <w:r>
        <w:rPr>
          <w:rFonts w:ascii="Times New Roman" w:hAnsi="Times New Roman"/>
        </w:rPr>
        <w:t>понимать слово как единство звучания и значения, определять значение слова;</w:t>
      </w:r>
    </w:p>
    <w:p w14:paraId="569BE8EC">
      <w:pPr>
        <w:widowControl/>
        <w:tabs>
          <w:tab w:val="left" w:pos="1134"/>
        </w:tabs>
        <w:spacing w:after="0" w:line="360" w:lineRule="auto"/>
        <w:ind w:firstLine="709"/>
        <w:jc w:val="both"/>
        <w:rPr>
          <w:rFonts w:ascii="Times New Roman" w:hAnsi="Times New Roman"/>
        </w:rPr>
      </w:pPr>
      <w:r>
        <w:rPr>
          <w:rFonts w:ascii="Times New Roman" w:hAnsi="Times New Roman"/>
        </w:rPr>
        <w:t>пользоваться этикетными словами, терминами родства;</w:t>
      </w:r>
    </w:p>
    <w:p w14:paraId="4C021292">
      <w:pPr>
        <w:widowControl/>
        <w:tabs>
          <w:tab w:val="left" w:pos="1134"/>
        </w:tabs>
        <w:spacing w:after="0" w:line="360" w:lineRule="auto"/>
        <w:ind w:firstLine="709"/>
        <w:jc w:val="both"/>
        <w:rPr>
          <w:rFonts w:ascii="Times New Roman" w:hAnsi="Times New Roman"/>
        </w:rPr>
      </w:pPr>
      <w:r>
        <w:rPr>
          <w:rFonts w:ascii="Times New Roman" w:hAnsi="Times New Roman"/>
        </w:rPr>
        <w:t>различать синонимы, антонимы (на элементарном уровне);</w:t>
      </w:r>
    </w:p>
    <w:p w14:paraId="5DDE4C94">
      <w:pPr>
        <w:widowControl/>
        <w:tabs>
          <w:tab w:val="left" w:pos="1134"/>
        </w:tabs>
        <w:spacing w:after="0" w:line="360" w:lineRule="auto"/>
        <w:ind w:firstLine="709"/>
        <w:jc w:val="both"/>
        <w:rPr>
          <w:rFonts w:ascii="Times New Roman" w:hAnsi="Times New Roman"/>
        </w:rPr>
      </w:pPr>
      <w:r>
        <w:rPr>
          <w:rFonts w:ascii="Times New Roman" w:hAnsi="Times New Roman"/>
        </w:rPr>
        <w:t>распознавать слова, отвечающие на вопросы «кам?» («кто?»), «мĕн?» («что?»);</w:t>
      </w:r>
    </w:p>
    <w:p w14:paraId="6258B9A7">
      <w:pPr>
        <w:widowControl/>
        <w:tabs>
          <w:tab w:val="left" w:pos="1134"/>
        </w:tabs>
        <w:spacing w:after="0" w:line="360" w:lineRule="auto"/>
        <w:ind w:firstLine="709"/>
        <w:jc w:val="both"/>
        <w:rPr>
          <w:rFonts w:ascii="Times New Roman" w:hAnsi="Times New Roman"/>
        </w:rPr>
      </w:pPr>
      <w:r>
        <w:rPr>
          <w:rFonts w:ascii="Times New Roman" w:hAnsi="Times New Roman"/>
        </w:rPr>
        <w:t>распознавать слова, отвечающие на вопросы «мĕн тăвать?» («что делает?»), «мĕн тăваççĕ?» («что делают?»), «мĕн турĕ?» («что делал?»), «мĕн турĕç?» («что делали?»);</w:t>
      </w:r>
    </w:p>
    <w:p w14:paraId="69A56B8C">
      <w:pPr>
        <w:widowControl/>
        <w:tabs>
          <w:tab w:val="left" w:pos="1134"/>
        </w:tabs>
        <w:spacing w:after="0" w:line="360" w:lineRule="auto"/>
        <w:ind w:firstLine="709"/>
        <w:jc w:val="both"/>
        <w:rPr>
          <w:rFonts w:ascii="Times New Roman" w:hAnsi="Times New Roman"/>
        </w:rPr>
      </w:pPr>
      <w:r>
        <w:rPr>
          <w:rFonts w:ascii="Times New Roman" w:hAnsi="Times New Roman"/>
        </w:rPr>
        <w:t>распознавать слова, отвечающие на вопросы «мĕнле?» («какой?», «какая?», «какое?», «какое?», «какие?»);</w:t>
      </w:r>
    </w:p>
    <w:p w14:paraId="4AFA64A0">
      <w:pPr>
        <w:widowControl/>
        <w:tabs>
          <w:tab w:val="left" w:pos="1134"/>
        </w:tabs>
        <w:spacing w:after="0" w:line="360" w:lineRule="auto"/>
        <w:ind w:firstLine="709"/>
        <w:jc w:val="both"/>
        <w:rPr>
          <w:rFonts w:ascii="Times New Roman" w:hAnsi="Times New Roman"/>
        </w:rPr>
      </w:pPr>
      <w:r>
        <w:rPr>
          <w:rFonts w:ascii="Times New Roman" w:hAnsi="Times New Roman"/>
        </w:rPr>
        <w:t>определять вид предложения по цели высказывания и по эмоциональной окраске;</w:t>
      </w:r>
    </w:p>
    <w:p w14:paraId="08E79BC0">
      <w:pPr>
        <w:widowControl/>
        <w:tabs>
          <w:tab w:val="left" w:pos="1134"/>
        </w:tabs>
        <w:spacing w:after="0" w:line="360" w:lineRule="auto"/>
        <w:ind w:firstLine="709"/>
        <w:jc w:val="both"/>
        <w:rPr>
          <w:rFonts w:ascii="Times New Roman" w:hAnsi="Times New Roman"/>
        </w:rPr>
      </w:pPr>
      <w:r>
        <w:rPr>
          <w:rFonts w:ascii="Times New Roman" w:hAnsi="Times New Roman"/>
        </w:rPr>
        <w:t>применять изученные правила правописания, в том числе: правописание прописной буквы в именах (отчествах, фамилиях людей, кличках животных, географических названиях), правописание букв е, ю, я, ё в словах, правописание слов с разделительными ь и ъ, правописание удвоенных согласных в корне слова, правописание мягкого знака (ь) в словах с гласными заднего ряда (мăкăнь, кукăль, вулать), правописание заимствованных слов (в пределах изучаемых тем);</w:t>
      </w:r>
    </w:p>
    <w:p w14:paraId="2F2F018B">
      <w:pPr>
        <w:widowControl/>
        <w:tabs>
          <w:tab w:val="left" w:pos="1134"/>
        </w:tabs>
        <w:spacing w:after="0" w:line="360" w:lineRule="auto"/>
        <w:ind w:firstLine="709"/>
        <w:jc w:val="both"/>
        <w:rPr>
          <w:rFonts w:ascii="Times New Roman" w:hAnsi="Times New Roman"/>
        </w:rPr>
      </w:pPr>
      <w:r>
        <w:rPr>
          <w:rFonts w:ascii="Times New Roman" w:hAnsi="Times New Roman"/>
        </w:rPr>
        <w:t>правильно списывать (без пропусков и искажений букв) слова, предложения, тексты объёмом не более 40 слов;</w:t>
      </w:r>
    </w:p>
    <w:p w14:paraId="5D664961">
      <w:pPr>
        <w:widowControl/>
        <w:tabs>
          <w:tab w:val="left" w:pos="1134"/>
        </w:tabs>
        <w:spacing w:after="0" w:line="360" w:lineRule="auto"/>
        <w:ind w:firstLine="709"/>
        <w:jc w:val="both"/>
        <w:rPr>
          <w:rFonts w:ascii="Times New Roman" w:hAnsi="Times New Roman"/>
        </w:rPr>
      </w:pPr>
      <w:r>
        <w:rPr>
          <w:rFonts w:ascii="Times New Roman" w:hAnsi="Times New Roman"/>
        </w:rPr>
        <w:t>писать под диктовку (без пропусков и искажений букв) слова, предложения, тексты объёмом не более 35 слов (с учётом изученных правил правописания);</w:t>
      </w:r>
    </w:p>
    <w:p w14:paraId="1F9B2901">
      <w:pPr>
        <w:widowControl/>
        <w:tabs>
          <w:tab w:val="left" w:pos="1134"/>
        </w:tabs>
        <w:spacing w:after="0" w:line="360" w:lineRule="auto"/>
        <w:ind w:firstLine="709"/>
        <w:jc w:val="both"/>
        <w:rPr>
          <w:rFonts w:ascii="Times New Roman" w:hAnsi="Times New Roman"/>
        </w:rPr>
      </w:pPr>
      <w:r>
        <w:rPr>
          <w:rFonts w:ascii="Times New Roman" w:hAnsi="Times New Roman"/>
        </w:rPr>
        <w:t>находить и исправлять ошибки по изученным правилам;</w:t>
      </w:r>
    </w:p>
    <w:p w14:paraId="081373CD">
      <w:pPr>
        <w:widowControl/>
        <w:tabs>
          <w:tab w:val="left" w:pos="1134"/>
        </w:tabs>
        <w:spacing w:after="0" w:line="360" w:lineRule="auto"/>
        <w:ind w:firstLine="709"/>
        <w:jc w:val="both"/>
        <w:rPr>
          <w:rFonts w:ascii="Times New Roman" w:hAnsi="Times New Roman"/>
        </w:rPr>
      </w:pPr>
      <w:r>
        <w:rPr>
          <w:rFonts w:ascii="Times New Roman" w:hAnsi="Times New Roman"/>
        </w:rPr>
        <w:t>пользоваться толковым, орфографическим, орфоэпическим словарями учебника;</w:t>
      </w:r>
    </w:p>
    <w:p w14:paraId="7CDE1767">
      <w:pPr>
        <w:widowControl/>
        <w:tabs>
          <w:tab w:val="left" w:pos="1134"/>
        </w:tabs>
        <w:spacing w:after="0" w:line="360" w:lineRule="auto"/>
        <w:ind w:firstLine="709"/>
        <w:jc w:val="both"/>
        <w:rPr>
          <w:rFonts w:ascii="Times New Roman" w:hAnsi="Times New Roman"/>
        </w:rPr>
      </w:pPr>
      <w:r>
        <w:rPr>
          <w:rFonts w:ascii="Times New Roman" w:hAnsi="Times New Roman"/>
        </w:rPr>
        <w:t>строить устное диалогическое и монологическое высказывания  (2–4 предложения на определённую тему, по наблюдениям) с соблюдением орфоэпических норм, правильной интонации;</w:t>
      </w:r>
    </w:p>
    <w:p w14:paraId="1EE79D3A">
      <w:pPr>
        <w:widowControl/>
        <w:tabs>
          <w:tab w:val="left" w:pos="1134"/>
        </w:tabs>
        <w:spacing w:after="0" w:line="360" w:lineRule="auto"/>
        <w:ind w:firstLine="709"/>
        <w:jc w:val="both"/>
        <w:rPr>
          <w:rFonts w:ascii="Times New Roman" w:hAnsi="Times New Roman"/>
        </w:rPr>
      </w:pPr>
      <w:r>
        <w:rPr>
          <w:rFonts w:ascii="Times New Roman" w:hAnsi="Times New Roman"/>
        </w:rPr>
        <w:t>формулировать простые выводы на основе прочитанного (услышанного) устно и письменно (1–2 предложения);</w:t>
      </w:r>
    </w:p>
    <w:p w14:paraId="52E0FC5A">
      <w:pPr>
        <w:widowControl/>
        <w:tabs>
          <w:tab w:val="left" w:pos="1134"/>
        </w:tabs>
        <w:spacing w:after="0" w:line="360" w:lineRule="auto"/>
        <w:ind w:firstLine="709"/>
        <w:jc w:val="both"/>
        <w:rPr>
          <w:rFonts w:ascii="Times New Roman" w:hAnsi="Times New Roman"/>
        </w:rPr>
      </w:pPr>
      <w:r>
        <w:rPr>
          <w:rFonts w:ascii="Times New Roman" w:hAnsi="Times New Roman"/>
        </w:rPr>
        <w:t>составлять предложения из слов, устанавливая между ними смысловую связь по вопросам;</w:t>
      </w:r>
    </w:p>
    <w:p w14:paraId="79ABE8DC">
      <w:pPr>
        <w:widowControl/>
        <w:tabs>
          <w:tab w:val="left" w:pos="1134"/>
        </w:tabs>
        <w:spacing w:after="0" w:line="360" w:lineRule="auto"/>
        <w:ind w:firstLine="709"/>
        <w:jc w:val="both"/>
        <w:rPr>
          <w:rFonts w:ascii="Times New Roman" w:hAnsi="Times New Roman"/>
        </w:rPr>
      </w:pPr>
      <w:r>
        <w:rPr>
          <w:rFonts w:ascii="Times New Roman" w:hAnsi="Times New Roman"/>
        </w:rPr>
        <w:t>определять тему текста и озаглавливать текст, отражая его тему;</w:t>
      </w:r>
    </w:p>
    <w:p w14:paraId="7D03421E">
      <w:pPr>
        <w:widowControl/>
        <w:tabs>
          <w:tab w:val="left" w:pos="1134"/>
        </w:tabs>
        <w:spacing w:after="0" w:line="360" w:lineRule="auto"/>
        <w:ind w:firstLine="709"/>
        <w:jc w:val="both"/>
        <w:rPr>
          <w:rFonts w:ascii="Times New Roman" w:hAnsi="Times New Roman"/>
        </w:rPr>
      </w:pPr>
      <w:r>
        <w:rPr>
          <w:rFonts w:ascii="Times New Roman" w:hAnsi="Times New Roman"/>
        </w:rPr>
        <w:t>составлять текст из разрозненных предложений, частей текста;</w:t>
      </w:r>
    </w:p>
    <w:p w14:paraId="593E0A50">
      <w:pPr>
        <w:widowControl/>
        <w:tabs>
          <w:tab w:val="left" w:pos="1134"/>
        </w:tabs>
        <w:spacing w:after="0" w:line="360" w:lineRule="auto"/>
        <w:ind w:firstLine="709"/>
        <w:jc w:val="both"/>
        <w:rPr>
          <w:rFonts w:ascii="Times New Roman" w:hAnsi="Times New Roman"/>
        </w:rPr>
      </w:pPr>
      <w:r>
        <w:rPr>
          <w:rFonts w:ascii="Times New Roman" w:hAnsi="Times New Roman"/>
        </w:rPr>
        <w:t>писать подробное изложение повествовательного текста объёмом 30–45 слов с использованием вопросов;</w:t>
      </w:r>
    </w:p>
    <w:p w14:paraId="637E345D">
      <w:pPr>
        <w:widowControl/>
        <w:tabs>
          <w:tab w:val="left" w:pos="1134"/>
        </w:tabs>
        <w:spacing w:after="0" w:line="360" w:lineRule="auto"/>
        <w:ind w:firstLine="709"/>
        <w:jc w:val="both"/>
        <w:rPr>
          <w:rFonts w:ascii="Times New Roman" w:hAnsi="Times New Roman"/>
        </w:rPr>
      </w:pPr>
      <w:r>
        <w:rPr>
          <w:rFonts w:ascii="Times New Roman" w:hAnsi="Times New Roman"/>
        </w:rPr>
        <w:t>объяснять своими словами значение изученных понятий, использовать изученные понятия в процессе решения учебных задач.</w:t>
      </w:r>
    </w:p>
    <w:p w14:paraId="2BA4C70E">
      <w:pPr>
        <w:widowControl/>
        <w:tabs>
          <w:tab w:val="left" w:pos="1134"/>
        </w:tabs>
        <w:spacing w:after="0" w:line="360" w:lineRule="auto"/>
        <w:ind w:firstLine="709"/>
        <w:jc w:val="both"/>
        <w:rPr>
          <w:rFonts w:ascii="Times New Roman" w:hAnsi="Times New Roman"/>
        </w:rPr>
      </w:pPr>
      <w:r>
        <w:rPr>
          <w:rFonts w:ascii="Times New Roman" w:hAnsi="Times New Roman"/>
        </w:rPr>
        <w:t>4.10.5. Предметные результаты изучения родного (чувашского) языка. К концу обучения в 3 классе обучающийся научится:</w:t>
      </w:r>
    </w:p>
    <w:p w14:paraId="75A18A50">
      <w:pPr>
        <w:widowControl/>
        <w:tabs>
          <w:tab w:val="left" w:pos="1134"/>
        </w:tabs>
        <w:spacing w:after="0" w:line="360" w:lineRule="auto"/>
        <w:ind w:firstLine="709"/>
        <w:jc w:val="both"/>
        <w:rPr>
          <w:rFonts w:ascii="Times New Roman" w:hAnsi="Times New Roman"/>
        </w:rPr>
      </w:pPr>
      <w:r>
        <w:rPr>
          <w:rFonts w:ascii="Times New Roman" w:hAnsi="Times New Roman"/>
        </w:rPr>
        <w:t>осознавать значение чувашского языка как государственного языка Чувашской Республики;</w:t>
      </w:r>
    </w:p>
    <w:p w14:paraId="15E71EEE">
      <w:pPr>
        <w:widowControl/>
        <w:tabs>
          <w:tab w:val="left" w:pos="1134"/>
        </w:tabs>
        <w:spacing w:after="0" w:line="360" w:lineRule="auto"/>
        <w:ind w:firstLine="709"/>
        <w:jc w:val="both"/>
        <w:rPr>
          <w:rFonts w:ascii="Times New Roman" w:hAnsi="Times New Roman"/>
        </w:rPr>
      </w:pPr>
      <w:r>
        <w:rPr>
          <w:rFonts w:ascii="Times New Roman" w:hAnsi="Times New Roman"/>
        </w:rPr>
        <w:t>характеризовать, сравнивать, классифицировать звуки чувашского языка вне слова и в слове по заданным параметрам;</w:t>
      </w:r>
    </w:p>
    <w:p w14:paraId="69B5EF76">
      <w:pPr>
        <w:widowControl/>
        <w:tabs>
          <w:tab w:val="left" w:pos="1134"/>
        </w:tabs>
        <w:spacing w:after="0" w:line="360" w:lineRule="auto"/>
        <w:ind w:firstLine="709"/>
        <w:jc w:val="both"/>
        <w:rPr>
          <w:rFonts w:ascii="Times New Roman" w:hAnsi="Times New Roman"/>
        </w:rPr>
      </w:pPr>
      <w:r>
        <w:rPr>
          <w:rFonts w:ascii="Times New Roman" w:hAnsi="Times New Roman"/>
        </w:rPr>
        <w:t>производить звуко-буквенный анализ слова (без транскрибирования);</w:t>
      </w:r>
    </w:p>
    <w:p w14:paraId="1B6EC870">
      <w:pPr>
        <w:widowControl/>
        <w:tabs>
          <w:tab w:val="left" w:pos="1134"/>
        </w:tabs>
        <w:spacing w:after="0" w:line="360" w:lineRule="auto"/>
        <w:ind w:firstLine="709"/>
        <w:jc w:val="both"/>
        <w:rPr>
          <w:rFonts w:ascii="Times New Roman" w:hAnsi="Times New Roman"/>
        </w:rPr>
      </w:pPr>
      <w:r>
        <w:rPr>
          <w:rFonts w:ascii="Times New Roman" w:hAnsi="Times New Roman"/>
        </w:rPr>
        <w:t>устанавливать соотношение звукового и буквенного состава, в том числе с учётом функций букв е, ё, ю, я, в словах с разделительными ь, ъ, в словах с э и е (эрне, эмел, ешĕл, Етĕрне);</w:t>
      </w:r>
    </w:p>
    <w:p w14:paraId="1E44A15D">
      <w:pPr>
        <w:widowControl/>
        <w:tabs>
          <w:tab w:val="left" w:pos="1134"/>
        </w:tabs>
        <w:spacing w:after="0" w:line="360" w:lineRule="auto"/>
        <w:ind w:firstLine="709"/>
        <w:jc w:val="both"/>
        <w:rPr>
          <w:rFonts w:ascii="Times New Roman" w:hAnsi="Times New Roman"/>
        </w:rPr>
      </w:pPr>
      <w:r>
        <w:rPr>
          <w:rFonts w:ascii="Times New Roman" w:hAnsi="Times New Roman"/>
        </w:rPr>
        <w:t>различать звонкое и глухое произношение шумных согласных чувашского языка в корне слова, различать мягкое произношение [л], [н] в твёрдых словах перед звуком [ч];</w:t>
      </w:r>
    </w:p>
    <w:p w14:paraId="1F089AF4">
      <w:pPr>
        <w:widowControl/>
        <w:tabs>
          <w:tab w:val="left" w:pos="1134"/>
        </w:tabs>
        <w:spacing w:after="0" w:line="360" w:lineRule="auto"/>
        <w:ind w:firstLine="709"/>
        <w:jc w:val="both"/>
        <w:rPr>
          <w:rFonts w:ascii="Times New Roman" w:hAnsi="Times New Roman"/>
        </w:rPr>
      </w:pPr>
      <w:r>
        <w:rPr>
          <w:rFonts w:ascii="Times New Roman" w:hAnsi="Times New Roman"/>
        </w:rPr>
        <w:t>использовать алфавит при работе со словарями, справочниками, каталогами;</w:t>
      </w:r>
    </w:p>
    <w:p w14:paraId="4384465B">
      <w:pPr>
        <w:widowControl/>
        <w:tabs>
          <w:tab w:val="left" w:pos="1134"/>
        </w:tabs>
        <w:spacing w:after="0" w:line="360" w:lineRule="auto"/>
        <w:ind w:firstLine="709"/>
        <w:jc w:val="both"/>
        <w:rPr>
          <w:rFonts w:ascii="Times New Roman" w:hAnsi="Times New Roman"/>
        </w:rPr>
      </w:pPr>
      <w:r>
        <w:rPr>
          <w:rFonts w:ascii="Times New Roman" w:hAnsi="Times New Roman"/>
        </w:rPr>
        <w:t>определять значение слова по контексту или уточнять с помощью толкового словаря;</w:t>
      </w:r>
    </w:p>
    <w:p w14:paraId="23F5FF75">
      <w:pPr>
        <w:widowControl/>
        <w:tabs>
          <w:tab w:val="left" w:pos="1134"/>
        </w:tabs>
        <w:spacing w:after="0" w:line="360" w:lineRule="auto"/>
        <w:ind w:firstLine="709"/>
        <w:jc w:val="both"/>
        <w:rPr>
          <w:rFonts w:ascii="Times New Roman" w:hAnsi="Times New Roman"/>
        </w:rPr>
      </w:pPr>
      <w:r>
        <w:rPr>
          <w:rFonts w:ascii="Times New Roman" w:hAnsi="Times New Roman"/>
        </w:rPr>
        <w:t>выявлять случаи употребления синонимов и антонимов, подбирать синонимы и антонимы к словам разных частей речи, использовать в речи этикетные слова, термины родства (в объёме содержания курса);</w:t>
      </w:r>
    </w:p>
    <w:p w14:paraId="4BA0DBBA">
      <w:pPr>
        <w:widowControl/>
        <w:tabs>
          <w:tab w:val="left" w:pos="1134"/>
        </w:tabs>
        <w:spacing w:after="0" w:line="360" w:lineRule="auto"/>
        <w:ind w:firstLine="709"/>
        <w:jc w:val="both"/>
        <w:rPr>
          <w:rFonts w:ascii="Times New Roman" w:hAnsi="Times New Roman"/>
        </w:rPr>
      </w:pPr>
      <w:r>
        <w:rPr>
          <w:rFonts w:ascii="Times New Roman" w:hAnsi="Times New Roman"/>
        </w:rPr>
        <w:t>распознавать слова, употребляемые в прямом и переносном значении (простые случаи);</w:t>
      </w:r>
    </w:p>
    <w:p w14:paraId="3465417A">
      <w:pPr>
        <w:widowControl/>
        <w:tabs>
          <w:tab w:val="left" w:pos="1134"/>
        </w:tabs>
        <w:spacing w:after="0" w:line="360" w:lineRule="auto"/>
        <w:ind w:firstLine="709"/>
        <w:jc w:val="both"/>
        <w:rPr>
          <w:rFonts w:ascii="Times New Roman" w:hAnsi="Times New Roman"/>
        </w:rPr>
      </w:pPr>
      <w:r>
        <w:rPr>
          <w:rFonts w:ascii="Times New Roman" w:hAnsi="Times New Roman"/>
        </w:rPr>
        <w:t>различать понятия «корень слова» («сăмах тымарĕ») и «аффиксы» («аффикссем»), «словообразовательные аффиксы и словоизменяющие аффиксы» («сăмах тăвакан аффикссем тата сăмаха улăштаракан аффикссем»);</w:t>
      </w:r>
    </w:p>
    <w:p w14:paraId="04007918">
      <w:pPr>
        <w:widowControl/>
        <w:tabs>
          <w:tab w:val="left" w:pos="1134"/>
        </w:tabs>
        <w:spacing w:after="0" w:line="360" w:lineRule="auto"/>
        <w:ind w:firstLine="709"/>
        <w:jc w:val="both"/>
        <w:rPr>
          <w:rFonts w:ascii="Times New Roman" w:hAnsi="Times New Roman"/>
        </w:rPr>
      </w:pPr>
      <w:r>
        <w:rPr>
          <w:rFonts w:ascii="Times New Roman" w:hAnsi="Times New Roman"/>
        </w:rPr>
        <w:t>выделять в словах корень, словообразовательные и словоизменяющие аффиксы (простые случаи), различать однокоренные слова и формы одного и того же слова;</w:t>
      </w:r>
    </w:p>
    <w:p w14:paraId="64369A75">
      <w:pPr>
        <w:widowControl/>
        <w:tabs>
          <w:tab w:val="left" w:pos="1134"/>
        </w:tabs>
        <w:spacing w:after="0" w:line="360" w:lineRule="auto"/>
        <w:ind w:firstLine="709"/>
        <w:jc w:val="both"/>
        <w:rPr>
          <w:rFonts w:ascii="Times New Roman" w:hAnsi="Times New Roman"/>
        </w:rPr>
      </w:pPr>
      <w:r>
        <w:rPr>
          <w:rFonts w:ascii="Times New Roman" w:hAnsi="Times New Roman"/>
        </w:rPr>
        <w:t>распознавать имена существительные, изменять по числам, распознавать имена собственные и нарицательные;</w:t>
      </w:r>
    </w:p>
    <w:p w14:paraId="185829D1">
      <w:pPr>
        <w:widowControl/>
        <w:tabs>
          <w:tab w:val="left" w:pos="1134"/>
        </w:tabs>
        <w:spacing w:after="0" w:line="360" w:lineRule="auto"/>
        <w:ind w:firstLine="709"/>
        <w:jc w:val="both"/>
        <w:rPr>
          <w:rFonts w:ascii="Times New Roman" w:hAnsi="Times New Roman"/>
        </w:rPr>
      </w:pPr>
      <w:r>
        <w:rPr>
          <w:rFonts w:ascii="Times New Roman" w:hAnsi="Times New Roman"/>
        </w:rPr>
        <w:t>распознавать имена прилагательные, осознавать особенности употребления имен прилагательных в чувашском языке;</w:t>
      </w:r>
    </w:p>
    <w:p w14:paraId="3E074B03">
      <w:pPr>
        <w:widowControl/>
        <w:tabs>
          <w:tab w:val="left" w:pos="1134"/>
        </w:tabs>
        <w:spacing w:after="0" w:line="360" w:lineRule="auto"/>
        <w:ind w:firstLine="709"/>
        <w:jc w:val="both"/>
        <w:rPr>
          <w:rFonts w:ascii="Times New Roman" w:hAnsi="Times New Roman"/>
        </w:rPr>
      </w:pPr>
      <w:r>
        <w:rPr>
          <w:rFonts w:ascii="Times New Roman" w:hAnsi="Times New Roman"/>
        </w:rPr>
        <w:t>распознавать глаголы, определять грамматические признаки (форму времени, число, лицо), изменять глагол (по временам (простые случаи), лицам, числам);</w:t>
      </w:r>
    </w:p>
    <w:p w14:paraId="7C41F997">
      <w:pPr>
        <w:widowControl/>
        <w:tabs>
          <w:tab w:val="left" w:pos="1134"/>
        </w:tabs>
        <w:spacing w:after="0" w:line="360" w:lineRule="auto"/>
        <w:ind w:firstLine="709"/>
        <w:jc w:val="both"/>
        <w:rPr>
          <w:rFonts w:ascii="Times New Roman" w:hAnsi="Times New Roman"/>
        </w:rPr>
      </w:pPr>
      <w:r>
        <w:rPr>
          <w:rFonts w:ascii="Times New Roman" w:hAnsi="Times New Roman"/>
        </w:rPr>
        <w:t>распознавать личные местоимения (в начальной форме);</w:t>
      </w:r>
    </w:p>
    <w:p w14:paraId="5A45AFD9">
      <w:pPr>
        <w:widowControl/>
        <w:tabs>
          <w:tab w:val="left" w:pos="1134"/>
        </w:tabs>
        <w:spacing w:after="0" w:line="360" w:lineRule="auto"/>
        <w:ind w:firstLine="709"/>
        <w:jc w:val="both"/>
        <w:rPr>
          <w:rFonts w:ascii="Times New Roman" w:hAnsi="Times New Roman"/>
        </w:rPr>
      </w:pPr>
      <w:r>
        <w:rPr>
          <w:rFonts w:ascii="Times New Roman" w:hAnsi="Times New Roman"/>
        </w:rPr>
        <w:t>распознавать имя числительное;</w:t>
      </w:r>
    </w:p>
    <w:p w14:paraId="52C72448">
      <w:pPr>
        <w:widowControl/>
        <w:tabs>
          <w:tab w:val="left" w:pos="1134"/>
        </w:tabs>
        <w:spacing w:after="0" w:line="360" w:lineRule="auto"/>
        <w:ind w:firstLine="709"/>
        <w:jc w:val="both"/>
        <w:rPr>
          <w:rFonts w:ascii="Times New Roman" w:hAnsi="Times New Roman"/>
        </w:rPr>
      </w:pPr>
      <w:r>
        <w:rPr>
          <w:rFonts w:ascii="Times New Roman" w:hAnsi="Times New Roman"/>
        </w:rPr>
        <w:t>определять вид предложения по цели высказывания и по эмоциональной окраске;</w:t>
      </w:r>
    </w:p>
    <w:p w14:paraId="3B4E0880">
      <w:pPr>
        <w:widowControl/>
        <w:tabs>
          <w:tab w:val="left" w:pos="1134"/>
        </w:tabs>
        <w:spacing w:after="0" w:line="360" w:lineRule="auto"/>
        <w:ind w:firstLine="709"/>
        <w:jc w:val="both"/>
        <w:rPr>
          <w:rFonts w:ascii="Times New Roman" w:hAnsi="Times New Roman"/>
        </w:rPr>
      </w:pPr>
      <w:r>
        <w:rPr>
          <w:rFonts w:ascii="Times New Roman" w:hAnsi="Times New Roman"/>
        </w:rPr>
        <w:t>находить главные и второстепенные (без деления на виды) члены предложения;</w:t>
      </w:r>
    </w:p>
    <w:p w14:paraId="565BE81A">
      <w:pPr>
        <w:widowControl/>
        <w:tabs>
          <w:tab w:val="left" w:pos="1134"/>
        </w:tabs>
        <w:spacing w:after="0" w:line="360" w:lineRule="auto"/>
        <w:ind w:firstLine="709"/>
        <w:jc w:val="both"/>
        <w:rPr>
          <w:rFonts w:ascii="Times New Roman" w:hAnsi="Times New Roman"/>
        </w:rPr>
      </w:pPr>
      <w:r>
        <w:rPr>
          <w:rFonts w:ascii="Times New Roman" w:hAnsi="Times New Roman"/>
        </w:rPr>
        <w:t>распознавать и составлять распространённые и нераспространённые предложения;</w:t>
      </w:r>
    </w:p>
    <w:p w14:paraId="278B2993">
      <w:pPr>
        <w:widowControl/>
        <w:tabs>
          <w:tab w:val="left" w:pos="1134"/>
        </w:tabs>
        <w:spacing w:after="0" w:line="360" w:lineRule="auto"/>
        <w:ind w:firstLine="709"/>
        <w:jc w:val="both"/>
        <w:rPr>
          <w:rFonts w:ascii="Times New Roman" w:hAnsi="Times New Roman"/>
        </w:rPr>
      </w:pPr>
      <w:r>
        <w:rPr>
          <w:rFonts w:ascii="Times New Roman" w:hAnsi="Times New Roman"/>
        </w:rPr>
        <w:t>применять изученные правила правописания, в том числе: правописание сочетания лч и нч (в словах (вăлча, калча, мунча, анчах), ы или и (после ç, ч (çын, çимĕç, чылай, чикĕ), букв б, г, д, ж, з, ф, ц, щ (в словах, заимствованных из русского языка (букварь, диван, цирк), удвоенных согласных на стыке корня и аффикса (лаша – лашалла, лапта – лапталла, пукане – пуканелле), слов со словообразовательными аффиксами: -лăх (-лĕх), -лă (-лĕ);</w:t>
      </w:r>
    </w:p>
    <w:p w14:paraId="06285846">
      <w:pPr>
        <w:widowControl/>
        <w:tabs>
          <w:tab w:val="left" w:pos="1134"/>
        </w:tabs>
        <w:spacing w:after="0" w:line="360" w:lineRule="auto"/>
        <w:ind w:firstLine="709"/>
        <w:jc w:val="both"/>
        <w:rPr>
          <w:rFonts w:ascii="Times New Roman" w:hAnsi="Times New Roman"/>
        </w:rPr>
      </w:pPr>
      <w:r>
        <w:rPr>
          <w:rFonts w:ascii="Times New Roman" w:hAnsi="Times New Roman"/>
        </w:rPr>
        <w:t>правильно списывать слова, предложения, тексты объёмом не более 60 слов;</w:t>
      </w:r>
    </w:p>
    <w:p w14:paraId="365E1AA8">
      <w:pPr>
        <w:widowControl/>
        <w:tabs>
          <w:tab w:val="left" w:pos="1134"/>
        </w:tabs>
        <w:spacing w:after="0" w:line="360" w:lineRule="auto"/>
        <w:ind w:firstLine="709"/>
        <w:jc w:val="both"/>
        <w:rPr>
          <w:rFonts w:ascii="Times New Roman" w:hAnsi="Times New Roman"/>
        </w:rPr>
      </w:pPr>
      <w:r>
        <w:rPr>
          <w:rFonts w:ascii="Times New Roman" w:hAnsi="Times New Roman"/>
        </w:rPr>
        <w:t>писать под диктовку тексты объёмом не более 50 слов, с учётом изученных правил правописания;</w:t>
      </w:r>
    </w:p>
    <w:p w14:paraId="4F6ACCFD">
      <w:pPr>
        <w:widowControl/>
        <w:tabs>
          <w:tab w:val="left" w:pos="1134"/>
        </w:tabs>
        <w:spacing w:after="0" w:line="360" w:lineRule="auto"/>
        <w:ind w:firstLine="709"/>
        <w:jc w:val="both"/>
        <w:rPr>
          <w:rFonts w:ascii="Times New Roman" w:hAnsi="Times New Roman"/>
        </w:rPr>
      </w:pPr>
      <w:r>
        <w:rPr>
          <w:rFonts w:ascii="Times New Roman" w:hAnsi="Times New Roman"/>
        </w:rPr>
        <w:t>находить и исправлять ошибки по изученным правилам;</w:t>
      </w:r>
    </w:p>
    <w:p w14:paraId="5CF4AD65">
      <w:pPr>
        <w:widowControl/>
        <w:tabs>
          <w:tab w:val="left" w:pos="1134"/>
        </w:tabs>
        <w:spacing w:after="0" w:line="360" w:lineRule="auto"/>
        <w:ind w:firstLine="709"/>
        <w:jc w:val="both"/>
        <w:rPr>
          <w:rFonts w:ascii="Times New Roman" w:hAnsi="Times New Roman"/>
        </w:rPr>
      </w:pPr>
      <w:r>
        <w:rPr>
          <w:rFonts w:ascii="Times New Roman" w:hAnsi="Times New Roman"/>
        </w:rPr>
        <w:t>анализировать тексты разных типов, находить в тексте заданную информацию;</w:t>
      </w:r>
    </w:p>
    <w:p w14:paraId="654DB7BA">
      <w:pPr>
        <w:widowControl/>
        <w:tabs>
          <w:tab w:val="left" w:pos="1134"/>
        </w:tabs>
        <w:spacing w:after="0" w:line="360" w:lineRule="auto"/>
        <w:ind w:firstLine="709"/>
        <w:jc w:val="both"/>
        <w:rPr>
          <w:rFonts w:ascii="Times New Roman" w:hAnsi="Times New Roman"/>
        </w:rPr>
      </w:pPr>
      <w:r>
        <w:rPr>
          <w:rFonts w:ascii="Times New Roman" w:hAnsi="Times New Roman"/>
        </w:rPr>
        <w:t>формулировать простые выводы на основе прочитанной (услышанной) информации устно и письменно (1–2 предложения);</w:t>
      </w:r>
    </w:p>
    <w:p w14:paraId="415459A6">
      <w:pPr>
        <w:widowControl/>
        <w:tabs>
          <w:tab w:val="left" w:pos="1134"/>
        </w:tabs>
        <w:spacing w:after="0" w:line="360" w:lineRule="auto"/>
        <w:ind w:firstLine="709"/>
        <w:jc w:val="both"/>
        <w:rPr>
          <w:rFonts w:ascii="Times New Roman" w:hAnsi="Times New Roman"/>
        </w:rPr>
      </w:pPr>
      <w:r>
        <w:rPr>
          <w:rFonts w:ascii="Times New Roman" w:hAnsi="Times New Roman"/>
        </w:rPr>
        <w:t>строить устное диалогическое и монологическое высказывания  (3–5 предложений (на определённую тему, по наблюдениям) с соблюдением орфоэпических норм, правильной интонации), создавать небольшие устные и письменные тексты (2–4 предложения), содержащие приглашение, просьбу, извинение, благодарность, обращение с просьбой с использованием норм речевого этикета;</w:t>
      </w:r>
    </w:p>
    <w:p w14:paraId="7FD64355">
      <w:pPr>
        <w:widowControl/>
        <w:tabs>
          <w:tab w:val="left" w:pos="1134"/>
        </w:tabs>
        <w:spacing w:after="0" w:line="360" w:lineRule="auto"/>
        <w:ind w:firstLine="709"/>
        <w:jc w:val="both"/>
        <w:rPr>
          <w:rFonts w:ascii="Times New Roman" w:hAnsi="Times New Roman"/>
        </w:rPr>
      </w:pPr>
      <w:r>
        <w:rPr>
          <w:rFonts w:ascii="Times New Roman" w:hAnsi="Times New Roman"/>
        </w:rPr>
        <w:t>определять тему и основную мысль, ключевые слова в тексте;</w:t>
      </w:r>
    </w:p>
    <w:p w14:paraId="61F63EFE">
      <w:pPr>
        <w:widowControl/>
        <w:tabs>
          <w:tab w:val="left" w:pos="1134"/>
        </w:tabs>
        <w:spacing w:after="0" w:line="360" w:lineRule="auto"/>
        <w:ind w:firstLine="709"/>
        <w:jc w:val="both"/>
        <w:rPr>
          <w:rFonts w:ascii="Times New Roman" w:hAnsi="Times New Roman"/>
        </w:rPr>
      </w:pPr>
      <w:r>
        <w:rPr>
          <w:rFonts w:ascii="Times New Roman" w:hAnsi="Times New Roman"/>
        </w:rPr>
        <w:t>выявлять части текста (абзацы), отражать с помощью ключевых слов или предложений их смысловое содержание;</w:t>
      </w:r>
    </w:p>
    <w:p w14:paraId="0E07094E">
      <w:pPr>
        <w:widowControl/>
        <w:tabs>
          <w:tab w:val="left" w:pos="1134"/>
        </w:tabs>
        <w:spacing w:after="0" w:line="360" w:lineRule="auto"/>
        <w:ind w:firstLine="709"/>
        <w:jc w:val="both"/>
        <w:rPr>
          <w:rFonts w:ascii="Times New Roman" w:hAnsi="Times New Roman"/>
        </w:rPr>
      </w:pPr>
      <w:r>
        <w:rPr>
          <w:rFonts w:ascii="Times New Roman" w:hAnsi="Times New Roman"/>
        </w:rPr>
        <w:t>составлять план текста, создавать по нему текст и корректировать текст;</w:t>
      </w:r>
    </w:p>
    <w:p w14:paraId="6045427B">
      <w:pPr>
        <w:widowControl/>
        <w:tabs>
          <w:tab w:val="left" w:pos="1134"/>
        </w:tabs>
        <w:spacing w:after="0" w:line="360" w:lineRule="auto"/>
        <w:ind w:firstLine="709"/>
        <w:jc w:val="both"/>
        <w:rPr>
          <w:rFonts w:ascii="Times New Roman" w:hAnsi="Times New Roman"/>
        </w:rPr>
      </w:pPr>
      <w:r>
        <w:rPr>
          <w:rFonts w:ascii="Times New Roman" w:hAnsi="Times New Roman"/>
        </w:rPr>
        <w:t>писать подробное изложение по заданному, коллективно или самостоятельно составленному плану;</w:t>
      </w:r>
    </w:p>
    <w:p w14:paraId="1C188961">
      <w:pPr>
        <w:widowControl/>
        <w:tabs>
          <w:tab w:val="left" w:pos="1134"/>
        </w:tabs>
        <w:spacing w:after="0" w:line="360" w:lineRule="auto"/>
        <w:ind w:firstLine="709"/>
        <w:jc w:val="both"/>
        <w:rPr>
          <w:rFonts w:ascii="Times New Roman" w:hAnsi="Times New Roman"/>
        </w:rPr>
      </w:pPr>
      <w:r>
        <w:rPr>
          <w:rFonts w:ascii="Times New Roman" w:hAnsi="Times New Roman"/>
        </w:rPr>
        <w:t>объяснять своими словами значение изученных понятий, использовать изученные понятия;</w:t>
      </w:r>
    </w:p>
    <w:p w14:paraId="4E284307">
      <w:pPr>
        <w:widowControl/>
        <w:tabs>
          <w:tab w:val="left" w:pos="1134"/>
        </w:tabs>
        <w:spacing w:after="0" w:line="360" w:lineRule="auto"/>
        <w:ind w:firstLine="709"/>
        <w:jc w:val="both"/>
        <w:rPr>
          <w:rFonts w:ascii="Times New Roman" w:hAnsi="Times New Roman"/>
        </w:rPr>
      </w:pPr>
      <w:r>
        <w:rPr>
          <w:rFonts w:ascii="Times New Roman" w:hAnsi="Times New Roman"/>
        </w:rPr>
        <w:t>уточнять значение слова с помощью толкового словаря.</w:t>
      </w:r>
    </w:p>
    <w:p w14:paraId="050554CF">
      <w:pPr>
        <w:widowControl/>
        <w:tabs>
          <w:tab w:val="left" w:pos="1134"/>
        </w:tabs>
        <w:spacing w:after="0" w:line="360" w:lineRule="auto"/>
        <w:ind w:firstLine="709"/>
        <w:jc w:val="both"/>
        <w:rPr>
          <w:rFonts w:ascii="Times New Roman" w:hAnsi="Times New Roman"/>
        </w:rPr>
      </w:pPr>
      <w:r>
        <w:rPr>
          <w:rFonts w:ascii="Times New Roman" w:hAnsi="Times New Roman"/>
        </w:rPr>
        <w:t>4.10.6. Предметные результаты изучения родного (чувашского) языка. К концу обучения в 4 классе обучающийся научится:</w:t>
      </w:r>
    </w:p>
    <w:p w14:paraId="230777BD">
      <w:pPr>
        <w:widowControl/>
        <w:tabs>
          <w:tab w:val="left" w:pos="1134"/>
        </w:tabs>
        <w:spacing w:after="0" w:line="360" w:lineRule="auto"/>
        <w:ind w:firstLine="709"/>
        <w:jc w:val="both"/>
        <w:rPr>
          <w:rFonts w:ascii="Times New Roman" w:hAnsi="Times New Roman"/>
        </w:rPr>
      </w:pPr>
      <w:r>
        <w:rPr>
          <w:rFonts w:ascii="Times New Roman" w:hAnsi="Times New Roman"/>
        </w:rPr>
        <w:t>осознавать многообразие языков и культур на территории Российской Федерации, осознавать родной язык как одну из главных духовно-нравственных ценностей человека;</w:t>
      </w:r>
    </w:p>
    <w:p w14:paraId="3AA81AD5">
      <w:pPr>
        <w:widowControl/>
        <w:tabs>
          <w:tab w:val="left" w:pos="1134"/>
        </w:tabs>
        <w:spacing w:after="0" w:line="360" w:lineRule="auto"/>
        <w:ind w:firstLine="709"/>
        <w:jc w:val="both"/>
        <w:rPr>
          <w:rFonts w:ascii="Times New Roman" w:hAnsi="Times New Roman"/>
        </w:rPr>
      </w:pPr>
      <w:r>
        <w:rPr>
          <w:rFonts w:ascii="Times New Roman" w:hAnsi="Times New Roman"/>
        </w:rPr>
        <w:t>осознавать роль чувашского как национального языка чувашского народа;</w:t>
      </w:r>
    </w:p>
    <w:p w14:paraId="5D21E5C5">
      <w:pPr>
        <w:widowControl/>
        <w:tabs>
          <w:tab w:val="left" w:pos="1134"/>
        </w:tabs>
        <w:spacing w:after="0" w:line="360" w:lineRule="auto"/>
        <w:ind w:firstLine="709"/>
        <w:jc w:val="both"/>
        <w:rPr>
          <w:rFonts w:ascii="Times New Roman" w:hAnsi="Times New Roman"/>
        </w:rPr>
      </w:pPr>
      <w:r>
        <w:rPr>
          <w:rFonts w:ascii="Times New Roman" w:hAnsi="Times New Roman"/>
        </w:rPr>
        <w:t>осознавать устную и письменную речь как важный показатель общей культуры человека;</w:t>
      </w:r>
    </w:p>
    <w:p w14:paraId="5406179D">
      <w:pPr>
        <w:widowControl/>
        <w:tabs>
          <w:tab w:val="left" w:pos="1134"/>
        </w:tabs>
        <w:spacing w:after="0" w:line="360" w:lineRule="auto"/>
        <w:ind w:firstLine="709"/>
        <w:jc w:val="both"/>
        <w:rPr>
          <w:rFonts w:ascii="Times New Roman" w:hAnsi="Times New Roman"/>
        </w:rPr>
      </w:pPr>
      <w:r>
        <w:rPr>
          <w:rFonts w:ascii="Times New Roman" w:hAnsi="Times New Roman"/>
        </w:rPr>
        <w:t>устанавливать звукобуквенные соотношения слов, проводить звукобуквенный разбор слов (в соответствии с предложенным в учебнике алгоритмом);</w:t>
      </w:r>
    </w:p>
    <w:p w14:paraId="31CC5E79">
      <w:pPr>
        <w:widowControl/>
        <w:tabs>
          <w:tab w:val="left" w:pos="1134"/>
        </w:tabs>
        <w:spacing w:after="0" w:line="360" w:lineRule="auto"/>
        <w:ind w:firstLine="709"/>
        <w:jc w:val="both"/>
        <w:rPr>
          <w:rFonts w:ascii="Times New Roman" w:hAnsi="Times New Roman"/>
        </w:rPr>
      </w:pPr>
      <w:r>
        <w:rPr>
          <w:rFonts w:ascii="Times New Roman" w:hAnsi="Times New Roman"/>
        </w:rPr>
        <w:t>использовать в речи синонимы, антонимы, омонимы;</w:t>
      </w:r>
    </w:p>
    <w:p w14:paraId="728D94C7">
      <w:pPr>
        <w:widowControl/>
        <w:tabs>
          <w:tab w:val="left" w:pos="1134"/>
        </w:tabs>
        <w:spacing w:after="0" w:line="360" w:lineRule="auto"/>
        <w:ind w:firstLine="709"/>
        <w:jc w:val="both"/>
        <w:rPr>
          <w:rFonts w:ascii="Times New Roman" w:hAnsi="Times New Roman"/>
        </w:rPr>
      </w:pPr>
      <w:r>
        <w:rPr>
          <w:rFonts w:ascii="Times New Roman" w:hAnsi="Times New Roman"/>
        </w:rPr>
        <w:t>распознавать слова, употребляемые в прямом и переносном значении (простые случаи);</w:t>
      </w:r>
    </w:p>
    <w:p w14:paraId="6FDA6EC4">
      <w:pPr>
        <w:widowControl/>
        <w:tabs>
          <w:tab w:val="left" w:pos="1134"/>
        </w:tabs>
        <w:spacing w:after="0" w:line="360" w:lineRule="auto"/>
        <w:ind w:firstLine="709"/>
        <w:jc w:val="both"/>
        <w:rPr>
          <w:rFonts w:ascii="Times New Roman" w:hAnsi="Times New Roman"/>
        </w:rPr>
      </w:pPr>
      <w:r>
        <w:rPr>
          <w:rFonts w:ascii="Times New Roman" w:hAnsi="Times New Roman"/>
        </w:rPr>
        <w:t>выявлять в речи слова, значение которых требует уточнение, определять значение слова по контексту;</w:t>
      </w:r>
    </w:p>
    <w:p w14:paraId="4C580889">
      <w:pPr>
        <w:widowControl/>
        <w:tabs>
          <w:tab w:val="left" w:pos="1134"/>
        </w:tabs>
        <w:spacing w:after="0" w:line="360" w:lineRule="auto"/>
        <w:ind w:firstLine="709"/>
        <w:jc w:val="both"/>
        <w:rPr>
          <w:rFonts w:ascii="Times New Roman" w:hAnsi="Times New Roman"/>
        </w:rPr>
      </w:pPr>
      <w:r>
        <w:rPr>
          <w:rFonts w:ascii="Times New Roman" w:hAnsi="Times New Roman"/>
        </w:rPr>
        <w:t>определять корень слова, основу слова, аффиксы;</w:t>
      </w:r>
    </w:p>
    <w:p w14:paraId="0DB0B7DF">
      <w:pPr>
        <w:widowControl/>
        <w:tabs>
          <w:tab w:val="left" w:pos="1134"/>
        </w:tabs>
        <w:spacing w:after="0" w:line="360" w:lineRule="auto"/>
        <w:ind w:firstLine="709"/>
        <w:jc w:val="both"/>
        <w:rPr>
          <w:rFonts w:ascii="Times New Roman" w:hAnsi="Times New Roman"/>
        </w:rPr>
      </w:pPr>
      <w:r>
        <w:rPr>
          <w:rFonts w:ascii="Times New Roman" w:hAnsi="Times New Roman"/>
        </w:rPr>
        <w:t>проводить разбор по составу слов с однозначно выделяемыми морфемами, составлять схему состава слова, соотносить состав слова с представленной схемой;</w:t>
      </w:r>
    </w:p>
    <w:p w14:paraId="1B32E4C9">
      <w:pPr>
        <w:widowControl/>
        <w:tabs>
          <w:tab w:val="left" w:pos="1134"/>
        </w:tabs>
        <w:spacing w:after="0" w:line="360" w:lineRule="auto"/>
        <w:ind w:firstLine="709"/>
        <w:jc w:val="both"/>
        <w:rPr>
          <w:rFonts w:ascii="Times New Roman" w:hAnsi="Times New Roman"/>
        </w:rPr>
      </w:pPr>
      <w:r>
        <w:rPr>
          <w:rFonts w:ascii="Times New Roman" w:hAnsi="Times New Roman"/>
        </w:rPr>
        <w:t>устанавливать принадлежность слова к определенной части речи (в объёме изученного) по комплексу освоенных грамматических признаков;</w:t>
      </w:r>
    </w:p>
    <w:p w14:paraId="7DACDF05">
      <w:pPr>
        <w:widowControl/>
        <w:tabs>
          <w:tab w:val="left" w:pos="1134"/>
        </w:tabs>
        <w:spacing w:after="0" w:line="360" w:lineRule="auto"/>
        <w:ind w:firstLine="709"/>
        <w:jc w:val="both"/>
        <w:rPr>
          <w:rFonts w:ascii="Times New Roman" w:hAnsi="Times New Roman"/>
        </w:rPr>
      </w:pPr>
      <w:r>
        <w:rPr>
          <w:rFonts w:ascii="Times New Roman" w:hAnsi="Times New Roman"/>
        </w:rPr>
        <w:t>определять грамматические признаки имён существительных (число, падеж), проводить разбор имени существительного как части речи;</w:t>
      </w:r>
    </w:p>
    <w:p w14:paraId="086F5327">
      <w:pPr>
        <w:widowControl/>
        <w:tabs>
          <w:tab w:val="left" w:pos="1134"/>
        </w:tabs>
        <w:spacing w:after="0" w:line="360" w:lineRule="auto"/>
        <w:ind w:firstLine="709"/>
        <w:jc w:val="both"/>
        <w:rPr>
          <w:rFonts w:ascii="Times New Roman" w:hAnsi="Times New Roman"/>
        </w:rPr>
      </w:pPr>
      <w:r>
        <w:rPr>
          <w:rFonts w:ascii="Times New Roman" w:hAnsi="Times New Roman"/>
        </w:rPr>
        <w:t>использовать в предложениях существительных с послелогами и именными словами (хыç сăмахсемпе тата ят сăмахсемпе);</w:t>
      </w:r>
    </w:p>
    <w:p w14:paraId="38B6EB0B">
      <w:pPr>
        <w:widowControl/>
        <w:tabs>
          <w:tab w:val="left" w:pos="1134"/>
        </w:tabs>
        <w:spacing w:after="0" w:line="360" w:lineRule="auto"/>
        <w:ind w:firstLine="709"/>
        <w:jc w:val="both"/>
        <w:rPr>
          <w:rFonts w:ascii="Times New Roman" w:hAnsi="Times New Roman"/>
        </w:rPr>
      </w:pPr>
      <w:r>
        <w:rPr>
          <w:rFonts w:ascii="Times New Roman" w:hAnsi="Times New Roman"/>
        </w:rPr>
        <w:t>употреблять существительные с притяжательными аффиксами (камăнлăх аффиксĕсене йышăннă япала ячĕсем);</w:t>
      </w:r>
    </w:p>
    <w:p w14:paraId="02EDBD2F">
      <w:pPr>
        <w:widowControl/>
        <w:tabs>
          <w:tab w:val="left" w:pos="1134"/>
        </w:tabs>
        <w:spacing w:after="0" w:line="360" w:lineRule="auto"/>
        <w:ind w:firstLine="709"/>
        <w:jc w:val="both"/>
        <w:rPr>
          <w:rFonts w:ascii="Times New Roman" w:hAnsi="Times New Roman"/>
        </w:rPr>
      </w:pPr>
      <w:r>
        <w:rPr>
          <w:rFonts w:ascii="Times New Roman" w:hAnsi="Times New Roman"/>
        </w:rPr>
        <w:t>определять грамматические признаки имён прилагательных (степени сравнения), проводить разбор имени существительного как части речи;</w:t>
      </w:r>
    </w:p>
    <w:p w14:paraId="3D6DB8BE">
      <w:pPr>
        <w:widowControl/>
        <w:tabs>
          <w:tab w:val="left" w:pos="1134"/>
        </w:tabs>
        <w:spacing w:after="0" w:line="360" w:lineRule="auto"/>
        <w:ind w:firstLine="709"/>
        <w:jc w:val="both"/>
        <w:rPr>
          <w:rFonts w:ascii="Times New Roman" w:hAnsi="Times New Roman"/>
        </w:rPr>
      </w:pPr>
      <w:r>
        <w:rPr>
          <w:rFonts w:ascii="Times New Roman" w:hAnsi="Times New Roman"/>
        </w:rPr>
        <w:t>распознавать имя числительное, определять количественные и порядковые числительные, ставить вопросы;</w:t>
      </w:r>
    </w:p>
    <w:p w14:paraId="1E58C108">
      <w:pPr>
        <w:widowControl/>
        <w:tabs>
          <w:tab w:val="left" w:pos="1134"/>
        </w:tabs>
        <w:spacing w:after="0" w:line="360" w:lineRule="auto"/>
        <w:ind w:firstLine="709"/>
        <w:jc w:val="both"/>
        <w:rPr>
          <w:rFonts w:ascii="Times New Roman" w:hAnsi="Times New Roman"/>
        </w:rPr>
      </w:pPr>
      <w:r>
        <w:rPr>
          <w:rFonts w:ascii="Times New Roman" w:hAnsi="Times New Roman"/>
        </w:rPr>
        <w:t>определять грамматические признаки личного местоимения в начальной форме: лицо, число;</w:t>
      </w:r>
    </w:p>
    <w:p w14:paraId="660DD462">
      <w:pPr>
        <w:widowControl/>
        <w:tabs>
          <w:tab w:val="left" w:pos="1134"/>
        </w:tabs>
        <w:spacing w:after="0" w:line="360" w:lineRule="auto"/>
        <w:ind w:firstLine="709"/>
        <w:jc w:val="both"/>
        <w:rPr>
          <w:rFonts w:ascii="Times New Roman" w:hAnsi="Times New Roman"/>
        </w:rPr>
      </w:pPr>
      <w:r>
        <w:rPr>
          <w:rFonts w:ascii="Times New Roman" w:hAnsi="Times New Roman"/>
        </w:rPr>
        <w:t>определять грамматические признаки глаголов (лицо, число, время (в настоящем, прошедшем и будущем времени), изменять глаголы (в настоящем, прошедшем и будущем времени по лицам и числам), образовывать отрицательную форму глагола настоящего, прошедшего и будущего времени, проводить разбор глагола как части речи, различать наречие, определять значение, ставить вопросы, употреблять в речи;</w:t>
      </w:r>
    </w:p>
    <w:p w14:paraId="4F7FAC8B">
      <w:pPr>
        <w:widowControl/>
        <w:tabs>
          <w:tab w:val="left" w:pos="1134"/>
        </w:tabs>
        <w:spacing w:after="0" w:line="360" w:lineRule="auto"/>
        <w:ind w:firstLine="709"/>
        <w:jc w:val="both"/>
        <w:rPr>
          <w:rFonts w:ascii="Times New Roman" w:hAnsi="Times New Roman"/>
        </w:rPr>
      </w:pPr>
      <w:r>
        <w:rPr>
          <w:rFonts w:ascii="Times New Roman" w:hAnsi="Times New Roman"/>
        </w:rPr>
        <w:t>различать послелоги, частицы, союзы в предложениях;</w:t>
      </w:r>
    </w:p>
    <w:p w14:paraId="722C9D5D">
      <w:pPr>
        <w:widowControl/>
        <w:tabs>
          <w:tab w:val="left" w:pos="1134"/>
        </w:tabs>
        <w:spacing w:after="0" w:line="360" w:lineRule="auto"/>
        <w:ind w:firstLine="709"/>
        <w:jc w:val="both"/>
        <w:rPr>
          <w:rFonts w:ascii="Times New Roman" w:hAnsi="Times New Roman"/>
        </w:rPr>
      </w:pPr>
      <w:r>
        <w:rPr>
          <w:rFonts w:ascii="Times New Roman" w:hAnsi="Times New Roman"/>
        </w:rPr>
        <w:t>различать распространённые и нераспространённые предложения;</w:t>
      </w:r>
    </w:p>
    <w:p w14:paraId="19702ABF">
      <w:pPr>
        <w:widowControl/>
        <w:tabs>
          <w:tab w:val="left" w:pos="1134"/>
        </w:tabs>
        <w:spacing w:after="0" w:line="360" w:lineRule="auto"/>
        <w:ind w:firstLine="709"/>
        <w:jc w:val="both"/>
        <w:rPr>
          <w:rFonts w:ascii="Times New Roman" w:hAnsi="Times New Roman"/>
        </w:rPr>
      </w:pPr>
      <w:r>
        <w:rPr>
          <w:rFonts w:ascii="Times New Roman" w:hAnsi="Times New Roman"/>
        </w:rPr>
        <w:t>распознавать второстепенные члены предложения (без употребления терминов) путём постановки вопросов к главным членам предложения и обозначаемых ими значений;</w:t>
      </w:r>
    </w:p>
    <w:p w14:paraId="1600D20E">
      <w:pPr>
        <w:widowControl/>
        <w:tabs>
          <w:tab w:val="left" w:pos="1134"/>
        </w:tabs>
        <w:spacing w:after="0" w:line="360" w:lineRule="auto"/>
        <w:ind w:firstLine="709"/>
        <w:jc w:val="both"/>
        <w:rPr>
          <w:rFonts w:ascii="Times New Roman" w:hAnsi="Times New Roman"/>
        </w:rPr>
      </w:pPr>
      <w:r>
        <w:rPr>
          <w:rFonts w:ascii="Times New Roman" w:hAnsi="Times New Roman"/>
        </w:rPr>
        <w:t>распознавать предложения с однородными членами, составлять предложения с однородными членами, использовать предложения с однородными членами в речи;</w:t>
      </w:r>
    </w:p>
    <w:p w14:paraId="3815A14A">
      <w:pPr>
        <w:widowControl/>
        <w:tabs>
          <w:tab w:val="left" w:pos="1134"/>
        </w:tabs>
        <w:spacing w:after="0" w:line="360" w:lineRule="auto"/>
        <w:ind w:firstLine="709"/>
        <w:jc w:val="both"/>
        <w:rPr>
          <w:rFonts w:ascii="Times New Roman" w:hAnsi="Times New Roman"/>
        </w:rPr>
      </w:pPr>
      <w:r>
        <w:rPr>
          <w:rFonts w:ascii="Times New Roman" w:hAnsi="Times New Roman"/>
        </w:rPr>
        <w:t>производить синтаксический разбор простого предложения;</w:t>
      </w:r>
    </w:p>
    <w:p w14:paraId="2FB755FB">
      <w:pPr>
        <w:widowControl/>
        <w:tabs>
          <w:tab w:val="left" w:pos="1134"/>
        </w:tabs>
        <w:spacing w:after="0" w:line="360" w:lineRule="auto"/>
        <w:ind w:firstLine="709"/>
        <w:jc w:val="both"/>
        <w:rPr>
          <w:rFonts w:ascii="Times New Roman" w:hAnsi="Times New Roman"/>
        </w:rPr>
      </w:pPr>
      <w:r>
        <w:rPr>
          <w:rFonts w:ascii="Times New Roman" w:hAnsi="Times New Roman"/>
        </w:rPr>
        <w:t>находить место орфограммы в слове и между словами по изученным правилам;</w:t>
      </w:r>
    </w:p>
    <w:p w14:paraId="278D1C22">
      <w:pPr>
        <w:widowControl/>
        <w:tabs>
          <w:tab w:val="left" w:pos="1134"/>
        </w:tabs>
        <w:spacing w:after="0" w:line="360" w:lineRule="auto"/>
        <w:ind w:firstLine="709"/>
        <w:jc w:val="both"/>
        <w:rPr>
          <w:rFonts w:ascii="Times New Roman" w:hAnsi="Times New Roman"/>
        </w:rPr>
      </w:pPr>
      <w:r>
        <w:rPr>
          <w:rFonts w:ascii="Times New Roman" w:hAnsi="Times New Roman"/>
        </w:rPr>
        <w:t>применять изученные правила правописания, в том числе: правописание парных и повторяющихся слов, составных числительных, краткой и полной формы числительных, правописание утвердительной и отрицательной формы глаголов (настоящего, прошедшего, будущего времени глагола изъявительного наклонения), правописание прилагательных превосходной степени;</w:t>
      </w:r>
    </w:p>
    <w:p w14:paraId="59E51B7A">
      <w:pPr>
        <w:widowControl/>
        <w:tabs>
          <w:tab w:val="left" w:pos="1134"/>
        </w:tabs>
        <w:spacing w:after="0" w:line="360" w:lineRule="auto"/>
        <w:ind w:firstLine="709"/>
        <w:jc w:val="both"/>
        <w:rPr>
          <w:rFonts w:ascii="Times New Roman" w:hAnsi="Times New Roman"/>
        </w:rPr>
      </w:pPr>
      <w:r>
        <w:rPr>
          <w:rFonts w:ascii="Times New Roman" w:hAnsi="Times New Roman"/>
        </w:rPr>
        <w:t>правильно списывать тексты объёмом не более 75 слов;</w:t>
      </w:r>
    </w:p>
    <w:p w14:paraId="0AC64950">
      <w:pPr>
        <w:widowControl/>
        <w:tabs>
          <w:tab w:val="left" w:pos="1134"/>
        </w:tabs>
        <w:spacing w:after="0" w:line="360" w:lineRule="auto"/>
        <w:ind w:firstLine="709"/>
        <w:jc w:val="both"/>
        <w:rPr>
          <w:rFonts w:ascii="Times New Roman" w:hAnsi="Times New Roman"/>
        </w:rPr>
      </w:pPr>
      <w:r>
        <w:rPr>
          <w:rFonts w:ascii="Times New Roman" w:hAnsi="Times New Roman"/>
        </w:rPr>
        <w:t>писать под диктовку тексты объёмом не более 65 слов, с учётом изученных правил правописания;</w:t>
      </w:r>
    </w:p>
    <w:p w14:paraId="67F47449">
      <w:pPr>
        <w:widowControl/>
        <w:tabs>
          <w:tab w:val="left" w:pos="1134"/>
        </w:tabs>
        <w:spacing w:after="0" w:line="360" w:lineRule="auto"/>
        <w:ind w:firstLine="709"/>
        <w:jc w:val="both"/>
        <w:rPr>
          <w:rFonts w:ascii="Times New Roman" w:hAnsi="Times New Roman"/>
        </w:rPr>
      </w:pPr>
      <w:r>
        <w:rPr>
          <w:rFonts w:ascii="Times New Roman" w:hAnsi="Times New Roman"/>
        </w:rPr>
        <w:t>находить и исправлять орфографические и пунктуационные ошибки по изученным правилам;</w:t>
      </w:r>
    </w:p>
    <w:p w14:paraId="68AEEFBD">
      <w:pPr>
        <w:widowControl/>
        <w:tabs>
          <w:tab w:val="left" w:pos="1134"/>
        </w:tabs>
        <w:spacing w:after="0" w:line="360" w:lineRule="auto"/>
        <w:ind w:firstLine="709"/>
        <w:jc w:val="both"/>
        <w:rPr>
          <w:rFonts w:ascii="Times New Roman" w:hAnsi="Times New Roman"/>
        </w:rPr>
      </w:pPr>
      <w:r>
        <w:rPr>
          <w:rFonts w:ascii="Times New Roman" w:hAnsi="Times New Roman"/>
        </w:rPr>
        <w:t>осознавать ситуацию общения (с какой целью, с кем, где происходит общение), выбирать языковые средства в ситуации общения;</w:t>
      </w:r>
    </w:p>
    <w:p w14:paraId="2FCADF36">
      <w:pPr>
        <w:widowControl/>
        <w:tabs>
          <w:tab w:val="left" w:pos="1134"/>
        </w:tabs>
        <w:spacing w:after="0" w:line="360" w:lineRule="auto"/>
        <w:ind w:firstLine="709"/>
        <w:jc w:val="both"/>
        <w:rPr>
          <w:rFonts w:ascii="Times New Roman" w:hAnsi="Times New Roman"/>
        </w:rPr>
      </w:pPr>
      <w:r>
        <w:rPr>
          <w:rFonts w:ascii="Times New Roman" w:hAnsi="Times New Roman"/>
        </w:rPr>
        <w:t>строить небольшое устное диалогическое и монологическое высказывания , соблюдая орфоэпические нормы, правильную интонацию, нормы речевого взаимодействия;</w:t>
      </w:r>
    </w:p>
    <w:p w14:paraId="016595B0">
      <w:pPr>
        <w:widowControl/>
        <w:tabs>
          <w:tab w:val="left" w:pos="1134"/>
        </w:tabs>
        <w:spacing w:after="0" w:line="360" w:lineRule="auto"/>
        <w:ind w:firstLine="709"/>
        <w:jc w:val="both"/>
        <w:rPr>
          <w:rFonts w:ascii="Times New Roman" w:hAnsi="Times New Roman"/>
        </w:rPr>
      </w:pPr>
      <w:r>
        <w:rPr>
          <w:rFonts w:ascii="Times New Roman" w:hAnsi="Times New Roman"/>
        </w:rPr>
        <w:t>создавать небольшие устные и письменные тексты для конкретной ситуации письменного общения (объявление, отзыв, поздравление, заметки в детские журналы и газеты);</w:t>
      </w:r>
    </w:p>
    <w:p w14:paraId="76FA00B3">
      <w:pPr>
        <w:widowControl/>
        <w:tabs>
          <w:tab w:val="left" w:pos="1134"/>
        </w:tabs>
        <w:spacing w:after="0" w:line="360" w:lineRule="auto"/>
        <w:ind w:firstLine="709"/>
        <w:jc w:val="both"/>
        <w:rPr>
          <w:rFonts w:ascii="Times New Roman" w:hAnsi="Times New Roman"/>
        </w:rPr>
      </w:pPr>
      <w:r>
        <w:rPr>
          <w:rFonts w:ascii="Times New Roman" w:hAnsi="Times New Roman"/>
        </w:rPr>
        <w:t>определять тему и основную мысль текста, самостоятельно озаглавливать текст с использованием темы или основной мысли;</w:t>
      </w:r>
    </w:p>
    <w:p w14:paraId="3321811A">
      <w:pPr>
        <w:widowControl/>
        <w:tabs>
          <w:tab w:val="left" w:pos="1134"/>
        </w:tabs>
        <w:spacing w:after="0" w:line="360" w:lineRule="auto"/>
        <w:ind w:firstLine="709"/>
        <w:jc w:val="both"/>
        <w:rPr>
          <w:rFonts w:ascii="Times New Roman" w:hAnsi="Times New Roman"/>
        </w:rPr>
      </w:pPr>
      <w:r>
        <w:rPr>
          <w:rFonts w:ascii="Times New Roman" w:hAnsi="Times New Roman"/>
        </w:rPr>
        <w:t>корректировать порядок предложений и частей текста, составлять план текста;</w:t>
      </w:r>
    </w:p>
    <w:p w14:paraId="2E900D36">
      <w:pPr>
        <w:widowControl/>
        <w:tabs>
          <w:tab w:val="left" w:pos="1134"/>
        </w:tabs>
        <w:spacing w:after="0" w:line="360" w:lineRule="auto"/>
        <w:ind w:firstLine="709"/>
        <w:jc w:val="both"/>
        <w:rPr>
          <w:rFonts w:ascii="Times New Roman" w:hAnsi="Times New Roman"/>
        </w:rPr>
      </w:pPr>
      <w:r>
        <w:rPr>
          <w:rFonts w:ascii="Times New Roman" w:hAnsi="Times New Roman"/>
        </w:rPr>
        <w:t>осуществлять подробный пересказ текста (устно и письменно);</w:t>
      </w:r>
    </w:p>
    <w:p w14:paraId="16F4DB07">
      <w:pPr>
        <w:widowControl/>
        <w:tabs>
          <w:tab w:val="left" w:pos="1134"/>
        </w:tabs>
        <w:spacing w:after="0" w:line="360" w:lineRule="auto"/>
        <w:ind w:firstLine="709"/>
        <w:jc w:val="both"/>
        <w:rPr>
          <w:rFonts w:ascii="Times New Roman" w:hAnsi="Times New Roman"/>
        </w:rPr>
      </w:pPr>
      <w:r>
        <w:rPr>
          <w:rFonts w:ascii="Times New Roman" w:hAnsi="Times New Roman"/>
        </w:rPr>
        <w:t>осуществлять выборочный пересказ текста (устно);</w:t>
      </w:r>
    </w:p>
    <w:p w14:paraId="712C82C6">
      <w:pPr>
        <w:widowControl/>
        <w:tabs>
          <w:tab w:val="left" w:pos="1134"/>
        </w:tabs>
        <w:spacing w:after="0" w:line="360" w:lineRule="auto"/>
        <w:ind w:firstLine="709"/>
        <w:jc w:val="both"/>
        <w:rPr>
          <w:rFonts w:ascii="Times New Roman" w:hAnsi="Times New Roman"/>
        </w:rPr>
      </w:pPr>
      <w:r>
        <w:rPr>
          <w:rFonts w:ascii="Times New Roman" w:hAnsi="Times New Roman"/>
        </w:rPr>
        <w:t>писать (после предварительной подготовки) сочинение-повествование по заданным темам;</w:t>
      </w:r>
    </w:p>
    <w:p w14:paraId="3A681263">
      <w:pPr>
        <w:widowControl/>
        <w:tabs>
          <w:tab w:val="left" w:pos="1134"/>
        </w:tabs>
        <w:spacing w:after="0" w:line="360" w:lineRule="auto"/>
        <w:ind w:firstLine="709"/>
        <w:jc w:val="both"/>
        <w:rPr>
          <w:rFonts w:ascii="Times New Roman" w:hAnsi="Times New Roman"/>
        </w:rPr>
      </w:pPr>
      <w:r>
        <w:rPr>
          <w:rFonts w:ascii="Times New Roman" w:hAnsi="Times New Roman"/>
        </w:rPr>
        <w:t>осуществлять в процессе изучающего чтения поиск информации, формулировать устно и письменно простые выводы на основе прочитанной (услышанной) информации, использовать ознакомительное чтение в соответствии с поставленной задачей;</w:t>
      </w:r>
    </w:p>
    <w:p w14:paraId="09E128A8">
      <w:pPr>
        <w:widowControl/>
        <w:tabs>
          <w:tab w:val="left" w:pos="1134"/>
        </w:tabs>
        <w:spacing w:after="0" w:line="360" w:lineRule="auto"/>
        <w:ind w:firstLine="709"/>
        <w:jc w:val="both"/>
        <w:rPr>
          <w:rFonts w:ascii="Times New Roman" w:hAnsi="Times New Roman"/>
        </w:rPr>
      </w:pPr>
      <w:r>
        <w:rPr>
          <w:rFonts w:ascii="Times New Roman" w:hAnsi="Times New Roman"/>
        </w:rPr>
        <w:t>объяснять своими словами значение изученных понятий, использовать изученные понятия;</w:t>
      </w:r>
    </w:p>
    <w:p w14:paraId="504C2A52">
      <w:pPr>
        <w:widowControl/>
        <w:tabs>
          <w:tab w:val="left" w:pos="1134"/>
        </w:tabs>
        <w:spacing w:after="0" w:line="360" w:lineRule="auto"/>
        <w:ind w:firstLine="709"/>
        <w:jc w:val="both"/>
        <w:rPr>
          <w:rFonts w:ascii="Times New Roman" w:hAnsi="Times New Roman"/>
        </w:rPr>
      </w:pPr>
      <w:r>
        <w:rPr>
          <w:rFonts w:ascii="Times New Roman" w:hAnsi="Times New Roman"/>
        </w:rPr>
        <w:t>уточнять значение слова с помощью справочных изданий, в том числе из числа верифицированных электронных ресурсов.</w:t>
      </w:r>
    </w:p>
    <w:p w14:paraId="67B86F45">
      <w:pPr>
        <w:pStyle w:val="2"/>
        <w:pBdr>
          <w:bottom w:val="none" w:color="auto" w:sz="0" w:space="0"/>
        </w:pBdr>
        <w:spacing w:before="0" w:line="360" w:lineRule="auto"/>
        <w:ind w:firstLine="708"/>
        <w:jc w:val="both"/>
        <w:rPr>
          <w:b w:val="0"/>
          <w:sz w:val="22"/>
          <w:szCs w:val="22"/>
        </w:rPr>
      </w:pPr>
      <w:r>
        <w:rPr>
          <w:b w:val="0"/>
          <w:sz w:val="22"/>
          <w:szCs w:val="22"/>
        </w:rPr>
        <w:t xml:space="preserve">5. </w:t>
      </w:r>
      <w:bookmarkStart w:id="3" w:name="_Toc120616817"/>
      <w:r>
        <w:rPr>
          <w:b w:val="0"/>
          <w:sz w:val="22"/>
          <w:szCs w:val="22"/>
        </w:rPr>
        <w:t>Рабочая программа по учебному предмету «Родной (чувашский) язык».</w:t>
      </w:r>
    </w:p>
    <w:bookmarkEnd w:id="3"/>
    <w:p w14:paraId="142D22B2">
      <w:pPr>
        <w:widowControl/>
        <w:spacing w:after="0" w:line="360" w:lineRule="auto"/>
        <w:ind w:firstLine="709"/>
        <w:jc w:val="both"/>
        <w:rPr>
          <w:rFonts w:ascii="Times New Roman" w:hAnsi="Times New Roman"/>
        </w:rPr>
      </w:pPr>
      <w:r>
        <w:rPr>
          <w:rFonts w:ascii="Times New Roman" w:hAnsi="Times New Roman"/>
        </w:rPr>
        <w:t xml:space="preserve">5.1. Рабочая программа по учебному предмету «Родной (чувашский) язык» (предметная область «Родной язык и литературное чтение на родном языке») (далее соответственно – программа по родному (чувашскому) языку, родной (чувашский) язык, чувашский язык) разработана </w:t>
      </w:r>
      <w:r>
        <w:rPr>
          <w:rFonts w:ascii="Times New Roman" w:hAnsi="Times New Roman" w:eastAsia="Times New Roman"/>
        </w:rPr>
        <w:t>для обучающихся, слабо владеющих и (или) не владеющих чувашским языком</w:t>
      </w:r>
      <w:r>
        <w:rPr>
          <w:rFonts w:ascii="Times New Roman" w:hAnsi="Times New Roman"/>
        </w:rPr>
        <w:t>, и включает пояснительную записку, содержание обучения, планируемые результаты освоения программы по родному (чувашскому) языку.</w:t>
      </w:r>
    </w:p>
    <w:p w14:paraId="609539D2">
      <w:pPr>
        <w:widowControl/>
        <w:spacing w:after="0" w:line="360" w:lineRule="auto"/>
        <w:ind w:firstLine="709"/>
        <w:jc w:val="both"/>
        <w:rPr>
          <w:rFonts w:ascii="Times New Roman" w:hAnsi="Times New Roman"/>
        </w:rPr>
      </w:pPr>
      <w:r>
        <w:rPr>
          <w:rFonts w:ascii="Times New Roman" w:hAnsi="Times New Roman"/>
        </w:rPr>
        <w:t>5.2. Пояснительная записка отражает общие цели изучения родного (чувашского) языка, место в структуре учебного плана, а также подходы к отбору содержания, к определению планируемых результатов.</w:t>
      </w:r>
    </w:p>
    <w:p w14:paraId="39BFDABD">
      <w:pPr>
        <w:widowControl/>
        <w:spacing w:after="0" w:line="360" w:lineRule="auto"/>
        <w:ind w:firstLine="709"/>
        <w:jc w:val="both"/>
        <w:rPr>
          <w:rFonts w:ascii="Times New Roman" w:hAnsi="Times New Roman"/>
        </w:rPr>
      </w:pPr>
      <w:r>
        <w:rPr>
          <w:rFonts w:ascii="Times New Roman" w:hAnsi="Times New Roman"/>
        </w:rPr>
        <w:t>5.3. Содержание обучения раскрывает содержательные линии, которые предлагаются для обязательного изучения в каждом классе на уровне начального общего образования.</w:t>
      </w:r>
    </w:p>
    <w:p w14:paraId="5C010ED4">
      <w:pPr>
        <w:widowControl/>
        <w:spacing w:after="0" w:line="360" w:lineRule="auto"/>
        <w:ind w:firstLine="709"/>
        <w:jc w:val="both"/>
        <w:rPr>
          <w:rFonts w:ascii="Times New Roman" w:hAnsi="Times New Roman"/>
        </w:rPr>
      </w:pPr>
      <w:r>
        <w:rPr>
          <w:rFonts w:ascii="Times New Roman" w:hAnsi="Times New Roman"/>
        </w:rPr>
        <w:t>5.4. Планируемые результаты освоения программы по родному (чувашскому) языку включают личностные, метапредметные результаты за весь период обучения на уровне начального общего образования, а также предметные достижения обучающегося за каждый год обучения.</w:t>
      </w:r>
    </w:p>
    <w:p w14:paraId="114F9D4F">
      <w:pPr>
        <w:widowControl/>
        <w:spacing w:after="0" w:line="360" w:lineRule="auto"/>
        <w:ind w:firstLine="709"/>
        <w:jc w:val="both"/>
        <w:rPr>
          <w:rFonts w:ascii="Times New Roman" w:hAnsi="Times New Roman"/>
        </w:rPr>
      </w:pPr>
      <w:r>
        <w:rPr>
          <w:rFonts w:ascii="Times New Roman" w:hAnsi="Times New Roman"/>
        </w:rPr>
        <w:t>5.5. Пояснительная записка.</w:t>
      </w:r>
    </w:p>
    <w:p w14:paraId="6DDE41B2">
      <w:pPr>
        <w:widowControl/>
        <w:spacing w:after="0" w:line="360" w:lineRule="auto"/>
        <w:ind w:firstLine="709"/>
        <w:jc w:val="both"/>
        <w:rPr>
          <w:rFonts w:ascii="Times New Roman" w:hAnsi="Times New Roman"/>
        </w:rPr>
      </w:pPr>
      <w:r>
        <w:rPr>
          <w:rFonts w:ascii="Times New Roman" w:hAnsi="Times New Roman"/>
        </w:rPr>
        <w:t>5.5.1. Программа по родному (чувашскому) языку разработана с целью оказания методической помощи учителю в создании рабочей программы по учебному предмету, ориентированной на современные тенденции в образовании и активные методики обучения.</w:t>
      </w:r>
    </w:p>
    <w:p w14:paraId="224B6464">
      <w:pPr>
        <w:widowControl/>
        <w:spacing w:after="0" w:line="360" w:lineRule="auto"/>
        <w:ind w:firstLine="709"/>
        <w:jc w:val="both"/>
        <w:rPr>
          <w:rFonts w:ascii="Times New Roman" w:hAnsi="Times New Roman"/>
        </w:rPr>
      </w:pPr>
      <w:r>
        <w:rPr>
          <w:rFonts w:ascii="Times New Roman" w:hAnsi="Times New Roman"/>
        </w:rPr>
        <w:t>5.5.2. Программа по родному (чувашскому) языку предусматривает взаимосвязанное развитие основных видов речевой деятельности: аудирования, говорения, чтения и письма, формирование элементарных коммуникативных навыков на чувашском языке, способности и готовности общаться с носителями чувашского языка в устной и письменной форме с учётом речевых возможностей и потребностей обучающихся.</w:t>
      </w:r>
    </w:p>
    <w:p w14:paraId="62DDAE3D">
      <w:pPr>
        <w:widowControl/>
        <w:tabs>
          <w:tab w:val="left" w:pos="0"/>
          <w:tab w:val="left" w:pos="1134"/>
        </w:tabs>
        <w:spacing w:after="0" w:line="360" w:lineRule="auto"/>
        <w:ind w:firstLine="709"/>
        <w:jc w:val="both"/>
        <w:rPr>
          <w:rFonts w:ascii="Times New Roman" w:hAnsi="Times New Roman"/>
          <w:bCs/>
        </w:rPr>
      </w:pPr>
      <w:r>
        <w:rPr>
          <w:rFonts w:ascii="Times New Roman" w:hAnsi="Times New Roman"/>
        </w:rPr>
        <w:t>5.</w:t>
      </w:r>
      <w:r>
        <w:rPr>
          <w:rFonts w:ascii="Times New Roman" w:hAnsi="Times New Roman"/>
          <w:bCs/>
        </w:rPr>
        <w:t xml:space="preserve">5.3. Изучение </w:t>
      </w:r>
      <w:r>
        <w:rPr>
          <w:rFonts w:ascii="Times New Roman" w:hAnsi="Times New Roman"/>
        </w:rPr>
        <w:t xml:space="preserve">родного (чувашского) языка </w:t>
      </w:r>
      <w:r>
        <w:rPr>
          <w:rFonts w:ascii="Times New Roman" w:hAnsi="Times New Roman"/>
          <w:bCs/>
        </w:rPr>
        <w:t>направлено на осознание обучающимися значимости изучения родного и других языков в современном мире, овладение умением осуществлять межличностное и межкультурное общение. В процессе овладения родным (чувашским) языком обучающиеся получают представление о национально-культурных особенностях региона, о социокультурном портрете Чувашской Республики, её символике, культурном наследии, традициях чувашского народа, о сходстве и различиях в традициях чувашского и русского народов, об особенностях образа жизни, быта, культуры чувашей, о произведениях чувашского устного народного творчества. Обучающиеся учатся распознавать и употреблять в устной и письменной речи, в ситуациях формального и неформального общения основные нормы речевого этикета (реплики-клише, наиболее распространённую оценочную лексику), представлять родной край и его культуру в форме презентаций, устных сообщений, письменных текстов.</w:t>
      </w:r>
    </w:p>
    <w:p w14:paraId="34D4B584">
      <w:pPr>
        <w:widowControl/>
        <w:spacing w:after="0" w:line="360" w:lineRule="auto"/>
        <w:ind w:firstLine="709"/>
        <w:jc w:val="both"/>
        <w:rPr>
          <w:rFonts w:ascii="Times New Roman" w:hAnsi="Times New Roman"/>
        </w:rPr>
      </w:pPr>
      <w:r>
        <w:rPr>
          <w:rFonts w:ascii="Times New Roman" w:hAnsi="Times New Roman"/>
        </w:rPr>
        <w:t xml:space="preserve">5.5.4. Изучение родного (чувашского) языка предполагает расширение лингвистического кругозора, получение общих представлений о строе чувашского языка и его отличиях от русского языка, формирование основ коммуникативной культуры: способности ставить и решать посильные коммуникативные задачи, использовать имеющиеся речевые и неречевые средства общения, соблюдать речевой этикет. </w:t>
      </w:r>
    </w:p>
    <w:p w14:paraId="0F40A093">
      <w:pPr>
        <w:widowControl/>
        <w:spacing w:after="0" w:line="360" w:lineRule="auto"/>
        <w:ind w:firstLine="709"/>
        <w:jc w:val="both"/>
        <w:rPr>
          <w:rFonts w:ascii="Times New Roman" w:hAnsi="Times New Roman"/>
        </w:rPr>
      </w:pPr>
      <w:r>
        <w:rPr>
          <w:rFonts w:ascii="Times New Roman" w:hAnsi="Times New Roman"/>
        </w:rPr>
        <w:t>Важным направлением процесса изучения родного (чувашского) языка является формирование положительной мотивации и устойчивого учебно-познавательного интереса к предмету, а также необходимых универсальных учебных действий и специальных учебных умений, которые заложат основу успешной учебной деятельности по овладению чувашским языком на следующем уровне образования.</w:t>
      </w:r>
    </w:p>
    <w:p w14:paraId="717211B2">
      <w:pPr>
        <w:widowControl/>
        <w:spacing w:after="0" w:line="360" w:lineRule="auto"/>
        <w:jc w:val="both"/>
        <w:rPr>
          <w:rFonts w:ascii="Times New Roman" w:hAnsi="Times New Roman"/>
        </w:rPr>
      </w:pPr>
      <w:r>
        <w:rPr>
          <w:rFonts w:ascii="Times New Roman" w:hAnsi="Times New Roman"/>
        </w:rPr>
        <w:t>Возможна корректировка общего числа часов, рекомендованных для изучения предмета, с учетом индивидуального подхода образовательных организаций к выбору родного (чувашского) языка и его реализации, в рамках соблюдения гигиенических нормативов к недельной образовательной нагрузке.</w:t>
      </w:r>
    </w:p>
    <w:p w14:paraId="217F0B69">
      <w:pPr>
        <w:widowControl/>
        <w:spacing w:after="0" w:line="360" w:lineRule="auto"/>
        <w:ind w:firstLine="709"/>
        <w:jc w:val="both"/>
        <w:rPr>
          <w:rFonts w:ascii="Times New Roman" w:hAnsi="Times New Roman"/>
        </w:rPr>
      </w:pPr>
      <w:r>
        <w:rPr>
          <w:rFonts w:ascii="Times New Roman" w:hAnsi="Times New Roman"/>
        </w:rPr>
        <w:t xml:space="preserve">5.5.5. Материал программы по родному (чувашскому) языку выстроен концентрически, предусматривает изучение идентичных разделов в каждом классе, повторяющиеся виды деятельности. Подобная структура обеспечивает постепенное возрастание сложности учебного материала, способствует комплексному его изучению. За счет употребления в речи и многократного повторения сходных языковых формул и конструкций (коммуникативная методика действия по аналогии, или способность к самостоятельному конструированию) у обучающихся формируются умения следовать законам языка в изменяющихся речевых ситуациях. </w:t>
      </w:r>
    </w:p>
    <w:p w14:paraId="1E014799">
      <w:pPr>
        <w:widowControl/>
        <w:spacing w:after="0" w:line="360" w:lineRule="auto"/>
        <w:ind w:firstLine="709"/>
        <w:jc w:val="both"/>
        <w:rPr>
          <w:rFonts w:ascii="Times New Roman" w:hAnsi="Times New Roman"/>
        </w:rPr>
      </w:pPr>
      <w:r>
        <w:rPr>
          <w:rFonts w:ascii="Times New Roman" w:hAnsi="Times New Roman"/>
        </w:rPr>
        <w:t>5.5.6. Включенность родного (чувашского) языка в систему начального общего образования обеспечивается содержательными связями с другими учебными предметами</w:t>
      </w:r>
      <w:r>
        <w:rPr>
          <w:rFonts w:ascii="Times New Roman" w:hAnsi="Times New Roman" w:eastAsia="Times New Roman"/>
          <w:lang w:eastAsia="ru-RU"/>
        </w:rPr>
        <w:t xml:space="preserve"> гуманитарной направленности: «Русский язык», «</w:t>
      </w:r>
      <w:r>
        <w:rPr>
          <w:rFonts w:ascii="Times New Roman" w:hAnsi="Times New Roman"/>
        </w:rPr>
        <w:t>Литературное чтение</w:t>
      </w:r>
      <w:r>
        <w:rPr>
          <w:rFonts w:ascii="Times New Roman" w:hAnsi="Times New Roman" w:eastAsia="Times New Roman"/>
          <w:lang w:eastAsia="ru-RU"/>
        </w:rPr>
        <w:t xml:space="preserve">». </w:t>
      </w:r>
      <w:r>
        <w:rPr>
          <w:rFonts w:ascii="Times New Roman" w:hAnsi="Times New Roman"/>
        </w:rPr>
        <w:t>По линии повышения уровня владения родной речью, обогащения словарного запаса на родном языке, формирования функциональной грамотности родной (чувашский) язык тесно связан с учебным предметом «Литературное чтение на родном (чувашском) языке».</w:t>
      </w:r>
    </w:p>
    <w:p w14:paraId="6C92C98A">
      <w:pPr>
        <w:widowControl/>
        <w:tabs>
          <w:tab w:val="left" w:pos="0"/>
        </w:tabs>
        <w:spacing w:after="0" w:line="360" w:lineRule="auto"/>
        <w:ind w:firstLine="709"/>
        <w:jc w:val="both"/>
        <w:rPr>
          <w:rFonts w:ascii="Times New Roman" w:hAnsi="Times New Roman"/>
        </w:rPr>
      </w:pPr>
      <w:r>
        <w:rPr>
          <w:rFonts w:ascii="Times New Roman" w:hAnsi="Times New Roman"/>
        </w:rPr>
        <w:t>5.</w:t>
      </w:r>
      <w:r>
        <w:rPr>
          <w:rFonts w:ascii="Times New Roman" w:hAnsi="Times New Roman"/>
          <w:bCs/>
        </w:rPr>
        <w:t xml:space="preserve">5.7. Программой </w:t>
      </w:r>
      <w:r>
        <w:rPr>
          <w:rFonts w:ascii="Times New Roman" w:hAnsi="Times New Roman"/>
        </w:rPr>
        <w:t xml:space="preserve">по родному (чувашскому) языку </w:t>
      </w:r>
      <w:r>
        <w:rPr>
          <w:rFonts w:ascii="Times New Roman" w:hAnsi="Times New Roman"/>
          <w:bCs/>
        </w:rPr>
        <w:t xml:space="preserve">предусмотрено использование методически целесообразных средств обучения, </w:t>
      </w:r>
      <w:r>
        <w:rPr>
          <w:rFonts w:ascii="Times New Roman" w:hAnsi="Times New Roman"/>
        </w:rPr>
        <w:t>современных педагогических технологий деятельностного типа, информационных и коммуникационных технологий и электронных образовательных ресурсов.</w:t>
      </w:r>
    </w:p>
    <w:p w14:paraId="47755932">
      <w:pPr>
        <w:widowControl/>
        <w:spacing w:after="0" w:line="360" w:lineRule="auto"/>
        <w:ind w:firstLine="709"/>
        <w:jc w:val="both"/>
        <w:rPr>
          <w:rFonts w:ascii="Times New Roman" w:hAnsi="Times New Roman"/>
        </w:rPr>
      </w:pPr>
      <w:r>
        <w:rPr>
          <w:rFonts w:ascii="Times New Roman" w:hAnsi="Times New Roman"/>
        </w:rPr>
        <w:t>5.5.8. В содержании программы по родному (чувашскому) языку выделяются следующие содержательные линии:</w:t>
      </w:r>
    </w:p>
    <w:p w14:paraId="1496362E">
      <w:pPr>
        <w:widowControl/>
        <w:shd w:val="clear" w:color="auto" w:fill="FFFFFF"/>
        <w:spacing w:after="0" w:line="360" w:lineRule="auto"/>
        <w:ind w:right="2" w:firstLine="709"/>
        <w:jc w:val="both"/>
        <w:rPr>
          <w:rFonts w:ascii="Times New Roman" w:hAnsi="Times New Roman"/>
        </w:rPr>
      </w:pPr>
      <w:r>
        <w:rPr>
          <w:rFonts w:ascii="Times New Roman" w:hAnsi="Times New Roman"/>
        </w:rPr>
        <w:t xml:space="preserve">тематическое содержание речи (расширение словарного запаса обучающихся за счёт изучения базовых тем, актуальных для младшего школьного возраста); </w:t>
      </w:r>
    </w:p>
    <w:p w14:paraId="2060F33F">
      <w:pPr>
        <w:widowControl/>
        <w:shd w:val="clear" w:color="auto" w:fill="FFFFFF"/>
        <w:spacing w:after="0" w:line="360" w:lineRule="auto"/>
        <w:ind w:right="2" w:firstLine="709"/>
        <w:jc w:val="both"/>
        <w:rPr>
          <w:rFonts w:ascii="Times New Roman" w:hAnsi="Times New Roman"/>
        </w:rPr>
      </w:pPr>
      <w:r>
        <w:rPr>
          <w:rFonts w:ascii="Times New Roman" w:hAnsi="Times New Roman"/>
          <w:bCs/>
        </w:rPr>
        <w:t>речевые умения (развитие способностей воспринимать родную речь на слух, говорить, читать и писать по-чувашски)</w:t>
      </w:r>
      <w:r>
        <w:rPr>
          <w:rFonts w:ascii="Times New Roman" w:hAnsi="Times New Roman"/>
        </w:rPr>
        <w:t>;</w:t>
      </w:r>
    </w:p>
    <w:p w14:paraId="0978B24D">
      <w:pPr>
        <w:widowControl/>
        <w:shd w:val="clear" w:color="auto" w:fill="FFFFFF"/>
        <w:spacing w:after="0" w:line="360" w:lineRule="auto"/>
        <w:ind w:right="2" w:firstLine="709"/>
        <w:jc w:val="both"/>
        <w:rPr>
          <w:rFonts w:ascii="Times New Roman" w:hAnsi="Times New Roman"/>
        </w:rPr>
      </w:pPr>
      <w:r>
        <w:rPr>
          <w:rFonts w:ascii="Times New Roman" w:hAnsi="Times New Roman"/>
        </w:rPr>
        <w:t>языковые знания и навыки (начальное изучение чувашского языка как системы).</w:t>
      </w:r>
    </w:p>
    <w:p w14:paraId="4D025CB1">
      <w:pPr>
        <w:widowControl/>
        <w:spacing w:after="0" w:line="360" w:lineRule="auto"/>
        <w:ind w:firstLine="709"/>
        <w:jc w:val="both"/>
        <w:rPr>
          <w:rFonts w:ascii="Times New Roman" w:hAnsi="Times New Roman"/>
        </w:rPr>
      </w:pPr>
      <w:r>
        <w:rPr>
          <w:rFonts w:ascii="Times New Roman" w:hAnsi="Times New Roman"/>
        </w:rPr>
        <w:t>5.5.9. Ценностные ориентиры содержания программы по родному (чувашскому) языку основываются на концепции духовно-нравственного развития и воспитания личности гражданина Российской Федерации. Содержание программы по родному (чувашскому) языку включает материалы, расширяющие представления обучающихся о России, Чувашской Республике и формирующие чувство патриотизма, гордости за свою страну. Предусмотрено обсуждение таких вопросов, как любовь к своей семье, почитание родителей, забота о старших и младших, здоровый образ жизни, трудолюбие, положительное отношение к учёбе, интерес к творчеству в разных его проявлениях. Значительное внимание уделяется современным проблемам бережного отношения к природе и природным ресурсам, осознанию необходимости сохранения природного разнообразия родной страны, что закладывает основы формирования экологического сознания обучающихся.</w:t>
      </w:r>
    </w:p>
    <w:p w14:paraId="60491DFB">
      <w:pPr>
        <w:widowControl/>
        <w:spacing w:after="0" w:line="360" w:lineRule="auto"/>
        <w:ind w:firstLine="709"/>
        <w:jc w:val="both"/>
        <w:rPr>
          <w:rFonts w:ascii="Times New Roman" w:hAnsi="Times New Roman"/>
        </w:rPr>
      </w:pPr>
      <w:r>
        <w:rPr>
          <w:rFonts w:ascii="Times New Roman" w:hAnsi="Times New Roman"/>
        </w:rPr>
        <w:t>Эстетическое развитие обучающихся обеспечивается за счет наличия в содержании родного (чувашского) языка фольклорных текстов, авторских стихотворений, сказок и рассказов.</w:t>
      </w:r>
    </w:p>
    <w:p w14:paraId="5639029B">
      <w:pPr>
        <w:widowControl/>
        <w:spacing w:after="0" w:line="360" w:lineRule="auto"/>
        <w:ind w:firstLine="709"/>
        <w:jc w:val="both"/>
        <w:rPr>
          <w:rFonts w:ascii="Times New Roman" w:hAnsi="Times New Roman" w:eastAsia="Times New Roman"/>
        </w:rPr>
      </w:pPr>
      <w:r>
        <w:rPr>
          <w:rFonts w:ascii="Times New Roman" w:hAnsi="Times New Roman"/>
        </w:rPr>
        <w:t>5.5.10. </w:t>
      </w:r>
      <w:r>
        <w:rPr>
          <w:rFonts w:ascii="Times New Roman" w:hAnsi="Times New Roman" w:eastAsia="Times New Roman"/>
        </w:rPr>
        <w:t>Изучение родного (чувашского) языка направлено на достижение следующих целей:</w:t>
      </w:r>
    </w:p>
    <w:p w14:paraId="277C3853">
      <w:pPr>
        <w:widowControl/>
        <w:tabs>
          <w:tab w:val="left" w:pos="0"/>
        </w:tabs>
        <w:spacing w:after="0" w:line="360" w:lineRule="auto"/>
        <w:ind w:firstLine="709"/>
        <w:jc w:val="both"/>
        <w:rPr>
          <w:rFonts w:ascii="Times New Roman" w:hAnsi="Times New Roman"/>
          <w:bCs/>
        </w:rPr>
      </w:pPr>
      <w:r>
        <w:rPr>
          <w:rFonts w:ascii="Times New Roman" w:hAnsi="Times New Roman"/>
          <w:bCs/>
        </w:rPr>
        <w:t>развитие элементарных коммуникативных умений на чувашском языке</w:t>
      </w:r>
      <w:r>
        <w:rPr>
          <w:rFonts w:ascii="Times New Roman" w:hAnsi="Times New Roman"/>
        </w:rPr>
        <w:t xml:space="preserve">, </w:t>
      </w:r>
      <w:r>
        <w:rPr>
          <w:rFonts w:ascii="Times New Roman" w:hAnsi="Times New Roman"/>
          <w:bCs/>
        </w:rPr>
        <w:t xml:space="preserve">видов речевой деятельности: говорения, аудирования, чтения, письма; </w:t>
      </w:r>
    </w:p>
    <w:p w14:paraId="47137B11">
      <w:pPr>
        <w:widowControl/>
        <w:tabs>
          <w:tab w:val="left" w:pos="0"/>
        </w:tabs>
        <w:spacing w:after="0" w:line="360" w:lineRule="auto"/>
        <w:ind w:firstLine="709"/>
        <w:jc w:val="both"/>
        <w:rPr>
          <w:rFonts w:ascii="Times New Roman" w:hAnsi="Times New Roman"/>
          <w:bCs/>
        </w:rPr>
      </w:pPr>
      <w:r>
        <w:rPr>
          <w:rFonts w:ascii="Times New Roman" w:hAnsi="Times New Roman"/>
          <w:bCs/>
        </w:rPr>
        <w:t>овладение первоначальными знаниями о системе и особенностях чувашского языка, употребление языковых средств (фонетических, орфографических, лексических, грамматических) в соответствии c темами, сферами и ситуациями общения, представленными в программе;</w:t>
      </w:r>
    </w:p>
    <w:p w14:paraId="349188B4">
      <w:pPr>
        <w:widowControl/>
        <w:tabs>
          <w:tab w:val="left" w:pos="0"/>
        </w:tabs>
        <w:spacing w:after="0" w:line="360" w:lineRule="auto"/>
        <w:ind w:firstLine="709"/>
        <w:jc w:val="both"/>
        <w:rPr>
          <w:rFonts w:ascii="Times New Roman" w:hAnsi="Times New Roman"/>
          <w:bCs/>
        </w:rPr>
      </w:pPr>
      <w:r>
        <w:rPr>
          <w:rFonts w:ascii="Times New Roman" w:hAnsi="Times New Roman"/>
          <w:lang w:eastAsia="ru-RU"/>
        </w:rPr>
        <w:t xml:space="preserve">формирование мотивации к изучению чувашского языка как важнейшей духовно-нравственной ценности чувашского народа, приобщение обучающихся к чувашской культуре и традициям, </w:t>
      </w:r>
      <w:r>
        <w:rPr>
          <w:rFonts w:ascii="Times New Roman" w:hAnsi="Times New Roman"/>
          <w:bCs/>
        </w:rPr>
        <w:t>формирование культурной и этнической идентичности как составляющих общероссийской гражданской идентичности.</w:t>
      </w:r>
    </w:p>
    <w:p w14:paraId="24AF977F">
      <w:pPr>
        <w:widowControl/>
        <w:tabs>
          <w:tab w:val="left" w:pos="0"/>
        </w:tabs>
        <w:spacing w:after="0" w:line="360" w:lineRule="auto"/>
        <w:ind w:firstLine="709"/>
        <w:jc w:val="both"/>
        <w:rPr>
          <w:rFonts w:ascii="Times New Roman" w:hAnsi="Times New Roman"/>
          <w:bCs/>
        </w:rPr>
      </w:pPr>
      <w:r>
        <w:rPr>
          <w:rFonts w:ascii="Times New Roman" w:hAnsi="Times New Roman"/>
          <w:bCs/>
        </w:rPr>
        <w:t>ознакомление с доступными способами и приемами самостоятельного изучения чувашского языка, в том числе с использованием информационных и коммуникационных технологий;</w:t>
      </w:r>
    </w:p>
    <w:p w14:paraId="39B0EC34">
      <w:pPr>
        <w:widowControl/>
        <w:spacing w:after="0" w:line="360" w:lineRule="auto"/>
        <w:ind w:firstLine="709"/>
        <w:jc w:val="both"/>
        <w:rPr>
          <w:rFonts w:ascii="Times New Roman" w:hAnsi="Times New Roman" w:eastAsia="Times New Roman"/>
        </w:rPr>
      </w:pPr>
      <w:r>
        <w:rPr>
          <w:rFonts w:ascii="Times New Roman" w:hAnsi="Times New Roman"/>
        </w:rPr>
        <w:t>5.</w:t>
      </w:r>
      <w:r>
        <w:rPr>
          <w:rFonts w:ascii="Times New Roman" w:hAnsi="Times New Roman" w:eastAsia="Times New Roman"/>
        </w:rPr>
        <w:t>5.11. Общее число часов, рекомендованных для изучения родного (чувашского) языка, – 108 часов: в 1 классе – 23 часов (0,5 часов в неделю), во 2 классе – 34 часа (1 час в неделю), в 3 классе – 34 часа (1 час в неделю), в 4 классе – 17 часов (0,5 часов в неделю).</w:t>
      </w:r>
    </w:p>
    <w:p w14:paraId="55EF9B3B">
      <w:pPr>
        <w:widowControl/>
        <w:spacing w:after="0" w:line="360" w:lineRule="auto"/>
        <w:ind w:firstLine="709"/>
        <w:jc w:val="both"/>
        <w:rPr>
          <w:rFonts w:ascii="Times New Roman" w:hAnsi="Times New Roman"/>
        </w:rPr>
      </w:pPr>
      <w:r>
        <w:rPr>
          <w:rFonts w:ascii="Times New Roman" w:hAnsi="Times New Roman"/>
        </w:rPr>
        <w:t>5.6. Содержание обучения в 1 классе.</w:t>
      </w:r>
    </w:p>
    <w:p w14:paraId="25082C0A">
      <w:pPr>
        <w:widowControl/>
        <w:spacing w:after="0" w:line="360" w:lineRule="auto"/>
        <w:ind w:firstLine="709"/>
        <w:jc w:val="both"/>
        <w:rPr>
          <w:rFonts w:ascii="Times New Roman" w:hAnsi="Times New Roman"/>
        </w:rPr>
      </w:pPr>
      <w:r>
        <w:rPr>
          <w:rFonts w:ascii="Times New Roman" w:hAnsi="Times New Roman"/>
        </w:rPr>
        <w:t>5.6.1. В 1 классе практическое обучение чувашской грамоте происходит на уровне грамматической пропедевтики с учётом специфики изучаемого параллельно учебного предмета «Русский язык».</w:t>
      </w:r>
    </w:p>
    <w:p w14:paraId="45CB4260">
      <w:pPr>
        <w:widowControl/>
        <w:spacing w:after="0" w:line="360" w:lineRule="auto"/>
        <w:ind w:firstLine="709"/>
        <w:jc w:val="both"/>
        <w:rPr>
          <w:rFonts w:ascii="Times New Roman" w:hAnsi="Times New Roman"/>
        </w:rPr>
      </w:pPr>
      <w:r>
        <w:rPr>
          <w:rFonts w:ascii="Times New Roman" w:hAnsi="Times New Roman"/>
        </w:rPr>
        <w:t>5.6.2. </w:t>
      </w:r>
      <w:r>
        <w:rPr>
          <w:rFonts w:ascii="Times New Roman" w:hAnsi="Times New Roman"/>
          <w:iCs/>
        </w:rPr>
        <w:t>Тематическое содержание речи.</w:t>
      </w:r>
    </w:p>
    <w:p w14:paraId="770E6E71">
      <w:pPr>
        <w:widowControl/>
        <w:spacing w:after="0" w:line="360" w:lineRule="auto"/>
        <w:ind w:firstLine="709"/>
        <w:jc w:val="both"/>
        <w:rPr>
          <w:rFonts w:ascii="Times New Roman" w:hAnsi="Times New Roman"/>
        </w:rPr>
      </w:pPr>
      <w:bookmarkStart w:id="4" w:name="_Hlk120267615"/>
      <w:r>
        <w:rPr>
          <w:rFonts w:ascii="Times New Roman" w:hAnsi="Times New Roman"/>
        </w:rPr>
        <w:t>Паллашар-и? (Давайте познакомимся!). Пирĕн шкул (Наша школа). Манăн çемье (Моя семья). Манăн туссем (Мои друзья). Манăн кулленхи ĕçсем (Мой ежедневный труд). Ыр кăмăллăх урокĕсем (Уроки доброты). Манăн таврари тĕнче (Окружающий мир). Çулталăк вăхăчĕсем (Времена года). Тăван кĕтес. Тăван çĕршыв (Родной уголок. Родина). Халăх пултарулăхĕ (Устное народное творчество).</w:t>
      </w:r>
    </w:p>
    <w:p w14:paraId="18E718A1">
      <w:pPr>
        <w:widowControl/>
        <w:spacing w:after="0" w:line="360" w:lineRule="auto"/>
        <w:ind w:firstLine="709"/>
        <w:jc w:val="both"/>
        <w:rPr>
          <w:rFonts w:ascii="Times New Roman" w:hAnsi="Times New Roman"/>
        </w:rPr>
      </w:pPr>
      <w:r>
        <w:rPr>
          <w:rFonts w:ascii="Times New Roman" w:hAnsi="Times New Roman"/>
        </w:rPr>
        <w:t>5.6.3. </w:t>
      </w:r>
      <w:bookmarkEnd w:id="4"/>
      <w:r>
        <w:rPr>
          <w:rFonts w:ascii="Times New Roman" w:hAnsi="Times New Roman"/>
          <w:bCs/>
        </w:rPr>
        <w:t>Речевые умения.</w:t>
      </w:r>
    </w:p>
    <w:p w14:paraId="23F6132D">
      <w:pPr>
        <w:widowControl/>
        <w:spacing w:after="0" w:line="360" w:lineRule="auto"/>
        <w:ind w:right="60" w:firstLine="709"/>
        <w:jc w:val="both"/>
        <w:rPr>
          <w:rFonts w:ascii="Times New Roman" w:hAnsi="Times New Roman" w:eastAsia="Times New Roman"/>
          <w:lang w:eastAsia="ru-RU"/>
        </w:rPr>
      </w:pPr>
      <w:r>
        <w:rPr>
          <w:rFonts w:ascii="Times New Roman" w:hAnsi="Times New Roman"/>
        </w:rPr>
        <w:t>5.</w:t>
      </w:r>
      <w:r>
        <w:rPr>
          <w:rFonts w:ascii="Times New Roman" w:hAnsi="Times New Roman" w:eastAsia="Times New Roman"/>
          <w:lang w:eastAsia="ru-RU"/>
        </w:rPr>
        <w:t>6.3.1. Аудирование.</w:t>
      </w:r>
    </w:p>
    <w:p w14:paraId="3171AB2D">
      <w:pPr>
        <w:widowControl/>
        <w:spacing w:after="0" w:line="360" w:lineRule="auto"/>
        <w:ind w:right="60" w:firstLine="709"/>
        <w:jc w:val="both"/>
        <w:rPr>
          <w:rFonts w:ascii="Times New Roman" w:hAnsi="Times New Roman" w:eastAsia="Times New Roman"/>
          <w:lang w:eastAsia="ru-RU"/>
        </w:rPr>
      </w:pPr>
      <w:r>
        <w:rPr>
          <w:rFonts w:ascii="Times New Roman" w:hAnsi="Times New Roman" w:eastAsia="Times New Roman"/>
          <w:lang w:eastAsia="ru-RU"/>
        </w:rPr>
        <w:t>Восприятие на слух чувашской речи, понимание содержания небольших сообщений.</w:t>
      </w:r>
    </w:p>
    <w:p w14:paraId="57F2CD60">
      <w:pPr>
        <w:widowControl/>
        <w:spacing w:after="0" w:line="360" w:lineRule="auto"/>
        <w:ind w:right="60" w:firstLine="709"/>
        <w:jc w:val="both"/>
        <w:rPr>
          <w:rFonts w:ascii="Times New Roman" w:hAnsi="Times New Roman" w:eastAsia="Times New Roman"/>
          <w:lang w:eastAsia="ru-RU"/>
        </w:rPr>
      </w:pPr>
      <w:r>
        <w:rPr>
          <w:rFonts w:ascii="Times New Roman" w:hAnsi="Times New Roman"/>
        </w:rPr>
        <w:t>5.</w:t>
      </w:r>
      <w:r>
        <w:rPr>
          <w:rFonts w:ascii="Times New Roman" w:hAnsi="Times New Roman" w:eastAsia="Times New Roman"/>
          <w:lang w:eastAsia="ru-RU"/>
        </w:rPr>
        <w:t>6.3.2. Говорение.</w:t>
      </w:r>
    </w:p>
    <w:p w14:paraId="7096AFB2">
      <w:pPr>
        <w:widowControl/>
        <w:spacing w:after="0" w:line="360" w:lineRule="auto"/>
        <w:ind w:right="60" w:firstLine="709"/>
        <w:jc w:val="both"/>
        <w:rPr>
          <w:rFonts w:ascii="Times New Roman" w:hAnsi="Times New Roman" w:eastAsia="Times New Roman"/>
          <w:lang w:eastAsia="ru-RU"/>
        </w:rPr>
      </w:pPr>
      <w:r>
        <w:rPr>
          <w:rFonts w:ascii="Times New Roman" w:hAnsi="Times New Roman" w:eastAsia="Times New Roman"/>
          <w:lang w:eastAsia="ru-RU"/>
        </w:rPr>
        <w:t>Диалогическая форма речи. Ведение элементарного этикетного диалога, диалога-расспроса. Умение понимать простые вопросы, кратко отвечать на них, самим задавать простые вопросы.</w:t>
      </w:r>
    </w:p>
    <w:p w14:paraId="1A5CF40B">
      <w:pPr>
        <w:widowControl/>
        <w:spacing w:after="0" w:line="360" w:lineRule="auto"/>
        <w:ind w:right="60" w:firstLine="709"/>
        <w:jc w:val="both"/>
        <w:rPr>
          <w:rFonts w:ascii="Times New Roman" w:hAnsi="Times New Roman" w:eastAsia="Times New Roman"/>
          <w:lang w:eastAsia="ru-RU"/>
        </w:rPr>
      </w:pPr>
      <w:r>
        <w:rPr>
          <w:rFonts w:ascii="Times New Roman" w:hAnsi="Times New Roman" w:eastAsia="Times New Roman"/>
          <w:lang w:eastAsia="ru-RU"/>
        </w:rPr>
        <w:t xml:space="preserve">Монологическая форма речи. Создание кратких монологических высказываний по предложенной теме или рисункам, образцам. Составление описания, </w:t>
      </w:r>
      <w:r>
        <w:rPr>
          <w:rFonts w:ascii="Times New Roman" w:hAnsi="Times New Roman"/>
          <w:lang w:eastAsia="ru-RU"/>
        </w:rPr>
        <w:t>овладение активным словарем по темам общения, обозначенным в программе (</w:t>
      </w:r>
      <w:r>
        <w:rPr>
          <w:rFonts w:ascii="Times New Roman" w:hAnsi="Times New Roman"/>
        </w:rPr>
        <w:t>не менее 250 лексических единиц</w:t>
      </w:r>
      <w:r>
        <w:rPr>
          <w:rFonts w:ascii="Times New Roman" w:hAnsi="Times New Roman"/>
          <w:lang w:eastAsia="ru-RU"/>
        </w:rPr>
        <w:t>).</w:t>
      </w:r>
    </w:p>
    <w:p w14:paraId="0B025B52">
      <w:pPr>
        <w:widowControl/>
        <w:spacing w:after="0" w:line="360" w:lineRule="auto"/>
        <w:ind w:right="60" w:firstLine="709"/>
        <w:jc w:val="both"/>
        <w:rPr>
          <w:rFonts w:ascii="Times New Roman" w:hAnsi="Times New Roman" w:eastAsia="Times New Roman"/>
          <w:lang w:eastAsia="ru-RU"/>
        </w:rPr>
      </w:pPr>
      <w:r>
        <w:rPr>
          <w:rFonts w:ascii="Times New Roman" w:hAnsi="Times New Roman"/>
        </w:rPr>
        <w:t>5.</w:t>
      </w:r>
      <w:r>
        <w:rPr>
          <w:rFonts w:ascii="Times New Roman" w:hAnsi="Times New Roman" w:eastAsia="Times New Roman"/>
          <w:lang w:eastAsia="ru-RU"/>
        </w:rPr>
        <w:t>6.3.3. Чтение.</w:t>
      </w:r>
    </w:p>
    <w:p w14:paraId="7CF0BD68">
      <w:pPr>
        <w:widowControl/>
        <w:spacing w:after="0" w:line="360" w:lineRule="auto"/>
        <w:ind w:right="60" w:firstLine="709"/>
        <w:jc w:val="both"/>
        <w:rPr>
          <w:rFonts w:ascii="Times New Roman" w:hAnsi="Times New Roman" w:eastAsia="Times New Roman"/>
          <w:lang w:eastAsia="ru-RU"/>
        </w:rPr>
      </w:pPr>
      <w:r>
        <w:rPr>
          <w:rFonts w:ascii="Times New Roman" w:hAnsi="Times New Roman" w:eastAsia="Times New Roman"/>
          <w:lang w:eastAsia="ru-RU"/>
        </w:rPr>
        <w:t>Соотношение графического образа чувашского слова с его звуковым оформлением.</w:t>
      </w:r>
    </w:p>
    <w:p w14:paraId="671C9A38">
      <w:pPr>
        <w:widowControl/>
        <w:spacing w:after="0" w:line="360" w:lineRule="auto"/>
        <w:ind w:right="60" w:firstLine="709"/>
        <w:jc w:val="both"/>
        <w:rPr>
          <w:rFonts w:ascii="Times New Roman" w:hAnsi="Times New Roman" w:eastAsia="Times New Roman"/>
          <w:lang w:eastAsia="ru-RU"/>
        </w:rPr>
      </w:pPr>
      <w:r>
        <w:rPr>
          <w:rFonts w:ascii="Times New Roman" w:hAnsi="Times New Roman" w:eastAsia="Times New Roman"/>
          <w:lang w:eastAsia="ru-RU"/>
        </w:rPr>
        <w:t>Соотношение звуков и букв, овладение правилами позиционного чтения.</w:t>
      </w:r>
    </w:p>
    <w:p w14:paraId="0B883064">
      <w:pPr>
        <w:widowControl/>
        <w:tabs>
          <w:tab w:val="left" w:pos="142"/>
          <w:tab w:val="left" w:leader="dot" w:pos="624"/>
          <w:tab w:val="left" w:pos="1134"/>
        </w:tabs>
        <w:spacing w:after="0" w:line="360" w:lineRule="auto"/>
        <w:ind w:firstLine="709"/>
        <w:jc w:val="both"/>
        <w:rPr>
          <w:rFonts w:ascii="Times New Roman" w:hAnsi="Times New Roman" w:eastAsia="@Arial Unicode MS"/>
        </w:rPr>
      </w:pPr>
      <w:r>
        <w:rPr>
          <w:rFonts w:ascii="Times New Roman" w:hAnsi="Times New Roman" w:eastAsia="@Arial Unicode MS"/>
        </w:rPr>
        <w:t>Чтение вслух изученных слов, словосочетаний, предложений, небольших учебных текстов, построенных на изученном языковом материале, соблюдение правил произношения и соответствующей интонации. Формирование умения находить в тексте необходимую информацию и использовать её. Использование двуязычного словаря учебника.</w:t>
      </w:r>
    </w:p>
    <w:p w14:paraId="7E9845F9">
      <w:pPr>
        <w:widowControl/>
        <w:spacing w:after="0" w:line="360" w:lineRule="auto"/>
        <w:ind w:right="60" w:firstLine="709"/>
        <w:jc w:val="both"/>
        <w:rPr>
          <w:rFonts w:ascii="Times New Roman" w:hAnsi="Times New Roman" w:eastAsia="Times New Roman"/>
          <w:lang w:eastAsia="ru-RU"/>
        </w:rPr>
      </w:pPr>
      <w:r>
        <w:rPr>
          <w:rFonts w:ascii="Times New Roman" w:hAnsi="Times New Roman"/>
        </w:rPr>
        <w:t>5.</w:t>
      </w:r>
      <w:r>
        <w:rPr>
          <w:rFonts w:ascii="Times New Roman" w:hAnsi="Times New Roman" w:eastAsia="Times New Roman"/>
          <w:lang w:eastAsia="ru-RU"/>
        </w:rPr>
        <w:t>6.3.4. </w:t>
      </w:r>
      <w:r>
        <w:rPr>
          <w:rFonts w:ascii="Times New Roman" w:hAnsi="Times New Roman" w:eastAsia="@Arial Unicode MS"/>
          <w:bCs/>
        </w:rPr>
        <w:t>Письмо.</w:t>
      </w:r>
    </w:p>
    <w:p w14:paraId="51B5A533">
      <w:pPr>
        <w:widowControl/>
        <w:spacing w:after="0" w:line="360" w:lineRule="auto"/>
        <w:ind w:firstLine="709"/>
        <w:jc w:val="both"/>
        <w:rPr>
          <w:rFonts w:ascii="Times New Roman" w:hAnsi="Times New Roman" w:eastAsia="@Arial Unicode MS"/>
          <w:iCs/>
        </w:rPr>
      </w:pPr>
      <w:r>
        <w:rPr>
          <w:rFonts w:ascii="Times New Roman" w:hAnsi="Times New Roman" w:eastAsia="@Arial Unicode MS"/>
        </w:rPr>
        <w:t>Овладение начертанием заглавных и строчных букв</w:t>
      </w:r>
      <w:r>
        <w:rPr>
          <w:rFonts w:ascii="Times New Roman" w:hAnsi="Times New Roman" w:eastAsia="@Arial Unicode MS"/>
          <w:iCs/>
        </w:rPr>
        <w:t xml:space="preserve">, идентичных буквам русского алфавита. </w:t>
      </w:r>
      <w:r>
        <w:rPr>
          <w:rFonts w:ascii="Times New Roman" w:hAnsi="Times New Roman"/>
        </w:rPr>
        <w:t>О</w:t>
      </w:r>
      <w:r>
        <w:rPr>
          <w:rFonts w:ascii="Times New Roman" w:hAnsi="Times New Roman" w:eastAsia="@Arial Unicode MS"/>
        </w:rPr>
        <w:t xml:space="preserve">владение техникой письма специфических букв чувашского алфавита: </w:t>
      </w:r>
      <w:r>
        <w:rPr>
          <w:rFonts w:ascii="Times New Roman" w:hAnsi="Times New Roman" w:eastAsia="@Arial Unicode MS"/>
          <w:iCs/>
        </w:rPr>
        <w:t>Ă, ă, Ĕ, ĕ, Ӳ, ӳ, Ç, ç</w:t>
      </w:r>
      <w:r>
        <w:rPr>
          <w:rFonts w:ascii="Times New Roman" w:hAnsi="Times New Roman" w:eastAsia="@Arial Unicode MS"/>
          <w:i/>
        </w:rPr>
        <w:t>.</w:t>
      </w:r>
    </w:p>
    <w:p w14:paraId="30261174">
      <w:pPr>
        <w:widowControl/>
        <w:spacing w:after="0" w:line="360" w:lineRule="auto"/>
        <w:ind w:firstLine="709"/>
        <w:jc w:val="both"/>
        <w:rPr>
          <w:rFonts w:ascii="Times New Roman" w:hAnsi="Times New Roman" w:eastAsia="@Arial Unicode MS"/>
        </w:rPr>
      </w:pPr>
      <w:r>
        <w:rPr>
          <w:rFonts w:ascii="Times New Roman" w:hAnsi="Times New Roman" w:eastAsia="@Arial Unicode MS"/>
        </w:rPr>
        <w:t>Раздельное написание слов. Прописная буква в начале предложения, в именах собственных.</w:t>
      </w:r>
    </w:p>
    <w:p w14:paraId="08C5BF55">
      <w:pPr>
        <w:widowControl/>
        <w:spacing w:after="0" w:line="360" w:lineRule="auto"/>
        <w:ind w:firstLine="709"/>
        <w:jc w:val="both"/>
        <w:rPr>
          <w:rFonts w:ascii="Times New Roman" w:hAnsi="Times New Roman" w:eastAsia="@Arial Unicode MS"/>
        </w:rPr>
      </w:pPr>
      <w:bookmarkStart w:id="5" w:name="_Hlk98396598"/>
      <w:r>
        <w:rPr>
          <w:rFonts w:ascii="Times New Roman" w:hAnsi="Times New Roman" w:eastAsia="@Arial Unicode MS"/>
        </w:rPr>
        <w:t>Списывание слов, предложений</w:t>
      </w:r>
      <w:bookmarkEnd w:id="5"/>
      <w:r>
        <w:rPr>
          <w:rFonts w:ascii="Times New Roman" w:hAnsi="Times New Roman" w:eastAsia="@Arial Unicode MS"/>
        </w:rPr>
        <w:t>. Вставка пропущенных букв в слово или слов в предложение.</w:t>
      </w:r>
    </w:p>
    <w:p w14:paraId="268AA6EF">
      <w:pPr>
        <w:widowControl/>
        <w:spacing w:after="0" w:line="360" w:lineRule="auto"/>
        <w:ind w:firstLine="709"/>
        <w:jc w:val="both"/>
        <w:rPr>
          <w:rFonts w:ascii="Times New Roman" w:hAnsi="Times New Roman" w:eastAsia="@Arial Unicode MS"/>
          <w:bCs/>
        </w:rPr>
      </w:pPr>
      <w:r>
        <w:rPr>
          <w:rFonts w:ascii="Times New Roman" w:hAnsi="Times New Roman"/>
        </w:rPr>
        <w:t>5.</w:t>
      </w:r>
      <w:r>
        <w:rPr>
          <w:rFonts w:ascii="Times New Roman" w:hAnsi="Times New Roman" w:eastAsia="@Arial Unicode MS"/>
        </w:rPr>
        <w:t>6.4. </w:t>
      </w:r>
      <w:r>
        <w:rPr>
          <w:rFonts w:ascii="Times New Roman" w:hAnsi="Times New Roman" w:eastAsia="@Arial Unicode MS"/>
          <w:bCs/>
        </w:rPr>
        <w:t>Языковые знания и навыки.</w:t>
      </w:r>
    </w:p>
    <w:p w14:paraId="4089569D">
      <w:pPr>
        <w:widowControl/>
        <w:spacing w:after="0" w:line="360" w:lineRule="auto"/>
        <w:ind w:firstLine="709"/>
        <w:jc w:val="both"/>
        <w:rPr>
          <w:rFonts w:ascii="Times New Roman" w:hAnsi="Times New Roman" w:eastAsia="Times New Roman"/>
          <w:lang w:eastAsia="ru-RU"/>
        </w:rPr>
      </w:pPr>
      <w:r>
        <w:rPr>
          <w:rFonts w:ascii="Times New Roman" w:hAnsi="Times New Roman"/>
        </w:rPr>
        <w:t xml:space="preserve">Чувашский алфавит. Звук и буква. Прописная буква в начале предложения и в именах собственных. Слово и предложение. Текст. Ударение. Ударный слог. Произношение слов с соблюдением правильного ударения. </w:t>
      </w:r>
    </w:p>
    <w:p w14:paraId="7B407932">
      <w:pPr>
        <w:widowControl/>
        <w:spacing w:after="0" w:line="360" w:lineRule="auto"/>
        <w:ind w:firstLine="709"/>
        <w:jc w:val="both"/>
        <w:rPr>
          <w:rFonts w:ascii="Times New Roman" w:hAnsi="Times New Roman"/>
        </w:rPr>
      </w:pPr>
      <w:r>
        <w:rPr>
          <w:rFonts w:ascii="Times New Roman" w:hAnsi="Times New Roman"/>
        </w:rPr>
        <w:t xml:space="preserve">Гласные и согласные звуки чувашского языка. Мягкие и твердые гласные звуки. Согласные сонорные и шумные. Твёрдое и мягкое произношение согласных. Озвончение шумных согласных. Заимствованные из русского языка согласные звуки. Звуковое значение букв </w:t>
      </w:r>
      <w:r>
        <w:rPr>
          <w:rFonts w:ascii="Times New Roman" w:hAnsi="Times New Roman"/>
          <w:iCs/>
        </w:rPr>
        <w:t>е, ё, ю, я.</w:t>
      </w:r>
    </w:p>
    <w:p w14:paraId="464A9AEF">
      <w:pPr>
        <w:widowControl/>
        <w:spacing w:after="0" w:line="360" w:lineRule="auto"/>
        <w:ind w:firstLine="709"/>
        <w:jc w:val="both"/>
        <w:rPr>
          <w:rFonts w:ascii="Times New Roman" w:hAnsi="Times New Roman" w:eastAsia="Times New Roman"/>
        </w:rPr>
      </w:pPr>
      <w:r>
        <w:rPr>
          <w:rFonts w:ascii="Times New Roman" w:hAnsi="Times New Roman"/>
        </w:rPr>
        <w:t>Правильная расстановка знаков препинания: точки, вопросительного</w:t>
      </w:r>
      <w:r>
        <w:rPr>
          <w:rFonts w:ascii="Times New Roman" w:hAnsi="Times New Roman"/>
          <w:bCs/>
        </w:rPr>
        <w:t xml:space="preserve"> и восклицательного знаков в конце предложения.</w:t>
      </w:r>
    </w:p>
    <w:p w14:paraId="4D37236E">
      <w:pPr>
        <w:widowControl/>
        <w:tabs>
          <w:tab w:val="left" w:pos="142"/>
          <w:tab w:val="left" w:leader="dot" w:pos="624"/>
        </w:tabs>
        <w:spacing w:after="0" w:line="360" w:lineRule="auto"/>
        <w:ind w:firstLine="709"/>
        <w:jc w:val="both"/>
        <w:rPr>
          <w:rFonts w:ascii="Times New Roman" w:hAnsi="Times New Roman" w:eastAsia="@Arial Unicode MS"/>
        </w:rPr>
      </w:pPr>
      <w:r>
        <w:rPr>
          <w:rFonts w:ascii="Times New Roman" w:hAnsi="Times New Roman"/>
          <w:lang w:val="tt-RU"/>
        </w:rPr>
        <w:t>Особенности порядка</w:t>
      </w:r>
      <w:r>
        <w:rPr>
          <w:rFonts w:ascii="Times New Roman" w:hAnsi="Times New Roman"/>
        </w:rPr>
        <w:t xml:space="preserve"> слов в чувашском предложении.</w:t>
      </w:r>
    </w:p>
    <w:p w14:paraId="37E780DC">
      <w:pPr>
        <w:widowControl/>
        <w:tabs>
          <w:tab w:val="left" w:pos="142"/>
          <w:tab w:val="left" w:leader="dot" w:pos="624"/>
        </w:tabs>
        <w:spacing w:after="0" w:line="360" w:lineRule="auto"/>
        <w:ind w:firstLine="709"/>
        <w:jc w:val="both"/>
        <w:rPr>
          <w:rFonts w:ascii="Times New Roman" w:hAnsi="Times New Roman" w:eastAsia="@Arial Unicode MS"/>
        </w:rPr>
      </w:pPr>
      <w:r>
        <w:rPr>
          <w:rFonts w:ascii="Times New Roman" w:hAnsi="Times New Roman" w:eastAsia="@Arial Unicode MS"/>
        </w:rPr>
        <w:t>Простые нераспространённые и распространённые предложения.</w:t>
      </w:r>
    </w:p>
    <w:p w14:paraId="546B3901">
      <w:pPr>
        <w:widowControl/>
        <w:tabs>
          <w:tab w:val="left" w:pos="142"/>
          <w:tab w:val="left" w:leader="dot" w:pos="624"/>
        </w:tabs>
        <w:spacing w:after="0" w:line="360" w:lineRule="auto"/>
        <w:ind w:firstLine="709"/>
        <w:jc w:val="both"/>
        <w:rPr>
          <w:rFonts w:ascii="Times New Roman" w:hAnsi="Times New Roman" w:eastAsia="@Arial Unicode MS"/>
        </w:rPr>
      </w:pPr>
      <w:r>
        <w:rPr>
          <w:rFonts w:ascii="Times New Roman" w:hAnsi="Times New Roman" w:eastAsia="@Arial Unicode MS"/>
        </w:rPr>
        <w:t>Предложения с простым глагольным сказуемым: «</w:t>
      </w:r>
      <w:r>
        <w:rPr>
          <w:rFonts w:ascii="Times New Roman" w:hAnsi="Times New Roman" w:eastAsia="@Arial Unicode MS"/>
          <w:iCs/>
        </w:rPr>
        <w:t>Петя юрлать» («Петя поёт»).</w:t>
      </w:r>
    </w:p>
    <w:p w14:paraId="4BC9191C">
      <w:pPr>
        <w:widowControl/>
        <w:tabs>
          <w:tab w:val="left" w:pos="142"/>
          <w:tab w:val="left" w:leader="dot" w:pos="624"/>
        </w:tabs>
        <w:spacing w:after="0" w:line="360" w:lineRule="auto"/>
        <w:ind w:firstLine="709"/>
        <w:jc w:val="both"/>
        <w:rPr>
          <w:rFonts w:ascii="Times New Roman" w:hAnsi="Times New Roman" w:eastAsia="@Arial Unicode MS"/>
          <w:iCs/>
        </w:rPr>
      </w:pPr>
      <w:r>
        <w:rPr>
          <w:rFonts w:ascii="Times New Roman" w:hAnsi="Times New Roman" w:eastAsia="@Arial Unicode MS"/>
        </w:rPr>
        <w:t>Предложения с именным сказуемым: «</w:t>
      </w:r>
      <w:r>
        <w:rPr>
          <w:rFonts w:ascii="Times New Roman" w:hAnsi="Times New Roman" w:eastAsia="@Arial Unicode MS"/>
          <w:iCs/>
        </w:rPr>
        <w:t>Ку ман пичче» («Это мой старший брат»).</w:t>
      </w:r>
    </w:p>
    <w:p w14:paraId="6D9F977F">
      <w:pPr>
        <w:widowControl/>
        <w:tabs>
          <w:tab w:val="left" w:pos="142"/>
          <w:tab w:val="left" w:leader="dot" w:pos="624"/>
        </w:tabs>
        <w:spacing w:after="0" w:line="360" w:lineRule="auto"/>
        <w:ind w:firstLine="709"/>
        <w:jc w:val="both"/>
        <w:rPr>
          <w:rFonts w:ascii="Times New Roman" w:hAnsi="Times New Roman" w:eastAsia="@Arial Unicode MS"/>
          <w:iCs/>
        </w:rPr>
      </w:pPr>
      <w:r>
        <w:rPr>
          <w:rFonts w:ascii="Times New Roman" w:hAnsi="Times New Roman" w:eastAsia="@Arial Unicode MS"/>
        </w:rPr>
        <w:t>Предложения с составным глагольным сказуемым: «</w:t>
      </w:r>
      <w:r>
        <w:rPr>
          <w:rFonts w:ascii="Times New Roman" w:hAnsi="Times New Roman" w:eastAsia="@Arial Unicode MS"/>
          <w:iCs/>
        </w:rPr>
        <w:t>Кайăк вĕçсе кайрĕ» («Птица улетела»).</w:t>
      </w:r>
    </w:p>
    <w:p w14:paraId="0CFC3F84">
      <w:pPr>
        <w:widowControl/>
        <w:tabs>
          <w:tab w:val="left" w:pos="142"/>
          <w:tab w:val="left" w:leader="dot" w:pos="624"/>
        </w:tabs>
        <w:spacing w:after="0" w:line="360" w:lineRule="auto"/>
        <w:ind w:firstLine="709"/>
        <w:jc w:val="both"/>
        <w:rPr>
          <w:rFonts w:ascii="Times New Roman" w:hAnsi="Times New Roman"/>
        </w:rPr>
      </w:pPr>
      <w:r>
        <w:rPr>
          <w:rFonts w:ascii="Times New Roman" w:hAnsi="Times New Roman"/>
        </w:rPr>
        <w:t>Имена существительные, отвечающие на вопросы «кам?», «камсем?» («кто?»); «мĕн?», «мĕнсем?» («что?»).</w:t>
      </w:r>
    </w:p>
    <w:p w14:paraId="1443C92C">
      <w:pPr>
        <w:widowControl/>
        <w:tabs>
          <w:tab w:val="left" w:pos="142"/>
          <w:tab w:val="left" w:leader="dot" w:pos="624"/>
        </w:tabs>
        <w:spacing w:after="0" w:line="360" w:lineRule="auto"/>
        <w:ind w:firstLine="709"/>
        <w:jc w:val="both"/>
        <w:rPr>
          <w:rFonts w:ascii="Times New Roman" w:hAnsi="Times New Roman"/>
        </w:rPr>
      </w:pPr>
      <w:r>
        <w:rPr>
          <w:rFonts w:ascii="Times New Roman" w:hAnsi="Times New Roman"/>
        </w:rPr>
        <w:t>Глаголы, отвечающие на вопросы «мĕн т</w:t>
      </w:r>
      <w:r>
        <w:rPr>
          <w:rFonts w:ascii="Times New Roman" w:hAnsi="Times New Roman" w:eastAsia="MS Mincho"/>
        </w:rPr>
        <w:t>ă</w:t>
      </w:r>
      <w:r>
        <w:rPr>
          <w:rFonts w:ascii="Times New Roman" w:hAnsi="Times New Roman"/>
        </w:rPr>
        <w:t>вать?» («что делает?»), «мĕн т</w:t>
      </w:r>
      <w:r>
        <w:rPr>
          <w:rFonts w:ascii="Times New Roman" w:hAnsi="Times New Roman" w:eastAsia="MS Mincho"/>
        </w:rPr>
        <w:t>ă</w:t>
      </w:r>
      <w:r>
        <w:rPr>
          <w:rFonts w:ascii="Times New Roman" w:hAnsi="Times New Roman"/>
        </w:rPr>
        <w:t>ваççĕ?» («что делают?»),</w:t>
      </w:r>
      <w:r>
        <w:rPr>
          <w:rFonts w:ascii="Times New Roman" w:hAnsi="Times New Roman"/>
          <w:i/>
        </w:rPr>
        <w:t xml:space="preserve"> </w:t>
      </w:r>
      <w:r>
        <w:rPr>
          <w:rFonts w:ascii="Times New Roman" w:hAnsi="Times New Roman"/>
          <w:iCs/>
        </w:rPr>
        <w:t>«мĕн тăватăп?» («что делаю?»), «мĕн т</w:t>
      </w:r>
      <w:r>
        <w:rPr>
          <w:rFonts w:ascii="Times New Roman" w:hAnsi="Times New Roman" w:eastAsia="MS Mincho"/>
          <w:iCs/>
        </w:rPr>
        <w:t>ă</w:t>
      </w:r>
      <w:r>
        <w:rPr>
          <w:rFonts w:ascii="Times New Roman" w:hAnsi="Times New Roman"/>
          <w:iCs/>
        </w:rPr>
        <w:t>ватп</w:t>
      </w:r>
      <w:r>
        <w:rPr>
          <w:rFonts w:ascii="Times New Roman" w:hAnsi="Times New Roman" w:eastAsia="MS Mincho"/>
          <w:iCs/>
        </w:rPr>
        <w:t>ă</w:t>
      </w:r>
      <w:r>
        <w:rPr>
          <w:rFonts w:ascii="Times New Roman" w:hAnsi="Times New Roman"/>
          <w:iCs/>
        </w:rPr>
        <w:t>р?» («что делаем?»), «мĕн тăватăн?» («что делаешь?»), «мĕн т</w:t>
      </w:r>
      <w:r>
        <w:rPr>
          <w:rFonts w:ascii="Times New Roman" w:hAnsi="Times New Roman" w:eastAsia="MS Mincho"/>
          <w:iCs/>
        </w:rPr>
        <w:t>ă</w:t>
      </w:r>
      <w:r>
        <w:rPr>
          <w:rFonts w:ascii="Times New Roman" w:hAnsi="Times New Roman"/>
          <w:iCs/>
        </w:rPr>
        <w:t>ват</w:t>
      </w:r>
      <w:r>
        <w:rPr>
          <w:rFonts w:ascii="Times New Roman" w:hAnsi="Times New Roman" w:eastAsia="MS Mincho"/>
          <w:iCs/>
        </w:rPr>
        <w:t>ă</w:t>
      </w:r>
      <w:r>
        <w:rPr>
          <w:rFonts w:ascii="Times New Roman" w:hAnsi="Times New Roman"/>
          <w:iCs/>
        </w:rPr>
        <w:t>р?» («что делаете?»)</w:t>
      </w:r>
      <w:r>
        <w:rPr>
          <w:rFonts w:ascii="Times New Roman" w:hAnsi="Times New Roman"/>
        </w:rPr>
        <w:t>.</w:t>
      </w:r>
    </w:p>
    <w:p w14:paraId="75315203">
      <w:pPr>
        <w:widowControl/>
        <w:tabs>
          <w:tab w:val="left" w:pos="142"/>
          <w:tab w:val="left" w:leader="dot" w:pos="624"/>
        </w:tabs>
        <w:spacing w:after="0" w:line="360" w:lineRule="auto"/>
        <w:ind w:firstLine="709"/>
        <w:jc w:val="both"/>
        <w:rPr>
          <w:rFonts w:ascii="Times New Roman" w:hAnsi="Times New Roman"/>
        </w:rPr>
      </w:pPr>
      <w:r>
        <w:rPr>
          <w:rFonts w:ascii="Times New Roman" w:hAnsi="Times New Roman"/>
        </w:rPr>
        <w:t>Имена прилагательные, отвечающие на вопросы «мĕнле?» («какой?», «какая?», «какое?», «какие?»), «мĕн тĕслĕ?» («какого цвета?»).</w:t>
      </w:r>
    </w:p>
    <w:p w14:paraId="742B5B5B">
      <w:pPr>
        <w:widowControl/>
        <w:tabs>
          <w:tab w:val="left" w:pos="142"/>
          <w:tab w:val="left" w:leader="dot" w:pos="624"/>
        </w:tabs>
        <w:spacing w:after="0" w:line="360" w:lineRule="auto"/>
        <w:ind w:firstLine="709"/>
        <w:jc w:val="both"/>
        <w:rPr>
          <w:rFonts w:ascii="Times New Roman" w:hAnsi="Times New Roman"/>
          <w:bCs/>
        </w:rPr>
      </w:pPr>
      <w:r>
        <w:rPr>
          <w:rFonts w:ascii="Times New Roman" w:hAnsi="Times New Roman"/>
        </w:rPr>
        <w:t xml:space="preserve">Имена числительные, отвечающие на вопрос «миçе?» («сколько?»), «миçемĕш?» («который?»). </w:t>
      </w:r>
      <w:r>
        <w:rPr>
          <w:rFonts w:ascii="Times New Roman" w:hAnsi="Times New Roman"/>
          <w:bCs/>
        </w:rPr>
        <w:t>Полная и краткая формы количественных числительных «иккĕ» («два»), «икĕ кушак» («две кошки»).</w:t>
      </w:r>
    </w:p>
    <w:p w14:paraId="7923B562">
      <w:pPr>
        <w:widowControl/>
        <w:tabs>
          <w:tab w:val="left" w:pos="142"/>
          <w:tab w:val="left" w:leader="dot" w:pos="624"/>
        </w:tabs>
        <w:spacing w:after="0" w:line="360" w:lineRule="auto"/>
        <w:ind w:firstLine="709"/>
        <w:jc w:val="both"/>
        <w:rPr>
          <w:rFonts w:ascii="Times New Roman" w:hAnsi="Times New Roman" w:eastAsia="@Arial Unicode MS"/>
        </w:rPr>
      </w:pPr>
      <w:r>
        <w:rPr>
          <w:rFonts w:ascii="Times New Roman" w:hAnsi="Times New Roman"/>
        </w:rPr>
        <w:t>Личные местоимения: «эпĕ» («я»), «эсĕ» («ты»), «вăл» («он», «она», «оно»), «эпир» («мы»), «эсир» («вы»), «вĕсем» («они»). Личные местоимения «эпĕ» («я»), «эсĕ» («ты») в форме притяжательного падежа: «</w:t>
      </w:r>
      <w:r>
        <w:rPr>
          <w:rFonts w:ascii="Times New Roman" w:hAnsi="Times New Roman" w:eastAsia="@Arial Unicode MS"/>
        </w:rPr>
        <w:t>манăн» («мой», «моя», мое»), «санăн» («твой», «твоя», «твое»). Указательное местоимение «ку» («этот», «эта», «это»).</w:t>
      </w:r>
    </w:p>
    <w:p w14:paraId="3605CDB4">
      <w:pPr>
        <w:widowControl/>
        <w:tabs>
          <w:tab w:val="left" w:pos="142"/>
          <w:tab w:val="left" w:leader="dot" w:pos="624"/>
        </w:tabs>
        <w:spacing w:after="0" w:line="360" w:lineRule="auto"/>
        <w:ind w:firstLine="709"/>
        <w:jc w:val="both"/>
        <w:rPr>
          <w:rFonts w:ascii="Times New Roman" w:hAnsi="Times New Roman"/>
          <w:bCs/>
        </w:rPr>
      </w:pPr>
      <w:r>
        <w:rPr>
          <w:rFonts w:ascii="Times New Roman" w:hAnsi="Times New Roman" w:eastAsia="@Arial Unicode MS"/>
        </w:rPr>
        <w:t>Наречия, отвечающие на вопрос «хăçан?» («когда?»).</w:t>
      </w:r>
    </w:p>
    <w:p w14:paraId="5AD066C2">
      <w:pPr>
        <w:widowControl/>
        <w:shd w:val="clear" w:color="auto" w:fill="FFFFFF"/>
        <w:tabs>
          <w:tab w:val="left" w:pos="0"/>
        </w:tabs>
        <w:autoSpaceDE w:val="0"/>
        <w:spacing w:after="0" w:line="360" w:lineRule="auto"/>
        <w:ind w:firstLine="709"/>
        <w:jc w:val="both"/>
        <w:rPr>
          <w:rFonts w:ascii="Times New Roman" w:hAnsi="Times New Roman"/>
          <w:bCs/>
        </w:rPr>
      </w:pPr>
      <w:r>
        <w:rPr>
          <w:rFonts w:ascii="Times New Roman" w:hAnsi="Times New Roman"/>
          <w:bCs/>
        </w:rPr>
        <w:t>Падежные формы имён существительных, употребляющихся в роли послелогов: «айĕнче» («под»), «хушшинче» («между»), «çинче» («на»), «çинчен» («с», «со», «про»).</w:t>
      </w:r>
    </w:p>
    <w:p w14:paraId="4F3917A3">
      <w:pPr>
        <w:widowControl/>
        <w:tabs>
          <w:tab w:val="left" w:pos="142"/>
          <w:tab w:val="left" w:leader="dot" w:pos="624"/>
        </w:tabs>
        <w:spacing w:after="0" w:line="360" w:lineRule="auto"/>
        <w:ind w:firstLine="709"/>
        <w:jc w:val="both"/>
        <w:rPr>
          <w:rFonts w:ascii="Times New Roman" w:hAnsi="Times New Roman" w:eastAsia="@Arial Unicode MS"/>
        </w:rPr>
      </w:pPr>
      <w:r>
        <w:rPr>
          <w:rFonts w:ascii="Times New Roman" w:hAnsi="Times New Roman" w:eastAsia="@Arial Unicode MS"/>
        </w:rPr>
        <w:t>Количественные числительные до 10.</w:t>
      </w:r>
    </w:p>
    <w:p w14:paraId="2C4A65F7">
      <w:pPr>
        <w:widowControl/>
        <w:spacing w:after="0" w:line="360" w:lineRule="auto"/>
        <w:ind w:firstLine="709"/>
        <w:jc w:val="both"/>
        <w:rPr>
          <w:rFonts w:ascii="Times New Roman" w:hAnsi="Times New Roman"/>
        </w:rPr>
      </w:pPr>
      <w:r>
        <w:rPr>
          <w:rFonts w:ascii="Times New Roman" w:hAnsi="Times New Roman"/>
        </w:rPr>
        <w:t>5.7. Содержание обучения во 2 классе.</w:t>
      </w:r>
    </w:p>
    <w:p w14:paraId="1CF2EEFD">
      <w:pPr>
        <w:widowControl/>
        <w:spacing w:after="0" w:line="360" w:lineRule="auto"/>
        <w:ind w:firstLine="709"/>
        <w:jc w:val="both"/>
        <w:rPr>
          <w:rFonts w:ascii="Times New Roman" w:hAnsi="Times New Roman"/>
        </w:rPr>
      </w:pPr>
      <w:r>
        <w:rPr>
          <w:rFonts w:ascii="Times New Roman" w:hAnsi="Times New Roman"/>
        </w:rPr>
        <w:t>5.7.1. </w:t>
      </w:r>
      <w:r>
        <w:rPr>
          <w:rFonts w:ascii="Times New Roman" w:hAnsi="Times New Roman"/>
          <w:iCs/>
        </w:rPr>
        <w:t>Тематическое содержание речи.</w:t>
      </w:r>
    </w:p>
    <w:p w14:paraId="4FA88FCF">
      <w:pPr>
        <w:widowControl/>
        <w:spacing w:after="0" w:line="360" w:lineRule="auto"/>
        <w:ind w:firstLine="709"/>
        <w:jc w:val="both"/>
        <w:rPr>
          <w:rFonts w:ascii="Times New Roman" w:hAnsi="Times New Roman" w:eastAsia="@Arial Unicode MS"/>
        </w:rPr>
      </w:pPr>
      <w:bookmarkStart w:id="6" w:name="_Hlk119598638"/>
      <w:r>
        <w:rPr>
          <w:rFonts w:ascii="Times New Roman" w:hAnsi="Times New Roman" w:eastAsia="@Arial Unicode MS"/>
        </w:rPr>
        <w:t>Паллашар-и? (Давайте познакомимся!). Пирĕн шкул (Наша школа). Пирĕн кил-йыш (Наша семья). Манăн юлташсем (Мои друзья). Мана хавхалантаракан ĕçсем. Ĕçпе кану (Мои увлечения. Труд и отдых). Çын тата çут çанталăк. Манăн таврари тĕнче (Человек и природа. Окружающий мир). Çулталăк вăхăчĕсем (Времена года). Чăваш Ен – манăн çуралнă çĕршыв (Чувашская Республика – моя малая Родина). Раççей – Тăван çĕршыв. Çулçӳрев (Россия – моя Родина. Путешествия). Халăх пултарулăхĕ (Устное народное творчество).</w:t>
      </w:r>
    </w:p>
    <w:p w14:paraId="70A4CB44">
      <w:pPr>
        <w:widowControl/>
        <w:spacing w:after="0" w:line="360" w:lineRule="auto"/>
        <w:ind w:firstLine="709"/>
        <w:jc w:val="both"/>
        <w:rPr>
          <w:rFonts w:ascii="Times New Roman" w:hAnsi="Times New Roman" w:eastAsia="@Arial Unicode MS"/>
        </w:rPr>
      </w:pPr>
      <w:r>
        <w:rPr>
          <w:rFonts w:ascii="Times New Roman" w:hAnsi="Times New Roman"/>
        </w:rPr>
        <w:t>5.7.2. </w:t>
      </w:r>
      <w:bookmarkEnd w:id="6"/>
      <w:r>
        <w:rPr>
          <w:rFonts w:ascii="Times New Roman" w:hAnsi="Times New Roman"/>
          <w:iCs/>
        </w:rPr>
        <w:t>Речевые умения.</w:t>
      </w:r>
    </w:p>
    <w:p w14:paraId="54947815">
      <w:pPr>
        <w:widowControl/>
        <w:spacing w:after="0" w:line="360" w:lineRule="auto"/>
        <w:ind w:firstLine="709"/>
        <w:jc w:val="both"/>
        <w:rPr>
          <w:rFonts w:ascii="Times New Roman" w:hAnsi="Times New Roman" w:eastAsia="@Arial Unicode MS"/>
        </w:rPr>
      </w:pPr>
      <w:r>
        <w:rPr>
          <w:rFonts w:ascii="Times New Roman" w:hAnsi="Times New Roman"/>
        </w:rPr>
        <w:t>5.7.2.1. </w:t>
      </w:r>
      <w:r>
        <w:rPr>
          <w:rFonts w:ascii="Times New Roman" w:hAnsi="Times New Roman" w:eastAsia="Times New Roman"/>
          <w:lang w:eastAsia="ru-RU"/>
        </w:rPr>
        <w:t>Аудирование.</w:t>
      </w:r>
    </w:p>
    <w:p w14:paraId="2F7A3653">
      <w:pPr>
        <w:widowControl/>
        <w:tabs>
          <w:tab w:val="left" w:pos="142"/>
          <w:tab w:val="left" w:leader="dot" w:pos="624"/>
          <w:tab w:val="left" w:pos="1134"/>
        </w:tabs>
        <w:spacing w:after="0" w:line="360" w:lineRule="auto"/>
        <w:ind w:firstLine="709"/>
        <w:jc w:val="both"/>
        <w:rPr>
          <w:rFonts w:ascii="Times New Roman" w:hAnsi="Times New Roman" w:eastAsia="@Arial Unicode MS"/>
        </w:rPr>
      </w:pPr>
      <w:r>
        <w:rPr>
          <w:rFonts w:ascii="Times New Roman" w:hAnsi="Times New Roman" w:eastAsia="@Arial Unicode MS"/>
        </w:rPr>
        <w:t xml:space="preserve">Понимание на слух речи учителя и других обучающихся в процессе общения на уроке. Восприятие на слух небольших учебных текстов, построенных на изученном языковом материале, с пониманием </w:t>
      </w:r>
      <w:r>
        <w:rPr>
          <w:rFonts w:ascii="Times New Roman" w:hAnsi="Times New Roman" w:eastAsia="Times New Roman"/>
          <w:bCs/>
          <w:lang w:eastAsia="ru-RU"/>
        </w:rPr>
        <w:t>основной мысли звучащей речи</w:t>
      </w:r>
      <w:r>
        <w:rPr>
          <w:rFonts w:ascii="Times New Roman" w:hAnsi="Times New Roman" w:eastAsia="@Arial Unicode MS"/>
        </w:rPr>
        <w:t>, с пониманием запрашиваемой информации фактического характера</w:t>
      </w:r>
      <w:r>
        <w:rPr>
          <w:rFonts w:ascii="Times New Roman" w:hAnsi="Times New Roman" w:eastAsia="Times New Roman"/>
          <w:bCs/>
          <w:lang w:eastAsia="ru-RU"/>
        </w:rPr>
        <w:t>.</w:t>
      </w:r>
    </w:p>
    <w:p w14:paraId="64749E60">
      <w:pPr>
        <w:widowControl/>
        <w:spacing w:after="0" w:line="360" w:lineRule="auto"/>
        <w:ind w:right="60" w:firstLine="709"/>
        <w:jc w:val="both"/>
        <w:rPr>
          <w:rFonts w:ascii="Times New Roman" w:hAnsi="Times New Roman" w:eastAsia="Times New Roman"/>
          <w:b/>
          <w:bCs/>
          <w:lang w:eastAsia="ru-RU"/>
        </w:rPr>
      </w:pPr>
      <w:r>
        <w:rPr>
          <w:rFonts w:ascii="Times New Roman" w:hAnsi="Times New Roman"/>
        </w:rPr>
        <w:t>5.7.2.2. </w:t>
      </w:r>
      <w:r>
        <w:rPr>
          <w:rFonts w:ascii="Times New Roman" w:hAnsi="Times New Roman" w:eastAsia="Times New Roman"/>
          <w:lang w:eastAsia="ru-RU"/>
        </w:rPr>
        <w:t>Говорение.</w:t>
      </w:r>
    </w:p>
    <w:p w14:paraId="50313D7D">
      <w:pPr>
        <w:widowControl/>
        <w:spacing w:after="0" w:line="360" w:lineRule="auto"/>
        <w:ind w:right="60" w:firstLine="709"/>
        <w:jc w:val="both"/>
        <w:rPr>
          <w:rFonts w:ascii="Times New Roman" w:hAnsi="Times New Roman" w:eastAsia="Times New Roman"/>
          <w:bCs/>
          <w:iCs/>
          <w:lang w:eastAsia="ru-RU"/>
        </w:rPr>
      </w:pPr>
      <w:r>
        <w:rPr>
          <w:rFonts w:ascii="Times New Roman" w:hAnsi="Times New Roman" w:eastAsia="Times New Roman"/>
          <w:bCs/>
          <w:iCs/>
          <w:lang w:eastAsia="ru-RU"/>
        </w:rPr>
        <w:t>Диалогическая форма речи. Ведение</w:t>
      </w:r>
      <w:r>
        <w:rPr>
          <w:rFonts w:ascii="Times New Roman" w:hAnsi="Times New Roman" w:eastAsia="Times New Roman"/>
          <w:iCs/>
          <w:lang w:eastAsia="ru-RU"/>
        </w:rPr>
        <w:t xml:space="preserve"> элементарного этикетного диалога, диалога-расспроса. Умение понимать простые вопросы, кратко отвечать на них, самим задавать простые вопросы. Ведение диалога-побуждения к действию (приглашение собеседника к совместной деятельности).</w:t>
      </w:r>
    </w:p>
    <w:p w14:paraId="1ED3F45D">
      <w:pPr>
        <w:widowControl/>
        <w:spacing w:after="0" w:line="360" w:lineRule="auto"/>
        <w:ind w:right="60" w:firstLine="709"/>
        <w:jc w:val="both"/>
        <w:rPr>
          <w:rFonts w:ascii="Times New Roman" w:hAnsi="Times New Roman" w:eastAsia="Times New Roman"/>
          <w:iCs/>
          <w:lang w:eastAsia="ru-RU"/>
        </w:rPr>
      </w:pPr>
      <w:r>
        <w:rPr>
          <w:rFonts w:ascii="Times New Roman" w:hAnsi="Times New Roman" w:eastAsia="Times New Roman"/>
          <w:iCs/>
          <w:lang w:eastAsia="ru-RU"/>
        </w:rPr>
        <w:t xml:space="preserve">Монологическая форма речи. </w:t>
      </w:r>
      <w:r>
        <w:rPr>
          <w:rFonts w:ascii="Times New Roman" w:hAnsi="Times New Roman" w:eastAsia="Times New Roman"/>
          <w:lang w:eastAsia="ru-RU"/>
        </w:rPr>
        <w:t xml:space="preserve">Составление кратких монологических высказываний </w:t>
      </w:r>
      <w:r>
        <w:rPr>
          <w:rFonts w:ascii="Times New Roman" w:hAnsi="Times New Roman"/>
        </w:rPr>
        <w:t>с использованием ключевых слов</w:t>
      </w:r>
      <w:r>
        <w:rPr>
          <w:rFonts w:ascii="Times New Roman" w:hAnsi="Times New Roman" w:eastAsia="Times New Roman"/>
          <w:lang w:eastAsia="ru-RU"/>
        </w:rPr>
        <w:t xml:space="preserve"> по предложенной теме или рисункам, образцам. Составление описания. Расширение словаря по повторяющимся речевым темам. </w:t>
      </w:r>
      <w:r>
        <w:rPr>
          <w:rFonts w:ascii="Times New Roman" w:hAnsi="Times New Roman"/>
          <w:lang w:eastAsia="ru-RU"/>
        </w:rPr>
        <w:t>Овладение активным словарем по новым темам (не менее 400 лексических единиц).</w:t>
      </w:r>
    </w:p>
    <w:p w14:paraId="45D88B9E">
      <w:pPr>
        <w:widowControl/>
        <w:spacing w:after="0" w:line="360" w:lineRule="auto"/>
        <w:ind w:right="60" w:firstLine="709"/>
        <w:jc w:val="both"/>
        <w:rPr>
          <w:rFonts w:ascii="Times New Roman" w:hAnsi="Times New Roman" w:eastAsia="Times New Roman"/>
          <w:b/>
          <w:lang w:eastAsia="ru-RU"/>
        </w:rPr>
      </w:pPr>
      <w:r>
        <w:rPr>
          <w:rFonts w:ascii="Times New Roman" w:hAnsi="Times New Roman"/>
        </w:rPr>
        <w:t>5.7.2.3. </w:t>
      </w:r>
      <w:r>
        <w:rPr>
          <w:rFonts w:ascii="Times New Roman" w:hAnsi="Times New Roman" w:eastAsia="Times New Roman"/>
          <w:lang w:eastAsia="ru-RU"/>
        </w:rPr>
        <w:t>Чтение.</w:t>
      </w:r>
    </w:p>
    <w:p w14:paraId="5C1B16B0">
      <w:pPr>
        <w:widowControl/>
        <w:spacing w:after="0" w:line="360" w:lineRule="auto"/>
        <w:ind w:right="60" w:firstLine="709"/>
        <w:jc w:val="both"/>
        <w:rPr>
          <w:rFonts w:ascii="Times New Roman" w:hAnsi="Times New Roman"/>
          <w:i/>
          <w:lang w:eastAsia="ru-RU"/>
        </w:rPr>
      </w:pPr>
      <w:r>
        <w:rPr>
          <w:rFonts w:ascii="Times New Roman" w:hAnsi="Times New Roman" w:eastAsia="Times New Roman"/>
          <w:lang w:eastAsia="ru-RU"/>
        </w:rPr>
        <w:t>Осмысленное чтение вслух небольших текстов с соблюдением орфоэпических и интонационных норм, обусловленных особенностями чувашской речи. Постепенный переход от чтения вслух к чтению про себя. Умение находить в тексте необходимую информацию для обоснования ответа на поставленный вопрос. Использование двуязычного словаря учебника.</w:t>
      </w:r>
    </w:p>
    <w:p w14:paraId="13F39FC0">
      <w:pPr>
        <w:widowControl/>
        <w:spacing w:after="0" w:line="360" w:lineRule="auto"/>
        <w:ind w:right="60" w:firstLine="709"/>
        <w:jc w:val="both"/>
        <w:rPr>
          <w:rFonts w:ascii="Times New Roman" w:hAnsi="Times New Roman" w:eastAsia="Times New Roman"/>
          <w:b/>
          <w:i/>
          <w:lang w:eastAsia="ru-RU"/>
        </w:rPr>
      </w:pPr>
      <w:r>
        <w:rPr>
          <w:rFonts w:ascii="Times New Roman" w:hAnsi="Times New Roman"/>
        </w:rPr>
        <w:t>5.7.2.4. </w:t>
      </w:r>
      <w:r>
        <w:rPr>
          <w:rFonts w:ascii="Times New Roman" w:hAnsi="Times New Roman" w:eastAsia="Times New Roman"/>
          <w:bCs/>
          <w:lang w:eastAsia="ru-RU"/>
        </w:rPr>
        <w:t>Письмо.</w:t>
      </w:r>
    </w:p>
    <w:p w14:paraId="21ED594A">
      <w:pPr>
        <w:widowControl/>
        <w:spacing w:after="0" w:line="360" w:lineRule="auto"/>
        <w:ind w:right="60" w:firstLine="709"/>
        <w:jc w:val="both"/>
        <w:rPr>
          <w:rFonts w:ascii="Times New Roman" w:hAnsi="Times New Roman" w:eastAsia="Times New Roman"/>
          <w:lang w:eastAsia="ru-RU"/>
        </w:rPr>
      </w:pPr>
      <w:r>
        <w:rPr>
          <w:rFonts w:ascii="Times New Roman" w:hAnsi="Times New Roman" w:eastAsia="Times New Roman"/>
          <w:lang w:eastAsia="ru-RU"/>
        </w:rPr>
        <w:t>Списывание слов, предложений из текста. Вставка пропущенных букв в слово или слов в предложение.</w:t>
      </w:r>
    </w:p>
    <w:p w14:paraId="4AAC82A2">
      <w:pPr>
        <w:widowControl/>
        <w:spacing w:after="0" w:line="360" w:lineRule="auto"/>
        <w:ind w:right="60" w:firstLine="709"/>
        <w:jc w:val="both"/>
        <w:rPr>
          <w:rFonts w:ascii="Times New Roman" w:hAnsi="Times New Roman" w:eastAsia="Times New Roman"/>
          <w:lang w:eastAsia="ru-RU"/>
        </w:rPr>
      </w:pPr>
      <w:r>
        <w:rPr>
          <w:rFonts w:ascii="Times New Roman" w:hAnsi="Times New Roman" w:eastAsia="Times New Roman"/>
          <w:lang w:eastAsia="ru-RU"/>
        </w:rPr>
        <w:t>Создание кратких подписей к картинкам.</w:t>
      </w:r>
    </w:p>
    <w:p w14:paraId="05277C30">
      <w:pPr>
        <w:widowControl/>
        <w:spacing w:after="0" w:line="360" w:lineRule="auto"/>
        <w:ind w:right="60" w:firstLine="709"/>
        <w:jc w:val="both"/>
        <w:rPr>
          <w:rFonts w:ascii="Times New Roman" w:hAnsi="Times New Roman" w:eastAsia="Times New Roman"/>
          <w:lang w:eastAsia="ru-RU"/>
        </w:rPr>
      </w:pPr>
      <w:r>
        <w:rPr>
          <w:rFonts w:ascii="Times New Roman" w:hAnsi="Times New Roman"/>
        </w:rPr>
        <w:t>5.</w:t>
      </w:r>
      <w:r>
        <w:rPr>
          <w:rFonts w:ascii="Times New Roman" w:hAnsi="Times New Roman" w:eastAsia="Times New Roman"/>
          <w:lang w:eastAsia="ru-RU"/>
        </w:rPr>
        <w:t>7.3. </w:t>
      </w:r>
      <w:r>
        <w:rPr>
          <w:rFonts w:ascii="Times New Roman" w:hAnsi="Times New Roman" w:eastAsia="@Arial Unicode MS"/>
        </w:rPr>
        <w:t>Языковые знания и навыки.</w:t>
      </w:r>
    </w:p>
    <w:p w14:paraId="0B2C4700">
      <w:pPr>
        <w:widowControl/>
        <w:tabs>
          <w:tab w:val="left" w:pos="0"/>
        </w:tabs>
        <w:spacing w:after="0" w:line="360" w:lineRule="auto"/>
        <w:ind w:firstLine="709"/>
        <w:jc w:val="both"/>
        <w:rPr>
          <w:rFonts w:ascii="Times New Roman" w:hAnsi="Times New Roman"/>
          <w:bCs/>
          <w:lang w:eastAsia="ru-RU"/>
        </w:rPr>
      </w:pPr>
      <w:r>
        <w:rPr>
          <w:rFonts w:ascii="Times New Roman" w:hAnsi="Times New Roman"/>
          <w:bCs/>
        </w:rPr>
        <w:t>Звуки чувашского языка (гласные мягкие и твердые, согласные сонорные и шумные). Правила произношения чувашских согласных звуков. Ударение. Ударный слог. Произношение слов с соблюдением правильного ударения. Сингармонизм. Корневой и аффиксальный сингармонизм. Несингармонические аффиксы. Аффиксы при несингармонических основах. Особенности присоединения аффиксов в чувашском языке.</w:t>
      </w:r>
    </w:p>
    <w:p w14:paraId="4D7528BC">
      <w:pPr>
        <w:widowControl/>
        <w:tabs>
          <w:tab w:val="left" w:pos="0"/>
        </w:tabs>
        <w:spacing w:after="0" w:line="360" w:lineRule="auto"/>
        <w:ind w:firstLine="709"/>
        <w:jc w:val="both"/>
        <w:rPr>
          <w:rFonts w:ascii="Times New Roman" w:hAnsi="Times New Roman"/>
          <w:bCs/>
        </w:rPr>
      </w:pPr>
      <w:r>
        <w:rPr>
          <w:rFonts w:ascii="Times New Roman" w:hAnsi="Times New Roman"/>
          <w:bCs/>
        </w:rPr>
        <w:t xml:space="preserve">Слово. Лексическое значение слова. Классификация слов по тематическому принципу. </w:t>
      </w:r>
    </w:p>
    <w:p w14:paraId="000E42F6">
      <w:pPr>
        <w:widowControl/>
        <w:tabs>
          <w:tab w:val="left" w:pos="0"/>
        </w:tabs>
        <w:spacing w:after="0" w:line="360" w:lineRule="auto"/>
        <w:ind w:firstLine="709"/>
        <w:jc w:val="both"/>
        <w:rPr>
          <w:rFonts w:ascii="Times New Roman" w:hAnsi="Times New Roman"/>
          <w:bCs/>
        </w:rPr>
      </w:pPr>
      <w:r>
        <w:rPr>
          <w:rFonts w:ascii="Times New Roman" w:hAnsi="Times New Roman"/>
          <w:bCs/>
        </w:rPr>
        <w:t xml:space="preserve">Словосочетание. Предложение. Виды предложений по интонации и цели высказывания (восклицательные и невосклицательные, повествовательные, вопросительные и побудительные). </w:t>
      </w:r>
    </w:p>
    <w:p w14:paraId="5913B13E">
      <w:pPr>
        <w:widowControl/>
        <w:tabs>
          <w:tab w:val="left" w:pos="0"/>
        </w:tabs>
        <w:spacing w:after="0" w:line="360" w:lineRule="auto"/>
        <w:ind w:firstLine="709"/>
        <w:jc w:val="both"/>
        <w:rPr>
          <w:rFonts w:ascii="Times New Roman" w:hAnsi="Times New Roman"/>
          <w:bCs/>
        </w:rPr>
      </w:pPr>
      <w:r>
        <w:rPr>
          <w:rFonts w:ascii="Times New Roman" w:hAnsi="Times New Roman"/>
          <w:bCs/>
        </w:rPr>
        <w:t>Синонимы. Антонимы. Утверждение и отрицание. Правильное написание изученных слов, словосочетаний, предложений.</w:t>
      </w:r>
    </w:p>
    <w:p w14:paraId="4B981D21">
      <w:pPr>
        <w:widowControl/>
        <w:tabs>
          <w:tab w:val="left" w:pos="0"/>
        </w:tabs>
        <w:spacing w:after="0" w:line="360" w:lineRule="auto"/>
        <w:ind w:firstLine="709"/>
        <w:jc w:val="both"/>
        <w:rPr>
          <w:rFonts w:ascii="Times New Roman" w:hAnsi="Times New Roman" w:eastAsia="Times New Roman"/>
          <w:bCs/>
        </w:rPr>
      </w:pPr>
      <w:r>
        <w:rPr>
          <w:rFonts w:ascii="Times New Roman" w:hAnsi="Times New Roman"/>
          <w:bCs/>
        </w:rPr>
        <w:t>Постановка знаков препинания: точки, вопросительного и восклицательного знаков в конце предложения.</w:t>
      </w:r>
    </w:p>
    <w:p w14:paraId="350F853D">
      <w:pPr>
        <w:widowControl/>
        <w:tabs>
          <w:tab w:val="left" w:pos="0"/>
        </w:tabs>
        <w:spacing w:after="0" w:line="360" w:lineRule="auto"/>
        <w:ind w:firstLine="709"/>
        <w:jc w:val="both"/>
        <w:rPr>
          <w:rFonts w:ascii="Times New Roman" w:hAnsi="Times New Roman"/>
          <w:bCs/>
        </w:rPr>
      </w:pPr>
      <w:r>
        <w:rPr>
          <w:rFonts w:ascii="Times New Roman" w:hAnsi="Times New Roman"/>
          <w:bCs/>
        </w:rPr>
        <w:t xml:space="preserve">Работа с текстом: выразительное чтение текста вслух, соблюдение правильной интонации. Составление предложений для решения определенной речевой задачи, </w:t>
      </w:r>
      <w:r>
        <w:rPr>
          <w:rFonts w:ascii="Times New Roman" w:hAnsi="Times New Roman"/>
        </w:rPr>
        <w:t>интонационное оформление высказываний.</w:t>
      </w:r>
    </w:p>
    <w:p w14:paraId="6E9CC56C">
      <w:pPr>
        <w:widowControl/>
        <w:shd w:val="clear" w:color="auto" w:fill="FFFFFF"/>
        <w:tabs>
          <w:tab w:val="left" w:pos="0"/>
        </w:tabs>
        <w:autoSpaceDE w:val="0"/>
        <w:spacing w:after="0" w:line="360" w:lineRule="auto"/>
        <w:ind w:firstLine="709"/>
        <w:jc w:val="both"/>
        <w:rPr>
          <w:rFonts w:ascii="Times New Roman" w:hAnsi="Times New Roman"/>
          <w:bCs/>
        </w:rPr>
      </w:pPr>
      <w:r>
        <w:rPr>
          <w:rFonts w:ascii="Times New Roman" w:hAnsi="Times New Roman"/>
          <w:bCs/>
        </w:rPr>
        <w:t>Имена существительные в единственном и множественном числе, в притяжательной форме. Падежные формы существительных.</w:t>
      </w:r>
    </w:p>
    <w:p w14:paraId="509D743E">
      <w:pPr>
        <w:widowControl/>
        <w:shd w:val="clear" w:color="auto" w:fill="FFFFFF"/>
        <w:tabs>
          <w:tab w:val="left" w:pos="0"/>
        </w:tabs>
        <w:autoSpaceDE w:val="0"/>
        <w:spacing w:after="0" w:line="360" w:lineRule="auto"/>
        <w:ind w:firstLine="709"/>
        <w:jc w:val="both"/>
        <w:rPr>
          <w:rFonts w:ascii="Times New Roman" w:hAnsi="Times New Roman"/>
          <w:bCs/>
          <w:iCs/>
        </w:rPr>
      </w:pPr>
      <w:r>
        <w:rPr>
          <w:rFonts w:ascii="Times New Roman" w:hAnsi="Times New Roman"/>
          <w:bCs/>
        </w:rPr>
        <w:t xml:space="preserve">Спряжение глаголов изъявительного наклонения в настоящем, прошедшем и будущем времени. Спряжение глаголов повелительного наклонения. Неспрягаемые формы глагола: причастие с аффиксами </w:t>
      </w:r>
      <w:r>
        <w:rPr>
          <w:rFonts w:ascii="Times New Roman" w:hAnsi="Times New Roman"/>
          <w:bCs/>
          <w:iCs/>
        </w:rPr>
        <w:t>-нă (-нĕ), -ас (-ес), инфинитив с аффиксом -ма (-ме), формы деепричастия с аффиксами -са (-се), -сан (-сен).</w:t>
      </w:r>
    </w:p>
    <w:p w14:paraId="5A3314D8">
      <w:pPr>
        <w:widowControl/>
        <w:shd w:val="clear" w:color="auto" w:fill="FFFFFF"/>
        <w:tabs>
          <w:tab w:val="left" w:pos="0"/>
        </w:tabs>
        <w:autoSpaceDE w:val="0"/>
        <w:spacing w:after="0" w:line="360" w:lineRule="auto"/>
        <w:ind w:firstLine="709"/>
        <w:jc w:val="both"/>
        <w:rPr>
          <w:rFonts w:ascii="Times New Roman" w:hAnsi="Times New Roman"/>
          <w:bCs/>
        </w:rPr>
      </w:pPr>
      <w:r>
        <w:rPr>
          <w:rFonts w:ascii="Times New Roman" w:hAnsi="Times New Roman"/>
          <w:bCs/>
        </w:rPr>
        <w:t>Личные, указательные, вопросительные местоимения.</w:t>
      </w:r>
    </w:p>
    <w:p w14:paraId="62BFF5CB">
      <w:pPr>
        <w:widowControl/>
        <w:shd w:val="clear" w:color="auto" w:fill="FFFFFF"/>
        <w:tabs>
          <w:tab w:val="left" w:pos="0"/>
        </w:tabs>
        <w:autoSpaceDE w:val="0"/>
        <w:spacing w:after="0" w:line="360" w:lineRule="auto"/>
        <w:ind w:firstLine="709"/>
        <w:jc w:val="both"/>
        <w:rPr>
          <w:rFonts w:ascii="Times New Roman" w:hAnsi="Times New Roman"/>
          <w:bCs/>
        </w:rPr>
      </w:pPr>
      <w:r>
        <w:rPr>
          <w:rFonts w:ascii="Times New Roman" w:hAnsi="Times New Roman"/>
          <w:bCs/>
        </w:rPr>
        <w:t>Особенности сочетания имен прилагательных с именами существительными в чувашском языке. Прилагательные в сравнительной и превосходной степени (ознакомительно).</w:t>
      </w:r>
    </w:p>
    <w:p w14:paraId="7FC5778F">
      <w:pPr>
        <w:widowControl/>
        <w:shd w:val="clear" w:color="auto" w:fill="FFFFFF"/>
        <w:tabs>
          <w:tab w:val="left" w:pos="0"/>
        </w:tabs>
        <w:autoSpaceDE w:val="0"/>
        <w:spacing w:after="0" w:line="360" w:lineRule="auto"/>
        <w:ind w:firstLine="709"/>
        <w:jc w:val="both"/>
        <w:rPr>
          <w:rFonts w:ascii="Times New Roman" w:hAnsi="Times New Roman"/>
          <w:bCs/>
        </w:rPr>
      </w:pPr>
      <w:r>
        <w:rPr>
          <w:rFonts w:ascii="Times New Roman" w:hAnsi="Times New Roman"/>
          <w:bCs/>
        </w:rPr>
        <w:t>Количественные и порядковые числительные до 100.</w:t>
      </w:r>
    </w:p>
    <w:p w14:paraId="7E7770E0">
      <w:pPr>
        <w:widowControl/>
        <w:shd w:val="clear" w:color="auto" w:fill="FFFFFF"/>
        <w:tabs>
          <w:tab w:val="left" w:pos="0"/>
        </w:tabs>
        <w:autoSpaceDE w:val="0"/>
        <w:spacing w:after="0" w:line="360" w:lineRule="auto"/>
        <w:ind w:firstLine="709"/>
        <w:jc w:val="both"/>
        <w:rPr>
          <w:rFonts w:ascii="Times New Roman" w:hAnsi="Times New Roman"/>
          <w:bCs/>
        </w:rPr>
      </w:pPr>
      <w:r>
        <w:rPr>
          <w:rFonts w:ascii="Times New Roman" w:hAnsi="Times New Roman"/>
          <w:bCs/>
        </w:rPr>
        <w:t>Наиболее употребительные наречия времени и степени.</w:t>
      </w:r>
    </w:p>
    <w:p w14:paraId="1A2307CD">
      <w:pPr>
        <w:widowControl/>
        <w:tabs>
          <w:tab w:val="left" w:pos="142"/>
          <w:tab w:val="left" w:leader="dot" w:pos="624"/>
        </w:tabs>
        <w:spacing w:after="0" w:line="360" w:lineRule="auto"/>
        <w:ind w:firstLine="709"/>
        <w:jc w:val="both"/>
        <w:rPr>
          <w:rFonts w:ascii="Times New Roman" w:hAnsi="Times New Roman" w:eastAsia="@Arial Unicode MS"/>
        </w:rPr>
      </w:pPr>
      <w:r>
        <w:rPr>
          <w:rFonts w:ascii="Times New Roman" w:hAnsi="Times New Roman"/>
          <w:bCs/>
        </w:rPr>
        <w:t>Падежные формы имён существительных, употребляющихся в роли послелогов: «айĕнче» («под»), «хушшинче» («между»), «çинче» («на»), «çинчен» («с», «со», «про»), «умĕнче» («перед», «у»).</w:t>
      </w:r>
    </w:p>
    <w:p w14:paraId="26F00C01">
      <w:pPr>
        <w:widowControl/>
        <w:shd w:val="clear" w:color="auto" w:fill="FFFFFF"/>
        <w:tabs>
          <w:tab w:val="left" w:pos="0"/>
        </w:tabs>
        <w:autoSpaceDE w:val="0"/>
        <w:spacing w:after="0" w:line="360" w:lineRule="auto"/>
        <w:ind w:firstLine="709"/>
        <w:jc w:val="both"/>
        <w:rPr>
          <w:rFonts w:ascii="Times New Roman" w:hAnsi="Times New Roman"/>
          <w:bCs/>
        </w:rPr>
      </w:pPr>
      <w:r>
        <w:rPr>
          <w:rFonts w:ascii="Times New Roman" w:hAnsi="Times New Roman"/>
          <w:bCs/>
        </w:rPr>
        <w:t>Послелог «валли».</w:t>
      </w:r>
    </w:p>
    <w:p w14:paraId="154BECB8">
      <w:pPr>
        <w:widowControl/>
        <w:shd w:val="clear" w:color="auto" w:fill="FFFFFF"/>
        <w:tabs>
          <w:tab w:val="left" w:pos="0"/>
        </w:tabs>
        <w:autoSpaceDE w:val="0"/>
        <w:spacing w:after="0" w:line="360" w:lineRule="auto"/>
        <w:ind w:firstLine="709"/>
        <w:jc w:val="both"/>
        <w:rPr>
          <w:rFonts w:ascii="Times New Roman" w:hAnsi="Times New Roman"/>
          <w:bCs/>
        </w:rPr>
      </w:pPr>
      <w:r>
        <w:rPr>
          <w:rFonts w:ascii="Times New Roman" w:hAnsi="Times New Roman"/>
          <w:bCs/>
        </w:rPr>
        <w:t xml:space="preserve">Союзы «та, те, тата» («и»), «анчах» («но»). </w:t>
      </w:r>
    </w:p>
    <w:p w14:paraId="4A2B323A">
      <w:pPr>
        <w:widowControl/>
        <w:shd w:val="clear" w:color="auto" w:fill="FFFFFF"/>
        <w:tabs>
          <w:tab w:val="left" w:pos="0"/>
        </w:tabs>
        <w:autoSpaceDE w:val="0"/>
        <w:spacing w:after="0" w:line="360" w:lineRule="auto"/>
        <w:ind w:firstLine="709"/>
        <w:jc w:val="both"/>
        <w:rPr>
          <w:rFonts w:ascii="Times New Roman" w:hAnsi="Times New Roman"/>
          <w:bCs/>
        </w:rPr>
      </w:pPr>
      <w:r>
        <w:rPr>
          <w:rFonts w:ascii="Times New Roman" w:hAnsi="Times New Roman"/>
          <w:bCs/>
        </w:rPr>
        <w:t>Частицы «мар», «ан», «чи», «-и».</w:t>
      </w:r>
    </w:p>
    <w:p w14:paraId="56648B6B">
      <w:pPr>
        <w:widowControl/>
        <w:shd w:val="clear" w:color="auto" w:fill="FFFFFF"/>
        <w:tabs>
          <w:tab w:val="left" w:pos="0"/>
        </w:tabs>
        <w:autoSpaceDE w:val="0"/>
        <w:spacing w:after="0" w:line="360" w:lineRule="auto"/>
        <w:ind w:firstLine="709"/>
        <w:jc w:val="both"/>
        <w:rPr>
          <w:rFonts w:ascii="Times New Roman" w:hAnsi="Times New Roman"/>
          <w:bCs/>
        </w:rPr>
      </w:pPr>
      <w:r>
        <w:rPr>
          <w:rFonts w:ascii="Times New Roman" w:hAnsi="Times New Roman"/>
          <w:bCs/>
        </w:rPr>
        <w:t>Междометия «Ай!», «Эх!».</w:t>
      </w:r>
    </w:p>
    <w:p w14:paraId="53C72254">
      <w:pPr>
        <w:widowControl/>
        <w:spacing w:after="0" w:line="360" w:lineRule="auto"/>
        <w:ind w:firstLine="709"/>
        <w:jc w:val="both"/>
        <w:rPr>
          <w:rFonts w:ascii="Times New Roman" w:hAnsi="Times New Roman"/>
        </w:rPr>
      </w:pPr>
      <w:r>
        <w:rPr>
          <w:rFonts w:ascii="Times New Roman" w:hAnsi="Times New Roman"/>
        </w:rPr>
        <w:t>5.8. Содержание обучения в 3 классе.</w:t>
      </w:r>
    </w:p>
    <w:p w14:paraId="6FEA48D8">
      <w:pPr>
        <w:widowControl/>
        <w:spacing w:after="0" w:line="360" w:lineRule="auto"/>
        <w:ind w:firstLine="709"/>
        <w:jc w:val="both"/>
        <w:rPr>
          <w:rFonts w:ascii="Times New Roman" w:hAnsi="Times New Roman"/>
        </w:rPr>
      </w:pPr>
      <w:r>
        <w:rPr>
          <w:rFonts w:ascii="Times New Roman" w:hAnsi="Times New Roman"/>
        </w:rPr>
        <w:t>5.8.1. </w:t>
      </w:r>
      <w:r>
        <w:rPr>
          <w:rFonts w:ascii="Times New Roman" w:hAnsi="Times New Roman"/>
          <w:iCs/>
        </w:rPr>
        <w:t>Тематическое содержание речи.</w:t>
      </w:r>
    </w:p>
    <w:p w14:paraId="52A9D64F">
      <w:pPr>
        <w:widowControl/>
        <w:spacing w:after="0" w:line="360" w:lineRule="auto"/>
        <w:ind w:firstLine="709"/>
        <w:jc w:val="both"/>
        <w:rPr>
          <w:rFonts w:ascii="Times New Roman" w:hAnsi="Times New Roman" w:eastAsia="@Arial Unicode MS"/>
        </w:rPr>
      </w:pPr>
      <w:bookmarkStart w:id="7" w:name="_Hlk119598781"/>
      <w:r>
        <w:rPr>
          <w:rFonts w:ascii="Times New Roman" w:hAnsi="Times New Roman" w:eastAsia="@Arial Unicode MS"/>
        </w:rPr>
        <w:t>Паллашар-и? (Давайте познакомимся!). Пирĕн шкул (Наша школа). Çулталăк вăхăчĕсем (Время. Времена года). Пирĕн кил-йыш (Наша семья). Манăн юлташсем (Мои друзья). Мана хавхалантаракан ĕçсем (Мои увлечения). Ĕç çынна илем кӳрет (Труд украшает человека). Ыр кăмăллăх урокĕсем (Уроки доброты). Çын тата çут çанталăк (Человек и природа). Çут çанталăк. Манăн таврари тĕнче (Природа. Окружающий мир). Чăваш Ен – манăн çуралнă çĕршыв (Чувашская Республика – моя малая Родина). Раççей – ман Тăван çĕршыв (Россия – моя Родина). Çулçӳрев (Поездки и путешествия). Халăх пултарулăхĕ (Устное народное творчество).</w:t>
      </w:r>
    </w:p>
    <w:bookmarkEnd w:id="7"/>
    <w:p w14:paraId="2B110CDC">
      <w:pPr>
        <w:widowControl/>
        <w:spacing w:after="0" w:line="360" w:lineRule="auto"/>
        <w:ind w:right="60" w:firstLine="709"/>
        <w:jc w:val="both"/>
        <w:rPr>
          <w:rFonts w:ascii="Times New Roman" w:hAnsi="Times New Roman"/>
          <w:b/>
          <w:lang w:eastAsia="ru-RU"/>
        </w:rPr>
      </w:pPr>
      <w:r>
        <w:rPr>
          <w:rFonts w:ascii="Times New Roman" w:hAnsi="Times New Roman"/>
        </w:rPr>
        <w:t>5.8.2. </w:t>
      </w:r>
      <w:r>
        <w:rPr>
          <w:rFonts w:ascii="Times New Roman" w:hAnsi="Times New Roman"/>
          <w:bCs/>
          <w:lang w:eastAsia="ru-RU"/>
        </w:rPr>
        <w:t>Речевые умения.</w:t>
      </w:r>
    </w:p>
    <w:p w14:paraId="193BC87B">
      <w:pPr>
        <w:widowControl/>
        <w:spacing w:after="0" w:line="360" w:lineRule="auto"/>
        <w:ind w:right="60" w:firstLine="709"/>
        <w:jc w:val="both"/>
        <w:rPr>
          <w:rFonts w:ascii="Times New Roman" w:hAnsi="Times New Roman" w:eastAsia="Times New Roman"/>
          <w:lang w:eastAsia="ru-RU"/>
        </w:rPr>
      </w:pPr>
      <w:r>
        <w:rPr>
          <w:rFonts w:ascii="Times New Roman" w:hAnsi="Times New Roman"/>
        </w:rPr>
        <w:t>5.8.2.1. </w:t>
      </w:r>
      <w:r>
        <w:rPr>
          <w:rFonts w:ascii="Times New Roman" w:hAnsi="Times New Roman" w:eastAsia="Times New Roman"/>
          <w:lang w:eastAsia="ru-RU"/>
        </w:rPr>
        <w:t>Аудирование.</w:t>
      </w:r>
    </w:p>
    <w:p w14:paraId="3215B46D">
      <w:pPr>
        <w:widowControl/>
        <w:tabs>
          <w:tab w:val="left" w:pos="142"/>
          <w:tab w:val="left" w:leader="dot" w:pos="624"/>
          <w:tab w:val="left" w:pos="1134"/>
        </w:tabs>
        <w:spacing w:after="0" w:line="360" w:lineRule="auto"/>
        <w:ind w:firstLine="709"/>
        <w:jc w:val="both"/>
        <w:rPr>
          <w:rFonts w:ascii="Times New Roman" w:hAnsi="Times New Roman" w:eastAsia="Times New Roman"/>
          <w:bCs/>
          <w:lang w:eastAsia="ru-RU"/>
        </w:rPr>
      </w:pPr>
      <w:r>
        <w:rPr>
          <w:rFonts w:ascii="Times New Roman" w:hAnsi="Times New Roman" w:eastAsia="@Arial Unicode MS"/>
        </w:rPr>
        <w:t xml:space="preserve">Понимание на слух речи учителя и других обучающихся в процессе общения на уроке. Восприятие и понимание на слух небольших учебных текстов и </w:t>
      </w:r>
      <w:r>
        <w:rPr>
          <w:rFonts w:ascii="Times New Roman" w:hAnsi="Times New Roman" w:eastAsia="Times New Roman"/>
          <w:bCs/>
          <w:lang w:eastAsia="ru-RU"/>
        </w:rPr>
        <w:t>сообщений</w:t>
      </w:r>
      <w:r>
        <w:rPr>
          <w:rFonts w:ascii="Times New Roman" w:hAnsi="Times New Roman" w:eastAsia="@Arial Unicode MS"/>
        </w:rPr>
        <w:t xml:space="preserve">, построенных на изученном языковом материале. Понимание </w:t>
      </w:r>
      <w:r>
        <w:rPr>
          <w:rFonts w:ascii="Times New Roman" w:hAnsi="Times New Roman" w:eastAsia="Times New Roman"/>
          <w:bCs/>
          <w:lang w:eastAsia="ru-RU"/>
        </w:rPr>
        <w:t>основной мысли звучащей речи</w:t>
      </w:r>
      <w:r>
        <w:rPr>
          <w:rFonts w:ascii="Times New Roman" w:hAnsi="Times New Roman" w:eastAsia="@Arial Unicode MS"/>
        </w:rPr>
        <w:t>, понимание запрашиваемой информации фактического характера.</w:t>
      </w:r>
      <w:r>
        <w:rPr>
          <w:rFonts w:ascii="Times New Roman" w:hAnsi="Times New Roman" w:eastAsia="Times New Roman"/>
          <w:bCs/>
          <w:lang w:eastAsia="ru-RU"/>
        </w:rPr>
        <w:t xml:space="preserve"> Определение последовательности событий в тексте. Осознание цели речевого высказывания. Выделение главной и второстепенной информации.</w:t>
      </w:r>
    </w:p>
    <w:p w14:paraId="01B8FD59">
      <w:pPr>
        <w:widowControl/>
        <w:spacing w:after="0" w:line="360" w:lineRule="auto"/>
        <w:ind w:right="60" w:firstLine="709"/>
        <w:jc w:val="both"/>
        <w:rPr>
          <w:rFonts w:ascii="Times New Roman" w:hAnsi="Times New Roman" w:eastAsia="Times New Roman"/>
          <w:b/>
          <w:bCs/>
          <w:lang w:eastAsia="ru-RU"/>
        </w:rPr>
      </w:pPr>
      <w:r>
        <w:rPr>
          <w:rFonts w:ascii="Times New Roman" w:hAnsi="Times New Roman"/>
        </w:rPr>
        <w:t>5.8.2.2. </w:t>
      </w:r>
      <w:r>
        <w:rPr>
          <w:rFonts w:ascii="Times New Roman" w:hAnsi="Times New Roman" w:eastAsia="Times New Roman"/>
          <w:lang w:eastAsia="ru-RU"/>
        </w:rPr>
        <w:t>Говорение.</w:t>
      </w:r>
    </w:p>
    <w:p w14:paraId="775A1817">
      <w:pPr>
        <w:widowControl/>
        <w:spacing w:after="0" w:line="360" w:lineRule="auto"/>
        <w:ind w:right="60" w:firstLine="709"/>
        <w:jc w:val="both"/>
        <w:rPr>
          <w:rFonts w:ascii="Times New Roman" w:hAnsi="Times New Roman" w:eastAsia="Times New Roman"/>
          <w:bCs/>
          <w:iCs/>
          <w:lang w:eastAsia="ru-RU"/>
        </w:rPr>
      </w:pPr>
      <w:r>
        <w:rPr>
          <w:rFonts w:ascii="Times New Roman" w:hAnsi="Times New Roman" w:eastAsia="Times New Roman"/>
          <w:bCs/>
          <w:iCs/>
          <w:lang w:eastAsia="ru-RU"/>
        </w:rPr>
        <w:t xml:space="preserve">Диалогическая форма речи. </w:t>
      </w:r>
      <w:r>
        <w:rPr>
          <w:rFonts w:ascii="Times New Roman" w:hAnsi="Times New Roman" w:eastAsia="@Arial Unicode MS"/>
          <w:iCs/>
        </w:rPr>
        <w:t xml:space="preserve">Диалог этикетного характера (с использованием речевых ситуаций): приветствие, начало и завершение разговора, знакомство с собеседником. </w:t>
      </w:r>
      <w:bookmarkStart w:id="8" w:name="_Hlk106172847"/>
      <w:r>
        <w:rPr>
          <w:rFonts w:ascii="Times New Roman" w:hAnsi="Times New Roman" w:eastAsia="@Arial Unicode MS"/>
          <w:iCs/>
        </w:rPr>
        <w:t xml:space="preserve">Поздравление с праздником. Выражение благодарности за поздравление. Извинение. </w:t>
      </w:r>
      <w:bookmarkEnd w:id="8"/>
      <w:r>
        <w:rPr>
          <w:rFonts w:ascii="Times New Roman" w:hAnsi="Times New Roman" w:eastAsia="Times New Roman"/>
          <w:iCs/>
          <w:lang w:eastAsia="ru-RU"/>
        </w:rPr>
        <w:t xml:space="preserve">Диалог-расспрос: умение понимать простые вопросы, кратко отвечать на них, самим задавать простые вопросы. </w:t>
      </w:r>
      <w:r>
        <w:rPr>
          <w:rFonts w:ascii="Times New Roman" w:hAnsi="Times New Roman" w:eastAsia="@Arial Unicode MS"/>
          <w:iCs/>
        </w:rPr>
        <w:t>Диалог-побуждение к действию: обращение к собеседнику с просьбой, приглашение собеседника к совместной деятельности.</w:t>
      </w:r>
    </w:p>
    <w:p w14:paraId="01B01D9D">
      <w:pPr>
        <w:widowControl/>
        <w:spacing w:after="0" w:line="360" w:lineRule="auto"/>
        <w:ind w:right="60" w:firstLine="709"/>
        <w:jc w:val="both"/>
        <w:rPr>
          <w:rFonts w:ascii="Times New Roman" w:hAnsi="Times New Roman" w:eastAsia="Times New Roman"/>
          <w:iCs/>
          <w:lang w:eastAsia="ru-RU"/>
        </w:rPr>
      </w:pPr>
      <w:r>
        <w:rPr>
          <w:rFonts w:ascii="Times New Roman" w:hAnsi="Times New Roman" w:eastAsia="Times New Roman"/>
          <w:iCs/>
          <w:lang w:eastAsia="ru-RU"/>
        </w:rPr>
        <w:t xml:space="preserve">Монологическая форма речи. </w:t>
      </w:r>
      <w:r>
        <w:rPr>
          <w:rFonts w:ascii="Times New Roman" w:hAnsi="Times New Roman" w:eastAsia="Times New Roman"/>
          <w:lang w:eastAsia="ru-RU"/>
        </w:rPr>
        <w:t xml:space="preserve">Составление кратких монологических высказываний по предложенной теме или рисункам. Создание устных монологических высказываний в рамках тематического содержания речи по образцу. Составление описания. Овладение активным словарем </w:t>
      </w:r>
      <w:r>
        <w:rPr>
          <w:rFonts w:ascii="Times New Roman" w:hAnsi="Times New Roman"/>
          <w:lang w:eastAsia="ru-RU"/>
        </w:rPr>
        <w:t>(не менее 550 лексических единиц).</w:t>
      </w:r>
    </w:p>
    <w:p w14:paraId="2BB33DD0">
      <w:pPr>
        <w:widowControl/>
        <w:tabs>
          <w:tab w:val="left" w:pos="0"/>
          <w:tab w:val="left" w:pos="142"/>
          <w:tab w:val="left" w:leader="dot" w:pos="624"/>
          <w:tab w:val="left" w:pos="1134"/>
        </w:tabs>
        <w:spacing w:after="0" w:line="360" w:lineRule="auto"/>
        <w:ind w:firstLine="709"/>
        <w:jc w:val="both"/>
        <w:rPr>
          <w:rFonts w:ascii="Times New Roman" w:hAnsi="Times New Roman" w:eastAsia="@Arial Unicode MS"/>
          <w:iCs/>
        </w:rPr>
      </w:pPr>
      <w:r>
        <w:rPr>
          <w:rFonts w:ascii="Times New Roman" w:hAnsi="Times New Roman" w:eastAsia="@Arial Unicode MS"/>
          <w:iCs/>
        </w:rPr>
        <w:t>Воспроизведение наизусть небольших произведений детского фольклора и литературных произведений.</w:t>
      </w:r>
    </w:p>
    <w:p w14:paraId="0E0AAA40">
      <w:pPr>
        <w:widowControl/>
        <w:spacing w:after="0" w:line="360" w:lineRule="auto"/>
        <w:ind w:right="60" w:firstLine="709"/>
        <w:jc w:val="both"/>
        <w:rPr>
          <w:rFonts w:ascii="Times New Roman" w:hAnsi="Times New Roman" w:eastAsia="Times New Roman"/>
          <w:b/>
          <w:lang w:eastAsia="ru-RU"/>
        </w:rPr>
      </w:pPr>
      <w:r>
        <w:rPr>
          <w:rFonts w:ascii="Times New Roman" w:hAnsi="Times New Roman"/>
        </w:rPr>
        <w:t>5.8.2.3. </w:t>
      </w:r>
      <w:r>
        <w:rPr>
          <w:rFonts w:ascii="Times New Roman" w:hAnsi="Times New Roman" w:eastAsia="Times New Roman"/>
          <w:lang w:eastAsia="ru-RU"/>
        </w:rPr>
        <w:t>Чтение.</w:t>
      </w:r>
    </w:p>
    <w:p w14:paraId="17F1A4A4">
      <w:pPr>
        <w:widowControl/>
        <w:spacing w:after="0" w:line="360" w:lineRule="auto"/>
        <w:ind w:right="60" w:firstLine="709"/>
        <w:jc w:val="both"/>
        <w:rPr>
          <w:rFonts w:ascii="Times New Roman" w:hAnsi="Times New Roman" w:eastAsia="Times New Roman"/>
          <w:bCs/>
          <w:lang w:eastAsia="ru-RU"/>
        </w:rPr>
      </w:pPr>
      <w:r>
        <w:rPr>
          <w:rFonts w:ascii="Times New Roman" w:hAnsi="Times New Roman" w:eastAsia="Times New Roman"/>
          <w:lang w:eastAsia="ru-RU"/>
        </w:rPr>
        <w:t>Осмысленное чтение вслух небольших текстов с соблюдением орфоэпических и интонационных норм, обусловленных особенностями чувашской речи. Постепенный переход от чтения вслух к чтению про себя. Умение находить в тексте нужную информацию и использовать ее.</w:t>
      </w:r>
    </w:p>
    <w:p w14:paraId="253AA228">
      <w:pPr>
        <w:widowControl/>
        <w:tabs>
          <w:tab w:val="left" w:pos="0"/>
        </w:tabs>
        <w:spacing w:after="0" w:line="360" w:lineRule="auto"/>
        <w:ind w:firstLine="709"/>
        <w:jc w:val="both"/>
        <w:rPr>
          <w:rFonts w:ascii="Times New Roman" w:hAnsi="Times New Roman" w:eastAsia="@Arial Unicode MS"/>
          <w:bCs/>
          <w:iCs/>
        </w:rPr>
      </w:pPr>
      <w:r>
        <w:rPr>
          <w:rFonts w:ascii="Times New Roman" w:hAnsi="Times New Roman" w:eastAsia="Times New Roman"/>
          <w:lang w:eastAsia="ru-RU"/>
        </w:rPr>
        <w:t xml:space="preserve">Работа с текстом: чтение вслух небольшого текста, ответы на вопросы по содержанию текста, деление текста на смысловые части, установление последовательности событий в тексте. </w:t>
      </w:r>
      <w:r>
        <w:rPr>
          <w:rFonts w:ascii="Times New Roman" w:hAnsi="Times New Roman" w:eastAsia="@Arial Unicode MS"/>
          <w:bCs/>
          <w:iCs/>
        </w:rPr>
        <w:t>Использование двуязычного словаря учебника. Прогнозирование содержания текста на основе заголовка.</w:t>
      </w:r>
    </w:p>
    <w:p w14:paraId="34B08541">
      <w:pPr>
        <w:widowControl/>
        <w:spacing w:after="0" w:line="360" w:lineRule="auto"/>
        <w:ind w:right="60" w:firstLine="709"/>
        <w:jc w:val="both"/>
        <w:rPr>
          <w:rFonts w:ascii="Times New Roman" w:hAnsi="Times New Roman" w:eastAsia="Times New Roman"/>
          <w:b/>
          <w:bCs/>
          <w:lang w:eastAsia="ru-RU"/>
        </w:rPr>
      </w:pPr>
      <w:r>
        <w:rPr>
          <w:rFonts w:ascii="Times New Roman" w:hAnsi="Times New Roman"/>
        </w:rPr>
        <w:t>5.8.2.4. </w:t>
      </w:r>
      <w:r>
        <w:rPr>
          <w:rFonts w:ascii="Times New Roman" w:hAnsi="Times New Roman" w:eastAsia="Times New Roman"/>
          <w:lang w:eastAsia="ru-RU"/>
        </w:rPr>
        <w:t>Письмо.</w:t>
      </w:r>
    </w:p>
    <w:p w14:paraId="144CEC50">
      <w:pPr>
        <w:widowControl/>
        <w:tabs>
          <w:tab w:val="left" w:pos="142"/>
          <w:tab w:val="left" w:leader="dot" w:pos="624"/>
        </w:tabs>
        <w:spacing w:after="0" w:line="360" w:lineRule="auto"/>
        <w:ind w:firstLine="709"/>
        <w:jc w:val="both"/>
        <w:rPr>
          <w:rFonts w:ascii="Times New Roman" w:hAnsi="Times New Roman" w:eastAsia="@Arial Unicode MS"/>
        </w:rPr>
      </w:pPr>
      <w:r>
        <w:rPr>
          <w:rFonts w:ascii="Times New Roman" w:hAnsi="Times New Roman" w:eastAsia="@Arial Unicode MS"/>
        </w:rPr>
        <w:t xml:space="preserve">Списывание слов, предложений из текста, </w:t>
      </w:r>
      <w:r>
        <w:rPr>
          <w:rFonts w:ascii="Times New Roman" w:hAnsi="Times New Roman" w:eastAsia="Times New Roman"/>
          <w:lang w:eastAsia="ru-RU"/>
        </w:rPr>
        <w:t>кратких текстов</w:t>
      </w:r>
      <w:r>
        <w:rPr>
          <w:rFonts w:ascii="Times New Roman" w:hAnsi="Times New Roman" w:eastAsia="@Arial Unicode MS"/>
        </w:rPr>
        <w:t xml:space="preserve"> в соответствии с решаемой учебной задачей. Вставка пропущенных слов в предложение. Озаглавливание текста с использованием темы или основной мысли. Составление плана к заданным текстам с помощью учителя. Восстановление деформированного текста.</w:t>
      </w:r>
    </w:p>
    <w:p w14:paraId="3DF6CE89">
      <w:pPr>
        <w:widowControl/>
        <w:tabs>
          <w:tab w:val="left" w:pos="142"/>
          <w:tab w:val="left" w:leader="dot" w:pos="624"/>
          <w:tab w:val="left" w:pos="1134"/>
        </w:tabs>
        <w:spacing w:after="0" w:line="360" w:lineRule="auto"/>
        <w:ind w:firstLine="709"/>
        <w:jc w:val="both"/>
        <w:rPr>
          <w:rFonts w:ascii="Times New Roman" w:hAnsi="Times New Roman" w:eastAsia="@Arial Unicode MS"/>
        </w:rPr>
      </w:pPr>
      <w:r>
        <w:rPr>
          <w:rFonts w:ascii="Times New Roman" w:hAnsi="Times New Roman" w:eastAsia="@Arial Unicode MS"/>
        </w:rPr>
        <w:t>Написание коротких сообщений с с использованием образца.</w:t>
      </w:r>
    </w:p>
    <w:p w14:paraId="5F49D99E">
      <w:pPr>
        <w:widowControl/>
        <w:tabs>
          <w:tab w:val="left" w:pos="142"/>
          <w:tab w:val="left" w:leader="dot" w:pos="624"/>
          <w:tab w:val="left" w:pos="1134"/>
        </w:tabs>
        <w:spacing w:after="0" w:line="360" w:lineRule="auto"/>
        <w:ind w:firstLine="709"/>
        <w:jc w:val="both"/>
        <w:rPr>
          <w:rFonts w:ascii="Times New Roman" w:hAnsi="Times New Roman" w:eastAsia="@Arial Unicode MS"/>
          <w:i/>
        </w:rPr>
      </w:pPr>
      <w:r>
        <w:rPr>
          <w:rFonts w:ascii="Times New Roman" w:hAnsi="Times New Roman" w:eastAsia="@Arial Unicode MS"/>
        </w:rPr>
        <w:t>Правильная расстановка знаков препинания: точки, вопросительного и восклицательного знаков в конце предложения.</w:t>
      </w:r>
    </w:p>
    <w:p w14:paraId="71F61BD6">
      <w:pPr>
        <w:widowControl/>
        <w:tabs>
          <w:tab w:val="left" w:pos="142"/>
          <w:tab w:val="left" w:leader="dot" w:pos="624"/>
        </w:tabs>
        <w:spacing w:after="0" w:line="360" w:lineRule="auto"/>
        <w:ind w:firstLine="709"/>
        <w:jc w:val="both"/>
        <w:rPr>
          <w:rFonts w:ascii="Times New Roman" w:hAnsi="Times New Roman" w:eastAsia="@Arial Unicode MS"/>
        </w:rPr>
      </w:pPr>
      <w:r>
        <w:rPr>
          <w:rFonts w:ascii="Times New Roman" w:hAnsi="Times New Roman"/>
        </w:rPr>
        <w:t>5.</w:t>
      </w:r>
      <w:r>
        <w:rPr>
          <w:rFonts w:ascii="Times New Roman" w:hAnsi="Times New Roman" w:eastAsia="@Arial Unicode MS"/>
        </w:rPr>
        <w:t>8.3. Языковые знания и навыки.</w:t>
      </w:r>
    </w:p>
    <w:p w14:paraId="3E84292B">
      <w:pPr>
        <w:widowControl/>
        <w:tabs>
          <w:tab w:val="left" w:pos="0"/>
        </w:tabs>
        <w:spacing w:after="0" w:line="360" w:lineRule="auto"/>
        <w:ind w:firstLine="709"/>
        <w:jc w:val="both"/>
        <w:rPr>
          <w:rFonts w:ascii="Times New Roman" w:hAnsi="Times New Roman"/>
          <w:bCs/>
          <w:iCs/>
        </w:rPr>
      </w:pPr>
      <w:r>
        <w:rPr>
          <w:rFonts w:ascii="Times New Roman" w:hAnsi="Times New Roman"/>
          <w:bCs/>
          <w:iCs/>
        </w:rPr>
        <w:t>Чувашский алфавит.</w:t>
      </w:r>
    </w:p>
    <w:p w14:paraId="6DE3DF3C">
      <w:pPr>
        <w:widowControl/>
        <w:tabs>
          <w:tab w:val="left" w:pos="0"/>
        </w:tabs>
        <w:spacing w:after="0" w:line="360" w:lineRule="auto"/>
        <w:ind w:firstLine="709"/>
        <w:jc w:val="both"/>
        <w:rPr>
          <w:rFonts w:ascii="Times New Roman" w:hAnsi="Times New Roman"/>
          <w:bCs/>
          <w:iCs/>
        </w:rPr>
      </w:pPr>
      <w:r>
        <w:rPr>
          <w:rFonts w:ascii="Times New Roman" w:hAnsi="Times New Roman"/>
          <w:bCs/>
          <w:iCs/>
        </w:rPr>
        <w:t>Основные нормы чувашской орфоэпии.</w:t>
      </w:r>
    </w:p>
    <w:p w14:paraId="07409C46">
      <w:pPr>
        <w:widowControl/>
        <w:tabs>
          <w:tab w:val="left" w:pos="0"/>
        </w:tabs>
        <w:spacing w:after="0" w:line="360" w:lineRule="auto"/>
        <w:ind w:firstLine="709"/>
        <w:jc w:val="both"/>
        <w:rPr>
          <w:rFonts w:ascii="Times New Roman" w:hAnsi="Times New Roman"/>
          <w:bCs/>
          <w:iCs/>
        </w:rPr>
      </w:pPr>
      <w:r>
        <w:rPr>
          <w:rFonts w:ascii="Times New Roman" w:hAnsi="Times New Roman"/>
          <w:bCs/>
          <w:iCs/>
        </w:rPr>
        <w:t>Сингармонизм. Корневой и аффиксальный сингармонизм. Несингармонические аффиксы. Аффиксы при несингармонических основах. Образование новых слов при помощи продуктивных аффиксов.</w:t>
      </w:r>
    </w:p>
    <w:p w14:paraId="71CEF64D">
      <w:pPr>
        <w:widowControl/>
        <w:tabs>
          <w:tab w:val="left" w:pos="0"/>
        </w:tabs>
        <w:spacing w:after="0" w:line="360" w:lineRule="auto"/>
        <w:ind w:firstLine="709"/>
        <w:jc w:val="both"/>
        <w:rPr>
          <w:rFonts w:ascii="Times New Roman" w:hAnsi="Times New Roman"/>
          <w:bCs/>
        </w:rPr>
      </w:pPr>
      <w:r>
        <w:rPr>
          <w:rFonts w:ascii="Times New Roman" w:hAnsi="Times New Roman"/>
          <w:bCs/>
        </w:rPr>
        <w:t xml:space="preserve">Парные слова. Лексическое значение слова. Синонимы. Антонимы. Заимствованные слова. </w:t>
      </w:r>
    </w:p>
    <w:p w14:paraId="2139DDD4">
      <w:pPr>
        <w:widowControl/>
        <w:tabs>
          <w:tab w:val="left" w:pos="0"/>
        </w:tabs>
        <w:spacing w:after="0" w:line="360" w:lineRule="auto"/>
        <w:ind w:firstLine="709"/>
        <w:jc w:val="both"/>
        <w:rPr>
          <w:rFonts w:ascii="Times New Roman" w:hAnsi="Times New Roman"/>
          <w:bCs/>
        </w:rPr>
      </w:pPr>
      <w:r>
        <w:rPr>
          <w:rFonts w:ascii="Times New Roman" w:hAnsi="Times New Roman"/>
          <w:bCs/>
        </w:rPr>
        <w:t>Корень слова. Аффиксы. Особенности присоединения аффиксов в чувашском языке.</w:t>
      </w:r>
    </w:p>
    <w:p w14:paraId="375F88E1">
      <w:pPr>
        <w:widowControl/>
        <w:tabs>
          <w:tab w:val="left" w:pos="0"/>
        </w:tabs>
        <w:spacing w:after="0" w:line="360" w:lineRule="auto"/>
        <w:ind w:firstLine="709"/>
        <w:jc w:val="both"/>
        <w:rPr>
          <w:rFonts w:ascii="Times New Roman" w:hAnsi="Times New Roman" w:eastAsia="Times New Roman"/>
          <w:lang w:bidi="ru-RU"/>
        </w:rPr>
      </w:pPr>
      <w:r>
        <w:rPr>
          <w:rFonts w:ascii="Times New Roman" w:hAnsi="Times New Roman"/>
          <w:bCs/>
        </w:rPr>
        <w:t>Главные члены предложения (подлежащее и сказуемое), их место в простом предложении. Предложения с однородными членами.</w:t>
      </w:r>
    </w:p>
    <w:p w14:paraId="41729131">
      <w:pPr>
        <w:widowControl/>
        <w:tabs>
          <w:tab w:val="left" w:pos="0"/>
        </w:tabs>
        <w:spacing w:after="0" w:line="360" w:lineRule="auto"/>
        <w:ind w:firstLine="709"/>
        <w:jc w:val="both"/>
        <w:rPr>
          <w:rFonts w:ascii="Times New Roman" w:hAnsi="Times New Roman"/>
          <w:bCs/>
        </w:rPr>
      </w:pPr>
      <w:r>
        <w:rPr>
          <w:rFonts w:ascii="Times New Roman" w:hAnsi="Times New Roman"/>
          <w:bCs/>
        </w:rPr>
        <w:t>Падежные формы имен существительных в единственном и множественном числе. Формы принадлежности имен существительных.</w:t>
      </w:r>
    </w:p>
    <w:p w14:paraId="700CC5AA">
      <w:pPr>
        <w:widowControl/>
        <w:tabs>
          <w:tab w:val="left" w:pos="0"/>
        </w:tabs>
        <w:spacing w:after="0" w:line="360" w:lineRule="auto"/>
        <w:ind w:firstLine="709"/>
        <w:jc w:val="both"/>
        <w:rPr>
          <w:rFonts w:ascii="Times New Roman" w:hAnsi="Times New Roman" w:eastAsia="Times New Roman"/>
          <w:iCs/>
          <w:lang w:eastAsia="ru-RU" w:bidi="ru-RU"/>
        </w:rPr>
      </w:pPr>
      <w:r>
        <w:rPr>
          <w:rFonts w:ascii="Times New Roman" w:hAnsi="Times New Roman"/>
          <w:bCs/>
        </w:rPr>
        <w:t>Употребление в речи глаголов изъявительного наклонения в настоящем, прошедшем и будущем временах и глаголов повелительного наклонения в утвердительной и отрицательной формах</w:t>
      </w:r>
      <w:r>
        <w:rPr>
          <w:rFonts w:ascii="Times New Roman" w:hAnsi="Times New Roman"/>
        </w:rPr>
        <w:t xml:space="preserve">. Употребление неспрягаемых форм глагола: причастий с аффиксами </w:t>
      </w:r>
      <w:r>
        <w:rPr>
          <w:rFonts w:ascii="Times New Roman" w:hAnsi="Times New Roman"/>
          <w:iCs/>
        </w:rPr>
        <w:t>-нă (-нĕ), -ас (-ес), инфинитива с аффиксом -ма (-ме), деепричастий с аффиксами -са (-се), -сан (-сен).</w:t>
      </w:r>
    </w:p>
    <w:p w14:paraId="49E9E796">
      <w:pPr>
        <w:widowControl/>
        <w:tabs>
          <w:tab w:val="left" w:pos="0"/>
        </w:tabs>
        <w:autoSpaceDE w:val="0"/>
        <w:spacing w:after="0" w:line="360" w:lineRule="auto"/>
        <w:ind w:firstLine="709"/>
        <w:jc w:val="both"/>
        <w:rPr>
          <w:rFonts w:ascii="Times New Roman" w:hAnsi="Times New Roman"/>
          <w:bCs/>
          <w:i/>
        </w:rPr>
      </w:pPr>
      <w:r>
        <w:rPr>
          <w:rFonts w:ascii="Times New Roman" w:hAnsi="Times New Roman"/>
          <w:bCs/>
        </w:rPr>
        <w:t>Личные, указательные, вопросительные местоимения. Словосочетания с личными местоимениями в форме притяжательного падежа «манăн» («мой»), «санăн» («твой»), «унăн» («его», «ее»): «манăн кĕнеке» («моя книга»), «санăн кĕнекÿ» («твоя книга»).</w:t>
      </w:r>
    </w:p>
    <w:p w14:paraId="4F963EA1">
      <w:pPr>
        <w:widowControl/>
        <w:tabs>
          <w:tab w:val="left" w:pos="0"/>
        </w:tabs>
        <w:autoSpaceDE w:val="0"/>
        <w:spacing w:after="0" w:line="360" w:lineRule="auto"/>
        <w:ind w:firstLine="709"/>
        <w:jc w:val="both"/>
        <w:rPr>
          <w:rFonts w:ascii="Times New Roman" w:hAnsi="Times New Roman" w:eastAsia="Times New Roman"/>
          <w:bCs/>
          <w:lang w:eastAsia="ru-RU"/>
        </w:rPr>
      </w:pPr>
      <w:r>
        <w:rPr>
          <w:rFonts w:ascii="Times New Roman" w:hAnsi="Times New Roman"/>
          <w:bCs/>
        </w:rPr>
        <w:t>Употребление в речи прилагательных в сравнительной и превосходной степени.</w:t>
      </w:r>
    </w:p>
    <w:p w14:paraId="11860128">
      <w:pPr>
        <w:widowControl/>
        <w:tabs>
          <w:tab w:val="left" w:pos="0"/>
        </w:tabs>
        <w:autoSpaceDE w:val="0"/>
        <w:spacing w:after="0" w:line="360" w:lineRule="auto"/>
        <w:ind w:firstLine="709"/>
        <w:jc w:val="both"/>
        <w:rPr>
          <w:rFonts w:ascii="Times New Roman" w:hAnsi="Times New Roman"/>
          <w:bCs/>
        </w:rPr>
      </w:pPr>
      <w:r>
        <w:rPr>
          <w:rFonts w:ascii="Times New Roman" w:hAnsi="Times New Roman"/>
          <w:bCs/>
        </w:rPr>
        <w:t>Образование количественных и порядковых числительных до 1000.</w:t>
      </w:r>
    </w:p>
    <w:p w14:paraId="62041797">
      <w:pPr>
        <w:widowControl/>
        <w:tabs>
          <w:tab w:val="left" w:pos="0"/>
        </w:tabs>
        <w:autoSpaceDE w:val="0"/>
        <w:spacing w:after="0" w:line="360" w:lineRule="auto"/>
        <w:ind w:firstLine="709"/>
        <w:jc w:val="both"/>
        <w:rPr>
          <w:rFonts w:ascii="Times New Roman" w:hAnsi="Times New Roman"/>
          <w:bCs/>
        </w:rPr>
      </w:pPr>
      <w:r>
        <w:rPr>
          <w:rFonts w:ascii="Times New Roman" w:hAnsi="Times New Roman"/>
          <w:bCs/>
        </w:rPr>
        <w:t>Употребление в речи наиболее употребительных наречий времени и степени.</w:t>
      </w:r>
    </w:p>
    <w:p w14:paraId="36AA876B">
      <w:pPr>
        <w:widowControl/>
        <w:tabs>
          <w:tab w:val="left" w:pos="0"/>
        </w:tabs>
        <w:autoSpaceDE w:val="0"/>
        <w:spacing w:after="0" w:line="360" w:lineRule="auto"/>
        <w:ind w:firstLine="709"/>
        <w:jc w:val="both"/>
        <w:rPr>
          <w:rFonts w:ascii="Times New Roman" w:hAnsi="Times New Roman"/>
          <w:bCs/>
        </w:rPr>
      </w:pPr>
      <w:r>
        <w:rPr>
          <w:rFonts w:ascii="Times New Roman" w:hAnsi="Times New Roman"/>
          <w:bCs/>
        </w:rPr>
        <w:t>Союзы «та», «те», «тата» («и»), «анчах» («но»), «мĕншĕн тесен» («потому что»).</w:t>
      </w:r>
    </w:p>
    <w:p w14:paraId="67064735">
      <w:pPr>
        <w:widowControl/>
        <w:tabs>
          <w:tab w:val="left" w:pos="0"/>
        </w:tabs>
        <w:autoSpaceDE w:val="0"/>
        <w:spacing w:after="0" w:line="360" w:lineRule="auto"/>
        <w:ind w:firstLine="709"/>
        <w:jc w:val="both"/>
        <w:rPr>
          <w:rFonts w:ascii="Times New Roman" w:hAnsi="Times New Roman"/>
          <w:bCs/>
        </w:rPr>
      </w:pPr>
      <w:r>
        <w:rPr>
          <w:rFonts w:ascii="Times New Roman" w:hAnsi="Times New Roman"/>
          <w:bCs/>
        </w:rPr>
        <w:t>Частицы «мар», «ан», «чи», «-и», «-ха».</w:t>
      </w:r>
    </w:p>
    <w:p w14:paraId="385CFDD3">
      <w:pPr>
        <w:widowControl/>
        <w:tabs>
          <w:tab w:val="left" w:pos="0"/>
        </w:tabs>
        <w:autoSpaceDE w:val="0"/>
        <w:spacing w:after="0" w:line="360" w:lineRule="auto"/>
        <w:ind w:firstLine="709"/>
        <w:jc w:val="both"/>
        <w:rPr>
          <w:rFonts w:ascii="Times New Roman" w:hAnsi="Times New Roman"/>
          <w:bCs/>
        </w:rPr>
      </w:pPr>
      <w:r>
        <w:rPr>
          <w:rFonts w:ascii="Times New Roman" w:hAnsi="Times New Roman"/>
          <w:bCs/>
        </w:rPr>
        <w:t>Междометия «Ай-яй-яй!», «Атя!», «Ну!».</w:t>
      </w:r>
    </w:p>
    <w:p w14:paraId="065BEA6E">
      <w:pPr>
        <w:widowControl/>
        <w:spacing w:after="0" w:line="360" w:lineRule="auto"/>
        <w:ind w:firstLine="709"/>
        <w:jc w:val="both"/>
        <w:rPr>
          <w:rFonts w:ascii="Times New Roman" w:hAnsi="Times New Roman"/>
        </w:rPr>
      </w:pPr>
      <w:r>
        <w:rPr>
          <w:rFonts w:ascii="Times New Roman" w:hAnsi="Times New Roman"/>
        </w:rPr>
        <w:t>5.9. Содержание обучения в 4 классе.</w:t>
      </w:r>
    </w:p>
    <w:p w14:paraId="204A08B1">
      <w:pPr>
        <w:widowControl/>
        <w:spacing w:after="0" w:line="360" w:lineRule="auto"/>
        <w:ind w:firstLine="709"/>
        <w:jc w:val="both"/>
        <w:rPr>
          <w:rFonts w:ascii="Times New Roman" w:hAnsi="Times New Roman"/>
          <w:b/>
          <w:bCs/>
          <w:iCs/>
        </w:rPr>
      </w:pPr>
      <w:r>
        <w:rPr>
          <w:rFonts w:ascii="Times New Roman" w:hAnsi="Times New Roman"/>
        </w:rPr>
        <w:t>5.9.1. </w:t>
      </w:r>
      <w:r>
        <w:rPr>
          <w:rFonts w:ascii="Times New Roman" w:hAnsi="Times New Roman"/>
          <w:iCs/>
        </w:rPr>
        <w:t>Тематическое содержание речи.</w:t>
      </w:r>
    </w:p>
    <w:p w14:paraId="311FFB69">
      <w:pPr>
        <w:widowControl/>
        <w:tabs>
          <w:tab w:val="left" w:pos="0"/>
          <w:tab w:val="left" w:pos="1134"/>
        </w:tabs>
        <w:spacing w:after="0" w:line="360" w:lineRule="auto"/>
        <w:ind w:firstLine="709"/>
        <w:jc w:val="both"/>
        <w:rPr>
          <w:rFonts w:ascii="Times New Roman" w:hAnsi="Times New Roman"/>
        </w:rPr>
      </w:pPr>
      <w:bookmarkStart w:id="9" w:name="_Hlk119598956"/>
      <w:r>
        <w:rPr>
          <w:rFonts w:ascii="Times New Roman" w:hAnsi="Times New Roman" w:eastAsia="SimSun"/>
        </w:rPr>
        <w:t xml:space="preserve">Паллашар-и? (Давайте познакомимся!). Пирĕн шкул (Наша школа). Пирĕн кил-йыш (Наша семья). </w:t>
      </w:r>
      <w:r>
        <w:rPr>
          <w:rFonts w:ascii="Times New Roman" w:hAnsi="Times New Roman" w:eastAsia="Times New Roman"/>
        </w:rPr>
        <w:t xml:space="preserve">Манăн туссем (Мои друзья). Мана хавхалантаракан ĕçсем (Мои увлечения). Ĕç çынна илем кӳрет (Труд украшает человека). </w:t>
      </w:r>
      <w:r>
        <w:rPr>
          <w:rFonts w:ascii="Times New Roman" w:hAnsi="Times New Roman"/>
        </w:rPr>
        <w:t>Ыр к</w:t>
      </w:r>
      <w:r>
        <w:rPr>
          <w:rFonts w:ascii="Times New Roman" w:hAnsi="Times New Roman" w:eastAsia="SimSun"/>
        </w:rPr>
        <w:t>ăмăллăх урокĕсем</w:t>
      </w:r>
      <w:r>
        <w:rPr>
          <w:rFonts w:ascii="Times New Roman" w:hAnsi="Times New Roman"/>
        </w:rPr>
        <w:t xml:space="preserve"> (Уроки доброты). </w:t>
      </w:r>
      <w:r>
        <w:rPr>
          <w:rFonts w:ascii="Times New Roman" w:hAnsi="Times New Roman" w:eastAsia="SimSun"/>
        </w:rPr>
        <w:t>Ҫын тата ҫут ҫанталăк</w:t>
      </w:r>
      <w:r>
        <w:rPr>
          <w:rFonts w:ascii="Times New Roman" w:hAnsi="Times New Roman"/>
        </w:rPr>
        <w:t xml:space="preserve"> (Человек и природа). Манăн таврари тĕнче (Окружающий мир). </w:t>
      </w:r>
      <w:r>
        <w:rPr>
          <w:rFonts w:ascii="Times New Roman" w:hAnsi="Times New Roman" w:eastAsia="SimSun"/>
        </w:rPr>
        <w:t>Çулталăк вăхăчĕсем</w:t>
      </w:r>
      <w:r>
        <w:rPr>
          <w:rFonts w:ascii="Times New Roman" w:hAnsi="Times New Roman"/>
        </w:rPr>
        <w:t xml:space="preserve"> (Времена года). </w:t>
      </w:r>
      <w:r>
        <w:rPr>
          <w:rFonts w:ascii="Times New Roman" w:hAnsi="Times New Roman" w:eastAsia="SimSun"/>
        </w:rPr>
        <w:t>Чăваш ен – çуралнă çĕршывăм</w:t>
      </w:r>
      <w:r>
        <w:rPr>
          <w:rFonts w:ascii="Times New Roman" w:hAnsi="Times New Roman"/>
        </w:rPr>
        <w:t xml:space="preserve"> (Чувашская Республика – моя малая Родина»). </w:t>
      </w:r>
      <w:r>
        <w:rPr>
          <w:rFonts w:ascii="Times New Roman" w:hAnsi="Times New Roman" w:eastAsia="SimSun"/>
        </w:rPr>
        <w:t>Тăван çĕршыв. Çулçӳрев</w:t>
      </w:r>
      <w:r>
        <w:rPr>
          <w:rFonts w:ascii="Times New Roman" w:hAnsi="Times New Roman"/>
        </w:rPr>
        <w:t xml:space="preserve"> («Моя Родина. Путешествия»). Халăх пултарулăхĕ (Устное народное творчество).</w:t>
      </w:r>
    </w:p>
    <w:bookmarkEnd w:id="9"/>
    <w:p w14:paraId="53F52ECD">
      <w:pPr>
        <w:widowControl/>
        <w:tabs>
          <w:tab w:val="left" w:pos="0"/>
          <w:tab w:val="left" w:pos="1134"/>
        </w:tabs>
        <w:autoSpaceDE w:val="0"/>
        <w:autoSpaceDN w:val="0"/>
        <w:adjustRightInd w:val="0"/>
        <w:spacing w:after="0" w:line="360" w:lineRule="auto"/>
        <w:ind w:firstLine="709"/>
        <w:jc w:val="both"/>
        <w:textAlignment w:val="center"/>
        <w:rPr>
          <w:rFonts w:ascii="Times New Roman" w:hAnsi="Times New Roman" w:eastAsia="Times New Roman"/>
          <w:b/>
          <w:bCs/>
          <w:iCs/>
          <w:lang w:eastAsia="ru-RU"/>
        </w:rPr>
      </w:pPr>
      <w:r>
        <w:rPr>
          <w:rFonts w:ascii="Times New Roman" w:hAnsi="Times New Roman"/>
        </w:rPr>
        <w:t>5.</w:t>
      </w:r>
      <w:r>
        <w:rPr>
          <w:rFonts w:ascii="Times New Roman" w:hAnsi="Times New Roman"/>
          <w:lang w:eastAsia="ru-RU"/>
        </w:rPr>
        <w:t>9.2. </w:t>
      </w:r>
      <w:r>
        <w:rPr>
          <w:rFonts w:ascii="Times New Roman" w:hAnsi="Times New Roman" w:eastAsia="Times New Roman"/>
          <w:iCs/>
          <w:lang w:eastAsia="ru-RU"/>
        </w:rPr>
        <w:t>Речевые умения.</w:t>
      </w:r>
    </w:p>
    <w:p w14:paraId="7EDA1D6D">
      <w:pPr>
        <w:widowControl/>
        <w:tabs>
          <w:tab w:val="left" w:pos="0"/>
          <w:tab w:val="left" w:pos="1134"/>
        </w:tabs>
        <w:spacing w:after="0" w:line="360" w:lineRule="auto"/>
        <w:ind w:right="60" w:firstLine="709"/>
        <w:jc w:val="both"/>
        <w:rPr>
          <w:rFonts w:ascii="Times New Roman" w:hAnsi="Times New Roman" w:eastAsia="Times New Roman"/>
          <w:lang w:eastAsia="ru-RU"/>
        </w:rPr>
      </w:pPr>
      <w:r>
        <w:rPr>
          <w:rFonts w:ascii="Times New Roman" w:hAnsi="Times New Roman"/>
        </w:rPr>
        <w:t>5.</w:t>
      </w:r>
      <w:r>
        <w:rPr>
          <w:rFonts w:ascii="Times New Roman" w:hAnsi="Times New Roman" w:eastAsia="Times New Roman"/>
          <w:lang w:eastAsia="ru-RU"/>
        </w:rPr>
        <w:t>9.2.1. Аудирование.</w:t>
      </w:r>
    </w:p>
    <w:p w14:paraId="324283FC">
      <w:pPr>
        <w:widowControl/>
        <w:tabs>
          <w:tab w:val="left" w:pos="0"/>
          <w:tab w:val="left" w:pos="142"/>
          <w:tab w:val="left" w:leader="dot" w:pos="624"/>
          <w:tab w:val="left" w:pos="1134"/>
        </w:tabs>
        <w:spacing w:after="0" w:line="360" w:lineRule="auto"/>
        <w:ind w:firstLine="709"/>
        <w:jc w:val="both"/>
        <w:rPr>
          <w:rFonts w:ascii="Times New Roman" w:hAnsi="Times New Roman" w:eastAsia="Times New Roman"/>
          <w:bCs/>
          <w:lang w:eastAsia="ru-RU"/>
        </w:rPr>
      </w:pPr>
      <w:r>
        <w:rPr>
          <w:rFonts w:ascii="Times New Roman" w:hAnsi="Times New Roman" w:eastAsia="@Arial Unicode MS"/>
        </w:rPr>
        <w:t xml:space="preserve">Понимание на слух речи учителя и других обучающихся в процессе общения на уроке. Восприятие на слух небольших учебных текстов и </w:t>
      </w:r>
      <w:r>
        <w:rPr>
          <w:rFonts w:ascii="Times New Roman" w:hAnsi="Times New Roman" w:eastAsia="Times New Roman"/>
          <w:bCs/>
          <w:lang w:eastAsia="ru-RU"/>
        </w:rPr>
        <w:t>сообщений</w:t>
      </w:r>
      <w:r>
        <w:rPr>
          <w:rFonts w:ascii="Times New Roman" w:hAnsi="Times New Roman" w:eastAsia="@Arial Unicode MS"/>
        </w:rPr>
        <w:t xml:space="preserve">, построенных на изученном языковом материале, с пониманием </w:t>
      </w:r>
      <w:r>
        <w:rPr>
          <w:rFonts w:ascii="Times New Roman" w:hAnsi="Times New Roman" w:eastAsia="Times New Roman"/>
          <w:bCs/>
          <w:lang w:eastAsia="ru-RU"/>
        </w:rPr>
        <w:t xml:space="preserve">основной мысли звучащей речи </w:t>
      </w:r>
      <w:r>
        <w:rPr>
          <w:rFonts w:ascii="Times New Roman" w:hAnsi="Times New Roman" w:eastAsia="@Arial Unicode MS"/>
        </w:rPr>
        <w:t>и запрашиваемой информации фактического характера</w:t>
      </w:r>
      <w:r>
        <w:rPr>
          <w:rFonts w:ascii="Times New Roman" w:hAnsi="Times New Roman" w:eastAsia="Times New Roman"/>
          <w:bCs/>
          <w:lang w:eastAsia="ru-RU"/>
        </w:rPr>
        <w:t xml:space="preserve">. Определение последовательности событий в тексте. Осознание цели речевого высказывания. Выделение основной и второстепенной информации. </w:t>
      </w:r>
    </w:p>
    <w:p w14:paraId="33401233">
      <w:pPr>
        <w:widowControl/>
        <w:tabs>
          <w:tab w:val="left" w:pos="0"/>
          <w:tab w:val="left" w:pos="1134"/>
        </w:tabs>
        <w:spacing w:after="0" w:line="360" w:lineRule="auto"/>
        <w:ind w:right="60" w:firstLine="709"/>
        <w:jc w:val="both"/>
        <w:rPr>
          <w:rFonts w:ascii="Times New Roman" w:hAnsi="Times New Roman" w:eastAsia="Times New Roman"/>
          <w:lang w:eastAsia="ru-RU"/>
        </w:rPr>
      </w:pPr>
      <w:r>
        <w:rPr>
          <w:rFonts w:ascii="Times New Roman" w:hAnsi="Times New Roman"/>
        </w:rPr>
        <w:t>5.</w:t>
      </w:r>
      <w:r>
        <w:rPr>
          <w:rFonts w:ascii="Times New Roman" w:hAnsi="Times New Roman" w:eastAsia="Times New Roman"/>
          <w:lang w:eastAsia="ru-RU"/>
        </w:rPr>
        <w:t>9.2.2. Говорение.</w:t>
      </w:r>
    </w:p>
    <w:p w14:paraId="5510ED1F">
      <w:pPr>
        <w:widowControl/>
        <w:tabs>
          <w:tab w:val="left" w:pos="0"/>
          <w:tab w:val="left" w:pos="1134"/>
        </w:tabs>
        <w:spacing w:after="0" w:line="360" w:lineRule="auto"/>
        <w:ind w:right="60" w:firstLine="709"/>
        <w:jc w:val="both"/>
        <w:rPr>
          <w:rFonts w:ascii="Times New Roman" w:hAnsi="Times New Roman" w:eastAsia="Times New Roman"/>
          <w:lang w:eastAsia="ru-RU"/>
        </w:rPr>
      </w:pPr>
      <w:r>
        <w:rPr>
          <w:rFonts w:ascii="Times New Roman" w:hAnsi="Times New Roman" w:eastAsia="Times New Roman"/>
          <w:lang w:eastAsia="ru-RU"/>
        </w:rPr>
        <w:t xml:space="preserve">Диалогическая форма речи. Элементарный этикетный диалог: </w:t>
      </w:r>
      <w:r>
        <w:rPr>
          <w:rFonts w:ascii="Times New Roman" w:hAnsi="Times New Roman" w:eastAsia="@Arial Unicode MS"/>
        </w:rPr>
        <w:t>начало и завершение разговора (в том числе по телефону), прощание. Знакомство с собеседником. Поздравление с праздником, выражение благодарности за поздравление. Выражение извинения.</w:t>
      </w:r>
      <w:r>
        <w:rPr>
          <w:rFonts w:ascii="Times New Roman" w:hAnsi="Times New Roman" w:eastAsia="Times New Roman"/>
          <w:lang w:eastAsia="ru-RU"/>
        </w:rPr>
        <w:t xml:space="preserve"> Диалог-расспрос: умение задавать простые вопросы, </w:t>
      </w:r>
      <w:r>
        <w:rPr>
          <w:rFonts w:ascii="Times New Roman" w:hAnsi="Times New Roman" w:eastAsia="Times New Roman"/>
          <w:lang w:eastAsia="ru-RU" w:bidi="ru-RU"/>
        </w:rPr>
        <w:t>высказываться в ситуациях повседневного общения.</w:t>
      </w:r>
    </w:p>
    <w:p w14:paraId="47C5A33F">
      <w:pPr>
        <w:widowControl/>
        <w:tabs>
          <w:tab w:val="left" w:pos="0"/>
          <w:tab w:val="left" w:pos="1134"/>
        </w:tabs>
        <w:spacing w:after="0" w:line="360" w:lineRule="auto"/>
        <w:ind w:right="60" w:firstLine="709"/>
        <w:jc w:val="both"/>
        <w:rPr>
          <w:rFonts w:ascii="Times New Roman" w:hAnsi="Times New Roman" w:eastAsia="Times New Roman"/>
          <w:lang w:eastAsia="ru-RU" w:bidi="ru-RU"/>
        </w:rPr>
      </w:pPr>
      <w:r>
        <w:rPr>
          <w:rFonts w:ascii="Times New Roman" w:hAnsi="Times New Roman" w:eastAsia="Times New Roman"/>
          <w:lang w:eastAsia="ru-RU"/>
        </w:rPr>
        <w:t xml:space="preserve">Монологическая форма речи. Составление кратких монологических высказываний по предложенной теме или рисункам, моделям, образцам. Составление описания. </w:t>
      </w:r>
      <w:r>
        <w:rPr>
          <w:rFonts w:ascii="Times New Roman" w:hAnsi="Times New Roman"/>
          <w:lang w:eastAsia="ru-RU"/>
        </w:rPr>
        <w:t>Овладение активным словарем (не менее 700 лексических единиц).</w:t>
      </w:r>
    </w:p>
    <w:p w14:paraId="46D05023">
      <w:pPr>
        <w:widowControl/>
        <w:spacing w:after="0" w:line="360" w:lineRule="auto"/>
        <w:ind w:right="60" w:firstLine="709"/>
        <w:jc w:val="both"/>
        <w:rPr>
          <w:rFonts w:ascii="Times New Roman" w:hAnsi="Times New Roman"/>
        </w:rPr>
      </w:pPr>
      <w:r>
        <w:rPr>
          <w:rFonts w:ascii="Times New Roman" w:hAnsi="Times New Roman" w:eastAsia="Times New Roman"/>
          <w:lang w:eastAsia="ru-RU" w:bidi="ru-RU"/>
        </w:rPr>
        <w:t>Составление рассказа, информационного сообщения.</w:t>
      </w:r>
      <w:r>
        <w:rPr>
          <w:rFonts w:ascii="Times New Roman" w:hAnsi="Times New Roman"/>
        </w:rPr>
        <w:t xml:space="preserve"> Пересказ основного содержания прочитанного текста </w:t>
      </w:r>
      <w:r>
        <w:rPr>
          <w:rFonts w:ascii="Times New Roman" w:hAnsi="Times New Roman" w:eastAsia="@Arial Unicode MS"/>
        </w:rPr>
        <w:t xml:space="preserve">с использованием </w:t>
      </w:r>
      <w:r>
        <w:rPr>
          <w:rFonts w:ascii="Times New Roman" w:hAnsi="Times New Roman"/>
        </w:rPr>
        <w:t>ключевых слов, вопросов, плана и (или) иллюстраций.</w:t>
      </w:r>
    </w:p>
    <w:p w14:paraId="32F5204F">
      <w:pPr>
        <w:widowControl/>
        <w:tabs>
          <w:tab w:val="left" w:pos="0"/>
          <w:tab w:val="left" w:pos="1134"/>
        </w:tabs>
        <w:spacing w:after="0" w:line="360" w:lineRule="auto"/>
        <w:ind w:firstLine="709"/>
        <w:jc w:val="both"/>
        <w:rPr>
          <w:rFonts w:ascii="Times New Roman" w:hAnsi="Times New Roman"/>
        </w:rPr>
      </w:pPr>
      <w:r>
        <w:rPr>
          <w:rFonts w:ascii="Times New Roman" w:hAnsi="Times New Roman"/>
        </w:rPr>
        <w:t>Устная защита проектного задания.</w:t>
      </w:r>
    </w:p>
    <w:p w14:paraId="3F376CF2">
      <w:pPr>
        <w:widowControl/>
        <w:tabs>
          <w:tab w:val="left" w:pos="0"/>
          <w:tab w:val="left" w:pos="1134"/>
        </w:tabs>
        <w:spacing w:after="0" w:line="360" w:lineRule="auto"/>
        <w:ind w:right="60" w:firstLine="709"/>
        <w:jc w:val="both"/>
        <w:rPr>
          <w:rFonts w:ascii="Times New Roman" w:hAnsi="Times New Roman" w:eastAsia="Times New Roman"/>
          <w:lang w:eastAsia="ru-RU"/>
        </w:rPr>
      </w:pPr>
      <w:r>
        <w:rPr>
          <w:rFonts w:ascii="Times New Roman" w:hAnsi="Times New Roman"/>
        </w:rPr>
        <w:t>5.</w:t>
      </w:r>
      <w:r>
        <w:rPr>
          <w:rFonts w:ascii="Times New Roman" w:hAnsi="Times New Roman" w:eastAsia="Times New Roman"/>
          <w:lang w:eastAsia="ru-RU"/>
        </w:rPr>
        <w:t>9.2.3. Чтение.</w:t>
      </w:r>
    </w:p>
    <w:p w14:paraId="5941D421">
      <w:pPr>
        <w:widowControl/>
        <w:tabs>
          <w:tab w:val="left" w:pos="0"/>
          <w:tab w:val="left" w:pos="1134"/>
        </w:tabs>
        <w:spacing w:after="0" w:line="360" w:lineRule="auto"/>
        <w:ind w:right="60" w:firstLine="709"/>
        <w:jc w:val="both"/>
        <w:rPr>
          <w:rFonts w:ascii="Times New Roman" w:hAnsi="Times New Roman" w:eastAsia="Times New Roman"/>
          <w:bCs/>
          <w:lang w:eastAsia="ru-RU"/>
        </w:rPr>
      </w:pPr>
      <w:r>
        <w:rPr>
          <w:rFonts w:ascii="Times New Roman" w:hAnsi="Times New Roman" w:eastAsia="Times New Roman"/>
          <w:lang w:eastAsia="ru-RU"/>
        </w:rPr>
        <w:t>Осмысленное чтение вслух небольших текстов с соблюдением орфоэпических и интонационных норм, обусловленных особенностями чувашской речи. Постепенный переход от чтения вслух к чтению про себя. Умение находить в тексте необходимую информацию и использовать её.</w:t>
      </w:r>
    </w:p>
    <w:p w14:paraId="261FD745">
      <w:pPr>
        <w:widowControl/>
        <w:tabs>
          <w:tab w:val="left" w:pos="0"/>
          <w:tab w:val="left" w:pos="1134"/>
        </w:tabs>
        <w:spacing w:after="0" w:line="360" w:lineRule="auto"/>
        <w:ind w:firstLine="709"/>
        <w:jc w:val="both"/>
        <w:rPr>
          <w:rFonts w:ascii="Times New Roman" w:hAnsi="Times New Roman" w:eastAsia="@Arial Unicode MS"/>
          <w:bCs/>
          <w:iCs/>
        </w:rPr>
      </w:pPr>
      <w:r>
        <w:rPr>
          <w:rFonts w:ascii="Times New Roman" w:hAnsi="Times New Roman" w:eastAsia="Times New Roman"/>
          <w:lang w:eastAsia="ru-RU"/>
        </w:rPr>
        <w:t xml:space="preserve">Работа с текстом: ответы на вопросы по содержанию текста, деление текста на смысловые части, чтение вслух небольшого текста, установление последовательности событий в тексте. Изложение содержания прочитанного (услышанного) текста. </w:t>
      </w:r>
      <w:r>
        <w:rPr>
          <w:rFonts w:ascii="Times New Roman" w:hAnsi="Times New Roman" w:eastAsia="@Arial Unicode MS"/>
          <w:bCs/>
          <w:iCs/>
        </w:rPr>
        <w:t>Использование двуязычного словаря учебника. Прогнозирование содержания текста для чтения на основе заголовка.</w:t>
      </w:r>
    </w:p>
    <w:p w14:paraId="592497EF">
      <w:pPr>
        <w:widowControl/>
        <w:tabs>
          <w:tab w:val="left" w:pos="0"/>
          <w:tab w:val="left" w:pos="1134"/>
        </w:tabs>
        <w:spacing w:after="0" w:line="360" w:lineRule="auto"/>
        <w:ind w:right="60" w:firstLine="709"/>
        <w:jc w:val="both"/>
        <w:rPr>
          <w:rFonts w:ascii="Times New Roman" w:hAnsi="Times New Roman" w:eastAsia="Times New Roman"/>
          <w:b/>
          <w:bCs/>
          <w:lang w:eastAsia="ru-RU"/>
        </w:rPr>
      </w:pPr>
      <w:r>
        <w:rPr>
          <w:rFonts w:ascii="Times New Roman" w:hAnsi="Times New Roman"/>
        </w:rPr>
        <w:t>5.</w:t>
      </w:r>
      <w:r>
        <w:rPr>
          <w:rFonts w:ascii="Times New Roman" w:hAnsi="Times New Roman" w:eastAsia="Times New Roman"/>
          <w:lang w:eastAsia="ru-RU"/>
        </w:rPr>
        <w:t>9.2.4. Письмо.</w:t>
      </w:r>
    </w:p>
    <w:p w14:paraId="09BB9B0C">
      <w:pPr>
        <w:widowControl/>
        <w:tabs>
          <w:tab w:val="left" w:pos="0"/>
          <w:tab w:val="left" w:pos="142"/>
          <w:tab w:val="left" w:leader="dot" w:pos="624"/>
          <w:tab w:val="left" w:pos="1134"/>
        </w:tabs>
        <w:spacing w:after="0" w:line="360" w:lineRule="auto"/>
        <w:ind w:firstLine="709"/>
        <w:jc w:val="both"/>
        <w:rPr>
          <w:rFonts w:ascii="Times New Roman" w:hAnsi="Times New Roman" w:eastAsia="@Arial Unicode MS"/>
        </w:rPr>
      </w:pPr>
      <w:r>
        <w:rPr>
          <w:rFonts w:ascii="Times New Roman" w:hAnsi="Times New Roman" w:eastAsia="@Arial Unicode MS"/>
        </w:rPr>
        <w:t xml:space="preserve">Списывание слов, </w:t>
      </w:r>
      <w:r>
        <w:rPr>
          <w:rFonts w:ascii="Times New Roman" w:hAnsi="Times New Roman" w:eastAsia="Times New Roman"/>
          <w:lang w:eastAsia="ru-RU"/>
        </w:rPr>
        <w:t>кратких текстов,</w:t>
      </w:r>
      <w:r>
        <w:rPr>
          <w:rFonts w:ascii="Times New Roman" w:hAnsi="Times New Roman" w:eastAsia="@Arial Unicode MS"/>
        </w:rPr>
        <w:t xml:space="preserve"> предложений из текста в соответствии с решаемой учебной задачей. Вставка пропущенных слов в предложение. Озаглавливание текста с использованием темы или основной мысли. Составление плана текста.</w:t>
      </w:r>
    </w:p>
    <w:p w14:paraId="73399FA4">
      <w:pPr>
        <w:widowControl/>
        <w:tabs>
          <w:tab w:val="left" w:pos="0"/>
          <w:tab w:val="left" w:pos="142"/>
          <w:tab w:val="left" w:leader="dot" w:pos="624"/>
          <w:tab w:val="left" w:pos="1134"/>
        </w:tabs>
        <w:spacing w:after="0" w:line="360" w:lineRule="auto"/>
        <w:ind w:firstLine="709"/>
        <w:jc w:val="both"/>
        <w:rPr>
          <w:rFonts w:ascii="Times New Roman" w:hAnsi="Times New Roman" w:eastAsia="@Arial Unicode MS"/>
        </w:rPr>
      </w:pPr>
      <w:r>
        <w:rPr>
          <w:rFonts w:ascii="Times New Roman" w:hAnsi="Times New Roman" w:eastAsia="@Arial Unicode MS"/>
        </w:rPr>
        <w:t>Написание коротких сообщений с использованием образца. Изложение коротких текстов по памяти.</w:t>
      </w:r>
    </w:p>
    <w:p w14:paraId="7D81DDDE">
      <w:pPr>
        <w:widowControl/>
        <w:tabs>
          <w:tab w:val="left" w:pos="0"/>
          <w:tab w:val="left" w:pos="142"/>
          <w:tab w:val="left" w:leader="dot" w:pos="624"/>
          <w:tab w:val="left" w:pos="1134"/>
        </w:tabs>
        <w:spacing w:after="0" w:line="360" w:lineRule="auto"/>
        <w:ind w:firstLine="709"/>
        <w:jc w:val="both"/>
        <w:rPr>
          <w:rFonts w:ascii="Times New Roman" w:hAnsi="Times New Roman" w:eastAsia="@Arial Unicode MS"/>
        </w:rPr>
      </w:pPr>
      <w:r>
        <w:rPr>
          <w:rFonts w:ascii="Times New Roman" w:hAnsi="Times New Roman" w:eastAsia="@Arial Unicode MS"/>
        </w:rPr>
        <w:t>Правильная расстановка знаков препинания в конце предложения: точки, вопросительного и восклицательного знаков.</w:t>
      </w:r>
    </w:p>
    <w:p w14:paraId="5CFAC6A8">
      <w:pPr>
        <w:widowControl/>
        <w:tabs>
          <w:tab w:val="left" w:pos="0"/>
          <w:tab w:val="left" w:pos="1134"/>
        </w:tabs>
        <w:autoSpaceDE w:val="0"/>
        <w:autoSpaceDN w:val="0"/>
        <w:adjustRightInd w:val="0"/>
        <w:spacing w:after="0" w:line="360" w:lineRule="auto"/>
        <w:ind w:firstLine="709"/>
        <w:jc w:val="both"/>
        <w:textAlignment w:val="center"/>
        <w:rPr>
          <w:rFonts w:ascii="Times New Roman" w:hAnsi="Times New Roman" w:eastAsia="Times New Roman"/>
          <w:iCs/>
          <w:lang w:eastAsia="ru-RU"/>
        </w:rPr>
      </w:pPr>
      <w:r>
        <w:rPr>
          <w:rFonts w:ascii="Times New Roman" w:hAnsi="Times New Roman"/>
        </w:rPr>
        <w:t>5.</w:t>
      </w:r>
      <w:r>
        <w:rPr>
          <w:rFonts w:ascii="Times New Roman" w:hAnsi="Times New Roman" w:eastAsia="Times New Roman"/>
          <w:iCs/>
          <w:lang w:eastAsia="ru-RU"/>
        </w:rPr>
        <w:t>9.3. Языковые знания и навыки.</w:t>
      </w:r>
    </w:p>
    <w:p w14:paraId="426E1124">
      <w:pPr>
        <w:widowControl/>
        <w:tabs>
          <w:tab w:val="left" w:pos="0"/>
          <w:tab w:val="left" w:pos="1134"/>
        </w:tabs>
        <w:spacing w:after="0" w:line="360" w:lineRule="auto"/>
        <w:ind w:firstLine="709"/>
        <w:jc w:val="both"/>
        <w:rPr>
          <w:rFonts w:ascii="Times New Roman" w:hAnsi="Times New Roman"/>
          <w:bCs/>
        </w:rPr>
      </w:pPr>
      <w:r>
        <w:rPr>
          <w:rFonts w:ascii="Times New Roman" w:hAnsi="Times New Roman"/>
          <w:bCs/>
        </w:rPr>
        <w:t>Слог. Ударение. Парные слова. Лексическое значение слова. Синонимы. Антонимы. Омонимы.</w:t>
      </w:r>
    </w:p>
    <w:p w14:paraId="4DC72502">
      <w:pPr>
        <w:widowControl/>
        <w:tabs>
          <w:tab w:val="left" w:pos="0"/>
          <w:tab w:val="left" w:pos="1134"/>
        </w:tabs>
        <w:spacing w:after="0" w:line="360" w:lineRule="auto"/>
        <w:ind w:firstLine="709"/>
        <w:jc w:val="both"/>
        <w:rPr>
          <w:rFonts w:ascii="Times New Roman" w:hAnsi="Times New Roman" w:eastAsia="Times New Roman"/>
          <w:lang w:bidi="ru-RU"/>
        </w:rPr>
      </w:pPr>
      <w:r>
        <w:rPr>
          <w:rFonts w:ascii="Times New Roman" w:hAnsi="Times New Roman" w:eastAsia="Times New Roman"/>
          <w:lang w:bidi="ru-RU"/>
        </w:rPr>
        <w:t>Распознавание в устной и письменной речи заимствованных слов из русского языка с помощью языковой догадки.</w:t>
      </w:r>
    </w:p>
    <w:p w14:paraId="67E7D43A">
      <w:pPr>
        <w:widowControl/>
        <w:tabs>
          <w:tab w:val="left" w:pos="0"/>
          <w:tab w:val="left" w:pos="1134"/>
        </w:tabs>
        <w:spacing w:after="0" w:line="360" w:lineRule="auto"/>
        <w:ind w:firstLine="709"/>
        <w:jc w:val="both"/>
        <w:rPr>
          <w:rFonts w:ascii="Times New Roman" w:hAnsi="Times New Roman"/>
          <w:bCs/>
          <w:iCs/>
        </w:rPr>
      </w:pPr>
      <w:r>
        <w:rPr>
          <w:rFonts w:ascii="Times New Roman" w:hAnsi="Times New Roman"/>
          <w:bCs/>
          <w:iCs/>
        </w:rPr>
        <w:t>Нормы произношения чувашских звуков и слов. Сингармонизм. Корневой и аффиксальный сингармонизм. Несингармонические аффиксы. Аффиксы при несингармонических основах.</w:t>
      </w:r>
    </w:p>
    <w:p w14:paraId="5A3277B4">
      <w:pPr>
        <w:widowControl/>
        <w:tabs>
          <w:tab w:val="left" w:pos="0"/>
          <w:tab w:val="left" w:pos="1134"/>
        </w:tabs>
        <w:spacing w:after="0" w:line="360" w:lineRule="auto"/>
        <w:ind w:firstLine="709"/>
        <w:jc w:val="both"/>
        <w:rPr>
          <w:rFonts w:ascii="Times New Roman" w:hAnsi="Times New Roman"/>
          <w:bCs/>
          <w:iCs/>
        </w:rPr>
      </w:pPr>
      <w:r>
        <w:rPr>
          <w:rFonts w:ascii="Times New Roman" w:hAnsi="Times New Roman"/>
          <w:bCs/>
          <w:iCs/>
        </w:rPr>
        <w:t>Ритмико-интонационные особенности вопросительного, повествовательного, побудительного, восклицательного предложений.</w:t>
      </w:r>
    </w:p>
    <w:p w14:paraId="79093794">
      <w:pPr>
        <w:widowControl/>
        <w:tabs>
          <w:tab w:val="left" w:pos="0"/>
          <w:tab w:val="left" w:pos="1134"/>
        </w:tabs>
        <w:spacing w:after="0" w:line="360" w:lineRule="auto"/>
        <w:ind w:firstLine="709"/>
        <w:jc w:val="both"/>
        <w:rPr>
          <w:rFonts w:ascii="Times New Roman" w:hAnsi="Times New Roman"/>
          <w:bCs/>
        </w:rPr>
      </w:pPr>
      <w:r>
        <w:rPr>
          <w:rFonts w:ascii="Times New Roman" w:hAnsi="Times New Roman"/>
          <w:bCs/>
        </w:rPr>
        <w:t>Корень слова. Аффиксы. Особенности присоединения аффиксов в чувашском языке.</w:t>
      </w:r>
    </w:p>
    <w:p w14:paraId="16648A44">
      <w:pPr>
        <w:widowControl/>
        <w:tabs>
          <w:tab w:val="left" w:pos="0"/>
          <w:tab w:val="left" w:pos="1134"/>
        </w:tabs>
        <w:spacing w:after="0" w:line="360" w:lineRule="auto"/>
        <w:ind w:firstLine="709"/>
        <w:jc w:val="both"/>
        <w:rPr>
          <w:rFonts w:ascii="Times New Roman" w:hAnsi="Times New Roman" w:eastAsia="Times New Roman"/>
          <w:lang w:eastAsia="ru-RU" w:bidi="ru-RU"/>
        </w:rPr>
      </w:pPr>
      <w:r>
        <w:rPr>
          <w:rFonts w:ascii="Times New Roman" w:hAnsi="Times New Roman"/>
          <w:bCs/>
        </w:rPr>
        <w:t>Обобщающие слова в предложениях с однородными членами.</w:t>
      </w:r>
    </w:p>
    <w:p w14:paraId="05816B00">
      <w:pPr>
        <w:widowControl/>
        <w:tabs>
          <w:tab w:val="left" w:pos="0"/>
          <w:tab w:val="left" w:pos="1134"/>
        </w:tabs>
        <w:spacing w:after="0" w:line="360" w:lineRule="auto"/>
        <w:ind w:firstLine="709"/>
        <w:jc w:val="both"/>
        <w:rPr>
          <w:rFonts w:ascii="Times New Roman" w:hAnsi="Times New Roman"/>
        </w:rPr>
      </w:pPr>
      <w:r>
        <w:rPr>
          <w:rFonts w:ascii="Times New Roman" w:hAnsi="Times New Roman"/>
        </w:rPr>
        <w:t>Простые распространённые предложения. Сложные предложения с союзами «мĕншĕн тесен» («потому что»), «анчах» («но»).</w:t>
      </w:r>
    </w:p>
    <w:p w14:paraId="53015C6B">
      <w:pPr>
        <w:widowControl/>
        <w:tabs>
          <w:tab w:val="left" w:pos="0"/>
          <w:tab w:val="left" w:pos="1134"/>
        </w:tabs>
        <w:spacing w:after="0" w:line="360" w:lineRule="auto"/>
        <w:ind w:firstLine="709"/>
        <w:jc w:val="both"/>
        <w:rPr>
          <w:rFonts w:ascii="Times New Roman" w:hAnsi="Times New Roman" w:eastAsia="Times New Roman"/>
        </w:rPr>
      </w:pPr>
      <w:r>
        <w:rPr>
          <w:rFonts w:ascii="Times New Roman" w:hAnsi="Times New Roman" w:eastAsia="Times New Roman"/>
        </w:rPr>
        <w:t>Употребление в речи имен существительных в единственном и множественном числе в разных падежных формах и в категории принадлежности.</w:t>
      </w:r>
    </w:p>
    <w:p w14:paraId="5D76F534">
      <w:pPr>
        <w:widowControl/>
        <w:tabs>
          <w:tab w:val="left" w:pos="0"/>
          <w:tab w:val="left" w:pos="1134"/>
        </w:tabs>
        <w:spacing w:after="0" w:line="360" w:lineRule="auto"/>
        <w:ind w:firstLine="709"/>
        <w:jc w:val="both"/>
        <w:rPr>
          <w:rFonts w:ascii="Times New Roman" w:hAnsi="Times New Roman" w:eastAsia="Times New Roman"/>
        </w:rPr>
      </w:pPr>
      <w:r>
        <w:rPr>
          <w:rFonts w:ascii="Times New Roman" w:hAnsi="Times New Roman" w:eastAsia="Times New Roman"/>
        </w:rPr>
        <w:t>Употребление в речи изученных форм глаголов изъявительного и повелительного наклонений, инфинитива, причастия и деепричастия. Особенности использования форм глаголов, употребляющихся в речи для обозначения действий в будущем и прошедшем времени.</w:t>
      </w:r>
    </w:p>
    <w:p w14:paraId="52040AC4">
      <w:pPr>
        <w:widowControl/>
        <w:tabs>
          <w:tab w:val="left" w:pos="0"/>
          <w:tab w:val="left" w:pos="1134"/>
        </w:tabs>
        <w:spacing w:after="0" w:line="360" w:lineRule="auto"/>
        <w:ind w:firstLine="709"/>
        <w:jc w:val="both"/>
        <w:rPr>
          <w:rFonts w:ascii="Times New Roman" w:hAnsi="Times New Roman" w:eastAsia="Times New Roman"/>
        </w:rPr>
      </w:pPr>
      <w:r>
        <w:rPr>
          <w:rFonts w:ascii="Times New Roman" w:hAnsi="Times New Roman" w:eastAsia="Times New Roman"/>
        </w:rPr>
        <w:t>Употребление в речи личных, указательных, вопросительных, отрицательных («никам («никто»), «нимĕн» («ничто»), лично-возвратных («хам» («сам», «сама»), «хамăр» («сами»), неопределенных («такам» («некто»), «темĕн» («нечто»), «темĕнле» («какой-то»), «тахăшĕ» («кто-то»), «темиçе» («несколько») местоимений.</w:t>
      </w:r>
    </w:p>
    <w:p w14:paraId="46491F2C">
      <w:pPr>
        <w:widowControl/>
        <w:tabs>
          <w:tab w:val="left" w:pos="0"/>
          <w:tab w:val="left" w:pos="1134"/>
        </w:tabs>
        <w:spacing w:after="0" w:line="360" w:lineRule="auto"/>
        <w:ind w:firstLine="709"/>
        <w:jc w:val="both"/>
        <w:rPr>
          <w:rFonts w:ascii="Times New Roman" w:hAnsi="Times New Roman" w:eastAsia="Times New Roman"/>
        </w:rPr>
      </w:pPr>
      <w:r>
        <w:rPr>
          <w:rFonts w:ascii="Times New Roman" w:hAnsi="Times New Roman" w:eastAsia="Times New Roman"/>
        </w:rPr>
        <w:t>Употребление в речи прилагательных в роли сказуемого.</w:t>
      </w:r>
    </w:p>
    <w:p w14:paraId="2A9CE9C5">
      <w:pPr>
        <w:widowControl/>
        <w:tabs>
          <w:tab w:val="left" w:pos="0"/>
          <w:tab w:val="left" w:pos="1134"/>
        </w:tabs>
        <w:spacing w:after="0" w:line="360" w:lineRule="auto"/>
        <w:ind w:firstLine="709"/>
        <w:jc w:val="both"/>
        <w:rPr>
          <w:rFonts w:ascii="Times New Roman" w:hAnsi="Times New Roman" w:eastAsia="Times New Roman"/>
        </w:rPr>
      </w:pPr>
      <w:r>
        <w:rPr>
          <w:rFonts w:ascii="Times New Roman" w:hAnsi="Times New Roman" w:eastAsia="Times New Roman"/>
        </w:rPr>
        <w:t>Употребление в речи количественных (до 1000) и порядковых числительных.</w:t>
      </w:r>
    </w:p>
    <w:p w14:paraId="0498329C">
      <w:pPr>
        <w:widowControl/>
        <w:tabs>
          <w:tab w:val="left" w:pos="0"/>
          <w:tab w:val="left" w:pos="1134"/>
        </w:tabs>
        <w:spacing w:after="0" w:line="360" w:lineRule="auto"/>
        <w:ind w:firstLine="709"/>
        <w:jc w:val="both"/>
        <w:rPr>
          <w:rFonts w:ascii="Times New Roman" w:hAnsi="Times New Roman" w:eastAsia="Times New Roman"/>
        </w:rPr>
      </w:pPr>
      <w:r>
        <w:rPr>
          <w:rFonts w:ascii="Times New Roman" w:hAnsi="Times New Roman" w:eastAsia="Times New Roman"/>
        </w:rPr>
        <w:t>Употребление в речи наиболее распространённых наречий времени и степени, изученных послелогов и падежных форм существительных</w:t>
      </w:r>
      <w:r>
        <w:rPr>
          <w:rFonts w:ascii="Times New Roman" w:hAnsi="Times New Roman" w:eastAsia="Times New Roman"/>
          <w:i/>
        </w:rPr>
        <w:t>,</w:t>
      </w:r>
      <w:r>
        <w:rPr>
          <w:rFonts w:ascii="Times New Roman" w:hAnsi="Times New Roman" w:eastAsia="Times New Roman"/>
        </w:rPr>
        <w:t xml:space="preserve"> употребляющихся в речи в роли послелогов, союзов, частиц и междометий. Изучение наречий образа действия, меры и причины.</w:t>
      </w:r>
    </w:p>
    <w:p w14:paraId="424D46B9">
      <w:pPr>
        <w:widowControl/>
        <w:spacing w:after="0" w:line="360" w:lineRule="auto"/>
        <w:ind w:firstLine="709"/>
        <w:jc w:val="both"/>
        <w:rPr>
          <w:rFonts w:ascii="Times New Roman" w:hAnsi="Times New Roman"/>
        </w:rPr>
      </w:pPr>
      <w:r>
        <w:rPr>
          <w:rFonts w:ascii="Times New Roman" w:hAnsi="Times New Roman"/>
        </w:rPr>
        <w:t>5.10. Планируемые результаты освоения программы по родному (чувашскому) языку на уровне начального общего образования.</w:t>
      </w:r>
    </w:p>
    <w:p w14:paraId="4FDAC7DD">
      <w:pPr>
        <w:widowControl/>
        <w:spacing w:after="0" w:line="360" w:lineRule="auto"/>
        <w:ind w:firstLine="709"/>
        <w:jc w:val="both"/>
        <w:rPr>
          <w:rFonts w:ascii="Times New Roman" w:hAnsi="Times New Roman"/>
        </w:rPr>
      </w:pPr>
      <w:r>
        <w:rPr>
          <w:rFonts w:ascii="Times New Roman" w:hAnsi="Times New Roman"/>
        </w:rPr>
        <w:t>5.10.1. В результате изучения родного (чувашского) языка на уровне начального общего образования у обучающегося будут сформированы следующие личностные результаты:</w:t>
      </w:r>
    </w:p>
    <w:p w14:paraId="4CB14124">
      <w:pPr>
        <w:widowControl/>
        <w:spacing w:after="0" w:line="360" w:lineRule="auto"/>
        <w:ind w:firstLine="709"/>
        <w:jc w:val="both"/>
        <w:rPr>
          <w:rFonts w:ascii="Times New Roman" w:hAnsi="Times New Roman"/>
        </w:rPr>
      </w:pPr>
      <w:r>
        <w:rPr>
          <w:rFonts w:ascii="Times New Roman" w:hAnsi="Times New Roman"/>
        </w:rPr>
        <w:t>1) гражданско-патриотического воспитания:</w:t>
      </w:r>
    </w:p>
    <w:p w14:paraId="5114956A">
      <w:pPr>
        <w:widowControl/>
        <w:spacing w:after="0" w:line="360" w:lineRule="auto"/>
        <w:ind w:firstLine="709"/>
        <w:jc w:val="both"/>
        <w:rPr>
          <w:rFonts w:ascii="Times New Roman" w:hAnsi="Times New Roman"/>
        </w:rPr>
      </w:pPr>
      <w:r>
        <w:rPr>
          <w:rFonts w:ascii="Times New Roman" w:hAnsi="Times New Roman"/>
        </w:rPr>
        <w:t xml:space="preserve">становление ценностного отношения к своей Родине, в том числе через изучение родного (чувашского) языка, являющегося частью истории и культуры страны; </w:t>
      </w:r>
    </w:p>
    <w:p w14:paraId="2F93D778">
      <w:pPr>
        <w:widowControl/>
        <w:spacing w:after="0" w:line="360" w:lineRule="auto"/>
        <w:ind w:firstLine="709"/>
        <w:jc w:val="both"/>
        <w:rPr>
          <w:rFonts w:ascii="Times New Roman" w:hAnsi="Times New Roman"/>
        </w:rPr>
      </w:pPr>
      <w:r>
        <w:rPr>
          <w:rFonts w:ascii="Times New Roman" w:hAnsi="Times New Roman"/>
        </w:rPr>
        <w:t>осознание своей этнокультурной и российской гражданской идентичности, понимание статуса родного (чувашского) языка в Российской Федерации и в субъекте;</w:t>
      </w:r>
    </w:p>
    <w:p w14:paraId="1B69AB1B">
      <w:pPr>
        <w:widowControl/>
        <w:spacing w:after="0" w:line="360" w:lineRule="auto"/>
        <w:ind w:firstLine="709"/>
        <w:jc w:val="both"/>
        <w:rPr>
          <w:rFonts w:ascii="Times New Roman" w:hAnsi="Times New Roman"/>
        </w:rPr>
      </w:pPr>
      <w:r>
        <w:rPr>
          <w:rFonts w:ascii="Times New Roman" w:hAnsi="Times New Roman"/>
        </w:rPr>
        <w:t>сопричастность к прошлому, настоящему и будущему родного края, в том числе при работе с учебными текстами;</w:t>
      </w:r>
    </w:p>
    <w:p w14:paraId="11CFEE54">
      <w:pPr>
        <w:widowControl/>
        <w:spacing w:after="0" w:line="360" w:lineRule="auto"/>
        <w:ind w:firstLine="709"/>
        <w:jc w:val="both"/>
        <w:rPr>
          <w:rFonts w:ascii="Times New Roman" w:hAnsi="Times New Roman"/>
        </w:rPr>
      </w:pPr>
      <w:r>
        <w:rPr>
          <w:rFonts w:ascii="Times New Roman" w:hAnsi="Times New Roman"/>
        </w:rPr>
        <w:t>уважение к своему и другим народам России;</w:t>
      </w:r>
    </w:p>
    <w:p w14:paraId="2EC7E262">
      <w:pPr>
        <w:widowControl/>
        <w:spacing w:after="0" w:line="360" w:lineRule="auto"/>
        <w:ind w:firstLine="709"/>
        <w:jc w:val="both"/>
        <w:rPr>
          <w:rFonts w:ascii="Times New Roman" w:hAnsi="Times New Roman"/>
        </w:rPr>
      </w:pPr>
      <w:r>
        <w:rPr>
          <w:rFonts w:ascii="Times New Roman" w:hAnsi="Times New Roman"/>
        </w:rPr>
        <w:t>первоначальные представления о человеке как члене общества, о правах и ответственности, уважении и достоинстве человека, о нравственно-этических нормах поведения и правилах межличностных отношений, через работу с учебными текстами;</w:t>
      </w:r>
    </w:p>
    <w:p w14:paraId="17C7D750">
      <w:pPr>
        <w:widowControl/>
        <w:spacing w:after="0" w:line="360" w:lineRule="auto"/>
        <w:ind w:firstLine="709"/>
        <w:jc w:val="both"/>
        <w:rPr>
          <w:rFonts w:ascii="Times New Roman" w:hAnsi="Times New Roman"/>
        </w:rPr>
      </w:pPr>
      <w:r>
        <w:rPr>
          <w:rFonts w:ascii="Times New Roman" w:hAnsi="Times New Roman"/>
        </w:rPr>
        <w:t>2</w:t>
      </w:r>
      <w:r>
        <w:rPr>
          <w:rFonts w:ascii="Times New Roman" w:hAnsi="Times New Roman"/>
          <w:shd w:val="clear" w:color="auto" w:fill="FFFFFF"/>
        </w:rPr>
        <w:t>) д</w:t>
      </w:r>
      <w:r>
        <w:rPr>
          <w:rFonts w:ascii="Times New Roman" w:hAnsi="Times New Roman"/>
        </w:rPr>
        <w:t>уховно-нравственного воспитания:</w:t>
      </w:r>
    </w:p>
    <w:p w14:paraId="65588D0A">
      <w:pPr>
        <w:widowControl/>
        <w:spacing w:after="0" w:line="360" w:lineRule="auto"/>
        <w:ind w:firstLine="709"/>
        <w:jc w:val="both"/>
        <w:rPr>
          <w:rFonts w:ascii="Times New Roman" w:hAnsi="Times New Roman"/>
        </w:rPr>
      </w:pPr>
      <w:r>
        <w:rPr>
          <w:rFonts w:ascii="Times New Roman" w:hAnsi="Times New Roman"/>
        </w:rPr>
        <w:t>признание индивидуальности каждого человека;</w:t>
      </w:r>
    </w:p>
    <w:p w14:paraId="33C67F76">
      <w:pPr>
        <w:widowControl/>
        <w:spacing w:after="0" w:line="360" w:lineRule="auto"/>
        <w:ind w:firstLine="709"/>
        <w:jc w:val="both"/>
        <w:rPr>
          <w:rFonts w:ascii="Times New Roman" w:hAnsi="Times New Roman"/>
        </w:rPr>
      </w:pPr>
      <w:r>
        <w:rPr>
          <w:rFonts w:ascii="Times New Roman" w:hAnsi="Times New Roman"/>
        </w:rPr>
        <w:t>проявление сопереживания, уважения и доброжелательности (в том числе с использованием языковых средств для выражения своего состояния и чувств);</w:t>
      </w:r>
    </w:p>
    <w:p w14:paraId="0340666C">
      <w:pPr>
        <w:widowControl/>
        <w:spacing w:after="0" w:line="360" w:lineRule="auto"/>
        <w:ind w:firstLine="709"/>
        <w:jc w:val="both"/>
        <w:rPr>
          <w:rFonts w:ascii="Times New Roman" w:hAnsi="Times New Roman"/>
        </w:rPr>
      </w:pPr>
      <w:r>
        <w:rPr>
          <w:rFonts w:ascii="Times New Roman" w:hAnsi="Times New Roman"/>
        </w:rPr>
        <w:t>неприятие любых форм поведения, направленных на причинение физического и морального вреда другим людям (в том числе связанного с использованием недопустимых средств языка);</w:t>
      </w:r>
    </w:p>
    <w:p w14:paraId="4C1BD358">
      <w:pPr>
        <w:widowControl/>
        <w:spacing w:after="0" w:line="360" w:lineRule="auto"/>
        <w:ind w:firstLine="709"/>
        <w:jc w:val="both"/>
        <w:rPr>
          <w:rFonts w:ascii="Times New Roman" w:hAnsi="Times New Roman"/>
        </w:rPr>
      </w:pPr>
      <w:r>
        <w:rPr>
          <w:rFonts w:ascii="Times New Roman" w:hAnsi="Times New Roman"/>
        </w:rPr>
        <w:t>3</w:t>
      </w:r>
      <w:r>
        <w:rPr>
          <w:rFonts w:ascii="Times New Roman" w:hAnsi="Times New Roman"/>
          <w:shd w:val="clear" w:color="auto" w:fill="FFFFFF"/>
        </w:rPr>
        <w:t>) эстетического</w:t>
      </w:r>
      <w:r>
        <w:rPr>
          <w:rFonts w:ascii="Times New Roman" w:hAnsi="Times New Roman"/>
        </w:rPr>
        <w:t xml:space="preserve"> воспитания:</w:t>
      </w:r>
    </w:p>
    <w:p w14:paraId="7551C9DD">
      <w:pPr>
        <w:widowControl/>
        <w:spacing w:after="0" w:line="360" w:lineRule="auto"/>
        <w:ind w:firstLine="709"/>
        <w:jc w:val="both"/>
        <w:rPr>
          <w:rFonts w:ascii="Times New Roman" w:hAnsi="Times New Roman"/>
        </w:rPr>
      </w:pPr>
      <w:r>
        <w:rPr>
          <w:rFonts w:ascii="Times New Roman" w:hAnsi="Times New Roman"/>
        </w:rPr>
        <w:t>уважительное отношение и интерес к художественной культуре, восприимчивость к разным видам искусства, традициям и творчеству своего и других народов;</w:t>
      </w:r>
    </w:p>
    <w:p w14:paraId="44C105CC">
      <w:pPr>
        <w:widowControl/>
        <w:spacing w:after="0" w:line="360" w:lineRule="auto"/>
        <w:ind w:firstLine="709"/>
        <w:jc w:val="both"/>
        <w:rPr>
          <w:rFonts w:ascii="Times New Roman" w:hAnsi="Times New Roman"/>
        </w:rPr>
      </w:pPr>
      <w:r>
        <w:rPr>
          <w:rFonts w:ascii="Times New Roman" w:hAnsi="Times New Roman"/>
        </w:rPr>
        <w:t>стремление к самовыражению в искусстве слова, осознание важности родного языка как средства общения и самовыражения;</w:t>
      </w:r>
    </w:p>
    <w:p w14:paraId="73617577">
      <w:pPr>
        <w:widowControl/>
        <w:spacing w:after="0" w:line="360" w:lineRule="auto"/>
        <w:ind w:firstLine="709"/>
        <w:jc w:val="both"/>
        <w:rPr>
          <w:rFonts w:ascii="Times New Roman" w:hAnsi="Times New Roman"/>
        </w:rPr>
      </w:pPr>
      <w:r>
        <w:rPr>
          <w:rFonts w:ascii="Times New Roman" w:hAnsi="Times New Roman"/>
        </w:rPr>
        <w:t>4</w:t>
      </w:r>
      <w:r>
        <w:rPr>
          <w:rFonts w:ascii="Times New Roman" w:hAnsi="Times New Roman"/>
          <w:shd w:val="clear" w:color="auto" w:fill="FFFFFF"/>
        </w:rPr>
        <w:t>) ф</w:t>
      </w:r>
      <w:r>
        <w:rPr>
          <w:rFonts w:ascii="Times New Roman" w:hAnsi="Times New Roman"/>
        </w:rPr>
        <w:t>изического воспитания, формирования культуры здоровья и эмоционального благополучия:</w:t>
      </w:r>
    </w:p>
    <w:p w14:paraId="055C71C2">
      <w:pPr>
        <w:widowControl/>
        <w:spacing w:after="0" w:line="360" w:lineRule="auto"/>
        <w:ind w:firstLine="709"/>
        <w:jc w:val="both"/>
        <w:rPr>
          <w:rFonts w:ascii="Times New Roman" w:hAnsi="Times New Roman"/>
        </w:rPr>
      </w:pPr>
      <w:r>
        <w:rPr>
          <w:rFonts w:ascii="Times New Roman" w:hAnsi="Times New Roman"/>
        </w:rPr>
        <w:t xml:space="preserve">соблюдение правил здорового и безопасного (для себя и других людей) образа жизни в окружающей среде (в том числе информационной) в процессе языкового образования; </w:t>
      </w:r>
    </w:p>
    <w:p w14:paraId="1C0F85D2">
      <w:pPr>
        <w:widowControl/>
        <w:spacing w:after="0" w:line="360" w:lineRule="auto"/>
        <w:ind w:firstLine="709"/>
        <w:jc w:val="both"/>
        <w:rPr>
          <w:rFonts w:ascii="Times New Roman" w:hAnsi="Times New Roman"/>
        </w:rPr>
      </w:pPr>
      <w:r>
        <w:rPr>
          <w:rFonts w:ascii="Times New Roman" w:hAnsi="Times New Roman"/>
        </w:rPr>
        <w:t>бережное отношение к физическому и психическому здоровью, выбор приемлемых способов речевого самовыражения, соблюдение норм речевого этикета;</w:t>
      </w:r>
    </w:p>
    <w:p w14:paraId="58A0884F">
      <w:pPr>
        <w:widowControl/>
        <w:spacing w:after="0" w:line="360" w:lineRule="auto"/>
        <w:ind w:firstLine="709"/>
        <w:jc w:val="both"/>
        <w:rPr>
          <w:rFonts w:ascii="Times New Roman" w:hAnsi="Times New Roman"/>
        </w:rPr>
      </w:pPr>
      <w:r>
        <w:rPr>
          <w:rFonts w:ascii="Times New Roman" w:hAnsi="Times New Roman"/>
          <w:shd w:val="clear" w:color="auto" w:fill="FFFFFF"/>
        </w:rPr>
        <w:t>5) трудового</w:t>
      </w:r>
      <w:r>
        <w:rPr>
          <w:rFonts w:ascii="Times New Roman" w:hAnsi="Times New Roman"/>
        </w:rPr>
        <w:t xml:space="preserve"> воспитания:</w:t>
      </w:r>
    </w:p>
    <w:p w14:paraId="32C86383">
      <w:pPr>
        <w:widowControl/>
        <w:spacing w:after="0" w:line="360" w:lineRule="auto"/>
        <w:ind w:firstLine="709"/>
        <w:jc w:val="both"/>
        <w:rPr>
          <w:rFonts w:ascii="Times New Roman" w:hAnsi="Times New Roman"/>
        </w:rPr>
      </w:pPr>
      <w:r>
        <w:rPr>
          <w:rFonts w:ascii="Times New Roman" w:hAnsi="Times New Roman"/>
        </w:rPr>
        <w:t>осознание ценности труда в жизни человека и общества, ответственное потребление и бережное отношение к результатам труда, навыки участия в различных видах трудовой деятельности, интерес к различным профессиям (в том числе через примеры из учебных текстов);</w:t>
      </w:r>
    </w:p>
    <w:p w14:paraId="197D6A48">
      <w:pPr>
        <w:widowControl/>
        <w:spacing w:after="0" w:line="360" w:lineRule="auto"/>
        <w:ind w:firstLine="709"/>
        <w:jc w:val="both"/>
        <w:rPr>
          <w:rFonts w:ascii="Times New Roman" w:hAnsi="Times New Roman"/>
        </w:rPr>
      </w:pPr>
      <w:r>
        <w:rPr>
          <w:rFonts w:ascii="Times New Roman" w:hAnsi="Times New Roman"/>
        </w:rPr>
        <w:t>6</w:t>
      </w:r>
      <w:r>
        <w:rPr>
          <w:rFonts w:ascii="Times New Roman" w:hAnsi="Times New Roman"/>
          <w:shd w:val="clear" w:color="auto" w:fill="FFFFFF"/>
        </w:rPr>
        <w:t>) э</w:t>
      </w:r>
      <w:r>
        <w:rPr>
          <w:rFonts w:ascii="Times New Roman" w:hAnsi="Times New Roman"/>
        </w:rPr>
        <w:t>кологического воспитания:</w:t>
      </w:r>
    </w:p>
    <w:p w14:paraId="2FCBDCAA">
      <w:pPr>
        <w:widowControl/>
        <w:spacing w:after="0" w:line="360" w:lineRule="auto"/>
        <w:ind w:firstLine="709"/>
        <w:jc w:val="both"/>
        <w:rPr>
          <w:rFonts w:ascii="Times New Roman" w:hAnsi="Times New Roman"/>
        </w:rPr>
      </w:pPr>
      <w:r>
        <w:rPr>
          <w:rFonts w:ascii="Times New Roman" w:hAnsi="Times New Roman"/>
        </w:rPr>
        <w:t>бережное отношение к природе, формируемое в процессе работы над текстами;</w:t>
      </w:r>
    </w:p>
    <w:p w14:paraId="0A6CF5DE">
      <w:pPr>
        <w:widowControl/>
        <w:spacing w:after="0" w:line="360" w:lineRule="auto"/>
        <w:ind w:firstLine="709"/>
        <w:jc w:val="both"/>
        <w:rPr>
          <w:rFonts w:ascii="Times New Roman" w:hAnsi="Times New Roman"/>
        </w:rPr>
      </w:pPr>
      <w:r>
        <w:rPr>
          <w:rFonts w:ascii="Times New Roman" w:hAnsi="Times New Roman"/>
        </w:rPr>
        <w:t>неприятие действий, приносящих вред природе;</w:t>
      </w:r>
    </w:p>
    <w:p w14:paraId="60BAE264">
      <w:pPr>
        <w:widowControl/>
        <w:spacing w:after="0" w:line="360" w:lineRule="auto"/>
        <w:ind w:firstLine="709"/>
        <w:jc w:val="both"/>
        <w:rPr>
          <w:rFonts w:ascii="Times New Roman" w:hAnsi="Times New Roman"/>
        </w:rPr>
      </w:pPr>
      <w:r>
        <w:rPr>
          <w:rFonts w:ascii="Times New Roman" w:hAnsi="Times New Roman"/>
        </w:rPr>
        <w:t>7</w:t>
      </w:r>
      <w:r>
        <w:rPr>
          <w:rFonts w:ascii="Times New Roman" w:hAnsi="Times New Roman"/>
          <w:shd w:val="clear" w:color="auto" w:fill="FFFFFF"/>
        </w:rPr>
        <w:t>) ценности</w:t>
      </w:r>
      <w:r>
        <w:rPr>
          <w:rFonts w:ascii="Times New Roman" w:hAnsi="Times New Roman"/>
        </w:rPr>
        <w:t xml:space="preserve"> научного познания:</w:t>
      </w:r>
    </w:p>
    <w:p w14:paraId="0E90E405">
      <w:pPr>
        <w:widowControl/>
        <w:spacing w:after="0" w:line="360" w:lineRule="auto"/>
        <w:ind w:firstLine="709"/>
        <w:jc w:val="both"/>
        <w:rPr>
          <w:rFonts w:ascii="Times New Roman" w:hAnsi="Times New Roman"/>
        </w:rPr>
      </w:pPr>
      <w:r>
        <w:rPr>
          <w:rFonts w:ascii="Times New Roman" w:hAnsi="Times New Roman"/>
        </w:rPr>
        <w:t>первоначальные представления о научной картине мира (в том числе первоначальные представление о системе родного (чувашского) языка);</w:t>
      </w:r>
    </w:p>
    <w:p w14:paraId="04F7EE6C">
      <w:pPr>
        <w:widowControl/>
        <w:spacing w:after="0" w:line="360" w:lineRule="auto"/>
        <w:ind w:firstLine="709"/>
        <w:jc w:val="both"/>
        <w:rPr>
          <w:rFonts w:ascii="Times New Roman" w:hAnsi="Times New Roman"/>
        </w:rPr>
      </w:pPr>
      <w:r>
        <w:rPr>
          <w:rFonts w:ascii="Times New Roman" w:hAnsi="Times New Roman"/>
        </w:rPr>
        <w:t>познавательные интересы, активность, инициативность, любознательность и самостоятельность в познании (в том числе познавательный интерес к изучению родного (чувашского) языка).</w:t>
      </w:r>
    </w:p>
    <w:p w14:paraId="0042E24E">
      <w:pPr>
        <w:widowControl/>
        <w:spacing w:after="0" w:line="360" w:lineRule="auto"/>
        <w:ind w:firstLine="709"/>
        <w:jc w:val="both"/>
        <w:rPr>
          <w:rFonts w:ascii="Times New Roman" w:hAnsi="Times New Roman"/>
        </w:rPr>
      </w:pPr>
      <w:r>
        <w:rPr>
          <w:rFonts w:ascii="Times New Roman" w:hAnsi="Times New Roman"/>
        </w:rPr>
        <w:t>5.</w:t>
      </w:r>
      <w:r>
        <w:rPr>
          <w:rFonts w:ascii="Times New Roman" w:hAnsi="Times New Roman"/>
          <w:shd w:val="clear" w:color="auto" w:fill="FFFFFF"/>
        </w:rPr>
        <w:t>10.2. В</w:t>
      </w:r>
      <w:r>
        <w:rPr>
          <w:rFonts w:ascii="Times New Roman" w:hAnsi="Times New Roman"/>
        </w:rPr>
        <w:t xml:space="preserve"> результате изучения родного (чувашского) языка на уровне начального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 умения совместной деятельности.</w:t>
      </w:r>
    </w:p>
    <w:p w14:paraId="1ECF1B37">
      <w:pPr>
        <w:widowControl/>
        <w:spacing w:after="0" w:line="360" w:lineRule="auto"/>
        <w:ind w:firstLine="709"/>
        <w:jc w:val="both"/>
        <w:rPr>
          <w:rFonts w:ascii="Times New Roman" w:hAnsi="Times New Roman"/>
        </w:rPr>
      </w:pPr>
      <w:r>
        <w:rPr>
          <w:rFonts w:ascii="Times New Roman" w:hAnsi="Times New Roman"/>
        </w:rPr>
        <w:t>5.10.2.1</w:t>
      </w:r>
      <w:r>
        <w:rPr>
          <w:rFonts w:ascii="Times New Roman" w:hAnsi="Times New Roman"/>
          <w:shd w:val="clear" w:color="auto" w:fill="FFFFFF"/>
        </w:rPr>
        <w:t>. У</w:t>
      </w:r>
      <w:r>
        <w:rPr>
          <w:rFonts w:ascii="Times New Roman" w:hAnsi="Times New Roman"/>
        </w:rPr>
        <w:t xml:space="preserve"> обучающегося будут сформированы следующие базовые логические действия как часть познавательных универсальных учебных действий:</w:t>
      </w:r>
    </w:p>
    <w:p w14:paraId="20713DAF">
      <w:pPr>
        <w:widowControl/>
        <w:spacing w:after="0" w:line="360" w:lineRule="auto"/>
        <w:ind w:firstLine="709"/>
        <w:jc w:val="both"/>
        <w:rPr>
          <w:rFonts w:ascii="Times New Roman" w:hAnsi="Times New Roman"/>
        </w:rPr>
      </w:pPr>
      <w:r>
        <w:rPr>
          <w:rFonts w:ascii="Times New Roman" w:hAnsi="Times New Roman"/>
        </w:rPr>
        <w:t>сравнивать различные языковые единицы, устанавливать основания для сравнения языковых единиц, устанавливать аналогии языковых единиц, сравнивать языковые единицы и явления родного (чувашского) языка с языковыми явлениями русского языка;</w:t>
      </w:r>
    </w:p>
    <w:p w14:paraId="7CF942B8">
      <w:pPr>
        <w:widowControl/>
        <w:spacing w:after="0" w:line="360" w:lineRule="auto"/>
        <w:ind w:firstLine="709"/>
        <w:jc w:val="both"/>
        <w:rPr>
          <w:rFonts w:ascii="Times New Roman" w:hAnsi="Times New Roman"/>
        </w:rPr>
      </w:pPr>
      <w:r>
        <w:rPr>
          <w:rFonts w:ascii="Times New Roman" w:hAnsi="Times New Roman"/>
        </w:rPr>
        <w:t>объединять объекты (языковые единицы) по заданному признаку;</w:t>
      </w:r>
    </w:p>
    <w:p w14:paraId="6F0EDEE9">
      <w:pPr>
        <w:widowControl/>
        <w:spacing w:after="0" w:line="360" w:lineRule="auto"/>
        <w:ind w:firstLine="709"/>
        <w:jc w:val="both"/>
        <w:rPr>
          <w:rFonts w:ascii="Times New Roman" w:hAnsi="Times New Roman"/>
        </w:rPr>
      </w:pPr>
      <w:r>
        <w:rPr>
          <w:rFonts w:ascii="Times New Roman" w:hAnsi="Times New Roman"/>
        </w:rPr>
        <w:t>определять существенный признак для классификации языковых единиц, классифицировать предложенные языковые единицы;</w:t>
      </w:r>
    </w:p>
    <w:p w14:paraId="2CA1A4AF">
      <w:pPr>
        <w:widowControl/>
        <w:spacing w:after="0" w:line="360" w:lineRule="auto"/>
        <w:ind w:firstLine="709"/>
        <w:jc w:val="both"/>
        <w:rPr>
          <w:rFonts w:ascii="Times New Roman" w:hAnsi="Times New Roman"/>
        </w:rPr>
      </w:pPr>
      <w:r>
        <w:rPr>
          <w:rFonts w:ascii="Times New Roman" w:hAnsi="Times New Roman"/>
        </w:rPr>
        <w:t>находить закономерности и противоречия в языковом материале на основе предложенного учителем алгоритма наблюдения;</w:t>
      </w:r>
    </w:p>
    <w:p w14:paraId="2993B274">
      <w:pPr>
        <w:widowControl/>
        <w:spacing w:after="0" w:line="360" w:lineRule="auto"/>
        <w:ind w:firstLine="709"/>
        <w:jc w:val="both"/>
        <w:rPr>
          <w:rFonts w:ascii="Times New Roman" w:hAnsi="Times New Roman"/>
        </w:rPr>
      </w:pPr>
      <w:r>
        <w:rPr>
          <w:rFonts w:ascii="Times New Roman" w:hAnsi="Times New Roman"/>
        </w:rPr>
        <w:t>выявлять недостаток информации для решения учебной и практической задачи на основе предложенного алгоритма;</w:t>
      </w:r>
    </w:p>
    <w:p w14:paraId="1ED4FDDA">
      <w:pPr>
        <w:widowControl/>
        <w:spacing w:after="0" w:line="360" w:lineRule="auto"/>
        <w:ind w:firstLine="709"/>
        <w:jc w:val="both"/>
        <w:rPr>
          <w:rFonts w:ascii="Times New Roman" w:hAnsi="Times New Roman"/>
        </w:rPr>
      </w:pPr>
      <w:r>
        <w:rPr>
          <w:rFonts w:ascii="Times New Roman" w:hAnsi="Times New Roman"/>
        </w:rPr>
        <w:t>устанавливать причинно-следственные связи в ситуациях наблюдения за языковым материалом, делать выводы.</w:t>
      </w:r>
    </w:p>
    <w:p w14:paraId="00881ADE">
      <w:pPr>
        <w:widowControl/>
        <w:spacing w:after="0" w:line="360" w:lineRule="auto"/>
        <w:ind w:firstLine="709"/>
        <w:jc w:val="both"/>
        <w:rPr>
          <w:rFonts w:ascii="Times New Roman" w:hAnsi="Times New Roman"/>
        </w:rPr>
      </w:pPr>
      <w:r>
        <w:rPr>
          <w:rFonts w:ascii="Times New Roman" w:hAnsi="Times New Roman"/>
        </w:rPr>
        <w:t>5.10.2.2. У обучающегося будут сформированы следующие базовые исследовательские действия как часть познавательных универсальных учебных действий:</w:t>
      </w:r>
    </w:p>
    <w:p w14:paraId="0B2EB6B1">
      <w:pPr>
        <w:widowControl/>
        <w:spacing w:after="0" w:line="360" w:lineRule="auto"/>
        <w:ind w:firstLine="709"/>
        <w:jc w:val="both"/>
        <w:rPr>
          <w:rFonts w:ascii="Times New Roman" w:hAnsi="Times New Roman"/>
        </w:rPr>
      </w:pPr>
      <w:r>
        <w:rPr>
          <w:rFonts w:ascii="Times New Roman" w:hAnsi="Times New Roman"/>
        </w:rPr>
        <w:t>определять разрыв между реальным и желательным состоянием языкового объекта (речевой ситуации) на основе предложенных учителем вопросов;</w:t>
      </w:r>
    </w:p>
    <w:p w14:paraId="2968DE23">
      <w:pPr>
        <w:widowControl/>
        <w:spacing w:after="0" w:line="360" w:lineRule="auto"/>
        <w:ind w:firstLine="709"/>
        <w:jc w:val="both"/>
        <w:rPr>
          <w:rFonts w:ascii="Times New Roman" w:hAnsi="Times New Roman"/>
        </w:rPr>
      </w:pPr>
      <w:r>
        <w:rPr>
          <w:rFonts w:ascii="Times New Roman" w:hAnsi="Times New Roman"/>
        </w:rPr>
        <w:t>с помощью учителя формулировать цель, планировать изменения языкового объекта, речевой ситуации;</w:t>
      </w:r>
    </w:p>
    <w:p w14:paraId="0DFA2D8D">
      <w:pPr>
        <w:widowControl/>
        <w:spacing w:after="0" w:line="360" w:lineRule="auto"/>
        <w:ind w:firstLine="709"/>
        <w:jc w:val="both"/>
        <w:rPr>
          <w:rFonts w:ascii="Times New Roman" w:hAnsi="Times New Roman"/>
        </w:rPr>
      </w:pPr>
      <w:r>
        <w:rPr>
          <w:rFonts w:ascii="Times New Roman" w:hAnsi="Times New Roman"/>
        </w:rPr>
        <w:t>сравнивать несколько вариантов решения задачи, выбирать наиболее подходящий (на основе предложенных критериев);</w:t>
      </w:r>
    </w:p>
    <w:p w14:paraId="5187E15E">
      <w:pPr>
        <w:widowControl/>
        <w:spacing w:after="0" w:line="360" w:lineRule="auto"/>
        <w:ind w:firstLine="709"/>
        <w:jc w:val="both"/>
        <w:rPr>
          <w:rFonts w:ascii="Times New Roman" w:hAnsi="Times New Roman"/>
        </w:rPr>
      </w:pPr>
      <w:r>
        <w:rPr>
          <w:rFonts w:ascii="Times New Roman" w:hAnsi="Times New Roman"/>
        </w:rPr>
        <w:t>выполнять по предложенному плану проектное задание;</w:t>
      </w:r>
    </w:p>
    <w:p w14:paraId="6CAFC11C">
      <w:pPr>
        <w:widowControl/>
        <w:spacing w:after="0" w:line="360" w:lineRule="auto"/>
        <w:ind w:firstLine="709"/>
        <w:jc w:val="both"/>
        <w:rPr>
          <w:rFonts w:ascii="Times New Roman" w:hAnsi="Times New Roman"/>
        </w:rPr>
      </w:pPr>
      <w:r>
        <w:rPr>
          <w:rFonts w:ascii="Times New Roman" w:hAnsi="Times New Roman"/>
        </w:rPr>
        <w:t>формулировать выводы и подкреплять их доказательствами на основе результатов проведенного наблюдения за языковым материалом (классификации, сравнения, исследования);</w:t>
      </w:r>
    </w:p>
    <w:p w14:paraId="71D51846">
      <w:pPr>
        <w:widowControl/>
        <w:spacing w:after="0" w:line="360" w:lineRule="auto"/>
        <w:ind w:firstLine="709"/>
        <w:jc w:val="both"/>
        <w:rPr>
          <w:rFonts w:ascii="Times New Roman" w:hAnsi="Times New Roman"/>
        </w:rPr>
      </w:pPr>
      <w:r>
        <w:rPr>
          <w:rFonts w:ascii="Times New Roman" w:hAnsi="Times New Roman"/>
        </w:rPr>
        <w:t>прогнозировать возможное развитие процессов, событий и их последствия в аналогичных или сходных ситуациях.</w:t>
      </w:r>
    </w:p>
    <w:p w14:paraId="74053A60">
      <w:pPr>
        <w:widowControl/>
        <w:spacing w:after="0" w:line="360" w:lineRule="auto"/>
        <w:ind w:firstLine="709"/>
        <w:jc w:val="both"/>
        <w:rPr>
          <w:rFonts w:ascii="Times New Roman" w:hAnsi="Times New Roman"/>
        </w:rPr>
      </w:pPr>
      <w:r>
        <w:rPr>
          <w:rFonts w:ascii="Times New Roman" w:hAnsi="Times New Roman"/>
        </w:rPr>
        <w:t>5.10.2.</w:t>
      </w:r>
      <w:r>
        <w:rPr>
          <w:rFonts w:ascii="Times New Roman" w:hAnsi="Times New Roman"/>
          <w:shd w:val="clear" w:color="auto" w:fill="FFFFFF"/>
        </w:rPr>
        <w:t>3. У обучающегося</w:t>
      </w:r>
      <w:r>
        <w:rPr>
          <w:rFonts w:ascii="Times New Roman" w:hAnsi="Times New Roman"/>
        </w:rPr>
        <w:t xml:space="preserve"> будут сформированы умения работать с информацией как часть познавательных универсальных учебных действий:</w:t>
      </w:r>
    </w:p>
    <w:p w14:paraId="64CFA58E">
      <w:pPr>
        <w:widowControl/>
        <w:spacing w:after="0" w:line="360" w:lineRule="auto"/>
        <w:ind w:firstLine="709"/>
        <w:jc w:val="both"/>
        <w:rPr>
          <w:rFonts w:ascii="Times New Roman" w:hAnsi="Times New Roman"/>
        </w:rPr>
      </w:pPr>
      <w:r>
        <w:rPr>
          <w:rFonts w:ascii="Times New Roman" w:hAnsi="Times New Roman"/>
        </w:rPr>
        <w:t>выбирать источник получения информации: словарь, справочник;</w:t>
      </w:r>
    </w:p>
    <w:p w14:paraId="7D49810B">
      <w:pPr>
        <w:widowControl/>
        <w:spacing w:after="0" w:line="360" w:lineRule="auto"/>
        <w:ind w:firstLine="709"/>
        <w:jc w:val="both"/>
        <w:rPr>
          <w:rFonts w:ascii="Times New Roman" w:hAnsi="Times New Roman"/>
        </w:rPr>
      </w:pPr>
      <w:r>
        <w:rPr>
          <w:rFonts w:ascii="Times New Roman" w:hAnsi="Times New Roman"/>
        </w:rPr>
        <w:t>согласно заданному алгоритму находить в предложенном источнике (словаре, справочнике) информацию, представленную в явном виде;</w:t>
      </w:r>
    </w:p>
    <w:p w14:paraId="1DDEBECB">
      <w:pPr>
        <w:widowControl/>
        <w:spacing w:after="0" w:line="360" w:lineRule="auto"/>
        <w:ind w:firstLine="709"/>
        <w:jc w:val="both"/>
        <w:rPr>
          <w:rFonts w:ascii="Times New Roman" w:hAnsi="Times New Roman"/>
        </w:rPr>
      </w:pPr>
      <w:r>
        <w:rPr>
          <w:rFonts w:ascii="Times New Roman" w:hAnsi="Times New Roman"/>
        </w:rPr>
        <w:t>распознавать достоверную и недостоверную информацию самостоятельно или на основании предложенного учителем способа её проверки (с помощью словарей, справочников);</w:t>
      </w:r>
    </w:p>
    <w:p w14:paraId="769F975B">
      <w:pPr>
        <w:widowControl/>
        <w:spacing w:after="0" w:line="360" w:lineRule="auto"/>
        <w:ind w:firstLine="709"/>
        <w:jc w:val="both"/>
        <w:rPr>
          <w:rFonts w:ascii="Times New Roman" w:hAnsi="Times New Roman"/>
        </w:rPr>
      </w:pPr>
      <w:r>
        <w:rPr>
          <w:rFonts w:ascii="Times New Roman" w:hAnsi="Times New Roman"/>
        </w:rPr>
        <w:t>соблюдать с помощью взрослых (учителей, родителей, законных представителей) правила информационной безопасности при поиске информации в Интернете (информации о написании и произношении слова, о значении слова, о происхождении слова, о синонимах слова);</w:t>
      </w:r>
    </w:p>
    <w:p w14:paraId="2B1921A3">
      <w:pPr>
        <w:widowControl/>
        <w:spacing w:after="0" w:line="360" w:lineRule="auto"/>
        <w:ind w:firstLine="709"/>
        <w:jc w:val="both"/>
        <w:rPr>
          <w:rFonts w:ascii="Times New Roman" w:hAnsi="Times New Roman"/>
        </w:rPr>
      </w:pPr>
      <w:r>
        <w:rPr>
          <w:rFonts w:ascii="Times New Roman" w:hAnsi="Times New Roman"/>
        </w:rPr>
        <w:t>анализировать и создавать текстовую, видео-, графическую, звуковую информацию в соответствии с учебной задачей;</w:t>
      </w:r>
    </w:p>
    <w:p w14:paraId="5D93DE55">
      <w:pPr>
        <w:widowControl/>
        <w:spacing w:after="0" w:line="360" w:lineRule="auto"/>
        <w:ind w:firstLine="709"/>
        <w:jc w:val="both"/>
        <w:rPr>
          <w:rFonts w:ascii="Times New Roman" w:hAnsi="Times New Roman"/>
        </w:rPr>
      </w:pPr>
      <w:r>
        <w:rPr>
          <w:rFonts w:ascii="Times New Roman" w:hAnsi="Times New Roman"/>
        </w:rPr>
        <w:t>самостоятельно создавать схемы, таблицы для представления лингвистической информации, понимать лингвистическую информацию, зафиксированную в виде таблиц, схем.</w:t>
      </w:r>
    </w:p>
    <w:p w14:paraId="29406F2C">
      <w:pPr>
        <w:widowControl/>
        <w:spacing w:after="0" w:line="360" w:lineRule="auto"/>
        <w:ind w:firstLine="709"/>
        <w:jc w:val="both"/>
        <w:rPr>
          <w:rFonts w:ascii="Times New Roman" w:hAnsi="Times New Roman"/>
        </w:rPr>
      </w:pPr>
      <w:r>
        <w:rPr>
          <w:rFonts w:ascii="Times New Roman" w:hAnsi="Times New Roman"/>
        </w:rPr>
        <w:t>5.10.2.</w:t>
      </w:r>
      <w:r>
        <w:rPr>
          <w:rFonts w:ascii="Times New Roman" w:hAnsi="Times New Roman"/>
          <w:shd w:val="clear" w:color="auto" w:fill="FFFFFF"/>
        </w:rPr>
        <w:t>4. У</w:t>
      </w:r>
      <w:r>
        <w:rPr>
          <w:rFonts w:ascii="Times New Roman" w:hAnsi="Times New Roman"/>
        </w:rPr>
        <w:t xml:space="preserve"> обучающегося будут сформированы умения общения как часть коммуникативных универсальных учебных действий:</w:t>
      </w:r>
    </w:p>
    <w:p w14:paraId="7D9F8338">
      <w:pPr>
        <w:widowControl/>
        <w:spacing w:after="0" w:line="360" w:lineRule="auto"/>
        <w:ind w:firstLine="709"/>
        <w:jc w:val="both"/>
        <w:rPr>
          <w:rFonts w:ascii="Times New Roman" w:hAnsi="Times New Roman"/>
        </w:rPr>
      </w:pPr>
      <w:r>
        <w:rPr>
          <w:rFonts w:ascii="Times New Roman" w:hAnsi="Times New Roman"/>
        </w:rPr>
        <w:t>воспринимать и формулировать суждения, выражать эмоции в соответствии с целями и условиями общения в знакомой среде;</w:t>
      </w:r>
    </w:p>
    <w:p w14:paraId="5320CE19">
      <w:pPr>
        <w:widowControl/>
        <w:spacing w:after="0" w:line="360" w:lineRule="auto"/>
        <w:ind w:firstLine="709"/>
        <w:jc w:val="both"/>
        <w:rPr>
          <w:rFonts w:ascii="Times New Roman" w:hAnsi="Times New Roman"/>
        </w:rPr>
      </w:pPr>
      <w:r>
        <w:rPr>
          <w:rFonts w:ascii="Times New Roman" w:hAnsi="Times New Roman"/>
        </w:rPr>
        <w:t>проявлять уважительное отношение к собеседнику, соблюдать правила ведения диалога и дискуссии;</w:t>
      </w:r>
    </w:p>
    <w:p w14:paraId="4D5A22BF">
      <w:pPr>
        <w:widowControl/>
        <w:spacing w:after="0" w:line="360" w:lineRule="auto"/>
        <w:ind w:firstLine="709"/>
        <w:jc w:val="both"/>
        <w:rPr>
          <w:rFonts w:ascii="Times New Roman" w:hAnsi="Times New Roman"/>
        </w:rPr>
      </w:pPr>
      <w:r>
        <w:rPr>
          <w:rFonts w:ascii="Times New Roman" w:hAnsi="Times New Roman"/>
        </w:rPr>
        <w:t>признавать возможность существования разных точек зрения;</w:t>
      </w:r>
    </w:p>
    <w:p w14:paraId="7CBE60A3">
      <w:pPr>
        <w:widowControl/>
        <w:spacing w:after="0" w:line="360" w:lineRule="auto"/>
        <w:ind w:firstLine="709"/>
        <w:jc w:val="both"/>
        <w:rPr>
          <w:rFonts w:ascii="Times New Roman" w:hAnsi="Times New Roman"/>
        </w:rPr>
      </w:pPr>
      <w:r>
        <w:rPr>
          <w:rFonts w:ascii="Times New Roman" w:hAnsi="Times New Roman"/>
        </w:rPr>
        <w:t>корректно и аргументированно высказывать своё мнение;</w:t>
      </w:r>
    </w:p>
    <w:p w14:paraId="57347091">
      <w:pPr>
        <w:widowControl/>
        <w:spacing w:after="0" w:line="360" w:lineRule="auto"/>
        <w:ind w:firstLine="709"/>
        <w:jc w:val="both"/>
        <w:rPr>
          <w:rFonts w:ascii="Times New Roman" w:hAnsi="Times New Roman"/>
        </w:rPr>
      </w:pPr>
      <w:r>
        <w:rPr>
          <w:rFonts w:ascii="Times New Roman" w:hAnsi="Times New Roman"/>
        </w:rPr>
        <w:t>строить речевое высказывание в соответствии с поставленной задачей;</w:t>
      </w:r>
    </w:p>
    <w:p w14:paraId="067AA7B1">
      <w:pPr>
        <w:widowControl/>
        <w:spacing w:after="0" w:line="360" w:lineRule="auto"/>
        <w:ind w:firstLine="709"/>
        <w:jc w:val="both"/>
        <w:rPr>
          <w:rFonts w:ascii="Times New Roman" w:hAnsi="Times New Roman"/>
        </w:rPr>
      </w:pPr>
      <w:r>
        <w:rPr>
          <w:rFonts w:ascii="Times New Roman" w:hAnsi="Times New Roman"/>
        </w:rPr>
        <w:t>создавать устные и письменные тексты (описание, рассуждение, повествование);</w:t>
      </w:r>
    </w:p>
    <w:p w14:paraId="45394D26">
      <w:pPr>
        <w:widowControl/>
        <w:spacing w:after="0" w:line="360" w:lineRule="auto"/>
        <w:ind w:firstLine="709"/>
        <w:jc w:val="both"/>
        <w:rPr>
          <w:rFonts w:ascii="Times New Roman" w:hAnsi="Times New Roman"/>
        </w:rPr>
      </w:pPr>
      <w:r>
        <w:rPr>
          <w:rFonts w:ascii="Times New Roman" w:hAnsi="Times New Roman"/>
        </w:rPr>
        <w:t>подготавливать небольшие публичные выступления;</w:t>
      </w:r>
    </w:p>
    <w:p w14:paraId="34ECE0E2">
      <w:pPr>
        <w:widowControl/>
        <w:spacing w:after="0" w:line="360" w:lineRule="auto"/>
        <w:ind w:firstLine="709"/>
        <w:jc w:val="both"/>
        <w:rPr>
          <w:rFonts w:ascii="Times New Roman" w:hAnsi="Times New Roman"/>
        </w:rPr>
      </w:pPr>
      <w:r>
        <w:rPr>
          <w:rFonts w:ascii="Times New Roman" w:hAnsi="Times New Roman"/>
        </w:rPr>
        <w:t>подбирать иллюстративный материал (рисунки, фото, плакаты) к тексту выступления.</w:t>
      </w:r>
    </w:p>
    <w:p w14:paraId="7A41A58D">
      <w:pPr>
        <w:widowControl/>
        <w:spacing w:after="0" w:line="360" w:lineRule="auto"/>
        <w:ind w:firstLine="709"/>
        <w:jc w:val="both"/>
        <w:rPr>
          <w:rFonts w:ascii="Times New Roman" w:hAnsi="Times New Roman"/>
        </w:rPr>
      </w:pPr>
      <w:r>
        <w:rPr>
          <w:rFonts w:ascii="Times New Roman" w:hAnsi="Times New Roman"/>
        </w:rPr>
        <w:t>5.10.2.5. У обучающегося будут сформированы умения самоорганизации как части регулятивных универсальных учебных действий:</w:t>
      </w:r>
    </w:p>
    <w:p w14:paraId="0A73CCB6">
      <w:pPr>
        <w:widowControl/>
        <w:spacing w:after="0" w:line="360" w:lineRule="auto"/>
        <w:ind w:firstLine="709"/>
        <w:jc w:val="both"/>
        <w:rPr>
          <w:rFonts w:ascii="Times New Roman" w:hAnsi="Times New Roman"/>
        </w:rPr>
      </w:pPr>
      <w:r>
        <w:rPr>
          <w:rFonts w:ascii="Times New Roman" w:hAnsi="Times New Roman"/>
        </w:rPr>
        <w:t>планировать действия по решению учебной задачи для получения результата;</w:t>
      </w:r>
    </w:p>
    <w:p w14:paraId="7761FD52">
      <w:pPr>
        <w:widowControl/>
        <w:spacing w:after="0" w:line="360" w:lineRule="auto"/>
        <w:ind w:firstLine="709"/>
        <w:jc w:val="both"/>
        <w:rPr>
          <w:rFonts w:ascii="Times New Roman" w:hAnsi="Times New Roman"/>
        </w:rPr>
      </w:pPr>
      <w:r>
        <w:rPr>
          <w:rFonts w:ascii="Times New Roman" w:hAnsi="Times New Roman"/>
        </w:rPr>
        <w:t>выстраивать последовательность выбранных действий.</w:t>
      </w:r>
    </w:p>
    <w:p w14:paraId="307422B1">
      <w:pPr>
        <w:widowControl/>
        <w:spacing w:after="0" w:line="360" w:lineRule="auto"/>
        <w:ind w:firstLine="709"/>
        <w:jc w:val="both"/>
        <w:rPr>
          <w:rFonts w:ascii="Times New Roman" w:hAnsi="Times New Roman"/>
        </w:rPr>
      </w:pPr>
      <w:r>
        <w:rPr>
          <w:rFonts w:ascii="Times New Roman" w:hAnsi="Times New Roman"/>
        </w:rPr>
        <w:t>5.10.2.6</w:t>
      </w:r>
      <w:r>
        <w:rPr>
          <w:rFonts w:ascii="Times New Roman" w:hAnsi="Times New Roman"/>
          <w:shd w:val="clear" w:color="auto" w:fill="FFFFFF"/>
        </w:rPr>
        <w:t>. </w:t>
      </w:r>
      <w:r>
        <w:rPr>
          <w:rFonts w:ascii="Times New Roman" w:hAnsi="Times New Roman"/>
        </w:rPr>
        <w:t>У обучающегося будут сформированы умения самоконтроля как части регулятивных универсальных учебных действий:</w:t>
      </w:r>
    </w:p>
    <w:p w14:paraId="27F51867">
      <w:pPr>
        <w:widowControl/>
        <w:spacing w:after="0" w:line="360" w:lineRule="auto"/>
        <w:ind w:firstLine="709"/>
        <w:jc w:val="both"/>
        <w:rPr>
          <w:rFonts w:ascii="Times New Roman" w:hAnsi="Times New Roman"/>
        </w:rPr>
      </w:pPr>
      <w:r>
        <w:rPr>
          <w:rFonts w:ascii="Times New Roman" w:hAnsi="Times New Roman"/>
        </w:rPr>
        <w:t>устанавливать причины успеха (неудач) учебной деятельности;</w:t>
      </w:r>
    </w:p>
    <w:p w14:paraId="094A17AD">
      <w:pPr>
        <w:widowControl/>
        <w:spacing w:after="0" w:line="360" w:lineRule="auto"/>
        <w:ind w:firstLine="709"/>
        <w:jc w:val="both"/>
        <w:rPr>
          <w:rFonts w:ascii="Times New Roman" w:hAnsi="Times New Roman"/>
        </w:rPr>
      </w:pPr>
      <w:r>
        <w:rPr>
          <w:rFonts w:ascii="Times New Roman" w:hAnsi="Times New Roman"/>
        </w:rPr>
        <w:t>корректировать свои учебные действия для преодоления речевых и орфографических ошибок.</w:t>
      </w:r>
    </w:p>
    <w:p w14:paraId="10735081">
      <w:pPr>
        <w:widowControl/>
        <w:spacing w:after="0" w:line="360" w:lineRule="auto"/>
        <w:ind w:firstLine="709"/>
        <w:jc w:val="both"/>
        <w:rPr>
          <w:rFonts w:ascii="Times New Roman" w:hAnsi="Times New Roman"/>
        </w:rPr>
      </w:pPr>
      <w:r>
        <w:rPr>
          <w:rFonts w:ascii="Times New Roman" w:hAnsi="Times New Roman"/>
        </w:rPr>
        <w:t>5.10.2.7</w:t>
      </w:r>
      <w:r>
        <w:rPr>
          <w:rFonts w:ascii="Times New Roman" w:hAnsi="Times New Roman"/>
          <w:shd w:val="clear" w:color="auto" w:fill="FFFFFF"/>
        </w:rPr>
        <w:t>. </w:t>
      </w:r>
      <w:r>
        <w:rPr>
          <w:rFonts w:ascii="Times New Roman" w:hAnsi="Times New Roman"/>
        </w:rPr>
        <w:t>У обучающегося будут сформированы умения совместной деятельности:</w:t>
      </w:r>
    </w:p>
    <w:p w14:paraId="56E9EBC7">
      <w:pPr>
        <w:widowControl/>
        <w:spacing w:after="0" w:line="360" w:lineRule="auto"/>
        <w:ind w:firstLine="709"/>
        <w:jc w:val="both"/>
        <w:rPr>
          <w:rFonts w:ascii="Times New Roman" w:hAnsi="Times New Roman"/>
        </w:rPr>
      </w:pPr>
      <w:r>
        <w:rPr>
          <w:rFonts w:ascii="Times New Roman" w:hAnsi="Times New Roman"/>
        </w:rPr>
        <w:t>формулировать краткосрочные и долгосрочные цели (индивидуальные с учетом участия в коллективных задачах) в стандартной (типовой) ситуации на основе предложенного формата планирования, распределения промежуточных шагов и сроков;</w:t>
      </w:r>
    </w:p>
    <w:p w14:paraId="6F3711C9">
      <w:pPr>
        <w:widowControl/>
        <w:spacing w:after="0" w:line="360" w:lineRule="auto"/>
        <w:ind w:firstLine="709"/>
        <w:jc w:val="both"/>
        <w:rPr>
          <w:rFonts w:ascii="Times New Roman" w:hAnsi="Times New Roman"/>
        </w:rPr>
      </w:pPr>
      <w:r>
        <w:rPr>
          <w:rFonts w:ascii="Times New Roman" w:hAnsi="Times New Roman"/>
        </w:rPr>
        <w:t>принимать цель совместной деятельности, коллективно выстраивать действия по её достижению (распределять роли, договариваться, обсуждать процесс и результат совместной работы);</w:t>
      </w:r>
    </w:p>
    <w:p w14:paraId="6B424C49">
      <w:pPr>
        <w:widowControl/>
        <w:spacing w:after="0" w:line="360" w:lineRule="auto"/>
        <w:ind w:firstLine="709"/>
        <w:jc w:val="both"/>
        <w:rPr>
          <w:rFonts w:ascii="Times New Roman" w:hAnsi="Times New Roman"/>
        </w:rPr>
      </w:pPr>
      <w:r>
        <w:rPr>
          <w:rFonts w:ascii="Times New Roman" w:hAnsi="Times New Roman"/>
        </w:rPr>
        <w:t>проявлять готовность руководить, выполнять поручения, подчиняться;</w:t>
      </w:r>
    </w:p>
    <w:p w14:paraId="2011C396">
      <w:pPr>
        <w:widowControl/>
        <w:spacing w:after="0" w:line="360" w:lineRule="auto"/>
        <w:ind w:firstLine="709"/>
        <w:jc w:val="both"/>
        <w:rPr>
          <w:rFonts w:ascii="Times New Roman" w:hAnsi="Times New Roman"/>
        </w:rPr>
      </w:pPr>
      <w:r>
        <w:rPr>
          <w:rFonts w:ascii="Times New Roman" w:hAnsi="Times New Roman"/>
        </w:rPr>
        <w:t>ответственно выполнять свою часть работы;</w:t>
      </w:r>
    </w:p>
    <w:p w14:paraId="787A510A">
      <w:pPr>
        <w:widowControl/>
        <w:spacing w:after="0" w:line="360" w:lineRule="auto"/>
        <w:ind w:firstLine="709"/>
        <w:jc w:val="both"/>
        <w:rPr>
          <w:rFonts w:ascii="Times New Roman" w:hAnsi="Times New Roman"/>
        </w:rPr>
      </w:pPr>
      <w:r>
        <w:rPr>
          <w:rFonts w:ascii="Times New Roman" w:hAnsi="Times New Roman"/>
        </w:rPr>
        <w:t>оценивать свой вклад в общий результат;</w:t>
      </w:r>
    </w:p>
    <w:p w14:paraId="224B1014">
      <w:pPr>
        <w:widowControl/>
        <w:spacing w:after="0" w:line="360" w:lineRule="auto"/>
        <w:ind w:firstLine="709"/>
        <w:jc w:val="both"/>
        <w:rPr>
          <w:rFonts w:ascii="Times New Roman" w:hAnsi="Times New Roman"/>
        </w:rPr>
      </w:pPr>
      <w:r>
        <w:rPr>
          <w:rFonts w:ascii="Times New Roman" w:hAnsi="Times New Roman"/>
        </w:rPr>
        <w:t xml:space="preserve">выполнять совместные проектные задания </w:t>
      </w:r>
      <w:r>
        <w:rPr>
          <w:rFonts w:ascii="Times New Roman" w:hAnsi="Times New Roman" w:eastAsia="@Arial Unicode MS"/>
        </w:rPr>
        <w:t xml:space="preserve">с использованием </w:t>
      </w:r>
      <w:r>
        <w:rPr>
          <w:rFonts w:ascii="Times New Roman" w:hAnsi="Times New Roman"/>
        </w:rPr>
        <w:t>предложенного образца.</w:t>
      </w:r>
    </w:p>
    <w:p w14:paraId="636F9322">
      <w:pPr>
        <w:widowControl/>
        <w:spacing w:after="0" w:line="360" w:lineRule="auto"/>
        <w:ind w:firstLine="709"/>
        <w:jc w:val="both"/>
        <w:rPr>
          <w:rFonts w:ascii="Times New Roman" w:hAnsi="Times New Roman"/>
        </w:rPr>
      </w:pPr>
      <w:r>
        <w:rPr>
          <w:rFonts w:ascii="Times New Roman" w:hAnsi="Times New Roman"/>
        </w:rPr>
        <w:t>5.10.3</w:t>
      </w:r>
      <w:r>
        <w:rPr>
          <w:rFonts w:ascii="Times New Roman" w:hAnsi="Times New Roman"/>
          <w:shd w:val="clear" w:color="auto" w:fill="FFFFFF"/>
        </w:rPr>
        <w:t>. П</w:t>
      </w:r>
      <w:r>
        <w:rPr>
          <w:rFonts w:ascii="Times New Roman" w:hAnsi="Times New Roman"/>
        </w:rPr>
        <w:t>редметные результаты изучения родного (чувашского) языка. К концу обучения в 1 классе обучающийся научится:</w:t>
      </w:r>
    </w:p>
    <w:p w14:paraId="369D2BB6">
      <w:pPr>
        <w:widowControl/>
        <w:tabs>
          <w:tab w:val="left" w:pos="1134"/>
        </w:tabs>
        <w:spacing w:after="0" w:line="360" w:lineRule="auto"/>
        <w:ind w:firstLine="709"/>
        <w:jc w:val="both"/>
        <w:rPr>
          <w:rFonts w:ascii="Times New Roman" w:hAnsi="Times New Roman"/>
        </w:rPr>
      </w:pPr>
      <w:r>
        <w:rPr>
          <w:rFonts w:ascii="Times New Roman" w:hAnsi="Times New Roman"/>
        </w:rPr>
        <w:t>понимать на слух речь учителя и других обучающихся при непосредственном общении, вербально (строить диалог или монолог) и невербально (при помощи жестов и действий) реагировать на услышанное;</w:t>
      </w:r>
    </w:p>
    <w:p w14:paraId="75A6B2BD">
      <w:pPr>
        <w:widowControl/>
        <w:tabs>
          <w:tab w:val="left" w:pos="1134"/>
        </w:tabs>
        <w:spacing w:after="0" w:line="360" w:lineRule="auto"/>
        <w:ind w:firstLine="709"/>
        <w:jc w:val="both"/>
        <w:rPr>
          <w:rFonts w:ascii="Times New Roman" w:hAnsi="Times New Roman"/>
        </w:rPr>
      </w:pPr>
      <w:r>
        <w:rPr>
          <w:rFonts w:ascii="Times New Roman" w:hAnsi="Times New Roman"/>
        </w:rPr>
        <w:t>воспринимать на слух аудиотекст и понимать основное содержание небольших сообщений, построенных на изученном языковом материале;</w:t>
      </w:r>
    </w:p>
    <w:p w14:paraId="71CCDA22">
      <w:pPr>
        <w:widowControl/>
        <w:tabs>
          <w:tab w:val="left" w:pos="1134"/>
        </w:tabs>
        <w:spacing w:after="0" w:line="360" w:lineRule="auto"/>
        <w:ind w:firstLine="709"/>
        <w:jc w:val="both"/>
        <w:rPr>
          <w:rFonts w:ascii="Times New Roman" w:hAnsi="Times New Roman"/>
        </w:rPr>
      </w:pPr>
      <w:r>
        <w:rPr>
          <w:rFonts w:ascii="Times New Roman" w:hAnsi="Times New Roman"/>
        </w:rPr>
        <w:t>вести элементарный этикетный диалог (приветствовать, знакомиться со сверстниками, взрослыми), вести диалог-расспрос (задавать простые вопросы: «</w:t>
      </w:r>
      <w:r>
        <w:rPr>
          <w:rFonts w:ascii="Times New Roman" w:hAnsi="Times New Roman"/>
          <w:iCs/>
        </w:rPr>
        <w:t>кам?», «камсем?» («кто?»), «мĕн?», «мĕнсем?» («что?»);</w:t>
      </w:r>
    </w:p>
    <w:p w14:paraId="554F235B">
      <w:pPr>
        <w:widowControl/>
        <w:tabs>
          <w:tab w:val="left" w:pos="1134"/>
        </w:tabs>
        <w:spacing w:after="0" w:line="360" w:lineRule="auto"/>
        <w:ind w:firstLine="709"/>
        <w:jc w:val="both"/>
        <w:rPr>
          <w:rFonts w:ascii="Times New Roman" w:hAnsi="Times New Roman"/>
        </w:rPr>
      </w:pPr>
      <w:r>
        <w:rPr>
          <w:rFonts w:ascii="Times New Roman" w:hAnsi="Times New Roman"/>
        </w:rPr>
        <w:t xml:space="preserve">различать понятия </w:t>
      </w:r>
      <w:r>
        <w:rPr>
          <w:rFonts w:ascii="Times New Roman" w:hAnsi="Times New Roman"/>
          <w:iCs/>
        </w:rPr>
        <w:t xml:space="preserve">звук и буква, </w:t>
      </w:r>
      <w:r>
        <w:rPr>
          <w:rFonts w:ascii="Times New Roman" w:hAnsi="Times New Roman"/>
        </w:rPr>
        <w:t>соотносить звуковой образ чувашского слова с его графическим оформлением, различать на слух и правильно произносить все звуки чувашского языка, соблюдая орфоэпические нормы;</w:t>
      </w:r>
    </w:p>
    <w:p w14:paraId="6BE1CCBA">
      <w:pPr>
        <w:widowControl/>
        <w:tabs>
          <w:tab w:val="left" w:pos="1134"/>
        </w:tabs>
        <w:spacing w:after="0" w:line="360" w:lineRule="auto"/>
        <w:ind w:firstLine="709"/>
        <w:jc w:val="both"/>
        <w:rPr>
          <w:rFonts w:ascii="Times New Roman" w:hAnsi="Times New Roman"/>
        </w:rPr>
      </w:pPr>
      <w:r>
        <w:rPr>
          <w:rFonts w:ascii="Times New Roman" w:hAnsi="Times New Roman"/>
        </w:rPr>
        <w:t>характеризовать звуки чувашского языка (согласные твердые и мягкие, согласные сонорные и шумные), находить в тексте слова с заданным звуком;</w:t>
      </w:r>
    </w:p>
    <w:p w14:paraId="7EA6987E">
      <w:pPr>
        <w:widowControl/>
        <w:tabs>
          <w:tab w:val="left" w:pos="1134"/>
        </w:tabs>
        <w:spacing w:after="0" w:line="360" w:lineRule="auto"/>
        <w:ind w:firstLine="709"/>
        <w:jc w:val="both"/>
        <w:rPr>
          <w:rFonts w:ascii="Times New Roman" w:hAnsi="Times New Roman"/>
        </w:rPr>
      </w:pPr>
      <w:r>
        <w:rPr>
          <w:rFonts w:ascii="Times New Roman" w:hAnsi="Times New Roman"/>
          <w:lang w:val="uk-UA"/>
        </w:rPr>
        <w:t>находить з</w:t>
      </w:r>
      <w:r>
        <w:rPr>
          <w:rFonts w:ascii="Times New Roman" w:hAnsi="Times New Roman"/>
        </w:rPr>
        <w:t>аимствованные из русского языка согласные звуки, устанавливать количество и последовательность звуков в слове;</w:t>
      </w:r>
    </w:p>
    <w:p w14:paraId="1D068EBE">
      <w:pPr>
        <w:widowControl/>
        <w:tabs>
          <w:tab w:val="left" w:pos="1134"/>
        </w:tabs>
        <w:spacing w:after="0" w:line="360" w:lineRule="auto"/>
        <w:ind w:firstLine="709"/>
        <w:jc w:val="both"/>
        <w:rPr>
          <w:rFonts w:ascii="Times New Roman" w:hAnsi="Times New Roman"/>
        </w:rPr>
      </w:pPr>
      <w:r>
        <w:rPr>
          <w:rFonts w:ascii="Times New Roman" w:hAnsi="Times New Roman"/>
        </w:rPr>
        <w:t xml:space="preserve">читать вслух </w:t>
      </w:r>
      <w:r>
        <w:rPr>
          <w:rFonts w:ascii="Times New Roman" w:hAnsi="Times New Roman" w:eastAsia="@Arial Unicode MS"/>
        </w:rPr>
        <w:t>изученные слова, словосочетания, предложения, небольшие учебные тексты</w:t>
      </w:r>
      <w:r>
        <w:rPr>
          <w:rFonts w:ascii="Times New Roman" w:hAnsi="Times New Roman"/>
        </w:rPr>
        <w:t>, построенные на изученном языковом материале с соблюдением правил произношения и интонирования;</w:t>
      </w:r>
    </w:p>
    <w:p w14:paraId="12933C50">
      <w:pPr>
        <w:widowControl/>
        <w:tabs>
          <w:tab w:val="left" w:pos="1134"/>
        </w:tabs>
        <w:spacing w:after="0" w:line="360" w:lineRule="auto"/>
        <w:ind w:firstLine="709"/>
        <w:jc w:val="both"/>
        <w:rPr>
          <w:rFonts w:ascii="Times New Roman" w:hAnsi="Times New Roman" w:eastAsia="@Arial Unicode MS"/>
        </w:rPr>
      </w:pPr>
      <w:r>
        <w:rPr>
          <w:rFonts w:ascii="Times New Roman" w:hAnsi="Times New Roman" w:eastAsia="@Arial Unicode MS"/>
        </w:rPr>
        <w:t>владеть правилами позиционного чтения (разное произношение одной и той же буквы в разных буквосочетаниях);</w:t>
      </w:r>
    </w:p>
    <w:p w14:paraId="4D439F5E">
      <w:pPr>
        <w:widowControl/>
        <w:tabs>
          <w:tab w:val="left" w:pos="1134"/>
        </w:tabs>
        <w:spacing w:after="0" w:line="360" w:lineRule="auto"/>
        <w:ind w:firstLine="709"/>
        <w:jc w:val="both"/>
        <w:rPr>
          <w:rFonts w:ascii="Times New Roman" w:hAnsi="Times New Roman"/>
        </w:rPr>
      </w:pPr>
      <w:r>
        <w:rPr>
          <w:rFonts w:ascii="Times New Roman" w:hAnsi="Times New Roman"/>
        </w:rPr>
        <w:t>воспроизводить графически и каллиграфически корректно буквы Ă, ă, Ĕ, ĕ, Ӳ, ӳ, Ç, ç;</w:t>
      </w:r>
    </w:p>
    <w:p w14:paraId="27B221E2">
      <w:pPr>
        <w:widowControl/>
        <w:tabs>
          <w:tab w:val="left" w:pos="1134"/>
        </w:tabs>
        <w:spacing w:after="0" w:line="360" w:lineRule="auto"/>
        <w:ind w:firstLine="709"/>
        <w:jc w:val="both"/>
        <w:rPr>
          <w:rFonts w:ascii="Times New Roman" w:hAnsi="Times New Roman" w:eastAsia="@Arial Unicode MS"/>
        </w:rPr>
      </w:pPr>
      <w:r>
        <w:rPr>
          <w:rFonts w:ascii="Times New Roman" w:hAnsi="Times New Roman"/>
        </w:rPr>
        <w:t xml:space="preserve">списывать слова, предложения, в том числе используя </w:t>
      </w:r>
      <w:r>
        <w:rPr>
          <w:rFonts w:ascii="Times New Roman" w:hAnsi="Times New Roman" w:eastAsia="@Arial Unicode MS"/>
        </w:rPr>
        <w:t>прописную букву в начале предложения и в именах собственных;</w:t>
      </w:r>
    </w:p>
    <w:p w14:paraId="6EB96652">
      <w:pPr>
        <w:widowControl/>
        <w:tabs>
          <w:tab w:val="left" w:pos="1134"/>
        </w:tabs>
        <w:spacing w:after="0" w:line="360" w:lineRule="auto"/>
        <w:ind w:firstLine="709"/>
        <w:jc w:val="both"/>
        <w:rPr>
          <w:rFonts w:ascii="Times New Roman" w:hAnsi="Times New Roman"/>
        </w:rPr>
      </w:pPr>
      <w:r>
        <w:rPr>
          <w:rFonts w:ascii="Times New Roman" w:hAnsi="Times New Roman"/>
        </w:rPr>
        <w:t>вставлять в изученные слова пропущенные буквы, составлять из данных букв слово, составлять из данных слов предложение, восстанавливать слова, предложения;</w:t>
      </w:r>
    </w:p>
    <w:p w14:paraId="32DB29C8">
      <w:pPr>
        <w:widowControl/>
        <w:tabs>
          <w:tab w:val="left" w:pos="1134"/>
        </w:tabs>
        <w:spacing w:after="0" w:line="360" w:lineRule="auto"/>
        <w:ind w:firstLine="709"/>
        <w:jc w:val="both"/>
        <w:rPr>
          <w:rFonts w:ascii="Times New Roman" w:hAnsi="Times New Roman" w:eastAsia="@Arial Unicode MS"/>
        </w:rPr>
      </w:pPr>
      <w:r>
        <w:rPr>
          <w:rFonts w:ascii="Times New Roman" w:hAnsi="Times New Roman" w:eastAsia="@Arial Unicode MS"/>
        </w:rPr>
        <w:t>обозначать при письме полузвонкие согласные звуки;</w:t>
      </w:r>
    </w:p>
    <w:p w14:paraId="2635FC0F">
      <w:pPr>
        <w:widowControl/>
        <w:tabs>
          <w:tab w:val="left" w:pos="1134"/>
        </w:tabs>
        <w:spacing w:after="0" w:line="360" w:lineRule="auto"/>
        <w:ind w:firstLine="709"/>
        <w:jc w:val="both"/>
        <w:rPr>
          <w:rFonts w:ascii="Times New Roman" w:hAnsi="Times New Roman"/>
        </w:rPr>
      </w:pPr>
      <w:r>
        <w:rPr>
          <w:rFonts w:ascii="Times New Roman" w:hAnsi="Times New Roman"/>
        </w:rPr>
        <w:t>употреблять знаки препинания в конце предложения (точка, вопросительный и восклицательный знаки);</w:t>
      </w:r>
    </w:p>
    <w:p w14:paraId="1868593C">
      <w:pPr>
        <w:widowControl/>
        <w:tabs>
          <w:tab w:val="left" w:pos="1134"/>
        </w:tabs>
        <w:spacing w:after="0" w:line="360" w:lineRule="auto"/>
        <w:ind w:firstLine="709"/>
        <w:jc w:val="both"/>
        <w:rPr>
          <w:rFonts w:ascii="Times New Roman" w:hAnsi="Times New Roman"/>
        </w:rPr>
      </w:pPr>
      <w:r>
        <w:rPr>
          <w:rFonts w:ascii="Times New Roman" w:hAnsi="Times New Roman"/>
        </w:rPr>
        <w:t>различать грамматические формы одного и того же слова;</w:t>
      </w:r>
    </w:p>
    <w:p w14:paraId="26062AA8">
      <w:pPr>
        <w:widowControl/>
        <w:tabs>
          <w:tab w:val="left" w:pos="1134"/>
        </w:tabs>
        <w:spacing w:after="0" w:line="360" w:lineRule="auto"/>
        <w:ind w:firstLine="709"/>
        <w:jc w:val="both"/>
        <w:rPr>
          <w:rFonts w:ascii="Times New Roman" w:hAnsi="Times New Roman"/>
        </w:rPr>
      </w:pPr>
      <w:r>
        <w:rPr>
          <w:rFonts w:ascii="Times New Roman" w:hAnsi="Times New Roman"/>
        </w:rPr>
        <w:t>узнавать в письменном и устном текстах изученные слова и словосочетания, воспроизводить и употреблять их в речи;</w:t>
      </w:r>
    </w:p>
    <w:p w14:paraId="493632B7">
      <w:pPr>
        <w:widowControl/>
        <w:tabs>
          <w:tab w:val="left" w:pos="1134"/>
        </w:tabs>
        <w:spacing w:after="0" w:line="360" w:lineRule="auto"/>
        <w:ind w:firstLine="709"/>
        <w:jc w:val="both"/>
        <w:rPr>
          <w:rFonts w:ascii="Times New Roman" w:hAnsi="Times New Roman"/>
        </w:rPr>
      </w:pPr>
      <w:r>
        <w:rPr>
          <w:rFonts w:ascii="Times New Roman" w:hAnsi="Times New Roman"/>
        </w:rPr>
        <w:t>определять значение слова по контексту или с помощью словаря в учебном пособии;</w:t>
      </w:r>
    </w:p>
    <w:p w14:paraId="73473198">
      <w:pPr>
        <w:widowControl/>
        <w:tabs>
          <w:tab w:val="left" w:pos="1134"/>
        </w:tabs>
        <w:spacing w:after="0" w:line="360" w:lineRule="auto"/>
        <w:ind w:firstLine="709"/>
        <w:jc w:val="both"/>
        <w:rPr>
          <w:rFonts w:ascii="Times New Roman" w:hAnsi="Times New Roman"/>
          <w:i/>
        </w:rPr>
      </w:pPr>
      <w:r>
        <w:rPr>
          <w:rFonts w:ascii="Times New Roman" w:hAnsi="Times New Roman"/>
        </w:rPr>
        <w:t>пользоваться чувашским алфавитом в работе со словарем учебного пособия;</w:t>
      </w:r>
    </w:p>
    <w:p w14:paraId="78FC96C0">
      <w:pPr>
        <w:widowControl/>
        <w:tabs>
          <w:tab w:val="left" w:pos="1134"/>
        </w:tabs>
        <w:spacing w:after="0" w:line="360" w:lineRule="auto"/>
        <w:ind w:firstLine="709"/>
        <w:jc w:val="both"/>
        <w:rPr>
          <w:rFonts w:ascii="Times New Roman" w:hAnsi="Times New Roman"/>
        </w:rPr>
      </w:pPr>
      <w:r>
        <w:rPr>
          <w:rFonts w:ascii="Times New Roman" w:hAnsi="Times New Roman"/>
        </w:rPr>
        <w:t>различать имена существительные, отвечающие на вопросы «кам?», «камсем?» («кто?</w:t>
      </w:r>
      <w:bookmarkStart w:id="10" w:name="_Hlk120273482"/>
      <w:r>
        <w:rPr>
          <w:rFonts w:ascii="Times New Roman" w:hAnsi="Times New Roman"/>
        </w:rPr>
        <w:t>»</w:t>
      </w:r>
      <w:bookmarkEnd w:id="10"/>
      <w:r>
        <w:rPr>
          <w:rFonts w:ascii="Times New Roman" w:hAnsi="Times New Roman"/>
        </w:rPr>
        <w:t>), «мĕн?», «мĕнсем?» («что?»), глаголы, отвечающие на вопросы «мĕн т</w:t>
      </w:r>
      <w:r>
        <w:rPr>
          <w:rFonts w:ascii="Times New Roman" w:hAnsi="Times New Roman" w:eastAsia="MS Mincho"/>
        </w:rPr>
        <w:t>ă</w:t>
      </w:r>
      <w:r>
        <w:rPr>
          <w:rFonts w:ascii="Times New Roman" w:hAnsi="Times New Roman"/>
        </w:rPr>
        <w:t>вать?» («что делает?»), «мĕн т</w:t>
      </w:r>
      <w:r>
        <w:rPr>
          <w:rFonts w:ascii="Times New Roman" w:hAnsi="Times New Roman" w:eastAsia="MS Mincho"/>
        </w:rPr>
        <w:t>ă</w:t>
      </w:r>
      <w:r>
        <w:rPr>
          <w:rFonts w:ascii="Times New Roman" w:hAnsi="Times New Roman"/>
        </w:rPr>
        <w:t>ваççĕ?» («что делают?»), «мĕн тăватăп?» («что делаю?»), «мĕн т</w:t>
      </w:r>
      <w:r>
        <w:rPr>
          <w:rFonts w:ascii="Times New Roman" w:hAnsi="Times New Roman" w:eastAsia="MS Mincho"/>
        </w:rPr>
        <w:t>ă</w:t>
      </w:r>
      <w:r>
        <w:rPr>
          <w:rFonts w:ascii="Times New Roman" w:hAnsi="Times New Roman"/>
        </w:rPr>
        <w:t>ватп</w:t>
      </w:r>
      <w:r>
        <w:rPr>
          <w:rFonts w:ascii="Times New Roman" w:hAnsi="Times New Roman" w:eastAsia="MS Mincho"/>
        </w:rPr>
        <w:t>ă</w:t>
      </w:r>
      <w:r>
        <w:rPr>
          <w:rFonts w:ascii="Times New Roman" w:hAnsi="Times New Roman"/>
        </w:rPr>
        <w:t>р?» («что делаем?»), «мĕн тăватăн?» («что делаешь?»), «мĕн т</w:t>
      </w:r>
      <w:r>
        <w:rPr>
          <w:rFonts w:ascii="Times New Roman" w:hAnsi="Times New Roman" w:eastAsia="MS Mincho"/>
        </w:rPr>
        <w:t>ă</w:t>
      </w:r>
      <w:r>
        <w:rPr>
          <w:rFonts w:ascii="Times New Roman" w:hAnsi="Times New Roman"/>
        </w:rPr>
        <w:t>ват</w:t>
      </w:r>
      <w:r>
        <w:rPr>
          <w:rFonts w:ascii="Times New Roman" w:hAnsi="Times New Roman" w:eastAsia="MS Mincho"/>
        </w:rPr>
        <w:t>ă</w:t>
      </w:r>
      <w:r>
        <w:rPr>
          <w:rFonts w:ascii="Times New Roman" w:hAnsi="Times New Roman"/>
        </w:rPr>
        <w:t>р?» («что делаете?»), имена прилагательные, отвечающие на вопросы «мĕнле?» («какой?», «какая?», «какое?», «какие?»), «мĕн тĕслĕ?» («какого цвета?»), имена числительные, отвечающие на вопросы «миçе?» («сколько?»), «миçемĕш?» («который?»);</w:t>
      </w:r>
    </w:p>
    <w:p w14:paraId="5E92CA39">
      <w:pPr>
        <w:widowControl/>
        <w:tabs>
          <w:tab w:val="left" w:pos="1134"/>
        </w:tabs>
        <w:spacing w:after="0" w:line="360" w:lineRule="auto"/>
        <w:ind w:firstLine="709"/>
        <w:jc w:val="both"/>
        <w:rPr>
          <w:rFonts w:ascii="Times New Roman" w:hAnsi="Times New Roman"/>
        </w:rPr>
      </w:pPr>
      <w:r>
        <w:rPr>
          <w:rFonts w:ascii="Times New Roman" w:hAnsi="Times New Roman"/>
        </w:rPr>
        <w:t xml:space="preserve">различать </w:t>
      </w:r>
      <w:r>
        <w:rPr>
          <w:rFonts w:ascii="Times New Roman" w:hAnsi="Times New Roman"/>
          <w:bCs/>
        </w:rPr>
        <w:t xml:space="preserve">полные и краткие формы количественных числительных («иккĕ» («два»), «икĕ кушак» («две кошки»), </w:t>
      </w:r>
      <w:r>
        <w:rPr>
          <w:rFonts w:ascii="Times New Roman" w:hAnsi="Times New Roman"/>
        </w:rPr>
        <w:t>личные местоимения «эпĕ» («я»), «эсĕ» («ты»), «вăл» («он», «она», «оно»), «эпир» («мы»), «эсир» («вы»), «вĕсем» («они»), личные местоимения «эпĕ», «эсĕ» в форме притяжательного падежа («</w:t>
      </w:r>
      <w:r>
        <w:rPr>
          <w:rFonts w:ascii="Times New Roman" w:hAnsi="Times New Roman" w:eastAsia="@Arial Unicode MS"/>
        </w:rPr>
        <w:t>манăн» («мой», «моя», «мое»), «санăн» («твой», «твоя», «твое»), указательное местоимение «ку» («этот», «эта», «это»), наречия, отвечающие на вопрос «хăçан» («когда?»),</w:t>
      </w:r>
      <w:r>
        <w:rPr>
          <w:rFonts w:ascii="Times New Roman" w:hAnsi="Times New Roman"/>
          <w:bCs/>
        </w:rPr>
        <w:t xml:space="preserve"> падежные формы имен существительных, употребляющиеся в роли послелогов, «айĕнче» («под»), «хушшинче» («между»), «çинче» («на»), «çинчен» («с», «со», «про»), «умĕнче» («перед», «у»)</w:t>
      </w:r>
      <w:r>
        <w:rPr>
          <w:rFonts w:ascii="Times New Roman" w:hAnsi="Times New Roman" w:eastAsia="@Arial Unicode MS"/>
        </w:rPr>
        <w:t>;</w:t>
      </w:r>
    </w:p>
    <w:p w14:paraId="33DA8721">
      <w:pPr>
        <w:widowControl/>
        <w:tabs>
          <w:tab w:val="left" w:pos="1134"/>
        </w:tabs>
        <w:spacing w:after="0" w:line="360" w:lineRule="auto"/>
        <w:ind w:firstLine="709"/>
        <w:jc w:val="both"/>
        <w:rPr>
          <w:rFonts w:ascii="Times New Roman" w:hAnsi="Times New Roman"/>
        </w:rPr>
      </w:pPr>
      <w:r>
        <w:rPr>
          <w:rFonts w:ascii="Times New Roman" w:hAnsi="Times New Roman"/>
        </w:rPr>
        <w:t>различать слово, словосочетание, предложение, определять границы предложений.</w:t>
      </w:r>
    </w:p>
    <w:p w14:paraId="20586215">
      <w:pPr>
        <w:widowControl/>
        <w:spacing w:after="0" w:line="360" w:lineRule="auto"/>
        <w:ind w:firstLine="709"/>
        <w:jc w:val="both"/>
        <w:rPr>
          <w:rFonts w:ascii="Times New Roman" w:hAnsi="Times New Roman"/>
        </w:rPr>
      </w:pPr>
      <w:r>
        <w:rPr>
          <w:rFonts w:ascii="Times New Roman" w:hAnsi="Times New Roman"/>
        </w:rPr>
        <w:t>5.10.4. Предметные результаты изучения родного (чувашского) языка. К концу обучения во 2 классе обучающийся научится:</w:t>
      </w:r>
    </w:p>
    <w:p w14:paraId="00147D1D">
      <w:pPr>
        <w:widowControl/>
        <w:tabs>
          <w:tab w:val="left" w:pos="1134"/>
        </w:tabs>
        <w:overflowPunct w:val="0"/>
        <w:autoSpaceDE w:val="0"/>
        <w:autoSpaceDN w:val="0"/>
        <w:adjustRightInd w:val="0"/>
        <w:spacing w:after="0" w:line="360" w:lineRule="auto"/>
        <w:ind w:firstLine="709"/>
        <w:jc w:val="both"/>
        <w:textAlignment w:val="baseline"/>
        <w:rPr>
          <w:rFonts w:ascii="Times New Roman" w:hAnsi="Times New Roman" w:eastAsia="Times New Roman"/>
          <w:lang w:eastAsia="ru-RU"/>
        </w:rPr>
      </w:pPr>
      <w:r>
        <w:rPr>
          <w:rFonts w:ascii="Times New Roman" w:hAnsi="Times New Roman" w:eastAsia="Times New Roman"/>
          <w:lang w:eastAsia="ru-RU"/>
        </w:rPr>
        <w:t>понимать на слух речь учителя и других обучающихся при непосредственном общении, вербально и невербально реагировать на услышанное;</w:t>
      </w:r>
    </w:p>
    <w:p w14:paraId="21293745">
      <w:pPr>
        <w:widowControl/>
        <w:tabs>
          <w:tab w:val="left" w:pos="1134"/>
        </w:tabs>
        <w:overflowPunct w:val="0"/>
        <w:autoSpaceDE w:val="0"/>
        <w:autoSpaceDN w:val="0"/>
        <w:adjustRightInd w:val="0"/>
        <w:spacing w:after="0" w:line="360" w:lineRule="auto"/>
        <w:ind w:firstLine="709"/>
        <w:jc w:val="both"/>
        <w:textAlignment w:val="baseline"/>
        <w:rPr>
          <w:rFonts w:ascii="Times New Roman" w:hAnsi="Times New Roman" w:eastAsia="Times New Roman"/>
          <w:b/>
          <w:lang w:eastAsia="ru-RU"/>
        </w:rPr>
      </w:pPr>
      <w:r>
        <w:rPr>
          <w:rFonts w:ascii="Times New Roman" w:hAnsi="Times New Roman" w:eastAsia="Times New Roman"/>
          <w:lang w:eastAsia="ru-RU"/>
        </w:rPr>
        <w:t>воспринимать на слух аудиотекст и понимать основное содержание небольших сообщений, построенных на изученном языковом материале;</w:t>
      </w:r>
    </w:p>
    <w:p w14:paraId="40DE4352">
      <w:pPr>
        <w:widowControl/>
        <w:tabs>
          <w:tab w:val="left" w:pos="1134"/>
        </w:tabs>
        <w:overflowPunct w:val="0"/>
        <w:autoSpaceDE w:val="0"/>
        <w:autoSpaceDN w:val="0"/>
        <w:adjustRightInd w:val="0"/>
        <w:spacing w:after="0" w:line="360" w:lineRule="auto"/>
        <w:ind w:firstLine="709"/>
        <w:jc w:val="both"/>
        <w:textAlignment w:val="baseline"/>
        <w:rPr>
          <w:rFonts w:ascii="Times New Roman" w:hAnsi="Times New Roman" w:eastAsia="Times New Roman"/>
          <w:lang w:eastAsia="ru-RU"/>
        </w:rPr>
      </w:pPr>
      <w:r>
        <w:rPr>
          <w:rFonts w:ascii="Times New Roman" w:hAnsi="Times New Roman" w:eastAsia="Times New Roman"/>
          <w:lang w:eastAsia="ru-RU"/>
        </w:rPr>
        <w:t>вести элементарный этикетный диалог, диалог-расспрос (вопрос-ответ) и диалог-побуждение к действию, соблюдая нормы речевого этикета;</w:t>
      </w:r>
    </w:p>
    <w:p w14:paraId="2E0F1DE2">
      <w:pPr>
        <w:widowControl/>
        <w:tabs>
          <w:tab w:val="left" w:pos="1134"/>
        </w:tabs>
        <w:overflowPunct w:val="0"/>
        <w:autoSpaceDE w:val="0"/>
        <w:autoSpaceDN w:val="0"/>
        <w:adjustRightInd w:val="0"/>
        <w:spacing w:after="0" w:line="360" w:lineRule="auto"/>
        <w:ind w:firstLine="709"/>
        <w:jc w:val="both"/>
        <w:textAlignment w:val="baseline"/>
        <w:rPr>
          <w:rFonts w:ascii="Times New Roman" w:hAnsi="Times New Roman" w:eastAsia="Times New Roman"/>
          <w:lang w:eastAsia="ru-RU"/>
        </w:rPr>
      </w:pPr>
      <w:r>
        <w:rPr>
          <w:rFonts w:ascii="Times New Roman" w:hAnsi="Times New Roman" w:eastAsia="Times New Roman"/>
          <w:lang w:eastAsia="ru-RU"/>
        </w:rPr>
        <w:t>составлять монологические высказывания на темы, предусмотренные программой (рассказывать о себе, семье, друзьях), описывать животное, предмет;</w:t>
      </w:r>
    </w:p>
    <w:p w14:paraId="35999F74">
      <w:pPr>
        <w:widowControl/>
        <w:tabs>
          <w:tab w:val="left" w:pos="1134"/>
        </w:tabs>
        <w:overflowPunct w:val="0"/>
        <w:autoSpaceDE w:val="0"/>
        <w:autoSpaceDN w:val="0"/>
        <w:adjustRightInd w:val="0"/>
        <w:spacing w:after="0" w:line="360" w:lineRule="auto"/>
        <w:ind w:firstLine="709"/>
        <w:jc w:val="both"/>
        <w:textAlignment w:val="baseline"/>
        <w:rPr>
          <w:rFonts w:ascii="Times New Roman" w:hAnsi="Times New Roman" w:eastAsia="Times New Roman"/>
          <w:lang w:eastAsia="ru-RU"/>
        </w:rPr>
      </w:pPr>
      <w:r>
        <w:rPr>
          <w:rFonts w:ascii="Times New Roman" w:hAnsi="Times New Roman" w:eastAsia="Times New Roman"/>
          <w:lang w:eastAsia="ru-RU"/>
        </w:rPr>
        <w:t>различать и характеризовать гласные и согласные звуки, находить в тексте слова с заданным звуком, устанавливать количество и последовательность звуков в слове, сравнивать звуки чувашского и русского языков;</w:t>
      </w:r>
    </w:p>
    <w:p w14:paraId="212D4F38">
      <w:pPr>
        <w:widowControl/>
        <w:tabs>
          <w:tab w:val="left" w:pos="1134"/>
        </w:tabs>
        <w:overflowPunct w:val="0"/>
        <w:autoSpaceDE w:val="0"/>
        <w:autoSpaceDN w:val="0"/>
        <w:adjustRightInd w:val="0"/>
        <w:spacing w:after="0" w:line="360" w:lineRule="auto"/>
        <w:ind w:firstLine="709"/>
        <w:jc w:val="both"/>
        <w:textAlignment w:val="baseline"/>
        <w:rPr>
          <w:rFonts w:ascii="Times New Roman" w:hAnsi="Times New Roman" w:eastAsia="Times New Roman"/>
          <w:lang w:eastAsia="ru-RU"/>
        </w:rPr>
      </w:pPr>
      <w:r>
        <w:rPr>
          <w:rFonts w:ascii="Times New Roman" w:hAnsi="Times New Roman" w:eastAsia="Times New Roman"/>
          <w:lang w:eastAsia="ru-RU"/>
        </w:rPr>
        <w:t>членить слова на слоги, определять количество слогов в слове, соблюдать правильное ударение в изолированном слове;</w:t>
      </w:r>
    </w:p>
    <w:p w14:paraId="18CE3B3A">
      <w:pPr>
        <w:widowControl/>
        <w:tabs>
          <w:tab w:val="left" w:pos="1134"/>
        </w:tabs>
        <w:overflowPunct w:val="0"/>
        <w:autoSpaceDE w:val="0"/>
        <w:autoSpaceDN w:val="0"/>
        <w:adjustRightInd w:val="0"/>
        <w:spacing w:after="0" w:line="360" w:lineRule="auto"/>
        <w:ind w:firstLine="709"/>
        <w:jc w:val="both"/>
        <w:textAlignment w:val="baseline"/>
        <w:rPr>
          <w:rFonts w:ascii="Times New Roman" w:hAnsi="Times New Roman" w:eastAsia="Times New Roman"/>
          <w:lang w:eastAsia="ru-RU"/>
        </w:rPr>
      </w:pPr>
      <w:r>
        <w:rPr>
          <w:rFonts w:ascii="Times New Roman" w:hAnsi="Times New Roman" w:eastAsia="Times New Roman"/>
          <w:lang w:eastAsia="ru-RU"/>
        </w:rPr>
        <w:t>называть последовательность букв в алфавите, пользоваться чувашским алфавитом для упорядочивания слов и поиска нужной информации;</w:t>
      </w:r>
    </w:p>
    <w:p w14:paraId="146AAFB9">
      <w:pPr>
        <w:widowControl/>
        <w:tabs>
          <w:tab w:val="left" w:pos="1134"/>
        </w:tabs>
        <w:overflowPunct w:val="0"/>
        <w:autoSpaceDE w:val="0"/>
        <w:autoSpaceDN w:val="0"/>
        <w:adjustRightInd w:val="0"/>
        <w:spacing w:after="0" w:line="360" w:lineRule="auto"/>
        <w:ind w:firstLine="709"/>
        <w:jc w:val="both"/>
        <w:textAlignment w:val="baseline"/>
        <w:rPr>
          <w:rFonts w:ascii="Times New Roman" w:hAnsi="Times New Roman" w:eastAsia="Times New Roman"/>
          <w:lang w:eastAsia="ru-RU"/>
        </w:rPr>
      </w:pPr>
      <w:r>
        <w:rPr>
          <w:rFonts w:ascii="Times New Roman" w:hAnsi="Times New Roman" w:eastAsia="Times New Roman"/>
          <w:lang w:eastAsia="ru-RU"/>
        </w:rPr>
        <w:t>читать вслух небольшие тексты, построенные на изученном языковом материале, с соблюдением правил произношения и интонирования;</w:t>
      </w:r>
    </w:p>
    <w:p w14:paraId="3E04DFA7">
      <w:pPr>
        <w:widowControl/>
        <w:tabs>
          <w:tab w:val="left" w:pos="1134"/>
        </w:tabs>
        <w:overflowPunct w:val="0"/>
        <w:autoSpaceDE w:val="0"/>
        <w:autoSpaceDN w:val="0"/>
        <w:adjustRightInd w:val="0"/>
        <w:spacing w:after="0" w:line="360" w:lineRule="auto"/>
        <w:ind w:firstLine="709"/>
        <w:jc w:val="both"/>
        <w:textAlignment w:val="baseline"/>
        <w:rPr>
          <w:rFonts w:ascii="Times New Roman" w:hAnsi="Times New Roman" w:eastAsia="Times New Roman"/>
          <w:lang w:eastAsia="ru-RU"/>
        </w:rPr>
      </w:pPr>
      <w:r>
        <w:rPr>
          <w:rFonts w:ascii="Times New Roman" w:hAnsi="Times New Roman" w:eastAsia="Times New Roman"/>
          <w:lang w:eastAsia="ru-RU"/>
        </w:rPr>
        <w:t>читать про себя и понимать содержание небольших текстов, построенных на знакомом языковом материале, содержащих небольшое количество новых слов, читать про себя и находить в тексте нужную информацию;</w:t>
      </w:r>
    </w:p>
    <w:p w14:paraId="715281B4">
      <w:pPr>
        <w:widowControl/>
        <w:tabs>
          <w:tab w:val="left" w:pos="1134"/>
        </w:tabs>
        <w:overflowPunct w:val="0"/>
        <w:autoSpaceDE w:val="0"/>
        <w:autoSpaceDN w:val="0"/>
        <w:adjustRightInd w:val="0"/>
        <w:spacing w:after="0" w:line="360" w:lineRule="auto"/>
        <w:ind w:firstLine="709"/>
        <w:jc w:val="both"/>
        <w:textAlignment w:val="baseline"/>
        <w:rPr>
          <w:rFonts w:ascii="Times New Roman" w:hAnsi="Times New Roman" w:eastAsia="Times New Roman"/>
          <w:lang w:eastAsia="ru-RU"/>
        </w:rPr>
      </w:pPr>
      <w:r>
        <w:rPr>
          <w:rFonts w:ascii="Times New Roman" w:hAnsi="Times New Roman" w:eastAsia="Times New Roman"/>
          <w:lang w:eastAsia="ru-RU"/>
        </w:rPr>
        <w:t>владеть техникой письма, списывать слова, предложения, тексты, выписывать из текста слова, словосочетания, предложения, делать подписи к картинкам с пояснением, что на них изображено</w:t>
      </w:r>
      <w:r>
        <w:rPr>
          <w:rFonts w:ascii="Times New Roman" w:hAnsi="Times New Roman" w:eastAsia="@Arial Unicode MS"/>
        </w:rPr>
        <w:t>;</w:t>
      </w:r>
    </w:p>
    <w:p w14:paraId="7ACD3870">
      <w:pPr>
        <w:widowControl/>
        <w:tabs>
          <w:tab w:val="left" w:pos="1134"/>
        </w:tabs>
        <w:overflowPunct w:val="0"/>
        <w:autoSpaceDE w:val="0"/>
        <w:autoSpaceDN w:val="0"/>
        <w:adjustRightInd w:val="0"/>
        <w:spacing w:after="0" w:line="360" w:lineRule="auto"/>
        <w:ind w:firstLine="709"/>
        <w:jc w:val="both"/>
        <w:textAlignment w:val="baseline"/>
        <w:rPr>
          <w:rFonts w:ascii="Times New Roman" w:hAnsi="Times New Roman" w:eastAsia="Times New Roman"/>
          <w:lang w:eastAsia="ru-RU"/>
        </w:rPr>
      </w:pPr>
      <w:r>
        <w:rPr>
          <w:rFonts w:ascii="Times New Roman" w:hAnsi="Times New Roman" w:eastAsia="Times New Roman"/>
          <w:lang w:eastAsia="ru-RU"/>
        </w:rPr>
        <w:t>воспроизводить графически и каллиграфически корректно все буквы чувашского алфавита;</w:t>
      </w:r>
    </w:p>
    <w:p w14:paraId="7C26FD70">
      <w:pPr>
        <w:widowControl/>
        <w:tabs>
          <w:tab w:val="left" w:pos="1134"/>
        </w:tabs>
        <w:overflowPunct w:val="0"/>
        <w:autoSpaceDE w:val="0"/>
        <w:autoSpaceDN w:val="0"/>
        <w:adjustRightInd w:val="0"/>
        <w:spacing w:after="0" w:line="360" w:lineRule="auto"/>
        <w:ind w:firstLine="709"/>
        <w:jc w:val="both"/>
        <w:textAlignment w:val="baseline"/>
        <w:rPr>
          <w:rFonts w:ascii="Times New Roman" w:hAnsi="Times New Roman" w:eastAsia="Times New Roman"/>
          <w:lang w:eastAsia="ru-RU"/>
        </w:rPr>
      </w:pPr>
      <w:r>
        <w:rPr>
          <w:rFonts w:ascii="Times New Roman" w:hAnsi="Times New Roman" w:eastAsia="Times New Roman"/>
          <w:lang w:eastAsia="ru-RU"/>
        </w:rPr>
        <w:t>применять основные правила чтения, читать и писать изученные слова чувашского языка;</w:t>
      </w:r>
    </w:p>
    <w:p w14:paraId="53D3ABFA">
      <w:pPr>
        <w:widowControl/>
        <w:tabs>
          <w:tab w:val="left" w:pos="1134"/>
        </w:tabs>
        <w:overflowPunct w:val="0"/>
        <w:autoSpaceDE w:val="0"/>
        <w:autoSpaceDN w:val="0"/>
        <w:adjustRightInd w:val="0"/>
        <w:spacing w:after="0" w:line="360" w:lineRule="auto"/>
        <w:ind w:firstLine="709"/>
        <w:jc w:val="both"/>
        <w:textAlignment w:val="baseline"/>
        <w:rPr>
          <w:rFonts w:ascii="Times New Roman" w:hAnsi="Times New Roman" w:eastAsia="Times New Roman"/>
          <w:lang w:eastAsia="ru-RU"/>
        </w:rPr>
      </w:pPr>
      <w:r>
        <w:rPr>
          <w:rFonts w:ascii="Times New Roman" w:hAnsi="Times New Roman" w:eastAsia="Times New Roman"/>
          <w:lang w:eastAsia="ru-RU"/>
        </w:rPr>
        <w:t>применять правила правописания (в объёме содержания курса), определять написание слов по словарю учебника или орфографическому словарю;</w:t>
      </w:r>
    </w:p>
    <w:p w14:paraId="4FC21393">
      <w:pPr>
        <w:widowControl/>
        <w:tabs>
          <w:tab w:val="left" w:pos="1134"/>
        </w:tabs>
        <w:overflowPunct w:val="0"/>
        <w:autoSpaceDE w:val="0"/>
        <w:autoSpaceDN w:val="0"/>
        <w:adjustRightInd w:val="0"/>
        <w:spacing w:after="0" w:line="360" w:lineRule="auto"/>
        <w:ind w:firstLine="709"/>
        <w:jc w:val="both"/>
        <w:textAlignment w:val="baseline"/>
        <w:rPr>
          <w:rFonts w:ascii="Times New Roman" w:hAnsi="Times New Roman" w:eastAsia="Times New Roman"/>
          <w:lang w:eastAsia="ru-RU"/>
        </w:rPr>
      </w:pPr>
      <w:r>
        <w:rPr>
          <w:rFonts w:ascii="Times New Roman" w:hAnsi="Times New Roman" w:eastAsia="Times New Roman"/>
          <w:lang w:eastAsia="ru-RU"/>
        </w:rPr>
        <w:t>применять изученные правила пунктуации, находить и исправлять пунктуационные ошибки в собственном и предложенном текстах;</w:t>
      </w:r>
    </w:p>
    <w:p w14:paraId="18C4F80F">
      <w:pPr>
        <w:widowControl/>
        <w:tabs>
          <w:tab w:val="left" w:pos="1134"/>
        </w:tabs>
        <w:overflowPunct w:val="0"/>
        <w:autoSpaceDE w:val="0"/>
        <w:autoSpaceDN w:val="0"/>
        <w:adjustRightInd w:val="0"/>
        <w:spacing w:after="0" w:line="360" w:lineRule="auto"/>
        <w:ind w:firstLine="709"/>
        <w:jc w:val="both"/>
        <w:textAlignment w:val="baseline"/>
        <w:rPr>
          <w:rFonts w:ascii="Times New Roman" w:hAnsi="Times New Roman" w:eastAsia="Times New Roman"/>
          <w:lang w:eastAsia="ru-RU"/>
        </w:rPr>
      </w:pPr>
      <w:r>
        <w:rPr>
          <w:rFonts w:ascii="Times New Roman" w:hAnsi="Times New Roman" w:eastAsia="Times New Roman"/>
          <w:lang w:eastAsia="ru-RU"/>
        </w:rPr>
        <w:t>выделять в словах корень и аффиксы, сравнивать слова, связанные отношениями производности, объяснять, какое слово от какого слова образовано, находить и использовать нужный словообразовательный аффикс;</w:t>
      </w:r>
    </w:p>
    <w:p w14:paraId="6E139FDD">
      <w:pPr>
        <w:widowControl/>
        <w:tabs>
          <w:tab w:val="left" w:pos="1134"/>
        </w:tabs>
        <w:overflowPunct w:val="0"/>
        <w:autoSpaceDE w:val="0"/>
        <w:autoSpaceDN w:val="0"/>
        <w:adjustRightInd w:val="0"/>
        <w:spacing w:after="0" w:line="360" w:lineRule="auto"/>
        <w:ind w:firstLine="709"/>
        <w:jc w:val="both"/>
        <w:textAlignment w:val="baseline"/>
        <w:rPr>
          <w:rFonts w:ascii="Times New Roman" w:hAnsi="Times New Roman" w:eastAsia="Times New Roman"/>
          <w:lang w:eastAsia="ru-RU"/>
        </w:rPr>
      </w:pPr>
      <w:r>
        <w:rPr>
          <w:rFonts w:ascii="Times New Roman" w:hAnsi="Times New Roman" w:eastAsia="Times New Roman"/>
          <w:lang w:eastAsia="ru-RU"/>
        </w:rPr>
        <w:t xml:space="preserve">различать типы предложений по цели высказывания и эмоциональной окраске, правильно интонировать повествовательные, побудительные, вопросительные, восклицательные и </w:t>
      </w:r>
      <w:r>
        <w:rPr>
          <w:rFonts w:ascii="Times New Roman" w:hAnsi="Times New Roman"/>
          <w:bCs/>
        </w:rPr>
        <w:t>невосклицательные</w:t>
      </w:r>
      <w:r>
        <w:rPr>
          <w:rFonts w:ascii="Times New Roman" w:hAnsi="Times New Roman" w:eastAsia="Times New Roman"/>
          <w:lang w:eastAsia="ru-RU"/>
        </w:rPr>
        <w:t xml:space="preserve"> предложения;</w:t>
      </w:r>
    </w:p>
    <w:p w14:paraId="7FA23B65">
      <w:pPr>
        <w:tabs>
          <w:tab w:val="left" w:pos="1134"/>
        </w:tabs>
        <w:overflowPunct w:val="0"/>
        <w:autoSpaceDE w:val="0"/>
        <w:autoSpaceDN w:val="0"/>
        <w:adjustRightInd w:val="0"/>
        <w:spacing w:after="0" w:line="360" w:lineRule="auto"/>
        <w:ind w:firstLine="709"/>
        <w:jc w:val="both"/>
        <w:textAlignment w:val="baseline"/>
        <w:rPr>
          <w:rFonts w:ascii="Times New Roman" w:hAnsi="Times New Roman" w:eastAsia="Times New Roman"/>
          <w:lang w:eastAsia="ru-RU"/>
        </w:rPr>
      </w:pPr>
      <w:r>
        <w:rPr>
          <w:rFonts w:ascii="Times New Roman" w:hAnsi="Times New Roman" w:eastAsia="Times New Roman"/>
          <w:lang w:eastAsia="ru-RU"/>
        </w:rPr>
        <w:t>использовать в речи этикетные клише;</w:t>
      </w:r>
    </w:p>
    <w:p w14:paraId="143E31CC">
      <w:pPr>
        <w:tabs>
          <w:tab w:val="left" w:pos="1134"/>
        </w:tabs>
        <w:overflowPunct w:val="0"/>
        <w:autoSpaceDE w:val="0"/>
        <w:autoSpaceDN w:val="0"/>
        <w:adjustRightInd w:val="0"/>
        <w:spacing w:after="0" w:line="360" w:lineRule="auto"/>
        <w:ind w:firstLine="709"/>
        <w:jc w:val="both"/>
        <w:textAlignment w:val="baseline"/>
        <w:rPr>
          <w:rFonts w:ascii="Times New Roman" w:hAnsi="Times New Roman" w:eastAsia="Times New Roman"/>
          <w:lang w:eastAsia="ru-RU"/>
        </w:rPr>
      </w:pPr>
      <w:r>
        <w:rPr>
          <w:rFonts w:ascii="Times New Roman" w:hAnsi="Times New Roman" w:eastAsia="Times New Roman"/>
          <w:lang w:eastAsia="ru-RU"/>
        </w:rPr>
        <w:t>классифицировать слова по тематическому принципу, находить синонимы и антонимы, оперировать в процессе общения активной лексикой, использовать двуязычные словари для определения значений слов;</w:t>
      </w:r>
    </w:p>
    <w:p w14:paraId="67DCEB91">
      <w:pPr>
        <w:widowControl/>
        <w:shd w:val="clear" w:color="auto" w:fill="FFFFFF"/>
        <w:tabs>
          <w:tab w:val="left" w:pos="0"/>
          <w:tab w:val="left" w:pos="1134"/>
        </w:tabs>
        <w:autoSpaceDE w:val="0"/>
        <w:spacing w:after="0" w:line="360" w:lineRule="auto"/>
        <w:ind w:firstLine="709"/>
        <w:jc w:val="both"/>
        <w:rPr>
          <w:rFonts w:ascii="Times New Roman" w:hAnsi="Times New Roman"/>
          <w:bCs/>
          <w:i/>
        </w:rPr>
      </w:pPr>
      <w:r>
        <w:rPr>
          <w:rFonts w:ascii="Times New Roman" w:hAnsi="Times New Roman" w:eastAsia="Times New Roman"/>
          <w:lang w:eastAsia="ru-RU"/>
        </w:rPr>
        <w:t xml:space="preserve">распознавать в тексте и употреблять в речевой практике изученные части речи: существительные в единственном и множественном числе, </w:t>
      </w:r>
      <w:r>
        <w:rPr>
          <w:rFonts w:ascii="Times New Roman" w:hAnsi="Times New Roman"/>
          <w:bCs/>
        </w:rPr>
        <w:t xml:space="preserve">падежные формы существительных, глаголы изъявительного наклонения в настоящем, прошедшем и будущем времени, личные формы глаголов повелительного наклонения, неспрягаемые формы глагола: причастия с аффиксами </w:t>
      </w:r>
      <w:r>
        <w:rPr>
          <w:rFonts w:ascii="Times New Roman" w:hAnsi="Times New Roman"/>
          <w:bCs/>
          <w:iCs/>
        </w:rPr>
        <w:t>-нă (-нĕ), -ас (-ес), форму инфинитива с аффиксом -ма (-ме), деепричастия с аффиксами -са (-се), -сан (-сен), личные, указательные, вопросительные м</w:t>
      </w:r>
      <w:r>
        <w:rPr>
          <w:rFonts w:ascii="Times New Roman" w:hAnsi="Times New Roman"/>
          <w:bCs/>
        </w:rPr>
        <w:t>естоимения, прилагательные в сравнительной и превосходной степени, количественные и порядковые числительные до 100, наиболее употребительные наречия времени и степени;</w:t>
      </w:r>
    </w:p>
    <w:p w14:paraId="1E047A3C">
      <w:pPr>
        <w:widowControl/>
        <w:shd w:val="clear" w:color="auto" w:fill="FFFFFF"/>
        <w:tabs>
          <w:tab w:val="left" w:pos="0"/>
          <w:tab w:val="left" w:pos="1134"/>
        </w:tabs>
        <w:autoSpaceDE w:val="0"/>
        <w:spacing w:after="0" w:line="360" w:lineRule="auto"/>
        <w:ind w:firstLine="709"/>
        <w:jc w:val="both"/>
        <w:rPr>
          <w:rFonts w:ascii="Times New Roman" w:hAnsi="Times New Roman"/>
          <w:bCs/>
          <w:i/>
        </w:rPr>
      </w:pPr>
      <w:r>
        <w:rPr>
          <w:rFonts w:ascii="Times New Roman" w:hAnsi="Times New Roman"/>
          <w:bCs/>
        </w:rPr>
        <w:t>характеризовать особенности сочетания имен прилагательных с именами существительными в чувашском языке;</w:t>
      </w:r>
    </w:p>
    <w:p w14:paraId="7AFFEAE7">
      <w:pPr>
        <w:widowControl/>
        <w:tabs>
          <w:tab w:val="left" w:pos="1134"/>
        </w:tabs>
        <w:overflowPunct w:val="0"/>
        <w:autoSpaceDE w:val="0"/>
        <w:autoSpaceDN w:val="0"/>
        <w:adjustRightInd w:val="0"/>
        <w:spacing w:after="0" w:line="360" w:lineRule="auto"/>
        <w:ind w:firstLine="709"/>
        <w:jc w:val="both"/>
        <w:textAlignment w:val="baseline"/>
        <w:rPr>
          <w:rFonts w:ascii="Times New Roman" w:hAnsi="Times New Roman" w:eastAsia="Times New Roman"/>
          <w:lang w:eastAsia="ru-RU"/>
        </w:rPr>
      </w:pPr>
      <w:r>
        <w:rPr>
          <w:rFonts w:ascii="Times New Roman" w:hAnsi="Times New Roman"/>
          <w:bCs/>
        </w:rPr>
        <w:t>использовать в речи падежные формы имен существительных, употребляющиеся в роли послелогов: «айĕнче» («под»), «хушшинче» («между»), «çинче» («на»), «çинчен» («с», «со», «про»), послелог «валли»;</w:t>
      </w:r>
    </w:p>
    <w:p w14:paraId="77F0D11D">
      <w:pPr>
        <w:widowControl/>
        <w:tabs>
          <w:tab w:val="left" w:pos="1134"/>
        </w:tabs>
        <w:overflowPunct w:val="0"/>
        <w:autoSpaceDE w:val="0"/>
        <w:autoSpaceDN w:val="0"/>
        <w:adjustRightInd w:val="0"/>
        <w:spacing w:after="0" w:line="360" w:lineRule="auto"/>
        <w:ind w:firstLine="709"/>
        <w:jc w:val="both"/>
        <w:textAlignment w:val="baseline"/>
        <w:rPr>
          <w:rFonts w:ascii="Times New Roman" w:hAnsi="Times New Roman" w:eastAsia="Times New Roman"/>
          <w:lang w:eastAsia="ru-RU"/>
        </w:rPr>
      </w:pPr>
      <w:r>
        <w:rPr>
          <w:rFonts w:ascii="Times New Roman" w:hAnsi="Times New Roman" w:eastAsia="Times New Roman"/>
          <w:lang w:eastAsia="ru-RU"/>
        </w:rPr>
        <w:t>употреблять в речи предложения, различные по цели высказывания и интонации (повествовательные, вопросительные, побудительные, восклицательные);</w:t>
      </w:r>
    </w:p>
    <w:p w14:paraId="6062C0E0">
      <w:pPr>
        <w:widowControl/>
        <w:tabs>
          <w:tab w:val="left" w:pos="1134"/>
        </w:tabs>
        <w:overflowPunct w:val="0"/>
        <w:autoSpaceDE w:val="0"/>
        <w:autoSpaceDN w:val="0"/>
        <w:adjustRightInd w:val="0"/>
        <w:spacing w:after="0" w:line="360" w:lineRule="auto"/>
        <w:ind w:firstLine="709"/>
        <w:jc w:val="both"/>
        <w:textAlignment w:val="baseline"/>
        <w:rPr>
          <w:rFonts w:ascii="Times New Roman" w:hAnsi="Times New Roman" w:eastAsia="Times New Roman"/>
          <w:lang w:eastAsia="ru-RU"/>
        </w:rPr>
      </w:pPr>
      <w:r>
        <w:rPr>
          <w:rFonts w:ascii="Times New Roman" w:hAnsi="Times New Roman" w:eastAsia="Times New Roman"/>
          <w:lang w:eastAsia="ru-RU"/>
        </w:rPr>
        <w:t>находить главные члены предложения по вопросам.</w:t>
      </w:r>
    </w:p>
    <w:p w14:paraId="15FEDCF9">
      <w:pPr>
        <w:widowControl/>
        <w:spacing w:after="0" w:line="360" w:lineRule="auto"/>
        <w:ind w:firstLine="709"/>
        <w:jc w:val="both"/>
        <w:rPr>
          <w:rFonts w:ascii="Times New Roman" w:hAnsi="Times New Roman"/>
        </w:rPr>
      </w:pPr>
      <w:r>
        <w:rPr>
          <w:rFonts w:ascii="Times New Roman" w:hAnsi="Times New Roman"/>
        </w:rPr>
        <w:t>5.10.5. Предметные результаты изучения родного (чувашского) языка. К концу обучения в 3 классе обучающийся научится:</w:t>
      </w:r>
    </w:p>
    <w:p w14:paraId="2033DC9E">
      <w:pPr>
        <w:widowControl/>
        <w:tabs>
          <w:tab w:val="left" w:pos="1134"/>
        </w:tabs>
        <w:overflowPunct w:val="0"/>
        <w:autoSpaceDE w:val="0"/>
        <w:autoSpaceDN w:val="0"/>
        <w:adjustRightInd w:val="0"/>
        <w:spacing w:after="0" w:line="360" w:lineRule="auto"/>
        <w:ind w:firstLine="709"/>
        <w:jc w:val="both"/>
        <w:textAlignment w:val="baseline"/>
        <w:rPr>
          <w:rFonts w:ascii="Times New Roman" w:hAnsi="Times New Roman" w:eastAsia="Times New Roman"/>
          <w:lang w:eastAsia="ru-RU"/>
        </w:rPr>
      </w:pPr>
      <w:r>
        <w:rPr>
          <w:rFonts w:ascii="Times New Roman" w:hAnsi="Times New Roman" w:eastAsia="Times New Roman"/>
          <w:lang w:eastAsia="ru-RU"/>
        </w:rPr>
        <w:t>воспринимать на слух аудиотекст и понимать основное содержание небольших сообщений, рассказов, сказок, построенных на изученном языковом материале;</w:t>
      </w:r>
    </w:p>
    <w:p w14:paraId="46580E53">
      <w:pPr>
        <w:widowControl/>
        <w:tabs>
          <w:tab w:val="left" w:pos="1134"/>
        </w:tabs>
        <w:overflowPunct w:val="0"/>
        <w:autoSpaceDE w:val="0"/>
        <w:autoSpaceDN w:val="0"/>
        <w:adjustRightInd w:val="0"/>
        <w:spacing w:after="0" w:line="360" w:lineRule="auto"/>
        <w:ind w:firstLine="709"/>
        <w:jc w:val="both"/>
        <w:textAlignment w:val="baseline"/>
        <w:rPr>
          <w:rFonts w:ascii="Times New Roman" w:hAnsi="Times New Roman" w:eastAsia="Times New Roman"/>
          <w:bCs/>
          <w:lang w:eastAsia="ru-RU"/>
        </w:rPr>
      </w:pPr>
      <w:r>
        <w:rPr>
          <w:rFonts w:ascii="Times New Roman" w:hAnsi="Times New Roman" w:eastAsia="Times New Roman"/>
          <w:bCs/>
          <w:lang w:eastAsia="ru-RU"/>
        </w:rPr>
        <w:t>определять последовательность событий в услышанном и (или) прочитанном тексте, выделять главную и второстепенную информацию, определять цель речевого высказывания;</w:t>
      </w:r>
    </w:p>
    <w:p w14:paraId="2A672FC0">
      <w:pPr>
        <w:widowControl/>
        <w:tabs>
          <w:tab w:val="left" w:pos="1134"/>
        </w:tabs>
        <w:overflowPunct w:val="0"/>
        <w:autoSpaceDE w:val="0"/>
        <w:autoSpaceDN w:val="0"/>
        <w:adjustRightInd w:val="0"/>
        <w:spacing w:after="0" w:line="360" w:lineRule="auto"/>
        <w:ind w:firstLine="709"/>
        <w:jc w:val="both"/>
        <w:textAlignment w:val="baseline"/>
        <w:rPr>
          <w:rFonts w:ascii="Times New Roman" w:hAnsi="Times New Roman" w:eastAsia="Times New Roman"/>
          <w:lang w:eastAsia="ru-RU"/>
        </w:rPr>
      </w:pPr>
      <w:r>
        <w:rPr>
          <w:rFonts w:ascii="Times New Roman" w:hAnsi="Times New Roman" w:eastAsia="Times New Roman"/>
          <w:lang w:eastAsia="ru-RU"/>
        </w:rPr>
        <w:t>вести элементарный этикетный диалог, диалог-расспрос (вопрос-ответ) и диалог-побуждение к действию (</w:t>
      </w:r>
      <w:r>
        <w:rPr>
          <w:rFonts w:ascii="Times New Roman" w:hAnsi="Times New Roman" w:eastAsia="@Arial Unicode MS"/>
        </w:rPr>
        <w:t>обращение к собеседнику с просьбой, приглашение собеседника к совместной деятельности)</w:t>
      </w:r>
      <w:r>
        <w:rPr>
          <w:rFonts w:ascii="Times New Roman" w:hAnsi="Times New Roman" w:eastAsia="Times New Roman"/>
          <w:lang w:eastAsia="ru-RU"/>
        </w:rPr>
        <w:t>, соблюдая нормы речевого этикета, оперировать в процессе общения активной лексикой;</w:t>
      </w:r>
    </w:p>
    <w:p w14:paraId="5CC30A0B">
      <w:pPr>
        <w:widowControl/>
        <w:tabs>
          <w:tab w:val="left" w:pos="1134"/>
        </w:tabs>
        <w:overflowPunct w:val="0"/>
        <w:autoSpaceDE w:val="0"/>
        <w:autoSpaceDN w:val="0"/>
        <w:adjustRightInd w:val="0"/>
        <w:spacing w:after="0" w:line="360" w:lineRule="auto"/>
        <w:ind w:firstLine="709"/>
        <w:jc w:val="both"/>
        <w:textAlignment w:val="baseline"/>
        <w:rPr>
          <w:rFonts w:ascii="Times New Roman" w:hAnsi="Times New Roman" w:eastAsia="Times New Roman"/>
          <w:lang w:eastAsia="ru-RU"/>
        </w:rPr>
      </w:pPr>
      <w:r>
        <w:rPr>
          <w:rFonts w:ascii="Times New Roman" w:hAnsi="Times New Roman" w:eastAsia="Times New Roman"/>
          <w:lang w:eastAsia="ru-RU"/>
        </w:rPr>
        <w:t>составлять монологические высказывания на темы, предусмотренные программой (рассказывать о своей школе, семье, любимой еде, хобби), описывать человека, животное, предмет, картинку;</w:t>
      </w:r>
    </w:p>
    <w:p w14:paraId="01FAA1DE">
      <w:pPr>
        <w:widowControl/>
        <w:tabs>
          <w:tab w:val="left" w:pos="1134"/>
        </w:tabs>
        <w:overflowPunct w:val="0"/>
        <w:autoSpaceDE w:val="0"/>
        <w:autoSpaceDN w:val="0"/>
        <w:adjustRightInd w:val="0"/>
        <w:spacing w:after="0" w:line="360" w:lineRule="auto"/>
        <w:ind w:firstLine="709"/>
        <w:jc w:val="both"/>
        <w:textAlignment w:val="baseline"/>
        <w:rPr>
          <w:rFonts w:ascii="Times New Roman" w:hAnsi="Times New Roman" w:eastAsia="Times New Roman"/>
          <w:lang w:eastAsia="ru-RU"/>
        </w:rPr>
      </w:pPr>
      <w:r>
        <w:rPr>
          <w:rFonts w:ascii="Times New Roman" w:hAnsi="Times New Roman" w:eastAsia="@Arial Unicode MS"/>
          <w:iCs/>
        </w:rPr>
        <w:t>читать наизусть небольшие произведения детского фольклора и литературные произведения, а также другие</w:t>
      </w:r>
      <w:r>
        <w:rPr>
          <w:rFonts w:ascii="Times New Roman" w:hAnsi="Times New Roman" w:eastAsia="Times New Roman"/>
          <w:lang w:eastAsia="ru-RU"/>
        </w:rPr>
        <w:t xml:space="preserve"> небольшие тексты, построенные на изученном языковом материале, с соблюдением правил произношения и интонирования;</w:t>
      </w:r>
    </w:p>
    <w:p w14:paraId="176CC5B6">
      <w:pPr>
        <w:widowControl/>
        <w:tabs>
          <w:tab w:val="left" w:pos="1134"/>
        </w:tabs>
        <w:overflowPunct w:val="0"/>
        <w:autoSpaceDE w:val="0"/>
        <w:autoSpaceDN w:val="0"/>
        <w:adjustRightInd w:val="0"/>
        <w:spacing w:after="0" w:line="360" w:lineRule="auto"/>
        <w:ind w:firstLine="709"/>
        <w:jc w:val="both"/>
        <w:textAlignment w:val="baseline"/>
        <w:rPr>
          <w:rFonts w:ascii="Times New Roman" w:hAnsi="Times New Roman" w:eastAsia="Times New Roman"/>
          <w:lang w:eastAsia="ru-RU"/>
        </w:rPr>
      </w:pPr>
      <w:r>
        <w:rPr>
          <w:rFonts w:ascii="Times New Roman" w:hAnsi="Times New Roman" w:eastAsia="Times New Roman"/>
          <w:lang w:eastAsia="ru-RU"/>
        </w:rPr>
        <w:t>читать про себя и понимать содержание небольших текстов, построенных на знакомом языковом материале, содержащих некоторые новые слова, находить в них нужную информацию, отвечать на вопросы по содержанию;</w:t>
      </w:r>
    </w:p>
    <w:p w14:paraId="20E22FF0">
      <w:pPr>
        <w:widowControl/>
        <w:tabs>
          <w:tab w:val="left" w:pos="1134"/>
        </w:tabs>
        <w:overflowPunct w:val="0"/>
        <w:autoSpaceDE w:val="0"/>
        <w:autoSpaceDN w:val="0"/>
        <w:adjustRightInd w:val="0"/>
        <w:spacing w:after="0" w:line="360" w:lineRule="auto"/>
        <w:ind w:firstLine="709"/>
        <w:jc w:val="both"/>
        <w:textAlignment w:val="baseline"/>
        <w:rPr>
          <w:rFonts w:ascii="Times New Roman" w:hAnsi="Times New Roman" w:eastAsia="Times New Roman"/>
          <w:lang w:eastAsia="ru-RU"/>
        </w:rPr>
      </w:pPr>
      <w:r>
        <w:rPr>
          <w:rFonts w:ascii="Times New Roman" w:hAnsi="Times New Roman" w:eastAsia="Times New Roman"/>
          <w:lang w:eastAsia="ru-RU"/>
        </w:rPr>
        <w:t xml:space="preserve">делить текст на смысловые части, устанавливать последовательность событий в тексте, пересказывать содержание прочитанного текста </w:t>
      </w:r>
      <w:r>
        <w:rPr>
          <w:rFonts w:ascii="Times New Roman" w:hAnsi="Times New Roman" w:eastAsia="@Arial Unicode MS"/>
        </w:rPr>
        <w:t xml:space="preserve">с использованием </w:t>
      </w:r>
      <w:r>
        <w:rPr>
          <w:rFonts w:ascii="Times New Roman" w:hAnsi="Times New Roman" w:eastAsia="Times New Roman"/>
          <w:lang w:eastAsia="ru-RU"/>
        </w:rPr>
        <w:t>ключевых слов, вопросов, плана и (или) иллюстраций, прогнозировать содержание текста для чтения на основе заголовка;</w:t>
      </w:r>
    </w:p>
    <w:p w14:paraId="099A2CC7">
      <w:pPr>
        <w:widowControl/>
        <w:tabs>
          <w:tab w:val="left" w:pos="1134"/>
        </w:tabs>
        <w:overflowPunct w:val="0"/>
        <w:autoSpaceDE w:val="0"/>
        <w:autoSpaceDN w:val="0"/>
        <w:adjustRightInd w:val="0"/>
        <w:spacing w:after="0" w:line="360" w:lineRule="auto"/>
        <w:ind w:firstLine="709"/>
        <w:jc w:val="both"/>
        <w:textAlignment w:val="baseline"/>
        <w:rPr>
          <w:rFonts w:ascii="Times New Roman" w:hAnsi="Times New Roman" w:eastAsia="Times New Roman"/>
          <w:lang w:eastAsia="ru-RU"/>
        </w:rPr>
      </w:pPr>
      <w:bookmarkStart w:id="11" w:name="_Hlk104623749"/>
      <w:r>
        <w:rPr>
          <w:rFonts w:ascii="Times New Roman" w:hAnsi="Times New Roman" w:eastAsia="Times New Roman"/>
          <w:lang w:eastAsia="ru-RU"/>
        </w:rPr>
        <w:t>списывать слова, предложения из текстов в соответствии с решаемой учебной задачей, списывать текст</w:t>
      </w:r>
      <w:bookmarkEnd w:id="11"/>
      <w:r>
        <w:rPr>
          <w:rFonts w:ascii="Times New Roman" w:hAnsi="Times New Roman" w:eastAsia="Times New Roman"/>
          <w:lang w:eastAsia="ru-RU"/>
        </w:rPr>
        <w:t>, вставлять в предложения пропущенные слова;</w:t>
      </w:r>
    </w:p>
    <w:p w14:paraId="59D356E0">
      <w:pPr>
        <w:widowControl/>
        <w:tabs>
          <w:tab w:val="left" w:pos="1134"/>
        </w:tabs>
        <w:overflowPunct w:val="0"/>
        <w:autoSpaceDE w:val="0"/>
        <w:autoSpaceDN w:val="0"/>
        <w:adjustRightInd w:val="0"/>
        <w:spacing w:after="0" w:line="360" w:lineRule="auto"/>
        <w:ind w:firstLine="709"/>
        <w:jc w:val="both"/>
        <w:textAlignment w:val="baseline"/>
        <w:rPr>
          <w:rFonts w:ascii="Times New Roman" w:hAnsi="Times New Roman" w:eastAsia="Times New Roman"/>
          <w:lang w:eastAsia="ru-RU"/>
        </w:rPr>
      </w:pPr>
      <w:r>
        <w:rPr>
          <w:rFonts w:ascii="Times New Roman" w:hAnsi="Times New Roman" w:eastAsia="Times New Roman"/>
          <w:lang w:eastAsia="ru-RU"/>
        </w:rPr>
        <w:t xml:space="preserve">составлять текст из разрозненных предложений, озаглавливать текст </w:t>
      </w:r>
      <w:r>
        <w:rPr>
          <w:rFonts w:ascii="Times New Roman" w:hAnsi="Times New Roman" w:eastAsia="@Arial Unicode MS"/>
        </w:rPr>
        <w:t xml:space="preserve">с использованием </w:t>
      </w:r>
      <w:r>
        <w:rPr>
          <w:rFonts w:ascii="Times New Roman" w:hAnsi="Times New Roman" w:eastAsia="Times New Roman"/>
          <w:lang w:eastAsia="ru-RU"/>
        </w:rPr>
        <w:t xml:space="preserve">темы или основной мысли, составлять план к заданным текстам с помощью учителя, составлять </w:t>
      </w:r>
      <w:r>
        <w:rPr>
          <w:rFonts w:ascii="Times New Roman" w:hAnsi="Times New Roman" w:eastAsia="@Arial Unicode MS"/>
        </w:rPr>
        <w:t xml:space="preserve">с использованием </w:t>
      </w:r>
      <w:r>
        <w:rPr>
          <w:rFonts w:ascii="Times New Roman" w:hAnsi="Times New Roman" w:eastAsia="Times New Roman"/>
          <w:lang w:eastAsia="ru-RU"/>
        </w:rPr>
        <w:t>образца короткие поздравления к праздникам;</w:t>
      </w:r>
    </w:p>
    <w:p w14:paraId="7D790B97">
      <w:pPr>
        <w:widowControl/>
        <w:tabs>
          <w:tab w:val="left" w:pos="1134"/>
        </w:tabs>
        <w:overflowPunct w:val="0"/>
        <w:autoSpaceDE w:val="0"/>
        <w:autoSpaceDN w:val="0"/>
        <w:adjustRightInd w:val="0"/>
        <w:spacing w:after="0" w:line="360" w:lineRule="auto"/>
        <w:ind w:firstLine="709"/>
        <w:jc w:val="both"/>
        <w:textAlignment w:val="baseline"/>
        <w:rPr>
          <w:rFonts w:ascii="Times New Roman" w:hAnsi="Times New Roman" w:eastAsia="Times New Roman"/>
          <w:lang w:eastAsia="ru-RU"/>
        </w:rPr>
      </w:pPr>
      <w:r>
        <w:rPr>
          <w:rFonts w:ascii="Times New Roman" w:hAnsi="Times New Roman" w:eastAsia="Times New Roman"/>
          <w:lang w:eastAsia="ru-RU"/>
        </w:rPr>
        <w:t>применять изученные правила орфографии и пунктуации (в объёме содержания курса), определять написание слов по словарю учебного пособия или орфографическому словарю, находить и исправлять пунктуационные ошибки в собственном и предложенном текстах;</w:t>
      </w:r>
    </w:p>
    <w:p w14:paraId="669F2103">
      <w:pPr>
        <w:widowControl/>
        <w:tabs>
          <w:tab w:val="left" w:pos="1134"/>
        </w:tabs>
        <w:overflowPunct w:val="0"/>
        <w:autoSpaceDE w:val="0"/>
        <w:autoSpaceDN w:val="0"/>
        <w:adjustRightInd w:val="0"/>
        <w:spacing w:after="0" w:line="360" w:lineRule="auto"/>
        <w:ind w:firstLine="709"/>
        <w:jc w:val="both"/>
        <w:textAlignment w:val="baseline"/>
        <w:rPr>
          <w:rFonts w:ascii="Times New Roman" w:hAnsi="Times New Roman" w:eastAsia="Times New Roman"/>
          <w:lang w:eastAsia="ru-RU"/>
        </w:rPr>
      </w:pPr>
      <w:r>
        <w:rPr>
          <w:rFonts w:ascii="Times New Roman" w:hAnsi="Times New Roman" w:eastAsia="Times New Roman"/>
          <w:lang w:eastAsia="ru-RU"/>
        </w:rPr>
        <w:t>выделять в словах корень и аффиксы, сравнивать слова, связанные отношениями производности, объяснять изученные принципы чувашского словообразования, находить словообразовательные аффиксы;</w:t>
      </w:r>
    </w:p>
    <w:p w14:paraId="180C8785">
      <w:pPr>
        <w:widowControl/>
        <w:tabs>
          <w:tab w:val="left" w:pos="1134"/>
        </w:tabs>
        <w:overflowPunct w:val="0"/>
        <w:autoSpaceDE w:val="0"/>
        <w:autoSpaceDN w:val="0"/>
        <w:adjustRightInd w:val="0"/>
        <w:spacing w:after="0" w:line="360" w:lineRule="auto"/>
        <w:ind w:firstLine="709"/>
        <w:jc w:val="both"/>
        <w:textAlignment w:val="baseline"/>
        <w:rPr>
          <w:rFonts w:ascii="Times New Roman" w:hAnsi="Times New Roman" w:eastAsia="Times New Roman"/>
          <w:lang w:eastAsia="ru-RU"/>
        </w:rPr>
      </w:pPr>
      <w:r>
        <w:rPr>
          <w:rFonts w:ascii="Times New Roman" w:hAnsi="Times New Roman" w:eastAsia="Times New Roman"/>
          <w:lang w:eastAsia="ru-RU"/>
        </w:rPr>
        <w:t>правильно употреблять в речи слова с учетом их лексической сочетаемости, классифицировать слова по тематическому принципу, подбирать синонимы и антонимы к заданным словам;</w:t>
      </w:r>
    </w:p>
    <w:p w14:paraId="7EEED5DF">
      <w:pPr>
        <w:tabs>
          <w:tab w:val="left" w:pos="1134"/>
        </w:tabs>
        <w:overflowPunct w:val="0"/>
        <w:autoSpaceDE w:val="0"/>
        <w:autoSpaceDN w:val="0"/>
        <w:adjustRightInd w:val="0"/>
        <w:spacing w:after="0" w:line="360" w:lineRule="auto"/>
        <w:ind w:firstLine="709"/>
        <w:jc w:val="both"/>
        <w:textAlignment w:val="baseline"/>
        <w:rPr>
          <w:rFonts w:ascii="Times New Roman" w:hAnsi="Times New Roman"/>
          <w:bCs/>
          <w:iCs/>
        </w:rPr>
      </w:pPr>
      <w:r>
        <w:rPr>
          <w:rFonts w:ascii="Times New Roman" w:hAnsi="Times New Roman" w:eastAsia="Times New Roman"/>
          <w:lang w:eastAsia="ru-RU"/>
        </w:rPr>
        <w:t xml:space="preserve">распознавать в тексте и употреблять изученные части речи: </w:t>
      </w:r>
      <w:r>
        <w:rPr>
          <w:rFonts w:ascii="Times New Roman" w:hAnsi="Times New Roman"/>
          <w:bCs/>
        </w:rPr>
        <w:t>падежные формы имен существительных в единственном и множественном числе, формы принадлежности имен существительных, глаголы изъявительного наклонения в настоящем, прошедшем и будущем времени, глаголы повелительного наклонения в утвердительной и отрицательной формах</w:t>
      </w:r>
      <w:r>
        <w:rPr>
          <w:rFonts w:ascii="Times New Roman" w:hAnsi="Times New Roman"/>
        </w:rPr>
        <w:t xml:space="preserve">, неспрягаемые формы глагола: причастия с аффиксами </w:t>
      </w:r>
      <w:r>
        <w:rPr>
          <w:rFonts w:ascii="Times New Roman" w:hAnsi="Times New Roman"/>
          <w:iCs/>
        </w:rPr>
        <w:t>-нă (-нĕ), -ас (-ес), инфинитив с аффиксом -ма (-ме), деепричастия с аффиксами -са (-се), -сан (-сен);</w:t>
      </w:r>
    </w:p>
    <w:p w14:paraId="6E346265">
      <w:pPr>
        <w:tabs>
          <w:tab w:val="left" w:pos="1134"/>
        </w:tabs>
        <w:overflowPunct w:val="0"/>
        <w:autoSpaceDE w:val="0"/>
        <w:autoSpaceDN w:val="0"/>
        <w:adjustRightInd w:val="0"/>
        <w:spacing w:after="0" w:line="360" w:lineRule="auto"/>
        <w:ind w:firstLine="709"/>
        <w:jc w:val="both"/>
        <w:textAlignment w:val="baseline"/>
        <w:rPr>
          <w:rFonts w:ascii="Times New Roman" w:hAnsi="Times New Roman"/>
          <w:bCs/>
        </w:rPr>
      </w:pPr>
      <w:r>
        <w:rPr>
          <w:rFonts w:ascii="Times New Roman" w:hAnsi="Times New Roman"/>
        </w:rPr>
        <w:t xml:space="preserve">образовывать </w:t>
      </w:r>
      <w:r>
        <w:rPr>
          <w:rFonts w:ascii="Times New Roman" w:hAnsi="Times New Roman"/>
          <w:bCs/>
        </w:rPr>
        <w:t>количественные и порядковые числительные до 1000;</w:t>
      </w:r>
    </w:p>
    <w:p w14:paraId="7CFCBC44">
      <w:pPr>
        <w:tabs>
          <w:tab w:val="left" w:pos="1134"/>
        </w:tabs>
        <w:overflowPunct w:val="0"/>
        <w:autoSpaceDE w:val="0"/>
        <w:autoSpaceDN w:val="0"/>
        <w:adjustRightInd w:val="0"/>
        <w:spacing w:after="0" w:line="360" w:lineRule="auto"/>
        <w:ind w:firstLine="709"/>
        <w:jc w:val="both"/>
        <w:textAlignment w:val="baseline"/>
        <w:rPr>
          <w:rFonts w:ascii="Times New Roman" w:hAnsi="Times New Roman"/>
          <w:bCs/>
        </w:rPr>
      </w:pPr>
      <w:r>
        <w:rPr>
          <w:rFonts w:ascii="Times New Roman" w:hAnsi="Times New Roman"/>
        </w:rPr>
        <w:t xml:space="preserve">употреблять в речи </w:t>
      </w:r>
      <w:r>
        <w:rPr>
          <w:rFonts w:ascii="Times New Roman" w:hAnsi="Times New Roman"/>
          <w:bCs/>
        </w:rPr>
        <w:t>прилагательные в сравнительной и превосходной степени, наиболее употребительные наречия времени и степени, союзы «та», «те», «тата» («и»), «анчах» («но»), «мĕншĕн тесен» («потому что»), частицы, междометия;</w:t>
      </w:r>
    </w:p>
    <w:p w14:paraId="24666D9B">
      <w:pPr>
        <w:widowControl/>
        <w:tabs>
          <w:tab w:val="left" w:pos="1134"/>
        </w:tabs>
        <w:overflowPunct w:val="0"/>
        <w:autoSpaceDE w:val="0"/>
        <w:autoSpaceDN w:val="0"/>
        <w:adjustRightInd w:val="0"/>
        <w:spacing w:after="0" w:line="360" w:lineRule="auto"/>
        <w:ind w:firstLine="709"/>
        <w:jc w:val="both"/>
        <w:textAlignment w:val="baseline"/>
        <w:rPr>
          <w:rFonts w:ascii="Times New Roman" w:hAnsi="Times New Roman" w:eastAsia="Times New Roman"/>
          <w:lang w:eastAsia="ru-RU"/>
        </w:rPr>
      </w:pPr>
      <w:r>
        <w:rPr>
          <w:rFonts w:ascii="Times New Roman" w:hAnsi="Times New Roman" w:eastAsia="Times New Roman"/>
          <w:lang w:eastAsia="ru-RU"/>
        </w:rPr>
        <w:t xml:space="preserve">находить главные члены предложения (подлежащее и сказуемое) по вопросам, определять </w:t>
      </w:r>
      <w:r>
        <w:rPr>
          <w:rFonts w:ascii="Times New Roman" w:hAnsi="Times New Roman"/>
          <w:bCs/>
        </w:rPr>
        <w:t>их место в простом предложении;</w:t>
      </w:r>
    </w:p>
    <w:p w14:paraId="267E2A49">
      <w:pPr>
        <w:widowControl/>
        <w:tabs>
          <w:tab w:val="left" w:pos="851"/>
        </w:tabs>
        <w:overflowPunct w:val="0"/>
        <w:autoSpaceDE w:val="0"/>
        <w:autoSpaceDN w:val="0"/>
        <w:adjustRightInd w:val="0"/>
        <w:spacing w:after="0" w:line="360" w:lineRule="auto"/>
        <w:ind w:firstLine="709"/>
        <w:jc w:val="both"/>
        <w:textAlignment w:val="baseline"/>
        <w:rPr>
          <w:rFonts w:ascii="Times New Roman" w:hAnsi="Times New Roman" w:eastAsia="Times New Roman"/>
          <w:lang w:eastAsia="ru-RU"/>
        </w:rPr>
      </w:pPr>
      <w:r>
        <w:rPr>
          <w:rFonts w:ascii="Times New Roman" w:hAnsi="Times New Roman" w:eastAsia="Times New Roman"/>
          <w:lang w:eastAsia="ru-RU"/>
        </w:rPr>
        <w:t>находить в тексте предложения с однородными членами.</w:t>
      </w:r>
    </w:p>
    <w:p w14:paraId="246DD45B">
      <w:pPr>
        <w:widowControl/>
        <w:spacing w:after="0" w:line="360" w:lineRule="auto"/>
        <w:ind w:firstLine="709"/>
        <w:jc w:val="both"/>
        <w:rPr>
          <w:rFonts w:ascii="Times New Roman" w:hAnsi="Times New Roman"/>
        </w:rPr>
      </w:pPr>
      <w:r>
        <w:rPr>
          <w:rFonts w:ascii="Times New Roman" w:hAnsi="Times New Roman"/>
        </w:rPr>
        <w:t>5.10.6. Предметные результаты изучения родного (чувашского) языка. К концу обучения в 4 классе обучающийся научится:</w:t>
      </w:r>
    </w:p>
    <w:p w14:paraId="63FAE603">
      <w:pPr>
        <w:widowControl/>
        <w:tabs>
          <w:tab w:val="left" w:pos="1134"/>
        </w:tabs>
        <w:overflowPunct w:val="0"/>
        <w:autoSpaceDE w:val="0"/>
        <w:autoSpaceDN w:val="0"/>
        <w:adjustRightInd w:val="0"/>
        <w:spacing w:after="0" w:line="360" w:lineRule="auto"/>
        <w:ind w:firstLine="709"/>
        <w:jc w:val="both"/>
        <w:rPr>
          <w:rFonts w:ascii="Times New Roman" w:hAnsi="Times New Roman" w:eastAsia="Times New Roman"/>
          <w:lang w:eastAsia="ru-RU"/>
        </w:rPr>
      </w:pPr>
      <w:bookmarkStart w:id="12" w:name="_Hlk102657999"/>
      <w:r>
        <w:rPr>
          <w:rFonts w:ascii="Times New Roman" w:hAnsi="Times New Roman" w:eastAsia="Times New Roman"/>
          <w:lang w:eastAsia="ru-RU"/>
        </w:rPr>
        <w:t>составлять монологические высказывания на темы, предусмотренные программой (рассказывать о своих увлечениях, семье, малой родине, достопримечательностях края), составлять описательные тексты, использовать средства выразительности речи;</w:t>
      </w:r>
    </w:p>
    <w:p w14:paraId="14162ADC">
      <w:pPr>
        <w:widowControl/>
        <w:tabs>
          <w:tab w:val="left" w:pos="1134"/>
        </w:tabs>
        <w:overflowPunct w:val="0"/>
        <w:autoSpaceDE w:val="0"/>
        <w:autoSpaceDN w:val="0"/>
        <w:adjustRightInd w:val="0"/>
        <w:spacing w:after="0" w:line="360" w:lineRule="auto"/>
        <w:ind w:firstLine="709"/>
        <w:jc w:val="both"/>
        <w:rPr>
          <w:rFonts w:ascii="Times New Roman" w:hAnsi="Times New Roman" w:eastAsia="Times New Roman"/>
          <w:lang w:eastAsia="ru-RU"/>
        </w:rPr>
      </w:pPr>
      <w:r>
        <w:rPr>
          <w:rFonts w:ascii="Times New Roman" w:hAnsi="Times New Roman" w:eastAsia="Times New Roman"/>
          <w:lang w:eastAsia="ru-RU"/>
        </w:rPr>
        <w:t>презентовать результаты выполненного небольшого проектного задания;</w:t>
      </w:r>
    </w:p>
    <w:p w14:paraId="40A0DD06">
      <w:pPr>
        <w:widowControl/>
        <w:tabs>
          <w:tab w:val="left" w:pos="1134"/>
        </w:tabs>
        <w:overflowPunct w:val="0"/>
        <w:autoSpaceDE w:val="0"/>
        <w:autoSpaceDN w:val="0"/>
        <w:adjustRightInd w:val="0"/>
        <w:spacing w:after="0" w:line="360" w:lineRule="auto"/>
        <w:ind w:firstLine="709"/>
        <w:jc w:val="both"/>
        <w:rPr>
          <w:rFonts w:ascii="Times New Roman" w:hAnsi="Times New Roman" w:eastAsia="Times New Roman"/>
          <w:lang w:eastAsia="ru-RU"/>
        </w:rPr>
      </w:pPr>
      <w:r>
        <w:rPr>
          <w:rFonts w:ascii="Times New Roman" w:hAnsi="Times New Roman" w:eastAsia="Times New Roman"/>
          <w:lang w:eastAsia="ru-RU"/>
        </w:rPr>
        <w:t>читать вслух и про себя небольшие тексты, построенные на изученном языковом материале, с соблюдением правил произношения и интонирования;</w:t>
      </w:r>
    </w:p>
    <w:p w14:paraId="0AA19F1D">
      <w:pPr>
        <w:widowControl/>
        <w:tabs>
          <w:tab w:val="left" w:pos="1134"/>
        </w:tabs>
        <w:overflowPunct w:val="0"/>
        <w:autoSpaceDE w:val="0"/>
        <w:autoSpaceDN w:val="0"/>
        <w:adjustRightInd w:val="0"/>
        <w:spacing w:after="0" w:line="360" w:lineRule="auto"/>
        <w:ind w:firstLine="709"/>
        <w:jc w:val="both"/>
        <w:rPr>
          <w:rFonts w:ascii="Times New Roman" w:hAnsi="Times New Roman" w:eastAsia="Times New Roman"/>
          <w:lang w:eastAsia="ru-RU"/>
        </w:rPr>
      </w:pPr>
      <w:r>
        <w:rPr>
          <w:rFonts w:ascii="Times New Roman" w:hAnsi="Times New Roman" w:eastAsia="Times New Roman"/>
          <w:lang w:eastAsia="ru-RU"/>
        </w:rPr>
        <w:t>находить в тексте нужную информацию, отвечать на вопросы по содержанию текста, делить текст на смысловые части, устанавливать последовательность событий в тексте, кратко излагать содержание прочитанного (услышанного) текста;</w:t>
      </w:r>
    </w:p>
    <w:p w14:paraId="0FD5205A">
      <w:pPr>
        <w:widowControl/>
        <w:tabs>
          <w:tab w:val="left" w:pos="1134"/>
        </w:tabs>
        <w:overflowPunct w:val="0"/>
        <w:autoSpaceDE w:val="0"/>
        <w:autoSpaceDN w:val="0"/>
        <w:adjustRightInd w:val="0"/>
        <w:spacing w:after="0" w:line="360" w:lineRule="auto"/>
        <w:ind w:firstLine="709"/>
        <w:jc w:val="both"/>
        <w:rPr>
          <w:rFonts w:ascii="Times New Roman" w:hAnsi="Times New Roman" w:eastAsia="Times New Roman"/>
          <w:lang w:eastAsia="ru-RU"/>
        </w:rPr>
      </w:pPr>
      <w:r>
        <w:rPr>
          <w:rFonts w:ascii="Times New Roman" w:hAnsi="Times New Roman" w:eastAsia="Times New Roman"/>
          <w:lang w:eastAsia="ru-RU"/>
        </w:rPr>
        <w:t xml:space="preserve">составлять план к заданным текстам с помощью учителя, выписывать из текста слова, словосочетания, предложения, озаглавливать текст </w:t>
      </w:r>
      <w:r>
        <w:rPr>
          <w:rFonts w:ascii="Times New Roman" w:hAnsi="Times New Roman" w:eastAsia="@Arial Unicode MS"/>
        </w:rPr>
        <w:t xml:space="preserve">с использованием </w:t>
      </w:r>
      <w:r>
        <w:rPr>
          <w:rFonts w:ascii="Times New Roman" w:hAnsi="Times New Roman" w:eastAsia="Times New Roman"/>
          <w:lang w:eastAsia="ru-RU"/>
        </w:rPr>
        <w:t>темы или основной мысли;</w:t>
      </w:r>
    </w:p>
    <w:p w14:paraId="1FDD75DB">
      <w:pPr>
        <w:widowControl/>
        <w:tabs>
          <w:tab w:val="left" w:pos="1134"/>
        </w:tabs>
        <w:overflowPunct w:val="0"/>
        <w:autoSpaceDE w:val="0"/>
        <w:autoSpaceDN w:val="0"/>
        <w:adjustRightInd w:val="0"/>
        <w:spacing w:after="0" w:line="360" w:lineRule="auto"/>
        <w:ind w:firstLine="709"/>
        <w:jc w:val="both"/>
        <w:rPr>
          <w:rFonts w:ascii="Times New Roman" w:hAnsi="Times New Roman" w:eastAsia="@Arial Unicode MS"/>
        </w:rPr>
      </w:pPr>
      <w:r>
        <w:rPr>
          <w:rFonts w:ascii="Times New Roman" w:hAnsi="Times New Roman" w:eastAsia="Times New Roman"/>
          <w:lang w:eastAsia="ru-RU"/>
        </w:rPr>
        <w:t>выполнять</w:t>
      </w:r>
      <w:r>
        <w:rPr>
          <w:rFonts w:ascii="Times New Roman" w:hAnsi="Times New Roman" w:eastAsia="@Arial Unicode MS"/>
        </w:rPr>
        <w:t xml:space="preserve"> тестовые задания;</w:t>
      </w:r>
    </w:p>
    <w:p w14:paraId="2B102A4C">
      <w:pPr>
        <w:widowControl/>
        <w:tabs>
          <w:tab w:val="left" w:pos="1134"/>
        </w:tabs>
        <w:overflowPunct w:val="0"/>
        <w:autoSpaceDE w:val="0"/>
        <w:autoSpaceDN w:val="0"/>
        <w:adjustRightInd w:val="0"/>
        <w:spacing w:after="0" w:line="360" w:lineRule="auto"/>
        <w:ind w:firstLine="709"/>
        <w:jc w:val="both"/>
        <w:rPr>
          <w:rFonts w:ascii="Times New Roman" w:hAnsi="Times New Roman" w:eastAsia="Times New Roman"/>
          <w:lang w:eastAsia="ru-RU"/>
        </w:rPr>
      </w:pPr>
      <w:r>
        <w:rPr>
          <w:rFonts w:ascii="Times New Roman" w:hAnsi="Times New Roman" w:eastAsia="Times New Roman"/>
          <w:lang w:eastAsia="ru-RU"/>
        </w:rPr>
        <w:t xml:space="preserve">писать </w:t>
      </w:r>
      <w:r>
        <w:rPr>
          <w:rFonts w:ascii="Times New Roman" w:hAnsi="Times New Roman" w:eastAsia="@Arial Unicode MS"/>
        </w:rPr>
        <w:t xml:space="preserve">с использованием </w:t>
      </w:r>
      <w:r>
        <w:rPr>
          <w:rFonts w:ascii="Times New Roman" w:hAnsi="Times New Roman" w:eastAsia="Times New Roman"/>
          <w:lang w:eastAsia="ru-RU"/>
        </w:rPr>
        <w:t>образца короткие сообщения;</w:t>
      </w:r>
    </w:p>
    <w:p w14:paraId="2803B9E4">
      <w:pPr>
        <w:widowControl/>
        <w:tabs>
          <w:tab w:val="left" w:pos="1134"/>
        </w:tabs>
        <w:overflowPunct w:val="0"/>
        <w:autoSpaceDE w:val="0"/>
        <w:autoSpaceDN w:val="0"/>
        <w:adjustRightInd w:val="0"/>
        <w:spacing w:after="0" w:line="360" w:lineRule="auto"/>
        <w:ind w:firstLine="709"/>
        <w:jc w:val="both"/>
        <w:rPr>
          <w:rFonts w:ascii="Times New Roman" w:hAnsi="Times New Roman" w:eastAsia="Times New Roman"/>
          <w:lang w:eastAsia="ru-RU"/>
        </w:rPr>
      </w:pPr>
      <w:r>
        <w:rPr>
          <w:rFonts w:ascii="Times New Roman" w:hAnsi="Times New Roman" w:eastAsia="Times New Roman"/>
          <w:lang w:eastAsia="ru-RU"/>
        </w:rPr>
        <w:t>применять правила орфографии и пунктуации (в объёме содержания курса), определять написание неизученных слов по словарю учебного пособия или орфографическому словарю;</w:t>
      </w:r>
    </w:p>
    <w:p w14:paraId="3D7A6F79">
      <w:pPr>
        <w:widowControl/>
        <w:tabs>
          <w:tab w:val="left" w:pos="1134"/>
        </w:tabs>
        <w:overflowPunct w:val="0"/>
        <w:autoSpaceDE w:val="0"/>
        <w:autoSpaceDN w:val="0"/>
        <w:adjustRightInd w:val="0"/>
        <w:spacing w:after="0" w:line="360" w:lineRule="auto"/>
        <w:ind w:firstLine="709"/>
        <w:jc w:val="both"/>
        <w:rPr>
          <w:rFonts w:ascii="Times New Roman" w:hAnsi="Times New Roman" w:eastAsia="Times New Roman"/>
          <w:lang w:eastAsia="ru-RU"/>
        </w:rPr>
      </w:pPr>
      <w:r>
        <w:rPr>
          <w:rFonts w:ascii="Times New Roman" w:hAnsi="Times New Roman" w:eastAsia="Times New Roman"/>
          <w:lang w:eastAsia="ru-RU"/>
        </w:rPr>
        <w:t>выделять морфемы в словах, объяснять способы образования слов;</w:t>
      </w:r>
    </w:p>
    <w:p w14:paraId="20C2B58B">
      <w:pPr>
        <w:widowControl/>
        <w:tabs>
          <w:tab w:val="left" w:pos="1134"/>
        </w:tabs>
        <w:overflowPunct w:val="0"/>
        <w:autoSpaceDE w:val="0"/>
        <w:autoSpaceDN w:val="0"/>
        <w:adjustRightInd w:val="0"/>
        <w:spacing w:after="0" w:line="360" w:lineRule="auto"/>
        <w:ind w:firstLine="709"/>
        <w:jc w:val="both"/>
        <w:rPr>
          <w:rFonts w:ascii="Times New Roman" w:hAnsi="Times New Roman" w:eastAsia="Times New Roman"/>
          <w:lang w:eastAsia="ru-RU"/>
        </w:rPr>
      </w:pPr>
      <w:r>
        <w:rPr>
          <w:rFonts w:ascii="Times New Roman" w:hAnsi="Times New Roman" w:eastAsia="Times New Roman"/>
          <w:lang w:eastAsia="ru-RU"/>
        </w:rPr>
        <w:t>находить в тексте слова с заданным звуком, устанавливать количество и последовательность звуков в слове, различать на слух ударные и безударные гласные, сравнивать звуки чувашского и русского языков;</w:t>
      </w:r>
    </w:p>
    <w:p w14:paraId="14952BC6">
      <w:pPr>
        <w:widowControl/>
        <w:tabs>
          <w:tab w:val="left" w:pos="1134"/>
        </w:tabs>
        <w:overflowPunct w:val="0"/>
        <w:autoSpaceDE w:val="0"/>
        <w:autoSpaceDN w:val="0"/>
        <w:adjustRightInd w:val="0"/>
        <w:spacing w:after="0" w:line="360" w:lineRule="auto"/>
        <w:ind w:firstLine="709"/>
        <w:jc w:val="both"/>
        <w:rPr>
          <w:rFonts w:ascii="Times New Roman" w:hAnsi="Times New Roman" w:eastAsia="Times New Roman"/>
          <w:i/>
          <w:lang w:eastAsia="ru-RU"/>
        </w:rPr>
      </w:pPr>
      <w:r>
        <w:rPr>
          <w:rFonts w:ascii="Times New Roman" w:hAnsi="Times New Roman" w:eastAsia="Times New Roman"/>
          <w:lang w:eastAsia="ru-RU"/>
        </w:rPr>
        <w:t>делить слова на слоги, определять количество слогов в слове, правильно переносить слова;</w:t>
      </w:r>
    </w:p>
    <w:p w14:paraId="778B1418">
      <w:pPr>
        <w:widowControl/>
        <w:tabs>
          <w:tab w:val="left" w:pos="1134"/>
        </w:tabs>
        <w:overflowPunct w:val="0"/>
        <w:autoSpaceDE w:val="0"/>
        <w:autoSpaceDN w:val="0"/>
        <w:adjustRightInd w:val="0"/>
        <w:spacing w:after="0" w:line="360" w:lineRule="auto"/>
        <w:ind w:firstLine="709"/>
        <w:jc w:val="both"/>
        <w:rPr>
          <w:rFonts w:ascii="Times New Roman" w:hAnsi="Times New Roman" w:eastAsia="Times New Roman"/>
          <w:lang w:eastAsia="ru-RU"/>
        </w:rPr>
      </w:pPr>
      <w:r>
        <w:rPr>
          <w:rFonts w:ascii="Times New Roman" w:hAnsi="Times New Roman" w:eastAsia="Times New Roman"/>
          <w:lang w:eastAsia="ru-RU"/>
        </w:rPr>
        <w:t>распознавать в устной и письменной речи заимствованные слова из русского и иных языков с помощью языковой догадки;</w:t>
      </w:r>
    </w:p>
    <w:p w14:paraId="322546E7">
      <w:pPr>
        <w:widowControl/>
        <w:tabs>
          <w:tab w:val="left" w:pos="1134"/>
        </w:tabs>
        <w:overflowPunct w:val="0"/>
        <w:autoSpaceDE w:val="0"/>
        <w:autoSpaceDN w:val="0"/>
        <w:adjustRightInd w:val="0"/>
        <w:spacing w:after="0" w:line="360" w:lineRule="auto"/>
        <w:ind w:firstLine="709"/>
        <w:jc w:val="both"/>
        <w:rPr>
          <w:rFonts w:ascii="Times New Roman" w:hAnsi="Times New Roman" w:eastAsia="Times New Roman"/>
          <w:lang w:eastAsia="ru-RU"/>
        </w:rPr>
      </w:pPr>
      <w:r>
        <w:rPr>
          <w:rFonts w:ascii="Times New Roman" w:hAnsi="Times New Roman" w:eastAsia="Times New Roman"/>
          <w:lang w:eastAsia="ru-RU"/>
        </w:rPr>
        <w:t>использовать словари для определения значений слов;</w:t>
      </w:r>
    </w:p>
    <w:p w14:paraId="38D93114">
      <w:pPr>
        <w:widowControl/>
        <w:tabs>
          <w:tab w:val="left" w:pos="1134"/>
        </w:tabs>
        <w:overflowPunct w:val="0"/>
        <w:autoSpaceDE w:val="0"/>
        <w:autoSpaceDN w:val="0"/>
        <w:adjustRightInd w:val="0"/>
        <w:spacing w:after="0" w:line="360" w:lineRule="auto"/>
        <w:ind w:firstLine="709"/>
        <w:jc w:val="both"/>
        <w:rPr>
          <w:rFonts w:ascii="Times New Roman" w:hAnsi="Times New Roman"/>
          <w:bCs/>
        </w:rPr>
      </w:pPr>
      <w:r>
        <w:rPr>
          <w:rFonts w:ascii="Times New Roman" w:hAnsi="Times New Roman" w:eastAsia="Times New Roman"/>
          <w:lang w:eastAsia="ru-RU"/>
        </w:rPr>
        <w:t xml:space="preserve">распознавать в тексте и употреблять в речи изученные части речи: существительные </w:t>
      </w:r>
      <w:r>
        <w:rPr>
          <w:rFonts w:ascii="Times New Roman" w:hAnsi="Times New Roman" w:eastAsia="Times New Roman"/>
        </w:rPr>
        <w:t>в единственном и множественном числе в разных падежных формах и в категории принадлежности</w:t>
      </w:r>
      <w:r>
        <w:rPr>
          <w:rFonts w:ascii="Times New Roman" w:hAnsi="Times New Roman"/>
          <w:bCs/>
        </w:rPr>
        <w:t xml:space="preserve">, </w:t>
      </w:r>
      <w:r>
        <w:rPr>
          <w:rFonts w:ascii="Times New Roman" w:hAnsi="Times New Roman" w:eastAsia="Times New Roman"/>
        </w:rPr>
        <w:t xml:space="preserve">глаголы изъявительного и повелительного наклонений, инфинитивы, причастия и деепричастия, </w:t>
      </w:r>
      <w:r>
        <w:rPr>
          <w:rFonts w:ascii="Times New Roman" w:hAnsi="Times New Roman"/>
          <w:bCs/>
        </w:rPr>
        <w:t>местоимения:</w:t>
      </w:r>
      <w:r>
        <w:rPr>
          <w:rFonts w:ascii="Times New Roman" w:hAnsi="Times New Roman" w:eastAsia="Times New Roman"/>
        </w:rPr>
        <w:t xml:space="preserve"> </w:t>
      </w:r>
      <w:r>
        <w:rPr>
          <w:rFonts w:ascii="Times New Roman" w:hAnsi="Times New Roman"/>
          <w:bCs/>
        </w:rPr>
        <w:t xml:space="preserve">личные, указательные, вопросительные, </w:t>
      </w:r>
      <w:r>
        <w:rPr>
          <w:rFonts w:ascii="Times New Roman" w:hAnsi="Times New Roman" w:eastAsia="Times New Roman"/>
        </w:rPr>
        <w:t>отрицательные («никам» («никто»), «нимĕн» («ничто»), лично-возвратные («хам» («сам», «сама»), «хамăр» («сами»), неопределенные («такам» («некто»), «темĕн» («нечто»), «темĕнле» («какой-то»), «тахăшĕ» («кто-то»), «темиçе» («несколько»)</w:t>
      </w:r>
      <w:r>
        <w:rPr>
          <w:rFonts w:ascii="Times New Roman" w:hAnsi="Times New Roman"/>
          <w:bCs/>
        </w:rPr>
        <w:t>, прилагательные в роли сказуемого в сравнительной и превосходной степени, количественные (до 1000) и порядковые числительные, полные и краткие формы количественных числительных, наиболее употребительные наречия времени, степени,</w:t>
      </w:r>
      <w:r>
        <w:rPr>
          <w:rFonts w:ascii="Times New Roman" w:hAnsi="Times New Roman" w:eastAsia="Times New Roman"/>
        </w:rPr>
        <w:t xml:space="preserve"> образа действия, меры и причины</w:t>
      </w:r>
      <w:r>
        <w:rPr>
          <w:rFonts w:ascii="Times New Roman" w:hAnsi="Times New Roman"/>
          <w:bCs/>
        </w:rPr>
        <w:t>, послелоги, союзы, междометия;</w:t>
      </w:r>
    </w:p>
    <w:p w14:paraId="25ED6C20">
      <w:pPr>
        <w:widowControl/>
        <w:tabs>
          <w:tab w:val="left" w:pos="1134"/>
        </w:tabs>
        <w:overflowPunct w:val="0"/>
        <w:autoSpaceDE w:val="0"/>
        <w:autoSpaceDN w:val="0"/>
        <w:adjustRightInd w:val="0"/>
        <w:spacing w:after="0" w:line="360" w:lineRule="auto"/>
        <w:ind w:firstLine="709"/>
        <w:jc w:val="both"/>
        <w:rPr>
          <w:rFonts w:ascii="Times New Roman" w:hAnsi="Times New Roman"/>
          <w:bCs/>
        </w:rPr>
      </w:pPr>
      <w:r>
        <w:rPr>
          <w:rFonts w:ascii="Times New Roman" w:hAnsi="Times New Roman" w:eastAsia="Times New Roman"/>
        </w:rPr>
        <w:t>объяснять особенности использования форм глаголов, употребляющихся в речи для обозначения действий в будущем и прошедшем времени</w:t>
      </w:r>
      <w:r>
        <w:rPr>
          <w:rFonts w:ascii="Times New Roman" w:hAnsi="Times New Roman"/>
        </w:rPr>
        <w:t>;</w:t>
      </w:r>
    </w:p>
    <w:p w14:paraId="19C3EE70">
      <w:pPr>
        <w:widowControl/>
        <w:tabs>
          <w:tab w:val="left" w:pos="1134"/>
        </w:tabs>
        <w:overflowPunct w:val="0"/>
        <w:autoSpaceDE w:val="0"/>
        <w:autoSpaceDN w:val="0"/>
        <w:adjustRightInd w:val="0"/>
        <w:spacing w:after="0" w:line="360" w:lineRule="auto"/>
        <w:ind w:firstLine="709"/>
        <w:jc w:val="both"/>
        <w:rPr>
          <w:rFonts w:ascii="Times New Roman" w:hAnsi="Times New Roman"/>
          <w:bCs/>
        </w:rPr>
      </w:pPr>
      <w:r>
        <w:rPr>
          <w:rFonts w:ascii="Times New Roman" w:hAnsi="Times New Roman"/>
          <w:bCs/>
        </w:rPr>
        <w:t>различать главные и второстепенные (без деления на виды) члены предложения по вопросу.</w:t>
      </w:r>
      <w:bookmarkEnd w:id="12"/>
    </w:p>
    <w:p w14:paraId="621352FA">
      <w:pPr>
        <w:pStyle w:val="2"/>
        <w:pBdr>
          <w:bottom w:val="none" w:color="auto" w:sz="0" w:space="0"/>
        </w:pBdr>
        <w:spacing w:before="0" w:line="360" w:lineRule="auto"/>
        <w:ind w:firstLine="708"/>
        <w:jc w:val="both"/>
        <w:rPr>
          <w:b w:val="0"/>
          <w:bCs/>
          <w:sz w:val="22"/>
          <w:szCs w:val="22"/>
          <w:lang w:bidi="ru-RU"/>
        </w:rPr>
      </w:pPr>
      <w:r>
        <w:rPr>
          <w:b w:val="0"/>
          <w:bCs/>
          <w:sz w:val="22"/>
          <w:szCs w:val="22"/>
          <w:lang w:bidi="ru-RU"/>
        </w:rPr>
        <w:t>7. Рабочая программа по учебному предмету «Литературное чтение на родном (чувашском) языке».</w:t>
      </w:r>
    </w:p>
    <w:p w14:paraId="1BB7CABC">
      <w:pPr>
        <w:widowControl/>
        <w:tabs>
          <w:tab w:val="left" w:pos="1134"/>
        </w:tabs>
        <w:spacing w:after="0" w:line="360" w:lineRule="auto"/>
        <w:ind w:firstLine="709"/>
        <w:jc w:val="both"/>
        <w:rPr>
          <w:rFonts w:ascii="Times New Roman" w:hAnsi="Times New Roman"/>
          <w:bCs/>
          <w:lang w:bidi="ru-RU"/>
        </w:rPr>
      </w:pPr>
      <w:r>
        <w:rPr>
          <w:rFonts w:ascii="Times New Roman" w:hAnsi="Times New Roman"/>
          <w:bCs/>
          <w:lang w:bidi="ru-RU"/>
        </w:rPr>
        <w:t xml:space="preserve">7.1. Рабочая программа по учебному предмету «Литературное чтение на родном (чувашском) языке» (предметная область «Родной язык и литературное чтение на родном языке») (далее соответственно – программа по литературному чтению на родном (чувашском) языке, литературное чтение на родном (чувашском) языке) разработана для обучающихся, владеющих родным (чувашским) языком, и включает пояснительную записку, содержание обучения, планируемые результаты освоения программы по литературному чтению на родном (чувашском) языке. </w:t>
      </w:r>
    </w:p>
    <w:p w14:paraId="3F402490">
      <w:pPr>
        <w:widowControl/>
        <w:tabs>
          <w:tab w:val="left" w:pos="1134"/>
        </w:tabs>
        <w:spacing w:after="0" w:line="360" w:lineRule="auto"/>
        <w:ind w:firstLine="709"/>
        <w:jc w:val="both"/>
        <w:rPr>
          <w:rFonts w:ascii="Times New Roman" w:hAnsi="Times New Roman"/>
          <w:bCs/>
          <w:lang w:bidi="ru-RU"/>
        </w:rPr>
      </w:pPr>
      <w:r>
        <w:rPr>
          <w:rFonts w:ascii="Times New Roman" w:hAnsi="Times New Roman"/>
          <w:bCs/>
          <w:lang w:bidi="ru-RU"/>
        </w:rPr>
        <w:t>7.2. Пояснительная записка отражает общие цели изучения литературного чтения на родном (чувашском) языке, место в структуре учебного плана, а также подходы к отбору содержания, к определению планируемых результатов.</w:t>
      </w:r>
    </w:p>
    <w:p w14:paraId="58FD4A6D">
      <w:pPr>
        <w:widowControl/>
        <w:tabs>
          <w:tab w:val="left" w:pos="1134"/>
        </w:tabs>
        <w:spacing w:after="0" w:line="360" w:lineRule="auto"/>
        <w:ind w:firstLine="709"/>
        <w:jc w:val="both"/>
        <w:rPr>
          <w:rFonts w:ascii="Times New Roman" w:hAnsi="Times New Roman"/>
          <w:bCs/>
          <w:lang w:bidi="ru-RU"/>
        </w:rPr>
      </w:pPr>
      <w:r>
        <w:rPr>
          <w:rFonts w:ascii="Times New Roman" w:hAnsi="Times New Roman"/>
          <w:bCs/>
          <w:lang w:bidi="ru-RU"/>
        </w:rPr>
        <w:t xml:space="preserve">7.3. Содержание обучения раскрывает содержательные линии, которые предлагаются для обязательного изучения в каждом классе на уровне начального общего образования. </w:t>
      </w:r>
    </w:p>
    <w:p w14:paraId="4E0885BA">
      <w:pPr>
        <w:widowControl/>
        <w:tabs>
          <w:tab w:val="left" w:pos="1134"/>
        </w:tabs>
        <w:spacing w:after="0" w:line="360" w:lineRule="auto"/>
        <w:ind w:firstLine="709"/>
        <w:jc w:val="both"/>
        <w:rPr>
          <w:rFonts w:ascii="Times New Roman" w:hAnsi="Times New Roman"/>
          <w:bCs/>
          <w:lang w:bidi="ru-RU"/>
        </w:rPr>
      </w:pPr>
      <w:r>
        <w:rPr>
          <w:rFonts w:ascii="Times New Roman" w:hAnsi="Times New Roman"/>
          <w:bCs/>
          <w:lang w:bidi="ru-RU"/>
        </w:rPr>
        <w:t>7.4. Планируемые результаты освоения программы по литературному чтению на родном (чувашском) языке включают личностные, метапредметные результаты за весь период обучения на уровне начального общего образования, а также предметные результаты за каждый год обучения.</w:t>
      </w:r>
    </w:p>
    <w:p w14:paraId="46A38233">
      <w:pPr>
        <w:widowControl/>
        <w:tabs>
          <w:tab w:val="left" w:pos="1134"/>
        </w:tabs>
        <w:spacing w:after="0" w:line="360" w:lineRule="auto"/>
        <w:ind w:firstLine="709"/>
        <w:jc w:val="both"/>
        <w:rPr>
          <w:rFonts w:ascii="Times New Roman" w:hAnsi="Times New Roman"/>
          <w:bCs/>
          <w:lang w:bidi="ru-RU"/>
        </w:rPr>
      </w:pPr>
      <w:r>
        <w:rPr>
          <w:rFonts w:ascii="Times New Roman" w:hAnsi="Times New Roman"/>
          <w:bCs/>
          <w:lang w:bidi="ru-RU"/>
        </w:rPr>
        <w:t>7.5. Пояснительная записка.</w:t>
      </w:r>
    </w:p>
    <w:p w14:paraId="3E5B3489">
      <w:pPr>
        <w:widowControl/>
        <w:tabs>
          <w:tab w:val="left" w:pos="1134"/>
        </w:tabs>
        <w:spacing w:after="0" w:line="360" w:lineRule="auto"/>
        <w:ind w:firstLine="709"/>
        <w:jc w:val="both"/>
        <w:rPr>
          <w:rFonts w:ascii="Times New Roman" w:hAnsi="Times New Roman"/>
          <w:bCs/>
          <w:lang w:bidi="ru-RU"/>
        </w:rPr>
      </w:pPr>
      <w:r>
        <w:rPr>
          <w:rFonts w:ascii="Times New Roman" w:hAnsi="Times New Roman"/>
          <w:bCs/>
          <w:lang w:bidi="ru-RU"/>
        </w:rPr>
        <w:t>7.5.1. Программа по литературному чтению на родном (чувашском) языке на уровне начального общего образования разработана с целью оказания методической помощи учителю в создании рабочей программы по учебному предмету, ориентированной на современные тенденции в образовании и активные методы обучения.</w:t>
      </w:r>
    </w:p>
    <w:p w14:paraId="3EE68643">
      <w:pPr>
        <w:widowControl/>
        <w:tabs>
          <w:tab w:val="left" w:pos="1134"/>
        </w:tabs>
        <w:spacing w:after="0" w:line="360" w:lineRule="auto"/>
        <w:ind w:firstLine="709"/>
        <w:jc w:val="both"/>
        <w:rPr>
          <w:rFonts w:ascii="Times New Roman" w:hAnsi="Times New Roman"/>
          <w:bCs/>
          <w:lang w:bidi="ru-RU"/>
        </w:rPr>
      </w:pPr>
      <w:r>
        <w:rPr>
          <w:rFonts w:ascii="Times New Roman" w:hAnsi="Times New Roman"/>
          <w:bCs/>
          <w:lang w:bidi="ru-RU"/>
        </w:rPr>
        <w:t>7.5.2. Литературное чтение на родном (чувашском) языке формирует основные компетенции в сфере литературного чтения, изучение данного предмета способствует развитию интеллектуально-познавательных, коммуникативных, художественно-эстетических способностей обучающихся, формированию важнейших нравственно-этических представлений, приобщению личности к чувашской национальной культуре.</w:t>
      </w:r>
    </w:p>
    <w:p w14:paraId="2B4074F6">
      <w:pPr>
        <w:widowControl/>
        <w:tabs>
          <w:tab w:val="left" w:pos="1134"/>
        </w:tabs>
        <w:spacing w:after="0" w:line="360" w:lineRule="auto"/>
        <w:ind w:firstLine="709"/>
        <w:jc w:val="both"/>
        <w:rPr>
          <w:rFonts w:ascii="Times New Roman" w:hAnsi="Times New Roman"/>
          <w:bCs/>
          <w:lang w:bidi="ru-RU"/>
        </w:rPr>
      </w:pPr>
      <w:r>
        <w:rPr>
          <w:rFonts w:ascii="Times New Roman" w:hAnsi="Times New Roman"/>
          <w:bCs/>
          <w:lang w:bidi="ru-RU"/>
        </w:rPr>
        <w:t xml:space="preserve">7.5.3. Включенность литературного чтения на родном (чувашском) языке в общую систему начального общего образования обеспечивается содержательными связями с другими учебными предметами. В аспекте повышения уровня владения родной речью, формирования языковой и литературной функциональной грамотности литературного чтения на родном (чувашском) языке тесно связано с учебным предметом «Родной (чувашский) язык». Условия двуязычия и поликультурности в Чувашской Республике, определяют линию связи данного учебного предмета с учебными предметами «Русский язык» и «Литературное чтение» и это открывает возможность диалога русской и чувашской литератур и культур. Социализации личности, ее речевому и духовному развитию способствуют также связи учебного предмета «Литературное чтение на родном (чувашском) языке» с учебными предметами «Музыка», «Изобразительное искусство», «Окружающий мир». «Литература вулавĕ» (Литературное чтение на родном (чувашском) языке) – это один из основных предметов гуманитарного цикла на уровне начального общего образования. Успешное изучение предмета обеспечивает результативность обучения другим предметам. </w:t>
      </w:r>
    </w:p>
    <w:p w14:paraId="435D6702">
      <w:pPr>
        <w:widowControl/>
        <w:tabs>
          <w:tab w:val="left" w:pos="1134"/>
        </w:tabs>
        <w:spacing w:after="0" w:line="360" w:lineRule="auto"/>
        <w:ind w:firstLine="709"/>
        <w:jc w:val="both"/>
        <w:rPr>
          <w:rFonts w:ascii="Times New Roman" w:hAnsi="Times New Roman"/>
          <w:bCs/>
          <w:lang w:bidi="ru-RU"/>
        </w:rPr>
      </w:pPr>
      <w:r>
        <w:rPr>
          <w:rFonts w:ascii="Times New Roman" w:hAnsi="Times New Roman"/>
          <w:bCs/>
          <w:lang w:bidi="ru-RU"/>
        </w:rPr>
        <w:t xml:space="preserve">7.5.4. Программа по литературному чтению на родном (чувашском) языке учитывает актуальные задачи развития, обучения и воспитания обучающихся, предметное содержание системы начального общего образования, психолого-возрастные особенности обучающихся. В основе Программы лежит системно-деятельностный подход. Она нацелена на целевые приоритеты, сформулированные в федеральной </w:t>
      </w:r>
      <w:r>
        <w:rPr>
          <w:rFonts w:ascii="Times New Roman" w:hAnsi="Times New Roman" w:eastAsia="SchoolBookSanPin"/>
        </w:rPr>
        <w:t xml:space="preserve">рабочей </w:t>
      </w:r>
      <w:r>
        <w:rPr>
          <w:rFonts w:ascii="Times New Roman" w:hAnsi="Times New Roman"/>
          <w:bCs/>
          <w:lang w:bidi="ru-RU"/>
        </w:rPr>
        <w:t>программе воспитания.</w:t>
      </w:r>
    </w:p>
    <w:p w14:paraId="4A573C57">
      <w:pPr>
        <w:widowControl/>
        <w:tabs>
          <w:tab w:val="left" w:pos="1134"/>
        </w:tabs>
        <w:spacing w:after="0" w:line="360" w:lineRule="auto"/>
        <w:ind w:firstLine="709"/>
        <w:jc w:val="both"/>
        <w:rPr>
          <w:rFonts w:ascii="Times New Roman" w:hAnsi="Times New Roman"/>
          <w:bCs/>
          <w:lang w:bidi="ru-RU"/>
        </w:rPr>
      </w:pPr>
      <w:r>
        <w:rPr>
          <w:rFonts w:ascii="Times New Roman" w:hAnsi="Times New Roman"/>
          <w:bCs/>
          <w:lang w:bidi="ru-RU"/>
        </w:rPr>
        <w:t>7.5.5. Построение программы по литературному чтению на родном (чувашском) языке основано на концентрическом принципе. В каждом последующем классе освоенные на предыдущем этапе языковые знания и умения, речевые навыки повторяются, закрепляются и расширяются на новом материале. В основу отбора произведений положены общедидактические принципы обучения, в том числе: соответствие возрастным возможностям и особенностям восприятия обучающимися фольклорных произведений и литературных текстов, представленность в произведениях нравственно-эстетических ценностей, культурных традиций народов России, отдельных произведений выдающихся представителей мировой детской литературы. Важным принципом отбора содержания учебного предмета «Литературное чтение на родном (чувашском) языке» является представленность разных жанров, видов и стилей произведений, обеспечивающих формирование функциональной литературной грамотности обучающегося, а также возможность достижения метапредметных результатов, способности обучающегося воспринимать различные учебные тексты при изучении других предметов учебного плана начального общего образования.</w:t>
      </w:r>
    </w:p>
    <w:p w14:paraId="295FD662">
      <w:pPr>
        <w:widowControl/>
        <w:tabs>
          <w:tab w:val="left" w:pos="1134"/>
        </w:tabs>
        <w:spacing w:after="0" w:line="360" w:lineRule="auto"/>
        <w:ind w:firstLine="709"/>
        <w:jc w:val="both"/>
        <w:rPr>
          <w:rFonts w:ascii="Times New Roman" w:hAnsi="Times New Roman"/>
          <w:bCs/>
          <w:lang w:bidi="ru-RU"/>
        </w:rPr>
      </w:pPr>
      <w:r>
        <w:rPr>
          <w:rFonts w:ascii="Times New Roman" w:hAnsi="Times New Roman"/>
          <w:bCs/>
          <w:lang w:bidi="ru-RU"/>
        </w:rPr>
        <w:t xml:space="preserve">7.5.6. В содержании программы по литературному чтению на родном (чувашском) языке выделяются следующие содержательные линии: </w:t>
      </w:r>
      <w:r>
        <w:rPr>
          <w:rFonts w:ascii="Times New Roman" w:hAnsi="Times New Roman"/>
          <w:bCs/>
          <w:iCs/>
          <w:lang w:bidi="ru-RU"/>
        </w:rPr>
        <w:t xml:space="preserve">речевая деятельность </w:t>
      </w:r>
      <w:r>
        <w:rPr>
          <w:rFonts w:ascii="Times New Roman" w:hAnsi="Times New Roman"/>
          <w:bCs/>
          <w:lang w:bidi="ru-RU"/>
        </w:rPr>
        <w:t xml:space="preserve">(пуплев ĕç-хĕлĕ), </w:t>
      </w:r>
      <w:r>
        <w:rPr>
          <w:rFonts w:ascii="Times New Roman" w:hAnsi="Times New Roman"/>
          <w:bCs/>
          <w:iCs/>
          <w:lang w:bidi="ru-RU"/>
        </w:rPr>
        <w:t xml:space="preserve">литературоведческая пропедевтика (литература пĕлĕвĕн кÿртĕмĕ), творческая деятельность </w:t>
      </w:r>
      <w:r>
        <w:rPr>
          <w:rFonts w:ascii="Times New Roman" w:hAnsi="Times New Roman"/>
          <w:bCs/>
          <w:lang w:bidi="ru-RU"/>
        </w:rPr>
        <w:t xml:space="preserve">(ăславлăх ĕç-хĕлĕ), </w:t>
      </w:r>
      <w:r>
        <w:rPr>
          <w:rFonts w:ascii="Times New Roman" w:hAnsi="Times New Roman"/>
          <w:bCs/>
          <w:iCs/>
          <w:lang w:bidi="ru-RU"/>
        </w:rPr>
        <w:t xml:space="preserve">библиографическая культура </w:t>
      </w:r>
      <w:r>
        <w:rPr>
          <w:rFonts w:ascii="Times New Roman" w:hAnsi="Times New Roman"/>
          <w:bCs/>
          <w:lang w:bidi="ru-RU"/>
        </w:rPr>
        <w:t xml:space="preserve">(библиографи культури), </w:t>
      </w:r>
      <w:r>
        <w:rPr>
          <w:rFonts w:ascii="Times New Roman" w:hAnsi="Times New Roman"/>
          <w:bCs/>
          <w:iCs/>
          <w:lang w:bidi="ru-RU"/>
        </w:rPr>
        <w:t>круг детского чтения</w:t>
      </w:r>
      <w:r>
        <w:rPr>
          <w:rFonts w:ascii="Times New Roman" w:hAnsi="Times New Roman"/>
          <w:bCs/>
          <w:lang w:bidi="ru-RU"/>
        </w:rPr>
        <w:t xml:space="preserve"> (ача-пăча вулав карти).</w:t>
      </w:r>
    </w:p>
    <w:p w14:paraId="2D9C7E2A">
      <w:pPr>
        <w:widowControl/>
        <w:tabs>
          <w:tab w:val="left" w:pos="1134"/>
        </w:tabs>
        <w:spacing w:after="0" w:line="360" w:lineRule="auto"/>
        <w:ind w:firstLine="709"/>
        <w:jc w:val="both"/>
        <w:rPr>
          <w:rFonts w:ascii="Times New Roman" w:hAnsi="Times New Roman"/>
          <w:bCs/>
          <w:lang w:bidi="ru-RU"/>
        </w:rPr>
      </w:pPr>
      <w:r>
        <w:rPr>
          <w:rFonts w:ascii="Times New Roman" w:hAnsi="Times New Roman"/>
          <w:bCs/>
          <w:lang w:bidi="ru-RU"/>
        </w:rPr>
        <w:t>7.5.7. Изучение литературного чтения на родном (чувашском) языке направлено на достижение следующих целей:</w:t>
      </w:r>
    </w:p>
    <w:p w14:paraId="5D60942D">
      <w:pPr>
        <w:widowControl/>
        <w:tabs>
          <w:tab w:val="left" w:pos="1134"/>
        </w:tabs>
        <w:spacing w:after="0" w:line="360" w:lineRule="auto"/>
        <w:ind w:firstLine="709"/>
        <w:jc w:val="both"/>
        <w:rPr>
          <w:rFonts w:ascii="Times New Roman" w:hAnsi="Times New Roman"/>
          <w:bCs/>
          <w:lang w:bidi="ru-RU"/>
        </w:rPr>
      </w:pPr>
      <w:r>
        <w:rPr>
          <w:rFonts w:ascii="Times New Roman" w:hAnsi="Times New Roman"/>
          <w:bCs/>
          <w:lang w:bidi="ru-RU"/>
        </w:rPr>
        <w:t>совершенствование всех видов речевой деятельности, овладение навыками работы с разными видами текстов, формирование читательского кругозора и приобретение опыта самостоятельной читательской деятельности;</w:t>
      </w:r>
    </w:p>
    <w:p w14:paraId="3CAAC930">
      <w:pPr>
        <w:widowControl/>
        <w:tabs>
          <w:tab w:val="left" w:pos="1134"/>
        </w:tabs>
        <w:spacing w:after="0" w:line="360" w:lineRule="auto"/>
        <w:ind w:firstLine="709"/>
        <w:jc w:val="both"/>
        <w:rPr>
          <w:rFonts w:ascii="Times New Roman" w:hAnsi="Times New Roman"/>
          <w:bCs/>
          <w:lang w:bidi="ru-RU"/>
        </w:rPr>
      </w:pPr>
      <w:r>
        <w:rPr>
          <w:rFonts w:ascii="Times New Roman" w:hAnsi="Times New Roman"/>
          <w:bCs/>
          <w:lang w:bidi="ru-RU"/>
        </w:rPr>
        <w:t>овладение техникой смыслового чтения вслух, «про себя» и текстовой деятельностью, обеспечивающей понимание и использование информации для решения учебных задач;</w:t>
      </w:r>
    </w:p>
    <w:p w14:paraId="0FD6FA7B">
      <w:pPr>
        <w:widowControl/>
        <w:tabs>
          <w:tab w:val="left" w:pos="1134"/>
        </w:tabs>
        <w:spacing w:after="0" w:line="360" w:lineRule="auto"/>
        <w:ind w:firstLine="709"/>
        <w:jc w:val="both"/>
        <w:rPr>
          <w:rFonts w:ascii="Times New Roman" w:hAnsi="Times New Roman"/>
          <w:bCs/>
          <w:lang w:bidi="ru-RU"/>
        </w:rPr>
      </w:pPr>
      <w:r>
        <w:rPr>
          <w:rFonts w:ascii="Times New Roman" w:hAnsi="Times New Roman"/>
          <w:bCs/>
          <w:lang w:bidi="ru-RU"/>
        </w:rPr>
        <w:t>развитие художественно-творческих и познавательных способностей, эмоциональной отзывчивости при чтении художественных произведений, формирование эстетического отношения к искусству слова и осмысление прочитанного;</w:t>
      </w:r>
    </w:p>
    <w:p w14:paraId="6AAE1BDC">
      <w:pPr>
        <w:widowControl/>
        <w:tabs>
          <w:tab w:val="left" w:pos="1134"/>
        </w:tabs>
        <w:spacing w:after="0" w:line="360" w:lineRule="auto"/>
        <w:ind w:firstLine="709"/>
        <w:jc w:val="both"/>
        <w:rPr>
          <w:rFonts w:ascii="Times New Roman" w:hAnsi="Times New Roman"/>
          <w:b/>
          <w:bCs/>
          <w:lang w:bidi="ru-RU"/>
        </w:rPr>
      </w:pPr>
      <w:r>
        <w:rPr>
          <w:rFonts w:ascii="Times New Roman" w:hAnsi="Times New Roman"/>
          <w:bCs/>
          <w:lang w:bidi="ru-RU"/>
        </w:rPr>
        <w:t>формирование интереса к истории, традиции, искусству своего народа, а также к истории и культуре народов многонациональной России и других стран.</w:t>
      </w:r>
    </w:p>
    <w:p w14:paraId="22015762">
      <w:pPr>
        <w:widowControl/>
        <w:tabs>
          <w:tab w:val="left" w:pos="1134"/>
        </w:tabs>
        <w:spacing w:after="0" w:line="360" w:lineRule="auto"/>
        <w:ind w:firstLine="709"/>
        <w:jc w:val="both"/>
        <w:rPr>
          <w:rFonts w:ascii="Times New Roman" w:hAnsi="Times New Roman"/>
          <w:bCs/>
          <w:lang w:bidi="ru-RU"/>
        </w:rPr>
      </w:pPr>
      <w:r>
        <w:rPr>
          <w:rFonts w:ascii="Times New Roman" w:hAnsi="Times New Roman"/>
          <w:bCs/>
          <w:lang w:bidi="ru-RU"/>
        </w:rPr>
        <w:t>7.5.8. Общее число часов, рекомендованных для изучения литературного чтения на родном (чувашском) языке, – 95 часов: в 1 классе – 10 часов (1 час в неделю), во 2 классе – 34 часа (1 час в неделю), в 3 классе – 34 часа (1 час в неделю), в 4 классе 17 часов (0,5 часа в неделю).</w:t>
      </w:r>
    </w:p>
    <w:p w14:paraId="0238AA81">
      <w:pPr>
        <w:widowControl/>
        <w:tabs>
          <w:tab w:val="left" w:pos="1134"/>
        </w:tabs>
        <w:spacing w:after="0" w:line="360" w:lineRule="auto"/>
        <w:ind w:firstLine="709"/>
        <w:jc w:val="both"/>
        <w:rPr>
          <w:rFonts w:ascii="Times New Roman" w:hAnsi="Times New Roman"/>
          <w:bCs/>
          <w:lang w:bidi="ru-RU"/>
        </w:rPr>
      </w:pPr>
      <w:r>
        <w:rPr>
          <w:rFonts w:ascii="Times New Roman" w:hAnsi="Times New Roman"/>
          <w:bCs/>
          <w:lang w:bidi="ru-RU"/>
        </w:rPr>
        <w:t xml:space="preserve">Освоение программы по литературному чтению на родном (чувашском) языке в 1 классе начинается вводным интегрированным курсом «Обучение грамоте» – 46 часов (2 часа в неделю: 1 час родного (чувашского) языка и 1 час литературного чтения на родном (чувашском) языке. Продолжительность – 23 учебные недели). Далее начинается раздельное изучение родного (чувашского) языка и литературного чтения на родном (чувашском) языке. На изучение литературного чтения на родном (чувашском) языке в 1 классе рекомендуется отводить не менее 10 учебных недель (10 часов). </w:t>
      </w:r>
    </w:p>
    <w:p w14:paraId="5B4360FD">
      <w:pPr>
        <w:widowControl/>
        <w:tabs>
          <w:tab w:val="left" w:pos="1134"/>
        </w:tabs>
        <w:spacing w:after="0" w:line="360" w:lineRule="auto"/>
        <w:jc w:val="both"/>
        <w:rPr>
          <w:rFonts w:ascii="Times New Roman" w:hAnsi="Times New Roman"/>
          <w:bCs/>
          <w:lang w:bidi="ru-RU"/>
        </w:rPr>
      </w:pPr>
      <w:r>
        <w:rPr>
          <w:rFonts w:ascii="Times New Roman" w:hAnsi="Times New Roman"/>
        </w:rPr>
        <w:t>Возможна корректировка общего числа часов, рекомендованных для изучения предмета, с учетом индивидуального подхода образовательных организаций к выбору литературного чтения на родном (чувашском) языке, в рамках соблюдения гигиенических нормативов к недельной образовательной нагрузке.</w:t>
      </w:r>
    </w:p>
    <w:p w14:paraId="756ED18C">
      <w:pPr>
        <w:widowControl/>
        <w:tabs>
          <w:tab w:val="left" w:pos="1134"/>
        </w:tabs>
        <w:spacing w:after="0" w:line="360" w:lineRule="auto"/>
        <w:ind w:firstLine="709"/>
        <w:jc w:val="both"/>
        <w:rPr>
          <w:rFonts w:ascii="Times New Roman" w:hAnsi="Times New Roman"/>
          <w:bCs/>
          <w:lang w:bidi="ru-RU"/>
        </w:rPr>
      </w:pPr>
      <w:r>
        <w:rPr>
          <w:rFonts w:ascii="Times New Roman" w:hAnsi="Times New Roman"/>
          <w:bCs/>
          <w:lang w:bidi="ru-RU"/>
        </w:rPr>
        <w:t>7.6. Содержание обучения в 1 классе.</w:t>
      </w:r>
    </w:p>
    <w:p w14:paraId="2217ED87">
      <w:pPr>
        <w:widowControl/>
        <w:tabs>
          <w:tab w:val="left" w:pos="1134"/>
        </w:tabs>
        <w:spacing w:after="0" w:line="360" w:lineRule="auto"/>
        <w:ind w:firstLine="709"/>
        <w:jc w:val="both"/>
        <w:rPr>
          <w:rFonts w:ascii="Times New Roman" w:hAnsi="Times New Roman"/>
          <w:bCs/>
          <w:lang w:bidi="ru-RU"/>
        </w:rPr>
      </w:pPr>
      <w:r>
        <w:rPr>
          <w:rFonts w:ascii="Times New Roman" w:hAnsi="Times New Roman"/>
          <w:bCs/>
          <w:lang w:bidi="ru-RU"/>
        </w:rPr>
        <w:t>7.6.1. Речевая деятельность.</w:t>
      </w:r>
    </w:p>
    <w:p w14:paraId="72FC4BAA">
      <w:pPr>
        <w:widowControl/>
        <w:tabs>
          <w:tab w:val="left" w:pos="1134"/>
        </w:tabs>
        <w:spacing w:after="0" w:line="360" w:lineRule="auto"/>
        <w:ind w:firstLine="709"/>
        <w:jc w:val="both"/>
        <w:rPr>
          <w:rFonts w:ascii="Times New Roman" w:hAnsi="Times New Roman"/>
          <w:bCs/>
          <w:lang w:bidi="ru-RU"/>
        </w:rPr>
      </w:pPr>
      <w:r>
        <w:rPr>
          <w:rFonts w:ascii="Times New Roman" w:hAnsi="Times New Roman"/>
          <w:bCs/>
          <w:lang w:bidi="ru-RU"/>
        </w:rPr>
        <w:t>Понимание содержания устной речи, определение последовательности событий. Соотнесение услышанного текста с иллюстрациями к нему. Участие в диалоге. Монологическое речевое высказывание небольшого объёма с использованием авторского текста, по предложенной теме или в виде ответа на вопрос. Постепенный переход от слогового к плавному осмысленному правильному чтению целыми словами вслух. Восстановление предложений, ответы на вопросы по прочитанному или прослушанному произведению.</w:t>
      </w:r>
    </w:p>
    <w:p w14:paraId="1C885857">
      <w:pPr>
        <w:widowControl/>
        <w:tabs>
          <w:tab w:val="left" w:pos="1134"/>
        </w:tabs>
        <w:spacing w:after="0" w:line="360" w:lineRule="auto"/>
        <w:ind w:firstLine="709"/>
        <w:jc w:val="both"/>
        <w:rPr>
          <w:rFonts w:ascii="Times New Roman" w:hAnsi="Times New Roman"/>
          <w:bCs/>
          <w:lang w:bidi="ru-RU"/>
        </w:rPr>
      </w:pPr>
      <w:r>
        <w:rPr>
          <w:rFonts w:ascii="Times New Roman" w:hAnsi="Times New Roman"/>
          <w:bCs/>
          <w:lang w:bidi="ru-RU"/>
        </w:rPr>
        <w:t>7.6.2. Литературоведческая пропедевтика.</w:t>
      </w:r>
    </w:p>
    <w:p w14:paraId="3E8886B2">
      <w:pPr>
        <w:widowControl/>
        <w:tabs>
          <w:tab w:val="left" w:pos="1134"/>
        </w:tabs>
        <w:spacing w:after="0" w:line="360" w:lineRule="auto"/>
        <w:ind w:firstLine="709"/>
        <w:jc w:val="both"/>
        <w:rPr>
          <w:rFonts w:ascii="Times New Roman" w:hAnsi="Times New Roman"/>
          <w:bCs/>
          <w:lang w:bidi="ru-RU"/>
        </w:rPr>
      </w:pPr>
      <w:r>
        <w:rPr>
          <w:rFonts w:ascii="Times New Roman" w:hAnsi="Times New Roman"/>
          <w:bCs/>
          <w:lang w:bidi="ru-RU"/>
        </w:rPr>
        <w:t>Устное народное творчество: малые фольклорные жанры. Многообразие малых жанров устного народного творчества. Особенности разных малых фольклорных жанров (заклички, загадки, считалки, скороговорки). Особенности скороговорок, их роль в речи. Ритм и счёт как основные средства выразительности и построения считалки.</w:t>
      </w:r>
    </w:p>
    <w:p w14:paraId="33414AA0">
      <w:pPr>
        <w:widowControl/>
        <w:tabs>
          <w:tab w:val="left" w:pos="1134"/>
        </w:tabs>
        <w:spacing w:after="0" w:line="360" w:lineRule="auto"/>
        <w:ind w:firstLine="709"/>
        <w:jc w:val="both"/>
        <w:rPr>
          <w:rFonts w:ascii="Times New Roman" w:hAnsi="Times New Roman"/>
          <w:bCs/>
          <w:lang w:bidi="ru-RU"/>
        </w:rPr>
      </w:pPr>
      <w:r>
        <w:rPr>
          <w:rFonts w:ascii="Times New Roman" w:hAnsi="Times New Roman"/>
          <w:bCs/>
          <w:lang w:bidi="ru-RU"/>
        </w:rPr>
        <w:t>Фольклорная и авторская сказка. Реальность и волшебство в сказке. Последовательность событий в сказке. Герои сказочных произведений. Нравственные ценности и идеи в народных сказках, поступки, отражающие нравственные качества.</w:t>
      </w:r>
    </w:p>
    <w:p w14:paraId="261AB2D8">
      <w:pPr>
        <w:widowControl/>
        <w:tabs>
          <w:tab w:val="left" w:pos="1134"/>
        </w:tabs>
        <w:spacing w:after="0" w:line="360" w:lineRule="auto"/>
        <w:ind w:firstLine="709"/>
        <w:jc w:val="both"/>
        <w:rPr>
          <w:rFonts w:ascii="Times New Roman" w:hAnsi="Times New Roman"/>
          <w:bCs/>
          <w:lang w:bidi="ru-RU"/>
        </w:rPr>
      </w:pPr>
      <w:r>
        <w:rPr>
          <w:rFonts w:ascii="Times New Roman" w:hAnsi="Times New Roman"/>
          <w:bCs/>
          <w:lang w:bidi="ru-RU"/>
        </w:rPr>
        <w:t xml:space="preserve">Понятие «тема произведения» (общее представление). Понимание заголовка произведения, его соотношения с содержанием произведения. Характеристика героя произведения, общая оценка поступков. Тема поэтических произведений. Особенности стихотворной речи, сравнение с прозаической: рифма, ритм (практическое ознакомление). Настроение, которое рождает поэтическое произведение. Виды текстов: художественный и научно-познавательный, их сравнение. </w:t>
      </w:r>
    </w:p>
    <w:p w14:paraId="1F55E83B">
      <w:pPr>
        <w:widowControl/>
        <w:tabs>
          <w:tab w:val="left" w:pos="1134"/>
        </w:tabs>
        <w:spacing w:after="0" w:line="360" w:lineRule="auto"/>
        <w:ind w:firstLine="709"/>
        <w:jc w:val="both"/>
        <w:rPr>
          <w:rFonts w:ascii="Times New Roman" w:hAnsi="Times New Roman"/>
          <w:bCs/>
          <w:lang w:bidi="ru-RU"/>
        </w:rPr>
      </w:pPr>
      <w:r>
        <w:rPr>
          <w:rFonts w:ascii="Times New Roman" w:hAnsi="Times New Roman"/>
          <w:bCs/>
          <w:lang w:bidi="ru-RU"/>
        </w:rPr>
        <w:t>7.</w:t>
      </w:r>
      <w:r>
        <w:rPr>
          <w:rFonts w:ascii="Times New Roman" w:hAnsi="Times New Roman"/>
          <w:bCs/>
          <w:iCs/>
          <w:lang w:bidi="ru-RU"/>
        </w:rPr>
        <w:t>6.3. Творческая деятельность.</w:t>
      </w:r>
    </w:p>
    <w:p w14:paraId="25FA6F43">
      <w:pPr>
        <w:widowControl/>
        <w:tabs>
          <w:tab w:val="left" w:pos="1134"/>
        </w:tabs>
        <w:spacing w:after="0" w:line="360" w:lineRule="auto"/>
        <w:ind w:firstLine="709"/>
        <w:jc w:val="both"/>
        <w:rPr>
          <w:rFonts w:ascii="Times New Roman" w:hAnsi="Times New Roman"/>
          <w:bCs/>
          <w:lang w:bidi="ru-RU"/>
        </w:rPr>
      </w:pPr>
      <w:r>
        <w:rPr>
          <w:rFonts w:ascii="Times New Roman" w:hAnsi="Times New Roman"/>
          <w:bCs/>
          <w:lang w:bidi="ru-RU"/>
        </w:rPr>
        <w:t>Иллюстрирование отрывка произведения (по выбору). Пересказ проиллюстрированного отрывка произведения. Беседа о произведении. Чтение художественного произведения по ролям. Разучивание считалок, скороговорок.</w:t>
      </w:r>
    </w:p>
    <w:p w14:paraId="7D578FF3">
      <w:pPr>
        <w:widowControl/>
        <w:tabs>
          <w:tab w:val="left" w:pos="1134"/>
        </w:tabs>
        <w:spacing w:after="0" w:line="360" w:lineRule="auto"/>
        <w:ind w:firstLine="709"/>
        <w:jc w:val="both"/>
        <w:rPr>
          <w:rFonts w:ascii="Times New Roman" w:hAnsi="Times New Roman"/>
          <w:bCs/>
          <w:lang w:bidi="ru-RU"/>
        </w:rPr>
      </w:pPr>
      <w:r>
        <w:rPr>
          <w:rFonts w:ascii="Times New Roman" w:hAnsi="Times New Roman"/>
          <w:bCs/>
          <w:lang w:bidi="ru-RU"/>
        </w:rPr>
        <w:t>7.6.4. Библиографическая культура.</w:t>
      </w:r>
    </w:p>
    <w:p w14:paraId="135EA5CD">
      <w:pPr>
        <w:widowControl/>
        <w:tabs>
          <w:tab w:val="left" w:pos="1134"/>
        </w:tabs>
        <w:spacing w:after="0" w:line="360" w:lineRule="auto"/>
        <w:ind w:firstLine="709"/>
        <w:jc w:val="both"/>
        <w:rPr>
          <w:rFonts w:ascii="Times New Roman" w:hAnsi="Times New Roman"/>
          <w:bCs/>
          <w:lang w:bidi="ru-RU"/>
        </w:rPr>
      </w:pPr>
      <w:r>
        <w:rPr>
          <w:rFonts w:ascii="Times New Roman" w:hAnsi="Times New Roman"/>
          <w:bCs/>
          <w:lang w:bidi="ru-RU"/>
        </w:rPr>
        <w:t>Работа с детской книгой. Представление о том, что книга – источник необходимых знаний. Обложка, оглавление, иллюстрации как элементы ориентировки в книге.</w:t>
      </w:r>
    </w:p>
    <w:p w14:paraId="5F0A699D">
      <w:pPr>
        <w:widowControl/>
        <w:tabs>
          <w:tab w:val="left" w:pos="1134"/>
        </w:tabs>
        <w:spacing w:after="0" w:line="360" w:lineRule="auto"/>
        <w:ind w:firstLine="709"/>
        <w:jc w:val="both"/>
        <w:rPr>
          <w:rFonts w:ascii="Times New Roman" w:hAnsi="Times New Roman"/>
          <w:bCs/>
          <w:lang w:bidi="ru-RU"/>
        </w:rPr>
      </w:pPr>
      <w:r>
        <w:rPr>
          <w:rFonts w:ascii="Times New Roman" w:hAnsi="Times New Roman"/>
          <w:bCs/>
          <w:lang w:bidi="ru-RU"/>
        </w:rPr>
        <w:t>7.6.5. Круг детского чтения.</w:t>
      </w:r>
    </w:p>
    <w:p w14:paraId="33F4FB01">
      <w:pPr>
        <w:widowControl/>
        <w:tabs>
          <w:tab w:val="left" w:pos="1134"/>
        </w:tabs>
        <w:spacing w:after="0" w:line="360" w:lineRule="auto"/>
        <w:ind w:firstLine="709"/>
        <w:jc w:val="both"/>
        <w:rPr>
          <w:rFonts w:ascii="Times New Roman" w:hAnsi="Times New Roman"/>
          <w:bCs/>
          <w:lang w:bidi="ru-RU"/>
        </w:rPr>
      </w:pPr>
      <w:r>
        <w:rPr>
          <w:rFonts w:ascii="Times New Roman" w:hAnsi="Times New Roman"/>
          <w:bCs/>
          <w:lang w:bidi="ru-RU"/>
        </w:rPr>
        <w:t>7.6.5.1. В школу на учебу собирайся.</w:t>
      </w:r>
    </w:p>
    <w:p w14:paraId="4C1AB0DC">
      <w:pPr>
        <w:widowControl/>
        <w:tabs>
          <w:tab w:val="left" w:pos="1134"/>
        </w:tabs>
        <w:spacing w:after="0" w:line="360" w:lineRule="auto"/>
        <w:ind w:firstLine="709"/>
        <w:jc w:val="both"/>
        <w:rPr>
          <w:rFonts w:ascii="Times New Roman" w:hAnsi="Times New Roman"/>
          <w:bCs/>
          <w:lang w:bidi="ru-RU"/>
        </w:rPr>
      </w:pPr>
      <w:r>
        <w:rPr>
          <w:rFonts w:ascii="Times New Roman" w:hAnsi="Times New Roman"/>
          <w:bCs/>
          <w:lang w:bidi="ru-RU"/>
        </w:rPr>
        <w:t>Ю. Сементер «Кĕнеке» («Книга»), Петĕр Яккусен «Сарă çулçă» («Жёлтый лист»), В. Тарават «Çĕнук» («Зина»).</w:t>
      </w:r>
    </w:p>
    <w:p w14:paraId="1F7F5D07">
      <w:pPr>
        <w:widowControl/>
        <w:tabs>
          <w:tab w:val="left" w:pos="1134"/>
        </w:tabs>
        <w:spacing w:after="0" w:line="360" w:lineRule="auto"/>
        <w:ind w:firstLine="709"/>
        <w:jc w:val="both"/>
        <w:rPr>
          <w:rFonts w:ascii="Times New Roman" w:hAnsi="Times New Roman"/>
          <w:bCs/>
          <w:lang w:bidi="ru-RU"/>
        </w:rPr>
      </w:pPr>
      <w:r>
        <w:rPr>
          <w:rFonts w:ascii="Times New Roman" w:hAnsi="Times New Roman"/>
          <w:bCs/>
          <w:lang w:bidi="ru-RU"/>
        </w:rPr>
        <w:t>7.6.5.2. Малые жанры устного народного творчества.</w:t>
      </w:r>
    </w:p>
    <w:p w14:paraId="7BC5561A">
      <w:pPr>
        <w:widowControl/>
        <w:tabs>
          <w:tab w:val="left" w:pos="1134"/>
        </w:tabs>
        <w:spacing w:after="0" w:line="360" w:lineRule="auto"/>
        <w:ind w:firstLine="709"/>
        <w:jc w:val="both"/>
        <w:rPr>
          <w:rFonts w:ascii="Times New Roman" w:hAnsi="Times New Roman"/>
          <w:bCs/>
          <w:lang w:bidi="ru-RU"/>
        </w:rPr>
      </w:pPr>
      <w:r>
        <w:rPr>
          <w:rFonts w:ascii="Times New Roman" w:hAnsi="Times New Roman"/>
          <w:bCs/>
          <w:lang w:bidi="ru-RU"/>
        </w:rPr>
        <w:t xml:space="preserve">Шут сăввисем (Считалки). Таса каларăшсем (Скороговорки). Тупмалли юмахсем (Загадки). Чĕнÿ-йыхрав сăввисем (Заклички). </w:t>
      </w:r>
    </w:p>
    <w:p w14:paraId="02975E74">
      <w:pPr>
        <w:widowControl/>
        <w:tabs>
          <w:tab w:val="left" w:pos="1134"/>
        </w:tabs>
        <w:spacing w:after="0" w:line="360" w:lineRule="auto"/>
        <w:ind w:firstLine="709"/>
        <w:jc w:val="both"/>
        <w:rPr>
          <w:rFonts w:ascii="Times New Roman" w:hAnsi="Times New Roman"/>
          <w:bCs/>
          <w:lang w:bidi="ru-RU"/>
        </w:rPr>
      </w:pPr>
      <w:r>
        <w:rPr>
          <w:rFonts w:ascii="Times New Roman" w:hAnsi="Times New Roman"/>
          <w:bCs/>
          <w:lang w:bidi="ru-RU"/>
        </w:rPr>
        <w:t xml:space="preserve">7.6.5.3. Сказка где-то на столбе. </w:t>
      </w:r>
    </w:p>
    <w:p w14:paraId="0B913371">
      <w:pPr>
        <w:widowControl/>
        <w:tabs>
          <w:tab w:val="left" w:pos="1134"/>
        </w:tabs>
        <w:spacing w:after="0" w:line="360" w:lineRule="auto"/>
        <w:ind w:firstLine="709"/>
        <w:jc w:val="both"/>
        <w:rPr>
          <w:rFonts w:ascii="Times New Roman" w:hAnsi="Times New Roman"/>
          <w:bCs/>
          <w:lang w:bidi="ru-RU"/>
        </w:rPr>
      </w:pPr>
      <w:r>
        <w:rPr>
          <w:rFonts w:ascii="Times New Roman" w:hAnsi="Times New Roman"/>
          <w:bCs/>
          <w:lang w:bidi="ru-RU"/>
        </w:rPr>
        <w:t>Чувашская народная сказка «Пукане юмахĕ» («Сказка куклы»). Русская народная сказка «Упапа хĕр ача» («Маша и медведь»). «Улăп халапĕсем» («Легенды об Улыпе»). Русская народная сказка «Тилĕпе Качака таки» («Лиса и Козёл»). В. Сутеев, «Шăшипе Кăранташ» («Мышонок и Карандаш»).</w:t>
      </w:r>
    </w:p>
    <w:p w14:paraId="44D0DDF6">
      <w:pPr>
        <w:widowControl/>
        <w:tabs>
          <w:tab w:val="left" w:pos="1134"/>
        </w:tabs>
        <w:spacing w:after="0" w:line="360" w:lineRule="auto"/>
        <w:ind w:firstLine="709"/>
        <w:jc w:val="both"/>
        <w:rPr>
          <w:rFonts w:ascii="Times New Roman" w:hAnsi="Times New Roman"/>
          <w:bCs/>
          <w:lang w:bidi="ru-RU"/>
        </w:rPr>
      </w:pPr>
      <w:r>
        <w:rPr>
          <w:rFonts w:ascii="Times New Roman" w:hAnsi="Times New Roman"/>
          <w:bCs/>
          <w:lang w:bidi="ru-RU"/>
        </w:rPr>
        <w:t>7.6.5.4. О детях.</w:t>
      </w:r>
    </w:p>
    <w:p w14:paraId="27C0EA3C">
      <w:pPr>
        <w:widowControl/>
        <w:tabs>
          <w:tab w:val="left" w:pos="1134"/>
        </w:tabs>
        <w:spacing w:after="0" w:line="360" w:lineRule="auto"/>
        <w:ind w:firstLine="709"/>
        <w:jc w:val="both"/>
        <w:rPr>
          <w:rFonts w:ascii="Times New Roman" w:hAnsi="Times New Roman"/>
          <w:bCs/>
          <w:lang w:bidi="ru-RU"/>
        </w:rPr>
      </w:pPr>
      <w:r>
        <w:rPr>
          <w:rFonts w:ascii="Times New Roman" w:hAnsi="Times New Roman"/>
          <w:bCs/>
          <w:lang w:bidi="ru-RU"/>
        </w:rPr>
        <w:t xml:space="preserve">Н. Карай «Ураллă купăс» («Гармошка с ногами»), Силэм «Шак-шак-шак!» («Тук-тук-тук»), Р. Сарпи «Ташлать Илемпи» («Танцует Илемпи»), </w:t>
      </w:r>
      <w:r>
        <w:rPr>
          <w:rFonts w:ascii="Times New Roman" w:hAnsi="Times New Roman"/>
          <w:bCs/>
          <w:iCs/>
          <w:lang w:bidi="ru-RU"/>
        </w:rPr>
        <w:t xml:space="preserve">В. Тарават «Улах» («Посиделки»), Н. Ишентей «Хуплу пĕçерни» («Печём хуплу»), Петĕр Яккусен «Анне» («Мама»), Н. Карай «Пулăра» («На рыбалке»), Илпек Микулайĕ «Арбуз», Л. Сарине «Арман авăртать» («Мельница мелет»), Н. Носов «Шлепке» («Шляпа»), П. Эйзин «Кăвак ÿкерчĕк» («Голубая картина»), </w:t>
      </w:r>
      <w:r>
        <w:rPr>
          <w:rFonts w:ascii="Times New Roman" w:hAnsi="Times New Roman"/>
          <w:bCs/>
          <w:lang w:bidi="ru-RU"/>
        </w:rPr>
        <w:t>Н. Ыдарай «Чăваш ачи» («Маленький чуваш»), Ордем Гали «Пысăк ĕç» («Важная работа»), В. Голявкин «Инкек» («Беда»), Н. Карай «Макăрмарĕ» («Не заплакал»), Петĕр Яккусен «Юлан ут» («Всадник»), М. Салихов «Усăллă кану» («Полезный отдых»), В. Осеева «Ырă ĕç» («Хорошее»), Я. Тайц «Çырлара» («По ягоды»).</w:t>
      </w:r>
    </w:p>
    <w:p w14:paraId="6EE5EE6C">
      <w:pPr>
        <w:widowControl/>
        <w:tabs>
          <w:tab w:val="left" w:pos="1134"/>
        </w:tabs>
        <w:spacing w:after="0" w:line="360" w:lineRule="auto"/>
        <w:ind w:firstLine="709"/>
        <w:jc w:val="both"/>
        <w:rPr>
          <w:rFonts w:ascii="Times New Roman" w:hAnsi="Times New Roman"/>
          <w:bCs/>
          <w:lang w:bidi="ru-RU"/>
        </w:rPr>
      </w:pPr>
      <w:r>
        <w:rPr>
          <w:rFonts w:ascii="Times New Roman" w:hAnsi="Times New Roman"/>
          <w:bCs/>
          <w:lang w:bidi="ru-RU"/>
        </w:rPr>
        <w:t>7.6.5.5. Наступила весёлая зима.</w:t>
      </w:r>
    </w:p>
    <w:p w14:paraId="3D6F495B">
      <w:pPr>
        <w:widowControl/>
        <w:tabs>
          <w:tab w:val="left" w:pos="1134"/>
        </w:tabs>
        <w:spacing w:after="0" w:line="360" w:lineRule="auto"/>
        <w:ind w:firstLine="709"/>
        <w:jc w:val="both"/>
        <w:rPr>
          <w:rFonts w:ascii="Times New Roman" w:hAnsi="Times New Roman"/>
          <w:bCs/>
          <w:lang w:bidi="ru-RU"/>
        </w:rPr>
      </w:pPr>
      <w:r>
        <w:rPr>
          <w:rFonts w:ascii="Times New Roman" w:hAnsi="Times New Roman"/>
          <w:bCs/>
          <w:lang w:bidi="ru-RU"/>
        </w:rPr>
        <w:t>В. Эктел «Юр» («Снежок»), Л. Афлятунова «Хĕллехи кунсем» («Зимние дни»), Е. Кузнец «Çеменпе Сивĕ Мучи» («Семён и Дед Мороз»), Л. Салампи «Икĕ Шартлама» («Два Мороза»).</w:t>
      </w:r>
    </w:p>
    <w:p w14:paraId="20212F7D">
      <w:pPr>
        <w:widowControl/>
        <w:tabs>
          <w:tab w:val="left" w:pos="1134"/>
        </w:tabs>
        <w:spacing w:after="0" w:line="360" w:lineRule="auto"/>
        <w:ind w:firstLine="709"/>
        <w:jc w:val="both"/>
        <w:rPr>
          <w:rFonts w:ascii="Times New Roman" w:hAnsi="Times New Roman"/>
          <w:bCs/>
          <w:lang w:bidi="ru-RU"/>
        </w:rPr>
      </w:pPr>
      <w:r>
        <w:rPr>
          <w:rFonts w:ascii="Times New Roman" w:hAnsi="Times New Roman"/>
          <w:bCs/>
          <w:lang w:bidi="ru-RU"/>
        </w:rPr>
        <w:t>7.6.5.6. О животных.</w:t>
      </w:r>
    </w:p>
    <w:p w14:paraId="59DA55FE">
      <w:pPr>
        <w:widowControl/>
        <w:tabs>
          <w:tab w:val="left" w:pos="1134"/>
        </w:tabs>
        <w:spacing w:after="0" w:line="360" w:lineRule="auto"/>
        <w:ind w:firstLine="709"/>
        <w:jc w:val="both"/>
        <w:rPr>
          <w:rFonts w:ascii="Times New Roman" w:hAnsi="Times New Roman"/>
          <w:bCs/>
          <w:lang w:bidi="ru-RU"/>
        </w:rPr>
      </w:pPr>
      <w:r>
        <w:rPr>
          <w:rFonts w:ascii="Times New Roman" w:hAnsi="Times New Roman"/>
          <w:bCs/>
          <w:lang w:bidi="ru-RU"/>
        </w:rPr>
        <w:t>И. Яковлев «Уçăлма тухнă шăши» («Мышка на прогулке»), Г. Харлампьев «Йĕп те пур, çип те пур» («Есть и нитка, и иголка»), Ю. Сементер «Тиха» («Жеребенок»), Н. Карай «Сар чăх» («Курочка несушка»), «Чанасем» («Галки»), А.Е. Чарушин «Томка тĕлĕкĕсем» («Томкины сны»), В. Ахун «Çырмари концерт» («Концерт в овраге»), В. Сутеев «Кăмпа айĕнче» («Под грибом»), И. Яковлев «Хураçка» («Черныш»), А. Ыхра «Шуркка» («Белыш»), Е. Чарушин «Томка ишме вĕренни» («Как Томка научился плавать»), К. Чуковский «Чĕрĕпсем кулаççĕ» («Ежики смеются»), Э. Шим «Шапапа калта» («Лягушонок и ящерка»), Л. Морозов «Хÿре мĕн тума кирлĕ?» («Зачем нужен хвост?»), М. Козлов «Шăллăм улталанни» («Брат обманулся»), С. Шавли «Пакша» («Белка»), В. Сутеев «Кимĕ» («Лодка»), М. Сениэль «Ула такка» («Дятел»), Трубина Мархви «Çерçипе шăнкăрч» («Воробей и скворец»), В. Бианки «Музыкантсем» («Музыканты»), Шухши Иванĕ «Чĕр чунсем те çынсем пекех» («И животные как люди»).</w:t>
      </w:r>
    </w:p>
    <w:p w14:paraId="54FC3C2D">
      <w:pPr>
        <w:widowControl/>
        <w:tabs>
          <w:tab w:val="left" w:pos="1134"/>
        </w:tabs>
        <w:spacing w:after="0" w:line="360" w:lineRule="auto"/>
        <w:ind w:firstLine="709"/>
        <w:jc w:val="both"/>
        <w:rPr>
          <w:rFonts w:ascii="Times New Roman" w:hAnsi="Times New Roman"/>
          <w:bCs/>
          <w:lang w:bidi="ru-RU"/>
        </w:rPr>
      </w:pPr>
      <w:r>
        <w:rPr>
          <w:rFonts w:ascii="Times New Roman" w:hAnsi="Times New Roman"/>
          <w:bCs/>
          <w:lang w:bidi="ru-RU"/>
        </w:rPr>
        <w:t>7.6.5.7. А вокруг – волшебная страна.</w:t>
      </w:r>
    </w:p>
    <w:p w14:paraId="63515445">
      <w:pPr>
        <w:widowControl/>
        <w:tabs>
          <w:tab w:val="left" w:pos="1134"/>
        </w:tabs>
        <w:spacing w:after="0" w:line="360" w:lineRule="auto"/>
        <w:ind w:firstLine="709"/>
        <w:jc w:val="both"/>
        <w:rPr>
          <w:rFonts w:ascii="Times New Roman" w:hAnsi="Times New Roman"/>
          <w:bCs/>
          <w:lang w:bidi="ru-RU"/>
        </w:rPr>
      </w:pPr>
      <w:r>
        <w:rPr>
          <w:rFonts w:ascii="Times New Roman" w:hAnsi="Times New Roman"/>
          <w:bCs/>
          <w:lang w:bidi="ru-RU"/>
        </w:rPr>
        <w:t>А. Пăртта «Çумăр ташши» («Танец дождя»), В. Эктел «Аслати» («Гроза»), А. Ыхра «Пукан» («Стул»), Хумма Çеменĕ «Çуркунне» («Весна»), А. Савельев-Сас «Çавăнпа хитре тĕнче» («Мир поэтому красив»), С. Соколинский «Çумăр» («Дождь»), В. Енĕш «Тĕтре» («Туман»).</w:t>
      </w:r>
    </w:p>
    <w:p w14:paraId="30589200">
      <w:pPr>
        <w:widowControl/>
        <w:tabs>
          <w:tab w:val="left" w:pos="1134"/>
        </w:tabs>
        <w:spacing w:after="0" w:line="360" w:lineRule="auto"/>
        <w:ind w:firstLine="709"/>
        <w:jc w:val="both"/>
        <w:rPr>
          <w:rFonts w:ascii="Times New Roman" w:hAnsi="Times New Roman"/>
          <w:bCs/>
          <w:lang w:bidi="ru-RU"/>
        </w:rPr>
      </w:pPr>
      <w:r>
        <w:rPr>
          <w:rFonts w:ascii="Times New Roman" w:hAnsi="Times New Roman"/>
          <w:bCs/>
          <w:lang w:bidi="ru-RU"/>
        </w:rPr>
        <w:t>7.7. Содержание обучения во 2 классе.</w:t>
      </w:r>
    </w:p>
    <w:p w14:paraId="4C8C60F5">
      <w:pPr>
        <w:widowControl/>
        <w:tabs>
          <w:tab w:val="left" w:pos="1134"/>
        </w:tabs>
        <w:spacing w:after="0" w:line="360" w:lineRule="auto"/>
        <w:ind w:firstLine="709"/>
        <w:jc w:val="both"/>
        <w:rPr>
          <w:rFonts w:ascii="Times New Roman" w:hAnsi="Times New Roman"/>
          <w:bCs/>
          <w:lang w:bidi="ru-RU"/>
        </w:rPr>
      </w:pPr>
      <w:r>
        <w:rPr>
          <w:rFonts w:ascii="Times New Roman" w:hAnsi="Times New Roman"/>
          <w:bCs/>
          <w:lang w:bidi="ru-RU"/>
        </w:rPr>
        <w:t>7.7.1. Речевая деятельность.</w:t>
      </w:r>
    </w:p>
    <w:p w14:paraId="1C4F87BA">
      <w:pPr>
        <w:widowControl/>
        <w:tabs>
          <w:tab w:val="left" w:pos="1134"/>
        </w:tabs>
        <w:spacing w:after="0" w:line="360" w:lineRule="auto"/>
        <w:ind w:firstLine="709"/>
        <w:jc w:val="both"/>
        <w:rPr>
          <w:rFonts w:ascii="Times New Roman" w:hAnsi="Times New Roman"/>
          <w:b/>
          <w:bCs/>
          <w:lang w:bidi="ru-RU"/>
        </w:rPr>
      </w:pPr>
      <w:r>
        <w:rPr>
          <w:rFonts w:ascii="Times New Roman" w:hAnsi="Times New Roman"/>
          <w:bCs/>
          <w:lang w:bidi="ru-RU"/>
        </w:rPr>
        <w:t>Осознание цели речевого высказывания. Определение последовательности событий, описываемых в произведении. Ответы на вопросы и формулирование вопросов по содержанию произведения. Нормы речевого этикета в условиях внеучебного общения. Особенности чувашского этикета (на основе фольклорных произведений).</w:t>
      </w:r>
    </w:p>
    <w:p w14:paraId="15243FE0">
      <w:pPr>
        <w:widowControl/>
        <w:tabs>
          <w:tab w:val="left" w:pos="1134"/>
        </w:tabs>
        <w:spacing w:after="0" w:line="360" w:lineRule="auto"/>
        <w:ind w:firstLine="709"/>
        <w:jc w:val="both"/>
        <w:rPr>
          <w:rFonts w:ascii="Times New Roman" w:hAnsi="Times New Roman"/>
          <w:bCs/>
          <w:lang w:bidi="ru-RU"/>
        </w:rPr>
      </w:pPr>
      <w:r>
        <w:rPr>
          <w:rFonts w:ascii="Times New Roman" w:hAnsi="Times New Roman"/>
          <w:bCs/>
          <w:lang w:bidi="ru-RU"/>
        </w:rPr>
        <w:t xml:space="preserve">Чтение целыми словами вслух, про себя, постепенное увеличение скорости чтения. Соблюдение орфоэпических и интонационных норм чтения. </w:t>
      </w:r>
    </w:p>
    <w:p w14:paraId="1299690A">
      <w:pPr>
        <w:widowControl/>
        <w:tabs>
          <w:tab w:val="left" w:pos="1134"/>
        </w:tabs>
        <w:spacing w:after="0" w:line="360" w:lineRule="auto"/>
        <w:ind w:firstLine="709"/>
        <w:jc w:val="both"/>
        <w:rPr>
          <w:rFonts w:ascii="Times New Roman" w:hAnsi="Times New Roman"/>
          <w:bCs/>
          <w:i/>
          <w:lang w:bidi="ru-RU"/>
        </w:rPr>
      </w:pPr>
      <w:r>
        <w:rPr>
          <w:rFonts w:ascii="Times New Roman" w:hAnsi="Times New Roman"/>
          <w:bCs/>
          <w:lang w:bidi="ru-RU"/>
        </w:rPr>
        <w:t xml:space="preserve">Монологическое устное и письменное речевое высказывание небольшого объёма с использованием авторского текста, вопросов и ключевых слов по содержанию прочитанного или прослушанного. </w:t>
      </w:r>
    </w:p>
    <w:p w14:paraId="302F5615">
      <w:pPr>
        <w:widowControl/>
        <w:tabs>
          <w:tab w:val="left" w:pos="1134"/>
        </w:tabs>
        <w:spacing w:after="0" w:line="360" w:lineRule="auto"/>
        <w:ind w:firstLine="709"/>
        <w:jc w:val="both"/>
        <w:rPr>
          <w:rFonts w:ascii="Times New Roman" w:hAnsi="Times New Roman"/>
          <w:bCs/>
          <w:lang w:bidi="ru-RU"/>
        </w:rPr>
      </w:pPr>
      <w:r>
        <w:rPr>
          <w:rFonts w:ascii="Times New Roman" w:hAnsi="Times New Roman"/>
          <w:bCs/>
          <w:lang w:bidi="ru-RU"/>
        </w:rPr>
        <w:t>7.7.2. Литературоведческая пропедевтика.</w:t>
      </w:r>
    </w:p>
    <w:p w14:paraId="17B4FFCA">
      <w:pPr>
        <w:widowControl/>
        <w:tabs>
          <w:tab w:val="left" w:pos="1134"/>
        </w:tabs>
        <w:spacing w:after="0" w:line="360" w:lineRule="auto"/>
        <w:ind w:firstLine="709"/>
        <w:jc w:val="both"/>
        <w:rPr>
          <w:rFonts w:ascii="Times New Roman" w:hAnsi="Times New Roman"/>
          <w:bCs/>
          <w:lang w:bidi="ru-RU"/>
        </w:rPr>
      </w:pPr>
      <w:r>
        <w:rPr>
          <w:rFonts w:ascii="Times New Roman" w:hAnsi="Times New Roman"/>
          <w:bCs/>
          <w:lang w:bidi="ru-RU"/>
        </w:rPr>
        <w:t xml:space="preserve">Устное народное творчество. Произведения малых жанров фольклора (потешки, загадки, пословицы). Шуточные фольклорные произведения, скороговорки, стихи-небылицы. Игра со словом, «перевёртыш событий» как основа построения небылиц. Обрядовый (календарный) фольклор, особенности. Сказка – выражение народной мудрости, нравственная идея фольклорных сказок. Особенности сказок разного вида (о животных, бытовые, волшебные). Сходство тем и сюжетов сказок разных народов. Авторская сказка. Характеристика авторской сказки: герои, особенности построения и языка. </w:t>
      </w:r>
    </w:p>
    <w:p w14:paraId="0561E019">
      <w:pPr>
        <w:widowControl/>
        <w:tabs>
          <w:tab w:val="left" w:pos="1134"/>
        </w:tabs>
        <w:spacing w:after="0" w:line="360" w:lineRule="auto"/>
        <w:ind w:firstLine="709"/>
        <w:jc w:val="both"/>
        <w:rPr>
          <w:rFonts w:ascii="Times New Roman" w:hAnsi="Times New Roman"/>
          <w:bCs/>
          <w:lang w:bidi="ru-RU"/>
        </w:rPr>
      </w:pPr>
      <w:r>
        <w:rPr>
          <w:rFonts w:ascii="Times New Roman" w:hAnsi="Times New Roman"/>
          <w:bCs/>
          <w:lang w:bidi="ru-RU"/>
        </w:rPr>
        <w:t>Настроение, которое создаёт пейзажная лирика. Средства выразительности при описании природы: сравнение и эпитет.</w:t>
      </w:r>
    </w:p>
    <w:p w14:paraId="218BFE15">
      <w:pPr>
        <w:widowControl/>
        <w:tabs>
          <w:tab w:val="left" w:pos="1134"/>
        </w:tabs>
        <w:spacing w:after="0" w:line="360" w:lineRule="auto"/>
        <w:ind w:firstLine="709"/>
        <w:jc w:val="both"/>
        <w:rPr>
          <w:rFonts w:ascii="Times New Roman" w:hAnsi="Times New Roman"/>
          <w:bCs/>
          <w:lang w:bidi="ru-RU"/>
        </w:rPr>
      </w:pPr>
      <w:r>
        <w:rPr>
          <w:rFonts w:ascii="Times New Roman" w:hAnsi="Times New Roman"/>
          <w:bCs/>
          <w:lang w:bidi="ru-RU"/>
        </w:rPr>
        <w:t>Анализ заголовка, соотнесение его с главной мыслью произведения. Главная мысль произведения. Отражение в произведениях нравственно-этических понятий. Герой произведения, его характеристика, оценка поступков.</w:t>
      </w:r>
    </w:p>
    <w:p w14:paraId="56E19FC9">
      <w:pPr>
        <w:widowControl/>
        <w:tabs>
          <w:tab w:val="left" w:pos="1134"/>
        </w:tabs>
        <w:spacing w:after="0" w:line="360" w:lineRule="auto"/>
        <w:ind w:firstLine="709"/>
        <w:jc w:val="both"/>
        <w:rPr>
          <w:rFonts w:ascii="Times New Roman" w:hAnsi="Times New Roman"/>
          <w:bCs/>
          <w:lang w:bidi="ru-RU"/>
        </w:rPr>
      </w:pPr>
      <w:r>
        <w:rPr>
          <w:rFonts w:ascii="Times New Roman" w:hAnsi="Times New Roman"/>
          <w:bCs/>
          <w:lang w:bidi="ru-RU"/>
        </w:rPr>
        <w:t>Составление совместного плана произведения: части текста, их главные темы, пересказ по плану.</w:t>
      </w:r>
    </w:p>
    <w:p w14:paraId="7E2489DC">
      <w:pPr>
        <w:widowControl/>
        <w:tabs>
          <w:tab w:val="left" w:pos="1134"/>
        </w:tabs>
        <w:spacing w:after="0" w:line="360" w:lineRule="auto"/>
        <w:ind w:firstLine="709"/>
        <w:jc w:val="both"/>
        <w:rPr>
          <w:rFonts w:ascii="Times New Roman" w:hAnsi="Times New Roman"/>
          <w:bCs/>
          <w:lang w:bidi="ru-RU"/>
        </w:rPr>
      </w:pPr>
      <w:r>
        <w:rPr>
          <w:rFonts w:ascii="Times New Roman" w:hAnsi="Times New Roman"/>
          <w:bCs/>
          <w:lang w:bidi="ru-RU"/>
        </w:rPr>
        <w:t>7.</w:t>
      </w:r>
      <w:r>
        <w:rPr>
          <w:rFonts w:ascii="Times New Roman" w:hAnsi="Times New Roman"/>
          <w:bCs/>
          <w:iCs/>
          <w:lang w:bidi="ru-RU"/>
        </w:rPr>
        <w:t>7.3. Творческая деятельность.</w:t>
      </w:r>
    </w:p>
    <w:p w14:paraId="74D1F9DF">
      <w:pPr>
        <w:widowControl/>
        <w:tabs>
          <w:tab w:val="left" w:pos="1134"/>
        </w:tabs>
        <w:spacing w:after="0" w:line="360" w:lineRule="auto"/>
        <w:ind w:firstLine="709"/>
        <w:jc w:val="both"/>
        <w:rPr>
          <w:rFonts w:ascii="Times New Roman" w:hAnsi="Times New Roman"/>
          <w:bCs/>
          <w:lang w:bidi="ru-RU"/>
        </w:rPr>
      </w:pPr>
      <w:r>
        <w:rPr>
          <w:rFonts w:ascii="Times New Roman" w:hAnsi="Times New Roman"/>
          <w:bCs/>
          <w:lang w:bidi="ru-RU"/>
        </w:rPr>
        <w:t>Воссоздание в воображении описанных в стихотворении картин. Обсуждение эмоционального состояния при восприятии описанных картин. Словесное и графическое иллюстрирование отрывка произведения (по выбору). Пересказ проиллюстрированного отрывка произведения. Чтение художественного произведения по ролям, инсценировка эпизодов. Совместное придумывание загадок.</w:t>
      </w:r>
    </w:p>
    <w:p w14:paraId="2CAC825F">
      <w:pPr>
        <w:widowControl/>
        <w:tabs>
          <w:tab w:val="left" w:pos="1134"/>
        </w:tabs>
        <w:spacing w:after="0" w:line="360" w:lineRule="auto"/>
        <w:ind w:firstLine="709"/>
        <w:jc w:val="both"/>
        <w:rPr>
          <w:rFonts w:ascii="Times New Roman" w:hAnsi="Times New Roman"/>
          <w:bCs/>
          <w:lang w:bidi="ru-RU"/>
        </w:rPr>
      </w:pPr>
      <w:r>
        <w:rPr>
          <w:rFonts w:ascii="Times New Roman" w:hAnsi="Times New Roman"/>
          <w:bCs/>
          <w:lang w:bidi="ru-RU"/>
        </w:rPr>
        <w:t>7.7.4. Библиографическая культура.</w:t>
      </w:r>
    </w:p>
    <w:p w14:paraId="1BEBCC3A">
      <w:pPr>
        <w:widowControl/>
        <w:tabs>
          <w:tab w:val="left" w:pos="1134"/>
        </w:tabs>
        <w:spacing w:after="0" w:line="360" w:lineRule="auto"/>
        <w:ind w:firstLine="709"/>
        <w:jc w:val="both"/>
        <w:rPr>
          <w:rFonts w:ascii="Times New Roman" w:hAnsi="Times New Roman"/>
          <w:bCs/>
          <w:lang w:bidi="ru-RU"/>
        </w:rPr>
      </w:pPr>
      <w:r>
        <w:rPr>
          <w:rFonts w:ascii="Times New Roman" w:hAnsi="Times New Roman"/>
          <w:bCs/>
          <w:lang w:bidi="ru-RU"/>
        </w:rPr>
        <w:t>Работа с детской книгой и справочной литературой. Книга как источник необходимых знаний. Элементы книги: содержание или оглавление, аннотация, иллюстрация. Выбор книг на основе рекомендательного списка, тематические картотеки библиотеки. Книга учебная, художественная, справочная.</w:t>
      </w:r>
    </w:p>
    <w:p w14:paraId="1D62B3C5">
      <w:pPr>
        <w:widowControl/>
        <w:tabs>
          <w:tab w:val="left" w:pos="1134"/>
        </w:tabs>
        <w:spacing w:after="0" w:line="360" w:lineRule="auto"/>
        <w:ind w:firstLine="709"/>
        <w:jc w:val="both"/>
        <w:rPr>
          <w:rFonts w:ascii="Times New Roman" w:hAnsi="Times New Roman"/>
          <w:bCs/>
          <w:lang w:bidi="ru-RU"/>
        </w:rPr>
      </w:pPr>
      <w:r>
        <w:rPr>
          <w:rFonts w:ascii="Times New Roman" w:hAnsi="Times New Roman"/>
          <w:bCs/>
          <w:lang w:bidi="ru-RU"/>
        </w:rPr>
        <w:t>7.7.5. Круг детского чтения.</w:t>
      </w:r>
    </w:p>
    <w:p w14:paraId="18D5583F">
      <w:pPr>
        <w:widowControl/>
        <w:tabs>
          <w:tab w:val="left" w:pos="1134"/>
        </w:tabs>
        <w:spacing w:after="0" w:line="360" w:lineRule="auto"/>
        <w:ind w:firstLine="709"/>
        <w:jc w:val="both"/>
        <w:rPr>
          <w:rFonts w:ascii="Times New Roman" w:hAnsi="Times New Roman"/>
          <w:bCs/>
          <w:lang w:bidi="ru-RU"/>
        </w:rPr>
      </w:pPr>
      <w:r>
        <w:rPr>
          <w:rFonts w:ascii="Times New Roman" w:hAnsi="Times New Roman"/>
          <w:bCs/>
          <w:lang w:bidi="ru-RU"/>
        </w:rPr>
        <w:t>7.7.5.1. В школу.</w:t>
      </w:r>
    </w:p>
    <w:p w14:paraId="23F4E46B">
      <w:pPr>
        <w:widowControl/>
        <w:tabs>
          <w:tab w:val="left" w:pos="1134"/>
        </w:tabs>
        <w:spacing w:after="0" w:line="360" w:lineRule="auto"/>
        <w:ind w:firstLine="709"/>
        <w:jc w:val="both"/>
        <w:rPr>
          <w:rFonts w:ascii="Times New Roman" w:hAnsi="Times New Roman"/>
          <w:bCs/>
          <w:lang w:bidi="ru-RU"/>
        </w:rPr>
      </w:pPr>
      <w:r>
        <w:rPr>
          <w:rFonts w:ascii="Times New Roman" w:hAnsi="Times New Roman"/>
          <w:bCs/>
          <w:lang w:bidi="ru-RU"/>
        </w:rPr>
        <w:t>А. Алка, «Чи савăнăçлă кун» («Самый радостный день»). Шухши Иванĕ, «Чернил» («Чернила»).</w:t>
      </w:r>
    </w:p>
    <w:p w14:paraId="15FBB87C">
      <w:pPr>
        <w:widowControl/>
        <w:tabs>
          <w:tab w:val="left" w:pos="1134"/>
        </w:tabs>
        <w:spacing w:after="0" w:line="360" w:lineRule="auto"/>
        <w:ind w:firstLine="709"/>
        <w:jc w:val="both"/>
        <w:rPr>
          <w:rFonts w:ascii="Times New Roman" w:hAnsi="Times New Roman"/>
          <w:bCs/>
          <w:lang w:bidi="ru-RU"/>
        </w:rPr>
      </w:pPr>
      <w:r>
        <w:rPr>
          <w:rFonts w:ascii="Times New Roman" w:hAnsi="Times New Roman"/>
          <w:bCs/>
          <w:lang w:bidi="ru-RU"/>
        </w:rPr>
        <w:t>7.7.5.2. Что такое Родина.</w:t>
      </w:r>
    </w:p>
    <w:p w14:paraId="4B912AF9">
      <w:pPr>
        <w:widowControl/>
        <w:tabs>
          <w:tab w:val="left" w:pos="1134"/>
        </w:tabs>
        <w:spacing w:after="0" w:line="360" w:lineRule="auto"/>
        <w:ind w:firstLine="709"/>
        <w:jc w:val="both"/>
        <w:rPr>
          <w:rFonts w:ascii="Times New Roman" w:hAnsi="Times New Roman"/>
          <w:bCs/>
          <w:lang w:bidi="ru-RU"/>
        </w:rPr>
      </w:pPr>
      <w:r>
        <w:rPr>
          <w:rFonts w:ascii="Times New Roman" w:hAnsi="Times New Roman"/>
          <w:bCs/>
          <w:lang w:bidi="ru-RU"/>
        </w:rPr>
        <w:t>П. Хусанкай «Савнă çĕр, Чăваш çĕршывĕ» («Любимый край, Чувашия родная»), Юхма Мишши «Чăваш çĕршывĕ» («Чувашский край»), «Ялав» («Флаг»), П. Хусанкай «Çĕршывăмăр пуçламăщĕ» («Начало Родины»), С. Тăваньялсем «Тăван чĕлхене ан манăр» («Не забывайте родной язык»), Л. Мартьянова «Чăвашла» («На чувашском»), А. Трофимов «Асатте-асаннесен çырулăхĕ» («Письменность бабушек и дедушек»), П. Хусанкай «Эпир пулнă, пур, пулатпăр!» («Были мы, и есть, и будем!»).</w:t>
      </w:r>
    </w:p>
    <w:p w14:paraId="68B670D4">
      <w:pPr>
        <w:widowControl/>
        <w:tabs>
          <w:tab w:val="left" w:pos="1134"/>
        </w:tabs>
        <w:spacing w:after="0" w:line="360" w:lineRule="auto"/>
        <w:ind w:firstLine="709"/>
        <w:jc w:val="both"/>
        <w:rPr>
          <w:rFonts w:ascii="Times New Roman" w:hAnsi="Times New Roman"/>
          <w:bCs/>
          <w:lang w:bidi="ru-RU"/>
        </w:rPr>
      </w:pPr>
      <w:r>
        <w:rPr>
          <w:rFonts w:ascii="Times New Roman" w:hAnsi="Times New Roman"/>
          <w:bCs/>
          <w:lang w:bidi="ru-RU"/>
        </w:rPr>
        <w:t>7.7.5.3. Из устного народного творчества.</w:t>
      </w:r>
    </w:p>
    <w:p w14:paraId="523E7F68">
      <w:pPr>
        <w:widowControl/>
        <w:tabs>
          <w:tab w:val="left" w:pos="1134"/>
        </w:tabs>
        <w:spacing w:after="0" w:line="360" w:lineRule="auto"/>
        <w:ind w:firstLine="709"/>
        <w:jc w:val="both"/>
        <w:rPr>
          <w:rFonts w:ascii="Times New Roman" w:hAnsi="Times New Roman"/>
          <w:bCs/>
          <w:lang w:bidi="ru-RU"/>
        </w:rPr>
      </w:pPr>
      <w:r>
        <w:rPr>
          <w:rFonts w:ascii="Times New Roman" w:hAnsi="Times New Roman"/>
          <w:bCs/>
          <w:lang w:bidi="ru-RU"/>
        </w:rPr>
        <w:t>Тупмалли юмахсем (Загадки). Пулмасла халапсем (Сказки-небылицы). К. Чуковский «Савăнăç» («Радость»). Сурхури юрри («Рождественская песня»). Çăварни юрри (Масленичная песня). Хумма Çеменĕ «Çăварни чупни» («Масленичные катания»). Пуплешÿ сăввисем (Потешки). Н. Ыдарай «Чĕрĕп» («Ёжик»).</w:t>
      </w:r>
    </w:p>
    <w:p w14:paraId="7E0D8DB0">
      <w:pPr>
        <w:widowControl/>
        <w:tabs>
          <w:tab w:val="left" w:pos="1134"/>
        </w:tabs>
        <w:spacing w:after="0" w:line="360" w:lineRule="auto"/>
        <w:ind w:firstLine="709"/>
        <w:jc w:val="both"/>
        <w:rPr>
          <w:rFonts w:ascii="Times New Roman" w:hAnsi="Times New Roman"/>
          <w:bCs/>
          <w:lang w:bidi="ru-RU"/>
        </w:rPr>
      </w:pPr>
      <w:r>
        <w:rPr>
          <w:rFonts w:ascii="Times New Roman" w:hAnsi="Times New Roman"/>
          <w:bCs/>
          <w:lang w:bidi="ru-RU"/>
        </w:rPr>
        <w:t>7.7.5.4. Легенды об Улыпе.</w:t>
      </w:r>
    </w:p>
    <w:p w14:paraId="4C25A76D">
      <w:pPr>
        <w:widowControl/>
        <w:tabs>
          <w:tab w:val="left" w:pos="1134"/>
        </w:tabs>
        <w:spacing w:after="0" w:line="360" w:lineRule="auto"/>
        <w:ind w:firstLine="709"/>
        <w:jc w:val="both"/>
        <w:rPr>
          <w:rFonts w:ascii="Times New Roman" w:hAnsi="Times New Roman"/>
          <w:bCs/>
          <w:lang w:bidi="ru-RU"/>
        </w:rPr>
      </w:pPr>
      <w:r>
        <w:rPr>
          <w:rFonts w:ascii="Times New Roman" w:hAnsi="Times New Roman"/>
          <w:bCs/>
          <w:lang w:bidi="ru-RU"/>
        </w:rPr>
        <w:t>«Улăпсем» («Улыпы»). «Асамат кĕперĕ» («Мост Азамата»). Энтип Ваççи, «Эпир – Улăп йăхĕнчен» («Мы из рода Улыпа»).</w:t>
      </w:r>
    </w:p>
    <w:p w14:paraId="2E87D6B6">
      <w:pPr>
        <w:widowControl/>
        <w:tabs>
          <w:tab w:val="left" w:pos="1134"/>
        </w:tabs>
        <w:spacing w:after="0" w:line="360" w:lineRule="auto"/>
        <w:ind w:firstLine="709"/>
        <w:jc w:val="both"/>
        <w:rPr>
          <w:rFonts w:ascii="Times New Roman" w:hAnsi="Times New Roman"/>
          <w:bCs/>
          <w:lang w:bidi="ru-RU"/>
        </w:rPr>
      </w:pPr>
      <w:r>
        <w:rPr>
          <w:rFonts w:ascii="Times New Roman" w:hAnsi="Times New Roman"/>
          <w:bCs/>
          <w:lang w:bidi="ru-RU"/>
        </w:rPr>
        <w:t>7.7.5.5. Сказки.</w:t>
      </w:r>
    </w:p>
    <w:p w14:paraId="536D57EE">
      <w:pPr>
        <w:widowControl/>
        <w:tabs>
          <w:tab w:val="left" w:pos="1134"/>
        </w:tabs>
        <w:spacing w:after="0" w:line="360" w:lineRule="auto"/>
        <w:ind w:firstLine="709"/>
        <w:jc w:val="both"/>
        <w:rPr>
          <w:rFonts w:ascii="Times New Roman" w:hAnsi="Times New Roman"/>
          <w:bCs/>
          <w:lang w:bidi="ru-RU"/>
        </w:rPr>
      </w:pPr>
      <w:r>
        <w:rPr>
          <w:rFonts w:ascii="Times New Roman" w:hAnsi="Times New Roman"/>
          <w:bCs/>
          <w:lang w:bidi="ru-RU"/>
        </w:rPr>
        <w:t>Русская народная сказка «Кинеми, мăнукĕ тата чăпар чăх» («Бабушка, внучка да курочка»). Венгерская народная сказка «Çăткăн упа çурисем» («Жадные медвежата»). Н. Иванов «Шиклĕ шăши» («Пугливая мышка»). Китайская народная сказка «Сарă аист» («Жёлтый аист»). Чувашская народная сказка «Ухмах Иван». («Иван дурак»). Н. Карай «Çырлана кайсан» («Когда по ягоды пошли»), А. Толстой «Пуртă» («Топор»).</w:t>
      </w:r>
    </w:p>
    <w:p w14:paraId="75A716DB">
      <w:pPr>
        <w:widowControl/>
        <w:tabs>
          <w:tab w:val="left" w:pos="1134"/>
        </w:tabs>
        <w:spacing w:after="0" w:line="360" w:lineRule="auto"/>
        <w:ind w:firstLine="709"/>
        <w:jc w:val="both"/>
        <w:rPr>
          <w:rFonts w:ascii="Times New Roman" w:hAnsi="Times New Roman"/>
          <w:bCs/>
          <w:lang w:bidi="ru-RU"/>
        </w:rPr>
      </w:pPr>
      <w:r>
        <w:rPr>
          <w:rFonts w:ascii="Times New Roman" w:hAnsi="Times New Roman"/>
          <w:bCs/>
          <w:lang w:bidi="ru-RU"/>
        </w:rPr>
        <w:t>7.7.5.6. Осень.</w:t>
      </w:r>
    </w:p>
    <w:p w14:paraId="795DDC23">
      <w:pPr>
        <w:widowControl/>
        <w:tabs>
          <w:tab w:val="left" w:pos="1134"/>
        </w:tabs>
        <w:spacing w:after="0" w:line="360" w:lineRule="auto"/>
        <w:ind w:firstLine="709"/>
        <w:jc w:val="both"/>
        <w:rPr>
          <w:rFonts w:ascii="Times New Roman" w:hAnsi="Times New Roman"/>
          <w:bCs/>
          <w:lang w:bidi="ru-RU"/>
        </w:rPr>
      </w:pPr>
      <w:r>
        <w:rPr>
          <w:rFonts w:ascii="Times New Roman" w:hAnsi="Times New Roman"/>
          <w:bCs/>
          <w:lang w:bidi="ru-RU"/>
        </w:rPr>
        <w:t>В. Ямаш «Кĕр ирĕ» («Осеннее утро»), М. Трубина «Кĕр çитрĕ» («Наступила осень»), Н. Сладков «Ылтăн çумăр» («Золотой дождь»), Н. Теветкел «Симĕс хуралçă» («Зелёный страж»), Г. Харлампьев «Эсир пакша курнă-и?» («А вы белку видели?»), С. Сарпай «Хура кĕркунне» («Поздняя осень»), В. Аптраман «Кĕркунне» («Осенью»), Илпек Микулайĕ «Тăрнасем» («Журавли»), К. Иванов «Кĕркунне» («Осень»).</w:t>
      </w:r>
    </w:p>
    <w:p w14:paraId="59CA709A">
      <w:pPr>
        <w:widowControl/>
        <w:tabs>
          <w:tab w:val="left" w:pos="1134"/>
        </w:tabs>
        <w:spacing w:after="0" w:line="360" w:lineRule="auto"/>
        <w:ind w:firstLine="709"/>
        <w:jc w:val="both"/>
        <w:rPr>
          <w:rFonts w:ascii="Times New Roman" w:hAnsi="Times New Roman"/>
          <w:bCs/>
          <w:lang w:bidi="ru-RU"/>
        </w:rPr>
      </w:pPr>
      <w:r>
        <w:rPr>
          <w:rFonts w:ascii="Times New Roman" w:hAnsi="Times New Roman"/>
          <w:bCs/>
          <w:lang w:bidi="ru-RU"/>
        </w:rPr>
        <w:t>7.7.5.7. Мы – весёлые и дружные ребята.</w:t>
      </w:r>
    </w:p>
    <w:p w14:paraId="7CE4283C">
      <w:pPr>
        <w:widowControl/>
        <w:tabs>
          <w:tab w:val="left" w:pos="1134"/>
        </w:tabs>
        <w:spacing w:after="0" w:line="360" w:lineRule="auto"/>
        <w:ind w:firstLine="709"/>
        <w:jc w:val="both"/>
        <w:rPr>
          <w:rFonts w:ascii="Times New Roman" w:hAnsi="Times New Roman"/>
          <w:bCs/>
          <w:lang w:bidi="ru-RU"/>
        </w:rPr>
      </w:pPr>
      <w:r>
        <w:rPr>
          <w:rFonts w:ascii="Times New Roman" w:hAnsi="Times New Roman"/>
          <w:bCs/>
          <w:lang w:bidi="ru-RU"/>
        </w:rPr>
        <w:t>П. Хусанкай «Шкул ачи» («Школьник»), С. Иванов «Сапăрлăх çинчен» («О воспитанности»), А. Кăлкан «Чăрсăр автансем» («Драчливые петухи»), В. Осеева «Тавăрчĕ» («Отомстила»), К. Чуковский «Лапăрчăк» («Закаляка»), Н. Симунов «Пулăра» («На рыбалке»), О. Савандеева «Микула пичче кучченеçĕ» («Гостинец дядюшки Мигулая»), А. Барто «Вăт епле вăл пулăшать» («Помощница»), Е. Афанасьев «Кенттипе Мишша» («Кентти и Миша»), И. Малкай «Çÿпçе» («Бабушкин сундук»).</w:t>
      </w:r>
    </w:p>
    <w:p w14:paraId="6B9FD926">
      <w:pPr>
        <w:widowControl/>
        <w:tabs>
          <w:tab w:val="left" w:pos="1134"/>
        </w:tabs>
        <w:spacing w:after="0" w:line="360" w:lineRule="auto"/>
        <w:ind w:firstLine="709"/>
        <w:jc w:val="both"/>
        <w:rPr>
          <w:rFonts w:ascii="Times New Roman" w:hAnsi="Times New Roman"/>
          <w:bCs/>
          <w:lang w:bidi="ru-RU"/>
        </w:rPr>
      </w:pPr>
      <w:r>
        <w:rPr>
          <w:rFonts w:ascii="Times New Roman" w:hAnsi="Times New Roman"/>
          <w:bCs/>
          <w:lang w:bidi="ru-RU"/>
        </w:rPr>
        <w:t>7.7.5.8. Счастье и радость – в труде.</w:t>
      </w:r>
    </w:p>
    <w:p w14:paraId="2A8C7D05">
      <w:pPr>
        <w:widowControl/>
        <w:tabs>
          <w:tab w:val="left" w:pos="1134"/>
        </w:tabs>
        <w:spacing w:after="0" w:line="360" w:lineRule="auto"/>
        <w:ind w:firstLine="709"/>
        <w:jc w:val="both"/>
        <w:rPr>
          <w:rFonts w:ascii="Times New Roman" w:hAnsi="Times New Roman"/>
          <w:bCs/>
          <w:lang w:bidi="ru-RU"/>
        </w:rPr>
      </w:pPr>
      <w:r>
        <w:rPr>
          <w:rFonts w:ascii="Times New Roman" w:hAnsi="Times New Roman"/>
          <w:bCs/>
          <w:lang w:bidi="ru-RU"/>
        </w:rPr>
        <w:t>И. Яковлев «Эпĕ сехет çĕмĕрни» («Как я чинил часы»), Шухши Иванĕ «Куршанак çыпăçрĕ» («Репейник прилип»), В. Тимаков «Пыл хурчĕ» («Пчёлка»), И. Яковлев «Кулачă» («Калач»), К. Иванов «Ĕçчен Нарспи» («Рукодельница Нарспи». Отрывок из поэмы «Нарспи»), Н. Иванов «Пахча хуралçи» («Сторож огорода»), А. Кăлкан «Кĕтÿç» («Пастух»).</w:t>
      </w:r>
    </w:p>
    <w:p w14:paraId="6A9CAB2B">
      <w:pPr>
        <w:widowControl/>
        <w:tabs>
          <w:tab w:val="left" w:pos="1134"/>
        </w:tabs>
        <w:spacing w:after="0" w:line="360" w:lineRule="auto"/>
        <w:ind w:firstLine="709"/>
        <w:jc w:val="both"/>
        <w:rPr>
          <w:rFonts w:ascii="Times New Roman" w:hAnsi="Times New Roman"/>
          <w:bCs/>
          <w:lang w:bidi="ru-RU"/>
        </w:rPr>
      </w:pPr>
      <w:r>
        <w:rPr>
          <w:rFonts w:ascii="Times New Roman" w:hAnsi="Times New Roman"/>
          <w:bCs/>
          <w:lang w:bidi="ru-RU"/>
        </w:rPr>
        <w:t>7.7.5.9. Зима.</w:t>
      </w:r>
    </w:p>
    <w:p w14:paraId="358A2EB2">
      <w:pPr>
        <w:widowControl/>
        <w:tabs>
          <w:tab w:val="left" w:pos="1134"/>
        </w:tabs>
        <w:spacing w:after="0" w:line="360" w:lineRule="auto"/>
        <w:ind w:firstLine="709"/>
        <w:jc w:val="both"/>
        <w:rPr>
          <w:rFonts w:ascii="Times New Roman" w:hAnsi="Times New Roman"/>
          <w:bCs/>
          <w:lang w:bidi="ru-RU"/>
        </w:rPr>
      </w:pPr>
      <w:r>
        <w:rPr>
          <w:rFonts w:ascii="Times New Roman" w:hAnsi="Times New Roman"/>
          <w:bCs/>
          <w:lang w:bidi="ru-RU"/>
        </w:rPr>
        <w:t>А. Алка «Юр çунă» («Выпал снег»), «Çĕнĕ çул юрри» («Новогодняя песня»), А. Пушкин «Хĕллехи каç» («Зимний вечер»), Хумма Çеменĕ «Хĕллехи вăрман» («Зимний лес»), Г. Луч «Кукăр сăмса» («Клёст»), Н. Сладков «Хĕл каçни» («Зимовка»), В. Эктел «Юр пике» («Снегурочка»).</w:t>
      </w:r>
    </w:p>
    <w:p w14:paraId="7588043D">
      <w:pPr>
        <w:widowControl/>
        <w:tabs>
          <w:tab w:val="left" w:pos="1134"/>
        </w:tabs>
        <w:spacing w:after="0" w:line="360" w:lineRule="auto"/>
        <w:ind w:firstLine="709"/>
        <w:jc w:val="both"/>
        <w:rPr>
          <w:rFonts w:ascii="Times New Roman" w:hAnsi="Times New Roman"/>
          <w:bCs/>
          <w:lang w:bidi="ru-RU"/>
        </w:rPr>
      </w:pPr>
      <w:r>
        <w:rPr>
          <w:rFonts w:ascii="Times New Roman" w:hAnsi="Times New Roman"/>
          <w:bCs/>
          <w:lang w:bidi="ru-RU"/>
        </w:rPr>
        <w:t>7.7.5.10. В дружной семье.</w:t>
      </w:r>
    </w:p>
    <w:p w14:paraId="33955338">
      <w:pPr>
        <w:widowControl/>
        <w:tabs>
          <w:tab w:val="left" w:pos="1134"/>
        </w:tabs>
        <w:spacing w:after="0" w:line="360" w:lineRule="auto"/>
        <w:ind w:firstLine="709"/>
        <w:jc w:val="both"/>
        <w:rPr>
          <w:rFonts w:ascii="Times New Roman" w:hAnsi="Times New Roman"/>
          <w:bCs/>
          <w:lang w:bidi="ru-RU"/>
        </w:rPr>
      </w:pPr>
      <w:r>
        <w:rPr>
          <w:rFonts w:ascii="Times New Roman" w:hAnsi="Times New Roman"/>
          <w:bCs/>
          <w:lang w:bidi="ru-RU"/>
        </w:rPr>
        <w:t>В. Давыдов-Анатри «Юратнă анне» («Любимая мама»), Б. Данилов «Хăш вăхăтра çывăрать-ши анне?» («Когда же мама спит?»), В. Сухомлинский «Çынна сывлăх сун» («Скажи человеку «здравствуйте»»), «Икĕ амăшĕ» («Две матери»).</w:t>
      </w:r>
    </w:p>
    <w:p w14:paraId="3861FDCF">
      <w:pPr>
        <w:widowControl/>
        <w:tabs>
          <w:tab w:val="left" w:pos="1134"/>
        </w:tabs>
        <w:spacing w:after="0" w:line="360" w:lineRule="auto"/>
        <w:ind w:firstLine="709"/>
        <w:jc w:val="both"/>
        <w:rPr>
          <w:rFonts w:ascii="Times New Roman" w:hAnsi="Times New Roman"/>
          <w:bCs/>
          <w:lang w:bidi="ru-RU"/>
        </w:rPr>
      </w:pPr>
      <w:r>
        <w:rPr>
          <w:rFonts w:ascii="Times New Roman" w:hAnsi="Times New Roman"/>
          <w:bCs/>
          <w:lang w:bidi="ru-RU"/>
        </w:rPr>
        <w:t>7.7.5.11. Пришла добрая весна.</w:t>
      </w:r>
    </w:p>
    <w:p w14:paraId="79613621">
      <w:pPr>
        <w:widowControl/>
        <w:tabs>
          <w:tab w:val="left" w:pos="1134"/>
        </w:tabs>
        <w:spacing w:after="0" w:line="360" w:lineRule="auto"/>
        <w:ind w:firstLine="709"/>
        <w:jc w:val="both"/>
        <w:rPr>
          <w:rFonts w:ascii="Times New Roman" w:hAnsi="Times New Roman"/>
          <w:bCs/>
          <w:lang w:bidi="ru-RU"/>
        </w:rPr>
      </w:pPr>
      <w:r>
        <w:rPr>
          <w:rFonts w:ascii="Times New Roman" w:hAnsi="Times New Roman"/>
          <w:bCs/>
          <w:lang w:bidi="ru-RU"/>
        </w:rPr>
        <w:t>Калина Малина «Тумла» («Капель»), Н. Матвеев «Пуш уйăхĕнче» («В марте месяце»), К. Иванов «Çуркунне çитсен» («В начале весны». Отрывок из поэмы «Нарспи»), Н. Шелепи «Пăр каять» («Ледоход»), Н. Сладков «Упапа хĕвел» («Медведь и солнце»), А. Николаев «Çурхи сасă» («Весенние голоса»), М. Козлов «Çур çеçкисем» («Весенние цветы»), А. Игнатьев (Ибасов) «Пĕрремеш аслати» («Первая гроза»).</w:t>
      </w:r>
    </w:p>
    <w:p w14:paraId="77960582">
      <w:pPr>
        <w:widowControl/>
        <w:tabs>
          <w:tab w:val="left" w:pos="1134"/>
        </w:tabs>
        <w:spacing w:after="0" w:line="360" w:lineRule="auto"/>
        <w:ind w:firstLine="709"/>
        <w:jc w:val="both"/>
        <w:rPr>
          <w:rFonts w:ascii="Times New Roman" w:hAnsi="Times New Roman"/>
          <w:bCs/>
          <w:lang w:bidi="ru-RU"/>
        </w:rPr>
      </w:pPr>
      <w:r>
        <w:rPr>
          <w:rFonts w:ascii="Times New Roman" w:hAnsi="Times New Roman"/>
          <w:bCs/>
          <w:lang w:bidi="ru-RU"/>
        </w:rPr>
        <w:t>7.7.5.12. Животные – наши друзья.</w:t>
      </w:r>
    </w:p>
    <w:p w14:paraId="66B357BA">
      <w:pPr>
        <w:widowControl/>
        <w:tabs>
          <w:tab w:val="left" w:pos="1134"/>
        </w:tabs>
        <w:spacing w:after="0" w:line="360" w:lineRule="auto"/>
        <w:ind w:firstLine="709"/>
        <w:jc w:val="both"/>
        <w:rPr>
          <w:rFonts w:ascii="Times New Roman" w:hAnsi="Times New Roman"/>
          <w:bCs/>
          <w:lang w:bidi="ru-RU"/>
        </w:rPr>
      </w:pPr>
      <w:r>
        <w:rPr>
          <w:rFonts w:ascii="Times New Roman" w:hAnsi="Times New Roman"/>
          <w:bCs/>
          <w:lang w:bidi="ru-RU"/>
        </w:rPr>
        <w:t xml:space="preserve">М. Пришвин «Тискер кайăксем» («Дикие животные»), М. Волкова «Пăши пăрушĕ» («Лосенок»), Г. Луч «Ай, пакша!» («Ай да белка!»), Х. Уяр «Пурăш» («Барсук»), А. Хум «Кăткăсем» («Муравьи»), Г. Луч «Чĕкеçсем мĕншĕн сивĕннĕ?» («Почему ушли ласточки?»), Г. Харлампьев «Юрă ăстисем» («Певуньи»), М. Стельмах «Текерлĕк» («Чибис»), К. Чуковский «Чăх чĕппи» («Цыпленок»), В. Сухомлинский «Мăр-мăр кушак мĕнрен тĕлĕннĕ?» («Коту стало стыдно»), Г. Харлампьев «Çырла пиçсен» («Когда ягоды поспели»), Н. Карай «Тивес мар» («Не будем трогать»), Б. Заходер «Мулкач çури» («Зайчонок»). </w:t>
      </w:r>
    </w:p>
    <w:p w14:paraId="50191446">
      <w:pPr>
        <w:widowControl/>
        <w:tabs>
          <w:tab w:val="left" w:pos="1134"/>
        </w:tabs>
        <w:spacing w:after="0" w:line="360" w:lineRule="auto"/>
        <w:ind w:firstLine="709"/>
        <w:jc w:val="both"/>
        <w:rPr>
          <w:rFonts w:ascii="Times New Roman" w:hAnsi="Times New Roman"/>
          <w:bCs/>
          <w:lang w:bidi="ru-RU"/>
        </w:rPr>
      </w:pPr>
      <w:r>
        <w:rPr>
          <w:rFonts w:ascii="Times New Roman" w:hAnsi="Times New Roman"/>
          <w:bCs/>
          <w:lang w:bidi="ru-RU"/>
        </w:rPr>
        <w:t>7.7.5.13. Растительный мир.</w:t>
      </w:r>
    </w:p>
    <w:p w14:paraId="3115F55B">
      <w:pPr>
        <w:widowControl/>
        <w:tabs>
          <w:tab w:val="left" w:pos="1134"/>
        </w:tabs>
        <w:spacing w:after="0" w:line="360" w:lineRule="auto"/>
        <w:ind w:firstLine="709"/>
        <w:jc w:val="both"/>
        <w:rPr>
          <w:rFonts w:ascii="Times New Roman" w:hAnsi="Times New Roman"/>
          <w:bCs/>
          <w:lang w:bidi="ru-RU"/>
        </w:rPr>
      </w:pPr>
      <w:r>
        <w:rPr>
          <w:rFonts w:ascii="Times New Roman" w:hAnsi="Times New Roman"/>
          <w:bCs/>
          <w:lang w:bidi="ru-RU"/>
        </w:rPr>
        <w:t>Н. Матвеев «Пĕр йăхри йывăçсем» («Деревья одного вида»), Г. Орлов «Вăрманăн пĕрремĕш кучченеçĕ» («Первый гостинец леса»), М. Волкова «Хурлăхан, ан хурлан» («Не горюй, смородина»), Р. Сарпи «Кÿлĕ» («Озеро»), Г. Харлампьев «Çумăр» («Дождь»),Н. Шупуççынни «Каç пулчĕ» («Вечер наступил»).</w:t>
      </w:r>
    </w:p>
    <w:p w14:paraId="09571E8C">
      <w:pPr>
        <w:widowControl/>
        <w:tabs>
          <w:tab w:val="left" w:pos="1134"/>
        </w:tabs>
        <w:spacing w:after="0" w:line="360" w:lineRule="auto"/>
        <w:ind w:firstLine="709"/>
        <w:jc w:val="both"/>
        <w:rPr>
          <w:rFonts w:ascii="Times New Roman" w:hAnsi="Times New Roman"/>
          <w:bCs/>
          <w:lang w:bidi="ru-RU"/>
        </w:rPr>
      </w:pPr>
      <w:r>
        <w:rPr>
          <w:rFonts w:ascii="Times New Roman" w:hAnsi="Times New Roman"/>
          <w:bCs/>
          <w:lang w:bidi="ru-RU"/>
        </w:rPr>
        <w:t>7.7.5.14. Вот и лето наступило.</w:t>
      </w:r>
    </w:p>
    <w:p w14:paraId="09708E2D">
      <w:pPr>
        <w:widowControl/>
        <w:tabs>
          <w:tab w:val="left" w:pos="1134"/>
        </w:tabs>
        <w:spacing w:after="0" w:line="360" w:lineRule="auto"/>
        <w:ind w:firstLine="709"/>
        <w:jc w:val="both"/>
        <w:rPr>
          <w:rFonts w:ascii="Times New Roman" w:hAnsi="Times New Roman"/>
          <w:bCs/>
          <w:lang w:bidi="ru-RU"/>
        </w:rPr>
      </w:pPr>
      <w:r>
        <w:rPr>
          <w:rFonts w:ascii="Times New Roman" w:hAnsi="Times New Roman"/>
          <w:bCs/>
          <w:lang w:bidi="ru-RU"/>
        </w:rPr>
        <w:t>А. Алка «Малтанхи аслати» («Первая гроза»), С. Асамат «Çумăр ташши» («Танец дождя»), И. Гончаров «Аслатиллĕ çумăр умĕн» («Перед грозой»), Ç. Элкер «Çуллахи ир» («Летнее утро»), Ю. Силэм «Утă çинче вăрманта» («В лесу на сенокосе»), Г. Тал-Мăрса, «Хирте» («В поле»).</w:t>
      </w:r>
    </w:p>
    <w:p w14:paraId="10977F4E">
      <w:pPr>
        <w:widowControl/>
        <w:tabs>
          <w:tab w:val="left" w:pos="1134"/>
        </w:tabs>
        <w:spacing w:after="0" w:line="360" w:lineRule="auto"/>
        <w:ind w:firstLine="709"/>
        <w:jc w:val="both"/>
        <w:rPr>
          <w:rFonts w:ascii="Times New Roman" w:hAnsi="Times New Roman"/>
          <w:bCs/>
          <w:lang w:bidi="ru-RU"/>
        </w:rPr>
      </w:pPr>
      <w:r>
        <w:rPr>
          <w:rFonts w:ascii="Times New Roman" w:hAnsi="Times New Roman"/>
          <w:bCs/>
          <w:lang w:bidi="ru-RU"/>
        </w:rPr>
        <w:t>7.8. Содержание обучения в 3 классе.</w:t>
      </w:r>
    </w:p>
    <w:p w14:paraId="1D77EA9B">
      <w:pPr>
        <w:widowControl/>
        <w:tabs>
          <w:tab w:val="left" w:pos="1134"/>
        </w:tabs>
        <w:spacing w:after="0" w:line="360" w:lineRule="auto"/>
        <w:ind w:firstLine="709"/>
        <w:jc w:val="both"/>
        <w:rPr>
          <w:rFonts w:ascii="Times New Roman" w:hAnsi="Times New Roman"/>
          <w:bCs/>
          <w:lang w:bidi="ru-RU"/>
        </w:rPr>
      </w:pPr>
      <w:r>
        <w:rPr>
          <w:rFonts w:ascii="Times New Roman" w:hAnsi="Times New Roman"/>
          <w:bCs/>
          <w:lang w:bidi="ru-RU"/>
        </w:rPr>
        <w:t>7.8.1. Речевая деятельность.</w:t>
      </w:r>
    </w:p>
    <w:p w14:paraId="65557A4B">
      <w:pPr>
        <w:widowControl/>
        <w:tabs>
          <w:tab w:val="left" w:pos="1134"/>
        </w:tabs>
        <w:spacing w:after="0" w:line="360" w:lineRule="auto"/>
        <w:ind w:firstLine="709"/>
        <w:jc w:val="both"/>
        <w:rPr>
          <w:rFonts w:ascii="Times New Roman" w:hAnsi="Times New Roman"/>
          <w:bCs/>
          <w:lang w:bidi="ru-RU"/>
        </w:rPr>
      </w:pPr>
      <w:r>
        <w:rPr>
          <w:rFonts w:ascii="Times New Roman" w:hAnsi="Times New Roman"/>
          <w:bCs/>
          <w:lang w:bidi="ru-RU"/>
        </w:rPr>
        <w:t>Осознание цели речевого высказывания, понимание основной мысли прослушанного учебного, научно-познавательного и художественного произведений.</w:t>
      </w:r>
    </w:p>
    <w:p w14:paraId="45C437EF">
      <w:pPr>
        <w:widowControl/>
        <w:tabs>
          <w:tab w:val="left" w:pos="1134"/>
        </w:tabs>
        <w:spacing w:after="0" w:line="360" w:lineRule="auto"/>
        <w:ind w:firstLine="709"/>
        <w:jc w:val="both"/>
        <w:rPr>
          <w:rFonts w:ascii="Times New Roman" w:hAnsi="Times New Roman"/>
          <w:bCs/>
          <w:lang w:bidi="ru-RU"/>
        </w:rPr>
      </w:pPr>
      <w:r>
        <w:rPr>
          <w:rFonts w:ascii="Times New Roman" w:hAnsi="Times New Roman"/>
          <w:bCs/>
          <w:lang w:bidi="ru-RU"/>
        </w:rPr>
        <w:t xml:space="preserve">Чтение вслух и про себя в соответствии с учебной задачей, разные виды чтения. Обсуждение прослушанного или прочитанного произведения, монологическое высказывание небольшого объёма с использованием авторского текста. Отражение основной мысли текста в высказывании, передача впечатлений от художественного произведения. Использование норм речевого этикета в условиях внеучебного общения. Создание письменных небольших текстов на основе прочитанного или услышанного художественного текста. </w:t>
      </w:r>
    </w:p>
    <w:p w14:paraId="44141C3C">
      <w:pPr>
        <w:widowControl/>
        <w:tabs>
          <w:tab w:val="left" w:pos="1134"/>
        </w:tabs>
        <w:spacing w:after="0" w:line="360" w:lineRule="auto"/>
        <w:ind w:firstLine="709"/>
        <w:jc w:val="both"/>
        <w:rPr>
          <w:rFonts w:ascii="Times New Roman" w:hAnsi="Times New Roman"/>
          <w:bCs/>
          <w:lang w:bidi="ru-RU"/>
        </w:rPr>
      </w:pPr>
      <w:r>
        <w:rPr>
          <w:rFonts w:ascii="Times New Roman" w:hAnsi="Times New Roman"/>
          <w:bCs/>
          <w:lang w:bidi="ru-RU"/>
        </w:rPr>
        <w:t>7.8.2. Литературоведческая пропедевтика.</w:t>
      </w:r>
    </w:p>
    <w:p w14:paraId="2D7326CE">
      <w:pPr>
        <w:widowControl/>
        <w:tabs>
          <w:tab w:val="left" w:pos="1134"/>
        </w:tabs>
        <w:spacing w:after="0" w:line="360" w:lineRule="auto"/>
        <w:ind w:firstLine="709"/>
        <w:jc w:val="both"/>
        <w:rPr>
          <w:rFonts w:ascii="Times New Roman" w:hAnsi="Times New Roman"/>
          <w:bCs/>
          <w:lang w:bidi="ru-RU"/>
        </w:rPr>
      </w:pPr>
      <w:r>
        <w:rPr>
          <w:rFonts w:ascii="Times New Roman" w:hAnsi="Times New Roman"/>
          <w:bCs/>
          <w:lang w:bidi="ru-RU"/>
        </w:rPr>
        <w:t xml:space="preserve">Малые жанры фольклора (считалки, загадки, пословица, небылицы). Пословицы народов (значение, характеристика, нравственная основа). Народные игры, народные хороводные песни. Фольклорная сказка как отражение общечеловеческих ценностей и нравственных правил. Виды сказок (о животных, бытовые, волшебные). Художественные особенности сказок: построение, язык. Характеристика героя, волшебные помощники. Сказки разных народов. Отражение в сказках народного быта и культуры. Составление плана сказки. </w:t>
      </w:r>
    </w:p>
    <w:p w14:paraId="576E80EE">
      <w:pPr>
        <w:widowControl/>
        <w:tabs>
          <w:tab w:val="left" w:pos="1134"/>
        </w:tabs>
        <w:spacing w:after="0" w:line="360" w:lineRule="auto"/>
        <w:ind w:firstLine="709"/>
        <w:jc w:val="both"/>
        <w:rPr>
          <w:rFonts w:ascii="Times New Roman" w:hAnsi="Times New Roman"/>
          <w:bCs/>
          <w:lang w:bidi="ru-RU"/>
        </w:rPr>
      </w:pPr>
      <w:r>
        <w:rPr>
          <w:rFonts w:ascii="Times New Roman" w:hAnsi="Times New Roman"/>
          <w:bCs/>
          <w:lang w:bidi="ru-RU"/>
        </w:rPr>
        <w:t>Фольклорные особенности жанра легенда: язык, характеристика главного героя (где жил, чем занимался, какими качествами обладал). Литературные сказки. Нравственный смысл произведения, структура сказочного текста, особенности сюжета.</w:t>
      </w:r>
    </w:p>
    <w:p w14:paraId="017B283B">
      <w:pPr>
        <w:widowControl/>
        <w:tabs>
          <w:tab w:val="left" w:pos="1134"/>
        </w:tabs>
        <w:spacing w:after="0" w:line="360" w:lineRule="auto"/>
        <w:ind w:firstLine="709"/>
        <w:jc w:val="both"/>
        <w:rPr>
          <w:rFonts w:ascii="Times New Roman" w:hAnsi="Times New Roman"/>
          <w:bCs/>
          <w:lang w:bidi="ru-RU"/>
        </w:rPr>
      </w:pPr>
      <w:r>
        <w:rPr>
          <w:rFonts w:ascii="Times New Roman" w:hAnsi="Times New Roman"/>
          <w:bCs/>
          <w:lang w:bidi="ru-RU"/>
        </w:rPr>
        <w:t>Басня как произведение-поучение. Иносказание в баснях. Явная и скрытая мораль басен. Средства выразительности в произведениях лирики: эпитеты, синонимы, антонимы, сравнения, олицетворения.</w:t>
      </w:r>
    </w:p>
    <w:p w14:paraId="25882605">
      <w:pPr>
        <w:widowControl/>
        <w:tabs>
          <w:tab w:val="left" w:pos="1134"/>
        </w:tabs>
        <w:spacing w:after="0" w:line="360" w:lineRule="auto"/>
        <w:ind w:firstLine="709"/>
        <w:jc w:val="both"/>
        <w:rPr>
          <w:rFonts w:ascii="Times New Roman" w:hAnsi="Times New Roman"/>
          <w:bCs/>
          <w:lang w:bidi="ru-RU"/>
        </w:rPr>
      </w:pPr>
      <w:r>
        <w:rPr>
          <w:rFonts w:ascii="Times New Roman" w:hAnsi="Times New Roman"/>
          <w:bCs/>
          <w:lang w:bidi="ru-RU"/>
        </w:rPr>
        <w:t>Рассказ как повествование: связь содержания с реальным событием. Роль и особенности заголовка произведения. Структурные части произведения: начало, завязка действия, кульминация, развязка. Сюжет рассказа. Разные виды плана. Отличие автора от героя и рассказчика. Герой художественного произведения: время и место проживания, особенности внешнего вида и характера. Описание пейзажа и интерьера.</w:t>
      </w:r>
    </w:p>
    <w:p w14:paraId="536C0B95">
      <w:pPr>
        <w:widowControl/>
        <w:tabs>
          <w:tab w:val="left" w:pos="1134"/>
        </w:tabs>
        <w:spacing w:after="0" w:line="360" w:lineRule="auto"/>
        <w:ind w:firstLine="709"/>
        <w:jc w:val="both"/>
        <w:rPr>
          <w:rFonts w:ascii="Times New Roman" w:hAnsi="Times New Roman"/>
          <w:bCs/>
          <w:lang w:bidi="ru-RU"/>
        </w:rPr>
      </w:pPr>
      <w:r>
        <w:rPr>
          <w:rFonts w:ascii="Times New Roman" w:hAnsi="Times New Roman"/>
          <w:bCs/>
          <w:lang w:bidi="ru-RU"/>
        </w:rPr>
        <w:t>Героическое прошлое России, тема Великой Отечественной войны в произведениях литературы. Юмористические произведения. Комичность как основа сюжета. Герой юмористического произведения. Средства выразительности текста юмористического содержания: преувеличение.</w:t>
      </w:r>
    </w:p>
    <w:p w14:paraId="763B4EA5">
      <w:pPr>
        <w:widowControl/>
        <w:tabs>
          <w:tab w:val="left" w:pos="1134"/>
        </w:tabs>
        <w:spacing w:after="0" w:line="360" w:lineRule="auto"/>
        <w:ind w:firstLine="709"/>
        <w:jc w:val="both"/>
        <w:rPr>
          <w:rFonts w:ascii="Times New Roman" w:hAnsi="Times New Roman"/>
          <w:bCs/>
          <w:lang w:bidi="ru-RU"/>
        </w:rPr>
      </w:pPr>
      <w:r>
        <w:rPr>
          <w:rFonts w:ascii="Times New Roman" w:hAnsi="Times New Roman"/>
          <w:bCs/>
          <w:lang w:bidi="ru-RU"/>
        </w:rPr>
        <w:t>7.</w:t>
      </w:r>
      <w:r>
        <w:rPr>
          <w:rFonts w:ascii="Times New Roman" w:hAnsi="Times New Roman"/>
          <w:bCs/>
          <w:iCs/>
          <w:lang w:bidi="ru-RU"/>
        </w:rPr>
        <w:t>8.3. Творческая деятельность.</w:t>
      </w:r>
    </w:p>
    <w:p w14:paraId="11364C89">
      <w:pPr>
        <w:widowControl/>
        <w:tabs>
          <w:tab w:val="left" w:pos="1134"/>
        </w:tabs>
        <w:spacing w:after="0" w:line="360" w:lineRule="auto"/>
        <w:ind w:firstLine="709"/>
        <w:jc w:val="both"/>
        <w:rPr>
          <w:rFonts w:ascii="Times New Roman" w:hAnsi="Times New Roman"/>
          <w:bCs/>
          <w:lang w:bidi="ru-RU"/>
        </w:rPr>
      </w:pPr>
      <w:r>
        <w:rPr>
          <w:rFonts w:ascii="Times New Roman" w:hAnsi="Times New Roman"/>
          <w:bCs/>
          <w:lang w:bidi="ru-RU"/>
        </w:rPr>
        <w:t>Сочинение текстов, используя аналогии, иллюстрации; разные формы пересказа, драматизация. Устный рассказ по иллюстрациям на основе прочитанного произведения, чтение по ролям.</w:t>
      </w:r>
    </w:p>
    <w:p w14:paraId="2CE0E489">
      <w:pPr>
        <w:widowControl/>
        <w:tabs>
          <w:tab w:val="left" w:pos="1134"/>
        </w:tabs>
        <w:spacing w:after="0" w:line="360" w:lineRule="auto"/>
        <w:ind w:firstLine="709"/>
        <w:jc w:val="both"/>
        <w:rPr>
          <w:rFonts w:ascii="Times New Roman" w:hAnsi="Times New Roman"/>
          <w:bCs/>
          <w:lang w:bidi="ru-RU"/>
        </w:rPr>
      </w:pPr>
      <w:r>
        <w:rPr>
          <w:rFonts w:ascii="Times New Roman" w:hAnsi="Times New Roman"/>
          <w:bCs/>
          <w:lang w:bidi="ru-RU"/>
        </w:rPr>
        <w:t>7.8.4. Библиографическая культура.</w:t>
      </w:r>
    </w:p>
    <w:p w14:paraId="5C9F9F8B">
      <w:pPr>
        <w:widowControl/>
        <w:tabs>
          <w:tab w:val="left" w:pos="1134"/>
        </w:tabs>
        <w:spacing w:after="0" w:line="360" w:lineRule="auto"/>
        <w:ind w:firstLine="709"/>
        <w:jc w:val="both"/>
        <w:rPr>
          <w:rFonts w:ascii="Times New Roman" w:hAnsi="Times New Roman"/>
          <w:bCs/>
          <w:lang w:bidi="ru-RU"/>
        </w:rPr>
      </w:pPr>
      <w:r>
        <w:rPr>
          <w:rFonts w:ascii="Times New Roman" w:hAnsi="Times New Roman"/>
          <w:bCs/>
          <w:lang w:bidi="ru-RU"/>
        </w:rPr>
        <w:t xml:space="preserve">Работа с детской книгой и справочной литературой. Ценность чтения художественной литературы и фольклора, осознание важности читательской деятельности. Правила юного читателя. Книга как особый вид искусства. </w:t>
      </w:r>
    </w:p>
    <w:p w14:paraId="36FF8E5B">
      <w:pPr>
        <w:widowControl/>
        <w:tabs>
          <w:tab w:val="left" w:pos="1134"/>
        </w:tabs>
        <w:spacing w:after="0" w:line="360" w:lineRule="auto"/>
        <w:ind w:firstLine="709"/>
        <w:jc w:val="both"/>
        <w:rPr>
          <w:rFonts w:ascii="Times New Roman" w:hAnsi="Times New Roman"/>
          <w:bCs/>
          <w:lang w:bidi="ru-RU"/>
        </w:rPr>
      </w:pPr>
      <w:r>
        <w:rPr>
          <w:rFonts w:ascii="Times New Roman" w:hAnsi="Times New Roman"/>
          <w:bCs/>
          <w:lang w:bidi="ru-RU"/>
        </w:rPr>
        <w:t>7.8.5. Круг детского чтения.</w:t>
      </w:r>
    </w:p>
    <w:p w14:paraId="68E01003">
      <w:pPr>
        <w:widowControl/>
        <w:tabs>
          <w:tab w:val="left" w:pos="1134"/>
        </w:tabs>
        <w:spacing w:after="0" w:line="360" w:lineRule="auto"/>
        <w:ind w:firstLine="709"/>
        <w:jc w:val="both"/>
        <w:rPr>
          <w:rFonts w:ascii="Times New Roman" w:hAnsi="Times New Roman"/>
          <w:bCs/>
          <w:lang w:bidi="ru-RU"/>
        </w:rPr>
      </w:pPr>
      <w:r>
        <w:rPr>
          <w:rFonts w:ascii="Times New Roman" w:hAnsi="Times New Roman"/>
          <w:bCs/>
          <w:lang w:bidi="ru-RU"/>
        </w:rPr>
        <w:t>7.8.5.1. Вот пришёл сентябрь…</w:t>
      </w:r>
    </w:p>
    <w:p w14:paraId="2D349B6A">
      <w:pPr>
        <w:widowControl/>
        <w:tabs>
          <w:tab w:val="left" w:pos="1134"/>
        </w:tabs>
        <w:spacing w:after="0" w:line="360" w:lineRule="auto"/>
        <w:ind w:firstLine="709"/>
        <w:jc w:val="both"/>
        <w:rPr>
          <w:rFonts w:ascii="Times New Roman" w:hAnsi="Times New Roman"/>
          <w:bCs/>
          <w:lang w:bidi="ru-RU"/>
        </w:rPr>
      </w:pPr>
      <w:r>
        <w:rPr>
          <w:rFonts w:ascii="Times New Roman" w:hAnsi="Times New Roman"/>
          <w:bCs/>
          <w:lang w:bidi="ru-RU"/>
        </w:rPr>
        <w:t>Г. Волков «Çамрăкла вĕрении – чул çинче» («Что усвоено в юности – на камне»), Л. Сапгир «Вĕреннĕ Лаша» («Ученая лошадь»), Х. Уяр «Мăйăр хуппи» («Ореховая скорлупа»), К. Беляев «Чи хаклă парне» («Самый дорогой подарок»).</w:t>
      </w:r>
    </w:p>
    <w:p w14:paraId="28C2CB39">
      <w:pPr>
        <w:widowControl/>
        <w:tabs>
          <w:tab w:val="left" w:pos="1134"/>
        </w:tabs>
        <w:spacing w:after="0" w:line="360" w:lineRule="auto"/>
        <w:ind w:firstLine="709"/>
        <w:jc w:val="both"/>
        <w:rPr>
          <w:rFonts w:ascii="Times New Roman" w:hAnsi="Times New Roman"/>
          <w:bCs/>
          <w:lang w:bidi="ru-RU"/>
        </w:rPr>
      </w:pPr>
      <w:r>
        <w:rPr>
          <w:rFonts w:ascii="Times New Roman" w:hAnsi="Times New Roman"/>
          <w:bCs/>
          <w:lang w:bidi="ru-RU"/>
        </w:rPr>
        <w:t>7.8.5.2. Чувашский край.</w:t>
      </w:r>
    </w:p>
    <w:p w14:paraId="514BB176">
      <w:pPr>
        <w:widowControl/>
        <w:tabs>
          <w:tab w:val="left" w:pos="1134"/>
        </w:tabs>
        <w:spacing w:after="0" w:line="360" w:lineRule="auto"/>
        <w:ind w:firstLine="709"/>
        <w:jc w:val="both"/>
        <w:rPr>
          <w:rFonts w:ascii="Times New Roman" w:hAnsi="Times New Roman"/>
          <w:bCs/>
          <w:lang w:bidi="ru-RU"/>
        </w:rPr>
      </w:pPr>
      <w:r>
        <w:rPr>
          <w:rFonts w:ascii="Times New Roman" w:hAnsi="Times New Roman"/>
          <w:bCs/>
          <w:lang w:bidi="ru-RU"/>
        </w:rPr>
        <w:t>К. Ушинский «Тăван çĕршыв – пирĕн анне» («Наше отечество»). Родина. Государственный Гимн Чувашской Республики. Хуначи Кашкăр «Ылтăн çĕр» («Золотая земля»), Н. Янкас «Лăпкă çĕршывра» («В спокойном краю»), С. Вишневский «Туслăх сăмахĕ» («Слово дружбы»).</w:t>
      </w:r>
    </w:p>
    <w:p w14:paraId="5D782FAC">
      <w:pPr>
        <w:widowControl/>
        <w:tabs>
          <w:tab w:val="left" w:pos="1134"/>
        </w:tabs>
        <w:spacing w:after="0" w:line="360" w:lineRule="auto"/>
        <w:ind w:firstLine="709"/>
        <w:jc w:val="both"/>
        <w:rPr>
          <w:rFonts w:ascii="Times New Roman" w:hAnsi="Times New Roman"/>
          <w:bCs/>
          <w:lang w:bidi="ru-RU"/>
        </w:rPr>
      </w:pPr>
      <w:r>
        <w:rPr>
          <w:rFonts w:ascii="Times New Roman" w:hAnsi="Times New Roman"/>
          <w:bCs/>
          <w:lang w:bidi="ru-RU"/>
        </w:rPr>
        <w:t>7.8.5.3. Осень.</w:t>
      </w:r>
    </w:p>
    <w:p w14:paraId="528B2E40">
      <w:pPr>
        <w:widowControl/>
        <w:tabs>
          <w:tab w:val="left" w:pos="1134"/>
        </w:tabs>
        <w:spacing w:after="0" w:line="360" w:lineRule="auto"/>
        <w:ind w:firstLine="709"/>
        <w:jc w:val="both"/>
        <w:rPr>
          <w:rFonts w:ascii="Times New Roman" w:hAnsi="Times New Roman"/>
          <w:bCs/>
          <w:lang w:bidi="ru-RU"/>
        </w:rPr>
      </w:pPr>
      <w:r>
        <w:rPr>
          <w:rFonts w:ascii="Times New Roman" w:hAnsi="Times New Roman"/>
          <w:bCs/>
          <w:lang w:bidi="ru-RU"/>
        </w:rPr>
        <w:t>Н. Теветкел «Кĕрхи сăнсем» («Осенние зарисовки,. Н. Исмуков «Кĕр пасарĕ» («Осенний базар»), И. Соколов-Микитов «Кĕрхи вăрманта» («В осеннем лесу»), М. Волкова «Кĕрхи хурăн» («Осенняя берёза»), О. Туркай «Çулçă» («Листок»), Н. Янкас «Сивĕтет çанталăк» («Подмораживает»).</w:t>
      </w:r>
    </w:p>
    <w:p w14:paraId="044E4AE6">
      <w:pPr>
        <w:widowControl/>
        <w:tabs>
          <w:tab w:val="left" w:pos="1134"/>
        </w:tabs>
        <w:spacing w:after="0" w:line="360" w:lineRule="auto"/>
        <w:ind w:firstLine="709"/>
        <w:jc w:val="both"/>
        <w:rPr>
          <w:rFonts w:ascii="Times New Roman" w:hAnsi="Times New Roman"/>
          <w:bCs/>
          <w:lang w:bidi="ru-RU"/>
        </w:rPr>
      </w:pPr>
      <w:r>
        <w:rPr>
          <w:rFonts w:ascii="Times New Roman" w:hAnsi="Times New Roman"/>
          <w:bCs/>
          <w:lang w:bidi="ru-RU"/>
        </w:rPr>
        <w:t>7.8.5.4. Устное народное творчество.</w:t>
      </w:r>
    </w:p>
    <w:p w14:paraId="002BD385">
      <w:pPr>
        <w:widowControl/>
        <w:tabs>
          <w:tab w:val="left" w:pos="1134"/>
        </w:tabs>
        <w:spacing w:after="0" w:line="360" w:lineRule="auto"/>
        <w:ind w:firstLine="709"/>
        <w:jc w:val="both"/>
        <w:rPr>
          <w:rFonts w:ascii="Times New Roman" w:hAnsi="Times New Roman"/>
          <w:bCs/>
          <w:lang w:bidi="ru-RU"/>
        </w:rPr>
      </w:pPr>
      <w:r>
        <w:rPr>
          <w:rFonts w:ascii="Times New Roman" w:hAnsi="Times New Roman"/>
          <w:bCs/>
          <w:lang w:bidi="ru-RU"/>
        </w:rPr>
        <w:t xml:space="preserve">Тупмалли юмахсем (Загадки). Вăйă-шăпа юрри-сăвви (Считалки). Вăйă юррисем (Хороводные песни). «Уйăхпа хĕвелле». Халăх вăййи (В солнце и месяц. Народная игра). Небылица «Ак телей!» («Вот счастье»). Ваттисен сăмахĕсем. (Пословицы). </w:t>
      </w:r>
    </w:p>
    <w:p w14:paraId="4CDDBA5A">
      <w:pPr>
        <w:widowControl/>
        <w:tabs>
          <w:tab w:val="left" w:pos="1134"/>
        </w:tabs>
        <w:spacing w:after="0" w:line="360" w:lineRule="auto"/>
        <w:ind w:firstLine="709"/>
        <w:jc w:val="both"/>
        <w:rPr>
          <w:rFonts w:ascii="Times New Roman" w:hAnsi="Times New Roman"/>
          <w:bCs/>
          <w:lang w:bidi="ru-RU"/>
        </w:rPr>
      </w:pPr>
      <w:r>
        <w:rPr>
          <w:rFonts w:ascii="Times New Roman" w:hAnsi="Times New Roman"/>
          <w:bCs/>
          <w:lang w:bidi="ru-RU"/>
        </w:rPr>
        <w:t>7.8.5.5. Басни. Небылицы.</w:t>
      </w:r>
    </w:p>
    <w:p w14:paraId="7184738C">
      <w:pPr>
        <w:widowControl/>
        <w:tabs>
          <w:tab w:val="left" w:pos="1134"/>
        </w:tabs>
        <w:spacing w:after="0" w:line="360" w:lineRule="auto"/>
        <w:ind w:firstLine="709"/>
        <w:jc w:val="both"/>
        <w:rPr>
          <w:rFonts w:ascii="Times New Roman" w:hAnsi="Times New Roman"/>
          <w:bCs/>
          <w:lang w:bidi="ru-RU"/>
        </w:rPr>
      </w:pPr>
      <w:r>
        <w:rPr>
          <w:rFonts w:ascii="Times New Roman" w:hAnsi="Times New Roman"/>
          <w:bCs/>
          <w:lang w:bidi="ru-RU"/>
        </w:rPr>
        <w:t>Эзоп «Ула куракпа Тилĕ» («Ворон и Лисица»), И. Крылов «Ула куракпа Тилĕ» («Ворона и Лисица»), Л. Толстой «Пакшапа Кашкăр» («Белка и волк»), К. Чулкаç «Ăсансене ертсе килни» («Как я привёл тетеревиную стаю»).</w:t>
      </w:r>
    </w:p>
    <w:p w14:paraId="7DCAA51A">
      <w:pPr>
        <w:widowControl/>
        <w:tabs>
          <w:tab w:val="left" w:pos="1134"/>
        </w:tabs>
        <w:spacing w:after="0" w:line="360" w:lineRule="auto"/>
        <w:ind w:firstLine="709"/>
        <w:jc w:val="both"/>
        <w:rPr>
          <w:rFonts w:ascii="Times New Roman" w:hAnsi="Times New Roman"/>
          <w:bCs/>
          <w:lang w:bidi="ru-RU"/>
        </w:rPr>
      </w:pPr>
      <w:r>
        <w:rPr>
          <w:rFonts w:ascii="Times New Roman" w:hAnsi="Times New Roman"/>
          <w:bCs/>
          <w:lang w:bidi="ru-RU"/>
        </w:rPr>
        <w:t>7.8.5.6. Мы из рода Улыпа, друзья…</w:t>
      </w:r>
    </w:p>
    <w:p w14:paraId="0E6F3BC8">
      <w:pPr>
        <w:widowControl/>
        <w:tabs>
          <w:tab w:val="left" w:pos="1134"/>
        </w:tabs>
        <w:spacing w:after="0" w:line="360" w:lineRule="auto"/>
        <w:ind w:firstLine="709"/>
        <w:jc w:val="both"/>
        <w:rPr>
          <w:rFonts w:ascii="Times New Roman" w:hAnsi="Times New Roman"/>
          <w:bCs/>
          <w:lang w:bidi="ru-RU"/>
        </w:rPr>
      </w:pPr>
      <w:r>
        <w:rPr>
          <w:rFonts w:ascii="Times New Roman" w:hAnsi="Times New Roman"/>
          <w:bCs/>
          <w:lang w:bidi="ru-RU"/>
        </w:rPr>
        <w:t xml:space="preserve">Г. Юмарт «Улăпсем» («Улыпы»), «Ной карапĕ» («Ноев ковчег»), «Çунатлă Урхамах» («Крылатый Аргамак». Из легенд об Улыпе). </w:t>
      </w:r>
    </w:p>
    <w:p w14:paraId="14F574AE">
      <w:pPr>
        <w:widowControl/>
        <w:tabs>
          <w:tab w:val="left" w:pos="1134"/>
        </w:tabs>
        <w:spacing w:after="0" w:line="360" w:lineRule="auto"/>
        <w:ind w:firstLine="709"/>
        <w:jc w:val="both"/>
        <w:rPr>
          <w:rFonts w:ascii="Times New Roman" w:hAnsi="Times New Roman"/>
          <w:bCs/>
          <w:lang w:bidi="ru-RU"/>
        </w:rPr>
      </w:pPr>
      <w:r>
        <w:rPr>
          <w:rFonts w:ascii="Times New Roman" w:hAnsi="Times New Roman"/>
          <w:bCs/>
          <w:lang w:bidi="ru-RU"/>
        </w:rPr>
        <w:t>7.8.5.7. Сказка где-то на столбе.</w:t>
      </w:r>
    </w:p>
    <w:p w14:paraId="520AEDD3">
      <w:pPr>
        <w:widowControl/>
        <w:tabs>
          <w:tab w:val="left" w:pos="1134"/>
        </w:tabs>
        <w:spacing w:after="0" w:line="360" w:lineRule="auto"/>
        <w:ind w:firstLine="709"/>
        <w:jc w:val="both"/>
        <w:rPr>
          <w:rFonts w:ascii="Times New Roman" w:hAnsi="Times New Roman"/>
          <w:bCs/>
          <w:lang w:bidi="ru-RU"/>
        </w:rPr>
      </w:pPr>
      <w:r>
        <w:rPr>
          <w:rFonts w:ascii="Times New Roman" w:hAnsi="Times New Roman"/>
          <w:bCs/>
          <w:lang w:bidi="ru-RU"/>
        </w:rPr>
        <w:t>Чувашская народная сказка «Чее такасем» («Хитрые барашки»). Башкирская народная сказка «Курай юмахĕ» («Сказка о курае»). Удмуртская народная сказка «Пакшапа майăр» («Белка и орех»).</w:t>
      </w:r>
    </w:p>
    <w:p w14:paraId="6593DDB6">
      <w:pPr>
        <w:widowControl/>
        <w:tabs>
          <w:tab w:val="left" w:pos="1134"/>
        </w:tabs>
        <w:spacing w:after="0" w:line="360" w:lineRule="auto"/>
        <w:ind w:firstLine="709"/>
        <w:jc w:val="both"/>
        <w:rPr>
          <w:rFonts w:ascii="Times New Roman" w:hAnsi="Times New Roman"/>
          <w:bCs/>
          <w:lang w:bidi="ru-RU"/>
        </w:rPr>
      </w:pPr>
      <w:r>
        <w:rPr>
          <w:rFonts w:ascii="Times New Roman" w:hAnsi="Times New Roman"/>
          <w:bCs/>
          <w:lang w:bidi="ru-RU"/>
        </w:rPr>
        <w:t>7.8.5.8. Волшебница зима.</w:t>
      </w:r>
    </w:p>
    <w:p w14:paraId="31F8502D">
      <w:pPr>
        <w:widowControl/>
        <w:tabs>
          <w:tab w:val="left" w:pos="1134"/>
        </w:tabs>
        <w:spacing w:after="0" w:line="360" w:lineRule="auto"/>
        <w:ind w:firstLine="709"/>
        <w:jc w:val="both"/>
        <w:rPr>
          <w:rFonts w:ascii="Times New Roman" w:hAnsi="Times New Roman"/>
          <w:bCs/>
          <w:lang w:bidi="ru-RU"/>
        </w:rPr>
      </w:pPr>
      <w:r>
        <w:rPr>
          <w:rFonts w:ascii="Times New Roman" w:hAnsi="Times New Roman"/>
          <w:bCs/>
          <w:lang w:bidi="ru-RU"/>
        </w:rPr>
        <w:t>В. Эктел «Хĕл пуçламăшĕ» («Начало зимы»), А. Пушкин «Хĕлле…» («Зима…» Отрывок из романа «Евгений Онегин»). Чувашская народная сказка «Хырпа Чăрăш тата Уртăш мĕншĕн яланах симĕс?» («Почему Сосна, Ель и Можжевельник всегда зелёные?»). В. Харитонов «Йĕлтĕрпе» («На лыжах»), А. Смолин «Уçă çилĕ чĕлтĕр-чĕлтĕр…» (Свежий ветер в ушах…), Г. Харлампьев «Мулкач йĕрĕпе» («По следу зайца»), Н. Силпи «Намăсланакан çĕнтерÿçĕ» («Стыдливый победитель»).</w:t>
      </w:r>
    </w:p>
    <w:p w14:paraId="2739160C">
      <w:pPr>
        <w:widowControl/>
        <w:tabs>
          <w:tab w:val="left" w:pos="1134"/>
        </w:tabs>
        <w:spacing w:after="0" w:line="360" w:lineRule="auto"/>
        <w:ind w:firstLine="709"/>
        <w:jc w:val="both"/>
        <w:rPr>
          <w:rFonts w:ascii="Times New Roman" w:hAnsi="Times New Roman"/>
          <w:bCs/>
          <w:lang w:bidi="ru-RU"/>
        </w:rPr>
      </w:pPr>
      <w:r>
        <w:rPr>
          <w:rFonts w:ascii="Times New Roman" w:hAnsi="Times New Roman"/>
          <w:bCs/>
          <w:lang w:bidi="ru-RU"/>
        </w:rPr>
        <w:t>7.8.5.9. Мы – скромные ребята.</w:t>
      </w:r>
    </w:p>
    <w:p w14:paraId="2E047AA9">
      <w:pPr>
        <w:widowControl/>
        <w:tabs>
          <w:tab w:val="left" w:pos="1134"/>
        </w:tabs>
        <w:spacing w:after="0" w:line="360" w:lineRule="auto"/>
        <w:ind w:firstLine="709"/>
        <w:jc w:val="both"/>
        <w:rPr>
          <w:rFonts w:ascii="Times New Roman" w:hAnsi="Times New Roman"/>
          <w:bCs/>
          <w:lang w:bidi="ru-RU"/>
        </w:rPr>
      </w:pPr>
      <w:r>
        <w:rPr>
          <w:rFonts w:ascii="Times New Roman" w:hAnsi="Times New Roman"/>
          <w:bCs/>
          <w:lang w:bidi="ru-RU"/>
        </w:rPr>
        <w:t xml:space="preserve">Н. Карай «Йăмăк» («Сестрица»), М. Джалиль «Çывракан ача» («Спящий ребенок»), Р. Минатуллин «Пулăшакан» («Помощник»), А. Галкин «Шăна кăмпин шăпи» («Судьба Мухомора»), Н. Иванов «Чечек çыххи» («Букет цветов»), Шухши Иванĕ «Кĕрен тÿпе» («Алое небо»), Г. Волков «Пуянлăх хакне ĕçлекен çеç пĕлет» («Цену богатства знает лишь трудящийся»), Л. Ковалюк «Хăравçă» («Трус»), А. Ерусланов «Хапхаçă» («Вратарь»), О. Уайльд «Хăйне çеç юратнă Улăп» («Великан-эгоист»), В. Ар-Серги «Асанне шкулĕ» («Бабушкина школа»). </w:t>
      </w:r>
    </w:p>
    <w:p w14:paraId="50AFD106">
      <w:pPr>
        <w:widowControl/>
        <w:tabs>
          <w:tab w:val="left" w:pos="1134"/>
        </w:tabs>
        <w:spacing w:after="0" w:line="360" w:lineRule="auto"/>
        <w:ind w:firstLine="709"/>
        <w:jc w:val="both"/>
        <w:rPr>
          <w:rFonts w:ascii="Times New Roman" w:hAnsi="Times New Roman"/>
          <w:bCs/>
          <w:lang w:bidi="ru-RU"/>
        </w:rPr>
      </w:pPr>
      <w:r>
        <w:rPr>
          <w:rFonts w:ascii="Times New Roman" w:hAnsi="Times New Roman"/>
          <w:bCs/>
          <w:lang w:bidi="ru-RU"/>
        </w:rPr>
        <w:t>7.8.5.10. Летние радости.</w:t>
      </w:r>
    </w:p>
    <w:p w14:paraId="1A5F831A">
      <w:pPr>
        <w:widowControl/>
        <w:tabs>
          <w:tab w:val="left" w:pos="1134"/>
        </w:tabs>
        <w:spacing w:after="0" w:line="360" w:lineRule="auto"/>
        <w:ind w:firstLine="709"/>
        <w:jc w:val="both"/>
        <w:rPr>
          <w:rFonts w:ascii="Times New Roman" w:hAnsi="Times New Roman"/>
          <w:bCs/>
          <w:lang w:bidi="ru-RU"/>
        </w:rPr>
      </w:pPr>
      <w:r>
        <w:rPr>
          <w:rFonts w:ascii="Times New Roman" w:hAnsi="Times New Roman"/>
          <w:bCs/>
          <w:lang w:bidi="ru-RU"/>
        </w:rPr>
        <w:t>Н. Исмуков «Çурхи тĕнче» («Летний мир»), Л. Смолина «Çуркунне пуçланать» («Наступает весна»), Н. Некрасов «Ешĕл шав» («Зеленый шум»), Уйăп Мишши «Çурхи вăйă» («Весенняя игра»), Мĕтри Кипек «Çурхи вăрманта» («В весеннем лесу»), А. Каттай «Çеçпĕл» («Первоцвет»), Г. Снегирёв «Малтанхи хĕвел» («Первое солнце»), К. Иванов «Çуркунне çитсен» («Когда наступила весна». Отрывок из поэмы «Нарспи»), Н. Матвеев «Таврана илем кÿреççĕ» («Украшают округу»), А. Артемьев «Çурхи кун» («Весенний день»).</w:t>
      </w:r>
    </w:p>
    <w:p w14:paraId="017938BB">
      <w:pPr>
        <w:widowControl/>
        <w:tabs>
          <w:tab w:val="left" w:pos="1134"/>
        </w:tabs>
        <w:spacing w:after="0" w:line="360" w:lineRule="auto"/>
        <w:ind w:firstLine="709"/>
        <w:jc w:val="both"/>
        <w:rPr>
          <w:rFonts w:ascii="Times New Roman" w:hAnsi="Times New Roman"/>
          <w:bCs/>
          <w:lang w:bidi="ru-RU"/>
        </w:rPr>
      </w:pPr>
      <w:r>
        <w:rPr>
          <w:rFonts w:ascii="Times New Roman" w:hAnsi="Times New Roman"/>
          <w:bCs/>
          <w:lang w:bidi="ru-RU"/>
        </w:rPr>
        <w:t>7.8.5.11. Война гремела на земле когда-то.</w:t>
      </w:r>
    </w:p>
    <w:p w14:paraId="25009360">
      <w:pPr>
        <w:widowControl/>
        <w:tabs>
          <w:tab w:val="left" w:pos="1134"/>
        </w:tabs>
        <w:spacing w:after="0" w:line="360" w:lineRule="auto"/>
        <w:ind w:firstLine="709"/>
        <w:jc w:val="both"/>
        <w:rPr>
          <w:rFonts w:ascii="Times New Roman" w:hAnsi="Times New Roman"/>
          <w:bCs/>
          <w:lang w:bidi="ru-RU"/>
        </w:rPr>
      </w:pPr>
      <w:r>
        <w:rPr>
          <w:rFonts w:ascii="Times New Roman" w:hAnsi="Times New Roman"/>
          <w:bCs/>
          <w:lang w:bidi="ru-RU"/>
        </w:rPr>
        <w:t>А. Алка «Малтанхи кун» («Первый день»), А. Галкин «Çумăр куççулĕ» («Слеза дождя»), Ю. Николаева «Вăрçă çăкăрĕ» («Хлеб войны»), А. Каттай «Берлинти палăк» («Памятник в Берлине»), А. Кипеч «Çĕр улми сутма кайни» («Как ездили продавать картошку»), П. Эйзин «Ан пултăр вăрçă» («Пусть не будет войны»).</w:t>
      </w:r>
    </w:p>
    <w:p w14:paraId="011ACD0C">
      <w:pPr>
        <w:widowControl/>
        <w:tabs>
          <w:tab w:val="left" w:pos="1134"/>
        </w:tabs>
        <w:spacing w:after="0" w:line="360" w:lineRule="auto"/>
        <w:ind w:firstLine="709"/>
        <w:jc w:val="both"/>
        <w:rPr>
          <w:rFonts w:ascii="Times New Roman" w:hAnsi="Times New Roman"/>
          <w:bCs/>
          <w:lang w:bidi="ru-RU"/>
        </w:rPr>
      </w:pPr>
      <w:r>
        <w:rPr>
          <w:rFonts w:ascii="Times New Roman" w:hAnsi="Times New Roman"/>
          <w:bCs/>
          <w:lang w:bidi="ru-RU"/>
        </w:rPr>
        <w:t>7.8.5.12. В мире животных.</w:t>
      </w:r>
    </w:p>
    <w:p w14:paraId="4A148136">
      <w:pPr>
        <w:widowControl/>
        <w:tabs>
          <w:tab w:val="left" w:pos="1134"/>
        </w:tabs>
        <w:spacing w:after="0" w:line="360" w:lineRule="auto"/>
        <w:ind w:firstLine="709"/>
        <w:jc w:val="both"/>
        <w:rPr>
          <w:rFonts w:ascii="Times New Roman" w:hAnsi="Times New Roman"/>
          <w:bCs/>
          <w:lang w:bidi="ru-RU"/>
        </w:rPr>
      </w:pPr>
      <w:r>
        <w:rPr>
          <w:rFonts w:ascii="Times New Roman" w:hAnsi="Times New Roman"/>
          <w:bCs/>
          <w:lang w:bidi="ru-RU"/>
        </w:rPr>
        <w:t xml:space="preserve">Н. Ишентей «Аптраман кăвакалсем» («Не растерявшиеся утки»), Ç. Элкер «Кашкăрсемпе çапăçни» («Схватка с волками»), Н. Иванов «Ăсанпа Хураçка» («Тетерев и Хураська»), Н. Матвеев «Уртăш» («Можжевельник»), Н. Матвеев «Çара çерçи» («Летучая мышь»), О. Савандеева, «Сăркка» («Серый»). </w:t>
      </w:r>
    </w:p>
    <w:p w14:paraId="3281AA80">
      <w:pPr>
        <w:widowControl/>
        <w:tabs>
          <w:tab w:val="left" w:pos="1134"/>
        </w:tabs>
        <w:spacing w:after="0" w:line="360" w:lineRule="auto"/>
        <w:ind w:firstLine="709"/>
        <w:jc w:val="both"/>
        <w:rPr>
          <w:rFonts w:ascii="Times New Roman" w:hAnsi="Times New Roman"/>
          <w:bCs/>
          <w:lang w:bidi="ru-RU"/>
        </w:rPr>
      </w:pPr>
      <w:r>
        <w:rPr>
          <w:rFonts w:ascii="Times New Roman" w:hAnsi="Times New Roman"/>
          <w:bCs/>
          <w:lang w:bidi="ru-RU"/>
        </w:rPr>
        <w:t>7.8.5.13. Ненаглядная и незабываемая родная сторона.</w:t>
      </w:r>
    </w:p>
    <w:p w14:paraId="429473BA">
      <w:pPr>
        <w:widowControl/>
        <w:tabs>
          <w:tab w:val="left" w:pos="1134"/>
        </w:tabs>
        <w:spacing w:after="0" w:line="360" w:lineRule="auto"/>
        <w:ind w:firstLine="709"/>
        <w:jc w:val="both"/>
        <w:rPr>
          <w:rFonts w:ascii="Times New Roman" w:hAnsi="Times New Roman"/>
          <w:bCs/>
          <w:lang w:bidi="ru-RU"/>
        </w:rPr>
      </w:pPr>
      <w:r>
        <w:rPr>
          <w:rFonts w:ascii="Times New Roman" w:hAnsi="Times New Roman"/>
          <w:bCs/>
          <w:lang w:bidi="ru-RU"/>
        </w:rPr>
        <w:t>И. Дубанов «Эл кÿлли» («Озеро Аль»), В. Харитонов «Çил ачи» («Сын ветра»), Г. Орлов «Çухату» («Потеря»), «Çулçÿревçĕ вăрăсем» («Семена путешественники»), Р. Сарпи «Пĕлĕтсем – шур путексем» («Облака – белые барашки»), Х. Юлдашев «Лĕпĕш» («Бабочка»), Уйăп Мишши «Çуллахи каникул» («Летние каникулы»), Г. Харлампьев «Кулĕ хĕрринче» («На берегу озера»).</w:t>
      </w:r>
    </w:p>
    <w:p w14:paraId="7065DFC3">
      <w:pPr>
        <w:widowControl/>
        <w:tabs>
          <w:tab w:val="left" w:pos="1134"/>
        </w:tabs>
        <w:spacing w:after="0" w:line="360" w:lineRule="auto"/>
        <w:ind w:firstLine="709"/>
        <w:jc w:val="both"/>
        <w:rPr>
          <w:rFonts w:ascii="Times New Roman" w:hAnsi="Times New Roman"/>
          <w:bCs/>
          <w:lang w:bidi="ru-RU"/>
        </w:rPr>
      </w:pPr>
      <w:r>
        <w:rPr>
          <w:rFonts w:ascii="Times New Roman" w:hAnsi="Times New Roman"/>
          <w:bCs/>
          <w:lang w:bidi="ru-RU"/>
        </w:rPr>
        <w:t>7.9. Содержание обучения в 4 классе.</w:t>
      </w:r>
    </w:p>
    <w:p w14:paraId="2E9A1E73">
      <w:pPr>
        <w:widowControl/>
        <w:tabs>
          <w:tab w:val="left" w:pos="1134"/>
        </w:tabs>
        <w:spacing w:after="0" w:line="360" w:lineRule="auto"/>
        <w:ind w:firstLine="709"/>
        <w:jc w:val="both"/>
        <w:rPr>
          <w:rFonts w:ascii="Times New Roman" w:hAnsi="Times New Roman"/>
          <w:bCs/>
          <w:lang w:bidi="ru-RU"/>
        </w:rPr>
      </w:pPr>
      <w:r>
        <w:rPr>
          <w:rFonts w:ascii="Times New Roman" w:hAnsi="Times New Roman"/>
          <w:bCs/>
          <w:lang w:bidi="ru-RU"/>
        </w:rPr>
        <w:t>7.9.1. Речевая деятельность.</w:t>
      </w:r>
    </w:p>
    <w:p w14:paraId="2FFDBF35">
      <w:pPr>
        <w:widowControl/>
        <w:tabs>
          <w:tab w:val="left" w:pos="1134"/>
        </w:tabs>
        <w:spacing w:after="0" w:line="360" w:lineRule="auto"/>
        <w:ind w:firstLine="709"/>
        <w:jc w:val="both"/>
        <w:rPr>
          <w:rFonts w:ascii="Times New Roman" w:hAnsi="Times New Roman"/>
          <w:bCs/>
          <w:lang w:bidi="ru-RU"/>
        </w:rPr>
      </w:pPr>
      <w:r>
        <w:rPr>
          <w:rFonts w:ascii="Times New Roman" w:hAnsi="Times New Roman"/>
          <w:bCs/>
          <w:lang w:bidi="ru-RU"/>
        </w:rPr>
        <w:t xml:space="preserve">Осознание цели речевого высказывания, понимание основной мысли прослушанного учебного, научно-познавательного и художественного произведений. Высказывание своей точки зрения по обсуждаемому произведению. Доказательство собственной точки зрения с использованием текста или личного опыта. Самостоятельное построение плана собственного высказывания. Отбор и использование выразительных средств языка (синонимы, антонимы, сравнения) с учётом особенностей монологического высказывания. Разные виды чтения в зависимости от учебной задачи. Нахождение в тексте необходимой информации. </w:t>
      </w:r>
    </w:p>
    <w:p w14:paraId="4077FDFE">
      <w:pPr>
        <w:widowControl/>
        <w:tabs>
          <w:tab w:val="left" w:pos="1134"/>
        </w:tabs>
        <w:spacing w:after="0" w:line="360" w:lineRule="auto"/>
        <w:ind w:firstLine="709"/>
        <w:jc w:val="both"/>
        <w:rPr>
          <w:rFonts w:ascii="Times New Roman" w:hAnsi="Times New Roman"/>
          <w:bCs/>
          <w:lang w:bidi="ru-RU"/>
        </w:rPr>
      </w:pPr>
      <w:r>
        <w:rPr>
          <w:rFonts w:ascii="Times New Roman" w:hAnsi="Times New Roman"/>
          <w:bCs/>
          <w:lang w:bidi="ru-RU"/>
        </w:rPr>
        <w:t>7.9.2. Литературоведческая пропедевтика.</w:t>
      </w:r>
    </w:p>
    <w:p w14:paraId="6D313EF9">
      <w:pPr>
        <w:widowControl/>
        <w:tabs>
          <w:tab w:val="left" w:pos="1134"/>
        </w:tabs>
        <w:spacing w:after="0" w:line="360" w:lineRule="auto"/>
        <w:ind w:firstLine="709"/>
        <w:jc w:val="both"/>
        <w:rPr>
          <w:rFonts w:ascii="Times New Roman" w:hAnsi="Times New Roman"/>
          <w:bCs/>
          <w:lang w:bidi="ru-RU"/>
        </w:rPr>
      </w:pPr>
      <w:r>
        <w:rPr>
          <w:rFonts w:ascii="Times New Roman" w:hAnsi="Times New Roman"/>
          <w:bCs/>
          <w:lang w:bidi="ru-RU"/>
        </w:rPr>
        <w:t>Многообразие видов фольклора: словесный, музыкальный, обрядовый (календарный). Виды сказок: о животных, бытовые. Легенда как народный сказ о важном историческом событии. Фольклорные особенности жанра: язык, характеристика главного героя (где жил, чем занимался, какими качествами обладал).</w:t>
      </w:r>
    </w:p>
    <w:p w14:paraId="07EC3FF4">
      <w:pPr>
        <w:widowControl/>
        <w:tabs>
          <w:tab w:val="left" w:pos="1134"/>
        </w:tabs>
        <w:spacing w:after="0" w:line="360" w:lineRule="auto"/>
        <w:ind w:firstLine="709"/>
        <w:jc w:val="both"/>
        <w:rPr>
          <w:rFonts w:ascii="Times New Roman" w:hAnsi="Times New Roman"/>
          <w:bCs/>
          <w:lang w:bidi="ru-RU"/>
        </w:rPr>
      </w:pPr>
      <w:r>
        <w:rPr>
          <w:rFonts w:ascii="Times New Roman" w:hAnsi="Times New Roman"/>
          <w:bCs/>
          <w:lang w:bidi="ru-RU"/>
        </w:rPr>
        <w:t xml:space="preserve">Лирические произведения как описание в стихотворной форме чувств поэта, связанных с наблюдениями, описаниями природы. Темы стихотворных произведений. Средства выразительности в произведениях лирики: эпитеты, синонимы, антонимы, сравнения, олицетворения, метафоры. </w:t>
      </w:r>
    </w:p>
    <w:p w14:paraId="71635EF8">
      <w:pPr>
        <w:widowControl/>
        <w:tabs>
          <w:tab w:val="left" w:pos="1134"/>
        </w:tabs>
        <w:spacing w:after="0" w:line="360" w:lineRule="auto"/>
        <w:ind w:firstLine="709"/>
        <w:jc w:val="both"/>
        <w:rPr>
          <w:rFonts w:ascii="Times New Roman" w:hAnsi="Times New Roman"/>
          <w:bCs/>
          <w:lang w:bidi="ru-RU"/>
        </w:rPr>
      </w:pPr>
      <w:r>
        <w:rPr>
          <w:rFonts w:ascii="Times New Roman" w:hAnsi="Times New Roman"/>
          <w:bCs/>
          <w:lang w:bidi="ru-RU"/>
        </w:rPr>
        <w:t xml:space="preserve">Повесть как эпический жанр (общее представление). Отрывки из повести. Значение реальных жизненных ситуаций в создании рассказа, повести. Выражение главной мысли. Основные события сюжета, отношение к ним героев. Словесный портрет героя как его характеристика. Отношение к герою, к его поступкам. </w:t>
      </w:r>
    </w:p>
    <w:p w14:paraId="4E32E090">
      <w:pPr>
        <w:widowControl/>
        <w:tabs>
          <w:tab w:val="left" w:pos="1134"/>
        </w:tabs>
        <w:spacing w:after="0" w:line="360" w:lineRule="auto"/>
        <w:ind w:firstLine="709"/>
        <w:jc w:val="both"/>
        <w:rPr>
          <w:rFonts w:ascii="Times New Roman" w:hAnsi="Times New Roman"/>
          <w:bCs/>
          <w:lang w:bidi="ru-RU"/>
        </w:rPr>
      </w:pPr>
      <w:r>
        <w:rPr>
          <w:rFonts w:ascii="Times New Roman" w:hAnsi="Times New Roman"/>
          <w:bCs/>
          <w:lang w:bidi="ru-RU"/>
        </w:rPr>
        <w:t xml:space="preserve">Героическое прошлое России, тема Великой Отечественной войны в произведениях литературы. Юмористические произведения. Средства выразительности текста юмористического содержания: гипербола. </w:t>
      </w:r>
    </w:p>
    <w:p w14:paraId="6F6DC83D">
      <w:pPr>
        <w:widowControl/>
        <w:tabs>
          <w:tab w:val="left" w:pos="1134"/>
        </w:tabs>
        <w:spacing w:after="0" w:line="360" w:lineRule="auto"/>
        <w:ind w:firstLine="709"/>
        <w:jc w:val="both"/>
        <w:rPr>
          <w:rFonts w:ascii="Times New Roman" w:hAnsi="Times New Roman"/>
          <w:bCs/>
          <w:lang w:bidi="ru-RU"/>
        </w:rPr>
      </w:pPr>
      <w:r>
        <w:rPr>
          <w:rFonts w:ascii="Times New Roman" w:hAnsi="Times New Roman"/>
          <w:bCs/>
          <w:lang w:bidi="ru-RU"/>
        </w:rPr>
        <w:t>7.9.3. Творческая деятельность.</w:t>
      </w:r>
    </w:p>
    <w:p w14:paraId="743F64D5">
      <w:pPr>
        <w:widowControl/>
        <w:tabs>
          <w:tab w:val="left" w:pos="1134"/>
        </w:tabs>
        <w:spacing w:after="0" w:line="360" w:lineRule="auto"/>
        <w:ind w:firstLine="709"/>
        <w:jc w:val="both"/>
        <w:rPr>
          <w:rFonts w:ascii="Times New Roman" w:hAnsi="Times New Roman"/>
          <w:bCs/>
          <w:lang w:bidi="ru-RU"/>
        </w:rPr>
      </w:pPr>
      <w:r>
        <w:rPr>
          <w:rFonts w:ascii="Times New Roman" w:hAnsi="Times New Roman"/>
          <w:bCs/>
          <w:lang w:bidi="ru-RU"/>
        </w:rPr>
        <w:t>План текста, разные формы устного пересказа (подробный, выборочный, сжатый, от лица героя, с изменением лица рассказчика, от третьего лица), драматизация. Сочинение по аналогии, устное сочинение как продолжение прочитанного произведения, отдельных его сюжетных линий, короткий рассказ по иллюстрации.</w:t>
      </w:r>
    </w:p>
    <w:p w14:paraId="33E242E8">
      <w:pPr>
        <w:widowControl/>
        <w:tabs>
          <w:tab w:val="left" w:pos="1134"/>
        </w:tabs>
        <w:spacing w:after="0" w:line="360" w:lineRule="auto"/>
        <w:ind w:firstLine="709"/>
        <w:jc w:val="both"/>
        <w:rPr>
          <w:rFonts w:ascii="Times New Roman" w:hAnsi="Times New Roman"/>
          <w:bCs/>
          <w:lang w:bidi="ru-RU"/>
        </w:rPr>
      </w:pPr>
      <w:r>
        <w:rPr>
          <w:rFonts w:ascii="Times New Roman" w:hAnsi="Times New Roman"/>
          <w:bCs/>
          <w:lang w:bidi="ru-RU"/>
        </w:rPr>
        <w:t>7.9.4. Библиографическая культура.</w:t>
      </w:r>
    </w:p>
    <w:p w14:paraId="49535D6F">
      <w:pPr>
        <w:widowControl/>
        <w:tabs>
          <w:tab w:val="left" w:pos="1134"/>
        </w:tabs>
        <w:spacing w:after="0" w:line="360" w:lineRule="auto"/>
        <w:ind w:firstLine="709"/>
        <w:jc w:val="both"/>
        <w:rPr>
          <w:rFonts w:ascii="Times New Roman" w:hAnsi="Times New Roman"/>
          <w:bCs/>
          <w:lang w:bidi="ru-RU"/>
        </w:rPr>
      </w:pPr>
      <w:r>
        <w:rPr>
          <w:rFonts w:ascii="Times New Roman" w:hAnsi="Times New Roman"/>
          <w:bCs/>
          <w:lang w:bidi="ru-RU"/>
        </w:rPr>
        <w:t>Работа с детской книгой и справочной литературой. Правила читателя и способы выбора книги (тематический, систематический каталог). Виды информации в книге: научная, художественная, справочно-иллюстративный материал. Типы книг (изданий): книга-произведение, книга-сборник, собрание сочинений, периодическая печать, справочные издания. Работа с источниками периодической печати.</w:t>
      </w:r>
    </w:p>
    <w:p w14:paraId="6F73EEAD">
      <w:pPr>
        <w:widowControl/>
        <w:tabs>
          <w:tab w:val="left" w:pos="1134"/>
        </w:tabs>
        <w:spacing w:after="0" w:line="360" w:lineRule="auto"/>
        <w:ind w:firstLine="709"/>
        <w:jc w:val="both"/>
        <w:rPr>
          <w:rFonts w:ascii="Times New Roman" w:hAnsi="Times New Roman"/>
          <w:bCs/>
          <w:lang w:bidi="ru-RU"/>
        </w:rPr>
      </w:pPr>
      <w:r>
        <w:rPr>
          <w:rFonts w:ascii="Times New Roman" w:hAnsi="Times New Roman"/>
          <w:bCs/>
          <w:lang w:bidi="ru-RU"/>
        </w:rPr>
        <w:t>7.9.5. Круг детского чтения.</w:t>
      </w:r>
    </w:p>
    <w:p w14:paraId="7FBC1037">
      <w:pPr>
        <w:widowControl/>
        <w:tabs>
          <w:tab w:val="left" w:pos="1134"/>
        </w:tabs>
        <w:spacing w:after="0" w:line="360" w:lineRule="auto"/>
        <w:ind w:firstLine="709"/>
        <w:jc w:val="both"/>
        <w:rPr>
          <w:rFonts w:ascii="Times New Roman" w:hAnsi="Times New Roman"/>
          <w:bCs/>
          <w:lang w:bidi="ru-RU"/>
        </w:rPr>
      </w:pPr>
      <w:r>
        <w:rPr>
          <w:rFonts w:ascii="Times New Roman" w:hAnsi="Times New Roman"/>
          <w:bCs/>
          <w:lang w:bidi="ru-RU"/>
        </w:rPr>
        <w:t>7.9.5.1. Здравствуй, школьная скамья!</w:t>
      </w:r>
    </w:p>
    <w:p w14:paraId="38617837">
      <w:pPr>
        <w:widowControl/>
        <w:tabs>
          <w:tab w:val="left" w:pos="1134"/>
        </w:tabs>
        <w:spacing w:after="0" w:line="360" w:lineRule="auto"/>
        <w:ind w:firstLine="709"/>
        <w:jc w:val="both"/>
        <w:rPr>
          <w:rFonts w:ascii="Times New Roman" w:hAnsi="Times New Roman"/>
          <w:bCs/>
          <w:lang w:bidi="ru-RU"/>
        </w:rPr>
      </w:pPr>
      <w:r>
        <w:rPr>
          <w:rFonts w:ascii="Times New Roman" w:hAnsi="Times New Roman"/>
          <w:bCs/>
          <w:lang w:bidi="ru-RU"/>
        </w:rPr>
        <w:t>Ю. Петров «Сентябрь ирĕ» («Сентябрьское утро»), Н. Теветкел «Кĕрхи кăмăл» («Осеннее настроение»), Иван Шухши «Павăл, Миккуль тата Петĕр» («Павел, Микола и Петр»), П. Михайлов «Малтанхи учителе» («Первому учителю»).</w:t>
      </w:r>
    </w:p>
    <w:p w14:paraId="31177062">
      <w:pPr>
        <w:widowControl/>
        <w:tabs>
          <w:tab w:val="left" w:pos="1134"/>
        </w:tabs>
        <w:spacing w:after="0" w:line="360" w:lineRule="auto"/>
        <w:ind w:firstLine="709"/>
        <w:jc w:val="both"/>
        <w:rPr>
          <w:rFonts w:ascii="Times New Roman" w:hAnsi="Times New Roman"/>
          <w:bCs/>
          <w:lang w:bidi="ru-RU"/>
        </w:rPr>
      </w:pPr>
      <w:r>
        <w:rPr>
          <w:rFonts w:ascii="Times New Roman" w:hAnsi="Times New Roman"/>
          <w:bCs/>
          <w:lang w:bidi="ru-RU"/>
        </w:rPr>
        <w:t>7.9.5.2. Вот пришла богатая осень.</w:t>
      </w:r>
    </w:p>
    <w:p w14:paraId="0E4DE448">
      <w:pPr>
        <w:widowControl/>
        <w:tabs>
          <w:tab w:val="left" w:pos="1134"/>
        </w:tabs>
        <w:spacing w:after="0" w:line="360" w:lineRule="auto"/>
        <w:ind w:firstLine="709"/>
        <w:jc w:val="both"/>
        <w:rPr>
          <w:rFonts w:ascii="Times New Roman" w:hAnsi="Times New Roman"/>
          <w:bCs/>
          <w:lang w:bidi="ru-RU"/>
        </w:rPr>
      </w:pPr>
      <w:r>
        <w:rPr>
          <w:rFonts w:ascii="Times New Roman" w:hAnsi="Times New Roman"/>
          <w:bCs/>
          <w:lang w:bidi="ru-RU"/>
        </w:rPr>
        <w:t>Митта Ваçлейĕ «Кĕрхи илем» («Осенняя краса»), Г. Орлов «Сентябрь» («Сентябрь»), В. Харитонов «Кĕрхи вăрманта» («В осеннем лесу»), А. Смолин «Хур кайăк çулĕ» («Млечный путь»), Г. Луч «Тăрнасем» («Журавли»), Л. Сильвестров «Кĕркунне макăрать» («Осень плачет»), Г. Ефимов «Тумне хывма ĕлкĕреймен» («Не успел переодеться»).</w:t>
      </w:r>
    </w:p>
    <w:p w14:paraId="3263A98E">
      <w:pPr>
        <w:widowControl/>
        <w:tabs>
          <w:tab w:val="left" w:pos="1134"/>
        </w:tabs>
        <w:spacing w:after="0" w:line="360" w:lineRule="auto"/>
        <w:ind w:firstLine="709"/>
        <w:jc w:val="both"/>
        <w:rPr>
          <w:rFonts w:ascii="Times New Roman" w:hAnsi="Times New Roman"/>
          <w:bCs/>
          <w:lang w:bidi="ru-RU"/>
        </w:rPr>
      </w:pPr>
      <w:r>
        <w:rPr>
          <w:rFonts w:ascii="Times New Roman" w:hAnsi="Times New Roman"/>
          <w:bCs/>
          <w:lang w:bidi="ru-RU"/>
        </w:rPr>
        <w:t>7.9.5.3. Это – Родина моя. Наши обычаи и обряды.</w:t>
      </w:r>
    </w:p>
    <w:p w14:paraId="7C8E1B42">
      <w:pPr>
        <w:widowControl/>
        <w:tabs>
          <w:tab w:val="left" w:pos="1134"/>
        </w:tabs>
        <w:spacing w:after="0" w:line="360" w:lineRule="auto"/>
        <w:ind w:firstLine="709"/>
        <w:jc w:val="both"/>
        <w:rPr>
          <w:rFonts w:ascii="Times New Roman" w:hAnsi="Times New Roman"/>
          <w:bCs/>
          <w:lang w:bidi="ru-RU"/>
        </w:rPr>
      </w:pPr>
      <w:r>
        <w:rPr>
          <w:rFonts w:ascii="Times New Roman" w:hAnsi="Times New Roman"/>
          <w:bCs/>
          <w:lang w:bidi="ru-RU"/>
        </w:rPr>
        <w:t>Валем Ахун «Тăван чĕлхе» («Родной язык»). И.Я. Яковлев чăваш халăхне панă Халал (Завещание И.Я. Яковлева чувашскому народу). П. Хусанкай «Эп – чăваш ачи…» («Я – чуваш…»), Çеçпĕл Мишши, «Чăваш сăмахĕ» («Чувашское слово»), А. Алексеев ««Нарспи» пичетленнĕ çул» («В том году была напечатана «Нарспи»»), И. Прокопьев «Ун ятне этемлĕх манмĕ» («Его имя не забудет человечество»), Х. Уяр «Йăла-йĕрке» («Обычаи»), Н. Охотников «Хĕллехи кунсенче» («В зимние дни»).</w:t>
      </w:r>
    </w:p>
    <w:p w14:paraId="02F0FA65">
      <w:pPr>
        <w:widowControl/>
        <w:tabs>
          <w:tab w:val="left" w:pos="1134"/>
        </w:tabs>
        <w:spacing w:after="0" w:line="360" w:lineRule="auto"/>
        <w:ind w:firstLine="709"/>
        <w:jc w:val="both"/>
        <w:rPr>
          <w:rFonts w:ascii="Times New Roman" w:hAnsi="Times New Roman"/>
          <w:bCs/>
          <w:lang w:bidi="ru-RU"/>
        </w:rPr>
      </w:pPr>
      <w:r>
        <w:rPr>
          <w:rFonts w:ascii="Times New Roman" w:hAnsi="Times New Roman"/>
          <w:bCs/>
          <w:lang w:bidi="ru-RU"/>
        </w:rPr>
        <w:t>7.9.5.4. Из чувашского фольклора. Легенды Улыпа.</w:t>
      </w:r>
    </w:p>
    <w:p w14:paraId="31D47DD1">
      <w:pPr>
        <w:widowControl/>
        <w:tabs>
          <w:tab w:val="left" w:pos="1134"/>
        </w:tabs>
        <w:spacing w:after="0" w:line="360" w:lineRule="auto"/>
        <w:ind w:firstLine="709"/>
        <w:jc w:val="both"/>
        <w:rPr>
          <w:rFonts w:ascii="Times New Roman" w:hAnsi="Times New Roman"/>
          <w:bCs/>
          <w:lang w:bidi="ru-RU"/>
        </w:rPr>
      </w:pPr>
      <w:r>
        <w:rPr>
          <w:rFonts w:ascii="Times New Roman" w:hAnsi="Times New Roman"/>
          <w:bCs/>
          <w:lang w:bidi="ru-RU"/>
        </w:rPr>
        <w:t>Небылица «Мулкач» («Заяц»). Ваттисен сăмахĕсем (Пословицы). Уяв юррисем (Праздничные песни). Вăйă юррисем (Игровые песни). Витлешÿ такмакĕсем (Дразнилки). Шÿтсем (Шутки). Халăх юррисем (Народные песни). И. Одюков, «Улăп халапĕсем» («Легенды об Улыпе»), «Улăпсем» («Улыпы»).</w:t>
      </w:r>
    </w:p>
    <w:p w14:paraId="6D77EE1B">
      <w:pPr>
        <w:widowControl/>
        <w:tabs>
          <w:tab w:val="left" w:pos="1134"/>
        </w:tabs>
        <w:spacing w:after="0" w:line="360" w:lineRule="auto"/>
        <w:ind w:firstLine="709"/>
        <w:jc w:val="both"/>
        <w:rPr>
          <w:rFonts w:ascii="Times New Roman" w:hAnsi="Times New Roman"/>
          <w:bCs/>
          <w:lang w:bidi="ru-RU"/>
        </w:rPr>
      </w:pPr>
      <w:r>
        <w:rPr>
          <w:rFonts w:ascii="Times New Roman" w:hAnsi="Times New Roman"/>
          <w:bCs/>
          <w:lang w:bidi="ru-RU"/>
        </w:rPr>
        <w:t>7.9.5.5. Вот выпал белый снег…</w:t>
      </w:r>
    </w:p>
    <w:p w14:paraId="1FBB3F37">
      <w:pPr>
        <w:widowControl/>
        <w:tabs>
          <w:tab w:val="left" w:pos="1134"/>
        </w:tabs>
        <w:spacing w:after="0" w:line="360" w:lineRule="auto"/>
        <w:ind w:firstLine="709"/>
        <w:jc w:val="both"/>
        <w:rPr>
          <w:rFonts w:ascii="Times New Roman" w:hAnsi="Times New Roman"/>
          <w:bCs/>
          <w:lang w:bidi="ru-RU"/>
        </w:rPr>
      </w:pPr>
      <w:r>
        <w:rPr>
          <w:rFonts w:ascii="Times New Roman" w:hAnsi="Times New Roman"/>
          <w:bCs/>
          <w:lang w:bidi="ru-RU"/>
        </w:rPr>
        <w:t>Н. СладковПĕрремĕш юр» («Первый снег»), В. Калоянов «Канăçлă шăплăх» («Спокойная тишина»), Н. Сладков «Кайăксем ăçта çывăраççĕ» («Холодная зимовка»), Г. Орлов «Кăрлач» («Январь»), В. Калоянов «Тăманапа шăши» («Сова и мышь»).</w:t>
      </w:r>
    </w:p>
    <w:p w14:paraId="7E990C2C">
      <w:pPr>
        <w:widowControl/>
        <w:tabs>
          <w:tab w:val="left" w:pos="1134"/>
        </w:tabs>
        <w:spacing w:after="0" w:line="360" w:lineRule="auto"/>
        <w:ind w:firstLine="709"/>
        <w:jc w:val="both"/>
        <w:rPr>
          <w:rFonts w:ascii="Times New Roman" w:hAnsi="Times New Roman"/>
          <w:bCs/>
          <w:lang w:bidi="ru-RU"/>
        </w:rPr>
      </w:pPr>
      <w:r>
        <w:rPr>
          <w:rFonts w:ascii="Times New Roman" w:hAnsi="Times New Roman"/>
          <w:bCs/>
          <w:lang w:bidi="ru-RU"/>
        </w:rPr>
        <w:t>7.9.5.6. Это – мои друзья.</w:t>
      </w:r>
    </w:p>
    <w:p w14:paraId="1BBAA9DD">
      <w:pPr>
        <w:widowControl/>
        <w:tabs>
          <w:tab w:val="left" w:pos="1134"/>
        </w:tabs>
        <w:spacing w:after="0" w:line="360" w:lineRule="auto"/>
        <w:ind w:firstLine="709"/>
        <w:jc w:val="both"/>
        <w:rPr>
          <w:rFonts w:ascii="Times New Roman" w:hAnsi="Times New Roman"/>
          <w:bCs/>
          <w:lang w:bidi="ru-RU"/>
        </w:rPr>
      </w:pPr>
      <w:r>
        <w:rPr>
          <w:rFonts w:ascii="Times New Roman" w:hAnsi="Times New Roman"/>
          <w:bCs/>
          <w:lang w:bidi="ru-RU"/>
        </w:rPr>
        <w:t>И. Шухши «Çил çуна» («Парусные сани»), А. Галкин «Математика мыскари» («Забавный случай на математике»), В. Дмитриев «Чаплă парне» («Замечательный подарок»), Д. Лондон «Киш çинчен калакан халап» («Сказание о Кише»), К. Груйя «Пакăлти» («Болтун»).</w:t>
      </w:r>
    </w:p>
    <w:p w14:paraId="0E48A15B">
      <w:pPr>
        <w:widowControl/>
        <w:tabs>
          <w:tab w:val="left" w:pos="1134"/>
        </w:tabs>
        <w:spacing w:after="0" w:line="360" w:lineRule="auto"/>
        <w:ind w:firstLine="709"/>
        <w:jc w:val="both"/>
        <w:rPr>
          <w:rFonts w:ascii="Times New Roman" w:hAnsi="Times New Roman"/>
          <w:bCs/>
          <w:lang w:bidi="ru-RU"/>
        </w:rPr>
      </w:pPr>
      <w:r>
        <w:rPr>
          <w:rFonts w:ascii="Times New Roman" w:hAnsi="Times New Roman"/>
          <w:bCs/>
          <w:lang w:bidi="ru-RU"/>
        </w:rPr>
        <w:t>7.9.5.7. Добро и зло.</w:t>
      </w:r>
    </w:p>
    <w:p w14:paraId="1350BA15">
      <w:pPr>
        <w:widowControl/>
        <w:tabs>
          <w:tab w:val="left" w:pos="1134"/>
        </w:tabs>
        <w:spacing w:after="0" w:line="360" w:lineRule="auto"/>
        <w:ind w:firstLine="709"/>
        <w:jc w:val="both"/>
        <w:rPr>
          <w:rFonts w:ascii="Times New Roman" w:hAnsi="Times New Roman"/>
          <w:bCs/>
          <w:lang w:bidi="ru-RU"/>
        </w:rPr>
      </w:pPr>
      <w:r>
        <w:rPr>
          <w:rFonts w:ascii="Times New Roman" w:hAnsi="Times New Roman"/>
          <w:bCs/>
          <w:lang w:bidi="ru-RU"/>
        </w:rPr>
        <w:t>Л. Мартьянова, «Чĕлхесĕр Иван» («Немой Иван»). П. Можаров, «Хăйма вăрри» («Воришка сметаны»). О. Уайльд, «Çывăх тус» («Преданный друг»).</w:t>
      </w:r>
    </w:p>
    <w:p w14:paraId="41BECC93">
      <w:pPr>
        <w:widowControl/>
        <w:tabs>
          <w:tab w:val="left" w:pos="1134"/>
        </w:tabs>
        <w:spacing w:after="0" w:line="360" w:lineRule="auto"/>
        <w:ind w:firstLine="709"/>
        <w:jc w:val="both"/>
        <w:rPr>
          <w:rFonts w:ascii="Times New Roman" w:hAnsi="Times New Roman"/>
          <w:bCs/>
          <w:lang w:bidi="ru-RU"/>
        </w:rPr>
      </w:pPr>
      <w:r>
        <w:rPr>
          <w:rFonts w:ascii="Times New Roman" w:hAnsi="Times New Roman"/>
          <w:bCs/>
          <w:lang w:bidi="ru-RU"/>
        </w:rPr>
        <w:t>7.9.5.8. Родители – это счастье и богатство.</w:t>
      </w:r>
    </w:p>
    <w:p w14:paraId="5CFC79B8">
      <w:pPr>
        <w:widowControl/>
        <w:tabs>
          <w:tab w:val="left" w:pos="1134"/>
        </w:tabs>
        <w:spacing w:after="0" w:line="360" w:lineRule="auto"/>
        <w:ind w:firstLine="709"/>
        <w:jc w:val="both"/>
        <w:rPr>
          <w:rFonts w:ascii="Times New Roman" w:hAnsi="Times New Roman"/>
          <w:bCs/>
          <w:lang w:bidi="ru-RU"/>
        </w:rPr>
      </w:pPr>
      <w:r>
        <w:rPr>
          <w:rFonts w:ascii="Times New Roman" w:hAnsi="Times New Roman"/>
          <w:bCs/>
          <w:lang w:bidi="ru-RU"/>
        </w:rPr>
        <w:t>Сăпка юрри (Колыбельная). А. Смолин «Анне – пирĕн тĕнче» («Мама – наша мир»), Ю. Артамонов «Çăкăр» («Хлеб»), М. Ухсай «Услан кайăк юмахĕ» («Сказка птицы Услан»).</w:t>
      </w:r>
    </w:p>
    <w:p w14:paraId="24B249F6">
      <w:pPr>
        <w:widowControl/>
        <w:tabs>
          <w:tab w:val="left" w:pos="1134"/>
        </w:tabs>
        <w:spacing w:after="0" w:line="360" w:lineRule="auto"/>
        <w:ind w:firstLine="709"/>
        <w:jc w:val="both"/>
        <w:rPr>
          <w:rFonts w:ascii="Times New Roman" w:hAnsi="Times New Roman"/>
          <w:bCs/>
          <w:lang w:bidi="ru-RU"/>
        </w:rPr>
      </w:pPr>
      <w:r>
        <w:rPr>
          <w:rFonts w:ascii="Times New Roman" w:hAnsi="Times New Roman"/>
          <w:bCs/>
          <w:lang w:bidi="ru-RU"/>
        </w:rPr>
        <w:t>7.9.5.9. Когда наступает весна…</w:t>
      </w:r>
    </w:p>
    <w:p w14:paraId="1C504462">
      <w:pPr>
        <w:widowControl/>
        <w:tabs>
          <w:tab w:val="left" w:pos="1134"/>
        </w:tabs>
        <w:spacing w:after="0" w:line="360" w:lineRule="auto"/>
        <w:ind w:firstLine="709"/>
        <w:jc w:val="both"/>
        <w:rPr>
          <w:rFonts w:ascii="Times New Roman" w:hAnsi="Times New Roman"/>
          <w:bCs/>
          <w:lang w:bidi="ru-RU"/>
        </w:rPr>
      </w:pPr>
      <w:r>
        <w:rPr>
          <w:rFonts w:ascii="Times New Roman" w:hAnsi="Times New Roman"/>
          <w:bCs/>
          <w:lang w:bidi="ru-RU"/>
        </w:rPr>
        <w:t>Н. Прокопьев «Çуркунне пуçланать» («Весна наступает»), К. Турхан «Çуркунне» («Весна»), Г. Орлов «Курак» («Грач»), А. Савельев «Шăнкăрч килни» («Скворцы прилетели»), Н. Матвеев «Çĕр ыйхăран вăранать» («Земля просыпается от сна»), С. Есенин «Сенкер май» («Синий май»), Г. Акташ «Çумăр хыççăн» («После дождя»).</w:t>
      </w:r>
    </w:p>
    <w:p w14:paraId="393D85B0">
      <w:pPr>
        <w:widowControl/>
        <w:tabs>
          <w:tab w:val="left" w:pos="1134"/>
        </w:tabs>
        <w:spacing w:after="0" w:line="360" w:lineRule="auto"/>
        <w:ind w:firstLine="709"/>
        <w:jc w:val="both"/>
        <w:rPr>
          <w:rFonts w:ascii="Times New Roman" w:hAnsi="Times New Roman"/>
          <w:bCs/>
          <w:lang w:bidi="ru-RU"/>
        </w:rPr>
      </w:pPr>
      <w:r>
        <w:rPr>
          <w:rFonts w:ascii="Times New Roman" w:hAnsi="Times New Roman"/>
          <w:bCs/>
          <w:lang w:bidi="ru-RU"/>
        </w:rPr>
        <w:t>7.9.5.10. Когда гремела война.</w:t>
      </w:r>
    </w:p>
    <w:p w14:paraId="4E08A80D">
      <w:pPr>
        <w:widowControl/>
        <w:tabs>
          <w:tab w:val="left" w:pos="1134"/>
        </w:tabs>
        <w:spacing w:after="0" w:line="360" w:lineRule="auto"/>
        <w:ind w:firstLine="709"/>
        <w:jc w:val="both"/>
        <w:rPr>
          <w:rFonts w:ascii="Times New Roman" w:hAnsi="Times New Roman"/>
          <w:bCs/>
          <w:lang w:bidi="ru-RU"/>
        </w:rPr>
      </w:pPr>
      <w:r>
        <w:rPr>
          <w:rFonts w:ascii="Times New Roman" w:hAnsi="Times New Roman"/>
          <w:bCs/>
          <w:lang w:bidi="ru-RU"/>
        </w:rPr>
        <w:t>Н. Евстафьев «Амăш пилĕ» («Материнское благословение»), А. Ĕçхĕл «Ĕççинче» («Страда»), М. Джалиль «Урасăр» («Без ноги»), А. Клементьев «Эпир çĕнтертĕмĕр» («Мы победили»).</w:t>
      </w:r>
    </w:p>
    <w:p w14:paraId="2FDD8321">
      <w:pPr>
        <w:widowControl/>
        <w:tabs>
          <w:tab w:val="left" w:pos="1134"/>
        </w:tabs>
        <w:spacing w:after="0" w:line="360" w:lineRule="auto"/>
        <w:ind w:firstLine="709"/>
        <w:jc w:val="both"/>
        <w:rPr>
          <w:rFonts w:ascii="Times New Roman" w:hAnsi="Times New Roman"/>
          <w:bCs/>
          <w:lang w:bidi="ru-RU"/>
        </w:rPr>
      </w:pPr>
      <w:r>
        <w:rPr>
          <w:rFonts w:ascii="Times New Roman" w:hAnsi="Times New Roman"/>
          <w:bCs/>
          <w:lang w:bidi="ru-RU"/>
        </w:rPr>
        <w:t>7.9.5.11. Растительный мир.</w:t>
      </w:r>
    </w:p>
    <w:p w14:paraId="2A420056">
      <w:pPr>
        <w:widowControl/>
        <w:tabs>
          <w:tab w:val="left" w:pos="1134"/>
        </w:tabs>
        <w:spacing w:after="0" w:line="360" w:lineRule="auto"/>
        <w:ind w:firstLine="709"/>
        <w:jc w:val="both"/>
        <w:rPr>
          <w:rFonts w:ascii="Times New Roman" w:hAnsi="Times New Roman"/>
          <w:bCs/>
          <w:lang w:bidi="ru-RU"/>
        </w:rPr>
      </w:pPr>
      <w:r>
        <w:rPr>
          <w:rFonts w:ascii="Times New Roman" w:hAnsi="Times New Roman"/>
          <w:bCs/>
          <w:lang w:bidi="ru-RU"/>
        </w:rPr>
        <w:t>Юхма Мишши «Курăк академикĕ» («Травный академик»), М. Ахманэ «Çумăр хыççăн вăрманта» («После дождя в лесу»), А. Артемьев «Елюк сăртĕнче» («На Елькиной горке»).</w:t>
      </w:r>
    </w:p>
    <w:p w14:paraId="404AF98D">
      <w:pPr>
        <w:widowControl/>
        <w:tabs>
          <w:tab w:val="left" w:pos="1134"/>
        </w:tabs>
        <w:spacing w:after="0" w:line="360" w:lineRule="auto"/>
        <w:ind w:firstLine="709"/>
        <w:jc w:val="both"/>
        <w:rPr>
          <w:rFonts w:ascii="Times New Roman" w:hAnsi="Times New Roman"/>
          <w:bCs/>
          <w:lang w:bidi="ru-RU"/>
        </w:rPr>
      </w:pPr>
      <w:r>
        <w:rPr>
          <w:rFonts w:ascii="Times New Roman" w:hAnsi="Times New Roman"/>
          <w:bCs/>
          <w:lang w:bidi="ru-RU"/>
        </w:rPr>
        <w:t>7.9.5.12. Животные – наши друзья.</w:t>
      </w:r>
    </w:p>
    <w:p w14:paraId="29C59481">
      <w:pPr>
        <w:widowControl/>
        <w:tabs>
          <w:tab w:val="left" w:pos="1134"/>
        </w:tabs>
        <w:spacing w:after="0" w:line="360" w:lineRule="auto"/>
        <w:ind w:firstLine="709"/>
        <w:jc w:val="both"/>
        <w:rPr>
          <w:rFonts w:ascii="Times New Roman" w:hAnsi="Times New Roman"/>
          <w:bCs/>
          <w:lang w:bidi="ru-RU"/>
        </w:rPr>
      </w:pPr>
      <w:r>
        <w:rPr>
          <w:rFonts w:ascii="Times New Roman" w:hAnsi="Times New Roman"/>
          <w:bCs/>
          <w:lang w:bidi="ru-RU"/>
        </w:rPr>
        <w:t>С. Садал «Сăвăр куççулĕ» («Слёзы сурка»), А. Кăлкан «Йытăпа кушак» («Собака и кошка»), Х. Уяр «Лашана çăлни» («Спасение лошади»,. Ю. Петров-Вирьял «Тăрна ташши» («Журавлиный танец»), А. Куприн «Парпуспа Шульккă» («Барбос и Жулька»), П. Хусанкай «Хĕрÿ хĕвел хĕрелсе анчĕ» («Жаркое солнце село, краснея»).</w:t>
      </w:r>
    </w:p>
    <w:p w14:paraId="35B1AEDE">
      <w:pPr>
        <w:widowControl/>
        <w:tabs>
          <w:tab w:val="left" w:pos="1134"/>
        </w:tabs>
        <w:spacing w:after="0" w:line="360" w:lineRule="auto"/>
        <w:ind w:firstLine="709"/>
        <w:jc w:val="both"/>
        <w:rPr>
          <w:rFonts w:ascii="Times New Roman" w:hAnsi="Times New Roman"/>
          <w:bCs/>
          <w:lang w:bidi="ru-RU"/>
        </w:rPr>
      </w:pPr>
      <w:r>
        <w:rPr>
          <w:rFonts w:ascii="Times New Roman" w:hAnsi="Times New Roman"/>
          <w:bCs/>
          <w:lang w:bidi="ru-RU"/>
        </w:rPr>
        <w:t>7.9.5.13. Лето наступает.</w:t>
      </w:r>
    </w:p>
    <w:p w14:paraId="4895F360">
      <w:pPr>
        <w:widowControl/>
        <w:tabs>
          <w:tab w:val="left" w:pos="1134"/>
        </w:tabs>
        <w:spacing w:after="0" w:line="360" w:lineRule="auto"/>
        <w:ind w:firstLine="709"/>
        <w:jc w:val="both"/>
        <w:rPr>
          <w:rFonts w:ascii="Times New Roman" w:hAnsi="Times New Roman"/>
          <w:bCs/>
          <w:lang w:bidi="ru-RU"/>
        </w:rPr>
      </w:pPr>
      <w:r>
        <w:rPr>
          <w:rFonts w:ascii="Times New Roman" w:hAnsi="Times New Roman"/>
          <w:bCs/>
          <w:lang w:bidi="ru-RU"/>
        </w:rPr>
        <w:t>Г. Фёдоров «Çу çитрĕ» («Лето наступило»), Г. Орлов «Çуллахи вăрманта» («В летнем лесу»), Г. Тукай «Çулла» («Лето»), Г. Орлов «Август» («Август»).</w:t>
      </w:r>
    </w:p>
    <w:p w14:paraId="7E24798C">
      <w:pPr>
        <w:widowControl/>
        <w:tabs>
          <w:tab w:val="left" w:pos="1134"/>
        </w:tabs>
        <w:spacing w:after="0" w:line="360" w:lineRule="auto"/>
        <w:ind w:firstLine="709"/>
        <w:jc w:val="both"/>
        <w:rPr>
          <w:rFonts w:ascii="Times New Roman" w:hAnsi="Times New Roman"/>
          <w:bCs/>
          <w:lang w:bidi="ru-RU"/>
        </w:rPr>
      </w:pPr>
      <w:r>
        <w:rPr>
          <w:rFonts w:ascii="Times New Roman" w:hAnsi="Times New Roman"/>
          <w:bCs/>
          <w:lang w:bidi="ru-RU"/>
        </w:rPr>
        <w:t>7.10. Планируемые результаты освоения программы по литературному чтению на родном (чувашском) языке на уровне начального общего образования.</w:t>
      </w:r>
    </w:p>
    <w:p w14:paraId="1492C6C4">
      <w:pPr>
        <w:widowControl/>
        <w:tabs>
          <w:tab w:val="left" w:pos="1134"/>
        </w:tabs>
        <w:spacing w:after="0" w:line="360" w:lineRule="auto"/>
        <w:ind w:firstLine="709"/>
        <w:jc w:val="both"/>
        <w:rPr>
          <w:rFonts w:ascii="Times New Roman" w:hAnsi="Times New Roman"/>
          <w:bCs/>
          <w:lang w:bidi="ru-RU"/>
        </w:rPr>
      </w:pPr>
      <w:r>
        <w:rPr>
          <w:rFonts w:ascii="Times New Roman" w:hAnsi="Times New Roman"/>
          <w:bCs/>
          <w:lang w:bidi="ru-RU"/>
        </w:rPr>
        <w:t>7.10.1. В результате изучения литературного чтения на родном (чувашском) языке на уровне начального общего образования у обучающегося будут сформированы следующие личностные, результаты:</w:t>
      </w:r>
    </w:p>
    <w:p w14:paraId="249B8F3A">
      <w:pPr>
        <w:widowControl/>
        <w:tabs>
          <w:tab w:val="left" w:pos="1134"/>
        </w:tabs>
        <w:spacing w:after="0" w:line="360" w:lineRule="auto"/>
        <w:ind w:firstLine="709"/>
        <w:jc w:val="both"/>
        <w:rPr>
          <w:rFonts w:ascii="Times New Roman" w:hAnsi="Times New Roman"/>
          <w:bCs/>
          <w:lang w:bidi="ru-RU"/>
        </w:rPr>
      </w:pPr>
      <w:r>
        <w:rPr>
          <w:rFonts w:ascii="Times New Roman" w:hAnsi="Times New Roman"/>
          <w:bCs/>
          <w:lang w:bidi="ru-RU"/>
        </w:rPr>
        <w:t>1) гражданско-патриотического воспитания:</w:t>
      </w:r>
    </w:p>
    <w:p w14:paraId="513BDB6F">
      <w:pPr>
        <w:widowControl/>
        <w:tabs>
          <w:tab w:val="left" w:pos="1134"/>
        </w:tabs>
        <w:spacing w:after="0" w:line="360" w:lineRule="auto"/>
        <w:ind w:firstLine="709"/>
        <w:jc w:val="both"/>
        <w:rPr>
          <w:rFonts w:ascii="Times New Roman" w:hAnsi="Times New Roman"/>
          <w:bCs/>
          <w:lang w:bidi="ru-RU"/>
        </w:rPr>
      </w:pPr>
      <w:r>
        <w:rPr>
          <w:rFonts w:ascii="Times New Roman" w:hAnsi="Times New Roman"/>
          <w:bCs/>
          <w:lang w:bidi="ru-RU"/>
        </w:rPr>
        <w:t>становление ценностного отношения к своей Родине – России, к своей малой Родине – Чувашской Республике, в том числе через изучение родного языка и родной литературы, являющихся частью истории и культуры страны;</w:t>
      </w:r>
    </w:p>
    <w:p w14:paraId="53F6902C">
      <w:pPr>
        <w:widowControl/>
        <w:tabs>
          <w:tab w:val="left" w:pos="1134"/>
        </w:tabs>
        <w:spacing w:after="0" w:line="360" w:lineRule="auto"/>
        <w:ind w:firstLine="709"/>
        <w:jc w:val="both"/>
        <w:rPr>
          <w:rFonts w:ascii="Times New Roman" w:hAnsi="Times New Roman"/>
          <w:bCs/>
          <w:lang w:bidi="ru-RU"/>
        </w:rPr>
      </w:pPr>
      <w:r>
        <w:rPr>
          <w:rFonts w:ascii="Times New Roman" w:hAnsi="Times New Roman"/>
          <w:bCs/>
          <w:lang w:bidi="ru-RU"/>
        </w:rPr>
        <w:t>проявление уважения к традициям и культуре своего и других народов в процессе восприятия и анализа художественных произведений и творчества народов России;</w:t>
      </w:r>
    </w:p>
    <w:p w14:paraId="7258ACA0">
      <w:pPr>
        <w:widowControl/>
        <w:tabs>
          <w:tab w:val="left" w:pos="1134"/>
        </w:tabs>
        <w:spacing w:after="0" w:line="360" w:lineRule="auto"/>
        <w:ind w:firstLine="709"/>
        <w:jc w:val="both"/>
        <w:rPr>
          <w:rFonts w:ascii="Times New Roman" w:hAnsi="Times New Roman"/>
          <w:bCs/>
          <w:lang w:bidi="ru-RU"/>
        </w:rPr>
      </w:pPr>
      <w:r>
        <w:rPr>
          <w:rFonts w:ascii="Times New Roman" w:hAnsi="Times New Roman"/>
          <w:bCs/>
          <w:lang w:bidi="ru-RU"/>
        </w:rPr>
        <w:t>осознание своей этнокультурной и российской гражданской идентичности;</w:t>
      </w:r>
    </w:p>
    <w:p w14:paraId="32AE4899">
      <w:pPr>
        <w:widowControl/>
        <w:tabs>
          <w:tab w:val="left" w:pos="1134"/>
        </w:tabs>
        <w:spacing w:after="0" w:line="360" w:lineRule="auto"/>
        <w:ind w:firstLine="709"/>
        <w:jc w:val="both"/>
        <w:rPr>
          <w:rFonts w:ascii="Times New Roman" w:hAnsi="Times New Roman"/>
          <w:bCs/>
          <w:lang w:bidi="ru-RU"/>
        </w:rPr>
      </w:pPr>
      <w:r>
        <w:rPr>
          <w:rFonts w:ascii="Times New Roman" w:hAnsi="Times New Roman"/>
          <w:bCs/>
          <w:lang w:bidi="ru-RU"/>
        </w:rPr>
        <w:t>сопричастность к прошлому, настоящему и будущему родного края, в том числе при работе с художественными произведениями;</w:t>
      </w:r>
    </w:p>
    <w:p w14:paraId="3B48DB24">
      <w:pPr>
        <w:widowControl/>
        <w:tabs>
          <w:tab w:val="left" w:pos="1134"/>
        </w:tabs>
        <w:spacing w:after="0" w:line="360" w:lineRule="auto"/>
        <w:ind w:firstLine="709"/>
        <w:jc w:val="both"/>
        <w:rPr>
          <w:rFonts w:ascii="Times New Roman" w:hAnsi="Times New Roman"/>
          <w:bCs/>
          <w:lang w:bidi="ru-RU"/>
        </w:rPr>
      </w:pPr>
      <w:r>
        <w:rPr>
          <w:rFonts w:ascii="Times New Roman" w:hAnsi="Times New Roman"/>
          <w:bCs/>
          <w:lang w:bidi="ru-RU"/>
        </w:rPr>
        <w:t>уважительное отношение к другим народам многонациональной России;</w:t>
      </w:r>
    </w:p>
    <w:p w14:paraId="221F3DBE">
      <w:pPr>
        <w:widowControl/>
        <w:tabs>
          <w:tab w:val="left" w:pos="1134"/>
        </w:tabs>
        <w:spacing w:after="0" w:line="360" w:lineRule="auto"/>
        <w:ind w:firstLine="709"/>
        <w:jc w:val="both"/>
        <w:rPr>
          <w:rFonts w:ascii="Times New Roman" w:hAnsi="Times New Roman"/>
          <w:bCs/>
          <w:lang w:bidi="ru-RU"/>
        </w:rPr>
      </w:pPr>
      <w:r>
        <w:rPr>
          <w:rFonts w:ascii="Times New Roman" w:hAnsi="Times New Roman"/>
          <w:bCs/>
          <w:lang w:bidi="ru-RU"/>
        </w:rPr>
        <w:t>первоначальные представления о человеке как члене общества, о правах и ответственности, уважении и достоинстве человека, о нравственно-этических нормах поведения и правилах межличностных отношений;</w:t>
      </w:r>
    </w:p>
    <w:p w14:paraId="4D508A82">
      <w:pPr>
        <w:widowControl/>
        <w:tabs>
          <w:tab w:val="left" w:pos="1134"/>
        </w:tabs>
        <w:spacing w:after="0" w:line="360" w:lineRule="auto"/>
        <w:ind w:firstLine="709"/>
        <w:jc w:val="both"/>
        <w:rPr>
          <w:rFonts w:ascii="Times New Roman" w:hAnsi="Times New Roman"/>
          <w:bCs/>
          <w:lang w:bidi="ru-RU"/>
        </w:rPr>
      </w:pPr>
      <w:r>
        <w:rPr>
          <w:rFonts w:ascii="Times New Roman" w:hAnsi="Times New Roman"/>
          <w:bCs/>
          <w:lang w:bidi="ru-RU"/>
        </w:rPr>
        <w:t>2) духовно-нравственного воспитания:</w:t>
      </w:r>
    </w:p>
    <w:p w14:paraId="67038282">
      <w:pPr>
        <w:widowControl/>
        <w:tabs>
          <w:tab w:val="left" w:pos="1134"/>
        </w:tabs>
        <w:spacing w:after="0" w:line="360" w:lineRule="auto"/>
        <w:ind w:firstLine="709"/>
        <w:jc w:val="both"/>
        <w:rPr>
          <w:rFonts w:ascii="Times New Roman" w:hAnsi="Times New Roman"/>
          <w:bCs/>
          <w:lang w:bidi="ru-RU"/>
        </w:rPr>
      </w:pPr>
      <w:r>
        <w:rPr>
          <w:rFonts w:ascii="Times New Roman" w:hAnsi="Times New Roman"/>
          <w:bCs/>
          <w:lang w:bidi="ru-RU"/>
        </w:rPr>
        <w:t>проявление сопереживания, уважения и доброжелательности (в том числе с использованием языковых средств для выражения своего состояния и чувств);</w:t>
      </w:r>
    </w:p>
    <w:p w14:paraId="559F68FE">
      <w:pPr>
        <w:widowControl/>
        <w:tabs>
          <w:tab w:val="left" w:pos="1134"/>
        </w:tabs>
        <w:spacing w:after="0" w:line="360" w:lineRule="auto"/>
        <w:ind w:firstLine="709"/>
        <w:jc w:val="both"/>
        <w:rPr>
          <w:rFonts w:ascii="Times New Roman" w:hAnsi="Times New Roman"/>
          <w:bCs/>
          <w:lang w:bidi="ru-RU"/>
        </w:rPr>
      </w:pPr>
      <w:r>
        <w:rPr>
          <w:rFonts w:ascii="Times New Roman" w:hAnsi="Times New Roman"/>
          <w:bCs/>
          <w:lang w:bidi="ru-RU"/>
        </w:rPr>
        <w:t>осознание этических понятий, оценка поведения и поступков персонажей художественных произведений в ситуации нравственного выбора;</w:t>
      </w:r>
    </w:p>
    <w:p w14:paraId="704BE77A">
      <w:pPr>
        <w:widowControl/>
        <w:tabs>
          <w:tab w:val="left" w:pos="1134"/>
        </w:tabs>
        <w:spacing w:after="0" w:line="360" w:lineRule="auto"/>
        <w:ind w:firstLine="709"/>
        <w:jc w:val="both"/>
        <w:rPr>
          <w:rFonts w:ascii="Times New Roman" w:hAnsi="Times New Roman"/>
          <w:bCs/>
          <w:lang w:bidi="ru-RU"/>
        </w:rPr>
      </w:pPr>
      <w:r>
        <w:rPr>
          <w:rFonts w:ascii="Times New Roman" w:hAnsi="Times New Roman"/>
          <w:bCs/>
          <w:lang w:bidi="ru-RU"/>
        </w:rPr>
        <w:t>выражение своего видения мира, индивидуальной позиции посредством накопления и систематизации литературных впечатлений, разнообразных по эмоциональной окраске;</w:t>
      </w:r>
    </w:p>
    <w:p w14:paraId="157D1AF7">
      <w:pPr>
        <w:widowControl/>
        <w:tabs>
          <w:tab w:val="left" w:pos="1134"/>
        </w:tabs>
        <w:spacing w:after="0" w:line="360" w:lineRule="auto"/>
        <w:ind w:firstLine="709"/>
        <w:jc w:val="both"/>
        <w:rPr>
          <w:rFonts w:ascii="Times New Roman" w:hAnsi="Times New Roman"/>
          <w:bCs/>
          <w:lang w:bidi="ru-RU"/>
        </w:rPr>
      </w:pPr>
      <w:r>
        <w:rPr>
          <w:rFonts w:ascii="Times New Roman" w:hAnsi="Times New Roman"/>
          <w:bCs/>
          <w:lang w:bidi="ru-RU"/>
        </w:rPr>
        <w:t>неприятие любых форм поведения, направленных на причинение физического и морального вреда другим людям (в том числе связанного с использованием недопустимых средств языка);</w:t>
      </w:r>
    </w:p>
    <w:p w14:paraId="3415E641">
      <w:pPr>
        <w:widowControl/>
        <w:tabs>
          <w:tab w:val="left" w:pos="1134"/>
        </w:tabs>
        <w:spacing w:after="0" w:line="360" w:lineRule="auto"/>
        <w:ind w:firstLine="709"/>
        <w:jc w:val="both"/>
        <w:rPr>
          <w:rFonts w:ascii="Times New Roman" w:hAnsi="Times New Roman"/>
          <w:bCs/>
          <w:lang w:bidi="ru-RU"/>
        </w:rPr>
      </w:pPr>
      <w:r>
        <w:rPr>
          <w:rFonts w:ascii="Times New Roman" w:hAnsi="Times New Roman"/>
          <w:bCs/>
          <w:lang w:bidi="ru-RU"/>
        </w:rPr>
        <w:t>3) эстетического воспитания:</w:t>
      </w:r>
    </w:p>
    <w:p w14:paraId="473608AA">
      <w:pPr>
        <w:widowControl/>
        <w:tabs>
          <w:tab w:val="left" w:pos="1134"/>
        </w:tabs>
        <w:spacing w:after="0" w:line="360" w:lineRule="auto"/>
        <w:ind w:firstLine="709"/>
        <w:jc w:val="both"/>
        <w:rPr>
          <w:rFonts w:ascii="Times New Roman" w:hAnsi="Times New Roman"/>
          <w:bCs/>
          <w:lang w:bidi="ru-RU"/>
        </w:rPr>
      </w:pPr>
      <w:r>
        <w:rPr>
          <w:rFonts w:ascii="Times New Roman" w:hAnsi="Times New Roman"/>
          <w:bCs/>
          <w:lang w:bidi="ru-RU"/>
        </w:rPr>
        <w:t>уважительное отношение и интерес к художественной культуре, восприимчивость к разным видам искусства, традициям и творчеству своего других народов;</w:t>
      </w:r>
    </w:p>
    <w:p w14:paraId="2423D26B">
      <w:pPr>
        <w:widowControl/>
        <w:tabs>
          <w:tab w:val="left" w:pos="1134"/>
        </w:tabs>
        <w:spacing w:after="0" w:line="360" w:lineRule="auto"/>
        <w:ind w:firstLine="709"/>
        <w:jc w:val="both"/>
        <w:rPr>
          <w:rFonts w:ascii="Times New Roman" w:hAnsi="Times New Roman"/>
          <w:bCs/>
          <w:lang w:bidi="ru-RU"/>
        </w:rPr>
      </w:pPr>
      <w:r>
        <w:rPr>
          <w:rFonts w:ascii="Times New Roman" w:hAnsi="Times New Roman"/>
          <w:bCs/>
          <w:lang w:bidi="ru-RU"/>
        </w:rPr>
        <w:t>стремление к самовыражению в разных видах художественной деятельности;</w:t>
      </w:r>
    </w:p>
    <w:p w14:paraId="09A1C8CD">
      <w:pPr>
        <w:widowControl/>
        <w:tabs>
          <w:tab w:val="left" w:pos="1134"/>
        </w:tabs>
        <w:spacing w:after="0" w:line="360" w:lineRule="auto"/>
        <w:ind w:firstLine="709"/>
        <w:jc w:val="both"/>
        <w:rPr>
          <w:rFonts w:ascii="Times New Roman" w:hAnsi="Times New Roman"/>
          <w:bCs/>
          <w:lang w:bidi="ru-RU"/>
        </w:rPr>
      </w:pPr>
      <w:r>
        <w:rPr>
          <w:rFonts w:ascii="Times New Roman" w:hAnsi="Times New Roman"/>
          <w:bCs/>
          <w:lang w:bidi="ru-RU"/>
        </w:rPr>
        <w:t>4) физического воспитания, формирования культуры здоровья и эмоционального благополучия:</w:t>
      </w:r>
    </w:p>
    <w:p w14:paraId="1C516667">
      <w:pPr>
        <w:widowControl/>
        <w:tabs>
          <w:tab w:val="left" w:pos="1134"/>
        </w:tabs>
        <w:spacing w:after="0" w:line="360" w:lineRule="auto"/>
        <w:ind w:firstLine="709"/>
        <w:jc w:val="both"/>
        <w:rPr>
          <w:rFonts w:ascii="Times New Roman" w:hAnsi="Times New Roman"/>
          <w:bCs/>
          <w:lang w:bidi="ru-RU"/>
        </w:rPr>
      </w:pPr>
      <w:r>
        <w:rPr>
          <w:rFonts w:ascii="Times New Roman" w:hAnsi="Times New Roman"/>
          <w:bCs/>
          <w:lang w:bidi="ru-RU"/>
        </w:rPr>
        <w:t>соблюдение правил безопасного поиска в информационной среде дополнительной информации, в том числе на уроках литературного чтения на родном (чувашском) языке;</w:t>
      </w:r>
    </w:p>
    <w:p w14:paraId="78897C3E">
      <w:pPr>
        <w:widowControl/>
        <w:tabs>
          <w:tab w:val="left" w:pos="1134"/>
        </w:tabs>
        <w:spacing w:after="0" w:line="360" w:lineRule="auto"/>
        <w:ind w:firstLine="709"/>
        <w:jc w:val="both"/>
        <w:rPr>
          <w:rFonts w:ascii="Times New Roman" w:hAnsi="Times New Roman"/>
          <w:bCs/>
          <w:lang w:bidi="ru-RU"/>
        </w:rPr>
      </w:pPr>
      <w:r>
        <w:rPr>
          <w:rFonts w:ascii="Times New Roman" w:hAnsi="Times New Roman"/>
          <w:bCs/>
          <w:lang w:bidi="ru-RU"/>
        </w:rPr>
        <w:t>бережное отношение к физическому и психическому здоровью, проявляющееся в выборе приемлемых способов речевого самовыражения и соблюдении норм речевого этикета и правил общения;</w:t>
      </w:r>
    </w:p>
    <w:p w14:paraId="338EDA59">
      <w:pPr>
        <w:widowControl/>
        <w:tabs>
          <w:tab w:val="left" w:pos="1134"/>
        </w:tabs>
        <w:spacing w:after="0" w:line="360" w:lineRule="auto"/>
        <w:ind w:firstLine="709"/>
        <w:jc w:val="both"/>
        <w:rPr>
          <w:rFonts w:ascii="Times New Roman" w:hAnsi="Times New Roman"/>
          <w:bCs/>
          <w:lang w:bidi="ru-RU"/>
        </w:rPr>
      </w:pPr>
      <w:r>
        <w:rPr>
          <w:rFonts w:ascii="Times New Roman" w:hAnsi="Times New Roman"/>
          <w:bCs/>
          <w:lang w:bidi="ru-RU"/>
        </w:rPr>
        <w:t>5) трудового воспитания:</w:t>
      </w:r>
    </w:p>
    <w:p w14:paraId="77A0B482">
      <w:pPr>
        <w:widowControl/>
        <w:tabs>
          <w:tab w:val="left" w:pos="1134"/>
        </w:tabs>
        <w:spacing w:after="0" w:line="360" w:lineRule="auto"/>
        <w:ind w:firstLine="709"/>
        <w:jc w:val="both"/>
        <w:rPr>
          <w:rFonts w:ascii="Times New Roman" w:hAnsi="Times New Roman"/>
          <w:bCs/>
          <w:lang w:bidi="ru-RU"/>
        </w:rPr>
      </w:pPr>
      <w:r>
        <w:rPr>
          <w:rFonts w:ascii="Times New Roman" w:hAnsi="Times New Roman"/>
          <w:bCs/>
          <w:lang w:bidi="ru-RU"/>
        </w:rPr>
        <w:t>осознание ценности труда в жизни человека и общества, ответственное потребление и бережное отношение к результатам труда, навыки участия в различных видах трудовой деятельности, интерес к различным профессиям (в том числе через примеры из художественных произведений).</w:t>
      </w:r>
    </w:p>
    <w:p w14:paraId="364E2057">
      <w:pPr>
        <w:widowControl/>
        <w:tabs>
          <w:tab w:val="left" w:pos="1134"/>
        </w:tabs>
        <w:spacing w:after="0" w:line="360" w:lineRule="auto"/>
        <w:ind w:firstLine="709"/>
        <w:jc w:val="both"/>
        <w:rPr>
          <w:rFonts w:ascii="Times New Roman" w:hAnsi="Times New Roman"/>
          <w:bCs/>
          <w:lang w:bidi="ru-RU"/>
        </w:rPr>
      </w:pPr>
      <w:r>
        <w:rPr>
          <w:rFonts w:ascii="Times New Roman" w:hAnsi="Times New Roman"/>
          <w:bCs/>
          <w:lang w:bidi="ru-RU"/>
        </w:rPr>
        <w:t>6) экологического воспитания:</w:t>
      </w:r>
    </w:p>
    <w:p w14:paraId="3E445E5F">
      <w:pPr>
        <w:widowControl/>
        <w:tabs>
          <w:tab w:val="left" w:pos="1134"/>
        </w:tabs>
        <w:spacing w:after="0" w:line="360" w:lineRule="auto"/>
        <w:ind w:firstLine="709"/>
        <w:jc w:val="both"/>
        <w:rPr>
          <w:rFonts w:ascii="Times New Roman" w:hAnsi="Times New Roman"/>
          <w:bCs/>
          <w:lang w:bidi="ru-RU"/>
        </w:rPr>
      </w:pPr>
      <w:r>
        <w:rPr>
          <w:rFonts w:ascii="Times New Roman" w:hAnsi="Times New Roman"/>
          <w:bCs/>
          <w:lang w:bidi="ru-RU"/>
        </w:rPr>
        <w:t>бережное отношение к природе посредством примеров из художественных произведений;</w:t>
      </w:r>
    </w:p>
    <w:p w14:paraId="165F7E6D">
      <w:pPr>
        <w:widowControl/>
        <w:tabs>
          <w:tab w:val="left" w:pos="1134"/>
        </w:tabs>
        <w:spacing w:after="0" w:line="360" w:lineRule="auto"/>
        <w:ind w:firstLine="709"/>
        <w:jc w:val="both"/>
        <w:rPr>
          <w:rFonts w:ascii="Times New Roman" w:hAnsi="Times New Roman"/>
          <w:bCs/>
          <w:lang w:bidi="ru-RU"/>
        </w:rPr>
      </w:pPr>
      <w:r>
        <w:rPr>
          <w:rFonts w:ascii="Times New Roman" w:hAnsi="Times New Roman"/>
          <w:bCs/>
          <w:lang w:bidi="ru-RU"/>
        </w:rPr>
        <w:t>неприятие действий, приносящих вред природе;</w:t>
      </w:r>
    </w:p>
    <w:p w14:paraId="62A29983">
      <w:pPr>
        <w:widowControl/>
        <w:tabs>
          <w:tab w:val="left" w:pos="1134"/>
        </w:tabs>
        <w:spacing w:after="0" w:line="360" w:lineRule="auto"/>
        <w:ind w:firstLine="709"/>
        <w:jc w:val="both"/>
        <w:rPr>
          <w:rFonts w:ascii="Times New Roman" w:hAnsi="Times New Roman"/>
          <w:bCs/>
          <w:lang w:bidi="ru-RU"/>
        </w:rPr>
      </w:pPr>
      <w:r>
        <w:rPr>
          <w:rFonts w:ascii="Times New Roman" w:hAnsi="Times New Roman"/>
          <w:bCs/>
          <w:lang w:bidi="ru-RU"/>
        </w:rPr>
        <w:t>7) ценности научного познания:</w:t>
      </w:r>
    </w:p>
    <w:p w14:paraId="3F8FD612">
      <w:pPr>
        <w:widowControl/>
        <w:tabs>
          <w:tab w:val="left" w:pos="1134"/>
        </w:tabs>
        <w:spacing w:after="0" w:line="360" w:lineRule="auto"/>
        <w:ind w:firstLine="709"/>
        <w:jc w:val="both"/>
        <w:rPr>
          <w:rFonts w:ascii="Times New Roman" w:hAnsi="Times New Roman"/>
          <w:bCs/>
          <w:lang w:bidi="ru-RU"/>
        </w:rPr>
      </w:pPr>
      <w:r>
        <w:rPr>
          <w:rFonts w:ascii="Times New Roman" w:hAnsi="Times New Roman"/>
          <w:bCs/>
          <w:lang w:bidi="ru-RU"/>
        </w:rPr>
        <w:t>ориентация в деятельности на первоначальные представления о научной картине мира, понимание важности слова как средства создания словесно-художественного образа, способа выражения мыслей, чувств, идей автора;</w:t>
      </w:r>
    </w:p>
    <w:p w14:paraId="0AE35FDF">
      <w:pPr>
        <w:widowControl/>
        <w:tabs>
          <w:tab w:val="left" w:pos="1134"/>
        </w:tabs>
        <w:spacing w:after="0" w:line="360" w:lineRule="auto"/>
        <w:ind w:firstLine="709"/>
        <w:jc w:val="both"/>
        <w:rPr>
          <w:rFonts w:ascii="Times New Roman" w:hAnsi="Times New Roman"/>
          <w:bCs/>
          <w:lang w:bidi="ru-RU"/>
        </w:rPr>
      </w:pPr>
      <w:r>
        <w:rPr>
          <w:rFonts w:ascii="Times New Roman" w:hAnsi="Times New Roman"/>
          <w:bCs/>
          <w:lang w:bidi="ru-RU"/>
        </w:rPr>
        <w:t>потребность в самостоятельной читательской деятельности, саморазвитии средствами чувашской литературы, развитие познавательного интереса, активности, инициативности, любознательности и самостоятельности в познании произведений фольклора и художественной литературы.</w:t>
      </w:r>
    </w:p>
    <w:p w14:paraId="67AFC8E7">
      <w:pPr>
        <w:widowControl/>
        <w:tabs>
          <w:tab w:val="left" w:pos="1134"/>
        </w:tabs>
        <w:spacing w:after="0" w:line="360" w:lineRule="auto"/>
        <w:ind w:firstLine="709"/>
        <w:jc w:val="both"/>
        <w:rPr>
          <w:rFonts w:ascii="Times New Roman" w:hAnsi="Times New Roman"/>
          <w:bCs/>
          <w:lang w:bidi="ru-RU"/>
        </w:rPr>
      </w:pPr>
      <w:r>
        <w:rPr>
          <w:rFonts w:ascii="Times New Roman" w:hAnsi="Times New Roman"/>
          <w:bCs/>
          <w:lang w:bidi="ru-RU"/>
        </w:rPr>
        <w:t>7.10.2. В результате изучения литературного чтения на родном (чувашском) языке на уровне начального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деятельность.</w:t>
      </w:r>
    </w:p>
    <w:p w14:paraId="74C625EE">
      <w:pPr>
        <w:widowControl/>
        <w:tabs>
          <w:tab w:val="left" w:pos="1134"/>
        </w:tabs>
        <w:spacing w:after="0" w:line="360" w:lineRule="auto"/>
        <w:ind w:firstLine="709"/>
        <w:jc w:val="both"/>
        <w:rPr>
          <w:rFonts w:ascii="Times New Roman" w:hAnsi="Times New Roman"/>
          <w:bCs/>
          <w:lang w:bidi="ru-RU"/>
        </w:rPr>
      </w:pPr>
      <w:r>
        <w:rPr>
          <w:rFonts w:ascii="Times New Roman" w:hAnsi="Times New Roman"/>
          <w:bCs/>
          <w:lang w:bidi="ru-RU"/>
        </w:rPr>
        <w:t>7.10.2.1. У обучающегося будут сформированы следующие базовые логические действия как часть познавательных универсальных учебных действий:</w:t>
      </w:r>
    </w:p>
    <w:p w14:paraId="6F8F8661">
      <w:pPr>
        <w:widowControl/>
        <w:tabs>
          <w:tab w:val="left" w:pos="1134"/>
        </w:tabs>
        <w:spacing w:after="0" w:line="360" w:lineRule="auto"/>
        <w:ind w:firstLine="709"/>
        <w:jc w:val="both"/>
        <w:rPr>
          <w:rFonts w:ascii="Times New Roman" w:hAnsi="Times New Roman"/>
          <w:bCs/>
          <w:lang w:bidi="ru-RU"/>
        </w:rPr>
      </w:pPr>
      <w:r>
        <w:rPr>
          <w:rFonts w:ascii="Times New Roman" w:hAnsi="Times New Roman"/>
          <w:bCs/>
          <w:lang w:bidi="ru-RU"/>
        </w:rPr>
        <w:t>сравнивать различные тексты по теме, главной мысли, жанру, соотносить произведение и его автора, устанавливать основания для сравнения текстов, устанавливать аналогии текстов;</w:t>
      </w:r>
    </w:p>
    <w:p w14:paraId="7A7F7BA5">
      <w:pPr>
        <w:widowControl/>
        <w:tabs>
          <w:tab w:val="left" w:pos="1134"/>
        </w:tabs>
        <w:spacing w:after="0" w:line="360" w:lineRule="auto"/>
        <w:ind w:firstLine="709"/>
        <w:jc w:val="both"/>
        <w:rPr>
          <w:rFonts w:ascii="Times New Roman" w:hAnsi="Times New Roman"/>
          <w:bCs/>
          <w:lang w:bidi="ru-RU"/>
        </w:rPr>
      </w:pPr>
      <w:r>
        <w:rPr>
          <w:rFonts w:ascii="Times New Roman" w:hAnsi="Times New Roman"/>
          <w:bCs/>
          <w:lang w:bidi="ru-RU"/>
        </w:rPr>
        <w:t>объединять части объекта, объекты (тексты) по заданному признаку;</w:t>
      </w:r>
    </w:p>
    <w:p w14:paraId="301DE00D">
      <w:pPr>
        <w:widowControl/>
        <w:tabs>
          <w:tab w:val="left" w:pos="1134"/>
        </w:tabs>
        <w:spacing w:after="0" w:line="360" w:lineRule="auto"/>
        <w:ind w:firstLine="709"/>
        <w:jc w:val="both"/>
        <w:rPr>
          <w:rFonts w:ascii="Times New Roman" w:hAnsi="Times New Roman"/>
          <w:bCs/>
          <w:lang w:bidi="ru-RU"/>
        </w:rPr>
      </w:pPr>
      <w:r>
        <w:rPr>
          <w:rFonts w:ascii="Times New Roman" w:hAnsi="Times New Roman"/>
          <w:bCs/>
          <w:lang w:bidi="ru-RU"/>
        </w:rPr>
        <w:t>определять существенный признак для классификации, классифицировать произведения по темам, жанрам;</w:t>
      </w:r>
    </w:p>
    <w:p w14:paraId="234D3961">
      <w:pPr>
        <w:widowControl/>
        <w:tabs>
          <w:tab w:val="left" w:pos="1134"/>
        </w:tabs>
        <w:spacing w:after="0" w:line="360" w:lineRule="auto"/>
        <w:ind w:firstLine="709"/>
        <w:jc w:val="both"/>
        <w:rPr>
          <w:rFonts w:ascii="Times New Roman" w:hAnsi="Times New Roman"/>
          <w:bCs/>
          <w:lang w:bidi="ru-RU"/>
        </w:rPr>
      </w:pPr>
      <w:r>
        <w:rPr>
          <w:rFonts w:ascii="Times New Roman" w:hAnsi="Times New Roman"/>
          <w:bCs/>
          <w:lang w:bidi="ru-RU"/>
        </w:rPr>
        <w:t>находить закономерности и противоречия при анализе сюжета (композиции), восстанавливать нарушенную последовательность событий (сюжета), составлять аннотацию, отзыв по предложенному алгоритму;</w:t>
      </w:r>
    </w:p>
    <w:p w14:paraId="146A3E1F">
      <w:pPr>
        <w:widowControl/>
        <w:tabs>
          <w:tab w:val="left" w:pos="1134"/>
        </w:tabs>
        <w:spacing w:after="0" w:line="360" w:lineRule="auto"/>
        <w:ind w:firstLine="709"/>
        <w:jc w:val="both"/>
        <w:rPr>
          <w:rFonts w:ascii="Times New Roman" w:hAnsi="Times New Roman"/>
          <w:bCs/>
          <w:lang w:bidi="ru-RU"/>
        </w:rPr>
      </w:pPr>
      <w:r>
        <w:rPr>
          <w:rFonts w:ascii="Times New Roman" w:hAnsi="Times New Roman"/>
          <w:bCs/>
          <w:lang w:bidi="ru-RU"/>
        </w:rPr>
        <w:t>выявлять недостаток информации для решения учебной и практической задачи на основе предложенного алгоритма;</w:t>
      </w:r>
    </w:p>
    <w:p w14:paraId="2EB048A8">
      <w:pPr>
        <w:widowControl/>
        <w:tabs>
          <w:tab w:val="left" w:pos="1134"/>
        </w:tabs>
        <w:spacing w:after="0" w:line="360" w:lineRule="auto"/>
        <w:ind w:firstLine="709"/>
        <w:jc w:val="both"/>
        <w:rPr>
          <w:rFonts w:ascii="Times New Roman" w:hAnsi="Times New Roman"/>
          <w:bCs/>
          <w:lang w:bidi="ru-RU"/>
        </w:rPr>
      </w:pPr>
      <w:r>
        <w:rPr>
          <w:rFonts w:ascii="Times New Roman" w:hAnsi="Times New Roman"/>
          <w:bCs/>
          <w:lang w:bidi="ru-RU"/>
        </w:rPr>
        <w:t>устанавливать причинно-следственные связи в сюжете фольклорного и художественного текста, при составлении плана, пересказе текста, характеристике поступков героев.</w:t>
      </w:r>
    </w:p>
    <w:p w14:paraId="3853D0D2">
      <w:pPr>
        <w:widowControl/>
        <w:tabs>
          <w:tab w:val="left" w:pos="1134"/>
        </w:tabs>
        <w:spacing w:after="0" w:line="360" w:lineRule="auto"/>
        <w:ind w:firstLine="709"/>
        <w:jc w:val="both"/>
        <w:rPr>
          <w:rFonts w:ascii="Times New Roman" w:hAnsi="Times New Roman"/>
          <w:bCs/>
          <w:lang w:bidi="ru-RU"/>
        </w:rPr>
      </w:pPr>
      <w:r>
        <w:rPr>
          <w:rFonts w:ascii="Times New Roman" w:hAnsi="Times New Roman"/>
          <w:bCs/>
          <w:lang w:bidi="ru-RU"/>
        </w:rPr>
        <w:t>7.10.2.2. У обучающегося будут сформированы следующие базовые исследовательские действия как часть познавательных универсальных учебных действий:</w:t>
      </w:r>
    </w:p>
    <w:p w14:paraId="48D1295A">
      <w:pPr>
        <w:widowControl/>
        <w:tabs>
          <w:tab w:val="left" w:pos="1134"/>
        </w:tabs>
        <w:spacing w:after="0" w:line="360" w:lineRule="auto"/>
        <w:ind w:firstLine="709"/>
        <w:jc w:val="both"/>
        <w:rPr>
          <w:rFonts w:ascii="Times New Roman" w:hAnsi="Times New Roman"/>
          <w:bCs/>
          <w:lang w:bidi="ru-RU"/>
        </w:rPr>
      </w:pPr>
      <w:r>
        <w:rPr>
          <w:rFonts w:ascii="Times New Roman" w:hAnsi="Times New Roman"/>
          <w:bCs/>
          <w:lang w:bidi="ru-RU"/>
        </w:rPr>
        <w:t>с помощью учителя формулировать цель;</w:t>
      </w:r>
    </w:p>
    <w:p w14:paraId="6B1D215D">
      <w:pPr>
        <w:widowControl/>
        <w:tabs>
          <w:tab w:val="left" w:pos="1134"/>
        </w:tabs>
        <w:spacing w:after="0" w:line="360" w:lineRule="auto"/>
        <w:ind w:firstLine="709"/>
        <w:jc w:val="both"/>
        <w:rPr>
          <w:rFonts w:ascii="Times New Roman" w:hAnsi="Times New Roman"/>
          <w:bCs/>
          <w:lang w:bidi="ru-RU"/>
        </w:rPr>
      </w:pPr>
      <w:r>
        <w:rPr>
          <w:rFonts w:ascii="Times New Roman" w:hAnsi="Times New Roman"/>
          <w:bCs/>
          <w:lang w:bidi="ru-RU"/>
        </w:rPr>
        <w:t>сравнивать несколько вариантов решения задачи, выбирать наиболее подходящий (на основе предложенных критериев);</w:t>
      </w:r>
    </w:p>
    <w:p w14:paraId="30F14D8E">
      <w:pPr>
        <w:widowControl/>
        <w:tabs>
          <w:tab w:val="left" w:pos="1134"/>
        </w:tabs>
        <w:spacing w:after="0" w:line="360" w:lineRule="auto"/>
        <w:ind w:firstLine="709"/>
        <w:jc w:val="both"/>
        <w:rPr>
          <w:rFonts w:ascii="Times New Roman" w:hAnsi="Times New Roman"/>
          <w:bCs/>
          <w:lang w:bidi="ru-RU"/>
        </w:rPr>
      </w:pPr>
      <w:r>
        <w:rPr>
          <w:rFonts w:ascii="Times New Roman" w:hAnsi="Times New Roman"/>
          <w:bCs/>
          <w:lang w:bidi="ru-RU"/>
        </w:rPr>
        <w:t>выполнять по предложенному плану проектное задание;</w:t>
      </w:r>
    </w:p>
    <w:p w14:paraId="0EC1DAE4">
      <w:pPr>
        <w:widowControl/>
        <w:tabs>
          <w:tab w:val="left" w:pos="1134"/>
        </w:tabs>
        <w:spacing w:after="0" w:line="360" w:lineRule="auto"/>
        <w:ind w:firstLine="709"/>
        <w:jc w:val="both"/>
        <w:rPr>
          <w:rFonts w:ascii="Times New Roman" w:hAnsi="Times New Roman"/>
          <w:bCs/>
          <w:lang w:bidi="ru-RU"/>
        </w:rPr>
      </w:pPr>
      <w:r>
        <w:rPr>
          <w:rFonts w:ascii="Times New Roman" w:hAnsi="Times New Roman"/>
          <w:bCs/>
          <w:lang w:bidi="ru-RU"/>
        </w:rPr>
        <w:t>формулировать выводы и подкреплять их доказательствами на основе результатов проведенного анализа текста (классификации, сравнения, исследования);</w:t>
      </w:r>
    </w:p>
    <w:p w14:paraId="58C8BC80">
      <w:pPr>
        <w:widowControl/>
        <w:tabs>
          <w:tab w:val="left" w:pos="1134"/>
        </w:tabs>
        <w:spacing w:after="0" w:line="360" w:lineRule="auto"/>
        <w:ind w:firstLine="709"/>
        <w:jc w:val="both"/>
        <w:rPr>
          <w:rFonts w:ascii="Times New Roman" w:hAnsi="Times New Roman"/>
          <w:bCs/>
          <w:lang w:bidi="ru-RU"/>
        </w:rPr>
      </w:pPr>
      <w:r>
        <w:rPr>
          <w:rFonts w:ascii="Times New Roman" w:hAnsi="Times New Roman"/>
          <w:bCs/>
          <w:lang w:bidi="ru-RU"/>
        </w:rPr>
        <w:t>прогнозировать возможное развитие процессов, событий и их последствия в аналогичных или сходных ситуациях.</w:t>
      </w:r>
    </w:p>
    <w:p w14:paraId="4A3C0745">
      <w:pPr>
        <w:widowControl/>
        <w:tabs>
          <w:tab w:val="left" w:pos="1134"/>
        </w:tabs>
        <w:spacing w:after="0" w:line="360" w:lineRule="auto"/>
        <w:ind w:firstLine="709"/>
        <w:jc w:val="both"/>
        <w:rPr>
          <w:rFonts w:ascii="Times New Roman" w:hAnsi="Times New Roman"/>
          <w:bCs/>
          <w:lang w:bidi="ru-RU"/>
        </w:rPr>
      </w:pPr>
      <w:r>
        <w:rPr>
          <w:rFonts w:ascii="Times New Roman" w:hAnsi="Times New Roman"/>
          <w:bCs/>
          <w:lang w:bidi="ru-RU"/>
        </w:rPr>
        <w:t xml:space="preserve">7.10.2.3. У обучающегося будут </w:t>
      </w:r>
      <w:r>
        <w:rPr>
          <w:rFonts w:ascii="Times New Roman" w:hAnsi="Times New Roman"/>
        </w:rPr>
        <w:t xml:space="preserve">сформированы умения </w:t>
      </w:r>
      <w:r>
        <w:rPr>
          <w:rFonts w:ascii="Times New Roman" w:hAnsi="Times New Roman"/>
          <w:bCs/>
          <w:lang w:bidi="ru-RU"/>
        </w:rPr>
        <w:t>работать с информацией как часть познавательных универсальных учебных действий:</w:t>
      </w:r>
    </w:p>
    <w:p w14:paraId="65C4018A">
      <w:pPr>
        <w:widowControl/>
        <w:tabs>
          <w:tab w:val="left" w:pos="1134"/>
        </w:tabs>
        <w:spacing w:after="0" w:line="360" w:lineRule="auto"/>
        <w:ind w:firstLine="709"/>
        <w:jc w:val="both"/>
        <w:rPr>
          <w:rFonts w:ascii="Times New Roman" w:hAnsi="Times New Roman"/>
          <w:bCs/>
          <w:lang w:bidi="ru-RU"/>
        </w:rPr>
      </w:pPr>
      <w:r>
        <w:rPr>
          <w:rFonts w:ascii="Times New Roman" w:hAnsi="Times New Roman"/>
          <w:bCs/>
          <w:lang w:bidi="ru-RU"/>
        </w:rPr>
        <w:t>выбирать источник получения информации: словарь, справочник;</w:t>
      </w:r>
    </w:p>
    <w:p w14:paraId="1FCED06C">
      <w:pPr>
        <w:widowControl/>
        <w:tabs>
          <w:tab w:val="left" w:pos="1134"/>
        </w:tabs>
        <w:spacing w:after="0" w:line="360" w:lineRule="auto"/>
        <w:ind w:firstLine="709"/>
        <w:jc w:val="both"/>
        <w:rPr>
          <w:rFonts w:ascii="Times New Roman" w:hAnsi="Times New Roman"/>
          <w:bCs/>
          <w:lang w:bidi="ru-RU"/>
        </w:rPr>
      </w:pPr>
      <w:r>
        <w:rPr>
          <w:rFonts w:ascii="Times New Roman" w:hAnsi="Times New Roman"/>
          <w:bCs/>
          <w:lang w:bidi="ru-RU"/>
        </w:rPr>
        <w:t>согласно заданному алгоритму находить в предложенном источнике (словаре, справочнике) информацию, представленную в явном виде;</w:t>
      </w:r>
    </w:p>
    <w:p w14:paraId="39CA2A51">
      <w:pPr>
        <w:widowControl/>
        <w:tabs>
          <w:tab w:val="left" w:pos="1134"/>
        </w:tabs>
        <w:spacing w:after="0" w:line="360" w:lineRule="auto"/>
        <w:ind w:firstLine="709"/>
        <w:jc w:val="both"/>
        <w:rPr>
          <w:rFonts w:ascii="Times New Roman" w:hAnsi="Times New Roman"/>
          <w:bCs/>
          <w:lang w:bidi="ru-RU"/>
        </w:rPr>
      </w:pPr>
      <w:r>
        <w:rPr>
          <w:rFonts w:ascii="Times New Roman" w:hAnsi="Times New Roman"/>
          <w:bCs/>
          <w:lang w:bidi="ru-RU"/>
        </w:rPr>
        <w:t>распознавать достоверную и недостоверную информацию самостоятельно или на основании предложенного учителем способа ее проверки (с помощью словарей, справочников);</w:t>
      </w:r>
    </w:p>
    <w:p w14:paraId="2B43E97E">
      <w:pPr>
        <w:widowControl/>
        <w:tabs>
          <w:tab w:val="left" w:pos="1134"/>
        </w:tabs>
        <w:spacing w:after="0" w:line="360" w:lineRule="auto"/>
        <w:ind w:firstLine="709"/>
        <w:jc w:val="both"/>
        <w:rPr>
          <w:rFonts w:ascii="Times New Roman" w:hAnsi="Times New Roman"/>
          <w:bCs/>
          <w:lang w:bidi="ru-RU"/>
        </w:rPr>
      </w:pPr>
      <w:r>
        <w:rPr>
          <w:rFonts w:ascii="Times New Roman" w:hAnsi="Times New Roman"/>
          <w:bCs/>
          <w:lang w:bidi="ru-RU"/>
        </w:rPr>
        <w:t>соблюдать с помощью взрослых (учителей, родителей и (или) законных представителей) правила информационной безопасности при поиске информации в Интернете;</w:t>
      </w:r>
    </w:p>
    <w:p w14:paraId="56B7DDA3">
      <w:pPr>
        <w:widowControl/>
        <w:tabs>
          <w:tab w:val="left" w:pos="1134"/>
        </w:tabs>
        <w:spacing w:after="0" w:line="360" w:lineRule="auto"/>
        <w:ind w:firstLine="709"/>
        <w:jc w:val="both"/>
        <w:rPr>
          <w:rFonts w:ascii="Times New Roman" w:hAnsi="Times New Roman"/>
          <w:bCs/>
          <w:lang w:bidi="ru-RU"/>
        </w:rPr>
      </w:pPr>
      <w:r>
        <w:rPr>
          <w:rFonts w:ascii="Times New Roman" w:hAnsi="Times New Roman"/>
          <w:bCs/>
          <w:lang w:bidi="ru-RU"/>
        </w:rPr>
        <w:t>анализировать и создавать текстовую, видео, графическую, звуковую, информацию в соответствии с учебной задачей;</w:t>
      </w:r>
    </w:p>
    <w:p w14:paraId="7168F7EC">
      <w:pPr>
        <w:widowControl/>
        <w:tabs>
          <w:tab w:val="left" w:pos="1134"/>
        </w:tabs>
        <w:spacing w:after="0" w:line="360" w:lineRule="auto"/>
        <w:ind w:firstLine="709"/>
        <w:jc w:val="both"/>
        <w:rPr>
          <w:rFonts w:ascii="Times New Roman" w:hAnsi="Times New Roman"/>
          <w:bCs/>
          <w:lang w:bidi="ru-RU"/>
        </w:rPr>
      </w:pPr>
      <w:r>
        <w:rPr>
          <w:rFonts w:ascii="Times New Roman" w:hAnsi="Times New Roman"/>
          <w:bCs/>
          <w:lang w:bidi="ru-RU"/>
        </w:rPr>
        <w:t>понимать информацию, зафиксированную в виде таблиц, схем, самостоятельно создавать схемы, таблицы по результатам работы с текстами.</w:t>
      </w:r>
    </w:p>
    <w:p w14:paraId="0DEDA94D">
      <w:pPr>
        <w:widowControl/>
        <w:tabs>
          <w:tab w:val="left" w:pos="1134"/>
        </w:tabs>
        <w:spacing w:after="0" w:line="360" w:lineRule="auto"/>
        <w:ind w:firstLine="709"/>
        <w:jc w:val="both"/>
        <w:rPr>
          <w:rFonts w:ascii="Times New Roman" w:hAnsi="Times New Roman"/>
          <w:bCs/>
          <w:lang w:bidi="ru-RU"/>
        </w:rPr>
      </w:pPr>
      <w:r>
        <w:rPr>
          <w:rFonts w:ascii="Times New Roman" w:hAnsi="Times New Roman"/>
          <w:bCs/>
          <w:lang w:bidi="ru-RU"/>
        </w:rPr>
        <w:t xml:space="preserve">7.10.2.4. У обучающегося будут </w:t>
      </w:r>
      <w:r>
        <w:rPr>
          <w:rFonts w:ascii="Times New Roman" w:hAnsi="Times New Roman"/>
        </w:rPr>
        <w:t xml:space="preserve">сформированы умения </w:t>
      </w:r>
      <w:r>
        <w:rPr>
          <w:rFonts w:ascii="Times New Roman" w:hAnsi="Times New Roman"/>
          <w:bCs/>
          <w:lang w:bidi="ru-RU"/>
        </w:rPr>
        <w:t>общения как часть коммуникативных универсальных учебных действий:</w:t>
      </w:r>
    </w:p>
    <w:p w14:paraId="360D2CD9">
      <w:pPr>
        <w:widowControl/>
        <w:tabs>
          <w:tab w:val="left" w:pos="1134"/>
        </w:tabs>
        <w:spacing w:after="0" w:line="360" w:lineRule="auto"/>
        <w:ind w:firstLine="709"/>
        <w:jc w:val="both"/>
        <w:rPr>
          <w:rFonts w:ascii="Times New Roman" w:hAnsi="Times New Roman"/>
          <w:bCs/>
          <w:lang w:bidi="ru-RU"/>
        </w:rPr>
      </w:pPr>
      <w:r>
        <w:rPr>
          <w:rFonts w:ascii="Times New Roman" w:hAnsi="Times New Roman"/>
          <w:bCs/>
          <w:lang w:bidi="ru-RU"/>
        </w:rPr>
        <w:t>воспринимать и формулировать суждения, выражать эмоции в соответствии с целями и условиями общения в знакомой среде;</w:t>
      </w:r>
    </w:p>
    <w:p w14:paraId="3F623D21">
      <w:pPr>
        <w:widowControl/>
        <w:tabs>
          <w:tab w:val="left" w:pos="1134"/>
        </w:tabs>
        <w:spacing w:after="0" w:line="360" w:lineRule="auto"/>
        <w:ind w:firstLine="709"/>
        <w:jc w:val="both"/>
        <w:rPr>
          <w:rFonts w:ascii="Times New Roman" w:hAnsi="Times New Roman"/>
          <w:bCs/>
          <w:lang w:bidi="ru-RU"/>
        </w:rPr>
      </w:pPr>
      <w:r>
        <w:rPr>
          <w:rFonts w:ascii="Times New Roman" w:hAnsi="Times New Roman"/>
          <w:bCs/>
          <w:lang w:bidi="ru-RU"/>
        </w:rPr>
        <w:t>проявлять уважительное отношение к собеседнику, соблюдать правила ведения диалога и дискуссии;</w:t>
      </w:r>
    </w:p>
    <w:p w14:paraId="16F2C978">
      <w:pPr>
        <w:widowControl/>
        <w:tabs>
          <w:tab w:val="left" w:pos="1134"/>
        </w:tabs>
        <w:spacing w:after="0" w:line="360" w:lineRule="auto"/>
        <w:ind w:firstLine="709"/>
        <w:jc w:val="both"/>
        <w:rPr>
          <w:rFonts w:ascii="Times New Roman" w:hAnsi="Times New Roman"/>
          <w:bCs/>
          <w:lang w:bidi="ru-RU"/>
        </w:rPr>
      </w:pPr>
      <w:r>
        <w:rPr>
          <w:rFonts w:ascii="Times New Roman" w:hAnsi="Times New Roman"/>
          <w:bCs/>
          <w:lang w:bidi="ru-RU"/>
        </w:rPr>
        <w:t>признавать возможность существования разных точек зрения;</w:t>
      </w:r>
    </w:p>
    <w:p w14:paraId="235CBAF1">
      <w:pPr>
        <w:widowControl/>
        <w:tabs>
          <w:tab w:val="left" w:pos="1134"/>
        </w:tabs>
        <w:spacing w:after="0" w:line="360" w:lineRule="auto"/>
        <w:ind w:firstLine="709"/>
        <w:jc w:val="both"/>
        <w:rPr>
          <w:rFonts w:ascii="Times New Roman" w:hAnsi="Times New Roman"/>
          <w:bCs/>
          <w:lang w:bidi="ru-RU"/>
        </w:rPr>
      </w:pPr>
      <w:r>
        <w:rPr>
          <w:rFonts w:ascii="Times New Roman" w:hAnsi="Times New Roman"/>
          <w:bCs/>
          <w:lang w:bidi="ru-RU"/>
        </w:rPr>
        <w:t>корректно и аргументированно высказывать свое мнение;</w:t>
      </w:r>
    </w:p>
    <w:p w14:paraId="552623AE">
      <w:pPr>
        <w:widowControl/>
        <w:tabs>
          <w:tab w:val="left" w:pos="1134"/>
        </w:tabs>
        <w:spacing w:after="0" w:line="360" w:lineRule="auto"/>
        <w:ind w:firstLine="709"/>
        <w:jc w:val="both"/>
        <w:rPr>
          <w:rFonts w:ascii="Times New Roman" w:hAnsi="Times New Roman"/>
          <w:bCs/>
          <w:lang w:bidi="ru-RU"/>
        </w:rPr>
      </w:pPr>
      <w:r>
        <w:rPr>
          <w:rFonts w:ascii="Times New Roman" w:hAnsi="Times New Roman"/>
          <w:bCs/>
          <w:lang w:bidi="ru-RU"/>
        </w:rPr>
        <w:t>строить речевое высказывание в соответствии с поставленной задачей;</w:t>
      </w:r>
    </w:p>
    <w:p w14:paraId="77B51B0A">
      <w:pPr>
        <w:widowControl/>
        <w:tabs>
          <w:tab w:val="left" w:pos="1134"/>
        </w:tabs>
        <w:spacing w:after="0" w:line="360" w:lineRule="auto"/>
        <w:ind w:firstLine="709"/>
        <w:jc w:val="both"/>
        <w:rPr>
          <w:rFonts w:ascii="Times New Roman" w:hAnsi="Times New Roman"/>
          <w:bCs/>
          <w:lang w:bidi="ru-RU"/>
        </w:rPr>
      </w:pPr>
      <w:r>
        <w:rPr>
          <w:rFonts w:ascii="Times New Roman" w:hAnsi="Times New Roman"/>
          <w:bCs/>
          <w:lang w:bidi="ru-RU"/>
        </w:rPr>
        <w:t>создавать устные (описание, рассуждение, повествование) и письменные (повествование) тексты;</w:t>
      </w:r>
    </w:p>
    <w:p w14:paraId="07E7BAB5">
      <w:pPr>
        <w:widowControl/>
        <w:tabs>
          <w:tab w:val="left" w:pos="1134"/>
        </w:tabs>
        <w:spacing w:after="0" w:line="360" w:lineRule="auto"/>
        <w:ind w:firstLine="709"/>
        <w:jc w:val="both"/>
        <w:rPr>
          <w:rFonts w:ascii="Times New Roman" w:hAnsi="Times New Roman"/>
          <w:bCs/>
          <w:lang w:bidi="ru-RU"/>
        </w:rPr>
      </w:pPr>
      <w:r>
        <w:rPr>
          <w:rFonts w:ascii="Times New Roman" w:hAnsi="Times New Roman"/>
          <w:bCs/>
          <w:lang w:bidi="ru-RU"/>
        </w:rPr>
        <w:t>подготавливать небольшие публичные выступления;</w:t>
      </w:r>
    </w:p>
    <w:p w14:paraId="25E5D0A1">
      <w:pPr>
        <w:widowControl/>
        <w:tabs>
          <w:tab w:val="left" w:pos="1134"/>
        </w:tabs>
        <w:spacing w:after="0" w:line="360" w:lineRule="auto"/>
        <w:ind w:firstLine="709"/>
        <w:jc w:val="both"/>
        <w:rPr>
          <w:rFonts w:ascii="Times New Roman" w:hAnsi="Times New Roman"/>
          <w:bCs/>
          <w:lang w:bidi="ru-RU"/>
        </w:rPr>
      </w:pPr>
      <w:r>
        <w:rPr>
          <w:rFonts w:ascii="Times New Roman" w:hAnsi="Times New Roman"/>
          <w:bCs/>
          <w:lang w:bidi="ru-RU"/>
        </w:rPr>
        <w:t>подбирать иллюстративный материал (рисунки, фото, плакаты) к тексту выступления.</w:t>
      </w:r>
    </w:p>
    <w:p w14:paraId="1EFA302E">
      <w:pPr>
        <w:widowControl/>
        <w:tabs>
          <w:tab w:val="left" w:pos="1134"/>
        </w:tabs>
        <w:spacing w:after="0" w:line="360" w:lineRule="auto"/>
        <w:ind w:firstLine="709"/>
        <w:jc w:val="both"/>
        <w:rPr>
          <w:rFonts w:ascii="Times New Roman" w:hAnsi="Times New Roman"/>
          <w:bCs/>
          <w:lang w:bidi="ru-RU"/>
        </w:rPr>
      </w:pPr>
      <w:r>
        <w:rPr>
          <w:rFonts w:ascii="Times New Roman" w:hAnsi="Times New Roman"/>
          <w:bCs/>
          <w:lang w:bidi="ru-RU"/>
        </w:rPr>
        <w:t xml:space="preserve">7.10.2.5. У обучающегося будут </w:t>
      </w:r>
      <w:r>
        <w:rPr>
          <w:rFonts w:ascii="Times New Roman" w:hAnsi="Times New Roman"/>
        </w:rPr>
        <w:t xml:space="preserve">сформированы умения </w:t>
      </w:r>
      <w:r>
        <w:rPr>
          <w:rFonts w:ascii="Times New Roman" w:hAnsi="Times New Roman"/>
          <w:bCs/>
          <w:lang w:bidi="ru-RU"/>
        </w:rPr>
        <w:t>само организации как части регулятивных универсальных учебных действий:</w:t>
      </w:r>
    </w:p>
    <w:p w14:paraId="35C8280A">
      <w:pPr>
        <w:widowControl/>
        <w:tabs>
          <w:tab w:val="left" w:pos="1134"/>
        </w:tabs>
        <w:spacing w:after="0" w:line="360" w:lineRule="auto"/>
        <w:ind w:firstLine="709"/>
        <w:jc w:val="both"/>
        <w:rPr>
          <w:rFonts w:ascii="Times New Roman" w:hAnsi="Times New Roman"/>
          <w:bCs/>
          <w:lang w:bidi="ru-RU"/>
        </w:rPr>
      </w:pPr>
      <w:r>
        <w:rPr>
          <w:rFonts w:ascii="Times New Roman" w:hAnsi="Times New Roman"/>
          <w:bCs/>
          <w:lang w:bidi="ru-RU"/>
        </w:rPr>
        <w:t>планировать действия по решению учебной задачи для получения результата;</w:t>
      </w:r>
    </w:p>
    <w:p w14:paraId="3D3EEFE9">
      <w:pPr>
        <w:widowControl/>
        <w:tabs>
          <w:tab w:val="left" w:pos="1134"/>
        </w:tabs>
        <w:spacing w:after="0" w:line="360" w:lineRule="auto"/>
        <w:ind w:firstLine="709"/>
        <w:jc w:val="both"/>
        <w:rPr>
          <w:rFonts w:ascii="Times New Roman" w:hAnsi="Times New Roman"/>
          <w:bCs/>
          <w:lang w:bidi="ru-RU"/>
        </w:rPr>
      </w:pPr>
      <w:r>
        <w:rPr>
          <w:rFonts w:ascii="Times New Roman" w:hAnsi="Times New Roman"/>
          <w:bCs/>
          <w:lang w:bidi="ru-RU"/>
        </w:rPr>
        <w:t>выстраивать последовательность выбранных действий.</w:t>
      </w:r>
    </w:p>
    <w:p w14:paraId="6F16171E">
      <w:pPr>
        <w:widowControl/>
        <w:tabs>
          <w:tab w:val="left" w:pos="1134"/>
        </w:tabs>
        <w:spacing w:after="0" w:line="360" w:lineRule="auto"/>
        <w:ind w:firstLine="709"/>
        <w:jc w:val="both"/>
        <w:rPr>
          <w:rFonts w:ascii="Times New Roman" w:hAnsi="Times New Roman"/>
          <w:bCs/>
          <w:lang w:bidi="ru-RU"/>
        </w:rPr>
      </w:pPr>
      <w:r>
        <w:rPr>
          <w:rFonts w:ascii="Times New Roman" w:hAnsi="Times New Roman"/>
          <w:bCs/>
          <w:lang w:bidi="ru-RU"/>
        </w:rPr>
        <w:t xml:space="preserve">7.10.2.6. У обучающегося будут </w:t>
      </w:r>
      <w:r>
        <w:rPr>
          <w:rFonts w:ascii="Times New Roman" w:hAnsi="Times New Roman"/>
        </w:rPr>
        <w:t xml:space="preserve">сформированы умения </w:t>
      </w:r>
      <w:r>
        <w:rPr>
          <w:rFonts w:ascii="Times New Roman" w:hAnsi="Times New Roman"/>
          <w:bCs/>
          <w:lang w:bidi="ru-RU"/>
        </w:rPr>
        <w:t>самоконтроля как части регулятивных универсальных учебных действий:</w:t>
      </w:r>
    </w:p>
    <w:p w14:paraId="689441A4">
      <w:pPr>
        <w:widowControl/>
        <w:tabs>
          <w:tab w:val="left" w:pos="1134"/>
        </w:tabs>
        <w:spacing w:after="0" w:line="360" w:lineRule="auto"/>
        <w:ind w:firstLine="709"/>
        <w:jc w:val="both"/>
        <w:rPr>
          <w:rFonts w:ascii="Times New Roman" w:hAnsi="Times New Roman"/>
          <w:bCs/>
          <w:lang w:bidi="ru-RU"/>
        </w:rPr>
      </w:pPr>
      <w:r>
        <w:rPr>
          <w:rFonts w:ascii="Times New Roman" w:hAnsi="Times New Roman"/>
          <w:bCs/>
          <w:lang w:bidi="ru-RU"/>
        </w:rPr>
        <w:t>устанавливать причины успеха или неудач учебной деятельности;</w:t>
      </w:r>
    </w:p>
    <w:p w14:paraId="423E11AF">
      <w:pPr>
        <w:widowControl/>
        <w:tabs>
          <w:tab w:val="left" w:pos="1134"/>
        </w:tabs>
        <w:spacing w:after="0" w:line="360" w:lineRule="auto"/>
        <w:ind w:firstLine="709"/>
        <w:jc w:val="both"/>
        <w:rPr>
          <w:rFonts w:ascii="Times New Roman" w:hAnsi="Times New Roman"/>
          <w:bCs/>
          <w:lang w:bidi="ru-RU"/>
        </w:rPr>
      </w:pPr>
      <w:r>
        <w:rPr>
          <w:rFonts w:ascii="Times New Roman" w:hAnsi="Times New Roman"/>
          <w:bCs/>
          <w:lang w:bidi="ru-RU"/>
        </w:rPr>
        <w:t>корректировать свои учебные действия для преодоления речевых ошибок.</w:t>
      </w:r>
    </w:p>
    <w:p w14:paraId="65AB7605">
      <w:pPr>
        <w:widowControl/>
        <w:tabs>
          <w:tab w:val="left" w:pos="1134"/>
        </w:tabs>
        <w:spacing w:after="0" w:line="360" w:lineRule="auto"/>
        <w:ind w:firstLine="709"/>
        <w:jc w:val="both"/>
        <w:rPr>
          <w:rFonts w:ascii="Times New Roman" w:hAnsi="Times New Roman"/>
          <w:bCs/>
          <w:lang w:bidi="ru-RU"/>
        </w:rPr>
      </w:pPr>
      <w:r>
        <w:rPr>
          <w:rFonts w:ascii="Times New Roman" w:hAnsi="Times New Roman"/>
          <w:bCs/>
          <w:lang w:bidi="ru-RU"/>
        </w:rPr>
        <w:t xml:space="preserve">7.10.2.7. У обучающегося будут </w:t>
      </w:r>
      <w:r>
        <w:rPr>
          <w:rFonts w:ascii="Times New Roman" w:hAnsi="Times New Roman"/>
        </w:rPr>
        <w:t xml:space="preserve">сформированы умения </w:t>
      </w:r>
      <w:r>
        <w:rPr>
          <w:rFonts w:ascii="Times New Roman" w:hAnsi="Times New Roman"/>
          <w:bCs/>
          <w:lang w:bidi="ru-RU"/>
        </w:rPr>
        <w:t>совместной деятельности:</w:t>
      </w:r>
    </w:p>
    <w:p w14:paraId="290DD857">
      <w:pPr>
        <w:widowControl/>
        <w:tabs>
          <w:tab w:val="left" w:pos="1134"/>
        </w:tabs>
        <w:spacing w:after="0" w:line="360" w:lineRule="auto"/>
        <w:ind w:firstLine="709"/>
        <w:jc w:val="both"/>
        <w:rPr>
          <w:rFonts w:ascii="Times New Roman" w:hAnsi="Times New Roman"/>
          <w:bCs/>
          <w:lang w:bidi="ru-RU"/>
        </w:rPr>
      </w:pPr>
      <w:r>
        <w:rPr>
          <w:rFonts w:ascii="Times New Roman" w:hAnsi="Times New Roman"/>
          <w:bCs/>
          <w:lang w:bidi="ru-RU"/>
        </w:rPr>
        <w:t>формулировать краткосрочные и долгосрочные цели (индивидуальные с учетом участия в коллективных задачах) в стандартной (типовой) ситуации на основе предложенного формата планирования, распределения промежуточных шагов и сроков;</w:t>
      </w:r>
    </w:p>
    <w:p w14:paraId="76504023">
      <w:pPr>
        <w:widowControl/>
        <w:tabs>
          <w:tab w:val="left" w:pos="1134"/>
        </w:tabs>
        <w:spacing w:after="0" w:line="360" w:lineRule="auto"/>
        <w:ind w:firstLine="709"/>
        <w:jc w:val="both"/>
        <w:rPr>
          <w:rFonts w:ascii="Times New Roman" w:hAnsi="Times New Roman"/>
          <w:bCs/>
          <w:lang w:bidi="ru-RU"/>
        </w:rPr>
      </w:pPr>
      <w:r>
        <w:rPr>
          <w:rFonts w:ascii="Times New Roman" w:hAnsi="Times New Roman"/>
          <w:bCs/>
          <w:lang w:bidi="ru-RU"/>
        </w:rPr>
        <w:t>принимать цель совместной деятельности, коллективно выстраивать действия по ее достижению (распределять роли, договариваться, обсуждать процесс и результат совместной работы);</w:t>
      </w:r>
    </w:p>
    <w:p w14:paraId="1CF4136A">
      <w:pPr>
        <w:widowControl/>
        <w:tabs>
          <w:tab w:val="left" w:pos="1134"/>
        </w:tabs>
        <w:spacing w:after="0" w:line="360" w:lineRule="auto"/>
        <w:ind w:firstLine="709"/>
        <w:jc w:val="both"/>
        <w:rPr>
          <w:rFonts w:ascii="Times New Roman" w:hAnsi="Times New Roman"/>
          <w:bCs/>
          <w:lang w:bidi="ru-RU"/>
        </w:rPr>
      </w:pPr>
      <w:r>
        <w:rPr>
          <w:rFonts w:ascii="Times New Roman" w:hAnsi="Times New Roman"/>
          <w:bCs/>
          <w:lang w:bidi="ru-RU"/>
        </w:rPr>
        <w:t>проявлять готовность руководить, выполнять поручения, подчиняться;</w:t>
      </w:r>
    </w:p>
    <w:p w14:paraId="779DCF11">
      <w:pPr>
        <w:widowControl/>
        <w:tabs>
          <w:tab w:val="left" w:pos="1134"/>
        </w:tabs>
        <w:spacing w:after="0" w:line="360" w:lineRule="auto"/>
        <w:ind w:firstLine="709"/>
        <w:jc w:val="both"/>
        <w:rPr>
          <w:rFonts w:ascii="Times New Roman" w:hAnsi="Times New Roman"/>
          <w:bCs/>
          <w:lang w:bidi="ru-RU"/>
        </w:rPr>
      </w:pPr>
      <w:r>
        <w:rPr>
          <w:rFonts w:ascii="Times New Roman" w:hAnsi="Times New Roman"/>
          <w:bCs/>
          <w:lang w:bidi="ru-RU"/>
        </w:rPr>
        <w:t>ответственно выполнять свою часть работы;</w:t>
      </w:r>
    </w:p>
    <w:p w14:paraId="5F20B15A">
      <w:pPr>
        <w:widowControl/>
        <w:tabs>
          <w:tab w:val="left" w:pos="1134"/>
        </w:tabs>
        <w:spacing w:after="0" w:line="360" w:lineRule="auto"/>
        <w:ind w:firstLine="709"/>
        <w:jc w:val="both"/>
        <w:rPr>
          <w:rFonts w:ascii="Times New Roman" w:hAnsi="Times New Roman"/>
          <w:bCs/>
          <w:lang w:bidi="ru-RU"/>
        </w:rPr>
      </w:pPr>
      <w:r>
        <w:rPr>
          <w:rFonts w:ascii="Times New Roman" w:hAnsi="Times New Roman"/>
          <w:bCs/>
          <w:lang w:bidi="ru-RU"/>
        </w:rPr>
        <w:t>оценивать свой вклад в общий результат;</w:t>
      </w:r>
    </w:p>
    <w:p w14:paraId="0EBFA392">
      <w:pPr>
        <w:widowControl/>
        <w:tabs>
          <w:tab w:val="left" w:pos="1134"/>
        </w:tabs>
        <w:spacing w:after="0" w:line="360" w:lineRule="auto"/>
        <w:ind w:firstLine="709"/>
        <w:jc w:val="both"/>
        <w:rPr>
          <w:rFonts w:ascii="Times New Roman" w:hAnsi="Times New Roman"/>
          <w:bCs/>
          <w:lang w:bidi="ru-RU"/>
        </w:rPr>
      </w:pPr>
      <w:r>
        <w:rPr>
          <w:rFonts w:ascii="Times New Roman" w:hAnsi="Times New Roman"/>
          <w:bCs/>
          <w:lang w:bidi="ru-RU"/>
        </w:rPr>
        <w:t>выполнять совместные проектные задания по литературному чтению на родном (чувашском) языке с использованием предложенного образца.</w:t>
      </w:r>
    </w:p>
    <w:p w14:paraId="04873212">
      <w:pPr>
        <w:widowControl/>
        <w:tabs>
          <w:tab w:val="left" w:pos="1134"/>
        </w:tabs>
        <w:spacing w:after="0" w:line="360" w:lineRule="auto"/>
        <w:ind w:firstLine="709"/>
        <w:jc w:val="both"/>
        <w:rPr>
          <w:rFonts w:ascii="Times New Roman" w:hAnsi="Times New Roman"/>
          <w:b/>
          <w:bCs/>
          <w:lang w:bidi="ru-RU"/>
        </w:rPr>
      </w:pPr>
      <w:r>
        <w:rPr>
          <w:rFonts w:ascii="Times New Roman" w:hAnsi="Times New Roman"/>
          <w:bCs/>
          <w:lang w:bidi="ru-RU"/>
        </w:rPr>
        <w:t>7.10.3. Предметные результаты изучения литературного чтения на родном (чувашском) языке.</w:t>
      </w:r>
      <w:r>
        <w:rPr>
          <w:rFonts w:ascii="Times New Roman" w:hAnsi="Times New Roman"/>
          <w:b/>
          <w:bCs/>
          <w:lang w:bidi="ru-RU"/>
        </w:rPr>
        <w:t xml:space="preserve"> </w:t>
      </w:r>
      <w:r>
        <w:rPr>
          <w:rFonts w:ascii="Times New Roman" w:hAnsi="Times New Roman"/>
          <w:bCs/>
          <w:lang w:bidi="ru-RU"/>
        </w:rPr>
        <w:t>К концу обучения в 1 классе обучающийся научится:</w:t>
      </w:r>
    </w:p>
    <w:p w14:paraId="57C8C2FE">
      <w:pPr>
        <w:widowControl/>
        <w:tabs>
          <w:tab w:val="left" w:pos="1134"/>
        </w:tabs>
        <w:spacing w:after="0" w:line="360" w:lineRule="auto"/>
        <w:ind w:firstLine="709"/>
        <w:jc w:val="both"/>
        <w:rPr>
          <w:rFonts w:ascii="Times New Roman" w:hAnsi="Times New Roman"/>
          <w:bCs/>
          <w:lang w:bidi="ru-RU"/>
        </w:rPr>
      </w:pPr>
      <w:r>
        <w:rPr>
          <w:rFonts w:ascii="Times New Roman" w:hAnsi="Times New Roman"/>
          <w:bCs/>
          <w:lang w:bidi="ru-RU"/>
        </w:rPr>
        <w:t>понимать содержание речи, отвечать на вопросы по содержанию услышанного произведения, определять последовательности событий;</w:t>
      </w:r>
    </w:p>
    <w:p w14:paraId="22838F76">
      <w:pPr>
        <w:widowControl/>
        <w:tabs>
          <w:tab w:val="left" w:pos="1134"/>
        </w:tabs>
        <w:spacing w:after="0" w:line="360" w:lineRule="auto"/>
        <w:ind w:firstLine="709"/>
        <w:jc w:val="both"/>
        <w:rPr>
          <w:rFonts w:ascii="Times New Roman" w:hAnsi="Times New Roman"/>
          <w:bCs/>
          <w:lang w:bidi="ru-RU"/>
        </w:rPr>
      </w:pPr>
      <w:r>
        <w:rPr>
          <w:rFonts w:ascii="Times New Roman" w:hAnsi="Times New Roman"/>
          <w:bCs/>
          <w:lang w:bidi="ru-RU"/>
        </w:rPr>
        <w:t>соотносить услышанный текст с иллюстрациями к нему;</w:t>
      </w:r>
    </w:p>
    <w:p w14:paraId="6B7E39F0">
      <w:pPr>
        <w:widowControl/>
        <w:tabs>
          <w:tab w:val="left" w:pos="1134"/>
        </w:tabs>
        <w:spacing w:after="0" w:line="360" w:lineRule="auto"/>
        <w:ind w:firstLine="709"/>
        <w:jc w:val="both"/>
        <w:rPr>
          <w:rFonts w:ascii="Times New Roman" w:hAnsi="Times New Roman"/>
          <w:bCs/>
          <w:lang w:bidi="ru-RU"/>
        </w:rPr>
      </w:pPr>
      <w:r>
        <w:rPr>
          <w:rFonts w:ascii="Times New Roman" w:hAnsi="Times New Roman"/>
          <w:bCs/>
          <w:lang w:bidi="ru-RU"/>
        </w:rPr>
        <w:t>отвечать на вопросы по содержанию услышанного произведения;</w:t>
      </w:r>
    </w:p>
    <w:p w14:paraId="72E3D61B">
      <w:pPr>
        <w:widowControl/>
        <w:tabs>
          <w:tab w:val="left" w:pos="1134"/>
        </w:tabs>
        <w:spacing w:after="0" w:line="360" w:lineRule="auto"/>
        <w:ind w:firstLine="709"/>
        <w:jc w:val="both"/>
        <w:rPr>
          <w:rFonts w:ascii="Times New Roman" w:hAnsi="Times New Roman"/>
          <w:bCs/>
          <w:i/>
          <w:lang w:bidi="ru-RU"/>
        </w:rPr>
      </w:pPr>
      <w:r>
        <w:rPr>
          <w:rFonts w:ascii="Times New Roman" w:hAnsi="Times New Roman"/>
          <w:bCs/>
          <w:lang w:bidi="ru-RU"/>
        </w:rPr>
        <w:t>структурировать монологическое высказывание небольшого объёма с использованием авторского текста в виде ответа на вопрос;</w:t>
      </w:r>
    </w:p>
    <w:p w14:paraId="1B77A7C8">
      <w:pPr>
        <w:widowControl/>
        <w:tabs>
          <w:tab w:val="left" w:pos="1134"/>
        </w:tabs>
        <w:spacing w:after="0" w:line="360" w:lineRule="auto"/>
        <w:ind w:firstLine="709"/>
        <w:jc w:val="both"/>
        <w:rPr>
          <w:rFonts w:ascii="Times New Roman" w:hAnsi="Times New Roman"/>
          <w:bCs/>
          <w:i/>
          <w:lang w:bidi="ru-RU"/>
        </w:rPr>
      </w:pPr>
      <w:r>
        <w:rPr>
          <w:rFonts w:ascii="Times New Roman" w:hAnsi="Times New Roman"/>
          <w:bCs/>
          <w:lang w:bidi="ru-RU"/>
        </w:rPr>
        <w:t>читать по слогам с переходом к плавному осмысленному правильному чтению целыми словами вслух;</w:t>
      </w:r>
    </w:p>
    <w:p w14:paraId="66D92BCC">
      <w:pPr>
        <w:widowControl/>
        <w:tabs>
          <w:tab w:val="left" w:pos="1134"/>
        </w:tabs>
        <w:spacing w:after="0" w:line="360" w:lineRule="auto"/>
        <w:ind w:firstLine="709"/>
        <w:jc w:val="both"/>
        <w:rPr>
          <w:rFonts w:ascii="Times New Roman" w:hAnsi="Times New Roman"/>
          <w:bCs/>
          <w:i/>
          <w:lang w:bidi="ru-RU"/>
        </w:rPr>
      </w:pPr>
      <w:r>
        <w:rPr>
          <w:rFonts w:ascii="Times New Roman" w:hAnsi="Times New Roman"/>
          <w:bCs/>
          <w:lang w:bidi="ru-RU"/>
        </w:rPr>
        <w:t>отвечать письменно на вопросы по прочитанному и прослушанному произведению;</w:t>
      </w:r>
    </w:p>
    <w:p w14:paraId="7E60870B">
      <w:pPr>
        <w:widowControl/>
        <w:tabs>
          <w:tab w:val="left" w:pos="1134"/>
        </w:tabs>
        <w:spacing w:after="0" w:line="360" w:lineRule="auto"/>
        <w:ind w:firstLine="709"/>
        <w:jc w:val="both"/>
        <w:rPr>
          <w:rFonts w:ascii="Times New Roman" w:hAnsi="Times New Roman"/>
          <w:bCs/>
          <w:lang w:bidi="ru-RU"/>
        </w:rPr>
      </w:pPr>
      <w:r>
        <w:rPr>
          <w:rFonts w:ascii="Times New Roman" w:hAnsi="Times New Roman"/>
          <w:bCs/>
          <w:lang w:bidi="ru-RU"/>
        </w:rPr>
        <w:t>различать прозаическую (нестихотворную) и стихотворную речь;</w:t>
      </w:r>
    </w:p>
    <w:p w14:paraId="0DE99D22">
      <w:pPr>
        <w:widowControl/>
        <w:tabs>
          <w:tab w:val="left" w:pos="1134"/>
        </w:tabs>
        <w:spacing w:after="0" w:line="360" w:lineRule="auto"/>
        <w:ind w:firstLine="709"/>
        <w:jc w:val="both"/>
        <w:rPr>
          <w:rFonts w:ascii="Times New Roman" w:hAnsi="Times New Roman"/>
          <w:bCs/>
          <w:lang w:bidi="ru-RU"/>
        </w:rPr>
      </w:pPr>
      <w:r>
        <w:rPr>
          <w:rFonts w:ascii="Times New Roman" w:hAnsi="Times New Roman"/>
          <w:bCs/>
          <w:lang w:bidi="ru-RU"/>
        </w:rPr>
        <w:t>различать отдельные жанры фольклора (устного народного творчества) и художественной литературы (загадки, считалки, скороговорки, сказки, рассказы, стихотворения);</w:t>
      </w:r>
    </w:p>
    <w:p w14:paraId="190DDFAE">
      <w:pPr>
        <w:widowControl/>
        <w:tabs>
          <w:tab w:val="left" w:pos="1134"/>
        </w:tabs>
        <w:spacing w:after="0" w:line="360" w:lineRule="auto"/>
        <w:ind w:firstLine="709"/>
        <w:jc w:val="both"/>
        <w:rPr>
          <w:rFonts w:ascii="Times New Roman" w:hAnsi="Times New Roman"/>
          <w:bCs/>
          <w:lang w:bidi="ru-RU"/>
        </w:rPr>
      </w:pPr>
      <w:r>
        <w:rPr>
          <w:rFonts w:ascii="Times New Roman" w:hAnsi="Times New Roman"/>
          <w:bCs/>
          <w:lang w:bidi="ru-RU"/>
        </w:rPr>
        <w:t>понимать содержание прослушанного или прочитанного произведения: отвечать на вопросы по фактическому содержанию произведения;</w:t>
      </w:r>
    </w:p>
    <w:p w14:paraId="3582A31A">
      <w:pPr>
        <w:widowControl/>
        <w:tabs>
          <w:tab w:val="left" w:pos="1134"/>
        </w:tabs>
        <w:spacing w:after="0" w:line="360" w:lineRule="auto"/>
        <w:ind w:firstLine="709"/>
        <w:jc w:val="both"/>
        <w:rPr>
          <w:rFonts w:ascii="Times New Roman" w:hAnsi="Times New Roman"/>
          <w:bCs/>
          <w:lang w:bidi="ru-RU"/>
        </w:rPr>
      </w:pPr>
      <w:r>
        <w:rPr>
          <w:rFonts w:ascii="Times New Roman" w:hAnsi="Times New Roman"/>
          <w:bCs/>
          <w:lang w:bidi="ru-RU"/>
        </w:rPr>
        <w:t>владеть элементарными умениями анализа текста прослушанного или прочитанного произведения: определять последовательность событий в произведении, характеризовать поступки героя;</w:t>
      </w:r>
    </w:p>
    <w:p w14:paraId="042F6458">
      <w:pPr>
        <w:widowControl/>
        <w:tabs>
          <w:tab w:val="left" w:pos="1134"/>
        </w:tabs>
        <w:spacing w:after="0" w:line="360" w:lineRule="auto"/>
        <w:ind w:firstLine="709"/>
        <w:jc w:val="both"/>
        <w:rPr>
          <w:rFonts w:ascii="Times New Roman" w:hAnsi="Times New Roman"/>
          <w:bCs/>
          <w:lang w:bidi="ru-RU"/>
        </w:rPr>
      </w:pPr>
      <w:r>
        <w:rPr>
          <w:rFonts w:ascii="Times New Roman" w:hAnsi="Times New Roman"/>
          <w:bCs/>
          <w:lang w:bidi="ru-RU"/>
        </w:rPr>
        <w:t>участвовать в обсуждении прослушанного или прочитанного произведения: отвечать на вопросы о впечатлении от произведения;</w:t>
      </w:r>
    </w:p>
    <w:p w14:paraId="3FDE0225">
      <w:pPr>
        <w:widowControl/>
        <w:tabs>
          <w:tab w:val="left" w:pos="1134"/>
        </w:tabs>
        <w:spacing w:after="0" w:line="360" w:lineRule="auto"/>
        <w:ind w:firstLine="709"/>
        <w:jc w:val="both"/>
        <w:rPr>
          <w:rFonts w:ascii="Times New Roman" w:hAnsi="Times New Roman"/>
          <w:bCs/>
          <w:lang w:bidi="ru-RU"/>
        </w:rPr>
      </w:pPr>
      <w:r>
        <w:rPr>
          <w:rFonts w:ascii="Times New Roman" w:hAnsi="Times New Roman"/>
          <w:bCs/>
          <w:lang w:bidi="ru-RU"/>
        </w:rPr>
        <w:t>пересказывать (устно) содержание произведения с соблюдением последовательности событий, с использованием предложенных ключевых слов, вопросов, предложенного плана;</w:t>
      </w:r>
    </w:p>
    <w:p w14:paraId="21FEF24C">
      <w:pPr>
        <w:widowControl/>
        <w:tabs>
          <w:tab w:val="left" w:pos="1134"/>
        </w:tabs>
        <w:spacing w:after="0" w:line="360" w:lineRule="auto"/>
        <w:ind w:firstLine="709"/>
        <w:jc w:val="both"/>
        <w:rPr>
          <w:rFonts w:ascii="Times New Roman" w:hAnsi="Times New Roman"/>
          <w:bCs/>
          <w:lang w:bidi="ru-RU"/>
        </w:rPr>
      </w:pPr>
      <w:r>
        <w:rPr>
          <w:rFonts w:ascii="Times New Roman" w:hAnsi="Times New Roman"/>
          <w:bCs/>
          <w:lang w:bidi="ru-RU"/>
        </w:rPr>
        <w:t>читать по ролям с соблюдением норм произношения, расстановки ударения;</w:t>
      </w:r>
    </w:p>
    <w:p w14:paraId="1BC58766">
      <w:pPr>
        <w:widowControl/>
        <w:tabs>
          <w:tab w:val="left" w:pos="1134"/>
        </w:tabs>
        <w:spacing w:after="0" w:line="360" w:lineRule="auto"/>
        <w:ind w:firstLine="709"/>
        <w:jc w:val="both"/>
        <w:rPr>
          <w:rFonts w:ascii="Times New Roman" w:hAnsi="Times New Roman"/>
          <w:bCs/>
          <w:lang w:bidi="ru-RU"/>
        </w:rPr>
      </w:pPr>
      <w:r>
        <w:rPr>
          <w:rFonts w:ascii="Times New Roman" w:hAnsi="Times New Roman"/>
          <w:bCs/>
          <w:lang w:bidi="ru-RU"/>
        </w:rPr>
        <w:t>иллюстрировать отрывки произведения, пересказывать проиллюстрированный отрывок;</w:t>
      </w:r>
    </w:p>
    <w:p w14:paraId="3F590398">
      <w:pPr>
        <w:widowControl/>
        <w:tabs>
          <w:tab w:val="left" w:pos="1134"/>
        </w:tabs>
        <w:spacing w:after="0" w:line="360" w:lineRule="auto"/>
        <w:ind w:firstLine="709"/>
        <w:jc w:val="both"/>
        <w:rPr>
          <w:rFonts w:ascii="Times New Roman" w:hAnsi="Times New Roman"/>
          <w:bCs/>
          <w:lang w:bidi="ru-RU"/>
        </w:rPr>
      </w:pPr>
      <w:r>
        <w:rPr>
          <w:rFonts w:ascii="Times New Roman" w:hAnsi="Times New Roman"/>
          <w:bCs/>
          <w:lang w:bidi="ru-RU"/>
        </w:rPr>
        <w:t>ориентироваться в книге или учебнике по обложке, оглавлению, иллюстрациям;</w:t>
      </w:r>
    </w:p>
    <w:p w14:paraId="19861B31">
      <w:pPr>
        <w:widowControl/>
        <w:tabs>
          <w:tab w:val="left" w:pos="1134"/>
        </w:tabs>
        <w:spacing w:after="0" w:line="360" w:lineRule="auto"/>
        <w:ind w:firstLine="709"/>
        <w:jc w:val="both"/>
        <w:rPr>
          <w:rFonts w:ascii="Times New Roman" w:hAnsi="Times New Roman"/>
          <w:b/>
          <w:bCs/>
          <w:lang w:bidi="ru-RU"/>
        </w:rPr>
      </w:pPr>
      <w:r>
        <w:rPr>
          <w:rFonts w:ascii="Times New Roman" w:hAnsi="Times New Roman"/>
          <w:bCs/>
          <w:lang w:bidi="ru-RU"/>
        </w:rPr>
        <w:t>7.10.4. Предметные результаты изучения литературного чтения на родном (чувашском) языке. К концу обучения во 2 классе обучающийся научится:</w:t>
      </w:r>
    </w:p>
    <w:p w14:paraId="1B7514BC">
      <w:pPr>
        <w:widowControl/>
        <w:tabs>
          <w:tab w:val="left" w:pos="1134"/>
        </w:tabs>
        <w:spacing w:after="0" w:line="360" w:lineRule="auto"/>
        <w:ind w:firstLine="709"/>
        <w:jc w:val="both"/>
        <w:rPr>
          <w:rFonts w:ascii="Times New Roman" w:hAnsi="Times New Roman"/>
          <w:bCs/>
          <w:lang w:bidi="ru-RU"/>
        </w:rPr>
      </w:pPr>
      <w:r>
        <w:rPr>
          <w:rFonts w:ascii="Times New Roman" w:hAnsi="Times New Roman"/>
          <w:bCs/>
          <w:lang w:bidi="ru-RU"/>
        </w:rPr>
        <w:t>переходить от чтения вслух к чтению про себя в соответствии с учебной задачей;</w:t>
      </w:r>
    </w:p>
    <w:p w14:paraId="4E7DEC55">
      <w:pPr>
        <w:widowControl/>
        <w:tabs>
          <w:tab w:val="left" w:pos="1134"/>
        </w:tabs>
        <w:spacing w:after="0" w:line="360" w:lineRule="auto"/>
        <w:ind w:firstLine="709"/>
        <w:jc w:val="both"/>
        <w:rPr>
          <w:rFonts w:ascii="Times New Roman" w:hAnsi="Times New Roman"/>
          <w:bCs/>
          <w:lang w:bidi="ru-RU"/>
        </w:rPr>
      </w:pPr>
      <w:r>
        <w:rPr>
          <w:rFonts w:ascii="Times New Roman" w:hAnsi="Times New Roman"/>
          <w:bCs/>
          <w:lang w:bidi="ru-RU"/>
        </w:rPr>
        <w:t>читать вслух целыми словами без пропусков и перестановок букв и слогов доступные по восприятию и небольшие по объёму прозаические и стихотворные произведения;</w:t>
      </w:r>
    </w:p>
    <w:p w14:paraId="73206E2C">
      <w:pPr>
        <w:widowControl/>
        <w:tabs>
          <w:tab w:val="left" w:pos="1134"/>
        </w:tabs>
        <w:spacing w:after="0" w:line="360" w:lineRule="auto"/>
        <w:ind w:firstLine="709"/>
        <w:jc w:val="both"/>
        <w:rPr>
          <w:rFonts w:ascii="Times New Roman" w:hAnsi="Times New Roman"/>
          <w:bCs/>
          <w:lang w:bidi="ru-RU"/>
        </w:rPr>
      </w:pPr>
      <w:r>
        <w:rPr>
          <w:rFonts w:ascii="Times New Roman" w:hAnsi="Times New Roman"/>
          <w:bCs/>
          <w:lang w:bidi="ru-RU"/>
        </w:rPr>
        <w:t>понимать содержание, смысл прослушанного или прочитанного произведения: отвечать и формулировать вопросы по фактическому содержанию произведения;</w:t>
      </w:r>
    </w:p>
    <w:p w14:paraId="4FBBAE10">
      <w:pPr>
        <w:widowControl/>
        <w:tabs>
          <w:tab w:val="left" w:pos="1134"/>
        </w:tabs>
        <w:spacing w:after="0" w:line="360" w:lineRule="auto"/>
        <w:ind w:firstLine="709"/>
        <w:jc w:val="both"/>
        <w:rPr>
          <w:rFonts w:ascii="Times New Roman" w:hAnsi="Times New Roman"/>
          <w:bCs/>
          <w:lang w:bidi="ru-RU"/>
        </w:rPr>
      </w:pPr>
      <w:r>
        <w:rPr>
          <w:rFonts w:ascii="Times New Roman" w:hAnsi="Times New Roman"/>
          <w:bCs/>
          <w:lang w:bidi="ru-RU"/>
        </w:rPr>
        <w:t>строить монологическое устное и письменное речевое высказывание небольшого объёма с использованием авторского текста по предложенной теме или в виде ответа на вопросы;</w:t>
      </w:r>
    </w:p>
    <w:p w14:paraId="53D8FAB2">
      <w:pPr>
        <w:widowControl/>
        <w:tabs>
          <w:tab w:val="left" w:pos="1134"/>
        </w:tabs>
        <w:spacing w:after="0" w:line="360" w:lineRule="auto"/>
        <w:ind w:firstLine="709"/>
        <w:jc w:val="both"/>
        <w:rPr>
          <w:rFonts w:ascii="Times New Roman" w:hAnsi="Times New Roman"/>
          <w:bCs/>
          <w:lang w:bidi="ru-RU"/>
        </w:rPr>
      </w:pPr>
      <w:r>
        <w:rPr>
          <w:rFonts w:ascii="Times New Roman" w:hAnsi="Times New Roman"/>
          <w:bCs/>
          <w:lang w:bidi="ru-RU"/>
        </w:rPr>
        <w:t>различать отдельные жанры фольклора (загадки, пословицы, потешки, небылицы, народные песни, сказки о животных, бытовые и волшебные) и художественной литературы (литературные сказки, рассказы, стихотворения);</w:t>
      </w:r>
    </w:p>
    <w:p w14:paraId="06CC47A6">
      <w:pPr>
        <w:widowControl/>
        <w:tabs>
          <w:tab w:val="left" w:pos="1134"/>
        </w:tabs>
        <w:spacing w:after="0" w:line="360" w:lineRule="auto"/>
        <w:ind w:firstLine="709"/>
        <w:jc w:val="both"/>
        <w:rPr>
          <w:rFonts w:ascii="Times New Roman" w:hAnsi="Times New Roman"/>
          <w:bCs/>
          <w:lang w:bidi="ru-RU"/>
        </w:rPr>
      </w:pPr>
      <w:r>
        <w:rPr>
          <w:rFonts w:ascii="Times New Roman" w:hAnsi="Times New Roman"/>
          <w:bCs/>
          <w:lang w:bidi="ru-RU"/>
        </w:rPr>
        <w:t>различать особенности сказок разного вида (о животных, бытовые, волшебные), авторской сказки;</w:t>
      </w:r>
    </w:p>
    <w:p w14:paraId="4A4FA272">
      <w:pPr>
        <w:widowControl/>
        <w:tabs>
          <w:tab w:val="left" w:pos="1134"/>
        </w:tabs>
        <w:spacing w:after="0" w:line="360" w:lineRule="auto"/>
        <w:ind w:firstLine="709"/>
        <w:jc w:val="both"/>
        <w:rPr>
          <w:rFonts w:ascii="Times New Roman" w:hAnsi="Times New Roman"/>
          <w:bCs/>
          <w:lang w:bidi="ru-RU"/>
        </w:rPr>
      </w:pPr>
      <w:r>
        <w:rPr>
          <w:rFonts w:ascii="Times New Roman" w:hAnsi="Times New Roman"/>
          <w:bCs/>
          <w:lang w:bidi="ru-RU"/>
        </w:rPr>
        <w:t>находить в фольклоре и литературных произведениях отражение нравственных ценностей, традиций, быта, культуры разных народов, ориентироваться в нравственно-этических понятиях в контексте изученных произведений;</w:t>
      </w:r>
    </w:p>
    <w:p w14:paraId="18C1920A">
      <w:pPr>
        <w:widowControl/>
        <w:tabs>
          <w:tab w:val="left" w:pos="1134"/>
        </w:tabs>
        <w:spacing w:after="0" w:line="360" w:lineRule="auto"/>
        <w:ind w:firstLine="709"/>
        <w:jc w:val="both"/>
        <w:rPr>
          <w:rFonts w:ascii="Times New Roman" w:hAnsi="Times New Roman"/>
          <w:bCs/>
          <w:lang w:bidi="ru-RU"/>
        </w:rPr>
      </w:pPr>
      <w:r>
        <w:rPr>
          <w:rFonts w:ascii="Times New Roman" w:hAnsi="Times New Roman"/>
          <w:bCs/>
          <w:lang w:bidi="ru-RU"/>
        </w:rPr>
        <w:t>различать особенности пейзажной лирики, находить средства выразительности в описаниях природы;</w:t>
      </w:r>
    </w:p>
    <w:p w14:paraId="1149F819">
      <w:pPr>
        <w:widowControl/>
        <w:tabs>
          <w:tab w:val="left" w:pos="1134"/>
        </w:tabs>
        <w:spacing w:after="0" w:line="360" w:lineRule="auto"/>
        <w:ind w:firstLine="709"/>
        <w:jc w:val="both"/>
        <w:rPr>
          <w:rFonts w:ascii="Times New Roman" w:hAnsi="Times New Roman"/>
          <w:bCs/>
          <w:lang w:bidi="ru-RU"/>
        </w:rPr>
      </w:pPr>
      <w:r>
        <w:rPr>
          <w:rFonts w:ascii="Times New Roman" w:hAnsi="Times New Roman"/>
          <w:bCs/>
          <w:lang w:bidi="ru-RU"/>
        </w:rPr>
        <w:t>владеть элементарными умениями анализа и интерпретации текста: определять тему и главную мысль, воспроизводить последовательность событий текста произведения;</w:t>
      </w:r>
    </w:p>
    <w:p w14:paraId="5D8033F8">
      <w:pPr>
        <w:widowControl/>
        <w:tabs>
          <w:tab w:val="left" w:pos="1134"/>
        </w:tabs>
        <w:spacing w:after="0" w:line="360" w:lineRule="auto"/>
        <w:ind w:firstLine="709"/>
        <w:jc w:val="both"/>
        <w:rPr>
          <w:rFonts w:ascii="Times New Roman" w:hAnsi="Times New Roman"/>
          <w:bCs/>
          <w:lang w:bidi="ru-RU"/>
        </w:rPr>
      </w:pPr>
      <w:r>
        <w:rPr>
          <w:rFonts w:ascii="Times New Roman" w:hAnsi="Times New Roman"/>
          <w:bCs/>
          <w:lang w:bidi="ru-RU"/>
        </w:rPr>
        <w:t>описывать характер героя, находить в тексте средства изображения (портрет) героя и выражения его чувств, оценивать поступки героев произведения;</w:t>
      </w:r>
    </w:p>
    <w:p w14:paraId="796F5F25">
      <w:pPr>
        <w:widowControl/>
        <w:tabs>
          <w:tab w:val="left" w:pos="1134"/>
        </w:tabs>
        <w:spacing w:after="0" w:line="360" w:lineRule="auto"/>
        <w:ind w:firstLine="709"/>
        <w:jc w:val="both"/>
        <w:rPr>
          <w:rFonts w:ascii="Times New Roman" w:hAnsi="Times New Roman"/>
          <w:bCs/>
          <w:lang w:bidi="ru-RU"/>
        </w:rPr>
      </w:pPr>
      <w:r>
        <w:rPr>
          <w:rFonts w:ascii="Times New Roman" w:hAnsi="Times New Roman"/>
          <w:bCs/>
          <w:lang w:bidi="ru-RU"/>
        </w:rPr>
        <w:t>участвовать в обсуждении прослушанного или прочитанного произведения: формулировать устно простые выводы, подтверждать свой ответ примерами из текста;</w:t>
      </w:r>
    </w:p>
    <w:p w14:paraId="51C3DE3A">
      <w:pPr>
        <w:widowControl/>
        <w:tabs>
          <w:tab w:val="left" w:pos="1134"/>
        </w:tabs>
        <w:spacing w:after="0" w:line="360" w:lineRule="auto"/>
        <w:ind w:firstLine="709"/>
        <w:jc w:val="both"/>
        <w:rPr>
          <w:rFonts w:ascii="Times New Roman" w:hAnsi="Times New Roman"/>
          <w:bCs/>
          <w:lang w:bidi="ru-RU"/>
        </w:rPr>
      </w:pPr>
      <w:r>
        <w:rPr>
          <w:rFonts w:ascii="Times New Roman" w:hAnsi="Times New Roman"/>
          <w:bCs/>
          <w:lang w:bidi="ru-RU"/>
        </w:rPr>
        <w:t>составлять совместно план произведения, пересказывать по плану;</w:t>
      </w:r>
    </w:p>
    <w:p w14:paraId="61DE7FCC">
      <w:pPr>
        <w:widowControl/>
        <w:tabs>
          <w:tab w:val="left" w:pos="1134"/>
        </w:tabs>
        <w:spacing w:after="0" w:line="360" w:lineRule="auto"/>
        <w:ind w:firstLine="709"/>
        <w:jc w:val="both"/>
        <w:rPr>
          <w:rFonts w:ascii="Times New Roman" w:hAnsi="Times New Roman"/>
          <w:bCs/>
          <w:lang w:bidi="ru-RU"/>
        </w:rPr>
      </w:pPr>
      <w:r>
        <w:rPr>
          <w:rFonts w:ascii="Times New Roman" w:hAnsi="Times New Roman"/>
          <w:bCs/>
          <w:lang w:bidi="ru-RU"/>
        </w:rPr>
        <w:t>читать по ролям с соблюдением норм произношения, расстановки ударения, инсценировать небольшие эпизоды из произведения, совместно придумывать загадки.</w:t>
      </w:r>
    </w:p>
    <w:p w14:paraId="435B023E">
      <w:pPr>
        <w:widowControl/>
        <w:tabs>
          <w:tab w:val="left" w:pos="1134"/>
        </w:tabs>
        <w:spacing w:after="0" w:line="360" w:lineRule="auto"/>
        <w:ind w:firstLine="709"/>
        <w:jc w:val="both"/>
        <w:rPr>
          <w:rFonts w:ascii="Times New Roman" w:hAnsi="Times New Roman"/>
          <w:bCs/>
          <w:lang w:bidi="ru-RU"/>
        </w:rPr>
      </w:pPr>
      <w:r>
        <w:rPr>
          <w:rFonts w:ascii="Times New Roman" w:hAnsi="Times New Roman"/>
          <w:bCs/>
          <w:lang w:bidi="ru-RU"/>
        </w:rPr>
        <w:t>ориентироваться в книге или учебнике по обложке, оглавлению, аннотации, иллюстрациям, предисловию, условным обозначениям;</w:t>
      </w:r>
    </w:p>
    <w:p w14:paraId="79E865B3">
      <w:pPr>
        <w:widowControl/>
        <w:tabs>
          <w:tab w:val="left" w:pos="1134"/>
        </w:tabs>
        <w:spacing w:after="0" w:line="360" w:lineRule="auto"/>
        <w:ind w:firstLine="709"/>
        <w:jc w:val="both"/>
        <w:rPr>
          <w:rFonts w:ascii="Times New Roman" w:hAnsi="Times New Roman"/>
          <w:bCs/>
          <w:lang w:bidi="ru-RU"/>
        </w:rPr>
      </w:pPr>
      <w:r>
        <w:rPr>
          <w:rFonts w:ascii="Times New Roman" w:hAnsi="Times New Roman"/>
          <w:bCs/>
          <w:lang w:bidi="ru-RU"/>
        </w:rPr>
        <w:t>выбирать книги для самостоятельного чтения с учётом рекомендательного списка, используя картотеки, рассказывать о прочитанной книге.</w:t>
      </w:r>
    </w:p>
    <w:p w14:paraId="2AD43380">
      <w:pPr>
        <w:widowControl/>
        <w:tabs>
          <w:tab w:val="left" w:pos="1134"/>
        </w:tabs>
        <w:spacing w:after="0" w:line="360" w:lineRule="auto"/>
        <w:ind w:firstLine="709"/>
        <w:jc w:val="both"/>
        <w:rPr>
          <w:rFonts w:ascii="Times New Roman" w:hAnsi="Times New Roman"/>
          <w:b/>
          <w:bCs/>
          <w:lang w:bidi="ru-RU"/>
        </w:rPr>
      </w:pPr>
      <w:r>
        <w:rPr>
          <w:rFonts w:ascii="Times New Roman" w:hAnsi="Times New Roman"/>
          <w:bCs/>
          <w:lang w:bidi="ru-RU"/>
        </w:rPr>
        <w:t>7.10.5. Предметные результаты изучения литературного чтения на родном (чувашском) языке.</w:t>
      </w:r>
      <w:r>
        <w:rPr>
          <w:rFonts w:ascii="Times New Roman" w:hAnsi="Times New Roman"/>
          <w:b/>
          <w:bCs/>
          <w:lang w:bidi="ru-RU"/>
        </w:rPr>
        <w:t xml:space="preserve"> </w:t>
      </w:r>
      <w:r>
        <w:rPr>
          <w:rFonts w:ascii="Times New Roman" w:hAnsi="Times New Roman"/>
          <w:bCs/>
          <w:lang w:bidi="ru-RU"/>
        </w:rPr>
        <w:t>К концу обучения в 3 классе обучающийся научится:</w:t>
      </w:r>
    </w:p>
    <w:p w14:paraId="21B2DD9B">
      <w:pPr>
        <w:widowControl/>
        <w:tabs>
          <w:tab w:val="left" w:pos="1134"/>
        </w:tabs>
        <w:spacing w:after="0" w:line="360" w:lineRule="auto"/>
        <w:ind w:firstLine="709"/>
        <w:jc w:val="both"/>
        <w:rPr>
          <w:rFonts w:ascii="Times New Roman" w:hAnsi="Times New Roman"/>
          <w:bCs/>
          <w:lang w:bidi="ru-RU"/>
        </w:rPr>
      </w:pPr>
      <w:r>
        <w:rPr>
          <w:rFonts w:ascii="Times New Roman" w:hAnsi="Times New Roman"/>
          <w:bCs/>
          <w:lang w:bidi="ru-RU"/>
        </w:rPr>
        <w:t>читать вслух и про себя в соответствии с учебной задачей, использовать разные виды чтения;</w:t>
      </w:r>
    </w:p>
    <w:p w14:paraId="1AA35C9E">
      <w:pPr>
        <w:widowControl/>
        <w:tabs>
          <w:tab w:val="left" w:pos="1134"/>
        </w:tabs>
        <w:spacing w:after="0" w:line="360" w:lineRule="auto"/>
        <w:ind w:firstLine="709"/>
        <w:jc w:val="both"/>
        <w:rPr>
          <w:rFonts w:ascii="Times New Roman" w:hAnsi="Times New Roman"/>
          <w:bCs/>
          <w:lang w:bidi="ru-RU"/>
        </w:rPr>
      </w:pPr>
      <w:r>
        <w:rPr>
          <w:rFonts w:ascii="Times New Roman" w:hAnsi="Times New Roman"/>
          <w:bCs/>
          <w:lang w:bidi="ru-RU"/>
        </w:rPr>
        <w:t>читать наизусть не менее 3–4 стихотворений в соответствии с изученной тематикой произведений;</w:t>
      </w:r>
    </w:p>
    <w:p w14:paraId="40F77CB6">
      <w:pPr>
        <w:widowControl/>
        <w:tabs>
          <w:tab w:val="left" w:pos="1134"/>
        </w:tabs>
        <w:spacing w:after="0" w:line="360" w:lineRule="auto"/>
        <w:ind w:firstLine="709"/>
        <w:jc w:val="both"/>
        <w:rPr>
          <w:rFonts w:ascii="Times New Roman" w:hAnsi="Times New Roman"/>
          <w:bCs/>
          <w:lang w:bidi="ru-RU"/>
        </w:rPr>
      </w:pPr>
      <w:r>
        <w:rPr>
          <w:rFonts w:ascii="Times New Roman" w:hAnsi="Times New Roman"/>
          <w:bCs/>
          <w:lang w:bidi="ru-RU"/>
        </w:rPr>
        <w:t>находить в фольклоре и литературных произведениях отражение нравственных ценностей, традиций, быта, культуры разных народов, ориентироваться в нравственно-этических понятиях в контексте изученных произведений;</w:t>
      </w:r>
    </w:p>
    <w:p w14:paraId="1BBB8B6D">
      <w:pPr>
        <w:widowControl/>
        <w:tabs>
          <w:tab w:val="left" w:pos="1134"/>
        </w:tabs>
        <w:spacing w:after="0" w:line="360" w:lineRule="auto"/>
        <w:ind w:firstLine="709"/>
        <w:jc w:val="both"/>
        <w:rPr>
          <w:rFonts w:ascii="Times New Roman" w:hAnsi="Times New Roman"/>
          <w:bCs/>
          <w:lang w:bidi="ru-RU"/>
        </w:rPr>
      </w:pPr>
      <w:r>
        <w:rPr>
          <w:rFonts w:ascii="Times New Roman" w:hAnsi="Times New Roman"/>
          <w:bCs/>
          <w:lang w:bidi="ru-RU"/>
        </w:rPr>
        <w:t>различать художественные произведения и познавательные тексты;</w:t>
      </w:r>
    </w:p>
    <w:p w14:paraId="368E6784">
      <w:pPr>
        <w:widowControl/>
        <w:tabs>
          <w:tab w:val="left" w:pos="1134"/>
        </w:tabs>
        <w:spacing w:after="0" w:line="360" w:lineRule="auto"/>
        <w:ind w:firstLine="709"/>
        <w:jc w:val="both"/>
        <w:rPr>
          <w:rFonts w:ascii="Times New Roman" w:hAnsi="Times New Roman"/>
          <w:bCs/>
          <w:lang w:bidi="ru-RU"/>
        </w:rPr>
      </w:pPr>
      <w:r>
        <w:rPr>
          <w:rFonts w:ascii="Times New Roman" w:hAnsi="Times New Roman"/>
          <w:bCs/>
          <w:lang w:bidi="ru-RU"/>
        </w:rPr>
        <w:t>понимать жанровую принадлежность, содержание, смысл прослушанного или прочитанного произведения: отвечать и формулировать вопросы к учебным и художественным текстам;</w:t>
      </w:r>
    </w:p>
    <w:p w14:paraId="0E5436AB">
      <w:pPr>
        <w:widowControl/>
        <w:tabs>
          <w:tab w:val="left" w:pos="1134"/>
        </w:tabs>
        <w:spacing w:after="0" w:line="360" w:lineRule="auto"/>
        <w:ind w:firstLine="709"/>
        <w:jc w:val="both"/>
        <w:rPr>
          <w:rFonts w:ascii="Times New Roman" w:hAnsi="Times New Roman"/>
          <w:bCs/>
          <w:lang w:bidi="ru-RU"/>
        </w:rPr>
      </w:pPr>
      <w:r>
        <w:rPr>
          <w:rFonts w:ascii="Times New Roman" w:hAnsi="Times New Roman"/>
          <w:bCs/>
          <w:lang w:bidi="ru-RU"/>
        </w:rPr>
        <w:t>определять особенности отдельных жанров фольклора и художественной литературы (литературные сказки, рассказы, стихотворения, басни);</w:t>
      </w:r>
    </w:p>
    <w:p w14:paraId="7012CA0C">
      <w:pPr>
        <w:widowControl/>
        <w:tabs>
          <w:tab w:val="left" w:pos="1134"/>
        </w:tabs>
        <w:spacing w:after="0" w:line="360" w:lineRule="auto"/>
        <w:ind w:firstLine="709"/>
        <w:jc w:val="both"/>
        <w:rPr>
          <w:rFonts w:ascii="Times New Roman" w:hAnsi="Times New Roman"/>
          <w:bCs/>
          <w:lang w:bidi="ru-RU"/>
        </w:rPr>
      </w:pPr>
      <w:r>
        <w:rPr>
          <w:rFonts w:ascii="Times New Roman" w:hAnsi="Times New Roman"/>
          <w:bCs/>
          <w:lang w:bidi="ru-RU"/>
        </w:rPr>
        <w:t>владеть элементарными умениями анализа и интерпретации текста: формулировать тему и главную мысль, определять последовательность событий в тексте произведения, выявлять связь событий, эпизодов текста, составлять план текста;</w:t>
      </w:r>
    </w:p>
    <w:p w14:paraId="68CA499E">
      <w:pPr>
        <w:widowControl/>
        <w:tabs>
          <w:tab w:val="left" w:pos="1134"/>
        </w:tabs>
        <w:spacing w:after="0" w:line="360" w:lineRule="auto"/>
        <w:ind w:firstLine="709"/>
        <w:jc w:val="both"/>
        <w:rPr>
          <w:rFonts w:ascii="Times New Roman" w:hAnsi="Times New Roman"/>
          <w:bCs/>
          <w:lang w:bidi="ru-RU"/>
        </w:rPr>
      </w:pPr>
      <w:r>
        <w:rPr>
          <w:rFonts w:ascii="Times New Roman" w:hAnsi="Times New Roman"/>
          <w:bCs/>
          <w:lang w:bidi="ru-RU"/>
        </w:rPr>
        <w:t>характеризовать героев, описывать характер героя, давать оценку поступкам героев, составлять портретные характеристики персонажей. Отличать автора произведения от героя и рассказчика, характеризовать отношение автора к героям, поступкам, находить в тексте средства изображения героев (портрет), описание пейзажа и интерьера;</w:t>
      </w:r>
    </w:p>
    <w:p w14:paraId="1CB3E9EA">
      <w:pPr>
        <w:widowControl/>
        <w:tabs>
          <w:tab w:val="left" w:pos="1134"/>
        </w:tabs>
        <w:spacing w:after="0" w:line="360" w:lineRule="auto"/>
        <w:ind w:firstLine="709"/>
        <w:jc w:val="both"/>
        <w:rPr>
          <w:rFonts w:ascii="Times New Roman" w:hAnsi="Times New Roman"/>
          <w:bCs/>
          <w:lang w:bidi="ru-RU"/>
        </w:rPr>
      </w:pPr>
      <w:r>
        <w:rPr>
          <w:rFonts w:ascii="Times New Roman" w:hAnsi="Times New Roman"/>
          <w:bCs/>
          <w:lang w:bidi="ru-RU"/>
        </w:rPr>
        <w:t>находить в тексте примеры средств художественной выразительности (сравнение, эпитет, олицетворение);</w:t>
      </w:r>
    </w:p>
    <w:p w14:paraId="181459C5">
      <w:pPr>
        <w:widowControl/>
        <w:tabs>
          <w:tab w:val="left" w:pos="1134"/>
        </w:tabs>
        <w:spacing w:after="0" w:line="360" w:lineRule="auto"/>
        <w:ind w:firstLine="709"/>
        <w:jc w:val="both"/>
        <w:rPr>
          <w:rFonts w:ascii="Times New Roman" w:hAnsi="Times New Roman"/>
          <w:bCs/>
          <w:lang w:bidi="ru-RU"/>
        </w:rPr>
      </w:pPr>
      <w:r>
        <w:rPr>
          <w:rFonts w:ascii="Times New Roman" w:hAnsi="Times New Roman"/>
          <w:bCs/>
          <w:lang w:bidi="ru-RU"/>
        </w:rPr>
        <w:t>участвовать в обсуждении прослушанного или прочитанного произведения: строить монологическое высказывание, формулировать простые выводы, подтверждать свой ответ примерами из текста, использовать в беседе изученные литературные понятия;</w:t>
      </w:r>
    </w:p>
    <w:p w14:paraId="7E55E95B">
      <w:pPr>
        <w:widowControl/>
        <w:tabs>
          <w:tab w:val="left" w:pos="1134"/>
        </w:tabs>
        <w:spacing w:after="0" w:line="360" w:lineRule="auto"/>
        <w:ind w:firstLine="709"/>
        <w:jc w:val="both"/>
        <w:rPr>
          <w:rFonts w:ascii="Times New Roman" w:hAnsi="Times New Roman"/>
          <w:bCs/>
          <w:lang w:bidi="ru-RU"/>
        </w:rPr>
      </w:pPr>
      <w:r>
        <w:rPr>
          <w:rFonts w:ascii="Times New Roman" w:hAnsi="Times New Roman"/>
          <w:bCs/>
          <w:lang w:bidi="ru-RU"/>
        </w:rPr>
        <w:t>читать по ролям с соблюдением норм произношения, инсценировать небольшие эпизоды из произведения, иллюстрировать отдельные фрагменты;</w:t>
      </w:r>
    </w:p>
    <w:p w14:paraId="2A32D32B">
      <w:pPr>
        <w:widowControl/>
        <w:tabs>
          <w:tab w:val="left" w:pos="1134"/>
        </w:tabs>
        <w:spacing w:after="0" w:line="360" w:lineRule="auto"/>
        <w:ind w:firstLine="709"/>
        <w:jc w:val="both"/>
        <w:rPr>
          <w:rFonts w:ascii="Times New Roman" w:hAnsi="Times New Roman"/>
          <w:bCs/>
          <w:lang w:bidi="ru-RU"/>
        </w:rPr>
      </w:pPr>
      <w:r>
        <w:rPr>
          <w:rFonts w:ascii="Times New Roman" w:hAnsi="Times New Roman"/>
          <w:bCs/>
          <w:lang w:bidi="ru-RU"/>
        </w:rPr>
        <w:t>сочинять тексты, используя аналогии, иллюстрации, придумывать продолжение прочитанного произведения, пересказывать текст;</w:t>
      </w:r>
    </w:p>
    <w:p w14:paraId="5ECCB834">
      <w:pPr>
        <w:widowControl/>
        <w:tabs>
          <w:tab w:val="left" w:pos="1134"/>
        </w:tabs>
        <w:spacing w:after="0" w:line="360" w:lineRule="auto"/>
        <w:ind w:firstLine="709"/>
        <w:jc w:val="both"/>
        <w:rPr>
          <w:rFonts w:ascii="Times New Roman" w:hAnsi="Times New Roman"/>
          <w:bCs/>
          <w:lang w:bidi="ru-RU"/>
        </w:rPr>
      </w:pPr>
      <w:r>
        <w:rPr>
          <w:rFonts w:ascii="Times New Roman" w:hAnsi="Times New Roman"/>
          <w:bCs/>
          <w:lang w:bidi="ru-RU"/>
        </w:rPr>
        <w:t>использовать в соответствии с учебной задачей аппарат издания: обложку, оглавление, аннотацию, иллюстрации, предисловие, приложения, сноски, примечания;</w:t>
      </w:r>
    </w:p>
    <w:p w14:paraId="7599DF2C">
      <w:pPr>
        <w:widowControl/>
        <w:tabs>
          <w:tab w:val="left" w:pos="1134"/>
        </w:tabs>
        <w:spacing w:after="0" w:line="360" w:lineRule="auto"/>
        <w:ind w:firstLine="709"/>
        <w:jc w:val="both"/>
        <w:rPr>
          <w:rFonts w:ascii="Times New Roman" w:hAnsi="Times New Roman"/>
          <w:bCs/>
          <w:lang w:bidi="ru-RU"/>
        </w:rPr>
      </w:pPr>
      <w:r>
        <w:rPr>
          <w:rFonts w:ascii="Times New Roman" w:hAnsi="Times New Roman"/>
          <w:bCs/>
          <w:lang w:bidi="ru-RU"/>
        </w:rPr>
        <w:t>выбирать книги для самостоятельного чтения с учётом рекомендательного списка, используя картотеки, рассказывать о прочитанной книге;</w:t>
      </w:r>
    </w:p>
    <w:p w14:paraId="07A80392">
      <w:pPr>
        <w:widowControl/>
        <w:tabs>
          <w:tab w:val="left" w:pos="1134"/>
        </w:tabs>
        <w:spacing w:after="0" w:line="360" w:lineRule="auto"/>
        <w:ind w:firstLine="709"/>
        <w:jc w:val="both"/>
        <w:rPr>
          <w:rFonts w:ascii="Times New Roman" w:hAnsi="Times New Roman"/>
          <w:bCs/>
          <w:lang w:bidi="ru-RU"/>
        </w:rPr>
      </w:pPr>
      <w:r>
        <w:rPr>
          <w:rFonts w:ascii="Times New Roman" w:hAnsi="Times New Roman"/>
          <w:bCs/>
          <w:lang w:bidi="ru-RU"/>
        </w:rPr>
        <w:t>использовать справочные издания;</w:t>
      </w:r>
    </w:p>
    <w:p w14:paraId="7CE654F2">
      <w:pPr>
        <w:widowControl/>
        <w:tabs>
          <w:tab w:val="left" w:pos="1134"/>
        </w:tabs>
        <w:spacing w:after="0" w:line="360" w:lineRule="auto"/>
        <w:ind w:firstLine="709"/>
        <w:jc w:val="both"/>
        <w:rPr>
          <w:rFonts w:ascii="Times New Roman" w:hAnsi="Times New Roman"/>
          <w:b/>
          <w:bCs/>
          <w:lang w:bidi="ru-RU"/>
        </w:rPr>
      </w:pPr>
      <w:r>
        <w:rPr>
          <w:rFonts w:ascii="Times New Roman" w:hAnsi="Times New Roman"/>
          <w:bCs/>
          <w:lang w:bidi="ru-RU"/>
        </w:rPr>
        <w:t>7.10.6. Предметные результаты изучения литературного чтения на родном (чувашском) языке.</w:t>
      </w:r>
      <w:r>
        <w:rPr>
          <w:rFonts w:ascii="Times New Roman" w:hAnsi="Times New Roman"/>
          <w:b/>
          <w:bCs/>
          <w:lang w:bidi="ru-RU"/>
        </w:rPr>
        <w:t xml:space="preserve"> </w:t>
      </w:r>
      <w:r>
        <w:rPr>
          <w:rFonts w:ascii="Times New Roman" w:hAnsi="Times New Roman"/>
          <w:bCs/>
          <w:lang w:bidi="ru-RU"/>
        </w:rPr>
        <w:t>К концу обучения в 4 классе обучающийся научится:</w:t>
      </w:r>
    </w:p>
    <w:p w14:paraId="75E4902C">
      <w:pPr>
        <w:widowControl/>
        <w:tabs>
          <w:tab w:val="left" w:pos="1134"/>
        </w:tabs>
        <w:spacing w:after="0" w:line="360" w:lineRule="auto"/>
        <w:ind w:firstLine="709"/>
        <w:jc w:val="both"/>
        <w:rPr>
          <w:rFonts w:ascii="Times New Roman" w:hAnsi="Times New Roman"/>
          <w:bCs/>
          <w:lang w:bidi="ru-RU"/>
        </w:rPr>
      </w:pPr>
      <w:r>
        <w:rPr>
          <w:rFonts w:ascii="Times New Roman" w:hAnsi="Times New Roman"/>
          <w:bCs/>
          <w:lang w:bidi="ru-RU"/>
        </w:rPr>
        <w:t>находить в произведениях отражение нравственных ценностей, фактов бытовой и духовной культуры народов России и мира, ориентироваться в нравственно-этических понятиях в контексте изученных произведений;</w:t>
      </w:r>
    </w:p>
    <w:p w14:paraId="036B4607">
      <w:pPr>
        <w:widowControl/>
        <w:tabs>
          <w:tab w:val="left" w:pos="1134"/>
        </w:tabs>
        <w:spacing w:after="0" w:line="360" w:lineRule="auto"/>
        <w:ind w:firstLine="709"/>
        <w:jc w:val="both"/>
        <w:rPr>
          <w:rFonts w:ascii="Times New Roman" w:hAnsi="Times New Roman"/>
          <w:bCs/>
          <w:lang w:bidi="ru-RU"/>
        </w:rPr>
      </w:pPr>
      <w:r>
        <w:rPr>
          <w:rFonts w:ascii="Times New Roman" w:hAnsi="Times New Roman"/>
          <w:bCs/>
          <w:lang w:bidi="ru-RU"/>
        </w:rPr>
        <w:t>читать вслух и про себя в соответствии с учебной задачей, использовать разные виды чтения, находить в тексте необходимую информацию;</w:t>
      </w:r>
    </w:p>
    <w:p w14:paraId="6865EE73">
      <w:pPr>
        <w:widowControl/>
        <w:tabs>
          <w:tab w:val="left" w:pos="1134"/>
        </w:tabs>
        <w:spacing w:after="0" w:line="360" w:lineRule="auto"/>
        <w:ind w:firstLine="709"/>
        <w:jc w:val="both"/>
        <w:rPr>
          <w:rFonts w:ascii="Times New Roman" w:hAnsi="Times New Roman"/>
          <w:bCs/>
          <w:lang w:bidi="ru-RU"/>
        </w:rPr>
      </w:pPr>
      <w:r>
        <w:rPr>
          <w:rFonts w:ascii="Times New Roman" w:hAnsi="Times New Roman"/>
          <w:bCs/>
          <w:lang w:bidi="ru-RU"/>
        </w:rPr>
        <w:t>читать наизусть не менее 3–4 стихотворений в соответствии с изученной тематикой произведений;</w:t>
      </w:r>
    </w:p>
    <w:p w14:paraId="1B52E2E7">
      <w:pPr>
        <w:widowControl/>
        <w:tabs>
          <w:tab w:val="left" w:pos="1134"/>
        </w:tabs>
        <w:spacing w:after="0" w:line="360" w:lineRule="auto"/>
        <w:ind w:firstLine="709"/>
        <w:jc w:val="both"/>
        <w:rPr>
          <w:rFonts w:ascii="Times New Roman" w:hAnsi="Times New Roman"/>
          <w:bCs/>
          <w:lang w:bidi="ru-RU"/>
        </w:rPr>
      </w:pPr>
      <w:r>
        <w:rPr>
          <w:rFonts w:ascii="Times New Roman" w:hAnsi="Times New Roman"/>
          <w:bCs/>
          <w:lang w:bidi="ru-RU"/>
        </w:rPr>
        <w:t>различать особенности жанров художественных произведений (рассказ, повесть), художественных произведений и познавательных текстов;</w:t>
      </w:r>
    </w:p>
    <w:p w14:paraId="190727FE">
      <w:pPr>
        <w:widowControl/>
        <w:tabs>
          <w:tab w:val="left" w:pos="1134"/>
        </w:tabs>
        <w:spacing w:after="0" w:line="360" w:lineRule="auto"/>
        <w:ind w:firstLine="709"/>
        <w:jc w:val="both"/>
        <w:rPr>
          <w:rFonts w:ascii="Times New Roman" w:hAnsi="Times New Roman"/>
          <w:bCs/>
          <w:lang w:bidi="ru-RU"/>
        </w:rPr>
      </w:pPr>
      <w:r>
        <w:rPr>
          <w:rFonts w:ascii="Times New Roman" w:hAnsi="Times New Roman"/>
          <w:bCs/>
          <w:lang w:bidi="ru-RU"/>
        </w:rPr>
        <w:t>понимать жанровую принадлежность, содержание, смысл прослушанного или прочитанного произведения: отвечать и формулировать вопросы к познавательным, учебным и художественным текстам;</w:t>
      </w:r>
    </w:p>
    <w:p w14:paraId="250A93D3">
      <w:pPr>
        <w:widowControl/>
        <w:tabs>
          <w:tab w:val="left" w:pos="1134"/>
        </w:tabs>
        <w:spacing w:after="0" w:line="360" w:lineRule="auto"/>
        <w:ind w:firstLine="709"/>
        <w:jc w:val="both"/>
        <w:rPr>
          <w:rFonts w:ascii="Times New Roman" w:hAnsi="Times New Roman"/>
          <w:bCs/>
          <w:lang w:bidi="ru-RU"/>
        </w:rPr>
      </w:pPr>
      <w:r>
        <w:rPr>
          <w:rFonts w:ascii="Times New Roman" w:hAnsi="Times New Roman"/>
          <w:bCs/>
          <w:lang w:bidi="ru-RU"/>
        </w:rPr>
        <w:t>различать отдельные жанры фольклора (словесный, музыкальный, обрядовый), различать легенду как народный сказ о важном историческом событии;</w:t>
      </w:r>
    </w:p>
    <w:p w14:paraId="06B26939">
      <w:pPr>
        <w:widowControl/>
        <w:tabs>
          <w:tab w:val="left" w:pos="1134"/>
        </w:tabs>
        <w:spacing w:after="0" w:line="360" w:lineRule="auto"/>
        <w:ind w:firstLine="709"/>
        <w:jc w:val="both"/>
        <w:rPr>
          <w:rFonts w:ascii="Times New Roman" w:hAnsi="Times New Roman"/>
          <w:bCs/>
          <w:lang w:bidi="ru-RU"/>
        </w:rPr>
      </w:pPr>
      <w:r>
        <w:rPr>
          <w:rFonts w:ascii="Times New Roman" w:hAnsi="Times New Roman"/>
          <w:bCs/>
          <w:lang w:bidi="ru-RU"/>
        </w:rPr>
        <w:t>соотносить читаемый текст с жанром художественной литературы (литературные сказки, рассказы, стихотворения, басни), приводить примеры разных жанров литературы России и стран мира;</w:t>
      </w:r>
    </w:p>
    <w:p w14:paraId="570D6E0F">
      <w:pPr>
        <w:widowControl/>
        <w:tabs>
          <w:tab w:val="left" w:pos="1134"/>
        </w:tabs>
        <w:spacing w:after="0" w:line="360" w:lineRule="auto"/>
        <w:ind w:firstLine="709"/>
        <w:jc w:val="both"/>
        <w:rPr>
          <w:rFonts w:ascii="Times New Roman" w:hAnsi="Times New Roman"/>
          <w:bCs/>
          <w:lang w:bidi="ru-RU"/>
        </w:rPr>
      </w:pPr>
      <w:r>
        <w:rPr>
          <w:rFonts w:ascii="Times New Roman" w:hAnsi="Times New Roman"/>
          <w:bCs/>
          <w:lang w:bidi="ru-RU"/>
        </w:rPr>
        <w:t>воспринимать лирические произведения как описание в стихотворной форме чувств поэта, связанных с наблюдениями, описаниями природы;</w:t>
      </w:r>
    </w:p>
    <w:p w14:paraId="3957CBEB">
      <w:pPr>
        <w:widowControl/>
        <w:tabs>
          <w:tab w:val="left" w:pos="1134"/>
        </w:tabs>
        <w:spacing w:after="0" w:line="360" w:lineRule="auto"/>
        <w:ind w:firstLine="709"/>
        <w:jc w:val="both"/>
        <w:rPr>
          <w:rFonts w:ascii="Times New Roman" w:hAnsi="Times New Roman"/>
          <w:bCs/>
          <w:lang w:bidi="ru-RU"/>
        </w:rPr>
      </w:pPr>
      <w:r>
        <w:rPr>
          <w:rFonts w:ascii="Times New Roman" w:hAnsi="Times New Roman"/>
          <w:bCs/>
          <w:lang w:bidi="ru-RU"/>
        </w:rPr>
        <w:t>владеть элементарными умениями анализа и интерпретации текста: определять тему и главную мысль, последовательность событий, выявлять связь событий, отношения к ним героев;</w:t>
      </w:r>
    </w:p>
    <w:p w14:paraId="1DE498D2">
      <w:pPr>
        <w:widowControl/>
        <w:tabs>
          <w:tab w:val="left" w:pos="1134"/>
        </w:tabs>
        <w:spacing w:after="0" w:line="360" w:lineRule="auto"/>
        <w:ind w:firstLine="709"/>
        <w:jc w:val="both"/>
        <w:rPr>
          <w:rFonts w:ascii="Times New Roman" w:hAnsi="Times New Roman"/>
          <w:bCs/>
          <w:lang w:bidi="ru-RU"/>
        </w:rPr>
      </w:pPr>
      <w:r>
        <w:rPr>
          <w:rFonts w:ascii="Times New Roman" w:hAnsi="Times New Roman"/>
          <w:bCs/>
          <w:lang w:bidi="ru-RU"/>
        </w:rPr>
        <w:t>характеризовать героев, давать оценку их поступкам, составлять портретные характеристики персонажей, характеризовать собственное отношение к героям, поступкам, находить в тексте средства изображения героев и выражения их чувств;</w:t>
      </w:r>
    </w:p>
    <w:p w14:paraId="33BFE355">
      <w:pPr>
        <w:widowControl/>
        <w:tabs>
          <w:tab w:val="left" w:pos="1134"/>
        </w:tabs>
        <w:spacing w:after="0" w:line="360" w:lineRule="auto"/>
        <w:ind w:firstLine="709"/>
        <w:jc w:val="both"/>
        <w:rPr>
          <w:rFonts w:ascii="Times New Roman" w:hAnsi="Times New Roman"/>
          <w:bCs/>
          <w:lang w:bidi="ru-RU"/>
        </w:rPr>
      </w:pPr>
      <w:r>
        <w:rPr>
          <w:rFonts w:ascii="Times New Roman" w:hAnsi="Times New Roman"/>
          <w:bCs/>
          <w:lang w:bidi="ru-RU"/>
        </w:rPr>
        <w:t>находить в тексте примеры использования средства художественной выразительности (сравнение, эпитет, олицетворение, метафора), средства выразительности текста юмористического содержания (гипербола);</w:t>
      </w:r>
    </w:p>
    <w:p w14:paraId="3F6CF73D">
      <w:pPr>
        <w:widowControl/>
        <w:tabs>
          <w:tab w:val="left" w:pos="1134"/>
        </w:tabs>
        <w:spacing w:after="0" w:line="360" w:lineRule="auto"/>
        <w:ind w:firstLine="709"/>
        <w:jc w:val="both"/>
        <w:rPr>
          <w:rFonts w:ascii="Times New Roman" w:hAnsi="Times New Roman"/>
          <w:bCs/>
          <w:lang w:bidi="ru-RU"/>
        </w:rPr>
      </w:pPr>
      <w:r>
        <w:rPr>
          <w:rFonts w:ascii="Times New Roman" w:hAnsi="Times New Roman"/>
          <w:bCs/>
          <w:lang w:bidi="ru-RU"/>
        </w:rPr>
        <w:t>участвовать в обсуждении прослушанного или прочитанного произведения: строить монологическое и диалогическое высказывание, устно и письменно формулировать простые выводы, подтверждать свой ответ примерами из текста;</w:t>
      </w:r>
    </w:p>
    <w:p w14:paraId="0D0F2244">
      <w:pPr>
        <w:widowControl/>
        <w:tabs>
          <w:tab w:val="left" w:pos="1134"/>
        </w:tabs>
        <w:spacing w:after="0" w:line="360" w:lineRule="auto"/>
        <w:ind w:firstLine="709"/>
        <w:jc w:val="both"/>
        <w:rPr>
          <w:rFonts w:ascii="Times New Roman" w:hAnsi="Times New Roman"/>
          <w:bCs/>
          <w:lang w:bidi="ru-RU"/>
        </w:rPr>
      </w:pPr>
      <w:r>
        <w:rPr>
          <w:rFonts w:ascii="Times New Roman" w:hAnsi="Times New Roman"/>
          <w:bCs/>
          <w:lang w:bidi="ru-RU"/>
        </w:rPr>
        <w:t>осознанно применять изученные понятия;</w:t>
      </w:r>
    </w:p>
    <w:p w14:paraId="0774BF3E">
      <w:pPr>
        <w:widowControl/>
        <w:tabs>
          <w:tab w:val="left" w:pos="1134"/>
        </w:tabs>
        <w:spacing w:after="0" w:line="360" w:lineRule="auto"/>
        <w:ind w:firstLine="709"/>
        <w:jc w:val="both"/>
        <w:rPr>
          <w:rFonts w:ascii="Times New Roman" w:hAnsi="Times New Roman"/>
          <w:bCs/>
          <w:lang w:bidi="ru-RU"/>
        </w:rPr>
      </w:pPr>
      <w:r>
        <w:rPr>
          <w:rFonts w:ascii="Times New Roman" w:hAnsi="Times New Roman"/>
          <w:bCs/>
          <w:lang w:bidi="ru-RU"/>
        </w:rPr>
        <w:t>составлять план текста, пересказывать (устно) подробно, выборочно, сжато (кратко), от лица героя, с изменением лица рассказчика, от третьего лица;</w:t>
      </w:r>
    </w:p>
    <w:p w14:paraId="41D9AE83">
      <w:pPr>
        <w:widowControl/>
        <w:tabs>
          <w:tab w:val="left" w:pos="1134"/>
        </w:tabs>
        <w:spacing w:after="0" w:line="360" w:lineRule="auto"/>
        <w:ind w:firstLine="709"/>
        <w:jc w:val="both"/>
        <w:rPr>
          <w:rFonts w:ascii="Times New Roman" w:hAnsi="Times New Roman"/>
          <w:bCs/>
          <w:lang w:bidi="ru-RU"/>
        </w:rPr>
      </w:pPr>
      <w:r>
        <w:rPr>
          <w:rFonts w:ascii="Times New Roman" w:hAnsi="Times New Roman"/>
          <w:bCs/>
          <w:lang w:bidi="ru-RU"/>
        </w:rPr>
        <w:t>читать по ролям, сочинять по аналогии с прочитанным, составлять рассказ по иллюстрациям, корректировать собственный текст, придумывать продолжение сюжета;</w:t>
      </w:r>
    </w:p>
    <w:p w14:paraId="59BE45AF">
      <w:pPr>
        <w:widowControl/>
        <w:tabs>
          <w:tab w:val="left" w:pos="1134"/>
        </w:tabs>
        <w:spacing w:after="0" w:line="360" w:lineRule="auto"/>
        <w:ind w:firstLine="709"/>
        <w:jc w:val="both"/>
        <w:rPr>
          <w:rFonts w:ascii="Times New Roman" w:hAnsi="Times New Roman"/>
          <w:bCs/>
          <w:lang w:bidi="ru-RU"/>
        </w:rPr>
      </w:pPr>
      <w:r>
        <w:rPr>
          <w:rFonts w:ascii="Times New Roman" w:hAnsi="Times New Roman"/>
          <w:bCs/>
          <w:lang w:bidi="ru-RU"/>
        </w:rPr>
        <w:t>выбирать книги для самостоятельного чтения с учётом рекомендательного списка, используя картотеки, рассказывать о прочитанной книге;</w:t>
      </w:r>
    </w:p>
    <w:p w14:paraId="37F79161">
      <w:pPr>
        <w:widowControl/>
        <w:tabs>
          <w:tab w:val="left" w:pos="1134"/>
        </w:tabs>
        <w:spacing w:after="0" w:line="360" w:lineRule="auto"/>
        <w:ind w:firstLine="709"/>
        <w:jc w:val="both"/>
        <w:rPr>
          <w:rFonts w:ascii="Times New Roman" w:hAnsi="Times New Roman"/>
          <w:bCs/>
          <w:lang w:bidi="ru-RU"/>
        </w:rPr>
      </w:pPr>
      <w:r>
        <w:rPr>
          <w:rFonts w:ascii="Times New Roman" w:hAnsi="Times New Roman"/>
          <w:bCs/>
          <w:lang w:bidi="ru-RU"/>
        </w:rPr>
        <w:t>использовать справочную литературу, электронные образовательные и информационные ресурсы Интернета (в условиях контролируемого входа), для получения дополнительной информации в соответствии с учебной задачей.</w:t>
      </w:r>
    </w:p>
    <w:p w14:paraId="3F020861">
      <w:pPr>
        <w:pStyle w:val="2"/>
        <w:pBdr>
          <w:bottom w:val="none" w:color="auto" w:sz="0" w:space="0"/>
        </w:pBdr>
        <w:spacing w:before="0" w:line="360" w:lineRule="auto"/>
        <w:ind w:firstLine="708"/>
        <w:jc w:val="both"/>
        <w:rPr>
          <w:b w:val="0"/>
          <w:bCs/>
          <w:sz w:val="22"/>
          <w:szCs w:val="22"/>
          <w:lang w:bidi="ru-RU"/>
        </w:rPr>
      </w:pPr>
      <w:r>
        <w:rPr>
          <w:b w:val="0"/>
          <w:bCs/>
          <w:sz w:val="22"/>
          <w:szCs w:val="22"/>
          <w:lang w:bidi="ru-RU"/>
        </w:rPr>
        <w:t>8. Рабочая программа по учебному предмету «Литературное чтение на родном (чувашском) языке».</w:t>
      </w:r>
    </w:p>
    <w:p w14:paraId="11ECFA0F">
      <w:pPr>
        <w:widowControl/>
        <w:tabs>
          <w:tab w:val="left" w:pos="1134"/>
        </w:tabs>
        <w:spacing w:after="0" w:line="360" w:lineRule="auto"/>
        <w:ind w:firstLine="709"/>
        <w:jc w:val="both"/>
        <w:rPr>
          <w:rFonts w:ascii="Times New Roman" w:hAnsi="Times New Roman"/>
          <w:bCs/>
          <w:lang w:bidi="ru-RU"/>
        </w:rPr>
      </w:pPr>
      <w:r>
        <w:rPr>
          <w:rFonts w:ascii="Times New Roman" w:hAnsi="Times New Roman"/>
          <w:bCs/>
          <w:lang w:bidi="ru-RU"/>
        </w:rPr>
        <w:t xml:space="preserve">8.1. Рабочая программа по учебному предмету «Литературное чтение на родном (чувашском) языке» (предметная область «Родной язык и литературное чтение на родном языке») (далее соответственно – программа по литературному чтению на родном (чувашском) языке, литературное чтение на родном (чувашском) языке) разработана для обучающихся, слабо владеющих и (или) не владеющих родным (чувашским) языком, и включает пояснительную записку, содержание обучения, планируемые результаты освоения программы по литературному чтению на родном (чувашском) языке. </w:t>
      </w:r>
    </w:p>
    <w:p w14:paraId="439089D3">
      <w:pPr>
        <w:widowControl/>
        <w:tabs>
          <w:tab w:val="left" w:pos="1134"/>
        </w:tabs>
        <w:spacing w:after="0" w:line="360" w:lineRule="auto"/>
        <w:ind w:firstLine="709"/>
        <w:jc w:val="both"/>
        <w:rPr>
          <w:rFonts w:ascii="Times New Roman" w:hAnsi="Times New Roman"/>
          <w:bCs/>
          <w:lang w:bidi="ru-RU"/>
        </w:rPr>
      </w:pPr>
      <w:r>
        <w:rPr>
          <w:rFonts w:ascii="Times New Roman" w:hAnsi="Times New Roman"/>
          <w:bCs/>
          <w:lang w:bidi="ru-RU"/>
        </w:rPr>
        <w:t>8.2. Пояснительная записка отражает общие цели изучения литературного чтения на родном (чувашском) языке, место в структуре учебного плана, а также подходы к отбору содержания, к определению планируемых результатов.</w:t>
      </w:r>
    </w:p>
    <w:p w14:paraId="52E27AA8">
      <w:pPr>
        <w:widowControl/>
        <w:tabs>
          <w:tab w:val="left" w:pos="1134"/>
        </w:tabs>
        <w:spacing w:after="0" w:line="360" w:lineRule="auto"/>
        <w:ind w:firstLine="709"/>
        <w:jc w:val="both"/>
        <w:rPr>
          <w:rFonts w:ascii="Times New Roman" w:hAnsi="Times New Roman"/>
          <w:bCs/>
          <w:lang w:bidi="ru-RU"/>
        </w:rPr>
      </w:pPr>
      <w:r>
        <w:rPr>
          <w:rFonts w:ascii="Times New Roman" w:hAnsi="Times New Roman"/>
          <w:bCs/>
          <w:lang w:bidi="ru-RU"/>
        </w:rPr>
        <w:t xml:space="preserve">8.3. Содержание обучения раскрывает содержательные линии, которые предлагаются для обязательного изучения в каждом классе на уровне начального общего образования. </w:t>
      </w:r>
    </w:p>
    <w:p w14:paraId="0354B8F3">
      <w:pPr>
        <w:widowControl/>
        <w:tabs>
          <w:tab w:val="left" w:pos="1134"/>
        </w:tabs>
        <w:spacing w:after="0" w:line="360" w:lineRule="auto"/>
        <w:ind w:firstLine="709"/>
        <w:jc w:val="both"/>
        <w:rPr>
          <w:rFonts w:ascii="Times New Roman" w:hAnsi="Times New Roman"/>
          <w:bCs/>
          <w:lang w:bidi="ru-RU"/>
        </w:rPr>
      </w:pPr>
      <w:r>
        <w:rPr>
          <w:rFonts w:ascii="Times New Roman" w:hAnsi="Times New Roman"/>
          <w:bCs/>
          <w:lang w:bidi="ru-RU"/>
        </w:rPr>
        <w:t>8.4. Планируемые результаты освоения программы по литературному чтению на родном (чувашском) языке включают личностные, метапредметные результаты за весь период обучения на уровне начального общего образования, а также предметные результаты за каждый год обучения.</w:t>
      </w:r>
    </w:p>
    <w:p w14:paraId="69EE807F">
      <w:pPr>
        <w:widowControl/>
        <w:tabs>
          <w:tab w:val="left" w:pos="1134"/>
        </w:tabs>
        <w:spacing w:after="0" w:line="360" w:lineRule="auto"/>
        <w:ind w:firstLine="709"/>
        <w:jc w:val="both"/>
        <w:rPr>
          <w:rFonts w:ascii="Times New Roman" w:hAnsi="Times New Roman"/>
          <w:bCs/>
          <w:lang w:bidi="ru-RU"/>
        </w:rPr>
      </w:pPr>
      <w:r>
        <w:rPr>
          <w:rFonts w:ascii="Times New Roman" w:hAnsi="Times New Roman"/>
          <w:bCs/>
          <w:lang w:bidi="ru-RU"/>
        </w:rPr>
        <w:t>8.5. Пояснительная записка.</w:t>
      </w:r>
    </w:p>
    <w:p w14:paraId="65338548">
      <w:pPr>
        <w:widowControl/>
        <w:tabs>
          <w:tab w:val="left" w:pos="1134"/>
        </w:tabs>
        <w:spacing w:after="0" w:line="360" w:lineRule="auto"/>
        <w:ind w:firstLine="709"/>
        <w:jc w:val="both"/>
        <w:rPr>
          <w:rFonts w:ascii="Times New Roman" w:hAnsi="Times New Roman"/>
          <w:bCs/>
          <w:lang w:bidi="ru-RU"/>
        </w:rPr>
      </w:pPr>
      <w:r>
        <w:rPr>
          <w:rFonts w:ascii="Times New Roman" w:hAnsi="Times New Roman"/>
          <w:bCs/>
          <w:lang w:bidi="ru-RU"/>
        </w:rPr>
        <w:t>8.5.1. Программа по литературному чтению на родном (чувашском) языке на уровне начального общего образования разработана с целью оказания методической помощи учителю в создании рабочей программы по учебному предмету, ориентированной на современные тенденции в образовании и активные методики обучения.</w:t>
      </w:r>
    </w:p>
    <w:p w14:paraId="007FC9E7">
      <w:pPr>
        <w:widowControl/>
        <w:tabs>
          <w:tab w:val="left" w:pos="1134"/>
        </w:tabs>
        <w:spacing w:after="0" w:line="360" w:lineRule="auto"/>
        <w:ind w:firstLine="709"/>
        <w:jc w:val="both"/>
        <w:rPr>
          <w:rFonts w:ascii="Times New Roman" w:hAnsi="Times New Roman"/>
          <w:bCs/>
          <w:lang w:bidi="ru-RU"/>
        </w:rPr>
      </w:pPr>
      <w:r>
        <w:rPr>
          <w:rFonts w:ascii="Times New Roman" w:hAnsi="Times New Roman"/>
          <w:bCs/>
          <w:lang w:bidi="ru-RU"/>
        </w:rPr>
        <w:t>8.5.2. Чувашский язык – национальный язык чувашского народа. Чувашский литературный язык сохраняется в первую очередь в чувашской литературе, через которую осуществляется приобщение к чувашской культуре, развивается грамматически правильная речь, обогащается словарный запас, что является одним из критериев формирования развитой личности.</w:t>
      </w:r>
    </w:p>
    <w:p w14:paraId="639C6C05">
      <w:pPr>
        <w:widowControl/>
        <w:tabs>
          <w:tab w:val="left" w:pos="1134"/>
        </w:tabs>
        <w:spacing w:after="0" w:line="360" w:lineRule="auto"/>
        <w:ind w:firstLine="709"/>
        <w:jc w:val="both"/>
        <w:rPr>
          <w:rFonts w:ascii="Times New Roman" w:hAnsi="Times New Roman"/>
          <w:bCs/>
          <w:lang w:bidi="ru-RU"/>
        </w:rPr>
      </w:pPr>
      <w:r>
        <w:rPr>
          <w:rFonts w:ascii="Times New Roman" w:hAnsi="Times New Roman"/>
          <w:bCs/>
          <w:lang w:bidi="ru-RU"/>
        </w:rPr>
        <w:t>8.5.3. Литературное чтение на родном (чувашском) языке формирует первоначальные знания в сфере литературного образования. Литературное чтение на родном (чувашском) языке» имеет большое значение в духовно-нравственном воспитании обучающихся. Произведения чувашской литературы знакомят обучающихся с духовными ценностями своего народа и человечества в целом, способствуют формированию у обучающихся этнического и национального самосознания, культуры межэтнических отношений.</w:t>
      </w:r>
    </w:p>
    <w:p w14:paraId="27AF134D">
      <w:pPr>
        <w:widowControl/>
        <w:tabs>
          <w:tab w:val="left" w:pos="1134"/>
        </w:tabs>
        <w:spacing w:after="0" w:line="360" w:lineRule="auto"/>
        <w:ind w:firstLine="709"/>
        <w:jc w:val="both"/>
        <w:rPr>
          <w:rFonts w:ascii="Times New Roman" w:hAnsi="Times New Roman"/>
          <w:bCs/>
          <w:lang w:bidi="ru-RU"/>
        </w:rPr>
      </w:pPr>
      <w:r>
        <w:rPr>
          <w:rFonts w:ascii="Times New Roman" w:hAnsi="Times New Roman"/>
          <w:bCs/>
          <w:lang w:bidi="ru-RU"/>
        </w:rPr>
        <w:t xml:space="preserve">8.5.4. Включенность литературного чтения на родном (чувашском) языке в общую систему начального общего образования обеспечивается содержательными связями с другими учебными предметами. </w:t>
      </w:r>
    </w:p>
    <w:p w14:paraId="404C5B1D">
      <w:pPr>
        <w:widowControl/>
        <w:tabs>
          <w:tab w:val="left" w:pos="1134"/>
        </w:tabs>
        <w:spacing w:after="0" w:line="360" w:lineRule="auto"/>
        <w:ind w:firstLine="709"/>
        <w:jc w:val="both"/>
        <w:rPr>
          <w:rFonts w:ascii="Times New Roman" w:hAnsi="Times New Roman"/>
          <w:bCs/>
          <w:lang w:bidi="ru-RU"/>
        </w:rPr>
      </w:pPr>
      <w:r>
        <w:rPr>
          <w:rFonts w:ascii="Times New Roman" w:hAnsi="Times New Roman"/>
          <w:bCs/>
          <w:lang w:bidi="ru-RU"/>
        </w:rPr>
        <w:t xml:space="preserve">В плане повышения уровня владения родной речью, обогащения словарного запаса на родном языке, формирования функциональной грамотности литературное чтение на родном (чувашском) языке» тесно связано с учебным предметом «Родной (чувашский) язык». </w:t>
      </w:r>
    </w:p>
    <w:p w14:paraId="747ACE19">
      <w:pPr>
        <w:widowControl/>
        <w:tabs>
          <w:tab w:val="left" w:pos="1134"/>
        </w:tabs>
        <w:spacing w:after="0" w:line="360" w:lineRule="auto"/>
        <w:ind w:firstLine="709"/>
        <w:jc w:val="both"/>
        <w:rPr>
          <w:rFonts w:ascii="Times New Roman" w:hAnsi="Times New Roman"/>
          <w:bCs/>
          <w:lang w:bidi="ru-RU"/>
        </w:rPr>
      </w:pPr>
      <w:r>
        <w:rPr>
          <w:rFonts w:ascii="Times New Roman" w:hAnsi="Times New Roman"/>
          <w:bCs/>
          <w:lang w:bidi="ru-RU"/>
        </w:rPr>
        <w:t xml:space="preserve">Особенности, связанные с условиями двуязычия и бикультурности в Чувашской Республике, определяют линию связи литературного чтения на родном (чувашском) языке» с учебными предметами «Русский язык» и «Литературное чтение», что реализует возможность выхода на диалог русской и чувашской литератур и культур. </w:t>
      </w:r>
    </w:p>
    <w:p w14:paraId="4DACD41D">
      <w:pPr>
        <w:widowControl/>
        <w:tabs>
          <w:tab w:val="left" w:pos="1134"/>
        </w:tabs>
        <w:spacing w:after="0" w:line="360" w:lineRule="auto"/>
        <w:ind w:firstLine="709"/>
        <w:jc w:val="both"/>
        <w:rPr>
          <w:rFonts w:ascii="Times New Roman" w:hAnsi="Times New Roman"/>
          <w:bCs/>
          <w:lang w:bidi="ru-RU"/>
        </w:rPr>
      </w:pPr>
      <w:r>
        <w:rPr>
          <w:rFonts w:ascii="Times New Roman" w:hAnsi="Times New Roman"/>
          <w:bCs/>
          <w:lang w:bidi="ru-RU"/>
        </w:rPr>
        <w:t>Социализации личности, её речевому и духовному развитию способствуют связи с учебными предметами «Изобразительное искусство», «Музыка», «Окружающий мир».</w:t>
      </w:r>
    </w:p>
    <w:p w14:paraId="20E62E1A">
      <w:pPr>
        <w:widowControl/>
        <w:tabs>
          <w:tab w:val="left" w:pos="1134"/>
        </w:tabs>
        <w:spacing w:after="0" w:line="360" w:lineRule="auto"/>
        <w:ind w:firstLine="709"/>
        <w:jc w:val="both"/>
        <w:rPr>
          <w:rFonts w:ascii="Times New Roman" w:hAnsi="Times New Roman"/>
          <w:bCs/>
          <w:lang w:bidi="ru-RU"/>
        </w:rPr>
      </w:pPr>
      <w:r>
        <w:rPr>
          <w:rFonts w:ascii="Times New Roman" w:hAnsi="Times New Roman"/>
          <w:bCs/>
          <w:lang w:bidi="ru-RU"/>
        </w:rPr>
        <w:t xml:space="preserve">8.5.5. В содержание программы по литературному чтению на родном (чувашском) языке выделяются следующие содержательные линии: </w:t>
      </w:r>
    </w:p>
    <w:p w14:paraId="0FDE8FDC">
      <w:pPr>
        <w:widowControl/>
        <w:tabs>
          <w:tab w:val="left" w:pos="1134"/>
        </w:tabs>
        <w:spacing w:after="0" w:line="360" w:lineRule="auto"/>
        <w:ind w:firstLine="709"/>
        <w:jc w:val="both"/>
        <w:rPr>
          <w:rFonts w:ascii="Times New Roman" w:hAnsi="Times New Roman"/>
          <w:bCs/>
          <w:lang w:bidi="ru-RU"/>
        </w:rPr>
      </w:pPr>
      <w:r>
        <w:rPr>
          <w:rFonts w:ascii="Times New Roman" w:hAnsi="Times New Roman"/>
          <w:bCs/>
          <w:lang w:bidi="ru-RU"/>
        </w:rPr>
        <w:t>развитие речи;</w:t>
      </w:r>
    </w:p>
    <w:p w14:paraId="5D357BA2">
      <w:pPr>
        <w:widowControl/>
        <w:tabs>
          <w:tab w:val="left" w:pos="1134"/>
        </w:tabs>
        <w:spacing w:after="0" w:line="360" w:lineRule="auto"/>
        <w:ind w:firstLine="709"/>
        <w:jc w:val="both"/>
        <w:rPr>
          <w:rFonts w:ascii="Times New Roman" w:hAnsi="Times New Roman"/>
          <w:bCs/>
          <w:lang w:bidi="ru-RU"/>
        </w:rPr>
      </w:pPr>
      <w:r>
        <w:rPr>
          <w:rFonts w:ascii="Times New Roman" w:hAnsi="Times New Roman"/>
          <w:bCs/>
          <w:lang w:bidi="ru-RU"/>
        </w:rPr>
        <w:t>литературоведческая пропедевтика;</w:t>
      </w:r>
    </w:p>
    <w:p w14:paraId="7D067F9C">
      <w:pPr>
        <w:widowControl/>
        <w:tabs>
          <w:tab w:val="left" w:pos="1134"/>
        </w:tabs>
        <w:spacing w:after="0" w:line="360" w:lineRule="auto"/>
        <w:ind w:firstLine="709"/>
        <w:jc w:val="both"/>
        <w:rPr>
          <w:rFonts w:ascii="Times New Roman" w:hAnsi="Times New Roman"/>
          <w:bCs/>
          <w:lang w:bidi="ru-RU"/>
        </w:rPr>
      </w:pPr>
      <w:r>
        <w:rPr>
          <w:rFonts w:ascii="Times New Roman" w:hAnsi="Times New Roman"/>
          <w:bCs/>
          <w:lang w:bidi="ru-RU"/>
        </w:rPr>
        <w:t>творческая деятельность обучающихся;</w:t>
      </w:r>
    </w:p>
    <w:p w14:paraId="6286797D">
      <w:pPr>
        <w:widowControl/>
        <w:tabs>
          <w:tab w:val="left" w:pos="1134"/>
        </w:tabs>
        <w:spacing w:after="0" w:line="360" w:lineRule="auto"/>
        <w:ind w:firstLine="709"/>
        <w:jc w:val="both"/>
        <w:rPr>
          <w:rFonts w:ascii="Times New Roman" w:hAnsi="Times New Roman"/>
          <w:bCs/>
          <w:lang w:bidi="ru-RU"/>
        </w:rPr>
      </w:pPr>
      <w:r>
        <w:rPr>
          <w:rFonts w:ascii="Times New Roman" w:hAnsi="Times New Roman"/>
          <w:bCs/>
          <w:lang w:bidi="ru-RU"/>
        </w:rPr>
        <w:t>круг детского чтения.</w:t>
      </w:r>
    </w:p>
    <w:p w14:paraId="761E4596">
      <w:pPr>
        <w:widowControl/>
        <w:tabs>
          <w:tab w:val="left" w:pos="1134"/>
        </w:tabs>
        <w:spacing w:after="0" w:line="360" w:lineRule="auto"/>
        <w:ind w:firstLine="709"/>
        <w:jc w:val="both"/>
        <w:rPr>
          <w:rFonts w:ascii="Times New Roman" w:hAnsi="Times New Roman"/>
          <w:bCs/>
          <w:lang w:bidi="ru-RU"/>
        </w:rPr>
      </w:pPr>
      <w:r>
        <w:rPr>
          <w:rFonts w:ascii="Times New Roman" w:hAnsi="Times New Roman"/>
          <w:bCs/>
          <w:lang w:bidi="ru-RU"/>
        </w:rPr>
        <w:t>8.5.6. Содержание учебного предмета обеспечивает развитие навыков аудирования, говорения, чтения и письма в их единстве, формирует культуру общения, включает работу с разными видами текстов, определяет круг литературоведческих понятий, обеспечивает первоначальное ознакомление с родами и жанрами литературы, средствами выразительности языка. Изучение литературного чтения на родном (чувашском) языке направлено на развитие у обучающихся навыков интерпретации литературных произведений, ролевого чтения художественных текстов, драматизации, написания сочинений.</w:t>
      </w:r>
    </w:p>
    <w:p w14:paraId="6932E398">
      <w:pPr>
        <w:widowControl/>
        <w:tabs>
          <w:tab w:val="left" w:pos="1134"/>
        </w:tabs>
        <w:spacing w:after="0" w:line="360" w:lineRule="auto"/>
        <w:ind w:firstLine="709"/>
        <w:jc w:val="both"/>
        <w:rPr>
          <w:rFonts w:ascii="Times New Roman" w:hAnsi="Times New Roman"/>
          <w:bCs/>
          <w:lang w:bidi="ru-RU"/>
        </w:rPr>
      </w:pPr>
      <w:r>
        <w:rPr>
          <w:rFonts w:ascii="Times New Roman" w:hAnsi="Times New Roman"/>
          <w:bCs/>
          <w:lang w:bidi="ru-RU"/>
        </w:rPr>
        <w:t xml:space="preserve">8.5.7. В содержание учебного предмета включены художественные, научно-популярные тексты для чтения, обеспечивающие формирование устойчивого интереса к самостоятельной читательской деятельности и читательских предпочтений обучающихся, приобщение обучающихся к этнокультурным ценностям, формирование ценностных ориентаций и первоначальных этических представлений о добре и зле, традициях чувашского народа как фундаменте духовно-нравственного развития. В круг детского чтения входят произведения устного народного творчества: малые жанры фольклора (считалки, поговорки, пословицы, загадки), народные сказки (о животных, бытовые, волшебные), произведения классиков чувашской литературы, а также современной отечественной литературы. </w:t>
      </w:r>
    </w:p>
    <w:p w14:paraId="0A8D5FED">
      <w:pPr>
        <w:widowControl/>
        <w:tabs>
          <w:tab w:val="left" w:pos="1134"/>
        </w:tabs>
        <w:spacing w:after="0" w:line="360" w:lineRule="auto"/>
        <w:ind w:firstLine="709"/>
        <w:jc w:val="both"/>
        <w:rPr>
          <w:rFonts w:ascii="Times New Roman" w:hAnsi="Times New Roman"/>
          <w:bCs/>
          <w:lang w:bidi="ru-RU"/>
        </w:rPr>
      </w:pPr>
      <w:r>
        <w:rPr>
          <w:rFonts w:ascii="Times New Roman" w:hAnsi="Times New Roman"/>
          <w:bCs/>
          <w:lang w:bidi="ru-RU"/>
        </w:rPr>
        <w:t>8.5.8. Изучение произведений построено на основе проблемно-тематического принципа. Основные темы произведений перекликаются с лексическими темами уроков родного (чувашского) языка.</w:t>
      </w:r>
    </w:p>
    <w:p w14:paraId="6D93F632">
      <w:pPr>
        <w:widowControl/>
        <w:tabs>
          <w:tab w:val="left" w:pos="1134"/>
        </w:tabs>
        <w:spacing w:after="0" w:line="360" w:lineRule="auto"/>
        <w:ind w:firstLine="709"/>
        <w:jc w:val="both"/>
        <w:rPr>
          <w:rFonts w:ascii="Times New Roman" w:hAnsi="Times New Roman"/>
          <w:bCs/>
          <w:lang w:bidi="ru-RU"/>
        </w:rPr>
      </w:pPr>
      <w:r>
        <w:rPr>
          <w:rFonts w:ascii="Times New Roman" w:hAnsi="Times New Roman"/>
          <w:bCs/>
          <w:lang w:bidi="ru-RU"/>
        </w:rPr>
        <w:t>8.5.9. Изучение литературного чтения на родном (чувашском) языке направлено на достижение следующих целей:</w:t>
      </w:r>
    </w:p>
    <w:p w14:paraId="4B75B2A9">
      <w:pPr>
        <w:widowControl/>
        <w:tabs>
          <w:tab w:val="left" w:pos="1134"/>
        </w:tabs>
        <w:spacing w:after="0" w:line="360" w:lineRule="auto"/>
        <w:ind w:firstLine="709"/>
        <w:jc w:val="both"/>
        <w:rPr>
          <w:rFonts w:ascii="Times New Roman" w:hAnsi="Times New Roman"/>
          <w:bCs/>
          <w:lang w:bidi="ru-RU"/>
        </w:rPr>
      </w:pPr>
      <w:r>
        <w:rPr>
          <w:rFonts w:ascii="Times New Roman" w:hAnsi="Times New Roman"/>
          <w:bCs/>
          <w:lang w:bidi="ru-RU"/>
        </w:rPr>
        <w:t>формирование грамотного читателя, способного самостоятельно выбирать книги и пользоваться библиотекой, ориентируясь на собственные предпочтения и поставленные учебные задачи, использовать свою читательскую деятельность как средство для самообразования.</w:t>
      </w:r>
    </w:p>
    <w:p w14:paraId="1F825FBB">
      <w:pPr>
        <w:widowControl/>
        <w:tabs>
          <w:tab w:val="left" w:pos="1134"/>
        </w:tabs>
        <w:spacing w:after="0" w:line="360" w:lineRule="auto"/>
        <w:ind w:firstLine="709"/>
        <w:jc w:val="both"/>
        <w:rPr>
          <w:rFonts w:ascii="Times New Roman" w:hAnsi="Times New Roman"/>
          <w:bCs/>
          <w:lang w:bidi="ru-RU"/>
        </w:rPr>
      </w:pPr>
      <w:r>
        <w:rPr>
          <w:rFonts w:ascii="Times New Roman" w:hAnsi="Times New Roman"/>
          <w:bCs/>
          <w:lang w:bidi="ru-RU"/>
        </w:rPr>
        <w:t>формирование навыка правильного, осознанного, беглого, выразительного чтения на чувашском языке, умения работать с текстом, развитие интереса к процессу чтения, потребности читать на чувашском языке;</w:t>
      </w:r>
    </w:p>
    <w:p w14:paraId="2CB623B1">
      <w:pPr>
        <w:widowControl/>
        <w:tabs>
          <w:tab w:val="left" w:pos="1134"/>
        </w:tabs>
        <w:spacing w:after="0" w:line="360" w:lineRule="auto"/>
        <w:ind w:firstLine="709"/>
        <w:jc w:val="both"/>
        <w:rPr>
          <w:rFonts w:ascii="Times New Roman" w:hAnsi="Times New Roman"/>
          <w:bCs/>
          <w:lang w:bidi="ru-RU"/>
        </w:rPr>
      </w:pPr>
      <w:r>
        <w:rPr>
          <w:rFonts w:ascii="Times New Roman" w:hAnsi="Times New Roman"/>
          <w:bCs/>
          <w:lang w:bidi="ru-RU"/>
        </w:rPr>
        <w:t>формирование понимания художественного произведения как особого вида искусства, его ценности, умения анализировать художественное произведение, определять средства выразительности, развитие творческих и познавательных способностей, эмоциональной отзывчивости при чтении художественных произведений;</w:t>
      </w:r>
    </w:p>
    <w:p w14:paraId="6360612F">
      <w:pPr>
        <w:widowControl/>
        <w:tabs>
          <w:tab w:val="left" w:pos="1134"/>
        </w:tabs>
        <w:spacing w:after="0" w:line="360" w:lineRule="auto"/>
        <w:ind w:firstLine="709"/>
        <w:jc w:val="both"/>
        <w:rPr>
          <w:rFonts w:ascii="Times New Roman" w:hAnsi="Times New Roman"/>
          <w:bCs/>
          <w:lang w:bidi="ru-RU"/>
        </w:rPr>
      </w:pPr>
      <w:r>
        <w:rPr>
          <w:rFonts w:ascii="Times New Roman" w:hAnsi="Times New Roman"/>
          <w:bCs/>
          <w:lang w:bidi="ru-RU"/>
        </w:rPr>
        <w:t>воспитание у обучающихся любви к родному слову, формирование чувства патриотизма, интереса к истории, культуре, традициям, искусству чувашского народа, обогащение нравственного опыта обучающихся через чтение произведений художественной литературы.</w:t>
      </w:r>
    </w:p>
    <w:p w14:paraId="273D66F2">
      <w:pPr>
        <w:widowControl/>
        <w:tabs>
          <w:tab w:val="left" w:pos="1134"/>
        </w:tabs>
        <w:spacing w:after="0" w:line="360" w:lineRule="auto"/>
        <w:ind w:firstLine="709"/>
        <w:jc w:val="both"/>
        <w:rPr>
          <w:rFonts w:ascii="Times New Roman" w:hAnsi="Times New Roman"/>
          <w:bCs/>
          <w:lang w:bidi="ru-RU"/>
        </w:rPr>
      </w:pPr>
      <w:r>
        <w:rPr>
          <w:rFonts w:ascii="Times New Roman" w:hAnsi="Times New Roman"/>
          <w:bCs/>
          <w:lang w:bidi="ru-RU"/>
        </w:rPr>
        <w:t>8.5.10. Общее число часов, рекомендованных для изучения литературного чтения на родном (чувашском) языке, – 95 часов: в 1 классе – 10 часов (1 час в неделю), во 2 классе – 34 часа (1 час в неделю), в 3 классе – 34 часа (1 час в неделю), в 4 классе – 17 часов (0,5 час в неделю).</w:t>
      </w:r>
    </w:p>
    <w:p w14:paraId="064DB9DE">
      <w:pPr>
        <w:widowControl/>
        <w:tabs>
          <w:tab w:val="left" w:pos="1134"/>
        </w:tabs>
        <w:spacing w:after="0" w:line="360" w:lineRule="auto"/>
        <w:ind w:firstLine="709"/>
        <w:jc w:val="both"/>
        <w:rPr>
          <w:rFonts w:ascii="Times New Roman" w:hAnsi="Times New Roman"/>
          <w:bCs/>
          <w:lang w:bidi="ru-RU"/>
        </w:rPr>
      </w:pPr>
      <w:r>
        <w:rPr>
          <w:rFonts w:ascii="Times New Roman" w:hAnsi="Times New Roman"/>
        </w:rPr>
        <w:t>Возможна корректировка общего числа часов, рекомендованных для изучения предмета, с учетом индивидуального подхода образовательных организаций к выбору литературного чтения на родном (чувашском) языке, в рамках соблюдения гигиенических нормативов к недельной образовательной нагрузке.</w:t>
      </w:r>
    </w:p>
    <w:p w14:paraId="330514F9">
      <w:pPr>
        <w:widowControl/>
        <w:tabs>
          <w:tab w:val="left" w:pos="1134"/>
        </w:tabs>
        <w:spacing w:after="0" w:line="360" w:lineRule="auto"/>
        <w:ind w:firstLine="709"/>
        <w:jc w:val="both"/>
        <w:rPr>
          <w:rFonts w:ascii="Times New Roman" w:hAnsi="Times New Roman"/>
          <w:bCs/>
          <w:lang w:bidi="ru-RU"/>
        </w:rPr>
      </w:pPr>
      <w:r>
        <w:rPr>
          <w:rFonts w:ascii="Times New Roman" w:hAnsi="Times New Roman"/>
          <w:bCs/>
          <w:lang w:bidi="ru-RU"/>
        </w:rPr>
        <w:t>8.6. Содержание обучения в 1 классе.</w:t>
      </w:r>
    </w:p>
    <w:p w14:paraId="52CDF6AD">
      <w:pPr>
        <w:widowControl/>
        <w:tabs>
          <w:tab w:val="left" w:pos="1134"/>
        </w:tabs>
        <w:spacing w:after="0" w:line="360" w:lineRule="auto"/>
        <w:ind w:firstLine="709"/>
        <w:jc w:val="both"/>
        <w:rPr>
          <w:rFonts w:ascii="Times New Roman" w:hAnsi="Times New Roman"/>
          <w:bCs/>
          <w:lang w:bidi="ru-RU"/>
        </w:rPr>
      </w:pPr>
      <w:r>
        <w:rPr>
          <w:rFonts w:ascii="Times New Roman" w:hAnsi="Times New Roman"/>
          <w:bCs/>
          <w:lang w:bidi="ru-RU"/>
        </w:rPr>
        <w:t>8.6.1. Развитие речи.</w:t>
      </w:r>
    </w:p>
    <w:p w14:paraId="1EE863EB">
      <w:pPr>
        <w:widowControl/>
        <w:tabs>
          <w:tab w:val="left" w:pos="1134"/>
        </w:tabs>
        <w:spacing w:after="0" w:line="360" w:lineRule="auto"/>
        <w:ind w:firstLine="709"/>
        <w:jc w:val="both"/>
        <w:rPr>
          <w:rFonts w:ascii="Times New Roman" w:hAnsi="Times New Roman"/>
          <w:bCs/>
          <w:lang w:bidi="ru-RU"/>
        </w:rPr>
      </w:pPr>
      <w:r>
        <w:rPr>
          <w:rFonts w:ascii="Times New Roman" w:hAnsi="Times New Roman"/>
          <w:bCs/>
          <w:lang w:bidi="ru-RU"/>
        </w:rPr>
        <w:t>8.6.1.1. Аудирование.</w:t>
      </w:r>
    </w:p>
    <w:p w14:paraId="616C6297">
      <w:pPr>
        <w:widowControl/>
        <w:tabs>
          <w:tab w:val="left" w:pos="1134"/>
        </w:tabs>
        <w:spacing w:after="0" w:line="360" w:lineRule="auto"/>
        <w:ind w:firstLine="709"/>
        <w:jc w:val="both"/>
        <w:rPr>
          <w:rFonts w:ascii="Times New Roman" w:hAnsi="Times New Roman"/>
          <w:bCs/>
          <w:lang w:bidi="ru-RU"/>
        </w:rPr>
      </w:pPr>
      <w:r>
        <w:rPr>
          <w:rFonts w:ascii="Times New Roman" w:hAnsi="Times New Roman"/>
          <w:bCs/>
          <w:lang w:bidi="ru-RU"/>
        </w:rPr>
        <w:t>Восприятие на слух и понимание звучащей чувашской речи: прочитанного учителем небольшого текста, вопросов, адресованных себе.</w:t>
      </w:r>
    </w:p>
    <w:p w14:paraId="119ACD0A">
      <w:pPr>
        <w:widowControl/>
        <w:tabs>
          <w:tab w:val="left" w:pos="1134"/>
        </w:tabs>
        <w:spacing w:after="0" w:line="360" w:lineRule="auto"/>
        <w:ind w:firstLine="709"/>
        <w:jc w:val="both"/>
        <w:rPr>
          <w:rFonts w:ascii="Times New Roman" w:hAnsi="Times New Roman"/>
          <w:bCs/>
          <w:lang w:bidi="ru-RU"/>
        </w:rPr>
      </w:pPr>
      <w:r>
        <w:rPr>
          <w:rFonts w:ascii="Times New Roman" w:hAnsi="Times New Roman"/>
          <w:bCs/>
          <w:lang w:bidi="ru-RU"/>
        </w:rPr>
        <w:t>8.6.1.2. Чтение.</w:t>
      </w:r>
    </w:p>
    <w:p w14:paraId="78689867">
      <w:pPr>
        <w:widowControl/>
        <w:tabs>
          <w:tab w:val="left" w:pos="1134"/>
        </w:tabs>
        <w:spacing w:after="0" w:line="360" w:lineRule="auto"/>
        <w:ind w:firstLine="709"/>
        <w:jc w:val="both"/>
        <w:rPr>
          <w:rFonts w:ascii="Times New Roman" w:hAnsi="Times New Roman"/>
          <w:bCs/>
          <w:lang w:bidi="ru-RU"/>
        </w:rPr>
      </w:pPr>
      <w:r>
        <w:rPr>
          <w:rFonts w:ascii="Times New Roman" w:hAnsi="Times New Roman"/>
          <w:bCs/>
          <w:lang w:bidi="ru-RU"/>
        </w:rPr>
        <w:t>Чтение вслух по слогам и целыми словами небольших отрывков из художественных произведений (скорость чтения в соответствии с индивидуальным темпом). Выразительное чтение художественного текста.</w:t>
      </w:r>
    </w:p>
    <w:p w14:paraId="6C0BFDD6">
      <w:pPr>
        <w:widowControl/>
        <w:tabs>
          <w:tab w:val="left" w:pos="1134"/>
        </w:tabs>
        <w:spacing w:after="0" w:line="360" w:lineRule="auto"/>
        <w:ind w:firstLine="709"/>
        <w:jc w:val="both"/>
        <w:rPr>
          <w:rFonts w:ascii="Times New Roman" w:hAnsi="Times New Roman"/>
          <w:bCs/>
          <w:lang w:bidi="ru-RU"/>
        </w:rPr>
      </w:pPr>
      <w:r>
        <w:rPr>
          <w:rFonts w:ascii="Times New Roman" w:hAnsi="Times New Roman"/>
          <w:bCs/>
          <w:lang w:bidi="ru-RU"/>
        </w:rPr>
        <w:t>8.6.1.3. Говорение.</w:t>
      </w:r>
    </w:p>
    <w:p w14:paraId="6F2FDF7D">
      <w:pPr>
        <w:widowControl/>
        <w:tabs>
          <w:tab w:val="left" w:pos="1134"/>
        </w:tabs>
        <w:spacing w:after="0" w:line="360" w:lineRule="auto"/>
        <w:ind w:firstLine="709"/>
        <w:jc w:val="both"/>
        <w:rPr>
          <w:rFonts w:ascii="Times New Roman" w:hAnsi="Times New Roman"/>
          <w:bCs/>
          <w:lang w:bidi="ru-RU"/>
        </w:rPr>
      </w:pPr>
      <w:r>
        <w:rPr>
          <w:rFonts w:ascii="Times New Roman" w:hAnsi="Times New Roman"/>
          <w:bCs/>
          <w:lang w:bidi="ru-RU"/>
        </w:rPr>
        <w:t>Ответы на вопросы в устной форме. Составление устных высказываний (2–3 предложения) на заданную тему по образцу (на основе прочитанного или прослушанного произведения). Устное составление небольшого текста (2–3 предложения) по сюжетным картинкам и наблюдениям. Устная характеристика литературного героя. Чтение наизусть 1–2 стихотворений разных авторов.</w:t>
      </w:r>
    </w:p>
    <w:p w14:paraId="103546A1">
      <w:pPr>
        <w:widowControl/>
        <w:tabs>
          <w:tab w:val="left" w:pos="1134"/>
        </w:tabs>
        <w:spacing w:after="0" w:line="360" w:lineRule="auto"/>
        <w:ind w:firstLine="709"/>
        <w:jc w:val="both"/>
        <w:rPr>
          <w:rFonts w:ascii="Times New Roman" w:hAnsi="Times New Roman"/>
          <w:bCs/>
          <w:lang w:bidi="ru-RU"/>
        </w:rPr>
      </w:pPr>
      <w:r>
        <w:rPr>
          <w:rFonts w:ascii="Times New Roman" w:hAnsi="Times New Roman"/>
          <w:bCs/>
          <w:lang w:bidi="ru-RU"/>
        </w:rPr>
        <w:t>8.6.2. Литературоведческая пропедевтика.</w:t>
      </w:r>
    </w:p>
    <w:p w14:paraId="4CC45F7B">
      <w:pPr>
        <w:widowControl/>
        <w:tabs>
          <w:tab w:val="left" w:pos="1134"/>
        </w:tabs>
        <w:spacing w:after="0" w:line="360" w:lineRule="auto"/>
        <w:ind w:firstLine="709"/>
        <w:jc w:val="both"/>
        <w:rPr>
          <w:rFonts w:ascii="Times New Roman" w:hAnsi="Times New Roman"/>
          <w:bCs/>
          <w:lang w:bidi="ru-RU"/>
        </w:rPr>
      </w:pPr>
      <w:r>
        <w:rPr>
          <w:rFonts w:ascii="Times New Roman" w:hAnsi="Times New Roman"/>
          <w:bCs/>
          <w:lang w:bidi="ru-RU"/>
        </w:rPr>
        <w:t>Определение (с помощью учителя) темы и главных героев прочитанного или прослушанного текста. Различение отдельных жанров фольклора (пословица, загадка, считалка, потешка, колыбельная песня) и художественной литературы (рассказ, стихотворение). Умение отличать прозаическое произведение от стихотворного. Нахождение средств художественной выразительности в тексте (звукоподражание, повтор). Знакомство с автором произведения.</w:t>
      </w:r>
    </w:p>
    <w:p w14:paraId="10F16C9C">
      <w:pPr>
        <w:widowControl/>
        <w:tabs>
          <w:tab w:val="left" w:pos="1134"/>
        </w:tabs>
        <w:spacing w:after="0" w:line="360" w:lineRule="auto"/>
        <w:ind w:firstLine="709"/>
        <w:jc w:val="both"/>
        <w:rPr>
          <w:rFonts w:ascii="Times New Roman" w:hAnsi="Times New Roman"/>
          <w:bCs/>
          <w:lang w:bidi="ru-RU"/>
        </w:rPr>
      </w:pPr>
      <w:r>
        <w:rPr>
          <w:rFonts w:ascii="Times New Roman" w:hAnsi="Times New Roman"/>
          <w:bCs/>
          <w:lang w:bidi="ru-RU"/>
        </w:rPr>
        <w:t>8.6.3. Творческая деятельность обучающихся.</w:t>
      </w:r>
    </w:p>
    <w:p w14:paraId="3FEF70BD">
      <w:pPr>
        <w:widowControl/>
        <w:tabs>
          <w:tab w:val="left" w:pos="1134"/>
        </w:tabs>
        <w:spacing w:after="0" w:line="360" w:lineRule="auto"/>
        <w:ind w:firstLine="709"/>
        <w:jc w:val="both"/>
        <w:rPr>
          <w:rFonts w:ascii="Times New Roman" w:hAnsi="Times New Roman"/>
          <w:bCs/>
          <w:lang w:bidi="ru-RU"/>
        </w:rPr>
      </w:pPr>
      <w:r>
        <w:rPr>
          <w:rFonts w:ascii="Times New Roman" w:hAnsi="Times New Roman"/>
          <w:bCs/>
          <w:lang w:bidi="ru-RU"/>
        </w:rPr>
        <w:t>Чтение по ролям. Инсценирование ситуаций с использованием прослушанных или прочитанных произведений. Иллюстрирование отрывка произведения (по выбору). Выразительное чтение произведений.</w:t>
      </w:r>
    </w:p>
    <w:p w14:paraId="4316ECC5">
      <w:pPr>
        <w:widowControl/>
        <w:tabs>
          <w:tab w:val="left" w:pos="1134"/>
        </w:tabs>
        <w:spacing w:after="0" w:line="360" w:lineRule="auto"/>
        <w:ind w:firstLine="709"/>
        <w:jc w:val="both"/>
        <w:rPr>
          <w:rFonts w:ascii="Times New Roman" w:hAnsi="Times New Roman"/>
          <w:bCs/>
          <w:lang w:val="tt-RU" w:bidi="ru-RU"/>
        </w:rPr>
      </w:pPr>
      <w:r>
        <w:rPr>
          <w:rFonts w:ascii="Times New Roman" w:hAnsi="Times New Roman"/>
          <w:bCs/>
          <w:lang w:bidi="ru-RU"/>
        </w:rPr>
        <w:t>8.6.4. Круг детского чтения.</w:t>
      </w:r>
    </w:p>
    <w:p w14:paraId="665CD245">
      <w:pPr>
        <w:widowControl/>
        <w:tabs>
          <w:tab w:val="left" w:pos="1134"/>
        </w:tabs>
        <w:spacing w:after="0" w:line="360" w:lineRule="auto"/>
        <w:ind w:firstLine="709"/>
        <w:jc w:val="both"/>
        <w:rPr>
          <w:rFonts w:ascii="Times New Roman" w:hAnsi="Times New Roman"/>
          <w:bCs/>
          <w:lang w:bidi="ru-RU"/>
        </w:rPr>
      </w:pPr>
      <w:r>
        <w:rPr>
          <w:rFonts w:ascii="Times New Roman" w:hAnsi="Times New Roman"/>
          <w:bCs/>
          <w:lang w:bidi="ru-RU"/>
        </w:rPr>
        <w:t>8.6.4.1. </w:t>
      </w:r>
      <w:r>
        <w:rPr>
          <w:rFonts w:ascii="Times New Roman" w:hAnsi="Times New Roman"/>
          <w:bCs/>
          <w:lang w:val="tt-RU" w:bidi="ru-RU"/>
        </w:rPr>
        <w:t>Паллашу (Знакомство). Шкула (В школу).</w:t>
      </w:r>
    </w:p>
    <w:p w14:paraId="09A0AD3C">
      <w:pPr>
        <w:widowControl/>
        <w:tabs>
          <w:tab w:val="left" w:pos="1134"/>
        </w:tabs>
        <w:spacing w:after="0" w:line="360" w:lineRule="auto"/>
        <w:ind w:firstLine="709"/>
        <w:jc w:val="both"/>
        <w:rPr>
          <w:rFonts w:ascii="Times New Roman" w:hAnsi="Times New Roman"/>
          <w:bCs/>
          <w:lang w:bidi="ru-RU"/>
        </w:rPr>
      </w:pPr>
      <w:r>
        <w:rPr>
          <w:rFonts w:ascii="Times New Roman" w:hAnsi="Times New Roman"/>
          <w:bCs/>
          <w:lang w:bidi="ru-RU"/>
        </w:rPr>
        <w:t xml:space="preserve">Ю. Вирьял «Урокра» («На уроке»). </w:t>
      </w:r>
    </w:p>
    <w:p w14:paraId="08C1B033">
      <w:pPr>
        <w:widowControl/>
        <w:tabs>
          <w:tab w:val="left" w:pos="1134"/>
        </w:tabs>
        <w:spacing w:after="0" w:line="360" w:lineRule="auto"/>
        <w:ind w:firstLine="709"/>
        <w:jc w:val="both"/>
        <w:rPr>
          <w:rFonts w:ascii="Times New Roman" w:hAnsi="Times New Roman"/>
          <w:bCs/>
          <w:lang w:bidi="ru-RU"/>
        </w:rPr>
      </w:pPr>
      <w:r>
        <w:rPr>
          <w:rFonts w:ascii="Times New Roman" w:hAnsi="Times New Roman"/>
          <w:bCs/>
          <w:lang w:bidi="ru-RU"/>
        </w:rPr>
        <w:t>В. Тарават «Шкула каяс килет» («Хочу в школу»), «Çĕнук» («Зинуля»).</w:t>
      </w:r>
    </w:p>
    <w:p w14:paraId="056E3872">
      <w:pPr>
        <w:widowControl/>
        <w:tabs>
          <w:tab w:val="left" w:pos="1134"/>
        </w:tabs>
        <w:spacing w:after="0" w:line="360" w:lineRule="auto"/>
        <w:ind w:firstLine="709"/>
        <w:jc w:val="both"/>
        <w:rPr>
          <w:rFonts w:ascii="Times New Roman" w:hAnsi="Times New Roman"/>
          <w:bCs/>
          <w:lang w:bidi="ru-RU"/>
        </w:rPr>
      </w:pPr>
      <w:r>
        <w:rPr>
          <w:rFonts w:ascii="Times New Roman" w:hAnsi="Times New Roman"/>
          <w:bCs/>
          <w:lang w:bidi="ru-RU"/>
        </w:rPr>
        <w:t>А. Ильин «Сывă-и, букварь» («Здравствуй, букварь»), «Машăпа автан» («Маша и петух»).</w:t>
      </w:r>
    </w:p>
    <w:p w14:paraId="6F455F81">
      <w:pPr>
        <w:widowControl/>
        <w:tabs>
          <w:tab w:val="left" w:pos="1134"/>
        </w:tabs>
        <w:spacing w:after="0" w:line="360" w:lineRule="auto"/>
        <w:ind w:firstLine="709"/>
        <w:jc w:val="both"/>
        <w:rPr>
          <w:rFonts w:ascii="Times New Roman" w:hAnsi="Times New Roman"/>
          <w:bCs/>
          <w:lang w:bidi="ru-RU"/>
        </w:rPr>
      </w:pPr>
      <w:r>
        <w:rPr>
          <w:rFonts w:ascii="Times New Roman" w:hAnsi="Times New Roman"/>
          <w:bCs/>
          <w:lang w:bidi="ru-RU"/>
        </w:rPr>
        <w:t>П. Тани «Йыхрав» («Приглашение»).</w:t>
      </w:r>
    </w:p>
    <w:p w14:paraId="679217BB">
      <w:pPr>
        <w:widowControl/>
        <w:tabs>
          <w:tab w:val="left" w:pos="1134"/>
        </w:tabs>
        <w:spacing w:after="0" w:line="360" w:lineRule="auto"/>
        <w:ind w:firstLine="709"/>
        <w:jc w:val="both"/>
        <w:rPr>
          <w:rFonts w:ascii="Times New Roman" w:hAnsi="Times New Roman"/>
          <w:bCs/>
          <w:lang w:bidi="ru-RU"/>
        </w:rPr>
      </w:pPr>
      <w:r>
        <w:rPr>
          <w:rFonts w:ascii="Times New Roman" w:hAnsi="Times New Roman"/>
          <w:bCs/>
          <w:lang w:bidi="ru-RU"/>
        </w:rPr>
        <w:t>И. Патмар «Сăпайлăх» («Вежливость»).</w:t>
      </w:r>
    </w:p>
    <w:p w14:paraId="3EF6A2E3">
      <w:pPr>
        <w:widowControl/>
        <w:tabs>
          <w:tab w:val="left" w:pos="1134"/>
        </w:tabs>
        <w:spacing w:after="0" w:line="360" w:lineRule="auto"/>
        <w:ind w:firstLine="709"/>
        <w:jc w:val="both"/>
        <w:rPr>
          <w:rFonts w:ascii="Times New Roman" w:hAnsi="Times New Roman"/>
          <w:bCs/>
          <w:lang w:bidi="ru-RU"/>
        </w:rPr>
      </w:pPr>
      <w:r>
        <w:rPr>
          <w:rFonts w:ascii="Times New Roman" w:hAnsi="Times New Roman"/>
          <w:bCs/>
          <w:lang w:bidi="ru-RU"/>
        </w:rPr>
        <w:t>8.6.4.2. Чĕр чун тĕнчи (Мир животных).</w:t>
      </w:r>
    </w:p>
    <w:p w14:paraId="036272C2">
      <w:pPr>
        <w:widowControl/>
        <w:tabs>
          <w:tab w:val="left" w:pos="1134"/>
        </w:tabs>
        <w:spacing w:after="0" w:line="360" w:lineRule="auto"/>
        <w:ind w:firstLine="709"/>
        <w:jc w:val="both"/>
        <w:rPr>
          <w:rFonts w:ascii="Times New Roman" w:hAnsi="Times New Roman"/>
          <w:bCs/>
          <w:lang w:bidi="ru-RU"/>
        </w:rPr>
      </w:pPr>
      <w:r>
        <w:rPr>
          <w:rFonts w:ascii="Times New Roman" w:hAnsi="Times New Roman"/>
          <w:bCs/>
          <w:lang w:bidi="ru-RU"/>
        </w:rPr>
        <w:t>И. Яковлев «Автан» («Петух»).</w:t>
      </w:r>
    </w:p>
    <w:p w14:paraId="40AEBC3E">
      <w:pPr>
        <w:widowControl/>
        <w:tabs>
          <w:tab w:val="left" w:pos="1134"/>
        </w:tabs>
        <w:spacing w:after="0" w:line="360" w:lineRule="auto"/>
        <w:ind w:firstLine="709"/>
        <w:jc w:val="both"/>
        <w:rPr>
          <w:rFonts w:ascii="Times New Roman" w:hAnsi="Times New Roman"/>
          <w:bCs/>
          <w:lang w:bidi="ru-RU"/>
        </w:rPr>
      </w:pPr>
      <w:r>
        <w:rPr>
          <w:rFonts w:ascii="Times New Roman" w:hAnsi="Times New Roman"/>
          <w:bCs/>
          <w:lang w:bidi="ru-RU"/>
        </w:rPr>
        <w:t>Л. Симонова «Итлемен автан» («Непослушный петух»).</w:t>
      </w:r>
    </w:p>
    <w:p w14:paraId="55260826">
      <w:pPr>
        <w:widowControl/>
        <w:tabs>
          <w:tab w:val="left" w:pos="1134"/>
        </w:tabs>
        <w:spacing w:after="0" w:line="360" w:lineRule="auto"/>
        <w:ind w:firstLine="709"/>
        <w:jc w:val="both"/>
        <w:rPr>
          <w:rFonts w:ascii="Times New Roman" w:hAnsi="Times New Roman"/>
          <w:bCs/>
          <w:lang w:bidi="ru-RU"/>
        </w:rPr>
      </w:pPr>
      <w:r>
        <w:rPr>
          <w:rFonts w:ascii="Times New Roman" w:hAnsi="Times New Roman"/>
          <w:bCs/>
          <w:lang w:bidi="ru-RU"/>
        </w:rPr>
        <w:t>А. Ильин «Кулинепе упа» («Медведь и Акулина»), «Улай» («Пятнистый»).</w:t>
      </w:r>
    </w:p>
    <w:p w14:paraId="7A0F5BB3">
      <w:pPr>
        <w:widowControl/>
        <w:tabs>
          <w:tab w:val="left" w:pos="1134"/>
        </w:tabs>
        <w:spacing w:after="0" w:line="360" w:lineRule="auto"/>
        <w:ind w:firstLine="709"/>
        <w:jc w:val="both"/>
        <w:rPr>
          <w:rFonts w:ascii="Times New Roman" w:hAnsi="Times New Roman"/>
          <w:bCs/>
          <w:lang w:bidi="ru-RU"/>
        </w:rPr>
      </w:pPr>
      <w:r>
        <w:rPr>
          <w:rFonts w:ascii="Times New Roman" w:hAnsi="Times New Roman"/>
          <w:bCs/>
          <w:lang w:bidi="ru-RU"/>
        </w:rPr>
        <w:t>В. Давыдов-Анатри «Тилĕ тус» («Братец лис»), «Качака» («Коза»).</w:t>
      </w:r>
    </w:p>
    <w:p w14:paraId="7D22BC7D">
      <w:pPr>
        <w:widowControl/>
        <w:tabs>
          <w:tab w:val="left" w:pos="1134"/>
        </w:tabs>
        <w:spacing w:after="0" w:line="360" w:lineRule="auto"/>
        <w:ind w:firstLine="709"/>
        <w:jc w:val="both"/>
        <w:rPr>
          <w:rFonts w:ascii="Times New Roman" w:hAnsi="Times New Roman"/>
          <w:bCs/>
          <w:lang w:bidi="ru-RU"/>
        </w:rPr>
      </w:pPr>
      <w:r>
        <w:rPr>
          <w:rFonts w:ascii="Times New Roman" w:hAnsi="Times New Roman"/>
          <w:bCs/>
          <w:lang w:bidi="ru-RU"/>
        </w:rPr>
        <w:t>А. Калган «Çатан çинче шур автан» («Петух на плетне»).</w:t>
      </w:r>
    </w:p>
    <w:p w14:paraId="5E64C8E8">
      <w:pPr>
        <w:widowControl/>
        <w:tabs>
          <w:tab w:val="left" w:pos="1134"/>
        </w:tabs>
        <w:spacing w:after="0" w:line="360" w:lineRule="auto"/>
        <w:ind w:firstLine="709"/>
        <w:jc w:val="both"/>
        <w:rPr>
          <w:rFonts w:ascii="Times New Roman" w:hAnsi="Times New Roman"/>
          <w:bCs/>
          <w:lang w:bidi="ru-RU"/>
        </w:rPr>
      </w:pPr>
      <w:r>
        <w:rPr>
          <w:rFonts w:ascii="Times New Roman" w:hAnsi="Times New Roman"/>
          <w:bCs/>
          <w:lang w:bidi="ru-RU"/>
        </w:rPr>
        <w:t>Ю. Мишши «Кашкăр» («Волк»), «Мулкач» («Заяц»), «Упа» («Медведь»), «Шур упа» («Белый медведь»), «Йытă» («Собака»).</w:t>
      </w:r>
    </w:p>
    <w:p w14:paraId="71A8519A">
      <w:pPr>
        <w:widowControl/>
        <w:tabs>
          <w:tab w:val="left" w:pos="1134"/>
        </w:tabs>
        <w:spacing w:after="0" w:line="360" w:lineRule="auto"/>
        <w:ind w:firstLine="709"/>
        <w:jc w:val="both"/>
        <w:rPr>
          <w:rFonts w:ascii="Times New Roman" w:hAnsi="Times New Roman"/>
          <w:bCs/>
          <w:lang w:bidi="ru-RU"/>
        </w:rPr>
      </w:pPr>
      <w:r>
        <w:rPr>
          <w:rFonts w:ascii="Times New Roman" w:hAnsi="Times New Roman"/>
          <w:bCs/>
          <w:lang w:bidi="ru-RU"/>
        </w:rPr>
        <w:t>А. Ыхра «Халĕ эпĕ улттăра» («Мне сейчас шесть»), «Сасăсем» («Голоса»), «Туслашни» («Подружились»), «Хашĕ тĕрĕс каларĕ?» («Кто сказал правильно?»).</w:t>
      </w:r>
    </w:p>
    <w:p w14:paraId="49F784D6">
      <w:pPr>
        <w:widowControl/>
        <w:tabs>
          <w:tab w:val="left" w:pos="1134"/>
        </w:tabs>
        <w:spacing w:after="0" w:line="360" w:lineRule="auto"/>
        <w:ind w:firstLine="709"/>
        <w:jc w:val="both"/>
        <w:rPr>
          <w:rFonts w:ascii="Times New Roman" w:hAnsi="Times New Roman"/>
          <w:bCs/>
          <w:lang w:bidi="ru-RU"/>
        </w:rPr>
      </w:pPr>
      <w:r>
        <w:rPr>
          <w:rFonts w:ascii="Times New Roman" w:hAnsi="Times New Roman"/>
          <w:bCs/>
          <w:lang w:bidi="ru-RU"/>
        </w:rPr>
        <w:t>К. Ушинский «Тилĕ тус» («Лиса подружка»).</w:t>
      </w:r>
    </w:p>
    <w:p w14:paraId="30269832">
      <w:pPr>
        <w:widowControl/>
        <w:tabs>
          <w:tab w:val="left" w:pos="1134"/>
        </w:tabs>
        <w:spacing w:after="0" w:line="360" w:lineRule="auto"/>
        <w:ind w:firstLine="709"/>
        <w:jc w:val="both"/>
        <w:rPr>
          <w:rFonts w:ascii="Times New Roman" w:hAnsi="Times New Roman"/>
          <w:bCs/>
          <w:lang w:bidi="ru-RU"/>
        </w:rPr>
      </w:pPr>
      <w:r>
        <w:rPr>
          <w:rFonts w:ascii="Times New Roman" w:hAnsi="Times New Roman"/>
          <w:bCs/>
          <w:lang w:bidi="ru-RU"/>
        </w:rPr>
        <w:t>Русские народные песни «Автан тус» («Петушок»), «Мулкач ларать» («Сидит заяц»).</w:t>
      </w:r>
    </w:p>
    <w:p w14:paraId="5D04BB70">
      <w:pPr>
        <w:widowControl/>
        <w:tabs>
          <w:tab w:val="left" w:pos="1134"/>
        </w:tabs>
        <w:spacing w:after="0" w:line="360" w:lineRule="auto"/>
        <w:ind w:firstLine="709"/>
        <w:jc w:val="both"/>
        <w:rPr>
          <w:rFonts w:ascii="Times New Roman" w:hAnsi="Times New Roman"/>
          <w:bCs/>
          <w:lang w:bidi="ru-RU"/>
        </w:rPr>
      </w:pPr>
      <w:r>
        <w:rPr>
          <w:rFonts w:ascii="Times New Roman" w:hAnsi="Times New Roman"/>
          <w:bCs/>
          <w:lang w:bidi="ru-RU"/>
        </w:rPr>
        <w:t>8.6.4.3. Пахча çимĕç. Улма-çырла (Овощи. Фрукты).</w:t>
      </w:r>
    </w:p>
    <w:p w14:paraId="4269AA83">
      <w:pPr>
        <w:widowControl/>
        <w:tabs>
          <w:tab w:val="left" w:pos="1134"/>
        </w:tabs>
        <w:spacing w:after="0" w:line="360" w:lineRule="auto"/>
        <w:ind w:firstLine="709"/>
        <w:jc w:val="both"/>
        <w:rPr>
          <w:rFonts w:ascii="Times New Roman" w:hAnsi="Times New Roman"/>
          <w:bCs/>
          <w:lang w:bidi="ru-RU"/>
        </w:rPr>
      </w:pPr>
      <w:r>
        <w:rPr>
          <w:rFonts w:ascii="Times New Roman" w:hAnsi="Times New Roman"/>
          <w:bCs/>
          <w:lang w:bidi="ru-RU"/>
        </w:rPr>
        <w:t>В. Давыдов-Анатри «Анне килчĕ кăнтăртан» («Мама вернулась с юга»), «Мĕншĕн тутлă?» («Почему вкусно?»).</w:t>
      </w:r>
    </w:p>
    <w:p w14:paraId="10C93D22">
      <w:pPr>
        <w:widowControl/>
        <w:tabs>
          <w:tab w:val="left" w:pos="1134"/>
        </w:tabs>
        <w:spacing w:after="0" w:line="360" w:lineRule="auto"/>
        <w:ind w:firstLine="709"/>
        <w:jc w:val="both"/>
        <w:rPr>
          <w:rFonts w:ascii="Times New Roman" w:hAnsi="Times New Roman"/>
          <w:bCs/>
          <w:lang w:bidi="ru-RU"/>
        </w:rPr>
      </w:pPr>
      <w:r>
        <w:rPr>
          <w:rFonts w:ascii="Times New Roman" w:hAnsi="Times New Roman"/>
          <w:bCs/>
          <w:lang w:bidi="ru-RU"/>
        </w:rPr>
        <w:t>Р. Сарби «Шурă хурлăхан» («Белая смородина»).</w:t>
      </w:r>
    </w:p>
    <w:p w14:paraId="35D2130C">
      <w:pPr>
        <w:widowControl/>
        <w:tabs>
          <w:tab w:val="left" w:pos="1134"/>
        </w:tabs>
        <w:spacing w:after="0" w:line="360" w:lineRule="auto"/>
        <w:ind w:firstLine="709"/>
        <w:jc w:val="both"/>
        <w:rPr>
          <w:rFonts w:ascii="Times New Roman" w:hAnsi="Times New Roman"/>
          <w:bCs/>
          <w:lang w:bidi="ru-RU"/>
        </w:rPr>
      </w:pPr>
      <w:r>
        <w:rPr>
          <w:rFonts w:ascii="Times New Roman" w:hAnsi="Times New Roman"/>
          <w:bCs/>
          <w:lang w:bidi="ru-RU"/>
        </w:rPr>
        <w:t>Б. Данилов «Чи тутли» («Самый вкусный»).</w:t>
      </w:r>
    </w:p>
    <w:p w14:paraId="3326262A">
      <w:pPr>
        <w:widowControl/>
        <w:tabs>
          <w:tab w:val="left" w:pos="1134"/>
        </w:tabs>
        <w:spacing w:after="0" w:line="360" w:lineRule="auto"/>
        <w:ind w:firstLine="709"/>
        <w:jc w:val="both"/>
        <w:rPr>
          <w:rFonts w:ascii="Times New Roman" w:hAnsi="Times New Roman"/>
          <w:bCs/>
          <w:lang w:bidi="ru-RU"/>
        </w:rPr>
      </w:pPr>
      <w:r>
        <w:rPr>
          <w:rFonts w:ascii="Times New Roman" w:hAnsi="Times New Roman"/>
          <w:bCs/>
          <w:lang w:bidi="ru-RU"/>
        </w:rPr>
        <w:t>Чувашские народные песни «Пахчи-пахчи» («Во саду ли, в огороде»), «Улми лайăх-и?» («Яблоко ли лучше?»).</w:t>
      </w:r>
    </w:p>
    <w:p w14:paraId="0D87C2DD">
      <w:pPr>
        <w:widowControl/>
        <w:tabs>
          <w:tab w:val="left" w:pos="1134"/>
        </w:tabs>
        <w:spacing w:after="0" w:line="360" w:lineRule="auto"/>
        <w:ind w:firstLine="709"/>
        <w:jc w:val="both"/>
        <w:rPr>
          <w:rFonts w:ascii="Times New Roman" w:hAnsi="Times New Roman"/>
          <w:bCs/>
          <w:lang w:bidi="ru-RU"/>
        </w:rPr>
      </w:pPr>
      <w:r>
        <w:rPr>
          <w:rFonts w:ascii="Times New Roman" w:hAnsi="Times New Roman"/>
          <w:bCs/>
          <w:lang w:bidi="ru-RU"/>
        </w:rPr>
        <w:t>Чувашская детская игровая песня «Вăйă» («Игра»).</w:t>
      </w:r>
    </w:p>
    <w:p w14:paraId="72DE5B40">
      <w:pPr>
        <w:widowControl/>
        <w:tabs>
          <w:tab w:val="left" w:pos="1134"/>
        </w:tabs>
        <w:spacing w:after="0" w:line="360" w:lineRule="auto"/>
        <w:ind w:firstLine="709"/>
        <w:jc w:val="both"/>
        <w:rPr>
          <w:rFonts w:ascii="Times New Roman" w:hAnsi="Times New Roman"/>
          <w:bCs/>
          <w:lang w:bidi="ru-RU"/>
        </w:rPr>
      </w:pPr>
      <w:r>
        <w:rPr>
          <w:rFonts w:ascii="Times New Roman" w:hAnsi="Times New Roman"/>
          <w:bCs/>
          <w:lang w:bidi="ru-RU"/>
        </w:rPr>
        <w:t>А. Ыхра «Ӳс, хăярăм» («Расти, огурчик»).</w:t>
      </w:r>
    </w:p>
    <w:p w14:paraId="194A4163">
      <w:pPr>
        <w:widowControl/>
        <w:tabs>
          <w:tab w:val="left" w:pos="1134"/>
        </w:tabs>
        <w:spacing w:after="0" w:line="360" w:lineRule="auto"/>
        <w:ind w:firstLine="709"/>
        <w:jc w:val="both"/>
        <w:rPr>
          <w:rFonts w:ascii="Times New Roman" w:hAnsi="Times New Roman"/>
          <w:bCs/>
          <w:lang w:bidi="ru-RU"/>
        </w:rPr>
      </w:pPr>
      <w:r>
        <w:rPr>
          <w:rFonts w:ascii="Times New Roman" w:hAnsi="Times New Roman"/>
          <w:bCs/>
          <w:lang w:bidi="ru-RU"/>
        </w:rPr>
        <w:t>А. Юман «Чи тутли» («Самое вкусное»).</w:t>
      </w:r>
    </w:p>
    <w:p w14:paraId="3EBE73C0">
      <w:pPr>
        <w:widowControl/>
        <w:tabs>
          <w:tab w:val="left" w:pos="1134"/>
        </w:tabs>
        <w:spacing w:after="0" w:line="360" w:lineRule="auto"/>
        <w:ind w:firstLine="709"/>
        <w:jc w:val="both"/>
        <w:rPr>
          <w:rFonts w:ascii="Times New Roman" w:hAnsi="Times New Roman"/>
          <w:bCs/>
          <w:lang w:bidi="ru-RU"/>
        </w:rPr>
      </w:pPr>
      <w:r>
        <w:rPr>
          <w:rFonts w:ascii="Times New Roman" w:hAnsi="Times New Roman"/>
          <w:bCs/>
          <w:lang w:bidi="ru-RU"/>
        </w:rPr>
        <w:t>8.6.4.4. Кун йĕрки (Распорядок дня).</w:t>
      </w:r>
    </w:p>
    <w:p w14:paraId="372CB422">
      <w:pPr>
        <w:widowControl/>
        <w:tabs>
          <w:tab w:val="left" w:pos="1134"/>
        </w:tabs>
        <w:spacing w:after="0" w:line="360" w:lineRule="auto"/>
        <w:ind w:firstLine="709"/>
        <w:jc w:val="both"/>
        <w:rPr>
          <w:rFonts w:ascii="Times New Roman" w:hAnsi="Times New Roman"/>
          <w:bCs/>
          <w:lang w:bidi="ru-RU"/>
        </w:rPr>
      </w:pPr>
      <w:r>
        <w:rPr>
          <w:rFonts w:ascii="Times New Roman" w:hAnsi="Times New Roman"/>
          <w:bCs/>
          <w:lang w:bidi="ru-RU"/>
        </w:rPr>
        <w:t>Г. Хирбю «Сехет» («Часы»).</w:t>
      </w:r>
    </w:p>
    <w:p w14:paraId="1398D9F4">
      <w:pPr>
        <w:widowControl/>
        <w:tabs>
          <w:tab w:val="left" w:pos="1134"/>
        </w:tabs>
        <w:spacing w:after="0" w:line="360" w:lineRule="auto"/>
        <w:ind w:firstLine="709"/>
        <w:jc w:val="both"/>
        <w:rPr>
          <w:rFonts w:ascii="Times New Roman" w:hAnsi="Times New Roman"/>
          <w:bCs/>
          <w:lang w:bidi="ru-RU"/>
        </w:rPr>
      </w:pPr>
      <w:r>
        <w:rPr>
          <w:rFonts w:ascii="Times New Roman" w:hAnsi="Times New Roman"/>
          <w:bCs/>
          <w:lang w:bidi="ru-RU"/>
        </w:rPr>
        <w:t>Ю. Сементер «Ăслă сехет» («Умные часы»), «Кремль сехечĕ» («Кремлёвские часы»), «Чăваш сехечĕ» («Чувашские часы»), «Мĕн тăвас?» («Что делать?»).</w:t>
      </w:r>
    </w:p>
    <w:p w14:paraId="6852A472">
      <w:pPr>
        <w:widowControl/>
        <w:tabs>
          <w:tab w:val="left" w:pos="1134"/>
        </w:tabs>
        <w:spacing w:after="0" w:line="360" w:lineRule="auto"/>
        <w:ind w:firstLine="709"/>
        <w:jc w:val="both"/>
        <w:rPr>
          <w:rFonts w:ascii="Times New Roman" w:hAnsi="Times New Roman"/>
          <w:bCs/>
          <w:lang w:bidi="ru-RU"/>
        </w:rPr>
      </w:pPr>
      <w:r>
        <w:rPr>
          <w:rFonts w:ascii="Times New Roman" w:hAnsi="Times New Roman"/>
          <w:bCs/>
          <w:lang w:bidi="ru-RU"/>
        </w:rPr>
        <w:t>А. Ыхра «Ева садика каять» («Ева идет в садик»), «Тăмана» («Сова»).</w:t>
      </w:r>
    </w:p>
    <w:p w14:paraId="4C42C5F8">
      <w:pPr>
        <w:widowControl/>
        <w:tabs>
          <w:tab w:val="left" w:pos="1134"/>
        </w:tabs>
        <w:spacing w:after="0" w:line="360" w:lineRule="auto"/>
        <w:ind w:firstLine="709"/>
        <w:jc w:val="both"/>
        <w:rPr>
          <w:rFonts w:ascii="Times New Roman" w:hAnsi="Times New Roman"/>
          <w:bCs/>
          <w:lang w:bidi="ru-RU"/>
        </w:rPr>
      </w:pPr>
      <w:r>
        <w:rPr>
          <w:rFonts w:ascii="Times New Roman" w:hAnsi="Times New Roman"/>
          <w:bCs/>
          <w:lang w:bidi="ru-RU"/>
        </w:rPr>
        <w:t>Н. Карай «Маринепе пукане» («Марина и кукла»).</w:t>
      </w:r>
    </w:p>
    <w:p w14:paraId="12A7D713">
      <w:pPr>
        <w:widowControl/>
        <w:tabs>
          <w:tab w:val="left" w:pos="1134"/>
        </w:tabs>
        <w:spacing w:after="0" w:line="360" w:lineRule="auto"/>
        <w:ind w:firstLine="709"/>
        <w:jc w:val="both"/>
        <w:rPr>
          <w:rFonts w:ascii="Times New Roman" w:hAnsi="Times New Roman"/>
          <w:bCs/>
          <w:lang w:bidi="ru-RU"/>
        </w:rPr>
      </w:pPr>
      <w:r>
        <w:rPr>
          <w:rFonts w:ascii="Times New Roman" w:hAnsi="Times New Roman"/>
          <w:bCs/>
          <w:lang w:bidi="ru-RU"/>
        </w:rPr>
        <w:t>Н. Ижендей, «Çамрăк техниксем» («Молодые техники»).</w:t>
      </w:r>
    </w:p>
    <w:p w14:paraId="7F69AE1E">
      <w:pPr>
        <w:widowControl/>
        <w:tabs>
          <w:tab w:val="left" w:pos="1134"/>
        </w:tabs>
        <w:spacing w:after="0" w:line="360" w:lineRule="auto"/>
        <w:ind w:firstLine="709"/>
        <w:jc w:val="both"/>
        <w:rPr>
          <w:rFonts w:ascii="Times New Roman" w:hAnsi="Times New Roman"/>
          <w:bCs/>
          <w:lang w:bidi="ru-RU"/>
        </w:rPr>
      </w:pPr>
      <w:r>
        <w:rPr>
          <w:rFonts w:ascii="Times New Roman" w:hAnsi="Times New Roman"/>
          <w:bCs/>
          <w:lang w:bidi="ru-RU"/>
        </w:rPr>
        <w:t>П. Эйзин «Мĕн тума?» («Что делать?»).</w:t>
      </w:r>
    </w:p>
    <w:p w14:paraId="3F05D76A">
      <w:pPr>
        <w:widowControl/>
        <w:tabs>
          <w:tab w:val="left" w:pos="1134"/>
        </w:tabs>
        <w:spacing w:after="0" w:line="360" w:lineRule="auto"/>
        <w:ind w:firstLine="709"/>
        <w:jc w:val="both"/>
        <w:rPr>
          <w:rFonts w:ascii="Times New Roman" w:hAnsi="Times New Roman"/>
          <w:bCs/>
          <w:lang w:bidi="ru-RU"/>
        </w:rPr>
      </w:pPr>
      <w:r>
        <w:rPr>
          <w:rFonts w:ascii="Times New Roman" w:hAnsi="Times New Roman"/>
          <w:bCs/>
          <w:lang w:bidi="ru-RU"/>
        </w:rPr>
        <w:t>8.6.4.5. Кил-çурт. Çемье (Домашний очаг. Семья).</w:t>
      </w:r>
    </w:p>
    <w:p w14:paraId="43960D5D">
      <w:pPr>
        <w:widowControl/>
        <w:tabs>
          <w:tab w:val="left" w:pos="1134"/>
        </w:tabs>
        <w:spacing w:after="0" w:line="360" w:lineRule="auto"/>
        <w:ind w:firstLine="709"/>
        <w:jc w:val="both"/>
        <w:rPr>
          <w:rFonts w:ascii="Times New Roman" w:hAnsi="Times New Roman"/>
          <w:bCs/>
          <w:lang w:bidi="ru-RU"/>
        </w:rPr>
      </w:pPr>
      <w:r>
        <w:rPr>
          <w:rFonts w:ascii="Times New Roman" w:hAnsi="Times New Roman"/>
          <w:bCs/>
          <w:lang w:bidi="ru-RU"/>
        </w:rPr>
        <w:t>П. Ялгир «Çемье» («Семья»).</w:t>
      </w:r>
    </w:p>
    <w:p w14:paraId="2BAC39CE">
      <w:pPr>
        <w:widowControl/>
        <w:tabs>
          <w:tab w:val="left" w:pos="1134"/>
        </w:tabs>
        <w:spacing w:after="0" w:line="360" w:lineRule="auto"/>
        <w:ind w:firstLine="709"/>
        <w:jc w:val="both"/>
        <w:rPr>
          <w:rFonts w:ascii="Times New Roman" w:hAnsi="Times New Roman"/>
          <w:bCs/>
          <w:lang w:bidi="ru-RU"/>
        </w:rPr>
      </w:pPr>
      <w:r>
        <w:rPr>
          <w:rFonts w:ascii="Times New Roman" w:hAnsi="Times New Roman"/>
          <w:bCs/>
          <w:lang w:bidi="ru-RU"/>
        </w:rPr>
        <w:t>Ю. Силэм «Кушак питне çăвать» («Кошка умывается»).</w:t>
      </w:r>
    </w:p>
    <w:p w14:paraId="70331239">
      <w:pPr>
        <w:widowControl/>
        <w:tabs>
          <w:tab w:val="left" w:pos="1134"/>
        </w:tabs>
        <w:spacing w:after="0" w:line="360" w:lineRule="auto"/>
        <w:ind w:firstLine="709"/>
        <w:jc w:val="both"/>
        <w:rPr>
          <w:rFonts w:ascii="Times New Roman" w:hAnsi="Times New Roman"/>
          <w:bCs/>
          <w:lang w:bidi="ru-RU"/>
        </w:rPr>
      </w:pPr>
      <w:r>
        <w:rPr>
          <w:rFonts w:ascii="Times New Roman" w:hAnsi="Times New Roman"/>
          <w:bCs/>
          <w:lang w:bidi="ru-RU"/>
        </w:rPr>
        <w:t>А. Ильин «Кам вăранать чи малтан?» («Кто просыпается раньше всех?»).</w:t>
      </w:r>
    </w:p>
    <w:p w14:paraId="5465A53C">
      <w:pPr>
        <w:widowControl/>
        <w:tabs>
          <w:tab w:val="left" w:pos="1134"/>
        </w:tabs>
        <w:spacing w:after="0" w:line="360" w:lineRule="auto"/>
        <w:ind w:firstLine="709"/>
        <w:jc w:val="both"/>
        <w:rPr>
          <w:rFonts w:ascii="Times New Roman" w:hAnsi="Times New Roman"/>
          <w:bCs/>
          <w:lang w:bidi="ru-RU"/>
        </w:rPr>
      </w:pPr>
      <w:r>
        <w:rPr>
          <w:rFonts w:ascii="Times New Roman" w:hAnsi="Times New Roman"/>
          <w:bCs/>
          <w:lang w:bidi="ru-RU"/>
        </w:rPr>
        <w:t>Д. Гордеев «Петюкпа мăлатук» («Петя и молоток»).</w:t>
      </w:r>
    </w:p>
    <w:p w14:paraId="2FD8F416">
      <w:pPr>
        <w:widowControl/>
        <w:tabs>
          <w:tab w:val="left" w:pos="1134"/>
        </w:tabs>
        <w:spacing w:after="0" w:line="360" w:lineRule="auto"/>
        <w:ind w:firstLine="709"/>
        <w:jc w:val="both"/>
        <w:rPr>
          <w:rFonts w:ascii="Times New Roman" w:hAnsi="Times New Roman"/>
          <w:bCs/>
          <w:lang w:bidi="ru-RU"/>
        </w:rPr>
      </w:pPr>
      <w:r>
        <w:rPr>
          <w:rFonts w:ascii="Times New Roman" w:hAnsi="Times New Roman"/>
          <w:bCs/>
          <w:lang w:bidi="ru-RU"/>
        </w:rPr>
        <w:t>П. Тани «Дачăра» («На даче»).</w:t>
      </w:r>
    </w:p>
    <w:p w14:paraId="16A7474C">
      <w:pPr>
        <w:widowControl/>
        <w:tabs>
          <w:tab w:val="left" w:pos="1134"/>
        </w:tabs>
        <w:spacing w:after="0" w:line="360" w:lineRule="auto"/>
        <w:ind w:firstLine="709"/>
        <w:jc w:val="both"/>
        <w:rPr>
          <w:rFonts w:ascii="Times New Roman" w:hAnsi="Times New Roman"/>
          <w:bCs/>
          <w:lang w:bidi="ru-RU"/>
        </w:rPr>
      </w:pPr>
      <w:r>
        <w:rPr>
          <w:rFonts w:ascii="Times New Roman" w:hAnsi="Times New Roman"/>
          <w:bCs/>
          <w:lang w:bidi="ru-RU"/>
        </w:rPr>
        <w:t>Н. Ыдарай «Асанне» («Бабушка»), «Сăпка юрри» («Колыбельная»).</w:t>
      </w:r>
    </w:p>
    <w:p w14:paraId="00E99E3F">
      <w:pPr>
        <w:widowControl/>
        <w:tabs>
          <w:tab w:val="left" w:pos="1134"/>
        </w:tabs>
        <w:spacing w:after="0" w:line="360" w:lineRule="auto"/>
        <w:ind w:firstLine="709"/>
        <w:jc w:val="both"/>
        <w:rPr>
          <w:rFonts w:ascii="Times New Roman" w:hAnsi="Times New Roman"/>
          <w:bCs/>
          <w:lang w:bidi="ru-RU"/>
        </w:rPr>
      </w:pPr>
      <w:r>
        <w:rPr>
          <w:rFonts w:ascii="Times New Roman" w:hAnsi="Times New Roman"/>
          <w:bCs/>
          <w:lang w:bidi="ru-RU"/>
        </w:rPr>
        <w:t>И. Яковлев «Чăлха çыхни» («Как я вязала носки»), «Ӳкĕт» («Убеждение»).</w:t>
      </w:r>
    </w:p>
    <w:p w14:paraId="6C27B863">
      <w:pPr>
        <w:widowControl/>
        <w:tabs>
          <w:tab w:val="left" w:pos="1134"/>
        </w:tabs>
        <w:spacing w:after="0" w:line="360" w:lineRule="auto"/>
        <w:ind w:firstLine="709"/>
        <w:jc w:val="both"/>
        <w:rPr>
          <w:rFonts w:ascii="Times New Roman" w:hAnsi="Times New Roman"/>
          <w:bCs/>
          <w:lang w:bidi="ru-RU"/>
        </w:rPr>
      </w:pPr>
      <w:r>
        <w:rPr>
          <w:rFonts w:ascii="Times New Roman" w:hAnsi="Times New Roman"/>
          <w:bCs/>
          <w:lang w:bidi="ru-RU"/>
        </w:rPr>
        <w:t>А. Савельев-Сас «Юрларăм та ташларăм…» («И пела, и плясала…»).</w:t>
      </w:r>
    </w:p>
    <w:p w14:paraId="5C9B8292">
      <w:pPr>
        <w:widowControl/>
        <w:tabs>
          <w:tab w:val="left" w:pos="1134"/>
        </w:tabs>
        <w:spacing w:after="0" w:line="360" w:lineRule="auto"/>
        <w:ind w:firstLine="709"/>
        <w:jc w:val="both"/>
        <w:rPr>
          <w:rFonts w:ascii="Times New Roman" w:hAnsi="Times New Roman"/>
          <w:bCs/>
          <w:lang w:bidi="ru-RU"/>
        </w:rPr>
      </w:pPr>
      <w:r>
        <w:rPr>
          <w:rFonts w:ascii="Times New Roman" w:hAnsi="Times New Roman"/>
          <w:bCs/>
          <w:lang w:bidi="ru-RU"/>
        </w:rPr>
        <w:t>Чувашская народная сказка «Аслă ывăл» («Старший сын»).</w:t>
      </w:r>
    </w:p>
    <w:p w14:paraId="274837D3">
      <w:pPr>
        <w:widowControl/>
        <w:tabs>
          <w:tab w:val="left" w:pos="1134"/>
        </w:tabs>
        <w:spacing w:after="0" w:line="360" w:lineRule="auto"/>
        <w:ind w:firstLine="709"/>
        <w:jc w:val="both"/>
        <w:rPr>
          <w:rFonts w:ascii="Times New Roman" w:hAnsi="Times New Roman"/>
          <w:bCs/>
          <w:lang w:bidi="ru-RU"/>
        </w:rPr>
      </w:pPr>
      <w:r>
        <w:rPr>
          <w:rFonts w:ascii="Times New Roman" w:hAnsi="Times New Roman"/>
          <w:bCs/>
          <w:lang w:bidi="ru-RU"/>
        </w:rPr>
        <w:t>В. Енеш «Асаннĕр пур-и?» («У вас есть бабушка?»).</w:t>
      </w:r>
    </w:p>
    <w:p w14:paraId="1481AD50">
      <w:pPr>
        <w:widowControl/>
        <w:tabs>
          <w:tab w:val="left" w:pos="1134"/>
        </w:tabs>
        <w:spacing w:after="0" w:line="360" w:lineRule="auto"/>
        <w:ind w:firstLine="709"/>
        <w:jc w:val="both"/>
        <w:rPr>
          <w:rFonts w:ascii="Times New Roman" w:hAnsi="Times New Roman"/>
          <w:bCs/>
          <w:lang w:bidi="ru-RU"/>
        </w:rPr>
      </w:pPr>
      <w:r>
        <w:rPr>
          <w:rFonts w:ascii="Times New Roman" w:hAnsi="Times New Roman"/>
          <w:bCs/>
          <w:lang w:bidi="ru-RU"/>
        </w:rPr>
        <w:t>8.6.4.6. Çулталăк вăхăчĕсем (Времена года).</w:t>
      </w:r>
    </w:p>
    <w:p w14:paraId="4409AB2D">
      <w:pPr>
        <w:widowControl/>
        <w:tabs>
          <w:tab w:val="left" w:pos="1134"/>
        </w:tabs>
        <w:spacing w:after="0" w:line="360" w:lineRule="auto"/>
        <w:ind w:firstLine="709"/>
        <w:jc w:val="both"/>
        <w:rPr>
          <w:rFonts w:ascii="Times New Roman" w:hAnsi="Times New Roman"/>
          <w:bCs/>
          <w:lang w:bidi="ru-RU"/>
        </w:rPr>
      </w:pPr>
      <w:r>
        <w:rPr>
          <w:rFonts w:ascii="Times New Roman" w:hAnsi="Times New Roman"/>
          <w:bCs/>
          <w:lang w:bidi="ru-RU"/>
        </w:rPr>
        <w:t>К. Иванов «Çулталăк хушши» («Времена года»).</w:t>
      </w:r>
    </w:p>
    <w:p w14:paraId="73A42BB8">
      <w:pPr>
        <w:widowControl/>
        <w:tabs>
          <w:tab w:val="left" w:pos="1134"/>
        </w:tabs>
        <w:spacing w:after="0" w:line="360" w:lineRule="auto"/>
        <w:ind w:firstLine="709"/>
        <w:jc w:val="both"/>
        <w:rPr>
          <w:rFonts w:ascii="Times New Roman" w:hAnsi="Times New Roman"/>
          <w:bCs/>
          <w:lang w:bidi="ru-RU"/>
        </w:rPr>
      </w:pPr>
      <w:r>
        <w:rPr>
          <w:rFonts w:ascii="Times New Roman" w:hAnsi="Times New Roman"/>
          <w:bCs/>
          <w:lang w:bidi="ru-RU"/>
        </w:rPr>
        <w:t>Ю. Силэм «Кантăка кам тĕрленĕ?» («Кто разрисовал окно?»), «Кăвак сурăх» («Голубая овца»).</w:t>
      </w:r>
    </w:p>
    <w:p w14:paraId="1AE8CE7B">
      <w:pPr>
        <w:widowControl/>
        <w:tabs>
          <w:tab w:val="left" w:pos="1134"/>
        </w:tabs>
        <w:spacing w:after="0" w:line="360" w:lineRule="auto"/>
        <w:ind w:firstLine="709"/>
        <w:jc w:val="both"/>
        <w:rPr>
          <w:rFonts w:ascii="Times New Roman" w:hAnsi="Times New Roman"/>
          <w:bCs/>
          <w:lang w:bidi="ru-RU"/>
        </w:rPr>
      </w:pPr>
      <w:r>
        <w:rPr>
          <w:rFonts w:ascii="Times New Roman" w:hAnsi="Times New Roman"/>
          <w:bCs/>
          <w:lang w:bidi="ru-RU"/>
        </w:rPr>
        <w:t xml:space="preserve">В. Эктел «Юр» («Снег»). </w:t>
      </w:r>
    </w:p>
    <w:p w14:paraId="26A846DE">
      <w:pPr>
        <w:widowControl/>
        <w:tabs>
          <w:tab w:val="left" w:pos="1134"/>
        </w:tabs>
        <w:spacing w:after="0" w:line="360" w:lineRule="auto"/>
        <w:ind w:firstLine="709"/>
        <w:jc w:val="both"/>
        <w:rPr>
          <w:rFonts w:ascii="Times New Roman" w:hAnsi="Times New Roman"/>
          <w:bCs/>
          <w:lang w:bidi="ru-RU"/>
        </w:rPr>
      </w:pPr>
      <w:r>
        <w:rPr>
          <w:rFonts w:ascii="Times New Roman" w:hAnsi="Times New Roman"/>
          <w:bCs/>
          <w:lang w:bidi="ru-RU"/>
        </w:rPr>
        <w:t>У. Мишши «Хĕл илемĕ» («Зимняя краса»).</w:t>
      </w:r>
    </w:p>
    <w:p w14:paraId="06AE28B4">
      <w:pPr>
        <w:widowControl/>
        <w:tabs>
          <w:tab w:val="left" w:pos="1134"/>
        </w:tabs>
        <w:spacing w:after="0" w:line="360" w:lineRule="auto"/>
        <w:ind w:firstLine="709"/>
        <w:jc w:val="both"/>
        <w:rPr>
          <w:rFonts w:ascii="Times New Roman" w:hAnsi="Times New Roman"/>
          <w:bCs/>
          <w:lang w:bidi="ru-RU"/>
        </w:rPr>
      </w:pPr>
      <w:r>
        <w:rPr>
          <w:rFonts w:ascii="Times New Roman" w:hAnsi="Times New Roman"/>
          <w:bCs/>
          <w:lang w:bidi="ru-RU"/>
        </w:rPr>
        <w:t>А. Калган «Юр çăвать» («Снег идет»).</w:t>
      </w:r>
    </w:p>
    <w:p w14:paraId="12A659BC">
      <w:pPr>
        <w:widowControl/>
        <w:tabs>
          <w:tab w:val="left" w:pos="1134"/>
        </w:tabs>
        <w:spacing w:after="0" w:line="360" w:lineRule="auto"/>
        <w:ind w:firstLine="709"/>
        <w:jc w:val="both"/>
        <w:rPr>
          <w:rFonts w:ascii="Times New Roman" w:hAnsi="Times New Roman"/>
          <w:bCs/>
          <w:lang w:bidi="ru-RU"/>
        </w:rPr>
      </w:pPr>
      <w:r>
        <w:rPr>
          <w:rFonts w:ascii="Times New Roman" w:hAnsi="Times New Roman"/>
          <w:bCs/>
          <w:lang w:bidi="ru-RU"/>
        </w:rPr>
        <w:t>А. Ыхра «Пăрахут» («Пароход»), «Ай, ÿкетĕп» («Ой, упаду»), «Пукан» («Табуретка»).</w:t>
      </w:r>
    </w:p>
    <w:p w14:paraId="66F4BBC4">
      <w:pPr>
        <w:widowControl/>
        <w:tabs>
          <w:tab w:val="left" w:pos="1134"/>
        </w:tabs>
        <w:spacing w:after="0" w:line="360" w:lineRule="auto"/>
        <w:ind w:firstLine="709"/>
        <w:jc w:val="both"/>
        <w:rPr>
          <w:rFonts w:ascii="Times New Roman" w:hAnsi="Times New Roman"/>
          <w:bCs/>
          <w:lang w:bidi="ru-RU"/>
        </w:rPr>
      </w:pPr>
      <w:r>
        <w:rPr>
          <w:rFonts w:ascii="Times New Roman" w:hAnsi="Times New Roman"/>
          <w:bCs/>
          <w:lang w:bidi="ru-RU"/>
        </w:rPr>
        <w:t>Б. Тихонов «Шăнкăрч» («Скворец»). «Мишша теп» (игровой детский фольклор).</w:t>
      </w:r>
    </w:p>
    <w:p w14:paraId="1622426C">
      <w:pPr>
        <w:widowControl/>
        <w:tabs>
          <w:tab w:val="left" w:pos="1134"/>
        </w:tabs>
        <w:spacing w:after="0" w:line="360" w:lineRule="auto"/>
        <w:ind w:firstLine="709"/>
        <w:jc w:val="both"/>
        <w:rPr>
          <w:rFonts w:ascii="Times New Roman" w:hAnsi="Times New Roman"/>
          <w:bCs/>
          <w:lang w:bidi="ru-RU"/>
        </w:rPr>
      </w:pPr>
      <w:r>
        <w:rPr>
          <w:rFonts w:ascii="Times New Roman" w:hAnsi="Times New Roman"/>
          <w:bCs/>
          <w:lang w:bidi="ru-RU"/>
        </w:rPr>
        <w:t>В. Бараев «Шыва кĕме» («Купаться»).</w:t>
      </w:r>
    </w:p>
    <w:p w14:paraId="533778C1">
      <w:pPr>
        <w:widowControl/>
        <w:tabs>
          <w:tab w:val="left" w:pos="1134"/>
        </w:tabs>
        <w:spacing w:after="0" w:line="360" w:lineRule="auto"/>
        <w:ind w:firstLine="709"/>
        <w:jc w:val="both"/>
        <w:rPr>
          <w:rFonts w:ascii="Times New Roman" w:hAnsi="Times New Roman"/>
          <w:bCs/>
          <w:lang w:bidi="ru-RU"/>
        </w:rPr>
      </w:pPr>
      <w:r>
        <w:rPr>
          <w:rFonts w:ascii="Times New Roman" w:hAnsi="Times New Roman"/>
          <w:bCs/>
          <w:lang w:bidi="ru-RU"/>
        </w:rPr>
        <w:t>Н. Теветкел «Март».</w:t>
      </w:r>
    </w:p>
    <w:p w14:paraId="170E177F">
      <w:pPr>
        <w:widowControl/>
        <w:tabs>
          <w:tab w:val="left" w:pos="1134"/>
        </w:tabs>
        <w:spacing w:after="0" w:line="360" w:lineRule="auto"/>
        <w:ind w:firstLine="709"/>
        <w:jc w:val="both"/>
        <w:rPr>
          <w:rFonts w:ascii="Times New Roman" w:hAnsi="Times New Roman"/>
          <w:bCs/>
          <w:lang w:bidi="ru-RU"/>
        </w:rPr>
      </w:pPr>
      <w:r>
        <w:rPr>
          <w:rFonts w:ascii="Times New Roman" w:hAnsi="Times New Roman"/>
          <w:bCs/>
          <w:lang w:bidi="ru-RU"/>
        </w:rPr>
        <w:t>И. Малкай «Куккук» («Кукушка»), «Сăмах вăййи» («Игра в слова»).</w:t>
      </w:r>
    </w:p>
    <w:p w14:paraId="4B061ADC">
      <w:pPr>
        <w:widowControl/>
        <w:tabs>
          <w:tab w:val="left" w:pos="1134"/>
        </w:tabs>
        <w:spacing w:after="0" w:line="360" w:lineRule="auto"/>
        <w:ind w:firstLine="709"/>
        <w:jc w:val="both"/>
        <w:rPr>
          <w:rFonts w:ascii="Times New Roman" w:hAnsi="Times New Roman"/>
          <w:bCs/>
          <w:lang w:bidi="ru-RU"/>
        </w:rPr>
      </w:pPr>
      <w:r>
        <w:rPr>
          <w:rFonts w:ascii="Times New Roman" w:hAnsi="Times New Roman"/>
          <w:bCs/>
          <w:lang w:bidi="ru-RU"/>
        </w:rPr>
        <w:t>В. Эктел «Çулçăсем» («Листья»).</w:t>
      </w:r>
    </w:p>
    <w:p w14:paraId="6DCEF1E4">
      <w:pPr>
        <w:widowControl/>
        <w:tabs>
          <w:tab w:val="left" w:pos="1134"/>
        </w:tabs>
        <w:spacing w:after="0" w:line="360" w:lineRule="auto"/>
        <w:ind w:firstLine="709"/>
        <w:jc w:val="both"/>
        <w:rPr>
          <w:rFonts w:ascii="Times New Roman" w:hAnsi="Times New Roman"/>
          <w:bCs/>
          <w:lang w:bidi="ru-RU"/>
        </w:rPr>
      </w:pPr>
      <w:r>
        <w:rPr>
          <w:rFonts w:ascii="Times New Roman" w:hAnsi="Times New Roman"/>
          <w:bCs/>
          <w:lang w:bidi="ru-RU"/>
        </w:rPr>
        <w:t>П. Ялгир «Çĕр улми» («Картошка»).</w:t>
      </w:r>
    </w:p>
    <w:p w14:paraId="2E4CB04D">
      <w:pPr>
        <w:widowControl/>
        <w:tabs>
          <w:tab w:val="left" w:pos="1134"/>
        </w:tabs>
        <w:spacing w:after="0" w:line="360" w:lineRule="auto"/>
        <w:ind w:firstLine="709"/>
        <w:jc w:val="both"/>
        <w:rPr>
          <w:rFonts w:ascii="Times New Roman" w:hAnsi="Times New Roman"/>
          <w:bCs/>
          <w:lang w:bidi="ru-RU"/>
        </w:rPr>
      </w:pPr>
      <w:r>
        <w:rPr>
          <w:rFonts w:ascii="Times New Roman" w:hAnsi="Times New Roman"/>
          <w:bCs/>
          <w:lang w:bidi="ru-RU"/>
        </w:rPr>
        <w:t>К. Ушинский «Тăватă ĕмĕт» («Четыре желания»).</w:t>
      </w:r>
    </w:p>
    <w:p w14:paraId="7341BBD9">
      <w:pPr>
        <w:widowControl/>
        <w:tabs>
          <w:tab w:val="left" w:pos="1134"/>
        </w:tabs>
        <w:spacing w:after="0" w:line="360" w:lineRule="auto"/>
        <w:ind w:firstLine="709"/>
        <w:jc w:val="both"/>
        <w:rPr>
          <w:rFonts w:ascii="Times New Roman" w:hAnsi="Times New Roman"/>
          <w:bCs/>
          <w:lang w:bidi="ru-RU"/>
        </w:rPr>
      </w:pPr>
      <w:r>
        <w:rPr>
          <w:rFonts w:ascii="Times New Roman" w:hAnsi="Times New Roman"/>
          <w:bCs/>
          <w:lang w:bidi="ru-RU"/>
        </w:rPr>
        <w:t>Н. Карай «Кураксем» («Грачи»).</w:t>
      </w:r>
    </w:p>
    <w:p w14:paraId="00C7CC4E">
      <w:pPr>
        <w:widowControl/>
        <w:tabs>
          <w:tab w:val="left" w:pos="1134"/>
        </w:tabs>
        <w:spacing w:after="0" w:line="360" w:lineRule="auto"/>
        <w:ind w:firstLine="709"/>
        <w:jc w:val="both"/>
        <w:rPr>
          <w:rFonts w:ascii="Times New Roman" w:hAnsi="Times New Roman"/>
          <w:bCs/>
          <w:lang w:bidi="ru-RU"/>
        </w:rPr>
      </w:pPr>
      <w:r>
        <w:rPr>
          <w:rFonts w:ascii="Times New Roman" w:hAnsi="Times New Roman"/>
          <w:bCs/>
          <w:lang w:bidi="ru-RU"/>
        </w:rPr>
        <w:t>8.7. Содержание обучения во 2 классе.</w:t>
      </w:r>
    </w:p>
    <w:p w14:paraId="75707A80">
      <w:pPr>
        <w:widowControl/>
        <w:tabs>
          <w:tab w:val="left" w:pos="1134"/>
        </w:tabs>
        <w:spacing w:after="0" w:line="360" w:lineRule="auto"/>
        <w:ind w:firstLine="709"/>
        <w:jc w:val="both"/>
        <w:rPr>
          <w:rFonts w:ascii="Times New Roman" w:hAnsi="Times New Roman"/>
          <w:bCs/>
          <w:lang w:bidi="ru-RU"/>
        </w:rPr>
      </w:pPr>
      <w:r>
        <w:rPr>
          <w:rFonts w:ascii="Times New Roman" w:hAnsi="Times New Roman"/>
          <w:bCs/>
          <w:lang w:bidi="ru-RU"/>
        </w:rPr>
        <w:t>8.7.1. Развитие речи.</w:t>
      </w:r>
    </w:p>
    <w:p w14:paraId="4DC96B61">
      <w:pPr>
        <w:widowControl/>
        <w:tabs>
          <w:tab w:val="left" w:pos="1134"/>
        </w:tabs>
        <w:spacing w:after="0" w:line="360" w:lineRule="auto"/>
        <w:ind w:firstLine="709"/>
        <w:jc w:val="both"/>
        <w:rPr>
          <w:rFonts w:ascii="Times New Roman" w:hAnsi="Times New Roman"/>
          <w:bCs/>
          <w:lang w:bidi="ru-RU"/>
        </w:rPr>
      </w:pPr>
      <w:r>
        <w:rPr>
          <w:rFonts w:ascii="Times New Roman" w:hAnsi="Times New Roman"/>
          <w:bCs/>
          <w:lang w:bidi="ru-RU"/>
        </w:rPr>
        <w:t>8.7.1.1. Аудирование.</w:t>
      </w:r>
    </w:p>
    <w:p w14:paraId="1F024DEC">
      <w:pPr>
        <w:widowControl/>
        <w:tabs>
          <w:tab w:val="left" w:pos="1134"/>
        </w:tabs>
        <w:spacing w:after="0" w:line="360" w:lineRule="auto"/>
        <w:ind w:firstLine="709"/>
        <w:jc w:val="both"/>
        <w:rPr>
          <w:rFonts w:ascii="Times New Roman" w:hAnsi="Times New Roman"/>
          <w:bCs/>
          <w:lang w:bidi="ru-RU"/>
        </w:rPr>
      </w:pPr>
      <w:r>
        <w:rPr>
          <w:rFonts w:ascii="Times New Roman" w:hAnsi="Times New Roman"/>
          <w:bCs/>
          <w:lang w:bidi="ru-RU"/>
        </w:rPr>
        <w:t>Совершенствование навыка восприятия на слух звучащей чувашской речи. Понимание смысла произведений, воспринятых на слух.</w:t>
      </w:r>
    </w:p>
    <w:p w14:paraId="22C7E87C">
      <w:pPr>
        <w:widowControl/>
        <w:tabs>
          <w:tab w:val="left" w:pos="1134"/>
        </w:tabs>
        <w:spacing w:after="0" w:line="360" w:lineRule="auto"/>
        <w:ind w:firstLine="709"/>
        <w:jc w:val="both"/>
        <w:rPr>
          <w:rFonts w:ascii="Times New Roman" w:hAnsi="Times New Roman"/>
          <w:bCs/>
          <w:lang w:bidi="ru-RU"/>
        </w:rPr>
      </w:pPr>
      <w:r>
        <w:rPr>
          <w:rFonts w:ascii="Times New Roman" w:hAnsi="Times New Roman"/>
          <w:bCs/>
          <w:lang w:bidi="ru-RU"/>
        </w:rPr>
        <w:t>8.7.1.2. Чтение.</w:t>
      </w:r>
    </w:p>
    <w:p w14:paraId="181A9A7D">
      <w:pPr>
        <w:widowControl/>
        <w:tabs>
          <w:tab w:val="left" w:pos="1134"/>
        </w:tabs>
        <w:spacing w:after="0" w:line="360" w:lineRule="auto"/>
        <w:ind w:firstLine="709"/>
        <w:jc w:val="both"/>
        <w:rPr>
          <w:rFonts w:ascii="Times New Roman" w:hAnsi="Times New Roman"/>
          <w:bCs/>
          <w:lang w:bidi="ru-RU"/>
        </w:rPr>
      </w:pPr>
      <w:r>
        <w:rPr>
          <w:rFonts w:ascii="Times New Roman" w:hAnsi="Times New Roman"/>
          <w:bCs/>
          <w:lang w:bidi="ru-RU"/>
        </w:rPr>
        <w:t>Чтение небольших текстов или отрывков из произведений целыми словами (скорость чтения в соответствии с индивидуальным темпом чтения). Понимание смысла прочитанных текстов. Переход от чтения вслух к чтению про себя небольших произведений или отрывков текстов при выборочном чтении. Чтение про себя словаря, данного после текстов.</w:t>
      </w:r>
    </w:p>
    <w:p w14:paraId="0267E8CF">
      <w:pPr>
        <w:widowControl/>
        <w:tabs>
          <w:tab w:val="left" w:pos="1134"/>
        </w:tabs>
        <w:spacing w:after="0" w:line="360" w:lineRule="auto"/>
        <w:ind w:firstLine="709"/>
        <w:jc w:val="both"/>
        <w:rPr>
          <w:rFonts w:ascii="Times New Roman" w:hAnsi="Times New Roman"/>
          <w:bCs/>
          <w:lang w:bidi="ru-RU"/>
        </w:rPr>
      </w:pPr>
      <w:r>
        <w:rPr>
          <w:rFonts w:ascii="Times New Roman" w:hAnsi="Times New Roman"/>
          <w:bCs/>
          <w:lang w:bidi="ru-RU"/>
        </w:rPr>
        <w:t>8.7.1.3. Говорение.</w:t>
      </w:r>
    </w:p>
    <w:p w14:paraId="4C4EF716">
      <w:pPr>
        <w:widowControl/>
        <w:tabs>
          <w:tab w:val="left" w:pos="1134"/>
        </w:tabs>
        <w:spacing w:after="0" w:line="360" w:lineRule="auto"/>
        <w:ind w:firstLine="709"/>
        <w:jc w:val="both"/>
        <w:rPr>
          <w:rFonts w:ascii="Times New Roman" w:hAnsi="Times New Roman"/>
          <w:bCs/>
          <w:lang w:bidi="ru-RU"/>
        </w:rPr>
      </w:pPr>
      <w:r>
        <w:rPr>
          <w:rFonts w:ascii="Times New Roman" w:hAnsi="Times New Roman"/>
          <w:bCs/>
          <w:lang w:bidi="ru-RU"/>
        </w:rPr>
        <w:t>Участие в беседе по содержанию прочитанного произведения: составление устных вопросов, краткие или развернутые (в виде кратких монологических высказываний) ответы на вопросы учителя и других обучающихся, устная краткая характеристика литературного героя, оценка его поступков. Чтение наизусть 2–3 стихотворений разных авторов.</w:t>
      </w:r>
    </w:p>
    <w:p w14:paraId="383B5192">
      <w:pPr>
        <w:widowControl/>
        <w:tabs>
          <w:tab w:val="left" w:pos="1134"/>
        </w:tabs>
        <w:spacing w:after="0" w:line="360" w:lineRule="auto"/>
        <w:ind w:firstLine="709"/>
        <w:jc w:val="both"/>
        <w:rPr>
          <w:rFonts w:ascii="Times New Roman" w:hAnsi="Times New Roman"/>
          <w:bCs/>
          <w:lang w:bidi="ru-RU"/>
        </w:rPr>
      </w:pPr>
      <w:r>
        <w:rPr>
          <w:rFonts w:ascii="Times New Roman" w:hAnsi="Times New Roman"/>
          <w:bCs/>
          <w:lang w:bidi="ru-RU"/>
        </w:rPr>
        <w:t>8.7.1.4. Письмо.</w:t>
      </w:r>
    </w:p>
    <w:p w14:paraId="227220E9">
      <w:pPr>
        <w:widowControl/>
        <w:tabs>
          <w:tab w:val="left" w:pos="1134"/>
        </w:tabs>
        <w:spacing w:after="0" w:line="360" w:lineRule="auto"/>
        <w:ind w:firstLine="709"/>
        <w:jc w:val="both"/>
        <w:rPr>
          <w:rFonts w:ascii="Times New Roman" w:hAnsi="Times New Roman"/>
          <w:bCs/>
          <w:lang w:bidi="ru-RU"/>
        </w:rPr>
      </w:pPr>
      <w:r>
        <w:rPr>
          <w:rFonts w:ascii="Times New Roman" w:hAnsi="Times New Roman"/>
          <w:bCs/>
          <w:lang w:bidi="ru-RU"/>
        </w:rPr>
        <w:t>Списывание из текста ответов на вопросы.</w:t>
      </w:r>
    </w:p>
    <w:p w14:paraId="7F91DE4E">
      <w:pPr>
        <w:widowControl/>
        <w:tabs>
          <w:tab w:val="left" w:pos="1134"/>
        </w:tabs>
        <w:spacing w:after="0" w:line="360" w:lineRule="auto"/>
        <w:ind w:firstLine="709"/>
        <w:jc w:val="both"/>
        <w:rPr>
          <w:rFonts w:ascii="Times New Roman" w:hAnsi="Times New Roman"/>
          <w:bCs/>
          <w:lang w:bidi="ru-RU"/>
        </w:rPr>
      </w:pPr>
      <w:r>
        <w:rPr>
          <w:rFonts w:ascii="Times New Roman" w:hAnsi="Times New Roman"/>
          <w:bCs/>
          <w:lang w:bidi="ru-RU"/>
        </w:rPr>
        <w:t>81.7.2. Литературоведческая пропедевтика.</w:t>
      </w:r>
    </w:p>
    <w:p w14:paraId="3AFC39A7">
      <w:pPr>
        <w:widowControl/>
        <w:tabs>
          <w:tab w:val="left" w:pos="1134"/>
        </w:tabs>
        <w:spacing w:after="0" w:line="360" w:lineRule="auto"/>
        <w:ind w:firstLine="709"/>
        <w:jc w:val="both"/>
        <w:rPr>
          <w:rFonts w:ascii="Times New Roman" w:hAnsi="Times New Roman"/>
          <w:bCs/>
          <w:lang w:bidi="ru-RU"/>
        </w:rPr>
      </w:pPr>
      <w:r>
        <w:rPr>
          <w:rFonts w:ascii="Times New Roman" w:hAnsi="Times New Roman"/>
          <w:bCs/>
          <w:lang w:bidi="ru-RU"/>
        </w:rPr>
        <w:t>Определение темы и выделение главной мысли произведения. Определение хронологической последовательности событий в произведении. Различение жанров фольклора. Знакомство со сказками. Умение отличать сказку от рассказа, различение сказок о животных и волшебных, народных и авторских. Освоение элементарных способов анализа произведения. Нахождение в произведении изобразительно-выразительных средств.</w:t>
      </w:r>
    </w:p>
    <w:p w14:paraId="06E7F473">
      <w:pPr>
        <w:widowControl/>
        <w:tabs>
          <w:tab w:val="left" w:pos="1134"/>
        </w:tabs>
        <w:spacing w:after="0" w:line="360" w:lineRule="auto"/>
        <w:ind w:firstLine="709"/>
        <w:jc w:val="both"/>
        <w:rPr>
          <w:rFonts w:ascii="Times New Roman" w:hAnsi="Times New Roman"/>
          <w:bCs/>
          <w:lang w:bidi="ru-RU"/>
        </w:rPr>
      </w:pPr>
      <w:r>
        <w:rPr>
          <w:rFonts w:ascii="Times New Roman" w:hAnsi="Times New Roman"/>
          <w:bCs/>
          <w:lang w:bidi="ru-RU"/>
        </w:rPr>
        <w:t>8.7.3. Творческая деятельность обучающихся.</w:t>
      </w:r>
    </w:p>
    <w:p w14:paraId="1C02C1C2">
      <w:pPr>
        <w:widowControl/>
        <w:tabs>
          <w:tab w:val="left" w:pos="1134"/>
        </w:tabs>
        <w:spacing w:after="0" w:line="360" w:lineRule="auto"/>
        <w:ind w:firstLine="709"/>
        <w:jc w:val="both"/>
        <w:rPr>
          <w:rFonts w:ascii="Times New Roman" w:hAnsi="Times New Roman"/>
          <w:bCs/>
          <w:lang w:bidi="ru-RU"/>
        </w:rPr>
      </w:pPr>
      <w:r>
        <w:rPr>
          <w:rFonts w:ascii="Times New Roman" w:hAnsi="Times New Roman"/>
          <w:bCs/>
          <w:lang w:bidi="ru-RU"/>
        </w:rPr>
        <w:t>Чтение по ролям. Инсценирование произведений или отрывков из прочитанных произведений. Составление словесной картины по прочитанному тексту или иллюстрирование фрагментов произведений. Составление загадок. Выразительное чтение наизусть.</w:t>
      </w:r>
    </w:p>
    <w:p w14:paraId="296341EC">
      <w:pPr>
        <w:widowControl/>
        <w:tabs>
          <w:tab w:val="left" w:pos="1134"/>
        </w:tabs>
        <w:spacing w:after="0" w:line="360" w:lineRule="auto"/>
        <w:ind w:firstLine="709"/>
        <w:jc w:val="both"/>
        <w:rPr>
          <w:rFonts w:ascii="Times New Roman" w:hAnsi="Times New Roman"/>
          <w:bCs/>
          <w:lang w:bidi="ru-RU"/>
        </w:rPr>
      </w:pPr>
      <w:r>
        <w:rPr>
          <w:rFonts w:ascii="Times New Roman" w:hAnsi="Times New Roman"/>
          <w:bCs/>
          <w:lang w:bidi="ru-RU"/>
        </w:rPr>
        <w:t>8.7.4. Круг детского чтения.</w:t>
      </w:r>
    </w:p>
    <w:p w14:paraId="669373A5">
      <w:pPr>
        <w:widowControl/>
        <w:tabs>
          <w:tab w:val="left" w:pos="1134"/>
        </w:tabs>
        <w:spacing w:after="0" w:line="360" w:lineRule="auto"/>
        <w:ind w:firstLine="709"/>
        <w:jc w:val="both"/>
        <w:rPr>
          <w:rFonts w:ascii="Times New Roman" w:hAnsi="Times New Roman"/>
          <w:bCs/>
          <w:lang w:bidi="ru-RU"/>
        </w:rPr>
      </w:pPr>
      <w:r>
        <w:rPr>
          <w:rFonts w:ascii="Times New Roman" w:hAnsi="Times New Roman"/>
          <w:bCs/>
          <w:lang w:bidi="ru-RU"/>
        </w:rPr>
        <w:t>8.7.4.1. Тăван шкул (Родная школа).</w:t>
      </w:r>
    </w:p>
    <w:p w14:paraId="026C7A3D">
      <w:pPr>
        <w:widowControl/>
        <w:tabs>
          <w:tab w:val="left" w:pos="1134"/>
        </w:tabs>
        <w:spacing w:after="0" w:line="360" w:lineRule="auto"/>
        <w:ind w:firstLine="709"/>
        <w:jc w:val="both"/>
        <w:rPr>
          <w:rFonts w:ascii="Times New Roman" w:hAnsi="Times New Roman"/>
          <w:bCs/>
          <w:lang w:bidi="ru-RU"/>
        </w:rPr>
      </w:pPr>
      <w:r>
        <w:rPr>
          <w:rFonts w:ascii="Times New Roman" w:hAnsi="Times New Roman"/>
          <w:bCs/>
          <w:lang w:bidi="ru-RU"/>
        </w:rPr>
        <w:t>А. Алка «Чи савăнăçлă кун» («Самый радостный день»).</w:t>
      </w:r>
    </w:p>
    <w:p w14:paraId="48B3A3C0">
      <w:pPr>
        <w:widowControl/>
        <w:tabs>
          <w:tab w:val="left" w:pos="1134"/>
        </w:tabs>
        <w:spacing w:after="0" w:line="360" w:lineRule="auto"/>
        <w:ind w:firstLine="709"/>
        <w:jc w:val="both"/>
        <w:rPr>
          <w:rFonts w:ascii="Times New Roman" w:hAnsi="Times New Roman"/>
          <w:bCs/>
          <w:lang w:bidi="ru-RU"/>
        </w:rPr>
      </w:pPr>
      <w:r>
        <w:rPr>
          <w:rFonts w:ascii="Times New Roman" w:hAnsi="Times New Roman"/>
          <w:bCs/>
          <w:lang w:bidi="ru-RU"/>
        </w:rPr>
        <w:t>С. Гордеева «Кая юлсан» («Если опоздаешь»).</w:t>
      </w:r>
    </w:p>
    <w:p w14:paraId="1B2E8C48">
      <w:pPr>
        <w:widowControl/>
        <w:tabs>
          <w:tab w:val="left" w:pos="1134"/>
        </w:tabs>
        <w:spacing w:after="0" w:line="360" w:lineRule="auto"/>
        <w:ind w:firstLine="709"/>
        <w:jc w:val="both"/>
        <w:rPr>
          <w:rFonts w:ascii="Times New Roman" w:hAnsi="Times New Roman"/>
          <w:bCs/>
          <w:lang w:bidi="ru-RU"/>
        </w:rPr>
      </w:pPr>
      <w:r>
        <w:rPr>
          <w:rFonts w:ascii="Times New Roman" w:hAnsi="Times New Roman"/>
          <w:bCs/>
          <w:lang w:val="tt-RU" w:bidi="ru-RU"/>
        </w:rPr>
        <w:t>Л. Федорова «Чăн-чăн юлташ</w:t>
      </w:r>
      <w:r>
        <w:rPr>
          <w:rFonts w:ascii="Times New Roman" w:hAnsi="Times New Roman"/>
          <w:bCs/>
          <w:lang w:bidi="ru-RU"/>
        </w:rPr>
        <w:t>» («Настоящий друг»), «Çын пуласси» («Каков ребёнок, таков и взрослый»).</w:t>
      </w:r>
    </w:p>
    <w:p w14:paraId="4EBBEB45">
      <w:pPr>
        <w:widowControl/>
        <w:tabs>
          <w:tab w:val="left" w:pos="1134"/>
        </w:tabs>
        <w:spacing w:after="0" w:line="360" w:lineRule="auto"/>
        <w:ind w:firstLine="709"/>
        <w:jc w:val="both"/>
        <w:rPr>
          <w:rFonts w:ascii="Times New Roman" w:hAnsi="Times New Roman"/>
          <w:bCs/>
          <w:lang w:bidi="ru-RU"/>
        </w:rPr>
      </w:pPr>
      <w:r>
        <w:rPr>
          <w:rFonts w:ascii="Times New Roman" w:hAnsi="Times New Roman"/>
          <w:bCs/>
          <w:lang w:bidi="ru-RU"/>
        </w:rPr>
        <w:t>В. Тарават «Пылчăклă пушмак» («Грязные башмаки»).</w:t>
      </w:r>
    </w:p>
    <w:p w14:paraId="47160771">
      <w:pPr>
        <w:widowControl/>
        <w:tabs>
          <w:tab w:val="left" w:pos="1134"/>
        </w:tabs>
        <w:spacing w:after="0" w:line="360" w:lineRule="auto"/>
        <w:ind w:firstLine="709"/>
        <w:jc w:val="both"/>
        <w:rPr>
          <w:rFonts w:ascii="Times New Roman" w:hAnsi="Times New Roman"/>
          <w:bCs/>
          <w:lang w:bidi="ru-RU"/>
        </w:rPr>
      </w:pPr>
      <w:r>
        <w:rPr>
          <w:rFonts w:ascii="Times New Roman" w:hAnsi="Times New Roman"/>
          <w:bCs/>
          <w:lang w:bidi="ru-RU"/>
        </w:rPr>
        <w:t>П. Сялгусь «Шкула» («В школу»).</w:t>
      </w:r>
    </w:p>
    <w:p w14:paraId="40FD66C8">
      <w:pPr>
        <w:widowControl/>
        <w:tabs>
          <w:tab w:val="left" w:pos="1134"/>
        </w:tabs>
        <w:spacing w:after="0" w:line="360" w:lineRule="auto"/>
        <w:ind w:firstLine="709"/>
        <w:jc w:val="both"/>
        <w:rPr>
          <w:rFonts w:ascii="Times New Roman" w:hAnsi="Times New Roman"/>
          <w:bCs/>
          <w:lang w:bidi="ru-RU"/>
        </w:rPr>
      </w:pPr>
      <w:r>
        <w:rPr>
          <w:rFonts w:ascii="Times New Roman" w:hAnsi="Times New Roman"/>
          <w:bCs/>
          <w:lang w:bidi="ru-RU"/>
        </w:rPr>
        <w:t>П. Яккусен «Сарă çулçă» («Желтый лист»).</w:t>
      </w:r>
    </w:p>
    <w:p w14:paraId="082F264D">
      <w:pPr>
        <w:widowControl/>
        <w:tabs>
          <w:tab w:val="left" w:pos="1134"/>
        </w:tabs>
        <w:spacing w:after="0" w:line="360" w:lineRule="auto"/>
        <w:ind w:firstLine="709"/>
        <w:jc w:val="both"/>
        <w:rPr>
          <w:rFonts w:ascii="Times New Roman" w:hAnsi="Times New Roman"/>
          <w:bCs/>
          <w:lang w:bidi="ru-RU"/>
        </w:rPr>
      </w:pPr>
      <w:r>
        <w:rPr>
          <w:rFonts w:ascii="Times New Roman" w:hAnsi="Times New Roman"/>
          <w:bCs/>
          <w:lang w:bidi="ru-RU"/>
        </w:rPr>
        <w:t>В. Алендей «Вара, вара» («Потом, потом»).</w:t>
      </w:r>
    </w:p>
    <w:p w14:paraId="2F64B09F">
      <w:pPr>
        <w:widowControl/>
        <w:tabs>
          <w:tab w:val="left" w:pos="1134"/>
        </w:tabs>
        <w:spacing w:after="0" w:line="360" w:lineRule="auto"/>
        <w:ind w:firstLine="709"/>
        <w:jc w:val="both"/>
        <w:rPr>
          <w:rFonts w:ascii="Times New Roman" w:hAnsi="Times New Roman"/>
          <w:bCs/>
          <w:lang w:bidi="ru-RU"/>
        </w:rPr>
      </w:pPr>
      <w:r>
        <w:rPr>
          <w:rFonts w:ascii="Times New Roman" w:hAnsi="Times New Roman"/>
          <w:bCs/>
          <w:lang w:bidi="ru-RU"/>
        </w:rPr>
        <w:t>И. Ивник «Пире лайăх вĕренме» («Хорошо нам учиться»).</w:t>
      </w:r>
    </w:p>
    <w:p w14:paraId="78BAB614">
      <w:pPr>
        <w:widowControl/>
        <w:tabs>
          <w:tab w:val="left" w:pos="1134"/>
        </w:tabs>
        <w:spacing w:after="0" w:line="360" w:lineRule="auto"/>
        <w:ind w:firstLine="709"/>
        <w:jc w:val="both"/>
        <w:rPr>
          <w:rFonts w:ascii="Times New Roman" w:hAnsi="Times New Roman"/>
          <w:bCs/>
          <w:lang w:bidi="ru-RU"/>
        </w:rPr>
      </w:pPr>
      <w:r>
        <w:rPr>
          <w:rFonts w:ascii="Times New Roman" w:hAnsi="Times New Roman"/>
          <w:bCs/>
          <w:lang w:bidi="ru-RU"/>
        </w:rPr>
        <w:t>8.7.4.2. Кĕркунне çитрĕ (Осень наступила).</w:t>
      </w:r>
    </w:p>
    <w:p w14:paraId="6B043624">
      <w:pPr>
        <w:widowControl/>
        <w:tabs>
          <w:tab w:val="left" w:pos="1134"/>
        </w:tabs>
        <w:spacing w:after="0" w:line="360" w:lineRule="auto"/>
        <w:ind w:firstLine="709"/>
        <w:jc w:val="both"/>
        <w:rPr>
          <w:rFonts w:ascii="Times New Roman" w:hAnsi="Times New Roman"/>
          <w:bCs/>
          <w:lang w:bidi="ru-RU"/>
        </w:rPr>
      </w:pPr>
      <w:r>
        <w:rPr>
          <w:rFonts w:ascii="Times New Roman" w:hAnsi="Times New Roman"/>
          <w:bCs/>
          <w:lang w:bidi="ru-RU"/>
        </w:rPr>
        <w:t>Б. Борлен, «Сентябрь – авăн. Октябрь – юпа. Ноябрь – чӳк».</w:t>
      </w:r>
    </w:p>
    <w:p w14:paraId="29897B3F">
      <w:pPr>
        <w:widowControl/>
        <w:tabs>
          <w:tab w:val="left" w:pos="1134"/>
        </w:tabs>
        <w:spacing w:after="0" w:line="360" w:lineRule="auto"/>
        <w:ind w:firstLine="709"/>
        <w:jc w:val="both"/>
        <w:rPr>
          <w:rFonts w:ascii="Times New Roman" w:hAnsi="Times New Roman"/>
          <w:bCs/>
          <w:lang w:bidi="ru-RU"/>
        </w:rPr>
      </w:pPr>
      <w:r>
        <w:rPr>
          <w:rFonts w:ascii="Times New Roman" w:hAnsi="Times New Roman"/>
          <w:bCs/>
          <w:lang w:bidi="ru-RU"/>
        </w:rPr>
        <w:t>А. Савельев-Сас «Пахчара» («В огороде»).</w:t>
      </w:r>
    </w:p>
    <w:p w14:paraId="392E1FE5">
      <w:pPr>
        <w:widowControl/>
        <w:tabs>
          <w:tab w:val="left" w:pos="1134"/>
        </w:tabs>
        <w:spacing w:after="0" w:line="360" w:lineRule="auto"/>
        <w:ind w:firstLine="709"/>
        <w:jc w:val="both"/>
        <w:rPr>
          <w:rFonts w:ascii="Times New Roman" w:hAnsi="Times New Roman"/>
          <w:bCs/>
          <w:lang w:bidi="ru-RU"/>
        </w:rPr>
      </w:pPr>
      <w:r>
        <w:rPr>
          <w:rFonts w:ascii="Times New Roman" w:hAnsi="Times New Roman"/>
          <w:bCs/>
          <w:lang w:bidi="ru-RU"/>
        </w:rPr>
        <w:t>К. Иванов «Кĕркунне» («Осень»).</w:t>
      </w:r>
    </w:p>
    <w:p w14:paraId="58E5DAD9">
      <w:pPr>
        <w:widowControl/>
        <w:tabs>
          <w:tab w:val="left" w:pos="1134"/>
        </w:tabs>
        <w:spacing w:after="0" w:line="360" w:lineRule="auto"/>
        <w:ind w:firstLine="709"/>
        <w:jc w:val="both"/>
        <w:rPr>
          <w:rFonts w:ascii="Times New Roman" w:hAnsi="Times New Roman"/>
          <w:bCs/>
          <w:lang w:bidi="ru-RU"/>
        </w:rPr>
      </w:pPr>
      <w:r>
        <w:rPr>
          <w:rFonts w:ascii="Times New Roman" w:hAnsi="Times New Roman"/>
          <w:bCs/>
          <w:lang w:bidi="ru-RU"/>
        </w:rPr>
        <w:t>М. Ильбек «Кăмпара» («За грибами»).</w:t>
      </w:r>
    </w:p>
    <w:p w14:paraId="17465E74">
      <w:pPr>
        <w:widowControl/>
        <w:tabs>
          <w:tab w:val="left" w:pos="1134"/>
        </w:tabs>
        <w:spacing w:after="0" w:line="360" w:lineRule="auto"/>
        <w:ind w:firstLine="709"/>
        <w:jc w:val="both"/>
        <w:rPr>
          <w:rFonts w:ascii="Times New Roman" w:hAnsi="Times New Roman"/>
          <w:bCs/>
          <w:lang w:bidi="ru-RU"/>
        </w:rPr>
      </w:pPr>
      <w:r>
        <w:rPr>
          <w:rFonts w:ascii="Times New Roman" w:hAnsi="Times New Roman"/>
          <w:bCs/>
          <w:lang w:bidi="ru-RU"/>
        </w:rPr>
        <w:t>8.7.4.3. Пирĕн кулленхи ĕç-хĕл (Наши повседневные дела).</w:t>
      </w:r>
    </w:p>
    <w:p w14:paraId="6C7B116C">
      <w:pPr>
        <w:widowControl/>
        <w:tabs>
          <w:tab w:val="left" w:pos="1134"/>
        </w:tabs>
        <w:spacing w:after="0" w:line="360" w:lineRule="auto"/>
        <w:ind w:firstLine="709"/>
        <w:jc w:val="both"/>
        <w:rPr>
          <w:rFonts w:ascii="Times New Roman" w:hAnsi="Times New Roman"/>
          <w:bCs/>
          <w:lang w:bidi="ru-RU"/>
        </w:rPr>
      </w:pPr>
      <w:r>
        <w:rPr>
          <w:rFonts w:ascii="Times New Roman" w:hAnsi="Times New Roman"/>
          <w:bCs/>
          <w:lang w:bidi="ru-RU"/>
        </w:rPr>
        <w:t>С. Савкай «Чĕрĕп» («Ёжик»), «Мĕшĕлкке» («Медлительный»).</w:t>
      </w:r>
    </w:p>
    <w:p w14:paraId="6B4E516F">
      <w:pPr>
        <w:widowControl/>
        <w:tabs>
          <w:tab w:val="left" w:pos="1134"/>
        </w:tabs>
        <w:spacing w:after="0" w:line="360" w:lineRule="auto"/>
        <w:ind w:firstLine="709"/>
        <w:jc w:val="both"/>
        <w:rPr>
          <w:rFonts w:ascii="Times New Roman" w:hAnsi="Times New Roman"/>
          <w:bCs/>
          <w:lang w:bidi="ru-RU"/>
        </w:rPr>
      </w:pPr>
      <w:r>
        <w:rPr>
          <w:rFonts w:ascii="Times New Roman" w:hAnsi="Times New Roman"/>
          <w:bCs/>
          <w:lang w:bidi="ru-RU"/>
        </w:rPr>
        <w:t>И. Малкай «Пирĕн туслăх» («Наша дружба»).</w:t>
      </w:r>
    </w:p>
    <w:p w14:paraId="4DCADF5E">
      <w:pPr>
        <w:widowControl/>
        <w:tabs>
          <w:tab w:val="left" w:pos="1134"/>
        </w:tabs>
        <w:spacing w:after="0" w:line="360" w:lineRule="auto"/>
        <w:ind w:firstLine="709"/>
        <w:jc w:val="both"/>
        <w:rPr>
          <w:rFonts w:ascii="Times New Roman" w:hAnsi="Times New Roman"/>
          <w:bCs/>
          <w:lang w:bidi="ru-RU"/>
        </w:rPr>
      </w:pPr>
      <w:r>
        <w:rPr>
          <w:rFonts w:ascii="Times New Roman" w:hAnsi="Times New Roman"/>
          <w:bCs/>
          <w:lang w:bidi="ru-RU"/>
        </w:rPr>
        <w:t>П. Эйзин «Эп – хамах» («Я сам»).</w:t>
      </w:r>
    </w:p>
    <w:p w14:paraId="1AD22D13">
      <w:pPr>
        <w:widowControl/>
        <w:tabs>
          <w:tab w:val="left" w:pos="1134"/>
        </w:tabs>
        <w:spacing w:after="0" w:line="360" w:lineRule="auto"/>
        <w:ind w:firstLine="709"/>
        <w:jc w:val="both"/>
        <w:rPr>
          <w:rFonts w:ascii="Times New Roman" w:hAnsi="Times New Roman"/>
          <w:bCs/>
          <w:lang w:bidi="ru-RU"/>
        </w:rPr>
      </w:pPr>
      <w:r>
        <w:rPr>
          <w:rFonts w:ascii="Times New Roman" w:hAnsi="Times New Roman"/>
          <w:bCs/>
          <w:lang w:bidi="ru-RU"/>
        </w:rPr>
        <w:t>Ю. Сементер «Циферблат», «Миçе сехет?» («Который час?»).</w:t>
      </w:r>
    </w:p>
    <w:p w14:paraId="481050CE">
      <w:pPr>
        <w:widowControl/>
        <w:tabs>
          <w:tab w:val="left" w:pos="1134"/>
        </w:tabs>
        <w:spacing w:after="0" w:line="360" w:lineRule="auto"/>
        <w:ind w:firstLine="709"/>
        <w:jc w:val="both"/>
        <w:rPr>
          <w:rFonts w:ascii="Times New Roman" w:hAnsi="Times New Roman"/>
          <w:bCs/>
          <w:lang w:bidi="ru-RU"/>
        </w:rPr>
      </w:pPr>
      <w:r>
        <w:rPr>
          <w:rFonts w:ascii="Times New Roman" w:hAnsi="Times New Roman"/>
          <w:bCs/>
          <w:lang w:bidi="ru-RU"/>
        </w:rPr>
        <w:t>Л. Сорокина «Тăрăс, тăрăс сикер-и?» («Попляшем, попрыгаем»), «Пукане» («Кукла»), «Вăйă» («Игра»).</w:t>
      </w:r>
    </w:p>
    <w:p w14:paraId="73D1D381">
      <w:pPr>
        <w:widowControl/>
        <w:tabs>
          <w:tab w:val="left" w:pos="1134"/>
        </w:tabs>
        <w:spacing w:after="0" w:line="360" w:lineRule="auto"/>
        <w:ind w:firstLine="709"/>
        <w:jc w:val="both"/>
        <w:rPr>
          <w:rFonts w:ascii="Times New Roman" w:hAnsi="Times New Roman"/>
          <w:bCs/>
          <w:lang w:bidi="ru-RU"/>
        </w:rPr>
      </w:pPr>
      <w:r>
        <w:rPr>
          <w:rFonts w:ascii="Times New Roman" w:hAnsi="Times New Roman"/>
          <w:bCs/>
          <w:lang w:bidi="ru-RU"/>
        </w:rPr>
        <w:t>А. Миллин «Килĕштерчĕç» («Помирились»).</w:t>
      </w:r>
    </w:p>
    <w:p w14:paraId="08A93A3E">
      <w:pPr>
        <w:widowControl/>
        <w:tabs>
          <w:tab w:val="left" w:pos="1134"/>
        </w:tabs>
        <w:spacing w:after="0" w:line="360" w:lineRule="auto"/>
        <w:ind w:firstLine="709"/>
        <w:jc w:val="both"/>
        <w:rPr>
          <w:rFonts w:ascii="Times New Roman" w:hAnsi="Times New Roman"/>
          <w:bCs/>
          <w:lang w:bidi="ru-RU"/>
        </w:rPr>
      </w:pPr>
      <w:r>
        <w:rPr>
          <w:rFonts w:ascii="Times New Roman" w:hAnsi="Times New Roman"/>
          <w:bCs/>
          <w:lang w:bidi="ru-RU"/>
        </w:rPr>
        <w:t>8.7.4.4. Чĕр чун тĕнчи (Животный мир).</w:t>
      </w:r>
    </w:p>
    <w:p w14:paraId="07AE18FE">
      <w:pPr>
        <w:widowControl/>
        <w:tabs>
          <w:tab w:val="left" w:pos="1134"/>
        </w:tabs>
        <w:spacing w:after="0" w:line="360" w:lineRule="auto"/>
        <w:ind w:firstLine="709"/>
        <w:jc w:val="both"/>
        <w:rPr>
          <w:rFonts w:ascii="Times New Roman" w:hAnsi="Times New Roman"/>
          <w:bCs/>
          <w:lang w:bidi="ru-RU"/>
        </w:rPr>
      </w:pPr>
      <w:r>
        <w:rPr>
          <w:rFonts w:ascii="Times New Roman" w:hAnsi="Times New Roman"/>
          <w:bCs/>
          <w:lang w:bidi="ru-RU"/>
        </w:rPr>
        <w:t>М. Ильбек «Вăрманта» («В лесу»).</w:t>
      </w:r>
    </w:p>
    <w:p w14:paraId="49215648">
      <w:pPr>
        <w:widowControl/>
        <w:tabs>
          <w:tab w:val="left" w:pos="1134"/>
        </w:tabs>
        <w:spacing w:after="0" w:line="360" w:lineRule="auto"/>
        <w:ind w:firstLine="709"/>
        <w:jc w:val="both"/>
        <w:rPr>
          <w:rFonts w:ascii="Times New Roman" w:hAnsi="Times New Roman"/>
          <w:bCs/>
          <w:lang w:bidi="ru-RU"/>
        </w:rPr>
      </w:pPr>
      <w:r>
        <w:rPr>
          <w:rFonts w:ascii="Times New Roman" w:hAnsi="Times New Roman"/>
          <w:bCs/>
          <w:lang w:bidi="ru-RU"/>
        </w:rPr>
        <w:t>Е. Никитин «Тилĕпе автан» («Лиса и петух»), «Тилĕпе упа» («Лиса и медведь»).</w:t>
      </w:r>
    </w:p>
    <w:p w14:paraId="7AE4C6A5">
      <w:pPr>
        <w:widowControl/>
        <w:tabs>
          <w:tab w:val="left" w:pos="1134"/>
        </w:tabs>
        <w:spacing w:after="0" w:line="360" w:lineRule="auto"/>
        <w:ind w:firstLine="709"/>
        <w:jc w:val="both"/>
        <w:rPr>
          <w:rFonts w:ascii="Times New Roman" w:hAnsi="Times New Roman"/>
          <w:bCs/>
          <w:lang w:bidi="ru-RU"/>
        </w:rPr>
      </w:pPr>
      <w:r>
        <w:rPr>
          <w:rFonts w:ascii="Times New Roman" w:hAnsi="Times New Roman"/>
          <w:bCs/>
          <w:lang w:bidi="ru-RU"/>
        </w:rPr>
        <w:t>Н. Ыдарай «Пакшапа чакак» («Сорока и белка»).</w:t>
      </w:r>
    </w:p>
    <w:p w14:paraId="61F87692">
      <w:pPr>
        <w:widowControl/>
        <w:tabs>
          <w:tab w:val="left" w:pos="1134"/>
        </w:tabs>
        <w:spacing w:after="0" w:line="360" w:lineRule="auto"/>
        <w:ind w:firstLine="709"/>
        <w:jc w:val="both"/>
        <w:rPr>
          <w:rFonts w:ascii="Times New Roman" w:hAnsi="Times New Roman"/>
          <w:bCs/>
          <w:lang w:bidi="ru-RU"/>
        </w:rPr>
      </w:pPr>
      <w:r>
        <w:rPr>
          <w:rFonts w:ascii="Times New Roman" w:hAnsi="Times New Roman"/>
          <w:bCs/>
          <w:lang w:bidi="ru-RU"/>
        </w:rPr>
        <w:t>8.7.4.5. Хĕл çитрĕ (Наступила зима).</w:t>
      </w:r>
    </w:p>
    <w:p w14:paraId="7C8F6C52">
      <w:pPr>
        <w:widowControl/>
        <w:tabs>
          <w:tab w:val="left" w:pos="1134"/>
        </w:tabs>
        <w:spacing w:after="0" w:line="360" w:lineRule="auto"/>
        <w:ind w:firstLine="709"/>
        <w:jc w:val="both"/>
        <w:rPr>
          <w:rFonts w:ascii="Times New Roman" w:hAnsi="Times New Roman"/>
          <w:bCs/>
          <w:lang w:bidi="ru-RU"/>
        </w:rPr>
      </w:pPr>
      <w:r>
        <w:rPr>
          <w:rFonts w:ascii="Times New Roman" w:hAnsi="Times New Roman"/>
          <w:bCs/>
          <w:lang w:bidi="ru-RU"/>
        </w:rPr>
        <w:t>В. Шемекеев «Тытмалла вылятпăр» («Играем в догонялки»).</w:t>
      </w:r>
    </w:p>
    <w:p w14:paraId="6E807875">
      <w:pPr>
        <w:widowControl/>
        <w:tabs>
          <w:tab w:val="left" w:pos="1134"/>
        </w:tabs>
        <w:spacing w:after="0" w:line="360" w:lineRule="auto"/>
        <w:ind w:firstLine="709"/>
        <w:jc w:val="both"/>
        <w:rPr>
          <w:rFonts w:ascii="Times New Roman" w:hAnsi="Times New Roman"/>
          <w:bCs/>
          <w:lang w:bidi="ru-RU"/>
        </w:rPr>
      </w:pPr>
      <w:r>
        <w:rPr>
          <w:rFonts w:ascii="Times New Roman" w:hAnsi="Times New Roman"/>
          <w:bCs/>
          <w:lang w:bidi="ru-RU"/>
        </w:rPr>
        <w:t>В. Эктел «Хĕл Мучи» («Дед Мороз»).</w:t>
      </w:r>
    </w:p>
    <w:p w14:paraId="3424E86C">
      <w:pPr>
        <w:widowControl/>
        <w:tabs>
          <w:tab w:val="left" w:pos="1134"/>
        </w:tabs>
        <w:spacing w:after="0" w:line="360" w:lineRule="auto"/>
        <w:ind w:firstLine="709"/>
        <w:jc w:val="both"/>
        <w:rPr>
          <w:rFonts w:ascii="Times New Roman" w:hAnsi="Times New Roman"/>
          <w:bCs/>
          <w:lang w:bidi="ru-RU"/>
        </w:rPr>
      </w:pPr>
      <w:r>
        <w:rPr>
          <w:rFonts w:ascii="Times New Roman" w:hAnsi="Times New Roman"/>
          <w:bCs/>
          <w:lang w:bidi="ru-RU"/>
        </w:rPr>
        <w:t>А. Савельев-Сас «Чи тутли» («Самое вкусное»).</w:t>
      </w:r>
    </w:p>
    <w:p w14:paraId="0833A542">
      <w:pPr>
        <w:widowControl/>
        <w:tabs>
          <w:tab w:val="left" w:pos="1134"/>
        </w:tabs>
        <w:spacing w:after="0" w:line="360" w:lineRule="auto"/>
        <w:ind w:firstLine="709"/>
        <w:jc w:val="both"/>
        <w:rPr>
          <w:rFonts w:ascii="Times New Roman" w:hAnsi="Times New Roman"/>
          <w:bCs/>
          <w:lang w:bidi="ru-RU"/>
        </w:rPr>
      </w:pPr>
      <w:r>
        <w:rPr>
          <w:rFonts w:ascii="Times New Roman" w:hAnsi="Times New Roman"/>
          <w:bCs/>
          <w:lang w:bidi="ru-RU"/>
        </w:rPr>
        <w:t>М. Сакмаров «Хамăр çерçисем» («Свои воробьи»).</w:t>
      </w:r>
    </w:p>
    <w:p w14:paraId="310BC7D6">
      <w:pPr>
        <w:widowControl/>
        <w:tabs>
          <w:tab w:val="left" w:pos="1134"/>
        </w:tabs>
        <w:spacing w:after="0" w:line="360" w:lineRule="auto"/>
        <w:ind w:firstLine="709"/>
        <w:jc w:val="both"/>
        <w:rPr>
          <w:rFonts w:ascii="Times New Roman" w:hAnsi="Times New Roman"/>
          <w:bCs/>
          <w:lang w:bidi="ru-RU"/>
        </w:rPr>
      </w:pPr>
      <w:r>
        <w:rPr>
          <w:rFonts w:ascii="Times New Roman" w:hAnsi="Times New Roman"/>
          <w:bCs/>
          <w:lang w:bidi="ru-RU"/>
        </w:rPr>
        <w:t>В. Эльби «Чи-чи кăсăя» («Чик-чирик воробей»).</w:t>
      </w:r>
    </w:p>
    <w:p w14:paraId="5BEC5C45">
      <w:pPr>
        <w:widowControl/>
        <w:tabs>
          <w:tab w:val="left" w:pos="1134"/>
        </w:tabs>
        <w:spacing w:after="0" w:line="360" w:lineRule="auto"/>
        <w:ind w:firstLine="709"/>
        <w:jc w:val="both"/>
        <w:rPr>
          <w:rFonts w:ascii="Times New Roman" w:hAnsi="Times New Roman"/>
          <w:bCs/>
          <w:lang w:bidi="ru-RU"/>
        </w:rPr>
      </w:pPr>
      <w:r>
        <w:rPr>
          <w:rFonts w:ascii="Times New Roman" w:hAnsi="Times New Roman"/>
          <w:bCs/>
          <w:lang w:bidi="ru-RU"/>
        </w:rPr>
        <w:t>Н. Ижендей «Вăрманти елка» («Ёлка в лесу»).</w:t>
      </w:r>
    </w:p>
    <w:p w14:paraId="395BD51C">
      <w:pPr>
        <w:widowControl/>
        <w:tabs>
          <w:tab w:val="left" w:pos="1134"/>
        </w:tabs>
        <w:spacing w:after="0" w:line="360" w:lineRule="auto"/>
        <w:ind w:firstLine="709"/>
        <w:jc w:val="both"/>
        <w:rPr>
          <w:rFonts w:ascii="Times New Roman" w:hAnsi="Times New Roman"/>
          <w:bCs/>
          <w:lang w:bidi="ru-RU"/>
        </w:rPr>
      </w:pPr>
      <w:r>
        <w:rPr>
          <w:rFonts w:ascii="Times New Roman" w:hAnsi="Times New Roman"/>
          <w:bCs/>
          <w:lang w:bidi="ru-RU"/>
        </w:rPr>
        <w:t>Л. Саламби «Юр пĕрчи» («Снежинка), «Икĕ Шартлама» («Два Мороза»).</w:t>
      </w:r>
    </w:p>
    <w:p w14:paraId="689D0720">
      <w:pPr>
        <w:widowControl/>
        <w:tabs>
          <w:tab w:val="left" w:pos="1134"/>
        </w:tabs>
        <w:spacing w:after="0" w:line="360" w:lineRule="auto"/>
        <w:ind w:firstLine="709"/>
        <w:jc w:val="both"/>
        <w:rPr>
          <w:rFonts w:ascii="Times New Roman" w:hAnsi="Times New Roman"/>
          <w:bCs/>
          <w:lang w:bidi="ru-RU"/>
        </w:rPr>
      </w:pPr>
      <w:r>
        <w:rPr>
          <w:rFonts w:ascii="Times New Roman" w:hAnsi="Times New Roman"/>
          <w:bCs/>
          <w:lang w:bidi="ru-RU"/>
        </w:rPr>
        <w:t>8.7.4.6. Ăстасен çĕр-шывĕнче (В стране умельцев).</w:t>
      </w:r>
    </w:p>
    <w:p w14:paraId="077EDEB6">
      <w:pPr>
        <w:widowControl/>
        <w:tabs>
          <w:tab w:val="left" w:pos="1134"/>
        </w:tabs>
        <w:spacing w:after="0" w:line="360" w:lineRule="auto"/>
        <w:ind w:firstLine="709"/>
        <w:jc w:val="both"/>
        <w:rPr>
          <w:rFonts w:ascii="Times New Roman" w:hAnsi="Times New Roman"/>
          <w:bCs/>
          <w:lang w:bidi="ru-RU"/>
        </w:rPr>
      </w:pPr>
      <w:r>
        <w:rPr>
          <w:rFonts w:ascii="Times New Roman" w:hAnsi="Times New Roman"/>
          <w:bCs/>
          <w:lang w:bidi="ru-RU"/>
        </w:rPr>
        <w:t>Е. Никитин (из рассказов), «Ĕненме пултарайман мыскара» («Неправдоподобное происшествие»), «Чи пысăк пуянлăх» («Самое большое богатство»).</w:t>
      </w:r>
    </w:p>
    <w:p w14:paraId="0225A654">
      <w:pPr>
        <w:widowControl/>
        <w:tabs>
          <w:tab w:val="left" w:pos="1134"/>
        </w:tabs>
        <w:spacing w:after="0" w:line="360" w:lineRule="auto"/>
        <w:ind w:firstLine="709"/>
        <w:jc w:val="both"/>
        <w:rPr>
          <w:rFonts w:ascii="Times New Roman" w:hAnsi="Times New Roman"/>
          <w:bCs/>
          <w:lang w:bidi="ru-RU"/>
        </w:rPr>
      </w:pPr>
      <w:r>
        <w:rPr>
          <w:rFonts w:ascii="Times New Roman" w:hAnsi="Times New Roman"/>
          <w:bCs/>
          <w:lang w:bidi="ru-RU"/>
        </w:rPr>
        <w:t>Н. Ыдарай «Пăри пăтти» («Полбенная каша»).</w:t>
      </w:r>
    </w:p>
    <w:p w14:paraId="16F793A9">
      <w:pPr>
        <w:widowControl/>
        <w:tabs>
          <w:tab w:val="left" w:pos="1134"/>
        </w:tabs>
        <w:spacing w:after="0" w:line="360" w:lineRule="auto"/>
        <w:ind w:firstLine="709"/>
        <w:jc w:val="both"/>
        <w:rPr>
          <w:rFonts w:ascii="Times New Roman" w:hAnsi="Times New Roman"/>
          <w:bCs/>
          <w:lang w:bidi="ru-RU"/>
        </w:rPr>
      </w:pPr>
      <w:r>
        <w:rPr>
          <w:rFonts w:ascii="Times New Roman" w:hAnsi="Times New Roman"/>
          <w:bCs/>
          <w:lang w:bidi="ru-RU"/>
        </w:rPr>
        <w:t>М. Мерчен «Ĕçлеме пĕлни аван» («Хорошо быть умельцем»).</w:t>
      </w:r>
    </w:p>
    <w:p w14:paraId="6D9898E1">
      <w:pPr>
        <w:widowControl/>
        <w:tabs>
          <w:tab w:val="left" w:pos="1134"/>
        </w:tabs>
        <w:spacing w:after="0" w:line="360" w:lineRule="auto"/>
        <w:ind w:firstLine="709"/>
        <w:jc w:val="both"/>
        <w:rPr>
          <w:rFonts w:ascii="Times New Roman" w:hAnsi="Times New Roman"/>
          <w:bCs/>
          <w:lang w:bidi="ru-RU"/>
        </w:rPr>
      </w:pPr>
      <w:r>
        <w:rPr>
          <w:rFonts w:ascii="Times New Roman" w:hAnsi="Times New Roman"/>
          <w:bCs/>
          <w:lang w:bidi="ru-RU"/>
        </w:rPr>
        <w:t>Л. Сорокина «Маттур Сантăр» («Молодец»).</w:t>
      </w:r>
    </w:p>
    <w:p w14:paraId="34AB279E">
      <w:pPr>
        <w:widowControl/>
        <w:tabs>
          <w:tab w:val="left" w:pos="1134"/>
        </w:tabs>
        <w:spacing w:after="0" w:line="360" w:lineRule="auto"/>
        <w:ind w:firstLine="709"/>
        <w:jc w:val="both"/>
        <w:rPr>
          <w:rFonts w:ascii="Times New Roman" w:hAnsi="Times New Roman"/>
          <w:bCs/>
          <w:lang w:bidi="ru-RU"/>
        </w:rPr>
      </w:pPr>
      <w:r>
        <w:rPr>
          <w:rFonts w:ascii="Times New Roman" w:hAnsi="Times New Roman"/>
          <w:bCs/>
          <w:lang w:bidi="ru-RU"/>
        </w:rPr>
        <w:t>А. Ыхра «Пăрчăкан пек хĕр ача» («Живая девочка»).</w:t>
      </w:r>
    </w:p>
    <w:p w14:paraId="10D78D9C">
      <w:pPr>
        <w:widowControl/>
        <w:tabs>
          <w:tab w:val="left" w:pos="1134"/>
        </w:tabs>
        <w:spacing w:after="0" w:line="360" w:lineRule="auto"/>
        <w:ind w:firstLine="709"/>
        <w:jc w:val="both"/>
        <w:rPr>
          <w:rFonts w:ascii="Times New Roman" w:hAnsi="Times New Roman"/>
          <w:bCs/>
          <w:lang w:bidi="ru-RU"/>
        </w:rPr>
      </w:pPr>
      <w:r>
        <w:rPr>
          <w:rFonts w:ascii="Times New Roman" w:hAnsi="Times New Roman"/>
          <w:bCs/>
          <w:lang w:bidi="ru-RU"/>
        </w:rPr>
        <w:t>И. Чермаков «Пĕçейӳçĕ» («Повариха»).</w:t>
      </w:r>
    </w:p>
    <w:p w14:paraId="206912B8">
      <w:pPr>
        <w:widowControl/>
        <w:tabs>
          <w:tab w:val="left" w:pos="1134"/>
        </w:tabs>
        <w:spacing w:after="0" w:line="360" w:lineRule="auto"/>
        <w:ind w:firstLine="709"/>
        <w:jc w:val="both"/>
        <w:rPr>
          <w:rFonts w:ascii="Times New Roman" w:hAnsi="Times New Roman"/>
          <w:bCs/>
          <w:lang w:bidi="ru-RU"/>
        </w:rPr>
      </w:pPr>
      <w:r>
        <w:rPr>
          <w:rFonts w:ascii="Times New Roman" w:hAnsi="Times New Roman"/>
          <w:bCs/>
          <w:lang w:bidi="ru-RU"/>
        </w:rPr>
        <w:t>Л. Федорова «Касма пулать» («Можно резать»), «Ырă атте-анне» («Добрые родители»).</w:t>
      </w:r>
    </w:p>
    <w:p w14:paraId="5AE17370">
      <w:pPr>
        <w:widowControl/>
        <w:tabs>
          <w:tab w:val="left" w:pos="1134"/>
        </w:tabs>
        <w:spacing w:after="0" w:line="360" w:lineRule="auto"/>
        <w:ind w:firstLine="709"/>
        <w:jc w:val="both"/>
        <w:rPr>
          <w:rFonts w:ascii="Times New Roman" w:hAnsi="Times New Roman"/>
          <w:bCs/>
          <w:lang w:bidi="ru-RU"/>
        </w:rPr>
      </w:pPr>
      <w:r>
        <w:rPr>
          <w:rFonts w:ascii="Times New Roman" w:hAnsi="Times New Roman"/>
          <w:bCs/>
          <w:lang w:bidi="ru-RU"/>
        </w:rPr>
        <w:t>Р. Сарби «Саплăклă шăлавар» («Шаровары с заплаткой»).</w:t>
      </w:r>
    </w:p>
    <w:p w14:paraId="6E038F92">
      <w:pPr>
        <w:widowControl/>
        <w:tabs>
          <w:tab w:val="left" w:pos="1134"/>
        </w:tabs>
        <w:spacing w:after="0" w:line="360" w:lineRule="auto"/>
        <w:ind w:firstLine="709"/>
        <w:jc w:val="both"/>
        <w:rPr>
          <w:rFonts w:ascii="Times New Roman" w:hAnsi="Times New Roman"/>
          <w:bCs/>
          <w:lang w:bidi="ru-RU"/>
        </w:rPr>
      </w:pPr>
      <w:r>
        <w:rPr>
          <w:rFonts w:ascii="Times New Roman" w:hAnsi="Times New Roman"/>
          <w:bCs/>
          <w:lang w:bidi="ru-RU"/>
        </w:rPr>
        <w:t>8.7.4.7. Пирĕн çемье (Наша семья).</w:t>
      </w:r>
    </w:p>
    <w:p w14:paraId="03F22949">
      <w:pPr>
        <w:widowControl/>
        <w:tabs>
          <w:tab w:val="left" w:pos="1134"/>
        </w:tabs>
        <w:spacing w:after="0" w:line="360" w:lineRule="auto"/>
        <w:ind w:firstLine="709"/>
        <w:jc w:val="both"/>
        <w:rPr>
          <w:rFonts w:ascii="Times New Roman" w:hAnsi="Times New Roman"/>
          <w:bCs/>
          <w:lang w:bidi="ru-RU"/>
        </w:rPr>
      </w:pPr>
      <w:r>
        <w:rPr>
          <w:rFonts w:ascii="Times New Roman" w:hAnsi="Times New Roman"/>
          <w:bCs/>
          <w:lang w:bidi="ru-RU"/>
        </w:rPr>
        <w:t>П. Сялгусь «Хама çеç, тен, хăналас» («Угощу-ка я только себя...»).</w:t>
      </w:r>
    </w:p>
    <w:p w14:paraId="7AF2ED78">
      <w:pPr>
        <w:widowControl/>
        <w:tabs>
          <w:tab w:val="left" w:pos="1134"/>
        </w:tabs>
        <w:spacing w:after="0" w:line="360" w:lineRule="auto"/>
        <w:ind w:firstLine="709"/>
        <w:jc w:val="both"/>
        <w:rPr>
          <w:rFonts w:ascii="Times New Roman" w:hAnsi="Times New Roman"/>
          <w:bCs/>
          <w:lang w:bidi="ru-RU"/>
        </w:rPr>
      </w:pPr>
      <w:r>
        <w:rPr>
          <w:rFonts w:ascii="Times New Roman" w:hAnsi="Times New Roman"/>
          <w:bCs/>
          <w:lang w:bidi="ru-RU"/>
        </w:rPr>
        <w:t>А. Савельев-Сас «Пирĕн çемье» («Наша семья»).</w:t>
      </w:r>
    </w:p>
    <w:p w14:paraId="5F916F35">
      <w:pPr>
        <w:widowControl/>
        <w:tabs>
          <w:tab w:val="left" w:pos="1134"/>
        </w:tabs>
        <w:spacing w:after="0" w:line="360" w:lineRule="auto"/>
        <w:ind w:firstLine="709"/>
        <w:jc w:val="both"/>
        <w:rPr>
          <w:rFonts w:ascii="Times New Roman" w:hAnsi="Times New Roman"/>
          <w:bCs/>
          <w:lang w:bidi="ru-RU"/>
        </w:rPr>
      </w:pPr>
      <w:r>
        <w:rPr>
          <w:rFonts w:ascii="Times New Roman" w:hAnsi="Times New Roman"/>
          <w:bCs/>
          <w:lang w:bidi="ru-RU"/>
        </w:rPr>
        <w:t>В. Палюк «Пулăшатăп» («Помогаю»).</w:t>
      </w:r>
    </w:p>
    <w:p w14:paraId="2B9C8158">
      <w:pPr>
        <w:widowControl/>
        <w:tabs>
          <w:tab w:val="left" w:pos="1134"/>
        </w:tabs>
        <w:spacing w:after="0" w:line="360" w:lineRule="auto"/>
        <w:ind w:firstLine="709"/>
        <w:jc w:val="both"/>
        <w:rPr>
          <w:rFonts w:ascii="Times New Roman" w:hAnsi="Times New Roman"/>
          <w:bCs/>
          <w:lang w:bidi="ru-RU"/>
        </w:rPr>
      </w:pPr>
      <w:r>
        <w:rPr>
          <w:rFonts w:ascii="Times New Roman" w:hAnsi="Times New Roman"/>
          <w:bCs/>
          <w:lang w:bidi="ru-RU"/>
        </w:rPr>
        <w:t>Л. Сарине «Наçтукпа Мухтар» («Настя и Мухтар»).</w:t>
      </w:r>
    </w:p>
    <w:p w14:paraId="0CB7A8B9">
      <w:pPr>
        <w:widowControl/>
        <w:tabs>
          <w:tab w:val="left" w:pos="1134"/>
        </w:tabs>
        <w:spacing w:after="0" w:line="360" w:lineRule="auto"/>
        <w:ind w:firstLine="709"/>
        <w:jc w:val="both"/>
        <w:rPr>
          <w:rFonts w:ascii="Times New Roman" w:hAnsi="Times New Roman"/>
          <w:bCs/>
          <w:lang w:bidi="ru-RU"/>
        </w:rPr>
      </w:pPr>
      <w:r>
        <w:rPr>
          <w:rFonts w:ascii="Times New Roman" w:hAnsi="Times New Roman"/>
          <w:bCs/>
          <w:lang w:bidi="ru-RU"/>
        </w:rPr>
        <w:t>П. Ялгир «Ĕмĕт пысăк» («Большие мечты»).</w:t>
      </w:r>
    </w:p>
    <w:p w14:paraId="4D82DB7D">
      <w:pPr>
        <w:widowControl/>
        <w:tabs>
          <w:tab w:val="left" w:pos="1134"/>
        </w:tabs>
        <w:spacing w:after="0" w:line="360" w:lineRule="auto"/>
        <w:ind w:firstLine="709"/>
        <w:jc w:val="both"/>
        <w:rPr>
          <w:rFonts w:ascii="Times New Roman" w:hAnsi="Times New Roman"/>
          <w:bCs/>
          <w:lang w:bidi="ru-RU"/>
        </w:rPr>
      </w:pPr>
      <w:r>
        <w:rPr>
          <w:rFonts w:ascii="Times New Roman" w:hAnsi="Times New Roman"/>
          <w:bCs/>
          <w:lang w:bidi="ru-RU"/>
        </w:rPr>
        <w:t>Ю. Аксу «Илемпи» («Илемпи»).</w:t>
      </w:r>
    </w:p>
    <w:p w14:paraId="02509A15">
      <w:pPr>
        <w:widowControl/>
        <w:tabs>
          <w:tab w:val="left" w:pos="1134"/>
        </w:tabs>
        <w:spacing w:after="0" w:line="360" w:lineRule="auto"/>
        <w:ind w:firstLine="709"/>
        <w:jc w:val="both"/>
        <w:rPr>
          <w:rFonts w:ascii="Times New Roman" w:hAnsi="Times New Roman"/>
          <w:bCs/>
          <w:lang w:val="bg-BG" w:bidi="ru-RU"/>
        </w:rPr>
      </w:pPr>
      <w:r>
        <w:rPr>
          <w:rFonts w:ascii="Times New Roman" w:hAnsi="Times New Roman"/>
          <w:bCs/>
          <w:lang w:bidi="ru-RU"/>
        </w:rPr>
        <w:t>8.7.4.8. Килчĕ çитрĕ çуркунне (Пришла весна).</w:t>
      </w:r>
    </w:p>
    <w:p w14:paraId="312A8DD4">
      <w:pPr>
        <w:widowControl/>
        <w:tabs>
          <w:tab w:val="left" w:pos="1134"/>
        </w:tabs>
        <w:spacing w:after="0" w:line="360" w:lineRule="auto"/>
        <w:ind w:firstLine="709"/>
        <w:jc w:val="both"/>
        <w:rPr>
          <w:rFonts w:ascii="Times New Roman" w:hAnsi="Times New Roman"/>
          <w:bCs/>
          <w:lang w:val="bg-BG" w:bidi="ru-RU"/>
        </w:rPr>
      </w:pPr>
      <w:r>
        <w:rPr>
          <w:rFonts w:ascii="Times New Roman" w:hAnsi="Times New Roman"/>
          <w:bCs/>
          <w:lang w:val="bg-BG" w:bidi="ru-RU"/>
        </w:rPr>
        <w:t>Чувашская народная сказка «Юрпи</w:t>
      </w:r>
      <w:r>
        <w:rPr>
          <w:rFonts w:ascii="Times New Roman" w:hAnsi="Times New Roman"/>
          <w:bCs/>
          <w:lang w:bidi="ru-RU"/>
        </w:rPr>
        <w:t xml:space="preserve">» </w:t>
      </w:r>
      <w:r>
        <w:rPr>
          <w:rFonts w:ascii="Times New Roman" w:hAnsi="Times New Roman"/>
          <w:bCs/>
          <w:lang w:val="bg-BG" w:bidi="ru-RU"/>
        </w:rPr>
        <w:t>(</w:t>
      </w:r>
      <w:r>
        <w:rPr>
          <w:rFonts w:ascii="Times New Roman" w:hAnsi="Times New Roman"/>
          <w:bCs/>
          <w:lang w:bidi="ru-RU"/>
        </w:rPr>
        <w:t>«</w:t>
      </w:r>
      <w:r>
        <w:rPr>
          <w:rFonts w:ascii="Times New Roman" w:hAnsi="Times New Roman"/>
          <w:bCs/>
          <w:lang w:val="bg-BG" w:bidi="ru-RU"/>
        </w:rPr>
        <w:t>Снегурочка</w:t>
      </w:r>
      <w:r>
        <w:rPr>
          <w:rFonts w:ascii="Times New Roman" w:hAnsi="Times New Roman"/>
          <w:bCs/>
          <w:lang w:bidi="ru-RU"/>
        </w:rPr>
        <w:t>»</w:t>
      </w:r>
      <w:r>
        <w:rPr>
          <w:rFonts w:ascii="Times New Roman" w:hAnsi="Times New Roman"/>
          <w:bCs/>
          <w:lang w:val="bg-BG" w:bidi="ru-RU"/>
        </w:rPr>
        <w:t>).</w:t>
      </w:r>
    </w:p>
    <w:p w14:paraId="44598014">
      <w:pPr>
        <w:widowControl/>
        <w:tabs>
          <w:tab w:val="left" w:pos="1134"/>
        </w:tabs>
        <w:spacing w:after="0" w:line="360" w:lineRule="auto"/>
        <w:ind w:firstLine="709"/>
        <w:jc w:val="both"/>
        <w:rPr>
          <w:rFonts w:ascii="Times New Roman" w:hAnsi="Times New Roman"/>
          <w:bCs/>
          <w:lang w:bidi="ru-RU"/>
        </w:rPr>
      </w:pPr>
      <w:r>
        <w:rPr>
          <w:rFonts w:ascii="Times New Roman" w:hAnsi="Times New Roman"/>
          <w:bCs/>
          <w:lang w:bidi="ru-RU"/>
        </w:rPr>
        <w:t>Б. Данилов «Чи тутлисем» («Самые вкусные»).</w:t>
      </w:r>
    </w:p>
    <w:p w14:paraId="0FE57B52">
      <w:pPr>
        <w:widowControl/>
        <w:tabs>
          <w:tab w:val="left" w:pos="1134"/>
        </w:tabs>
        <w:spacing w:after="0" w:line="360" w:lineRule="auto"/>
        <w:ind w:firstLine="709"/>
        <w:jc w:val="both"/>
        <w:rPr>
          <w:rFonts w:ascii="Times New Roman" w:hAnsi="Times New Roman"/>
          <w:bCs/>
          <w:lang w:bidi="ru-RU"/>
        </w:rPr>
      </w:pPr>
      <w:r>
        <w:rPr>
          <w:rFonts w:ascii="Times New Roman" w:hAnsi="Times New Roman"/>
          <w:bCs/>
          <w:lang w:bidi="ru-RU"/>
        </w:rPr>
        <w:t>С. Хумма «Çуркунне умĕн» («Перед весной»).</w:t>
      </w:r>
    </w:p>
    <w:p w14:paraId="546E8DE9">
      <w:pPr>
        <w:widowControl/>
        <w:tabs>
          <w:tab w:val="left" w:pos="1134"/>
        </w:tabs>
        <w:spacing w:after="0" w:line="360" w:lineRule="auto"/>
        <w:ind w:firstLine="709"/>
        <w:jc w:val="both"/>
        <w:rPr>
          <w:rFonts w:ascii="Times New Roman" w:hAnsi="Times New Roman"/>
          <w:bCs/>
          <w:lang w:bidi="ru-RU"/>
        </w:rPr>
      </w:pPr>
      <w:r>
        <w:rPr>
          <w:rFonts w:ascii="Times New Roman" w:hAnsi="Times New Roman"/>
          <w:bCs/>
          <w:lang w:bidi="ru-RU"/>
        </w:rPr>
        <w:t>Н. Шелеби «Шăнкăрч» («Скворец»).</w:t>
      </w:r>
    </w:p>
    <w:p w14:paraId="7495CCA2">
      <w:pPr>
        <w:widowControl/>
        <w:tabs>
          <w:tab w:val="left" w:pos="1134"/>
        </w:tabs>
        <w:spacing w:after="0" w:line="360" w:lineRule="auto"/>
        <w:ind w:firstLine="709"/>
        <w:jc w:val="both"/>
        <w:rPr>
          <w:rFonts w:ascii="Times New Roman" w:hAnsi="Times New Roman"/>
          <w:bCs/>
          <w:lang w:bidi="ru-RU"/>
        </w:rPr>
      </w:pPr>
      <w:r>
        <w:rPr>
          <w:rFonts w:ascii="Times New Roman" w:hAnsi="Times New Roman"/>
          <w:bCs/>
          <w:lang w:bidi="ru-RU"/>
        </w:rPr>
        <w:t>А. Калган «Шăнкăрч йăви» («Скворечник»).</w:t>
      </w:r>
    </w:p>
    <w:p w14:paraId="4C692D85">
      <w:pPr>
        <w:widowControl/>
        <w:tabs>
          <w:tab w:val="left" w:pos="1134"/>
        </w:tabs>
        <w:spacing w:after="0" w:line="360" w:lineRule="auto"/>
        <w:ind w:firstLine="709"/>
        <w:jc w:val="both"/>
        <w:rPr>
          <w:rFonts w:ascii="Times New Roman" w:hAnsi="Times New Roman"/>
          <w:bCs/>
          <w:lang w:bidi="ru-RU"/>
        </w:rPr>
      </w:pPr>
      <w:r>
        <w:rPr>
          <w:rFonts w:ascii="Times New Roman" w:hAnsi="Times New Roman"/>
          <w:bCs/>
          <w:lang w:bidi="ru-RU"/>
        </w:rPr>
        <w:t>К. Иванов «Килчĕ ырă çуркунне» («Пришла весна»).</w:t>
      </w:r>
    </w:p>
    <w:p w14:paraId="17F02BC9">
      <w:pPr>
        <w:widowControl/>
        <w:tabs>
          <w:tab w:val="left" w:pos="1134"/>
        </w:tabs>
        <w:spacing w:after="0" w:line="360" w:lineRule="auto"/>
        <w:ind w:firstLine="709"/>
        <w:jc w:val="both"/>
        <w:rPr>
          <w:rFonts w:ascii="Times New Roman" w:hAnsi="Times New Roman"/>
          <w:bCs/>
          <w:lang w:val="bg-BG" w:bidi="ru-RU"/>
        </w:rPr>
      </w:pPr>
      <w:r>
        <w:rPr>
          <w:rFonts w:ascii="Times New Roman" w:hAnsi="Times New Roman"/>
          <w:bCs/>
          <w:lang w:bidi="ru-RU"/>
        </w:rPr>
        <w:t>8.7.4.9. Çулла (Летом).</w:t>
      </w:r>
    </w:p>
    <w:p w14:paraId="2DDBC0BD">
      <w:pPr>
        <w:widowControl/>
        <w:tabs>
          <w:tab w:val="left" w:pos="1134"/>
        </w:tabs>
        <w:spacing w:after="0" w:line="360" w:lineRule="auto"/>
        <w:ind w:firstLine="709"/>
        <w:jc w:val="both"/>
        <w:rPr>
          <w:rFonts w:ascii="Times New Roman" w:hAnsi="Times New Roman"/>
          <w:bCs/>
          <w:lang w:val="bg-BG" w:bidi="ru-RU"/>
        </w:rPr>
      </w:pPr>
      <w:r>
        <w:rPr>
          <w:rFonts w:ascii="Times New Roman" w:hAnsi="Times New Roman"/>
          <w:bCs/>
          <w:lang w:val="bg-BG" w:bidi="ru-RU"/>
        </w:rPr>
        <w:t xml:space="preserve">Г. Юмарт </w:t>
      </w:r>
      <w:r>
        <w:rPr>
          <w:rFonts w:ascii="Times New Roman" w:hAnsi="Times New Roman"/>
          <w:bCs/>
          <w:lang w:bidi="ru-RU"/>
        </w:rPr>
        <w:t>«</w:t>
      </w:r>
      <w:r>
        <w:rPr>
          <w:rFonts w:ascii="Times New Roman" w:hAnsi="Times New Roman"/>
          <w:bCs/>
          <w:lang w:val="bg-BG" w:bidi="ru-RU"/>
        </w:rPr>
        <w:t>Кайăк юрри</w:t>
      </w:r>
      <w:r>
        <w:rPr>
          <w:rFonts w:ascii="Times New Roman" w:hAnsi="Times New Roman"/>
          <w:bCs/>
          <w:lang w:bidi="ru-RU"/>
        </w:rPr>
        <w:t>»</w:t>
      </w:r>
      <w:r>
        <w:rPr>
          <w:rFonts w:ascii="Times New Roman" w:hAnsi="Times New Roman"/>
          <w:bCs/>
          <w:lang w:val="bg-BG" w:bidi="ru-RU"/>
        </w:rPr>
        <w:t xml:space="preserve"> (</w:t>
      </w:r>
      <w:r>
        <w:rPr>
          <w:rFonts w:ascii="Times New Roman" w:hAnsi="Times New Roman"/>
          <w:bCs/>
          <w:lang w:bidi="ru-RU"/>
        </w:rPr>
        <w:t>«</w:t>
      </w:r>
      <w:r>
        <w:rPr>
          <w:rFonts w:ascii="Times New Roman" w:hAnsi="Times New Roman"/>
          <w:bCs/>
          <w:lang w:val="bg-BG" w:bidi="ru-RU"/>
        </w:rPr>
        <w:t>Песня птиц</w:t>
      </w:r>
      <w:r>
        <w:rPr>
          <w:rFonts w:ascii="Times New Roman" w:hAnsi="Times New Roman"/>
          <w:bCs/>
          <w:lang w:bidi="ru-RU"/>
        </w:rPr>
        <w:t>»</w:t>
      </w:r>
      <w:r>
        <w:rPr>
          <w:rFonts w:ascii="Times New Roman" w:hAnsi="Times New Roman"/>
          <w:bCs/>
          <w:lang w:val="bg-BG" w:bidi="ru-RU"/>
        </w:rPr>
        <w:t>).</w:t>
      </w:r>
    </w:p>
    <w:p w14:paraId="1969BDB9">
      <w:pPr>
        <w:widowControl/>
        <w:tabs>
          <w:tab w:val="left" w:pos="1134"/>
        </w:tabs>
        <w:spacing w:after="0" w:line="360" w:lineRule="auto"/>
        <w:ind w:firstLine="709"/>
        <w:jc w:val="both"/>
        <w:rPr>
          <w:rFonts w:ascii="Times New Roman" w:hAnsi="Times New Roman"/>
          <w:bCs/>
          <w:lang w:val="bg-BG" w:bidi="ru-RU"/>
        </w:rPr>
      </w:pPr>
      <w:r>
        <w:rPr>
          <w:rFonts w:ascii="Times New Roman" w:hAnsi="Times New Roman"/>
          <w:bCs/>
          <w:lang w:val="bg-BG" w:bidi="ru-RU"/>
        </w:rPr>
        <w:t xml:space="preserve">В. Тарават </w:t>
      </w:r>
      <w:r>
        <w:rPr>
          <w:rFonts w:ascii="Times New Roman" w:hAnsi="Times New Roman"/>
          <w:bCs/>
          <w:lang w:bidi="ru-RU"/>
        </w:rPr>
        <w:t>«</w:t>
      </w:r>
      <w:r>
        <w:rPr>
          <w:rFonts w:ascii="Times New Roman" w:hAnsi="Times New Roman"/>
          <w:bCs/>
          <w:lang w:val="bg-BG" w:bidi="ru-RU"/>
        </w:rPr>
        <w:t>Вăрман парни</w:t>
      </w:r>
      <w:r>
        <w:rPr>
          <w:rFonts w:ascii="Times New Roman" w:hAnsi="Times New Roman"/>
          <w:bCs/>
          <w:lang w:bidi="ru-RU"/>
        </w:rPr>
        <w:t>»</w:t>
      </w:r>
      <w:r>
        <w:rPr>
          <w:rFonts w:ascii="Times New Roman" w:hAnsi="Times New Roman"/>
          <w:bCs/>
          <w:lang w:val="bg-BG" w:bidi="ru-RU"/>
        </w:rPr>
        <w:t xml:space="preserve"> (</w:t>
      </w:r>
      <w:r>
        <w:rPr>
          <w:rFonts w:ascii="Times New Roman" w:hAnsi="Times New Roman"/>
          <w:bCs/>
          <w:lang w:bidi="ru-RU"/>
        </w:rPr>
        <w:t>«</w:t>
      </w:r>
      <w:r>
        <w:rPr>
          <w:rFonts w:ascii="Times New Roman" w:hAnsi="Times New Roman"/>
          <w:bCs/>
          <w:lang w:val="bg-BG" w:bidi="ru-RU"/>
        </w:rPr>
        <w:t>Дары леса</w:t>
      </w:r>
      <w:r>
        <w:rPr>
          <w:rFonts w:ascii="Times New Roman" w:hAnsi="Times New Roman"/>
          <w:bCs/>
          <w:lang w:bidi="ru-RU"/>
        </w:rPr>
        <w:t>»</w:t>
      </w:r>
      <w:r>
        <w:rPr>
          <w:rFonts w:ascii="Times New Roman" w:hAnsi="Times New Roman"/>
          <w:bCs/>
          <w:lang w:val="bg-BG" w:bidi="ru-RU"/>
        </w:rPr>
        <w:t>).</w:t>
      </w:r>
    </w:p>
    <w:p w14:paraId="1456BABA">
      <w:pPr>
        <w:widowControl/>
        <w:tabs>
          <w:tab w:val="left" w:pos="1134"/>
        </w:tabs>
        <w:spacing w:after="0" w:line="360" w:lineRule="auto"/>
        <w:ind w:firstLine="709"/>
        <w:jc w:val="both"/>
        <w:rPr>
          <w:rFonts w:ascii="Times New Roman" w:hAnsi="Times New Roman"/>
          <w:bCs/>
          <w:lang w:bidi="ru-RU"/>
        </w:rPr>
      </w:pPr>
      <w:r>
        <w:rPr>
          <w:rFonts w:ascii="Times New Roman" w:hAnsi="Times New Roman"/>
          <w:bCs/>
          <w:lang w:bidi="ru-RU"/>
        </w:rPr>
        <w:t>Л. Сорокина «Çумăр хыççăн» («После дождя»).</w:t>
      </w:r>
    </w:p>
    <w:p w14:paraId="249BDB41">
      <w:pPr>
        <w:widowControl/>
        <w:tabs>
          <w:tab w:val="left" w:pos="1134"/>
        </w:tabs>
        <w:spacing w:after="0" w:line="360" w:lineRule="auto"/>
        <w:ind w:firstLine="709"/>
        <w:jc w:val="both"/>
        <w:rPr>
          <w:rFonts w:ascii="Times New Roman" w:hAnsi="Times New Roman"/>
          <w:bCs/>
          <w:lang w:bidi="ru-RU"/>
        </w:rPr>
      </w:pPr>
      <w:r>
        <w:rPr>
          <w:rFonts w:ascii="Times New Roman" w:hAnsi="Times New Roman"/>
          <w:bCs/>
          <w:lang w:bidi="ru-RU"/>
        </w:rPr>
        <w:t>П. Хузангай «Юман» («Дуб»).</w:t>
      </w:r>
    </w:p>
    <w:p w14:paraId="3830D5BD">
      <w:pPr>
        <w:widowControl/>
        <w:tabs>
          <w:tab w:val="left" w:pos="1134"/>
        </w:tabs>
        <w:spacing w:after="0" w:line="360" w:lineRule="auto"/>
        <w:ind w:firstLine="709"/>
        <w:jc w:val="both"/>
        <w:rPr>
          <w:rFonts w:ascii="Times New Roman" w:hAnsi="Times New Roman"/>
          <w:bCs/>
          <w:lang w:bidi="ru-RU"/>
        </w:rPr>
      </w:pPr>
      <w:r>
        <w:rPr>
          <w:rFonts w:ascii="Times New Roman" w:hAnsi="Times New Roman"/>
          <w:bCs/>
          <w:lang w:bidi="ru-RU"/>
        </w:rPr>
        <w:t>8.8. Содержание обучения в 3 классе.</w:t>
      </w:r>
    </w:p>
    <w:p w14:paraId="0FC44889">
      <w:pPr>
        <w:widowControl/>
        <w:tabs>
          <w:tab w:val="left" w:pos="1134"/>
        </w:tabs>
        <w:spacing w:after="0" w:line="360" w:lineRule="auto"/>
        <w:ind w:firstLine="709"/>
        <w:jc w:val="both"/>
        <w:rPr>
          <w:rFonts w:ascii="Times New Roman" w:hAnsi="Times New Roman"/>
          <w:bCs/>
          <w:lang w:bidi="ru-RU"/>
        </w:rPr>
      </w:pPr>
      <w:r>
        <w:rPr>
          <w:rFonts w:ascii="Times New Roman" w:hAnsi="Times New Roman"/>
          <w:bCs/>
          <w:lang w:bidi="ru-RU"/>
        </w:rPr>
        <w:t>8.8.1. Развитие речи.</w:t>
      </w:r>
    </w:p>
    <w:p w14:paraId="507D2122">
      <w:pPr>
        <w:widowControl/>
        <w:tabs>
          <w:tab w:val="left" w:pos="1134"/>
        </w:tabs>
        <w:spacing w:after="0" w:line="360" w:lineRule="auto"/>
        <w:ind w:firstLine="709"/>
        <w:jc w:val="both"/>
        <w:rPr>
          <w:rFonts w:ascii="Times New Roman" w:hAnsi="Times New Roman"/>
          <w:bCs/>
          <w:lang w:bidi="ru-RU"/>
        </w:rPr>
      </w:pPr>
      <w:r>
        <w:rPr>
          <w:rFonts w:ascii="Times New Roman" w:hAnsi="Times New Roman"/>
          <w:bCs/>
          <w:lang w:bidi="ru-RU"/>
        </w:rPr>
        <w:t>8.8.1.1. Аудирование.</w:t>
      </w:r>
    </w:p>
    <w:p w14:paraId="553BF756">
      <w:pPr>
        <w:widowControl/>
        <w:tabs>
          <w:tab w:val="left" w:pos="1134"/>
        </w:tabs>
        <w:spacing w:after="0" w:line="360" w:lineRule="auto"/>
        <w:ind w:firstLine="709"/>
        <w:jc w:val="both"/>
        <w:rPr>
          <w:rFonts w:ascii="Times New Roman" w:hAnsi="Times New Roman"/>
          <w:bCs/>
          <w:lang w:bidi="ru-RU"/>
        </w:rPr>
      </w:pPr>
      <w:r>
        <w:rPr>
          <w:rFonts w:ascii="Times New Roman" w:hAnsi="Times New Roman"/>
          <w:bCs/>
          <w:lang w:bidi="ru-RU"/>
        </w:rPr>
        <w:t>Восприятие на слух звучащей чувашской речи. Понимание темы прослушанного текста как сути его содержания. Перечисление основных фактов в той последовательности, в которой они даны в прослушанном тексте.</w:t>
      </w:r>
    </w:p>
    <w:p w14:paraId="3F392259">
      <w:pPr>
        <w:widowControl/>
        <w:tabs>
          <w:tab w:val="left" w:pos="1134"/>
        </w:tabs>
        <w:spacing w:after="0" w:line="360" w:lineRule="auto"/>
        <w:ind w:firstLine="709"/>
        <w:jc w:val="both"/>
        <w:rPr>
          <w:rFonts w:ascii="Times New Roman" w:hAnsi="Times New Roman"/>
          <w:bCs/>
          <w:lang w:bidi="ru-RU"/>
        </w:rPr>
      </w:pPr>
      <w:r>
        <w:rPr>
          <w:rFonts w:ascii="Times New Roman" w:hAnsi="Times New Roman"/>
          <w:bCs/>
          <w:lang w:bidi="ru-RU"/>
        </w:rPr>
        <w:t>8.8.1.2. Чтение.</w:t>
      </w:r>
    </w:p>
    <w:p w14:paraId="4A1A318F">
      <w:pPr>
        <w:widowControl/>
        <w:tabs>
          <w:tab w:val="left" w:pos="1134"/>
        </w:tabs>
        <w:spacing w:after="0" w:line="360" w:lineRule="auto"/>
        <w:ind w:firstLine="709"/>
        <w:jc w:val="both"/>
        <w:rPr>
          <w:rFonts w:ascii="Times New Roman" w:hAnsi="Times New Roman"/>
          <w:bCs/>
          <w:lang w:bidi="ru-RU"/>
        </w:rPr>
      </w:pPr>
      <w:r>
        <w:rPr>
          <w:rFonts w:ascii="Times New Roman" w:hAnsi="Times New Roman"/>
          <w:bCs/>
          <w:lang w:bidi="ru-RU"/>
        </w:rPr>
        <w:t>Правильное, осмысленное, выразительное, плавное чтение вслух. Осознанное чтение про себя. Умение обращаться к разным видам чтения в соответствии с учебной задачей.</w:t>
      </w:r>
    </w:p>
    <w:p w14:paraId="2B359E5C">
      <w:pPr>
        <w:widowControl/>
        <w:tabs>
          <w:tab w:val="left" w:pos="1134"/>
        </w:tabs>
        <w:spacing w:after="0" w:line="360" w:lineRule="auto"/>
        <w:ind w:firstLine="709"/>
        <w:jc w:val="both"/>
        <w:rPr>
          <w:rFonts w:ascii="Times New Roman" w:hAnsi="Times New Roman"/>
          <w:bCs/>
          <w:lang w:bidi="ru-RU"/>
        </w:rPr>
      </w:pPr>
      <w:r>
        <w:rPr>
          <w:rFonts w:ascii="Times New Roman" w:hAnsi="Times New Roman"/>
          <w:bCs/>
          <w:lang w:bidi="ru-RU"/>
        </w:rPr>
        <w:t>8.8.1.3. Говорение.</w:t>
      </w:r>
    </w:p>
    <w:p w14:paraId="40C01B24">
      <w:pPr>
        <w:widowControl/>
        <w:tabs>
          <w:tab w:val="left" w:pos="1134"/>
        </w:tabs>
        <w:spacing w:after="0" w:line="360" w:lineRule="auto"/>
        <w:ind w:firstLine="709"/>
        <w:jc w:val="both"/>
        <w:rPr>
          <w:rFonts w:ascii="Times New Roman" w:hAnsi="Times New Roman"/>
          <w:bCs/>
          <w:lang w:bidi="ru-RU"/>
        </w:rPr>
      </w:pPr>
      <w:r>
        <w:rPr>
          <w:rFonts w:ascii="Times New Roman" w:hAnsi="Times New Roman"/>
          <w:bCs/>
          <w:lang w:bidi="ru-RU"/>
        </w:rPr>
        <w:t>Совершенствование навыков умения формулировать и отвечать на вопросы. Участие в беседе по содержанию прослушанного или прочитанного произведения. Умение строить устное диалогическое и монологическое высказывания  с соблюдением норм чувашского литературного языка. Умение пересказывать содержание прочитанного текста с использованием плана, ключевых слов. Чтение наизусть 3–4 стихотворений разных авторов.</w:t>
      </w:r>
    </w:p>
    <w:p w14:paraId="7E79B4E1">
      <w:pPr>
        <w:widowControl/>
        <w:tabs>
          <w:tab w:val="left" w:pos="1134"/>
        </w:tabs>
        <w:spacing w:after="0" w:line="360" w:lineRule="auto"/>
        <w:ind w:firstLine="709"/>
        <w:jc w:val="both"/>
        <w:rPr>
          <w:rFonts w:ascii="Times New Roman" w:hAnsi="Times New Roman"/>
          <w:bCs/>
          <w:lang w:bidi="ru-RU"/>
        </w:rPr>
      </w:pPr>
      <w:r>
        <w:rPr>
          <w:rFonts w:ascii="Times New Roman" w:hAnsi="Times New Roman"/>
          <w:bCs/>
          <w:lang w:bidi="ru-RU"/>
        </w:rPr>
        <w:t>8.8.1.4. Письмо.</w:t>
      </w:r>
    </w:p>
    <w:p w14:paraId="1C4C9EB4">
      <w:pPr>
        <w:widowControl/>
        <w:tabs>
          <w:tab w:val="left" w:pos="1134"/>
        </w:tabs>
        <w:spacing w:after="0" w:line="360" w:lineRule="auto"/>
        <w:ind w:firstLine="709"/>
        <w:jc w:val="both"/>
        <w:rPr>
          <w:rFonts w:ascii="Times New Roman" w:hAnsi="Times New Roman"/>
          <w:bCs/>
          <w:lang w:bidi="ru-RU"/>
        </w:rPr>
      </w:pPr>
      <w:r>
        <w:rPr>
          <w:rFonts w:ascii="Times New Roman" w:hAnsi="Times New Roman"/>
          <w:bCs/>
          <w:lang w:bidi="ru-RU"/>
        </w:rPr>
        <w:t>Письменное выполнение учебных заданий: списывание, выписывание из текста, письменные ответы на вопросы, написание коротких сочинений по личным наблюдениям и впечатлениям.</w:t>
      </w:r>
    </w:p>
    <w:p w14:paraId="4B69A192">
      <w:pPr>
        <w:widowControl/>
        <w:tabs>
          <w:tab w:val="left" w:pos="1134"/>
        </w:tabs>
        <w:spacing w:after="0" w:line="360" w:lineRule="auto"/>
        <w:ind w:firstLine="709"/>
        <w:jc w:val="both"/>
        <w:rPr>
          <w:rFonts w:ascii="Times New Roman" w:hAnsi="Times New Roman"/>
          <w:bCs/>
          <w:lang w:bidi="ru-RU"/>
        </w:rPr>
      </w:pPr>
      <w:r>
        <w:rPr>
          <w:rFonts w:ascii="Times New Roman" w:hAnsi="Times New Roman"/>
          <w:bCs/>
          <w:lang w:bidi="ru-RU"/>
        </w:rPr>
        <w:t>8.8.2. Литературоведческая пропедевтика.</w:t>
      </w:r>
    </w:p>
    <w:p w14:paraId="32093DA7">
      <w:pPr>
        <w:widowControl/>
        <w:tabs>
          <w:tab w:val="left" w:pos="1134"/>
        </w:tabs>
        <w:spacing w:after="0" w:line="360" w:lineRule="auto"/>
        <w:ind w:firstLine="709"/>
        <w:jc w:val="both"/>
        <w:rPr>
          <w:rFonts w:ascii="Times New Roman" w:hAnsi="Times New Roman"/>
          <w:bCs/>
          <w:lang w:bidi="ru-RU"/>
        </w:rPr>
      </w:pPr>
      <w:r>
        <w:rPr>
          <w:rFonts w:ascii="Times New Roman" w:hAnsi="Times New Roman"/>
          <w:bCs/>
          <w:lang w:bidi="ru-RU"/>
        </w:rPr>
        <w:t>Выявление отношения автора к герою произведения.</w:t>
      </w:r>
    </w:p>
    <w:p w14:paraId="68617D20">
      <w:pPr>
        <w:widowControl/>
        <w:tabs>
          <w:tab w:val="left" w:pos="1134"/>
        </w:tabs>
        <w:spacing w:after="0" w:line="360" w:lineRule="auto"/>
        <w:ind w:firstLine="709"/>
        <w:jc w:val="both"/>
        <w:rPr>
          <w:rFonts w:ascii="Times New Roman" w:hAnsi="Times New Roman"/>
          <w:bCs/>
          <w:lang w:bidi="ru-RU"/>
        </w:rPr>
      </w:pPr>
      <w:r>
        <w:rPr>
          <w:rFonts w:ascii="Times New Roman" w:hAnsi="Times New Roman"/>
          <w:bCs/>
          <w:lang w:bidi="ru-RU"/>
        </w:rPr>
        <w:t xml:space="preserve">Нахождение изобразительно-выразительных средств (синоним, антоним, эпитет, сравнение, звукоподражание), характеристика героев (персонажей). </w:t>
      </w:r>
    </w:p>
    <w:p w14:paraId="58323E25">
      <w:pPr>
        <w:widowControl/>
        <w:tabs>
          <w:tab w:val="left" w:pos="1134"/>
        </w:tabs>
        <w:spacing w:after="0" w:line="360" w:lineRule="auto"/>
        <w:ind w:firstLine="709"/>
        <w:jc w:val="both"/>
        <w:rPr>
          <w:rFonts w:ascii="Times New Roman" w:hAnsi="Times New Roman"/>
          <w:bCs/>
          <w:lang w:bidi="ru-RU"/>
        </w:rPr>
      </w:pPr>
      <w:r>
        <w:rPr>
          <w:rFonts w:ascii="Times New Roman" w:hAnsi="Times New Roman"/>
          <w:bCs/>
          <w:lang w:bidi="ru-RU"/>
        </w:rPr>
        <w:t xml:space="preserve">Деление текста на смысловые части, озаглавливание каждой части. </w:t>
      </w:r>
    </w:p>
    <w:p w14:paraId="0BDCA57D">
      <w:pPr>
        <w:widowControl/>
        <w:tabs>
          <w:tab w:val="left" w:pos="1134"/>
        </w:tabs>
        <w:spacing w:after="0" w:line="360" w:lineRule="auto"/>
        <w:ind w:firstLine="709"/>
        <w:jc w:val="both"/>
        <w:rPr>
          <w:rFonts w:ascii="Times New Roman" w:hAnsi="Times New Roman"/>
          <w:bCs/>
          <w:lang w:bidi="ru-RU"/>
        </w:rPr>
      </w:pPr>
      <w:r>
        <w:rPr>
          <w:rFonts w:ascii="Times New Roman" w:hAnsi="Times New Roman"/>
          <w:bCs/>
          <w:lang w:bidi="ru-RU"/>
        </w:rPr>
        <w:t>Анализ сюжета рассказа: определение последовательности событий, формулирование вопросов по основным событиям, восстановление нарушенной последовательности событий, нахождение в тексте заданного эпизода, составление плана.</w:t>
      </w:r>
    </w:p>
    <w:p w14:paraId="17D8E268">
      <w:pPr>
        <w:widowControl/>
        <w:tabs>
          <w:tab w:val="left" w:pos="1134"/>
        </w:tabs>
        <w:spacing w:after="0" w:line="360" w:lineRule="auto"/>
        <w:ind w:firstLine="709"/>
        <w:jc w:val="both"/>
        <w:rPr>
          <w:rFonts w:ascii="Times New Roman" w:hAnsi="Times New Roman"/>
          <w:bCs/>
          <w:lang w:bidi="ru-RU"/>
        </w:rPr>
      </w:pPr>
      <w:r>
        <w:rPr>
          <w:rFonts w:ascii="Times New Roman" w:hAnsi="Times New Roman"/>
          <w:bCs/>
          <w:lang w:bidi="ru-RU"/>
        </w:rPr>
        <w:t>Практическая работа по различению прозаической и стихотворной речи. Наблюдение за ритмом, рифмой стихотворения.</w:t>
      </w:r>
    </w:p>
    <w:p w14:paraId="47771115">
      <w:pPr>
        <w:widowControl/>
        <w:tabs>
          <w:tab w:val="left" w:pos="1134"/>
        </w:tabs>
        <w:spacing w:after="0" w:line="360" w:lineRule="auto"/>
        <w:ind w:firstLine="709"/>
        <w:jc w:val="both"/>
        <w:rPr>
          <w:rFonts w:ascii="Times New Roman" w:hAnsi="Times New Roman"/>
          <w:bCs/>
          <w:lang w:bidi="ru-RU"/>
        </w:rPr>
      </w:pPr>
      <w:r>
        <w:rPr>
          <w:rFonts w:ascii="Times New Roman" w:hAnsi="Times New Roman"/>
          <w:bCs/>
          <w:lang w:bidi="ru-RU"/>
        </w:rPr>
        <w:t>8.8.3. Творческая деятельность обучающихся.</w:t>
      </w:r>
    </w:p>
    <w:p w14:paraId="4C69970E">
      <w:pPr>
        <w:widowControl/>
        <w:tabs>
          <w:tab w:val="left" w:pos="1134"/>
        </w:tabs>
        <w:spacing w:after="0" w:line="360" w:lineRule="auto"/>
        <w:ind w:firstLine="709"/>
        <w:jc w:val="both"/>
        <w:rPr>
          <w:rFonts w:ascii="Times New Roman" w:hAnsi="Times New Roman"/>
          <w:bCs/>
          <w:lang w:bidi="ru-RU"/>
        </w:rPr>
      </w:pPr>
      <w:r>
        <w:rPr>
          <w:rFonts w:ascii="Times New Roman" w:hAnsi="Times New Roman"/>
          <w:bCs/>
          <w:lang w:bidi="ru-RU"/>
        </w:rPr>
        <w:t>Инсценирование фрагментов прочитанных текстов. Чтение по ролям. Словесное рисование или иллюстрирование эпизодов и фрагментов прослушанного или прочитанного произведения. Выразительное чтение стихотворений.</w:t>
      </w:r>
    </w:p>
    <w:p w14:paraId="306F68B7">
      <w:pPr>
        <w:widowControl/>
        <w:tabs>
          <w:tab w:val="left" w:pos="1134"/>
        </w:tabs>
        <w:spacing w:after="0" w:line="360" w:lineRule="auto"/>
        <w:ind w:firstLine="709"/>
        <w:jc w:val="both"/>
        <w:rPr>
          <w:rFonts w:ascii="Times New Roman" w:hAnsi="Times New Roman"/>
          <w:bCs/>
          <w:lang w:bidi="ru-RU"/>
        </w:rPr>
      </w:pPr>
      <w:r>
        <w:rPr>
          <w:rFonts w:ascii="Times New Roman" w:hAnsi="Times New Roman"/>
          <w:bCs/>
          <w:lang w:bidi="ru-RU"/>
        </w:rPr>
        <w:t>8.8.4. Круг детского чтения.</w:t>
      </w:r>
    </w:p>
    <w:p w14:paraId="4C8C7D40">
      <w:pPr>
        <w:widowControl/>
        <w:tabs>
          <w:tab w:val="left" w:pos="1134"/>
        </w:tabs>
        <w:spacing w:after="0" w:line="360" w:lineRule="auto"/>
        <w:ind w:firstLine="709"/>
        <w:jc w:val="both"/>
        <w:rPr>
          <w:rFonts w:ascii="Times New Roman" w:hAnsi="Times New Roman"/>
          <w:bCs/>
          <w:lang w:bidi="ru-RU"/>
        </w:rPr>
      </w:pPr>
      <w:r>
        <w:rPr>
          <w:rFonts w:ascii="Times New Roman" w:hAnsi="Times New Roman"/>
          <w:bCs/>
          <w:lang w:bidi="ru-RU"/>
        </w:rPr>
        <w:t>8.8.4.1. Шкулта (В школе).</w:t>
      </w:r>
    </w:p>
    <w:p w14:paraId="38A32958">
      <w:pPr>
        <w:widowControl/>
        <w:tabs>
          <w:tab w:val="left" w:pos="1134"/>
        </w:tabs>
        <w:spacing w:after="0" w:line="360" w:lineRule="auto"/>
        <w:ind w:firstLine="709"/>
        <w:jc w:val="both"/>
        <w:rPr>
          <w:rFonts w:ascii="Times New Roman" w:hAnsi="Times New Roman"/>
          <w:bCs/>
          <w:lang w:bidi="ru-RU"/>
        </w:rPr>
      </w:pPr>
      <w:r>
        <w:rPr>
          <w:rFonts w:ascii="Times New Roman" w:hAnsi="Times New Roman"/>
          <w:bCs/>
          <w:lang w:bidi="ru-RU"/>
        </w:rPr>
        <w:t>П. Сялгусь «Аван-и, юратнă шкулăм» («Здравствуй, школа»).</w:t>
      </w:r>
    </w:p>
    <w:p w14:paraId="37B42949">
      <w:pPr>
        <w:widowControl/>
        <w:tabs>
          <w:tab w:val="left" w:pos="1134"/>
        </w:tabs>
        <w:spacing w:after="0" w:line="360" w:lineRule="auto"/>
        <w:ind w:firstLine="709"/>
        <w:jc w:val="both"/>
        <w:rPr>
          <w:rFonts w:ascii="Times New Roman" w:hAnsi="Times New Roman"/>
          <w:bCs/>
          <w:lang w:bidi="ru-RU"/>
        </w:rPr>
      </w:pPr>
      <w:r>
        <w:rPr>
          <w:rFonts w:ascii="Times New Roman" w:hAnsi="Times New Roman"/>
          <w:bCs/>
          <w:lang w:bidi="ru-RU"/>
        </w:rPr>
        <w:t>У. Мишши «Кĕтнĕ кун» («Долгожданный день»), «Шкула, ачасем, шкула!» («В школу!»).</w:t>
      </w:r>
    </w:p>
    <w:p w14:paraId="33EBD11B">
      <w:pPr>
        <w:widowControl/>
        <w:tabs>
          <w:tab w:val="left" w:pos="1134"/>
        </w:tabs>
        <w:spacing w:after="0" w:line="360" w:lineRule="auto"/>
        <w:ind w:firstLine="709"/>
        <w:jc w:val="both"/>
        <w:rPr>
          <w:rFonts w:ascii="Times New Roman" w:hAnsi="Times New Roman"/>
          <w:bCs/>
          <w:lang w:bidi="ru-RU"/>
        </w:rPr>
      </w:pPr>
      <w:r>
        <w:rPr>
          <w:rFonts w:ascii="Times New Roman" w:hAnsi="Times New Roman"/>
          <w:bCs/>
          <w:lang w:bidi="ru-RU"/>
        </w:rPr>
        <w:t>Н. Иванов «Ырă ача» («Готовый помочь»).</w:t>
      </w:r>
    </w:p>
    <w:p w14:paraId="71B58C02">
      <w:pPr>
        <w:widowControl/>
        <w:tabs>
          <w:tab w:val="left" w:pos="1134"/>
        </w:tabs>
        <w:spacing w:after="0" w:line="360" w:lineRule="auto"/>
        <w:ind w:firstLine="709"/>
        <w:jc w:val="both"/>
        <w:rPr>
          <w:rFonts w:ascii="Times New Roman" w:hAnsi="Times New Roman"/>
          <w:bCs/>
          <w:lang w:bidi="ru-RU"/>
        </w:rPr>
      </w:pPr>
      <w:r>
        <w:rPr>
          <w:rFonts w:ascii="Times New Roman" w:hAnsi="Times New Roman"/>
          <w:bCs/>
          <w:lang w:bidi="ru-RU"/>
        </w:rPr>
        <w:t>М. Мерчен «Купăста» («Капуста»).</w:t>
      </w:r>
    </w:p>
    <w:p w14:paraId="379819FB">
      <w:pPr>
        <w:widowControl/>
        <w:tabs>
          <w:tab w:val="left" w:pos="1134"/>
        </w:tabs>
        <w:spacing w:after="0" w:line="360" w:lineRule="auto"/>
        <w:ind w:firstLine="709"/>
        <w:jc w:val="both"/>
        <w:rPr>
          <w:rFonts w:ascii="Times New Roman" w:hAnsi="Times New Roman"/>
          <w:bCs/>
          <w:lang w:bidi="ru-RU"/>
        </w:rPr>
      </w:pPr>
      <w:r>
        <w:rPr>
          <w:rFonts w:ascii="Times New Roman" w:hAnsi="Times New Roman"/>
          <w:bCs/>
          <w:lang w:bidi="ru-RU"/>
        </w:rPr>
        <w:t>8.8.4.2. Çулталăк вăхăчĕсем (Времена года).</w:t>
      </w:r>
    </w:p>
    <w:p w14:paraId="55D23322">
      <w:pPr>
        <w:widowControl/>
        <w:tabs>
          <w:tab w:val="left" w:pos="1134"/>
        </w:tabs>
        <w:spacing w:after="0" w:line="360" w:lineRule="auto"/>
        <w:ind w:firstLine="709"/>
        <w:jc w:val="both"/>
        <w:rPr>
          <w:rFonts w:ascii="Times New Roman" w:hAnsi="Times New Roman"/>
          <w:bCs/>
          <w:lang w:bidi="ru-RU"/>
        </w:rPr>
      </w:pPr>
      <w:r>
        <w:rPr>
          <w:rFonts w:ascii="Times New Roman" w:hAnsi="Times New Roman"/>
          <w:bCs/>
          <w:lang w:bidi="ru-RU"/>
        </w:rPr>
        <w:t>Н. Ларионов «Тимлĕ Тимук» («Внимательный Тима»).</w:t>
      </w:r>
    </w:p>
    <w:p w14:paraId="6D3C685D">
      <w:pPr>
        <w:widowControl/>
        <w:tabs>
          <w:tab w:val="left" w:pos="1134"/>
        </w:tabs>
        <w:spacing w:after="0" w:line="360" w:lineRule="auto"/>
        <w:ind w:firstLine="709"/>
        <w:jc w:val="both"/>
        <w:rPr>
          <w:rFonts w:ascii="Times New Roman" w:hAnsi="Times New Roman"/>
          <w:bCs/>
          <w:lang w:bidi="ru-RU"/>
        </w:rPr>
      </w:pPr>
      <w:r>
        <w:rPr>
          <w:rFonts w:ascii="Times New Roman" w:hAnsi="Times New Roman"/>
          <w:bCs/>
          <w:lang w:bidi="ru-RU"/>
        </w:rPr>
        <w:t>П. Сялгусь «Хĕл илемĕ» («Зимняя краса»).</w:t>
      </w:r>
    </w:p>
    <w:p w14:paraId="42645A8B">
      <w:pPr>
        <w:widowControl/>
        <w:tabs>
          <w:tab w:val="left" w:pos="1134"/>
        </w:tabs>
        <w:spacing w:after="0" w:line="360" w:lineRule="auto"/>
        <w:ind w:firstLine="709"/>
        <w:jc w:val="both"/>
        <w:rPr>
          <w:rFonts w:ascii="Times New Roman" w:hAnsi="Times New Roman"/>
          <w:bCs/>
          <w:lang w:bidi="ru-RU"/>
        </w:rPr>
      </w:pPr>
      <w:r>
        <w:rPr>
          <w:rFonts w:ascii="Times New Roman" w:hAnsi="Times New Roman"/>
          <w:bCs/>
          <w:lang w:bidi="ru-RU"/>
        </w:rPr>
        <w:t>В. Шемекеев «Шăнкăрч» («Скворец»).</w:t>
      </w:r>
    </w:p>
    <w:p w14:paraId="65282C1F">
      <w:pPr>
        <w:widowControl/>
        <w:tabs>
          <w:tab w:val="left" w:pos="1134"/>
        </w:tabs>
        <w:spacing w:after="0" w:line="360" w:lineRule="auto"/>
        <w:ind w:firstLine="709"/>
        <w:jc w:val="both"/>
        <w:rPr>
          <w:rFonts w:ascii="Times New Roman" w:hAnsi="Times New Roman"/>
          <w:bCs/>
          <w:lang w:bidi="ru-RU"/>
        </w:rPr>
      </w:pPr>
      <w:r>
        <w:rPr>
          <w:rFonts w:ascii="Times New Roman" w:hAnsi="Times New Roman"/>
          <w:bCs/>
          <w:lang w:bidi="ru-RU"/>
        </w:rPr>
        <w:t>Н. Парчаган «Пан улми» («Яблоко»).</w:t>
      </w:r>
    </w:p>
    <w:p w14:paraId="783D05BE">
      <w:pPr>
        <w:widowControl/>
        <w:tabs>
          <w:tab w:val="left" w:pos="1134"/>
        </w:tabs>
        <w:spacing w:after="0" w:line="360" w:lineRule="auto"/>
        <w:ind w:firstLine="709"/>
        <w:jc w:val="both"/>
        <w:rPr>
          <w:rFonts w:ascii="Times New Roman" w:hAnsi="Times New Roman"/>
          <w:bCs/>
          <w:lang w:bidi="ru-RU"/>
        </w:rPr>
      </w:pPr>
      <w:r>
        <w:rPr>
          <w:rFonts w:ascii="Times New Roman" w:hAnsi="Times New Roman"/>
          <w:bCs/>
          <w:lang w:bidi="ru-RU"/>
        </w:rPr>
        <w:t>П. Эйзин «Пирĕн аслă вăрманта» («В нашем лесу»).</w:t>
      </w:r>
    </w:p>
    <w:p w14:paraId="0BC13D9F">
      <w:pPr>
        <w:widowControl/>
        <w:tabs>
          <w:tab w:val="left" w:pos="1134"/>
        </w:tabs>
        <w:spacing w:after="0" w:line="360" w:lineRule="auto"/>
        <w:ind w:firstLine="709"/>
        <w:jc w:val="both"/>
        <w:rPr>
          <w:rFonts w:ascii="Times New Roman" w:hAnsi="Times New Roman"/>
          <w:bCs/>
          <w:lang w:bidi="ru-RU"/>
        </w:rPr>
      </w:pPr>
      <w:r>
        <w:rPr>
          <w:rFonts w:ascii="Times New Roman" w:hAnsi="Times New Roman"/>
          <w:bCs/>
          <w:lang w:bidi="ru-RU"/>
        </w:rPr>
        <w:t>А. Миллин «Сарă пĕсехе» («Жёлтая грудка»).</w:t>
      </w:r>
    </w:p>
    <w:p w14:paraId="36F5BAF3">
      <w:pPr>
        <w:widowControl/>
        <w:tabs>
          <w:tab w:val="left" w:pos="1134"/>
        </w:tabs>
        <w:spacing w:after="0" w:line="360" w:lineRule="auto"/>
        <w:ind w:firstLine="709"/>
        <w:jc w:val="both"/>
        <w:rPr>
          <w:rFonts w:ascii="Times New Roman" w:hAnsi="Times New Roman"/>
          <w:bCs/>
          <w:lang w:bidi="ru-RU"/>
        </w:rPr>
      </w:pPr>
      <w:r>
        <w:rPr>
          <w:rFonts w:ascii="Times New Roman" w:hAnsi="Times New Roman"/>
          <w:bCs/>
          <w:lang w:bidi="ru-RU"/>
        </w:rPr>
        <w:t>М. Мерчен «Ытарма çук хитре» («Красавица-весна»).</w:t>
      </w:r>
    </w:p>
    <w:p w14:paraId="001C4DFC">
      <w:pPr>
        <w:widowControl/>
        <w:tabs>
          <w:tab w:val="left" w:pos="1134"/>
        </w:tabs>
        <w:spacing w:after="0" w:line="360" w:lineRule="auto"/>
        <w:ind w:firstLine="709"/>
        <w:jc w:val="both"/>
        <w:rPr>
          <w:rFonts w:ascii="Times New Roman" w:hAnsi="Times New Roman"/>
          <w:bCs/>
          <w:lang w:bidi="ru-RU"/>
        </w:rPr>
      </w:pPr>
      <w:r>
        <w:rPr>
          <w:rFonts w:ascii="Times New Roman" w:hAnsi="Times New Roman"/>
          <w:bCs/>
          <w:lang w:bidi="ru-RU"/>
        </w:rPr>
        <w:t>Н. Сладков «Ăнланмалла мар йĕрсем» («Непонятные следы»).</w:t>
      </w:r>
    </w:p>
    <w:p w14:paraId="4248B03A">
      <w:pPr>
        <w:widowControl/>
        <w:tabs>
          <w:tab w:val="left" w:pos="1134"/>
        </w:tabs>
        <w:spacing w:after="0" w:line="360" w:lineRule="auto"/>
        <w:ind w:firstLine="709"/>
        <w:jc w:val="both"/>
        <w:rPr>
          <w:rFonts w:ascii="Times New Roman" w:hAnsi="Times New Roman"/>
          <w:bCs/>
          <w:lang w:bidi="ru-RU"/>
        </w:rPr>
      </w:pPr>
      <w:r>
        <w:rPr>
          <w:rFonts w:ascii="Times New Roman" w:hAnsi="Times New Roman"/>
          <w:bCs/>
          <w:lang w:bidi="ru-RU"/>
        </w:rPr>
        <w:t>В. Даль «Юр пике» («Снегурочка).</w:t>
      </w:r>
    </w:p>
    <w:p w14:paraId="5958117D">
      <w:pPr>
        <w:widowControl/>
        <w:tabs>
          <w:tab w:val="left" w:pos="1134"/>
        </w:tabs>
        <w:spacing w:after="0" w:line="360" w:lineRule="auto"/>
        <w:ind w:firstLine="709"/>
        <w:jc w:val="both"/>
        <w:rPr>
          <w:rFonts w:ascii="Times New Roman" w:hAnsi="Times New Roman"/>
          <w:bCs/>
          <w:lang w:bidi="ru-RU"/>
        </w:rPr>
      </w:pPr>
      <w:r>
        <w:rPr>
          <w:rFonts w:ascii="Times New Roman" w:hAnsi="Times New Roman"/>
          <w:bCs/>
          <w:lang w:bidi="ru-RU"/>
        </w:rPr>
        <w:t>Л. Николаева «Кĕр парни» («Дары осени»).</w:t>
      </w:r>
    </w:p>
    <w:p w14:paraId="17D4A258">
      <w:pPr>
        <w:widowControl/>
        <w:tabs>
          <w:tab w:val="left" w:pos="1134"/>
        </w:tabs>
        <w:spacing w:after="0" w:line="360" w:lineRule="auto"/>
        <w:ind w:firstLine="709"/>
        <w:jc w:val="both"/>
        <w:rPr>
          <w:rFonts w:ascii="Times New Roman" w:hAnsi="Times New Roman"/>
          <w:bCs/>
          <w:lang w:bidi="ru-RU"/>
        </w:rPr>
      </w:pPr>
      <w:r>
        <w:rPr>
          <w:rFonts w:ascii="Times New Roman" w:hAnsi="Times New Roman"/>
          <w:bCs/>
          <w:lang w:bidi="ru-RU"/>
        </w:rPr>
        <w:t>З. Сывламби «Юр çăвать çулла» («Летний снег»).</w:t>
      </w:r>
    </w:p>
    <w:p w14:paraId="255E680C">
      <w:pPr>
        <w:widowControl/>
        <w:tabs>
          <w:tab w:val="left" w:pos="1134"/>
        </w:tabs>
        <w:spacing w:after="0" w:line="360" w:lineRule="auto"/>
        <w:ind w:firstLine="709"/>
        <w:jc w:val="both"/>
        <w:rPr>
          <w:rFonts w:ascii="Times New Roman" w:hAnsi="Times New Roman"/>
          <w:bCs/>
          <w:lang w:bidi="ru-RU"/>
        </w:rPr>
      </w:pPr>
      <w:r>
        <w:rPr>
          <w:rFonts w:ascii="Times New Roman" w:hAnsi="Times New Roman"/>
          <w:bCs/>
          <w:lang w:bidi="ru-RU"/>
        </w:rPr>
        <w:t>Ю. Вирьял «Çунашка» («Санки»).</w:t>
      </w:r>
    </w:p>
    <w:p w14:paraId="21AD75E9">
      <w:pPr>
        <w:widowControl/>
        <w:tabs>
          <w:tab w:val="left" w:pos="1134"/>
        </w:tabs>
        <w:spacing w:after="0" w:line="360" w:lineRule="auto"/>
        <w:ind w:firstLine="709"/>
        <w:jc w:val="both"/>
        <w:rPr>
          <w:rFonts w:ascii="Times New Roman" w:hAnsi="Times New Roman"/>
          <w:bCs/>
          <w:lang w:bidi="ru-RU"/>
        </w:rPr>
      </w:pPr>
      <w:r>
        <w:rPr>
          <w:rFonts w:ascii="Times New Roman" w:hAnsi="Times New Roman"/>
          <w:bCs/>
          <w:lang w:bidi="ru-RU"/>
        </w:rPr>
        <w:t>Н. Матвеев «Раштав уйăхĕ» («Январь»).</w:t>
      </w:r>
    </w:p>
    <w:p w14:paraId="66983C31">
      <w:pPr>
        <w:widowControl/>
        <w:tabs>
          <w:tab w:val="left" w:pos="1134"/>
        </w:tabs>
        <w:spacing w:after="0" w:line="360" w:lineRule="auto"/>
        <w:ind w:firstLine="709"/>
        <w:jc w:val="both"/>
        <w:rPr>
          <w:rFonts w:ascii="Times New Roman" w:hAnsi="Times New Roman"/>
          <w:bCs/>
          <w:lang w:bidi="ru-RU"/>
        </w:rPr>
      </w:pPr>
      <w:r>
        <w:rPr>
          <w:rFonts w:ascii="Times New Roman" w:hAnsi="Times New Roman"/>
          <w:bCs/>
          <w:lang w:bidi="ru-RU"/>
        </w:rPr>
        <w:t>С. Хумма «Хĕллехи вăрман» («Зимний лес»).</w:t>
      </w:r>
    </w:p>
    <w:p w14:paraId="67E745B3">
      <w:pPr>
        <w:widowControl/>
        <w:tabs>
          <w:tab w:val="left" w:pos="1134"/>
        </w:tabs>
        <w:spacing w:after="0" w:line="360" w:lineRule="auto"/>
        <w:ind w:firstLine="709"/>
        <w:jc w:val="both"/>
        <w:rPr>
          <w:rFonts w:ascii="Times New Roman" w:hAnsi="Times New Roman"/>
          <w:bCs/>
          <w:lang w:bidi="ru-RU"/>
        </w:rPr>
      </w:pPr>
      <w:r>
        <w:rPr>
          <w:rFonts w:ascii="Times New Roman" w:hAnsi="Times New Roman"/>
          <w:bCs/>
          <w:lang w:bidi="ru-RU"/>
        </w:rPr>
        <w:t>М. Трубина «Кĕр çитрĕ» («Наступила осень»).</w:t>
      </w:r>
    </w:p>
    <w:p w14:paraId="2410FF97">
      <w:pPr>
        <w:widowControl/>
        <w:tabs>
          <w:tab w:val="left" w:pos="1134"/>
        </w:tabs>
        <w:spacing w:after="0" w:line="360" w:lineRule="auto"/>
        <w:ind w:firstLine="709"/>
        <w:jc w:val="both"/>
        <w:rPr>
          <w:rFonts w:ascii="Times New Roman" w:hAnsi="Times New Roman"/>
          <w:bCs/>
          <w:lang w:bidi="ru-RU"/>
        </w:rPr>
      </w:pPr>
      <w:r>
        <w:rPr>
          <w:rFonts w:ascii="Times New Roman" w:hAnsi="Times New Roman"/>
          <w:bCs/>
          <w:lang w:bidi="ru-RU"/>
        </w:rPr>
        <w:t>Н. Сладков «Ылтăн çумăр» («Золотой дождь»).</w:t>
      </w:r>
    </w:p>
    <w:p w14:paraId="63083B11">
      <w:pPr>
        <w:widowControl/>
        <w:tabs>
          <w:tab w:val="left" w:pos="1134"/>
        </w:tabs>
        <w:spacing w:after="0" w:line="360" w:lineRule="auto"/>
        <w:ind w:firstLine="709"/>
        <w:jc w:val="both"/>
        <w:rPr>
          <w:rFonts w:ascii="Times New Roman" w:hAnsi="Times New Roman"/>
          <w:bCs/>
          <w:lang w:bidi="ru-RU"/>
        </w:rPr>
      </w:pPr>
      <w:r>
        <w:rPr>
          <w:rFonts w:ascii="Times New Roman" w:hAnsi="Times New Roman"/>
          <w:bCs/>
          <w:lang w:bidi="ru-RU"/>
        </w:rPr>
        <w:t>Г. Мальцев «Камăн юрри хитререх» («Чья песня красивее»).</w:t>
      </w:r>
    </w:p>
    <w:p w14:paraId="2F2EBC18">
      <w:pPr>
        <w:widowControl/>
        <w:tabs>
          <w:tab w:val="left" w:pos="1134"/>
        </w:tabs>
        <w:spacing w:after="0" w:line="360" w:lineRule="auto"/>
        <w:ind w:firstLine="709"/>
        <w:jc w:val="both"/>
        <w:rPr>
          <w:rFonts w:ascii="Times New Roman" w:hAnsi="Times New Roman"/>
          <w:bCs/>
          <w:lang w:bidi="ru-RU"/>
        </w:rPr>
      </w:pPr>
      <w:r>
        <w:rPr>
          <w:rFonts w:ascii="Times New Roman" w:hAnsi="Times New Roman"/>
          <w:bCs/>
          <w:lang w:bidi="ru-RU"/>
        </w:rPr>
        <w:t>В. Ямаш «Хĕллехи вăрманта» («В зимнем лесу»).</w:t>
      </w:r>
    </w:p>
    <w:p w14:paraId="3066F8F7">
      <w:pPr>
        <w:widowControl/>
        <w:tabs>
          <w:tab w:val="left" w:pos="1134"/>
        </w:tabs>
        <w:spacing w:after="0" w:line="360" w:lineRule="auto"/>
        <w:ind w:firstLine="709"/>
        <w:jc w:val="both"/>
        <w:rPr>
          <w:rFonts w:ascii="Times New Roman" w:hAnsi="Times New Roman"/>
          <w:bCs/>
          <w:lang w:bidi="ru-RU"/>
        </w:rPr>
      </w:pPr>
      <w:r>
        <w:rPr>
          <w:rFonts w:ascii="Times New Roman" w:hAnsi="Times New Roman"/>
          <w:bCs/>
          <w:lang w:bidi="ru-RU"/>
        </w:rPr>
        <w:t>8.8.4.3. Пирĕн çемье (Наша семья).</w:t>
      </w:r>
    </w:p>
    <w:p w14:paraId="4CF55468">
      <w:pPr>
        <w:widowControl/>
        <w:tabs>
          <w:tab w:val="left" w:pos="1134"/>
        </w:tabs>
        <w:spacing w:after="0" w:line="360" w:lineRule="auto"/>
        <w:ind w:firstLine="709"/>
        <w:jc w:val="both"/>
        <w:rPr>
          <w:rFonts w:ascii="Times New Roman" w:hAnsi="Times New Roman"/>
          <w:bCs/>
          <w:lang w:bidi="ru-RU"/>
        </w:rPr>
      </w:pPr>
      <w:r>
        <w:rPr>
          <w:rFonts w:ascii="Times New Roman" w:hAnsi="Times New Roman"/>
          <w:bCs/>
          <w:lang w:bidi="ru-RU"/>
        </w:rPr>
        <w:t>А. Савельев-Сас «Ытлашши ĕç» («Лишняя работа»), «Йăнăшпа» («По ошибке»).</w:t>
      </w:r>
    </w:p>
    <w:p w14:paraId="791BA389">
      <w:pPr>
        <w:widowControl/>
        <w:tabs>
          <w:tab w:val="left" w:pos="1134"/>
        </w:tabs>
        <w:spacing w:after="0" w:line="360" w:lineRule="auto"/>
        <w:ind w:firstLine="709"/>
        <w:jc w:val="both"/>
        <w:rPr>
          <w:rFonts w:ascii="Times New Roman" w:hAnsi="Times New Roman"/>
          <w:bCs/>
          <w:lang w:bidi="ru-RU"/>
        </w:rPr>
      </w:pPr>
      <w:r>
        <w:rPr>
          <w:rFonts w:ascii="Times New Roman" w:hAnsi="Times New Roman"/>
          <w:bCs/>
          <w:lang w:bidi="ru-RU"/>
        </w:rPr>
        <w:t>Н. Парчаган «Мĕншĕн анне йăл кулать?» («Почему мама улыбается?»).</w:t>
      </w:r>
    </w:p>
    <w:p w14:paraId="50A007C9">
      <w:pPr>
        <w:widowControl/>
        <w:tabs>
          <w:tab w:val="left" w:pos="1134"/>
        </w:tabs>
        <w:spacing w:after="0" w:line="360" w:lineRule="auto"/>
        <w:ind w:firstLine="709"/>
        <w:jc w:val="both"/>
        <w:rPr>
          <w:rFonts w:ascii="Times New Roman" w:hAnsi="Times New Roman"/>
          <w:bCs/>
          <w:lang w:bidi="ru-RU"/>
        </w:rPr>
      </w:pPr>
      <w:r>
        <w:rPr>
          <w:rFonts w:ascii="Times New Roman" w:hAnsi="Times New Roman"/>
          <w:bCs/>
          <w:lang w:bidi="ru-RU"/>
        </w:rPr>
        <w:t>А. Миллин «Кучченеç» («Гостинцы»).</w:t>
      </w:r>
    </w:p>
    <w:p w14:paraId="15911597">
      <w:pPr>
        <w:widowControl/>
        <w:tabs>
          <w:tab w:val="left" w:pos="1134"/>
        </w:tabs>
        <w:spacing w:after="0" w:line="360" w:lineRule="auto"/>
        <w:ind w:firstLine="709"/>
        <w:jc w:val="both"/>
        <w:rPr>
          <w:rFonts w:ascii="Times New Roman" w:hAnsi="Times New Roman"/>
          <w:bCs/>
          <w:lang w:bidi="ru-RU"/>
        </w:rPr>
      </w:pPr>
      <w:r>
        <w:rPr>
          <w:rFonts w:ascii="Times New Roman" w:hAnsi="Times New Roman"/>
          <w:bCs/>
          <w:lang w:bidi="ru-RU"/>
        </w:rPr>
        <w:t>В. Тарават «Иккĕшне те юрататăп» («Люблю обеих»).</w:t>
      </w:r>
    </w:p>
    <w:p w14:paraId="58CE0A0D">
      <w:pPr>
        <w:widowControl/>
        <w:tabs>
          <w:tab w:val="left" w:pos="1134"/>
        </w:tabs>
        <w:spacing w:after="0" w:line="360" w:lineRule="auto"/>
        <w:ind w:firstLine="709"/>
        <w:jc w:val="both"/>
        <w:rPr>
          <w:rFonts w:ascii="Times New Roman" w:hAnsi="Times New Roman"/>
          <w:bCs/>
          <w:lang w:bidi="ru-RU"/>
        </w:rPr>
      </w:pPr>
      <w:r>
        <w:rPr>
          <w:rFonts w:ascii="Times New Roman" w:hAnsi="Times New Roman"/>
          <w:bCs/>
          <w:lang w:bidi="ru-RU"/>
        </w:rPr>
        <w:t>Л. Федорова «Тăван чĕлхем» («Родной язык»).</w:t>
      </w:r>
    </w:p>
    <w:p w14:paraId="20381C9B">
      <w:pPr>
        <w:widowControl/>
        <w:tabs>
          <w:tab w:val="left" w:pos="1134"/>
        </w:tabs>
        <w:spacing w:after="0" w:line="360" w:lineRule="auto"/>
        <w:ind w:firstLine="709"/>
        <w:jc w:val="both"/>
        <w:rPr>
          <w:rFonts w:ascii="Times New Roman" w:hAnsi="Times New Roman"/>
          <w:bCs/>
          <w:lang w:bidi="ru-RU"/>
        </w:rPr>
      </w:pPr>
      <w:r>
        <w:rPr>
          <w:rFonts w:ascii="Times New Roman" w:hAnsi="Times New Roman"/>
          <w:bCs/>
          <w:lang w:bidi="ru-RU"/>
        </w:rPr>
        <w:t>М. Волкова «Ак мĕнле эп пысăк» («Вот какой я большой»).</w:t>
      </w:r>
    </w:p>
    <w:p w14:paraId="3256594C">
      <w:pPr>
        <w:widowControl/>
        <w:tabs>
          <w:tab w:val="left" w:pos="1134"/>
        </w:tabs>
        <w:spacing w:after="0" w:line="360" w:lineRule="auto"/>
        <w:ind w:firstLine="709"/>
        <w:jc w:val="both"/>
        <w:rPr>
          <w:rFonts w:ascii="Times New Roman" w:hAnsi="Times New Roman"/>
          <w:bCs/>
          <w:lang w:bidi="ru-RU"/>
        </w:rPr>
      </w:pPr>
      <w:r>
        <w:rPr>
          <w:rFonts w:ascii="Times New Roman" w:hAnsi="Times New Roman"/>
          <w:bCs/>
          <w:lang w:bidi="ru-RU"/>
        </w:rPr>
        <w:t>Сказка «Кинеми, мăнукĕ тата чăпар чăх» («Бабушка, внучка и курочка Ряба»).</w:t>
      </w:r>
    </w:p>
    <w:p w14:paraId="639B21CC">
      <w:pPr>
        <w:widowControl/>
        <w:tabs>
          <w:tab w:val="left" w:pos="1134"/>
        </w:tabs>
        <w:spacing w:after="0" w:line="360" w:lineRule="auto"/>
        <w:ind w:firstLine="709"/>
        <w:jc w:val="both"/>
        <w:rPr>
          <w:rFonts w:ascii="Times New Roman" w:hAnsi="Times New Roman"/>
          <w:bCs/>
          <w:lang w:bidi="ru-RU"/>
        </w:rPr>
      </w:pPr>
      <w:r>
        <w:rPr>
          <w:rFonts w:ascii="Times New Roman" w:hAnsi="Times New Roman"/>
          <w:bCs/>
          <w:lang w:bidi="ru-RU"/>
        </w:rPr>
        <w:t>Ю. Сементер «Ылтăн мар-ши эс, анне?» («Не золотая ли ты, мама?»).</w:t>
      </w:r>
    </w:p>
    <w:p w14:paraId="42860887">
      <w:pPr>
        <w:widowControl/>
        <w:tabs>
          <w:tab w:val="left" w:pos="1134"/>
        </w:tabs>
        <w:spacing w:after="0" w:line="360" w:lineRule="auto"/>
        <w:ind w:firstLine="709"/>
        <w:jc w:val="both"/>
        <w:rPr>
          <w:rFonts w:ascii="Times New Roman" w:hAnsi="Times New Roman"/>
          <w:bCs/>
          <w:lang w:bidi="ru-RU"/>
        </w:rPr>
      </w:pPr>
      <w:r>
        <w:rPr>
          <w:rFonts w:ascii="Times New Roman" w:hAnsi="Times New Roman"/>
          <w:bCs/>
          <w:lang w:bidi="ru-RU"/>
        </w:rPr>
        <w:t>Л. Сарине «Çырла кукли» («Пирог из ягод»).</w:t>
      </w:r>
    </w:p>
    <w:p w14:paraId="2EB33967">
      <w:pPr>
        <w:widowControl/>
        <w:tabs>
          <w:tab w:val="left" w:pos="1134"/>
        </w:tabs>
        <w:spacing w:after="0" w:line="360" w:lineRule="auto"/>
        <w:ind w:firstLine="709"/>
        <w:jc w:val="both"/>
        <w:rPr>
          <w:rFonts w:ascii="Times New Roman" w:hAnsi="Times New Roman"/>
          <w:bCs/>
          <w:lang w:bidi="ru-RU"/>
        </w:rPr>
      </w:pPr>
      <w:r>
        <w:rPr>
          <w:rFonts w:ascii="Times New Roman" w:hAnsi="Times New Roman"/>
          <w:bCs/>
          <w:lang w:bidi="ru-RU"/>
        </w:rPr>
        <w:t>8.8.4.4. Пирĕн ĕмĕтсем (Наши мечты).</w:t>
      </w:r>
    </w:p>
    <w:p w14:paraId="5D3448BA">
      <w:pPr>
        <w:widowControl/>
        <w:tabs>
          <w:tab w:val="left" w:pos="1134"/>
        </w:tabs>
        <w:spacing w:after="0" w:line="360" w:lineRule="auto"/>
        <w:ind w:firstLine="709"/>
        <w:jc w:val="both"/>
        <w:rPr>
          <w:rFonts w:ascii="Times New Roman" w:hAnsi="Times New Roman"/>
          <w:bCs/>
          <w:lang w:bidi="ru-RU"/>
        </w:rPr>
      </w:pPr>
      <w:r>
        <w:rPr>
          <w:rFonts w:ascii="Times New Roman" w:hAnsi="Times New Roman"/>
          <w:bCs/>
          <w:lang w:bidi="ru-RU"/>
        </w:rPr>
        <w:t>С. Савкай «Ĕмĕт» («Мечта»), «Кулине» («Акулина»).</w:t>
      </w:r>
    </w:p>
    <w:p w14:paraId="3B85878E">
      <w:pPr>
        <w:widowControl/>
        <w:tabs>
          <w:tab w:val="left" w:pos="1134"/>
        </w:tabs>
        <w:spacing w:after="0" w:line="360" w:lineRule="auto"/>
        <w:ind w:firstLine="709"/>
        <w:jc w:val="both"/>
        <w:rPr>
          <w:rFonts w:ascii="Times New Roman" w:hAnsi="Times New Roman"/>
          <w:bCs/>
          <w:lang w:bidi="ru-RU"/>
        </w:rPr>
      </w:pPr>
      <w:r>
        <w:rPr>
          <w:rFonts w:ascii="Times New Roman" w:hAnsi="Times New Roman"/>
          <w:bCs/>
          <w:lang w:bidi="ru-RU"/>
        </w:rPr>
        <w:t>П. Сялгусь «Космонавт пулатăп» («Стану космонавтом»), «Ĕмĕт» («Мечта»).</w:t>
      </w:r>
    </w:p>
    <w:p w14:paraId="19A96D99">
      <w:pPr>
        <w:widowControl/>
        <w:tabs>
          <w:tab w:val="left" w:pos="1134"/>
        </w:tabs>
        <w:spacing w:after="0" w:line="360" w:lineRule="auto"/>
        <w:ind w:firstLine="709"/>
        <w:jc w:val="both"/>
        <w:rPr>
          <w:rFonts w:ascii="Times New Roman" w:hAnsi="Times New Roman"/>
          <w:bCs/>
          <w:lang w:bidi="ru-RU"/>
        </w:rPr>
      </w:pPr>
      <w:r>
        <w:rPr>
          <w:rFonts w:ascii="Times New Roman" w:hAnsi="Times New Roman"/>
          <w:bCs/>
          <w:lang w:bidi="ru-RU"/>
        </w:rPr>
        <w:t>Е. Осипова «Хăвăртрах çитĕнесчĕ» («Скорее бы вырасти»).</w:t>
      </w:r>
    </w:p>
    <w:p w14:paraId="067CFADC">
      <w:pPr>
        <w:widowControl/>
        <w:tabs>
          <w:tab w:val="left" w:pos="1134"/>
        </w:tabs>
        <w:spacing w:after="0" w:line="360" w:lineRule="auto"/>
        <w:ind w:firstLine="709"/>
        <w:jc w:val="both"/>
        <w:rPr>
          <w:rFonts w:ascii="Times New Roman" w:hAnsi="Times New Roman"/>
          <w:bCs/>
          <w:lang w:bidi="ru-RU"/>
        </w:rPr>
      </w:pPr>
      <w:r>
        <w:rPr>
          <w:rFonts w:ascii="Times New Roman" w:hAnsi="Times New Roman"/>
          <w:bCs/>
          <w:lang w:bidi="ru-RU"/>
        </w:rPr>
        <w:t>М. Волкова «Шутласа вылямалли вăйă» («Считалка»).</w:t>
      </w:r>
    </w:p>
    <w:p w14:paraId="1B403B60">
      <w:pPr>
        <w:widowControl/>
        <w:tabs>
          <w:tab w:val="left" w:pos="1134"/>
        </w:tabs>
        <w:spacing w:after="0" w:line="360" w:lineRule="auto"/>
        <w:ind w:firstLine="709"/>
        <w:jc w:val="both"/>
        <w:rPr>
          <w:rFonts w:ascii="Times New Roman" w:hAnsi="Times New Roman"/>
          <w:bCs/>
          <w:lang w:bidi="ru-RU"/>
        </w:rPr>
      </w:pPr>
      <w:r>
        <w:rPr>
          <w:rFonts w:ascii="Times New Roman" w:hAnsi="Times New Roman"/>
          <w:bCs/>
          <w:lang w:bidi="ru-RU"/>
        </w:rPr>
        <w:t>В. Маяковский «Лайăх тени мĕн тени, япăх тени мĕн тени» («Что такое хорошо, что такое плохо»).</w:t>
      </w:r>
    </w:p>
    <w:p w14:paraId="4B0F0EDE">
      <w:pPr>
        <w:widowControl/>
        <w:tabs>
          <w:tab w:val="left" w:pos="1134"/>
        </w:tabs>
        <w:spacing w:after="0" w:line="360" w:lineRule="auto"/>
        <w:ind w:firstLine="709"/>
        <w:jc w:val="both"/>
        <w:rPr>
          <w:rFonts w:ascii="Times New Roman" w:hAnsi="Times New Roman"/>
          <w:bCs/>
          <w:lang w:bidi="ru-RU"/>
        </w:rPr>
      </w:pPr>
      <w:r>
        <w:rPr>
          <w:rFonts w:ascii="Times New Roman" w:hAnsi="Times New Roman"/>
          <w:bCs/>
          <w:lang w:bidi="ru-RU"/>
        </w:rPr>
        <w:t>В. Давыдов-Анатри «Лартар симĕс йывăçсем» («Посадим деревья»).</w:t>
      </w:r>
    </w:p>
    <w:p w14:paraId="40DE65BA">
      <w:pPr>
        <w:widowControl/>
        <w:tabs>
          <w:tab w:val="left" w:pos="1134"/>
        </w:tabs>
        <w:spacing w:after="0" w:line="360" w:lineRule="auto"/>
        <w:ind w:firstLine="709"/>
        <w:jc w:val="both"/>
        <w:rPr>
          <w:rFonts w:ascii="Times New Roman" w:hAnsi="Times New Roman"/>
          <w:bCs/>
          <w:lang w:bidi="ru-RU"/>
        </w:rPr>
      </w:pPr>
      <w:r>
        <w:rPr>
          <w:rFonts w:ascii="Times New Roman" w:hAnsi="Times New Roman"/>
          <w:bCs/>
          <w:lang w:bidi="ru-RU"/>
        </w:rPr>
        <w:t>П. Ялгир «Профессор пулатăп» («Стану профессором»).</w:t>
      </w:r>
    </w:p>
    <w:p w14:paraId="6156D636">
      <w:pPr>
        <w:widowControl/>
        <w:tabs>
          <w:tab w:val="left" w:pos="1134"/>
        </w:tabs>
        <w:spacing w:after="0" w:line="360" w:lineRule="auto"/>
        <w:ind w:firstLine="709"/>
        <w:jc w:val="both"/>
        <w:rPr>
          <w:rFonts w:ascii="Times New Roman" w:hAnsi="Times New Roman"/>
          <w:bCs/>
          <w:lang w:bidi="ru-RU"/>
        </w:rPr>
      </w:pPr>
      <w:r>
        <w:rPr>
          <w:rFonts w:ascii="Times New Roman" w:hAnsi="Times New Roman"/>
          <w:bCs/>
          <w:lang w:bidi="ru-RU"/>
        </w:rPr>
        <w:t>8.8.4.5. Пушă вăхатра (В свободное время).</w:t>
      </w:r>
    </w:p>
    <w:p w14:paraId="4F2C1833">
      <w:pPr>
        <w:widowControl/>
        <w:tabs>
          <w:tab w:val="left" w:pos="1134"/>
        </w:tabs>
        <w:spacing w:after="0" w:line="360" w:lineRule="auto"/>
        <w:ind w:firstLine="709"/>
        <w:jc w:val="both"/>
        <w:rPr>
          <w:rFonts w:ascii="Times New Roman" w:hAnsi="Times New Roman"/>
          <w:bCs/>
          <w:lang w:bidi="ru-RU"/>
        </w:rPr>
      </w:pPr>
      <w:r>
        <w:rPr>
          <w:rFonts w:ascii="Times New Roman" w:hAnsi="Times New Roman"/>
          <w:bCs/>
          <w:lang w:bidi="ru-RU"/>
        </w:rPr>
        <w:t>В. Шемекеев «Муркка пулăç» («Мурка рыбачка), «Марукпа упа» («Маша и медведь»), «Маюкпа Анук» («Майа и Аня»).</w:t>
      </w:r>
    </w:p>
    <w:p w14:paraId="3542D1AA">
      <w:pPr>
        <w:widowControl/>
        <w:tabs>
          <w:tab w:val="left" w:pos="1134"/>
        </w:tabs>
        <w:spacing w:after="0" w:line="360" w:lineRule="auto"/>
        <w:ind w:firstLine="709"/>
        <w:jc w:val="both"/>
        <w:rPr>
          <w:rFonts w:ascii="Times New Roman" w:hAnsi="Times New Roman"/>
          <w:bCs/>
          <w:lang w:bidi="ru-RU"/>
        </w:rPr>
      </w:pPr>
      <w:r>
        <w:rPr>
          <w:rFonts w:ascii="Times New Roman" w:hAnsi="Times New Roman"/>
          <w:bCs/>
          <w:lang w:bidi="ru-RU"/>
        </w:rPr>
        <w:t>А. Савельев-Сас «Ларса курман» («Не прокатился»).</w:t>
      </w:r>
    </w:p>
    <w:p w14:paraId="6CF2A536">
      <w:pPr>
        <w:widowControl/>
        <w:tabs>
          <w:tab w:val="left" w:pos="1134"/>
        </w:tabs>
        <w:spacing w:after="0" w:line="360" w:lineRule="auto"/>
        <w:ind w:firstLine="709"/>
        <w:jc w:val="both"/>
        <w:rPr>
          <w:rFonts w:ascii="Times New Roman" w:hAnsi="Times New Roman"/>
          <w:bCs/>
          <w:lang w:bidi="ru-RU"/>
        </w:rPr>
      </w:pPr>
      <w:r>
        <w:rPr>
          <w:rFonts w:ascii="Times New Roman" w:hAnsi="Times New Roman"/>
          <w:bCs/>
          <w:lang w:bidi="ru-RU"/>
        </w:rPr>
        <w:t>Л. Симонова «Пур çĕрте те хĕвел» («Везде солнышко»).</w:t>
      </w:r>
    </w:p>
    <w:p w14:paraId="13666CAE">
      <w:pPr>
        <w:widowControl/>
        <w:tabs>
          <w:tab w:val="left" w:pos="1134"/>
        </w:tabs>
        <w:spacing w:after="0" w:line="360" w:lineRule="auto"/>
        <w:ind w:firstLine="709"/>
        <w:jc w:val="both"/>
        <w:rPr>
          <w:rFonts w:ascii="Times New Roman" w:hAnsi="Times New Roman"/>
          <w:bCs/>
          <w:lang w:bidi="ru-RU"/>
        </w:rPr>
      </w:pPr>
      <w:r>
        <w:rPr>
          <w:rFonts w:ascii="Times New Roman" w:hAnsi="Times New Roman"/>
          <w:bCs/>
          <w:lang w:bidi="ru-RU"/>
        </w:rPr>
        <w:t>А. Миллин «Кирук» («Петушок»).</w:t>
      </w:r>
    </w:p>
    <w:p w14:paraId="7E985D1E">
      <w:pPr>
        <w:widowControl/>
        <w:tabs>
          <w:tab w:val="left" w:pos="1134"/>
        </w:tabs>
        <w:spacing w:after="0" w:line="360" w:lineRule="auto"/>
        <w:ind w:firstLine="709"/>
        <w:jc w:val="both"/>
        <w:rPr>
          <w:rFonts w:ascii="Times New Roman" w:hAnsi="Times New Roman"/>
          <w:bCs/>
          <w:lang w:bidi="ru-RU"/>
        </w:rPr>
      </w:pPr>
      <w:r>
        <w:rPr>
          <w:rFonts w:ascii="Times New Roman" w:hAnsi="Times New Roman"/>
          <w:bCs/>
          <w:lang w:bidi="ru-RU"/>
        </w:rPr>
        <w:t>Н. Ижендей «Килĕшӳ тупни» («Нашли согласие»).</w:t>
      </w:r>
    </w:p>
    <w:p w14:paraId="057A63DD">
      <w:pPr>
        <w:widowControl/>
        <w:tabs>
          <w:tab w:val="left" w:pos="1134"/>
        </w:tabs>
        <w:spacing w:after="0" w:line="360" w:lineRule="auto"/>
        <w:ind w:firstLine="709"/>
        <w:jc w:val="both"/>
        <w:rPr>
          <w:rFonts w:ascii="Times New Roman" w:hAnsi="Times New Roman"/>
          <w:bCs/>
          <w:lang w:bidi="ru-RU"/>
        </w:rPr>
      </w:pPr>
      <w:r>
        <w:rPr>
          <w:rFonts w:ascii="Times New Roman" w:hAnsi="Times New Roman"/>
          <w:bCs/>
          <w:lang w:bidi="ru-RU"/>
        </w:rPr>
        <w:t>Л. Сорокина «Шут сăвви» («Считалка»).</w:t>
      </w:r>
    </w:p>
    <w:p w14:paraId="3242BE6E">
      <w:pPr>
        <w:widowControl/>
        <w:tabs>
          <w:tab w:val="left" w:pos="1134"/>
        </w:tabs>
        <w:spacing w:after="0" w:line="360" w:lineRule="auto"/>
        <w:ind w:firstLine="709"/>
        <w:jc w:val="both"/>
        <w:rPr>
          <w:rFonts w:ascii="Times New Roman" w:hAnsi="Times New Roman"/>
          <w:bCs/>
          <w:lang w:bidi="ru-RU"/>
        </w:rPr>
      </w:pPr>
      <w:r>
        <w:rPr>
          <w:rFonts w:ascii="Times New Roman" w:hAnsi="Times New Roman"/>
          <w:bCs/>
          <w:lang w:bidi="ru-RU"/>
        </w:rPr>
        <w:t>Г. Матвеева «Хамăркка» («Мурка»).</w:t>
      </w:r>
    </w:p>
    <w:p w14:paraId="3BFD825D">
      <w:pPr>
        <w:widowControl/>
        <w:tabs>
          <w:tab w:val="left" w:pos="1134"/>
        </w:tabs>
        <w:spacing w:after="0" w:line="360" w:lineRule="auto"/>
        <w:ind w:firstLine="709"/>
        <w:jc w:val="both"/>
        <w:rPr>
          <w:rFonts w:ascii="Times New Roman" w:hAnsi="Times New Roman"/>
          <w:bCs/>
          <w:lang w:bidi="ru-RU"/>
        </w:rPr>
      </w:pPr>
      <w:r>
        <w:rPr>
          <w:rFonts w:ascii="Times New Roman" w:hAnsi="Times New Roman"/>
          <w:bCs/>
          <w:lang w:bidi="ru-RU"/>
        </w:rPr>
        <w:t>А. Тарасов «Канихвет» («Конфета»).</w:t>
      </w:r>
    </w:p>
    <w:p w14:paraId="7E1D194B">
      <w:pPr>
        <w:widowControl/>
        <w:tabs>
          <w:tab w:val="left" w:pos="1134"/>
        </w:tabs>
        <w:spacing w:after="0" w:line="360" w:lineRule="auto"/>
        <w:ind w:firstLine="709"/>
        <w:jc w:val="both"/>
        <w:rPr>
          <w:rFonts w:ascii="Times New Roman" w:hAnsi="Times New Roman"/>
          <w:bCs/>
          <w:lang w:bidi="ru-RU"/>
        </w:rPr>
      </w:pPr>
      <w:r>
        <w:rPr>
          <w:rFonts w:ascii="Times New Roman" w:hAnsi="Times New Roman"/>
          <w:bCs/>
          <w:lang w:bidi="ru-RU"/>
        </w:rPr>
        <w:t>Н. Карай «Тем те пĕр» («Перевёртыши»), «Пулăра» («На рыбалке»).</w:t>
      </w:r>
    </w:p>
    <w:p w14:paraId="0F1C06C7">
      <w:pPr>
        <w:widowControl/>
        <w:tabs>
          <w:tab w:val="left" w:pos="1134"/>
        </w:tabs>
        <w:spacing w:after="0" w:line="360" w:lineRule="auto"/>
        <w:ind w:firstLine="709"/>
        <w:jc w:val="both"/>
        <w:rPr>
          <w:rFonts w:ascii="Times New Roman" w:hAnsi="Times New Roman"/>
          <w:bCs/>
          <w:lang w:bidi="ru-RU"/>
        </w:rPr>
      </w:pPr>
      <w:r>
        <w:rPr>
          <w:rFonts w:ascii="Times New Roman" w:hAnsi="Times New Roman"/>
          <w:bCs/>
          <w:lang w:bidi="ru-RU"/>
        </w:rPr>
        <w:t>В. Енеш «Чи маттурри – Урине» («Самая трудолюбивая – Ирина»).</w:t>
      </w:r>
    </w:p>
    <w:p w14:paraId="25B7ECB0">
      <w:pPr>
        <w:widowControl/>
        <w:tabs>
          <w:tab w:val="left" w:pos="1134"/>
        </w:tabs>
        <w:spacing w:after="0" w:line="360" w:lineRule="auto"/>
        <w:ind w:firstLine="709"/>
        <w:jc w:val="both"/>
        <w:rPr>
          <w:rFonts w:ascii="Times New Roman" w:hAnsi="Times New Roman"/>
          <w:bCs/>
          <w:lang w:bidi="ru-RU"/>
        </w:rPr>
      </w:pPr>
      <w:r>
        <w:rPr>
          <w:rFonts w:ascii="Times New Roman" w:hAnsi="Times New Roman"/>
          <w:bCs/>
          <w:lang w:bidi="ru-RU"/>
        </w:rPr>
        <w:t>В. Палюк «Калаçу» («Разговор»).</w:t>
      </w:r>
    </w:p>
    <w:p w14:paraId="58977C6B">
      <w:pPr>
        <w:widowControl/>
        <w:tabs>
          <w:tab w:val="left" w:pos="1134"/>
        </w:tabs>
        <w:spacing w:after="0" w:line="360" w:lineRule="auto"/>
        <w:ind w:firstLine="709"/>
        <w:jc w:val="both"/>
        <w:rPr>
          <w:rFonts w:ascii="Times New Roman" w:hAnsi="Times New Roman"/>
          <w:bCs/>
          <w:lang w:bidi="ru-RU"/>
        </w:rPr>
      </w:pPr>
      <w:r>
        <w:rPr>
          <w:rFonts w:ascii="Times New Roman" w:hAnsi="Times New Roman"/>
          <w:bCs/>
          <w:lang w:bidi="ru-RU"/>
        </w:rPr>
        <w:t>8.8.4.6. Чăваш çĕршывĕ -Тăван çĕршыв (Родина моя – Чувашия).</w:t>
      </w:r>
    </w:p>
    <w:p w14:paraId="47921CF5">
      <w:pPr>
        <w:widowControl/>
        <w:tabs>
          <w:tab w:val="left" w:pos="1134"/>
        </w:tabs>
        <w:spacing w:after="0" w:line="360" w:lineRule="auto"/>
        <w:ind w:firstLine="709"/>
        <w:jc w:val="both"/>
        <w:rPr>
          <w:rFonts w:ascii="Times New Roman" w:hAnsi="Times New Roman"/>
          <w:bCs/>
          <w:lang w:bidi="ru-RU"/>
        </w:rPr>
      </w:pPr>
      <w:r>
        <w:rPr>
          <w:rFonts w:ascii="Times New Roman" w:hAnsi="Times New Roman"/>
          <w:bCs/>
          <w:lang w:bidi="ru-RU"/>
        </w:rPr>
        <w:t>Ю. Сементер «Чăваш чĕлхи» («Чувашский язык»).</w:t>
      </w:r>
    </w:p>
    <w:p w14:paraId="49A83375">
      <w:pPr>
        <w:widowControl/>
        <w:tabs>
          <w:tab w:val="left" w:pos="1134"/>
        </w:tabs>
        <w:spacing w:after="0" w:line="360" w:lineRule="auto"/>
        <w:ind w:firstLine="709"/>
        <w:jc w:val="both"/>
        <w:rPr>
          <w:rFonts w:ascii="Times New Roman" w:hAnsi="Times New Roman"/>
          <w:bCs/>
          <w:lang w:bidi="ru-RU"/>
        </w:rPr>
      </w:pPr>
      <w:r>
        <w:rPr>
          <w:rFonts w:ascii="Times New Roman" w:hAnsi="Times New Roman"/>
          <w:bCs/>
          <w:lang w:bidi="ru-RU"/>
        </w:rPr>
        <w:t>П. Хузангай «Савнă çĕр, Чăваш çĕршывĕ» («Любимый край – Чувашия»).</w:t>
      </w:r>
    </w:p>
    <w:p w14:paraId="3F292F16">
      <w:pPr>
        <w:widowControl/>
        <w:tabs>
          <w:tab w:val="left" w:pos="1134"/>
        </w:tabs>
        <w:spacing w:after="0" w:line="360" w:lineRule="auto"/>
        <w:ind w:firstLine="709"/>
        <w:jc w:val="both"/>
        <w:rPr>
          <w:rFonts w:ascii="Times New Roman" w:hAnsi="Times New Roman"/>
          <w:bCs/>
          <w:lang w:bidi="ru-RU"/>
        </w:rPr>
      </w:pPr>
      <w:r>
        <w:rPr>
          <w:rFonts w:ascii="Times New Roman" w:hAnsi="Times New Roman"/>
          <w:bCs/>
          <w:lang w:bidi="ru-RU"/>
        </w:rPr>
        <w:t>С. Тваньялзем «Тăван чĕлхене ан манăр» («Не забывайте родного языка»).</w:t>
      </w:r>
    </w:p>
    <w:p w14:paraId="3C42DF66">
      <w:pPr>
        <w:widowControl/>
        <w:tabs>
          <w:tab w:val="left" w:pos="1134"/>
        </w:tabs>
        <w:spacing w:after="0" w:line="360" w:lineRule="auto"/>
        <w:ind w:firstLine="709"/>
        <w:jc w:val="both"/>
        <w:rPr>
          <w:rFonts w:ascii="Times New Roman" w:hAnsi="Times New Roman"/>
          <w:bCs/>
          <w:lang w:bidi="ru-RU"/>
        </w:rPr>
      </w:pPr>
      <w:r>
        <w:rPr>
          <w:rFonts w:ascii="Times New Roman" w:hAnsi="Times New Roman"/>
          <w:bCs/>
          <w:lang w:bidi="ru-RU"/>
        </w:rPr>
        <w:t>Л. Мартьянова «Чăвашла» («На чувашском языке»).</w:t>
      </w:r>
    </w:p>
    <w:p w14:paraId="3848C2DA">
      <w:pPr>
        <w:widowControl/>
        <w:tabs>
          <w:tab w:val="left" w:pos="1134"/>
        </w:tabs>
        <w:spacing w:after="0" w:line="360" w:lineRule="auto"/>
        <w:ind w:firstLine="709"/>
        <w:jc w:val="both"/>
        <w:rPr>
          <w:rFonts w:ascii="Times New Roman" w:hAnsi="Times New Roman"/>
          <w:bCs/>
          <w:lang w:bidi="ru-RU"/>
        </w:rPr>
      </w:pPr>
      <w:r>
        <w:rPr>
          <w:rFonts w:ascii="Times New Roman" w:hAnsi="Times New Roman"/>
          <w:bCs/>
          <w:lang w:bidi="ru-RU"/>
        </w:rPr>
        <w:t>Ю. Вирьял «Çĕр пин юрă çĕршывĕ» («Страна ста тысяч песен»).</w:t>
      </w:r>
    </w:p>
    <w:p w14:paraId="11FC2FA1">
      <w:pPr>
        <w:widowControl/>
        <w:tabs>
          <w:tab w:val="left" w:pos="1134"/>
        </w:tabs>
        <w:spacing w:after="0" w:line="360" w:lineRule="auto"/>
        <w:ind w:firstLine="709"/>
        <w:jc w:val="both"/>
        <w:rPr>
          <w:rFonts w:ascii="Times New Roman" w:hAnsi="Times New Roman"/>
          <w:bCs/>
          <w:lang w:bidi="ru-RU"/>
        </w:rPr>
      </w:pPr>
      <w:r>
        <w:rPr>
          <w:rFonts w:ascii="Times New Roman" w:hAnsi="Times New Roman"/>
          <w:bCs/>
          <w:lang w:bidi="ru-RU"/>
        </w:rPr>
        <w:t>Ю. Мишши «Улăп çĕршывĕ» («Страна Улыпа»).</w:t>
      </w:r>
    </w:p>
    <w:p w14:paraId="4D6AAA15">
      <w:pPr>
        <w:widowControl/>
        <w:tabs>
          <w:tab w:val="left" w:pos="1134"/>
        </w:tabs>
        <w:spacing w:after="0" w:line="360" w:lineRule="auto"/>
        <w:ind w:firstLine="709"/>
        <w:jc w:val="both"/>
        <w:rPr>
          <w:rFonts w:ascii="Times New Roman" w:hAnsi="Times New Roman"/>
          <w:bCs/>
          <w:lang w:bidi="ru-RU"/>
        </w:rPr>
      </w:pPr>
      <w:r>
        <w:rPr>
          <w:rFonts w:ascii="Times New Roman" w:hAnsi="Times New Roman"/>
          <w:bCs/>
          <w:lang w:bidi="ru-RU"/>
        </w:rPr>
        <w:t>Г. Волков «Виçĕ ыйту – пĕр хурав» («Три вопроса – один ответ»).</w:t>
      </w:r>
    </w:p>
    <w:p w14:paraId="78D7C9A5">
      <w:pPr>
        <w:widowControl/>
        <w:tabs>
          <w:tab w:val="left" w:pos="1134"/>
        </w:tabs>
        <w:spacing w:after="0" w:line="360" w:lineRule="auto"/>
        <w:ind w:firstLine="709"/>
        <w:jc w:val="both"/>
        <w:rPr>
          <w:rFonts w:ascii="Times New Roman" w:hAnsi="Times New Roman"/>
          <w:bCs/>
          <w:lang w:bidi="ru-RU"/>
        </w:rPr>
      </w:pPr>
      <w:r>
        <w:rPr>
          <w:rFonts w:ascii="Times New Roman" w:hAnsi="Times New Roman"/>
          <w:bCs/>
          <w:lang w:bidi="ru-RU"/>
        </w:rPr>
        <w:t>8.9. Содержание обучения в 4 классе.</w:t>
      </w:r>
    </w:p>
    <w:p w14:paraId="3B4C4713">
      <w:pPr>
        <w:widowControl/>
        <w:tabs>
          <w:tab w:val="left" w:pos="1134"/>
        </w:tabs>
        <w:spacing w:after="0" w:line="360" w:lineRule="auto"/>
        <w:ind w:firstLine="709"/>
        <w:jc w:val="both"/>
        <w:rPr>
          <w:rFonts w:ascii="Times New Roman" w:hAnsi="Times New Roman"/>
          <w:bCs/>
          <w:lang w:bidi="ru-RU"/>
        </w:rPr>
      </w:pPr>
      <w:r>
        <w:rPr>
          <w:rFonts w:ascii="Times New Roman" w:hAnsi="Times New Roman"/>
          <w:bCs/>
          <w:lang w:bidi="ru-RU"/>
        </w:rPr>
        <w:t>8.9.1. </w:t>
      </w:r>
      <w:bookmarkStart w:id="13" w:name="_Hlk117836652"/>
      <w:r>
        <w:rPr>
          <w:rFonts w:ascii="Times New Roman" w:hAnsi="Times New Roman"/>
          <w:bCs/>
          <w:lang w:bidi="ru-RU"/>
        </w:rPr>
        <w:t>Развитие речи.</w:t>
      </w:r>
    </w:p>
    <w:p w14:paraId="71DA4DE8">
      <w:pPr>
        <w:widowControl/>
        <w:tabs>
          <w:tab w:val="left" w:pos="1134"/>
        </w:tabs>
        <w:spacing w:after="0" w:line="360" w:lineRule="auto"/>
        <w:ind w:firstLine="709"/>
        <w:jc w:val="both"/>
        <w:rPr>
          <w:rFonts w:ascii="Times New Roman" w:hAnsi="Times New Roman"/>
          <w:bCs/>
          <w:lang w:bidi="ru-RU"/>
        </w:rPr>
      </w:pPr>
      <w:r>
        <w:rPr>
          <w:rFonts w:ascii="Times New Roman" w:hAnsi="Times New Roman"/>
          <w:bCs/>
          <w:lang w:bidi="ru-RU"/>
        </w:rPr>
        <w:t>8.9.1.1. Аудирование.</w:t>
      </w:r>
    </w:p>
    <w:p w14:paraId="1A697DA0">
      <w:pPr>
        <w:widowControl/>
        <w:tabs>
          <w:tab w:val="left" w:pos="1134"/>
        </w:tabs>
        <w:spacing w:after="0" w:line="360" w:lineRule="auto"/>
        <w:ind w:firstLine="709"/>
        <w:jc w:val="both"/>
        <w:rPr>
          <w:rFonts w:ascii="Times New Roman" w:hAnsi="Times New Roman"/>
          <w:bCs/>
          <w:lang w:bidi="ru-RU"/>
        </w:rPr>
      </w:pPr>
      <w:r>
        <w:rPr>
          <w:rFonts w:ascii="Times New Roman" w:hAnsi="Times New Roman"/>
          <w:bCs/>
          <w:lang w:bidi="ru-RU"/>
        </w:rPr>
        <w:t>Совершенствование навыка восприятия чувашской звучащей речи.</w:t>
      </w:r>
    </w:p>
    <w:p w14:paraId="1F878F32">
      <w:pPr>
        <w:widowControl/>
        <w:tabs>
          <w:tab w:val="left" w:pos="1134"/>
        </w:tabs>
        <w:spacing w:after="0" w:line="360" w:lineRule="auto"/>
        <w:ind w:firstLine="709"/>
        <w:jc w:val="both"/>
        <w:rPr>
          <w:rFonts w:ascii="Times New Roman" w:hAnsi="Times New Roman"/>
          <w:bCs/>
          <w:lang w:bidi="ru-RU"/>
        </w:rPr>
      </w:pPr>
      <w:r>
        <w:rPr>
          <w:rFonts w:ascii="Times New Roman" w:hAnsi="Times New Roman"/>
          <w:bCs/>
          <w:lang w:bidi="ru-RU"/>
        </w:rPr>
        <w:t>8.9.1.2. Чтение.</w:t>
      </w:r>
    </w:p>
    <w:p w14:paraId="11168A62">
      <w:pPr>
        <w:widowControl/>
        <w:tabs>
          <w:tab w:val="left" w:pos="1134"/>
        </w:tabs>
        <w:spacing w:after="0" w:line="360" w:lineRule="auto"/>
        <w:ind w:firstLine="709"/>
        <w:jc w:val="both"/>
        <w:rPr>
          <w:rFonts w:ascii="Times New Roman" w:hAnsi="Times New Roman"/>
          <w:bCs/>
          <w:lang w:bidi="ru-RU"/>
        </w:rPr>
      </w:pPr>
      <w:r>
        <w:rPr>
          <w:rFonts w:ascii="Times New Roman" w:hAnsi="Times New Roman"/>
          <w:bCs/>
          <w:lang w:bidi="ru-RU"/>
        </w:rPr>
        <w:t>Чтение вслух и про себя с установкой на смысловое восприятие текста. Чтение вслух с соблюдением орфоэпических и интонационных норм.</w:t>
      </w:r>
    </w:p>
    <w:p w14:paraId="31F767DF">
      <w:pPr>
        <w:widowControl/>
        <w:tabs>
          <w:tab w:val="left" w:pos="1134"/>
        </w:tabs>
        <w:spacing w:after="0" w:line="360" w:lineRule="auto"/>
        <w:ind w:firstLine="709"/>
        <w:jc w:val="both"/>
        <w:rPr>
          <w:rFonts w:ascii="Times New Roman" w:hAnsi="Times New Roman"/>
          <w:bCs/>
          <w:lang w:bidi="ru-RU"/>
        </w:rPr>
      </w:pPr>
      <w:r>
        <w:rPr>
          <w:rFonts w:ascii="Times New Roman" w:hAnsi="Times New Roman"/>
          <w:bCs/>
          <w:lang w:bidi="ru-RU"/>
        </w:rPr>
        <w:t>8.9.1.3. Говорение.</w:t>
      </w:r>
    </w:p>
    <w:p w14:paraId="31F7EB91">
      <w:pPr>
        <w:widowControl/>
        <w:tabs>
          <w:tab w:val="left" w:pos="1134"/>
        </w:tabs>
        <w:spacing w:after="0" w:line="360" w:lineRule="auto"/>
        <w:ind w:firstLine="709"/>
        <w:jc w:val="both"/>
        <w:rPr>
          <w:rFonts w:ascii="Times New Roman" w:hAnsi="Times New Roman"/>
          <w:bCs/>
          <w:lang w:bidi="ru-RU"/>
        </w:rPr>
      </w:pPr>
      <w:r>
        <w:rPr>
          <w:rFonts w:ascii="Times New Roman" w:hAnsi="Times New Roman"/>
          <w:bCs/>
          <w:lang w:bidi="ru-RU"/>
        </w:rPr>
        <w:t>Построение монологического высказывания в форме краткого или развёрнутого ответа на вопрос, в форме передачи собственных впечатлений, передачи жизненных наблюдений и впечатлений, в форме доказательного суждения с использованием текста (зачитывание нужного места в тексте). Освоение особенностей диалогического общения: умение слушать высказывания собеседника и выражать своё отношение (согласие и (или) несогласие) к высказыванию. Чтение наизусть 3–4 стихотворений разных авторов.</w:t>
      </w:r>
    </w:p>
    <w:p w14:paraId="6DDE6A78">
      <w:pPr>
        <w:widowControl/>
        <w:tabs>
          <w:tab w:val="left" w:pos="1134"/>
        </w:tabs>
        <w:spacing w:after="0" w:line="360" w:lineRule="auto"/>
        <w:ind w:firstLine="709"/>
        <w:jc w:val="both"/>
        <w:rPr>
          <w:rFonts w:ascii="Times New Roman" w:hAnsi="Times New Roman"/>
          <w:bCs/>
          <w:lang w:bidi="ru-RU"/>
        </w:rPr>
      </w:pPr>
      <w:r>
        <w:rPr>
          <w:rFonts w:ascii="Times New Roman" w:hAnsi="Times New Roman"/>
          <w:bCs/>
          <w:lang w:bidi="ru-RU"/>
        </w:rPr>
        <w:t>8.9.1.4. Письмо.</w:t>
      </w:r>
    </w:p>
    <w:p w14:paraId="2B60AFD0">
      <w:pPr>
        <w:widowControl/>
        <w:tabs>
          <w:tab w:val="left" w:pos="1134"/>
        </w:tabs>
        <w:spacing w:after="0" w:line="360" w:lineRule="auto"/>
        <w:ind w:firstLine="709"/>
        <w:jc w:val="both"/>
        <w:rPr>
          <w:rFonts w:ascii="Times New Roman" w:hAnsi="Times New Roman"/>
          <w:bCs/>
          <w:lang w:bidi="ru-RU"/>
        </w:rPr>
      </w:pPr>
      <w:r>
        <w:rPr>
          <w:rFonts w:ascii="Times New Roman" w:hAnsi="Times New Roman"/>
          <w:bCs/>
          <w:lang w:bidi="ru-RU"/>
        </w:rPr>
        <w:t>Создание собственного небольшого текста на основе художественного произведения, по иллюстрациям, на основе личного опыта.</w:t>
      </w:r>
    </w:p>
    <w:p w14:paraId="1DAE4B7D">
      <w:pPr>
        <w:widowControl/>
        <w:tabs>
          <w:tab w:val="left" w:pos="1134"/>
        </w:tabs>
        <w:spacing w:after="0" w:line="360" w:lineRule="auto"/>
        <w:ind w:firstLine="709"/>
        <w:jc w:val="both"/>
        <w:rPr>
          <w:rFonts w:ascii="Times New Roman" w:hAnsi="Times New Roman"/>
          <w:bCs/>
          <w:lang w:bidi="ru-RU"/>
        </w:rPr>
      </w:pPr>
      <w:r>
        <w:rPr>
          <w:rFonts w:ascii="Times New Roman" w:hAnsi="Times New Roman"/>
          <w:bCs/>
          <w:lang w:bidi="ru-RU"/>
        </w:rPr>
        <w:t>8.9.2. Литературоведческая пропедевтика.</w:t>
      </w:r>
    </w:p>
    <w:p w14:paraId="4AC21F92">
      <w:pPr>
        <w:widowControl/>
        <w:tabs>
          <w:tab w:val="left" w:pos="1134"/>
        </w:tabs>
        <w:spacing w:after="0" w:line="360" w:lineRule="auto"/>
        <w:ind w:firstLine="709"/>
        <w:jc w:val="both"/>
        <w:rPr>
          <w:rFonts w:ascii="Times New Roman" w:hAnsi="Times New Roman"/>
          <w:bCs/>
          <w:i/>
          <w:lang w:bidi="ru-RU"/>
        </w:rPr>
      </w:pPr>
      <w:r>
        <w:rPr>
          <w:rFonts w:ascii="Times New Roman" w:hAnsi="Times New Roman"/>
          <w:bCs/>
          <w:lang w:bidi="ru-RU"/>
        </w:rPr>
        <w:t>Совершенствование умения анализировать художественные тексты. Знание содержаний изученных литературных произведений, их авторов и названий. Деление текста на смысловые части, составление плана текста и использование его для пересказа. Характеристика героев произведений, построение оценочных суждений о героях прочитанных произведений, выявление авторского отношения к героям. Нахождение в тексте средств художественной выразительности, понимание их роли в произведении. Различение произведений разных жанров.</w:t>
      </w:r>
    </w:p>
    <w:p w14:paraId="2C9E37C9">
      <w:pPr>
        <w:widowControl/>
        <w:tabs>
          <w:tab w:val="left" w:pos="1134"/>
        </w:tabs>
        <w:spacing w:after="0" w:line="360" w:lineRule="auto"/>
        <w:ind w:firstLine="709"/>
        <w:jc w:val="both"/>
        <w:rPr>
          <w:rFonts w:ascii="Times New Roman" w:hAnsi="Times New Roman"/>
          <w:bCs/>
          <w:lang w:bidi="ru-RU"/>
        </w:rPr>
      </w:pPr>
      <w:r>
        <w:rPr>
          <w:rFonts w:ascii="Times New Roman" w:hAnsi="Times New Roman"/>
          <w:bCs/>
          <w:lang w:bidi="ru-RU"/>
        </w:rPr>
        <w:t>8.9.3. Творческая деятельность обучающихся.</w:t>
      </w:r>
    </w:p>
    <w:p w14:paraId="2F48F858">
      <w:pPr>
        <w:widowControl/>
        <w:tabs>
          <w:tab w:val="left" w:pos="1134"/>
        </w:tabs>
        <w:spacing w:after="0" w:line="360" w:lineRule="auto"/>
        <w:ind w:firstLine="709"/>
        <w:jc w:val="both"/>
        <w:rPr>
          <w:rFonts w:ascii="Times New Roman" w:hAnsi="Times New Roman"/>
          <w:bCs/>
          <w:lang w:bidi="ru-RU"/>
        </w:rPr>
      </w:pPr>
      <w:r>
        <w:rPr>
          <w:rFonts w:ascii="Times New Roman" w:hAnsi="Times New Roman"/>
          <w:bCs/>
          <w:lang w:bidi="ru-RU"/>
        </w:rPr>
        <w:t>Создание собственных небольших текстов на основе художественного произведения, по иллюстрациям, на основе личного опыта. Инсценирование художественных текстов, иллюстрирование эпизодов произведений, использование в речи выразительных средств языка для передачи своих чувств, мыслей, оценки прочитанного. Выразительное чтение произведений.</w:t>
      </w:r>
    </w:p>
    <w:p w14:paraId="125E087F">
      <w:pPr>
        <w:widowControl/>
        <w:tabs>
          <w:tab w:val="left" w:pos="1134"/>
        </w:tabs>
        <w:spacing w:after="0" w:line="360" w:lineRule="auto"/>
        <w:ind w:firstLine="709"/>
        <w:jc w:val="both"/>
        <w:rPr>
          <w:rFonts w:ascii="Times New Roman" w:hAnsi="Times New Roman"/>
          <w:bCs/>
          <w:lang w:bidi="ru-RU"/>
        </w:rPr>
      </w:pPr>
      <w:r>
        <w:rPr>
          <w:rFonts w:ascii="Times New Roman" w:hAnsi="Times New Roman"/>
          <w:bCs/>
          <w:lang w:bidi="ru-RU"/>
        </w:rPr>
        <w:t>8.9.4. Круг детского чтения.</w:t>
      </w:r>
    </w:p>
    <w:p w14:paraId="6E786524">
      <w:pPr>
        <w:widowControl/>
        <w:tabs>
          <w:tab w:val="left" w:pos="1134"/>
        </w:tabs>
        <w:spacing w:after="0" w:line="360" w:lineRule="auto"/>
        <w:ind w:firstLine="709"/>
        <w:jc w:val="both"/>
        <w:rPr>
          <w:rFonts w:ascii="Times New Roman" w:hAnsi="Times New Roman"/>
          <w:bCs/>
          <w:lang w:bidi="ru-RU"/>
        </w:rPr>
      </w:pPr>
      <w:bookmarkStart w:id="14" w:name="_Hlk126601052"/>
      <w:r>
        <w:rPr>
          <w:rFonts w:ascii="Times New Roman" w:hAnsi="Times New Roman"/>
          <w:bCs/>
          <w:lang w:bidi="ru-RU"/>
        </w:rPr>
        <w:t>8.9.4.1. </w:t>
      </w:r>
      <w:bookmarkEnd w:id="14"/>
      <w:r>
        <w:rPr>
          <w:rFonts w:ascii="Times New Roman" w:hAnsi="Times New Roman"/>
          <w:bCs/>
          <w:lang w:bidi="ru-RU"/>
        </w:rPr>
        <w:t>Асран кайми çу кунĕсем (Незабываемые летние дни).</w:t>
      </w:r>
    </w:p>
    <w:p w14:paraId="1A7FC92C">
      <w:pPr>
        <w:widowControl/>
        <w:tabs>
          <w:tab w:val="left" w:pos="1134"/>
        </w:tabs>
        <w:spacing w:after="0" w:line="360" w:lineRule="auto"/>
        <w:ind w:firstLine="709"/>
        <w:jc w:val="both"/>
        <w:rPr>
          <w:rFonts w:ascii="Times New Roman" w:hAnsi="Times New Roman"/>
          <w:bCs/>
          <w:lang w:bidi="ru-RU"/>
        </w:rPr>
      </w:pPr>
      <w:r>
        <w:rPr>
          <w:rFonts w:ascii="Times New Roman" w:hAnsi="Times New Roman"/>
          <w:bCs/>
          <w:lang w:bidi="ru-RU"/>
        </w:rPr>
        <w:t>П. Сялгусь «Эс чăвашла пĕлетĕн-им?» («Ты разве знаешь по-чувашски?»).</w:t>
      </w:r>
    </w:p>
    <w:p w14:paraId="342CA678">
      <w:pPr>
        <w:widowControl/>
        <w:tabs>
          <w:tab w:val="left" w:pos="1134"/>
        </w:tabs>
        <w:spacing w:after="0" w:line="360" w:lineRule="auto"/>
        <w:ind w:firstLine="709"/>
        <w:jc w:val="both"/>
        <w:rPr>
          <w:rFonts w:ascii="Times New Roman" w:hAnsi="Times New Roman"/>
          <w:bCs/>
          <w:lang w:bidi="ru-RU"/>
        </w:rPr>
      </w:pPr>
      <w:r>
        <w:rPr>
          <w:rFonts w:ascii="Times New Roman" w:hAnsi="Times New Roman"/>
          <w:bCs/>
          <w:lang w:bidi="ru-RU"/>
        </w:rPr>
        <w:t>А. Смолин «Пулăра» («На рыбалке»).</w:t>
      </w:r>
    </w:p>
    <w:p w14:paraId="3B526EC9">
      <w:pPr>
        <w:widowControl/>
        <w:tabs>
          <w:tab w:val="left" w:pos="1134"/>
        </w:tabs>
        <w:spacing w:after="0" w:line="360" w:lineRule="auto"/>
        <w:ind w:firstLine="709"/>
        <w:jc w:val="both"/>
        <w:rPr>
          <w:rFonts w:ascii="Times New Roman" w:hAnsi="Times New Roman"/>
          <w:bCs/>
          <w:lang w:bidi="ru-RU"/>
        </w:rPr>
      </w:pPr>
      <w:r>
        <w:rPr>
          <w:rFonts w:ascii="Times New Roman" w:hAnsi="Times New Roman"/>
          <w:bCs/>
          <w:lang w:bidi="ru-RU"/>
        </w:rPr>
        <w:t>Ю. Вирьял «Çырмари концерт» («Концерт в овраге»).</w:t>
      </w:r>
    </w:p>
    <w:p w14:paraId="5E3FD596">
      <w:pPr>
        <w:widowControl/>
        <w:tabs>
          <w:tab w:val="left" w:pos="1134"/>
        </w:tabs>
        <w:spacing w:after="0" w:line="360" w:lineRule="auto"/>
        <w:ind w:firstLine="709"/>
        <w:jc w:val="both"/>
        <w:rPr>
          <w:rFonts w:ascii="Times New Roman" w:hAnsi="Times New Roman"/>
          <w:bCs/>
          <w:lang w:bidi="ru-RU"/>
        </w:rPr>
      </w:pPr>
      <w:r>
        <w:rPr>
          <w:rFonts w:ascii="Times New Roman" w:hAnsi="Times New Roman"/>
          <w:bCs/>
          <w:lang w:bidi="ru-RU"/>
        </w:rPr>
        <w:t>У. Мишши «Çуллахи каникул» («Летние каникулы»), «Шыва кĕни» («Купание»).</w:t>
      </w:r>
    </w:p>
    <w:p w14:paraId="10CAB48D">
      <w:pPr>
        <w:widowControl/>
        <w:tabs>
          <w:tab w:val="left" w:pos="1134"/>
        </w:tabs>
        <w:spacing w:after="0" w:line="360" w:lineRule="auto"/>
        <w:ind w:firstLine="709"/>
        <w:jc w:val="both"/>
        <w:rPr>
          <w:rFonts w:ascii="Times New Roman" w:hAnsi="Times New Roman"/>
          <w:bCs/>
          <w:lang w:bidi="ru-RU"/>
        </w:rPr>
      </w:pPr>
      <w:r>
        <w:rPr>
          <w:rFonts w:ascii="Times New Roman" w:hAnsi="Times New Roman"/>
          <w:bCs/>
          <w:lang w:bidi="ru-RU"/>
        </w:rPr>
        <w:t>Г. Орлов «Çуллахи вăрманта» («В летнем лесу»).</w:t>
      </w:r>
    </w:p>
    <w:p w14:paraId="73EE92FE">
      <w:pPr>
        <w:widowControl/>
        <w:tabs>
          <w:tab w:val="left" w:pos="1134"/>
        </w:tabs>
        <w:spacing w:after="0" w:line="360" w:lineRule="auto"/>
        <w:ind w:firstLine="709"/>
        <w:jc w:val="both"/>
        <w:rPr>
          <w:rFonts w:ascii="Times New Roman" w:hAnsi="Times New Roman"/>
          <w:bCs/>
          <w:lang w:bidi="ru-RU"/>
        </w:rPr>
      </w:pPr>
      <w:r>
        <w:rPr>
          <w:rFonts w:ascii="Times New Roman" w:hAnsi="Times New Roman"/>
          <w:bCs/>
          <w:lang w:bidi="ru-RU"/>
        </w:rPr>
        <w:t>О. Савандеева «Микула пичче кучченеçĕ» («Гостинцы дяди Миколы»).</w:t>
      </w:r>
    </w:p>
    <w:p w14:paraId="020DBBA5">
      <w:pPr>
        <w:widowControl/>
        <w:tabs>
          <w:tab w:val="left" w:pos="1134"/>
        </w:tabs>
        <w:spacing w:after="0" w:line="360" w:lineRule="auto"/>
        <w:ind w:firstLine="709"/>
        <w:jc w:val="both"/>
        <w:rPr>
          <w:rFonts w:ascii="Times New Roman" w:hAnsi="Times New Roman"/>
          <w:bCs/>
          <w:lang w:bidi="ru-RU"/>
        </w:rPr>
      </w:pPr>
      <w:r>
        <w:rPr>
          <w:rFonts w:ascii="Times New Roman" w:hAnsi="Times New Roman"/>
          <w:bCs/>
          <w:lang w:bidi="ru-RU"/>
        </w:rPr>
        <w:t>8.9.4.2. Ачалăх (Детство).</w:t>
      </w:r>
    </w:p>
    <w:p w14:paraId="257EC676">
      <w:pPr>
        <w:widowControl/>
        <w:tabs>
          <w:tab w:val="left" w:pos="1134"/>
        </w:tabs>
        <w:spacing w:after="0" w:line="360" w:lineRule="auto"/>
        <w:ind w:firstLine="709"/>
        <w:jc w:val="both"/>
        <w:rPr>
          <w:rFonts w:ascii="Times New Roman" w:hAnsi="Times New Roman"/>
          <w:bCs/>
          <w:lang w:bidi="ru-RU"/>
        </w:rPr>
      </w:pPr>
      <w:r>
        <w:rPr>
          <w:rFonts w:ascii="Times New Roman" w:hAnsi="Times New Roman"/>
          <w:bCs/>
          <w:lang w:bidi="ru-RU"/>
        </w:rPr>
        <w:t>В. Шемекеев «Футболист пулатăп» («Стану футболистом»).</w:t>
      </w:r>
    </w:p>
    <w:p w14:paraId="2032134D">
      <w:pPr>
        <w:widowControl/>
        <w:tabs>
          <w:tab w:val="left" w:pos="1134"/>
        </w:tabs>
        <w:spacing w:after="0" w:line="360" w:lineRule="auto"/>
        <w:ind w:firstLine="709"/>
        <w:jc w:val="both"/>
        <w:rPr>
          <w:rFonts w:ascii="Times New Roman" w:hAnsi="Times New Roman"/>
          <w:bCs/>
          <w:lang w:bidi="ru-RU"/>
        </w:rPr>
      </w:pPr>
      <w:r>
        <w:rPr>
          <w:rFonts w:ascii="Times New Roman" w:hAnsi="Times New Roman"/>
          <w:bCs/>
          <w:lang w:bidi="ru-RU"/>
        </w:rPr>
        <w:t>Н. Парчаган «Ĕçчен Петĕр» («Трудолюбивый Петя»).</w:t>
      </w:r>
    </w:p>
    <w:p w14:paraId="32DC5FB2">
      <w:pPr>
        <w:widowControl/>
        <w:tabs>
          <w:tab w:val="left" w:pos="1134"/>
        </w:tabs>
        <w:spacing w:after="0" w:line="360" w:lineRule="auto"/>
        <w:ind w:firstLine="709"/>
        <w:jc w:val="both"/>
        <w:rPr>
          <w:rFonts w:ascii="Times New Roman" w:hAnsi="Times New Roman"/>
          <w:bCs/>
          <w:lang w:bidi="ru-RU"/>
        </w:rPr>
      </w:pPr>
      <w:r>
        <w:rPr>
          <w:rFonts w:ascii="Times New Roman" w:hAnsi="Times New Roman"/>
          <w:bCs/>
          <w:lang w:bidi="ru-RU"/>
        </w:rPr>
        <w:t>Н. Ижендей «Çапăçман ачасем» («Друзья»).</w:t>
      </w:r>
    </w:p>
    <w:p w14:paraId="2F9FABB5">
      <w:pPr>
        <w:widowControl/>
        <w:tabs>
          <w:tab w:val="left" w:pos="1134"/>
        </w:tabs>
        <w:spacing w:after="0" w:line="360" w:lineRule="auto"/>
        <w:ind w:firstLine="709"/>
        <w:jc w:val="both"/>
        <w:rPr>
          <w:rFonts w:ascii="Times New Roman" w:hAnsi="Times New Roman"/>
          <w:bCs/>
          <w:lang w:bidi="ru-RU"/>
        </w:rPr>
      </w:pPr>
      <w:r>
        <w:rPr>
          <w:rFonts w:ascii="Times New Roman" w:hAnsi="Times New Roman"/>
          <w:bCs/>
          <w:lang w:bidi="ru-RU"/>
        </w:rPr>
        <w:t>А. Юрату «Кукаçи» («Дедушка»).</w:t>
      </w:r>
    </w:p>
    <w:p w14:paraId="553F40AF">
      <w:pPr>
        <w:widowControl/>
        <w:tabs>
          <w:tab w:val="left" w:pos="1134"/>
        </w:tabs>
        <w:spacing w:after="0" w:line="360" w:lineRule="auto"/>
        <w:ind w:firstLine="709"/>
        <w:jc w:val="both"/>
        <w:rPr>
          <w:rFonts w:ascii="Times New Roman" w:hAnsi="Times New Roman"/>
          <w:bCs/>
          <w:lang w:bidi="ru-RU"/>
        </w:rPr>
      </w:pPr>
      <w:r>
        <w:rPr>
          <w:rFonts w:ascii="Times New Roman" w:hAnsi="Times New Roman"/>
          <w:bCs/>
          <w:lang w:bidi="ru-RU"/>
        </w:rPr>
        <w:t>Р. Шевлеби «Ют хăяр» («Чужие огурцы»).</w:t>
      </w:r>
    </w:p>
    <w:p w14:paraId="62C4B3A9">
      <w:pPr>
        <w:widowControl/>
        <w:tabs>
          <w:tab w:val="left" w:pos="1134"/>
        </w:tabs>
        <w:spacing w:after="0" w:line="360" w:lineRule="auto"/>
        <w:ind w:firstLine="709"/>
        <w:jc w:val="both"/>
        <w:rPr>
          <w:rFonts w:ascii="Times New Roman" w:hAnsi="Times New Roman"/>
          <w:bCs/>
          <w:lang w:bidi="ru-RU"/>
        </w:rPr>
      </w:pPr>
      <w:r>
        <w:rPr>
          <w:rFonts w:ascii="Times New Roman" w:hAnsi="Times New Roman"/>
          <w:bCs/>
          <w:lang w:bidi="ru-RU"/>
        </w:rPr>
        <w:t>П. Ялгир «Ĕмĕт пысăк» («Великие мечты»).</w:t>
      </w:r>
    </w:p>
    <w:p w14:paraId="26869739">
      <w:pPr>
        <w:widowControl/>
        <w:tabs>
          <w:tab w:val="left" w:pos="1134"/>
        </w:tabs>
        <w:spacing w:after="0" w:line="360" w:lineRule="auto"/>
        <w:ind w:firstLine="709"/>
        <w:jc w:val="both"/>
        <w:rPr>
          <w:rFonts w:ascii="Times New Roman" w:hAnsi="Times New Roman"/>
          <w:bCs/>
          <w:lang w:bidi="ru-RU"/>
        </w:rPr>
      </w:pPr>
      <w:r>
        <w:rPr>
          <w:rFonts w:ascii="Times New Roman" w:hAnsi="Times New Roman"/>
          <w:bCs/>
          <w:lang w:bidi="ru-RU"/>
        </w:rPr>
        <w:t>8.9.4.3. Çут çанталăк тĕнчи (Окружающий мир).</w:t>
      </w:r>
    </w:p>
    <w:p w14:paraId="5BBA3A39">
      <w:pPr>
        <w:widowControl/>
        <w:tabs>
          <w:tab w:val="left" w:pos="1134"/>
        </w:tabs>
        <w:spacing w:after="0" w:line="360" w:lineRule="auto"/>
        <w:ind w:firstLine="709"/>
        <w:jc w:val="both"/>
        <w:rPr>
          <w:rFonts w:ascii="Times New Roman" w:hAnsi="Times New Roman"/>
          <w:bCs/>
          <w:lang w:bidi="ru-RU"/>
        </w:rPr>
      </w:pPr>
      <w:r>
        <w:rPr>
          <w:rFonts w:ascii="Times New Roman" w:hAnsi="Times New Roman"/>
          <w:bCs/>
          <w:lang w:bidi="ru-RU"/>
        </w:rPr>
        <w:t>Н. Ларионов «Хуралçă кушак» («Кот-защитник»).</w:t>
      </w:r>
    </w:p>
    <w:p w14:paraId="11B08617">
      <w:pPr>
        <w:widowControl/>
        <w:tabs>
          <w:tab w:val="left" w:pos="1134"/>
        </w:tabs>
        <w:spacing w:after="0" w:line="360" w:lineRule="auto"/>
        <w:ind w:firstLine="709"/>
        <w:jc w:val="both"/>
        <w:rPr>
          <w:rFonts w:ascii="Times New Roman" w:hAnsi="Times New Roman"/>
          <w:bCs/>
          <w:lang w:bidi="ru-RU"/>
        </w:rPr>
      </w:pPr>
      <w:r>
        <w:rPr>
          <w:rFonts w:ascii="Times New Roman" w:hAnsi="Times New Roman"/>
          <w:bCs/>
          <w:lang w:bidi="ru-RU"/>
        </w:rPr>
        <w:t>Сказки «Вĕçкĕн çерçи» («Хвастливый воробей»), «Кушакпа Çерçи» («Воробей и Кошка»), «Тилĕпе тăрна» («Лиса и журавль»).</w:t>
      </w:r>
    </w:p>
    <w:p w14:paraId="79C6ECB9">
      <w:pPr>
        <w:widowControl/>
        <w:tabs>
          <w:tab w:val="left" w:pos="1134"/>
        </w:tabs>
        <w:spacing w:after="0" w:line="360" w:lineRule="auto"/>
        <w:ind w:firstLine="709"/>
        <w:jc w:val="both"/>
        <w:rPr>
          <w:rFonts w:ascii="Times New Roman" w:hAnsi="Times New Roman"/>
          <w:bCs/>
          <w:lang w:bidi="ru-RU"/>
        </w:rPr>
      </w:pPr>
      <w:r>
        <w:rPr>
          <w:rFonts w:ascii="Times New Roman" w:hAnsi="Times New Roman"/>
          <w:bCs/>
          <w:lang w:bidi="ru-RU"/>
        </w:rPr>
        <w:t>Г. Харлампьев «Кӳлĕ хĕрринче» («На озере»).</w:t>
      </w:r>
    </w:p>
    <w:p w14:paraId="71355354">
      <w:pPr>
        <w:widowControl/>
        <w:tabs>
          <w:tab w:val="left" w:pos="1134"/>
        </w:tabs>
        <w:spacing w:after="0" w:line="360" w:lineRule="auto"/>
        <w:ind w:firstLine="709"/>
        <w:jc w:val="both"/>
        <w:rPr>
          <w:rFonts w:ascii="Times New Roman" w:hAnsi="Times New Roman"/>
          <w:bCs/>
          <w:lang w:bidi="ru-RU"/>
        </w:rPr>
      </w:pPr>
      <w:r>
        <w:rPr>
          <w:rFonts w:ascii="Times New Roman" w:hAnsi="Times New Roman"/>
          <w:bCs/>
          <w:lang w:bidi="ru-RU"/>
        </w:rPr>
        <w:t>Л. Симонова «Тăпăртăк качака» («Коза-плясунья»).</w:t>
      </w:r>
    </w:p>
    <w:p w14:paraId="47528F8E">
      <w:pPr>
        <w:widowControl/>
        <w:tabs>
          <w:tab w:val="left" w:pos="1134"/>
        </w:tabs>
        <w:spacing w:after="0" w:line="360" w:lineRule="auto"/>
        <w:ind w:firstLine="709"/>
        <w:jc w:val="both"/>
        <w:rPr>
          <w:rFonts w:ascii="Times New Roman" w:hAnsi="Times New Roman"/>
          <w:bCs/>
          <w:lang w:bidi="ru-RU"/>
        </w:rPr>
      </w:pPr>
      <w:r>
        <w:rPr>
          <w:rFonts w:ascii="Times New Roman" w:hAnsi="Times New Roman"/>
          <w:bCs/>
          <w:lang w:bidi="ru-RU"/>
        </w:rPr>
        <w:t>Н. Ыдарай «Йытăпа кушак» («Собака и кошка»).</w:t>
      </w:r>
    </w:p>
    <w:p w14:paraId="25B1C5D2">
      <w:pPr>
        <w:widowControl/>
        <w:tabs>
          <w:tab w:val="left" w:pos="1134"/>
        </w:tabs>
        <w:spacing w:after="0" w:line="360" w:lineRule="auto"/>
        <w:ind w:firstLine="709"/>
        <w:jc w:val="both"/>
        <w:rPr>
          <w:rFonts w:ascii="Times New Roman" w:hAnsi="Times New Roman"/>
          <w:bCs/>
          <w:lang w:bidi="ru-RU"/>
        </w:rPr>
      </w:pPr>
      <w:r>
        <w:rPr>
          <w:rFonts w:ascii="Times New Roman" w:hAnsi="Times New Roman"/>
          <w:bCs/>
          <w:lang w:bidi="ru-RU"/>
        </w:rPr>
        <w:t>О. Тургай «Çулçă» («Лист»), «Юлташпа вăйсăрри те вăйлă» («В дружбе - сила»).</w:t>
      </w:r>
    </w:p>
    <w:p w14:paraId="776F3F34">
      <w:pPr>
        <w:widowControl/>
        <w:tabs>
          <w:tab w:val="left" w:pos="1134"/>
        </w:tabs>
        <w:spacing w:after="0" w:line="360" w:lineRule="auto"/>
        <w:ind w:firstLine="709"/>
        <w:jc w:val="both"/>
        <w:rPr>
          <w:rFonts w:ascii="Times New Roman" w:hAnsi="Times New Roman"/>
          <w:bCs/>
          <w:lang w:bidi="ru-RU"/>
        </w:rPr>
      </w:pPr>
      <w:r>
        <w:rPr>
          <w:rFonts w:ascii="Times New Roman" w:hAnsi="Times New Roman"/>
          <w:bCs/>
          <w:lang w:bidi="ru-RU"/>
        </w:rPr>
        <w:t>А. Юрату «Вăрман» («Лес»).</w:t>
      </w:r>
    </w:p>
    <w:p w14:paraId="343B6696">
      <w:pPr>
        <w:widowControl/>
        <w:tabs>
          <w:tab w:val="left" w:pos="1134"/>
        </w:tabs>
        <w:spacing w:after="0" w:line="360" w:lineRule="auto"/>
        <w:ind w:firstLine="709"/>
        <w:jc w:val="both"/>
        <w:rPr>
          <w:rFonts w:ascii="Times New Roman" w:hAnsi="Times New Roman"/>
          <w:bCs/>
          <w:lang w:bidi="ru-RU"/>
        </w:rPr>
      </w:pPr>
      <w:r>
        <w:rPr>
          <w:rFonts w:ascii="Times New Roman" w:hAnsi="Times New Roman"/>
          <w:bCs/>
          <w:lang w:bidi="ru-RU"/>
        </w:rPr>
        <w:t>А. Савельев-Сас «Тухтăр» («Врач»).</w:t>
      </w:r>
    </w:p>
    <w:p w14:paraId="59E147CB">
      <w:pPr>
        <w:widowControl/>
        <w:tabs>
          <w:tab w:val="left" w:pos="1134"/>
        </w:tabs>
        <w:spacing w:after="0" w:line="360" w:lineRule="auto"/>
        <w:ind w:firstLine="709"/>
        <w:jc w:val="both"/>
        <w:rPr>
          <w:rFonts w:ascii="Times New Roman" w:hAnsi="Times New Roman"/>
          <w:bCs/>
          <w:lang w:bidi="ru-RU"/>
        </w:rPr>
      </w:pPr>
      <w:r>
        <w:rPr>
          <w:rFonts w:ascii="Times New Roman" w:hAnsi="Times New Roman"/>
          <w:bCs/>
          <w:lang w:bidi="ru-RU"/>
        </w:rPr>
        <w:t>Г. Луч «Тилĕ ташши» («Танец лисы»).</w:t>
      </w:r>
    </w:p>
    <w:p w14:paraId="76A83BB4">
      <w:pPr>
        <w:widowControl/>
        <w:tabs>
          <w:tab w:val="left" w:pos="1134"/>
        </w:tabs>
        <w:spacing w:after="0" w:line="360" w:lineRule="auto"/>
        <w:ind w:firstLine="709"/>
        <w:jc w:val="both"/>
        <w:rPr>
          <w:rFonts w:ascii="Times New Roman" w:hAnsi="Times New Roman"/>
          <w:bCs/>
          <w:lang w:bidi="ru-RU"/>
        </w:rPr>
      </w:pPr>
      <w:r>
        <w:rPr>
          <w:rFonts w:ascii="Times New Roman" w:hAnsi="Times New Roman"/>
          <w:bCs/>
          <w:lang w:bidi="ru-RU"/>
        </w:rPr>
        <w:t>А. Галкин «Талпас Карсак» («Зайчишка-трусишка»).</w:t>
      </w:r>
    </w:p>
    <w:p w14:paraId="0722711C">
      <w:pPr>
        <w:widowControl/>
        <w:tabs>
          <w:tab w:val="left" w:pos="1134"/>
        </w:tabs>
        <w:spacing w:after="0" w:line="360" w:lineRule="auto"/>
        <w:ind w:firstLine="709"/>
        <w:jc w:val="both"/>
        <w:rPr>
          <w:rFonts w:ascii="Times New Roman" w:hAnsi="Times New Roman"/>
          <w:bCs/>
          <w:lang w:bidi="ru-RU"/>
        </w:rPr>
      </w:pPr>
      <w:r>
        <w:rPr>
          <w:rFonts w:ascii="Times New Roman" w:hAnsi="Times New Roman"/>
          <w:bCs/>
          <w:lang w:bidi="ru-RU"/>
        </w:rPr>
        <w:t>8.9.4.4. Чăваш çĕршывĕ – Тăван çĕршыв (Родина моя – Чувашия).</w:t>
      </w:r>
    </w:p>
    <w:p w14:paraId="484492D1">
      <w:pPr>
        <w:widowControl/>
        <w:tabs>
          <w:tab w:val="left" w:pos="1134"/>
        </w:tabs>
        <w:spacing w:after="0" w:line="360" w:lineRule="auto"/>
        <w:ind w:firstLine="709"/>
        <w:jc w:val="both"/>
        <w:rPr>
          <w:rFonts w:ascii="Times New Roman" w:hAnsi="Times New Roman"/>
          <w:bCs/>
          <w:lang w:bidi="ru-RU"/>
        </w:rPr>
      </w:pPr>
      <w:r>
        <w:rPr>
          <w:rFonts w:ascii="Times New Roman" w:hAnsi="Times New Roman"/>
          <w:bCs/>
          <w:lang w:bidi="ru-RU"/>
        </w:rPr>
        <w:t>З. Сывламби «Чăваш чĕлхи» («Чувашский язык»).</w:t>
      </w:r>
    </w:p>
    <w:p w14:paraId="0D50607B">
      <w:pPr>
        <w:widowControl/>
        <w:tabs>
          <w:tab w:val="left" w:pos="1134"/>
        </w:tabs>
        <w:spacing w:after="0" w:line="360" w:lineRule="auto"/>
        <w:ind w:firstLine="709"/>
        <w:jc w:val="both"/>
        <w:rPr>
          <w:rFonts w:ascii="Times New Roman" w:hAnsi="Times New Roman"/>
          <w:bCs/>
          <w:lang w:bidi="ru-RU"/>
        </w:rPr>
      </w:pPr>
      <w:r>
        <w:rPr>
          <w:rFonts w:ascii="Times New Roman" w:hAnsi="Times New Roman"/>
          <w:bCs/>
          <w:lang w:bidi="ru-RU"/>
        </w:rPr>
        <w:t>А. Мишши «Юратнă хула» («Любимый город»).</w:t>
      </w:r>
    </w:p>
    <w:p w14:paraId="366F1918">
      <w:pPr>
        <w:widowControl/>
        <w:tabs>
          <w:tab w:val="left" w:pos="1134"/>
        </w:tabs>
        <w:spacing w:after="0" w:line="360" w:lineRule="auto"/>
        <w:ind w:firstLine="709"/>
        <w:jc w:val="both"/>
        <w:rPr>
          <w:rFonts w:ascii="Times New Roman" w:hAnsi="Times New Roman"/>
          <w:bCs/>
          <w:lang w:bidi="ru-RU"/>
        </w:rPr>
      </w:pPr>
      <w:r>
        <w:rPr>
          <w:rFonts w:ascii="Times New Roman" w:hAnsi="Times New Roman"/>
          <w:bCs/>
          <w:lang w:bidi="ru-RU"/>
        </w:rPr>
        <w:t>Иван Малкай «Тăван тавралăх» («Родная сторона»).</w:t>
      </w:r>
    </w:p>
    <w:p w14:paraId="23F9D46F">
      <w:pPr>
        <w:widowControl/>
        <w:tabs>
          <w:tab w:val="left" w:pos="1134"/>
        </w:tabs>
        <w:spacing w:after="0" w:line="360" w:lineRule="auto"/>
        <w:ind w:firstLine="709"/>
        <w:jc w:val="both"/>
        <w:rPr>
          <w:rFonts w:ascii="Times New Roman" w:hAnsi="Times New Roman"/>
          <w:bCs/>
          <w:lang w:bidi="ru-RU"/>
        </w:rPr>
      </w:pPr>
      <w:r>
        <w:rPr>
          <w:rFonts w:ascii="Times New Roman" w:hAnsi="Times New Roman"/>
          <w:bCs/>
          <w:lang w:bidi="ru-RU"/>
        </w:rPr>
        <w:t>Г. Волков «Ылтăн çĕр» («Золотая земля»).</w:t>
      </w:r>
    </w:p>
    <w:p w14:paraId="5DEBBCDE">
      <w:pPr>
        <w:widowControl/>
        <w:tabs>
          <w:tab w:val="left" w:pos="1134"/>
        </w:tabs>
        <w:spacing w:after="0" w:line="360" w:lineRule="auto"/>
        <w:ind w:firstLine="709"/>
        <w:jc w:val="both"/>
        <w:rPr>
          <w:rFonts w:ascii="Times New Roman" w:hAnsi="Times New Roman"/>
          <w:bCs/>
          <w:lang w:bidi="ru-RU"/>
        </w:rPr>
      </w:pPr>
      <w:r>
        <w:rPr>
          <w:rFonts w:ascii="Times New Roman" w:hAnsi="Times New Roman"/>
          <w:bCs/>
          <w:lang w:bidi="ru-RU"/>
        </w:rPr>
        <w:t>8.9.4.5. Сивĕ хĕл çитрĕ (Пришла зима).</w:t>
      </w:r>
    </w:p>
    <w:p w14:paraId="25AFBA65">
      <w:pPr>
        <w:widowControl/>
        <w:tabs>
          <w:tab w:val="left" w:pos="1134"/>
        </w:tabs>
        <w:spacing w:after="0" w:line="360" w:lineRule="auto"/>
        <w:ind w:firstLine="709"/>
        <w:jc w:val="both"/>
        <w:rPr>
          <w:rFonts w:ascii="Times New Roman" w:hAnsi="Times New Roman"/>
          <w:bCs/>
          <w:lang w:bidi="ru-RU"/>
        </w:rPr>
      </w:pPr>
      <w:r>
        <w:rPr>
          <w:rFonts w:ascii="Times New Roman" w:hAnsi="Times New Roman"/>
          <w:bCs/>
          <w:lang w:bidi="ru-RU"/>
        </w:rPr>
        <w:t>С. Савкай «Елкăра» («На ёлке»).</w:t>
      </w:r>
    </w:p>
    <w:p w14:paraId="5AEB5D8E">
      <w:pPr>
        <w:widowControl/>
        <w:tabs>
          <w:tab w:val="left" w:pos="1134"/>
        </w:tabs>
        <w:spacing w:after="0" w:line="360" w:lineRule="auto"/>
        <w:ind w:firstLine="709"/>
        <w:jc w:val="both"/>
        <w:rPr>
          <w:rFonts w:ascii="Times New Roman" w:hAnsi="Times New Roman"/>
          <w:bCs/>
          <w:lang w:bidi="ru-RU"/>
        </w:rPr>
      </w:pPr>
      <w:r>
        <w:rPr>
          <w:rFonts w:ascii="Times New Roman" w:hAnsi="Times New Roman"/>
          <w:bCs/>
          <w:lang w:bidi="ru-RU"/>
        </w:rPr>
        <w:t>Г. Харлампьев «Уйăпсем» («Снегири»), «Çăткăн чакак» («Прожорливая сорока»).</w:t>
      </w:r>
    </w:p>
    <w:p w14:paraId="69B84E84">
      <w:pPr>
        <w:widowControl/>
        <w:tabs>
          <w:tab w:val="left" w:pos="1134"/>
        </w:tabs>
        <w:spacing w:after="0" w:line="360" w:lineRule="auto"/>
        <w:ind w:firstLine="709"/>
        <w:jc w:val="both"/>
        <w:rPr>
          <w:rFonts w:ascii="Times New Roman" w:hAnsi="Times New Roman"/>
          <w:bCs/>
          <w:lang w:bidi="ru-RU"/>
        </w:rPr>
      </w:pPr>
      <w:r>
        <w:rPr>
          <w:rFonts w:ascii="Times New Roman" w:hAnsi="Times New Roman"/>
          <w:bCs/>
          <w:lang w:bidi="ru-RU"/>
        </w:rPr>
        <w:t>Н. Ильина «Пăхнă иккĕн кантăкран…» («Посмотрели вдвоём из окна…»).</w:t>
      </w:r>
    </w:p>
    <w:p w14:paraId="4464D5D8">
      <w:pPr>
        <w:widowControl/>
        <w:tabs>
          <w:tab w:val="left" w:pos="1134"/>
        </w:tabs>
        <w:spacing w:after="0" w:line="360" w:lineRule="auto"/>
        <w:ind w:firstLine="709"/>
        <w:jc w:val="both"/>
        <w:rPr>
          <w:rFonts w:ascii="Times New Roman" w:hAnsi="Times New Roman"/>
          <w:bCs/>
          <w:lang w:bidi="ru-RU"/>
        </w:rPr>
      </w:pPr>
      <w:r>
        <w:rPr>
          <w:rFonts w:ascii="Times New Roman" w:hAnsi="Times New Roman"/>
          <w:bCs/>
          <w:lang w:bidi="ru-RU"/>
        </w:rPr>
        <w:t>А. Пртта «Хĕл юмахĕ» («Зимняя сказка»).</w:t>
      </w:r>
    </w:p>
    <w:p w14:paraId="51A089BC">
      <w:pPr>
        <w:widowControl/>
        <w:tabs>
          <w:tab w:val="left" w:pos="1134"/>
        </w:tabs>
        <w:spacing w:after="0" w:line="360" w:lineRule="auto"/>
        <w:ind w:firstLine="709"/>
        <w:jc w:val="both"/>
        <w:rPr>
          <w:rFonts w:ascii="Times New Roman" w:hAnsi="Times New Roman"/>
          <w:bCs/>
          <w:lang w:bidi="ru-RU"/>
        </w:rPr>
      </w:pPr>
      <w:r>
        <w:rPr>
          <w:rFonts w:ascii="Times New Roman" w:hAnsi="Times New Roman"/>
          <w:bCs/>
          <w:lang w:bidi="ru-RU"/>
        </w:rPr>
        <w:t>А. Тарасов «Чуна хывнă илем» («Увидеть красоту»).</w:t>
      </w:r>
    </w:p>
    <w:p w14:paraId="2EFDCB0A">
      <w:pPr>
        <w:widowControl/>
        <w:tabs>
          <w:tab w:val="left" w:pos="1134"/>
        </w:tabs>
        <w:spacing w:after="0" w:line="360" w:lineRule="auto"/>
        <w:ind w:firstLine="709"/>
        <w:jc w:val="both"/>
        <w:rPr>
          <w:rFonts w:ascii="Times New Roman" w:hAnsi="Times New Roman"/>
          <w:bCs/>
          <w:lang w:bidi="ru-RU"/>
        </w:rPr>
      </w:pPr>
      <w:r>
        <w:rPr>
          <w:rFonts w:ascii="Times New Roman" w:hAnsi="Times New Roman"/>
          <w:bCs/>
          <w:lang w:bidi="ru-RU"/>
        </w:rPr>
        <w:t>А. Калган «Юр çăвать» («Снег идёт»).</w:t>
      </w:r>
    </w:p>
    <w:p w14:paraId="3CC0FB85">
      <w:pPr>
        <w:widowControl/>
        <w:tabs>
          <w:tab w:val="left" w:pos="1134"/>
        </w:tabs>
        <w:spacing w:after="0" w:line="360" w:lineRule="auto"/>
        <w:ind w:firstLine="709"/>
        <w:jc w:val="both"/>
        <w:rPr>
          <w:rFonts w:ascii="Times New Roman" w:hAnsi="Times New Roman"/>
          <w:bCs/>
          <w:lang w:bidi="ru-RU"/>
        </w:rPr>
      </w:pPr>
      <w:r>
        <w:rPr>
          <w:rFonts w:ascii="Times New Roman" w:hAnsi="Times New Roman"/>
          <w:bCs/>
          <w:lang w:bidi="ru-RU"/>
        </w:rPr>
        <w:t>У. Мишши «Хĕл çитрĕ» («Наступила зима»).</w:t>
      </w:r>
    </w:p>
    <w:p w14:paraId="3BA9A00A">
      <w:pPr>
        <w:widowControl/>
        <w:tabs>
          <w:tab w:val="left" w:pos="1134"/>
        </w:tabs>
        <w:spacing w:after="0" w:line="360" w:lineRule="auto"/>
        <w:ind w:firstLine="709"/>
        <w:jc w:val="both"/>
        <w:rPr>
          <w:rFonts w:ascii="Times New Roman" w:hAnsi="Times New Roman"/>
          <w:bCs/>
          <w:lang w:bidi="ru-RU"/>
        </w:rPr>
      </w:pPr>
      <w:r>
        <w:rPr>
          <w:rFonts w:ascii="Times New Roman" w:hAnsi="Times New Roman"/>
          <w:bCs/>
          <w:lang w:bidi="ru-RU"/>
        </w:rPr>
        <w:t>Г. Луч «Кукăр сăмса» («Клёст»).</w:t>
      </w:r>
    </w:p>
    <w:p w14:paraId="3A493FDE">
      <w:pPr>
        <w:widowControl/>
        <w:tabs>
          <w:tab w:val="left" w:pos="1134"/>
        </w:tabs>
        <w:spacing w:after="0" w:line="360" w:lineRule="auto"/>
        <w:ind w:firstLine="709"/>
        <w:jc w:val="both"/>
        <w:rPr>
          <w:rFonts w:ascii="Times New Roman" w:hAnsi="Times New Roman"/>
          <w:bCs/>
          <w:lang w:bidi="ru-RU"/>
        </w:rPr>
      </w:pPr>
      <w:r>
        <w:rPr>
          <w:rFonts w:ascii="Times New Roman" w:hAnsi="Times New Roman"/>
          <w:bCs/>
          <w:lang w:bidi="ru-RU"/>
        </w:rPr>
        <w:t>8.9.4.6. Манăн çемье (Моя семья).</w:t>
      </w:r>
    </w:p>
    <w:p w14:paraId="7D4CD0CB">
      <w:pPr>
        <w:widowControl/>
        <w:tabs>
          <w:tab w:val="left" w:pos="1134"/>
        </w:tabs>
        <w:spacing w:after="0" w:line="360" w:lineRule="auto"/>
        <w:ind w:firstLine="709"/>
        <w:jc w:val="both"/>
        <w:rPr>
          <w:rFonts w:ascii="Times New Roman" w:hAnsi="Times New Roman"/>
          <w:bCs/>
          <w:lang w:bidi="ru-RU"/>
        </w:rPr>
      </w:pPr>
      <w:r>
        <w:rPr>
          <w:rFonts w:ascii="Times New Roman" w:hAnsi="Times New Roman"/>
          <w:bCs/>
          <w:lang w:bidi="ru-RU"/>
        </w:rPr>
        <w:t>В. Давыдов-Анатри «Юратнă анне» («Любимая мама»).</w:t>
      </w:r>
    </w:p>
    <w:p w14:paraId="6E8F99DE">
      <w:pPr>
        <w:widowControl/>
        <w:tabs>
          <w:tab w:val="left" w:pos="1134"/>
        </w:tabs>
        <w:spacing w:after="0" w:line="360" w:lineRule="auto"/>
        <w:ind w:firstLine="709"/>
        <w:jc w:val="both"/>
        <w:rPr>
          <w:rFonts w:ascii="Times New Roman" w:hAnsi="Times New Roman"/>
          <w:bCs/>
          <w:lang w:bidi="ru-RU"/>
        </w:rPr>
      </w:pPr>
      <w:r>
        <w:rPr>
          <w:rFonts w:ascii="Times New Roman" w:hAnsi="Times New Roman"/>
          <w:bCs/>
          <w:lang w:bidi="ru-RU"/>
        </w:rPr>
        <w:t>Г. Мальцев «Асанне хăçан канать-ши?» («Когда же отдыхает бабушка?»).</w:t>
      </w:r>
    </w:p>
    <w:p w14:paraId="4B0520AC">
      <w:pPr>
        <w:widowControl/>
        <w:tabs>
          <w:tab w:val="left" w:pos="1134"/>
        </w:tabs>
        <w:spacing w:after="0" w:line="360" w:lineRule="auto"/>
        <w:ind w:firstLine="709"/>
        <w:jc w:val="both"/>
        <w:rPr>
          <w:rFonts w:ascii="Times New Roman" w:hAnsi="Times New Roman"/>
          <w:bCs/>
          <w:lang w:bidi="ru-RU"/>
        </w:rPr>
      </w:pPr>
      <w:r>
        <w:rPr>
          <w:rFonts w:ascii="Times New Roman" w:hAnsi="Times New Roman"/>
          <w:bCs/>
          <w:lang w:bidi="ru-RU"/>
        </w:rPr>
        <w:t>Н. Симунов «Турат вăррисем» («Похитители веток»).</w:t>
      </w:r>
    </w:p>
    <w:p w14:paraId="1120471D">
      <w:pPr>
        <w:widowControl/>
        <w:tabs>
          <w:tab w:val="left" w:pos="1134"/>
        </w:tabs>
        <w:spacing w:after="0" w:line="360" w:lineRule="auto"/>
        <w:ind w:firstLine="709"/>
        <w:jc w:val="both"/>
        <w:rPr>
          <w:rFonts w:ascii="Times New Roman" w:hAnsi="Times New Roman"/>
          <w:bCs/>
          <w:lang w:bidi="ru-RU"/>
        </w:rPr>
      </w:pPr>
      <w:r>
        <w:rPr>
          <w:rFonts w:ascii="Times New Roman" w:hAnsi="Times New Roman"/>
          <w:bCs/>
          <w:lang w:bidi="ru-RU"/>
        </w:rPr>
        <w:t>Л. Николаева «Пĕчĕк пулăшакан» («Маленькая помощница»).</w:t>
      </w:r>
    </w:p>
    <w:p w14:paraId="2A571A6E">
      <w:pPr>
        <w:widowControl/>
        <w:tabs>
          <w:tab w:val="left" w:pos="1134"/>
        </w:tabs>
        <w:spacing w:after="0" w:line="360" w:lineRule="auto"/>
        <w:ind w:firstLine="709"/>
        <w:jc w:val="both"/>
        <w:rPr>
          <w:rFonts w:ascii="Times New Roman" w:hAnsi="Times New Roman"/>
          <w:bCs/>
          <w:lang w:bidi="ru-RU"/>
        </w:rPr>
      </w:pPr>
      <w:r>
        <w:rPr>
          <w:rFonts w:ascii="Times New Roman" w:hAnsi="Times New Roman"/>
          <w:bCs/>
          <w:lang w:bidi="ru-RU"/>
        </w:rPr>
        <w:t>Л. Толстой «Пахчаçăпа унăн ывăлĕсем» («Садовник и его сыновья»).</w:t>
      </w:r>
    </w:p>
    <w:p w14:paraId="0917DB0F">
      <w:pPr>
        <w:widowControl/>
        <w:tabs>
          <w:tab w:val="left" w:pos="1134"/>
        </w:tabs>
        <w:spacing w:after="0" w:line="360" w:lineRule="auto"/>
        <w:ind w:firstLine="709"/>
        <w:jc w:val="both"/>
        <w:rPr>
          <w:rFonts w:ascii="Times New Roman" w:hAnsi="Times New Roman"/>
          <w:bCs/>
          <w:lang w:bidi="ru-RU"/>
        </w:rPr>
      </w:pPr>
      <w:r>
        <w:rPr>
          <w:rFonts w:ascii="Times New Roman" w:hAnsi="Times New Roman"/>
          <w:bCs/>
          <w:lang w:bidi="ru-RU"/>
        </w:rPr>
        <w:t>В. Ар-Серги «Аслашшĕн вуннăмĕш пӳрни» («Десятый палец деда»).</w:t>
      </w:r>
    </w:p>
    <w:p w14:paraId="3166B9C6">
      <w:pPr>
        <w:widowControl/>
        <w:tabs>
          <w:tab w:val="left" w:pos="1134"/>
        </w:tabs>
        <w:spacing w:after="0" w:line="360" w:lineRule="auto"/>
        <w:ind w:firstLine="709"/>
        <w:jc w:val="both"/>
        <w:rPr>
          <w:rFonts w:ascii="Times New Roman" w:hAnsi="Times New Roman"/>
          <w:bCs/>
          <w:lang w:bidi="ru-RU"/>
        </w:rPr>
      </w:pPr>
      <w:r>
        <w:rPr>
          <w:rFonts w:ascii="Times New Roman" w:hAnsi="Times New Roman"/>
          <w:bCs/>
          <w:lang w:bidi="ru-RU"/>
        </w:rPr>
        <w:t>8.9.4.7. Эпир – туслă ачасем (Мы – дружные ребята).</w:t>
      </w:r>
    </w:p>
    <w:p w14:paraId="459C2BC8">
      <w:pPr>
        <w:widowControl/>
        <w:tabs>
          <w:tab w:val="left" w:pos="1134"/>
        </w:tabs>
        <w:spacing w:after="0" w:line="360" w:lineRule="auto"/>
        <w:ind w:firstLine="709"/>
        <w:jc w:val="both"/>
        <w:rPr>
          <w:rFonts w:ascii="Times New Roman" w:hAnsi="Times New Roman"/>
          <w:bCs/>
          <w:lang w:bidi="ru-RU"/>
        </w:rPr>
      </w:pPr>
      <w:r>
        <w:rPr>
          <w:rFonts w:ascii="Times New Roman" w:hAnsi="Times New Roman"/>
          <w:bCs/>
          <w:lang w:bidi="ru-RU"/>
        </w:rPr>
        <w:t>С. Савкай «Çулла» («Летом»).</w:t>
      </w:r>
    </w:p>
    <w:p w14:paraId="3896BEF4">
      <w:pPr>
        <w:widowControl/>
        <w:tabs>
          <w:tab w:val="left" w:pos="1134"/>
        </w:tabs>
        <w:spacing w:after="0" w:line="360" w:lineRule="auto"/>
        <w:ind w:firstLine="709"/>
        <w:jc w:val="both"/>
        <w:rPr>
          <w:rFonts w:ascii="Times New Roman" w:hAnsi="Times New Roman"/>
          <w:bCs/>
          <w:lang w:bidi="ru-RU"/>
        </w:rPr>
      </w:pPr>
      <w:r>
        <w:rPr>
          <w:rFonts w:ascii="Times New Roman" w:hAnsi="Times New Roman"/>
          <w:bCs/>
          <w:lang w:bidi="ru-RU"/>
        </w:rPr>
        <w:t>А. Савельев-Сас «Эпир – чăваш ачисем» («Мы – чуваши»).</w:t>
      </w:r>
    </w:p>
    <w:p w14:paraId="2AB24B07">
      <w:pPr>
        <w:widowControl/>
        <w:tabs>
          <w:tab w:val="left" w:pos="1134"/>
        </w:tabs>
        <w:spacing w:after="0" w:line="360" w:lineRule="auto"/>
        <w:ind w:firstLine="709"/>
        <w:jc w:val="both"/>
        <w:rPr>
          <w:rFonts w:ascii="Times New Roman" w:hAnsi="Times New Roman"/>
          <w:bCs/>
          <w:lang w:bidi="ru-RU"/>
        </w:rPr>
      </w:pPr>
      <w:r>
        <w:rPr>
          <w:rFonts w:ascii="Times New Roman" w:hAnsi="Times New Roman"/>
          <w:bCs/>
          <w:lang w:bidi="ru-RU"/>
        </w:rPr>
        <w:t>Е. Нарби «Çумламан йăран» («Непрополотая грядка»).</w:t>
      </w:r>
    </w:p>
    <w:p w14:paraId="3291228B">
      <w:pPr>
        <w:widowControl/>
        <w:tabs>
          <w:tab w:val="left" w:pos="1134"/>
        </w:tabs>
        <w:spacing w:after="0" w:line="360" w:lineRule="auto"/>
        <w:ind w:firstLine="709"/>
        <w:jc w:val="both"/>
        <w:rPr>
          <w:rFonts w:ascii="Times New Roman" w:hAnsi="Times New Roman"/>
          <w:bCs/>
          <w:lang w:bidi="ru-RU"/>
        </w:rPr>
      </w:pPr>
      <w:r>
        <w:rPr>
          <w:rFonts w:ascii="Times New Roman" w:hAnsi="Times New Roman"/>
          <w:bCs/>
          <w:lang w:bidi="ru-RU"/>
        </w:rPr>
        <w:t>Л. Сарине «Кашкăрпа пакша» («Волк и белка»).</w:t>
      </w:r>
    </w:p>
    <w:p w14:paraId="2932A023">
      <w:pPr>
        <w:widowControl/>
        <w:tabs>
          <w:tab w:val="left" w:pos="1134"/>
        </w:tabs>
        <w:spacing w:after="0" w:line="360" w:lineRule="auto"/>
        <w:ind w:firstLine="709"/>
        <w:jc w:val="both"/>
        <w:rPr>
          <w:rFonts w:ascii="Times New Roman" w:hAnsi="Times New Roman"/>
          <w:bCs/>
          <w:lang w:bidi="ru-RU"/>
        </w:rPr>
      </w:pPr>
      <w:r>
        <w:rPr>
          <w:rFonts w:ascii="Times New Roman" w:hAnsi="Times New Roman"/>
          <w:bCs/>
          <w:lang w:bidi="ru-RU"/>
        </w:rPr>
        <w:t>Г. Мальцев «Пытанма юратакан» («Любящий прятаться»).</w:t>
      </w:r>
    </w:p>
    <w:p w14:paraId="458F8FC2">
      <w:pPr>
        <w:widowControl/>
        <w:tabs>
          <w:tab w:val="left" w:pos="1134"/>
        </w:tabs>
        <w:spacing w:after="0" w:line="360" w:lineRule="auto"/>
        <w:ind w:firstLine="709"/>
        <w:jc w:val="both"/>
        <w:rPr>
          <w:rFonts w:ascii="Times New Roman" w:hAnsi="Times New Roman"/>
          <w:bCs/>
          <w:lang w:bidi="ru-RU"/>
        </w:rPr>
      </w:pPr>
      <w:r>
        <w:rPr>
          <w:rFonts w:ascii="Times New Roman" w:hAnsi="Times New Roman"/>
          <w:bCs/>
          <w:lang w:bidi="ru-RU"/>
        </w:rPr>
        <w:t>Г. Волков «Пуç пӳрнене те юлташ кирлĕ» («И большому пальцу нужен друг»), «Суяпа инçе каяймăн» («Обман до добра не доведёт»).</w:t>
      </w:r>
    </w:p>
    <w:p w14:paraId="52AA85B3">
      <w:pPr>
        <w:widowControl/>
        <w:tabs>
          <w:tab w:val="left" w:pos="1134"/>
        </w:tabs>
        <w:spacing w:after="0" w:line="360" w:lineRule="auto"/>
        <w:ind w:firstLine="709"/>
        <w:jc w:val="both"/>
        <w:rPr>
          <w:rFonts w:ascii="Times New Roman" w:hAnsi="Times New Roman"/>
          <w:bCs/>
          <w:lang w:bidi="ru-RU"/>
        </w:rPr>
      </w:pPr>
      <w:r>
        <w:rPr>
          <w:rFonts w:ascii="Times New Roman" w:hAnsi="Times New Roman"/>
          <w:bCs/>
          <w:lang w:bidi="ru-RU"/>
        </w:rPr>
        <w:t>В. Сухомлинский «Пан улми» («Яблоко»).</w:t>
      </w:r>
    </w:p>
    <w:bookmarkEnd w:id="13"/>
    <w:p w14:paraId="0B085CE8">
      <w:pPr>
        <w:widowControl/>
        <w:tabs>
          <w:tab w:val="left" w:pos="1134"/>
        </w:tabs>
        <w:spacing w:after="0" w:line="360" w:lineRule="auto"/>
        <w:ind w:firstLine="709"/>
        <w:jc w:val="both"/>
        <w:rPr>
          <w:rFonts w:ascii="Times New Roman" w:hAnsi="Times New Roman"/>
          <w:bCs/>
          <w:lang w:bidi="ru-RU"/>
        </w:rPr>
      </w:pPr>
      <w:r>
        <w:rPr>
          <w:rFonts w:ascii="Times New Roman" w:hAnsi="Times New Roman"/>
          <w:bCs/>
          <w:lang w:bidi="ru-RU"/>
        </w:rPr>
        <w:t>8.10. Планируемые результаты освоения программы по литературному чтению на родном (чувашском) языке на уровне начального общего образования.</w:t>
      </w:r>
    </w:p>
    <w:p w14:paraId="6ACA1A0A">
      <w:pPr>
        <w:widowControl/>
        <w:tabs>
          <w:tab w:val="left" w:pos="1134"/>
        </w:tabs>
        <w:spacing w:after="0" w:line="360" w:lineRule="auto"/>
        <w:ind w:firstLine="709"/>
        <w:jc w:val="both"/>
        <w:rPr>
          <w:rFonts w:ascii="Times New Roman" w:hAnsi="Times New Roman"/>
          <w:bCs/>
          <w:lang w:bidi="ru-RU"/>
        </w:rPr>
      </w:pPr>
      <w:r>
        <w:rPr>
          <w:rFonts w:ascii="Times New Roman" w:hAnsi="Times New Roman"/>
          <w:bCs/>
          <w:lang w:bidi="ru-RU"/>
        </w:rPr>
        <w:t>8.10.1. В результате изучения литературного чтения на родном (чувашском) языке на уровне начального общего образования у обучающегося будут сформированы следующие личностные результаты:</w:t>
      </w:r>
    </w:p>
    <w:p w14:paraId="4A712E92">
      <w:pPr>
        <w:widowControl/>
        <w:tabs>
          <w:tab w:val="left" w:pos="1134"/>
        </w:tabs>
        <w:spacing w:after="0" w:line="360" w:lineRule="auto"/>
        <w:ind w:firstLine="709"/>
        <w:jc w:val="both"/>
        <w:rPr>
          <w:rFonts w:ascii="Times New Roman" w:hAnsi="Times New Roman"/>
          <w:bCs/>
          <w:lang w:bidi="ru-RU"/>
        </w:rPr>
      </w:pPr>
      <w:r>
        <w:rPr>
          <w:rFonts w:ascii="Times New Roman" w:hAnsi="Times New Roman"/>
          <w:bCs/>
          <w:lang w:bidi="ru-RU"/>
        </w:rPr>
        <w:t>1) гражданско-патриотического воспитания:</w:t>
      </w:r>
    </w:p>
    <w:p w14:paraId="3324AFD0">
      <w:pPr>
        <w:widowControl/>
        <w:tabs>
          <w:tab w:val="left" w:pos="1134"/>
        </w:tabs>
        <w:spacing w:after="0" w:line="360" w:lineRule="auto"/>
        <w:ind w:firstLine="709"/>
        <w:jc w:val="both"/>
        <w:rPr>
          <w:rFonts w:ascii="Times New Roman" w:hAnsi="Times New Roman"/>
          <w:bCs/>
          <w:lang w:bidi="ru-RU"/>
        </w:rPr>
      </w:pPr>
      <w:r>
        <w:rPr>
          <w:rFonts w:ascii="Times New Roman" w:hAnsi="Times New Roman"/>
          <w:bCs/>
          <w:lang w:bidi="ru-RU"/>
        </w:rPr>
        <w:t>становление ценностного отношения к своей Родине – России, в том числе через изучение родного языка и родной литературы, являющихся частью истории и культуры страны;</w:t>
      </w:r>
    </w:p>
    <w:p w14:paraId="455A0531">
      <w:pPr>
        <w:widowControl/>
        <w:tabs>
          <w:tab w:val="left" w:pos="1134"/>
        </w:tabs>
        <w:spacing w:after="0" w:line="360" w:lineRule="auto"/>
        <w:ind w:firstLine="709"/>
        <w:jc w:val="both"/>
        <w:rPr>
          <w:rFonts w:ascii="Times New Roman" w:hAnsi="Times New Roman"/>
          <w:bCs/>
          <w:lang w:bidi="ru-RU"/>
        </w:rPr>
      </w:pPr>
      <w:r>
        <w:rPr>
          <w:rFonts w:ascii="Times New Roman" w:hAnsi="Times New Roman"/>
          <w:bCs/>
          <w:lang w:bidi="ru-RU"/>
        </w:rPr>
        <w:t>проявление уважения к традициям и культуре своего и других народов в процессе восприятия и анализа художественных произведений и творчества народов России;</w:t>
      </w:r>
    </w:p>
    <w:p w14:paraId="4A8BC68C">
      <w:pPr>
        <w:widowControl/>
        <w:tabs>
          <w:tab w:val="left" w:pos="1134"/>
        </w:tabs>
        <w:spacing w:after="0" w:line="360" w:lineRule="auto"/>
        <w:ind w:firstLine="709"/>
        <w:jc w:val="both"/>
        <w:rPr>
          <w:rFonts w:ascii="Times New Roman" w:hAnsi="Times New Roman"/>
          <w:bCs/>
          <w:lang w:bidi="ru-RU"/>
        </w:rPr>
      </w:pPr>
      <w:r>
        <w:rPr>
          <w:rFonts w:ascii="Times New Roman" w:hAnsi="Times New Roman"/>
          <w:bCs/>
          <w:lang w:bidi="ru-RU"/>
        </w:rPr>
        <w:t>осознание своей этнокультурной и российской гражданской идентичности;</w:t>
      </w:r>
    </w:p>
    <w:p w14:paraId="60D9135C">
      <w:pPr>
        <w:widowControl/>
        <w:tabs>
          <w:tab w:val="left" w:pos="1134"/>
        </w:tabs>
        <w:spacing w:after="0" w:line="360" w:lineRule="auto"/>
        <w:ind w:firstLine="709"/>
        <w:jc w:val="both"/>
        <w:rPr>
          <w:rFonts w:ascii="Times New Roman" w:hAnsi="Times New Roman"/>
          <w:bCs/>
          <w:lang w:bidi="ru-RU"/>
        </w:rPr>
      </w:pPr>
      <w:r>
        <w:rPr>
          <w:rFonts w:ascii="Times New Roman" w:hAnsi="Times New Roman"/>
          <w:bCs/>
          <w:lang w:bidi="ru-RU"/>
        </w:rPr>
        <w:t>сопричастность к прошлому, настоящему и будущему родного края, в том числе при работе с художественными произведениями;</w:t>
      </w:r>
    </w:p>
    <w:p w14:paraId="20630805">
      <w:pPr>
        <w:widowControl/>
        <w:tabs>
          <w:tab w:val="left" w:pos="1134"/>
        </w:tabs>
        <w:spacing w:after="0" w:line="360" w:lineRule="auto"/>
        <w:ind w:firstLine="709"/>
        <w:jc w:val="both"/>
        <w:rPr>
          <w:rFonts w:ascii="Times New Roman" w:hAnsi="Times New Roman"/>
          <w:bCs/>
          <w:lang w:bidi="ru-RU"/>
        </w:rPr>
      </w:pPr>
      <w:r>
        <w:rPr>
          <w:rFonts w:ascii="Times New Roman" w:hAnsi="Times New Roman"/>
          <w:bCs/>
          <w:lang w:bidi="ru-RU"/>
        </w:rPr>
        <w:t>уважительное отношение к другим народам многонациональной России;</w:t>
      </w:r>
    </w:p>
    <w:p w14:paraId="1B7E1F85">
      <w:pPr>
        <w:widowControl/>
        <w:tabs>
          <w:tab w:val="left" w:pos="1134"/>
        </w:tabs>
        <w:spacing w:after="0" w:line="360" w:lineRule="auto"/>
        <w:ind w:firstLine="709"/>
        <w:jc w:val="both"/>
        <w:rPr>
          <w:rFonts w:ascii="Times New Roman" w:hAnsi="Times New Roman"/>
          <w:bCs/>
          <w:lang w:bidi="ru-RU"/>
        </w:rPr>
      </w:pPr>
      <w:r>
        <w:rPr>
          <w:rFonts w:ascii="Times New Roman" w:hAnsi="Times New Roman"/>
          <w:bCs/>
          <w:lang w:bidi="ru-RU"/>
        </w:rPr>
        <w:t>первоначальные представления о человеке как члене общества, о правах и ответственности, уважении и достоинстве человека, о нравственно-этических нормах поведения и правилах межличностных отношений.</w:t>
      </w:r>
    </w:p>
    <w:p w14:paraId="1766A39E">
      <w:pPr>
        <w:widowControl/>
        <w:tabs>
          <w:tab w:val="left" w:pos="1134"/>
        </w:tabs>
        <w:spacing w:after="0" w:line="360" w:lineRule="auto"/>
        <w:ind w:firstLine="709"/>
        <w:jc w:val="both"/>
        <w:rPr>
          <w:rFonts w:ascii="Times New Roman" w:hAnsi="Times New Roman"/>
          <w:bCs/>
          <w:lang w:bidi="ru-RU"/>
        </w:rPr>
      </w:pPr>
      <w:r>
        <w:rPr>
          <w:rFonts w:ascii="Times New Roman" w:hAnsi="Times New Roman"/>
          <w:bCs/>
          <w:lang w:bidi="ru-RU"/>
        </w:rPr>
        <w:t>2) духовно-нравственного воспитания:</w:t>
      </w:r>
    </w:p>
    <w:p w14:paraId="03C0E6E0">
      <w:pPr>
        <w:widowControl/>
        <w:tabs>
          <w:tab w:val="left" w:pos="1134"/>
        </w:tabs>
        <w:spacing w:after="0" w:line="360" w:lineRule="auto"/>
        <w:ind w:firstLine="709"/>
        <w:jc w:val="both"/>
        <w:rPr>
          <w:rFonts w:ascii="Times New Roman" w:hAnsi="Times New Roman"/>
          <w:bCs/>
          <w:lang w:bidi="ru-RU"/>
        </w:rPr>
      </w:pPr>
      <w:r>
        <w:rPr>
          <w:rFonts w:ascii="Times New Roman" w:hAnsi="Times New Roman"/>
          <w:bCs/>
          <w:lang w:bidi="ru-RU"/>
        </w:rPr>
        <w:t>проявление сопереживания, уважения и доброжелательности (в том числе с использованием языковых средств для выражения своего состояния и чувств);</w:t>
      </w:r>
    </w:p>
    <w:p w14:paraId="008BE9EA">
      <w:pPr>
        <w:widowControl/>
        <w:tabs>
          <w:tab w:val="left" w:pos="1134"/>
        </w:tabs>
        <w:spacing w:after="0" w:line="360" w:lineRule="auto"/>
        <w:ind w:firstLine="709"/>
        <w:jc w:val="both"/>
        <w:rPr>
          <w:rFonts w:ascii="Times New Roman" w:hAnsi="Times New Roman"/>
          <w:bCs/>
          <w:lang w:bidi="ru-RU"/>
        </w:rPr>
      </w:pPr>
      <w:r>
        <w:rPr>
          <w:rFonts w:ascii="Times New Roman" w:hAnsi="Times New Roman"/>
          <w:bCs/>
          <w:lang w:bidi="ru-RU"/>
        </w:rPr>
        <w:t>осознание этических понятий, оценка поведения и поступков персонажей художественных произведений в ситуации нравственного выбора;</w:t>
      </w:r>
    </w:p>
    <w:p w14:paraId="7F455A80">
      <w:pPr>
        <w:widowControl/>
        <w:tabs>
          <w:tab w:val="left" w:pos="1134"/>
        </w:tabs>
        <w:spacing w:after="0" w:line="360" w:lineRule="auto"/>
        <w:ind w:firstLine="709"/>
        <w:jc w:val="both"/>
        <w:rPr>
          <w:rFonts w:ascii="Times New Roman" w:hAnsi="Times New Roman"/>
          <w:bCs/>
          <w:lang w:bidi="ru-RU"/>
        </w:rPr>
      </w:pPr>
      <w:r>
        <w:rPr>
          <w:rFonts w:ascii="Times New Roman" w:hAnsi="Times New Roman"/>
          <w:bCs/>
          <w:lang w:bidi="ru-RU"/>
        </w:rPr>
        <w:t>выражение своего видения мира, индивидуальной позиции посредством накопления и систематизации литературных впечатлений, разнообразных по эмоциональной окраске;</w:t>
      </w:r>
    </w:p>
    <w:p w14:paraId="29D36912">
      <w:pPr>
        <w:widowControl/>
        <w:tabs>
          <w:tab w:val="left" w:pos="1134"/>
        </w:tabs>
        <w:spacing w:after="0" w:line="360" w:lineRule="auto"/>
        <w:ind w:firstLine="709"/>
        <w:jc w:val="both"/>
        <w:rPr>
          <w:rFonts w:ascii="Times New Roman" w:hAnsi="Times New Roman"/>
          <w:bCs/>
          <w:lang w:bidi="ru-RU"/>
        </w:rPr>
      </w:pPr>
      <w:r>
        <w:rPr>
          <w:rFonts w:ascii="Times New Roman" w:hAnsi="Times New Roman"/>
          <w:bCs/>
          <w:lang w:bidi="ru-RU"/>
        </w:rPr>
        <w:t>неприятие любых форм поведения, направленных на причинение физического и морального вреда другим людям (в том числе связанного с использованием недопустимых средств языка);</w:t>
      </w:r>
    </w:p>
    <w:p w14:paraId="08A61A8A">
      <w:pPr>
        <w:widowControl/>
        <w:tabs>
          <w:tab w:val="left" w:pos="1134"/>
        </w:tabs>
        <w:spacing w:after="0" w:line="360" w:lineRule="auto"/>
        <w:ind w:firstLine="709"/>
        <w:jc w:val="both"/>
        <w:rPr>
          <w:rFonts w:ascii="Times New Roman" w:hAnsi="Times New Roman"/>
          <w:bCs/>
          <w:lang w:bidi="ru-RU"/>
        </w:rPr>
      </w:pPr>
      <w:r>
        <w:rPr>
          <w:rFonts w:ascii="Times New Roman" w:hAnsi="Times New Roman"/>
          <w:bCs/>
          <w:lang w:bidi="ru-RU"/>
        </w:rPr>
        <w:t>3) эстетического воспитания:</w:t>
      </w:r>
    </w:p>
    <w:p w14:paraId="641B7752">
      <w:pPr>
        <w:widowControl/>
        <w:tabs>
          <w:tab w:val="left" w:pos="1134"/>
        </w:tabs>
        <w:spacing w:after="0" w:line="360" w:lineRule="auto"/>
        <w:ind w:firstLine="709"/>
        <w:jc w:val="both"/>
        <w:rPr>
          <w:rFonts w:ascii="Times New Roman" w:hAnsi="Times New Roman"/>
          <w:bCs/>
          <w:lang w:bidi="ru-RU"/>
        </w:rPr>
      </w:pPr>
      <w:r>
        <w:rPr>
          <w:rFonts w:ascii="Times New Roman" w:hAnsi="Times New Roman"/>
          <w:bCs/>
          <w:lang w:bidi="ru-RU"/>
        </w:rPr>
        <w:t>уважительное отношение и интерес к художественной культуре, восприимчивость к разным видам искусства, традициям и творчеству своего и других народов;</w:t>
      </w:r>
    </w:p>
    <w:p w14:paraId="7E1174BE">
      <w:pPr>
        <w:widowControl/>
        <w:tabs>
          <w:tab w:val="left" w:pos="1134"/>
        </w:tabs>
        <w:spacing w:after="0" w:line="360" w:lineRule="auto"/>
        <w:ind w:firstLine="709"/>
        <w:jc w:val="both"/>
        <w:rPr>
          <w:rFonts w:ascii="Times New Roman" w:hAnsi="Times New Roman"/>
          <w:bCs/>
          <w:lang w:bidi="ru-RU"/>
        </w:rPr>
      </w:pPr>
      <w:r>
        <w:rPr>
          <w:rFonts w:ascii="Times New Roman" w:hAnsi="Times New Roman"/>
          <w:bCs/>
          <w:lang w:bidi="ru-RU"/>
        </w:rPr>
        <w:t>стремление к самовыражению в разных видах художественной деятельности;</w:t>
      </w:r>
    </w:p>
    <w:p w14:paraId="302CAC5E">
      <w:pPr>
        <w:widowControl/>
        <w:tabs>
          <w:tab w:val="left" w:pos="1134"/>
        </w:tabs>
        <w:spacing w:after="0" w:line="360" w:lineRule="auto"/>
        <w:ind w:firstLine="709"/>
        <w:jc w:val="both"/>
        <w:rPr>
          <w:rFonts w:ascii="Times New Roman" w:hAnsi="Times New Roman"/>
          <w:bCs/>
          <w:lang w:bidi="ru-RU"/>
        </w:rPr>
      </w:pPr>
      <w:r>
        <w:rPr>
          <w:rFonts w:ascii="Times New Roman" w:hAnsi="Times New Roman"/>
          <w:bCs/>
          <w:lang w:bidi="ru-RU"/>
        </w:rPr>
        <w:t>4) физического воспитания, формирования культуры здоровья и эмоционального благополучия:</w:t>
      </w:r>
    </w:p>
    <w:p w14:paraId="69C0CFBF">
      <w:pPr>
        <w:widowControl/>
        <w:tabs>
          <w:tab w:val="left" w:pos="1134"/>
        </w:tabs>
        <w:spacing w:after="0" w:line="360" w:lineRule="auto"/>
        <w:ind w:firstLine="709"/>
        <w:jc w:val="both"/>
        <w:rPr>
          <w:rFonts w:ascii="Times New Roman" w:hAnsi="Times New Roman"/>
          <w:bCs/>
          <w:lang w:bidi="ru-RU"/>
        </w:rPr>
      </w:pPr>
      <w:r>
        <w:rPr>
          <w:rFonts w:ascii="Times New Roman" w:hAnsi="Times New Roman"/>
          <w:bCs/>
          <w:lang w:bidi="ru-RU"/>
        </w:rPr>
        <w:t>соблюдение правил безопасного поиска в информационной среде дополнительной информации, в том числе на уроках литературного чтения на родном (чувашском) языке;</w:t>
      </w:r>
    </w:p>
    <w:p w14:paraId="041E41DF">
      <w:pPr>
        <w:widowControl/>
        <w:tabs>
          <w:tab w:val="left" w:pos="1134"/>
        </w:tabs>
        <w:spacing w:after="0" w:line="360" w:lineRule="auto"/>
        <w:ind w:firstLine="709"/>
        <w:jc w:val="both"/>
        <w:rPr>
          <w:rFonts w:ascii="Times New Roman" w:hAnsi="Times New Roman"/>
          <w:bCs/>
          <w:lang w:bidi="ru-RU"/>
        </w:rPr>
      </w:pPr>
      <w:r>
        <w:rPr>
          <w:rFonts w:ascii="Times New Roman" w:hAnsi="Times New Roman"/>
          <w:bCs/>
          <w:lang w:bidi="ru-RU"/>
        </w:rPr>
        <w:t>бережное отношение к физическому и психическому здоровью, проявляющееся в выборе приемлемых способов речевого самовыражения и соблюдении норм речевого этикета и правил общения;</w:t>
      </w:r>
    </w:p>
    <w:p w14:paraId="0D6D1BD6">
      <w:pPr>
        <w:widowControl/>
        <w:tabs>
          <w:tab w:val="left" w:pos="1134"/>
        </w:tabs>
        <w:spacing w:after="0" w:line="360" w:lineRule="auto"/>
        <w:ind w:firstLine="709"/>
        <w:jc w:val="both"/>
        <w:rPr>
          <w:rFonts w:ascii="Times New Roman" w:hAnsi="Times New Roman"/>
          <w:bCs/>
          <w:lang w:bidi="ru-RU"/>
        </w:rPr>
      </w:pPr>
      <w:r>
        <w:rPr>
          <w:rFonts w:ascii="Times New Roman" w:hAnsi="Times New Roman"/>
          <w:bCs/>
          <w:lang w:bidi="ru-RU"/>
        </w:rPr>
        <w:t>5) трудового воспитания:</w:t>
      </w:r>
    </w:p>
    <w:p w14:paraId="6F21F553">
      <w:pPr>
        <w:widowControl/>
        <w:tabs>
          <w:tab w:val="left" w:pos="1134"/>
        </w:tabs>
        <w:spacing w:after="0" w:line="360" w:lineRule="auto"/>
        <w:ind w:firstLine="709"/>
        <w:jc w:val="both"/>
        <w:rPr>
          <w:rFonts w:ascii="Times New Roman" w:hAnsi="Times New Roman"/>
          <w:bCs/>
          <w:lang w:bidi="ru-RU"/>
        </w:rPr>
      </w:pPr>
      <w:r>
        <w:rPr>
          <w:rFonts w:ascii="Times New Roman" w:hAnsi="Times New Roman"/>
          <w:bCs/>
          <w:lang w:bidi="ru-RU"/>
        </w:rPr>
        <w:t>осознание ценности труда в жизни человека и общества, ответственное потребление и бережное отношение к результатам труда, навыки участия в различных видах трудовой деятельности, интерес к различным профессиям (в том числе через примеры из художественных произведений).</w:t>
      </w:r>
    </w:p>
    <w:p w14:paraId="59F25F0C">
      <w:pPr>
        <w:widowControl/>
        <w:tabs>
          <w:tab w:val="left" w:pos="1134"/>
        </w:tabs>
        <w:spacing w:after="0" w:line="360" w:lineRule="auto"/>
        <w:ind w:firstLine="709"/>
        <w:jc w:val="both"/>
        <w:rPr>
          <w:rFonts w:ascii="Times New Roman" w:hAnsi="Times New Roman"/>
          <w:bCs/>
          <w:lang w:bidi="ru-RU"/>
        </w:rPr>
      </w:pPr>
      <w:r>
        <w:rPr>
          <w:rFonts w:ascii="Times New Roman" w:hAnsi="Times New Roman"/>
          <w:bCs/>
          <w:lang w:bidi="ru-RU"/>
        </w:rPr>
        <w:t>6) экологического воспитания:</w:t>
      </w:r>
    </w:p>
    <w:p w14:paraId="2032A6C4">
      <w:pPr>
        <w:widowControl/>
        <w:tabs>
          <w:tab w:val="left" w:pos="1134"/>
        </w:tabs>
        <w:spacing w:after="0" w:line="360" w:lineRule="auto"/>
        <w:ind w:firstLine="709"/>
        <w:jc w:val="both"/>
        <w:rPr>
          <w:rFonts w:ascii="Times New Roman" w:hAnsi="Times New Roman"/>
          <w:bCs/>
          <w:lang w:bidi="ru-RU"/>
        </w:rPr>
      </w:pPr>
      <w:r>
        <w:rPr>
          <w:rFonts w:ascii="Times New Roman" w:hAnsi="Times New Roman"/>
          <w:bCs/>
          <w:lang w:bidi="ru-RU"/>
        </w:rPr>
        <w:t>бережное отношение к природе посредством примеров из художественных произведений;</w:t>
      </w:r>
    </w:p>
    <w:p w14:paraId="41485F1C">
      <w:pPr>
        <w:widowControl/>
        <w:tabs>
          <w:tab w:val="left" w:pos="1134"/>
        </w:tabs>
        <w:spacing w:after="0" w:line="360" w:lineRule="auto"/>
        <w:ind w:firstLine="709"/>
        <w:jc w:val="both"/>
        <w:rPr>
          <w:rFonts w:ascii="Times New Roman" w:hAnsi="Times New Roman"/>
          <w:bCs/>
          <w:lang w:bidi="ru-RU"/>
        </w:rPr>
      </w:pPr>
      <w:r>
        <w:rPr>
          <w:rFonts w:ascii="Times New Roman" w:hAnsi="Times New Roman"/>
          <w:bCs/>
          <w:lang w:bidi="ru-RU"/>
        </w:rPr>
        <w:t>неприятие действий, приносящих вред природе;</w:t>
      </w:r>
    </w:p>
    <w:p w14:paraId="694D03FF">
      <w:pPr>
        <w:widowControl/>
        <w:tabs>
          <w:tab w:val="left" w:pos="1134"/>
        </w:tabs>
        <w:spacing w:after="0" w:line="360" w:lineRule="auto"/>
        <w:ind w:firstLine="709"/>
        <w:jc w:val="both"/>
        <w:rPr>
          <w:rFonts w:ascii="Times New Roman" w:hAnsi="Times New Roman"/>
          <w:bCs/>
          <w:lang w:bidi="ru-RU"/>
        </w:rPr>
      </w:pPr>
      <w:r>
        <w:rPr>
          <w:rFonts w:ascii="Times New Roman" w:hAnsi="Times New Roman"/>
          <w:bCs/>
          <w:lang w:bidi="ru-RU"/>
        </w:rPr>
        <w:t>7) ценности научного познания:</w:t>
      </w:r>
    </w:p>
    <w:p w14:paraId="7D750102">
      <w:pPr>
        <w:widowControl/>
        <w:tabs>
          <w:tab w:val="left" w:pos="1134"/>
        </w:tabs>
        <w:spacing w:after="0" w:line="360" w:lineRule="auto"/>
        <w:ind w:firstLine="709"/>
        <w:jc w:val="both"/>
        <w:rPr>
          <w:rFonts w:ascii="Times New Roman" w:hAnsi="Times New Roman"/>
          <w:bCs/>
          <w:lang w:bidi="ru-RU"/>
        </w:rPr>
      </w:pPr>
      <w:r>
        <w:rPr>
          <w:rFonts w:ascii="Times New Roman" w:hAnsi="Times New Roman"/>
          <w:bCs/>
          <w:lang w:bidi="ru-RU"/>
        </w:rPr>
        <w:t>ориентация в деятельности на первоначальные представления о научной картине мира, понимание важности слова как средства создания словесно-художественного образа, способа выражения мыслей, чувств, идей автора;</w:t>
      </w:r>
    </w:p>
    <w:p w14:paraId="423AE381">
      <w:pPr>
        <w:widowControl/>
        <w:tabs>
          <w:tab w:val="left" w:pos="1134"/>
        </w:tabs>
        <w:spacing w:after="0" w:line="360" w:lineRule="auto"/>
        <w:ind w:firstLine="709"/>
        <w:jc w:val="both"/>
        <w:rPr>
          <w:rFonts w:ascii="Times New Roman" w:hAnsi="Times New Roman"/>
          <w:bCs/>
          <w:lang w:bidi="ru-RU"/>
        </w:rPr>
      </w:pPr>
      <w:r>
        <w:rPr>
          <w:rFonts w:ascii="Times New Roman" w:hAnsi="Times New Roman"/>
          <w:bCs/>
          <w:lang w:bidi="ru-RU"/>
        </w:rPr>
        <w:t>потребность в самостоятельной читательской деятельности, саморазвитии средствами чувашской литературы, развитие познавательного интереса, активности, инициативности, любознательности и самостоятельности в познании произведений фольклора и художественной литературы.</w:t>
      </w:r>
    </w:p>
    <w:p w14:paraId="68244F6E">
      <w:pPr>
        <w:widowControl/>
        <w:tabs>
          <w:tab w:val="left" w:pos="1134"/>
        </w:tabs>
        <w:spacing w:after="0" w:line="360" w:lineRule="auto"/>
        <w:ind w:firstLine="709"/>
        <w:jc w:val="both"/>
        <w:rPr>
          <w:rFonts w:ascii="Times New Roman" w:hAnsi="Times New Roman"/>
          <w:bCs/>
          <w:lang w:bidi="ru-RU"/>
        </w:rPr>
      </w:pPr>
      <w:r>
        <w:rPr>
          <w:rFonts w:ascii="Times New Roman" w:hAnsi="Times New Roman"/>
          <w:bCs/>
          <w:lang w:bidi="ru-RU"/>
        </w:rPr>
        <w:t>8.10.2. В результате изучения литературного чтения на родном (чувашском) языке на уровне начального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 умения совместной деятельности.</w:t>
      </w:r>
    </w:p>
    <w:p w14:paraId="456259EA">
      <w:pPr>
        <w:widowControl/>
        <w:tabs>
          <w:tab w:val="left" w:pos="1134"/>
        </w:tabs>
        <w:spacing w:after="0" w:line="360" w:lineRule="auto"/>
        <w:ind w:firstLine="709"/>
        <w:jc w:val="both"/>
        <w:rPr>
          <w:rFonts w:ascii="Times New Roman" w:hAnsi="Times New Roman"/>
          <w:bCs/>
          <w:lang w:bidi="ru-RU"/>
        </w:rPr>
      </w:pPr>
      <w:r>
        <w:rPr>
          <w:rFonts w:ascii="Times New Roman" w:hAnsi="Times New Roman"/>
          <w:bCs/>
          <w:lang w:bidi="ru-RU"/>
        </w:rPr>
        <w:t>8.10.2.1. У обучающегося будут сформированы следующие базовые логические действия как часть познавательных универсальных учебных действий:</w:t>
      </w:r>
    </w:p>
    <w:p w14:paraId="7A39841E">
      <w:pPr>
        <w:widowControl/>
        <w:tabs>
          <w:tab w:val="left" w:pos="1134"/>
        </w:tabs>
        <w:spacing w:after="0" w:line="360" w:lineRule="auto"/>
        <w:ind w:firstLine="709"/>
        <w:jc w:val="both"/>
        <w:rPr>
          <w:rFonts w:ascii="Times New Roman" w:hAnsi="Times New Roman"/>
          <w:bCs/>
          <w:lang w:bidi="ru-RU"/>
        </w:rPr>
      </w:pPr>
      <w:r>
        <w:rPr>
          <w:rFonts w:ascii="Times New Roman" w:hAnsi="Times New Roman"/>
          <w:bCs/>
          <w:lang w:bidi="ru-RU"/>
        </w:rPr>
        <w:t>сравнивать различные тексты по теме, главной мысли, жанру, соотносить произведение и его автора, устанавливать основания для сравнения текстов, устанавливать аналогии текстов;</w:t>
      </w:r>
    </w:p>
    <w:p w14:paraId="719166B4">
      <w:pPr>
        <w:widowControl/>
        <w:tabs>
          <w:tab w:val="left" w:pos="1134"/>
        </w:tabs>
        <w:spacing w:after="0" w:line="360" w:lineRule="auto"/>
        <w:ind w:firstLine="709"/>
        <w:jc w:val="both"/>
        <w:rPr>
          <w:rFonts w:ascii="Times New Roman" w:hAnsi="Times New Roman"/>
          <w:bCs/>
          <w:lang w:bidi="ru-RU"/>
        </w:rPr>
      </w:pPr>
      <w:r>
        <w:rPr>
          <w:rFonts w:ascii="Times New Roman" w:hAnsi="Times New Roman"/>
          <w:bCs/>
          <w:lang w:bidi="ru-RU"/>
        </w:rPr>
        <w:t>объединять части объекта, объекты (тексты) по заданному признаку;</w:t>
      </w:r>
    </w:p>
    <w:p w14:paraId="5A2D7D59">
      <w:pPr>
        <w:widowControl/>
        <w:tabs>
          <w:tab w:val="left" w:pos="1134"/>
        </w:tabs>
        <w:spacing w:after="0" w:line="360" w:lineRule="auto"/>
        <w:ind w:firstLine="709"/>
        <w:jc w:val="both"/>
        <w:rPr>
          <w:rFonts w:ascii="Times New Roman" w:hAnsi="Times New Roman"/>
          <w:bCs/>
          <w:lang w:bidi="ru-RU"/>
        </w:rPr>
      </w:pPr>
      <w:r>
        <w:rPr>
          <w:rFonts w:ascii="Times New Roman" w:hAnsi="Times New Roman"/>
          <w:bCs/>
          <w:lang w:bidi="ru-RU"/>
        </w:rPr>
        <w:t>определять существенный признак для классификации, классифицировать произведения по темам, жанрам;</w:t>
      </w:r>
    </w:p>
    <w:p w14:paraId="51567D22">
      <w:pPr>
        <w:widowControl/>
        <w:tabs>
          <w:tab w:val="left" w:pos="1134"/>
        </w:tabs>
        <w:spacing w:after="0" w:line="360" w:lineRule="auto"/>
        <w:ind w:firstLine="709"/>
        <w:jc w:val="both"/>
        <w:rPr>
          <w:rFonts w:ascii="Times New Roman" w:hAnsi="Times New Roman"/>
          <w:bCs/>
          <w:lang w:bidi="ru-RU"/>
        </w:rPr>
      </w:pPr>
      <w:r>
        <w:rPr>
          <w:rFonts w:ascii="Times New Roman" w:hAnsi="Times New Roman"/>
          <w:bCs/>
          <w:lang w:bidi="ru-RU"/>
        </w:rPr>
        <w:t>находить закономерности и противоречия при анализе сюжета (композиции), восстанавливать нарушенную последовательность событий (сюжета), составлять аннотацию, отзыв по предложенному алгоритму;</w:t>
      </w:r>
    </w:p>
    <w:p w14:paraId="6C8843B6">
      <w:pPr>
        <w:widowControl/>
        <w:tabs>
          <w:tab w:val="left" w:pos="1134"/>
        </w:tabs>
        <w:spacing w:after="0" w:line="360" w:lineRule="auto"/>
        <w:ind w:firstLine="709"/>
        <w:jc w:val="both"/>
        <w:rPr>
          <w:rFonts w:ascii="Times New Roman" w:hAnsi="Times New Roman"/>
          <w:bCs/>
          <w:lang w:bidi="ru-RU"/>
        </w:rPr>
      </w:pPr>
      <w:r>
        <w:rPr>
          <w:rFonts w:ascii="Times New Roman" w:hAnsi="Times New Roman"/>
          <w:bCs/>
          <w:lang w:bidi="ru-RU"/>
        </w:rPr>
        <w:t>выявлять недостаток информации для решения учебной и практической задачи на основе предложенного алгоритма;</w:t>
      </w:r>
    </w:p>
    <w:p w14:paraId="47AFCA96">
      <w:pPr>
        <w:widowControl/>
        <w:tabs>
          <w:tab w:val="left" w:pos="1134"/>
        </w:tabs>
        <w:spacing w:after="0" w:line="360" w:lineRule="auto"/>
        <w:ind w:firstLine="709"/>
        <w:jc w:val="both"/>
        <w:rPr>
          <w:rFonts w:ascii="Times New Roman" w:hAnsi="Times New Roman"/>
          <w:bCs/>
          <w:lang w:bidi="ru-RU"/>
        </w:rPr>
      </w:pPr>
      <w:r>
        <w:rPr>
          <w:rFonts w:ascii="Times New Roman" w:hAnsi="Times New Roman"/>
          <w:bCs/>
          <w:lang w:bidi="ru-RU"/>
        </w:rPr>
        <w:t>устанавливать причинно-следственные связи в сюжете фольклорного и художественного текста, при составлении плана, пересказе текста, характеристике поступков героев.</w:t>
      </w:r>
    </w:p>
    <w:p w14:paraId="3D8B4C76">
      <w:pPr>
        <w:widowControl/>
        <w:tabs>
          <w:tab w:val="left" w:pos="1134"/>
        </w:tabs>
        <w:spacing w:after="0" w:line="360" w:lineRule="auto"/>
        <w:ind w:firstLine="709"/>
        <w:jc w:val="both"/>
        <w:rPr>
          <w:rFonts w:ascii="Times New Roman" w:hAnsi="Times New Roman"/>
          <w:bCs/>
          <w:lang w:bidi="ru-RU"/>
        </w:rPr>
      </w:pPr>
      <w:r>
        <w:rPr>
          <w:rFonts w:ascii="Times New Roman" w:hAnsi="Times New Roman"/>
          <w:bCs/>
          <w:lang w:bidi="ru-RU"/>
        </w:rPr>
        <w:t>8.10.2.2. У обучающегося будут сформированы следующие базовые исследовательские действия как часть познавательных универсальных учебных действий:</w:t>
      </w:r>
    </w:p>
    <w:p w14:paraId="7F17089A">
      <w:pPr>
        <w:widowControl/>
        <w:tabs>
          <w:tab w:val="left" w:pos="1134"/>
        </w:tabs>
        <w:spacing w:after="0" w:line="360" w:lineRule="auto"/>
        <w:ind w:firstLine="709"/>
        <w:jc w:val="both"/>
        <w:rPr>
          <w:rFonts w:ascii="Times New Roman" w:hAnsi="Times New Roman"/>
          <w:bCs/>
          <w:lang w:bidi="ru-RU"/>
        </w:rPr>
      </w:pPr>
      <w:r>
        <w:rPr>
          <w:rFonts w:ascii="Times New Roman" w:hAnsi="Times New Roman"/>
          <w:bCs/>
          <w:lang w:bidi="ru-RU"/>
        </w:rPr>
        <w:t>с помощью учителя формулировать цель;</w:t>
      </w:r>
    </w:p>
    <w:p w14:paraId="65F1CC35">
      <w:pPr>
        <w:widowControl/>
        <w:tabs>
          <w:tab w:val="left" w:pos="1134"/>
        </w:tabs>
        <w:spacing w:after="0" w:line="360" w:lineRule="auto"/>
        <w:ind w:firstLine="709"/>
        <w:jc w:val="both"/>
        <w:rPr>
          <w:rFonts w:ascii="Times New Roman" w:hAnsi="Times New Roman"/>
          <w:bCs/>
          <w:lang w:bidi="ru-RU"/>
        </w:rPr>
      </w:pPr>
      <w:r>
        <w:rPr>
          <w:rFonts w:ascii="Times New Roman" w:hAnsi="Times New Roman"/>
          <w:bCs/>
          <w:lang w:bidi="ru-RU"/>
        </w:rPr>
        <w:t>сравнивать несколько вариантов решения задачи, выбирать наиболее подходящий (на основе предложенных критериев);</w:t>
      </w:r>
    </w:p>
    <w:p w14:paraId="1CE87BEA">
      <w:pPr>
        <w:widowControl/>
        <w:tabs>
          <w:tab w:val="left" w:pos="1134"/>
        </w:tabs>
        <w:spacing w:after="0" w:line="360" w:lineRule="auto"/>
        <w:ind w:firstLine="709"/>
        <w:jc w:val="both"/>
        <w:rPr>
          <w:rFonts w:ascii="Times New Roman" w:hAnsi="Times New Roman"/>
          <w:bCs/>
          <w:lang w:bidi="ru-RU"/>
        </w:rPr>
      </w:pPr>
      <w:r>
        <w:rPr>
          <w:rFonts w:ascii="Times New Roman" w:hAnsi="Times New Roman"/>
          <w:bCs/>
          <w:lang w:bidi="ru-RU"/>
        </w:rPr>
        <w:t>выполнять по предложенному плану проектное задание;</w:t>
      </w:r>
    </w:p>
    <w:p w14:paraId="74D7F86A">
      <w:pPr>
        <w:widowControl/>
        <w:tabs>
          <w:tab w:val="left" w:pos="1134"/>
        </w:tabs>
        <w:spacing w:after="0" w:line="360" w:lineRule="auto"/>
        <w:ind w:firstLine="709"/>
        <w:jc w:val="both"/>
        <w:rPr>
          <w:rFonts w:ascii="Times New Roman" w:hAnsi="Times New Roman"/>
          <w:bCs/>
          <w:lang w:bidi="ru-RU"/>
        </w:rPr>
      </w:pPr>
      <w:r>
        <w:rPr>
          <w:rFonts w:ascii="Times New Roman" w:hAnsi="Times New Roman"/>
          <w:bCs/>
          <w:lang w:bidi="ru-RU"/>
        </w:rPr>
        <w:t>формулировать выводы и подкреплять их доказательствами на основе результатов проведённого анализа текста (классификации, сравнения, исследования);</w:t>
      </w:r>
    </w:p>
    <w:p w14:paraId="249BF634">
      <w:pPr>
        <w:widowControl/>
        <w:tabs>
          <w:tab w:val="left" w:pos="1134"/>
        </w:tabs>
        <w:spacing w:after="0" w:line="360" w:lineRule="auto"/>
        <w:ind w:firstLine="709"/>
        <w:jc w:val="both"/>
        <w:rPr>
          <w:rFonts w:ascii="Times New Roman" w:hAnsi="Times New Roman"/>
          <w:bCs/>
          <w:lang w:bidi="ru-RU"/>
        </w:rPr>
      </w:pPr>
      <w:r>
        <w:rPr>
          <w:rFonts w:ascii="Times New Roman" w:hAnsi="Times New Roman"/>
          <w:bCs/>
          <w:lang w:bidi="ru-RU"/>
        </w:rPr>
        <w:t>прогнозировать возможное развитие процессов, событий и их последствия в аналогичных или сходных ситуациях.</w:t>
      </w:r>
    </w:p>
    <w:p w14:paraId="259F8A1C">
      <w:pPr>
        <w:widowControl/>
        <w:tabs>
          <w:tab w:val="left" w:pos="1134"/>
        </w:tabs>
        <w:spacing w:after="0" w:line="360" w:lineRule="auto"/>
        <w:ind w:firstLine="709"/>
        <w:jc w:val="both"/>
        <w:rPr>
          <w:rFonts w:ascii="Times New Roman" w:hAnsi="Times New Roman"/>
          <w:bCs/>
          <w:lang w:bidi="ru-RU"/>
        </w:rPr>
      </w:pPr>
      <w:r>
        <w:rPr>
          <w:rFonts w:ascii="Times New Roman" w:hAnsi="Times New Roman"/>
          <w:bCs/>
          <w:lang w:bidi="ru-RU"/>
        </w:rPr>
        <w:t xml:space="preserve">8.10.2.3. У обучающегося будут </w:t>
      </w:r>
      <w:r>
        <w:rPr>
          <w:rFonts w:ascii="Times New Roman" w:hAnsi="Times New Roman"/>
        </w:rPr>
        <w:t xml:space="preserve">сформированы умения </w:t>
      </w:r>
      <w:r>
        <w:rPr>
          <w:rFonts w:ascii="Times New Roman" w:hAnsi="Times New Roman"/>
          <w:bCs/>
          <w:lang w:bidi="ru-RU"/>
        </w:rPr>
        <w:t>работать с информацией как часть познавательных универсальных учебных действий:</w:t>
      </w:r>
    </w:p>
    <w:p w14:paraId="4CD6DCCB">
      <w:pPr>
        <w:widowControl/>
        <w:tabs>
          <w:tab w:val="left" w:pos="1134"/>
        </w:tabs>
        <w:spacing w:after="0" w:line="360" w:lineRule="auto"/>
        <w:ind w:firstLine="709"/>
        <w:jc w:val="both"/>
        <w:rPr>
          <w:rFonts w:ascii="Times New Roman" w:hAnsi="Times New Roman"/>
          <w:bCs/>
          <w:lang w:bidi="ru-RU"/>
        </w:rPr>
      </w:pPr>
      <w:r>
        <w:rPr>
          <w:rFonts w:ascii="Times New Roman" w:hAnsi="Times New Roman"/>
          <w:bCs/>
          <w:lang w:bidi="ru-RU"/>
        </w:rPr>
        <w:t>выбирать источник получения информации: словарь, справочник;</w:t>
      </w:r>
    </w:p>
    <w:p w14:paraId="0F9201D6">
      <w:pPr>
        <w:widowControl/>
        <w:tabs>
          <w:tab w:val="left" w:pos="1134"/>
        </w:tabs>
        <w:spacing w:after="0" w:line="360" w:lineRule="auto"/>
        <w:ind w:firstLine="709"/>
        <w:jc w:val="both"/>
        <w:rPr>
          <w:rFonts w:ascii="Times New Roman" w:hAnsi="Times New Roman"/>
          <w:bCs/>
          <w:lang w:bidi="ru-RU"/>
        </w:rPr>
      </w:pPr>
      <w:r>
        <w:rPr>
          <w:rFonts w:ascii="Times New Roman" w:hAnsi="Times New Roman"/>
          <w:bCs/>
          <w:lang w:bidi="ru-RU"/>
        </w:rPr>
        <w:t>согласно заданному алгоритму находить в предложенном источнике (словаре, справочнике) информацию, представленную в явном виде;</w:t>
      </w:r>
    </w:p>
    <w:p w14:paraId="6E4BB9D1">
      <w:pPr>
        <w:widowControl/>
        <w:tabs>
          <w:tab w:val="left" w:pos="1134"/>
        </w:tabs>
        <w:spacing w:after="0" w:line="360" w:lineRule="auto"/>
        <w:ind w:firstLine="709"/>
        <w:jc w:val="both"/>
        <w:rPr>
          <w:rFonts w:ascii="Times New Roman" w:hAnsi="Times New Roman"/>
          <w:bCs/>
          <w:lang w:bidi="ru-RU"/>
        </w:rPr>
      </w:pPr>
      <w:r>
        <w:rPr>
          <w:rFonts w:ascii="Times New Roman" w:hAnsi="Times New Roman"/>
          <w:bCs/>
          <w:lang w:bidi="ru-RU"/>
        </w:rPr>
        <w:t>распознавать достоверную и недостоверную информацию самостоятельно или на основании предложенного учителем способа её проверки (с помощью словарей, справочников);</w:t>
      </w:r>
    </w:p>
    <w:p w14:paraId="6CD8FF50">
      <w:pPr>
        <w:widowControl/>
        <w:tabs>
          <w:tab w:val="left" w:pos="1134"/>
        </w:tabs>
        <w:spacing w:after="0" w:line="360" w:lineRule="auto"/>
        <w:ind w:firstLine="709"/>
        <w:jc w:val="both"/>
        <w:rPr>
          <w:rFonts w:ascii="Times New Roman" w:hAnsi="Times New Roman"/>
          <w:bCs/>
          <w:lang w:bidi="ru-RU"/>
        </w:rPr>
      </w:pPr>
      <w:r>
        <w:rPr>
          <w:rFonts w:ascii="Times New Roman" w:hAnsi="Times New Roman"/>
          <w:bCs/>
          <w:lang w:bidi="ru-RU"/>
        </w:rPr>
        <w:t>соблюдать с помощью взрослых (учителей, родителей и (или) законных представителей) правила информационной безопасности при поиске информации в Интернете;</w:t>
      </w:r>
    </w:p>
    <w:p w14:paraId="12F54B52">
      <w:pPr>
        <w:widowControl/>
        <w:tabs>
          <w:tab w:val="left" w:pos="1134"/>
        </w:tabs>
        <w:spacing w:after="0" w:line="360" w:lineRule="auto"/>
        <w:ind w:firstLine="709"/>
        <w:jc w:val="both"/>
        <w:rPr>
          <w:rFonts w:ascii="Times New Roman" w:hAnsi="Times New Roman"/>
          <w:bCs/>
          <w:lang w:bidi="ru-RU"/>
        </w:rPr>
      </w:pPr>
      <w:r>
        <w:rPr>
          <w:rFonts w:ascii="Times New Roman" w:hAnsi="Times New Roman"/>
          <w:bCs/>
          <w:lang w:bidi="ru-RU"/>
        </w:rPr>
        <w:t>анализировать и создавать текстовую, видео, графическую, звуковую, информацию в соответствии с учебной задачей;</w:t>
      </w:r>
    </w:p>
    <w:p w14:paraId="41A1B660">
      <w:pPr>
        <w:widowControl/>
        <w:tabs>
          <w:tab w:val="left" w:pos="1134"/>
        </w:tabs>
        <w:spacing w:after="0" w:line="360" w:lineRule="auto"/>
        <w:ind w:firstLine="709"/>
        <w:jc w:val="both"/>
        <w:rPr>
          <w:rFonts w:ascii="Times New Roman" w:hAnsi="Times New Roman"/>
          <w:bCs/>
          <w:lang w:bidi="ru-RU"/>
        </w:rPr>
      </w:pPr>
      <w:r>
        <w:rPr>
          <w:rFonts w:ascii="Times New Roman" w:hAnsi="Times New Roman"/>
          <w:bCs/>
          <w:lang w:bidi="ru-RU"/>
        </w:rPr>
        <w:t>понимать информацию, зафиксированную в виде таблиц, схем, самостоятельно создавать схемы, таблицы по результатам работы с текстами.</w:t>
      </w:r>
    </w:p>
    <w:p w14:paraId="11FE8B47">
      <w:pPr>
        <w:widowControl/>
        <w:tabs>
          <w:tab w:val="left" w:pos="1134"/>
        </w:tabs>
        <w:spacing w:after="0" w:line="360" w:lineRule="auto"/>
        <w:ind w:firstLine="709"/>
        <w:jc w:val="both"/>
        <w:rPr>
          <w:rFonts w:ascii="Times New Roman" w:hAnsi="Times New Roman"/>
          <w:bCs/>
          <w:lang w:bidi="ru-RU"/>
        </w:rPr>
      </w:pPr>
      <w:r>
        <w:rPr>
          <w:rFonts w:ascii="Times New Roman" w:hAnsi="Times New Roman"/>
          <w:bCs/>
          <w:lang w:bidi="ru-RU"/>
        </w:rPr>
        <w:t xml:space="preserve">8.10.2.4. У обучающегося будут </w:t>
      </w:r>
      <w:r>
        <w:rPr>
          <w:rFonts w:ascii="Times New Roman" w:hAnsi="Times New Roman"/>
        </w:rPr>
        <w:t xml:space="preserve">сформированы умения </w:t>
      </w:r>
      <w:r>
        <w:rPr>
          <w:rFonts w:ascii="Times New Roman" w:hAnsi="Times New Roman"/>
          <w:bCs/>
          <w:lang w:bidi="ru-RU"/>
        </w:rPr>
        <w:t>общения как часть коммуникативных универсальных учебных действий:</w:t>
      </w:r>
    </w:p>
    <w:p w14:paraId="1E408413">
      <w:pPr>
        <w:widowControl/>
        <w:tabs>
          <w:tab w:val="left" w:pos="1134"/>
        </w:tabs>
        <w:spacing w:after="0" w:line="360" w:lineRule="auto"/>
        <w:ind w:firstLine="709"/>
        <w:jc w:val="both"/>
        <w:rPr>
          <w:rFonts w:ascii="Times New Roman" w:hAnsi="Times New Roman"/>
          <w:bCs/>
          <w:lang w:bidi="ru-RU"/>
        </w:rPr>
      </w:pPr>
      <w:r>
        <w:rPr>
          <w:rFonts w:ascii="Times New Roman" w:hAnsi="Times New Roman"/>
          <w:bCs/>
          <w:lang w:bidi="ru-RU"/>
        </w:rPr>
        <w:t>воспринимать и формулировать суждения, выражать эмоции в соответствии с целями и условиями общения в знакомой среде;</w:t>
      </w:r>
    </w:p>
    <w:p w14:paraId="221BE734">
      <w:pPr>
        <w:widowControl/>
        <w:tabs>
          <w:tab w:val="left" w:pos="1134"/>
        </w:tabs>
        <w:spacing w:after="0" w:line="360" w:lineRule="auto"/>
        <w:ind w:firstLine="709"/>
        <w:jc w:val="both"/>
        <w:rPr>
          <w:rFonts w:ascii="Times New Roman" w:hAnsi="Times New Roman"/>
          <w:bCs/>
          <w:lang w:bidi="ru-RU"/>
        </w:rPr>
      </w:pPr>
      <w:r>
        <w:rPr>
          <w:rFonts w:ascii="Times New Roman" w:hAnsi="Times New Roman"/>
          <w:bCs/>
          <w:lang w:bidi="ru-RU"/>
        </w:rPr>
        <w:t>проявлять уважительное отношение к собеседнику, соблюдать правила ведения диалога и дискуссии;</w:t>
      </w:r>
    </w:p>
    <w:p w14:paraId="68B0CF00">
      <w:pPr>
        <w:widowControl/>
        <w:tabs>
          <w:tab w:val="left" w:pos="1134"/>
        </w:tabs>
        <w:spacing w:after="0" w:line="360" w:lineRule="auto"/>
        <w:ind w:firstLine="709"/>
        <w:jc w:val="both"/>
        <w:rPr>
          <w:rFonts w:ascii="Times New Roman" w:hAnsi="Times New Roman"/>
          <w:bCs/>
          <w:lang w:bidi="ru-RU"/>
        </w:rPr>
      </w:pPr>
      <w:r>
        <w:rPr>
          <w:rFonts w:ascii="Times New Roman" w:hAnsi="Times New Roman"/>
          <w:bCs/>
          <w:lang w:bidi="ru-RU"/>
        </w:rPr>
        <w:t>признавать возможность существования разных точек зрения;</w:t>
      </w:r>
    </w:p>
    <w:p w14:paraId="34AB8225">
      <w:pPr>
        <w:widowControl/>
        <w:tabs>
          <w:tab w:val="left" w:pos="1134"/>
        </w:tabs>
        <w:spacing w:after="0" w:line="360" w:lineRule="auto"/>
        <w:ind w:firstLine="709"/>
        <w:jc w:val="both"/>
        <w:rPr>
          <w:rFonts w:ascii="Times New Roman" w:hAnsi="Times New Roman"/>
          <w:bCs/>
          <w:lang w:bidi="ru-RU"/>
        </w:rPr>
      </w:pPr>
      <w:r>
        <w:rPr>
          <w:rFonts w:ascii="Times New Roman" w:hAnsi="Times New Roman"/>
          <w:bCs/>
          <w:lang w:bidi="ru-RU"/>
        </w:rPr>
        <w:t>корректно и аргументированно высказывать своё мнение;</w:t>
      </w:r>
    </w:p>
    <w:p w14:paraId="3CC4BE00">
      <w:pPr>
        <w:widowControl/>
        <w:tabs>
          <w:tab w:val="left" w:pos="1134"/>
        </w:tabs>
        <w:spacing w:after="0" w:line="360" w:lineRule="auto"/>
        <w:ind w:firstLine="709"/>
        <w:jc w:val="both"/>
        <w:rPr>
          <w:rFonts w:ascii="Times New Roman" w:hAnsi="Times New Roman"/>
          <w:bCs/>
          <w:lang w:bidi="ru-RU"/>
        </w:rPr>
      </w:pPr>
      <w:r>
        <w:rPr>
          <w:rFonts w:ascii="Times New Roman" w:hAnsi="Times New Roman"/>
          <w:bCs/>
          <w:lang w:bidi="ru-RU"/>
        </w:rPr>
        <w:t>строить речевое высказывание в соответствии с поставленной задачей;</w:t>
      </w:r>
    </w:p>
    <w:p w14:paraId="4DCC82E5">
      <w:pPr>
        <w:widowControl/>
        <w:tabs>
          <w:tab w:val="left" w:pos="1134"/>
        </w:tabs>
        <w:spacing w:after="0" w:line="360" w:lineRule="auto"/>
        <w:ind w:firstLine="709"/>
        <w:jc w:val="both"/>
        <w:rPr>
          <w:rFonts w:ascii="Times New Roman" w:hAnsi="Times New Roman"/>
          <w:bCs/>
          <w:lang w:bidi="ru-RU"/>
        </w:rPr>
      </w:pPr>
      <w:r>
        <w:rPr>
          <w:rFonts w:ascii="Times New Roman" w:hAnsi="Times New Roman"/>
          <w:bCs/>
          <w:lang w:bidi="ru-RU"/>
        </w:rPr>
        <w:t>создавать устные (описание, рассуждение, повествование) и письменные (повествование) тексты;</w:t>
      </w:r>
    </w:p>
    <w:p w14:paraId="54C43DBD">
      <w:pPr>
        <w:widowControl/>
        <w:tabs>
          <w:tab w:val="left" w:pos="1134"/>
        </w:tabs>
        <w:spacing w:after="0" w:line="360" w:lineRule="auto"/>
        <w:ind w:firstLine="709"/>
        <w:jc w:val="both"/>
        <w:rPr>
          <w:rFonts w:ascii="Times New Roman" w:hAnsi="Times New Roman"/>
          <w:bCs/>
          <w:lang w:bidi="ru-RU"/>
        </w:rPr>
      </w:pPr>
      <w:r>
        <w:rPr>
          <w:rFonts w:ascii="Times New Roman" w:hAnsi="Times New Roman"/>
          <w:bCs/>
          <w:lang w:bidi="ru-RU"/>
        </w:rPr>
        <w:t xml:space="preserve">подготавливать небольшие публичные выступления; </w:t>
      </w:r>
    </w:p>
    <w:p w14:paraId="10599EF5">
      <w:pPr>
        <w:widowControl/>
        <w:tabs>
          <w:tab w:val="left" w:pos="1134"/>
        </w:tabs>
        <w:spacing w:after="0" w:line="360" w:lineRule="auto"/>
        <w:ind w:firstLine="709"/>
        <w:jc w:val="both"/>
        <w:rPr>
          <w:rFonts w:ascii="Times New Roman" w:hAnsi="Times New Roman"/>
          <w:bCs/>
          <w:lang w:bidi="ru-RU"/>
        </w:rPr>
      </w:pPr>
      <w:r>
        <w:rPr>
          <w:rFonts w:ascii="Times New Roman" w:hAnsi="Times New Roman"/>
          <w:bCs/>
          <w:lang w:bidi="ru-RU"/>
        </w:rPr>
        <w:t>подбирать иллюстративный материал (рисунки, фото, плакаты) к тексту выступления.</w:t>
      </w:r>
    </w:p>
    <w:p w14:paraId="76D5A0CD">
      <w:pPr>
        <w:widowControl/>
        <w:tabs>
          <w:tab w:val="left" w:pos="1134"/>
        </w:tabs>
        <w:spacing w:after="0" w:line="360" w:lineRule="auto"/>
        <w:ind w:firstLine="709"/>
        <w:jc w:val="both"/>
        <w:rPr>
          <w:rFonts w:ascii="Times New Roman" w:hAnsi="Times New Roman"/>
          <w:bCs/>
          <w:lang w:bidi="ru-RU"/>
        </w:rPr>
      </w:pPr>
      <w:r>
        <w:rPr>
          <w:rFonts w:ascii="Times New Roman" w:hAnsi="Times New Roman"/>
          <w:bCs/>
          <w:lang w:bidi="ru-RU"/>
        </w:rPr>
        <w:t xml:space="preserve">8.10.2.5. У обучающегося будут </w:t>
      </w:r>
      <w:r>
        <w:rPr>
          <w:rFonts w:ascii="Times New Roman" w:hAnsi="Times New Roman"/>
        </w:rPr>
        <w:t xml:space="preserve">сформированы умения </w:t>
      </w:r>
      <w:r>
        <w:rPr>
          <w:rFonts w:ascii="Times New Roman" w:hAnsi="Times New Roman"/>
          <w:bCs/>
          <w:lang w:bidi="ru-RU"/>
        </w:rPr>
        <w:t>самоорганизации как части регулятивных универсальных учебных действий:</w:t>
      </w:r>
    </w:p>
    <w:p w14:paraId="24E33EEC">
      <w:pPr>
        <w:widowControl/>
        <w:tabs>
          <w:tab w:val="left" w:pos="1134"/>
        </w:tabs>
        <w:spacing w:after="0" w:line="360" w:lineRule="auto"/>
        <w:ind w:firstLine="709"/>
        <w:jc w:val="both"/>
        <w:rPr>
          <w:rFonts w:ascii="Times New Roman" w:hAnsi="Times New Roman"/>
          <w:bCs/>
          <w:lang w:bidi="ru-RU"/>
        </w:rPr>
      </w:pPr>
      <w:r>
        <w:rPr>
          <w:rFonts w:ascii="Times New Roman" w:hAnsi="Times New Roman"/>
          <w:bCs/>
          <w:lang w:bidi="ru-RU"/>
        </w:rPr>
        <w:t>планировать действия по решению учебной задачи для получения результата;</w:t>
      </w:r>
    </w:p>
    <w:p w14:paraId="73CD87FE">
      <w:pPr>
        <w:widowControl/>
        <w:tabs>
          <w:tab w:val="left" w:pos="1134"/>
        </w:tabs>
        <w:spacing w:after="0" w:line="360" w:lineRule="auto"/>
        <w:ind w:firstLine="709"/>
        <w:jc w:val="both"/>
        <w:rPr>
          <w:rFonts w:ascii="Times New Roman" w:hAnsi="Times New Roman"/>
          <w:bCs/>
          <w:lang w:bidi="ru-RU"/>
        </w:rPr>
      </w:pPr>
      <w:r>
        <w:rPr>
          <w:rFonts w:ascii="Times New Roman" w:hAnsi="Times New Roman"/>
          <w:bCs/>
          <w:lang w:bidi="ru-RU"/>
        </w:rPr>
        <w:t>выстраивать последовательность выбранных действий.</w:t>
      </w:r>
    </w:p>
    <w:p w14:paraId="019DE843">
      <w:pPr>
        <w:widowControl/>
        <w:tabs>
          <w:tab w:val="left" w:pos="1134"/>
        </w:tabs>
        <w:spacing w:after="0" w:line="360" w:lineRule="auto"/>
        <w:ind w:firstLine="709"/>
        <w:jc w:val="both"/>
        <w:rPr>
          <w:rFonts w:ascii="Times New Roman" w:hAnsi="Times New Roman"/>
          <w:bCs/>
          <w:lang w:bidi="ru-RU"/>
        </w:rPr>
      </w:pPr>
      <w:r>
        <w:rPr>
          <w:rFonts w:ascii="Times New Roman" w:hAnsi="Times New Roman"/>
          <w:bCs/>
          <w:lang w:bidi="ru-RU"/>
        </w:rPr>
        <w:t xml:space="preserve">8.10.2.6. У обучающегося будут </w:t>
      </w:r>
      <w:r>
        <w:rPr>
          <w:rFonts w:ascii="Times New Roman" w:hAnsi="Times New Roman"/>
        </w:rPr>
        <w:t xml:space="preserve">сформированы умения </w:t>
      </w:r>
      <w:r>
        <w:rPr>
          <w:rFonts w:ascii="Times New Roman" w:hAnsi="Times New Roman"/>
          <w:bCs/>
          <w:lang w:bidi="ru-RU"/>
        </w:rPr>
        <w:t>самоконтроля как части регулятивных универсальных учебных действий:</w:t>
      </w:r>
    </w:p>
    <w:p w14:paraId="646A5C04">
      <w:pPr>
        <w:widowControl/>
        <w:tabs>
          <w:tab w:val="left" w:pos="1134"/>
        </w:tabs>
        <w:spacing w:after="0" w:line="360" w:lineRule="auto"/>
        <w:ind w:firstLine="709"/>
        <w:jc w:val="both"/>
        <w:rPr>
          <w:rFonts w:ascii="Times New Roman" w:hAnsi="Times New Roman"/>
          <w:bCs/>
          <w:lang w:bidi="ru-RU"/>
        </w:rPr>
      </w:pPr>
      <w:r>
        <w:rPr>
          <w:rFonts w:ascii="Times New Roman" w:hAnsi="Times New Roman"/>
          <w:bCs/>
          <w:lang w:bidi="ru-RU"/>
        </w:rPr>
        <w:t>устанавливать причины успеха или неудач учебной деятельности;</w:t>
      </w:r>
    </w:p>
    <w:p w14:paraId="15EDF3BF">
      <w:pPr>
        <w:widowControl/>
        <w:tabs>
          <w:tab w:val="left" w:pos="1134"/>
        </w:tabs>
        <w:spacing w:after="0" w:line="360" w:lineRule="auto"/>
        <w:ind w:firstLine="709"/>
        <w:jc w:val="both"/>
        <w:rPr>
          <w:rFonts w:ascii="Times New Roman" w:hAnsi="Times New Roman"/>
          <w:bCs/>
          <w:lang w:bidi="ru-RU"/>
        </w:rPr>
      </w:pPr>
      <w:r>
        <w:rPr>
          <w:rFonts w:ascii="Times New Roman" w:hAnsi="Times New Roman"/>
          <w:bCs/>
          <w:lang w:bidi="ru-RU"/>
        </w:rPr>
        <w:t>корректировать свои учебные действия для преодоления речевых ошибок.</w:t>
      </w:r>
    </w:p>
    <w:p w14:paraId="6E096BFB">
      <w:pPr>
        <w:widowControl/>
        <w:tabs>
          <w:tab w:val="left" w:pos="1134"/>
        </w:tabs>
        <w:spacing w:after="0" w:line="360" w:lineRule="auto"/>
        <w:ind w:firstLine="709"/>
        <w:jc w:val="both"/>
        <w:rPr>
          <w:rFonts w:ascii="Times New Roman" w:hAnsi="Times New Roman"/>
          <w:bCs/>
          <w:lang w:bidi="ru-RU"/>
        </w:rPr>
      </w:pPr>
      <w:r>
        <w:rPr>
          <w:rFonts w:ascii="Times New Roman" w:hAnsi="Times New Roman"/>
          <w:bCs/>
          <w:lang w:bidi="ru-RU"/>
        </w:rPr>
        <w:t xml:space="preserve">8.10.2.7. У обучающегося будут </w:t>
      </w:r>
      <w:r>
        <w:rPr>
          <w:rFonts w:ascii="Times New Roman" w:hAnsi="Times New Roman"/>
        </w:rPr>
        <w:t xml:space="preserve">сформированы умения </w:t>
      </w:r>
      <w:r>
        <w:rPr>
          <w:rFonts w:ascii="Times New Roman" w:hAnsi="Times New Roman"/>
          <w:bCs/>
          <w:lang w:bidi="ru-RU"/>
        </w:rPr>
        <w:t>совместной деятельности:</w:t>
      </w:r>
    </w:p>
    <w:p w14:paraId="281F50E4">
      <w:pPr>
        <w:widowControl/>
        <w:tabs>
          <w:tab w:val="left" w:pos="1134"/>
        </w:tabs>
        <w:spacing w:after="0" w:line="360" w:lineRule="auto"/>
        <w:ind w:firstLine="709"/>
        <w:jc w:val="both"/>
        <w:rPr>
          <w:rFonts w:ascii="Times New Roman" w:hAnsi="Times New Roman"/>
          <w:bCs/>
          <w:lang w:bidi="ru-RU"/>
        </w:rPr>
      </w:pPr>
      <w:r>
        <w:rPr>
          <w:rFonts w:ascii="Times New Roman" w:hAnsi="Times New Roman"/>
          <w:bCs/>
          <w:lang w:bidi="ru-RU"/>
        </w:rPr>
        <w:t>формулировать краткосрочные и долгосрочные цели (индивидуальные с учётом участия в коллективных задачах) в стандартной (типовой) ситуации на основе предложенного формата планирования, распределения промежуточных шагов и сроков;</w:t>
      </w:r>
    </w:p>
    <w:p w14:paraId="40303495">
      <w:pPr>
        <w:widowControl/>
        <w:tabs>
          <w:tab w:val="left" w:pos="1134"/>
        </w:tabs>
        <w:spacing w:after="0" w:line="360" w:lineRule="auto"/>
        <w:ind w:firstLine="709"/>
        <w:jc w:val="both"/>
        <w:rPr>
          <w:rFonts w:ascii="Times New Roman" w:hAnsi="Times New Roman"/>
          <w:bCs/>
          <w:lang w:bidi="ru-RU"/>
        </w:rPr>
      </w:pPr>
      <w:r>
        <w:rPr>
          <w:rFonts w:ascii="Times New Roman" w:hAnsi="Times New Roman"/>
          <w:bCs/>
          <w:lang w:bidi="ru-RU"/>
        </w:rPr>
        <w:t>принимать цель совместной деятельности, коллективно выстраивать действия по её достижению (распределять роли, договариваться, обсуждать процесс и результат совместной работы);</w:t>
      </w:r>
    </w:p>
    <w:p w14:paraId="2DDA9F4B">
      <w:pPr>
        <w:widowControl/>
        <w:tabs>
          <w:tab w:val="left" w:pos="1134"/>
        </w:tabs>
        <w:spacing w:after="0" w:line="360" w:lineRule="auto"/>
        <w:ind w:firstLine="709"/>
        <w:jc w:val="both"/>
        <w:rPr>
          <w:rFonts w:ascii="Times New Roman" w:hAnsi="Times New Roman"/>
          <w:bCs/>
          <w:lang w:bidi="ru-RU"/>
        </w:rPr>
      </w:pPr>
      <w:r>
        <w:rPr>
          <w:rFonts w:ascii="Times New Roman" w:hAnsi="Times New Roman"/>
          <w:bCs/>
          <w:lang w:bidi="ru-RU"/>
        </w:rPr>
        <w:t>проявлять готовность руководить, выполнять поручения, подчиняться;</w:t>
      </w:r>
    </w:p>
    <w:p w14:paraId="5714000A">
      <w:pPr>
        <w:widowControl/>
        <w:tabs>
          <w:tab w:val="left" w:pos="1134"/>
        </w:tabs>
        <w:spacing w:after="0" w:line="360" w:lineRule="auto"/>
        <w:ind w:firstLine="709"/>
        <w:jc w:val="both"/>
        <w:rPr>
          <w:rFonts w:ascii="Times New Roman" w:hAnsi="Times New Roman"/>
          <w:bCs/>
          <w:lang w:bidi="ru-RU"/>
        </w:rPr>
      </w:pPr>
      <w:r>
        <w:rPr>
          <w:rFonts w:ascii="Times New Roman" w:hAnsi="Times New Roman"/>
          <w:bCs/>
          <w:lang w:bidi="ru-RU"/>
        </w:rPr>
        <w:t>ответственно выполнять свою часть работы;</w:t>
      </w:r>
    </w:p>
    <w:p w14:paraId="4B406F2C">
      <w:pPr>
        <w:widowControl/>
        <w:tabs>
          <w:tab w:val="left" w:pos="1134"/>
        </w:tabs>
        <w:spacing w:after="0" w:line="360" w:lineRule="auto"/>
        <w:ind w:firstLine="709"/>
        <w:jc w:val="both"/>
        <w:rPr>
          <w:rFonts w:ascii="Times New Roman" w:hAnsi="Times New Roman"/>
          <w:bCs/>
          <w:lang w:bidi="ru-RU"/>
        </w:rPr>
      </w:pPr>
      <w:r>
        <w:rPr>
          <w:rFonts w:ascii="Times New Roman" w:hAnsi="Times New Roman"/>
          <w:bCs/>
          <w:lang w:bidi="ru-RU"/>
        </w:rPr>
        <w:t>оценивать свой вклад в общий результат;</w:t>
      </w:r>
    </w:p>
    <w:p w14:paraId="649B6A69">
      <w:pPr>
        <w:widowControl/>
        <w:tabs>
          <w:tab w:val="left" w:pos="1134"/>
        </w:tabs>
        <w:spacing w:after="0" w:line="360" w:lineRule="auto"/>
        <w:ind w:firstLine="709"/>
        <w:jc w:val="both"/>
        <w:rPr>
          <w:rFonts w:ascii="Times New Roman" w:hAnsi="Times New Roman"/>
          <w:bCs/>
          <w:lang w:bidi="ru-RU"/>
        </w:rPr>
      </w:pPr>
      <w:r>
        <w:rPr>
          <w:rFonts w:ascii="Times New Roman" w:hAnsi="Times New Roman"/>
          <w:bCs/>
          <w:lang w:bidi="ru-RU"/>
        </w:rPr>
        <w:t>выполнять совместные проектные задания по литературному чтению на родном (чувашском) языке с использованием предложенного образца.</w:t>
      </w:r>
    </w:p>
    <w:p w14:paraId="3C51D734">
      <w:pPr>
        <w:widowControl/>
        <w:tabs>
          <w:tab w:val="left" w:pos="1134"/>
        </w:tabs>
        <w:spacing w:after="0" w:line="360" w:lineRule="auto"/>
        <w:ind w:firstLine="709"/>
        <w:jc w:val="both"/>
        <w:rPr>
          <w:rFonts w:ascii="Times New Roman" w:hAnsi="Times New Roman"/>
          <w:bCs/>
          <w:lang w:bidi="ru-RU"/>
        </w:rPr>
      </w:pPr>
      <w:r>
        <w:rPr>
          <w:rFonts w:ascii="Times New Roman" w:hAnsi="Times New Roman"/>
          <w:bCs/>
          <w:lang w:bidi="ru-RU"/>
        </w:rPr>
        <w:t>8.10.3. Предметные результаты изучения литературного чтения на родном (чувашском) языке. К концу обучения в 1 классе обучающийся научится:</w:t>
      </w:r>
    </w:p>
    <w:p w14:paraId="0F1F13B3">
      <w:pPr>
        <w:widowControl/>
        <w:tabs>
          <w:tab w:val="left" w:pos="1134"/>
        </w:tabs>
        <w:spacing w:after="0" w:line="360" w:lineRule="auto"/>
        <w:ind w:firstLine="709"/>
        <w:jc w:val="both"/>
        <w:rPr>
          <w:rFonts w:ascii="Times New Roman" w:hAnsi="Times New Roman"/>
          <w:bCs/>
          <w:lang w:bidi="ru-RU"/>
        </w:rPr>
      </w:pPr>
      <w:r>
        <w:rPr>
          <w:rFonts w:ascii="Times New Roman" w:hAnsi="Times New Roman"/>
          <w:bCs/>
          <w:lang w:bidi="ru-RU"/>
        </w:rPr>
        <w:t>воспринимать на слух тексты на чувашском языке, читать вслух по слогам с постепенным переходом на чтение целыми словами, понимать содержание коротких произведений, воспринятых на слух и прочитанных самостоятельно;</w:t>
      </w:r>
    </w:p>
    <w:p w14:paraId="65E21571">
      <w:pPr>
        <w:widowControl/>
        <w:tabs>
          <w:tab w:val="left" w:pos="1134"/>
        </w:tabs>
        <w:spacing w:after="0" w:line="360" w:lineRule="auto"/>
        <w:ind w:firstLine="709"/>
        <w:jc w:val="both"/>
        <w:rPr>
          <w:rFonts w:ascii="Times New Roman" w:hAnsi="Times New Roman"/>
          <w:bCs/>
          <w:lang w:bidi="ru-RU"/>
        </w:rPr>
      </w:pPr>
      <w:r>
        <w:rPr>
          <w:rFonts w:ascii="Times New Roman" w:hAnsi="Times New Roman"/>
          <w:bCs/>
          <w:lang w:bidi="ru-RU"/>
        </w:rPr>
        <w:t>читать художественное произведение и (или) его фрагменты по ролям;</w:t>
      </w:r>
    </w:p>
    <w:p w14:paraId="6A1424EA">
      <w:pPr>
        <w:widowControl/>
        <w:tabs>
          <w:tab w:val="left" w:pos="1134"/>
        </w:tabs>
        <w:spacing w:after="0" w:line="360" w:lineRule="auto"/>
        <w:ind w:firstLine="709"/>
        <w:jc w:val="both"/>
        <w:rPr>
          <w:rFonts w:ascii="Times New Roman" w:hAnsi="Times New Roman"/>
          <w:bCs/>
          <w:lang w:val="bg-BG" w:bidi="ru-RU"/>
        </w:rPr>
      </w:pPr>
      <w:r>
        <w:rPr>
          <w:rFonts w:ascii="Times New Roman" w:hAnsi="Times New Roman"/>
          <w:bCs/>
          <w:lang w:bidi="ru-RU"/>
        </w:rPr>
        <w:t>читать наизусть 1–2 стихотворения разных авторов на чувашском языке;</w:t>
      </w:r>
    </w:p>
    <w:p w14:paraId="00B302C3">
      <w:pPr>
        <w:widowControl/>
        <w:tabs>
          <w:tab w:val="left" w:pos="1134"/>
        </w:tabs>
        <w:spacing w:after="0" w:line="360" w:lineRule="auto"/>
        <w:ind w:firstLine="709"/>
        <w:jc w:val="both"/>
        <w:rPr>
          <w:rFonts w:ascii="Times New Roman" w:hAnsi="Times New Roman"/>
          <w:bCs/>
          <w:lang w:val="bg-BG" w:bidi="ru-RU"/>
        </w:rPr>
      </w:pPr>
      <w:r>
        <w:rPr>
          <w:rFonts w:ascii="Times New Roman" w:hAnsi="Times New Roman"/>
          <w:bCs/>
          <w:lang w:bidi="ru-RU"/>
        </w:rPr>
        <w:t>отличать прозаическое произведение от стихотворного;</w:t>
      </w:r>
    </w:p>
    <w:p w14:paraId="19C55887">
      <w:pPr>
        <w:widowControl/>
        <w:tabs>
          <w:tab w:val="left" w:pos="1134"/>
        </w:tabs>
        <w:spacing w:after="0" w:line="360" w:lineRule="auto"/>
        <w:ind w:firstLine="709"/>
        <w:jc w:val="both"/>
        <w:rPr>
          <w:rFonts w:ascii="Times New Roman" w:hAnsi="Times New Roman"/>
          <w:bCs/>
          <w:lang w:bidi="ru-RU"/>
        </w:rPr>
      </w:pPr>
      <w:r>
        <w:rPr>
          <w:rFonts w:ascii="Times New Roman" w:hAnsi="Times New Roman"/>
          <w:bCs/>
          <w:lang w:bidi="ru-RU"/>
        </w:rPr>
        <w:t>различать малые жанры фольклора: пословицу, загадку, считалку, потешки, колыбельную песню;</w:t>
      </w:r>
    </w:p>
    <w:p w14:paraId="77F32379">
      <w:pPr>
        <w:widowControl/>
        <w:tabs>
          <w:tab w:val="left" w:pos="1134"/>
        </w:tabs>
        <w:spacing w:after="0" w:line="360" w:lineRule="auto"/>
        <w:ind w:firstLine="709"/>
        <w:jc w:val="both"/>
        <w:rPr>
          <w:rFonts w:ascii="Times New Roman" w:hAnsi="Times New Roman"/>
          <w:bCs/>
          <w:lang w:bidi="ru-RU"/>
        </w:rPr>
      </w:pPr>
      <w:r>
        <w:rPr>
          <w:rFonts w:ascii="Times New Roman" w:hAnsi="Times New Roman"/>
          <w:bCs/>
          <w:lang w:bidi="ru-RU"/>
        </w:rPr>
        <w:t>отвечать на вопросы по содержанию произведения, определять последовательность событий в прочитанном произведении;</w:t>
      </w:r>
    </w:p>
    <w:p w14:paraId="4321AC24">
      <w:pPr>
        <w:widowControl/>
        <w:tabs>
          <w:tab w:val="left" w:pos="1134"/>
        </w:tabs>
        <w:spacing w:after="0" w:line="360" w:lineRule="auto"/>
        <w:ind w:firstLine="709"/>
        <w:jc w:val="both"/>
        <w:rPr>
          <w:rFonts w:ascii="Times New Roman" w:hAnsi="Times New Roman"/>
          <w:bCs/>
          <w:lang w:bidi="ru-RU"/>
        </w:rPr>
      </w:pPr>
      <w:r>
        <w:rPr>
          <w:rFonts w:ascii="Times New Roman" w:hAnsi="Times New Roman"/>
          <w:bCs/>
          <w:lang w:bidi="ru-RU"/>
        </w:rPr>
        <w:t>определять (с помощью учителя) тему и главных героев прочитанного или прослушанного текста;</w:t>
      </w:r>
    </w:p>
    <w:p w14:paraId="3F39AB09">
      <w:pPr>
        <w:widowControl/>
        <w:tabs>
          <w:tab w:val="left" w:pos="1134"/>
        </w:tabs>
        <w:spacing w:after="0" w:line="360" w:lineRule="auto"/>
        <w:ind w:firstLine="709"/>
        <w:jc w:val="both"/>
        <w:rPr>
          <w:rFonts w:ascii="Times New Roman" w:hAnsi="Times New Roman"/>
          <w:bCs/>
          <w:lang w:bidi="ru-RU"/>
        </w:rPr>
      </w:pPr>
      <w:r>
        <w:rPr>
          <w:rFonts w:ascii="Times New Roman" w:hAnsi="Times New Roman"/>
          <w:bCs/>
          <w:lang w:bidi="ru-RU"/>
        </w:rPr>
        <w:t>находить средства художественной выразительности в тексте (звукоподражание, повтор);</w:t>
      </w:r>
    </w:p>
    <w:p w14:paraId="4D62BFB7">
      <w:pPr>
        <w:widowControl/>
        <w:tabs>
          <w:tab w:val="left" w:pos="1134"/>
        </w:tabs>
        <w:spacing w:after="0" w:line="360" w:lineRule="auto"/>
        <w:ind w:firstLine="709"/>
        <w:jc w:val="both"/>
        <w:rPr>
          <w:rFonts w:ascii="Times New Roman" w:hAnsi="Times New Roman"/>
          <w:bCs/>
          <w:lang w:bidi="ru-RU"/>
        </w:rPr>
      </w:pPr>
      <w:r>
        <w:rPr>
          <w:rFonts w:ascii="Times New Roman" w:hAnsi="Times New Roman"/>
          <w:bCs/>
          <w:lang w:bidi="ru-RU"/>
        </w:rPr>
        <w:t>работать с детской книгой: определять автора, находить оглавление;</w:t>
      </w:r>
    </w:p>
    <w:p w14:paraId="3940CF75">
      <w:pPr>
        <w:widowControl/>
        <w:tabs>
          <w:tab w:val="left" w:pos="1134"/>
        </w:tabs>
        <w:spacing w:after="0" w:line="360" w:lineRule="auto"/>
        <w:ind w:firstLine="709"/>
        <w:jc w:val="both"/>
        <w:rPr>
          <w:rFonts w:ascii="Times New Roman" w:hAnsi="Times New Roman"/>
          <w:bCs/>
          <w:lang w:val="bg-BG" w:bidi="ru-RU"/>
        </w:rPr>
      </w:pPr>
      <w:r>
        <w:rPr>
          <w:rFonts w:ascii="Times New Roman" w:hAnsi="Times New Roman"/>
          <w:bCs/>
          <w:lang w:bidi="ru-RU"/>
        </w:rPr>
        <w:t>иллюстрировать прослушанный текст.</w:t>
      </w:r>
    </w:p>
    <w:p w14:paraId="7110C9CD">
      <w:pPr>
        <w:widowControl/>
        <w:tabs>
          <w:tab w:val="left" w:pos="1134"/>
        </w:tabs>
        <w:spacing w:after="0" w:line="360" w:lineRule="auto"/>
        <w:ind w:firstLine="709"/>
        <w:jc w:val="both"/>
        <w:rPr>
          <w:rFonts w:ascii="Times New Roman" w:hAnsi="Times New Roman"/>
          <w:bCs/>
          <w:lang w:bidi="ru-RU"/>
        </w:rPr>
      </w:pPr>
      <w:r>
        <w:rPr>
          <w:rFonts w:ascii="Times New Roman" w:hAnsi="Times New Roman"/>
          <w:bCs/>
          <w:lang w:bidi="ru-RU"/>
        </w:rPr>
        <w:t>8.10.4. Предметные результаты изучения литературного чтения на родном (чувашском) языке. К концу обучения во 2 классе обучающийся научится:</w:t>
      </w:r>
    </w:p>
    <w:p w14:paraId="2B45E26C">
      <w:pPr>
        <w:widowControl/>
        <w:tabs>
          <w:tab w:val="left" w:pos="1134"/>
        </w:tabs>
        <w:spacing w:after="0" w:line="360" w:lineRule="auto"/>
        <w:ind w:firstLine="709"/>
        <w:jc w:val="both"/>
        <w:rPr>
          <w:rFonts w:ascii="Times New Roman" w:hAnsi="Times New Roman"/>
          <w:bCs/>
          <w:lang w:bidi="ru-RU"/>
        </w:rPr>
      </w:pPr>
      <w:r>
        <w:rPr>
          <w:rFonts w:ascii="Times New Roman" w:hAnsi="Times New Roman"/>
          <w:bCs/>
          <w:lang w:bidi="ru-RU"/>
        </w:rPr>
        <w:t>читать целыми словами или выражениями вслух, постепенно увеличивая скорость чтения в соответствии с индивидуальными возможностями, осознанно выбирать интонацию и темп чтения, использовать необходимые паузы в соответствии с особенностями текста;</w:t>
      </w:r>
    </w:p>
    <w:p w14:paraId="4E6ABD48">
      <w:pPr>
        <w:widowControl/>
        <w:tabs>
          <w:tab w:val="left" w:pos="1134"/>
        </w:tabs>
        <w:spacing w:after="0" w:line="360" w:lineRule="auto"/>
        <w:ind w:firstLine="709"/>
        <w:jc w:val="both"/>
        <w:rPr>
          <w:rFonts w:ascii="Times New Roman" w:hAnsi="Times New Roman"/>
          <w:bCs/>
          <w:lang w:bidi="ru-RU"/>
        </w:rPr>
      </w:pPr>
      <w:r>
        <w:rPr>
          <w:rFonts w:ascii="Times New Roman" w:hAnsi="Times New Roman"/>
          <w:bCs/>
          <w:lang w:bidi="ru-RU"/>
        </w:rPr>
        <w:t>читать художественные произведения по ролям, эмоционально воспринимать на слух прочитанные произведения;</w:t>
      </w:r>
    </w:p>
    <w:p w14:paraId="6E9E1DB4">
      <w:pPr>
        <w:widowControl/>
        <w:tabs>
          <w:tab w:val="left" w:pos="1134"/>
        </w:tabs>
        <w:spacing w:after="0" w:line="360" w:lineRule="auto"/>
        <w:ind w:firstLine="709"/>
        <w:jc w:val="both"/>
        <w:rPr>
          <w:rFonts w:ascii="Times New Roman" w:hAnsi="Times New Roman"/>
          <w:bCs/>
          <w:lang w:bidi="ru-RU"/>
        </w:rPr>
      </w:pPr>
      <w:r>
        <w:rPr>
          <w:rFonts w:ascii="Times New Roman" w:hAnsi="Times New Roman"/>
          <w:bCs/>
          <w:lang w:bidi="ru-RU"/>
        </w:rPr>
        <w:t>читать наизусть 2–3 несложных стихотворения разных авторов (по выбору);</w:t>
      </w:r>
    </w:p>
    <w:p w14:paraId="617ECA16">
      <w:pPr>
        <w:widowControl/>
        <w:tabs>
          <w:tab w:val="left" w:pos="1134"/>
        </w:tabs>
        <w:spacing w:after="0" w:line="360" w:lineRule="auto"/>
        <w:ind w:firstLine="709"/>
        <w:jc w:val="both"/>
        <w:rPr>
          <w:rFonts w:ascii="Times New Roman" w:hAnsi="Times New Roman"/>
          <w:bCs/>
          <w:lang w:bidi="ru-RU"/>
        </w:rPr>
      </w:pPr>
      <w:r>
        <w:rPr>
          <w:rFonts w:ascii="Times New Roman" w:hAnsi="Times New Roman"/>
          <w:bCs/>
          <w:lang w:bidi="ru-RU"/>
        </w:rPr>
        <w:t>строить короткое монологическое высказывание: краткий или развёрнутый ответ на вопрос учителя, участвовать в учебном диалоге о прочитанном, дополнять чужой ответ новым содержанием;</w:t>
      </w:r>
    </w:p>
    <w:p w14:paraId="5A93B835">
      <w:pPr>
        <w:widowControl/>
        <w:tabs>
          <w:tab w:val="left" w:pos="1134"/>
        </w:tabs>
        <w:spacing w:after="0" w:line="360" w:lineRule="auto"/>
        <w:ind w:firstLine="709"/>
        <w:jc w:val="both"/>
        <w:rPr>
          <w:rFonts w:ascii="Times New Roman" w:hAnsi="Times New Roman"/>
          <w:bCs/>
          <w:lang w:bidi="ru-RU"/>
        </w:rPr>
      </w:pPr>
      <w:r>
        <w:rPr>
          <w:rFonts w:ascii="Times New Roman" w:hAnsi="Times New Roman"/>
          <w:bCs/>
          <w:lang w:bidi="ru-RU"/>
        </w:rPr>
        <w:t>проводить элементарный анализ прочитанного произведения, определять тему и выделять главную мысль произведения (с помощью учителя);</w:t>
      </w:r>
    </w:p>
    <w:p w14:paraId="5F775E97">
      <w:pPr>
        <w:widowControl/>
        <w:tabs>
          <w:tab w:val="left" w:pos="1134"/>
        </w:tabs>
        <w:spacing w:after="0" w:line="360" w:lineRule="auto"/>
        <w:ind w:firstLine="709"/>
        <w:jc w:val="both"/>
        <w:rPr>
          <w:rFonts w:ascii="Times New Roman" w:hAnsi="Times New Roman"/>
          <w:bCs/>
          <w:lang w:bidi="ru-RU"/>
        </w:rPr>
      </w:pPr>
      <w:r>
        <w:rPr>
          <w:rFonts w:ascii="Times New Roman" w:hAnsi="Times New Roman"/>
          <w:bCs/>
          <w:lang w:bidi="ru-RU"/>
        </w:rPr>
        <w:t>выделять части текста по предложенному плану, составлять план прозаического произведения;</w:t>
      </w:r>
    </w:p>
    <w:p w14:paraId="0FA498DD">
      <w:pPr>
        <w:widowControl/>
        <w:tabs>
          <w:tab w:val="left" w:pos="1134"/>
        </w:tabs>
        <w:spacing w:after="0" w:line="360" w:lineRule="auto"/>
        <w:ind w:firstLine="709"/>
        <w:jc w:val="both"/>
        <w:rPr>
          <w:rFonts w:ascii="Times New Roman" w:hAnsi="Times New Roman"/>
          <w:bCs/>
          <w:lang w:bidi="ru-RU"/>
        </w:rPr>
      </w:pPr>
      <w:r>
        <w:rPr>
          <w:rFonts w:ascii="Times New Roman" w:hAnsi="Times New Roman"/>
          <w:bCs/>
          <w:lang w:bidi="ru-RU"/>
        </w:rPr>
        <w:t>наблюдать за развитием сюжета в произведении, выделять сюжетную линию в рассказе;</w:t>
      </w:r>
    </w:p>
    <w:p w14:paraId="274A7AE8">
      <w:pPr>
        <w:widowControl/>
        <w:tabs>
          <w:tab w:val="left" w:pos="1134"/>
        </w:tabs>
        <w:spacing w:after="0" w:line="360" w:lineRule="auto"/>
        <w:ind w:firstLine="709"/>
        <w:jc w:val="both"/>
        <w:rPr>
          <w:rFonts w:ascii="Times New Roman" w:hAnsi="Times New Roman"/>
          <w:bCs/>
          <w:lang w:bidi="ru-RU"/>
        </w:rPr>
      </w:pPr>
      <w:r>
        <w:rPr>
          <w:rFonts w:ascii="Times New Roman" w:hAnsi="Times New Roman"/>
          <w:bCs/>
          <w:lang w:bidi="ru-RU"/>
        </w:rPr>
        <w:t>выявлять авторское отношение к персонажам, их поведению;</w:t>
      </w:r>
    </w:p>
    <w:p w14:paraId="33BE9E2D">
      <w:pPr>
        <w:widowControl/>
        <w:tabs>
          <w:tab w:val="left" w:pos="1134"/>
        </w:tabs>
        <w:spacing w:after="0" w:line="360" w:lineRule="auto"/>
        <w:ind w:firstLine="709"/>
        <w:jc w:val="both"/>
        <w:rPr>
          <w:rFonts w:ascii="Times New Roman" w:hAnsi="Times New Roman"/>
          <w:bCs/>
          <w:lang w:bidi="ru-RU"/>
        </w:rPr>
      </w:pPr>
      <w:r>
        <w:rPr>
          <w:rFonts w:ascii="Times New Roman" w:hAnsi="Times New Roman"/>
          <w:bCs/>
          <w:lang w:bidi="ru-RU"/>
        </w:rPr>
        <w:t>приводить названия изученных произведений, кратко пересказывать их содержание;</w:t>
      </w:r>
    </w:p>
    <w:p w14:paraId="5553E25C">
      <w:pPr>
        <w:widowControl/>
        <w:tabs>
          <w:tab w:val="left" w:pos="1134"/>
        </w:tabs>
        <w:spacing w:after="0" w:line="360" w:lineRule="auto"/>
        <w:ind w:firstLine="709"/>
        <w:jc w:val="both"/>
        <w:rPr>
          <w:rFonts w:ascii="Times New Roman" w:hAnsi="Times New Roman"/>
          <w:bCs/>
          <w:lang w:bidi="ru-RU"/>
        </w:rPr>
      </w:pPr>
      <w:r>
        <w:rPr>
          <w:rFonts w:ascii="Times New Roman" w:hAnsi="Times New Roman"/>
          <w:bCs/>
          <w:lang w:bidi="ru-RU"/>
        </w:rPr>
        <w:t xml:space="preserve">различать сказку и рассказ, различать сказки о животных и волшебные, называть их особенности; </w:t>
      </w:r>
    </w:p>
    <w:p w14:paraId="53AEFDBB">
      <w:pPr>
        <w:widowControl/>
        <w:tabs>
          <w:tab w:val="left" w:pos="1134"/>
        </w:tabs>
        <w:spacing w:after="0" w:line="360" w:lineRule="auto"/>
        <w:ind w:firstLine="709"/>
        <w:jc w:val="both"/>
        <w:rPr>
          <w:rFonts w:ascii="Times New Roman" w:hAnsi="Times New Roman"/>
          <w:bCs/>
          <w:lang w:bidi="ru-RU"/>
        </w:rPr>
      </w:pPr>
      <w:r>
        <w:rPr>
          <w:rFonts w:ascii="Times New Roman" w:hAnsi="Times New Roman"/>
          <w:bCs/>
          <w:lang w:bidi="ru-RU"/>
        </w:rPr>
        <w:t>находить в произведении изобразительно-выразительные средства (сравнение, олицетворение, повтор) без использования терминов;</w:t>
      </w:r>
    </w:p>
    <w:p w14:paraId="08CF83E8">
      <w:pPr>
        <w:widowControl/>
        <w:tabs>
          <w:tab w:val="left" w:pos="1134"/>
        </w:tabs>
        <w:spacing w:after="0" w:line="360" w:lineRule="auto"/>
        <w:ind w:firstLine="709"/>
        <w:jc w:val="both"/>
        <w:rPr>
          <w:rFonts w:ascii="Times New Roman" w:hAnsi="Times New Roman"/>
          <w:bCs/>
          <w:lang w:bidi="ru-RU"/>
        </w:rPr>
      </w:pPr>
      <w:r>
        <w:rPr>
          <w:rFonts w:ascii="Times New Roman" w:hAnsi="Times New Roman"/>
          <w:bCs/>
          <w:lang w:bidi="ru-RU"/>
        </w:rPr>
        <w:t>инсценировать произведения или отрывки из прочитанных произведений;</w:t>
      </w:r>
    </w:p>
    <w:p w14:paraId="785CB6DF">
      <w:pPr>
        <w:widowControl/>
        <w:tabs>
          <w:tab w:val="left" w:pos="1134"/>
        </w:tabs>
        <w:spacing w:after="0" w:line="360" w:lineRule="auto"/>
        <w:ind w:firstLine="709"/>
        <w:jc w:val="both"/>
        <w:rPr>
          <w:rFonts w:ascii="Times New Roman" w:hAnsi="Times New Roman"/>
          <w:bCs/>
          <w:lang w:bidi="ru-RU"/>
        </w:rPr>
      </w:pPr>
      <w:r>
        <w:rPr>
          <w:rFonts w:ascii="Times New Roman" w:hAnsi="Times New Roman"/>
          <w:bCs/>
          <w:lang w:bidi="ru-RU"/>
        </w:rPr>
        <w:t>иллюстрировать понравившиеся сюжеты произведений.</w:t>
      </w:r>
    </w:p>
    <w:p w14:paraId="5D187303">
      <w:pPr>
        <w:widowControl/>
        <w:tabs>
          <w:tab w:val="left" w:pos="1134"/>
        </w:tabs>
        <w:spacing w:after="0" w:line="360" w:lineRule="auto"/>
        <w:ind w:firstLine="709"/>
        <w:jc w:val="both"/>
        <w:rPr>
          <w:rFonts w:ascii="Times New Roman" w:hAnsi="Times New Roman"/>
          <w:bCs/>
          <w:lang w:bidi="ru-RU"/>
        </w:rPr>
      </w:pPr>
      <w:r>
        <w:rPr>
          <w:rFonts w:ascii="Times New Roman" w:hAnsi="Times New Roman"/>
          <w:bCs/>
          <w:lang w:bidi="ru-RU"/>
        </w:rPr>
        <w:t>8.10.5. Предметные результаты изучения литературного чтения на родном (чувашском) языке. К концу обучения в 3 классе обучающийся научится:</w:t>
      </w:r>
    </w:p>
    <w:p w14:paraId="441F204D">
      <w:pPr>
        <w:widowControl/>
        <w:tabs>
          <w:tab w:val="left" w:pos="1134"/>
        </w:tabs>
        <w:spacing w:after="0" w:line="360" w:lineRule="auto"/>
        <w:ind w:firstLine="709"/>
        <w:jc w:val="both"/>
        <w:rPr>
          <w:rFonts w:ascii="Times New Roman" w:hAnsi="Times New Roman"/>
          <w:bCs/>
          <w:lang w:bidi="ru-RU"/>
        </w:rPr>
      </w:pPr>
      <w:r>
        <w:rPr>
          <w:rFonts w:ascii="Times New Roman" w:hAnsi="Times New Roman"/>
          <w:bCs/>
          <w:lang w:bidi="ru-RU"/>
        </w:rPr>
        <w:t>читать выразительно вслух, читать про себя в процессе первичного ознакомительного чтения, выборочного и смыслового чтения;</w:t>
      </w:r>
    </w:p>
    <w:p w14:paraId="73B7E5C5">
      <w:pPr>
        <w:widowControl/>
        <w:tabs>
          <w:tab w:val="left" w:pos="1134"/>
        </w:tabs>
        <w:spacing w:after="0" w:line="360" w:lineRule="auto"/>
        <w:ind w:firstLine="709"/>
        <w:jc w:val="both"/>
        <w:rPr>
          <w:rFonts w:ascii="Times New Roman" w:hAnsi="Times New Roman"/>
          <w:bCs/>
          <w:lang w:bidi="ru-RU"/>
        </w:rPr>
      </w:pPr>
      <w:r>
        <w:rPr>
          <w:rFonts w:ascii="Times New Roman" w:hAnsi="Times New Roman"/>
          <w:bCs/>
          <w:lang w:bidi="ru-RU"/>
        </w:rPr>
        <w:t>читать наизусть 3–4 стихотворения разных авторов (по выбору);</w:t>
      </w:r>
    </w:p>
    <w:p w14:paraId="38FEC8D8">
      <w:pPr>
        <w:widowControl/>
        <w:tabs>
          <w:tab w:val="left" w:pos="1134"/>
        </w:tabs>
        <w:spacing w:after="0" w:line="360" w:lineRule="auto"/>
        <w:ind w:firstLine="709"/>
        <w:jc w:val="both"/>
        <w:rPr>
          <w:rFonts w:ascii="Times New Roman" w:hAnsi="Times New Roman"/>
          <w:bCs/>
          <w:lang w:bidi="ru-RU"/>
        </w:rPr>
      </w:pPr>
      <w:r>
        <w:rPr>
          <w:rFonts w:ascii="Times New Roman" w:hAnsi="Times New Roman"/>
          <w:bCs/>
          <w:lang w:bidi="ru-RU"/>
        </w:rPr>
        <w:t>определять тему прослушанного текста;</w:t>
      </w:r>
    </w:p>
    <w:p w14:paraId="45F97728">
      <w:pPr>
        <w:widowControl/>
        <w:tabs>
          <w:tab w:val="left" w:pos="1134"/>
        </w:tabs>
        <w:spacing w:after="0" w:line="360" w:lineRule="auto"/>
        <w:ind w:firstLine="709"/>
        <w:jc w:val="both"/>
        <w:rPr>
          <w:rFonts w:ascii="Times New Roman" w:hAnsi="Times New Roman"/>
          <w:bCs/>
          <w:lang w:bidi="ru-RU"/>
        </w:rPr>
      </w:pPr>
      <w:r>
        <w:rPr>
          <w:rFonts w:ascii="Times New Roman" w:hAnsi="Times New Roman"/>
          <w:bCs/>
          <w:lang w:bidi="ru-RU"/>
        </w:rPr>
        <w:t xml:space="preserve">отвечать на вопросы по содержанию прослушанного и (или) прочитанного произведения, самостоятельно составлять вопросы по содержанию прослушанного и (или) прочитанного текста, </w:t>
      </w:r>
    </w:p>
    <w:p w14:paraId="1FD86117">
      <w:pPr>
        <w:widowControl/>
        <w:tabs>
          <w:tab w:val="left" w:pos="1134"/>
        </w:tabs>
        <w:spacing w:after="0" w:line="360" w:lineRule="auto"/>
        <w:ind w:firstLine="709"/>
        <w:jc w:val="both"/>
        <w:rPr>
          <w:rFonts w:ascii="Times New Roman" w:hAnsi="Times New Roman"/>
          <w:bCs/>
          <w:lang w:bidi="ru-RU"/>
        </w:rPr>
      </w:pPr>
      <w:r>
        <w:rPr>
          <w:rFonts w:ascii="Times New Roman" w:hAnsi="Times New Roman"/>
          <w:bCs/>
          <w:lang w:bidi="ru-RU"/>
        </w:rPr>
        <w:t>высказывать своё мнение о прочитанном, аргументировать свою точку зрения фрагментами из текста, использовать выразительные средства языка в собственном монологическом высказывании;</w:t>
      </w:r>
    </w:p>
    <w:p w14:paraId="6241DA0F">
      <w:pPr>
        <w:widowControl/>
        <w:tabs>
          <w:tab w:val="left" w:pos="1134"/>
        </w:tabs>
        <w:spacing w:after="0" w:line="360" w:lineRule="auto"/>
        <w:ind w:firstLine="709"/>
        <w:jc w:val="both"/>
        <w:rPr>
          <w:rFonts w:ascii="Times New Roman" w:hAnsi="Times New Roman"/>
          <w:bCs/>
          <w:lang w:bidi="ru-RU"/>
        </w:rPr>
      </w:pPr>
      <w:r>
        <w:rPr>
          <w:rFonts w:ascii="Times New Roman" w:hAnsi="Times New Roman"/>
          <w:bCs/>
          <w:lang w:bidi="ru-RU"/>
        </w:rPr>
        <w:t>находить в прочитанном тексте нужную информацию, делить тексты на части и озаглавливать каждую часть;</w:t>
      </w:r>
    </w:p>
    <w:p w14:paraId="64C6EB05">
      <w:pPr>
        <w:widowControl/>
        <w:tabs>
          <w:tab w:val="left" w:pos="1134"/>
        </w:tabs>
        <w:spacing w:after="0" w:line="360" w:lineRule="auto"/>
        <w:ind w:firstLine="709"/>
        <w:jc w:val="both"/>
        <w:rPr>
          <w:rFonts w:ascii="Times New Roman" w:hAnsi="Times New Roman"/>
          <w:bCs/>
          <w:lang w:bidi="ru-RU"/>
        </w:rPr>
      </w:pPr>
      <w:r>
        <w:rPr>
          <w:rFonts w:ascii="Times New Roman" w:hAnsi="Times New Roman"/>
          <w:bCs/>
          <w:lang w:bidi="ru-RU"/>
        </w:rPr>
        <w:t>выявлять в тексте средства художественной выразительности (синоним, антоним, эпитет, сравнение, звукоподражание);</w:t>
      </w:r>
    </w:p>
    <w:p w14:paraId="6EC77769">
      <w:pPr>
        <w:widowControl/>
        <w:tabs>
          <w:tab w:val="left" w:pos="1134"/>
        </w:tabs>
        <w:spacing w:after="0" w:line="360" w:lineRule="auto"/>
        <w:ind w:firstLine="709"/>
        <w:jc w:val="both"/>
        <w:rPr>
          <w:rFonts w:ascii="Times New Roman" w:hAnsi="Times New Roman"/>
          <w:bCs/>
          <w:lang w:bidi="ru-RU"/>
        </w:rPr>
      </w:pPr>
      <w:r>
        <w:rPr>
          <w:rFonts w:ascii="Times New Roman" w:hAnsi="Times New Roman"/>
          <w:bCs/>
          <w:lang w:bidi="ru-RU"/>
        </w:rPr>
        <w:t>называть особенности прозаической и стихотворной речи, наблюдать за рифмой, ритмом стихотворения;</w:t>
      </w:r>
    </w:p>
    <w:p w14:paraId="7AC3E17C">
      <w:pPr>
        <w:widowControl/>
        <w:tabs>
          <w:tab w:val="left" w:pos="1134"/>
        </w:tabs>
        <w:spacing w:after="0" w:line="360" w:lineRule="auto"/>
        <w:ind w:firstLine="709"/>
        <w:jc w:val="both"/>
        <w:rPr>
          <w:rFonts w:ascii="Times New Roman" w:hAnsi="Times New Roman"/>
          <w:bCs/>
          <w:lang w:bidi="ru-RU"/>
        </w:rPr>
      </w:pPr>
      <w:r>
        <w:rPr>
          <w:rFonts w:ascii="Times New Roman" w:hAnsi="Times New Roman"/>
          <w:bCs/>
          <w:lang w:bidi="ru-RU"/>
        </w:rPr>
        <w:t xml:space="preserve">различать жанры прочитанных художественных текстов, </w:t>
      </w:r>
      <w:r>
        <w:rPr>
          <w:rFonts w:ascii="Times New Roman" w:hAnsi="Times New Roman"/>
          <w:bCs/>
          <w:lang w:val="bg-BG" w:bidi="ru-RU"/>
        </w:rPr>
        <w:t>выявлять особенности произведений разных жанров;</w:t>
      </w:r>
    </w:p>
    <w:p w14:paraId="1F69AC5F">
      <w:pPr>
        <w:widowControl/>
        <w:tabs>
          <w:tab w:val="left" w:pos="1134"/>
        </w:tabs>
        <w:spacing w:after="0" w:line="360" w:lineRule="auto"/>
        <w:ind w:firstLine="709"/>
        <w:jc w:val="both"/>
        <w:rPr>
          <w:rFonts w:ascii="Times New Roman" w:hAnsi="Times New Roman"/>
          <w:bCs/>
          <w:lang w:bidi="ru-RU"/>
        </w:rPr>
      </w:pPr>
      <w:r>
        <w:rPr>
          <w:rFonts w:ascii="Times New Roman" w:hAnsi="Times New Roman"/>
          <w:bCs/>
          <w:lang w:bidi="ru-RU"/>
        </w:rPr>
        <w:t>инсценировать фрагменты прозаических текстов;</w:t>
      </w:r>
    </w:p>
    <w:p w14:paraId="72B49C52">
      <w:pPr>
        <w:widowControl/>
        <w:tabs>
          <w:tab w:val="left" w:pos="1134"/>
        </w:tabs>
        <w:spacing w:after="0" w:line="360" w:lineRule="auto"/>
        <w:ind w:firstLine="709"/>
        <w:jc w:val="both"/>
        <w:rPr>
          <w:rFonts w:ascii="Times New Roman" w:hAnsi="Times New Roman"/>
          <w:bCs/>
          <w:lang w:val="bg-BG" w:bidi="ru-RU"/>
        </w:rPr>
      </w:pPr>
      <w:r>
        <w:rPr>
          <w:rFonts w:ascii="Times New Roman" w:hAnsi="Times New Roman"/>
          <w:bCs/>
          <w:lang w:bidi="ru-RU"/>
        </w:rPr>
        <w:t>создавать небольшие устные и письменные высказывания на основе прочитанного или прослушанного художественного текста с использованием плана;</w:t>
      </w:r>
    </w:p>
    <w:p w14:paraId="6CE77B36">
      <w:pPr>
        <w:widowControl/>
        <w:tabs>
          <w:tab w:val="left" w:pos="1134"/>
        </w:tabs>
        <w:spacing w:after="0" w:line="360" w:lineRule="auto"/>
        <w:ind w:firstLine="709"/>
        <w:jc w:val="both"/>
        <w:rPr>
          <w:rFonts w:ascii="Times New Roman" w:hAnsi="Times New Roman"/>
          <w:bCs/>
          <w:lang w:bidi="ru-RU"/>
        </w:rPr>
      </w:pPr>
      <w:r>
        <w:rPr>
          <w:rFonts w:ascii="Times New Roman" w:hAnsi="Times New Roman"/>
          <w:bCs/>
          <w:lang w:val="bg-BG" w:bidi="ru-RU"/>
        </w:rPr>
        <w:t>и</w:t>
      </w:r>
      <w:r>
        <w:rPr>
          <w:rFonts w:ascii="Times New Roman" w:hAnsi="Times New Roman"/>
          <w:bCs/>
          <w:lang w:bidi="ru-RU"/>
        </w:rPr>
        <w:t>ллюстрировать фрагменты прочитанных произведений.</w:t>
      </w:r>
    </w:p>
    <w:p w14:paraId="572B921C">
      <w:pPr>
        <w:widowControl/>
        <w:tabs>
          <w:tab w:val="left" w:pos="1134"/>
        </w:tabs>
        <w:spacing w:after="0" w:line="360" w:lineRule="auto"/>
        <w:ind w:firstLine="709"/>
        <w:jc w:val="both"/>
        <w:rPr>
          <w:rFonts w:ascii="Times New Roman" w:hAnsi="Times New Roman"/>
          <w:bCs/>
          <w:lang w:bidi="ru-RU"/>
        </w:rPr>
      </w:pPr>
      <w:r>
        <w:rPr>
          <w:rFonts w:ascii="Times New Roman" w:hAnsi="Times New Roman"/>
          <w:bCs/>
          <w:lang w:bidi="ru-RU"/>
        </w:rPr>
        <w:t>8.10.6. Предметные результаты изучения литературного чтения на родном (чувашском) языке. К концу обучения в 4 классе обучающийся научится:</w:t>
      </w:r>
    </w:p>
    <w:p w14:paraId="02D91DA4">
      <w:pPr>
        <w:widowControl/>
        <w:tabs>
          <w:tab w:val="left" w:pos="1134"/>
        </w:tabs>
        <w:spacing w:after="0" w:line="360" w:lineRule="auto"/>
        <w:ind w:firstLine="709"/>
        <w:jc w:val="both"/>
        <w:rPr>
          <w:rFonts w:ascii="Times New Roman" w:hAnsi="Times New Roman"/>
          <w:bCs/>
          <w:lang w:bidi="ru-RU"/>
        </w:rPr>
      </w:pPr>
      <w:r>
        <w:rPr>
          <w:rFonts w:ascii="Times New Roman" w:hAnsi="Times New Roman"/>
          <w:bCs/>
          <w:lang w:bidi="ru-RU"/>
        </w:rPr>
        <w:t>читать вслух и про себя с установкой на смысловое восприятие текста, с соблюдением орфоэпических и интонационных норм;</w:t>
      </w:r>
    </w:p>
    <w:p w14:paraId="29AEFB8E">
      <w:pPr>
        <w:widowControl/>
        <w:tabs>
          <w:tab w:val="left" w:pos="1134"/>
        </w:tabs>
        <w:spacing w:after="0" w:line="360" w:lineRule="auto"/>
        <w:ind w:firstLine="709"/>
        <w:jc w:val="both"/>
        <w:rPr>
          <w:rFonts w:ascii="Times New Roman" w:hAnsi="Times New Roman"/>
          <w:bCs/>
          <w:lang w:bidi="ru-RU"/>
        </w:rPr>
      </w:pPr>
      <w:r>
        <w:rPr>
          <w:rFonts w:ascii="Times New Roman" w:hAnsi="Times New Roman"/>
          <w:bCs/>
          <w:lang w:bidi="ru-RU"/>
        </w:rPr>
        <w:t>составлять план текста и использовать его для пересказа, пересказывать небольшие тексты и сюжеты изученных литературных произведений, приводить имена их авторов;</w:t>
      </w:r>
    </w:p>
    <w:p w14:paraId="6294DE66">
      <w:pPr>
        <w:widowControl/>
        <w:tabs>
          <w:tab w:val="left" w:pos="1134"/>
        </w:tabs>
        <w:spacing w:after="0" w:line="360" w:lineRule="auto"/>
        <w:ind w:firstLine="709"/>
        <w:jc w:val="both"/>
        <w:rPr>
          <w:rFonts w:ascii="Times New Roman" w:hAnsi="Times New Roman"/>
          <w:bCs/>
          <w:lang w:bidi="ru-RU"/>
        </w:rPr>
      </w:pPr>
      <w:r>
        <w:rPr>
          <w:rFonts w:ascii="Times New Roman" w:hAnsi="Times New Roman"/>
          <w:bCs/>
          <w:lang w:bidi="ru-RU"/>
        </w:rPr>
        <w:t>формулировать монологическое высказывание о литературном произведении или герое, приводить описание персонажей, высказывать оценочные суждения о героях прочитанных произведений, используя изученные изобразительно-выразительные средства, подтверждать своё мнение фрагментами из произведения;</w:t>
      </w:r>
    </w:p>
    <w:p w14:paraId="662D50FB">
      <w:pPr>
        <w:widowControl/>
        <w:tabs>
          <w:tab w:val="left" w:pos="1134"/>
        </w:tabs>
        <w:spacing w:after="0" w:line="360" w:lineRule="auto"/>
        <w:ind w:firstLine="709"/>
        <w:jc w:val="both"/>
        <w:rPr>
          <w:rFonts w:ascii="Times New Roman" w:hAnsi="Times New Roman"/>
          <w:bCs/>
          <w:lang w:bidi="ru-RU"/>
        </w:rPr>
      </w:pPr>
      <w:r>
        <w:rPr>
          <w:rFonts w:ascii="Times New Roman" w:hAnsi="Times New Roman"/>
          <w:bCs/>
          <w:lang w:bidi="ru-RU"/>
        </w:rPr>
        <w:t>определять тему и основную мысль прочитанного произведения, выявлять мораль, находить крылатые выражения;</w:t>
      </w:r>
    </w:p>
    <w:p w14:paraId="132953E8">
      <w:pPr>
        <w:widowControl/>
        <w:tabs>
          <w:tab w:val="left" w:pos="1134"/>
        </w:tabs>
        <w:spacing w:after="0" w:line="360" w:lineRule="auto"/>
        <w:ind w:firstLine="709"/>
        <w:jc w:val="both"/>
        <w:rPr>
          <w:rFonts w:ascii="Times New Roman" w:hAnsi="Times New Roman"/>
          <w:bCs/>
          <w:lang w:bidi="ru-RU"/>
        </w:rPr>
      </w:pPr>
      <w:r>
        <w:rPr>
          <w:rFonts w:ascii="Times New Roman" w:hAnsi="Times New Roman"/>
          <w:bCs/>
          <w:lang w:bidi="ru-RU"/>
        </w:rPr>
        <w:t>сопоставлять сюжеты, героев (персонажей) одного или нескольких произведений, сравнивать отдельные эпизоды;</w:t>
      </w:r>
    </w:p>
    <w:p w14:paraId="379B1D27">
      <w:pPr>
        <w:widowControl/>
        <w:tabs>
          <w:tab w:val="left" w:pos="1134"/>
        </w:tabs>
        <w:spacing w:after="0" w:line="360" w:lineRule="auto"/>
        <w:ind w:firstLine="709"/>
        <w:jc w:val="both"/>
        <w:rPr>
          <w:rFonts w:ascii="Times New Roman" w:hAnsi="Times New Roman"/>
          <w:bCs/>
          <w:lang w:bidi="ru-RU"/>
        </w:rPr>
      </w:pPr>
      <w:r>
        <w:rPr>
          <w:rFonts w:ascii="Times New Roman" w:hAnsi="Times New Roman"/>
          <w:bCs/>
          <w:lang w:bidi="ru-RU"/>
        </w:rPr>
        <w:t>создавать небольшие письменные тексты на заданную тему, ориентируясь на составленный план и личный читательский опыт;</w:t>
      </w:r>
    </w:p>
    <w:p w14:paraId="72A09255">
      <w:pPr>
        <w:widowControl/>
        <w:tabs>
          <w:tab w:val="left" w:pos="1134"/>
        </w:tabs>
        <w:spacing w:after="0" w:line="360" w:lineRule="auto"/>
        <w:ind w:firstLine="709"/>
        <w:jc w:val="both"/>
        <w:rPr>
          <w:rFonts w:ascii="Times New Roman" w:hAnsi="Times New Roman"/>
          <w:bCs/>
          <w:lang w:bidi="ru-RU"/>
        </w:rPr>
      </w:pPr>
      <w:r>
        <w:rPr>
          <w:rFonts w:ascii="Times New Roman" w:hAnsi="Times New Roman"/>
          <w:bCs/>
          <w:lang w:bidi="ru-RU"/>
        </w:rPr>
        <w:t>самостоятельно выбирать книги в библиотеке с целью решения разных задач (подготовка устного сообщения на определённую тему).</w:t>
      </w:r>
    </w:p>
    <w:p w14:paraId="5FE47072">
      <w:pPr>
        <w:pStyle w:val="2"/>
        <w:pBdr>
          <w:bottom w:val="none" w:color="auto" w:sz="0" w:space="0"/>
        </w:pBdr>
        <w:spacing w:before="0" w:line="360" w:lineRule="auto"/>
        <w:ind w:firstLine="708"/>
        <w:jc w:val="both"/>
        <w:rPr>
          <w:b w:val="0"/>
          <w:bCs/>
          <w:sz w:val="22"/>
          <w:szCs w:val="22"/>
        </w:rPr>
      </w:pPr>
      <w:r>
        <w:rPr>
          <w:b w:val="0"/>
          <w:bCs/>
          <w:sz w:val="22"/>
          <w:szCs w:val="22"/>
        </w:rPr>
        <w:t>9. Рабочая программа по учебному предмету «Иностранный (английский) язык».</w:t>
      </w:r>
    </w:p>
    <w:p w14:paraId="1D872FB2">
      <w:pPr>
        <w:widowControl/>
        <w:tabs>
          <w:tab w:val="left" w:pos="1134"/>
        </w:tabs>
        <w:spacing w:after="0" w:line="360" w:lineRule="auto"/>
        <w:ind w:firstLine="709"/>
        <w:jc w:val="both"/>
        <w:rPr>
          <w:rFonts w:ascii="Times New Roman" w:hAnsi="Times New Roman"/>
          <w:bCs/>
        </w:rPr>
      </w:pPr>
      <w:r>
        <w:rPr>
          <w:rFonts w:ascii="Times New Roman" w:hAnsi="Times New Roman"/>
          <w:bCs/>
        </w:rPr>
        <w:t>9.1. Рабочая программа по учебному предмету «Иностранный (английский) язык» (предметная область «Иностранный язык») (далее соответственно – программа по иностранному (английскому) языку, иностранный (английский) язык) включает пояснительную записку, содержание обучения, планируемые результаты освоения программы по иностранному (английскому) языку.</w:t>
      </w:r>
    </w:p>
    <w:p w14:paraId="686B7D57">
      <w:pPr>
        <w:widowControl/>
        <w:tabs>
          <w:tab w:val="left" w:pos="1134"/>
        </w:tabs>
        <w:spacing w:after="0" w:line="360" w:lineRule="auto"/>
        <w:ind w:firstLine="709"/>
        <w:jc w:val="both"/>
        <w:rPr>
          <w:rFonts w:ascii="Times New Roman" w:hAnsi="Times New Roman"/>
          <w:bCs/>
        </w:rPr>
      </w:pPr>
      <w:r>
        <w:rPr>
          <w:rFonts w:ascii="Times New Roman" w:hAnsi="Times New Roman"/>
          <w:bCs/>
        </w:rPr>
        <w:t>9.2. Пояснительная записка отражает общие цели и задачи изучения иностранного (английского) языка, место в структуре учебного плана, а также подходы к отбору содержания и планируемым результатам.</w:t>
      </w:r>
    </w:p>
    <w:p w14:paraId="7B81BC7D">
      <w:pPr>
        <w:widowControl/>
        <w:tabs>
          <w:tab w:val="left" w:pos="1134"/>
        </w:tabs>
        <w:spacing w:after="0" w:line="360" w:lineRule="auto"/>
        <w:ind w:firstLine="709"/>
        <w:jc w:val="both"/>
        <w:rPr>
          <w:rFonts w:ascii="Times New Roman" w:hAnsi="Times New Roman"/>
          <w:bCs/>
        </w:rPr>
      </w:pPr>
      <w:r>
        <w:rPr>
          <w:rFonts w:ascii="Times New Roman" w:hAnsi="Times New Roman"/>
          <w:bCs/>
        </w:rPr>
        <w:t xml:space="preserve">9.3. Содержание обучения раскрывает содержательные линии, которые предлагаются для обязательного изучения в каждом классе на уровне начального общего образования. </w:t>
      </w:r>
    </w:p>
    <w:p w14:paraId="5139EEBE">
      <w:pPr>
        <w:widowControl/>
        <w:tabs>
          <w:tab w:val="left" w:pos="1134"/>
        </w:tabs>
        <w:spacing w:after="0" w:line="360" w:lineRule="auto"/>
        <w:ind w:firstLine="709"/>
        <w:jc w:val="both"/>
        <w:rPr>
          <w:rFonts w:ascii="Times New Roman" w:hAnsi="Times New Roman"/>
          <w:bCs/>
        </w:rPr>
      </w:pPr>
      <w:r>
        <w:rPr>
          <w:rFonts w:ascii="Times New Roman" w:hAnsi="Times New Roman"/>
          <w:bCs/>
        </w:rPr>
        <w:t>9.4. Планируемые результаты освоения программы по иностранному (английскому) языку включают личностные, метапредметные результаты за весь период обучения на уровне начального общего образования, а также предметные достижения обучающегося за каждый год обучения.</w:t>
      </w:r>
    </w:p>
    <w:p w14:paraId="4B559856">
      <w:pPr>
        <w:widowControl/>
        <w:tabs>
          <w:tab w:val="left" w:pos="1134"/>
        </w:tabs>
        <w:spacing w:after="0" w:line="360" w:lineRule="auto"/>
        <w:ind w:firstLine="709"/>
        <w:jc w:val="both"/>
        <w:rPr>
          <w:rFonts w:ascii="Times New Roman" w:hAnsi="Times New Roman"/>
          <w:bCs/>
        </w:rPr>
      </w:pPr>
      <w:r>
        <w:rPr>
          <w:rFonts w:ascii="Times New Roman" w:hAnsi="Times New Roman"/>
          <w:bCs/>
        </w:rPr>
        <w:t>9.5. Пояснительная записка.</w:t>
      </w:r>
    </w:p>
    <w:p w14:paraId="54FFD266">
      <w:pPr>
        <w:widowControl/>
        <w:tabs>
          <w:tab w:val="left" w:pos="1134"/>
        </w:tabs>
        <w:spacing w:after="0" w:line="360" w:lineRule="auto"/>
        <w:ind w:firstLine="709"/>
        <w:jc w:val="both"/>
        <w:rPr>
          <w:rFonts w:ascii="Times New Roman" w:hAnsi="Times New Roman"/>
          <w:bCs/>
          <w:strike/>
        </w:rPr>
      </w:pPr>
      <w:r>
        <w:rPr>
          <w:rFonts w:ascii="Times New Roman" w:hAnsi="Times New Roman"/>
          <w:bCs/>
        </w:rPr>
        <w:t>9.5.1. Программа по иностранному (английскому) языку на уровне начального общего образования составлена на основе требований к результатам освоения программы начального общего образования ФГОС НОО, а также ориентирована на целевые приоритеты духовно-нравственного развития, воспитания и социализации обучающихся, сформулированные в федеральной рабочей программе воспитания.</w:t>
      </w:r>
    </w:p>
    <w:p w14:paraId="2ADE66FB">
      <w:pPr>
        <w:widowControl/>
        <w:tabs>
          <w:tab w:val="left" w:pos="1134"/>
        </w:tabs>
        <w:spacing w:after="0" w:line="360" w:lineRule="auto"/>
        <w:ind w:firstLine="709"/>
        <w:jc w:val="both"/>
        <w:rPr>
          <w:rFonts w:ascii="Times New Roman" w:hAnsi="Times New Roman"/>
          <w:bCs/>
        </w:rPr>
      </w:pPr>
      <w:r>
        <w:rPr>
          <w:rFonts w:ascii="Times New Roman" w:hAnsi="Times New Roman"/>
          <w:bCs/>
        </w:rPr>
        <w:t xml:space="preserve">Программа по иностранному (английскому) языку раскрывает цели образования, развития и воспитания обучающихся средствами учебного предмета «Иностранный язык» </w:t>
      </w:r>
      <w:r>
        <w:rPr>
          <w:rFonts w:ascii="Times New Roman" w:hAnsi="Times New Roman" w:eastAsia="Times New Roman"/>
          <w:lang w:eastAsia="ru-RU"/>
        </w:rPr>
        <w:t>на уровне начального общего образования</w:t>
      </w:r>
      <w:r>
        <w:rPr>
          <w:rFonts w:ascii="Times New Roman" w:hAnsi="Times New Roman"/>
          <w:bCs/>
        </w:rPr>
        <w:t>, определяет обязательную (инвариантную) часть содержания изучаемого иностранного языка, за пределами которой остаётся возможность выбора учителем вариативной составляющей содержания образования по иностранному (английскому) языку.</w:t>
      </w:r>
    </w:p>
    <w:p w14:paraId="67CA0AAD">
      <w:pPr>
        <w:widowControl/>
        <w:tabs>
          <w:tab w:val="left" w:pos="1134"/>
        </w:tabs>
        <w:spacing w:after="0" w:line="360" w:lineRule="auto"/>
        <w:ind w:firstLine="709"/>
        <w:jc w:val="both"/>
        <w:rPr>
          <w:rFonts w:ascii="Times New Roman" w:hAnsi="Times New Roman"/>
          <w:bCs/>
        </w:rPr>
      </w:pPr>
      <w:r>
        <w:rPr>
          <w:rFonts w:ascii="Times New Roman" w:hAnsi="Times New Roman"/>
          <w:bCs/>
        </w:rPr>
        <w:t>9.5.2. </w:t>
      </w:r>
      <w:r>
        <w:rPr>
          <w:rFonts w:ascii="Times New Roman" w:hAnsi="Times New Roman" w:eastAsia="SchoolBookSanPin"/>
        </w:rPr>
        <w:t>На уровне начального общего образования</w:t>
      </w:r>
      <w:r>
        <w:rPr>
          <w:rFonts w:ascii="Times New Roman" w:hAnsi="Times New Roman"/>
          <w:bCs/>
        </w:rPr>
        <w:t xml:space="preserve"> закладывается база для всего последующего иноязычного образования обучающихся, формируются основы функциональной грамотности, что придаёт особую ответственность данному этапу общего образования. Изучение иностранного языка в общеобразовательных организациях начинается со 2 класса. Обучающиеся данного возраста характеризуются большой восприимчивостью к овладению языками, что позволяет им овладевать основами общения на новом для них языке с меньшими затратами времени и усилий по сравнению с обучающимися других возрастных групп.</w:t>
      </w:r>
    </w:p>
    <w:p w14:paraId="221FF63A">
      <w:pPr>
        <w:widowControl/>
        <w:tabs>
          <w:tab w:val="left" w:pos="1134"/>
        </w:tabs>
        <w:spacing w:after="0" w:line="360" w:lineRule="auto"/>
        <w:ind w:firstLine="709"/>
        <w:jc w:val="both"/>
        <w:rPr>
          <w:rFonts w:ascii="Times New Roman" w:hAnsi="Times New Roman"/>
          <w:bCs/>
        </w:rPr>
      </w:pPr>
      <w:r>
        <w:rPr>
          <w:rFonts w:ascii="Times New Roman" w:hAnsi="Times New Roman"/>
          <w:bCs/>
        </w:rPr>
        <w:t>9.5.3. Построение программы по иностранному (английскому) языку имеет нелинейный характер и основано на концентрическом принципе. В каждом классе даются новые элементы содержания и новые требования. В процессе обучения освоенные на определённом этапе грамматические формы и конструкции повторяются и закрепляются на новом лексическом материале и расширяющемся тематическом содержании речи.</w:t>
      </w:r>
    </w:p>
    <w:p w14:paraId="038F8351">
      <w:pPr>
        <w:widowControl/>
        <w:tabs>
          <w:tab w:val="left" w:pos="1134"/>
        </w:tabs>
        <w:spacing w:after="0" w:line="360" w:lineRule="auto"/>
        <w:ind w:firstLine="709"/>
        <w:jc w:val="both"/>
        <w:rPr>
          <w:rFonts w:ascii="Times New Roman" w:hAnsi="Times New Roman"/>
          <w:bCs/>
        </w:rPr>
      </w:pPr>
      <w:r>
        <w:rPr>
          <w:rFonts w:ascii="Times New Roman" w:hAnsi="Times New Roman"/>
          <w:bCs/>
        </w:rPr>
        <w:t>9.5.4. Цели обучения иностранному (английскому) языку на уровне начального общего образования можно условно разделить на образовательные, развивающие, воспитывающие.</w:t>
      </w:r>
    </w:p>
    <w:p w14:paraId="72C2ECAC">
      <w:pPr>
        <w:widowControl/>
        <w:tabs>
          <w:tab w:val="left" w:pos="1134"/>
        </w:tabs>
        <w:spacing w:after="0" w:line="360" w:lineRule="auto"/>
        <w:ind w:firstLine="709"/>
        <w:jc w:val="both"/>
        <w:rPr>
          <w:rFonts w:ascii="Times New Roman" w:hAnsi="Times New Roman"/>
          <w:bCs/>
        </w:rPr>
      </w:pPr>
      <w:r>
        <w:rPr>
          <w:rFonts w:ascii="Times New Roman" w:hAnsi="Times New Roman"/>
          <w:bCs/>
        </w:rPr>
        <w:t xml:space="preserve">9.5.4.1. Образовательные цели программы по иностранному (английскому) языку </w:t>
      </w:r>
      <w:r>
        <w:rPr>
          <w:rFonts w:ascii="Times New Roman" w:hAnsi="Times New Roman" w:eastAsia="SchoolBookSanPin"/>
        </w:rPr>
        <w:t>на уровне начального общего образования</w:t>
      </w:r>
      <w:r>
        <w:rPr>
          <w:rFonts w:ascii="Times New Roman" w:hAnsi="Times New Roman"/>
          <w:bCs/>
        </w:rPr>
        <w:t xml:space="preserve"> включают:</w:t>
      </w:r>
    </w:p>
    <w:p w14:paraId="7269089B">
      <w:pPr>
        <w:widowControl/>
        <w:tabs>
          <w:tab w:val="left" w:pos="1134"/>
        </w:tabs>
        <w:spacing w:after="0" w:line="360" w:lineRule="auto"/>
        <w:ind w:firstLine="709"/>
        <w:jc w:val="both"/>
        <w:rPr>
          <w:rFonts w:ascii="Times New Roman" w:hAnsi="Times New Roman"/>
          <w:bCs/>
        </w:rPr>
      </w:pPr>
      <w:bookmarkStart w:id="15" w:name="bookmark18"/>
      <w:bookmarkEnd w:id="15"/>
      <w:r>
        <w:rPr>
          <w:rFonts w:ascii="Times New Roman" w:hAnsi="Times New Roman"/>
          <w:bCs/>
        </w:rPr>
        <w:t>формирование элементарной иноязычной коммуникативной компетенции, то есть способности и готовности общаться с носителями изучаемого иностранного языка в устной (говорение и аудирование) и письменной (чтение и письмо) форме с учётом возрастных возможностей и потребностей обучающегося;</w:t>
      </w:r>
    </w:p>
    <w:p w14:paraId="4865FC22">
      <w:pPr>
        <w:widowControl/>
        <w:tabs>
          <w:tab w:val="left" w:pos="1134"/>
        </w:tabs>
        <w:spacing w:after="0" w:line="360" w:lineRule="auto"/>
        <w:ind w:firstLine="709"/>
        <w:jc w:val="both"/>
        <w:rPr>
          <w:rFonts w:ascii="Times New Roman" w:hAnsi="Times New Roman"/>
          <w:bCs/>
        </w:rPr>
      </w:pPr>
      <w:bookmarkStart w:id="16" w:name="bookmark19"/>
      <w:bookmarkEnd w:id="16"/>
      <w:r>
        <w:rPr>
          <w:rFonts w:ascii="Times New Roman" w:hAnsi="Times New Roman"/>
          <w:bCs/>
        </w:rPr>
        <w:t>расширение лингвистического кругозора обучающихся за счёт овладения новыми языковыми средствами (фонетическими, орфографическими, лексическими, грамматическими) в соответствии c отобранными темами общения;</w:t>
      </w:r>
    </w:p>
    <w:p w14:paraId="60E86A23">
      <w:pPr>
        <w:widowControl/>
        <w:tabs>
          <w:tab w:val="left" w:pos="1134"/>
        </w:tabs>
        <w:spacing w:after="0" w:line="360" w:lineRule="auto"/>
        <w:ind w:firstLine="709"/>
        <w:jc w:val="both"/>
        <w:rPr>
          <w:rFonts w:ascii="Times New Roman" w:hAnsi="Times New Roman"/>
          <w:bCs/>
        </w:rPr>
      </w:pPr>
      <w:bookmarkStart w:id="17" w:name="bookmark20"/>
      <w:bookmarkEnd w:id="17"/>
      <w:r>
        <w:rPr>
          <w:rFonts w:ascii="Times New Roman" w:hAnsi="Times New Roman"/>
          <w:bCs/>
        </w:rPr>
        <w:t>освоение знаний о языковых явлениях изучаемого иностранного языка, о разных способах выражения мысли на родном и иностранном языках;</w:t>
      </w:r>
    </w:p>
    <w:p w14:paraId="43C748C0">
      <w:pPr>
        <w:widowControl/>
        <w:tabs>
          <w:tab w:val="left" w:pos="1134"/>
        </w:tabs>
        <w:spacing w:after="0" w:line="360" w:lineRule="auto"/>
        <w:ind w:firstLine="709"/>
        <w:jc w:val="both"/>
        <w:rPr>
          <w:rFonts w:ascii="Times New Roman" w:hAnsi="Times New Roman"/>
          <w:bCs/>
        </w:rPr>
      </w:pPr>
      <w:bookmarkStart w:id="18" w:name="bookmark21"/>
      <w:bookmarkEnd w:id="18"/>
      <w:r>
        <w:rPr>
          <w:rFonts w:ascii="Times New Roman" w:hAnsi="Times New Roman"/>
          <w:bCs/>
        </w:rPr>
        <w:t>использование для решения учебных задач интеллектуальных операций (сравнение, анализ, обобщение);</w:t>
      </w:r>
    </w:p>
    <w:p w14:paraId="3281035C">
      <w:pPr>
        <w:widowControl/>
        <w:tabs>
          <w:tab w:val="left" w:pos="1134"/>
        </w:tabs>
        <w:spacing w:after="0" w:line="360" w:lineRule="auto"/>
        <w:ind w:firstLine="709"/>
        <w:jc w:val="both"/>
        <w:rPr>
          <w:rFonts w:ascii="Times New Roman" w:hAnsi="Times New Roman"/>
          <w:bCs/>
        </w:rPr>
      </w:pPr>
      <w:bookmarkStart w:id="19" w:name="bookmark22"/>
      <w:bookmarkEnd w:id="19"/>
      <w:r>
        <w:rPr>
          <w:rFonts w:ascii="Times New Roman" w:hAnsi="Times New Roman"/>
          <w:bCs/>
        </w:rPr>
        <w:t>формирование умений работать с информацией, представленной в текстах разного типа (описание, повествование, рассуждение), пользоваться при необходимости словарями по иностранному языку.</w:t>
      </w:r>
    </w:p>
    <w:p w14:paraId="6F1D981A">
      <w:pPr>
        <w:widowControl/>
        <w:tabs>
          <w:tab w:val="left" w:pos="1134"/>
        </w:tabs>
        <w:spacing w:after="0" w:line="360" w:lineRule="auto"/>
        <w:ind w:firstLine="709"/>
        <w:jc w:val="both"/>
        <w:rPr>
          <w:rFonts w:ascii="Times New Roman" w:hAnsi="Times New Roman"/>
          <w:bCs/>
        </w:rPr>
      </w:pPr>
      <w:r>
        <w:rPr>
          <w:rFonts w:ascii="Times New Roman" w:hAnsi="Times New Roman"/>
          <w:bCs/>
        </w:rPr>
        <w:t xml:space="preserve">9.5.4.2. Развивающие цели программы по иностранному (английскому) языку </w:t>
      </w:r>
      <w:r>
        <w:rPr>
          <w:rFonts w:ascii="Times New Roman" w:hAnsi="Times New Roman" w:eastAsia="SchoolBookSanPin"/>
        </w:rPr>
        <w:t>на уровне начального общего образования</w:t>
      </w:r>
      <w:r>
        <w:rPr>
          <w:rFonts w:ascii="Times New Roman" w:hAnsi="Times New Roman"/>
          <w:bCs/>
        </w:rPr>
        <w:t xml:space="preserve"> включают:</w:t>
      </w:r>
    </w:p>
    <w:p w14:paraId="56E3C06F">
      <w:pPr>
        <w:widowControl/>
        <w:tabs>
          <w:tab w:val="left" w:pos="1134"/>
        </w:tabs>
        <w:spacing w:after="0" w:line="360" w:lineRule="auto"/>
        <w:ind w:firstLine="709"/>
        <w:jc w:val="both"/>
        <w:rPr>
          <w:rFonts w:ascii="Times New Roman" w:hAnsi="Times New Roman"/>
          <w:bCs/>
        </w:rPr>
      </w:pPr>
      <w:bookmarkStart w:id="20" w:name="bookmark23"/>
      <w:bookmarkEnd w:id="20"/>
      <w:r>
        <w:rPr>
          <w:rFonts w:ascii="Times New Roman" w:hAnsi="Times New Roman"/>
          <w:bCs/>
        </w:rPr>
        <w:t>осознание обучающимися роли языков как средства межличностного и межкультурного взаимодействия в условиях поликультурного, многоязычного мира и инструмента познания мира и культуры других народов;</w:t>
      </w:r>
    </w:p>
    <w:p w14:paraId="16357033">
      <w:pPr>
        <w:widowControl/>
        <w:tabs>
          <w:tab w:val="left" w:pos="1134"/>
        </w:tabs>
        <w:spacing w:after="0" w:line="360" w:lineRule="auto"/>
        <w:ind w:firstLine="709"/>
        <w:jc w:val="both"/>
        <w:rPr>
          <w:rFonts w:ascii="Times New Roman" w:hAnsi="Times New Roman"/>
          <w:bCs/>
        </w:rPr>
      </w:pPr>
      <w:bookmarkStart w:id="21" w:name="bookmark24"/>
      <w:bookmarkEnd w:id="21"/>
      <w:r>
        <w:rPr>
          <w:rFonts w:ascii="Times New Roman" w:hAnsi="Times New Roman"/>
          <w:bCs/>
        </w:rPr>
        <w:t>становление коммуникативной культуры обучающихся и их общего речевого развития;</w:t>
      </w:r>
    </w:p>
    <w:p w14:paraId="7D40422A">
      <w:pPr>
        <w:widowControl/>
        <w:tabs>
          <w:tab w:val="left" w:pos="1134"/>
        </w:tabs>
        <w:spacing w:after="0" w:line="360" w:lineRule="auto"/>
        <w:ind w:firstLine="709"/>
        <w:jc w:val="both"/>
        <w:rPr>
          <w:rFonts w:ascii="Times New Roman" w:hAnsi="Times New Roman"/>
          <w:bCs/>
        </w:rPr>
      </w:pPr>
      <w:bookmarkStart w:id="22" w:name="bookmark25"/>
      <w:bookmarkEnd w:id="22"/>
      <w:r>
        <w:rPr>
          <w:rFonts w:ascii="Times New Roman" w:hAnsi="Times New Roman"/>
          <w:bCs/>
        </w:rPr>
        <w:t>развитие компенсаторной способности адаптироваться к ситуациям общения при получении и передаче информации в условиях дефицита языковых средств;</w:t>
      </w:r>
    </w:p>
    <w:p w14:paraId="136BAD34">
      <w:pPr>
        <w:widowControl/>
        <w:tabs>
          <w:tab w:val="left" w:pos="1134"/>
        </w:tabs>
        <w:spacing w:after="0" w:line="360" w:lineRule="auto"/>
        <w:ind w:firstLine="709"/>
        <w:jc w:val="both"/>
        <w:rPr>
          <w:rFonts w:ascii="Times New Roman" w:hAnsi="Times New Roman"/>
          <w:bCs/>
        </w:rPr>
      </w:pPr>
      <w:bookmarkStart w:id="23" w:name="bookmark26"/>
      <w:bookmarkEnd w:id="23"/>
      <w:r>
        <w:rPr>
          <w:rFonts w:ascii="Times New Roman" w:hAnsi="Times New Roman"/>
          <w:bCs/>
        </w:rPr>
        <w:t>формирование регулятивных действий: планирование последовательных шагов для решения учебной задачи; контроль процесса и результата своей деятельности; установление причины возникшей трудности и (или) ошибки, корректировка деятельности;</w:t>
      </w:r>
    </w:p>
    <w:p w14:paraId="6E872634">
      <w:pPr>
        <w:widowControl/>
        <w:tabs>
          <w:tab w:val="left" w:pos="1134"/>
        </w:tabs>
        <w:spacing w:after="0" w:line="360" w:lineRule="auto"/>
        <w:ind w:firstLine="709"/>
        <w:jc w:val="both"/>
        <w:rPr>
          <w:rFonts w:ascii="Times New Roman" w:hAnsi="Times New Roman"/>
          <w:bCs/>
        </w:rPr>
      </w:pPr>
      <w:bookmarkStart w:id="24" w:name="bookmark27"/>
      <w:bookmarkEnd w:id="24"/>
      <w:r>
        <w:rPr>
          <w:rFonts w:ascii="Times New Roman" w:hAnsi="Times New Roman"/>
          <w:bCs/>
        </w:rPr>
        <w:t>становление способности к оценке своих достижений в изучении иностранного языка, мотивация совершенствовать свои коммуникативные умения на иностранном языке.</w:t>
      </w:r>
    </w:p>
    <w:p w14:paraId="6202D2A6">
      <w:pPr>
        <w:widowControl/>
        <w:tabs>
          <w:tab w:val="left" w:pos="1134"/>
        </w:tabs>
        <w:spacing w:after="0" w:line="360" w:lineRule="auto"/>
        <w:ind w:firstLine="709"/>
        <w:jc w:val="both"/>
        <w:rPr>
          <w:rFonts w:ascii="Times New Roman" w:hAnsi="Times New Roman"/>
          <w:bCs/>
        </w:rPr>
      </w:pPr>
      <w:r>
        <w:rPr>
          <w:rFonts w:ascii="Times New Roman" w:hAnsi="Times New Roman"/>
          <w:bCs/>
        </w:rPr>
        <w:t>9.5.4.3. Влияние параллельного изучения родного языка и языка других стран и народов позволяет заложить основу для формирования гражданской идентичности, чувства патриотизма и гордости за свой народ, свой край, свою страну, помочь лучше осознать свою этническую и национальную принадлежность и проявлять интерес к языкам и культурам других народов, осознать наличие и значение общечеловеческих и базовых национальных ценностей. Изучение иностранного (английского) языка обеспечивает:</w:t>
      </w:r>
    </w:p>
    <w:p w14:paraId="1FCADDF0">
      <w:pPr>
        <w:widowControl/>
        <w:tabs>
          <w:tab w:val="left" w:pos="1134"/>
        </w:tabs>
        <w:spacing w:after="0" w:line="360" w:lineRule="auto"/>
        <w:ind w:firstLine="709"/>
        <w:jc w:val="both"/>
        <w:rPr>
          <w:rFonts w:ascii="Times New Roman" w:hAnsi="Times New Roman"/>
          <w:bCs/>
        </w:rPr>
      </w:pPr>
      <w:bookmarkStart w:id="25" w:name="bookmark28"/>
      <w:bookmarkEnd w:id="25"/>
      <w:r>
        <w:rPr>
          <w:rFonts w:ascii="Times New Roman" w:hAnsi="Times New Roman"/>
          <w:bCs/>
        </w:rPr>
        <w:t>понимание необходимости овладения иностранным языком как средством общения в условиях взаимодействия разных стран и народов;</w:t>
      </w:r>
    </w:p>
    <w:p w14:paraId="77037B76">
      <w:pPr>
        <w:widowControl/>
        <w:tabs>
          <w:tab w:val="left" w:pos="1134"/>
        </w:tabs>
        <w:spacing w:after="0" w:line="360" w:lineRule="auto"/>
        <w:ind w:firstLine="709"/>
        <w:jc w:val="both"/>
        <w:rPr>
          <w:rFonts w:ascii="Times New Roman" w:hAnsi="Times New Roman"/>
          <w:bCs/>
        </w:rPr>
      </w:pPr>
      <w:bookmarkStart w:id="26" w:name="bookmark29"/>
      <w:bookmarkEnd w:id="26"/>
      <w:r>
        <w:rPr>
          <w:rFonts w:ascii="Times New Roman" w:hAnsi="Times New Roman"/>
          <w:bCs/>
        </w:rPr>
        <w:t>формирование предпосылок социокультурной/межкультурной компетенции, позволяющей приобщаться к культуре, традициям, реалиям стран/страны изучаемого языка, готовности представлять свою страну, её культуру в условиях межкультурного общения, соблюдая речевой этикет и используя имеющиеся речевые и неречевые средства общения;</w:t>
      </w:r>
    </w:p>
    <w:p w14:paraId="3FEFE41C">
      <w:pPr>
        <w:widowControl/>
        <w:tabs>
          <w:tab w:val="left" w:pos="1134"/>
        </w:tabs>
        <w:spacing w:after="0" w:line="360" w:lineRule="auto"/>
        <w:ind w:firstLine="709"/>
        <w:jc w:val="both"/>
        <w:rPr>
          <w:rFonts w:ascii="Times New Roman" w:hAnsi="Times New Roman"/>
          <w:bCs/>
        </w:rPr>
      </w:pPr>
      <w:bookmarkStart w:id="27" w:name="bookmark30"/>
      <w:bookmarkEnd w:id="27"/>
      <w:r>
        <w:rPr>
          <w:rFonts w:ascii="Times New Roman" w:hAnsi="Times New Roman"/>
          <w:bCs/>
        </w:rPr>
        <w:t>воспитание уважительного отношения к иной культуре посредством знакомств с культурой стран изучаемого языка и более глубокого осознания особенностей культуры своего народа;</w:t>
      </w:r>
    </w:p>
    <w:p w14:paraId="0FC470C1">
      <w:pPr>
        <w:widowControl/>
        <w:tabs>
          <w:tab w:val="left" w:pos="1134"/>
        </w:tabs>
        <w:spacing w:after="0" w:line="360" w:lineRule="auto"/>
        <w:ind w:firstLine="709"/>
        <w:jc w:val="both"/>
        <w:rPr>
          <w:rFonts w:ascii="Times New Roman" w:hAnsi="Times New Roman"/>
          <w:bCs/>
        </w:rPr>
      </w:pPr>
      <w:bookmarkStart w:id="28" w:name="bookmark31"/>
      <w:bookmarkEnd w:id="28"/>
      <w:r>
        <w:rPr>
          <w:rFonts w:ascii="Times New Roman" w:hAnsi="Times New Roman"/>
          <w:bCs/>
        </w:rPr>
        <w:t>воспитание эмоционального и познавательного интереса к художественной культуре других народов;</w:t>
      </w:r>
    </w:p>
    <w:p w14:paraId="0919D625">
      <w:pPr>
        <w:widowControl/>
        <w:tabs>
          <w:tab w:val="left" w:pos="1134"/>
        </w:tabs>
        <w:spacing w:after="0" w:line="360" w:lineRule="auto"/>
        <w:ind w:firstLine="709"/>
        <w:jc w:val="both"/>
        <w:rPr>
          <w:rFonts w:ascii="Times New Roman" w:hAnsi="Times New Roman"/>
          <w:bCs/>
        </w:rPr>
      </w:pPr>
      <w:bookmarkStart w:id="29" w:name="bookmark32"/>
      <w:bookmarkEnd w:id="29"/>
      <w:r>
        <w:rPr>
          <w:rFonts w:ascii="Times New Roman" w:hAnsi="Times New Roman"/>
          <w:bCs/>
        </w:rPr>
        <w:t>формирование положительной мотивации и устойчивого учебно-познавательного интереса к предмету «Иностранный язык».</w:t>
      </w:r>
    </w:p>
    <w:p w14:paraId="1F19275F">
      <w:pPr>
        <w:widowControl/>
        <w:tabs>
          <w:tab w:val="left" w:pos="1134"/>
        </w:tabs>
        <w:spacing w:after="0" w:line="360" w:lineRule="auto"/>
        <w:ind w:firstLine="709"/>
        <w:jc w:val="both"/>
        <w:rPr>
          <w:rFonts w:ascii="Times New Roman" w:hAnsi="Times New Roman"/>
          <w:bCs/>
        </w:rPr>
      </w:pPr>
      <w:r>
        <w:rPr>
          <w:rFonts w:ascii="Times New Roman" w:hAnsi="Times New Roman"/>
          <w:bCs/>
        </w:rPr>
        <w:t>9.5.5. Общее число часов, рекомендованных для изучения иностранного (английского) языка – 204 часа: во 2 классе – 68 часов (2 часа в неделю), в 3 классе – 68 часов (2 часа в неделю), в 4 классе – 68 часов (2 часа в неделю).</w:t>
      </w:r>
      <w:bookmarkStart w:id="30" w:name="_Toc108094801"/>
      <w:bookmarkStart w:id="31" w:name="_Toc108096406"/>
    </w:p>
    <w:bookmarkEnd w:id="30"/>
    <w:bookmarkEnd w:id="31"/>
    <w:p w14:paraId="68F735ED">
      <w:pPr>
        <w:widowControl/>
        <w:tabs>
          <w:tab w:val="left" w:pos="1134"/>
        </w:tabs>
        <w:spacing w:after="0" w:line="360" w:lineRule="auto"/>
        <w:ind w:firstLine="709"/>
        <w:jc w:val="both"/>
        <w:rPr>
          <w:rFonts w:ascii="Times New Roman" w:hAnsi="Times New Roman"/>
          <w:bCs/>
        </w:rPr>
      </w:pPr>
      <w:r>
        <w:rPr>
          <w:rFonts w:ascii="Times New Roman" w:hAnsi="Times New Roman"/>
          <w:bCs/>
        </w:rPr>
        <w:t>9.6. Содержание обучения во 2 классе.</w:t>
      </w:r>
    </w:p>
    <w:p w14:paraId="55AC9C51">
      <w:pPr>
        <w:widowControl/>
        <w:tabs>
          <w:tab w:val="left" w:pos="1134"/>
        </w:tabs>
        <w:spacing w:after="0" w:line="360" w:lineRule="auto"/>
        <w:ind w:firstLine="709"/>
        <w:jc w:val="both"/>
        <w:rPr>
          <w:rFonts w:ascii="Times New Roman" w:hAnsi="Times New Roman"/>
          <w:bCs/>
        </w:rPr>
      </w:pPr>
      <w:r>
        <w:rPr>
          <w:rFonts w:ascii="Times New Roman" w:hAnsi="Times New Roman"/>
          <w:bCs/>
        </w:rPr>
        <w:t>9.6.1. Тематическое содержание речи.</w:t>
      </w:r>
    </w:p>
    <w:p w14:paraId="61B65482">
      <w:pPr>
        <w:widowControl/>
        <w:tabs>
          <w:tab w:val="left" w:pos="1134"/>
        </w:tabs>
        <w:spacing w:after="0" w:line="360" w:lineRule="auto"/>
        <w:ind w:firstLine="709"/>
        <w:jc w:val="both"/>
        <w:rPr>
          <w:rFonts w:ascii="Times New Roman" w:hAnsi="Times New Roman"/>
          <w:bCs/>
        </w:rPr>
      </w:pPr>
      <w:r>
        <w:rPr>
          <w:rFonts w:ascii="Times New Roman" w:hAnsi="Times New Roman"/>
          <w:bCs/>
        </w:rPr>
        <w:t xml:space="preserve">9.6.1.1. Мир моего «я». </w:t>
      </w:r>
    </w:p>
    <w:p w14:paraId="745CE020">
      <w:pPr>
        <w:widowControl/>
        <w:tabs>
          <w:tab w:val="left" w:pos="1134"/>
        </w:tabs>
        <w:spacing w:after="0" w:line="360" w:lineRule="auto"/>
        <w:ind w:firstLine="709"/>
        <w:jc w:val="both"/>
        <w:rPr>
          <w:rFonts w:ascii="Times New Roman" w:hAnsi="Times New Roman"/>
          <w:bCs/>
        </w:rPr>
      </w:pPr>
      <w:r>
        <w:rPr>
          <w:rFonts w:ascii="Times New Roman" w:hAnsi="Times New Roman"/>
          <w:bCs/>
        </w:rPr>
        <w:t>Приветствие. Знакомство. Моя семья. Мой день рождения. Моя любимая еда.</w:t>
      </w:r>
    </w:p>
    <w:p w14:paraId="234A4F74">
      <w:pPr>
        <w:widowControl/>
        <w:tabs>
          <w:tab w:val="left" w:pos="1134"/>
        </w:tabs>
        <w:spacing w:after="0" w:line="360" w:lineRule="auto"/>
        <w:ind w:firstLine="709"/>
        <w:jc w:val="both"/>
        <w:rPr>
          <w:rFonts w:ascii="Times New Roman" w:hAnsi="Times New Roman"/>
          <w:bCs/>
        </w:rPr>
      </w:pPr>
      <w:r>
        <w:rPr>
          <w:rFonts w:ascii="Times New Roman" w:hAnsi="Times New Roman"/>
          <w:bCs/>
        </w:rPr>
        <w:t xml:space="preserve">9.6.2. Мир моих увлечений. </w:t>
      </w:r>
    </w:p>
    <w:p w14:paraId="0ECCBA41">
      <w:pPr>
        <w:widowControl/>
        <w:tabs>
          <w:tab w:val="left" w:pos="1134"/>
        </w:tabs>
        <w:spacing w:after="0" w:line="360" w:lineRule="auto"/>
        <w:ind w:firstLine="709"/>
        <w:jc w:val="both"/>
        <w:rPr>
          <w:rFonts w:ascii="Times New Roman" w:hAnsi="Times New Roman"/>
          <w:bCs/>
        </w:rPr>
      </w:pPr>
      <w:r>
        <w:rPr>
          <w:rFonts w:ascii="Times New Roman" w:hAnsi="Times New Roman"/>
          <w:bCs/>
        </w:rPr>
        <w:t>Любимый цвет, игрушка. Любимые занятия. Мой питомец. Выходной день.</w:t>
      </w:r>
    </w:p>
    <w:p w14:paraId="6CBCA847">
      <w:pPr>
        <w:widowControl/>
        <w:tabs>
          <w:tab w:val="left" w:pos="1134"/>
        </w:tabs>
        <w:spacing w:after="0" w:line="360" w:lineRule="auto"/>
        <w:ind w:firstLine="709"/>
        <w:jc w:val="both"/>
        <w:rPr>
          <w:rFonts w:ascii="Times New Roman" w:hAnsi="Times New Roman"/>
          <w:bCs/>
        </w:rPr>
      </w:pPr>
      <w:r>
        <w:rPr>
          <w:rFonts w:ascii="Times New Roman" w:hAnsi="Times New Roman"/>
          <w:bCs/>
        </w:rPr>
        <w:t xml:space="preserve">9.6.1.3. Мир вокруг меня. </w:t>
      </w:r>
    </w:p>
    <w:p w14:paraId="68E4ABEE">
      <w:pPr>
        <w:widowControl/>
        <w:tabs>
          <w:tab w:val="left" w:pos="1134"/>
        </w:tabs>
        <w:spacing w:after="0" w:line="360" w:lineRule="auto"/>
        <w:ind w:firstLine="709"/>
        <w:jc w:val="both"/>
        <w:rPr>
          <w:rFonts w:ascii="Times New Roman" w:hAnsi="Times New Roman"/>
          <w:bCs/>
        </w:rPr>
      </w:pPr>
      <w:r>
        <w:rPr>
          <w:rFonts w:ascii="Times New Roman" w:hAnsi="Times New Roman"/>
          <w:bCs/>
        </w:rPr>
        <w:t>Моя школа. Мои друзья. Моя малая родина (город, село).</w:t>
      </w:r>
    </w:p>
    <w:p w14:paraId="0C3119AB">
      <w:pPr>
        <w:widowControl/>
        <w:tabs>
          <w:tab w:val="left" w:pos="1134"/>
        </w:tabs>
        <w:spacing w:after="0" w:line="360" w:lineRule="auto"/>
        <w:ind w:firstLine="709"/>
        <w:jc w:val="both"/>
        <w:rPr>
          <w:rFonts w:ascii="Times New Roman" w:hAnsi="Times New Roman"/>
          <w:bCs/>
        </w:rPr>
      </w:pPr>
      <w:r>
        <w:rPr>
          <w:rFonts w:ascii="Times New Roman" w:hAnsi="Times New Roman"/>
          <w:bCs/>
        </w:rPr>
        <w:t xml:space="preserve">9.6.1.4. Родная страна и страны изучаемого языка. </w:t>
      </w:r>
    </w:p>
    <w:p w14:paraId="2DD9ED55">
      <w:pPr>
        <w:widowControl/>
        <w:tabs>
          <w:tab w:val="left" w:pos="1134"/>
        </w:tabs>
        <w:spacing w:after="0" w:line="360" w:lineRule="auto"/>
        <w:ind w:firstLine="709"/>
        <w:jc w:val="both"/>
        <w:rPr>
          <w:rFonts w:ascii="Times New Roman" w:hAnsi="Times New Roman"/>
          <w:bCs/>
        </w:rPr>
      </w:pPr>
      <w:r>
        <w:rPr>
          <w:rFonts w:ascii="Times New Roman" w:hAnsi="Times New Roman"/>
          <w:bCs/>
        </w:rPr>
        <w:t>Названия родной страны и страны/стран изучаемого языка; их столиц. Произведения детского фольклора. Литературные персонажи детских книг. Праздники родной страны и страны/стран изучаемого языка (Новый год, Рождество).</w:t>
      </w:r>
    </w:p>
    <w:p w14:paraId="72C7DF3C">
      <w:pPr>
        <w:widowControl/>
        <w:tabs>
          <w:tab w:val="left" w:pos="1134"/>
        </w:tabs>
        <w:spacing w:after="0" w:line="360" w:lineRule="auto"/>
        <w:ind w:firstLine="709"/>
        <w:jc w:val="both"/>
        <w:rPr>
          <w:rFonts w:ascii="Times New Roman" w:hAnsi="Times New Roman"/>
          <w:bCs/>
        </w:rPr>
      </w:pPr>
      <w:r>
        <w:rPr>
          <w:rFonts w:ascii="Times New Roman" w:hAnsi="Times New Roman"/>
          <w:bCs/>
        </w:rPr>
        <w:t>9.6.2. Коммуникативные умения.</w:t>
      </w:r>
    </w:p>
    <w:p w14:paraId="643E9459">
      <w:pPr>
        <w:widowControl/>
        <w:tabs>
          <w:tab w:val="left" w:pos="1134"/>
        </w:tabs>
        <w:spacing w:after="0" w:line="360" w:lineRule="auto"/>
        <w:ind w:firstLine="709"/>
        <w:jc w:val="both"/>
        <w:rPr>
          <w:rFonts w:ascii="Times New Roman" w:hAnsi="Times New Roman"/>
          <w:bCs/>
        </w:rPr>
      </w:pPr>
      <w:r>
        <w:rPr>
          <w:rFonts w:ascii="Times New Roman" w:hAnsi="Times New Roman"/>
          <w:bCs/>
        </w:rPr>
        <w:t>9.6.2.1. Говорение.</w:t>
      </w:r>
    </w:p>
    <w:p w14:paraId="2A19066D">
      <w:pPr>
        <w:widowControl/>
        <w:tabs>
          <w:tab w:val="left" w:pos="1134"/>
        </w:tabs>
        <w:spacing w:after="0" w:line="360" w:lineRule="auto"/>
        <w:ind w:firstLine="709"/>
        <w:jc w:val="both"/>
        <w:rPr>
          <w:rFonts w:ascii="Times New Roman" w:hAnsi="Times New Roman"/>
          <w:bCs/>
        </w:rPr>
      </w:pPr>
      <w:r>
        <w:rPr>
          <w:rFonts w:ascii="Times New Roman" w:hAnsi="Times New Roman"/>
          <w:bCs/>
        </w:rPr>
        <w:t>9.6.2.1.1. Коммуникативные умения диалогической речи.</w:t>
      </w:r>
    </w:p>
    <w:p w14:paraId="0F33975F">
      <w:pPr>
        <w:widowControl/>
        <w:tabs>
          <w:tab w:val="left" w:pos="1134"/>
        </w:tabs>
        <w:spacing w:after="0" w:line="360" w:lineRule="auto"/>
        <w:ind w:firstLine="709"/>
        <w:jc w:val="both"/>
        <w:rPr>
          <w:rFonts w:ascii="Times New Roman" w:hAnsi="Times New Roman"/>
          <w:bCs/>
        </w:rPr>
      </w:pPr>
      <w:r>
        <w:rPr>
          <w:rFonts w:ascii="Times New Roman" w:hAnsi="Times New Roman"/>
          <w:bCs/>
        </w:rPr>
        <w:t>Ведение с использованием речевых ситуаций, ключевых слов и (или) иллюстраций с соблюдением норм речевого этикета, принятых в стране/странах изучаемого языка:</w:t>
      </w:r>
    </w:p>
    <w:p w14:paraId="5667B630">
      <w:pPr>
        <w:widowControl/>
        <w:tabs>
          <w:tab w:val="left" w:pos="1134"/>
        </w:tabs>
        <w:spacing w:after="0" w:line="360" w:lineRule="auto"/>
        <w:ind w:firstLine="709"/>
        <w:jc w:val="both"/>
        <w:rPr>
          <w:rFonts w:ascii="Times New Roman" w:hAnsi="Times New Roman"/>
          <w:bCs/>
        </w:rPr>
      </w:pPr>
      <w:r>
        <w:rPr>
          <w:rFonts w:ascii="Times New Roman" w:hAnsi="Times New Roman"/>
          <w:bCs/>
        </w:rPr>
        <w:t>диалога этикетного характера: приветствие, начало и завершение разговора, знакомство с собеседником; поздравление с праздником; выражение благодарности за поздравление; извинение;</w:t>
      </w:r>
    </w:p>
    <w:p w14:paraId="72DAF46F">
      <w:pPr>
        <w:widowControl/>
        <w:tabs>
          <w:tab w:val="left" w:pos="1134"/>
        </w:tabs>
        <w:spacing w:after="0" w:line="360" w:lineRule="auto"/>
        <w:ind w:firstLine="709"/>
        <w:jc w:val="both"/>
        <w:rPr>
          <w:rFonts w:ascii="Times New Roman" w:hAnsi="Times New Roman"/>
          <w:bCs/>
        </w:rPr>
      </w:pPr>
      <w:r>
        <w:rPr>
          <w:rFonts w:ascii="Times New Roman" w:hAnsi="Times New Roman"/>
          <w:bCs/>
        </w:rPr>
        <w:t>диалога-расспроса: запрашивание интересующей информации; сообщение фактической информации, ответы на вопросы собеседника.</w:t>
      </w:r>
    </w:p>
    <w:p w14:paraId="06A58C02">
      <w:pPr>
        <w:widowControl/>
        <w:tabs>
          <w:tab w:val="left" w:pos="1134"/>
        </w:tabs>
        <w:spacing w:after="0" w:line="360" w:lineRule="auto"/>
        <w:ind w:firstLine="709"/>
        <w:jc w:val="both"/>
        <w:rPr>
          <w:rFonts w:ascii="Times New Roman" w:hAnsi="Times New Roman"/>
          <w:bCs/>
        </w:rPr>
      </w:pPr>
      <w:r>
        <w:rPr>
          <w:rFonts w:ascii="Times New Roman" w:hAnsi="Times New Roman"/>
          <w:bCs/>
        </w:rPr>
        <w:t>9.6.2.1.2. Коммуникативные умения монологической речи.</w:t>
      </w:r>
    </w:p>
    <w:p w14:paraId="4464D736">
      <w:pPr>
        <w:widowControl/>
        <w:tabs>
          <w:tab w:val="left" w:pos="1134"/>
        </w:tabs>
        <w:spacing w:after="0" w:line="360" w:lineRule="auto"/>
        <w:ind w:firstLine="709"/>
        <w:jc w:val="both"/>
        <w:rPr>
          <w:rFonts w:ascii="Times New Roman" w:hAnsi="Times New Roman"/>
          <w:bCs/>
        </w:rPr>
      </w:pPr>
      <w:r>
        <w:rPr>
          <w:rFonts w:ascii="Times New Roman" w:hAnsi="Times New Roman"/>
          <w:bCs/>
        </w:rPr>
        <w:t>Создание с использованием ключевых слов, вопросов и (или) иллюстраций устных монологических высказываний: описание предмета, реального человека или литературного персонажа; рассказ о себе, члене семьи, друге.</w:t>
      </w:r>
    </w:p>
    <w:p w14:paraId="786723F4">
      <w:pPr>
        <w:widowControl/>
        <w:tabs>
          <w:tab w:val="left" w:pos="1134"/>
        </w:tabs>
        <w:spacing w:after="0" w:line="360" w:lineRule="auto"/>
        <w:ind w:firstLine="709"/>
        <w:jc w:val="both"/>
        <w:rPr>
          <w:rFonts w:ascii="Times New Roman" w:hAnsi="Times New Roman"/>
          <w:bCs/>
        </w:rPr>
      </w:pPr>
      <w:r>
        <w:rPr>
          <w:rFonts w:ascii="Times New Roman" w:hAnsi="Times New Roman"/>
          <w:bCs/>
        </w:rPr>
        <w:t>9.6.2.2. Аудирование.</w:t>
      </w:r>
    </w:p>
    <w:p w14:paraId="36D5771D">
      <w:pPr>
        <w:widowControl/>
        <w:tabs>
          <w:tab w:val="left" w:pos="1134"/>
        </w:tabs>
        <w:spacing w:after="0" w:line="360" w:lineRule="auto"/>
        <w:ind w:firstLine="709"/>
        <w:jc w:val="both"/>
        <w:rPr>
          <w:rFonts w:ascii="Times New Roman" w:hAnsi="Times New Roman"/>
          <w:bCs/>
        </w:rPr>
      </w:pPr>
      <w:r>
        <w:rPr>
          <w:rFonts w:ascii="Times New Roman" w:hAnsi="Times New Roman"/>
          <w:bCs/>
        </w:rPr>
        <w:t>Понимание на слух речи учителя и других обучающихся и вербальная/невербальная реакция на услышанное (при непосредственном общении).</w:t>
      </w:r>
    </w:p>
    <w:p w14:paraId="04DC2120">
      <w:pPr>
        <w:widowControl/>
        <w:tabs>
          <w:tab w:val="left" w:pos="1134"/>
        </w:tabs>
        <w:spacing w:after="0" w:line="360" w:lineRule="auto"/>
        <w:ind w:firstLine="709"/>
        <w:jc w:val="both"/>
        <w:rPr>
          <w:rFonts w:ascii="Times New Roman" w:hAnsi="Times New Roman"/>
          <w:bCs/>
        </w:rPr>
      </w:pPr>
      <w:r>
        <w:rPr>
          <w:rFonts w:ascii="Times New Roman" w:hAnsi="Times New Roman"/>
          <w:bCs/>
        </w:rPr>
        <w:t>Восприятие и понимание на слух учебных текстов, построенных на изученном языковом материале, в соответствии с поставленной коммуникативной задачей: с пониманием основного содержания, с пониманием запрашиваемой информации (при опосредованном общении).</w:t>
      </w:r>
    </w:p>
    <w:p w14:paraId="02E8B575">
      <w:pPr>
        <w:widowControl/>
        <w:tabs>
          <w:tab w:val="left" w:pos="1134"/>
        </w:tabs>
        <w:spacing w:after="0" w:line="360" w:lineRule="auto"/>
        <w:ind w:firstLine="709"/>
        <w:jc w:val="both"/>
        <w:rPr>
          <w:rFonts w:ascii="Times New Roman" w:hAnsi="Times New Roman"/>
          <w:bCs/>
        </w:rPr>
      </w:pPr>
      <w:r>
        <w:rPr>
          <w:rFonts w:ascii="Times New Roman" w:hAnsi="Times New Roman"/>
          <w:bCs/>
        </w:rPr>
        <w:t>Аудирование с пониманием основного содержания текста предполагает определение основной темы и главных фактов/событий в воспринимаемом на слух тексте с использованием иллюстраций и языковой догадки.</w:t>
      </w:r>
    </w:p>
    <w:p w14:paraId="68603BD1">
      <w:pPr>
        <w:widowControl/>
        <w:tabs>
          <w:tab w:val="left" w:pos="1134"/>
        </w:tabs>
        <w:spacing w:after="0" w:line="360" w:lineRule="auto"/>
        <w:ind w:firstLine="709"/>
        <w:jc w:val="both"/>
        <w:rPr>
          <w:rFonts w:ascii="Times New Roman" w:hAnsi="Times New Roman"/>
          <w:bCs/>
        </w:rPr>
      </w:pPr>
      <w:r>
        <w:rPr>
          <w:rFonts w:ascii="Times New Roman" w:hAnsi="Times New Roman"/>
          <w:bCs/>
        </w:rPr>
        <w:t>Аудирование с пониманием запрашиваемой информации предполагает выделение из воспринимаемого на слух текста и понимание информации фактического характера (например, имя, возраст, любимое занятие, цвет) с использованием иллюстраций и языковой догадки.</w:t>
      </w:r>
    </w:p>
    <w:p w14:paraId="7CA66DD9">
      <w:pPr>
        <w:widowControl/>
        <w:tabs>
          <w:tab w:val="left" w:pos="1134"/>
        </w:tabs>
        <w:spacing w:after="0" w:line="360" w:lineRule="auto"/>
        <w:ind w:firstLine="709"/>
        <w:jc w:val="both"/>
        <w:rPr>
          <w:rFonts w:ascii="Times New Roman" w:hAnsi="Times New Roman"/>
          <w:bCs/>
        </w:rPr>
      </w:pPr>
      <w:r>
        <w:rPr>
          <w:rFonts w:ascii="Times New Roman" w:hAnsi="Times New Roman"/>
          <w:bCs/>
        </w:rPr>
        <w:t>Тексты для аудирования: диалог, высказывания собеседников в ситуациях повседневного общения, рассказ, сказка.</w:t>
      </w:r>
    </w:p>
    <w:p w14:paraId="05FA10F6">
      <w:pPr>
        <w:widowControl/>
        <w:tabs>
          <w:tab w:val="left" w:pos="1134"/>
        </w:tabs>
        <w:spacing w:after="0" w:line="360" w:lineRule="auto"/>
        <w:ind w:firstLine="709"/>
        <w:jc w:val="both"/>
        <w:rPr>
          <w:rFonts w:ascii="Times New Roman" w:hAnsi="Times New Roman"/>
          <w:bCs/>
        </w:rPr>
      </w:pPr>
      <w:r>
        <w:rPr>
          <w:rFonts w:ascii="Times New Roman" w:hAnsi="Times New Roman"/>
          <w:bCs/>
        </w:rPr>
        <w:t>9.6.2.3. Смысловое чтение.</w:t>
      </w:r>
    </w:p>
    <w:p w14:paraId="75201F7D">
      <w:pPr>
        <w:widowControl/>
        <w:tabs>
          <w:tab w:val="left" w:pos="1134"/>
        </w:tabs>
        <w:spacing w:after="0" w:line="360" w:lineRule="auto"/>
        <w:ind w:firstLine="709"/>
        <w:jc w:val="both"/>
        <w:rPr>
          <w:rFonts w:ascii="Times New Roman" w:hAnsi="Times New Roman"/>
          <w:bCs/>
        </w:rPr>
      </w:pPr>
      <w:r>
        <w:rPr>
          <w:rFonts w:ascii="Times New Roman" w:hAnsi="Times New Roman"/>
          <w:bCs/>
        </w:rPr>
        <w:t>Чтение вслух учебных текстов, построенных на изученном языковом материале, с соблюдением правил чтения и соответствующей интонацией; понимание прочитанного.</w:t>
      </w:r>
    </w:p>
    <w:p w14:paraId="085FE9D6">
      <w:pPr>
        <w:widowControl/>
        <w:tabs>
          <w:tab w:val="left" w:pos="1134"/>
        </w:tabs>
        <w:spacing w:after="0" w:line="360" w:lineRule="auto"/>
        <w:ind w:firstLine="709"/>
        <w:jc w:val="both"/>
        <w:rPr>
          <w:rFonts w:ascii="Times New Roman" w:hAnsi="Times New Roman"/>
          <w:bCs/>
        </w:rPr>
      </w:pPr>
      <w:r>
        <w:rPr>
          <w:rFonts w:ascii="Times New Roman" w:hAnsi="Times New Roman"/>
          <w:bCs/>
        </w:rPr>
        <w:t>Тексты для чтения вслух: диалог, рассказ, сказка.</w:t>
      </w:r>
    </w:p>
    <w:p w14:paraId="2E100F6B">
      <w:pPr>
        <w:widowControl/>
        <w:tabs>
          <w:tab w:val="left" w:pos="1134"/>
        </w:tabs>
        <w:spacing w:after="0" w:line="360" w:lineRule="auto"/>
        <w:ind w:firstLine="709"/>
        <w:jc w:val="both"/>
        <w:rPr>
          <w:rFonts w:ascii="Times New Roman" w:hAnsi="Times New Roman"/>
          <w:bCs/>
        </w:rPr>
      </w:pPr>
      <w:r>
        <w:rPr>
          <w:rFonts w:ascii="Times New Roman" w:hAnsi="Times New Roman"/>
          <w:bCs/>
        </w:rPr>
        <w:t>Чтение про себя учебных текстов, построенных на изученном языковом материале,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w:t>
      </w:r>
    </w:p>
    <w:p w14:paraId="0F6714C0">
      <w:pPr>
        <w:widowControl/>
        <w:tabs>
          <w:tab w:val="left" w:pos="1134"/>
        </w:tabs>
        <w:spacing w:after="0" w:line="360" w:lineRule="auto"/>
        <w:ind w:firstLine="709"/>
        <w:jc w:val="both"/>
        <w:rPr>
          <w:rFonts w:ascii="Times New Roman" w:hAnsi="Times New Roman"/>
          <w:bCs/>
        </w:rPr>
      </w:pPr>
      <w:r>
        <w:rPr>
          <w:rFonts w:ascii="Times New Roman" w:hAnsi="Times New Roman"/>
          <w:bCs/>
        </w:rPr>
        <w:t>Чтение с пониманием основного содержания текста предполагает определение основной темы и главных фактов/событий в прочитанном тексте с использованием иллюстраций и языковой догадки.</w:t>
      </w:r>
    </w:p>
    <w:p w14:paraId="3B431B99">
      <w:pPr>
        <w:widowControl/>
        <w:tabs>
          <w:tab w:val="left" w:pos="1134"/>
        </w:tabs>
        <w:spacing w:after="0" w:line="360" w:lineRule="auto"/>
        <w:ind w:firstLine="709"/>
        <w:jc w:val="both"/>
        <w:rPr>
          <w:rFonts w:ascii="Times New Roman" w:hAnsi="Times New Roman"/>
          <w:bCs/>
        </w:rPr>
      </w:pPr>
      <w:r>
        <w:rPr>
          <w:rFonts w:ascii="Times New Roman" w:hAnsi="Times New Roman"/>
          <w:bCs/>
        </w:rPr>
        <w:t>Чтение с пониманием запрашиваемой информации предполагает нахождение в прочитанном тексте и понимание запрашиваемой информации фактического характера с использованием иллюстраций и языковой догадки.</w:t>
      </w:r>
    </w:p>
    <w:p w14:paraId="014458B1">
      <w:pPr>
        <w:widowControl/>
        <w:tabs>
          <w:tab w:val="left" w:pos="1134"/>
        </w:tabs>
        <w:spacing w:after="0" w:line="360" w:lineRule="auto"/>
        <w:ind w:firstLine="709"/>
        <w:jc w:val="both"/>
        <w:rPr>
          <w:rFonts w:ascii="Times New Roman" w:hAnsi="Times New Roman"/>
          <w:bCs/>
        </w:rPr>
      </w:pPr>
      <w:r>
        <w:rPr>
          <w:rFonts w:ascii="Times New Roman" w:hAnsi="Times New Roman"/>
          <w:bCs/>
        </w:rPr>
        <w:t>Тексты для чтения про себя: диалог, рассказ, сказка, электронное сообщение личного характера.</w:t>
      </w:r>
    </w:p>
    <w:p w14:paraId="150ADD3E">
      <w:pPr>
        <w:widowControl/>
        <w:tabs>
          <w:tab w:val="left" w:pos="1134"/>
        </w:tabs>
        <w:spacing w:after="0" w:line="360" w:lineRule="auto"/>
        <w:ind w:firstLine="709"/>
        <w:jc w:val="both"/>
        <w:rPr>
          <w:rFonts w:ascii="Times New Roman" w:hAnsi="Times New Roman"/>
          <w:bCs/>
        </w:rPr>
      </w:pPr>
      <w:r>
        <w:rPr>
          <w:rFonts w:ascii="Times New Roman" w:hAnsi="Times New Roman"/>
          <w:bCs/>
        </w:rPr>
        <w:t>9.6.2.4. Письмо.</w:t>
      </w:r>
    </w:p>
    <w:p w14:paraId="0CD1A26F">
      <w:pPr>
        <w:widowControl/>
        <w:tabs>
          <w:tab w:val="left" w:pos="1134"/>
        </w:tabs>
        <w:spacing w:after="0" w:line="360" w:lineRule="auto"/>
        <w:ind w:firstLine="709"/>
        <w:jc w:val="both"/>
        <w:rPr>
          <w:rFonts w:ascii="Times New Roman" w:hAnsi="Times New Roman"/>
          <w:bCs/>
        </w:rPr>
      </w:pPr>
      <w:r>
        <w:rPr>
          <w:rFonts w:ascii="Times New Roman" w:hAnsi="Times New Roman"/>
          <w:bCs/>
        </w:rPr>
        <w:t>Овладение техникой письма (полупечатное написание букв, буквосочетаний, слов).</w:t>
      </w:r>
    </w:p>
    <w:p w14:paraId="7A4929BA">
      <w:pPr>
        <w:widowControl/>
        <w:tabs>
          <w:tab w:val="left" w:pos="1134"/>
        </w:tabs>
        <w:spacing w:after="0" w:line="360" w:lineRule="auto"/>
        <w:ind w:firstLine="709"/>
        <w:jc w:val="both"/>
        <w:rPr>
          <w:rFonts w:ascii="Times New Roman" w:hAnsi="Times New Roman"/>
          <w:bCs/>
        </w:rPr>
      </w:pPr>
      <w:r>
        <w:rPr>
          <w:rFonts w:ascii="Times New Roman" w:hAnsi="Times New Roman"/>
          <w:bCs/>
        </w:rPr>
        <w:t>Воспроизведение речевых образцов, списывание текста; выписывание из текста слов, словосочетаний, предложений; вставка пропущенных букв в слово или слов в предложение, дописывание предложений в соответствии с решаемой учебной задачей.</w:t>
      </w:r>
    </w:p>
    <w:p w14:paraId="557F61A3">
      <w:pPr>
        <w:widowControl/>
        <w:tabs>
          <w:tab w:val="left" w:pos="1134"/>
        </w:tabs>
        <w:spacing w:after="0" w:line="360" w:lineRule="auto"/>
        <w:ind w:firstLine="709"/>
        <w:jc w:val="both"/>
        <w:rPr>
          <w:rFonts w:ascii="Times New Roman" w:hAnsi="Times New Roman"/>
          <w:bCs/>
        </w:rPr>
      </w:pPr>
      <w:r>
        <w:rPr>
          <w:rFonts w:ascii="Times New Roman" w:hAnsi="Times New Roman"/>
          <w:bCs/>
        </w:rPr>
        <w:t>Заполнение простых формуляров с указанием личной информации (имя, фамилия, возраст, страна проживания) в соответствии с нормами, принятыми в стране/странах изучаемого языка.</w:t>
      </w:r>
    </w:p>
    <w:p w14:paraId="7960E3ED">
      <w:pPr>
        <w:widowControl/>
        <w:tabs>
          <w:tab w:val="left" w:pos="1134"/>
        </w:tabs>
        <w:spacing w:after="0" w:line="360" w:lineRule="auto"/>
        <w:ind w:firstLine="709"/>
        <w:jc w:val="both"/>
        <w:rPr>
          <w:rFonts w:ascii="Times New Roman" w:hAnsi="Times New Roman"/>
          <w:bCs/>
        </w:rPr>
      </w:pPr>
      <w:r>
        <w:rPr>
          <w:rFonts w:ascii="Times New Roman" w:hAnsi="Times New Roman"/>
          <w:bCs/>
        </w:rPr>
        <w:t>Написание с использованием образца коротких поздравлений с праздниками (с днём рождения, Новым годом).</w:t>
      </w:r>
    </w:p>
    <w:p w14:paraId="1CBE2988">
      <w:pPr>
        <w:widowControl/>
        <w:tabs>
          <w:tab w:val="left" w:pos="1134"/>
        </w:tabs>
        <w:spacing w:after="0" w:line="360" w:lineRule="auto"/>
        <w:ind w:firstLine="709"/>
        <w:jc w:val="both"/>
        <w:rPr>
          <w:rFonts w:ascii="Times New Roman" w:hAnsi="Times New Roman"/>
          <w:bCs/>
        </w:rPr>
      </w:pPr>
      <w:r>
        <w:rPr>
          <w:rFonts w:ascii="Times New Roman" w:hAnsi="Times New Roman"/>
          <w:bCs/>
        </w:rPr>
        <w:t>9.6.3. Языковые знания и навыки.</w:t>
      </w:r>
    </w:p>
    <w:p w14:paraId="56947B6D">
      <w:pPr>
        <w:widowControl/>
        <w:tabs>
          <w:tab w:val="left" w:pos="1134"/>
        </w:tabs>
        <w:spacing w:after="0" w:line="360" w:lineRule="auto"/>
        <w:ind w:firstLine="709"/>
        <w:jc w:val="both"/>
        <w:rPr>
          <w:rFonts w:ascii="Times New Roman" w:hAnsi="Times New Roman"/>
          <w:bCs/>
        </w:rPr>
      </w:pPr>
      <w:r>
        <w:rPr>
          <w:rFonts w:ascii="Times New Roman" w:hAnsi="Times New Roman"/>
          <w:bCs/>
        </w:rPr>
        <w:t>9.6.3.1. Фонетическая сторона речи.</w:t>
      </w:r>
    </w:p>
    <w:p w14:paraId="3CEB9CB6">
      <w:pPr>
        <w:widowControl/>
        <w:tabs>
          <w:tab w:val="left" w:pos="1134"/>
        </w:tabs>
        <w:spacing w:after="0" w:line="360" w:lineRule="auto"/>
        <w:ind w:firstLine="709"/>
        <w:jc w:val="both"/>
        <w:rPr>
          <w:rFonts w:ascii="Times New Roman" w:hAnsi="Times New Roman"/>
          <w:bCs/>
        </w:rPr>
      </w:pPr>
      <w:r>
        <w:rPr>
          <w:rFonts w:ascii="Times New Roman" w:hAnsi="Times New Roman"/>
          <w:bCs/>
        </w:rPr>
        <w:t>Буквы английского алфавита. Корректное называние букв английского алфавита.</w:t>
      </w:r>
    </w:p>
    <w:p w14:paraId="3A3B6B21">
      <w:pPr>
        <w:widowControl/>
        <w:tabs>
          <w:tab w:val="left" w:pos="1134"/>
        </w:tabs>
        <w:spacing w:after="0" w:line="360" w:lineRule="auto"/>
        <w:ind w:firstLine="709"/>
        <w:jc w:val="both"/>
        <w:rPr>
          <w:rFonts w:ascii="Times New Roman" w:hAnsi="Times New Roman"/>
          <w:bCs/>
        </w:rPr>
      </w:pPr>
      <w:r>
        <w:rPr>
          <w:rFonts w:ascii="Times New Roman" w:hAnsi="Times New Roman"/>
          <w:bCs/>
        </w:rPr>
        <w:t>Нормы произношения: долгота и краткость гласных, отсутствие оглушения звонких согласных в конце слога или слова, отсутствие смягчения согласных перед гласными. Связующее “r” (there is/there).</w:t>
      </w:r>
    </w:p>
    <w:p w14:paraId="43C9D53C">
      <w:pPr>
        <w:widowControl/>
        <w:tabs>
          <w:tab w:val="left" w:pos="1134"/>
        </w:tabs>
        <w:spacing w:after="0" w:line="360" w:lineRule="auto"/>
        <w:ind w:firstLine="709"/>
        <w:jc w:val="both"/>
        <w:rPr>
          <w:rFonts w:ascii="Times New Roman" w:hAnsi="Times New Roman"/>
          <w:bCs/>
        </w:rPr>
      </w:pPr>
      <w:r>
        <w:rPr>
          <w:rFonts w:ascii="Times New Roman" w:hAnsi="Times New Roman"/>
          <w:bCs/>
        </w:rPr>
        <w:t>Различение на слух, без ошибок, ведущих к сбою в коммуникации, произнесение слов с соблюдением правильного ударения и фраз/предложений (повествовательного, побудительного и вопросительного: общий и специальный вопросы) с соблюдением их ритмико-интонационных особенностей.</w:t>
      </w:r>
    </w:p>
    <w:p w14:paraId="6C3BDD8F">
      <w:pPr>
        <w:widowControl/>
        <w:tabs>
          <w:tab w:val="left" w:pos="1134"/>
        </w:tabs>
        <w:spacing w:after="0" w:line="360" w:lineRule="auto"/>
        <w:ind w:firstLine="709"/>
        <w:jc w:val="both"/>
        <w:rPr>
          <w:rFonts w:ascii="Times New Roman" w:hAnsi="Times New Roman"/>
          <w:bCs/>
        </w:rPr>
      </w:pPr>
      <w:r>
        <w:rPr>
          <w:rFonts w:ascii="Times New Roman" w:hAnsi="Times New Roman"/>
          <w:bCs/>
        </w:rPr>
        <w:t>Правила чтения гласных в открытом и закрытом слоге в односложных словах; согласных; основных звукобуквенных сочетаний. ВыДеление из слова некоторых звукобуквенных сочетаний при анализе изученных слов.</w:t>
      </w:r>
    </w:p>
    <w:p w14:paraId="5F8598CA">
      <w:pPr>
        <w:widowControl/>
        <w:tabs>
          <w:tab w:val="left" w:pos="1134"/>
        </w:tabs>
        <w:spacing w:after="0" w:line="360" w:lineRule="auto"/>
        <w:ind w:firstLine="709"/>
        <w:jc w:val="both"/>
        <w:rPr>
          <w:rFonts w:ascii="Times New Roman" w:hAnsi="Times New Roman"/>
          <w:bCs/>
        </w:rPr>
      </w:pPr>
      <w:r>
        <w:rPr>
          <w:rFonts w:ascii="Times New Roman" w:hAnsi="Times New Roman"/>
          <w:bCs/>
        </w:rPr>
        <w:t>Чтение новых слов согласно основным правилам чтения английского языка.</w:t>
      </w:r>
    </w:p>
    <w:p w14:paraId="10B0F5C5">
      <w:pPr>
        <w:widowControl/>
        <w:tabs>
          <w:tab w:val="left" w:pos="1134"/>
        </w:tabs>
        <w:spacing w:after="0" w:line="360" w:lineRule="auto"/>
        <w:ind w:firstLine="709"/>
        <w:jc w:val="both"/>
        <w:rPr>
          <w:rFonts w:ascii="Times New Roman" w:hAnsi="Times New Roman"/>
          <w:bCs/>
        </w:rPr>
      </w:pPr>
      <w:r>
        <w:rPr>
          <w:rFonts w:ascii="Times New Roman" w:hAnsi="Times New Roman"/>
          <w:bCs/>
        </w:rPr>
        <w:t>Знаки английской транскрипции; отличие их от букв английского алфавита. Фонетически корректное озвучивание знаков транскрипции.</w:t>
      </w:r>
    </w:p>
    <w:p w14:paraId="7E00E739">
      <w:pPr>
        <w:widowControl/>
        <w:tabs>
          <w:tab w:val="left" w:pos="1134"/>
        </w:tabs>
        <w:spacing w:after="0" w:line="360" w:lineRule="auto"/>
        <w:ind w:firstLine="709"/>
        <w:jc w:val="both"/>
        <w:rPr>
          <w:rFonts w:ascii="Times New Roman" w:hAnsi="Times New Roman"/>
          <w:bCs/>
        </w:rPr>
      </w:pPr>
      <w:r>
        <w:rPr>
          <w:rFonts w:ascii="Times New Roman" w:hAnsi="Times New Roman"/>
          <w:bCs/>
        </w:rPr>
        <w:t>9.6.3.2. Графика, орфография и пунктуация.</w:t>
      </w:r>
    </w:p>
    <w:p w14:paraId="54BBC212">
      <w:pPr>
        <w:widowControl/>
        <w:tabs>
          <w:tab w:val="left" w:pos="1134"/>
        </w:tabs>
        <w:spacing w:after="0" w:line="360" w:lineRule="auto"/>
        <w:ind w:firstLine="709"/>
        <w:jc w:val="both"/>
        <w:rPr>
          <w:rFonts w:ascii="Times New Roman" w:hAnsi="Times New Roman"/>
          <w:bCs/>
        </w:rPr>
      </w:pPr>
      <w:r>
        <w:rPr>
          <w:rFonts w:ascii="Times New Roman" w:hAnsi="Times New Roman"/>
          <w:bCs/>
        </w:rPr>
        <w:t>Графически корректное (полупечатное) написание букв английского алфавита в буквосочетаниях и словах. Правильное написание изученных слов.</w:t>
      </w:r>
    </w:p>
    <w:p w14:paraId="32624C01">
      <w:pPr>
        <w:widowControl/>
        <w:tabs>
          <w:tab w:val="left" w:pos="1134"/>
        </w:tabs>
        <w:spacing w:after="0" w:line="360" w:lineRule="auto"/>
        <w:ind w:firstLine="709"/>
        <w:jc w:val="both"/>
        <w:rPr>
          <w:rFonts w:ascii="Times New Roman" w:hAnsi="Times New Roman"/>
          <w:bCs/>
        </w:rPr>
      </w:pPr>
      <w:r>
        <w:rPr>
          <w:rFonts w:ascii="Times New Roman" w:hAnsi="Times New Roman"/>
          <w:bCs/>
        </w:rPr>
        <w:t>Правильная расстановка знаков препинания: точки, вопросительного и восклицательного знаков в конце предложения; правильное использование апострофа в изученных сокращённых формах глагола-связки, вспомогательного и модального глаголов (например, I’m, isn’t; don’t, doesn’t; can’t), существительных в притяжательном падеже (Ann’s).</w:t>
      </w:r>
    </w:p>
    <w:p w14:paraId="00CF6783">
      <w:pPr>
        <w:widowControl/>
        <w:tabs>
          <w:tab w:val="left" w:pos="1134"/>
        </w:tabs>
        <w:spacing w:after="0" w:line="360" w:lineRule="auto"/>
        <w:ind w:firstLine="709"/>
        <w:jc w:val="both"/>
        <w:rPr>
          <w:rFonts w:ascii="Times New Roman" w:hAnsi="Times New Roman"/>
          <w:bCs/>
        </w:rPr>
      </w:pPr>
      <w:r>
        <w:rPr>
          <w:rFonts w:ascii="Times New Roman" w:hAnsi="Times New Roman"/>
          <w:bCs/>
        </w:rPr>
        <w:t>9.6.3.3. Лексическая сторона речи.</w:t>
      </w:r>
    </w:p>
    <w:p w14:paraId="48612DC3">
      <w:pPr>
        <w:widowControl/>
        <w:tabs>
          <w:tab w:val="left" w:pos="1134"/>
        </w:tabs>
        <w:spacing w:after="0" w:line="360" w:lineRule="auto"/>
        <w:ind w:firstLine="709"/>
        <w:jc w:val="both"/>
        <w:rPr>
          <w:rFonts w:ascii="Times New Roman" w:hAnsi="Times New Roman"/>
          <w:bCs/>
        </w:rPr>
      </w:pPr>
      <w:r>
        <w:rPr>
          <w:rFonts w:ascii="Times New Roman" w:hAnsi="Times New Roman"/>
          <w:bCs/>
        </w:rPr>
        <w:t>Распознавание и употребление в устной и письменной речи не менее 200 лексических единиц (слов, словосочетаний, речевых клише), обслуживающих ситуации общения в рамках тематического содержания речи для 2 класса.</w:t>
      </w:r>
    </w:p>
    <w:p w14:paraId="637DA5D6">
      <w:pPr>
        <w:widowControl/>
        <w:tabs>
          <w:tab w:val="left" w:pos="1134"/>
        </w:tabs>
        <w:spacing w:after="0" w:line="360" w:lineRule="auto"/>
        <w:ind w:firstLine="709"/>
        <w:jc w:val="both"/>
        <w:rPr>
          <w:rFonts w:ascii="Times New Roman" w:hAnsi="Times New Roman"/>
          <w:bCs/>
        </w:rPr>
      </w:pPr>
      <w:r>
        <w:rPr>
          <w:rFonts w:ascii="Times New Roman" w:hAnsi="Times New Roman"/>
          <w:bCs/>
        </w:rPr>
        <w:t>Распознавание в устной и письменной речи интернациональных слов (doctor, film) с помощью языковой догадки.</w:t>
      </w:r>
    </w:p>
    <w:p w14:paraId="0321D849">
      <w:pPr>
        <w:widowControl/>
        <w:tabs>
          <w:tab w:val="left" w:pos="1134"/>
        </w:tabs>
        <w:spacing w:after="0" w:line="360" w:lineRule="auto"/>
        <w:ind w:firstLine="709"/>
        <w:jc w:val="both"/>
        <w:rPr>
          <w:rFonts w:ascii="Times New Roman" w:hAnsi="Times New Roman"/>
          <w:bCs/>
        </w:rPr>
      </w:pPr>
      <w:r>
        <w:rPr>
          <w:rFonts w:ascii="Times New Roman" w:hAnsi="Times New Roman"/>
          <w:bCs/>
        </w:rPr>
        <w:t>9.6.3.4. Грамматическая сторона речи.</w:t>
      </w:r>
    </w:p>
    <w:p w14:paraId="7180C579">
      <w:pPr>
        <w:widowControl/>
        <w:tabs>
          <w:tab w:val="left" w:pos="1134"/>
        </w:tabs>
        <w:spacing w:after="0" w:line="360" w:lineRule="auto"/>
        <w:ind w:firstLine="709"/>
        <w:jc w:val="both"/>
        <w:rPr>
          <w:rFonts w:ascii="Times New Roman" w:hAnsi="Times New Roman"/>
          <w:bCs/>
        </w:rPr>
      </w:pPr>
      <w:r>
        <w:rPr>
          <w:rFonts w:ascii="Times New Roman" w:hAnsi="Times New Roman"/>
          <w:bCs/>
        </w:rPr>
        <w:t>Распознавание и употребление в устной и письменной речи: изученных морфологических форм и синтаксических конструкций английского языка.</w:t>
      </w:r>
    </w:p>
    <w:p w14:paraId="31BEE8EB">
      <w:pPr>
        <w:widowControl/>
        <w:tabs>
          <w:tab w:val="left" w:pos="1134"/>
        </w:tabs>
        <w:spacing w:after="0" w:line="360" w:lineRule="auto"/>
        <w:ind w:firstLine="709"/>
        <w:jc w:val="both"/>
        <w:rPr>
          <w:rFonts w:ascii="Times New Roman" w:hAnsi="Times New Roman"/>
          <w:bCs/>
        </w:rPr>
      </w:pPr>
      <w:r>
        <w:rPr>
          <w:rFonts w:ascii="Times New Roman" w:hAnsi="Times New Roman"/>
          <w:bCs/>
        </w:rPr>
        <w:t>Коммуникативные типы предложений: повествовательные (утвердительные, отрицательные), вопросительные (общий, специальный вопрос), побудительные (в утвердительной форме).</w:t>
      </w:r>
    </w:p>
    <w:p w14:paraId="79BAC159">
      <w:pPr>
        <w:widowControl/>
        <w:tabs>
          <w:tab w:val="left" w:pos="1134"/>
        </w:tabs>
        <w:spacing w:after="0" w:line="360" w:lineRule="auto"/>
        <w:ind w:firstLine="709"/>
        <w:jc w:val="both"/>
        <w:rPr>
          <w:rFonts w:ascii="Times New Roman" w:hAnsi="Times New Roman"/>
          <w:bCs/>
        </w:rPr>
      </w:pPr>
      <w:r>
        <w:rPr>
          <w:rFonts w:ascii="Times New Roman" w:hAnsi="Times New Roman"/>
          <w:bCs/>
        </w:rPr>
        <w:t>Нераспространённые и распространённые простые предложения.</w:t>
      </w:r>
    </w:p>
    <w:p w14:paraId="32EEE91E">
      <w:pPr>
        <w:widowControl/>
        <w:tabs>
          <w:tab w:val="left" w:pos="1134"/>
        </w:tabs>
        <w:spacing w:after="0" w:line="360" w:lineRule="auto"/>
        <w:ind w:firstLine="709"/>
        <w:jc w:val="both"/>
        <w:rPr>
          <w:rFonts w:ascii="Times New Roman" w:hAnsi="Times New Roman"/>
          <w:bCs/>
        </w:rPr>
      </w:pPr>
      <w:r>
        <w:rPr>
          <w:rFonts w:ascii="Times New Roman" w:hAnsi="Times New Roman"/>
          <w:bCs/>
        </w:rPr>
        <w:t>Предложения с начальным It (It’s a red ball.).</w:t>
      </w:r>
    </w:p>
    <w:p w14:paraId="47E19BBE">
      <w:pPr>
        <w:widowControl/>
        <w:tabs>
          <w:tab w:val="left" w:pos="1134"/>
        </w:tabs>
        <w:spacing w:after="0" w:line="360" w:lineRule="auto"/>
        <w:ind w:firstLine="709"/>
        <w:jc w:val="both"/>
        <w:rPr>
          <w:rFonts w:ascii="Times New Roman" w:hAnsi="Times New Roman"/>
          <w:bCs/>
          <w:lang w:val="en-US"/>
        </w:rPr>
      </w:pPr>
      <w:r>
        <w:rPr>
          <w:rFonts w:ascii="Times New Roman" w:hAnsi="Times New Roman"/>
          <w:bCs/>
        </w:rPr>
        <w:t>Предложения</w:t>
      </w:r>
      <w:r>
        <w:rPr>
          <w:rFonts w:ascii="Times New Roman" w:hAnsi="Times New Roman"/>
          <w:bCs/>
          <w:lang w:val="en-US"/>
        </w:rPr>
        <w:t xml:space="preserve"> </w:t>
      </w:r>
      <w:r>
        <w:rPr>
          <w:rFonts w:ascii="Times New Roman" w:hAnsi="Times New Roman"/>
          <w:bCs/>
        </w:rPr>
        <w:t>с</w:t>
      </w:r>
      <w:r>
        <w:rPr>
          <w:rFonts w:ascii="Times New Roman" w:hAnsi="Times New Roman"/>
          <w:bCs/>
          <w:lang w:val="en-US"/>
        </w:rPr>
        <w:t xml:space="preserve"> </w:t>
      </w:r>
      <w:r>
        <w:rPr>
          <w:rFonts w:ascii="Times New Roman" w:hAnsi="Times New Roman"/>
          <w:bCs/>
        </w:rPr>
        <w:t>начальным</w:t>
      </w:r>
      <w:r>
        <w:rPr>
          <w:rFonts w:ascii="Times New Roman" w:hAnsi="Times New Roman"/>
          <w:bCs/>
          <w:lang w:val="en-US"/>
        </w:rPr>
        <w:t xml:space="preserve"> There + to be </w:t>
      </w:r>
      <w:r>
        <w:rPr>
          <w:rFonts w:ascii="Times New Roman" w:hAnsi="Times New Roman"/>
          <w:bCs/>
        </w:rPr>
        <w:t>в</w:t>
      </w:r>
      <w:r>
        <w:rPr>
          <w:rFonts w:ascii="Times New Roman" w:hAnsi="Times New Roman"/>
          <w:bCs/>
          <w:lang w:val="en-US"/>
        </w:rPr>
        <w:t xml:space="preserve"> Present Simple Tense (There is a cat in the room. Is there a cat in the room? – Yes, there is./No, there isn’t. There are four pens on the table. Are there four pens on the table? – Yes, there are./No, there aren’t. How many pens are there on the table? – There are four pens.).</w:t>
      </w:r>
    </w:p>
    <w:p w14:paraId="60F4A98A">
      <w:pPr>
        <w:widowControl/>
        <w:tabs>
          <w:tab w:val="left" w:pos="1134"/>
        </w:tabs>
        <w:spacing w:after="0" w:line="360" w:lineRule="auto"/>
        <w:ind w:firstLine="709"/>
        <w:jc w:val="both"/>
        <w:rPr>
          <w:rFonts w:ascii="Times New Roman" w:hAnsi="Times New Roman"/>
          <w:bCs/>
          <w:lang w:val="en-US"/>
        </w:rPr>
      </w:pPr>
      <w:r>
        <w:rPr>
          <w:rFonts w:ascii="Times New Roman" w:hAnsi="Times New Roman"/>
          <w:bCs/>
        </w:rPr>
        <w:t>Предложения</w:t>
      </w:r>
      <w:r>
        <w:rPr>
          <w:rFonts w:ascii="Times New Roman" w:hAnsi="Times New Roman"/>
          <w:bCs/>
          <w:lang w:val="en-US"/>
        </w:rPr>
        <w:t xml:space="preserve"> </w:t>
      </w:r>
      <w:r>
        <w:rPr>
          <w:rFonts w:ascii="Times New Roman" w:hAnsi="Times New Roman"/>
          <w:bCs/>
        </w:rPr>
        <w:t>с</w:t>
      </w:r>
      <w:r>
        <w:rPr>
          <w:rFonts w:ascii="Times New Roman" w:hAnsi="Times New Roman"/>
          <w:bCs/>
          <w:lang w:val="en-US"/>
        </w:rPr>
        <w:t xml:space="preserve"> </w:t>
      </w:r>
      <w:r>
        <w:rPr>
          <w:rFonts w:ascii="Times New Roman" w:hAnsi="Times New Roman"/>
          <w:bCs/>
        </w:rPr>
        <w:t>простым</w:t>
      </w:r>
      <w:r>
        <w:rPr>
          <w:rFonts w:ascii="Times New Roman" w:hAnsi="Times New Roman"/>
          <w:bCs/>
          <w:lang w:val="en-US"/>
        </w:rPr>
        <w:t xml:space="preserve"> </w:t>
      </w:r>
      <w:r>
        <w:rPr>
          <w:rFonts w:ascii="Times New Roman" w:hAnsi="Times New Roman"/>
          <w:bCs/>
        </w:rPr>
        <w:t>глагольным</w:t>
      </w:r>
      <w:r>
        <w:rPr>
          <w:rFonts w:ascii="Times New Roman" w:hAnsi="Times New Roman"/>
          <w:bCs/>
          <w:lang w:val="en-US"/>
        </w:rPr>
        <w:t xml:space="preserve"> </w:t>
      </w:r>
      <w:r>
        <w:rPr>
          <w:rFonts w:ascii="Times New Roman" w:hAnsi="Times New Roman"/>
          <w:bCs/>
        </w:rPr>
        <w:t>сказуемым</w:t>
      </w:r>
      <w:r>
        <w:rPr>
          <w:rFonts w:ascii="Times New Roman" w:hAnsi="Times New Roman"/>
          <w:bCs/>
          <w:lang w:val="en-US"/>
        </w:rPr>
        <w:t xml:space="preserve"> (They live in the country.), </w:t>
      </w:r>
      <w:r>
        <w:rPr>
          <w:rFonts w:ascii="Times New Roman" w:hAnsi="Times New Roman"/>
          <w:bCs/>
        </w:rPr>
        <w:t>составным</w:t>
      </w:r>
      <w:r>
        <w:rPr>
          <w:rFonts w:ascii="Times New Roman" w:hAnsi="Times New Roman"/>
          <w:bCs/>
          <w:lang w:val="en-US"/>
        </w:rPr>
        <w:t xml:space="preserve"> </w:t>
      </w:r>
      <w:r>
        <w:rPr>
          <w:rFonts w:ascii="Times New Roman" w:hAnsi="Times New Roman"/>
          <w:bCs/>
        </w:rPr>
        <w:t>именным</w:t>
      </w:r>
      <w:r>
        <w:rPr>
          <w:rFonts w:ascii="Times New Roman" w:hAnsi="Times New Roman"/>
          <w:bCs/>
          <w:lang w:val="en-US"/>
        </w:rPr>
        <w:t xml:space="preserve"> </w:t>
      </w:r>
      <w:r>
        <w:rPr>
          <w:rFonts w:ascii="Times New Roman" w:hAnsi="Times New Roman"/>
          <w:bCs/>
        </w:rPr>
        <w:t>сказуемым</w:t>
      </w:r>
      <w:r>
        <w:rPr>
          <w:rFonts w:ascii="Times New Roman" w:hAnsi="Times New Roman"/>
          <w:bCs/>
          <w:lang w:val="en-US"/>
        </w:rPr>
        <w:t xml:space="preserve"> (The box is small.) </w:t>
      </w:r>
      <w:r>
        <w:rPr>
          <w:rFonts w:ascii="Times New Roman" w:hAnsi="Times New Roman"/>
          <w:bCs/>
        </w:rPr>
        <w:t>и</w:t>
      </w:r>
      <w:r>
        <w:rPr>
          <w:rFonts w:ascii="Times New Roman" w:hAnsi="Times New Roman"/>
          <w:bCs/>
          <w:lang w:val="en-US"/>
        </w:rPr>
        <w:t xml:space="preserve"> </w:t>
      </w:r>
      <w:r>
        <w:rPr>
          <w:rFonts w:ascii="Times New Roman" w:hAnsi="Times New Roman"/>
          <w:bCs/>
        </w:rPr>
        <w:t>составным</w:t>
      </w:r>
      <w:r>
        <w:rPr>
          <w:rFonts w:ascii="Times New Roman" w:hAnsi="Times New Roman"/>
          <w:bCs/>
          <w:lang w:val="en-US"/>
        </w:rPr>
        <w:t xml:space="preserve"> </w:t>
      </w:r>
      <w:r>
        <w:rPr>
          <w:rFonts w:ascii="Times New Roman" w:hAnsi="Times New Roman"/>
          <w:bCs/>
        </w:rPr>
        <w:t>глагольным</w:t>
      </w:r>
      <w:r>
        <w:rPr>
          <w:rFonts w:ascii="Times New Roman" w:hAnsi="Times New Roman"/>
          <w:bCs/>
          <w:lang w:val="en-US"/>
        </w:rPr>
        <w:t xml:space="preserve"> </w:t>
      </w:r>
      <w:r>
        <w:rPr>
          <w:rFonts w:ascii="Times New Roman" w:hAnsi="Times New Roman"/>
          <w:bCs/>
        </w:rPr>
        <w:t>сказуемым</w:t>
      </w:r>
      <w:r>
        <w:rPr>
          <w:rFonts w:ascii="Times New Roman" w:hAnsi="Times New Roman"/>
          <w:bCs/>
          <w:lang w:val="en-US"/>
        </w:rPr>
        <w:t xml:space="preserve"> (I like to play with my cat. She can play the piano.).</w:t>
      </w:r>
    </w:p>
    <w:p w14:paraId="3D163D64">
      <w:pPr>
        <w:widowControl/>
        <w:tabs>
          <w:tab w:val="left" w:pos="1134"/>
        </w:tabs>
        <w:spacing w:after="0" w:line="360" w:lineRule="auto"/>
        <w:ind w:firstLine="709"/>
        <w:jc w:val="both"/>
        <w:rPr>
          <w:rFonts w:ascii="Times New Roman" w:hAnsi="Times New Roman"/>
          <w:bCs/>
          <w:lang w:val="en-US"/>
        </w:rPr>
      </w:pPr>
      <w:r>
        <w:rPr>
          <w:rFonts w:ascii="Times New Roman" w:hAnsi="Times New Roman"/>
          <w:bCs/>
        </w:rPr>
        <w:t>Предложения</w:t>
      </w:r>
      <w:r>
        <w:rPr>
          <w:rFonts w:ascii="Times New Roman" w:hAnsi="Times New Roman"/>
          <w:bCs/>
          <w:lang w:val="en-US"/>
        </w:rPr>
        <w:t xml:space="preserve"> </w:t>
      </w:r>
      <w:r>
        <w:rPr>
          <w:rFonts w:ascii="Times New Roman" w:hAnsi="Times New Roman"/>
          <w:bCs/>
        </w:rPr>
        <w:t>с</w:t>
      </w:r>
      <w:r>
        <w:rPr>
          <w:rFonts w:ascii="Times New Roman" w:hAnsi="Times New Roman"/>
          <w:bCs/>
          <w:lang w:val="en-US"/>
        </w:rPr>
        <w:t xml:space="preserve"> </w:t>
      </w:r>
      <w:r>
        <w:rPr>
          <w:rFonts w:ascii="Times New Roman" w:hAnsi="Times New Roman"/>
          <w:bCs/>
        </w:rPr>
        <w:t>глаголом</w:t>
      </w:r>
      <w:r>
        <w:rPr>
          <w:rFonts w:ascii="Times New Roman" w:hAnsi="Times New Roman"/>
          <w:bCs/>
          <w:lang w:val="en-US"/>
        </w:rPr>
        <w:t>-</w:t>
      </w:r>
      <w:r>
        <w:rPr>
          <w:rFonts w:ascii="Times New Roman" w:hAnsi="Times New Roman"/>
          <w:bCs/>
        </w:rPr>
        <w:t>связкой</w:t>
      </w:r>
      <w:r>
        <w:rPr>
          <w:rFonts w:ascii="Times New Roman" w:hAnsi="Times New Roman"/>
          <w:bCs/>
          <w:lang w:val="en-US"/>
        </w:rPr>
        <w:t xml:space="preserve"> to be </w:t>
      </w:r>
      <w:r>
        <w:rPr>
          <w:rFonts w:ascii="Times New Roman" w:hAnsi="Times New Roman"/>
          <w:bCs/>
        </w:rPr>
        <w:t>в</w:t>
      </w:r>
      <w:r>
        <w:rPr>
          <w:rFonts w:ascii="Times New Roman" w:hAnsi="Times New Roman"/>
          <w:bCs/>
          <w:lang w:val="en-US"/>
        </w:rPr>
        <w:t xml:space="preserve"> Present Simple Tense (My father is a doctor. Is it a red ball? – Yes, it is./No, it isn’t.).</w:t>
      </w:r>
    </w:p>
    <w:p w14:paraId="5C9B8A21">
      <w:pPr>
        <w:widowControl/>
        <w:tabs>
          <w:tab w:val="left" w:pos="1134"/>
        </w:tabs>
        <w:spacing w:after="0" w:line="360" w:lineRule="auto"/>
        <w:ind w:firstLine="709"/>
        <w:jc w:val="both"/>
        <w:rPr>
          <w:rFonts w:ascii="Times New Roman" w:hAnsi="Times New Roman"/>
          <w:bCs/>
        </w:rPr>
      </w:pPr>
      <w:r>
        <w:rPr>
          <w:rFonts w:ascii="Times New Roman" w:hAnsi="Times New Roman"/>
          <w:bCs/>
        </w:rPr>
        <w:t>Предложения с краткими глагольными формами (She can’t swim. I don’t like porridge.).</w:t>
      </w:r>
    </w:p>
    <w:p w14:paraId="00B335B8">
      <w:pPr>
        <w:widowControl/>
        <w:tabs>
          <w:tab w:val="left" w:pos="1134"/>
        </w:tabs>
        <w:spacing w:after="0" w:line="360" w:lineRule="auto"/>
        <w:ind w:firstLine="709"/>
        <w:jc w:val="both"/>
        <w:rPr>
          <w:rFonts w:ascii="Times New Roman" w:hAnsi="Times New Roman"/>
          <w:bCs/>
        </w:rPr>
      </w:pPr>
      <w:r>
        <w:rPr>
          <w:rFonts w:ascii="Times New Roman" w:hAnsi="Times New Roman"/>
          <w:bCs/>
        </w:rPr>
        <w:t>Побудительные предложения в утвердительной форме (Come in, please.).</w:t>
      </w:r>
    </w:p>
    <w:p w14:paraId="5F126F44">
      <w:pPr>
        <w:widowControl/>
        <w:tabs>
          <w:tab w:val="left" w:pos="1134"/>
        </w:tabs>
        <w:spacing w:after="0" w:line="360" w:lineRule="auto"/>
        <w:ind w:firstLine="709"/>
        <w:jc w:val="both"/>
        <w:rPr>
          <w:rFonts w:ascii="Times New Roman" w:hAnsi="Times New Roman"/>
          <w:bCs/>
        </w:rPr>
      </w:pPr>
      <w:r>
        <w:rPr>
          <w:rFonts w:ascii="Times New Roman" w:hAnsi="Times New Roman"/>
          <w:bCs/>
        </w:rPr>
        <w:t>Глаголы в Present Simple Tense в повествовательных (утвердительных и отрицательных) и вопросительных (общий и специальный вопросы) предложениях.</w:t>
      </w:r>
    </w:p>
    <w:p w14:paraId="4FBD935D">
      <w:pPr>
        <w:widowControl/>
        <w:tabs>
          <w:tab w:val="left" w:pos="1134"/>
        </w:tabs>
        <w:spacing w:after="0" w:line="360" w:lineRule="auto"/>
        <w:ind w:firstLine="709"/>
        <w:jc w:val="both"/>
        <w:rPr>
          <w:rFonts w:ascii="Times New Roman" w:hAnsi="Times New Roman"/>
          <w:bCs/>
          <w:lang w:val="en-US"/>
        </w:rPr>
      </w:pPr>
      <w:r>
        <w:rPr>
          <w:rFonts w:ascii="Times New Roman" w:hAnsi="Times New Roman"/>
          <w:bCs/>
        </w:rPr>
        <w:t>Глагольная</w:t>
      </w:r>
      <w:r>
        <w:rPr>
          <w:rFonts w:ascii="Times New Roman" w:hAnsi="Times New Roman"/>
          <w:bCs/>
          <w:lang w:val="en-US"/>
        </w:rPr>
        <w:t xml:space="preserve"> </w:t>
      </w:r>
      <w:r>
        <w:rPr>
          <w:rFonts w:ascii="Times New Roman" w:hAnsi="Times New Roman"/>
          <w:bCs/>
        </w:rPr>
        <w:t>конструкция</w:t>
      </w:r>
      <w:r>
        <w:rPr>
          <w:rFonts w:ascii="Times New Roman" w:hAnsi="Times New Roman"/>
          <w:bCs/>
          <w:lang w:val="en-US"/>
        </w:rPr>
        <w:t xml:space="preserve"> have got (I’ve got a cat. He’s/She’s got a cat. Have you got a cat? – Yes, I have./No, I haven’t. What have you got?).</w:t>
      </w:r>
    </w:p>
    <w:p w14:paraId="4CC14CFE">
      <w:pPr>
        <w:widowControl/>
        <w:tabs>
          <w:tab w:val="left" w:pos="1134"/>
        </w:tabs>
        <w:spacing w:after="0" w:line="360" w:lineRule="auto"/>
        <w:ind w:firstLine="709"/>
        <w:jc w:val="both"/>
        <w:rPr>
          <w:rFonts w:ascii="Times New Roman" w:hAnsi="Times New Roman"/>
          <w:bCs/>
        </w:rPr>
      </w:pPr>
      <w:r>
        <w:rPr>
          <w:rFonts w:ascii="Times New Roman" w:hAnsi="Times New Roman"/>
          <w:bCs/>
        </w:rPr>
        <w:t>Модальный глагол can: для выражения умения (I can play tennis.) и отсутствия умения (I can’t play chess.); для получения разрешения (Can I go out?).</w:t>
      </w:r>
    </w:p>
    <w:p w14:paraId="4E0EA87E">
      <w:pPr>
        <w:widowControl/>
        <w:tabs>
          <w:tab w:val="left" w:pos="1134"/>
        </w:tabs>
        <w:spacing w:after="0" w:line="360" w:lineRule="auto"/>
        <w:ind w:firstLine="709"/>
        <w:jc w:val="both"/>
        <w:rPr>
          <w:rFonts w:ascii="Times New Roman" w:hAnsi="Times New Roman"/>
          <w:bCs/>
        </w:rPr>
      </w:pPr>
      <w:r>
        <w:rPr>
          <w:rFonts w:ascii="Times New Roman" w:hAnsi="Times New Roman"/>
          <w:bCs/>
        </w:rPr>
        <w:t>Определённый, неопределённый и нулевой артикли c именами существительными (наиболее распространённые случаи).</w:t>
      </w:r>
    </w:p>
    <w:p w14:paraId="3F580618">
      <w:pPr>
        <w:widowControl/>
        <w:tabs>
          <w:tab w:val="left" w:pos="1134"/>
        </w:tabs>
        <w:spacing w:after="0" w:line="360" w:lineRule="auto"/>
        <w:ind w:firstLine="709"/>
        <w:jc w:val="both"/>
        <w:rPr>
          <w:rFonts w:ascii="Times New Roman" w:hAnsi="Times New Roman"/>
          <w:bCs/>
        </w:rPr>
      </w:pPr>
      <w:r>
        <w:rPr>
          <w:rFonts w:ascii="Times New Roman" w:hAnsi="Times New Roman"/>
          <w:bCs/>
        </w:rPr>
        <w:t>Существительные во множественном числе, образованные по правилу и исключения (a book – books; a man – men).</w:t>
      </w:r>
    </w:p>
    <w:p w14:paraId="24A7682E">
      <w:pPr>
        <w:widowControl/>
        <w:tabs>
          <w:tab w:val="left" w:pos="1134"/>
        </w:tabs>
        <w:spacing w:after="0" w:line="360" w:lineRule="auto"/>
        <w:ind w:firstLine="709"/>
        <w:jc w:val="both"/>
        <w:rPr>
          <w:rFonts w:ascii="Times New Roman" w:hAnsi="Times New Roman"/>
          <w:bCs/>
        </w:rPr>
      </w:pPr>
      <w:r>
        <w:rPr>
          <w:rFonts w:ascii="Times New Roman" w:hAnsi="Times New Roman"/>
          <w:bCs/>
        </w:rPr>
        <w:t>Личные</w:t>
      </w:r>
      <w:r>
        <w:rPr>
          <w:rFonts w:ascii="Times New Roman" w:hAnsi="Times New Roman"/>
          <w:bCs/>
          <w:lang w:val="en-US"/>
        </w:rPr>
        <w:t xml:space="preserve"> </w:t>
      </w:r>
      <w:r>
        <w:rPr>
          <w:rFonts w:ascii="Times New Roman" w:hAnsi="Times New Roman"/>
          <w:bCs/>
        </w:rPr>
        <w:t>местоимения</w:t>
      </w:r>
      <w:r>
        <w:rPr>
          <w:rFonts w:ascii="Times New Roman" w:hAnsi="Times New Roman"/>
          <w:bCs/>
          <w:lang w:val="en-US"/>
        </w:rPr>
        <w:t xml:space="preserve"> (I, you, he/she/it, we, they). </w:t>
      </w:r>
      <w:r>
        <w:rPr>
          <w:rFonts w:ascii="Times New Roman" w:hAnsi="Times New Roman"/>
          <w:bCs/>
        </w:rPr>
        <w:t>Притяжательные</w:t>
      </w:r>
      <w:r>
        <w:rPr>
          <w:rFonts w:ascii="Times New Roman" w:hAnsi="Times New Roman"/>
          <w:bCs/>
          <w:lang w:val="en-US"/>
        </w:rPr>
        <w:t xml:space="preserve"> </w:t>
      </w:r>
      <w:r>
        <w:rPr>
          <w:rFonts w:ascii="Times New Roman" w:hAnsi="Times New Roman"/>
          <w:bCs/>
        </w:rPr>
        <w:t>местоимения</w:t>
      </w:r>
      <w:r>
        <w:rPr>
          <w:rFonts w:ascii="Times New Roman" w:hAnsi="Times New Roman"/>
          <w:bCs/>
          <w:lang w:val="en-US"/>
        </w:rPr>
        <w:t xml:space="preserve"> (my, your, his/her/its, our, their). </w:t>
      </w:r>
      <w:r>
        <w:rPr>
          <w:rFonts w:ascii="Times New Roman" w:hAnsi="Times New Roman"/>
          <w:bCs/>
        </w:rPr>
        <w:t>Указательные местоимения (this – these).</w:t>
      </w:r>
    </w:p>
    <w:p w14:paraId="75959CDB">
      <w:pPr>
        <w:widowControl/>
        <w:tabs>
          <w:tab w:val="left" w:pos="1134"/>
        </w:tabs>
        <w:spacing w:after="0" w:line="360" w:lineRule="auto"/>
        <w:ind w:firstLine="709"/>
        <w:jc w:val="both"/>
        <w:rPr>
          <w:rFonts w:ascii="Times New Roman" w:hAnsi="Times New Roman"/>
          <w:bCs/>
        </w:rPr>
      </w:pPr>
      <w:r>
        <w:rPr>
          <w:rFonts w:ascii="Times New Roman" w:hAnsi="Times New Roman"/>
          <w:bCs/>
        </w:rPr>
        <w:t>Количественные числительные (1–12).</w:t>
      </w:r>
    </w:p>
    <w:p w14:paraId="1954E30E">
      <w:pPr>
        <w:widowControl/>
        <w:tabs>
          <w:tab w:val="left" w:pos="1134"/>
        </w:tabs>
        <w:spacing w:after="0" w:line="360" w:lineRule="auto"/>
        <w:ind w:firstLine="709"/>
        <w:jc w:val="both"/>
        <w:rPr>
          <w:rFonts w:ascii="Times New Roman" w:hAnsi="Times New Roman"/>
          <w:bCs/>
        </w:rPr>
      </w:pPr>
      <w:r>
        <w:rPr>
          <w:rFonts w:ascii="Times New Roman" w:hAnsi="Times New Roman"/>
          <w:bCs/>
        </w:rPr>
        <w:t>Вопросительные слова (who, what, how, where, how many).</w:t>
      </w:r>
    </w:p>
    <w:p w14:paraId="42697DCB">
      <w:pPr>
        <w:widowControl/>
        <w:tabs>
          <w:tab w:val="left" w:pos="1134"/>
        </w:tabs>
        <w:spacing w:after="0" w:line="360" w:lineRule="auto"/>
        <w:ind w:firstLine="709"/>
        <w:jc w:val="both"/>
        <w:rPr>
          <w:rFonts w:ascii="Times New Roman" w:hAnsi="Times New Roman"/>
          <w:bCs/>
          <w:lang w:val="en-US"/>
        </w:rPr>
      </w:pPr>
      <w:r>
        <w:rPr>
          <w:rFonts w:ascii="Times New Roman" w:hAnsi="Times New Roman"/>
          <w:bCs/>
        </w:rPr>
        <w:t>Предлоги</w:t>
      </w:r>
      <w:r>
        <w:rPr>
          <w:rFonts w:ascii="Times New Roman" w:hAnsi="Times New Roman"/>
          <w:bCs/>
          <w:lang w:val="en-US"/>
        </w:rPr>
        <w:t xml:space="preserve"> </w:t>
      </w:r>
      <w:r>
        <w:rPr>
          <w:rFonts w:ascii="Times New Roman" w:hAnsi="Times New Roman"/>
          <w:bCs/>
        </w:rPr>
        <w:t>места</w:t>
      </w:r>
      <w:r>
        <w:rPr>
          <w:rFonts w:ascii="Times New Roman" w:hAnsi="Times New Roman"/>
          <w:bCs/>
          <w:lang w:val="en-US"/>
        </w:rPr>
        <w:t xml:space="preserve"> (in, on, near, under).</w:t>
      </w:r>
    </w:p>
    <w:p w14:paraId="6D9F2142">
      <w:pPr>
        <w:widowControl/>
        <w:tabs>
          <w:tab w:val="left" w:pos="1134"/>
        </w:tabs>
        <w:spacing w:after="0" w:line="360" w:lineRule="auto"/>
        <w:ind w:firstLine="709"/>
        <w:jc w:val="both"/>
        <w:rPr>
          <w:rFonts w:ascii="Times New Roman" w:hAnsi="Times New Roman"/>
          <w:bCs/>
        </w:rPr>
      </w:pPr>
      <w:r>
        <w:rPr>
          <w:rFonts w:ascii="Times New Roman" w:hAnsi="Times New Roman"/>
          <w:bCs/>
        </w:rPr>
        <w:t>Союзы and и but (c однородными членами).</w:t>
      </w:r>
      <w:bookmarkStart w:id="32" w:name="bookmark35"/>
      <w:bookmarkStart w:id="33" w:name="bookmark33"/>
      <w:bookmarkStart w:id="34" w:name="bookmark34"/>
    </w:p>
    <w:p w14:paraId="3CCDEFEF">
      <w:pPr>
        <w:widowControl/>
        <w:tabs>
          <w:tab w:val="left" w:pos="1134"/>
        </w:tabs>
        <w:spacing w:after="0" w:line="360" w:lineRule="auto"/>
        <w:ind w:firstLine="709"/>
        <w:jc w:val="both"/>
        <w:rPr>
          <w:rFonts w:ascii="Times New Roman" w:hAnsi="Times New Roman"/>
          <w:bCs/>
        </w:rPr>
      </w:pPr>
      <w:r>
        <w:rPr>
          <w:rFonts w:ascii="Times New Roman" w:hAnsi="Times New Roman"/>
          <w:bCs/>
        </w:rPr>
        <w:t>9.6.4. Социокультурные знания и умения</w:t>
      </w:r>
      <w:bookmarkEnd w:id="32"/>
      <w:bookmarkEnd w:id="33"/>
      <w:bookmarkEnd w:id="34"/>
      <w:r>
        <w:rPr>
          <w:rFonts w:ascii="Times New Roman" w:hAnsi="Times New Roman"/>
          <w:bCs/>
        </w:rPr>
        <w:t>.</w:t>
      </w:r>
    </w:p>
    <w:p w14:paraId="5ADD756B">
      <w:pPr>
        <w:widowControl/>
        <w:tabs>
          <w:tab w:val="left" w:pos="1134"/>
        </w:tabs>
        <w:spacing w:after="0" w:line="360" w:lineRule="auto"/>
        <w:ind w:firstLine="709"/>
        <w:jc w:val="both"/>
        <w:rPr>
          <w:rFonts w:ascii="Times New Roman" w:hAnsi="Times New Roman"/>
          <w:bCs/>
        </w:rPr>
      </w:pPr>
      <w:r>
        <w:rPr>
          <w:rFonts w:ascii="Times New Roman" w:hAnsi="Times New Roman"/>
          <w:bCs/>
        </w:rPr>
        <w:t>Знание и использование некоторых социокультурных элементов речевого поведенческого этикета, принятого в стране/странах изучаемого языка в некоторых ситуациях общения: приветствие, прощание, знакомство, выражение благодарности, извинение, поздравление (с днём рождения, Новым годом, Рождеством).</w:t>
      </w:r>
    </w:p>
    <w:p w14:paraId="721AE41F">
      <w:pPr>
        <w:widowControl/>
        <w:tabs>
          <w:tab w:val="left" w:pos="1134"/>
        </w:tabs>
        <w:spacing w:after="0" w:line="360" w:lineRule="auto"/>
        <w:ind w:firstLine="709"/>
        <w:jc w:val="both"/>
        <w:rPr>
          <w:rFonts w:ascii="Times New Roman" w:hAnsi="Times New Roman"/>
          <w:bCs/>
        </w:rPr>
      </w:pPr>
      <w:r>
        <w:rPr>
          <w:rFonts w:ascii="Times New Roman" w:hAnsi="Times New Roman"/>
          <w:bCs/>
        </w:rPr>
        <w:t>Знание небольших произведений детского фольклора страны/стран изучаемого языка (рифмовки, стихи, песенки); персонажей детских книг.</w:t>
      </w:r>
    </w:p>
    <w:p w14:paraId="417E206A">
      <w:pPr>
        <w:widowControl/>
        <w:tabs>
          <w:tab w:val="left" w:pos="1134"/>
        </w:tabs>
        <w:spacing w:after="0" w:line="360" w:lineRule="auto"/>
        <w:ind w:firstLine="709"/>
        <w:jc w:val="both"/>
        <w:rPr>
          <w:rFonts w:ascii="Times New Roman" w:hAnsi="Times New Roman"/>
          <w:bCs/>
        </w:rPr>
      </w:pPr>
      <w:r>
        <w:rPr>
          <w:rFonts w:ascii="Times New Roman" w:hAnsi="Times New Roman"/>
          <w:bCs/>
        </w:rPr>
        <w:t>Знание названий родной страны и страны/стран изучаемого языка и их столиц.</w:t>
      </w:r>
      <w:bookmarkStart w:id="35" w:name="bookmark36"/>
      <w:bookmarkStart w:id="36" w:name="bookmark38"/>
      <w:bookmarkStart w:id="37" w:name="bookmark37"/>
    </w:p>
    <w:p w14:paraId="681E0EC0">
      <w:pPr>
        <w:widowControl/>
        <w:tabs>
          <w:tab w:val="left" w:pos="1134"/>
        </w:tabs>
        <w:spacing w:after="0" w:line="360" w:lineRule="auto"/>
        <w:ind w:firstLine="709"/>
        <w:jc w:val="both"/>
        <w:rPr>
          <w:rFonts w:ascii="Times New Roman" w:hAnsi="Times New Roman"/>
          <w:bCs/>
        </w:rPr>
      </w:pPr>
      <w:r>
        <w:rPr>
          <w:rFonts w:ascii="Times New Roman" w:hAnsi="Times New Roman"/>
          <w:bCs/>
        </w:rPr>
        <w:t>9.6.5. Компенсаторные умения</w:t>
      </w:r>
      <w:bookmarkEnd w:id="35"/>
      <w:bookmarkEnd w:id="36"/>
      <w:bookmarkEnd w:id="37"/>
      <w:r>
        <w:rPr>
          <w:rFonts w:ascii="Times New Roman" w:hAnsi="Times New Roman"/>
          <w:bCs/>
        </w:rPr>
        <w:t>.</w:t>
      </w:r>
    </w:p>
    <w:p w14:paraId="2BCF2316">
      <w:pPr>
        <w:widowControl/>
        <w:tabs>
          <w:tab w:val="left" w:pos="1134"/>
        </w:tabs>
        <w:spacing w:after="0" w:line="360" w:lineRule="auto"/>
        <w:ind w:firstLine="709"/>
        <w:jc w:val="both"/>
        <w:rPr>
          <w:rFonts w:ascii="Times New Roman" w:hAnsi="Times New Roman"/>
          <w:bCs/>
        </w:rPr>
      </w:pPr>
      <w:r>
        <w:rPr>
          <w:rFonts w:ascii="Times New Roman" w:hAnsi="Times New Roman"/>
          <w:bCs/>
        </w:rPr>
        <w:t>Использование при чтении и аудировании языковой догадки (умения понять значение незнакомого слова или новое значение знакомого слова по контексту).</w:t>
      </w:r>
    </w:p>
    <w:p w14:paraId="5E1B9A45">
      <w:pPr>
        <w:widowControl/>
        <w:tabs>
          <w:tab w:val="left" w:pos="1134"/>
        </w:tabs>
        <w:spacing w:after="0" w:line="360" w:lineRule="auto"/>
        <w:ind w:firstLine="709"/>
        <w:jc w:val="both"/>
        <w:rPr>
          <w:rFonts w:ascii="Times New Roman" w:hAnsi="Times New Roman"/>
          <w:bCs/>
        </w:rPr>
      </w:pPr>
      <w:r>
        <w:rPr>
          <w:rFonts w:ascii="Times New Roman" w:hAnsi="Times New Roman"/>
          <w:bCs/>
        </w:rPr>
        <w:t>Использование при формулировании собственных высказываний ключевых слов, вопросов; иллюстраций.</w:t>
      </w:r>
    </w:p>
    <w:p w14:paraId="5960628D">
      <w:pPr>
        <w:widowControl/>
        <w:tabs>
          <w:tab w:val="left" w:pos="1134"/>
        </w:tabs>
        <w:spacing w:after="0" w:line="360" w:lineRule="auto"/>
        <w:ind w:firstLine="709"/>
        <w:jc w:val="both"/>
        <w:rPr>
          <w:rFonts w:ascii="Times New Roman" w:hAnsi="Times New Roman"/>
          <w:bCs/>
        </w:rPr>
      </w:pPr>
      <w:r>
        <w:rPr>
          <w:rFonts w:ascii="Times New Roman" w:hAnsi="Times New Roman"/>
          <w:bCs/>
        </w:rPr>
        <w:t>9.7. Содержание обучения в 3 классе.</w:t>
      </w:r>
    </w:p>
    <w:p w14:paraId="49BD10A4">
      <w:pPr>
        <w:widowControl/>
        <w:tabs>
          <w:tab w:val="left" w:pos="1134"/>
        </w:tabs>
        <w:spacing w:after="0" w:line="360" w:lineRule="auto"/>
        <w:ind w:firstLine="709"/>
        <w:jc w:val="both"/>
        <w:rPr>
          <w:rFonts w:ascii="Times New Roman" w:hAnsi="Times New Roman"/>
          <w:bCs/>
        </w:rPr>
      </w:pPr>
      <w:r>
        <w:rPr>
          <w:rFonts w:ascii="Times New Roman" w:hAnsi="Times New Roman"/>
          <w:bCs/>
        </w:rPr>
        <w:t>9.7.1. Тематическое содержание речи.</w:t>
      </w:r>
    </w:p>
    <w:p w14:paraId="0ED399C5">
      <w:pPr>
        <w:widowControl/>
        <w:tabs>
          <w:tab w:val="left" w:pos="1134"/>
        </w:tabs>
        <w:spacing w:after="0" w:line="360" w:lineRule="auto"/>
        <w:ind w:firstLine="709"/>
        <w:jc w:val="both"/>
        <w:rPr>
          <w:rFonts w:ascii="Times New Roman" w:hAnsi="Times New Roman"/>
          <w:bCs/>
        </w:rPr>
      </w:pPr>
      <w:r>
        <w:rPr>
          <w:rFonts w:ascii="Times New Roman" w:hAnsi="Times New Roman"/>
          <w:bCs/>
        </w:rPr>
        <w:t xml:space="preserve">9.7.1.1. Мир моего «я». </w:t>
      </w:r>
    </w:p>
    <w:p w14:paraId="2E4E8783">
      <w:pPr>
        <w:widowControl/>
        <w:tabs>
          <w:tab w:val="left" w:pos="1134"/>
        </w:tabs>
        <w:spacing w:after="0" w:line="360" w:lineRule="auto"/>
        <w:ind w:firstLine="709"/>
        <w:jc w:val="both"/>
        <w:rPr>
          <w:rFonts w:ascii="Times New Roman" w:hAnsi="Times New Roman"/>
          <w:bCs/>
        </w:rPr>
      </w:pPr>
      <w:r>
        <w:rPr>
          <w:rFonts w:ascii="Times New Roman" w:hAnsi="Times New Roman"/>
          <w:bCs/>
        </w:rPr>
        <w:t>Моя семья. Мой день рождения. Моя любимая еда. Мой день (распорядок дня).</w:t>
      </w:r>
    </w:p>
    <w:p w14:paraId="2BFA1FEA">
      <w:pPr>
        <w:widowControl/>
        <w:tabs>
          <w:tab w:val="left" w:pos="1134"/>
        </w:tabs>
        <w:spacing w:after="0" w:line="360" w:lineRule="auto"/>
        <w:ind w:firstLine="709"/>
        <w:jc w:val="both"/>
        <w:rPr>
          <w:rFonts w:ascii="Times New Roman" w:hAnsi="Times New Roman"/>
          <w:bCs/>
        </w:rPr>
      </w:pPr>
      <w:r>
        <w:rPr>
          <w:rFonts w:ascii="Times New Roman" w:hAnsi="Times New Roman"/>
          <w:bCs/>
        </w:rPr>
        <w:t xml:space="preserve">9.7.1.2. Мир моих увлечений. </w:t>
      </w:r>
    </w:p>
    <w:p w14:paraId="4FF30C34">
      <w:pPr>
        <w:widowControl/>
        <w:tabs>
          <w:tab w:val="left" w:pos="1134"/>
        </w:tabs>
        <w:spacing w:after="0" w:line="360" w:lineRule="auto"/>
        <w:ind w:firstLine="709"/>
        <w:jc w:val="both"/>
        <w:rPr>
          <w:rFonts w:ascii="Times New Roman" w:hAnsi="Times New Roman"/>
          <w:bCs/>
        </w:rPr>
      </w:pPr>
      <w:r>
        <w:rPr>
          <w:rFonts w:ascii="Times New Roman" w:hAnsi="Times New Roman"/>
          <w:bCs/>
        </w:rPr>
        <w:t>Любимая игрушка, игра. Мой питомец. Любимые занятия. Любимая сказка. Выходной день. Каникулы.</w:t>
      </w:r>
    </w:p>
    <w:p w14:paraId="0F69FE24">
      <w:pPr>
        <w:widowControl/>
        <w:tabs>
          <w:tab w:val="left" w:pos="1134"/>
        </w:tabs>
        <w:spacing w:after="0" w:line="360" w:lineRule="auto"/>
        <w:ind w:firstLine="709"/>
        <w:jc w:val="both"/>
        <w:rPr>
          <w:rFonts w:ascii="Times New Roman" w:hAnsi="Times New Roman"/>
          <w:bCs/>
        </w:rPr>
      </w:pPr>
      <w:r>
        <w:rPr>
          <w:rFonts w:ascii="Times New Roman" w:hAnsi="Times New Roman"/>
          <w:bCs/>
        </w:rPr>
        <w:t xml:space="preserve">9.7.1.3. Мир вокруг меня. </w:t>
      </w:r>
    </w:p>
    <w:p w14:paraId="2EE7EDC3">
      <w:pPr>
        <w:widowControl/>
        <w:tabs>
          <w:tab w:val="left" w:pos="1134"/>
        </w:tabs>
        <w:spacing w:after="0" w:line="360" w:lineRule="auto"/>
        <w:ind w:firstLine="709"/>
        <w:jc w:val="both"/>
        <w:rPr>
          <w:rFonts w:ascii="Times New Roman" w:hAnsi="Times New Roman"/>
          <w:bCs/>
        </w:rPr>
      </w:pPr>
      <w:r>
        <w:rPr>
          <w:rFonts w:ascii="Times New Roman" w:hAnsi="Times New Roman"/>
          <w:bCs/>
        </w:rPr>
        <w:t>Моя комната (квартира, дом). Моя школа. Мои друзья. Моя малая родина (город, село). Дикие и домашние животные. Погода. Времена года (месяцы).</w:t>
      </w:r>
    </w:p>
    <w:p w14:paraId="05F04CAA">
      <w:pPr>
        <w:widowControl/>
        <w:tabs>
          <w:tab w:val="left" w:pos="1134"/>
        </w:tabs>
        <w:spacing w:after="0" w:line="360" w:lineRule="auto"/>
        <w:ind w:firstLine="709"/>
        <w:jc w:val="both"/>
        <w:rPr>
          <w:rFonts w:ascii="Times New Roman" w:hAnsi="Times New Roman"/>
          <w:bCs/>
        </w:rPr>
      </w:pPr>
      <w:r>
        <w:rPr>
          <w:rFonts w:ascii="Times New Roman" w:hAnsi="Times New Roman"/>
          <w:bCs/>
        </w:rPr>
        <w:t xml:space="preserve">9.7.1.4. Родная страна и страны изучаемого языка. </w:t>
      </w:r>
    </w:p>
    <w:p w14:paraId="2DED07DF">
      <w:pPr>
        <w:widowControl/>
        <w:tabs>
          <w:tab w:val="left" w:pos="1134"/>
        </w:tabs>
        <w:spacing w:after="0" w:line="360" w:lineRule="auto"/>
        <w:ind w:firstLine="709"/>
        <w:jc w:val="both"/>
        <w:rPr>
          <w:rFonts w:ascii="Times New Roman" w:hAnsi="Times New Roman"/>
          <w:bCs/>
        </w:rPr>
      </w:pPr>
      <w:r>
        <w:rPr>
          <w:rFonts w:ascii="Times New Roman" w:hAnsi="Times New Roman"/>
          <w:bCs/>
        </w:rPr>
        <w:t>Россия и страна/страны изучаемого языка. Их столицы, достопримечательности и интересные факты. Произведения детского фольклора. Литературные персонажи детских книг. Праздники родной страны и страны/стран изучаемого языка.</w:t>
      </w:r>
    </w:p>
    <w:p w14:paraId="019EA19B">
      <w:pPr>
        <w:widowControl/>
        <w:tabs>
          <w:tab w:val="left" w:pos="1134"/>
        </w:tabs>
        <w:spacing w:after="0" w:line="360" w:lineRule="auto"/>
        <w:ind w:firstLine="709"/>
        <w:jc w:val="both"/>
        <w:rPr>
          <w:rFonts w:ascii="Times New Roman" w:hAnsi="Times New Roman"/>
          <w:bCs/>
        </w:rPr>
      </w:pPr>
      <w:r>
        <w:rPr>
          <w:rFonts w:ascii="Times New Roman" w:hAnsi="Times New Roman"/>
          <w:bCs/>
        </w:rPr>
        <w:t>9.2. Коммуникативные умения.</w:t>
      </w:r>
    </w:p>
    <w:p w14:paraId="56348C25">
      <w:pPr>
        <w:widowControl/>
        <w:tabs>
          <w:tab w:val="left" w:pos="1134"/>
        </w:tabs>
        <w:spacing w:after="0" w:line="360" w:lineRule="auto"/>
        <w:ind w:firstLine="709"/>
        <w:jc w:val="both"/>
        <w:rPr>
          <w:rFonts w:ascii="Times New Roman" w:hAnsi="Times New Roman"/>
          <w:bCs/>
        </w:rPr>
      </w:pPr>
      <w:r>
        <w:rPr>
          <w:rFonts w:ascii="Times New Roman" w:hAnsi="Times New Roman"/>
          <w:bCs/>
        </w:rPr>
        <w:t>9.7.2.1. Говорение.</w:t>
      </w:r>
    </w:p>
    <w:p w14:paraId="01505AFE">
      <w:pPr>
        <w:widowControl/>
        <w:tabs>
          <w:tab w:val="left" w:pos="1134"/>
        </w:tabs>
        <w:spacing w:after="0" w:line="360" w:lineRule="auto"/>
        <w:ind w:firstLine="709"/>
        <w:jc w:val="both"/>
        <w:rPr>
          <w:rFonts w:ascii="Times New Roman" w:hAnsi="Times New Roman"/>
          <w:bCs/>
        </w:rPr>
      </w:pPr>
      <w:r>
        <w:rPr>
          <w:rFonts w:ascii="Times New Roman" w:hAnsi="Times New Roman"/>
          <w:bCs/>
        </w:rPr>
        <w:t>9.7.2.1.1. Коммуникативные умения диалогической речи.</w:t>
      </w:r>
    </w:p>
    <w:p w14:paraId="1BD26080">
      <w:pPr>
        <w:widowControl/>
        <w:tabs>
          <w:tab w:val="left" w:pos="1134"/>
        </w:tabs>
        <w:spacing w:after="0" w:line="360" w:lineRule="auto"/>
        <w:ind w:firstLine="709"/>
        <w:jc w:val="both"/>
        <w:rPr>
          <w:rFonts w:ascii="Times New Roman" w:hAnsi="Times New Roman"/>
          <w:bCs/>
        </w:rPr>
      </w:pPr>
      <w:r>
        <w:rPr>
          <w:rFonts w:ascii="Times New Roman" w:hAnsi="Times New Roman"/>
          <w:bCs/>
        </w:rPr>
        <w:t>Ведение с использованием речевых ситуаций, ключевых слов и (или) иллюстраций с соблюдением норм речевого этикета, принятых в стране/странах изучаемого языка:</w:t>
      </w:r>
    </w:p>
    <w:p w14:paraId="1902FB21">
      <w:pPr>
        <w:widowControl/>
        <w:tabs>
          <w:tab w:val="left" w:pos="1134"/>
        </w:tabs>
        <w:spacing w:after="0" w:line="360" w:lineRule="auto"/>
        <w:ind w:firstLine="709"/>
        <w:jc w:val="both"/>
        <w:rPr>
          <w:rFonts w:ascii="Times New Roman" w:hAnsi="Times New Roman"/>
          <w:bCs/>
        </w:rPr>
      </w:pPr>
      <w:r>
        <w:rPr>
          <w:rFonts w:ascii="Times New Roman" w:hAnsi="Times New Roman"/>
          <w:bCs/>
        </w:rPr>
        <w:t>диалога этикетного характера: приветствие, начало и завершение разговора, знакомство с собеседником; поздравление с праздником; выражение благодарности за поздравление; извинение;</w:t>
      </w:r>
    </w:p>
    <w:p w14:paraId="0E72D0D3">
      <w:pPr>
        <w:widowControl/>
        <w:tabs>
          <w:tab w:val="left" w:pos="1134"/>
        </w:tabs>
        <w:spacing w:after="0" w:line="360" w:lineRule="auto"/>
        <w:ind w:firstLine="709"/>
        <w:jc w:val="both"/>
        <w:rPr>
          <w:rFonts w:ascii="Times New Roman" w:hAnsi="Times New Roman"/>
          <w:bCs/>
        </w:rPr>
      </w:pPr>
      <w:r>
        <w:rPr>
          <w:rFonts w:ascii="Times New Roman" w:hAnsi="Times New Roman"/>
          <w:bCs/>
        </w:rPr>
        <w:t>диалога – побуждения к действию: приглашение собеседника к совместной деятельности, вежливое согласие/не согласие на предложение собеседника;</w:t>
      </w:r>
    </w:p>
    <w:p w14:paraId="2E52B9BC">
      <w:pPr>
        <w:widowControl/>
        <w:tabs>
          <w:tab w:val="left" w:pos="1134"/>
        </w:tabs>
        <w:spacing w:after="0" w:line="360" w:lineRule="auto"/>
        <w:ind w:firstLine="709"/>
        <w:jc w:val="both"/>
        <w:rPr>
          <w:rFonts w:ascii="Times New Roman" w:hAnsi="Times New Roman"/>
          <w:bCs/>
        </w:rPr>
      </w:pPr>
      <w:r>
        <w:rPr>
          <w:rFonts w:ascii="Times New Roman" w:hAnsi="Times New Roman"/>
          <w:bCs/>
        </w:rPr>
        <w:t>диалога-расспроса: запрашивание интересующей информации; сообщение фактической информации, ответы на вопросы собеседника.</w:t>
      </w:r>
    </w:p>
    <w:p w14:paraId="1F068A66">
      <w:pPr>
        <w:widowControl/>
        <w:tabs>
          <w:tab w:val="left" w:pos="1134"/>
        </w:tabs>
        <w:spacing w:after="0" w:line="360" w:lineRule="auto"/>
        <w:ind w:firstLine="709"/>
        <w:jc w:val="both"/>
        <w:rPr>
          <w:rFonts w:ascii="Times New Roman" w:hAnsi="Times New Roman"/>
          <w:bCs/>
        </w:rPr>
      </w:pPr>
      <w:r>
        <w:rPr>
          <w:rFonts w:ascii="Times New Roman" w:hAnsi="Times New Roman"/>
          <w:bCs/>
        </w:rPr>
        <w:t>9.7.2.1.2. Коммуникативные умения монологической речи.</w:t>
      </w:r>
    </w:p>
    <w:p w14:paraId="64687057">
      <w:pPr>
        <w:widowControl/>
        <w:tabs>
          <w:tab w:val="left" w:pos="1134"/>
        </w:tabs>
        <w:spacing w:after="0" w:line="360" w:lineRule="auto"/>
        <w:ind w:firstLine="709"/>
        <w:jc w:val="both"/>
        <w:rPr>
          <w:rFonts w:ascii="Times New Roman" w:hAnsi="Times New Roman"/>
          <w:bCs/>
        </w:rPr>
      </w:pPr>
      <w:r>
        <w:rPr>
          <w:rFonts w:ascii="Times New Roman" w:hAnsi="Times New Roman"/>
          <w:bCs/>
        </w:rPr>
        <w:t>Создание с использованием ключевых слов, вопросов и (или) иллюстраций устных монологических высказываний: описание предмета, реального человека или литературного персонажа; рассказ о себе, члене семьи, друге.</w:t>
      </w:r>
    </w:p>
    <w:p w14:paraId="71D7336B">
      <w:pPr>
        <w:widowControl/>
        <w:tabs>
          <w:tab w:val="left" w:pos="1134"/>
        </w:tabs>
        <w:spacing w:after="0" w:line="360" w:lineRule="auto"/>
        <w:ind w:firstLine="709"/>
        <w:jc w:val="both"/>
        <w:rPr>
          <w:rFonts w:ascii="Times New Roman" w:hAnsi="Times New Roman"/>
          <w:bCs/>
        </w:rPr>
      </w:pPr>
      <w:r>
        <w:rPr>
          <w:rFonts w:ascii="Times New Roman" w:hAnsi="Times New Roman"/>
          <w:bCs/>
        </w:rPr>
        <w:t>Пересказ с использованием ключевых слов, вопросов и (или) иллюстраций основного содержания прочитанного текста.</w:t>
      </w:r>
    </w:p>
    <w:p w14:paraId="2300F69D">
      <w:pPr>
        <w:widowControl/>
        <w:tabs>
          <w:tab w:val="left" w:pos="1134"/>
        </w:tabs>
        <w:spacing w:after="0" w:line="360" w:lineRule="auto"/>
        <w:ind w:firstLine="709"/>
        <w:jc w:val="both"/>
        <w:rPr>
          <w:rFonts w:ascii="Times New Roman" w:hAnsi="Times New Roman"/>
          <w:bCs/>
        </w:rPr>
      </w:pPr>
      <w:r>
        <w:rPr>
          <w:rFonts w:ascii="Times New Roman" w:hAnsi="Times New Roman"/>
          <w:bCs/>
        </w:rPr>
        <w:t>9.7.2.2. Аудирование.</w:t>
      </w:r>
    </w:p>
    <w:p w14:paraId="17951D50">
      <w:pPr>
        <w:widowControl/>
        <w:tabs>
          <w:tab w:val="left" w:pos="1134"/>
        </w:tabs>
        <w:spacing w:after="0" w:line="360" w:lineRule="auto"/>
        <w:ind w:firstLine="709"/>
        <w:jc w:val="both"/>
        <w:rPr>
          <w:rFonts w:ascii="Times New Roman" w:hAnsi="Times New Roman"/>
          <w:bCs/>
        </w:rPr>
      </w:pPr>
      <w:r>
        <w:rPr>
          <w:rFonts w:ascii="Times New Roman" w:hAnsi="Times New Roman"/>
          <w:bCs/>
        </w:rPr>
        <w:t>Понимание на слух речи учителя и других обучающихся и вербальная/невербальная реакция на услышанное (при непосредственном общении).</w:t>
      </w:r>
    </w:p>
    <w:p w14:paraId="71DDBE98">
      <w:pPr>
        <w:widowControl/>
        <w:tabs>
          <w:tab w:val="left" w:pos="1134"/>
        </w:tabs>
        <w:spacing w:after="0" w:line="360" w:lineRule="auto"/>
        <w:ind w:firstLine="709"/>
        <w:jc w:val="both"/>
        <w:rPr>
          <w:rFonts w:ascii="Times New Roman" w:hAnsi="Times New Roman"/>
          <w:bCs/>
        </w:rPr>
      </w:pPr>
      <w:r>
        <w:rPr>
          <w:rFonts w:ascii="Times New Roman" w:hAnsi="Times New Roman"/>
          <w:bCs/>
        </w:rPr>
        <w:t>Восприятие и понимание на слух учебных текстов, построенных на изученном языковом материале, в соответствии с поставленной коммуникативной задачей: с пониманием основного содержания, с пониманием запрашиваемой информации (при опосредованном общении).</w:t>
      </w:r>
    </w:p>
    <w:p w14:paraId="4B576DA0">
      <w:pPr>
        <w:widowControl/>
        <w:tabs>
          <w:tab w:val="left" w:pos="1134"/>
        </w:tabs>
        <w:spacing w:after="0" w:line="360" w:lineRule="auto"/>
        <w:ind w:firstLine="709"/>
        <w:jc w:val="both"/>
        <w:rPr>
          <w:rFonts w:ascii="Times New Roman" w:hAnsi="Times New Roman"/>
          <w:bCs/>
        </w:rPr>
      </w:pPr>
      <w:r>
        <w:rPr>
          <w:rFonts w:ascii="Times New Roman" w:hAnsi="Times New Roman"/>
          <w:bCs/>
        </w:rPr>
        <w:t>Аудирование с пониманием основного содержания текста предполагает определение основной темы и главных фактов/событий в воспринимаемом на слух тексте с использованием иллюстраций и языковой, в том числе контекстуальной, догадки.</w:t>
      </w:r>
    </w:p>
    <w:p w14:paraId="3F5C9058">
      <w:pPr>
        <w:widowControl/>
        <w:tabs>
          <w:tab w:val="left" w:pos="1134"/>
        </w:tabs>
        <w:spacing w:after="0" w:line="360" w:lineRule="auto"/>
        <w:ind w:firstLine="709"/>
        <w:jc w:val="both"/>
        <w:rPr>
          <w:rFonts w:ascii="Times New Roman" w:hAnsi="Times New Roman"/>
          <w:bCs/>
        </w:rPr>
      </w:pPr>
      <w:r>
        <w:rPr>
          <w:rFonts w:ascii="Times New Roman" w:hAnsi="Times New Roman"/>
          <w:bCs/>
        </w:rPr>
        <w:t>Аудирование с пониманием запрашиваемой информации предполагает выделение из воспринимаемого на слух тексте и понимание информации фактического характера с использованием иллюстраций и языковой, в том числе контекстуальной, догадки.</w:t>
      </w:r>
    </w:p>
    <w:p w14:paraId="280A2F83">
      <w:pPr>
        <w:widowControl/>
        <w:tabs>
          <w:tab w:val="left" w:pos="1134"/>
        </w:tabs>
        <w:spacing w:after="0" w:line="360" w:lineRule="auto"/>
        <w:ind w:firstLine="709"/>
        <w:jc w:val="both"/>
        <w:rPr>
          <w:rFonts w:ascii="Times New Roman" w:hAnsi="Times New Roman"/>
          <w:bCs/>
        </w:rPr>
      </w:pPr>
      <w:r>
        <w:rPr>
          <w:rFonts w:ascii="Times New Roman" w:hAnsi="Times New Roman"/>
          <w:bCs/>
        </w:rPr>
        <w:t>Тексты для аудирования: диалог, высказывания собеседников в ситуациях повседневного общения, рассказ, сказка.</w:t>
      </w:r>
    </w:p>
    <w:p w14:paraId="0BDBDBBF">
      <w:pPr>
        <w:widowControl/>
        <w:tabs>
          <w:tab w:val="left" w:pos="1134"/>
        </w:tabs>
        <w:spacing w:after="0" w:line="360" w:lineRule="auto"/>
        <w:ind w:firstLine="709"/>
        <w:jc w:val="both"/>
        <w:rPr>
          <w:rFonts w:ascii="Times New Roman" w:hAnsi="Times New Roman"/>
          <w:bCs/>
        </w:rPr>
      </w:pPr>
      <w:r>
        <w:rPr>
          <w:rFonts w:ascii="Times New Roman" w:hAnsi="Times New Roman"/>
          <w:bCs/>
        </w:rPr>
        <w:t>9.7.2.3. Смысловое чтение.</w:t>
      </w:r>
    </w:p>
    <w:p w14:paraId="7BF2E92A">
      <w:pPr>
        <w:widowControl/>
        <w:tabs>
          <w:tab w:val="left" w:pos="1134"/>
        </w:tabs>
        <w:spacing w:after="0" w:line="360" w:lineRule="auto"/>
        <w:ind w:firstLine="709"/>
        <w:jc w:val="both"/>
        <w:rPr>
          <w:rFonts w:ascii="Times New Roman" w:hAnsi="Times New Roman"/>
          <w:bCs/>
        </w:rPr>
      </w:pPr>
      <w:r>
        <w:rPr>
          <w:rFonts w:ascii="Times New Roman" w:hAnsi="Times New Roman"/>
          <w:bCs/>
        </w:rPr>
        <w:t>Чтение вслух учебных текстов, построенных на изученном языковом материале, с соблюдением правил чтения и соответствующей интонацией; понимание прочитанного.</w:t>
      </w:r>
    </w:p>
    <w:p w14:paraId="039B7DB4">
      <w:pPr>
        <w:widowControl/>
        <w:tabs>
          <w:tab w:val="left" w:pos="1134"/>
        </w:tabs>
        <w:spacing w:after="0" w:line="360" w:lineRule="auto"/>
        <w:ind w:firstLine="709"/>
        <w:jc w:val="both"/>
        <w:rPr>
          <w:rFonts w:ascii="Times New Roman" w:hAnsi="Times New Roman"/>
          <w:bCs/>
        </w:rPr>
      </w:pPr>
      <w:r>
        <w:rPr>
          <w:rFonts w:ascii="Times New Roman" w:hAnsi="Times New Roman"/>
          <w:bCs/>
        </w:rPr>
        <w:t>Тексты для чтения вслух: диалог, рассказ, сказка.</w:t>
      </w:r>
    </w:p>
    <w:p w14:paraId="39EB214C">
      <w:pPr>
        <w:widowControl/>
        <w:tabs>
          <w:tab w:val="left" w:pos="1134"/>
        </w:tabs>
        <w:spacing w:after="0" w:line="360" w:lineRule="auto"/>
        <w:ind w:firstLine="709"/>
        <w:jc w:val="both"/>
        <w:rPr>
          <w:rFonts w:ascii="Times New Roman" w:hAnsi="Times New Roman"/>
          <w:bCs/>
        </w:rPr>
      </w:pPr>
      <w:r>
        <w:rPr>
          <w:rFonts w:ascii="Times New Roman" w:hAnsi="Times New Roman"/>
          <w:bCs/>
        </w:rPr>
        <w:t>Чтение про себя учебных текстов, построенных на изученном языковом материале,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w:t>
      </w:r>
    </w:p>
    <w:p w14:paraId="452278F8">
      <w:pPr>
        <w:widowControl/>
        <w:tabs>
          <w:tab w:val="left" w:pos="1134"/>
        </w:tabs>
        <w:spacing w:after="0" w:line="360" w:lineRule="auto"/>
        <w:ind w:firstLine="709"/>
        <w:jc w:val="both"/>
        <w:rPr>
          <w:rFonts w:ascii="Times New Roman" w:hAnsi="Times New Roman"/>
          <w:bCs/>
        </w:rPr>
      </w:pPr>
      <w:r>
        <w:rPr>
          <w:rFonts w:ascii="Times New Roman" w:hAnsi="Times New Roman"/>
          <w:bCs/>
        </w:rPr>
        <w:t>Чтение с пониманием основного содержания текста предполагает определение основной темы и главных фактов/событий в прочитанном тексте с использованием иллюстраций и языковой, в том числе контекстуальной, догадки.</w:t>
      </w:r>
    </w:p>
    <w:p w14:paraId="39216265">
      <w:pPr>
        <w:widowControl/>
        <w:tabs>
          <w:tab w:val="left" w:pos="1134"/>
        </w:tabs>
        <w:spacing w:after="0" w:line="360" w:lineRule="auto"/>
        <w:ind w:firstLine="709"/>
        <w:jc w:val="both"/>
        <w:rPr>
          <w:rFonts w:ascii="Times New Roman" w:hAnsi="Times New Roman"/>
          <w:bCs/>
        </w:rPr>
      </w:pPr>
      <w:r>
        <w:rPr>
          <w:rFonts w:ascii="Times New Roman" w:hAnsi="Times New Roman"/>
          <w:bCs/>
        </w:rPr>
        <w:t>Чтение с пониманием запрашиваемой информации предполагает нахождение в прочитанном тексте и понимание запрашиваемой информации фактического характера с использованием иллюстраций и языковой, в том числе контекстуальной, догадки.</w:t>
      </w:r>
    </w:p>
    <w:p w14:paraId="0575ACBA">
      <w:pPr>
        <w:widowControl/>
        <w:tabs>
          <w:tab w:val="left" w:pos="1134"/>
        </w:tabs>
        <w:spacing w:after="0" w:line="360" w:lineRule="auto"/>
        <w:ind w:firstLine="709"/>
        <w:jc w:val="both"/>
        <w:rPr>
          <w:rFonts w:ascii="Times New Roman" w:hAnsi="Times New Roman"/>
          <w:bCs/>
        </w:rPr>
      </w:pPr>
      <w:r>
        <w:rPr>
          <w:rFonts w:ascii="Times New Roman" w:hAnsi="Times New Roman"/>
          <w:bCs/>
        </w:rPr>
        <w:t>Тексты для чтения: диалог, рассказ, сказка, электронное сообщение личного характера.</w:t>
      </w:r>
    </w:p>
    <w:p w14:paraId="76A63631">
      <w:pPr>
        <w:widowControl/>
        <w:tabs>
          <w:tab w:val="left" w:pos="1134"/>
        </w:tabs>
        <w:spacing w:after="0" w:line="360" w:lineRule="auto"/>
        <w:ind w:firstLine="709"/>
        <w:jc w:val="both"/>
        <w:rPr>
          <w:rFonts w:ascii="Times New Roman" w:hAnsi="Times New Roman"/>
          <w:bCs/>
        </w:rPr>
      </w:pPr>
      <w:r>
        <w:rPr>
          <w:rFonts w:ascii="Times New Roman" w:hAnsi="Times New Roman"/>
          <w:bCs/>
        </w:rPr>
        <w:t>9.7.2.4. Письмо.</w:t>
      </w:r>
    </w:p>
    <w:p w14:paraId="34CD6AE9">
      <w:pPr>
        <w:widowControl/>
        <w:tabs>
          <w:tab w:val="left" w:pos="1134"/>
        </w:tabs>
        <w:spacing w:after="0" w:line="360" w:lineRule="auto"/>
        <w:ind w:firstLine="709"/>
        <w:jc w:val="both"/>
        <w:rPr>
          <w:rFonts w:ascii="Times New Roman" w:hAnsi="Times New Roman"/>
          <w:bCs/>
        </w:rPr>
      </w:pPr>
      <w:r>
        <w:rPr>
          <w:rFonts w:ascii="Times New Roman" w:hAnsi="Times New Roman"/>
          <w:bCs/>
        </w:rPr>
        <w:t>Списывание текста; выписывание из текста слов, словосочетаний, предложений; вставка пропущенного слова в предложение в соответствии с решаемой коммуникативной/учебной задачей.</w:t>
      </w:r>
    </w:p>
    <w:p w14:paraId="2FEC8815">
      <w:pPr>
        <w:widowControl/>
        <w:tabs>
          <w:tab w:val="left" w:pos="1134"/>
        </w:tabs>
        <w:spacing w:after="0" w:line="360" w:lineRule="auto"/>
        <w:ind w:firstLine="709"/>
        <w:jc w:val="both"/>
        <w:rPr>
          <w:rFonts w:ascii="Times New Roman" w:hAnsi="Times New Roman"/>
          <w:bCs/>
        </w:rPr>
      </w:pPr>
      <w:r>
        <w:rPr>
          <w:rFonts w:ascii="Times New Roman" w:hAnsi="Times New Roman"/>
          <w:bCs/>
        </w:rPr>
        <w:t>Создание подписей к картинкам, фотографиям с пояснением, что на них изображено.</w:t>
      </w:r>
    </w:p>
    <w:p w14:paraId="40D902C0">
      <w:pPr>
        <w:widowControl/>
        <w:tabs>
          <w:tab w:val="left" w:pos="1134"/>
        </w:tabs>
        <w:spacing w:after="0" w:line="360" w:lineRule="auto"/>
        <w:ind w:firstLine="709"/>
        <w:jc w:val="both"/>
        <w:rPr>
          <w:rFonts w:ascii="Times New Roman" w:hAnsi="Times New Roman"/>
          <w:bCs/>
        </w:rPr>
      </w:pPr>
      <w:r>
        <w:rPr>
          <w:rFonts w:ascii="Times New Roman" w:hAnsi="Times New Roman"/>
          <w:bCs/>
        </w:rPr>
        <w:t>Заполнение анкет и формуляров с указанием личной информации (имя, фамилия, возраст, страна проживания, любимые занятия) в соответствии с нормами, принятыми в стране/странах изучаемого языка.</w:t>
      </w:r>
    </w:p>
    <w:p w14:paraId="43532FE0">
      <w:pPr>
        <w:widowControl/>
        <w:tabs>
          <w:tab w:val="left" w:pos="1134"/>
        </w:tabs>
        <w:spacing w:after="0" w:line="360" w:lineRule="auto"/>
        <w:ind w:firstLine="709"/>
        <w:jc w:val="both"/>
        <w:rPr>
          <w:rFonts w:ascii="Times New Roman" w:hAnsi="Times New Roman"/>
          <w:bCs/>
        </w:rPr>
      </w:pPr>
      <w:r>
        <w:rPr>
          <w:rFonts w:ascii="Times New Roman" w:hAnsi="Times New Roman"/>
          <w:bCs/>
        </w:rPr>
        <w:t>Написание с использованием образца поздравлений с праздниками (с днём рождения, Новым годом, Рождеством) с выражением пожеланий.</w:t>
      </w:r>
    </w:p>
    <w:p w14:paraId="2E48FB2C">
      <w:pPr>
        <w:widowControl/>
        <w:tabs>
          <w:tab w:val="left" w:pos="1134"/>
        </w:tabs>
        <w:spacing w:after="0" w:line="360" w:lineRule="auto"/>
        <w:ind w:firstLine="709"/>
        <w:jc w:val="both"/>
        <w:rPr>
          <w:rFonts w:ascii="Times New Roman" w:hAnsi="Times New Roman"/>
          <w:bCs/>
        </w:rPr>
      </w:pPr>
      <w:r>
        <w:rPr>
          <w:rFonts w:ascii="Times New Roman" w:hAnsi="Times New Roman"/>
          <w:bCs/>
        </w:rPr>
        <w:t>9.7.3. Языковые знания и навыки.</w:t>
      </w:r>
    </w:p>
    <w:p w14:paraId="21B090BC">
      <w:pPr>
        <w:widowControl/>
        <w:tabs>
          <w:tab w:val="left" w:pos="1134"/>
        </w:tabs>
        <w:spacing w:after="0" w:line="360" w:lineRule="auto"/>
        <w:ind w:firstLine="709"/>
        <w:jc w:val="both"/>
        <w:rPr>
          <w:rFonts w:ascii="Times New Roman" w:hAnsi="Times New Roman"/>
          <w:bCs/>
        </w:rPr>
      </w:pPr>
      <w:r>
        <w:rPr>
          <w:rFonts w:ascii="Times New Roman" w:hAnsi="Times New Roman"/>
          <w:bCs/>
        </w:rPr>
        <w:t>9.7.3.1. Фонетическая сторона речи.</w:t>
      </w:r>
    </w:p>
    <w:p w14:paraId="5FFAB389">
      <w:pPr>
        <w:widowControl/>
        <w:tabs>
          <w:tab w:val="left" w:pos="1134"/>
        </w:tabs>
        <w:spacing w:after="0" w:line="360" w:lineRule="auto"/>
        <w:ind w:firstLine="709"/>
        <w:jc w:val="both"/>
        <w:rPr>
          <w:rFonts w:ascii="Times New Roman" w:hAnsi="Times New Roman"/>
          <w:bCs/>
        </w:rPr>
      </w:pPr>
      <w:r>
        <w:rPr>
          <w:rFonts w:ascii="Times New Roman" w:hAnsi="Times New Roman"/>
          <w:bCs/>
        </w:rPr>
        <w:t>Буквы английского алфавита. Фонетически корректное озвучивание букв английского алфавита.</w:t>
      </w:r>
    </w:p>
    <w:p w14:paraId="488B2044">
      <w:pPr>
        <w:widowControl/>
        <w:tabs>
          <w:tab w:val="left" w:pos="1134"/>
        </w:tabs>
        <w:spacing w:after="0" w:line="360" w:lineRule="auto"/>
        <w:ind w:firstLine="709"/>
        <w:jc w:val="both"/>
        <w:rPr>
          <w:rFonts w:ascii="Times New Roman" w:hAnsi="Times New Roman"/>
          <w:bCs/>
        </w:rPr>
      </w:pPr>
      <w:r>
        <w:rPr>
          <w:rFonts w:ascii="Times New Roman" w:hAnsi="Times New Roman"/>
          <w:bCs/>
        </w:rPr>
        <w:t>Нормы произношения: долгота и краткость гласных, правильное отсутствие оглушения звонких согласных в конце слога или слова, отсутствие смягчения согласных перед гласными. Связующее “r” (there is/there are).</w:t>
      </w:r>
    </w:p>
    <w:p w14:paraId="46275188">
      <w:pPr>
        <w:widowControl/>
        <w:tabs>
          <w:tab w:val="left" w:pos="1134"/>
        </w:tabs>
        <w:spacing w:after="0" w:line="360" w:lineRule="auto"/>
        <w:ind w:firstLine="709"/>
        <w:jc w:val="both"/>
        <w:rPr>
          <w:rFonts w:ascii="Times New Roman" w:hAnsi="Times New Roman"/>
          <w:bCs/>
        </w:rPr>
      </w:pPr>
      <w:r>
        <w:rPr>
          <w:rFonts w:ascii="Times New Roman" w:hAnsi="Times New Roman"/>
          <w:bCs/>
        </w:rPr>
        <w:t>Ритмико-интонационные особенности повествовательного, побудительного и вопросительного (общий и специальный вопрос) предложений.</w:t>
      </w:r>
    </w:p>
    <w:p w14:paraId="17FD9B08">
      <w:pPr>
        <w:widowControl/>
        <w:tabs>
          <w:tab w:val="left" w:pos="1134"/>
        </w:tabs>
        <w:spacing w:after="0" w:line="360" w:lineRule="auto"/>
        <w:ind w:firstLine="709"/>
        <w:jc w:val="both"/>
        <w:rPr>
          <w:rFonts w:ascii="Times New Roman" w:hAnsi="Times New Roman"/>
          <w:bCs/>
        </w:rPr>
      </w:pPr>
      <w:r>
        <w:rPr>
          <w:rFonts w:ascii="Times New Roman" w:hAnsi="Times New Roman"/>
          <w:bCs/>
        </w:rPr>
        <w:t>Различение на слух, без ошибок произнесение слов с соблюдением правильного ударения и фраз/предложений с соблюдением их ритмико-интонационных особенностей.</w:t>
      </w:r>
    </w:p>
    <w:p w14:paraId="638CA4CE">
      <w:pPr>
        <w:widowControl/>
        <w:tabs>
          <w:tab w:val="left" w:pos="1134"/>
        </w:tabs>
        <w:spacing w:after="0" w:line="360" w:lineRule="auto"/>
        <w:ind w:firstLine="709"/>
        <w:jc w:val="both"/>
        <w:rPr>
          <w:rFonts w:ascii="Times New Roman" w:hAnsi="Times New Roman"/>
          <w:bCs/>
        </w:rPr>
      </w:pPr>
      <w:r>
        <w:rPr>
          <w:rFonts w:ascii="Times New Roman" w:hAnsi="Times New Roman"/>
          <w:bCs/>
        </w:rPr>
        <w:t>Чтение гласных в открытом и закрытом слоге в односложных словах, чтения гласных в третьем типе слога (гласная + r); согласных, основных звукобуквенных сочетаний, в частности сложных сочетаний букв (например, tion, ight) в односложных, двусложных и многосложных словах.</w:t>
      </w:r>
    </w:p>
    <w:p w14:paraId="3AE014D6">
      <w:pPr>
        <w:widowControl/>
        <w:tabs>
          <w:tab w:val="left" w:pos="1134"/>
        </w:tabs>
        <w:spacing w:after="0" w:line="360" w:lineRule="auto"/>
        <w:ind w:firstLine="709"/>
        <w:jc w:val="both"/>
        <w:rPr>
          <w:rFonts w:ascii="Times New Roman" w:hAnsi="Times New Roman"/>
          <w:bCs/>
        </w:rPr>
      </w:pPr>
      <w:r>
        <w:rPr>
          <w:rFonts w:ascii="Times New Roman" w:hAnsi="Times New Roman"/>
          <w:bCs/>
        </w:rPr>
        <w:t>ВыДеление некоторых звукобуквенных сочетаний при анализе изученных слов.</w:t>
      </w:r>
    </w:p>
    <w:p w14:paraId="53D05A0C">
      <w:pPr>
        <w:widowControl/>
        <w:tabs>
          <w:tab w:val="left" w:pos="1134"/>
        </w:tabs>
        <w:spacing w:after="0" w:line="360" w:lineRule="auto"/>
        <w:ind w:firstLine="709"/>
        <w:jc w:val="both"/>
        <w:rPr>
          <w:rFonts w:ascii="Times New Roman" w:hAnsi="Times New Roman"/>
          <w:bCs/>
        </w:rPr>
      </w:pPr>
      <w:r>
        <w:rPr>
          <w:rFonts w:ascii="Times New Roman" w:hAnsi="Times New Roman"/>
          <w:bCs/>
        </w:rPr>
        <w:t>Чтение новых слов согласно основным правилам чтения с использованием полной или частичной транскрипции.</w:t>
      </w:r>
    </w:p>
    <w:p w14:paraId="2031CDE2">
      <w:pPr>
        <w:widowControl/>
        <w:tabs>
          <w:tab w:val="left" w:pos="1134"/>
        </w:tabs>
        <w:spacing w:after="0" w:line="360" w:lineRule="auto"/>
        <w:ind w:firstLine="709"/>
        <w:jc w:val="both"/>
        <w:rPr>
          <w:rFonts w:ascii="Times New Roman" w:hAnsi="Times New Roman"/>
          <w:bCs/>
        </w:rPr>
      </w:pPr>
      <w:r>
        <w:rPr>
          <w:rFonts w:ascii="Times New Roman" w:hAnsi="Times New Roman"/>
          <w:bCs/>
        </w:rPr>
        <w:t>Знаки английской транскрипции; отличие их от букв английского алфавита. Фонетически корректное озвучивание знаков транскрипции.</w:t>
      </w:r>
    </w:p>
    <w:p w14:paraId="31F4D1DE">
      <w:pPr>
        <w:widowControl/>
        <w:tabs>
          <w:tab w:val="left" w:pos="1134"/>
        </w:tabs>
        <w:spacing w:after="0" w:line="360" w:lineRule="auto"/>
        <w:ind w:firstLine="709"/>
        <w:jc w:val="both"/>
        <w:rPr>
          <w:rFonts w:ascii="Times New Roman" w:hAnsi="Times New Roman"/>
          <w:bCs/>
        </w:rPr>
      </w:pPr>
      <w:r>
        <w:rPr>
          <w:rFonts w:ascii="Times New Roman" w:hAnsi="Times New Roman"/>
          <w:bCs/>
        </w:rPr>
        <w:t>9.7.3.2. Графика, орфография и пунктуация.</w:t>
      </w:r>
    </w:p>
    <w:p w14:paraId="066AA4B2">
      <w:pPr>
        <w:widowControl/>
        <w:tabs>
          <w:tab w:val="left" w:pos="1134"/>
        </w:tabs>
        <w:spacing w:after="0" w:line="360" w:lineRule="auto"/>
        <w:ind w:firstLine="709"/>
        <w:jc w:val="both"/>
        <w:rPr>
          <w:rFonts w:ascii="Times New Roman" w:hAnsi="Times New Roman"/>
          <w:bCs/>
        </w:rPr>
      </w:pPr>
      <w:r>
        <w:rPr>
          <w:rFonts w:ascii="Times New Roman" w:hAnsi="Times New Roman"/>
          <w:bCs/>
        </w:rPr>
        <w:t>Правильное написание изученных слов.</w:t>
      </w:r>
    </w:p>
    <w:p w14:paraId="0799EB0E">
      <w:pPr>
        <w:widowControl/>
        <w:tabs>
          <w:tab w:val="left" w:pos="1134"/>
        </w:tabs>
        <w:spacing w:after="0" w:line="360" w:lineRule="auto"/>
        <w:ind w:firstLine="709"/>
        <w:jc w:val="both"/>
        <w:rPr>
          <w:rFonts w:ascii="Times New Roman" w:hAnsi="Times New Roman"/>
          <w:bCs/>
        </w:rPr>
      </w:pPr>
      <w:r>
        <w:rPr>
          <w:rFonts w:ascii="Times New Roman" w:hAnsi="Times New Roman"/>
          <w:bCs/>
        </w:rPr>
        <w:t>Правильная расстановка знаков препинания: точки, вопросительного и восклицательного знаков в конце предложения; правильное использование знака апострофа в сокращённых формах глагола-связки, вспомогательного и модального глаголов, существительных в притяжательном падеже.</w:t>
      </w:r>
    </w:p>
    <w:p w14:paraId="5693CFD6">
      <w:pPr>
        <w:widowControl/>
        <w:tabs>
          <w:tab w:val="left" w:pos="1134"/>
        </w:tabs>
        <w:spacing w:after="0" w:line="360" w:lineRule="auto"/>
        <w:ind w:firstLine="709"/>
        <w:jc w:val="both"/>
        <w:rPr>
          <w:rFonts w:ascii="Times New Roman" w:hAnsi="Times New Roman"/>
          <w:bCs/>
        </w:rPr>
      </w:pPr>
      <w:r>
        <w:rPr>
          <w:rFonts w:ascii="Times New Roman" w:hAnsi="Times New Roman"/>
          <w:bCs/>
        </w:rPr>
        <w:t>9.7.3.3. Лексическая сторона речи.</w:t>
      </w:r>
    </w:p>
    <w:p w14:paraId="66405E25">
      <w:pPr>
        <w:widowControl/>
        <w:tabs>
          <w:tab w:val="left" w:pos="1134"/>
        </w:tabs>
        <w:spacing w:after="0" w:line="360" w:lineRule="auto"/>
        <w:ind w:firstLine="709"/>
        <w:jc w:val="both"/>
        <w:rPr>
          <w:rFonts w:ascii="Times New Roman" w:hAnsi="Times New Roman"/>
          <w:bCs/>
        </w:rPr>
      </w:pPr>
      <w:r>
        <w:rPr>
          <w:rFonts w:ascii="Times New Roman" w:hAnsi="Times New Roman"/>
          <w:bCs/>
        </w:rPr>
        <w:t>Распознавание и употребление в устной и письменной речи не менее 350 лексических единиц (слов, словосочетаний, речевых клише), обслуживающих ситуации общения в рамках тематического содержания речи для 3 класса, включая 200 лексических единиц, усвоенных на первом году обучения.</w:t>
      </w:r>
    </w:p>
    <w:p w14:paraId="4EB1DCA8">
      <w:pPr>
        <w:widowControl/>
        <w:tabs>
          <w:tab w:val="left" w:pos="1134"/>
        </w:tabs>
        <w:spacing w:after="0" w:line="360" w:lineRule="auto"/>
        <w:ind w:firstLine="709"/>
        <w:jc w:val="both"/>
        <w:rPr>
          <w:rFonts w:ascii="Times New Roman" w:hAnsi="Times New Roman"/>
          <w:bCs/>
        </w:rPr>
      </w:pPr>
      <w:r>
        <w:rPr>
          <w:rFonts w:ascii="Times New Roman" w:hAnsi="Times New Roman"/>
          <w:bCs/>
        </w:rPr>
        <w:t>Распознавание и употребление в устной и письменной речи слов, образованных с использованием основных способов словообразования: аффиксации (образование числительных с помощью суффиксов -teen, -ty, -th) и словосложения (sportsman).</w:t>
      </w:r>
    </w:p>
    <w:p w14:paraId="41041265">
      <w:pPr>
        <w:widowControl/>
        <w:tabs>
          <w:tab w:val="left" w:pos="1134"/>
        </w:tabs>
        <w:spacing w:after="0" w:line="360" w:lineRule="auto"/>
        <w:ind w:firstLine="709"/>
        <w:jc w:val="both"/>
        <w:rPr>
          <w:rFonts w:ascii="Times New Roman" w:hAnsi="Times New Roman"/>
          <w:bCs/>
        </w:rPr>
      </w:pPr>
      <w:r>
        <w:rPr>
          <w:rFonts w:ascii="Times New Roman" w:hAnsi="Times New Roman"/>
          <w:bCs/>
        </w:rPr>
        <w:t>Распознавание в устной и письменной речи интернациональных слов (doctor, film) с помощью языковой догадки.</w:t>
      </w:r>
    </w:p>
    <w:p w14:paraId="3D7F2238">
      <w:pPr>
        <w:widowControl/>
        <w:tabs>
          <w:tab w:val="left" w:pos="1134"/>
        </w:tabs>
        <w:spacing w:after="0" w:line="360" w:lineRule="auto"/>
        <w:ind w:firstLine="709"/>
        <w:jc w:val="both"/>
        <w:rPr>
          <w:rFonts w:ascii="Times New Roman" w:hAnsi="Times New Roman"/>
          <w:bCs/>
        </w:rPr>
      </w:pPr>
      <w:r>
        <w:rPr>
          <w:rFonts w:ascii="Times New Roman" w:hAnsi="Times New Roman"/>
          <w:bCs/>
        </w:rPr>
        <w:t>9.7.3.4. Грамматическая сторона речи.</w:t>
      </w:r>
    </w:p>
    <w:p w14:paraId="4754C82F">
      <w:pPr>
        <w:widowControl/>
        <w:tabs>
          <w:tab w:val="left" w:pos="1134"/>
        </w:tabs>
        <w:spacing w:after="0" w:line="360" w:lineRule="auto"/>
        <w:ind w:firstLine="709"/>
        <w:jc w:val="both"/>
        <w:rPr>
          <w:rFonts w:ascii="Times New Roman" w:hAnsi="Times New Roman"/>
          <w:bCs/>
        </w:rPr>
      </w:pPr>
      <w:r>
        <w:rPr>
          <w:rFonts w:ascii="Times New Roman" w:hAnsi="Times New Roman"/>
          <w:bCs/>
        </w:rPr>
        <w:t>Распознавание и употребление в устной и письменной речи родственных слов с использованием основных способов словообразования: аффиксации (суффиксы числительных -teen, -ty, -th) и словосложения (football, snowman)</w:t>
      </w:r>
    </w:p>
    <w:p w14:paraId="2C97EF41">
      <w:pPr>
        <w:widowControl/>
        <w:tabs>
          <w:tab w:val="left" w:pos="1134"/>
        </w:tabs>
        <w:spacing w:after="0" w:line="360" w:lineRule="auto"/>
        <w:ind w:firstLine="709"/>
        <w:jc w:val="both"/>
        <w:rPr>
          <w:rFonts w:ascii="Times New Roman" w:hAnsi="Times New Roman"/>
          <w:bCs/>
          <w:lang w:val="en-US"/>
        </w:rPr>
      </w:pPr>
      <w:r>
        <w:rPr>
          <w:rFonts w:ascii="Times New Roman" w:hAnsi="Times New Roman"/>
          <w:bCs/>
        </w:rPr>
        <w:t>Предложения</w:t>
      </w:r>
      <w:r>
        <w:rPr>
          <w:rFonts w:ascii="Times New Roman" w:hAnsi="Times New Roman"/>
          <w:bCs/>
          <w:lang w:val="en-US"/>
        </w:rPr>
        <w:t xml:space="preserve"> </w:t>
      </w:r>
      <w:r>
        <w:rPr>
          <w:rFonts w:ascii="Times New Roman" w:hAnsi="Times New Roman"/>
          <w:bCs/>
        </w:rPr>
        <w:t>с</w:t>
      </w:r>
      <w:r>
        <w:rPr>
          <w:rFonts w:ascii="Times New Roman" w:hAnsi="Times New Roman"/>
          <w:bCs/>
          <w:lang w:val="en-US"/>
        </w:rPr>
        <w:t xml:space="preserve"> </w:t>
      </w:r>
      <w:r>
        <w:rPr>
          <w:rFonts w:ascii="Times New Roman" w:hAnsi="Times New Roman"/>
          <w:bCs/>
        </w:rPr>
        <w:t>начальным</w:t>
      </w:r>
      <w:r>
        <w:rPr>
          <w:rFonts w:ascii="Times New Roman" w:hAnsi="Times New Roman"/>
          <w:bCs/>
          <w:lang w:val="en-US"/>
        </w:rPr>
        <w:t xml:space="preserve"> There + to be </w:t>
      </w:r>
      <w:r>
        <w:rPr>
          <w:rFonts w:ascii="Times New Roman" w:hAnsi="Times New Roman"/>
          <w:bCs/>
        </w:rPr>
        <w:t>в</w:t>
      </w:r>
      <w:r>
        <w:rPr>
          <w:rFonts w:ascii="Times New Roman" w:hAnsi="Times New Roman"/>
          <w:bCs/>
          <w:lang w:val="en-US"/>
        </w:rPr>
        <w:t xml:space="preserve"> Past Simple Tense (There was an old house near the river.).</w:t>
      </w:r>
    </w:p>
    <w:p w14:paraId="475E216A">
      <w:pPr>
        <w:widowControl/>
        <w:tabs>
          <w:tab w:val="left" w:pos="1134"/>
        </w:tabs>
        <w:spacing w:after="0" w:line="360" w:lineRule="auto"/>
        <w:ind w:firstLine="709"/>
        <w:jc w:val="both"/>
        <w:rPr>
          <w:rFonts w:ascii="Times New Roman" w:hAnsi="Times New Roman"/>
          <w:bCs/>
        </w:rPr>
      </w:pPr>
      <w:r>
        <w:rPr>
          <w:rFonts w:ascii="Times New Roman" w:hAnsi="Times New Roman"/>
          <w:bCs/>
        </w:rPr>
        <w:t>Побудительные предложения в отрицательной (Don’t talk, please.) форме.</w:t>
      </w:r>
    </w:p>
    <w:p w14:paraId="569381F3">
      <w:pPr>
        <w:widowControl/>
        <w:tabs>
          <w:tab w:val="left" w:pos="1134"/>
        </w:tabs>
        <w:spacing w:after="0" w:line="360" w:lineRule="auto"/>
        <w:ind w:firstLine="709"/>
        <w:jc w:val="both"/>
        <w:rPr>
          <w:rFonts w:ascii="Times New Roman" w:hAnsi="Times New Roman"/>
          <w:bCs/>
        </w:rPr>
      </w:pPr>
      <w:r>
        <w:rPr>
          <w:rFonts w:ascii="Times New Roman" w:hAnsi="Times New Roman"/>
          <w:bCs/>
        </w:rPr>
        <w:t>Правильные и неправильные глаголы в Past Simple Tense в повествовательных (утвердительных и отрицательных) и вопросительных (общий и специальный вопросы) предложениях.</w:t>
      </w:r>
    </w:p>
    <w:p w14:paraId="21D04779">
      <w:pPr>
        <w:widowControl/>
        <w:tabs>
          <w:tab w:val="left" w:pos="1134"/>
        </w:tabs>
        <w:spacing w:after="0" w:line="360" w:lineRule="auto"/>
        <w:ind w:firstLine="709"/>
        <w:jc w:val="both"/>
        <w:rPr>
          <w:rFonts w:ascii="Times New Roman" w:hAnsi="Times New Roman"/>
          <w:bCs/>
          <w:lang w:val="en-US"/>
        </w:rPr>
      </w:pPr>
      <w:r>
        <w:rPr>
          <w:rFonts w:ascii="Times New Roman" w:hAnsi="Times New Roman"/>
          <w:bCs/>
        </w:rPr>
        <w:t>Конструкция</w:t>
      </w:r>
      <w:r>
        <w:rPr>
          <w:rFonts w:ascii="Times New Roman" w:hAnsi="Times New Roman"/>
          <w:bCs/>
          <w:lang w:val="en-US"/>
        </w:rPr>
        <w:t xml:space="preserve"> I’d like to ... (I’d like to read this book.).</w:t>
      </w:r>
    </w:p>
    <w:p w14:paraId="1DB9C942">
      <w:pPr>
        <w:widowControl/>
        <w:tabs>
          <w:tab w:val="left" w:pos="1134"/>
        </w:tabs>
        <w:spacing w:after="0" w:line="360" w:lineRule="auto"/>
        <w:ind w:firstLine="709"/>
        <w:jc w:val="both"/>
        <w:rPr>
          <w:rFonts w:ascii="Times New Roman" w:hAnsi="Times New Roman"/>
          <w:bCs/>
          <w:lang w:val="en-US"/>
        </w:rPr>
      </w:pPr>
      <w:r>
        <w:rPr>
          <w:rFonts w:ascii="Times New Roman" w:hAnsi="Times New Roman"/>
          <w:bCs/>
        </w:rPr>
        <w:t>Конструкции</w:t>
      </w:r>
      <w:r>
        <w:rPr>
          <w:rFonts w:ascii="Times New Roman" w:hAnsi="Times New Roman"/>
          <w:bCs/>
          <w:lang w:val="en-US"/>
        </w:rPr>
        <w:t xml:space="preserve"> </w:t>
      </w:r>
      <w:r>
        <w:rPr>
          <w:rFonts w:ascii="Times New Roman" w:hAnsi="Times New Roman"/>
          <w:bCs/>
        </w:rPr>
        <w:t>с</w:t>
      </w:r>
      <w:r>
        <w:rPr>
          <w:rFonts w:ascii="Times New Roman" w:hAnsi="Times New Roman"/>
          <w:bCs/>
          <w:lang w:val="en-US"/>
        </w:rPr>
        <w:t xml:space="preserve"> </w:t>
      </w:r>
      <w:r>
        <w:rPr>
          <w:rFonts w:ascii="Times New Roman" w:hAnsi="Times New Roman"/>
          <w:bCs/>
        </w:rPr>
        <w:t>глаголами</w:t>
      </w:r>
      <w:r>
        <w:rPr>
          <w:rFonts w:ascii="Times New Roman" w:hAnsi="Times New Roman"/>
          <w:bCs/>
          <w:lang w:val="en-US"/>
        </w:rPr>
        <w:t xml:space="preserve"> </w:t>
      </w:r>
      <w:r>
        <w:rPr>
          <w:rFonts w:ascii="Times New Roman" w:hAnsi="Times New Roman"/>
          <w:bCs/>
        </w:rPr>
        <w:t>на</w:t>
      </w:r>
      <w:r>
        <w:rPr>
          <w:rFonts w:ascii="Times New Roman" w:hAnsi="Times New Roman"/>
          <w:bCs/>
          <w:lang w:val="en-US"/>
        </w:rPr>
        <w:t xml:space="preserve"> -ing: to like/enjoy doing smth (I like riding my bike.).</w:t>
      </w:r>
    </w:p>
    <w:p w14:paraId="6812C5AB">
      <w:pPr>
        <w:widowControl/>
        <w:tabs>
          <w:tab w:val="left" w:pos="1134"/>
        </w:tabs>
        <w:spacing w:after="0" w:line="360" w:lineRule="auto"/>
        <w:ind w:firstLine="709"/>
        <w:jc w:val="both"/>
        <w:rPr>
          <w:rFonts w:ascii="Times New Roman" w:hAnsi="Times New Roman"/>
          <w:bCs/>
          <w:lang w:val="en-US"/>
        </w:rPr>
      </w:pPr>
      <w:r>
        <w:rPr>
          <w:rFonts w:ascii="Times New Roman" w:hAnsi="Times New Roman"/>
          <w:bCs/>
        </w:rPr>
        <w:t>Существительные</w:t>
      </w:r>
      <w:r>
        <w:rPr>
          <w:rFonts w:ascii="Times New Roman" w:hAnsi="Times New Roman"/>
          <w:bCs/>
          <w:lang w:val="en-US"/>
        </w:rPr>
        <w:t xml:space="preserve"> </w:t>
      </w:r>
      <w:r>
        <w:rPr>
          <w:rFonts w:ascii="Times New Roman" w:hAnsi="Times New Roman"/>
          <w:bCs/>
        </w:rPr>
        <w:t>в</w:t>
      </w:r>
      <w:r>
        <w:rPr>
          <w:rFonts w:ascii="Times New Roman" w:hAnsi="Times New Roman"/>
          <w:bCs/>
          <w:lang w:val="en-US"/>
        </w:rPr>
        <w:t xml:space="preserve"> </w:t>
      </w:r>
      <w:r>
        <w:rPr>
          <w:rFonts w:ascii="Times New Roman" w:hAnsi="Times New Roman"/>
          <w:bCs/>
        </w:rPr>
        <w:t>притяжательном</w:t>
      </w:r>
      <w:r>
        <w:rPr>
          <w:rFonts w:ascii="Times New Roman" w:hAnsi="Times New Roman"/>
          <w:bCs/>
          <w:lang w:val="en-US"/>
        </w:rPr>
        <w:t xml:space="preserve"> </w:t>
      </w:r>
      <w:r>
        <w:rPr>
          <w:rFonts w:ascii="Times New Roman" w:hAnsi="Times New Roman"/>
          <w:bCs/>
        </w:rPr>
        <w:t>падеже</w:t>
      </w:r>
      <w:r>
        <w:rPr>
          <w:rFonts w:ascii="Times New Roman" w:hAnsi="Times New Roman"/>
          <w:bCs/>
          <w:lang w:val="en-US"/>
        </w:rPr>
        <w:t xml:space="preserve"> (Possessive Case; Ann’s dress, children’s toys, boys’ books).</w:t>
      </w:r>
    </w:p>
    <w:p w14:paraId="4F04CE81">
      <w:pPr>
        <w:widowControl/>
        <w:tabs>
          <w:tab w:val="left" w:pos="1134"/>
        </w:tabs>
        <w:spacing w:after="0" w:line="360" w:lineRule="auto"/>
        <w:ind w:firstLine="709"/>
        <w:jc w:val="both"/>
        <w:rPr>
          <w:rFonts w:ascii="Times New Roman" w:hAnsi="Times New Roman"/>
          <w:bCs/>
        </w:rPr>
      </w:pPr>
      <w:r>
        <w:rPr>
          <w:rFonts w:ascii="Times New Roman" w:hAnsi="Times New Roman"/>
          <w:bCs/>
        </w:rPr>
        <w:t>Слова, выражающие количество с исчисляемыми и неисчисляемыми существительными (much/many/a lot of).</w:t>
      </w:r>
    </w:p>
    <w:p w14:paraId="4DF7CEB0">
      <w:pPr>
        <w:widowControl/>
        <w:tabs>
          <w:tab w:val="left" w:pos="1134"/>
        </w:tabs>
        <w:spacing w:after="0" w:line="360" w:lineRule="auto"/>
        <w:ind w:firstLine="709"/>
        <w:jc w:val="both"/>
        <w:rPr>
          <w:rFonts w:ascii="Times New Roman" w:hAnsi="Times New Roman"/>
          <w:bCs/>
        </w:rPr>
      </w:pPr>
      <w:r>
        <w:rPr>
          <w:rFonts w:ascii="Times New Roman" w:hAnsi="Times New Roman"/>
          <w:bCs/>
        </w:rPr>
        <w:t>Личные местоимения в объектном (me, you, him/her/it, us, them) падеже. Указательные местоимения (this – these; that – those). Неопределённые местоимения (some/any) в повествовательных и вопросительных предложениях (Have you got any friends? – Yes, I’ve got some.).</w:t>
      </w:r>
    </w:p>
    <w:p w14:paraId="3CF6198D">
      <w:pPr>
        <w:widowControl/>
        <w:tabs>
          <w:tab w:val="left" w:pos="1134"/>
        </w:tabs>
        <w:spacing w:after="0" w:line="360" w:lineRule="auto"/>
        <w:ind w:firstLine="709"/>
        <w:jc w:val="both"/>
        <w:rPr>
          <w:rFonts w:ascii="Times New Roman" w:hAnsi="Times New Roman"/>
          <w:bCs/>
        </w:rPr>
      </w:pPr>
      <w:r>
        <w:rPr>
          <w:rFonts w:ascii="Times New Roman" w:hAnsi="Times New Roman"/>
          <w:bCs/>
        </w:rPr>
        <w:t>Наречия частотности (usually, often).</w:t>
      </w:r>
    </w:p>
    <w:p w14:paraId="19836DD5">
      <w:pPr>
        <w:widowControl/>
        <w:tabs>
          <w:tab w:val="left" w:pos="1134"/>
        </w:tabs>
        <w:spacing w:after="0" w:line="360" w:lineRule="auto"/>
        <w:ind w:firstLine="709"/>
        <w:jc w:val="both"/>
        <w:rPr>
          <w:rFonts w:ascii="Times New Roman" w:hAnsi="Times New Roman"/>
          <w:bCs/>
        </w:rPr>
      </w:pPr>
      <w:r>
        <w:rPr>
          <w:rFonts w:ascii="Times New Roman" w:hAnsi="Times New Roman"/>
          <w:bCs/>
        </w:rPr>
        <w:t>Количественные числительные (13–100). Порядковые числительные (1–30).</w:t>
      </w:r>
    </w:p>
    <w:p w14:paraId="65452091">
      <w:pPr>
        <w:widowControl/>
        <w:tabs>
          <w:tab w:val="left" w:pos="1134"/>
        </w:tabs>
        <w:spacing w:after="0" w:line="360" w:lineRule="auto"/>
        <w:ind w:firstLine="709"/>
        <w:jc w:val="both"/>
        <w:rPr>
          <w:rFonts w:ascii="Times New Roman" w:hAnsi="Times New Roman"/>
          <w:bCs/>
        </w:rPr>
      </w:pPr>
      <w:r>
        <w:rPr>
          <w:rFonts w:ascii="Times New Roman" w:hAnsi="Times New Roman"/>
          <w:bCs/>
        </w:rPr>
        <w:t>Вопросительные слова (when, whose, why).</w:t>
      </w:r>
    </w:p>
    <w:p w14:paraId="19F4C4EC">
      <w:pPr>
        <w:widowControl/>
        <w:tabs>
          <w:tab w:val="left" w:pos="1134"/>
        </w:tabs>
        <w:spacing w:after="0" w:line="360" w:lineRule="auto"/>
        <w:ind w:firstLine="709"/>
        <w:jc w:val="both"/>
        <w:rPr>
          <w:rFonts w:ascii="Times New Roman" w:hAnsi="Times New Roman"/>
          <w:bCs/>
          <w:lang w:val="en-US"/>
        </w:rPr>
      </w:pPr>
      <w:r>
        <w:rPr>
          <w:rFonts w:ascii="Times New Roman" w:hAnsi="Times New Roman"/>
          <w:bCs/>
        </w:rPr>
        <w:t>Предлоги</w:t>
      </w:r>
      <w:r>
        <w:rPr>
          <w:rFonts w:ascii="Times New Roman" w:hAnsi="Times New Roman"/>
          <w:bCs/>
          <w:lang w:val="en-US"/>
        </w:rPr>
        <w:t xml:space="preserve"> </w:t>
      </w:r>
      <w:r>
        <w:rPr>
          <w:rFonts w:ascii="Times New Roman" w:hAnsi="Times New Roman"/>
          <w:bCs/>
        </w:rPr>
        <w:t>места</w:t>
      </w:r>
      <w:r>
        <w:rPr>
          <w:rFonts w:ascii="Times New Roman" w:hAnsi="Times New Roman"/>
          <w:bCs/>
          <w:lang w:val="en-US"/>
        </w:rPr>
        <w:t xml:space="preserve"> (next to, in front of, behind), </w:t>
      </w:r>
      <w:r>
        <w:rPr>
          <w:rFonts w:ascii="Times New Roman" w:hAnsi="Times New Roman"/>
          <w:bCs/>
        </w:rPr>
        <w:t>направления</w:t>
      </w:r>
      <w:r>
        <w:rPr>
          <w:rFonts w:ascii="Times New Roman" w:hAnsi="Times New Roman"/>
          <w:bCs/>
          <w:lang w:val="en-US"/>
        </w:rPr>
        <w:t xml:space="preserve"> (to), </w:t>
      </w:r>
      <w:r>
        <w:rPr>
          <w:rFonts w:ascii="Times New Roman" w:hAnsi="Times New Roman"/>
          <w:bCs/>
        </w:rPr>
        <w:t>времени</w:t>
      </w:r>
      <w:r>
        <w:rPr>
          <w:rFonts w:ascii="Times New Roman" w:hAnsi="Times New Roman"/>
          <w:bCs/>
          <w:lang w:val="en-US"/>
        </w:rPr>
        <w:t xml:space="preserve"> (at, in, on </w:t>
      </w:r>
      <w:r>
        <w:rPr>
          <w:rFonts w:ascii="Times New Roman" w:hAnsi="Times New Roman"/>
          <w:bCs/>
        </w:rPr>
        <w:t>в</w:t>
      </w:r>
      <w:r>
        <w:rPr>
          <w:rFonts w:ascii="Times New Roman" w:hAnsi="Times New Roman"/>
          <w:bCs/>
          <w:lang w:val="en-US"/>
        </w:rPr>
        <w:t xml:space="preserve"> </w:t>
      </w:r>
      <w:r>
        <w:rPr>
          <w:rFonts w:ascii="Times New Roman" w:hAnsi="Times New Roman"/>
          <w:bCs/>
        </w:rPr>
        <w:t>выражениях</w:t>
      </w:r>
      <w:r>
        <w:rPr>
          <w:rFonts w:ascii="Times New Roman" w:hAnsi="Times New Roman"/>
          <w:bCs/>
          <w:lang w:val="en-US"/>
        </w:rPr>
        <w:t xml:space="preserve"> at 5 o’clock, in the morning, on Monday).</w:t>
      </w:r>
      <w:bookmarkStart w:id="38" w:name="bookmark39"/>
      <w:bookmarkStart w:id="39" w:name="bookmark40"/>
      <w:bookmarkStart w:id="40" w:name="bookmark41"/>
    </w:p>
    <w:p w14:paraId="7F0588FD">
      <w:pPr>
        <w:widowControl/>
        <w:tabs>
          <w:tab w:val="left" w:pos="1134"/>
        </w:tabs>
        <w:spacing w:after="0" w:line="360" w:lineRule="auto"/>
        <w:ind w:firstLine="709"/>
        <w:jc w:val="both"/>
        <w:rPr>
          <w:rFonts w:ascii="Times New Roman" w:hAnsi="Times New Roman"/>
          <w:bCs/>
        </w:rPr>
      </w:pPr>
      <w:r>
        <w:rPr>
          <w:rFonts w:ascii="Times New Roman" w:hAnsi="Times New Roman"/>
          <w:bCs/>
        </w:rPr>
        <w:t>9.7.4. Социокультурные знания и умения</w:t>
      </w:r>
      <w:bookmarkEnd w:id="38"/>
      <w:bookmarkEnd w:id="39"/>
      <w:bookmarkEnd w:id="40"/>
      <w:r>
        <w:rPr>
          <w:rFonts w:ascii="Times New Roman" w:hAnsi="Times New Roman"/>
          <w:bCs/>
        </w:rPr>
        <w:t>.</w:t>
      </w:r>
    </w:p>
    <w:p w14:paraId="1DFF0B56">
      <w:pPr>
        <w:widowControl/>
        <w:tabs>
          <w:tab w:val="left" w:pos="1134"/>
        </w:tabs>
        <w:spacing w:after="0" w:line="360" w:lineRule="auto"/>
        <w:ind w:firstLine="709"/>
        <w:jc w:val="both"/>
        <w:rPr>
          <w:rFonts w:ascii="Times New Roman" w:hAnsi="Times New Roman"/>
          <w:bCs/>
        </w:rPr>
      </w:pPr>
      <w:r>
        <w:rPr>
          <w:rFonts w:ascii="Times New Roman" w:hAnsi="Times New Roman"/>
          <w:bCs/>
        </w:rPr>
        <w:t>Знание и использование некоторых социокультурных элементов речевого поведенческого этикета, принятого в стране/странах изучаемого языка, в некоторых ситуациях общения: приветствие, прощание, знакомство, выражение благодарности, извинение, поздравление с днём рождения, Новым годом, Рождеством.</w:t>
      </w:r>
    </w:p>
    <w:p w14:paraId="44CC4837">
      <w:pPr>
        <w:widowControl/>
        <w:tabs>
          <w:tab w:val="left" w:pos="1134"/>
        </w:tabs>
        <w:spacing w:after="0" w:line="360" w:lineRule="auto"/>
        <w:ind w:firstLine="709"/>
        <w:jc w:val="both"/>
        <w:rPr>
          <w:rFonts w:ascii="Times New Roman" w:hAnsi="Times New Roman"/>
          <w:bCs/>
        </w:rPr>
      </w:pPr>
      <w:r>
        <w:rPr>
          <w:rFonts w:ascii="Times New Roman" w:hAnsi="Times New Roman"/>
          <w:bCs/>
        </w:rPr>
        <w:t>Знание произведений детского фольклора (рифмовок, стихов, песенок), персонажей детских книг.</w:t>
      </w:r>
    </w:p>
    <w:p w14:paraId="03BFD04D">
      <w:pPr>
        <w:widowControl/>
        <w:tabs>
          <w:tab w:val="left" w:pos="1134"/>
        </w:tabs>
        <w:spacing w:after="0" w:line="360" w:lineRule="auto"/>
        <w:ind w:firstLine="709"/>
        <w:jc w:val="both"/>
        <w:rPr>
          <w:rFonts w:ascii="Times New Roman" w:hAnsi="Times New Roman"/>
          <w:bCs/>
        </w:rPr>
      </w:pPr>
      <w:r>
        <w:rPr>
          <w:rFonts w:ascii="Times New Roman" w:hAnsi="Times New Roman"/>
          <w:bCs/>
        </w:rPr>
        <w:t>Краткое представление своей страны и страны/стран изучаемого языка (названия родной страны и страны/стран изучаемого языка и их столиц, название родного города/села; цвета национальных флагов).</w:t>
      </w:r>
    </w:p>
    <w:p w14:paraId="4E24E12B">
      <w:pPr>
        <w:widowControl/>
        <w:tabs>
          <w:tab w:val="left" w:pos="1134"/>
        </w:tabs>
        <w:spacing w:after="0" w:line="360" w:lineRule="auto"/>
        <w:ind w:firstLine="709"/>
        <w:jc w:val="both"/>
        <w:rPr>
          <w:rFonts w:ascii="Times New Roman" w:hAnsi="Times New Roman"/>
          <w:bCs/>
        </w:rPr>
      </w:pPr>
      <w:bookmarkStart w:id="41" w:name="bookmark42"/>
      <w:bookmarkStart w:id="42" w:name="bookmark43"/>
      <w:bookmarkStart w:id="43" w:name="bookmark44"/>
      <w:r>
        <w:rPr>
          <w:rFonts w:ascii="Times New Roman" w:hAnsi="Times New Roman"/>
          <w:bCs/>
        </w:rPr>
        <w:t>9.7.5. Компенсаторные умения</w:t>
      </w:r>
      <w:bookmarkEnd w:id="41"/>
      <w:bookmarkEnd w:id="42"/>
      <w:bookmarkEnd w:id="43"/>
      <w:r>
        <w:rPr>
          <w:rFonts w:ascii="Times New Roman" w:hAnsi="Times New Roman"/>
          <w:bCs/>
        </w:rPr>
        <w:t>.</w:t>
      </w:r>
    </w:p>
    <w:p w14:paraId="08DB26F5">
      <w:pPr>
        <w:widowControl/>
        <w:tabs>
          <w:tab w:val="left" w:pos="1134"/>
        </w:tabs>
        <w:spacing w:after="0" w:line="360" w:lineRule="auto"/>
        <w:ind w:firstLine="709"/>
        <w:jc w:val="both"/>
        <w:rPr>
          <w:rFonts w:ascii="Times New Roman" w:hAnsi="Times New Roman"/>
          <w:bCs/>
        </w:rPr>
      </w:pPr>
      <w:r>
        <w:rPr>
          <w:rFonts w:ascii="Times New Roman" w:hAnsi="Times New Roman"/>
          <w:bCs/>
        </w:rPr>
        <w:t>Использование при чтении и аудировании языковой, в том числе контекстуальной, догадки.</w:t>
      </w:r>
    </w:p>
    <w:p w14:paraId="35F616B9">
      <w:pPr>
        <w:widowControl/>
        <w:tabs>
          <w:tab w:val="left" w:pos="1134"/>
        </w:tabs>
        <w:spacing w:after="0" w:line="360" w:lineRule="auto"/>
        <w:ind w:firstLine="709"/>
        <w:jc w:val="both"/>
        <w:rPr>
          <w:rFonts w:ascii="Times New Roman" w:hAnsi="Times New Roman"/>
          <w:bCs/>
        </w:rPr>
      </w:pPr>
      <w:r>
        <w:rPr>
          <w:rFonts w:ascii="Times New Roman" w:hAnsi="Times New Roman"/>
          <w:bCs/>
        </w:rPr>
        <w:t>Использование при формулировании собственных высказываний ключевых слов, вопросов; иллюстраций.</w:t>
      </w:r>
    </w:p>
    <w:p w14:paraId="5D670936">
      <w:pPr>
        <w:widowControl/>
        <w:tabs>
          <w:tab w:val="left" w:pos="1134"/>
        </w:tabs>
        <w:spacing w:after="0" w:line="360" w:lineRule="auto"/>
        <w:ind w:firstLine="709"/>
        <w:jc w:val="both"/>
        <w:rPr>
          <w:rFonts w:ascii="Times New Roman" w:hAnsi="Times New Roman"/>
          <w:bCs/>
        </w:rPr>
      </w:pPr>
      <w:r>
        <w:rPr>
          <w:rFonts w:ascii="Times New Roman" w:hAnsi="Times New Roman"/>
          <w:bCs/>
        </w:rPr>
        <w:t>Игнорирование информации, не являющейся необходимой для понимания основного содержания прочитанного/прослушанного текста или для нахождения в тексте запрашиваемой информации.</w:t>
      </w:r>
    </w:p>
    <w:p w14:paraId="14FEA695">
      <w:pPr>
        <w:widowControl/>
        <w:tabs>
          <w:tab w:val="left" w:pos="1134"/>
        </w:tabs>
        <w:spacing w:after="0" w:line="360" w:lineRule="auto"/>
        <w:ind w:firstLine="709"/>
        <w:jc w:val="both"/>
        <w:rPr>
          <w:rFonts w:ascii="Times New Roman" w:hAnsi="Times New Roman"/>
          <w:bCs/>
        </w:rPr>
      </w:pPr>
      <w:r>
        <w:rPr>
          <w:rFonts w:ascii="Times New Roman" w:hAnsi="Times New Roman"/>
          <w:bCs/>
        </w:rPr>
        <w:t>9.8. Содержание обучения в 4 классе.</w:t>
      </w:r>
    </w:p>
    <w:p w14:paraId="27D09DD2">
      <w:pPr>
        <w:widowControl/>
        <w:tabs>
          <w:tab w:val="left" w:pos="1134"/>
        </w:tabs>
        <w:spacing w:after="0" w:line="360" w:lineRule="auto"/>
        <w:ind w:firstLine="709"/>
        <w:jc w:val="both"/>
        <w:rPr>
          <w:rFonts w:ascii="Times New Roman" w:hAnsi="Times New Roman"/>
          <w:bCs/>
        </w:rPr>
      </w:pPr>
      <w:r>
        <w:rPr>
          <w:rFonts w:ascii="Times New Roman" w:hAnsi="Times New Roman"/>
          <w:bCs/>
        </w:rPr>
        <w:t>9.8.1. Тематическое содержание речи.</w:t>
      </w:r>
    </w:p>
    <w:p w14:paraId="73EB51D6">
      <w:pPr>
        <w:widowControl/>
        <w:tabs>
          <w:tab w:val="left" w:pos="1134"/>
        </w:tabs>
        <w:spacing w:after="0" w:line="360" w:lineRule="auto"/>
        <w:ind w:firstLine="709"/>
        <w:jc w:val="both"/>
        <w:rPr>
          <w:rFonts w:ascii="Times New Roman" w:hAnsi="Times New Roman"/>
          <w:bCs/>
        </w:rPr>
      </w:pPr>
      <w:r>
        <w:rPr>
          <w:rFonts w:ascii="Times New Roman" w:hAnsi="Times New Roman"/>
          <w:bCs/>
        </w:rPr>
        <w:t xml:space="preserve">9.8.1.1. Мир моего «я». </w:t>
      </w:r>
    </w:p>
    <w:p w14:paraId="14A821EB">
      <w:pPr>
        <w:widowControl/>
        <w:tabs>
          <w:tab w:val="left" w:pos="1134"/>
        </w:tabs>
        <w:spacing w:after="0" w:line="360" w:lineRule="auto"/>
        <w:ind w:firstLine="709"/>
        <w:jc w:val="both"/>
        <w:rPr>
          <w:rFonts w:ascii="Times New Roman" w:hAnsi="Times New Roman"/>
          <w:bCs/>
        </w:rPr>
      </w:pPr>
      <w:r>
        <w:rPr>
          <w:rFonts w:ascii="Times New Roman" w:hAnsi="Times New Roman"/>
          <w:bCs/>
        </w:rPr>
        <w:t>Моя семья. Мой день рождения, подарки. Моя любимая еда. Мой день (распорядок дня, домашние обязанности).</w:t>
      </w:r>
    </w:p>
    <w:p w14:paraId="275943CD">
      <w:pPr>
        <w:widowControl/>
        <w:tabs>
          <w:tab w:val="left" w:pos="1134"/>
        </w:tabs>
        <w:spacing w:after="0" w:line="360" w:lineRule="auto"/>
        <w:ind w:firstLine="709"/>
        <w:jc w:val="both"/>
        <w:rPr>
          <w:rFonts w:ascii="Times New Roman" w:hAnsi="Times New Roman"/>
          <w:bCs/>
        </w:rPr>
      </w:pPr>
      <w:r>
        <w:rPr>
          <w:rFonts w:ascii="Times New Roman" w:hAnsi="Times New Roman"/>
          <w:bCs/>
        </w:rPr>
        <w:t xml:space="preserve">9.8.1.2. Мир моих увлечений. </w:t>
      </w:r>
    </w:p>
    <w:p w14:paraId="273C2870">
      <w:pPr>
        <w:widowControl/>
        <w:tabs>
          <w:tab w:val="left" w:pos="1134"/>
        </w:tabs>
        <w:spacing w:after="0" w:line="360" w:lineRule="auto"/>
        <w:ind w:firstLine="709"/>
        <w:jc w:val="both"/>
        <w:rPr>
          <w:rFonts w:ascii="Times New Roman" w:hAnsi="Times New Roman"/>
          <w:bCs/>
        </w:rPr>
      </w:pPr>
      <w:r>
        <w:rPr>
          <w:rFonts w:ascii="Times New Roman" w:hAnsi="Times New Roman"/>
          <w:bCs/>
        </w:rPr>
        <w:t>Любимая игрушка, игра. Мой питомец. Любимые занятия. Занятия спортом. Любимая сказка/история/рассказ. Выходной день. Каникулы.</w:t>
      </w:r>
    </w:p>
    <w:p w14:paraId="19FEAB10">
      <w:pPr>
        <w:widowControl/>
        <w:tabs>
          <w:tab w:val="left" w:pos="1134"/>
        </w:tabs>
        <w:spacing w:after="0" w:line="360" w:lineRule="auto"/>
        <w:ind w:firstLine="709"/>
        <w:jc w:val="both"/>
        <w:rPr>
          <w:rFonts w:ascii="Times New Roman" w:hAnsi="Times New Roman"/>
          <w:bCs/>
        </w:rPr>
      </w:pPr>
      <w:r>
        <w:rPr>
          <w:rFonts w:ascii="Times New Roman" w:hAnsi="Times New Roman"/>
          <w:bCs/>
        </w:rPr>
        <w:t xml:space="preserve">9.8.1.3. Мир вокруг меня. </w:t>
      </w:r>
    </w:p>
    <w:p w14:paraId="7803E695">
      <w:pPr>
        <w:widowControl/>
        <w:tabs>
          <w:tab w:val="left" w:pos="1134"/>
        </w:tabs>
        <w:spacing w:after="0" w:line="360" w:lineRule="auto"/>
        <w:ind w:firstLine="709"/>
        <w:jc w:val="both"/>
        <w:rPr>
          <w:rFonts w:ascii="Times New Roman" w:hAnsi="Times New Roman"/>
          <w:bCs/>
        </w:rPr>
      </w:pPr>
      <w:r>
        <w:rPr>
          <w:rFonts w:ascii="Times New Roman" w:hAnsi="Times New Roman"/>
          <w:bCs/>
        </w:rPr>
        <w:t>Моя комната (квартира, дом), предметы мебели и интерьера. Моя школа, любимые учебные предметы. Мои друзья, их внешность и черты характера. Моя малая родина (город, село). Путешествия. Дикие и домашние животные. Погода. Времена года (месяцы). Покупки.</w:t>
      </w:r>
    </w:p>
    <w:p w14:paraId="424E0843">
      <w:pPr>
        <w:widowControl/>
        <w:tabs>
          <w:tab w:val="left" w:pos="1134"/>
        </w:tabs>
        <w:spacing w:after="0" w:line="360" w:lineRule="auto"/>
        <w:ind w:firstLine="709"/>
        <w:jc w:val="both"/>
        <w:rPr>
          <w:rFonts w:ascii="Times New Roman" w:hAnsi="Times New Roman"/>
          <w:bCs/>
        </w:rPr>
      </w:pPr>
      <w:r>
        <w:rPr>
          <w:rFonts w:ascii="Times New Roman" w:hAnsi="Times New Roman"/>
          <w:bCs/>
        </w:rPr>
        <w:t xml:space="preserve">9.8.1.4. Родная страна и страны изучаемого языка. </w:t>
      </w:r>
    </w:p>
    <w:p w14:paraId="77EA9079">
      <w:pPr>
        <w:widowControl/>
        <w:tabs>
          <w:tab w:val="left" w:pos="1134"/>
        </w:tabs>
        <w:spacing w:after="0" w:line="360" w:lineRule="auto"/>
        <w:ind w:firstLine="709"/>
        <w:jc w:val="both"/>
        <w:rPr>
          <w:rFonts w:ascii="Times New Roman" w:hAnsi="Times New Roman"/>
          <w:bCs/>
        </w:rPr>
      </w:pPr>
      <w:r>
        <w:rPr>
          <w:rFonts w:ascii="Times New Roman" w:hAnsi="Times New Roman"/>
          <w:bCs/>
        </w:rPr>
        <w:t>Россия и страна/страны изучаемого языка. Их столицы, основные достопримечательности и интересные факты. Произведения детского фольклора. Литературные персонажи детских книг. Праздники родной страны и страны/стран изучаемого языка.</w:t>
      </w:r>
    </w:p>
    <w:p w14:paraId="404E751D">
      <w:pPr>
        <w:widowControl/>
        <w:tabs>
          <w:tab w:val="left" w:pos="1134"/>
        </w:tabs>
        <w:spacing w:after="0" w:line="360" w:lineRule="auto"/>
        <w:ind w:firstLine="709"/>
        <w:jc w:val="both"/>
        <w:rPr>
          <w:rFonts w:ascii="Times New Roman" w:hAnsi="Times New Roman"/>
          <w:bCs/>
        </w:rPr>
      </w:pPr>
      <w:r>
        <w:rPr>
          <w:rFonts w:ascii="Times New Roman" w:hAnsi="Times New Roman"/>
          <w:bCs/>
        </w:rPr>
        <w:t>9.8.2. Коммуникативные умения.</w:t>
      </w:r>
    </w:p>
    <w:p w14:paraId="1AB7B2A3">
      <w:pPr>
        <w:widowControl/>
        <w:tabs>
          <w:tab w:val="left" w:pos="1134"/>
        </w:tabs>
        <w:spacing w:after="0" w:line="360" w:lineRule="auto"/>
        <w:ind w:firstLine="709"/>
        <w:jc w:val="both"/>
        <w:rPr>
          <w:rFonts w:ascii="Times New Roman" w:hAnsi="Times New Roman"/>
          <w:bCs/>
        </w:rPr>
      </w:pPr>
      <w:r>
        <w:rPr>
          <w:rFonts w:ascii="Times New Roman" w:hAnsi="Times New Roman"/>
          <w:bCs/>
        </w:rPr>
        <w:t>9.8.2.1. Говорение.</w:t>
      </w:r>
    </w:p>
    <w:p w14:paraId="042C18E3">
      <w:pPr>
        <w:widowControl/>
        <w:tabs>
          <w:tab w:val="left" w:pos="1134"/>
        </w:tabs>
        <w:spacing w:after="0" w:line="360" w:lineRule="auto"/>
        <w:ind w:firstLine="709"/>
        <w:jc w:val="both"/>
        <w:rPr>
          <w:rFonts w:ascii="Times New Roman" w:hAnsi="Times New Roman"/>
          <w:bCs/>
        </w:rPr>
      </w:pPr>
      <w:r>
        <w:rPr>
          <w:rFonts w:ascii="Times New Roman" w:hAnsi="Times New Roman"/>
          <w:bCs/>
        </w:rPr>
        <w:t>9.8.2.1.1. Коммуникативные умения диалогической речи.</w:t>
      </w:r>
    </w:p>
    <w:p w14:paraId="73804DAF">
      <w:pPr>
        <w:widowControl/>
        <w:tabs>
          <w:tab w:val="left" w:pos="1134"/>
        </w:tabs>
        <w:spacing w:after="0" w:line="360" w:lineRule="auto"/>
        <w:ind w:firstLine="709"/>
        <w:jc w:val="both"/>
        <w:rPr>
          <w:rFonts w:ascii="Times New Roman" w:hAnsi="Times New Roman"/>
          <w:bCs/>
        </w:rPr>
      </w:pPr>
      <w:r>
        <w:rPr>
          <w:rFonts w:ascii="Times New Roman" w:hAnsi="Times New Roman"/>
          <w:bCs/>
        </w:rPr>
        <w:t>Ведение с использованием речевых ситуаций, ключевых слов и (или) иллюстраций с соблюдением норм речевого этикета, принятых в стране/странах изучаемого языка:</w:t>
      </w:r>
    </w:p>
    <w:p w14:paraId="4F855357">
      <w:pPr>
        <w:widowControl/>
        <w:tabs>
          <w:tab w:val="left" w:pos="1134"/>
        </w:tabs>
        <w:spacing w:after="0" w:line="360" w:lineRule="auto"/>
        <w:ind w:firstLine="709"/>
        <w:jc w:val="both"/>
        <w:rPr>
          <w:rFonts w:ascii="Times New Roman" w:hAnsi="Times New Roman"/>
          <w:bCs/>
        </w:rPr>
      </w:pPr>
      <w:r>
        <w:rPr>
          <w:rFonts w:ascii="Times New Roman" w:hAnsi="Times New Roman"/>
          <w:bCs/>
        </w:rPr>
        <w:t>диалога этикетного характера: приветствие, ответ на приветствие; завершение разговора (в том числе по телефону), прощание; знакомство с собеседником; поздравление с праздником, выражение благодарности за поздравление; выражение извинения;</w:t>
      </w:r>
    </w:p>
    <w:p w14:paraId="3BCD95B7">
      <w:pPr>
        <w:widowControl/>
        <w:tabs>
          <w:tab w:val="left" w:pos="1134"/>
        </w:tabs>
        <w:spacing w:after="0" w:line="360" w:lineRule="auto"/>
        <w:ind w:firstLine="709"/>
        <w:jc w:val="both"/>
        <w:rPr>
          <w:rFonts w:ascii="Times New Roman" w:hAnsi="Times New Roman"/>
          <w:bCs/>
        </w:rPr>
      </w:pPr>
      <w:r>
        <w:rPr>
          <w:rFonts w:ascii="Times New Roman" w:hAnsi="Times New Roman"/>
          <w:bCs/>
        </w:rPr>
        <w:t>диалога – побуждения к действию: обращение к собеседнику с просьбой, вежливое согласие выполнить просьбу; приглашение собеседника к совместной деятельности, вежливое согласие/несогласие на предложение собеседника;</w:t>
      </w:r>
    </w:p>
    <w:p w14:paraId="79E565D0">
      <w:pPr>
        <w:widowControl/>
        <w:tabs>
          <w:tab w:val="left" w:pos="1134"/>
        </w:tabs>
        <w:spacing w:after="0" w:line="360" w:lineRule="auto"/>
        <w:ind w:firstLine="709"/>
        <w:jc w:val="both"/>
        <w:rPr>
          <w:rFonts w:ascii="Times New Roman" w:hAnsi="Times New Roman"/>
          <w:bCs/>
        </w:rPr>
      </w:pPr>
      <w:r>
        <w:rPr>
          <w:rFonts w:ascii="Times New Roman" w:hAnsi="Times New Roman"/>
          <w:bCs/>
        </w:rPr>
        <w:t>диалога-расспроса: запрашивание интересующей информации; сообщение фактической информации, ответы на вопросы собеседника.</w:t>
      </w:r>
    </w:p>
    <w:p w14:paraId="29F186FC">
      <w:pPr>
        <w:widowControl/>
        <w:tabs>
          <w:tab w:val="left" w:pos="1134"/>
        </w:tabs>
        <w:spacing w:after="0" w:line="360" w:lineRule="auto"/>
        <w:ind w:firstLine="709"/>
        <w:jc w:val="both"/>
        <w:rPr>
          <w:rFonts w:ascii="Times New Roman" w:hAnsi="Times New Roman"/>
          <w:bCs/>
        </w:rPr>
      </w:pPr>
      <w:r>
        <w:rPr>
          <w:rFonts w:ascii="Times New Roman" w:hAnsi="Times New Roman"/>
          <w:bCs/>
        </w:rPr>
        <w:t>9.8.2.1.2. Коммуникативные умения монологической речи.</w:t>
      </w:r>
    </w:p>
    <w:p w14:paraId="6039CB3D">
      <w:pPr>
        <w:widowControl/>
        <w:tabs>
          <w:tab w:val="left" w:pos="1134"/>
        </w:tabs>
        <w:spacing w:after="0" w:line="360" w:lineRule="auto"/>
        <w:ind w:firstLine="709"/>
        <w:jc w:val="both"/>
        <w:rPr>
          <w:rFonts w:ascii="Times New Roman" w:hAnsi="Times New Roman"/>
          <w:bCs/>
        </w:rPr>
      </w:pPr>
      <w:r>
        <w:rPr>
          <w:rFonts w:ascii="Times New Roman" w:hAnsi="Times New Roman"/>
          <w:bCs/>
        </w:rPr>
        <w:t>Создание с использованием ключевых слов, вопросов и (или) иллюстраций устных монологических высказываний: описание предмета, внешности и одежды, черт характера реального человека или литературного персонажа; рассказ/сообщение (повествование) с использованием ключевых слов, вопросов и (или) иллюстраций .</w:t>
      </w:r>
    </w:p>
    <w:p w14:paraId="5393E7DB">
      <w:pPr>
        <w:widowControl/>
        <w:tabs>
          <w:tab w:val="left" w:pos="1134"/>
        </w:tabs>
        <w:spacing w:after="0" w:line="360" w:lineRule="auto"/>
        <w:ind w:firstLine="709"/>
        <w:jc w:val="both"/>
        <w:rPr>
          <w:rFonts w:ascii="Times New Roman" w:hAnsi="Times New Roman"/>
          <w:bCs/>
        </w:rPr>
      </w:pPr>
      <w:r>
        <w:rPr>
          <w:rFonts w:ascii="Times New Roman" w:hAnsi="Times New Roman"/>
          <w:bCs/>
        </w:rPr>
        <w:t>Создание устных монологических высказываний в рамках тематического содержания речи по образцу (с выражением своего отношения к предмету речи).</w:t>
      </w:r>
    </w:p>
    <w:p w14:paraId="3152FF0B">
      <w:pPr>
        <w:widowControl/>
        <w:tabs>
          <w:tab w:val="left" w:pos="1134"/>
        </w:tabs>
        <w:spacing w:after="0" w:line="360" w:lineRule="auto"/>
        <w:ind w:firstLine="709"/>
        <w:jc w:val="both"/>
        <w:rPr>
          <w:rFonts w:ascii="Times New Roman" w:hAnsi="Times New Roman"/>
          <w:bCs/>
        </w:rPr>
      </w:pPr>
      <w:r>
        <w:rPr>
          <w:rFonts w:ascii="Times New Roman" w:hAnsi="Times New Roman"/>
          <w:bCs/>
        </w:rPr>
        <w:t>Пересказ основного содержания прочитанного текста с использованием ключевых слов, вопросов, плана и (или) иллюстраций.</w:t>
      </w:r>
    </w:p>
    <w:p w14:paraId="6B1A8F33">
      <w:pPr>
        <w:widowControl/>
        <w:tabs>
          <w:tab w:val="left" w:pos="1134"/>
        </w:tabs>
        <w:spacing w:after="0" w:line="360" w:lineRule="auto"/>
        <w:ind w:firstLine="709"/>
        <w:jc w:val="both"/>
        <w:rPr>
          <w:rFonts w:ascii="Times New Roman" w:hAnsi="Times New Roman"/>
          <w:bCs/>
        </w:rPr>
      </w:pPr>
      <w:r>
        <w:rPr>
          <w:rFonts w:ascii="Times New Roman" w:hAnsi="Times New Roman"/>
          <w:bCs/>
        </w:rPr>
        <w:t>Краткое устное изложение результатов выполненного несложного проектного задания.</w:t>
      </w:r>
    </w:p>
    <w:p w14:paraId="36159886">
      <w:pPr>
        <w:widowControl/>
        <w:tabs>
          <w:tab w:val="left" w:pos="1134"/>
        </w:tabs>
        <w:spacing w:after="0" w:line="360" w:lineRule="auto"/>
        <w:ind w:firstLine="709"/>
        <w:jc w:val="both"/>
        <w:rPr>
          <w:rFonts w:ascii="Times New Roman" w:hAnsi="Times New Roman"/>
          <w:bCs/>
        </w:rPr>
      </w:pPr>
      <w:r>
        <w:rPr>
          <w:rFonts w:ascii="Times New Roman" w:hAnsi="Times New Roman"/>
          <w:bCs/>
        </w:rPr>
        <w:t>9.8.2.2. Аудирование.</w:t>
      </w:r>
    </w:p>
    <w:p w14:paraId="313A6008">
      <w:pPr>
        <w:widowControl/>
        <w:tabs>
          <w:tab w:val="left" w:pos="1134"/>
        </w:tabs>
        <w:spacing w:after="0" w:line="360" w:lineRule="auto"/>
        <w:ind w:firstLine="709"/>
        <w:jc w:val="both"/>
        <w:rPr>
          <w:rFonts w:ascii="Times New Roman" w:hAnsi="Times New Roman"/>
          <w:bCs/>
        </w:rPr>
      </w:pPr>
      <w:r>
        <w:rPr>
          <w:rFonts w:ascii="Times New Roman" w:hAnsi="Times New Roman"/>
          <w:bCs/>
        </w:rPr>
        <w:t>9.8.2.2.1. Коммуникативные умения аудирования.</w:t>
      </w:r>
    </w:p>
    <w:p w14:paraId="460CEA6D">
      <w:pPr>
        <w:widowControl/>
        <w:tabs>
          <w:tab w:val="left" w:pos="1134"/>
        </w:tabs>
        <w:spacing w:after="0" w:line="360" w:lineRule="auto"/>
        <w:ind w:firstLine="709"/>
        <w:jc w:val="both"/>
        <w:rPr>
          <w:rFonts w:ascii="Times New Roman" w:hAnsi="Times New Roman"/>
          <w:bCs/>
        </w:rPr>
      </w:pPr>
      <w:r>
        <w:rPr>
          <w:rFonts w:ascii="Times New Roman" w:hAnsi="Times New Roman"/>
          <w:bCs/>
        </w:rPr>
        <w:t>Понимание на слух речи учителя и других обучающихся и вербальная/невербальная реакция на услышанное (при непосредственном общении).</w:t>
      </w:r>
    </w:p>
    <w:p w14:paraId="7FE7A875">
      <w:pPr>
        <w:widowControl/>
        <w:tabs>
          <w:tab w:val="left" w:pos="1134"/>
        </w:tabs>
        <w:spacing w:after="0" w:line="360" w:lineRule="auto"/>
        <w:ind w:firstLine="709"/>
        <w:jc w:val="both"/>
        <w:rPr>
          <w:rFonts w:ascii="Times New Roman" w:hAnsi="Times New Roman"/>
          <w:bCs/>
        </w:rPr>
      </w:pPr>
      <w:r>
        <w:rPr>
          <w:rFonts w:ascii="Times New Roman" w:hAnsi="Times New Roman"/>
          <w:bCs/>
        </w:rPr>
        <w:t>Восприятие и понимание на слух учебных и адаптированных аутентичных текстов, построенных на изученном языковом материале, в соответствии с поставленной коммуникативной задачей: с пониманием основного содержания, с пониманием запрашиваемой информации (при опосредованном общении).</w:t>
      </w:r>
    </w:p>
    <w:p w14:paraId="7C19984C">
      <w:pPr>
        <w:widowControl/>
        <w:tabs>
          <w:tab w:val="left" w:pos="1134"/>
        </w:tabs>
        <w:spacing w:after="0" w:line="360" w:lineRule="auto"/>
        <w:ind w:firstLine="709"/>
        <w:jc w:val="both"/>
        <w:rPr>
          <w:rFonts w:ascii="Times New Roman" w:hAnsi="Times New Roman"/>
          <w:bCs/>
        </w:rPr>
      </w:pPr>
      <w:r>
        <w:rPr>
          <w:rFonts w:ascii="Times New Roman" w:hAnsi="Times New Roman"/>
          <w:bCs/>
        </w:rPr>
        <w:t>Аудирование с пониманием основного содержания текста предполагает умение определять основную тему и главные факты/события в воспринимаемом на слух тексте с использованием иллюстраций и языковой, в том числе контекстуальной, догадки.</w:t>
      </w:r>
    </w:p>
    <w:p w14:paraId="0032DA9C">
      <w:pPr>
        <w:widowControl/>
        <w:tabs>
          <w:tab w:val="left" w:pos="1134"/>
        </w:tabs>
        <w:spacing w:after="0" w:line="360" w:lineRule="auto"/>
        <w:ind w:firstLine="709"/>
        <w:jc w:val="both"/>
        <w:rPr>
          <w:rFonts w:ascii="Times New Roman" w:hAnsi="Times New Roman"/>
          <w:bCs/>
        </w:rPr>
      </w:pPr>
      <w:r>
        <w:rPr>
          <w:rFonts w:ascii="Times New Roman" w:hAnsi="Times New Roman"/>
          <w:bCs/>
        </w:rPr>
        <w:t>Аудирование с пониманием запрашиваемой информации предполагает умение выделять запрашиваемую информацию фактического характера с использованием иллюстраций и языковой, в том числе контекстуальной, догадки.</w:t>
      </w:r>
    </w:p>
    <w:p w14:paraId="6FB3F950">
      <w:pPr>
        <w:widowControl/>
        <w:tabs>
          <w:tab w:val="left" w:pos="1134"/>
        </w:tabs>
        <w:spacing w:after="0" w:line="360" w:lineRule="auto"/>
        <w:ind w:firstLine="709"/>
        <w:jc w:val="both"/>
        <w:rPr>
          <w:rFonts w:ascii="Times New Roman" w:hAnsi="Times New Roman"/>
          <w:bCs/>
        </w:rPr>
      </w:pPr>
      <w:r>
        <w:rPr>
          <w:rFonts w:ascii="Times New Roman" w:hAnsi="Times New Roman"/>
          <w:bCs/>
        </w:rPr>
        <w:t>Тексты для аудирования: диалог, высказывания собеседников в ситуациях повседневного общения, рассказ, сказка, сообщение информационного характера.</w:t>
      </w:r>
    </w:p>
    <w:p w14:paraId="77957652">
      <w:pPr>
        <w:widowControl/>
        <w:tabs>
          <w:tab w:val="left" w:pos="1134"/>
        </w:tabs>
        <w:spacing w:after="0" w:line="360" w:lineRule="auto"/>
        <w:ind w:firstLine="709"/>
        <w:jc w:val="both"/>
        <w:rPr>
          <w:rFonts w:ascii="Times New Roman" w:hAnsi="Times New Roman"/>
          <w:bCs/>
        </w:rPr>
      </w:pPr>
      <w:r>
        <w:rPr>
          <w:rFonts w:ascii="Times New Roman" w:hAnsi="Times New Roman"/>
          <w:bCs/>
        </w:rPr>
        <w:t>9.8.2.3. Смысловое чтение.</w:t>
      </w:r>
    </w:p>
    <w:p w14:paraId="41EB1DDC">
      <w:pPr>
        <w:widowControl/>
        <w:tabs>
          <w:tab w:val="left" w:pos="1134"/>
        </w:tabs>
        <w:spacing w:after="0" w:line="360" w:lineRule="auto"/>
        <w:ind w:firstLine="709"/>
        <w:jc w:val="both"/>
        <w:rPr>
          <w:rFonts w:ascii="Times New Roman" w:hAnsi="Times New Roman"/>
          <w:bCs/>
        </w:rPr>
      </w:pPr>
      <w:r>
        <w:rPr>
          <w:rFonts w:ascii="Times New Roman" w:hAnsi="Times New Roman"/>
          <w:bCs/>
        </w:rPr>
        <w:t>Чтение вслух учебных текстов с соблюдением правил чтения и соответствующей интонацией, понимание прочитанного.</w:t>
      </w:r>
    </w:p>
    <w:p w14:paraId="5755C187">
      <w:pPr>
        <w:widowControl/>
        <w:tabs>
          <w:tab w:val="left" w:pos="1134"/>
        </w:tabs>
        <w:spacing w:after="0" w:line="360" w:lineRule="auto"/>
        <w:ind w:firstLine="709"/>
        <w:jc w:val="both"/>
        <w:rPr>
          <w:rFonts w:ascii="Times New Roman" w:hAnsi="Times New Roman"/>
          <w:bCs/>
        </w:rPr>
      </w:pPr>
      <w:r>
        <w:rPr>
          <w:rFonts w:ascii="Times New Roman" w:hAnsi="Times New Roman"/>
          <w:bCs/>
        </w:rPr>
        <w:t>Тексты для чтения вслух: диалог, рассказ, сказка.</w:t>
      </w:r>
    </w:p>
    <w:p w14:paraId="673DEE69">
      <w:pPr>
        <w:widowControl/>
        <w:tabs>
          <w:tab w:val="left" w:pos="1134"/>
        </w:tabs>
        <w:spacing w:after="0" w:line="360" w:lineRule="auto"/>
        <w:ind w:firstLine="709"/>
        <w:jc w:val="both"/>
        <w:rPr>
          <w:rFonts w:ascii="Times New Roman" w:hAnsi="Times New Roman"/>
          <w:bCs/>
        </w:rPr>
      </w:pPr>
      <w:r>
        <w:rPr>
          <w:rFonts w:ascii="Times New Roman" w:hAnsi="Times New Roman"/>
          <w:bCs/>
        </w:rPr>
        <w:t>Чтение про себя учебных текстов, построенных на изученном языковом материале,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w:t>
      </w:r>
    </w:p>
    <w:p w14:paraId="6FA2E520">
      <w:pPr>
        <w:widowControl/>
        <w:tabs>
          <w:tab w:val="left" w:pos="1134"/>
        </w:tabs>
        <w:spacing w:after="0" w:line="360" w:lineRule="auto"/>
        <w:ind w:firstLine="709"/>
        <w:jc w:val="both"/>
        <w:rPr>
          <w:rFonts w:ascii="Times New Roman" w:hAnsi="Times New Roman"/>
          <w:bCs/>
        </w:rPr>
      </w:pPr>
      <w:r>
        <w:rPr>
          <w:rFonts w:ascii="Times New Roman" w:hAnsi="Times New Roman"/>
          <w:bCs/>
        </w:rPr>
        <w:t>Чтение с пониманием основного содержания текста предполагает определение основной темы и главных фактов/событий в прочитанном тексте с использованием иллюстраций и языковой, в том числе контекстуальной, догадки.</w:t>
      </w:r>
    </w:p>
    <w:p w14:paraId="0658BB90">
      <w:pPr>
        <w:widowControl/>
        <w:tabs>
          <w:tab w:val="left" w:pos="1134"/>
        </w:tabs>
        <w:spacing w:after="0" w:line="360" w:lineRule="auto"/>
        <w:ind w:firstLine="709"/>
        <w:jc w:val="both"/>
        <w:rPr>
          <w:rFonts w:ascii="Times New Roman" w:hAnsi="Times New Roman"/>
          <w:bCs/>
        </w:rPr>
      </w:pPr>
      <w:r>
        <w:rPr>
          <w:rFonts w:ascii="Times New Roman" w:hAnsi="Times New Roman"/>
          <w:bCs/>
        </w:rPr>
        <w:t>Чтение с пониманием запрашиваемой информации предполагает нахождение в прочитанном тексте и понимание запрашиваемой информации фактического характера с использованием иллюстраций, языковой, в том числе контекстуальной, догадки.</w:t>
      </w:r>
    </w:p>
    <w:p w14:paraId="737D726F">
      <w:pPr>
        <w:widowControl/>
        <w:tabs>
          <w:tab w:val="left" w:pos="1134"/>
        </w:tabs>
        <w:spacing w:after="0" w:line="360" w:lineRule="auto"/>
        <w:ind w:firstLine="709"/>
        <w:jc w:val="both"/>
        <w:rPr>
          <w:rFonts w:ascii="Times New Roman" w:hAnsi="Times New Roman"/>
          <w:bCs/>
        </w:rPr>
      </w:pPr>
      <w:r>
        <w:rPr>
          <w:rFonts w:ascii="Times New Roman" w:hAnsi="Times New Roman"/>
          <w:bCs/>
        </w:rPr>
        <w:t>Смысловое чтение про себя учебных и адаптированных аутентичных текстов, содержащих отдельные незнакомые слова, понимание основного содержания (тема, главная мысль, главные факты/события) текста с использованием иллюстраций и языковой, в том числе контекстуальной, догадки, в том числе контекстуальной.</w:t>
      </w:r>
    </w:p>
    <w:p w14:paraId="3C4F5BA1">
      <w:pPr>
        <w:widowControl/>
        <w:tabs>
          <w:tab w:val="left" w:pos="1134"/>
        </w:tabs>
        <w:spacing w:after="0" w:line="360" w:lineRule="auto"/>
        <w:ind w:firstLine="709"/>
        <w:jc w:val="both"/>
        <w:rPr>
          <w:rFonts w:ascii="Times New Roman" w:hAnsi="Times New Roman"/>
          <w:bCs/>
        </w:rPr>
      </w:pPr>
      <w:r>
        <w:rPr>
          <w:rFonts w:ascii="Times New Roman" w:hAnsi="Times New Roman"/>
          <w:bCs/>
        </w:rPr>
        <w:t>Прогнозирование содержания текста на основе заголовка</w:t>
      </w:r>
    </w:p>
    <w:p w14:paraId="78060F38">
      <w:pPr>
        <w:widowControl/>
        <w:tabs>
          <w:tab w:val="left" w:pos="1134"/>
        </w:tabs>
        <w:spacing w:after="0" w:line="360" w:lineRule="auto"/>
        <w:ind w:firstLine="709"/>
        <w:jc w:val="both"/>
        <w:rPr>
          <w:rFonts w:ascii="Times New Roman" w:hAnsi="Times New Roman"/>
          <w:bCs/>
        </w:rPr>
      </w:pPr>
      <w:r>
        <w:rPr>
          <w:rFonts w:ascii="Times New Roman" w:hAnsi="Times New Roman"/>
          <w:bCs/>
        </w:rPr>
        <w:t>Чтение не сплошных текстов (таблиц, диаграмм) и понимание представленной в них информации.</w:t>
      </w:r>
    </w:p>
    <w:p w14:paraId="5D1896C2">
      <w:pPr>
        <w:widowControl/>
        <w:tabs>
          <w:tab w:val="left" w:pos="1134"/>
        </w:tabs>
        <w:spacing w:after="0" w:line="360" w:lineRule="auto"/>
        <w:ind w:firstLine="709"/>
        <w:jc w:val="both"/>
        <w:rPr>
          <w:rFonts w:ascii="Times New Roman" w:hAnsi="Times New Roman"/>
          <w:bCs/>
        </w:rPr>
      </w:pPr>
      <w:r>
        <w:rPr>
          <w:rFonts w:ascii="Times New Roman" w:hAnsi="Times New Roman"/>
          <w:bCs/>
        </w:rPr>
        <w:t>Тексты для чтения: диалог, рассказ, сказка, электронное сообщение личного характера, текст научно-популярного характера, стихотворение.</w:t>
      </w:r>
    </w:p>
    <w:p w14:paraId="6A45AA8B">
      <w:pPr>
        <w:widowControl/>
        <w:tabs>
          <w:tab w:val="left" w:pos="1134"/>
        </w:tabs>
        <w:spacing w:after="0" w:line="360" w:lineRule="auto"/>
        <w:ind w:firstLine="709"/>
        <w:jc w:val="both"/>
        <w:rPr>
          <w:rFonts w:ascii="Times New Roman" w:hAnsi="Times New Roman"/>
          <w:bCs/>
        </w:rPr>
      </w:pPr>
      <w:r>
        <w:rPr>
          <w:rFonts w:ascii="Times New Roman" w:hAnsi="Times New Roman"/>
          <w:bCs/>
        </w:rPr>
        <w:t>9.8.2.4. Письмо.</w:t>
      </w:r>
    </w:p>
    <w:p w14:paraId="6AF4341C">
      <w:pPr>
        <w:widowControl/>
        <w:tabs>
          <w:tab w:val="left" w:pos="1134"/>
        </w:tabs>
        <w:spacing w:after="0" w:line="360" w:lineRule="auto"/>
        <w:ind w:firstLine="709"/>
        <w:jc w:val="both"/>
        <w:rPr>
          <w:rFonts w:ascii="Times New Roman" w:hAnsi="Times New Roman"/>
          <w:bCs/>
        </w:rPr>
      </w:pPr>
      <w:r>
        <w:rPr>
          <w:rFonts w:ascii="Times New Roman" w:hAnsi="Times New Roman"/>
          <w:bCs/>
        </w:rPr>
        <w:t>Выписывание из текста слов, словосочетаний, предложений; вставка пропущенных букв в слово или слов в предложение в соответствии с решаемой коммуникативной/учебной задачей.</w:t>
      </w:r>
    </w:p>
    <w:p w14:paraId="5DCB6E3E">
      <w:pPr>
        <w:widowControl/>
        <w:tabs>
          <w:tab w:val="left" w:pos="1134"/>
        </w:tabs>
        <w:spacing w:after="0" w:line="360" w:lineRule="auto"/>
        <w:ind w:firstLine="709"/>
        <w:jc w:val="both"/>
        <w:rPr>
          <w:rFonts w:ascii="Times New Roman" w:hAnsi="Times New Roman"/>
          <w:bCs/>
        </w:rPr>
      </w:pPr>
      <w:r>
        <w:rPr>
          <w:rFonts w:ascii="Times New Roman" w:hAnsi="Times New Roman"/>
          <w:bCs/>
        </w:rPr>
        <w:t>Заполнение простых анкет и формуляров с указанием личной информации (имя, фамилия, возраст, местожительство (страна проживания, город), любимые занятия) в соответствии с нормами, принятыми в стране/странах изучаемого языка.</w:t>
      </w:r>
    </w:p>
    <w:p w14:paraId="034D3B97">
      <w:pPr>
        <w:widowControl/>
        <w:tabs>
          <w:tab w:val="left" w:pos="1134"/>
        </w:tabs>
        <w:spacing w:after="0" w:line="360" w:lineRule="auto"/>
        <w:ind w:firstLine="709"/>
        <w:jc w:val="both"/>
        <w:rPr>
          <w:rFonts w:ascii="Times New Roman" w:hAnsi="Times New Roman"/>
          <w:bCs/>
        </w:rPr>
      </w:pPr>
      <w:r>
        <w:rPr>
          <w:rFonts w:ascii="Times New Roman" w:hAnsi="Times New Roman"/>
          <w:bCs/>
        </w:rPr>
        <w:t>Написание с использованием образца поздравления с праздниками (с днём рождения, Новым годом, Рождеством) с выражением пожеланий.</w:t>
      </w:r>
    </w:p>
    <w:p w14:paraId="17EAF3D2">
      <w:pPr>
        <w:widowControl/>
        <w:tabs>
          <w:tab w:val="left" w:pos="1134"/>
        </w:tabs>
        <w:spacing w:after="0" w:line="360" w:lineRule="auto"/>
        <w:ind w:firstLine="709"/>
        <w:jc w:val="both"/>
        <w:rPr>
          <w:rFonts w:ascii="Times New Roman" w:hAnsi="Times New Roman"/>
          <w:bCs/>
        </w:rPr>
      </w:pPr>
      <w:r>
        <w:rPr>
          <w:rFonts w:ascii="Times New Roman" w:hAnsi="Times New Roman"/>
          <w:bCs/>
        </w:rPr>
        <w:t>Написание электронного сообщения личного характера с использованием образца.</w:t>
      </w:r>
    </w:p>
    <w:p w14:paraId="62705CB5">
      <w:pPr>
        <w:widowControl/>
        <w:tabs>
          <w:tab w:val="left" w:pos="1134"/>
        </w:tabs>
        <w:spacing w:after="0" w:line="360" w:lineRule="auto"/>
        <w:ind w:firstLine="709"/>
        <w:jc w:val="both"/>
        <w:rPr>
          <w:rFonts w:ascii="Times New Roman" w:hAnsi="Times New Roman"/>
          <w:bCs/>
        </w:rPr>
      </w:pPr>
      <w:r>
        <w:rPr>
          <w:rFonts w:ascii="Times New Roman" w:hAnsi="Times New Roman"/>
          <w:bCs/>
        </w:rPr>
        <w:t>9.8.3. Языковые знания и навыки.</w:t>
      </w:r>
    </w:p>
    <w:p w14:paraId="4B2C5393">
      <w:pPr>
        <w:widowControl/>
        <w:tabs>
          <w:tab w:val="left" w:pos="1134"/>
        </w:tabs>
        <w:spacing w:after="0" w:line="360" w:lineRule="auto"/>
        <w:ind w:firstLine="709"/>
        <w:jc w:val="both"/>
        <w:rPr>
          <w:rFonts w:ascii="Times New Roman" w:hAnsi="Times New Roman"/>
          <w:bCs/>
        </w:rPr>
      </w:pPr>
      <w:r>
        <w:rPr>
          <w:rFonts w:ascii="Times New Roman" w:hAnsi="Times New Roman"/>
          <w:bCs/>
        </w:rPr>
        <w:t>9.8.3.1. Фонетическая сторона речи.</w:t>
      </w:r>
    </w:p>
    <w:p w14:paraId="341BF790">
      <w:pPr>
        <w:widowControl/>
        <w:tabs>
          <w:tab w:val="left" w:pos="1134"/>
        </w:tabs>
        <w:spacing w:after="0" w:line="360" w:lineRule="auto"/>
        <w:ind w:firstLine="709"/>
        <w:jc w:val="both"/>
        <w:rPr>
          <w:rFonts w:ascii="Times New Roman" w:hAnsi="Times New Roman"/>
          <w:bCs/>
        </w:rPr>
      </w:pPr>
      <w:r>
        <w:rPr>
          <w:rFonts w:ascii="Times New Roman" w:hAnsi="Times New Roman"/>
          <w:bCs/>
        </w:rPr>
        <w:t>Нормы произношения: долгота и краткость гласных, отсутствие оглушения звонких согласных в конце слога или слова, отсутствие смягчения согласных перед гласными. Связующее “r” (there is/there are).</w:t>
      </w:r>
    </w:p>
    <w:p w14:paraId="59523079">
      <w:pPr>
        <w:widowControl/>
        <w:tabs>
          <w:tab w:val="left" w:pos="1134"/>
        </w:tabs>
        <w:spacing w:after="0" w:line="360" w:lineRule="auto"/>
        <w:ind w:firstLine="709"/>
        <w:jc w:val="both"/>
        <w:rPr>
          <w:rFonts w:ascii="Times New Roman" w:hAnsi="Times New Roman"/>
          <w:bCs/>
        </w:rPr>
      </w:pPr>
      <w:r>
        <w:rPr>
          <w:rFonts w:ascii="Times New Roman" w:hAnsi="Times New Roman"/>
          <w:bCs/>
        </w:rPr>
        <w:t>Ритмико-интонационные особенности повествовательного, побудительного и вопросительного (общий и специальный вопрос) предложений.</w:t>
      </w:r>
    </w:p>
    <w:p w14:paraId="3B24746E">
      <w:pPr>
        <w:widowControl/>
        <w:tabs>
          <w:tab w:val="left" w:pos="1134"/>
        </w:tabs>
        <w:spacing w:after="0" w:line="360" w:lineRule="auto"/>
        <w:ind w:firstLine="709"/>
        <w:jc w:val="both"/>
        <w:rPr>
          <w:rFonts w:ascii="Times New Roman" w:hAnsi="Times New Roman"/>
          <w:bCs/>
        </w:rPr>
      </w:pPr>
      <w:r>
        <w:rPr>
          <w:rFonts w:ascii="Times New Roman" w:hAnsi="Times New Roman"/>
          <w:bCs/>
        </w:rPr>
        <w:t>Различение на слух, без ошибок, ведущих к сбою в коммуникации, произнесение слов с соблюдением правильного ударения и фраз с соблюдением их ритмико-интонационных особенностей, в том числе соблюдение правила отсутствия ударения на служебных словах; интонации перечисления.</w:t>
      </w:r>
    </w:p>
    <w:p w14:paraId="5F351532">
      <w:pPr>
        <w:widowControl/>
        <w:tabs>
          <w:tab w:val="left" w:pos="1134"/>
        </w:tabs>
        <w:spacing w:after="0" w:line="360" w:lineRule="auto"/>
        <w:ind w:firstLine="709"/>
        <w:jc w:val="both"/>
        <w:rPr>
          <w:rFonts w:ascii="Times New Roman" w:hAnsi="Times New Roman"/>
          <w:bCs/>
        </w:rPr>
      </w:pPr>
      <w:r>
        <w:rPr>
          <w:rFonts w:ascii="Times New Roman" w:hAnsi="Times New Roman"/>
          <w:bCs/>
        </w:rPr>
        <w:t>Правила чтения: гласных в открытом и закрытом слоге в односложных словах, гласных в третьем типе слога (гласная + r); согласных; основных звукобуквенных сочетаний, в частности сложных сочетаний букв (например, tion, ight) в односложных, двусложных и многосложных словах.</w:t>
      </w:r>
    </w:p>
    <w:p w14:paraId="6EDF06DC">
      <w:pPr>
        <w:widowControl/>
        <w:tabs>
          <w:tab w:val="left" w:pos="1134"/>
        </w:tabs>
        <w:spacing w:after="0" w:line="360" w:lineRule="auto"/>
        <w:ind w:firstLine="709"/>
        <w:jc w:val="both"/>
        <w:rPr>
          <w:rFonts w:ascii="Times New Roman" w:hAnsi="Times New Roman"/>
          <w:bCs/>
        </w:rPr>
      </w:pPr>
      <w:r>
        <w:rPr>
          <w:rFonts w:ascii="Times New Roman" w:hAnsi="Times New Roman"/>
          <w:bCs/>
        </w:rPr>
        <w:t>ВыДеление некоторых звукобуквенных сочетаний при анализе изученных слов.</w:t>
      </w:r>
    </w:p>
    <w:p w14:paraId="2EC968BE">
      <w:pPr>
        <w:widowControl/>
        <w:tabs>
          <w:tab w:val="left" w:pos="1134"/>
        </w:tabs>
        <w:spacing w:after="0" w:line="360" w:lineRule="auto"/>
        <w:ind w:firstLine="709"/>
        <w:jc w:val="both"/>
        <w:rPr>
          <w:rFonts w:ascii="Times New Roman" w:hAnsi="Times New Roman"/>
          <w:bCs/>
        </w:rPr>
      </w:pPr>
      <w:r>
        <w:rPr>
          <w:rFonts w:ascii="Times New Roman" w:hAnsi="Times New Roman"/>
          <w:bCs/>
        </w:rPr>
        <w:t>Чтение новых слов согласно основным правилам чтения с использованием полной или частичной транскрипции, по аналогии.</w:t>
      </w:r>
    </w:p>
    <w:p w14:paraId="23128DEE">
      <w:pPr>
        <w:widowControl/>
        <w:tabs>
          <w:tab w:val="left" w:pos="1134"/>
        </w:tabs>
        <w:spacing w:after="0" w:line="360" w:lineRule="auto"/>
        <w:ind w:firstLine="709"/>
        <w:jc w:val="both"/>
        <w:rPr>
          <w:rFonts w:ascii="Times New Roman" w:hAnsi="Times New Roman"/>
          <w:bCs/>
        </w:rPr>
      </w:pPr>
      <w:r>
        <w:rPr>
          <w:rFonts w:ascii="Times New Roman" w:hAnsi="Times New Roman"/>
          <w:bCs/>
        </w:rPr>
        <w:t>Знаки английской транскрипции; отличие их от букв английского алфавита. Фонетически корректное озвучивание знаков транскрипции.</w:t>
      </w:r>
    </w:p>
    <w:p w14:paraId="0911FFFA">
      <w:pPr>
        <w:widowControl/>
        <w:tabs>
          <w:tab w:val="left" w:pos="1134"/>
        </w:tabs>
        <w:spacing w:after="0" w:line="360" w:lineRule="auto"/>
        <w:ind w:firstLine="709"/>
        <w:jc w:val="both"/>
        <w:rPr>
          <w:rFonts w:ascii="Times New Roman" w:hAnsi="Times New Roman"/>
          <w:bCs/>
        </w:rPr>
      </w:pPr>
      <w:r>
        <w:rPr>
          <w:rFonts w:ascii="Times New Roman" w:hAnsi="Times New Roman"/>
          <w:bCs/>
        </w:rPr>
        <w:t>9.8.3.2. Графика, орфография и пунктуация.</w:t>
      </w:r>
    </w:p>
    <w:p w14:paraId="2B821517">
      <w:pPr>
        <w:widowControl/>
        <w:tabs>
          <w:tab w:val="left" w:pos="1134"/>
        </w:tabs>
        <w:spacing w:after="0" w:line="360" w:lineRule="auto"/>
        <w:ind w:firstLine="709"/>
        <w:jc w:val="both"/>
        <w:rPr>
          <w:rFonts w:ascii="Times New Roman" w:hAnsi="Times New Roman"/>
          <w:bCs/>
        </w:rPr>
      </w:pPr>
      <w:r>
        <w:rPr>
          <w:rFonts w:ascii="Times New Roman" w:hAnsi="Times New Roman"/>
          <w:bCs/>
        </w:rPr>
        <w:t>Правильное написание изученных слов. Правильная расстановка знаков препинания: точки, вопросительного и восклицательного знака в конце предложения; запятой при обращении и перечислении; правильное использование знака апострофа в сокращённых формах глагола-связки, вспомогательного и модального глаголов, существительных в притяжательном падеже (Possessive Case).</w:t>
      </w:r>
    </w:p>
    <w:p w14:paraId="0E5100E8">
      <w:pPr>
        <w:widowControl/>
        <w:tabs>
          <w:tab w:val="left" w:pos="1134"/>
        </w:tabs>
        <w:spacing w:after="0" w:line="360" w:lineRule="auto"/>
        <w:ind w:firstLine="709"/>
        <w:jc w:val="both"/>
        <w:rPr>
          <w:rFonts w:ascii="Times New Roman" w:hAnsi="Times New Roman"/>
          <w:bCs/>
        </w:rPr>
      </w:pPr>
      <w:r>
        <w:rPr>
          <w:rFonts w:ascii="Times New Roman" w:hAnsi="Times New Roman"/>
          <w:bCs/>
        </w:rPr>
        <w:t>9.8.3.3. Лексическая сторона речи.</w:t>
      </w:r>
    </w:p>
    <w:p w14:paraId="4F011264">
      <w:pPr>
        <w:widowControl/>
        <w:tabs>
          <w:tab w:val="left" w:pos="1134"/>
        </w:tabs>
        <w:spacing w:after="0" w:line="360" w:lineRule="auto"/>
        <w:ind w:firstLine="709"/>
        <w:jc w:val="both"/>
        <w:rPr>
          <w:rFonts w:ascii="Times New Roman" w:hAnsi="Times New Roman"/>
          <w:bCs/>
        </w:rPr>
      </w:pPr>
      <w:r>
        <w:rPr>
          <w:rFonts w:ascii="Times New Roman" w:hAnsi="Times New Roman"/>
          <w:bCs/>
        </w:rPr>
        <w:t>Распознавание и употребление в устной и письменной речи не менее 500 лексических единиц (слов, словосочетаний, речевых клише), обслуживающих ситуации общения в рамках тематического содержания речи для 4 класса, включая 350 лексических единиц, усвоенных в предыдущие два года обучения.</w:t>
      </w:r>
    </w:p>
    <w:p w14:paraId="16B9EC24">
      <w:pPr>
        <w:widowControl/>
        <w:tabs>
          <w:tab w:val="left" w:pos="1134"/>
        </w:tabs>
        <w:spacing w:after="0" w:line="360" w:lineRule="auto"/>
        <w:ind w:firstLine="709"/>
        <w:jc w:val="both"/>
        <w:rPr>
          <w:rFonts w:ascii="Times New Roman" w:hAnsi="Times New Roman"/>
          <w:bCs/>
        </w:rPr>
      </w:pPr>
      <w:r>
        <w:rPr>
          <w:rFonts w:ascii="Times New Roman" w:hAnsi="Times New Roman"/>
          <w:bCs/>
        </w:rPr>
        <w:t>Распознавание и образование в устной и письменной речи родственных слов с использованием основных способов словообразования: аффиксации (образование существительных с помощью суффиксов -er/-or, -ist (worker, actor, artist) и конверсии (to play – a play).</w:t>
      </w:r>
    </w:p>
    <w:p w14:paraId="4D4304D8">
      <w:pPr>
        <w:widowControl/>
        <w:tabs>
          <w:tab w:val="left" w:pos="1134"/>
        </w:tabs>
        <w:spacing w:after="0" w:line="360" w:lineRule="auto"/>
        <w:ind w:firstLine="709"/>
        <w:jc w:val="both"/>
        <w:rPr>
          <w:rFonts w:ascii="Times New Roman" w:hAnsi="Times New Roman"/>
          <w:bCs/>
        </w:rPr>
      </w:pPr>
      <w:r>
        <w:rPr>
          <w:rFonts w:ascii="Times New Roman" w:hAnsi="Times New Roman"/>
          <w:bCs/>
        </w:rPr>
        <w:t>Использование языковой догадки для распознавания интернациональных слов (pilot, film).</w:t>
      </w:r>
    </w:p>
    <w:p w14:paraId="16F110BF">
      <w:pPr>
        <w:widowControl/>
        <w:tabs>
          <w:tab w:val="left" w:pos="1134"/>
        </w:tabs>
        <w:spacing w:after="0" w:line="360" w:lineRule="auto"/>
        <w:ind w:firstLine="709"/>
        <w:jc w:val="both"/>
        <w:rPr>
          <w:rFonts w:ascii="Times New Roman" w:hAnsi="Times New Roman"/>
          <w:bCs/>
        </w:rPr>
      </w:pPr>
      <w:r>
        <w:rPr>
          <w:rFonts w:ascii="Times New Roman" w:hAnsi="Times New Roman"/>
          <w:bCs/>
        </w:rPr>
        <w:t>9.8.3.4. Грамматическая сторона речи.</w:t>
      </w:r>
    </w:p>
    <w:p w14:paraId="1416A89D">
      <w:pPr>
        <w:widowControl/>
        <w:tabs>
          <w:tab w:val="left" w:pos="1134"/>
        </w:tabs>
        <w:spacing w:after="0" w:line="360" w:lineRule="auto"/>
        <w:ind w:firstLine="709"/>
        <w:jc w:val="both"/>
        <w:rPr>
          <w:rFonts w:ascii="Times New Roman" w:hAnsi="Times New Roman"/>
          <w:bCs/>
        </w:rPr>
      </w:pPr>
      <w:r>
        <w:rPr>
          <w:rFonts w:ascii="Times New Roman" w:hAnsi="Times New Roman"/>
          <w:bCs/>
        </w:rPr>
        <w:t>Распознавание и употребление в устной и письменной речи изученных морфологических форм и синтаксических конструкций английского языка.</w:t>
      </w:r>
    </w:p>
    <w:p w14:paraId="3B4A2BD2">
      <w:pPr>
        <w:widowControl/>
        <w:tabs>
          <w:tab w:val="left" w:pos="1134"/>
        </w:tabs>
        <w:spacing w:after="0" w:line="360" w:lineRule="auto"/>
        <w:ind w:firstLine="709"/>
        <w:jc w:val="both"/>
        <w:rPr>
          <w:rFonts w:ascii="Times New Roman" w:hAnsi="Times New Roman"/>
          <w:bCs/>
        </w:rPr>
      </w:pPr>
      <w:r>
        <w:rPr>
          <w:rFonts w:ascii="Times New Roman" w:hAnsi="Times New Roman"/>
          <w:bCs/>
        </w:rPr>
        <w:t>Глаголы в Present/Past Simple Tense, Present Continuous Tense в повествовательных (утвердительных и отрицательных) и вопросительных (общий и специальный вопросы) предложениях.</w:t>
      </w:r>
    </w:p>
    <w:p w14:paraId="4229261C">
      <w:pPr>
        <w:widowControl/>
        <w:tabs>
          <w:tab w:val="left" w:pos="1134"/>
        </w:tabs>
        <w:spacing w:after="0" w:line="360" w:lineRule="auto"/>
        <w:ind w:firstLine="709"/>
        <w:jc w:val="both"/>
        <w:rPr>
          <w:rFonts w:ascii="Times New Roman" w:hAnsi="Times New Roman"/>
          <w:bCs/>
        </w:rPr>
      </w:pPr>
      <w:r>
        <w:rPr>
          <w:rFonts w:ascii="Times New Roman" w:hAnsi="Times New Roman"/>
          <w:bCs/>
        </w:rPr>
        <w:t>Модальные глаголы must и have to.</w:t>
      </w:r>
    </w:p>
    <w:p w14:paraId="09555B4D">
      <w:pPr>
        <w:widowControl/>
        <w:tabs>
          <w:tab w:val="left" w:pos="1134"/>
        </w:tabs>
        <w:spacing w:after="0" w:line="360" w:lineRule="auto"/>
        <w:ind w:firstLine="709"/>
        <w:jc w:val="both"/>
        <w:rPr>
          <w:rFonts w:ascii="Times New Roman" w:hAnsi="Times New Roman"/>
          <w:bCs/>
        </w:rPr>
      </w:pPr>
      <w:r>
        <w:rPr>
          <w:rFonts w:ascii="Times New Roman" w:hAnsi="Times New Roman"/>
          <w:bCs/>
        </w:rPr>
        <w:t>Конструкция</w:t>
      </w:r>
      <w:r>
        <w:rPr>
          <w:rFonts w:ascii="Times New Roman" w:hAnsi="Times New Roman"/>
          <w:bCs/>
          <w:lang w:val="en-US"/>
        </w:rPr>
        <w:t xml:space="preserve"> to be going to </w:t>
      </w:r>
      <w:r>
        <w:rPr>
          <w:rFonts w:ascii="Times New Roman" w:hAnsi="Times New Roman"/>
          <w:bCs/>
        </w:rPr>
        <w:t>и</w:t>
      </w:r>
      <w:r>
        <w:rPr>
          <w:rFonts w:ascii="Times New Roman" w:hAnsi="Times New Roman"/>
          <w:bCs/>
          <w:lang w:val="en-US"/>
        </w:rPr>
        <w:t xml:space="preserve"> Future Simple Tense </w:t>
      </w:r>
      <w:r>
        <w:rPr>
          <w:rFonts w:ascii="Times New Roman" w:hAnsi="Times New Roman"/>
          <w:bCs/>
        </w:rPr>
        <w:t>для</w:t>
      </w:r>
      <w:r>
        <w:rPr>
          <w:rFonts w:ascii="Times New Roman" w:hAnsi="Times New Roman"/>
          <w:bCs/>
          <w:lang w:val="en-US"/>
        </w:rPr>
        <w:t xml:space="preserve"> </w:t>
      </w:r>
      <w:r>
        <w:rPr>
          <w:rFonts w:ascii="Times New Roman" w:hAnsi="Times New Roman"/>
          <w:bCs/>
        </w:rPr>
        <w:t>выражения</w:t>
      </w:r>
      <w:r>
        <w:rPr>
          <w:rFonts w:ascii="Times New Roman" w:hAnsi="Times New Roman"/>
          <w:bCs/>
          <w:lang w:val="en-US"/>
        </w:rPr>
        <w:t xml:space="preserve"> </w:t>
      </w:r>
      <w:r>
        <w:rPr>
          <w:rFonts w:ascii="Times New Roman" w:hAnsi="Times New Roman"/>
          <w:bCs/>
        </w:rPr>
        <w:t>будущего</w:t>
      </w:r>
      <w:r>
        <w:rPr>
          <w:rFonts w:ascii="Times New Roman" w:hAnsi="Times New Roman"/>
          <w:bCs/>
          <w:lang w:val="en-US"/>
        </w:rPr>
        <w:t xml:space="preserve"> </w:t>
      </w:r>
      <w:r>
        <w:rPr>
          <w:rFonts w:ascii="Times New Roman" w:hAnsi="Times New Roman"/>
          <w:bCs/>
        </w:rPr>
        <w:t>действия</w:t>
      </w:r>
      <w:r>
        <w:rPr>
          <w:rFonts w:ascii="Times New Roman" w:hAnsi="Times New Roman"/>
          <w:bCs/>
          <w:lang w:val="en-US"/>
        </w:rPr>
        <w:t xml:space="preserve"> (I am going to have my birthday party on Saturday. </w:t>
      </w:r>
      <w:r>
        <w:rPr>
          <w:rFonts w:ascii="Times New Roman" w:hAnsi="Times New Roman"/>
          <w:bCs/>
        </w:rPr>
        <w:t>Wait, I’ll help you.).</w:t>
      </w:r>
    </w:p>
    <w:p w14:paraId="1286F952">
      <w:pPr>
        <w:widowControl/>
        <w:tabs>
          <w:tab w:val="left" w:pos="1134"/>
        </w:tabs>
        <w:spacing w:after="0" w:line="360" w:lineRule="auto"/>
        <w:ind w:firstLine="709"/>
        <w:jc w:val="both"/>
        <w:rPr>
          <w:rFonts w:ascii="Times New Roman" w:hAnsi="Times New Roman"/>
          <w:bCs/>
        </w:rPr>
      </w:pPr>
      <w:r>
        <w:rPr>
          <w:rFonts w:ascii="Times New Roman" w:hAnsi="Times New Roman"/>
          <w:bCs/>
        </w:rPr>
        <w:t>Отрицательное местоимение no.</w:t>
      </w:r>
    </w:p>
    <w:p w14:paraId="6E58FB46">
      <w:pPr>
        <w:widowControl/>
        <w:tabs>
          <w:tab w:val="left" w:pos="1134"/>
        </w:tabs>
        <w:spacing w:after="0" w:line="360" w:lineRule="auto"/>
        <w:ind w:firstLine="709"/>
        <w:jc w:val="both"/>
        <w:rPr>
          <w:rFonts w:ascii="Times New Roman" w:hAnsi="Times New Roman"/>
          <w:bCs/>
        </w:rPr>
      </w:pPr>
      <w:r>
        <w:rPr>
          <w:rFonts w:ascii="Times New Roman" w:hAnsi="Times New Roman"/>
          <w:bCs/>
        </w:rPr>
        <w:t>Степени сравнения прилагательных (формы, образованные по правилу и исключения: good – better – (the) best, bad – worse – (the) worst.</w:t>
      </w:r>
    </w:p>
    <w:p w14:paraId="1C8709D7">
      <w:pPr>
        <w:widowControl/>
        <w:tabs>
          <w:tab w:val="left" w:pos="1134"/>
        </w:tabs>
        <w:spacing w:after="0" w:line="360" w:lineRule="auto"/>
        <w:ind w:firstLine="709"/>
        <w:jc w:val="both"/>
        <w:rPr>
          <w:rFonts w:ascii="Times New Roman" w:hAnsi="Times New Roman"/>
          <w:bCs/>
        </w:rPr>
      </w:pPr>
      <w:r>
        <w:rPr>
          <w:rFonts w:ascii="Times New Roman" w:hAnsi="Times New Roman"/>
          <w:bCs/>
        </w:rPr>
        <w:t>Наречия времени.</w:t>
      </w:r>
    </w:p>
    <w:p w14:paraId="062C7C19">
      <w:pPr>
        <w:widowControl/>
        <w:tabs>
          <w:tab w:val="left" w:pos="1134"/>
        </w:tabs>
        <w:spacing w:after="0" w:line="360" w:lineRule="auto"/>
        <w:ind w:firstLine="709"/>
        <w:jc w:val="both"/>
        <w:rPr>
          <w:rFonts w:ascii="Times New Roman" w:hAnsi="Times New Roman"/>
          <w:bCs/>
        </w:rPr>
      </w:pPr>
      <w:r>
        <w:rPr>
          <w:rFonts w:ascii="Times New Roman" w:hAnsi="Times New Roman"/>
          <w:bCs/>
        </w:rPr>
        <w:t>Обозначение даты и года. Обозначение времени (5 o’clock; 3 am, 2 pm).</w:t>
      </w:r>
      <w:bookmarkStart w:id="44" w:name="bookmark47"/>
      <w:bookmarkStart w:id="45" w:name="bookmark46"/>
      <w:bookmarkStart w:id="46" w:name="bookmark45"/>
    </w:p>
    <w:p w14:paraId="65BE9DAE">
      <w:pPr>
        <w:widowControl/>
        <w:tabs>
          <w:tab w:val="left" w:pos="1134"/>
        </w:tabs>
        <w:spacing w:after="0" w:line="360" w:lineRule="auto"/>
        <w:ind w:firstLine="709"/>
        <w:jc w:val="both"/>
        <w:rPr>
          <w:rFonts w:ascii="Times New Roman" w:hAnsi="Times New Roman"/>
          <w:bCs/>
        </w:rPr>
      </w:pPr>
      <w:r>
        <w:rPr>
          <w:rFonts w:ascii="Times New Roman" w:hAnsi="Times New Roman"/>
          <w:bCs/>
        </w:rPr>
        <w:t>9.8.4. Социокультурные знания и умения</w:t>
      </w:r>
      <w:bookmarkEnd w:id="44"/>
      <w:bookmarkEnd w:id="45"/>
      <w:bookmarkEnd w:id="46"/>
      <w:r>
        <w:rPr>
          <w:rFonts w:ascii="Times New Roman" w:hAnsi="Times New Roman"/>
          <w:bCs/>
        </w:rPr>
        <w:t>.</w:t>
      </w:r>
    </w:p>
    <w:p w14:paraId="5F3E0697">
      <w:pPr>
        <w:widowControl/>
        <w:tabs>
          <w:tab w:val="left" w:pos="1134"/>
        </w:tabs>
        <w:spacing w:after="0" w:line="360" w:lineRule="auto"/>
        <w:ind w:firstLine="709"/>
        <w:jc w:val="both"/>
        <w:rPr>
          <w:rFonts w:ascii="Times New Roman" w:hAnsi="Times New Roman"/>
          <w:bCs/>
        </w:rPr>
      </w:pPr>
      <w:r>
        <w:rPr>
          <w:rFonts w:ascii="Times New Roman" w:hAnsi="Times New Roman"/>
          <w:bCs/>
        </w:rPr>
        <w:t>Знание и использование некоторых социокультурных элементов речевого поведенческого этикета, принятого в стране/странах изучаемого языка, в некоторых ситуациях общения: приветствие, прощание, знакомство, выражение благодарности, извинение, поздравление с днём рождения, Новым годом, Рождеством, разговор по телефону).</w:t>
      </w:r>
    </w:p>
    <w:p w14:paraId="14313F45">
      <w:pPr>
        <w:widowControl/>
        <w:tabs>
          <w:tab w:val="left" w:pos="1134"/>
        </w:tabs>
        <w:spacing w:after="0" w:line="360" w:lineRule="auto"/>
        <w:ind w:firstLine="709"/>
        <w:jc w:val="both"/>
        <w:rPr>
          <w:rFonts w:ascii="Times New Roman" w:hAnsi="Times New Roman"/>
          <w:bCs/>
        </w:rPr>
      </w:pPr>
      <w:r>
        <w:rPr>
          <w:rFonts w:ascii="Times New Roman" w:hAnsi="Times New Roman"/>
          <w:bCs/>
        </w:rPr>
        <w:t>Знание произведений детского фольклора (рифмовок, стихов, песенок), персонажей детских книг.</w:t>
      </w:r>
    </w:p>
    <w:p w14:paraId="0AEC0222">
      <w:pPr>
        <w:widowControl/>
        <w:tabs>
          <w:tab w:val="left" w:pos="1134"/>
        </w:tabs>
        <w:spacing w:after="0" w:line="360" w:lineRule="auto"/>
        <w:ind w:firstLine="709"/>
        <w:jc w:val="both"/>
        <w:rPr>
          <w:rFonts w:ascii="Times New Roman" w:hAnsi="Times New Roman"/>
          <w:bCs/>
        </w:rPr>
      </w:pPr>
      <w:r>
        <w:rPr>
          <w:rFonts w:ascii="Times New Roman" w:hAnsi="Times New Roman"/>
          <w:bCs/>
        </w:rPr>
        <w:t>Краткое представление своей страны и страны/стран изучаемого языка на (названия стран и их столиц, название родного города/села; цвета национальных флагов; основные достопримечательности).</w:t>
      </w:r>
      <w:bookmarkStart w:id="47" w:name="bookmark48"/>
      <w:bookmarkStart w:id="48" w:name="bookmark49"/>
      <w:bookmarkStart w:id="49" w:name="bookmark50"/>
    </w:p>
    <w:p w14:paraId="48ED4132">
      <w:pPr>
        <w:widowControl/>
        <w:tabs>
          <w:tab w:val="left" w:pos="1134"/>
        </w:tabs>
        <w:spacing w:after="0" w:line="360" w:lineRule="auto"/>
        <w:ind w:firstLine="709"/>
        <w:jc w:val="both"/>
        <w:rPr>
          <w:rFonts w:ascii="Times New Roman" w:hAnsi="Times New Roman"/>
          <w:bCs/>
        </w:rPr>
      </w:pPr>
      <w:r>
        <w:rPr>
          <w:rFonts w:ascii="Times New Roman" w:hAnsi="Times New Roman"/>
          <w:bCs/>
        </w:rPr>
        <w:t>9.8.5. Компенсаторные умения</w:t>
      </w:r>
      <w:bookmarkEnd w:id="47"/>
      <w:bookmarkEnd w:id="48"/>
      <w:bookmarkEnd w:id="49"/>
      <w:r>
        <w:rPr>
          <w:rFonts w:ascii="Times New Roman" w:hAnsi="Times New Roman"/>
          <w:bCs/>
        </w:rPr>
        <w:t>.</w:t>
      </w:r>
    </w:p>
    <w:p w14:paraId="3D6E4A66">
      <w:pPr>
        <w:widowControl/>
        <w:tabs>
          <w:tab w:val="left" w:pos="1134"/>
        </w:tabs>
        <w:spacing w:after="0" w:line="360" w:lineRule="auto"/>
        <w:ind w:firstLine="709"/>
        <w:jc w:val="both"/>
        <w:rPr>
          <w:rFonts w:ascii="Times New Roman" w:hAnsi="Times New Roman"/>
          <w:bCs/>
        </w:rPr>
      </w:pPr>
      <w:r>
        <w:rPr>
          <w:rFonts w:ascii="Times New Roman" w:hAnsi="Times New Roman"/>
          <w:bCs/>
        </w:rPr>
        <w:t>Использование при чтении и аудировании языковой догадки (умения понять значение незнакомого слова или новое значение знакомого слова из контекста).</w:t>
      </w:r>
    </w:p>
    <w:p w14:paraId="3F07025C">
      <w:pPr>
        <w:widowControl/>
        <w:tabs>
          <w:tab w:val="left" w:pos="1134"/>
        </w:tabs>
        <w:spacing w:after="0" w:line="360" w:lineRule="auto"/>
        <w:ind w:firstLine="709"/>
        <w:jc w:val="both"/>
        <w:rPr>
          <w:rFonts w:ascii="Times New Roman" w:hAnsi="Times New Roman"/>
          <w:bCs/>
        </w:rPr>
      </w:pPr>
      <w:r>
        <w:rPr>
          <w:rFonts w:ascii="Times New Roman" w:hAnsi="Times New Roman"/>
          <w:bCs/>
        </w:rPr>
        <w:t>Использование при формулировании собственных высказываний ключевых слов, вопросов; картинок, фотографий.</w:t>
      </w:r>
    </w:p>
    <w:p w14:paraId="314A590D">
      <w:pPr>
        <w:widowControl/>
        <w:tabs>
          <w:tab w:val="left" w:pos="1134"/>
        </w:tabs>
        <w:spacing w:after="0" w:line="360" w:lineRule="auto"/>
        <w:ind w:firstLine="709"/>
        <w:jc w:val="both"/>
        <w:rPr>
          <w:rFonts w:ascii="Times New Roman" w:hAnsi="Times New Roman"/>
          <w:bCs/>
        </w:rPr>
      </w:pPr>
      <w:r>
        <w:rPr>
          <w:rFonts w:ascii="Times New Roman" w:hAnsi="Times New Roman"/>
          <w:bCs/>
        </w:rPr>
        <w:t>Прогнозирование содержание текста для чтения на основе заголовка.</w:t>
      </w:r>
    </w:p>
    <w:p w14:paraId="44996DB1">
      <w:pPr>
        <w:widowControl/>
        <w:tabs>
          <w:tab w:val="left" w:pos="1134"/>
        </w:tabs>
        <w:spacing w:after="0" w:line="360" w:lineRule="auto"/>
        <w:ind w:firstLine="709"/>
        <w:jc w:val="both"/>
        <w:rPr>
          <w:rFonts w:ascii="Times New Roman" w:hAnsi="Times New Roman"/>
          <w:bCs/>
        </w:rPr>
      </w:pPr>
      <w:r>
        <w:rPr>
          <w:rFonts w:ascii="Times New Roman" w:hAnsi="Times New Roman"/>
          <w:bCs/>
        </w:rPr>
        <w:t>Игнорирование информации, не являющейся необходимой для понимания основного содержания прочитанного/прослушанного текста или для нахождения в тексте запрашиваемой информации.</w:t>
      </w:r>
    </w:p>
    <w:p w14:paraId="54B0C28D">
      <w:pPr>
        <w:widowControl/>
        <w:tabs>
          <w:tab w:val="left" w:pos="1134"/>
        </w:tabs>
        <w:spacing w:after="0" w:line="360" w:lineRule="auto"/>
        <w:ind w:firstLine="709"/>
        <w:jc w:val="both"/>
        <w:rPr>
          <w:rFonts w:ascii="Times New Roman" w:hAnsi="Times New Roman"/>
          <w:bCs/>
        </w:rPr>
      </w:pPr>
      <w:r>
        <w:rPr>
          <w:rFonts w:ascii="Times New Roman" w:hAnsi="Times New Roman"/>
          <w:bCs/>
        </w:rPr>
        <w:t>9.9. Планируемые результаты освоения программы по иностранному (английскому) языку на уровне начального общего образования.</w:t>
      </w:r>
    </w:p>
    <w:p w14:paraId="6B2B9DA8">
      <w:pPr>
        <w:widowControl/>
        <w:tabs>
          <w:tab w:val="left" w:pos="1134"/>
        </w:tabs>
        <w:spacing w:after="0" w:line="360" w:lineRule="auto"/>
        <w:ind w:firstLine="709"/>
        <w:jc w:val="both"/>
        <w:rPr>
          <w:rFonts w:ascii="Times New Roman" w:hAnsi="Times New Roman"/>
          <w:bCs/>
        </w:rPr>
      </w:pPr>
      <w:r>
        <w:rPr>
          <w:rFonts w:ascii="Times New Roman" w:hAnsi="Times New Roman"/>
          <w:bCs/>
        </w:rPr>
        <w:t>9.9.1. Личностные результаты освоения программы по иностранному (английскому) языку на уровне начального общего образования достигаются в единстве учебной и воспитательной деятельности в соответствии с традиционными российскими социокультурными и духовно-нравственными ценностями, принятыми в обществе правилами и нормами поведения и способствуют процессам самопознания, самовоспитания и саморазвития, формирования внутренней позиции личности.</w:t>
      </w:r>
    </w:p>
    <w:p w14:paraId="332442CA">
      <w:pPr>
        <w:widowControl/>
        <w:tabs>
          <w:tab w:val="left" w:pos="1134"/>
        </w:tabs>
        <w:spacing w:after="0" w:line="360" w:lineRule="auto"/>
        <w:ind w:firstLine="709"/>
        <w:jc w:val="both"/>
        <w:rPr>
          <w:rFonts w:ascii="Times New Roman" w:hAnsi="Times New Roman"/>
          <w:bCs/>
        </w:rPr>
      </w:pPr>
      <w:r>
        <w:rPr>
          <w:rFonts w:ascii="Times New Roman" w:hAnsi="Times New Roman"/>
          <w:bCs/>
        </w:rPr>
        <w:t>В результате изучения иностранного (английского) языка на уровне начального общего образования у обучающегося будут сформированы следующие личностные результаты:</w:t>
      </w:r>
    </w:p>
    <w:p w14:paraId="76990884">
      <w:pPr>
        <w:widowControl/>
        <w:tabs>
          <w:tab w:val="left" w:pos="1134"/>
        </w:tabs>
        <w:spacing w:after="0" w:line="360" w:lineRule="auto"/>
        <w:ind w:firstLine="709"/>
        <w:jc w:val="both"/>
        <w:rPr>
          <w:rFonts w:ascii="Times New Roman" w:hAnsi="Times New Roman"/>
          <w:bCs/>
        </w:rPr>
      </w:pPr>
      <w:r>
        <w:rPr>
          <w:rFonts w:ascii="Times New Roman" w:hAnsi="Times New Roman"/>
          <w:bCs/>
        </w:rPr>
        <w:t>гражданско-патриотическое воспитание:</w:t>
      </w:r>
    </w:p>
    <w:p w14:paraId="623CBF85">
      <w:pPr>
        <w:widowControl/>
        <w:tabs>
          <w:tab w:val="left" w:pos="1134"/>
        </w:tabs>
        <w:spacing w:after="0" w:line="360" w:lineRule="auto"/>
        <w:ind w:firstLine="709"/>
        <w:jc w:val="both"/>
        <w:rPr>
          <w:rFonts w:ascii="Times New Roman" w:hAnsi="Times New Roman"/>
          <w:bCs/>
        </w:rPr>
      </w:pPr>
      <w:bookmarkStart w:id="50" w:name="bookmark57"/>
      <w:bookmarkEnd w:id="50"/>
      <w:r>
        <w:rPr>
          <w:rFonts w:ascii="Times New Roman" w:hAnsi="Times New Roman"/>
          <w:bCs/>
        </w:rPr>
        <w:t>становление ценностного отношения к своей Родине – России;</w:t>
      </w:r>
    </w:p>
    <w:p w14:paraId="39695880">
      <w:pPr>
        <w:widowControl/>
        <w:tabs>
          <w:tab w:val="left" w:pos="1134"/>
        </w:tabs>
        <w:spacing w:after="0" w:line="360" w:lineRule="auto"/>
        <w:ind w:firstLine="709"/>
        <w:jc w:val="both"/>
        <w:rPr>
          <w:rFonts w:ascii="Times New Roman" w:hAnsi="Times New Roman"/>
          <w:bCs/>
        </w:rPr>
      </w:pPr>
      <w:bookmarkStart w:id="51" w:name="bookmark58"/>
      <w:bookmarkEnd w:id="51"/>
      <w:r>
        <w:rPr>
          <w:rFonts w:ascii="Times New Roman" w:hAnsi="Times New Roman"/>
          <w:bCs/>
        </w:rPr>
        <w:t>осознание своей этнокультурной и российской гражданской идентичности;</w:t>
      </w:r>
    </w:p>
    <w:p w14:paraId="43E38693">
      <w:pPr>
        <w:widowControl/>
        <w:tabs>
          <w:tab w:val="left" w:pos="1134"/>
        </w:tabs>
        <w:spacing w:after="0" w:line="360" w:lineRule="auto"/>
        <w:ind w:firstLine="709"/>
        <w:jc w:val="both"/>
        <w:rPr>
          <w:rFonts w:ascii="Times New Roman" w:hAnsi="Times New Roman"/>
          <w:bCs/>
        </w:rPr>
      </w:pPr>
      <w:bookmarkStart w:id="52" w:name="bookmark59"/>
      <w:bookmarkEnd w:id="52"/>
      <w:r>
        <w:rPr>
          <w:rFonts w:ascii="Times New Roman" w:hAnsi="Times New Roman"/>
          <w:bCs/>
        </w:rPr>
        <w:t>сопричастность к прошлому, настоящему и будущему своей страны и родного края;</w:t>
      </w:r>
    </w:p>
    <w:p w14:paraId="2C121068">
      <w:pPr>
        <w:widowControl/>
        <w:tabs>
          <w:tab w:val="left" w:pos="1134"/>
        </w:tabs>
        <w:spacing w:after="0" w:line="360" w:lineRule="auto"/>
        <w:ind w:firstLine="709"/>
        <w:jc w:val="both"/>
        <w:rPr>
          <w:rFonts w:ascii="Times New Roman" w:hAnsi="Times New Roman"/>
          <w:bCs/>
        </w:rPr>
      </w:pPr>
      <w:bookmarkStart w:id="53" w:name="bookmark60"/>
      <w:bookmarkEnd w:id="53"/>
      <w:r>
        <w:rPr>
          <w:rFonts w:ascii="Times New Roman" w:hAnsi="Times New Roman"/>
          <w:bCs/>
        </w:rPr>
        <w:t>уважение к своему и другим народам;</w:t>
      </w:r>
    </w:p>
    <w:p w14:paraId="39B22F59">
      <w:pPr>
        <w:widowControl/>
        <w:tabs>
          <w:tab w:val="left" w:pos="1134"/>
        </w:tabs>
        <w:spacing w:after="0" w:line="360" w:lineRule="auto"/>
        <w:ind w:firstLine="709"/>
        <w:jc w:val="both"/>
        <w:rPr>
          <w:rFonts w:ascii="Times New Roman" w:hAnsi="Times New Roman"/>
          <w:bCs/>
        </w:rPr>
      </w:pPr>
      <w:bookmarkStart w:id="54" w:name="bookmark61"/>
      <w:bookmarkEnd w:id="54"/>
      <w:r>
        <w:rPr>
          <w:rFonts w:ascii="Times New Roman" w:hAnsi="Times New Roman"/>
          <w:bCs/>
        </w:rPr>
        <w:t>первоначальные представления о человеке как члене общества, о правах и ответственности, уважении и достоинстве человека, о нравственно-этических нормах поведения и правилах межличностных отношений;</w:t>
      </w:r>
    </w:p>
    <w:p w14:paraId="256791CD">
      <w:pPr>
        <w:widowControl/>
        <w:tabs>
          <w:tab w:val="left" w:pos="1134"/>
        </w:tabs>
        <w:spacing w:after="0" w:line="360" w:lineRule="auto"/>
        <w:ind w:firstLine="709"/>
        <w:jc w:val="both"/>
        <w:rPr>
          <w:rFonts w:ascii="Times New Roman" w:hAnsi="Times New Roman"/>
          <w:bCs/>
        </w:rPr>
      </w:pPr>
      <w:r>
        <w:rPr>
          <w:rFonts w:ascii="Times New Roman" w:hAnsi="Times New Roman"/>
          <w:bCs/>
        </w:rPr>
        <w:t>духовно-нравственное воспитание:</w:t>
      </w:r>
    </w:p>
    <w:p w14:paraId="5CFEC4D3">
      <w:pPr>
        <w:widowControl/>
        <w:tabs>
          <w:tab w:val="left" w:pos="1134"/>
        </w:tabs>
        <w:spacing w:after="0" w:line="360" w:lineRule="auto"/>
        <w:ind w:firstLine="709"/>
        <w:jc w:val="both"/>
        <w:rPr>
          <w:rFonts w:ascii="Times New Roman" w:hAnsi="Times New Roman"/>
          <w:bCs/>
        </w:rPr>
      </w:pPr>
      <w:bookmarkStart w:id="55" w:name="bookmark62"/>
      <w:bookmarkEnd w:id="55"/>
      <w:r>
        <w:rPr>
          <w:rFonts w:ascii="Times New Roman" w:hAnsi="Times New Roman"/>
          <w:bCs/>
        </w:rPr>
        <w:t>признание индивидуальности каждого человека;</w:t>
      </w:r>
    </w:p>
    <w:p w14:paraId="3A5BF66E">
      <w:pPr>
        <w:widowControl/>
        <w:tabs>
          <w:tab w:val="left" w:pos="1134"/>
        </w:tabs>
        <w:spacing w:after="0" w:line="360" w:lineRule="auto"/>
        <w:ind w:firstLine="709"/>
        <w:jc w:val="both"/>
        <w:rPr>
          <w:rFonts w:ascii="Times New Roman" w:hAnsi="Times New Roman"/>
          <w:bCs/>
        </w:rPr>
      </w:pPr>
      <w:bookmarkStart w:id="56" w:name="bookmark63"/>
      <w:bookmarkEnd w:id="56"/>
      <w:r>
        <w:rPr>
          <w:rFonts w:ascii="Times New Roman" w:hAnsi="Times New Roman"/>
          <w:bCs/>
        </w:rPr>
        <w:t>проявление сопереживания, уважения и доброжелательности;</w:t>
      </w:r>
    </w:p>
    <w:p w14:paraId="15A8C555">
      <w:pPr>
        <w:widowControl/>
        <w:tabs>
          <w:tab w:val="left" w:pos="1134"/>
        </w:tabs>
        <w:spacing w:after="0" w:line="360" w:lineRule="auto"/>
        <w:ind w:firstLine="709"/>
        <w:jc w:val="both"/>
        <w:rPr>
          <w:rFonts w:ascii="Times New Roman" w:hAnsi="Times New Roman"/>
          <w:bCs/>
        </w:rPr>
      </w:pPr>
      <w:bookmarkStart w:id="57" w:name="bookmark64"/>
      <w:bookmarkEnd w:id="57"/>
      <w:r>
        <w:rPr>
          <w:rFonts w:ascii="Times New Roman" w:hAnsi="Times New Roman"/>
          <w:bCs/>
        </w:rPr>
        <w:t>неприятие любых форм поведения, направленных на причинение физического и морального вреда другим людям;</w:t>
      </w:r>
    </w:p>
    <w:p w14:paraId="11C8073D">
      <w:pPr>
        <w:widowControl/>
        <w:tabs>
          <w:tab w:val="left" w:pos="1134"/>
        </w:tabs>
        <w:spacing w:after="0" w:line="360" w:lineRule="auto"/>
        <w:ind w:firstLine="709"/>
        <w:jc w:val="both"/>
        <w:rPr>
          <w:rFonts w:ascii="Times New Roman" w:hAnsi="Times New Roman"/>
          <w:bCs/>
        </w:rPr>
      </w:pPr>
      <w:r>
        <w:rPr>
          <w:rFonts w:ascii="Times New Roman" w:hAnsi="Times New Roman"/>
          <w:bCs/>
        </w:rPr>
        <w:t>эстетическое воспитание:</w:t>
      </w:r>
    </w:p>
    <w:p w14:paraId="0FFD288A">
      <w:pPr>
        <w:widowControl/>
        <w:tabs>
          <w:tab w:val="left" w:pos="1134"/>
        </w:tabs>
        <w:spacing w:after="0" w:line="360" w:lineRule="auto"/>
        <w:ind w:firstLine="709"/>
        <w:jc w:val="both"/>
        <w:rPr>
          <w:rFonts w:ascii="Times New Roman" w:hAnsi="Times New Roman"/>
          <w:bCs/>
        </w:rPr>
      </w:pPr>
      <w:bookmarkStart w:id="58" w:name="bookmark65"/>
      <w:bookmarkEnd w:id="58"/>
      <w:r>
        <w:rPr>
          <w:rFonts w:ascii="Times New Roman" w:hAnsi="Times New Roman"/>
          <w:bCs/>
        </w:rPr>
        <w:t>уважительное отношение и интерес к художественной культуре, восприимчивость к разным видам искусства, традициям и творчеству своего и других народов;</w:t>
      </w:r>
    </w:p>
    <w:p w14:paraId="72430EF6">
      <w:pPr>
        <w:widowControl/>
        <w:tabs>
          <w:tab w:val="left" w:pos="1134"/>
        </w:tabs>
        <w:spacing w:after="0" w:line="360" w:lineRule="auto"/>
        <w:ind w:firstLine="709"/>
        <w:jc w:val="both"/>
        <w:rPr>
          <w:rFonts w:ascii="Times New Roman" w:hAnsi="Times New Roman"/>
          <w:bCs/>
        </w:rPr>
      </w:pPr>
      <w:bookmarkStart w:id="59" w:name="bookmark66"/>
      <w:bookmarkEnd w:id="59"/>
      <w:r>
        <w:rPr>
          <w:rFonts w:ascii="Times New Roman" w:hAnsi="Times New Roman"/>
          <w:bCs/>
        </w:rPr>
        <w:t>стремление к самовыражению в разных видах художественной деятельности;</w:t>
      </w:r>
    </w:p>
    <w:p w14:paraId="560BA523">
      <w:pPr>
        <w:widowControl/>
        <w:tabs>
          <w:tab w:val="left" w:pos="1134"/>
        </w:tabs>
        <w:spacing w:after="0" w:line="360" w:lineRule="auto"/>
        <w:ind w:firstLine="709"/>
        <w:jc w:val="both"/>
        <w:rPr>
          <w:rFonts w:ascii="Times New Roman" w:hAnsi="Times New Roman"/>
          <w:bCs/>
        </w:rPr>
      </w:pPr>
      <w:r>
        <w:rPr>
          <w:rFonts w:ascii="Times New Roman" w:hAnsi="Times New Roman"/>
          <w:bCs/>
        </w:rPr>
        <w:t>физическое воспитание, формирование культуры здоровья и эмоционального благополучия:</w:t>
      </w:r>
    </w:p>
    <w:p w14:paraId="4C6C892F">
      <w:pPr>
        <w:widowControl/>
        <w:tabs>
          <w:tab w:val="left" w:pos="1134"/>
        </w:tabs>
        <w:spacing w:after="0" w:line="360" w:lineRule="auto"/>
        <w:ind w:firstLine="709"/>
        <w:jc w:val="both"/>
        <w:rPr>
          <w:rFonts w:ascii="Times New Roman" w:hAnsi="Times New Roman"/>
          <w:bCs/>
        </w:rPr>
      </w:pPr>
      <w:bookmarkStart w:id="60" w:name="bookmark67"/>
      <w:bookmarkEnd w:id="60"/>
      <w:r>
        <w:rPr>
          <w:rFonts w:ascii="Times New Roman" w:hAnsi="Times New Roman"/>
          <w:bCs/>
        </w:rPr>
        <w:t>соблюдение правил здорового и безопасного (для себя и других людей) образа жизни в окружающей среде (в том числе информационной);</w:t>
      </w:r>
    </w:p>
    <w:p w14:paraId="733E5277">
      <w:pPr>
        <w:widowControl/>
        <w:tabs>
          <w:tab w:val="left" w:pos="1134"/>
        </w:tabs>
        <w:spacing w:after="0" w:line="360" w:lineRule="auto"/>
        <w:ind w:firstLine="709"/>
        <w:jc w:val="both"/>
        <w:rPr>
          <w:rFonts w:ascii="Times New Roman" w:hAnsi="Times New Roman"/>
          <w:bCs/>
        </w:rPr>
      </w:pPr>
      <w:bookmarkStart w:id="61" w:name="bookmark68"/>
      <w:bookmarkEnd w:id="61"/>
      <w:r>
        <w:rPr>
          <w:rFonts w:ascii="Times New Roman" w:hAnsi="Times New Roman"/>
          <w:bCs/>
        </w:rPr>
        <w:t>бережное отношение к физическому и психическому здоровью;</w:t>
      </w:r>
    </w:p>
    <w:p w14:paraId="30CC2C0E">
      <w:pPr>
        <w:widowControl/>
        <w:tabs>
          <w:tab w:val="left" w:pos="1134"/>
        </w:tabs>
        <w:spacing w:after="0" w:line="360" w:lineRule="auto"/>
        <w:ind w:firstLine="709"/>
        <w:jc w:val="both"/>
        <w:rPr>
          <w:rFonts w:ascii="Times New Roman" w:hAnsi="Times New Roman"/>
          <w:bCs/>
        </w:rPr>
      </w:pPr>
      <w:r>
        <w:rPr>
          <w:rFonts w:ascii="Times New Roman" w:hAnsi="Times New Roman"/>
          <w:bCs/>
        </w:rPr>
        <w:t>трудовое воспитание:</w:t>
      </w:r>
    </w:p>
    <w:p w14:paraId="1CFE5256">
      <w:pPr>
        <w:widowControl/>
        <w:tabs>
          <w:tab w:val="left" w:pos="1134"/>
        </w:tabs>
        <w:spacing w:after="0" w:line="360" w:lineRule="auto"/>
        <w:ind w:firstLine="709"/>
        <w:jc w:val="both"/>
        <w:rPr>
          <w:rFonts w:ascii="Times New Roman" w:hAnsi="Times New Roman"/>
          <w:bCs/>
        </w:rPr>
      </w:pPr>
      <w:bookmarkStart w:id="62" w:name="bookmark69"/>
      <w:bookmarkEnd w:id="62"/>
      <w:r>
        <w:rPr>
          <w:rFonts w:ascii="Times New Roman" w:hAnsi="Times New Roman"/>
          <w:bCs/>
        </w:rPr>
        <w:t>осознание ценности труда в жизни человека и общества, ответственное потребление и бережное отношение к результатам труда, навыки участия в различных видах трудовой деятельности, интерес к различным профессия;</w:t>
      </w:r>
    </w:p>
    <w:p w14:paraId="692974FF">
      <w:pPr>
        <w:widowControl/>
        <w:tabs>
          <w:tab w:val="left" w:pos="1134"/>
        </w:tabs>
        <w:spacing w:after="0" w:line="360" w:lineRule="auto"/>
        <w:ind w:firstLine="709"/>
        <w:jc w:val="both"/>
        <w:rPr>
          <w:rFonts w:ascii="Times New Roman" w:hAnsi="Times New Roman"/>
          <w:bCs/>
        </w:rPr>
      </w:pPr>
      <w:r>
        <w:rPr>
          <w:rFonts w:ascii="Times New Roman" w:hAnsi="Times New Roman"/>
          <w:bCs/>
        </w:rPr>
        <w:t>экологическое воспитание:</w:t>
      </w:r>
    </w:p>
    <w:p w14:paraId="6C1F55C4">
      <w:pPr>
        <w:widowControl/>
        <w:tabs>
          <w:tab w:val="left" w:pos="1134"/>
        </w:tabs>
        <w:spacing w:after="0" w:line="360" w:lineRule="auto"/>
        <w:ind w:firstLine="709"/>
        <w:jc w:val="both"/>
        <w:rPr>
          <w:rFonts w:ascii="Times New Roman" w:hAnsi="Times New Roman"/>
          <w:bCs/>
        </w:rPr>
      </w:pPr>
      <w:bookmarkStart w:id="63" w:name="bookmark70"/>
      <w:bookmarkEnd w:id="63"/>
      <w:r>
        <w:rPr>
          <w:rFonts w:ascii="Times New Roman" w:hAnsi="Times New Roman"/>
          <w:bCs/>
        </w:rPr>
        <w:t>бережное отношение к природе;</w:t>
      </w:r>
    </w:p>
    <w:p w14:paraId="21C8ED21">
      <w:pPr>
        <w:widowControl/>
        <w:tabs>
          <w:tab w:val="left" w:pos="1134"/>
        </w:tabs>
        <w:spacing w:after="0" w:line="360" w:lineRule="auto"/>
        <w:ind w:firstLine="709"/>
        <w:jc w:val="both"/>
        <w:rPr>
          <w:rFonts w:ascii="Times New Roman" w:hAnsi="Times New Roman"/>
          <w:bCs/>
        </w:rPr>
      </w:pPr>
      <w:bookmarkStart w:id="64" w:name="bookmark71"/>
      <w:bookmarkEnd w:id="64"/>
      <w:r>
        <w:rPr>
          <w:rFonts w:ascii="Times New Roman" w:hAnsi="Times New Roman"/>
          <w:bCs/>
        </w:rPr>
        <w:t>неприятие действий, приносящих вред природе;</w:t>
      </w:r>
    </w:p>
    <w:p w14:paraId="5D824409">
      <w:pPr>
        <w:widowControl/>
        <w:tabs>
          <w:tab w:val="left" w:pos="1134"/>
        </w:tabs>
        <w:spacing w:after="0" w:line="360" w:lineRule="auto"/>
        <w:ind w:firstLine="709"/>
        <w:jc w:val="both"/>
        <w:rPr>
          <w:rFonts w:ascii="Times New Roman" w:hAnsi="Times New Roman"/>
          <w:bCs/>
        </w:rPr>
      </w:pPr>
      <w:r>
        <w:rPr>
          <w:rFonts w:ascii="Times New Roman" w:hAnsi="Times New Roman"/>
          <w:bCs/>
        </w:rPr>
        <w:t>ценности научного познания:</w:t>
      </w:r>
    </w:p>
    <w:p w14:paraId="0412547F">
      <w:pPr>
        <w:widowControl/>
        <w:tabs>
          <w:tab w:val="left" w:pos="1134"/>
        </w:tabs>
        <w:spacing w:after="0" w:line="360" w:lineRule="auto"/>
        <w:ind w:firstLine="709"/>
        <w:jc w:val="both"/>
        <w:rPr>
          <w:rFonts w:ascii="Times New Roman" w:hAnsi="Times New Roman"/>
          <w:bCs/>
        </w:rPr>
      </w:pPr>
      <w:bookmarkStart w:id="65" w:name="bookmark72"/>
      <w:bookmarkEnd w:id="65"/>
      <w:r>
        <w:rPr>
          <w:rFonts w:ascii="Times New Roman" w:hAnsi="Times New Roman"/>
          <w:bCs/>
        </w:rPr>
        <w:t>первоначальные представления о научной картине мира;</w:t>
      </w:r>
    </w:p>
    <w:p w14:paraId="3F4E94EF">
      <w:pPr>
        <w:widowControl/>
        <w:tabs>
          <w:tab w:val="left" w:pos="1134"/>
        </w:tabs>
        <w:spacing w:after="0" w:line="360" w:lineRule="auto"/>
        <w:ind w:firstLine="709"/>
        <w:jc w:val="both"/>
        <w:rPr>
          <w:rFonts w:ascii="Times New Roman" w:hAnsi="Times New Roman"/>
          <w:bCs/>
        </w:rPr>
      </w:pPr>
      <w:bookmarkStart w:id="66" w:name="bookmark73"/>
      <w:bookmarkEnd w:id="66"/>
      <w:r>
        <w:rPr>
          <w:rFonts w:ascii="Times New Roman" w:hAnsi="Times New Roman"/>
          <w:bCs/>
        </w:rPr>
        <w:t>познавательные интересы, активность, инициативность, любознательность и самостоятельность в познании.</w:t>
      </w:r>
      <w:bookmarkStart w:id="67" w:name="bookmark74"/>
      <w:bookmarkStart w:id="68" w:name="bookmark75"/>
      <w:bookmarkStart w:id="69" w:name="bookmark76"/>
    </w:p>
    <w:bookmarkEnd w:id="67"/>
    <w:bookmarkEnd w:id="68"/>
    <w:bookmarkEnd w:id="69"/>
    <w:p w14:paraId="2851C4B7">
      <w:pPr>
        <w:widowControl/>
        <w:tabs>
          <w:tab w:val="left" w:pos="1134"/>
        </w:tabs>
        <w:spacing w:after="0" w:line="360" w:lineRule="auto"/>
        <w:ind w:firstLine="709"/>
        <w:jc w:val="both"/>
        <w:rPr>
          <w:rFonts w:ascii="Times New Roman" w:hAnsi="Times New Roman"/>
          <w:bCs/>
        </w:rPr>
      </w:pPr>
      <w:r>
        <w:rPr>
          <w:rFonts w:ascii="Times New Roman" w:hAnsi="Times New Roman"/>
          <w:bCs/>
        </w:rPr>
        <w:t>9.9.2. В результате изучения иностранного (английского) языка на уровне начального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деятельность.</w:t>
      </w:r>
    </w:p>
    <w:p w14:paraId="0E904F4D">
      <w:pPr>
        <w:widowControl/>
        <w:tabs>
          <w:tab w:val="left" w:pos="1134"/>
        </w:tabs>
        <w:spacing w:after="0" w:line="360" w:lineRule="auto"/>
        <w:ind w:firstLine="709"/>
        <w:jc w:val="both"/>
        <w:rPr>
          <w:rFonts w:ascii="Times New Roman" w:hAnsi="Times New Roman"/>
          <w:bCs/>
        </w:rPr>
      </w:pPr>
      <w:r>
        <w:rPr>
          <w:rFonts w:ascii="Times New Roman" w:hAnsi="Times New Roman"/>
          <w:bCs/>
        </w:rPr>
        <w:t>9.9.2.1. У обучающегося будут сформированы следующие базовые логические действия как часть познавательных универсальных учебных действий:</w:t>
      </w:r>
    </w:p>
    <w:p w14:paraId="062906A7">
      <w:pPr>
        <w:widowControl/>
        <w:tabs>
          <w:tab w:val="left" w:pos="1134"/>
        </w:tabs>
        <w:spacing w:after="0" w:line="360" w:lineRule="auto"/>
        <w:ind w:firstLine="709"/>
        <w:jc w:val="both"/>
        <w:rPr>
          <w:rFonts w:ascii="Times New Roman" w:hAnsi="Times New Roman"/>
          <w:bCs/>
        </w:rPr>
      </w:pPr>
      <w:bookmarkStart w:id="70" w:name="bookmark78"/>
      <w:bookmarkEnd w:id="70"/>
      <w:r>
        <w:rPr>
          <w:rFonts w:ascii="Times New Roman" w:hAnsi="Times New Roman"/>
          <w:bCs/>
        </w:rPr>
        <w:t>сравнивать объекты, устанавливать основания для сравнения, устанавливать аналогии;</w:t>
      </w:r>
    </w:p>
    <w:p w14:paraId="56891C91">
      <w:pPr>
        <w:widowControl/>
        <w:tabs>
          <w:tab w:val="left" w:pos="1134"/>
        </w:tabs>
        <w:spacing w:after="0" w:line="360" w:lineRule="auto"/>
        <w:ind w:firstLine="709"/>
        <w:jc w:val="both"/>
        <w:rPr>
          <w:rFonts w:ascii="Times New Roman" w:hAnsi="Times New Roman"/>
          <w:bCs/>
        </w:rPr>
      </w:pPr>
      <w:bookmarkStart w:id="71" w:name="bookmark79"/>
      <w:bookmarkEnd w:id="71"/>
      <w:r>
        <w:rPr>
          <w:rFonts w:ascii="Times New Roman" w:hAnsi="Times New Roman"/>
          <w:bCs/>
        </w:rPr>
        <w:t>объединять части объекта (объекты) по определённому признаку;</w:t>
      </w:r>
    </w:p>
    <w:p w14:paraId="5FEC060B">
      <w:pPr>
        <w:widowControl/>
        <w:tabs>
          <w:tab w:val="left" w:pos="1134"/>
        </w:tabs>
        <w:spacing w:after="0" w:line="360" w:lineRule="auto"/>
        <w:ind w:firstLine="709"/>
        <w:jc w:val="both"/>
        <w:rPr>
          <w:rFonts w:ascii="Times New Roman" w:hAnsi="Times New Roman"/>
          <w:bCs/>
        </w:rPr>
      </w:pPr>
      <w:bookmarkStart w:id="72" w:name="bookmark80"/>
      <w:bookmarkEnd w:id="72"/>
      <w:r>
        <w:rPr>
          <w:rFonts w:ascii="Times New Roman" w:hAnsi="Times New Roman"/>
          <w:bCs/>
        </w:rPr>
        <w:t>определять существенный признак для классификации, классифицировать предложенные объекты;</w:t>
      </w:r>
    </w:p>
    <w:p w14:paraId="55DE6197">
      <w:pPr>
        <w:widowControl/>
        <w:tabs>
          <w:tab w:val="left" w:pos="1134"/>
        </w:tabs>
        <w:spacing w:after="0" w:line="360" w:lineRule="auto"/>
        <w:ind w:firstLine="709"/>
        <w:jc w:val="both"/>
        <w:rPr>
          <w:rFonts w:ascii="Times New Roman" w:hAnsi="Times New Roman"/>
          <w:bCs/>
        </w:rPr>
      </w:pPr>
      <w:bookmarkStart w:id="73" w:name="bookmark81"/>
      <w:bookmarkEnd w:id="73"/>
      <w:r>
        <w:rPr>
          <w:rFonts w:ascii="Times New Roman" w:hAnsi="Times New Roman"/>
          <w:bCs/>
        </w:rPr>
        <w:t>находить закономерности и противоречия в рассматриваемых фактах, данных и наблюдениях на основе предложенного учителем алгоритма;</w:t>
      </w:r>
    </w:p>
    <w:p w14:paraId="548D9EB5">
      <w:pPr>
        <w:widowControl/>
        <w:tabs>
          <w:tab w:val="left" w:pos="1134"/>
        </w:tabs>
        <w:spacing w:after="0" w:line="360" w:lineRule="auto"/>
        <w:ind w:firstLine="709"/>
        <w:jc w:val="both"/>
        <w:rPr>
          <w:rFonts w:ascii="Times New Roman" w:hAnsi="Times New Roman"/>
          <w:bCs/>
        </w:rPr>
      </w:pPr>
      <w:bookmarkStart w:id="74" w:name="bookmark82"/>
      <w:bookmarkEnd w:id="74"/>
      <w:r>
        <w:rPr>
          <w:rFonts w:ascii="Times New Roman" w:hAnsi="Times New Roman"/>
          <w:bCs/>
        </w:rPr>
        <w:t>выявлять недостаток информации для решения учебной (практической) задачи на основе предложенного алгоритма;</w:t>
      </w:r>
    </w:p>
    <w:p w14:paraId="78A7C243">
      <w:pPr>
        <w:widowControl/>
        <w:tabs>
          <w:tab w:val="left" w:pos="1134"/>
        </w:tabs>
        <w:spacing w:after="0" w:line="360" w:lineRule="auto"/>
        <w:ind w:firstLine="709"/>
        <w:jc w:val="both"/>
        <w:rPr>
          <w:rFonts w:ascii="Times New Roman" w:hAnsi="Times New Roman"/>
          <w:bCs/>
        </w:rPr>
      </w:pPr>
      <w:bookmarkStart w:id="75" w:name="bookmark83"/>
      <w:bookmarkEnd w:id="75"/>
      <w:r>
        <w:rPr>
          <w:rFonts w:ascii="Times New Roman" w:hAnsi="Times New Roman"/>
          <w:bCs/>
        </w:rPr>
        <w:t>устанавливать причинно-следственные связи в ситуациях, поддающихся непосредственному наблюдению или знакомых по опыту, делать выводы.</w:t>
      </w:r>
    </w:p>
    <w:p w14:paraId="3FB980AF">
      <w:pPr>
        <w:widowControl/>
        <w:tabs>
          <w:tab w:val="left" w:pos="1134"/>
        </w:tabs>
        <w:spacing w:after="0" w:line="360" w:lineRule="auto"/>
        <w:ind w:firstLine="709"/>
        <w:jc w:val="both"/>
        <w:rPr>
          <w:rFonts w:ascii="Times New Roman" w:hAnsi="Times New Roman"/>
          <w:bCs/>
        </w:rPr>
      </w:pPr>
      <w:r>
        <w:rPr>
          <w:rFonts w:ascii="Times New Roman" w:hAnsi="Times New Roman"/>
          <w:bCs/>
        </w:rPr>
        <w:t>9.9.2.2. У обучающегося будут сформированы следующие базовые исследовательские действия как часть познавательных универсальных учебных действий:</w:t>
      </w:r>
    </w:p>
    <w:p w14:paraId="1CB846F7">
      <w:pPr>
        <w:widowControl/>
        <w:tabs>
          <w:tab w:val="left" w:pos="1134"/>
        </w:tabs>
        <w:spacing w:after="0" w:line="360" w:lineRule="auto"/>
        <w:ind w:firstLine="709"/>
        <w:jc w:val="both"/>
        <w:rPr>
          <w:rFonts w:ascii="Times New Roman" w:hAnsi="Times New Roman"/>
          <w:bCs/>
        </w:rPr>
      </w:pPr>
      <w:bookmarkStart w:id="76" w:name="bookmark85"/>
      <w:bookmarkEnd w:id="76"/>
      <w:bookmarkStart w:id="77" w:name="bookmark84"/>
      <w:bookmarkEnd w:id="77"/>
      <w:r>
        <w:rPr>
          <w:rFonts w:ascii="Times New Roman" w:hAnsi="Times New Roman"/>
          <w:bCs/>
        </w:rPr>
        <w:t>определять разрыв между реальным и желательным состоянием объекта (ситуации) на основе предложенных учителем вопросов;</w:t>
      </w:r>
    </w:p>
    <w:p w14:paraId="76A4FD02">
      <w:pPr>
        <w:widowControl/>
        <w:tabs>
          <w:tab w:val="left" w:pos="1134"/>
        </w:tabs>
        <w:spacing w:after="0" w:line="360" w:lineRule="auto"/>
        <w:ind w:firstLine="709"/>
        <w:jc w:val="both"/>
        <w:rPr>
          <w:rFonts w:ascii="Times New Roman" w:hAnsi="Times New Roman"/>
          <w:bCs/>
        </w:rPr>
      </w:pPr>
      <w:bookmarkStart w:id="78" w:name="bookmark86"/>
      <w:bookmarkEnd w:id="78"/>
      <w:r>
        <w:rPr>
          <w:rFonts w:ascii="Times New Roman" w:hAnsi="Times New Roman"/>
          <w:bCs/>
        </w:rPr>
        <w:t>с помощью педагогического работника формулировать цель, планировать изменения объекта, ситуации;</w:t>
      </w:r>
    </w:p>
    <w:p w14:paraId="28F0E98C">
      <w:pPr>
        <w:widowControl/>
        <w:tabs>
          <w:tab w:val="left" w:pos="1134"/>
        </w:tabs>
        <w:spacing w:after="0" w:line="360" w:lineRule="auto"/>
        <w:ind w:firstLine="709"/>
        <w:jc w:val="both"/>
        <w:rPr>
          <w:rFonts w:ascii="Times New Roman" w:hAnsi="Times New Roman"/>
          <w:bCs/>
        </w:rPr>
      </w:pPr>
      <w:bookmarkStart w:id="79" w:name="bookmark87"/>
      <w:bookmarkEnd w:id="79"/>
      <w:r>
        <w:rPr>
          <w:rFonts w:ascii="Times New Roman" w:hAnsi="Times New Roman"/>
          <w:bCs/>
        </w:rPr>
        <w:t>сравнивать несколько вариантов решения задачи, выбирать наиболее подходящий (на основе предложенных критериев);</w:t>
      </w:r>
    </w:p>
    <w:p w14:paraId="31EB47D6">
      <w:pPr>
        <w:widowControl/>
        <w:tabs>
          <w:tab w:val="left" w:pos="1134"/>
        </w:tabs>
        <w:spacing w:after="0" w:line="360" w:lineRule="auto"/>
        <w:ind w:firstLine="709"/>
        <w:jc w:val="both"/>
        <w:rPr>
          <w:rFonts w:ascii="Times New Roman" w:hAnsi="Times New Roman"/>
          <w:bCs/>
        </w:rPr>
      </w:pPr>
      <w:bookmarkStart w:id="80" w:name="bookmark88"/>
      <w:bookmarkEnd w:id="80"/>
      <w:r>
        <w:rPr>
          <w:rFonts w:ascii="Times New Roman" w:hAnsi="Times New Roman"/>
          <w:bCs/>
        </w:rPr>
        <w:t>проводить по предложенному плану опыт, несложное исследование по установлению особенностей объекта изучения и связей между объектами (часть целое, причина следствие);</w:t>
      </w:r>
    </w:p>
    <w:p w14:paraId="7A25418E">
      <w:pPr>
        <w:widowControl/>
        <w:tabs>
          <w:tab w:val="left" w:pos="1134"/>
        </w:tabs>
        <w:spacing w:after="0" w:line="360" w:lineRule="auto"/>
        <w:ind w:firstLine="709"/>
        <w:jc w:val="both"/>
        <w:rPr>
          <w:rFonts w:ascii="Times New Roman" w:hAnsi="Times New Roman"/>
          <w:bCs/>
        </w:rPr>
      </w:pPr>
      <w:bookmarkStart w:id="81" w:name="bookmark89"/>
      <w:bookmarkEnd w:id="81"/>
      <w:r>
        <w:rPr>
          <w:rFonts w:ascii="Times New Roman" w:hAnsi="Times New Roman"/>
          <w:bCs/>
        </w:rPr>
        <w:t>формулировать выводы и подкреплять их доказательствами на основе результатов проведенного наблюдения (опыта, измерения, классификации, сравнения, исследования);</w:t>
      </w:r>
    </w:p>
    <w:p w14:paraId="25B5B0FE">
      <w:pPr>
        <w:widowControl/>
        <w:tabs>
          <w:tab w:val="left" w:pos="1134"/>
        </w:tabs>
        <w:spacing w:after="0" w:line="360" w:lineRule="auto"/>
        <w:ind w:firstLine="709"/>
        <w:jc w:val="both"/>
        <w:rPr>
          <w:rFonts w:ascii="Times New Roman" w:hAnsi="Times New Roman"/>
          <w:bCs/>
        </w:rPr>
      </w:pPr>
      <w:bookmarkStart w:id="82" w:name="bookmark90"/>
      <w:bookmarkEnd w:id="82"/>
      <w:r>
        <w:rPr>
          <w:rFonts w:ascii="Times New Roman" w:hAnsi="Times New Roman"/>
          <w:bCs/>
        </w:rPr>
        <w:t>прогнозировать возможное развитие процессов, событий и их последствия в аналогичных или сходных ситуациях.</w:t>
      </w:r>
    </w:p>
    <w:p w14:paraId="7C38E858">
      <w:pPr>
        <w:widowControl/>
        <w:tabs>
          <w:tab w:val="left" w:pos="1134"/>
        </w:tabs>
        <w:spacing w:after="0" w:line="360" w:lineRule="auto"/>
        <w:ind w:firstLine="709"/>
        <w:jc w:val="both"/>
        <w:rPr>
          <w:rFonts w:ascii="Times New Roman" w:hAnsi="Times New Roman"/>
          <w:bCs/>
        </w:rPr>
      </w:pPr>
      <w:r>
        <w:rPr>
          <w:rFonts w:ascii="Times New Roman" w:hAnsi="Times New Roman"/>
          <w:bCs/>
        </w:rPr>
        <w:t xml:space="preserve">9.9.2.3. У обучающегося будут </w:t>
      </w:r>
      <w:r>
        <w:rPr>
          <w:rFonts w:ascii="Times New Roman" w:hAnsi="Times New Roman"/>
        </w:rPr>
        <w:t xml:space="preserve">сформированы умения </w:t>
      </w:r>
      <w:r>
        <w:rPr>
          <w:rFonts w:ascii="Times New Roman" w:hAnsi="Times New Roman"/>
          <w:bCs/>
        </w:rPr>
        <w:t>работать с информацией как часть познавательных универсальных учебных действий:</w:t>
      </w:r>
    </w:p>
    <w:p w14:paraId="34287B9E">
      <w:pPr>
        <w:widowControl/>
        <w:tabs>
          <w:tab w:val="left" w:pos="1134"/>
        </w:tabs>
        <w:spacing w:after="0" w:line="360" w:lineRule="auto"/>
        <w:ind w:firstLine="709"/>
        <w:jc w:val="both"/>
        <w:rPr>
          <w:rFonts w:ascii="Times New Roman" w:hAnsi="Times New Roman"/>
          <w:bCs/>
        </w:rPr>
      </w:pPr>
      <w:bookmarkStart w:id="83" w:name="bookmark92"/>
      <w:bookmarkEnd w:id="83"/>
      <w:bookmarkStart w:id="84" w:name="bookmark91"/>
      <w:bookmarkEnd w:id="84"/>
      <w:r>
        <w:rPr>
          <w:rFonts w:ascii="Times New Roman" w:hAnsi="Times New Roman"/>
          <w:bCs/>
        </w:rPr>
        <w:t>выбирать источник получения информации;</w:t>
      </w:r>
    </w:p>
    <w:p w14:paraId="712A17CD">
      <w:pPr>
        <w:widowControl/>
        <w:tabs>
          <w:tab w:val="left" w:pos="1134"/>
        </w:tabs>
        <w:spacing w:after="0" w:line="360" w:lineRule="auto"/>
        <w:ind w:firstLine="709"/>
        <w:jc w:val="both"/>
        <w:rPr>
          <w:rFonts w:ascii="Times New Roman" w:hAnsi="Times New Roman"/>
          <w:bCs/>
        </w:rPr>
      </w:pPr>
      <w:bookmarkStart w:id="85" w:name="bookmark93"/>
      <w:bookmarkEnd w:id="85"/>
      <w:r>
        <w:rPr>
          <w:rFonts w:ascii="Times New Roman" w:hAnsi="Times New Roman"/>
          <w:bCs/>
        </w:rPr>
        <w:t>согласно заданному алгоритму находить в предложенном источнике информацию, представленную в явном виде;</w:t>
      </w:r>
    </w:p>
    <w:p w14:paraId="698E30E9">
      <w:pPr>
        <w:widowControl/>
        <w:tabs>
          <w:tab w:val="left" w:pos="1134"/>
        </w:tabs>
        <w:spacing w:after="0" w:line="360" w:lineRule="auto"/>
        <w:ind w:firstLine="709"/>
        <w:jc w:val="both"/>
        <w:rPr>
          <w:rFonts w:ascii="Times New Roman" w:hAnsi="Times New Roman"/>
          <w:bCs/>
        </w:rPr>
      </w:pPr>
      <w:bookmarkStart w:id="86" w:name="bookmark94"/>
      <w:bookmarkEnd w:id="86"/>
      <w:r>
        <w:rPr>
          <w:rFonts w:ascii="Times New Roman" w:hAnsi="Times New Roman"/>
          <w:bCs/>
        </w:rPr>
        <w:t>распознавать достоверную и недостоверную информацию самостоятельно или на основании предложенного учителем способа её проверки;</w:t>
      </w:r>
    </w:p>
    <w:p w14:paraId="3A1CD237">
      <w:pPr>
        <w:widowControl/>
        <w:tabs>
          <w:tab w:val="left" w:pos="1134"/>
        </w:tabs>
        <w:spacing w:after="0" w:line="360" w:lineRule="auto"/>
        <w:ind w:firstLine="709"/>
        <w:jc w:val="both"/>
        <w:rPr>
          <w:rFonts w:ascii="Times New Roman" w:hAnsi="Times New Roman"/>
          <w:bCs/>
        </w:rPr>
      </w:pPr>
      <w:bookmarkStart w:id="87" w:name="bookmark95"/>
      <w:bookmarkEnd w:id="87"/>
      <w:r>
        <w:rPr>
          <w:rFonts w:ascii="Times New Roman" w:hAnsi="Times New Roman"/>
          <w:bCs/>
        </w:rPr>
        <w:t>соблюдать с помощью взрослых (педагогических работников, родителей (законных представителей) несовершеннолетних обучающихся) правила информационной безопасности при поиске информации в Интернете;</w:t>
      </w:r>
    </w:p>
    <w:p w14:paraId="546B6E78">
      <w:pPr>
        <w:widowControl/>
        <w:tabs>
          <w:tab w:val="left" w:pos="1134"/>
        </w:tabs>
        <w:spacing w:after="0" w:line="360" w:lineRule="auto"/>
        <w:ind w:firstLine="709"/>
        <w:jc w:val="both"/>
        <w:rPr>
          <w:rFonts w:ascii="Times New Roman" w:hAnsi="Times New Roman"/>
          <w:bCs/>
        </w:rPr>
      </w:pPr>
      <w:bookmarkStart w:id="88" w:name="bookmark96"/>
      <w:bookmarkEnd w:id="88"/>
      <w:r>
        <w:rPr>
          <w:rFonts w:ascii="Times New Roman" w:hAnsi="Times New Roman"/>
          <w:bCs/>
        </w:rPr>
        <w:t>анализировать и создавать текстовую, видео, графическую, звуковую, информацию в соответствии с учебной задачей;</w:t>
      </w:r>
    </w:p>
    <w:p w14:paraId="49203859">
      <w:pPr>
        <w:widowControl/>
        <w:tabs>
          <w:tab w:val="left" w:pos="1134"/>
        </w:tabs>
        <w:spacing w:after="0" w:line="360" w:lineRule="auto"/>
        <w:ind w:firstLine="709"/>
        <w:jc w:val="both"/>
        <w:rPr>
          <w:rFonts w:ascii="Times New Roman" w:hAnsi="Times New Roman"/>
          <w:bCs/>
        </w:rPr>
      </w:pPr>
      <w:bookmarkStart w:id="89" w:name="bookmark97"/>
      <w:bookmarkEnd w:id="89"/>
      <w:r>
        <w:rPr>
          <w:rFonts w:ascii="Times New Roman" w:hAnsi="Times New Roman"/>
          <w:bCs/>
        </w:rPr>
        <w:t>самостоятельно создавать схемы, таблицы для представления информации.</w:t>
      </w:r>
    </w:p>
    <w:p w14:paraId="5F7FEC68">
      <w:pPr>
        <w:widowControl/>
        <w:tabs>
          <w:tab w:val="left" w:pos="1134"/>
        </w:tabs>
        <w:spacing w:after="0" w:line="360" w:lineRule="auto"/>
        <w:ind w:firstLine="709"/>
        <w:jc w:val="both"/>
        <w:rPr>
          <w:rFonts w:ascii="Times New Roman" w:hAnsi="Times New Roman"/>
          <w:bCs/>
        </w:rPr>
      </w:pPr>
      <w:r>
        <w:rPr>
          <w:rFonts w:ascii="Times New Roman" w:hAnsi="Times New Roman"/>
          <w:bCs/>
        </w:rPr>
        <w:t xml:space="preserve">9.9.2.4. У обучающегося будут </w:t>
      </w:r>
      <w:r>
        <w:rPr>
          <w:rFonts w:ascii="Times New Roman" w:hAnsi="Times New Roman"/>
        </w:rPr>
        <w:t xml:space="preserve">сформированы умения </w:t>
      </w:r>
      <w:r>
        <w:rPr>
          <w:rFonts w:ascii="Times New Roman" w:hAnsi="Times New Roman"/>
          <w:bCs/>
        </w:rPr>
        <w:t>общения как часть коммуникативных универсальных учебных действий:</w:t>
      </w:r>
    </w:p>
    <w:p w14:paraId="2811DA43">
      <w:pPr>
        <w:widowControl/>
        <w:tabs>
          <w:tab w:val="left" w:pos="1134"/>
        </w:tabs>
        <w:spacing w:after="0" w:line="360" w:lineRule="auto"/>
        <w:ind w:firstLine="709"/>
        <w:jc w:val="both"/>
        <w:rPr>
          <w:rFonts w:ascii="Times New Roman" w:hAnsi="Times New Roman"/>
          <w:bCs/>
        </w:rPr>
      </w:pPr>
      <w:bookmarkStart w:id="90" w:name="bookmark99"/>
      <w:bookmarkEnd w:id="90"/>
      <w:r>
        <w:rPr>
          <w:rFonts w:ascii="Times New Roman" w:hAnsi="Times New Roman"/>
          <w:bCs/>
        </w:rPr>
        <w:t>воспринимать и формулировать суждения, выражать эмоции в соответствии с целями и условиями общения в знакомой среде;</w:t>
      </w:r>
    </w:p>
    <w:p w14:paraId="5E118DBC">
      <w:pPr>
        <w:widowControl/>
        <w:tabs>
          <w:tab w:val="left" w:pos="1134"/>
        </w:tabs>
        <w:spacing w:after="0" w:line="360" w:lineRule="auto"/>
        <w:ind w:firstLine="709"/>
        <w:jc w:val="both"/>
        <w:rPr>
          <w:rFonts w:ascii="Times New Roman" w:hAnsi="Times New Roman"/>
          <w:bCs/>
        </w:rPr>
      </w:pPr>
      <w:bookmarkStart w:id="91" w:name="bookmark100"/>
      <w:bookmarkEnd w:id="91"/>
      <w:r>
        <w:rPr>
          <w:rFonts w:ascii="Times New Roman" w:hAnsi="Times New Roman"/>
          <w:bCs/>
        </w:rPr>
        <w:t>проявлять уважительное отношение к собеседнику, соблюдать правила ведения диалога и дискуссии;</w:t>
      </w:r>
    </w:p>
    <w:p w14:paraId="1DDC7E51">
      <w:pPr>
        <w:widowControl/>
        <w:tabs>
          <w:tab w:val="left" w:pos="1134"/>
        </w:tabs>
        <w:spacing w:after="0" w:line="360" w:lineRule="auto"/>
        <w:ind w:firstLine="709"/>
        <w:jc w:val="both"/>
        <w:rPr>
          <w:rFonts w:ascii="Times New Roman" w:hAnsi="Times New Roman"/>
          <w:bCs/>
        </w:rPr>
      </w:pPr>
      <w:bookmarkStart w:id="92" w:name="bookmark101"/>
      <w:bookmarkEnd w:id="92"/>
      <w:r>
        <w:rPr>
          <w:rFonts w:ascii="Times New Roman" w:hAnsi="Times New Roman"/>
          <w:bCs/>
        </w:rPr>
        <w:t>признавать возможность существования разных точек зрения;</w:t>
      </w:r>
    </w:p>
    <w:p w14:paraId="5E262E32">
      <w:pPr>
        <w:widowControl/>
        <w:tabs>
          <w:tab w:val="left" w:pos="1134"/>
        </w:tabs>
        <w:spacing w:after="0" w:line="360" w:lineRule="auto"/>
        <w:ind w:firstLine="709"/>
        <w:jc w:val="both"/>
        <w:rPr>
          <w:rFonts w:ascii="Times New Roman" w:hAnsi="Times New Roman"/>
          <w:bCs/>
        </w:rPr>
      </w:pPr>
      <w:bookmarkStart w:id="93" w:name="bookmark102"/>
      <w:bookmarkEnd w:id="93"/>
      <w:r>
        <w:rPr>
          <w:rFonts w:ascii="Times New Roman" w:hAnsi="Times New Roman"/>
          <w:bCs/>
        </w:rPr>
        <w:t>корректно и аргументированно высказывать своё мнение;</w:t>
      </w:r>
    </w:p>
    <w:p w14:paraId="23CD1BB6">
      <w:pPr>
        <w:widowControl/>
        <w:tabs>
          <w:tab w:val="left" w:pos="1134"/>
        </w:tabs>
        <w:spacing w:after="0" w:line="360" w:lineRule="auto"/>
        <w:ind w:firstLine="709"/>
        <w:jc w:val="both"/>
        <w:rPr>
          <w:rFonts w:ascii="Times New Roman" w:hAnsi="Times New Roman"/>
          <w:bCs/>
        </w:rPr>
      </w:pPr>
      <w:bookmarkStart w:id="94" w:name="bookmark103"/>
      <w:bookmarkEnd w:id="94"/>
      <w:r>
        <w:rPr>
          <w:rFonts w:ascii="Times New Roman" w:hAnsi="Times New Roman"/>
          <w:bCs/>
        </w:rPr>
        <w:t>строить речевое высказывание в соответствии с поставленной задачей;</w:t>
      </w:r>
    </w:p>
    <w:p w14:paraId="5DC69BE1">
      <w:pPr>
        <w:widowControl/>
        <w:tabs>
          <w:tab w:val="left" w:pos="1134"/>
        </w:tabs>
        <w:spacing w:after="0" w:line="360" w:lineRule="auto"/>
        <w:ind w:firstLine="709"/>
        <w:jc w:val="both"/>
        <w:rPr>
          <w:rFonts w:ascii="Times New Roman" w:hAnsi="Times New Roman"/>
          <w:bCs/>
        </w:rPr>
      </w:pPr>
      <w:bookmarkStart w:id="95" w:name="bookmark104"/>
      <w:bookmarkEnd w:id="95"/>
      <w:r>
        <w:rPr>
          <w:rFonts w:ascii="Times New Roman" w:hAnsi="Times New Roman"/>
          <w:bCs/>
        </w:rPr>
        <w:t>создавать устные и письменные тексты (описание, рассуждение, повествование);</w:t>
      </w:r>
    </w:p>
    <w:p w14:paraId="17120FD7">
      <w:pPr>
        <w:widowControl/>
        <w:tabs>
          <w:tab w:val="left" w:pos="1134"/>
        </w:tabs>
        <w:spacing w:after="0" w:line="360" w:lineRule="auto"/>
        <w:ind w:firstLine="709"/>
        <w:jc w:val="both"/>
        <w:rPr>
          <w:rFonts w:ascii="Times New Roman" w:hAnsi="Times New Roman"/>
          <w:bCs/>
        </w:rPr>
      </w:pPr>
      <w:bookmarkStart w:id="96" w:name="bookmark105"/>
      <w:bookmarkEnd w:id="96"/>
      <w:r>
        <w:rPr>
          <w:rFonts w:ascii="Times New Roman" w:hAnsi="Times New Roman"/>
          <w:bCs/>
        </w:rPr>
        <w:t>подготавливать небольшие публичные выступления;</w:t>
      </w:r>
    </w:p>
    <w:p w14:paraId="24857DCF">
      <w:pPr>
        <w:widowControl/>
        <w:tabs>
          <w:tab w:val="left" w:pos="1134"/>
        </w:tabs>
        <w:spacing w:after="0" w:line="360" w:lineRule="auto"/>
        <w:ind w:firstLine="709"/>
        <w:jc w:val="both"/>
        <w:rPr>
          <w:rFonts w:ascii="Times New Roman" w:hAnsi="Times New Roman"/>
          <w:bCs/>
        </w:rPr>
      </w:pPr>
      <w:bookmarkStart w:id="97" w:name="bookmark106"/>
      <w:bookmarkEnd w:id="97"/>
      <w:r>
        <w:rPr>
          <w:rFonts w:ascii="Times New Roman" w:hAnsi="Times New Roman"/>
          <w:bCs/>
        </w:rPr>
        <w:t>подбирать иллюстративный материал (рисунки, фото, плакаты) к тексту выступления.</w:t>
      </w:r>
    </w:p>
    <w:p w14:paraId="13122BCC">
      <w:pPr>
        <w:widowControl/>
        <w:tabs>
          <w:tab w:val="left" w:pos="1134"/>
        </w:tabs>
        <w:spacing w:after="0" w:line="360" w:lineRule="auto"/>
        <w:ind w:firstLine="709"/>
        <w:jc w:val="both"/>
        <w:rPr>
          <w:rFonts w:ascii="Times New Roman" w:hAnsi="Times New Roman"/>
          <w:bCs/>
        </w:rPr>
      </w:pPr>
      <w:bookmarkStart w:id="98" w:name="bookmark107"/>
      <w:bookmarkEnd w:id="98"/>
      <w:r>
        <w:rPr>
          <w:rFonts w:ascii="Times New Roman" w:hAnsi="Times New Roman"/>
          <w:bCs/>
        </w:rPr>
        <w:t xml:space="preserve">9.9.2.5. У обучающегося будут </w:t>
      </w:r>
      <w:r>
        <w:rPr>
          <w:rFonts w:ascii="Times New Roman" w:hAnsi="Times New Roman"/>
        </w:rPr>
        <w:t xml:space="preserve">сформированы умения </w:t>
      </w:r>
      <w:r>
        <w:rPr>
          <w:rFonts w:ascii="Times New Roman" w:hAnsi="Times New Roman"/>
          <w:bCs/>
        </w:rPr>
        <w:t>самоорганизации как части регулятивных универсальных учебных действий:</w:t>
      </w:r>
    </w:p>
    <w:p w14:paraId="1ADC46C4">
      <w:pPr>
        <w:widowControl/>
        <w:tabs>
          <w:tab w:val="left" w:pos="1134"/>
        </w:tabs>
        <w:spacing w:after="0" w:line="360" w:lineRule="auto"/>
        <w:ind w:firstLine="709"/>
        <w:jc w:val="both"/>
        <w:rPr>
          <w:rFonts w:ascii="Times New Roman" w:hAnsi="Times New Roman"/>
          <w:bCs/>
        </w:rPr>
      </w:pPr>
      <w:bookmarkStart w:id="99" w:name="bookmark115"/>
      <w:bookmarkEnd w:id="99"/>
      <w:bookmarkStart w:id="100" w:name="bookmark114"/>
      <w:bookmarkEnd w:id="100"/>
      <w:r>
        <w:rPr>
          <w:rFonts w:ascii="Times New Roman" w:hAnsi="Times New Roman"/>
          <w:bCs/>
        </w:rPr>
        <w:t>планировать действия по решению учебной задачи для получения результата;</w:t>
      </w:r>
    </w:p>
    <w:p w14:paraId="4C19E9BE">
      <w:pPr>
        <w:widowControl/>
        <w:tabs>
          <w:tab w:val="left" w:pos="1134"/>
        </w:tabs>
        <w:spacing w:after="0" w:line="360" w:lineRule="auto"/>
        <w:ind w:firstLine="709"/>
        <w:jc w:val="both"/>
        <w:rPr>
          <w:rFonts w:ascii="Times New Roman" w:hAnsi="Times New Roman"/>
          <w:bCs/>
        </w:rPr>
      </w:pPr>
      <w:bookmarkStart w:id="101" w:name="bookmark116"/>
      <w:bookmarkEnd w:id="101"/>
      <w:r>
        <w:rPr>
          <w:rFonts w:ascii="Times New Roman" w:hAnsi="Times New Roman"/>
          <w:bCs/>
        </w:rPr>
        <w:t>выстраивать последовательность выбранных действий.</w:t>
      </w:r>
    </w:p>
    <w:p w14:paraId="098CF784">
      <w:pPr>
        <w:widowControl/>
        <w:tabs>
          <w:tab w:val="left" w:pos="1134"/>
        </w:tabs>
        <w:spacing w:after="0" w:line="360" w:lineRule="auto"/>
        <w:ind w:firstLine="709"/>
        <w:jc w:val="both"/>
        <w:rPr>
          <w:rFonts w:ascii="Times New Roman" w:hAnsi="Times New Roman"/>
          <w:bCs/>
        </w:rPr>
      </w:pPr>
      <w:r>
        <w:rPr>
          <w:rFonts w:ascii="Times New Roman" w:hAnsi="Times New Roman"/>
          <w:bCs/>
        </w:rPr>
        <w:t xml:space="preserve">9.9.2.6. У обучающегося будут </w:t>
      </w:r>
      <w:r>
        <w:rPr>
          <w:rFonts w:ascii="Times New Roman" w:hAnsi="Times New Roman"/>
        </w:rPr>
        <w:t xml:space="preserve">сформированы умения </w:t>
      </w:r>
      <w:r>
        <w:rPr>
          <w:rFonts w:ascii="Times New Roman" w:hAnsi="Times New Roman"/>
          <w:bCs/>
        </w:rPr>
        <w:t>самоконтроля как части регулятивных универсальных учебных действий:</w:t>
      </w:r>
    </w:p>
    <w:p w14:paraId="3C08F27E">
      <w:pPr>
        <w:widowControl/>
        <w:tabs>
          <w:tab w:val="left" w:pos="1134"/>
        </w:tabs>
        <w:spacing w:after="0" w:line="360" w:lineRule="auto"/>
        <w:ind w:firstLine="709"/>
        <w:jc w:val="both"/>
        <w:rPr>
          <w:rFonts w:ascii="Times New Roman" w:hAnsi="Times New Roman"/>
          <w:bCs/>
        </w:rPr>
      </w:pPr>
      <w:bookmarkStart w:id="102" w:name="bookmark118"/>
      <w:bookmarkEnd w:id="102"/>
      <w:r>
        <w:rPr>
          <w:rFonts w:ascii="Times New Roman" w:hAnsi="Times New Roman"/>
          <w:bCs/>
        </w:rPr>
        <w:t>устанавливать причины успеха/неудач учебной деятельности;</w:t>
      </w:r>
    </w:p>
    <w:p w14:paraId="01302E70">
      <w:pPr>
        <w:widowControl/>
        <w:tabs>
          <w:tab w:val="left" w:pos="1134"/>
        </w:tabs>
        <w:spacing w:after="0" w:line="360" w:lineRule="auto"/>
        <w:ind w:firstLine="709"/>
        <w:jc w:val="both"/>
        <w:rPr>
          <w:rFonts w:ascii="Times New Roman" w:hAnsi="Times New Roman"/>
          <w:bCs/>
        </w:rPr>
      </w:pPr>
      <w:bookmarkStart w:id="103" w:name="bookmark119"/>
      <w:bookmarkEnd w:id="103"/>
      <w:r>
        <w:rPr>
          <w:rFonts w:ascii="Times New Roman" w:hAnsi="Times New Roman"/>
          <w:bCs/>
        </w:rPr>
        <w:t>корректировать свои учебные действия для преодоления ошибок.</w:t>
      </w:r>
      <w:bookmarkStart w:id="104" w:name="bookmark121"/>
      <w:bookmarkStart w:id="105" w:name="bookmark122"/>
      <w:bookmarkStart w:id="106" w:name="bookmark120"/>
    </w:p>
    <w:p w14:paraId="430DFC84">
      <w:pPr>
        <w:widowControl/>
        <w:tabs>
          <w:tab w:val="left" w:pos="1134"/>
        </w:tabs>
        <w:spacing w:after="0" w:line="360" w:lineRule="auto"/>
        <w:ind w:firstLine="709"/>
        <w:jc w:val="both"/>
        <w:rPr>
          <w:rFonts w:ascii="Times New Roman" w:hAnsi="Times New Roman"/>
          <w:bCs/>
        </w:rPr>
      </w:pPr>
      <w:r>
        <w:rPr>
          <w:rFonts w:ascii="Times New Roman" w:hAnsi="Times New Roman"/>
          <w:bCs/>
        </w:rPr>
        <w:t xml:space="preserve">9.9.2.7. У обучающегося будут </w:t>
      </w:r>
      <w:r>
        <w:rPr>
          <w:rFonts w:ascii="Times New Roman" w:hAnsi="Times New Roman"/>
        </w:rPr>
        <w:t xml:space="preserve">сформированы умения </w:t>
      </w:r>
      <w:r>
        <w:rPr>
          <w:rFonts w:ascii="Times New Roman" w:hAnsi="Times New Roman"/>
          <w:bCs/>
        </w:rPr>
        <w:t>совместной деятельности:</w:t>
      </w:r>
    </w:p>
    <w:p w14:paraId="6584F359">
      <w:pPr>
        <w:widowControl/>
        <w:tabs>
          <w:tab w:val="left" w:pos="1134"/>
        </w:tabs>
        <w:spacing w:after="0" w:line="360" w:lineRule="auto"/>
        <w:ind w:firstLine="709"/>
        <w:jc w:val="both"/>
        <w:rPr>
          <w:rFonts w:ascii="Times New Roman" w:hAnsi="Times New Roman"/>
          <w:bCs/>
        </w:rPr>
      </w:pPr>
      <w:bookmarkStart w:id="107" w:name="bookmark108"/>
      <w:bookmarkEnd w:id="107"/>
      <w:bookmarkStart w:id="108" w:name="_Toc108096413"/>
      <w:bookmarkStart w:id="109" w:name="_Toc108094808"/>
      <w:r>
        <w:rPr>
          <w:rFonts w:ascii="Times New Roman" w:hAnsi="Times New Roman"/>
          <w:bCs/>
        </w:rPr>
        <w:t>формулировать краткосрочные и долгосрочные цели (индивидуальные с учётом участия в коллективных задачах) в стандартной (типовой) ситуации на основе предложенного формата планирования, распределения промежуточных шагов и сроков;</w:t>
      </w:r>
    </w:p>
    <w:p w14:paraId="77EF8082">
      <w:pPr>
        <w:widowControl/>
        <w:tabs>
          <w:tab w:val="left" w:pos="1134"/>
        </w:tabs>
        <w:spacing w:after="0" w:line="360" w:lineRule="auto"/>
        <w:ind w:firstLine="709"/>
        <w:jc w:val="both"/>
        <w:rPr>
          <w:rFonts w:ascii="Times New Roman" w:hAnsi="Times New Roman"/>
          <w:bCs/>
        </w:rPr>
      </w:pPr>
      <w:bookmarkStart w:id="110" w:name="bookmark109"/>
      <w:bookmarkEnd w:id="110"/>
      <w:r>
        <w:rPr>
          <w:rFonts w:ascii="Times New Roman" w:hAnsi="Times New Roman"/>
          <w:bCs/>
        </w:rPr>
        <w:t>принимать цель совместной деятельности, коллективно строить действия по её достижению: распределять роли, договариваться, обсуждать процесс и результат совместной работы;</w:t>
      </w:r>
    </w:p>
    <w:p w14:paraId="544AD71E">
      <w:pPr>
        <w:widowControl/>
        <w:tabs>
          <w:tab w:val="left" w:pos="1134"/>
        </w:tabs>
        <w:spacing w:after="0" w:line="360" w:lineRule="auto"/>
        <w:ind w:firstLine="709"/>
        <w:jc w:val="both"/>
        <w:rPr>
          <w:rFonts w:ascii="Times New Roman" w:hAnsi="Times New Roman"/>
          <w:bCs/>
        </w:rPr>
      </w:pPr>
      <w:bookmarkStart w:id="111" w:name="bookmark110"/>
      <w:bookmarkEnd w:id="111"/>
      <w:r>
        <w:rPr>
          <w:rFonts w:ascii="Times New Roman" w:hAnsi="Times New Roman"/>
          <w:bCs/>
        </w:rPr>
        <w:t>проявлять готовность руководить, выполнять поручения, подчиняться;</w:t>
      </w:r>
    </w:p>
    <w:p w14:paraId="5F028079">
      <w:pPr>
        <w:widowControl/>
        <w:tabs>
          <w:tab w:val="left" w:pos="1134"/>
        </w:tabs>
        <w:spacing w:after="0" w:line="360" w:lineRule="auto"/>
        <w:ind w:firstLine="709"/>
        <w:jc w:val="both"/>
        <w:rPr>
          <w:rFonts w:ascii="Times New Roman" w:hAnsi="Times New Roman"/>
          <w:bCs/>
        </w:rPr>
      </w:pPr>
      <w:bookmarkStart w:id="112" w:name="bookmark111"/>
      <w:bookmarkEnd w:id="112"/>
      <w:r>
        <w:rPr>
          <w:rFonts w:ascii="Times New Roman" w:hAnsi="Times New Roman"/>
          <w:bCs/>
        </w:rPr>
        <w:t>ответственно выполнять свою часть работы;</w:t>
      </w:r>
    </w:p>
    <w:p w14:paraId="0E47DF87">
      <w:pPr>
        <w:widowControl/>
        <w:tabs>
          <w:tab w:val="left" w:pos="1134"/>
        </w:tabs>
        <w:spacing w:after="0" w:line="360" w:lineRule="auto"/>
        <w:ind w:firstLine="709"/>
        <w:jc w:val="both"/>
        <w:rPr>
          <w:rFonts w:ascii="Times New Roman" w:hAnsi="Times New Roman"/>
          <w:bCs/>
        </w:rPr>
      </w:pPr>
      <w:bookmarkStart w:id="113" w:name="bookmark112"/>
      <w:bookmarkEnd w:id="113"/>
      <w:r>
        <w:rPr>
          <w:rFonts w:ascii="Times New Roman" w:hAnsi="Times New Roman"/>
          <w:bCs/>
        </w:rPr>
        <w:t>оценивать свой вклад в общий результат;</w:t>
      </w:r>
    </w:p>
    <w:p w14:paraId="7DF5D9E0">
      <w:pPr>
        <w:widowControl/>
        <w:tabs>
          <w:tab w:val="left" w:pos="1134"/>
        </w:tabs>
        <w:spacing w:after="0" w:line="360" w:lineRule="auto"/>
        <w:ind w:firstLine="709"/>
        <w:jc w:val="both"/>
        <w:rPr>
          <w:rFonts w:ascii="Times New Roman" w:hAnsi="Times New Roman"/>
          <w:bCs/>
        </w:rPr>
      </w:pPr>
      <w:bookmarkStart w:id="114" w:name="bookmark113"/>
      <w:bookmarkEnd w:id="114"/>
      <w:r>
        <w:rPr>
          <w:rFonts w:ascii="Times New Roman" w:hAnsi="Times New Roman"/>
          <w:bCs/>
        </w:rPr>
        <w:t>выполнять совместные проектные задания с использованием предложенного образца.</w:t>
      </w:r>
    </w:p>
    <w:bookmarkEnd w:id="104"/>
    <w:bookmarkEnd w:id="105"/>
    <w:bookmarkEnd w:id="106"/>
    <w:bookmarkEnd w:id="108"/>
    <w:bookmarkEnd w:id="109"/>
    <w:p w14:paraId="7E74EA73">
      <w:pPr>
        <w:widowControl/>
        <w:tabs>
          <w:tab w:val="left" w:pos="1134"/>
        </w:tabs>
        <w:spacing w:after="0" w:line="360" w:lineRule="auto"/>
        <w:ind w:firstLine="709"/>
        <w:jc w:val="both"/>
        <w:rPr>
          <w:rFonts w:ascii="Times New Roman" w:hAnsi="Times New Roman"/>
          <w:bCs/>
        </w:rPr>
      </w:pPr>
      <w:r>
        <w:rPr>
          <w:rFonts w:ascii="Times New Roman" w:hAnsi="Times New Roman"/>
          <w:bCs/>
        </w:rPr>
        <w:t>Предметные результаты по учебному предмету «Иностранный (английский) язык» предметной области «Иностранный язык» должны быть ориентированы на применение знаний, умений и навыков в типичных учебных ситуациях и реальных жизненных условиях, отражать сформированность иноязычной коммуникативной компетенции на элементарном уровне в совокупности её составляющих – речевой, языковой, социокультурной, компенсаторной, метапредметной (учебно-познавательной).</w:t>
      </w:r>
    </w:p>
    <w:p w14:paraId="087AAFC7">
      <w:pPr>
        <w:widowControl/>
        <w:tabs>
          <w:tab w:val="left" w:pos="1134"/>
        </w:tabs>
        <w:spacing w:after="0" w:line="360" w:lineRule="auto"/>
        <w:ind w:firstLine="709"/>
        <w:jc w:val="both"/>
        <w:rPr>
          <w:rFonts w:ascii="Times New Roman" w:hAnsi="Times New Roman"/>
          <w:bCs/>
        </w:rPr>
      </w:pPr>
      <w:r>
        <w:rPr>
          <w:rFonts w:ascii="Times New Roman" w:hAnsi="Times New Roman"/>
          <w:bCs/>
        </w:rPr>
        <w:t>9.9.3. К концу обучения во 2 классе обучающийся получит следующие предметные результаты по отдельным темам программы по иностранному (английскому) языку:</w:t>
      </w:r>
    </w:p>
    <w:p w14:paraId="6036AF6A">
      <w:pPr>
        <w:widowControl/>
        <w:tabs>
          <w:tab w:val="left" w:pos="1134"/>
        </w:tabs>
        <w:spacing w:after="0" w:line="360" w:lineRule="auto"/>
        <w:ind w:firstLine="709"/>
        <w:jc w:val="both"/>
        <w:rPr>
          <w:rFonts w:ascii="Times New Roman" w:hAnsi="Times New Roman"/>
          <w:bCs/>
        </w:rPr>
      </w:pPr>
      <w:r>
        <w:rPr>
          <w:rFonts w:ascii="Times New Roman" w:hAnsi="Times New Roman"/>
          <w:bCs/>
        </w:rPr>
        <w:t>9.9.3.1. Коммуникативные умения.</w:t>
      </w:r>
    </w:p>
    <w:p w14:paraId="3E3B3553">
      <w:pPr>
        <w:widowControl/>
        <w:tabs>
          <w:tab w:val="left" w:pos="1134"/>
        </w:tabs>
        <w:spacing w:after="0" w:line="360" w:lineRule="auto"/>
        <w:ind w:firstLine="709"/>
        <w:jc w:val="both"/>
        <w:rPr>
          <w:rFonts w:ascii="Times New Roman" w:hAnsi="Times New Roman"/>
          <w:bCs/>
        </w:rPr>
      </w:pPr>
      <w:r>
        <w:rPr>
          <w:rFonts w:ascii="Times New Roman" w:hAnsi="Times New Roman"/>
          <w:bCs/>
        </w:rPr>
        <w:t>9.9.3.1.1. Говорение:</w:t>
      </w:r>
    </w:p>
    <w:p w14:paraId="2AD718F4">
      <w:pPr>
        <w:widowControl/>
        <w:tabs>
          <w:tab w:val="left" w:pos="1134"/>
        </w:tabs>
        <w:spacing w:after="0" w:line="360" w:lineRule="auto"/>
        <w:ind w:firstLine="709"/>
        <w:jc w:val="both"/>
        <w:rPr>
          <w:rFonts w:ascii="Times New Roman" w:hAnsi="Times New Roman"/>
          <w:bCs/>
        </w:rPr>
      </w:pPr>
      <w:bookmarkStart w:id="115" w:name="bookmark124"/>
      <w:bookmarkEnd w:id="115"/>
      <w:r>
        <w:rPr>
          <w:rFonts w:ascii="Times New Roman" w:hAnsi="Times New Roman"/>
          <w:bCs/>
        </w:rPr>
        <w:t>вести разные виды диалогов (диалог этикетного характера, диалог-расспрос) в стандартных ситуациях неофициального общения, используя вербальные и (или) зрительные опоры в рамках изучаемой тематики с соблюдением норм речевого этикета, принятого в стране/странах изучаемого языка (не менее 3 реплик со стороны каждого собеседника);</w:t>
      </w:r>
    </w:p>
    <w:p w14:paraId="732B8C35">
      <w:pPr>
        <w:widowControl/>
        <w:tabs>
          <w:tab w:val="left" w:pos="1134"/>
        </w:tabs>
        <w:spacing w:after="0" w:line="360" w:lineRule="auto"/>
        <w:ind w:firstLine="709"/>
        <w:jc w:val="both"/>
        <w:rPr>
          <w:rFonts w:ascii="Times New Roman" w:hAnsi="Times New Roman"/>
          <w:bCs/>
        </w:rPr>
      </w:pPr>
      <w:bookmarkStart w:id="116" w:name="bookmark125"/>
      <w:bookmarkEnd w:id="116"/>
      <w:r>
        <w:rPr>
          <w:rFonts w:ascii="Times New Roman" w:hAnsi="Times New Roman"/>
          <w:bCs/>
        </w:rPr>
        <w:t>создавать устные связные монологические высказывания объёмом не менее 3 фраз в рамках изучаемой тематики с использованием картинок, фотографий и (или) ключевых слов, вопросов.</w:t>
      </w:r>
    </w:p>
    <w:p w14:paraId="4C71D210">
      <w:pPr>
        <w:widowControl/>
        <w:tabs>
          <w:tab w:val="left" w:pos="1134"/>
        </w:tabs>
        <w:spacing w:after="0" w:line="360" w:lineRule="auto"/>
        <w:ind w:firstLine="709"/>
        <w:jc w:val="both"/>
        <w:rPr>
          <w:rFonts w:ascii="Times New Roman" w:hAnsi="Times New Roman"/>
          <w:bCs/>
        </w:rPr>
      </w:pPr>
      <w:r>
        <w:rPr>
          <w:rFonts w:ascii="Times New Roman" w:hAnsi="Times New Roman"/>
          <w:bCs/>
        </w:rPr>
        <w:t>9.9.3.1.2. Аудирование:</w:t>
      </w:r>
    </w:p>
    <w:p w14:paraId="1F01FCC2">
      <w:pPr>
        <w:widowControl/>
        <w:tabs>
          <w:tab w:val="left" w:pos="1134"/>
        </w:tabs>
        <w:spacing w:after="0" w:line="360" w:lineRule="auto"/>
        <w:ind w:firstLine="709"/>
        <w:jc w:val="both"/>
        <w:rPr>
          <w:rFonts w:ascii="Times New Roman" w:hAnsi="Times New Roman"/>
          <w:bCs/>
        </w:rPr>
      </w:pPr>
      <w:bookmarkStart w:id="117" w:name="bookmark126"/>
      <w:bookmarkEnd w:id="117"/>
      <w:r>
        <w:rPr>
          <w:rFonts w:ascii="Times New Roman" w:hAnsi="Times New Roman"/>
          <w:bCs/>
        </w:rPr>
        <w:t>воспринимать на слух и понимать речь учителя и других обучающихся;</w:t>
      </w:r>
    </w:p>
    <w:p w14:paraId="25086FA1">
      <w:pPr>
        <w:widowControl/>
        <w:tabs>
          <w:tab w:val="left" w:pos="1134"/>
        </w:tabs>
        <w:spacing w:after="0" w:line="360" w:lineRule="auto"/>
        <w:ind w:firstLine="709"/>
        <w:jc w:val="both"/>
        <w:rPr>
          <w:rFonts w:ascii="Times New Roman" w:hAnsi="Times New Roman"/>
          <w:bCs/>
        </w:rPr>
      </w:pPr>
      <w:bookmarkStart w:id="118" w:name="bookmark127"/>
      <w:bookmarkEnd w:id="118"/>
      <w:r>
        <w:rPr>
          <w:rFonts w:ascii="Times New Roman" w:hAnsi="Times New Roman"/>
          <w:bCs/>
        </w:rPr>
        <w:t>воспринимать на слух и понимать учебные тексты, построенные на изученном языковом материале, с разной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 фактического характера, используя зрительные опоры и языковую догадку (время звучания текста/текстов для аудирования – до 40 секунд).</w:t>
      </w:r>
    </w:p>
    <w:p w14:paraId="58D072DE">
      <w:pPr>
        <w:widowControl/>
        <w:tabs>
          <w:tab w:val="left" w:pos="1134"/>
        </w:tabs>
        <w:spacing w:after="0" w:line="360" w:lineRule="auto"/>
        <w:ind w:firstLine="709"/>
        <w:jc w:val="both"/>
        <w:rPr>
          <w:rFonts w:ascii="Times New Roman" w:hAnsi="Times New Roman"/>
          <w:bCs/>
        </w:rPr>
      </w:pPr>
      <w:r>
        <w:rPr>
          <w:rFonts w:ascii="Times New Roman" w:hAnsi="Times New Roman"/>
          <w:bCs/>
        </w:rPr>
        <w:t>9.9.3.1.3. Смысловое чтение:</w:t>
      </w:r>
    </w:p>
    <w:p w14:paraId="1506631E">
      <w:pPr>
        <w:widowControl/>
        <w:tabs>
          <w:tab w:val="left" w:pos="1134"/>
        </w:tabs>
        <w:spacing w:after="0" w:line="360" w:lineRule="auto"/>
        <w:ind w:firstLine="709"/>
        <w:jc w:val="both"/>
        <w:rPr>
          <w:rFonts w:ascii="Times New Roman" w:hAnsi="Times New Roman"/>
          <w:bCs/>
        </w:rPr>
      </w:pPr>
      <w:bookmarkStart w:id="119" w:name="bookmark128"/>
      <w:bookmarkEnd w:id="119"/>
      <w:r>
        <w:rPr>
          <w:rFonts w:ascii="Times New Roman" w:hAnsi="Times New Roman"/>
          <w:bCs/>
        </w:rPr>
        <w:t>читать вслух учебные тексты объёмом до 60 слов, построенные на изученном языковом материале, с соблюдением правил чтения и соответствующей интонации, демонстрируя понимание прочитанного;</w:t>
      </w:r>
    </w:p>
    <w:p w14:paraId="4BB60C97">
      <w:pPr>
        <w:widowControl/>
        <w:tabs>
          <w:tab w:val="left" w:pos="1134"/>
        </w:tabs>
        <w:spacing w:after="0" w:line="360" w:lineRule="auto"/>
        <w:ind w:firstLine="709"/>
        <w:jc w:val="both"/>
        <w:rPr>
          <w:rFonts w:ascii="Times New Roman" w:hAnsi="Times New Roman"/>
          <w:bCs/>
        </w:rPr>
      </w:pPr>
      <w:bookmarkStart w:id="120" w:name="bookmark129"/>
      <w:bookmarkEnd w:id="120"/>
      <w:r>
        <w:rPr>
          <w:rFonts w:ascii="Times New Roman" w:hAnsi="Times New Roman"/>
          <w:bCs/>
        </w:rPr>
        <w:t>читать про себя и понимать учебные тексты, построенные на изученном языковом материале,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 используя зрительные опоры и языковую догадку (объём текста для чтения – до 80 слов).</w:t>
      </w:r>
    </w:p>
    <w:p w14:paraId="7B10B36B">
      <w:pPr>
        <w:widowControl/>
        <w:tabs>
          <w:tab w:val="left" w:pos="1134"/>
        </w:tabs>
        <w:spacing w:after="0" w:line="360" w:lineRule="auto"/>
        <w:ind w:firstLine="709"/>
        <w:jc w:val="both"/>
        <w:rPr>
          <w:rFonts w:ascii="Times New Roman" w:hAnsi="Times New Roman"/>
          <w:bCs/>
        </w:rPr>
      </w:pPr>
      <w:r>
        <w:rPr>
          <w:rFonts w:ascii="Times New Roman" w:hAnsi="Times New Roman"/>
          <w:bCs/>
        </w:rPr>
        <w:t>9.9.3.1.4. Письмо:</w:t>
      </w:r>
    </w:p>
    <w:p w14:paraId="163FDAA3">
      <w:pPr>
        <w:widowControl/>
        <w:tabs>
          <w:tab w:val="left" w:pos="1134"/>
        </w:tabs>
        <w:spacing w:after="0" w:line="360" w:lineRule="auto"/>
        <w:ind w:firstLine="709"/>
        <w:jc w:val="both"/>
        <w:rPr>
          <w:rFonts w:ascii="Times New Roman" w:hAnsi="Times New Roman"/>
          <w:bCs/>
        </w:rPr>
      </w:pPr>
      <w:bookmarkStart w:id="121" w:name="bookmark130"/>
      <w:bookmarkEnd w:id="121"/>
      <w:r>
        <w:rPr>
          <w:rFonts w:ascii="Times New Roman" w:hAnsi="Times New Roman"/>
          <w:bCs/>
        </w:rPr>
        <w:t>заполнять простые формуляры, сообщая о себе основные сведения, в соответствии с нормами, принятыми в стране/странах изучаемого языка;</w:t>
      </w:r>
    </w:p>
    <w:p w14:paraId="3681D5B8">
      <w:pPr>
        <w:widowControl/>
        <w:tabs>
          <w:tab w:val="left" w:pos="1134"/>
        </w:tabs>
        <w:spacing w:after="0" w:line="360" w:lineRule="auto"/>
        <w:ind w:firstLine="709"/>
        <w:jc w:val="both"/>
        <w:rPr>
          <w:rFonts w:ascii="Times New Roman" w:hAnsi="Times New Roman"/>
          <w:bCs/>
        </w:rPr>
      </w:pPr>
      <w:bookmarkStart w:id="122" w:name="bookmark131"/>
      <w:bookmarkEnd w:id="122"/>
      <w:r>
        <w:rPr>
          <w:rFonts w:ascii="Times New Roman" w:hAnsi="Times New Roman"/>
          <w:bCs/>
        </w:rPr>
        <w:t>писать с использованием образца короткие поздравления с праздниками (с днём рождения, Новым годом).</w:t>
      </w:r>
    </w:p>
    <w:p w14:paraId="23560FDE">
      <w:pPr>
        <w:widowControl/>
        <w:tabs>
          <w:tab w:val="left" w:pos="1134"/>
        </w:tabs>
        <w:spacing w:after="0" w:line="360" w:lineRule="auto"/>
        <w:ind w:firstLine="709"/>
        <w:jc w:val="both"/>
        <w:rPr>
          <w:rFonts w:ascii="Times New Roman" w:hAnsi="Times New Roman"/>
          <w:bCs/>
        </w:rPr>
      </w:pPr>
      <w:r>
        <w:rPr>
          <w:rFonts w:ascii="Times New Roman" w:hAnsi="Times New Roman"/>
          <w:bCs/>
        </w:rPr>
        <w:t>9.9.3.2. Языковые знания и навыки.</w:t>
      </w:r>
    </w:p>
    <w:p w14:paraId="26E0D212">
      <w:pPr>
        <w:widowControl/>
        <w:tabs>
          <w:tab w:val="left" w:pos="1134"/>
        </w:tabs>
        <w:spacing w:after="0" w:line="360" w:lineRule="auto"/>
        <w:ind w:firstLine="709"/>
        <w:jc w:val="both"/>
        <w:rPr>
          <w:rFonts w:ascii="Times New Roman" w:hAnsi="Times New Roman"/>
          <w:bCs/>
        </w:rPr>
      </w:pPr>
      <w:r>
        <w:rPr>
          <w:rFonts w:ascii="Times New Roman" w:hAnsi="Times New Roman"/>
          <w:bCs/>
        </w:rPr>
        <w:t>9.9.3.2.1. Фонетическая сторона речи:</w:t>
      </w:r>
    </w:p>
    <w:p w14:paraId="4E5247A6">
      <w:pPr>
        <w:widowControl/>
        <w:tabs>
          <w:tab w:val="left" w:pos="1134"/>
        </w:tabs>
        <w:spacing w:after="0" w:line="360" w:lineRule="auto"/>
        <w:ind w:firstLine="709"/>
        <w:jc w:val="both"/>
        <w:rPr>
          <w:rFonts w:ascii="Times New Roman" w:hAnsi="Times New Roman"/>
          <w:bCs/>
        </w:rPr>
      </w:pPr>
      <w:bookmarkStart w:id="123" w:name="bookmark132"/>
      <w:bookmarkEnd w:id="123"/>
      <w:r>
        <w:rPr>
          <w:rFonts w:ascii="Times New Roman" w:hAnsi="Times New Roman"/>
          <w:bCs/>
        </w:rPr>
        <w:t>знать буквы алфавита английского языка в правильной последовательности, фонетически корректно их озвучивать и графически корректно воспроизводить (полупечатное написание букв, буквосочетаний, слов);</w:t>
      </w:r>
    </w:p>
    <w:p w14:paraId="794898DB">
      <w:pPr>
        <w:widowControl/>
        <w:tabs>
          <w:tab w:val="left" w:pos="1134"/>
        </w:tabs>
        <w:spacing w:after="0" w:line="360" w:lineRule="auto"/>
        <w:ind w:firstLine="709"/>
        <w:jc w:val="both"/>
        <w:rPr>
          <w:rFonts w:ascii="Times New Roman" w:hAnsi="Times New Roman"/>
          <w:bCs/>
        </w:rPr>
      </w:pPr>
      <w:bookmarkStart w:id="124" w:name="bookmark133"/>
      <w:bookmarkEnd w:id="124"/>
      <w:r>
        <w:rPr>
          <w:rFonts w:ascii="Times New Roman" w:hAnsi="Times New Roman"/>
          <w:bCs/>
        </w:rPr>
        <w:t>применять правила чтения гласных в открытом и закрытом слоге в односложных словах, выделять некоторые звукобуквенные сочетания при анализе знакомых слов; озвучивать транскрипционные знаки, отличать их от букв;</w:t>
      </w:r>
    </w:p>
    <w:p w14:paraId="333D67C8">
      <w:pPr>
        <w:widowControl/>
        <w:tabs>
          <w:tab w:val="left" w:pos="1134"/>
        </w:tabs>
        <w:spacing w:after="0" w:line="360" w:lineRule="auto"/>
        <w:ind w:firstLine="709"/>
        <w:jc w:val="both"/>
        <w:rPr>
          <w:rFonts w:ascii="Times New Roman" w:hAnsi="Times New Roman"/>
          <w:bCs/>
        </w:rPr>
      </w:pPr>
      <w:bookmarkStart w:id="125" w:name="bookmark134"/>
      <w:bookmarkEnd w:id="125"/>
      <w:r>
        <w:rPr>
          <w:rFonts w:ascii="Times New Roman" w:hAnsi="Times New Roman"/>
          <w:bCs/>
        </w:rPr>
        <w:t>читать новые слова согласно основным правилам чтения;</w:t>
      </w:r>
    </w:p>
    <w:p w14:paraId="37614391">
      <w:pPr>
        <w:widowControl/>
        <w:tabs>
          <w:tab w:val="left" w:pos="1134"/>
        </w:tabs>
        <w:spacing w:after="0" w:line="360" w:lineRule="auto"/>
        <w:ind w:firstLine="709"/>
        <w:jc w:val="both"/>
        <w:rPr>
          <w:rFonts w:ascii="Times New Roman" w:hAnsi="Times New Roman"/>
          <w:bCs/>
        </w:rPr>
      </w:pPr>
      <w:bookmarkStart w:id="126" w:name="bookmark135"/>
      <w:bookmarkEnd w:id="126"/>
      <w:r>
        <w:rPr>
          <w:rFonts w:ascii="Times New Roman" w:hAnsi="Times New Roman"/>
          <w:bCs/>
        </w:rPr>
        <w:t>различать на слух и правильно произносить слова и фразы/предложения с соблюдением их ритмико-интонационных особенностей.</w:t>
      </w:r>
    </w:p>
    <w:p w14:paraId="386A64AB">
      <w:pPr>
        <w:widowControl/>
        <w:tabs>
          <w:tab w:val="left" w:pos="1134"/>
        </w:tabs>
        <w:spacing w:after="0" w:line="360" w:lineRule="auto"/>
        <w:ind w:firstLine="709"/>
        <w:jc w:val="both"/>
        <w:rPr>
          <w:rFonts w:ascii="Times New Roman" w:hAnsi="Times New Roman"/>
          <w:bCs/>
        </w:rPr>
      </w:pPr>
      <w:r>
        <w:rPr>
          <w:rFonts w:ascii="Times New Roman" w:hAnsi="Times New Roman"/>
          <w:bCs/>
        </w:rPr>
        <w:t>9.9.3.2.2. Графика, орфография и пунктуация:</w:t>
      </w:r>
    </w:p>
    <w:p w14:paraId="637A42AC">
      <w:pPr>
        <w:widowControl/>
        <w:tabs>
          <w:tab w:val="left" w:pos="1134"/>
        </w:tabs>
        <w:spacing w:after="0" w:line="360" w:lineRule="auto"/>
        <w:ind w:firstLine="709"/>
        <w:jc w:val="both"/>
        <w:rPr>
          <w:rFonts w:ascii="Times New Roman" w:hAnsi="Times New Roman"/>
          <w:bCs/>
        </w:rPr>
      </w:pPr>
      <w:bookmarkStart w:id="127" w:name="bookmark136"/>
      <w:bookmarkEnd w:id="127"/>
      <w:r>
        <w:rPr>
          <w:rFonts w:ascii="Times New Roman" w:hAnsi="Times New Roman"/>
          <w:bCs/>
        </w:rPr>
        <w:t>правильно писать изученные слова;</w:t>
      </w:r>
    </w:p>
    <w:p w14:paraId="5221D83A">
      <w:pPr>
        <w:widowControl/>
        <w:tabs>
          <w:tab w:val="left" w:pos="1134"/>
        </w:tabs>
        <w:spacing w:after="0" w:line="360" w:lineRule="auto"/>
        <w:ind w:firstLine="709"/>
        <w:jc w:val="both"/>
        <w:rPr>
          <w:rFonts w:ascii="Times New Roman" w:hAnsi="Times New Roman"/>
          <w:bCs/>
        </w:rPr>
      </w:pPr>
      <w:bookmarkStart w:id="128" w:name="bookmark137"/>
      <w:bookmarkEnd w:id="128"/>
      <w:r>
        <w:rPr>
          <w:rFonts w:ascii="Times New Roman" w:hAnsi="Times New Roman"/>
          <w:bCs/>
        </w:rPr>
        <w:t>заполнять пропуски словами; дописывать предложения;</w:t>
      </w:r>
    </w:p>
    <w:p w14:paraId="7C29FE6B">
      <w:pPr>
        <w:widowControl/>
        <w:tabs>
          <w:tab w:val="left" w:pos="1134"/>
        </w:tabs>
        <w:spacing w:after="0" w:line="360" w:lineRule="auto"/>
        <w:ind w:firstLine="709"/>
        <w:jc w:val="both"/>
        <w:rPr>
          <w:rFonts w:ascii="Times New Roman" w:hAnsi="Times New Roman"/>
          <w:bCs/>
        </w:rPr>
      </w:pPr>
      <w:bookmarkStart w:id="129" w:name="bookmark138"/>
      <w:bookmarkEnd w:id="129"/>
      <w:r>
        <w:rPr>
          <w:rFonts w:ascii="Times New Roman" w:hAnsi="Times New Roman"/>
          <w:bCs/>
        </w:rPr>
        <w:t>правильно расставлять знаки препинания (точка, вопросительный и восклицательный знаки в конце предложения) и использовать знак апострофа в сокращённых формах глагола-связки, вспомогательного и модального глаголов.</w:t>
      </w:r>
    </w:p>
    <w:p w14:paraId="76C10AF7">
      <w:pPr>
        <w:widowControl/>
        <w:tabs>
          <w:tab w:val="left" w:pos="1134"/>
        </w:tabs>
        <w:spacing w:after="0" w:line="360" w:lineRule="auto"/>
        <w:ind w:firstLine="709"/>
        <w:jc w:val="both"/>
        <w:rPr>
          <w:rFonts w:ascii="Times New Roman" w:hAnsi="Times New Roman"/>
          <w:bCs/>
        </w:rPr>
      </w:pPr>
      <w:r>
        <w:rPr>
          <w:rFonts w:ascii="Times New Roman" w:hAnsi="Times New Roman"/>
          <w:bCs/>
        </w:rPr>
        <w:t>9.9.3.2.3. Лексическая сторона речи:</w:t>
      </w:r>
    </w:p>
    <w:p w14:paraId="6C19A402">
      <w:pPr>
        <w:widowControl/>
        <w:tabs>
          <w:tab w:val="left" w:pos="1134"/>
        </w:tabs>
        <w:spacing w:after="0" w:line="360" w:lineRule="auto"/>
        <w:ind w:firstLine="709"/>
        <w:jc w:val="both"/>
        <w:rPr>
          <w:rFonts w:ascii="Times New Roman" w:hAnsi="Times New Roman"/>
          <w:bCs/>
        </w:rPr>
      </w:pPr>
      <w:bookmarkStart w:id="130" w:name="bookmark139"/>
      <w:bookmarkEnd w:id="130"/>
      <w:r>
        <w:rPr>
          <w:rFonts w:ascii="Times New Roman" w:hAnsi="Times New Roman"/>
          <w:bCs/>
        </w:rPr>
        <w:t>распознавать и употреблять в устной и письменной речи не менее 200 лексических единиц (слов, словосочетаний, речевых клише), обслуживающих ситуации общения в рамках тематики, предусмотренной на первом году обучения;</w:t>
      </w:r>
    </w:p>
    <w:p w14:paraId="511275CB">
      <w:pPr>
        <w:widowControl/>
        <w:tabs>
          <w:tab w:val="left" w:pos="1134"/>
        </w:tabs>
        <w:spacing w:after="0" w:line="360" w:lineRule="auto"/>
        <w:ind w:firstLine="709"/>
        <w:jc w:val="both"/>
        <w:rPr>
          <w:rFonts w:ascii="Times New Roman" w:hAnsi="Times New Roman"/>
          <w:bCs/>
        </w:rPr>
      </w:pPr>
      <w:bookmarkStart w:id="131" w:name="bookmark140"/>
      <w:bookmarkEnd w:id="131"/>
      <w:r>
        <w:rPr>
          <w:rFonts w:ascii="Times New Roman" w:hAnsi="Times New Roman"/>
          <w:bCs/>
        </w:rPr>
        <w:t>использовать языковую догадку в распознавании интернациональных слов.</w:t>
      </w:r>
    </w:p>
    <w:p w14:paraId="2B47CE38">
      <w:pPr>
        <w:widowControl/>
        <w:tabs>
          <w:tab w:val="left" w:pos="1134"/>
        </w:tabs>
        <w:spacing w:after="0" w:line="360" w:lineRule="auto"/>
        <w:ind w:firstLine="709"/>
        <w:jc w:val="both"/>
        <w:rPr>
          <w:rFonts w:ascii="Times New Roman" w:hAnsi="Times New Roman"/>
          <w:bCs/>
        </w:rPr>
      </w:pPr>
      <w:r>
        <w:rPr>
          <w:rFonts w:ascii="Times New Roman" w:hAnsi="Times New Roman"/>
          <w:bCs/>
        </w:rPr>
        <w:t>9.9.3.2.4. Грамматическая сторона речи:</w:t>
      </w:r>
    </w:p>
    <w:p w14:paraId="013D0C7D">
      <w:pPr>
        <w:widowControl/>
        <w:tabs>
          <w:tab w:val="left" w:pos="1134"/>
        </w:tabs>
        <w:spacing w:after="0" w:line="360" w:lineRule="auto"/>
        <w:ind w:firstLine="709"/>
        <w:jc w:val="both"/>
        <w:rPr>
          <w:rFonts w:ascii="Times New Roman" w:hAnsi="Times New Roman"/>
          <w:bCs/>
        </w:rPr>
      </w:pPr>
      <w:bookmarkStart w:id="132" w:name="bookmark141"/>
      <w:bookmarkEnd w:id="132"/>
      <w:r>
        <w:rPr>
          <w:rFonts w:ascii="Times New Roman" w:hAnsi="Times New Roman"/>
          <w:bCs/>
        </w:rPr>
        <w:t>распознавать и употреблять в устной и письменной речи различные коммуникативные типы предложений: повествовательные (утвердительные, отрицательные), вопросительные (общий, специальный, вопросы), побудительные (в утвердительной форме);</w:t>
      </w:r>
    </w:p>
    <w:p w14:paraId="0A95BD4E">
      <w:pPr>
        <w:widowControl/>
        <w:tabs>
          <w:tab w:val="left" w:pos="1134"/>
        </w:tabs>
        <w:spacing w:after="0" w:line="360" w:lineRule="auto"/>
        <w:ind w:firstLine="709"/>
        <w:jc w:val="both"/>
        <w:rPr>
          <w:rFonts w:ascii="Times New Roman" w:hAnsi="Times New Roman"/>
          <w:bCs/>
        </w:rPr>
      </w:pPr>
      <w:bookmarkStart w:id="133" w:name="bookmark142"/>
      <w:bookmarkEnd w:id="133"/>
      <w:r>
        <w:rPr>
          <w:rFonts w:ascii="Times New Roman" w:hAnsi="Times New Roman"/>
          <w:bCs/>
        </w:rPr>
        <w:t>распознавать и употреблять нераспространённые и распространённые простые предложения;</w:t>
      </w:r>
    </w:p>
    <w:p w14:paraId="14FA4AAA">
      <w:pPr>
        <w:widowControl/>
        <w:tabs>
          <w:tab w:val="left" w:pos="1134"/>
        </w:tabs>
        <w:spacing w:after="0" w:line="360" w:lineRule="auto"/>
        <w:ind w:firstLine="709"/>
        <w:jc w:val="both"/>
        <w:rPr>
          <w:rFonts w:ascii="Times New Roman" w:hAnsi="Times New Roman"/>
          <w:bCs/>
        </w:rPr>
      </w:pPr>
      <w:bookmarkStart w:id="134" w:name="bookmark143"/>
      <w:bookmarkEnd w:id="134"/>
      <w:r>
        <w:rPr>
          <w:rFonts w:ascii="Times New Roman" w:hAnsi="Times New Roman"/>
          <w:bCs/>
        </w:rPr>
        <w:t>распознавать и употреблять в устной и письменной речи предложения с начальным It;</w:t>
      </w:r>
    </w:p>
    <w:p w14:paraId="215B4E97">
      <w:pPr>
        <w:widowControl/>
        <w:tabs>
          <w:tab w:val="left" w:pos="1134"/>
        </w:tabs>
        <w:spacing w:after="0" w:line="360" w:lineRule="auto"/>
        <w:ind w:firstLine="709"/>
        <w:jc w:val="both"/>
        <w:rPr>
          <w:rFonts w:ascii="Times New Roman" w:hAnsi="Times New Roman"/>
          <w:bCs/>
        </w:rPr>
      </w:pPr>
      <w:bookmarkStart w:id="135" w:name="bookmark144"/>
      <w:bookmarkEnd w:id="135"/>
      <w:r>
        <w:rPr>
          <w:rFonts w:ascii="Times New Roman" w:hAnsi="Times New Roman"/>
          <w:bCs/>
        </w:rPr>
        <w:t>распознавать и употреблять в устной и письменной речи предложения с начальным There + to be в Present Simple Tense;</w:t>
      </w:r>
    </w:p>
    <w:p w14:paraId="39D999BE">
      <w:pPr>
        <w:widowControl/>
        <w:tabs>
          <w:tab w:val="left" w:pos="1134"/>
        </w:tabs>
        <w:spacing w:after="0" w:line="360" w:lineRule="auto"/>
        <w:ind w:firstLine="709"/>
        <w:jc w:val="both"/>
        <w:rPr>
          <w:rFonts w:ascii="Times New Roman" w:hAnsi="Times New Roman"/>
          <w:bCs/>
        </w:rPr>
      </w:pPr>
      <w:bookmarkStart w:id="136" w:name="bookmark145"/>
      <w:bookmarkEnd w:id="136"/>
      <w:r>
        <w:rPr>
          <w:rFonts w:ascii="Times New Roman" w:hAnsi="Times New Roman"/>
          <w:bCs/>
        </w:rPr>
        <w:t>распознавать и употреблять в устной и письменной речи простые предложения с простым глагольным сказуемым (He speaks English.);</w:t>
      </w:r>
    </w:p>
    <w:p w14:paraId="603997EF">
      <w:pPr>
        <w:widowControl/>
        <w:tabs>
          <w:tab w:val="left" w:pos="1134"/>
        </w:tabs>
        <w:spacing w:after="0" w:line="360" w:lineRule="auto"/>
        <w:ind w:firstLine="709"/>
        <w:jc w:val="both"/>
        <w:rPr>
          <w:rFonts w:ascii="Times New Roman" w:hAnsi="Times New Roman"/>
          <w:bCs/>
        </w:rPr>
      </w:pPr>
      <w:bookmarkStart w:id="137" w:name="bookmark146"/>
      <w:bookmarkEnd w:id="137"/>
      <w:r>
        <w:rPr>
          <w:rFonts w:ascii="Times New Roman" w:hAnsi="Times New Roman"/>
          <w:bCs/>
        </w:rPr>
        <w:t>распознавать и употреблять в устной и письменной речи предложения с составным глагольным сказуемым (I want to dance. She can skate well.);</w:t>
      </w:r>
    </w:p>
    <w:p w14:paraId="37C6A480">
      <w:pPr>
        <w:widowControl/>
        <w:tabs>
          <w:tab w:val="left" w:pos="1134"/>
        </w:tabs>
        <w:spacing w:after="0" w:line="360" w:lineRule="auto"/>
        <w:ind w:firstLine="709"/>
        <w:jc w:val="both"/>
        <w:rPr>
          <w:rFonts w:ascii="Times New Roman" w:hAnsi="Times New Roman"/>
          <w:bCs/>
        </w:rPr>
      </w:pPr>
      <w:bookmarkStart w:id="138" w:name="bookmark147"/>
      <w:bookmarkEnd w:id="138"/>
      <w:r>
        <w:rPr>
          <w:rFonts w:ascii="Times New Roman" w:hAnsi="Times New Roman"/>
          <w:bCs/>
        </w:rPr>
        <w:t>распознавать и употреблять в устной и письменной речи предложения с глаголом-связкой to be в Present Simple Tense в составе таких фраз, как I’m Dima, I’m eight. I’m fine. I’m sorry. It’s... Is it.? What’s ...?;</w:t>
      </w:r>
    </w:p>
    <w:p w14:paraId="59665631">
      <w:pPr>
        <w:widowControl/>
        <w:tabs>
          <w:tab w:val="left" w:pos="1134"/>
        </w:tabs>
        <w:spacing w:after="0" w:line="360" w:lineRule="auto"/>
        <w:ind w:firstLine="709"/>
        <w:jc w:val="both"/>
        <w:rPr>
          <w:rFonts w:ascii="Times New Roman" w:hAnsi="Times New Roman"/>
          <w:bCs/>
        </w:rPr>
      </w:pPr>
      <w:bookmarkStart w:id="139" w:name="bookmark148"/>
      <w:bookmarkEnd w:id="139"/>
      <w:r>
        <w:rPr>
          <w:rFonts w:ascii="Times New Roman" w:hAnsi="Times New Roman"/>
          <w:bCs/>
        </w:rPr>
        <w:t>распознавать и употреблять в устной и письменной речи предложения с краткими глагольными формами;</w:t>
      </w:r>
    </w:p>
    <w:p w14:paraId="70DCA7B1">
      <w:pPr>
        <w:widowControl/>
        <w:tabs>
          <w:tab w:val="left" w:pos="1134"/>
        </w:tabs>
        <w:spacing w:after="0" w:line="360" w:lineRule="auto"/>
        <w:ind w:firstLine="709"/>
        <w:jc w:val="both"/>
        <w:rPr>
          <w:rFonts w:ascii="Times New Roman" w:hAnsi="Times New Roman"/>
          <w:bCs/>
        </w:rPr>
      </w:pPr>
      <w:bookmarkStart w:id="140" w:name="bookmark149"/>
      <w:bookmarkEnd w:id="140"/>
      <w:r>
        <w:rPr>
          <w:rFonts w:ascii="Times New Roman" w:hAnsi="Times New Roman"/>
          <w:bCs/>
        </w:rPr>
        <w:t>распознавать и употреблять в устной и письменной речи повелительное наклонение: побудительные предложения в утвердительной форме (Come in, please.);</w:t>
      </w:r>
    </w:p>
    <w:p w14:paraId="41E82F9F">
      <w:pPr>
        <w:widowControl/>
        <w:tabs>
          <w:tab w:val="left" w:pos="1134"/>
        </w:tabs>
        <w:spacing w:after="0" w:line="360" w:lineRule="auto"/>
        <w:ind w:firstLine="709"/>
        <w:jc w:val="both"/>
        <w:rPr>
          <w:rFonts w:ascii="Times New Roman" w:hAnsi="Times New Roman"/>
          <w:bCs/>
        </w:rPr>
      </w:pPr>
      <w:bookmarkStart w:id="141" w:name="bookmark150"/>
      <w:bookmarkEnd w:id="141"/>
      <w:r>
        <w:rPr>
          <w:rFonts w:ascii="Times New Roman" w:hAnsi="Times New Roman"/>
          <w:bCs/>
        </w:rPr>
        <w:t>распознавать и употреблять в устной и письменной речи настоящее простое время (Present Simple Tense) в повествовательных (утвердительных и отрицательных) и вопросительных (общий и специальный вопрос) предложениях;</w:t>
      </w:r>
    </w:p>
    <w:p w14:paraId="39CA678D">
      <w:pPr>
        <w:widowControl/>
        <w:tabs>
          <w:tab w:val="left" w:pos="1134"/>
        </w:tabs>
        <w:spacing w:after="0" w:line="360" w:lineRule="auto"/>
        <w:ind w:firstLine="709"/>
        <w:jc w:val="both"/>
        <w:rPr>
          <w:rFonts w:ascii="Times New Roman" w:hAnsi="Times New Roman"/>
          <w:bCs/>
        </w:rPr>
      </w:pPr>
      <w:bookmarkStart w:id="142" w:name="bookmark151"/>
      <w:bookmarkEnd w:id="142"/>
      <w:r>
        <w:rPr>
          <w:rFonts w:ascii="Times New Roman" w:hAnsi="Times New Roman"/>
          <w:bCs/>
        </w:rPr>
        <w:t>распознавать и употреблять в устной и письменной речи глагольную конструкцию have got (I’ve got ... Have you got ...?);</w:t>
      </w:r>
    </w:p>
    <w:p w14:paraId="18076ECF">
      <w:pPr>
        <w:widowControl/>
        <w:tabs>
          <w:tab w:val="left" w:pos="1134"/>
        </w:tabs>
        <w:spacing w:after="0" w:line="360" w:lineRule="auto"/>
        <w:ind w:firstLine="709"/>
        <w:jc w:val="both"/>
        <w:rPr>
          <w:rFonts w:ascii="Times New Roman" w:hAnsi="Times New Roman"/>
          <w:bCs/>
        </w:rPr>
      </w:pPr>
      <w:bookmarkStart w:id="143" w:name="bookmark152"/>
      <w:bookmarkEnd w:id="143"/>
      <w:r>
        <w:rPr>
          <w:rFonts w:ascii="Times New Roman" w:hAnsi="Times New Roman"/>
          <w:bCs/>
        </w:rPr>
        <w:t>распознавать и употреблять в устной и письменной речи модальный глагол сan/can’t для выражения умения (I can ride a bike.) и отсутствия умения (I can’t ride a bike.); can для получения разрешения (Can I go out?);</w:t>
      </w:r>
    </w:p>
    <w:p w14:paraId="1AE6E85D">
      <w:pPr>
        <w:widowControl/>
        <w:tabs>
          <w:tab w:val="left" w:pos="1134"/>
        </w:tabs>
        <w:spacing w:after="0" w:line="360" w:lineRule="auto"/>
        <w:ind w:firstLine="709"/>
        <w:jc w:val="both"/>
        <w:rPr>
          <w:rFonts w:ascii="Times New Roman" w:hAnsi="Times New Roman"/>
          <w:bCs/>
        </w:rPr>
      </w:pPr>
      <w:bookmarkStart w:id="144" w:name="bookmark153"/>
      <w:bookmarkEnd w:id="144"/>
      <w:r>
        <w:rPr>
          <w:rFonts w:ascii="Times New Roman" w:hAnsi="Times New Roman"/>
          <w:bCs/>
        </w:rPr>
        <w:t>распознавать и употреблять в устной и письменной речи неопределённый, определённый и нулевой артикль с существительными (наиболее распространённые случаи употребления);</w:t>
      </w:r>
    </w:p>
    <w:p w14:paraId="5363488D">
      <w:pPr>
        <w:widowControl/>
        <w:tabs>
          <w:tab w:val="left" w:pos="1134"/>
        </w:tabs>
        <w:spacing w:after="0" w:line="360" w:lineRule="auto"/>
        <w:ind w:firstLine="709"/>
        <w:jc w:val="both"/>
        <w:rPr>
          <w:rFonts w:ascii="Times New Roman" w:hAnsi="Times New Roman"/>
          <w:bCs/>
        </w:rPr>
      </w:pPr>
      <w:bookmarkStart w:id="145" w:name="bookmark154"/>
      <w:bookmarkEnd w:id="145"/>
      <w:r>
        <w:rPr>
          <w:rFonts w:ascii="Times New Roman" w:hAnsi="Times New Roman"/>
          <w:bCs/>
        </w:rPr>
        <w:t>распознавать и употреблять в устной и письменной речи множественное число существительных, образованное по правилам и исключения: a pen – pens; a man – men;</w:t>
      </w:r>
    </w:p>
    <w:p w14:paraId="54293AE3">
      <w:pPr>
        <w:widowControl/>
        <w:tabs>
          <w:tab w:val="left" w:pos="1134"/>
        </w:tabs>
        <w:spacing w:after="0" w:line="360" w:lineRule="auto"/>
        <w:ind w:firstLine="709"/>
        <w:jc w:val="both"/>
        <w:rPr>
          <w:rFonts w:ascii="Times New Roman" w:hAnsi="Times New Roman"/>
          <w:bCs/>
        </w:rPr>
      </w:pPr>
      <w:bookmarkStart w:id="146" w:name="bookmark155"/>
      <w:bookmarkEnd w:id="146"/>
      <w:r>
        <w:rPr>
          <w:rFonts w:ascii="Times New Roman" w:hAnsi="Times New Roman"/>
          <w:bCs/>
        </w:rPr>
        <w:t>распознавать и употреблять в устной и письменной речи личные и притяжательные местоимения;</w:t>
      </w:r>
    </w:p>
    <w:p w14:paraId="0E9D9576">
      <w:pPr>
        <w:widowControl/>
        <w:tabs>
          <w:tab w:val="left" w:pos="1134"/>
        </w:tabs>
        <w:spacing w:after="0" w:line="360" w:lineRule="auto"/>
        <w:ind w:firstLine="709"/>
        <w:jc w:val="both"/>
        <w:rPr>
          <w:rFonts w:ascii="Times New Roman" w:hAnsi="Times New Roman"/>
          <w:bCs/>
        </w:rPr>
      </w:pPr>
      <w:bookmarkStart w:id="147" w:name="bookmark156"/>
      <w:bookmarkEnd w:id="147"/>
      <w:r>
        <w:rPr>
          <w:rFonts w:ascii="Times New Roman" w:hAnsi="Times New Roman"/>
          <w:bCs/>
        </w:rPr>
        <w:t>распознавать и употреблять в устной и письменной речи указательные местоимения this – these;</w:t>
      </w:r>
    </w:p>
    <w:p w14:paraId="16CEC48E">
      <w:pPr>
        <w:widowControl/>
        <w:tabs>
          <w:tab w:val="left" w:pos="1134"/>
        </w:tabs>
        <w:spacing w:after="0" w:line="360" w:lineRule="auto"/>
        <w:ind w:firstLine="709"/>
        <w:jc w:val="both"/>
        <w:rPr>
          <w:rFonts w:ascii="Times New Roman" w:hAnsi="Times New Roman"/>
          <w:bCs/>
        </w:rPr>
      </w:pPr>
      <w:bookmarkStart w:id="148" w:name="bookmark157"/>
      <w:bookmarkEnd w:id="148"/>
      <w:r>
        <w:rPr>
          <w:rFonts w:ascii="Times New Roman" w:hAnsi="Times New Roman"/>
          <w:bCs/>
        </w:rPr>
        <w:t>распознавать и употреблять в устной и письменной речи количественные числительные (1–12);</w:t>
      </w:r>
    </w:p>
    <w:p w14:paraId="5240F2CD">
      <w:pPr>
        <w:widowControl/>
        <w:tabs>
          <w:tab w:val="left" w:pos="1134"/>
        </w:tabs>
        <w:spacing w:after="0" w:line="360" w:lineRule="auto"/>
        <w:ind w:firstLine="709"/>
        <w:jc w:val="both"/>
        <w:rPr>
          <w:rFonts w:ascii="Times New Roman" w:hAnsi="Times New Roman"/>
          <w:bCs/>
        </w:rPr>
      </w:pPr>
      <w:bookmarkStart w:id="149" w:name="bookmark158"/>
      <w:bookmarkEnd w:id="149"/>
      <w:r>
        <w:rPr>
          <w:rFonts w:ascii="Times New Roman" w:hAnsi="Times New Roman"/>
          <w:bCs/>
        </w:rPr>
        <w:t>распознавать и употреблять в устной и письменной речи вопросительные слова who, what, how, where, how many;</w:t>
      </w:r>
    </w:p>
    <w:p w14:paraId="3AD37F25">
      <w:pPr>
        <w:widowControl/>
        <w:tabs>
          <w:tab w:val="left" w:pos="1134"/>
        </w:tabs>
        <w:spacing w:after="0" w:line="360" w:lineRule="auto"/>
        <w:ind w:firstLine="709"/>
        <w:jc w:val="both"/>
        <w:rPr>
          <w:rFonts w:ascii="Times New Roman" w:hAnsi="Times New Roman"/>
          <w:bCs/>
        </w:rPr>
      </w:pPr>
      <w:bookmarkStart w:id="150" w:name="bookmark159"/>
      <w:bookmarkEnd w:id="150"/>
      <w:r>
        <w:rPr>
          <w:rFonts w:ascii="Times New Roman" w:hAnsi="Times New Roman"/>
          <w:bCs/>
        </w:rPr>
        <w:t>распознавать и употреблять в устной и письменной речи предлоги места on, in, near, under;</w:t>
      </w:r>
    </w:p>
    <w:p w14:paraId="005076CD">
      <w:pPr>
        <w:widowControl/>
        <w:tabs>
          <w:tab w:val="left" w:pos="1134"/>
        </w:tabs>
        <w:spacing w:after="0" w:line="360" w:lineRule="auto"/>
        <w:ind w:firstLine="709"/>
        <w:jc w:val="both"/>
        <w:rPr>
          <w:rFonts w:ascii="Times New Roman" w:hAnsi="Times New Roman"/>
          <w:bCs/>
        </w:rPr>
      </w:pPr>
      <w:bookmarkStart w:id="151" w:name="bookmark160"/>
      <w:bookmarkEnd w:id="151"/>
      <w:r>
        <w:rPr>
          <w:rFonts w:ascii="Times New Roman" w:hAnsi="Times New Roman"/>
          <w:bCs/>
        </w:rPr>
        <w:t>распознавать и употреблять в устной и письменной речи союзы and и but (при однородных членах).</w:t>
      </w:r>
      <w:bookmarkStart w:id="152" w:name="bookmark161"/>
      <w:bookmarkStart w:id="153" w:name="bookmark163"/>
      <w:bookmarkStart w:id="154" w:name="bookmark162"/>
    </w:p>
    <w:p w14:paraId="3451F8C0">
      <w:pPr>
        <w:widowControl/>
        <w:tabs>
          <w:tab w:val="left" w:pos="1134"/>
        </w:tabs>
        <w:spacing w:after="0" w:line="360" w:lineRule="auto"/>
        <w:ind w:firstLine="709"/>
        <w:jc w:val="both"/>
        <w:rPr>
          <w:rFonts w:ascii="Times New Roman" w:hAnsi="Times New Roman"/>
          <w:bCs/>
        </w:rPr>
      </w:pPr>
      <w:r>
        <w:rPr>
          <w:rFonts w:ascii="Times New Roman" w:hAnsi="Times New Roman"/>
          <w:bCs/>
        </w:rPr>
        <w:t>9.9.3.3. Социокультурные знания и умения</w:t>
      </w:r>
      <w:bookmarkEnd w:id="152"/>
      <w:bookmarkEnd w:id="153"/>
      <w:bookmarkEnd w:id="154"/>
      <w:r>
        <w:rPr>
          <w:rFonts w:ascii="Times New Roman" w:hAnsi="Times New Roman"/>
          <w:bCs/>
        </w:rPr>
        <w:t>:</w:t>
      </w:r>
    </w:p>
    <w:p w14:paraId="15320CC4">
      <w:pPr>
        <w:widowControl/>
        <w:tabs>
          <w:tab w:val="left" w:pos="1134"/>
        </w:tabs>
        <w:spacing w:after="0" w:line="360" w:lineRule="auto"/>
        <w:ind w:firstLine="709"/>
        <w:jc w:val="both"/>
        <w:rPr>
          <w:rFonts w:ascii="Times New Roman" w:hAnsi="Times New Roman"/>
          <w:bCs/>
        </w:rPr>
      </w:pPr>
      <w:bookmarkStart w:id="155" w:name="bookmark164"/>
      <w:bookmarkEnd w:id="155"/>
      <w:r>
        <w:rPr>
          <w:rFonts w:ascii="Times New Roman" w:hAnsi="Times New Roman"/>
          <w:bCs/>
        </w:rPr>
        <w:t>владеть отдельными социокультурными элементами речевого поведенческого этикета, принятыми в англоязычной среде, в некоторых ситуациях общения: приветствие, прощание, знакомство, выражение благодарности, извинение, поздравление с днём рождения, Новым годом, Рождеством;</w:t>
      </w:r>
    </w:p>
    <w:p w14:paraId="70BFDB97">
      <w:pPr>
        <w:widowControl/>
        <w:tabs>
          <w:tab w:val="left" w:pos="1134"/>
        </w:tabs>
        <w:spacing w:after="0" w:line="360" w:lineRule="auto"/>
        <w:ind w:firstLine="709"/>
        <w:jc w:val="both"/>
        <w:rPr>
          <w:rFonts w:ascii="Times New Roman" w:hAnsi="Times New Roman"/>
          <w:bCs/>
        </w:rPr>
      </w:pPr>
      <w:bookmarkStart w:id="156" w:name="bookmark165"/>
      <w:bookmarkEnd w:id="156"/>
      <w:r>
        <w:rPr>
          <w:rFonts w:ascii="Times New Roman" w:hAnsi="Times New Roman"/>
          <w:bCs/>
        </w:rPr>
        <w:t>знать названия родной страны и страны/стран изучаемого языка и их столиц.</w:t>
      </w:r>
    </w:p>
    <w:p w14:paraId="44571E36">
      <w:pPr>
        <w:widowControl/>
        <w:tabs>
          <w:tab w:val="left" w:pos="1134"/>
        </w:tabs>
        <w:spacing w:after="0" w:line="360" w:lineRule="auto"/>
        <w:ind w:firstLine="709"/>
        <w:jc w:val="both"/>
        <w:rPr>
          <w:rFonts w:ascii="Times New Roman" w:hAnsi="Times New Roman"/>
          <w:bCs/>
        </w:rPr>
      </w:pPr>
      <w:bookmarkStart w:id="157" w:name="bookmark166"/>
      <w:bookmarkEnd w:id="157"/>
      <w:r>
        <w:rPr>
          <w:rFonts w:ascii="Times New Roman" w:hAnsi="Times New Roman"/>
          <w:bCs/>
        </w:rPr>
        <w:t>9.9.4. К концу обучения в 3 классе обучающийся получит следующие предметные результаты по отдельным темам программы по иностранному (английскому) языку:</w:t>
      </w:r>
    </w:p>
    <w:p w14:paraId="7F3143B1">
      <w:pPr>
        <w:widowControl/>
        <w:tabs>
          <w:tab w:val="left" w:pos="1134"/>
        </w:tabs>
        <w:spacing w:after="0" w:line="360" w:lineRule="auto"/>
        <w:ind w:firstLine="709"/>
        <w:jc w:val="both"/>
        <w:rPr>
          <w:rFonts w:ascii="Times New Roman" w:hAnsi="Times New Roman"/>
          <w:bCs/>
        </w:rPr>
      </w:pPr>
      <w:r>
        <w:rPr>
          <w:rFonts w:ascii="Times New Roman" w:hAnsi="Times New Roman"/>
          <w:bCs/>
        </w:rPr>
        <w:t>9.9.4.1. Коммуникативные умения.</w:t>
      </w:r>
    </w:p>
    <w:p w14:paraId="5D0373AD">
      <w:pPr>
        <w:widowControl/>
        <w:tabs>
          <w:tab w:val="left" w:pos="1134"/>
        </w:tabs>
        <w:spacing w:after="0" w:line="360" w:lineRule="auto"/>
        <w:ind w:firstLine="709"/>
        <w:jc w:val="both"/>
        <w:rPr>
          <w:rFonts w:ascii="Times New Roman" w:hAnsi="Times New Roman"/>
          <w:bCs/>
        </w:rPr>
      </w:pPr>
      <w:r>
        <w:rPr>
          <w:rFonts w:ascii="Times New Roman" w:hAnsi="Times New Roman"/>
          <w:bCs/>
        </w:rPr>
        <w:t>9.9.4.1.1. Говорение:</w:t>
      </w:r>
    </w:p>
    <w:p w14:paraId="11449DD7">
      <w:pPr>
        <w:widowControl/>
        <w:tabs>
          <w:tab w:val="left" w:pos="1134"/>
        </w:tabs>
        <w:spacing w:after="0" w:line="360" w:lineRule="auto"/>
        <w:ind w:firstLine="709"/>
        <w:jc w:val="both"/>
        <w:rPr>
          <w:rFonts w:ascii="Times New Roman" w:hAnsi="Times New Roman"/>
          <w:bCs/>
        </w:rPr>
      </w:pPr>
      <w:bookmarkStart w:id="158" w:name="bookmark167"/>
      <w:bookmarkEnd w:id="158"/>
      <w:r>
        <w:rPr>
          <w:rFonts w:ascii="Times New Roman" w:hAnsi="Times New Roman"/>
          <w:bCs/>
        </w:rPr>
        <w:t>вести разные виды диалогов (диалог этикетного характера, диалог-побуждение, диалог-расспрос) в стандартных ситуациях неофициального общения, с вербальными и (или) зрительными опорами в рамках изучаемой тематики с соблюдением норм речевого этикета, принятого в стране/странах изучаемого языка (не менее 4 реплик со стороны каждого собеседника);</w:t>
      </w:r>
    </w:p>
    <w:p w14:paraId="7E28F0AB">
      <w:pPr>
        <w:widowControl/>
        <w:tabs>
          <w:tab w:val="left" w:pos="1134"/>
        </w:tabs>
        <w:spacing w:after="0" w:line="360" w:lineRule="auto"/>
        <w:ind w:firstLine="709"/>
        <w:jc w:val="both"/>
        <w:rPr>
          <w:rFonts w:ascii="Times New Roman" w:hAnsi="Times New Roman"/>
          <w:bCs/>
        </w:rPr>
      </w:pPr>
      <w:bookmarkStart w:id="159" w:name="bookmark168"/>
      <w:bookmarkEnd w:id="159"/>
      <w:r>
        <w:rPr>
          <w:rFonts w:ascii="Times New Roman" w:hAnsi="Times New Roman"/>
          <w:bCs/>
        </w:rPr>
        <w:t>создавать устные связные монологические высказывания (описание; повествование/рассказ) в рамках изучаемой тематики объёмом не менее 4 фраз с вербальными и (или) зрительными опорами;</w:t>
      </w:r>
    </w:p>
    <w:p w14:paraId="5D5F4E43">
      <w:pPr>
        <w:widowControl/>
        <w:tabs>
          <w:tab w:val="left" w:pos="1134"/>
        </w:tabs>
        <w:spacing w:after="0" w:line="360" w:lineRule="auto"/>
        <w:ind w:firstLine="709"/>
        <w:jc w:val="both"/>
        <w:rPr>
          <w:rFonts w:ascii="Times New Roman" w:hAnsi="Times New Roman"/>
          <w:bCs/>
        </w:rPr>
      </w:pPr>
      <w:bookmarkStart w:id="160" w:name="bookmark169"/>
      <w:bookmarkEnd w:id="160"/>
      <w:r>
        <w:rPr>
          <w:rFonts w:ascii="Times New Roman" w:hAnsi="Times New Roman"/>
          <w:bCs/>
        </w:rPr>
        <w:t>передавать основное содержание прочитанного текста с вербальными и (или) зрительными опорами (объём монологического высказывания – не менее 4 фраз).</w:t>
      </w:r>
    </w:p>
    <w:p w14:paraId="2562B3ED">
      <w:pPr>
        <w:widowControl/>
        <w:tabs>
          <w:tab w:val="left" w:pos="1134"/>
        </w:tabs>
        <w:spacing w:after="0" w:line="360" w:lineRule="auto"/>
        <w:ind w:firstLine="709"/>
        <w:jc w:val="both"/>
        <w:rPr>
          <w:rFonts w:ascii="Times New Roman" w:hAnsi="Times New Roman"/>
          <w:bCs/>
        </w:rPr>
      </w:pPr>
      <w:r>
        <w:rPr>
          <w:rFonts w:ascii="Times New Roman" w:hAnsi="Times New Roman"/>
          <w:bCs/>
        </w:rPr>
        <w:t>9.9.4.1.2. Аудирование:</w:t>
      </w:r>
    </w:p>
    <w:p w14:paraId="6BF6BD4C">
      <w:pPr>
        <w:widowControl/>
        <w:tabs>
          <w:tab w:val="left" w:pos="1134"/>
        </w:tabs>
        <w:spacing w:after="0" w:line="360" w:lineRule="auto"/>
        <w:ind w:firstLine="709"/>
        <w:jc w:val="both"/>
        <w:rPr>
          <w:rFonts w:ascii="Times New Roman" w:hAnsi="Times New Roman"/>
          <w:bCs/>
        </w:rPr>
      </w:pPr>
      <w:bookmarkStart w:id="161" w:name="bookmark170"/>
      <w:bookmarkEnd w:id="161"/>
      <w:r>
        <w:rPr>
          <w:rFonts w:ascii="Times New Roman" w:hAnsi="Times New Roman"/>
          <w:bCs/>
        </w:rPr>
        <w:t>воспринимать на слух и понимать речь учителя и других обучающихся вербально/невербально реагировать на услышанное;</w:t>
      </w:r>
    </w:p>
    <w:p w14:paraId="18B7083D">
      <w:pPr>
        <w:widowControl/>
        <w:tabs>
          <w:tab w:val="left" w:pos="1134"/>
        </w:tabs>
        <w:spacing w:after="0" w:line="360" w:lineRule="auto"/>
        <w:ind w:firstLine="709"/>
        <w:jc w:val="both"/>
        <w:rPr>
          <w:rFonts w:ascii="Times New Roman" w:hAnsi="Times New Roman"/>
          <w:bCs/>
        </w:rPr>
      </w:pPr>
      <w:bookmarkStart w:id="162" w:name="bookmark171"/>
      <w:bookmarkEnd w:id="162"/>
      <w:r>
        <w:rPr>
          <w:rFonts w:ascii="Times New Roman" w:hAnsi="Times New Roman"/>
          <w:bCs/>
        </w:rPr>
        <w:t>воспринимать на слух и понимать учебные тексты, построенные на изученном языковом материале, с разной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 фактического характера, со зрительной опорой и с использованием языковой, в том числе контекстуальной, догадки (время звучания текста/текстов для аудирования – до 1 минуты).</w:t>
      </w:r>
    </w:p>
    <w:p w14:paraId="63D5926D">
      <w:pPr>
        <w:widowControl/>
        <w:tabs>
          <w:tab w:val="left" w:pos="1134"/>
        </w:tabs>
        <w:spacing w:after="0" w:line="360" w:lineRule="auto"/>
        <w:ind w:firstLine="709"/>
        <w:jc w:val="both"/>
        <w:rPr>
          <w:rFonts w:ascii="Times New Roman" w:hAnsi="Times New Roman"/>
          <w:bCs/>
        </w:rPr>
      </w:pPr>
      <w:r>
        <w:rPr>
          <w:rFonts w:ascii="Times New Roman" w:hAnsi="Times New Roman"/>
          <w:bCs/>
        </w:rPr>
        <w:t>9.9.4.1.3. Смысловое чтение:</w:t>
      </w:r>
    </w:p>
    <w:p w14:paraId="1A0CB172">
      <w:pPr>
        <w:widowControl/>
        <w:tabs>
          <w:tab w:val="left" w:pos="1134"/>
        </w:tabs>
        <w:spacing w:after="0" w:line="360" w:lineRule="auto"/>
        <w:ind w:firstLine="709"/>
        <w:jc w:val="both"/>
        <w:rPr>
          <w:rFonts w:ascii="Times New Roman" w:hAnsi="Times New Roman"/>
          <w:bCs/>
        </w:rPr>
      </w:pPr>
      <w:bookmarkStart w:id="163" w:name="bookmark172"/>
      <w:bookmarkEnd w:id="163"/>
      <w:r>
        <w:rPr>
          <w:rFonts w:ascii="Times New Roman" w:hAnsi="Times New Roman"/>
          <w:bCs/>
        </w:rPr>
        <w:t>читать вслух учебные тексты объёмом до 70 слов, построенные на изученном языковом материале, с соблюдением правил чтения и соответствующей интонацией, демонстрируя понимание прочитанного;</w:t>
      </w:r>
    </w:p>
    <w:p w14:paraId="5DED94BC">
      <w:pPr>
        <w:widowControl/>
        <w:tabs>
          <w:tab w:val="left" w:pos="1134"/>
        </w:tabs>
        <w:spacing w:after="0" w:line="360" w:lineRule="auto"/>
        <w:ind w:firstLine="709"/>
        <w:jc w:val="both"/>
        <w:rPr>
          <w:rFonts w:ascii="Times New Roman" w:hAnsi="Times New Roman"/>
          <w:bCs/>
        </w:rPr>
      </w:pPr>
      <w:bookmarkStart w:id="164" w:name="bookmark173"/>
      <w:bookmarkEnd w:id="164"/>
      <w:r>
        <w:rPr>
          <w:rFonts w:ascii="Times New Roman" w:hAnsi="Times New Roman"/>
          <w:bCs/>
        </w:rPr>
        <w:t>читать про себя и понимать учебные тексты, содержащие отдельные незнакомые слова,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 со зрительной опорой и без опоры, а также с использованием языковой, в том числе контекстуальной, догадки (объём текста/текстов для чтения – до 130 слов).</w:t>
      </w:r>
    </w:p>
    <w:p w14:paraId="13937496">
      <w:pPr>
        <w:widowControl/>
        <w:tabs>
          <w:tab w:val="left" w:pos="1134"/>
        </w:tabs>
        <w:spacing w:after="0" w:line="360" w:lineRule="auto"/>
        <w:ind w:firstLine="709"/>
        <w:jc w:val="both"/>
        <w:rPr>
          <w:rFonts w:ascii="Times New Roman" w:hAnsi="Times New Roman"/>
          <w:bCs/>
        </w:rPr>
      </w:pPr>
      <w:r>
        <w:rPr>
          <w:rFonts w:ascii="Times New Roman" w:hAnsi="Times New Roman"/>
          <w:bCs/>
        </w:rPr>
        <w:t>9.9.4.1.4. Письмо:</w:t>
      </w:r>
    </w:p>
    <w:p w14:paraId="6717A867">
      <w:pPr>
        <w:widowControl/>
        <w:tabs>
          <w:tab w:val="left" w:pos="1134"/>
        </w:tabs>
        <w:spacing w:after="0" w:line="360" w:lineRule="auto"/>
        <w:ind w:firstLine="709"/>
        <w:jc w:val="both"/>
        <w:rPr>
          <w:rFonts w:ascii="Times New Roman" w:hAnsi="Times New Roman"/>
          <w:bCs/>
        </w:rPr>
      </w:pPr>
      <w:bookmarkStart w:id="165" w:name="bookmark174"/>
      <w:bookmarkEnd w:id="165"/>
      <w:r>
        <w:rPr>
          <w:rFonts w:ascii="Times New Roman" w:hAnsi="Times New Roman"/>
          <w:bCs/>
        </w:rPr>
        <w:t>заполнять анкеты и формуляры с указанием личной информации: имя, фамилия, возраст, страна проживания, любимые занятия и другие;</w:t>
      </w:r>
    </w:p>
    <w:p w14:paraId="522D06C5">
      <w:pPr>
        <w:widowControl/>
        <w:tabs>
          <w:tab w:val="left" w:pos="1134"/>
        </w:tabs>
        <w:spacing w:after="0" w:line="360" w:lineRule="auto"/>
        <w:ind w:firstLine="709"/>
        <w:jc w:val="both"/>
        <w:rPr>
          <w:rFonts w:ascii="Times New Roman" w:hAnsi="Times New Roman"/>
          <w:bCs/>
        </w:rPr>
      </w:pPr>
      <w:bookmarkStart w:id="166" w:name="bookmark175"/>
      <w:bookmarkEnd w:id="166"/>
      <w:r>
        <w:rPr>
          <w:rFonts w:ascii="Times New Roman" w:hAnsi="Times New Roman"/>
          <w:bCs/>
        </w:rPr>
        <w:t>писать с использованием образца поздравления с днем рождения, Новым годом, Рождеством с выражением пожеланий;</w:t>
      </w:r>
    </w:p>
    <w:p w14:paraId="72105278">
      <w:pPr>
        <w:widowControl/>
        <w:tabs>
          <w:tab w:val="left" w:pos="1134"/>
        </w:tabs>
        <w:spacing w:after="0" w:line="360" w:lineRule="auto"/>
        <w:ind w:firstLine="709"/>
        <w:jc w:val="both"/>
        <w:rPr>
          <w:rFonts w:ascii="Times New Roman" w:hAnsi="Times New Roman"/>
          <w:bCs/>
        </w:rPr>
      </w:pPr>
      <w:bookmarkStart w:id="167" w:name="bookmark176"/>
      <w:bookmarkEnd w:id="167"/>
      <w:r>
        <w:rPr>
          <w:rFonts w:ascii="Times New Roman" w:hAnsi="Times New Roman"/>
          <w:bCs/>
        </w:rPr>
        <w:t>создавать подписи к иллюстрациям с пояснением, что на них изображено.</w:t>
      </w:r>
    </w:p>
    <w:p w14:paraId="36E71D54">
      <w:pPr>
        <w:widowControl/>
        <w:tabs>
          <w:tab w:val="left" w:pos="1134"/>
        </w:tabs>
        <w:spacing w:after="0" w:line="360" w:lineRule="auto"/>
        <w:ind w:firstLine="709"/>
        <w:jc w:val="both"/>
        <w:rPr>
          <w:rFonts w:ascii="Times New Roman" w:hAnsi="Times New Roman"/>
          <w:bCs/>
        </w:rPr>
      </w:pPr>
      <w:r>
        <w:rPr>
          <w:rFonts w:ascii="Times New Roman" w:hAnsi="Times New Roman"/>
          <w:bCs/>
        </w:rPr>
        <w:t>9.9.4.2. Языковые знания и навыки.</w:t>
      </w:r>
    </w:p>
    <w:p w14:paraId="49DFBB5A">
      <w:pPr>
        <w:widowControl/>
        <w:tabs>
          <w:tab w:val="left" w:pos="1134"/>
        </w:tabs>
        <w:spacing w:after="0" w:line="360" w:lineRule="auto"/>
        <w:ind w:firstLine="709"/>
        <w:jc w:val="both"/>
        <w:rPr>
          <w:rFonts w:ascii="Times New Roman" w:hAnsi="Times New Roman"/>
          <w:bCs/>
        </w:rPr>
      </w:pPr>
      <w:r>
        <w:rPr>
          <w:rFonts w:ascii="Times New Roman" w:hAnsi="Times New Roman"/>
          <w:bCs/>
        </w:rPr>
        <w:t>9.9.4.2.1. Фонетическая сторона речи:</w:t>
      </w:r>
    </w:p>
    <w:p w14:paraId="7E82EB33">
      <w:pPr>
        <w:widowControl/>
        <w:tabs>
          <w:tab w:val="left" w:pos="1134"/>
        </w:tabs>
        <w:spacing w:after="0" w:line="360" w:lineRule="auto"/>
        <w:ind w:firstLine="709"/>
        <w:jc w:val="both"/>
        <w:rPr>
          <w:rFonts w:ascii="Times New Roman" w:hAnsi="Times New Roman"/>
          <w:bCs/>
        </w:rPr>
      </w:pPr>
      <w:bookmarkStart w:id="168" w:name="bookmark177"/>
      <w:bookmarkEnd w:id="168"/>
      <w:r>
        <w:rPr>
          <w:rFonts w:ascii="Times New Roman" w:hAnsi="Times New Roman"/>
          <w:bCs/>
        </w:rPr>
        <w:t>применять правила чтения гласных в третьем типе слога (гласная + r);</w:t>
      </w:r>
    </w:p>
    <w:p w14:paraId="7623FAF0">
      <w:pPr>
        <w:widowControl/>
        <w:tabs>
          <w:tab w:val="left" w:pos="1134"/>
        </w:tabs>
        <w:spacing w:after="0" w:line="360" w:lineRule="auto"/>
        <w:ind w:firstLine="709"/>
        <w:jc w:val="both"/>
        <w:rPr>
          <w:rFonts w:ascii="Times New Roman" w:hAnsi="Times New Roman"/>
          <w:bCs/>
        </w:rPr>
      </w:pPr>
      <w:bookmarkStart w:id="169" w:name="bookmark178"/>
      <w:bookmarkEnd w:id="169"/>
      <w:r>
        <w:rPr>
          <w:rFonts w:ascii="Times New Roman" w:hAnsi="Times New Roman"/>
          <w:bCs/>
        </w:rPr>
        <w:t>применять правила чтения сложных сочетаний букв (например, -tion, -ight) в односложных, двусложных и многосложных словах (international, night);</w:t>
      </w:r>
    </w:p>
    <w:p w14:paraId="6D68530A">
      <w:pPr>
        <w:widowControl/>
        <w:tabs>
          <w:tab w:val="left" w:pos="1134"/>
        </w:tabs>
        <w:spacing w:after="0" w:line="360" w:lineRule="auto"/>
        <w:ind w:firstLine="709"/>
        <w:jc w:val="both"/>
        <w:rPr>
          <w:rFonts w:ascii="Times New Roman" w:hAnsi="Times New Roman"/>
          <w:bCs/>
        </w:rPr>
      </w:pPr>
      <w:bookmarkStart w:id="170" w:name="bookmark179"/>
      <w:bookmarkEnd w:id="170"/>
      <w:r>
        <w:rPr>
          <w:rFonts w:ascii="Times New Roman" w:hAnsi="Times New Roman"/>
          <w:bCs/>
        </w:rPr>
        <w:t>читать новые слова согласно основным правилам чтения;</w:t>
      </w:r>
    </w:p>
    <w:p w14:paraId="55A7B838">
      <w:pPr>
        <w:widowControl/>
        <w:tabs>
          <w:tab w:val="left" w:pos="1134"/>
        </w:tabs>
        <w:spacing w:after="0" w:line="360" w:lineRule="auto"/>
        <w:ind w:firstLine="709"/>
        <w:jc w:val="both"/>
        <w:rPr>
          <w:rFonts w:ascii="Times New Roman" w:hAnsi="Times New Roman"/>
          <w:bCs/>
        </w:rPr>
      </w:pPr>
      <w:bookmarkStart w:id="171" w:name="bookmark180"/>
      <w:bookmarkEnd w:id="171"/>
      <w:r>
        <w:rPr>
          <w:rFonts w:ascii="Times New Roman" w:hAnsi="Times New Roman"/>
          <w:bCs/>
        </w:rPr>
        <w:t>различать на слух и правильно произносить слова и фразы/предложения с соблюдением их ритмико-интонационных особенностей.</w:t>
      </w:r>
    </w:p>
    <w:p w14:paraId="2959FDE1">
      <w:pPr>
        <w:widowControl/>
        <w:tabs>
          <w:tab w:val="left" w:pos="1134"/>
        </w:tabs>
        <w:spacing w:after="0" w:line="360" w:lineRule="auto"/>
        <w:ind w:firstLine="709"/>
        <w:jc w:val="both"/>
        <w:rPr>
          <w:rFonts w:ascii="Times New Roman" w:hAnsi="Times New Roman"/>
          <w:bCs/>
        </w:rPr>
      </w:pPr>
      <w:r>
        <w:rPr>
          <w:rFonts w:ascii="Times New Roman" w:hAnsi="Times New Roman"/>
          <w:bCs/>
        </w:rPr>
        <w:t>9.9.4.2.2. Графика, орфография и пунктуация:</w:t>
      </w:r>
    </w:p>
    <w:p w14:paraId="17BE80FB">
      <w:pPr>
        <w:widowControl/>
        <w:tabs>
          <w:tab w:val="left" w:pos="1134"/>
        </w:tabs>
        <w:spacing w:after="0" w:line="360" w:lineRule="auto"/>
        <w:ind w:firstLine="709"/>
        <w:jc w:val="both"/>
        <w:rPr>
          <w:rFonts w:ascii="Times New Roman" w:hAnsi="Times New Roman"/>
          <w:bCs/>
        </w:rPr>
      </w:pPr>
      <w:bookmarkStart w:id="172" w:name="bookmark181"/>
      <w:bookmarkEnd w:id="172"/>
      <w:r>
        <w:rPr>
          <w:rFonts w:ascii="Times New Roman" w:hAnsi="Times New Roman"/>
          <w:bCs/>
        </w:rPr>
        <w:t>правильно писать изученные слова;</w:t>
      </w:r>
    </w:p>
    <w:p w14:paraId="19A575BF">
      <w:pPr>
        <w:widowControl/>
        <w:tabs>
          <w:tab w:val="left" w:pos="1134"/>
        </w:tabs>
        <w:spacing w:after="0" w:line="360" w:lineRule="auto"/>
        <w:ind w:firstLine="709"/>
        <w:jc w:val="both"/>
        <w:rPr>
          <w:rFonts w:ascii="Times New Roman" w:hAnsi="Times New Roman"/>
          <w:bCs/>
        </w:rPr>
      </w:pPr>
      <w:bookmarkStart w:id="173" w:name="bookmark182"/>
      <w:bookmarkEnd w:id="173"/>
      <w:r>
        <w:rPr>
          <w:rFonts w:ascii="Times New Roman" w:hAnsi="Times New Roman"/>
          <w:bCs/>
        </w:rPr>
        <w:t>правильно расставлять знаки препинания (точка, вопросительный и восклицательный знаки в конце предложения, апостроф).</w:t>
      </w:r>
    </w:p>
    <w:p w14:paraId="7BF2BD88">
      <w:pPr>
        <w:widowControl/>
        <w:tabs>
          <w:tab w:val="left" w:pos="1134"/>
        </w:tabs>
        <w:spacing w:after="0" w:line="360" w:lineRule="auto"/>
        <w:ind w:firstLine="709"/>
        <w:jc w:val="both"/>
        <w:rPr>
          <w:rFonts w:ascii="Times New Roman" w:hAnsi="Times New Roman"/>
          <w:bCs/>
        </w:rPr>
      </w:pPr>
      <w:r>
        <w:rPr>
          <w:rFonts w:ascii="Times New Roman" w:hAnsi="Times New Roman"/>
          <w:bCs/>
        </w:rPr>
        <w:t>9.9.4.2.3. Лексическая сторона речи:</w:t>
      </w:r>
    </w:p>
    <w:p w14:paraId="37E92B15">
      <w:pPr>
        <w:widowControl/>
        <w:tabs>
          <w:tab w:val="left" w:pos="1134"/>
        </w:tabs>
        <w:spacing w:after="0" w:line="360" w:lineRule="auto"/>
        <w:ind w:firstLine="709"/>
        <w:jc w:val="both"/>
        <w:rPr>
          <w:rFonts w:ascii="Times New Roman" w:hAnsi="Times New Roman"/>
          <w:bCs/>
        </w:rPr>
      </w:pPr>
      <w:bookmarkStart w:id="174" w:name="bookmark183"/>
      <w:bookmarkEnd w:id="174"/>
      <w:r>
        <w:rPr>
          <w:rFonts w:ascii="Times New Roman" w:hAnsi="Times New Roman"/>
          <w:bCs/>
        </w:rPr>
        <w:t>распознавать и употреблять в устной и письменной речи не менее 350 лексических единиц (слов, словосочетаний, речевых клише), включая 200 лексических единиц, освоенных на первом году обучения;</w:t>
      </w:r>
    </w:p>
    <w:p w14:paraId="6DD5D43D">
      <w:pPr>
        <w:widowControl/>
        <w:tabs>
          <w:tab w:val="left" w:pos="1134"/>
        </w:tabs>
        <w:spacing w:after="0" w:line="360" w:lineRule="auto"/>
        <w:ind w:firstLine="709"/>
        <w:jc w:val="both"/>
        <w:rPr>
          <w:rFonts w:ascii="Times New Roman" w:hAnsi="Times New Roman"/>
          <w:bCs/>
        </w:rPr>
      </w:pPr>
      <w:bookmarkStart w:id="175" w:name="bookmark184"/>
      <w:bookmarkEnd w:id="175"/>
      <w:r>
        <w:rPr>
          <w:rFonts w:ascii="Times New Roman" w:hAnsi="Times New Roman"/>
          <w:bCs/>
        </w:rPr>
        <w:t>распознавать и образовывать родственные слова с использованием основных способов словообразования: аффиксации (суффиксы числительных -teen, -ty, -th) и словосложения (football, snowman).</w:t>
      </w:r>
    </w:p>
    <w:p w14:paraId="592BEF14">
      <w:pPr>
        <w:widowControl/>
        <w:tabs>
          <w:tab w:val="left" w:pos="1134"/>
        </w:tabs>
        <w:spacing w:after="0" w:line="360" w:lineRule="auto"/>
        <w:ind w:firstLine="709"/>
        <w:jc w:val="both"/>
        <w:rPr>
          <w:rFonts w:ascii="Times New Roman" w:hAnsi="Times New Roman"/>
          <w:bCs/>
        </w:rPr>
      </w:pPr>
      <w:r>
        <w:rPr>
          <w:rFonts w:ascii="Times New Roman" w:hAnsi="Times New Roman"/>
          <w:bCs/>
        </w:rPr>
        <w:t>9.9.4.2.4. Грамматическая сторона речи:</w:t>
      </w:r>
    </w:p>
    <w:p w14:paraId="4BD9A5B2">
      <w:pPr>
        <w:widowControl/>
        <w:tabs>
          <w:tab w:val="left" w:pos="1134"/>
        </w:tabs>
        <w:spacing w:after="0" w:line="360" w:lineRule="auto"/>
        <w:ind w:firstLine="709"/>
        <w:jc w:val="both"/>
        <w:rPr>
          <w:rFonts w:ascii="Times New Roman" w:hAnsi="Times New Roman"/>
          <w:bCs/>
        </w:rPr>
      </w:pPr>
      <w:bookmarkStart w:id="176" w:name="bookmark185"/>
      <w:bookmarkEnd w:id="176"/>
      <w:r>
        <w:rPr>
          <w:rFonts w:ascii="Times New Roman" w:hAnsi="Times New Roman"/>
          <w:bCs/>
        </w:rPr>
        <w:t>распознавать и употреблять в устной и письменной речи побудительные предложения в отрицательной форме (Don’t talk, please.);</w:t>
      </w:r>
    </w:p>
    <w:p w14:paraId="49D52E5B">
      <w:pPr>
        <w:widowControl/>
        <w:tabs>
          <w:tab w:val="left" w:pos="1134"/>
        </w:tabs>
        <w:spacing w:after="0" w:line="360" w:lineRule="auto"/>
        <w:ind w:firstLine="709"/>
        <w:jc w:val="both"/>
        <w:rPr>
          <w:rFonts w:ascii="Times New Roman" w:hAnsi="Times New Roman"/>
          <w:bCs/>
        </w:rPr>
      </w:pPr>
      <w:bookmarkStart w:id="177" w:name="bookmark186"/>
      <w:bookmarkEnd w:id="177"/>
      <w:r>
        <w:rPr>
          <w:rFonts w:ascii="Times New Roman" w:hAnsi="Times New Roman"/>
          <w:bCs/>
        </w:rPr>
        <w:t>распознавать и употреблять в устной и письменной речи предложения с начальным There + to be в Past Simple Tense (There was a bridge across the river. There were mountains in the south.);</w:t>
      </w:r>
    </w:p>
    <w:p w14:paraId="449E57CA">
      <w:pPr>
        <w:widowControl/>
        <w:tabs>
          <w:tab w:val="left" w:pos="1134"/>
        </w:tabs>
        <w:spacing w:after="0" w:line="360" w:lineRule="auto"/>
        <w:ind w:firstLine="709"/>
        <w:jc w:val="both"/>
        <w:rPr>
          <w:rFonts w:ascii="Times New Roman" w:hAnsi="Times New Roman"/>
          <w:bCs/>
        </w:rPr>
      </w:pPr>
      <w:bookmarkStart w:id="178" w:name="bookmark187"/>
      <w:bookmarkEnd w:id="178"/>
      <w:r>
        <w:rPr>
          <w:rFonts w:ascii="Times New Roman" w:hAnsi="Times New Roman"/>
          <w:bCs/>
        </w:rPr>
        <w:t>распознавать и употреблять в устной и письменной речи конструкции с глаголами на -ing: to like/enjoy doing something;</w:t>
      </w:r>
    </w:p>
    <w:p w14:paraId="3418DCE7">
      <w:pPr>
        <w:widowControl/>
        <w:tabs>
          <w:tab w:val="left" w:pos="1134"/>
        </w:tabs>
        <w:spacing w:after="0" w:line="360" w:lineRule="auto"/>
        <w:ind w:firstLine="709"/>
        <w:jc w:val="both"/>
        <w:rPr>
          <w:rFonts w:ascii="Times New Roman" w:hAnsi="Times New Roman"/>
          <w:bCs/>
        </w:rPr>
      </w:pPr>
      <w:bookmarkStart w:id="179" w:name="bookmark188"/>
      <w:bookmarkEnd w:id="179"/>
      <w:r>
        <w:rPr>
          <w:rFonts w:ascii="Times New Roman" w:hAnsi="Times New Roman"/>
          <w:bCs/>
        </w:rPr>
        <w:t>распознавать и употреблять в устной и письменной речи конструкцию I’d like to ...;</w:t>
      </w:r>
    </w:p>
    <w:p w14:paraId="09C93D23">
      <w:pPr>
        <w:widowControl/>
        <w:tabs>
          <w:tab w:val="left" w:pos="1134"/>
        </w:tabs>
        <w:spacing w:after="0" w:line="360" w:lineRule="auto"/>
        <w:ind w:firstLine="709"/>
        <w:jc w:val="both"/>
        <w:rPr>
          <w:rFonts w:ascii="Times New Roman" w:hAnsi="Times New Roman"/>
          <w:bCs/>
        </w:rPr>
      </w:pPr>
      <w:bookmarkStart w:id="180" w:name="bookmark189"/>
      <w:bookmarkEnd w:id="180"/>
      <w:r>
        <w:rPr>
          <w:rFonts w:ascii="Times New Roman" w:hAnsi="Times New Roman"/>
          <w:bCs/>
        </w:rPr>
        <w:t>распознавать и употреблять в устной и письменной речи правильные и неправильные глаголы в Past Simple Tense в повествовательных (утвердительных и отрицательных) и вопросительных (общий и специальный вопрос) предложениях;</w:t>
      </w:r>
    </w:p>
    <w:p w14:paraId="582214FD">
      <w:pPr>
        <w:widowControl/>
        <w:tabs>
          <w:tab w:val="left" w:pos="1134"/>
        </w:tabs>
        <w:spacing w:after="0" w:line="360" w:lineRule="auto"/>
        <w:ind w:firstLine="709"/>
        <w:jc w:val="both"/>
        <w:rPr>
          <w:rFonts w:ascii="Times New Roman" w:hAnsi="Times New Roman"/>
          <w:bCs/>
        </w:rPr>
      </w:pPr>
      <w:bookmarkStart w:id="181" w:name="bookmark190"/>
      <w:bookmarkEnd w:id="181"/>
      <w:r>
        <w:rPr>
          <w:rFonts w:ascii="Times New Roman" w:hAnsi="Times New Roman"/>
          <w:bCs/>
        </w:rPr>
        <w:t>распознавать и употреблять в устной и письменной речи существительные в притяжательном падеже (Possessive Case);</w:t>
      </w:r>
    </w:p>
    <w:p w14:paraId="1CCD4BD4">
      <w:pPr>
        <w:widowControl/>
        <w:tabs>
          <w:tab w:val="left" w:pos="1134"/>
        </w:tabs>
        <w:spacing w:after="0" w:line="360" w:lineRule="auto"/>
        <w:ind w:firstLine="709"/>
        <w:jc w:val="both"/>
        <w:rPr>
          <w:rFonts w:ascii="Times New Roman" w:hAnsi="Times New Roman"/>
          <w:bCs/>
        </w:rPr>
      </w:pPr>
      <w:bookmarkStart w:id="182" w:name="bookmark191"/>
      <w:bookmarkEnd w:id="182"/>
      <w:r>
        <w:rPr>
          <w:rFonts w:ascii="Times New Roman" w:hAnsi="Times New Roman"/>
          <w:bCs/>
        </w:rPr>
        <w:t>распознавать и употреблять в устной и письменной речи слова, выражающие количество с исчисляемыми и неисчисляемыми существительными (much/many/a lot of);</w:t>
      </w:r>
    </w:p>
    <w:p w14:paraId="76BF5D7F">
      <w:pPr>
        <w:widowControl/>
        <w:tabs>
          <w:tab w:val="left" w:pos="1134"/>
        </w:tabs>
        <w:spacing w:after="0" w:line="360" w:lineRule="auto"/>
        <w:ind w:firstLine="709"/>
        <w:jc w:val="both"/>
        <w:rPr>
          <w:rFonts w:ascii="Times New Roman" w:hAnsi="Times New Roman"/>
          <w:bCs/>
        </w:rPr>
      </w:pPr>
      <w:bookmarkStart w:id="183" w:name="bookmark192"/>
      <w:bookmarkEnd w:id="183"/>
      <w:r>
        <w:rPr>
          <w:rFonts w:ascii="Times New Roman" w:hAnsi="Times New Roman"/>
          <w:bCs/>
        </w:rPr>
        <w:t>распознавать и употреблять в устной и письменной речи наречия частотности usually, often;</w:t>
      </w:r>
    </w:p>
    <w:p w14:paraId="6DC26E31">
      <w:pPr>
        <w:widowControl/>
        <w:tabs>
          <w:tab w:val="left" w:pos="1134"/>
        </w:tabs>
        <w:spacing w:after="0" w:line="360" w:lineRule="auto"/>
        <w:ind w:firstLine="709"/>
        <w:jc w:val="both"/>
        <w:rPr>
          <w:rFonts w:ascii="Times New Roman" w:hAnsi="Times New Roman"/>
          <w:bCs/>
        </w:rPr>
      </w:pPr>
      <w:bookmarkStart w:id="184" w:name="bookmark193"/>
      <w:bookmarkEnd w:id="184"/>
      <w:r>
        <w:rPr>
          <w:rFonts w:ascii="Times New Roman" w:hAnsi="Times New Roman"/>
          <w:bCs/>
        </w:rPr>
        <w:t>распознавать и употреблять в устной и письменной речи личные местоимения в объектном падеже;</w:t>
      </w:r>
    </w:p>
    <w:p w14:paraId="46ED1D42">
      <w:pPr>
        <w:widowControl/>
        <w:tabs>
          <w:tab w:val="left" w:pos="1134"/>
        </w:tabs>
        <w:spacing w:after="0" w:line="360" w:lineRule="auto"/>
        <w:ind w:firstLine="709"/>
        <w:jc w:val="both"/>
        <w:rPr>
          <w:rFonts w:ascii="Times New Roman" w:hAnsi="Times New Roman"/>
          <w:bCs/>
        </w:rPr>
      </w:pPr>
      <w:bookmarkStart w:id="185" w:name="bookmark194"/>
      <w:bookmarkEnd w:id="185"/>
      <w:r>
        <w:rPr>
          <w:rFonts w:ascii="Times New Roman" w:hAnsi="Times New Roman"/>
          <w:bCs/>
        </w:rPr>
        <w:t>распознавать и употреблять в устной и письменной речи указательные местоимения that – those;</w:t>
      </w:r>
    </w:p>
    <w:p w14:paraId="7A4297FB">
      <w:pPr>
        <w:widowControl/>
        <w:tabs>
          <w:tab w:val="left" w:pos="1134"/>
        </w:tabs>
        <w:spacing w:after="0" w:line="360" w:lineRule="auto"/>
        <w:ind w:firstLine="709"/>
        <w:jc w:val="both"/>
        <w:rPr>
          <w:rFonts w:ascii="Times New Roman" w:hAnsi="Times New Roman"/>
          <w:bCs/>
        </w:rPr>
      </w:pPr>
      <w:bookmarkStart w:id="186" w:name="bookmark195"/>
      <w:bookmarkEnd w:id="186"/>
      <w:r>
        <w:rPr>
          <w:rFonts w:ascii="Times New Roman" w:hAnsi="Times New Roman"/>
          <w:bCs/>
        </w:rPr>
        <w:t>распознавать и употреблять в устной и письменной речи неопределённые местоимения some/any в повествовательных и вопросительных предложениях;</w:t>
      </w:r>
    </w:p>
    <w:p w14:paraId="64F1ECD7">
      <w:pPr>
        <w:widowControl/>
        <w:tabs>
          <w:tab w:val="left" w:pos="1134"/>
        </w:tabs>
        <w:spacing w:after="0" w:line="360" w:lineRule="auto"/>
        <w:ind w:firstLine="709"/>
        <w:jc w:val="both"/>
        <w:rPr>
          <w:rFonts w:ascii="Times New Roman" w:hAnsi="Times New Roman"/>
          <w:bCs/>
        </w:rPr>
      </w:pPr>
      <w:bookmarkStart w:id="187" w:name="bookmark196"/>
      <w:bookmarkEnd w:id="187"/>
      <w:r>
        <w:rPr>
          <w:rFonts w:ascii="Times New Roman" w:hAnsi="Times New Roman"/>
          <w:bCs/>
        </w:rPr>
        <w:t>распознавать и употреблять в устной и письменной речи вопросительные слова when, whose, why;</w:t>
      </w:r>
    </w:p>
    <w:p w14:paraId="69403C23">
      <w:pPr>
        <w:widowControl/>
        <w:tabs>
          <w:tab w:val="left" w:pos="1134"/>
        </w:tabs>
        <w:spacing w:after="0" w:line="360" w:lineRule="auto"/>
        <w:ind w:firstLine="709"/>
        <w:jc w:val="both"/>
        <w:rPr>
          <w:rFonts w:ascii="Times New Roman" w:hAnsi="Times New Roman"/>
          <w:bCs/>
        </w:rPr>
      </w:pPr>
      <w:bookmarkStart w:id="188" w:name="bookmark197"/>
      <w:bookmarkEnd w:id="188"/>
      <w:r>
        <w:rPr>
          <w:rFonts w:ascii="Times New Roman" w:hAnsi="Times New Roman"/>
          <w:bCs/>
        </w:rPr>
        <w:t>распознавать и употреблять в устной и письменной речи количественные числительные (13–100);</w:t>
      </w:r>
    </w:p>
    <w:p w14:paraId="0D50F7B8">
      <w:pPr>
        <w:widowControl/>
        <w:tabs>
          <w:tab w:val="left" w:pos="1134"/>
        </w:tabs>
        <w:spacing w:after="0" w:line="360" w:lineRule="auto"/>
        <w:ind w:firstLine="709"/>
        <w:jc w:val="both"/>
        <w:rPr>
          <w:rFonts w:ascii="Times New Roman" w:hAnsi="Times New Roman"/>
          <w:bCs/>
        </w:rPr>
      </w:pPr>
      <w:bookmarkStart w:id="189" w:name="bookmark198"/>
      <w:bookmarkEnd w:id="189"/>
      <w:r>
        <w:rPr>
          <w:rFonts w:ascii="Times New Roman" w:hAnsi="Times New Roman"/>
          <w:bCs/>
        </w:rPr>
        <w:t>распознавать и употреблять в устной и письменной речи порядковые числительные (1–30);</w:t>
      </w:r>
    </w:p>
    <w:p w14:paraId="45AF2F05">
      <w:pPr>
        <w:widowControl/>
        <w:tabs>
          <w:tab w:val="left" w:pos="1134"/>
        </w:tabs>
        <w:spacing w:after="0" w:line="360" w:lineRule="auto"/>
        <w:ind w:firstLine="709"/>
        <w:jc w:val="both"/>
        <w:rPr>
          <w:rFonts w:ascii="Times New Roman" w:hAnsi="Times New Roman"/>
          <w:bCs/>
        </w:rPr>
      </w:pPr>
      <w:bookmarkStart w:id="190" w:name="bookmark199"/>
      <w:bookmarkEnd w:id="190"/>
      <w:r>
        <w:rPr>
          <w:rFonts w:ascii="Times New Roman" w:hAnsi="Times New Roman"/>
          <w:bCs/>
        </w:rPr>
        <w:t>распознавать и употреблять в устной и письменной речи предлог направления движения to (We went to Moscow last year.);</w:t>
      </w:r>
    </w:p>
    <w:p w14:paraId="552C2AAC">
      <w:pPr>
        <w:widowControl/>
        <w:tabs>
          <w:tab w:val="left" w:pos="1134"/>
        </w:tabs>
        <w:spacing w:after="0" w:line="360" w:lineRule="auto"/>
        <w:ind w:firstLine="709"/>
        <w:jc w:val="both"/>
        <w:rPr>
          <w:rFonts w:ascii="Times New Roman" w:hAnsi="Times New Roman"/>
          <w:bCs/>
        </w:rPr>
      </w:pPr>
      <w:bookmarkStart w:id="191" w:name="bookmark200"/>
      <w:bookmarkEnd w:id="191"/>
      <w:r>
        <w:rPr>
          <w:rFonts w:ascii="Times New Roman" w:hAnsi="Times New Roman"/>
          <w:bCs/>
        </w:rPr>
        <w:t>распознавать и употреблять в устной и письменной речи предлоги места next to, in front of, behind;</w:t>
      </w:r>
    </w:p>
    <w:p w14:paraId="4219B9A7">
      <w:pPr>
        <w:widowControl/>
        <w:tabs>
          <w:tab w:val="left" w:pos="1134"/>
        </w:tabs>
        <w:spacing w:after="0" w:line="360" w:lineRule="auto"/>
        <w:ind w:firstLine="709"/>
        <w:jc w:val="both"/>
        <w:rPr>
          <w:rFonts w:ascii="Times New Roman" w:hAnsi="Times New Roman"/>
          <w:bCs/>
        </w:rPr>
      </w:pPr>
      <w:bookmarkStart w:id="192" w:name="bookmark201"/>
      <w:bookmarkEnd w:id="192"/>
      <w:r>
        <w:rPr>
          <w:rFonts w:ascii="Times New Roman" w:hAnsi="Times New Roman"/>
          <w:bCs/>
        </w:rPr>
        <w:t>распознавать и употреблять в устной и письменной речи предлоги времени: at, in, on в выражениях at 4 o’clock, in the morning, on Monday.</w:t>
      </w:r>
      <w:bookmarkStart w:id="193" w:name="bookmark204"/>
      <w:bookmarkStart w:id="194" w:name="bookmark203"/>
      <w:bookmarkStart w:id="195" w:name="bookmark202"/>
    </w:p>
    <w:p w14:paraId="777D0CBA">
      <w:pPr>
        <w:widowControl/>
        <w:tabs>
          <w:tab w:val="left" w:pos="1134"/>
        </w:tabs>
        <w:spacing w:after="0" w:line="360" w:lineRule="auto"/>
        <w:ind w:firstLine="709"/>
        <w:jc w:val="both"/>
        <w:rPr>
          <w:rFonts w:ascii="Times New Roman" w:hAnsi="Times New Roman"/>
          <w:bCs/>
        </w:rPr>
      </w:pPr>
      <w:r>
        <w:rPr>
          <w:rFonts w:ascii="Times New Roman" w:hAnsi="Times New Roman"/>
          <w:bCs/>
        </w:rPr>
        <w:t>9.9.4.3. Социокультурные знания и умения</w:t>
      </w:r>
      <w:bookmarkEnd w:id="193"/>
      <w:bookmarkEnd w:id="194"/>
      <w:bookmarkEnd w:id="195"/>
      <w:r>
        <w:rPr>
          <w:rFonts w:ascii="Times New Roman" w:hAnsi="Times New Roman"/>
          <w:bCs/>
        </w:rPr>
        <w:t>:</w:t>
      </w:r>
    </w:p>
    <w:p w14:paraId="7F54F147">
      <w:pPr>
        <w:widowControl/>
        <w:tabs>
          <w:tab w:val="left" w:pos="1134"/>
        </w:tabs>
        <w:spacing w:after="0" w:line="360" w:lineRule="auto"/>
        <w:ind w:firstLine="709"/>
        <w:jc w:val="both"/>
        <w:rPr>
          <w:rFonts w:ascii="Times New Roman" w:hAnsi="Times New Roman"/>
          <w:bCs/>
        </w:rPr>
      </w:pPr>
      <w:bookmarkStart w:id="196" w:name="bookmark205"/>
      <w:bookmarkEnd w:id="196"/>
      <w:r>
        <w:rPr>
          <w:rFonts w:ascii="Times New Roman" w:hAnsi="Times New Roman"/>
          <w:bCs/>
        </w:rPr>
        <w:t>владеть социокультурными элементами речевого поведенческого этикета, принятыми в англоязычной среде, в некоторых ситуациях общения (приветствие, прощание, знакомство, просьба, выражение благодарности, извинение, поздравление с днём рождения, Новым годом, Рождеством);</w:t>
      </w:r>
    </w:p>
    <w:p w14:paraId="38F0307D">
      <w:pPr>
        <w:widowControl/>
        <w:tabs>
          <w:tab w:val="left" w:pos="1134"/>
        </w:tabs>
        <w:spacing w:after="0" w:line="360" w:lineRule="auto"/>
        <w:ind w:firstLine="709"/>
        <w:jc w:val="both"/>
        <w:rPr>
          <w:rFonts w:ascii="Times New Roman" w:hAnsi="Times New Roman"/>
          <w:bCs/>
        </w:rPr>
      </w:pPr>
      <w:bookmarkStart w:id="197" w:name="bookmark206"/>
      <w:bookmarkEnd w:id="197"/>
      <w:r>
        <w:rPr>
          <w:rFonts w:ascii="Times New Roman" w:hAnsi="Times New Roman"/>
          <w:bCs/>
        </w:rPr>
        <w:t>кратко представлять свою страну и страну/страны изучаемого языка на английском языке.</w:t>
      </w:r>
    </w:p>
    <w:p w14:paraId="0664F990">
      <w:pPr>
        <w:widowControl/>
        <w:tabs>
          <w:tab w:val="left" w:pos="1134"/>
        </w:tabs>
        <w:spacing w:after="0" w:line="360" w:lineRule="auto"/>
        <w:ind w:firstLine="709"/>
        <w:jc w:val="both"/>
        <w:rPr>
          <w:rFonts w:ascii="Times New Roman" w:hAnsi="Times New Roman"/>
          <w:bCs/>
        </w:rPr>
      </w:pPr>
      <w:bookmarkStart w:id="198" w:name="bookmark207"/>
      <w:bookmarkEnd w:id="198"/>
      <w:r>
        <w:rPr>
          <w:rFonts w:ascii="Times New Roman" w:hAnsi="Times New Roman"/>
          <w:bCs/>
        </w:rPr>
        <w:t>9.9.5. К концу обучения в 4 классе обучающийся получит следующие предметные результаты по отдельным темам программы по иностранному (английскому) языку:</w:t>
      </w:r>
    </w:p>
    <w:p w14:paraId="4753CB9A">
      <w:pPr>
        <w:widowControl/>
        <w:tabs>
          <w:tab w:val="left" w:pos="1134"/>
        </w:tabs>
        <w:spacing w:after="0" w:line="360" w:lineRule="auto"/>
        <w:ind w:firstLine="709"/>
        <w:jc w:val="both"/>
        <w:rPr>
          <w:rFonts w:ascii="Times New Roman" w:hAnsi="Times New Roman"/>
          <w:bCs/>
        </w:rPr>
      </w:pPr>
      <w:r>
        <w:rPr>
          <w:rFonts w:ascii="Times New Roman" w:hAnsi="Times New Roman"/>
          <w:bCs/>
        </w:rPr>
        <w:t>9.9.5.1. Коммуникативные умения.</w:t>
      </w:r>
    </w:p>
    <w:p w14:paraId="78F98BCB">
      <w:pPr>
        <w:widowControl/>
        <w:tabs>
          <w:tab w:val="left" w:pos="1134"/>
        </w:tabs>
        <w:spacing w:after="0" w:line="360" w:lineRule="auto"/>
        <w:ind w:firstLine="709"/>
        <w:jc w:val="both"/>
        <w:rPr>
          <w:rFonts w:ascii="Times New Roman" w:hAnsi="Times New Roman"/>
          <w:bCs/>
        </w:rPr>
      </w:pPr>
      <w:r>
        <w:rPr>
          <w:rFonts w:ascii="Times New Roman" w:hAnsi="Times New Roman"/>
          <w:bCs/>
        </w:rPr>
        <w:t>9.9.5.1.1. Говорение:</w:t>
      </w:r>
    </w:p>
    <w:p w14:paraId="0481330A">
      <w:pPr>
        <w:widowControl/>
        <w:tabs>
          <w:tab w:val="left" w:pos="1134"/>
        </w:tabs>
        <w:spacing w:after="0" w:line="360" w:lineRule="auto"/>
        <w:ind w:firstLine="709"/>
        <w:jc w:val="both"/>
        <w:rPr>
          <w:rFonts w:ascii="Times New Roman" w:hAnsi="Times New Roman"/>
          <w:bCs/>
        </w:rPr>
      </w:pPr>
      <w:bookmarkStart w:id="199" w:name="bookmark208"/>
      <w:bookmarkEnd w:id="199"/>
      <w:r>
        <w:rPr>
          <w:rFonts w:ascii="Times New Roman" w:hAnsi="Times New Roman"/>
          <w:bCs/>
        </w:rPr>
        <w:t>вести разные виды диалогов (диалог этикетного характера, диалог-побуждение, диалог-расспрос) на основе вербальных и (или) зрительных опор с соблюдением норм речевого этикета, принятого в стране/странах изучаемого языка (не менее 4–5 реплик со стороны каждого собеседника);</w:t>
      </w:r>
    </w:p>
    <w:p w14:paraId="000729C9">
      <w:pPr>
        <w:widowControl/>
        <w:tabs>
          <w:tab w:val="left" w:pos="1134"/>
        </w:tabs>
        <w:spacing w:after="0" w:line="360" w:lineRule="auto"/>
        <w:ind w:firstLine="709"/>
        <w:jc w:val="both"/>
        <w:rPr>
          <w:rFonts w:ascii="Times New Roman" w:hAnsi="Times New Roman"/>
          <w:bCs/>
        </w:rPr>
      </w:pPr>
      <w:bookmarkStart w:id="200" w:name="bookmark209"/>
      <w:bookmarkEnd w:id="200"/>
      <w:r>
        <w:rPr>
          <w:rFonts w:ascii="Times New Roman" w:hAnsi="Times New Roman"/>
          <w:bCs/>
        </w:rPr>
        <w:t>вести диалог – разговор по телефону с использованием картинок, фотографий и (или) ключевых слов в стандартных ситуациях неофициального общения с соблюдением норм речевого этикета в объёме не менее 4–5 реплик со стороны каждого собеседника;</w:t>
      </w:r>
    </w:p>
    <w:p w14:paraId="2F7338A2">
      <w:pPr>
        <w:widowControl/>
        <w:tabs>
          <w:tab w:val="left" w:pos="1134"/>
        </w:tabs>
        <w:spacing w:after="0" w:line="360" w:lineRule="auto"/>
        <w:ind w:firstLine="709"/>
        <w:jc w:val="both"/>
        <w:rPr>
          <w:rFonts w:ascii="Times New Roman" w:hAnsi="Times New Roman"/>
          <w:bCs/>
        </w:rPr>
      </w:pPr>
      <w:bookmarkStart w:id="201" w:name="bookmark210"/>
      <w:bookmarkEnd w:id="201"/>
      <w:r>
        <w:rPr>
          <w:rFonts w:ascii="Times New Roman" w:hAnsi="Times New Roman"/>
          <w:bCs/>
        </w:rPr>
        <w:t>создавать устные связные монологические высказывания (описание, рассуждение; повествование/сообщение) с вербальными и (или) зрительными опорами в рамках тематического содержания речи для 4 класса (объём монологического высказывания – не менее 4–5 фраз);</w:t>
      </w:r>
    </w:p>
    <w:p w14:paraId="791E25B9">
      <w:pPr>
        <w:widowControl/>
        <w:tabs>
          <w:tab w:val="left" w:pos="1134"/>
        </w:tabs>
        <w:spacing w:after="0" w:line="360" w:lineRule="auto"/>
        <w:ind w:firstLine="709"/>
        <w:jc w:val="both"/>
        <w:rPr>
          <w:rFonts w:ascii="Times New Roman" w:hAnsi="Times New Roman"/>
          <w:bCs/>
        </w:rPr>
      </w:pPr>
      <w:bookmarkStart w:id="202" w:name="bookmark211"/>
      <w:bookmarkEnd w:id="202"/>
      <w:r>
        <w:rPr>
          <w:rFonts w:ascii="Times New Roman" w:hAnsi="Times New Roman"/>
          <w:bCs/>
        </w:rPr>
        <w:t>создавать устные связные монологические высказывания по образцу; выражать своё отношение к предмету речи;</w:t>
      </w:r>
    </w:p>
    <w:p w14:paraId="79B539D4">
      <w:pPr>
        <w:widowControl/>
        <w:tabs>
          <w:tab w:val="left" w:pos="1134"/>
        </w:tabs>
        <w:spacing w:after="0" w:line="360" w:lineRule="auto"/>
        <w:ind w:firstLine="709"/>
        <w:jc w:val="both"/>
        <w:rPr>
          <w:rFonts w:ascii="Times New Roman" w:hAnsi="Times New Roman"/>
          <w:bCs/>
        </w:rPr>
      </w:pPr>
      <w:bookmarkStart w:id="203" w:name="bookmark212"/>
      <w:bookmarkEnd w:id="203"/>
      <w:r>
        <w:rPr>
          <w:rFonts w:ascii="Times New Roman" w:hAnsi="Times New Roman"/>
          <w:bCs/>
        </w:rPr>
        <w:t>передавать основное содержание прочитанного текста с вербальными и (или) зрительными опорами в объёме не менее 4–5 фраз.</w:t>
      </w:r>
    </w:p>
    <w:p w14:paraId="1417255D">
      <w:pPr>
        <w:widowControl/>
        <w:tabs>
          <w:tab w:val="left" w:pos="1134"/>
        </w:tabs>
        <w:spacing w:after="0" w:line="360" w:lineRule="auto"/>
        <w:ind w:firstLine="709"/>
        <w:jc w:val="both"/>
        <w:rPr>
          <w:rFonts w:ascii="Times New Roman" w:hAnsi="Times New Roman"/>
          <w:bCs/>
        </w:rPr>
      </w:pPr>
      <w:bookmarkStart w:id="204" w:name="bookmark213"/>
      <w:bookmarkEnd w:id="204"/>
      <w:r>
        <w:rPr>
          <w:rFonts w:ascii="Times New Roman" w:hAnsi="Times New Roman"/>
          <w:bCs/>
        </w:rPr>
        <w:t>представлять результаты выполненной проектной работы, в том числе подбирая иллюстративный материал (рисунки, фото) к тексту выступления, в объёме не менее 4–5 фраз.</w:t>
      </w:r>
    </w:p>
    <w:p w14:paraId="72A811BC">
      <w:pPr>
        <w:widowControl/>
        <w:tabs>
          <w:tab w:val="left" w:pos="1134"/>
        </w:tabs>
        <w:spacing w:after="0" w:line="360" w:lineRule="auto"/>
        <w:ind w:firstLine="709"/>
        <w:jc w:val="both"/>
        <w:rPr>
          <w:rFonts w:ascii="Times New Roman" w:hAnsi="Times New Roman"/>
          <w:bCs/>
        </w:rPr>
      </w:pPr>
      <w:r>
        <w:rPr>
          <w:rFonts w:ascii="Times New Roman" w:hAnsi="Times New Roman"/>
          <w:bCs/>
        </w:rPr>
        <w:t>9.9.5.1.2. Аудирование:</w:t>
      </w:r>
    </w:p>
    <w:p w14:paraId="6FFE727B">
      <w:pPr>
        <w:widowControl/>
        <w:tabs>
          <w:tab w:val="left" w:pos="1134"/>
        </w:tabs>
        <w:spacing w:after="0" w:line="360" w:lineRule="auto"/>
        <w:ind w:firstLine="709"/>
        <w:jc w:val="both"/>
        <w:rPr>
          <w:rFonts w:ascii="Times New Roman" w:hAnsi="Times New Roman"/>
          <w:bCs/>
        </w:rPr>
      </w:pPr>
      <w:bookmarkStart w:id="205" w:name="bookmark214"/>
      <w:bookmarkEnd w:id="205"/>
      <w:r>
        <w:rPr>
          <w:rFonts w:ascii="Times New Roman" w:hAnsi="Times New Roman"/>
          <w:bCs/>
        </w:rPr>
        <w:t>воспринимать на слух и понимать речь учителя и других обучающихся, вербально/невербально реагировать на услышанное;</w:t>
      </w:r>
    </w:p>
    <w:p w14:paraId="3F813BB1">
      <w:pPr>
        <w:widowControl/>
        <w:tabs>
          <w:tab w:val="left" w:pos="1134"/>
        </w:tabs>
        <w:spacing w:after="0" w:line="360" w:lineRule="auto"/>
        <w:ind w:firstLine="709"/>
        <w:jc w:val="both"/>
        <w:rPr>
          <w:rFonts w:ascii="Times New Roman" w:hAnsi="Times New Roman"/>
          <w:bCs/>
        </w:rPr>
      </w:pPr>
      <w:bookmarkStart w:id="206" w:name="bookmark215"/>
      <w:bookmarkEnd w:id="206"/>
      <w:r>
        <w:rPr>
          <w:rFonts w:ascii="Times New Roman" w:hAnsi="Times New Roman"/>
          <w:bCs/>
        </w:rPr>
        <w:t>воспринимать на слух и понимать учебные и адаптированные аутентичные тексты, построенные на изученном языковом материале, с разной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 фактического характера со зрительной опорой и с использованием языковой, в том числе контекстуальной, догадки (время звучания текста/текстов для аудирования – до 1 минуты).</w:t>
      </w:r>
    </w:p>
    <w:p w14:paraId="58CB346B">
      <w:pPr>
        <w:widowControl/>
        <w:tabs>
          <w:tab w:val="left" w:pos="1134"/>
        </w:tabs>
        <w:spacing w:after="0" w:line="360" w:lineRule="auto"/>
        <w:ind w:firstLine="709"/>
        <w:jc w:val="both"/>
        <w:rPr>
          <w:rFonts w:ascii="Times New Roman" w:hAnsi="Times New Roman"/>
          <w:bCs/>
        </w:rPr>
      </w:pPr>
      <w:r>
        <w:rPr>
          <w:rFonts w:ascii="Times New Roman" w:hAnsi="Times New Roman"/>
          <w:bCs/>
        </w:rPr>
        <w:t>9.9.5.1.3. Смысловое чтение:</w:t>
      </w:r>
    </w:p>
    <w:p w14:paraId="56CAD0DF">
      <w:pPr>
        <w:widowControl/>
        <w:tabs>
          <w:tab w:val="left" w:pos="1134"/>
        </w:tabs>
        <w:spacing w:after="0" w:line="360" w:lineRule="auto"/>
        <w:ind w:firstLine="709"/>
        <w:jc w:val="both"/>
        <w:rPr>
          <w:rFonts w:ascii="Times New Roman" w:hAnsi="Times New Roman"/>
          <w:bCs/>
        </w:rPr>
      </w:pPr>
      <w:bookmarkStart w:id="207" w:name="bookmark216"/>
      <w:bookmarkEnd w:id="207"/>
      <w:r>
        <w:rPr>
          <w:rFonts w:ascii="Times New Roman" w:hAnsi="Times New Roman"/>
          <w:bCs/>
        </w:rPr>
        <w:t>читать вслух учебные тексты объёмом до 70 слов, построенные на изученном языковом материале, с соблюдением правил чтения и соответствующей интонацией, демонстрируя понимание прочитанного;</w:t>
      </w:r>
    </w:p>
    <w:p w14:paraId="16630B6E">
      <w:pPr>
        <w:widowControl/>
        <w:tabs>
          <w:tab w:val="left" w:pos="1134"/>
        </w:tabs>
        <w:spacing w:after="0" w:line="360" w:lineRule="auto"/>
        <w:ind w:firstLine="709"/>
        <w:jc w:val="both"/>
        <w:rPr>
          <w:rFonts w:ascii="Times New Roman" w:hAnsi="Times New Roman"/>
          <w:bCs/>
        </w:rPr>
      </w:pPr>
      <w:bookmarkStart w:id="208" w:name="bookmark217"/>
      <w:bookmarkEnd w:id="208"/>
      <w:r>
        <w:rPr>
          <w:rFonts w:ascii="Times New Roman" w:hAnsi="Times New Roman"/>
          <w:bCs/>
        </w:rPr>
        <w:t>читать про себя тексты, содержащие отдельные незнакомые слова,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 со зрительной опорой и без опоры, с использованием языковой, в том числе контекстуальной, догадки (объём текста/текстов для чтения – до 160 слов;</w:t>
      </w:r>
    </w:p>
    <w:p w14:paraId="7647C7B8">
      <w:pPr>
        <w:widowControl/>
        <w:tabs>
          <w:tab w:val="left" w:pos="1134"/>
        </w:tabs>
        <w:spacing w:after="0" w:line="360" w:lineRule="auto"/>
        <w:ind w:firstLine="709"/>
        <w:jc w:val="both"/>
        <w:rPr>
          <w:rFonts w:ascii="Times New Roman" w:hAnsi="Times New Roman"/>
          <w:bCs/>
        </w:rPr>
      </w:pPr>
      <w:bookmarkStart w:id="209" w:name="bookmark218"/>
      <w:bookmarkEnd w:id="209"/>
      <w:r>
        <w:rPr>
          <w:rFonts w:ascii="Times New Roman" w:hAnsi="Times New Roman"/>
          <w:bCs/>
        </w:rPr>
        <w:t>прогнозировать содержание текста на основе заголовка;</w:t>
      </w:r>
    </w:p>
    <w:p w14:paraId="75F5DEDF">
      <w:pPr>
        <w:widowControl/>
        <w:tabs>
          <w:tab w:val="left" w:pos="1134"/>
        </w:tabs>
        <w:spacing w:after="0" w:line="360" w:lineRule="auto"/>
        <w:ind w:firstLine="709"/>
        <w:jc w:val="both"/>
        <w:rPr>
          <w:rFonts w:ascii="Times New Roman" w:hAnsi="Times New Roman"/>
          <w:bCs/>
        </w:rPr>
      </w:pPr>
      <w:bookmarkStart w:id="210" w:name="bookmark219"/>
      <w:bookmarkEnd w:id="210"/>
      <w:r>
        <w:rPr>
          <w:rFonts w:ascii="Times New Roman" w:hAnsi="Times New Roman"/>
          <w:bCs/>
        </w:rPr>
        <w:t>читать про себя несплошные тексты (таблицы, диаграммы и другие) и понимать представленную в них информацию.</w:t>
      </w:r>
    </w:p>
    <w:p w14:paraId="33150EEC">
      <w:pPr>
        <w:widowControl/>
        <w:tabs>
          <w:tab w:val="left" w:pos="1134"/>
        </w:tabs>
        <w:spacing w:after="0" w:line="360" w:lineRule="auto"/>
        <w:ind w:firstLine="709"/>
        <w:jc w:val="both"/>
        <w:rPr>
          <w:rFonts w:ascii="Times New Roman" w:hAnsi="Times New Roman"/>
          <w:bCs/>
        </w:rPr>
      </w:pPr>
      <w:r>
        <w:rPr>
          <w:rFonts w:ascii="Times New Roman" w:hAnsi="Times New Roman"/>
          <w:bCs/>
        </w:rPr>
        <w:t>9.9.5.1.4. Письмо:</w:t>
      </w:r>
    </w:p>
    <w:p w14:paraId="29458BD3">
      <w:pPr>
        <w:widowControl/>
        <w:tabs>
          <w:tab w:val="left" w:pos="1134"/>
        </w:tabs>
        <w:spacing w:after="0" w:line="360" w:lineRule="auto"/>
        <w:ind w:firstLine="709"/>
        <w:jc w:val="both"/>
        <w:rPr>
          <w:rFonts w:ascii="Times New Roman" w:hAnsi="Times New Roman"/>
          <w:bCs/>
        </w:rPr>
      </w:pPr>
      <w:bookmarkStart w:id="211" w:name="bookmark220"/>
      <w:bookmarkEnd w:id="211"/>
      <w:r>
        <w:rPr>
          <w:rFonts w:ascii="Times New Roman" w:hAnsi="Times New Roman"/>
          <w:bCs/>
        </w:rPr>
        <w:t>заполнять анкеты и формуляры с указанием личной информации: имя, фамилия, возраст, место жительства (страна проживания, город), любимые занятия и другие;</w:t>
      </w:r>
    </w:p>
    <w:p w14:paraId="51FD9CC8">
      <w:pPr>
        <w:widowControl/>
        <w:tabs>
          <w:tab w:val="left" w:pos="1134"/>
        </w:tabs>
        <w:spacing w:after="0" w:line="360" w:lineRule="auto"/>
        <w:ind w:firstLine="709"/>
        <w:jc w:val="both"/>
        <w:rPr>
          <w:rFonts w:ascii="Times New Roman" w:hAnsi="Times New Roman"/>
          <w:bCs/>
        </w:rPr>
      </w:pPr>
      <w:bookmarkStart w:id="212" w:name="bookmark221"/>
      <w:bookmarkEnd w:id="212"/>
      <w:r>
        <w:rPr>
          <w:rFonts w:ascii="Times New Roman" w:hAnsi="Times New Roman"/>
          <w:bCs/>
        </w:rPr>
        <w:t>писать с использованием образца поздравления с днем рождения, Новым годом, Рождеством с выражением пожеланий;</w:t>
      </w:r>
    </w:p>
    <w:p w14:paraId="6B88813F">
      <w:pPr>
        <w:widowControl/>
        <w:tabs>
          <w:tab w:val="left" w:pos="1134"/>
        </w:tabs>
        <w:spacing w:after="0" w:line="360" w:lineRule="auto"/>
        <w:ind w:firstLine="709"/>
        <w:jc w:val="both"/>
        <w:rPr>
          <w:rFonts w:ascii="Times New Roman" w:hAnsi="Times New Roman"/>
          <w:bCs/>
        </w:rPr>
      </w:pPr>
      <w:bookmarkStart w:id="213" w:name="bookmark222"/>
      <w:bookmarkEnd w:id="213"/>
      <w:r>
        <w:rPr>
          <w:rFonts w:ascii="Times New Roman" w:hAnsi="Times New Roman"/>
          <w:bCs/>
        </w:rPr>
        <w:t>писать с использованием образца электронное сообщение личного характера (объём сообщения – до 50 слов).</w:t>
      </w:r>
    </w:p>
    <w:p w14:paraId="27429A26">
      <w:pPr>
        <w:widowControl/>
        <w:tabs>
          <w:tab w:val="left" w:pos="1134"/>
        </w:tabs>
        <w:spacing w:after="0" w:line="360" w:lineRule="auto"/>
        <w:ind w:firstLine="709"/>
        <w:jc w:val="both"/>
        <w:rPr>
          <w:rFonts w:ascii="Times New Roman" w:hAnsi="Times New Roman"/>
          <w:bCs/>
        </w:rPr>
      </w:pPr>
      <w:r>
        <w:rPr>
          <w:rFonts w:ascii="Times New Roman" w:hAnsi="Times New Roman"/>
          <w:bCs/>
        </w:rPr>
        <w:t>9.9.5.2. Языковые знания и навыки.</w:t>
      </w:r>
    </w:p>
    <w:p w14:paraId="0E0A365D">
      <w:pPr>
        <w:widowControl/>
        <w:tabs>
          <w:tab w:val="left" w:pos="1134"/>
        </w:tabs>
        <w:spacing w:after="0" w:line="360" w:lineRule="auto"/>
        <w:ind w:firstLine="709"/>
        <w:jc w:val="both"/>
        <w:rPr>
          <w:rFonts w:ascii="Times New Roman" w:hAnsi="Times New Roman"/>
          <w:bCs/>
        </w:rPr>
      </w:pPr>
      <w:r>
        <w:rPr>
          <w:rFonts w:ascii="Times New Roman" w:hAnsi="Times New Roman"/>
          <w:bCs/>
        </w:rPr>
        <w:t>9.9.5.2.1. Фонетическая сторона речи:</w:t>
      </w:r>
    </w:p>
    <w:p w14:paraId="0CDF4243">
      <w:pPr>
        <w:widowControl/>
        <w:tabs>
          <w:tab w:val="left" w:pos="1134"/>
        </w:tabs>
        <w:spacing w:after="0" w:line="360" w:lineRule="auto"/>
        <w:ind w:firstLine="709"/>
        <w:jc w:val="both"/>
        <w:rPr>
          <w:rFonts w:ascii="Times New Roman" w:hAnsi="Times New Roman"/>
          <w:bCs/>
        </w:rPr>
      </w:pPr>
      <w:bookmarkStart w:id="214" w:name="bookmark223"/>
      <w:bookmarkEnd w:id="214"/>
      <w:r>
        <w:rPr>
          <w:rFonts w:ascii="Times New Roman" w:hAnsi="Times New Roman"/>
          <w:bCs/>
        </w:rPr>
        <w:t>читать новые слова согласно основным правилам чтения;</w:t>
      </w:r>
    </w:p>
    <w:p w14:paraId="7FF08911">
      <w:pPr>
        <w:widowControl/>
        <w:tabs>
          <w:tab w:val="left" w:pos="1134"/>
        </w:tabs>
        <w:spacing w:after="0" w:line="360" w:lineRule="auto"/>
        <w:ind w:firstLine="709"/>
        <w:jc w:val="both"/>
        <w:rPr>
          <w:rFonts w:ascii="Times New Roman" w:hAnsi="Times New Roman"/>
          <w:bCs/>
        </w:rPr>
      </w:pPr>
      <w:bookmarkStart w:id="215" w:name="bookmark224"/>
      <w:bookmarkEnd w:id="215"/>
      <w:r>
        <w:rPr>
          <w:rFonts w:ascii="Times New Roman" w:hAnsi="Times New Roman"/>
          <w:bCs/>
        </w:rPr>
        <w:t>различать на слух и правильно произносить слова и фразы/предложения с соблюдением их ритмико-интонационных особенностей.</w:t>
      </w:r>
    </w:p>
    <w:p w14:paraId="2800E11B">
      <w:pPr>
        <w:widowControl/>
        <w:tabs>
          <w:tab w:val="left" w:pos="1134"/>
        </w:tabs>
        <w:spacing w:after="0" w:line="360" w:lineRule="auto"/>
        <w:ind w:firstLine="709"/>
        <w:jc w:val="both"/>
        <w:rPr>
          <w:rFonts w:ascii="Times New Roman" w:hAnsi="Times New Roman"/>
          <w:bCs/>
        </w:rPr>
      </w:pPr>
      <w:r>
        <w:rPr>
          <w:rFonts w:ascii="Times New Roman" w:hAnsi="Times New Roman"/>
          <w:bCs/>
        </w:rPr>
        <w:t>9.9.5.2.2. Графика, орфография и пунктуация:</w:t>
      </w:r>
    </w:p>
    <w:p w14:paraId="27EC130C">
      <w:pPr>
        <w:widowControl/>
        <w:tabs>
          <w:tab w:val="left" w:pos="1134"/>
        </w:tabs>
        <w:spacing w:after="0" w:line="360" w:lineRule="auto"/>
        <w:ind w:firstLine="709"/>
        <w:jc w:val="both"/>
        <w:rPr>
          <w:rFonts w:ascii="Times New Roman" w:hAnsi="Times New Roman"/>
          <w:bCs/>
        </w:rPr>
      </w:pPr>
      <w:bookmarkStart w:id="216" w:name="bookmark225"/>
      <w:bookmarkEnd w:id="216"/>
      <w:r>
        <w:rPr>
          <w:rFonts w:ascii="Times New Roman" w:hAnsi="Times New Roman"/>
          <w:bCs/>
        </w:rPr>
        <w:t>правильно писать изученные слова;</w:t>
      </w:r>
    </w:p>
    <w:p w14:paraId="68B5650C">
      <w:pPr>
        <w:widowControl/>
        <w:tabs>
          <w:tab w:val="left" w:pos="1134"/>
        </w:tabs>
        <w:spacing w:after="0" w:line="360" w:lineRule="auto"/>
        <w:ind w:firstLine="709"/>
        <w:jc w:val="both"/>
        <w:rPr>
          <w:rFonts w:ascii="Times New Roman" w:hAnsi="Times New Roman"/>
          <w:bCs/>
        </w:rPr>
      </w:pPr>
      <w:bookmarkStart w:id="217" w:name="bookmark226"/>
      <w:bookmarkEnd w:id="217"/>
      <w:r>
        <w:rPr>
          <w:rFonts w:ascii="Times New Roman" w:hAnsi="Times New Roman"/>
          <w:bCs/>
        </w:rPr>
        <w:t>правильно расставлять знаки препинания (точка, вопросительный и восклицательный знаки в конце предложения, апостроф, запятая при перечислении).</w:t>
      </w:r>
    </w:p>
    <w:p w14:paraId="6FE855F2">
      <w:pPr>
        <w:widowControl/>
        <w:tabs>
          <w:tab w:val="left" w:pos="1134"/>
        </w:tabs>
        <w:spacing w:after="0" w:line="360" w:lineRule="auto"/>
        <w:ind w:firstLine="709"/>
        <w:jc w:val="both"/>
        <w:rPr>
          <w:rFonts w:ascii="Times New Roman" w:hAnsi="Times New Roman"/>
          <w:bCs/>
        </w:rPr>
      </w:pPr>
      <w:r>
        <w:rPr>
          <w:rFonts w:ascii="Times New Roman" w:hAnsi="Times New Roman"/>
          <w:bCs/>
        </w:rPr>
        <w:t>9.9.5.2.3. Лексическая сторона речи:</w:t>
      </w:r>
    </w:p>
    <w:p w14:paraId="2C7BDC39">
      <w:pPr>
        <w:widowControl/>
        <w:tabs>
          <w:tab w:val="left" w:pos="1134"/>
        </w:tabs>
        <w:spacing w:after="0" w:line="360" w:lineRule="auto"/>
        <w:ind w:firstLine="709"/>
        <w:jc w:val="both"/>
        <w:rPr>
          <w:rFonts w:ascii="Times New Roman" w:hAnsi="Times New Roman"/>
          <w:bCs/>
        </w:rPr>
      </w:pPr>
      <w:bookmarkStart w:id="218" w:name="bookmark227"/>
      <w:bookmarkEnd w:id="218"/>
      <w:r>
        <w:rPr>
          <w:rFonts w:ascii="Times New Roman" w:hAnsi="Times New Roman"/>
          <w:bCs/>
        </w:rPr>
        <w:t>распознавать и употреблять в устной и письменной речи не менее 500 лексических единиц (слов, словосочетаний, речевых клише), включая 350 лексических единиц, освоенных в предшествующие годы обучения;</w:t>
      </w:r>
    </w:p>
    <w:p w14:paraId="6870E41E">
      <w:pPr>
        <w:widowControl/>
        <w:tabs>
          <w:tab w:val="left" w:pos="1134"/>
        </w:tabs>
        <w:spacing w:after="0" w:line="360" w:lineRule="auto"/>
        <w:ind w:firstLine="709"/>
        <w:jc w:val="both"/>
        <w:rPr>
          <w:rFonts w:ascii="Times New Roman" w:hAnsi="Times New Roman"/>
          <w:bCs/>
        </w:rPr>
      </w:pPr>
      <w:bookmarkStart w:id="219" w:name="bookmark228"/>
      <w:bookmarkEnd w:id="219"/>
      <w:r>
        <w:rPr>
          <w:rFonts w:ascii="Times New Roman" w:hAnsi="Times New Roman"/>
          <w:bCs/>
        </w:rPr>
        <w:t>распознавать и образовывать родственные слова с использованием основных способов словообразования: аффиксации (суффиксы -er/-or, -ist: teacher, actor, artist), словосложения (blackboard), конверсии (to play – a play).</w:t>
      </w:r>
    </w:p>
    <w:p w14:paraId="671FE361">
      <w:pPr>
        <w:widowControl/>
        <w:tabs>
          <w:tab w:val="left" w:pos="1134"/>
        </w:tabs>
        <w:spacing w:after="0" w:line="360" w:lineRule="auto"/>
        <w:ind w:firstLine="709"/>
        <w:jc w:val="both"/>
        <w:rPr>
          <w:rFonts w:ascii="Times New Roman" w:hAnsi="Times New Roman"/>
          <w:bCs/>
        </w:rPr>
      </w:pPr>
      <w:r>
        <w:rPr>
          <w:rFonts w:ascii="Times New Roman" w:hAnsi="Times New Roman"/>
          <w:bCs/>
        </w:rPr>
        <w:t>9.9.5.2.4. Грамматическая сторона речи:</w:t>
      </w:r>
    </w:p>
    <w:p w14:paraId="28038428">
      <w:pPr>
        <w:widowControl/>
        <w:tabs>
          <w:tab w:val="left" w:pos="1134"/>
        </w:tabs>
        <w:spacing w:after="0" w:line="360" w:lineRule="auto"/>
        <w:ind w:firstLine="709"/>
        <w:jc w:val="both"/>
        <w:rPr>
          <w:rFonts w:ascii="Times New Roman" w:hAnsi="Times New Roman"/>
          <w:bCs/>
        </w:rPr>
      </w:pPr>
      <w:bookmarkStart w:id="220" w:name="bookmark229"/>
      <w:bookmarkEnd w:id="220"/>
      <w:r>
        <w:rPr>
          <w:rFonts w:ascii="Times New Roman" w:hAnsi="Times New Roman"/>
          <w:bCs/>
        </w:rPr>
        <w:t>распознавать и употреблять в устной и письменной речи Present Continuous Tense в повествовательных (утвердительных и отрицательных), вопросительных (общий и специальный вопрос) предложениях;</w:t>
      </w:r>
    </w:p>
    <w:p w14:paraId="0EE6FFDE">
      <w:pPr>
        <w:widowControl/>
        <w:tabs>
          <w:tab w:val="left" w:pos="1134"/>
        </w:tabs>
        <w:spacing w:after="0" w:line="360" w:lineRule="auto"/>
        <w:ind w:firstLine="709"/>
        <w:jc w:val="both"/>
        <w:rPr>
          <w:rFonts w:ascii="Times New Roman" w:hAnsi="Times New Roman"/>
          <w:bCs/>
        </w:rPr>
      </w:pPr>
      <w:bookmarkStart w:id="221" w:name="bookmark230"/>
      <w:bookmarkEnd w:id="221"/>
      <w:r>
        <w:rPr>
          <w:rFonts w:ascii="Times New Roman" w:hAnsi="Times New Roman"/>
          <w:bCs/>
        </w:rPr>
        <w:t>распознавать и употреблять в устной и письменной речи конструкцию to be going to и Future Simple Tense для выражения будущего действия;</w:t>
      </w:r>
    </w:p>
    <w:p w14:paraId="5C0E29FC">
      <w:pPr>
        <w:widowControl/>
        <w:tabs>
          <w:tab w:val="left" w:pos="1134"/>
        </w:tabs>
        <w:spacing w:after="0" w:line="360" w:lineRule="auto"/>
        <w:ind w:firstLine="709"/>
        <w:jc w:val="both"/>
        <w:rPr>
          <w:rFonts w:ascii="Times New Roman" w:hAnsi="Times New Roman"/>
          <w:bCs/>
        </w:rPr>
      </w:pPr>
      <w:bookmarkStart w:id="222" w:name="bookmark231"/>
      <w:bookmarkEnd w:id="222"/>
      <w:r>
        <w:rPr>
          <w:rFonts w:ascii="Times New Roman" w:hAnsi="Times New Roman"/>
          <w:bCs/>
        </w:rPr>
        <w:t>распознавать и употреблять в устной и письменной речи модальные глаголы долженствования must и have to;</w:t>
      </w:r>
    </w:p>
    <w:p w14:paraId="4F6DC8C7">
      <w:pPr>
        <w:widowControl/>
        <w:tabs>
          <w:tab w:val="left" w:pos="1134"/>
        </w:tabs>
        <w:spacing w:after="0" w:line="360" w:lineRule="auto"/>
        <w:ind w:firstLine="709"/>
        <w:jc w:val="both"/>
        <w:rPr>
          <w:rFonts w:ascii="Times New Roman" w:hAnsi="Times New Roman"/>
          <w:bCs/>
        </w:rPr>
      </w:pPr>
      <w:bookmarkStart w:id="223" w:name="bookmark232"/>
      <w:bookmarkEnd w:id="223"/>
      <w:r>
        <w:rPr>
          <w:rFonts w:ascii="Times New Roman" w:hAnsi="Times New Roman"/>
          <w:bCs/>
        </w:rPr>
        <w:t>распознавать и употреблять в устной и письменной речи отрицательное местоимение no;</w:t>
      </w:r>
    </w:p>
    <w:p w14:paraId="3A7EB607">
      <w:pPr>
        <w:widowControl/>
        <w:tabs>
          <w:tab w:val="left" w:pos="1134"/>
        </w:tabs>
        <w:spacing w:after="0" w:line="360" w:lineRule="auto"/>
        <w:ind w:firstLine="709"/>
        <w:jc w:val="both"/>
        <w:rPr>
          <w:rFonts w:ascii="Times New Roman" w:hAnsi="Times New Roman"/>
          <w:bCs/>
        </w:rPr>
      </w:pPr>
      <w:bookmarkStart w:id="224" w:name="bookmark233"/>
      <w:bookmarkEnd w:id="224"/>
      <w:r>
        <w:rPr>
          <w:rFonts w:ascii="Times New Roman" w:hAnsi="Times New Roman"/>
          <w:bCs/>
        </w:rPr>
        <w:t>распознавать и употреблять в устной и письменной речи степени сравнения прилагательных (формы, образованные по правилу и исключения: good – better – (the) best, bad – worse – (the) worst);</w:t>
      </w:r>
    </w:p>
    <w:p w14:paraId="3A7EB775">
      <w:pPr>
        <w:widowControl/>
        <w:tabs>
          <w:tab w:val="left" w:pos="1134"/>
        </w:tabs>
        <w:spacing w:after="0" w:line="360" w:lineRule="auto"/>
        <w:ind w:firstLine="709"/>
        <w:jc w:val="both"/>
        <w:rPr>
          <w:rFonts w:ascii="Times New Roman" w:hAnsi="Times New Roman"/>
          <w:bCs/>
        </w:rPr>
      </w:pPr>
      <w:bookmarkStart w:id="225" w:name="bookmark234"/>
      <w:bookmarkEnd w:id="225"/>
      <w:r>
        <w:rPr>
          <w:rFonts w:ascii="Times New Roman" w:hAnsi="Times New Roman"/>
          <w:bCs/>
        </w:rPr>
        <w:t>распознавать и употреблять в устной и письменной речи наречия времени;</w:t>
      </w:r>
    </w:p>
    <w:p w14:paraId="04CCEDF1">
      <w:pPr>
        <w:widowControl/>
        <w:tabs>
          <w:tab w:val="left" w:pos="1134"/>
        </w:tabs>
        <w:spacing w:after="0" w:line="360" w:lineRule="auto"/>
        <w:ind w:firstLine="709"/>
        <w:jc w:val="both"/>
        <w:rPr>
          <w:rFonts w:ascii="Times New Roman" w:hAnsi="Times New Roman"/>
          <w:bCs/>
        </w:rPr>
      </w:pPr>
      <w:bookmarkStart w:id="226" w:name="bookmark235"/>
      <w:bookmarkEnd w:id="226"/>
      <w:r>
        <w:rPr>
          <w:rFonts w:ascii="Times New Roman" w:hAnsi="Times New Roman"/>
          <w:bCs/>
        </w:rPr>
        <w:t>распознавать и употреблять в устной и письменной речи обозначение даты и года;</w:t>
      </w:r>
    </w:p>
    <w:p w14:paraId="7E27567A">
      <w:pPr>
        <w:widowControl/>
        <w:tabs>
          <w:tab w:val="left" w:pos="1134"/>
        </w:tabs>
        <w:spacing w:after="0" w:line="360" w:lineRule="auto"/>
        <w:ind w:firstLine="709"/>
        <w:jc w:val="both"/>
        <w:rPr>
          <w:rFonts w:ascii="Times New Roman" w:hAnsi="Times New Roman"/>
          <w:bCs/>
        </w:rPr>
      </w:pPr>
      <w:bookmarkStart w:id="227" w:name="bookmark236"/>
      <w:bookmarkEnd w:id="227"/>
      <w:r>
        <w:rPr>
          <w:rFonts w:ascii="Times New Roman" w:hAnsi="Times New Roman"/>
          <w:bCs/>
        </w:rPr>
        <w:t>распознавать и употреблять в устной и письменной речи обозначение времени.</w:t>
      </w:r>
      <w:bookmarkStart w:id="228" w:name="bookmark238"/>
      <w:bookmarkStart w:id="229" w:name="bookmark239"/>
      <w:bookmarkStart w:id="230" w:name="bookmark237"/>
    </w:p>
    <w:p w14:paraId="5F33047F">
      <w:pPr>
        <w:widowControl/>
        <w:tabs>
          <w:tab w:val="left" w:pos="1134"/>
        </w:tabs>
        <w:spacing w:after="0" w:line="360" w:lineRule="auto"/>
        <w:ind w:firstLine="709"/>
        <w:jc w:val="both"/>
        <w:rPr>
          <w:rFonts w:ascii="Times New Roman" w:hAnsi="Times New Roman"/>
          <w:bCs/>
        </w:rPr>
      </w:pPr>
      <w:r>
        <w:rPr>
          <w:rFonts w:ascii="Times New Roman" w:hAnsi="Times New Roman"/>
          <w:bCs/>
        </w:rPr>
        <w:t>9.9.5.3. Социокультурные знания и умения</w:t>
      </w:r>
      <w:bookmarkEnd w:id="228"/>
      <w:bookmarkEnd w:id="229"/>
      <w:bookmarkEnd w:id="230"/>
      <w:r>
        <w:rPr>
          <w:rFonts w:ascii="Times New Roman" w:hAnsi="Times New Roman"/>
          <w:bCs/>
        </w:rPr>
        <w:t>:</w:t>
      </w:r>
    </w:p>
    <w:p w14:paraId="3AB9702E">
      <w:pPr>
        <w:widowControl/>
        <w:tabs>
          <w:tab w:val="left" w:pos="1134"/>
        </w:tabs>
        <w:spacing w:after="0" w:line="360" w:lineRule="auto"/>
        <w:ind w:firstLine="709"/>
        <w:jc w:val="both"/>
        <w:rPr>
          <w:rFonts w:ascii="Times New Roman" w:hAnsi="Times New Roman"/>
          <w:bCs/>
        </w:rPr>
      </w:pPr>
      <w:bookmarkStart w:id="231" w:name="bookmark240"/>
      <w:bookmarkEnd w:id="231"/>
      <w:r>
        <w:rPr>
          <w:rFonts w:ascii="Times New Roman" w:hAnsi="Times New Roman"/>
          <w:bCs/>
        </w:rPr>
        <w:t>владеть социокультурными элементами речевого поведенческого этикета, принятыми в англоязычной среде, в некоторых ситуациях общения (приветствие, прощание, знакомство, выражение благодарности, извинение, поздравление с днём рождения, Новым годом, Рождеством);</w:t>
      </w:r>
    </w:p>
    <w:p w14:paraId="2677C602">
      <w:pPr>
        <w:widowControl/>
        <w:tabs>
          <w:tab w:val="left" w:pos="1134"/>
        </w:tabs>
        <w:spacing w:after="0" w:line="360" w:lineRule="auto"/>
        <w:ind w:firstLine="709"/>
        <w:jc w:val="both"/>
        <w:rPr>
          <w:rFonts w:ascii="Times New Roman" w:hAnsi="Times New Roman"/>
          <w:bCs/>
        </w:rPr>
      </w:pPr>
      <w:bookmarkStart w:id="232" w:name="bookmark241"/>
      <w:bookmarkEnd w:id="232"/>
      <w:r>
        <w:rPr>
          <w:rFonts w:ascii="Times New Roman" w:hAnsi="Times New Roman"/>
          <w:bCs/>
        </w:rPr>
        <w:t>знать названия родной страны и страны/стран изучаемого языка;</w:t>
      </w:r>
    </w:p>
    <w:p w14:paraId="437BBDD2">
      <w:pPr>
        <w:widowControl/>
        <w:tabs>
          <w:tab w:val="left" w:pos="1134"/>
        </w:tabs>
        <w:spacing w:after="0" w:line="360" w:lineRule="auto"/>
        <w:ind w:firstLine="709"/>
        <w:jc w:val="both"/>
        <w:rPr>
          <w:rFonts w:ascii="Times New Roman" w:hAnsi="Times New Roman"/>
          <w:bCs/>
        </w:rPr>
      </w:pPr>
      <w:bookmarkStart w:id="233" w:name="bookmark242"/>
      <w:bookmarkEnd w:id="233"/>
      <w:r>
        <w:rPr>
          <w:rFonts w:ascii="Times New Roman" w:hAnsi="Times New Roman" w:eastAsia="Times New Roman"/>
        </w:rPr>
        <w:t>иметь представление о</w:t>
      </w:r>
      <w:r>
        <w:rPr>
          <w:rFonts w:ascii="Times New Roman" w:hAnsi="Times New Roman"/>
          <w:bCs/>
        </w:rPr>
        <w:t xml:space="preserve"> некоторых литературных персонажей;</w:t>
      </w:r>
    </w:p>
    <w:p w14:paraId="4891AD21">
      <w:pPr>
        <w:widowControl/>
        <w:tabs>
          <w:tab w:val="left" w:pos="1134"/>
        </w:tabs>
        <w:spacing w:after="0" w:line="360" w:lineRule="auto"/>
        <w:ind w:firstLine="709"/>
        <w:jc w:val="both"/>
        <w:rPr>
          <w:rFonts w:ascii="Times New Roman" w:hAnsi="Times New Roman"/>
          <w:bCs/>
        </w:rPr>
      </w:pPr>
      <w:bookmarkStart w:id="234" w:name="bookmark243"/>
      <w:bookmarkEnd w:id="234"/>
      <w:r>
        <w:rPr>
          <w:rFonts w:ascii="Times New Roman" w:hAnsi="Times New Roman" w:eastAsia="Times New Roman"/>
        </w:rPr>
        <w:t>иметь представление о</w:t>
      </w:r>
      <w:r>
        <w:rPr>
          <w:rFonts w:ascii="Times New Roman" w:hAnsi="Times New Roman"/>
          <w:bCs/>
        </w:rPr>
        <w:t xml:space="preserve"> небольших произведениях детского фольклора (рифмовки, песни);</w:t>
      </w:r>
    </w:p>
    <w:p w14:paraId="5D37AAB5">
      <w:pPr>
        <w:widowControl/>
        <w:tabs>
          <w:tab w:val="left" w:pos="1134"/>
        </w:tabs>
        <w:spacing w:after="0" w:line="360" w:lineRule="auto"/>
        <w:ind w:firstLine="709"/>
        <w:jc w:val="both"/>
        <w:rPr>
          <w:rFonts w:ascii="Times New Roman" w:hAnsi="Times New Roman"/>
          <w:bCs/>
        </w:rPr>
      </w:pPr>
      <w:bookmarkStart w:id="235" w:name="bookmark244"/>
      <w:bookmarkEnd w:id="235"/>
      <w:r>
        <w:rPr>
          <w:rFonts w:ascii="Times New Roman" w:hAnsi="Times New Roman"/>
          <w:bCs/>
        </w:rPr>
        <w:t>кратко представлять свою страну на иностранном языке в рамках изучаемой тематики.</w:t>
      </w:r>
    </w:p>
    <w:p w14:paraId="3E225E40">
      <w:pPr>
        <w:pStyle w:val="85"/>
        <w:spacing w:before="200"/>
        <w:ind w:firstLine="540"/>
        <w:jc w:val="both"/>
        <w:rPr>
          <w:color w:val="auto"/>
          <w:sz w:val="22"/>
          <w:szCs w:val="22"/>
        </w:rPr>
      </w:pPr>
      <w:r>
        <w:rPr>
          <w:color w:val="auto"/>
          <w:sz w:val="22"/>
          <w:szCs w:val="22"/>
        </w:rPr>
        <w:t>В федеральных и региональных процедурах оценки качества образования используется перечень (кодификатор) распределенных по классам проверяемых требований к результатам освоения основной образовательной программы начального общего образования и элементов содержания по иностранному (английскому) языку.</w:t>
      </w:r>
    </w:p>
    <w:p w14:paraId="27D9B762">
      <w:pPr>
        <w:pStyle w:val="85"/>
        <w:ind w:firstLine="540"/>
        <w:jc w:val="both"/>
        <w:rPr>
          <w:color w:val="auto"/>
          <w:sz w:val="22"/>
          <w:szCs w:val="22"/>
        </w:rPr>
      </w:pPr>
    </w:p>
    <w:p w14:paraId="29C21DAD">
      <w:pPr>
        <w:pStyle w:val="85"/>
        <w:jc w:val="right"/>
        <w:rPr>
          <w:color w:val="auto"/>
          <w:sz w:val="22"/>
          <w:szCs w:val="22"/>
        </w:rPr>
      </w:pPr>
      <w:r>
        <w:rPr>
          <w:color w:val="auto"/>
          <w:sz w:val="22"/>
          <w:szCs w:val="22"/>
        </w:rPr>
        <w:t>Таблица 6</w:t>
      </w:r>
    </w:p>
    <w:p w14:paraId="08D049E6">
      <w:pPr>
        <w:pStyle w:val="85"/>
        <w:ind w:firstLine="540"/>
        <w:jc w:val="both"/>
        <w:rPr>
          <w:color w:val="auto"/>
          <w:sz w:val="22"/>
          <w:szCs w:val="22"/>
        </w:rPr>
      </w:pPr>
    </w:p>
    <w:p w14:paraId="4194337F">
      <w:pPr>
        <w:pStyle w:val="85"/>
        <w:jc w:val="center"/>
        <w:rPr>
          <w:color w:val="auto"/>
          <w:sz w:val="22"/>
          <w:szCs w:val="22"/>
        </w:rPr>
      </w:pPr>
      <w:r>
        <w:rPr>
          <w:color w:val="auto"/>
          <w:sz w:val="22"/>
          <w:szCs w:val="22"/>
        </w:rPr>
        <w:t>Проверяемые требования к результатам освоения основной</w:t>
      </w:r>
    </w:p>
    <w:p w14:paraId="68F0B7EF">
      <w:pPr>
        <w:pStyle w:val="85"/>
        <w:jc w:val="center"/>
        <w:rPr>
          <w:color w:val="auto"/>
          <w:sz w:val="22"/>
          <w:szCs w:val="22"/>
        </w:rPr>
      </w:pPr>
      <w:r>
        <w:rPr>
          <w:color w:val="auto"/>
          <w:sz w:val="22"/>
          <w:szCs w:val="22"/>
        </w:rPr>
        <w:t>образовательной программы (2 класс)</w:t>
      </w:r>
    </w:p>
    <w:p w14:paraId="059A41EE">
      <w:pPr>
        <w:pStyle w:val="85"/>
        <w:ind w:firstLine="540"/>
        <w:jc w:val="both"/>
        <w:rPr>
          <w:color w:val="auto"/>
          <w:sz w:val="22"/>
          <w:szCs w:val="22"/>
        </w:rPr>
      </w:pPr>
    </w:p>
    <w:tbl>
      <w:tblPr>
        <w:tblStyle w:val="1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02" w:type="dxa"/>
          <w:left w:w="62" w:type="dxa"/>
          <w:bottom w:w="102" w:type="dxa"/>
          <w:right w:w="62" w:type="dxa"/>
        </w:tblCellMar>
      </w:tblPr>
      <w:tblGrid>
        <w:gridCol w:w="1701"/>
        <w:gridCol w:w="7370"/>
      </w:tblGrid>
      <w:tr w14:paraId="66A928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701" w:type="dxa"/>
          </w:tcPr>
          <w:p w14:paraId="0E2463F2">
            <w:pPr>
              <w:pStyle w:val="85"/>
              <w:jc w:val="center"/>
              <w:rPr>
                <w:color w:val="auto"/>
                <w:sz w:val="22"/>
                <w:szCs w:val="22"/>
              </w:rPr>
            </w:pPr>
            <w:r>
              <w:rPr>
                <w:color w:val="auto"/>
                <w:sz w:val="22"/>
                <w:szCs w:val="22"/>
              </w:rPr>
              <w:t>Код проверяемого результата</w:t>
            </w:r>
          </w:p>
        </w:tc>
        <w:tc>
          <w:tcPr>
            <w:tcW w:w="7370" w:type="dxa"/>
          </w:tcPr>
          <w:p w14:paraId="70D81B37">
            <w:pPr>
              <w:pStyle w:val="85"/>
              <w:jc w:val="center"/>
              <w:rPr>
                <w:color w:val="auto"/>
                <w:sz w:val="22"/>
                <w:szCs w:val="22"/>
              </w:rPr>
            </w:pPr>
            <w:r>
              <w:rPr>
                <w:color w:val="auto"/>
                <w:sz w:val="22"/>
                <w:szCs w:val="22"/>
              </w:rPr>
              <w:t>Проверяемые предметные результаты освоения основной образовательной программы начального общего образования</w:t>
            </w:r>
          </w:p>
        </w:tc>
      </w:tr>
      <w:tr w14:paraId="1AE9E2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701" w:type="dxa"/>
          </w:tcPr>
          <w:p w14:paraId="16FFDBB9">
            <w:pPr>
              <w:pStyle w:val="85"/>
              <w:jc w:val="center"/>
              <w:rPr>
                <w:color w:val="auto"/>
                <w:sz w:val="22"/>
                <w:szCs w:val="22"/>
              </w:rPr>
            </w:pPr>
            <w:r>
              <w:rPr>
                <w:color w:val="auto"/>
                <w:sz w:val="22"/>
                <w:szCs w:val="22"/>
              </w:rPr>
              <w:t>1</w:t>
            </w:r>
          </w:p>
        </w:tc>
        <w:tc>
          <w:tcPr>
            <w:tcW w:w="7370" w:type="dxa"/>
          </w:tcPr>
          <w:p w14:paraId="0D9347D6">
            <w:pPr>
              <w:pStyle w:val="85"/>
              <w:jc w:val="both"/>
              <w:rPr>
                <w:color w:val="auto"/>
                <w:sz w:val="22"/>
                <w:szCs w:val="22"/>
              </w:rPr>
            </w:pPr>
            <w:r>
              <w:rPr>
                <w:color w:val="auto"/>
                <w:sz w:val="22"/>
                <w:szCs w:val="22"/>
              </w:rPr>
              <w:t>Коммуникативные умения</w:t>
            </w:r>
          </w:p>
        </w:tc>
      </w:tr>
      <w:tr w14:paraId="67EBF6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701" w:type="dxa"/>
          </w:tcPr>
          <w:p w14:paraId="3DC7D715">
            <w:pPr>
              <w:pStyle w:val="85"/>
              <w:jc w:val="center"/>
              <w:rPr>
                <w:color w:val="auto"/>
                <w:sz w:val="22"/>
                <w:szCs w:val="22"/>
              </w:rPr>
            </w:pPr>
            <w:r>
              <w:rPr>
                <w:color w:val="auto"/>
                <w:sz w:val="22"/>
                <w:szCs w:val="22"/>
              </w:rPr>
              <w:t>1.1</w:t>
            </w:r>
          </w:p>
        </w:tc>
        <w:tc>
          <w:tcPr>
            <w:tcW w:w="7370" w:type="dxa"/>
          </w:tcPr>
          <w:p w14:paraId="5E39FED0">
            <w:pPr>
              <w:pStyle w:val="85"/>
              <w:jc w:val="both"/>
              <w:rPr>
                <w:color w:val="auto"/>
                <w:sz w:val="22"/>
                <w:szCs w:val="22"/>
              </w:rPr>
            </w:pPr>
            <w:r>
              <w:rPr>
                <w:color w:val="auto"/>
                <w:sz w:val="22"/>
                <w:szCs w:val="22"/>
              </w:rPr>
              <w:t>Говорение</w:t>
            </w:r>
          </w:p>
        </w:tc>
      </w:tr>
      <w:tr w14:paraId="27AD62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701" w:type="dxa"/>
          </w:tcPr>
          <w:p w14:paraId="596FDB1B">
            <w:pPr>
              <w:pStyle w:val="85"/>
              <w:jc w:val="center"/>
              <w:rPr>
                <w:color w:val="auto"/>
                <w:sz w:val="22"/>
                <w:szCs w:val="22"/>
              </w:rPr>
            </w:pPr>
            <w:r>
              <w:rPr>
                <w:color w:val="auto"/>
                <w:sz w:val="22"/>
                <w:szCs w:val="22"/>
              </w:rPr>
              <w:t>1.1.1</w:t>
            </w:r>
          </w:p>
        </w:tc>
        <w:tc>
          <w:tcPr>
            <w:tcW w:w="7370" w:type="dxa"/>
          </w:tcPr>
          <w:p w14:paraId="63DBEC38">
            <w:pPr>
              <w:pStyle w:val="85"/>
              <w:jc w:val="both"/>
              <w:rPr>
                <w:color w:val="auto"/>
                <w:sz w:val="22"/>
                <w:szCs w:val="22"/>
              </w:rPr>
            </w:pPr>
            <w:r>
              <w:rPr>
                <w:color w:val="auto"/>
                <w:sz w:val="22"/>
                <w:szCs w:val="22"/>
              </w:rPr>
              <w:t>Диалогическая речь</w:t>
            </w:r>
          </w:p>
        </w:tc>
      </w:tr>
      <w:tr w14:paraId="3E8E93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701" w:type="dxa"/>
          </w:tcPr>
          <w:p w14:paraId="5ECEFF8D">
            <w:pPr>
              <w:pStyle w:val="85"/>
              <w:jc w:val="center"/>
              <w:rPr>
                <w:color w:val="auto"/>
                <w:sz w:val="22"/>
                <w:szCs w:val="22"/>
              </w:rPr>
            </w:pPr>
            <w:r>
              <w:rPr>
                <w:color w:val="auto"/>
                <w:sz w:val="22"/>
                <w:szCs w:val="22"/>
              </w:rPr>
              <w:t>1.1.1.1</w:t>
            </w:r>
          </w:p>
        </w:tc>
        <w:tc>
          <w:tcPr>
            <w:tcW w:w="7370" w:type="dxa"/>
          </w:tcPr>
          <w:p w14:paraId="027C769E">
            <w:pPr>
              <w:pStyle w:val="85"/>
              <w:jc w:val="both"/>
              <w:rPr>
                <w:color w:val="auto"/>
                <w:sz w:val="22"/>
                <w:szCs w:val="22"/>
              </w:rPr>
            </w:pPr>
            <w:r>
              <w:rPr>
                <w:color w:val="auto"/>
                <w:sz w:val="22"/>
                <w:szCs w:val="22"/>
              </w:rPr>
              <w:t>Вести диалог этикетного характера в стандартных ситуациях неофициального общения, используя вербальные и (или) зрительные опоры, с соблюдением норм речевого этикета, принятого в стране (странах) изучаемого языка (не менее 3 реплик со стороны каждого собеседника)</w:t>
            </w:r>
          </w:p>
        </w:tc>
      </w:tr>
      <w:tr w14:paraId="5ECADD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701" w:type="dxa"/>
          </w:tcPr>
          <w:p w14:paraId="6250BCEB">
            <w:pPr>
              <w:pStyle w:val="85"/>
              <w:jc w:val="center"/>
              <w:rPr>
                <w:color w:val="auto"/>
                <w:sz w:val="22"/>
                <w:szCs w:val="22"/>
              </w:rPr>
            </w:pPr>
            <w:r>
              <w:rPr>
                <w:color w:val="auto"/>
                <w:sz w:val="22"/>
                <w:szCs w:val="22"/>
              </w:rPr>
              <w:t>1.1.1.2</w:t>
            </w:r>
          </w:p>
        </w:tc>
        <w:tc>
          <w:tcPr>
            <w:tcW w:w="7370" w:type="dxa"/>
          </w:tcPr>
          <w:p w14:paraId="6E5DB785">
            <w:pPr>
              <w:pStyle w:val="85"/>
              <w:jc w:val="both"/>
              <w:rPr>
                <w:color w:val="auto"/>
                <w:sz w:val="22"/>
                <w:szCs w:val="22"/>
              </w:rPr>
            </w:pPr>
            <w:r>
              <w:rPr>
                <w:color w:val="auto"/>
                <w:sz w:val="22"/>
                <w:szCs w:val="22"/>
              </w:rPr>
              <w:t>Вести диалог-расспрос в стандартных ситуациях неофициального общения, используя вербальные и (или) зрительные опоры, с соблюдением норм речевого этикета, принятого в стране (странах) изучаемого языка (не менее 3 реплик со стороны каждого собеседника)</w:t>
            </w:r>
          </w:p>
        </w:tc>
      </w:tr>
      <w:tr w14:paraId="51AE9A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701" w:type="dxa"/>
          </w:tcPr>
          <w:p w14:paraId="610C04A3">
            <w:pPr>
              <w:pStyle w:val="85"/>
              <w:jc w:val="center"/>
              <w:rPr>
                <w:color w:val="auto"/>
                <w:sz w:val="22"/>
                <w:szCs w:val="22"/>
              </w:rPr>
            </w:pPr>
            <w:r>
              <w:rPr>
                <w:color w:val="auto"/>
                <w:sz w:val="22"/>
                <w:szCs w:val="22"/>
              </w:rPr>
              <w:t>1.1.2</w:t>
            </w:r>
          </w:p>
        </w:tc>
        <w:tc>
          <w:tcPr>
            <w:tcW w:w="7370" w:type="dxa"/>
          </w:tcPr>
          <w:p w14:paraId="0220952A">
            <w:pPr>
              <w:pStyle w:val="85"/>
              <w:jc w:val="both"/>
              <w:rPr>
                <w:color w:val="auto"/>
                <w:sz w:val="22"/>
                <w:szCs w:val="22"/>
              </w:rPr>
            </w:pPr>
            <w:r>
              <w:rPr>
                <w:color w:val="auto"/>
                <w:sz w:val="22"/>
                <w:szCs w:val="22"/>
              </w:rPr>
              <w:t>Монологическая речь</w:t>
            </w:r>
          </w:p>
        </w:tc>
      </w:tr>
      <w:tr w14:paraId="085933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701" w:type="dxa"/>
          </w:tcPr>
          <w:p w14:paraId="1B687DBF">
            <w:pPr>
              <w:pStyle w:val="85"/>
              <w:jc w:val="center"/>
              <w:rPr>
                <w:color w:val="auto"/>
                <w:sz w:val="22"/>
                <w:szCs w:val="22"/>
              </w:rPr>
            </w:pPr>
            <w:r>
              <w:rPr>
                <w:color w:val="auto"/>
                <w:sz w:val="22"/>
                <w:szCs w:val="22"/>
              </w:rPr>
              <w:t>1.1.2.1</w:t>
            </w:r>
          </w:p>
        </w:tc>
        <w:tc>
          <w:tcPr>
            <w:tcW w:w="7370" w:type="dxa"/>
          </w:tcPr>
          <w:p w14:paraId="43FC7660">
            <w:pPr>
              <w:pStyle w:val="85"/>
              <w:jc w:val="both"/>
              <w:rPr>
                <w:color w:val="auto"/>
                <w:sz w:val="22"/>
                <w:szCs w:val="22"/>
              </w:rPr>
            </w:pPr>
            <w:r>
              <w:rPr>
                <w:color w:val="auto"/>
                <w:sz w:val="22"/>
                <w:szCs w:val="22"/>
              </w:rPr>
              <w:t>Создавать устные монологические высказывания объемом не менее 3 фраз в рамках изучаемой тематики с использованием картинок, фотографий и (или) ключевых слова, вопросов</w:t>
            </w:r>
          </w:p>
        </w:tc>
      </w:tr>
      <w:tr w14:paraId="29EDCA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701" w:type="dxa"/>
          </w:tcPr>
          <w:p w14:paraId="5893D106">
            <w:pPr>
              <w:pStyle w:val="85"/>
              <w:jc w:val="center"/>
              <w:rPr>
                <w:color w:val="auto"/>
                <w:sz w:val="22"/>
                <w:szCs w:val="22"/>
              </w:rPr>
            </w:pPr>
            <w:r>
              <w:rPr>
                <w:color w:val="auto"/>
                <w:sz w:val="22"/>
                <w:szCs w:val="22"/>
              </w:rPr>
              <w:t>1.2</w:t>
            </w:r>
          </w:p>
        </w:tc>
        <w:tc>
          <w:tcPr>
            <w:tcW w:w="7370" w:type="dxa"/>
          </w:tcPr>
          <w:p w14:paraId="7C2C66A1">
            <w:pPr>
              <w:pStyle w:val="85"/>
              <w:jc w:val="both"/>
              <w:rPr>
                <w:color w:val="auto"/>
                <w:sz w:val="22"/>
                <w:szCs w:val="22"/>
              </w:rPr>
            </w:pPr>
            <w:r>
              <w:rPr>
                <w:color w:val="auto"/>
                <w:sz w:val="22"/>
                <w:szCs w:val="22"/>
              </w:rPr>
              <w:t>Аудирование</w:t>
            </w:r>
          </w:p>
        </w:tc>
      </w:tr>
      <w:tr w14:paraId="59A101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701" w:type="dxa"/>
          </w:tcPr>
          <w:p w14:paraId="699FD8D5">
            <w:pPr>
              <w:pStyle w:val="85"/>
              <w:jc w:val="center"/>
              <w:rPr>
                <w:color w:val="auto"/>
                <w:sz w:val="22"/>
                <w:szCs w:val="22"/>
              </w:rPr>
            </w:pPr>
            <w:r>
              <w:rPr>
                <w:color w:val="auto"/>
                <w:sz w:val="22"/>
                <w:szCs w:val="22"/>
              </w:rPr>
              <w:t>1.2.1</w:t>
            </w:r>
          </w:p>
        </w:tc>
        <w:tc>
          <w:tcPr>
            <w:tcW w:w="7370" w:type="dxa"/>
          </w:tcPr>
          <w:p w14:paraId="5EF02FE0">
            <w:pPr>
              <w:pStyle w:val="85"/>
              <w:jc w:val="both"/>
              <w:rPr>
                <w:color w:val="auto"/>
                <w:sz w:val="22"/>
                <w:szCs w:val="22"/>
              </w:rPr>
            </w:pPr>
            <w:r>
              <w:rPr>
                <w:color w:val="auto"/>
                <w:sz w:val="22"/>
                <w:szCs w:val="22"/>
              </w:rPr>
              <w:t>Воспринимать на слух и понимать речь учителя и других обучающихся, вербально (невербально) реагировать на услышанное</w:t>
            </w:r>
          </w:p>
        </w:tc>
      </w:tr>
      <w:tr w14:paraId="008DB5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701" w:type="dxa"/>
          </w:tcPr>
          <w:p w14:paraId="1574EB4F">
            <w:pPr>
              <w:pStyle w:val="85"/>
              <w:jc w:val="center"/>
              <w:rPr>
                <w:color w:val="auto"/>
                <w:sz w:val="22"/>
                <w:szCs w:val="22"/>
              </w:rPr>
            </w:pPr>
            <w:r>
              <w:rPr>
                <w:color w:val="auto"/>
                <w:sz w:val="22"/>
                <w:szCs w:val="22"/>
              </w:rPr>
              <w:t>1.2.2</w:t>
            </w:r>
          </w:p>
        </w:tc>
        <w:tc>
          <w:tcPr>
            <w:tcW w:w="7370" w:type="dxa"/>
          </w:tcPr>
          <w:p w14:paraId="2B15ED04">
            <w:pPr>
              <w:pStyle w:val="85"/>
              <w:jc w:val="both"/>
              <w:rPr>
                <w:color w:val="auto"/>
                <w:sz w:val="22"/>
                <w:szCs w:val="22"/>
              </w:rPr>
            </w:pPr>
            <w:r>
              <w:rPr>
                <w:color w:val="auto"/>
                <w:sz w:val="22"/>
                <w:szCs w:val="22"/>
              </w:rPr>
              <w:t>Воспринимать на слух и понимать основное содержание учебных текстов, построенных на изученном языковом материале, используя зрительные опоры и языковую догадку (время звучания текста (текстов) для аудирования - до 40 секунд)</w:t>
            </w:r>
          </w:p>
        </w:tc>
      </w:tr>
      <w:tr w14:paraId="1B5D48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701" w:type="dxa"/>
          </w:tcPr>
          <w:p w14:paraId="37D3F770">
            <w:pPr>
              <w:pStyle w:val="85"/>
              <w:jc w:val="center"/>
              <w:rPr>
                <w:color w:val="auto"/>
                <w:sz w:val="22"/>
                <w:szCs w:val="22"/>
              </w:rPr>
            </w:pPr>
            <w:r>
              <w:rPr>
                <w:color w:val="auto"/>
                <w:sz w:val="22"/>
                <w:szCs w:val="22"/>
              </w:rPr>
              <w:t>1.2.3</w:t>
            </w:r>
          </w:p>
        </w:tc>
        <w:tc>
          <w:tcPr>
            <w:tcW w:w="7370" w:type="dxa"/>
          </w:tcPr>
          <w:p w14:paraId="630DF489">
            <w:pPr>
              <w:pStyle w:val="85"/>
              <w:jc w:val="both"/>
              <w:rPr>
                <w:color w:val="auto"/>
                <w:sz w:val="22"/>
                <w:szCs w:val="22"/>
              </w:rPr>
            </w:pPr>
            <w:r>
              <w:rPr>
                <w:color w:val="auto"/>
                <w:sz w:val="22"/>
                <w:szCs w:val="22"/>
              </w:rPr>
              <w:t>Воспринимать на слух и понимать запрашиваемую информацию фактического характера в учебных текстах, построенных на изученном языковом материале, используя зрительные опоры и языковую догадку (время звучания текста (текстов) для аудирования - до 40 секунд)</w:t>
            </w:r>
          </w:p>
        </w:tc>
      </w:tr>
      <w:tr w14:paraId="2F7639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701" w:type="dxa"/>
          </w:tcPr>
          <w:p w14:paraId="52B5BEBC">
            <w:pPr>
              <w:pStyle w:val="85"/>
              <w:jc w:val="center"/>
              <w:rPr>
                <w:color w:val="auto"/>
                <w:sz w:val="22"/>
                <w:szCs w:val="22"/>
              </w:rPr>
            </w:pPr>
            <w:r>
              <w:rPr>
                <w:color w:val="auto"/>
                <w:sz w:val="22"/>
                <w:szCs w:val="22"/>
              </w:rPr>
              <w:t>1.3</w:t>
            </w:r>
          </w:p>
        </w:tc>
        <w:tc>
          <w:tcPr>
            <w:tcW w:w="7370" w:type="dxa"/>
          </w:tcPr>
          <w:p w14:paraId="057548F4">
            <w:pPr>
              <w:pStyle w:val="85"/>
              <w:jc w:val="both"/>
              <w:rPr>
                <w:color w:val="auto"/>
                <w:sz w:val="22"/>
                <w:szCs w:val="22"/>
              </w:rPr>
            </w:pPr>
            <w:r>
              <w:rPr>
                <w:color w:val="auto"/>
                <w:sz w:val="22"/>
                <w:szCs w:val="22"/>
              </w:rPr>
              <w:t>Смысловое чтение</w:t>
            </w:r>
          </w:p>
        </w:tc>
      </w:tr>
      <w:tr w14:paraId="6C7B39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701" w:type="dxa"/>
          </w:tcPr>
          <w:p w14:paraId="1BDF889E">
            <w:pPr>
              <w:pStyle w:val="85"/>
              <w:jc w:val="center"/>
              <w:rPr>
                <w:color w:val="auto"/>
                <w:sz w:val="22"/>
                <w:szCs w:val="22"/>
              </w:rPr>
            </w:pPr>
            <w:r>
              <w:rPr>
                <w:color w:val="auto"/>
                <w:sz w:val="22"/>
                <w:szCs w:val="22"/>
              </w:rPr>
              <w:t>1.3.1</w:t>
            </w:r>
          </w:p>
        </w:tc>
        <w:tc>
          <w:tcPr>
            <w:tcW w:w="7370" w:type="dxa"/>
          </w:tcPr>
          <w:p w14:paraId="45D8EC46">
            <w:pPr>
              <w:pStyle w:val="85"/>
              <w:jc w:val="both"/>
              <w:rPr>
                <w:color w:val="auto"/>
                <w:sz w:val="22"/>
                <w:szCs w:val="22"/>
              </w:rPr>
            </w:pPr>
            <w:r>
              <w:rPr>
                <w:color w:val="auto"/>
                <w:sz w:val="22"/>
                <w:szCs w:val="22"/>
              </w:rPr>
              <w:t>Читать вслух учебные тексты объемом до 60 слов, построенные на изученном языковом материале, с соблюдением правил чтения и соответствующей интонацией, демонстрируя понимание прочитанного</w:t>
            </w:r>
          </w:p>
        </w:tc>
      </w:tr>
      <w:tr w14:paraId="6ED67D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701" w:type="dxa"/>
          </w:tcPr>
          <w:p w14:paraId="553DD4CA">
            <w:pPr>
              <w:pStyle w:val="85"/>
              <w:jc w:val="center"/>
              <w:rPr>
                <w:color w:val="auto"/>
                <w:sz w:val="22"/>
                <w:szCs w:val="22"/>
              </w:rPr>
            </w:pPr>
            <w:r>
              <w:rPr>
                <w:color w:val="auto"/>
                <w:sz w:val="22"/>
                <w:szCs w:val="22"/>
              </w:rPr>
              <w:t>1.3.2</w:t>
            </w:r>
          </w:p>
        </w:tc>
        <w:tc>
          <w:tcPr>
            <w:tcW w:w="7370" w:type="dxa"/>
          </w:tcPr>
          <w:p w14:paraId="7C46D42E">
            <w:pPr>
              <w:pStyle w:val="85"/>
              <w:jc w:val="both"/>
              <w:rPr>
                <w:color w:val="auto"/>
                <w:sz w:val="22"/>
                <w:szCs w:val="22"/>
              </w:rPr>
            </w:pPr>
            <w:r>
              <w:rPr>
                <w:color w:val="auto"/>
                <w:sz w:val="22"/>
                <w:szCs w:val="22"/>
              </w:rPr>
              <w:t>Читать про себя и понимать основное содержание учебных текстов, построенных на изученном языковом материале, используя зрительные опоры и языковую догадку (объем текста для чтения - до 80 слов)</w:t>
            </w:r>
          </w:p>
        </w:tc>
      </w:tr>
      <w:tr w14:paraId="00776A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701" w:type="dxa"/>
          </w:tcPr>
          <w:p w14:paraId="75934AA2">
            <w:pPr>
              <w:pStyle w:val="85"/>
              <w:jc w:val="center"/>
              <w:rPr>
                <w:color w:val="auto"/>
                <w:sz w:val="22"/>
                <w:szCs w:val="22"/>
              </w:rPr>
            </w:pPr>
            <w:r>
              <w:rPr>
                <w:color w:val="auto"/>
                <w:sz w:val="22"/>
                <w:szCs w:val="22"/>
              </w:rPr>
              <w:t>1.3.3</w:t>
            </w:r>
          </w:p>
        </w:tc>
        <w:tc>
          <w:tcPr>
            <w:tcW w:w="7370" w:type="dxa"/>
          </w:tcPr>
          <w:p w14:paraId="1FF67F15">
            <w:pPr>
              <w:pStyle w:val="85"/>
              <w:jc w:val="both"/>
              <w:rPr>
                <w:color w:val="auto"/>
                <w:sz w:val="22"/>
                <w:szCs w:val="22"/>
              </w:rPr>
            </w:pPr>
            <w:r>
              <w:rPr>
                <w:color w:val="auto"/>
                <w:sz w:val="22"/>
                <w:szCs w:val="22"/>
              </w:rPr>
              <w:t>Читать про себя и понимать запрашиваемую информацию в учебных текстах, построенных на изученном языковом материале, используя зрительные опоры и языковую догадку (объем текста для чтения - до 80 слов)</w:t>
            </w:r>
          </w:p>
        </w:tc>
      </w:tr>
      <w:tr w14:paraId="67015E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701" w:type="dxa"/>
          </w:tcPr>
          <w:p w14:paraId="1A59BA21">
            <w:pPr>
              <w:pStyle w:val="85"/>
              <w:jc w:val="center"/>
              <w:rPr>
                <w:color w:val="auto"/>
                <w:sz w:val="22"/>
                <w:szCs w:val="22"/>
              </w:rPr>
            </w:pPr>
            <w:r>
              <w:rPr>
                <w:color w:val="auto"/>
                <w:sz w:val="22"/>
                <w:szCs w:val="22"/>
              </w:rPr>
              <w:t>1.4</w:t>
            </w:r>
          </w:p>
        </w:tc>
        <w:tc>
          <w:tcPr>
            <w:tcW w:w="7370" w:type="dxa"/>
          </w:tcPr>
          <w:p w14:paraId="3AB344A4">
            <w:pPr>
              <w:pStyle w:val="85"/>
              <w:jc w:val="both"/>
              <w:rPr>
                <w:color w:val="auto"/>
                <w:sz w:val="22"/>
                <w:szCs w:val="22"/>
              </w:rPr>
            </w:pPr>
            <w:r>
              <w:rPr>
                <w:color w:val="auto"/>
                <w:sz w:val="22"/>
                <w:szCs w:val="22"/>
              </w:rPr>
              <w:t>Письмо</w:t>
            </w:r>
          </w:p>
        </w:tc>
      </w:tr>
      <w:tr w14:paraId="6D81CB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701" w:type="dxa"/>
          </w:tcPr>
          <w:p w14:paraId="66AAF617">
            <w:pPr>
              <w:pStyle w:val="85"/>
              <w:jc w:val="center"/>
              <w:rPr>
                <w:color w:val="auto"/>
                <w:sz w:val="22"/>
                <w:szCs w:val="22"/>
              </w:rPr>
            </w:pPr>
            <w:r>
              <w:rPr>
                <w:color w:val="auto"/>
                <w:sz w:val="22"/>
                <w:szCs w:val="22"/>
              </w:rPr>
              <w:t>1.4.1</w:t>
            </w:r>
          </w:p>
        </w:tc>
        <w:tc>
          <w:tcPr>
            <w:tcW w:w="7370" w:type="dxa"/>
          </w:tcPr>
          <w:p w14:paraId="1C9DB777">
            <w:pPr>
              <w:pStyle w:val="85"/>
              <w:jc w:val="both"/>
              <w:rPr>
                <w:color w:val="auto"/>
                <w:sz w:val="22"/>
                <w:szCs w:val="22"/>
              </w:rPr>
            </w:pPr>
            <w:r>
              <w:rPr>
                <w:color w:val="auto"/>
                <w:sz w:val="22"/>
                <w:szCs w:val="22"/>
              </w:rPr>
              <w:t>Заполнять простые формуляры, сообщая о себе основные сведения, в соответствии с нормами, принятыми в стране (странах) изучаемого языка</w:t>
            </w:r>
          </w:p>
        </w:tc>
      </w:tr>
      <w:tr w14:paraId="2F18C4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701" w:type="dxa"/>
          </w:tcPr>
          <w:p w14:paraId="6B2E2DEF">
            <w:pPr>
              <w:pStyle w:val="85"/>
              <w:jc w:val="center"/>
              <w:rPr>
                <w:color w:val="auto"/>
                <w:sz w:val="22"/>
                <w:szCs w:val="22"/>
              </w:rPr>
            </w:pPr>
            <w:r>
              <w:rPr>
                <w:color w:val="auto"/>
                <w:sz w:val="22"/>
                <w:szCs w:val="22"/>
              </w:rPr>
              <w:t>1.4.2</w:t>
            </w:r>
          </w:p>
        </w:tc>
        <w:tc>
          <w:tcPr>
            <w:tcW w:w="7370" w:type="dxa"/>
          </w:tcPr>
          <w:p w14:paraId="447514A5">
            <w:pPr>
              <w:pStyle w:val="85"/>
              <w:jc w:val="both"/>
              <w:rPr>
                <w:color w:val="auto"/>
                <w:sz w:val="22"/>
                <w:szCs w:val="22"/>
              </w:rPr>
            </w:pPr>
            <w:r>
              <w:rPr>
                <w:color w:val="auto"/>
                <w:sz w:val="22"/>
                <w:szCs w:val="22"/>
              </w:rPr>
              <w:t>Писать с использованием образца короткие поздравления с праздниками (с днем рождения, Новым годом)</w:t>
            </w:r>
          </w:p>
        </w:tc>
      </w:tr>
      <w:tr w14:paraId="40453D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701" w:type="dxa"/>
          </w:tcPr>
          <w:p w14:paraId="014031E0">
            <w:pPr>
              <w:pStyle w:val="85"/>
              <w:jc w:val="center"/>
              <w:rPr>
                <w:color w:val="auto"/>
                <w:sz w:val="22"/>
                <w:szCs w:val="22"/>
              </w:rPr>
            </w:pPr>
            <w:r>
              <w:rPr>
                <w:color w:val="auto"/>
                <w:sz w:val="22"/>
                <w:szCs w:val="22"/>
              </w:rPr>
              <w:t>2</w:t>
            </w:r>
          </w:p>
        </w:tc>
        <w:tc>
          <w:tcPr>
            <w:tcW w:w="7370" w:type="dxa"/>
          </w:tcPr>
          <w:p w14:paraId="1F80D73A">
            <w:pPr>
              <w:pStyle w:val="85"/>
              <w:jc w:val="both"/>
              <w:rPr>
                <w:color w:val="auto"/>
                <w:sz w:val="22"/>
                <w:szCs w:val="22"/>
              </w:rPr>
            </w:pPr>
            <w:r>
              <w:rPr>
                <w:color w:val="auto"/>
                <w:sz w:val="22"/>
                <w:szCs w:val="22"/>
              </w:rPr>
              <w:t>Языковые знания и навыки</w:t>
            </w:r>
          </w:p>
        </w:tc>
      </w:tr>
      <w:tr w14:paraId="564FAC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701" w:type="dxa"/>
          </w:tcPr>
          <w:p w14:paraId="610C8954">
            <w:pPr>
              <w:pStyle w:val="85"/>
              <w:jc w:val="center"/>
              <w:rPr>
                <w:color w:val="auto"/>
                <w:sz w:val="22"/>
                <w:szCs w:val="22"/>
              </w:rPr>
            </w:pPr>
            <w:r>
              <w:rPr>
                <w:color w:val="auto"/>
                <w:sz w:val="22"/>
                <w:szCs w:val="22"/>
              </w:rPr>
              <w:t>2.1</w:t>
            </w:r>
          </w:p>
        </w:tc>
        <w:tc>
          <w:tcPr>
            <w:tcW w:w="7370" w:type="dxa"/>
          </w:tcPr>
          <w:p w14:paraId="0C9801CE">
            <w:pPr>
              <w:pStyle w:val="85"/>
              <w:jc w:val="both"/>
              <w:rPr>
                <w:color w:val="auto"/>
                <w:sz w:val="22"/>
                <w:szCs w:val="22"/>
              </w:rPr>
            </w:pPr>
            <w:r>
              <w:rPr>
                <w:color w:val="auto"/>
                <w:sz w:val="22"/>
                <w:szCs w:val="22"/>
              </w:rPr>
              <w:t>Фонетическая сторона речи</w:t>
            </w:r>
          </w:p>
        </w:tc>
      </w:tr>
      <w:tr w14:paraId="199E9B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701" w:type="dxa"/>
          </w:tcPr>
          <w:p w14:paraId="2F8A0718">
            <w:pPr>
              <w:pStyle w:val="85"/>
              <w:jc w:val="center"/>
              <w:rPr>
                <w:color w:val="auto"/>
                <w:sz w:val="22"/>
                <w:szCs w:val="22"/>
              </w:rPr>
            </w:pPr>
            <w:r>
              <w:rPr>
                <w:color w:val="auto"/>
                <w:sz w:val="22"/>
                <w:szCs w:val="22"/>
              </w:rPr>
              <w:t>2.1.1</w:t>
            </w:r>
          </w:p>
        </w:tc>
        <w:tc>
          <w:tcPr>
            <w:tcW w:w="7370" w:type="dxa"/>
          </w:tcPr>
          <w:p w14:paraId="0A6600DD">
            <w:pPr>
              <w:pStyle w:val="85"/>
              <w:jc w:val="both"/>
              <w:rPr>
                <w:color w:val="auto"/>
                <w:sz w:val="22"/>
                <w:szCs w:val="22"/>
              </w:rPr>
            </w:pPr>
            <w:r>
              <w:rPr>
                <w:color w:val="auto"/>
                <w:sz w:val="22"/>
                <w:szCs w:val="22"/>
              </w:rPr>
              <w:t>Знать буквы алфавита английского языка в правильной последовательности и фонетически корректно их озвучивать</w:t>
            </w:r>
          </w:p>
        </w:tc>
      </w:tr>
      <w:tr w14:paraId="3096DC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701" w:type="dxa"/>
          </w:tcPr>
          <w:p w14:paraId="365D315B">
            <w:pPr>
              <w:pStyle w:val="85"/>
              <w:jc w:val="center"/>
              <w:rPr>
                <w:color w:val="auto"/>
                <w:sz w:val="22"/>
                <w:szCs w:val="22"/>
              </w:rPr>
            </w:pPr>
            <w:r>
              <w:rPr>
                <w:color w:val="auto"/>
                <w:sz w:val="22"/>
                <w:szCs w:val="22"/>
              </w:rPr>
              <w:t>2.1.2</w:t>
            </w:r>
          </w:p>
        </w:tc>
        <w:tc>
          <w:tcPr>
            <w:tcW w:w="7370" w:type="dxa"/>
          </w:tcPr>
          <w:p w14:paraId="7B7B7205">
            <w:pPr>
              <w:pStyle w:val="85"/>
              <w:jc w:val="both"/>
              <w:rPr>
                <w:color w:val="auto"/>
                <w:sz w:val="22"/>
                <w:szCs w:val="22"/>
              </w:rPr>
            </w:pPr>
            <w:r>
              <w:rPr>
                <w:color w:val="auto"/>
                <w:sz w:val="22"/>
                <w:szCs w:val="22"/>
              </w:rPr>
              <w:t>Применять правила чтения гласных в открытом и закрытом слоге в односложных словах, вычленять некоторые звукобуквенные сочетания при анализе знакомых слов; озвучивать транскрипционные знаки, отличать их от букв</w:t>
            </w:r>
          </w:p>
        </w:tc>
      </w:tr>
      <w:tr w14:paraId="1B68FC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701" w:type="dxa"/>
          </w:tcPr>
          <w:p w14:paraId="3A7F6F8D">
            <w:pPr>
              <w:pStyle w:val="85"/>
              <w:jc w:val="center"/>
              <w:rPr>
                <w:color w:val="auto"/>
                <w:sz w:val="22"/>
                <w:szCs w:val="22"/>
              </w:rPr>
            </w:pPr>
            <w:r>
              <w:rPr>
                <w:color w:val="auto"/>
                <w:sz w:val="22"/>
                <w:szCs w:val="22"/>
              </w:rPr>
              <w:t>2.1.3</w:t>
            </w:r>
          </w:p>
        </w:tc>
        <w:tc>
          <w:tcPr>
            <w:tcW w:w="7370" w:type="dxa"/>
          </w:tcPr>
          <w:p w14:paraId="52C327E3">
            <w:pPr>
              <w:pStyle w:val="85"/>
              <w:jc w:val="both"/>
              <w:rPr>
                <w:color w:val="auto"/>
                <w:sz w:val="22"/>
                <w:szCs w:val="22"/>
              </w:rPr>
            </w:pPr>
            <w:r>
              <w:rPr>
                <w:color w:val="auto"/>
                <w:sz w:val="22"/>
                <w:szCs w:val="22"/>
              </w:rPr>
              <w:t>Читать новые слова согласно основным правилам чтения</w:t>
            </w:r>
          </w:p>
        </w:tc>
      </w:tr>
      <w:tr w14:paraId="12EE3C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701" w:type="dxa"/>
          </w:tcPr>
          <w:p w14:paraId="16B85F79">
            <w:pPr>
              <w:pStyle w:val="85"/>
              <w:jc w:val="center"/>
              <w:rPr>
                <w:color w:val="auto"/>
                <w:sz w:val="22"/>
                <w:szCs w:val="22"/>
              </w:rPr>
            </w:pPr>
            <w:r>
              <w:rPr>
                <w:color w:val="auto"/>
                <w:sz w:val="22"/>
                <w:szCs w:val="22"/>
              </w:rPr>
              <w:t>2.1.4</w:t>
            </w:r>
          </w:p>
        </w:tc>
        <w:tc>
          <w:tcPr>
            <w:tcW w:w="7370" w:type="dxa"/>
          </w:tcPr>
          <w:p w14:paraId="64641DC0">
            <w:pPr>
              <w:pStyle w:val="85"/>
              <w:jc w:val="both"/>
              <w:rPr>
                <w:color w:val="auto"/>
                <w:sz w:val="22"/>
                <w:szCs w:val="22"/>
              </w:rPr>
            </w:pPr>
            <w:r>
              <w:rPr>
                <w:color w:val="auto"/>
                <w:sz w:val="22"/>
                <w:szCs w:val="22"/>
              </w:rPr>
              <w:t>Различать на слух и правильно произносить слова и фразы (предложения) с соблюдением их ритмико-интонационных особенностей</w:t>
            </w:r>
          </w:p>
        </w:tc>
      </w:tr>
      <w:tr w14:paraId="0FC6D7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701" w:type="dxa"/>
          </w:tcPr>
          <w:p w14:paraId="14B91685">
            <w:pPr>
              <w:pStyle w:val="85"/>
              <w:jc w:val="center"/>
              <w:rPr>
                <w:color w:val="auto"/>
                <w:sz w:val="22"/>
                <w:szCs w:val="22"/>
              </w:rPr>
            </w:pPr>
            <w:r>
              <w:rPr>
                <w:color w:val="auto"/>
                <w:sz w:val="22"/>
                <w:szCs w:val="22"/>
              </w:rPr>
              <w:t>2.2</w:t>
            </w:r>
          </w:p>
        </w:tc>
        <w:tc>
          <w:tcPr>
            <w:tcW w:w="7370" w:type="dxa"/>
          </w:tcPr>
          <w:p w14:paraId="6C4005BB">
            <w:pPr>
              <w:pStyle w:val="85"/>
              <w:jc w:val="both"/>
              <w:rPr>
                <w:color w:val="auto"/>
                <w:sz w:val="22"/>
                <w:szCs w:val="22"/>
              </w:rPr>
            </w:pPr>
            <w:r>
              <w:rPr>
                <w:color w:val="auto"/>
                <w:sz w:val="22"/>
                <w:szCs w:val="22"/>
              </w:rPr>
              <w:t>Графика, орфография и пунктуация</w:t>
            </w:r>
          </w:p>
        </w:tc>
      </w:tr>
      <w:tr w14:paraId="487269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701" w:type="dxa"/>
          </w:tcPr>
          <w:p w14:paraId="1CA2FCF8">
            <w:pPr>
              <w:pStyle w:val="85"/>
              <w:jc w:val="center"/>
              <w:rPr>
                <w:color w:val="auto"/>
                <w:sz w:val="22"/>
                <w:szCs w:val="22"/>
              </w:rPr>
            </w:pPr>
            <w:r>
              <w:rPr>
                <w:color w:val="auto"/>
                <w:sz w:val="22"/>
                <w:szCs w:val="22"/>
              </w:rPr>
              <w:t>2.2.1</w:t>
            </w:r>
          </w:p>
        </w:tc>
        <w:tc>
          <w:tcPr>
            <w:tcW w:w="7370" w:type="dxa"/>
          </w:tcPr>
          <w:p w14:paraId="39362AF5">
            <w:pPr>
              <w:pStyle w:val="85"/>
              <w:jc w:val="both"/>
              <w:rPr>
                <w:color w:val="auto"/>
                <w:sz w:val="22"/>
                <w:szCs w:val="22"/>
              </w:rPr>
            </w:pPr>
            <w:r>
              <w:rPr>
                <w:color w:val="auto"/>
                <w:sz w:val="22"/>
                <w:szCs w:val="22"/>
              </w:rPr>
              <w:t>Графически корректно воспроизводить буквы английского алфавита (полупечатное написание букв, буквосочетаний, слов)</w:t>
            </w:r>
          </w:p>
        </w:tc>
      </w:tr>
      <w:tr w14:paraId="2BCB1A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701" w:type="dxa"/>
          </w:tcPr>
          <w:p w14:paraId="737FBCD8">
            <w:pPr>
              <w:pStyle w:val="85"/>
              <w:jc w:val="center"/>
              <w:rPr>
                <w:color w:val="auto"/>
                <w:sz w:val="22"/>
                <w:szCs w:val="22"/>
              </w:rPr>
            </w:pPr>
            <w:r>
              <w:rPr>
                <w:color w:val="auto"/>
                <w:sz w:val="22"/>
                <w:szCs w:val="22"/>
              </w:rPr>
              <w:t>2.2.2</w:t>
            </w:r>
          </w:p>
        </w:tc>
        <w:tc>
          <w:tcPr>
            <w:tcW w:w="7370" w:type="dxa"/>
          </w:tcPr>
          <w:p w14:paraId="21434D80">
            <w:pPr>
              <w:pStyle w:val="85"/>
              <w:jc w:val="both"/>
              <w:rPr>
                <w:color w:val="auto"/>
                <w:sz w:val="22"/>
                <w:szCs w:val="22"/>
              </w:rPr>
            </w:pPr>
            <w:r>
              <w:rPr>
                <w:color w:val="auto"/>
                <w:sz w:val="22"/>
                <w:szCs w:val="22"/>
              </w:rPr>
              <w:t>Правильно писать изученные слова</w:t>
            </w:r>
          </w:p>
        </w:tc>
      </w:tr>
      <w:tr w14:paraId="17DD86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701" w:type="dxa"/>
          </w:tcPr>
          <w:p w14:paraId="09114BA7">
            <w:pPr>
              <w:pStyle w:val="85"/>
              <w:jc w:val="center"/>
              <w:rPr>
                <w:color w:val="auto"/>
                <w:sz w:val="22"/>
                <w:szCs w:val="22"/>
              </w:rPr>
            </w:pPr>
            <w:r>
              <w:rPr>
                <w:color w:val="auto"/>
                <w:sz w:val="22"/>
                <w:szCs w:val="22"/>
              </w:rPr>
              <w:t>2.2.3</w:t>
            </w:r>
          </w:p>
        </w:tc>
        <w:tc>
          <w:tcPr>
            <w:tcW w:w="7370" w:type="dxa"/>
          </w:tcPr>
          <w:p w14:paraId="4AC157DE">
            <w:pPr>
              <w:pStyle w:val="85"/>
              <w:jc w:val="both"/>
              <w:rPr>
                <w:color w:val="auto"/>
                <w:sz w:val="22"/>
                <w:szCs w:val="22"/>
              </w:rPr>
            </w:pPr>
            <w:r>
              <w:rPr>
                <w:color w:val="auto"/>
                <w:sz w:val="22"/>
                <w:szCs w:val="22"/>
              </w:rPr>
              <w:t>Заполнять пропуски словами; дописывать предложения</w:t>
            </w:r>
          </w:p>
        </w:tc>
      </w:tr>
      <w:tr w14:paraId="403A08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701" w:type="dxa"/>
          </w:tcPr>
          <w:p w14:paraId="0B8BC54F">
            <w:pPr>
              <w:pStyle w:val="85"/>
              <w:jc w:val="center"/>
              <w:rPr>
                <w:color w:val="auto"/>
                <w:sz w:val="22"/>
                <w:szCs w:val="22"/>
              </w:rPr>
            </w:pPr>
            <w:r>
              <w:rPr>
                <w:color w:val="auto"/>
                <w:sz w:val="22"/>
                <w:szCs w:val="22"/>
              </w:rPr>
              <w:t>2.2.4</w:t>
            </w:r>
          </w:p>
        </w:tc>
        <w:tc>
          <w:tcPr>
            <w:tcW w:w="7370" w:type="dxa"/>
          </w:tcPr>
          <w:p w14:paraId="78B8D4B2">
            <w:pPr>
              <w:pStyle w:val="85"/>
              <w:jc w:val="both"/>
              <w:rPr>
                <w:color w:val="auto"/>
                <w:sz w:val="22"/>
                <w:szCs w:val="22"/>
              </w:rPr>
            </w:pPr>
            <w:r>
              <w:rPr>
                <w:color w:val="auto"/>
                <w:sz w:val="22"/>
                <w:szCs w:val="22"/>
              </w:rPr>
              <w:t>Правильно расставлять знаки препинания (точка, вопросительный и восклицательный знаки в конце предложения) и использовать знак апострофа в сокращенных формах глагола-связки, вспомогательного и модального глаголов</w:t>
            </w:r>
          </w:p>
        </w:tc>
      </w:tr>
      <w:tr w14:paraId="174B9F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701" w:type="dxa"/>
          </w:tcPr>
          <w:p w14:paraId="057D07E1">
            <w:pPr>
              <w:pStyle w:val="85"/>
              <w:jc w:val="center"/>
              <w:rPr>
                <w:color w:val="auto"/>
                <w:sz w:val="22"/>
                <w:szCs w:val="22"/>
              </w:rPr>
            </w:pPr>
            <w:r>
              <w:rPr>
                <w:color w:val="auto"/>
                <w:sz w:val="22"/>
                <w:szCs w:val="22"/>
              </w:rPr>
              <w:t>2.3</w:t>
            </w:r>
          </w:p>
        </w:tc>
        <w:tc>
          <w:tcPr>
            <w:tcW w:w="7370" w:type="dxa"/>
          </w:tcPr>
          <w:p w14:paraId="1D3444E0">
            <w:pPr>
              <w:pStyle w:val="85"/>
              <w:jc w:val="both"/>
              <w:rPr>
                <w:color w:val="auto"/>
                <w:sz w:val="22"/>
                <w:szCs w:val="22"/>
              </w:rPr>
            </w:pPr>
            <w:r>
              <w:rPr>
                <w:color w:val="auto"/>
                <w:sz w:val="22"/>
                <w:szCs w:val="22"/>
              </w:rPr>
              <w:t>Лексическая сторона речи</w:t>
            </w:r>
          </w:p>
        </w:tc>
      </w:tr>
      <w:tr w14:paraId="5631D3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701" w:type="dxa"/>
          </w:tcPr>
          <w:p w14:paraId="381468D9">
            <w:pPr>
              <w:pStyle w:val="85"/>
              <w:jc w:val="center"/>
              <w:rPr>
                <w:color w:val="auto"/>
                <w:sz w:val="22"/>
                <w:szCs w:val="22"/>
              </w:rPr>
            </w:pPr>
            <w:r>
              <w:rPr>
                <w:color w:val="auto"/>
                <w:sz w:val="22"/>
                <w:szCs w:val="22"/>
              </w:rPr>
              <w:t>2.3.1</w:t>
            </w:r>
          </w:p>
        </w:tc>
        <w:tc>
          <w:tcPr>
            <w:tcW w:w="7370" w:type="dxa"/>
          </w:tcPr>
          <w:p w14:paraId="12AF08FC">
            <w:pPr>
              <w:pStyle w:val="85"/>
              <w:jc w:val="both"/>
              <w:rPr>
                <w:color w:val="auto"/>
                <w:sz w:val="22"/>
                <w:szCs w:val="22"/>
              </w:rPr>
            </w:pPr>
            <w:r>
              <w:rPr>
                <w:color w:val="auto"/>
                <w:sz w:val="22"/>
                <w:szCs w:val="22"/>
              </w:rPr>
              <w:t>Распознавать и правильно употреблять в устной и письменной речи не менее 200 лексических единиц (слов, словосочетаний, речевых клише), обслуживающих ситуации общения в рамках тематики, предусмотренной на первом году обучения</w:t>
            </w:r>
          </w:p>
        </w:tc>
      </w:tr>
      <w:tr w14:paraId="51D7EE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701" w:type="dxa"/>
          </w:tcPr>
          <w:p w14:paraId="2CA1E465">
            <w:pPr>
              <w:pStyle w:val="85"/>
              <w:jc w:val="center"/>
              <w:rPr>
                <w:color w:val="auto"/>
                <w:sz w:val="22"/>
                <w:szCs w:val="22"/>
              </w:rPr>
            </w:pPr>
            <w:r>
              <w:rPr>
                <w:color w:val="auto"/>
                <w:sz w:val="22"/>
                <w:szCs w:val="22"/>
              </w:rPr>
              <w:t>2.3.2</w:t>
            </w:r>
          </w:p>
        </w:tc>
        <w:tc>
          <w:tcPr>
            <w:tcW w:w="7370" w:type="dxa"/>
          </w:tcPr>
          <w:p w14:paraId="7F78B4DD">
            <w:pPr>
              <w:pStyle w:val="85"/>
              <w:jc w:val="both"/>
              <w:rPr>
                <w:color w:val="auto"/>
                <w:sz w:val="22"/>
                <w:szCs w:val="22"/>
              </w:rPr>
            </w:pPr>
            <w:r>
              <w:rPr>
                <w:color w:val="auto"/>
                <w:sz w:val="22"/>
                <w:szCs w:val="22"/>
              </w:rPr>
              <w:t>Использовать языковую догадку в распознавании интернациональных слов</w:t>
            </w:r>
          </w:p>
        </w:tc>
      </w:tr>
      <w:tr w14:paraId="22A2F4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701" w:type="dxa"/>
          </w:tcPr>
          <w:p w14:paraId="55394425">
            <w:pPr>
              <w:pStyle w:val="85"/>
              <w:jc w:val="center"/>
              <w:rPr>
                <w:color w:val="auto"/>
                <w:sz w:val="22"/>
                <w:szCs w:val="22"/>
              </w:rPr>
            </w:pPr>
            <w:r>
              <w:rPr>
                <w:color w:val="auto"/>
                <w:sz w:val="22"/>
                <w:szCs w:val="22"/>
              </w:rPr>
              <w:t>2.4</w:t>
            </w:r>
          </w:p>
        </w:tc>
        <w:tc>
          <w:tcPr>
            <w:tcW w:w="7370" w:type="dxa"/>
          </w:tcPr>
          <w:p w14:paraId="7B2C1702">
            <w:pPr>
              <w:pStyle w:val="85"/>
              <w:jc w:val="both"/>
              <w:rPr>
                <w:color w:val="auto"/>
                <w:sz w:val="22"/>
                <w:szCs w:val="22"/>
              </w:rPr>
            </w:pPr>
            <w:r>
              <w:rPr>
                <w:color w:val="auto"/>
                <w:sz w:val="22"/>
                <w:szCs w:val="22"/>
              </w:rPr>
              <w:t>Грамматическая сторона речи</w:t>
            </w:r>
          </w:p>
        </w:tc>
      </w:tr>
      <w:tr w14:paraId="31019C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701" w:type="dxa"/>
          </w:tcPr>
          <w:p w14:paraId="1C9F88C1">
            <w:pPr>
              <w:pStyle w:val="85"/>
              <w:jc w:val="center"/>
              <w:rPr>
                <w:color w:val="auto"/>
                <w:sz w:val="22"/>
                <w:szCs w:val="22"/>
              </w:rPr>
            </w:pPr>
            <w:r>
              <w:rPr>
                <w:color w:val="auto"/>
                <w:sz w:val="22"/>
                <w:szCs w:val="22"/>
              </w:rPr>
              <w:t>2.4.1</w:t>
            </w:r>
          </w:p>
        </w:tc>
        <w:tc>
          <w:tcPr>
            <w:tcW w:w="7370" w:type="dxa"/>
          </w:tcPr>
          <w:p w14:paraId="65AFD5A7">
            <w:pPr>
              <w:pStyle w:val="85"/>
              <w:jc w:val="both"/>
              <w:rPr>
                <w:color w:val="auto"/>
                <w:sz w:val="22"/>
                <w:szCs w:val="22"/>
              </w:rPr>
            </w:pPr>
            <w:r>
              <w:rPr>
                <w:color w:val="auto"/>
                <w:sz w:val="22"/>
                <w:szCs w:val="22"/>
              </w:rPr>
              <w:t>Распознавать и употреблять в устной и письменной речи основные коммуникативные типы предложений: повествовательные (утвердительные, отрицательные), вопросительные (общий, специальный вопросы), побудительные (в утвердительной форме)</w:t>
            </w:r>
          </w:p>
        </w:tc>
      </w:tr>
      <w:tr w14:paraId="575430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701" w:type="dxa"/>
          </w:tcPr>
          <w:p w14:paraId="6A3114DE">
            <w:pPr>
              <w:pStyle w:val="85"/>
              <w:jc w:val="center"/>
              <w:rPr>
                <w:color w:val="auto"/>
                <w:sz w:val="22"/>
                <w:szCs w:val="22"/>
              </w:rPr>
            </w:pPr>
            <w:r>
              <w:rPr>
                <w:color w:val="auto"/>
                <w:sz w:val="22"/>
                <w:szCs w:val="22"/>
              </w:rPr>
              <w:t>2.4.2</w:t>
            </w:r>
          </w:p>
        </w:tc>
        <w:tc>
          <w:tcPr>
            <w:tcW w:w="7370" w:type="dxa"/>
          </w:tcPr>
          <w:p w14:paraId="68A189AF">
            <w:pPr>
              <w:pStyle w:val="85"/>
              <w:jc w:val="both"/>
              <w:rPr>
                <w:color w:val="auto"/>
                <w:sz w:val="22"/>
                <w:szCs w:val="22"/>
              </w:rPr>
            </w:pPr>
            <w:r>
              <w:rPr>
                <w:color w:val="auto"/>
                <w:sz w:val="22"/>
                <w:szCs w:val="22"/>
              </w:rPr>
              <w:t>Распознавать и употреблять в устной и письменной речи нераспространенные и распространенные простые предложения</w:t>
            </w:r>
          </w:p>
        </w:tc>
      </w:tr>
      <w:tr w14:paraId="6B485B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701" w:type="dxa"/>
          </w:tcPr>
          <w:p w14:paraId="65DF10D5">
            <w:pPr>
              <w:pStyle w:val="85"/>
              <w:jc w:val="center"/>
              <w:rPr>
                <w:color w:val="auto"/>
                <w:sz w:val="22"/>
                <w:szCs w:val="22"/>
              </w:rPr>
            </w:pPr>
            <w:r>
              <w:rPr>
                <w:color w:val="auto"/>
                <w:sz w:val="22"/>
                <w:szCs w:val="22"/>
              </w:rPr>
              <w:t>2.4.3</w:t>
            </w:r>
          </w:p>
        </w:tc>
        <w:tc>
          <w:tcPr>
            <w:tcW w:w="7370" w:type="dxa"/>
          </w:tcPr>
          <w:p w14:paraId="416EFEEF">
            <w:pPr>
              <w:pStyle w:val="85"/>
              <w:jc w:val="both"/>
              <w:rPr>
                <w:color w:val="auto"/>
                <w:sz w:val="22"/>
                <w:szCs w:val="22"/>
              </w:rPr>
            </w:pPr>
            <w:r>
              <w:rPr>
                <w:color w:val="auto"/>
                <w:sz w:val="22"/>
                <w:szCs w:val="22"/>
              </w:rPr>
              <w:t>Распознавать и употреблять в устной и письменной речи предложения с начальным It</w:t>
            </w:r>
          </w:p>
        </w:tc>
      </w:tr>
      <w:tr w14:paraId="432790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701" w:type="dxa"/>
          </w:tcPr>
          <w:p w14:paraId="7F58D936">
            <w:pPr>
              <w:pStyle w:val="85"/>
              <w:jc w:val="center"/>
              <w:rPr>
                <w:color w:val="auto"/>
                <w:sz w:val="22"/>
                <w:szCs w:val="22"/>
              </w:rPr>
            </w:pPr>
            <w:r>
              <w:rPr>
                <w:color w:val="auto"/>
                <w:sz w:val="22"/>
                <w:szCs w:val="22"/>
              </w:rPr>
              <w:t>2.4.4</w:t>
            </w:r>
          </w:p>
        </w:tc>
        <w:tc>
          <w:tcPr>
            <w:tcW w:w="7370" w:type="dxa"/>
          </w:tcPr>
          <w:p w14:paraId="31AFFCB8">
            <w:pPr>
              <w:pStyle w:val="85"/>
              <w:jc w:val="both"/>
              <w:rPr>
                <w:color w:val="auto"/>
                <w:sz w:val="22"/>
                <w:szCs w:val="22"/>
              </w:rPr>
            </w:pPr>
            <w:r>
              <w:rPr>
                <w:color w:val="auto"/>
                <w:sz w:val="22"/>
                <w:szCs w:val="22"/>
              </w:rPr>
              <w:t>Распознавать и употреблять в устной и письменной речи предложения с начальным There + to be в Present Simple Tense</w:t>
            </w:r>
          </w:p>
        </w:tc>
      </w:tr>
      <w:tr w14:paraId="4F9F3E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701" w:type="dxa"/>
          </w:tcPr>
          <w:p w14:paraId="1C1FE72B">
            <w:pPr>
              <w:pStyle w:val="85"/>
              <w:jc w:val="center"/>
              <w:rPr>
                <w:color w:val="auto"/>
                <w:sz w:val="22"/>
                <w:szCs w:val="22"/>
              </w:rPr>
            </w:pPr>
            <w:r>
              <w:rPr>
                <w:color w:val="auto"/>
                <w:sz w:val="22"/>
                <w:szCs w:val="22"/>
              </w:rPr>
              <w:t>2.4.5</w:t>
            </w:r>
          </w:p>
        </w:tc>
        <w:tc>
          <w:tcPr>
            <w:tcW w:w="7370" w:type="dxa"/>
          </w:tcPr>
          <w:p w14:paraId="4D8A5CC8">
            <w:pPr>
              <w:pStyle w:val="85"/>
              <w:jc w:val="both"/>
              <w:rPr>
                <w:color w:val="auto"/>
                <w:sz w:val="22"/>
                <w:szCs w:val="22"/>
              </w:rPr>
            </w:pPr>
            <w:r>
              <w:rPr>
                <w:color w:val="auto"/>
                <w:sz w:val="22"/>
                <w:szCs w:val="22"/>
              </w:rPr>
              <w:t>Распознавать и употреблять в устной и письменной речи предложения с простым глагольным сказуемым (He speaks English.)</w:t>
            </w:r>
          </w:p>
        </w:tc>
      </w:tr>
      <w:tr w14:paraId="79BE5B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701" w:type="dxa"/>
          </w:tcPr>
          <w:p w14:paraId="78FD7F76">
            <w:pPr>
              <w:pStyle w:val="85"/>
              <w:jc w:val="center"/>
              <w:rPr>
                <w:color w:val="auto"/>
                <w:sz w:val="22"/>
                <w:szCs w:val="22"/>
              </w:rPr>
            </w:pPr>
            <w:r>
              <w:rPr>
                <w:color w:val="auto"/>
                <w:sz w:val="22"/>
                <w:szCs w:val="22"/>
              </w:rPr>
              <w:t>2.4.6</w:t>
            </w:r>
          </w:p>
        </w:tc>
        <w:tc>
          <w:tcPr>
            <w:tcW w:w="7370" w:type="dxa"/>
          </w:tcPr>
          <w:p w14:paraId="4A1B9321">
            <w:pPr>
              <w:pStyle w:val="85"/>
              <w:jc w:val="both"/>
              <w:rPr>
                <w:color w:val="auto"/>
                <w:sz w:val="22"/>
                <w:szCs w:val="22"/>
              </w:rPr>
            </w:pPr>
            <w:r>
              <w:rPr>
                <w:color w:val="auto"/>
                <w:sz w:val="22"/>
                <w:szCs w:val="22"/>
              </w:rPr>
              <w:t>Распознавать и употреблять в устной и письменной речи предложения с составным глагольным сказуемым (I want to dance. She can skate well.)</w:t>
            </w:r>
          </w:p>
        </w:tc>
      </w:tr>
      <w:tr w14:paraId="2F8814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701" w:type="dxa"/>
          </w:tcPr>
          <w:p w14:paraId="4BF95749">
            <w:pPr>
              <w:pStyle w:val="85"/>
              <w:jc w:val="center"/>
              <w:rPr>
                <w:color w:val="auto"/>
                <w:sz w:val="22"/>
                <w:szCs w:val="22"/>
              </w:rPr>
            </w:pPr>
            <w:r>
              <w:rPr>
                <w:color w:val="auto"/>
                <w:sz w:val="22"/>
                <w:szCs w:val="22"/>
              </w:rPr>
              <w:t>2.4.7</w:t>
            </w:r>
          </w:p>
        </w:tc>
        <w:tc>
          <w:tcPr>
            <w:tcW w:w="7370" w:type="dxa"/>
          </w:tcPr>
          <w:p w14:paraId="052E00FA">
            <w:pPr>
              <w:pStyle w:val="85"/>
              <w:jc w:val="both"/>
              <w:rPr>
                <w:color w:val="auto"/>
                <w:sz w:val="22"/>
                <w:szCs w:val="22"/>
              </w:rPr>
            </w:pPr>
            <w:r>
              <w:rPr>
                <w:color w:val="auto"/>
                <w:sz w:val="22"/>
                <w:szCs w:val="22"/>
              </w:rPr>
              <w:t>Распознавать и употреблять в устной и письменной речи предложения с глаголом-связкой to be в Present Simple Tense в составе таких фраз, как I'm Dima, I'm eight. I' fine. I'm sorry. It's ... Is it? What's ...?</w:t>
            </w:r>
          </w:p>
        </w:tc>
      </w:tr>
      <w:tr w14:paraId="029A52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701" w:type="dxa"/>
          </w:tcPr>
          <w:p w14:paraId="0046F9BA">
            <w:pPr>
              <w:pStyle w:val="85"/>
              <w:jc w:val="center"/>
              <w:rPr>
                <w:color w:val="auto"/>
                <w:sz w:val="22"/>
                <w:szCs w:val="22"/>
              </w:rPr>
            </w:pPr>
            <w:r>
              <w:rPr>
                <w:color w:val="auto"/>
                <w:sz w:val="22"/>
                <w:szCs w:val="22"/>
              </w:rPr>
              <w:t>2.4.8</w:t>
            </w:r>
          </w:p>
        </w:tc>
        <w:tc>
          <w:tcPr>
            <w:tcW w:w="7370" w:type="dxa"/>
          </w:tcPr>
          <w:p w14:paraId="660EB4D2">
            <w:pPr>
              <w:pStyle w:val="85"/>
              <w:jc w:val="both"/>
              <w:rPr>
                <w:color w:val="auto"/>
                <w:sz w:val="22"/>
                <w:szCs w:val="22"/>
              </w:rPr>
            </w:pPr>
            <w:r>
              <w:rPr>
                <w:color w:val="auto"/>
                <w:sz w:val="22"/>
                <w:szCs w:val="22"/>
              </w:rPr>
              <w:t>Распознавать и употреблять в устной и письменной речи предложения с краткими глагольными формами</w:t>
            </w:r>
          </w:p>
        </w:tc>
      </w:tr>
      <w:tr w14:paraId="6AEDD8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701" w:type="dxa"/>
          </w:tcPr>
          <w:p w14:paraId="1AAB23AE">
            <w:pPr>
              <w:pStyle w:val="85"/>
              <w:jc w:val="center"/>
              <w:rPr>
                <w:color w:val="auto"/>
                <w:sz w:val="22"/>
                <w:szCs w:val="22"/>
              </w:rPr>
            </w:pPr>
            <w:r>
              <w:rPr>
                <w:color w:val="auto"/>
                <w:sz w:val="22"/>
                <w:szCs w:val="22"/>
              </w:rPr>
              <w:t>2.4.9</w:t>
            </w:r>
          </w:p>
        </w:tc>
        <w:tc>
          <w:tcPr>
            <w:tcW w:w="7370" w:type="dxa"/>
          </w:tcPr>
          <w:p w14:paraId="216BD961">
            <w:pPr>
              <w:pStyle w:val="85"/>
              <w:jc w:val="both"/>
              <w:rPr>
                <w:color w:val="auto"/>
                <w:sz w:val="22"/>
                <w:szCs w:val="22"/>
              </w:rPr>
            </w:pPr>
            <w:r>
              <w:rPr>
                <w:color w:val="auto"/>
                <w:sz w:val="22"/>
                <w:szCs w:val="22"/>
              </w:rPr>
              <w:t>Распознавать и употреблять в устной и письменной речи повелительное наклонение: побудительные предложения в утвердительной форме (Come in, please.)</w:t>
            </w:r>
          </w:p>
        </w:tc>
      </w:tr>
      <w:tr w14:paraId="1A6C9F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701" w:type="dxa"/>
          </w:tcPr>
          <w:p w14:paraId="2881A9D7">
            <w:pPr>
              <w:pStyle w:val="85"/>
              <w:jc w:val="center"/>
              <w:rPr>
                <w:color w:val="auto"/>
                <w:sz w:val="22"/>
                <w:szCs w:val="22"/>
              </w:rPr>
            </w:pPr>
            <w:r>
              <w:rPr>
                <w:color w:val="auto"/>
                <w:sz w:val="22"/>
                <w:szCs w:val="22"/>
              </w:rPr>
              <w:t>2.4.10</w:t>
            </w:r>
          </w:p>
        </w:tc>
        <w:tc>
          <w:tcPr>
            <w:tcW w:w="7370" w:type="dxa"/>
          </w:tcPr>
          <w:p w14:paraId="55D3D249">
            <w:pPr>
              <w:pStyle w:val="85"/>
              <w:jc w:val="both"/>
              <w:rPr>
                <w:color w:val="auto"/>
                <w:sz w:val="22"/>
                <w:szCs w:val="22"/>
              </w:rPr>
            </w:pPr>
            <w:r>
              <w:rPr>
                <w:color w:val="auto"/>
                <w:sz w:val="22"/>
                <w:szCs w:val="22"/>
              </w:rPr>
              <w:t>Распознавать и употреблять в устной и письменной настоящее простое время (Present Simple Tense) в повествовательных (утвердительных и отрицательных) и вопросительных (общий и специальный вопросы) предложениях</w:t>
            </w:r>
          </w:p>
        </w:tc>
      </w:tr>
      <w:tr w14:paraId="27ACD4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701" w:type="dxa"/>
          </w:tcPr>
          <w:p w14:paraId="6379BF1C">
            <w:pPr>
              <w:pStyle w:val="85"/>
              <w:jc w:val="center"/>
              <w:rPr>
                <w:color w:val="auto"/>
                <w:sz w:val="22"/>
                <w:szCs w:val="22"/>
              </w:rPr>
            </w:pPr>
            <w:r>
              <w:rPr>
                <w:color w:val="auto"/>
                <w:sz w:val="22"/>
                <w:szCs w:val="22"/>
              </w:rPr>
              <w:t>2.4.11</w:t>
            </w:r>
          </w:p>
        </w:tc>
        <w:tc>
          <w:tcPr>
            <w:tcW w:w="7370" w:type="dxa"/>
          </w:tcPr>
          <w:p w14:paraId="7B7060A6">
            <w:pPr>
              <w:pStyle w:val="85"/>
              <w:jc w:val="both"/>
              <w:rPr>
                <w:color w:val="auto"/>
                <w:sz w:val="22"/>
                <w:szCs w:val="22"/>
              </w:rPr>
            </w:pPr>
            <w:r>
              <w:rPr>
                <w:color w:val="auto"/>
                <w:sz w:val="22"/>
                <w:szCs w:val="22"/>
              </w:rPr>
              <w:t>Распознавать и употреблять в устной и письменной речи глагольную конструкцию have got (I've got... Have you got...)</w:t>
            </w:r>
          </w:p>
        </w:tc>
      </w:tr>
      <w:tr w14:paraId="25FF16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701" w:type="dxa"/>
          </w:tcPr>
          <w:p w14:paraId="349A073F">
            <w:pPr>
              <w:pStyle w:val="85"/>
              <w:jc w:val="center"/>
              <w:rPr>
                <w:color w:val="auto"/>
                <w:sz w:val="22"/>
                <w:szCs w:val="22"/>
              </w:rPr>
            </w:pPr>
            <w:r>
              <w:rPr>
                <w:color w:val="auto"/>
                <w:sz w:val="22"/>
                <w:szCs w:val="22"/>
              </w:rPr>
              <w:t>2.4.12</w:t>
            </w:r>
          </w:p>
        </w:tc>
        <w:tc>
          <w:tcPr>
            <w:tcW w:w="7370" w:type="dxa"/>
          </w:tcPr>
          <w:p w14:paraId="4792EA45">
            <w:pPr>
              <w:pStyle w:val="85"/>
              <w:jc w:val="both"/>
              <w:rPr>
                <w:color w:val="auto"/>
                <w:sz w:val="22"/>
                <w:szCs w:val="22"/>
              </w:rPr>
            </w:pPr>
            <w:r>
              <w:rPr>
                <w:color w:val="auto"/>
                <w:sz w:val="22"/>
                <w:szCs w:val="22"/>
              </w:rPr>
              <w:t>Распознавать и употреблять в устной и письменной речи модальный глагол can/can't для выражения умения (I can ride a bike.) и отсутствия умения (I can't ride a bike.); can для получения разрешения (Can I go out?)</w:t>
            </w:r>
          </w:p>
        </w:tc>
      </w:tr>
      <w:tr w14:paraId="0E8D0B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701" w:type="dxa"/>
          </w:tcPr>
          <w:p w14:paraId="31EFFB43">
            <w:pPr>
              <w:pStyle w:val="85"/>
              <w:jc w:val="center"/>
              <w:rPr>
                <w:color w:val="auto"/>
                <w:sz w:val="22"/>
                <w:szCs w:val="22"/>
              </w:rPr>
            </w:pPr>
            <w:r>
              <w:rPr>
                <w:color w:val="auto"/>
                <w:sz w:val="22"/>
                <w:szCs w:val="22"/>
              </w:rPr>
              <w:t>2.4.13</w:t>
            </w:r>
          </w:p>
        </w:tc>
        <w:tc>
          <w:tcPr>
            <w:tcW w:w="7370" w:type="dxa"/>
          </w:tcPr>
          <w:p w14:paraId="69031999">
            <w:pPr>
              <w:pStyle w:val="85"/>
              <w:jc w:val="both"/>
              <w:rPr>
                <w:color w:val="auto"/>
                <w:sz w:val="22"/>
                <w:szCs w:val="22"/>
              </w:rPr>
            </w:pPr>
            <w:r>
              <w:rPr>
                <w:color w:val="auto"/>
                <w:sz w:val="22"/>
                <w:szCs w:val="22"/>
              </w:rPr>
              <w:t>Распознавать и употреблять в устной и письменной речи определенный, неопределенный и нулевой артикли с именами существительными (наиболее распространенные случаи)</w:t>
            </w:r>
          </w:p>
        </w:tc>
      </w:tr>
      <w:tr w14:paraId="1F0185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701" w:type="dxa"/>
          </w:tcPr>
          <w:p w14:paraId="65A8E4A9">
            <w:pPr>
              <w:pStyle w:val="85"/>
              <w:jc w:val="center"/>
              <w:rPr>
                <w:color w:val="auto"/>
                <w:sz w:val="22"/>
                <w:szCs w:val="22"/>
              </w:rPr>
            </w:pPr>
            <w:r>
              <w:rPr>
                <w:color w:val="auto"/>
                <w:sz w:val="22"/>
                <w:szCs w:val="22"/>
              </w:rPr>
              <w:t>2.4.14</w:t>
            </w:r>
          </w:p>
        </w:tc>
        <w:tc>
          <w:tcPr>
            <w:tcW w:w="7370" w:type="dxa"/>
          </w:tcPr>
          <w:p w14:paraId="6C36B25A">
            <w:pPr>
              <w:pStyle w:val="85"/>
              <w:jc w:val="both"/>
              <w:rPr>
                <w:color w:val="auto"/>
                <w:sz w:val="22"/>
                <w:szCs w:val="22"/>
              </w:rPr>
            </w:pPr>
            <w:r>
              <w:rPr>
                <w:color w:val="auto"/>
                <w:sz w:val="22"/>
                <w:szCs w:val="22"/>
              </w:rPr>
              <w:t>Распознавать и употреблять в устной и письменной речи существительные во множественном числе, образованные по правилу, и исключения (a pen - pens; a man - men)</w:t>
            </w:r>
          </w:p>
        </w:tc>
      </w:tr>
      <w:tr w14:paraId="24C10C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701" w:type="dxa"/>
          </w:tcPr>
          <w:p w14:paraId="17461B0E">
            <w:pPr>
              <w:pStyle w:val="85"/>
              <w:jc w:val="center"/>
              <w:rPr>
                <w:color w:val="auto"/>
                <w:sz w:val="22"/>
                <w:szCs w:val="22"/>
              </w:rPr>
            </w:pPr>
            <w:r>
              <w:rPr>
                <w:color w:val="auto"/>
                <w:sz w:val="22"/>
                <w:szCs w:val="22"/>
              </w:rPr>
              <w:t>2.4.15</w:t>
            </w:r>
          </w:p>
        </w:tc>
        <w:tc>
          <w:tcPr>
            <w:tcW w:w="7370" w:type="dxa"/>
          </w:tcPr>
          <w:p w14:paraId="11B58E1C">
            <w:pPr>
              <w:pStyle w:val="85"/>
              <w:jc w:val="both"/>
              <w:rPr>
                <w:color w:val="auto"/>
                <w:sz w:val="22"/>
                <w:szCs w:val="22"/>
              </w:rPr>
            </w:pPr>
            <w:r>
              <w:rPr>
                <w:color w:val="auto"/>
                <w:sz w:val="22"/>
                <w:szCs w:val="22"/>
              </w:rPr>
              <w:t>Распознавать и употреблять в устной и письменной речи личные и притяжательные местоимения</w:t>
            </w:r>
          </w:p>
        </w:tc>
      </w:tr>
      <w:tr w14:paraId="173920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701" w:type="dxa"/>
          </w:tcPr>
          <w:p w14:paraId="4752DADB">
            <w:pPr>
              <w:pStyle w:val="85"/>
              <w:jc w:val="center"/>
              <w:rPr>
                <w:color w:val="auto"/>
                <w:sz w:val="22"/>
                <w:szCs w:val="22"/>
              </w:rPr>
            </w:pPr>
            <w:r>
              <w:rPr>
                <w:color w:val="auto"/>
                <w:sz w:val="22"/>
                <w:szCs w:val="22"/>
              </w:rPr>
              <w:t>2.4.16</w:t>
            </w:r>
          </w:p>
        </w:tc>
        <w:tc>
          <w:tcPr>
            <w:tcW w:w="7370" w:type="dxa"/>
          </w:tcPr>
          <w:p w14:paraId="6F2DDE90">
            <w:pPr>
              <w:pStyle w:val="85"/>
              <w:jc w:val="both"/>
              <w:rPr>
                <w:color w:val="auto"/>
                <w:sz w:val="22"/>
                <w:szCs w:val="22"/>
              </w:rPr>
            </w:pPr>
            <w:r>
              <w:rPr>
                <w:color w:val="auto"/>
                <w:sz w:val="22"/>
                <w:szCs w:val="22"/>
              </w:rPr>
              <w:t>Распознавать и употреблять в устной и письменной речи указательные местоимения this - these</w:t>
            </w:r>
          </w:p>
        </w:tc>
      </w:tr>
      <w:tr w14:paraId="5CAB41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701" w:type="dxa"/>
          </w:tcPr>
          <w:p w14:paraId="3452EA3C">
            <w:pPr>
              <w:pStyle w:val="85"/>
              <w:jc w:val="center"/>
              <w:rPr>
                <w:color w:val="auto"/>
                <w:sz w:val="22"/>
                <w:szCs w:val="22"/>
              </w:rPr>
            </w:pPr>
            <w:r>
              <w:rPr>
                <w:color w:val="auto"/>
                <w:sz w:val="22"/>
                <w:szCs w:val="22"/>
              </w:rPr>
              <w:t>2.4.17</w:t>
            </w:r>
          </w:p>
        </w:tc>
        <w:tc>
          <w:tcPr>
            <w:tcW w:w="7370" w:type="dxa"/>
          </w:tcPr>
          <w:p w14:paraId="723661ED">
            <w:pPr>
              <w:pStyle w:val="85"/>
              <w:jc w:val="both"/>
              <w:rPr>
                <w:color w:val="auto"/>
                <w:sz w:val="22"/>
                <w:szCs w:val="22"/>
              </w:rPr>
            </w:pPr>
            <w:r>
              <w:rPr>
                <w:color w:val="auto"/>
                <w:sz w:val="22"/>
                <w:szCs w:val="22"/>
              </w:rPr>
              <w:t>Распознавать и употреблять в устной и письменной речи количественные числительные (1 - 12)</w:t>
            </w:r>
          </w:p>
        </w:tc>
      </w:tr>
      <w:tr w14:paraId="36C329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701" w:type="dxa"/>
          </w:tcPr>
          <w:p w14:paraId="5C941D54">
            <w:pPr>
              <w:pStyle w:val="85"/>
              <w:jc w:val="center"/>
              <w:rPr>
                <w:color w:val="auto"/>
                <w:sz w:val="22"/>
                <w:szCs w:val="22"/>
              </w:rPr>
            </w:pPr>
            <w:r>
              <w:rPr>
                <w:color w:val="auto"/>
                <w:sz w:val="22"/>
                <w:szCs w:val="22"/>
              </w:rPr>
              <w:t>2.4.18</w:t>
            </w:r>
          </w:p>
        </w:tc>
        <w:tc>
          <w:tcPr>
            <w:tcW w:w="7370" w:type="dxa"/>
          </w:tcPr>
          <w:p w14:paraId="5A142144">
            <w:pPr>
              <w:pStyle w:val="85"/>
              <w:jc w:val="both"/>
              <w:rPr>
                <w:color w:val="auto"/>
                <w:sz w:val="22"/>
                <w:szCs w:val="22"/>
              </w:rPr>
            </w:pPr>
            <w:r>
              <w:rPr>
                <w:color w:val="auto"/>
                <w:sz w:val="22"/>
                <w:szCs w:val="22"/>
              </w:rPr>
              <w:t>Распознавать и употреблять в устной и письменной речи вопросительные слова who, what, how, where, how many</w:t>
            </w:r>
          </w:p>
        </w:tc>
      </w:tr>
      <w:tr w14:paraId="594453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701" w:type="dxa"/>
          </w:tcPr>
          <w:p w14:paraId="71CDC7E6">
            <w:pPr>
              <w:pStyle w:val="85"/>
              <w:jc w:val="center"/>
              <w:rPr>
                <w:color w:val="auto"/>
                <w:sz w:val="22"/>
                <w:szCs w:val="22"/>
              </w:rPr>
            </w:pPr>
            <w:r>
              <w:rPr>
                <w:color w:val="auto"/>
                <w:sz w:val="22"/>
                <w:szCs w:val="22"/>
              </w:rPr>
              <w:t>2.4.19</w:t>
            </w:r>
          </w:p>
        </w:tc>
        <w:tc>
          <w:tcPr>
            <w:tcW w:w="7370" w:type="dxa"/>
          </w:tcPr>
          <w:p w14:paraId="3858B3AA">
            <w:pPr>
              <w:pStyle w:val="85"/>
              <w:jc w:val="both"/>
              <w:rPr>
                <w:color w:val="auto"/>
                <w:sz w:val="22"/>
                <w:szCs w:val="22"/>
              </w:rPr>
            </w:pPr>
            <w:r>
              <w:rPr>
                <w:color w:val="auto"/>
                <w:sz w:val="22"/>
                <w:szCs w:val="22"/>
              </w:rPr>
              <w:t>Распознавать и употреблять в устной и письменной речи предлоги места in, on, near, under</w:t>
            </w:r>
          </w:p>
        </w:tc>
      </w:tr>
      <w:tr w14:paraId="647E13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701" w:type="dxa"/>
          </w:tcPr>
          <w:p w14:paraId="4258FF42">
            <w:pPr>
              <w:pStyle w:val="85"/>
              <w:jc w:val="center"/>
              <w:rPr>
                <w:color w:val="auto"/>
                <w:sz w:val="22"/>
                <w:szCs w:val="22"/>
              </w:rPr>
            </w:pPr>
            <w:r>
              <w:rPr>
                <w:color w:val="auto"/>
                <w:sz w:val="22"/>
                <w:szCs w:val="22"/>
              </w:rPr>
              <w:t>2.4.20</w:t>
            </w:r>
          </w:p>
        </w:tc>
        <w:tc>
          <w:tcPr>
            <w:tcW w:w="7370" w:type="dxa"/>
          </w:tcPr>
          <w:p w14:paraId="3B3D7D4D">
            <w:pPr>
              <w:pStyle w:val="85"/>
              <w:jc w:val="both"/>
              <w:rPr>
                <w:color w:val="auto"/>
                <w:sz w:val="22"/>
                <w:szCs w:val="22"/>
              </w:rPr>
            </w:pPr>
            <w:r>
              <w:rPr>
                <w:color w:val="auto"/>
                <w:sz w:val="22"/>
                <w:szCs w:val="22"/>
              </w:rPr>
              <w:t>Распознавать и употреблять в устной и письменной речи союзы and и but при однородных членах</w:t>
            </w:r>
          </w:p>
        </w:tc>
      </w:tr>
      <w:tr w14:paraId="2975F0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701" w:type="dxa"/>
          </w:tcPr>
          <w:p w14:paraId="6DE453AF">
            <w:pPr>
              <w:pStyle w:val="85"/>
              <w:jc w:val="center"/>
              <w:rPr>
                <w:color w:val="auto"/>
                <w:sz w:val="22"/>
                <w:szCs w:val="22"/>
              </w:rPr>
            </w:pPr>
            <w:r>
              <w:rPr>
                <w:color w:val="auto"/>
                <w:sz w:val="22"/>
                <w:szCs w:val="22"/>
              </w:rPr>
              <w:t>3</w:t>
            </w:r>
          </w:p>
        </w:tc>
        <w:tc>
          <w:tcPr>
            <w:tcW w:w="7370" w:type="dxa"/>
          </w:tcPr>
          <w:p w14:paraId="11449650">
            <w:pPr>
              <w:pStyle w:val="85"/>
              <w:jc w:val="both"/>
              <w:rPr>
                <w:color w:val="auto"/>
                <w:sz w:val="22"/>
                <w:szCs w:val="22"/>
              </w:rPr>
            </w:pPr>
            <w:r>
              <w:rPr>
                <w:color w:val="auto"/>
                <w:sz w:val="22"/>
                <w:szCs w:val="22"/>
              </w:rPr>
              <w:t>Социокультурные знания и умения</w:t>
            </w:r>
          </w:p>
        </w:tc>
      </w:tr>
      <w:tr w14:paraId="3FEB2E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701" w:type="dxa"/>
          </w:tcPr>
          <w:p w14:paraId="1920DD55">
            <w:pPr>
              <w:pStyle w:val="85"/>
              <w:jc w:val="center"/>
              <w:rPr>
                <w:color w:val="auto"/>
                <w:sz w:val="22"/>
                <w:szCs w:val="22"/>
              </w:rPr>
            </w:pPr>
            <w:r>
              <w:rPr>
                <w:color w:val="auto"/>
                <w:sz w:val="22"/>
                <w:szCs w:val="22"/>
              </w:rPr>
              <w:t>3.1</w:t>
            </w:r>
          </w:p>
        </w:tc>
        <w:tc>
          <w:tcPr>
            <w:tcW w:w="7370" w:type="dxa"/>
          </w:tcPr>
          <w:p w14:paraId="4CF1F813">
            <w:pPr>
              <w:pStyle w:val="85"/>
              <w:jc w:val="both"/>
              <w:rPr>
                <w:color w:val="auto"/>
                <w:sz w:val="22"/>
                <w:szCs w:val="22"/>
              </w:rPr>
            </w:pPr>
            <w:r>
              <w:rPr>
                <w:color w:val="auto"/>
                <w:sz w:val="22"/>
                <w:szCs w:val="22"/>
              </w:rPr>
              <w:t>Владеть отдельными социокультурными элементами речевого поведенческого этикета, принятыми в англоязычной среде, в некоторых ситуациях общения: приветствие, прощание, знакомство, выражение благодарности, извинение, поздравление с днем рождения, Новым годом, Рождеством</w:t>
            </w:r>
          </w:p>
        </w:tc>
      </w:tr>
      <w:tr w14:paraId="17DA79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701" w:type="dxa"/>
          </w:tcPr>
          <w:p w14:paraId="0D60DD6F">
            <w:pPr>
              <w:pStyle w:val="85"/>
              <w:jc w:val="center"/>
              <w:rPr>
                <w:color w:val="auto"/>
                <w:sz w:val="22"/>
                <w:szCs w:val="22"/>
              </w:rPr>
            </w:pPr>
            <w:r>
              <w:rPr>
                <w:color w:val="auto"/>
                <w:sz w:val="22"/>
                <w:szCs w:val="22"/>
              </w:rPr>
              <w:t>3.2</w:t>
            </w:r>
          </w:p>
        </w:tc>
        <w:tc>
          <w:tcPr>
            <w:tcW w:w="7370" w:type="dxa"/>
          </w:tcPr>
          <w:p w14:paraId="79E26F20">
            <w:pPr>
              <w:pStyle w:val="85"/>
              <w:jc w:val="both"/>
              <w:rPr>
                <w:color w:val="auto"/>
                <w:sz w:val="22"/>
                <w:szCs w:val="22"/>
              </w:rPr>
            </w:pPr>
            <w:r>
              <w:rPr>
                <w:color w:val="auto"/>
                <w:sz w:val="22"/>
                <w:szCs w:val="22"/>
              </w:rPr>
              <w:t>Знать названия родной страны и страны (стран) изучаемого языка и их столиц</w:t>
            </w:r>
          </w:p>
        </w:tc>
      </w:tr>
    </w:tbl>
    <w:p w14:paraId="7B33C8B7">
      <w:pPr>
        <w:pStyle w:val="85"/>
        <w:ind w:firstLine="540"/>
        <w:jc w:val="both"/>
        <w:rPr>
          <w:color w:val="auto"/>
          <w:sz w:val="22"/>
          <w:szCs w:val="22"/>
        </w:rPr>
      </w:pPr>
    </w:p>
    <w:p w14:paraId="5473F9C1">
      <w:pPr>
        <w:pStyle w:val="85"/>
        <w:jc w:val="right"/>
        <w:rPr>
          <w:color w:val="auto"/>
          <w:sz w:val="22"/>
          <w:szCs w:val="22"/>
        </w:rPr>
      </w:pPr>
      <w:r>
        <w:rPr>
          <w:color w:val="auto"/>
          <w:sz w:val="22"/>
          <w:szCs w:val="22"/>
        </w:rPr>
        <w:t>Таблица 6.1</w:t>
      </w:r>
    </w:p>
    <w:p w14:paraId="521AA6B0">
      <w:pPr>
        <w:pStyle w:val="85"/>
        <w:ind w:firstLine="540"/>
        <w:jc w:val="both"/>
        <w:rPr>
          <w:color w:val="auto"/>
          <w:sz w:val="22"/>
          <w:szCs w:val="22"/>
        </w:rPr>
      </w:pPr>
    </w:p>
    <w:p w14:paraId="1DA195D0">
      <w:pPr>
        <w:pStyle w:val="85"/>
        <w:jc w:val="center"/>
        <w:rPr>
          <w:color w:val="auto"/>
          <w:sz w:val="22"/>
          <w:szCs w:val="22"/>
        </w:rPr>
      </w:pPr>
      <w:r>
        <w:rPr>
          <w:color w:val="auto"/>
          <w:sz w:val="22"/>
          <w:szCs w:val="22"/>
        </w:rPr>
        <w:t>Проверяемые элементы содержания (2 класс)</w:t>
      </w:r>
    </w:p>
    <w:p w14:paraId="2BFE01D1">
      <w:pPr>
        <w:pStyle w:val="85"/>
        <w:ind w:firstLine="540"/>
        <w:jc w:val="both"/>
        <w:rPr>
          <w:color w:val="auto"/>
          <w:sz w:val="22"/>
          <w:szCs w:val="22"/>
        </w:rPr>
      </w:pPr>
    </w:p>
    <w:tbl>
      <w:tblPr>
        <w:tblStyle w:val="1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02" w:type="dxa"/>
          <w:left w:w="62" w:type="dxa"/>
          <w:bottom w:w="102" w:type="dxa"/>
          <w:right w:w="62" w:type="dxa"/>
        </w:tblCellMar>
      </w:tblPr>
      <w:tblGrid>
        <w:gridCol w:w="1077"/>
        <w:gridCol w:w="7994"/>
      </w:tblGrid>
      <w:tr w14:paraId="4B81A5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077" w:type="dxa"/>
          </w:tcPr>
          <w:p w14:paraId="07775C20">
            <w:pPr>
              <w:pStyle w:val="85"/>
              <w:jc w:val="center"/>
              <w:rPr>
                <w:color w:val="auto"/>
                <w:sz w:val="22"/>
                <w:szCs w:val="22"/>
              </w:rPr>
            </w:pPr>
            <w:r>
              <w:rPr>
                <w:color w:val="auto"/>
                <w:sz w:val="22"/>
                <w:szCs w:val="22"/>
              </w:rPr>
              <w:t>Код</w:t>
            </w:r>
          </w:p>
        </w:tc>
        <w:tc>
          <w:tcPr>
            <w:tcW w:w="7994" w:type="dxa"/>
          </w:tcPr>
          <w:p w14:paraId="50104920">
            <w:pPr>
              <w:pStyle w:val="85"/>
              <w:jc w:val="center"/>
              <w:rPr>
                <w:color w:val="auto"/>
                <w:sz w:val="22"/>
                <w:szCs w:val="22"/>
              </w:rPr>
            </w:pPr>
            <w:r>
              <w:rPr>
                <w:color w:val="auto"/>
                <w:sz w:val="22"/>
                <w:szCs w:val="22"/>
              </w:rPr>
              <w:t>Проверяемый элемент содержания</w:t>
            </w:r>
          </w:p>
        </w:tc>
      </w:tr>
      <w:tr w14:paraId="1DC574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077" w:type="dxa"/>
          </w:tcPr>
          <w:p w14:paraId="156C68AB">
            <w:pPr>
              <w:pStyle w:val="85"/>
              <w:jc w:val="center"/>
              <w:rPr>
                <w:color w:val="auto"/>
                <w:sz w:val="22"/>
                <w:szCs w:val="22"/>
              </w:rPr>
            </w:pPr>
            <w:r>
              <w:rPr>
                <w:color w:val="auto"/>
                <w:sz w:val="22"/>
                <w:szCs w:val="22"/>
              </w:rPr>
              <w:t>1</w:t>
            </w:r>
          </w:p>
        </w:tc>
        <w:tc>
          <w:tcPr>
            <w:tcW w:w="7994" w:type="dxa"/>
          </w:tcPr>
          <w:p w14:paraId="0F27DB2D">
            <w:pPr>
              <w:pStyle w:val="85"/>
              <w:jc w:val="both"/>
              <w:rPr>
                <w:color w:val="auto"/>
                <w:sz w:val="22"/>
                <w:szCs w:val="22"/>
              </w:rPr>
            </w:pPr>
            <w:r>
              <w:rPr>
                <w:color w:val="auto"/>
                <w:sz w:val="22"/>
                <w:szCs w:val="22"/>
              </w:rPr>
              <w:t>Коммуникативные умения</w:t>
            </w:r>
          </w:p>
        </w:tc>
      </w:tr>
      <w:tr w14:paraId="47D07B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077" w:type="dxa"/>
          </w:tcPr>
          <w:p w14:paraId="545A15FF">
            <w:pPr>
              <w:pStyle w:val="85"/>
              <w:jc w:val="center"/>
              <w:rPr>
                <w:color w:val="auto"/>
                <w:sz w:val="22"/>
                <w:szCs w:val="22"/>
              </w:rPr>
            </w:pPr>
            <w:r>
              <w:rPr>
                <w:color w:val="auto"/>
                <w:sz w:val="22"/>
                <w:szCs w:val="22"/>
              </w:rPr>
              <w:t>1.1</w:t>
            </w:r>
          </w:p>
        </w:tc>
        <w:tc>
          <w:tcPr>
            <w:tcW w:w="7994" w:type="dxa"/>
          </w:tcPr>
          <w:p w14:paraId="072292DA">
            <w:pPr>
              <w:pStyle w:val="85"/>
              <w:jc w:val="both"/>
              <w:rPr>
                <w:color w:val="auto"/>
                <w:sz w:val="22"/>
                <w:szCs w:val="22"/>
              </w:rPr>
            </w:pPr>
            <w:r>
              <w:rPr>
                <w:color w:val="auto"/>
                <w:sz w:val="22"/>
                <w:szCs w:val="22"/>
              </w:rPr>
              <w:t>Говорение</w:t>
            </w:r>
          </w:p>
        </w:tc>
      </w:tr>
      <w:tr w14:paraId="47547A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077" w:type="dxa"/>
          </w:tcPr>
          <w:p w14:paraId="52049FF1">
            <w:pPr>
              <w:pStyle w:val="85"/>
              <w:jc w:val="center"/>
              <w:rPr>
                <w:color w:val="auto"/>
                <w:sz w:val="22"/>
                <w:szCs w:val="22"/>
              </w:rPr>
            </w:pPr>
            <w:r>
              <w:rPr>
                <w:color w:val="auto"/>
                <w:sz w:val="22"/>
                <w:szCs w:val="22"/>
              </w:rPr>
              <w:t>1.1.1</w:t>
            </w:r>
          </w:p>
        </w:tc>
        <w:tc>
          <w:tcPr>
            <w:tcW w:w="7994" w:type="dxa"/>
          </w:tcPr>
          <w:p w14:paraId="767AEC93">
            <w:pPr>
              <w:pStyle w:val="85"/>
              <w:jc w:val="both"/>
              <w:rPr>
                <w:color w:val="auto"/>
                <w:sz w:val="22"/>
                <w:szCs w:val="22"/>
              </w:rPr>
            </w:pPr>
            <w:r>
              <w:rPr>
                <w:color w:val="auto"/>
                <w:sz w:val="22"/>
                <w:szCs w:val="22"/>
              </w:rPr>
              <w:t>Диалогическая речь</w:t>
            </w:r>
          </w:p>
        </w:tc>
      </w:tr>
      <w:tr w14:paraId="4D8ED3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077" w:type="dxa"/>
          </w:tcPr>
          <w:p w14:paraId="4A6EFF24">
            <w:pPr>
              <w:pStyle w:val="85"/>
              <w:jc w:val="center"/>
              <w:rPr>
                <w:color w:val="auto"/>
                <w:sz w:val="22"/>
                <w:szCs w:val="22"/>
              </w:rPr>
            </w:pPr>
            <w:r>
              <w:rPr>
                <w:color w:val="auto"/>
                <w:sz w:val="22"/>
                <w:szCs w:val="22"/>
              </w:rPr>
              <w:t>1.1.1.1</w:t>
            </w:r>
          </w:p>
        </w:tc>
        <w:tc>
          <w:tcPr>
            <w:tcW w:w="7994" w:type="dxa"/>
          </w:tcPr>
          <w:p w14:paraId="61DB3120">
            <w:pPr>
              <w:pStyle w:val="85"/>
              <w:jc w:val="both"/>
              <w:rPr>
                <w:color w:val="auto"/>
                <w:sz w:val="22"/>
                <w:szCs w:val="22"/>
              </w:rPr>
            </w:pPr>
            <w:r>
              <w:rPr>
                <w:color w:val="auto"/>
                <w:sz w:val="22"/>
                <w:szCs w:val="22"/>
              </w:rPr>
              <w:t>Диалог этикетного характера с использованием речевых ситуаций, ключевых слов и (или) иллюстраций с соблюдением норм речевого этикета, принятых в стране (странах) изучаемого языка: приветствие, начало и завершение разговора, знакомство с собеседником; поздравление с праздником; выражение благодарности за поздравление; извинение</w:t>
            </w:r>
          </w:p>
        </w:tc>
      </w:tr>
      <w:tr w14:paraId="709B56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077" w:type="dxa"/>
          </w:tcPr>
          <w:p w14:paraId="1177E58A">
            <w:pPr>
              <w:pStyle w:val="85"/>
              <w:jc w:val="center"/>
              <w:rPr>
                <w:color w:val="auto"/>
                <w:sz w:val="22"/>
                <w:szCs w:val="22"/>
              </w:rPr>
            </w:pPr>
            <w:r>
              <w:rPr>
                <w:color w:val="auto"/>
                <w:sz w:val="22"/>
                <w:szCs w:val="22"/>
              </w:rPr>
              <w:t>1.1.1.2</w:t>
            </w:r>
          </w:p>
        </w:tc>
        <w:tc>
          <w:tcPr>
            <w:tcW w:w="7994" w:type="dxa"/>
          </w:tcPr>
          <w:p w14:paraId="06D8CFD7">
            <w:pPr>
              <w:pStyle w:val="85"/>
              <w:jc w:val="both"/>
              <w:rPr>
                <w:color w:val="auto"/>
                <w:sz w:val="22"/>
                <w:szCs w:val="22"/>
              </w:rPr>
            </w:pPr>
            <w:r>
              <w:rPr>
                <w:color w:val="auto"/>
                <w:sz w:val="22"/>
                <w:szCs w:val="22"/>
              </w:rPr>
              <w:t>Диалог-расспрос с использованием речевых ситуаций, ключевых слов и (или) иллюстраций с соблюдением норм речевого этикета, принятых в стране (странах) изучаемого языка: запрашивание интересующей информации, сообщение фактической информации, ответы на вопросы собеседника</w:t>
            </w:r>
          </w:p>
        </w:tc>
      </w:tr>
      <w:tr w14:paraId="2ABB7B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077" w:type="dxa"/>
          </w:tcPr>
          <w:p w14:paraId="30DF0B42">
            <w:pPr>
              <w:pStyle w:val="85"/>
              <w:jc w:val="center"/>
              <w:rPr>
                <w:color w:val="auto"/>
                <w:sz w:val="22"/>
                <w:szCs w:val="22"/>
              </w:rPr>
            </w:pPr>
            <w:r>
              <w:rPr>
                <w:color w:val="auto"/>
                <w:sz w:val="22"/>
                <w:szCs w:val="22"/>
              </w:rPr>
              <w:t>1.1.2</w:t>
            </w:r>
          </w:p>
        </w:tc>
        <w:tc>
          <w:tcPr>
            <w:tcW w:w="7994" w:type="dxa"/>
          </w:tcPr>
          <w:p w14:paraId="5646C276">
            <w:pPr>
              <w:pStyle w:val="85"/>
              <w:jc w:val="both"/>
              <w:rPr>
                <w:color w:val="auto"/>
                <w:sz w:val="22"/>
                <w:szCs w:val="22"/>
              </w:rPr>
            </w:pPr>
            <w:r>
              <w:rPr>
                <w:color w:val="auto"/>
                <w:sz w:val="22"/>
                <w:szCs w:val="22"/>
              </w:rPr>
              <w:t>Монологическая речь</w:t>
            </w:r>
          </w:p>
        </w:tc>
      </w:tr>
      <w:tr w14:paraId="502767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077" w:type="dxa"/>
          </w:tcPr>
          <w:p w14:paraId="469686CA">
            <w:pPr>
              <w:pStyle w:val="85"/>
              <w:jc w:val="center"/>
              <w:rPr>
                <w:color w:val="auto"/>
                <w:sz w:val="22"/>
                <w:szCs w:val="22"/>
              </w:rPr>
            </w:pPr>
            <w:r>
              <w:rPr>
                <w:color w:val="auto"/>
                <w:sz w:val="22"/>
                <w:szCs w:val="22"/>
              </w:rPr>
              <w:t>1.1.2.1</w:t>
            </w:r>
          </w:p>
        </w:tc>
        <w:tc>
          <w:tcPr>
            <w:tcW w:w="7994" w:type="dxa"/>
          </w:tcPr>
          <w:p w14:paraId="1D30E131">
            <w:pPr>
              <w:pStyle w:val="85"/>
              <w:jc w:val="both"/>
              <w:rPr>
                <w:color w:val="auto"/>
                <w:sz w:val="22"/>
                <w:szCs w:val="22"/>
              </w:rPr>
            </w:pPr>
            <w:r>
              <w:rPr>
                <w:color w:val="auto"/>
                <w:sz w:val="22"/>
                <w:szCs w:val="22"/>
              </w:rPr>
              <w:t>Описание предмета, реального человека или литературного персонажа с использованием речевых ситуаций, ключевых слов и (или) иллюстраций</w:t>
            </w:r>
          </w:p>
        </w:tc>
      </w:tr>
      <w:tr w14:paraId="67CC4E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077" w:type="dxa"/>
          </w:tcPr>
          <w:p w14:paraId="48D216C9">
            <w:pPr>
              <w:pStyle w:val="85"/>
              <w:jc w:val="center"/>
              <w:rPr>
                <w:color w:val="auto"/>
                <w:sz w:val="22"/>
                <w:szCs w:val="22"/>
              </w:rPr>
            </w:pPr>
            <w:r>
              <w:rPr>
                <w:color w:val="auto"/>
                <w:sz w:val="22"/>
                <w:szCs w:val="22"/>
              </w:rPr>
              <w:t>1.1.2.2</w:t>
            </w:r>
          </w:p>
        </w:tc>
        <w:tc>
          <w:tcPr>
            <w:tcW w:w="7994" w:type="dxa"/>
          </w:tcPr>
          <w:p w14:paraId="2AC80F93">
            <w:pPr>
              <w:pStyle w:val="85"/>
              <w:jc w:val="both"/>
              <w:rPr>
                <w:color w:val="auto"/>
                <w:sz w:val="22"/>
                <w:szCs w:val="22"/>
              </w:rPr>
            </w:pPr>
            <w:r>
              <w:rPr>
                <w:color w:val="auto"/>
                <w:sz w:val="22"/>
                <w:szCs w:val="22"/>
              </w:rPr>
              <w:t>Рассказ о себе, члене семьи, друге с использованием речевых ситуаций, ключевых слов и (или) иллюстраций</w:t>
            </w:r>
          </w:p>
        </w:tc>
      </w:tr>
      <w:tr w14:paraId="5E452E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077" w:type="dxa"/>
          </w:tcPr>
          <w:p w14:paraId="45155827">
            <w:pPr>
              <w:pStyle w:val="85"/>
              <w:jc w:val="center"/>
              <w:rPr>
                <w:color w:val="auto"/>
                <w:sz w:val="22"/>
                <w:szCs w:val="22"/>
              </w:rPr>
            </w:pPr>
            <w:r>
              <w:rPr>
                <w:color w:val="auto"/>
                <w:sz w:val="22"/>
                <w:szCs w:val="22"/>
              </w:rPr>
              <w:t>1.2</w:t>
            </w:r>
          </w:p>
        </w:tc>
        <w:tc>
          <w:tcPr>
            <w:tcW w:w="7994" w:type="dxa"/>
          </w:tcPr>
          <w:p w14:paraId="534C6980">
            <w:pPr>
              <w:pStyle w:val="85"/>
              <w:jc w:val="both"/>
              <w:rPr>
                <w:color w:val="auto"/>
                <w:sz w:val="22"/>
                <w:szCs w:val="22"/>
              </w:rPr>
            </w:pPr>
            <w:r>
              <w:rPr>
                <w:color w:val="auto"/>
                <w:sz w:val="22"/>
                <w:szCs w:val="22"/>
              </w:rPr>
              <w:t>Аудирование</w:t>
            </w:r>
          </w:p>
        </w:tc>
      </w:tr>
      <w:tr w14:paraId="3D7DC8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077" w:type="dxa"/>
          </w:tcPr>
          <w:p w14:paraId="2534F1FB">
            <w:pPr>
              <w:pStyle w:val="85"/>
              <w:jc w:val="center"/>
              <w:rPr>
                <w:color w:val="auto"/>
                <w:sz w:val="22"/>
                <w:szCs w:val="22"/>
              </w:rPr>
            </w:pPr>
            <w:r>
              <w:rPr>
                <w:color w:val="auto"/>
                <w:sz w:val="22"/>
                <w:szCs w:val="22"/>
              </w:rPr>
              <w:t>1.2.1</w:t>
            </w:r>
          </w:p>
        </w:tc>
        <w:tc>
          <w:tcPr>
            <w:tcW w:w="7994" w:type="dxa"/>
          </w:tcPr>
          <w:p w14:paraId="07E7B5F6">
            <w:pPr>
              <w:pStyle w:val="85"/>
              <w:jc w:val="both"/>
              <w:rPr>
                <w:color w:val="auto"/>
                <w:sz w:val="22"/>
                <w:szCs w:val="22"/>
              </w:rPr>
            </w:pPr>
            <w:r>
              <w:rPr>
                <w:color w:val="auto"/>
                <w:sz w:val="22"/>
                <w:szCs w:val="22"/>
              </w:rPr>
              <w:t>Понимание на слух речи учителя и других обучающихся и вербальная (невербальная) реакция на услышанное (при непосредственном общении)</w:t>
            </w:r>
          </w:p>
        </w:tc>
      </w:tr>
      <w:tr w14:paraId="64FE4A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077" w:type="dxa"/>
          </w:tcPr>
          <w:p w14:paraId="0BCF4528">
            <w:pPr>
              <w:pStyle w:val="85"/>
              <w:jc w:val="center"/>
              <w:rPr>
                <w:color w:val="auto"/>
                <w:sz w:val="22"/>
                <w:szCs w:val="22"/>
              </w:rPr>
            </w:pPr>
            <w:r>
              <w:rPr>
                <w:color w:val="auto"/>
                <w:sz w:val="22"/>
                <w:szCs w:val="22"/>
              </w:rPr>
              <w:t>1.2.2</w:t>
            </w:r>
          </w:p>
        </w:tc>
        <w:tc>
          <w:tcPr>
            <w:tcW w:w="7994" w:type="dxa"/>
          </w:tcPr>
          <w:p w14:paraId="4EA2369C">
            <w:pPr>
              <w:pStyle w:val="85"/>
              <w:jc w:val="both"/>
              <w:rPr>
                <w:color w:val="auto"/>
                <w:sz w:val="22"/>
                <w:szCs w:val="22"/>
              </w:rPr>
            </w:pPr>
            <w:r>
              <w:rPr>
                <w:color w:val="auto"/>
                <w:sz w:val="22"/>
                <w:szCs w:val="22"/>
              </w:rPr>
              <w:t>Аудирование с пониманием основного содержания учебных текстов, построенных на изученном языковом материале: определение основной темы и главных фактов (событий) в воспринимаемом на слух тексте с использованием иллюстраций и языковой догадки</w:t>
            </w:r>
          </w:p>
        </w:tc>
      </w:tr>
      <w:tr w14:paraId="70BE77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077" w:type="dxa"/>
          </w:tcPr>
          <w:p w14:paraId="7D79BB83">
            <w:pPr>
              <w:pStyle w:val="85"/>
              <w:jc w:val="center"/>
              <w:rPr>
                <w:color w:val="auto"/>
                <w:sz w:val="22"/>
                <w:szCs w:val="22"/>
              </w:rPr>
            </w:pPr>
            <w:r>
              <w:rPr>
                <w:color w:val="auto"/>
                <w:sz w:val="22"/>
                <w:szCs w:val="22"/>
              </w:rPr>
              <w:t>1.2.3</w:t>
            </w:r>
          </w:p>
        </w:tc>
        <w:tc>
          <w:tcPr>
            <w:tcW w:w="7994" w:type="dxa"/>
          </w:tcPr>
          <w:p w14:paraId="4300AF5B">
            <w:pPr>
              <w:pStyle w:val="85"/>
              <w:jc w:val="both"/>
              <w:rPr>
                <w:color w:val="auto"/>
                <w:sz w:val="22"/>
                <w:szCs w:val="22"/>
              </w:rPr>
            </w:pPr>
            <w:r>
              <w:rPr>
                <w:color w:val="auto"/>
                <w:sz w:val="22"/>
                <w:szCs w:val="22"/>
              </w:rPr>
              <w:t>Аудирование с пониманием запрашиваемой информации в учебных текстах, построенных на изученном языковом материале: выделение из воспринимаемого на слух текста и понимание информации фактического характера (например, имя, возраст, любимое занятие, цвет) с использованием иллюстраций и языковой догадки</w:t>
            </w:r>
          </w:p>
        </w:tc>
      </w:tr>
      <w:tr w14:paraId="556706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077" w:type="dxa"/>
          </w:tcPr>
          <w:p w14:paraId="624BC886">
            <w:pPr>
              <w:pStyle w:val="85"/>
              <w:jc w:val="center"/>
              <w:rPr>
                <w:color w:val="auto"/>
                <w:sz w:val="22"/>
                <w:szCs w:val="22"/>
              </w:rPr>
            </w:pPr>
            <w:r>
              <w:rPr>
                <w:color w:val="auto"/>
                <w:sz w:val="22"/>
                <w:szCs w:val="22"/>
              </w:rPr>
              <w:t>1.3</w:t>
            </w:r>
          </w:p>
        </w:tc>
        <w:tc>
          <w:tcPr>
            <w:tcW w:w="7994" w:type="dxa"/>
          </w:tcPr>
          <w:p w14:paraId="09E6745F">
            <w:pPr>
              <w:pStyle w:val="85"/>
              <w:jc w:val="both"/>
              <w:rPr>
                <w:color w:val="auto"/>
                <w:sz w:val="22"/>
                <w:szCs w:val="22"/>
              </w:rPr>
            </w:pPr>
            <w:r>
              <w:rPr>
                <w:color w:val="auto"/>
                <w:sz w:val="22"/>
                <w:szCs w:val="22"/>
              </w:rPr>
              <w:t>Смысловое чтение</w:t>
            </w:r>
          </w:p>
        </w:tc>
      </w:tr>
      <w:tr w14:paraId="25B755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077" w:type="dxa"/>
          </w:tcPr>
          <w:p w14:paraId="3C9CDDF2">
            <w:pPr>
              <w:pStyle w:val="85"/>
              <w:jc w:val="center"/>
              <w:rPr>
                <w:color w:val="auto"/>
                <w:sz w:val="22"/>
                <w:szCs w:val="22"/>
              </w:rPr>
            </w:pPr>
            <w:r>
              <w:rPr>
                <w:color w:val="auto"/>
                <w:sz w:val="22"/>
                <w:szCs w:val="22"/>
              </w:rPr>
              <w:t>1.3.1</w:t>
            </w:r>
          </w:p>
        </w:tc>
        <w:tc>
          <w:tcPr>
            <w:tcW w:w="7994" w:type="dxa"/>
          </w:tcPr>
          <w:p w14:paraId="40FCA327">
            <w:pPr>
              <w:pStyle w:val="85"/>
              <w:jc w:val="both"/>
              <w:rPr>
                <w:color w:val="auto"/>
                <w:sz w:val="22"/>
                <w:szCs w:val="22"/>
              </w:rPr>
            </w:pPr>
            <w:r>
              <w:rPr>
                <w:color w:val="auto"/>
                <w:sz w:val="22"/>
                <w:szCs w:val="22"/>
              </w:rPr>
              <w:t>Чтение вслух учебных текстов, построенных на изученном языковом материале, с соблюдением правил чтения и соответствующей интонацией; понимание прочитанного</w:t>
            </w:r>
          </w:p>
        </w:tc>
      </w:tr>
      <w:tr w14:paraId="116001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077" w:type="dxa"/>
          </w:tcPr>
          <w:p w14:paraId="392EF286">
            <w:pPr>
              <w:pStyle w:val="85"/>
              <w:jc w:val="center"/>
              <w:rPr>
                <w:color w:val="auto"/>
                <w:sz w:val="22"/>
                <w:szCs w:val="22"/>
              </w:rPr>
            </w:pPr>
            <w:r>
              <w:rPr>
                <w:color w:val="auto"/>
                <w:sz w:val="22"/>
                <w:szCs w:val="22"/>
              </w:rPr>
              <w:t>1.3.2</w:t>
            </w:r>
          </w:p>
        </w:tc>
        <w:tc>
          <w:tcPr>
            <w:tcW w:w="7994" w:type="dxa"/>
          </w:tcPr>
          <w:p w14:paraId="2C807372">
            <w:pPr>
              <w:pStyle w:val="85"/>
              <w:jc w:val="both"/>
              <w:rPr>
                <w:color w:val="auto"/>
                <w:sz w:val="22"/>
                <w:szCs w:val="22"/>
              </w:rPr>
            </w:pPr>
            <w:r>
              <w:rPr>
                <w:color w:val="auto"/>
                <w:sz w:val="22"/>
                <w:szCs w:val="22"/>
              </w:rPr>
              <w:t>Чтение про себя и понимание основного содержания учебных текстов, построенных на изученном языковом материале: определение основной темы и главных фактов (событий) в прочитанном тексте с использованием иллюстраций и языковой догадки</w:t>
            </w:r>
          </w:p>
        </w:tc>
      </w:tr>
      <w:tr w14:paraId="7ACDD1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077" w:type="dxa"/>
          </w:tcPr>
          <w:p w14:paraId="6494A26D">
            <w:pPr>
              <w:pStyle w:val="85"/>
              <w:jc w:val="center"/>
              <w:rPr>
                <w:color w:val="auto"/>
                <w:sz w:val="22"/>
                <w:szCs w:val="22"/>
              </w:rPr>
            </w:pPr>
            <w:r>
              <w:rPr>
                <w:color w:val="auto"/>
                <w:sz w:val="22"/>
                <w:szCs w:val="22"/>
              </w:rPr>
              <w:t>1.3.3</w:t>
            </w:r>
          </w:p>
        </w:tc>
        <w:tc>
          <w:tcPr>
            <w:tcW w:w="7994" w:type="dxa"/>
          </w:tcPr>
          <w:p w14:paraId="72F7C389">
            <w:pPr>
              <w:pStyle w:val="85"/>
              <w:jc w:val="both"/>
              <w:rPr>
                <w:color w:val="auto"/>
                <w:sz w:val="22"/>
                <w:szCs w:val="22"/>
              </w:rPr>
            </w:pPr>
            <w:r>
              <w:rPr>
                <w:color w:val="auto"/>
                <w:sz w:val="22"/>
                <w:szCs w:val="22"/>
              </w:rPr>
              <w:t>Чтение про себя и понимание запрашиваемой информации в учебных текстах, построенных на изученном языковом материале: нахождение в прочитанном тексте и понимание запрашиваемой информации фактического характера с использованием иллюстраций и языковой догадки</w:t>
            </w:r>
          </w:p>
        </w:tc>
      </w:tr>
      <w:tr w14:paraId="292DCA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077" w:type="dxa"/>
          </w:tcPr>
          <w:p w14:paraId="677EAA03">
            <w:pPr>
              <w:pStyle w:val="85"/>
              <w:jc w:val="center"/>
              <w:rPr>
                <w:color w:val="auto"/>
                <w:sz w:val="22"/>
                <w:szCs w:val="22"/>
              </w:rPr>
            </w:pPr>
            <w:r>
              <w:rPr>
                <w:color w:val="auto"/>
                <w:sz w:val="22"/>
                <w:szCs w:val="22"/>
              </w:rPr>
              <w:t>1.4</w:t>
            </w:r>
          </w:p>
        </w:tc>
        <w:tc>
          <w:tcPr>
            <w:tcW w:w="7994" w:type="dxa"/>
          </w:tcPr>
          <w:p w14:paraId="0EDAA19E">
            <w:pPr>
              <w:pStyle w:val="85"/>
              <w:jc w:val="both"/>
              <w:rPr>
                <w:color w:val="auto"/>
                <w:sz w:val="22"/>
                <w:szCs w:val="22"/>
              </w:rPr>
            </w:pPr>
            <w:r>
              <w:rPr>
                <w:color w:val="auto"/>
                <w:sz w:val="22"/>
                <w:szCs w:val="22"/>
              </w:rPr>
              <w:t>Письмо</w:t>
            </w:r>
          </w:p>
        </w:tc>
      </w:tr>
      <w:tr w14:paraId="37641C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077" w:type="dxa"/>
          </w:tcPr>
          <w:p w14:paraId="4A32F5C9">
            <w:pPr>
              <w:pStyle w:val="85"/>
              <w:jc w:val="center"/>
              <w:rPr>
                <w:color w:val="auto"/>
                <w:sz w:val="22"/>
                <w:szCs w:val="22"/>
              </w:rPr>
            </w:pPr>
            <w:r>
              <w:rPr>
                <w:color w:val="auto"/>
                <w:sz w:val="22"/>
                <w:szCs w:val="22"/>
              </w:rPr>
              <w:t>1.4.1</w:t>
            </w:r>
          </w:p>
        </w:tc>
        <w:tc>
          <w:tcPr>
            <w:tcW w:w="7994" w:type="dxa"/>
          </w:tcPr>
          <w:p w14:paraId="3F93D01B">
            <w:pPr>
              <w:pStyle w:val="85"/>
              <w:jc w:val="both"/>
              <w:rPr>
                <w:color w:val="auto"/>
                <w:sz w:val="22"/>
                <w:szCs w:val="22"/>
              </w:rPr>
            </w:pPr>
            <w:r>
              <w:rPr>
                <w:color w:val="auto"/>
                <w:sz w:val="22"/>
                <w:szCs w:val="22"/>
              </w:rPr>
              <w:t>Овладение техникой письма (полупечатное написание букв, буквосочетаний, слов)</w:t>
            </w:r>
          </w:p>
        </w:tc>
      </w:tr>
      <w:tr w14:paraId="561BC9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077" w:type="dxa"/>
          </w:tcPr>
          <w:p w14:paraId="77F1F2FA">
            <w:pPr>
              <w:pStyle w:val="85"/>
              <w:jc w:val="center"/>
              <w:rPr>
                <w:color w:val="auto"/>
                <w:sz w:val="22"/>
                <w:szCs w:val="22"/>
              </w:rPr>
            </w:pPr>
            <w:r>
              <w:rPr>
                <w:color w:val="auto"/>
                <w:sz w:val="22"/>
                <w:szCs w:val="22"/>
              </w:rPr>
              <w:t>1.4.2</w:t>
            </w:r>
          </w:p>
        </w:tc>
        <w:tc>
          <w:tcPr>
            <w:tcW w:w="7994" w:type="dxa"/>
          </w:tcPr>
          <w:p w14:paraId="2F399A2F">
            <w:pPr>
              <w:pStyle w:val="85"/>
              <w:jc w:val="both"/>
              <w:rPr>
                <w:color w:val="auto"/>
                <w:sz w:val="22"/>
                <w:szCs w:val="22"/>
              </w:rPr>
            </w:pPr>
            <w:r>
              <w:rPr>
                <w:color w:val="auto"/>
                <w:sz w:val="22"/>
                <w:szCs w:val="22"/>
              </w:rPr>
              <w:t>Воспроизведение речевых образцов, списывание текста, выписывание из текста слов, словосочетаний, предложений; вставка пропущенных букв в слово или слов в предложение, дописывание предложений в соответствии с решаемой учебной задачей</w:t>
            </w:r>
          </w:p>
        </w:tc>
      </w:tr>
      <w:tr w14:paraId="245256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077" w:type="dxa"/>
          </w:tcPr>
          <w:p w14:paraId="7EB9C36C">
            <w:pPr>
              <w:pStyle w:val="85"/>
              <w:jc w:val="center"/>
              <w:rPr>
                <w:color w:val="auto"/>
                <w:sz w:val="22"/>
                <w:szCs w:val="22"/>
              </w:rPr>
            </w:pPr>
            <w:r>
              <w:rPr>
                <w:color w:val="auto"/>
                <w:sz w:val="22"/>
                <w:szCs w:val="22"/>
              </w:rPr>
              <w:t>1.4.3</w:t>
            </w:r>
          </w:p>
        </w:tc>
        <w:tc>
          <w:tcPr>
            <w:tcW w:w="7994" w:type="dxa"/>
          </w:tcPr>
          <w:p w14:paraId="7BDDEEFE">
            <w:pPr>
              <w:pStyle w:val="85"/>
              <w:jc w:val="both"/>
              <w:rPr>
                <w:color w:val="auto"/>
                <w:sz w:val="22"/>
                <w:szCs w:val="22"/>
              </w:rPr>
            </w:pPr>
            <w:r>
              <w:rPr>
                <w:color w:val="auto"/>
                <w:sz w:val="22"/>
                <w:szCs w:val="22"/>
              </w:rPr>
              <w:t>Заполнение простых формуляров с указанием личной информации (имя, фамилия, возраст, страна проживания) в соответствии с нормами, принятыми в стране (странах) изучаемого языка</w:t>
            </w:r>
          </w:p>
        </w:tc>
      </w:tr>
      <w:tr w14:paraId="7F831C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077" w:type="dxa"/>
          </w:tcPr>
          <w:p w14:paraId="48AA79F1">
            <w:pPr>
              <w:pStyle w:val="85"/>
              <w:jc w:val="center"/>
              <w:rPr>
                <w:color w:val="auto"/>
                <w:sz w:val="22"/>
                <w:szCs w:val="22"/>
              </w:rPr>
            </w:pPr>
            <w:r>
              <w:rPr>
                <w:color w:val="auto"/>
                <w:sz w:val="22"/>
                <w:szCs w:val="22"/>
              </w:rPr>
              <w:t>1.4.4</w:t>
            </w:r>
          </w:p>
        </w:tc>
        <w:tc>
          <w:tcPr>
            <w:tcW w:w="7994" w:type="dxa"/>
          </w:tcPr>
          <w:p w14:paraId="08716E50">
            <w:pPr>
              <w:pStyle w:val="85"/>
              <w:jc w:val="both"/>
              <w:rPr>
                <w:color w:val="auto"/>
                <w:sz w:val="22"/>
                <w:szCs w:val="22"/>
              </w:rPr>
            </w:pPr>
            <w:r>
              <w:rPr>
                <w:color w:val="auto"/>
                <w:sz w:val="22"/>
                <w:szCs w:val="22"/>
              </w:rPr>
              <w:t>Написание с использованием образца коротких поздравлений с праздниками (с днем рождения, Новым годом)</w:t>
            </w:r>
          </w:p>
        </w:tc>
      </w:tr>
      <w:tr w14:paraId="7B2134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077" w:type="dxa"/>
          </w:tcPr>
          <w:p w14:paraId="7DB72272">
            <w:pPr>
              <w:pStyle w:val="85"/>
              <w:jc w:val="center"/>
              <w:rPr>
                <w:color w:val="auto"/>
                <w:sz w:val="22"/>
                <w:szCs w:val="22"/>
              </w:rPr>
            </w:pPr>
            <w:r>
              <w:rPr>
                <w:color w:val="auto"/>
                <w:sz w:val="22"/>
                <w:szCs w:val="22"/>
              </w:rPr>
              <w:t>2</w:t>
            </w:r>
          </w:p>
        </w:tc>
        <w:tc>
          <w:tcPr>
            <w:tcW w:w="7994" w:type="dxa"/>
          </w:tcPr>
          <w:p w14:paraId="51DC3D73">
            <w:pPr>
              <w:pStyle w:val="85"/>
              <w:jc w:val="both"/>
              <w:rPr>
                <w:color w:val="auto"/>
                <w:sz w:val="22"/>
                <w:szCs w:val="22"/>
              </w:rPr>
            </w:pPr>
            <w:r>
              <w:rPr>
                <w:color w:val="auto"/>
                <w:sz w:val="22"/>
                <w:szCs w:val="22"/>
              </w:rPr>
              <w:t>Языковые знания и навыки</w:t>
            </w:r>
          </w:p>
        </w:tc>
      </w:tr>
      <w:tr w14:paraId="5376C2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077" w:type="dxa"/>
          </w:tcPr>
          <w:p w14:paraId="2D3D3C86">
            <w:pPr>
              <w:pStyle w:val="85"/>
              <w:jc w:val="center"/>
              <w:rPr>
                <w:color w:val="auto"/>
                <w:sz w:val="22"/>
                <w:szCs w:val="22"/>
              </w:rPr>
            </w:pPr>
            <w:r>
              <w:rPr>
                <w:color w:val="auto"/>
                <w:sz w:val="22"/>
                <w:szCs w:val="22"/>
              </w:rPr>
              <w:t>2.1</w:t>
            </w:r>
          </w:p>
        </w:tc>
        <w:tc>
          <w:tcPr>
            <w:tcW w:w="7994" w:type="dxa"/>
          </w:tcPr>
          <w:p w14:paraId="3BBF23E5">
            <w:pPr>
              <w:pStyle w:val="85"/>
              <w:jc w:val="both"/>
              <w:rPr>
                <w:color w:val="auto"/>
                <w:sz w:val="22"/>
                <w:szCs w:val="22"/>
              </w:rPr>
            </w:pPr>
            <w:r>
              <w:rPr>
                <w:color w:val="auto"/>
                <w:sz w:val="22"/>
                <w:szCs w:val="22"/>
              </w:rPr>
              <w:t>Фонетическая сторона речи</w:t>
            </w:r>
          </w:p>
        </w:tc>
      </w:tr>
      <w:tr w14:paraId="44A710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077" w:type="dxa"/>
          </w:tcPr>
          <w:p w14:paraId="1946C2E0">
            <w:pPr>
              <w:pStyle w:val="85"/>
              <w:jc w:val="center"/>
              <w:rPr>
                <w:color w:val="auto"/>
                <w:sz w:val="22"/>
                <w:szCs w:val="22"/>
              </w:rPr>
            </w:pPr>
            <w:r>
              <w:rPr>
                <w:color w:val="auto"/>
                <w:sz w:val="22"/>
                <w:szCs w:val="22"/>
              </w:rPr>
              <w:t>2.1.1</w:t>
            </w:r>
          </w:p>
        </w:tc>
        <w:tc>
          <w:tcPr>
            <w:tcW w:w="7994" w:type="dxa"/>
          </w:tcPr>
          <w:p w14:paraId="2566A499">
            <w:pPr>
              <w:pStyle w:val="85"/>
              <w:jc w:val="both"/>
              <w:rPr>
                <w:color w:val="auto"/>
                <w:sz w:val="22"/>
                <w:szCs w:val="22"/>
              </w:rPr>
            </w:pPr>
            <w:r>
              <w:rPr>
                <w:color w:val="auto"/>
                <w:sz w:val="22"/>
                <w:szCs w:val="22"/>
              </w:rPr>
              <w:t>Буквы английского алфавита. Корректное называние букв английского алфавита</w:t>
            </w:r>
          </w:p>
        </w:tc>
      </w:tr>
      <w:tr w14:paraId="74C7B7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077" w:type="dxa"/>
          </w:tcPr>
          <w:p w14:paraId="616FC9E9">
            <w:pPr>
              <w:pStyle w:val="85"/>
              <w:jc w:val="center"/>
              <w:rPr>
                <w:color w:val="auto"/>
                <w:sz w:val="22"/>
                <w:szCs w:val="22"/>
              </w:rPr>
            </w:pPr>
            <w:r>
              <w:rPr>
                <w:color w:val="auto"/>
                <w:sz w:val="22"/>
                <w:szCs w:val="22"/>
              </w:rPr>
              <w:t>2.1.2</w:t>
            </w:r>
          </w:p>
        </w:tc>
        <w:tc>
          <w:tcPr>
            <w:tcW w:w="7994" w:type="dxa"/>
          </w:tcPr>
          <w:p w14:paraId="0639B0CB">
            <w:pPr>
              <w:pStyle w:val="85"/>
              <w:jc w:val="both"/>
              <w:rPr>
                <w:color w:val="auto"/>
                <w:sz w:val="22"/>
                <w:szCs w:val="22"/>
              </w:rPr>
            </w:pPr>
            <w:r>
              <w:rPr>
                <w:color w:val="auto"/>
                <w:sz w:val="22"/>
                <w:szCs w:val="22"/>
              </w:rPr>
              <w:t>Нормы произношения: долгота и краткость гласных, отсутствие оглушения звонких согласных в конце слога или слова, отсутствие смягчения согласных перед гласными. Связующее "r" (there is/there are)</w:t>
            </w:r>
          </w:p>
        </w:tc>
      </w:tr>
      <w:tr w14:paraId="246137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077" w:type="dxa"/>
          </w:tcPr>
          <w:p w14:paraId="350B7737">
            <w:pPr>
              <w:pStyle w:val="85"/>
              <w:jc w:val="center"/>
              <w:rPr>
                <w:color w:val="auto"/>
                <w:sz w:val="22"/>
                <w:szCs w:val="22"/>
              </w:rPr>
            </w:pPr>
            <w:r>
              <w:rPr>
                <w:color w:val="auto"/>
                <w:sz w:val="22"/>
                <w:szCs w:val="22"/>
              </w:rPr>
              <w:t>2.1.3</w:t>
            </w:r>
          </w:p>
        </w:tc>
        <w:tc>
          <w:tcPr>
            <w:tcW w:w="7994" w:type="dxa"/>
          </w:tcPr>
          <w:p w14:paraId="0F7AE522">
            <w:pPr>
              <w:pStyle w:val="85"/>
              <w:jc w:val="both"/>
              <w:rPr>
                <w:color w:val="auto"/>
                <w:sz w:val="22"/>
                <w:szCs w:val="22"/>
              </w:rPr>
            </w:pPr>
            <w:r>
              <w:rPr>
                <w:color w:val="auto"/>
                <w:sz w:val="22"/>
                <w:szCs w:val="22"/>
              </w:rPr>
              <w:t>Правила чтения гласных в открытом и закрытом слоге в односложных словах; согласных; основных звукобуквенных сочетаний. Выделение из слова некоторых звукобуквенных сочетаний при анализе изученных слов</w:t>
            </w:r>
          </w:p>
        </w:tc>
      </w:tr>
      <w:tr w14:paraId="47D355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077" w:type="dxa"/>
          </w:tcPr>
          <w:p w14:paraId="36000783">
            <w:pPr>
              <w:pStyle w:val="85"/>
              <w:jc w:val="center"/>
              <w:rPr>
                <w:color w:val="auto"/>
                <w:sz w:val="22"/>
                <w:szCs w:val="22"/>
              </w:rPr>
            </w:pPr>
            <w:r>
              <w:rPr>
                <w:color w:val="auto"/>
                <w:sz w:val="22"/>
                <w:szCs w:val="22"/>
              </w:rPr>
              <w:t>2.1.4</w:t>
            </w:r>
          </w:p>
        </w:tc>
        <w:tc>
          <w:tcPr>
            <w:tcW w:w="7994" w:type="dxa"/>
          </w:tcPr>
          <w:p w14:paraId="4ADE80EE">
            <w:pPr>
              <w:pStyle w:val="85"/>
              <w:jc w:val="both"/>
              <w:rPr>
                <w:color w:val="auto"/>
                <w:sz w:val="22"/>
                <w:szCs w:val="22"/>
              </w:rPr>
            </w:pPr>
            <w:r>
              <w:rPr>
                <w:color w:val="auto"/>
                <w:sz w:val="22"/>
                <w:szCs w:val="22"/>
              </w:rPr>
              <w:t>Чтение новых слов согласно основным правилам чтения английского языка</w:t>
            </w:r>
          </w:p>
        </w:tc>
      </w:tr>
      <w:tr w14:paraId="69720B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077" w:type="dxa"/>
          </w:tcPr>
          <w:p w14:paraId="23FEA2C4">
            <w:pPr>
              <w:pStyle w:val="85"/>
              <w:jc w:val="center"/>
              <w:rPr>
                <w:color w:val="auto"/>
                <w:sz w:val="22"/>
                <w:szCs w:val="22"/>
              </w:rPr>
            </w:pPr>
            <w:r>
              <w:rPr>
                <w:color w:val="auto"/>
                <w:sz w:val="22"/>
                <w:szCs w:val="22"/>
              </w:rPr>
              <w:t>2.1.5</w:t>
            </w:r>
          </w:p>
        </w:tc>
        <w:tc>
          <w:tcPr>
            <w:tcW w:w="7994" w:type="dxa"/>
          </w:tcPr>
          <w:p w14:paraId="593BAF08">
            <w:pPr>
              <w:pStyle w:val="85"/>
              <w:jc w:val="both"/>
              <w:rPr>
                <w:color w:val="auto"/>
                <w:sz w:val="22"/>
                <w:szCs w:val="22"/>
              </w:rPr>
            </w:pPr>
            <w:r>
              <w:rPr>
                <w:color w:val="auto"/>
                <w:sz w:val="22"/>
                <w:szCs w:val="22"/>
              </w:rPr>
              <w:t>Знаки английской транскрипции; отличие их от букв английского алфавита. Фонетически корректное озвучивание знаков транскрипции</w:t>
            </w:r>
          </w:p>
        </w:tc>
      </w:tr>
      <w:tr w14:paraId="0CBC53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077" w:type="dxa"/>
          </w:tcPr>
          <w:p w14:paraId="438F2167">
            <w:pPr>
              <w:pStyle w:val="85"/>
              <w:jc w:val="center"/>
              <w:rPr>
                <w:color w:val="auto"/>
                <w:sz w:val="22"/>
                <w:szCs w:val="22"/>
              </w:rPr>
            </w:pPr>
            <w:r>
              <w:rPr>
                <w:color w:val="auto"/>
                <w:sz w:val="22"/>
                <w:szCs w:val="22"/>
              </w:rPr>
              <w:t>2.1.6</w:t>
            </w:r>
          </w:p>
        </w:tc>
        <w:tc>
          <w:tcPr>
            <w:tcW w:w="7994" w:type="dxa"/>
          </w:tcPr>
          <w:p w14:paraId="38B64BF8">
            <w:pPr>
              <w:pStyle w:val="85"/>
              <w:jc w:val="both"/>
              <w:rPr>
                <w:color w:val="auto"/>
                <w:sz w:val="22"/>
                <w:szCs w:val="22"/>
              </w:rPr>
            </w:pPr>
            <w:r>
              <w:rPr>
                <w:color w:val="auto"/>
                <w:sz w:val="22"/>
                <w:szCs w:val="22"/>
              </w:rPr>
              <w:t>Различение на слух и адекватное, без ошибок, ведущих к сбою в коммуникации, произнесение слов с соблюдением правильного ударения и фраз с соблюдением их ритмико-интонационных особенностей</w:t>
            </w:r>
          </w:p>
        </w:tc>
      </w:tr>
      <w:tr w14:paraId="799DDC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077" w:type="dxa"/>
          </w:tcPr>
          <w:p w14:paraId="240000CC">
            <w:pPr>
              <w:pStyle w:val="85"/>
              <w:jc w:val="center"/>
              <w:rPr>
                <w:color w:val="auto"/>
                <w:sz w:val="22"/>
                <w:szCs w:val="22"/>
              </w:rPr>
            </w:pPr>
            <w:r>
              <w:rPr>
                <w:color w:val="auto"/>
                <w:sz w:val="22"/>
                <w:szCs w:val="22"/>
              </w:rPr>
              <w:t>2.2</w:t>
            </w:r>
          </w:p>
        </w:tc>
        <w:tc>
          <w:tcPr>
            <w:tcW w:w="7994" w:type="dxa"/>
          </w:tcPr>
          <w:p w14:paraId="3BABC30A">
            <w:pPr>
              <w:pStyle w:val="85"/>
              <w:jc w:val="both"/>
              <w:rPr>
                <w:color w:val="auto"/>
                <w:sz w:val="22"/>
                <w:szCs w:val="22"/>
              </w:rPr>
            </w:pPr>
            <w:r>
              <w:rPr>
                <w:color w:val="auto"/>
                <w:sz w:val="22"/>
                <w:szCs w:val="22"/>
              </w:rPr>
              <w:t>Графика, орфография и пунктуация</w:t>
            </w:r>
          </w:p>
        </w:tc>
      </w:tr>
      <w:tr w14:paraId="5B7587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077" w:type="dxa"/>
          </w:tcPr>
          <w:p w14:paraId="65EC10A6">
            <w:pPr>
              <w:pStyle w:val="85"/>
              <w:jc w:val="center"/>
              <w:rPr>
                <w:color w:val="auto"/>
                <w:sz w:val="22"/>
                <w:szCs w:val="22"/>
              </w:rPr>
            </w:pPr>
            <w:r>
              <w:rPr>
                <w:color w:val="auto"/>
                <w:sz w:val="22"/>
                <w:szCs w:val="22"/>
              </w:rPr>
              <w:t>2.2.1</w:t>
            </w:r>
          </w:p>
        </w:tc>
        <w:tc>
          <w:tcPr>
            <w:tcW w:w="7994" w:type="dxa"/>
          </w:tcPr>
          <w:p w14:paraId="660B4DE4">
            <w:pPr>
              <w:pStyle w:val="85"/>
              <w:jc w:val="both"/>
              <w:rPr>
                <w:color w:val="auto"/>
                <w:sz w:val="22"/>
                <w:szCs w:val="22"/>
              </w:rPr>
            </w:pPr>
            <w:r>
              <w:rPr>
                <w:color w:val="auto"/>
                <w:sz w:val="22"/>
                <w:szCs w:val="22"/>
              </w:rPr>
              <w:t>Графически корректное (полупечатное) написание букв английского алфавита в буквосочетаниях и словах</w:t>
            </w:r>
          </w:p>
        </w:tc>
      </w:tr>
      <w:tr w14:paraId="6FC9C5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077" w:type="dxa"/>
          </w:tcPr>
          <w:p w14:paraId="0ACA3711">
            <w:pPr>
              <w:pStyle w:val="85"/>
              <w:jc w:val="center"/>
              <w:rPr>
                <w:color w:val="auto"/>
                <w:sz w:val="22"/>
                <w:szCs w:val="22"/>
              </w:rPr>
            </w:pPr>
            <w:r>
              <w:rPr>
                <w:color w:val="auto"/>
                <w:sz w:val="22"/>
                <w:szCs w:val="22"/>
              </w:rPr>
              <w:t>2.2.2</w:t>
            </w:r>
          </w:p>
        </w:tc>
        <w:tc>
          <w:tcPr>
            <w:tcW w:w="7994" w:type="dxa"/>
          </w:tcPr>
          <w:p w14:paraId="22747AD2">
            <w:pPr>
              <w:pStyle w:val="85"/>
              <w:jc w:val="both"/>
              <w:rPr>
                <w:color w:val="auto"/>
                <w:sz w:val="22"/>
                <w:szCs w:val="22"/>
              </w:rPr>
            </w:pPr>
            <w:r>
              <w:rPr>
                <w:color w:val="auto"/>
                <w:sz w:val="22"/>
                <w:szCs w:val="22"/>
              </w:rPr>
              <w:t>Правильное написание изученных слов</w:t>
            </w:r>
          </w:p>
        </w:tc>
      </w:tr>
      <w:tr w14:paraId="4243C3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077" w:type="dxa"/>
          </w:tcPr>
          <w:p w14:paraId="0B0C5551">
            <w:pPr>
              <w:pStyle w:val="85"/>
              <w:jc w:val="center"/>
              <w:rPr>
                <w:color w:val="auto"/>
                <w:sz w:val="22"/>
                <w:szCs w:val="22"/>
              </w:rPr>
            </w:pPr>
            <w:r>
              <w:rPr>
                <w:color w:val="auto"/>
                <w:sz w:val="22"/>
                <w:szCs w:val="22"/>
              </w:rPr>
              <w:t>2.2.3</w:t>
            </w:r>
          </w:p>
        </w:tc>
        <w:tc>
          <w:tcPr>
            <w:tcW w:w="7994" w:type="dxa"/>
          </w:tcPr>
          <w:p w14:paraId="20697CCB">
            <w:pPr>
              <w:pStyle w:val="85"/>
              <w:jc w:val="both"/>
              <w:rPr>
                <w:color w:val="auto"/>
                <w:sz w:val="22"/>
                <w:szCs w:val="22"/>
              </w:rPr>
            </w:pPr>
            <w:r>
              <w:rPr>
                <w:color w:val="auto"/>
                <w:sz w:val="22"/>
                <w:szCs w:val="22"/>
              </w:rPr>
              <w:t>Правильная расстановка знаков препинания: точки, вопросительного и восклицательного знаков в конце предложения</w:t>
            </w:r>
          </w:p>
        </w:tc>
      </w:tr>
      <w:tr w14:paraId="475995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077" w:type="dxa"/>
          </w:tcPr>
          <w:p w14:paraId="6D766617">
            <w:pPr>
              <w:pStyle w:val="85"/>
              <w:jc w:val="center"/>
              <w:rPr>
                <w:color w:val="auto"/>
                <w:sz w:val="22"/>
                <w:szCs w:val="22"/>
              </w:rPr>
            </w:pPr>
            <w:r>
              <w:rPr>
                <w:color w:val="auto"/>
                <w:sz w:val="22"/>
                <w:szCs w:val="22"/>
              </w:rPr>
              <w:t>2.2.4</w:t>
            </w:r>
          </w:p>
        </w:tc>
        <w:tc>
          <w:tcPr>
            <w:tcW w:w="7994" w:type="dxa"/>
          </w:tcPr>
          <w:p w14:paraId="45810C49">
            <w:pPr>
              <w:pStyle w:val="85"/>
              <w:jc w:val="both"/>
              <w:rPr>
                <w:color w:val="auto"/>
                <w:sz w:val="22"/>
                <w:szCs w:val="22"/>
              </w:rPr>
            </w:pPr>
            <w:r>
              <w:rPr>
                <w:color w:val="auto"/>
                <w:sz w:val="22"/>
                <w:szCs w:val="22"/>
              </w:rPr>
              <w:t>Правильное использование апострофа в изученных сокращенных формах глагола-связки, вспомогательного и модального глаголов (например, I'm, isn't; don't, doesn't; can't), существительных в притяжательном падеже (Ann's)</w:t>
            </w:r>
          </w:p>
        </w:tc>
      </w:tr>
      <w:tr w14:paraId="375BC1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077" w:type="dxa"/>
          </w:tcPr>
          <w:p w14:paraId="4204FFA7">
            <w:pPr>
              <w:pStyle w:val="85"/>
              <w:jc w:val="center"/>
              <w:rPr>
                <w:color w:val="auto"/>
                <w:sz w:val="22"/>
                <w:szCs w:val="22"/>
              </w:rPr>
            </w:pPr>
            <w:r>
              <w:rPr>
                <w:color w:val="auto"/>
                <w:sz w:val="22"/>
                <w:szCs w:val="22"/>
              </w:rPr>
              <w:t>2.3</w:t>
            </w:r>
          </w:p>
        </w:tc>
        <w:tc>
          <w:tcPr>
            <w:tcW w:w="7994" w:type="dxa"/>
          </w:tcPr>
          <w:p w14:paraId="6E6E3620">
            <w:pPr>
              <w:pStyle w:val="85"/>
              <w:jc w:val="both"/>
              <w:rPr>
                <w:color w:val="auto"/>
                <w:sz w:val="22"/>
                <w:szCs w:val="22"/>
              </w:rPr>
            </w:pPr>
            <w:r>
              <w:rPr>
                <w:color w:val="auto"/>
                <w:sz w:val="22"/>
                <w:szCs w:val="22"/>
              </w:rPr>
              <w:t>Лексическая сторона речи</w:t>
            </w:r>
          </w:p>
        </w:tc>
      </w:tr>
      <w:tr w14:paraId="57208B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077" w:type="dxa"/>
          </w:tcPr>
          <w:p w14:paraId="36EDE045">
            <w:pPr>
              <w:pStyle w:val="85"/>
              <w:jc w:val="center"/>
              <w:rPr>
                <w:color w:val="auto"/>
                <w:sz w:val="22"/>
                <w:szCs w:val="22"/>
              </w:rPr>
            </w:pPr>
            <w:r>
              <w:rPr>
                <w:color w:val="auto"/>
                <w:sz w:val="22"/>
                <w:szCs w:val="22"/>
              </w:rPr>
              <w:t>2.3.1</w:t>
            </w:r>
          </w:p>
        </w:tc>
        <w:tc>
          <w:tcPr>
            <w:tcW w:w="7994" w:type="dxa"/>
          </w:tcPr>
          <w:p w14:paraId="21173EE0">
            <w:pPr>
              <w:pStyle w:val="85"/>
              <w:jc w:val="both"/>
              <w:rPr>
                <w:color w:val="auto"/>
                <w:sz w:val="22"/>
                <w:szCs w:val="22"/>
              </w:rPr>
            </w:pPr>
            <w:r>
              <w:rPr>
                <w:color w:val="auto"/>
                <w:sz w:val="22"/>
                <w:szCs w:val="22"/>
              </w:rPr>
              <w:t>Распознавание и употребление в устной и письменной речи не менее 200 лексических единиц (слов, словосочетаний, речевых клише), обслуживающих ситуации общения в рамках тематического содержания речи для 2 класса</w:t>
            </w:r>
          </w:p>
        </w:tc>
      </w:tr>
      <w:tr w14:paraId="391B9D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077" w:type="dxa"/>
          </w:tcPr>
          <w:p w14:paraId="05CA7612">
            <w:pPr>
              <w:pStyle w:val="85"/>
              <w:jc w:val="center"/>
              <w:rPr>
                <w:color w:val="auto"/>
                <w:sz w:val="22"/>
                <w:szCs w:val="22"/>
              </w:rPr>
            </w:pPr>
            <w:r>
              <w:rPr>
                <w:color w:val="auto"/>
                <w:sz w:val="22"/>
                <w:szCs w:val="22"/>
              </w:rPr>
              <w:t>2.3.2</w:t>
            </w:r>
          </w:p>
        </w:tc>
        <w:tc>
          <w:tcPr>
            <w:tcW w:w="7994" w:type="dxa"/>
          </w:tcPr>
          <w:p w14:paraId="1E11000E">
            <w:pPr>
              <w:pStyle w:val="85"/>
              <w:jc w:val="both"/>
              <w:rPr>
                <w:color w:val="auto"/>
                <w:sz w:val="22"/>
                <w:szCs w:val="22"/>
              </w:rPr>
            </w:pPr>
            <w:r>
              <w:rPr>
                <w:color w:val="auto"/>
                <w:sz w:val="22"/>
                <w:szCs w:val="22"/>
              </w:rPr>
              <w:t>Распознавание в устной и письменной речи интернациональных слов (doctor, film) с помощью языковой догадки</w:t>
            </w:r>
          </w:p>
        </w:tc>
      </w:tr>
      <w:tr w14:paraId="475134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077" w:type="dxa"/>
          </w:tcPr>
          <w:p w14:paraId="3A377567">
            <w:pPr>
              <w:pStyle w:val="85"/>
              <w:jc w:val="center"/>
              <w:rPr>
                <w:color w:val="auto"/>
                <w:sz w:val="22"/>
                <w:szCs w:val="22"/>
              </w:rPr>
            </w:pPr>
            <w:r>
              <w:rPr>
                <w:color w:val="auto"/>
                <w:sz w:val="22"/>
                <w:szCs w:val="22"/>
              </w:rPr>
              <w:t>2.4</w:t>
            </w:r>
          </w:p>
        </w:tc>
        <w:tc>
          <w:tcPr>
            <w:tcW w:w="7994" w:type="dxa"/>
          </w:tcPr>
          <w:p w14:paraId="47B3BCB4">
            <w:pPr>
              <w:pStyle w:val="85"/>
              <w:jc w:val="both"/>
              <w:rPr>
                <w:color w:val="auto"/>
                <w:sz w:val="22"/>
                <w:szCs w:val="22"/>
              </w:rPr>
            </w:pPr>
            <w:r>
              <w:rPr>
                <w:color w:val="auto"/>
                <w:sz w:val="22"/>
                <w:szCs w:val="22"/>
              </w:rPr>
              <w:t>Грамматическая сторона речи</w:t>
            </w:r>
          </w:p>
          <w:p w14:paraId="7203561A">
            <w:pPr>
              <w:pStyle w:val="85"/>
              <w:jc w:val="both"/>
              <w:rPr>
                <w:color w:val="auto"/>
                <w:sz w:val="22"/>
                <w:szCs w:val="22"/>
              </w:rPr>
            </w:pPr>
            <w:r>
              <w:rPr>
                <w:color w:val="auto"/>
                <w:sz w:val="22"/>
                <w:szCs w:val="22"/>
              </w:rPr>
              <w:t>Распознавание в письменном и звучащем тексте и употребление в устной и письменной речи изученных морфологических форм и синтаксических конструкций английского языка</w:t>
            </w:r>
          </w:p>
        </w:tc>
      </w:tr>
      <w:tr w14:paraId="04F331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077" w:type="dxa"/>
          </w:tcPr>
          <w:p w14:paraId="634A9430">
            <w:pPr>
              <w:pStyle w:val="85"/>
              <w:jc w:val="center"/>
              <w:rPr>
                <w:color w:val="auto"/>
                <w:sz w:val="22"/>
                <w:szCs w:val="22"/>
              </w:rPr>
            </w:pPr>
            <w:r>
              <w:rPr>
                <w:color w:val="auto"/>
                <w:sz w:val="22"/>
                <w:szCs w:val="22"/>
              </w:rPr>
              <w:t>2.4.1</w:t>
            </w:r>
          </w:p>
        </w:tc>
        <w:tc>
          <w:tcPr>
            <w:tcW w:w="7994" w:type="dxa"/>
          </w:tcPr>
          <w:p w14:paraId="66DAB6E7">
            <w:pPr>
              <w:pStyle w:val="85"/>
              <w:jc w:val="both"/>
              <w:rPr>
                <w:color w:val="auto"/>
                <w:sz w:val="22"/>
                <w:szCs w:val="22"/>
              </w:rPr>
            </w:pPr>
            <w:r>
              <w:rPr>
                <w:color w:val="auto"/>
                <w:sz w:val="22"/>
                <w:szCs w:val="22"/>
              </w:rPr>
              <w:t>Коммуникативные типы предложений: повествовательные (утвердительные, отрицательные), вопросительные (общий, специальный вопрос), побудительные (в утвердительной форме)</w:t>
            </w:r>
          </w:p>
        </w:tc>
      </w:tr>
      <w:tr w14:paraId="524630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077" w:type="dxa"/>
          </w:tcPr>
          <w:p w14:paraId="762E199B">
            <w:pPr>
              <w:pStyle w:val="85"/>
              <w:jc w:val="center"/>
              <w:rPr>
                <w:color w:val="auto"/>
                <w:sz w:val="22"/>
                <w:szCs w:val="22"/>
              </w:rPr>
            </w:pPr>
            <w:r>
              <w:rPr>
                <w:color w:val="auto"/>
                <w:sz w:val="22"/>
                <w:szCs w:val="22"/>
              </w:rPr>
              <w:t>2.4.2</w:t>
            </w:r>
          </w:p>
        </w:tc>
        <w:tc>
          <w:tcPr>
            <w:tcW w:w="7994" w:type="dxa"/>
          </w:tcPr>
          <w:p w14:paraId="01C57C31">
            <w:pPr>
              <w:pStyle w:val="85"/>
              <w:jc w:val="both"/>
              <w:rPr>
                <w:color w:val="auto"/>
                <w:sz w:val="22"/>
                <w:szCs w:val="22"/>
              </w:rPr>
            </w:pPr>
            <w:r>
              <w:rPr>
                <w:color w:val="auto"/>
                <w:sz w:val="22"/>
                <w:szCs w:val="22"/>
              </w:rPr>
              <w:t>Нераспространенные и распространенные простые предложения</w:t>
            </w:r>
          </w:p>
        </w:tc>
      </w:tr>
      <w:tr w14:paraId="5839D7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077" w:type="dxa"/>
          </w:tcPr>
          <w:p w14:paraId="30FEC264">
            <w:pPr>
              <w:pStyle w:val="85"/>
              <w:jc w:val="center"/>
              <w:rPr>
                <w:color w:val="auto"/>
                <w:sz w:val="22"/>
                <w:szCs w:val="22"/>
              </w:rPr>
            </w:pPr>
            <w:r>
              <w:rPr>
                <w:color w:val="auto"/>
                <w:sz w:val="22"/>
                <w:szCs w:val="22"/>
              </w:rPr>
              <w:t>2.4.3</w:t>
            </w:r>
          </w:p>
        </w:tc>
        <w:tc>
          <w:tcPr>
            <w:tcW w:w="7994" w:type="dxa"/>
          </w:tcPr>
          <w:p w14:paraId="5669335C">
            <w:pPr>
              <w:pStyle w:val="85"/>
              <w:jc w:val="both"/>
              <w:rPr>
                <w:color w:val="auto"/>
                <w:sz w:val="22"/>
                <w:szCs w:val="22"/>
              </w:rPr>
            </w:pPr>
            <w:r>
              <w:rPr>
                <w:color w:val="auto"/>
                <w:sz w:val="22"/>
                <w:szCs w:val="22"/>
              </w:rPr>
              <w:t>Предложения с начальным It (It's a red ball.)</w:t>
            </w:r>
          </w:p>
        </w:tc>
      </w:tr>
      <w:tr w14:paraId="35E47E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077" w:type="dxa"/>
          </w:tcPr>
          <w:p w14:paraId="7010F420">
            <w:pPr>
              <w:pStyle w:val="85"/>
              <w:jc w:val="center"/>
              <w:rPr>
                <w:color w:val="auto"/>
                <w:sz w:val="22"/>
                <w:szCs w:val="22"/>
              </w:rPr>
            </w:pPr>
            <w:r>
              <w:rPr>
                <w:color w:val="auto"/>
                <w:sz w:val="22"/>
                <w:szCs w:val="22"/>
              </w:rPr>
              <w:t>2.4.4</w:t>
            </w:r>
          </w:p>
        </w:tc>
        <w:tc>
          <w:tcPr>
            <w:tcW w:w="7994" w:type="dxa"/>
          </w:tcPr>
          <w:p w14:paraId="3260CC54">
            <w:pPr>
              <w:pStyle w:val="85"/>
              <w:jc w:val="both"/>
              <w:rPr>
                <w:color w:val="auto"/>
                <w:sz w:val="22"/>
                <w:szCs w:val="22"/>
                <w:lang w:val="en-US"/>
              </w:rPr>
            </w:pPr>
            <w:r>
              <w:rPr>
                <w:color w:val="auto"/>
                <w:sz w:val="22"/>
                <w:szCs w:val="22"/>
              </w:rPr>
              <w:t>Предложения</w:t>
            </w:r>
            <w:r>
              <w:rPr>
                <w:color w:val="auto"/>
                <w:sz w:val="22"/>
                <w:szCs w:val="22"/>
                <w:lang w:val="en-US"/>
              </w:rPr>
              <w:t xml:space="preserve"> </w:t>
            </w:r>
            <w:r>
              <w:rPr>
                <w:color w:val="auto"/>
                <w:sz w:val="22"/>
                <w:szCs w:val="22"/>
              </w:rPr>
              <w:t>с</w:t>
            </w:r>
            <w:r>
              <w:rPr>
                <w:color w:val="auto"/>
                <w:sz w:val="22"/>
                <w:szCs w:val="22"/>
                <w:lang w:val="en-US"/>
              </w:rPr>
              <w:t xml:space="preserve"> </w:t>
            </w:r>
            <w:r>
              <w:rPr>
                <w:color w:val="auto"/>
                <w:sz w:val="22"/>
                <w:szCs w:val="22"/>
              </w:rPr>
              <w:t>начальным</w:t>
            </w:r>
            <w:r>
              <w:rPr>
                <w:color w:val="auto"/>
                <w:sz w:val="22"/>
                <w:szCs w:val="22"/>
                <w:lang w:val="en-US"/>
              </w:rPr>
              <w:t xml:space="preserve"> There + to be </w:t>
            </w:r>
            <w:r>
              <w:rPr>
                <w:color w:val="auto"/>
                <w:sz w:val="22"/>
                <w:szCs w:val="22"/>
              </w:rPr>
              <w:t>в</w:t>
            </w:r>
            <w:r>
              <w:rPr>
                <w:color w:val="auto"/>
                <w:sz w:val="22"/>
                <w:szCs w:val="22"/>
                <w:lang w:val="en-US"/>
              </w:rPr>
              <w:t xml:space="preserve"> Present Simple Tense (There is a cat in the room. Is there a cat in the room? - Yes, there is./No, there isn't. There are four pens on the table. Are there four pens on the table? - Yes, there are./No, there aren 't. How many pens are there on the table? - There are four pens.)</w:t>
            </w:r>
          </w:p>
        </w:tc>
      </w:tr>
      <w:tr w14:paraId="57A0C2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077" w:type="dxa"/>
          </w:tcPr>
          <w:p w14:paraId="48FE3C8A">
            <w:pPr>
              <w:pStyle w:val="85"/>
              <w:jc w:val="center"/>
              <w:rPr>
                <w:color w:val="auto"/>
                <w:sz w:val="22"/>
                <w:szCs w:val="22"/>
              </w:rPr>
            </w:pPr>
            <w:r>
              <w:rPr>
                <w:color w:val="auto"/>
                <w:sz w:val="22"/>
                <w:szCs w:val="22"/>
              </w:rPr>
              <w:t>2.4.5</w:t>
            </w:r>
          </w:p>
        </w:tc>
        <w:tc>
          <w:tcPr>
            <w:tcW w:w="7994" w:type="dxa"/>
          </w:tcPr>
          <w:p w14:paraId="734849F5">
            <w:pPr>
              <w:pStyle w:val="85"/>
              <w:jc w:val="both"/>
              <w:rPr>
                <w:color w:val="auto"/>
                <w:sz w:val="22"/>
                <w:szCs w:val="22"/>
              </w:rPr>
            </w:pPr>
            <w:r>
              <w:rPr>
                <w:color w:val="auto"/>
                <w:sz w:val="22"/>
                <w:szCs w:val="22"/>
              </w:rPr>
              <w:t>Предложения с простым глагольным сказуемым (They live in the country.), составным именным сказуемым (The box is small.) и составным глагольным сказуемым (I like to play with my cat. She can play the piano.)</w:t>
            </w:r>
          </w:p>
        </w:tc>
      </w:tr>
      <w:tr w14:paraId="33C274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077" w:type="dxa"/>
          </w:tcPr>
          <w:p w14:paraId="323CBC51">
            <w:pPr>
              <w:pStyle w:val="85"/>
              <w:jc w:val="center"/>
              <w:rPr>
                <w:color w:val="auto"/>
                <w:sz w:val="22"/>
                <w:szCs w:val="22"/>
              </w:rPr>
            </w:pPr>
            <w:r>
              <w:rPr>
                <w:color w:val="auto"/>
                <w:sz w:val="22"/>
                <w:szCs w:val="22"/>
              </w:rPr>
              <w:t>2.4.6</w:t>
            </w:r>
          </w:p>
        </w:tc>
        <w:tc>
          <w:tcPr>
            <w:tcW w:w="7994" w:type="dxa"/>
          </w:tcPr>
          <w:p w14:paraId="44455CE1">
            <w:pPr>
              <w:pStyle w:val="85"/>
              <w:jc w:val="both"/>
              <w:rPr>
                <w:color w:val="auto"/>
                <w:sz w:val="22"/>
                <w:szCs w:val="22"/>
                <w:lang w:val="en-US"/>
              </w:rPr>
            </w:pPr>
            <w:r>
              <w:rPr>
                <w:color w:val="auto"/>
                <w:sz w:val="22"/>
                <w:szCs w:val="22"/>
              </w:rPr>
              <w:t>Предложения</w:t>
            </w:r>
            <w:r>
              <w:rPr>
                <w:color w:val="auto"/>
                <w:sz w:val="22"/>
                <w:szCs w:val="22"/>
                <w:lang w:val="en-US"/>
              </w:rPr>
              <w:t xml:space="preserve"> </w:t>
            </w:r>
            <w:r>
              <w:rPr>
                <w:color w:val="auto"/>
                <w:sz w:val="22"/>
                <w:szCs w:val="22"/>
              </w:rPr>
              <w:t>с</w:t>
            </w:r>
            <w:r>
              <w:rPr>
                <w:color w:val="auto"/>
                <w:sz w:val="22"/>
                <w:szCs w:val="22"/>
                <w:lang w:val="en-US"/>
              </w:rPr>
              <w:t xml:space="preserve"> </w:t>
            </w:r>
            <w:r>
              <w:rPr>
                <w:color w:val="auto"/>
                <w:sz w:val="22"/>
                <w:szCs w:val="22"/>
              </w:rPr>
              <w:t>глаголом</w:t>
            </w:r>
            <w:r>
              <w:rPr>
                <w:color w:val="auto"/>
                <w:sz w:val="22"/>
                <w:szCs w:val="22"/>
                <w:lang w:val="en-US"/>
              </w:rPr>
              <w:t>-</w:t>
            </w:r>
            <w:r>
              <w:rPr>
                <w:color w:val="auto"/>
                <w:sz w:val="22"/>
                <w:szCs w:val="22"/>
              </w:rPr>
              <w:t>связкой</w:t>
            </w:r>
            <w:r>
              <w:rPr>
                <w:color w:val="auto"/>
                <w:sz w:val="22"/>
                <w:szCs w:val="22"/>
                <w:lang w:val="en-US"/>
              </w:rPr>
              <w:t xml:space="preserve"> to be </w:t>
            </w:r>
            <w:r>
              <w:rPr>
                <w:color w:val="auto"/>
                <w:sz w:val="22"/>
                <w:szCs w:val="22"/>
              </w:rPr>
              <w:t>в</w:t>
            </w:r>
            <w:r>
              <w:rPr>
                <w:color w:val="auto"/>
                <w:sz w:val="22"/>
                <w:szCs w:val="22"/>
                <w:lang w:val="en-US"/>
              </w:rPr>
              <w:t xml:space="preserve"> Present Simple Tense (My father is a doctor. Is it a red ball? - Yes, it is./No, it isn't.)</w:t>
            </w:r>
          </w:p>
        </w:tc>
      </w:tr>
      <w:tr w14:paraId="548B85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077" w:type="dxa"/>
          </w:tcPr>
          <w:p w14:paraId="4517BE76">
            <w:pPr>
              <w:pStyle w:val="85"/>
              <w:jc w:val="center"/>
              <w:rPr>
                <w:color w:val="auto"/>
                <w:sz w:val="22"/>
                <w:szCs w:val="22"/>
              </w:rPr>
            </w:pPr>
            <w:r>
              <w:rPr>
                <w:color w:val="auto"/>
                <w:sz w:val="22"/>
                <w:szCs w:val="22"/>
              </w:rPr>
              <w:t>2.4.7</w:t>
            </w:r>
          </w:p>
        </w:tc>
        <w:tc>
          <w:tcPr>
            <w:tcW w:w="7994" w:type="dxa"/>
          </w:tcPr>
          <w:p w14:paraId="73614776">
            <w:pPr>
              <w:pStyle w:val="85"/>
              <w:jc w:val="both"/>
              <w:rPr>
                <w:color w:val="auto"/>
                <w:sz w:val="22"/>
                <w:szCs w:val="22"/>
              </w:rPr>
            </w:pPr>
            <w:r>
              <w:rPr>
                <w:color w:val="auto"/>
                <w:sz w:val="22"/>
                <w:szCs w:val="22"/>
              </w:rPr>
              <w:t>Предложения с краткими глагольными формами (She can't swim. I don't like porridge.)</w:t>
            </w:r>
          </w:p>
        </w:tc>
      </w:tr>
      <w:tr w14:paraId="6FBDCF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077" w:type="dxa"/>
          </w:tcPr>
          <w:p w14:paraId="452CF02A">
            <w:pPr>
              <w:pStyle w:val="85"/>
              <w:jc w:val="center"/>
              <w:rPr>
                <w:color w:val="auto"/>
                <w:sz w:val="22"/>
                <w:szCs w:val="22"/>
              </w:rPr>
            </w:pPr>
            <w:r>
              <w:rPr>
                <w:color w:val="auto"/>
                <w:sz w:val="22"/>
                <w:szCs w:val="22"/>
              </w:rPr>
              <w:t>2.4.8</w:t>
            </w:r>
          </w:p>
        </w:tc>
        <w:tc>
          <w:tcPr>
            <w:tcW w:w="7994" w:type="dxa"/>
          </w:tcPr>
          <w:p w14:paraId="3ADA169E">
            <w:pPr>
              <w:pStyle w:val="85"/>
              <w:jc w:val="both"/>
              <w:rPr>
                <w:color w:val="auto"/>
                <w:sz w:val="22"/>
                <w:szCs w:val="22"/>
              </w:rPr>
            </w:pPr>
            <w:r>
              <w:rPr>
                <w:color w:val="auto"/>
                <w:sz w:val="22"/>
                <w:szCs w:val="22"/>
              </w:rPr>
              <w:t>Побудительные предложения в утвердительной форме (Come in, please.)</w:t>
            </w:r>
          </w:p>
        </w:tc>
      </w:tr>
      <w:tr w14:paraId="7D5930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077" w:type="dxa"/>
          </w:tcPr>
          <w:p w14:paraId="6FF4FF6B">
            <w:pPr>
              <w:pStyle w:val="85"/>
              <w:jc w:val="center"/>
              <w:rPr>
                <w:color w:val="auto"/>
                <w:sz w:val="22"/>
                <w:szCs w:val="22"/>
              </w:rPr>
            </w:pPr>
            <w:r>
              <w:rPr>
                <w:color w:val="auto"/>
                <w:sz w:val="22"/>
                <w:szCs w:val="22"/>
              </w:rPr>
              <w:t>2.4.9</w:t>
            </w:r>
          </w:p>
        </w:tc>
        <w:tc>
          <w:tcPr>
            <w:tcW w:w="7994" w:type="dxa"/>
          </w:tcPr>
          <w:p w14:paraId="4F36B2C2">
            <w:pPr>
              <w:pStyle w:val="85"/>
              <w:jc w:val="both"/>
              <w:rPr>
                <w:color w:val="auto"/>
                <w:sz w:val="22"/>
                <w:szCs w:val="22"/>
              </w:rPr>
            </w:pPr>
            <w:r>
              <w:rPr>
                <w:color w:val="auto"/>
                <w:sz w:val="22"/>
                <w:szCs w:val="22"/>
              </w:rPr>
              <w:t>Глаголы в Present Simple Tense в повествовательных (утвердительных и отрицательных) и вопросительных (общий и специальный вопросы) предложениях</w:t>
            </w:r>
          </w:p>
        </w:tc>
      </w:tr>
      <w:tr w14:paraId="473EE7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077" w:type="dxa"/>
          </w:tcPr>
          <w:p w14:paraId="7C1DA792">
            <w:pPr>
              <w:pStyle w:val="85"/>
              <w:jc w:val="center"/>
              <w:rPr>
                <w:color w:val="auto"/>
                <w:sz w:val="22"/>
                <w:szCs w:val="22"/>
              </w:rPr>
            </w:pPr>
            <w:r>
              <w:rPr>
                <w:color w:val="auto"/>
                <w:sz w:val="22"/>
                <w:szCs w:val="22"/>
              </w:rPr>
              <w:t>2.4.10</w:t>
            </w:r>
          </w:p>
        </w:tc>
        <w:tc>
          <w:tcPr>
            <w:tcW w:w="7994" w:type="dxa"/>
          </w:tcPr>
          <w:p w14:paraId="6BA0ABB0">
            <w:pPr>
              <w:pStyle w:val="85"/>
              <w:jc w:val="both"/>
              <w:rPr>
                <w:color w:val="auto"/>
                <w:sz w:val="22"/>
                <w:szCs w:val="22"/>
              </w:rPr>
            </w:pPr>
            <w:r>
              <w:rPr>
                <w:color w:val="auto"/>
                <w:sz w:val="22"/>
                <w:szCs w:val="22"/>
              </w:rPr>
              <w:t>Глагольная</w:t>
            </w:r>
            <w:r>
              <w:rPr>
                <w:color w:val="auto"/>
                <w:sz w:val="22"/>
                <w:szCs w:val="22"/>
                <w:lang w:val="en-US"/>
              </w:rPr>
              <w:t xml:space="preserve"> </w:t>
            </w:r>
            <w:r>
              <w:rPr>
                <w:color w:val="auto"/>
                <w:sz w:val="22"/>
                <w:szCs w:val="22"/>
              </w:rPr>
              <w:t>конструкция</w:t>
            </w:r>
            <w:r>
              <w:rPr>
                <w:color w:val="auto"/>
                <w:sz w:val="22"/>
                <w:szCs w:val="22"/>
                <w:lang w:val="en-US"/>
              </w:rPr>
              <w:t xml:space="preserve"> have got (I've got a cat. He's/She's got a cat. Have you got a cat? - Yes, I have./No, I haven't. </w:t>
            </w:r>
            <w:r>
              <w:rPr>
                <w:color w:val="auto"/>
                <w:sz w:val="22"/>
                <w:szCs w:val="22"/>
              </w:rPr>
              <w:t>What have you got?)</w:t>
            </w:r>
          </w:p>
        </w:tc>
      </w:tr>
      <w:tr w14:paraId="6D4795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077" w:type="dxa"/>
          </w:tcPr>
          <w:p w14:paraId="43DCD0D0">
            <w:pPr>
              <w:pStyle w:val="85"/>
              <w:jc w:val="center"/>
              <w:rPr>
                <w:color w:val="auto"/>
                <w:sz w:val="22"/>
                <w:szCs w:val="22"/>
              </w:rPr>
            </w:pPr>
            <w:r>
              <w:rPr>
                <w:color w:val="auto"/>
                <w:sz w:val="22"/>
                <w:szCs w:val="22"/>
              </w:rPr>
              <w:t>2.4.11</w:t>
            </w:r>
          </w:p>
        </w:tc>
        <w:tc>
          <w:tcPr>
            <w:tcW w:w="7994" w:type="dxa"/>
          </w:tcPr>
          <w:p w14:paraId="2237A847">
            <w:pPr>
              <w:pStyle w:val="85"/>
              <w:jc w:val="both"/>
              <w:rPr>
                <w:color w:val="auto"/>
                <w:sz w:val="22"/>
                <w:szCs w:val="22"/>
              </w:rPr>
            </w:pPr>
            <w:r>
              <w:rPr>
                <w:color w:val="auto"/>
                <w:sz w:val="22"/>
                <w:szCs w:val="22"/>
              </w:rPr>
              <w:t>Модальный глагол can: для выражения умения (I can play tennis.) и отсутствия умения (I can't play chess.); для получения разрешения (Can I go out?)</w:t>
            </w:r>
          </w:p>
        </w:tc>
      </w:tr>
      <w:tr w14:paraId="7692D4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077" w:type="dxa"/>
          </w:tcPr>
          <w:p w14:paraId="53468BAE">
            <w:pPr>
              <w:pStyle w:val="85"/>
              <w:jc w:val="center"/>
              <w:rPr>
                <w:color w:val="auto"/>
                <w:sz w:val="22"/>
                <w:szCs w:val="22"/>
              </w:rPr>
            </w:pPr>
            <w:r>
              <w:rPr>
                <w:color w:val="auto"/>
                <w:sz w:val="22"/>
                <w:szCs w:val="22"/>
              </w:rPr>
              <w:t>2.4.12</w:t>
            </w:r>
          </w:p>
        </w:tc>
        <w:tc>
          <w:tcPr>
            <w:tcW w:w="7994" w:type="dxa"/>
          </w:tcPr>
          <w:p w14:paraId="602281C8">
            <w:pPr>
              <w:pStyle w:val="85"/>
              <w:jc w:val="both"/>
              <w:rPr>
                <w:color w:val="auto"/>
                <w:sz w:val="22"/>
                <w:szCs w:val="22"/>
              </w:rPr>
            </w:pPr>
            <w:r>
              <w:rPr>
                <w:color w:val="auto"/>
                <w:sz w:val="22"/>
                <w:szCs w:val="22"/>
              </w:rPr>
              <w:t>Определенный, неопределенный и нулевой артикли с именами существительными (наиболее распространенные случаи)</w:t>
            </w:r>
          </w:p>
        </w:tc>
      </w:tr>
      <w:tr w14:paraId="2EFBC4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077" w:type="dxa"/>
          </w:tcPr>
          <w:p w14:paraId="2BADB904">
            <w:pPr>
              <w:pStyle w:val="85"/>
              <w:jc w:val="center"/>
              <w:rPr>
                <w:color w:val="auto"/>
                <w:sz w:val="22"/>
                <w:szCs w:val="22"/>
              </w:rPr>
            </w:pPr>
            <w:r>
              <w:rPr>
                <w:color w:val="auto"/>
                <w:sz w:val="22"/>
                <w:szCs w:val="22"/>
              </w:rPr>
              <w:t>2.4.13</w:t>
            </w:r>
          </w:p>
        </w:tc>
        <w:tc>
          <w:tcPr>
            <w:tcW w:w="7994" w:type="dxa"/>
          </w:tcPr>
          <w:p w14:paraId="69A15E81">
            <w:pPr>
              <w:pStyle w:val="85"/>
              <w:jc w:val="both"/>
              <w:rPr>
                <w:color w:val="auto"/>
                <w:sz w:val="22"/>
                <w:szCs w:val="22"/>
              </w:rPr>
            </w:pPr>
            <w:r>
              <w:rPr>
                <w:color w:val="auto"/>
                <w:sz w:val="22"/>
                <w:szCs w:val="22"/>
              </w:rPr>
              <w:t>Существительные во множественном числе, образованные по правилу и исключения (a book - books; a man - men)</w:t>
            </w:r>
          </w:p>
        </w:tc>
      </w:tr>
      <w:tr w14:paraId="788821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077" w:type="dxa"/>
          </w:tcPr>
          <w:p w14:paraId="032B5EF1">
            <w:pPr>
              <w:pStyle w:val="85"/>
              <w:jc w:val="center"/>
              <w:rPr>
                <w:color w:val="auto"/>
                <w:sz w:val="22"/>
                <w:szCs w:val="22"/>
              </w:rPr>
            </w:pPr>
            <w:r>
              <w:rPr>
                <w:color w:val="auto"/>
                <w:sz w:val="22"/>
                <w:szCs w:val="22"/>
              </w:rPr>
              <w:t>2.4.14</w:t>
            </w:r>
          </w:p>
        </w:tc>
        <w:tc>
          <w:tcPr>
            <w:tcW w:w="7994" w:type="dxa"/>
          </w:tcPr>
          <w:p w14:paraId="060AB89B">
            <w:pPr>
              <w:pStyle w:val="85"/>
              <w:jc w:val="both"/>
              <w:rPr>
                <w:color w:val="auto"/>
                <w:sz w:val="22"/>
                <w:szCs w:val="22"/>
                <w:lang w:val="en-US"/>
              </w:rPr>
            </w:pPr>
            <w:r>
              <w:rPr>
                <w:color w:val="auto"/>
                <w:sz w:val="22"/>
                <w:szCs w:val="22"/>
              </w:rPr>
              <w:t>Личные</w:t>
            </w:r>
            <w:r>
              <w:rPr>
                <w:color w:val="auto"/>
                <w:sz w:val="22"/>
                <w:szCs w:val="22"/>
                <w:lang w:val="en-US"/>
              </w:rPr>
              <w:t xml:space="preserve"> </w:t>
            </w:r>
            <w:r>
              <w:rPr>
                <w:color w:val="auto"/>
                <w:sz w:val="22"/>
                <w:szCs w:val="22"/>
              </w:rPr>
              <w:t>местоимения</w:t>
            </w:r>
            <w:r>
              <w:rPr>
                <w:color w:val="auto"/>
                <w:sz w:val="22"/>
                <w:szCs w:val="22"/>
                <w:lang w:val="en-US"/>
              </w:rPr>
              <w:t xml:space="preserve"> (I, you, he/she/it, we, they)</w:t>
            </w:r>
          </w:p>
        </w:tc>
      </w:tr>
      <w:tr w14:paraId="5FC2A1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077" w:type="dxa"/>
          </w:tcPr>
          <w:p w14:paraId="5C1D5A09">
            <w:pPr>
              <w:pStyle w:val="85"/>
              <w:jc w:val="center"/>
              <w:rPr>
                <w:color w:val="auto"/>
                <w:sz w:val="22"/>
                <w:szCs w:val="22"/>
              </w:rPr>
            </w:pPr>
            <w:r>
              <w:rPr>
                <w:color w:val="auto"/>
                <w:sz w:val="22"/>
                <w:szCs w:val="22"/>
              </w:rPr>
              <w:t>2.4.15</w:t>
            </w:r>
          </w:p>
        </w:tc>
        <w:tc>
          <w:tcPr>
            <w:tcW w:w="7994" w:type="dxa"/>
          </w:tcPr>
          <w:p w14:paraId="6541B68A">
            <w:pPr>
              <w:pStyle w:val="85"/>
              <w:jc w:val="both"/>
              <w:rPr>
                <w:color w:val="auto"/>
                <w:sz w:val="22"/>
                <w:szCs w:val="22"/>
                <w:lang w:val="en-US"/>
              </w:rPr>
            </w:pPr>
            <w:r>
              <w:rPr>
                <w:color w:val="auto"/>
                <w:sz w:val="22"/>
                <w:szCs w:val="22"/>
              </w:rPr>
              <w:t>Притяжательные</w:t>
            </w:r>
            <w:r>
              <w:rPr>
                <w:color w:val="auto"/>
                <w:sz w:val="22"/>
                <w:szCs w:val="22"/>
                <w:lang w:val="en-US"/>
              </w:rPr>
              <w:t xml:space="preserve"> </w:t>
            </w:r>
            <w:r>
              <w:rPr>
                <w:color w:val="auto"/>
                <w:sz w:val="22"/>
                <w:szCs w:val="22"/>
              </w:rPr>
              <w:t>местоимения</w:t>
            </w:r>
            <w:r>
              <w:rPr>
                <w:color w:val="auto"/>
                <w:sz w:val="22"/>
                <w:szCs w:val="22"/>
                <w:lang w:val="en-US"/>
              </w:rPr>
              <w:t xml:space="preserve"> (my, your, his/her/its, our, their)</w:t>
            </w:r>
          </w:p>
        </w:tc>
      </w:tr>
      <w:tr w14:paraId="668BBD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077" w:type="dxa"/>
          </w:tcPr>
          <w:p w14:paraId="5B46E744">
            <w:pPr>
              <w:pStyle w:val="85"/>
              <w:jc w:val="center"/>
              <w:rPr>
                <w:color w:val="auto"/>
                <w:sz w:val="22"/>
                <w:szCs w:val="22"/>
              </w:rPr>
            </w:pPr>
            <w:r>
              <w:rPr>
                <w:color w:val="auto"/>
                <w:sz w:val="22"/>
                <w:szCs w:val="22"/>
              </w:rPr>
              <w:t>2.4.16</w:t>
            </w:r>
          </w:p>
        </w:tc>
        <w:tc>
          <w:tcPr>
            <w:tcW w:w="7994" w:type="dxa"/>
          </w:tcPr>
          <w:p w14:paraId="59BFE0F6">
            <w:pPr>
              <w:pStyle w:val="85"/>
              <w:jc w:val="both"/>
              <w:rPr>
                <w:color w:val="auto"/>
                <w:sz w:val="22"/>
                <w:szCs w:val="22"/>
              </w:rPr>
            </w:pPr>
            <w:r>
              <w:rPr>
                <w:color w:val="auto"/>
                <w:sz w:val="22"/>
                <w:szCs w:val="22"/>
              </w:rPr>
              <w:t>Указательные местоимения (this - these)</w:t>
            </w:r>
          </w:p>
        </w:tc>
      </w:tr>
      <w:tr w14:paraId="387769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077" w:type="dxa"/>
          </w:tcPr>
          <w:p w14:paraId="1D50570C">
            <w:pPr>
              <w:pStyle w:val="85"/>
              <w:jc w:val="center"/>
              <w:rPr>
                <w:color w:val="auto"/>
                <w:sz w:val="22"/>
                <w:szCs w:val="22"/>
              </w:rPr>
            </w:pPr>
            <w:r>
              <w:rPr>
                <w:color w:val="auto"/>
                <w:sz w:val="22"/>
                <w:szCs w:val="22"/>
              </w:rPr>
              <w:t>2.4.17</w:t>
            </w:r>
          </w:p>
        </w:tc>
        <w:tc>
          <w:tcPr>
            <w:tcW w:w="7994" w:type="dxa"/>
          </w:tcPr>
          <w:p w14:paraId="6B1170B0">
            <w:pPr>
              <w:pStyle w:val="85"/>
              <w:jc w:val="both"/>
              <w:rPr>
                <w:color w:val="auto"/>
                <w:sz w:val="22"/>
                <w:szCs w:val="22"/>
              </w:rPr>
            </w:pPr>
            <w:r>
              <w:rPr>
                <w:color w:val="auto"/>
                <w:sz w:val="22"/>
                <w:szCs w:val="22"/>
              </w:rPr>
              <w:t>Количественные числительные (1 - 12)</w:t>
            </w:r>
          </w:p>
        </w:tc>
      </w:tr>
      <w:tr w14:paraId="21429E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077" w:type="dxa"/>
          </w:tcPr>
          <w:p w14:paraId="0A216F26">
            <w:pPr>
              <w:pStyle w:val="85"/>
              <w:jc w:val="center"/>
              <w:rPr>
                <w:color w:val="auto"/>
                <w:sz w:val="22"/>
                <w:szCs w:val="22"/>
              </w:rPr>
            </w:pPr>
            <w:r>
              <w:rPr>
                <w:color w:val="auto"/>
                <w:sz w:val="22"/>
                <w:szCs w:val="22"/>
              </w:rPr>
              <w:t>2.4.18</w:t>
            </w:r>
          </w:p>
        </w:tc>
        <w:tc>
          <w:tcPr>
            <w:tcW w:w="7994" w:type="dxa"/>
          </w:tcPr>
          <w:p w14:paraId="2B862001">
            <w:pPr>
              <w:pStyle w:val="85"/>
              <w:jc w:val="both"/>
              <w:rPr>
                <w:color w:val="auto"/>
                <w:sz w:val="22"/>
                <w:szCs w:val="22"/>
                <w:lang w:val="en-US"/>
              </w:rPr>
            </w:pPr>
            <w:r>
              <w:rPr>
                <w:color w:val="auto"/>
                <w:sz w:val="22"/>
                <w:szCs w:val="22"/>
              </w:rPr>
              <w:t>Вопросительные</w:t>
            </w:r>
            <w:r>
              <w:rPr>
                <w:color w:val="auto"/>
                <w:sz w:val="22"/>
                <w:szCs w:val="22"/>
                <w:lang w:val="en-US"/>
              </w:rPr>
              <w:t xml:space="preserve"> </w:t>
            </w:r>
            <w:r>
              <w:rPr>
                <w:color w:val="auto"/>
                <w:sz w:val="22"/>
                <w:szCs w:val="22"/>
              </w:rPr>
              <w:t>слова</w:t>
            </w:r>
            <w:r>
              <w:rPr>
                <w:color w:val="auto"/>
                <w:sz w:val="22"/>
                <w:szCs w:val="22"/>
                <w:lang w:val="en-US"/>
              </w:rPr>
              <w:t xml:space="preserve"> (who, what, how, where, how many)</w:t>
            </w:r>
          </w:p>
        </w:tc>
      </w:tr>
      <w:tr w14:paraId="025419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077" w:type="dxa"/>
          </w:tcPr>
          <w:p w14:paraId="14D25A57">
            <w:pPr>
              <w:pStyle w:val="85"/>
              <w:jc w:val="center"/>
              <w:rPr>
                <w:color w:val="auto"/>
                <w:sz w:val="22"/>
                <w:szCs w:val="22"/>
              </w:rPr>
            </w:pPr>
            <w:r>
              <w:rPr>
                <w:color w:val="auto"/>
                <w:sz w:val="22"/>
                <w:szCs w:val="22"/>
              </w:rPr>
              <w:t>2.4.19</w:t>
            </w:r>
          </w:p>
        </w:tc>
        <w:tc>
          <w:tcPr>
            <w:tcW w:w="7994" w:type="dxa"/>
          </w:tcPr>
          <w:p w14:paraId="10AA4CCB">
            <w:pPr>
              <w:pStyle w:val="85"/>
              <w:jc w:val="both"/>
              <w:rPr>
                <w:color w:val="auto"/>
                <w:sz w:val="22"/>
                <w:szCs w:val="22"/>
                <w:lang w:val="en-US"/>
              </w:rPr>
            </w:pPr>
            <w:r>
              <w:rPr>
                <w:color w:val="auto"/>
                <w:sz w:val="22"/>
                <w:szCs w:val="22"/>
              </w:rPr>
              <w:t>Предлоги</w:t>
            </w:r>
            <w:r>
              <w:rPr>
                <w:color w:val="auto"/>
                <w:sz w:val="22"/>
                <w:szCs w:val="22"/>
                <w:lang w:val="en-US"/>
              </w:rPr>
              <w:t xml:space="preserve"> </w:t>
            </w:r>
            <w:r>
              <w:rPr>
                <w:color w:val="auto"/>
                <w:sz w:val="22"/>
                <w:szCs w:val="22"/>
              </w:rPr>
              <w:t>места</w:t>
            </w:r>
            <w:r>
              <w:rPr>
                <w:color w:val="auto"/>
                <w:sz w:val="22"/>
                <w:szCs w:val="22"/>
                <w:lang w:val="en-US"/>
              </w:rPr>
              <w:t xml:space="preserve"> (in, on, near, under)</w:t>
            </w:r>
          </w:p>
        </w:tc>
      </w:tr>
      <w:tr w14:paraId="13910E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077" w:type="dxa"/>
          </w:tcPr>
          <w:p w14:paraId="321CC308">
            <w:pPr>
              <w:pStyle w:val="85"/>
              <w:jc w:val="center"/>
              <w:rPr>
                <w:color w:val="auto"/>
                <w:sz w:val="22"/>
                <w:szCs w:val="22"/>
              </w:rPr>
            </w:pPr>
            <w:r>
              <w:rPr>
                <w:color w:val="auto"/>
                <w:sz w:val="22"/>
                <w:szCs w:val="22"/>
              </w:rPr>
              <w:t>2.4.20</w:t>
            </w:r>
          </w:p>
        </w:tc>
        <w:tc>
          <w:tcPr>
            <w:tcW w:w="7994" w:type="dxa"/>
          </w:tcPr>
          <w:p w14:paraId="0CC70DEB">
            <w:pPr>
              <w:pStyle w:val="85"/>
              <w:jc w:val="both"/>
              <w:rPr>
                <w:color w:val="auto"/>
                <w:sz w:val="22"/>
                <w:szCs w:val="22"/>
              </w:rPr>
            </w:pPr>
            <w:r>
              <w:rPr>
                <w:color w:val="auto"/>
                <w:sz w:val="22"/>
                <w:szCs w:val="22"/>
              </w:rPr>
              <w:t>Союзы and и but (с однородными членами)</w:t>
            </w:r>
          </w:p>
        </w:tc>
      </w:tr>
      <w:tr w14:paraId="6F7EF2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077" w:type="dxa"/>
          </w:tcPr>
          <w:p w14:paraId="163C6D08">
            <w:pPr>
              <w:pStyle w:val="85"/>
              <w:jc w:val="center"/>
              <w:rPr>
                <w:color w:val="auto"/>
                <w:sz w:val="22"/>
                <w:szCs w:val="22"/>
              </w:rPr>
            </w:pPr>
            <w:r>
              <w:rPr>
                <w:color w:val="auto"/>
                <w:sz w:val="22"/>
                <w:szCs w:val="22"/>
              </w:rPr>
              <w:t>3</w:t>
            </w:r>
          </w:p>
        </w:tc>
        <w:tc>
          <w:tcPr>
            <w:tcW w:w="7994" w:type="dxa"/>
          </w:tcPr>
          <w:p w14:paraId="46D46032">
            <w:pPr>
              <w:pStyle w:val="85"/>
              <w:jc w:val="both"/>
              <w:rPr>
                <w:color w:val="auto"/>
                <w:sz w:val="22"/>
                <w:szCs w:val="22"/>
              </w:rPr>
            </w:pPr>
            <w:r>
              <w:rPr>
                <w:color w:val="auto"/>
                <w:sz w:val="22"/>
                <w:szCs w:val="22"/>
              </w:rPr>
              <w:t>Социокультурные знания и умения</w:t>
            </w:r>
          </w:p>
        </w:tc>
      </w:tr>
      <w:tr w14:paraId="21B1DA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077" w:type="dxa"/>
          </w:tcPr>
          <w:p w14:paraId="0F09C297">
            <w:pPr>
              <w:pStyle w:val="85"/>
              <w:jc w:val="center"/>
              <w:rPr>
                <w:color w:val="auto"/>
                <w:sz w:val="22"/>
                <w:szCs w:val="22"/>
              </w:rPr>
            </w:pPr>
            <w:r>
              <w:rPr>
                <w:color w:val="auto"/>
                <w:sz w:val="22"/>
                <w:szCs w:val="22"/>
              </w:rPr>
              <w:t>3.1</w:t>
            </w:r>
          </w:p>
        </w:tc>
        <w:tc>
          <w:tcPr>
            <w:tcW w:w="7994" w:type="dxa"/>
          </w:tcPr>
          <w:p w14:paraId="5A7DF68F">
            <w:pPr>
              <w:pStyle w:val="85"/>
              <w:jc w:val="both"/>
              <w:rPr>
                <w:color w:val="auto"/>
                <w:sz w:val="22"/>
                <w:szCs w:val="22"/>
              </w:rPr>
            </w:pPr>
            <w:r>
              <w:rPr>
                <w:color w:val="auto"/>
                <w:sz w:val="22"/>
                <w:szCs w:val="22"/>
              </w:rPr>
              <w:t>Знание и использование некоторых социокультурных элементов речевого поведенческого этикета, принятого в стране (странах) изучаемого языка в некоторых ситуациях общения: приветствие, прощание, знакомство, выражение благодарности, извинение, поздравление (с днем рождения, Новым годом, Рождеством)</w:t>
            </w:r>
          </w:p>
        </w:tc>
      </w:tr>
      <w:tr w14:paraId="105D34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077" w:type="dxa"/>
          </w:tcPr>
          <w:p w14:paraId="2FC3353A">
            <w:pPr>
              <w:pStyle w:val="85"/>
              <w:jc w:val="center"/>
              <w:rPr>
                <w:color w:val="auto"/>
                <w:sz w:val="22"/>
                <w:szCs w:val="22"/>
              </w:rPr>
            </w:pPr>
            <w:r>
              <w:rPr>
                <w:color w:val="auto"/>
                <w:sz w:val="22"/>
                <w:szCs w:val="22"/>
              </w:rPr>
              <w:t>3.2</w:t>
            </w:r>
          </w:p>
        </w:tc>
        <w:tc>
          <w:tcPr>
            <w:tcW w:w="7994" w:type="dxa"/>
          </w:tcPr>
          <w:p w14:paraId="2921F874">
            <w:pPr>
              <w:pStyle w:val="85"/>
              <w:jc w:val="both"/>
              <w:rPr>
                <w:color w:val="auto"/>
                <w:sz w:val="22"/>
                <w:szCs w:val="22"/>
              </w:rPr>
            </w:pPr>
            <w:r>
              <w:rPr>
                <w:color w:val="auto"/>
                <w:sz w:val="22"/>
                <w:szCs w:val="22"/>
              </w:rPr>
              <w:t>Знание названий родной страны и страны (стран) изучаемого языка и их столиц</w:t>
            </w:r>
          </w:p>
        </w:tc>
      </w:tr>
      <w:tr w14:paraId="686488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077" w:type="dxa"/>
          </w:tcPr>
          <w:p w14:paraId="6C41F6F5">
            <w:pPr>
              <w:pStyle w:val="85"/>
              <w:jc w:val="center"/>
              <w:rPr>
                <w:color w:val="auto"/>
                <w:sz w:val="22"/>
                <w:szCs w:val="22"/>
              </w:rPr>
            </w:pPr>
            <w:r>
              <w:rPr>
                <w:color w:val="auto"/>
                <w:sz w:val="22"/>
                <w:szCs w:val="22"/>
              </w:rPr>
              <w:t>3.3</w:t>
            </w:r>
          </w:p>
        </w:tc>
        <w:tc>
          <w:tcPr>
            <w:tcW w:w="7994" w:type="dxa"/>
          </w:tcPr>
          <w:p w14:paraId="5B6F073E">
            <w:pPr>
              <w:pStyle w:val="85"/>
              <w:jc w:val="both"/>
              <w:rPr>
                <w:color w:val="auto"/>
                <w:sz w:val="22"/>
                <w:szCs w:val="22"/>
              </w:rPr>
            </w:pPr>
            <w:r>
              <w:rPr>
                <w:color w:val="auto"/>
                <w:sz w:val="22"/>
                <w:szCs w:val="22"/>
              </w:rPr>
              <w:t>Знание небольших произведений детского фольклора страны (стран) изучаемого языка (рифмовки, стихи, песенки); персонажей детских книг</w:t>
            </w:r>
          </w:p>
        </w:tc>
      </w:tr>
      <w:tr w14:paraId="2C315F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077" w:type="dxa"/>
          </w:tcPr>
          <w:p w14:paraId="5A7B8FE2">
            <w:pPr>
              <w:pStyle w:val="85"/>
              <w:jc w:val="center"/>
              <w:rPr>
                <w:color w:val="auto"/>
                <w:sz w:val="22"/>
                <w:szCs w:val="22"/>
              </w:rPr>
            </w:pPr>
            <w:r>
              <w:rPr>
                <w:color w:val="auto"/>
                <w:sz w:val="22"/>
                <w:szCs w:val="22"/>
              </w:rPr>
              <w:t>4</w:t>
            </w:r>
          </w:p>
        </w:tc>
        <w:tc>
          <w:tcPr>
            <w:tcW w:w="7994" w:type="dxa"/>
          </w:tcPr>
          <w:p w14:paraId="0681B497">
            <w:pPr>
              <w:pStyle w:val="85"/>
              <w:jc w:val="both"/>
              <w:rPr>
                <w:color w:val="auto"/>
                <w:sz w:val="22"/>
                <w:szCs w:val="22"/>
              </w:rPr>
            </w:pPr>
            <w:r>
              <w:rPr>
                <w:color w:val="auto"/>
                <w:sz w:val="22"/>
                <w:szCs w:val="22"/>
              </w:rPr>
              <w:t>Компенсаторные умения</w:t>
            </w:r>
          </w:p>
        </w:tc>
      </w:tr>
      <w:tr w14:paraId="406A8B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077" w:type="dxa"/>
          </w:tcPr>
          <w:p w14:paraId="40E90162">
            <w:pPr>
              <w:pStyle w:val="85"/>
              <w:jc w:val="center"/>
              <w:rPr>
                <w:color w:val="auto"/>
                <w:sz w:val="22"/>
                <w:szCs w:val="22"/>
              </w:rPr>
            </w:pPr>
            <w:r>
              <w:rPr>
                <w:color w:val="auto"/>
                <w:sz w:val="22"/>
                <w:szCs w:val="22"/>
              </w:rPr>
              <w:t>4.1</w:t>
            </w:r>
          </w:p>
        </w:tc>
        <w:tc>
          <w:tcPr>
            <w:tcW w:w="7994" w:type="dxa"/>
          </w:tcPr>
          <w:p w14:paraId="40FA27AE">
            <w:pPr>
              <w:pStyle w:val="85"/>
              <w:jc w:val="both"/>
              <w:rPr>
                <w:color w:val="auto"/>
                <w:sz w:val="22"/>
                <w:szCs w:val="22"/>
              </w:rPr>
            </w:pPr>
            <w:r>
              <w:rPr>
                <w:color w:val="auto"/>
                <w:sz w:val="22"/>
                <w:szCs w:val="22"/>
              </w:rPr>
              <w:t>Использование при чтении и аудировании языковой догадки (умения понять значение незнакомого слова или новое значение знакомого слова по контексту)</w:t>
            </w:r>
          </w:p>
        </w:tc>
      </w:tr>
      <w:tr w14:paraId="2931BE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077" w:type="dxa"/>
          </w:tcPr>
          <w:p w14:paraId="673D82AF">
            <w:pPr>
              <w:pStyle w:val="85"/>
              <w:jc w:val="center"/>
              <w:rPr>
                <w:color w:val="auto"/>
                <w:sz w:val="22"/>
                <w:szCs w:val="22"/>
              </w:rPr>
            </w:pPr>
            <w:r>
              <w:rPr>
                <w:color w:val="auto"/>
                <w:sz w:val="22"/>
                <w:szCs w:val="22"/>
              </w:rPr>
              <w:t>4.2</w:t>
            </w:r>
          </w:p>
        </w:tc>
        <w:tc>
          <w:tcPr>
            <w:tcW w:w="7994" w:type="dxa"/>
          </w:tcPr>
          <w:p w14:paraId="541E8DB5">
            <w:pPr>
              <w:pStyle w:val="85"/>
              <w:jc w:val="both"/>
              <w:rPr>
                <w:color w:val="auto"/>
                <w:sz w:val="22"/>
                <w:szCs w:val="22"/>
              </w:rPr>
            </w:pPr>
            <w:r>
              <w:rPr>
                <w:color w:val="auto"/>
                <w:sz w:val="22"/>
                <w:szCs w:val="22"/>
              </w:rPr>
              <w:t>Использование при формулировании собственных высказываний ключевых слов, вопросов, иллюстраций</w:t>
            </w:r>
          </w:p>
        </w:tc>
      </w:tr>
      <w:tr w14:paraId="175E07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9071" w:type="dxa"/>
            <w:gridSpan w:val="2"/>
          </w:tcPr>
          <w:p w14:paraId="7D312FD5">
            <w:pPr>
              <w:pStyle w:val="85"/>
              <w:rPr>
                <w:color w:val="auto"/>
                <w:sz w:val="22"/>
                <w:szCs w:val="22"/>
              </w:rPr>
            </w:pPr>
            <w:r>
              <w:rPr>
                <w:color w:val="auto"/>
                <w:sz w:val="22"/>
                <w:szCs w:val="22"/>
              </w:rPr>
              <w:t>Тематическое содержание речи</w:t>
            </w:r>
          </w:p>
        </w:tc>
      </w:tr>
      <w:tr w14:paraId="4461BA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077" w:type="dxa"/>
          </w:tcPr>
          <w:p w14:paraId="66CE9EDC">
            <w:pPr>
              <w:pStyle w:val="85"/>
              <w:jc w:val="center"/>
              <w:rPr>
                <w:color w:val="auto"/>
                <w:sz w:val="22"/>
                <w:szCs w:val="22"/>
              </w:rPr>
            </w:pPr>
            <w:r>
              <w:rPr>
                <w:color w:val="auto"/>
                <w:sz w:val="22"/>
                <w:szCs w:val="22"/>
              </w:rPr>
              <w:t>А</w:t>
            </w:r>
          </w:p>
        </w:tc>
        <w:tc>
          <w:tcPr>
            <w:tcW w:w="7994" w:type="dxa"/>
          </w:tcPr>
          <w:p w14:paraId="568F584D">
            <w:pPr>
              <w:pStyle w:val="85"/>
              <w:jc w:val="both"/>
              <w:rPr>
                <w:color w:val="auto"/>
                <w:sz w:val="22"/>
                <w:szCs w:val="22"/>
              </w:rPr>
            </w:pPr>
            <w:r>
              <w:rPr>
                <w:color w:val="auto"/>
                <w:sz w:val="22"/>
                <w:szCs w:val="22"/>
              </w:rPr>
              <w:t>Мир моего "я". Приветствие, знакомство, Моя семья. Мой день рождения. Моя любимая еда</w:t>
            </w:r>
          </w:p>
        </w:tc>
      </w:tr>
      <w:tr w14:paraId="1D1C21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077" w:type="dxa"/>
          </w:tcPr>
          <w:p w14:paraId="786A98DB">
            <w:pPr>
              <w:pStyle w:val="85"/>
              <w:jc w:val="center"/>
              <w:rPr>
                <w:color w:val="auto"/>
                <w:sz w:val="22"/>
                <w:szCs w:val="22"/>
              </w:rPr>
            </w:pPr>
            <w:r>
              <w:rPr>
                <w:color w:val="auto"/>
                <w:sz w:val="22"/>
                <w:szCs w:val="22"/>
              </w:rPr>
              <w:t>Б</w:t>
            </w:r>
          </w:p>
        </w:tc>
        <w:tc>
          <w:tcPr>
            <w:tcW w:w="7994" w:type="dxa"/>
          </w:tcPr>
          <w:p w14:paraId="5C09CA22">
            <w:pPr>
              <w:pStyle w:val="85"/>
              <w:jc w:val="both"/>
              <w:rPr>
                <w:color w:val="auto"/>
                <w:sz w:val="22"/>
                <w:szCs w:val="22"/>
              </w:rPr>
            </w:pPr>
            <w:r>
              <w:rPr>
                <w:color w:val="auto"/>
                <w:sz w:val="22"/>
                <w:szCs w:val="22"/>
              </w:rPr>
              <w:t>Мир моих увлечений. Любимый цвет, игрушка. Любимые занятия. Мой питомец. Выходной день</w:t>
            </w:r>
          </w:p>
        </w:tc>
      </w:tr>
      <w:tr w14:paraId="6211FA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077" w:type="dxa"/>
          </w:tcPr>
          <w:p w14:paraId="0D17A351">
            <w:pPr>
              <w:pStyle w:val="85"/>
              <w:jc w:val="center"/>
              <w:rPr>
                <w:color w:val="auto"/>
                <w:sz w:val="22"/>
                <w:szCs w:val="22"/>
              </w:rPr>
            </w:pPr>
            <w:r>
              <w:rPr>
                <w:color w:val="auto"/>
                <w:sz w:val="22"/>
                <w:szCs w:val="22"/>
              </w:rPr>
              <w:t>В</w:t>
            </w:r>
          </w:p>
        </w:tc>
        <w:tc>
          <w:tcPr>
            <w:tcW w:w="7994" w:type="dxa"/>
          </w:tcPr>
          <w:p w14:paraId="3FF9F944">
            <w:pPr>
              <w:pStyle w:val="85"/>
              <w:jc w:val="both"/>
              <w:rPr>
                <w:color w:val="auto"/>
                <w:sz w:val="22"/>
                <w:szCs w:val="22"/>
              </w:rPr>
            </w:pPr>
            <w:r>
              <w:rPr>
                <w:color w:val="auto"/>
                <w:sz w:val="22"/>
                <w:szCs w:val="22"/>
              </w:rPr>
              <w:t>Мир вокруг меня. Моя школа. Мои друзья. Моя малая родина (город, село)</w:t>
            </w:r>
          </w:p>
        </w:tc>
      </w:tr>
      <w:tr w14:paraId="15B5E1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077" w:type="dxa"/>
          </w:tcPr>
          <w:p w14:paraId="3201740D">
            <w:pPr>
              <w:pStyle w:val="85"/>
              <w:jc w:val="center"/>
              <w:rPr>
                <w:color w:val="auto"/>
                <w:sz w:val="22"/>
                <w:szCs w:val="22"/>
              </w:rPr>
            </w:pPr>
            <w:r>
              <w:rPr>
                <w:color w:val="auto"/>
                <w:sz w:val="22"/>
                <w:szCs w:val="22"/>
              </w:rPr>
              <w:t>Г</w:t>
            </w:r>
          </w:p>
        </w:tc>
        <w:tc>
          <w:tcPr>
            <w:tcW w:w="7994" w:type="dxa"/>
          </w:tcPr>
          <w:p w14:paraId="597EE02C">
            <w:pPr>
              <w:pStyle w:val="85"/>
              <w:jc w:val="both"/>
              <w:rPr>
                <w:color w:val="auto"/>
                <w:sz w:val="22"/>
                <w:szCs w:val="22"/>
              </w:rPr>
            </w:pPr>
            <w:r>
              <w:rPr>
                <w:color w:val="auto"/>
                <w:sz w:val="22"/>
                <w:szCs w:val="22"/>
              </w:rPr>
              <w:t>Родная страна и страны изучаемого языка. Названия родной страны и страны (стран) изучаемого языка; их столиц. Произведения детского фольклора. Литературные персонажи детских книг. Праздники родной страны и страны (стран) изучаемого языка (Новый год, Рождество)</w:t>
            </w:r>
          </w:p>
        </w:tc>
      </w:tr>
    </w:tbl>
    <w:p w14:paraId="7949495D">
      <w:pPr>
        <w:pStyle w:val="85"/>
        <w:ind w:firstLine="540"/>
        <w:jc w:val="both"/>
        <w:rPr>
          <w:color w:val="auto"/>
          <w:sz w:val="22"/>
          <w:szCs w:val="22"/>
        </w:rPr>
      </w:pPr>
    </w:p>
    <w:p w14:paraId="2BACC1F9">
      <w:pPr>
        <w:pStyle w:val="85"/>
        <w:jc w:val="right"/>
        <w:rPr>
          <w:color w:val="auto"/>
          <w:sz w:val="22"/>
          <w:szCs w:val="22"/>
        </w:rPr>
      </w:pPr>
      <w:r>
        <w:rPr>
          <w:color w:val="auto"/>
          <w:sz w:val="22"/>
          <w:szCs w:val="22"/>
        </w:rPr>
        <w:t>Таблица 6.2</w:t>
      </w:r>
    </w:p>
    <w:p w14:paraId="032F5328">
      <w:pPr>
        <w:pStyle w:val="85"/>
        <w:ind w:firstLine="540"/>
        <w:jc w:val="both"/>
        <w:rPr>
          <w:color w:val="auto"/>
          <w:sz w:val="22"/>
          <w:szCs w:val="22"/>
        </w:rPr>
      </w:pPr>
    </w:p>
    <w:p w14:paraId="1355EA79">
      <w:pPr>
        <w:pStyle w:val="85"/>
        <w:jc w:val="center"/>
        <w:rPr>
          <w:color w:val="auto"/>
          <w:sz w:val="22"/>
          <w:szCs w:val="22"/>
        </w:rPr>
      </w:pPr>
      <w:r>
        <w:rPr>
          <w:color w:val="auto"/>
          <w:sz w:val="22"/>
          <w:szCs w:val="22"/>
        </w:rPr>
        <w:t>Проверяемые требования к результатам освоения основной</w:t>
      </w:r>
    </w:p>
    <w:p w14:paraId="7F7A9F33">
      <w:pPr>
        <w:pStyle w:val="85"/>
        <w:jc w:val="center"/>
        <w:rPr>
          <w:color w:val="auto"/>
          <w:sz w:val="22"/>
          <w:szCs w:val="22"/>
        </w:rPr>
      </w:pPr>
      <w:r>
        <w:rPr>
          <w:color w:val="auto"/>
          <w:sz w:val="22"/>
          <w:szCs w:val="22"/>
        </w:rPr>
        <w:t>образовательной программы (3 класс)</w:t>
      </w:r>
    </w:p>
    <w:p w14:paraId="5AF8CAA0">
      <w:pPr>
        <w:pStyle w:val="85"/>
        <w:ind w:firstLine="540"/>
        <w:jc w:val="both"/>
        <w:rPr>
          <w:color w:val="auto"/>
          <w:sz w:val="22"/>
          <w:szCs w:val="22"/>
        </w:rPr>
      </w:pPr>
    </w:p>
    <w:tbl>
      <w:tblPr>
        <w:tblStyle w:val="1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02" w:type="dxa"/>
          <w:left w:w="62" w:type="dxa"/>
          <w:bottom w:w="102" w:type="dxa"/>
          <w:right w:w="62" w:type="dxa"/>
        </w:tblCellMar>
      </w:tblPr>
      <w:tblGrid>
        <w:gridCol w:w="1701"/>
        <w:gridCol w:w="7370"/>
      </w:tblGrid>
      <w:tr w14:paraId="0A2BE6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701" w:type="dxa"/>
          </w:tcPr>
          <w:p w14:paraId="6E819465">
            <w:pPr>
              <w:pStyle w:val="85"/>
              <w:jc w:val="center"/>
              <w:rPr>
                <w:color w:val="auto"/>
                <w:sz w:val="22"/>
                <w:szCs w:val="22"/>
              </w:rPr>
            </w:pPr>
            <w:r>
              <w:rPr>
                <w:color w:val="auto"/>
                <w:sz w:val="22"/>
                <w:szCs w:val="22"/>
              </w:rPr>
              <w:t>Код проверяемого результата</w:t>
            </w:r>
          </w:p>
        </w:tc>
        <w:tc>
          <w:tcPr>
            <w:tcW w:w="7370" w:type="dxa"/>
          </w:tcPr>
          <w:p w14:paraId="1D250B8C">
            <w:pPr>
              <w:pStyle w:val="85"/>
              <w:jc w:val="center"/>
              <w:rPr>
                <w:color w:val="auto"/>
                <w:sz w:val="22"/>
                <w:szCs w:val="22"/>
              </w:rPr>
            </w:pPr>
            <w:r>
              <w:rPr>
                <w:color w:val="auto"/>
                <w:sz w:val="22"/>
                <w:szCs w:val="22"/>
              </w:rPr>
              <w:t>Проверяемые предметные результаты освоения основной образовательной программы начального общего образования</w:t>
            </w:r>
          </w:p>
        </w:tc>
      </w:tr>
      <w:tr w14:paraId="2DFB84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701" w:type="dxa"/>
          </w:tcPr>
          <w:p w14:paraId="6B576DC4">
            <w:pPr>
              <w:pStyle w:val="85"/>
              <w:jc w:val="center"/>
              <w:rPr>
                <w:color w:val="auto"/>
                <w:sz w:val="22"/>
                <w:szCs w:val="22"/>
              </w:rPr>
            </w:pPr>
            <w:r>
              <w:rPr>
                <w:color w:val="auto"/>
                <w:sz w:val="22"/>
                <w:szCs w:val="22"/>
              </w:rPr>
              <w:t>1</w:t>
            </w:r>
          </w:p>
        </w:tc>
        <w:tc>
          <w:tcPr>
            <w:tcW w:w="7370" w:type="dxa"/>
          </w:tcPr>
          <w:p w14:paraId="3710FC03">
            <w:pPr>
              <w:pStyle w:val="85"/>
              <w:jc w:val="both"/>
              <w:rPr>
                <w:color w:val="auto"/>
                <w:sz w:val="22"/>
                <w:szCs w:val="22"/>
              </w:rPr>
            </w:pPr>
            <w:r>
              <w:rPr>
                <w:color w:val="auto"/>
                <w:sz w:val="22"/>
                <w:szCs w:val="22"/>
              </w:rPr>
              <w:t>Коммуникативные умения</w:t>
            </w:r>
          </w:p>
        </w:tc>
      </w:tr>
      <w:tr w14:paraId="4CB41B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701" w:type="dxa"/>
          </w:tcPr>
          <w:p w14:paraId="41CB07D8">
            <w:pPr>
              <w:pStyle w:val="85"/>
              <w:jc w:val="center"/>
              <w:rPr>
                <w:color w:val="auto"/>
                <w:sz w:val="22"/>
                <w:szCs w:val="22"/>
              </w:rPr>
            </w:pPr>
            <w:r>
              <w:rPr>
                <w:color w:val="auto"/>
                <w:sz w:val="22"/>
                <w:szCs w:val="22"/>
              </w:rPr>
              <w:t>1.1</w:t>
            </w:r>
          </w:p>
        </w:tc>
        <w:tc>
          <w:tcPr>
            <w:tcW w:w="7370" w:type="dxa"/>
          </w:tcPr>
          <w:p w14:paraId="194CCF1B">
            <w:pPr>
              <w:pStyle w:val="85"/>
              <w:jc w:val="both"/>
              <w:rPr>
                <w:color w:val="auto"/>
                <w:sz w:val="22"/>
                <w:szCs w:val="22"/>
              </w:rPr>
            </w:pPr>
            <w:r>
              <w:rPr>
                <w:color w:val="auto"/>
                <w:sz w:val="22"/>
                <w:szCs w:val="22"/>
              </w:rPr>
              <w:t>Говорение</w:t>
            </w:r>
          </w:p>
        </w:tc>
      </w:tr>
      <w:tr w14:paraId="7736C6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701" w:type="dxa"/>
          </w:tcPr>
          <w:p w14:paraId="4B028E03">
            <w:pPr>
              <w:pStyle w:val="85"/>
              <w:jc w:val="center"/>
              <w:rPr>
                <w:color w:val="auto"/>
                <w:sz w:val="22"/>
                <w:szCs w:val="22"/>
              </w:rPr>
            </w:pPr>
            <w:r>
              <w:rPr>
                <w:color w:val="auto"/>
                <w:sz w:val="22"/>
                <w:szCs w:val="22"/>
              </w:rPr>
              <w:t>1.1.1</w:t>
            </w:r>
          </w:p>
        </w:tc>
        <w:tc>
          <w:tcPr>
            <w:tcW w:w="7370" w:type="dxa"/>
          </w:tcPr>
          <w:p w14:paraId="430D92EE">
            <w:pPr>
              <w:pStyle w:val="85"/>
              <w:jc w:val="both"/>
              <w:rPr>
                <w:color w:val="auto"/>
                <w:sz w:val="22"/>
                <w:szCs w:val="22"/>
              </w:rPr>
            </w:pPr>
            <w:r>
              <w:rPr>
                <w:color w:val="auto"/>
                <w:sz w:val="22"/>
                <w:szCs w:val="22"/>
              </w:rPr>
              <w:t>Диалогическая речь</w:t>
            </w:r>
          </w:p>
        </w:tc>
      </w:tr>
      <w:tr w14:paraId="7721AF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701" w:type="dxa"/>
          </w:tcPr>
          <w:p w14:paraId="24D18C39">
            <w:pPr>
              <w:pStyle w:val="85"/>
              <w:jc w:val="center"/>
              <w:rPr>
                <w:color w:val="auto"/>
                <w:sz w:val="22"/>
                <w:szCs w:val="22"/>
              </w:rPr>
            </w:pPr>
            <w:r>
              <w:rPr>
                <w:color w:val="auto"/>
                <w:sz w:val="22"/>
                <w:szCs w:val="22"/>
              </w:rPr>
              <w:t>1.1.1.1</w:t>
            </w:r>
          </w:p>
        </w:tc>
        <w:tc>
          <w:tcPr>
            <w:tcW w:w="7370" w:type="dxa"/>
          </w:tcPr>
          <w:p w14:paraId="6DE051BC">
            <w:pPr>
              <w:pStyle w:val="85"/>
              <w:jc w:val="both"/>
              <w:rPr>
                <w:color w:val="auto"/>
                <w:sz w:val="22"/>
                <w:szCs w:val="22"/>
              </w:rPr>
            </w:pPr>
            <w:r>
              <w:rPr>
                <w:color w:val="auto"/>
                <w:sz w:val="22"/>
                <w:szCs w:val="22"/>
              </w:rPr>
              <w:t>Вести диалог этикетного характера в стандартных ситуациях неофициального общения с вербальными и (или) зрительными опорами с соблюдением правил речевого этикета, принятых в стране (странах) изучаемого языка в рамках изучаемой тематики (не менее 4 реплик со стороны каждого собеседника)</w:t>
            </w:r>
          </w:p>
        </w:tc>
      </w:tr>
      <w:tr w14:paraId="0A44D4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701" w:type="dxa"/>
          </w:tcPr>
          <w:p w14:paraId="08D27CC9">
            <w:pPr>
              <w:pStyle w:val="85"/>
              <w:jc w:val="center"/>
              <w:rPr>
                <w:color w:val="auto"/>
                <w:sz w:val="22"/>
                <w:szCs w:val="22"/>
              </w:rPr>
            </w:pPr>
            <w:r>
              <w:rPr>
                <w:color w:val="auto"/>
                <w:sz w:val="22"/>
                <w:szCs w:val="22"/>
              </w:rPr>
              <w:t>1.1.1.2</w:t>
            </w:r>
          </w:p>
        </w:tc>
        <w:tc>
          <w:tcPr>
            <w:tcW w:w="7370" w:type="dxa"/>
          </w:tcPr>
          <w:p w14:paraId="149DDC4A">
            <w:pPr>
              <w:pStyle w:val="85"/>
              <w:jc w:val="both"/>
              <w:rPr>
                <w:color w:val="auto"/>
                <w:sz w:val="22"/>
                <w:szCs w:val="22"/>
              </w:rPr>
            </w:pPr>
            <w:r>
              <w:rPr>
                <w:color w:val="auto"/>
                <w:sz w:val="22"/>
                <w:szCs w:val="22"/>
              </w:rPr>
              <w:t>Вести диалог-расспрос в стандартных ситуациях неофициального общения с вербальными и (или) зрительными опорами с соблюдением правил речевого этикета, принятых в стране (странах) изучаемого языка в рамках изучаемой тематики (не менее 4 реплик со стороны каждого собеседника)</w:t>
            </w:r>
          </w:p>
        </w:tc>
      </w:tr>
      <w:tr w14:paraId="6F99C3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701" w:type="dxa"/>
          </w:tcPr>
          <w:p w14:paraId="67CD921A">
            <w:pPr>
              <w:pStyle w:val="85"/>
              <w:jc w:val="center"/>
              <w:rPr>
                <w:color w:val="auto"/>
                <w:sz w:val="22"/>
                <w:szCs w:val="22"/>
              </w:rPr>
            </w:pPr>
            <w:r>
              <w:rPr>
                <w:color w:val="auto"/>
                <w:sz w:val="22"/>
                <w:szCs w:val="22"/>
              </w:rPr>
              <w:t>1.1.1.3</w:t>
            </w:r>
          </w:p>
        </w:tc>
        <w:tc>
          <w:tcPr>
            <w:tcW w:w="7370" w:type="dxa"/>
          </w:tcPr>
          <w:p w14:paraId="1DA9D7B0">
            <w:pPr>
              <w:pStyle w:val="85"/>
              <w:jc w:val="both"/>
              <w:rPr>
                <w:color w:val="auto"/>
                <w:sz w:val="22"/>
                <w:szCs w:val="22"/>
              </w:rPr>
            </w:pPr>
            <w:r>
              <w:rPr>
                <w:color w:val="auto"/>
                <w:sz w:val="22"/>
                <w:szCs w:val="22"/>
              </w:rPr>
              <w:t>Вести диалог-побуждение на основе вербальных и (или) зрительных опор с соблюдением правил речевого этикета, принятых в стране (странах) изучаемого языка (не менее 4 реплик со стороны каждого собеседника)</w:t>
            </w:r>
          </w:p>
        </w:tc>
      </w:tr>
      <w:tr w14:paraId="4AF231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701" w:type="dxa"/>
          </w:tcPr>
          <w:p w14:paraId="21E0700C">
            <w:pPr>
              <w:pStyle w:val="85"/>
              <w:jc w:val="center"/>
              <w:rPr>
                <w:color w:val="auto"/>
                <w:sz w:val="22"/>
                <w:szCs w:val="22"/>
              </w:rPr>
            </w:pPr>
            <w:r>
              <w:rPr>
                <w:color w:val="auto"/>
                <w:sz w:val="22"/>
                <w:szCs w:val="22"/>
              </w:rPr>
              <w:t>1.1.2</w:t>
            </w:r>
          </w:p>
        </w:tc>
        <w:tc>
          <w:tcPr>
            <w:tcW w:w="7370" w:type="dxa"/>
          </w:tcPr>
          <w:p w14:paraId="45BEF355">
            <w:pPr>
              <w:pStyle w:val="85"/>
              <w:jc w:val="both"/>
              <w:rPr>
                <w:color w:val="auto"/>
                <w:sz w:val="22"/>
                <w:szCs w:val="22"/>
              </w:rPr>
            </w:pPr>
            <w:r>
              <w:rPr>
                <w:color w:val="auto"/>
                <w:sz w:val="22"/>
                <w:szCs w:val="22"/>
              </w:rPr>
              <w:t>Монологическая речь</w:t>
            </w:r>
          </w:p>
        </w:tc>
      </w:tr>
      <w:tr w14:paraId="4DC4A1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701" w:type="dxa"/>
          </w:tcPr>
          <w:p w14:paraId="701356C1">
            <w:pPr>
              <w:pStyle w:val="85"/>
              <w:jc w:val="center"/>
              <w:rPr>
                <w:color w:val="auto"/>
                <w:sz w:val="22"/>
                <w:szCs w:val="22"/>
              </w:rPr>
            </w:pPr>
            <w:r>
              <w:rPr>
                <w:color w:val="auto"/>
                <w:sz w:val="22"/>
                <w:szCs w:val="22"/>
              </w:rPr>
              <w:t>1.1.2.1</w:t>
            </w:r>
          </w:p>
        </w:tc>
        <w:tc>
          <w:tcPr>
            <w:tcW w:w="7370" w:type="dxa"/>
          </w:tcPr>
          <w:p w14:paraId="426D9928">
            <w:pPr>
              <w:pStyle w:val="85"/>
              <w:jc w:val="both"/>
              <w:rPr>
                <w:color w:val="auto"/>
                <w:sz w:val="22"/>
                <w:szCs w:val="22"/>
              </w:rPr>
            </w:pPr>
            <w:r>
              <w:rPr>
                <w:color w:val="auto"/>
                <w:sz w:val="22"/>
                <w:szCs w:val="22"/>
              </w:rPr>
              <w:t>Создавать устное связное монологическое высказывание-описание с вербальными и (или) зрительными опорами в рамках изучаемой тематики (объемом не менее 4 фраз)</w:t>
            </w:r>
          </w:p>
        </w:tc>
      </w:tr>
      <w:tr w14:paraId="1252D0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701" w:type="dxa"/>
          </w:tcPr>
          <w:p w14:paraId="5CB4A221">
            <w:pPr>
              <w:pStyle w:val="85"/>
              <w:jc w:val="center"/>
              <w:rPr>
                <w:color w:val="auto"/>
                <w:sz w:val="22"/>
                <w:szCs w:val="22"/>
              </w:rPr>
            </w:pPr>
            <w:r>
              <w:rPr>
                <w:color w:val="auto"/>
                <w:sz w:val="22"/>
                <w:szCs w:val="22"/>
              </w:rPr>
              <w:t>1.1.2.2</w:t>
            </w:r>
          </w:p>
        </w:tc>
        <w:tc>
          <w:tcPr>
            <w:tcW w:w="7370" w:type="dxa"/>
          </w:tcPr>
          <w:p w14:paraId="016ABFDB">
            <w:pPr>
              <w:pStyle w:val="85"/>
              <w:jc w:val="both"/>
              <w:rPr>
                <w:color w:val="auto"/>
                <w:sz w:val="22"/>
                <w:szCs w:val="22"/>
              </w:rPr>
            </w:pPr>
            <w:r>
              <w:rPr>
                <w:color w:val="auto"/>
                <w:sz w:val="22"/>
                <w:szCs w:val="22"/>
              </w:rPr>
              <w:t>Создавать устное связное монологическое высказывание-повествование (рассказ) с вербальными и (или) зрительными опорами в рамках изучаемой тематики (объемом не менее 4 фраз)</w:t>
            </w:r>
          </w:p>
        </w:tc>
      </w:tr>
      <w:tr w14:paraId="691C21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701" w:type="dxa"/>
          </w:tcPr>
          <w:p w14:paraId="1E0A0A2A">
            <w:pPr>
              <w:pStyle w:val="85"/>
              <w:jc w:val="center"/>
              <w:rPr>
                <w:color w:val="auto"/>
                <w:sz w:val="22"/>
                <w:szCs w:val="22"/>
              </w:rPr>
            </w:pPr>
            <w:r>
              <w:rPr>
                <w:color w:val="auto"/>
                <w:sz w:val="22"/>
                <w:szCs w:val="22"/>
              </w:rPr>
              <w:t>1.1.2.3</w:t>
            </w:r>
          </w:p>
        </w:tc>
        <w:tc>
          <w:tcPr>
            <w:tcW w:w="7370" w:type="dxa"/>
          </w:tcPr>
          <w:p w14:paraId="0E813036">
            <w:pPr>
              <w:pStyle w:val="85"/>
              <w:jc w:val="both"/>
              <w:rPr>
                <w:color w:val="auto"/>
                <w:sz w:val="22"/>
                <w:szCs w:val="22"/>
              </w:rPr>
            </w:pPr>
            <w:r>
              <w:rPr>
                <w:color w:val="auto"/>
                <w:sz w:val="22"/>
                <w:szCs w:val="22"/>
              </w:rPr>
              <w:t>Передавать основное содержание прочитанного текста с вербальными и (или) зрительными опорами (объем монологического высказывания - не менее 4 фраз)</w:t>
            </w:r>
          </w:p>
        </w:tc>
      </w:tr>
      <w:tr w14:paraId="3E0C10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701" w:type="dxa"/>
          </w:tcPr>
          <w:p w14:paraId="28C2C36F">
            <w:pPr>
              <w:pStyle w:val="85"/>
              <w:jc w:val="center"/>
              <w:rPr>
                <w:color w:val="auto"/>
                <w:sz w:val="22"/>
                <w:szCs w:val="22"/>
              </w:rPr>
            </w:pPr>
            <w:r>
              <w:rPr>
                <w:color w:val="auto"/>
                <w:sz w:val="22"/>
                <w:szCs w:val="22"/>
              </w:rPr>
              <w:t>1.2</w:t>
            </w:r>
          </w:p>
        </w:tc>
        <w:tc>
          <w:tcPr>
            <w:tcW w:w="7370" w:type="dxa"/>
          </w:tcPr>
          <w:p w14:paraId="4D27686F">
            <w:pPr>
              <w:pStyle w:val="85"/>
              <w:jc w:val="both"/>
              <w:rPr>
                <w:color w:val="auto"/>
                <w:sz w:val="22"/>
                <w:szCs w:val="22"/>
              </w:rPr>
            </w:pPr>
            <w:r>
              <w:rPr>
                <w:color w:val="auto"/>
                <w:sz w:val="22"/>
                <w:szCs w:val="22"/>
              </w:rPr>
              <w:t>Аудирование</w:t>
            </w:r>
          </w:p>
        </w:tc>
      </w:tr>
      <w:tr w14:paraId="1D729E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701" w:type="dxa"/>
          </w:tcPr>
          <w:p w14:paraId="6C438484">
            <w:pPr>
              <w:pStyle w:val="85"/>
              <w:jc w:val="center"/>
              <w:rPr>
                <w:color w:val="auto"/>
                <w:sz w:val="22"/>
                <w:szCs w:val="22"/>
              </w:rPr>
            </w:pPr>
            <w:r>
              <w:rPr>
                <w:color w:val="auto"/>
                <w:sz w:val="22"/>
                <w:szCs w:val="22"/>
              </w:rPr>
              <w:t>1.2.1</w:t>
            </w:r>
          </w:p>
        </w:tc>
        <w:tc>
          <w:tcPr>
            <w:tcW w:w="7370" w:type="dxa"/>
          </w:tcPr>
          <w:p w14:paraId="60E5885A">
            <w:pPr>
              <w:pStyle w:val="85"/>
              <w:jc w:val="both"/>
              <w:rPr>
                <w:color w:val="auto"/>
                <w:sz w:val="22"/>
                <w:szCs w:val="22"/>
              </w:rPr>
            </w:pPr>
            <w:r>
              <w:rPr>
                <w:color w:val="auto"/>
                <w:sz w:val="22"/>
                <w:szCs w:val="22"/>
              </w:rPr>
              <w:t>Воспринимать на слух и понимать речь учителя и других обучающихся, вербально (невербально) реагировать на услышанное</w:t>
            </w:r>
          </w:p>
        </w:tc>
      </w:tr>
      <w:tr w14:paraId="21EEBA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701" w:type="dxa"/>
          </w:tcPr>
          <w:p w14:paraId="6268E7D1">
            <w:pPr>
              <w:pStyle w:val="85"/>
              <w:jc w:val="center"/>
              <w:rPr>
                <w:color w:val="auto"/>
                <w:sz w:val="22"/>
                <w:szCs w:val="22"/>
              </w:rPr>
            </w:pPr>
            <w:r>
              <w:rPr>
                <w:color w:val="auto"/>
                <w:sz w:val="22"/>
                <w:szCs w:val="22"/>
              </w:rPr>
              <w:t>1.2.2</w:t>
            </w:r>
          </w:p>
        </w:tc>
        <w:tc>
          <w:tcPr>
            <w:tcW w:w="7370" w:type="dxa"/>
          </w:tcPr>
          <w:p w14:paraId="636192B7">
            <w:pPr>
              <w:pStyle w:val="85"/>
              <w:jc w:val="both"/>
              <w:rPr>
                <w:color w:val="auto"/>
                <w:sz w:val="22"/>
                <w:szCs w:val="22"/>
              </w:rPr>
            </w:pPr>
            <w:r>
              <w:rPr>
                <w:color w:val="auto"/>
                <w:sz w:val="22"/>
                <w:szCs w:val="22"/>
              </w:rPr>
              <w:t>Воспринимать на слух и понимать основное содержание учебных текстов, построенных на изученном языковом материале, со зрительной опорой и с использованием языковой, в том числе контекстуальной, догадки (время звучания текста (текстов) для аудирования - до 1 минуты)</w:t>
            </w:r>
          </w:p>
        </w:tc>
      </w:tr>
      <w:tr w14:paraId="18C205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701" w:type="dxa"/>
          </w:tcPr>
          <w:p w14:paraId="1C32F9E4">
            <w:pPr>
              <w:pStyle w:val="85"/>
              <w:jc w:val="center"/>
              <w:rPr>
                <w:color w:val="auto"/>
                <w:sz w:val="22"/>
                <w:szCs w:val="22"/>
              </w:rPr>
            </w:pPr>
            <w:r>
              <w:rPr>
                <w:color w:val="auto"/>
                <w:sz w:val="22"/>
                <w:szCs w:val="22"/>
              </w:rPr>
              <w:t>1.2.3</w:t>
            </w:r>
          </w:p>
        </w:tc>
        <w:tc>
          <w:tcPr>
            <w:tcW w:w="7370" w:type="dxa"/>
          </w:tcPr>
          <w:p w14:paraId="1E51C5D0">
            <w:pPr>
              <w:pStyle w:val="85"/>
              <w:jc w:val="both"/>
              <w:rPr>
                <w:color w:val="auto"/>
                <w:sz w:val="22"/>
                <w:szCs w:val="22"/>
              </w:rPr>
            </w:pPr>
            <w:r>
              <w:rPr>
                <w:color w:val="auto"/>
                <w:sz w:val="22"/>
                <w:szCs w:val="22"/>
              </w:rPr>
              <w:t>Воспринимать на слух и понимать запрашиваемую информацию фактического характера в учебных текстах, построенных на изученном языковом материале, со зрительной опорой и с использованием языковой, в том числе контекстуальной, догадки (время звучания текста (текстов) для аудирования - до 1 минуты)</w:t>
            </w:r>
          </w:p>
        </w:tc>
      </w:tr>
      <w:tr w14:paraId="208EEE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701" w:type="dxa"/>
          </w:tcPr>
          <w:p w14:paraId="049FFFEF">
            <w:pPr>
              <w:pStyle w:val="85"/>
              <w:jc w:val="center"/>
              <w:rPr>
                <w:color w:val="auto"/>
                <w:sz w:val="22"/>
                <w:szCs w:val="22"/>
              </w:rPr>
            </w:pPr>
            <w:r>
              <w:rPr>
                <w:color w:val="auto"/>
                <w:sz w:val="22"/>
                <w:szCs w:val="22"/>
              </w:rPr>
              <w:t>1.3</w:t>
            </w:r>
          </w:p>
        </w:tc>
        <w:tc>
          <w:tcPr>
            <w:tcW w:w="7370" w:type="dxa"/>
          </w:tcPr>
          <w:p w14:paraId="24D4872D">
            <w:pPr>
              <w:pStyle w:val="85"/>
              <w:jc w:val="both"/>
              <w:rPr>
                <w:color w:val="auto"/>
                <w:sz w:val="22"/>
                <w:szCs w:val="22"/>
              </w:rPr>
            </w:pPr>
            <w:r>
              <w:rPr>
                <w:color w:val="auto"/>
                <w:sz w:val="22"/>
                <w:szCs w:val="22"/>
              </w:rPr>
              <w:t>Смысловое чтение</w:t>
            </w:r>
          </w:p>
        </w:tc>
      </w:tr>
      <w:tr w14:paraId="124DFD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701" w:type="dxa"/>
          </w:tcPr>
          <w:p w14:paraId="0E1FC277">
            <w:pPr>
              <w:pStyle w:val="85"/>
              <w:jc w:val="center"/>
              <w:rPr>
                <w:color w:val="auto"/>
                <w:sz w:val="22"/>
                <w:szCs w:val="22"/>
              </w:rPr>
            </w:pPr>
            <w:r>
              <w:rPr>
                <w:color w:val="auto"/>
                <w:sz w:val="22"/>
                <w:szCs w:val="22"/>
              </w:rPr>
              <w:t>1.3.1</w:t>
            </w:r>
          </w:p>
        </w:tc>
        <w:tc>
          <w:tcPr>
            <w:tcW w:w="7370" w:type="dxa"/>
          </w:tcPr>
          <w:p w14:paraId="317CDCA2">
            <w:pPr>
              <w:pStyle w:val="85"/>
              <w:jc w:val="both"/>
              <w:rPr>
                <w:color w:val="auto"/>
                <w:sz w:val="22"/>
                <w:szCs w:val="22"/>
              </w:rPr>
            </w:pPr>
            <w:r>
              <w:rPr>
                <w:color w:val="auto"/>
                <w:sz w:val="22"/>
                <w:szCs w:val="22"/>
              </w:rPr>
              <w:t>Читать вслух учебные тексты объемом до 70 слов, построенные на изученном языковом материале, с соблюдением правил чтения и соответствующей интонацией, демонстрируя понимание прочитанного</w:t>
            </w:r>
          </w:p>
        </w:tc>
      </w:tr>
      <w:tr w14:paraId="755C4E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701" w:type="dxa"/>
          </w:tcPr>
          <w:p w14:paraId="5966FAA4">
            <w:pPr>
              <w:pStyle w:val="85"/>
              <w:jc w:val="center"/>
              <w:rPr>
                <w:color w:val="auto"/>
                <w:sz w:val="22"/>
                <w:szCs w:val="22"/>
              </w:rPr>
            </w:pPr>
            <w:r>
              <w:rPr>
                <w:color w:val="auto"/>
                <w:sz w:val="22"/>
                <w:szCs w:val="22"/>
              </w:rPr>
              <w:t>1.3.2</w:t>
            </w:r>
          </w:p>
        </w:tc>
        <w:tc>
          <w:tcPr>
            <w:tcW w:w="7370" w:type="dxa"/>
          </w:tcPr>
          <w:p w14:paraId="0855EC35">
            <w:pPr>
              <w:pStyle w:val="85"/>
              <w:jc w:val="both"/>
              <w:rPr>
                <w:color w:val="auto"/>
                <w:sz w:val="22"/>
                <w:szCs w:val="22"/>
              </w:rPr>
            </w:pPr>
            <w:r>
              <w:rPr>
                <w:color w:val="auto"/>
                <w:sz w:val="22"/>
                <w:szCs w:val="22"/>
              </w:rPr>
              <w:t>Читать про себя и понимать запрашиваемую информацию в учебных текстах, содержащих отдельные незнакомые слова, со зрительной опорой и без опоры, а также с использованием языковой, в том числе контекстуальной, догадки (объем текста (текстов) для чтения - до 130 слов)</w:t>
            </w:r>
          </w:p>
        </w:tc>
      </w:tr>
      <w:tr w14:paraId="2384A6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701" w:type="dxa"/>
          </w:tcPr>
          <w:p w14:paraId="6D7D4D1D">
            <w:pPr>
              <w:pStyle w:val="85"/>
              <w:jc w:val="center"/>
              <w:rPr>
                <w:color w:val="auto"/>
                <w:sz w:val="22"/>
                <w:szCs w:val="22"/>
              </w:rPr>
            </w:pPr>
            <w:r>
              <w:rPr>
                <w:color w:val="auto"/>
                <w:sz w:val="22"/>
                <w:szCs w:val="22"/>
              </w:rPr>
              <w:t>1.4</w:t>
            </w:r>
          </w:p>
        </w:tc>
        <w:tc>
          <w:tcPr>
            <w:tcW w:w="7370" w:type="dxa"/>
          </w:tcPr>
          <w:p w14:paraId="55DC276A">
            <w:pPr>
              <w:pStyle w:val="85"/>
              <w:jc w:val="both"/>
              <w:rPr>
                <w:color w:val="auto"/>
                <w:sz w:val="22"/>
                <w:szCs w:val="22"/>
              </w:rPr>
            </w:pPr>
            <w:r>
              <w:rPr>
                <w:color w:val="auto"/>
                <w:sz w:val="22"/>
                <w:szCs w:val="22"/>
              </w:rPr>
              <w:t>Письмо</w:t>
            </w:r>
          </w:p>
        </w:tc>
      </w:tr>
      <w:tr w14:paraId="655EF5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701" w:type="dxa"/>
          </w:tcPr>
          <w:p w14:paraId="5DB5F0C7">
            <w:pPr>
              <w:pStyle w:val="85"/>
              <w:jc w:val="center"/>
              <w:rPr>
                <w:color w:val="auto"/>
                <w:sz w:val="22"/>
                <w:szCs w:val="22"/>
              </w:rPr>
            </w:pPr>
            <w:r>
              <w:rPr>
                <w:color w:val="auto"/>
                <w:sz w:val="22"/>
                <w:szCs w:val="22"/>
              </w:rPr>
              <w:t>1.4.1</w:t>
            </w:r>
          </w:p>
        </w:tc>
        <w:tc>
          <w:tcPr>
            <w:tcW w:w="7370" w:type="dxa"/>
          </w:tcPr>
          <w:p w14:paraId="01C9EAC7">
            <w:pPr>
              <w:pStyle w:val="85"/>
              <w:jc w:val="both"/>
              <w:rPr>
                <w:color w:val="auto"/>
                <w:sz w:val="22"/>
                <w:szCs w:val="22"/>
              </w:rPr>
            </w:pPr>
            <w:r>
              <w:rPr>
                <w:color w:val="auto"/>
                <w:sz w:val="22"/>
                <w:szCs w:val="22"/>
              </w:rPr>
              <w:t>Заполнять анкеты и формуляры с указанием личной информации: имя, фамилия, возраст, страна проживания, любимые занятия и другое</w:t>
            </w:r>
          </w:p>
        </w:tc>
      </w:tr>
      <w:tr w14:paraId="01A67D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701" w:type="dxa"/>
          </w:tcPr>
          <w:p w14:paraId="0140CA8F">
            <w:pPr>
              <w:pStyle w:val="85"/>
              <w:jc w:val="center"/>
              <w:rPr>
                <w:color w:val="auto"/>
                <w:sz w:val="22"/>
                <w:szCs w:val="22"/>
              </w:rPr>
            </w:pPr>
            <w:r>
              <w:rPr>
                <w:color w:val="auto"/>
                <w:sz w:val="22"/>
                <w:szCs w:val="22"/>
              </w:rPr>
              <w:t>1.4.2</w:t>
            </w:r>
          </w:p>
        </w:tc>
        <w:tc>
          <w:tcPr>
            <w:tcW w:w="7370" w:type="dxa"/>
          </w:tcPr>
          <w:p w14:paraId="199938D6">
            <w:pPr>
              <w:pStyle w:val="85"/>
              <w:jc w:val="both"/>
              <w:rPr>
                <w:color w:val="auto"/>
                <w:sz w:val="22"/>
                <w:szCs w:val="22"/>
              </w:rPr>
            </w:pPr>
            <w:r>
              <w:rPr>
                <w:color w:val="auto"/>
                <w:sz w:val="22"/>
                <w:szCs w:val="22"/>
              </w:rPr>
              <w:t>Писать с использованием образца поздравления с праздниками (с днем рождения, Новым годом, Рождеством) с выражением пожеланий</w:t>
            </w:r>
          </w:p>
        </w:tc>
      </w:tr>
      <w:tr w14:paraId="5DB3B3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701" w:type="dxa"/>
          </w:tcPr>
          <w:p w14:paraId="5628F145">
            <w:pPr>
              <w:pStyle w:val="85"/>
              <w:jc w:val="center"/>
              <w:rPr>
                <w:color w:val="auto"/>
                <w:sz w:val="22"/>
                <w:szCs w:val="22"/>
              </w:rPr>
            </w:pPr>
            <w:r>
              <w:rPr>
                <w:color w:val="auto"/>
                <w:sz w:val="22"/>
                <w:szCs w:val="22"/>
              </w:rPr>
              <w:t>1.4.3</w:t>
            </w:r>
          </w:p>
        </w:tc>
        <w:tc>
          <w:tcPr>
            <w:tcW w:w="7370" w:type="dxa"/>
          </w:tcPr>
          <w:p w14:paraId="55722226">
            <w:pPr>
              <w:pStyle w:val="85"/>
              <w:jc w:val="both"/>
              <w:rPr>
                <w:color w:val="auto"/>
                <w:sz w:val="22"/>
                <w:szCs w:val="22"/>
              </w:rPr>
            </w:pPr>
            <w:r>
              <w:rPr>
                <w:color w:val="auto"/>
                <w:sz w:val="22"/>
                <w:szCs w:val="22"/>
              </w:rPr>
              <w:t>Создавать подписи к иллюстрациям с пояснением, что на них изображено</w:t>
            </w:r>
          </w:p>
        </w:tc>
      </w:tr>
      <w:tr w14:paraId="6A5170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701" w:type="dxa"/>
          </w:tcPr>
          <w:p w14:paraId="3A5ACA60">
            <w:pPr>
              <w:pStyle w:val="85"/>
              <w:jc w:val="center"/>
              <w:rPr>
                <w:color w:val="auto"/>
                <w:sz w:val="22"/>
                <w:szCs w:val="22"/>
              </w:rPr>
            </w:pPr>
            <w:r>
              <w:rPr>
                <w:color w:val="auto"/>
                <w:sz w:val="22"/>
                <w:szCs w:val="22"/>
              </w:rPr>
              <w:t>2</w:t>
            </w:r>
          </w:p>
        </w:tc>
        <w:tc>
          <w:tcPr>
            <w:tcW w:w="7370" w:type="dxa"/>
          </w:tcPr>
          <w:p w14:paraId="65A62BBF">
            <w:pPr>
              <w:pStyle w:val="85"/>
              <w:jc w:val="both"/>
              <w:rPr>
                <w:color w:val="auto"/>
                <w:sz w:val="22"/>
                <w:szCs w:val="22"/>
              </w:rPr>
            </w:pPr>
            <w:r>
              <w:rPr>
                <w:color w:val="auto"/>
                <w:sz w:val="22"/>
                <w:szCs w:val="22"/>
              </w:rPr>
              <w:t>Языковые знания и навыки</w:t>
            </w:r>
          </w:p>
        </w:tc>
      </w:tr>
      <w:tr w14:paraId="733E93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701" w:type="dxa"/>
          </w:tcPr>
          <w:p w14:paraId="46372633">
            <w:pPr>
              <w:pStyle w:val="85"/>
              <w:jc w:val="center"/>
              <w:rPr>
                <w:color w:val="auto"/>
                <w:sz w:val="22"/>
                <w:szCs w:val="22"/>
              </w:rPr>
            </w:pPr>
            <w:r>
              <w:rPr>
                <w:color w:val="auto"/>
                <w:sz w:val="22"/>
                <w:szCs w:val="22"/>
              </w:rPr>
              <w:t>2.1</w:t>
            </w:r>
          </w:p>
        </w:tc>
        <w:tc>
          <w:tcPr>
            <w:tcW w:w="7370" w:type="dxa"/>
          </w:tcPr>
          <w:p w14:paraId="188671CF">
            <w:pPr>
              <w:pStyle w:val="85"/>
              <w:jc w:val="both"/>
              <w:rPr>
                <w:color w:val="auto"/>
                <w:sz w:val="22"/>
                <w:szCs w:val="22"/>
              </w:rPr>
            </w:pPr>
            <w:r>
              <w:rPr>
                <w:color w:val="auto"/>
                <w:sz w:val="22"/>
                <w:szCs w:val="22"/>
              </w:rPr>
              <w:t>Фонетическая сторона речи</w:t>
            </w:r>
          </w:p>
        </w:tc>
      </w:tr>
      <w:tr w14:paraId="7EBA51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701" w:type="dxa"/>
          </w:tcPr>
          <w:p w14:paraId="27390ACD">
            <w:pPr>
              <w:pStyle w:val="85"/>
              <w:jc w:val="center"/>
              <w:rPr>
                <w:color w:val="auto"/>
                <w:sz w:val="22"/>
                <w:szCs w:val="22"/>
              </w:rPr>
            </w:pPr>
            <w:r>
              <w:rPr>
                <w:color w:val="auto"/>
                <w:sz w:val="22"/>
                <w:szCs w:val="22"/>
              </w:rPr>
              <w:t>2.1.1</w:t>
            </w:r>
          </w:p>
        </w:tc>
        <w:tc>
          <w:tcPr>
            <w:tcW w:w="7370" w:type="dxa"/>
          </w:tcPr>
          <w:p w14:paraId="4A7ADC3E">
            <w:pPr>
              <w:pStyle w:val="85"/>
              <w:jc w:val="both"/>
              <w:rPr>
                <w:color w:val="auto"/>
                <w:sz w:val="22"/>
                <w:szCs w:val="22"/>
              </w:rPr>
            </w:pPr>
            <w:r>
              <w:rPr>
                <w:color w:val="auto"/>
                <w:sz w:val="22"/>
                <w:szCs w:val="22"/>
              </w:rPr>
              <w:t>Применять правила чтения гласных в третьем типе слога (гласная + r)</w:t>
            </w:r>
          </w:p>
        </w:tc>
      </w:tr>
      <w:tr w14:paraId="5265B5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701" w:type="dxa"/>
          </w:tcPr>
          <w:p w14:paraId="4718B3D8">
            <w:pPr>
              <w:pStyle w:val="85"/>
              <w:jc w:val="center"/>
              <w:rPr>
                <w:color w:val="auto"/>
                <w:sz w:val="22"/>
                <w:szCs w:val="22"/>
              </w:rPr>
            </w:pPr>
            <w:r>
              <w:rPr>
                <w:color w:val="auto"/>
                <w:sz w:val="22"/>
                <w:szCs w:val="22"/>
              </w:rPr>
              <w:t>2.1.2</w:t>
            </w:r>
          </w:p>
        </w:tc>
        <w:tc>
          <w:tcPr>
            <w:tcW w:w="7370" w:type="dxa"/>
          </w:tcPr>
          <w:p w14:paraId="624765D6">
            <w:pPr>
              <w:pStyle w:val="85"/>
              <w:jc w:val="both"/>
              <w:rPr>
                <w:color w:val="auto"/>
                <w:sz w:val="22"/>
                <w:szCs w:val="22"/>
              </w:rPr>
            </w:pPr>
            <w:r>
              <w:rPr>
                <w:color w:val="auto"/>
                <w:sz w:val="22"/>
                <w:szCs w:val="22"/>
              </w:rPr>
              <w:t>Применять правила чтения сложных сочетаний букв (например, -tion, -ight) в односложных, двусложных и многосложных словах (international, night)</w:t>
            </w:r>
          </w:p>
        </w:tc>
      </w:tr>
      <w:tr w14:paraId="315FA4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701" w:type="dxa"/>
          </w:tcPr>
          <w:p w14:paraId="710F8488">
            <w:pPr>
              <w:pStyle w:val="85"/>
              <w:jc w:val="center"/>
              <w:rPr>
                <w:color w:val="auto"/>
                <w:sz w:val="22"/>
                <w:szCs w:val="22"/>
              </w:rPr>
            </w:pPr>
            <w:r>
              <w:rPr>
                <w:color w:val="auto"/>
                <w:sz w:val="22"/>
                <w:szCs w:val="22"/>
              </w:rPr>
              <w:t>2.1.3</w:t>
            </w:r>
          </w:p>
        </w:tc>
        <w:tc>
          <w:tcPr>
            <w:tcW w:w="7370" w:type="dxa"/>
          </w:tcPr>
          <w:p w14:paraId="02335E64">
            <w:pPr>
              <w:pStyle w:val="85"/>
              <w:jc w:val="both"/>
              <w:rPr>
                <w:color w:val="auto"/>
                <w:sz w:val="22"/>
                <w:szCs w:val="22"/>
              </w:rPr>
            </w:pPr>
            <w:r>
              <w:rPr>
                <w:color w:val="auto"/>
                <w:sz w:val="22"/>
                <w:szCs w:val="22"/>
              </w:rPr>
              <w:t>Читать новые слова согласно основным правилам чтения</w:t>
            </w:r>
          </w:p>
        </w:tc>
      </w:tr>
      <w:tr w14:paraId="14824D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701" w:type="dxa"/>
          </w:tcPr>
          <w:p w14:paraId="1F09FFF6">
            <w:pPr>
              <w:pStyle w:val="85"/>
              <w:jc w:val="center"/>
              <w:rPr>
                <w:color w:val="auto"/>
                <w:sz w:val="22"/>
                <w:szCs w:val="22"/>
              </w:rPr>
            </w:pPr>
            <w:r>
              <w:rPr>
                <w:color w:val="auto"/>
                <w:sz w:val="22"/>
                <w:szCs w:val="22"/>
              </w:rPr>
              <w:t>2.1.4</w:t>
            </w:r>
          </w:p>
        </w:tc>
        <w:tc>
          <w:tcPr>
            <w:tcW w:w="7370" w:type="dxa"/>
          </w:tcPr>
          <w:p w14:paraId="466F3F46">
            <w:pPr>
              <w:pStyle w:val="85"/>
              <w:jc w:val="both"/>
              <w:rPr>
                <w:color w:val="auto"/>
                <w:sz w:val="22"/>
                <w:szCs w:val="22"/>
              </w:rPr>
            </w:pPr>
            <w:r>
              <w:rPr>
                <w:color w:val="auto"/>
                <w:sz w:val="22"/>
                <w:szCs w:val="22"/>
              </w:rPr>
              <w:t>Различать на слух и правильно произносить слова и фразы (предложения) с соблюдением их ритмико-интонационных особенностей</w:t>
            </w:r>
          </w:p>
        </w:tc>
      </w:tr>
      <w:tr w14:paraId="613C47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701" w:type="dxa"/>
          </w:tcPr>
          <w:p w14:paraId="0C9543E8">
            <w:pPr>
              <w:pStyle w:val="85"/>
              <w:jc w:val="center"/>
              <w:rPr>
                <w:color w:val="auto"/>
                <w:sz w:val="22"/>
                <w:szCs w:val="22"/>
              </w:rPr>
            </w:pPr>
            <w:r>
              <w:rPr>
                <w:color w:val="auto"/>
                <w:sz w:val="22"/>
                <w:szCs w:val="22"/>
              </w:rPr>
              <w:t>2.2</w:t>
            </w:r>
          </w:p>
        </w:tc>
        <w:tc>
          <w:tcPr>
            <w:tcW w:w="7370" w:type="dxa"/>
          </w:tcPr>
          <w:p w14:paraId="2D3131C4">
            <w:pPr>
              <w:pStyle w:val="85"/>
              <w:jc w:val="both"/>
              <w:rPr>
                <w:color w:val="auto"/>
                <w:sz w:val="22"/>
                <w:szCs w:val="22"/>
              </w:rPr>
            </w:pPr>
            <w:r>
              <w:rPr>
                <w:color w:val="auto"/>
                <w:sz w:val="22"/>
                <w:szCs w:val="22"/>
              </w:rPr>
              <w:t>Графика, орфография и пунктуация</w:t>
            </w:r>
          </w:p>
        </w:tc>
      </w:tr>
      <w:tr w14:paraId="2015EB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701" w:type="dxa"/>
          </w:tcPr>
          <w:p w14:paraId="06B108EC">
            <w:pPr>
              <w:pStyle w:val="85"/>
              <w:jc w:val="center"/>
              <w:rPr>
                <w:color w:val="auto"/>
                <w:sz w:val="22"/>
                <w:szCs w:val="22"/>
              </w:rPr>
            </w:pPr>
            <w:r>
              <w:rPr>
                <w:color w:val="auto"/>
                <w:sz w:val="22"/>
                <w:szCs w:val="22"/>
              </w:rPr>
              <w:t>2.2.1</w:t>
            </w:r>
          </w:p>
        </w:tc>
        <w:tc>
          <w:tcPr>
            <w:tcW w:w="7370" w:type="dxa"/>
          </w:tcPr>
          <w:p w14:paraId="43BB63B3">
            <w:pPr>
              <w:pStyle w:val="85"/>
              <w:jc w:val="both"/>
              <w:rPr>
                <w:color w:val="auto"/>
                <w:sz w:val="22"/>
                <w:szCs w:val="22"/>
              </w:rPr>
            </w:pPr>
            <w:r>
              <w:rPr>
                <w:color w:val="auto"/>
                <w:sz w:val="22"/>
                <w:szCs w:val="22"/>
              </w:rPr>
              <w:t>Правильно писать изученные слова</w:t>
            </w:r>
          </w:p>
        </w:tc>
      </w:tr>
      <w:tr w14:paraId="6F0B82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701" w:type="dxa"/>
          </w:tcPr>
          <w:p w14:paraId="1415FC86">
            <w:pPr>
              <w:pStyle w:val="85"/>
              <w:jc w:val="center"/>
              <w:rPr>
                <w:color w:val="auto"/>
                <w:sz w:val="22"/>
                <w:szCs w:val="22"/>
              </w:rPr>
            </w:pPr>
            <w:r>
              <w:rPr>
                <w:color w:val="auto"/>
                <w:sz w:val="22"/>
                <w:szCs w:val="22"/>
              </w:rPr>
              <w:t>2.2.2</w:t>
            </w:r>
          </w:p>
        </w:tc>
        <w:tc>
          <w:tcPr>
            <w:tcW w:w="7370" w:type="dxa"/>
          </w:tcPr>
          <w:p w14:paraId="37424210">
            <w:pPr>
              <w:pStyle w:val="85"/>
              <w:jc w:val="both"/>
              <w:rPr>
                <w:color w:val="auto"/>
                <w:sz w:val="22"/>
                <w:szCs w:val="22"/>
              </w:rPr>
            </w:pPr>
            <w:r>
              <w:rPr>
                <w:color w:val="auto"/>
                <w:sz w:val="22"/>
                <w:szCs w:val="22"/>
              </w:rPr>
              <w:t>Правильно расставлять знаки препинания (точку, вопросительный и восклицательный знаки в конце предложения, апостроф)</w:t>
            </w:r>
          </w:p>
        </w:tc>
      </w:tr>
      <w:tr w14:paraId="182005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701" w:type="dxa"/>
          </w:tcPr>
          <w:p w14:paraId="64409C40">
            <w:pPr>
              <w:pStyle w:val="85"/>
              <w:jc w:val="center"/>
              <w:rPr>
                <w:color w:val="auto"/>
                <w:sz w:val="22"/>
                <w:szCs w:val="22"/>
              </w:rPr>
            </w:pPr>
            <w:r>
              <w:rPr>
                <w:color w:val="auto"/>
                <w:sz w:val="22"/>
                <w:szCs w:val="22"/>
              </w:rPr>
              <w:t>2.3</w:t>
            </w:r>
          </w:p>
        </w:tc>
        <w:tc>
          <w:tcPr>
            <w:tcW w:w="7370" w:type="dxa"/>
          </w:tcPr>
          <w:p w14:paraId="611D5E74">
            <w:pPr>
              <w:pStyle w:val="85"/>
              <w:jc w:val="both"/>
              <w:rPr>
                <w:color w:val="auto"/>
                <w:sz w:val="22"/>
                <w:szCs w:val="22"/>
              </w:rPr>
            </w:pPr>
            <w:r>
              <w:rPr>
                <w:color w:val="auto"/>
                <w:sz w:val="22"/>
                <w:szCs w:val="22"/>
              </w:rPr>
              <w:t>Лексическая сторона речи</w:t>
            </w:r>
          </w:p>
        </w:tc>
      </w:tr>
      <w:tr w14:paraId="4E9C2F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701" w:type="dxa"/>
          </w:tcPr>
          <w:p w14:paraId="0F515D75">
            <w:pPr>
              <w:pStyle w:val="85"/>
              <w:jc w:val="center"/>
              <w:rPr>
                <w:color w:val="auto"/>
                <w:sz w:val="22"/>
                <w:szCs w:val="22"/>
              </w:rPr>
            </w:pPr>
            <w:r>
              <w:rPr>
                <w:color w:val="auto"/>
                <w:sz w:val="22"/>
                <w:szCs w:val="22"/>
              </w:rPr>
              <w:t>2.3.1</w:t>
            </w:r>
          </w:p>
        </w:tc>
        <w:tc>
          <w:tcPr>
            <w:tcW w:w="7370" w:type="dxa"/>
          </w:tcPr>
          <w:p w14:paraId="3DA812A0">
            <w:pPr>
              <w:pStyle w:val="85"/>
              <w:jc w:val="both"/>
              <w:rPr>
                <w:color w:val="auto"/>
                <w:sz w:val="22"/>
                <w:szCs w:val="22"/>
              </w:rPr>
            </w:pPr>
            <w:r>
              <w:rPr>
                <w:color w:val="auto"/>
                <w:sz w:val="22"/>
                <w:szCs w:val="22"/>
              </w:rPr>
              <w:t>Распознавать и употреблять в устной и письменной речи не менее 350 лексических единиц (слов, словосочетаний, речевых клише), включая 200 лексических единиц, освоенных на первом году обучения</w:t>
            </w:r>
          </w:p>
        </w:tc>
      </w:tr>
      <w:tr w14:paraId="7BF4FD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701" w:type="dxa"/>
          </w:tcPr>
          <w:p w14:paraId="0F8B9B8F">
            <w:pPr>
              <w:pStyle w:val="85"/>
              <w:jc w:val="center"/>
              <w:rPr>
                <w:color w:val="auto"/>
                <w:sz w:val="22"/>
                <w:szCs w:val="22"/>
              </w:rPr>
            </w:pPr>
            <w:r>
              <w:rPr>
                <w:color w:val="auto"/>
                <w:sz w:val="22"/>
                <w:szCs w:val="22"/>
              </w:rPr>
              <w:t>2.3.2</w:t>
            </w:r>
          </w:p>
        </w:tc>
        <w:tc>
          <w:tcPr>
            <w:tcW w:w="7370" w:type="dxa"/>
          </w:tcPr>
          <w:p w14:paraId="6E21595A">
            <w:pPr>
              <w:pStyle w:val="85"/>
              <w:jc w:val="both"/>
              <w:rPr>
                <w:color w:val="auto"/>
                <w:sz w:val="22"/>
                <w:szCs w:val="22"/>
              </w:rPr>
            </w:pPr>
            <w:r>
              <w:rPr>
                <w:color w:val="auto"/>
                <w:sz w:val="22"/>
                <w:szCs w:val="22"/>
              </w:rPr>
              <w:t>Распознавать и образовывать родственные слова, образованные с использованием одного из основных способов словообразования - аффиксации (суффиксы числительных -teen, -ty, -th)</w:t>
            </w:r>
          </w:p>
        </w:tc>
      </w:tr>
      <w:tr w14:paraId="3013B5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701" w:type="dxa"/>
          </w:tcPr>
          <w:p w14:paraId="66886C91">
            <w:pPr>
              <w:pStyle w:val="85"/>
              <w:jc w:val="center"/>
              <w:rPr>
                <w:color w:val="auto"/>
                <w:sz w:val="22"/>
                <w:szCs w:val="22"/>
              </w:rPr>
            </w:pPr>
            <w:r>
              <w:rPr>
                <w:color w:val="auto"/>
                <w:sz w:val="22"/>
                <w:szCs w:val="22"/>
              </w:rPr>
              <w:t>2.3.3</w:t>
            </w:r>
          </w:p>
        </w:tc>
        <w:tc>
          <w:tcPr>
            <w:tcW w:w="7370" w:type="dxa"/>
          </w:tcPr>
          <w:p w14:paraId="57F90A65">
            <w:pPr>
              <w:pStyle w:val="85"/>
              <w:jc w:val="both"/>
              <w:rPr>
                <w:color w:val="auto"/>
                <w:sz w:val="22"/>
                <w:szCs w:val="22"/>
              </w:rPr>
            </w:pPr>
            <w:r>
              <w:rPr>
                <w:color w:val="auto"/>
                <w:sz w:val="22"/>
                <w:szCs w:val="22"/>
              </w:rPr>
              <w:t>Распознавать и образовывать родственные слова, образованные с использованием одного из основных способов словообразования - словосложения (football, snowman)</w:t>
            </w:r>
          </w:p>
        </w:tc>
      </w:tr>
      <w:tr w14:paraId="46E44A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701" w:type="dxa"/>
          </w:tcPr>
          <w:p w14:paraId="1BED708C">
            <w:pPr>
              <w:pStyle w:val="85"/>
              <w:jc w:val="center"/>
              <w:rPr>
                <w:color w:val="auto"/>
                <w:sz w:val="22"/>
                <w:szCs w:val="22"/>
              </w:rPr>
            </w:pPr>
            <w:r>
              <w:rPr>
                <w:color w:val="auto"/>
                <w:sz w:val="22"/>
                <w:szCs w:val="22"/>
              </w:rPr>
              <w:t>2.4</w:t>
            </w:r>
          </w:p>
        </w:tc>
        <w:tc>
          <w:tcPr>
            <w:tcW w:w="7370" w:type="dxa"/>
          </w:tcPr>
          <w:p w14:paraId="125563DB">
            <w:pPr>
              <w:pStyle w:val="85"/>
              <w:jc w:val="both"/>
              <w:rPr>
                <w:color w:val="auto"/>
                <w:sz w:val="22"/>
                <w:szCs w:val="22"/>
              </w:rPr>
            </w:pPr>
            <w:r>
              <w:rPr>
                <w:color w:val="auto"/>
                <w:sz w:val="22"/>
                <w:szCs w:val="22"/>
              </w:rPr>
              <w:t>Грамматическая сторона речи</w:t>
            </w:r>
          </w:p>
        </w:tc>
      </w:tr>
      <w:tr w14:paraId="4518DE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701" w:type="dxa"/>
          </w:tcPr>
          <w:p w14:paraId="6CF46533">
            <w:pPr>
              <w:pStyle w:val="85"/>
              <w:jc w:val="center"/>
              <w:rPr>
                <w:color w:val="auto"/>
                <w:sz w:val="22"/>
                <w:szCs w:val="22"/>
              </w:rPr>
            </w:pPr>
            <w:r>
              <w:rPr>
                <w:color w:val="auto"/>
                <w:sz w:val="22"/>
                <w:szCs w:val="22"/>
              </w:rPr>
              <w:t>2.4.1</w:t>
            </w:r>
          </w:p>
        </w:tc>
        <w:tc>
          <w:tcPr>
            <w:tcW w:w="7370" w:type="dxa"/>
          </w:tcPr>
          <w:p w14:paraId="53B4E46F">
            <w:pPr>
              <w:pStyle w:val="85"/>
              <w:jc w:val="both"/>
              <w:rPr>
                <w:color w:val="auto"/>
                <w:sz w:val="22"/>
                <w:szCs w:val="22"/>
              </w:rPr>
            </w:pPr>
            <w:r>
              <w:rPr>
                <w:color w:val="auto"/>
                <w:sz w:val="22"/>
                <w:szCs w:val="22"/>
              </w:rPr>
              <w:t>Распознавать и употреблять в устной и письменной речи побудительные предложения в отрицательной форме (Don't talk, please.)</w:t>
            </w:r>
          </w:p>
        </w:tc>
      </w:tr>
      <w:tr w14:paraId="728D04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701" w:type="dxa"/>
          </w:tcPr>
          <w:p w14:paraId="4BB2F9A5">
            <w:pPr>
              <w:pStyle w:val="85"/>
              <w:jc w:val="center"/>
              <w:rPr>
                <w:color w:val="auto"/>
                <w:sz w:val="22"/>
                <w:szCs w:val="22"/>
              </w:rPr>
            </w:pPr>
            <w:r>
              <w:rPr>
                <w:color w:val="auto"/>
                <w:sz w:val="22"/>
                <w:szCs w:val="22"/>
              </w:rPr>
              <w:t>2.4.2</w:t>
            </w:r>
          </w:p>
        </w:tc>
        <w:tc>
          <w:tcPr>
            <w:tcW w:w="7370" w:type="dxa"/>
          </w:tcPr>
          <w:p w14:paraId="3EA8A44B">
            <w:pPr>
              <w:pStyle w:val="85"/>
              <w:jc w:val="both"/>
              <w:rPr>
                <w:color w:val="auto"/>
                <w:sz w:val="22"/>
                <w:szCs w:val="22"/>
              </w:rPr>
            </w:pPr>
            <w:r>
              <w:rPr>
                <w:color w:val="auto"/>
                <w:sz w:val="22"/>
                <w:szCs w:val="22"/>
              </w:rPr>
              <w:t>Распознавать и употреблять в устной и письменной речи предложения с начальным There + to be в Past Simple Tense (There was a bridge across the river. There were mountains in the south.)</w:t>
            </w:r>
          </w:p>
        </w:tc>
      </w:tr>
      <w:tr w14:paraId="03E667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701" w:type="dxa"/>
          </w:tcPr>
          <w:p w14:paraId="5A066F0A">
            <w:pPr>
              <w:pStyle w:val="85"/>
              <w:jc w:val="center"/>
              <w:rPr>
                <w:color w:val="auto"/>
                <w:sz w:val="22"/>
                <w:szCs w:val="22"/>
              </w:rPr>
            </w:pPr>
            <w:r>
              <w:rPr>
                <w:color w:val="auto"/>
                <w:sz w:val="22"/>
                <w:szCs w:val="22"/>
              </w:rPr>
              <w:t>2.4.3</w:t>
            </w:r>
          </w:p>
        </w:tc>
        <w:tc>
          <w:tcPr>
            <w:tcW w:w="7370" w:type="dxa"/>
          </w:tcPr>
          <w:p w14:paraId="5105C2E3">
            <w:pPr>
              <w:pStyle w:val="85"/>
              <w:jc w:val="both"/>
              <w:rPr>
                <w:color w:val="auto"/>
                <w:sz w:val="22"/>
                <w:szCs w:val="22"/>
              </w:rPr>
            </w:pPr>
            <w:r>
              <w:rPr>
                <w:color w:val="auto"/>
                <w:sz w:val="22"/>
                <w:szCs w:val="22"/>
              </w:rPr>
              <w:t>Распознавать и употреблять в устной и письменной речи правильные и неправильные глаголы в Past Simple Tense в повествовательных (утвердительных и отрицательных) и вопросительных (общий и специальный вопросы) предложениях</w:t>
            </w:r>
          </w:p>
        </w:tc>
      </w:tr>
      <w:tr w14:paraId="263B04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701" w:type="dxa"/>
          </w:tcPr>
          <w:p w14:paraId="64B1187A">
            <w:pPr>
              <w:pStyle w:val="85"/>
              <w:jc w:val="center"/>
              <w:rPr>
                <w:color w:val="auto"/>
                <w:sz w:val="22"/>
                <w:szCs w:val="22"/>
              </w:rPr>
            </w:pPr>
            <w:r>
              <w:rPr>
                <w:color w:val="auto"/>
                <w:sz w:val="22"/>
                <w:szCs w:val="22"/>
              </w:rPr>
              <w:t>2.4.4</w:t>
            </w:r>
          </w:p>
        </w:tc>
        <w:tc>
          <w:tcPr>
            <w:tcW w:w="7370" w:type="dxa"/>
          </w:tcPr>
          <w:p w14:paraId="430679F6">
            <w:pPr>
              <w:pStyle w:val="85"/>
              <w:jc w:val="both"/>
              <w:rPr>
                <w:color w:val="auto"/>
                <w:sz w:val="22"/>
                <w:szCs w:val="22"/>
              </w:rPr>
            </w:pPr>
            <w:r>
              <w:rPr>
                <w:color w:val="auto"/>
                <w:sz w:val="22"/>
                <w:szCs w:val="22"/>
              </w:rPr>
              <w:t>Распознавать и употреблять в устной и письменной речи конструкцию I'd like to...</w:t>
            </w:r>
          </w:p>
        </w:tc>
      </w:tr>
      <w:tr w14:paraId="503BA9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701" w:type="dxa"/>
          </w:tcPr>
          <w:p w14:paraId="5CBD857C">
            <w:pPr>
              <w:pStyle w:val="85"/>
              <w:jc w:val="center"/>
              <w:rPr>
                <w:color w:val="auto"/>
                <w:sz w:val="22"/>
                <w:szCs w:val="22"/>
              </w:rPr>
            </w:pPr>
            <w:r>
              <w:rPr>
                <w:color w:val="auto"/>
                <w:sz w:val="22"/>
                <w:szCs w:val="22"/>
              </w:rPr>
              <w:t>2.4.5</w:t>
            </w:r>
          </w:p>
        </w:tc>
        <w:tc>
          <w:tcPr>
            <w:tcW w:w="7370" w:type="dxa"/>
          </w:tcPr>
          <w:p w14:paraId="572D8C01">
            <w:pPr>
              <w:pStyle w:val="85"/>
              <w:jc w:val="both"/>
              <w:rPr>
                <w:color w:val="auto"/>
                <w:sz w:val="22"/>
                <w:szCs w:val="22"/>
              </w:rPr>
            </w:pPr>
            <w:r>
              <w:rPr>
                <w:color w:val="auto"/>
                <w:sz w:val="22"/>
                <w:szCs w:val="22"/>
              </w:rPr>
              <w:t>Распознавать и употреблять в устной и письменной речи конструкции с глаголами на -ing: to like/enjoy doing smth</w:t>
            </w:r>
          </w:p>
        </w:tc>
      </w:tr>
      <w:tr w14:paraId="228DCF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701" w:type="dxa"/>
          </w:tcPr>
          <w:p w14:paraId="0C7EC196">
            <w:pPr>
              <w:pStyle w:val="85"/>
              <w:jc w:val="center"/>
              <w:rPr>
                <w:color w:val="auto"/>
                <w:sz w:val="22"/>
                <w:szCs w:val="22"/>
              </w:rPr>
            </w:pPr>
            <w:r>
              <w:rPr>
                <w:color w:val="auto"/>
                <w:sz w:val="22"/>
                <w:szCs w:val="22"/>
              </w:rPr>
              <w:t>2.4.6</w:t>
            </w:r>
          </w:p>
        </w:tc>
        <w:tc>
          <w:tcPr>
            <w:tcW w:w="7370" w:type="dxa"/>
          </w:tcPr>
          <w:p w14:paraId="483F52F9">
            <w:pPr>
              <w:pStyle w:val="85"/>
              <w:jc w:val="both"/>
              <w:rPr>
                <w:color w:val="auto"/>
                <w:sz w:val="22"/>
                <w:szCs w:val="22"/>
              </w:rPr>
            </w:pPr>
            <w:r>
              <w:rPr>
                <w:color w:val="auto"/>
                <w:sz w:val="22"/>
                <w:szCs w:val="22"/>
              </w:rPr>
              <w:t>Распознавать и употреблять в устной и письменной речи существительные в притяжательном падеже (Possessive Case)</w:t>
            </w:r>
          </w:p>
        </w:tc>
      </w:tr>
      <w:tr w14:paraId="391C70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701" w:type="dxa"/>
          </w:tcPr>
          <w:p w14:paraId="2970D571">
            <w:pPr>
              <w:pStyle w:val="85"/>
              <w:jc w:val="center"/>
              <w:rPr>
                <w:color w:val="auto"/>
                <w:sz w:val="22"/>
                <w:szCs w:val="22"/>
              </w:rPr>
            </w:pPr>
            <w:r>
              <w:rPr>
                <w:color w:val="auto"/>
                <w:sz w:val="22"/>
                <w:szCs w:val="22"/>
              </w:rPr>
              <w:t>2.4.7</w:t>
            </w:r>
          </w:p>
        </w:tc>
        <w:tc>
          <w:tcPr>
            <w:tcW w:w="7370" w:type="dxa"/>
          </w:tcPr>
          <w:p w14:paraId="374A5001">
            <w:pPr>
              <w:pStyle w:val="85"/>
              <w:jc w:val="both"/>
              <w:rPr>
                <w:color w:val="auto"/>
                <w:sz w:val="22"/>
                <w:szCs w:val="22"/>
              </w:rPr>
            </w:pPr>
            <w:r>
              <w:rPr>
                <w:color w:val="auto"/>
                <w:sz w:val="22"/>
                <w:szCs w:val="22"/>
              </w:rPr>
              <w:t>Распознавать и употреблять в устной и письменной речи слова, выражающие количество с исчисляемыми и неисчисляемыми существительными (much/many/a lot of)</w:t>
            </w:r>
          </w:p>
        </w:tc>
      </w:tr>
      <w:tr w14:paraId="0A1742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701" w:type="dxa"/>
          </w:tcPr>
          <w:p w14:paraId="3CF9B720">
            <w:pPr>
              <w:pStyle w:val="85"/>
              <w:jc w:val="center"/>
              <w:rPr>
                <w:color w:val="auto"/>
                <w:sz w:val="22"/>
                <w:szCs w:val="22"/>
              </w:rPr>
            </w:pPr>
            <w:r>
              <w:rPr>
                <w:color w:val="auto"/>
                <w:sz w:val="22"/>
                <w:szCs w:val="22"/>
              </w:rPr>
              <w:t>2.4.8</w:t>
            </w:r>
          </w:p>
        </w:tc>
        <w:tc>
          <w:tcPr>
            <w:tcW w:w="7370" w:type="dxa"/>
          </w:tcPr>
          <w:p w14:paraId="1ACC1712">
            <w:pPr>
              <w:pStyle w:val="85"/>
              <w:jc w:val="both"/>
              <w:rPr>
                <w:color w:val="auto"/>
                <w:sz w:val="22"/>
                <w:szCs w:val="22"/>
              </w:rPr>
            </w:pPr>
            <w:r>
              <w:rPr>
                <w:color w:val="auto"/>
                <w:sz w:val="22"/>
                <w:szCs w:val="22"/>
              </w:rPr>
              <w:t>Распознавать и употреблять в устной и письменной речи наречия частотности usually, often</w:t>
            </w:r>
          </w:p>
        </w:tc>
      </w:tr>
      <w:tr w14:paraId="449449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701" w:type="dxa"/>
          </w:tcPr>
          <w:p w14:paraId="4F940B69">
            <w:pPr>
              <w:pStyle w:val="85"/>
              <w:jc w:val="center"/>
              <w:rPr>
                <w:color w:val="auto"/>
                <w:sz w:val="22"/>
                <w:szCs w:val="22"/>
              </w:rPr>
            </w:pPr>
            <w:r>
              <w:rPr>
                <w:color w:val="auto"/>
                <w:sz w:val="22"/>
                <w:szCs w:val="22"/>
              </w:rPr>
              <w:t>2.4.9</w:t>
            </w:r>
          </w:p>
        </w:tc>
        <w:tc>
          <w:tcPr>
            <w:tcW w:w="7370" w:type="dxa"/>
          </w:tcPr>
          <w:p w14:paraId="6F624E15">
            <w:pPr>
              <w:pStyle w:val="85"/>
              <w:jc w:val="both"/>
              <w:rPr>
                <w:color w:val="auto"/>
                <w:sz w:val="22"/>
                <w:szCs w:val="22"/>
              </w:rPr>
            </w:pPr>
            <w:r>
              <w:rPr>
                <w:color w:val="auto"/>
                <w:sz w:val="22"/>
                <w:szCs w:val="22"/>
              </w:rPr>
              <w:t>Распознавать и употреблять в устной и письменной речи личные местоимения в объектном падеже</w:t>
            </w:r>
          </w:p>
        </w:tc>
      </w:tr>
      <w:tr w14:paraId="3BA6E0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701" w:type="dxa"/>
          </w:tcPr>
          <w:p w14:paraId="4E6989A6">
            <w:pPr>
              <w:pStyle w:val="85"/>
              <w:jc w:val="center"/>
              <w:rPr>
                <w:color w:val="auto"/>
                <w:sz w:val="22"/>
                <w:szCs w:val="22"/>
              </w:rPr>
            </w:pPr>
            <w:r>
              <w:rPr>
                <w:color w:val="auto"/>
                <w:sz w:val="22"/>
                <w:szCs w:val="22"/>
              </w:rPr>
              <w:t>2.4.10</w:t>
            </w:r>
          </w:p>
        </w:tc>
        <w:tc>
          <w:tcPr>
            <w:tcW w:w="7370" w:type="dxa"/>
          </w:tcPr>
          <w:p w14:paraId="3C8F2F56">
            <w:pPr>
              <w:pStyle w:val="85"/>
              <w:jc w:val="both"/>
              <w:rPr>
                <w:color w:val="auto"/>
                <w:sz w:val="22"/>
                <w:szCs w:val="22"/>
              </w:rPr>
            </w:pPr>
            <w:r>
              <w:rPr>
                <w:color w:val="auto"/>
                <w:sz w:val="22"/>
                <w:szCs w:val="22"/>
              </w:rPr>
              <w:t>Распознавать и употреблять в устной и письменной речи указательные местоимения that - those</w:t>
            </w:r>
          </w:p>
        </w:tc>
      </w:tr>
      <w:tr w14:paraId="6A2941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701" w:type="dxa"/>
          </w:tcPr>
          <w:p w14:paraId="6CC85F4F">
            <w:pPr>
              <w:pStyle w:val="85"/>
              <w:jc w:val="center"/>
              <w:rPr>
                <w:color w:val="auto"/>
                <w:sz w:val="22"/>
                <w:szCs w:val="22"/>
              </w:rPr>
            </w:pPr>
            <w:r>
              <w:rPr>
                <w:color w:val="auto"/>
                <w:sz w:val="22"/>
                <w:szCs w:val="22"/>
              </w:rPr>
              <w:t>2.4.11</w:t>
            </w:r>
          </w:p>
        </w:tc>
        <w:tc>
          <w:tcPr>
            <w:tcW w:w="7370" w:type="dxa"/>
          </w:tcPr>
          <w:p w14:paraId="59595647">
            <w:pPr>
              <w:pStyle w:val="85"/>
              <w:jc w:val="both"/>
              <w:rPr>
                <w:color w:val="auto"/>
                <w:sz w:val="22"/>
                <w:szCs w:val="22"/>
              </w:rPr>
            </w:pPr>
            <w:r>
              <w:rPr>
                <w:color w:val="auto"/>
                <w:sz w:val="22"/>
                <w:szCs w:val="22"/>
              </w:rPr>
              <w:t>Распознавать и употреблять в устной и письменной речи неопределенные местоимения (some/any) в повествовательных и вопросительных предложениях</w:t>
            </w:r>
          </w:p>
        </w:tc>
      </w:tr>
      <w:tr w14:paraId="43D74B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701" w:type="dxa"/>
          </w:tcPr>
          <w:p w14:paraId="18019382">
            <w:pPr>
              <w:pStyle w:val="85"/>
              <w:jc w:val="center"/>
              <w:rPr>
                <w:color w:val="auto"/>
                <w:sz w:val="22"/>
                <w:szCs w:val="22"/>
              </w:rPr>
            </w:pPr>
            <w:r>
              <w:rPr>
                <w:color w:val="auto"/>
                <w:sz w:val="22"/>
                <w:szCs w:val="22"/>
              </w:rPr>
              <w:t>2.4.12</w:t>
            </w:r>
          </w:p>
        </w:tc>
        <w:tc>
          <w:tcPr>
            <w:tcW w:w="7370" w:type="dxa"/>
          </w:tcPr>
          <w:p w14:paraId="250279B1">
            <w:pPr>
              <w:pStyle w:val="85"/>
              <w:jc w:val="both"/>
              <w:rPr>
                <w:color w:val="auto"/>
                <w:sz w:val="22"/>
                <w:szCs w:val="22"/>
              </w:rPr>
            </w:pPr>
            <w:r>
              <w:rPr>
                <w:color w:val="auto"/>
                <w:sz w:val="22"/>
                <w:szCs w:val="22"/>
              </w:rPr>
              <w:t>Распознавать и употреблять в устной и письменной речи количественные числительные (13 - 100) и порядковые числительные (1 - 30)</w:t>
            </w:r>
          </w:p>
        </w:tc>
      </w:tr>
      <w:tr w14:paraId="2F3473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701" w:type="dxa"/>
          </w:tcPr>
          <w:p w14:paraId="2A703A00">
            <w:pPr>
              <w:pStyle w:val="85"/>
              <w:jc w:val="center"/>
              <w:rPr>
                <w:color w:val="auto"/>
                <w:sz w:val="22"/>
                <w:szCs w:val="22"/>
              </w:rPr>
            </w:pPr>
            <w:r>
              <w:rPr>
                <w:color w:val="auto"/>
                <w:sz w:val="22"/>
                <w:szCs w:val="22"/>
              </w:rPr>
              <w:t>2.4.13</w:t>
            </w:r>
          </w:p>
        </w:tc>
        <w:tc>
          <w:tcPr>
            <w:tcW w:w="7370" w:type="dxa"/>
          </w:tcPr>
          <w:p w14:paraId="36EAB10E">
            <w:pPr>
              <w:pStyle w:val="85"/>
              <w:jc w:val="both"/>
              <w:rPr>
                <w:color w:val="auto"/>
                <w:sz w:val="22"/>
                <w:szCs w:val="22"/>
              </w:rPr>
            </w:pPr>
            <w:r>
              <w:rPr>
                <w:color w:val="auto"/>
                <w:sz w:val="22"/>
                <w:szCs w:val="22"/>
              </w:rPr>
              <w:t>Распознавать и употреблять в устной и письменной речи вопросительные слова when, whose, why</w:t>
            </w:r>
          </w:p>
        </w:tc>
      </w:tr>
      <w:tr w14:paraId="1A7E42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701" w:type="dxa"/>
          </w:tcPr>
          <w:p w14:paraId="161226F1">
            <w:pPr>
              <w:pStyle w:val="85"/>
              <w:jc w:val="center"/>
              <w:rPr>
                <w:color w:val="auto"/>
                <w:sz w:val="22"/>
                <w:szCs w:val="22"/>
              </w:rPr>
            </w:pPr>
            <w:r>
              <w:rPr>
                <w:color w:val="auto"/>
                <w:sz w:val="22"/>
                <w:szCs w:val="22"/>
              </w:rPr>
              <w:t>2.4.14</w:t>
            </w:r>
          </w:p>
        </w:tc>
        <w:tc>
          <w:tcPr>
            <w:tcW w:w="7370" w:type="dxa"/>
          </w:tcPr>
          <w:p w14:paraId="7EC66306">
            <w:pPr>
              <w:pStyle w:val="85"/>
              <w:jc w:val="both"/>
              <w:rPr>
                <w:color w:val="auto"/>
                <w:sz w:val="22"/>
                <w:szCs w:val="22"/>
              </w:rPr>
            </w:pPr>
            <w:r>
              <w:rPr>
                <w:color w:val="auto"/>
                <w:sz w:val="22"/>
                <w:szCs w:val="22"/>
              </w:rPr>
              <w:t>Распознавать и употреблять в устной и письменной речи предлог направления движения to (We went to Moscow last year)</w:t>
            </w:r>
          </w:p>
        </w:tc>
      </w:tr>
      <w:tr w14:paraId="2A2A82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701" w:type="dxa"/>
          </w:tcPr>
          <w:p w14:paraId="519A7994">
            <w:pPr>
              <w:pStyle w:val="85"/>
              <w:jc w:val="center"/>
              <w:rPr>
                <w:color w:val="auto"/>
                <w:sz w:val="22"/>
                <w:szCs w:val="22"/>
              </w:rPr>
            </w:pPr>
            <w:r>
              <w:rPr>
                <w:color w:val="auto"/>
                <w:sz w:val="22"/>
                <w:szCs w:val="22"/>
              </w:rPr>
              <w:t>2.4.15</w:t>
            </w:r>
          </w:p>
        </w:tc>
        <w:tc>
          <w:tcPr>
            <w:tcW w:w="7370" w:type="dxa"/>
          </w:tcPr>
          <w:p w14:paraId="6112B180">
            <w:pPr>
              <w:pStyle w:val="85"/>
              <w:jc w:val="both"/>
              <w:rPr>
                <w:color w:val="auto"/>
                <w:sz w:val="22"/>
                <w:szCs w:val="22"/>
              </w:rPr>
            </w:pPr>
            <w:r>
              <w:rPr>
                <w:color w:val="auto"/>
                <w:sz w:val="22"/>
                <w:szCs w:val="22"/>
              </w:rPr>
              <w:t>Распознавать и употреблять в устной и письменной речи предлоги места next to, in front of, behind</w:t>
            </w:r>
          </w:p>
        </w:tc>
      </w:tr>
      <w:tr w14:paraId="31D446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701" w:type="dxa"/>
          </w:tcPr>
          <w:p w14:paraId="16C14162">
            <w:pPr>
              <w:pStyle w:val="85"/>
              <w:jc w:val="center"/>
              <w:rPr>
                <w:color w:val="auto"/>
                <w:sz w:val="22"/>
                <w:szCs w:val="22"/>
              </w:rPr>
            </w:pPr>
            <w:r>
              <w:rPr>
                <w:color w:val="auto"/>
                <w:sz w:val="22"/>
                <w:szCs w:val="22"/>
              </w:rPr>
              <w:t>2.4.16</w:t>
            </w:r>
          </w:p>
        </w:tc>
        <w:tc>
          <w:tcPr>
            <w:tcW w:w="7370" w:type="dxa"/>
          </w:tcPr>
          <w:p w14:paraId="45FD1C84">
            <w:pPr>
              <w:pStyle w:val="85"/>
              <w:jc w:val="both"/>
              <w:rPr>
                <w:color w:val="auto"/>
                <w:sz w:val="22"/>
                <w:szCs w:val="22"/>
              </w:rPr>
            </w:pPr>
            <w:r>
              <w:rPr>
                <w:color w:val="auto"/>
                <w:sz w:val="22"/>
                <w:szCs w:val="22"/>
              </w:rPr>
              <w:t>Распознавать и употреблять в устной и письменной речи предлоги времени at, in, on в выражениях at 4 o'clock, in the morning, on Monday</w:t>
            </w:r>
          </w:p>
        </w:tc>
      </w:tr>
      <w:tr w14:paraId="0AFCEB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701" w:type="dxa"/>
          </w:tcPr>
          <w:p w14:paraId="72B646B4">
            <w:pPr>
              <w:pStyle w:val="85"/>
              <w:jc w:val="center"/>
              <w:rPr>
                <w:color w:val="auto"/>
                <w:sz w:val="22"/>
                <w:szCs w:val="22"/>
              </w:rPr>
            </w:pPr>
            <w:r>
              <w:rPr>
                <w:color w:val="auto"/>
                <w:sz w:val="22"/>
                <w:szCs w:val="22"/>
              </w:rPr>
              <w:t>3</w:t>
            </w:r>
          </w:p>
        </w:tc>
        <w:tc>
          <w:tcPr>
            <w:tcW w:w="7370" w:type="dxa"/>
          </w:tcPr>
          <w:p w14:paraId="27C5FB94">
            <w:pPr>
              <w:pStyle w:val="85"/>
              <w:jc w:val="both"/>
              <w:rPr>
                <w:color w:val="auto"/>
                <w:sz w:val="22"/>
                <w:szCs w:val="22"/>
              </w:rPr>
            </w:pPr>
            <w:r>
              <w:rPr>
                <w:color w:val="auto"/>
                <w:sz w:val="22"/>
                <w:szCs w:val="22"/>
              </w:rPr>
              <w:t>Социокультурные знания и умения</w:t>
            </w:r>
          </w:p>
        </w:tc>
      </w:tr>
      <w:tr w14:paraId="50E92C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701" w:type="dxa"/>
          </w:tcPr>
          <w:p w14:paraId="48E19299">
            <w:pPr>
              <w:pStyle w:val="85"/>
              <w:jc w:val="center"/>
              <w:rPr>
                <w:color w:val="auto"/>
                <w:sz w:val="22"/>
                <w:szCs w:val="22"/>
              </w:rPr>
            </w:pPr>
            <w:r>
              <w:rPr>
                <w:color w:val="auto"/>
                <w:sz w:val="22"/>
                <w:szCs w:val="22"/>
              </w:rPr>
              <w:t>3.1</w:t>
            </w:r>
          </w:p>
        </w:tc>
        <w:tc>
          <w:tcPr>
            <w:tcW w:w="7370" w:type="dxa"/>
          </w:tcPr>
          <w:p w14:paraId="514F6228">
            <w:pPr>
              <w:pStyle w:val="85"/>
              <w:jc w:val="both"/>
              <w:rPr>
                <w:color w:val="auto"/>
                <w:sz w:val="22"/>
                <w:szCs w:val="22"/>
              </w:rPr>
            </w:pPr>
            <w:r>
              <w:rPr>
                <w:color w:val="auto"/>
                <w:sz w:val="22"/>
                <w:szCs w:val="22"/>
              </w:rPr>
              <w:t>Владеть социокультурными элементами речевого поведенческого этикета, принятыми в англоязычной среде, в некоторых ситуациях общения (приветствие, прощание, знакомство, просьба, выражение благодарности, извинение, поздравление с днем рождения, Новым годом, Рождеством)</w:t>
            </w:r>
          </w:p>
        </w:tc>
      </w:tr>
      <w:tr w14:paraId="2E45C1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701" w:type="dxa"/>
          </w:tcPr>
          <w:p w14:paraId="57012E19">
            <w:pPr>
              <w:pStyle w:val="85"/>
              <w:jc w:val="center"/>
              <w:rPr>
                <w:color w:val="auto"/>
                <w:sz w:val="22"/>
                <w:szCs w:val="22"/>
              </w:rPr>
            </w:pPr>
            <w:r>
              <w:rPr>
                <w:color w:val="auto"/>
                <w:sz w:val="22"/>
                <w:szCs w:val="22"/>
              </w:rPr>
              <w:t>3.2</w:t>
            </w:r>
          </w:p>
        </w:tc>
        <w:tc>
          <w:tcPr>
            <w:tcW w:w="7370" w:type="dxa"/>
          </w:tcPr>
          <w:p w14:paraId="15EE834A">
            <w:pPr>
              <w:pStyle w:val="85"/>
              <w:jc w:val="both"/>
              <w:rPr>
                <w:color w:val="auto"/>
                <w:sz w:val="22"/>
                <w:szCs w:val="22"/>
              </w:rPr>
            </w:pPr>
            <w:r>
              <w:rPr>
                <w:color w:val="auto"/>
                <w:sz w:val="22"/>
                <w:szCs w:val="22"/>
              </w:rPr>
              <w:t>Кратко представлять свою страну и страну (страны) изучаемого языка на английском языке</w:t>
            </w:r>
          </w:p>
        </w:tc>
      </w:tr>
    </w:tbl>
    <w:p w14:paraId="42C98C19">
      <w:pPr>
        <w:pStyle w:val="85"/>
        <w:ind w:firstLine="540"/>
        <w:jc w:val="both"/>
        <w:rPr>
          <w:color w:val="auto"/>
          <w:sz w:val="22"/>
          <w:szCs w:val="22"/>
        </w:rPr>
      </w:pPr>
    </w:p>
    <w:p w14:paraId="07A35AB0">
      <w:pPr>
        <w:pStyle w:val="85"/>
        <w:jc w:val="right"/>
        <w:rPr>
          <w:color w:val="auto"/>
          <w:sz w:val="22"/>
          <w:szCs w:val="22"/>
        </w:rPr>
      </w:pPr>
      <w:r>
        <w:rPr>
          <w:color w:val="auto"/>
          <w:sz w:val="22"/>
          <w:szCs w:val="22"/>
        </w:rPr>
        <w:t>Таблица 6.3</w:t>
      </w:r>
    </w:p>
    <w:p w14:paraId="677791F1">
      <w:pPr>
        <w:pStyle w:val="85"/>
        <w:ind w:firstLine="540"/>
        <w:jc w:val="both"/>
        <w:rPr>
          <w:color w:val="auto"/>
          <w:sz w:val="22"/>
          <w:szCs w:val="22"/>
        </w:rPr>
      </w:pPr>
    </w:p>
    <w:p w14:paraId="24080AAE">
      <w:pPr>
        <w:pStyle w:val="85"/>
        <w:jc w:val="center"/>
        <w:rPr>
          <w:color w:val="auto"/>
          <w:sz w:val="22"/>
          <w:szCs w:val="22"/>
        </w:rPr>
      </w:pPr>
      <w:r>
        <w:rPr>
          <w:color w:val="auto"/>
          <w:sz w:val="22"/>
          <w:szCs w:val="22"/>
        </w:rPr>
        <w:t>Проверяемые элементы содержания (3 класс)</w:t>
      </w:r>
    </w:p>
    <w:p w14:paraId="68F41577">
      <w:pPr>
        <w:pStyle w:val="85"/>
        <w:ind w:firstLine="540"/>
        <w:jc w:val="both"/>
        <w:rPr>
          <w:color w:val="auto"/>
          <w:sz w:val="22"/>
          <w:szCs w:val="22"/>
        </w:rPr>
      </w:pPr>
    </w:p>
    <w:tbl>
      <w:tblPr>
        <w:tblStyle w:val="1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02" w:type="dxa"/>
          <w:left w:w="62" w:type="dxa"/>
          <w:bottom w:w="102" w:type="dxa"/>
          <w:right w:w="62" w:type="dxa"/>
        </w:tblCellMar>
      </w:tblPr>
      <w:tblGrid>
        <w:gridCol w:w="1077"/>
        <w:gridCol w:w="7994"/>
      </w:tblGrid>
      <w:tr w14:paraId="056E99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077" w:type="dxa"/>
          </w:tcPr>
          <w:p w14:paraId="0EC4A50B">
            <w:pPr>
              <w:pStyle w:val="85"/>
              <w:jc w:val="center"/>
              <w:rPr>
                <w:color w:val="auto"/>
                <w:sz w:val="22"/>
                <w:szCs w:val="22"/>
              </w:rPr>
            </w:pPr>
            <w:r>
              <w:rPr>
                <w:color w:val="auto"/>
                <w:sz w:val="22"/>
                <w:szCs w:val="22"/>
              </w:rPr>
              <w:t>Код</w:t>
            </w:r>
          </w:p>
        </w:tc>
        <w:tc>
          <w:tcPr>
            <w:tcW w:w="7994" w:type="dxa"/>
          </w:tcPr>
          <w:p w14:paraId="6C751EBC">
            <w:pPr>
              <w:pStyle w:val="85"/>
              <w:jc w:val="center"/>
              <w:rPr>
                <w:color w:val="auto"/>
                <w:sz w:val="22"/>
                <w:szCs w:val="22"/>
              </w:rPr>
            </w:pPr>
            <w:r>
              <w:rPr>
                <w:color w:val="auto"/>
                <w:sz w:val="22"/>
                <w:szCs w:val="22"/>
              </w:rPr>
              <w:t>Проверяемый элемент содержания</w:t>
            </w:r>
          </w:p>
        </w:tc>
      </w:tr>
      <w:tr w14:paraId="14D1A0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077" w:type="dxa"/>
          </w:tcPr>
          <w:p w14:paraId="633B2B5F">
            <w:pPr>
              <w:pStyle w:val="85"/>
              <w:jc w:val="center"/>
              <w:rPr>
                <w:color w:val="auto"/>
                <w:sz w:val="22"/>
                <w:szCs w:val="22"/>
              </w:rPr>
            </w:pPr>
            <w:r>
              <w:rPr>
                <w:color w:val="auto"/>
                <w:sz w:val="22"/>
                <w:szCs w:val="22"/>
              </w:rPr>
              <w:t>1</w:t>
            </w:r>
          </w:p>
        </w:tc>
        <w:tc>
          <w:tcPr>
            <w:tcW w:w="7994" w:type="dxa"/>
          </w:tcPr>
          <w:p w14:paraId="28AFD887">
            <w:pPr>
              <w:pStyle w:val="85"/>
              <w:jc w:val="both"/>
              <w:rPr>
                <w:color w:val="auto"/>
                <w:sz w:val="22"/>
                <w:szCs w:val="22"/>
              </w:rPr>
            </w:pPr>
            <w:r>
              <w:rPr>
                <w:color w:val="auto"/>
                <w:sz w:val="22"/>
                <w:szCs w:val="22"/>
              </w:rPr>
              <w:t>Коммуникативные умения</w:t>
            </w:r>
          </w:p>
        </w:tc>
      </w:tr>
      <w:tr w14:paraId="54D67E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077" w:type="dxa"/>
          </w:tcPr>
          <w:p w14:paraId="50B4720F">
            <w:pPr>
              <w:pStyle w:val="85"/>
              <w:jc w:val="center"/>
              <w:rPr>
                <w:color w:val="auto"/>
                <w:sz w:val="22"/>
                <w:szCs w:val="22"/>
              </w:rPr>
            </w:pPr>
            <w:r>
              <w:rPr>
                <w:color w:val="auto"/>
                <w:sz w:val="22"/>
                <w:szCs w:val="22"/>
              </w:rPr>
              <w:t>1.1</w:t>
            </w:r>
          </w:p>
        </w:tc>
        <w:tc>
          <w:tcPr>
            <w:tcW w:w="7994" w:type="dxa"/>
          </w:tcPr>
          <w:p w14:paraId="4847DE77">
            <w:pPr>
              <w:pStyle w:val="85"/>
              <w:jc w:val="both"/>
              <w:rPr>
                <w:color w:val="auto"/>
                <w:sz w:val="22"/>
                <w:szCs w:val="22"/>
              </w:rPr>
            </w:pPr>
            <w:r>
              <w:rPr>
                <w:color w:val="auto"/>
                <w:sz w:val="22"/>
                <w:szCs w:val="22"/>
              </w:rPr>
              <w:t>Говорение</w:t>
            </w:r>
          </w:p>
        </w:tc>
      </w:tr>
      <w:tr w14:paraId="068F02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077" w:type="dxa"/>
          </w:tcPr>
          <w:p w14:paraId="49D2D8FE">
            <w:pPr>
              <w:pStyle w:val="85"/>
              <w:jc w:val="center"/>
              <w:rPr>
                <w:color w:val="auto"/>
                <w:sz w:val="22"/>
                <w:szCs w:val="22"/>
              </w:rPr>
            </w:pPr>
            <w:r>
              <w:rPr>
                <w:color w:val="auto"/>
                <w:sz w:val="22"/>
                <w:szCs w:val="22"/>
              </w:rPr>
              <w:t>1.1.1</w:t>
            </w:r>
          </w:p>
        </w:tc>
        <w:tc>
          <w:tcPr>
            <w:tcW w:w="7994" w:type="dxa"/>
          </w:tcPr>
          <w:p w14:paraId="458AA4BB">
            <w:pPr>
              <w:pStyle w:val="85"/>
              <w:jc w:val="both"/>
              <w:rPr>
                <w:color w:val="auto"/>
                <w:sz w:val="22"/>
                <w:szCs w:val="22"/>
              </w:rPr>
            </w:pPr>
            <w:r>
              <w:rPr>
                <w:color w:val="auto"/>
                <w:sz w:val="22"/>
                <w:szCs w:val="22"/>
              </w:rPr>
              <w:t>Диалогическая речь</w:t>
            </w:r>
          </w:p>
        </w:tc>
      </w:tr>
      <w:tr w14:paraId="779A29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077" w:type="dxa"/>
          </w:tcPr>
          <w:p w14:paraId="1F5E4750">
            <w:pPr>
              <w:pStyle w:val="85"/>
              <w:jc w:val="center"/>
              <w:rPr>
                <w:color w:val="auto"/>
                <w:sz w:val="22"/>
                <w:szCs w:val="22"/>
              </w:rPr>
            </w:pPr>
            <w:r>
              <w:rPr>
                <w:color w:val="auto"/>
                <w:sz w:val="22"/>
                <w:szCs w:val="22"/>
              </w:rPr>
              <w:t>1.1.1.1</w:t>
            </w:r>
          </w:p>
        </w:tc>
        <w:tc>
          <w:tcPr>
            <w:tcW w:w="7994" w:type="dxa"/>
          </w:tcPr>
          <w:p w14:paraId="196DE915">
            <w:pPr>
              <w:pStyle w:val="85"/>
              <w:jc w:val="both"/>
              <w:rPr>
                <w:color w:val="auto"/>
                <w:sz w:val="22"/>
                <w:szCs w:val="22"/>
              </w:rPr>
            </w:pPr>
            <w:r>
              <w:rPr>
                <w:color w:val="auto"/>
                <w:sz w:val="22"/>
                <w:szCs w:val="22"/>
              </w:rPr>
              <w:t>Диалог этикетного характера с использованием речевых ситуаций, ключевых слов и (или) иллюстраций с соблюдением норм речевого этикета, принятых в стране (странах) изучаемого языка: приветствие, начало и завершение разговора, знакомство с собеседником; поздравление с праздником; выражение благодарности за поздравление, извинение</w:t>
            </w:r>
          </w:p>
        </w:tc>
      </w:tr>
      <w:tr w14:paraId="135136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077" w:type="dxa"/>
          </w:tcPr>
          <w:p w14:paraId="58DD60DA">
            <w:pPr>
              <w:pStyle w:val="85"/>
              <w:jc w:val="center"/>
              <w:rPr>
                <w:color w:val="auto"/>
                <w:sz w:val="22"/>
                <w:szCs w:val="22"/>
              </w:rPr>
            </w:pPr>
            <w:r>
              <w:rPr>
                <w:color w:val="auto"/>
                <w:sz w:val="22"/>
                <w:szCs w:val="22"/>
              </w:rPr>
              <w:t>1.1.1.2</w:t>
            </w:r>
          </w:p>
        </w:tc>
        <w:tc>
          <w:tcPr>
            <w:tcW w:w="7994" w:type="dxa"/>
          </w:tcPr>
          <w:p w14:paraId="569D0CF7">
            <w:pPr>
              <w:pStyle w:val="85"/>
              <w:jc w:val="both"/>
              <w:rPr>
                <w:color w:val="auto"/>
                <w:sz w:val="22"/>
                <w:szCs w:val="22"/>
              </w:rPr>
            </w:pPr>
            <w:r>
              <w:rPr>
                <w:color w:val="auto"/>
                <w:sz w:val="22"/>
                <w:szCs w:val="22"/>
              </w:rPr>
              <w:t>Диалог-расспрос с использованием речевых ситуаций, ключевых слов и (или) иллюстраций с соблюдением норм речевого этикета, принятых в стране (странах) изучаемого языка: запрашивание интересующей информации; сообщение фактической информации, ответ на вопросы собеседника</w:t>
            </w:r>
          </w:p>
        </w:tc>
      </w:tr>
      <w:tr w14:paraId="67BDCB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077" w:type="dxa"/>
          </w:tcPr>
          <w:p w14:paraId="19851005">
            <w:pPr>
              <w:pStyle w:val="85"/>
              <w:jc w:val="center"/>
              <w:rPr>
                <w:color w:val="auto"/>
                <w:sz w:val="22"/>
                <w:szCs w:val="22"/>
              </w:rPr>
            </w:pPr>
            <w:r>
              <w:rPr>
                <w:color w:val="auto"/>
                <w:sz w:val="22"/>
                <w:szCs w:val="22"/>
              </w:rPr>
              <w:t>1.1.1.3</w:t>
            </w:r>
          </w:p>
        </w:tc>
        <w:tc>
          <w:tcPr>
            <w:tcW w:w="7994" w:type="dxa"/>
          </w:tcPr>
          <w:p w14:paraId="014A03CE">
            <w:pPr>
              <w:pStyle w:val="85"/>
              <w:jc w:val="both"/>
              <w:rPr>
                <w:color w:val="auto"/>
                <w:sz w:val="22"/>
                <w:szCs w:val="22"/>
              </w:rPr>
            </w:pPr>
            <w:r>
              <w:rPr>
                <w:color w:val="auto"/>
                <w:sz w:val="22"/>
                <w:szCs w:val="22"/>
              </w:rPr>
              <w:t>Диалог - побуждение к действию с использованием речевых ситуаций, ключевых слов и (или) иллюстраций с соблюдением норм речевого этикета, принятых в стране (странах) изучаемого языка: приглашение собеседника к совместной деятельности, вежливое согласие (несогласие) на предложение собеседника</w:t>
            </w:r>
          </w:p>
        </w:tc>
      </w:tr>
      <w:tr w14:paraId="221198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077" w:type="dxa"/>
          </w:tcPr>
          <w:p w14:paraId="0A503E8C">
            <w:pPr>
              <w:pStyle w:val="85"/>
              <w:jc w:val="center"/>
              <w:rPr>
                <w:color w:val="auto"/>
                <w:sz w:val="22"/>
                <w:szCs w:val="22"/>
              </w:rPr>
            </w:pPr>
            <w:r>
              <w:rPr>
                <w:color w:val="auto"/>
                <w:sz w:val="22"/>
                <w:szCs w:val="22"/>
              </w:rPr>
              <w:t>1.1.2</w:t>
            </w:r>
          </w:p>
        </w:tc>
        <w:tc>
          <w:tcPr>
            <w:tcW w:w="7994" w:type="dxa"/>
          </w:tcPr>
          <w:p w14:paraId="2D8A9734">
            <w:pPr>
              <w:pStyle w:val="85"/>
              <w:jc w:val="both"/>
              <w:rPr>
                <w:color w:val="auto"/>
                <w:sz w:val="22"/>
                <w:szCs w:val="22"/>
              </w:rPr>
            </w:pPr>
            <w:r>
              <w:rPr>
                <w:color w:val="auto"/>
                <w:sz w:val="22"/>
                <w:szCs w:val="22"/>
              </w:rPr>
              <w:t>Монологическая речь</w:t>
            </w:r>
          </w:p>
        </w:tc>
      </w:tr>
      <w:tr w14:paraId="327C11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077" w:type="dxa"/>
          </w:tcPr>
          <w:p w14:paraId="3CAE3A81">
            <w:pPr>
              <w:pStyle w:val="85"/>
              <w:jc w:val="center"/>
              <w:rPr>
                <w:color w:val="auto"/>
                <w:sz w:val="22"/>
                <w:szCs w:val="22"/>
              </w:rPr>
            </w:pPr>
            <w:r>
              <w:rPr>
                <w:color w:val="auto"/>
                <w:sz w:val="22"/>
                <w:szCs w:val="22"/>
              </w:rPr>
              <w:t>1.1.2.1</w:t>
            </w:r>
          </w:p>
        </w:tc>
        <w:tc>
          <w:tcPr>
            <w:tcW w:w="7994" w:type="dxa"/>
          </w:tcPr>
          <w:p w14:paraId="23CBFD5E">
            <w:pPr>
              <w:pStyle w:val="85"/>
              <w:jc w:val="both"/>
              <w:rPr>
                <w:color w:val="auto"/>
                <w:sz w:val="22"/>
                <w:szCs w:val="22"/>
              </w:rPr>
            </w:pPr>
            <w:r>
              <w:rPr>
                <w:color w:val="auto"/>
                <w:sz w:val="22"/>
                <w:szCs w:val="22"/>
              </w:rPr>
              <w:t>Описание предмета, реального человека или литературного персонажа с использованием речевых ситуаций, ключевых слов и (или) иллюстраций</w:t>
            </w:r>
          </w:p>
        </w:tc>
      </w:tr>
      <w:tr w14:paraId="712C2E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077" w:type="dxa"/>
          </w:tcPr>
          <w:p w14:paraId="5CC949C5">
            <w:pPr>
              <w:pStyle w:val="85"/>
              <w:jc w:val="center"/>
              <w:rPr>
                <w:color w:val="auto"/>
                <w:sz w:val="22"/>
                <w:szCs w:val="22"/>
              </w:rPr>
            </w:pPr>
            <w:r>
              <w:rPr>
                <w:color w:val="auto"/>
                <w:sz w:val="22"/>
                <w:szCs w:val="22"/>
              </w:rPr>
              <w:t>1.1.2.2</w:t>
            </w:r>
          </w:p>
        </w:tc>
        <w:tc>
          <w:tcPr>
            <w:tcW w:w="7994" w:type="dxa"/>
          </w:tcPr>
          <w:p w14:paraId="6F0D5F58">
            <w:pPr>
              <w:pStyle w:val="85"/>
              <w:jc w:val="both"/>
              <w:rPr>
                <w:color w:val="auto"/>
                <w:sz w:val="22"/>
                <w:szCs w:val="22"/>
              </w:rPr>
            </w:pPr>
            <w:r>
              <w:rPr>
                <w:color w:val="auto"/>
                <w:sz w:val="22"/>
                <w:szCs w:val="22"/>
              </w:rPr>
              <w:t>Рассказ о себе, члене семьи, друге с использованием речевых ситуаций, ключевых слов и (или) иллюстраций</w:t>
            </w:r>
          </w:p>
        </w:tc>
      </w:tr>
      <w:tr w14:paraId="62DDCF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077" w:type="dxa"/>
          </w:tcPr>
          <w:p w14:paraId="5FAABA24">
            <w:pPr>
              <w:pStyle w:val="85"/>
              <w:jc w:val="center"/>
              <w:rPr>
                <w:color w:val="auto"/>
                <w:sz w:val="22"/>
                <w:szCs w:val="22"/>
              </w:rPr>
            </w:pPr>
            <w:r>
              <w:rPr>
                <w:color w:val="auto"/>
                <w:sz w:val="22"/>
                <w:szCs w:val="22"/>
              </w:rPr>
              <w:t>1.1.2.3</w:t>
            </w:r>
          </w:p>
        </w:tc>
        <w:tc>
          <w:tcPr>
            <w:tcW w:w="7994" w:type="dxa"/>
          </w:tcPr>
          <w:p w14:paraId="678F17CE">
            <w:pPr>
              <w:pStyle w:val="85"/>
              <w:jc w:val="both"/>
              <w:rPr>
                <w:color w:val="auto"/>
                <w:sz w:val="22"/>
                <w:szCs w:val="22"/>
              </w:rPr>
            </w:pPr>
            <w:r>
              <w:rPr>
                <w:color w:val="auto"/>
                <w:sz w:val="22"/>
                <w:szCs w:val="22"/>
              </w:rPr>
              <w:t>Пересказ с использованием речевых ситуаций, ключевых слов и (или) иллюстраций основного содержания прочитанного текста</w:t>
            </w:r>
          </w:p>
        </w:tc>
      </w:tr>
      <w:tr w14:paraId="6D89A2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077" w:type="dxa"/>
          </w:tcPr>
          <w:p w14:paraId="0D4EE432">
            <w:pPr>
              <w:pStyle w:val="85"/>
              <w:jc w:val="center"/>
              <w:rPr>
                <w:color w:val="auto"/>
                <w:sz w:val="22"/>
                <w:szCs w:val="22"/>
              </w:rPr>
            </w:pPr>
            <w:r>
              <w:rPr>
                <w:color w:val="auto"/>
                <w:sz w:val="22"/>
                <w:szCs w:val="22"/>
              </w:rPr>
              <w:t>1.2</w:t>
            </w:r>
          </w:p>
        </w:tc>
        <w:tc>
          <w:tcPr>
            <w:tcW w:w="7994" w:type="dxa"/>
          </w:tcPr>
          <w:p w14:paraId="146644FB">
            <w:pPr>
              <w:pStyle w:val="85"/>
              <w:jc w:val="both"/>
              <w:rPr>
                <w:color w:val="auto"/>
                <w:sz w:val="22"/>
                <w:szCs w:val="22"/>
              </w:rPr>
            </w:pPr>
            <w:r>
              <w:rPr>
                <w:color w:val="auto"/>
                <w:sz w:val="22"/>
                <w:szCs w:val="22"/>
              </w:rPr>
              <w:t>Аудирование</w:t>
            </w:r>
          </w:p>
        </w:tc>
      </w:tr>
      <w:tr w14:paraId="457B14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077" w:type="dxa"/>
          </w:tcPr>
          <w:p w14:paraId="3AB24F0A">
            <w:pPr>
              <w:pStyle w:val="85"/>
              <w:jc w:val="center"/>
              <w:rPr>
                <w:color w:val="auto"/>
                <w:sz w:val="22"/>
                <w:szCs w:val="22"/>
              </w:rPr>
            </w:pPr>
            <w:r>
              <w:rPr>
                <w:color w:val="auto"/>
                <w:sz w:val="22"/>
                <w:szCs w:val="22"/>
              </w:rPr>
              <w:t>1.2.1</w:t>
            </w:r>
          </w:p>
        </w:tc>
        <w:tc>
          <w:tcPr>
            <w:tcW w:w="7994" w:type="dxa"/>
          </w:tcPr>
          <w:p w14:paraId="3D4AEC96">
            <w:pPr>
              <w:pStyle w:val="85"/>
              <w:jc w:val="both"/>
              <w:rPr>
                <w:color w:val="auto"/>
                <w:sz w:val="22"/>
                <w:szCs w:val="22"/>
              </w:rPr>
            </w:pPr>
            <w:r>
              <w:rPr>
                <w:color w:val="auto"/>
                <w:sz w:val="22"/>
                <w:szCs w:val="22"/>
              </w:rPr>
              <w:t>Понимание на слух речи учителя и других обучающихся и вербальная (невербальная) реакция на услышанное (при непосредственном общении)</w:t>
            </w:r>
          </w:p>
        </w:tc>
      </w:tr>
      <w:tr w14:paraId="08278D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077" w:type="dxa"/>
          </w:tcPr>
          <w:p w14:paraId="34982B24">
            <w:pPr>
              <w:pStyle w:val="85"/>
              <w:jc w:val="center"/>
              <w:rPr>
                <w:color w:val="auto"/>
                <w:sz w:val="22"/>
                <w:szCs w:val="22"/>
              </w:rPr>
            </w:pPr>
            <w:r>
              <w:rPr>
                <w:color w:val="auto"/>
                <w:sz w:val="22"/>
                <w:szCs w:val="22"/>
              </w:rPr>
              <w:t>1.2.2</w:t>
            </w:r>
          </w:p>
        </w:tc>
        <w:tc>
          <w:tcPr>
            <w:tcW w:w="7994" w:type="dxa"/>
          </w:tcPr>
          <w:p w14:paraId="72024CA3">
            <w:pPr>
              <w:pStyle w:val="85"/>
              <w:jc w:val="both"/>
              <w:rPr>
                <w:color w:val="auto"/>
                <w:sz w:val="22"/>
                <w:szCs w:val="22"/>
              </w:rPr>
            </w:pPr>
            <w:r>
              <w:rPr>
                <w:color w:val="auto"/>
                <w:sz w:val="22"/>
                <w:szCs w:val="22"/>
              </w:rPr>
              <w:t>Аудирование с пониманием основного содержания учебных текстов, построенных на изученном языковом материале: определение основной темы и главных фактов (событий) в воспринимаемом на слух тексте с использованием иллюстраций и языковой догадки</w:t>
            </w:r>
          </w:p>
        </w:tc>
      </w:tr>
      <w:tr w14:paraId="690D21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077" w:type="dxa"/>
          </w:tcPr>
          <w:p w14:paraId="59441218">
            <w:pPr>
              <w:pStyle w:val="85"/>
              <w:jc w:val="center"/>
              <w:rPr>
                <w:color w:val="auto"/>
                <w:sz w:val="22"/>
                <w:szCs w:val="22"/>
              </w:rPr>
            </w:pPr>
            <w:r>
              <w:rPr>
                <w:color w:val="auto"/>
                <w:sz w:val="22"/>
                <w:szCs w:val="22"/>
              </w:rPr>
              <w:t>1.2.3</w:t>
            </w:r>
          </w:p>
        </w:tc>
        <w:tc>
          <w:tcPr>
            <w:tcW w:w="7994" w:type="dxa"/>
          </w:tcPr>
          <w:p w14:paraId="62A21000">
            <w:pPr>
              <w:pStyle w:val="85"/>
              <w:jc w:val="both"/>
              <w:rPr>
                <w:color w:val="auto"/>
                <w:sz w:val="22"/>
                <w:szCs w:val="22"/>
              </w:rPr>
            </w:pPr>
            <w:r>
              <w:rPr>
                <w:color w:val="auto"/>
                <w:sz w:val="22"/>
                <w:szCs w:val="22"/>
              </w:rPr>
              <w:t>Аудирование с пониманием запрашиваемой информации в учебных текстах, построенных на изученном языковом материале: выделение из воспринимаемого на слух текста и понимание информации фактического характера (например, имя, возраст, любимое занятие, цвет) с использованием иллюстраций и языковой догадки</w:t>
            </w:r>
          </w:p>
        </w:tc>
      </w:tr>
      <w:tr w14:paraId="75F681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077" w:type="dxa"/>
          </w:tcPr>
          <w:p w14:paraId="057974AE">
            <w:pPr>
              <w:pStyle w:val="85"/>
              <w:jc w:val="center"/>
              <w:rPr>
                <w:color w:val="auto"/>
                <w:sz w:val="22"/>
                <w:szCs w:val="22"/>
              </w:rPr>
            </w:pPr>
            <w:r>
              <w:rPr>
                <w:color w:val="auto"/>
                <w:sz w:val="22"/>
                <w:szCs w:val="22"/>
              </w:rPr>
              <w:t>1.3</w:t>
            </w:r>
          </w:p>
        </w:tc>
        <w:tc>
          <w:tcPr>
            <w:tcW w:w="7994" w:type="dxa"/>
          </w:tcPr>
          <w:p w14:paraId="73DF1B53">
            <w:pPr>
              <w:pStyle w:val="85"/>
              <w:jc w:val="both"/>
              <w:rPr>
                <w:color w:val="auto"/>
                <w:sz w:val="22"/>
                <w:szCs w:val="22"/>
              </w:rPr>
            </w:pPr>
            <w:r>
              <w:rPr>
                <w:color w:val="auto"/>
                <w:sz w:val="22"/>
                <w:szCs w:val="22"/>
              </w:rPr>
              <w:t>Смысловое чтение</w:t>
            </w:r>
          </w:p>
        </w:tc>
      </w:tr>
      <w:tr w14:paraId="4E705E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077" w:type="dxa"/>
          </w:tcPr>
          <w:p w14:paraId="78AA7D65">
            <w:pPr>
              <w:pStyle w:val="85"/>
              <w:jc w:val="center"/>
              <w:rPr>
                <w:color w:val="auto"/>
                <w:sz w:val="22"/>
                <w:szCs w:val="22"/>
              </w:rPr>
            </w:pPr>
            <w:r>
              <w:rPr>
                <w:color w:val="auto"/>
                <w:sz w:val="22"/>
                <w:szCs w:val="22"/>
              </w:rPr>
              <w:t>1.3.1</w:t>
            </w:r>
          </w:p>
        </w:tc>
        <w:tc>
          <w:tcPr>
            <w:tcW w:w="7994" w:type="dxa"/>
          </w:tcPr>
          <w:p w14:paraId="6D8D8CCC">
            <w:pPr>
              <w:pStyle w:val="85"/>
              <w:jc w:val="both"/>
              <w:rPr>
                <w:color w:val="auto"/>
                <w:sz w:val="22"/>
                <w:szCs w:val="22"/>
              </w:rPr>
            </w:pPr>
            <w:r>
              <w:rPr>
                <w:color w:val="auto"/>
                <w:sz w:val="22"/>
                <w:szCs w:val="22"/>
              </w:rPr>
              <w:t>Чтение вслух учебных текстов, построенных на изученном языковом материале, с соблюдением правил чтения и соответствующей интонацией, понимание прочитанного</w:t>
            </w:r>
          </w:p>
        </w:tc>
      </w:tr>
      <w:tr w14:paraId="78FEFB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077" w:type="dxa"/>
          </w:tcPr>
          <w:p w14:paraId="7786E37D">
            <w:pPr>
              <w:pStyle w:val="85"/>
              <w:jc w:val="center"/>
              <w:rPr>
                <w:color w:val="auto"/>
                <w:sz w:val="22"/>
                <w:szCs w:val="22"/>
              </w:rPr>
            </w:pPr>
            <w:r>
              <w:rPr>
                <w:color w:val="auto"/>
                <w:sz w:val="22"/>
                <w:szCs w:val="22"/>
              </w:rPr>
              <w:t>1.3.2</w:t>
            </w:r>
          </w:p>
        </w:tc>
        <w:tc>
          <w:tcPr>
            <w:tcW w:w="7994" w:type="dxa"/>
          </w:tcPr>
          <w:p w14:paraId="23D97739">
            <w:pPr>
              <w:pStyle w:val="85"/>
              <w:jc w:val="both"/>
              <w:rPr>
                <w:color w:val="auto"/>
                <w:sz w:val="22"/>
                <w:szCs w:val="22"/>
              </w:rPr>
            </w:pPr>
            <w:r>
              <w:rPr>
                <w:color w:val="auto"/>
                <w:sz w:val="22"/>
                <w:szCs w:val="22"/>
              </w:rPr>
              <w:t>Чтение про себя и понимание основного содержания учебных текстов, построенных на изученном языковом материале: определение основной темы и главных фактов (событий) в прочитанном тексте с использованием иллюстраций и языковой, в том числе контекстуальной, догадки</w:t>
            </w:r>
          </w:p>
        </w:tc>
      </w:tr>
      <w:tr w14:paraId="0F1B78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077" w:type="dxa"/>
          </w:tcPr>
          <w:p w14:paraId="3A13441E">
            <w:pPr>
              <w:pStyle w:val="85"/>
              <w:jc w:val="center"/>
              <w:rPr>
                <w:color w:val="auto"/>
                <w:sz w:val="22"/>
                <w:szCs w:val="22"/>
              </w:rPr>
            </w:pPr>
            <w:r>
              <w:rPr>
                <w:color w:val="auto"/>
                <w:sz w:val="22"/>
                <w:szCs w:val="22"/>
              </w:rPr>
              <w:t>1.3.3</w:t>
            </w:r>
          </w:p>
        </w:tc>
        <w:tc>
          <w:tcPr>
            <w:tcW w:w="7994" w:type="dxa"/>
          </w:tcPr>
          <w:p w14:paraId="077D931B">
            <w:pPr>
              <w:pStyle w:val="85"/>
              <w:jc w:val="both"/>
              <w:rPr>
                <w:color w:val="auto"/>
                <w:sz w:val="22"/>
                <w:szCs w:val="22"/>
              </w:rPr>
            </w:pPr>
            <w:r>
              <w:rPr>
                <w:color w:val="auto"/>
                <w:sz w:val="22"/>
                <w:szCs w:val="22"/>
              </w:rPr>
              <w:t>Чтение про себя и понимание запрашиваемой информации в учебных текстах, построенных на изученном языковом материале: нахождение в прочитанном тексте и понимание запрашиваемой информации фактического характера с использованием иллюстраций и языковой, в том числе контекстуальной, догадки</w:t>
            </w:r>
          </w:p>
        </w:tc>
      </w:tr>
      <w:tr w14:paraId="0D71D5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077" w:type="dxa"/>
          </w:tcPr>
          <w:p w14:paraId="2F91201F">
            <w:pPr>
              <w:pStyle w:val="85"/>
              <w:jc w:val="center"/>
              <w:rPr>
                <w:color w:val="auto"/>
                <w:sz w:val="22"/>
                <w:szCs w:val="22"/>
              </w:rPr>
            </w:pPr>
            <w:r>
              <w:rPr>
                <w:color w:val="auto"/>
                <w:sz w:val="22"/>
                <w:szCs w:val="22"/>
              </w:rPr>
              <w:t>1.4</w:t>
            </w:r>
          </w:p>
        </w:tc>
        <w:tc>
          <w:tcPr>
            <w:tcW w:w="7994" w:type="dxa"/>
          </w:tcPr>
          <w:p w14:paraId="2D833034">
            <w:pPr>
              <w:pStyle w:val="85"/>
              <w:jc w:val="both"/>
              <w:rPr>
                <w:color w:val="auto"/>
                <w:sz w:val="22"/>
                <w:szCs w:val="22"/>
              </w:rPr>
            </w:pPr>
            <w:r>
              <w:rPr>
                <w:color w:val="auto"/>
                <w:sz w:val="22"/>
                <w:szCs w:val="22"/>
              </w:rPr>
              <w:t>Письмо</w:t>
            </w:r>
          </w:p>
        </w:tc>
      </w:tr>
      <w:tr w14:paraId="6872F8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077" w:type="dxa"/>
          </w:tcPr>
          <w:p w14:paraId="1757BC32">
            <w:pPr>
              <w:pStyle w:val="85"/>
              <w:jc w:val="center"/>
              <w:rPr>
                <w:color w:val="auto"/>
                <w:sz w:val="22"/>
                <w:szCs w:val="22"/>
              </w:rPr>
            </w:pPr>
            <w:r>
              <w:rPr>
                <w:color w:val="auto"/>
                <w:sz w:val="22"/>
                <w:szCs w:val="22"/>
              </w:rPr>
              <w:t>1.4.1</w:t>
            </w:r>
          </w:p>
        </w:tc>
        <w:tc>
          <w:tcPr>
            <w:tcW w:w="7994" w:type="dxa"/>
          </w:tcPr>
          <w:p w14:paraId="64341960">
            <w:pPr>
              <w:pStyle w:val="85"/>
              <w:jc w:val="both"/>
              <w:rPr>
                <w:color w:val="auto"/>
                <w:sz w:val="22"/>
                <w:szCs w:val="22"/>
              </w:rPr>
            </w:pPr>
            <w:r>
              <w:rPr>
                <w:color w:val="auto"/>
                <w:sz w:val="22"/>
                <w:szCs w:val="22"/>
              </w:rPr>
              <w:t>Списывание текста, выписывание из текста слов, словосочетаний, предложений; вставка пропущенного слова в предложение в соответствии с решаемой коммуникативной (учебной) задачей</w:t>
            </w:r>
          </w:p>
        </w:tc>
      </w:tr>
      <w:tr w14:paraId="643DBA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077" w:type="dxa"/>
          </w:tcPr>
          <w:p w14:paraId="570ABF90">
            <w:pPr>
              <w:pStyle w:val="85"/>
              <w:jc w:val="center"/>
              <w:rPr>
                <w:color w:val="auto"/>
                <w:sz w:val="22"/>
                <w:szCs w:val="22"/>
              </w:rPr>
            </w:pPr>
            <w:r>
              <w:rPr>
                <w:color w:val="auto"/>
                <w:sz w:val="22"/>
                <w:szCs w:val="22"/>
              </w:rPr>
              <w:t>1.4.2</w:t>
            </w:r>
          </w:p>
        </w:tc>
        <w:tc>
          <w:tcPr>
            <w:tcW w:w="7994" w:type="dxa"/>
          </w:tcPr>
          <w:p w14:paraId="1357FD61">
            <w:pPr>
              <w:pStyle w:val="85"/>
              <w:jc w:val="both"/>
              <w:rPr>
                <w:color w:val="auto"/>
                <w:sz w:val="22"/>
                <w:szCs w:val="22"/>
              </w:rPr>
            </w:pPr>
            <w:r>
              <w:rPr>
                <w:color w:val="auto"/>
                <w:sz w:val="22"/>
                <w:szCs w:val="22"/>
              </w:rPr>
              <w:t>Создание подписей к картинкам, фотографиям с пояснением, что на них изображено</w:t>
            </w:r>
          </w:p>
        </w:tc>
      </w:tr>
      <w:tr w14:paraId="2D0E57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077" w:type="dxa"/>
          </w:tcPr>
          <w:p w14:paraId="5D116E6A">
            <w:pPr>
              <w:pStyle w:val="85"/>
              <w:jc w:val="center"/>
              <w:rPr>
                <w:color w:val="auto"/>
                <w:sz w:val="22"/>
                <w:szCs w:val="22"/>
              </w:rPr>
            </w:pPr>
            <w:r>
              <w:rPr>
                <w:color w:val="auto"/>
                <w:sz w:val="22"/>
                <w:szCs w:val="22"/>
              </w:rPr>
              <w:t>1.4.3</w:t>
            </w:r>
          </w:p>
        </w:tc>
        <w:tc>
          <w:tcPr>
            <w:tcW w:w="7994" w:type="dxa"/>
          </w:tcPr>
          <w:p w14:paraId="728992BA">
            <w:pPr>
              <w:pStyle w:val="85"/>
              <w:jc w:val="both"/>
              <w:rPr>
                <w:color w:val="auto"/>
                <w:sz w:val="22"/>
                <w:szCs w:val="22"/>
              </w:rPr>
            </w:pPr>
            <w:r>
              <w:rPr>
                <w:color w:val="auto"/>
                <w:sz w:val="22"/>
                <w:szCs w:val="22"/>
              </w:rPr>
              <w:t>Заполнение простых формуляров с указанием личной информации (имя, фамилия, возраст, страна проживания, любимые занятия) в соответствии с нормами, принятыми в стране (странах) изучаемого языка</w:t>
            </w:r>
          </w:p>
        </w:tc>
      </w:tr>
      <w:tr w14:paraId="6F850A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077" w:type="dxa"/>
          </w:tcPr>
          <w:p w14:paraId="1FE6F727">
            <w:pPr>
              <w:pStyle w:val="85"/>
              <w:jc w:val="center"/>
              <w:rPr>
                <w:color w:val="auto"/>
                <w:sz w:val="22"/>
                <w:szCs w:val="22"/>
              </w:rPr>
            </w:pPr>
            <w:r>
              <w:rPr>
                <w:color w:val="auto"/>
                <w:sz w:val="22"/>
                <w:szCs w:val="22"/>
              </w:rPr>
              <w:t>1.4.4</w:t>
            </w:r>
          </w:p>
        </w:tc>
        <w:tc>
          <w:tcPr>
            <w:tcW w:w="7994" w:type="dxa"/>
          </w:tcPr>
          <w:p w14:paraId="06CF9933">
            <w:pPr>
              <w:pStyle w:val="85"/>
              <w:jc w:val="both"/>
              <w:rPr>
                <w:color w:val="auto"/>
                <w:sz w:val="22"/>
                <w:szCs w:val="22"/>
              </w:rPr>
            </w:pPr>
            <w:r>
              <w:rPr>
                <w:color w:val="auto"/>
                <w:sz w:val="22"/>
                <w:szCs w:val="22"/>
              </w:rPr>
              <w:t>Написание с использованием образца поздравлений с праздниками (с днем рождения, Новым годом, Рождеством) с выражением пожеланий</w:t>
            </w:r>
          </w:p>
        </w:tc>
      </w:tr>
      <w:tr w14:paraId="68C6A5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077" w:type="dxa"/>
          </w:tcPr>
          <w:p w14:paraId="03F12670">
            <w:pPr>
              <w:pStyle w:val="85"/>
              <w:jc w:val="center"/>
              <w:rPr>
                <w:color w:val="auto"/>
                <w:sz w:val="22"/>
                <w:szCs w:val="22"/>
              </w:rPr>
            </w:pPr>
            <w:r>
              <w:rPr>
                <w:color w:val="auto"/>
                <w:sz w:val="22"/>
                <w:szCs w:val="22"/>
              </w:rPr>
              <w:t>2</w:t>
            </w:r>
          </w:p>
        </w:tc>
        <w:tc>
          <w:tcPr>
            <w:tcW w:w="7994" w:type="dxa"/>
          </w:tcPr>
          <w:p w14:paraId="0F0C022B">
            <w:pPr>
              <w:pStyle w:val="85"/>
              <w:jc w:val="both"/>
              <w:rPr>
                <w:color w:val="auto"/>
                <w:sz w:val="22"/>
                <w:szCs w:val="22"/>
              </w:rPr>
            </w:pPr>
            <w:r>
              <w:rPr>
                <w:color w:val="auto"/>
                <w:sz w:val="22"/>
                <w:szCs w:val="22"/>
              </w:rPr>
              <w:t>Языковые знания и навыки</w:t>
            </w:r>
          </w:p>
        </w:tc>
      </w:tr>
      <w:tr w14:paraId="6F73F5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077" w:type="dxa"/>
          </w:tcPr>
          <w:p w14:paraId="43669D7E">
            <w:pPr>
              <w:pStyle w:val="85"/>
              <w:jc w:val="center"/>
              <w:rPr>
                <w:color w:val="auto"/>
                <w:sz w:val="22"/>
                <w:szCs w:val="22"/>
              </w:rPr>
            </w:pPr>
            <w:r>
              <w:rPr>
                <w:color w:val="auto"/>
                <w:sz w:val="22"/>
                <w:szCs w:val="22"/>
              </w:rPr>
              <w:t>2.1</w:t>
            </w:r>
          </w:p>
        </w:tc>
        <w:tc>
          <w:tcPr>
            <w:tcW w:w="7994" w:type="dxa"/>
          </w:tcPr>
          <w:p w14:paraId="10597392">
            <w:pPr>
              <w:pStyle w:val="85"/>
              <w:jc w:val="both"/>
              <w:rPr>
                <w:color w:val="auto"/>
                <w:sz w:val="22"/>
                <w:szCs w:val="22"/>
              </w:rPr>
            </w:pPr>
            <w:r>
              <w:rPr>
                <w:color w:val="auto"/>
                <w:sz w:val="22"/>
                <w:szCs w:val="22"/>
              </w:rPr>
              <w:t>Фонетическая сторона речи</w:t>
            </w:r>
          </w:p>
        </w:tc>
      </w:tr>
      <w:tr w14:paraId="5ABD34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077" w:type="dxa"/>
          </w:tcPr>
          <w:p w14:paraId="34C59A81">
            <w:pPr>
              <w:pStyle w:val="85"/>
              <w:jc w:val="center"/>
              <w:rPr>
                <w:color w:val="auto"/>
                <w:sz w:val="22"/>
                <w:szCs w:val="22"/>
              </w:rPr>
            </w:pPr>
            <w:r>
              <w:rPr>
                <w:color w:val="auto"/>
                <w:sz w:val="22"/>
                <w:szCs w:val="22"/>
              </w:rPr>
              <w:t>2.1.1</w:t>
            </w:r>
          </w:p>
        </w:tc>
        <w:tc>
          <w:tcPr>
            <w:tcW w:w="7994" w:type="dxa"/>
          </w:tcPr>
          <w:p w14:paraId="540141B5">
            <w:pPr>
              <w:pStyle w:val="85"/>
              <w:jc w:val="both"/>
              <w:rPr>
                <w:color w:val="auto"/>
                <w:sz w:val="22"/>
                <w:szCs w:val="22"/>
              </w:rPr>
            </w:pPr>
            <w:r>
              <w:rPr>
                <w:color w:val="auto"/>
                <w:sz w:val="22"/>
                <w:szCs w:val="22"/>
              </w:rPr>
              <w:t>Буквы английского алфавита. Фонетически корректное озвучивание букв английского алфавита</w:t>
            </w:r>
          </w:p>
        </w:tc>
      </w:tr>
      <w:tr w14:paraId="59CA65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077" w:type="dxa"/>
          </w:tcPr>
          <w:p w14:paraId="63B1B878">
            <w:pPr>
              <w:pStyle w:val="85"/>
              <w:jc w:val="center"/>
              <w:rPr>
                <w:color w:val="auto"/>
                <w:sz w:val="22"/>
                <w:szCs w:val="22"/>
              </w:rPr>
            </w:pPr>
            <w:r>
              <w:rPr>
                <w:color w:val="auto"/>
                <w:sz w:val="22"/>
                <w:szCs w:val="22"/>
              </w:rPr>
              <w:t>2.1.2</w:t>
            </w:r>
          </w:p>
        </w:tc>
        <w:tc>
          <w:tcPr>
            <w:tcW w:w="7994" w:type="dxa"/>
          </w:tcPr>
          <w:p w14:paraId="484A939B">
            <w:pPr>
              <w:pStyle w:val="85"/>
              <w:jc w:val="both"/>
              <w:rPr>
                <w:color w:val="auto"/>
                <w:sz w:val="22"/>
                <w:szCs w:val="22"/>
              </w:rPr>
            </w:pPr>
            <w:r>
              <w:rPr>
                <w:color w:val="auto"/>
                <w:sz w:val="22"/>
                <w:szCs w:val="22"/>
              </w:rPr>
              <w:t>Нормы произношения: долгота и краткость гласных, правильное отсутствие оглушения звонких согласных в конце слога или слова, отсутствие смягчения согласных перед гласными. Связующее "r" (there is/there are)</w:t>
            </w:r>
          </w:p>
        </w:tc>
      </w:tr>
      <w:tr w14:paraId="031A7E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077" w:type="dxa"/>
          </w:tcPr>
          <w:p w14:paraId="5B24FEA1">
            <w:pPr>
              <w:pStyle w:val="85"/>
              <w:jc w:val="center"/>
              <w:rPr>
                <w:color w:val="auto"/>
                <w:sz w:val="22"/>
                <w:szCs w:val="22"/>
              </w:rPr>
            </w:pPr>
            <w:r>
              <w:rPr>
                <w:color w:val="auto"/>
                <w:sz w:val="22"/>
                <w:szCs w:val="22"/>
              </w:rPr>
              <w:t>2.1.3</w:t>
            </w:r>
          </w:p>
        </w:tc>
        <w:tc>
          <w:tcPr>
            <w:tcW w:w="7994" w:type="dxa"/>
          </w:tcPr>
          <w:p w14:paraId="65DA1B63">
            <w:pPr>
              <w:pStyle w:val="85"/>
              <w:jc w:val="both"/>
              <w:rPr>
                <w:color w:val="auto"/>
                <w:sz w:val="22"/>
                <w:szCs w:val="22"/>
              </w:rPr>
            </w:pPr>
            <w:r>
              <w:rPr>
                <w:color w:val="auto"/>
                <w:sz w:val="22"/>
                <w:szCs w:val="22"/>
              </w:rPr>
              <w:t>Чтение гласных в открытом и закрытом слоге в односложных словах, чтения гласных в третьем типе слога (гласная + r); согласных, основных звукобуквенных сочетаний, в частности сложных сочетаний букв (например, tion, ight) в односложных, двусложных и многосложных словах. Выделение некоторых звукобуквенных сочетаний при анализе изученных слов</w:t>
            </w:r>
          </w:p>
        </w:tc>
      </w:tr>
      <w:tr w14:paraId="5A8A3A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077" w:type="dxa"/>
          </w:tcPr>
          <w:p w14:paraId="6B143FC5">
            <w:pPr>
              <w:pStyle w:val="85"/>
              <w:jc w:val="center"/>
              <w:rPr>
                <w:color w:val="auto"/>
                <w:sz w:val="22"/>
                <w:szCs w:val="22"/>
              </w:rPr>
            </w:pPr>
            <w:r>
              <w:rPr>
                <w:color w:val="auto"/>
                <w:sz w:val="22"/>
                <w:szCs w:val="22"/>
              </w:rPr>
              <w:t>2.1.4</w:t>
            </w:r>
          </w:p>
        </w:tc>
        <w:tc>
          <w:tcPr>
            <w:tcW w:w="7994" w:type="dxa"/>
          </w:tcPr>
          <w:p w14:paraId="4815914B">
            <w:pPr>
              <w:pStyle w:val="85"/>
              <w:jc w:val="both"/>
              <w:rPr>
                <w:color w:val="auto"/>
                <w:sz w:val="22"/>
                <w:szCs w:val="22"/>
              </w:rPr>
            </w:pPr>
            <w:r>
              <w:rPr>
                <w:color w:val="auto"/>
                <w:sz w:val="22"/>
                <w:szCs w:val="22"/>
              </w:rPr>
              <w:t>Чтение новых слов согласно основным правилам чтения с использованием полной или частичной транскрипции</w:t>
            </w:r>
          </w:p>
        </w:tc>
      </w:tr>
      <w:tr w14:paraId="377E18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077" w:type="dxa"/>
          </w:tcPr>
          <w:p w14:paraId="1A8B59EC">
            <w:pPr>
              <w:pStyle w:val="85"/>
              <w:jc w:val="center"/>
              <w:rPr>
                <w:color w:val="auto"/>
                <w:sz w:val="22"/>
                <w:szCs w:val="22"/>
              </w:rPr>
            </w:pPr>
            <w:r>
              <w:rPr>
                <w:color w:val="auto"/>
                <w:sz w:val="22"/>
                <w:szCs w:val="22"/>
              </w:rPr>
              <w:t>2.1.5</w:t>
            </w:r>
          </w:p>
        </w:tc>
        <w:tc>
          <w:tcPr>
            <w:tcW w:w="7994" w:type="dxa"/>
          </w:tcPr>
          <w:p w14:paraId="20BDC1B8">
            <w:pPr>
              <w:pStyle w:val="85"/>
              <w:jc w:val="both"/>
              <w:rPr>
                <w:color w:val="auto"/>
                <w:sz w:val="22"/>
                <w:szCs w:val="22"/>
              </w:rPr>
            </w:pPr>
            <w:r>
              <w:rPr>
                <w:color w:val="auto"/>
                <w:sz w:val="22"/>
                <w:szCs w:val="22"/>
              </w:rPr>
              <w:t>Знаки английской транскрипции; отличие их от букв английского алфавита. Фонетически корректное озвучивание знаков транскрипции</w:t>
            </w:r>
          </w:p>
        </w:tc>
      </w:tr>
      <w:tr w14:paraId="120E8C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077" w:type="dxa"/>
          </w:tcPr>
          <w:p w14:paraId="623EC58A">
            <w:pPr>
              <w:pStyle w:val="85"/>
              <w:jc w:val="center"/>
              <w:rPr>
                <w:color w:val="auto"/>
                <w:sz w:val="22"/>
                <w:szCs w:val="22"/>
              </w:rPr>
            </w:pPr>
            <w:r>
              <w:rPr>
                <w:color w:val="auto"/>
                <w:sz w:val="22"/>
                <w:szCs w:val="22"/>
              </w:rPr>
              <w:t>2.1.6</w:t>
            </w:r>
          </w:p>
        </w:tc>
        <w:tc>
          <w:tcPr>
            <w:tcW w:w="7994" w:type="dxa"/>
          </w:tcPr>
          <w:p w14:paraId="469D5C48">
            <w:pPr>
              <w:pStyle w:val="85"/>
              <w:jc w:val="both"/>
              <w:rPr>
                <w:color w:val="auto"/>
                <w:sz w:val="22"/>
                <w:szCs w:val="22"/>
              </w:rPr>
            </w:pPr>
            <w:r>
              <w:rPr>
                <w:color w:val="auto"/>
                <w:sz w:val="22"/>
                <w:szCs w:val="22"/>
              </w:rPr>
              <w:t>Различение на слух и адекватное, без ошибок произнесение слов с соблюдением правильного ударения и фраз (предложений) с соблюдением их ритмико-интонационных особенностей</w:t>
            </w:r>
          </w:p>
        </w:tc>
      </w:tr>
      <w:tr w14:paraId="677C53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077" w:type="dxa"/>
          </w:tcPr>
          <w:p w14:paraId="5982ED08">
            <w:pPr>
              <w:pStyle w:val="85"/>
              <w:jc w:val="center"/>
              <w:rPr>
                <w:color w:val="auto"/>
                <w:sz w:val="22"/>
                <w:szCs w:val="22"/>
              </w:rPr>
            </w:pPr>
            <w:r>
              <w:rPr>
                <w:color w:val="auto"/>
                <w:sz w:val="22"/>
                <w:szCs w:val="22"/>
              </w:rPr>
              <w:t>2.1.7</w:t>
            </w:r>
          </w:p>
        </w:tc>
        <w:tc>
          <w:tcPr>
            <w:tcW w:w="7994" w:type="dxa"/>
          </w:tcPr>
          <w:p w14:paraId="5B608884">
            <w:pPr>
              <w:pStyle w:val="85"/>
              <w:jc w:val="both"/>
              <w:rPr>
                <w:color w:val="auto"/>
                <w:sz w:val="22"/>
                <w:szCs w:val="22"/>
              </w:rPr>
            </w:pPr>
            <w:r>
              <w:rPr>
                <w:color w:val="auto"/>
                <w:sz w:val="22"/>
                <w:szCs w:val="22"/>
              </w:rPr>
              <w:t>Ритмико-интонационные особенности повествовательного, побудительного и вопросительного (общий и специальный вопрос) предложений</w:t>
            </w:r>
          </w:p>
        </w:tc>
      </w:tr>
      <w:tr w14:paraId="1780B3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077" w:type="dxa"/>
          </w:tcPr>
          <w:p w14:paraId="52ED92AA">
            <w:pPr>
              <w:pStyle w:val="85"/>
              <w:jc w:val="center"/>
              <w:rPr>
                <w:color w:val="auto"/>
                <w:sz w:val="22"/>
                <w:szCs w:val="22"/>
              </w:rPr>
            </w:pPr>
            <w:r>
              <w:rPr>
                <w:color w:val="auto"/>
                <w:sz w:val="22"/>
                <w:szCs w:val="22"/>
              </w:rPr>
              <w:t>2.2</w:t>
            </w:r>
          </w:p>
        </w:tc>
        <w:tc>
          <w:tcPr>
            <w:tcW w:w="7994" w:type="dxa"/>
          </w:tcPr>
          <w:p w14:paraId="3A829DF1">
            <w:pPr>
              <w:pStyle w:val="85"/>
              <w:jc w:val="both"/>
              <w:rPr>
                <w:color w:val="auto"/>
                <w:sz w:val="22"/>
                <w:szCs w:val="22"/>
              </w:rPr>
            </w:pPr>
            <w:r>
              <w:rPr>
                <w:color w:val="auto"/>
                <w:sz w:val="22"/>
                <w:szCs w:val="22"/>
              </w:rPr>
              <w:t>Графика, орфография и пунктуация</w:t>
            </w:r>
          </w:p>
        </w:tc>
      </w:tr>
      <w:tr w14:paraId="3F2DEE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077" w:type="dxa"/>
          </w:tcPr>
          <w:p w14:paraId="5E3EF909">
            <w:pPr>
              <w:pStyle w:val="85"/>
              <w:jc w:val="center"/>
              <w:rPr>
                <w:color w:val="auto"/>
                <w:sz w:val="22"/>
                <w:szCs w:val="22"/>
              </w:rPr>
            </w:pPr>
            <w:r>
              <w:rPr>
                <w:color w:val="auto"/>
                <w:sz w:val="22"/>
                <w:szCs w:val="22"/>
              </w:rPr>
              <w:t>2.2.1</w:t>
            </w:r>
          </w:p>
        </w:tc>
        <w:tc>
          <w:tcPr>
            <w:tcW w:w="7994" w:type="dxa"/>
          </w:tcPr>
          <w:p w14:paraId="76E70950">
            <w:pPr>
              <w:pStyle w:val="85"/>
              <w:jc w:val="both"/>
              <w:rPr>
                <w:color w:val="auto"/>
                <w:sz w:val="22"/>
                <w:szCs w:val="22"/>
              </w:rPr>
            </w:pPr>
            <w:r>
              <w:rPr>
                <w:color w:val="auto"/>
                <w:sz w:val="22"/>
                <w:szCs w:val="22"/>
              </w:rPr>
              <w:t>Правильное написание изученных слов</w:t>
            </w:r>
          </w:p>
        </w:tc>
      </w:tr>
      <w:tr w14:paraId="58C266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077" w:type="dxa"/>
          </w:tcPr>
          <w:p w14:paraId="7F035647">
            <w:pPr>
              <w:pStyle w:val="85"/>
              <w:jc w:val="center"/>
              <w:rPr>
                <w:color w:val="auto"/>
                <w:sz w:val="22"/>
                <w:szCs w:val="22"/>
              </w:rPr>
            </w:pPr>
            <w:r>
              <w:rPr>
                <w:color w:val="auto"/>
                <w:sz w:val="22"/>
                <w:szCs w:val="22"/>
              </w:rPr>
              <w:t>2.2.2</w:t>
            </w:r>
          </w:p>
        </w:tc>
        <w:tc>
          <w:tcPr>
            <w:tcW w:w="7994" w:type="dxa"/>
          </w:tcPr>
          <w:p w14:paraId="2ADD84AE">
            <w:pPr>
              <w:pStyle w:val="85"/>
              <w:jc w:val="both"/>
              <w:rPr>
                <w:color w:val="auto"/>
                <w:sz w:val="22"/>
                <w:szCs w:val="22"/>
              </w:rPr>
            </w:pPr>
            <w:r>
              <w:rPr>
                <w:color w:val="auto"/>
                <w:sz w:val="22"/>
                <w:szCs w:val="22"/>
              </w:rPr>
              <w:t>Правильная расстановка знаков препинания: точки, вопросительного и восклицательного знаков в конце предложения</w:t>
            </w:r>
          </w:p>
        </w:tc>
      </w:tr>
      <w:tr w14:paraId="6C79AC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077" w:type="dxa"/>
          </w:tcPr>
          <w:p w14:paraId="546443CA">
            <w:pPr>
              <w:pStyle w:val="85"/>
              <w:jc w:val="center"/>
              <w:rPr>
                <w:color w:val="auto"/>
                <w:sz w:val="22"/>
                <w:szCs w:val="22"/>
              </w:rPr>
            </w:pPr>
            <w:r>
              <w:rPr>
                <w:color w:val="auto"/>
                <w:sz w:val="22"/>
                <w:szCs w:val="22"/>
              </w:rPr>
              <w:t>2.2.3</w:t>
            </w:r>
          </w:p>
        </w:tc>
        <w:tc>
          <w:tcPr>
            <w:tcW w:w="7994" w:type="dxa"/>
          </w:tcPr>
          <w:p w14:paraId="597E7D58">
            <w:pPr>
              <w:pStyle w:val="85"/>
              <w:jc w:val="both"/>
              <w:rPr>
                <w:color w:val="auto"/>
                <w:sz w:val="22"/>
                <w:szCs w:val="22"/>
              </w:rPr>
            </w:pPr>
            <w:r>
              <w:rPr>
                <w:color w:val="auto"/>
                <w:sz w:val="22"/>
                <w:szCs w:val="22"/>
              </w:rPr>
              <w:t>Правильное использование знака апострофа в сокращенных формах глагола-связки, вспомогательного и модального глаголов, существительных в притяжательном падеже</w:t>
            </w:r>
          </w:p>
        </w:tc>
      </w:tr>
      <w:tr w14:paraId="2E81C4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077" w:type="dxa"/>
          </w:tcPr>
          <w:p w14:paraId="65FD35F6">
            <w:pPr>
              <w:pStyle w:val="85"/>
              <w:jc w:val="center"/>
              <w:rPr>
                <w:color w:val="auto"/>
                <w:sz w:val="22"/>
                <w:szCs w:val="22"/>
              </w:rPr>
            </w:pPr>
            <w:r>
              <w:rPr>
                <w:color w:val="auto"/>
                <w:sz w:val="22"/>
                <w:szCs w:val="22"/>
              </w:rPr>
              <w:t>2.3</w:t>
            </w:r>
          </w:p>
        </w:tc>
        <w:tc>
          <w:tcPr>
            <w:tcW w:w="7994" w:type="dxa"/>
          </w:tcPr>
          <w:p w14:paraId="0D73DB64">
            <w:pPr>
              <w:pStyle w:val="85"/>
              <w:jc w:val="both"/>
              <w:rPr>
                <w:color w:val="auto"/>
                <w:sz w:val="22"/>
                <w:szCs w:val="22"/>
              </w:rPr>
            </w:pPr>
            <w:r>
              <w:rPr>
                <w:color w:val="auto"/>
                <w:sz w:val="22"/>
                <w:szCs w:val="22"/>
              </w:rPr>
              <w:t>Лексическая сторона речи</w:t>
            </w:r>
          </w:p>
        </w:tc>
      </w:tr>
      <w:tr w14:paraId="29D476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077" w:type="dxa"/>
          </w:tcPr>
          <w:p w14:paraId="5D656775">
            <w:pPr>
              <w:pStyle w:val="85"/>
              <w:jc w:val="center"/>
              <w:rPr>
                <w:color w:val="auto"/>
                <w:sz w:val="22"/>
                <w:szCs w:val="22"/>
              </w:rPr>
            </w:pPr>
            <w:r>
              <w:rPr>
                <w:color w:val="auto"/>
                <w:sz w:val="22"/>
                <w:szCs w:val="22"/>
              </w:rPr>
              <w:t>2.3.1</w:t>
            </w:r>
          </w:p>
        </w:tc>
        <w:tc>
          <w:tcPr>
            <w:tcW w:w="7994" w:type="dxa"/>
          </w:tcPr>
          <w:p w14:paraId="547B95DB">
            <w:pPr>
              <w:pStyle w:val="85"/>
              <w:jc w:val="both"/>
              <w:rPr>
                <w:color w:val="auto"/>
                <w:sz w:val="22"/>
                <w:szCs w:val="22"/>
              </w:rPr>
            </w:pPr>
            <w:r>
              <w:rPr>
                <w:color w:val="auto"/>
                <w:sz w:val="22"/>
                <w:szCs w:val="22"/>
              </w:rPr>
              <w:t>Распознавание в письменном и звучащем тексте и употребление в устной и письменной речи не менее 350 лексических единиц (слов, словосочетаний, речевых клише), обслуживающих ситуации общения в рамках тематического содержания речи для 3 класса, включая 200 лексических единиц, усвоенных на первом году обучения</w:t>
            </w:r>
          </w:p>
        </w:tc>
      </w:tr>
      <w:tr w14:paraId="5CCD7B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077" w:type="dxa"/>
          </w:tcPr>
          <w:p w14:paraId="5ED3CBA0">
            <w:pPr>
              <w:pStyle w:val="85"/>
              <w:jc w:val="center"/>
              <w:rPr>
                <w:color w:val="auto"/>
                <w:sz w:val="22"/>
                <w:szCs w:val="22"/>
              </w:rPr>
            </w:pPr>
            <w:r>
              <w:rPr>
                <w:color w:val="auto"/>
                <w:sz w:val="22"/>
                <w:szCs w:val="22"/>
              </w:rPr>
              <w:t>2.3.2</w:t>
            </w:r>
          </w:p>
        </w:tc>
        <w:tc>
          <w:tcPr>
            <w:tcW w:w="7994" w:type="dxa"/>
          </w:tcPr>
          <w:p w14:paraId="682DEA4D">
            <w:pPr>
              <w:pStyle w:val="85"/>
              <w:jc w:val="both"/>
              <w:rPr>
                <w:color w:val="auto"/>
                <w:sz w:val="22"/>
                <w:szCs w:val="22"/>
              </w:rPr>
            </w:pPr>
            <w:r>
              <w:rPr>
                <w:color w:val="auto"/>
                <w:sz w:val="22"/>
                <w:szCs w:val="22"/>
              </w:rPr>
              <w:t>Распознавание и употребление в устной и письменной речи слов, образованных с использованием основных способов словообразования: аффиксации (образование числительных с помощью суффиксов -teen, -ty, -th) и словосложения (sportsman)</w:t>
            </w:r>
          </w:p>
        </w:tc>
      </w:tr>
      <w:tr w14:paraId="72DE9D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077" w:type="dxa"/>
          </w:tcPr>
          <w:p w14:paraId="04D203BA">
            <w:pPr>
              <w:pStyle w:val="85"/>
              <w:jc w:val="center"/>
              <w:rPr>
                <w:color w:val="auto"/>
                <w:sz w:val="22"/>
                <w:szCs w:val="22"/>
              </w:rPr>
            </w:pPr>
            <w:r>
              <w:rPr>
                <w:color w:val="auto"/>
                <w:sz w:val="22"/>
                <w:szCs w:val="22"/>
              </w:rPr>
              <w:t>2.3.3</w:t>
            </w:r>
          </w:p>
        </w:tc>
        <w:tc>
          <w:tcPr>
            <w:tcW w:w="7994" w:type="dxa"/>
          </w:tcPr>
          <w:p w14:paraId="755E2AC9">
            <w:pPr>
              <w:pStyle w:val="85"/>
              <w:jc w:val="both"/>
              <w:rPr>
                <w:color w:val="auto"/>
                <w:sz w:val="22"/>
                <w:szCs w:val="22"/>
              </w:rPr>
            </w:pPr>
            <w:r>
              <w:rPr>
                <w:color w:val="auto"/>
                <w:sz w:val="22"/>
                <w:szCs w:val="22"/>
              </w:rPr>
              <w:t>Распознавание в устной и письменной речи интернациональных слов (doctor, film) с помощью языковой догадки</w:t>
            </w:r>
          </w:p>
        </w:tc>
      </w:tr>
      <w:tr w14:paraId="17CC28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077" w:type="dxa"/>
          </w:tcPr>
          <w:p w14:paraId="0845ACC5">
            <w:pPr>
              <w:pStyle w:val="85"/>
              <w:jc w:val="center"/>
              <w:rPr>
                <w:color w:val="auto"/>
                <w:sz w:val="22"/>
                <w:szCs w:val="22"/>
              </w:rPr>
            </w:pPr>
            <w:r>
              <w:rPr>
                <w:color w:val="auto"/>
                <w:sz w:val="22"/>
                <w:szCs w:val="22"/>
              </w:rPr>
              <w:t>2.4</w:t>
            </w:r>
          </w:p>
        </w:tc>
        <w:tc>
          <w:tcPr>
            <w:tcW w:w="7994" w:type="dxa"/>
          </w:tcPr>
          <w:p w14:paraId="4CFBD776">
            <w:pPr>
              <w:pStyle w:val="85"/>
              <w:jc w:val="both"/>
              <w:rPr>
                <w:color w:val="auto"/>
                <w:sz w:val="22"/>
                <w:szCs w:val="22"/>
              </w:rPr>
            </w:pPr>
            <w:r>
              <w:rPr>
                <w:color w:val="auto"/>
                <w:sz w:val="22"/>
                <w:szCs w:val="22"/>
              </w:rPr>
              <w:t>Грамматическая сторона речи</w:t>
            </w:r>
          </w:p>
        </w:tc>
      </w:tr>
      <w:tr w14:paraId="03151F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077" w:type="dxa"/>
          </w:tcPr>
          <w:p w14:paraId="59311F6E">
            <w:pPr>
              <w:pStyle w:val="85"/>
              <w:jc w:val="center"/>
              <w:rPr>
                <w:color w:val="auto"/>
                <w:sz w:val="22"/>
                <w:szCs w:val="22"/>
              </w:rPr>
            </w:pPr>
            <w:r>
              <w:rPr>
                <w:color w:val="auto"/>
                <w:sz w:val="22"/>
                <w:szCs w:val="22"/>
              </w:rPr>
              <w:t>2.4.1</w:t>
            </w:r>
          </w:p>
        </w:tc>
        <w:tc>
          <w:tcPr>
            <w:tcW w:w="7994" w:type="dxa"/>
          </w:tcPr>
          <w:p w14:paraId="0297245C">
            <w:pPr>
              <w:pStyle w:val="85"/>
              <w:jc w:val="both"/>
              <w:rPr>
                <w:color w:val="auto"/>
                <w:sz w:val="22"/>
                <w:szCs w:val="22"/>
                <w:lang w:val="en-US"/>
              </w:rPr>
            </w:pPr>
            <w:r>
              <w:rPr>
                <w:color w:val="auto"/>
                <w:sz w:val="22"/>
                <w:szCs w:val="22"/>
              </w:rPr>
              <w:t>Предложения</w:t>
            </w:r>
            <w:r>
              <w:rPr>
                <w:color w:val="auto"/>
                <w:sz w:val="22"/>
                <w:szCs w:val="22"/>
                <w:lang w:val="en-US"/>
              </w:rPr>
              <w:t xml:space="preserve"> </w:t>
            </w:r>
            <w:r>
              <w:rPr>
                <w:color w:val="auto"/>
                <w:sz w:val="22"/>
                <w:szCs w:val="22"/>
              </w:rPr>
              <w:t>с</w:t>
            </w:r>
            <w:r>
              <w:rPr>
                <w:color w:val="auto"/>
                <w:sz w:val="22"/>
                <w:szCs w:val="22"/>
                <w:lang w:val="en-US"/>
              </w:rPr>
              <w:t xml:space="preserve"> </w:t>
            </w:r>
            <w:r>
              <w:rPr>
                <w:color w:val="auto"/>
                <w:sz w:val="22"/>
                <w:szCs w:val="22"/>
              </w:rPr>
              <w:t>начальным</w:t>
            </w:r>
            <w:r>
              <w:rPr>
                <w:color w:val="auto"/>
                <w:sz w:val="22"/>
                <w:szCs w:val="22"/>
                <w:lang w:val="en-US"/>
              </w:rPr>
              <w:t xml:space="preserve"> There + to be </w:t>
            </w:r>
            <w:r>
              <w:rPr>
                <w:color w:val="auto"/>
                <w:sz w:val="22"/>
                <w:szCs w:val="22"/>
              </w:rPr>
              <w:t>в</w:t>
            </w:r>
            <w:r>
              <w:rPr>
                <w:color w:val="auto"/>
                <w:sz w:val="22"/>
                <w:szCs w:val="22"/>
                <w:lang w:val="en-US"/>
              </w:rPr>
              <w:t xml:space="preserve"> Past Simple Tense (There was an old house near the river.)</w:t>
            </w:r>
          </w:p>
        </w:tc>
      </w:tr>
      <w:tr w14:paraId="2DF6F0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077" w:type="dxa"/>
          </w:tcPr>
          <w:p w14:paraId="39A7A73C">
            <w:pPr>
              <w:pStyle w:val="85"/>
              <w:jc w:val="center"/>
              <w:rPr>
                <w:color w:val="auto"/>
                <w:sz w:val="22"/>
                <w:szCs w:val="22"/>
              </w:rPr>
            </w:pPr>
            <w:r>
              <w:rPr>
                <w:color w:val="auto"/>
                <w:sz w:val="22"/>
                <w:szCs w:val="22"/>
              </w:rPr>
              <w:t>2.4.2</w:t>
            </w:r>
          </w:p>
        </w:tc>
        <w:tc>
          <w:tcPr>
            <w:tcW w:w="7994" w:type="dxa"/>
          </w:tcPr>
          <w:p w14:paraId="4B5CCB2D">
            <w:pPr>
              <w:pStyle w:val="85"/>
              <w:jc w:val="both"/>
              <w:rPr>
                <w:color w:val="auto"/>
                <w:sz w:val="22"/>
                <w:szCs w:val="22"/>
              </w:rPr>
            </w:pPr>
            <w:r>
              <w:rPr>
                <w:color w:val="auto"/>
                <w:sz w:val="22"/>
                <w:szCs w:val="22"/>
              </w:rPr>
              <w:t>Побудительные предложения в отрицательной форме (Don't talk, please.)</w:t>
            </w:r>
          </w:p>
        </w:tc>
      </w:tr>
      <w:tr w14:paraId="1EADF4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077" w:type="dxa"/>
          </w:tcPr>
          <w:p w14:paraId="61A9BEAC">
            <w:pPr>
              <w:pStyle w:val="85"/>
              <w:jc w:val="center"/>
              <w:rPr>
                <w:color w:val="auto"/>
                <w:sz w:val="22"/>
                <w:szCs w:val="22"/>
              </w:rPr>
            </w:pPr>
            <w:r>
              <w:rPr>
                <w:color w:val="auto"/>
                <w:sz w:val="22"/>
                <w:szCs w:val="22"/>
              </w:rPr>
              <w:t>2.4.3</w:t>
            </w:r>
          </w:p>
        </w:tc>
        <w:tc>
          <w:tcPr>
            <w:tcW w:w="7994" w:type="dxa"/>
          </w:tcPr>
          <w:p w14:paraId="5E8C1CB7">
            <w:pPr>
              <w:pStyle w:val="85"/>
              <w:jc w:val="both"/>
              <w:rPr>
                <w:color w:val="auto"/>
                <w:sz w:val="22"/>
                <w:szCs w:val="22"/>
              </w:rPr>
            </w:pPr>
            <w:r>
              <w:rPr>
                <w:color w:val="auto"/>
                <w:sz w:val="22"/>
                <w:szCs w:val="22"/>
              </w:rPr>
              <w:t>Правильные и неправильные глаголы в Past Simple Tense в повествовательных (утвердительных и отрицательных) и вопросительных (общий и специальный вопросы) предложениях</w:t>
            </w:r>
          </w:p>
        </w:tc>
      </w:tr>
      <w:tr w14:paraId="023923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077" w:type="dxa"/>
          </w:tcPr>
          <w:p w14:paraId="18601543">
            <w:pPr>
              <w:pStyle w:val="85"/>
              <w:jc w:val="center"/>
              <w:rPr>
                <w:color w:val="auto"/>
                <w:sz w:val="22"/>
                <w:szCs w:val="22"/>
              </w:rPr>
            </w:pPr>
            <w:r>
              <w:rPr>
                <w:color w:val="auto"/>
                <w:sz w:val="22"/>
                <w:szCs w:val="22"/>
              </w:rPr>
              <w:t>2.4.4</w:t>
            </w:r>
          </w:p>
        </w:tc>
        <w:tc>
          <w:tcPr>
            <w:tcW w:w="7994" w:type="dxa"/>
          </w:tcPr>
          <w:p w14:paraId="02AD7414">
            <w:pPr>
              <w:pStyle w:val="85"/>
              <w:jc w:val="both"/>
              <w:rPr>
                <w:color w:val="auto"/>
                <w:sz w:val="22"/>
                <w:szCs w:val="22"/>
                <w:lang w:val="en-US"/>
              </w:rPr>
            </w:pPr>
            <w:r>
              <w:rPr>
                <w:color w:val="auto"/>
                <w:sz w:val="22"/>
                <w:szCs w:val="22"/>
              </w:rPr>
              <w:t>Конструкция</w:t>
            </w:r>
            <w:r>
              <w:rPr>
                <w:color w:val="auto"/>
                <w:sz w:val="22"/>
                <w:szCs w:val="22"/>
                <w:lang w:val="en-US"/>
              </w:rPr>
              <w:t xml:space="preserve"> I'd like to... (I'd like to read this book.)</w:t>
            </w:r>
          </w:p>
        </w:tc>
      </w:tr>
      <w:tr w14:paraId="0CD37C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077" w:type="dxa"/>
          </w:tcPr>
          <w:p w14:paraId="14FDC0FB">
            <w:pPr>
              <w:pStyle w:val="85"/>
              <w:jc w:val="center"/>
              <w:rPr>
                <w:color w:val="auto"/>
                <w:sz w:val="22"/>
                <w:szCs w:val="22"/>
              </w:rPr>
            </w:pPr>
            <w:r>
              <w:rPr>
                <w:color w:val="auto"/>
                <w:sz w:val="22"/>
                <w:szCs w:val="22"/>
              </w:rPr>
              <w:t>2.4.5</w:t>
            </w:r>
          </w:p>
        </w:tc>
        <w:tc>
          <w:tcPr>
            <w:tcW w:w="7994" w:type="dxa"/>
          </w:tcPr>
          <w:p w14:paraId="78D7437B">
            <w:pPr>
              <w:pStyle w:val="85"/>
              <w:jc w:val="both"/>
              <w:rPr>
                <w:color w:val="auto"/>
                <w:sz w:val="22"/>
                <w:szCs w:val="22"/>
                <w:lang w:val="en-US"/>
              </w:rPr>
            </w:pPr>
            <w:r>
              <w:rPr>
                <w:color w:val="auto"/>
                <w:sz w:val="22"/>
                <w:szCs w:val="22"/>
              </w:rPr>
              <w:t>Конструкции</w:t>
            </w:r>
            <w:r>
              <w:rPr>
                <w:color w:val="auto"/>
                <w:sz w:val="22"/>
                <w:szCs w:val="22"/>
                <w:lang w:val="en-US"/>
              </w:rPr>
              <w:t xml:space="preserve"> </w:t>
            </w:r>
            <w:r>
              <w:rPr>
                <w:color w:val="auto"/>
                <w:sz w:val="22"/>
                <w:szCs w:val="22"/>
              </w:rPr>
              <w:t>с</w:t>
            </w:r>
            <w:r>
              <w:rPr>
                <w:color w:val="auto"/>
                <w:sz w:val="22"/>
                <w:szCs w:val="22"/>
                <w:lang w:val="en-US"/>
              </w:rPr>
              <w:t xml:space="preserve"> </w:t>
            </w:r>
            <w:r>
              <w:rPr>
                <w:color w:val="auto"/>
                <w:sz w:val="22"/>
                <w:szCs w:val="22"/>
              </w:rPr>
              <w:t>глаголами</w:t>
            </w:r>
            <w:r>
              <w:rPr>
                <w:color w:val="auto"/>
                <w:sz w:val="22"/>
                <w:szCs w:val="22"/>
                <w:lang w:val="en-US"/>
              </w:rPr>
              <w:t xml:space="preserve"> </w:t>
            </w:r>
            <w:r>
              <w:rPr>
                <w:color w:val="auto"/>
                <w:sz w:val="22"/>
                <w:szCs w:val="22"/>
              </w:rPr>
              <w:t>на</w:t>
            </w:r>
            <w:r>
              <w:rPr>
                <w:color w:val="auto"/>
                <w:sz w:val="22"/>
                <w:szCs w:val="22"/>
                <w:lang w:val="en-US"/>
              </w:rPr>
              <w:t xml:space="preserve"> -ing: to like/enjoy doing smth (I like riding my bike.)</w:t>
            </w:r>
          </w:p>
        </w:tc>
      </w:tr>
      <w:tr w14:paraId="42B494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077" w:type="dxa"/>
          </w:tcPr>
          <w:p w14:paraId="4666DEE4">
            <w:pPr>
              <w:pStyle w:val="85"/>
              <w:jc w:val="center"/>
              <w:rPr>
                <w:color w:val="auto"/>
                <w:sz w:val="22"/>
                <w:szCs w:val="22"/>
              </w:rPr>
            </w:pPr>
            <w:r>
              <w:rPr>
                <w:color w:val="auto"/>
                <w:sz w:val="22"/>
                <w:szCs w:val="22"/>
              </w:rPr>
              <w:t>2.4.6</w:t>
            </w:r>
          </w:p>
        </w:tc>
        <w:tc>
          <w:tcPr>
            <w:tcW w:w="7994" w:type="dxa"/>
          </w:tcPr>
          <w:p w14:paraId="67051660">
            <w:pPr>
              <w:pStyle w:val="85"/>
              <w:jc w:val="both"/>
              <w:rPr>
                <w:color w:val="auto"/>
                <w:sz w:val="22"/>
                <w:szCs w:val="22"/>
                <w:lang w:val="en-US"/>
              </w:rPr>
            </w:pPr>
            <w:r>
              <w:rPr>
                <w:color w:val="auto"/>
                <w:sz w:val="22"/>
                <w:szCs w:val="22"/>
              </w:rPr>
              <w:t>Существительные</w:t>
            </w:r>
            <w:r>
              <w:rPr>
                <w:color w:val="auto"/>
                <w:sz w:val="22"/>
                <w:szCs w:val="22"/>
                <w:lang w:val="en-US"/>
              </w:rPr>
              <w:t xml:space="preserve"> </w:t>
            </w:r>
            <w:r>
              <w:rPr>
                <w:color w:val="auto"/>
                <w:sz w:val="22"/>
                <w:szCs w:val="22"/>
              </w:rPr>
              <w:t>в</w:t>
            </w:r>
            <w:r>
              <w:rPr>
                <w:color w:val="auto"/>
                <w:sz w:val="22"/>
                <w:szCs w:val="22"/>
                <w:lang w:val="en-US"/>
              </w:rPr>
              <w:t xml:space="preserve"> </w:t>
            </w:r>
            <w:r>
              <w:rPr>
                <w:color w:val="auto"/>
                <w:sz w:val="22"/>
                <w:szCs w:val="22"/>
              </w:rPr>
              <w:t>притяжательном</w:t>
            </w:r>
            <w:r>
              <w:rPr>
                <w:color w:val="auto"/>
                <w:sz w:val="22"/>
                <w:szCs w:val="22"/>
                <w:lang w:val="en-US"/>
              </w:rPr>
              <w:t xml:space="preserve"> </w:t>
            </w:r>
            <w:r>
              <w:rPr>
                <w:color w:val="auto"/>
                <w:sz w:val="22"/>
                <w:szCs w:val="22"/>
              </w:rPr>
              <w:t>падеже</w:t>
            </w:r>
            <w:r>
              <w:rPr>
                <w:color w:val="auto"/>
                <w:sz w:val="22"/>
                <w:szCs w:val="22"/>
                <w:lang w:val="en-US"/>
              </w:rPr>
              <w:t xml:space="preserve"> (Possessive Case: Ann's dress, children's toys, boys' books)</w:t>
            </w:r>
          </w:p>
        </w:tc>
      </w:tr>
      <w:tr w14:paraId="784E5B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077" w:type="dxa"/>
          </w:tcPr>
          <w:p w14:paraId="01A260E3">
            <w:pPr>
              <w:pStyle w:val="85"/>
              <w:jc w:val="center"/>
              <w:rPr>
                <w:color w:val="auto"/>
                <w:sz w:val="22"/>
                <w:szCs w:val="22"/>
              </w:rPr>
            </w:pPr>
            <w:r>
              <w:rPr>
                <w:color w:val="auto"/>
                <w:sz w:val="22"/>
                <w:szCs w:val="22"/>
              </w:rPr>
              <w:t>2.4.7</w:t>
            </w:r>
          </w:p>
        </w:tc>
        <w:tc>
          <w:tcPr>
            <w:tcW w:w="7994" w:type="dxa"/>
          </w:tcPr>
          <w:p w14:paraId="155D167D">
            <w:pPr>
              <w:pStyle w:val="85"/>
              <w:jc w:val="both"/>
              <w:rPr>
                <w:color w:val="auto"/>
                <w:sz w:val="22"/>
                <w:szCs w:val="22"/>
              </w:rPr>
            </w:pPr>
            <w:r>
              <w:rPr>
                <w:color w:val="auto"/>
                <w:sz w:val="22"/>
                <w:szCs w:val="22"/>
              </w:rPr>
              <w:t>Слова, выражающие количество, с исчисляемыми и неисчисляемыми существительными (much/many/a lot of)</w:t>
            </w:r>
          </w:p>
        </w:tc>
      </w:tr>
      <w:tr w14:paraId="16146D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077" w:type="dxa"/>
          </w:tcPr>
          <w:p w14:paraId="5C74AD49">
            <w:pPr>
              <w:pStyle w:val="85"/>
              <w:jc w:val="center"/>
              <w:rPr>
                <w:color w:val="auto"/>
                <w:sz w:val="22"/>
                <w:szCs w:val="22"/>
              </w:rPr>
            </w:pPr>
            <w:r>
              <w:rPr>
                <w:color w:val="auto"/>
                <w:sz w:val="22"/>
                <w:szCs w:val="22"/>
              </w:rPr>
              <w:t>2.4.8</w:t>
            </w:r>
          </w:p>
        </w:tc>
        <w:tc>
          <w:tcPr>
            <w:tcW w:w="7994" w:type="dxa"/>
          </w:tcPr>
          <w:p w14:paraId="06A81F61">
            <w:pPr>
              <w:pStyle w:val="85"/>
              <w:jc w:val="both"/>
              <w:rPr>
                <w:color w:val="auto"/>
                <w:sz w:val="22"/>
                <w:szCs w:val="22"/>
              </w:rPr>
            </w:pPr>
            <w:r>
              <w:rPr>
                <w:color w:val="auto"/>
                <w:sz w:val="22"/>
                <w:szCs w:val="22"/>
              </w:rPr>
              <w:t>Личные местоимения в объектном падеже (me, you, him/her/it, us, them)</w:t>
            </w:r>
          </w:p>
        </w:tc>
      </w:tr>
      <w:tr w14:paraId="1A6B43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077" w:type="dxa"/>
          </w:tcPr>
          <w:p w14:paraId="09F2A8CA">
            <w:pPr>
              <w:pStyle w:val="85"/>
              <w:jc w:val="center"/>
              <w:rPr>
                <w:color w:val="auto"/>
                <w:sz w:val="22"/>
                <w:szCs w:val="22"/>
              </w:rPr>
            </w:pPr>
            <w:r>
              <w:rPr>
                <w:color w:val="auto"/>
                <w:sz w:val="22"/>
                <w:szCs w:val="22"/>
              </w:rPr>
              <w:t>2.4.9</w:t>
            </w:r>
          </w:p>
        </w:tc>
        <w:tc>
          <w:tcPr>
            <w:tcW w:w="7994" w:type="dxa"/>
          </w:tcPr>
          <w:p w14:paraId="0F5670E1">
            <w:pPr>
              <w:pStyle w:val="85"/>
              <w:jc w:val="both"/>
              <w:rPr>
                <w:color w:val="auto"/>
                <w:sz w:val="22"/>
                <w:szCs w:val="22"/>
              </w:rPr>
            </w:pPr>
            <w:r>
              <w:rPr>
                <w:color w:val="auto"/>
                <w:sz w:val="22"/>
                <w:szCs w:val="22"/>
              </w:rPr>
              <w:t>Указательные местоимения (this - these; that - those)</w:t>
            </w:r>
          </w:p>
        </w:tc>
      </w:tr>
      <w:tr w14:paraId="022C32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077" w:type="dxa"/>
          </w:tcPr>
          <w:p w14:paraId="41EED582">
            <w:pPr>
              <w:pStyle w:val="85"/>
              <w:jc w:val="center"/>
              <w:rPr>
                <w:color w:val="auto"/>
                <w:sz w:val="22"/>
                <w:szCs w:val="22"/>
              </w:rPr>
            </w:pPr>
            <w:r>
              <w:rPr>
                <w:color w:val="auto"/>
                <w:sz w:val="22"/>
                <w:szCs w:val="22"/>
              </w:rPr>
              <w:t>2.4.10</w:t>
            </w:r>
          </w:p>
        </w:tc>
        <w:tc>
          <w:tcPr>
            <w:tcW w:w="7994" w:type="dxa"/>
          </w:tcPr>
          <w:p w14:paraId="4D9A1BAC">
            <w:pPr>
              <w:pStyle w:val="85"/>
              <w:jc w:val="both"/>
              <w:rPr>
                <w:color w:val="auto"/>
                <w:sz w:val="22"/>
                <w:szCs w:val="22"/>
              </w:rPr>
            </w:pPr>
            <w:r>
              <w:rPr>
                <w:color w:val="auto"/>
                <w:sz w:val="22"/>
                <w:szCs w:val="22"/>
              </w:rPr>
              <w:t>Неопределенные местоимения (some/any) в повествовательных и вопросительных предложениях (Have you got any friends? - Yes, I've got some.)</w:t>
            </w:r>
          </w:p>
        </w:tc>
      </w:tr>
      <w:tr w14:paraId="309A69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077" w:type="dxa"/>
          </w:tcPr>
          <w:p w14:paraId="55335E3A">
            <w:pPr>
              <w:pStyle w:val="85"/>
              <w:jc w:val="center"/>
              <w:rPr>
                <w:color w:val="auto"/>
                <w:sz w:val="22"/>
                <w:szCs w:val="22"/>
              </w:rPr>
            </w:pPr>
            <w:r>
              <w:rPr>
                <w:color w:val="auto"/>
                <w:sz w:val="22"/>
                <w:szCs w:val="22"/>
              </w:rPr>
              <w:t>2.4.11</w:t>
            </w:r>
          </w:p>
        </w:tc>
        <w:tc>
          <w:tcPr>
            <w:tcW w:w="7994" w:type="dxa"/>
          </w:tcPr>
          <w:p w14:paraId="1DE35EF2">
            <w:pPr>
              <w:pStyle w:val="85"/>
              <w:jc w:val="both"/>
              <w:rPr>
                <w:color w:val="auto"/>
                <w:sz w:val="22"/>
                <w:szCs w:val="22"/>
              </w:rPr>
            </w:pPr>
            <w:r>
              <w:rPr>
                <w:color w:val="auto"/>
                <w:sz w:val="22"/>
                <w:szCs w:val="22"/>
              </w:rPr>
              <w:t>Наречия частотности (usually, often)</w:t>
            </w:r>
          </w:p>
        </w:tc>
      </w:tr>
      <w:tr w14:paraId="3D442C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077" w:type="dxa"/>
          </w:tcPr>
          <w:p w14:paraId="0CB09214">
            <w:pPr>
              <w:pStyle w:val="85"/>
              <w:jc w:val="center"/>
              <w:rPr>
                <w:color w:val="auto"/>
                <w:sz w:val="22"/>
                <w:szCs w:val="22"/>
              </w:rPr>
            </w:pPr>
            <w:r>
              <w:rPr>
                <w:color w:val="auto"/>
                <w:sz w:val="22"/>
                <w:szCs w:val="22"/>
              </w:rPr>
              <w:t>2.4.12</w:t>
            </w:r>
          </w:p>
        </w:tc>
        <w:tc>
          <w:tcPr>
            <w:tcW w:w="7994" w:type="dxa"/>
          </w:tcPr>
          <w:p w14:paraId="3E43BA20">
            <w:pPr>
              <w:pStyle w:val="85"/>
              <w:jc w:val="both"/>
              <w:rPr>
                <w:color w:val="auto"/>
                <w:sz w:val="22"/>
                <w:szCs w:val="22"/>
              </w:rPr>
            </w:pPr>
            <w:r>
              <w:rPr>
                <w:color w:val="auto"/>
                <w:sz w:val="22"/>
                <w:szCs w:val="22"/>
              </w:rPr>
              <w:t>Количественные числительные (13 - 100). Порядковые числительные (1 - 30)</w:t>
            </w:r>
          </w:p>
        </w:tc>
      </w:tr>
      <w:tr w14:paraId="48ACD7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077" w:type="dxa"/>
          </w:tcPr>
          <w:p w14:paraId="6DBB8A47">
            <w:pPr>
              <w:pStyle w:val="85"/>
              <w:jc w:val="center"/>
              <w:rPr>
                <w:color w:val="auto"/>
                <w:sz w:val="22"/>
                <w:szCs w:val="22"/>
              </w:rPr>
            </w:pPr>
            <w:r>
              <w:rPr>
                <w:color w:val="auto"/>
                <w:sz w:val="22"/>
                <w:szCs w:val="22"/>
              </w:rPr>
              <w:t>2.4.13</w:t>
            </w:r>
          </w:p>
        </w:tc>
        <w:tc>
          <w:tcPr>
            <w:tcW w:w="7994" w:type="dxa"/>
          </w:tcPr>
          <w:p w14:paraId="21EE6554">
            <w:pPr>
              <w:pStyle w:val="85"/>
              <w:jc w:val="both"/>
              <w:rPr>
                <w:color w:val="auto"/>
                <w:sz w:val="22"/>
                <w:szCs w:val="22"/>
              </w:rPr>
            </w:pPr>
            <w:r>
              <w:rPr>
                <w:color w:val="auto"/>
                <w:sz w:val="22"/>
                <w:szCs w:val="22"/>
              </w:rPr>
              <w:t>Вопросительные слова (when, whose, why)</w:t>
            </w:r>
          </w:p>
        </w:tc>
      </w:tr>
      <w:tr w14:paraId="1EC683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077" w:type="dxa"/>
          </w:tcPr>
          <w:p w14:paraId="0237E1DB">
            <w:pPr>
              <w:pStyle w:val="85"/>
              <w:jc w:val="center"/>
              <w:rPr>
                <w:color w:val="auto"/>
                <w:sz w:val="22"/>
                <w:szCs w:val="22"/>
              </w:rPr>
            </w:pPr>
            <w:r>
              <w:rPr>
                <w:color w:val="auto"/>
                <w:sz w:val="22"/>
                <w:szCs w:val="22"/>
              </w:rPr>
              <w:t>2.4.14</w:t>
            </w:r>
          </w:p>
        </w:tc>
        <w:tc>
          <w:tcPr>
            <w:tcW w:w="7994" w:type="dxa"/>
          </w:tcPr>
          <w:p w14:paraId="1A2F4C0F">
            <w:pPr>
              <w:pStyle w:val="85"/>
              <w:jc w:val="both"/>
              <w:rPr>
                <w:color w:val="auto"/>
                <w:sz w:val="22"/>
                <w:szCs w:val="22"/>
                <w:lang w:val="en-US"/>
              </w:rPr>
            </w:pPr>
            <w:r>
              <w:rPr>
                <w:color w:val="auto"/>
                <w:sz w:val="22"/>
                <w:szCs w:val="22"/>
              </w:rPr>
              <w:t>Предлоги</w:t>
            </w:r>
            <w:r>
              <w:rPr>
                <w:color w:val="auto"/>
                <w:sz w:val="22"/>
                <w:szCs w:val="22"/>
                <w:lang w:val="en-US"/>
              </w:rPr>
              <w:t xml:space="preserve"> </w:t>
            </w:r>
            <w:r>
              <w:rPr>
                <w:color w:val="auto"/>
                <w:sz w:val="22"/>
                <w:szCs w:val="22"/>
              </w:rPr>
              <w:t>места</w:t>
            </w:r>
            <w:r>
              <w:rPr>
                <w:color w:val="auto"/>
                <w:sz w:val="22"/>
                <w:szCs w:val="22"/>
                <w:lang w:val="en-US"/>
              </w:rPr>
              <w:t xml:space="preserve"> (next to, in front of, behind), </w:t>
            </w:r>
            <w:r>
              <w:rPr>
                <w:color w:val="auto"/>
                <w:sz w:val="22"/>
                <w:szCs w:val="22"/>
              </w:rPr>
              <w:t>направления</w:t>
            </w:r>
            <w:r>
              <w:rPr>
                <w:color w:val="auto"/>
                <w:sz w:val="22"/>
                <w:szCs w:val="22"/>
                <w:lang w:val="en-US"/>
              </w:rPr>
              <w:t xml:space="preserve"> (to), </w:t>
            </w:r>
            <w:r>
              <w:rPr>
                <w:color w:val="auto"/>
                <w:sz w:val="22"/>
                <w:szCs w:val="22"/>
              </w:rPr>
              <w:t>времени</w:t>
            </w:r>
            <w:r>
              <w:rPr>
                <w:color w:val="auto"/>
                <w:sz w:val="22"/>
                <w:szCs w:val="22"/>
                <w:lang w:val="en-US"/>
              </w:rPr>
              <w:t xml:space="preserve"> (at, in, on </w:t>
            </w:r>
            <w:r>
              <w:rPr>
                <w:color w:val="auto"/>
                <w:sz w:val="22"/>
                <w:szCs w:val="22"/>
              </w:rPr>
              <w:t>в</w:t>
            </w:r>
            <w:r>
              <w:rPr>
                <w:color w:val="auto"/>
                <w:sz w:val="22"/>
                <w:szCs w:val="22"/>
                <w:lang w:val="en-US"/>
              </w:rPr>
              <w:t xml:space="preserve"> </w:t>
            </w:r>
            <w:r>
              <w:rPr>
                <w:color w:val="auto"/>
                <w:sz w:val="22"/>
                <w:szCs w:val="22"/>
              </w:rPr>
              <w:t>выражениях</w:t>
            </w:r>
            <w:r>
              <w:rPr>
                <w:color w:val="auto"/>
                <w:sz w:val="22"/>
                <w:szCs w:val="22"/>
                <w:lang w:val="en-US"/>
              </w:rPr>
              <w:t xml:space="preserve"> at 5 o'clock, in the morning, on Monday)</w:t>
            </w:r>
          </w:p>
        </w:tc>
      </w:tr>
      <w:tr w14:paraId="5CDD0B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077" w:type="dxa"/>
          </w:tcPr>
          <w:p w14:paraId="0F2437A9">
            <w:pPr>
              <w:pStyle w:val="85"/>
              <w:jc w:val="center"/>
              <w:rPr>
                <w:color w:val="auto"/>
                <w:sz w:val="22"/>
                <w:szCs w:val="22"/>
              </w:rPr>
            </w:pPr>
            <w:r>
              <w:rPr>
                <w:color w:val="auto"/>
                <w:sz w:val="22"/>
                <w:szCs w:val="22"/>
              </w:rPr>
              <w:t>3</w:t>
            </w:r>
          </w:p>
        </w:tc>
        <w:tc>
          <w:tcPr>
            <w:tcW w:w="7994" w:type="dxa"/>
          </w:tcPr>
          <w:p w14:paraId="12608B58">
            <w:pPr>
              <w:pStyle w:val="85"/>
              <w:jc w:val="both"/>
              <w:rPr>
                <w:color w:val="auto"/>
                <w:sz w:val="22"/>
                <w:szCs w:val="22"/>
              </w:rPr>
            </w:pPr>
            <w:r>
              <w:rPr>
                <w:color w:val="auto"/>
                <w:sz w:val="22"/>
                <w:szCs w:val="22"/>
              </w:rPr>
              <w:t>Социокультурные знания и умения</w:t>
            </w:r>
          </w:p>
        </w:tc>
      </w:tr>
      <w:tr w14:paraId="08851F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077" w:type="dxa"/>
          </w:tcPr>
          <w:p w14:paraId="6C65B336">
            <w:pPr>
              <w:pStyle w:val="85"/>
              <w:jc w:val="center"/>
              <w:rPr>
                <w:color w:val="auto"/>
                <w:sz w:val="22"/>
                <w:szCs w:val="22"/>
              </w:rPr>
            </w:pPr>
            <w:r>
              <w:rPr>
                <w:color w:val="auto"/>
                <w:sz w:val="22"/>
                <w:szCs w:val="22"/>
              </w:rPr>
              <w:t>3.1</w:t>
            </w:r>
          </w:p>
        </w:tc>
        <w:tc>
          <w:tcPr>
            <w:tcW w:w="7994" w:type="dxa"/>
          </w:tcPr>
          <w:p w14:paraId="0C9BFFA4">
            <w:pPr>
              <w:pStyle w:val="85"/>
              <w:jc w:val="both"/>
              <w:rPr>
                <w:color w:val="auto"/>
                <w:sz w:val="22"/>
                <w:szCs w:val="22"/>
              </w:rPr>
            </w:pPr>
            <w:r>
              <w:rPr>
                <w:color w:val="auto"/>
                <w:sz w:val="22"/>
                <w:szCs w:val="22"/>
              </w:rPr>
              <w:t>Знание и использование некоторых социокультурных элементов речевого поведенческого этикета, принятого в стране (странах) изучаемого языка в некоторых ситуациях общения: приветствие, прощание, знакомство, выражение благодарности, извинение, поздравление с днем рождения, Новым годом, Рождеством</w:t>
            </w:r>
          </w:p>
        </w:tc>
      </w:tr>
      <w:tr w14:paraId="6B9685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077" w:type="dxa"/>
          </w:tcPr>
          <w:p w14:paraId="70DAB19A">
            <w:pPr>
              <w:pStyle w:val="85"/>
              <w:jc w:val="center"/>
              <w:rPr>
                <w:color w:val="auto"/>
                <w:sz w:val="22"/>
                <w:szCs w:val="22"/>
              </w:rPr>
            </w:pPr>
            <w:r>
              <w:rPr>
                <w:color w:val="auto"/>
                <w:sz w:val="22"/>
                <w:szCs w:val="22"/>
              </w:rPr>
              <w:t>3.2</w:t>
            </w:r>
          </w:p>
        </w:tc>
        <w:tc>
          <w:tcPr>
            <w:tcW w:w="7994" w:type="dxa"/>
          </w:tcPr>
          <w:p w14:paraId="267CA1D9">
            <w:pPr>
              <w:pStyle w:val="85"/>
              <w:jc w:val="both"/>
              <w:rPr>
                <w:color w:val="auto"/>
                <w:sz w:val="22"/>
                <w:szCs w:val="22"/>
              </w:rPr>
            </w:pPr>
            <w:r>
              <w:rPr>
                <w:color w:val="auto"/>
                <w:sz w:val="22"/>
                <w:szCs w:val="22"/>
              </w:rPr>
              <w:t>Знание произведений детского фольклора (рифмовок, стихов, песенок), персонажей детских книг</w:t>
            </w:r>
          </w:p>
        </w:tc>
      </w:tr>
      <w:tr w14:paraId="414285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077" w:type="dxa"/>
          </w:tcPr>
          <w:p w14:paraId="64BA6087">
            <w:pPr>
              <w:pStyle w:val="85"/>
              <w:jc w:val="center"/>
              <w:rPr>
                <w:color w:val="auto"/>
                <w:sz w:val="22"/>
                <w:szCs w:val="22"/>
              </w:rPr>
            </w:pPr>
            <w:r>
              <w:rPr>
                <w:color w:val="auto"/>
                <w:sz w:val="22"/>
                <w:szCs w:val="22"/>
              </w:rPr>
              <w:t>3.3</w:t>
            </w:r>
          </w:p>
        </w:tc>
        <w:tc>
          <w:tcPr>
            <w:tcW w:w="7994" w:type="dxa"/>
          </w:tcPr>
          <w:p w14:paraId="450E56DF">
            <w:pPr>
              <w:pStyle w:val="85"/>
              <w:jc w:val="both"/>
              <w:rPr>
                <w:color w:val="auto"/>
                <w:sz w:val="22"/>
                <w:szCs w:val="22"/>
              </w:rPr>
            </w:pPr>
            <w:r>
              <w:rPr>
                <w:color w:val="auto"/>
                <w:sz w:val="22"/>
                <w:szCs w:val="22"/>
              </w:rPr>
              <w:t>Краткое представление своей страны и страны (стран) изучаемого языка (названия родной страны и страны (стран) изучаемого языка и их столиц, название родного населенного пункта, цвета национальных флагов)</w:t>
            </w:r>
          </w:p>
        </w:tc>
      </w:tr>
      <w:tr w14:paraId="0C8590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077" w:type="dxa"/>
          </w:tcPr>
          <w:p w14:paraId="5483C006">
            <w:pPr>
              <w:pStyle w:val="85"/>
              <w:jc w:val="center"/>
              <w:rPr>
                <w:color w:val="auto"/>
                <w:sz w:val="22"/>
                <w:szCs w:val="22"/>
              </w:rPr>
            </w:pPr>
            <w:r>
              <w:rPr>
                <w:color w:val="auto"/>
                <w:sz w:val="22"/>
                <w:szCs w:val="22"/>
              </w:rPr>
              <w:t>4</w:t>
            </w:r>
          </w:p>
        </w:tc>
        <w:tc>
          <w:tcPr>
            <w:tcW w:w="7994" w:type="dxa"/>
          </w:tcPr>
          <w:p w14:paraId="316112D5">
            <w:pPr>
              <w:pStyle w:val="85"/>
              <w:jc w:val="both"/>
              <w:rPr>
                <w:color w:val="auto"/>
                <w:sz w:val="22"/>
                <w:szCs w:val="22"/>
              </w:rPr>
            </w:pPr>
            <w:r>
              <w:rPr>
                <w:color w:val="auto"/>
                <w:sz w:val="22"/>
                <w:szCs w:val="22"/>
              </w:rPr>
              <w:t>Компенсаторные умения</w:t>
            </w:r>
          </w:p>
        </w:tc>
      </w:tr>
      <w:tr w14:paraId="3FE8CA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077" w:type="dxa"/>
          </w:tcPr>
          <w:p w14:paraId="3904A9B8">
            <w:pPr>
              <w:pStyle w:val="85"/>
              <w:jc w:val="center"/>
              <w:rPr>
                <w:color w:val="auto"/>
                <w:sz w:val="22"/>
                <w:szCs w:val="22"/>
              </w:rPr>
            </w:pPr>
            <w:r>
              <w:rPr>
                <w:color w:val="auto"/>
                <w:sz w:val="22"/>
                <w:szCs w:val="22"/>
              </w:rPr>
              <w:t>4.1</w:t>
            </w:r>
          </w:p>
        </w:tc>
        <w:tc>
          <w:tcPr>
            <w:tcW w:w="7994" w:type="dxa"/>
          </w:tcPr>
          <w:p w14:paraId="2BE32F40">
            <w:pPr>
              <w:pStyle w:val="85"/>
              <w:jc w:val="both"/>
              <w:rPr>
                <w:color w:val="auto"/>
                <w:sz w:val="22"/>
                <w:szCs w:val="22"/>
              </w:rPr>
            </w:pPr>
            <w:r>
              <w:rPr>
                <w:color w:val="auto"/>
                <w:sz w:val="22"/>
                <w:szCs w:val="22"/>
              </w:rPr>
              <w:t>Использование при чтении и аудировании языковой, в том числе контекстуальной, догадки</w:t>
            </w:r>
          </w:p>
        </w:tc>
      </w:tr>
      <w:tr w14:paraId="17B749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077" w:type="dxa"/>
          </w:tcPr>
          <w:p w14:paraId="5C2417BB">
            <w:pPr>
              <w:pStyle w:val="85"/>
              <w:jc w:val="center"/>
              <w:rPr>
                <w:color w:val="auto"/>
                <w:sz w:val="22"/>
                <w:szCs w:val="22"/>
              </w:rPr>
            </w:pPr>
            <w:r>
              <w:rPr>
                <w:color w:val="auto"/>
                <w:sz w:val="22"/>
                <w:szCs w:val="22"/>
              </w:rPr>
              <w:t>4.2</w:t>
            </w:r>
          </w:p>
        </w:tc>
        <w:tc>
          <w:tcPr>
            <w:tcW w:w="7994" w:type="dxa"/>
          </w:tcPr>
          <w:p w14:paraId="58BF035D">
            <w:pPr>
              <w:pStyle w:val="85"/>
              <w:jc w:val="both"/>
              <w:rPr>
                <w:color w:val="auto"/>
                <w:sz w:val="22"/>
                <w:szCs w:val="22"/>
              </w:rPr>
            </w:pPr>
            <w:r>
              <w:rPr>
                <w:color w:val="auto"/>
                <w:sz w:val="22"/>
                <w:szCs w:val="22"/>
              </w:rPr>
              <w:t>Использование при формулировании собственных высказываний ключевых слов, вопросов; иллюстраций</w:t>
            </w:r>
          </w:p>
        </w:tc>
      </w:tr>
      <w:tr w14:paraId="74180C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077" w:type="dxa"/>
          </w:tcPr>
          <w:p w14:paraId="41947C35">
            <w:pPr>
              <w:pStyle w:val="85"/>
              <w:jc w:val="center"/>
              <w:rPr>
                <w:color w:val="auto"/>
                <w:sz w:val="22"/>
                <w:szCs w:val="22"/>
              </w:rPr>
            </w:pPr>
            <w:r>
              <w:rPr>
                <w:color w:val="auto"/>
                <w:sz w:val="22"/>
                <w:szCs w:val="22"/>
              </w:rPr>
              <w:t>4.3</w:t>
            </w:r>
          </w:p>
        </w:tc>
        <w:tc>
          <w:tcPr>
            <w:tcW w:w="7994" w:type="dxa"/>
          </w:tcPr>
          <w:p w14:paraId="2472FBD6">
            <w:pPr>
              <w:pStyle w:val="85"/>
              <w:jc w:val="both"/>
              <w:rPr>
                <w:color w:val="auto"/>
                <w:sz w:val="22"/>
                <w:szCs w:val="22"/>
              </w:rPr>
            </w:pPr>
            <w:r>
              <w:rPr>
                <w:color w:val="auto"/>
                <w:sz w:val="22"/>
                <w:szCs w:val="22"/>
              </w:rPr>
              <w:t>Игнорирование информации, не являющейся необходимой для понимания основного содержания прочитанного (прослушанного) текста или для нахождения в тексте запрашиваемой информации</w:t>
            </w:r>
          </w:p>
        </w:tc>
      </w:tr>
      <w:tr w14:paraId="57EE3B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9071" w:type="dxa"/>
            <w:gridSpan w:val="2"/>
          </w:tcPr>
          <w:p w14:paraId="36346579">
            <w:pPr>
              <w:pStyle w:val="85"/>
              <w:jc w:val="both"/>
              <w:rPr>
                <w:color w:val="auto"/>
                <w:sz w:val="22"/>
                <w:szCs w:val="22"/>
              </w:rPr>
            </w:pPr>
            <w:r>
              <w:rPr>
                <w:color w:val="auto"/>
                <w:sz w:val="22"/>
                <w:szCs w:val="22"/>
              </w:rPr>
              <w:t>Тематическое содержание речи</w:t>
            </w:r>
          </w:p>
        </w:tc>
      </w:tr>
      <w:tr w14:paraId="2C571A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077" w:type="dxa"/>
          </w:tcPr>
          <w:p w14:paraId="1DA04920">
            <w:pPr>
              <w:pStyle w:val="85"/>
              <w:jc w:val="center"/>
              <w:rPr>
                <w:color w:val="auto"/>
                <w:sz w:val="22"/>
                <w:szCs w:val="22"/>
              </w:rPr>
            </w:pPr>
            <w:r>
              <w:rPr>
                <w:color w:val="auto"/>
                <w:sz w:val="22"/>
                <w:szCs w:val="22"/>
              </w:rPr>
              <w:t>А</w:t>
            </w:r>
          </w:p>
        </w:tc>
        <w:tc>
          <w:tcPr>
            <w:tcW w:w="7994" w:type="dxa"/>
          </w:tcPr>
          <w:p w14:paraId="7189C8B2">
            <w:pPr>
              <w:pStyle w:val="85"/>
              <w:jc w:val="both"/>
              <w:rPr>
                <w:color w:val="auto"/>
                <w:sz w:val="22"/>
                <w:szCs w:val="22"/>
              </w:rPr>
            </w:pPr>
            <w:r>
              <w:rPr>
                <w:color w:val="auto"/>
                <w:sz w:val="22"/>
                <w:szCs w:val="22"/>
              </w:rPr>
              <w:t>Мир моего "я". Моя семья. Мой день рождения. Моя любимая еда. Мой день (распорядок дня)</w:t>
            </w:r>
          </w:p>
        </w:tc>
      </w:tr>
      <w:tr w14:paraId="09F726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077" w:type="dxa"/>
          </w:tcPr>
          <w:p w14:paraId="1965C4F7">
            <w:pPr>
              <w:pStyle w:val="85"/>
              <w:jc w:val="center"/>
              <w:rPr>
                <w:color w:val="auto"/>
                <w:sz w:val="22"/>
                <w:szCs w:val="22"/>
              </w:rPr>
            </w:pPr>
            <w:r>
              <w:rPr>
                <w:color w:val="auto"/>
                <w:sz w:val="22"/>
                <w:szCs w:val="22"/>
              </w:rPr>
              <w:t>Б</w:t>
            </w:r>
          </w:p>
        </w:tc>
        <w:tc>
          <w:tcPr>
            <w:tcW w:w="7994" w:type="dxa"/>
          </w:tcPr>
          <w:p w14:paraId="0E6A220B">
            <w:pPr>
              <w:pStyle w:val="85"/>
              <w:jc w:val="both"/>
              <w:rPr>
                <w:color w:val="auto"/>
                <w:sz w:val="22"/>
                <w:szCs w:val="22"/>
              </w:rPr>
            </w:pPr>
            <w:r>
              <w:rPr>
                <w:color w:val="auto"/>
                <w:sz w:val="22"/>
                <w:szCs w:val="22"/>
              </w:rPr>
              <w:t>Мир моих увлечений. Любимая игрушка, игра. Мой питомец. Любимые занятия. Любимая сказка. Выходной день. Каникулы</w:t>
            </w:r>
          </w:p>
        </w:tc>
      </w:tr>
      <w:tr w14:paraId="7A9CC8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077" w:type="dxa"/>
          </w:tcPr>
          <w:p w14:paraId="35FCA6EA">
            <w:pPr>
              <w:pStyle w:val="85"/>
              <w:jc w:val="center"/>
              <w:rPr>
                <w:color w:val="auto"/>
                <w:sz w:val="22"/>
                <w:szCs w:val="22"/>
              </w:rPr>
            </w:pPr>
            <w:r>
              <w:rPr>
                <w:color w:val="auto"/>
                <w:sz w:val="22"/>
                <w:szCs w:val="22"/>
              </w:rPr>
              <w:t>В</w:t>
            </w:r>
          </w:p>
        </w:tc>
        <w:tc>
          <w:tcPr>
            <w:tcW w:w="7994" w:type="dxa"/>
          </w:tcPr>
          <w:p w14:paraId="0A39A0BF">
            <w:pPr>
              <w:pStyle w:val="85"/>
              <w:jc w:val="both"/>
              <w:rPr>
                <w:color w:val="auto"/>
                <w:sz w:val="22"/>
                <w:szCs w:val="22"/>
              </w:rPr>
            </w:pPr>
            <w:r>
              <w:rPr>
                <w:color w:val="auto"/>
                <w:sz w:val="22"/>
                <w:szCs w:val="22"/>
              </w:rPr>
              <w:t>Мир вокруг меня. Моя комната (квартира, дом). Моя школа. Мои друзья. Моя малая родина (город, село). Дикие и домашние животные. Погода. Времена года (месяцы)</w:t>
            </w:r>
          </w:p>
        </w:tc>
      </w:tr>
      <w:tr w14:paraId="7E5573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077" w:type="dxa"/>
          </w:tcPr>
          <w:p w14:paraId="14636825">
            <w:pPr>
              <w:pStyle w:val="85"/>
              <w:jc w:val="center"/>
              <w:rPr>
                <w:color w:val="auto"/>
                <w:sz w:val="22"/>
                <w:szCs w:val="22"/>
              </w:rPr>
            </w:pPr>
            <w:r>
              <w:rPr>
                <w:color w:val="auto"/>
                <w:sz w:val="22"/>
                <w:szCs w:val="22"/>
              </w:rPr>
              <w:t>Г</w:t>
            </w:r>
          </w:p>
        </w:tc>
        <w:tc>
          <w:tcPr>
            <w:tcW w:w="7994" w:type="dxa"/>
          </w:tcPr>
          <w:p w14:paraId="06681176">
            <w:pPr>
              <w:pStyle w:val="85"/>
              <w:jc w:val="both"/>
              <w:rPr>
                <w:color w:val="auto"/>
                <w:sz w:val="22"/>
                <w:szCs w:val="22"/>
              </w:rPr>
            </w:pPr>
            <w:r>
              <w:rPr>
                <w:color w:val="auto"/>
                <w:sz w:val="22"/>
                <w:szCs w:val="22"/>
              </w:rPr>
              <w:t>Родная страна и страны изучаемого языка. Россия и страна (страны) изучаемого языка. Их столицы, достопримечательности и интересные факты. Произведения детского фольклора. Литературные персонажи детских книг. Праздники родной страны и страны (стран) изучаемого языка</w:t>
            </w:r>
          </w:p>
        </w:tc>
      </w:tr>
    </w:tbl>
    <w:p w14:paraId="7B62980E">
      <w:pPr>
        <w:pStyle w:val="85"/>
        <w:jc w:val="both"/>
        <w:rPr>
          <w:color w:val="auto"/>
          <w:sz w:val="22"/>
          <w:szCs w:val="22"/>
        </w:rPr>
      </w:pPr>
    </w:p>
    <w:p w14:paraId="160D4055">
      <w:pPr>
        <w:pStyle w:val="85"/>
        <w:jc w:val="right"/>
        <w:rPr>
          <w:color w:val="auto"/>
          <w:sz w:val="22"/>
          <w:szCs w:val="22"/>
        </w:rPr>
      </w:pPr>
      <w:r>
        <w:rPr>
          <w:color w:val="auto"/>
          <w:sz w:val="22"/>
          <w:szCs w:val="22"/>
        </w:rPr>
        <w:t>Таблица 6.4</w:t>
      </w:r>
    </w:p>
    <w:p w14:paraId="5547497E">
      <w:pPr>
        <w:pStyle w:val="85"/>
        <w:jc w:val="both"/>
        <w:rPr>
          <w:color w:val="auto"/>
          <w:sz w:val="22"/>
          <w:szCs w:val="22"/>
        </w:rPr>
      </w:pPr>
    </w:p>
    <w:p w14:paraId="5A5F6FF2">
      <w:pPr>
        <w:pStyle w:val="85"/>
        <w:jc w:val="center"/>
        <w:rPr>
          <w:color w:val="auto"/>
          <w:sz w:val="22"/>
          <w:szCs w:val="22"/>
        </w:rPr>
      </w:pPr>
      <w:r>
        <w:rPr>
          <w:color w:val="auto"/>
          <w:sz w:val="22"/>
          <w:szCs w:val="22"/>
        </w:rPr>
        <w:t>Проверяемые требования к результатам освоения основной</w:t>
      </w:r>
    </w:p>
    <w:p w14:paraId="16C0FFEC">
      <w:pPr>
        <w:pStyle w:val="85"/>
        <w:jc w:val="center"/>
        <w:rPr>
          <w:color w:val="auto"/>
          <w:sz w:val="22"/>
          <w:szCs w:val="22"/>
        </w:rPr>
      </w:pPr>
      <w:r>
        <w:rPr>
          <w:color w:val="auto"/>
          <w:sz w:val="22"/>
          <w:szCs w:val="22"/>
        </w:rPr>
        <w:t>образовательной программы (4 класс)</w:t>
      </w:r>
    </w:p>
    <w:p w14:paraId="404D55A8">
      <w:pPr>
        <w:pStyle w:val="85"/>
        <w:jc w:val="both"/>
        <w:rPr>
          <w:color w:val="auto"/>
          <w:sz w:val="22"/>
          <w:szCs w:val="22"/>
        </w:rPr>
      </w:pPr>
    </w:p>
    <w:tbl>
      <w:tblPr>
        <w:tblStyle w:val="1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02" w:type="dxa"/>
          <w:left w:w="62" w:type="dxa"/>
          <w:bottom w:w="102" w:type="dxa"/>
          <w:right w:w="62" w:type="dxa"/>
        </w:tblCellMar>
      </w:tblPr>
      <w:tblGrid>
        <w:gridCol w:w="1701"/>
        <w:gridCol w:w="7370"/>
      </w:tblGrid>
      <w:tr w14:paraId="52BE0B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701" w:type="dxa"/>
          </w:tcPr>
          <w:p w14:paraId="4B5B3E6A">
            <w:pPr>
              <w:pStyle w:val="85"/>
              <w:jc w:val="center"/>
              <w:rPr>
                <w:color w:val="auto"/>
                <w:sz w:val="22"/>
                <w:szCs w:val="22"/>
              </w:rPr>
            </w:pPr>
            <w:r>
              <w:rPr>
                <w:color w:val="auto"/>
                <w:sz w:val="22"/>
                <w:szCs w:val="22"/>
              </w:rPr>
              <w:t>Код проверяемого результата</w:t>
            </w:r>
          </w:p>
        </w:tc>
        <w:tc>
          <w:tcPr>
            <w:tcW w:w="7370" w:type="dxa"/>
          </w:tcPr>
          <w:p w14:paraId="00CD2ACE">
            <w:pPr>
              <w:pStyle w:val="85"/>
              <w:jc w:val="center"/>
              <w:rPr>
                <w:color w:val="auto"/>
                <w:sz w:val="22"/>
                <w:szCs w:val="22"/>
              </w:rPr>
            </w:pPr>
            <w:r>
              <w:rPr>
                <w:color w:val="auto"/>
                <w:sz w:val="22"/>
                <w:szCs w:val="22"/>
              </w:rPr>
              <w:t>Проверяемые предметные результаты освоения основной образовательной программы начального общего образования</w:t>
            </w:r>
          </w:p>
        </w:tc>
      </w:tr>
      <w:tr w14:paraId="1F2ECF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701" w:type="dxa"/>
          </w:tcPr>
          <w:p w14:paraId="7748C243">
            <w:pPr>
              <w:pStyle w:val="85"/>
              <w:jc w:val="center"/>
              <w:rPr>
                <w:color w:val="auto"/>
                <w:sz w:val="22"/>
                <w:szCs w:val="22"/>
              </w:rPr>
            </w:pPr>
            <w:r>
              <w:rPr>
                <w:color w:val="auto"/>
                <w:sz w:val="22"/>
                <w:szCs w:val="22"/>
              </w:rPr>
              <w:t>1</w:t>
            </w:r>
          </w:p>
        </w:tc>
        <w:tc>
          <w:tcPr>
            <w:tcW w:w="7370" w:type="dxa"/>
          </w:tcPr>
          <w:p w14:paraId="4BE07956">
            <w:pPr>
              <w:pStyle w:val="85"/>
              <w:jc w:val="both"/>
              <w:rPr>
                <w:color w:val="auto"/>
                <w:sz w:val="22"/>
                <w:szCs w:val="22"/>
              </w:rPr>
            </w:pPr>
            <w:r>
              <w:rPr>
                <w:color w:val="auto"/>
                <w:sz w:val="22"/>
                <w:szCs w:val="22"/>
              </w:rPr>
              <w:t>Коммуникативные умения</w:t>
            </w:r>
          </w:p>
        </w:tc>
      </w:tr>
      <w:tr w14:paraId="767C5A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701" w:type="dxa"/>
          </w:tcPr>
          <w:p w14:paraId="704B370C">
            <w:pPr>
              <w:pStyle w:val="85"/>
              <w:jc w:val="center"/>
              <w:rPr>
                <w:color w:val="auto"/>
                <w:sz w:val="22"/>
                <w:szCs w:val="22"/>
              </w:rPr>
            </w:pPr>
            <w:r>
              <w:rPr>
                <w:color w:val="auto"/>
                <w:sz w:val="22"/>
                <w:szCs w:val="22"/>
              </w:rPr>
              <w:t>1.1</w:t>
            </w:r>
          </w:p>
        </w:tc>
        <w:tc>
          <w:tcPr>
            <w:tcW w:w="7370" w:type="dxa"/>
          </w:tcPr>
          <w:p w14:paraId="3C45BF8E">
            <w:pPr>
              <w:pStyle w:val="85"/>
              <w:jc w:val="both"/>
              <w:rPr>
                <w:color w:val="auto"/>
                <w:sz w:val="22"/>
                <w:szCs w:val="22"/>
              </w:rPr>
            </w:pPr>
            <w:r>
              <w:rPr>
                <w:color w:val="auto"/>
                <w:sz w:val="22"/>
                <w:szCs w:val="22"/>
              </w:rPr>
              <w:t>Говорение</w:t>
            </w:r>
          </w:p>
        </w:tc>
      </w:tr>
      <w:tr w14:paraId="76F9CD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701" w:type="dxa"/>
          </w:tcPr>
          <w:p w14:paraId="3C403331">
            <w:pPr>
              <w:pStyle w:val="85"/>
              <w:jc w:val="center"/>
              <w:rPr>
                <w:color w:val="auto"/>
                <w:sz w:val="22"/>
                <w:szCs w:val="22"/>
              </w:rPr>
            </w:pPr>
            <w:r>
              <w:rPr>
                <w:color w:val="auto"/>
                <w:sz w:val="22"/>
                <w:szCs w:val="22"/>
              </w:rPr>
              <w:t>1.1.1</w:t>
            </w:r>
          </w:p>
        </w:tc>
        <w:tc>
          <w:tcPr>
            <w:tcW w:w="7370" w:type="dxa"/>
          </w:tcPr>
          <w:p w14:paraId="1052E391">
            <w:pPr>
              <w:pStyle w:val="85"/>
              <w:jc w:val="both"/>
              <w:rPr>
                <w:color w:val="auto"/>
                <w:sz w:val="22"/>
                <w:szCs w:val="22"/>
              </w:rPr>
            </w:pPr>
            <w:r>
              <w:rPr>
                <w:color w:val="auto"/>
                <w:sz w:val="22"/>
                <w:szCs w:val="22"/>
              </w:rPr>
              <w:t>Диалогическая речь</w:t>
            </w:r>
          </w:p>
        </w:tc>
      </w:tr>
      <w:tr w14:paraId="4E5794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701" w:type="dxa"/>
          </w:tcPr>
          <w:p w14:paraId="2C7A3005">
            <w:pPr>
              <w:pStyle w:val="85"/>
              <w:jc w:val="center"/>
              <w:rPr>
                <w:color w:val="auto"/>
                <w:sz w:val="22"/>
                <w:szCs w:val="22"/>
              </w:rPr>
            </w:pPr>
            <w:r>
              <w:rPr>
                <w:color w:val="auto"/>
                <w:sz w:val="22"/>
                <w:szCs w:val="22"/>
              </w:rPr>
              <w:t>1.1.1.1</w:t>
            </w:r>
          </w:p>
        </w:tc>
        <w:tc>
          <w:tcPr>
            <w:tcW w:w="7370" w:type="dxa"/>
          </w:tcPr>
          <w:p w14:paraId="719D730E">
            <w:pPr>
              <w:pStyle w:val="85"/>
              <w:jc w:val="both"/>
              <w:rPr>
                <w:color w:val="auto"/>
                <w:sz w:val="22"/>
                <w:szCs w:val="22"/>
              </w:rPr>
            </w:pPr>
            <w:r>
              <w:rPr>
                <w:color w:val="auto"/>
                <w:sz w:val="22"/>
                <w:szCs w:val="22"/>
              </w:rPr>
              <w:t>Вести диалог этикетного характера на основе вербальных и (или) зрительных опор с соблюдением правил речевого этикета, принятых в стране (странах) изучаемого языка (не менее 4 - 5 реплик со стороны каждого собеседника)</w:t>
            </w:r>
          </w:p>
        </w:tc>
      </w:tr>
      <w:tr w14:paraId="396EE1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701" w:type="dxa"/>
          </w:tcPr>
          <w:p w14:paraId="11169585">
            <w:pPr>
              <w:pStyle w:val="85"/>
              <w:jc w:val="center"/>
              <w:rPr>
                <w:color w:val="auto"/>
                <w:sz w:val="22"/>
                <w:szCs w:val="22"/>
              </w:rPr>
            </w:pPr>
            <w:r>
              <w:rPr>
                <w:color w:val="auto"/>
                <w:sz w:val="22"/>
                <w:szCs w:val="22"/>
              </w:rPr>
              <w:t>1.1.1.2</w:t>
            </w:r>
          </w:p>
        </w:tc>
        <w:tc>
          <w:tcPr>
            <w:tcW w:w="7370" w:type="dxa"/>
          </w:tcPr>
          <w:p w14:paraId="72B90895">
            <w:pPr>
              <w:pStyle w:val="85"/>
              <w:jc w:val="both"/>
              <w:rPr>
                <w:color w:val="auto"/>
                <w:sz w:val="22"/>
                <w:szCs w:val="22"/>
              </w:rPr>
            </w:pPr>
            <w:r>
              <w:rPr>
                <w:color w:val="auto"/>
                <w:sz w:val="22"/>
                <w:szCs w:val="22"/>
              </w:rPr>
              <w:t>Вести диалог-расспрос на основе вербальных и (или) зрительных опор с соблюдением правил речевого этикета, принятых в стране (странах) изучаемого языка (не менее 4 - 5 реплик со стороны каждого собеседника)</w:t>
            </w:r>
          </w:p>
        </w:tc>
      </w:tr>
      <w:tr w14:paraId="28E39A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701" w:type="dxa"/>
          </w:tcPr>
          <w:p w14:paraId="6C8602C3">
            <w:pPr>
              <w:pStyle w:val="85"/>
              <w:jc w:val="center"/>
              <w:rPr>
                <w:color w:val="auto"/>
                <w:sz w:val="22"/>
                <w:szCs w:val="22"/>
              </w:rPr>
            </w:pPr>
            <w:r>
              <w:rPr>
                <w:color w:val="auto"/>
                <w:sz w:val="22"/>
                <w:szCs w:val="22"/>
              </w:rPr>
              <w:t>1.1.1.3</w:t>
            </w:r>
          </w:p>
        </w:tc>
        <w:tc>
          <w:tcPr>
            <w:tcW w:w="7370" w:type="dxa"/>
          </w:tcPr>
          <w:p w14:paraId="149440E6">
            <w:pPr>
              <w:pStyle w:val="85"/>
              <w:jc w:val="both"/>
              <w:rPr>
                <w:color w:val="auto"/>
                <w:sz w:val="22"/>
                <w:szCs w:val="22"/>
              </w:rPr>
            </w:pPr>
            <w:r>
              <w:rPr>
                <w:color w:val="auto"/>
                <w:sz w:val="22"/>
                <w:szCs w:val="22"/>
              </w:rPr>
              <w:t>Вести диалог-побуждение на основе вербальных и (или) зрительных опор с соблюдением правил речевого этикета, принятых в стране (странах) изучаемого языка (не менее 4 - 5 реплик со стороны каждого собеседника)</w:t>
            </w:r>
          </w:p>
        </w:tc>
      </w:tr>
      <w:tr w14:paraId="7DBACA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701" w:type="dxa"/>
          </w:tcPr>
          <w:p w14:paraId="0BA36CAA">
            <w:pPr>
              <w:pStyle w:val="85"/>
              <w:jc w:val="center"/>
              <w:rPr>
                <w:color w:val="auto"/>
                <w:sz w:val="22"/>
                <w:szCs w:val="22"/>
              </w:rPr>
            </w:pPr>
            <w:r>
              <w:rPr>
                <w:color w:val="auto"/>
                <w:sz w:val="22"/>
                <w:szCs w:val="22"/>
              </w:rPr>
              <w:t>1.1.1.4</w:t>
            </w:r>
          </w:p>
        </w:tc>
        <w:tc>
          <w:tcPr>
            <w:tcW w:w="7370" w:type="dxa"/>
          </w:tcPr>
          <w:p w14:paraId="536A0CC0">
            <w:pPr>
              <w:pStyle w:val="85"/>
              <w:jc w:val="both"/>
              <w:rPr>
                <w:color w:val="auto"/>
                <w:sz w:val="22"/>
                <w:szCs w:val="22"/>
              </w:rPr>
            </w:pPr>
            <w:r>
              <w:rPr>
                <w:color w:val="auto"/>
                <w:sz w:val="22"/>
                <w:szCs w:val="22"/>
              </w:rPr>
              <w:t>Вести диалог - разговор по телефону с использованием картинки, фотографии и (или) ключевых слов в стандартных ситуациях неофициального общения с соблюдением норм речевого этикета в объеме не менее 4 - 5 реплик со стороны каждого собеседника</w:t>
            </w:r>
          </w:p>
        </w:tc>
      </w:tr>
      <w:tr w14:paraId="67A92B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701" w:type="dxa"/>
          </w:tcPr>
          <w:p w14:paraId="2F928CD0">
            <w:pPr>
              <w:pStyle w:val="85"/>
              <w:jc w:val="center"/>
              <w:rPr>
                <w:color w:val="auto"/>
                <w:sz w:val="22"/>
                <w:szCs w:val="22"/>
              </w:rPr>
            </w:pPr>
            <w:r>
              <w:rPr>
                <w:color w:val="auto"/>
                <w:sz w:val="22"/>
                <w:szCs w:val="22"/>
              </w:rPr>
              <w:t>1.1.2</w:t>
            </w:r>
          </w:p>
        </w:tc>
        <w:tc>
          <w:tcPr>
            <w:tcW w:w="7370" w:type="dxa"/>
          </w:tcPr>
          <w:p w14:paraId="55F8AA8C">
            <w:pPr>
              <w:pStyle w:val="85"/>
              <w:jc w:val="both"/>
              <w:rPr>
                <w:color w:val="auto"/>
                <w:sz w:val="22"/>
                <w:szCs w:val="22"/>
              </w:rPr>
            </w:pPr>
            <w:r>
              <w:rPr>
                <w:color w:val="auto"/>
                <w:sz w:val="22"/>
                <w:szCs w:val="22"/>
              </w:rPr>
              <w:t>Монологическая речь</w:t>
            </w:r>
          </w:p>
        </w:tc>
      </w:tr>
      <w:tr w14:paraId="593BEB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701" w:type="dxa"/>
          </w:tcPr>
          <w:p w14:paraId="6448017C">
            <w:pPr>
              <w:pStyle w:val="85"/>
              <w:jc w:val="center"/>
              <w:rPr>
                <w:color w:val="auto"/>
                <w:sz w:val="22"/>
                <w:szCs w:val="22"/>
              </w:rPr>
            </w:pPr>
            <w:r>
              <w:rPr>
                <w:color w:val="auto"/>
                <w:sz w:val="22"/>
                <w:szCs w:val="22"/>
              </w:rPr>
              <w:t>1.1.2.1</w:t>
            </w:r>
          </w:p>
        </w:tc>
        <w:tc>
          <w:tcPr>
            <w:tcW w:w="7370" w:type="dxa"/>
          </w:tcPr>
          <w:p w14:paraId="1559EE7B">
            <w:pPr>
              <w:pStyle w:val="85"/>
              <w:jc w:val="both"/>
              <w:rPr>
                <w:color w:val="auto"/>
                <w:sz w:val="22"/>
                <w:szCs w:val="22"/>
              </w:rPr>
            </w:pPr>
            <w:r>
              <w:rPr>
                <w:color w:val="auto"/>
                <w:sz w:val="22"/>
                <w:szCs w:val="22"/>
              </w:rPr>
              <w:t>Создавать устные связные монологические высказывания (описание, рассуждение; повествование (сообщение) с вербальными и (или) зрительными опорами в рамках тематического содержания речи для 4 класса (объем монологического высказывания - не менее 4 - 5 фраз)</w:t>
            </w:r>
          </w:p>
        </w:tc>
      </w:tr>
      <w:tr w14:paraId="06A34E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701" w:type="dxa"/>
          </w:tcPr>
          <w:p w14:paraId="642BC2F2">
            <w:pPr>
              <w:pStyle w:val="85"/>
              <w:jc w:val="center"/>
              <w:rPr>
                <w:color w:val="auto"/>
                <w:sz w:val="22"/>
                <w:szCs w:val="22"/>
              </w:rPr>
            </w:pPr>
            <w:r>
              <w:rPr>
                <w:color w:val="auto"/>
                <w:sz w:val="22"/>
                <w:szCs w:val="22"/>
              </w:rPr>
              <w:t>1.1.2.2</w:t>
            </w:r>
          </w:p>
        </w:tc>
        <w:tc>
          <w:tcPr>
            <w:tcW w:w="7370" w:type="dxa"/>
          </w:tcPr>
          <w:p w14:paraId="37F8A989">
            <w:pPr>
              <w:pStyle w:val="85"/>
              <w:jc w:val="both"/>
              <w:rPr>
                <w:color w:val="auto"/>
                <w:sz w:val="22"/>
                <w:szCs w:val="22"/>
              </w:rPr>
            </w:pPr>
            <w:r>
              <w:rPr>
                <w:color w:val="auto"/>
                <w:sz w:val="22"/>
                <w:szCs w:val="22"/>
              </w:rPr>
              <w:t>Создавать устные связные монологические высказывания по образцу; выражать свое отношение к предмету речи</w:t>
            </w:r>
          </w:p>
        </w:tc>
      </w:tr>
      <w:tr w14:paraId="1B570C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701" w:type="dxa"/>
          </w:tcPr>
          <w:p w14:paraId="12DA40F6">
            <w:pPr>
              <w:pStyle w:val="85"/>
              <w:jc w:val="center"/>
              <w:rPr>
                <w:color w:val="auto"/>
                <w:sz w:val="22"/>
                <w:szCs w:val="22"/>
              </w:rPr>
            </w:pPr>
            <w:r>
              <w:rPr>
                <w:color w:val="auto"/>
                <w:sz w:val="22"/>
                <w:szCs w:val="22"/>
              </w:rPr>
              <w:t>1.1.2.3</w:t>
            </w:r>
          </w:p>
        </w:tc>
        <w:tc>
          <w:tcPr>
            <w:tcW w:w="7370" w:type="dxa"/>
          </w:tcPr>
          <w:p w14:paraId="52CD1834">
            <w:pPr>
              <w:pStyle w:val="85"/>
              <w:jc w:val="both"/>
              <w:rPr>
                <w:color w:val="auto"/>
                <w:sz w:val="22"/>
                <w:szCs w:val="22"/>
              </w:rPr>
            </w:pPr>
            <w:r>
              <w:rPr>
                <w:color w:val="auto"/>
                <w:sz w:val="22"/>
                <w:szCs w:val="22"/>
              </w:rPr>
              <w:t>Передавать основное содержание прочитанного текста с вербальными и (или) зрительными опорами в объеме не менее 4 - 5 фраз</w:t>
            </w:r>
          </w:p>
        </w:tc>
      </w:tr>
      <w:tr w14:paraId="084F32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701" w:type="dxa"/>
          </w:tcPr>
          <w:p w14:paraId="5C82A675">
            <w:pPr>
              <w:pStyle w:val="85"/>
              <w:jc w:val="center"/>
              <w:rPr>
                <w:color w:val="auto"/>
                <w:sz w:val="22"/>
                <w:szCs w:val="22"/>
              </w:rPr>
            </w:pPr>
            <w:r>
              <w:rPr>
                <w:color w:val="auto"/>
                <w:sz w:val="22"/>
                <w:szCs w:val="22"/>
              </w:rPr>
              <w:t>1.1.2.4</w:t>
            </w:r>
          </w:p>
        </w:tc>
        <w:tc>
          <w:tcPr>
            <w:tcW w:w="7370" w:type="dxa"/>
          </w:tcPr>
          <w:p w14:paraId="5AFD9394">
            <w:pPr>
              <w:pStyle w:val="85"/>
              <w:jc w:val="both"/>
              <w:rPr>
                <w:color w:val="auto"/>
                <w:sz w:val="22"/>
                <w:szCs w:val="22"/>
              </w:rPr>
            </w:pPr>
            <w:r>
              <w:rPr>
                <w:color w:val="auto"/>
                <w:sz w:val="22"/>
                <w:szCs w:val="22"/>
              </w:rPr>
              <w:t>Представлять результаты выполненной проектной работы, в том числе подбирая иллюстративный материал (рисунки, фото) к тексту выступления, в объеме не менее 4 - 5 фраз</w:t>
            </w:r>
          </w:p>
        </w:tc>
      </w:tr>
      <w:tr w14:paraId="6CDD66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701" w:type="dxa"/>
          </w:tcPr>
          <w:p w14:paraId="69760E61">
            <w:pPr>
              <w:pStyle w:val="85"/>
              <w:jc w:val="center"/>
              <w:rPr>
                <w:color w:val="auto"/>
                <w:sz w:val="22"/>
                <w:szCs w:val="22"/>
              </w:rPr>
            </w:pPr>
            <w:r>
              <w:rPr>
                <w:color w:val="auto"/>
                <w:sz w:val="22"/>
                <w:szCs w:val="22"/>
              </w:rPr>
              <w:t>1.2</w:t>
            </w:r>
          </w:p>
        </w:tc>
        <w:tc>
          <w:tcPr>
            <w:tcW w:w="7370" w:type="dxa"/>
          </w:tcPr>
          <w:p w14:paraId="3077B7DD">
            <w:pPr>
              <w:pStyle w:val="85"/>
              <w:jc w:val="both"/>
              <w:rPr>
                <w:color w:val="auto"/>
                <w:sz w:val="22"/>
                <w:szCs w:val="22"/>
              </w:rPr>
            </w:pPr>
            <w:r>
              <w:rPr>
                <w:color w:val="auto"/>
                <w:sz w:val="22"/>
                <w:szCs w:val="22"/>
              </w:rPr>
              <w:t>Аудирование</w:t>
            </w:r>
          </w:p>
        </w:tc>
      </w:tr>
      <w:tr w14:paraId="56F3E3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701" w:type="dxa"/>
          </w:tcPr>
          <w:p w14:paraId="77879B2A">
            <w:pPr>
              <w:pStyle w:val="85"/>
              <w:jc w:val="center"/>
              <w:rPr>
                <w:color w:val="auto"/>
                <w:sz w:val="22"/>
                <w:szCs w:val="22"/>
              </w:rPr>
            </w:pPr>
            <w:r>
              <w:rPr>
                <w:color w:val="auto"/>
                <w:sz w:val="22"/>
                <w:szCs w:val="22"/>
              </w:rPr>
              <w:t>1.2.1</w:t>
            </w:r>
          </w:p>
        </w:tc>
        <w:tc>
          <w:tcPr>
            <w:tcW w:w="7370" w:type="dxa"/>
          </w:tcPr>
          <w:p w14:paraId="594E4F75">
            <w:pPr>
              <w:pStyle w:val="85"/>
              <w:jc w:val="both"/>
              <w:rPr>
                <w:color w:val="auto"/>
                <w:sz w:val="22"/>
                <w:szCs w:val="22"/>
              </w:rPr>
            </w:pPr>
            <w:r>
              <w:rPr>
                <w:color w:val="auto"/>
                <w:sz w:val="22"/>
                <w:szCs w:val="22"/>
              </w:rPr>
              <w:t>Воспринимать на слух и понимать речь учителя и других обучающихся, вербально (невербально) реагировать на услышанное</w:t>
            </w:r>
          </w:p>
        </w:tc>
      </w:tr>
      <w:tr w14:paraId="1D34D5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701" w:type="dxa"/>
          </w:tcPr>
          <w:p w14:paraId="2156DF22">
            <w:pPr>
              <w:pStyle w:val="85"/>
              <w:jc w:val="center"/>
              <w:rPr>
                <w:color w:val="auto"/>
                <w:sz w:val="22"/>
                <w:szCs w:val="22"/>
              </w:rPr>
            </w:pPr>
            <w:r>
              <w:rPr>
                <w:color w:val="auto"/>
                <w:sz w:val="22"/>
                <w:szCs w:val="22"/>
              </w:rPr>
              <w:t>1.2.2</w:t>
            </w:r>
          </w:p>
        </w:tc>
        <w:tc>
          <w:tcPr>
            <w:tcW w:w="7370" w:type="dxa"/>
          </w:tcPr>
          <w:p w14:paraId="0D925CD7">
            <w:pPr>
              <w:pStyle w:val="85"/>
              <w:jc w:val="both"/>
              <w:rPr>
                <w:color w:val="auto"/>
                <w:sz w:val="22"/>
                <w:szCs w:val="22"/>
              </w:rPr>
            </w:pPr>
            <w:r>
              <w:rPr>
                <w:color w:val="auto"/>
                <w:sz w:val="22"/>
                <w:szCs w:val="22"/>
              </w:rPr>
              <w:t>Воспринимать на слух и понимать основное содержание учебных и адаптированных аутентичных текстов, построенных на изученном языковом материале, со зрительной опорой и с использованием языковой, в том числе контекстуальной, догадки (время звучания текста (текстов) для аудирования - до 1 минуты)</w:t>
            </w:r>
          </w:p>
        </w:tc>
      </w:tr>
      <w:tr w14:paraId="544A67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701" w:type="dxa"/>
          </w:tcPr>
          <w:p w14:paraId="06594CDA">
            <w:pPr>
              <w:pStyle w:val="85"/>
              <w:jc w:val="center"/>
              <w:rPr>
                <w:color w:val="auto"/>
                <w:sz w:val="22"/>
                <w:szCs w:val="22"/>
              </w:rPr>
            </w:pPr>
            <w:r>
              <w:rPr>
                <w:color w:val="auto"/>
                <w:sz w:val="22"/>
                <w:szCs w:val="22"/>
              </w:rPr>
              <w:t>1.2.3</w:t>
            </w:r>
          </w:p>
        </w:tc>
        <w:tc>
          <w:tcPr>
            <w:tcW w:w="7370" w:type="dxa"/>
          </w:tcPr>
          <w:p w14:paraId="43C5C83F">
            <w:pPr>
              <w:pStyle w:val="85"/>
              <w:jc w:val="both"/>
              <w:rPr>
                <w:color w:val="auto"/>
                <w:sz w:val="22"/>
                <w:szCs w:val="22"/>
              </w:rPr>
            </w:pPr>
            <w:r>
              <w:rPr>
                <w:color w:val="auto"/>
                <w:sz w:val="22"/>
                <w:szCs w:val="22"/>
              </w:rPr>
              <w:t>Воспринимать на слух и понимать запрашиваемую информацию фактического характера в учебных и адаптированных аутентичных текстах, построенных на изученном языковом материале, со зрительной опорой и с использованием языковой, в том числе контекстуальной, догадки (время звучания текста (текстов) для аудирования - до 1 минуты)</w:t>
            </w:r>
          </w:p>
        </w:tc>
      </w:tr>
      <w:tr w14:paraId="7C08A4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701" w:type="dxa"/>
          </w:tcPr>
          <w:p w14:paraId="7D92F4A9">
            <w:pPr>
              <w:pStyle w:val="85"/>
              <w:jc w:val="center"/>
              <w:rPr>
                <w:color w:val="auto"/>
                <w:sz w:val="22"/>
                <w:szCs w:val="22"/>
              </w:rPr>
            </w:pPr>
            <w:r>
              <w:rPr>
                <w:color w:val="auto"/>
                <w:sz w:val="22"/>
                <w:szCs w:val="22"/>
              </w:rPr>
              <w:t>1.3</w:t>
            </w:r>
          </w:p>
        </w:tc>
        <w:tc>
          <w:tcPr>
            <w:tcW w:w="7370" w:type="dxa"/>
          </w:tcPr>
          <w:p w14:paraId="536FB25C">
            <w:pPr>
              <w:pStyle w:val="85"/>
              <w:jc w:val="both"/>
              <w:rPr>
                <w:color w:val="auto"/>
                <w:sz w:val="22"/>
                <w:szCs w:val="22"/>
              </w:rPr>
            </w:pPr>
            <w:r>
              <w:rPr>
                <w:color w:val="auto"/>
                <w:sz w:val="22"/>
                <w:szCs w:val="22"/>
              </w:rPr>
              <w:t>Смысловое чтение</w:t>
            </w:r>
          </w:p>
        </w:tc>
      </w:tr>
      <w:tr w14:paraId="39667F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701" w:type="dxa"/>
          </w:tcPr>
          <w:p w14:paraId="43493C14">
            <w:pPr>
              <w:pStyle w:val="85"/>
              <w:jc w:val="center"/>
              <w:rPr>
                <w:color w:val="auto"/>
                <w:sz w:val="22"/>
                <w:szCs w:val="22"/>
              </w:rPr>
            </w:pPr>
            <w:r>
              <w:rPr>
                <w:color w:val="auto"/>
                <w:sz w:val="22"/>
                <w:szCs w:val="22"/>
              </w:rPr>
              <w:t>1.3.1</w:t>
            </w:r>
          </w:p>
        </w:tc>
        <w:tc>
          <w:tcPr>
            <w:tcW w:w="7370" w:type="dxa"/>
          </w:tcPr>
          <w:p w14:paraId="11F98421">
            <w:pPr>
              <w:pStyle w:val="85"/>
              <w:jc w:val="both"/>
              <w:rPr>
                <w:color w:val="auto"/>
                <w:sz w:val="22"/>
                <w:szCs w:val="22"/>
              </w:rPr>
            </w:pPr>
            <w:r>
              <w:rPr>
                <w:color w:val="auto"/>
                <w:sz w:val="22"/>
                <w:szCs w:val="22"/>
              </w:rPr>
              <w:t>Читать вслух учебные тексты объемом до 80 слов, построенные на изученном языковом материале, с соблюдением правил чтения и соответствующей интонацией, демонстрируя понимание прочитанного</w:t>
            </w:r>
          </w:p>
        </w:tc>
      </w:tr>
      <w:tr w14:paraId="18D2BB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701" w:type="dxa"/>
          </w:tcPr>
          <w:p w14:paraId="3CC6CB9E">
            <w:pPr>
              <w:pStyle w:val="85"/>
              <w:jc w:val="center"/>
              <w:rPr>
                <w:color w:val="auto"/>
                <w:sz w:val="22"/>
                <w:szCs w:val="22"/>
              </w:rPr>
            </w:pPr>
            <w:r>
              <w:rPr>
                <w:color w:val="auto"/>
                <w:sz w:val="22"/>
                <w:szCs w:val="22"/>
              </w:rPr>
              <w:t>1.3.2</w:t>
            </w:r>
          </w:p>
        </w:tc>
        <w:tc>
          <w:tcPr>
            <w:tcW w:w="7370" w:type="dxa"/>
          </w:tcPr>
          <w:p w14:paraId="5A7D2D5B">
            <w:pPr>
              <w:pStyle w:val="85"/>
              <w:jc w:val="both"/>
              <w:rPr>
                <w:color w:val="auto"/>
                <w:sz w:val="22"/>
                <w:szCs w:val="22"/>
              </w:rPr>
            </w:pPr>
            <w:r>
              <w:rPr>
                <w:color w:val="auto"/>
                <w:sz w:val="22"/>
                <w:szCs w:val="22"/>
              </w:rPr>
              <w:t>Читать про себя и понимать основное содержание текстов, содержащих отдельные незнакомые слова, со зрительной опорой и без опоры, с использованием языковой, в том числе контекстуальной, догадки (объем текста (текстов) для чтения - до 160 слов)</w:t>
            </w:r>
          </w:p>
        </w:tc>
      </w:tr>
      <w:tr w14:paraId="4C723D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701" w:type="dxa"/>
          </w:tcPr>
          <w:p w14:paraId="384F0F85">
            <w:pPr>
              <w:pStyle w:val="85"/>
              <w:jc w:val="center"/>
              <w:rPr>
                <w:color w:val="auto"/>
                <w:sz w:val="22"/>
                <w:szCs w:val="22"/>
              </w:rPr>
            </w:pPr>
            <w:r>
              <w:rPr>
                <w:color w:val="auto"/>
                <w:sz w:val="22"/>
                <w:szCs w:val="22"/>
              </w:rPr>
              <w:t>1.3.3</w:t>
            </w:r>
          </w:p>
        </w:tc>
        <w:tc>
          <w:tcPr>
            <w:tcW w:w="7370" w:type="dxa"/>
          </w:tcPr>
          <w:p w14:paraId="51F13924">
            <w:pPr>
              <w:pStyle w:val="85"/>
              <w:jc w:val="both"/>
              <w:rPr>
                <w:color w:val="auto"/>
                <w:sz w:val="22"/>
                <w:szCs w:val="22"/>
              </w:rPr>
            </w:pPr>
            <w:r>
              <w:rPr>
                <w:color w:val="auto"/>
                <w:sz w:val="22"/>
                <w:szCs w:val="22"/>
              </w:rPr>
              <w:t>Читать про себя и понимать запрашиваемую информацию в текстах, содержащих отдельные незнакомые слова, со зрительной опорой и без опоры, с использованием языковой, в том числе контекстуальной, догадки (объем текста (текстов) для чтения - до 160 слов)</w:t>
            </w:r>
          </w:p>
        </w:tc>
      </w:tr>
      <w:tr w14:paraId="0AE467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701" w:type="dxa"/>
          </w:tcPr>
          <w:p w14:paraId="2D4F4644">
            <w:pPr>
              <w:pStyle w:val="85"/>
              <w:jc w:val="center"/>
              <w:rPr>
                <w:color w:val="auto"/>
                <w:sz w:val="22"/>
                <w:szCs w:val="22"/>
              </w:rPr>
            </w:pPr>
            <w:r>
              <w:rPr>
                <w:color w:val="auto"/>
                <w:sz w:val="22"/>
                <w:szCs w:val="22"/>
              </w:rPr>
              <w:t>1.3.4</w:t>
            </w:r>
          </w:p>
        </w:tc>
        <w:tc>
          <w:tcPr>
            <w:tcW w:w="7370" w:type="dxa"/>
          </w:tcPr>
          <w:p w14:paraId="596AC25A">
            <w:pPr>
              <w:pStyle w:val="85"/>
              <w:jc w:val="both"/>
              <w:rPr>
                <w:color w:val="auto"/>
                <w:sz w:val="22"/>
                <w:szCs w:val="22"/>
              </w:rPr>
            </w:pPr>
            <w:r>
              <w:rPr>
                <w:color w:val="auto"/>
                <w:sz w:val="22"/>
                <w:szCs w:val="22"/>
              </w:rPr>
              <w:t>Прогнозировать содержание текста на основе заголовка</w:t>
            </w:r>
          </w:p>
        </w:tc>
      </w:tr>
      <w:tr w14:paraId="665CA4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701" w:type="dxa"/>
          </w:tcPr>
          <w:p w14:paraId="532F9589">
            <w:pPr>
              <w:pStyle w:val="85"/>
              <w:jc w:val="center"/>
              <w:rPr>
                <w:color w:val="auto"/>
                <w:sz w:val="22"/>
                <w:szCs w:val="22"/>
              </w:rPr>
            </w:pPr>
            <w:r>
              <w:rPr>
                <w:color w:val="auto"/>
                <w:sz w:val="22"/>
                <w:szCs w:val="22"/>
              </w:rPr>
              <w:t>1.3.5</w:t>
            </w:r>
          </w:p>
        </w:tc>
        <w:tc>
          <w:tcPr>
            <w:tcW w:w="7370" w:type="dxa"/>
          </w:tcPr>
          <w:p w14:paraId="26CF3334">
            <w:pPr>
              <w:pStyle w:val="85"/>
              <w:jc w:val="both"/>
              <w:rPr>
                <w:color w:val="auto"/>
                <w:sz w:val="22"/>
                <w:szCs w:val="22"/>
              </w:rPr>
            </w:pPr>
            <w:r>
              <w:rPr>
                <w:color w:val="auto"/>
                <w:sz w:val="22"/>
                <w:szCs w:val="22"/>
              </w:rPr>
              <w:t>Читать про себя несплошные тексты (таблицы) и понимать представленную в них информацию</w:t>
            </w:r>
          </w:p>
        </w:tc>
      </w:tr>
      <w:tr w14:paraId="72055E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701" w:type="dxa"/>
          </w:tcPr>
          <w:p w14:paraId="674B4497">
            <w:pPr>
              <w:pStyle w:val="85"/>
              <w:jc w:val="center"/>
              <w:rPr>
                <w:color w:val="auto"/>
                <w:sz w:val="22"/>
                <w:szCs w:val="22"/>
              </w:rPr>
            </w:pPr>
            <w:r>
              <w:rPr>
                <w:color w:val="auto"/>
                <w:sz w:val="22"/>
                <w:szCs w:val="22"/>
              </w:rPr>
              <w:t>1.4</w:t>
            </w:r>
          </w:p>
        </w:tc>
        <w:tc>
          <w:tcPr>
            <w:tcW w:w="7370" w:type="dxa"/>
          </w:tcPr>
          <w:p w14:paraId="1FBCBBC6">
            <w:pPr>
              <w:pStyle w:val="85"/>
              <w:jc w:val="both"/>
              <w:rPr>
                <w:color w:val="auto"/>
                <w:sz w:val="22"/>
                <w:szCs w:val="22"/>
              </w:rPr>
            </w:pPr>
            <w:r>
              <w:rPr>
                <w:color w:val="auto"/>
                <w:sz w:val="22"/>
                <w:szCs w:val="22"/>
              </w:rPr>
              <w:t>Письмо</w:t>
            </w:r>
          </w:p>
        </w:tc>
      </w:tr>
      <w:tr w14:paraId="11531E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701" w:type="dxa"/>
          </w:tcPr>
          <w:p w14:paraId="00CFB681">
            <w:pPr>
              <w:pStyle w:val="85"/>
              <w:jc w:val="center"/>
              <w:rPr>
                <w:color w:val="auto"/>
                <w:sz w:val="22"/>
                <w:szCs w:val="22"/>
              </w:rPr>
            </w:pPr>
            <w:r>
              <w:rPr>
                <w:color w:val="auto"/>
                <w:sz w:val="22"/>
                <w:szCs w:val="22"/>
              </w:rPr>
              <w:t>1.4.1</w:t>
            </w:r>
          </w:p>
        </w:tc>
        <w:tc>
          <w:tcPr>
            <w:tcW w:w="7370" w:type="dxa"/>
          </w:tcPr>
          <w:p w14:paraId="45130EBF">
            <w:pPr>
              <w:pStyle w:val="85"/>
              <w:jc w:val="both"/>
              <w:rPr>
                <w:color w:val="auto"/>
                <w:sz w:val="22"/>
                <w:szCs w:val="22"/>
              </w:rPr>
            </w:pPr>
            <w:r>
              <w:rPr>
                <w:color w:val="auto"/>
                <w:sz w:val="22"/>
                <w:szCs w:val="22"/>
              </w:rPr>
              <w:t>Заполнять анкеты и формуляры с указанием личной информации: имя, фамилия, возраст, место жительства (страна проживания, город), любимые занятия и другие</w:t>
            </w:r>
          </w:p>
        </w:tc>
      </w:tr>
      <w:tr w14:paraId="1B764B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701" w:type="dxa"/>
          </w:tcPr>
          <w:p w14:paraId="07C15559">
            <w:pPr>
              <w:pStyle w:val="85"/>
              <w:jc w:val="center"/>
              <w:rPr>
                <w:color w:val="auto"/>
                <w:sz w:val="22"/>
                <w:szCs w:val="22"/>
              </w:rPr>
            </w:pPr>
            <w:r>
              <w:rPr>
                <w:color w:val="auto"/>
                <w:sz w:val="22"/>
                <w:szCs w:val="22"/>
              </w:rPr>
              <w:t>1.4.2</w:t>
            </w:r>
          </w:p>
        </w:tc>
        <w:tc>
          <w:tcPr>
            <w:tcW w:w="7370" w:type="dxa"/>
          </w:tcPr>
          <w:p w14:paraId="58B82741">
            <w:pPr>
              <w:pStyle w:val="85"/>
              <w:jc w:val="both"/>
              <w:rPr>
                <w:color w:val="auto"/>
                <w:sz w:val="22"/>
                <w:szCs w:val="22"/>
              </w:rPr>
            </w:pPr>
            <w:r>
              <w:rPr>
                <w:color w:val="auto"/>
                <w:sz w:val="22"/>
                <w:szCs w:val="22"/>
              </w:rPr>
              <w:t>Писать с использованием образца поздравления с днем рождения, Новым годом, Рождеством с выражением пожеланий</w:t>
            </w:r>
          </w:p>
        </w:tc>
      </w:tr>
      <w:tr w14:paraId="20D86C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701" w:type="dxa"/>
          </w:tcPr>
          <w:p w14:paraId="6A2896ED">
            <w:pPr>
              <w:pStyle w:val="85"/>
              <w:jc w:val="center"/>
              <w:rPr>
                <w:color w:val="auto"/>
                <w:sz w:val="22"/>
                <w:szCs w:val="22"/>
              </w:rPr>
            </w:pPr>
            <w:r>
              <w:rPr>
                <w:color w:val="auto"/>
                <w:sz w:val="22"/>
                <w:szCs w:val="22"/>
              </w:rPr>
              <w:t>1.4.3</w:t>
            </w:r>
          </w:p>
        </w:tc>
        <w:tc>
          <w:tcPr>
            <w:tcW w:w="7370" w:type="dxa"/>
          </w:tcPr>
          <w:p w14:paraId="7180120F">
            <w:pPr>
              <w:pStyle w:val="85"/>
              <w:jc w:val="both"/>
              <w:rPr>
                <w:color w:val="auto"/>
                <w:sz w:val="22"/>
                <w:szCs w:val="22"/>
              </w:rPr>
            </w:pPr>
            <w:r>
              <w:rPr>
                <w:color w:val="auto"/>
                <w:sz w:val="22"/>
                <w:szCs w:val="22"/>
              </w:rPr>
              <w:t>Писать с использованием образца электронное сообщение личного характера (объем сообщения - до 50 слов)</w:t>
            </w:r>
          </w:p>
        </w:tc>
      </w:tr>
      <w:tr w14:paraId="1312C7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701" w:type="dxa"/>
          </w:tcPr>
          <w:p w14:paraId="48D256C8">
            <w:pPr>
              <w:pStyle w:val="85"/>
              <w:jc w:val="center"/>
              <w:rPr>
                <w:color w:val="auto"/>
                <w:sz w:val="22"/>
                <w:szCs w:val="22"/>
              </w:rPr>
            </w:pPr>
            <w:r>
              <w:rPr>
                <w:color w:val="auto"/>
                <w:sz w:val="22"/>
                <w:szCs w:val="22"/>
              </w:rPr>
              <w:t>2</w:t>
            </w:r>
          </w:p>
        </w:tc>
        <w:tc>
          <w:tcPr>
            <w:tcW w:w="7370" w:type="dxa"/>
          </w:tcPr>
          <w:p w14:paraId="05F76A32">
            <w:pPr>
              <w:pStyle w:val="85"/>
              <w:jc w:val="both"/>
              <w:rPr>
                <w:color w:val="auto"/>
                <w:sz w:val="22"/>
                <w:szCs w:val="22"/>
              </w:rPr>
            </w:pPr>
            <w:r>
              <w:rPr>
                <w:color w:val="auto"/>
                <w:sz w:val="22"/>
                <w:szCs w:val="22"/>
              </w:rPr>
              <w:t>Языковые знания и навыки</w:t>
            </w:r>
          </w:p>
        </w:tc>
      </w:tr>
      <w:tr w14:paraId="727FBC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701" w:type="dxa"/>
          </w:tcPr>
          <w:p w14:paraId="3FB74340">
            <w:pPr>
              <w:pStyle w:val="85"/>
              <w:jc w:val="center"/>
              <w:rPr>
                <w:color w:val="auto"/>
                <w:sz w:val="22"/>
                <w:szCs w:val="22"/>
              </w:rPr>
            </w:pPr>
            <w:r>
              <w:rPr>
                <w:color w:val="auto"/>
                <w:sz w:val="22"/>
                <w:szCs w:val="22"/>
              </w:rPr>
              <w:t>2.1</w:t>
            </w:r>
          </w:p>
        </w:tc>
        <w:tc>
          <w:tcPr>
            <w:tcW w:w="7370" w:type="dxa"/>
          </w:tcPr>
          <w:p w14:paraId="4F06C7BD">
            <w:pPr>
              <w:pStyle w:val="85"/>
              <w:jc w:val="both"/>
              <w:rPr>
                <w:color w:val="auto"/>
                <w:sz w:val="22"/>
                <w:szCs w:val="22"/>
              </w:rPr>
            </w:pPr>
            <w:r>
              <w:rPr>
                <w:color w:val="auto"/>
                <w:sz w:val="22"/>
                <w:szCs w:val="22"/>
              </w:rPr>
              <w:t>Фонетическая сторона речи</w:t>
            </w:r>
          </w:p>
        </w:tc>
      </w:tr>
      <w:tr w14:paraId="2A7EF7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701" w:type="dxa"/>
          </w:tcPr>
          <w:p w14:paraId="5BD220EC">
            <w:pPr>
              <w:pStyle w:val="85"/>
              <w:jc w:val="center"/>
              <w:rPr>
                <w:color w:val="auto"/>
                <w:sz w:val="22"/>
                <w:szCs w:val="22"/>
              </w:rPr>
            </w:pPr>
            <w:r>
              <w:rPr>
                <w:color w:val="auto"/>
                <w:sz w:val="22"/>
                <w:szCs w:val="22"/>
              </w:rPr>
              <w:t>2.1.1</w:t>
            </w:r>
          </w:p>
        </w:tc>
        <w:tc>
          <w:tcPr>
            <w:tcW w:w="7370" w:type="dxa"/>
          </w:tcPr>
          <w:p w14:paraId="600806C0">
            <w:pPr>
              <w:pStyle w:val="85"/>
              <w:jc w:val="both"/>
              <w:rPr>
                <w:color w:val="auto"/>
                <w:sz w:val="22"/>
                <w:szCs w:val="22"/>
              </w:rPr>
            </w:pPr>
            <w:r>
              <w:rPr>
                <w:color w:val="auto"/>
                <w:sz w:val="22"/>
                <w:szCs w:val="22"/>
              </w:rPr>
              <w:t>Читать новые слова согласно основным правилам чтения</w:t>
            </w:r>
          </w:p>
        </w:tc>
      </w:tr>
      <w:tr w14:paraId="7D26C2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701" w:type="dxa"/>
          </w:tcPr>
          <w:p w14:paraId="123789B3">
            <w:pPr>
              <w:pStyle w:val="85"/>
              <w:jc w:val="center"/>
              <w:rPr>
                <w:color w:val="auto"/>
                <w:sz w:val="22"/>
                <w:szCs w:val="22"/>
              </w:rPr>
            </w:pPr>
            <w:r>
              <w:rPr>
                <w:color w:val="auto"/>
                <w:sz w:val="22"/>
                <w:szCs w:val="22"/>
              </w:rPr>
              <w:t>2.1.2</w:t>
            </w:r>
          </w:p>
        </w:tc>
        <w:tc>
          <w:tcPr>
            <w:tcW w:w="7370" w:type="dxa"/>
          </w:tcPr>
          <w:p w14:paraId="16F42E01">
            <w:pPr>
              <w:pStyle w:val="85"/>
              <w:jc w:val="both"/>
              <w:rPr>
                <w:color w:val="auto"/>
                <w:sz w:val="22"/>
                <w:szCs w:val="22"/>
              </w:rPr>
            </w:pPr>
            <w:r>
              <w:rPr>
                <w:color w:val="auto"/>
                <w:sz w:val="22"/>
                <w:szCs w:val="22"/>
              </w:rPr>
              <w:t>Различать на слух и правильно произносить слова и фразы (предложения) с соблюдением их ритмико-интонационных особенностей</w:t>
            </w:r>
          </w:p>
        </w:tc>
      </w:tr>
      <w:tr w14:paraId="6D67BE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701" w:type="dxa"/>
          </w:tcPr>
          <w:p w14:paraId="446C969E">
            <w:pPr>
              <w:pStyle w:val="85"/>
              <w:jc w:val="center"/>
              <w:rPr>
                <w:color w:val="auto"/>
                <w:sz w:val="22"/>
                <w:szCs w:val="22"/>
              </w:rPr>
            </w:pPr>
            <w:r>
              <w:rPr>
                <w:color w:val="auto"/>
                <w:sz w:val="22"/>
                <w:szCs w:val="22"/>
              </w:rPr>
              <w:t>2.2</w:t>
            </w:r>
          </w:p>
        </w:tc>
        <w:tc>
          <w:tcPr>
            <w:tcW w:w="7370" w:type="dxa"/>
          </w:tcPr>
          <w:p w14:paraId="7AE4D1D4">
            <w:pPr>
              <w:pStyle w:val="85"/>
              <w:jc w:val="both"/>
              <w:rPr>
                <w:color w:val="auto"/>
                <w:sz w:val="22"/>
                <w:szCs w:val="22"/>
              </w:rPr>
            </w:pPr>
            <w:r>
              <w:rPr>
                <w:color w:val="auto"/>
                <w:sz w:val="22"/>
                <w:szCs w:val="22"/>
              </w:rPr>
              <w:t>Графика, орфография и пунктуация</w:t>
            </w:r>
          </w:p>
        </w:tc>
      </w:tr>
      <w:tr w14:paraId="13AA94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701" w:type="dxa"/>
          </w:tcPr>
          <w:p w14:paraId="21982184">
            <w:pPr>
              <w:pStyle w:val="85"/>
              <w:jc w:val="center"/>
              <w:rPr>
                <w:color w:val="auto"/>
                <w:sz w:val="22"/>
                <w:szCs w:val="22"/>
              </w:rPr>
            </w:pPr>
            <w:r>
              <w:rPr>
                <w:color w:val="auto"/>
                <w:sz w:val="22"/>
                <w:szCs w:val="22"/>
              </w:rPr>
              <w:t>2.2.1</w:t>
            </w:r>
          </w:p>
        </w:tc>
        <w:tc>
          <w:tcPr>
            <w:tcW w:w="7370" w:type="dxa"/>
          </w:tcPr>
          <w:p w14:paraId="0C62000A">
            <w:pPr>
              <w:pStyle w:val="85"/>
              <w:jc w:val="both"/>
              <w:rPr>
                <w:color w:val="auto"/>
                <w:sz w:val="22"/>
                <w:szCs w:val="22"/>
              </w:rPr>
            </w:pPr>
            <w:r>
              <w:rPr>
                <w:color w:val="auto"/>
                <w:sz w:val="22"/>
                <w:szCs w:val="22"/>
              </w:rPr>
              <w:t>Правильно писать изученные слова</w:t>
            </w:r>
          </w:p>
        </w:tc>
      </w:tr>
      <w:tr w14:paraId="6A7F66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701" w:type="dxa"/>
          </w:tcPr>
          <w:p w14:paraId="4DCCCACF">
            <w:pPr>
              <w:pStyle w:val="85"/>
              <w:jc w:val="center"/>
              <w:rPr>
                <w:color w:val="auto"/>
                <w:sz w:val="22"/>
                <w:szCs w:val="22"/>
              </w:rPr>
            </w:pPr>
            <w:r>
              <w:rPr>
                <w:color w:val="auto"/>
                <w:sz w:val="22"/>
                <w:szCs w:val="22"/>
              </w:rPr>
              <w:t>2.2.2</w:t>
            </w:r>
          </w:p>
        </w:tc>
        <w:tc>
          <w:tcPr>
            <w:tcW w:w="7370" w:type="dxa"/>
          </w:tcPr>
          <w:p w14:paraId="2DFDF5E2">
            <w:pPr>
              <w:pStyle w:val="85"/>
              <w:jc w:val="both"/>
              <w:rPr>
                <w:color w:val="auto"/>
                <w:sz w:val="22"/>
                <w:szCs w:val="22"/>
              </w:rPr>
            </w:pPr>
            <w:r>
              <w:rPr>
                <w:color w:val="auto"/>
                <w:sz w:val="22"/>
                <w:szCs w:val="22"/>
              </w:rPr>
              <w:t>Правильно расставлять знаки препинания (точка, вопросительный и восклицательный знаки в конце предложения, апостроф, запятая при перечислении)</w:t>
            </w:r>
          </w:p>
        </w:tc>
      </w:tr>
      <w:tr w14:paraId="6AE051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701" w:type="dxa"/>
          </w:tcPr>
          <w:p w14:paraId="6AF23832">
            <w:pPr>
              <w:pStyle w:val="85"/>
              <w:jc w:val="center"/>
              <w:rPr>
                <w:color w:val="auto"/>
                <w:sz w:val="22"/>
                <w:szCs w:val="22"/>
              </w:rPr>
            </w:pPr>
            <w:r>
              <w:rPr>
                <w:color w:val="auto"/>
                <w:sz w:val="22"/>
                <w:szCs w:val="22"/>
              </w:rPr>
              <w:t>2.3</w:t>
            </w:r>
          </w:p>
        </w:tc>
        <w:tc>
          <w:tcPr>
            <w:tcW w:w="7370" w:type="dxa"/>
          </w:tcPr>
          <w:p w14:paraId="4C1C43AF">
            <w:pPr>
              <w:pStyle w:val="85"/>
              <w:jc w:val="both"/>
              <w:rPr>
                <w:color w:val="auto"/>
                <w:sz w:val="22"/>
                <w:szCs w:val="22"/>
              </w:rPr>
            </w:pPr>
            <w:r>
              <w:rPr>
                <w:color w:val="auto"/>
                <w:sz w:val="22"/>
                <w:szCs w:val="22"/>
              </w:rPr>
              <w:t>Лексическая сторона речи</w:t>
            </w:r>
          </w:p>
        </w:tc>
      </w:tr>
      <w:tr w14:paraId="79D1A2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701" w:type="dxa"/>
          </w:tcPr>
          <w:p w14:paraId="1487EEFA">
            <w:pPr>
              <w:pStyle w:val="85"/>
              <w:jc w:val="center"/>
              <w:rPr>
                <w:color w:val="auto"/>
                <w:sz w:val="22"/>
                <w:szCs w:val="22"/>
              </w:rPr>
            </w:pPr>
            <w:r>
              <w:rPr>
                <w:color w:val="auto"/>
                <w:sz w:val="22"/>
                <w:szCs w:val="22"/>
              </w:rPr>
              <w:t>2.3.1</w:t>
            </w:r>
          </w:p>
        </w:tc>
        <w:tc>
          <w:tcPr>
            <w:tcW w:w="7370" w:type="dxa"/>
          </w:tcPr>
          <w:p w14:paraId="499F69AB">
            <w:pPr>
              <w:pStyle w:val="85"/>
              <w:jc w:val="both"/>
              <w:rPr>
                <w:color w:val="auto"/>
                <w:sz w:val="22"/>
                <w:szCs w:val="22"/>
              </w:rPr>
            </w:pPr>
            <w:r>
              <w:rPr>
                <w:color w:val="auto"/>
                <w:sz w:val="22"/>
                <w:szCs w:val="22"/>
              </w:rPr>
              <w:t>Распознавать и употреблять в устной и письменной речи не менее 500 лексических единиц (слов, словосочетаний, речевых клише), включая 350 лексических единиц, освоенных в предшествующие годы обучения</w:t>
            </w:r>
          </w:p>
        </w:tc>
      </w:tr>
      <w:tr w14:paraId="5DAAD2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701" w:type="dxa"/>
          </w:tcPr>
          <w:p w14:paraId="648B6352">
            <w:pPr>
              <w:pStyle w:val="85"/>
              <w:jc w:val="center"/>
              <w:rPr>
                <w:color w:val="auto"/>
                <w:sz w:val="22"/>
                <w:szCs w:val="22"/>
              </w:rPr>
            </w:pPr>
            <w:r>
              <w:rPr>
                <w:color w:val="auto"/>
                <w:sz w:val="22"/>
                <w:szCs w:val="22"/>
              </w:rPr>
              <w:t>2.3.2</w:t>
            </w:r>
          </w:p>
        </w:tc>
        <w:tc>
          <w:tcPr>
            <w:tcW w:w="7370" w:type="dxa"/>
          </w:tcPr>
          <w:p w14:paraId="094FA588">
            <w:pPr>
              <w:pStyle w:val="85"/>
              <w:jc w:val="both"/>
              <w:rPr>
                <w:color w:val="auto"/>
                <w:sz w:val="22"/>
                <w:szCs w:val="22"/>
              </w:rPr>
            </w:pPr>
            <w:r>
              <w:rPr>
                <w:color w:val="auto"/>
                <w:sz w:val="22"/>
                <w:szCs w:val="22"/>
              </w:rPr>
              <w:t>Распознавать и образовывать родственные слова, образованные с использованием одного из основных способов словообразования - аффиксации (суффиксы -er/-or, -ist: teacher, actor, artist)</w:t>
            </w:r>
          </w:p>
        </w:tc>
      </w:tr>
      <w:tr w14:paraId="0F79EF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701" w:type="dxa"/>
          </w:tcPr>
          <w:p w14:paraId="6747C46C">
            <w:pPr>
              <w:pStyle w:val="85"/>
              <w:jc w:val="center"/>
              <w:rPr>
                <w:color w:val="auto"/>
                <w:sz w:val="22"/>
                <w:szCs w:val="22"/>
              </w:rPr>
            </w:pPr>
            <w:r>
              <w:rPr>
                <w:color w:val="auto"/>
                <w:sz w:val="22"/>
                <w:szCs w:val="22"/>
              </w:rPr>
              <w:t>2.3.3</w:t>
            </w:r>
          </w:p>
        </w:tc>
        <w:tc>
          <w:tcPr>
            <w:tcW w:w="7370" w:type="dxa"/>
          </w:tcPr>
          <w:p w14:paraId="0304FF89">
            <w:pPr>
              <w:pStyle w:val="85"/>
              <w:jc w:val="both"/>
              <w:rPr>
                <w:color w:val="auto"/>
                <w:sz w:val="22"/>
                <w:szCs w:val="22"/>
              </w:rPr>
            </w:pPr>
            <w:r>
              <w:rPr>
                <w:color w:val="auto"/>
                <w:sz w:val="22"/>
                <w:szCs w:val="22"/>
              </w:rPr>
              <w:t>Распознавать и образовывать родственные слова, образованные с использованием одного из основных способов словообразования - словосложения (blackboard)</w:t>
            </w:r>
          </w:p>
        </w:tc>
      </w:tr>
      <w:tr w14:paraId="308D8B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701" w:type="dxa"/>
          </w:tcPr>
          <w:p w14:paraId="3DFB2CCB">
            <w:pPr>
              <w:pStyle w:val="85"/>
              <w:jc w:val="center"/>
              <w:rPr>
                <w:color w:val="auto"/>
                <w:sz w:val="22"/>
                <w:szCs w:val="22"/>
              </w:rPr>
            </w:pPr>
            <w:r>
              <w:rPr>
                <w:color w:val="auto"/>
                <w:sz w:val="22"/>
                <w:szCs w:val="22"/>
              </w:rPr>
              <w:t>2.3.4</w:t>
            </w:r>
          </w:p>
        </w:tc>
        <w:tc>
          <w:tcPr>
            <w:tcW w:w="7370" w:type="dxa"/>
          </w:tcPr>
          <w:p w14:paraId="415422C7">
            <w:pPr>
              <w:pStyle w:val="85"/>
              <w:jc w:val="both"/>
              <w:rPr>
                <w:color w:val="auto"/>
                <w:sz w:val="22"/>
                <w:szCs w:val="22"/>
              </w:rPr>
            </w:pPr>
            <w:r>
              <w:rPr>
                <w:color w:val="auto"/>
                <w:sz w:val="22"/>
                <w:szCs w:val="22"/>
              </w:rPr>
              <w:t>Распознавать и образовывать родственные слова, образованные с использованием одного из основных способов словообразования - конверсии (to play - a play)</w:t>
            </w:r>
          </w:p>
        </w:tc>
      </w:tr>
      <w:tr w14:paraId="2052F2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701" w:type="dxa"/>
          </w:tcPr>
          <w:p w14:paraId="448BB9B1">
            <w:pPr>
              <w:pStyle w:val="85"/>
              <w:jc w:val="center"/>
              <w:rPr>
                <w:color w:val="auto"/>
                <w:sz w:val="22"/>
                <w:szCs w:val="22"/>
              </w:rPr>
            </w:pPr>
            <w:r>
              <w:rPr>
                <w:color w:val="auto"/>
                <w:sz w:val="22"/>
                <w:szCs w:val="22"/>
              </w:rPr>
              <w:t>2.4</w:t>
            </w:r>
          </w:p>
        </w:tc>
        <w:tc>
          <w:tcPr>
            <w:tcW w:w="7370" w:type="dxa"/>
          </w:tcPr>
          <w:p w14:paraId="44961294">
            <w:pPr>
              <w:pStyle w:val="85"/>
              <w:jc w:val="both"/>
              <w:rPr>
                <w:color w:val="auto"/>
                <w:sz w:val="22"/>
                <w:szCs w:val="22"/>
              </w:rPr>
            </w:pPr>
            <w:r>
              <w:rPr>
                <w:color w:val="auto"/>
                <w:sz w:val="22"/>
                <w:szCs w:val="22"/>
              </w:rPr>
              <w:t>Грамматическая сторона речи</w:t>
            </w:r>
          </w:p>
        </w:tc>
      </w:tr>
      <w:tr w14:paraId="323E7A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701" w:type="dxa"/>
          </w:tcPr>
          <w:p w14:paraId="6D7D8616">
            <w:pPr>
              <w:pStyle w:val="85"/>
              <w:jc w:val="center"/>
              <w:rPr>
                <w:color w:val="auto"/>
                <w:sz w:val="22"/>
                <w:szCs w:val="22"/>
              </w:rPr>
            </w:pPr>
            <w:r>
              <w:rPr>
                <w:color w:val="auto"/>
                <w:sz w:val="22"/>
                <w:szCs w:val="22"/>
              </w:rPr>
              <w:t>2.4.1</w:t>
            </w:r>
          </w:p>
        </w:tc>
        <w:tc>
          <w:tcPr>
            <w:tcW w:w="7370" w:type="dxa"/>
          </w:tcPr>
          <w:p w14:paraId="20E0EBA9">
            <w:pPr>
              <w:pStyle w:val="85"/>
              <w:jc w:val="both"/>
              <w:rPr>
                <w:color w:val="auto"/>
                <w:sz w:val="22"/>
                <w:szCs w:val="22"/>
              </w:rPr>
            </w:pPr>
            <w:r>
              <w:rPr>
                <w:color w:val="auto"/>
                <w:sz w:val="22"/>
                <w:szCs w:val="22"/>
              </w:rPr>
              <w:t>Распознавать и употреблять в устной и письменной речи глаголы в Present/Past Simple Tense, Present Continuous Tense в повествовательных (утвердительных и отрицательных) и вопросительных (общий и специальный вопросы) предложениях</w:t>
            </w:r>
          </w:p>
        </w:tc>
      </w:tr>
      <w:tr w14:paraId="6DA9E0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701" w:type="dxa"/>
          </w:tcPr>
          <w:p w14:paraId="22BB986E">
            <w:pPr>
              <w:pStyle w:val="85"/>
              <w:jc w:val="center"/>
              <w:rPr>
                <w:color w:val="auto"/>
                <w:sz w:val="22"/>
                <w:szCs w:val="22"/>
              </w:rPr>
            </w:pPr>
            <w:r>
              <w:rPr>
                <w:color w:val="auto"/>
                <w:sz w:val="22"/>
                <w:szCs w:val="22"/>
              </w:rPr>
              <w:t>2.4.2</w:t>
            </w:r>
          </w:p>
        </w:tc>
        <w:tc>
          <w:tcPr>
            <w:tcW w:w="7370" w:type="dxa"/>
          </w:tcPr>
          <w:p w14:paraId="3261A8F2">
            <w:pPr>
              <w:pStyle w:val="85"/>
              <w:jc w:val="both"/>
              <w:rPr>
                <w:color w:val="auto"/>
                <w:sz w:val="22"/>
                <w:szCs w:val="22"/>
              </w:rPr>
            </w:pPr>
            <w:r>
              <w:rPr>
                <w:color w:val="auto"/>
                <w:sz w:val="22"/>
                <w:szCs w:val="22"/>
              </w:rPr>
              <w:t>Распознавать и употреблять в устной и письменной речи конструкцию to be going to и Future Simple Tense для выражения будущего действия</w:t>
            </w:r>
          </w:p>
        </w:tc>
      </w:tr>
      <w:tr w14:paraId="766C12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701" w:type="dxa"/>
          </w:tcPr>
          <w:p w14:paraId="4ED01E0F">
            <w:pPr>
              <w:pStyle w:val="85"/>
              <w:jc w:val="center"/>
              <w:rPr>
                <w:color w:val="auto"/>
                <w:sz w:val="22"/>
                <w:szCs w:val="22"/>
              </w:rPr>
            </w:pPr>
            <w:r>
              <w:rPr>
                <w:color w:val="auto"/>
                <w:sz w:val="22"/>
                <w:szCs w:val="22"/>
              </w:rPr>
              <w:t>2.4.3</w:t>
            </w:r>
          </w:p>
        </w:tc>
        <w:tc>
          <w:tcPr>
            <w:tcW w:w="7370" w:type="dxa"/>
          </w:tcPr>
          <w:p w14:paraId="79E67535">
            <w:pPr>
              <w:pStyle w:val="85"/>
              <w:jc w:val="both"/>
              <w:rPr>
                <w:color w:val="auto"/>
                <w:sz w:val="22"/>
                <w:szCs w:val="22"/>
              </w:rPr>
            </w:pPr>
            <w:r>
              <w:rPr>
                <w:color w:val="auto"/>
                <w:sz w:val="22"/>
                <w:szCs w:val="22"/>
              </w:rPr>
              <w:t>Распознавать и употреблять в устной и письменной речи модальные глаголы must и have to</w:t>
            </w:r>
          </w:p>
        </w:tc>
      </w:tr>
      <w:tr w14:paraId="3A958D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701" w:type="dxa"/>
          </w:tcPr>
          <w:p w14:paraId="379CABCD">
            <w:pPr>
              <w:pStyle w:val="85"/>
              <w:jc w:val="center"/>
              <w:rPr>
                <w:color w:val="auto"/>
                <w:sz w:val="22"/>
                <w:szCs w:val="22"/>
              </w:rPr>
            </w:pPr>
            <w:r>
              <w:rPr>
                <w:color w:val="auto"/>
                <w:sz w:val="22"/>
                <w:szCs w:val="22"/>
              </w:rPr>
              <w:t>2.4.4</w:t>
            </w:r>
          </w:p>
        </w:tc>
        <w:tc>
          <w:tcPr>
            <w:tcW w:w="7370" w:type="dxa"/>
          </w:tcPr>
          <w:p w14:paraId="4421CB88">
            <w:pPr>
              <w:pStyle w:val="85"/>
              <w:jc w:val="both"/>
              <w:rPr>
                <w:color w:val="auto"/>
                <w:sz w:val="22"/>
                <w:szCs w:val="22"/>
              </w:rPr>
            </w:pPr>
            <w:r>
              <w:rPr>
                <w:color w:val="auto"/>
                <w:sz w:val="22"/>
                <w:szCs w:val="22"/>
              </w:rPr>
              <w:t>Распознавать и употреблять в устной и письменной речи отрицательное местоимение no</w:t>
            </w:r>
          </w:p>
        </w:tc>
      </w:tr>
      <w:tr w14:paraId="3F1A03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701" w:type="dxa"/>
          </w:tcPr>
          <w:p w14:paraId="03EED50B">
            <w:pPr>
              <w:pStyle w:val="85"/>
              <w:jc w:val="center"/>
              <w:rPr>
                <w:color w:val="auto"/>
                <w:sz w:val="22"/>
                <w:szCs w:val="22"/>
              </w:rPr>
            </w:pPr>
            <w:r>
              <w:rPr>
                <w:color w:val="auto"/>
                <w:sz w:val="22"/>
                <w:szCs w:val="22"/>
              </w:rPr>
              <w:t>2.4.5</w:t>
            </w:r>
          </w:p>
        </w:tc>
        <w:tc>
          <w:tcPr>
            <w:tcW w:w="7370" w:type="dxa"/>
          </w:tcPr>
          <w:p w14:paraId="371067DD">
            <w:pPr>
              <w:pStyle w:val="85"/>
              <w:jc w:val="both"/>
              <w:rPr>
                <w:color w:val="auto"/>
                <w:sz w:val="22"/>
                <w:szCs w:val="22"/>
              </w:rPr>
            </w:pPr>
            <w:r>
              <w:rPr>
                <w:color w:val="auto"/>
                <w:sz w:val="22"/>
                <w:szCs w:val="22"/>
              </w:rPr>
              <w:t>Распознавать и употреблять в устной и письменной речи степени сравнения прилагательных (формы, образованные по правилу и исключения: good-better - (the) best, bad - worse - (the) worst)</w:t>
            </w:r>
          </w:p>
        </w:tc>
      </w:tr>
      <w:tr w14:paraId="2535AD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701" w:type="dxa"/>
          </w:tcPr>
          <w:p w14:paraId="6D6F940C">
            <w:pPr>
              <w:pStyle w:val="85"/>
              <w:jc w:val="center"/>
              <w:rPr>
                <w:color w:val="auto"/>
                <w:sz w:val="22"/>
                <w:szCs w:val="22"/>
              </w:rPr>
            </w:pPr>
            <w:r>
              <w:rPr>
                <w:color w:val="auto"/>
                <w:sz w:val="22"/>
                <w:szCs w:val="22"/>
              </w:rPr>
              <w:t>2.4.6</w:t>
            </w:r>
          </w:p>
        </w:tc>
        <w:tc>
          <w:tcPr>
            <w:tcW w:w="7370" w:type="dxa"/>
          </w:tcPr>
          <w:p w14:paraId="4CD0ADDA">
            <w:pPr>
              <w:pStyle w:val="85"/>
              <w:jc w:val="both"/>
              <w:rPr>
                <w:color w:val="auto"/>
                <w:sz w:val="22"/>
                <w:szCs w:val="22"/>
              </w:rPr>
            </w:pPr>
            <w:r>
              <w:rPr>
                <w:color w:val="auto"/>
                <w:sz w:val="22"/>
                <w:szCs w:val="22"/>
              </w:rPr>
              <w:t>Распознавать и употреблять в устной и письменной речи наречия времени</w:t>
            </w:r>
          </w:p>
        </w:tc>
      </w:tr>
      <w:tr w14:paraId="227528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701" w:type="dxa"/>
          </w:tcPr>
          <w:p w14:paraId="477C5273">
            <w:pPr>
              <w:pStyle w:val="85"/>
              <w:jc w:val="center"/>
              <w:rPr>
                <w:color w:val="auto"/>
                <w:sz w:val="22"/>
                <w:szCs w:val="22"/>
              </w:rPr>
            </w:pPr>
            <w:r>
              <w:rPr>
                <w:color w:val="auto"/>
                <w:sz w:val="22"/>
                <w:szCs w:val="22"/>
              </w:rPr>
              <w:t>2.4.7</w:t>
            </w:r>
          </w:p>
        </w:tc>
        <w:tc>
          <w:tcPr>
            <w:tcW w:w="7370" w:type="dxa"/>
          </w:tcPr>
          <w:p w14:paraId="4920F787">
            <w:pPr>
              <w:pStyle w:val="85"/>
              <w:jc w:val="both"/>
              <w:rPr>
                <w:color w:val="auto"/>
                <w:sz w:val="22"/>
                <w:szCs w:val="22"/>
              </w:rPr>
            </w:pPr>
            <w:r>
              <w:rPr>
                <w:color w:val="auto"/>
                <w:sz w:val="22"/>
                <w:szCs w:val="22"/>
              </w:rPr>
              <w:t>Распознавать и употреблять в устной и письменной речи обозначение даты и года</w:t>
            </w:r>
          </w:p>
        </w:tc>
      </w:tr>
      <w:tr w14:paraId="2738E9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701" w:type="dxa"/>
          </w:tcPr>
          <w:p w14:paraId="6F8491F5">
            <w:pPr>
              <w:pStyle w:val="85"/>
              <w:jc w:val="center"/>
              <w:rPr>
                <w:color w:val="auto"/>
                <w:sz w:val="22"/>
                <w:szCs w:val="22"/>
              </w:rPr>
            </w:pPr>
            <w:r>
              <w:rPr>
                <w:color w:val="auto"/>
                <w:sz w:val="22"/>
                <w:szCs w:val="22"/>
              </w:rPr>
              <w:t>2.4.8</w:t>
            </w:r>
          </w:p>
        </w:tc>
        <w:tc>
          <w:tcPr>
            <w:tcW w:w="7370" w:type="dxa"/>
          </w:tcPr>
          <w:p w14:paraId="6A83F272">
            <w:pPr>
              <w:pStyle w:val="85"/>
              <w:jc w:val="both"/>
              <w:rPr>
                <w:color w:val="auto"/>
                <w:sz w:val="22"/>
                <w:szCs w:val="22"/>
              </w:rPr>
            </w:pPr>
            <w:r>
              <w:rPr>
                <w:color w:val="auto"/>
                <w:sz w:val="22"/>
                <w:szCs w:val="22"/>
              </w:rPr>
              <w:t>Распознавать и употреблять в устной и письменной речи обозначение времени</w:t>
            </w:r>
          </w:p>
        </w:tc>
      </w:tr>
      <w:tr w14:paraId="5F1FAE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701" w:type="dxa"/>
          </w:tcPr>
          <w:p w14:paraId="09426684">
            <w:pPr>
              <w:pStyle w:val="85"/>
              <w:jc w:val="center"/>
              <w:rPr>
                <w:color w:val="auto"/>
                <w:sz w:val="22"/>
                <w:szCs w:val="22"/>
              </w:rPr>
            </w:pPr>
            <w:r>
              <w:rPr>
                <w:color w:val="auto"/>
                <w:sz w:val="22"/>
                <w:szCs w:val="22"/>
              </w:rPr>
              <w:t>3</w:t>
            </w:r>
          </w:p>
        </w:tc>
        <w:tc>
          <w:tcPr>
            <w:tcW w:w="7370" w:type="dxa"/>
          </w:tcPr>
          <w:p w14:paraId="4B736AEF">
            <w:pPr>
              <w:pStyle w:val="85"/>
              <w:jc w:val="both"/>
              <w:rPr>
                <w:color w:val="auto"/>
                <w:sz w:val="22"/>
                <w:szCs w:val="22"/>
              </w:rPr>
            </w:pPr>
            <w:r>
              <w:rPr>
                <w:color w:val="auto"/>
                <w:sz w:val="22"/>
                <w:szCs w:val="22"/>
              </w:rPr>
              <w:t>Социокультурные знания и умения</w:t>
            </w:r>
          </w:p>
        </w:tc>
      </w:tr>
      <w:tr w14:paraId="0F06FF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701" w:type="dxa"/>
          </w:tcPr>
          <w:p w14:paraId="34968F4B">
            <w:pPr>
              <w:pStyle w:val="85"/>
              <w:jc w:val="center"/>
              <w:rPr>
                <w:color w:val="auto"/>
                <w:sz w:val="22"/>
                <w:szCs w:val="22"/>
              </w:rPr>
            </w:pPr>
            <w:r>
              <w:rPr>
                <w:color w:val="auto"/>
                <w:sz w:val="22"/>
                <w:szCs w:val="22"/>
              </w:rPr>
              <w:t>3.1</w:t>
            </w:r>
          </w:p>
        </w:tc>
        <w:tc>
          <w:tcPr>
            <w:tcW w:w="7370" w:type="dxa"/>
          </w:tcPr>
          <w:p w14:paraId="788063EC">
            <w:pPr>
              <w:pStyle w:val="85"/>
              <w:jc w:val="both"/>
              <w:rPr>
                <w:color w:val="auto"/>
                <w:sz w:val="22"/>
                <w:szCs w:val="22"/>
              </w:rPr>
            </w:pPr>
            <w:r>
              <w:rPr>
                <w:color w:val="auto"/>
                <w:sz w:val="22"/>
                <w:szCs w:val="22"/>
              </w:rPr>
              <w:t>Владеть социокультурными элементами речевого поведенческого этикета, принятыми в англоязычной среде, в некоторых ситуациях общения (приветствие, прощание, знакомство, выражение благодарности, извинение, поздравление с днем рождения, Новым годом, Рождеством)</w:t>
            </w:r>
          </w:p>
        </w:tc>
      </w:tr>
      <w:tr w14:paraId="475CCC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701" w:type="dxa"/>
          </w:tcPr>
          <w:p w14:paraId="20227C07">
            <w:pPr>
              <w:pStyle w:val="85"/>
              <w:jc w:val="center"/>
              <w:rPr>
                <w:color w:val="auto"/>
                <w:sz w:val="22"/>
                <w:szCs w:val="22"/>
              </w:rPr>
            </w:pPr>
            <w:r>
              <w:rPr>
                <w:color w:val="auto"/>
                <w:sz w:val="22"/>
                <w:szCs w:val="22"/>
              </w:rPr>
              <w:t>3.2</w:t>
            </w:r>
          </w:p>
        </w:tc>
        <w:tc>
          <w:tcPr>
            <w:tcW w:w="7370" w:type="dxa"/>
          </w:tcPr>
          <w:p w14:paraId="451E7701">
            <w:pPr>
              <w:pStyle w:val="85"/>
              <w:jc w:val="both"/>
              <w:rPr>
                <w:color w:val="auto"/>
                <w:sz w:val="22"/>
                <w:szCs w:val="22"/>
              </w:rPr>
            </w:pPr>
            <w:r>
              <w:rPr>
                <w:color w:val="auto"/>
                <w:sz w:val="22"/>
                <w:szCs w:val="22"/>
              </w:rPr>
              <w:t>Знать названия родной страны и страны (стран) изучаемого языка</w:t>
            </w:r>
          </w:p>
        </w:tc>
      </w:tr>
      <w:tr w14:paraId="785A9E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701" w:type="dxa"/>
          </w:tcPr>
          <w:p w14:paraId="4EFA3DFC">
            <w:pPr>
              <w:pStyle w:val="85"/>
              <w:jc w:val="center"/>
              <w:rPr>
                <w:color w:val="auto"/>
                <w:sz w:val="22"/>
                <w:szCs w:val="22"/>
              </w:rPr>
            </w:pPr>
            <w:r>
              <w:rPr>
                <w:color w:val="auto"/>
                <w:sz w:val="22"/>
                <w:szCs w:val="22"/>
              </w:rPr>
              <w:t>3.3</w:t>
            </w:r>
          </w:p>
        </w:tc>
        <w:tc>
          <w:tcPr>
            <w:tcW w:w="7370" w:type="dxa"/>
          </w:tcPr>
          <w:p w14:paraId="1A8BDAA0">
            <w:pPr>
              <w:pStyle w:val="85"/>
              <w:jc w:val="both"/>
              <w:rPr>
                <w:color w:val="auto"/>
                <w:sz w:val="22"/>
                <w:szCs w:val="22"/>
              </w:rPr>
            </w:pPr>
            <w:r>
              <w:rPr>
                <w:color w:val="auto"/>
                <w:sz w:val="22"/>
                <w:szCs w:val="22"/>
              </w:rPr>
              <w:t>Знать некоторых литературных персонажей</w:t>
            </w:r>
          </w:p>
        </w:tc>
      </w:tr>
      <w:tr w14:paraId="74C171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701" w:type="dxa"/>
          </w:tcPr>
          <w:p w14:paraId="2CC2BB7B">
            <w:pPr>
              <w:pStyle w:val="85"/>
              <w:jc w:val="center"/>
              <w:rPr>
                <w:color w:val="auto"/>
                <w:sz w:val="22"/>
                <w:szCs w:val="22"/>
              </w:rPr>
            </w:pPr>
            <w:r>
              <w:rPr>
                <w:color w:val="auto"/>
                <w:sz w:val="22"/>
                <w:szCs w:val="22"/>
              </w:rPr>
              <w:t>3.4</w:t>
            </w:r>
          </w:p>
        </w:tc>
        <w:tc>
          <w:tcPr>
            <w:tcW w:w="7370" w:type="dxa"/>
          </w:tcPr>
          <w:p w14:paraId="4AC2D8F8">
            <w:pPr>
              <w:pStyle w:val="85"/>
              <w:jc w:val="both"/>
              <w:rPr>
                <w:color w:val="auto"/>
                <w:sz w:val="22"/>
                <w:szCs w:val="22"/>
              </w:rPr>
            </w:pPr>
            <w:r>
              <w:rPr>
                <w:color w:val="auto"/>
                <w:sz w:val="22"/>
                <w:szCs w:val="22"/>
              </w:rPr>
              <w:t>Знать небольшие произведения детского фольклора (рифмовки, песни)</w:t>
            </w:r>
          </w:p>
        </w:tc>
      </w:tr>
      <w:tr w14:paraId="2E20D6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701" w:type="dxa"/>
          </w:tcPr>
          <w:p w14:paraId="44952A08">
            <w:pPr>
              <w:pStyle w:val="85"/>
              <w:jc w:val="center"/>
              <w:rPr>
                <w:color w:val="auto"/>
                <w:sz w:val="22"/>
                <w:szCs w:val="22"/>
              </w:rPr>
            </w:pPr>
            <w:r>
              <w:rPr>
                <w:color w:val="auto"/>
                <w:sz w:val="22"/>
                <w:szCs w:val="22"/>
              </w:rPr>
              <w:t>3.5</w:t>
            </w:r>
          </w:p>
        </w:tc>
        <w:tc>
          <w:tcPr>
            <w:tcW w:w="7370" w:type="dxa"/>
          </w:tcPr>
          <w:p w14:paraId="129E0AA8">
            <w:pPr>
              <w:pStyle w:val="85"/>
              <w:jc w:val="both"/>
              <w:rPr>
                <w:color w:val="auto"/>
                <w:sz w:val="22"/>
                <w:szCs w:val="22"/>
              </w:rPr>
            </w:pPr>
            <w:r>
              <w:rPr>
                <w:color w:val="auto"/>
                <w:sz w:val="22"/>
                <w:szCs w:val="22"/>
              </w:rPr>
              <w:t>Кратко представлять свою страну на иностранном языке в рамках изучаемой тематики</w:t>
            </w:r>
          </w:p>
        </w:tc>
      </w:tr>
    </w:tbl>
    <w:p w14:paraId="50F9D0D9">
      <w:pPr>
        <w:pStyle w:val="85"/>
        <w:jc w:val="both"/>
        <w:rPr>
          <w:color w:val="auto"/>
          <w:sz w:val="22"/>
          <w:szCs w:val="22"/>
        </w:rPr>
      </w:pPr>
    </w:p>
    <w:p w14:paraId="272569FC">
      <w:pPr>
        <w:pStyle w:val="85"/>
        <w:jc w:val="right"/>
        <w:rPr>
          <w:color w:val="auto"/>
          <w:sz w:val="22"/>
          <w:szCs w:val="22"/>
        </w:rPr>
      </w:pPr>
      <w:r>
        <w:rPr>
          <w:color w:val="auto"/>
          <w:sz w:val="22"/>
          <w:szCs w:val="22"/>
        </w:rPr>
        <w:t>Таблица 6.5</w:t>
      </w:r>
    </w:p>
    <w:p w14:paraId="430DAE03">
      <w:pPr>
        <w:pStyle w:val="85"/>
        <w:jc w:val="both"/>
        <w:rPr>
          <w:color w:val="auto"/>
          <w:sz w:val="22"/>
          <w:szCs w:val="22"/>
        </w:rPr>
      </w:pPr>
    </w:p>
    <w:p w14:paraId="68715747">
      <w:pPr>
        <w:pStyle w:val="85"/>
        <w:jc w:val="center"/>
        <w:rPr>
          <w:color w:val="auto"/>
          <w:sz w:val="22"/>
          <w:szCs w:val="22"/>
        </w:rPr>
      </w:pPr>
      <w:r>
        <w:rPr>
          <w:color w:val="auto"/>
          <w:sz w:val="22"/>
          <w:szCs w:val="22"/>
        </w:rPr>
        <w:t>Проверяемые элементы содержания (4 класс)</w:t>
      </w:r>
    </w:p>
    <w:p w14:paraId="3637AEC4">
      <w:pPr>
        <w:pStyle w:val="85"/>
        <w:jc w:val="both"/>
        <w:rPr>
          <w:color w:val="auto"/>
          <w:sz w:val="22"/>
          <w:szCs w:val="22"/>
        </w:rPr>
      </w:pPr>
    </w:p>
    <w:tbl>
      <w:tblPr>
        <w:tblStyle w:val="1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02" w:type="dxa"/>
          <w:left w:w="62" w:type="dxa"/>
          <w:bottom w:w="102" w:type="dxa"/>
          <w:right w:w="62" w:type="dxa"/>
        </w:tblCellMar>
      </w:tblPr>
      <w:tblGrid>
        <w:gridCol w:w="1077"/>
        <w:gridCol w:w="7994"/>
      </w:tblGrid>
      <w:tr w14:paraId="04E29E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077" w:type="dxa"/>
          </w:tcPr>
          <w:p w14:paraId="3BAC677A">
            <w:pPr>
              <w:pStyle w:val="85"/>
              <w:jc w:val="center"/>
              <w:rPr>
                <w:color w:val="auto"/>
                <w:sz w:val="22"/>
                <w:szCs w:val="22"/>
              </w:rPr>
            </w:pPr>
            <w:r>
              <w:rPr>
                <w:color w:val="auto"/>
                <w:sz w:val="22"/>
                <w:szCs w:val="22"/>
              </w:rPr>
              <w:t>Код</w:t>
            </w:r>
          </w:p>
        </w:tc>
        <w:tc>
          <w:tcPr>
            <w:tcW w:w="7994" w:type="dxa"/>
          </w:tcPr>
          <w:p w14:paraId="358C7C7D">
            <w:pPr>
              <w:pStyle w:val="85"/>
              <w:jc w:val="center"/>
              <w:rPr>
                <w:color w:val="auto"/>
                <w:sz w:val="22"/>
                <w:szCs w:val="22"/>
              </w:rPr>
            </w:pPr>
            <w:r>
              <w:rPr>
                <w:color w:val="auto"/>
                <w:sz w:val="22"/>
                <w:szCs w:val="22"/>
              </w:rPr>
              <w:t>Проверяемый элемент содержания</w:t>
            </w:r>
          </w:p>
        </w:tc>
      </w:tr>
      <w:tr w14:paraId="46B4AC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077" w:type="dxa"/>
          </w:tcPr>
          <w:p w14:paraId="223D0233">
            <w:pPr>
              <w:pStyle w:val="85"/>
              <w:jc w:val="center"/>
              <w:rPr>
                <w:color w:val="auto"/>
                <w:sz w:val="22"/>
                <w:szCs w:val="22"/>
              </w:rPr>
            </w:pPr>
            <w:r>
              <w:rPr>
                <w:color w:val="auto"/>
                <w:sz w:val="22"/>
                <w:szCs w:val="22"/>
              </w:rPr>
              <w:t>1</w:t>
            </w:r>
          </w:p>
        </w:tc>
        <w:tc>
          <w:tcPr>
            <w:tcW w:w="7994" w:type="dxa"/>
          </w:tcPr>
          <w:p w14:paraId="0DF4B6F5">
            <w:pPr>
              <w:pStyle w:val="85"/>
              <w:jc w:val="both"/>
              <w:rPr>
                <w:color w:val="auto"/>
                <w:sz w:val="22"/>
                <w:szCs w:val="22"/>
              </w:rPr>
            </w:pPr>
            <w:r>
              <w:rPr>
                <w:color w:val="auto"/>
                <w:sz w:val="22"/>
                <w:szCs w:val="22"/>
              </w:rPr>
              <w:t>Коммуникативные умения</w:t>
            </w:r>
          </w:p>
        </w:tc>
      </w:tr>
      <w:tr w14:paraId="572A77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077" w:type="dxa"/>
          </w:tcPr>
          <w:p w14:paraId="06B82CCF">
            <w:pPr>
              <w:pStyle w:val="85"/>
              <w:jc w:val="center"/>
              <w:rPr>
                <w:color w:val="auto"/>
                <w:sz w:val="22"/>
                <w:szCs w:val="22"/>
              </w:rPr>
            </w:pPr>
            <w:r>
              <w:rPr>
                <w:color w:val="auto"/>
                <w:sz w:val="22"/>
                <w:szCs w:val="22"/>
              </w:rPr>
              <w:t>1.1</w:t>
            </w:r>
          </w:p>
        </w:tc>
        <w:tc>
          <w:tcPr>
            <w:tcW w:w="7994" w:type="dxa"/>
          </w:tcPr>
          <w:p w14:paraId="3695B268">
            <w:pPr>
              <w:pStyle w:val="85"/>
              <w:jc w:val="both"/>
              <w:rPr>
                <w:color w:val="auto"/>
                <w:sz w:val="22"/>
                <w:szCs w:val="22"/>
              </w:rPr>
            </w:pPr>
            <w:r>
              <w:rPr>
                <w:color w:val="auto"/>
                <w:sz w:val="22"/>
                <w:szCs w:val="22"/>
              </w:rPr>
              <w:t>Говорение</w:t>
            </w:r>
          </w:p>
        </w:tc>
      </w:tr>
      <w:tr w14:paraId="018E98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077" w:type="dxa"/>
          </w:tcPr>
          <w:p w14:paraId="4D5D41D8">
            <w:pPr>
              <w:pStyle w:val="85"/>
              <w:jc w:val="center"/>
              <w:rPr>
                <w:color w:val="auto"/>
                <w:sz w:val="22"/>
                <w:szCs w:val="22"/>
              </w:rPr>
            </w:pPr>
            <w:r>
              <w:rPr>
                <w:color w:val="auto"/>
                <w:sz w:val="22"/>
                <w:szCs w:val="22"/>
              </w:rPr>
              <w:t>1.1.1</w:t>
            </w:r>
          </w:p>
        </w:tc>
        <w:tc>
          <w:tcPr>
            <w:tcW w:w="7994" w:type="dxa"/>
          </w:tcPr>
          <w:p w14:paraId="27D4D2C6">
            <w:pPr>
              <w:pStyle w:val="85"/>
              <w:jc w:val="both"/>
              <w:rPr>
                <w:color w:val="auto"/>
                <w:sz w:val="22"/>
                <w:szCs w:val="22"/>
              </w:rPr>
            </w:pPr>
            <w:r>
              <w:rPr>
                <w:color w:val="auto"/>
                <w:sz w:val="22"/>
                <w:szCs w:val="22"/>
              </w:rPr>
              <w:t>Диалогическая речь</w:t>
            </w:r>
          </w:p>
        </w:tc>
      </w:tr>
      <w:tr w14:paraId="6F0C05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077" w:type="dxa"/>
          </w:tcPr>
          <w:p w14:paraId="5067D518">
            <w:pPr>
              <w:pStyle w:val="85"/>
              <w:jc w:val="center"/>
              <w:rPr>
                <w:color w:val="auto"/>
                <w:sz w:val="22"/>
                <w:szCs w:val="22"/>
              </w:rPr>
            </w:pPr>
            <w:r>
              <w:rPr>
                <w:color w:val="auto"/>
                <w:sz w:val="22"/>
                <w:szCs w:val="22"/>
              </w:rPr>
              <w:t>1.1.1.1</w:t>
            </w:r>
          </w:p>
        </w:tc>
        <w:tc>
          <w:tcPr>
            <w:tcW w:w="7994" w:type="dxa"/>
          </w:tcPr>
          <w:p w14:paraId="705C2311">
            <w:pPr>
              <w:pStyle w:val="85"/>
              <w:jc w:val="both"/>
              <w:rPr>
                <w:color w:val="auto"/>
                <w:sz w:val="22"/>
                <w:szCs w:val="22"/>
              </w:rPr>
            </w:pPr>
            <w:r>
              <w:rPr>
                <w:color w:val="auto"/>
                <w:sz w:val="22"/>
                <w:szCs w:val="22"/>
              </w:rPr>
              <w:t>Диалог этикетного характера с использованием речевых ситуаций, ключевых слов и (или) иллюстраций с соблюдением норм речевого этикета, принятых в стране (странах) изучаемого языка: приветствие, ответ на приветствие, завершение разговора (в том числе по телефону), прощание; знакомство с собеседником; поздравление с праздником; выражение благодарности за поздравление; выражение извинения</w:t>
            </w:r>
          </w:p>
        </w:tc>
      </w:tr>
      <w:tr w14:paraId="0C0E97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077" w:type="dxa"/>
          </w:tcPr>
          <w:p w14:paraId="1A970192">
            <w:pPr>
              <w:pStyle w:val="85"/>
              <w:jc w:val="center"/>
              <w:rPr>
                <w:color w:val="auto"/>
                <w:sz w:val="22"/>
                <w:szCs w:val="22"/>
              </w:rPr>
            </w:pPr>
            <w:r>
              <w:rPr>
                <w:color w:val="auto"/>
                <w:sz w:val="22"/>
                <w:szCs w:val="22"/>
              </w:rPr>
              <w:t>1.1.1.2</w:t>
            </w:r>
          </w:p>
        </w:tc>
        <w:tc>
          <w:tcPr>
            <w:tcW w:w="7994" w:type="dxa"/>
          </w:tcPr>
          <w:p w14:paraId="301104C2">
            <w:pPr>
              <w:pStyle w:val="85"/>
              <w:jc w:val="both"/>
              <w:rPr>
                <w:color w:val="auto"/>
                <w:sz w:val="22"/>
                <w:szCs w:val="22"/>
              </w:rPr>
            </w:pPr>
            <w:r>
              <w:rPr>
                <w:color w:val="auto"/>
                <w:sz w:val="22"/>
                <w:szCs w:val="22"/>
              </w:rPr>
              <w:t>Диалог-расспрос с использованием речевых ситуаций, ключевых слов и (или) иллюстраций с соблюдением норм речевого этикета, принятых в стране (странах) изучаемого языка: запрашивание интересующей информации; сообщение фактической информации, ответы на вопросы собеседника</w:t>
            </w:r>
          </w:p>
        </w:tc>
      </w:tr>
      <w:tr w14:paraId="121481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077" w:type="dxa"/>
          </w:tcPr>
          <w:p w14:paraId="15547C2D">
            <w:pPr>
              <w:pStyle w:val="85"/>
              <w:jc w:val="center"/>
              <w:rPr>
                <w:color w:val="auto"/>
                <w:sz w:val="22"/>
                <w:szCs w:val="22"/>
              </w:rPr>
            </w:pPr>
            <w:r>
              <w:rPr>
                <w:color w:val="auto"/>
                <w:sz w:val="22"/>
                <w:szCs w:val="22"/>
              </w:rPr>
              <w:t>1.1.1.3</w:t>
            </w:r>
          </w:p>
        </w:tc>
        <w:tc>
          <w:tcPr>
            <w:tcW w:w="7994" w:type="dxa"/>
          </w:tcPr>
          <w:p w14:paraId="46060DE3">
            <w:pPr>
              <w:pStyle w:val="85"/>
              <w:jc w:val="both"/>
              <w:rPr>
                <w:color w:val="auto"/>
                <w:sz w:val="22"/>
                <w:szCs w:val="22"/>
              </w:rPr>
            </w:pPr>
            <w:r>
              <w:rPr>
                <w:color w:val="auto"/>
                <w:sz w:val="22"/>
                <w:szCs w:val="22"/>
              </w:rPr>
              <w:t>Диалог - побуждение к действию с использованием речевых ситуаций, ключевых слов и (или) иллюстраций с соблюдением норм речевого этикета, принятых в стране (странах) изучаемого языка: обращение к собеседнику с просьбой, вежливое согласие выполнить просьбу; приглашение собеседника к совместной деятельности, вежливое согласие (несогласие) на предложение собеседника</w:t>
            </w:r>
          </w:p>
        </w:tc>
      </w:tr>
      <w:tr w14:paraId="676F91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077" w:type="dxa"/>
          </w:tcPr>
          <w:p w14:paraId="4B114B92">
            <w:pPr>
              <w:pStyle w:val="85"/>
              <w:jc w:val="center"/>
              <w:rPr>
                <w:color w:val="auto"/>
                <w:sz w:val="22"/>
                <w:szCs w:val="22"/>
              </w:rPr>
            </w:pPr>
            <w:r>
              <w:rPr>
                <w:color w:val="auto"/>
                <w:sz w:val="22"/>
                <w:szCs w:val="22"/>
              </w:rPr>
              <w:t>1.1.2</w:t>
            </w:r>
          </w:p>
        </w:tc>
        <w:tc>
          <w:tcPr>
            <w:tcW w:w="7994" w:type="dxa"/>
          </w:tcPr>
          <w:p w14:paraId="7CB5D2A0">
            <w:pPr>
              <w:pStyle w:val="85"/>
              <w:jc w:val="both"/>
              <w:rPr>
                <w:color w:val="auto"/>
                <w:sz w:val="22"/>
                <w:szCs w:val="22"/>
              </w:rPr>
            </w:pPr>
            <w:r>
              <w:rPr>
                <w:color w:val="auto"/>
                <w:sz w:val="22"/>
                <w:szCs w:val="22"/>
              </w:rPr>
              <w:t>Монологическая речь</w:t>
            </w:r>
          </w:p>
        </w:tc>
      </w:tr>
      <w:tr w14:paraId="233804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077" w:type="dxa"/>
          </w:tcPr>
          <w:p w14:paraId="54EA1DFD">
            <w:pPr>
              <w:pStyle w:val="85"/>
              <w:jc w:val="center"/>
              <w:rPr>
                <w:color w:val="auto"/>
                <w:sz w:val="22"/>
                <w:szCs w:val="22"/>
              </w:rPr>
            </w:pPr>
            <w:r>
              <w:rPr>
                <w:color w:val="auto"/>
                <w:sz w:val="22"/>
                <w:szCs w:val="22"/>
              </w:rPr>
              <w:t>1.1.2.1</w:t>
            </w:r>
          </w:p>
        </w:tc>
        <w:tc>
          <w:tcPr>
            <w:tcW w:w="7994" w:type="dxa"/>
          </w:tcPr>
          <w:p w14:paraId="7C0FA864">
            <w:pPr>
              <w:pStyle w:val="85"/>
              <w:jc w:val="both"/>
              <w:rPr>
                <w:color w:val="auto"/>
                <w:sz w:val="22"/>
                <w:szCs w:val="22"/>
              </w:rPr>
            </w:pPr>
            <w:r>
              <w:rPr>
                <w:color w:val="auto"/>
                <w:sz w:val="22"/>
                <w:szCs w:val="22"/>
              </w:rPr>
              <w:t>Описание предмета, внешности и одежды, черт характера реального человека или литературного персонажа с использованием речевых ситуаций, ключевых слов и (или) иллюстраций</w:t>
            </w:r>
          </w:p>
        </w:tc>
      </w:tr>
      <w:tr w14:paraId="51C872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077" w:type="dxa"/>
          </w:tcPr>
          <w:p w14:paraId="21F7A4EB">
            <w:pPr>
              <w:pStyle w:val="85"/>
              <w:jc w:val="center"/>
              <w:rPr>
                <w:color w:val="auto"/>
                <w:sz w:val="22"/>
                <w:szCs w:val="22"/>
              </w:rPr>
            </w:pPr>
            <w:r>
              <w:rPr>
                <w:color w:val="auto"/>
                <w:sz w:val="22"/>
                <w:szCs w:val="22"/>
              </w:rPr>
              <w:t>1.1.2.2</w:t>
            </w:r>
          </w:p>
        </w:tc>
        <w:tc>
          <w:tcPr>
            <w:tcW w:w="7994" w:type="dxa"/>
          </w:tcPr>
          <w:p w14:paraId="765C9AEF">
            <w:pPr>
              <w:pStyle w:val="85"/>
              <w:jc w:val="both"/>
              <w:rPr>
                <w:color w:val="auto"/>
                <w:sz w:val="22"/>
                <w:szCs w:val="22"/>
              </w:rPr>
            </w:pPr>
            <w:r>
              <w:rPr>
                <w:color w:val="auto"/>
                <w:sz w:val="22"/>
                <w:szCs w:val="22"/>
              </w:rPr>
              <w:t>Рассказ (сообщение, повествование) с использованием речевых ситуаций, ключевых слов и (или) иллюстраций</w:t>
            </w:r>
          </w:p>
        </w:tc>
      </w:tr>
      <w:tr w14:paraId="1389FB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077" w:type="dxa"/>
          </w:tcPr>
          <w:p w14:paraId="218D2624">
            <w:pPr>
              <w:pStyle w:val="85"/>
              <w:jc w:val="center"/>
              <w:rPr>
                <w:color w:val="auto"/>
                <w:sz w:val="22"/>
                <w:szCs w:val="22"/>
              </w:rPr>
            </w:pPr>
            <w:r>
              <w:rPr>
                <w:color w:val="auto"/>
                <w:sz w:val="22"/>
                <w:szCs w:val="22"/>
              </w:rPr>
              <w:t>1.1.2.3</w:t>
            </w:r>
          </w:p>
        </w:tc>
        <w:tc>
          <w:tcPr>
            <w:tcW w:w="7994" w:type="dxa"/>
          </w:tcPr>
          <w:p w14:paraId="54A38D00">
            <w:pPr>
              <w:pStyle w:val="85"/>
              <w:jc w:val="both"/>
              <w:rPr>
                <w:color w:val="auto"/>
                <w:sz w:val="22"/>
                <w:szCs w:val="22"/>
              </w:rPr>
            </w:pPr>
            <w:r>
              <w:rPr>
                <w:color w:val="auto"/>
                <w:sz w:val="22"/>
                <w:szCs w:val="22"/>
              </w:rPr>
              <w:t>Создание устных монологических высказываний в рамках тематического содержания речи по образцу (с выражением своего отношения к предмету речи)</w:t>
            </w:r>
          </w:p>
        </w:tc>
      </w:tr>
      <w:tr w14:paraId="56E98F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077" w:type="dxa"/>
          </w:tcPr>
          <w:p w14:paraId="57D3CBF4">
            <w:pPr>
              <w:pStyle w:val="85"/>
              <w:jc w:val="center"/>
              <w:rPr>
                <w:color w:val="auto"/>
                <w:sz w:val="22"/>
                <w:szCs w:val="22"/>
              </w:rPr>
            </w:pPr>
            <w:r>
              <w:rPr>
                <w:color w:val="auto"/>
                <w:sz w:val="22"/>
                <w:szCs w:val="22"/>
              </w:rPr>
              <w:t>1.1.2.4</w:t>
            </w:r>
          </w:p>
        </w:tc>
        <w:tc>
          <w:tcPr>
            <w:tcW w:w="7994" w:type="dxa"/>
          </w:tcPr>
          <w:p w14:paraId="6FFE3EAF">
            <w:pPr>
              <w:pStyle w:val="85"/>
              <w:jc w:val="both"/>
              <w:rPr>
                <w:color w:val="auto"/>
                <w:sz w:val="22"/>
                <w:szCs w:val="22"/>
              </w:rPr>
            </w:pPr>
            <w:r>
              <w:rPr>
                <w:color w:val="auto"/>
                <w:sz w:val="22"/>
                <w:szCs w:val="22"/>
              </w:rPr>
              <w:t>Пересказ основного содержания прочитанного текста с использованием речевых ситуаций, ключевых слов и (или) иллюстраций</w:t>
            </w:r>
          </w:p>
        </w:tc>
      </w:tr>
      <w:tr w14:paraId="08BE6B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077" w:type="dxa"/>
          </w:tcPr>
          <w:p w14:paraId="4F5D948F">
            <w:pPr>
              <w:pStyle w:val="85"/>
              <w:jc w:val="center"/>
              <w:rPr>
                <w:color w:val="auto"/>
                <w:sz w:val="22"/>
                <w:szCs w:val="22"/>
              </w:rPr>
            </w:pPr>
            <w:r>
              <w:rPr>
                <w:color w:val="auto"/>
                <w:sz w:val="22"/>
                <w:szCs w:val="22"/>
              </w:rPr>
              <w:t>1.1.2.5</w:t>
            </w:r>
          </w:p>
        </w:tc>
        <w:tc>
          <w:tcPr>
            <w:tcW w:w="7994" w:type="dxa"/>
          </w:tcPr>
          <w:p w14:paraId="38F8DCD8">
            <w:pPr>
              <w:pStyle w:val="85"/>
              <w:jc w:val="both"/>
              <w:rPr>
                <w:color w:val="auto"/>
                <w:sz w:val="22"/>
                <w:szCs w:val="22"/>
              </w:rPr>
            </w:pPr>
            <w:r>
              <w:rPr>
                <w:color w:val="auto"/>
                <w:sz w:val="22"/>
                <w:szCs w:val="22"/>
              </w:rPr>
              <w:t>Краткое устное изложение результатов выполненного несложного проектного задания</w:t>
            </w:r>
          </w:p>
        </w:tc>
      </w:tr>
      <w:tr w14:paraId="2B4C64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077" w:type="dxa"/>
          </w:tcPr>
          <w:p w14:paraId="66E341C2">
            <w:pPr>
              <w:pStyle w:val="85"/>
              <w:jc w:val="center"/>
              <w:rPr>
                <w:color w:val="auto"/>
                <w:sz w:val="22"/>
                <w:szCs w:val="22"/>
              </w:rPr>
            </w:pPr>
            <w:r>
              <w:rPr>
                <w:color w:val="auto"/>
                <w:sz w:val="22"/>
                <w:szCs w:val="22"/>
              </w:rPr>
              <w:t>1.2</w:t>
            </w:r>
          </w:p>
        </w:tc>
        <w:tc>
          <w:tcPr>
            <w:tcW w:w="7994" w:type="dxa"/>
          </w:tcPr>
          <w:p w14:paraId="018BE774">
            <w:pPr>
              <w:pStyle w:val="85"/>
              <w:jc w:val="both"/>
              <w:rPr>
                <w:color w:val="auto"/>
                <w:sz w:val="22"/>
                <w:szCs w:val="22"/>
              </w:rPr>
            </w:pPr>
            <w:r>
              <w:rPr>
                <w:color w:val="auto"/>
                <w:sz w:val="22"/>
                <w:szCs w:val="22"/>
              </w:rPr>
              <w:t>Аудирование</w:t>
            </w:r>
          </w:p>
        </w:tc>
      </w:tr>
      <w:tr w14:paraId="74F8A7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077" w:type="dxa"/>
          </w:tcPr>
          <w:p w14:paraId="72306674">
            <w:pPr>
              <w:pStyle w:val="85"/>
              <w:jc w:val="center"/>
              <w:rPr>
                <w:color w:val="auto"/>
                <w:sz w:val="22"/>
                <w:szCs w:val="22"/>
              </w:rPr>
            </w:pPr>
            <w:r>
              <w:rPr>
                <w:color w:val="auto"/>
                <w:sz w:val="22"/>
                <w:szCs w:val="22"/>
              </w:rPr>
              <w:t>1.2.1</w:t>
            </w:r>
          </w:p>
        </w:tc>
        <w:tc>
          <w:tcPr>
            <w:tcW w:w="7994" w:type="dxa"/>
          </w:tcPr>
          <w:p w14:paraId="394388EA">
            <w:pPr>
              <w:pStyle w:val="85"/>
              <w:jc w:val="both"/>
              <w:rPr>
                <w:color w:val="auto"/>
                <w:sz w:val="22"/>
                <w:szCs w:val="22"/>
              </w:rPr>
            </w:pPr>
            <w:r>
              <w:rPr>
                <w:color w:val="auto"/>
                <w:sz w:val="22"/>
                <w:szCs w:val="22"/>
              </w:rPr>
              <w:t>Понимание на слух речи учителя и других обучающихся и вербальная (невербальная) реакция на услышанное (при непосредственном общении)</w:t>
            </w:r>
          </w:p>
        </w:tc>
      </w:tr>
      <w:tr w14:paraId="3CC60D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077" w:type="dxa"/>
          </w:tcPr>
          <w:p w14:paraId="6EC8BE89">
            <w:pPr>
              <w:pStyle w:val="85"/>
              <w:jc w:val="center"/>
              <w:rPr>
                <w:color w:val="auto"/>
                <w:sz w:val="22"/>
                <w:szCs w:val="22"/>
              </w:rPr>
            </w:pPr>
            <w:r>
              <w:rPr>
                <w:color w:val="auto"/>
                <w:sz w:val="22"/>
                <w:szCs w:val="22"/>
              </w:rPr>
              <w:t>1.2.2</w:t>
            </w:r>
          </w:p>
        </w:tc>
        <w:tc>
          <w:tcPr>
            <w:tcW w:w="7994" w:type="dxa"/>
          </w:tcPr>
          <w:p w14:paraId="362ECFEF">
            <w:pPr>
              <w:pStyle w:val="85"/>
              <w:jc w:val="both"/>
              <w:rPr>
                <w:color w:val="auto"/>
                <w:sz w:val="22"/>
                <w:szCs w:val="22"/>
              </w:rPr>
            </w:pPr>
            <w:r>
              <w:rPr>
                <w:color w:val="auto"/>
                <w:sz w:val="22"/>
                <w:szCs w:val="22"/>
              </w:rPr>
              <w:t>Аудирование с пониманием основного содержания учебных и адаптированных аутентичных текстов, построенных на изученном языковом материале: определение основной темы и главных фактов (событий) в воспринимаемом на слух тексте с использованием иллюстраций и языковой, в том числе контекстуальной, догадки</w:t>
            </w:r>
          </w:p>
        </w:tc>
      </w:tr>
      <w:tr w14:paraId="5A1D7F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077" w:type="dxa"/>
          </w:tcPr>
          <w:p w14:paraId="25E26454">
            <w:pPr>
              <w:pStyle w:val="85"/>
              <w:jc w:val="center"/>
              <w:rPr>
                <w:color w:val="auto"/>
                <w:sz w:val="22"/>
                <w:szCs w:val="22"/>
              </w:rPr>
            </w:pPr>
            <w:r>
              <w:rPr>
                <w:color w:val="auto"/>
                <w:sz w:val="22"/>
                <w:szCs w:val="22"/>
              </w:rPr>
              <w:t>1.2.3</w:t>
            </w:r>
          </w:p>
        </w:tc>
        <w:tc>
          <w:tcPr>
            <w:tcW w:w="7994" w:type="dxa"/>
          </w:tcPr>
          <w:p w14:paraId="5612BB09">
            <w:pPr>
              <w:pStyle w:val="85"/>
              <w:jc w:val="both"/>
              <w:rPr>
                <w:color w:val="auto"/>
                <w:sz w:val="22"/>
                <w:szCs w:val="22"/>
              </w:rPr>
            </w:pPr>
            <w:r>
              <w:rPr>
                <w:color w:val="auto"/>
                <w:sz w:val="22"/>
                <w:szCs w:val="22"/>
              </w:rPr>
              <w:t>Аудирование с пониманием запрашиваемой информации в учебных и адаптированных аутентичных текстах, построенных на изученном языковом материале: выделение запрашиваемой информации фактического характера с использованием иллюстраций и языковой, в том числе контекстуальной, догадки</w:t>
            </w:r>
          </w:p>
        </w:tc>
      </w:tr>
      <w:tr w14:paraId="17CF15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077" w:type="dxa"/>
          </w:tcPr>
          <w:p w14:paraId="5CAD8EBF">
            <w:pPr>
              <w:pStyle w:val="85"/>
              <w:jc w:val="center"/>
              <w:rPr>
                <w:color w:val="auto"/>
                <w:sz w:val="22"/>
                <w:szCs w:val="22"/>
              </w:rPr>
            </w:pPr>
            <w:r>
              <w:rPr>
                <w:color w:val="auto"/>
                <w:sz w:val="22"/>
                <w:szCs w:val="22"/>
              </w:rPr>
              <w:t>1.3</w:t>
            </w:r>
          </w:p>
        </w:tc>
        <w:tc>
          <w:tcPr>
            <w:tcW w:w="7994" w:type="dxa"/>
          </w:tcPr>
          <w:p w14:paraId="707A6049">
            <w:pPr>
              <w:pStyle w:val="85"/>
              <w:jc w:val="both"/>
              <w:rPr>
                <w:color w:val="auto"/>
                <w:sz w:val="22"/>
                <w:szCs w:val="22"/>
              </w:rPr>
            </w:pPr>
            <w:r>
              <w:rPr>
                <w:color w:val="auto"/>
                <w:sz w:val="22"/>
                <w:szCs w:val="22"/>
              </w:rPr>
              <w:t>Смысловое чтение</w:t>
            </w:r>
          </w:p>
        </w:tc>
      </w:tr>
      <w:tr w14:paraId="53D629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077" w:type="dxa"/>
          </w:tcPr>
          <w:p w14:paraId="0F65447B">
            <w:pPr>
              <w:pStyle w:val="85"/>
              <w:jc w:val="center"/>
              <w:rPr>
                <w:color w:val="auto"/>
                <w:sz w:val="22"/>
                <w:szCs w:val="22"/>
              </w:rPr>
            </w:pPr>
            <w:r>
              <w:rPr>
                <w:color w:val="auto"/>
                <w:sz w:val="22"/>
                <w:szCs w:val="22"/>
              </w:rPr>
              <w:t>1.3.1</w:t>
            </w:r>
          </w:p>
        </w:tc>
        <w:tc>
          <w:tcPr>
            <w:tcW w:w="7994" w:type="dxa"/>
          </w:tcPr>
          <w:p w14:paraId="0C3CF6EA">
            <w:pPr>
              <w:pStyle w:val="85"/>
              <w:jc w:val="both"/>
              <w:rPr>
                <w:color w:val="auto"/>
                <w:sz w:val="22"/>
                <w:szCs w:val="22"/>
              </w:rPr>
            </w:pPr>
            <w:r>
              <w:rPr>
                <w:color w:val="auto"/>
                <w:sz w:val="22"/>
                <w:szCs w:val="22"/>
              </w:rPr>
              <w:t>Чтение вслух учебных текстов с соблюдением правил чтения и соответствующей интонацией, понимание прочитанного</w:t>
            </w:r>
          </w:p>
        </w:tc>
      </w:tr>
      <w:tr w14:paraId="3CAC2B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077" w:type="dxa"/>
          </w:tcPr>
          <w:p w14:paraId="67D28A20">
            <w:pPr>
              <w:pStyle w:val="85"/>
              <w:jc w:val="center"/>
              <w:rPr>
                <w:color w:val="auto"/>
                <w:sz w:val="22"/>
                <w:szCs w:val="22"/>
              </w:rPr>
            </w:pPr>
            <w:r>
              <w:rPr>
                <w:color w:val="auto"/>
                <w:sz w:val="22"/>
                <w:szCs w:val="22"/>
              </w:rPr>
              <w:t>1.3.2</w:t>
            </w:r>
          </w:p>
        </w:tc>
        <w:tc>
          <w:tcPr>
            <w:tcW w:w="7994" w:type="dxa"/>
          </w:tcPr>
          <w:p w14:paraId="781B52FF">
            <w:pPr>
              <w:pStyle w:val="85"/>
              <w:jc w:val="both"/>
              <w:rPr>
                <w:color w:val="auto"/>
                <w:sz w:val="22"/>
                <w:szCs w:val="22"/>
              </w:rPr>
            </w:pPr>
            <w:r>
              <w:rPr>
                <w:color w:val="auto"/>
                <w:sz w:val="22"/>
                <w:szCs w:val="22"/>
              </w:rPr>
              <w:t>Чтение про себя и понимание основного содержания (тема, главная мысль, главные факты (события) учебных и адаптированных аутентичных текстов, построенных на изученном языковом материале, содержащих отдельные незнакомые слова, с использованием иллюстраций и языковой, в том числе контекстуальной, догадки</w:t>
            </w:r>
          </w:p>
        </w:tc>
      </w:tr>
      <w:tr w14:paraId="13904C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077" w:type="dxa"/>
          </w:tcPr>
          <w:p w14:paraId="36F72730">
            <w:pPr>
              <w:pStyle w:val="85"/>
              <w:jc w:val="center"/>
              <w:rPr>
                <w:color w:val="auto"/>
                <w:sz w:val="22"/>
                <w:szCs w:val="22"/>
              </w:rPr>
            </w:pPr>
            <w:r>
              <w:rPr>
                <w:color w:val="auto"/>
                <w:sz w:val="22"/>
                <w:szCs w:val="22"/>
              </w:rPr>
              <w:t>1.3.3</w:t>
            </w:r>
          </w:p>
        </w:tc>
        <w:tc>
          <w:tcPr>
            <w:tcW w:w="7994" w:type="dxa"/>
          </w:tcPr>
          <w:p w14:paraId="03E0ABF9">
            <w:pPr>
              <w:pStyle w:val="85"/>
              <w:jc w:val="both"/>
              <w:rPr>
                <w:color w:val="auto"/>
                <w:sz w:val="22"/>
                <w:szCs w:val="22"/>
              </w:rPr>
            </w:pPr>
            <w:r>
              <w:rPr>
                <w:color w:val="auto"/>
                <w:sz w:val="22"/>
                <w:szCs w:val="22"/>
              </w:rPr>
              <w:t>Чтение про себя и понимание запрашиваемой информации в учебных и адаптированных аутентичных текстах, построенных на изученном языковом материале, содержащих отдельные незнакомые слова: нахождение в прочитанном тексте и понимание запрашиваемой информации фактического характера с использованием иллюстраций и языковой, в том числе контекстуальной, догадки</w:t>
            </w:r>
          </w:p>
        </w:tc>
      </w:tr>
      <w:tr w14:paraId="204C0F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077" w:type="dxa"/>
          </w:tcPr>
          <w:p w14:paraId="545E6951">
            <w:pPr>
              <w:pStyle w:val="85"/>
              <w:jc w:val="center"/>
              <w:rPr>
                <w:color w:val="auto"/>
                <w:sz w:val="22"/>
                <w:szCs w:val="22"/>
              </w:rPr>
            </w:pPr>
            <w:r>
              <w:rPr>
                <w:color w:val="auto"/>
                <w:sz w:val="22"/>
                <w:szCs w:val="22"/>
              </w:rPr>
              <w:t>1.3.4</w:t>
            </w:r>
          </w:p>
        </w:tc>
        <w:tc>
          <w:tcPr>
            <w:tcW w:w="7994" w:type="dxa"/>
          </w:tcPr>
          <w:p w14:paraId="1FB547EB">
            <w:pPr>
              <w:pStyle w:val="85"/>
              <w:jc w:val="both"/>
              <w:rPr>
                <w:color w:val="auto"/>
                <w:sz w:val="22"/>
                <w:szCs w:val="22"/>
              </w:rPr>
            </w:pPr>
            <w:r>
              <w:rPr>
                <w:color w:val="auto"/>
                <w:sz w:val="22"/>
                <w:szCs w:val="22"/>
              </w:rPr>
              <w:t>Прогнозирование содержания текста по заголовку</w:t>
            </w:r>
          </w:p>
        </w:tc>
      </w:tr>
      <w:tr w14:paraId="600C09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077" w:type="dxa"/>
          </w:tcPr>
          <w:p w14:paraId="3D3DD2AD">
            <w:pPr>
              <w:pStyle w:val="85"/>
              <w:jc w:val="center"/>
              <w:rPr>
                <w:color w:val="auto"/>
                <w:sz w:val="22"/>
                <w:szCs w:val="22"/>
              </w:rPr>
            </w:pPr>
            <w:r>
              <w:rPr>
                <w:color w:val="auto"/>
                <w:sz w:val="22"/>
                <w:szCs w:val="22"/>
              </w:rPr>
              <w:t>1.3.5</w:t>
            </w:r>
          </w:p>
        </w:tc>
        <w:tc>
          <w:tcPr>
            <w:tcW w:w="7994" w:type="dxa"/>
          </w:tcPr>
          <w:p w14:paraId="2CE126DA">
            <w:pPr>
              <w:pStyle w:val="85"/>
              <w:jc w:val="both"/>
              <w:rPr>
                <w:color w:val="auto"/>
                <w:sz w:val="22"/>
                <w:szCs w:val="22"/>
              </w:rPr>
            </w:pPr>
            <w:r>
              <w:rPr>
                <w:color w:val="auto"/>
                <w:sz w:val="22"/>
                <w:szCs w:val="22"/>
              </w:rPr>
              <w:t>Чтение про себя несплошных текстов (таблиц, диаграмм) и понимание представленной в них информации</w:t>
            </w:r>
          </w:p>
        </w:tc>
      </w:tr>
      <w:tr w14:paraId="099211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077" w:type="dxa"/>
          </w:tcPr>
          <w:p w14:paraId="65F8B5C0">
            <w:pPr>
              <w:pStyle w:val="85"/>
              <w:jc w:val="center"/>
              <w:rPr>
                <w:color w:val="auto"/>
                <w:sz w:val="22"/>
                <w:szCs w:val="22"/>
              </w:rPr>
            </w:pPr>
            <w:r>
              <w:rPr>
                <w:color w:val="auto"/>
                <w:sz w:val="22"/>
                <w:szCs w:val="22"/>
              </w:rPr>
              <w:t>1.4</w:t>
            </w:r>
          </w:p>
        </w:tc>
        <w:tc>
          <w:tcPr>
            <w:tcW w:w="7994" w:type="dxa"/>
          </w:tcPr>
          <w:p w14:paraId="217A8494">
            <w:pPr>
              <w:pStyle w:val="85"/>
              <w:jc w:val="both"/>
              <w:rPr>
                <w:color w:val="auto"/>
                <w:sz w:val="22"/>
                <w:szCs w:val="22"/>
              </w:rPr>
            </w:pPr>
            <w:r>
              <w:rPr>
                <w:color w:val="auto"/>
                <w:sz w:val="22"/>
                <w:szCs w:val="22"/>
              </w:rPr>
              <w:t>Письмо</w:t>
            </w:r>
          </w:p>
        </w:tc>
      </w:tr>
      <w:tr w14:paraId="42C660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077" w:type="dxa"/>
          </w:tcPr>
          <w:p w14:paraId="3F665C51">
            <w:pPr>
              <w:pStyle w:val="85"/>
              <w:jc w:val="center"/>
              <w:rPr>
                <w:color w:val="auto"/>
                <w:sz w:val="22"/>
                <w:szCs w:val="22"/>
              </w:rPr>
            </w:pPr>
            <w:r>
              <w:rPr>
                <w:color w:val="auto"/>
                <w:sz w:val="22"/>
                <w:szCs w:val="22"/>
              </w:rPr>
              <w:t>1.4.1</w:t>
            </w:r>
          </w:p>
        </w:tc>
        <w:tc>
          <w:tcPr>
            <w:tcW w:w="7994" w:type="dxa"/>
          </w:tcPr>
          <w:p w14:paraId="159EA566">
            <w:pPr>
              <w:pStyle w:val="85"/>
              <w:jc w:val="both"/>
              <w:rPr>
                <w:color w:val="auto"/>
                <w:sz w:val="22"/>
                <w:szCs w:val="22"/>
              </w:rPr>
            </w:pPr>
            <w:r>
              <w:rPr>
                <w:color w:val="auto"/>
                <w:sz w:val="22"/>
                <w:szCs w:val="22"/>
              </w:rPr>
              <w:t>Выписывание из текста слов, словосочетаний, предложений; вставка пропущенных букв в слово или слов в предложение в соответствии с решаемой коммуникативной (учебной) задачей</w:t>
            </w:r>
          </w:p>
        </w:tc>
      </w:tr>
      <w:tr w14:paraId="635464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077" w:type="dxa"/>
          </w:tcPr>
          <w:p w14:paraId="59818892">
            <w:pPr>
              <w:pStyle w:val="85"/>
              <w:jc w:val="center"/>
              <w:rPr>
                <w:color w:val="auto"/>
                <w:sz w:val="22"/>
                <w:szCs w:val="22"/>
              </w:rPr>
            </w:pPr>
            <w:r>
              <w:rPr>
                <w:color w:val="auto"/>
                <w:sz w:val="22"/>
                <w:szCs w:val="22"/>
              </w:rPr>
              <w:t>1.4.2</w:t>
            </w:r>
          </w:p>
        </w:tc>
        <w:tc>
          <w:tcPr>
            <w:tcW w:w="7994" w:type="dxa"/>
          </w:tcPr>
          <w:p w14:paraId="7AB8398A">
            <w:pPr>
              <w:pStyle w:val="85"/>
              <w:jc w:val="both"/>
              <w:rPr>
                <w:color w:val="auto"/>
                <w:sz w:val="22"/>
                <w:szCs w:val="22"/>
              </w:rPr>
            </w:pPr>
            <w:r>
              <w:rPr>
                <w:color w:val="auto"/>
                <w:sz w:val="22"/>
                <w:szCs w:val="22"/>
              </w:rPr>
              <w:t>Заполнение простых анкет и формуляров с указанием личной информации (имя, фамилия, возраст, местожительство (страна проживания, населенный пункт), любимые занятия) в соответствии с нормами, принятыми в стране (странах) изучаемого языка</w:t>
            </w:r>
          </w:p>
        </w:tc>
      </w:tr>
      <w:tr w14:paraId="30B232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077" w:type="dxa"/>
          </w:tcPr>
          <w:p w14:paraId="1E9B4DB4">
            <w:pPr>
              <w:pStyle w:val="85"/>
              <w:jc w:val="center"/>
              <w:rPr>
                <w:color w:val="auto"/>
                <w:sz w:val="22"/>
                <w:szCs w:val="22"/>
              </w:rPr>
            </w:pPr>
            <w:r>
              <w:rPr>
                <w:color w:val="auto"/>
                <w:sz w:val="22"/>
                <w:szCs w:val="22"/>
              </w:rPr>
              <w:t>1.4.3</w:t>
            </w:r>
          </w:p>
        </w:tc>
        <w:tc>
          <w:tcPr>
            <w:tcW w:w="7994" w:type="dxa"/>
          </w:tcPr>
          <w:p w14:paraId="177947CF">
            <w:pPr>
              <w:pStyle w:val="85"/>
              <w:jc w:val="both"/>
              <w:rPr>
                <w:color w:val="auto"/>
                <w:sz w:val="22"/>
                <w:szCs w:val="22"/>
              </w:rPr>
            </w:pPr>
            <w:r>
              <w:rPr>
                <w:color w:val="auto"/>
                <w:sz w:val="22"/>
                <w:szCs w:val="22"/>
              </w:rPr>
              <w:t>Написание с использованием образца поздравления с праздниками (с днем рождения, Новым годом, Рождеством) с выражением пожеланий</w:t>
            </w:r>
          </w:p>
        </w:tc>
      </w:tr>
      <w:tr w14:paraId="76C495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077" w:type="dxa"/>
          </w:tcPr>
          <w:p w14:paraId="2658D1A3">
            <w:pPr>
              <w:pStyle w:val="85"/>
              <w:jc w:val="center"/>
              <w:rPr>
                <w:color w:val="auto"/>
                <w:sz w:val="22"/>
                <w:szCs w:val="22"/>
              </w:rPr>
            </w:pPr>
            <w:r>
              <w:rPr>
                <w:color w:val="auto"/>
                <w:sz w:val="22"/>
                <w:szCs w:val="22"/>
              </w:rPr>
              <w:t>1.4.4</w:t>
            </w:r>
          </w:p>
        </w:tc>
        <w:tc>
          <w:tcPr>
            <w:tcW w:w="7994" w:type="dxa"/>
          </w:tcPr>
          <w:p w14:paraId="27ABB2B8">
            <w:pPr>
              <w:pStyle w:val="85"/>
              <w:jc w:val="both"/>
              <w:rPr>
                <w:color w:val="auto"/>
                <w:sz w:val="22"/>
                <w:szCs w:val="22"/>
              </w:rPr>
            </w:pPr>
            <w:r>
              <w:rPr>
                <w:color w:val="auto"/>
                <w:sz w:val="22"/>
                <w:szCs w:val="22"/>
              </w:rPr>
              <w:t>Написание электронного сообщения личного характера с использованием образца</w:t>
            </w:r>
          </w:p>
        </w:tc>
      </w:tr>
      <w:tr w14:paraId="5A0579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077" w:type="dxa"/>
          </w:tcPr>
          <w:p w14:paraId="6C7553DB">
            <w:pPr>
              <w:pStyle w:val="85"/>
              <w:jc w:val="center"/>
              <w:rPr>
                <w:color w:val="auto"/>
                <w:sz w:val="22"/>
                <w:szCs w:val="22"/>
              </w:rPr>
            </w:pPr>
            <w:r>
              <w:rPr>
                <w:color w:val="auto"/>
                <w:sz w:val="22"/>
                <w:szCs w:val="22"/>
              </w:rPr>
              <w:t>2</w:t>
            </w:r>
          </w:p>
        </w:tc>
        <w:tc>
          <w:tcPr>
            <w:tcW w:w="7994" w:type="dxa"/>
          </w:tcPr>
          <w:p w14:paraId="095263EF">
            <w:pPr>
              <w:pStyle w:val="85"/>
              <w:jc w:val="both"/>
              <w:rPr>
                <w:color w:val="auto"/>
                <w:sz w:val="22"/>
                <w:szCs w:val="22"/>
              </w:rPr>
            </w:pPr>
            <w:r>
              <w:rPr>
                <w:color w:val="auto"/>
                <w:sz w:val="22"/>
                <w:szCs w:val="22"/>
              </w:rPr>
              <w:t>Языковые знания и навыки</w:t>
            </w:r>
          </w:p>
        </w:tc>
      </w:tr>
      <w:tr w14:paraId="4DD687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077" w:type="dxa"/>
          </w:tcPr>
          <w:p w14:paraId="11FA2DC1">
            <w:pPr>
              <w:pStyle w:val="85"/>
              <w:jc w:val="center"/>
              <w:rPr>
                <w:color w:val="auto"/>
                <w:sz w:val="22"/>
                <w:szCs w:val="22"/>
              </w:rPr>
            </w:pPr>
            <w:r>
              <w:rPr>
                <w:color w:val="auto"/>
                <w:sz w:val="22"/>
                <w:szCs w:val="22"/>
              </w:rPr>
              <w:t>2.1</w:t>
            </w:r>
          </w:p>
        </w:tc>
        <w:tc>
          <w:tcPr>
            <w:tcW w:w="7994" w:type="dxa"/>
          </w:tcPr>
          <w:p w14:paraId="4D131EA6">
            <w:pPr>
              <w:pStyle w:val="85"/>
              <w:jc w:val="both"/>
              <w:rPr>
                <w:color w:val="auto"/>
                <w:sz w:val="22"/>
                <w:szCs w:val="22"/>
              </w:rPr>
            </w:pPr>
            <w:r>
              <w:rPr>
                <w:color w:val="auto"/>
                <w:sz w:val="22"/>
                <w:szCs w:val="22"/>
              </w:rPr>
              <w:t>Фонетическая сторона речи</w:t>
            </w:r>
          </w:p>
        </w:tc>
      </w:tr>
      <w:tr w14:paraId="53AE21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077" w:type="dxa"/>
          </w:tcPr>
          <w:p w14:paraId="5A5FD55B">
            <w:pPr>
              <w:pStyle w:val="85"/>
              <w:jc w:val="center"/>
              <w:rPr>
                <w:color w:val="auto"/>
                <w:sz w:val="22"/>
                <w:szCs w:val="22"/>
              </w:rPr>
            </w:pPr>
            <w:r>
              <w:rPr>
                <w:color w:val="auto"/>
                <w:sz w:val="22"/>
                <w:szCs w:val="22"/>
              </w:rPr>
              <w:t>2.1.1</w:t>
            </w:r>
          </w:p>
        </w:tc>
        <w:tc>
          <w:tcPr>
            <w:tcW w:w="7994" w:type="dxa"/>
          </w:tcPr>
          <w:p w14:paraId="2E80C5F0">
            <w:pPr>
              <w:pStyle w:val="85"/>
              <w:jc w:val="both"/>
              <w:rPr>
                <w:color w:val="auto"/>
                <w:sz w:val="22"/>
                <w:szCs w:val="22"/>
              </w:rPr>
            </w:pPr>
            <w:r>
              <w:rPr>
                <w:color w:val="auto"/>
                <w:sz w:val="22"/>
                <w:szCs w:val="22"/>
              </w:rPr>
              <w:t>Нормы произношения: долгота и краткость гласных, отсутствие оглушения звонких согласных в конце слога или слова, отсутствие смягчения согласных перед гласными. Связующее "r" (there is/there are)</w:t>
            </w:r>
          </w:p>
        </w:tc>
      </w:tr>
      <w:tr w14:paraId="2E07C0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077" w:type="dxa"/>
          </w:tcPr>
          <w:p w14:paraId="09AF874E">
            <w:pPr>
              <w:pStyle w:val="85"/>
              <w:jc w:val="center"/>
              <w:rPr>
                <w:color w:val="auto"/>
                <w:sz w:val="22"/>
                <w:szCs w:val="22"/>
              </w:rPr>
            </w:pPr>
            <w:r>
              <w:rPr>
                <w:color w:val="auto"/>
                <w:sz w:val="22"/>
                <w:szCs w:val="22"/>
              </w:rPr>
              <w:t>2.1.2</w:t>
            </w:r>
          </w:p>
        </w:tc>
        <w:tc>
          <w:tcPr>
            <w:tcW w:w="7994" w:type="dxa"/>
          </w:tcPr>
          <w:p w14:paraId="1ECBB9CA">
            <w:pPr>
              <w:pStyle w:val="85"/>
              <w:jc w:val="both"/>
              <w:rPr>
                <w:color w:val="auto"/>
                <w:sz w:val="22"/>
                <w:szCs w:val="22"/>
              </w:rPr>
            </w:pPr>
            <w:r>
              <w:rPr>
                <w:color w:val="auto"/>
                <w:sz w:val="22"/>
                <w:szCs w:val="22"/>
              </w:rPr>
              <w:t>Правила чтения: гласных в открытом и закрытом слоге в односложных словах, гласных в третьем типе слога (гласная + r); согласных; основных звукобуквенных сочетаний, в частности сложных сочетаний букв (например, tion, ight) в односложных, двусложных и многосложных словах. Выделение из слова некоторых звукобуквенных сочетаний при анализе изученных слов</w:t>
            </w:r>
          </w:p>
        </w:tc>
      </w:tr>
      <w:tr w14:paraId="53E3B8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077" w:type="dxa"/>
          </w:tcPr>
          <w:p w14:paraId="7FF7D967">
            <w:pPr>
              <w:pStyle w:val="85"/>
              <w:jc w:val="center"/>
              <w:rPr>
                <w:color w:val="auto"/>
                <w:sz w:val="22"/>
                <w:szCs w:val="22"/>
              </w:rPr>
            </w:pPr>
            <w:r>
              <w:rPr>
                <w:color w:val="auto"/>
                <w:sz w:val="22"/>
                <w:szCs w:val="22"/>
              </w:rPr>
              <w:t>2.1.3</w:t>
            </w:r>
          </w:p>
        </w:tc>
        <w:tc>
          <w:tcPr>
            <w:tcW w:w="7994" w:type="dxa"/>
          </w:tcPr>
          <w:p w14:paraId="4134F3B5">
            <w:pPr>
              <w:pStyle w:val="85"/>
              <w:jc w:val="both"/>
              <w:rPr>
                <w:color w:val="auto"/>
                <w:sz w:val="22"/>
                <w:szCs w:val="22"/>
              </w:rPr>
            </w:pPr>
            <w:r>
              <w:rPr>
                <w:color w:val="auto"/>
                <w:sz w:val="22"/>
                <w:szCs w:val="22"/>
              </w:rPr>
              <w:t>Чтение новых слов согласно основным правилам чтения английского языка с использованием полной или частичной транскрипции, по аналогии</w:t>
            </w:r>
          </w:p>
        </w:tc>
      </w:tr>
      <w:tr w14:paraId="6A8191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077" w:type="dxa"/>
          </w:tcPr>
          <w:p w14:paraId="2BAB2B71">
            <w:pPr>
              <w:pStyle w:val="85"/>
              <w:jc w:val="center"/>
              <w:rPr>
                <w:color w:val="auto"/>
                <w:sz w:val="22"/>
                <w:szCs w:val="22"/>
              </w:rPr>
            </w:pPr>
            <w:r>
              <w:rPr>
                <w:color w:val="auto"/>
                <w:sz w:val="22"/>
                <w:szCs w:val="22"/>
              </w:rPr>
              <w:t>2.1.4</w:t>
            </w:r>
          </w:p>
        </w:tc>
        <w:tc>
          <w:tcPr>
            <w:tcW w:w="7994" w:type="dxa"/>
          </w:tcPr>
          <w:p w14:paraId="3F934E4A">
            <w:pPr>
              <w:pStyle w:val="85"/>
              <w:jc w:val="both"/>
              <w:rPr>
                <w:color w:val="auto"/>
                <w:sz w:val="22"/>
                <w:szCs w:val="22"/>
              </w:rPr>
            </w:pPr>
            <w:r>
              <w:rPr>
                <w:color w:val="auto"/>
                <w:sz w:val="22"/>
                <w:szCs w:val="22"/>
              </w:rPr>
              <w:t>Знаки английской транскрипции; отличие их от букв английского алфавита. Фонетически корректное озвучивание знаков транскрипции</w:t>
            </w:r>
          </w:p>
        </w:tc>
      </w:tr>
      <w:tr w14:paraId="1FB186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077" w:type="dxa"/>
          </w:tcPr>
          <w:p w14:paraId="529E766C">
            <w:pPr>
              <w:pStyle w:val="85"/>
              <w:jc w:val="center"/>
              <w:rPr>
                <w:color w:val="auto"/>
                <w:sz w:val="22"/>
                <w:szCs w:val="22"/>
              </w:rPr>
            </w:pPr>
            <w:r>
              <w:rPr>
                <w:color w:val="auto"/>
                <w:sz w:val="22"/>
                <w:szCs w:val="22"/>
              </w:rPr>
              <w:t>2.1.5</w:t>
            </w:r>
          </w:p>
        </w:tc>
        <w:tc>
          <w:tcPr>
            <w:tcW w:w="7994" w:type="dxa"/>
          </w:tcPr>
          <w:p w14:paraId="5FE7C68A">
            <w:pPr>
              <w:pStyle w:val="85"/>
              <w:jc w:val="both"/>
              <w:rPr>
                <w:color w:val="auto"/>
                <w:sz w:val="22"/>
                <w:szCs w:val="22"/>
              </w:rPr>
            </w:pPr>
            <w:r>
              <w:rPr>
                <w:color w:val="auto"/>
                <w:sz w:val="22"/>
                <w:szCs w:val="22"/>
              </w:rPr>
              <w:t>Различение на слух и адекватное, без ошибок, ведущих к сбою в коммуникации, произнесение слов с соблюдением правильного ударения и фраз с соблюдением их ритмико-интонационных особенностей, в том числе соблюдение правила отсутствия ударения на служебных словах; интонации перечисления</w:t>
            </w:r>
          </w:p>
        </w:tc>
      </w:tr>
      <w:tr w14:paraId="0A1D26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077" w:type="dxa"/>
          </w:tcPr>
          <w:p w14:paraId="15E623AC">
            <w:pPr>
              <w:pStyle w:val="85"/>
              <w:jc w:val="center"/>
              <w:rPr>
                <w:color w:val="auto"/>
                <w:sz w:val="22"/>
                <w:szCs w:val="22"/>
              </w:rPr>
            </w:pPr>
            <w:r>
              <w:rPr>
                <w:color w:val="auto"/>
                <w:sz w:val="22"/>
                <w:szCs w:val="22"/>
              </w:rPr>
              <w:t>2.1.6</w:t>
            </w:r>
          </w:p>
        </w:tc>
        <w:tc>
          <w:tcPr>
            <w:tcW w:w="7994" w:type="dxa"/>
          </w:tcPr>
          <w:p w14:paraId="3244B387">
            <w:pPr>
              <w:pStyle w:val="85"/>
              <w:jc w:val="both"/>
              <w:rPr>
                <w:color w:val="auto"/>
                <w:sz w:val="22"/>
                <w:szCs w:val="22"/>
              </w:rPr>
            </w:pPr>
            <w:r>
              <w:rPr>
                <w:color w:val="auto"/>
                <w:sz w:val="22"/>
                <w:szCs w:val="22"/>
              </w:rPr>
              <w:t>Ритмико-интонационные особенности повествовательного, побудительного и вопросительного (общий и специальный вопрос) предложений.</w:t>
            </w:r>
          </w:p>
        </w:tc>
      </w:tr>
      <w:tr w14:paraId="5BF030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077" w:type="dxa"/>
          </w:tcPr>
          <w:p w14:paraId="4FA83661">
            <w:pPr>
              <w:pStyle w:val="85"/>
              <w:jc w:val="center"/>
              <w:rPr>
                <w:color w:val="auto"/>
                <w:sz w:val="22"/>
                <w:szCs w:val="22"/>
              </w:rPr>
            </w:pPr>
            <w:r>
              <w:rPr>
                <w:color w:val="auto"/>
                <w:sz w:val="22"/>
                <w:szCs w:val="22"/>
              </w:rPr>
              <w:t>2.2</w:t>
            </w:r>
          </w:p>
        </w:tc>
        <w:tc>
          <w:tcPr>
            <w:tcW w:w="7994" w:type="dxa"/>
          </w:tcPr>
          <w:p w14:paraId="0C962040">
            <w:pPr>
              <w:pStyle w:val="85"/>
              <w:jc w:val="both"/>
              <w:rPr>
                <w:color w:val="auto"/>
                <w:sz w:val="22"/>
                <w:szCs w:val="22"/>
              </w:rPr>
            </w:pPr>
            <w:r>
              <w:rPr>
                <w:color w:val="auto"/>
                <w:sz w:val="22"/>
                <w:szCs w:val="22"/>
              </w:rPr>
              <w:t>Графика, орфография и пунктуация</w:t>
            </w:r>
          </w:p>
        </w:tc>
      </w:tr>
      <w:tr w14:paraId="1E54E8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077" w:type="dxa"/>
          </w:tcPr>
          <w:p w14:paraId="0DA62E24">
            <w:pPr>
              <w:pStyle w:val="85"/>
              <w:jc w:val="center"/>
              <w:rPr>
                <w:color w:val="auto"/>
                <w:sz w:val="22"/>
                <w:szCs w:val="22"/>
              </w:rPr>
            </w:pPr>
            <w:r>
              <w:rPr>
                <w:color w:val="auto"/>
                <w:sz w:val="22"/>
                <w:szCs w:val="22"/>
              </w:rPr>
              <w:t>2.2.1</w:t>
            </w:r>
          </w:p>
        </w:tc>
        <w:tc>
          <w:tcPr>
            <w:tcW w:w="7994" w:type="dxa"/>
          </w:tcPr>
          <w:p w14:paraId="475A810F">
            <w:pPr>
              <w:pStyle w:val="85"/>
              <w:jc w:val="both"/>
              <w:rPr>
                <w:color w:val="auto"/>
                <w:sz w:val="22"/>
                <w:szCs w:val="22"/>
              </w:rPr>
            </w:pPr>
            <w:r>
              <w:rPr>
                <w:color w:val="auto"/>
                <w:sz w:val="22"/>
                <w:szCs w:val="22"/>
              </w:rPr>
              <w:t>Правильное написание изученных слов</w:t>
            </w:r>
          </w:p>
        </w:tc>
      </w:tr>
      <w:tr w14:paraId="294031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077" w:type="dxa"/>
          </w:tcPr>
          <w:p w14:paraId="44277C40">
            <w:pPr>
              <w:pStyle w:val="85"/>
              <w:jc w:val="center"/>
              <w:rPr>
                <w:color w:val="auto"/>
                <w:sz w:val="22"/>
                <w:szCs w:val="22"/>
              </w:rPr>
            </w:pPr>
            <w:r>
              <w:rPr>
                <w:color w:val="auto"/>
                <w:sz w:val="22"/>
                <w:szCs w:val="22"/>
              </w:rPr>
              <w:t>2.2.2</w:t>
            </w:r>
          </w:p>
        </w:tc>
        <w:tc>
          <w:tcPr>
            <w:tcW w:w="7994" w:type="dxa"/>
          </w:tcPr>
          <w:p w14:paraId="5D3D972C">
            <w:pPr>
              <w:pStyle w:val="85"/>
              <w:jc w:val="both"/>
              <w:rPr>
                <w:color w:val="auto"/>
                <w:sz w:val="22"/>
                <w:szCs w:val="22"/>
              </w:rPr>
            </w:pPr>
            <w:r>
              <w:rPr>
                <w:color w:val="auto"/>
                <w:sz w:val="22"/>
                <w:szCs w:val="22"/>
              </w:rPr>
              <w:t>Правильная расстановка знаков препинания: точки, вопросительного и восклицательного знаков в конце предложения, запятой при обращении и перечислении</w:t>
            </w:r>
          </w:p>
        </w:tc>
      </w:tr>
      <w:tr w14:paraId="28817B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077" w:type="dxa"/>
          </w:tcPr>
          <w:p w14:paraId="35C4588E">
            <w:pPr>
              <w:pStyle w:val="85"/>
              <w:jc w:val="center"/>
              <w:rPr>
                <w:color w:val="auto"/>
                <w:sz w:val="22"/>
                <w:szCs w:val="22"/>
              </w:rPr>
            </w:pPr>
            <w:r>
              <w:rPr>
                <w:color w:val="auto"/>
                <w:sz w:val="22"/>
                <w:szCs w:val="22"/>
              </w:rPr>
              <w:t>2.2.3</w:t>
            </w:r>
          </w:p>
        </w:tc>
        <w:tc>
          <w:tcPr>
            <w:tcW w:w="7994" w:type="dxa"/>
          </w:tcPr>
          <w:p w14:paraId="0508C4CB">
            <w:pPr>
              <w:pStyle w:val="85"/>
              <w:jc w:val="both"/>
              <w:rPr>
                <w:color w:val="auto"/>
                <w:sz w:val="22"/>
                <w:szCs w:val="22"/>
              </w:rPr>
            </w:pPr>
            <w:r>
              <w:rPr>
                <w:color w:val="auto"/>
                <w:sz w:val="22"/>
                <w:szCs w:val="22"/>
              </w:rPr>
              <w:t>Правильное использование знака апострофа в сокращенных формах глагола-связки, вспомогательного и модального глаголов, существительных в притяжательном падеже (Possessive Case)</w:t>
            </w:r>
          </w:p>
        </w:tc>
      </w:tr>
      <w:tr w14:paraId="67EFD1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077" w:type="dxa"/>
          </w:tcPr>
          <w:p w14:paraId="7C2212DE">
            <w:pPr>
              <w:pStyle w:val="85"/>
              <w:jc w:val="center"/>
              <w:rPr>
                <w:color w:val="auto"/>
                <w:sz w:val="22"/>
                <w:szCs w:val="22"/>
              </w:rPr>
            </w:pPr>
            <w:r>
              <w:rPr>
                <w:color w:val="auto"/>
                <w:sz w:val="22"/>
                <w:szCs w:val="22"/>
              </w:rPr>
              <w:t>2.3</w:t>
            </w:r>
          </w:p>
        </w:tc>
        <w:tc>
          <w:tcPr>
            <w:tcW w:w="7994" w:type="dxa"/>
          </w:tcPr>
          <w:p w14:paraId="2E958E7D">
            <w:pPr>
              <w:pStyle w:val="85"/>
              <w:jc w:val="both"/>
              <w:rPr>
                <w:color w:val="auto"/>
                <w:sz w:val="22"/>
                <w:szCs w:val="22"/>
              </w:rPr>
            </w:pPr>
            <w:r>
              <w:rPr>
                <w:color w:val="auto"/>
                <w:sz w:val="22"/>
                <w:szCs w:val="22"/>
              </w:rPr>
              <w:t>Лексическая сторона речи</w:t>
            </w:r>
          </w:p>
        </w:tc>
      </w:tr>
      <w:tr w14:paraId="230AA8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077" w:type="dxa"/>
          </w:tcPr>
          <w:p w14:paraId="03F10DA8">
            <w:pPr>
              <w:pStyle w:val="85"/>
              <w:jc w:val="center"/>
              <w:rPr>
                <w:color w:val="auto"/>
                <w:sz w:val="22"/>
                <w:szCs w:val="22"/>
              </w:rPr>
            </w:pPr>
            <w:r>
              <w:rPr>
                <w:color w:val="auto"/>
                <w:sz w:val="22"/>
                <w:szCs w:val="22"/>
              </w:rPr>
              <w:t>2.3.1</w:t>
            </w:r>
          </w:p>
        </w:tc>
        <w:tc>
          <w:tcPr>
            <w:tcW w:w="7994" w:type="dxa"/>
          </w:tcPr>
          <w:p w14:paraId="2E415335">
            <w:pPr>
              <w:pStyle w:val="85"/>
              <w:jc w:val="both"/>
              <w:rPr>
                <w:color w:val="auto"/>
                <w:sz w:val="22"/>
                <w:szCs w:val="22"/>
              </w:rPr>
            </w:pPr>
            <w:r>
              <w:rPr>
                <w:color w:val="auto"/>
                <w:sz w:val="22"/>
                <w:szCs w:val="22"/>
              </w:rPr>
              <w:t>Распознавание в письменном и звучащем тексте и употребление в устной и письменной речи не менее 500 лексических единиц (слов, словосочетаний, речевых клише), обслуживающих ситуации, включая 350 лексических единиц, усвоенных в предыдущие два года обучения</w:t>
            </w:r>
          </w:p>
        </w:tc>
      </w:tr>
      <w:tr w14:paraId="43AF85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077" w:type="dxa"/>
          </w:tcPr>
          <w:p w14:paraId="51AA9FA1">
            <w:pPr>
              <w:pStyle w:val="85"/>
              <w:jc w:val="center"/>
              <w:rPr>
                <w:color w:val="auto"/>
                <w:sz w:val="22"/>
                <w:szCs w:val="22"/>
              </w:rPr>
            </w:pPr>
            <w:r>
              <w:rPr>
                <w:color w:val="auto"/>
                <w:sz w:val="22"/>
                <w:szCs w:val="22"/>
              </w:rPr>
              <w:t>2.3.2</w:t>
            </w:r>
          </w:p>
        </w:tc>
        <w:tc>
          <w:tcPr>
            <w:tcW w:w="7994" w:type="dxa"/>
          </w:tcPr>
          <w:p w14:paraId="669F8967">
            <w:pPr>
              <w:pStyle w:val="85"/>
              <w:jc w:val="both"/>
              <w:rPr>
                <w:color w:val="auto"/>
                <w:sz w:val="22"/>
                <w:szCs w:val="22"/>
              </w:rPr>
            </w:pPr>
            <w:r>
              <w:rPr>
                <w:color w:val="auto"/>
                <w:sz w:val="22"/>
                <w:szCs w:val="22"/>
              </w:rPr>
              <w:t>Распознавание и употребление в устной и письменной речи слов, образованных с использованием основных способов словообразования - аффиксации (образование существительных с помощью суффиксов -er/-or, -ist: worker, actor, artist)</w:t>
            </w:r>
          </w:p>
        </w:tc>
      </w:tr>
      <w:tr w14:paraId="20B8B8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077" w:type="dxa"/>
          </w:tcPr>
          <w:p w14:paraId="353290EA">
            <w:pPr>
              <w:pStyle w:val="85"/>
              <w:jc w:val="center"/>
              <w:rPr>
                <w:color w:val="auto"/>
                <w:sz w:val="22"/>
                <w:szCs w:val="22"/>
              </w:rPr>
            </w:pPr>
            <w:r>
              <w:rPr>
                <w:color w:val="auto"/>
                <w:sz w:val="22"/>
                <w:szCs w:val="22"/>
              </w:rPr>
              <w:t>2.3.3</w:t>
            </w:r>
          </w:p>
        </w:tc>
        <w:tc>
          <w:tcPr>
            <w:tcW w:w="7994" w:type="dxa"/>
          </w:tcPr>
          <w:p w14:paraId="0D931982">
            <w:pPr>
              <w:pStyle w:val="85"/>
              <w:jc w:val="both"/>
              <w:rPr>
                <w:color w:val="auto"/>
                <w:sz w:val="22"/>
                <w:szCs w:val="22"/>
              </w:rPr>
            </w:pPr>
            <w:r>
              <w:rPr>
                <w:color w:val="auto"/>
                <w:sz w:val="22"/>
                <w:szCs w:val="22"/>
              </w:rPr>
              <w:t>Распознавание и употребление в устной и письменной речи слов, образованных с использованием основных способов словообразования - конверсии (to play - a play)</w:t>
            </w:r>
          </w:p>
        </w:tc>
      </w:tr>
      <w:tr w14:paraId="5E453D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077" w:type="dxa"/>
          </w:tcPr>
          <w:p w14:paraId="3BEA0389">
            <w:pPr>
              <w:pStyle w:val="85"/>
              <w:jc w:val="center"/>
              <w:rPr>
                <w:color w:val="auto"/>
                <w:sz w:val="22"/>
                <w:szCs w:val="22"/>
              </w:rPr>
            </w:pPr>
            <w:r>
              <w:rPr>
                <w:color w:val="auto"/>
                <w:sz w:val="22"/>
                <w:szCs w:val="22"/>
              </w:rPr>
              <w:t>2.3.4</w:t>
            </w:r>
          </w:p>
        </w:tc>
        <w:tc>
          <w:tcPr>
            <w:tcW w:w="7994" w:type="dxa"/>
          </w:tcPr>
          <w:p w14:paraId="1D922CDF">
            <w:pPr>
              <w:pStyle w:val="85"/>
              <w:jc w:val="both"/>
              <w:rPr>
                <w:color w:val="auto"/>
                <w:sz w:val="22"/>
                <w:szCs w:val="22"/>
              </w:rPr>
            </w:pPr>
            <w:r>
              <w:rPr>
                <w:color w:val="auto"/>
                <w:sz w:val="22"/>
                <w:szCs w:val="22"/>
              </w:rPr>
              <w:t>Использование языковой догадки для распознавания интернациональных слов (pilot, film)</w:t>
            </w:r>
          </w:p>
        </w:tc>
      </w:tr>
      <w:tr w14:paraId="21D2ED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077" w:type="dxa"/>
          </w:tcPr>
          <w:p w14:paraId="2262CF08">
            <w:pPr>
              <w:pStyle w:val="85"/>
              <w:jc w:val="center"/>
              <w:rPr>
                <w:color w:val="auto"/>
                <w:sz w:val="22"/>
                <w:szCs w:val="22"/>
              </w:rPr>
            </w:pPr>
            <w:r>
              <w:rPr>
                <w:color w:val="auto"/>
                <w:sz w:val="22"/>
                <w:szCs w:val="22"/>
              </w:rPr>
              <w:t>2.4</w:t>
            </w:r>
          </w:p>
        </w:tc>
        <w:tc>
          <w:tcPr>
            <w:tcW w:w="7994" w:type="dxa"/>
          </w:tcPr>
          <w:p w14:paraId="505329DE">
            <w:pPr>
              <w:pStyle w:val="85"/>
              <w:jc w:val="both"/>
              <w:rPr>
                <w:color w:val="auto"/>
                <w:sz w:val="22"/>
                <w:szCs w:val="22"/>
              </w:rPr>
            </w:pPr>
            <w:r>
              <w:rPr>
                <w:color w:val="auto"/>
                <w:sz w:val="22"/>
                <w:szCs w:val="22"/>
              </w:rPr>
              <w:t>Грамматическая сторона речи</w:t>
            </w:r>
          </w:p>
          <w:p w14:paraId="5588CE6F">
            <w:pPr>
              <w:pStyle w:val="85"/>
              <w:jc w:val="both"/>
              <w:rPr>
                <w:color w:val="auto"/>
                <w:sz w:val="22"/>
                <w:szCs w:val="22"/>
              </w:rPr>
            </w:pPr>
            <w:r>
              <w:rPr>
                <w:color w:val="auto"/>
                <w:sz w:val="22"/>
                <w:szCs w:val="22"/>
              </w:rPr>
              <w:t>Распознавание в письменном и звучащем тексте и употребление в устной и письменной речи изученных морфологических форм и синтаксических конструкций английского языка</w:t>
            </w:r>
          </w:p>
        </w:tc>
      </w:tr>
      <w:tr w14:paraId="6F287C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077" w:type="dxa"/>
          </w:tcPr>
          <w:p w14:paraId="28F5A258">
            <w:pPr>
              <w:pStyle w:val="85"/>
              <w:jc w:val="center"/>
              <w:rPr>
                <w:color w:val="auto"/>
                <w:sz w:val="22"/>
                <w:szCs w:val="22"/>
              </w:rPr>
            </w:pPr>
            <w:r>
              <w:rPr>
                <w:color w:val="auto"/>
                <w:sz w:val="22"/>
                <w:szCs w:val="22"/>
              </w:rPr>
              <w:t>2.4.1</w:t>
            </w:r>
          </w:p>
        </w:tc>
        <w:tc>
          <w:tcPr>
            <w:tcW w:w="7994" w:type="dxa"/>
          </w:tcPr>
          <w:p w14:paraId="7F3426F4">
            <w:pPr>
              <w:pStyle w:val="85"/>
              <w:jc w:val="both"/>
              <w:rPr>
                <w:color w:val="auto"/>
                <w:sz w:val="22"/>
                <w:szCs w:val="22"/>
              </w:rPr>
            </w:pPr>
            <w:r>
              <w:rPr>
                <w:color w:val="auto"/>
                <w:sz w:val="22"/>
                <w:szCs w:val="22"/>
              </w:rPr>
              <w:t>Глаголы в Present/Past Simple Tense, Present Continuous Tense в повествовательных (утвердительных и отрицательных) и вопросительных (общий и специальный вопросы) предложениях</w:t>
            </w:r>
          </w:p>
        </w:tc>
      </w:tr>
      <w:tr w14:paraId="47167C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077" w:type="dxa"/>
          </w:tcPr>
          <w:p w14:paraId="61A2D18B">
            <w:pPr>
              <w:pStyle w:val="85"/>
              <w:jc w:val="center"/>
              <w:rPr>
                <w:color w:val="auto"/>
                <w:sz w:val="22"/>
                <w:szCs w:val="22"/>
              </w:rPr>
            </w:pPr>
            <w:r>
              <w:rPr>
                <w:color w:val="auto"/>
                <w:sz w:val="22"/>
                <w:szCs w:val="22"/>
              </w:rPr>
              <w:t>2.4.2</w:t>
            </w:r>
          </w:p>
        </w:tc>
        <w:tc>
          <w:tcPr>
            <w:tcW w:w="7994" w:type="dxa"/>
          </w:tcPr>
          <w:p w14:paraId="1BB957AA">
            <w:pPr>
              <w:pStyle w:val="85"/>
              <w:jc w:val="both"/>
              <w:rPr>
                <w:color w:val="auto"/>
                <w:sz w:val="22"/>
                <w:szCs w:val="22"/>
              </w:rPr>
            </w:pPr>
            <w:r>
              <w:rPr>
                <w:color w:val="auto"/>
                <w:sz w:val="22"/>
                <w:szCs w:val="22"/>
              </w:rPr>
              <w:t>Модальные глаголы must и have to</w:t>
            </w:r>
          </w:p>
        </w:tc>
      </w:tr>
      <w:tr w14:paraId="273AB8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077" w:type="dxa"/>
          </w:tcPr>
          <w:p w14:paraId="32ADDCC1">
            <w:pPr>
              <w:pStyle w:val="85"/>
              <w:jc w:val="center"/>
              <w:rPr>
                <w:color w:val="auto"/>
                <w:sz w:val="22"/>
                <w:szCs w:val="22"/>
              </w:rPr>
            </w:pPr>
            <w:r>
              <w:rPr>
                <w:color w:val="auto"/>
                <w:sz w:val="22"/>
                <w:szCs w:val="22"/>
              </w:rPr>
              <w:t>2.4.3</w:t>
            </w:r>
          </w:p>
        </w:tc>
        <w:tc>
          <w:tcPr>
            <w:tcW w:w="7994" w:type="dxa"/>
          </w:tcPr>
          <w:p w14:paraId="354363D8">
            <w:pPr>
              <w:pStyle w:val="85"/>
              <w:jc w:val="both"/>
              <w:rPr>
                <w:color w:val="auto"/>
                <w:sz w:val="22"/>
                <w:szCs w:val="22"/>
              </w:rPr>
            </w:pPr>
            <w:r>
              <w:rPr>
                <w:color w:val="auto"/>
                <w:sz w:val="22"/>
                <w:szCs w:val="22"/>
              </w:rPr>
              <w:t>Конструкция</w:t>
            </w:r>
            <w:r>
              <w:rPr>
                <w:color w:val="auto"/>
                <w:sz w:val="22"/>
                <w:szCs w:val="22"/>
                <w:lang w:val="en-US"/>
              </w:rPr>
              <w:t xml:space="preserve"> to be going to </w:t>
            </w:r>
            <w:r>
              <w:rPr>
                <w:color w:val="auto"/>
                <w:sz w:val="22"/>
                <w:szCs w:val="22"/>
              </w:rPr>
              <w:t>и</w:t>
            </w:r>
            <w:r>
              <w:rPr>
                <w:color w:val="auto"/>
                <w:sz w:val="22"/>
                <w:szCs w:val="22"/>
                <w:lang w:val="en-US"/>
              </w:rPr>
              <w:t xml:space="preserve"> Future Simple Tense </w:t>
            </w:r>
            <w:r>
              <w:rPr>
                <w:color w:val="auto"/>
                <w:sz w:val="22"/>
                <w:szCs w:val="22"/>
              </w:rPr>
              <w:t>для</w:t>
            </w:r>
            <w:r>
              <w:rPr>
                <w:color w:val="auto"/>
                <w:sz w:val="22"/>
                <w:szCs w:val="22"/>
                <w:lang w:val="en-US"/>
              </w:rPr>
              <w:t xml:space="preserve"> </w:t>
            </w:r>
            <w:r>
              <w:rPr>
                <w:color w:val="auto"/>
                <w:sz w:val="22"/>
                <w:szCs w:val="22"/>
              </w:rPr>
              <w:t>выражения</w:t>
            </w:r>
            <w:r>
              <w:rPr>
                <w:color w:val="auto"/>
                <w:sz w:val="22"/>
                <w:szCs w:val="22"/>
                <w:lang w:val="en-US"/>
              </w:rPr>
              <w:t xml:space="preserve"> </w:t>
            </w:r>
            <w:r>
              <w:rPr>
                <w:color w:val="auto"/>
                <w:sz w:val="22"/>
                <w:szCs w:val="22"/>
              </w:rPr>
              <w:t>будущего</w:t>
            </w:r>
            <w:r>
              <w:rPr>
                <w:color w:val="auto"/>
                <w:sz w:val="22"/>
                <w:szCs w:val="22"/>
                <w:lang w:val="en-US"/>
              </w:rPr>
              <w:t xml:space="preserve"> </w:t>
            </w:r>
            <w:r>
              <w:rPr>
                <w:color w:val="auto"/>
                <w:sz w:val="22"/>
                <w:szCs w:val="22"/>
              </w:rPr>
              <w:t>действия</w:t>
            </w:r>
            <w:r>
              <w:rPr>
                <w:color w:val="auto"/>
                <w:sz w:val="22"/>
                <w:szCs w:val="22"/>
                <w:lang w:val="en-US"/>
              </w:rPr>
              <w:t xml:space="preserve"> (I am going to have my birthday party on Saturday. </w:t>
            </w:r>
            <w:r>
              <w:rPr>
                <w:color w:val="auto"/>
                <w:sz w:val="22"/>
                <w:szCs w:val="22"/>
              </w:rPr>
              <w:t>Wait, I'll help you.)</w:t>
            </w:r>
          </w:p>
        </w:tc>
      </w:tr>
      <w:tr w14:paraId="62C37F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077" w:type="dxa"/>
          </w:tcPr>
          <w:p w14:paraId="0D43E5FA">
            <w:pPr>
              <w:pStyle w:val="85"/>
              <w:jc w:val="center"/>
              <w:rPr>
                <w:color w:val="auto"/>
                <w:sz w:val="22"/>
                <w:szCs w:val="22"/>
              </w:rPr>
            </w:pPr>
            <w:r>
              <w:rPr>
                <w:color w:val="auto"/>
                <w:sz w:val="22"/>
                <w:szCs w:val="22"/>
              </w:rPr>
              <w:t>2.4.4</w:t>
            </w:r>
          </w:p>
        </w:tc>
        <w:tc>
          <w:tcPr>
            <w:tcW w:w="7994" w:type="dxa"/>
          </w:tcPr>
          <w:p w14:paraId="7B8415FA">
            <w:pPr>
              <w:pStyle w:val="85"/>
              <w:jc w:val="both"/>
              <w:rPr>
                <w:color w:val="auto"/>
                <w:sz w:val="22"/>
                <w:szCs w:val="22"/>
              </w:rPr>
            </w:pPr>
            <w:r>
              <w:rPr>
                <w:color w:val="auto"/>
                <w:sz w:val="22"/>
                <w:szCs w:val="22"/>
              </w:rPr>
              <w:t>Отрицательное местоимение no</w:t>
            </w:r>
          </w:p>
        </w:tc>
      </w:tr>
      <w:tr w14:paraId="1C1AAF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077" w:type="dxa"/>
          </w:tcPr>
          <w:p w14:paraId="73BA94CD">
            <w:pPr>
              <w:pStyle w:val="85"/>
              <w:jc w:val="center"/>
              <w:rPr>
                <w:color w:val="auto"/>
                <w:sz w:val="22"/>
                <w:szCs w:val="22"/>
              </w:rPr>
            </w:pPr>
            <w:r>
              <w:rPr>
                <w:color w:val="auto"/>
                <w:sz w:val="22"/>
                <w:szCs w:val="22"/>
              </w:rPr>
              <w:t>2.4.5</w:t>
            </w:r>
          </w:p>
        </w:tc>
        <w:tc>
          <w:tcPr>
            <w:tcW w:w="7994" w:type="dxa"/>
          </w:tcPr>
          <w:p w14:paraId="2311B9DC">
            <w:pPr>
              <w:pStyle w:val="85"/>
              <w:jc w:val="both"/>
              <w:rPr>
                <w:color w:val="auto"/>
                <w:sz w:val="22"/>
                <w:szCs w:val="22"/>
              </w:rPr>
            </w:pPr>
            <w:r>
              <w:rPr>
                <w:color w:val="auto"/>
                <w:sz w:val="22"/>
                <w:szCs w:val="22"/>
              </w:rPr>
              <w:t>Степени сравнения прилагательных (формы, образованные по правилу, и исключения: good - better - (the) best, bad - worse - (the) worst)</w:t>
            </w:r>
          </w:p>
        </w:tc>
      </w:tr>
      <w:tr w14:paraId="710641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077" w:type="dxa"/>
          </w:tcPr>
          <w:p w14:paraId="77693763">
            <w:pPr>
              <w:pStyle w:val="85"/>
              <w:jc w:val="center"/>
              <w:rPr>
                <w:color w:val="auto"/>
                <w:sz w:val="22"/>
                <w:szCs w:val="22"/>
              </w:rPr>
            </w:pPr>
            <w:r>
              <w:rPr>
                <w:color w:val="auto"/>
                <w:sz w:val="22"/>
                <w:szCs w:val="22"/>
              </w:rPr>
              <w:t>2.4.6</w:t>
            </w:r>
          </w:p>
        </w:tc>
        <w:tc>
          <w:tcPr>
            <w:tcW w:w="7994" w:type="dxa"/>
          </w:tcPr>
          <w:p w14:paraId="46A39AB0">
            <w:pPr>
              <w:pStyle w:val="85"/>
              <w:jc w:val="both"/>
              <w:rPr>
                <w:color w:val="auto"/>
                <w:sz w:val="22"/>
                <w:szCs w:val="22"/>
              </w:rPr>
            </w:pPr>
            <w:r>
              <w:rPr>
                <w:color w:val="auto"/>
                <w:sz w:val="22"/>
                <w:szCs w:val="22"/>
              </w:rPr>
              <w:t>Наречия времени</w:t>
            </w:r>
          </w:p>
        </w:tc>
      </w:tr>
      <w:tr w14:paraId="139312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077" w:type="dxa"/>
          </w:tcPr>
          <w:p w14:paraId="5FD03736">
            <w:pPr>
              <w:pStyle w:val="85"/>
              <w:jc w:val="center"/>
              <w:rPr>
                <w:color w:val="auto"/>
                <w:sz w:val="22"/>
                <w:szCs w:val="22"/>
              </w:rPr>
            </w:pPr>
            <w:r>
              <w:rPr>
                <w:color w:val="auto"/>
                <w:sz w:val="22"/>
                <w:szCs w:val="22"/>
              </w:rPr>
              <w:t>2.4.7</w:t>
            </w:r>
          </w:p>
        </w:tc>
        <w:tc>
          <w:tcPr>
            <w:tcW w:w="7994" w:type="dxa"/>
          </w:tcPr>
          <w:p w14:paraId="1C998746">
            <w:pPr>
              <w:pStyle w:val="85"/>
              <w:jc w:val="both"/>
              <w:rPr>
                <w:color w:val="auto"/>
                <w:sz w:val="22"/>
                <w:szCs w:val="22"/>
              </w:rPr>
            </w:pPr>
            <w:r>
              <w:rPr>
                <w:color w:val="auto"/>
                <w:sz w:val="22"/>
                <w:szCs w:val="22"/>
              </w:rPr>
              <w:t>Обозначение даты и года. Обозначение времени (5 o'clock; 3 am, 2 pm)</w:t>
            </w:r>
          </w:p>
        </w:tc>
      </w:tr>
      <w:tr w14:paraId="0EB4C6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077" w:type="dxa"/>
          </w:tcPr>
          <w:p w14:paraId="1DF4E26E">
            <w:pPr>
              <w:pStyle w:val="85"/>
              <w:jc w:val="center"/>
              <w:rPr>
                <w:color w:val="auto"/>
                <w:sz w:val="22"/>
                <w:szCs w:val="22"/>
              </w:rPr>
            </w:pPr>
            <w:r>
              <w:rPr>
                <w:color w:val="auto"/>
                <w:sz w:val="22"/>
                <w:szCs w:val="22"/>
              </w:rPr>
              <w:t>3</w:t>
            </w:r>
          </w:p>
        </w:tc>
        <w:tc>
          <w:tcPr>
            <w:tcW w:w="7994" w:type="dxa"/>
          </w:tcPr>
          <w:p w14:paraId="1B0E20C1">
            <w:pPr>
              <w:pStyle w:val="85"/>
              <w:jc w:val="both"/>
              <w:rPr>
                <w:color w:val="auto"/>
                <w:sz w:val="22"/>
                <w:szCs w:val="22"/>
              </w:rPr>
            </w:pPr>
            <w:r>
              <w:rPr>
                <w:color w:val="auto"/>
                <w:sz w:val="22"/>
                <w:szCs w:val="22"/>
              </w:rPr>
              <w:t>Социокультурные знания и умения</w:t>
            </w:r>
          </w:p>
        </w:tc>
      </w:tr>
      <w:tr w14:paraId="4A7A88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077" w:type="dxa"/>
          </w:tcPr>
          <w:p w14:paraId="69A9E010">
            <w:pPr>
              <w:pStyle w:val="85"/>
              <w:jc w:val="center"/>
              <w:rPr>
                <w:color w:val="auto"/>
                <w:sz w:val="22"/>
                <w:szCs w:val="22"/>
              </w:rPr>
            </w:pPr>
            <w:r>
              <w:rPr>
                <w:color w:val="auto"/>
                <w:sz w:val="22"/>
                <w:szCs w:val="22"/>
              </w:rPr>
              <w:t>3.1</w:t>
            </w:r>
          </w:p>
        </w:tc>
        <w:tc>
          <w:tcPr>
            <w:tcW w:w="7994" w:type="dxa"/>
          </w:tcPr>
          <w:p w14:paraId="7A434005">
            <w:pPr>
              <w:pStyle w:val="85"/>
              <w:jc w:val="both"/>
              <w:rPr>
                <w:color w:val="auto"/>
                <w:sz w:val="22"/>
                <w:szCs w:val="22"/>
              </w:rPr>
            </w:pPr>
            <w:r>
              <w:rPr>
                <w:color w:val="auto"/>
                <w:sz w:val="22"/>
                <w:szCs w:val="22"/>
              </w:rPr>
              <w:t>Знание и использование некоторых социокультурных элементов речевого поведенческого этикета, принятого в стране (странах) изучаемого языка, в некоторых ситуациях общения: приветствие, прощание, знакомство, выражение благодарности, извинение, поздравление с днем рождения, Новым годом, Рождеством, разговор по телефону</w:t>
            </w:r>
          </w:p>
        </w:tc>
      </w:tr>
      <w:tr w14:paraId="0BD7E0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077" w:type="dxa"/>
          </w:tcPr>
          <w:p w14:paraId="0CF2676B">
            <w:pPr>
              <w:pStyle w:val="85"/>
              <w:jc w:val="center"/>
              <w:rPr>
                <w:color w:val="auto"/>
                <w:sz w:val="22"/>
                <w:szCs w:val="22"/>
              </w:rPr>
            </w:pPr>
            <w:r>
              <w:rPr>
                <w:color w:val="auto"/>
                <w:sz w:val="22"/>
                <w:szCs w:val="22"/>
              </w:rPr>
              <w:t>3.2</w:t>
            </w:r>
          </w:p>
        </w:tc>
        <w:tc>
          <w:tcPr>
            <w:tcW w:w="7994" w:type="dxa"/>
          </w:tcPr>
          <w:p w14:paraId="40BC3D06">
            <w:pPr>
              <w:pStyle w:val="85"/>
              <w:jc w:val="both"/>
              <w:rPr>
                <w:color w:val="auto"/>
                <w:sz w:val="22"/>
                <w:szCs w:val="22"/>
              </w:rPr>
            </w:pPr>
            <w:r>
              <w:rPr>
                <w:color w:val="auto"/>
                <w:sz w:val="22"/>
                <w:szCs w:val="22"/>
              </w:rPr>
              <w:t>Знание произведений детского фольклора (рифмовок, стихов, песенок), персонажей детских книг</w:t>
            </w:r>
          </w:p>
        </w:tc>
      </w:tr>
      <w:tr w14:paraId="697224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077" w:type="dxa"/>
          </w:tcPr>
          <w:p w14:paraId="13F323BB">
            <w:pPr>
              <w:pStyle w:val="85"/>
              <w:jc w:val="center"/>
              <w:rPr>
                <w:color w:val="auto"/>
                <w:sz w:val="22"/>
                <w:szCs w:val="22"/>
              </w:rPr>
            </w:pPr>
            <w:r>
              <w:rPr>
                <w:color w:val="auto"/>
                <w:sz w:val="22"/>
                <w:szCs w:val="22"/>
              </w:rPr>
              <w:t>3.3</w:t>
            </w:r>
          </w:p>
        </w:tc>
        <w:tc>
          <w:tcPr>
            <w:tcW w:w="7994" w:type="dxa"/>
          </w:tcPr>
          <w:p w14:paraId="79324E3A">
            <w:pPr>
              <w:pStyle w:val="85"/>
              <w:jc w:val="both"/>
              <w:rPr>
                <w:color w:val="auto"/>
                <w:sz w:val="22"/>
                <w:szCs w:val="22"/>
              </w:rPr>
            </w:pPr>
            <w:r>
              <w:rPr>
                <w:color w:val="auto"/>
                <w:sz w:val="22"/>
                <w:szCs w:val="22"/>
              </w:rPr>
              <w:t>Краткое представление своей страны и страны (стран) изучаемого языка (названия стран и их столиц, название родного населенного пункта, цвета национальных флагов, основные достопримечательности)</w:t>
            </w:r>
          </w:p>
        </w:tc>
      </w:tr>
      <w:tr w14:paraId="52E06A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077" w:type="dxa"/>
          </w:tcPr>
          <w:p w14:paraId="2677FD77">
            <w:pPr>
              <w:pStyle w:val="85"/>
              <w:jc w:val="center"/>
              <w:rPr>
                <w:color w:val="auto"/>
                <w:sz w:val="22"/>
                <w:szCs w:val="22"/>
              </w:rPr>
            </w:pPr>
            <w:r>
              <w:rPr>
                <w:color w:val="auto"/>
                <w:sz w:val="22"/>
                <w:szCs w:val="22"/>
              </w:rPr>
              <w:t>4</w:t>
            </w:r>
          </w:p>
        </w:tc>
        <w:tc>
          <w:tcPr>
            <w:tcW w:w="7994" w:type="dxa"/>
          </w:tcPr>
          <w:p w14:paraId="4EF5FE56">
            <w:pPr>
              <w:pStyle w:val="85"/>
              <w:jc w:val="both"/>
              <w:rPr>
                <w:color w:val="auto"/>
                <w:sz w:val="22"/>
                <w:szCs w:val="22"/>
              </w:rPr>
            </w:pPr>
            <w:r>
              <w:rPr>
                <w:color w:val="auto"/>
                <w:sz w:val="22"/>
                <w:szCs w:val="22"/>
              </w:rPr>
              <w:t>Компенсаторные умения</w:t>
            </w:r>
          </w:p>
        </w:tc>
      </w:tr>
      <w:tr w14:paraId="6E6792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077" w:type="dxa"/>
          </w:tcPr>
          <w:p w14:paraId="7AF6CBA4">
            <w:pPr>
              <w:pStyle w:val="85"/>
              <w:jc w:val="center"/>
              <w:rPr>
                <w:color w:val="auto"/>
                <w:sz w:val="22"/>
                <w:szCs w:val="22"/>
              </w:rPr>
            </w:pPr>
            <w:r>
              <w:rPr>
                <w:color w:val="auto"/>
                <w:sz w:val="22"/>
                <w:szCs w:val="22"/>
              </w:rPr>
              <w:t>4.1</w:t>
            </w:r>
          </w:p>
        </w:tc>
        <w:tc>
          <w:tcPr>
            <w:tcW w:w="7994" w:type="dxa"/>
          </w:tcPr>
          <w:p w14:paraId="1FE2B232">
            <w:pPr>
              <w:pStyle w:val="85"/>
              <w:jc w:val="both"/>
              <w:rPr>
                <w:color w:val="auto"/>
                <w:sz w:val="22"/>
                <w:szCs w:val="22"/>
              </w:rPr>
            </w:pPr>
            <w:r>
              <w:rPr>
                <w:color w:val="auto"/>
                <w:sz w:val="22"/>
                <w:szCs w:val="22"/>
              </w:rPr>
              <w:t>Использование при чтении и аудировании языковой догадки (умения понять значение незнакомого слова или новое значение знакомого слова из контекста)</w:t>
            </w:r>
          </w:p>
        </w:tc>
      </w:tr>
      <w:tr w14:paraId="233E12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077" w:type="dxa"/>
          </w:tcPr>
          <w:p w14:paraId="3F75A60C">
            <w:pPr>
              <w:pStyle w:val="85"/>
              <w:jc w:val="center"/>
              <w:rPr>
                <w:color w:val="auto"/>
                <w:sz w:val="22"/>
                <w:szCs w:val="22"/>
              </w:rPr>
            </w:pPr>
            <w:r>
              <w:rPr>
                <w:color w:val="auto"/>
                <w:sz w:val="22"/>
                <w:szCs w:val="22"/>
              </w:rPr>
              <w:t>4.2</w:t>
            </w:r>
          </w:p>
        </w:tc>
        <w:tc>
          <w:tcPr>
            <w:tcW w:w="7994" w:type="dxa"/>
          </w:tcPr>
          <w:p w14:paraId="02845F91">
            <w:pPr>
              <w:pStyle w:val="85"/>
              <w:jc w:val="both"/>
              <w:rPr>
                <w:color w:val="auto"/>
                <w:sz w:val="22"/>
                <w:szCs w:val="22"/>
              </w:rPr>
            </w:pPr>
            <w:r>
              <w:rPr>
                <w:color w:val="auto"/>
                <w:sz w:val="22"/>
                <w:szCs w:val="22"/>
              </w:rPr>
              <w:t>Использование в качестве опоры при формулировании собственных высказываний ключевых слов, вопросов, картинок, фотографий</w:t>
            </w:r>
          </w:p>
        </w:tc>
      </w:tr>
      <w:tr w14:paraId="022585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077" w:type="dxa"/>
          </w:tcPr>
          <w:p w14:paraId="7EED6694">
            <w:pPr>
              <w:pStyle w:val="85"/>
              <w:jc w:val="center"/>
              <w:rPr>
                <w:color w:val="auto"/>
                <w:sz w:val="22"/>
                <w:szCs w:val="22"/>
              </w:rPr>
            </w:pPr>
            <w:r>
              <w:rPr>
                <w:color w:val="auto"/>
                <w:sz w:val="22"/>
                <w:szCs w:val="22"/>
              </w:rPr>
              <w:t>4.3</w:t>
            </w:r>
          </w:p>
        </w:tc>
        <w:tc>
          <w:tcPr>
            <w:tcW w:w="7994" w:type="dxa"/>
          </w:tcPr>
          <w:p w14:paraId="2C2A19D3">
            <w:pPr>
              <w:pStyle w:val="85"/>
              <w:jc w:val="both"/>
              <w:rPr>
                <w:color w:val="auto"/>
                <w:sz w:val="22"/>
                <w:szCs w:val="22"/>
              </w:rPr>
            </w:pPr>
            <w:r>
              <w:rPr>
                <w:color w:val="auto"/>
                <w:sz w:val="22"/>
                <w:szCs w:val="22"/>
              </w:rPr>
              <w:t>Прогнозирование содержание текста для чтения на основе заголовка</w:t>
            </w:r>
          </w:p>
        </w:tc>
      </w:tr>
      <w:tr w14:paraId="3985E7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077" w:type="dxa"/>
          </w:tcPr>
          <w:p w14:paraId="69317F58">
            <w:pPr>
              <w:pStyle w:val="85"/>
              <w:jc w:val="center"/>
              <w:rPr>
                <w:color w:val="auto"/>
                <w:sz w:val="22"/>
                <w:szCs w:val="22"/>
              </w:rPr>
            </w:pPr>
            <w:r>
              <w:rPr>
                <w:color w:val="auto"/>
                <w:sz w:val="22"/>
                <w:szCs w:val="22"/>
              </w:rPr>
              <w:t>4.4</w:t>
            </w:r>
          </w:p>
        </w:tc>
        <w:tc>
          <w:tcPr>
            <w:tcW w:w="7994" w:type="dxa"/>
          </w:tcPr>
          <w:p w14:paraId="58A7BBF0">
            <w:pPr>
              <w:pStyle w:val="85"/>
              <w:jc w:val="both"/>
              <w:rPr>
                <w:color w:val="auto"/>
                <w:sz w:val="22"/>
                <w:szCs w:val="22"/>
              </w:rPr>
            </w:pPr>
            <w:r>
              <w:rPr>
                <w:color w:val="auto"/>
                <w:sz w:val="22"/>
                <w:szCs w:val="22"/>
              </w:rPr>
              <w:t>Игнорирование информации, не являющейся необходимой для понимания основного содержания прочитанного (прослушанного) текста или для нахождения в тексте запрашиваемой информации</w:t>
            </w:r>
          </w:p>
        </w:tc>
      </w:tr>
      <w:tr w14:paraId="216B45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9071" w:type="dxa"/>
            <w:gridSpan w:val="2"/>
          </w:tcPr>
          <w:p w14:paraId="74A73C2D">
            <w:pPr>
              <w:pStyle w:val="85"/>
              <w:jc w:val="both"/>
              <w:rPr>
                <w:color w:val="auto"/>
                <w:sz w:val="22"/>
                <w:szCs w:val="22"/>
              </w:rPr>
            </w:pPr>
            <w:r>
              <w:rPr>
                <w:color w:val="auto"/>
                <w:sz w:val="22"/>
                <w:szCs w:val="22"/>
              </w:rPr>
              <w:t>Тематическое содержание речи</w:t>
            </w:r>
          </w:p>
        </w:tc>
      </w:tr>
      <w:tr w14:paraId="3B1698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077" w:type="dxa"/>
          </w:tcPr>
          <w:p w14:paraId="48C8FDD5">
            <w:pPr>
              <w:pStyle w:val="85"/>
              <w:jc w:val="center"/>
              <w:rPr>
                <w:color w:val="auto"/>
                <w:sz w:val="22"/>
                <w:szCs w:val="22"/>
              </w:rPr>
            </w:pPr>
            <w:r>
              <w:rPr>
                <w:color w:val="auto"/>
                <w:sz w:val="22"/>
                <w:szCs w:val="22"/>
              </w:rPr>
              <w:t>А</w:t>
            </w:r>
          </w:p>
        </w:tc>
        <w:tc>
          <w:tcPr>
            <w:tcW w:w="7994" w:type="dxa"/>
          </w:tcPr>
          <w:p w14:paraId="2CF44374">
            <w:pPr>
              <w:pStyle w:val="85"/>
              <w:jc w:val="both"/>
              <w:rPr>
                <w:color w:val="auto"/>
                <w:sz w:val="22"/>
                <w:szCs w:val="22"/>
              </w:rPr>
            </w:pPr>
            <w:r>
              <w:rPr>
                <w:color w:val="auto"/>
                <w:sz w:val="22"/>
                <w:szCs w:val="22"/>
              </w:rPr>
              <w:t>Мир моего "я". Моя семья. Мой день рождения, подарки. Моя любимая еда. Мой день (распорядок дня, домашние обязанности)</w:t>
            </w:r>
          </w:p>
        </w:tc>
      </w:tr>
      <w:tr w14:paraId="1BD1A4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077" w:type="dxa"/>
          </w:tcPr>
          <w:p w14:paraId="7DE7DE43">
            <w:pPr>
              <w:pStyle w:val="85"/>
              <w:jc w:val="center"/>
              <w:rPr>
                <w:color w:val="auto"/>
                <w:sz w:val="22"/>
                <w:szCs w:val="22"/>
              </w:rPr>
            </w:pPr>
            <w:r>
              <w:rPr>
                <w:color w:val="auto"/>
                <w:sz w:val="22"/>
                <w:szCs w:val="22"/>
              </w:rPr>
              <w:t>Б</w:t>
            </w:r>
          </w:p>
        </w:tc>
        <w:tc>
          <w:tcPr>
            <w:tcW w:w="7994" w:type="dxa"/>
          </w:tcPr>
          <w:p w14:paraId="1BC3859E">
            <w:pPr>
              <w:pStyle w:val="85"/>
              <w:jc w:val="both"/>
              <w:rPr>
                <w:color w:val="auto"/>
                <w:sz w:val="22"/>
                <w:szCs w:val="22"/>
              </w:rPr>
            </w:pPr>
            <w:r>
              <w:rPr>
                <w:color w:val="auto"/>
                <w:sz w:val="22"/>
                <w:szCs w:val="22"/>
              </w:rPr>
              <w:t>Мир моих увлечений. Любимая игрушка, игра. Мой питомец. Любимые занятия. Занятия спортом. Любимая сказка (история, рассказ). Выходной день. Каникулы</w:t>
            </w:r>
          </w:p>
        </w:tc>
      </w:tr>
      <w:tr w14:paraId="7F3AFC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077" w:type="dxa"/>
          </w:tcPr>
          <w:p w14:paraId="68AB0E09">
            <w:pPr>
              <w:pStyle w:val="85"/>
              <w:jc w:val="center"/>
              <w:rPr>
                <w:color w:val="auto"/>
                <w:sz w:val="22"/>
                <w:szCs w:val="22"/>
              </w:rPr>
            </w:pPr>
            <w:r>
              <w:rPr>
                <w:color w:val="auto"/>
                <w:sz w:val="22"/>
                <w:szCs w:val="22"/>
              </w:rPr>
              <w:t>В</w:t>
            </w:r>
          </w:p>
        </w:tc>
        <w:tc>
          <w:tcPr>
            <w:tcW w:w="7994" w:type="dxa"/>
          </w:tcPr>
          <w:p w14:paraId="7BAA8015">
            <w:pPr>
              <w:pStyle w:val="85"/>
              <w:jc w:val="both"/>
              <w:rPr>
                <w:color w:val="auto"/>
                <w:sz w:val="22"/>
                <w:szCs w:val="22"/>
              </w:rPr>
            </w:pPr>
            <w:r>
              <w:rPr>
                <w:color w:val="auto"/>
                <w:sz w:val="22"/>
                <w:szCs w:val="22"/>
              </w:rPr>
              <w:t>Мир вокруг меня. Моя комната (квартира, дом), предметы мебели и интерьера. Моя школа, любимые учебные предметы. Мои друзья, их внешность и черты характера. Моя малая родина (город, село и другие). Путешествия. Дикие и домашние животные. Погода. Времена года (месяцы). Покупки</w:t>
            </w:r>
          </w:p>
        </w:tc>
      </w:tr>
      <w:tr w14:paraId="7A65E9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077" w:type="dxa"/>
          </w:tcPr>
          <w:p w14:paraId="679971DF">
            <w:pPr>
              <w:pStyle w:val="85"/>
              <w:jc w:val="center"/>
              <w:rPr>
                <w:color w:val="auto"/>
                <w:sz w:val="22"/>
                <w:szCs w:val="22"/>
              </w:rPr>
            </w:pPr>
            <w:r>
              <w:rPr>
                <w:color w:val="auto"/>
                <w:sz w:val="22"/>
                <w:szCs w:val="22"/>
              </w:rPr>
              <w:t>Г</w:t>
            </w:r>
          </w:p>
        </w:tc>
        <w:tc>
          <w:tcPr>
            <w:tcW w:w="7994" w:type="dxa"/>
          </w:tcPr>
          <w:p w14:paraId="6D2C24A4">
            <w:pPr>
              <w:pStyle w:val="85"/>
              <w:jc w:val="both"/>
              <w:rPr>
                <w:color w:val="auto"/>
                <w:sz w:val="22"/>
                <w:szCs w:val="22"/>
              </w:rPr>
            </w:pPr>
            <w:r>
              <w:rPr>
                <w:color w:val="auto"/>
                <w:sz w:val="22"/>
                <w:szCs w:val="22"/>
              </w:rPr>
              <w:t>Родная страна и страны изучаемого языка. Россия и страна (страны) изучаемого языка. Их столицы, основные достопримечательности и некоторые интересные факты. Произведения детского фольклора. Литературные персонажи детских книг. Праздники родной страны и страны (стран) изучаемого языка</w:t>
            </w:r>
          </w:p>
        </w:tc>
      </w:tr>
    </w:tbl>
    <w:p w14:paraId="02C84907">
      <w:pPr>
        <w:widowControl/>
        <w:tabs>
          <w:tab w:val="left" w:pos="1134"/>
        </w:tabs>
        <w:spacing w:after="0" w:line="360" w:lineRule="auto"/>
        <w:jc w:val="both"/>
        <w:rPr>
          <w:rFonts w:ascii="Times New Roman" w:hAnsi="Times New Roman"/>
          <w:bCs/>
        </w:rPr>
      </w:pPr>
    </w:p>
    <w:p w14:paraId="15D2DF8C">
      <w:pPr>
        <w:pStyle w:val="2"/>
        <w:pBdr>
          <w:bottom w:val="none" w:color="auto" w:sz="0" w:space="0"/>
        </w:pBdr>
        <w:spacing w:before="0" w:line="360" w:lineRule="auto"/>
        <w:ind w:firstLine="708"/>
        <w:jc w:val="both"/>
        <w:rPr>
          <w:b w:val="0"/>
          <w:bCs/>
          <w:sz w:val="22"/>
          <w:szCs w:val="22"/>
        </w:rPr>
      </w:pPr>
      <w:r>
        <w:rPr>
          <w:b w:val="0"/>
          <w:bCs/>
          <w:sz w:val="22"/>
          <w:szCs w:val="22"/>
        </w:rPr>
        <w:t>10. Рабочая программа по учебному предмету «Математика».</w:t>
      </w:r>
    </w:p>
    <w:p w14:paraId="256FEB52">
      <w:pPr>
        <w:widowControl/>
        <w:tabs>
          <w:tab w:val="left" w:pos="1134"/>
        </w:tabs>
        <w:spacing w:after="0" w:line="360" w:lineRule="auto"/>
        <w:ind w:firstLine="709"/>
        <w:jc w:val="both"/>
        <w:rPr>
          <w:rFonts w:ascii="Times New Roman" w:hAnsi="Times New Roman"/>
          <w:bCs/>
        </w:rPr>
      </w:pPr>
      <w:r>
        <w:rPr>
          <w:rFonts w:ascii="Times New Roman" w:hAnsi="Times New Roman"/>
          <w:bCs/>
        </w:rPr>
        <w:t>10.1. Рабочая программа по учебному предмету «Математика» (предметная область «Математика и информатика») (далее соответственно – программа по математике, математика) включает пояснительную записку, содержание обучения, планируемые результаты освоения программы по математике.</w:t>
      </w:r>
    </w:p>
    <w:p w14:paraId="74EAC75D">
      <w:pPr>
        <w:widowControl/>
        <w:tabs>
          <w:tab w:val="left" w:pos="1134"/>
        </w:tabs>
        <w:spacing w:after="0" w:line="360" w:lineRule="auto"/>
        <w:ind w:firstLine="709"/>
        <w:jc w:val="both"/>
        <w:rPr>
          <w:rFonts w:ascii="Times New Roman" w:hAnsi="Times New Roman"/>
          <w:bCs/>
        </w:rPr>
      </w:pPr>
      <w:r>
        <w:rPr>
          <w:rFonts w:ascii="Times New Roman" w:hAnsi="Times New Roman"/>
          <w:bCs/>
        </w:rPr>
        <w:t>10.2. Пояснительная записка отражает общие цели и задачи изучения математики, место в структуре учебного плана, а также подходы к отбору содержания и планируемым результатам.</w:t>
      </w:r>
    </w:p>
    <w:p w14:paraId="5DFC9C00">
      <w:pPr>
        <w:widowControl/>
        <w:tabs>
          <w:tab w:val="left" w:pos="1134"/>
        </w:tabs>
        <w:spacing w:after="0" w:line="360" w:lineRule="auto"/>
        <w:ind w:firstLine="709"/>
        <w:jc w:val="both"/>
        <w:rPr>
          <w:rFonts w:ascii="Times New Roman" w:hAnsi="Times New Roman"/>
          <w:bCs/>
        </w:rPr>
      </w:pPr>
      <w:r>
        <w:rPr>
          <w:rFonts w:ascii="Times New Roman" w:hAnsi="Times New Roman"/>
          <w:bCs/>
        </w:rPr>
        <w:t xml:space="preserve">10.3. Содержание обучения раскрывает содержательные линии, которые предлагаются для обязательного изучения в каждом классе на уровне начального общего образования. Содержание обучения в каждом классе завершается перечнем универсальных учебных действий (познавательных, коммуникативных и регулятивных), которые возможно формировать средствами математики с учётом возрастных особенностей обучающихся на уровне начального общего образования. </w:t>
      </w:r>
    </w:p>
    <w:p w14:paraId="5AF57A29">
      <w:pPr>
        <w:widowControl/>
        <w:tabs>
          <w:tab w:val="left" w:pos="1134"/>
        </w:tabs>
        <w:spacing w:after="0" w:line="360" w:lineRule="auto"/>
        <w:ind w:firstLine="709"/>
        <w:jc w:val="both"/>
        <w:rPr>
          <w:rFonts w:ascii="Times New Roman" w:hAnsi="Times New Roman"/>
          <w:bCs/>
        </w:rPr>
      </w:pPr>
      <w:r>
        <w:rPr>
          <w:rFonts w:ascii="Times New Roman" w:hAnsi="Times New Roman"/>
          <w:bCs/>
        </w:rPr>
        <w:t xml:space="preserve">10.4. Планируемые результаты освоения программы по математике включают личностные, метапредметные результаты за весь период обучения на уровне начального общего образования, а также предметные достижения обучающегося за каждый год обучения. </w:t>
      </w:r>
    </w:p>
    <w:p w14:paraId="0F31C0C9">
      <w:pPr>
        <w:widowControl/>
        <w:tabs>
          <w:tab w:val="left" w:pos="1134"/>
        </w:tabs>
        <w:spacing w:after="0" w:line="360" w:lineRule="auto"/>
        <w:ind w:firstLine="709"/>
        <w:jc w:val="both"/>
        <w:rPr>
          <w:rFonts w:ascii="Times New Roman" w:hAnsi="Times New Roman"/>
          <w:bCs/>
        </w:rPr>
      </w:pPr>
      <w:r>
        <w:rPr>
          <w:rFonts w:ascii="Times New Roman" w:hAnsi="Times New Roman"/>
          <w:bCs/>
        </w:rPr>
        <w:t>10.5. Пояснительная записка.</w:t>
      </w:r>
    </w:p>
    <w:p w14:paraId="4055D4F0">
      <w:pPr>
        <w:widowControl/>
        <w:tabs>
          <w:tab w:val="left" w:pos="1134"/>
        </w:tabs>
        <w:spacing w:after="0" w:line="360" w:lineRule="auto"/>
        <w:ind w:firstLine="709"/>
        <w:jc w:val="both"/>
        <w:rPr>
          <w:rFonts w:ascii="Times New Roman" w:hAnsi="Times New Roman"/>
          <w:bCs/>
        </w:rPr>
      </w:pPr>
      <w:r>
        <w:rPr>
          <w:rFonts w:ascii="Times New Roman" w:hAnsi="Times New Roman"/>
          <w:bCs/>
        </w:rPr>
        <w:t xml:space="preserve">10.5.1. Программа по математике на уровне начального общего образования составлена на основе требований к результатам освоения программы начального общего образования ФГОС НОО, а также ориентирована на целевые приоритеты духовно-нравственного развития, воспитания и социализации обучающихся, сформулированные в федеральной </w:t>
      </w:r>
      <w:r>
        <w:rPr>
          <w:rFonts w:ascii="Times New Roman" w:hAnsi="Times New Roman" w:eastAsia="SchoolBookSanPin"/>
        </w:rPr>
        <w:t xml:space="preserve">рабочей </w:t>
      </w:r>
      <w:r>
        <w:rPr>
          <w:rFonts w:ascii="Times New Roman" w:hAnsi="Times New Roman"/>
          <w:bCs/>
        </w:rPr>
        <w:t>программе воспитания.</w:t>
      </w:r>
    </w:p>
    <w:p w14:paraId="38984081">
      <w:pPr>
        <w:widowControl/>
        <w:tabs>
          <w:tab w:val="left" w:pos="1134"/>
        </w:tabs>
        <w:spacing w:after="0" w:line="360" w:lineRule="auto"/>
        <w:ind w:firstLine="709"/>
        <w:jc w:val="both"/>
        <w:rPr>
          <w:rFonts w:ascii="Times New Roman" w:hAnsi="Times New Roman"/>
          <w:bCs/>
        </w:rPr>
      </w:pPr>
      <w:r>
        <w:rPr>
          <w:rFonts w:ascii="Times New Roman" w:hAnsi="Times New Roman"/>
          <w:bCs/>
        </w:rPr>
        <w:t>10.5.2. </w:t>
      </w:r>
      <w:r>
        <w:rPr>
          <w:rFonts w:ascii="Times New Roman" w:hAnsi="Times New Roman" w:eastAsia="SchoolBookSanPin"/>
        </w:rPr>
        <w:t>На уровне начального общего образования</w:t>
      </w:r>
      <w:r>
        <w:rPr>
          <w:rFonts w:ascii="Times New Roman" w:hAnsi="Times New Roman"/>
          <w:bCs/>
        </w:rPr>
        <w:t xml:space="preserve"> изучение математики имеет особое значение в развитии обучающегося. Приобретённые им знания, опыт выполнения предметных и универсальных действий на математическом материале, первоначальное овладение математическим языком станут фундаментом обучения на уровне основного общего образования, а также будут востребованы в жизни. Программа по математике </w:t>
      </w:r>
      <w:r>
        <w:rPr>
          <w:rFonts w:ascii="Times New Roman" w:hAnsi="Times New Roman" w:eastAsia="SchoolBookSanPin"/>
        </w:rPr>
        <w:t>на уровне начального общего образования</w:t>
      </w:r>
      <w:r>
        <w:rPr>
          <w:rFonts w:ascii="Times New Roman" w:hAnsi="Times New Roman"/>
          <w:bCs/>
        </w:rPr>
        <w:t xml:space="preserve"> направлена на достижение следующих образовательных, развивающих целей, а также целей воспитания:</w:t>
      </w:r>
    </w:p>
    <w:p w14:paraId="592E81F9">
      <w:pPr>
        <w:widowControl/>
        <w:tabs>
          <w:tab w:val="left" w:pos="1134"/>
        </w:tabs>
        <w:spacing w:after="0" w:line="360" w:lineRule="auto"/>
        <w:ind w:firstLine="709"/>
        <w:jc w:val="both"/>
        <w:rPr>
          <w:rFonts w:ascii="Times New Roman" w:hAnsi="Times New Roman"/>
          <w:bCs/>
        </w:rPr>
      </w:pPr>
      <w:r>
        <w:rPr>
          <w:rFonts w:ascii="Times New Roman" w:hAnsi="Times New Roman"/>
          <w:bCs/>
        </w:rPr>
        <w:t>освоение начальных математических знаний – понимание значения величин и способов их измерения, использование арифметических способов для разрешения сюжетных ситуаций, становление умения решать учебные и практические задачи средствами математики, работа с алгоритмами выполнения арифметических действий;</w:t>
      </w:r>
    </w:p>
    <w:p w14:paraId="2F8172D6">
      <w:pPr>
        <w:widowControl/>
        <w:tabs>
          <w:tab w:val="left" w:pos="1134"/>
        </w:tabs>
        <w:spacing w:after="0" w:line="360" w:lineRule="auto"/>
        <w:ind w:firstLine="709"/>
        <w:jc w:val="both"/>
        <w:rPr>
          <w:rFonts w:ascii="Times New Roman" w:hAnsi="Times New Roman"/>
          <w:bCs/>
        </w:rPr>
      </w:pPr>
      <w:r>
        <w:rPr>
          <w:rFonts w:ascii="Times New Roman" w:hAnsi="Times New Roman"/>
          <w:bCs/>
        </w:rPr>
        <w:t>формирование функциональной математической грамотности обучающегося, которая характеризуется наличием у него опыта решения учебно-познавательных и учебно-практических задач, построенных на понимании и применении математических отношений («часть-целое», «больше-меньше», «равно-неравно», «порядок»), смысла арифметических действий, зависимостей (работа, движение, продолжительность события);</w:t>
      </w:r>
    </w:p>
    <w:p w14:paraId="48A2F047">
      <w:pPr>
        <w:widowControl/>
        <w:tabs>
          <w:tab w:val="left" w:pos="1134"/>
        </w:tabs>
        <w:spacing w:after="0" w:line="360" w:lineRule="auto"/>
        <w:ind w:firstLine="709"/>
        <w:jc w:val="both"/>
        <w:rPr>
          <w:rFonts w:ascii="Times New Roman" w:hAnsi="Times New Roman"/>
          <w:bCs/>
        </w:rPr>
      </w:pPr>
      <w:r>
        <w:rPr>
          <w:rFonts w:ascii="Times New Roman" w:hAnsi="Times New Roman"/>
          <w:bCs/>
        </w:rPr>
        <w:t>обеспечение математического развития обучающегося – способности к интеллектуальной деятельности, пространственного воображения, математической речи, формирование умения строить рассуждения, выбирать аргументацию, различать верные (истинные) и неверные (ложные) утверждения, вести поиск информации;</w:t>
      </w:r>
    </w:p>
    <w:p w14:paraId="3A790409">
      <w:pPr>
        <w:widowControl/>
        <w:tabs>
          <w:tab w:val="left" w:pos="1134"/>
        </w:tabs>
        <w:spacing w:after="0" w:line="360" w:lineRule="auto"/>
        <w:ind w:firstLine="709"/>
        <w:jc w:val="both"/>
        <w:rPr>
          <w:rFonts w:ascii="Times New Roman" w:hAnsi="Times New Roman"/>
          <w:bCs/>
        </w:rPr>
      </w:pPr>
      <w:r>
        <w:rPr>
          <w:rFonts w:ascii="Times New Roman" w:hAnsi="Times New Roman"/>
          <w:bCs/>
        </w:rPr>
        <w:t>становление учебно-познавательных мотивов, интереса к изучению и применению математики, важнейших качеств интеллектуальной деятельности: теоретического и пространственного мышления, воображения, математической речи, ориентировки в математических терминах и понятиях.</w:t>
      </w:r>
    </w:p>
    <w:p w14:paraId="5C800AFB">
      <w:pPr>
        <w:widowControl/>
        <w:tabs>
          <w:tab w:val="left" w:pos="1134"/>
        </w:tabs>
        <w:spacing w:after="0" w:line="360" w:lineRule="auto"/>
        <w:ind w:firstLine="709"/>
        <w:jc w:val="both"/>
        <w:rPr>
          <w:rFonts w:ascii="Times New Roman" w:hAnsi="Times New Roman"/>
          <w:bCs/>
        </w:rPr>
      </w:pPr>
      <w:r>
        <w:rPr>
          <w:rFonts w:ascii="Times New Roman" w:hAnsi="Times New Roman"/>
          <w:bCs/>
        </w:rPr>
        <w:t xml:space="preserve">10.5.3. В основе конструирования содержания и отбора планируемых результатов программы по математике лежат следующие ценности математики, коррелирующие со становлением личности обучающегося: </w:t>
      </w:r>
    </w:p>
    <w:p w14:paraId="278013CC">
      <w:pPr>
        <w:widowControl/>
        <w:tabs>
          <w:tab w:val="left" w:pos="1134"/>
        </w:tabs>
        <w:spacing w:after="0" w:line="360" w:lineRule="auto"/>
        <w:ind w:firstLine="709"/>
        <w:jc w:val="both"/>
        <w:rPr>
          <w:rFonts w:ascii="Times New Roman" w:hAnsi="Times New Roman"/>
          <w:bCs/>
        </w:rPr>
      </w:pPr>
      <w:r>
        <w:rPr>
          <w:rFonts w:ascii="Times New Roman" w:hAnsi="Times New Roman"/>
          <w:bCs/>
        </w:rPr>
        <w:t>понимание математических отношений выступает средством познания закономерностей существования окружающего мира, фактов, процессов и явлений, происходящих в природе и в обществе (например, хронология событий, протяжённость по времени, образование целого из частей, изменение формы, размера);</w:t>
      </w:r>
    </w:p>
    <w:p w14:paraId="5A81A940">
      <w:pPr>
        <w:widowControl/>
        <w:tabs>
          <w:tab w:val="left" w:pos="1134"/>
        </w:tabs>
        <w:spacing w:after="0" w:line="360" w:lineRule="auto"/>
        <w:ind w:firstLine="709"/>
        <w:jc w:val="both"/>
        <w:rPr>
          <w:rFonts w:ascii="Times New Roman" w:hAnsi="Times New Roman"/>
          <w:bCs/>
        </w:rPr>
      </w:pPr>
      <w:r>
        <w:rPr>
          <w:rFonts w:ascii="Times New Roman" w:hAnsi="Times New Roman"/>
          <w:bCs/>
        </w:rPr>
        <w:t>математические представления о числах, величинах, геометрических фигурах являются условием целостного восприятия творений природы и человека (памятники архитектуры, сокровища искусства и культуры, объекты природы);</w:t>
      </w:r>
    </w:p>
    <w:p w14:paraId="78B1457A">
      <w:pPr>
        <w:widowControl/>
        <w:tabs>
          <w:tab w:val="left" w:pos="1134"/>
        </w:tabs>
        <w:spacing w:after="0" w:line="360" w:lineRule="auto"/>
        <w:ind w:firstLine="709"/>
        <w:jc w:val="both"/>
        <w:rPr>
          <w:rFonts w:ascii="Times New Roman" w:hAnsi="Times New Roman"/>
          <w:bCs/>
        </w:rPr>
      </w:pPr>
      <w:r>
        <w:rPr>
          <w:rFonts w:ascii="Times New Roman" w:hAnsi="Times New Roman"/>
          <w:bCs/>
        </w:rPr>
        <w:t>владение математическим языком, элементами алгоритмического мышления позволяет обучающемуся совершенствовать коммуникативную деятельность (аргументировать свою точку зрения, строить логические цепочки рассуждений, опровергать или подтверждать истинность предположения).</w:t>
      </w:r>
    </w:p>
    <w:p w14:paraId="6C021CD5">
      <w:pPr>
        <w:widowControl/>
        <w:tabs>
          <w:tab w:val="left" w:pos="1134"/>
        </w:tabs>
        <w:spacing w:after="0" w:line="360" w:lineRule="auto"/>
        <w:ind w:firstLine="709"/>
        <w:jc w:val="both"/>
        <w:rPr>
          <w:rFonts w:ascii="Times New Roman" w:hAnsi="Times New Roman"/>
          <w:bCs/>
        </w:rPr>
      </w:pPr>
      <w:r>
        <w:rPr>
          <w:rFonts w:ascii="Times New Roman" w:hAnsi="Times New Roman"/>
          <w:bCs/>
        </w:rPr>
        <w:t xml:space="preserve">10.5.4. На уровне начального общего образования математические знания и умения применяются обучающимся при изучении других учебных предметов (количественные и пространственные характеристики, оценки, расчёты и прикидка, использование графических форм представления информации). Приобретённые обучающимся умения строить алгоритмы, выбирать рациональные способы устных и письменных арифметических вычислений, приёмы проверки правильности выполнения действий, а также различение, называние, изображение геометрических фигур, нахождение геометрических величин (длина, периметр, площадь) становятся показателями сформированной функциональной грамотности обучающегося и предпосылкой успешного дальнейшего обучения на уровне основного общего образования. </w:t>
      </w:r>
    </w:p>
    <w:p w14:paraId="57CCB7ED">
      <w:pPr>
        <w:widowControl/>
        <w:tabs>
          <w:tab w:val="left" w:pos="1134"/>
        </w:tabs>
        <w:spacing w:after="0" w:line="360" w:lineRule="auto"/>
        <w:ind w:firstLine="709"/>
        <w:jc w:val="both"/>
        <w:rPr>
          <w:rFonts w:ascii="Times New Roman" w:hAnsi="Times New Roman"/>
          <w:bCs/>
        </w:rPr>
      </w:pPr>
      <w:r>
        <w:rPr>
          <w:rFonts w:ascii="Times New Roman" w:hAnsi="Times New Roman"/>
          <w:bCs/>
        </w:rPr>
        <w:t xml:space="preserve">10.5.5. Планируемые результаты освоения программы по математике, представленные по годам обучения, отражают, в первую очередь, предметные достижения обучающегося. Также они включают отдельные результаты в области становления личностных качеств и метапредметных действий и умений, которые могут быть достигнуты на этом этапе обучения. </w:t>
      </w:r>
    </w:p>
    <w:p w14:paraId="020021DD">
      <w:pPr>
        <w:widowControl/>
        <w:tabs>
          <w:tab w:val="left" w:pos="1134"/>
        </w:tabs>
        <w:spacing w:after="0" w:line="360" w:lineRule="auto"/>
        <w:ind w:firstLine="709"/>
        <w:jc w:val="both"/>
        <w:rPr>
          <w:rFonts w:ascii="Times New Roman" w:hAnsi="Times New Roman"/>
          <w:bCs/>
        </w:rPr>
      </w:pPr>
      <w:r>
        <w:rPr>
          <w:rFonts w:ascii="Times New Roman" w:hAnsi="Times New Roman"/>
          <w:bCs/>
        </w:rPr>
        <w:t>10.5.6. Общее число часов, рекомендованных для изучения математики – 540 часов: в 1 классе – 132 часа (4 часа в неделю), во 2 классе – 136 часов (4 часа в неделю), в 3 классе – 136 часов (4 часа в неделю), в 4 классе – 136 часов (4 часа в неделю).</w:t>
      </w:r>
    </w:p>
    <w:p w14:paraId="579EB7E2">
      <w:pPr>
        <w:widowControl/>
        <w:tabs>
          <w:tab w:val="left" w:pos="1134"/>
        </w:tabs>
        <w:spacing w:after="0" w:line="360" w:lineRule="auto"/>
        <w:ind w:firstLine="709"/>
        <w:jc w:val="both"/>
        <w:rPr>
          <w:rFonts w:ascii="Times New Roman" w:hAnsi="Times New Roman"/>
          <w:bCs/>
        </w:rPr>
      </w:pPr>
      <w:r>
        <w:rPr>
          <w:rFonts w:ascii="Times New Roman" w:hAnsi="Times New Roman"/>
          <w:bCs/>
        </w:rPr>
        <w:t>10.5.7. Основное содержание обучения в программе по математике представлено разделами: «Числа и величины», «Арифметические действия», «Текстовые задачи», «Пространственные отношения и геометрические фигуры», «Математическая информация».</w:t>
      </w:r>
    </w:p>
    <w:p w14:paraId="18C8823E">
      <w:pPr>
        <w:widowControl/>
        <w:tabs>
          <w:tab w:val="left" w:pos="1134"/>
        </w:tabs>
        <w:spacing w:after="0" w:line="360" w:lineRule="auto"/>
        <w:ind w:firstLine="709"/>
        <w:jc w:val="both"/>
        <w:rPr>
          <w:rFonts w:ascii="Times New Roman" w:hAnsi="Times New Roman"/>
          <w:bCs/>
        </w:rPr>
      </w:pPr>
      <w:r>
        <w:rPr>
          <w:rFonts w:ascii="Times New Roman" w:hAnsi="Times New Roman"/>
          <w:bCs/>
        </w:rPr>
        <w:t>10.6. Содержание обучения в 1 классе.</w:t>
      </w:r>
    </w:p>
    <w:p w14:paraId="2718A223">
      <w:pPr>
        <w:widowControl/>
        <w:tabs>
          <w:tab w:val="left" w:pos="1134"/>
        </w:tabs>
        <w:spacing w:after="0" w:line="360" w:lineRule="auto"/>
        <w:ind w:firstLine="709"/>
        <w:jc w:val="both"/>
        <w:rPr>
          <w:rFonts w:ascii="Times New Roman" w:hAnsi="Times New Roman"/>
          <w:bCs/>
        </w:rPr>
      </w:pPr>
      <w:r>
        <w:rPr>
          <w:rFonts w:ascii="Times New Roman" w:hAnsi="Times New Roman"/>
          <w:bCs/>
        </w:rPr>
        <w:t>10.6.1. Числа и величины.</w:t>
      </w:r>
    </w:p>
    <w:p w14:paraId="01C4F1FE">
      <w:pPr>
        <w:widowControl/>
        <w:tabs>
          <w:tab w:val="left" w:pos="1134"/>
        </w:tabs>
        <w:spacing w:after="0" w:line="360" w:lineRule="auto"/>
        <w:ind w:firstLine="709"/>
        <w:jc w:val="both"/>
        <w:rPr>
          <w:rFonts w:ascii="Times New Roman" w:hAnsi="Times New Roman"/>
          <w:bCs/>
        </w:rPr>
      </w:pPr>
      <w:r>
        <w:rPr>
          <w:rFonts w:ascii="Times New Roman" w:hAnsi="Times New Roman"/>
          <w:bCs/>
        </w:rPr>
        <w:t>10.6.1.1. Числа от 1 до 9: различение, чтение, запись. Единица счёта. Десяток. Счёт предметов, запись результата цифрами. Число и цифра 0 при измерении, вычислении.</w:t>
      </w:r>
    </w:p>
    <w:p w14:paraId="0DDDBDE1">
      <w:pPr>
        <w:widowControl/>
        <w:tabs>
          <w:tab w:val="left" w:pos="1134"/>
        </w:tabs>
        <w:spacing w:after="0" w:line="360" w:lineRule="auto"/>
        <w:ind w:firstLine="709"/>
        <w:jc w:val="both"/>
        <w:rPr>
          <w:rFonts w:ascii="Times New Roman" w:hAnsi="Times New Roman"/>
          <w:bCs/>
        </w:rPr>
      </w:pPr>
      <w:r>
        <w:rPr>
          <w:rFonts w:ascii="Times New Roman" w:hAnsi="Times New Roman"/>
          <w:bCs/>
        </w:rPr>
        <w:t xml:space="preserve">10.6.1.2. Числа в пределах 20: чтение, запись, сравнение. Однозначные и двузначные числа. Увеличение (уменьшение) числа на несколько единиц. </w:t>
      </w:r>
    </w:p>
    <w:p w14:paraId="46DFE15E">
      <w:pPr>
        <w:widowControl/>
        <w:tabs>
          <w:tab w:val="left" w:pos="1134"/>
        </w:tabs>
        <w:spacing w:after="0" w:line="360" w:lineRule="auto"/>
        <w:ind w:firstLine="709"/>
        <w:jc w:val="both"/>
        <w:rPr>
          <w:rFonts w:ascii="Times New Roman" w:hAnsi="Times New Roman"/>
          <w:bCs/>
        </w:rPr>
      </w:pPr>
      <w:r>
        <w:rPr>
          <w:rFonts w:ascii="Times New Roman" w:hAnsi="Times New Roman"/>
          <w:bCs/>
        </w:rPr>
        <w:t xml:space="preserve">10.6.1.3. Длина и её измерение. Единицы длины и установление соотношения между ними: сантиметр, дециметр. </w:t>
      </w:r>
    </w:p>
    <w:p w14:paraId="67E0609E">
      <w:pPr>
        <w:widowControl/>
        <w:tabs>
          <w:tab w:val="left" w:pos="1134"/>
        </w:tabs>
        <w:spacing w:after="0" w:line="360" w:lineRule="auto"/>
        <w:ind w:firstLine="709"/>
        <w:jc w:val="both"/>
        <w:rPr>
          <w:rFonts w:ascii="Times New Roman" w:hAnsi="Times New Roman"/>
          <w:bCs/>
        </w:rPr>
      </w:pPr>
      <w:r>
        <w:rPr>
          <w:rFonts w:ascii="Times New Roman" w:hAnsi="Times New Roman"/>
          <w:bCs/>
        </w:rPr>
        <w:t>10.6.2. Арифметические действия.</w:t>
      </w:r>
    </w:p>
    <w:p w14:paraId="679EFF36">
      <w:pPr>
        <w:widowControl/>
        <w:tabs>
          <w:tab w:val="left" w:pos="1134"/>
        </w:tabs>
        <w:spacing w:after="0" w:line="360" w:lineRule="auto"/>
        <w:ind w:firstLine="709"/>
        <w:jc w:val="both"/>
        <w:rPr>
          <w:rFonts w:ascii="Times New Roman" w:hAnsi="Times New Roman"/>
          <w:bCs/>
        </w:rPr>
      </w:pPr>
      <w:r>
        <w:rPr>
          <w:rFonts w:ascii="Times New Roman" w:hAnsi="Times New Roman"/>
          <w:bCs/>
        </w:rPr>
        <w:t xml:space="preserve">10.6.2.1. Сложение и вычитание чисел в пределах 20. Названия компонентов действий, результатов действий сложения, вычитания. Вычитание как действие, обратное сложению. </w:t>
      </w:r>
    </w:p>
    <w:p w14:paraId="003268E1">
      <w:pPr>
        <w:widowControl/>
        <w:tabs>
          <w:tab w:val="left" w:pos="1134"/>
        </w:tabs>
        <w:spacing w:after="0" w:line="360" w:lineRule="auto"/>
        <w:ind w:firstLine="709"/>
        <w:jc w:val="both"/>
        <w:rPr>
          <w:rFonts w:ascii="Times New Roman" w:hAnsi="Times New Roman"/>
          <w:bCs/>
        </w:rPr>
      </w:pPr>
      <w:r>
        <w:rPr>
          <w:rFonts w:ascii="Times New Roman" w:hAnsi="Times New Roman"/>
          <w:bCs/>
        </w:rPr>
        <w:t>10.6.3. Текстовые задачи.</w:t>
      </w:r>
    </w:p>
    <w:p w14:paraId="1E1EC68C">
      <w:pPr>
        <w:widowControl/>
        <w:tabs>
          <w:tab w:val="left" w:pos="1134"/>
        </w:tabs>
        <w:spacing w:after="0" w:line="360" w:lineRule="auto"/>
        <w:ind w:firstLine="709"/>
        <w:jc w:val="both"/>
        <w:rPr>
          <w:rFonts w:ascii="Times New Roman" w:hAnsi="Times New Roman"/>
          <w:bCs/>
        </w:rPr>
      </w:pPr>
      <w:r>
        <w:rPr>
          <w:rFonts w:ascii="Times New Roman" w:hAnsi="Times New Roman"/>
          <w:bCs/>
        </w:rPr>
        <w:t>10.6.3.1. Текстовая задача: структурные элементы, составление текстовой задачи по образцу. Зависимость между данными и искомой величиной в текстовой задаче. Решение задач в одно действие.</w:t>
      </w:r>
    </w:p>
    <w:p w14:paraId="486F58E3">
      <w:pPr>
        <w:widowControl/>
        <w:tabs>
          <w:tab w:val="left" w:pos="1134"/>
        </w:tabs>
        <w:spacing w:after="0" w:line="360" w:lineRule="auto"/>
        <w:ind w:firstLine="709"/>
        <w:jc w:val="both"/>
        <w:rPr>
          <w:rFonts w:ascii="Times New Roman" w:hAnsi="Times New Roman"/>
          <w:bCs/>
        </w:rPr>
      </w:pPr>
      <w:r>
        <w:rPr>
          <w:rFonts w:ascii="Times New Roman" w:hAnsi="Times New Roman"/>
          <w:bCs/>
        </w:rPr>
        <w:t>10.6.4. Пространственные отношения и геометрические фигуры.</w:t>
      </w:r>
    </w:p>
    <w:p w14:paraId="49CAE531">
      <w:pPr>
        <w:widowControl/>
        <w:tabs>
          <w:tab w:val="left" w:pos="1134"/>
        </w:tabs>
        <w:spacing w:after="0" w:line="360" w:lineRule="auto"/>
        <w:ind w:firstLine="709"/>
        <w:jc w:val="both"/>
        <w:rPr>
          <w:rFonts w:ascii="Times New Roman" w:hAnsi="Times New Roman"/>
          <w:bCs/>
        </w:rPr>
      </w:pPr>
      <w:r>
        <w:rPr>
          <w:rFonts w:ascii="Times New Roman" w:hAnsi="Times New Roman"/>
          <w:bCs/>
        </w:rPr>
        <w:t xml:space="preserve">10.6.4.1. Расположение предметов и объектов на плоскости, в пространстве, установление пространственных отношений: «слева-справа», «сверху-снизу», «между». </w:t>
      </w:r>
    </w:p>
    <w:p w14:paraId="24792E7C">
      <w:pPr>
        <w:widowControl/>
        <w:tabs>
          <w:tab w:val="left" w:pos="1134"/>
        </w:tabs>
        <w:spacing w:after="0" w:line="360" w:lineRule="auto"/>
        <w:ind w:firstLine="709"/>
        <w:jc w:val="both"/>
        <w:rPr>
          <w:rFonts w:ascii="Times New Roman" w:hAnsi="Times New Roman"/>
          <w:bCs/>
        </w:rPr>
      </w:pPr>
      <w:r>
        <w:rPr>
          <w:rFonts w:ascii="Times New Roman" w:hAnsi="Times New Roman"/>
          <w:bCs/>
        </w:rPr>
        <w:t xml:space="preserve">10.6.4.2. Геометрические фигуры: распознавание круга, треугольника, прямоугольника, отрезка. Построение отрезка, квадрата, треугольника с помощью линейки на листе в клетку. Измерение длины отрезка в сантиметрах. </w:t>
      </w:r>
    </w:p>
    <w:p w14:paraId="22C6AD28">
      <w:pPr>
        <w:widowControl/>
        <w:tabs>
          <w:tab w:val="left" w:pos="1134"/>
        </w:tabs>
        <w:spacing w:after="0" w:line="360" w:lineRule="auto"/>
        <w:ind w:firstLine="709"/>
        <w:jc w:val="both"/>
        <w:rPr>
          <w:rFonts w:ascii="Times New Roman" w:hAnsi="Times New Roman"/>
          <w:bCs/>
        </w:rPr>
      </w:pPr>
      <w:r>
        <w:rPr>
          <w:rFonts w:ascii="Times New Roman" w:hAnsi="Times New Roman"/>
          <w:bCs/>
        </w:rPr>
        <w:t>10.6.5. Математическая информация.</w:t>
      </w:r>
    </w:p>
    <w:p w14:paraId="4BD5B709">
      <w:pPr>
        <w:widowControl/>
        <w:tabs>
          <w:tab w:val="left" w:pos="1134"/>
        </w:tabs>
        <w:spacing w:after="0" w:line="360" w:lineRule="auto"/>
        <w:ind w:firstLine="709"/>
        <w:jc w:val="both"/>
        <w:rPr>
          <w:rFonts w:ascii="Times New Roman" w:hAnsi="Times New Roman"/>
          <w:bCs/>
        </w:rPr>
      </w:pPr>
      <w:r>
        <w:rPr>
          <w:rFonts w:ascii="Times New Roman" w:hAnsi="Times New Roman"/>
          <w:bCs/>
        </w:rPr>
        <w:t xml:space="preserve">10.6.5.1. Сбор данных об объекте по образцу. Характеристики объекта, группы объектов (количество, форма, размер). Группировка объектов по заданному признаку. </w:t>
      </w:r>
    </w:p>
    <w:p w14:paraId="4F13EC3D">
      <w:pPr>
        <w:widowControl/>
        <w:tabs>
          <w:tab w:val="left" w:pos="1134"/>
        </w:tabs>
        <w:spacing w:after="0" w:line="360" w:lineRule="auto"/>
        <w:ind w:firstLine="709"/>
        <w:jc w:val="both"/>
        <w:rPr>
          <w:rFonts w:ascii="Times New Roman" w:hAnsi="Times New Roman"/>
          <w:bCs/>
        </w:rPr>
      </w:pPr>
      <w:r>
        <w:rPr>
          <w:rFonts w:ascii="Times New Roman" w:hAnsi="Times New Roman"/>
          <w:bCs/>
        </w:rPr>
        <w:t xml:space="preserve">10.6.5.2. Закономерность в ряду заданных объектов: её обнаружение, продолжение ряда. </w:t>
      </w:r>
    </w:p>
    <w:p w14:paraId="3C52B84C">
      <w:pPr>
        <w:widowControl/>
        <w:tabs>
          <w:tab w:val="left" w:pos="1134"/>
        </w:tabs>
        <w:spacing w:after="0" w:line="360" w:lineRule="auto"/>
        <w:ind w:firstLine="709"/>
        <w:jc w:val="both"/>
        <w:rPr>
          <w:rFonts w:ascii="Times New Roman" w:hAnsi="Times New Roman"/>
          <w:bCs/>
        </w:rPr>
      </w:pPr>
      <w:r>
        <w:rPr>
          <w:rFonts w:ascii="Times New Roman" w:hAnsi="Times New Roman"/>
          <w:bCs/>
        </w:rPr>
        <w:t>10.6.5.3. Верные (истинные) и неверные (ложные) предложения, составленные относительно заданного набора математических объектов.</w:t>
      </w:r>
    </w:p>
    <w:p w14:paraId="109C28AA">
      <w:pPr>
        <w:widowControl/>
        <w:tabs>
          <w:tab w:val="left" w:pos="1134"/>
        </w:tabs>
        <w:spacing w:after="0" w:line="360" w:lineRule="auto"/>
        <w:ind w:firstLine="709"/>
        <w:jc w:val="both"/>
        <w:rPr>
          <w:rFonts w:ascii="Times New Roman" w:hAnsi="Times New Roman"/>
          <w:bCs/>
        </w:rPr>
      </w:pPr>
      <w:r>
        <w:rPr>
          <w:rFonts w:ascii="Times New Roman" w:hAnsi="Times New Roman"/>
          <w:bCs/>
        </w:rPr>
        <w:t xml:space="preserve">10.6.5.4. Чтение таблицы, содержащей не более 4 данных. Извлечение данного из строки или столбца, внесение одного-двух данных в таблицу. Чтение рисунка, схемы с одним-двумя числовыми данными (значениями данных величин). </w:t>
      </w:r>
    </w:p>
    <w:p w14:paraId="54E62419">
      <w:pPr>
        <w:widowControl/>
        <w:tabs>
          <w:tab w:val="left" w:pos="1134"/>
        </w:tabs>
        <w:spacing w:after="0" w:line="360" w:lineRule="auto"/>
        <w:ind w:firstLine="709"/>
        <w:jc w:val="both"/>
        <w:rPr>
          <w:rFonts w:ascii="Times New Roman" w:hAnsi="Times New Roman"/>
          <w:bCs/>
        </w:rPr>
      </w:pPr>
      <w:r>
        <w:rPr>
          <w:rFonts w:ascii="Times New Roman" w:hAnsi="Times New Roman"/>
          <w:bCs/>
        </w:rPr>
        <w:t xml:space="preserve">10.6.5.5. Двух-трёхшаговые инструкции, связанные с вычислением, измерением длины, изображением геометрической фигуры. </w:t>
      </w:r>
    </w:p>
    <w:p w14:paraId="38C272FF">
      <w:pPr>
        <w:widowControl/>
        <w:tabs>
          <w:tab w:val="left" w:pos="1134"/>
        </w:tabs>
        <w:spacing w:after="0" w:line="360" w:lineRule="auto"/>
        <w:ind w:firstLine="709"/>
        <w:jc w:val="both"/>
        <w:rPr>
          <w:rFonts w:ascii="Times New Roman" w:hAnsi="Times New Roman"/>
          <w:bCs/>
        </w:rPr>
      </w:pPr>
      <w:r>
        <w:rPr>
          <w:rFonts w:ascii="Times New Roman" w:hAnsi="Times New Roman"/>
          <w:bCs/>
        </w:rPr>
        <w:t xml:space="preserve">10.6.6. Изучение математики в 1 классе способствует освоению на пропедевтическом уровне ряда универсальных учебных действий: познавательных универсальных учебных действий, коммуникативных универсальных учебных действий, регулятивных универсальных учебных действий, совместной деятельности. </w:t>
      </w:r>
    </w:p>
    <w:p w14:paraId="36647D2D">
      <w:pPr>
        <w:widowControl/>
        <w:tabs>
          <w:tab w:val="left" w:pos="1134"/>
        </w:tabs>
        <w:spacing w:after="0" w:line="360" w:lineRule="auto"/>
        <w:ind w:firstLine="709"/>
        <w:jc w:val="both"/>
        <w:rPr>
          <w:rFonts w:ascii="Times New Roman" w:hAnsi="Times New Roman"/>
          <w:bCs/>
        </w:rPr>
      </w:pPr>
      <w:r>
        <w:rPr>
          <w:rFonts w:ascii="Times New Roman" w:hAnsi="Times New Roman"/>
          <w:bCs/>
        </w:rPr>
        <w:t>10.6.6.1. У обучающегося будут сформированы следующие базовые логические и исследовательские действия как часть познавательных универсальных учебных действий:</w:t>
      </w:r>
    </w:p>
    <w:p w14:paraId="2CE313B0">
      <w:pPr>
        <w:widowControl/>
        <w:tabs>
          <w:tab w:val="left" w:pos="1134"/>
        </w:tabs>
        <w:spacing w:after="0" w:line="360" w:lineRule="auto"/>
        <w:ind w:firstLine="709"/>
        <w:jc w:val="both"/>
        <w:rPr>
          <w:rFonts w:ascii="Times New Roman" w:hAnsi="Times New Roman"/>
          <w:bCs/>
        </w:rPr>
      </w:pPr>
      <w:r>
        <w:rPr>
          <w:rFonts w:ascii="Times New Roman" w:hAnsi="Times New Roman"/>
          <w:bCs/>
        </w:rPr>
        <w:t>наблюдать математические объекты (числа, величины) в окружающем мире;</w:t>
      </w:r>
    </w:p>
    <w:p w14:paraId="343A00D4">
      <w:pPr>
        <w:widowControl/>
        <w:tabs>
          <w:tab w:val="left" w:pos="1134"/>
        </w:tabs>
        <w:spacing w:after="0" w:line="360" w:lineRule="auto"/>
        <w:ind w:firstLine="709"/>
        <w:jc w:val="both"/>
        <w:rPr>
          <w:rFonts w:ascii="Times New Roman" w:hAnsi="Times New Roman"/>
          <w:bCs/>
        </w:rPr>
      </w:pPr>
      <w:r>
        <w:rPr>
          <w:rFonts w:ascii="Times New Roman" w:hAnsi="Times New Roman"/>
          <w:bCs/>
        </w:rPr>
        <w:t>находить общее и различное в записи арифметических действий;</w:t>
      </w:r>
    </w:p>
    <w:p w14:paraId="4342181F">
      <w:pPr>
        <w:widowControl/>
        <w:tabs>
          <w:tab w:val="left" w:pos="1134"/>
        </w:tabs>
        <w:spacing w:after="0" w:line="360" w:lineRule="auto"/>
        <w:ind w:firstLine="709"/>
        <w:jc w:val="both"/>
        <w:rPr>
          <w:rFonts w:ascii="Times New Roman" w:hAnsi="Times New Roman"/>
          <w:bCs/>
        </w:rPr>
      </w:pPr>
      <w:r>
        <w:rPr>
          <w:rFonts w:ascii="Times New Roman" w:hAnsi="Times New Roman"/>
          <w:bCs/>
        </w:rPr>
        <w:t>наблюдать действие измерительных приборов;</w:t>
      </w:r>
    </w:p>
    <w:p w14:paraId="2D3C8BB2">
      <w:pPr>
        <w:widowControl/>
        <w:tabs>
          <w:tab w:val="left" w:pos="1134"/>
        </w:tabs>
        <w:spacing w:after="0" w:line="360" w:lineRule="auto"/>
        <w:ind w:firstLine="709"/>
        <w:jc w:val="both"/>
        <w:rPr>
          <w:rFonts w:ascii="Times New Roman" w:hAnsi="Times New Roman"/>
          <w:bCs/>
        </w:rPr>
      </w:pPr>
      <w:r>
        <w:rPr>
          <w:rFonts w:ascii="Times New Roman" w:hAnsi="Times New Roman"/>
          <w:bCs/>
        </w:rPr>
        <w:t>сравнивать два объекта, два числа;</w:t>
      </w:r>
    </w:p>
    <w:p w14:paraId="696948F7">
      <w:pPr>
        <w:widowControl/>
        <w:tabs>
          <w:tab w:val="left" w:pos="1134"/>
        </w:tabs>
        <w:spacing w:after="0" w:line="360" w:lineRule="auto"/>
        <w:ind w:firstLine="709"/>
        <w:jc w:val="both"/>
        <w:rPr>
          <w:rFonts w:ascii="Times New Roman" w:hAnsi="Times New Roman"/>
          <w:bCs/>
        </w:rPr>
      </w:pPr>
      <w:r>
        <w:rPr>
          <w:rFonts w:ascii="Times New Roman" w:hAnsi="Times New Roman"/>
          <w:bCs/>
        </w:rPr>
        <w:t>распределять объекты на группы по заданному основанию;</w:t>
      </w:r>
    </w:p>
    <w:p w14:paraId="4B7049EB">
      <w:pPr>
        <w:widowControl/>
        <w:tabs>
          <w:tab w:val="left" w:pos="1134"/>
        </w:tabs>
        <w:spacing w:after="0" w:line="360" w:lineRule="auto"/>
        <w:ind w:firstLine="709"/>
        <w:jc w:val="both"/>
        <w:rPr>
          <w:rFonts w:ascii="Times New Roman" w:hAnsi="Times New Roman"/>
          <w:bCs/>
        </w:rPr>
      </w:pPr>
      <w:r>
        <w:rPr>
          <w:rFonts w:ascii="Times New Roman" w:hAnsi="Times New Roman"/>
          <w:bCs/>
        </w:rPr>
        <w:t>копировать изученные фигуры, рисовать от руки по собственному замыслу;</w:t>
      </w:r>
    </w:p>
    <w:p w14:paraId="75E9237C">
      <w:pPr>
        <w:widowControl/>
        <w:tabs>
          <w:tab w:val="left" w:pos="1134"/>
        </w:tabs>
        <w:spacing w:after="0" w:line="360" w:lineRule="auto"/>
        <w:ind w:firstLine="709"/>
        <w:jc w:val="both"/>
        <w:rPr>
          <w:rFonts w:ascii="Times New Roman" w:hAnsi="Times New Roman"/>
          <w:bCs/>
        </w:rPr>
      </w:pPr>
      <w:r>
        <w:rPr>
          <w:rFonts w:ascii="Times New Roman" w:hAnsi="Times New Roman"/>
          <w:bCs/>
        </w:rPr>
        <w:t>приводить примеры чисел, геометрических фигур;</w:t>
      </w:r>
    </w:p>
    <w:p w14:paraId="04828E28">
      <w:pPr>
        <w:widowControl/>
        <w:tabs>
          <w:tab w:val="left" w:pos="1134"/>
        </w:tabs>
        <w:spacing w:after="0" w:line="360" w:lineRule="auto"/>
        <w:ind w:firstLine="709"/>
        <w:jc w:val="both"/>
        <w:rPr>
          <w:rFonts w:ascii="Times New Roman" w:hAnsi="Times New Roman"/>
          <w:bCs/>
        </w:rPr>
      </w:pPr>
      <w:r>
        <w:rPr>
          <w:rFonts w:ascii="Times New Roman" w:hAnsi="Times New Roman"/>
          <w:bCs/>
        </w:rPr>
        <w:t xml:space="preserve">соблюдать последовательность при количественном и порядковом счете. </w:t>
      </w:r>
    </w:p>
    <w:p w14:paraId="78F89958">
      <w:pPr>
        <w:widowControl/>
        <w:tabs>
          <w:tab w:val="left" w:pos="1134"/>
        </w:tabs>
        <w:spacing w:after="0" w:line="360" w:lineRule="auto"/>
        <w:ind w:firstLine="709"/>
        <w:jc w:val="both"/>
        <w:rPr>
          <w:rFonts w:ascii="Times New Roman" w:hAnsi="Times New Roman"/>
          <w:bCs/>
        </w:rPr>
      </w:pPr>
      <w:r>
        <w:rPr>
          <w:rFonts w:ascii="Times New Roman" w:hAnsi="Times New Roman"/>
          <w:bCs/>
        </w:rPr>
        <w:t>10.6.6.2. У обучающегося будут сформированы следующие информационные действия как часть познавательных универсальных учебных действий:</w:t>
      </w:r>
    </w:p>
    <w:p w14:paraId="6172DAC2">
      <w:pPr>
        <w:widowControl/>
        <w:tabs>
          <w:tab w:val="left" w:pos="1134"/>
        </w:tabs>
        <w:spacing w:after="0" w:line="360" w:lineRule="auto"/>
        <w:ind w:firstLine="709"/>
        <w:jc w:val="both"/>
        <w:rPr>
          <w:rFonts w:ascii="Times New Roman" w:hAnsi="Times New Roman"/>
          <w:bCs/>
        </w:rPr>
      </w:pPr>
      <w:r>
        <w:rPr>
          <w:rFonts w:ascii="Times New Roman" w:hAnsi="Times New Roman"/>
          <w:bCs/>
        </w:rPr>
        <w:t>понимать, что математические явления могут быть представлены с помощью различных средств: текст, числовая запись, таблица, рисунок, схема;</w:t>
      </w:r>
    </w:p>
    <w:p w14:paraId="0BC673B8">
      <w:pPr>
        <w:widowControl/>
        <w:tabs>
          <w:tab w:val="left" w:pos="1134"/>
        </w:tabs>
        <w:spacing w:after="0" w:line="360" w:lineRule="auto"/>
        <w:ind w:firstLine="709"/>
        <w:jc w:val="both"/>
        <w:rPr>
          <w:rFonts w:ascii="Times New Roman" w:hAnsi="Times New Roman"/>
          <w:bCs/>
        </w:rPr>
      </w:pPr>
      <w:r>
        <w:rPr>
          <w:rFonts w:ascii="Times New Roman" w:hAnsi="Times New Roman"/>
          <w:bCs/>
        </w:rPr>
        <w:t xml:space="preserve">читать таблицу, извлекать информацию, представленную в табличной форме. </w:t>
      </w:r>
    </w:p>
    <w:p w14:paraId="557169C5">
      <w:pPr>
        <w:widowControl/>
        <w:tabs>
          <w:tab w:val="left" w:pos="1134"/>
        </w:tabs>
        <w:spacing w:after="0" w:line="360" w:lineRule="auto"/>
        <w:ind w:firstLine="709"/>
        <w:jc w:val="both"/>
        <w:rPr>
          <w:rFonts w:ascii="Times New Roman" w:hAnsi="Times New Roman"/>
          <w:bCs/>
        </w:rPr>
      </w:pPr>
      <w:r>
        <w:rPr>
          <w:rFonts w:ascii="Times New Roman" w:hAnsi="Times New Roman"/>
          <w:bCs/>
        </w:rPr>
        <w:t>10.6.6.3. У обучающегося будут сформированы следующие действия общения как часть коммуникативных универсальных учебных действий:</w:t>
      </w:r>
    </w:p>
    <w:p w14:paraId="08177D2D">
      <w:pPr>
        <w:widowControl/>
        <w:tabs>
          <w:tab w:val="left" w:pos="1134"/>
        </w:tabs>
        <w:spacing w:after="0" w:line="360" w:lineRule="auto"/>
        <w:ind w:firstLine="709"/>
        <w:jc w:val="both"/>
        <w:rPr>
          <w:rFonts w:ascii="Times New Roman" w:hAnsi="Times New Roman"/>
          <w:bCs/>
        </w:rPr>
      </w:pPr>
      <w:r>
        <w:rPr>
          <w:rFonts w:ascii="Times New Roman" w:hAnsi="Times New Roman"/>
          <w:bCs/>
        </w:rPr>
        <w:t>характеризовать (описывать) число, геометрическую фигуру, последовательность из нескольких чисел, записанных по порядку;</w:t>
      </w:r>
    </w:p>
    <w:p w14:paraId="3AC35734">
      <w:pPr>
        <w:widowControl/>
        <w:tabs>
          <w:tab w:val="left" w:pos="1134"/>
        </w:tabs>
        <w:spacing w:after="0" w:line="360" w:lineRule="auto"/>
        <w:ind w:firstLine="709"/>
        <w:jc w:val="both"/>
        <w:rPr>
          <w:rFonts w:ascii="Times New Roman" w:hAnsi="Times New Roman"/>
          <w:bCs/>
        </w:rPr>
      </w:pPr>
      <w:r>
        <w:rPr>
          <w:rFonts w:ascii="Times New Roman" w:hAnsi="Times New Roman"/>
          <w:bCs/>
        </w:rPr>
        <w:t>комментировать ход сравнения двух объектов;</w:t>
      </w:r>
    </w:p>
    <w:p w14:paraId="6670B409">
      <w:pPr>
        <w:widowControl/>
        <w:tabs>
          <w:tab w:val="left" w:pos="1134"/>
        </w:tabs>
        <w:spacing w:after="0" w:line="360" w:lineRule="auto"/>
        <w:ind w:firstLine="709"/>
        <w:jc w:val="both"/>
        <w:rPr>
          <w:rFonts w:ascii="Times New Roman" w:hAnsi="Times New Roman"/>
          <w:bCs/>
        </w:rPr>
      </w:pPr>
      <w:r>
        <w:rPr>
          <w:rFonts w:ascii="Times New Roman" w:hAnsi="Times New Roman"/>
          <w:bCs/>
        </w:rPr>
        <w:t>описывать своими словами сюжетную ситуацию и математическое отношение величин (чисел), описывать положение предмета в пространстве;</w:t>
      </w:r>
    </w:p>
    <w:p w14:paraId="37927FF1">
      <w:pPr>
        <w:widowControl/>
        <w:tabs>
          <w:tab w:val="left" w:pos="1134"/>
        </w:tabs>
        <w:spacing w:after="0" w:line="360" w:lineRule="auto"/>
        <w:ind w:firstLine="709"/>
        <w:jc w:val="both"/>
        <w:rPr>
          <w:rFonts w:ascii="Times New Roman" w:hAnsi="Times New Roman"/>
          <w:bCs/>
        </w:rPr>
      </w:pPr>
      <w:r>
        <w:rPr>
          <w:rFonts w:ascii="Times New Roman" w:hAnsi="Times New Roman"/>
          <w:bCs/>
        </w:rPr>
        <w:t>различать и использовать математические знаки;</w:t>
      </w:r>
    </w:p>
    <w:p w14:paraId="703B8900">
      <w:pPr>
        <w:widowControl/>
        <w:tabs>
          <w:tab w:val="left" w:pos="1134"/>
        </w:tabs>
        <w:spacing w:after="0" w:line="360" w:lineRule="auto"/>
        <w:ind w:firstLine="709"/>
        <w:jc w:val="both"/>
        <w:rPr>
          <w:rFonts w:ascii="Times New Roman" w:hAnsi="Times New Roman"/>
          <w:bCs/>
        </w:rPr>
      </w:pPr>
      <w:r>
        <w:rPr>
          <w:rFonts w:ascii="Times New Roman" w:hAnsi="Times New Roman"/>
          <w:bCs/>
        </w:rPr>
        <w:t xml:space="preserve">строить предложения относительно заданного набора объектов. </w:t>
      </w:r>
    </w:p>
    <w:p w14:paraId="21550D2D">
      <w:pPr>
        <w:widowControl/>
        <w:tabs>
          <w:tab w:val="left" w:pos="1134"/>
        </w:tabs>
        <w:spacing w:after="0" w:line="360" w:lineRule="auto"/>
        <w:ind w:firstLine="709"/>
        <w:jc w:val="both"/>
        <w:rPr>
          <w:rFonts w:ascii="Times New Roman" w:hAnsi="Times New Roman"/>
          <w:bCs/>
        </w:rPr>
      </w:pPr>
      <w:r>
        <w:rPr>
          <w:rFonts w:ascii="Times New Roman" w:hAnsi="Times New Roman"/>
          <w:bCs/>
        </w:rPr>
        <w:t>10.6.6.4. У обучающегося будут сформированы следующие действия самоорганизации и самоконтроля как часть регулятивных универсальных учебных действий:</w:t>
      </w:r>
    </w:p>
    <w:p w14:paraId="135D5C18">
      <w:pPr>
        <w:widowControl/>
        <w:tabs>
          <w:tab w:val="left" w:pos="1134"/>
        </w:tabs>
        <w:spacing w:after="0" w:line="360" w:lineRule="auto"/>
        <w:ind w:firstLine="709"/>
        <w:jc w:val="both"/>
        <w:rPr>
          <w:rFonts w:ascii="Times New Roman" w:hAnsi="Times New Roman"/>
          <w:bCs/>
        </w:rPr>
      </w:pPr>
      <w:r>
        <w:rPr>
          <w:rFonts w:ascii="Times New Roman" w:hAnsi="Times New Roman"/>
          <w:bCs/>
        </w:rPr>
        <w:t>принимать учебную задачу, удерживать её в процессе деятельности;</w:t>
      </w:r>
    </w:p>
    <w:p w14:paraId="303A3850">
      <w:pPr>
        <w:widowControl/>
        <w:tabs>
          <w:tab w:val="left" w:pos="1134"/>
        </w:tabs>
        <w:spacing w:after="0" w:line="360" w:lineRule="auto"/>
        <w:ind w:firstLine="709"/>
        <w:jc w:val="both"/>
        <w:rPr>
          <w:rFonts w:ascii="Times New Roman" w:hAnsi="Times New Roman"/>
          <w:bCs/>
        </w:rPr>
      </w:pPr>
      <w:r>
        <w:rPr>
          <w:rFonts w:ascii="Times New Roman" w:hAnsi="Times New Roman"/>
          <w:bCs/>
        </w:rPr>
        <w:t>действовать в соответствии с предложенным образцом, инструкцией;</w:t>
      </w:r>
    </w:p>
    <w:p w14:paraId="0F8A79FD">
      <w:pPr>
        <w:widowControl/>
        <w:tabs>
          <w:tab w:val="left" w:pos="1134"/>
        </w:tabs>
        <w:spacing w:after="0" w:line="360" w:lineRule="auto"/>
        <w:ind w:firstLine="709"/>
        <w:jc w:val="both"/>
        <w:rPr>
          <w:rFonts w:ascii="Times New Roman" w:hAnsi="Times New Roman"/>
          <w:bCs/>
        </w:rPr>
      </w:pPr>
      <w:r>
        <w:rPr>
          <w:rFonts w:ascii="Times New Roman" w:hAnsi="Times New Roman"/>
          <w:bCs/>
        </w:rPr>
        <w:t>проявлять интерес к проверке результатов решения учебной задачи, с помощью учителя устанавливать причину возникшей ошибки и трудности;</w:t>
      </w:r>
    </w:p>
    <w:p w14:paraId="5916E801">
      <w:pPr>
        <w:widowControl/>
        <w:tabs>
          <w:tab w:val="left" w:pos="1134"/>
        </w:tabs>
        <w:spacing w:after="0" w:line="360" w:lineRule="auto"/>
        <w:ind w:firstLine="709"/>
        <w:jc w:val="both"/>
        <w:rPr>
          <w:rFonts w:ascii="Times New Roman" w:hAnsi="Times New Roman"/>
          <w:bCs/>
        </w:rPr>
      </w:pPr>
      <w:r>
        <w:rPr>
          <w:rFonts w:ascii="Times New Roman" w:hAnsi="Times New Roman"/>
          <w:bCs/>
        </w:rPr>
        <w:t xml:space="preserve">проверять правильность вычисления с помощью другого приёма выполнения действия. </w:t>
      </w:r>
    </w:p>
    <w:p w14:paraId="247306DD">
      <w:pPr>
        <w:widowControl/>
        <w:tabs>
          <w:tab w:val="left" w:pos="1134"/>
        </w:tabs>
        <w:spacing w:after="0" w:line="360" w:lineRule="auto"/>
        <w:ind w:firstLine="709"/>
        <w:jc w:val="both"/>
        <w:rPr>
          <w:rFonts w:ascii="Times New Roman" w:hAnsi="Times New Roman"/>
          <w:bCs/>
        </w:rPr>
      </w:pPr>
      <w:r>
        <w:rPr>
          <w:rFonts w:ascii="Times New Roman" w:hAnsi="Times New Roman"/>
          <w:bCs/>
        </w:rPr>
        <w:t>10.6.6.5. Совместная деятельность способствует формированию умений:</w:t>
      </w:r>
    </w:p>
    <w:p w14:paraId="70FB6688">
      <w:pPr>
        <w:widowControl/>
        <w:tabs>
          <w:tab w:val="left" w:pos="1134"/>
        </w:tabs>
        <w:spacing w:after="0" w:line="360" w:lineRule="auto"/>
        <w:ind w:firstLine="709"/>
        <w:jc w:val="both"/>
        <w:rPr>
          <w:rFonts w:ascii="Times New Roman" w:hAnsi="Times New Roman"/>
          <w:bCs/>
        </w:rPr>
      </w:pPr>
      <w:r>
        <w:rPr>
          <w:rFonts w:ascii="Times New Roman" w:hAnsi="Times New Roman"/>
          <w:bCs/>
        </w:rPr>
        <w:t xml:space="preserve">участвовать в парной работе с математическим материалом, выполнять правила совместной деятельности: договариваться, считаться с мнением партнёра, спокойно и мирно разрешать конфликты. </w:t>
      </w:r>
    </w:p>
    <w:p w14:paraId="53D42060">
      <w:pPr>
        <w:widowControl/>
        <w:tabs>
          <w:tab w:val="left" w:pos="1134"/>
        </w:tabs>
        <w:spacing w:after="0" w:line="360" w:lineRule="auto"/>
        <w:ind w:firstLine="709"/>
        <w:jc w:val="both"/>
        <w:rPr>
          <w:rFonts w:ascii="Times New Roman" w:hAnsi="Times New Roman"/>
          <w:bCs/>
        </w:rPr>
      </w:pPr>
      <w:r>
        <w:rPr>
          <w:rFonts w:ascii="Times New Roman" w:hAnsi="Times New Roman"/>
          <w:bCs/>
        </w:rPr>
        <w:t>10.7. Содержание обучения во 2 классе.</w:t>
      </w:r>
    </w:p>
    <w:p w14:paraId="19BB4BDF">
      <w:pPr>
        <w:widowControl/>
        <w:tabs>
          <w:tab w:val="left" w:pos="1134"/>
        </w:tabs>
        <w:spacing w:after="0" w:line="360" w:lineRule="auto"/>
        <w:ind w:firstLine="709"/>
        <w:jc w:val="both"/>
        <w:rPr>
          <w:rFonts w:ascii="Times New Roman" w:hAnsi="Times New Roman"/>
          <w:bCs/>
        </w:rPr>
      </w:pPr>
      <w:r>
        <w:rPr>
          <w:rFonts w:ascii="Times New Roman" w:hAnsi="Times New Roman"/>
          <w:bCs/>
        </w:rPr>
        <w:t>10.7.1. Числа и величины.</w:t>
      </w:r>
    </w:p>
    <w:p w14:paraId="44C04BC5">
      <w:pPr>
        <w:widowControl/>
        <w:tabs>
          <w:tab w:val="left" w:pos="1134"/>
        </w:tabs>
        <w:spacing w:after="0" w:line="360" w:lineRule="auto"/>
        <w:ind w:firstLine="709"/>
        <w:jc w:val="both"/>
        <w:rPr>
          <w:rFonts w:ascii="Times New Roman" w:hAnsi="Times New Roman"/>
          <w:bCs/>
        </w:rPr>
      </w:pPr>
      <w:r>
        <w:rPr>
          <w:rFonts w:ascii="Times New Roman" w:hAnsi="Times New Roman"/>
          <w:bCs/>
        </w:rPr>
        <w:t xml:space="preserve">10.7.1.1. Числа в пределах 100: чтение, запись, десятичный состав, сравнение. Запись равенства, неравенства. Увеличение, уменьшение числа на несколько единиц, десятков. Разностное сравнение чисел. </w:t>
      </w:r>
    </w:p>
    <w:p w14:paraId="01697844">
      <w:pPr>
        <w:widowControl/>
        <w:tabs>
          <w:tab w:val="left" w:pos="1134"/>
        </w:tabs>
        <w:spacing w:after="0" w:line="360" w:lineRule="auto"/>
        <w:ind w:firstLine="709"/>
        <w:jc w:val="both"/>
        <w:rPr>
          <w:rFonts w:ascii="Times New Roman" w:hAnsi="Times New Roman"/>
          <w:bCs/>
        </w:rPr>
      </w:pPr>
      <w:r>
        <w:rPr>
          <w:rFonts w:ascii="Times New Roman" w:hAnsi="Times New Roman"/>
          <w:bCs/>
        </w:rPr>
        <w:t xml:space="preserve">10.7.1.2. Величины: сравнение по массе (единица массы – килограмм), времени (единицы времени – час, минута), измерение длины (единицы длины – метр, дециметр, сантиметр, миллиметр). Соотношение между единицами величины (в пределах 100), его применение для решения практических задач. </w:t>
      </w:r>
    </w:p>
    <w:p w14:paraId="5C95D2D8">
      <w:pPr>
        <w:widowControl/>
        <w:tabs>
          <w:tab w:val="left" w:pos="1134"/>
        </w:tabs>
        <w:spacing w:after="0" w:line="360" w:lineRule="auto"/>
        <w:ind w:firstLine="709"/>
        <w:jc w:val="both"/>
        <w:rPr>
          <w:rFonts w:ascii="Times New Roman" w:hAnsi="Times New Roman"/>
          <w:bCs/>
        </w:rPr>
      </w:pPr>
      <w:r>
        <w:rPr>
          <w:rFonts w:ascii="Times New Roman" w:hAnsi="Times New Roman"/>
          <w:bCs/>
        </w:rPr>
        <w:t>10.7.2. Арифметические действия.</w:t>
      </w:r>
    </w:p>
    <w:p w14:paraId="4C301198">
      <w:pPr>
        <w:widowControl/>
        <w:tabs>
          <w:tab w:val="left" w:pos="1134"/>
        </w:tabs>
        <w:spacing w:after="0" w:line="360" w:lineRule="auto"/>
        <w:ind w:firstLine="709"/>
        <w:jc w:val="both"/>
        <w:rPr>
          <w:rFonts w:ascii="Times New Roman" w:hAnsi="Times New Roman"/>
          <w:bCs/>
        </w:rPr>
      </w:pPr>
      <w:r>
        <w:rPr>
          <w:rFonts w:ascii="Times New Roman" w:hAnsi="Times New Roman"/>
          <w:bCs/>
        </w:rPr>
        <w:t xml:space="preserve">10.7.2.1. Устное сложение и вычитание чисел в пределах 100 без перехода и с переходом через разряд. Письменное сложение и вычитание чисел в пределах 100. Переместительное, сочетательное свойства сложения, их применение для вычислений. Взаимосвязь компонентов и результата действия сложения, действия вычитания. Проверка результата вычисления (реальность ответа, обратное действие). </w:t>
      </w:r>
    </w:p>
    <w:p w14:paraId="64C7412D">
      <w:pPr>
        <w:widowControl/>
        <w:tabs>
          <w:tab w:val="left" w:pos="1134"/>
        </w:tabs>
        <w:spacing w:after="0" w:line="360" w:lineRule="auto"/>
        <w:ind w:firstLine="709"/>
        <w:jc w:val="both"/>
        <w:rPr>
          <w:rFonts w:ascii="Times New Roman" w:hAnsi="Times New Roman"/>
          <w:bCs/>
        </w:rPr>
      </w:pPr>
      <w:r>
        <w:rPr>
          <w:rFonts w:ascii="Times New Roman" w:hAnsi="Times New Roman"/>
          <w:bCs/>
        </w:rPr>
        <w:t xml:space="preserve">10.7.2.2. Действия умножения и деления чисел в практических и учебных ситуациях. Названия компонентов действий умножения, деления. </w:t>
      </w:r>
    </w:p>
    <w:p w14:paraId="576E41FA">
      <w:pPr>
        <w:widowControl/>
        <w:tabs>
          <w:tab w:val="left" w:pos="1134"/>
        </w:tabs>
        <w:spacing w:after="0" w:line="360" w:lineRule="auto"/>
        <w:ind w:firstLine="709"/>
        <w:jc w:val="both"/>
        <w:rPr>
          <w:rFonts w:ascii="Times New Roman" w:hAnsi="Times New Roman"/>
          <w:bCs/>
        </w:rPr>
      </w:pPr>
      <w:r>
        <w:rPr>
          <w:rFonts w:ascii="Times New Roman" w:hAnsi="Times New Roman"/>
          <w:bCs/>
        </w:rPr>
        <w:t xml:space="preserve">10.7.2.3. Табличное умножение в пределах 50. Табличные случаи умножения, деления при вычислениях и решении задач. Переместительное свойство умножения. Взаимосвязь компонентов и результата действия умножения, действия деления. </w:t>
      </w:r>
    </w:p>
    <w:p w14:paraId="5C205FA2">
      <w:pPr>
        <w:widowControl/>
        <w:tabs>
          <w:tab w:val="left" w:pos="1134"/>
        </w:tabs>
        <w:spacing w:after="0" w:line="360" w:lineRule="auto"/>
        <w:ind w:firstLine="709"/>
        <w:jc w:val="both"/>
        <w:rPr>
          <w:rFonts w:ascii="Times New Roman" w:hAnsi="Times New Roman"/>
          <w:bCs/>
        </w:rPr>
      </w:pPr>
      <w:r>
        <w:rPr>
          <w:rFonts w:ascii="Times New Roman" w:hAnsi="Times New Roman"/>
          <w:bCs/>
        </w:rPr>
        <w:t xml:space="preserve">10.7.2.4. Неизвестный компонент действия сложения, действия вычитания. Нахождение неизвестного компонента сложения, вычитания. </w:t>
      </w:r>
    </w:p>
    <w:p w14:paraId="6FC4AE2F">
      <w:pPr>
        <w:widowControl/>
        <w:tabs>
          <w:tab w:val="left" w:pos="1134"/>
        </w:tabs>
        <w:spacing w:after="0" w:line="360" w:lineRule="auto"/>
        <w:ind w:firstLine="709"/>
        <w:jc w:val="both"/>
        <w:rPr>
          <w:rFonts w:ascii="Times New Roman" w:hAnsi="Times New Roman"/>
          <w:bCs/>
        </w:rPr>
      </w:pPr>
      <w:r>
        <w:rPr>
          <w:rFonts w:ascii="Times New Roman" w:hAnsi="Times New Roman"/>
          <w:bCs/>
        </w:rPr>
        <w:t>10.7.2.5. Числовое выражение: чтение, запись, вычисление значения. Порядок выполнения действий в числовом выражении, содержащем действия сложения и вычитания (со скобками или без скобок) в пределах 100 (не более трех действий). Нахождение значения числового выражения. Рациональные приемы вычислений: использование переместительного свойства.</w:t>
      </w:r>
    </w:p>
    <w:p w14:paraId="0F4DE743">
      <w:pPr>
        <w:widowControl/>
        <w:tabs>
          <w:tab w:val="left" w:pos="1134"/>
        </w:tabs>
        <w:spacing w:after="0" w:line="360" w:lineRule="auto"/>
        <w:ind w:firstLine="709"/>
        <w:jc w:val="both"/>
        <w:rPr>
          <w:rFonts w:ascii="Times New Roman" w:hAnsi="Times New Roman"/>
          <w:bCs/>
        </w:rPr>
      </w:pPr>
      <w:r>
        <w:rPr>
          <w:rFonts w:ascii="Times New Roman" w:hAnsi="Times New Roman"/>
          <w:bCs/>
        </w:rPr>
        <w:t>10.7.3. Текстовые задачи.</w:t>
      </w:r>
    </w:p>
    <w:p w14:paraId="29348FB1">
      <w:pPr>
        <w:widowControl/>
        <w:tabs>
          <w:tab w:val="left" w:pos="1134"/>
        </w:tabs>
        <w:spacing w:after="0" w:line="360" w:lineRule="auto"/>
        <w:ind w:firstLine="709"/>
        <w:jc w:val="both"/>
        <w:rPr>
          <w:rFonts w:ascii="Times New Roman" w:hAnsi="Times New Roman"/>
          <w:bCs/>
        </w:rPr>
      </w:pPr>
      <w:r>
        <w:rPr>
          <w:rFonts w:ascii="Times New Roman" w:hAnsi="Times New Roman"/>
          <w:bCs/>
        </w:rPr>
        <w:t xml:space="preserve">10.7.3.1. Чтение, представление текста задачи в виде рисунка, схемы или другой модели. План решения задачи в два действия, выбор соответствующих плану арифметических действий. Запись решения и ответа задачи. Решение текстовых задач на применение смысла арифметического действия (сложение, вычитание, умножение, деление). Расчётные задачи на увеличение или уменьшение величины на несколько единиц или в несколько раз. Запись ответа к задаче и его проверка (формулирование, проверка на достоверность, следование плану, соответствие поставленному вопросу). </w:t>
      </w:r>
    </w:p>
    <w:p w14:paraId="64244956">
      <w:pPr>
        <w:widowControl/>
        <w:tabs>
          <w:tab w:val="left" w:pos="1134"/>
        </w:tabs>
        <w:spacing w:after="0" w:line="360" w:lineRule="auto"/>
        <w:ind w:firstLine="709"/>
        <w:jc w:val="both"/>
        <w:rPr>
          <w:rFonts w:ascii="Times New Roman" w:hAnsi="Times New Roman"/>
          <w:bCs/>
        </w:rPr>
      </w:pPr>
      <w:r>
        <w:rPr>
          <w:rFonts w:ascii="Times New Roman" w:hAnsi="Times New Roman"/>
          <w:bCs/>
        </w:rPr>
        <w:t>10.7.4. Пространственные отношения и геометрические фигуры.</w:t>
      </w:r>
    </w:p>
    <w:p w14:paraId="74DA5945">
      <w:pPr>
        <w:widowControl/>
        <w:tabs>
          <w:tab w:val="left" w:pos="1134"/>
        </w:tabs>
        <w:spacing w:after="0" w:line="360" w:lineRule="auto"/>
        <w:ind w:firstLine="709"/>
        <w:jc w:val="both"/>
        <w:rPr>
          <w:rFonts w:ascii="Times New Roman" w:hAnsi="Times New Roman"/>
          <w:bCs/>
        </w:rPr>
      </w:pPr>
      <w:r>
        <w:rPr>
          <w:rFonts w:ascii="Times New Roman" w:hAnsi="Times New Roman"/>
          <w:bCs/>
        </w:rPr>
        <w:t>10.7.4.1. Распознавание и изображение геометрических фигур: точка, прямая, прямой угол, ломаная, многоугольник. Построение отрезка заданной длины с помощью линейки. Изображение на клетчатой бумаге прямоугольника с заданными длинами сторон, квадрата с заданной длиной стороны. Длина ломаной. Измерение периметра изображенного прямоугольника (квадрата), запись результата измерения в сантиметрах.</w:t>
      </w:r>
    </w:p>
    <w:p w14:paraId="430909E6">
      <w:pPr>
        <w:widowControl/>
        <w:tabs>
          <w:tab w:val="left" w:pos="1134"/>
        </w:tabs>
        <w:spacing w:after="0" w:line="360" w:lineRule="auto"/>
        <w:ind w:firstLine="709"/>
        <w:jc w:val="both"/>
        <w:rPr>
          <w:rFonts w:ascii="Times New Roman" w:hAnsi="Times New Roman"/>
          <w:bCs/>
        </w:rPr>
      </w:pPr>
      <w:r>
        <w:rPr>
          <w:rFonts w:ascii="Times New Roman" w:hAnsi="Times New Roman"/>
          <w:bCs/>
        </w:rPr>
        <w:t>10.7.5. Математическая информация.</w:t>
      </w:r>
    </w:p>
    <w:p w14:paraId="14801D75">
      <w:pPr>
        <w:widowControl/>
        <w:tabs>
          <w:tab w:val="left" w:pos="1134"/>
        </w:tabs>
        <w:spacing w:after="0" w:line="360" w:lineRule="auto"/>
        <w:ind w:firstLine="709"/>
        <w:jc w:val="both"/>
        <w:rPr>
          <w:rFonts w:ascii="Times New Roman" w:hAnsi="Times New Roman"/>
          <w:bCs/>
        </w:rPr>
      </w:pPr>
      <w:r>
        <w:rPr>
          <w:rFonts w:ascii="Times New Roman" w:hAnsi="Times New Roman"/>
          <w:bCs/>
        </w:rPr>
        <w:t xml:space="preserve">10.7.5.1. Нахождение, формулирование одного-двух общих признаков набора математических объектов: чисел, величин, геометрических фигур. Классификация объектов по заданному или самостоятельно установленному признаку. Закономерность в ряду чисел, геометрических фигур, объектов повседневной жизни. </w:t>
      </w:r>
    </w:p>
    <w:p w14:paraId="0DA60488">
      <w:pPr>
        <w:widowControl/>
        <w:tabs>
          <w:tab w:val="left" w:pos="1134"/>
        </w:tabs>
        <w:spacing w:after="0" w:line="360" w:lineRule="auto"/>
        <w:ind w:firstLine="709"/>
        <w:jc w:val="both"/>
        <w:rPr>
          <w:rFonts w:ascii="Times New Roman" w:hAnsi="Times New Roman"/>
          <w:bCs/>
        </w:rPr>
      </w:pPr>
      <w:r>
        <w:rPr>
          <w:rFonts w:ascii="Times New Roman" w:hAnsi="Times New Roman"/>
          <w:bCs/>
        </w:rPr>
        <w:t xml:space="preserve">10.7.5.2. Верные (истинные) и неверные (ложные) утверждения, содержащие количественные, пространственные отношения, зависимости между числами или величинами. Конструирование утверждений с использованием слов «каждый», «все». </w:t>
      </w:r>
    </w:p>
    <w:p w14:paraId="497BC8EA">
      <w:pPr>
        <w:widowControl/>
        <w:tabs>
          <w:tab w:val="left" w:pos="1134"/>
        </w:tabs>
        <w:spacing w:after="0" w:line="360" w:lineRule="auto"/>
        <w:ind w:firstLine="709"/>
        <w:jc w:val="both"/>
        <w:rPr>
          <w:rFonts w:ascii="Times New Roman" w:hAnsi="Times New Roman"/>
          <w:bCs/>
        </w:rPr>
      </w:pPr>
      <w:r>
        <w:rPr>
          <w:rFonts w:ascii="Times New Roman" w:hAnsi="Times New Roman"/>
          <w:bCs/>
        </w:rPr>
        <w:t xml:space="preserve">10.7.5.3. Работа с таблицами: извлечение и использование для ответа на вопрос информации, представленной в таблице (например, таблицы сложения, умножения, графика дежурств). </w:t>
      </w:r>
    </w:p>
    <w:p w14:paraId="4CC4D851">
      <w:pPr>
        <w:widowControl/>
        <w:tabs>
          <w:tab w:val="left" w:pos="1134"/>
        </w:tabs>
        <w:spacing w:after="0" w:line="360" w:lineRule="auto"/>
        <w:ind w:firstLine="709"/>
        <w:jc w:val="both"/>
        <w:rPr>
          <w:rFonts w:ascii="Times New Roman" w:hAnsi="Times New Roman"/>
          <w:bCs/>
        </w:rPr>
      </w:pPr>
      <w:r>
        <w:rPr>
          <w:rFonts w:ascii="Times New Roman" w:hAnsi="Times New Roman"/>
          <w:bCs/>
        </w:rPr>
        <w:t xml:space="preserve">10.7.5.4. Внесение данных в таблицу, дополнение моделей (схем, изображений) готовыми числовыми данными. </w:t>
      </w:r>
    </w:p>
    <w:p w14:paraId="72C93C2D">
      <w:pPr>
        <w:widowControl/>
        <w:tabs>
          <w:tab w:val="left" w:pos="1134"/>
        </w:tabs>
        <w:spacing w:after="0" w:line="360" w:lineRule="auto"/>
        <w:ind w:firstLine="709"/>
        <w:jc w:val="both"/>
        <w:rPr>
          <w:rFonts w:ascii="Times New Roman" w:hAnsi="Times New Roman"/>
          <w:bCs/>
        </w:rPr>
      </w:pPr>
      <w:r>
        <w:rPr>
          <w:rFonts w:ascii="Times New Roman" w:hAnsi="Times New Roman"/>
          <w:bCs/>
        </w:rPr>
        <w:t xml:space="preserve">10.7.5.5. Алгоритмы (приёмы, правила) устных и письменных вычислений, измерений и построения геометрических фигур. </w:t>
      </w:r>
    </w:p>
    <w:p w14:paraId="19FE5AB0">
      <w:pPr>
        <w:widowControl/>
        <w:tabs>
          <w:tab w:val="left" w:pos="1134"/>
        </w:tabs>
        <w:spacing w:after="0" w:line="360" w:lineRule="auto"/>
        <w:ind w:firstLine="709"/>
        <w:jc w:val="both"/>
        <w:rPr>
          <w:rFonts w:ascii="Times New Roman" w:hAnsi="Times New Roman"/>
          <w:bCs/>
        </w:rPr>
      </w:pPr>
      <w:r>
        <w:rPr>
          <w:rFonts w:ascii="Times New Roman" w:hAnsi="Times New Roman"/>
          <w:bCs/>
        </w:rPr>
        <w:t xml:space="preserve">10.7.5.6. Правила работы с электронными средствами обучения (электронной формой учебника, компьютерными тренажёрами). </w:t>
      </w:r>
    </w:p>
    <w:p w14:paraId="17911B9F">
      <w:pPr>
        <w:widowControl/>
        <w:tabs>
          <w:tab w:val="left" w:pos="1134"/>
        </w:tabs>
        <w:spacing w:after="0" w:line="360" w:lineRule="auto"/>
        <w:ind w:firstLine="709"/>
        <w:jc w:val="both"/>
        <w:rPr>
          <w:rFonts w:ascii="Times New Roman" w:hAnsi="Times New Roman"/>
          <w:bCs/>
        </w:rPr>
      </w:pPr>
      <w:r>
        <w:rPr>
          <w:rFonts w:ascii="Times New Roman" w:hAnsi="Times New Roman"/>
          <w:bCs/>
        </w:rPr>
        <w:t>10.7.6. Изучение математики во 2 классе способствует освоению на пропедевтическом уровне ряда универсальных учебных действий: познавательных универсальных учебных действий, коммуникативных универсальных учебных действий, регулятивных универсальных учебных действий, совместной деятельности.</w:t>
      </w:r>
    </w:p>
    <w:p w14:paraId="743B10F7">
      <w:pPr>
        <w:widowControl/>
        <w:tabs>
          <w:tab w:val="left" w:pos="1134"/>
        </w:tabs>
        <w:spacing w:after="0" w:line="360" w:lineRule="auto"/>
        <w:ind w:firstLine="709"/>
        <w:jc w:val="both"/>
        <w:rPr>
          <w:rFonts w:ascii="Times New Roman" w:hAnsi="Times New Roman"/>
          <w:bCs/>
        </w:rPr>
      </w:pPr>
      <w:r>
        <w:rPr>
          <w:rFonts w:ascii="Times New Roman" w:hAnsi="Times New Roman"/>
          <w:bCs/>
        </w:rPr>
        <w:t>10.7.6.1. У обучающегося будут сформированы следующие базовые логические и исследовательские действия как часть познавательных универсальных учебных действий:</w:t>
      </w:r>
    </w:p>
    <w:p w14:paraId="07A63E6D">
      <w:pPr>
        <w:widowControl/>
        <w:tabs>
          <w:tab w:val="left" w:pos="1134"/>
        </w:tabs>
        <w:spacing w:after="0" w:line="360" w:lineRule="auto"/>
        <w:ind w:firstLine="709"/>
        <w:jc w:val="both"/>
        <w:rPr>
          <w:rFonts w:ascii="Times New Roman" w:hAnsi="Times New Roman"/>
          <w:bCs/>
        </w:rPr>
      </w:pPr>
      <w:r>
        <w:rPr>
          <w:rFonts w:ascii="Times New Roman" w:hAnsi="Times New Roman"/>
          <w:bCs/>
        </w:rPr>
        <w:t>наблюдать математические отношения (часть–целое, больше–меньше) в окружающем мире;</w:t>
      </w:r>
    </w:p>
    <w:p w14:paraId="45E52AA1">
      <w:pPr>
        <w:widowControl/>
        <w:tabs>
          <w:tab w:val="left" w:pos="1134"/>
        </w:tabs>
        <w:spacing w:after="0" w:line="360" w:lineRule="auto"/>
        <w:ind w:firstLine="709"/>
        <w:jc w:val="both"/>
        <w:rPr>
          <w:rFonts w:ascii="Times New Roman" w:hAnsi="Times New Roman"/>
          <w:bCs/>
        </w:rPr>
      </w:pPr>
      <w:r>
        <w:rPr>
          <w:rFonts w:ascii="Times New Roman" w:hAnsi="Times New Roman"/>
          <w:bCs/>
        </w:rPr>
        <w:t>характеризовать назначение и использовать простейшие измерительные приборы (сантиметровая лента, весы);</w:t>
      </w:r>
    </w:p>
    <w:p w14:paraId="10C2E7FE">
      <w:pPr>
        <w:widowControl/>
        <w:tabs>
          <w:tab w:val="left" w:pos="1134"/>
        </w:tabs>
        <w:spacing w:after="0" w:line="360" w:lineRule="auto"/>
        <w:ind w:firstLine="709"/>
        <w:jc w:val="both"/>
        <w:rPr>
          <w:rFonts w:ascii="Times New Roman" w:hAnsi="Times New Roman"/>
          <w:bCs/>
        </w:rPr>
      </w:pPr>
      <w:r>
        <w:rPr>
          <w:rFonts w:ascii="Times New Roman" w:hAnsi="Times New Roman"/>
          <w:bCs/>
        </w:rPr>
        <w:t>сравнивать группы объектов (чисел, величин, геометрических фигур) по самостоятельно выбранному основанию;</w:t>
      </w:r>
    </w:p>
    <w:p w14:paraId="7D1CEF91">
      <w:pPr>
        <w:widowControl/>
        <w:tabs>
          <w:tab w:val="left" w:pos="1134"/>
        </w:tabs>
        <w:spacing w:after="0" w:line="360" w:lineRule="auto"/>
        <w:ind w:firstLine="709"/>
        <w:jc w:val="both"/>
        <w:rPr>
          <w:rFonts w:ascii="Times New Roman" w:hAnsi="Times New Roman"/>
          <w:bCs/>
        </w:rPr>
      </w:pPr>
      <w:r>
        <w:rPr>
          <w:rFonts w:ascii="Times New Roman" w:hAnsi="Times New Roman"/>
          <w:bCs/>
        </w:rPr>
        <w:t>распределять (классифицировать) объекты (числа, величины, геометрические фигуры, текстовые задачи в одно действие) на группы;</w:t>
      </w:r>
    </w:p>
    <w:p w14:paraId="69162E92">
      <w:pPr>
        <w:widowControl/>
        <w:tabs>
          <w:tab w:val="left" w:pos="1134"/>
        </w:tabs>
        <w:spacing w:after="0" w:line="360" w:lineRule="auto"/>
        <w:ind w:firstLine="709"/>
        <w:jc w:val="both"/>
        <w:rPr>
          <w:rFonts w:ascii="Times New Roman" w:hAnsi="Times New Roman"/>
          <w:bCs/>
        </w:rPr>
      </w:pPr>
      <w:r>
        <w:rPr>
          <w:rFonts w:ascii="Times New Roman" w:hAnsi="Times New Roman"/>
          <w:bCs/>
        </w:rPr>
        <w:t>находить модели геометрических фигур в окружающем мире;</w:t>
      </w:r>
    </w:p>
    <w:p w14:paraId="0F731079">
      <w:pPr>
        <w:widowControl/>
        <w:tabs>
          <w:tab w:val="left" w:pos="1134"/>
        </w:tabs>
        <w:spacing w:after="0" w:line="360" w:lineRule="auto"/>
        <w:ind w:firstLine="709"/>
        <w:jc w:val="both"/>
        <w:rPr>
          <w:rFonts w:ascii="Times New Roman" w:hAnsi="Times New Roman"/>
          <w:bCs/>
        </w:rPr>
      </w:pPr>
      <w:r>
        <w:rPr>
          <w:rFonts w:ascii="Times New Roman" w:hAnsi="Times New Roman"/>
          <w:bCs/>
        </w:rPr>
        <w:t>вести поиск различных решений задачи (расчётной, с геометрическим содержанием);</w:t>
      </w:r>
    </w:p>
    <w:p w14:paraId="0B04292C">
      <w:pPr>
        <w:widowControl/>
        <w:tabs>
          <w:tab w:val="left" w:pos="1134"/>
        </w:tabs>
        <w:spacing w:after="0" w:line="360" w:lineRule="auto"/>
        <w:ind w:firstLine="709"/>
        <w:jc w:val="both"/>
        <w:rPr>
          <w:rFonts w:ascii="Times New Roman" w:hAnsi="Times New Roman"/>
          <w:bCs/>
        </w:rPr>
      </w:pPr>
      <w:r>
        <w:rPr>
          <w:rFonts w:ascii="Times New Roman" w:hAnsi="Times New Roman"/>
          <w:bCs/>
        </w:rPr>
        <w:t>воспроизводить порядок выполнения действий в числовом выражении, содержащем действия сложения и вычитания (со скобками или без скобок);</w:t>
      </w:r>
    </w:p>
    <w:p w14:paraId="31E6C1AB">
      <w:pPr>
        <w:widowControl/>
        <w:tabs>
          <w:tab w:val="left" w:pos="1134"/>
        </w:tabs>
        <w:spacing w:after="0" w:line="360" w:lineRule="auto"/>
        <w:ind w:firstLine="709"/>
        <w:jc w:val="both"/>
        <w:rPr>
          <w:rFonts w:ascii="Times New Roman" w:hAnsi="Times New Roman"/>
          <w:bCs/>
        </w:rPr>
      </w:pPr>
      <w:r>
        <w:rPr>
          <w:rFonts w:ascii="Times New Roman" w:hAnsi="Times New Roman"/>
          <w:bCs/>
        </w:rPr>
        <w:t>устанавливать соответствие между математическим выражением и его текстовым описанием;</w:t>
      </w:r>
    </w:p>
    <w:p w14:paraId="3BCF7BA0">
      <w:pPr>
        <w:widowControl/>
        <w:tabs>
          <w:tab w:val="left" w:pos="1134"/>
        </w:tabs>
        <w:spacing w:after="0" w:line="360" w:lineRule="auto"/>
        <w:ind w:firstLine="709"/>
        <w:jc w:val="both"/>
        <w:rPr>
          <w:rFonts w:ascii="Times New Roman" w:hAnsi="Times New Roman"/>
          <w:bCs/>
        </w:rPr>
      </w:pPr>
      <w:r>
        <w:rPr>
          <w:rFonts w:ascii="Times New Roman" w:hAnsi="Times New Roman"/>
          <w:bCs/>
        </w:rPr>
        <w:t xml:space="preserve">подбирать примеры, подтверждающие суждение, вывод, ответ. </w:t>
      </w:r>
    </w:p>
    <w:p w14:paraId="699AAE74">
      <w:pPr>
        <w:widowControl/>
        <w:tabs>
          <w:tab w:val="left" w:pos="1134"/>
        </w:tabs>
        <w:spacing w:after="0" w:line="360" w:lineRule="auto"/>
        <w:ind w:firstLine="709"/>
        <w:jc w:val="both"/>
        <w:rPr>
          <w:rFonts w:ascii="Times New Roman" w:hAnsi="Times New Roman"/>
          <w:bCs/>
        </w:rPr>
      </w:pPr>
      <w:r>
        <w:rPr>
          <w:rFonts w:ascii="Times New Roman" w:hAnsi="Times New Roman"/>
          <w:bCs/>
        </w:rPr>
        <w:t>10.7.6.2. У обучающегося будут сформированы следующие информационные действия как часть познавательных универсальных учебных действий:</w:t>
      </w:r>
    </w:p>
    <w:p w14:paraId="592C8DB9">
      <w:pPr>
        <w:widowControl/>
        <w:tabs>
          <w:tab w:val="left" w:pos="1134"/>
        </w:tabs>
        <w:spacing w:after="0" w:line="360" w:lineRule="auto"/>
        <w:ind w:firstLine="709"/>
        <w:jc w:val="both"/>
        <w:rPr>
          <w:rFonts w:ascii="Times New Roman" w:hAnsi="Times New Roman"/>
          <w:bCs/>
        </w:rPr>
      </w:pPr>
      <w:r>
        <w:rPr>
          <w:rFonts w:ascii="Times New Roman" w:hAnsi="Times New Roman"/>
          <w:bCs/>
        </w:rPr>
        <w:t>извлекать и использовать информацию, представленную в текстовой, графической (рисунок, схема, таблица) форме;</w:t>
      </w:r>
    </w:p>
    <w:p w14:paraId="5E17AE05">
      <w:pPr>
        <w:widowControl/>
        <w:tabs>
          <w:tab w:val="left" w:pos="1134"/>
        </w:tabs>
        <w:spacing w:after="0" w:line="360" w:lineRule="auto"/>
        <w:ind w:firstLine="709"/>
        <w:jc w:val="both"/>
        <w:rPr>
          <w:rFonts w:ascii="Times New Roman" w:hAnsi="Times New Roman"/>
          <w:bCs/>
        </w:rPr>
      </w:pPr>
      <w:r>
        <w:rPr>
          <w:rFonts w:ascii="Times New Roman" w:hAnsi="Times New Roman"/>
          <w:bCs/>
        </w:rPr>
        <w:t>устанавливать логику перебора вариантов для решения простейших комбинаторных задач;</w:t>
      </w:r>
    </w:p>
    <w:p w14:paraId="08D8C422">
      <w:pPr>
        <w:widowControl/>
        <w:tabs>
          <w:tab w:val="left" w:pos="1134"/>
        </w:tabs>
        <w:spacing w:after="0" w:line="360" w:lineRule="auto"/>
        <w:ind w:firstLine="709"/>
        <w:jc w:val="both"/>
        <w:rPr>
          <w:rFonts w:ascii="Times New Roman" w:hAnsi="Times New Roman"/>
          <w:bCs/>
        </w:rPr>
      </w:pPr>
      <w:r>
        <w:rPr>
          <w:rFonts w:ascii="Times New Roman" w:hAnsi="Times New Roman"/>
          <w:bCs/>
        </w:rPr>
        <w:t xml:space="preserve">дополнять модели (схемы, изображения) готовыми числовыми данными. </w:t>
      </w:r>
    </w:p>
    <w:p w14:paraId="60544BE0">
      <w:pPr>
        <w:widowControl/>
        <w:tabs>
          <w:tab w:val="left" w:pos="1134"/>
        </w:tabs>
        <w:spacing w:after="0" w:line="360" w:lineRule="auto"/>
        <w:ind w:firstLine="709"/>
        <w:jc w:val="both"/>
        <w:rPr>
          <w:rFonts w:ascii="Times New Roman" w:hAnsi="Times New Roman"/>
          <w:bCs/>
        </w:rPr>
      </w:pPr>
      <w:r>
        <w:rPr>
          <w:rFonts w:ascii="Times New Roman" w:hAnsi="Times New Roman"/>
          <w:bCs/>
        </w:rPr>
        <w:t>10.7.6.3. У обучающегося будут сформированы следующие действия общения как часть коммуникативных универсальных учебных действий:</w:t>
      </w:r>
    </w:p>
    <w:p w14:paraId="48BA8129">
      <w:pPr>
        <w:widowControl/>
        <w:tabs>
          <w:tab w:val="left" w:pos="1134"/>
        </w:tabs>
        <w:spacing w:after="0" w:line="360" w:lineRule="auto"/>
        <w:ind w:firstLine="709"/>
        <w:jc w:val="both"/>
        <w:rPr>
          <w:rFonts w:ascii="Times New Roman" w:hAnsi="Times New Roman"/>
          <w:bCs/>
        </w:rPr>
      </w:pPr>
      <w:r>
        <w:rPr>
          <w:rFonts w:ascii="Times New Roman" w:hAnsi="Times New Roman"/>
          <w:bCs/>
        </w:rPr>
        <w:t>комментировать ход вычислений;</w:t>
      </w:r>
    </w:p>
    <w:p w14:paraId="1E36049F">
      <w:pPr>
        <w:widowControl/>
        <w:tabs>
          <w:tab w:val="left" w:pos="1134"/>
        </w:tabs>
        <w:spacing w:after="0" w:line="360" w:lineRule="auto"/>
        <w:ind w:firstLine="709"/>
        <w:jc w:val="both"/>
        <w:rPr>
          <w:rFonts w:ascii="Times New Roman" w:hAnsi="Times New Roman"/>
          <w:bCs/>
        </w:rPr>
      </w:pPr>
      <w:r>
        <w:rPr>
          <w:rFonts w:ascii="Times New Roman" w:hAnsi="Times New Roman"/>
          <w:bCs/>
        </w:rPr>
        <w:t>объяснять выбор величины, соответствующей ситуации измерения;</w:t>
      </w:r>
    </w:p>
    <w:p w14:paraId="18E57585">
      <w:pPr>
        <w:widowControl/>
        <w:tabs>
          <w:tab w:val="left" w:pos="1134"/>
        </w:tabs>
        <w:spacing w:after="0" w:line="360" w:lineRule="auto"/>
        <w:ind w:firstLine="709"/>
        <w:jc w:val="both"/>
        <w:rPr>
          <w:rFonts w:ascii="Times New Roman" w:hAnsi="Times New Roman"/>
          <w:bCs/>
        </w:rPr>
      </w:pPr>
      <w:r>
        <w:rPr>
          <w:rFonts w:ascii="Times New Roman" w:hAnsi="Times New Roman"/>
          <w:bCs/>
        </w:rPr>
        <w:t>составлять текстовую задачу с заданным отношением (готовым решением) по образцу;</w:t>
      </w:r>
    </w:p>
    <w:p w14:paraId="676BC2B2">
      <w:pPr>
        <w:widowControl/>
        <w:tabs>
          <w:tab w:val="left" w:pos="1134"/>
        </w:tabs>
        <w:spacing w:after="0" w:line="360" w:lineRule="auto"/>
        <w:ind w:firstLine="709"/>
        <w:jc w:val="both"/>
        <w:rPr>
          <w:rFonts w:ascii="Times New Roman" w:hAnsi="Times New Roman"/>
          <w:bCs/>
        </w:rPr>
      </w:pPr>
      <w:r>
        <w:rPr>
          <w:rFonts w:ascii="Times New Roman" w:hAnsi="Times New Roman"/>
          <w:bCs/>
        </w:rPr>
        <w:t>использовать математические знаки и терминологию для описания сюжетной ситуации, конструирования утверждений, выводов относительно данных объектов, отношения;</w:t>
      </w:r>
    </w:p>
    <w:p w14:paraId="418EF192">
      <w:pPr>
        <w:widowControl/>
        <w:tabs>
          <w:tab w:val="left" w:pos="1134"/>
        </w:tabs>
        <w:spacing w:after="0" w:line="360" w:lineRule="auto"/>
        <w:ind w:firstLine="709"/>
        <w:jc w:val="both"/>
        <w:rPr>
          <w:rFonts w:ascii="Times New Roman" w:hAnsi="Times New Roman"/>
          <w:bCs/>
        </w:rPr>
      </w:pPr>
      <w:r>
        <w:rPr>
          <w:rFonts w:ascii="Times New Roman" w:hAnsi="Times New Roman"/>
          <w:bCs/>
        </w:rPr>
        <w:t>называть числа, величины, геометрические фигуры, обладающие заданным свойством;</w:t>
      </w:r>
    </w:p>
    <w:p w14:paraId="6A73C5E6">
      <w:pPr>
        <w:widowControl/>
        <w:tabs>
          <w:tab w:val="left" w:pos="1134"/>
        </w:tabs>
        <w:spacing w:after="0" w:line="360" w:lineRule="auto"/>
        <w:ind w:firstLine="709"/>
        <w:jc w:val="both"/>
        <w:rPr>
          <w:rFonts w:ascii="Times New Roman" w:hAnsi="Times New Roman"/>
          <w:bCs/>
        </w:rPr>
      </w:pPr>
      <w:r>
        <w:rPr>
          <w:rFonts w:ascii="Times New Roman" w:hAnsi="Times New Roman"/>
          <w:bCs/>
        </w:rPr>
        <w:t>записывать, читать число, числовое выражение;</w:t>
      </w:r>
    </w:p>
    <w:p w14:paraId="2A98A364">
      <w:pPr>
        <w:widowControl/>
        <w:tabs>
          <w:tab w:val="left" w:pos="1134"/>
        </w:tabs>
        <w:spacing w:after="0" w:line="360" w:lineRule="auto"/>
        <w:ind w:firstLine="709"/>
        <w:jc w:val="both"/>
        <w:rPr>
          <w:rFonts w:ascii="Times New Roman" w:hAnsi="Times New Roman"/>
          <w:bCs/>
        </w:rPr>
      </w:pPr>
      <w:r>
        <w:rPr>
          <w:rFonts w:ascii="Times New Roman" w:hAnsi="Times New Roman"/>
          <w:bCs/>
        </w:rPr>
        <w:t xml:space="preserve">приводить примеры, иллюстрирующие арифметическое действие, взаимное расположение геометрических фигур; </w:t>
      </w:r>
    </w:p>
    <w:p w14:paraId="3459FAA9">
      <w:pPr>
        <w:widowControl/>
        <w:tabs>
          <w:tab w:val="left" w:pos="1134"/>
        </w:tabs>
        <w:spacing w:after="0" w:line="360" w:lineRule="auto"/>
        <w:ind w:firstLine="709"/>
        <w:jc w:val="both"/>
        <w:rPr>
          <w:rFonts w:ascii="Times New Roman" w:hAnsi="Times New Roman"/>
          <w:bCs/>
        </w:rPr>
      </w:pPr>
      <w:r>
        <w:rPr>
          <w:rFonts w:ascii="Times New Roman" w:hAnsi="Times New Roman"/>
          <w:bCs/>
        </w:rPr>
        <w:t xml:space="preserve">конструировать утверждения с использованием слов «каждый», «все». </w:t>
      </w:r>
    </w:p>
    <w:p w14:paraId="2A65A47B">
      <w:pPr>
        <w:widowControl/>
        <w:tabs>
          <w:tab w:val="left" w:pos="1134"/>
        </w:tabs>
        <w:spacing w:after="0" w:line="360" w:lineRule="auto"/>
        <w:ind w:firstLine="709"/>
        <w:jc w:val="both"/>
        <w:rPr>
          <w:rFonts w:ascii="Times New Roman" w:hAnsi="Times New Roman"/>
          <w:bCs/>
        </w:rPr>
      </w:pPr>
      <w:r>
        <w:rPr>
          <w:rFonts w:ascii="Times New Roman" w:hAnsi="Times New Roman"/>
          <w:bCs/>
        </w:rPr>
        <w:t>10.7.6.4. У обучающегося будут сформированы следующие действия самоорганизации и самоконтроля как часть регулятивных универсальных учебных действий:</w:t>
      </w:r>
    </w:p>
    <w:p w14:paraId="17935179">
      <w:pPr>
        <w:widowControl/>
        <w:tabs>
          <w:tab w:val="left" w:pos="1134"/>
        </w:tabs>
        <w:spacing w:after="0" w:line="360" w:lineRule="auto"/>
        <w:ind w:firstLine="709"/>
        <w:jc w:val="both"/>
        <w:rPr>
          <w:rFonts w:ascii="Times New Roman" w:hAnsi="Times New Roman"/>
          <w:bCs/>
        </w:rPr>
      </w:pPr>
      <w:r>
        <w:rPr>
          <w:rFonts w:ascii="Times New Roman" w:hAnsi="Times New Roman"/>
          <w:bCs/>
        </w:rPr>
        <w:t>следовать установленному правилу, по которому составлен ряд чисел, величин, геометрических фигур;</w:t>
      </w:r>
    </w:p>
    <w:p w14:paraId="4687F726">
      <w:pPr>
        <w:widowControl/>
        <w:tabs>
          <w:tab w:val="left" w:pos="1134"/>
        </w:tabs>
        <w:spacing w:after="0" w:line="360" w:lineRule="auto"/>
        <w:ind w:firstLine="709"/>
        <w:jc w:val="both"/>
        <w:rPr>
          <w:rFonts w:ascii="Times New Roman" w:hAnsi="Times New Roman"/>
          <w:bCs/>
        </w:rPr>
      </w:pPr>
      <w:r>
        <w:rPr>
          <w:rFonts w:ascii="Times New Roman" w:hAnsi="Times New Roman"/>
          <w:bCs/>
        </w:rPr>
        <w:t>организовывать, участвовать, контролировать ход и результат парной работы с математическим материалом;</w:t>
      </w:r>
    </w:p>
    <w:p w14:paraId="7ED6E547">
      <w:pPr>
        <w:widowControl/>
        <w:tabs>
          <w:tab w:val="left" w:pos="1134"/>
        </w:tabs>
        <w:spacing w:after="0" w:line="360" w:lineRule="auto"/>
        <w:ind w:firstLine="709"/>
        <w:jc w:val="both"/>
        <w:rPr>
          <w:rFonts w:ascii="Times New Roman" w:hAnsi="Times New Roman"/>
          <w:bCs/>
        </w:rPr>
      </w:pPr>
      <w:r>
        <w:rPr>
          <w:rFonts w:ascii="Times New Roman" w:hAnsi="Times New Roman"/>
          <w:bCs/>
        </w:rPr>
        <w:t>проверять правильность вычисления с помощью другого приёма выполнения действия, обратного действия;</w:t>
      </w:r>
    </w:p>
    <w:p w14:paraId="37633A87">
      <w:pPr>
        <w:widowControl/>
        <w:tabs>
          <w:tab w:val="left" w:pos="1134"/>
        </w:tabs>
        <w:spacing w:after="0" w:line="360" w:lineRule="auto"/>
        <w:ind w:firstLine="709"/>
        <w:jc w:val="both"/>
        <w:rPr>
          <w:rFonts w:ascii="Times New Roman" w:hAnsi="Times New Roman"/>
          <w:bCs/>
        </w:rPr>
      </w:pPr>
      <w:r>
        <w:rPr>
          <w:rFonts w:ascii="Times New Roman" w:hAnsi="Times New Roman"/>
          <w:bCs/>
        </w:rPr>
        <w:t xml:space="preserve">находить с помощью учителя причину возникшей ошибки или затруднения. </w:t>
      </w:r>
    </w:p>
    <w:p w14:paraId="775BADE8">
      <w:pPr>
        <w:widowControl/>
        <w:tabs>
          <w:tab w:val="left" w:pos="1134"/>
        </w:tabs>
        <w:spacing w:after="0" w:line="360" w:lineRule="auto"/>
        <w:ind w:firstLine="709"/>
        <w:jc w:val="both"/>
        <w:rPr>
          <w:rFonts w:ascii="Times New Roman" w:hAnsi="Times New Roman"/>
          <w:bCs/>
        </w:rPr>
      </w:pPr>
      <w:r>
        <w:rPr>
          <w:rFonts w:ascii="Times New Roman" w:hAnsi="Times New Roman"/>
          <w:bCs/>
        </w:rPr>
        <w:t>10.7.6.5. У обучающегося будут сформированы следующие умения совместной деятельности:</w:t>
      </w:r>
    </w:p>
    <w:p w14:paraId="757CE7B6">
      <w:pPr>
        <w:widowControl/>
        <w:tabs>
          <w:tab w:val="left" w:pos="1134"/>
        </w:tabs>
        <w:spacing w:after="0" w:line="360" w:lineRule="auto"/>
        <w:ind w:firstLine="709"/>
        <w:jc w:val="both"/>
        <w:rPr>
          <w:rFonts w:ascii="Times New Roman" w:hAnsi="Times New Roman"/>
          <w:bCs/>
        </w:rPr>
      </w:pPr>
      <w:r>
        <w:rPr>
          <w:rFonts w:ascii="Times New Roman" w:hAnsi="Times New Roman"/>
          <w:bCs/>
        </w:rPr>
        <w:t>принимать правила совместной деятельности при работе в парах, группах, составленных учителем или самостоятельно;</w:t>
      </w:r>
    </w:p>
    <w:p w14:paraId="75DBAC35">
      <w:pPr>
        <w:widowControl/>
        <w:tabs>
          <w:tab w:val="left" w:pos="1134"/>
        </w:tabs>
        <w:spacing w:after="0" w:line="360" w:lineRule="auto"/>
        <w:ind w:firstLine="709"/>
        <w:jc w:val="both"/>
        <w:rPr>
          <w:rFonts w:ascii="Times New Roman" w:hAnsi="Times New Roman"/>
          <w:bCs/>
        </w:rPr>
      </w:pPr>
      <w:r>
        <w:rPr>
          <w:rFonts w:ascii="Times New Roman" w:hAnsi="Times New Roman"/>
          <w:bCs/>
        </w:rPr>
        <w:t>участвовать в парной и групповой работе с математическим материалом: обсуждать цель деятельности, ход работы, комментировать свои действия, выслушивать мнения других участников, подготавливать презентацию (устное выступление) решения или ответа;</w:t>
      </w:r>
    </w:p>
    <w:p w14:paraId="05333A15">
      <w:pPr>
        <w:widowControl/>
        <w:tabs>
          <w:tab w:val="left" w:pos="1134"/>
        </w:tabs>
        <w:spacing w:after="0" w:line="360" w:lineRule="auto"/>
        <w:ind w:firstLine="709"/>
        <w:jc w:val="both"/>
        <w:rPr>
          <w:rFonts w:ascii="Times New Roman" w:hAnsi="Times New Roman"/>
          <w:bCs/>
        </w:rPr>
      </w:pPr>
      <w:r>
        <w:rPr>
          <w:rFonts w:ascii="Times New Roman" w:hAnsi="Times New Roman"/>
          <w:bCs/>
        </w:rPr>
        <w:t>решать совместно математические задачи поискового и творческого характера (определять с помощью измерительных инструментов длину, определять время и продолжительность с помощью часов, выполнять прикидку и оценку результата действий, измерений);</w:t>
      </w:r>
    </w:p>
    <w:p w14:paraId="5A699E67">
      <w:pPr>
        <w:widowControl/>
        <w:tabs>
          <w:tab w:val="left" w:pos="1134"/>
        </w:tabs>
        <w:spacing w:after="0" w:line="360" w:lineRule="auto"/>
        <w:ind w:firstLine="709"/>
        <w:jc w:val="both"/>
        <w:rPr>
          <w:rFonts w:ascii="Times New Roman" w:hAnsi="Times New Roman"/>
          <w:bCs/>
        </w:rPr>
      </w:pPr>
      <w:r>
        <w:rPr>
          <w:rFonts w:ascii="Times New Roman" w:hAnsi="Times New Roman"/>
          <w:bCs/>
        </w:rPr>
        <w:t xml:space="preserve">совместно с учителем оценивать результаты выполнения общей работы. </w:t>
      </w:r>
    </w:p>
    <w:p w14:paraId="3D3614D8">
      <w:pPr>
        <w:widowControl/>
        <w:tabs>
          <w:tab w:val="left" w:pos="1134"/>
        </w:tabs>
        <w:spacing w:after="0" w:line="360" w:lineRule="auto"/>
        <w:ind w:firstLine="709"/>
        <w:jc w:val="both"/>
        <w:rPr>
          <w:rFonts w:ascii="Times New Roman" w:hAnsi="Times New Roman"/>
          <w:bCs/>
        </w:rPr>
      </w:pPr>
      <w:r>
        <w:rPr>
          <w:rFonts w:ascii="Times New Roman" w:hAnsi="Times New Roman"/>
          <w:bCs/>
        </w:rPr>
        <w:t>10.8. Содержание обучения в 3 классе.</w:t>
      </w:r>
    </w:p>
    <w:p w14:paraId="6E373EE6">
      <w:pPr>
        <w:widowControl/>
        <w:tabs>
          <w:tab w:val="left" w:pos="1134"/>
        </w:tabs>
        <w:spacing w:after="0" w:line="360" w:lineRule="auto"/>
        <w:ind w:firstLine="709"/>
        <w:jc w:val="both"/>
        <w:rPr>
          <w:rFonts w:ascii="Times New Roman" w:hAnsi="Times New Roman"/>
          <w:bCs/>
        </w:rPr>
      </w:pPr>
      <w:r>
        <w:rPr>
          <w:rFonts w:ascii="Times New Roman" w:hAnsi="Times New Roman"/>
          <w:bCs/>
        </w:rPr>
        <w:t>10.8.1. Числа и величины.</w:t>
      </w:r>
    </w:p>
    <w:p w14:paraId="1EB8F256">
      <w:pPr>
        <w:widowControl/>
        <w:tabs>
          <w:tab w:val="left" w:pos="1134"/>
        </w:tabs>
        <w:spacing w:after="0" w:line="360" w:lineRule="auto"/>
        <w:ind w:firstLine="709"/>
        <w:jc w:val="both"/>
        <w:rPr>
          <w:rFonts w:ascii="Times New Roman" w:hAnsi="Times New Roman"/>
          <w:bCs/>
        </w:rPr>
      </w:pPr>
      <w:r>
        <w:rPr>
          <w:rFonts w:ascii="Times New Roman" w:hAnsi="Times New Roman"/>
          <w:bCs/>
        </w:rPr>
        <w:t>10.8.1.1. Числа в пределах 1000: чтение, запись, сравнение, представление в виде суммы разрядных слагаемых. Равенства и неравенства: чтение, составление. Увеличение или уменьшение числа в несколько раз. Кратное сравнение чисел.</w:t>
      </w:r>
    </w:p>
    <w:p w14:paraId="0CAD3078">
      <w:pPr>
        <w:widowControl/>
        <w:tabs>
          <w:tab w:val="left" w:pos="1134"/>
        </w:tabs>
        <w:spacing w:after="0" w:line="360" w:lineRule="auto"/>
        <w:ind w:firstLine="709"/>
        <w:jc w:val="both"/>
        <w:rPr>
          <w:rFonts w:ascii="Times New Roman" w:hAnsi="Times New Roman"/>
          <w:bCs/>
        </w:rPr>
      </w:pPr>
      <w:r>
        <w:rPr>
          <w:rFonts w:ascii="Times New Roman" w:hAnsi="Times New Roman"/>
          <w:bCs/>
        </w:rPr>
        <w:t xml:space="preserve">10.8.1.2. Масса (единица массы – грамм), соотношение между килограммом и граммом, отношения «тяжелее-легче на…», «тяжелее-легче в…». </w:t>
      </w:r>
    </w:p>
    <w:p w14:paraId="00E7ACB0">
      <w:pPr>
        <w:widowControl/>
        <w:tabs>
          <w:tab w:val="left" w:pos="1134"/>
        </w:tabs>
        <w:spacing w:after="0" w:line="360" w:lineRule="auto"/>
        <w:ind w:firstLine="709"/>
        <w:jc w:val="both"/>
        <w:rPr>
          <w:rFonts w:ascii="Times New Roman" w:hAnsi="Times New Roman"/>
          <w:bCs/>
        </w:rPr>
      </w:pPr>
      <w:r>
        <w:rPr>
          <w:rFonts w:ascii="Times New Roman" w:hAnsi="Times New Roman"/>
          <w:bCs/>
        </w:rPr>
        <w:t xml:space="preserve">10.8.1.3. Стоимость (единицы – рубль, копейка), установление отношения «дороже-дешевле на…», «дороже-дешевле в…». Соотношение «цена, количество, стоимость» в практической ситуации. </w:t>
      </w:r>
    </w:p>
    <w:p w14:paraId="2DD93E51">
      <w:pPr>
        <w:widowControl/>
        <w:tabs>
          <w:tab w:val="left" w:pos="1134"/>
        </w:tabs>
        <w:spacing w:after="0" w:line="360" w:lineRule="auto"/>
        <w:ind w:firstLine="709"/>
        <w:jc w:val="both"/>
        <w:rPr>
          <w:rFonts w:ascii="Times New Roman" w:hAnsi="Times New Roman"/>
          <w:bCs/>
        </w:rPr>
      </w:pPr>
      <w:r>
        <w:rPr>
          <w:rFonts w:ascii="Times New Roman" w:hAnsi="Times New Roman"/>
          <w:bCs/>
        </w:rPr>
        <w:t xml:space="preserve">10.8.1.4. Время (единица времени – секунда), установление отношения «быстрее-медленнее на…», «быстрее-медленнее в…». Соотношение «начало, окончание, продолжительность события» в практической ситуации. </w:t>
      </w:r>
    </w:p>
    <w:p w14:paraId="10E0C21E">
      <w:pPr>
        <w:widowControl/>
        <w:tabs>
          <w:tab w:val="left" w:pos="1134"/>
        </w:tabs>
        <w:spacing w:after="0" w:line="360" w:lineRule="auto"/>
        <w:ind w:firstLine="709"/>
        <w:jc w:val="both"/>
        <w:rPr>
          <w:rFonts w:ascii="Times New Roman" w:hAnsi="Times New Roman"/>
          <w:bCs/>
        </w:rPr>
      </w:pPr>
      <w:r>
        <w:rPr>
          <w:rFonts w:ascii="Times New Roman" w:hAnsi="Times New Roman"/>
          <w:bCs/>
        </w:rPr>
        <w:t>10.8.1.5. Длина (единицы длины – миллиметр, километр), соотношение между величинами в пределах тысячи. Сравнение объектов по длине.</w:t>
      </w:r>
    </w:p>
    <w:p w14:paraId="22FE2D05">
      <w:pPr>
        <w:widowControl/>
        <w:tabs>
          <w:tab w:val="left" w:pos="1134"/>
        </w:tabs>
        <w:spacing w:after="0" w:line="360" w:lineRule="auto"/>
        <w:ind w:firstLine="709"/>
        <w:jc w:val="both"/>
        <w:rPr>
          <w:rFonts w:ascii="Times New Roman" w:hAnsi="Times New Roman"/>
          <w:bCs/>
        </w:rPr>
      </w:pPr>
      <w:r>
        <w:rPr>
          <w:rFonts w:ascii="Times New Roman" w:hAnsi="Times New Roman"/>
          <w:bCs/>
        </w:rPr>
        <w:t>10.8.1.6. Площадь (единицы площади – квадратный метр, квадратный сантиметр, квадратный дециметр, квадратный метр). Сравнение объектов по площади.</w:t>
      </w:r>
    </w:p>
    <w:p w14:paraId="6B42D43F">
      <w:pPr>
        <w:widowControl/>
        <w:tabs>
          <w:tab w:val="left" w:pos="1134"/>
        </w:tabs>
        <w:spacing w:after="0" w:line="360" w:lineRule="auto"/>
        <w:ind w:firstLine="709"/>
        <w:jc w:val="both"/>
        <w:rPr>
          <w:rFonts w:ascii="Times New Roman" w:hAnsi="Times New Roman"/>
          <w:bCs/>
        </w:rPr>
      </w:pPr>
      <w:r>
        <w:rPr>
          <w:rFonts w:ascii="Times New Roman" w:hAnsi="Times New Roman"/>
          <w:bCs/>
        </w:rPr>
        <w:t>10.8.2. Арифметические действия.</w:t>
      </w:r>
    </w:p>
    <w:p w14:paraId="19D44BC2">
      <w:pPr>
        <w:widowControl/>
        <w:tabs>
          <w:tab w:val="left" w:pos="1134"/>
        </w:tabs>
        <w:spacing w:after="0" w:line="360" w:lineRule="auto"/>
        <w:ind w:firstLine="709"/>
        <w:jc w:val="both"/>
        <w:rPr>
          <w:rFonts w:ascii="Times New Roman" w:hAnsi="Times New Roman"/>
          <w:bCs/>
        </w:rPr>
      </w:pPr>
      <w:r>
        <w:rPr>
          <w:rFonts w:ascii="Times New Roman" w:hAnsi="Times New Roman"/>
          <w:bCs/>
        </w:rPr>
        <w:t xml:space="preserve">10.8.2.1. Устные вычисления, сводимые к действиям в пределах 100 (табличное и внетабличное умножение, деление, действия с круглыми числами). </w:t>
      </w:r>
    </w:p>
    <w:p w14:paraId="4ECC05E8">
      <w:pPr>
        <w:widowControl/>
        <w:tabs>
          <w:tab w:val="left" w:pos="1134"/>
        </w:tabs>
        <w:spacing w:after="0" w:line="360" w:lineRule="auto"/>
        <w:ind w:firstLine="709"/>
        <w:jc w:val="both"/>
        <w:rPr>
          <w:rFonts w:ascii="Times New Roman" w:hAnsi="Times New Roman"/>
          <w:bCs/>
        </w:rPr>
      </w:pPr>
      <w:r>
        <w:rPr>
          <w:rFonts w:ascii="Times New Roman" w:hAnsi="Times New Roman"/>
          <w:bCs/>
        </w:rPr>
        <w:t>10.8.2.2. Письменное сложение, вычитание чисел в пределах 1000. Действия с числами 0 и 1.</w:t>
      </w:r>
    </w:p>
    <w:p w14:paraId="64378230">
      <w:pPr>
        <w:widowControl/>
        <w:tabs>
          <w:tab w:val="left" w:pos="1134"/>
        </w:tabs>
        <w:spacing w:after="0" w:line="360" w:lineRule="auto"/>
        <w:ind w:firstLine="709"/>
        <w:jc w:val="both"/>
        <w:rPr>
          <w:rFonts w:ascii="Times New Roman" w:hAnsi="Times New Roman"/>
          <w:bCs/>
        </w:rPr>
      </w:pPr>
      <w:r>
        <w:rPr>
          <w:rFonts w:ascii="Times New Roman" w:hAnsi="Times New Roman"/>
          <w:bCs/>
        </w:rPr>
        <w:t xml:space="preserve">10.8.2.3. Письменное умножение в столбик, письменное деление уголком. Письменное умножение, деление на однозначное число в пределах 100. Проверка результата вычисления (прикидка или оценка результата, обратное действие, применение алгоритма, использование калькулятора). </w:t>
      </w:r>
    </w:p>
    <w:p w14:paraId="2FA72D9D">
      <w:pPr>
        <w:widowControl/>
        <w:tabs>
          <w:tab w:val="left" w:pos="1134"/>
        </w:tabs>
        <w:spacing w:after="0" w:line="360" w:lineRule="auto"/>
        <w:ind w:firstLine="709"/>
        <w:jc w:val="both"/>
        <w:rPr>
          <w:rFonts w:ascii="Times New Roman" w:hAnsi="Times New Roman"/>
          <w:bCs/>
        </w:rPr>
      </w:pPr>
      <w:r>
        <w:rPr>
          <w:rFonts w:ascii="Times New Roman" w:hAnsi="Times New Roman"/>
          <w:bCs/>
        </w:rPr>
        <w:t>10.8.2.4. Переместительное, сочетательное свойства сложения, умножения при вычислениях.</w:t>
      </w:r>
    </w:p>
    <w:p w14:paraId="095C5B0D">
      <w:pPr>
        <w:widowControl/>
        <w:tabs>
          <w:tab w:val="left" w:pos="1134"/>
        </w:tabs>
        <w:spacing w:after="0" w:line="360" w:lineRule="auto"/>
        <w:ind w:firstLine="709"/>
        <w:jc w:val="both"/>
        <w:rPr>
          <w:rFonts w:ascii="Times New Roman" w:hAnsi="Times New Roman"/>
          <w:bCs/>
        </w:rPr>
      </w:pPr>
      <w:r>
        <w:rPr>
          <w:rFonts w:ascii="Times New Roman" w:hAnsi="Times New Roman"/>
          <w:bCs/>
        </w:rPr>
        <w:t xml:space="preserve">10.8.2.5. Нахождение неизвестного компонента арифметического действия. </w:t>
      </w:r>
    </w:p>
    <w:p w14:paraId="42D6E02C">
      <w:pPr>
        <w:widowControl/>
        <w:tabs>
          <w:tab w:val="left" w:pos="1134"/>
        </w:tabs>
        <w:spacing w:after="0" w:line="360" w:lineRule="auto"/>
        <w:ind w:firstLine="709"/>
        <w:jc w:val="both"/>
        <w:rPr>
          <w:rFonts w:ascii="Times New Roman" w:hAnsi="Times New Roman"/>
          <w:bCs/>
        </w:rPr>
      </w:pPr>
      <w:r>
        <w:rPr>
          <w:rFonts w:ascii="Times New Roman" w:hAnsi="Times New Roman"/>
          <w:bCs/>
        </w:rPr>
        <w:t>10.8.2.6. Порядок действий в числовом выражении, значение числового выражения, содержащего несколько действий (со скобками или без скобок), с вычислениями в пределах 1000.</w:t>
      </w:r>
    </w:p>
    <w:p w14:paraId="47A945D8">
      <w:pPr>
        <w:widowControl/>
        <w:tabs>
          <w:tab w:val="left" w:pos="1134"/>
        </w:tabs>
        <w:spacing w:after="0" w:line="360" w:lineRule="auto"/>
        <w:ind w:firstLine="709"/>
        <w:jc w:val="both"/>
        <w:rPr>
          <w:rFonts w:ascii="Times New Roman" w:hAnsi="Times New Roman"/>
          <w:bCs/>
        </w:rPr>
      </w:pPr>
      <w:r>
        <w:rPr>
          <w:rFonts w:ascii="Times New Roman" w:hAnsi="Times New Roman"/>
          <w:bCs/>
        </w:rPr>
        <w:t xml:space="preserve">10.8.2.7. Однородные величины: сложение и вычитание. </w:t>
      </w:r>
    </w:p>
    <w:p w14:paraId="3FA8AC3C">
      <w:pPr>
        <w:widowControl/>
        <w:tabs>
          <w:tab w:val="left" w:pos="1134"/>
        </w:tabs>
        <w:spacing w:after="0" w:line="360" w:lineRule="auto"/>
        <w:ind w:firstLine="709"/>
        <w:jc w:val="both"/>
        <w:rPr>
          <w:rFonts w:ascii="Times New Roman" w:hAnsi="Times New Roman"/>
          <w:bCs/>
        </w:rPr>
      </w:pPr>
      <w:r>
        <w:rPr>
          <w:rFonts w:ascii="Times New Roman" w:hAnsi="Times New Roman"/>
          <w:bCs/>
        </w:rPr>
        <w:t>10.8.3. Текстовые задачи.</w:t>
      </w:r>
    </w:p>
    <w:p w14:paraId="05FC66E7">
      <w:pPr>
        <w:widowControl/>
        <w:tabs>
          <w:tab w:val="left" w:pos="1134"/>
        </w:tabs>
        <w:spacing w:after="0" w:line="360" w:lineRule="auto"/>
        <w:ind w:firstLine="709"/>
        <w:jc w:val="both"/>
        <w:rPr>
          <w:rFonts w:ascii="Times New Roman" w:hAnsi="Times New Roman"/>
          <w:bCs/>
        </w:rPr>
      </w:pPr>
      <w:r>
        <w:rPr>
          <w:rFonts w:ascii="Times New Roman" w:hAnsi="Times New Roman"/>
          <w:bCs/>
        </w:rPr>
        <w:t>10.8.3.1. Работа с текстовой задачей: анализ данных и отношений, представление на модели, планирование хода решения задачи, решение арифметическим способом. Задачи на понимание смысла арифметических действий (в том числе деления с остатком), отношений («больше-меньше на…», «больше-меньше в…»), зависимостей («купля-продажа», расчёт времени, количества), на сравнение (разностное, кратное). Запись решения задачи по действиям и с помощью числового выражения. Проверка решения и оценка полученного результата.</w:t>
      </w:r>
    </w:p>
    <w:p w14:paraId="00DB8B7B">
      <w:pPr>
        <w:widowControl/>
        <w:tabs>
          <w:tab w:val="left" w:pos="1134"/>
        </w:tabs>
        <w:spacing w:after="0" w:line="360" w:lineRule="auto"/>
        <w:ind w:firstLine="709"/>
        <w:jc w:val="both"/>
        <w:rPr>
          <w:rFonts w:ascii="Times New Roman" w:hAnsi="Times New Roman"/>
          <w:bCs/>
        </w:rPr>
      </w:pPr>
      <w:r>
        <w:rPr>
          <w:rFonts w:ascii="Times New Roman" w:hAnsi="Times New Roman"/>
          <w:bCs/>
        </w:rPr>
        <w:t xml:space="preserve">10.8.3.2. Доля величины: половина, треть, четверть, пятая, десятая часть в практической ситуации. Сравнение долей одной величины. Задачи на нахождение доли величины. </w:t>
      </w:r>
    </w:p>
    <w:p w14:paraId="02AD8F5B">
      <w:pPr>
        <w:widowControl/>
        <w:tabs>
          <w:tab w:val="left" w:pos="1134"/>
        </w:tabs>
        <w:spacing w:after="0" w:line="360" w:lineRule="auto"/>
        <w:ind w:firstLine="709"/>
        <w:jc w:val="both"/>
        <w:rPr>
          <w:rFonts w:ascii="Times New Roman" w:hAnsi="Times New Roman"/>
          <w:bCs/>
        </w:rPr>
      </w:pPr>
      <w:r>
        <w:rPr>
          <w:rFonts w:ascii="Times New Roman" w:hAnsi="Times New Roman"/>
          <w:bCs/>
        </w:rPr>
        <w:t>10.8.4. Пространственные отношения и геометрические фигуры.</w:t>
      </w:r>
    </w:p>
    <w:p w14:paraId="6D911A94">
      <w:pPr>
        <w:widowControl/>
        <w:tabs>
          <w:tab w:val="left" w:pos="1134"/>
        </w:tabs>
        <w:spacing w:after="0" w:line="360" w:lineRule="auto"/>
        <w:ind w:firstLine="709"/>
        <w:jc w:val="both"/>
        <w:rPr>
          <w:rFonts w:ascii="Times New Roman" w:hAnsi="Times New Roman"/>
          <w:bCs/>
        </w:rPr>
      </w:pPr>
      <w:r>
        <w:rPr>
          <w:rFonts w:ascii="Times New Roman" w:hAnsi="Times New Roman"/>
          <w:bCs/>
        </w:rPr>
        <w:t xml:space="preserve">10.8.4.1. Конструирование геометрических фигур (разбиение фигуры на части, составление фигуры из частей). </w:t>
      </w:r>
    </w:p>
    <w:p w14:paraId="09F2BA26">
      <w:pPr>
        <w:widowControl/>
        <w:tabs>
          <w:tab w:val="left" w:pos="1134"/>
        </w:tabs>
        <w:spacing w:after="0" w:line="360" w:lineRule="auto"/>
        <w:ind w:firstLine="709"/>
        <w:jc w:val="both"/>
        <w:rPr>
          <w:rFonts w:ascii="Times New Roman" w:hAnsi="Times New Roman"/>
          <w:bCs/>
        </w:rPr>
      </w:pPr>
      <w:r>
        <w:rPr>
          <w:rFonts w:ascii="Times New Roman" w:hAnsi="Times New Roman"/>
          <w:bCs/>
        </w:rPr>
        <w:t xml:space="preserve">10.8.4.2. Периметр многоугольника: измерение, вычисление, запись равенства. </w:t>
      </w:r>
    </w:p>
    <w:p w14:paraId="0830DF0E">
      <w:pPr>
        <w:widowControl/>
        <w:tabs>
          <w:tab w:val="left" w:pos="1134"/>
        </w:tabs>
        <w:spacing w:after="0" w:line="360" w:lineRule="auto"/>
        <w:ind w:firstLine="709"/>
        <w:jc w:val="both"/>
        <w:rPr>
          <w:rFonts w:ascii="Times New Roman" w:hAnsi="Times New Roman"/>
          <w:bCs/>
        </w:rPr>
      </w:pPr>
      <w:r>
        <w:rPr>
          <w:rFonts w:ascii="Times New Roman" w:hAnsi="Times New Roman"/>
          <w:bCs/>
        </w:rPr>
        <w:t>10.8.4.3. Измерение площади, запись результата измерения в квадратных сантиметрах. Вычисление площади прямоугольника (квадрата) с заданными сторонами, запись равенства. Изображение на клетчатой бумаге прямоугольника с заданным значением площади.</w:t>
      </w:r>
    </w:p>
    <w:p w14:paraId="1CE0163B">
      <w:pPr>
        <w:widowControl/>
        <w:tabs>
          <w:tab w:val="left" w:pos="1134"/>
        </w:tabs>
        <w:spacing w:after="0" w:line="360" w:lineRule="auto"/>
        <w:ind w:firstLine="709"/>
        <w:jc w:val="both"/>
        <w:rPr>
          <w:rFonts w:ascii="Times New Roman" w:hAnsi="Times New Roman"/>
          <w:bCs/>
        </w:rPr>
      </w:pPr>
      <w:r>
        <w:rPr>
          <w:rFonts w:ascii="Times New Roman" w:hAnsi="Times New Roman"/>
          <w:bCs/>
        </w:rPr>
        <w:t>10.8.5. Математическая информация.</w:t>
      </w:r>
    </w:p>
    <w:p w14:paraId="20525306">
      <w:pPr>
        <w:widowControl/>
        <w:tabs>
          <w:tab w:val="left" w:pos="1134"/>
        </w:tabs>
        <w:spacing w:after="0" w:line="360" w:lineRule="auto"/>
        <w:ind w:firstLine="709"/>
        <w:jc w:val="both"/>
        <w:rPr>
          <w:rFonts w:ascii="Times New Roman" w:hAnsi="Times New Roman"/>
          <w:bCs/>
        </w:rPr>
      </w:pPr>
      <w:r>
        <w:rPr>
          <w:rFonts w:ascii="Times New Roman" w:hAnsi="Times New Roman"/>
          <w:bCs/>
        </w:rPr>
        <w:t>10.8.5.1. Классификация объектов по двум признакам.</w:t>
      </w:r>
    </w:p>
    <w:p w14:paraId="447FB49B">
      <w:pPr>
        <w:widowControl/>
        <w:tabs>
          <w:tab w:val="left" w:pos="1134"/>
        </w:tabs>
        <w:spacing w:after="0" w:line="360" w:lineRule="auto"/>
        <w:ind w:firstLine="709"/>
        <w:jc w:val="both"/>
        <w:rPr>
          <w:rFonts w:ascii="Times New Roman" w:hAnsi="Times New Roman"/>
          <w:bCs/>
        </w:rPr>
      </w:pPr>
      <w:r>
        <w:rPr>
          <w:rFonts w:ascii="Times New Roman" w:hAnsi="Times New Roman"/>
          <w:bCs/>
        </w:rPr>
        <w:t>10.8.5.2. Верные (истинные) и неверные (ложные) утверждения: конструирование, проверка. Логические рассуждения со связками «если …, то …», «поэтому», «значит».</w:t>
      </w:r>
    </w:p>
    <w:p w14:paraId="576C7D55">
      <w:pPr>
        <w:widowControl/>
        <w:tabs>
          <w:tab w:val="left" w:pos="1134"/>
        </w:tabs>
        <w:spacing w:after="0" w:line="360" w:lineRule="auto"/>
        <w:ind w:firstLine="709"/>
        <w:jc w:val="both"/>
        <w:rPr>
          <w:rFonts w:ascii="Times New Roman" w:hAnsi="Times New Roman"/>
          <w:bCs/>
        </w:rPr>
      </w:pPr>
      <w:r>
        <w:rPr>
          <w:rFonts w:ascii="Times New Roman" w:hAnsi="Times New Roman"/>
          <w:bCs/>
        </w:rPr>
        <w:t xml:space="preserve">10.8.5.3. Извлечение и использование для выполнения заданий информации, представленной в таблицах с данными о реальных процессах и явлениях окружающего мира (например, расписание уроков, движения автобусов, поездов), внесение данных в таблицу, дополнение чертежа данными. </w:t>
      </w:r>
    </w:p>
    <w:p w14:paraId="78585F62">
      <w:pPr>
        <w:widowControl/>
        <w:tabs>
          <w:tab w:val="left" w:pos="1134"/>
        </w:tabs>
        <w:spacing w:after="0" w:line="360" w:lineRule="auto"/>
        <w:ind w:firstLine="709"/>
        <w:jc w:val="both"/>
        <w:rPr>
          <w:rFonts w:ascii="Times New Roman" w:hAnsi="Times New Roman"/>
          <w:bCs/>
        </w:rPr>
      </w:pPr>
      <w:r>
        <w:rPr>
          <w:rFonts w:ascii="Times New Roman" w:hAnsi="Times New Roman"/>
          <w:bCs/>
        </w:rPr>
        <w:t xml:space="preserve">10.8.5.4. Формализованное описание последовательности действий (инструкция, план, схема, алгоритм). </w:t>
      </w:r>
    </w:p>
    <w:p w14:paraId="77DB9604">
      <w:pPr>
        <w:widowControl/>
        <w:tabs>
          <w:tab w:val="left" w:pos="1134"/>
        </w:tabs>
        <w:spacing w:after="0" w:line="360" w:lineRule="auto"/>
        <w:ind w:firstLine="709"/>
        <w:jc w:val="both"/>
        <w:rPr>
          <w:rFonts w:ascii="Times New Roman" w:hAnsi="Times New Roman"/>
          <w:bCs/>
        </w:rPr>
      </w:pPr>
      <w:r>
        <w:rPr>
          <w:rFonts w:ascii="Times New Roman" w:hAnsi="Times New Roman"/>
          <w:bCs/>
        </w:rPr>
        <w:t>10.8.5.5. Столбчатая диаграмма: чтение, использование данных для решения учебных и практических задач.</w:t>
      </w:r>
    </w:p>
    <w:p w14:paraId="34D302C2">
      <w:pPr>
        <w:widowControl/>
        <w:tabs>
          <w:tab w:val="left" w:pos="1134"/>
        </w:tabs>
        <w:spacing w:after="0" w:line="360" w:lineRule="auto"/>
        <w:ind w:firstLine="709"/>
        <w:jc w:val="both"/>
        <w:rPr>
          <w:rFonts w:ascii="Times New Roman" w:hAnsi="Times New Roman"/>
          <w:bCs/>
        </w:rPr>
      </w:pPr>
      <w:r>
        <w:rPr>
          <w:rFonts w:ascii="Times New Roman" w:hAnsi="Times New Roman"/>
          <w:bCs/>
        </w:rPr>
        <w:t xml:space="preserve">10.8.5.6. Алгоритмы изучения материала, выполнения обучающих и тестовых заданий на доступных электронных средствах обучения (интерактивной доске, компьютере, других устройствах). </w:t>
      </w:r>
    </w:p>
    <w:p w14:paraId="791E90C5">
      <w:pPr>
        <w:widowControl/>
        <w:tabs>
          <w:tab w:val="left" w:pos="1134"/>
        </w:tabs>
        <w:spacing w:after="0" w:line="360" w:lineRule="auto"/>
        <w:ind w:firstLine="709"/>
        <w:jc w:val="both"/>
        <w:rPr>
          <w:rFonts w:ascii="Times New Roman" w:hAnsi="Times New Roman"/>
          <w:bCs/>
        </w:rPr>
      </w:pPr>
      <w:r>
        <w:rPr>
          <w:rFonts w:ascii="Times New Roman" w:hAnsi="Times New Roman"/>
          <w:bCs/>
        </w:rPr>
        <w:t>10.8.6. Изучение математики в 3 классе способствует освоению ряда универсальных учебных действий: познавательных универсальных учебных действий, коммуникативных универсальных учебных действий, регулятивных универсальных учебных действий, совместной деятельности.</w:t>
      </w:r>
    </w:p>
    <w:p w14:paraId="7E5734DF">
      <w:pPr>
        <w:widowControl/>
        <w:tabs>
          <w:tab w:val="left" w:pos="1134"/>
        </w:tabs>
        <w:spacing w:after="0" w:line="360" w:lineRule="auto"/>
        <w:ind w:firstLine="709"/>
        <w:jc w:val="both"/>
        <w:rPr>
          <w:rFonts w:ascii="Times New Roman" w:hAnsi="Times New Roman"/>
          <w:bCs/>
        </w:rPr>
      </w:pPr>
      <w:r>
        <w:rPr>
          <w:rFonts w:ascii="Times New Roman" w:hAnsi="Times New Roman"/>
          <w:bCs/>
        </w:rPr>
        <w:t>10.8.6.1. У обучающегося будут сформированы следующие базовые логические и исследовательские действия как часть познавательных универсальных учебных действий:</w:t>
      </w:r>
    </w:p>
    <w:p w14:paraId="27AF6715">
      <w:pPr>
        <w:widowControl/>
        <w:tabs>
          <w:tab w:val="left" w:pos="1134"/>
        </w:tabs>
        <w:spacing w:after="0" w:line="360" w:lineRule="auto"/>
        <w:ind w:firstLine="709"/>
        <w:jc w:val="both"/>
        <w:rPr>
          <w:rFonts w:ascii="Times New Roman" w:hAnsi="Times New Roman"/>
          <w:bCs/>
        </w:rPr>
      </w:pPr>
      <w:r>
        <w:rPr>
          <w:rFonts w:ascii="Times New Roman" w:hAnsi="Times New Roman"/>
          <w:bCs/>
        </w:rPr>
        <w:t>сравнивать математические объекты (числа, величины, геометрические фигуры);</w:t>
      </w:r>
    </w:p>
    <w:p w14:paraId="49BB79DE">
      <w:pPr>
        <w:widowControl/>
        <w:tabs>
          <w:tab w:val="left" w:pos="1134"/>
        </w:tabs>
        <w:spacing w:after="0" w:line="360" w:lineRule="auto"/>
        <w:ind w:firstLine="709"/>
        <w:jc w:val="both"/>
        <w:rPr>
          <w:rFonts w:ascii="Times New Roman" w:hAnsi="Times New Roman"/>
          <w:bCs/>
        </w:rPr>
      </w:pPr>
      <w:r>
        <w:rPr>
          <w:rFonts w:ascii="Times New Roman" w:hAnsi="Times New Roman"/>
          <w:bCs/>
        </w:rPr>
        <w:t>выбирать приём вычисления, выполнения действия;</w:t>
      </w:r>
    </w:p>
    <w:p w14:paraId="52CBE807">
      <w:pPr>
        <w:widowControl/>
        <w:tabs>
          <w:tab w:val="left" w:pos="1134"/>
        </w:tabs>
        <w:spacing w:after="0" w:line="360" w:lineRule="auto"/>
        <w:ind w:firstLine="709"/>
        <w:jc w:val="both"/>
        <w:rPr>
          <w:rFonts w:ascii="Times New Roman" w:hAnsi="Times New Roman"/>
          <w:bCs/>
        </w:rPr>
      </w:pPr>
      <w:r>
        <w:rPr>
          <w:rFonts w:ascii="Times New Roman" w:hAnsi="Times New Roman"/>
          <w:bCs/>
        </w:rPr>
        <w:t>конструировать геометрические фигуры;</w:t>
      </w:r>
    </w:p>
    <w:p w14:paraId="7E42C9D9">
      <w:pPr>
        <w:widowControl/>
        <w:tabs>
          <w:tab w:val="left" w:pos="1134"/>
        </w:tabs>
        <w:spacing w:after="0" w:line="360" w:lineRule="auto"/>
        <w:ind w:firstLine="709"/>
        <w:jc w:val="both"/>
        <w:rPr>
          <w:rFonts w:ascii="Times New Roman" w:hAnsi="Times New Roman"/>
          <w:bCs/>
        </w:rPr>
      </w:pPr>
      <w:r>
        <w:rPr>
          <w:rFonts w:ascii="Times New Roman" w:hAnsi="Times New Roman"/>
          <w:bCs/>
        </w:rPr>
        <w:t>классифицировать объекты (числа, величины, геометрические фигуры, текстовые задачи в одно действие) по выбранному признаку;</w:t>
      </w:r>
    </w:p>
    <w:p w14:paraId="2773ACB3">
      <w:pPr>
        <w:widowControl/>
        <w:tabs>
          <w:tab w:val="left" w:pos="1134"/>
        </w:tabs>
        <w:spacing w:after="0" w:line="360" w:lineRule="auto"/>
        <w:ind w:firstLine="709"/>
        <w:jc w:val="both"/>
        <w:rPr>
          <w:rFonts w:ascii="Times New Roman" w:hAnsi="Times New Roman"/>
          <w:bCs/>
        </w:rPr>
      </w:pPr>
      <w:r>
        <w:rPr>
          <w:rFonts w:ascii="Times New Roman" w:hAnsi="Times New Roman"/>
          <w:bCs/>
        </w:rPr>
        <w:t>прикидывать размеры фигуры, её элементов;</w:t>
      </w:r>
    </w:p>
    <w:p w14:paraId="1D222CAD">
      <w:pPr>
        <w:widowControl/>
        <w:tabs>
          <w:tab w:val="left" w:pos="1134"/>
        </w:tabs>
        <w:spacing w:after="0" w:line="360" w:lineRule="auto"/>
        <w:ind w:firstLine="709"/>
        <w:jc w:val="both"/>
        <w:rPr>
          <w:rFonts w:ascii="Times New Roman" w:hAnsi="Times New Roman"/>
          <w:bCs/>
        </w:rPr>
      </w:pPr>
      <w:r>
        <w:rPr>
          <w:rFonts w:ascii="Times New Roman" w:hAnsi="Times New Roman"/>
          <w:bCs/>
        </w:rPr>
        <w:t>понимать смысл зависимостей и математических отношений, описанных в задаче;</w:t>
      </w:r>
    </w:p>
    <w:p w14:paraId="01AEB673">
      <w:pPr>
        <w:widowControl/>
        <w:tabs>
          <w:tab w:val="left" w:pos="1134"/>
        </w:tabs>
        <w:spacing w:after="0" w:line="360" w:lineRule="auto"/>
        <w:ind w:firstLine="709"/>
        <w:jc w:val="both"/>
        <w:rPr>
          <w:rFonts w:ascii="Times New Roman" w:hAnsi="Times New Roman"/>
          <w:bCs/>
        </w:rPr>
      </w:pPr>
      <w:r>
        <w:rPr>
          <w:rFonts w:ascii="Times New Roman" w:hAnsi="Times New Roman"/>
          <w:bCs/>
        </w:rPr>
        <w:t>различать и использовать разные приёмы и алгоритмы вычисления;</w:t>
      </w:r>
    </w:p>
    <w:p w14:paraId="19B7AB5C">
      <w:pPr>
        <w:widowControl/>
        <w:tabs>
          <w:tab w:val="left" w:pos="1134"/>
        </w:tabs>
        <w:spacing w:after="0" w:line="360" w:lineRule="auto"/>
        <w:ind w:firstLine="709"/>
        <w:jc w:val="both"/>
        <w:rPr>
          <w:rFonts w:ascii="Times New Roman" w:hAnsi="Times New Roman"/>
          <w:bCs/>
        </w:rPr>
      </w:pPr>
      <w:r>
        <w:rPr>
          <w:rFonts w:ascii="Times New Roman" w:hAnsi="Times New Roman"/>
          <w:bCs/>
        </w:rPr>
        <w:t>выбирать метод решения (моделирование ситуации, перебор вариантов, использование алгоритма);</w:t>
      </w:r>
    </w:p>
    <w:p w14:paraId="7A1A24E4">
      <w:pPr>
        <w:widowControl/>
        <w:tabs>
          <w:tab w:val="left" w:pos="1134"/>
        </w:tabs>
        <w:spacing w:after="0" w:line="360" w:lineRule="auto"/>
        <w:ind w:firstLine="709"/>
        <w:jc w:val="both"/>
        <w:rPr>
          <w:rFonts w:ascii="Times New Roman" w:hAnsi="Times New Roman"/>
          <w:bCs/>
        </w:rPr>
      </w:pPr>
      <w:r>
        <w:rPr>
          <w:rFonts w:ascii="Times New Roman" w:hAnsi="Times New Roman"/>
          <w:bCs/>
        </w:rPr>
        <w:t>соотносить начало, окончание, продолжительность события в практической ситуации;</w:t>
      </w:r>
    </w:p>
    <w:p w14:paraId="755CA720">
      <w:pPr>
        <w:widowControl/>
        <w:tabs>
          <w:tab w:val="left" w:pos="1134"/>
        </w:tabs>
        <w:spacing w:after="0" w:line="360" w:lineRule="auto"/>
        <w:ind w:firstLine="709"/>
        <w:jc w:val="both"/>
        <w:rPr>
          <w:rFonts w:ascii="Times New Roman" w:hAnsi="Times New Roman"/>
          <w:bCs/>
        </w:rPr>
      </w:pPr>
      <w:r>
        <w:rPr>
          <w:rFonts w:ascii="Times New Roman" w:hAnsi="Times New Roman"/>
          <w:bCs/>
        </w:rPr>
        <w:t>составлять ряд чисел (величин, геометрических фигур) по самостоятельно выбранному правилу;</w:t>
      </w:r>
    </w:p>
    <w:p w14:paraId="110B9BF0">
      <w:pPr>
        <w:widowControl/>
        <w:tabs>
          <w:tab w:val="left" w:pos="1134"/>
        </w:tabs>
        <w:spacing w:after="0" w:line="360" w:lineRule="auto"/>
        <w:ind w:firstLine="709"/>
        <w:jc w:val="both"/>
        <w:rPr>
          <w:rFonts w:ascii="Times New Roman" w:hAnsi="Times New Roman"/>
          <w:bCs/>
        </w:rPr>
      </w:pPr>
      <w:r>
        <w:rPr>
          <w:rFonts w:ascii="Times New Roman" w:hAnsi="Times New Roman"/>
          <w:bCs/>
        </w:rPr>
        <w:t>моделировать предложенную практическую ситуацию;</w:t>
      </w:r>
    </w:p>
    <w:p w14:paraId="692E14B4">
      <w:pPr>
        <w:widowControl/>
        <w:tabs>
          <w:tab w:val="left" w:pos="1134"/>
        </w:tabs>
        <w:spacing w:after="0" w:line="360" w:lineRule="auto"/>
        <w:ind w:firstLine="709"/>
        <w:jc w:val="both"/>
        <w:rPr>
          <w:rFonts w:ascii="Times New Roman" w:hAnsi="Times New Roman"/>
          <w:bCs/>
        </w:rPr>
      </w:pPr>
      <w:r>
        <w:rPr>
          <w:rFonts w:ascii="Times New Roman" w:hAnsi="Times New Roman"/>
          <w:bCs/>
        </w:rPr>
        <w:t>устанавливать последовательность событий, действий сюжета текстовой задачи.</w:t>
      </w:r>
    </w:p>
    <w:p w14:paraId="04A44230">
      <w:pPr>
        <w:widowControl/>
        <w:tabs>
          <w:tab w:val="left" w:pos="1134"/>
        </w:tabs>
        <w:spacing w:after="0" w:line="360" w:lineRule="auto"/>
        <w:ind w:firstLine="709"/>
        <w:jc w:val="both"/>
        <w:rPr>
          <w:rFonts w:ascii="Times New Roman" w:hAnsi="Times New Roman"/>
          <w:bCs/>
        </w:rPr>
      </w:pPr>
      <w:r>
        <w:rPr>
          <w:rFonts w:ascii="Times New Roman" w:hAnsi="Times New Roman"/>
          <w:bCs/>
        </w:rPr>
        <w:t>10.8.6.2. У обучающегося будут сформированы следующие информационные действия как часть познавательных универсальных учебных действий:</w:t>
      </w:r>
    </w:p>
    <w:p w14:paraId="01725118">
      <w:pPr>
        <w:widowControl/>
        <w:tabs>
          <w:tab w:val="left" w:pos="1134"/>
        </w:tabs>
        <w:spacing w:after="0" w:line="360" w:lineRule="auto"/>
        <w:ind w:firstLine="709"/>
        <w:jc w:val="both"/>
        <w:rPr>
          <w:rFonts w:ascii="Times New Roman" w:hAnsi="Times New Roman"/>
          <w:bCs/>
        </w:rPr>
      </w:pPr>
      <w:r>
        <w:rPr>
          <w:rFonts w:ascii="Times New Roman" w:hAnsi="Times New Roman"/>
          <w:bCs/>
        </w:rPr>
        <w:t>читать информацию, представленную в разных формах;</w:t>
      </w:r>
    </w:p>
    <w:p w14:paraId="01FE24A0">
      <w:pPr>
        <w:widowControl/>
        <w:tabs>
          <w:tab w:val="left" w:pos="1134"/>
        </w:tabs>
        <w:spacing w:after="0" w:line="360" w:lineRule="auto"/>
        <w:ind w:firstLine="709"/>
        <w:jc w:val="both"/>
        <w:rPr>
          <w:rFonts w:ascii="Times New Roman" w:hAnsi="Times New Roman"/>
          <w:bCs/>
        </w:rPr>
      </w:pPr>
      <w:r>
        <w:rPr>
          <w:rFonts w:ascii="Times New Roman" w:hAnsi="Times New Roman"/>
          <w:bCs/>
        </w:rPr>
        <w:t>извлекать и интерпретировать числовые данные, представленные в таблице, на диаграмме;</w:t>
      </w:r>
    </w:p>
    <w:p w14:paraId="78C94660">
      <w:pPr>
        <w:widowControl/>
        <w:tabs>
          <w:tab w:val="left" w:pos="1134"/>
        </w:tabs>
        <w:spacing w:after="0" w:line="360" w:lineRule="auto"/>
        <w:ind w:firstLine="709"/>
        <w:jc w:val="both"/>
        <w:rPr>
          <w:rFonts w:ascii="Times New Roman" w:hAnsi="Times New Roman"/>
          <w:bCs/>
        </w:rPr>
      </w:pPr>
      <w:r>
        <w:rPr>
          <w:rFonts w:ascii="Times New Roman" w:hAnsi="Times New Roman"/>
          <w:bCs/>
        </w:rPr>
        <w:t>заполнять таблицы сложения и умножения, дополнять данными чертеж;</w:t>
      </w:r>
    </w:p>
    <w:p w14:paraId="589EA2CD">
      <w:pPr>
        <w:widowControl/>
        <w:tabs>
          <w:tab w:val="left" w:pos="1134"/>
        </w:tabs>
        <w:spacing w:after="0" w:line="360" w:lineRule="auto"/>
        <w:ind w:firstLine="709"/>
        <w:jc w:val="both"/>
        <w:rPr>
          <w:rFonts w:ascii="Times New Roman" w:hAnsi="Times New Roman"/>
          <w:bCs/>
        </w:rPr>
      </w:pPr>
      <w:r>
        <w:rPr>
          <w:rFonts w:ascii="Times New Roman" w:hAnsi="Times New Roman"/>
          <w:bCs/>
        </w:rPr>
        <w:t>устанавливать соответствие между различными записями решения задачи;</w:t>
      </w:r>
    </w:p>
    <w:p w14:paraId="407A5334">
      <w:pPr>
        <w:widowControl/>
        <w:tabs>
          <w:tab w:val="left" w:pos="1134"/>
        </w:tabs>
        <w:spacing w:after="0" w:line="360" w:lineRule="auto"/>
        <w:ind w:firstLine="709"/>
        <w:jc w:val="both"/>
        <w:rPr>
          <w:rFonts w:ascii="Times New Roman" w:hAnsi="Times New Roman"/>
          <w:bCs/>
        </w:rPr>
      </w:pPr>
      <w:r>
        <w:rPr>
          <w:rFonts w:ascii="Times New Roman" w:hAnsi="Times New Roman"/>
          <w:bCs/>
        </w:rPr>
        <w:t>использовать дополнительную литературу (справочники, словари) для установления и проверки значения математического термина (понятия).</w:t>
      </w:r>
    </w:p>
    <w:p w14:paraId="7A441C45">
      <w:pPr>
        <w:widowControl/>
        <w:tabs>
          <w:tab w:val="left" w:pos="1134"/>
        </w:tabs>
        <w:spacing w:after="0" w:line="360" w:lineRule="auto"/>
        <w:ind w:firstLine="709"/>
        <w:jc w:val="both"/>
        <w:rPr>
          <w:rFonts w:ascii="Times New Roman" w:hAnsi="Times New Roman"/>
          <w:bCs/>
        </w:rPr>
      </w:pPr>
      <w:r>
        <w:rPr>
          <w:rFonts w:ascii="Times New Roman" w:hAnsi="Times New Roman"/>
          <w:bCs/>
        </w:rPr>
        <w:t>10.8.6.3. У обучающегося будут сформированы следующие действия общения как часть коммуникативных универсальных учебных действий:</w:t>
      </w:r>
    </w:p>
    <w:p w14:paraId="5E5F139C">
      <w:pPr>
        <w:widowControl/>
        <w:tabs>
          <w:tab w:val="left" w:pos="1134"/>
        </w:tabs>
        <w:spacing w:after="0" w:line="360" w:lineRule="auto"/>
        <w:ind w:firstLine="709"/>
        <w:jc w:val="both"/>
        <w:rPr>
          <w:rFonts w:ascii="Times New Roman" w:hAnsi="Times New Roman"/>
          <w:bCs/>
        </w:rPr>
      </w:pPr>
      <w:r>
        <w:rPr>
          <w:rFonts w:ascii="Times New Roman" w:hAnsi="Times New Roman"/>
          <w:bCs/>
        </w:rPr>
        <w:t>использовать математическую терминологию для описания отношений и зависимостей;</w:t>
      </w:r>
    </w:p>
    <w:p w14:paraId="75123027">
      <w:pPr>
        <w:widowControl/>
        <w:tabs>
          <w:tab w:val="left" w:pos="1134"/>
        </w:tabs>
        <w:spacing w:after="0" w:line="360" w:lineRule="auto"/>
        <w:ind w:firstLine="709"/>
        <w:jc w:val="both"/>
        <w:rPr>
          <w:rFonts w:ascii="Times New Roman" w:hAnsi="Times New Roman"/>
          <w:bCs/>
        </w:rPr>
      </w:pPr>
      <w:r>
        <w:rPr>
          <w:rFonts w:ascii="Times New Roman" w:hAnsi="Times New Roman"/>
          <w:bCs/>
        </w:rPr>
        <w:t>строить речевые высказывания для решения задач, составлять текстовую задачу;</w:t>
      </w:r>
    </w:p>
    <w:p w14:paraId="1806F0BF">
      <w:pPr>
        <w:widowControl/>
        <w:tabs>
          <w:tab w:val="left" w:pos="1134"/>
        </w:tabs>
        <w:spacing w:after="0" w:line="360" w:lineRule="auto"/>
        <w:ind w:firstLine="709"/>
        <w:jc w:val="both"/>
        <w:rPr>
          <w:rFonts w:ascii="Times New Roman" w:hAnsi="Times New Roman"/>
          <w:bCs/>
        </w:rPr>
      </w:pPr>
      <w:r>
        <w:rPr>
          <w:rFonts w:ascii="Times New Roman" w:hAnsi="Times New Roman"/>
          <w:bCs/>
        </w:rPr>
        <w:t>объяснять на примерах отношения «больше-меньше на…», «больше-меньше в…», «равно»;</w:t>
      </w:r>
    </w:p>
    <w:p w14:paraId="76BBEA38">
      <w:pPr>
        <w:widowControl/>
        <w:tabs>
          <w:tab w:val="left" w:pos="1134"/>
        </w:tabs>
        <w:spacing w:after="0" w:line="360" w:lineRule="auto"/>
        <w:ind w:firstLine="709"/>
        <w:jc w:val="both"/>
        <w:rPr>
          <w:rFonts w:ascii="Times New Roman" w:hAnsi="Times New Roman"/>
          <w:bCs/>
        </w:rPr>
      </w:pPr>
      <w:r>
        <w:rPr>
          <w:rFonts w:ascii="Times New Roman" w:hAnsi="Times New Roman"/>
          <w:bCs/>
        </w:rPr>
        <w:t>использовать математическую символику для составления числовых выражений;</w:t>
      </w:r>
    </w:p>
    <w:p w14:paraId="36FAAF7D">
      <w:pPr>
        <w:widowControl/>
        <w:tabs>
          <w:tab w:val="left" w:pos="1134"/>
        </w:tabs>
        <w:spacing w:after="0" w:line="360" w:lineRule="auto"/>
        <w:ind w:firstLine="709"/>
        <w:jc w:val="both"/>
        <w:rPr>
          <w:rFonts w:ascii="Times New Roman" w:hAnsi="Times New Roman"/>
          <w:bCs/>
        </w:rPr>
      </w:pPr>
      <w:r>
        <w:rPr>
          <w:rFonts w:ascii="Times New Roman" w:hAnsi="Times New Roman"/>
          <w:bCs/>
        </w:rPr>
        <w:t>выбирать, осуществлять переход от одних единиц измерения величины к другим в соответствии с практической ситуацией;</w:t>
      </w:r>
    </w:p>
    <w:p w14:paraId="0879BDAA">
      <w:pPr>
        <w:widowControl/>
        <w:tabs>
          <w:tab w:val="left" w:pos="1134"/>
        </w:tabs>
        <w:spacing w:after="0" w:line="360" w:lineRule="auto"/>
        <w:ind w:firstLine="709"/>
        <w:jc w:val="both"/>
        <w:rPr>
          <w:rFonts w:ascii="Times New Roman" w:hAnsi="Times New Roman"/>
          <w:bCs/>
        </w:rPr>
      </w:pPr>
      <w:r>
        <w:rPr>
          <w:rFonts w:ascii="Times New Roman" w:hAnsi="Times New Roman"/>
          <w:bCs/>
        </w:rPr>
        <w:t>участвовать в обсуждении ошибок в ходе и результате выполнения вычисления.</w:t>
      </w:r>
    </w:p>
    <w:p w14:paraId="6599F2F9">
      <w:pPr>
        <w:widowControl/>
        <w:tabs>
          <w:tab w:val="left" w:pos="1134"/>
        </w:tabs>
        <w:spacing w:after="0" w:line="360" w:lineRule="auto"/>
        <w:ind w:firstLine="709"/>
        <w:jc w:val="both"/>
        <w:rPr>
          <w:rFonts w:ascii="Times New Roman" w:hAnsi="Times New Roman"/>
          <w:bCs/>
        </w:rPr>
      </w:pPr>
      <w:r>
        <w:rPr>
          <w:rFonts w:ascii="Times New Roman" w:hAnsi="Times New Roman"/>
          <w:bCs/>
        </w:rPr>
        <w:t>10.8.6.4. У обучающегося будут сформированы следующие действия самоорганизации и самоконтроля как часть регулятивных универсальных учебных действий:</w:t>
      </w:r>
    </w:p>
    <w:p w14:paraId="6D8B7980">
      <w:pPr>
        <w:widowControl/>
        <w:tabs>
          <w:tab w:val="left" w:pos="1134"/>
        </w:tabs>
        <w:spacing w:after="0" w:line="360" w:lineRule="auto"/>
        <w:ind w:firstLine="709"/>
        <w:jc w:val="both"/>
        <w:rPr>
          <w:rFonts w:ascii="Times New Roman" w:hAnsi="Times New Roman"/>
          <w:bCs/>
        </w:rPr>
      </w:pPr>
      <w:r>
        <w:rPr>
          <w:rFonts w:ascii="Times New Roman" w:hAnsi="Times New Roman"/>
          <w:bCs/>
        </w:rPr>
        <w:t>проверять ход и результат выполнения действия;</w:t>
      </w:r>
    </w:p>
    <w:p w14:paraId="4B05CF16">
      <w:pPr>
        <w:widowControl/>
        <w:tabs>
          <w:tab w:val="left" w:pos="1134"/>
        </w:tabs>
        <w:spacing w:after="0" w:line="360" w:lineRule="auto"/>
        <w:ind w:firstLine="709"/>
        <w:jc w:val="both"/>
        <w:rPr>
          <w:rFonts w:ascii="Times New Roman" w:hAnsi="Times New Roman"/>
          <w:bCs/>
        </w:rPr>
      </w:pPr>
      <w:r>
        <w:rPr>
          <w:rFonts w:ascii="Times New Roman" w:hAnsi="Times New Roman"/>
          <w:bCs/>
        </w:rPr>
        <w:t>вести поиск ошибок, характеризовать их и исправлять;</w:t>
      </w:r>
    </w:p>
    <w:p w14:paraId="28359DCD">
      <w:pPr>
        <w:widowControl/>
        <w:tabs>
          <w:tab w:val="left" w:pos="1134"/>
        </w:tabs>
        <w:spacing w:after="0" w:line="360" w:lineRule="auto"/>
        <w:ind w:firstLine="709"/>
        <w:jc w:val="both"/>
        <w:rPr>
          <w:rFonts w:ascii="Times New Roman" w:hAnsi="Times New Roman"/>
          <w:bCs/>
        </w:rPr>
      </w:pPr>
      <w:r>
        <w:rPr>
          <w:rFonts w:ascii="Times New Roman" w:hAnsi="Times New Roman"/>
          <w:bCs/>
        </w:rPr>
        <w:t>формулировать ответ (вывод), подтверждать его объяснением, расчётами;</w:t>
      </w:r>
    </w:p>
    <w:p w14:paraId="02593C7E">
      <w:pPr>
        <w:widowControl/>
        <w:tabs>
          <w:tab w:val="left" w:pos="1134"/>
        </w:tabs>
        <w:spacing w:after="0" w:line="360" w:lineRule="auto"/>
        <w:ind w:firstLine="709"/>
        <w:jc w:val="both"/>
        <w:rPr>
          <w:rFonts w:ascii="Times New Roman" w:hAnsi="Times New Roman"/>
          <w:bCs/>
        </w:rPr>
      </w:pPr>
      <w:r>
        <w:rPr>
          <w:rFonts w:ascii="Times New Roman" w:hAnsi="Times New Roman"/>
          <w:bCs/>
        </w:rPr>
        <w:t>выбирать и использовать различные приёмы прикидки и проверки правильности вычисления, проверять полноту и правильность заполнения таблиц сложения, умножения.</w:t>
      </w:r>
    </w:p>
    <w:p w14:paraId="1CA694D2">
      <w:pPr>
        <w:widowControl/>
        <w:tabs>
          <w:tab w:val="left" w:pos="1134"/>
        </w:tabs>
        <w:spacing w:after="0" w:line="360" w:lineRule="auto"/>
        <w:ind w:firstLine="709"/>
        <w:jc w:val="both"/>
        <w:rPr>
          <w:rFonts w:ascii="Times New Roman" w:hAnsi="Times New Roman"/>
          <w:bCs/>
        </w:rPr>
      </w:pPr>
      <w:r>
        <w:rPr>
          <w:rFonts w:ascii="Times New Roman" w:hAnsi="Times New Roman"/>
          <w:bCs/>
        </w:rPr>
        <w:t>10.8.6.5. У обучающегося будут сформированы следующие умения совместной деятельности:</w:t>
      </w:r>
    </w:p>
    <w:p w14:paraId="66E64E55">
      <w:pPr>
        <w:widowControl/>
        <w:tabs>
          <w:tab w:val="left" w:pos="1134"/>
        </w:tabs>
        <w:spacing w:after="0" w:line="360" w:lineRule="auto"/>
        <w:ind w:firstLine="709"/>
        <w:jc w:val="both"/>
        <w:rPr>
          <w:rFonts w:ascii="Times New Roman" w:hAnsi="Times New Roman"/>
          <w:bCs/>
        </w:rPr>
      </w:pPr>
      <w:r>
        <w:rPr>
          <w:rFonts w:ascii="Times New Roman" w:hAnsi="Times New Roman"/>
          <w:bCs/>
        </w:rPr>
        <w:t>при работе в группе или в паре выполнять предложенные задания (находить разные решения, определять с помощью цифровых и аналоговых приборов, измерительных инструментов длину, массу, время);</w:t>
      </w:r>
    </w:p>
    <w:p w14:paraId="6B7EC7C1">
      <w:pPr>
        <w:widowControl/>
        <w:tabs>
          <w:tab w:val="left" w:pos="1134"/>
        </w:tabs>
        <w:spacing w:after="0" w:line="360" w:lineRule="auto"/>
        <w:ind w:firstLine="709"/>
        <w:jc w:val="both"/>
        <w:rPr>
          <w:rFonts w:ascii="Times New Roman" w:hAnsi="Times New Roman"/>
          <w:bCs/>
        </w:rPr>
      </w:pPr>
      <w:r>
        <w:rPr>
          <w:rFonts w:ascii="Times New Roman" w:hAnsi="Times New Roman"/>
          <w:bCs/>
        </w:rPr>
        <w:t>договариваться о распределении обязанностей в совместном труде, выполнять роли руководителя или подчинённого, сдержанно принимать замечания к своей работе;</w:t>
      </w:r>
    </w:p>
    <w:p w14:paraId="59626D2E">
      <w:pPr>
        <w:widowControl/>
        <w:tabs>
          <w:tab w:val="left" w:pos="1134"/>
        </w:tabs>
        <w:spacing w:after="0" w:line="360" w:lineRule="auto"/>
        <w:ind w:firstLine="709"/>
        <w:jc w:val="both"/>
        <w:rPr>
          <w:rFonts w:ascii="Times New Roman" w:hAnsi="Times New Roman"/>
          <w:bCs/>
        </w:rPr>
      </w:pPr>
      <w:r>
        <w:rPr>
          <w:rFonts w:ascii="Times New Roman" w:hAnsi="Times New Roman"/>
          <w:bCs/>
        </w:rPr>
        <w:t xml:space="preserve">выполнять совместно прикидку и оценку результата выполнения общей работы. </w:t>
      </w:r>
    </w:p>
    <w:p w14:paraId="35099246">
      <w:pPr>
        <w:widowControl/>
        <w:tabs>
          <w:tab w:val="left" w:pos="1134"/>
        </w:tabs>
        <w:spacing w:after="0" w:line="360" w:lineRule="auto"/>
        <w:ind w:firstLine="709"/>
        <w:jc w:val="both"/>
        <w:rPr>
          <w:rFonts w:ascii="Times New Roman" w:hAnsi="Times New Roman"/>
          <w:bCs/>
        </w:rPr>
      </w:pPr>
      <w:r>
        <w:rPr>
          <w:rFonts w:ascii="Times New Roman" w:hAnsi="Times New Roman"/>
          <w:bCs/>
        </w:rPr>
        <w:t>10.9. Содержание обучения в 4 классе.</w:t>
      </w:r>
    </w:p>
    <w:p w14:paraId="002F7BE4">
      <w:pPr>
        <w:widowControl/>
        <w:tabs>
          <w:tab w:val="left" w:pos="1134"/>
        </w:tabs>
        <w:spacing w:after="0" w:line="360" w:lineRule="auto"/>
        <w:ind w:firstLine="709"/>
        <w:jc w:val="both"/>
        <w:rPr>
          <w:rFonts w:ascii="Times New Roman" w:hAnsi="Times New Roman"/>
          <w:bCs/>
        </w:rPr>
      </w:pPr>
      <w:r>
        <w:rPr>
          <w:rFonts w:ascii="Times New Roman" w:hAnsi="Times New Roman"/>
          <w:bCs/>
        </w:rPr>
        <w:t>10.9.1. Числа и величины.</w:t>
      </w:r>
    </w:p>
    <w:p w14:paraId="0F29D605">
      <w:pPr>
        <w:widowControl/>
        <w:tabs>
          <w:tab w:val="left" w:pos="1134"/>
        </w:tabs>
        <w:spacing w:after="0" w:line="360" w:lineRule="auto"/>
        <w:ind w:firstLine="709"/>
        <w:jc w:val="both"/>
        <w:rPr>
          <w:rFonts w:ascii="Times New Roman" w:hAnsi="Times New Roman"/>
          <w:bCs/>
        </w:rPr>
      </w:pPr>
      <w:r>
        <w:rPr>
          <w:rFonts w:ascii="Times New Roman" w:hAnsi="Times New Roman"/>
          <w:bCs/>
        </w:rPr>
        <w:t xml:space="preserve">10.9.1.1. Числа в пределах миллиона: чтение, запись, поразрядное сравнение упорядочение. Число, большее или меньшее данного числа на заданное число разрядных единиц, в заданное число раз. </w:t>
      </w:r>
    </w:p>
    <w:p w14:paraId="75DDC4B4">
      <w:pPr>
        <w:widowControl/>
        <w:tabs>
          <w:tab w:val="left" w:pos="1134"/>
        </w:tabs>
        <w:spacing w:after="0" w:line="360" w:lineRule="auto"/>
        <w:ind w:firstLine="709"/>
        <w:jc w:val="both"/>
        <w:rPr>
          <w:rFonts w:ascii="Times New Roman" w:hAnsi="Times New Roman"/>
          <w:bCs/>
        </w:rPr>
      </w:pPr>
      <w:r>
        <w:rPr>
          <w:rFonts w:ascii="Times New Roman" w:hAnsi="Times New Roman"/>
          <w:bCs/>
        </w:rPr>
        <w:t xml:space="preserve">10.9.1.2. Величины: сравнение объектов по массе, длине, площади, вместимости. </w:t>
      </w:r>
    </w:p>
    <w:p w14:paraId="4D66941D">
      <w:pPr>
        <w:widowControl/>
        <w:tabs>
          <w:tab w:val="left" w:pos="1134"/>
        </w:tabs>
        <w:spacing w:after="0" w:line="360" w:lineRule="auto"/>
        <w:ind w:firstLine="709"/>
        <w:jc w:val="both"/>
        <w:rPr>
          <w:rFonts w:ascii="Times New Roman" w:hAnsi="Times New Roman"/>
          <w:bCs/>
        </w:rPr>
      </w:pPr>
      <w:r>
        <w:rPr>
          <w:rFonts w:ascii="Times New Roman" w:hAnsi="Times New Roman"/>
          <w:bCs/>
        </w:rPr>
        <w:t>10.9.1.3. Единицы массы и соотношения между ними: – центнер, тонна.</w:t>
      </w:r>
    </w:p>
    <w:p w14:paraId="29ADDF33">
      <w:pPr>
        <w:widowControl/>
        <w:tabs>
          <w:tab w:val="left" w:pos="1134"/>
        </w:tabs>
        <w:spacing w:after="0" w:line="360" w:lineRule="auto"/>
        <w:ind w:firstLine="709"/>
        <w:jc w:val="both"/>
        <w:rPr>
          <w:rFonts w:ascii="Times New Roman" w:hAnsi="Times New Roman"/>
          <w:bCs/>
        </w:rPr>
      </w:pPr>
      <w:r>
        <w:rPr>
          <w:rFonts w:ascii="Times New Roman" w:hAnsi="Times New Roman"/>
          <w:bCs/>
        </w:rPr>
        <w:t>10.9.1.4. Единицы времени (сутки, неделя, месяц, год, век), соотношения между ними.</w:t>
      </w:r>
    </w:p>
    <w:p w14:paraId="09AF046C">
      <w:pPr>
        <w:widowControl/>
        <w:tabs>
          <w:tab w:val="left" w:pos="1134"/>
        </w:tabs>
        <w:spacing w:after="0" w:line="360" w:lineRule="auto"/>
        <w:ind w:firstLine="709"/>
        <w:jc w:val="both"/>
        <w:rPr>
          <w:rFonts w:ascii="Times New Roman" w:hAnsi="Times New Roman"/>
          <w:bCs/>
        </w:rPr>
      </w:pPr>
      <w:r>
        <w:rPr>
          <w:rFonts w:ascii="Times New Roman" w:hAnsi="Times New Roman"/>
          <w:bCs/>
        </w:rPr>
        <w:t>10.9.1.5. Единицы длины (миллиметр, сантиметр, дециметр, метр, километр), площади (квадратный метр, квадратный сантиметр), вместимости (литр), скорости (километры в час, метры в минуту, метры в секунду). Соотношение между единицами в пределах 100 000.</w:t>
      </w:r>
    </w:p>
    <w:p w14:paraId="210D454A">
      <w:pPr>
        <w:widowControl/>
        <w:tabs>
          <w:tab w:val="left" w:pos="1134"/>
        </w:tabs>
        <w:spacing w:after="0" w:line="360" w:lineRule="auto"/>
        <w:ind w:firstLine="709"/>
        <w:jc w:val="both"/>
        <w:rPr>
          <w:rFonts w:ascii="Times New Roman" w:hAnsi="Times New Roman"/>
          <w:bCs/>
        </w:rPr>
      </w:pPr>
      <w:r>
        <w:rPr>
          <w:rFonts w:ascii="Times New Roman" w:hAnsi="Times New Roman"/>
          <w:bCs/>
        </w:rPr>
        <w:t>10.9.1.6. Доля величины времени, массы, длины.</w:t>
      </w:r>
    </w:p>
    <w:p w14:paraId="65E81453">
      <w:pPr>
        <w:widowControl/>
        <w:tabs>
          <w:tab w:val="left" w:pos="1134"/>
        </w:tabs>
        <w:spacing w:after="0" w:line="360" w:lineRule="auto"/>
        <w:ind w:firstLine="709"/>
        <w:jc w:val="both"/>
        <w:rPr>
          <w:rFonts w:ascii="Times New Roman" w:hAnsi="Times New Roman"/>
          <w:bCs/>
        </w:rPr>
      </w:pPr>
      <w:r>
        <w:rPr>
          <w:rFonts w:ascii="Times New Roman" w:hAnsi="Times New Roman"/>
          <w:bCs/>
        </w:rPr>
        <w:t>10.9.2. Арифметические действия.</w:t>
      </w:r>
    </w:p>
    <w:p w14:paraId="771BA899">
      <w:pPr>
        <w:widowControl/>
        <w:tabs>
          <w:tab w:val="left" w:pos="1134"/>
        </w:tabs>
        <w:spacing w:after="0" w:line="360" w:lineRule="auto"/>
        <w:ind w:firstLine="709"/>
        <w:jc w:val="both"/>
        <w:rPr>
          <w:rFonts w:ascii="Times New Roman" w:hAnsi="Times New Roman"/>
          <w:bCs/>
        </w:rPr>
      </w:pPr>
      <w:r>
        <w:rPr>
          <w:rFonts w:ascii="Times New Roman" w:hAnsi="Times New Roman"/>
          <w:bCs/>
        </w:rPr>
        <w:t>10.9.2.1. Письменное сложение, вычитание многозначных чисел в пределах миллиона. Письменное умножение, деление многозначных чисел на однозначное (двузначное) число в пределах 100 000. Деление с остатком. Умножение и деление на 10, 100, 1000.</w:t>
      </w:r>
    </w:p>
    <w:p w14:paraId="39AC8DC4">
      <w:pPr>
        <w:widowControl/>
        <w:tabs>
          <w:tab w:val="left" w:pos="1134"/>
        </w:tabs>
        <w:spacing w:after="0" w:line="360" w:lineRule="auto"/>
        <w:ind w:firstLine="709"/>
        <w:jc w:val="both"/>
        <w:rPr>
          <w:rFonts w:ascii="Times New Roman" w:hAnsi="Times New Roman"/>
          <w:bCs/>
        </w:rPr>
      </w:pPr>
      <w:r>
        <w:rPr>
          <w:rFonts w:ascii="Times New Roman" w:hAnsi="Times New Roman"/>
          <w:bCs/>
        </w:rPr>
        <w:t>10.9.2.2. Свойства арифметических действий и их применение для вычислений. Поиск значения числового выражения, содержащего несколько действий в пределах 100 000. Проверка результата вычислений, в том числе с помощью калькулятора.</w:t>
      </w:r>
    </w:p>
    <w:p w14:paraId="1D7D13FA">
      <w:pPr>
        <w:widowControl/>
        <w:tabs>
          <w:tab w:val="left" w:pos="1134"/>
        </w:tabs>
        <w:spacing w:after="0" w:line="360" w:lineRule="auto"/>
        <w:ind w:firstLine="709"/>
        <w:jc w:val="both"/>
        <w:rPr>
          <w:rFonts w:ascii="Times New Roman" w:hAnsi="Times New Roman"/>
          <w:bCs/>
        </w:rPr>
      </w:pPr>
      <w:r>
        <w:rPr>
          <w:rFonts w:ascii="Times New Roman" w:hAnsi="Times New Roman"/>
          <w:bCs/>
        </w:rPr>
        <w:t>10.9.2.3. Равенство, содержащее неизвестный компонент арифметического действия: запись, нахождение неизвестного компонента.</w:t>
      </w:r>
    </w:p>
    <w:p w14:paraId="463D7A6A">
      <w:pPr>
        <w:widowControl/>
        <w:tabs>
          <w:tab w:val="left" w:pos="1134"/>
        </w:tabs>
        <w:spacing w:after="0" w:line="360" w:lineRule="auto"/>
        <w:ind w:firstLine="709"/>
        <w:jc w:val="both"/>
        <w:rPr>
          <w:rFonts w:ascii="Times New Roman" w:hAnsi="Times New Roman"/>
          <w:bCs/>
        </w:rPr>
      </w:pPr>
      <w:r>
        <w:rPr>
          <w:rFonts w:ascii="Times New Roman" w:hAnsi="Times New Roman"/>
          <w:bCs/>
        </w:rPr>
        <w:t>10.9.2.4. Умножение и деление величины на однозначное число.</w:t>
      </w:r>
    </w:p>
    <w:p w14:paraId="0690A420">
      <w:pPr>
        <w:widowControl/>
        <w:tabs>
          <w:tab w:val="left" w:pos="1134"/>
        </w:tabs>
        <w:spacing w:after="0" w:line="360" w:lineRule="auto"/>
        <w:ind w:firstLine="709"/>
        <w:jc w:val="both"/>
        <w:rPr>
          <w:rFonts w:ascii="Times New Roman" w:hAnsi="Times New Roman"/>
          <w:bCs/>
        </w:rPr>
      </w:pPr>
      <w:r>
        <w:rPr>
          <w:rFonts w:ascii="Times New Roman" w:hAnsi="Times New Roman"/>
          <w:bCs/>
        </w:rPr>
        <w:t>10.9.3. Текстовые задачи.</w:t>
      </w:r>
    </w:p>
    <w:p w14:paraId="2363DE35">
      <w:pPr>
        <w:widowControl/>
        <w:tabs>
          <w:tab w:val="left" w:pos="1134"/>
        </w:tabs>
        <w:spacing w:after="0" w:line="360" w:lineRule="auto"/>
        <w:ind w:firstLine="709"/>
        <w:jc w:val="both"/>
        <w:rPr>
          <w:rFonts w:ascii="Times New Roman" w:hAnsi="Times New Roman"/>
          <w:bCs/>
        </w:rPr>
      </w:pPr>
      <w:r>
        <w:rPr>
          <w:rFonts w:ascii="Times New Roman" w:hAnsi="Times New Roman"/>
          <w:bCs/>
        </w:rPr>
        <w:t>10.9.3.1. Работа с текстовой задачей, решение которой содержит 2–3 действия: анализ, представление на модели, планирование и запись решения, проверка решения и ответа. Анализ зависимостей, характеризующих процессы: движения (скорость, время, пройденный путь), работы (производительность, время, объём работы), купли-продажи (цена, количество, стоимость) и решение соответствующих задач. Задачи на установление времени (начало, продолжительность и окончание события), расчёта количества, расхода, изменения. Задачи на нахождение доли величины, величины по её доле. Разные способы решения некоторых видов изученных задач. Оформление решения по действиям с пояснением, по вопросам, с помощью числового выражения.</w:t>
      </w:r>
    </w:p>
    <w:p w14:paraId="40C44E35">
      <w:pPr>
        <w:widowControl/>
        <w:tabs>
          <w:tab w:val="left" w:pos="1134"/>
        </w:tabs>
        <w:spacing w:after="0" w:line="360" w:lineRule="auto"/>
        <w:ind w:firstLine="709"/>
        <w:jc w:val="both"/>
        <w:rPr>
          <w:rFonts w:ascii="Times New Roman" w:hAnsi="Times New Roman"/>
          <w:bCs/>
        </w:rPr>
      </w:pPr>
      <w:r>
        <w:rPr>
          <w:rFonts w:ascii="Times New Roman" w:hAnsi="Times New Roman"/>
          <w:bCs/>
        </w:rPr>
        <w:t>10.9.4. Пространственные отношения и геометрические фигуры.</w:t>
      </w:r>
    </w:p>
    <w:p w14:paraId="2A520713">
      <w:pPr>
        <w:widowControl/>
        <w:tabs>
          <w:tab w:val="left" w:pos="1134"/>
        </w:tabs>
        <w:spacing w:after="0" w:line="360" w:lineRule="auto"/>
        <w:ind w:firstLine="709"/>
        <w:jc w:val="both"/>
        <w:rPr>
          <w:rFonts w:ascii="Times New Roman" w:hAnsi="Times New Roman"/>
          <w:bCs/>
        </w:rPr>
      </w:pPr>
      <w:r>
        <w:rPr>
          <w:rFonts w:ascii="Times New Roman" w:hAnsi="Times New Roman"/>
          <w:bCs/>
        </w:rPr>
        <w:t>10.9.4.1. Наглядные представления о симметрии.</w:t>
      </w:r>
    </w:p>
    <w:p w14:paraId="45B007E0">
      <w:pPr>
        <w:widowControl/>
        <w:tabs>
          <w:tab w:val="left" w:pos="1134"/>
        </w:tabs>
        <w:spacing w:after="0" w:line="360" w:lineRule="auto"/>
        <w:ind w:firstLine="709"/>
        <w:jc w:val="both"/>
        <w:rPr>
          <w:rFonts w:ascii="Times New Roman" w:hAnsi="Times New Roman"/>
          <w:bCs/>
        </w:rPr>
      </w:pPr>
      <w:r>
        <w:rPr>
          <w:rFonts w:ascii="Times New Roman" w:hAnsi="Times New Roman"/>
          <w:bCs/>
        </w:rPr>
        <w:t xml:space="preserve">10.9.4.2. Окружность, круг: распознавание и изображение. Построение окружности заданного радиуса. Построение изученных геометрических фигур с помощью линейки, угольника, циркуля. Различение, называние пространственных геометрических фигур (тел): шар, куб, цилиндр, конус, пирамида. </w:t>
      </w:r>
    </w:p>
    <w:p w14:paraId="14ED6430">
      <w:pPr>
        <w:widowControl/>
        <w:tabs>
          <w:tab w:val="left" w:pos="1134"/>
        </w:tabs>
        <w:spacing w:after="0" w:line="360" w:lineRule="auto"/>
        <w:ind w:firstLine="709"/>
        <w:jc w:val="both"/>
        <w:rPr>
          <w:rFonts w:ascii="Times New Roman" w:hAnsi="Times New Roman"/>
          <w:bCs/>
        </w:rPr>
      </w:pPr>
      <w:r>
        <w:rPr>
          <w:rFonts w:ascii="Times New Roman" w:hAnsi="Times New Roman"/>
          <w:bCs/>
        </w:rPr>
        <w:t>10.9.4.3. Конструирование: разбиение фигуры на прямоугольники (квадраты), составление фигур из прямоугольников или квадратов.</w:t>
      </w:r>
    </w:p>
    <w:p w14:paraId="4DF91E15">
      <w:pPr>
        <w:widowControl/>
        <w:tabs>
          <w:tab w:val="left" w:pos="1134"/>
        </w:tabs>
        <w:spacing w:after="0" w:line="360" w:lineRule="auto"/>
        <w:ind w:firstLine="709"/>
        <w:jc w:val="both"/>
        <w:rPr>
          <w:rFonts w:ascii="Times New Roman" w:hAnsi="Times New Roman"/>
          <w:bCs/>
        </w:rPr>
      </w:pPr>
      <w:r>
        <w:rPr>
          <w:rFonts w:ascii="Times New Roman" w:hAnsi="Times New Roman"/>
          <w:bCs/>
        </w:rPr>
        <w:t>10.9.4.4. Периметр, площадь фигуры, составленной из двух-трёх прямоугольников (квадратов).</w:t>
      </w:r>
    </w:p>
    <w:p w14:paraId="224F643D">
      <w:pPr>
        <w:widowControl/>
        <w:tabs>
          <w:tab w:val="left" w:pos="1134"/>
        </w:tabs>
        <w:spacing w:after="0" w:line="360" w:lineRule="auto"/>
        <w:ind w:firstLine="709"/>
        <w:jc w:val="both"/>
        <w:rPr>
          <w:rFonts w:ascii="Times New Roman" w:hAnsi="Times New Roman"/>
          <w:bCs/>
        </w:rPr>
      </w:pPr>
      <w:r>
        <w:rPr>
          <w:rFonts w:ascii="Times New Roman" w:hAnsi="Times New Roman"/>
          <w:bCs/>
        </w:rPr>
        <w:t>10.9.5. Математическая информация.</w:t>
      </w:r>
    </w:p>
    <w:p w14:paraId="4087E7A2">
      <w:pPr>
        <w:widowControl/>
        <w:tabs>
          <w:tab w:val="left" w:pos="1134"/>
        </w:tabs>
        <w:spacing w:after="0" w:line="360" w:lineRule="auto"/>
        <w:ind w:firstLine="709"/>
        <w:jc w:val="both"/>
        <w:rPr>
          <w:rFonts w:ascii="Times New Roman" w:hAnsi="Times New Roman"/>
          <w:bCs/>
        </w:rPr>
      </w:pPr>
      <w:r>
        <w:rPr>
          <w:rFonts w:ascii="Times New Roman" w:hAnsi="Times New Roman"/>
          <w:bCs/>
        </w:rPr>
        <w:t>10.9.5.1. Работа с утверждениями: конструирование, проверка истинности. Составление и проверка логических рассуждений при решении задач.</w:t>
      </w:r>
    </w:p>
    <w:p w14:paraId="43BB40CA">
      <w:pPr>
        <w:widowControl/>
        <w:tabs>
          <w:tab w:val="left" w:pos="1134"/>
        </w:tabs>
        <w:spacing w:after="0" w:line="360" w:lineRule="auto"/>
        <w:ind w:firstLine="709"/>
        <w:jc w:val="both"/>
        <w:rPr>
          <w:rFonts w:ascii="Times New Roman" w:hAnsi="Times New Roman"/>
          <w:bCs/>
        </w:rPr>
      </w:pPr>
      <w:r>
        <w:rPr>
          <w:rFonts w:ascii="Times New Roman" w:hAnsi="Times New Roman"/>
          <w:bCs/>
        </w:rPr>
        <w:t>10.9.5.2. Данные о реальных процессах и явлениях окружающего мира, представленные на диаграммах, схемах, в таблицах, текстах. Сбор математических данных о заданном объекте (числе, величине, геометрической фигуре). Поиск информации в справочной литературе, Интернете. Запись информации в предложенной таблице, на столбчатой диаграмме.</w:t>
      </w:r>
    </w:p>
    <w:p w14:paraId="22824386">
      <w:pPr>
        <w:widowControl/>
        <w:tabs>
          <w:tab w:val="left" w:pos="1134"/>
        </w:tabs>
        <w:spacing w:after="0" w:line="360" w:lineRule="auto"/>
        <w:ind w:firstLine="709"/>
        <w:jc w:val="both"/>
        <w:rPr>
          <w:rFonts w:ascii="Times New Roman" w:hAnsi="Times New Roman"/>
          <w:bCs/>
        </w:rPr>
      </w:pPr>
      <w:r>
        <w:rPr>
          <w:rFonts w:ascii="Times New Roman" w:hAnsi="Times New Roman"/>
          <w:bCs/>
        </w:rPr>
        <w:t>10.9.5.3. Доступные электронные средства обучения, пособия, тренажёры, их использование под руководством педагога и самостоятельное. Правила безопасной работы с электронными источниками информации (электронная форма учебника, электронные словари, образовательные сайты, ориентированные на обучающихся начального общего образования).</w:t>
      </w:r>
    </w:p>
    <w:p w14:paraId="3D6D064F">
      <w:pPr>
        <w:widowControl/>
        <w:tabs>
          <w:tab w:val="left" w:pos="1134"/>
        </w:tabs>
        <w:spacing w:after="0" w:line="360" w:lineRule="auto"/>
        <w:ind w:firstLine="709"/>
        <w:jc w:val="both"/>
        <w:rPr>
          <w:rFonts w:ascii="Times New Roman" w:hAnsi="Times New Roman"/>
          <w:bCs/>
        </w:rPr>
      </w:pPr>
      <w:r>
        <w:rPr>
          <w:rFonts w:ascii="Times New Roman" w:hAnsi="Times New Roman"/>
          <w:bCs/>
        </w:rPr>
        <w:t>10.9.5.4. Алгоритмы решения изученных учебных и практических задач.</w:t>
      </w:r>
    </w:p>
    <w:p w14:paraId="4791C9A2">
      <w:pPr>
        <w:widowControl/>
        <w:tabs>
          <w:tab w:val="left" w:pos="1134"/>
        </w:tabs>
        <w:spacing w:after="0" w:line="360" w:lineRule="auto"/>
        <w:ind w:firstLine="709"/>
        <w:jc w:val="both"/>
        <w:rPr>
          <w:rFonts w:ascii="Times New Roman" w:hAnsi="Times New Roman"/>
          <w:bCs/>
        </w:rPr>
      </w:pPr>
      <w:r>
        <w:rPr>
          <w:rFonts w:ascii="Times New Roman" w:hAnsi="Times New Roman"/>
          <w:bCs/>
        </w:rPr>
        <w:t>10.9.6. Изучение математики в 4 классе способствует освоению ряда универсальных учебных действий: познавательных универсальных учебных действий, коммуникативных универсальных учебных действий, регулятивных универсальных учебных действий, совместной деятельности.</w:t>
      </w:r>
    </w:p>
    <w:p w14:paraId="5AEB79DE">
      <w:pPr>
        <w:widowControl/>
        <w:tabs>
          <w:tab w:val="left" w:pos="1134"/>
        </w:tabs>
        <w:spacing w:after="0" w:line="360" w:lineRule="auto"/>
        <w:ind w:firstLine="709"/>
        <w:jc w:val="both"/>
        <w:rPr>
          <w:rFonts w:ascii="Times New Roman" w:hAnsi="Times New Roman"/>
          <w:bCs/>
        </w:rPr>
      </w:pPr>
      <w:r>
        <w:rPr>
          <w:rFonts w:ascii="Times New Roman" w:hAnsi="Times New Roman"/>
          <w:bCs/>
        </w:rPr>
        <w:t>10.9.6.1. У обучающегося будут сформированы следующие базовые логические и исследовательские действия как часть познавательных универсальных учебных действий:</w:t>
      </w:r>
    </w:p>
    <w:p w14:paraId="69EB127A">
      <w:pPr>
        <w:widowControl/>
        <w:tabs>
          <w:tab w:val="left" w:pos="1134"/>
        </w:tabs>
        <w:spacing w:after="0" w:line="360" w:lineRule="auto"/>
        <w:ind w:firstLine="709"/>
        <w:jc w:val="both"/>
        <w:rPr>
          <w:rFonts w:ascii="Times New Roman" w:hAnsi="Times New Roman"/>
          <w:bCs/>
        </w:rPr>
      </w:pPr>
      <w:r>
        <w:rPr>
          <w:rFonts w:ascii="Times New Roman" w:hAnsi="Times New Roman"/>
          <w:bCs/>
        </w:rPr>
        <w:t>ориентироваться в изученной математической терминологии, использовать её в высказываниях и рассуждениях;</w:t>
      </w:r>
    </w:p>
    <w:p w14:paraId="3FFD006D">
      <w:pPr>
        <w:widowControl/>
        <w:tabs>
          <w:tab w:val="left" w:pos="1134"/>
        </w:tabs>
        <w:spacing w:after="0" w:line="360" w:lineRule="auto"/>
        <w:ind w:firstLine="709"/>
        <w:jc w:val="both"/>
        <w:rPr>
          <w:rFonts w:ascii="Times New Roman" w:hAnsi="Times New Roman"/>
          <w:bCs/>
        </w:rPr>
      </w:pPr>
      <w:r>
        <w:rPr>
          <w:rFonts w:ascii="Times New Roman" w:hAnsi="Times New Roman"/>
          <w:bCs/>
        </w:rPr>
        <w:t>сравнивать математические объекты (числа, величины, геометрические фигуры), записывать признак сравнения;</w:t>
      </w:r>
    </w:p>
    <w:p w14:paraId="01076C0C">
      <w:pPr>
        <w:widowControl/>
        <w:tabs>
          <w:tab w:val="left" w:pos="1134"/>
        </w:tabs>
        <w:spacing w:after="0" w:line="360" w:lineRule="auto"/>
        <w:ind w:firstLine="709"/>
        <w:jc w:val="both"/>
        <w:rPr>
          <w:rFonts w:ascii="Times New Roman" w:hAnsi="Times New Roman"/>
          <w:bCs/>
        </w:rPr>
      </w:pPr>
      <w:r>
        <w:rPr>
          <w:rFonts w:ascii="Times New Roman" w:hAnsi="Times New Roman"/>
          <w:bCs/>
        </w:rPr>
        <w:t>выбирать метод решения математической задачи (алгоритм действия, приём вычисления, способ решения, моделирование ситуации, перебор вариантов);</w:t>
      </w:r>
    </w:p>
    <w:p w14:paraId="07598FBC">
      <w:pPr>
        <w:widowControl/>
        <w:tabs>
          <w:tab w:val="left" w:pos="1134"/>
        </w:tabs>
        <w:spacing w:after="0" w:line="360" w:lineRule="auto"/>
        <w:ind w:firstLine="709"/>
        <w:jc w:val="both"/>
        <w:rPr>
          <w:rFonts w:ascii="Times New Roman" w:hAnsi="Times New Roman"/>
          <w:bCs/>
        </w:rPr>
      </w:pPr>
      <w:r>
        <w:rPr>
          <w:rFonts w:ascii="Times New Roman" w:hAnsi="Times New Roman"/>
          <w:bCs/>
        </w:rPr>
        <w:t>находить модели изученных геометрических фигур в окружающем мире;</w:t>
      </w:r>
    </w:p>
    <w:p w14:paraId="20F1BBB0">
      <w:pPr>
        <w:widowControl/>
        <w:tabs>
          <w:tab w:val="left" w:pos="1134"/>
        </w:tabs>
        <w:spacing w:after="0" w:line="360" w:lineRule="auto"/>
        <w:ind w:firstLine="709"/>
        <w:jc w:val="both"/>
        <w:rPr>
          <w:rFonts w:ascii="Times New Roman" w:hAnsi="Times New Roman"/>
          <w:bCs/>
        </w:rPr>
      </w:pPr>
      <w:r>
        <w:rPr>
          <w:rFonts w:ascii="Times New Roman" w:hAnsi="Times New Roman"/>
          <w:bCs/>
        </w:rPr>
        <w:t>конструировать геометрическую фигуру, обладающую заданным свойством (отрезок заданной длины, ломаная определённой длины, квадрат с заданным периметром);</w:t>
      </w:r>
    </w:p>
    <w:p w14:paraId="0CFB43BB">
      <w:pPr>
        <w:widowControl/>
        <w:tabs>
          <w:tab w:val="left" w:pos="1134"/>
        </w:tabs>
        <w:spacing w:after="0" w:line="360" w:lineRule="auto"/>
        <w:ind w:firstLine="709"/>
        <w:jc w:val="both"/>
        <w:rPr>
          <w:rFonts w:ascii="Times New Roman" w:hAnsi="Times New Roman"/>
          <w:bCs/>
        </w:rPr>
      </w:pPr>
      <w:r>
        <w:rPr>
          <w:rFonts w:ascii="Times New Roman" w:hAnsi="Times New Roman"/>
          <w:bCs/>
        </w:rPr>
        <w:t>классифицировать объекты по 1–2 выбранным признакам;</w:t>
      </w:r>
    </w:p>
    <w:p w14:paraId="5553B2CD">
      <w:pPr>
        <w:widowControl/>
        <w:tabs>
          <w:tab w:val="left" w:pos="1134"/>
        </w:tabs>
        <w:spacing w:after="0" w:line="360" w:lineRule="auto"/>
        <w:ind w:firstLine="709"/>
        <w:jc w:val="both"/>
        <w:rPr>
          <w:rFonts w:ascii="Times New Roman" w:hAnsi="Times New Roman"/>
          <w:bCs/>
        </w:rPr>
      </w:pPr>
      <w:r>
        <w:rPr>
          <w:rFonts w:ascii="Times New Roman" w:hAnsi="Times New Roman"/>
          <w:bCs/>
        </w:rPr>
        <w:t>составлять модель математической задачи, проверять её соответствие условиям задачи;</w:t>
      </w:r>
    </w:p>
    <w:p w14:paraId="56C221B7">
      <w:pPr>
        <w:widowControl/>
        <w:tabs>
          <w:tab w:val="left" w:pos="1134"/>
        </w:tabs>
        <w:spacing w:after="0" w:line="360" w:lineRule="auto"/>
        <w:ind w:firstLine="709"/>
        <w:jc w:val="both"/>
        <w:rPr>
          <w:rFonts w:ascii="Times New Roman" w:hAnsi="Times New Roman"/>
          <w:bCs/>
        </w:rPr>
      </w:pPr>
      <w:r>
        <w:rPr>
          <w:rFonts w:ascii="Times New Roman" w:hAnsi="Times New Roman"/>
          <w:bCs/>
        </w:rPr>
        <w:t>определять с помощью цифровых и аналоговых приборов: массу предмета (электронные и гиревые весы), температуру (градусник), скорость движения транспортного средства (макет спидометра), вместимость (измерительные сосуды).</w:t>
      </w:r>
    </w:p>
    <w:p w14:paraId="7DBB132A">
      <w:pPr>
        <w:widowControl/>
        <w:tabs>
          <w:tab w:val="left" w:pos="1134"/>
        </w:tabs>
        <w:spacing w:after="0" w:line="360" w:lineRule="auto"/>
        <w:ind w:firstLine="709"/>
        <w:jc w:val="both"/>
        <w:rPr>
          <w:rFonts w:ascii="Times New Roman" w:hAnsi="Times New Roman"/>
          <w:bCs/>
        </w:rPr>
      </w:pPr>
      <w:r>
        <w:rPr>
          <w:rFonts w:ascii="Times New Roman" w:hAnsi="Times New Roman"/>
          <w:bCs/>
        </w:rPr>
        <w:t>10.9.6.2. У обучающегося будут сформированы следующие информационные действия как часть познавательных универсальных учебных действий:</w:t>
      </w:r>
    </w:p>
    <w:p w14:paraId="40610D8F">
      <w:pPr>
        <w:widowControl/>
        <w:tabs>
          <w:tab w:val="left" w:pos="1134"/>
        </w:tabs>
        <w:spacing w:after="0" w:line="360" w:lineRule="auto"/>
        <w:ind w:firstLine="709"/>
        <w:jc w:val="both"/>
        <w:rPr>
          <w:rFonts w:ascii="Times New Roman" w:hAnsi="Times New Roman"/>
          <w:bCs/>
        </w:rPr>
      </w:pPr>
      <w:r>
        <w:rPr>
          <w:rFonts w:ascii="Times New Roman" w:hAnsi="Times New Roman"/>
          <w:bCs/>
        </w:rPr>
        <w:t>представлять информацию в разных формах;</w:t>
      </w:r>
    </w:p>
    <w:p w14:paraId="5D47771B">
      <w:pPr>
        <w:widowControl/>
        <w:tabs>
          <w:tab w:val="left" w:pos="1134"/>
        </w:tabs>
        <w:spacing w:after="0" w:line="360" w:lineRule="auto"/>
        <w:ind w:firstLine="709"/>
        <w:jc w:val="both"/>
        <w:rPr>
          <w:rFonts w:ascii="Times New Roman" w:hAnsi="Times New Roman"/>
          <w:bCs/>
        </w:rPr>
      </w:pPr>
      <w:r>
        <w:rPr>
          <w:rFonts w:ascii="Times New Roman" w:hAnsi="Times New Roman"/>
          <w:bCs/>
        </w:rPr>
        <w:t>извлекать и интерпретировать информацию, представленную в таблице, на диаграмме;</w:t>
      </w:r>
    </w:p>
    <w:p w14:paraId="11A99B74">
      <w:pPr>
        <w:widowControl/>
        <w:tabs>
          <w:tab w:val="left" w:pos="1134"/>
        </w:tabs>
        <w:spacing w:after="0" w:line="360" w:lineRule="auto"/>
        <w:ind w:firstLine="709"/>
        <w:jc w:val="both"/>
        <w:rPr>
          <w:rFonts w:ascii="Times New Roman" w:hAnsi="Times New Roman"/>
          <w:bCs/>
        </w:rPr>
      </w:pPr>
      <w:r>
        <w:rPr>
          <w:rFonts w:ascii="Times New Roman" w:hAnsi="Times New Roman"/>
          <w:bCs/>
        </w:rPr>
        <w:t>использовать справочную литературу для поиска информации, в том числе Интернет (в условиях контролируемого выхода).</w:t>
      </w:r>
    </w:p>
    <w:p w14:paraId="73200598">
      <w:pPr>
        <w:widowControl/>
        <w:tabs>
          <w:tab w:val="left" w:pos="1134"/>
        </w:tabs>
        <w:spacing w:after="0" w:line="360" w:lineRule="auto"/>
        <w:ind w:firstLine="709"/>
        <w:jc w:val="both"/>
        <w:rPr>
          <w:rFonts w:ascii="Times New Roman" w:hAnsi="Times New Roman"/>
          <w:bCs/>
        </w:rPr>
      </w:pPr>
      <w:r>
        <w:rPr>
          <w:rFonts w:ascii="Times New Roman" w:hAnsi="Times New Roman"/>
          <w:bCs/>
        </w:rPr>
        <w:t>10.9.6.3. У обучающегося будут сформированы следующие действия общения как часть коммуникативных универсальных учебных действий:</w:t>
      </w:r>
    </w:p>
    <w:p w14:paraId="3C76EEB8">
      <w:pPr>
        <w:widowControl/>
        <w:tabs>
          <w:tab w:val="left" w:pos="1134"/>
        </w:tabs>
        <w:spacing w:after="0" w:line="360" w:lineRule="auto"/>
        <w:ind w:firstLine="709"/>
        <w:jc w:val="both"/>
        <w:rPr>
          <w:rFonts w:ascii="Times New Roman" w:hAnsi="Times New Roman"/>
          <w:bCs/>
        </w:rPr>
      </w:pPr>
      <w:r>
        <w:rPr>
          <w:rFonts w:ascii="Times New Roman" w:hAnsi="Times New Roman"/>
          <w:bCs/>
        </w:rPr>
        <w:t>использовать математическую терминологию для записи решения предметной или практической задачи;</w:t>
      </w:r>
    </w:p>
    <w:p w14:paraId="56667EE1">
      <w:pPr>
        <w:widowControl/>
        <w:tabs>
          <w:tab w:val="left" w:pos="1134"/>
        </w:tabs>
        <w:spacing w:after="0" w:line="360" w:lineRule="auto"/>
        <w:ind w:firstLine="709"/>
        <w:jc w:val="both"/>
        <w:rPr>
          <w:rFonts w:ascii="Times New Roman" w:hAnsi="Times New Roman"/>
          <w:bCs/>
        </w:rPr>
      </w:pPr>
      <w:r>
        <w:rPr>
          <w:rFonts w:ascii="Times New Roman" w:hAnsi="Times New Roman"/>
          <w:bCs/>
        </w:rPr>
        <w:t>приводить примеры и контрпримеры для подтверждения или опровержения вывода, гипотезы;</w:t>
      </w:r>
    </w:p>
    <w:p w14:paraId="74D0BF9B">
      <w:pPr>
        <w:widowControl/>
        <w:tabs>
          <w:tab w:val="left" w:pos="1134"/>
        </w:tabs>
        <w:spacing w:after="0" w:line="360" w:lineRule="auto"/>
        <w:ind w:firstLine="709"/>
        <w:jc w:val="both"/>
        <w:rPr>
          <w:rFonts w:ascii="Times New Roman" w:hAnsi="Times New Roman"/>
          <w:bCs/>
        </w:rPr>
      </w:pPr>
      <w:r>
        <w:rPr>
          <w:rFonts w:ascii="Times New Roman" w:hAnsi="Times New Roman"/>
          <w:bCs/>
        </w:rPr>
        <w:t>конструировать, читать числовое выражение;</w:t>
      </w:r>
    </w:p>
    <w:p w14:paraId="36B80B77">
      <w:pPr>
        <w:widowControl/>
        <w:tabs>
          <w:tab w:val="left" w:pos="1134"/>
        </w:tabs>
        <w:spacing w:after="0" w:line="360" w:lineRule="auto"/>
        <w:ind w:firstLine="709"/>
        <w:jc w:val="both"/>
        <w:rPr>
          <w:rFonts w:ascii="Times New Roman" w:hAnsi="Times New Roman"/>
          <w:bCs/>
        </w:rPr>
      </w:pPr>
      <w:r>
        <w:rPr>
          <w:rFonts w:ascii="Times New Roman" w:hAnsi="Times New Roman"/>
          <w:bCs/>
        </w:rPr>
        <w:t>описывать практическую ситуацию с использованием изученной терминологии;</w:t>
      </w:r>
    </w:p>
    <w:p w14:paraId="1F07A9AD">
      <w:pPr>
        <w:widowControl/>
        <w:tabs>
          <w:tab w:val="left" w:pos="1134"/>
        </w:tabs>
        <w:spacing w:after="0" w:line="360" w:lineRule="auto"/>
        <w:ind w:firstLine="709"/>
        <w:jc w:val="both"/>
        <w:rPr>
          <w:rFonts w:ascii="Times New Roman" w:hAnsi="Times New Roman"/>
          <w:bCs/>
        </w:rPr>
      </w:pPr>
      <w:r>
        <w:rPr>
          <w:rFonts w:ascii="Times New Roman" w:hAnsi="Times New Roman"/>
          <w:bCs/>
        </w:rPr>
        <w:t>характеризовать математические объекты, явления и события с помощью изученных величин;</w:t>
      </w:r>
    </w:p>
    <w:p w14:paraId="798DB366">
      <w:pPr>
        <w:widowControl/>
        <w:tabs>
          <w:tab w:val="left" w:pos="1134"/>
        </w:tabs>
        <w:spacing w:after="0" w:line="360" w:lineRule="auto"/>
        <w:ind w:firstLine="709"/>
        <w:jc w:val="both"/>
        <w:rPr>
          <w:rFonts w:ascii="Times New Roman" w:hAnsi="Times New Roman"/>
          <w:bCs/>
        </w:rPr>
      </w:pPr>
      <w:r>
        <w:rPr>
          <w:rFonts w:ascii="Times New Roman" w:hAnsi="Times New Roman"/>
          <w:bCs/>
        </w:rPr>
        <w:t>составлять инструкцию, записывать рассуждение;</w:t>
      </w:r>
    </w:p>
    <w:p w14:paraId="690D5F32">
      <w:pPr>
        <w:widowControl/>
        <w:tabs>
          <w:tab w:val="left" w:pos="1134"/>
        </w:tabs>
        <w:spacing w:after="0" w:line="360" w:lineRule="auto"/>
        <w:ind w:firstLine="709"/>
        <w:jc w:val="both"/>
        <w:rPr>
          <w:rFonts w:ascii="Times New Roman" w:hAnsi="Times New Roman"/>
          <w:bCs/>
        </w:rPr>
      </w:pPr>
      <w:r>
        <w:rPr>
          <w:rFonts w:ascii="Times New Roman" w:hAnsi="Times New Roman"/>
          <w:bCs/>
        </w:rPr>
        <w:t>инициировать обсуждение разных способов выполнения задания, поиск ошибок в решении.</w:t>
      </w:r>
    </w:p>
    <w:p w14:paraId="2D2F2516">
      <w:pPr>
        <w:widowControl/>
        <w:tabs>
          <w:tab w:val="left" w:pos="1134"/>
        </w:tabs>
        <w:spacing w:after="0" w:line="360" w:lineRule="auto"/>
        <w:ind w:firstLine="709"/>
        <w:jc w:val="both"/>
        <w:rPr>
          <w:rFonts w:ascii="Times New Roman" w:hAnsi="Times New Roman"/>
          <w:bCs/>
        </w:rPr>
      </w:pPr>
      <w:r>
        <w:rPr>
          <w:rFonts w:ascii="Times New Roman" w:hAnsi="Times New Roman"/>
          <w:bCs/>
        </w:rPr>
        <w:t>10.9.6.4. У обучающегося будут сформированы следующие действия самоорганизации и самоконтроля как часть регулятивных универсальных учебных действий:</w:t>
      </w:r>
    </w:p>
    <w:p w14:paraId="16DD6860">
      <w:pPr>
        <w:widowControl/>
        <w:tabs>
          <w:tab w:val="left" w:pos="1134"/>
        </w:tabs>
        <w:spacing w:after="0" w:line="360" w:lineRule="auto"/>
        <w:ind w:firstLine="709"/>
        <w:jc w:val="both"/>
        <w:rPr>
          <w:rFonts w:ascii="Times New Roman" w:hAnsi="Times New Roman"/>
          <w:bCs/>
        </w:rPr>
      </w:pPr>
      <w:r>
        <w:rPr>
          <w:rFonts w:ascii="Times New Roman" w:hAnsi="Times New Roman"/>
          <w:bCs/>
        </w:rPr>
        <w:t>контролировать правильность и полноту выполнения алгоритма арифметического действия, решения текстовой задачи, построения геометрической фигуры, измерения;</w:t>
      </w:r>
    </w:p>
    <w:p w14:paraId="43D97DFD">
      <w:pPr>
        <w:widowControl/>
        <w:tabs>
          <w:tab w:val="left" w:pos="1134"/>
        </w:tabs>
        <w:spacing w:after="0" w:line="360" w:lineRule="auto"/>
        <w:ind w:firstLine="709"/>
        <w:jc w:val="both"/>
        <w:rPr>
          <w:rFonts w:ascii="Times New Roman" w:hAnsi="Times New Roman"/>
          <w:bCs/>
        </w:rPr>
      </w:pPr>
      <w:r>
        <w:rPr>
          <w:rFonts w:ascii="Times New Roman" w:hAnsi="Times New Roman"/>
          <w:bCs/>
        </w:rPr>
        <w:t>самостоятельно выполнять прикидку и оценку результата измерений;</w:t>
      </w:r>
    </w:p>
    <w:p w14:paraId="689DE6A9">
      <w:pPr>
        <w:widowControl/>
        <w:tabs>
          <w:tab w:val="left" w:pos="1134"/>
        </w:tabs>
        <w:spacing w:after="0" w:line="360" w:lineRule="auto"/>
        <w:ind w:firstLine="709"/>
        <w:jc w:val="both"/>
        <w:rPr>
          <w:rFonts w:ascii="Times New Roman" w:hAnsi="Times New Roman"/>
          <w:bCs/>
        </w:rPr>
      </w:pPr>
      <w:r>
        <w:rPr>
          <w:rFonts w:ascii="Times New Roman" w:hAnsi="Times New Roman"/>
          <w:bCs/>
        </w:rPr>
        <w:t>находить, исправлять, прогнозировать ошибки и трудности в решении учебной задачи.</w:t>
      </w:r>
    </w:p>
    <w:p w14:paraId="248079F9">
      <w:pPr>
        <w:widowControl/>
        <w:tabs>
          <w:tab w:val="left" w:pos="1134"/>
        </w:tabs>
        <w:spacing w:after="0" w:line="360" w:lineRule="auto"/>
        <w:ind w:firstLine="709"/>
        <w:jc w:val="both"/>
        <w:rPr>
          <w:rFonts w:ascii="Times New Roman" w:hAnsi="Times New Roman"/>
          <w:bCs/>
        </w:rPr>
      </w:pPr>
      <w:r>
        <w:rPr>
          <w:rFonts w:ascii="Times New Roman" w:hAnsi="Times New Roman"/>
          <w:bCs/>
        </w:rPr>
        <w:t>10.9.6.5. У обучающегося будут сформированы следующие умения совместной деятельности:</w:t>
      </w:r>
    </w:p>
    <w:p w14:paraId="36B09775">
      <w:pPr>
        <w:widowControl/>
        <w:tabs>
          <w:tab w:val="left" w:pos="1134"/>
        </w:tabs>
        <w:spacing w:after="0" w:line="360" w:lineRule="auto"/>
        <w:ind w:firstLine="709"/>
        <w:jc w:val="both"/>
        <w:rPr>
          <w:rFonts w:ascii="Times New Roman" w:hAnsi="Times New Roman"/>
          <w:bCs/>
        </w:rPr>
      </w:pPr>
      <w:r>
        <w:rPr>
          <w:rFonts w:ascii="Times New Roman" w:hAnsi="Times New Roman"/>
          <w:bCs/>
        </w:rPr>
        <w:t>участвовать в совместной деятельности: договариваться о способе решения, распределять работу между членами группы (например, в случае решения задач, требующих перебора большого количества вариантов), согласовывать мнения в ходе поиска доказательств, выбора рационального способа;</w:t>
      </w:r>
    </w:p>
    <w:p w14:paraId="47DEEDBC">
      <w:pPr>
        <w:widowControl/>
        <w:tabs>
          <w:tab w:val="left" w:pos="1134"/>
        </w:tabs>
        <w:spacing w:after="0" w:line="360" w:lineRule="auto"/>
        <w:ind w:firstLine="709"/>
        <w:jc w:val="both"/>
        <w:rPr>
          <w:rFonts w:ascii="Times New Roman" w:hAnsi="Times New Roman"/>
          <w:bCs/>
        </w:rPr>
      </w:pPr>
      <w:r>
        <w:rPr>
          <w:rFonts w:ascii="Times New Roman" w:hAnsi="Times New Roman"/>
          <w:bCs/>
        </w:rPr>
        <w:t>договариваться с одноклассниками в ходе организации проектной работы с величинами (составление расписания, подсчёт денег, оценка стоимости и покупки, приближённая оценка расстояний и временных интервалов, взвешивание, измерение температуры воздуха и воды), геометрическими фигурами (выбор формы и деталей при конструировании, расчёт и разметка, прикидка и оценка конечного результата).</w:t>
      </w:r>
    </w:p>
    <w:p w14:paraId="0F4A7DA7">
      <w:pPr>
        <w:widowControl/>
        <w:tabs>
          <w:tab w:val="left" w:pos="1134"/>
        </w:tabs>
        <w:spacing w:after="0" w:line="360" w:lineRule="auto"/>
        <w:ind w:firstLine="709"/>
        <w:jc w:val="both"/>
        <w:rPr>
          <w:rFonts w:ascii="Times New Roman" w:hAnsi="Times New Roman"/>
          <w:bCs/>
        </w:rPr>
      </w:pPr>
      <w:r>
        <w:rPr>
          <w:rFonts w:ascii="Times New Roman" w:hAnsi="Times New Roman"/>
          <w:bCs/>
        </w:rPr>
        <w:t>10.10. Планируемые результаты освоения программы по математике на уровне начального общего образования.</w:t>
      </w:r>
    </w:p>
    <w:p w14:paraId="37831452">
      <w:pPr>
        <w:widowControl/>
        <w:tabs>
          <w:tab w:val="left" w:pos="1134"/>
        </w:tabs>
        <w:spacing w:after="0" w:line="360" w:lineRule="auto"/>
        <w:ind w:firstLine="709"/>
        <w:jc w:val="both"/>
        <w:rPr>
          <w:rFonts w:ascii="Times New Roman" w:hAnsi="Times New Roman"/>
          <w:bCs/>
        </w:rPr>
      </w:pPr>
      <w:r>
        <w:rPr>
          <w:rFonts w:ascii="Times New Roman" w:hAnsi="Times New Roman"/>
          <w:bCs/>
        </w:rPr>
        <w:t>10.10.1. Личностные результаты освоения программы по математике на уровне начального общего образования достигаются в единстве учебной и воспитательной деятельности в соответствии с традиционными российскими социокультурными и духовно-нравственными ценностями, принятыми в обществе правилами и нормами поведения и способствуют процессам самопознания, самовоспитания и саморазвития, формирования внутренней позиции личности.</w:t>
      </w:r>
    </w:p>
    <w:p w14:paraId="4CDCA461">
      <w:pPr>
        <w:widowControl/>
        <w:tabs>
          <w:tab w:val="left" w:pos="1134"/>
        </w:tabs>
        <w:spacing w:after="0" w:line="360" w:lineRule="auto"/>
        <w:ind w:firstLine="709"/>
        <w:jc w:val="both"/>
        <w:rPr>
          <w:rFonts w:ascii="Times New Roman" w:hAnsi="Times New Roman"/>
          <w:bCs/>
        </w:rPr>
      </w:pPr>
      <w:r>
        <w:rPr>
          <w:rFonts w:ascii="Times New Roman" w:hAnsi="Times New Roman"/>
          <w:bCs/>
        </w:rPr>
        <w:t xml:space="preserve">В результате изучения математики на уровне начального общего образования у обучающегося будут сформированы следующие личностные результаты: </w:t>
      </w:r>
    </w:p>
    <w:p w14:paraId="493F9584">
      <w:pPr>
        <w:widowControl/>
        <w:tabs>
          <w:tab w:val="left" w:pos="1134"/>
        </w:tabs>
        <w:spacing w:after="0" w:line="360" w:lineRule="auto"/>
        <w:ind w:firstLine="709"/>
        <w:jc w:val="both"/>
        <w:rPr>
          <w:rFonts w:ascii="Times New Roman" w:hAnsi="Times New Roman"/>
          <w:bCs/>
        </w:rPr>
      </w:pPr>
      <w:r>
        <w:rPr>
          <w:rFonts w:ascii="Times New Roman" w:hAnsi="Times New Roman"/>
          <w:bCs/>
        </w:rPr>
        <w:t>осознавать необходимость изучения математики для адаптации к жизненным ситуациям, для развития общей культуры человека, способности мыслить, рассуждать, выдвигать предположения и доказывать или опровергать их;</w:t>
      </w:r>
    </w:p>
    <w:p w14:paraId="1140BC13">
      <w:pPr>
        <w:widowControl/>
        <w:tabs>
          <w:tab w:val="left" w:pos="1134"/>
        </w:tabs>
        <w:spacing w:after="0" w:line="360" w:lineRule="auto"/>
        <w:ind w:firstLine="709"/>
        <w:jc w:val="both"/>
        <w:rPr>
          <w:rFonts w:ascii="Times New Roman" w:hAnsi="Times New Roman"/>
          <w:bCs/>
        </w:rPr>
      </w:pPr>
      <w:r>
        <w:rPr>
          <w:rFonts w:ascii="Times New Roman" w:hAnsi="Times New Roman"/>
          <w:bCs/>
        </w:rPr>
        <w:t>применять правила совместной деятельности со сверстниками, проявлять способность договариваться, лидировать, следовать указаниям, осознавать личную ответственность и объективно оценивать свой вклад в общий результат;</w:t>
      </w:r>
    </w:p>
    <w:p w14:paraId="5E2ED8CD">
      <w:pPr>
        <w:widowControl/>
        <w:tabs>
          <w:tab w:val="left" w:pos="1134"/>
        </w:tabs>
        <w:spacing w:after="0" w:line="360" w:lineRule="auto"/>
        <w:ind w:firstLine="709"/>
        <w:jc w:val="both"/>
        <w:rPr>
          <w:rFonts w:ascii="Times New Roman" w:hAnsi="Times New Roman"/>
          <w:bCs/>
        </w:rPr>
      </w:pPr>
      <w:r>
        <w:rPr>
          <w:rFonts w:ascii="Times New Roman" w:hAnsi="Times New Roman"/>
          <w:bCs/>
        </w:rPr>
        <w:t>осваивать навыки организации безопасного поведения в информационной среде;</w:t>
      </w:r>
    </w:p>
    <w:p w14:paraId="5AA36BF6">
      <w:pPr>
        <w:widowControl/>
        <w:tabs>
          <w:tab w:val="left" w:pos="1134"/>
        </w:tabs>
        <w:spacing w:after="0" w:line="360" w:lineRule="auto"/>
        <w:ind w:firstLine="709"/>
        <w:jc w:val="both"/>
        <w:rPr>
          <w:rFonts w:ascii="Times New Roman" w:hAnsi="Times New Roman"/>
          <w:bCs/>
        </w:rPr>
      </w:pPr>
      <w:r>
        <w:rPr>
          <w:rFonts w:ascii="Times New Roman" w:hAnsi="Times New Roman"/>
          <w:bCs/>
        </w:rPr>
        <w:t>применять математику для решения практических задач в повседневной жизни, в том числе при оказании помощи одноклассникам, детям младшего возраста, взрослым и пожилым людям;</w:t>
      </w:r>
    </w:p>
    <w:p w14:paraId="63976A9F">
      <w:pPr>
        <w:widowControl/>
        <w:tabs>
          <w:tab w:val="left" w:pos="1134"/>
        </w:tabs>
        <w:spacing w:after="0" w:line="360" w:lineRule="auto"/>
        <w:ind w:firstLine="709"/>
        <w:jc w:val="both"/>
        <w:rPr>
          <w:rFonts w:ascii="Times New Roman" w:hAnsi="Times New Roman"/>
          <w:bCs/>
        </w:rPr>
      </w:pPr>
      <w:r>
        <w:rPr>
          <w:rFonts w:ascii="Times New Roman" w:hAnsi="Times New Roman"/>
          <w:bCs/>
        </w:rPr>
        <w:t>работать в ситуациях, расширяющих опыт применения математических отношений в реальной жизни, повышающих интерес к интеллектуальному труду и уверенность своих силах при решении поставленных задач, умение преодолевать трудности;</w:t>
      </w:r>
    </w:p>
    <w:p w14:paraId="5C9DE14F">
      <w:pPr>
        <w:widowControl/>
        <w:tabs>
          <w:tab w:val="left" w:pos="1134"/>
        </w:tabs>
        <w:spacing w:after="0" w:line="360" w:lineRule="auto"/>
        <w:ind w:firstLine="709"/>
        <w:jc w:val="both"/>
        <w:rPr>
          <w:rFonts w:ascii="Times New Roman" w:hAnsi="Times New Roman"/>
          <w:bCs/>
        </w:rPr>
      </w:pPr>
      <w:r>
        <w:rPr>
          <w:rFonts w:ascii="Times New Roman" w:hAnsi="Times New Roman"/>
          <w:bCs/>
        </w:rPr>
        <w:t>оценивать практические и учебные ситуации с точки зрения возможности применения математики для рационального и эффективного решения учебных и жизненных проблем;</w:t>
      </w:r>
    </w:p>
    <w:p w14:paraId="285494F4">
      <w:pPr>
        <w:widowControl/>
        <w:tabs>
          <w:tab w:val="left" w:pos="1134"/>
        </w:tabs>
        <w:spacing w:after="0" w:line="360" w:lineRule="auto"/>
        <w:ind w:firstLine="709"/>
        <w:jc w:val="both"/>
        <w:rPr>
          <w:rFonts w:ascii="Times New Roman" w:hAnsi="Times New Roman"/>
          <w:bCs/>
        </w:rPr>
      </w:pPr>
      <w:r>
        <w:rPr>
          <w:rFonts w:ascii="Times New Roman" w:hAnsi="Times New Roman"/>
          <w:bCs/>
        </w:rPr>
        <w:t>характеризовать свои успехи в изучении математики, стремиться углублять свои математические знания и умения, намечать пути устранения трудностей;</w:t>
      </w:r>
    </w:p>
    <w:p w14:paraId="369B6191">
      <w:pPr>
        <w:widowControl/>
        <w:tabs>
          <w:tab w:val="left" w:pos="1134"/>
        </w:tabs>
        <w:spacing w:after="0" w:line="360" w:lineRule="auto"/>
        <w:ind w:firstLine="709"/>
        <w:jc w:val="both"/>
        <w:rPr>
          <w:rFonts w:ascii="Times New Roman" w:hAnsi="Times New Roman"/>
          <w:bCs/>
        </w:rPr>
      </w:pPr>
      <w:r>
        <w:rPr>
          <w:rFonts w:ascii="Times New Roman" w:hAnsi="Times New Roman"/>
          <w:bCs/>
        </w:rPr>
        <w:t>пользоваться разнообразными информационными средствами для решения предложенных и самостоятельно выбранных учебных проблем, задач.</w:t>
      </w:r>
    </w:p>
    <w:p w14:paraId="2426EF3F">
      <w:pPr>
        <w:widowControl/>
        <w:tabs>
          <w:tab w:val="left" w:pos="1134"/>
        </w:tabs>
        <w:spacing w:after="0" w:line="360" w:lineRule="auto"/>
        <w:ind w:firstLine="709"/>
        <w:jc w:val="both"/>
        <w:rPr>
          <w:rFonts w:ascii="Times New Roman" w:hAnsi="Times New Roman"/>
          <w:bCs/>
        </w:rPr>
      </w:pPr>
      <w:r>
        <w:rPr>
          <w:rFonts w:ascii="Times New Roman" w:hAnsi="Times New Roman"/>
          <w:bCs/>
        </w:rPr>
        <w:t>10.10.2. В результате изучения математики на уровне начального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деятельность.</w:t>
      </w:r>
    </w:p>
    <w:p w14:paraId="1505C59E">
      <w:pPr>
        <w:widowControl/>
        <w:tabs>
          <w:tab w:val="left" w:pos="1134"/>
        </w:tabs>
        <w:spacing w:after="0" w:line="360" w:lineRule="auto"/>
        <w:ind w:firstLine="709"/>
        <w:jc w:val="both"/>
        <w:rPr>
          <w:rFonts w:ascii="Times New Roman" w:hAnsi="Times New Roman"/>
          <w:bCs/>
        </w:rPr>
      </w:pPr>
      <w:r>
        <w:rPr>
          <w:rFonts w:ascii="Times New Roman" w:hAnsi="Times New Roman"/>
          <w:bCs/>
        </w:rPr>
        <w:t>10.10.2.1. У обучающегося будут сформированы следующие базовые логические действия как часть познавательных универсальных учебных действий:</w:t>
      </w:r>
    </w:p>
    <w:p w14:paraId="668F6ADA">
      <w:pPr>
        <w:widowControl/>
        <w:tabs>
          <w:tab w:val="left" w:pos="1134"/>
        </w:tabs>
        <w:spacing w:after="0" w:line="360" w:lineRule="auto"/>
        <w:ind w:firstLine="709"/>
        <w:jc w:val="both"/>
        <w:rPr>
          <w:rFonts w:ascii="Times New Roman" w:hAnsi="Times New Roman"/>
          <w:bCs/>
        </w:rPr>
      </w:pPr>
      <w:r>
        <w:rPr>
          <w:rFonts w:ascii="Times New Roman" w:hAnsi="Times New Roman"/>
          <w:bCs/>
        </w:rPr>
        <w:t>устанавливать связи и зависимости между математическими объектами («часть-целое», «причина-следствие», протяжённость);</w:t>
      </w:r>
    </w:p>
    <w:p w14:paraId="0022BD8E">
      <w:pPr>
        <w:widowControl/>
        <w:tabs>
          <w:tab w:val="left" w:pos="1134"/>
        </w:tabs>
        <w:spacing w:after="0" w:line="360" w:lineRule="auto"/>
        <w:ind w:firstLine="709"/>
        <w:jc w:val="both"/>
        <w:rPr>
          <w:rFonts w:ascii="Times New Roman" w:hAnsi="Times New Roman"/>
          <w:bCs/>
        </w:rPr>
      </w:pPr>
      <w:r>
        <w:rPr>
          <w:rFonts w:ascii="Times New Roman" w:hAnsi="Times New Roman"/>
          <w:bCs/>
        </w:rPr>
        <w:t>применять базовые логические универсальные действия: сравнение, анализ, классификация (группировка), обобщение;</w:t>
      </w:r>
    </w:p>
    <w:p w14:paraId="1992E9BA">
      <w:pPr>
        <w:widowControl/>
        <w:tabs>
          <w:tab w:val="left" w:pos="1134"/>
        </w:tabs>
        <w:spacing w:after="0" w:line="360" w:lineRule="auto"/>
        <w:ind w:firstLine="709"/>
        <w:jc w:val="both"/>
        <w:rPr>
          <w:rFonts w:ascii="Times New Roman" w:hAnsi="Times New Roman"/>
          <w:bCs/>
        </w:rPr>
      </w:pPr>
      <w:r>
        <w:rPr>
          <w:rFonts w:ascii="Times New Roman" w:hAnsi="Times New Roman"/>
          <w:bCs/>
        </w:rPr>
        <w:t>приобретать практические графические и измерительные навыки для успешного решения учебных и житейских задач;</w:t>
      </w:r>
    </w:p>
    <w:p w14:paraId="48BB1055">
      <w:pPr>
        <w:widowControl/>
        <w:tabs>
          <w:tab w:val="left" w:pos="1134"/>
        </w:tabs>
        <w:spacing w:after="0" w:line="360" w:lineRule="auto"/>
        <w:ind w:firstLine="709"/>
        <w:jc w:val="both"/>
        <w:rPr>
          <w:rFonts w:ascii="Times New Roman" w:hAnsi="Times New Roman"/>
          <w:bCs/>
        </w:rPr>
      </w:pPr>
      <w:r>
        <w:rPr>
          <w:rFonts w:ascii="Times New Roman" w:hAnsi="Times New Roman"/>
          <w:bCs/>
        </w:rPr>
        <w:t>представлять текстовую задачу, её решение в виде модели, схемы, арифметической записи, текста в соответствии с предложенной учебной проблемой.</w:t>
      </w:r>
    </w:p>
    <w:p w14:paraId="743EEDDF">
      <w:pPr>
        <w:widowControl/>
        <w:tabs>
          <w:tab w:val="left" w:pos="1134"/>
        </w:tabs>
        <w:spacing w:after="0" w:line="360" w:lineRule="auto"/>
        <w:ind w:firstLine="709"/>
        <w:jc w:val="both"/>
        <w:rPr>
          <w:rFonts w:ascii="Times New Roman" w:hAnsi="Times New Roman"/>
          <w:bCs/>
        </w:rPr>
      </w:pPr>
      <w:r>
        <w:rPr>
          <w:rFonts w:ascii="Times New Roman" w:hAnsi="Times New Roman"/>
          <w:bCs/>
        </w:rPr>
        <w:t>10.10.2.2. У обучающегося будут сформированы следующие базовые исследовательские действия как часть познавательных универсальных учебных действий:</w:t>
      </w:r>
    </w:p>
    <w:p w14:paraId="40B1BAD5">
      <w:pPr>
        <w:widowControl/>
        <w:tabs>
          <w:tab w:val="left" w:pos="1134"/>
        </w:tabs>
        <w:spacing w:after="0" w:line="360" w:lineRule="auto"/>
        <w:ind w:firstLine="709"/>
        <w:jc w:val="both"/>
        <w:rPr>
          <w:rFonts w:ascii="Times New Roman" w:hAnsi="Times New Roman"/>
          <w:bCs/>
        </w:rPr>
      </w:pPr>
      <w:r>
        <w:rPr>
          <w:rFonts w:ascii="Times New Roman" w:hAnsi="Times New Roman"/>
          <w:bCs/>
        </w:rPr>
        <w:t>проявлять способность ориентироваться в учебном материале разных разделов курса математики;</w:t>
      </w:r>
    </w:p>
    <w:p w14:paraId="7897E191">
      <w:pPr>
        <w:widowControl/>
        <w:tabs>
          <w:tab w:val="left" w:pos="1134"/>
        </w:tabs>
        <w:spacing w:after="0" w:line="360" w:lineRule="auto"/>
        <w:ind w:firstLine="709"/>
        <w:jc w:val="both"/>
        <w:rPr>
          <w:rFonts w:ascii="Times New Roman" w:hAnsi="Times New Roman"/>
          <w:bCs/>
        </w:rPr>
      </w:pPr>
      <w:r>
        <w:rPr>
          <w:rFonts w:ascii="Times New Roman" w:hAnsi="Times New Roman"/>
          <w:bCs/>
        </w:rPr>
        <w:t>понимать и использовать математическую терминологию: различать, характеризовать, использовать для решения учебных и практических задач;</w:t>
      </w:r>
    </w:p>
    <w:p w14:paraId="5616791C">
      <w:pPr>
        <w:widowControl/>
        <w:tabs>
          <w:tab w:val="left" w:pos="1134"/>
        </w:tabs>
        <w:spacing w:after="0" w:line="360" w:lineRule="auto"/>
        <w:ind w:firstLine="709"/>
        <w:jc w:val="both"/>
        <w:rPr>
          <w:rFonts w:ascii="Times New Roman" w:hAnsi="Times New Roman"/>
          <w:bCs/>
        </w:rPr>
      </w:pPr>
      <w:r>
        <w:rPr>
          <w:rFonts w:ascii="Times New Roman" w:hAnsi="Times New Roman"/>
          <w:bCs/>
        </w:rPr>
        <w:t>применять изученные методы познания (измерение, моделирование, перебор вариантов).</w:t>
      </w:r>
    </w:p>
    <w:p w14:paraId="190D8231">
      <w:pPr>
        <w:widowControl/>
        <w:tabs>
          <w:tab w:val="left" w:pos="1134"/>
        </w:tabs>
        <w:spacing w:after="0" w:line="360" w:lineRule="auto"/>
        <w:ind w:firstLine="709"/>
        <w:jc w:val="both"/>
        <w:rPr>
          <w:rFonts w:ascii="Times New Roman" w:hAnsi="Times New Roman"/>
          <w:bCs/>
        </w:rPr>
      </w:pPr>
      <w:r>
        <w:rPr>
          <w:rFonts w:ascii="Times New Roman" w:hAnsi="Times New Roman"/>
          <w:bCs/>
        </w:rPr>
        <w:t>10.10.2.3. У обучающегося будут сформированы следующие информационные действия как часть познавательных универсальных учебных действий:</w:t>
      </w:r>
    </w:p>
    <w:p w14:paraId="7C8E98C8">
      <w:pPr>
        <w:widowControl/>
        <w:tabs>
          <w:tab w:val="left" w:pos="1134"/>
        </w:tabs>
        <w:spacing w:after="0" w:line="360" w:lineRule="auto"/>
        <w:ind w:firstLine="709"/>
        <w:jc w:val="both"/>
        <w:rPr>
          <w:rFonts w:ascii="Times New Roman" w:hAnsi="Times New Roman"/>
          <w:bCs/>
        </w:rPr>
      </w:pPr>
      <w:r>
        <w:rPr>
          <w:rFonts w:ascii="Times New Roman" w:hAnsi="Times New Roman"/>
          <w:bCs/>
        </w:rPr>
        <w:t>находить и использовать для решения учебных задач текстовую, графическую информацию в разных источниках информационной среды;</w:t>
      </w:r>
    </w:p>
    <w:p w14:paraId="1CD5DA70">
      <w:pPr>
        <w:widowControl/>
        <w:tabs>
          <w:tab w:val="left" w:pos="1134"/>
        </w:tabs>
        <w:spacing w:after="0" w:line="360" w:lineRule="auto"/>
        <w:ind w:firstLine="709"/>
        <w:jc w:val="both"/>
        <w:rPr>
          <w:rFonts w:ascii="Times New Roman" w:hAnsi="Times New Roman"/>
          <w:bCs/>
        </w:rPr>
      </w:pPr>
      <w:r>
        <w:rPr>
          <w:rFonts w:ascii="Times New Roman" w:hAnsi="Times New Roman"/>
          <w:bCs/>
        </w:rPr>
        <w:t>читать, интерпретировать графически представленную информацию (схему, таблицу, диаграмму, другую модель);</w:t>
      </w:r>
    </w:p>
    <w:p w14:paraId="63087205">
      <w:pPr>
        <w:widowControl/>
        <w:tabs>
          <w:tab w:val="left" w:pos="1134"/>
        </w:tabs>
        <w:spacing w:after="0" w:line="360" w:lineRule="auto"/>
        <w:ind w:firstLine="709"/>
        <w:jc w:val="both"/>
        <w:rPr>
          <w:rFonts w:ascii="Times New Roman" w:hAnsi="Times New Roman"/>
          <w:bCs/>
        </w:rPr>
      </w:pPr>
      <w:r>
        <w:rPr>
          <w:rFonts w:ascii="Times New Roman" w:hAnsi="Times New Roman"/>
          <w:bCs/>
        </w:rPr>
        <w:t>представлять информацию в заданной форме (дополнять таблицу, текст), формулировать утверждение по образцу, в соответствии с требованиями учебной задачи;</w:t>
      </w:r>
    </w:p>
    <w:p w14:paraId="5CE43262">
      <w:pPr>
        <w:widowControl/>
        <w:tabs>
          <w:tab w:val="left" w:pos="1134"/>
        </w:tabs>
        <w:spacing w:after="0" w:line="360" w:lineRule="auto"/>
        <w:ind w:firstLine="709"/>
        <w:jc w:val="both"/>
        <w:rPr>
          <w:rFonts w:ascii="Times New Roman" w:hAnsi="Times New Roman"/>
          <w:bCs/>
        </w:rPr>
      </w:pPr>
      <w:r>
        <w:rPr>
          <w:rFonts w:ascii="Times New Roman" w:hAnsi="Times New Roman"/>
          <w:bCs/>
        </w:rPr>
        <w:t>принимать правила, безопасно использовать предлагаемые электронные средства и источники информации.</w:t>
      </w:r>
    </w:p>
    <w:p w14:paraId="2D594780">
      <w:pPr>
        <w:widowControl/>
        <w:tabs>
          <w:tab w:val="left" w:pos="1134"/>
        </w:tabs>
        <w:spacing w:after="0" w:line="360" w:lineRule="auto"/>
        <w:ind w:firstLine="709"/>
        <w:jc w:val="both"/>
        <w:rPr>
          <w:rFonts w:ascii="Times New Roman" w:hAnsi="Times New Roman"/>
          <w:bCs/>
        </w:rPr>
      </w:pPr>
      <w:r>
        <w:rPr>
          <w:rFonts w:ascii="Times New Roman" w:hAnsi="Times New Roman"/>
          <w:bCs/>
        </w:rPr>
        <w:t>10.10.2.4. У обучающегося будут сформированы следующие действия общения как часть коммуникативных универсальных учебных действий:</w:t>
      </w:r>
    </w:p>
    <w:p w14:paraId="46C5DC47">
      <w:pPr>
        <w:widowControl/>
        <w:tabs>
          <w:tab w:val="left" w:pos="1134"/>
        </w:tabs>
        <w:spacing w:after="0" w:line="360" w:lineRule="auto"/>
        <w:ind w:firstLine="709"/>
        <w:jc w:val="both"/>
        <w:rPr>
          <w:rFonts w:ascii="Times New Roman" w:hAnsi="Times New Roman"/>
          <w:bCs/>
        </w:rPr>
      </w:pPr>
      <w:r>
        <w:rPr>
          <w:rFonts w:ascii="Times New Roman" w:hAnsi="Times New Roman"/>
          <w:bCs/>
        </w:rPr>
        <w:t>конструировать утверждения, проверять их истинность;</w:t>
      </w:r>
    </w:p>
    <w:p w14:paraId="3CBA73AB">
      <w:pPr>
        <w:widowControl/>
        <w:tabs>
          <w:tab w:val="left" w:pos="1134"/>
        </w:tabs>
        <w:spacing w:after="0" w:line="360" w:lineRule="auto"/>
        <w:ind w:firstLine="709"/>
        <w:jc w:val="both"/>
        <w:rPr>
          <w:rFonts w:ascii="Times New Roman" w:hAnsi="Times New Roman"/>
          <w:bCs/>
        </w:rPr>
      </w:pPr>
      <w:r>
        <w:rPr>
          <w:rFonts w:ascii="Times New Roman" w:hAnsi="Times New Roman"/>
          <w:bCs/>
        </w:rPr>
        <w:t>использовать текст задания для объяснения способа и хода решения математической задачи;</w:t>
      </w:r>
    </w:p>
    <w:p w14:paraId="118A65CE">
      <w:pPr>
        <w:widowControl/>
        <w:tabs>
          <w:tab w:val="left" w:pos="1134"/>
        </w:tabs>
        <w:spacing w:after="0" w:line="360" w:lineRule="auto"/>
        <w:ind w:firstLine="709"/>
        <w:jc w:val="both"/>
        <w:rPr>
          <w:rFonts w:ascii="Times New Roman" w:hAnsi="Times New Roman"/>
          <w:bCs/>
        </w:rPr>
      </w:pPr>
      <w:r>
        <w:rPr>
          <w:rFonts w:ascii="Times New Roman" w:hAnsi="Times New Roman"/>
          <w:bCs/>
        </w:rPr>
        <w:t>комментировать процесс вычисления, построения, решения;</w:t>
      </w:r>
    </w:p>
    <w:p w14:paraId="3F85CB8C">
      <w:pPr>
        <w:widowControl/>
        <w:tabs>
          <w:tab w:val="left" w:pos="1134"/>
        </w:tabs>
        <w:spacing w:after="0" w:line="360" w:lineRule="auto"/>
        <w:ind w:firstLine="709"/>
        <w:jc w:val="both"/>
        <w:rPr>
          <w:rFonts w:ascii="Times New Roman" w:hAnsi="Times New Roman"/>
          <w:bCs/>
        </w:rPr>
      </w:pPr>
      <w:r>
        <w:rPr>
          <w:rFonts w:ascii="Times New Roman" w:hAnsi="Times New Roman"/>
          <w:bCs/>
        </w:rPr>
        <w:t>объяснять полученный ответ с использованием изученной терминологии;</w:t>
      </w:r>
    </w:p>
    <w:p w14:paraId="49E78DB8">
      <w:pPr>
        <w:widowControl/>
        <w:tabs>
          <w:tab w:val="left" w:pos="1134"/>
        </w:tabs>
        <w:spacing w:after="0" w:line="360" w:lineRule="auto"/>
        <w:ind w:firstLine="709"/>
        <w:jc w:val="both"/>
        <w:rPr>
          <w:rFonts w:ascii="Times New Roman" w:hAnsi="Times New Roman"/>
          <w:bCs/>
        </w:rPr>
      </w:pPr>
      <w:r>
        <w:rPr>
          <w:rFonts w:ascii="Times New Roman" w:hAnsi="Times New Roman"/>
          <w:bCs/>
        </w:rPr>
        <w:t>в процессе диалогов по обсуждению изученного материала – задавать вопросы, высказывать суждения, оценивать выступления участников, приводить доказательства своей правоты, проявлять этику общения;</w:t>
      </w:r>
    </w:p>
    <w:p w14:paraId="668546E9">
      <w:pPr>
        <w:widowControl/>
        <w:tabs>
          <w:tab w:val="left" w:pos="1134"/>
        </w:tabs>
        <w:spacing w:after="0" w:line="360" w:lineRule="auto"/>
        <w:ind w:firstLine="709"/>
        <w:jc w:val="both"/>
        <w:rPr>
          <w:rFonts w:ascii="Times New Roman" w:hAnsi="Times New Roman"/>
          <w:bCs/>
        </w:rPr>
      </w:pPr>
      <w:r>
        <w:rPr>
          <w:rFonts w:ascii="Times New Roman" w:hAnsi="Times New Roman"/>
          <w:bCs/>
        </w:rPr>
        <w:t>создавать в соответствии с учебной задачей тексты разного вида – описание (например, геометрической фигуры), рассуждение (к примеру, при решении задачи), инструкция (например, измерение длины отрезка);</w:t>
      </w:r>
    </w:p>
    <w:p w14:paraId="297DF5F9">
      <w:pPr>
        <w:widowControl/>
        <w:tabs>
          <w:tab w:val="left" w:pos="1134"/>
        </w:tabs>
        <w:spacing w:after="0" w:line="360" w:lineRule="auto"/>
        <w:ind w:firstLine="709"/>
        <w:jc w:val="both"/>
        <w:rPr>
          <w:rFonts w:ascii="Times New Roman" w:hAnsi="Times New Roman"/>
          <w:bCs/>
        </w:rPr>
      </w:pPr>
      <w:r>
        <w:rPr>
          <w:rFonts w:ascii="Times New Roman" w:hAnsi="Times New Roman"/>
          <w:bCs/>
        </w:rPr>
        <w:t>ориентироваться в алгоритмах: воспроизводить, дополнять, исправлять деформированные;</w:t>
      </w:r>
    </w:p>
    <w:p w14:paraId="479F110C">
      <w:pPr>
        <w:widowControl/>
        <w:tabs>
          <w:tab w:val="left" w:pos="1134"/>
        </w:tabs>
        <w:spacing w:after="0" w:line="360" w:lineRule="auto"/>
        <w:ind w:firstLine="709"/>
        <w:jc w:val="both"/>
        <w:rPr>
          <w:rFonts w:ascii="Times New Roman" w:hAnsi="Times New Roman"/>
          <w:bCs/>
        </w:rPr>
      </w:pPr>
      <w:r>
        <w:rPr>
          <w:rFonts w:ascii="Times New Roman" w:hAnsi="Times New Roman"/>
          <w:bCs/>
        </w:rPr>
        <w:t>самостоятельно составлять тексты заданий, аналогичные типовым изученным.</w:t>
      </w:r>
    </w:p>
    <w:p w14:paraId="3A17B86F">
      <w:pPr>
        <w:widowControl/>
        <w:tabs>
          <w:tab w:val="left" w:pos="1134"/>
        </w:tabs>
        <w:spacing w:after="0" w:line="360" w:lineRule="auto"/>
        <w:ind w:firstLine="709"/>
        <w:jc w:val="both"/>
        <w:rPr>
          <w:rFonts w:ascii="Times New Roman" w:hAnsi="Times New Roman"/>
          <w:bCs/>
        </w:rPr>
      </w:pPr>
      <w:r>
        <w:rPr>
          <w:rFonts w:ascii="Times New Roman" w:hAnsi="Times New Roman"/>
          <w:bCs/>
        </w:rPr>
        <w:t>10.10.2.5. У обучающегося будут сформированы следующие действия самоорганизации как часть регулятивных универсальных учебных действий:</w:t>
      </w:r>
    </w:p>
    <w:p w14:paraId="61D35007">
      <w:pPr>
        <w:widowControl/>
        <w:tabs>
          <w:tab w:val="left" w:pos="1134"/>
        </w:tabs>
        <w:spacing w:after="0" w:line="360" w:lineRule="auto"/>
        <w:ind w:firstLine="709"/>
        <w:jc w:val="both"/>
        <w:rPr>
          <w:rFonts w:ascii="Times New Roman" w:hAnsi="Times New Roman"/>
          <w:bCs/>
        </w:rPr>
      </w:pPr>
      <w:r>
        <w:rPr>
          <w:rFonts w:ascii="Times New Roman" w:hAnsi="Times New Roman"/>
          <w:bCs/>
        </w:rPr>
        <w:t>планировать действия по решению учебной задачи для получения результата;</w:t>
      </w:r>
    </w:p>
    <w:p w14:paraId="6175F354">
      <w:pPr>
        <w:widowControl/>
        <w:tabs>
          <w:tab w:val="left" w:pos="1134"/>
        </w:tabs>
        <w:spacing w:after="0" w:line="360" w:lineRule="auto"/>
        <w:ind w:firstLine="709"/>
        <w:jc w:val="both"/>
        <w:rPr>
          <w:rFonts w:ascii="Times New Roman" w:hAnsi="Times New Roman"/>
          <w:bCs/>
        </w:rPr>
      </w:pPr>
      <w:r>
        <w:rPr>
          <w:rFonts w:ascii="Times New Roman" w:hAnsi="Times New Roman"/>
          <w:bCs/>
        </w:rPr>
        <w:t>планировать этапы предстоящей работы, определять последовательность учебных действий;</w:t>
      </w:r>
    </w:p>
    <w:p w14:paraId="1920477A">
      <w:pPr>
        <w:widowControl/>
        <w:tabs>
          <w:tab w:val="left" w:pos="1134"/>
        </w:tabs>
        <w:spacing w:after="0" w:line="360" w:lineRule="auto"/>
        <w:ind w:firstLine="709"/>
        <w:jc w:val="both"/>
        <w:rPr>
          <w:rFonts w:ascii="Times New Roman" w:hAnsi="Times New Roman"/>
          <w:bCs/>
        </w:rPr>
      </w:pPr>
      <w:r>
        <w:rPr>
          <w:rFonts w:ascii="Times New Roman" w:hAnsi="Times New Roman"/>
          <w:bCs/>
        </w:rPr>
        <w:t>выполнять правила безопасного использования электронных средств, предлагаемых в процессе обучения.</w:t>
      </w:r>
    </w:p>
    <w:p w14:paraId="1315A328">
      <w:pPr>
        <w:widowControl/>
        <w:tabs>
          <w:tab w:val="left" w:pos="1134"/>
        </w:tabs>
        <w:spacing w:after="0" w:line="360" w:lineRule="auto"/>
        <w:ind w:firstLine="709"/>
        <w:jc w:val="both"/>
        <w:rPr>
          <w:rFonts w:ascii="Times New Roman" w:hAnsi="Times New Roman"/>
          <w:bCs/>
        </w:rPr>
      </w:pPr>
      <w:r>
        <w:rPr>
          <w:rFonts w:ascii="Times New Roman" w:hAnsi="Times New Roman"/>
          <w:bCs/>
        </w:rPr>
        <w:t>10.10.2.6. У обучающегося будут сформированы следующие действия самоконтроля как часть регулятивных универсальных учебных действий:</w:t>
      </w:r>
    </w:p>
    <w:p w14:paraId="68C9CEDD">
      <w:pPr>
        <w:widowControl/>
        <w:tabs>
          <w:tab w:val="left" w:pos="1134"/>
        </w:tabs>
        <w:spacing w:after="0" w:line="360" w:lineRule="auto"/>
        <w:ind w:firstLine="709"/>
        <w:jc w:val="both"/>
        <w:rPr>
          <w:rFonts w:ascii="Times New Roman" w:hAnsi="Times New Roman"/>
          <w:bCs/>
        </w:rPr>
      </w:pPr>
      <w:r>
        <w:rPr>
          <w:rFonts w:ascii="Times New Roman" w:hAnsi="Times New Roman"/>
          <w:bCs/>
        </w:rPr>
        <w:t>осуществлять контроль процесса и результата своей деятельности;</w:t>
      </w:r>
    </w:p>
    <w:p w14:paraId="6C37BEE7">
      <w:pPr>
        <w:widowControl/>
        <w:tabs>
          <w:tab w:val="left" w:pos="1134"/>
        </w:tabs>
        <w:spacing w:after="0" w:line="360" w:lineRule="auto"/>
        <w:ind w:firstLine="709"/>
        <w:jc w:val="both"/>
        <w:rPr>
          <w:rFonts w:ascii="Times New Roman" w:hAnsi="Times New Roman"/>
          <w:bCs/>
        </w:rPr>
      </w:pPr>
      <w:r>
        <w:rPr>
          <w:rFonts w:ascii="Times New Roman" w:hAnsi="Times New Roman"/>
          <w:bCs/>
        </w:rPr>
        <w:t>выбирать и при необходимости корректировать способы действий;</w:t>
      </w:r>
    </w:p>
    <w:p w14:paraId="11F489B2">
      <w:pPr>
        <w:widowControl/>
        <w:tabs>
          <w:tab w:val="left" w:pos="1134"/>
        </w:tabs>
        <w:spacing w:after="0" w:line="360" w:lineRule="auto"/>
        <w:ind w:firstLine="709"/>
        <w:jc w:val="both"/>
        <w:rPr>
          <w:rFonts w:ascii="Times New Roman" w:hAnsi="Times New Roman"/>
          <w:bCs/>
        </w:rPr>
      </w:pPr>
      <w:r>
        <w:rPr>
          <w:rFonts w:ascii="Times New Roman" w:hAnsi="Times New Roman"/>
          <w:bCs/>
        </w:rPr>
        <w:t>находить ошибки в своей работе, устанавливать их причины, вести поиск путей преодоления ошибок;</w:t>
      </w:r>
    </w:p>
    <w:p w14:paraId="3403EFE3">
      <w:pPr>
        <w:widowControl/>
        <w:tabs>
          <w:tab w:val="left" w:pos="1134"/>
        </w:tabs>
        <w:spacing w:after="0" w:line="360" w:lineRule="auto"/>
        <w:ind w:firstLine="709"/>
        <w:jc w:val="both"/>
        <w:rPr>
          <w:rFonts w:ascii="Times New Roman" w:hAnsi="Times New Roman"/>
          <w:bCs/>
        </w:rPr>
      </w:pPr>
      <w:r>
        <w:rPr>
          <w:rFonts w:ascii="Times New Roman" w:hAnsi="Times New Roman"/>
          <w:bCs/>
        </w:rPr>
        <w:t>предвидеть возможность возникновения трудностей и ошибок, предусматривать способы их предупреждения (формулирование вопросов, обращение к учебнику, дополнительным средствам обучения, в том числе электронным);</w:t>
      </w:r>
    </w:p>
    <w:p w14:paraId="0E444973">
      <w:pPr>
        <w:widowControl/>
        <w:tabs>
          <w:tab w:val="left" w:pos="1134"/>
        </w:tabs>
        <w:spacing w:after="0" w:line="360" w:lineRule="auto"/>
        <w:ind w:firstLine="709"/>
        <w:jc w:val="both"/>
        <w:rPr>
          <w:rFonts w:ascii="Times New Roman" w:hAnsi="Times New Roman"/>
          <w:bCs/>
        </w:rPr>
      </w:pPr>
      <w:r>
        <w:rPr>
          <w:rFonts w:ascii="Times New Roman" w:hAnsi="Times New Roman"/>
          <w:bCs/>
        </w:rPr>
        <w:t>оценивать рациональность своих действий, давать им качественную характеристику.</w:t>
      </w:r>
    </w:p>
    <w:p w14:paraId="181ECDC2">
      <w:pPr>
        <w:widowControl/>
        <w:tabs>
          <w:tab w:val="left" w:pos="1134"/>
        </w:tabs>
        <w:spacing w:after="0" w:line="360" w:lineRule="auto"/>
        <w:ind w:firstLine="709"/>
        <w:jc w:val="both"/>
        <w:rPr>
          <w:rFonts w:ascii="Times New Roman" w:hAnsi="Times New Roman"/>
          <w:bCs/>
        </w:rPr>
      </w:pPr>
      <w:r>
        <w:rPr>
          <w:rFonts w:ascii="Times New Roman" w:hAnsi="Times New Roman"/>
          <w:bCs/>
        </w:rPr>
        <w:t xml:space="preserve">10.10.2.7. У обучающегося будут </w:t>
      </w:r>
      <w:r>
        <w:rPr>
          <w:rFonts w:ascii="Times New Roman" w:hAnsi="Times New Roman"/>
        </w:rPr>
        <w:t xml:space="preserve">сформированы умения </w:t>
      </w:r>
      <w:r>
        <w:rPr>
          <w:rFonts w:ascii="Times New Roman" w:hAnsi="Times New Roman"/>
          <w:bCs/>
        </w:rPr>
        <w:t>совместной деятельности:</w:t>
      </w:r>
    </w:p>
    <w:p w14:paraId="3E11EFA1">
      <w:pPr>
        <w:widowControl/>
        <w:tabs>
          <w:tab w:val="left" w:pos="1134"/>
        </w:tabs>
        <w:spacing w:after="0" w:line="360" w:lineRule="auto"/>
        <w:ind w:firstLine="709"/>
        <w:jc w:val="both"/>
        <w:rPr>
          <w:rFonts w:ascii="Times New Roman" w:hAnsi="Times New Roman"/>
          <w:bCs/>
        </w:rPr>
      </w:pPr>
      <w:r>
        <w:rPr>
          <w:rFonts w:ascii="Times New Roman" w:hAnsi="Times New Roman"/>
          <w:bCs/>
        </w:rPr>
        <w:t>участвовать в совместной деятельности: распределять работу между членами группы (например, в случае решения задач, требующих перебора большого количества вариантов, приведения примеров и контрпримеров), согласовывать мнения в ходе поиска доказательств, выбора рационального способа, анализа информации;</w:t>
      </w:r>
    </w:p>
    <w:p w14:paraId="75E8BAC5">
      <w:pPr>
        <w:widowControl/>
        <w:tabs>
          <w:tab w:val="left" w:pos="1134"/>
        </w:tabs>
        <w:spacing w:after="0" w:line="360" w:lineRule="auto"/>
        <w:ind w:firstLine="709"/>
        <w:jc w:val="both"/>
        <w:rPr>
          <w:rFonts w:ascii="Times New Roman" w:hAnsi="Times New Roman"/>
          <w:bCs/>
        </w:rPr>
      </w:pPr>
      <w:r>
        <w:rPr>
          <w:rFonts w:ascii="Times New Roman" w:hAnsi="Times New Roman"/>
          <w:bCs/>
        </w:rPr>
        <w:t>осуществлять совместный контроль и оценку выполняемых действий, предвидеть возможность возникновения ошибок и трудностей, предусматривать пути их предупреждения.</w:t>
      </w:r>
    </w:p>
    <w:p w14:paraId="0A352841">
      <w:pPr>
        <w:widowControl/>
        <w:tabs>
          <w:tab w:val="left" w:pos="1134"/>
        </w:tabs>
        <w:spacing w:after="0" w:line="360" w:lineRule="auto"/>
        <w:ind w:firstLine="709"/>
        <w:jc w:val="both"/>
        <w:rPr>
          <w:rFonts w:ascii="Times New Roman" w:hAnsi="Times New Roman"/>
          <w:bCs/>
        </w:rPr>
      </w:pPr>
      <w:r>
        <w:rPr>
          <w:rFonts w:ascii="Times New Roman" w:hAnsi="Times New Roman"/>
          <w:bCs/>
        </w:rPr>
        <w:t>10.10.3. К концу обучения в 1 классе обучающийся получит следующие предметные результаты по отдельным темам программы по математике:</w:t>
      </w:r>
    </w:p>
    <w:p w14:paraId="1D6061FA">
      <w:pPr>
        <w:widowControl/>
        <w:tabs>
          <w:tab w:val="left" w:pos="1134"/>
        </w:tabs>
        <w:spacing w:after="0" w:line="360" w:lineRule="auto"/>
        <w:ind w:firstLine="709"/>
        <w:jc w:val="both"/>
        <w:rPr>
          <w:rFonts w:ascii="Times New Roman" w:hAnsi="Times New Roman"/>
          <w:bCs/>
        </w:rPr>
      </w:pPr>
      <w:r>
        <w:rPr>
          <w:rFonts w:ascii="Times New Roman" w:hAnsi="Times New Roman"/>
          <w:bCs/>
        </w:rPr>
        <w:t>читать, записывать, сравнивать, упорядочивать числа от 0 до 20;</w:t>
      </w:r>
    </w:p>
    <w:p w14:paraId="2868BA80">
      <w:pPr>
        <w:widowControl/>
        <w:tabs>
          <w:tab w:val="left" w:pos="1134"/>
        </w:tabs>
        <w:spacing w:after="0" w:line="360" w:lineRule="auto"/>
        <w:ind w:firstLine="709"/>
        <w:jc w:val="both"/>
        <w:rPr>
          <w:rFonts w:ascii="Times New Roman" w:hAnsi="Times New Roman"/>
          <w:bCs/>
        </w:rPr>
      </w:pPr>
      <w:r>
        <w:rPr>
          <w:rFonts w:ascii="Times New Roman" w:hAnsi="Times New Roman"/>
          <w:bCs/>
        </w:rPr>
        <w:t>пересчитывать различные объекты, устанавливать порядковый номер объекта;</w:t>
      </w:r>
    </w:p>
    <w:p w14:paraId="48C2D820">
      <w:pPr>
        <w:widowControl/>
        <w:tabs>
          <w:tab w:val="left" w:pos="1134"/>
        </w:tabs>
        <w:spacing w:after="0" w:line="360" w:lineRule="auto"/>
        <w:ind w:firstLine="709"/>
        <w:jc w:val="both"/>
        <w:rPr>
          <w:rFonts w:ascii="Times New Roman" w:hAnsi="Times New Roman"/>
          <w:bCs/>
        </w:rPr>
      </w:pPr>
      <w:r>
        <w:rPr>
          <w:rFonts w:ascii="Times New Roman" w:hAnsi="Times New Roman"/>
          <w:bCs/>
        </w:rPr>
        <w:t>находить числа, большие или меньшие данного числа на заданное число;</w:t>
      </w:r>
    </w:p>
    <w:p w14:paraId="6014D9E2">
      <w:pPr>
        <w:widowControl/>
        <w:tabs>
          <w:tab w:val="left" w:pos="1134"/>
        </w:tabs>
        <w:spacing w:after="0" w:line="360" w:lineRule="auto"/>
        <w:ind w:firstLine="709"/>
        <w:jc w:val="both"/>
        <w:rPr>
          <w:rFonts w:ascii="Times New Roman" w:hAnsi="Times New Roman"/>
          <w:bCs/>
        </w:rPr>
      </w:pPr>
      <w:r>
        <w:rPr>
          <w:rFonts w:ascii="Times New Roman" w:hAnsi="Times New Roman"/>
          <w:bCs/>
        </w:rPr>
        <w:t>выполнять арифметические действия сложения и вычитания в пределах 20 (устно и письменно) без перехода через десяток;</w:t>
      </w:r>
    </w:p>
    <w:p w14:paraId="4705C1E2">
      <w:pPr>
        <w:widowControl/>
        <w:tabs>
          <w:tab w:val="left" w:pos="1134"/>
        </w:tabs>
        <w:spacing w:after="0" w:line="360" w:lineRule="auto"/>
        <w:ind w:firstLine="709"/>
        <w:jc w:val="both"/>
        <w:rPr>
          <w:rFonts w:ascii="Times New Roman" w:hAnsi="Times New Roman"/>
          <w:bCs/>
        </w:rPr>
      </w:pPr>
      <w:r>
        <w:rPr>
          <w:rFonts w:ascii="Times New Roman" w:hAnsi="Times New Roman"/>
          <w:bCs/>
        </w:rPr>
        <w:t>называть и различать компоненты действий сложения (слагаемые, сумма) и вычитания (уменьшаемое, вычитаемое, разность);</w:t>
      </w:r>
    </w:p>
    <w:p w14:paraId="7C349C07">
      <w:pPr>
        <w:widowControl/>
        <w:tabs>
          <w:tab w:val="left" w:pos="1134"/>
        </w:tabs>
        <w:spacing w:after="0" w:line="360" w:lineRule="auto"/>
        <w:ind w:firstLine="709"/>
        <w:jc w:val="both"/>
        <w:rPr>
          <w:rFonts w:ascii="Times New Roman" w:hAnsi="Times New Roman"/>
          <w:bCs/>
        </w:rPr>
      </w:pPr>
      <w:r>
        <w:rPr>
          <w:rFonts w:ascii="Times New Roman" w:hAnsi="Times New Roman"/>
          <w:bCs/>
        </w:rPr>
        <w:t>решать текстовые задачи в одно действие на сложение и вычитание: выделять условие и требование (вопрос);</w:t>
      </w:r>
    </w:p>
    <w:p w14:paraId="0B305A81">
      <w:pPr>
        <w:widowControl/>
        <w:tabs>
          <w:tab w:val="left" w:pos="1134"/>
        </w:tabs>
        <w:spacing w:after="0" w:line="360" w:lineRule="auto"/>
        <w:ind w:firstLine="709"/>
        <w:jc w:val="both"/>
        <w:rPr>
          <w:rFonts w:ascii="Times New Roman" w:hAnsi="Times New Roman"/>
          <w:bCs/>
        </w:rPr>
      </w:pPr>
      <w:r>
        <w:rPr>
          <w:rFonts w:ascii="Times New Roman" w:hAnsi="Times New Roman"/>
          <w:bCs/>
        </w:rPr>
        <w:t>сравнивать объекты по длине, устанавливая между ними соотношение «длиннее-короче», «выше-ниже», «шире-уже»;</w:t>
      </w:r>
    </w:p>
    <w:p w14:paraId="228D7040">
      <w:pPr>
        <w:widowControl/>
        <w:tabs>
          <w:tab w:val="left" w:pos="1134"/>
        </w:tabs>
        <w:spacing w:after="0" w:line="360" w:lineRule="auto"/>
        <w:ind w:firstLine="709"/>
        <w:jc w:val="both"/>
        <w:rPr>
          <w:rFonts w:ascii="Times New Roman" w:hAnsi="Times New Roman"/>
          <w:bCs/>
        </w:rPr>
      </w:pPr>
      <w:r>
        <w:rPr>
          <w:rFonts w:ascii="Times New Roman" w:hAnsi="Times New Roman"/>
          <w:bCs/>
        </w:rPr>
        <w:t>измерять длину отрезка (в см), чертить отрезок заданной длины;</w:t>
      </w:r>
    </w:p>
    <w:p w14:paraId="1E9A341E">
      <w:pPr>
        <w:widowControl/>
        <w:tabs>
          <w:tab w:val="left" w:pos="1134"/>
        </w:tabs>
        <w:spacing w:after="0" w:line="360" w:lineRule="auto"/>
        <w:ind w:firstLine="709"/>
        <w:jc w:val="both"/>
        <w:rPr>
          <w:rFonts w:ascii="Times New Roman" w:hAnsi="Times New Roman"/>
          <w:bCs/>
        </w:rPr>
      </w:pPr>
      <w:r>
        <w:rPr>
          <w:rFonts w:ascii="Times New Roman" w:hAnsi="Times New Roman"/>
          <w:bCs/>
        </w:rPr>
        <w:t>различать число и цифру;</w:t>
      </w:r>
    </w:p>
    <w:p w14:paraId="62B3B055">
      <w:pPr>
        <w:widowControl/>
        <w:tabs>
          <w:tab w:val="left" w:pos="1134"/>
        </w:tabs>
        <w:spacing w:after="0" w:line="360" w:lineRule="auto"/>
        <w:ind w:firstLine="709"/>
        <w:jc w:val="both"/>
        <w:rPr>
          <w:rFonts w:ascii="Times New Roman" w:hAnsi="Times New Roman"/>
          <w:bCs/>
        </w:rPr>
      </w:pPr>
      <w:r>
        <w:rPr>
          <w:rFonts w:ascii="Times New Roman" w:hAnsi="Times New Roman"/>
          <w:bCs/>
        </w:rPr>
        <w:t>распознавать геометрические фигуры: круг, треугольник, прямоугольник (квадрат), отрезок;</w:t>
      </w:r>
    </w:p>
    <w:p w14:paraId="421063C8">
      <w:pPr>
        <w:widowControl/>
        <w:tabs>
          <w:tab w:val="left" w:pos="1134"/>
        </w:tabs>
        <w:spacing w:after="0" w:line="360" w:lineRule="auto"/>
        <w:ind w:firstLine="709"/>
        <w:jc w:val="both"/>
        <w:rPr>
          <w:rFonts w:ascii="Times New Roman" w:hAnsi="Times New Roman"/>
          <w:bCs/>
        </w:rPr>
      </w:pPr>
      <w:r>
        <w:rPr>
          <w:rFonts w:ascii="Times New Roman" w:hAnsi="Times New Roman"/>
          <w:bCs/>
        </w:rPr>
        <w:t>устанавливать между объектами соотношения: «слева-справа», «спереди-сзади», между;</w:t>
      </w:r>
    </w:p>
    <w:p w14:paraId="5B349AFC">
      <w:pPr>
        <w:widowControl/>
        <w:tabs>
          <w:tab w:val="left" w:pos="1134"/>
        </w:tabs>
        <w:spacing w:after="0" w:line="360" w:lineRule="auto"/>
        <w:ind w:firstLine="709"/>
        <w:jc w:val="both"/>
        <w:rPr>
          <w:rFonts w:ascii="Times New Roman" w:hAnsi="Times New Roman"/>
          <w:bCs/>
        </w:rPr>
      </w:pPr>
      <w:r>
        <w:rPr>
          <w:rFonts w:ascii="Times New Roman" w:hAnsi="Times New Roman"/>
          <w:bCs/>
        </w:rPr>
        <w:t>распознавать верные (истинные) и неверные (ложные) утверждения относительно заданного набора объектов/предметов;</w:t>
      </w:r>
    </w:p>
    <w:p w14:paraId="489ABC35">
      <w:pPr>
        <w:widowControl/>
        <w:tabs>
          <w:tab w:val="left" w:pos="1134"/>
        </w:tabs>
        <w:spacing w:after="0" w:line="360" w:lineRule="auto"/>
        <w:ind w:firstLine="709"/>
        <w:jc w:val="both"/>
        <w:rPr>
          <w:rFonts w:ascii="Times New Roman" w:hAnsi="Times New Roman"/>
          <w:bCs/>
        </w:rPr>
      </w:pPr>
      <w:r>
        <w:rPr>
          <w:rFonts w:ascii="Times New Roman" w:hAnsi="Times New Roman"/>
          <w:bCs/>
        </w:rPr>
        <w:t>группировать объекты по заданному признаку, находить и называть закономерности в ряду объектов повседневной жизни;</w:t>
      </w:r>
    </w:p>
    <w:p w14:paraId="6A0E8137">
      <w:pPr>
        <w:widowControl/>
        <w:tabs>
          <w:tab w:val="left" w:pos="1134"/>
        </w:tabs>
        <w:spacing w:after="0" w:line="360" w:lineRule="auto"/>
        <w:ind w:firstLine="709"/>
        <w:jc w:val="both"/>
        <w:rPr>
          <w:rFonts w:ascii="Times New Roman" w:hAnsi="Times New Roman"/>
          <w:bCs/>
        </w:rPr>
      </w:pPr>
      <w:r>
        <w:rPr>
          <w:rFonts w:ascii="Times New Roman" w:hAnsi="Times New Roman"/>
          <w:bCs/>
        </w:rPr>
        <w:t>различать строки и столбцы таблицы, вносить данное в таблицу, извлекать данное или данные из таблицы;</w:t>
      </w:r>
    </w:p>
    <w:p w14:paraId="5D59AC1D">
      <w:pPr>
        <w:widowControl/>
        <w:tabs>
          <w:tab w:val="left" w:pos="1134"/>
        </w:tabs>
        <w:spacing w:after="0" w:line="360" w:lineRule="auto"/>
        <w:ind w:firstLine="709"/>
        <w:jc w:val="both"/>
        <w:rPr>
          <w:rFonts w:ascii="Times New Roman" w:hAnsi="Times New Roman"/>
          <w:bCs/>
        </w:rPr>
      </w:pPr>
      <w:r>
        <w:rPr>
          <w:rFonts w:ascii="Times New Roman" w:hAnsi="Times New Roman"/>
          <w:bCs/>
        </w:rPr>
        <w:t>сравнивать два объекта (числа, геометрические фигуры);</w:t>
      </w:r>
    </w:p>
    <w:p w14:paraId="57A0A944">
      <w:pPr>
        <w:widowControl/>
        <w:tabs>
          <w:tab w:val="left" w:pos="1134"/>
        </w:tabs>
        <w:spacing w:after="0" w:line="360" w:lineRule="auto"/>
        <w:ind w:firstLine="709"/>
        <w:jc w:val="both"/>
        <w:rPr>
          <w:rFonts w:ascii="Times New Roman" w:hAnsi="Times New Roman"/>
          <w:bCs/>
        </w:rPr>
      </w:pPr>
      <w:r>
        <w:rPr>
          <w:rFonts w:ascii="Times New Roman" w:hAnsi="Times New Roman"/>
          <w:bCs/>
        </w:rPr>
        <w:t>распределять объекты на две группы по заданному основанию.</w:t>
      </w:r>
    </w:p>
    <w:p w14:paraId="58A305AB">
      <w:pPr>
        <w:widowControl/>
        <w:tabs>
          <w:tab w:val="left" w:pos="1134"/>
        </w:tabs>
        <w:spacing w:after="0" w:line="360" w:lineRule="auto"/>
        <w:ind w:firstLine="709"/>
        <w:jc w:val="both"/>
        <w:rPr>
          <w:rFonts w:ascii="Times New Roman" w:hAnsi="Times New Roman"/>
          <w:bCs/>
        </w:rPr>
      </w:pPr>
      <w:r>
        <w:rPr>
          <w:rFonts w:ascii="Times New Roman" w:hAnsi="Times New Roman"/>
          <w:bCs/>
        </w:rPr>
        <w:t>10.10.4. К концу обучения во 2 классе обучающийся получит следующие предметные результаты по отдельным темам программы по математике:</w:t>
      </w:r>
    </w:p>
    <w:p w14:paraId="1E05882C">
      <w:pPr>
        <w:widowControl/>
        <w:tabs>
          <w:tab w:val="left" w:pos="1134"/>
        </w:tabs>
        <w:spacing w:after="0" w:line="360" w:lineRule="auto"/>
        <w:ind w:firstLine="709"/>
        <w:jc w:val="both"/>
        <w:rPr>
          <w:rFonts w:ascii="Times New Roman" w:hAnsi="Times New Roman"/>
          <w:bCs/>
        </w:rPr>
      </w:pPr>
      <w:r>
        <w:rPr>
          <w:rFonts w:ascii="Times New Roman" w:hAnsi="Times New Roman"/>
          <w:bCs/>
        </w:rPr>
        <w:t>читать, записывать, сравнивать, упорядочивать числа в пределах 100;</w:t>
      </w:r>
    </w:p>
    <w:p w14:paraId="785DEAE2">
      <w:pPr>
        <w:widowControl/>
        <w:tabs>
          <w:tab w:val="left" w:pos="1134"/>
        </w:tabs>
        <w:spacing w:after="0" w:line="360" w:lineRule="auto"/>
        <w:ind w:firstLine="709"/>
        <w:jc w:val="both"/>
        <w:rPr>
          <w:rFonts w:ascii="Times New Roman" w:hAnsi="Times New Roman"/>
          <w:bCs/>
        </w:rPr>
      </w:pPr>
      <w:r>
        <w:rPr>
          <w:rFonts w:ascii="Times New Roman" w:hAnsi="Times New Roman"/>
          <w:bCs/>
        </w:rPr>
        <w:t>находить число большее или меньшее данного числа на заданное число (в пределах 100), большее данного числа в заданное число раз (в пределах 20);</w:t>
      </w:r>
    </w:p>
    <w:p w14:paraId="668FA20C">
      <w:pPr>
        <w:widowControl/>
        <w:tabs>
          <w:tab w:val="left" w:pos="1134"/>
        </w:tabs>
        <w:spacing w:after="0" w:line="360" w:lineRule="auto"/>
        <w:ind w:firstLine="709"/>
        <w:jc w:val="both"/>
        <w:rPr>
          <w:rFonts w:ascii="Times New Roman" w:hAnsi="Times New Roman"/>
          <w:bCs/>
        </w:rPr>
      </w:pPr>
      <w:r>
        <w:rPr>
          <w:rFonts w:ascii="Times New Roman" w:hAnsi="Times New Roman"/>
          <w:bCs/>
        </w:rPr>
        <w:t>устанавливать и соблюдать порядок при вычислении значения числового выражения (со скобками или без скобок), содержащего действия сложения и вычитания в пределах 100;</w:t>
      </w:r>
    </w:p>
    <w:p w14:paraId="4C17EA7A">
      <w:pPr>
        <w:widowControl/>
        <w:tabs>
          <w:tab w:val="left" w:pos="1134"/>
        </w:tabs>
        <w:spacing w:after="0" w:line="360" w:lineRule="auto"/>
        <w:ind w:firstLine="709"/>
        <w:jc w:val="both"/>
        <w:rPr>
          <w:rFonts w:ascii="Times New Roman" w:hAnsi="Times New Roman"/>
          <w:bCs/>
        </w:rPr>
      </w:pPr>
      <w:r>
        <w:rPr>
          <w:rFonts w:ascii="Times New Roman" w:hAnsi="Times New Roman"/>
          <w:bCs/>
        </w:rPr>
        <w:t>выполнять арифметические действия: сложение и вычитание, в пределах 100 – устно и письменно, умножение и деление в пределах 50 с использованием таблицы умножения;</w:t>
      </w:r>
    </w:p>
    <w:p w14:paraId="692C4C29">
      <w:pPr>
        <w:widowControl/>
        <w:tabs>
          <w:tab w:val="left" w:pos="1134"/>
        </w:tabs>
        <w:spacing w:after="0" w:line="360" w:lineRule="auto"/>
        <w:ind w:firstLine="709"/>
        <w:jc w:val="both"/>
        <w:rPr>
          <w:rFonts w:ascii="Times New Roman" w:hAnsi="Times New Roman"/>
          <w:bCs/>
        </w:rPr>
      </w:pPr>
      <w:r>
        <w:rPr>
          <w:rFonts w:ascii="Times New Roman" w:hAnsi="Times New Roman"/>
          <w:bCs/>
        </w:rPr>
        <w:t>называть и различать компоненты действий умножения (множители, произведение), деления (делимое, делитель, частное);</w:t>
      </w:r>
    </w:p>
    <w:p w14:paraId="186FB0A6">
      <w:pPr>
        <w:widowControl/>
        <w:tabs>
          <w:tab w:val="left" w:pos="1134"/>
        </w:tabs>
        <w:spacing w:after="0" w:line="360" w:lineRule="auto"/>
        <w:ind w:firstLine="709"/>
        <w:jc w:val="both"/>
        <w:rPr>
          <w:rFonts w:ascii="Times New Roman" w:hAnsi="Times New Roman"/>
          <w:bCs/>
        </w:rPr>
      </w:pPr>
      <w:r>
        <w:rPr>
          <w:rFonts w:ascii="Times New Roman" w:hAnsi="Times New Roman"/>
          <w:bCs/>
        </w:rPr>
        <w:t>находить неизвестный компонент сложения, вычитания;</w:t>
      </w:r>
    </w:p>
    <w:p w14:paraId="45D72F82">
      <w:pPr>
        <w:widowControl/>
        <w:tabs>
          <w:tab w:val="left" w:pos="1134"/>
        </w:tabs>
        <w:spacing w:after="0" w:line="360" w:lineRule="auto"/>
        <w:ind w:firstLine="709"/>
        <w:jc w:val="both"/>
        <w:rPr>
          <w:rFonts w:ascii="Times New Roman" w:hAnsi="Times New Roman"/>
          <w:bCs/>
        </w:rPr>
      </w:pPr>
      <w:r>
        <w:rPr>
          <w:rFonts w:ascii="Times New Roman" w:hAnsi="Times New Roman"/>
          <w:bCs/>
        </w:rPr>
        <w:t>использовать при выполнении практических заданий единицы величин длины (сантиметр, дециметр, метр), массы (килограмм), времени (минута, час), стоимости (рубль, копейка);</w:t>
      </w:r>
    </w:p>
    <w:p w14:paraId="79E5E0A1">
      <w:pPr>
        <w:widowControl/>
        <w:tabs>
          <w:tab w:val="left" w:pos="1134"/>
        </w:tabs>
        <w:spacing w:after="0" w:line="360" w:lineRule="auto"/>
        <w:ind w:firstLine="709"/>
        <w:jc w:val="both"/>
        <w:rPr>
          <w:rFonts w:ascii="Times New Roman" w:hAnsi="Times New Roman"/>
          <w:bCs/>
        </w:rPr>
      </w:pPr>
      <w:r>
        <w:rPr>
          <w:rFonts w:ascii="Times New Roman" w:hAnsi="Times New Roman"/>
          <w:bCs/>
        </w:rPr>
        <w:t>определять с помощью измерительных инструментов длину, определять время с помощью часов;</w:t>
      </w:r>
    </w:p>
    <w:p w14:paraId="6869A600">
      <w:pPr>
        <w:widowControl/>
        <w:tabs>
          <w:tab w:val="left" w:pos="1134"/>
        </w:tabs>
        <w:spacing w:after="0" w:line="360" w:lineRule="auto"/>
        <w:ind w:firstLine="709"/>
        <w:jc w:val="both"/>
        <w:rPr>
          <w:rFonts w:ascii="Times New Roman" w:hAnsi="Times New Roman"/>
          <w:bCs/>
        </w:rPr>
      </w:pPr>
      <w:r>
        <w:rPr>
          <w:rFonts w:ascii="Times New Roman" w:hAnsi="Times New Roman"/>
          <w:bCs/>
        </w:rPr>
        <w:t>сравнивать величины длины, массы, времени, стоимости, устанавливая между ними соотношение «больше или меньше на»;</w:t>
      </w:r>
    </w:p>
    <w:p w14:paraId="49636721">
      <w:pPr>
        <w:widowControl/>
        <w:tabs>
          <w:tab w:val="left" w:pos="1134"/>
        </w:tabs>
        <w:spacing w:after="0" w:line="360" w:lineRule="auto"/>
        <w:ind w:firstLine="709"/>
        <w:jc w:val="both"/>
        <w:rPr>
          <w:rFonts w:ascii="Times New Roman" w:hAnsi="Times New Roman"/>
          <w:bCs/>
        </w:rPr>
      </w:pPr>
      <w:r>
        <w:rPr>
          <w:rFonts w:ascii="Times New Roman" w:hAnsi="Times New Roman"/>
          <w:bCs/>
        </w:rPr>
        <w:t>решать текстовые задачи в одно-два действия: представлять задачу (краткая запись, рисунок, таблица или другая модель), планировать ход решения текстовой задачи в два действия, оформлять его в виде арифметического действия или действий, записывать ответ;</w:t>
      </w:r>
    </w:p>
    <w:p w14:paraId="3D646BF2">
      <w:pPr>
        <w:widowControl/>
        <w:tabs>
          <w:tab w:val="left" w:pos="1134"/>
        </w:tabs>
        <w:spacing w:after="0" w:line="360" w:lineRule="auto"/>
        <w:ind w:firstLine="709"/>
        <w:jc w:val="both"/>
        <w:rPr>
          <w:rFonts w:ascii="Times New Roman" w:hAnsi="Times New Roman"/>
          <w:bCs/>
        </w:rPr>
      </w:pPr>
      <w:r>
        <w:rPr>
          <w:rFonts w:ascii="Times New Roman" w:hAnsi="Times New Roman"/>
          <w:bCs/>
        </w:rPr>
        <w:t>различать геометрические фигуры: прямой угол, ломаную, многоугольник;</w:t>
      </w:r>
    </w:p>
    <w:p w14:paraId="6502DB9C">
      <w:pPr>
        <w:widowControl/>
        <w:tabs>
          <w:tab w:val="left" w:pos="1134"/>
        </w:tabs>
        <w:spacing w:after="0" w:line="360" w:lineRule="auto"/>
        <w:ind w:firstLine="709"/>
        <w:jc w:val="both"/>
        <w:rPr>
          <w:rFonts w:ascii="Times New Roman" w:hAnsi="Times New Roman"/>
          <w:bCs/>
        </w:rPr>
      </w:pPr>
      <w:r>
        <w:rPr>
          <w:rFonts w:ascii="Times New Roman" w:hAnsi="Times New Roman"/>
          <w:bCs/>
        </w:rPr>
        <w:t>на бумаге в клетку изображать ломаную, многоугольник, чертить с помощью линейки или угольника прямой угол, прямоугольник с заданными длинами сторон;</w:t>
      </w:r>
    </w:p>
    <w:p w14:paraId="751E26FB">
      <w:pPr>
        <w:widowControl/>
        <w:tabs>
          <w:tab w:val="left" w:pos="1134"/>
        </w:tabs>
        <w:spacing w:after="0" w:line="360" w:lineRule="auto"/>
        <w:ind w:firstLine="709"/>
        <w:jc w:val="both"/>
        <w:rPr>
          <w:rFonts w:ascii="Times New Roman" w:hAnsi="Times New Roman"/>
          <w:bCs/>
        </w:rPr>
      </w:pPr>
      <w:r>
        <w:rPr>
          <w:rFonts w:ascii="Times New Roman" w:hAnsi="Times New Roman"/>
          <w:bCs/>
        </w:rPr>
        <w:t>выполнять измерение длин реальных объектов с помощью линейки;</w:t>
      </w:r>
    </w:p>
    <w:p w14:paraId="519E054D">
      <w:pPr>
        <w:widowControl/>
        <w:tabs>
          <w:tab w:val="left" w:pos="1134"/>
        </w:tabs>
        <w:spacing w:after="0" w:line="360" w:lineRule="auto"/>
        <w:ind w:firstLine="709"/>
        <w:jc w:val="both"/>
        <w:rPr>
          <w:rFonts w:ascii="Times New Roman" w:hAnsi="Times New Roman"/>
          <w:bCs/>
        </w:rPr>
      </w:pPr>
      <w:r>
        <w:rPr>
          <w:rFonts w:ascii="Times New Roman" w:hAnsi="Times New Roman"/>
          <w:bCs/>
        </w:rPr>
        <w:t>находить длину ломаной, состоящей из двух-трёх звеньев, периметр прямоугольника (квадрата);</w:t>
      </w:r>
    </w:p>
    <w:p w14:paraId="01BB87FD">
      <w:pPr>
        <w:widowControl/>
        <w:tabs>
          <w:tab w:val="left" w:pos="1134"/>
        </w:tabs>
        <w:spacing w:after="0" w:line="360" w:lineRule="auto"/>
        <w:ind w:firstLine="709"/>
        <w:jc w:val="both"/>
        <w:rPr>
          <w:rFonts w:ascii="Times New Roman" w:hAnsi="Times New Roman"/>
          <w:bCs/>
        </w:rPr>
      </w:pPr>
      <w:r>
        <w:rPr>
          <w:rFonts w:ascii="Times New Roman" w:hAnsi="Times New Roman"/>
          <w:bCs/>
        </w:rPr>
        <w:t>распознавать верные (истинные) и неверные (ложные) утверждения со словами «все», «каждый»;</w:t>
      </w:r>
    </w:p>
    <w:p w14:paraId="03466EBB">
      <w:pPr>
        <w:widowControl/>
        <w:tabs>
          <w:tab w:val="left" w:pos="1134"/>
        </w:tabs>
        <w:spacing w:after="0" w:line="360" w:lineRule="auto"/>
        <w:ind w:firstLine="709"/>
        <w:jc w:val="both"/>
        <w:rPr>
          <w:rFonts w:ascii="Times New Roman" w:hAnsi="Times New Roman"/>
          <w:bCs/>
        </w:rPr>
      </w:pPr>
      <w:r>
        <w:rPr>
          <w:rFonts w:ascii="Times New Roman" w:hAnsi="Times New Roman"/>
          <w:bCs/>
        </w:rPr>
        <w:t>проводить одно-двухшаговые логические рассуждения и делать выводы;</w:t>
      </w:r>
    </w:p>
    <w:p w14:paraId="32506833">
      <w:pPr>
        <w:widowControl/>
        <w:tabs>
          <w:tab w:val="left" w:pos="1134"/>
        </w:tabs>
        <w:spacing w:after="0" w:line="360" w:lineRule="auto"/>
        <w:ind w:firstLine="709"/>
        <w:jc w:val="both"/>
        <w:rPr>
          <w:rFonts w:ascii="Times New Roman" w:hAnsi="Times New Roman"/>
          <w:bCs/>
        </w:rPr>
      </w:pPr>
      <w:r>
        <w:rPr>
          <w:rFonts w:ascii="Times New Roman" w:hAnsi="Times New Roman"/>
          <w:bCs/>
        </w:rPr>
        <w:t>находить общий признак группы математических объектов (чисел, величин, геометрических фигур);</w:t>
      </w:r>
    </w:p>
    <w:p w14:paraId="69F629D9">
      <w:pPr>
        <w:widowControl/>
        <w:tabs>
          <w:tab w:val="left" w:pos="1134"/>
        </w:tabs>
        <w:spacing w:after="0" w:line="360" w:lineRule="auto"/>
        <w:ind w:firstLine="709"/>
        <w:jc w:val="both"/>
        <w:rPr>
          <w:rFonts w:ascii="Times New Roman" w:hAnsi="Times New Roman"/>
          <w:bCs/>
        </w:rPr>
      </w:pPr>
      <w:r>
        <w:rPr>
          <w:rFonts w:ascii="Times New Roman" w:hAnsi="Times New Roman"/>
          <w:bCs/>
        </w:rPr>
        <w:t>находить закономерность в ряду объектов (чисел, геометрических фигур);</w:t>
      </w:r>
    </w:p>
    <w:p w14:paraId="1040DC02">
      <w:pPr>
        <w:widowControl/>
        <w:tabs>
          <w:tab w:val="left" w:pos="1134"/>
        </w:tabs>
        <w:spacing w:after="0" w:line="360" w:lineRule="auto"/>
        <w:ind w:firstLine="709"/>
        <w:jc w:val="both"/>
        <w:rPr>
          <w:rFonts w:ascii="Times New Roman" w:hAnsi="Times New Roman"/>
          <w:bCs/>
        </w:rPr>
      </w:pPr>
      <w:r>
        <w:rPr>
          <w:rFonts w:ascii="Times New Roman" w:hAnsi="Times New Roman"/>
          <w:bCs/>
        </w:rPr>
        <w:t>представлять информацию в заданной форме: дополнять текст задачи числами, заполнять строку или столбец таблицы, указывать числовые данные на рисунке (изображении геометрических фигур);</w:t>
      </w:r>
    </w:p>
    <w:p w14:paraId="69B19F97">
      <w:pPr>
        <w:widowControl/>
        <w:tabs>
          <w:tab w:val="left" w:pos="1134"/>
        </w:tabs>
        <w:spacing w:after="0" w:line="360" w:lineRule="auto"/>
        <w:ind w:firstLine="709"/>
        <w:jc w:val="both"/>
        <w:rPr>
          <w:rFonts w:ascii="Times New Roman" w:hAnsi="Times New Roman"/>
          <w:bCs/>
        </w:rPr>
      </w:pPr>
      <w:r>
        <w:rPr>
          <w:rFonts w:ascii="Times New Roman" w:hAnsi="Times New Roman"/>
          <w:bCs/>
        </w:rPr>
        <w:t>сравнивать группы объектов (находить общее, различное);</w:t>
      </w:r>
    </w:p>
    <w:p w14:paraId="0BA5DD3A">
      <w:pPr>
        <w:widowControl/>
        <w:tabs>
          <w:tab w:val="left" w:pos="1134"/>
        </w:tabs>
        <w:spacing w:after="0" w:line="360" w:lineRule="auto"/>
        <w:ind w:firstLine="709"/>
        <w:jc w:val="both"/>
        <w:rPr>
          <w:rFonts w:ascii="Times New Roman" w:hAnsi="Times New Roman"/>
          <w:bCs/>
        </w:rPr>
      </w:pPr>
      <w:r>
        <w:rPr>
          <w:rFonts w:ascii="Times New Roman" w:hAnsi="Times New Roman"/>
          <w:bCs/>
        </w:rPr>
        <w:t>находить модели геометрических фигур в окружающем мире;</w:t>
      </w:r>
    </w:p>
    <w:p w14:paraId="293AB9DF">
      <w:pPr>
        <w:widowControl/>
        <w:tabs>
          <w:tab w:val="left" w:pos="1134"/>
        </w:tabs>
        <w:spacing w:after="0" w:line="360" w:lineRule="auto"/>
        <w:ind w:firstLine="709"/>
        <w:jc w:val="both"/>
        <w:rPr>
          <w:rFonts w:ascii="Times New Roman" w:hAnsi="Times New Roman"/>
          <w:bCs/>
        </w:rPr>
      </w:pPr>
      <w:r>
        <w:rPr>
          <w:rFonts w:ascii="Times New Roman" w:hAnsi="Times New Roman"/>
          <w:bCs/>
        </w:rPr>
        <w:t>подбирать примеры, подтверждающие суждение, ответ;</w:t>
      </w:r>
    </w:p>
    <w:p w14:paraId="4EC78901">
      <w:pPr>
        <w:widowControl/>
        <w:tabs>
          <w:tab w:val="left" w:pos="1134"/>
        </w:tabs>
        <w:spacing w:after="0" w:line="360" w:lineRule="auto"/>
        <w:ind w:firstLine="709"/>
        <w:jc w:val="both"/>
        <w:rPr>
          <w:rFonts w:ascii="Times New Roman" w:hAnsi="Times New Roman"/>
          <w:bCs/>
        </w:rPr>
      </w:pPr>
      <w:r>
        <w:rPr>
          <w:rFonts w:ascii="Times New Roman" w:hAnsi="Times New Roman"/>
          <w:bCs/>
        </w:rPr>
        <w:t>составлять (дополнять) текстовую задачу;</w:t>
      </w:r>
    </w:p>
    <w:p w14:paraId="70CF89A0">
      <w:pPr>
        <w:widowControl/>
        <w:tabs>
          <w:tab w:val="left" w:pos="1134"/>
        </w:tabs>
        <w:spacing w:after="0" w:line="360" w:lineRule="auto"/>
        <w:ind w:firstLine="709"/>
        <w:jc w:val="both"/>
        <w:rPr>
          <w:rFonts w:ascii="Times New Roman" w:hAnsi="Times New Roman"/>
          <w:bCs/>
        </w:rPr>
      </w:pPr>
      <w:r>
        <w:rPr>
          <w:rFonts w:ascii="Times New Roman" w:hAnsi="Times New Roman"/>
          <w:bCs/>
        </w:rPr>
        <w:t>проверять правильность вычисления, измерения.</w:t>
      </w:r>
    </w:p>
    <w:p w14:paraId="6D63FC44">
      <w:pPr>
        <w:widowControl/>
        <w:tabs>
          <w:tab w:val="left" w:pos="1134"/>
        </w:tabs>
        <w:spacing w:after="0" w:line="360" w:lineRule="auto"/>
        <w:ind w:firstLine="709"/>
        <w:jc w:val="both"/>
        <w:rPr>
          <w:rFonts w:ascii="Times New Roman" w:hAnsi="Times New Roman"/>
          <w:bCs/>
        </w:rPr>
      </w:pPr>
      <w:r>
        <w:rPr>
          <w:rFonts w:ascii="Times New Roman" w:hAnsi="Times New Roman"/>
          <w:bCs/>
        </w:rPr>
        <w:t>10.10.5. К концу обучения в 3 классе обучающийся получит следующие предметные результаты по отдельным темам программы по математике:</w:t>
      </w:r>
    </w:p>
    <w:p w14:paraId="2839E852">
      <w:pPr>
        <w:widowControl/>
        <w:tabs>
          <w:tab w:val="left" w:pos="1134"/>
        </w:tabs>
        <w:spacing w:after="0" w:line="360" w:lineRule="auto"/>
        <w:ind w:firstLine="709"/>
        <w:jc w:val="both"/>
        <w:rPr>
          <w:rFonts w:ascii="Times New Roman" w:hAnsi="Times New Roman"/>
          <w:bCs/>
        </w:rPr>
      </w:pPr>
      <w:r>
        <w:rPr>
          <w:rFonts w:ascii="Times New Roman" w:hAnsi="Times New Roman"/>
          <w:bCs/>
        </w:rPr>
        <w:t>читать, записывать, сравнивать, упорядочивать числа в пределах 1000;</w:t>
      </w:r>
    </w:p>
    <w:p w14:paraId="3EBEBFD8">
      <w:pPr>
        <w:widowControl/>
        <w:tabs>
          <w:tab w:val="left" w:pos="1134"/>
        </w:tabs>
        <w:spacing w:after="0" w:line="360" w:lineRule="auto"/>
        <w:ind w:firstLine="709"/>
        <w:jc w:val="both"/>
        <w:rPr>
          <w:rFonts w:ascii="Times New Roman" w:hAnsi="Times New Roman"/>
          <w:bCs/>
        </w:rPr>
      </w:pPr>
      <w:r>
        <w:rPr>
          <w:rFonts w:ascii="Times New Roman" w:hAnsi="Times New Roman"/>
          <w:bCs/>
        </w:rPr>
        <w:t>находить число большее или меньшее данного числа на заданное число, в заданное число раз (в пределах 1000);</w:t>
      </w:r>
    </w:p>
    <w:p w14:paraId="6380478A">
      <w:pPr>
        <w:widowControl/>
        <w:tabs>
          <w:tab w:val="left" w:pos="1134"/>
        </w:tabs>
        <w:spacing w:after="0" w:line="360" w:lineRule="auto"/>
        <w:ind w:firstLine="709"/>
        <w:jc w:val="both"/>
        <w:rPr>
          <w:rFonts w:ascii="Times New Roman" w:hAnsi="Times New Roman"/>
          <w:bCs/>
        </w:rPr>
      </w:pPr>
      <w:r>
        <w:rPr>
          <w:rFonts w:ascii="Times New Roman" w:hAnsi="Times New Roman"/>
          <w:bCs/>
        </w:rPr>
        <w:t>выполнять арифметические действия: сложение и вычитание (в пределах 100 – устно, в пределах 1000 – письменно), умножение и деление на однозначное число, деление с остатком (в пределах 100 – устно и письменно);</w:t>
      </w:r>
    </w:p>
    <w:p w14:paraId="0ED5E131">
      <w:pPr>
        <w:widowControl/>
        <w:tabs>
          <w:tab w:val="left" w:pos="1134"/>
        </w:tabs>
        <w:spacing w:after="0" w:line="360" w:lineRule="auto"/>
        <w:ind w:firstLine="709"/>
        <w:jc w:val="both"/>
        <w:rPr>
          <w:rFonts w:ascii="Times New Roman" w:hAnsi="Times New Roman"/>
          <w:bCs/>
        </w:rPr>
      </w:pPr>
      <w:r>
        <w:rPr>
          <w:rFonts w:ascii="Times New Roman" w:hAnsi="Times New Roman"/>
          <w:bCs/>
        </w:rPr>
        <w:t>выполнять действия умножение и деление с числами 0 и 1;</w:t>
      </w:r>
    </w:p>
    <w:p w14:paraId="4F8FE034">
      <w:pPr>
        <w:widowControl/>
        <w:tabs>
          <w:tab w:val="left" w:pos="1134"/>
        </w:tabs>
        <w:spacing w:after="0" w:line="360" w:lineRule="auto"/>
        <w:ind w:firstLine="709"/>
        <w:jc w:val="both"/>
        <w:rPr>
          <w:rFonts w:ascii="Times New Roman" w:hAnsi="Times New Roman"/>
          <w:bCs/>
        </w:rPr>
      </w:pPr>
      <w:r>
        <w:rPr>
          <w:rFonts w:ascii="Times New Roman" w:hAnsi="Times New Roman"/>
          <w:bCs/>
        </w:rPr>
        <w:t>устанавливать и соблюдать порядок действий при вычислении значения числового выражения (со скобками или без скобок), содержащего арифметические действия сложения, вычитания, умножения и деления;</w:t>
      </w:r>
    </w:p>
    <w:p w14:paraId="2A128E6F">
      <w:pPr>
        <w:widowControl/>
        <w:tabs>
          <w:tab w:val="left" w:pos="1134"/>
        </w:tabs>
        <w:spacing w:after="0" w:line="360" w:lineRule="auto"/>
        <w:ind w:firstLine="709"/>
        <w:jc w:val="both"/>
        <w:rPr>
          <w:rFonts w:ascii="Times New Roman" w:hAnsi="Times New Roman"/>
          <w:bCs/>
        </w:rPr>
      </w:pPr>
      <w:r>
        <w:rPr>
          <w:rFonts w:ascii="Times New Roman" w:hAnsi="Times New Roman"/>
          <w:bCs/>
        </w:rPr>
        <w:t>использовать при вычислениях переместительное и сочетательное свойства сложения;</w:t>
      </w:r>
    </w:p>
    <w:p w14:paraId="5340BBD9">
      <w:pPr>
        <w:widowControl/>
        <w:tabs>
          <w:tab w:val="left" w:pos="1134"/>
        </w:tabs>
        <w:spacing w:after="0" w:line="360" w:lineRule="auto"/>
        <w:ind w:firstLine="709"/>
        <w:jc w:val="both"/>
        <w:rPr>
          <w:rFonts w:ascii="Times New Roman" w:hAnsi="Times New Roman"/>
          <w:bCs/>
        </w:rPr>
      </w:pPr>
      <w:r>
        <w:rPr>
          <w:rFonts w:ascii="Times New Roman" w:hAnsi="Times New Roman"/>
          <w:bCs/>
        </w:rPr>
        <w:t>находить неизвестный компонент арифметического действия;</w:t>
      </w:r>
    </w:p>
    <w:p w14:paraId="1E7D3356">
      <w:pPr>
        <w:widowControl/>
        <w:tabs>
          <w:tab w:val="left" w:pos="1134"/>
        </w:tabs>
        <w:spacing w:after="0" w:line="360" w:lineRule="auto"/>
        <w:ind w:firstLine="709"/>
        <w:jc w:val="both"/>
        <w:rPr>
          <w:rFonts w:ascii="Times New Roman" w:hAnsi="Times New Roman"/>
          <w:bCs/>
        </w:rPr>
      </w:pPr>
      <w:r>
        <w:rPr>
          <w:rFonts w:ascii="Times New Roman" w:hAnsi="Times New Roman"/>
          <w:bCs/>
        </w:rPr>
        <w:t>использовать при выполнении практических заданий и решении задач единицы: длины (миллиметр, сантиметр, дециметр, метр, километр), массы (грамм, килограмм), времени (минута, час, секунда), стоимости (копейка, рубль);</w:t>
      </w:r>
    </w:p>
    <w:p w14:paraId="57AC138E">
      <w:pPr>
        <w:widowControl/>
        <w:tabs>
          <w:tab w:val="left" w:pos="1134"/>
        </w:tabs>
        <w:spacing w:after="0" w:line="360" w:lineRule="auto"/>
        <w:ind w:firstLine="709"/>
        <w:jc w:val="both"/>
        <w:rPr>
          <w:rFonts w:ascii="Times New Roman" w:hAnsi="Times New Roman"/>
          <w:bCs/>
        </w:rPr>
      </w:pPr>
      <w:r>
        <w:rPr>
          <w:rFonts w:ascii="Times New Roman" w:hAnsi="Times New Roman"/>
          <w:bCs/>
        </w:rPr>
        <w:t>определять с помощью цифровых и аналоговых приборов, измерительных инструментов длину (массу, время), выполнять прикидку и оценку результата измерений, определять продолжительность события;</w:t>
      </w:r>
    </w:p>
    <w:p w14:paraId="38244340">
      <w:pPr>
        <w:widowControl/>
        <w:tabs>
          <w:tab w:val="left" w:pos="1134"/>
        </w:tabs>
        <w:spacing w:after="0" w:line="360" w:lineRule="auto"/>
        <w:ind w:firstLine="709"/>
        <w:jc w:val="both"/>
        <w:rPr>
          <w:rFonts w:ascii="Times New Roman" w:hAnsi="Times New Roman"/>
          <w:bCs/>
        </w:rPr>
      </w:pPr>
      <w:r>
        <w:rPr>
          <w:rFonts w:ascii="Times New Roman" w:hAnsi="Times New Roman"/>
          <w:bCs/>
        </w:rPr>
        <w:t>сравнивать величины длины, площади, массы, времени, стоимости, устанавливая между ними соотношение «больше или меньше на или в»;</w:t>
      </w:r>
    </w:p>
    <w:p w14:paraId="5CC6F60C">
      <w:pPr>
        <w:widowControl/>
        <w:tabs>
          <w:tab w:val="left" w:pos="1134"/>
        </w:tabs>
        <w:spacing w:after="0" w:line="360" w:lineRule="auto"/>
        <w:ind w:firstLine="709"/>
        <w:jc w:val="both"/>
        <w:rPr>
          <w:rFonts w:ascii="Times New Roman" w:hAnsi="Times New Roman"/>
          <w:bCs/>
        </w:rPr>
      </w:pPr>
      <w:r>
        <w:rPr>
          <w:rFonts w:ascii="Times New Roman" w:hAnsi="Times New Roman"/>
          <w:bCs/>
        </w:rPr>
        <w:t>называть, находить долю величины (половина, четверть);</w:t>
      </w:r>
    </w:p>
    <w:p w14:paraId="6B82605B">
      <w:pPr>
        <w:widowControl/>
        <w:tabs>
          <w:tab w:val="left" w:pos="1134"/>
        </w:tabs>
        <w:spacing w:after="0" w:line="360" w:lineRule="auto"/>
        <w:ind w:firstLine="709"/>
        <w:jc w:val="both"/>
        <w:rPr>
          <w:rFonts w:ascii="Times New Roman" w:hAnsi="Times New Roman"/>
          <w:bCs/>
        </w:rPr>
      </w:pPr>
      <w:r>
        <w:rPr>
          <w:rFonts w:ascii="Times New Roman" w:hAnsi="Times New Roman"/>
          <w:bCs/>
        </w:rPr>
        <w:t>сравнивать величины, выраженные долями;</w:t>
      </w:r>
    </w:p>
    <w:p w14:paraId="06F59D7B">
      <w:pPr>
        <w:widowControl/>
        <w:tabs>
          <w:tab w:val="left" w:pos="1134"/>
        </w:tabs>
        <w:spacing w:after="0" w:line="360" w:lineRule="auto"/>
        <w:ind w:firstLine="709"/>
        <w:jc w:val="both"/>
        <w:rPr>
          <w:rFonts w:ascii="Times New Roman" w:hAnsi="Times New Roman"/>
          <w:bCs/>
        </w:rPr>
      </w:pPr>
      <w:r>
        <w:rPr>
          <w:rFonts w:ascii="Times New Roman" w:hAnsi="Times New Roman"/>
          <w:bCs/>
        </w:rPr>
        <w:t xml:space="preserve">использовать при решении задач и в практических ситуациях (покупка товара, определение времени, выполнение расчётов) соотношение между величинами; </w:t>
      </w:r>
    </w:p>
    <w:p w14:paraId="7D7575F2">
      <w:pPr>
        <w:widowControl/>
        <w:tabs>
          <w:tab w:val="left" w:pos="1134"/>
        </w:tabs>
        <w:spacing w:after="0" w:line="360" w:lineRule="auto"/>
        <w:ind w:firstLine="709"/>
        <w:jc w:val="both"/>
        <w:rPr>
          <w:rFonts w:ascii="Times New Roman" w:hAnsi="Times New Roman"/>
          <w:bCs/>
        </w:rPr>
      </w:pPr>
      <w:r>
        <w:rPr>
          <w:rFonts w:ascii="Times New Roman" w:hAnsi="Times New Roman"/>
          <w:bCs/>
        </w:rPr>
        <w:t>при решении задач выполнять сложение и вычитание однородных величин, умножение и деление величины на однозначное число;</w:t>
      </w:r>
    </w:p>
    <w:p w14:paraId="2AB67FA8">
      <w:pPr>
        <w:widowControl/>
        <w:tabs>
          <w:tab w:val="left" w:pos="1134"/>
        </w:tabs>
        <w:spacing w:after="0" w:line="360" w:lineRule="auto"/>
        <w:ind w:firstLine="709"/>
        <w:jc w:val="both"/>
        <w:rPr>
          <w:rFonts w:ascii="Times New Roman" w:hAnsi="Times New Roman"/>
          <w:bCs/>
        </w:rPr>
      </w:pPr>
      <w:r>
        <w:rPr>
          <w:rFonts w:ascii="Times New Roman" w:hAnsi="Times New Roman"/>
          <w:bCs/>
        </w:rPr>
        <w:t>решать задачи в одно-два действия: представлять текст задачи, планировать ход решения, записывать решение и ответ, анализировать решение (искать другой способ решения), оценивать ответ (устанавливать его реалистичность, проверять вычисления);</w:t>
      </w:r>
    </w:p>
    <w:p w14:paraId="5CE34595">
      <w:pPr>
        <w:widowControl/>
        <w:tabs>
          <w:tab w:val="left" w:pos="1134"/>
        </w:tabs>
        <w:spacing w:after="0" w:line="360" w:lineRule="auto"/>
        <w:ind w:firstLine="709"/>
        <w:jc w:val="both"/>
        <w:rPr>
          <w:rFonts w:ascii="Times New Roman" w:hAnsi="Times New Roman"/>
          <w:bCs/>
        </w:rPr>
      </w:pPr>
      <w:r>
        <w:rPr>
          <w:rFonts w:ascii="Times New Roman" w:hAnsi="Times New Roman"/>
          <w:bCs/>
        </w:rPr>
        <w:t>конструировать прямоугольник из данных фигур (квадратов), делить прямоугольник, многоугольник на заданные части;</w:t>
      </w:r>
    </w:p>
    <w:p w14:paraId="4010B0F2">
      <w:pPr>
        <w:widowControl/>
        <w:tabs>
          <w:tab w:val="left" w:pos="1134"/>
        </w:tabs>
        <w:spacing w:after="0" w:line="360" w:lineRule="auto"/>
        <w:ind w:firstLine="709"/>
        <w:jc w:val="both"/>
        <w:rPr>
          <w:rFonts w:ascii="Times New Roman" w:hAnsi="Times New Roman"/>
          <w:bCs/>
        </w:rPr>
      </w:pPr>
      <w:r>
        <w:rPr>
          <w:rFonts w:ascii="Times New Roman" w:hAnsi="Times New Roman"/>
          <w:bCs/>
        </w:rPr>
        <w:t>сравнивать фигуры по площади (наложение, сопоставление числовых значений);</w:t>
      </w:r>
    </w:p>
    <w:p w14:paraId="4749755C">
      <w:pPr>
        <w:widowControl/>
        <w:tabs>
          <w:tab w:val="left" w:pos="1134"/>
        </w:tabs>
        <w:spacing w:after="0" w:line="360" w:lineRule="auto"/>
        <w:ind w:firstLine="709"/>
        <w:jc w:val="both"/>
        <w:rPr>
          <w:rFonts w:ascii="Times New Roman" w:hAnsi="Times New Roman"/>
          <w:bCs/>
        </w:rPr>
      </w:pPr>
      <w:r>
        <w:rPr>
          <w:rFonts w:ascii="Times New Roman" w:hAnsi="Times New Roman"/>
          <w:bCs/>
        </w:rPr>
        <w:t>находить периметр прямоугольника (квадрата), площадь прямоугольника (квадрата);</w:t>
      </w:r>
    </w:p>
    <w:p w14:paraId="44DF5BF5">
      <w:pPr>
        <w:widowControl/>
        <w:tabs>
          <w:tab w:val="left" w:pos="1134"/>
        </w:tabs>
        <w:spacing w:after="0" w:line="360" w:lineRule="auto"/>
        <w:ind w:firstLine="709"/>
        <w:jc w:val="both"/>
        <w:rPr>
          <w:rFonts w:ascii="Times New Roman" w:hAnsi="Times New Roman"/>
          <w:bCs/>
        </w:rPr>
      </w:pPr>
      <w:r>
        <w:rPr>
          <w:rFonts w:ascii="Times New Roman" w:hAnsi="Times New Roman"/>
          <w:bCs/>
        </w:rPr>
        <w:t>распознавать верные (истинные) и неверные (ложные) утверждения со словами: «все», «некоторые», «и», «каждый», «если…, то…»;</w:t>
      </w:r>
    </w:p>
    <w:p w14:paraId="58F076A4">
      <w:pPr>
        <w:widowControl/>
        <w:tabs>
          <w:tab w:val="left" w:pos="1134"/>
        </w:tabs>
        <w:spacing w:after="0" w:line="360" w:lineRule="auto"/>
        <w:ind w:firstLine="709"/>
        <w:jc w:val="both"/>
        <w:rPr>
          <w:rFonts w:ascii="Times New Roman" w:hAnsi="Times New Roman"/>
          <w:bCs/>
        </w:rPr>
      </w:pPr>
      <w:r>
        <w:rPr>
          <w:rFonts w:ascii="Times New Roman" w:hAnsi="Times New Roman"/>
          <w:bCs/>
        </w:rPr>
        <w:t>формулировать утверждение (вывод), строить логические рассуждения (одно-двухшаговые), в том числе с использованием изученных связок;</w:t>
      </w:r>
    </w:p>
    <w:p w14:paraId="31069817">
      <w:pPr>
        <w:widowControl/>
        <w:tabs>
          <w:tab w:val="left" w:pos="1134"/>
        </w:tabs>
        <w:spacing w:after="0" w:line="360" w:lineRule="auto"/>
        <w:ind w:firstLine="709"/>
        <w:jc w:val="both"/>
        <w:rPr>
          <w:rFonts w:ascii="Times New Roman" w:hAnsi="Times New Roman"/>
          <w:bCs/>
        </w:rPr>
      </w:pPr>
      <w:r>
        <w:rPr>
          <w:rFonts w:ascii="Times New Roman" w:hAnsi="Times New Roman"/>
          <w:bCs/>
        </w:rPr>
        <w:t>классифицировать объекты по одному-двум признакам;</w:t>
      </w:r>
    </w:p>
    <w:p w14:paraId="4C3DDA4B">
      <w:pPr>
        <w:widowControl/>
        <w:tabs>
          <w:tab w:val="left" w:pos="1134"/>
        </w:tabs>
        <w:spacing w:after="0" w:line="360" w:lineRule="auto"/>
        <w:ind w:firstLine="709"/>
        <w:jc w:val="both"/>
        <w:rPr>
          <w:rFonts w:ascii="Times New Roman" w:hAnsi="Times New Roman"/>
          <w:bCs/>
        </w:rPr>
      </w:pPr>
      <w:r>
        <w:rPr>
          <w:rFonts w:ascii="Times New Roman" w:hAnsi="Times New Roman"/>
          <w:bCs/>
        </w:rPr>
        <w:t>извлекать, использовать информацию, представленную на простейших диаграммах, в таблицах (например, расписание, режим работы), на предметах повседневной жизни (например, ярлык, этикетка), а также структурировать информацию: заполнять простейшие таблицы;</w:t>
      </w:r>
    </w:p>
    <w:p w14:paraId="26E9FD78">
      <w:pPr>
        <w:widowControl/>
        <w:tabs>
          <w:tab w:val="left" w:pos="1134"/>
        </w:tabs>
        <w:spacing w:after="0" w:line="360" w:lineRule="auto"/>
        <w:ind w:firstLine="709"/>
        <w:jc w:val="both"/>
        <w:rPr>
          <w:rFonts w:ascii="Times New Roman" w:hAnsi="Times New Roman"/>
          <w:bCs/>
        </w:rPr>
      </w:pPr>
      <w:r>
        <w:rPr>
          <w:rFonts w:ascii="Times New Roman" w:hAnsi="Times New Roman"/>
          <w:bCs/>
        </w:rPr>
        <w:t>составлять план выполнения учебного задания и следовать ему, выполнять действия по алгоритму;</w:t>
      </w:r>
    </w:p>
    <w:p w14:paraId="026E935D">
      <w:pPr>
        <w:widowControl/>
        <w:tabs>
          <w:tab w:val="left" w:pos="1134"/>
        </w:tabs>
        <w:spacing w:after="0" w:line="360" w:lineRule="auto"/>
        <w:ind w:firstLine="709"/>
        <w:jc w:val="both"/>
        <w:rPr>
          <w:rFonts w:ascii="Times New Roman" w:hAnsi="Times New Roman"/>
          <w:bCs/>
        </w:rPr>
      </w:pPr>
      <w:r>
        <w:rPr>
          <w:rFonts w:ascii="Times New Roman" w:hAnsi="Times New Roman"/>
          <w:bCs/>
        </w:rPr>
        <w:t>сравнивать математические объекты (находить общее, различное, уникальное);</w:t>
      </w:r>
    </w:p>
    <w:p w14:paraId="31309A37">
      <w:pPr>
        <w:widowControl/>
        <w:tabs>
          <w:tab w:val="left" w:pos="1134"/>
        </w:tabs>
        <w:spacing w:after="0" w:line="360" w:lineRule="auto"/>
        <w:ind w:firstLine="709"/>
        <w:jc w:val="both"/>
        <w:rPr>
          <w:rFonts w:ascii="Times New Roman" w:hAnsi="Times New Roman"/>
          <w:bCs/>
        </w:rPr>
      </w:pPr>
      <w:r>
        <w:rPr>
          <w:rFonts w:ascii="Times New Roman" w:hAnsi="Times New Roman"/>
          <w:bCs/>
        </w:rPr>
        <w:t>выбирать верное решение математической задачи.</w:t>
      </w:r>
    </w:p>
    <w:p w14:paraId="651CE9D9">
      <w:pPr>
        <w:widowControl/>
        <w:tabs>
          <w:tab w:val="left" w:pos="1134"/>
        </w:tabs>
        <w:spacing w:after="0" w:line="360" w:lineRule="auto"/>
        <w:ind w:firstLine="709"/>
        <w:jc w:val="both"/>
        <w:rPr>
          <w:rFonts w:ascii="Times New Roman" w:hAnsi="Times New Roman"/>
          <w:bCs/>
        </w:rPr>
      </w:pPr>
      <w:r>
        <w:rPr>
          <w:rFonts w:ascii="Times New Roman" w:hAnsi="Times New Roman"/>
          <w:bCs/>
        </w:rPr>
        <w:t>10.10.6. К концу обучения в 4 классе обучающийся получит следующие предметные результаты по отдельным темам программы по математике:</w:t>
      </w:r>
    </w:p>
    <w:p w14:paraId="5979CB8E">
      <w:pPr>
        <w:widowControl/>
        <w:tabs>
          <w:tab w:val="left" w:pos="1134"/>
        </w:tabs>
        <w:spacing w:after="0" w:line="360" w:lineRule="auto"/>
        <w:ind w:firstLine="709"/>
        <w:jc w:val="both"/>
        <w:rPr>
          <w:rFonts w:ascii="Times New Roman" w:hAnsi="Times New Roman"/>
          <w:bCs/>
        </w:rPr>
      </w:pPr>
      <w:r>
        <w:rPr>
          <w:rFonts w:ascii="Times New Roman" w:hAnsi="Times New Roman"/>
          <w:bCs/>
        </w:rPr>
        <w:t>читать, записывать, сравнивать, упорядочивать многозначные числа;</w:t>
      </w:r>
    </w:p>
    <w:p w14:paraId="3E0CAEAF">
      <w:pPr>
        <w:widowControl/>
        <w:tabs>
          <w:tab w:val="left" w:pos="1134"/>
        </w:tabs>
        <w:spacing w:after="0" w:line="360" w:lineRule="auto"/>
        <w:ind w:firstLine="709"/>
        <w:jc w:val="both"/>
        <w:rPr>
          <w:rFonts w:ascii="Times New Roman" w:hAnsi="Times New Roman"/>
          <w:bCs/>
        </w:rPr>
      </w:pPr>
      <w:r>
        <w:rPr>
          <w:rFonts w:ascii="Times New Roman" w:hAnsi="Times New Roman"/>
          <w:bCs/>
        </w:rPr>
        <w:t>находить число большее или меньшее данного числа на заданное число, в заданное число раз;</w:t>
      </w:r>
    </w:p>
    <w:p w14:paraId="2F9E0777">
      <w:pPr>
        <w:widowControl/>
        <w:tabs>
          <w:tab w:val="left" w:pos="1134"/>
        </w:tabs>
        <w:spacing w:after="0" w:line="360" w:lineRule="auto"/>
        <w:ind w:firstLine="709"/>
        <w:jc w:val="both"/>
        <w:rPr>
          <w:rFonts w:ascii="Times New Roman" w:hAnsi="Times New Roman"/>
          <w:bCs/>
        </w:rPr>
      </w:pPr>
      <w:r>
        <w:rPr>
          <w:rFonts w:ascii="Times New Roman" w:hAnsi="Times New Roman"/>
          <w:bCs/>
        </w:rPr>
        <w:t>выполнять арифметические действия: сложение и вычитание с многозначными числами письменно (в пределах 100 – устно), умножение и деление многозначного числа на однозначное, двузначное число письменно (в пределах 100 – устно), деление с остатком – письменно (в пределах 1000);</w:t>
      </w:r>
    </w:p>
    <w:p w14:paraId="36D25D1A">
      <w:pPr>
        <w:widowControl/>
        <w:tabs>
          <w:tab w:val="left" w:pos="1134"/>
        </w:tabs>
        <w:spacing w:after="0" w:line="360" w:lineRule="auto"/>
        <w:ind w:firstLine="709"/>
        <w:jc w:val="both"/>
        <w:rPr>
          <w:rFonts w:ascii="Times New Roman" w:hAnsi="Times New Roman"/>
          <w:bCs/>
        </w:rPr>
      </w:pPr>
      <w:r>
        <w:rPr>
          <w:rFonts w:ascii="Times New Roman" w:hAnsi="Times New Roman"/>
          <w:bCs/>
        </w:rPr>
        <w:t>вычислять значение числового выражения (со скобками или без скобок), содержащего 2–4 арифметических действия, использовать при вычислениях изученные свойства арифметических действий;</w:t>
      </w:r>
    </w:p>
    <w:p w14:paraId="0033B4E1">
      <w:pPr>
        <w:widowControl/>
        <w:tabs>
          <w:tab w:val="left" w:pos="1134"/>
        </w:tabs>
        <w:spacing w:after="0" w:line="360" w:lineRule="auto"/>
        <w:ind w:firstLine="709"/>
        <w:jc w:val="both"/>
        <w:rPr>
          <w:rFonts w:ascii="Times New Roman" w:hAnsi="Times New Roman"/>
          <w:bCs/>
        </w:rPr>
      </w:pPr>
      <w:r>
        <w:rPr>
          <w:rFonts w:ascii="Times New Roman" w:hAnsi="Times New Roman"/>
          <w:bCs/>
        </w:rPr>
        <w:t>выполнять прикидку результата вычислений, проверку полученного ответа по критериям: достоверность (реальность), соответствие правилу (алгоритму), а также с помощью калькулятора;</w:t>
      </w:r>
    </w:p>
    <w:p w14:paraId="34785396">
      <w:pPr>
        <w:widowControl/>
        <w:tabs>
          <w:tab w:val="left" w:pos="1134"/>
        </w:tabs>
        <w:spacing w:after="0" w:line="360" w:lineRule="auto"/>
        <w:ind w:firstLine="709"/>
        <w:jc w:val="both"/>
        <w:rPr>
          <w:rFonts w:ascii="Times New Roman" w:hAnsi="Times New Roman"/>
          <w:bCs/>
        </w:rPr>
      </w:pPr>
      <w:r>
        <w:rPr>
          <w:rFonts w:ascii="Times New Roman" w:hAnsi="Times New Roman"/>
          <w:bCs/>
        </w:rPr>
        <w:t>находить долю величины, величину по ее доле;</w:t>
      </w:r>
    </w:p>
    <w:p w14:paraId="4451ECE8">
      <w:pPr>
        <w:widowControl/>
        <w:tabs>
          <w:tab w:val="left" w:pos="1134"/>
        </w:tabs>
        <w:spacing w:after="0" w:line="360" w:lineRule="auto"/>
        <w:ind w:firstLine="709"/>
        <w:jc w:val="both"/>
        <w:rPr>
          <w:rFonts w:ascii="Times New Roman" w:hAnsi="Times New Roman"/>
          <w:bCs/>
        </w:rPr>
      </w:pPr>
      <w:r>
        <w:rPr>
          <w:rFonts w:ascii="Times New Roman" w:hAnsi="Times New Roman"/>
          <w:bCs/>
        </w:rPr>
        <w:t>находить неизвестный компонент арифметического действия;</w:t>
      </w:r>
    </w:p>
    <w:p w14:paraId="526A335F">
      <w:pPr>
        <w:widowControl/>
        <w:tabs>
          <w:tab w:val="left" w:pos="1134"/>
        </w:tabs>
        <w:spacing w:after="0" w:line="360" w:lineRule="auto"/>
        <w:ind w:firstLine="709"/>
        <w:jc w:val="both"/>
        <w:rPr>
          <w:rFonts w:ascii="Times New Roman" w:hAnsi="Times New Roman"/>
          <w:bCs/>
        </w:rPr>
      </w:pPr>
      <w:r>
        <w:rPr>
          <w:rFonts w:ascii="Times New Roman" w:hAnsi="Times New Roman"/>
          <w:bCs/>
        </w:rPr>
        <w:t>использовать единицы величин при решении задач (длина, масса, время, вместимость, стоимость, площадь, скорость);</w:t>
      </w:r>
    </w:p>
    <w:p w14:paraId="3A68BE67">
      <w:pPr>
        <w:widowControl/>
        <w:tabs>
          <w:tab w:val="left" w:pos="1134"/>
        </w:tabs>
        <w:spacing w:after="0" w:line="360" w:lineRule="auto"/>
        <w:ind w:firstLine="709"/>
        <w:jc w:val="both"/>
        <w:rPr>
          <w:rFonts w:ascii="Times New Roman" w:hAnsi="Times New Roman"/>
          <w:bCs/>
        </w:rPr>
      </w:pPr>
      <w:r>
        <w:rPr>
          <w:rFonts w:ascii="Times New Roman" w:hAnsi="Times New Roman"/>
          <w:bCs/>
        </w:rPr>
        <w:t>использовать при решении задач единицы длины (миллиметр, сантиметр, дециметр, метр, километр), массы (грамм, килограмм, центнер, тонна), времени (секунда, минута, час, сутки, неделя, месяц, год), вместимости (литр), стоимости (копейка, рубль), площади (квадратный метр, квадратный дециметр, квадратный сантиметр), скорости (километр в час);</w:t>
      </w:r>
    </w:p>
    <w:p w14:paraId="777B8B99">
      <w:pPr>
        <w:widowControl/>
        <w:tabs>
          <w:tab w:val="left" w:pos="1134"/>
        </w:tabs>
        <w:spacing w:after="0" w:line="360" w:lineRule="auto"/>
        <w:ind w:firstLine="709"/>
        <w:jc w:val="both"/>
        <w:rPr>
          <w:rFonts w:ascii="Times New Roman" w:hAnsi="Times New Roman"/>
          <w:bCs/>
        </w:rPr>
      </w:pPr>
      <w:r>
        <w:rPr>
          <w:rFonts w:ascii="Times New Roman" w:hAnsi="Times New Roman"/>
          <w:bCs/>
        </w:rPr>
        <w:t>использовать при решении текстовых задач и в практических ситуациях соотношения между скоростью, временем и пройденным путем, между производительностью, временем и объёмом работы;</w:t>
      </w:r>
    </w:p>
    <w:p w14:paraId="466A30A6">
      <w:pPr>
        <w:widowControl/>
        <w:tabs>
          <w:tab w:val="left" w:pos="1134"/>
        </w:tabs>
        <w:spacing w:after="0" w:line="360" w:lineRule="auto"/>
        <w:ind w:firstLine="709"/>
        <w:jc w:val="both"/>
        <w:rPr>
          <w:rFonts w:ascii="Times New Roman" w:hAnsi="Times New Roman"/>
          <w:bCs/>
        </w:rPr>
      </w:pPr>
      <w:r>
        <w:rPr>
          <w:rFonts w:ascii="Times New Roman" w:hAnsi="Times New Roman"/>
        </w:rPr>
        <w:t>определять с помощью цифровых и аналоговых приборов массу предмета, температуру (например, воды, воздуха в помещении), вместимость с помощью измерительных сосудов, прикидку и оценку результата измерений</w:t>
      </w:r>
      <w:r>
        <w:rPr>
          <w:rFonts w:ascii="Times New Roman" w:hAnsi="Times New Roman"/>
          <w:bCs/>
        </w:rPr>
        <w:t>;</w:t>
      </w:r>
    </w:p>
    <w:p w14:paraId="75CC2D7A">
      <w:pPr>
        <w:widowControl/>
        <w:tabs>
          <w:tab w:val="left" w:pos="1134"/>
        </w:tabs>
        <w:spacing w:after="0" w:line="360" w:lineRule="auto"/>
        <w:ind w:firstLine="709"/>
        <w:jc w:val="both"/>
        <w:rPr>
          <w:rFonts w:ascii="Times New Roman" w:hAnsi="Times New Roman"/>
          <w:bCs/>
        </w:rPr>
      </w:pPr>
      <w:r>
        <w:rPr>
          <w:rFonts w:ascii="Times New Roman" w:hAnsi="Times New Roman"/>
          <w:bCs/>
        </w:rPr>
        <w:t>решать текстовые задачи в 1–3 действия, выполнять преобразование заданных величин, выбирать при решении подходящие способы вычисления, сочетая устные и письменные вычисления и используя, при необходимости, вычислительные устройства, оценивать полученный результат по критериям: реальность, соответствие условию;</w:t>
      </w:r>
    </w:p>
    <w:p w14:paraId="774DF29D">
      <w:pPr>
        <w:widowControl/>
        <w:tabs>
          <w:tab w:val="left" w:pos="1134"/>
        </w:tabs>
        <w:spacing w:after="0" w:line="360" w:lineRule="auto"/>
        <w:ind w:firstLine="709"/>
        <w:jc w:val="both"/>
        <w:rPr>
          <w:rFonts w:ascii="Times New Roman" w:hAnsi="Times New Roman"/>
          <w:bCs/>
        </w:rPr>
      </w:pPr>
      <w:r>
        <w:rPr>
          <w:rFonts w:ascii="Times New Roman" w:hAnsi="Times New Roman"/>
          <w:bCs/>
        </w:rPr>
        <w:t>решать практические задачи, связанные с повседневной жизнью (например, покупка товара, определение времени, выполнение расчётов), в том числе с избыточными данными, находить недостающую информацию (например, из таблиц, схем), находить различные способы решения;</w:t>
      </w:r>
    </w:p>
    <w:p w14:paraId="1D021B8F">
      <w:pPr>
        <w:widowControl/>
        <w:tabs>
          <w:tab w:val="left" w:pos="1134"/>
        </w:tabs>
        <w:spacing w:after="0" w:line="360" w:lineRule="auto"/>
        <w:ind w:firstLine="709"/>
        <w:jc w:val="both"/>
        <w:rPr>
          <w:rFonts w:ascii="Times New Roman" w:hAnsi="Times New Roman"/>
          <w:bCs/>
        </w:rPr>
      </w:pPr>
      <w:r>
        <w:rPr>
          <w:rFonts w:ascii="Times New Roman" w:hAnsi="Times New Roman"/>
          <w:bCs/>
        </w:rPr>
        <w:t>различать окружность и круг, изображать с помощью циркуля и линейки окружность заданного радиуса;</w:t>
      </w:r>
    </w:p>
    <w:p w14:paraId="203A3BA8">
      <w:pPr>
        <w:widowControl/>
        <w:tabs>
          <w:tab w:val="left" w:pos="1134"/>
        </w:tabs>
        <w:spacing w:after="0" w:line="360" w:lineRule="auto"/>
        <w:ind w:firstLine="709"/>
        <w:jc w:val="both"/>
        <w:rPr>
          <w:rFonts w:ascii="Times New Roman" w:hAnsi="Times New Roman"/>
          <w:bCs/>
        </w:rPr>
      </w:pPr>
      <w:r>
        <w:rPr>
          <w:rFonts w:ascii="Times New Roman" w:hAnsi="Times New Roman"/>
          <w:bCs/>
        </w:rPr>
        <w:t>различать изображения простейших пространственных фигур (шар, куб, цилиндр, конус, пирамида), распознавать в простейших случаях проекции предметов окружающего мира на плоскость (пол, стену);</w:t>
      </w:r>
    </w:p>
    <w:p w14:paraId="0EC54EFF">
      <w:pPr>
        <w:widowControl/>
        <w:tabs>
          <w:tab w:val="left" w:pos="1134"/>
        </w:tabs>
        <w:spacing w:after="0" w:line="360" w:lineRule="auto"/>
        <w:ind w:firstLine="709"/>
        <w:jc w:val="both"/>
        <w:rPr>
          <w:rFonts w:ascii="Times New Roman" w:hAnsi="Times New Roman"/>
          <w:bCs/>
        </w:rPr>
      </w:pPr>
      <w:r>
        <w:rPr>
          <w:rFonts w:ascii="Times New Roman" w:hAnsi="Times New Roman"/>
          <w:bCs/>
        </w:rPr>
        <w:t>выполнять разбиение (показывать на рисунке, чертеже) простейшей составной фигуры на прямоугольники (квадраты), находить периметр и площадь фигур, составленных из двух-трех прямоугольников (квадратов);</w:t>
      </w:r>
    </w:p>
    <w:p w14:paraId="190E5268">
      <w:pPr>
        <w:widowControl/>
        <w:tabs>
          <w:tab w:val="left" w:pos="1134"/>
        </w:tabs>
        <w:spacing w:after="0" w:line="360" w:lineRule="auto"/>
        <w:ind w:firstLine="709"/>
        <w:jc w:val="both"/>
        <w:rPr>
          <w:rFonts w:ascii="Times New Roman" w:hAnsi="Times New Roman"/>
          <w:bCs/>
        </w:rPr>
      </w:pPr>
      <w:r>
        <w:rPr>
          <w:rFonts w:ascii="Times New Roman" w:hAnsi="Times New Roman"/>
          <w:bCs/>
        </w:rPr>
        <w:t xml:space="preserve">распознавать верные (истинные) и неверные (ложные) утверждения, приводить пример, контрпример; </w:t>
      </w:r>
    </w:p>
    <w:p w14:paraId="5D5EDB68">
      <w:pPr>
        <w:widowControl/>
        <w:tabs>
          <w:tab w:val="left" w:pos="1134"/>
        </w:tabs>
        <w:spacing w:after="0" w:line="360" w:lineRule="auto"/>
        <w:ind w:firstLine="709"/>
        <w:jc w:val="both"/>
        <w:rPr>
          <w:rFonts w:ascii="Times New Roman" w:hAnsi="Times New Roman"/>
          <w:bCs/>
        </w:rPr>
      </w:pPr>
      <w:r>
        <w:rPr>
          <w:rFonts w:ascii="Times New Roman" w:hAnsi="Times New Roman"/>
          <w:bCs/>
        </w:rPr>
        <w:t>формулировать утверждение (вывод), строить логические рассуждения (двух-трехшаговые);</w:t>
      </w:r>
    </w:p>
    <w:p w14:paraId="7A9D037C">
      <w:pPr>
        <w:widowControl/>
        <w:tabs>
          <w:tab w:val="left" w:pos="1134"/>
        </w:tabs>
        <w:spacing w:after="0" w:line="360" w:lineRule="auto"/>
        <w:ind w:firstLine="709"/>
        <w:jc w:val="both"/>
        <w:rPr>
          <w:rFonts w:ascii="Times New Roman" w:hAnsi="Times New Roman"/>
          <w:bCs/>
        </w:rPr>
      </w:pPr>
      <w:r>
        <w:rPr>
          <w:rFonts w:ascii="Times New Roman" w:hAnsi="Times New Roman"/>
          <w:bCs/>
        </w:rPr>
        <w:t>классифицировать объекты по заданным или самостоятельно установленным одному-двум признакам;</w:t>
      </w:r>
    </w:p>
    <w:p w14:paraId="73D897FD">
      <w:pPr>
        <w:widowControl/>
        <w:tabs>
          <w:tab w:val="left" w:pos="1134"/>
        </w:tabs>
        <w:spacing w:after="0" w:line="360" w:lineRule="auto"/>
        <w:ind w:firstLine="709"/>
        <w:jc w:val="both"/>
        <w:rPr>
          <w:rFonts w:ascii="Times New Roman" w:hAnsi="Times New Roman"/>
          <w:bCs/>
        </w:rPr>
      </w:pPr>
      <w:r>
        <w:rPr>
          <w:rFonts w:ascii="Times New Roman" w:hAnsi="Times New Roman"/>
          <w:bCs/>
        </w:rPr>
        <w:t>извлекать и использовать для выполнения заданий и решения задач информацию, представленную на простейших столбчатых диаграммах, в таблицах с данными о реальных процессах и явлениях окружающего мира (например, календарь, расписание), в предметах повседневной жизни (например, счет, меню, прайс-лист, объявление);</w:t>
      </w:r>
    </w:p>
    <w:p w14:paraId="71EB7053">
      <w:pPr>
        <w:widowControl/>
        <w:tabs>
          <w:tab w:val="left" w:pos="1134"/>
        </w:tabs>
        <w:spacing w:after="0" w:line="360" w:lineRule="auto"/>
        <w:ind w:firstLine="709"/>
        <w:jc w:val="both"/>
        <w:rPr>
          <w:rFonts w:ascii="Times New Roman" w:hAnsi="Times New Roman"/>
          <w:bCs/>
        </w:rPr>
      </w:pPr>
      <w:r>
        <w:rPr>
          <w:rFonts w:ascii="Times New Roman" w:hAnsi="Times New Roman"/>
          <w:bCs/>
        </w:rPr>
        <w:t>заполнять данными предложенную таблицу, столбчатую диаграмму;</w:t>
      </w:r>
    </w:p>
    <w:p w14:paraId="713258AC">
      <w:pPr>
        <w:widowControl/>
        <w:tabs>
          <w:tab w:val="left" w:pos="1134"/>
        </w:tabs>
        <w:spacing w:after="0" w:line="360" w:lineRule="auto"/>
        <w:ind w:firstLine="709"/>
        <w:jc w:val="both"/>
        <w:rPr>
          <w:rFonts w:ascii="Times New Roman" w:hAnsi="Times New Roman"/>
          <w:bCs/>
        </w:rPr>
      </w:pPr>
      <w:r>
        <w:rPr>
          <w:rFonts w:ascii="Times New Roman" w:hAnsi="Times New Roman"/>
          <w:bCs/>
        </w:rPr>
        <w:t>использовать формализованные описания последовательности действий (алгоритм, план, схема) в практических и учебных ситуациях, дополнять алгоритм, упорядочивать шаги алгоритма;</w:t>
      </w:r>
    </w:p>
    <w:p w14:paraId="75FE14C9">
      <w:pPr>
        <w:widowControl/>
        <w:tabs>
          <w:tab w:val="left" w:pos="1134"/>
        </w:tabs>
        <w:spacing w:after="0" w:line="360" w:lineRule="auto"/>
        <w:ind w:firstLine="709"/>
        <w:jc w:val="both"/>
        <w:rPr>
          <w:rFonts w:ascii="Times New Roman" w:hAnsi="Times New Roman"/>
          <w:bCs/>
        </w:rPr>
      </w:pPr>
      <w:r>
        <w:rPr>
          <w:rFonts w:ascii="Times New Roman" w:hAnsi="Times New Roman"/>
          <w:bCs/>
        </w:rPr>
        <w:t>составлять модель текстовой задачи, числовое выражение;</w:t>
      </w:r>
    </w:p>
    <w:p w14:paraId="131BECEC">
      <w:pPr>
        <w:widowControl/>
        <w:tabs>
          <w:tab w:val="left" w:pos="1134"/>
        </w:tabs>
        <w:spacing w:after="0" w:line="360" w:lineRule="auto"/>
        <w:ind w:firstLine="709"/>
        <w:jc w:val="both"/>
        <w:rPr>
          <w:rFonts w:ascii="Times New Roman" w:hAnsi="Times New Roman"/>
          <w:bCs/>
        </w:rPr>
      </w:pPr>
      <w:r>
        <w:rPr>
          <w:rFonts w:ascii="Times New Roman" w:hAnsi="Times New Roman"/>
          <w:bCs/>
        </w:rPr>
        <w:t>выбирать рациональное решение задачи, находить все верные решения из предложенных.</w:t>
      </w:r>
    </w:p>
    <w:p w14:paraId="59A20BB4">
      <w:pPr>
        <w:pStyle w:val="85"/>
        <w:spacing w:before="200"/>
        <w:ind w:firstLine="540"/>
        <w:jc w:val="both"/>
        <w:rPr>
          <w:color w:val="auto"/>
          <w:sz w:val="22"/>
          <w:szCs w:val="22"/>
        </w:rPr>
      </w:pPr>
      <w:r>
        <w:rPr>
          <w:bCs/>
          <w:color w:val="auto"/>
          <w:sz w:val="22"/>
          <w:szCs w:val="22"/>
        </w:rPr>
        <w:t xml:space="preserve">10.11. </w:t>
      </w:r>
      <w:r>
        <w:rPr>
          <w:color w:val="auto"/>
          <w:sz w:val="22"/>
          <w:szCs w:val="22"/>
        </w:rPr>
        <w:t>В федеральных и региональных процедурах оценки качества образования используется перечень (кодификатор) распределенных по классам проверяемых требований к результатам освоения основной образовательной программы начального общего образования и элементов содержания по математике.</w:t>
      </w:r>
    </w:p>
    <w:p w14:paraId="2DD13085">
      <w:pPr>
        <w:pStyle w:val="85"/>
        <w:jc w:val="both"/>
        <w:rPr>
          <w:color w:val="auto"/>
          <w:sz w:val="22"/>
          <w:szCs w:val="22"/>
        </w:rPr>
      </w:pPr>
    </w:p>
    <w:p w14:paraId="11B5EEBD">
      <w:pPr>
        <w:pStyle w:val="85"/>
        <w:jc w:val="right"/>
        <w:rPr>
          <w:color w:val="auto"/>
          <w:sz w:val="22"/>
          <w:szCs w:val="22"/>
        </w:rPr>
      </w:pPr>
      <w:r>
        <w:rPr>
          <w:color w:val="auto"/>
          <w:sz w:val="22"/>
          <w:szCs w:val="22"/>
        </w:rPr>
        <w:t>Таблица 10</w:t>
      </w:r>
    </w:p>
    <w:p w14:paraId="48E6B969">
      <w:pPr>
        <w:pStyle w:val="85"/>
        <w:jc w:val="both"/>
        <w:rPr>
          <w:color w:val="auto"/>
          <w:sz w:val="22"/>
          <w:szCs w:val="22"/>
        </w:rPr>
      </w:pPr>
    </w:p>
    <w:p w14:paraId="65337A31">
      <w:pPr>
        <w:pStyle w:val="85"/>
        <w:jc w:val="center"/>
        <w:rPr>
          <w:color w:val="auto"/>
          <w:sz w:val="22"/>
          <w:szCs w:val="22"/>
        </w:rPr>
      </w:pPr>
      <w:r>
        <w:rPr>
          <w:color w:val="auto"/>
          <w:sz w:val="22"/>
          <w:szCs w:val="22"/>
        </w:rPr>
        <w:t>Проверяемые требования к результатам освоения основной</w:t>
      </w:r>
    </w:p>
    <w:p w14:paraId="3AF716D1">
      <w:pPr>
        <w:pStyle w:val="85"/>
        <w:jc w:val="center"/>
        <w:rPr>
          <w:color w:val="auto"/>
          <w:sz w:val="22"/>
          <w:szCs w:val="22"/>
        </w:rPr>
      </w:pPr>
      <w:r>
        <w:rPr>
          <w:color w:val="auto"/>
          <w:sz w:val="22"/>
          <w:szCs w:val="22"/>
        </w:rPr>
        <w:t>образовательной программы (1 класс)</w:t>
      </w:r>
    </w:p>
    <w:p w14:paraId="414377FD">
      <w:pPr>
        <w:pStyle w:val="85"/>
        <w:jc w:val="both"/>
        <w:rPr>
          <w:color w:val="auto"/>
          <w:sz w:val="22"/>
          <w:szCs w:val="22"/>
        </w:rPr>
      </w:pPr>
    </w:p>
    <w:tbl>
      <w:tblPr>
        <w:tblStyle w:val="1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02" w:type="dxa"/>
          <w:left w:w="62" w:type="dxa"/>
          <w:bottom w:w="102" w:type="dxa"/>
          <w:right w:w="62" w:type="dxa"/>
        </w:tblCellMar>
      </w:tblPr>
      <w:tblGrid>
        <w:gridCol w:w="1701"/>
        <w:gridCol w:w="7370"/>
      </w:tblGrid>
      <w:tr w14:paraId="3AC0EF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701" w:type="dxa"/>
          </w:tcPr>
          <w:p w14:paraId="0684B873">
            <w:pPr>
              <w:pStyle w:val="85"/>
              <w:jc w:val="center"/>
              <w:rPr>
                <w:color w:val="auto"/>
                <w:sz w:val="22"/>
                <w:szCs w:val="22"/>
              </w:rPr>
            </w:pPr>
            <w:r>
              <w:rPr>
                <w:color w:val="auto"/>
                <w:sz w:val="22"/>
                <w:szCs w:val="22"/>
              </w:rPr>
              <w:t>Код проверяемого результата</w:t>
            </w:r>
          </w:p>
        </w:tc>
        <w:tc>
          <w:tcPr>
            <w:tcW w:w="7370" w:type="dxa"/>
          </w:tcPr>
          <w:p w14:paraId="4539FB44">
            <w:pPr>
              <w:pStyle w:val="85"/>
              <w:jc w:val="center"/>
              <w:rPr>
                <w:color w:val="auto"/>
                <w:sz w:val="22"/>
                <w:szCs w:val="22"/>
              </w:rPr>
            </w:pPr>
            <w:r>
              <w:rPr>
                <w:color w:val="auto"/>
                <w:sz w:val="22"/>
                <w:szCs w:val="22"/>
              </w:rPr>
              <w:t>Проверяемые предметные результаты освоения основной образовательной программы начального общего образования</w:t>
            </w:r>
          </w:p>
        </w:tc>
      </w:tr>
      <w:tr w14:paraId="1F5D0E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701" w:type="dxa"/>
          </w:tcPr>
          <w:p w14:paraId="6BFFD9A4">
            <w:pPr>
              <w:pStyle w:val="85"/>
              <w:jc w:val="center"/>
              <w:rPr>
                <w:color w:val="auto"/>
                <w:sz w:val="22"/>
                <w:szCs w:val="22"/>
              </w:rPr>
            </w:pPr>
            <w:r>
              <w:rPr>
                <w:color w:val="auto"/>
                <w:sz w:val="22"/>
                <w:szCs w:val="22"/>
              </w:rPr>
              <w:t>1.1</w:t>
            </w:r>
          </w:p>
        </w:tc>
        <w:tc>
          <w:tcPr>
            <w:tcW w:w="7370" w:type="dxa"/>
          </w:tcPr>
          <w:p w14:paraId="0F61D516">
            <w:pPr>
              <w:pStyle w:val="85"/>
              <w:jc w:val="both"/>
              <w:rPr>
                <w:color w:val="auto"/>
                <w:sz w:val="22"/>
                <w:szCs w:val="22"/>
              </w:rPr>
            </w:pPr>
            <w:r>
              <w:rPr>
                <w:color w:val="auto"/>
                <w:sz w:val="22"/>
                <w:szCs w:val="22"/>
              </w:rPr>
              <w:t>читать, записывать, сравнивать, упорядочивать числа от 0 до 20, различать число и цифру</w:t>
            </w:r>
          </w:p>
        </w:tc>
      </w:tr>
      <w:tr w14:paraId="3D84C2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701" w:type="dxa"/>
          </w:tcPr>
          <w:p w14:paraId="4450F4C1">
            <w:pPr>
              <w:pStyle w:val="85"/>
              <w:jc w:val="center"/>
              <w:rPr>
                <w:color w:val="auto"/>
                <w:sz w:val="22"/>
                <w:szCs w:val="22"/>
              </w:rPr>
            </w:pPr>
            <w:r>
              <w:rPr>
                <w:color w:val="auto"/>
                <w:sz w:val="22"/>
                <w:szCs w:val="22"/>
              </w:rPr>
              <w:t>1.2</w:t>
            </w:r>
          </w:p>
        </w:tc>
        <w:tc>
          <w:tcPr>
            <w:tcW w:w="7370" w:type="dxa"/>
          </w:tcPr>
          <w:p w14:paraId="7EC1D6F4">
            <w:pPr>
              <w:pStyle w:val="85"/>
              <w:jc w:val="both"/>
              <w:rPr>
                <w:color w:val="auto"/>
                <w:sz w:val="22"/>
                <w:szCs w:val="22"/>
              </w:rPr>
            </w:pPr>
            <w:r>
              <w:rPr>
                <w:color w:val="auto"/>
                <w:sz w:val="22"/>
                <w:szCs w:val="22"/>
              </w:rPr>
              <w:t>пересчитывать различные объекты, устанавливать порядковый номер объекта</w:t>
            </w:r>
          </w:p>
        </w:tc>
      </w:tr>
      <w:tr w14:paraId="682018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701" w:type="dxa"/>
          </w:tcPr>
          <w:p w14:paraId="6939405A">
            <w:pPr>
              <w:pStyle w:val="85"/>
              <w:jc w:val="center"/>
              <w:rPr>
                <w:color w:val="auto"/>
                <w:sz w:val="22"/>
                <w:szCs w:val="22"/>
              </w:rPr>
            </w:pPr>
            <w:r>
              <w:rPr>
                <w:color w:val="auto"/>
                <w:sz w:val="22"/>
                <w:szCs w:val="22"/>
              </w:rPr>
              <w:t>1.3</w:t>
            </w:r>
          </w:p>
        </w:tc>
        <w:tc>
          <w:tcPr>
            <w:tcW w:w="7370" w:type="dxa"/>
          </w:tcPr>
          <w:p w14:paraId="02524BD2">
            <w:pPr>
              <w:pStyle w:val="85"/>
              <w:jc w:val="both"/>
              <w:rPr>
                <w:color w:val="auto"/>
                <w:sz w:val="22"/>
                <w:szCs w:val="22"/>
              </w:rPr>
            </w:pPr>
            <w:r>
              <w:rPr>
                <w:color w:val="auto"/>
                <w:sz w:val="22"/>
                <w:szCs w:val="22"/>
              </w:rPr>
              <w:t xml:space="preserve">находить числа, </w:t>
            </w:r>
            <w:r>
              <w:rPr>
                <w:color w:val="auto"/>
                <w:position w:val="-5"/>
                <w:sz w:val="22"/>
                <w:szCs w:val="22"/>
              </w:rPr>
              <w:drawing>
                <wp:inline distT="0" distB="0" distL="0" distR="0">
                  <wp:extent cx="609600" cy="200025"/>
                  <wp:effectExtent l="0" t="0" r="0" b="0"/>
                  <wp:docPr id="2204" name="Консультант Плюс"/>
                  <wp:cNvGraphicFramePr/>
                  <a:graphic xmlns:a="http://schemas.openxmlformats.org/drawingml/2006/main">
                    <a:graphicData uri="http://schemas.openxmlformats.org/drawingml/2006/picture">
                      <pic:pic xmlns:pic="http://schemas.openxmlformats.org/drawingml/2006/picture">
                        <pic:nvPicPr>
                          <pic:cNvPr id="2204" name="Консультант Плюс"/>
                          <pic:cNvPicPr preferRelativeResize="0"/>
                        </pic:nvPicPr>
                        <pic:blipFill>
                          <a:blip r:embed="rId12" cstate="print">
                            <a:extLst>
                              <a:ext uri="{28A0092B-C50C-407E-A947-70E740481C1C}">
                                <a14:useLocalDpi xmlns:a14="http://schemas.microsoft.com/office/drawing/2010/main" val="0"/>
                              </a:ext>
                            </a:extLst>
                          </a:blip>
                          <a:srcRect/>
                          <a:stretch>
                            <a:fillRect/>
                          </a:stretch>
                        </pic:blipFill>
                        <pic:spPr>
                          <a:xfrm>
                            <a:off x="0" y="0"/>
                            <a:ext cx="609600" cy="200025"/>
                          </a:xfrm>
                          <a:prstGeom prst="rect">
                            <a:avLst/>
                          </a:prstGeom>
                          <a:noFill/>
                          <a:ln>
                            <a:noFill/>
                          </a:ln>
                        </pic:spPr>
                      </pic:pic>
                    </a:graphicData>
                  </a:graphic>
                </wp:inline>
              </w:drawing>
            </w:r>
            <w:r>
              <w:rPr>
                <w:color w:val="auto"/>
                <w:sz w:val="22"/>
                <w:szCs w:val="22"/>
              </w:rPr>
              <w:t xml:space="preserve"> или меньшие данного числа на заданное число</w:t>
            </w:r>
          </w:p>
        </w:tc>
      </w:tr>
      <w:tr w14:paraId="364CE3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701" w:type="dxa"/>
          </w:tcPr>
          <w:p w14:paraId="2C203164">
            <w:pPr>
              <w:pStyle w:val="85"/>
              <w:jc w:val="center"/>
              <w:rPr>
                <w:color w:val="auto"/>
                <w:sz w:val="22"/>
                <w:szCs w:val="22"/>
              </w:rPr>
            </w:pPr>
            <w:r>
              <w:rPr>
                <w:color w:val="auto"/>
                <w:sz w:val="22"/>
                <w:szCs w:val="22"/>
              </w:rPr>
              <w:t>1.4</w:t>
            </w:r>
          </w:p>
        </w:tc>
        <w:tc>
          <w:tcPr>
            <w:tcW w:w="7370" w:type="dxa"/>
          </w:tcPr>
          <w:p w14:paraId="5E132D23">
            <w:pPr>
              <w:pStyle w:val="85"/>
              <w:jc w:val="both"/>
              <w:rPr>
                <w:color w:val="auto"/>
                <w:sz w:val="22"/>
                <w:szCs w:val="22"/>
              </w:rPr>
            </w:pPr>
            <w:r>
              <w:rPr>
                <w:color w:val="auto"/>
                <w:sz w:val="22"/>
                <w:szCs w:val="22"/>
              </w:rPr>
              <w:t>выполнять арифметические действия сложения и вычитания в пределах 20 (устно и письменно) без перехода через десяток</w:t>
            </w:r>
          </w:p>
        </w:tc>
      </w:tr>
      <w:tr w14:paraId="1DA590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701" w:type="dxa"/>
          </w:tcPr>
          <w:p w14:paraId="7B7B3234">
            <w:pPr>
              <w:pStyle w:val="85"/>
              <w:jc w:val="center"/>
              <w:rPr>
                <w:color w:val="auto"/>
                <w:sz w:val="22"/>
                <w:szCs w:val="22"/>
              </w:rPr>
            </w:pPr>
            <w:r>
              <w:rPr>
                <w:color w:val="auto"/>
                <w:sz w:val="22"/>
                <w:szCs w:val="22"/>
              </w:rPr>
              <w:t>1.5</w:t>
            </w:r>
          </w:p>
        </w:tc>
        <w:tc>
          <w:tcPr>
            <w:tcW w:w="7370" w:type="dxa"/>
          </w:tcPr>
          <w:p w14:paraId="240AC7BA">
            <w:pPr>
              <w:pStyle w:val="85"/>
              <w:jc w:val="both"/>
              <w:rPr>
                <w:color w:val="auto"/>
                <w:sz w:val="22"/>
                <w:szCs w:val="22"/>
              </w:rPr>
            </w:pPr>
            <w:r>
              <w:rPr>
                <w:color w:val="auto"/>
                <w:sz w:val="22"/>
                <w:szCs w:val="22"/>
              </w:rPr>
              <w:t>называть и различать компоненты действий сложения и вычитания</w:t>
            </w:r>
          </w:p>
        </w:tc>
      </w:tr>
      <w:tr w14:paraId="7C637A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701" w:type="dxa"/>
          </w:tcPr>
          <w:p w14:paraId="638038BB">
            <w:pPr>
              <w:pStyle w:val="85"/>
              <w:jc w:val="center"/>
              <w:rPr>
                <w:color w:val="auto"/>
                <w:sz w:val="22"/>
                <w:szCs w:val="22"/>
              </w:rPr>
            </w:pPr>
            <w:r>
              <w:rPr>
                <w:color w:val="auto"/>
                <w:sz w:val="22"/>
                <w:szCs w:val="22"/>
              </w:rPr>
              <w:t>1.6</w:t>
            </w:r>
          </w:p>
        </w:tc>
        <w:tc>
          <w:tcPr>
            <w:tcW w:w="7370" w:type="dxa"/>
          </w:tcPr>
          <w:p w14:paraId="3AE7C77C">
            <w:pPr>
              <w:pStyle w:val="85"/>
              <w:jc w:val="both"/>
              <w:rPr>
                <w:color w:val="auto"/>
                <w:sz w:val="22"/>
                <w:szCs w:val="22"/>
              </w:rPr>
            </w:pPr>
            <w:r>
              <w:rPr>
                <w:color w:val="auto"/>
                <w:sz w:val="22"/>
                <w:szCs w:val="22"/>
              </w:rPr>
              <w:t>решать текстовые задачи в одно действие на сложение и вычитание: выделять условие и требование (вопрос)</w:t>
            </w:r>
          </w:p>
        </w:tc>
      </w:tr>
      <w:tr w14:paraId="5A3BAF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701" w:type="dxa"/>
          </w:tcPr>
          <w:p w14:paraId="4FF50719">
            <w:pPr>
              <w:pStyle w:val="85"/>
              <w:jc w:val="center"/>
              <w:rPr>
                <w:color w:val="auto"/>
                <w:sz w:val="22"/>
                <w:szCs w:val="22"/>
              </w:rPr>
            </w:pPr>
            <w:r>
              <w:rPr>
                <w:color w:val="auto"/>
                <w:sz w:val="22"/>
                <w:szCs w:val="22"/>
              </w:rPr>
              <w:t>1.7</w:t>
            </w:r>
          </w:p>
        </w:tc>
        <w:tc>
          <w:tcPr>
            <w:tcW w:w="7370" w:type="dxa"/>
          </w:tcPr>
          <w:p w14:paraId="3B964B87">
            <w:pPr>
              <w:pStyle w:val="85"/>
              <w:jc w:val="both"/>
              <w:rPr>
                <w:color w:val="auto"/>
                <w:sz w:val="22"/>
                <w:szCs w:val="22"/>
              </w:rPr>
            </w:pPr>
            <w:r>
              <w:rPr>
                <w:color w:val="auto"/>
                <w:sz w:val="22"/>
                <w:szCs w:val="22"/>
              </w:rPr>
              <w:t>сравнивать объекты по длине, измерять длину отрезка, чертить отрезок заданной длины (см, дм)</w:t>
            </w:r>
          </w:p>
        </w:tc>
      </w:tr>
      <w:tr w14:paraId="508026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701" w:type="dxa"/>
          </w:tcPr>
          <w:p w14:paraId="64837415">
            <w:pPr>
              <w:pStyle w:val="85"/>
              <w:jc w:val="center"/>
              <w:rPr>
                <w:color w:val="auto"/>
                <w:sz w:val="22"/>
                <w:szCs w:val="22"/>
              </w:rPr>
            </w:pPr>
            <w:r>
              <w:rPr>
                <w:color w:val="auto"/>
                <w:sz w:val="22"/>
                <w:szCs w:val="22"/>
              </w:rPr>
              <w:t>1.8</w:t>
            </w:r>
          </w:p>
        </w:tc>
        <w:tc>
          <w:tcPr>
            <w:tcW w:w="7370" w:type="dxa"/>
          </w:tcPr>
          <w:p w14:paraId="51C8D09E">
            <w:pPr>
              <w:pStyle w:val="85"/>
              <w:jc w:val="both"/>
              <w:rPr>
                <w:color w:val="auto"/>
                <w:sz w:val="22"/>
                <w:szCs w:val="22"/>
              </w:rPr>
            </w:pPr>
            <w:r>
              <w:rPr>
                <w:color w:val="auto"/>
                <w:sz w:val="22"/>
                <w:szCs w:val="22"/>
              </w:rPr>
              <w:t>распознавать геометрические фигуры: круг, треугольник, прямоугольник (квадрат), отрезок</w:t>
            </w:r>
          </w:p>
        </w:tc>
      </w:tr>
      <w:tr w14:paraId="739F53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701" w:type="dxa"/>
          </w:tcPr>
          <w:p w14:paraId="5F94495F">
            <w:pPr>
              <w:pStyle w:val="85"/>
              <w:jc w:val="center"/>
              <w:rPr>
                <w:color w:val="auto"/>
                <w:sz w:val="22"/>
                <w:szCs w:val="22"/>
              </w:rPr>
            </w:pPr>
            <w:r>
              <w:rPr>
                <w:color w:val="auto"/>
                <w:sz w:val="22"/>
                <w:szCs w:val="22"/>
              </w:rPr>
              <w:t>1.9</w:t>
            </w:r>
          </w:p>
        </w:tc>
        <w:tc>
          <w:tcPr>
            <w:tcW w:w="7370" w:type="dxa"/>
          </w:tcPr>
          <w:p w14:paraId="29B27B40">
            <w:pPr>
              <w:pStyle w:val="85"/>
              <w:jc w:val="both"/>
              <w:rPr>
                <w:color w:val="auto"/>
                <w:sz w:val="22"/>
                <w:szCs w:val="22"/>
              </w:rPr>
            </w:pPr>
            <w:r>
              <w:rPr>
                <w:color w:val="auto"/>
                <w:sz w:val="22"/>
                <w:szCs w:val="22"/>
              </w:rPr>
              <w:t>устанавливать между объектами соотношения: "слева - справа", "спереди - сзади", "между"</w:t>
            </w:r>
          </w:p>
        </w:tc>
      </w:tr>
      <w:tr w14:paraId="0E2F37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701" w:type="dxa"/>
          </w:tcPr>
          <w:p w14:paraId="48037BF8">
            <w:pPr>
              <w:pStyle w:val="85"/>
              <w:jc w:val="center"/>
              <w:rPr>
                <w:color w:val="auto"/>
                <w:sz w:val="22"/>
                <w:szCs w:val="22"/>
              </w:rPr>
            </w:pPr>
            <w:r>
              <w:rPr>
                <w:color w:val="auto"/>
                <w:sz w:val="22"/>
                <w:szCs w:val="22"/>
              </w:rPr>
              <w:t>1.10</w:t>
            </w:r>
          </w:p>
        </w:tc>
        <w:tc>
          <w:tcPr>
            <w:tcW w:w="7370" w:type="dxa"/>
          </w:tcPr>
          <w:p w14:paraId="4413BA79">
            <w:pPr>
              <w:pStyle w:val="85"/>
              <w:jc w:val="both"/>
              <w:rPr>
                <w:color w:val="auto"/>
                <w:sz w:val="22"/>
                <w:szCs w:val="22"/>
              </w:rPr>
            </w:pPr>
            <w:r>
              <w:rPr>
                <w:color w:val="auto"/>
                <w:sz w:val="22"/>
                <w:szCs w:val="22"/>
              </w:rPr>
              <w:t>распознавать верные (истинные) и неверные (ложные) утверждения</w:t>
            </w:r>
          </w:p>
        </w:tc>
      </w:tr>
      <w:tr w14:paraId="02917E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701" w:type="dxa"/>
          </w:tcPr>
          <w:p w14:paraId="555198CA">
            <w:pPr>
              <w:pStyle w:val="85"/>
              <w:jc w:val="center"/>
              <w:rPr>
                <w:color w:val="auto"/>
                <w:sz w:val="22"/>
                <w:szCs w:val="22"/>
              </w:rPr>
            </w:pPr>
            <w:r>
              <w:rPr>
                <w:color w:val="auto"/>
                <w:sz w:val="22"/>
                <w:szCs w:val="22"/>
              </w:rPr>
              <w:t>1.11</w:t>
            </w:r>
          </w:p>
        </w:tc>
        <w:tc>
          <w:tcPr>
            <w:tcW w:w="7370" w:type="dxa"/>
          </w:tcPr>
          <w:p w14:paraId="52215CD1">
            <w:pPr>
              <w:pStyle w:val="85"/>
              <w:jc w:val="both"/>
              <w:rPr>
                <w:color w:val="auto"/>
                <w:sz w:val="22"/>
                <w:szCs w:val="22"/>
              </w:rPr>
            </w:pPr>
            <w:r>
              <w:rPr>
                <w:color w:val="auto"/>
                <w:sz w:val="22"/>
                <w:szCs w:val="22"/>
              </w:rPr>
              <w:t>группировать объекты по заданному признаку, находить и называть закономерности в ряду объектов повседневной жизни</w:t>
            </w:r>
          </w:p>
        </w:tc>
      </w:tr>
      <w:tr w14:paraId="105226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701" w:type="dxa"/>
          </w:tcPr>
          <w:p w14:paraId="50C6C668">
            <w:pPr>
              <w:pStyle w:val="85"/>
              <w:jc w:val="center"/>
              <w:rPr>
                <w:color w:val="auto"/>
                <w:sz w:val="22"/>
                <w:szCs w:val="22"/>
              </w:rPr>
            </w:pPr>
            <w:r>
              <w:rPr>
                <w:color w:val="auto"/>
                <w:sz w:val="22"/>
                <w:szCs w:val="22"/>
              </w:rPr>
              <w:t>1.12</w:t>
            </w:r>
          </w:p>
        </w:tc>
        <w:tc>
          <w:tcPr>
            <w:tcW w:w="7370" w:type="dxa"/>
          </w:tcPr>
          <w:p w14:paraId="18B4B596">
            <w:pPr>
              <w:pStyle w:val="85"/>
              <w:jc w:val="both"/>
              <w:rPr>
                <w:color w:val="auto"/>
                <w:sz w:val="22"/>
                <w:szCs w:val="22"/>
              </w:rPr>
            </w:pPr>
            <w:r>
              <w:rPr>
                <w:color w:val="auto"/>
                <w:sz w:val="22"/>
                <w:szCs w:val="22"/>
              </w:rPr>
              <w:t>различать строки и столбцы таблицы, вносить и извлекать данное или данные из таблицы</w:t>
            </w:r>
          </w:p>
        </w:tc>
      </w:tr>
      <w:tr w14:paraId="577962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701" w:type="dxa"/>
          </w:tcPr>
          <w:p w14:paraId="21946C36">
            <w:pPr>
              <w:pStyle w:val="85"/>
              <w:jc w:val="center"/>
              <w:rPr>
                <w:color w:val="auto"/>
                <w:sz w:val="22"/>
                <w:szCs w:val="22"/>
              </w:rPr>
            </w:pPr>
            <w:r>
              <w:rPr>
                <w:color w:val="auto"/>
                <w:sz w:val="22"/>
                <w:szCs w:val="22"/>
              </w:rPr>
              <w:t>1.13</w:t>
            </w:r>
          </w:p>
        </w:tc>
        <w:tc>
          <w:tcPr>
            <w:tcW w:w="7370" w:type="dxa"/>
          </w:tcPr>
          <w:p w14:paraId="563828AB">
            <w:pPr>
              <w:pStyle w:val="85"/>
              <w:jc w:val="both"/>
              <w:rPr>
                <w:color w:val="auto"/>
                <w:sz w:val="22"/>
                <w:szCs w:val="22"/>
              </w:rPr>
            </w:pPr>
            <w:r>
              <w:rPr>
                <w:color w:val="auto"/>
                <w:sz w:val="22"/>
                <w:szCs w:val="22"/>
              </w:rPr>
              <w:t>сравнивать два объекта (числа, геометрические фигуры)</w:t>
            </w:r>
          </w:p>
        </w:tc>
      </w:tr>
      <w:tr w14:paraId="4A4D48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701" w:type="dxa"/>
          </w:tcPr>
          <w:p w14:paraId="704A7ADC">
            <w:pPr>
              <w:pStyle w:val="85"/>
              <w:jc w:val="center"/>
              <w:rPr>
                <w:color w:val="auto"/>
                <w:sz w:val="22"/>
                <w:szCs w:val="22"/>
              </w:rPr>
            </w:pPr>
            <w:r>
              <w:rPr>
                <w:color w:val="auto"/>
                <w:sz w:val="22"/>
                <w:szCs w:val="22"/>
              </w:rPr>
              <w:t>1.14</w:t>
            </w:r>
          </w:p>
        </w:tc>
        <w:tc>
          <w:tcPr>
            <w:tcW w:w="7370" w:type="dxa"/>
          </w:tcPr>
          <w:p w14:paraId="63CC2035">
            <w:pPr>
              <w:pStyle w:val="85"/>
              <w:jc w:val="both"/>
              <w:rPr>
                <w:color w:val="auto"/>
                <w:sz w:val="22"/>
                <w:szCs w:val="22"/>
              </w:rPr>
            </w:pPr>
            <w:r>
              <w:rPr>
                <w:color w:val="auto"/>
                <w:sz w:val="22"/>
                <w:szCs w:val="22"/>
              </w:rPr>
              <w:t>распределять объекты на две группы по заданному основанию</w:t>
            </w:r>
          </w:p>
        </w:tc>
      </w:tr>
    </w:tbl>
    <w:p w14:paraId="56AB0290">
      <w:pPr>
        <w:pStyle w:val="85"/>
        <w:jc w:val="both"/>
        <w:rPr>
          <w:color w:val="auto"/>
          <w:sz w:val="22"/>
          <w:szCs w:val="22"/>
        </w:rPr>
      </w:pPr>
    </w:p>
    <w:p w14:paraId="7385D7C7">
      <w:pPr>
        <w:pStyle w:val="85"/>
        <w:jc w:val="right"/>
        <w:rPr>
          <w:color w:val="auto"/>
          <w:sz w:val="22"/>
          <w:szCs w:val="22"/>
        </w:rPr>
      </w:pPr>
      <w:r>
        <w:rPr>
          <w:color w:val="auto"/>
          <w:sz w:val="22"/>
          <w:szCs w:val="22"/>
        </w:rPr>
        <w:t>Таблица 10.1</w:t>
      </w:r>
    </w:p>
    <w:p w14:paraId="17873537">
      <w:pPr>
        <w:pStyle w:val="85"/>
        <w:jc w:val="both"/>
        <w:rPr>
          <w:color w:val="auto"/>
          <w:sz w:val="22"/>
          <w:szCs w:val="22"/>
        </w:rPr>
      </w:pPr>
    </w:p>
    <w:p w14:paraId="5D176950">
      <w:pPr>
        <w:pStyle w:val="85"/>
        <w:jc w:val="center"/>
        <w:rPr>
          <w:color w:val="auto"/>
          <w:sz w:val="22"/>
          <w:szCs w:val="22"/>
        </w:rPr>
      </w:pPr>
      <w:r>
        <w:rPr>
          <w:color w:val="auto"/>
          <w:sz w:val="22"/>
          <w:szCs w:val="22"/>
        </w:rPr>
        <w:t>Проверяемые элементы содержания (1 класс)</w:t>
      </w:r>
    </w:p>
    <w:p w14:paraId="171CF49E">
      <w:pPr>
        <w:pStyle w:val="85"/>
        <w:jc w:val="both"/>
        <w:rPr>
          <w:color w:val="auto"/>
          <w:sz w:val="22"/>
          <w:szCs w:val="22"/>
        </w:rPr>
      </w:pPr>
    </w:p>
    <w:tbl>
      <w:tblPr>
        <w:tblStyle w:val="1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02" w:type="dxa"/>
          <w:left w:w="62" w:type="dxa"/>
          <w:bottom w:w="102" w:type="dxa"/>
          <w:right w:w="62" w:type="dxa"/>
        </w:tblCellMar>
      </w:tblPr>
      <w:tblGrid>
        <w:gridCol w:w="1128"/>
        <w:gridCol w:w="7937"/>
      </w:tblGrid>
      <w:tr w14:paraId="65E829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28" w:type="dxa"/>
          </w:tcPr>
          <w:p w14:paraId="2994F268">
            <w:pPr>
              <w:pStyle w:val="85"/>
              <w:jc w:val="center"/>
              <w:rPr>
                <w:color w:val="auto"/>
                <w:sz w:val="22"/>
                <w:szCs w:val="22"/>
              </w:rPr>
            </w:pPr>
            <w:r>
              <w:rPr>
                <w:color w:val="auto"/>
                <w:sz w:val="22"/>
                <w:szCs w:val="22"/>
              </w:rPr>
              <w:t>Код</w:t>
            </w:r>
          </w:p>
        </w:tc>
        <w:tc>
          <w:tcPr>
            <w:tcW w:w="7937" w:type="dxa"/>
          </w:tcPr>
          <w:p w14:paraId="28DA9BBB">
            <w:pPr>
              <w:pStyle w:val="85"/>
              <w:jc w:val="center"/>
              <w:rPr>
                <w:color w:val="auto"/>
                <w:sz w:val="22"/>
                <w:szCs w:val="22"/>
              </w:rPr>
            </w:pPr>
            <w:r>
              <w:rPr>
                <w:color w:val="auto"/>
                <w:sz w:val="22"/>
                <w:szCs w:val="22"/>
              </w:rPr>
              <w:t>Проверяемый элемент содержания</w:t>
            </w:r>
          </w:p>
        </w:tc>
      </w:tr>
      <w:tr w14:paraId="441B92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28" w:type="dxa"/>
          </w:tcPr>
          <w:p w14:paraId="4055A44A">
            <w:pPr>
              <w:pStyle w:val="85"/>
              <w:jc w:val="center"/>
              <w:rPr>
                <w:color w:val="auto"/>
                <w:sz w:val="22"/>
                <w:szCs w:val="22"/>
              </w:rPr>
            </w:pPr>
            <w:r>
              <w:rPr>
                <w:color w:val="auto"/>
                <w:sz w:val="22"/>
                <w:szCs w:val="22"/>
              </w:rPr>
              <w:t>1</w:t>
            </w:r>
          </w:p>
        </w:tc>
        <w:tc>
          <w:tcPr>
            <w:tcW w:w="7937" w:type="dxa"/>
          </w:tcPr>
          <w:p w14:paraId="459793C7">
            <w:pPr>
              <w:pStyle w:val="85"/>
              <w:jc w:val="both"/>
              <w:rPr>
                <w:color w:val="auto"/>
                <w:sz w:val="22"/>
                <w:szCs w:val="22"/>
              </w:rPr>
            </w:pPr>
            <w:r>
              <w:rPr>
                <w:color w:val="auto"/>
                <w:sz w:val="22"/>
                <w:szCs w:val="22"/>
              </w:rPr>
              <w:t>Числа и величины</w:t>
            </w:r>
          </w:p>
        </w:tc>
      </w:tr>
      <w:tr w14:paraId="62A441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28" w:type="dxa"/>
          </w:tcPr>
          <w:p w14:paraId="06664103">
            <w:pPr>
              <w:pStyle w:val="85"/>
              <w:jc w:val="center"/>
              <w:rPr>
                <w:color w:val="auto"/>
                <w:sz w:val="22"/>
                <w:szCs w:val="22"/>
              </w:rPr>
            </w:pPr>
            <w:r>
              <w:rPr>
                <w:color w:val="auto"/>
                <w:sz w:val="22"/>
                <w:szCs w:val="22"/>
              </w:rPr>
              <w:t>1.1</w:t>
            </w:r>
          </w:p>
        </w:tc>
        <w:tc>
          <w:tcPr>
            <w:tcW w:w="7937" w:type="dxa"/>
          </w:tcPr>
          <w:p w14:paraId="576EF24B">
            <w:pPr>
              <w:pStyle w:val="85"/>
              <w:jc w:val="both"/>
              <w:rPr>
                <w:color w:val="auto"/>
                <w:sz w:val="22"/>
                <w:szCs w:val="22"/>
              </w:rPr>
            </w:pPr>
            <w:r>
              <w:rPr>
                <w:color w:val="auto"/>
                <w:sz w:val="22"/>
                <w:szCs w:val="22"/>
              </w:rPr>
              <w:t>Числа от 1 до 9: различение, чтение, запись. Единица счета. Десяток.</w:t>
            </w:r>
          </w:p>
          <w:p w14:paraId="15C477B4">
            <w:pPr>
              <w:pStyle w:val="85"/>
              <w:jc w:val="both"/>
              <w:rPr>
                <w:color w:val="auto"/>
                <w:sz w:val="22"/>
                <w:szCs w:val="22"/>
              </w:rPr>
            </w:pPr>
            <w:r>
              <w:rPr>
                <w:color w:val="auto"/>
                <w:sz w:val="22"/>
                <w:szCs w:val="22"/>
              </w:rPr>
              <w:t>Счет предметов, запись результата цифрами. Число и цифра 0</w:t>
            </w:r>
          </w:p>
        </w:tc>
      </w:tr>
      <w:tr w14:paraId="4CEBB4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28" w:type="dxa"/>
          </w:tcPr>
          <w:p w14:paraId="4057376B">
            <w:pPr>
              <w:pStyle w:val="85"/>
              <w:jc w:val="center"/>
              <w:rPr>
                <w:color w:val="auto"/>
                <w:sz w:val="22"/>
                <w:szCs w:val="22"/>
              </w:rPr>
            </w:pPr>
            <w:r>
              <w:rPr>
                <w:color w:val="auto"/>
                <w:sz w:val="22"/>
                <w:szCs w:val="22"/>
              </w:rPr>
              <w:t>1.2</w:t>
            </w:r>
          </w:p>
        </w:tc>
        <w:tc>
          <w:tcPr>
            <w:tcW w:w="7937" w:type="dxa"/>
          </w:tcPr>
          <w:p w14:paraId="5B2A08C6">
            <w:pPr>
              <w:pStyle w:val="85"/>
              <w:jc w:val="both"/>
              <w:rPr>
                <w:color w:val="auto"/>
                <w:sz w:val="22"/>
                <w:szCs w:val="22"/>
              </w:rPr>
            </w:pPr>
            <w:r>
              <w:rPr>
                <w:color w:val="auto"/>
                <w:sz w:val="22"/>
                <w:szCs w:val="22"/>
              </w:rPr>
              <w:t>Числа в пределах 20: чтение, запись, сравнение. Однозначные и двузначные числа. Увеличение (уменьшение) числа на несколько единиц</w:t>
            </w:r>
          </w:p>
        </w:tc>
      </w:tr>
      <w:tr w14:paraId="07144D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28" w:type="dxa"/>
          </w:tcPr>
          <w:p w14:paraId="3CFCD6AB">
            <w:pPr>
              <w:pStyle w:val="85"/>
              <w:jc w:val="center"/>
              <w:rPr>
                <w:color w:val="auto"/>
                <w:sz w:val="22"/>
                <w:szCs w:val="22"/>
              </w:rPr>
            </w:pPr>
            <w:r>
              <w:rPr>
                <w:color w:val="auto"/>
                <w:sz w:val="22"/>
                <w:szCs w:val="22"/>
              </w:rPr>
              <w:t>1.3</w:t>
            </w:r>
          </w:p>
        </w:tc>
        <w:tc>
          <w:tcPr>
            <w:tcW w:w="7937" w:type="dxa"/>
          </w:tcPr>
          <w:p w14:paraId="6362A3D6">
            <w:pPr>
              <w:pStyle w:val="85"/>
              <w:jc w:val="both"/>
              <w:rPr>
                <w:color w:val="auto"/>
                <w:sz w:val="22"/>
                <w:szCs w:val="22"/>
              </w:rPr>
            </w:pPr>
            <w:r>
              <w:rPr>
                <w:color w:val="auto"/>
                <w:sz w:val="22"/>
                <w:szCs w:val="22"/>
              </w:rPr>
              <w:t>Длина и ее измерение. Единицы длины и соотношения между ними</w:t>
            </w:r>
          </w:p>
        </w:tc>
      </w:tr>
      <w:tr w14:paraId="1611B2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28" w:type="dxa"/>
          </w:tcPr>
          <w:p w14:paraId="676CA57F">
            <w:pPr>
              <w:pStyle w:val="85"/>
              <w:jc w:val="center"/>
              <w:rPr>
                <w:color w:val="auto"/>
                <w:sz w:val="22"/>
                <w:szCs w:val="22"/>
              </w:rPr>
            </w:pPr>
            <w:r>
              <w:rPr>
                <w:color w:val="auto"/>
                <w:sz w:val="22"/>
                <w:szCs w:val="22"/>
              </w:rPr>
              <w:t>2</w:t>
            </w:r>
          </w:p>
        </w:tc>
        <w:tc>
          <w:tcPr>
            <w:tcW w:w="7937" w:type="dxa"/>
          </w:tcPr>
          <w:p w14:paraId="6252D826">
            <w:pPr>
              <w:pStyle w:val="85"/>
              <w:jc w:val="both"/>
              <w:rPr>
                <w:color w:val="auto"/>
                <w:sz w:val="22"/>
                <w:szCs w:val="22"/>
              </w:rPr>
            </w:pPr>
            <w:r>
              <w:rPr>
                <w:color w:val="auto"/>
                <w:sz w:val="22"/>
                <w:szCs w:val="22"/>
              </w:rPr>
              <w:t>Арифметические действия</w:t>
            </w:r>
          </w:p>
        </w:tc>
      </w:tr>
      <w:tr w14:paraId="6450CE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28" w:type="dxa"/>
          </w:tcPr>
          <w:p w14:paraId="21F16E2A">
            <w:pPr>
              <w:pStyle w:val="85"/>
              <w:jc w:val="center"/>
              <w:rPr>
                <w:color w:val="auto"/>
                <w:sz w:val="22"/>
                <w:szCs w:val="22"/>
              </w:rPr>
            </w:pPr>
            <w:r>
              <w:rPr>
                <w:color w:val="auto"/>
                <w:sz w:val="22"/>
                <w:szCs w:val="22"/>
              </w:rPr>
              <w:t>2.1</w:t>
            </w:r>
          </w:p>
        </w:tc>
        <w:tc>
          <w:tcPr>
            <w:tcW w:w="7937" w:type="dxa"/>
          </w:tcPr>
          <w:p w14:paraId="1F825372">
            <w:pPr>
              <w:pStyle w:val="85"/>
              <w:jc w:val="both"/>
              <w:rPr>
                <w:color w:val="auto"/>
                <w:sz w:val="22"/>
                <w:szCs w:val="22"/>
              </w:rPr>
            </w:pPr>
            <w:r>
              <w:rPr>
                <w:color w:val="auto"/>
                <w:sz w:val="22"/>
                <w:szCs w:val="22"/>
              </w:rPr>
              <w:t>Сложение и вычитание чисел в пределах 20. Названия компонентов действий, результатов действий сложения, вычитания</w:t>
            </w:r>
          </w:p>
        </w:tc>
      </w:tr>
      <w:tr w14:paraId="48EA1D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28" w:type="dxa"/>
          </w:tcPr>
          <w:p w14:paraId="1D014128">
            <w:pPr>
              <w:pStyle w:val="85"/>
              <w:jc w:val="center"/>
              <w:rPr>
                <w:color w:val="auto"/>
                <w:sz w:val="22"/>
                <w:szCs w:val="22"/>
              </w:rPr>
            </w:pPr>
            <w:r>
              <w:rPr>
                <w:color w:val="auto"/>
                <w:sz w:val="22"/>
                <w:szCs w:val="22"/>
              </w:rPr>
              <w:t>2.2</w:t>
            </w:r>
          </w:p>
        </w:tc>
        <w:tc>
          <w:tcPr>
            <w:tcW w:w="7937" w:type="dxa"/>
          </w:tcPr>
          <w:p w14:paraId="6BF697DA">
            <w:pPr>
              <w:pStyle w:val="85"/>
              <w:jc w:val="both"/>
              <w:rPr>
                <w:color w:val="auto"/>
                <w:sz w:val="22"/>
                <w:szCs w:val="22"/>
              </w:rPr>
            </w:pPr>
            <w:r>
              <w:rPr>
                <w:color w:val="auto"/>
                <w:sz w:val="22"/>
                <w:szCs w:val="22"/>
              </w:rPr>
              <w:t>Вычитание как действие, обратное сложению</w:t>
            </w:r>
          </w:p>
        </w:tc>
      </w:tr>
      <w:tr w14:paraId="4AB7DE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28" w:type="dxa"/>
          </w:tcPr>
          <w:p w14:paraId="5F1F7004">
            <w:pPr>
              <w:pStyle w:val="85"/>
              <w:jc w:val="center"/>
              <w:rPr>
                <w:color w:val="auto"/>
                <w:sz w:val="22"/>
                <w:szCs w:val="22"/>
              </w:rPr>
            </w:pPr>
            <w:r>
              <w:rPr>
                <w:color w:val="auto"/>
                <w:sz w:val="22"/>
                <w:szCs w:val="22"/>
              </w:rPr>
              <w:t>3</w:t>
            </w:r>
          </w:p>
        </w:tc>
        <w:tc>
          <w:tcPr>
            <w:tcW w:w="7937" w:type="dxa"/>
          </w:tcPr>
          <w:p w14:paraId="680462ED">
            <w:pPr>
              <w:pStyle w:val="85"/>
              <w:jc w:val="both"/>
              <w:rPr>
                <w:color w:val="auto"/>
                <w:sz w:val="22"/>
                <w:szCs w:val="22"/>
              </w:rPr>
            </w:pPr>
            <w:r>
              <w:rPr>
                <w:color w:val="auto"/>
                <w:sz w:val="22"/>
                <w:szCs w:val="22"/>
              </w:rPr>
              <w:t>Текстовые задачи</w:t>
            </w:r>
          </w:p>
        </w:tc>
      </w:tr>
      <w:tr w14:paraId="1B68CF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28" w:type="dxa"/>
          </w:tcPr>
          <w:p w14:paraId="63F7A35D">
            <w:pPr>
              <w:pStyle w:val="85"/>
              <w:jc w:val="center"/>
              <w:rPr>
                <w:color w:val="auto"/>
                <w:sz w:val="22"/>
                <w:szCs w:val="22"/>
              </w:rPr>
            </w:pPr>
            <w:r>
              <w:rPr>
                <w:color w:val="auto"/>
                <w:sz w:val="22"/>
                <w:szCs w:val="22"/>
              </w:rPr>
              <w:t>3.1</w:t>
            </w:r>
          </w:p>
        </w:tc>
        <w:tc>
          <w:tcPr>
            <w:tcW w:w="7937" w:type="dxa"/>
          </w:tcPr>
          <w:p w14:paraId="7614D4B9">
            <w:pPr>
              <w:pStyle w:val="85"/>
              <w:jc w:val="both"/>
              <w:rPr>
                <w:color w:val="auto"/>
                <w:sz w:val="22"/>
                <w:szCs w:val="22"/>
              </w:rPr>
            </w:pPr>
            <w:r>
              <w:rPr>
                <w:color w:val="auto"/>
                <w:sz w:val="22"/>
                <w:szCs w:val="22"/>
              </w:rPr>
              <w:t>Текстовая задача: структурные элементы, составление текстовой задачи по образцу. Зависимость между данными и искомой величиной в текстовой задаче</w:t>
            </w:r>
          </w:p>
        </w:tc>
      </w:tr>
      <w:tr w14:paraId="32F247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28" w:type="dxa"/>
          </w:tcPr>
          <w:p w14:paraId="56B5B10B">
            <w:pPr>
              <w:pStyle w:val="85"/>
              <w:jc w:val="center"/>
              <w:rPr>
                <w:color w:val="auto"/>
                <w:sz w:val="22"/>
                <w:szCs w:val="22"/>
              </w:rPr>
            </w:pPr>
            <w:r>
              <w:rPr>
                <w:color w:val="auto"/>
                <w:sz w:val="22"/>
                <w:szCs w:val="22"/>
              </w:rPr>
              <w:t>3.2</w:t>
            </w:r>
          </w:p>
        </w:tc>
        <w:tc>
          <w:tcPr>
            <w:tcW w:w="7937" w:type="dxa"/>
          </w:tcPr>
          <w:p w14:paraId="2F5B7AEF">
            <w:pPr>
              <w:pStyle w:val="85"/>
              <w:jc w:val="both"/>
              <w:rPr>
                <w:color w:val="auto"/>
                <w:sz w:val="22"/>
                <w:szCs w:val="22"/>
              </w:rPr>
            </w:pPr>
            <w:r>
              <w:rPr>
                <w:color w:val="auto"/>
                <w:sz w:val="22"/>
                <w:szCs w:val="22"/>
              </w:rPr>
              <w:t>Решение задач в одно действие</w:t>
            </w:r>
          </w:p>
        </w:tc>
      </w:tr>
      <w:tr w14:paraId="492500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28" w:type="dxa"/>
          </w:tcPr>
          <w:p w14:paraId="00AE68BC">
            <w:pPr>
              <w:pStyle w:val="85"/>
              <w:jc w:val="center"/>
              <w:rPr>
                <w:color w:val="auto"/>
                <w:sz w:val="22"/>
                <w:szCs w:val="22"/>
              </w:rPr>
            </w:pPr>
            <w:r>
              <w:rPr>
                <w:color w:val="auto"/>
                <w:sz w:val="22"/>
                <w:szCs w:val="22"/>
              </w:rPr>
              <w:t>4</w:t>
            </w:r>
          </w:p>
        </w:tc>
        <w:tc>
          <w:tcPr>
            <w:tcW w:w="7937" w:type="dxa"/>
          </w:tcPr>
          <w:p w14:paraId="28CB61F9">
            <w:pPr>
              <w:pStyle w:val="85"/>
              <w:jc w:val="both"/>
              <w:rPr>
                <w:color w:val="auto"/>
                <w:sz w:val="22"/>
                <w:szCs w:val="22"/>
              </w:rPr>
            </w:pPr>
            <w:r>
              <w:rPr>
                <w:color w:val="auto"/>
                <w:sz w:val="22"/>
                <w:szCs w:val="22"/>
              </w:rPr>
              <w:t>Пространственные отношения и геометрические фигуры</w:t>
            </w:r>
          </w:p>
        </w:tc>
      </w:tr>
      <w:tr w14:paraId="5F19F6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28" w:type="dxa"/>
          </w:tcPr>
          <w:p w14:paraId="2FF5EE2D">
            <w:pPr>
              <w:pStyle w:val="85"/>
              <w:jc w:val="center"/>
              <w:rPr>
                <w:color w:val="auto"/>
                <w:sz w:val="22"/>
                <w:szCs w:val="22"/>
              </w:rPr>
            </w:pPr>
            <w:r>
              <w:rPr>
                <w:color w:val="auto"/>
                <w:sz w:val="22"/>
                <w:szCs w:val="22"/>
              </w:rPr>
              <w:t>4.1</w:t>
            </w:r>
          </w:p>
        </w:tc>
        <w:tc>
          <w:tcPr>
            <w:tcW w:w="7937" w:type="dxa"/>
          </w:tcPr>
          <w:p w14:paraId="32F725D7">
            <w:pPr>
              <w:pStyle w:val="85"/>
              <w:jc w:val="both"/>
              <w:rPr>
                <w:color w:val="auto"/>
                <w:sz w:val="22"/>
                <w:szCs w:val="22"/>
              </w:rPr>
            </w:pPr>
            <w:r>
              <w:rPr>
                <w:color w:val="auto"/>
                <w:sz w:val="22"/>
                <w:szCs w:val="22"/>
              </w:rPr>
              <w:t>Расположение предметов и объектов на плоскости, в пространстве, установление пространственных отношений: "слева - справа", "сверху - снизу", "между"</w:t>
            </w:r>
          </w:p>
        </w:tc>
      </w:tr>
      <w:tr w14:paraId="7F9B72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28" w:type="dxa"/>
          </w:tcPr>
          <w:p w14:paraId="44147387">
            <w:pPr>
              <w:pStyle w:val="85"/>
              <w:jc w:val="center"/>
              <w:rPr>
                <w:color w:val="auto"/>
                <w:sz w:val="22"/>
                <w:szCs w:val="22"/>
              </w:rPr>
            </w:pPr>
            <w:r>
              <w:rPr>
                <w:color w:val="auto"/>
                <w:sz w:val="22"/>
                <w:szCs w:val="22"/>
              </w:rPr>
              <w:t>4.2</w:t>
            </w:r>
          </w:p>
        </w:tc>
        <w:tc>
          <w:tcPr>
            <w:tcW w:w="7937" w:type="dxa"/>
          </w:tcPr>
          <w:p w14:paraId="062F7CE2">
            <w:pPr>
              <w:pStyle w:val="85"/>
              <w:jc w:val="both"/>
              <w:rPr>
                <w:color w:val="auto"/>
                <w:sz w:val="22"/>
                <w:szCs w:val="22"/>
              </w:rPr>
            </w:pPr>
            <w:r>
              <w:rPr>
                <w:color w:val="auto"/>
                <w:sz w:val="22"/>
                <w:szCs w:val="22"/>
              </w:rPr>
              <w:t>Геометрические фигуры: распознавание круга, треугольника, прямоугольника, отрезка. Построение отрезка, квадрата, треугольника с помощью линейки на листе в клетку. Измерение длины отрезка в сантиметрах</w:t>
            </w:r>
          </w:p>
        </w:tc>
      </w:tr>
      <w:tr w14:paraId="18A2DB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28" w:type="dxa"/>
          </w:tcPr>
          <w:p w14:paraId="34CB410B">
            <w:pPr>
              <w:pStyle w:val="85"/>
              <w:jc w:val="center"/>
              <w:rPr>
                <w:color w:val="auto"/>
                <w:sz w:val="22"/>
                <w:szCs w:val="22"/>
              </w:rPr>
            </w:pPr>
            <w:r>
              <w:rPr>
                <w:color w:val="auto"/>
                <w:sz w:val="22"/>
                <w:szCs w:val="22"/>
              </w:rPr>
              <w:t>5</w:t>
            </w:r>
          </w:p>
        </w:tc>
        <w:tc>
          <w:tcPr>
            <w:tcW w:w="7937" w:type="dxa"/>
          </w:tcPr>
          <w:p w14:paraId="5B3FD9C1">
            <w:pPr>
              <w:pStyle w:val="85"/>
              <w:jc w:val="both"/>
              <w:rPr>
                <w:color w:val="auto"/>
                <w:sz w:val="22"/>
                <w:szCs w:val="22"/>
              </w:rPr>
            </w:pPr>
            <w:r>
              <w:rPr>
                <w:color w:val="auto"/>
                <w:sz w:val="22"/>
                <w:szCs w:val="22"/>
              </w:rPr>
              <w:t>Математическая информация</w:t>
            </w:r>
          </w:p>
        </w:tc>
      </w:tr>
      <w:tr w14:paraId="7A9BD7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28" w:type="dxa"/>
          </w:tcPr>
          <w:p w14:paraId="07762E9D">
            <w:pPr>
              <w:pStyle w:val="85"/>
              <w:jc w:val="center"/>
              <w:rPr>
                <w:color w:val="auto"/>
                <w:sz w:val="22"/>
                <w:szCs w:val="22"/>
              </w:rPr>
            </w:pPr>
            <w:r>
              <w:rPr>
                <w:color w:val="auto"/>
                <w:sz w:val="22"/>
                <w:szCs w:val="22"/>
              </w:rPr>
              <w:t>5.1</w:t>
            </w:r>
          </w:p>
        </w:tc>
        <w:tc>
          <w:tcPr>
            <w:tcW w:w="7937" w:type="dxa"/>
          </w:tcPr>
          <w:p w14:paraId="3F9CB8F7">
            <w:pPr>
              <w:pStyle w:val="85"/>
              <w:jc w:val="both"/>
              <w:rPr>
                <w:color w:val="auto"/>
                <w:sz w:val="22"/>
                <w:szCs w:val="22"/>
              </w:rPr>
            </w:pPr>
            <w:r>
              <w:rPr>
                <w:color w:val="auto"/>
                <w:sz w:val="22"/>
                <w:szCs w:val="22"/>
              </w:rPr>
              <w:t>Сбор данных об объекте по образцу. Характеристики объекта, группы объектов (количество, форма, размер). Группировка объектов по заданному признаку</w:t>
            </w:r>
          </w:p>
        </w:tc>
      </w:tr>
      <w:tr w14:paraId="6A7FE9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28" w:type="dxa"/>
          </w:tcPr>
          <w:p w14:paraId="3EB582F5">
            <w:pPr>
              <w:pStyle w:val="85"/>
              <w:jc w:val="center"/>
              <w:rPr>
                <w:color w:val="auto"/>
                <w:sz w:val="22"/>
                <w:szCs w:val="22"/>
              </w:rPr>
            </w:pPr>
            <w:r>
              <w:rPr>
                <w:color w:val="auto"/>
                <w:sz w:val="22"/>
                <w:szCs w:val="22"/>
              </w:rPr>
              <w:t>5.2</w:t>
            </w:r>
          </w:p>
        </w:tc>
        <w:tc>
          <w:tcPr>
            <w:tcW w:w="7937" w:type="dxa"/>
          </w:tcPr>
          <w:p w14:paraId="14C026DF">
            <w:pPr>
              <w:pStyle w:val="85"/>
              <w:jc w:val="both"/>
              <w:rPr>
                <w:color w:val="auto"/>
                <w:sz w:val="22"/>
                <w:szCs w:val="22"/>
              </w:rPr>
            </w:pPr>
            <w:r>
              <w:rPr>
                <w:color w:val="auto"/>
                <w:sz w:val="22"/>
                <w:szCs w:val="22"/>
              </w:rPr>
              <w:t>Закономерность в ряду заданных объектов: ее обнаружение, продолжение ряда</w:t>
            </w:r>
          </w:p>
        </w:tc>
      </w:tr>
      <w:tr w14:paraId="7E6479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28" w:type="dxa"/>
          </w:tcPr>
          <w:p w14:paraId="239C147A">
            <w:pPr>
              <w:pStyle w:val="85"/>
              <w:jc w:val="center"/>
              <w:rPr>
                <w:color w:val="auto"/>
                <w:sz w:val="22"/>
                <w:szCs w:val="22"/>
              </w:rPr>
            </w:pPr>
            <w:r>
              <w:rPr>
                <w:color w:val="auto"/>
                <w:sz w:val="22"/>
                <w:szCs w:val="22"/>
              </w:rPr>
              <w:t>5.3</w:t>
            </w:r>
          </w:p>
        </w:tc>
        <w:tc>
          <w:tcPr>
            <w:tcW w:w="7937" w:type="dxa"/>
          </w:tcPr>
          <w:p w14:paraId="6D32F3DA">
            <w:pPr>
              <w:pStyle w:val="85"/>
              <w:jc w:val="both"/>
              <w:rPr>
                <w:color w:val="auto"/>
                <w:sz w:val="22"/>
                <w:szCs w:val="22"/>
              </w:rPr>
            </w:pPr>
            <w:r>
              <w:rPr>
                <w:color w:val="auto"/>
                <w:sz w:val="22"/>
                <w:szCs w:val="22"/>
              </w:rPr>
              <w:t>Верные (истинные) и неверные (ложные) предложения</w:t>
            </w:r>
          </w:p>
        </w:tc>
      </w:tr>
      <w:tr w14:paraId="5C3006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28" w:type="dxa"/>
          </w:tcPr>
          <w:p w14:paraId="62DC55B4">
            <w:pPr>
              <w:pStyle w:val="85"/>
              <w:jc w:val="center"/>
              <w:rPr>
                <w:color w:val="auto"/>
                <w:sz w:val="22"/>
                <w:szCs w:val="22"/>
              </w:rPr>
            </w:pPr>
            <w:r>
              <w:rPr>
                <w:color w:val="auto"/>
                <w:sz w:val="22"/>
                <w:szCs w:val="22"/>
              </w:rPr>
              <w:t>5.4</w:t>
            </w:r>
          </w:p>
        </w:tc>
        <w:tc>
          <w:tcPr>
            <w:tcW w:w="7937" w:type="dxa"/>
          </w:tcPr>
          <w:p w14:paraId="6204C1D1">
            <w:pPr>
              <w:pStyle w:val="85"/>
              <w:jc w:val="both"/>
              <w:rPr>
                <w:color w:val="auto"/>
                <w:sz w:val="22"/>
                <w:szCs w:val="22"/>
              </w:rPr>
            </w:pPr>
            <w:r>
              <w:rPr>
                <w:color w:val="auto"/>
                <w:sz w:val="22"/>
                <w:szCs w:val="22"/>
              </w:rPr>
              <w:t>Чтение таблицы. Извлечение, внесение данных в таблицу. Чтение рисунка, схемы с одним-двумя числовыми данными (значениями данных величин)</w:t>
            </w:r>
          </w:p>
        </w:tc>
      </w:tr>
      <w:tr w14:paraId="117091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28" w:type="dxa"/>
          </w:tcPr>
          <w:p w14:paraId="2DC8215D">
            <w:pPr>
              <w:pStyle w:val="85"/>
              <w:jc w:val="center"/>
              <w:rPr>
                <w:color w:val="auto"/>
                <w:sz w:val="22"/>
                <w:szCs w:val="22"/>
              </w:rPr>
            </w:pPr>
            <w:r>
              <w:rPr>
                <w:color w:val="auto"/>
                <w:sz w:val="22"/>
                <w:szCs w:val="22"/>
              </w:rPr>
              <w:t>5.5</w:t>
            </w:r>
          </w:p>
        </w:tc>
        <w:tc>
          <w:tcPr>
            <w:tcW w:w="7937" w:type="dxa"/>
          </w:tcPr>
          <w:p w14:paraId="4CB61BED">
            <w:pPr>
              <w:pStyle w:val="85"/>
              <w:jc w:val="both"/>
              <w:rPr>
                <w:color w:val="auto"/>
                <w:sz w:val="22"/>
                <w:szCs w:val="22"/>
              </w:rPr>
            </w:pPr>
            <w:r>
              <w:rPr>
                <w:color w:val="auto"/>
                <w:sz w:val="22"/>
                <w:szCs w:val="22"/>
              </w:rPr>
              <w:t>Двух-трехшаговые инструкции, связанные с вычислением, измерением длины, изображением геометрической фигуры</w:t>
            </w:r>
          </w:p>
        </w:tc>
      </w:tr>
    </w:tbl>
    <w:p w14:paraId="6AD4F931">
      <w:pPr>
        <w:pStyle w:val="85"/>
        <w:jc w:val="both"/>
        <w:rPr>
          <w:color w:val="auto"/>
          <w:sz w:val="22"/>
          <w:szCs w:val="22"/>
        </w:rPr>
      </w:pPr>
    </w:p>
    <w:p w14:paraId="54E3C872">
      <w:pPr>
        <w:pStyle w:val="85"/>
        <w:jc w:val="right"/>
        <w:rPr>
          <w:color w:val="auto"/>
          <w:sz w:val="22"/>
          <w:szCs w:val="22"/>
        </w:rPr>
      </w:pPr>
      <w:r>
        <w:rPr>
          <w:color w:val="auto"/>
          <w:sz w:val="22"/>
          <w:szCs w:val="22"/>
        </w:rPr>
        <w:t>Таблица 10.2</w:t>
      </w:r>
    </w:p>
    <w:p w14:paraId="0EC0805E">
      <w:pPr>
        <w:pStyle w:val="85"/>
        <w:jc w:val="both"/>
        <w:rPr>
          <w:color w:val="auto"/>
          <w:sz w:val="22"/>
          <w:szCs w:val="22"/>
        </w:rPr>
      </w:pPr>
    </w:p>
    <w:p w14:paraId="60AFE49F">
      <w:pPr>
        <w:pStyle w:val="85"/>
        <w:jc w:val="center"/>
        <w:rPr>
          <w:color w:val="auto"/>
          <w:sz w:val="22"/>
          <w:szCs w:val="22"/>
        </w:rPr>
      </w:pPr>
      <w:r>
        <w:rPr>
          <w:color w:val="auto"/>
          <w:sz w:val="22"/>
          <w:szCs w:val="22"/>
        </w:rPr>
        <w:t>Проверяемые требования к результатам освоения основной</w:t>
      </w:r>
    </w:p>
    <w:p w14:paraId="360908B0">
      <w:pPr>
        <w:pStyle w:val="85"/>
        <w:jc w:val="center"/>
        <w:rPr>
          <w:color w:val="auto"/>
          <w:sz w:val="22"/>
          <w:szCs w:val="22"/>
        </w:rPr>
      </w:pPr>
      <w:r>
        <w:rPr>
          <w:color w:val="auto"/>
          <w:sz w:val="22"/>
          <w:szCs w:val="22"/>
        </w:rPr>
        <w:t>образовательной программы (2 класс)</w:t>
      </w:r>
    </w:p>
    <w:p w14:paraId="3188BEB5">
      <w:pPr>
        <w:pStyle w:val="85"/>
        <w:jc w:val="both"/>
        <w:rPr>
          <w:color w:val="auto"/>
          <w:sz w:val="22"/>
          <w:szCs w:val="22"/>
        </w:rPr>
      </w:pPr>
    </w:p>
    <w:tbl>
      <w:tblPr>
        <w:tblStyle w:val="1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02" w:type="dxa"/>
          <w:left w:w="62" w:type="dxa"/>
          <w:bottom w:w="102" w:type="dxa"/>
          <w:right w:w="62" w:type="dxa"/>
        </w:tblCellMar>
      </w:tblPr>
      <w:tblGrid>
        <w:gridCol w:w="1701"/>
        <w:gridCol w:w="7370"/>
      </w:tblGrid>
      <w:tr w14:paraId="5BA378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701" w:type="dxa"/>
          </w:tcPr>
          <w:p w14:paraId="5EC65D76">
            <w:pPr>
              <w:pStyle w:val="85"/>
              <w:jc w:val="center"/>
              <w:rPr>
                <w:color w:val="auto"/>
                <w:sz w:val="22"/>
                <w:szCs w:val="22"/>
              </w:rPr>
            </w:pPr>
            <w:r>
              <w:rPr>
                <w:color w:val="auto"/>
                <w:sz w:val="22"/>
                <w:szCs w:val="22"/>
              </w:rPr>
              <w:t>Код проверяемого требования</w:t>
            </w:r>
          </w:p>
        </w:tc>
        <w:tc>
          <w:tcPr>
            <w:tcW w:w="7370" w:type="dxa"/>
          </w:tcPr>
          <w:p w14:paraId="51BA3BB2">
            <w:pPr>
              <w:pStyle w:val="85"/>
              <w:jc w:val="center"/>
              <w:rPr>
                <w:color w:val="auto"/>
                <w:sz w:val="22"/>
                <w:szCs w:val="22"/>
              </w:rPr>
            </w:pPr>
            <w:r>
              <w:rPr>
                <w:color w:val="auto"/>
                <w:sz w:val="22"/>
                <w:szCs w:val="22"/>
              </w:rPr>
              <w:t>Проверяемые требования к предметным результатам освоения основной образовательной программы начального общего образования</w:t>
            </w:r>
          </w:p>
        </w:tc>
      </w:tr>
      <w:tr w14:paraId="244957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701" w:type="dxa"/>
          </w:tcPr>
          <w:p w14:paraId="40597ADE">
            <w:pPr>
              <w:pStyle w:val="85"/>
              <w:jc w:val="center"/>
              <w:rPr>
                <w:color w:val="auto"/>
                <w:sz w:val="22"/>
                <w:szCs w:val="22"/>
              </w:rPr>
            </w:pPr>
            <w:r>
              <w:rPr>
                <w:color w:val="auto"/>
                <w:sz w:val="22"/>
                <w:szCs w:val="22"/>
              </w:rPr>
              <w:t>1.1</w:t>
            </w:r>
          </w:p>
        </w:tc>
        <w:tc>
          <w:tcPr>
            <w:tcW w:w="7370" w:type="dxa"/>
          </w:tcPr>
          <w:p w14:paraId="658D4D75">
            <w:pPr>
              <w:pStyle w:val="85"/>
              <w:jc w:val="both"/>
              <w:rPr>
                <w:color w:val="auto"/>
                <w:sz w:val="22"/>
                <w:szCs w:val="22"/>
              </w:rPr>
            </w:pPr>
            <w:r>
              <w:rPr>
                <w:color w:val="auto"/>
                <w:sz w:val="22"/>
                <w:szCs w:val="22"/>
              </w:rPr>
              <w:t>читать, записывать, сравнивать, упорядочивать числа в пределах 100; находить число, большее или меньшее данного числа на заданное число в пределах 100, большее данного числа в заданное число раз (в пределах 20)</w:t>
            </w:r>
          </w:p>
        </w:tc>
      </w:tr>
      <w:tr w14:paraId="24008B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701" w:type="dxa"/>
          </w:tcPr>
          <w:p w14:paraId="6F38639B">
            <w:pPr>
              <w:pStyle w:val="85"/>
              <w:jc w:val="center"/>
              <w:rPr>
                <w:color w:val="auto"/>
                <w:sz w:val="22"/>
                <w:szCs w:val="22"/>
              </w:rPr>
            </w:pPr>
            <w:r>
              <w:rPr>
                <w:color w:val="auto"/>
                <w:sz w:val="22"/>
                <w:szCs w:val="22"/>
              </w:rPr>
              <w:t>1.2</w:t>
            </w:r>
          </w:p>
        </w:tc>
        <w:tc>
          <w:tcPr>
            <w:tcW w:w="7370" w:type="dxa"/>
          </w:tcPr>
          <w:p w14:paraId="302473BE">
            <w:pPr>
              <w:pStyle w:val="85"/>
              <w:jc w:val="both"/>
              <w:rPr>
                <w:color w:val="auto"/>
                <w:sz w:val="22"/>
                <w:szCs w:val="22"/>
              </w:rPr>
            </w:pPr>
            <w:r>
              <w:rPr>
                <w:color w:val="auto"/>
                <w:sz w:val="22"/>
                <w:szCs w:val="22"/>
              </w:rPr>
              <w:t>устанавливать и соблюдать порядок при вычислении значения числового выражения, содержащего действия сложения и вычитания в пределах 100</w:t>
            </w:r>
          </w:p>
        </w:tc>
      </w:tr>
      <w:tr w14:paraId="34695C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701" w:type="dxa"/>
          </w:tcPr>
          <w:p w14:paraId="53AF998A">
            <w:pPr>
              <w:pStyle w:val="85"/>
              <w:jc w:val="center"/>
              <w:rPr>
                <w:color w:val="auto"/>
                <w:sz w:val="22"/>
                <w:szCs w:val="22"/>
              </w:rPr>
            </w:pPr>
            <w:r>
              <w:rPr>
                <w:color w:val="auto"/>
                <w:sz w:val="22"/>
                <w:szCs w:val="22"/>
              </w:rPr>
              <w:t>1.3</w:t>
            </w:r>
          </w:p>
        </w:tc>
        <w:tc>
          <w:tcPr>
            <w:tcW w:w="7370" w:type="dxa"/>
          </w:tcPr>
          <w:p w14:paraId="408FF53B">
            <w:pPr>
              <w:pStyle w:val="85"/>
              <w:jc w:val="both"/>
              <w:rPr>
                <w:color w:val="auto"/>
                <w:sz w:val="22"/>
                <w:szCs w:val="22"/>
              </w:rPr>
            </w:pPr>
            <w:r>
              <w:rPr>
                <w:color w:val="auto"/>
                <w:sz w:val="22"/>
                <w:szCs w:val="22"/>
              </w:rPr>
              <w:t>выполнять арифметические действия: сложение и вычитание, в пределах 100 - устно и письменно, умножение и деление в пределах 50 с использованием таблицы умножения</w:t>
            </w:r>
          </w:p>
        </w:tc>
      </w:tr>
      <w:tr w14:paraId="0111EB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701" w:type="dxa"/>
          </w:tcPr>
          <w:p w14:paraId="7EEF28E4">
            <w:pPr>
              <w:pStyle w:val="85"/>
              <w:jc w:val="center"/>
              <w:rPr>
                <w:color w:val="auto"/>
                <w:sz w:val="22"/>
                <w:szCs w:val="22"/>
              </w:rPr>
            </w:pPr>
            <w:r>
              <w:rPr>
                <w:color w:val="auto"/>
                <w:sz w:val="22"/>
                <w:szCs w:val="22"/>
              </w:rPr>
              <w:t>1.4</w:t>
            </w:r>
          </w:p>
        </w:tc>
        <w:tc>
          <w:tcPr>
            <w:tcW w:w="7370" w:type="dxa"/>
          </w:tcPr>
          <w:p w14:paraId="659E7ED2">
            <w:pPr>
              <w:pStyle w:val="85"/>
              <w:jc w:val="both"/>
              <w:rPr>
                <w:color w:val="auto"/>
                <w:sz w:val="22"/>
                <w:szCs w:val="22"/>
              </w:rPr>
            </w:pPr>
            <w:r>
              <w:rPr>
                <w:color w:val="auto"/>
                <w:sz w:val="22"/>
                <w:szCs w:val="22"/>
              </w:rPr>
              <w:t>называть и различать компоненты действий умножения, деления</w:t>
            </w:r>
          </w:p>
        </w:tc>
      </w:tr>
      <w:tr w14:paraId="009199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701" w:type="dxa"/>
          </w:tcPr>
          <w:p w14:paraId="18083B0C">
            <w:pPr>
              <w:pStyle w:val="85"/>
              <w:jc w:val="center"/>
              <w:rPr>
                <w:color w:val="auto"/>
                <w:sz w:val="22"/>
                <w:szCs w:val="22"/>
              </w:rPr>
            </w:pPr>
            <w:r>
              <w:rPr>
                <w:color w:val="auto"/>
                <w:sz w:val="22"/>
                <w:szCs w:val="22"/>
              </w:rPr>
              <w:t>1.5</w:t>
            </w:r>
          </w:p>
        </w:tc>
        <w:tc>
          <w:tcPr>
            <w:tcW w:w="7370" w:type="dxa"/>
          </w:tcPr>
          <w:p w14:paraId="4287228A">
            <w:pPr>
              <w:pStyle w:val="85"/>
              <w:jc w:val="both"/>
              <w:rPr>
                <w:color w:val="auto"/>
                <w:sz w:val="22"/>
                <w:szCs w:val="22"/>
              </w:rPr>
            </w:pPr>
            <w:r>
              <w:rPr>
                <w:color w:val="auto"/>
                <w:sz w:val="22"/>
                <w:szCs w:val="22"/>
              </w:rPr>
              <w:t>находить неизвестный компонент сложения, вычитания</w:t>
            </w:r>
          </w:p>
        </w:tc>
      </w:tr>
      <w:tr w14:paraId="32B866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701" w:type="dxa"/>
          </w:tcPr>
          <w:p w14:paraId="546281DF">
            <w:pPr>
              <w:pStyle w:val="85"/>
              <w:jc w:val="center"/>
              <w:rPr>
                <w:color w:val="auto"/>
                <w:sz w:val="22"/>
                <w:szCs w:val="22"/>
              </w:rPr>
            </w:pPr>
            <w:r>
              <w:rPr>
                <w:color w:val="auto"/>
                <w:sz w:val="22"/>
                <w:szCs w:val="22"/>
              </w:rPr>
              <w:t>1.6</w:t>
            </w:r>
          </w:p>
        </w:tc>
        <w:tc>
          <w:tcPr>
            <w:tcW w:w="7370" w:type="dxa"/>
          </w:tcPr>
          <w:p w14:paraId="43C2939E">
            <w:pPr>
              <w:pStyle w:val="85"/>
              <w:jc w:val="both"/>
              <w:rPr>
                <w:color w:val="auto"/>
                <w:sz w:val="22"/>
                <w:szCs w:val="22"/>
              </w:rPr>
            </w:pPr>
            <w:r>
              <w:rPr>
                <w:color w:val="auto"/>
                <w:sz w:val="22"/>
                <w:szCs w:val="22"/>
              </w:rPr>
              <w:t>использовать при выполнении практических заданий единицы длины (сантиметр, дециметр, метр), массы (килограмм), времени (минута, час), стоимости (рубль, копейка); определять с помощью измерительных инструментов длину, определять время с помощью часов</w:t>
            </w:r>
          </w:p>
        </w:tc>
      </w:tr>
      <w:tr w14:paraId="1C1357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701" w:type="dxa"/>
          </w:tcPr>
          <w:p w14:paraId="2CB2655E">
            <w:pPr>
              <w:pStyle w:val="85"/>
              <w:jc w:val="center"/>
              <w:rPr>
                <w:color w:val="auto"/>
                <w:sz w:val="22"/>
                <w:szCs w:val="22"/>
              </w:rPr>
            </w:pPr>
            <w:r>
              <w:rPr>
                <w:color w:val="auto"/>
                <w:sz w:val="22"/>
                <w:szCs w:val="22"/>
              </w:rPr>
              <w:t>1.7</w:t>
            </w:r>
          </w:p>
        </w:tc>
        <w:tc>
          <w:tcPr>
            <w:tcW w:w="7370" w:type="dxa"/>
          </w:tcPr>
          <w:p w14:paraId="147EC5FD">
            <w:pPr>
              <w:pStyle w:val="85"/>
              <w:jc w:val="both"/>
              <w:rPr>
                <w:color w:val="auto"/>
                <w:sz w:val="22"/>
                <w:szCs w:val="22"/>
              </w:rPr>
            </w:pPr>
            <w:r>
              <w:rPr>
                <w:color w:val="auto"/>
                <w:sz w:val="22"/>
                <w:szCs w:val="22"/>
              </w:rPr>
              <w:t>сравнивать величины длины, массы, времени, стоимости, устанавливая между ними соотношение "больше или меньше на"</w:t>
            </w:r>
          </w:p>
        </w:tc>
      </w:tr>
      <w:tr w14:paraId="1E1754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701" w:type="dxa"/>
          </w:tcPr>
          <w:p w14:paraId="023FA5AB">
            <w:pPr>
              <w:pStyle w:val="85"/>
              <w:jc w:val="center"/>
              <w:rPr>
                <w:color w:val="auto"/>
                <w:sz w:val="22"/>
                <w:szCs w:val="22"/>
              </w:rPr>
            </w:pPr>
            <w:r>
              <w:rPr>
                <w:color w:val="auto"/>
                <w:sz w:val="22"/>
                <w:szCs w:val="22"/>
              </w:rPr>
              <w:t>1.8</w:t>
            </w:r>
          </w:p>
        </w:tc>
        <w:tc>
          <w:tcPr>
            <w:tcW w:w="7370" w:type="dxa"/>
          </w:tcPr>
          <w:p w14:paraId="2D2C0200">
            <w:pPr>
              <w:pStyle w:val="85"/>
              <w:jc w:val="both"/>
              <w:rPr>
                <w:color w:val="auto"/>
                <w:sz w:val="22"/>
                <w:szCs w:val="22"/>
              </w:rPr>
            </w:pPr>
            <w:r>
              <w:rPr>
                <w:color w:val="auto"/>
                <w:sz w:val="22"/>
                <w:szCs w:val="22"/>
              </w:rPr>
              <w:t>решать текстовые задачи в одно-два действия: представлять задачу (краткая запись, рисунок, таблица или другая модель), планировать ход решения текстовой задачи в два действия, оформлять его в виде арифметического действия или действий, записывать ответ</w:t>
            </w:r>
          </w:p>
        </w:tc>
      </w:tr>
      <w:tr w14:paraId="5E3854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701" w:type="dxa"/>
          </w:tcPr>
          <w:p w14:paraId="66906FC9">
            <w:pPr>
              <w:pStyle w:val="85"/>
              <w:jc w:val="center"/>
              <w:rPr>
                <w:color w:val="auto"/>
                <w:sz w:val="22"/>
                <w:szCs w:val="22"/>
              </w:rPr>
            </w:pPr>
            <w:r>
              <w:rPr>
                <w:color w:val="auto"/>
                <w:sz w:val="22"/>
                <w:szCs w:val="22"/>
              </w:rPr>
              <w:t>1.9</w:t>
            </w:r>
          </w:p>
        </w:tc>
        <w:tc>
          <w:tcPr>
            <w:tcW w:w="7370" w:type="dxa"/>
          </w:tcPr>
          <w:p w14:paraId="25678E5E">
            <w:pPr>
              <w:pStyle w:val="85"/>
              <w:jc w:val="both"/>
              <w:rPr>
                <w:color w:val="auto"/>
                <w:sz w:val="22"/>
                <w:szCs w:val="22"/>
              </w:rPr>
            </w:pPr>
            <w:r>
              <w:rPr>
                <w:color w:val="auto"/>
                <w:sz w:val="22"/>
                <w:szCs w:val="22"/>
              </w:rPr>
              <w:t>различать и называть геометрические фигуры: прямой угол, ломаную, многоугольник</w:t>
            </w:r>
          </w:p>
        </w:tc>
      </w:tr>
      <w:tr w14:paraId="0F40E1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701" w:type="dxa"/>
          </w:tcPr>
          <w:p w14:paraId="1A5F30B7">
            <w:pPr>
              <w:pStyle w:val="85"/>
              <w:jc w:val="center"/>
              <w:rPr>
                <w:color w:val="auto"/>
                <w:sz w:val="22"/>
                <w:szCs w:val="22"/>
              </w:rPr>
            </w:pPr>
            <w:r>
              <w:rPr>
                <w:color w:val="auto"/>
                <w:sz w:val="22"/>
                <w:szCs w:val="22"/>
              </w:rPr>
              <w:t>1.10</w:t>
            </w:r>
          </w:p>
        </w:tc>
        <w:tc>
          <w:tcPr>
            <w:tcW w:w="7370" w:type="dxa"/>
          </w:tcPr>
          <w:p w14:paraId="6507FEAF">
            <w:pPr>
              <w:pStyle w:val="85"/>
              <w:jc w:val="both"/>
              <w:rPr>
                <w:color w:val="auto"/>
                <w:sz w:val="22"/>
                <w:szCs w:val="22"/>
              </w:rPr>
            </w:pPr>
            <w:r>
              <w:rPr>
                <w:color w:val="auto"/>
                <w:sz w:val="22"/>
                <w:szCs w:val="22"/>
              </w:rPr>
              <w:t>на бумаге в клетку изображать ломаную, многоугольник, чертить с помощью линейки или угольника прямой угол, прямоугольник с заданными длинами сторон</w:t>
            </w:r>
          </w:p>
        </w:tc>
      </w:tr>
      <w:tr w14:paraId="1D9103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701" w:type="dxa"/>
          </w:tcPr>
          <w:p w14:paraId="2B15C891">
            <w:pPr>
              <w:pStyle w:val="85"/>
              <w:jc w:val="center"/>
              <w:rPr>
                <w:color w:val="auto"/>
                <w:sz w:val="22"/>
                <w:szCs w:val="22"/>
              </w:rPr>
            </w:pPr>
            <w:r>
              <w:rPr>
                <w:color w:val="auto"/>
                <w:sz w:val="22"/>
                <w:szCs w:val="22"/>
              </w:rPr>
              <w:t>1.11</w:t>
            </w:r>
          </w:p>
        </w:tc>
        <w:tc>
          <w:tcPr>
            <w:tcW w:w="7370" w:type="dxa"/>
          </w:tcPr>
          <w:p w14:paraId="6512E775">
            <w:pPr>
              <w:pStyle w:val="85"/>
              <w:jc w:val="both"/>
              <w:rPr>
                <w:color w:val="auto"/>
                <w:sz w:val="22"/>
                <w:szCs w:val="22"/>
              </w:rPr>
            </w:pPr>
            <w:r>
              <w:rPr>
                <w:color w:val="auto"/>
                <w:sz w:val="22"/>
                <w:szCs w:val="22"/>
              </w:rPr>
              <w:t>выполнять измерение длин реальных объектов с помощью линейки; находить длину ломаной, состоящей из двух-трех звеньев, периметр прямоугольника (квадрата)</w:t>
            </w:r>
          </w:p>
        </w:tc>
      </w:tr>
      <w:tr w14:paraId="5704DA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701" w:type="dxa"/>
          </w:tcPr>
          <w:p w14:paraId="76CBF82E">
            <w:pPr>
              <w:pStyle w:val="85"/>
              <w:jc w:val="center"/>
              <w:rPr>
                <w:color w:val="auto"/>
                <w:sz w:val="22"/>
                <w:szCs w:val="22"/>
              </w:rPr>
            </w:pPr>
            <w:r>
              <w:rPr>
                <w:color w:val="auto"/>
                <w:sz w:val="22"/>
                <w:szCs w:val="22"/>
              </w:rPr>
              <w:t>1.12</w:t>
            </w:r>
          </w:p>
        </w:tc>
        <w:tc>
          <w:tcPr>
            <w:tcW w:w="7370" w:type="dxa"/>
          </w:tcPr>
          <w:p w14:paraId="0E6B2321">
            <w:pPr>
              <w:pStyle w:val="85"/>
              <w:jc w:val="both"/>
              <w:rPr>
                <w:color w:val="auto"/>
                <w:sz w:val="22"/>
                <w:szCs w:val="22"/>
              </w:rPr>
            </w:pPr>
            <w:r>
              <w:rPr>
                <w:color w:val="auto"/>
                <w:sz w:val="22"/>
                <w:szCs w:val="22"/>
              </w:rPr>
              <w:t>распознавать верные (истинные) и неверные (ложные) утверждения со словами "все", "каждый"; проводить однодвухшаговые логические рассуждения и делать выводы</w:t>
            </w:r>
          </w:p>
        </w:tc>
      </w:tr>
      <w:tr w14:paraId="4C4144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701" w:type="dxa"/>
          </w:tcPr>
          <w:p w14:paraId="68CC0E01">
            <w:pPr>
              <w:pStyle w:val="85"/>
              <w:jc w:val="center"/>
              <w:rPr>
                <w:color w:val="auto"/>
                <w:sz w:val="22"/>
                <w:szCs w:val="22"/>
              </w:rPr>
            </w:pPr>
            <w:r>
              <w:rPr>
                <w:color w:val="auto"/>
                <w:sz w:val="22"/>
                <w:szCs w:val="22"/>
              </w:rPr>
              <w:t>1.13</w:t>
            </w:r>
          </w:p>
        </w:tc>
        <w:tc>
          <w:tcPr>
            <w:tcW w:w="7370" w:type="dxa"/>
          </w:tcPr>
          <w:p w14:paraId="423364F1">
            <w:pPr>
              <w:pStyle w:val="85"/>
              <w:jc w:val="both"/>
              <w:rPr>
                <w:color w:val="auto"/>
                <w:sz w:val="22"/>
                <w:szCs w:val="22"/>
              </w:rPr>
            </w:pPr>
            <w:r>
              <w:rPr>
                <w:color w:val="auto"/>
                <w:sz w:val="22"/>
                <w:szCs w:val="22"/>
              </w:rPr>
              <w:t>находить общий признак группы математических объектов (чисел, величин, геометрических фигур)</w:t>
            </w:r>
          </w:p>
        </w:tc>
      </w:tr>
      <w:tr w14:paraId="7578E3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701" w:type="dxa"/>
          </w:tcPr>
          <w:p w14:paraId="74816F34">
            <w:pPr>
              <w:pStyle w:val="85"/>
              <w:jc w:val="center"/>
              <w:rPr>
                <w:color w:val="auto"/>
                <w:sz w:val="22"/>
                <w:szCs w:val="22"/>
              </w:rPr>
            </w:pPr>
            <w:r>
              <w:rPr>
                <w:color w:val="auto"/>
                <w:sz w:val="22"/>
                <w:szCs w:val="22"/>
              </w:rPr>
              <w:t>1.14</w:t>
            </w:r>
          </w:p>
        </w:tc>
        <w:tc>
          <w:tcPr>
            <w:tcW w:w="7370" w:type="dxa"/>
          </w:tcPr>
          <w:p w14:paraId="061A36CF">
            <w:pPr>
              <w:pStyle w:val="85"/>
              <w:jc w:val="both"/>
              <w:rPr>
                <w:color w:val="auto"/>
                <w:sz w:val="22"/>
                <w:szCs w:val="22"/>
              </w:rPr>
            </w:pPr>
            <w:r>
              <w:rPr>
                <w:color w:val="auto"/>
                <w:sz w:val="22"/>
                <w:szCs w:val="22"/>
              </w:rPr>
              <w:t>находить закономерность в ряду объектов (чисел, геометрических фигур)</w:t>
            </w:r>
          </w:p>
        </w:tc>
      </w:tr>
      <w:tr w14:paraId="74D25A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701" w:type="dxa"/>
          </w:tcPr>
          <w:p w14:paraId="78D1AD88">
            <w:pPr>
              <w:pStyle w:val="85"/>
              <w:jc w:val="center"/>
              <w:rPr>
                <w:color w:val="auto"/>
                <w:sz w:val="22"/>
                <w:szCs w:val="22"/>
              </w:rPr>
            </w:pPr>
            <w:r>
              <w:rPr>
                <w:color w:val="auto"/>
                <w:sz w:val="22"/>
                <w:szCs w:val="22"/>
              </w:rPr>
              <w:t>1.15</w:t>
            </w:r>
          </w:p>
        </w:tc>
        <w:tc>
          <w:tcPr>
            <w:tcW w:w="7370" w:type="dxa"/>
          </w:tcPr>
          <w:p w14:paraId="15FF642D">
            <w:pPr>
              <w:pStyle w:val="85"/>
              <w:jc w:val="both"/>
              <w:rPr>
                <w:color w:val="auto"/>
                <w:sz w:val="22"/>
                <w:szCs w:val="22"/>
              </w:rPr>
            </w:pPr>
            <w:r>
              <w:rPr>
                <w:color w:val="auto"/>
                <w:sz w:val="22"/>
                <w:szCs w:val="22"/>
              </w:rPr>
              <w:t>представлять информацию в заданной форме: дополнять текст задачи числами, заполнять строку или столбец таблицы, указывать числовые данные на рисунке</w:t>
            </w:r>
          </w:p>
        </w:tc>
      </w:tr>
      <w:tr w14:paraId="221EB8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701" w:type="dxa"/>
          </w:tcPr>
          <w:p w14:paraId="658613E1">
            <w:pPr>
              <w:pStyle w:val="85"/>
              <w:jc w:val="center"/>
              <w:rPr>
                <w:color w:val="auto"/>
                <w:sz w:val="22"/>
                <w:szCs w:val="22"/>
              </w:rPr>
            </w:pPr>
            <w:r>
              <w:rPr>
                <w:color w:val="auto"/>
                <w:sz w:val="22"/>
                <w:szCs w:val="22"/>
              </w:rPr>
              <w:t>1.16</w:t>
            </w:r>
          </w:p>
        </w:tc>
        <w:tc>
          <w:tcPr>
            <w:tcW w:w="7370" w:type="dxa"/>
          </w:tcPr>
          <w:p w14:paraId="7E11F0C5">
            <w:pPr>
              <w:pStyle w:val="85"/>
              <w:jc w:val="both"/>
              <w:rPr>
                <w:color w:val="auto"/>
                <w:sz w:val="22"/>
                <w:szCs w:val="22"/>
              </w:rPr>
            </w:pPr>
            <w:r>
              <w:rPr>
                <w:color w:val="auto"/>
                <w:sz w:val="22"/>
                <w:szCs w:val="22"/>
              </w:rPr>
              <w:t>сравнивать группы объектов (находить общее, различное)</w:t>
            </w:r>
          </w:p>
        </w:tc>
      </w:tr>
      <w:tr w14:paraId="1EB063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701" w:type="dxa"/>
          </w:tcPr>
          <w:p w14:paraId="1C90E34F">
            <w:pPr>
              <w:pStyle w:val="85"/>
              <w:jc w:val="center"/>
              <w:rPr>
                <w:color w:val="auto"/>
                <w:sz w:val="22"/>
                <w:szCs w:val="22"/>
              </w:rPr>
            </w:pPr>
            <w:r>
              <w:rPr>
                <w:color w:val="auto"/>
                <w:sz w:val="22"/>
                <w:szCs w:val="22"/>
              </w:rPr>
              <w:t>1.17</w:t>
            </w:r>
          </w:p>
        </w:tc>
        <w:tc>
          <w:tcPr>
            <w:tcW w:w="7370" w:type="dxa"/>
          </w:tcPr>
          <w:p w14:paraId="6B0619A1">
            <w:pPr>
              <w:pStyle w:val="85"/>
              <w:jc w:val="both"/>
              <w:rPr>
                <w:color w:val="auto"/>
                <w:sz w:val="22"/>
                <w:szCs w:val="22"/>
              </w:rPr>
            </w:pPr>
            <w:r>
              <w:rPr>
                <w:color w:val="auto"/>
                <w:sz w:val="22"/>
                <w:szCs w:val="22"/>
              </w:rPr>
              <w:t>обнаруживать модели геометрических фигур в окружающем мире</w:t>
            </w:r>
          </w:p>
        </w:tc>
      </w:tr>
      <w:tr w14:paraId="5C6EBB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701" w:type="dxa"/>
          </w:tcPr>
          <w:p w14:paraId="2C80153D">
            <w:pPr>
              <w:pStyle w:val="85"/>
              <w:jc w:val="center"/>
              <w:rPr>
                <w:color w:val="auto"/>
                <w:sz w:val="22"/>
                <w:szCs w:val="22"/>
              </w:rPr>
            </w:pPr>
            <w:r>
              <w:rPr>
                <w:color w:val="auto"/>
                <w:sz w:val="22"/>
                <w:szCs w:val="22"/>
              </w:rPr>
              <w:t>1.18</w:t>
            </w:r>
          </w:p>
        </w:tc>
        <w:tc>
          <w:tcPr>
            <w:tcW w:w="7370" w:type="dxa"/>
          </w:tcPr>
          <w:p w14:paraId="0693B739">
            <w:pPr>
              <w:pStyle w:val="85"/>
              <w:jc w:val="both"/>
              <w:rPr>
                <w:color w:val="auto"/>
                <w:sz w:val="22"/>
                <w:szCs w:val="22"/>
              </w:rPr>
            </w:pPr>
            <w:r>
              <w:rPr>
                <w:color w:val="auto"/>
                <w:sz w:val="22"/>
                <w:szCs w:val="22"/>
              </w:rPr>
              <w:t>подбирать примеры, подтверждающие суждение, ответ</w:t>
            </w:r>
          </w:p>
        </w:tc>
      </w:tr>
      <w:tr w14:paraId="05C1B1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701" w:type="dxa"/>
          </w:tcPr>
          <w:p w14:paraId="67916858">
            <w:pPr>
              <w:pStyle w:val="85"/>
              <w:jc w:val="center"/>
              <w:rPr>
                <w:color w:val="auto"/>
                <w:sz w:val="22"/>
                <w:szCs w:val="22"/>
              </w:rPr>
            </w:pPr>
            <w:r>
              <w:rPr>
                <w:color w:val="auto"/>
                <w:sz w:val="22"/>
                <w:szCs w:val="22"/>
              </w:rPr>
              <w:t>1.19</w:t>
            </w:r>
          </w:p>
        </w:tc>
        <w:tc>
          <w:tcPr>
            <w:tcW w:w="7370" w:type="dxa"/>
          </w:tcPr>
          <w:p w14:paraId="228A8ADE">
            <w:pPr>
              <w:pStyle w:val="85"/>
              <w:jc w:val="both"/>
              <w:rPr>
                <w:color w:val="auto"/>
                <w:sz w:val="22"/>
                <w:szCs w:val="22"/>
              </w:rPr>
            </w:pPr>
            <w:r>
              <w:rPr>
                <w:color w:val="auto"/>
                <w:sz w:val="22"/>
                <w:szCs w:val="22"/>
              </w:rPr>
              <w:t>составлять (дополнять) текстовую задачу</w:t>
            </w:r>
          </w:p>
        </w:tc>
      </w:tr>
      <w:tr w14:paraId="6B4B1E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701" w:type="dxa"/>
          </w:tcPr>
          <w:p w14:paraId="68CA01B4">
            <w:pPr>
              <w:pStyle w:val="85"/>
              <w:jc w:val="center"/>
              <w:rPr>
                <w:color w:val="auto"/>
                <w:sz w:val="22"/>
                <w:szCs w:val="22"/>
              </w:rPr>
            </w:pPr>
            <w:r>
              <w:rPr>
                <w:color w:val="auto"/>
                <w:sz w:val="22"/>
                <w:szCs w:val="22"/>
              </w:rPr>
              <w:t>1.20</w:t>
            </w:r>
          </w:p>
        </w:tc>
        <w:tc>
          <w:tcPr>
            <w:tcW w:w="7370" w:type="dxa"/>
          </w:tcPr>
          <w:p w14:paraId="44B0B37C">
            <w:pPr>
              <w:pStyle w:val="85"/>
              <w:jc w:val="both"/>
              <w:rPr>
                <w:color w:val="auto"/>
                <w:sz w:val="22"/>
                <w:szCs w:val="22"/>
              </w:rPr>
            </w:pPr>
            <w:r>
              <w:rPr>
                <w:color w:val="auto"/>
                <w:sz w:val="22"/>
                <w:szCs w:val="22"/>
              </w:rPr>
              <w:t>проверять правильность вычисления, измерения</w:t>
            </w:r>
          </w:p>
        </w:tc>
      </w:tr>
    </w:tbl>
    <w:p w14:paraId="2F15CD99">
      <w:pPr>
        <w:pStyle w:val="85"/>
        <w:jc w:val="both"/>
        <w:rPr>
          <w:color w:val="auto"/>
          <w:sz w:val="22"/>
          <w:szCs w:val="22"/>
        </w:rPr>
      </w:pPr>
    </w:p>
    <w:p w14:paraId="5E287D9F">
      <w:pPr>
        <w:pStyle w:val="85"/>
        <w:jc w:val="right"/>
        <w:rPr>
          <w:color w:val="auto"/>
          <w:sz w:val="22"/>
          <w:szCs w:val="22"/>
        </w:rPr>
      </w:pPr>
      <w:r>
        <w:rPr>
          <w:color w:val="auto"/>
          <w:sz w:val="22"/>
          <w:szCs w:val="22"/>
        </w:rPr>
        <w:t>Таблица 10.3</w:t>
      </w:r>
    </w:p>
    <w:p w14:paraId="5B969DDE">
      <w:pPr>
        <w:pStyle w:val="85"/>
        <w:jc w:val="both"/>
        <w:rPr>
          <w:color w:val="auto"/>
          <w:sz w:val="22"/>
          <w:szCs w:val="22"/>
        </w:rPr>
      </w:pPr>
    </w:p>
    <w:p w14:paraId="60919898">
      <w:pPr>
        <w:pStyle w:val="85"/>
        <w:jc w:val="center"/>
        <w:rPr>
          <w:color w:val="auto"/>
          <w:sz w:val="22"/>
          <w:szCs w:val="22"/>
        </w:rPr>
      </w:pPr>
      <w:r>
        <w:rPr>
          <w:color w:val="auto"/>
          <w:sz w:val="22"/>
          <w:szCs w:val="22"/>
        </w:rPr>
        <w:t>Проверяемые элементы содержания (2 класс)</w:t>
      </w:r>
    </w:p>
    <w:p w14:paraId="75BAFBBD">
      <w:pPr>
        <w:pStyle w:val="85"/>
        <w:jc w:val="both"/>
        <w:rPr>
          <w:color w:val="auto"/>
          <w:sz w:val="22"/>
          <w:szCs w:val="22"/>
        </w:rPr>
      </w:pPr>
    </w:p>
    <w:tbl>
      <w:tblPr>
        <w:tblStyle w:val="1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02" w:type="dxa"/>
          <w:left w:w="62" w:type="dxa"/>
          <w:bottom w:w="102" w:type="dxa"/>
          <w:right w:w="62" w:type="dxa"/>
        </w:tblCellMar>
      </w:tblPr>
      <w:tblGrid>
        <w:gridCol w:w="1134"/>
        <w:gridCol w:w="7937"/>
      </w:tblGrid>
      <w:tr w14:paraId="23F2B4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tcPr>
          <w:p w14:paraId="1D74B5E0">
            <w:pPr>
              <w:pStyle w:val="85"/>
              <w:jc w:val="center"/>
              <w:rPr>
                <w:color w:val="auto"/>
                <w:sz w:val="22"/>
                <w:szCs w:val="22"/>
              </w:rPr>
            </w:pPr>
            <w:r>
              <w:rPr>
                <w:color w:val="auto"/>
                <w:sz w:val="22"/>
                <w:szCs w:val="22"/>
              </w:rPr>
              <w:t>Код</w:t>
            </w:r>
          </w:p>
        </w:tc>
        <w:tc>
          <w:tcPr>
            <w:tcW w:w="7937" w:type="dxa"/>
          </w:tcPr>
          <w:p w14:paraId="0E163177">
            <w:pPr>
              <w:pStyle w:val="85"/>
              <w:jc w:val="center"/>
              <w:rPr>
                <w:color w:val="auto"/>
                <w:sz w:val="22"/>
                <w:szCs w:val="22"/>
              </w:rPr>
            </w:pPr>
            <w:r>
              <w:rPr>
                <w:color w:val="auto"/>
                <w:sz w:val="22"/>
                <w:szCs w:val="22"/>
              </w:rPr>
              <w:t>Проверяемый элемент содержания</w:t>
            </w:r>
          </w:p>
        </w:tc>
      </w:tr>
      <w:tr w14:paraId="7D930E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tcPr>
          <w:p w14:paraId="63A9D4A2">
            <w:pPr>
              <w:pStyle w:val="85"/>
              <w:jc w:val="center"/>
              <w:rPr>
                <w:color w:val="auto"/>
                <w:sz w:val="22"/>
                <w:szCs w:val="22"/>
              </w:rPr>
            </w:pPr>
            <w:r>
              <w:rPr>
                <w:color w:val="auto"/>
                <w:sz w:val="22"/>
                <w:szCs w:val="22"/>
              </w:rPr>
              <w:t>1</w:t>
            </w:r>
          </w:p>
        </w:tc>
        <w:tc>
          <w:tcPr>
            <w:tcW w:w="7937" w:type="dxa"/>
          </w:tcPr>
          <w:p w14:paraId="7F3A0C1C">
            <w:pPr>
              <w:pStyle w:val="85"/>
              <w:jc w:val="both"/>
              <w:rPr>
                <w:color w:val="auto"/>
                <w:sz w:val="22"/>
                <w:szCs w:val="22"/>
              </w:rPr>
            </w:pPr>
            <w:r>
              <w:rPr>
                <w:color w:val="auto"/>
                <w:sz w:val="22"/>
                <w:szCs w:val="22"/>
              </w:rPr>
              <w:t>Числа и величины</w:t>
            </w:r>
          </w:p>
        </w:tc>
      </w:tr>
      <w:tr w14:paraId="09BEDD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tcPr>
          <w:p w14:paraId="34B8430B">
            <w:pPr>
              <w:pStyle w:val="85"/>
              <w:jc w:val="center"/>
              <w:rPr>
                <w:color w:val="auto"/>
                <w:sz w:val="22"/>
                <w:szCs w:val="22"/>
              </w:rPr>
            </w:pPr>
            <w:r>
              <w:rPr>
                <w:color w:val="auto"/>
                <w:sz w:val="22"/>
                <w:szCs w:val="22"/>
              </w:rPr>
              <w:t>1.1</w:t>
            </w:r>
          </w:p>
        </w:tc>
        <w:tc>
          <w:tcPr>
            <w:tcW w:w="7937" w:type="dxa"/>
          </w:tcPr>
          <w:p w14:paraId="571B497F">
            <w:pPr>
              <w:pStyle w:val="85"/>
              <w:jc w:val="both"/>
              <w:rPr>
                <w:color w:val="auto"/>
                <w:sz w:val="22"/>
                <w:szCs w:val="22"/>
              </w:rPr>
            </w:pPr>
            <w:r>
              <w:rPr>
                <w:color w:val="auto"/>
                <w:sz w:val="22"/>
                <w:szCs w:val="22"/>
              </w:rPr>
              <w:t>Числа в пределах 100: чтение, запись, десятичный состав, сравнение. Запись равенства, неравенства</w:t>
            </w:r>
          </w:p>
        </w:tc>
      </w:tr>
      <w:tr w14:paraId="08FD9A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tcPr>
          <w:p w14:paraId="48ED6119">
            <w:pPr>
              <w:pStyle w:val="85"/>
              <w:jc w:val="center"/>
              <w:rPr>
                <w:color w:val="auto"/>
                <w:sz w:val="22"/>
                <w:szCs w:val="22"/>
              </w:rPr>
            </w:pPr>
            <w:r>
              <w:rPr>
                <w:color w:val="auto"/>
                <w:sz w:val="22"/>
                <w:szCs w:val="22"/>
              </w:rPr>
              <w:t>1.2</w:t>
            </w:r>
          </w:p>
        </w:tc>
        <w:tc>
          <w:tcPr>
            <w:tcW w:w="7937" w:type="dxa"/>
          </w:tcPr>
          <w:p w14:paraId="767E583D">
            <w:pPr>
              <w:pStyle w:val="85"/>
              <w:jc w:val="both"/>
              <w:rPr>
                <w:color w:val="auto"/>
                <w:sz w:val="22"/>
                <w:szCs w:val="22"/>
              </w:rPr>
            </w:pPr>
            <w:r>
              <w:rPr>
                <w:color w:val="auto"/>
                <w:sz w:val="22"/>
                <w:szCs w:val="22"/>
              </w:rPr>
              <w:t>Увеличение, уменьшение числа на несколько единиц, десятков. Разностное сравнение чисел</w:t>
            </w:r>
          </w:p>
        </w:tc>
      </w:tr>
      <w:tr w14:paraId="0DCED6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tcPr>
          <w:p w14:paraId="146537F9">
            <w:pPr>
              <w:pStyle w:val="85"/>
              <w:jc w:val="center"/>
              <w:rPr>
                <w:color w:val="auto"/>
                <w:sz w:val="22"/>
                <w:szCs w:val="22"/>
              </w:rPr>
            </w:pPr>
            <w:r>
              <w:rPr>
                <w:color w:val="auto"/>
                <w:sz w:val="22"/>
                <w:szCs w:val="22"/>
              </w:rPr>
              <w:t>1.3</w:t>
            </w:r>
          </w:p>
        </w:tc>
        <w:tc>
          <w:tcPr>
            <w:tcW w:w="7937" w:type="dxa"/>
          </w:tcPr>
          <w:p w14:paraId="49FDD1F4">
            <w:pPr>
              <w:pStyle w:val="85"/>
              <w:jc w:val="both"/>
              <w:rPr>
                <w:color w:val="auto"/>
                <w:sz w:val="22"/>
                <w:szCs w:val="22"/>
              </w:rPr>
            </w:pPr>
            <w:r>
              <w:rPr>
                <w:color w:val="auto"/>
                <w:sz w:val="22"/>
                <w:szCs w:val="22"/>
              </w:rPr>
              <w:t>Величины: сравнение по массе, времени, измерение длины. Соотношение между единицами величины (в пределах 100), его применение для решения практических задач</w:t>
            </w:r>
          </w:p>
        </w:tc>
      </w:tr>
      <w:tr w14:paraId="19A2DA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tcPr>
          <w:p w14:paraId="51E1B8FF">
            <w:pPr>
              <w:pStyle w:val="85"/>
              <w:jc w:val="center"/>
              <w:rPr>
                <w:color w:val="auto"/>
                <w:sz w:val="22"/>
                <w:szCs w:val="22"/>
              </w:rPr>
            </w:pPr>
            <w:r>
              <w:rPr>
                <w:color w:val="auto"/>
                <w:sz w:val="22"/>
                <w:szCs w:val="22"/>
              </w:rPr>
              <w:t>2</w:t>
            </w:r>
          </w:p>
        </w:tc>
        <w:tc>
          <w:tcPr>
            <w:tcW w:w="7937" w:type="dxa"/>
          </w:tcPr>
          <w:p w14:paraId="5F236923">
            <w:pPr>
              <w:pStyle w:val="85"/>
              <w:jc w:val="both"/>
              <w:rPr>
                <w:color w:val="auto"/>
                <w:sz w:val="22"/>
                <w:szCs w:val="22"/>
              </w:rPr>
            </w:pPr>
            <w:r>
              <w:rPr>
                <w:color w:val="auto"/>
                <w:sz w:val="22"/>
                <w:szCs w:val="22"/>
              </w:rPr>
              <w:t>Арифметические действия</w:t>
            </w:r>
          </w:p>
        </w:tc>
      </w:tr>
      <w:tr w14:paraId="4D2A05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tcPr>
          <w:p w14:paraId="59C88F9C">
            <w:pPr>
              <w:pStyle w:val="85"/>
              <w:jc w:val="center"/>
              <w:rPr>
                <w:color w:val="auto"/>
                <w:sz w:val="22"/>
                <w:szCs w:val="22"/>
              </w:rPr>
            </w:pPr>
            <w:r>
              <w:rPr>
                <w:color w:val="auto"/>
                <w:sz w:val="22"/>
                <w:szCs w:val="22"/>
              </w:rPr>
              <w:t>2.1</w:t>
            </w:r>
          </w:p>
        </w:tc>
        <w:tc>
          <w:tcPr>
            <w:tcW w:w="7937" w:type="dxa"/>
          </w:tcPr>
          <w:p w14:paraId="188965E1">
            <w:pPr>
              <w:pStyle w:val="85"/>
              <w:jc w:val="both"/>
              <w:rPr>
                <w:color w:val="auto"/>
                <w:sz w:val="22"/>
                <w:szCs w:val="22"/>
              </w:rPr>
            </w:pPr>
            <w:r>
              <w:rPr>
                <w:color w:val="auto"/>
                <w:sz w:val="22"/>
                <w:szCs w:val="22"/>
              </w:rPr>
              <w:t>Устное и письменное сложение и вычитание чисел в пределах 100</w:t>
            </w:r>
          </w:p>
        </w:tc>
      </w:tr>
      <w:tr w14:paraId="47472B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tcPr>
          <w:p w14:paraId="6AAF04B3">
            <w:pPr>
              <w:pStyle w:val="85"/>
              <w:jc w:val="center"/>
              <w:rPr>
                <w:color w:val="auto"/>
                <w:sz w:val="22"/>
                <w:szCs w:val="22"/>
              </w:rPr>
            </w:pPr>
            <w:r>
              <w:rPr>
                <w:color w:val="auto"/>
                <w:sz w:val="22"/>
                <w:szCs w:val="22"/>
              </w:rPr>
              <w:t>2.2</w:t>
            </w:r>
          </w:p>
        </w:tc>
        <w:tc>
          <w:tcPr>
            <w:tcW w:w="7937" w:type="dxa"/>
          </w:tcPr>
          <w:p w14:paraId="6BCE8D64">
            <w:pPr>
              <w:pStyle w:val="85"/>
              <w:jc w:val="both"/>
              <w:rPr>
                <w:color w:val="auto"/>
                <w:sz w:val="22"/>
                <w:szCs w:val="22"/>
              </w:rPr>
            </w:pPr>
            <w:r>
              <w:rPr>
                <w:color w:val="auto"/>
                <w:sz w:val="22"/>
                <w:szCs w:val="22"/>
              </w:rPr>
              <w:t>Переместительное, сочетательное свойства сложения, их применение для вычислений. Взаимосвязь компонентов и результата действия сложения, действия вычитания. Проверка результата вычисления</w:t>
            </w:r>
          </w:p>
        </w:tc>
      </w:tr>
      <w:tr w14:paraId="08A120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tcPr>
          <w:p w14:paraId="7E61B563">
            <w:pPr>
              <w:pStyle w:val="85"/>
              <w:jc w:val="center"/>
              <w:rPr>
                <w:color w:val="auto"/>
                <w:sz w:val="22"/>
                <w:szCs w:val="22"/>
              </w:rPr>
            </w:pPr>
            <w:r>
              <w:rPr>
                <w:color w:val="auto"/>
                <w:sz w:val="22"/>
                <w:szCs w:val="22"/>
              </w:rPr>
              <w:t>2.3</w:t>
            </w:r>
          </w:p>
        </w:tc>
        <w:tc>
          <w:tcPr>
            <w:tcW w:w="7937" w:type="dxa"/>
          </w:tcPr>
          <w:p w14:paraId="08679B8C">
            <w:pPr>
              <w:pStyle w:val="85"/>
              <w:jc w:val="both"/>
              <w:rPr>
                <w:color w:val="auto"/>
                <w:sz w:val="22"/>
                <w:szCs w:val="22"/>
              </w:rPr>
            </w:pPr>
            <w:r>
              <w:rPr>
                <w:color w:val="auto"/>
                <w:sz w:val="22"/>
                <w:szCs w:val="22"/>
              </w:rPr>
              <w:t>Действия умножения и деления чисел в практических и учебных ситуациях. Названия компонентов действий умножения, деления</w:t>
            </w:r>
          </w:p>
        </w:tc>
      </w:tr>
      <w:tr w14:paraId="19382A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tcPr>
          <w:p w14:paraId="3D960356">
            <w:pPr>
              <w:pStyle w:val="85"/>
              <w:jc w:val="center"/>
              <w:rPr>
                <w:color w:val="auto"/>
                <w:sz w:val="22"/>
                <w:szCs w:val="22"/>
              </w:rPr>
            </w:pPr>
            <w:r>
              <w:rPr>
                <w:color w:val="auto"/>
                <w:sz w:val="22"/>
                <w:szCs w:val="22"/>
              </w:rPr>
              <w:t>2.4</w:t>
            </w:r>
          </w:p>
        </w:tc>
        <w:tc>
          <w:tcPr>
            <w:tcW w:w="7937" w:type="dxa"/>
          </w:tcPr>
          <w:p w14:paraId="04D6AD30">
            <w:pPr>
              <w:pStyle w:val="85"/>
              <w:jc w:val="both"/>
              <w:rPr>
                <w:color w:val="auto"/>
                <w:sz w:val="22"/>
                <w:szCs w:val="22"/>
              </w:rPr>
            </w:pPr>
            <w:r>
              <w:rPr>
                <w:color w:val="auto"/>
                <w:sz w:val="22"/>
                <w:szCs w:val="22"/>
              </w:rPr>
              <w:t>Табличное умножение в пределах 50 при вычислениях и решении задач. Переместительное свойство умножения. Взаимосвязь компонентов и результата действия умножения, действия деления</w:t>
            </w:r>
          </w:p>
        </w:tc>
      </w:tr>
      <w:tr w14:paraId="317355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tcPr>
          <w:p w14:paraId="7B347F9C">
            <w:pPr>
              <w:pStyle w:val="85"/>
              <w:jc w:val="center"/>
              <w:rPr>
                <w:color w:val="auto"/>
                <w:sz w:val="22"/>
                <w:szCs w:val="22"/>
              </w:rPr>
            </w:pPr>
            <w:r>
              <w:rPr>
                <w:color w:val="auto"/>
                <w:sz w:val="22"/>
                <w:szCs w:val="22"/>
              </w:rPr>
              <w:t>2.5</w:t>
            </w:r>
          </w:p>
        </w:tc>
        <w:tc>
          <w:tcPr>
            <w:tcW w:w="7937" w:type="dxa"/>
          </w:tcPr>
          <w:p w14:paraId="7BE116B6">
            <w:pPr>
              <w:pStyle w:val="85"/>
              <w:jc w:val="both"/>
              <w:rPr>
                <w:color w:val="auto"/>
                <w:sz w:val="22"/>
                <w:szCs w:val="22"/>
              </w:rPr>
            </w:pPr>
            <w:r>
              <w:rPr>
                <w:color w:val="auto"/>
                <w:sz w:val="22"/>
                <w:szCs w:val="22"/>
              </w:rPr>
              <w:t>Неизвестный компонент действия сложения, действия вычитания. Нахождение неизвестного компонента сложения, вычитания</w:t>
            </w:r>
          </w:p>
        </w:tc>
      </w:tr>
      <w:tr w14:paraId="159334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tcPr>
          <w:p w14:paraId="27653B49">
            <w:pPr>
              <w:pStyle w:val="85"/>
              <w:jc w:val="center"/>
              <w:rPr>
                <w:color w:val="auto"/>
                <w:sz w:val="22"/>
                <w:szCs w:val="22"/>
              </w:rPr>
            </w:pPr>
            <w:r>
              <w:rPr>
                <w:color w:val="auto"/>
                <w:sz w:val="22"/>
                <w:szCs w:val="22"/>
              </w:rPr>
              <w:t>2.6</w:t>
            </w:r>
          </w:p>
        </w:tc>
        <w:tc>
          <w:tcPr>
            <w:tcW w:w="7937" w:type="dxa"/>
          </w:tcPr>
          <w:p w14:paraId="5F522201">
            <w:pPr>
              <w:pStyle w:val="85"/>
              <w:jc w:val="both"/>
              <w:rPr>
                <w:color w:val="auto"/>
                <w:sz w:val="22"/>
                <w:szCs w:val="22"/>
              </w:rPr>
            </w:pPr>
            <w:r>
              <w:rPr>
                <w:color w:val="auto"/>
                <w:sz w:val="22"/>
                <w:szCs w:val="22"/>
              </w:rPr>
              <w:t>Числовое выражение: чтение, запись, вычисление значения, использование переместительного свойства. Порядок выполнения действий в числовом выражении, содержащем действия сложения и вычитания (со скобками или без скобок) в пределах 100 (не более трех действий)</w:t>
            </w:r>
          </w:p>
        </w:tc>
      </w:tr>
      <w:tr w14:paraId="4BA7D5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tcPr>
          <w:p w14:paraId="1D4005E8">
            <w:pPr>
              <w:pStyle w:val="85"/>
              <w:jc w:val="center"/>
              <w:rPr>
                <w:color w:val="auto"/>
                <w:sz w:val="22"/>
                <w:szCs w:val="22"/>
              </w:rPr>
            </w:pPr>
            <w:r>
              <w:rPr>
                <w:color w:val="auto"/>
                <w:sz w:val="22"/>
                <w:szCs w:val="22"/>
              </w:rPr>
              <w:t>3</w:t>
            </w:r>
          </w:p>
        </w:tc>
        <w:tc>
          <w:tcPr>
            <w:tcW w:w="7937" w:type="dxa"/>
          </w:tcPr>
          <w:p w14:paraId="526464AF">
            <w:pPr>
              <w:pStyle w:val="85"/>
              <w:jc w:val="both"/>
              <w:rPr>
                <w:color w:val="auto"/>
                <w:sz w:val="22"/>
                <w:szCs w:val="22"/>
              </w:rPr>
            </w:pPr>
            <w:r>
              <w:rPr>
                <w:color w:val="auto"/>
                <w:sz w:val="22"/>
                <w:szCs w:val="22"/>
              </w:rPr>
              <w:t>Текстовые задачи</w:t>
            </w:r>
          </w:p>
        </w:tc>
      </w:tr>
      <w:tr w14:paraId="05D4FE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tcPr>
          <w:p w14:paraId="561DE624">
            <w:pPr>
              <w:pStyle w:val="85"/>
              <w:jc w:val="center"/>
              <w:rPr>
                <w:color w:val="auto"/>
                <w:sz w:val="22"/>
                <w:szCs w:val="22"/>
              </w:rPr>
            </w:pPr>
            <w:r>
              <w:rPr>
                <w:color w:val="auto"/>
                <w:sz w:val="22"/>
                <w:szCs w:val="22"/>
              </w:rPr>
              <w:t>3.1</w:t>
            </w:r>
          </w:p>
        </w:tc>
        <w:tc>
          <w:tcPr>
            <w:tcW w:w="7937" w:type="dxa"/>
          </w:tcPr>
          <w:p w14:paraId="24C340A2">
            <w:pPr>
              <w:pStyle w:val="85"/>
              <w:jc w:val="both"/>
              <w:rPr>
                <w:color w:val="auto"/>
                <w:sz w:val="22"/>
                <w:szCs w:val="22"/>
              </w:rPr>
            </w:pPr>
            <w:r>
              <w:rPr>
                <w:color w:val="auto"/>
                <w:sz w:val="22"/>
                <w:szCs w:val="22"/>
              </w:rPr>
              <w:t>Чтение, представление текста задачи в виде рисунка, схемы или другой модели. План решения задачи в два действия, выбор соответствующих плану арифметических действий. Запись решения и ответа задачи</w:t>
            </w:r>
          </w:p>
        </w:tc>
      </w:tr>
      <w:tr w14:paraId="72315E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tcPr>
          <w:p w14:paraId="626A2E45">
            <w:pPr>
              <w:pStyle w:val="85"/>
              <w:jc w:val="center"/>
              <w:rPr>
                <w:color w:val="auto"/>
                <w:sz w:val="22"/>
                <w:szCs w:val="22"/>
              </w:rPr>
            </w:pPr>
            <w:r>
              <w:rPr>
                <w:color w:val="auto"/>
                <w:sz w:val="22"/>
                <w:szCs w:val="22"/>
              </w:rPr>
              <w:t>3.2</w:t>
            </w:r>
          </w:p>
        </w:tc>
        <w:tc>
          <w:tcPr>
            <w:tcW w:w="7937" w:type="dxa"/>
          </w:tcPr>
          <w:p w14:paraId="29171337">
            <w:pPr>
              <w:pStyle w:val="85"/>
              <w:jc w:val="both"/>
              <w:rPr>
                <w:color w:val="auto"/>
                <w:sz w:val="22"/>
                <w:szCs w:val="22"/>
              </w:rPr>
            </w:pPr>
            <w:r>
              <w:rPr>
                <w:color w:val="auto"/>
                <w:sz w:val="22"/>
                <w:szCs w:val="22"/>
              </w:rPr>
              <w:t>Решение текстовых задач на применение смысла арифметического действия (сложение, вычитание, умножение, деление). Расчетные задачи на увеличение или уменьшение величины. Фиксация ответа к задаче и его проверка</w:t>
            </w:r>
          </w:p>
        </w:tc>
      </w:tr>
      <w:tr w14:paraId="079474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tcPr>
          <w:p w14:paraId="2574B3F6">
            <w:pPr>
              <w:pStyle w:val="85"/>
              <w:jc w:val="center"/>
              <w:rPr>
                <w:color w:val="auto"/>
                <w:sz w:val="22"/>
                <w:szCs w:val="22"/>
              </w:rPr>
            </w:pPr>
            <w:r>
              <w:rPr>
                <w:color w:val="auto"/>
                <w:sz w:val="22"/>
                <w:szCs w:val="22"/>
              </w:rPr>
              <w:t>4</w:t>
            </w:r>
          </w:p>
        </w:tc>
        <w:tc>
          <w:tcPr>
            <w:tcW w:w="7937" w:type="dxa"/>
          </w:tcPr>
          <w:p w14:paraId="22832B28">
            <w:pPr>
              <w:pStyle w:val="85"/>
              <w:jc w:val="both"/>
              <w:rPr>
                <w:color w:val="auto"/>
                <w:sz w:val="22"/>
                <w:szCs w:val="22"/>
              </w:rPr>
            </w:pPr>
            <w:r>
              <w:rPr>
                <w:color w:val="auto"/>
                <w:sz w:val="22"/>
                <w:szCs w:val="22"/>
              </w:rPr>
              <w:t>Пространственные отношения и геометрические фигуры</w:t>
            </w:r>
          </w:p>
        </w:tc>
      </w:tr>
      <w:tr w14:paraId="52163B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134" w:type="dxa"/>
          </w:tcPr>
          <w:p w14:paraId="53B36C02">
            <w:pPr>
              <w:pStyle w:val="85"/>
              <w:jc w:val="center"/>
              <w:rPr>
                <w:color w:val="auto"/>
                <w:sz w:val="22"/>
                <w:szCs w:val="22"/>
              </w:rPr>
            </w:pPr>
            <w:r>
              <w:rPr>
                <w:color w:val="auto"/>
                <w:sz w:val="22"/>
                <w:szCs w:val="22"/>
              </w:rPr>
              <w:t>4.1</w:t>
            </w:r>
          </w:p>
        </w:tc>
        <w:tc>
          <w:tcPr>
            <w:tcW w:w="7937" w:type="dxa"/>
          </w:tcPr>
          <w:p w14:paraId="41B741D2">
            <w:pPr>
              <w:pStyle w:val="85"/>
              <w:jc w:val="both"/>
              <w:rPr>
                <w:color w:val="auto"/>
                <w:sz w:val="22"/>
                <w:szCs w:val="22"/>
              </w:rPr>
            </w:pPr>
            <w:r>
              <w:rPr>
                <w:color w:val="auto"/>
                <w:sz w:val="22"/>
                <w:szCs w:val="22"/>
              </w:rPr>
              <w:t>Распознавание и изображение геометрических фигур: точка, прямая, прямой угол, ломаная, многоугольник</w:t>
            </w:r>
          </w:p>
        </w:tc>
      </w:tr>
      <w:tr w14:paraId="5BC6A4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tcPr>
          <w:p w14:paraId="37CD7F57">
            <w:pPr>
              <w:pStyle w:val="85"/>
              <w:jc w:val="center"/>
              <w:rPr>
                <w:color w:val="auto"/>
                <w:sz w:val="22"/>
                <w:szCs w:val="22"/>
              </w:rPr>
            </w:pPr>
            <w:r>
              <w:rPr>
                <w:color w:val="auto"/>
                <w:sz w:val="22"/>
                <w:szCs w:val="22"/>
              </w:rPr>
              <w:t>4.2</w:t>
            </w:r>
          </w:p>
        </w:tc>
        <w:tc>
          <w:tcPr>
            <w:tcW w:w="7937" w:type="dxa"/>
          </w:tcPr>
          <w:p w14:paraId="51CFCFF5">
            <w:pPr>
              <w:pStyle w:val="85"/>
              <w:jc w:val="both"/>
              <w:rPr>
                <w:color w:val="auto"/>
                <w:sz w:val="22"/>
                <w:szCs w:val="22"/>
              </w:rPr>
            </w:pPr>
            <w:r>
              <w:rPr>
                <w:color w:val="auto"/>
                <w:sz w:val="22"/>
                <w:szCs w:val="22"/>
              </w:rPr>
              <w:t>Построение отрезка заданной длины с помощью линейки. Изображение на клетчатой бумаге прямоугольника с заданными длинами сторон, квадрата с заданной длиной стороны. Длина ломаной. Измерение периметра изображенного прямоугольника (квадрата), запись результата измерения</w:t>
            </w:r>
          </w:p>
        </w:tc>
      </w:tr>
      <w:tr w14:paraId="16952B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tcPr>
          <w:p w14:paraId="6BAF689D">
            <w:pPr>
              <w:pStyle w:val="85"/>
              <w:jc w:val="center"/>
              <w:rPr>
                <w:color w:val="auto"/>
                <w:sz w:val="22"/>
                <w:szCs w:val="22"/>
              </w:rPr>
            </w:pPr>
            <w:r>
              <w:rPr>
                <w:color w:val="auto"/>
                <w:sz w:val="22"/>
                <w:szCs w:val="22"/>
              </w:rPr>
              <w:t>5</w:t>
            </w:r>
          </w:p>
        </w:tc>
        <w:tc>
          <w:tcPr>
            <w:tcW w:w="7937" w:type="dxa"/>
          </w:tcPr>
          <w:p w14:paraId="3B339F1B">
            <w:pPr>
              <w:pStyle w:val="85"/>
              <w:jc w:val="both"/>
              <w:rPr>
                <w:color w:val="auto"/>
                <w:sz w:val="22"/>
                <w:szCs w:val="22"/>
              </w:rPr>
            </w:pPr>
            <w:r>
              <w:rPr>
                <w:color w:val="auto"/>
                <w:sz w:val="22"/>
                <w:szCs w:val="22"/>
              </w:rPr>
              <w:t>Математическая информация</w:t>
            </w:r>
          </w:p>
        </w:tc>
      </w:tr>
      <w:tr w14:paraId="5AEB6B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tcPr>
          <w:p w14:paraId="13A2D493">
            <w:pPr>
              <w:pStyle w:val="85"/>
              <w:jc w:val="center"/>
              <w:rPr>
                <w:color w:val="auto"/>
                <w:sz w:val="22"/>
                <w:szCs w:val="22"/>
              </w:rPr>
            </w:pPr>
            <w:r>
              <w:rPr>
                <w:color w:val="auto"/>
                <w:sz w:val="22"/>
                <w:szCs w:val="22"/>
              </w:rPr>
              <w:t>5.1</w:t>
            </w:r>
          </w:p>
        </w:tc>
        <w:tc>
          <w:tcPr>
            <w:tcW w:w="7937" w:type="dxa"/>
          </w:tcPr>
          <w:p w14:paraId="59D34D38">
            <w:pPr>
              <w:pStyle w:val="85"/>
              <w:jc w:val="both"/>
              <w:rPr>
                <w:color w:val="auto"/>
                <w:sz w:val="22"/>
                <w:szCs w:val="22"/>
              </w:rPr>
            </w:pPr>
            <w:r>
              <w:rPr>
                <w:color w:val="auto"/>
                <w:sz w:val="22"/>
                <w:szCs w:val="22"/>
              </w:rPr>
              <w:t>Нахождение, формулирование одного-двух общих признаков набора математических объектов: чисел, величин, геометрических фигур. Классификация объектов по заданному или самостоятельно установленному признаку. Закономерность в ряду чисел, геометрических фигур, объектов повседневной жизни</w:t>
            </w:r>
          </w:p>
        </w:tc>
      </w:tr>
      <w:tr w14:paraId="18EF2F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tcPr>
          <w:p w14:paraId="7048E5D7">
            <w:pPr>
              <w:pStyle w:val="85"/>
              <w:jc w:val="center"/>
              <w:rPr>
                <w:color w:val="auto"/>
                <w:sz w:val="22"/>
                <w:szCs w:val="22"/>
              </w:rPr>
            </w:pPr>
            <w:r>
              <w:rPr>
                <w:color w:val="auto"/>
                <w:sz w:val="22"/>
                <w:szCs w:val="22"/>
              </w:rPr>
              <w:t>5.2</w:t>
            </w:r>
          </w:p>
        </w:tc>
        <w:tc>
          <w:tcPr>
            <w:tcW w:w="7937" w:type="dxa"/>
          </w:tcPr>
          <w:p w14:paraId="6C727BA5">
            <w:pPr>
              <w:pStyle w:val="85"/>
              <w:jc w:val="both"/>
              <w:rPr>
                <w:color w:val="auto"/>
                <w:sz w:val="22"/>
                <w:szCs w:val="22"/>
              </w:rPr>
            </w:pPr>
            <w:r>
              <w:rPr>
                <w:color w:val="auto"/>
                <w:sz w:val="22"/>
                <w:szCs w:val="22"/>
              </w:rPr>
              <w:t>Верные (истинные) и неверные (ложные) утверждения, содержащие количественные, пространственные отношения, зависимости между числами или величинами. Конструирование утверждений с использованием слов "каждый", "все"</w:t>
            </w:r>
          </w:p>
        </w:tc>
      </w:tr>
      <w:tr w14:paraId="1E69E8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tcPr>
          <w:p w14:paraId="52787227">
            <w:pPr>
              <w:pStyle w:val="85"/>
              <w:jc w:val="center"/>
              <w:rPr>
                <w:color w:val="auto"/>
                <w:sz w:val="22"/>
                <w:szCs w:val="22"/>
              </w:rPr>
            </w:pPr>
            <w:r>
              <w:rPr>
                <w:color w:val="auto"/>
                <w:sz w:val="22"/>
                <w:szCs w:val="22"/>
              </w:rPr>
              <w:t>5.3</w:t>
            </w:r>
          </w:p>
        </w:tc>
        <w:tc>
          <w:tcPr>
            <w:tcW w:w="7937" w:type="dxa"/>
          </w:tcPr>
          <w:p w14:paraId="7C4D6FE6">
            <w:pPr>
              <w:pStyle w:val="85"/>
              <w:jc w:val="both"/>
              <w:rPr>
                <w:color w:val="auto"/>
                <w:sz w:val="22"/>
                <w:szCs w:val="22"/>
              </w:rPr>
            </w:pPr>
            <w:r>
              <w:rPr>
                <w:color w:val="auto"/>
                <w:sz w:val="22"/>
                <w:szCs w:val="22"/>
              </w:rPr>
              <w:t>Работа с таблицами: извлечение и использование для ответа на вопрос информации, представленной в таблице</w:t>
            </w:r>
          </w:p>
        </w:tc>
      </w:tr>
      <w:tr w14:paraId="219ECE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tcPr>
          <w:p w14:paraId="312CE103">
            <w:pPr>
              <w:pStyle w:val="85"/>
              <w:jc w:val="center"/>
              <w:rPr>
                <w:color w:val="auto"/>
                <w:sz w:val="22"/>
                <w:szCs w:val="22"/>
              </w:rPr>
            </w:pPr>
            <w:r>
              <w:rPr>
                <w:color w:val="auto"/>
                <w:sz w:val="22"/>
                <w:szCs w:val="22"/>
              </w:rPr>
              <w:t>5.4</w:t>
            </w:r>
          </w:p>
        </w:tc>
        <w:tc>
          <w:tcPr>
            <w:tcW w:w="7937" w:type="dxa"/>
          </w:tcPr>
          <w:p w14:paraId="0A23AB9F">
            <w:pPr>
              <w:pStyle w:val="85"/>
              <w:jc w:val="both"/>
              <w:rPr>
                <w:color w:val="auto"/>
                <w:sz w:val="22"/>
                <w:szCs w:val="22"/>
              </w:rPr>
            </w:pPr>
            <w:r>
              <w:rPr>
                <w:color w:val="auto"/>
                <w:sz w:val="22"/>
                <w:szCs w:val="22"/>
              </w:rPr>
              <w:t>Внесение данных в таблицу, дополнение моделей (схем, изображений) готовыми числовыми данными</w:t>
            </w:r>
          </w:p>
        </w:tc>
      </w:tr>
      <w:tr w14:paraId="6602BF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tcPr>
          <w:p w14:paraId="57E7DAC7">
            <w:pPr>
              <w:pStyle w:val="85"/>
              <w:jc w:val="center"/>
              <w:rPr>
                <w:color w:val="auto"/>
                <w:sz w:val="22"/>
                <w:szCs w:val="22"/>
              </w:rPr>
            </w:pPr>
            <w:r>
              <w:rPr>
                <w:color w:val="auto"/>
                <w:sz w:val="22"/>
                <w:szCs w:val="22"/>
              </w:rPr>
              <w:t>5.5</w:t>
            </w:r>
          </w:p>
        </w:tc>
        <w:tc>
          <w:tcPr>
            <w:tcW w:w="7937" w:type="dxa"/>
          </w:tcPr>
          <w:p w14:paraId="055C7CDF">
            <w:pPr>
              <w:pStyle w:val="85"/>
              <w:jc w:val="both"/>
              <w:rPr>
                <w:color w:val="auto"/>
                <w:sz w:val="22"/>
                <w:szCs w:val="22"/>
              </w:rPr>
            </w:pPr>
            <w:r>
              <w:rPr>
                <w:color w:val="auto"/>
                <w:sz w:val="22"/>
                <w:szCs w:val="22"/>
              </w:rPr>
              <w:t>Алгоритмы (приемы, правила) устных и письменных вычислений, измерений и построения геометрических фигур</w:t>
            </w:r>
          </w:p>
        </w:tc>
      </w:tr>
      <w:tr w14:paraId="48B9B0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tcPr>
          <w:p w14:paraId="68056B0C">
            <w:pPr>
              <w:pStyle w:val="85"/>
              <w:jc w:val="center"/>
              <w:rPr>
                <w:color w:val="auto"/>
                <w:sz w:val="22"/>
                <w:szCs w:val="22"/>
              </w:rPr>
            </w:pPr>
            <w:r>
              <w:rPr>
                <w:color w:val="auto"/>
                <w:sz w:val="22"/>
                <w:szCs w:val="22"/>
              </w:rPr>
              <w:t>5.6</w:t>
            </w:r>
          </w:p>
        </w:tc>
        <w:tc>
          <w:tcPr>
            <w:tcW w:w="7937" w:type="dxa"/>
          </w:tcPr>
          <w:p w14:paraId="1311BB51">
            <w:pPr>
              <w:pStyle w:val="85"/>
              <w:jc w:val="both"/>
              <w:rPr>
                <w:color w:val="auto"/>
                <w:sz w:val="22"/>
                <w:szCs w:val="22"/>
              </w:rPr>
            </w:pPr>
            <w:r>
              <w:rPr>
                <w:color w:val="auto"/>
                <w:sz w:val="22"/>
                <w:szCs w:val="22"/>
              </w:rPr>
              <w:t>Правила работы с электронными средствами обучения</w:t>
            </w:r>
          </w:p>
        </w:tc>
      </w:tr>
    </w:tbl>
    <w:p w14:paraId="1C00E922">
      <w:pPr>
        <w:pStyle w:val="85"/>
        <w:jc w:val="both"/>
        <w:rPr>
          <w:color w:val="auto"/>
          <w:sz w:val="22"/>
          <w:szCs w:val="22"/>
        </w:rPr>
      </w:pPr>
    </w:p>
    <w:p w14:paraId="0C1645D6">
      <w:pPr>
        <w:pStyle w:val="85"/>
        <w:jc w:val="right"/>
        <w:rPr>
          <w:color w:val="auto"/>
          <w:sz w:val="22"/>
          <w:szCs w:val="22"/>
        </w:rPr>
      </w:pPr>
      <w:r>
        <w:rPr>
          <w:color w:val="auto"/>
          <w:sz w:val="22"/>
          <w:szCs w:val="22"/>
        </w:rPr>
        <w:t>Таблица 10.4</w:t>
      </w:r>
    </w:p>
    <w:p w14:paraId="647C7350">
      <w:pPr>
        <w:pStyle w:val="85"/>
        <w:jc w:val="both"/>
        <w:rPr>
          <w:color w:val="auto"/>
          <w:sz w:val="22"/>
          <w:szCs w:val="22"/>
        </w:rPr>
      </w:pPr>
    </w:p>
    <w:p w14:paraId="111D16A6">
      <w:pPr>
        <w:pStyle w:val="85"/>
        <w:jc w:val="center"/>
        <w:rPr>
          <w:color w:val="auto"/>
          <w:sz w:val="22"/>
          <w:szCs w:val="22"/>
        </w:rPr>
      </w:pPr>
      <w:r>
        <w:rPr>
          <w:color w:val="auto"/>
          <w:sz w:val="22"/>
          <w:szCs w:val="22"/>
        </w:rPr>
        <w:t>Проверяемые требования к результатам освоения основной</w:t>
      </w:r>
    </w:p>
    <w:p w14:paraId="1F9C7E69">
      <w:pPr>
        <w:pStyle w:val="85"/>
        <w:jc w:val="center"/>
        <w:rPr>
          <w:color w:val="auto"/>
          <w:sz w:val="22"/>
          <w:szCs w:val="22"/>
        </w:rPr>
      </w:pPr>
      <w:r>
        <w:rPr>
          <w:color w:val="auto"/>
          <w:sz w:val="22"/>
          <w:szCs w:val="22"/>
        </w:rPr>
        <w:t>образовательной программы (3 класс)</w:t>
      </w:r>
    </w:p>
    <w:p w14:paraId="3AD08190">
      <w:pPr>
        <w:pStyle w:val="85"/>
        <w:jc w:val="both"/>
        <w:rPr>
          <w:color w:val="auto"/>
          <w:sz w:val="22"/>
          <w:szCs w:val="22"/>
        </w:rPr>
      </w:pPr>
    </w:p>
    <w:tbl>
      <w:tblPr>
        <w:tblStyle w:val="1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02" w:type="dxa"/>
          <w:left w:w="62" w:type="dxa"/>
          <w:bottom w:w="102" w:type="dxa"/>
          <w:right w:w="62" w:type="dxa"/>
        </w:tblCellMar>
      </w:tblPr>
      <w:tblGrid>
        <w:gridCol w:w="1701"/>
        <w:gridCol w:w="7370"/>
      </w:tblGrid>
      <w:tr w14:paraId="52ED03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701" w:type="dxa"/>
          </w:tcPr>
          <w:p w14:paraId="63A80059">
            <w:pPr>
              <w:pStyle w:val="85"/>
              <w:jc w:val="center"/>
              <w:rPr>
                <w:color w:val="auto"/>
                <w:sz w:val="22"/>
                <w:szCs w:val="22"/>
              </w:rPr>
            </w:pPr>
            <w:r>
              <w:rPr>
                <w:color w:val="auto"/>
                <w:sz w:val="22"/>
                <w:szCs w:val="22"/>
              </w:rPr>
              <w:t>Код проверяемого результата</w:t>
            </w:r>
          </w:p>
        </w:tc>
        <w:tc>
          <w:tcPr>
            <w:tcW w:w="7370" w:type="dxa"/>
          </w:tcPr>
          <w:p w14:paraId="43B7D1D7">
            <w:pPr>
              <w:pStyle w:val="85"/>
              <w:jc w:val="both"/>
              <w:rPr>
                <w:color w:val="auto"/>
                <w:sz w:val="22"/>
                <w:szCs w:val="22"/>
              </w:rPr>
            </w:pPr>
            <w:r>
              <w:rPr>
                <w:color w:val="auto"/>
                <w:sz w:val="22"/>
                <w:szCs w:val="22"/>
              </w:rPr>
              <w:t>Проверяемые предметные результаты освоения основной образовательной программы начального общего образования</w:t>
            </w:r>
          </w:p>
        </w:tc>
      </w:tr>
      <w:tr w14:paraId="0E6331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701" w:type="dxa"/>
          </w:tcPr>
          <w:p w14:paraId="18E2576F">
            <w:pPr>
              <w:pStyle w:val="85"/>
              <w:jc w:val="center"/>
              <w:rPr>
                <w:color w:val="auto"/>
                <w:sz w:val="22"/>
                <w:szCs w:val="22"/>
              </w:rPr>
            </w:pPr>
            <w:r>
              <w:rPr>
                <w:color w:val="auto"/>
                <w:sz w:val="22"/>
                <w:szCs w:val="22"/>
              </w:rPr>
              <w:t>1.1</w:t>
            </w:r>
          </w:p>
        </w:tc>
        <w:tc>
          <w:tcPr>
            <w:tcW w:w="7370" w:type="dxa"/>
          </w:tcPr>
          <w:p w14:paraId="6D1CF848">
            <w:pPr>
              <w:pStyle w:val="85"/>
              <w:jc w:val="both"/>
              <w:rPr>
                <w:color w:val="auto"/>
                <w:sz w:val="22"/>
                <w:szCs w:val="22"/>
              </w:rPr>
            </w:pPr>
            <w:r>
              <w:rPr>
                <w:color w:val="auto"/>
                <w:sz w:val="22"/>
                <w:szCs w:val="22"/>
              </w:rPr>
              <w:t>читать, записывать, сравнивать, упорядочивать числа в пределах 1000; находить число, большее или меньшее данного числа на заданное число, в заданное число раз (в пределах 1000)</w:t>
            </w:r>
          </w:p>
        </w:tc>
      </w:tr>
      <w:tr w14:paraId="2FA5BC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701" w:type="dxa"/>
          </w:tcPr>
          <w:p w14:paraId="73EB7EA4">
            <w:pPr>
              <w:pStyle w:val="85"/>
              <w:jc w:val="center"/>
              <w:rPr>
                <w:color w:val="auto"/>
                <w:sz w:val="22"/>
                <w:szCs w:val="22"/>
              </w:rPr>
            </w:pPr>
            <w:r>
              <w:rPr>
                <w:color w:val="auto"/>
                <w:sz w:val="22"/>
                <w:szCs w:val="22"/>
              </w:rPr>
              <w:t>1.2</w:t>
            </w:r>
          </w:p>
        </w:tc>
        <w:tc>
          <w:tcPr>
            <w:tcW w:w="7370" w:type="dxa"/>
          </w:tcPr>
          <w:p w14:paraId="2D3EB529">
            <w:pPr>
              <w:pStyle w:val="85"/>
              <w:jc w:val="both"/>
              <w:rPr>
                <w:color w:val="auto"/>
                <w:sz w:val="22"/>
                <w:szCs w:val="22"/>
              </w:rPr>
            </w:pPr>
            <w:r>
              <w:rPr>
                <w:color w:val="auto"/>
                <w:sz w:val="22"/>
                <w:szCs w:val="22"/>
              </w:rPr>
              <w:t>выполнять арифметические действия: сложение и вычитание, умножение и деление на однозначное число, деление с остатком; выполнять действия умножения и деления с числами 0 и 1</w:t>
            </w:r>
          </w:p>
        </w:tc>
      </w:tr>
      <w:tr w14:paraId="3534F2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701" w:type="dxa"/>
          </w:tcPr>
          <w:p w14:paraId="6138F53C">
            <w:pPr>
              <w:pStyle w:val="85"/>
              <w:jc w:val="center"/>
              <w:rPr>
                <w:color w:val="auto"/>
                <w:sz w:val="22"/>
                <w:szCs w:val="22"/>
              </w:rPr>
            </w:pPr>
            <w:r>
              <w:rPr>
                <w:color w:val="auto"/>
                <w:sz w:val="22"/>
                <w:szCs w:val="22"/>
              </w:rPr>
              <w:t>1.3</w:t>
            </w:r>
          </w:p>
        </w:tc>
        <w:tc>
          <w:tcPr>
            <w:tcW w:w="7370" w:type="dxa"/>
          </w:tcPr>
          <w:p w14:paraId="149E4573">
            <w:pPr>
              <w:pStyle w:val="85"/>
              <w:jc w:val="both"/>
              <w:rPr>
                <w:color w:val="auto"/>
                <w:sz w:val="22"/>
                <w:szCs w:val="22"/>
              </w:rPr>
            </w:pPr>
            <w:r>
              <w:rPr>
                <w:color w:val="auto"/>
                <w:sz w:val="22"/>
                <w:szCs w:val="22"/>
              </w:rPr>
              <w:t>устанавливать и соблюдать порядок действий при вычислении значения числового выражения, содержащего арифметические действия сложения, вычитания, умножения и деления; использовать при вычислениях переместительное и сочетательное свойства сложения</w:t>
            </w:r>
          </w:p>
        </w:tc>
      </w:tr>
      <w:tr w14:paraId="7530A7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701" w:type="dxa"/>
          </w:tcPr>
          <w:p w14:paraId="314EC21D">
            <w:pPr>
              <w:pStyle w:val="85"/>
              <w:jc w:val="center"/>
              <w:rPr>
                <w:color w:val="auto"/>
                <w:sz w:val="22"/>
                <w:szCs w:val="22"/>
              </w:rPr>
            </w:pPr>
            <w:r>
              <w:rPr>
                <w:color w:val="auto"/>
                <w:sz w:val="22"/>
                <w:szCs w:val="22"/>
              </w:rPr>
              <w:t>1.4</w:t>
            </w:r>
          </w:p>
        </w:tc>
        <w:tc>
          <w:tcPr>
            <w:tcW w:w="7370" w:type="dxa"/>
          </w:tcPr>
          <w:p w14:paraId="5F794CD5">
            <w:pPr>
              <w:pStyle w:val="85"/>
              <w:jc w:val="both"/>
              <w:rPr>
                <w:color w:val="auto"/>
                <w:sz w:val="22"/>
                <w:szCs w:val="22"/>
              </w:rPr>
            </w:pPr>
            <w:r>
              <w:rPr>
                <w:color w:val="auto"/>
                <w:sz w:val="22"/>
                <w:szCs w:val="22"/>
              </w:rPr>
              <w:t>находить неизвестный компонент арифметического действия</w:t>
            </w:r>
          </w:p>
        </w:tc>
      </w:tr>
      <w:tr w14:paraId="0D69E1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701" w:type="dxa"/>
          </w:tcPr>
          <w:p w14:paraId="7DBB84A6">
            <w:pPr>
              <w:pStyle w:val="85"/>
              <w:jc w:val="center"/>
              <w:rPr>
                <w:color w:val="auto"/>
                <w:sz w:val="22"/>
                <w:szCs w:val="22"/>
              </w:rPr>
            </w:pPr>
            <w:r>
              <w:rPr>
                <w:color w:val="auto"/>
                <w:sz w:val="22"/>
                <w:szCs w:val="22"/>
              </w:rPr>
              <w:t>1.5</w:t>
            </w:r>
          </w:p>
        </w:tc>
        <w:tc>
          <w:tcPr>
            <w:tcW w:w="7370" w:type="dxa"/>
          </w:tcPr>
          <w:p w14:paraId="75640CBB">
            <w:pPr>
              <w:pStyle w:val="85"/>
              <w:jc w:val="both"/>
              <w:rPr>
                <w:color w:val="auto"/>
                <w:sz w:val="22"/>
                <w:szCs w:val="22"/>
              </w:rPr>
            </w:pPr>
            <w:r>
              <w:rPr>
                <w:color w:val="auto"/>
                <w:sz w:val="22"/>
                <w:szCs w:val="22"/>
              </w:rPr>
              <w:t>использовать при выполнении практических заданий и решении задач единицы: длины (миллиметр, сантиметр, дециметр, метр, километр), массы (грамм, килограмм), времени (минута, час, секунда), стоимости (копейка, рубль); определять с помощью цифровых и аналоговых приборов, измерительных инструментов длину (массу, время), выполнять прикидку и оценку результата измерений, определять продолжительность события</w:t>
            </w:r>
          </w:p>
        </w:tc>
      </w:tr>
      <w:tr w14:paraId="32B250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701" w:type="dxa"/>
          </w:tcPr>
          <w:p w14:paraId="3CA37203">
            <w:pPr>
              <w:pStyle w:val="85"/>
              <w:jc w:val="center"/>
              <w:rPr>
                <w:color w:val="auto"/>
                <w:sz w:val="22"/>
                <w:szCs w:val="22"/>
              </w:rPr>
            </w:pPr>
            <w:r>
              <w:rPr>
                <w:color w:val="auto"/>
                <w:sz w:val="22"/>
                <w:szCs w:val="22"/>
              </w:rPr>
              <w:t>1.6</w:t>
            </w:r>
          </w:p>
        </w:tc>
        <w:tc>
          <w:tcPr>
            <w:tcW w:w="7370" w:type="dxa"/>
          </w:tcPr>
          <w:p w14:paraId="4F0EDD28">
            <w:pPr>
              <w:pStyle w:val="85"/>
              <w:jc w:val="both"/>
              <w:rPr>
                <w:color w:val="auto"/>
                <w:sz w:val="22"/>
                <w:szCs w:val="22"/>
              </w:rPr>
            </w:pPr>
            <w:r>
              <w:rPr>
                <w:color w:val="auto"/>
                <w:sz w:val="22"/>
                <w:szCs w:val="22"/>
              </w:rPr>
              <w:t>сравнивать величины длины, площади, массы, времени, стоимости, устанавливая между ними соотношение "больше или меньше на или в"</w:t>
            </w:r>
          </w:p>
        </w:tc>
      </w:tr>
      <w:tr w14:paraId="2F9048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701" w:type="dxa"/>
          </w:tcPr>
          <w:p w14:paraId="0EAFA39A">
            <w:pPr>
              <w:pStyle w:val="85"/>
              <w:jc w:val="center"/>
              <w:rPr>
                <w:color w:val="auto"/>
                <w:sz w:val="22"/>
                <w:szCs w:val="22"/>
              </w:rPr>
            </w:pPr>
            <w:r>
              <w:rPr>
                <w:color w:val="auto"/>
                <w:sz w:val="22"/>
                <w:szCs w:val="22"/>
              </w:rPr>
              <w:t>1.7</w:t>
            </w:r>
          </w:p>
        </w:tc>
        <w:tc>
          <w:tcPr>
            <w:tcW w:w="7370" w:type="dxa"/>
          </w:tcPr>
          <w:p w14:paraId="7ED9A250">
            <w:pPr>
              <w:pStyle w:val="85"/>
              <w:jc w:val="both"/>
              <w:rPr>
                <w:color w:val="auto"/>
                <w:sz w:val="22"/>
                <w:szCs w:val="22"/>
              </w:rPr>
            </w:pPr>
            <w:r>
              <w:rPr>
                <w:color w:val="auto"/>
                <w:sz w:val="22"/>
                <w:szCs w:val="22"/>
              </w:rPr>
              <w:t>называть, находить долю величины; сравнивать величины, выраженные долями</w:t>
            </w:r>
          </w:p>
        </w:tc>
      </w:tr>
      <w:tr w14:paraId="2CE370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701" w:type="dxa"/>
          </w:tcPr>
          <w:p w14:paraId="7402D6CB">
            <w:pPr>
              <w:pStyle w:val="85"/>
              <w:jc w:val="center"/>
              <w:rPr>
                <w:color w:val="auto"/>
                <w:sz w:val="22"/>
                <w:szCs w:val="22"/>
              </w:rPr>
            </w:pPr>
            <w:r>
              <w:rPr>
                <w:color w:val="auto"/>
                <w:sz w:val="22"/>
                <w:szCs w:val="22"/>
              </w:rPr>
              <w:t>1.8</w:t>
            </w:r>
          </w:p>
        </w:tc>
        <w:tc>
          <w:tcPr>
            <w:tcW w:w="7370" w:type="dxa"/>
          </w:tcPr>
          <w:p w14:paraId="7E618BE3">
            <w:pPr>
              <w:pStyle w:val="85"/>
              <w:jc w:val="both"/>
              <w:rPr>
                <w:color w:val="auto"/>
                <w:sz w:val="22"/>
                <w:szCs w:val="22"/>
              </w:rPr>
            </w:pPr>
            <w:r>
              <w:rPr>
                <w:color w:val="auto"/>
                <w:sz w:val="22"/>
                <w:szCs w:val="22"/>
              </w:rPr>
              <w:t>использовать при решении задач и в практических ситуациях (покупка товара, определение времени, выполнение расчетов) соотношение между величинами</w:t>
            </w:r>
          </w:p>
        </w:tc>
      </w:tr>
      <w:tr w14:paraId="6BA0B5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701" w:type="dxa"/>
          </w:tcPr>
          <w:p w14:paraId="61B761A9">
            <w:pPr>
              <w:pStyle w:val="85"/>
              <w:jc w:val="center"/>
              <w:rPr>
                <w:color w:val="auto"/>
                <w:sz w:val="22"/>
                <w:szCs w:val="22"/>
              </w:rPr>
            </w:pPr>
            <w:r>
              <w:rPr>
                <w:color w:val="auto"/>
                <w:sz w:val="22"/>
                <w:szCs w:val="22"/>
              </w:rPr>
              <w:t>1.9</w:t>
            </w:r>
          </w:p>
        </w:tc>
        <w:tc>
          <w:tcPr>
            <w:tcW w:w="7370" w:type="dxa"/>
          </w:tcPr>
          <w:p w14:paraId="38AF4AE0">
            <w:pPr>
              <w:pStyle w:val="85"/>
              <w:jc w:val="both"/>
              <w:rPr>
                <w:color w:val="auto"/>
                <w:sz w:val="22"/>
                <w:szCs w:val="22"/>
              </w:rPr>
            </w:pPr>
            <w:r>
              <w:rPr>
                <w:color w:val="auto"/>
                <w:sz w:val="22"/>
                <w:szCs w:val="22"/>
              </w:rPr>
              <w:t>при решении задач выполнять сложение и вычитание однородных величин, умножение и деление величины на однозначное число</w:t>
            </w:r>
          </w:p>
        </w:tc>
      </w:tr>
      <w:tr w14:paraId="13959F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701" w:type="dxa"/>
          </w:tcPr>
          <w:p w14:paraId="7A5A30E8">
            <w:pPr>
              <w:pStyle w:val="85"/>
              <w:jc w:val="center"/>
              <w:rPr>
                <w:color w:val="auto"/>
                <w:sz w:val="22"/>
                <w:szCs w:val="22"/>
              </w:rPr>
            </w:pPr>
            <w:r>
              <w:rPr>
                <w:color w:val="auto"/>
                <w:sz w:val="22"/>
                <w:szCs w:val="22"/>
              </w:rPr>
              <w:t>1.10</w:t>
            </w:r>
          </w:p>
        </w:tc>
        <w:tc>
          <w:tcPr>
            <w:tcW w:w="7370" w:type="dxa"/>
          </w:tcPr>
          <w:p w14:paraId="15E416CC">
            <w:pPr>
              <w:pStyle w:val="85"/>
              <w:jc w:val="both"/>
              <w:rPr>
                <w:color w:val="auto"/>
                <w:sz w:val="22"/>
                <w:szCs w:val="22"/>
              </w:rPr>
            </w:pPr>
            <w:r>
              <w:rPr>
                <w:color w:val="auto"/>
                <w:sz w:val="22"/>
                <w:szCs w:val="22"/>
              </w:rPr>
              <w:t>решать задачи в одно-два действия: представлять текст задачи, планировать ход решения, записывать решение и ответ, анализировать решение (искать другой способ решения), оценивать ответ (устанавливать его реалистичность, проверять вычисления)</w:t>
            </w:r>
          </w:p>
        </w:tc>
      </w:tr>
      <w:tr w14:paraId="52D143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701" w:type="dxa"/>
          </w:tcPr>
          <w:p w14:paraId="462804A2">
            <w:pPr>
              <w:pStyle w:val="85"/>
              <w:jc w:val="center"/>
              <w:rPr>
                <w:color w:val="auto"/>
                <w:sz w:val="22"/>
                <w:szCs w:val="22"/>
              </w:rPr>
            </w:pPr>
            <w:r>
              <w:rPr>
                <w:color w:val="auto"/>
                <w:sz w:val="22"/>
                <w:szCs w:val="22"/>
              </w:rPr>
              <w:t>1.11</w:t>
            </w:r>
          </w:p>
        </w:tc>
        <w:tc>
          <w:tcPr>
            <w:tcW w:w="7370" w:type="dxa"/>
          </w:tcPr>
          <w:p w14:paraId="098F2A5F">
            <w:pPr>
              <w:pStyle w:val="85"/>
              <w:jc w:val="both"/>
              <w:rPr>
                <w:color w:val="auto"/>
                <w:sz w:val="22"/>
                <w:szCs w:val="22"/>
              </w:rPr>
            </w:pPr>
            <w:r>
              <w:rPr>
                <w:color w:val="auto"/>
                <w:sz w:val="22"/>
                <w:szCs w:val="22"/>
              </w:rPr>
              <w:t>конструировать прямоугольник из данных фигур (квадратов), делить прямоугольник, многоугольник на заданные части</w:t>
            </w:r>
          </w:p>
        </w:tc>
      </w:tr>
      <w:tr w14:paraId="3962FE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701" w:type="dxa"/>
          </w:tcPr>
          <w:p w14:paraId="39B82F40">
            <w:pPr>
              <w:pStyle w:val="85"/>
              <w:jc w:val="center"/>
              <w:rPr>
                <w:color w:val="auto"/>
                <w:sz w:val="22"/>
                <w:szCs w:val="22"/>
              </w:rPr>
            </w:pPr>
            <w:r>
              <w:rPr>
                <w:color w:val="auto"/>
                <w:sz w:val="22"/>
                <w:szCs w:val="22"/>
              </w:rPr>
              <w:t>1.12</w:t>
            </w:r>
          </w:p>
        </w:tc>
        <w:tc>
          <w:tcPr>
            <w:tcW w:w="7370" w:type="dxa"/>
          </w:tcPr>
          <w:p w14:paraId="40492C6F">
            <w:pPr>
              <w:pStyle w:val="85"/>
              <w:jc w:val="both"/>
              <w:rPr>
                <w:color w:val="auto"/>
                <w:sz w:val="22"/>
                <w:szCs w:val="22"/>
              </w:rPr>
            </w:pPr>
            <w:r>
              <w:rPr>
                <w:color w:val="auto"/>
                <w:sz w:val="22"/>
                <w:szCs w:val="22"/>
              </w:rPr>
              <w:t>сравнивать фигуры по площади</w:t>
            </w:r>
          </w:p>
        </w:tc>
      </w:tr>
      <w:tr w14:paraId="1C49CC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701" w:type="dxa"/>
          </w:tcPr>
          <w:p w14:paraId="0010EC08">
            <w:pPr>
              <w:pStyle w:val="85"/>
              <w:jc w:val="center"/>
              <w:rPr>
                <w:color w:val="auto"/>
                <w:sz w:val="22"/>
                <w:szCs w:val="22"/>
              </w:rPr>
            </w:pPr>
            <w:r>
              <w:rPr>
                <w:color w:val="auto"/>
                <w:sz w:val="22"/>
                <w:szCs w:val="22"/>
              </w:rPr>
              <w:t>1.13</w:t>
            </w:r>
          </w:p>
        </w:tc>
        <w:tc>
          <w:tcPr>
            <w:tcW w:w="7370" w:type="dxa"/>
          </w:tcPr>
          <w:p w14:paraId="2784FCE4">
            <w:pPr>
              <w:pStyle w:val="85"/>
              <w:jc w:val="both"/>
              <w:rPr>
                <w:color w:val="auto"/>
                <w:sz w:val="22"/>
                <w:szCs w:val="22"/>
              </w:rPr>
            </w:pPr>
            <w:r>
              <w:rPr>
                <w:color w:val="auto"/>
                <w:sz w:val="22"/>
                <w:szCs w:val="22"/>
              </w:rPr>
              <w:t>находить периметр прямоугольника (квадрата), площадь прямоугольника (квадрата)</w:t>
            </w:r>
          </w:p>
        </w:tc>
      </w:tr>
      <w:tr w14:paraId="30DACA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701" w:type="dxa"/>
          </w:tcPr>
          <w:p w14:paraId="5BE9D804">
            <w:pPr>
              <w:pStyle w:val="85"/>
              <w:jc w:val="center"/>
              <w:rPr>
                <w:color w:val="auto"/>
                <w:sz w:val="22"/>
                <w:szCs w:val="22"/>
              </w:rPr>
            </w:pPr>
            <w:r>
              <w:rPr>
                <w:color w:val="auto"/>
                <w:sz w:val="22"/>
                <w:szCs w:val="22"/>
              </w:rPr>
              <w:t>1.14</w:t>
            </w:r>
          </w:p>
        </w:tc>
        <w:tc>
          <w:tcPr>
            <w:tcW w:w="7370" w:type="dxa"/>
          </w:tcPr>
          <w:p w14:paraId="394554FF">
            <w:pPr>
              <w:pStyle w:val="85"/>
              <w:jc w:val="both"/>
              <w:rPr>
                <w:color w:val="auto"/>
                <w:sz w:val="22"/>
                <w:szCs w:val="22"/>
              </w:rPr>
            </w:pPr>
            <w:r>
              <w:rPr>
                <w:color w:val="auto"/>
                <w:sz w:val="22"/>
                <w:szCs w:val="22"/>
              </w:rPr>
              <w:t>распознавать верные (истинные) и неверные (ложные) утверждения со словами: "все", "некоторые", "и", "каждый", "если ..., то..."</w:t>
            </w:r>
          </w:p>
        </w:tc>
      </w:tr>
      <w:tr w14:paraId="731904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701" w:type="dxa"/>
          </w:tcPr>
          <w:p w14:paraId="5A7E3685">
            <w:pPr>
              <w:pStyle w:val="85"/>
              <w:jc w:val="center"/>
              <w:rPr>
                <w:color w:val="auto"/>
                <w:sz w:val="22"/>
                <w:szCs w:val="22"/>
              </w:rPr>
            </w:pPr>
            <w:r>
              <w:rPr>
                <w:color w:val="auto"/>
                <w:sz w:val="22"/>
                <w:szCs w:val="22"/>
              </w:rPr>
              <w:t>1.15</w:t>
            </w:r>
          </w:p>
        </w:tc>
        <w:tc>
          <w:tcPr>
            <w:tcW w:w="7370" w:type="dxa"/>
          </w:tcPr>
          <w:p w14:paraId="1F0E5C63">
            <w:pPr>
              <w:pStyle w:val="85"/>
              <w:jc w:val="both"/>
              <w:rPr>
                <w:color w:val="auto"/>
                <w:sz w:val="22"/>
                <w:szCs w:val="22"/>
              </w:rPr>
            </w:pPr>
            <w:r>
              <w:rPr>
                <w:color w:val="auto"/>
                <w:sz w:val="22"/>
                <w:szCs w:val="22"/>
              </w:rPr>
              <w:t>формулировать утверждение (вывод), строить логические рассуждения (одно-двухшаговые), в том числе с использованием изученных связок</w:t>
            </w:r>
          </w:p>
        </w:tc>
      </w:tr>
      <w:tr w14:paraId="5616ED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701" w:type="dxa"/>
          </w:tcPr>
          <w:p w14:paraId="7B22A285">
            <w:pPr>
              <w:pStyle w:val="85"/>
              <w:jc w:val="center"/>
              <w:rPr>
                <w:color w:val="auto"/>
                <w:sz w:val="22"/>
                <w:szCs w:val="22"/>
              </w:rPr>
            </w:pPr>
            <w:r>
              <w:rPr>
                <w:color w:val="auto"/>
                <w:sz w:val="22"/>
                <w:szCs w:val="22"/>
              </w:rPr>
              <w:t>1.16</w:t>
            </w:r>
          </w:p>
        </w:tc>
        <w:tc>
          <w:tcPr>
            <w:tcW w:w="7370" w:type="dxa"/>
          </w:tcPr>
          <w:p w14:paraId="701560F6">
            <w:pPr>
              <w:pStyle w:val="85"/>
              <w:jc w:val="both"/>
              <w:rPr>
                <w:color w:val="auto"/>
                <w:sz w:val="22"/>
                <w:szCs w:val="22"/>
              </w:rPr>
            </w:pPr>
            <w:r>
              <w:rPr>
                <w:color w:val="auto"/>
                <w:sz w:val="22"/>
                <w:szCs w:val="22"/>
              </w:rPr>
              <w:t>классифицировать объекты по одному-двум признакам</w:t>
            </w:r>
          </w:p>
        </w:tc>
      </w:tr>
      <w:tr w14:paraId="2E6521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701" w:type="dxa"/>
          </w:tcPr>
          <w:p w14:paraId="3D523983">
            <w:pPr>
              <w:pStyle w:val="85"/>
              <w:jc w:val="center"/>
              <w:rPr>
                <w:color w:val="auto"/>
                <w:sz w:val="22"/>
                <w:szCs w:val="22"/>
              </w:rPr>
            </w:pPr>
            <w:r>
              <w:rPr>
                <w:color w:val="auto"/>
                <w:sz w:val="22"/>
                <w:szCs w:val="22"/>
              </w:rPr>
              <w:t>1.17</w:t>
            </w:r>
          </w:p>
        </w:tc>
        <w:tc>
          <w:tcPr>
            <w:tcW w:w="7370" w:type="dxa"/>
          </w:tcPr>
          <w:p w14:paraId="40A93BF6">
            <w:pPr>
              <w:pStyle w:val="85"/>
              <w:jc w:val="both"/>
              <w:rPr>
                <w:color w:val="auto"/>
                <w:sz w:val="22"/>
                <w:szCs w:val="22"/>
              </w:rPr>
            </w:pPr>
            <w:r>
              <w:rPr>
                <w:color w:val="auto"/>
                <w:sz w:val="22"/>
                <w:szCs w:val="22"/>
              </w:rPr>
              <w:t>извлекать, использовать информацию, представленную на простейших диаграммах, в таблицах, на предметах повседневной жизни, а также структурировать информацию: заполнять простейшие таблицы</w:t>
            </w:r>
          </w:p>
        </w:tc>
      </w:tr>
      <w:tr w14:paraId="28F5F3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701" w:type="dxa"/>
          </w:tcPr>
          <w:p w14:paraId="4669E2DA">
            <w:pPr>
              <w:pStyle w:val="85"/>
              <w:jc w:val="center"/>
              <w:rPr>
                <w:color w:val="auto"/>
                <w:sz w:val="22"/>
                <w:szCs w:val="22"/>
              </w:rPr>
            </w:pPr>
            <w:r>
              <w:rPr>
                <w:color w:val="auto"/>
                <w:sz w:val="22"/>
                <w:szCs w:val="22"/>
              </w:rPr>
              <w:t>1.18</w:t>
            </w:r>
          </w:p>
        </w:tc>
        <w:tc>
          <w:tcPr>
            <w:tcW w:w="7370" w:type="dxa"/>
          </w:tcPr>
          <w:p w14:paraId="2543B9CF">
            <w:pPr>
              <w:pStyle w:val="85"/>
              <w:jc w:val="both"/>
              <w:rPr>
                <w:color w:val="auto"/>
                <w:sz w:val="22"/>
                <w:szCs w:val="22"/>
              </w:rPr>
            </w:pPr>
            <w:r>
              <w:rPr>
                <w:color w:val="auto"/>
                <w:sz w:val="22"/>
                <w:szCs w:val="22"/>
              </w:rPr>
              <w:t>составлять план выполнения учебного задания и следовать ему, выполнять действия по алгоритму</w:t>
            </w:r>
          </w:p>
        </w:tc>
      </w:tr>
      <w:tr w14:paraId="431C97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701" w:type="dxa"/>
          </w:tcPr>
          <w:p w14:paraId="16999D1E">
            <w:pPr>
              <w:pStyle w:val="85"/>
              <w:jc w:val="center"/>
              <w:rPr>
                <w:color w:val="auto"/>
                <w:sz w:val="22"/>
                <w:szCs w:val="22"/>
              </w:rPr>
            </w:pPr>
            <w:r>
              <w:rPr>
                <w:color w:val="auto"/>
                <w:sz w:val="22"/>
                <w:szCs w:val="22"/>
              </w:rPr>
              <w:t>1.19</w:t>
            </w:r>
          </w:p>
        </w:tc>
        <w:tc>
          <w:tcPr>
            <w:tcW w:w="7370" w:type="dxa"/>
          </w:tcPr>
          <w:p w14:paraId="22883101">
            <w:pPr>
              <w:pStyle w:val="85"/>
              <w:jc w:val="both"/>
              <w:rPr>
                <w:color w:val="auto"/>
                <w:sz w:val="22"/>
                <w:szCs w:val="22"/>
              </w:rPr>
            </w:pPr>
            <w:r>
              <w:rPr>
                <w:color w:val="auto"/>
                <w:sz w:val="22"/>
                <w:szCs w:val="22"/>
              </w:rPr>
              <w:t>сравнивать математические объекты (находить общее, различное, уникальное)</w:t>
            </w:r>
          </w:p>
        </w:tc>
      </w:tr>
      <w:tr w14:paraId="7565E8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701" w:type="dxa"/>
          </w:tcPr>
          <w:p w14:paraId="60FC7664">
            <w:pPr>
              <w:pStyle w:val="85"/>
              <w:jc w:val="center"/>
              <w:rPr>
                <w:color w:val="auto"/>
                <w:sz w:val="22"/>
                <w:szCs w:val="22"/>
              </w:rPr>
            </w:pPr>
            <w:r>
              <w:rPr>
                <w:color w:val="auto"/>
                <w:sz w:val="22"/>
                <w:szCs w:val="22"/>
              </w:rPr>
              <w:t>1.20</w:t>
            </w:r>
          </w:p>
        </w:tc>
        <w:tc>
          <w:tcPr>
            <w:tcW w:w="7370" w:type="dxa"/>
          </w:tcPr>
          <w:p w14:paraId="460FD0F7">
            <w:pPr>
              <w:pStyle w:val="85"/>
              <w:jc w:val="both"/>
              <w:rPr>
                <w:color w:val="auto"/>
                <w:sz w:val="22"/>
                <w:szCs w:val="22"/>
              </w:rPr>
            </w:pPr>
            <w:r>
              <w:rPr>
                <w:color w:val="auto"/>
                <w:sz w:val="22"/>
                <w:szCs w:val="22"/>
              </w:rPr>
              <w:t>выбирать верное решение математической задачи</w:t>
            </w:r>
          </w:p>
        </w:tc>
      </w:tr>
    </w:tbl>
    <w:p w14:paraId="2DB7B445">
      <w:pPr>
        <w:pStyle w:val="85"/>
        <w:jc w:val="both"/>
        <w:rPr>
          <w:color w:val="auto"/>
          <w:sz w:val="22"/>
          <w:szCs w:val="22"/>
        </w:rPr>
      </w:pPr>
    </w:p>
    <w:p w14:paraId="7ED4BD1D">
      <w:pPr>
        <w:pStyle w:val="85"/>
        <w:jc w:val="right"/>
        <w:rPr>
          <w:color w:val="auto"/>
          <w:sz w:val="22"/>
          <w:szCs w:val="22"/>
        </w:rPr>
      </w:pPr>
      <w:r>
        <w:rPr>
          <w:color w:val="auto"/>
          <w:sz w:val="22"/>
          <w:szCs w:val="22"/>
        </w:rPr>
        <w:t>Таблица 10.5</w:t>
      </w:r>
    </w:p>
    <w:p w14:paraId="148FCB7C">
      <w:pPr>
        <w:pStyle w:val="85"/>
        <w:jc w:val="both"/>
        <w:rPr>
          <w:color w:val="auto"/>
          <w:sz w:val="22"/>
          <w:szCs w:val="22"/>
        </w:rPr>
      </w:pPr>
    </w:p>
    <w:p w14:paraId="3F5B7A0D">
      <w:pPr>
        <w:pStyle w:val="85"/>
        <w:jc w:val="center"/>
        <w:rPr>
          <w:color w:val="auto"/>
          <w:sz w:val="22"/>
          <w:szCs w:val="22"/>
        </w:rPr>
      </w:pPr>
      <w:r>
        <w:rPr>
          <w:color w:val="auto"/>
          <w:sz w:val="22"/>
          <w:szCs w:val="22"/>
        </w:rPr>
        <w:t>Проверяемые элементы содержания (3 класс)</w:t>
      </w:r>
    </w:p>
    <w:p w14:paraId="3E252800">
      <w:pPr>
        <w:pStyle w:val="85"/>
        <w:jc w:val="both"/>
        <w:rPr>
          <w:color w:val="auto"/>
          <w:sz w:val="22"/>
          <w:szCs w:val="22"/>
        </w:rPr>
      </w:pPr>
    </w:p>
    <w:tbl>
      <w:tblPr>
        <w:tblStyle w:val="1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02" w:type="dxa"/>
          <w:left w:w="62" w:type="dxa"/>
          <w:bottom w:w="102" w:type="dxa"/>
          <w:right w:w="62" w:type="dxa"/>
        </w:tblCellMar>
      </w:tblPr>
      <w:tblGrid>
        <w:gridCol w:w="1134"/>
        <w:gridCol w:w="7880"/>
      </w:tblGrid>
      <w:tr w14:paraId="3D0AC2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tcPr>
          <w:p w14:paraId="260645E2">
            <w:pPr>
              <w:pStyle w:val="85"/>
              <w:jc w:val="center"/>
              <w:rPr>
                <w:color w:val="auto"/>
                <w:sz w:val="22"/>
                <w:szCs w:val="22"/>
              </w:rPr>
            </w:pPr>
            <w:r>
              <w:rPr>
                <w:color w:val="auto"/>
                <w:sz w:val="22"/>
                <w:szCs w:val="22"/>
              </w:rPr>
              <w:t>Код</w:t>
            </w:r>
          </w:p>
        </w:tc>
        <w:tc>
          <w:tcPr>
            <w:tcW w:w="7880" w:type="dxa"/>
          </w:tcPr>
          <w:p w14:paraId="61AD1925">
            <w:pPr>
              <w:pStyle w:val="85"/>
              <w:jc w:val="center"/>
              <w:rPr>
                <w:color w:val="auto"/>
                <w:sz w:val="22"/>
                <w:szCs w:val="22"/>
              </w:rPr>
            </w:pPr>
            <w:r>
              <w:rPr>
                <w:color w:val="auto"/>
                <w:sz w:val="22"/>
                <w:szCs w:val="22"/>
              </w:rPr>
              <w:t>Проверяемый элемент содержания</w:t>
            </w:r>
          </w:p>
        </w:tc>
      </w:tr>
      <w:tr w14:paraId="375F52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tcPr>
          <w:p w14:paraId="0327819C">
            <w:pPr>
              <w:pStyle w:val="85"/>
              <w:jc w:val="center"/>
              <w:rPr>
                <w:color w:val="auto"/>
                <w:sz w:val="22"/>
                <w:szCs w:val="22"/>
              </w:rPr>
            </w:pPr>
            <w:r>
              <w:rPr>
                <w:color w:val="auto"/>
                <w:sz w:val="22"/>
                <w:szCs w:val="22"/>
              </w:rPr>
              <w:t>1</w:t>
            </w:r>
          </w:p>
        </w:tc>
        <w:tc>
          <w:tcPr>
            <w:tcW w:w="7880" w:type="dxa"/>
          </w:tcPr>
          <w:p w14:paraId="2559C538">
            <w:pPr>
              <w:pStyle w:val="85"/>
              <w:jc w:val="both"/>
              <w:rPr>
                <w:color w:val="auto"/>
                <w:sz w:val="22"/>
                <w:szCs w:val="22"/>
              </w:rPr>
            </w:pPr>
            <w:r>
              <w:rPr>
                <w:color w:val="auto"/>
                <w:sz w:val="22"/>
                <w:szCs w:val="22"/>
              </w:rPr>
              <w:t>Числа и величины</w:t>
            </w:r>
          </w:p>
        </w:tc>
      </w:tr>
      <w:tr w14:paraId="08EE3D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tcPr>
          <w:p w14:paraId="43ECD336">
            <w:pPr>
              <w:pStyle w:val="85"/>
              <w:jc w:val="center"/>
              <w:rPr>
                <w:color w:val="auto"/>
                <w:sz w:val="22"/>
                <w:szCs w:val="22"/>
              </w:rPr>
            </w:pPr>
            <w:r>
              <w:rPr>
                <w:color w:val="auto"/>
                <w:sz w:val="22"/>
                <w:szCs w:val="22"/>
              </w:rPr>
              <w:t>1.1</w:t>
            </w:r>
          </w:p>
        </w:tc>
        <w:tc>
          <w:tcPr>
            <w:tcW w:w="7880" w:type="dxa"/>
          </w:tcPr>
          <w:p w14:paraId="43A9C621">
            <w:pPr>
              <w:pStyle w:val="85"/>
              <w:jc w:val="both"/>
              <w:rPr>
                <w:color w:val="auto"/>
                <w:sz w:val="22"/>
                <w:szCs w:val="22"/>
              </w:rPr>
            </w:pPr>
            <w:r>
              <w:rPr>
                <w:color w:val="auto"/>
                <w:sz w:val="22"/>
                <w:szCs w:val="22"/>
              </w:rPr>
              <w:t>Числа в пределах 1000: чтение, запись, сравнение, представление в виде суммы разрядных слагаемых. Равенства и неравенства: чтение, составление. Увеличение или уменьшение числа в несколько раз. Кратное сравнение чисел</w:t>
            </w:r>
          </w:p>
        </w:tc>
      </w:tr>
      <w:tr w14:paraId="40E878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tcPr>
          <w:p w14:paraId="6867CCC1">
            <w:pPr>
              <w:pStyle w:val="85"/>
              <w:jc w:val="center"/>
              <w:rPr>
                <w:color w:val="auto"/>
                <w:sz w:val="22"/>
                <w:szCs w:val="22"/>
              </w:rPr>
            </w:pPr>
            <w:r>
              <w:rPr>
                <w:color w:val="auto"/>
                <w:sz w:val="22"/>
                <w:szCs w:val="22"/>
              </w:rPr>
              <w:t>1.2</w:t>
            </w:r>
          </w:p>
        </w:tc>
        <w:tc>
          <w:tcPr>
            <w:tcW w:w="7880" w:type="dxa"/>
          </w:tcPr>
          <w:p w14:paraId="496551E4">
            <w:pPr>
              <w:pStyle w:val="85"/>
              <w:jc w:val="both"/>
              <w:rPr>
                <w:color w:val="auto"/>
                <w:sz w:val="22"/>
                <w:szCs w:val="22"/>
              </w:rPr>
            </w:pPr>
            <w:r>
              <w:rPr>
                <w:color w:val="auto"/>
                <w:sz w:val="22"/>
                <w:szCs w:val="22"/>
              </w:rPr>
              <w:t>Масса, соотношение между килограммом и граммом, отношения "тяжелее - легче на...", "тяжелее - легче в..."</w:t>
            </w:r>
          </w:p>
        </w:tc>
      </w:tr>
      <w:tr w14:paraId="442617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tcPr>
          <w:p w14:paraId="54BB175A">
            <w:pPr>
              <w:pStyle w:val="85"/>
              <w:jc w:val="center"/>
              <w:rPr>
                <w:color w:val="auto"/>
                <w:sz w:val="22"/>
                <w:szCs w:val="22"/>
              </w:rPr>
            </w:pPr>
            <w:r>
              <w:rPr>
                <w:color w:val="auto"/>
                <w:sz w:val="22"/>
                <w:szCs w:val="22"/>
              </w:rPr>
              <w:t>1.3</w:t>
            </w:r>
          </w:p>
        </w:tc>
        <w:tc>
          <w:tcPr>
            <w:tcW w:w="7880" w:type="dxa"/>
          </w:tcPr>
          <w:p w14:paraId="7B604CF3">
            <w:pPr>
              <w:pStyle w:val="85"/>
              <w:jc w:val="both"/>
              <w:rPr>
                <w:color w:val="auto"/>
                <w:sz w:val="22"/>
                <w:szCs w:val="22"/>
              </w:rPr>
            </w:pPr>
            <w:r>
              <w:rPr>
                <w:color w:val="auto"/>
                <w:sz w:val="22"/>
                <w:szCs w:val="22"/>
              </w:rPr>
              <w:t>Стоимость, установление отношения "дороже - дешевле на...", "дороже - дешевле в...". Соотношение "цена, количество, стоимость" в практической ситуации</w:t>
            </w:r>
          </w:p>
        </w:tc>
      </w:tr>
      <w:tr w14:paraId="3F7EBE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tcPr>
          <w:p w14:paraId="3B6DFCEA">
            <w:pPr>
              <w:pStyle w:val="85"/>
              <w:jc w:val="center"/>
              <w:rPr>
                <w:color w:val="auto"/>
                <w:sz w:val="22"/>
                <w:szCs w:val="22"/>
              </w:rPr>
            </w:pPr>
            <w:r>
              <w:rPr>
                <w:color w:val="auto"/>
                <w:sz w:val="22"/>
                <w:szCs w:val="22"/>
              </w:rPr>
              <w:t>1.4</w:t>
            </w:r>
          </w:p>
        </w:tc>
        <w:tc>
          <w:tcPr>
            <w:tcW w:w="7880" w:type="dxa"/>
          </w:tcPr>
          <w:p w14:paraId="2B579029">
            <w:pPr>
              <w:pStyle w:val="85"/>
              <w:jc w:val="both"/>
              <w:rPr>
                <w:color w:val="auto"/>
                <w:sz w:val="22"/>
                <w:szCs w:val="22"/>
              </w:rPr>
            </w:pPr>
            <w:r>
              <w:rPr>
                <w:color w:val="auto"/>
                <w:sz w:val="22"/>
                <w:szCs w:val="22"/>
              </w:rPr>
              <w:t>Время, установление отношения "быстрее - медленнее на...", "быстрее - медленнее в...". Соотношение "начало, окончание, продолжительность события" в практической ситуации</w:t>
            </w:r>
          </w:p>
        </w:tc>
      </w:tr>
      <w:tr w14:paraId="5DCF18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134" w:type="dxa"/>
          </w:tcPr>
          <w:p w14:paraId="4AEC4DA3">
            <w:pPr>
              <w:pStyle w:val="85"/>
              <w:jc w:val="center"/>
              <w:rPr>
                <w:color w:val="auto"/>
                <w:sz w:val="22"/>
                <w:szCs w:val="22"/>
              </w:rPr>
            </w:pPr>
            <w:r>
              <w:rPr>
                <w:color w:val="auto"/>
                <w:sz w:val="22"/>
                <w:szCs w:val="22"/>
              </w:rPr>
              <w:t>1.5</w:t>
            </w:r>
          </w:p>
        </w:tc>
        <w:tc>
          <w:tcPr>
            <w:tcW w:w="7880" w:type="dxa"/>
          </w:tcPr>
          <w:p w14:paraId="12C9D112">
            <w:pPr>
              <w:pStyle w:val="85"/>
              <w:jc w:val="both"/>
              <w:rPr>
                <w:color w:val="auto"/>
                <w:sz w:val="22"/>
                <w:szCs w:val="22"/>
              </w:rPr>
            </w:pPr>
            <w:r>
              <w:rPr>
                <w:color w:val="auto"/>
                <w:sz w:val="22"/>
                <w:szCs w:val="22"/>
              </w:rPr>
              <w:t>Длина (единицы длины - миллиметр, километр), соотношение между величинами в пределах тысячи. Сравнение объектов по длине</w:t>
            </w:r>
          </w:p>
        </w:tc>
      </w:tr>
      <w:tr w14:paraId="589FAF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tcPr>
          <w:p w14:paraId="6ED8926A">
            <w:pPr>
              <w:pStyle w:val="85"/>
              <w:jc w:val="center"/>
              <w:rPr>
                <w:color w:val="auto"/>
                <w:sz w:val="22"/>
                <w:szCs w:val="22"/>
              </w:rPr>
            </w:pPr>
            <w:r>
              <w:rPr>
                <w:color w:val="auto"/>
                <w:sz w:val="22"/>
                <w:szCs w:val="22"/>
              </w:rPr>
              <w:t>1.6</w:t>
            </w:r>
          </w:p>
        </w:tc>
        <w:tc>
          <w:tcPr>
            <w:tcW w:w="7880" w:type="dxa"/>
          </w:tcPr>
          <w:p w14:paraId="43EB3A01">
            <w:pPr>
              <w:pStyle w:val="85"/>
              <w:jc w:val="both"/>
              <w:rPr>
                <w:color w:val="auto"/>
                <w:sz w:val="22"/>
                <w:szCs w:val="22"/>
              </w:rPr>
            </w:pPr>
            <w:r>
              <w:rPr>
                <w:color w:val="auto"/>
                <w:sz w:val="22"/>
                <w:szCs w:val="22"/>
              </w:rPr>
              <w:t>Площадь. Сравнение объектов по площади</w:t>
            </w:r>
          </w:p>
        </w:tc>
      </w:tr>
      <w:tr w14:paraId="188003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tcPr>
          <w:p w14:paraId="2A271E22">
            <w:pPr>
              <w:pStyle w:val="85"/>
              <w:jc w:val="center"/>
              <w:rPr>
                <w:color w:val="auto"/>
                <w:sz w:val="22"/>
                <w:szCs w:val="22"/>
              </w:rPr>
            </w:pPr>
            <w:r>
              <w:rPr>
                <w:color w:val="auto"/>
                <w:sz w:val="22"/>
                <w:szCs w:val="22"/>
              </w:rPr>
              <w:t>2</w:t>
            </w:r>
          </w:p>
        </w:tc>
        <w:tc>
          <w:tcPr>
            <w:tcW w:w="7880" w:type="dxa"/>
          </w:tcPr>
          <w:p w14:paraId="463BD10D">
            <w:pPr>
              <w:pStyle w:val="85"/>
              <w:jc w:val="both"/>
              <w:rPr>
                <w:color w:val="auto"/>
                <w:sz w:val="22"/>
                <w:szCs w:val="22"/>
              </w:rPr>
            </w:pPr>
            <w:r>
              <w:rPr>
                <w:color w:val="auto"/>
                <w:sz w:val="22"/>
                <w:szCs w:val="22"/>
              </w:rPr>
              <w:t>Арифметические действия</w:t>
            </w:r>
          </w:p>
        </w:tc>
      </w:tr>
      <w:tr w14:paraId="5EECB0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tcPr>
          <w:p w14:paraId="7B6D6F7F">
            <w:pPr>
              <w:pStyle w:val="85"/>
              <w:jc w:val="center"/>
              <w:rPr>
                <w:color w:val="auto"/>
                <w:sz w:val="22"/>
                <w:szCs w:val="22"/>
              </w:rPr>
            </w:pPr>
            <w:r>
              <w:rPr>
                <w:color w:val="auto"/>
                <w:sz w:val="22"/>
                <w:szCs w:val="22"/>
              </w:rPr>
              <w:t>2.1</w:t>
            </w:r>
          </w:p>
        </w:tc>
        <w:tc>
          <w:tcPr>
            <w:tcW w:w="7880" w:type="dxa"/>
          </w:tcPr>
          <w:p w14:paraId="58531A5F">
            <w:pPr>
              <w:pStyle w:val="85"/>
              <w:jc w:val="both"/>
              <w:rPr>
                <w:color w:val="auto"/>
                <w:sz w:val="22"/>
                <w:szCs w:val="22"/>
              </w:rPr>
            </w:pPr>
            <w:r>
              <w:rPr>
                <w:color w:val="auto"/>
                <w:sz w:val="22"/>
                <w:szCs w:val="22"/>
              </w:rPr>
              <w:t>Устные вычисления, сводимые к действиям в пределах 100. Письменное сложение, вычитание чисел в пределах 1000. Действия с числами 0 и 1</w:t>
            </w:r>
          </w:p>
        </w:tc>
      </w:tr>
      <w:tr w14:paraId="548A4B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tcPr>
          <w:p w14:paraId="45CC8064">
            <w:pPr>
              <w:pStyle w:val="85"/>
              <w:jc w:val="center"/>
              <w:rPr>
                <w:color w:val="auto"/>
                <w:sz w:val="22"/>
                <w:szCs w:val="22"/>
              </w:rPr>
            </w:pPr>
            <w:r>
              <w:rPr>
                <w:color w:val="auto"/>
                <w:sz w:val="22"/>
                <w:szCs w:val="22"/>
              </w:rPr>
              <w:t>2.2</w:t>
            </w:r>
          </w:p>
        </w:tc>
        <w:tc>
          <w:tcPr>
            <w:tcW w:w="7880" w:type="dxa"/>
          </w:tcPr>
          <w:p w14:paraId="3CBA4397">
            <w:pPr>
              <w:pStyle w:val="85"/>
              <w:jc w:val="both"/>
              <w:rPr>
                <w:color w:val="auto"/>
                <w:sz w:val="22"/>
                <w:szCs w:val="22"/>
              </w:rPr>
            </w:pPr>
            <w:r>
              <w:rPr>
                <w:color w:val="auto"/>
                <w:sz w:val="22"/>
                <w:szCs w:val="22"/>
              </w:rPr>
              <w:t>Письменное умножение, деление. Проверка результата вычисления</w:t>
            </w:r>
          </w:p>
        </w:tc>
      </w:tr>
      <w:tr w14:paraId="4E50B0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tcPr>
          <w:p w14:paraId="3AC08A53">
            <w:pPr>
              <w:pStyle w:val="85"/>
              <w:jc w:val="center"/>
              <w:rPr>
                <w:color w:val="auto"/>
                <w:sz w:val="22"/>
                <w:szCs w:val="22"/>
              </w:rPr>
            </w:pPr>
            <w:r>
              <w:rPr>
                <w:color w:val="auto"/>
                <w:sz w:val="22"/>
                <w:szCs w:val="22"/>
              </w:rPr>
              <w:t>2.3</w:t>
            </w:r>
          </w:p>
        </w:tc>
        <w:tc>
          <w:tcPr>
            <w:tcW w:w="7880" w:type="dxa"/>
          </w:tcPr>
          <w:p w14:paraId="2F7A3AD8">
            <w:pPr>
              <w:pStyle w:val="85"/>
              <w:jc w:val="both"/>
              <w:rPr>
                <w:color w:val="auto"/>
                <w:sz w:val="22"/>
                <w:szCs w:val="22"/>
              </w:rPr>
            </w:pPr>
            <w:r>
              <w:rPr>
                <w:color w:val="auto"/>
                <w:sz w:val="22"/>
                <w:szCs w:val="22"/>
              </w:rPr>
              <w:t>Переместительное, сочетательное свойства сложения, умножения при вычислениях</w:t>
            </w:r>
          </w:p>
        </w:tc>
      </w:tr>
      <w:tr w14:paraId="3D2C64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tcPr>
          <w:p w14:paraId="53D64755">
            <w:pPr>
              <w:pStyle w:val="85"/>
              <w:jc w:val="center"/>
              <w:rPr>
                <w:color w:val="auto"/>
                <w:sz w:val="22"/>
                <w:szCs w:val="22"/>
              </w:rPr>
            </w:pPr>
            <w:r>
              <w:rPr>
                <w:color w:val="auto"/>
                <w:sz w:val="22"/>
                <w:szCs w:val="22"/>
              </w:rPr>
              <w:t>2.4</w:t>
            </w:r>
          </w:p>
        </w:tc>
        <w:tc>
          <w:tcPr>
            <w:tcW w:w="7880" w:type="dxa"/>
          </w:tcPr>
          <w:p w14:paraId="283EC41C">
            <w:pPr>
              <w:pStyle w:val="85"/>
              <w:jc w:val="both"/>
              <w:rPr>
                <w:color w:val="auto"/>
                <w:sz w:val="22"/>
                <w:szCs w:val="22"/>
              </w:rPr>
            </w:pPr>
            <w:r>
              <w:rPr>
                <w:color w:val="auto"/>
                <w:sz w:val="22"/>
                <w:szCs w:val="22"/>
              </w:rPr>
              <w:t>Нахождение неизвестного компонента арифметического действия</w:t>
            </w:r>
          </w:p>
        </w:tc>
      </w:tr>
      <w:tr w14:paraId="4F58DD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tcPr>
          <w:p w14:paraId="3425B1B0">
            <w:pPr>
              <w:pStyle w:val="85"/>
              <w:jc w:val="center"/>
              <w:rPr>
                <w:color w:val="auto"/>
                <w:sz w:val="22"/>
                <w:szCs w:val="22"/>
              </w:rPr>
            </w:pPr>
            <w:r>
              <w:rPr>
                <w:color w:val="auto"/>
                <w:sz w:val="22"/>
                <w:szCs w:val="22"/>
              </w:rPr>
              <w:t>2.5</w:t>
            </w:r>
          </w:p>
        </w:tc>
        <w:tc>
          <w:tcPr>
            <w:tcW w:w="7880" w:type="dxa"/>
          </w:tcPr>
          <w:p w14:paraId="402F2023">
            <w:pPr>
              <w:pStyle w:val="85"/>
              <w:jc w:val="both"/>
              <w:rPr>
                <w:color w:val="auto"/>
                <w:sz w:val="22"/>
                <w:szCs w:val="22"/>
              </w:rPr>
            </w:pPr>
            <w:r>
              <w:rPr>
                <w:color w:val="auto"/>
                <w:sz w:val="22"/>
                <w:szCs w:val="22"/>
              </w:rPr>
              <w:t>Порядок действий в числовом выражении, значение числового выражения, содержащего несколько действий</w:t>
            </w:r>
          </w:p>
        </w:tc>
      </w:tr>
      <w:tr w14:paraId="58F59D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134" w:type="dxa"/>
          </w:tcPr>
          <w:p w14:paraId="444E9440">
            <w:pPr>
              <w:pStyle w:val="85"/>
              <w:jc w:val="center"/>
              <w:rPr>
                <w:color w:val="auto"/>
                <w:sz w:val="22"/>
                <w:szCs w:val="22"/>
              </w:rPr>
            </w:pPr>
            <w:r>
              <w:rPr>
                <w:color w:val="auto"/>
                <w:sz w:val="22"/>
                <w:szCs w:val="22"/>
              </w:rPr>
              <w:t>2.6</w:t>
            </w:r>
          </w:p>
        </w:tc>
        <w:tc>
          <w:tcPr>
            <w:tcW w:w="7880" w:type="dxa"/>
          </w:tcPr>
          <w:p w14:paraId="394B3575">
            <w:pPr>
              <w:pStyle w:val="85"/>
              <w:jc w:val="both"/>
              <w:rPr>
                <w:color w:val="auto"/>
                <w:sz w:val="22"/>
                <w:szCs w:val="22"/>
              </w:rPr>
            </w:pPr>
            <w:r>
              <w:rPr>
                <w:color w:val="auto"/>
                <w:sz w:val="22"/>
                <w:szCs w:val="22"/>
              </w:rPr>
              <w:t>Однородные величины: сложение и вычитание</w:t>
            </w:r>
          </w:p>
        </w:tc>
      </w:tr>
      <w:tr w14:paraId="464AAD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tcPr>
          <w:p w14:paraId="01FD658B">
            <w:pPr>
              <w:pStyle w:val="85"/>
              <w:jc w:val="center"/>
              <w:rPr>
                <w:color w:val="auto"/>
                <w:sz w:val="22"/>
                <w:szCs w:val="22"/>
              </w:rPr>
            </w:pPr>
            <w:r>
              <w:rPr>
                <w:color w:val="auto"/>
                <w:sz w:val="22"/>
                <w:szCs w:val="22"/>
              </w:rPr>
              <w:t>3</w:t>
            </w:r>
          </w:p>
        </w:tc>
        <w:tc>
          <w:tcPr>
            <w:tcW w:w="7880" w:type="dxa"/>
          </w:tcPr>
          <w:p w14:paraId="4D94AC1A">
            <w:pPr>
              <w:pStyle w:val="85"/>
              <w:jc w:val="both"/>
              <w:rPr>
                <w:color w:val="auto"/>
                <w:sz w:val="22"/>
                <w:szCs w:val="22"/>
              </w:rPr>
            </w:pPr>
            <w:r>
              <w:rPr>
                <w:color w:val="auto"/>
                <w:sz w:val="22"/>
                <w:szCs w:val="22"/>
              </w:rPr>
              <w:t>Текстовые задачи</w:t>
            </w:r>
          </w:p>
        </w:tc>
      </w:tr>
      <w:tr w14:paraId="03D2B2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tcPr>
          <w:p w14:paraId="63BBCADC">
            <w:pPr>
              <w:pStyle w:val="85"/>
              <w:jc w:val="center"/>
              <w:rPr>
                <w:color w:val="auto"/>
                <w:sz w:val="22"/>
                <w:szCs w:val="22"/>
              </w:rPr>
            </w:pPr>
            <w:r>
              <w:rPr>
                <w:color w:val="auto"/>
                <w:sz w:val="22"/>
                <w:szCs w:val="22"/>
              </w:rPr>
              <w:t>3.1</w:t>
            </w:r>
          </w:p>
        </w:tc>
        <w:tc>
          <w:tcPr>
            <w:tcW w:w="7880" w:type="dxa"/>
          </w:tcPr>
          <w:p w14:paraId="2D35F49F">
            <w:pPr>
              <w:pStyle w:val="85"/>
              <w:jc w:val="both"/>
              <w:rPr>
                <w:color w:val="auto"/>
                <w:sz w:val="22"/>
                <w:szCs w:val="22"/>
              </w:rPr>
            </w:pPr>
            <w:r>
              <w:rPr>
                <w:color w:val="auto"/>
                <w:sz w:val="22"/>
                <w:szCs w:val="22"/>
              </w:rPr>
              <w:t>Работа с текстовой задачей: анализ данных и отношений, представление на модели, планирование хода решения задачи, решение арифметическим способом</w:t>
            </w:r>
          </w:p>
        </w:tc>
      </w:tr>
      <w:tr w14:paraId="459C5B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tcPr>
          <w:p w14:paraId="56144FAB">
            <w:pPr>
              <w:pStyle w:val="85"/>
              <w:jc w:val="center"/>
              <w:rPr>
                <w:color w:val="auto"/>
                <w:sz w:val="22"/>
                <w:szCs w:val="22"/>
              </w:rPr>
            </w:pPr>
            <w:r>
              <w:rPr>
                <w:color w:val="auto"/>
                <w:sz w:val="22"/>
                <w:szCs w:val="22"/>
              </w:rPr>
              <w:t>3.2</w:t>
            </w:r>
          </w:p>
        </w:tc>
        <w:tc>
          <w:tcPr>
            <w:tcW w:w="7880" w:type="dxa"/>
          </w:tcPr>
          <w:p w14:paraId="46D87844">
            <w:pPr>
              <w:pStyle w:val="85"/>
              <w:jc w:val="both"/>
              <w:rPr>
                <w:color w:val="auto"/>
                <w:sz w:val="22"/>
                <w:szCs w:val="22"/>
              </w:rPr>
            </w:pPr>
            <w:r>
              <w:rPr>
                <w:color w:val="auto"/>
                <w:sz w:val="22"/>
                <w:szCs w:val="22"/>
              </w:rPr>
              <w:t>Задачи на понимание смысла арифметических действий (в том числе деления с остатком), отношений ("больше - меньше на...", "больше - меньше в..."), зависимостей ("купля-продажа", расчет времени, количества), на сравнение (разностное, кратное)</w:t>
            </w:r>
          </w:p>
        </w:tc>
      </w:tr>
      <w:tr w14:paraId="424046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134" w:type="dxa"/>
          </w:tcPr>
          <w:p w14:paraId="3356F2C7">
            <w:pPr>
              <w:pStyle w:val="85"/>
              <w:jc w:val="center"/>
              <w:rPr>
                <w:color w:val="auto"/>
                <w:sz w:val="22"/>
                <w:szCs w:val="22"/>
              </w:rPr>
            </w:pPr>
            <w:r>
              <w:rPr>
                <w:color w:val="auto"/>
                <w:sz w:val="22"/>
                <w:szCs w:val="22"/>
              </w:rPr>
              <w:t>3.3</w:t>
            </w:r>
          </w:p>
        </w:tc>
        <w:tc>
          <w:tcPr>
            <w:tcW w:w="7880" w:type="dxa"/>
          </w:tcPr>
          <w:p w14:paraId="58D94D6C">
            <w:pPr>
              <w:pStyle w:val="85"/>
              <w:jc w:val="both"/>
              <w:rPr>
                <w:color w:val="auto"/>
                <w:sz w:val="22"/>
                <w:szCs w:val="22"/>
              </w:rPr>
            </w:pPr>
            <w:r>
              <w:rPr>
                <w:color w:val="auto"/>
                <w:sz w:val="22"/>
                <w:szCs w:val="22"/>
              </w:rPr>
              <w:t>Запись решения задачи по действиям и с помощью числового выражения. Проверка решения и оценка полученного результата</w:t>
            </w:r>
          </w:p>
        </w:tc>
      </w:tr>
      <w:tr w14:paraId="40B763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tcPr>
          <w:p w14:paraId="6E3EA426">
            <w:pPr>
              <w:pStyle w:val="85"/>
              <w:jc w:val="center"/>
              <w:rPr>
                <w:color w:val="auto"/>
                <w:sz w:val="22"/>
                <w:szCs w:val="22"/>
              </w:rPr>
            </w:pPr>
            <w:r>
              <w:rPr>
                <w:color w:val="auto"/>
                <w:sz w:val="22"/>
                <w:szCs w:val="22"/>
              </w:rPr>
              <w:t>3.4</w:t>
            </w:r>
          </w:p>
        </w:tc>
        <w:tc>
          <w:tcPr>
            <w:tcW w:w="7880" w:type="dxa"/>
          </w:tcPr>
          <w:p w14:paraId="6BB76EE5">
            <w:pPr>
              <w:pStyle w:val="85"/>
              <w:jc w:val="both"/>
              <w:rPr>
                <w:color w:val="auto"/>
                <w:sz w:val="22"/>
                <w:szCs w:val="22"/>
              </w:rPr>
            </w:pPr>
            <w:r>
              <w:rPr>
                <w:color w:val="auto"/>
                <w:sz w:val="22"/>
                <w:szCs w:val="22"/>
              </w:rPr>
              <w:t>Доля величины: половина, треть, четверть, пятая, десятая часть в практической ситуации. Сравнение долей одной величины. Задачи на нахождение доли величины</w:t>
            </w:r>
          </w:p>
        </w:tc>
      </w:tr>
      <w:tr w14:paraId="7B2296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tcPr>
          <w:p w14:paraId="6CFEC8A9">
            <w:pPr>
              <w:pStyle w:val="85"/>
              <w:jc w:val="center"/>
              <w:rPr>
                <w:color w:val="auto"/>
                <w:sz w:val="22"/>
                <w:szCs w:val="22"/>
              </w:rPr>
            </w:pPr>
            <w:r>
              <w:rPr>
                <w:color w:val="auto"/>
                <w:sz w:val="22"/>
                <w:szCs w:val="22"/>
              </w:rPr>
              <w:t>4</w:t>
            </w:r>
          </w:p>
        </w:tc>
        <w:tc>
          <w:tcPr>
            <w:tcW w:w="7880" w:type="dxa"/>
          </w:tcPr>
          <w:p w14:paraId="1523BA94">
            <w:pPr>
              <w:pStyle w:val="85"/>
              <w:jc w:val="both"/>
              <w:rPr>
                <w:color w:val="auto"/>
                <w:sz w:val="22"/>
                <w:szCs w:val="22"/>
              </w:rPr>
            </w:pPr>
            <w:r>
              <w:rPr>
                <w:color w:val="auto"/>
                <w:sz w:val="22"/>
                <w:szCs w:val="22"/>
              </w:rPr>
              <w:t>Пространственные отношения и геометрические фигуры</w:t>
            </w:r>
          </w:p>
        </w:tc>
      </w:tr>
      <w:tr w14:paraId="4186E5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tcPr>
          <w:p w14:paraId="233052DA">
            <w:pPr>
              <w:pStyle w:val="85"/>
              <w:jc w:val="center"/>
              <w:rPr>
                <w:color w:val="auto"/>
                <w:sz w:val="22"/>
                <w:szCs w:val="22"/>
              </w:rPr>
            </w:pPr>
            <w:r>
              <w:rPr>
                <w:color w:val="auto"/>
                <w:sz w:val="22"/>
                <w:szCs w:val="22"/>
              </w:rPr>
              <w:t>4.1</w:t>
            </w:r>
          </w:p>
        </w:tc>
        <w:tc>
          <w:tcPr>
            <w:tcW w:w="7880" w:type="dxa"/>
          </w:tcPr>
          <w:p w14:paraId="6F34773E">
            <w:pPr>
              <w:pStyle w:val="85"/>
              <w:jc w:val="both"/>
              <w:rPr>
                <w:color w:val="auto"/>
                <w:sz w:val="22"/>
                <w:szCs w:val="22"/>
              </w:rPr>
            </w:pPr>
            <w:r>
              <w:rPr>
                <w:color w:val="auto"/>
                <w:sz w:val="22"/>
                <w:szCs w:val="22"/>
              </w:rPr>
              <w:t>Конструирование геометрических фигур (разбиение фигуры на части, составление фигуры из частей). Периметр многоугольника: измерение, вычисление, запись равенства</w:t>
            </w:r>
          </w:p>
        </w:tc>
      </w:tr>
      <w:tr w14:paraId="00134C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tcPr>
          <w:p w14:paraId="39791099">
            <w:pPr>
              <w:pStyle w:val="85"/>
              <w:jc w:val="center"/>
              <w:rPr>
                <w:color w:val="auto"/>
                <w:sz w:val="22"/>
                <w:szCs w:val="22"/>
              </w:rPr>
            </w:pPr>
            <w:r>
              <w:rPr>
                <w:color w:val="auto"/>
                <w:sz w:val="22"/>
                <w:szCs w:val="22"/>
              </w:rPr>
              <w:t>4.2</w:t>
            </w:r>
          </w:p>
        </w:tc>
        <w:tc>
          <w:tcPr>
            <w:tcW w:w="7880" w:type="dxa"/>
          </w:tcPr>
          <w:p w14:paraId="40318437">
            <w:pPr>
              <w:pStyle w:val="85"/>
              <w:jc w:val="both"/>
              <w:rPr>
                <w:color w:val="auto"/>
                <w:sz w:val="22"/>
                <w:szCs w:val="22"/>
              </w:rPr>
            </w:pPr>
            <w:r>
              <w:rPr>
                <w:color w:val="auto"/>
                <w:sz w:val="22"/>
                <w:szCs w:val="22"/>
              </w:rPr>
              <w:t>Измерение площади, запись результата измерения. Вычисление площади прямоугольника (квадрата) с заданными сторонами, запись равенства. Изображение на клетчатой бумаге прямоугольника с заданным значением площади</w:t>
            </w:r>
          </w:p>
        </w:tc>
      </w:tr>
      <w:tr w14:paraId="4ED20A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tcPr>
          <w:p w14:paraId="388CB10B">
            <w:pPr>
              <w:pStyle w:val="85"/>
              <w:jc w:val="center"/>
              <w:rPr>
                <w:color w:val="auto"/>
                <w:sz w:val="22"/>
                <w:szCs w:val="22"/>
              </w:rPr>
            </w:pPr>
            <w:r>
              <w:rPr>
                <w:color w:val="auto"/>
                <w:sz w:val="22"/>
                <w:szCs w:val="22"/>
              </w:rPr>
              <w:t>5</w:t>
            </w:r>
          </w:p>
        </w:tc>
        <w:tc>
          <w:tcPr>
            <w:tcW w:w="7880" w:type="dxa"/>
          </w:tcPr>
          <w:p w14:paraId="592E84D6">
            <w:pPr>
              <w:pStyle w:val="85"/>
              <w:jc w:val="both"/>
              <w:rPr>
                <w:color w:val="auto"/>
                <w:sz w:val="22"/>
                <w:szCs w:val="22"/>
              </w:rPr>
            </w:pPr>
            <w:r>
              <w:rPr>
                <w:color w:val="auto"/>
                <w:sz w:val="22"/>
                <w:szCs w:val="22"/>
              </w:rPr>
              <w:t>Математическая информация</w:t>
            </w:r>
          </w:p>
        </w:tc>
      </w:tr>
      <w:tr w14:paraId="313B92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tcPr>
          <w:p w14:paraId="3CA49515">
            <w:pPr>
              <w:pStyle w:val="85"/>
              <w:jc w:val="center"/>
              <w:rPr>
                <w:color w:val="auto"/>
                <w:sz w:val="22"/>
                <w:szCs w:val="22"/>
              </w:rPr>
            </w:pPr>
            <w:r>
              <w:rPr>
                <w:color w:val="auto"/>
                <w:sz w:val="22"/>
                <w:szCs w:val="22"/>
              </w:rPr>
              <w:t>5.1</w:t>
            </w:r>
          </w:p>
        </w:tc>
        <w:tc>
          <w:tcPr>
            <w:tcW w:w="7880" w:type="dxa"/>
          </w:tcPr>
          <w:p w14:paraId="7DFE5FCF">
            <w:pPr>
              <w:pStyle w:val="85"/>
              <w:jc w:val="both"/>
              <w:rPr>
                <w:color w:val="auto"/>
                <w:sz w:val="22"/>
                <w:szCs w:val="22"/>
              </w:rPr>
            </w:pPr>
            <w:r>
              <w:rPr>
                <w:color w:val="auto"/>
                <w:sz w:val="22"/>
                <w:szCs w:val="22"/>
              </w:rPr>
              <w:t>Классификация объектов по двум признакам</w:t>
            </w:r>
          </w:p>
        </w:tc>
      </w:tr>
      <w:tr w14:paraId="31B014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tcPr>
          <w:p w14:paraId="108F8465">
            <w:pPr>
              <w:pStyle w:val="85"/>
              <w:jc w:val="center"/>
              <w:rPr>
                <w:color w:val="auto"/>
                <w:sz w:val="22"/>
                <w:szCs w:val="22"/>
              </w:rPr>
            </w:pPr>
            <w:r>
              <w:rPr>
                <w:color w:val="auto"/>
                <w:sz w:val="22"/>
                <w:szCs w:val="22"/>
              </w:rPr>
              <w:t>5.2</w:t>
            </w:r>
          </w:p>
        </w:tc>
        <w:tc>
          <w:tcPr>
            <w:tcW w:w="7880" w:type="dxa"/>
          </w:tcPr>
          <w:p w14:paraId="145B9AA7">
            <w:pPr>
              <w:pStyle w:val="85"/>
              <w:jc w:val="both"/>
              <w:rPr>
                <w:color w:val="auto"/>
                <w:sz w:val="22"/>
                <w:szCs w:val="22"/>
              </w:rPr>
            </w:pPr>
            <w:r>
              <w:rPr>
                <w:color w:val="auto"/>
                <w:sz w:val="22"/>
                <w:szCs w:val="22"/>
              </w:rPr>
              <w:t>Верные (истинные) и неверные (ложные) утверждения: конструирование, проверка. Логические рассуждения со связками "если ..., то...", "поэтому", "значит"</w:t>
            </w:r>
          </w:p>
        </w:tc>
      </w:tr>
      <w:tr w14:paraId="129BF2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tcPr>
          <w:p w14:paraId="2BC82753">
            <w:pPr>
              <w:pStyle w:val="85"/>
              <w:jc w:val="center"/>
              <w:rPr>
                <w:color w:val="auto"/>
                <w:sz w:val="22"/>
                <w:szCs w:val="22"/>
              </w:rPr>
            </w:pPr>
            <w:r>
              <w:rPr>
                <w:color w:val="auto"/>
                <w:sz w:val="22"/>
                <w:szCs w:val="22"/>
              </w:rPr>
              <w:t>5.3</w:t>
            </w:r>
          </w:p>
        </w:tc>
        <w:tc>
          <w:tcPr>
            <w:tcW w:w="7880" w:type="dxa"/>
          </w:tcPr>
          <w:p w14:paraId="5D892246">
            <w:pPr>
              <w:pStyle w:val="85"/>
              <w:jc w:val="both"/>
              <w:rPr>
                <w:color w:val="auto"/>
                <w:sz w:val="22"/>
                <w:szCs w:val="22"/>
              </w:rPr>
            </w:pPr>
            <w:r>
              <w:rPr>
                <w:color w:val="auto"/>
                <w:sz w:val="22"/>
                <w:szCs w:val="22"/>
              </w:rPr>
              <w:t>Извлечение и использование для выполнения заданий информации, представленной в таблицах. Столбчатая диаграмма: чтение, использование данных для решения учебных и практических задач</w:t>
            </w:r>
          </w:p>
        </w:tc>
      </w:tr>
      <w:tr w14:paraId="1FBDD5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tcPr>
          <w:p w14:paraId="3F0CB527">
            <w:pPr>
              <w:pStyle w:val="85"/>
              <w:jc w:val="center"/>
              <w:rPr>
                <w:color w:val="auto"/>
                <w:sz w:val="22"/>
                <w:szCs w:val="22"/>
              </w:rPr>
            </w:pPr>
            <w:r>
              <w:rPr>
                <w:color w:val="auto"/>
                <w:sz w:val="22"/>
                <w:szCs w:val="22"/>
              </w:rPr>
              <w:t>5.4</w:t>
            </w:r>
          </w:p>
        </w:tc>
        <w:tc>
          <w:tcPr>
            <w:tcW w:w="7880" w:type="dxa"/>
          </w:tcPr>
          <w:p w14:paraId="305ECF27">
            <w:pPr>
              <w:pStyle w:val="85"/>
              <w:jc w:val="both"/>
              <w:rPr>
                <w:color w:val="auto"/>
                <w:sz w:val="22"/>
                <w:szCs w:val="22"/>
              </w:rPr>
            </w:pPr>
            <w:r>
              <w:rPr>
                <w:color w:val="auto"/>
                <w:sz w:val="22"/>
                <w:szCs w:val="22"/>
              </w:rPr>
              <w:t>Формализованное описание последовательности действий</w:t>
            </w:r>
          </w:p>
        </w:tc>
      </w:tr>
      <w:tr w14:paraId="30602C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tcPr>
          <w:p w14:paraId="7B088713">
            <w:pPr>
              <w:pStyle w:val="85"/>
              <w:jc w:val="center"/>
              <w:rPr>
                <w:color w:val="auto"/>
                <w:sz w:val="22"/>
                <w:szCs w:val="22"/>
              </w:rPr>
            </w:pPr>
            <w:r>
              <w:rPr>
                <w:color w:val="auto"/>
                <w:sz w:val="22"/>
                <w:szCs w:val="22"/>
              </w:rPr>
              <w:t>5.5</w:t>
            </w:r>
          </w:p>
        </w:tc>
        <w:tc>
          <w:tcPr>
            <w:tcW w:w="7880" w:type="dxa"/>
          </w:tcPr>
          <w:p w14:paraId="081ED9CF">
            <w:pPr>
              <w:pStyle w:val="85"/>
              <w:jc w:val="both"/>
              <w:rPr>
                <w:color w:val="auto"/>
                <w:sz w:val="22"/>
                <w:szCs w:val="22"/>
              </w:rPr>
            </w:pPr>
            <w:r>
              <w:rPr>
                <w:color w:val="auto"/>
                <w:sz w:val="22"/>
                <w:szCs w:val="22"/>
              </w:rPr>
              <w:t>Алгоритмы изучения материала, выполнения обучающих и тестовых заданий на доступных электронных средствах обучения</w:t>
            </w:r>
          </w:p>
        </w:tc>
      </w:tr>
    </w:tbl>
    <w:p w14:paraId="3A4C6A78">
      <w:pPr>
        <w:pStyle w:val="85"/>
        <w:jc w:val="both"/>
        <w:rPr>
          <w:color w:val="auto"/>
          <w:sz w:val="22"/>
          <w:szCs w:val="22"/>
        </w:rPr>
      </w:pPr>
    </w:p>
    <w:p w14:paraId="65DA6A25">
      <w:pPr>
        <w:pStyle w:val="85"/>
        <w:jc w:val="right"/>
        <w:rPr>
          <w:color w:val="auto"/>
          <w:sz w:val="22"/>
          <w:szCs w:val="22"/>
        </w:rPr>
      </w:pPr>
      <w:r>
        <w:rPr>
          <w:color w:val="auto"/>
          <w:sz w:val="22"/>
          <w:szCs w:val="22"/>
        </w:rPr>
        <w:t>Таблица 10.6</w:t>
      </w:r>
    </w:p>
    <w:p w14:paraId="298ACBFF">
      <w:pPr>
        <w:pStyle w:val="85"/>
        <w:jc w:val="both"/>
        <w:rPr>
          <w:color w:val="auto"/>
          <w:sz w:val="22"/>
          <w:szCs w:val="22"/>
        </w:rPr>
      </w:pPr>
    </w:p>
    <w:p w14:paraId="580AE41A">
      <w:pPr>
        <w:pStyle w:val="85"/>
        <w:jc w:val="center"/>
        <w:rPr>
          <w:color w:val="auto"/>
          <w:sz w:val="22"/>
          <w:szCs w:val="22"/>
        </w:rPr>
      </w:pPr>
      <w:r>
        <w:rPr>
          <w:color w:val="auto"/>
          <w:sz w:val="22"/>
          <w:szCs w:val="22"/>
        </w:rPr>
        <w:t>Проверяемые требования к результатам освоения основной</w:t>
      </w:r>
    </w:p>
    <w:p w14:paraId="18ECBF5B">
      <w:pPr>
        <w:pStyle w:val="85"/>
        <w:jc w:val="center"/>
        <w:rPr>
          <w:color w:val="auto"/>
          <w:sz w:val="22"/>
          <w:szCs w:val="22"/>
        </w:rPr>
      </w:pPr>
      <w:r>
        <w:rPr>
          <w:color w:val="auto"/>
          <w:sz w:val="22"/>
          <w:szCs w:val="22"/>
        </w:rPr>
        <w:t>образовательной программы (4 класс)</w:t>
      </w:r>
    </w:p>
    <w:p w14:paraId="524A6DF1">
      <w:pPr>
        <w:pStyle w:val="85"/>
        <w:jc w:val="both"/>
        <w:rPr>
          <w:color w:val="auto"/>
          <w:sz w:val="22"/>
          <w:szCs w:val="22"/>
        </w:rPr>
      </w:pPr>
    </w:p>
    <w:tbl>
      <w:tblPr>
        <w:tblStyle w:val="1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02" w:type="dxa"/>
          <w:left w:w="62" w:type="dxa"/>
          <w:bottom w:w="102" w:type="dxa"/>
          <w:right w:w="62" w:type="dxa"/>
        </w:tblCellMar>
      </w:tblPr>
      <w:tblGrid>
        <w:gridCol w:w="1701"/>
        <w:gridCol w:w="7370"/>
      </w:tblGrid>
      <w:tr w14:paraId="1EEB2A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701" w:type="dxa"/>
          </w:tcPr>
          <w:p w14:paraId="5E172D50">
            <w:pPr>
              <w:pStyle w:val="85"/>
              <w:jc w:val="center"/>
              <w:rPr>
                <w:color w:val="auto"/>
                <w:sz w:val="22"/>
                <w:szCs w:val="22"/>
              </w:rPr>
            </w:pPr>
            <w:r>
              <w:rPr>
                <w:color w:val="auto"/>
                <w:sz w:val="22"/>
                <w:szCs w:val="22"/>
              </w:rPr>
              <w:t>Код проверяемого результата</w:t>
            </w:r>
          </w:p>
        </w:tc>
        <w:tc>
          <w:tcPr>
            <w:tcW w:w="7370" w:type="dxa"/>
          </w:tcPr>
          <w:p w14:paraId="44DA51A2">
            <w:pPr>
              <w:pStyle w:val="85"/>
              <w:jc w:val="center"/>
              <w:rPr>
                <w:color w:val="auto"/>
                <w:sz w:val="22"/>
                <w:szCs w:val="22"/>
              </w:rPr>
            </w:pPr>
            <w:r>
              <w:rPr>
                <w:color w:val="auto"/>
                <w:sz w:val="22"/>
                <w:szCs w:val="22"/>
              </w:rPr>
              <w:t>Проверяемые предметные результаты освоения основной образовательной программы начального общего образования</w:t>
            </w:r>
          </w:p>
        </w:tc>
      </w:tr>
      <w:tr w14:paraId="17639A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701" w:type="dxa"/>
          </w:tcPr>
          <w:p w14:paraId="48C602E0">
            <w:pPr>
              <w:pStyle w:val="85"/>
              <w:jc w:val="center"/>
              <w:rPr>
                <w:color w:val="auto"/>
                <w:sz w:val="22"/>
                <w:szCs w:val="22"/>
              </w:rPr>
            </w:pPr>
            <w:r>
              <w:rPr>
                <w:color w:val="auto"/>
                <w:sz w:val="22"/>
                <w:szCs w:val="22"/>
              </w:rPr>
              <w:t>1.1</w:t>
            </w:r>
          </w:p>
        </w:tc>
        <w:tc>
          <w:tcPr>
            <w:tcW w:w="7370" w:type="dxa"/>
            <w:vAlign w:val="center"/>
          </w:tcPr>
          <w:p w14:paraId="67E6EE4B">
            <w:pPr>
              <w:pStyle w:val="85"/>
              <w:jc w:val="both"/>
              <w:rPr>
                <w:color w:val="auto"/>
                <w:sz w:val="22"/>
                <w:szCs w:val="22"/>
              </w:rPr>
            </w:pPr>
            <w:r>
              <w:rPr>
                <w:color w:val="auto"/>
                <w:sz w:val="22"/>
                <w:szCs w:val="22"/>
              </w:rPr>
              <w:t>читать, записывать, сравнивать, упорядочивать многозначные числа</w:t>
            </w:r>
          </w:p>
        </w:tc>
      </w:tr>
      <w:tr w14:paraId="7586BE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701" w:type="dxa"/>
          </w:tcPr>
          <w:p w14:paraId="3FDD23AB">
            <w:pPr>
              <w:pStyle w:val="85"/>
              <w:jc w:val="center"/>
              <w:rPr>
                <w:color w:val="auto"/>
                <w:sz w:val="22"/>
                <w:szCs w:val="22"/>
              </w:rPr>
            </w:pPr>
            <w:r>
              <w:rPr>
                <w:color w:val="auto"/>
                <w:sz w:val="22"/>
                <w:szCs w:val="22"/>
              </w:rPr>
              <w:t>1.2</w:t>
            </w:r>
          </w:p>
        </w:tc>
        <w:tc>
          <w:tcPr>
            <w:tcW w:w="7370" w:type="dxa"/>
          </w:tcPr>
          <w:p w14:paraId="4713F074">
            <w:pPr>
              <w:pStyle w:val="85"/>
              <w:jc w:val="both"/>
              <w:rPr>
                <w:color w:val="auto"/>
                <w:sz w:val="22"/>
                <w:szCs w:val="22"/>
              </w:rPr>
            </w:pPr>
            <w:r>
              <w:rPr>
                <w:color w:val="auto"/>
                <w:sz w:val="22"/>
                <w:szCs w:val="22"/>
              </w:rPr>
              <w:t>находить число, большее или меньшее данного числа на заданное число, в заданное число раз</w:t>
            </w:r>
          </w:p>
        </w:tc>
      </w:tr>
      <w:tr w14:paraId="789D8F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701" w:type="dxa"/>
          </w:tcPr>
          <w:p w14:paraId="51CB6EE8">
            <w:pPr>
              <w:pStyle w:val="85"/>
              <w:jc w:val="center"/>
              <w:rPr>
                <w:color w:val="auto"/>
                <w:sz w:val="22"/>
                <w:szCs w:val="22"/>
              </w:rPr>
            </w:pPr>
            <w:r>
              <w:rPr>
                <w:color w:val="auto"/>
                <w:sz w:val="22"/>
                <w:szCs w:val="22"/>
              </w:rPr>
              <w:t>1.3</w:t>
            </w:r>
          </w:p>
        </w:tc>
        <w:tc>
          <w:tcPr>
            <w:tcW w:w="7370" w:type="dxa"/>
          </w:tcPr>
          <w:p w14:paraId="6C3D9261">
            <w:pPr>
              <w:pStyle w:val="85"/>
              <w:jc w:val="both"/>
              <w:rPr>
                <w:color w:val="auto"/>
                <w:sz w:val="22"/>
                <w:szCs w:val="22"/>
              </w:rPr>
            </w:pPr>
            <w:r>
              <w:rPr>
                <w:color w:val="auto"/>
                <w:sz w:val="22"/>
                <w:szCs w:val="22"/>
              </w:rPr>
              <w:t>выполнять арифметические действия: сложение и вычитание с многозначными числами письменно (в пределах 100 - устно), умножение и деление многозначного числа на однозначное, двузначное число письменно (в пределах 100 - устно), деление с остатком - письменно (в пределах 1000)</w:t>
            </w:r>
          </w:p>
        </w:tc>
      </w:tr>
      <w:tr w14:paraId="252AB3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701" w:type="dxa"/>
          </w:tcPr>
          <w:p w14:paraId="69A0A70F">
            <w:pPr>
              <w:pStyle w:val="85"/>
              <w:jc w:val="center"/>
              <w:rPr>
                <w:color w:val="auto"/>
                <w:sz w:val="22"/>
                <w:szCs w:val="22"/>
              </w:rPr>
            </w:pPr>
            <w:r>
              <w:rPr>
                <w:color w:val="auto"/>
                <w:sz w:val="22"/>
                <w:szCs w:val="22"/>
              </w:rPr>
              <w:t>1.4</w:t>
            </w:r>
          </w:p>
        </w:tc>
        <w:tc>
          <w:tcPr>
            <w:tcW w:w="7370" w:type="dxa"/>
          </w:tcPr>
          <w:p w14:paraId="5A708B8B">
            <w:pPr>
              <w:pStyle w:val="85"/>
              <w:jc w:val="both"/>
              <w:rPr>
                <w:color w:val="auto"/>
                <w:sz w:val="22"/>
                <w:szCs w:val="22"/>
              </w:rPr>
            </w:pPr>
            <w:r>
              <w:rPr>
                <w:color w:val="auto"/>
                <w:sz w:val="22"/>
                <w:szCs w:val="22"/>
              </w:rPr>
              <w:t>вычислять значение числового выражения, содержащего 2 - 4 арифметических действия, использовать при вычислениях изученные свойства арифметических действий</w:t>
            </w:r>
          </w:p>
        </w:tc>
      </w:tr>
      <w:tr w14:paraId="605F72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701" w:type="dxa"/>
          </w:tcPr>
          <w:p w14:paraId="249BD923">
            <w:pPr>
              <w:pStyle w:val="85"/>
              <w:jc w:val="center"/>
              <w:rPr>
                <w:color w:val="auto"/>
                <w:sz w:val="22"/>
                <w:szCs w:val="22"/>
              </w:rPr>
            </w:pPr>
            <w:r>
              <w:rPr>
                <w:color w:val="auto"/>
                <w:sz w:val="22"/>
                <w:szCs w:val="22"/>
              </w:rPr>
              <w:t>1.5</w:t>
            </w:r>
          </w:p>
        </w:tc>
        <w:tc>
          <w:tcPr>
            <w:tcW w:w="7370" w:type="dxa"/>
          </w:tcPr>
          <w:p w14:paraId="3CE372EF">
            <w:pPr>
              <w:pStyle w:val="85"/>
              <w:jc w:val="both"/>
              <w:rPr>
                <w:color w:val="auto"/>
                <w:sz w:val="22"/>
                <w:szCs w:val="22"/>
              </w:rPr>
            </w:pPr>
            <w:r>
              <w:rPr>
                <w:color w:val="auto"/>
                <w:sz w:val="22"/>
                <w:szCs w:val="22"/>
              </w:rPr>
              <w:t>выполнять прикидку результата вычислений, проверку полученного ответа по критериям: достоверность (реальность), соответствие правилу (алгоритму), а также с помощью калькулятора</w:t>
            </w:r>
          </w:p>
        </w:tc>
      </w:tr>
      <w:tr w14:paraId="6CBF06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701" w:type="dxa"/>
          </w:tcPr>
          <w:p w14:paraId="0D89D3C8">
            <w:pPr>
              <w:pStyle w:val="85"/>
              <w:jc w:val="center"/>
              <w:rPr>
                <w:color w:val="auto"/>
                <w:sz w:val="22"/>
                <w:szCs w:val="22"/>
              </w:rPr>
            </w:pPr>
            <w:r>
              <w:rPr>
                <w:color w:val="auto"/>
                <w:sz w:val="22"/>
                <w:szCs w:val="22"/>
              </w:rPr>
              <w:t>1.6</w:t>
            </w:r>
          </w:p>
        </w:tc>
        <w:tc>
          <w:tcPr>
            <w:tcW w:w="7370" w:type="dxa"/>
          </w:tcPr>
          <w:p w14:paraId="6D2F9DD5">
            <w:pPr>
              <w:pStyle w:val="85"/>
              <w:jc w:val="both"/>
              <w:rPr>
                <w:color w:val="auto"/>
                <w:sz w:val="22"/>
                <w:szCs w:val="22"/>
              </w:rPr>
            </w:pPr>
            <w:r>
              <w:rPr>
                <w:color w:val="auto"/>
                <w:sz w:val="22"/>
                <w:szCs w:val="22"/>
              </w:rPr>
              <w:t>находить долю величины, величину по ее доле</w:t>
            </w:r>
          </w:p>
        </w:tc>
      </w:tr>
      <w:tr w14:paraId="4F1B86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701" w:type="dxa"/>
          </w:tcPr>
          <w:p w14:paraId="36F60009">
            <w:pPr>
              <w:pStyle w:val="85"/>
              <w:jc w:val="center"/>
              <w:rPr>
                <w:color w:val="auto"/>
                <w:sz w:val="22"/>
                <w:szCs w:val="22"/>
              </w:rPr>
            </w:pPr>
            <w:r>
              <w:rPr>
                <w:color w:val="auto"/>
                <w:sz w:val="22"/>
                <w:szCs w:val="22"/>
              </w:rPr>
              <w:t>1.7</w:t>
            </w:r>
          </w:p>
        </w:tc>
        <w:tc>
          <w:tcPr>
            <w:tcW w:w="7370" w:type="dxa"/>
          </w:tcPr>
          <w:p w14:paraId="4D644296">
            <w:pPr>
              <w:pStyle w:val="85"/>
              <w:jc w:val="both"/>
              <w:rPr>
                <w:color w:val="auto"/>
                <w:sz w:val="22"/>
                <w:szCs w:val="22"/>
              </w:rPr>
            </w:pPr>
            <w:r>
              <w:rPr>
                <w:color w:val="auto"/>
                <w:sz w:val="22"/>
                <w:szCs w:val="22"/>
              </w:rPr>
              <w:t>находить неизвестный компонент арифметического действия</w:t>
            </w:r>
          </w:p>
        </w:tc>
      </w:tr>
      <w:tr w14:paraId="07C8A5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701" w:type="dxa"/>
          </w:tcPr>
          <w:p w14:paraId="611336BB">
            <w:pPr>
              <w:pStyle w:val="85"/>
              <w:jc w:val="center"/>
              <w:rPr>
                <w:color w:val="auto"/>
                <w:sz w:val="22"/>
                <w:szCs w:val="22"/>
              </w:rPr>
            </w:pPr>
            <w:r>
              <w:rPr>
                <w:color w:val="auto"/>
                <w:sz w:val="22"/>
                <w:szCs w:val="22"/>
              </w:rPr>
              <w:t>1.8</w:t>
            </w:r>
          </w:p>
        </w:tc>
        <w:tc>
          <w:tcPr>
            <w:tcW w:w="7370" w:type="dxa"/>
          </w:tcPr>
          <w:p w14:paraId="65BEDA42">
            <w:pPr>
              <w:pStyle w:val="85"/>
              <w:jc w:val="both"/>
              <w:rPr>
                <w:color w:val="auto"/>
                <w:sz w:val="22"/>
                <w:szCs w:val="22"/>
              </w:rPr>
            </w:pPr>
            <w:r>
              <w:rPr>
                <w:color w:val="auto"/>
                <w:sz w:val="22"/>
                <w:szCs w:val="22"/>
              </w:rPr>
              <w:t>использовать при решении задач единицы длины (миллиметр, сантиметр, дециметр, метр, километр), массы (грамм, килограмм, центнер, тонна), времени (секунда, минута, час, сутки, неделя, месяц, год), вместимости (литр), стоимости (копейка, рубль), площади (квадратный метр, квадратный дециметр, квадратный сантиметр), скорости (километр в час)</w:t>
            </w:r>
          </w:p>
        </w:tc>
      </w:tr>
      <w:tr w14:paraId="5AE069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701" w:type="dxa"/>
          </w:tcPr>
          <w:p w14:paraId="6408A3C0">
            <w:pPr>
              <w:pStyle w:val="85"/>
              <w:jc w:val="center"/>
              <w:rPr>
                <w:color w:val="auto"/>
                <w:sz w:val="22"/>
                <w:szCs w:val="22"/>
              </w:rPr>
            </w:pPr>
            <w:r>
              <w:rPr>
                <w:color w:val="auto"/>
                <w:sz w:val="22"/>
                <w:szCs w:val="22"/>
              </w:rPr>
              <w:t>1.9</w:t>
            </w:r>
          </w:p>
        </w:tc>
        <w:tc>
          <w:tcPr>
            <w:tcW w:w="7370" w:type="dxa"/>
          </w:tcPr>
          <w:p w14:paraId="6F203D2F">
            <w:pPr>
              <w:pStyle w:val="85"/>
              <w:jc w:val="both"/>
              <w:rPr>
                <w:color w:val="auto"/>
                <w:sz w:val="22"/>
                <w:szCs w:val="22"/>
              </w:rPr>
            </w:pPr>
            <w:r>
              <w:rPr>
                <w:color w:val="auto"/>
                <w:sz w:val="22"/>
                <w:szCs w:val="22"/>
              </w:rPr>
              <w:t>использовать при решении текстовых задач и в практических ситуациях соотношения между скоростью, временем и пройденным путем, между производительностью, временем и объемом работы</w:t>
            </w:r>
          </w:p>
        </w:tc>
      </w:tr>
      <w:tr w14:paraId="0E221A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701" w:type="dxa"/>
          </w:tcPr>
          <w:p w14:paraId="64549543">
            <w:pPr>
              <w:pStyle w:val="85"/>
              <w:jc w:val="center"/>
              <w:rPr>
                <w:color w:val="auto"/>
                <w:sz w:val="22"/>
                <w:szCs w:val="22"/>
              </w:rPr>
            </w:pPr>
            <w:r>
              <w:rPr>
                <w:color w:val="auto"/>
                <w:sz w:val="22"/>
                <w:szCs w:val="22"/>
              </w:rPr>
              <w:t>1.10</w:t>
            </w:r>
          </w:p>
        </w:tc>
        <w:tc>
          <w:tcPr>
            <w:tcW w:w="7370" w:type="dxa"/>
          </w:tcPr>
          <w:p w14:paraId="016D008C">
            <w:pPr>
              <w:pStyle w:val="85"/>
              <w:jc w:val="both"/>
              <w:rPr>
                <w:color w:val="auto"/>
                <w:sz w:val="22"/>
                <w:szCs w:val="22"/>
              </w:rPr>
            </w:pPr>
            <w:r>
              <w:rPr>
                <w:color w:val="auto"/>
                <w:sz w:val="22"/>
                <w:szCs w:val="22"/>
              </w:rPr>
              <w:t>определять с помощью цифровых и аналоговых приборов массу предмета, температуру, скорость движения транспортного средства, вместимость с помощью измерительных сосудов, прикидку и оценку результата измерений</w:t>
            </w:r>
          </w:p>
        </w:tc>
      </w:tr>
      <w:tr w14:paraId="2A3691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701" w:type="dxa"/>
          </w:tcPr>
          <w:p w14:paraId="3B3852F9">
            <w:pPr>
              <w:pStyle w:val="85"/>
              <w:jc w:val="center"/>
              <w:rPr>
                <w:color w:val="auto"/>
                <w:sz w:val="22"/>
                <w:szCs w:val="22"/>
              </w:rPr>
            </w:pPr>
            <w:r>
              <w:rPr>
                <w:color w:val="auto"/>
                <w:sz w:val="22"/>
                <w:szCs w:val="22"/>
              </w:rPr>
              <w:t>1.11</w:t>
            </w:r>
          </w:p>
        </w:tc>
        <w:tc>
          <w:tcPr>
            <w:tcW w:w="7370" w:type="dxa"/>
          </w:tcPr>
          <w:p w14:paraId="3627274E">
            <w:pPr>
              <w:pStyle w:val="85"/>
              <w:jc w:val="both"/>
              <w:rPr>
                <w:color w:val="auto"/>
                <w:sz w:val="22"/>
                <w:szCs w:val="22"/>
              </w:rPr>
            </w:pPr>
            <w:r>
              <w:rPr>
                <w:color w:val="auto"/>
                <w:sz w:val="22"/>
                <w:szCs w:val="22"/>
              </w:rPr>
              <w:t>решать текстовые задачи в 1 - 3 действия, выполнять преобразование заданных величин, выбирать при решении подходящие способы вычисления, сочетая устные и письменные вычисления и используя при необходимости вычислительные устройства, оценивать полученный результат по критериям: реальность, соответствие условию</w:t>
            </w:r>
          </w:p>
        </w:tc>
      </w:tr>
      <w:tr w14:paraId="16327D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701" w:type="dxa"/>
          </w:tcPr>
          <w:p w14:paraId="40E3AEEB">
            <w:pPr>
              <w:pStyle w:val="85"/>
              <w:jc w:val="center"/>
              <w:rPr>
                <w:color w:val="auto"/>
                <w:sz w:val="22"/>
                <w:szCs w:val="22"/>
              </w:rPr>
            </w:pPr>
            <w:r>
              <w:rPr>
                <w:color w:val="auto"/>
                <w:sz w:val="22"/>
                <w:szCs w:val="22"/>
              </w:rPr>
              <w:t>1.12</w:t>
            </w:r>
          </w:p>
        </w:tc>
        <w:tc>
          <w:tcPr>
            <w:tcW w:w="7370" w:type="dxa"/>
          </w:tcPr>
          <w:p w14:paraId="52E57AD4">
            <w:pPr>
              <w:pStyle w:val="85"/>
              <w:jc w:val="both"/>
              <w:rPr>
                <w:color w:val="auto"/>
                <w:sz w:val="22"/>
                <w:szCs w:val="22"/>
              </w:rPr>
            </w:pPr>
            <w:r>
              <w:rPr>
                <w:color w:val="auto"/>
                <w:sz w:val="22"/>
                <w:szCs w:val="22"/>
              </w:rPr>
              <w:t>решать практические задачи, связанные с повседневной жизнью, в том числе с избыточными данными, находить недостающую информацию (например, из таблиц, схем), находить различные способы решения</w:t>
            </w:r>
          </w:p>
        </w:tc>
      </w:tr>
      <w:tr w14:paraId="01E962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701" w:type="dxa"/>
          </w:tcPr>
          <w:p w14:paraId="18D2F179">
            <w:pPr>
              <w:pStyle w:val="85"/>
              <w:jc w:val="center"/>
              <w:rPr>
                <w:color w:val="auto"/>
                <w:sz w:val="22"/>
                <w:szCs w:val="22"/>
              </w:rPr>
            </w:pPr>
            <w:r>
              <w:rPr>
                <w:color w:val="auto"/>
                <w:sz w:val="22"/>
                <w:szCs w:val="22"/>
              </w:rPr>
              <w:t>1.13</w:t>
            </w:r>
          </w:p>
        </w:tc>
        <w:tc>
          <w:tcPr>
            <w:tcW w:w="7370" w:type="dxa"/>
          </w:tcPr>
          <w:p w14:paraId="65D96F5E">
            <w:pPr>
              <w:pStyle w:val="85"/>
              <w:jc w:val="both"/>
              <w:rPr>
                <w:color w:val="auto"/>
                <w:sz w:val="22"/>
                <w:szCs w:val="22"/>
              </w:rPr>
            </w:pPr>
            <w:r>
              <w:rPr>
                <w:color w:val="auto"/>
                <w:sz w:val="22"/>
                <w:szCs w:val="22"/>
              </w:rPr>
              <w:t>различать окружность и круг, изображать с помощью циркуля и линейки окружность заданного радиуса</w:t>
            </w:r>
          </w:p>
        </w:tc>
      </w:tr>
      <w:tr w14:paraId="68345F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701" w:type="dxa"/>
          </w:tcPr>
          <w:p w14:paraId="557F9864">
            <w:pPr>
              <w:pStyle w:val="85"/>
              <w:jc w:val="center"/>
              <w:rPr>
                <w:color w:val="auto"/>
                <w:sz w:val="22"/>
                <w:szCs w:val="22"/>
              </w:rPr>
            </w:pPr>
            <w:r>
              <w:rPr>
                <w:color w:val="auto"/>
                <w:sz w:val="22"/>
                <w:szCs w:val="22"/>
              </w:rPr>
              <w:t>1.14</w:t>
            </w:r>
          </w:p>
        </w:tc>
        <w:tc>
          <w:tcPr>
            <w:tcW w:w="7370" w:type="dxa"/>
          </w:tcPr>
          <w:p w14:paraId="31DD7252">
            <w:pPr>
              <w:pStyle w:val="85"/>
              <w:jc w:val="both"/>
              <w:rPr>
                <w:color w:val="auto"/>
                <w:sz w:val="22"/>
                <w:szCs w:val="22"/>
              </w:rPr>
            </w:pPr>
            <w:r>
              <w:rPr>
                <w:color w:val="auto"/>
                <w:sz w:val="22"/>
                <w:szCs w:val="22"/>
              </w:rPr>
              <w:t>Различать изображения простейших пространственных фигур, распознавать в простейших случаях проекции предметов окружающего мира на плоскость</w:t>
            </w:r>
          </w:p>
        </w:tc>
      </w:tr>
      <w:tr w14:paraId="5FE972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701" w:type="dxa"/>
          </w:tcPr>
          <w:p w14:paraId="2EE3EC35">
            <w:pPr>
              <w:pStyle w:val="85"/>
              <w:jc w:val="center"/>
              <w:rPr>
                <w:color w:val="auto"/>
                <w:sz w:val="22"/>
                <w:szCs w:val="22"/>
              </w:rPr>
            </w:pPr>
            <w:r>
              <w:rPr>
                <w:color w:val="auto"/>
                <w:sz w:val="22"/>
                <w:szCs w:val="22"/>
              </w:rPr>
              <w:t>1.15</w:t>
            </w:r>
          </w:p>
        </w:tc>
        <w:tc>
          <w:tcPr>
            <w:tcW w:w="7370" w:type="dxa"/>
          </w:tcPr>
          <w:p w14:paraId="22D628EC">
            <w:pPr>
              <w:pStyle w:val="85"/>
              <w:jc w:val="both"/>
              <w:rPr>
                <w:color w:val="auto"/>
                <w:sz w:val="22"/>
                <w:szCs w:val="22"/>
              </w:rPr>
            </w:pPr>
            <w:r>
              <w:rPr>
                <w:color w:val="auto"/>
                <w:sz w:val="22"/>
                <w:szCs w:val="22"/>
              </w:rPr>
              <w:t>выполнять разбиение простейшей составной фигуры на прямоугольники (квадраты), находить периметр и площадь фигур, составленных из двух-трех прямоугольников (квадратов)</w:t>
            </w:r>
          </w:p>
        </w:tc>
      </w:tr>
      <w:tr w14:paraId="32CE2F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701" w:type="dxa"/>
          </w:tcPr>
          <w:p w14:paraId="5A86478B">
            <w:pPr>
              <w:pStyle w:val="85"/>
              <w:jc w:val="center"/>
              <w:rPr>
                <w:color w:val="auto"/>
                <w:sz w:val="22"/>
                <w:szCs w:val="22"/>
              </w:rPr>
            </w:pPr>
            <w:r>
              <w:rPr>
                <w:color w:val="auto"/>
                <w:sz w:val="22"/>
                <w:szCs w:val="22"/>
              </w:rPr>
              <w:t>1.16</w:t>
            </w:r>
          </w:p>
        </w:tc>
        <w:tc>
          <w:tcPr>
            <w:tcW w:w="7370" w:type="dxa"/>
          </w:tcPr>
          <w:p w14:paraId="7B39ABB3">
            <w:pPr>
              <w:pStyle w:val="85"/>
              <w:jc w:val="both"/>
              <w:rPr>
                <w:color w:val="auto"/>
                <w:sz w:val="22"/>
                <w:szCs w:val="22"/>
              </w:rPr>
            </w:pPr>
            <w:r>
              <w:rPr>
                <w:color w:val="auto"/>
                <w:sz w:val="22"/>
                <w:szCs w:val="22"/>
              </w:rPr>
              <w:t>распознавать верные (истинные) и неверные (ложные) утверждения, приводить пример, контрпример</w:t>
            </w:r>
          </w:p>
        </w:tc>
      </w:tr>
      <w:tr w14:paraId="14BFC1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701" w:type="dxa"/>
          </w:tcPr>
          <w:p w14:paraId="62C539B6">
            <w:pPr>
              <w:pStyle w:val="85"/>
              <w:jc w:val="center"/>
              <w:rPr>
                <w:color w:val="auto"/>
                <w:sz w:val="22"/>
                <w:szCs w:val="22"/>
              </w:rPr>
            </w:pPr>
            <w:r>
              <w:rPr>
                <w:color w:val="auto"/>
                <w:sz w:val="22"/>
                <w:szCs w:val="22"/>
              </w:rPr>
              <w:t>1.17</w:t>
            </w:r>
          </w:p>
        </w:tc>
        <w:tc>
          <w:tcPr>
            <w:tcW w:w="7370" w:type="dxa"/>
          </w:tcPr>
          <w:p w14:paraId="7F29294F">
            <w:pPr>
              <w:pStyle w:val="85"/>
              <w:jc w:val="both"/>
              <w:rPr>
                <w:color w:val="auto"/>
                <w:sz w:val="22"/>
                <w:szCs w:val="22"/>
              </w:rPr>
            </w:pPr>
            <w:r>
              <w:rPr>
                <w:color w:val="auto"/>
                <w:sz w:val="22"/>
                <w:szCs w:val="22"/>
              </w:rPr>
              <w:t>формулировать утверждение (вывод), строить логические рассуждения (двух-трехшаговые)</w:t>
            </w:r>
          </w:p>
        </w:tc>
      </w:tr>
      <w:tr w14:paraId="1014A6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701" w:type="dxa"/>
          </w:tcPr>
          <w:p w14:paraId="2E4F6F02">
            <w:pPr>
              <w:pStyle w:val="85"/>
              <w:jc w:val="center"/>
              <w:rPr>
                <w:color w:val="auto"/>
                <w:sz w:val="22"/>
                <w:szCs w:val="22"/>
              </w:rPr>
            </w:pPr>
            <w:r>
              <w:rPr>
                <w:color w:val="auto"/>
                <w:sz w:val="22"/>
                <w:szCs w:val="22"/>
              </w:rPr>
              <w:t>1.18</w:t>
            </w:r>
          </w:p>
        </w:tc>
        <w:tc>
          <w:tcPr>
            <w:tcW w:w="7370" w:type="dxa"/>
          </w:tcPr>
          <w:p w14:paraId="000900CA">
            <w:pPr>
              <w:pStyle w:val="85"/>
              <w:jc w:val="both"/>
              <w:rPr>
                <w:color w:val="auto"/>
                <w:sz w:val="22"/>
                <w:szCs w:val="22"/>
              </w:rPr>
            </w:pPr>
            <w:r>
              <w:rPr>
                <w:color w:val="auto"/>
                <w:sz w:val="22"/>
                <w:szCs w:val="22"/>
              </w:rPr>
              <w:t>классифицировать объекты по заданным или самостоятельно установленным одному-двум признакам</w:t>
            </w:r>
          </w:p>
        </w:tc>
      </w:tr>
      <w:tr w14:paraId="3EEAD5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701" w:type="dxa"/>
          </w:tcPr>
          <w:p w14:paraId="3C9D459A">
            <w:pPr>
              <w:pStyle w:val="85"/>
              <w:jc w:val="center"/>
              <w:rPr>
                <w:color w:val="auto"/>
                <w:sz w:val="22"/>
                <w:szCs w:val="22"/>
              </w:rPr>
            </w:pPr>
            <w:r>
              <w:rPr>
                <w:color w:val="auto"/>
                <w:sz w:val="22"/>
                <w:szCs w:val="22"/>
              </w:rPr>
              <w:t>1.19</w:t>
            </w:r>
          </w:p>
        </w:tc>
        <w:tc>
          <w:tcPr>
            <w:tcW w:w="7370" w:type="dxa"/>
          </w:tcPr>
          <w:p w14:paraId="1D0441AD">
            <w:pPr>
              <w:pStyle w:val="85"/>
              <w:jc w:val="both"/>
              <w:rPr>
                <w:color w:val="auto"/>
                <w:sz w:val="22"/>
                <w:szCs w:val="22"/>
              </w:rPr>
            </w:pPr>
            <w:r>
              <w:rPr>
                <w:color w:val="auto"/>
                <w:sz w:val="22"/>
                <w:szCs w:val="22"/>
              </w:rPr>
              <w:t>извлекать и использовать для выполнения заданий и решения задач информацию, представленную на простейших столбчатых диаграммах, в таблицах с данными о реальных процессах и явлениях окружающего мира, в предметах повседневной жизни</w:t>
            </w:r>
          </w:p>
        </w:tc>
      </w:tr>
      <w:tr w14:paraId="0E8B36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701" w:type="dxa"/>
          </w:tcPr>
          <w:p w14:paraId="0D5197F2">
            <w:pPr>
              <w:pStyle w:val="85"/>
              <w:jc w:val="center"/>
              <w:rPr>
                <w:color w:val="auto"/>
                <w:sz w:val="22"/>
                <w:szCs w:val="22"/>
              </w:rPr>
            </w:pPr>
            <w:r>
              <w:rPr>
                <w:color w:val="auto"/>
                <w:sz w:val="22"/>
                <w:szCs w:val="22"/>
              </w:rPr>
              <w:t>1.20</w:t>
            </w:r>
          </w:p>
        </w:tc>
        <w:tc>
          <w:tcPr>
            <w:tcW w:w="7370" w:type="dxa"/>
          </w:tcPr>
          <w:p w14:paraId="195C08F7">
            <w:pPr>
              <w:pStyle w:val="85"/>
              <w:jc w:val="both"/>
              <w:rPr>
                <w:color w:val="auto"/>
                <w:sz w:val="22"/>
                <w:szCs w:val="22"/>
              </w:rPr>
            </w:pPr>
            <w:r>
              <w:rPr>
                <w:color w:val="auto"/>
                <w:sz w:val="22"/>
                <w:szCs w:val="22"/>
              </w:rPr>
              <w:t>заполнять данными предложенную таблицу, столбчатую диаграмму</w:t>
            </w:r>
          </w:p>
        </w:tc>
      </w:tr>
      <w:tr w14:paraId="1B9E9A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701" w:type="dxa"/>
          </w:tcPr>
          <w:p w14:paraId="583C312C">
            <w:pPr>
              <w:pStyle w:val="85"/>
              <w:jc w:val="center"/>
              <w:rPr>
                <w:color w:val="auto"/>
                <w:sz w:val="22"/>
                <w:szCs w:val="22"/>
              </w:rPr>
            </w:pPr>
            <w:r>
              <w:rPr>
                <w:color w:val="auto"/>
                <w:sz w:val="22"/>
                <w:szCs w:val="22"/>
              </w:rPr>
              <w:t>1.21</w:t>
            </w:r>
          </w:p>
        </w:tc>
        <w:tc>
          <w:tcPr>
            <w:tcW w:w="7370" w:type="dxa"/>
          </w:tcPr>
          <w:p w14:paraId="7B761735">
            <w:pPr>
              <w:pStyle w:val="85"/>
              <w:jc w:val="both"/>
              <w:rPr>
                <w:color w:val="auto"/>
                <w:sz w:val="22"/>
                <w:szCs w:val="22"/>
              </w:rPr>
            </w:pPr>
            <w:r>
              <w:rPr>
                <w:color w:val="auto"/>
                <w:sz w:val="22"/>
                <w:szCs w:val="22"/>
              </w:rPr>
              <w:t>использовать формализованные описания последовательности действий (алгоритм, план, схема) в практических и учебных ситуациях, дополнять алгоритм, упорядочивать шаги алгоритма</w:t>
            </w:r>
          </w:p>
        </w:tc>
      </w:tr>
      <w:tr w14:paraId="6D115A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701" w:type="dxa"/>
          </w:tcPr>
          <w:p w14:paraId="59F8DBF9">
            <w:pPr>
              <w:pStyle w:val="85"/>
              <w:jc w:val="center"/>
              <w:rPr>
                <w:color w:val="auto"/>
                <w:sz w:val="22"/>
                <w:szCs w:val="22"/>
              </w:rPr>
            </w:pPr>
            <w:r>
              <w:rPr>
                <w:color w:val="auto"/>
                <w:sz w:val="22"/>
                <w:szCs w:val="22"/>
              </w:rPr>
              <w:t>1.22</w:t>
            </w:r>
          </w:p>
        </w:tc>
        <w:tc>
          <w:tcPr>
            <w:tcW w:w="7370" w:type="dxa"/>
          </w:tcPr>
          <w:p w14:paraId="053DD372">
            <w:pPr>
              <w:pStyle w:val="85"/>
              <w:jc w:val="both"/>
              <w:rPr>
                <w:color w:val="auto"/>
                <w:sz w:val="22"/>
                <w:szCs w:val="22"/>
              </w:rPr>
            </w:pPr>
            <w:r>
              <w:rPr>
                <w:color w:val="auto"/>
                <w:sz w:val="22"/>
                <w:szCs w:val="22"/>
              </w:rPr>
              <w:t>составлять модель текстовой задачи, числовое выражение</w:t>
            </w:r>
          </w:p>
        </w:tc>
      </w:tr>
      <w:tr w14:paraId="706D88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701" w:type="dxa"/>
          </w:tcPr>
          <w:p w14:paraId="77BA8338">
            <w:pPr>
              <w:pStyle w:val="85"/>
              <w:jc w:val="center"/>
              <w:rPr>
                <w:color w:val="auto"/>
                <w:sz w:val="22"/>
                <w:szCs w:val="22"/>
              </w:rPr>
            </w:pPr>
            <w:r>
              <w:rPr>
                <w:color w:val="auto"/>
                <w:sz w:val="22"/>
                <w:szCs w:val="22"/>
              </w:rPr>
              <w:t>1.23</w:t>
            </w:r>
          </w:p>
        </w:tc>
        <w:tc>
          <w:tcPr>
            <w:tcW w:w="7370" w:type="dxa"/>
          </w:tcPr>
          <w:p w14:paraId="29526320">
            <w:pPr>
              <w:pStyle w:val="85"/>
              <w:jc w:val="both"/>
              <w:rPr>
                <w:color w:val="auto"/>
                <w:sz w:val="22"/>
                <w:szCs w:val="22"/>
              </w:rPr>
            </w:pPr>
            <w:r>
              <w:rPr>
                <w:color w:val="auto"/>
                <w:sz w:val="22"/>
                <w:szCs w:val="22"/>
              </w:rPr>
              <w:t>выбирать рациональное решение задачи, находить все верные решения из предложенных</w:t>
            </w:r>
          </w:p>
        </w:tc>
      </w:tr>
    </w:tbl>
    <w:p w14:paraId="419AF82A">
      <w:pPr>
        <w:pStyle w:val="85"/>
        <w:jc w:val="both"/>
        <w:rPr>
          <w:color w:val="auto"/>
          <w:sz w:val="22"/>
          <w:szCs w:val="22"/>
        </w:rPr>
      </w:pPr>
    </w:p>
    <w:p w14:paraId="48BAE0D2">
      <w:pPr>
        <w:pStyle w:val="85"/>
        <w:jc w:val="right"/>
        <w:rPr>
          <w:color w:val="auto"/>
          <w:sz w:val="22"/>
          <w:szCs w:val="22"/>
        </w:rPr>
      </w:pPr>
      <w:r>
        <w:rPr>
          <w:color w:val="auto"/>
          <w:sz w:val="22"/>
          <w:szCs w:val="22"/>
        </w:rPr>
        <w:t>Таблица 10.7</w:t>
      </w:r>
    </w:p>
    <w:p w14:paraId="1F01E4A4">
      <w:pPr>
        <w:pStyle w:val="85"/>
        <w:jc w:val="both"/>
        <w:rPr>
          <w:color w:val="auto"/>
          <w:sz w:val="22"/>
          <w:szCs w:val="22"/>
        </w:rPr>
      </w:pPr>
    </w:p>
    <w:p w14:paraId="0349BA6F">
      <w:pPr>
        <w:pStyle w:val="85"/>
        <w:jc w:val="center"/>
        <w:rPr>
          <w:color w:val="auto"/>
          <w:sz w:val="22"/>
          <w:szCs w:val="22"/>
        </w:rPr>
      </w:pPr>
      <w:r>
        <w:rPr>
          <w:color w:val="auto"/>
          <w:sz w:val="22"/>
          <w:szCs w:val="22"/>
        </w:rPr>
        <w:t>Проверяемые элементы содержания (4 класс)</w:t>
      </w:r>
    </w:p>
    <w:p w14:paraId="660AD6FD">
      <w:pPr>
        <w:pStyle w:val="85"/>
        <w:jc w:val="both"/>
        <w:rPr>
          <w:color w:val="auto"/>
          <w:sz w:val="22"/>
          <w:szCs w:val="22"/>
        </w:rPr>
      </w:pPr>
    </w:p>
    <w:tbl>
      <w:tblPr>
        <w:tblStyle w:val="1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02" w:type="dxa"/>
          <w:left w:w="62" w:type="dxa"/>
          <w:bottom w:w="102" w:type="dxa"/>
          <w:right w:w="62" w:type="dxa"/>
        </w:tblCellMar>
      </w:tblPr>
      <w:tblGrid>
        <w:gridCol w:w="1134"/>
        <w:gridCol w:w="7937"/>
      </w:tblGrid>
      <w:tr w14:paraId="539934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tcPr>
          <w:p w14:paraId="7EF27D51">
            <w:pPr>
              <w:pStyle w:val="85"/>
              <w:jc w:val="center"/>
              <w:rPr>
                <w:color w:val="auto"/>
                <w:sz w:val="22"/>
                <w:szCs w:val="22"/>
              </w:rPr>
            </w:pPr>
            <w:r>
              <w:rPr>
                <w:color w:val="auto"/>
                <w:sz w:val="22"/>
                <w:szCs w:val="22"/>
              </w:rPr>
              <w:t>Код</w:t>
            </w:r>
          </w:p>
        </w:tc>
        <w:tc>
          <w:tcPr>
            <w:tcW w:w="7937" w:type="dxa"/>
          </w:tcPr>
          <w:p w14:paraId="4D6C9D88">
            <w:pPr>
              <w:pStyle w:val="85"/>
              <w:jc w:val="center"/>
              <w:rPr>
                <w:color w:val="auto"/>
                <w:sz w:val="22"/>
                <w:szCs w:val="22"/>
              </w:rPr>
            </w:pPr>
            <w:r>
              <w:rPr>
                <w:color w:val="auto"/>
                <w:sz w:val="22"/>
                <w:szCs w:val="22"/>
              </w:rPr>
              <w:t>Проверяемый элемент содержания</w:t>
            </w:r>
          </w:p>
        </w:tc>
      </w:tr>
      <w:tr w14:paraId="03CAB7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tcPr>
          <w:p w14:paraId="2976A2C3">
            <w:pPr>
              <w:pStyle w:val="85"/>
              <w:jc w:val="center"/>
              <w:rPr>
                <w:color w:val="auto"/>
                <w:sz w:val="22"/>
                <w:szCs w:val="22"/>
              </w:rPr>
            </w:pPr>
            <w:r>
              <w:rPr>
                <w:color w:val="auto"/>
                <w:sz w:val="22"/>
                <w:szCs w:val="22"/>
              </w:rPr>
              <w:t>1</w:t>
            </w:r>
          </w:p>
        </w:tc>
        <w:tc>
          <w:tcPr>
            <w:tcW w:w="7937" w:type="dxa"/>
          </w:tcPr>
          <w:p w14:paraId="2F9070FD">
            <w:pPr>
              <w:pStyle w:val="85"/>
              <w:jc w:val="both"/>
              <w:rPr>
                <w:color w:val="auto"/>
                <w:sz w:val="22"/>
                <w:szCs w:val="22"/>
              </w:rPr>
            </w:pPr>
            <w:r>
              <w:rPr>
                <w:color w:val="auto"/>
                <w:sz w:val="22"/>
                <w:szCs w:val="22"/>
              </w:rPr>
              <w:t>Числа и величины</w:t>
            </w:r>
          </w:p>
        </w:tc>
      </w:tr>
      <w:tr w14:paraId="4EA254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tcPr>
          <w:p w14:paraId="425413E7">
            <w:pPr>
              <w:pStyle w:val="85"/>
              <w:jc w:val="center"/>
              <w:rPr>
                <w:color w:val="auto"/>
                <w:sz w:val="22"/>
                <w:szCs w:val="22"/>
              </w:rPr>
            </w:pPr>
            <w:r>
              <w:rPr>
                <w:color w:val="auto"/>
                <w:sz w:val="22"/>
                <w:szCs w:val="22"/>
              </w:rPr>
              <w:t>1.1</w:t>
            </w:r>
          </w:p>
        </w:tc>
        <w:tc>
          <w:tcPr>
            <w:tcW w:w="7937" w:type="dxa"/>
          </w:tcPr>
          <w:p w14:paraId="2C69194A">
            <w:pPr>
              <w:pStyle w:val="85"/>
              <w:jc w:val="both"/>
              <w:rPr>
                <w:color w:val="auto"/>
                <w:sz w:val="22"/>
                <w:szCs w:val="22"/>
              </w:rPr>
            </w:pPr>
            <w:r>
              <w:rPr>
                <w:color w:val="auto"/>
                <w:sz w:val="22"/>
                <w:szCs w:val="22"/>
              </w:rPr>
              <w:t>Числа в пределах миллиона: чтение, запись, поразрядное сравнение, упорядочение. Число, большее или меньшее данного числа на заданное число разрядных единиц, в заданное число раз</w:t>
            </w:r>
          </w:p>
        </w:tc>
      </w:tr>
      <w:tr w14:paraId="504414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tcPr>
          <w:p w14:paraId="31D1F9C6">
            <w:pPr>
              <w:pStyle w:val="85"/>
              <w:jc w:val="center"/>
              <w:rPr>
                <w:color w:val="auto"/>
                <w:sz w:val="22"/>
                <w:szCs w:val="22"/>
              </w:rPr>
            </w:pPr>
            <w:r>
              <w:rPr>
                <w:color w:val="auto"/>
                <w:sz w:val="22"/>
                <w:szCs w:val="22"/>
              </w:rPr>
              <w:t>1.2</w:t>
            </w:r>
          </w:p>
        </w:tc>
        <w:tc>
          <w:tcPr>
            <w:tcW w:w="7937" w:type="dxa"/>
          </w:tcPr>
          <w:p w14:paraId="15154307">
            <w:pPr>
              <w:pStyle w:val="85"/>
              <w:jc w:val="both"/>
              <w:rPr>
                <w:color w:val="auto"/>
                <w:sz w:val="22"/>
                <w:szCs w:val="22"/>
              </w:rPr>
            </w:pPr>
            <w:r>
              <w:rPr>
                <w:color w:val="auto"/>
                <w:sz w:val="22"/>
                <w:szCs w:val="22"/>
              </w:rPr>
              <w:t>Величины: сравнение объектов по массе, длине, площади, вместимости</w:t>
            </w:r>
          </w:p>
        </w:tc>
      </w:tr>
      <w:tr w14:paraId="744B72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tcPr>
          <w:p w14:paraId="2318E042">
            <w:pPr>
              <w:pStyle w:val="85"/>
              <w:jc w:val="center"/>
              <w:rPr>
                <w:color w:val="auto"/>
                <w:sz w:val="22"/>
                <w:szCs w:val="22"/>
              </w:rPr>
            </w:pPr>
            <w:r>
              <w:rPr>
                <w:color w:val="auto"/>
                <w:sz w:val="22"/>
                <w:szCs w:val="22"/>
              </w:rPr>
              <w:t>1.3</w:t>
            </w:r>
          </w:p>
        </w:tc>
        <w:tc>
          <w:tcPr>
            <w:tcW w:w="7937" w:type="dxa"/>
          </w:tcPr>
          <w:p w14:paraId="15FDE549">
            <w:pPr>
              <w:pStyle w:val="85"/>
              <w:jc w:val="both"/>
              <w:rPr>
                <w:color w:val="auto"/>
                <w:sz w:val="22"/>
                <w:szCs w:val="22"/>
              </w:rPr>
            </w:pPr>
            <w:r>
              <w:rPr>
                <w:color w:val="auto"/>
                <w:sz w:val="22"/>
                <w:szCs w:val="22"/>
              </w:rPr>
              <w:t>Единицы массы и соотношения между ними</w:t>
            </w:r>
          </w:p>
        </w:tc>
      </w:tr>
      <w:tr w14:paraId="7AEA6A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tcPr>
          <w:p w14:paraId="4EE95BD3">
            <w:pPr>
              <w:pStyle w:val="85"/>
              <w:jc w:val="center"/>
              <w:rPr>
                <w:color w:val="auto"/>
                <w:sz w:val="22"/>
                <w:szCs w:val="22"/>
              </w:rPr>
            </w:pPr>
            <w:r>
              <w:rPr>
                <w:color w:val="auto"/>
                <w:sz w:val="22"/>
                <w:szCs w:val="22"/>
              </w:rPr>
              <w:t>1.4</w:t>
            </w:r>
          </w:p>
        </w:tc>
        <w:tc>
          <w:tcPr>
            <w:tcW w:w="7937" w:type="dxa"/>
          </w:tcPr>
          <w:p w14:paraId="7A7ABE01">
            <w:pPr>
              <w:pStyle w:val="85"/>
              <w:jc w:val="both"/>
              <w:rPr>
                <w:color w:val="auto"/>
                <w:sz w:val="22"/>
                <w:szCs w:val="22"/>
              </w:rPr>
            </w:pPr>
            <w:r>
              <w:rPr>
                <w:color w:val="auto"/>
                <w:sz w:val="22"/>
                <w:szCs w:val="22"/>
              </w:rPr>
              <w:t>Единицы времени, соотношения между ними</w:t>
            </w:r>
          </w:p>
        </w:tc>
      </w:tr>
      <w:tr w14:paraId="694CDB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tcPr>
          <w:p w14:paraId="50E0D79A">
            <w:pPr>
              <w:pStyle w:val="85"/>
              <w:jc w:val="center"/>
              <w:rPr>
                <w:color w:val="auto"/>
                <w:sz w:val="22"/>
                <w:szCs w:val="22"/>
              </w:rPr>
            </w:pPr>
            <w:r>
              <w:rPr>
                <w:color w:val="auto"/>
                <w:sz w:val="22"/>
                <w:szCs w:val="22"/>
              </w:rPr>
              <w:t>1.5</w:t>
            </w:r>
          </w:p>
        </w:tc>
        <w:tc>
          <w:tcPr>
            <w:tcW w:w="7937" w:type="dxa"/>
          </w:tcPr>
          <w:p w14:paraId="462D31AF">
            <w:pPr>
              <w:pStyle w:val="85"/>
              <w:jc w:val="both"/>
              <w:rPr>
                <w:color w:val="auto"/>
                <w:sz w:val="22"/>
                <w:szCs w:val="22"/>
              </w:rPr>
            </w:pPr>
            <w:r>
              <w:rPr>
                <w:color w:val="auto"/>
                <w:sz w:val="22"/>
                <w:szCs w:val="22"/>
              </w:rPr>
              <w:t>Единицы длины, площади, вместимости, скорости. Соотношение между единицами в пределах 100 000</w:t>
            </w:r>
          </w:p>
        </w:tc>
      </w:tr>
      <w:tr w14:paraId="436502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tcPr>
          <w:p w14:paraId="09B3CD79">
            <w:pPr>
              <w:pStyle w:val="85"/>
              <w:jc w:val="center"/>
              <w:rPr>
                <w:color w:val="auto"/>
                <w:sz w:val="22"/>
                <w:szCs w:val="22"/>
              </w:rPr>
            </w:pPr>
            <w:r>
              <w:rPr>
                <w:color w:val="auto"/>
                <w:sz w:val="22"/>
                <w:szCs w:val="22"/>
              </w:rPr>
              <w:t>1.6</w:t>
            </w:r>
          </w:p>
        </w:tc>
        <w:tc>
          <w:tcPr>
            <w:tcW w:w="7937" w:type="dxa"/>
          </w:tcPr>
          <w:p w14:paraId="5C5BA4EA">
            <w:pPr>
              <w:pStyle w:val="85"/>
              <w:jc w:val="both"/>
              <w:rPr>
                <w:color w:val="auto"/>
                <w:sz w:val="22"/>
                <w:szCs w:val="22"/>
              </w:rPr>
            </w:pPr>
            <w:r>
              <w:rPr>
                <w:color w:val="auto"/>
                <w:sz w:val="22"/>
                <w:szCs w:val="22"/>
              </w:rPr>
              <w:t>Доля величины времени, массы, длины</w:t>
            </w:r>
          </w:p>
        </w:tc>
      </w:tr>
      <w:tr w14:paraId="35B170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tcPr>
          <w:p w14:paraId="00246F6C">
            <w:pPr>
              <w:pStyle w:val="85"/>
              <w:jc w:val="center"/>
              <w:rPr>
                <w:color w:val="auto"/>
                <w:sz w:val="22"/>
                <w:szCs w:val="22"/>
              </w:rPr>
            </w:pPr>
            <w:r>
              <w:rPr>
                <w:color w:val="auto"/>
                <w:sz w:val="22"/>
                <w:szCs w:val="22"/>
              </w:rPr>
              <w:t>2</w:t>
            </w:r>
          </w:p>
        </w:tc>
        <w:tc>
          <w:tcPr>
            <w:tcW w:w="7937" w:type="dxa"/>
          </w:tcPr>
          <w:p w14:paraId="31DA7CF0">
            <w:pPr>
              <w:pStyle w:val="85"/>
              <w:jc w:val="both"/>
              <w:rPr>
                <w:color w:val="auto"/>
                <w:sz w:val="22"/>
                <w:szCs w:val="22"/>
              </w:rPr>
            </w:pPr>
            <w:r>
              <w:rPr>
                <w:color w:val="auto"/>
                <w:sz w:val="22"/>
                <w:szCs w:val="22"/>
              </w:rPr>
              <w:t>Арифметические действия</w:t>
            </w:r>
          </w:p>
        </w:tc>
      </w:tr>
      <w:tr w14:paraId="1BC7B2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tcPr>
          <w:p w14:paraId="0A7173F8">
            <w:pPr>
              <w:pStyle w:val="85"/>
              <w:jc w:val="center"/>
              <w:rPr>
                <w:color w:val="auto"/>
                <w:sz w:val="22"/>
                <w:szCs w:val="22"/>
              </w:rPr>
            </w:pPr>
            <w:r>
              <w:rPr>
                <w:color w:val="auto"/>
                <w:sz w:val="22"/>
                <w:szCs w:val="22"/>
              </w:rPr>
              <w:t>2.1</w:t>
            </w:r>
          </w:p>
        </w:tc>
        <w:tc>
          <w:tcPr>
            <w:tcW w:w="7937" w:type="dxa"/>
          </w:tcPr>
          <w:p w14:paraId="70343C3F">
            <w:pPr>
              <w:pStyle w:val="85"/>
              <w:jc w:val="both"/>
              <w:rPr>
                <w:color w:val="auto"/>
                <w:sz w:val="22"/>
                <w:szCs w:val="22"/>
              </w:rPr>
            </w:pPr>
            <w:r>
              <w:rPr>
                <w:color w:val="auto"/>
                <w:sz w:val="22"/>
                <w:szCs w:val="22"/>
              </w:rPr>
              <w:t>Письменное сложение, вычитание многозначных чисел в пределах миллиона. Письменное умножение, деление многозначных чисел на однозначное (двузначное) число в пределах 100 000. Деление с остатком. Умножение и деление на 10, 100, 1000</w:t>
            </w:r>
          </w:p>
        </w:tc>
      </w:tr>
      <w:tr w14:paraId="066192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tcPr>
          <w:p w14:paraId="3F65061E">
            <w:pPr>
              <w:pStyle w:val="85"/>
              <w:jc w:val="center"/>
              <w:rPr>
                <w:color w:val="auto"/>
                <w:sz w:val="22"/>
                <w:szCs w:val="22"/>
              </w:rPr>
            </w:pPr>
            <w:r>
              <w:rPr>
                <w:color w:val="auto"/>
                <w:sz w:val="22"/>
                <w:szCs w:val="22"/>
              </w:rPr>
              <w:t>2.2</w:t>
            </w:r>
          </w:p>
        </w:tc>
        <w:tc>
          <w:tcPr>
            <w:tcW w:w="7937" w:type="dxa"/>
          </w:tcPr>
          <w:p w14:paraId="3D9D8EBA">
            <w:pPr>
              <w:pStyle w:val="85"/>
              <w:jc w:val="both"/>
              <w:rPr>
                <w:color w:val="auto"/>
                <w:sz w:val="22"/>
                <w:szCs w:val="22"/>
              </w:rPr>
            </w:pPr>
            <w:r>
              <w:rPr>
                <w:color w:val="auto"/>
                <w:sz w:val="22"/>
                <w:szCs w:val="22"/>
              </w:rPr>
              <w:t>Свойства арифметических действий и их применение для вычислений. Поиск значения числового выражения, содержащего несколько действий в пределах 100 000. Проверка результата вычислений, в том числе с помощью калькулятора</w:t>
            </w:r>
          </w:p>
        </w:tc>
      </w:tr>
      <w:tr w14:paraId="5E9F41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tcPr>
          <w:p w14:paraId="5242A4F0">
            <w:pPr>
              <w:pStyle w:val="85"/>
              <w:jc w:val="center"/>
              <w:rPr>
                <w:color w:val="auto"/>
                <w:sz w:val="22"/>
                <w:szCs w:val="22"/>
              </w:rPr>
            </w:pPr>
            <w:r>
              <w:rPr>
                <w:color w:val="auto"/>
                <w:sz w:val="22"/>
                <w:szCs w:val="22"/>
              </w:rPr>
              <w:t>2.3</w:t>
            </w:r>
          </w:p>
        </w:tc>
        <w:tc>
          <w:tcPr>
            <w:tcW w:w="7937" w:type="dxa"/>
          </w:tcPr>
          <w:p w14:paraId="0100E3A2">
            <w:pPr>
              <w:pStyle w:val="85"/>
              <w:jc w:val="both"/>
              <w:rPr>
                <w:color w:val="auto"/>
                <w:sz w:val="22"/>
                <w:szCs w:val="22"/>
              </w:rPr>
            </w:pPr>
            <w:r>
              <w:rPr>
                <w:color w:val="auto"/>
                <w:sz w:val="22"/>
                <w:szCs w:val="22"/>
              </w:rPr>
              <w:t>Равенство, содержащее неизвестный компонент арифметического действия: запись, нахождение неизвестного компонента</w:t>
            </w:r>
          </w:p>
        </w:tc>
      </w:tr>
      <w:tr w14:paraId="05A73B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tcPr>
          <w:p w14:paraId="18CA9EC0">
            <w:pPr>
              <w:pStyle w:val="85"/>
              <w:jc w:val="center"/>
              <w:rPr>
                <w:color w:val="auto"/>
                <w:sz w:val="22"/>
                <w:szCs w:val="22"/>
              </w:rPr>
            </w:pPr>
            <w:r>
              <w:rPr>
                <w:color w:val="auto"/>
                <w:sz w:val="22"/>
                <w:szCs w:val="22"/>
              </w:rPr>
              <w:t>2.4</w:t>
            </w:r>
          </w:p>
        </w:tc>
        <w:tc>
          <w:tcPr>
            <w:tcW w:w="7937" w:type="dxa"/>
          </w:tcPr>
          <w:p w14:paraId="4FE332D0">
            <w:pPr>
              <w:pStyle w:val="85"/>
              <w:jc w:val="both"/>
              <w:rPr>
                <w:color w:val="auto"/>
                <w:sz w:val="22"/>
                <w:szCs w:val="22"/>
              </w:rPr>
            </w:pPr>
            <w:r>
              <w:rPr>
                <w:color w:val="auto"/>
                <w:sz w:val="22"/>
                <w:szCs w:val="22"/>
              </w:rPr>
              <w:t>Умножение и деление величины на однозначное число</w:t>
            </w:r>
          </w:p>
        </w:tc>
      </w:tr>
      <w:tr w14:paraId="266326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tcPr>
          <w:p w14:paraId="6DC47B76">
            <w:pPr>
              <w:pStyle w:val="85"/>
              <w:jc w:val="center"/>
              <w:rPr>
                <w:color w:val="auto"/>
                <w:sz w:val="22"/>
                <w:szCs w:val="22"/>
              </w:rPr>
            </w:pPr>
            <w:r>
              <w:rPr>
                <w:color w:val="auto"/>
                <w:sz w:val="22"/>
                <w:szCs w:val="22"/>
              </w:rPr>
              <w:t>3</w:t>
            </w:r>
          </w:p>
        </w:tc>
        <w:tc>
          <w:tcPr>
            <w:tcW w:w="7937" w:type="dxa"/>
          </w:tcPr>
          <w:p w14:paraId="39595653">
            <w:pPr>
              <w:pStyle w:val="85"/>
              <w:jc w:val="both"/>
              <w:rPr>
                <w:color w:val="auto"/>
                <w:sz w:val="22"/>
                <w:szCs w:val="22"/>
              </w:rPr>
            </w:pPr>
            <w:r>
              <w:rPr>
                <w:color w:val="auto"/>
                <w:sz w:val="22"/>
                <w:szCs w:val="22"/>
              </w:rPr>
              <w:t>Текстовые задачи</w:t>
            </w:r>
          </w:p>
        </w:tc>
      </w:tr>
      <w:tr w14:paraId="3839F5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tcPr>
          <w:p w14:paraId="794CB9B8">
            <w:pPr>
              <w:pStyle w:val="85"/>
              <w:jc w:val="center"/>
              <w:rPr>
                <w:color w:val="auto"/>
                <w:sz w:val="22"/>
                <w:szCs w:val="22"/>
              </w:rPr>
            </w:pPr>
            <w:r>
              <w:rPr>
                <w:color w:val="auto"/>
                <w:sz w:val="22"/>
                <w:szCs w:val="22"/>
              </w:rPr>
              <w:t>3.1</w:t>
            </w:r>
          </w:p>
        </w:tc>
        <w:tc>
          <w:tcPr>
            <w:tcW w:w="7937" w:type="dxa"/>
          </w:tcPr>
          <w:p w14:paraId="12F12385">
            <w:pPr>
              <w:pStyle w:val="85"/>
              <w:jc w:val="both"/>
              <w:rPr>
                <w:color w:val="auto"/>
                <w:sz w:val="22"/>
                <w:szCs w:val="22"/>
              </w:rPr>
            </w:pPr>
            <w:r>
              <w:rPr>
                <w:color w:val="auto"/>
                <w:sz w:val="22"/>
                <w:szCs w:val="22"/>
              </w:rPr>
              <w:t>Работа с текстовой задачей, решение которой содержит 2 - 3 действия: анализ, представление на модели, планирование и запись решения, проверка решения и ответа. Анализ зависимостей, характеризующих процессы движения, работы, купли-продажи, и решение соответствующих задач</w:t>
            </w:r>
          </w:p>
        </w:tc>
      </w:tr>
      <w:tr w14:paraId="2B91AC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tcPr>
          <w:p w14:paraId="76A716F4">
            <w:pPr>
              <w:pStyle w:val="85"/>
              <w:jc w:val="center"/>
              <w:rPr>
                <w:color w:val="auto"/>
                <w:sz w:val="22"/>
                <w:szCs w:val="22"/>
              </w:rPr>
            </w:pPr>
            <w:r>
              <w:rPr>
                <w:color w:val="auto"/>
                <w:sz w:val="22"/>
                <w:szCs w:val="22"/>
              </w:rPr>
              <w:t>3.2</w:t>
            </w:r>
          </w:p>
        </w:tc>
        <w:tc>
          <w:tcPr>
            <w:tcW w:w="7937" w:type="dxa"/>
          </w:tcPr>
          <w:p w14:paraId="5359BB2D">
            <w:pPr>
              <w:pStyle w:val="85"/>
              <w:jc w:val="both"/>
              <w:rPr>
                <w:color w:val="auto"/>
                <w:sz w:val="22"/>
                <w:szCs w:val="22"/>
              </w:rPr>
            </w:pPr>
            <w:r>
              <w:rPr>
                <w:color w:val="auto"/>
                <w:sz w:val="22"/>
                <w:szCs w:val="22"/>
              </w:rPr>
              <w:t>Задачи на установление времени (начало, продолжительность и окончание события), расчета количества, расхода, изменения. Задачи на нахождение доли величины, величины по ее доле</w:t>
            </w:r>
          </w:p>
        </w:tc>
      </w:tr>
      <w:tr w14:paraId="17F831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tcPr>
          <w:p w14:paraId="2762B04F">
            <w:pPr>
              <w:pStyle w:val="85"/>
              <w:jc w:val="center"/>
              <w:rPr>
                <w:color w:val="auto"/>
                <w:sz w:val="22"/>
                <w:szCs w:val="22"/>
              </w:rPr>
            </w:pPr>
            <w:r>
              <w:rPr>
                <w:color w:val="auto"/>
                <w:sz w:val="22"/>
                <w:szCs w:val="22"/>
              </w:rPr>
              <w:t>3.3</w:t>
            </w:r>
          </w:p>
        </w:tc>
        <w:tc>
          <w:tcPr>
            <w:tcW w:w="7937" w:type="dxa"/>
          </w:tcPr>
          <w:p w14:paraId="73E6CBF5">
            <w:pPr>
              <w:pStyle w:val="85"/>
              <w:jc w:val="both"/>
              <w:rPr>
                <w:color w:val="auto"/>
                <w:sz w:val="22"/>
                <w:szCs w:val="22"/>
              </w:rPr>
            </w:pPr>
            <w:r>
              <w:rPr>
                <w:color w:val="auto"/>
                <w:sz w:val="22"/>
                <w:szCs w:val="22"/>
              </w:rPr>
              <w:t>Разные способы решения некоторых видов изученных задач</w:t>
            </w:r>
          </w:p>
        </w:tc>
      </w:tr>
      <w:tr w14:paraId="054265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tcPr>
          <w:p w14:paraId="44F2E861">
            <w:pPr>
              <w:pStyle w:val="85"/>
              <w:jc w:val="center"/>
              <w:rPr>
                <w:color w:val="auto"/>
                <w:sz w:val="22"/>
                <w:szCs w:val="22"/>
              </w:rPr>
            </w:pPr>
            <w:r>
              <w:rPr>
                <w:color w:val="auto"/>
                <w:sz w:val="22"/>
                <w:szCs w:val="22"/>
              </w:rPr>
              <w:t>4</w:t>
            </w:r>
          </w:p>
        </w:tc>
        <w:tc>
          <w:tcPr>
            <w:tcW w:w="7937" w:type="dxa"/>
          </w:tcPr>
          <w:p w14:paraId="59E86DF8">
            <w:pPr>
              <w:pStyle w:val="85"/>
              <w:jc w:val="both"/>
              <w:rPr>
                <w:color w:val="auto"/>
                <w:sz w:val="22"/>
                <w:szCs w:val="22"/>
              </w:rPr>
            </w:pPr>
            <w:r>
              <w:rPr>
                <w:color w:val="auto"/>
                <w:sz w:val="22"/>
                <w:szCs w:val="22"/>
              </w:rPr>
              <w:t>Пространственные отношения и геометрические фигуры</w:t>
            </w:r>
          </w:p>
        </w:tc>
      </w:tr>
      <w:tr w14:paraId="3A2067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tcPr>
          <w:p w14:paraId="46D4BA42">
            <w:pPr>
              <w:pStyle w:val="85"/>
              <w:jc w:val="center"/>
              <w:rPr>
                <w:color w:val="auto"/>
                <w:sz w:val="22"/>
                <w:szCs w:val="22"/>
              </w:rPr>
            </w:pPr>
            <w:r>
              <w:rPr>
                <w:color w:val="auto"/>
                <w:sz w:val="22"/>
                <w:szCs w:val="22"/>
              </w:rPr>
              <w:t>4.1</w:t>
            </w:r>
          </w:p>
        </w:tc>
        <w:tc>
          <w:tcPr>
            <w:tcW w:w="7937" w:type="dxa"/>
          </w:tcPr>
          <w:p w14:paraId="0D6CA30E">
            <w:pPr>
              <w:pStyle w:val="85"/>
              <w:jc w:val="both"/>
              <w:rPr>
                <w:color w:val="auto"/>
                <w:sz w:val="22"/>
                <w:szCs w:val="22"/>
              </w:rPr>
            </w:pPr>
            <w:r>
              <w:rPr>
                <w:color w:val="auto"/>
                <w:sz w:val="22"/>
                <w:szCs w:val="22"/>
              </w:rPr>
              <w:t>Наглядные представления о симметрии</w:t>
            </w:r>
          </w:p>
        </w:tc>
      </w:tr>
      <w:tr w14:paraId="2236DB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tcPr>
          <w:p w14:paraId="63F65563">
            <w:pPr>
              <w:pStyle w:val="85"/>
              <w:jc w:val="center"/>
              <w:rPr>
                <w:color w:val="auto"/>
                <w:sz w:val="22"/>
                <w:szCs w:val="22"/>
              </w:rPr>
            </w:pPr>
            <w:r>
              <w:rPr>
                <w:color w:val="auto"/>
                <w:sz w:val="22"/>
                <w:szCs w:val="22"/>
              </w:rPr>
              <w:t>4.2</w:t>
            </w:r>
          </w:p>
        </w:tc>
        <w:tc>
          <w:tcPr>
            <w:tcW w:w="7937" w:type="dxa"/>
          </w:tcPr>
          <w:p w14:paraId="5E54A872">
            <w:pPr>
              <w:pStyle w:val="85"/>
              <w:jc w:val="both"/>
              <w:rPr>
                <w:color w:val="auto"/>
                <w:sz w:val="22"/>
                <w:szCs w:val="22"/>
              </w:rPr>
            </w:pPr>
            <w:r>
              <w:rPr>
                <w:color w:val="auto"/>
                <w:sz w:val="22"/>
                <w:szCs w:val="22"/>
              </w:rPr>
              <w:t>Окружность, круг: распознавание и изображение. Построение окружности заданного радиуса. Построение изученных геометрических фигур с помощью линейки, угольника, циркуля. Различение, называние пространственных геометрических фигур (тел): шар, куб, цилиндр, конус, пирамида</w:t>
            </w:r>
          </w:p>
        </w:tc>
      </w:tr>
      <w:tr w14:paraId="78FD15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tcPr>
          <w:p w14:paraId="1CDEDE62">
            <w:pPr>
              <w:pStyle w:val="85"/>
              <w:jc w:val="center"/>
              <w:rPr>
                <w:color w:val="auto"/>
                <w:sz w:val="22"/>
                <w:szCs w:val="22"/>
              </w:rPr>
            </w:pPr>
            <w:r>
              <w:rPr>
                <w:color w:val="auto"/>
                <w:sz w:val="22"/>
                <w:szCs w:val="22"/>
              </w:rPr>
              <w:t>4.3</w:t>
            </w:r>
          </w:p>
        </w:tc>
        <w:tc>
          <w:tcPr>
            <w:tcW w:w="7937" w:type="dxa"/>
          </w:tcPr>
          <w:p w14:paraId="351DB75D">
            <w:pPr>
              <w:pStyle w:val="85"/>
              <w:jc w:val="both"/>
              <w:rPr>
                <w:color w:val="auto"/>
                <w:sz w:val="22"/>
                <w:szCs w:val="22"/>
              </w:rPr>
            </w:pPr>
            <w:r>
              <w:rPr>
                <w:color w:val="auto"/>
                <w:sz w:val="22"/>
                <w:szCs w:val="22"/>
              </w:rPr>
              <w:t>Конструирование: разбиение фигуры на прямоугольники (квадраты), составление фигур из прямоугольников (квадратов)</w:t>
            </w:r>
          </w:p>
        </w:tc>
      </w:tr>
      <w:tr w14:paraId="466953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tcPr>
          <w:p w14:paraId="56151647">
            <w:pPr>
              <w:pStyle w:val="85"/>
              <w:jc w:val="center"/>
              <w:rPr>
                <w:color w:val="auto"/>
                <w:sz w:val="22"/>
                <w:szCs w:val="22"/>
              </w:rPr>
            </w:pPr>
            <w:r>
              <w:rPr>
                <w:color w:val="auto"/>
                <w:sz w:val="22"/>
                <w:szCs w:val="22"/>
              </w:rPr>
              <w:t>4.4</w:t>
            </w:r>
          </w:p>
        </w:tc>
        <w:tc>
          <w:tcPr>
            <w:tcW w:w="7937" w:type="dxa"/>
          </w:tcPr>
          <w:p w14:paraId="1EE65835">
            <w:pPr>
              <w:pStyle w:val="85"/>
              <w:jc w:val="both"/>
              <w:rPr>
                <w:color w:val="auto"/>
                <w:sz w:val="22"/>
                <w:szCs w:val="22"/>
              </w:rPr>
            </w:pPr>
            <w:r>
              <w:rPr>
                <w:color w:val="auto"/>
                <w:sz w:val="22"/>
                <w:szCs w:val="22"/>
              </w:rPr>
              <w:t>Периметр, площадь фигуры, составленной из двух-трех прямоугольников (квадратов)</w:t>
            </w:r>
          </w:p>
        </w:tc>
      </w:tr>
      <w:tr w14:paraId="628715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tcPr>
          <w:p w14:paraId="4C1E2F23">
            <w:pPr>
              <w:pStyle w:val="85"/>
              <w:jc w:val="center"/>
              <w:rPr>
                <w:color w:val="auto"/>
                <w:sz w:val="22"/>
                <w:szCs w:val="22"/>
              </w:rPr>
            </w:pPr>
            <w:r>
              <w:rPr>
                <w:color w:val="auto"/>
                <w:sz w:val="22"/>
                <w:szCs w:val="22"/>
              </w:rPr>
              <w:t>5</w:t>
            </w:r>
          </w:p>
        </w:tc>
        <w:tc>
          <w:tcPr>
            <w:tcW w:w="7937" w:type="dxa"/>
          </w:tcPr>
          <w:p w14:paraId="6C9734FE">
            <w:pPr>
              <w:pStyle w:val="85"/>
              <w:jc w:val="both"/>
              <w:rPr>
                <w:color w:val="auto"/>
                <w:sz w:val="22"/>
                <w:szCs w:val="22"/>
              </w:rPr>
            </w:pPr>
            <w:r>
              <w:rPr>
                <w:color w:val="auto"/>
                <w:sz w:val="22"/>
                <w:szCs w:val="22"/>
              </w:rPr>
              <w:t>Математическая информация</w:t>
            </w:r>
          </w:p>
        </w:tc>
      </w:tr>
      <w:tr w14:paraId="0C27A9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tcPr>
          <w:p w14:paraId="2669AB6B">
            <w:pPr>
              <w:pStyle w:val="85"/>
              <w:jc w:val="center"/>
              <w:rPr>
                <w:color w:val="auto"/>
                <w:sz w:val="22"/>
                <w:szCs w:val="22"/>
              </w:rPr>
            </w:pPr>
            <w:r>
              <w:rPr>
                <w:color w:val="auto"/>
                <w:sz w:val="22"/>
                <w:szCs w:val="22"/>
              </w:rPr>
              <w:t>5.1</w:t>
            </w:r>
          </w:p>
        </w:tc>
        <w:tc>
          <w:tcPr>
            <w:tcW w:w="7937" w:type="dxa"/>
          </w:tcPr>
          <w:p w14:paraId="28C433ED">
            <w:pPr>
              <w:pStyle w:val="85"/>
              <w:jc w:val="both"/>
              <w:rPr>
                <w:color w:val="auto"/>
                <w:sz w:val="22"/>
                <w:szCs w:val="22"/>
              </w:rPr>
            </w:pPr>
            <w:r>
              <w:rPr>
                <w:color w:val="auto"/>
                <w:sz w:val="22"/>
                <w:szCs w:val="22"/>
              </w:rPr>
              <w:t>Работа с утверждениями: конструирование, проверка истинности. Составление и проверка логических рассуждений при решении задач</w:t>
            </w:r>
          </w:p>
        </w:tc>
      </w:tr>
      <w:tr w14:paraId="66DB1C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134" w:type="dxa"/>
          </w:tcPr>
          <w:p w14:paraId="569D01C7">
            <w:pPr>
              <w:pStyle w:val="85"/>
              <w:jc w:val="center"/>
              <w:rPr>
                <w:color w:val="auto"/>
                <w:sz w:val="22"/>
                <w:szCs w:val="22"/>
              </w:rPr>
            </w:pPr>
            <w:r>
              <w:rPr>
                <w:color w:val="auto"/>
                <w:sz w:val="22"/>
                <w:szCs w:val="22"/>
              </w:rPr>
              <w:t>5.2</w:t>
            </w:r>
          </w:p>
        </w:tc>
        <w:tc>
          <w:tcPr>
            <w:tcW w:w="7937" w:type="dxa"/>
          </w:tcPr>
          <w:p w14:paraId="6D6DF4EC">
            <w:pPr>
              <w:pStyle w:val="85"/>
              <w:jc w:val="both"/>
              <w:rPr>
                <w:color w:val="auto"/>
                <w:sz w:val="22"/>
                <w:szCs w:val="22"/>
              </w:rPr>
            </w:pPr>
            <w:r>
              <w:rPr>
                <w:color w:val="auto"/>
                <w:sz w:val="22"/>
                <w:szCs w:val="22"/>
              </w:rPr>
              <w:t>Данные о реальных процессах и явлениях окружающего мира, представленные на диаграммах, схемах, в таблицах, текстах. Сбор математических данных о заданном объекте. Поиск информации в справочной литературе, сети Интернет. Запись информации в предложенной таблице, на столбчатой диаграмме</w:t>
            </w:r>
          </w:p>
        </w:tc>
      </w:tr>
      <w:tr w14:paraId="5E8DC9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tcPr>
          <w:p w14:paraId="2BC920A6">
            <w:pPr>
              <w:pStyle w:val="85"/>
              <w:jc w:val="center"/>
              <w:rPr>
                <w:color w:val="auto"/>
                <w:sz w:val="22"/>
                <w:szCs w:val="22"/>
              </w:rPr>
            </w:pPr>
            <w:r>
              <w:rPr>
                <w:color w:val="auto"/>
                <w:sz w:val="22"/>
                <w:szCs w:val="22"/>
              </w:rPr>
              <w:t>5.3</w:t>
            </w:r>
          </w:p>
        </w:tc>
        <w:tc>
          <w:tcPr>
            <w:tcW w:w="7937" w:type="dxa"/>
          </w:tcPr>
          <w:p w14:paraId="74F283B1">
            <w:pPr>
              <w:pStyle w:val="85"/>
              <w:jc w:val="both"/>
              <w:rPr>
                <w:color w:val="auto"/>
                <w:sz w:val="22"/>
                <w:szCs w:val="22"/>
              </w:rPr>
            </w:pPr>
            <w:r>
              <w:rPr>
                <w:color w:val="auto"/>
                <w:sz w:val="22"/>
                <w:szCs w:val="22"/>
              </w:rPr>
              <w:t>Доступные электронные средства обучения, пособия, тренажеры, их использование под руководством педагога и самостоятельно. Правила безопасной работы с электронными источниками информации</w:t>
            </w:r>
          </w:p>
        </w:tc>
      </w:tr>
      <w:tr w14:paraId="17AB36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tcPr>
          <w:p w14:paraId="4CC9CDCE">
            <w:pPr>
              <w:pStyle w:val="85"/>
              <w:jc w:val="center"/>
              <w:rPr>
                <w:color w:val="auto"/>
                <w:sz w:val="22"/>
                <w:szCs w:val="22"/>
              </w:rPr>
            </w:pPr>
            <w:r>
              <w:rPr>
                <w:color w:val="auto"/>
                <w:sz w:val="22"/>
                <w:szCs w:val="22"/>
              </w:rPr>
              <w:t>5.4</w:t>
            </w:r>
          </w:p>
        </w:tc>
        <w:tc>
          <w:tcPr>
            <w:tcW w:w="7937" w:type="dxa"/>
          </w:tcPr>
          <w:p w14:paraId="3206B1D9">
            <w:pPr>
              <w:pStyle w:val="85"/>
              <w:jc w:val="both"/>
              <w:rPr>
                <w:color w:val="auto"/>
                <w:sz w:val="22"/>
                <w:szCs w:val="22"/>
              </w:rPr>
            </w:pPr>
            <w:r>
              <w:rPr>
                <w:color w:val="auto"/>
                <w:sz w:val="22"/>
                <w:szCs w:val="22"/>
              </w:rPr>
              <w:t>Алгоритмы решения учебных и практических задач</w:t>
            </w:r>
          </w:p>
        </w:tc>
      </w:tr>
    </w:tbl>
    <w:p w14:paraId="2BE96545">
      <w:pPr>
        <w:widowControl/>
        <w:tabs>
          <w:tab w:val="left" w:pos="1134"/>
        </w:tabs>
        <w:spacing w:after="0" w:line="360" w:lineRule="auto"/>
        <w:jc w:val="both"/>
        <w:rPr>
          <w:rFonts w:ascii="Times New Roman" w:hAnsi="Times New Roman"/>
          <w:bCs/>
        </w:rPr>
      </w:pPr>
    </w:p>
    <w:p w14:paraId="51D81A34">
      <w:pPr>
        <w:pStyle w:val="2"/>
        <w:pBdr>
          <w:bottom w:val="none" w:color="auto" w:sz="0" w:space="0"/>
        </w:pBdr>
        <w:spacing w:before="0" w:line="360" w:lineRule="auto"/>
        <w:ind w:firstLine="708"/>
        <w:jc w:val="both"/>
        <w:rPr>
          <w:b w:val="0"/>
          <w:sz w:val="22"/>
          <w:szCs w:val="22"/>
        </w:rPr>
      </w:pPr>
      <w:r>
        <w:rPr>
          <w:b w:val="0"/>
          <w:bCs/>
          <w:sz w:val="22"/>
          <w:szCs w:val="22"/>
        </w:rPr>
        <w:t>11.</w:t>
      </w:r>
      <w:r>
        <w:rPr>
          <w:rFonts w:eastAsia="SchoolBookSanPin"/>
          <w:b w:val="0"/>
          <w:sz w:val="22"/>
          <w:szCs w:val="22"/>
        </w:rPr>
        <w:t> Рабочая программа по учебному предмету «</w:t>
      </w:r>
      <w:r>
        <w:rPr>
          <w:b w:val="0"/>
          <w:sz w:val="22"/>
          <w:szCs w:val="22"/>
        </w:rPr>
        <w:t>Окружающий мир</w:t>
      </w:r>
      <w:r>
        <w:rPr>
          <w:rFonts w:eastAsia="SchoolBookSanPin"/>
          <w:b w:val="0"/>
          <w:sz w:val="22"/>
          <w:szCs w:val="22"/>
        </w:rPr>
        <w:t>».</w:t>
      </w:r>
      <w:r>
        <w:rPr>
          <w:b w:val="0"/>
          <w:sz w:val="22"/>
          <w:szCs w:val="22"/>
        </w:rPr>
        <w:t xml:space="preserve"> </w:t>
      </w:r>
    </w:p>
    <w:p w14:paraId="239CC375">
      <w:pPr>
        <w:spacing w:after="0" w:line="355" w:lineRule="auto"/>
        <w:ind w:firstLine="709"/>
        <w:jc w:val="both"/>
        <w:rPr>
          <w:rFonts w:ascii="Times New Roman" w:hAnsi="Times New Roman" w:eastAsia="SchoolBookSanPin"/>
        </w:rPr>
      </w:pPr>
      <w:r>
        <w:rPr>
          <w:rFonts w:ascii="Times New Roman" w:hAnsi="Times New Roman" w:eastAsia="SchoolBookSanPin"/>
        </w:rPr>
        <w:t>11.1.</w:t>
      </w:r>
      <w:r>
        <w:rPr>
          <w:rFonts w:ascii="Times New Roman" w:hAnsi="Times New Roman"/>
        </w:rPr>
        <w:t> </w:t>
      </w:r>
      <w:r>
        <w:rPr>
          <w:rFonts w:ascii="Times New Roman" w:hAnsi="Times New Roman" w:eastAsia="SchoolBookSanPin"/>
        </w:rPr>
        <w:t>Рабочая программа по учебному предмету «</w:t>
      </w:r>
      <w:r>
        <w:rPr>
          <w:rFonts w:ascii="Times New Roman" w:hAnsi="Times New Roman" w:eastAsia="Times New Roman"/>
        </w:rPr>
        <w:t>Окружающий мир</w:t>
      </w:r>
      <w:r>
        <w:rPr>
          <w:rFonts w:ascii="Times New Roman" w:hAnsi="Times New Roman" w:eastAsia="SchoolBookSanPin"/>
        </w:rPr>
        <w:t xml:space="preserve">» (предметная область </w:t>
      </w:r>
      <w:r>
        <w:rPr>
          <w:rFonts w:ascii="Times New Roman" w:hAnsi="Times New Roman" w:eastAsia="Times New Roman"/>
          <w:lang w:eastAsia="ru-RU"/>
        </w:rPr>
        <w:t xml:space="preserve">«Обществознание и естествознание» («Окружающий мир») </w:t>
      </w:r>
      <w:r>
        <w:rPr>
          <w:rFonts w:ascii="Times New Roman" w:hAnsi="Times New Roman" w:eastAsia="SchoolBookSanPin"/>
        </w:rPr>
        <w:t>(далее соответственно – программа по окружающему миру, окружающий мир) включает пояснительную записку, содержание обучения, планируемые результаты освоения программы по окружающему миру.</w:t>
      </w:r>
    </w:p>
    <w:p w14:paraId="550EF8B0">
      <w:pPr>
        <w:spacing w:after="0" w:line="355" w:lineRule="auto"/>
        <w:ind w:firstLine="709"/>
        <w:jc w:val="both"/>
        <w:rPr>
          <w:rFonts w:ascii="Times New Roman" w:hAnsi="Times New Roman" w:eastAsia="Times New Roman"/>
          <w:lang w:eastAsia="ru-RU"/>
        </w:rPr>
      </w:pPr>
      <w:r>
        <w:rPr>
          <w:rFonts w:ascii="Times New Roman" w:hAnsi="Times New Roman" w:eastAsia="SchoolBookSanPin"/>
        </w:rPr>
        <w:t>11.2.</w:t>
      </w:r>
      <w:r>
        <w:rPr>
          <w:rFonts w:ascii="Times New Roman" w:hAnsi="Times New Roman"/>
        </w:rPr>
        <w:t> </w:t>
      </w:r>
      <w:r>
        <w:rPr>
          <w:rFonts w:ascii="Times New Roman" w:hAnsi="Times New Roman" w:eastAsia="Times New Roman"/>
          <w:lang w:eastAsia="ru-RU"/>
        </w:rPr>
        <w:t xml:space="preserve">Пояснительная записка отражает общие цели и задачи изучения </w:t>
      </w:r>
      <w:r>
        <w:rPr>
          <w:rFonts w:ascii="Times New Roman" w:hAnsi="Times New Roman" w:eastAsia="SchoolBookSanPin"/>
        </w:rPr>
        <w:t>окружающего мира,</w:t>
      </w:r>
      <w:r>
        <w:rPr>
          <w:rFonts w:ascii="Times New Roman" w:hAnsi="Times New Roman" w:eastAsia="Times New Roman"/>
          <w:lang w:eastAsia="ru-RU"/>
        </w:rPr>
        <w:t xml:space="preserve"> место в структуре учебного плана, а также подходы к отбору содержания и планируемым результатам.</w:t>
      </w:r>
    </w:p>
    <w:p w14:paraId="1624C7FF">
      <w:pPr>
        <w:spacing w:after="0" w:line="355" w:lineRule="auto"/>
        <w:ind w:firstLine="709"/>
        <w:jc w:val="both"/>
        <w:rPr>
          <w:rFonts w:ascii="Times New Roman" w:hAnsi="Times New Roman" w:eastAsia="Times New Roman"/>
          <w:lang w:eastAsia="ru-RU"/>
        </w:rPr>
      </w:pPr>
      <w:r>
        <w:rPr>
          <w:rFonts w:ascii="Times New Roman" w:hAnsi="Times New Roman" w:eastAsia="SchoolBookSanPin"/>
        </w:rPr>
        <w:t>11.3.</w:t>
      </w:r>
      <w:r>
        <w:rPr>
          <w:rFonts w:ascii="Times New Roman" w:hAnsi="Times New Roman"/>
        </w:rPr>
        <w:t> </w:t>
      </w:r>
      <w:r>
        <w:rPr>
          <w:rFonts w:ascii="Times New Roman" w:hAnsi="Times New Roman" w:eastAsia="Times New Roman"/>
          <w:lang w:eastAsia="ru-RU"/>
        </w:rPr>
        <w:t xml:space="preserve">Содержание обучения раскрывает содержательные линии для обязательного изучения окружающего мира в каждом классе на уровне начального общего образования. </w:t>
      </w:r>
    </w:p>
    <w:p w14:paraId="005A9CB8">
      <w:pPr>
        <w:spacing w:after="0" w:line="355" w:lineRule="auto"/>
        <w:ind w:firstLine="709"/>
        <w:jc w:val="both"/>
        <w:rPr>
          <w:rFonts w:ascii="Times New Roman" w:hAnsi="Times New Roman" w:eastAsia="Times New Roman"/>
          <w:lang w:eastAsia="ru-RU"/>
        </w:rPr>
      </w:pPr>
      <w:r>
        <w:rPr>
          <w:rFonts w:ascii="Times New Roman" w:hAnsi="Times New Roman" w:eastAsia="SchoolBookSanPin"/>
        </w:rPr>
        <w:t>11.4.</w:t>
      </w:r>
      <w:r>
        <w:rPr>
          <w:rFonts w:ascii="Times New Roman" w:hAnsi="Times New Roman"/>
        </w:rPr>
        <w:t> </w:t>
      </w:r>
      <w:r>
        <w:rPr>
          <w:rFonts w:ascii="Times New Roman" w:hAnsi="Times New Roman" w:eastAsia="Times New Roman"/>
          <w:lang w:eastAsia="ru-RU"/>
        </w:rPr>
        <w:t xml:space="preserve">Планируемые результаты </w:t>
      </w:r>
      <w:r>
        <w:rPr>
          <w:rFonts w:ascii="Times New Roman" w:hAnsi="Times New Roman" w:eastAsia="SchoolBookSanPin"/>
        </w:rPr>
        <w:t>программы по окружающему миру</w:t>
      </w:r>
      <w:r>
        <w:rPr>
          <w:rFonts w:ascii="Times New Roman" w:hAnsi="Times New Roman" w:eastAsia="Times New Roman"/>
          <w:lang w:eastAsia="ru-RU"/>
        </w:rPr>
        <w:t xml:space="preserve"> включают личностные, метапредметные результаты за период обучения, а также предметные достижения обучающегося за каждый год обучения на уровне начального общего образования.</w:t>
      </w:r>
    </w:p>
    <w:p w14:paraId="760F7E9E">
      <w:pPr>
        <w:spacing w:after="0" w:line="355" w:lineRule="auto"/>
        <w:ind w:firstLine="709"/>
        <w:rPr>
          <w:rFonts w:ascii="Times New Roman" w:hAnsi="Times New Roman" w:eastAsia="Times New Roman"/>
        </w:rPr>
      </w:pPr>
      <w:r>
        <w:rPr>
          <w:rFonts w:ascii="Times New Roman" w:hAnsi="Times New Roman" w:eastAsia="SchoolBookSanPin"/>
        </w:rPr>
        <w:t>11.5.</w:t>
      </w:r>
      <w:r>
        <w:rPr>
          <w:rFonts w:ascii="Times New Roman" w:hAnsi="Times New Roman"/>
        </w:rPr>
        <w:t> </w:t>
      </w:r>
      <w:r>
        <w:rPr>
          <w:rFonts w:ascii="Times New Roman" w:hAnsi="Times New Roman" w:eastAsia="Times New Roman"/>
        </w:rPr>
        <w:t>Пояснительная записка.</w:t>
      </w:r>
    </w:p>
    <w:p w14:paraId="113E22FE">
      <w:pPr>
        <w:spacing w:after="0" w:line="355" w:lineRule="auto"/>
        <w:ind w:firstLine="709"/>
        <w:jc w:val="both"/>
        <w:rPr>
          <w:rFonts w:ascii="Times New Roman" w:hAnsi="Times New Roman" w:eastAsia="Times New Roman"/>
          <w:lang w:eastAsia="ru-RU"/>
        </w:rPr>
      </w:pPr>
      <w:r>
        <w:rPr>
          <w:rFonts w:ascii="Times New Roman" w:hAnsi="Times New Roman" w:eastAsia="SchoolBookSanPin"/>
        </w:rPr>
        <w:t>11.5.1.</w:t>
      </w:r>
      <w:r>
        <w:rPr>
          <w:rFonts w:ascii="Times New Roman" w:hAnsi="Times New Roman"/>
        </w:rPr>
        <w:t> </w:t>
      </w:r>
      <w:r>
        <w:rPr>
          <w:rFonts w:ascii="Times New Roman" w:hAnsi="Times New Roman" w:eastAsia="SchoolBookSanPin"/>
        </w:rPr>
        <w:t>Программа по окружающему миру</w:t>
      </w:r>
      <w:r>
        <w:rPr>
          <w:rFonts w:ascii="Times New Roman" w:hAnsi="Times New Roman" w:eastAsia="Times New Roman"/>
          <w:lang w:eastAsia="ru-RU"/>
        </w:rPr>
        <w:t xml:space="preserve"> на уровне начального общего образования составлена на основе требований к результатам освоения ООП НОО, представленных в ФГОС НОО и федеральной </w:t>
      </w:r>
      <w:r>
        <w:rPr>
          <w:rFonts w:ascii="Times New Roman" w:hAnsi="Times New Roman" w:eastAsia="SchoolBookSanPin"/>
        </w:rPr>
        <w:t xml:space="preserve">рабочей </w:t>
      </w:r>
      <w:r>
        <w:rPr>
          <w:rFonts w:ascii="Times New Roman" w:hAnsi="Times New Roman" w:eastAsia="Times New Roman"/>
          <w:lang w:eastAsia="ru-RU"/>
        </w:rPr>
        <w:t>программы воспитания.</w:t>
      </w:r>
    </w:p>
    <w:p w14:paraId="607136FE">
      <w:pPr>
        <w:spacing w:after="0" w:line="355" w:lineRule="auto"/>
        <w:ind w:firstLine="709"/>
        <w:jc w:val="both"/>
        <w:rPr>
          <w:rFonts w:ascii="Times New Roman" w:hAnsi="Times New Roman" w:eastAsia="Times New Roman"/>
          <w:lang w:eastAsia="ru-RU"/>
        </w:rPr>
      </w:pPr>
      <w:r>
        <w:rPr>
          <w:rFonts w:ascii="Times New Roman" w:hAnsi="Times New Roman" w:eastAsia="SchoolBookSanPin"/>
        </w:rPr>
        <w:t>11.5.2.</w:t>
      </w:r>
      <w:r>
        <w:rPr>
          <w:rFonts w:ascii="Times New Roman" w:hAnsi="Times New Roman"/>
        </w:rPr>
        <w:t> </w:t>
      </w:r>
      <w:r>
        <w:rPr>
          <w:rFonts w:ascii="Times New Roman" w:hAnsi="Times New Roman" w:eastAsia="Times New Roman"/>
          <w:lang w:eastAsia="ru-RU"/>
        </w:rPr>
        <w:t>Изучение окружающего мира, интегрирующего знания о природе, предметном мире, обществе и взаимодействии людей в нём, соответствует потребностям и интересам обучающихся на уровне начального общего образования и направлено на достижение следующих целей:</w:t>
      </w:r>
    </w:p>
    <w:p w14:paraId="3F4E917A">
      <w:pPr>
        <w:pStyle w:val="67"/>
        <w:widowControl/>
        <w:spacing w:after="0" w:line="355" w:lineRule="auto"/>
        <w:ind w:left="0" w:firstLine="709"/>
        <w:jc w:val="both"/>
        <w:rPr>
          <w:rFonts w:ascii="Times New Roman" w:hAnsi="Times New Roman" w:eastAsia="Times New Roman"/>
          <w:lang w:eastAsia="ru-RU"/>
        </w:rPr>
      </w:pPr>
      <w:r>
        <w:rPr>
          <w:rFonts w:ascii="Times New Roman" w:hAnsi="Times New Roman" w:eastAsia="Times New Roman"/>
          <w:lang w:eastAsia="ru-RU"/>
        </w:rPr>
        <w:t>формирование целостного взгляда на мир, осознание места в нём человека на основе целостного взгляда на окружающий мир (природную и социальную среду обитания); освоение естественно-научных, обществоведческих, нравственно-этических понятий, представленных в содержании программы по окружающему миру;</w:t>
      </w:r>
    </w:p>
    <w:p w14:paraId="1FFB54ED">
      <w:pPr>
        <w:pStyle w:val="67"/>
        <w:widowControl/>
        <w:spacing w:after="0" w:line="355" w:lineRule="auto"/>
        <w:ind w:left="0" w:firstLine="709"/>
        <w:jc w:val="both"/>
        <w:rPr>
          <w:rFonts w:ascii="Times New Roman" w:hAnsi="Times New Roman" w:eastAsia="Times New Roman"/>
          <w:lang w:eastAsia="ru-RU"/>
        </w:rPr>
      </w:pPr>
      <w:r>
        <w:rPr>
          <w:rFonts w:ascii="Times New Roman" w:hAnsi="Times New Roman" w:eastAsia="Times New Roman"/>
          <w:lang w:eastAsia="ru-RU"/>
        </w:rPr>
        <w:t>формирование ценности здоровья человека, его сохранения и укрепления, приверженности здоровому образу жизни;</w:t>
      </w:r>
    </w:p>
    <w:p w14:paraId="1903CF7B">
      <w:pPr>
        <w:pStyle w:val="67"/>
        <w:widowControl/>
        <w:spacing w:after="0" w:line="355" w:lineRule="auto"/>
        <w:ind w:left="0" w:firstLine="709"/>
        <w:jc w:val="both"/>
        <w:rPr>
          <w:rFonts w:ascii="Times New Roman" w:hAnsi="Times New Roman" w:eastAsia="Times New Roman"/>
          <w:lang w:eastAsia="ru-RU"/>
        </w:rPr>
      </w:pPr>
      <w:r>
        <w:rPr>
          <w:rFonts w:ascii="Times New Roman" w:hAnsi="Times New Roman" w:eastAsia="Times New Roman"/>
          <w:lang w:eastAsia="ru-RU"/>
        </w:rPr>
        <w:t>развитие умений и навыков применять полученные знания в реальной учебной и жизненной практике, связанной как с поисково-исследовательской деятельностью (наблюдения, опыты, трудовая деятельность), так и с творческим использованием приобретённых знаний в речевой, изобразительной, художественной деятельности;</w:t>
      </w:r>
    </w:p>
    <w:p w14:paraId="09B51394">
      <w:pPr>
        <w:pStyle w:val="67"/>
        <w:widowControl/>
        <w:spacing w:after="0" w:line="355" w:lineRule="auto"/>
        <w:ind w:left="0" w:firstLine="709"/>
        <w:jc w:val="both"/>
        <w:rPr>
          <w:rFonts w:ascii="Times New Roman" w:hAnsi="Times New Roman" w:eastAsia="Times New Roman"/>
          <w:lang w:eastAsia="ru-RU"/>
        </w:rPr>
      </w:pPr>
      <w:r>
        <w:rPr>
          <w:rFonts w:ascii="Times New Roman" w:hAnsi="Times New Roman" w:eastAsia="Times New Roman"/>
          <w:lang w:eastAsia="ru-RU"/>
        </w:rPr>
        <w:t xml:space="preserve">духовно-нравственное развитие и воспитание личности гражданина Российской Федерации, понимание своей принадлежности к Российскому государству, определённому этносу; </w:t>
      </w:r>
    </w:p>
    <w:p w14:paraId="258A7882">
      <w:pPr>
        <w:pStyle w:val="67"/>
        <w:widowControl/>
        <w:spacing w:after="0" w:line="355" w:lineRule="auto"/>
        <w:ind w:left="0" w:firstLine="709"/>
        <w:jc w:val="both"/>
        <w:rPr>
          <w:rFonts w:ascii="Times New Roman" w:hAnsi="Times New Roman" w:eastAsia="Times New Roman"/>
          <w:lang w:eastAsia="ru-RU"/>
        </w:rPr>
      </w:pPr>
      <w:r>
        <w:rPr>
          <w:rFonts w:ascii="Times New Roman" w:hAnsi="Times New Roman" w:eastAsia="Times New Roman"/>
          <w:lang w:eastAsia="ru-RU"/>
        </w:rPr>
        <w:t xml:space="preserve">проявление уважения к истории, культуре, традициям народов Российской Федерации; </w:t>
      </w:r>
    </w:p>
    <w:p w14:paraId="11ADBCAF">
      <w:pPr>
        <w:pStyle w:val="67"/>
        <w:widowControl/>
        <w:spacing w:after="0" w:line="355" w:lineRule="auto"/>
        <w:ind w:left="0" w:firstLine="709"/>
        <w:jc w:val="both"/>
        <w:rPr>
          <w:rFonts w:ascii="Times New Roman" w:hAnsi="Times New Roman" w:eastAsia="Times New Roman"/>
          <w:lang w:eastAsia="ru-RU"/>
        </w:rPr>
      </w:pPr>
      <w:r>
        <w:rPr>
          <w:rFonts w:ascii="Times New Roman" w:hAnsi="Times New Roman" w:eastAsia="Times New Roman"/>
          <w:lang w:eastAsia="ru-RU"/>
        </w:rPr>
        <w:t>освоение обучающимися мирового культурного опыта по созданию общечеловеческих ценностей, законов и правил построения взаимоотношений в социуме;</w:t>
      </w:r>
    </w:p>
    <w:p w14:paraId="2BC0B3F5">
      <w:pPr>
        <w:pStyle w:val="67"/>
        <w:widowControl/>
        <w:spacing w:after="0" w:line="355" w:lineRule="auto"/>
        <w:ind w:left="0" w:firstLine="709"/>
        <w:jc w:val="both"/>
        <w:rPr>
          <w:rFonts w:ascii="Times New Roman" w:hAnsi="Times New Roman" w:eastAsia="Times New Roman"/>
          <w:lang w:eastAsia="ru-RU"/>
        </w:rPr>
      </w:pPr>
      <w:r>
        <w:rPr>
          <w:rFonts w:ascii="Times New Roman" w:hAnsi="Times New Roman" w:eastAsia="Times New Roman"/>
          <w:lang w:eastAsia="ru-RU"/>
        </w:rPr>
        <w:t xml:space="preserve">обогащение духовного опыта обучающихся, развитие способности ребёнка к социализации на основе принятия гуманистических норм жизни, приобретение опыта эмоционально-положительного отношения к природе в соответствии с экологическими нормами поведения; </w:t>
      </w:r>
    </w:p>
    <w:p w14:paraId="3A418A6D">
      <w:pPr>
        <w:pStyle w:val="67"/>
        <w:widowControl/>
        <w:spacing w:after="0" w:line="355" w:lineRule="auto"/>
        <w:ind w:left="0" w:firstLine="709"/>
        <w:jc w:val="both"/>
        <w:rPr>
          <w:rFonts w:ascii="Times New Roman" w:hAnsi="Times New Roman" w:eastAsia="Times New Roman"/>
          <w:lang w:eastAsia="ru-RU"/>
        </w:rPr>
      </w:pPr>
      <w:r>
        <w:rPr>
          <w:rFonts w:ascii="Times New Roman" w:hAnsi="Times New Roman" w:eastAsia="Times New Roman"/>
          <w:lang w:eastAsia="ru-RU"/>
        </w:rPr>
        <w:t>становление навыков повседневного проявления культуры общения, гуманного отношения к людям, уважительного отношения к их взглядам, мнению и индивидуальности.</w:t>
      </w:r>
    </w:p>
    <w:p w14:paraId="1E076115">
      <w:pPr>
        <w:spacing w:after="0" w:line="355" w:lineRule="auto"/>
        <w:ind w:firstLine="709"/>
        <w:jc w:val="both"/>
        <w:rPr>
          <w:rFonts w:ascii="Times New Roman" w:hAnsi="Times New Roman" w:eastAsia="Times New Roman"/>
          <w:lang w:eastAsia="ru-RU"/>
        </w:rPr>
      </w:pPr>
      <w:r>
        <w:rPr>
          <w:rFonts w:ascii="Times New Roman" w:hAnsi="Times New Roman" w:eastAsia="SchoolBookSanPin"/>
        </w:rPr>
        <w:t>11.5.3.</w:t>
      </w:r>
      <w:r>
        <w:rPr>
          <w:rFonts w:ascii="Times New Roman" w:hAnsi="Times New Roman"/>
        </w:rPr>
        <w:t> </w:t>
      </w:r>
      <w:r>
        <w:rPr>
          <w:rFonts w:ascii="Times New Roman" w:hAnsi="Times New Roman" w:eastAsia="Times New Roman"/>
          <w:lang w:eastAsia="ru-RU"/>
        </w:rPr>
        <w:t xml:space="preserve">Центральной идеей конструирования содержания и планируемых результатов обучения окружающему миру является раскрытие роли человека в природе и обществе, ознакомление с правилами поведения в среде обитания и освоение общечеловеческих ценностей взаимодействия в системах: «Человек и природа», «Человек и общество», «Человек и другие люди», «Человек и познание». Важнейшей составляющей всех указанных систем является содержание, усвоение которого гарантирует формирование у обучающихся навыков здорового и безопасного образа жизни на основе развивающейся способности предвидеть результаты своих поступков и оценки возникшей ситуации. </w:t>
      </w:r>
    </w:p>
    <w:p w14:paraId="2497E230">
      <w:pPr>
        <w:spacing w:after="0" w:line="355" w:lineRule="auto"/>
        <w:ind w:firstLine="709"/>
        <w:jc w:val="both"/>
        <w:rPr>
          <w:rFonts w:ascii="Times New Roman" w:hAnsi="Times New Roman" w:eastAsia="Times New Roman"/>
          <w:lang w:eastAsia="ru-RU"/>
        </w:rPr>
      </w:pPr>
      <w:r>
        <w:rPr>
          <w:rFonts w:ascii="Times New Roman" w:hAnsi="Times New Roman" w:eastAsia="SchoolBookSanPin"/>
        </w:rPr>
        <w:t>11.5.4.</w:t>
      </w:r>
      <w:r>
        <w:rPr>
          <w:rFonts w:ascii="Times New Roman" w:hAnsi="Times New Roman"/>
        </w:rPr>
        <w:t> </w:t>
      </w:r>
      <w:r>
        <w:rPr>
          <w:rFonts w:ascii="Times New Roman" w:hAnsi="Times New Roman" w:eastAsia="Times New Roman"/>
          <w:lang w:eastAsia="ru-RU"/>
        </w:rPr>
        <w:t>Отбор содержания программы по окружающему миру осуществлён на основе следующих ведущих идей:</w:t>
      </w:r>
    </w:p>
    <w:p w14:paraId="45333C13">
      <w:pPr>
        <w:pStyle w:val="67"/>
        <w:widowControl/>
        <w:spacing w:after="0" w:line="355" w:lineRule="auto"/>
        <w:ind w:left="0" w:firstLine="709"/>
        <w:jc w:val="both"/>
        <w:rPr>
          <w:rFonts w:ascii="Times New Roman" w:hAnsi="Times New Roman" w:eastAsia="Times New Roman"/>
          <w:lang w:eastAsia="ru-RU"/>
        </w:rPr>
      </w:pPr>
      <w:r>
        <w:rPr>
          <w:rFonts w:ascii="Times New Roman" w:hAnsi="Times New Roman" w:eastAsia="Times New Roman"/>
          <w:lang w:eastAsia="ru-RU"/>
        </w:rPr>
        <w:t>раскрытие роли человека в природе и обществе;</w:t>
      </w:r>
    </w:p>
    <w:p w14:paraId="2B810F19">
      <w:pPr>
        <w:pStyle w:val="67"/>
        <w:widowControl/>
        <w:spacing w:after="0" w:line="355" w:lineRule="auto"/>
        <w:ind w:left="0" w:firstLine="709"/>
        <w:jc w:val="both"/>
        <w:rPr>
          <w:rFonts w:ascii="Times New Roman" w:hAnsi="Times New Roman" w:eastAsia="Times New Roman"/>
          <w:lang w:eastAsia="ru-RU"/>
        </w:rPr>
      </w:pPr>
      <w:r>
        <w:rPr>
          <w:rFonts w:ascii="Times New Roman" w:hAnsi="Times New Roman" w:eastAsia="Times New Roman"/>
          <w:lang w:eastAsia="ru-RU"/>
        </w:rPr>
        <w:t>освоение общечеловеческих ценностей взаимодействия в системах: «Человек и природа», «Человек и общество», «Человек и другие люди», «Человек и его самость», «Человек и познание».</w:t>
      </w:r>
    </w:p>
    <w:p w14:paraId="3FB5359D">
      <w:pPr>
        <w:spacing w:after="0" w:line="355" w:lineRule="auto"/>
        <w:ind w:firstLine="709"/>
        <w:jc w:val="both"/>
        <w:rPr>
          <w:rFonts w:ascii="Times New Roman" w:hAnsi="Times New Roman" w:eastAsia="Times New Roman"/>
          <w:lang w:eastAsia="ru-RU"/>
        </w:rPr>
      </w:pPr>
      <w:r>
        <w:rPr>
          <w:rFonts w:ascii="Times New Roman" w:hAnsi="Times New Roman" w:eastAsia="SchoolBookSanPin"/>
        </w:rPr>
        <w:t>11.5.5.</w:t>
      </w:r>
      <w:r>
        <w:rPr>
          <w:rFonts w:ascii="Times New Roman" w:hAnsi="Times New Roman"/>
        </w:rPr>
        <w:t> </w:t>
      </w:r>
      <w:r>
        <w:rPr>
          <w:rFonts w:ascii="Times New Roman" w:hAnsi="Times New Roman" w:eastAsia="Times New Roman"/>
          <w:lang w:eastAsia="ru-RU"/>
        </w:rPr>
        <w:t xml:space="preserve">Общее число часов, </w:t>
      </w:r>
      <w:r>
        <w:rPr>
          <w:rFonts w:ascii="Times New Roman" w:hAnsi="Times New Roman" w:eastAsia="SchoolBookSanPin"/>
        </w:rPr>
        <w:t>рекомендованных для изучения</w:t>
      </w:r>
      <w:r>
        <w:rPr>
          <w:rFonts w:ascii="Times New Roman" w:hAnsi="Times New Roman" w:eastAsia="Times New Roman"/>
          <w:lang w:eastAsia="ru-RU"/>
        </w:rPr>
        <w:t xml:space="preserve"> окружающего мира, ‒ 270 часов (два часа в неделю в каждом классе): 1 класс – 66 часов, 2 класс – 68 часов, 3 класс – 68 часов, 4 класс – 68 часов. </w:t>
      </w:r>
    </w:p>
    <w:p w14:paraId="31F90185">
      <w:pPr>
        <w:spacing w:after="0" w:line="355" w:lineRule="auto"/>
        <w:ind w:firstLine="709"/>
        <w:rPr>
          <w:rFonts w:ascii="Times New Roman" w:hAnsi="Times New Roman" w:eastAsia="OfficinaSansBoldITC"/>
        </w:rPr>
      </w:pPr>
      <w:r>
        <w:rPr>
          <w:rFonts w:ascii="Times New Roman" w:hAnsi="Times New Roman" w:eastAsia="SchoolBookSanPin"/>
        </w:rPr>
        <w:t>11</w:t>
      </w:r>
      <w:r>
        <w:rPr>
          <w:rFonts w:ascii="Times New Roman" w:hAnsi="Times New Roman" w:eastAsia="OfficinaSansBoldITC"/>
        </w:rPr>
        <w:t>.6. Содержание обучения в 1 классе.</w:t>
      </w:r>
    </w:p>
    <w:p w14:paraId="1A250026">
      <w:pPr>
        <w:spacing w:after="0" w:line="355" w:lineRule="auto"/>
        <w:ind w:firstLine="709"/>
        <w:rPr>
          <w:rFonts w:ascii="Times New Roman" w:hAnsi="Times New Roman" w:eastAsia="Times New Roman"/>
          <w:lang w:eastAsia="ru-RU"/>
        </w:rPr>
      </w:pPr>
      <w:r>
        <w:rPr>
          <w:rFonts w:ascii="Times New Roman" w:hAnsi="Times New Roman" w:eastAsia="SchoolBookSanPin"/>
        </w:rPr>
        <w:t>11</w:t>
      </w:r>
      <w:r>
        <w:rPr>
          <w:rFonts w:ascii="Times New Roman" w:hAnsi="Times New Roman" w:eastAsia="OfficinaSansBoldITC"/>
        </w:rPr>
        <w:t>.6.1. </w:t>
      </w:r>
      <w:r>
        <w:rPr>
          <w:rFonts w:ascii="Times New Roman" w:hAnsi="Times New Roman" w:eastAsia="Times New Roman"/>
          <w:iCs/>
          <w:lang w:eastAsia="ru-RU"/>
        </w:rPr>
        <w:t>Человек и общество.</w:t>
      </w:r>
    </w:p>
    <w:p w14:paraId="716E4325">
      <w:pPr>
        <w:spacing w:after="0" w:line="355" w:lineRule="auto"/>
        <w:ind w:firstLine="709"/>
        <w:jc w:val="both"/>
        <w:rPr>
          <w:rFonts w:ascii="Times New Roman" w:hAnsi="Times New Roman" w:eastAsia="Times New Roman"/>
          <w:lang w:eastAsia="ru-RU"/>
        </w:rPr>
      </w:pPr>
      <w:r>
        <w:rPr>
          <w:rFonts w:ascii="Times New Roman" w:hAnsi="Times New Roman" w:eastAsia="SchoolBookSanPin"/>
        </w:rPr>
        <w:t>11</w:t>
      </w:r>
      <w:r>
        <w:rPr>
          <w:rFonts w:ascii="Times New Roman" w:hAnsi="Times New Roman" w:eastAsia="OfficinaSansBoldITC"/>
        </w:rPr>
        <w:t>.6.1.1. </w:t>
      </w:r>
      <w:r>
        <w:rPr>
          <w:rFonts w:ascii="Times New Roman" w:hAnsi="Times New Roman" w:eastAsia="Times New Roman"/>
          <w:lang w:eastAsia="ru-RU"/>
        </w:rPr>
        <w:t>Школа. Школьные традиции и праздники. Адрес школы. Классный, школьный коллектив. Друзья, взаимоотношения между ними; ценность дружбы, согласия, взаимной помощи.</w:t>
      </w:r>
    </w:p>
    <w:p w14:paraId="1EF2C454">
      <w:pPr>
        <w:spacing w:after="0" w:line="355" w:lineRule="auto"/>
        <w:ind w:firstLine="709"/>
        <w:jc w:val="both"/>
        <w:rPr>
          <w:rFonts w:ascii="Times New Roman" w:hAnsi="Times New Roman" w:eastAsia="Times New Roman"/>
          <w:lang w:eastAsia="ru-RU"/>
        </w:rPr>
      </w:pPr>
      <w:r>
        <w:rPr>
          <w:rFonts w:ascii="Times New Roman" w:hAnsi="Times New Roman" w:eastAsia="SchoolBookSanPin"/>
        </w:rPr>
        <w:t>11</w:t>
      </w:r>
      <w:r>
        <w:rPr>
          <w:rFonts w:ascii="Times New Roman" w:hAnsi="Times New Roman" w:eastAsia="OfficinaSansBoldITC"/>
        </w:rPr>
        <w:t>.6.1.2. </w:t>
      </w:r>
      <w:r>
        <w:rPr>
          <w:rFonts w:ascii="Times New Roman" w:hAnsi="Times New Roman" w:eastAsia="Times New Roman"/>
          <w:lang w:eastAsia="ru-RU"/>
        </w:rPr>
        <w:t>Совместная деятельность с одноклассниками ‒ учёба, игры, отдых. Рабочее место школьника: удобное размещение учебных материалов и учебного оборудования; поза; освещение рабочего места. Правила безопасной работы на учебном месте.</w:t>
      </w:r>
    </w:p>
    <w:p w14:paraId="61DA5517">
      <w:pPr>
        <w:spacing w:after="0" w:line="355" w:lineRule="auto"/>
        <w:ind w:firstLine="709"/>
        <w:jc w:val="both"/>
        <w:rPr>
          <w:rFonts w:ascii="Times New Roman" w:hAnsi="Times New Roman" w:eastAsia="Times New Roman"/>
          <w:lang w:eastAsia="ru-RU"/>
        </w:rPr>
      </w:pPr>
      <w:r>
        <w:rPr>
          <w:rFonts w:ascii="Times New Roman" w:hAnsi="Times New Roman" w:eastAsia="SchoolBookSanPin"/>
        </w:rPr>
        <w:t>11</w:t>
      </w:r>
      <w:r>
        <w:rPr>
          <w:rFonts w:ascii="Times New Roman" w:hAnsi="Times New Roman" w:eastAsia="OfficinaSansBoldITC"/>
        </w:rPr>
        <w:t>.6.1.3. </w:t>
      </w:r>
      <w:r>
        <w:rPr>
          <w:rFonts w:ascii="Times New Roman" w:hAnsi="Times New Roman" w:eastAsia="Times New Roman"/>
          <w:lang w:eastAsia="ru-RU"/>
        </w:rPr>
        <w:t>Режим труда и отдыха.</w:t>
      </w:r>
    </w:p>
    <w:p w14:paraId="6C5002DE">
      <w:pPr>
        <w:spacing w:after="0" w:line="355" w:lineRule="auto"/>
        <w:ind w:firstLine="709"/>
        <w:jc w:val="both"/>
        <w:rPr>
          <w:rFonts w:ascii="Times New Roman" w:hAnsi="Times New Roman" w:eastAsia="Times New Roman"/>
          <w:lang w:eastAsia="ru-RU"/>
        </w:rPr>
      </w:pPr>
      <w:r>
        <w:rPr>
          <w:rFonts w:ascii="Times New Roman" w:hAnsi="Times New Roman" w:eastAsia="SchoolBookSanPin"/>
        </w:rPr>
        <w:t>11</w:t>
      </w:r>
      <w:r>
        <w:rPr>
          <w:rFonts w:ascii="Times New Roman" w:hAnsi="Times New Roman" w:eastAsia="OfficinaSansBoldITC"/>
        </w:rPr>
        <w:t>.6.1.4. </w:t>
      </w:r>
      <w:r>
        <w:rPr>
          <w:rFonts w:ascii="Times New Roman" w:hAnsi="Times New Roman" w:eastAsia="Times New Roman"/>
          <w:lang w:eastAsia="ru-RU"/>
        </w:rPr>
        <w:t>Семья. Моя семья в прошлом и настоящем. Имена и фамилии членов семьи, их профессии. Взаимоотношения и взаимопомощь в семье. Совместный труд и отдых. Домашний адрес.</w:t>
      </w:r>
    </w:p>
    <w:p w14:paraId="1F944313">
      <w:pPr>
        <w:spacing w:after="0" w:line="355" w:lineRule="auto"/>
        <w:ind w:firstLine="709"/>
        <w:jc w:val="both"/>
        <w:rPr>
          <w:rFonts w:ascii="Times New Roman" w:hAnsi="Times New Roman" w:eastAsia="Times New Roman"/>
          <w:lang w:eastAsia="ru-RU"/>
        </w:rPr>
      </w:pPr>
      <w:r>
        <w:rPr>
          <w:rFonts w:ascii="Times New Roman" w:hAnsi="Times New Roman" w:eastAsia="SchoolBookSanPin"/>
        </w:rPr>
        <w:t>11</w:t>
      </w:r>
      <w:r>
        <w:rPr>
          <w:rFonts w:ascii="Times New Roman" w:hAnsi="Times New Roman" w:eastAsia="OfficinaSansBoldITC"/>
        </w:rPr>
        <w:t>.6.1.5. </w:t>
      </w:r>
      <w:r>
        <w:rPr>
          <w:rFonts w:ascii="Times New Roman" w:hAnsi="Times New Roman" w:eastAsia="Times New Roman"/>
          <w:lang w:eastAsia="ru-RU"/>
        </w:rPr>
        <w:t>Россия ‒ наша Родина. Москва ‒ столица России. Символы России (герб, флаг, гимн). Народы России. Первоначальные сведения о родном крае. Название своего населённого пункта (города, села), региона. Культурные объекты родного края.</w:t>
      </w:r>
    </w:p>
    <w:p w14:paraId="1B1DC203">
      <w:pPr>
        <w:spacing w:after="0" w:line="355" w:lineRule="auto"/>
        <w:ind w:firstLine="709"/>
        <w:jc w:val="both"/>
        <w:rPr>
          <w:rFonts w:ascii="Times New Roman" w:hAnsi="Times New Roman" w:eastAsia="Times New Roman"/>
          <w:lang w:eastAsia="ru-RU"/>
        </w:rPr>
      </w:pPr>
      <w:r>
        <w:rPr>
          <w:rFonts w:ascii="Times New Roman" w:hAnsi="Times New Roman" w:eastAsia="SchoolBookSanPin"/>
        </w:rPr>
        <w:t>11</w:t>
      </w:r>
      <w:r>
        <w:rPr>
          <w:rFonts w:ascii="Times New Roman" w:hAnsi="Times New Roman" w:eastAsia="OfficinaSansBoldITC"/>
        </w:rPr>
        <w:t>.6.1.6. </w:t>
      </w:r>
      <w:r>
        <w:rPr>
          <w:rFonts w:ascii="Times New Roman" w:hAnsi="Times New Roman" w:eastAsia="Times New Roman"/>
          <w:lang w:eastAsia="ru-RU"/>
        </w:rPr>
        <w:t>Ценность и красота рукотворного мира. Правила поведения в социуме.</w:t>
      </w:r>
    </w:p>
    <w:p w14:paraId="75E99F71">
      <w:pPr>
        <w:spacing w:after="0" w:line="355" w:lineRule="auto"/>
        <w:ind w:firstLine="708"/>
        <w:rPr>
          <w:rFonts w:ascii="Times New Roman" w:hAnsi="Times New Roman" w:eastAsia="Times New Roman"/>
          <w:lang w:eastAsia="ru-RU"/>
        </w:rPr>
      </w:pPr>
      <w:r>
        <w:rPr>
          <w:rFonts w:ascii="Times New Roman" w:hAnsi="Times New Roman" w:eastAsia="SchoolBookSanPin"/>
        </w:rPr>
        <w:t>11</w:t>
      </w:r>
      <w:r>
        <w:rPr>
          <w:rFonts w:ascii="Times New Roman" w:hAnsi="Times New Roman" w:eastAsia="OfficinaSansBoldITC"/>
        </w:rPr>
        <w:t>.6.2. </w:t>
      </w:r>
      <w:r>
        <w:rPr>
          <w:rFonts w:ascii="Times New Roman" w:hAnsi="Times New Roman" w:eastAsia="Times New Roman"/>
          <w:iCs/>
          <w:lang w:eastAsia="ru-RU"/>
        </w:rPr>
        <w:t>Человек и природа.</w:t>
      </w:r>
    </w:p>
    <w:p w14:paraId="72A8ED6A">
      <w:pPr>
        <w:spacing w:after="0" w:line="355" w:lineRule="auto"/>
        <w:ind w:firstLine="709"/>
        <w:jc w:val="both"/>
        <w:rPr>
          <w:rFonts w:ascii="Times New Roman" w:hAnsi="Times New Roman" w:eastAsia="Times New Roman"/>
          <w:lang w:eastAsia="ru-RU"/>
        </w:rPr>
      </w:pPr>
      <w:r>
        <w:rPr>
          <w:rFonts w:ascii="Times New Roman" w:hAnsi="Times New Roman" w:eastAsia="SchoolBookSanPin"/>
        </w:rPr>
        <w:t>11</w:t>
      </w:r>
      <w:r>
        <w:rPr>
          <w:rFonts w:ascii="Times New Roman" w:hAnsi="Times New Roman" w:eastAsia="OfficinaSansBoldITC"/>
        </w:rPr>
        <w:t>.6.2.1. </w:t>
      </w:r>
      <w:r>
        <w:rPr>
          <w:rFonts w:ascii="Times New Roman" w:hAnsi="Times New Roman" w:eastAsia="Times New Roman"/>
          <w:lang w:eastAsia="ru-RU"/>
        </w:rPr>
        <w:t>Природа ‒ среда обитания человека. Природа и предметы, созданные человеком. Природные материалы. Бережное отношение к предметам, вещам, уход за ними. Неживая и живая природа. Наблюдение за погодой своего края. Погода и термометр. Определение температуры воздуха (воды) по термометру.</w:t>
      </w:r>
    </w:p>
    <w:p w14:paraId="514FB76E">
      <w:pPr>
        <w:spacing w:after="0" w:line="355" w:lineRule="auto"/>
        <w:ind w:firstLine="709"/>
        <w:jc w:val="both"/>
        <w:rPr>
          <w:rFonts w:ascii="Times New Roman" w:hAnsi="Times New Roman" w:eastAsia="Times New Roman"/>
          <w:lang w:eastAsia="ru-RU"/>
        </w:rPr>
      </w:pPr>
      <w:r>
        <w:rPr>
          <w:rFonts w:ascii="Times New Roman" w:hAnsi="Times New Roman" w:eastAsia="SchoolBookSanPin"/>
        </w:rPr>
        <w:t>11</w:t>
      </w:r>
      <w:r>
        <w:rPr>
          <w:rFonts w:ascii="Times New Roman" w:hAnsi="Times New Roman" w:eastAsia="OfficinaSansBoldITC"/>
        </w:rPr>
        <w:t>.6.2.2. </w:t>
      </w:r>
      <w:r>
        <w:rPr>
          <w:rFonts w:ascii="Times New Roman" w:hAnsi="Times New Roman" w:eastAsia="Times New Roman"/>
          <w:lang w:eastAsia="ru-RU"/>
        </w:rPr>
        <w:t>Сезонные изменения в природе. Взаимосвязи между человеком и природой. Правила нравственного и безопасного поведения в природе.</w:t>
      </w:r>
    </w:p>
    <w:p w14:paraId="74056B8A">
      <w:pPr>
        <w:spacing w:after="0" w:line="355" w:lineRule="auto"/>
        <w:ind w:firstLine="709"/>
        <w:jc w:val="both"/>
        <w:rPr>
          <w:rFonts w:ascii="Times New Roman" w:hAnsi="Times New Roman" w:eastAsia="Times New Roman"/>
          <w:lang w:eastAsia="ru-RU"/>
        </w:rPr>
      </w:pPr>
      <w:r>
        <w:rPr>
          <w:rFonts w:ascii="Times New Roman" w:hAnsi="Times New Roman" w:eastAsia="SchoolBookSanPin"/>
        </w:rPr>
        <w:t>11</w:t>
      </w:r>
      <w:r>
        <w:rPr>
          <w:rFonts w:ascii="Times New Roman" w:hAnsi="Times New Roman" w:eastAsia="OfficinaSansBoldITC"/>
        </w:rPr>
        <w:t>.6.2.3. </w:t>
      </w:r>
      <w:r>
        <w:rPr>
          <w:rFonts w:ascii="Times New Roman" w:hAnsi="Times New Roman" w:eastAsia="Times New Roman"/>
          <w:lang w:eastAsia="ru-RU"/>
        </w:rPr>
        <w:t>Растительный мир. Растения ближайшего окружения (узнавание, называние, краткое описание). Лиственные и хвойные растения. Дикорастущие и культурные растения. Части растения (название, краткая характеристика значения для жизни растения): корень, стебель, лист, цветок, плод, семя. Комнатные растения, правила содержания и ухода.</w:t>
      </w:r>
    </w:p>
    <w:p w14:paraId="54DCB697">
      <w:pPr>
        <w:spacing w:after="0" w:line="355" w:lineRule="auto"/>
        <w:ind w:firstLine="709"/>
        <w:jc w:val="both"/>
        <w:rPr>
          <w:rFonts w:ascii="Times New Roman" w:hAnsi="Times New Roman" w:eastAsia="Times New Roman"/>
          <w:lang w:eastAsia="ru-RU"/>
        </w:rPr>
      </w:pPr>
      <w:r>
        <w:rPr>
          <w:rFonts w:ascii="Times New Roman" w:hAnsi="Times New Roman" w:eastAsia="SchoolBookSanPin"/>
        </w:rPr>
        <w:t>11</w:t>
      </w:r>
      <w:r>
        <w:rPr>
          <w:rFonts w:ascii="Times New Roman" w:hAnsi="Times New Roman" w:eastAsia="OfficinaSansBoldITC"/>
        </w:rPr>
        <w:t>.6.2.4. </w:t>
      </w:r>
      <w:r>
        <w:rPr>
          <w:rFonts w:ascii="Times New Roman" w:hAnsi="Times New Roman" w:eastAsia="Times New Roman"/>
          <w:lang w:eastAsia="ru-RU"/>
        </w:rPr>
        <w:t>Мир животных. Разные группы животных (звери, насекомые, птицы, рыбы и другие). Домашние и дикие животные (различия в условиях жизни). Забота о домашних питомцах.</w:t>
      </w:r>
    </w:p>
    <w:p w14:paraId="2A571F81">
      <w:pPr>
        <w:spacing w:after="0" w:line="355" w:lineRule="auto"/>
        <w:ind w:firstLine="708"/>
        <w:rPr>
          <w:rFonts w:ascii="Times New Roman" w:hAnsi="Times New Roman" w:eastAsia="Times New Roman"/>
          <w:lang w:eastAsia="ru-RU"/>
        </w:rPr>
      </w:pPr>
      <w:r>
        <w:rPr>
          <w:rFonts w:ascii="Times New Roman" w:hAnsi="Times New Roman" w:eastAsia="SchoolBookSanPin"/>
        </w:rPr>
        <w:t>11</w:t>
      </w:r>
      <w:r>
        <w:rPr>
          <w:rFonts w:ascii="Times New Roman" w:hAnsi="Times New Roman" w:eastAsia="OfficinaSansBoldITC"/>
        </w:rPr>
        <w:t>.6.3. </w:t>
      </w:r>
      <w:r>
        <w:rPr>
          <w:rFonts w:ascii="Times New Roman" w:hAnsi="Times New Roman" w:eastAsia="Times New Roman"/>
          <w:iCs/>
          <w:lang w:eastAsia="ru-RU"/>
        </w:rPr>
        <w:t>Правила безопасной жизнедеятельности.</w:t>
      </w:r>
    </w:p>
    <w:p w14:paraId="52A3BA2D">
      <w:pPr>
        <w:spacing w:after="0" w:line="355" w:lineRule="auto"/>
        <w:ind w:firstLine="709"/>
        <w:jc w:val="both"/>
        <w:rPr>
          <w:rFonts w:ascii="Times New Roman" w:hAnsi="Times New Roman" w:eastAsia="Times New Roman"/>
          <w:lang w:eastAsia="ru-RU"/>
        </w:rPr>
      </w:pPr>
      <w:r>
        <w:rPr>
          <w:rFonts w:ascii="Times New Roman" w:hAnsi="Times New Roman" w:eastAsia="SchoolBookSanPin"/>
        </w:rPr>
        <w:t>11</w:t>
      </w:r>
      <w:r>
        <w:rPr>
          <w:rFonts w:ascii="Times New Roman" w:hAnsi="Times New Roman" w:eastAsia="OfficinaSansBoldITC"/>
        </w:rPr>
        <w:t>.6.3.1. </w:t>
      </w:r>
      <w:r>
        <w:rPr>
          <w:rFonts w:ascii="Times New Roman" w:hAnsi="Times New Roman" w:eastAsia="Times New Roman"/>
          <w:lang w:eastAsia="ru-RU"/>
        </w:rPr>
        <w:t>Понимание необходимости соблюдения режима дня, правил здорового питания и личной гигиены. Правила безопасности в быту: пользование бытовыми электроприборами, газовыми плитами.</w:t>
      </w:r>
    </w:p>
    <w:p w14:paraId="1E841C82">
      <w:pPr>
        <w:spacing w:after="0" w:line="355" w:lineRule="auto"/>
        <w:ind w:firstLine="709"/>
        <w:jc w:val="both"/>
        <w:rPr>
          <w:rFonts w:ascii="Times New Roman" w:hAnsi="Times New Roman" w:eastAsia="Times New Roman"/>
          <w:lang w:eastAsia="ru-RU"/>
        </w:rPr>
      </w:pPr>
      <w:r>
        <w:rPr>
          <w:rFonts w:ascii="Times New Roman" w:hAnsi="Times New Roman" w:eastAsia="SchoolBookSanPin"/>
        </w:rPr>
        <w:t>11</w:t>
      </w:r>
      <w:r>
        <w:rPr>
          <w:rFonts w:ascii="Times New Roman" w:hAnsi="Times New Roman" w:eastAsia="OfficinaSansBoldITC"/>
        </w:rPr>
        <w:t>.6.3.2. </w:t>
      </w:r>
      <w:r>
        <w:rPr>
          <w:rFonts w:ascii="Times New Roman" w:hAnsi="Times New Roman" w:eastAsia="Times New Roman"/>
          <w:lang w:eastAsia="ru-RU"/>
        </w:rPr>
        <w:t>Дорога от дома до школы. Правила безопасного поведения пешехода (дорожные знаки, дорожная разметка, дорожные сигналы).</w:t>
      </w:r>
    </w:p>
    <w:p w14:paraId="4A3D2206">
      <w:pPr>
        <w:spacing w:after="0" w:line="355" w:lineRule="auto"/>
        <w:ind w:firstLine="709"/>
        <w:jc w:val="both"/>
        <w:rPr>
          <w:rFonts w:ascii="Times New Roman" w:hAnsi="Times New Roman" w:eastAsia="Times New Roman"/>
          <w:lang w:eastAsia="ru-RU"/>
        </w:rPr>
      </w:pPr>
      <w:r>
        <w:rPr>
          <w:rFonts w:ascii="Times New Roman" w:hAnsi="Times New Roman" w:eastAsia="SchoolBookSanPin"/>
        </w:rPr>
        <w:t>11</w:t>
      </w:r>
      <w:r>
        <w:rPr>
          <w:rFonts w:ascii="Times New Roman" w:hAnsi="Times New Roman" w:eastAsia="OfficinaSansBoldITC"/>
        </w:rPr>
        <w:t>.6.3.3. </w:t>
      </w:r>
      <w:r>
        <w:rPr>
          <w:rFonts w:ascii="Times New Roman" w:hAnsi="Times New Roman" w:eastAsia="Times New Roman"/>
          <w:lang w:eastAsia="ru-RU"/>
        </w:rPr>
        <w:t>Безопасность в Интернете (электронный дневник и электронные ресурсы школы) в условиях контролируемого доступа в информационно-телекоммуникационную сеть «Интернет».</w:t>
      </w:r>
    </w:p>
    <w:p w14:paraId="77C9FBA1">
      <w:pPr>
        <w:spacing w:after="0" w:line="355" w:lineRule="auto"/>
        <w:ind w:firstLine="709"/>
        <w:jc w:val="both"/>
        <w:rPr>
          <w:rFonts w:ascii="Times New Roman" w:hAnsi="Times New Roman" w:eastAsia="SchoolBookSanPin"/>
          <w:bCs/>
        </w:rPr>
      </w:pPr>
      <w:r>
        <w:rPr>
          <w:rFonts w:ascii="Times New Roman" w:hAnsi="Times New Roman" w:eastAsia="SchoolBookSanPin"/>
        </w:rPr>
        <w:t xml:space="preserve">11.6.4. Изучение окружающего мира в 1 классе способствует </w:t>
      </w:r>
      <w:r>
        <w:rPr>
          <w:rFonts w:ascii="Times New Roman" w:hAnsi="Times New Roman" w:eastAsia="Times New Roman"/>
        </w:rPr>
        <w:t>освоению на пропедевтическом уровне ряда универсальных учебных действий</w:t>
      </w:r>
      <w:r>
        <w:rPr>
          <w:rFonts w:ascii="Times New Roman" w:hAnsi="Times New Roman" w:eastAsia="SchoolBookSanPin"/>
        </w:rPr>
        <w:t xml:space="preserve">: </w:t>
      </w:r>
      <w:r>
        <w:rPr>
          <w:rFonts w:ascii="Times New Roman" w:hAnsi="Times New Roman" w:eastAsia="SchoolBookSanPin"/>
          <w:bCs/>
        </w:rPr>
        <w:t xml:space="preserve">познавательных универсальных учебных действий, коммуникативных универсальных учебных действий, регулятивных универсальных учебных действий, совместной деятельности. </w:t>
      </w:r>
    </w:p>
    <w:p w14:paraId="24B5BDDC">
      <w:pPr>
        <w:spacing w:after="0" w:line="355" w:lineRule="auto"/>
        <w:ind w:firstLine="709"/>
        <w:jc w:val="both"/>
        <w:rPr>
          <w:rFonts w:ascii="Times New Roman" w:hAnsi="Times New Roman" w:eastAsia="SchoolBookSanPin"/>
        </w:rPr>
      </w:pPr>
      <w:r>
        <w:rPr>
          <w:rFonts w:ascii="Times New Roman" w:hAnsi="Times New Roman" w:eastAsia="SchoolBookSanPin"/>
        </w:rPr>
        <w:t>11</w:t>
      </w:r>
      <w:r>
        <w:rPr>
          <w:rFonts w:ascii="Times New Roman" w:hAnsi="Times New Roman" w:eastAsia="OfficinaSansBoldITC"/>
        </w:rPr>
        <w:t>.6.4.1. </w:t>
      </w:r>
      <w:r>
        <w:rPr>
          <w:rFonts w:ascii="Times New Roman" w:hAnsi="Times New Roman" w:eastAsia="SchoolBookSanPin"/>
        </w:rPr>
        <w:t xml:space="preserve">Базовые логические действия как часть </w:t>
      </w:r>
      <w:r>
        <w:rPr>
          <w:rFonts w:ascii="Times New Roman" w:hAnsi="Times New Roman" w:eastAsia="SchoolBookSanPin"/>
          <w:bCs/>
        </w:rPr>
        <w:t>познавательных универсальных учебных действий</w:t>
      </w:r>
      <w:r>
        <w:rPr>
          <w:rFonts w:ascii="Times New Roman" w:hAnsi="Times New Roman" w:eastAsia="SchoolBookSanPin"/>
        </w:rPr>
        <w:t xml:space="preserve"> способствуют формированию умений:</w:t>
      </w:r>
    </w:p>
    <w:p w14:paraId="5A059EA6">
      <w:pPr>
        <w:pStyle w:val="67"/>
        <w:widowControl/>
        <w:spacing w:after="0" w:line="355" w:lineRule="auto"/>
        <w:ind w:left="0" w:firstLine="709"/>
        <w:jc w:val="both"/>
        <w:rPr>
          <w:rFonts w:ascii="Times New Roman" w:hAnsi="Times New Roman" w:eastAsia="Times New Roman"/>
          <w:lang w:eastAsia="ru-RU"/>
        </w:rPr>
      </w:pPr>
      <w:r>
        <w:rPr>
          <w:rFonts w:ascii="Times New Roman" w:hAnsi="Times New Roman" w:eastAsia="Times New Roman"/>
          <w:lang w:eastAsia="ru-RU"/>
        </w:rPr>
        <w:t>сравнивать происходящие в природе изменения, наблюдать зависимость изменений в живой природе от состояния неживой природы;</w:t>
      </w:r>
    </w:p>
    <w:p w14:paraId="21512920">
      <w:pPr>
        <w:pStyle w:val="67"/>
        <w:widowControl/>
        <w:spacing w:after="0" w:line="355" w:lineRule="auto"/>
        <w:ind w:left="0" w:firstLine="709"/>
        <w:jc w:val="both"/>
        <w:rPr>
          <w:rFonts w:ascii="Times New Roman" w:hAnsi="Times New Roman" w:eastAsia="Times New Roman"/>
          <w:lang w:eastAsia="ru-RU"/>
        </w:rPr>
      </w:pPr>
      <w:r>
        <w:rPr>
          <w:rFonts w:ascii="Times New Roman" w:hAnsi="Times New Roman" w:eastAsia="Times New Roman"/>
          <w:lang w:eastAsia="ru-RU"/>
        </w:rPr>
        <w:t>приводить примеры представителей разных групп животных (звери, насекомые, рыбы, птицы), называть главную особенность представителей одной группы (в пределах изученного);</w:t>
      </w:r>
    </w:p>
    <w:p w14:paraId="2C4BA460">
      <w:pPr>
        <w:pStyle w:val="67"/>
        <w:widowControl/>
        <w:spacing w:after="0" w:line="355" w:lineRule="auto"/>
        <w:ind w:left="0" w:firstLine="709"/>
        <w:jc w:val="both"/>
        <w:rPr>
          <w:rFonts w:ascii="Times New Roman" w:hAnsi="Times New Roman" w:eastAsia="Times New Roman"/>
          <w:lang w:eastAsia="ru-RU"/>
        </w:rPr>
      </w:pPr>
      <w:r>
        <w:rPr>
          <w:rFonts w:ascii="Times New Roman" w:hAnsi="Times New Roman" w:eastAsia="Times New Roman"/>
          <w:lang w:eastAsia="ru-RU"/>
        </w:rPr>
        <w:t>приводить примеры лиственных и хвойных растений, сравнивать их, устанавливать различия во внешнем виде.</w:t>
      </w:r>
    </w:p>
    <w:p w14:paraId="2FEC669B">
      <w:pPr>
        <w:spacing w:after="0" w:line="355" w:lineRule="auto"/>
        <w:ind w:firstLine="709"/>
        <w:jc w:val="both"/>
        <w:rPr>
          <w:rFonts w:ascii="Times New Roman" w:hAnsi="Times New Roman" w:eastAsia="SchoolBookSanPin"/>
        </w:rPr>
      </w:pPr>
      <w:r>
        <w:rPr>
          <w:rFonts w:ascii="Times New Roman" w:hAnsi="Times New Roman" w:eastAsia="SchoolBookSanPin"/>
        </w:rPr>
        <w:t>11</w:t>
      </w:r>
      <w:r>
        <w:rPr>
          <w:rFonts w:ascii="Times New Roman" w:hAnsi="Times New Roman" w:eastAsia="OfficinaSansBoldITC"/>
        </w:rPr>
        <w:t>.6.4.2. </w:t>
      </w:r>
      <w:r>
        <w:rPr>
          <w:rFonts w:ascii="Times New Roman" w:hAnsi="Times New Roman" w:eastAsia="SchoolBookSanPin"/>
        </w:rPr>
        <w:t xml:space="preserve">Работа с информацией как часть </w:t>
      </w:r>
      <w:r>
        <w:rPr>
          <w:rFonts w:ascii="Times New Roman" w:hAnsi="Times New Roman" w:eastAsia="SchoolBookSanPin"/>
          <w:bCs/>
        </w:rPr>
        <w:t>познавательных универсальных учебных действий</w:t>
      </w:r>
      <w:r>
        <w:rPr>
          <w:rFonts w:ascii="Times New Roman" w:hAnsi="Times New Roman" w:eastAsia="SchoolBookSanPin"/>
        </w:rPr>
        <w:t xml:space="preserve"> способствует формированию умений:</w:t>
      </w:r>
    </w:p>
    <w:p w14:paraId="69B50314">
      <w:pPr>
        <w:pStyle w:val="67"/>
        <w:widowControl/>
        <w:spacing w:after="0" w:line="355" w:lineRule="auto"/>
        <w:ind w:left="0" w:firstLine="709"/>
        <w:jc w:val="both"/>
        <w:rPr>
          <w:rFonts w:ascii="Times New Roman" w:hAnsi="Times New Roman" w:eastAsia="Times New Roman"/>
          <w:lang w:eastAsia="ru-RU"/>
        </w:rPr>
      </w:pPr>
      <w:r>
        <w:rPr>
          <w:rFonts w:ascii="Times New Roman" w:hAnsi="Times New Roman" w:eastAsia="Times New Roman"/>
          <w:lang w:eastAsia="ru-RU"/>
        </w:rPr>
        <w:t>понимать, что информация может быть представлена в разной форме: текста, иллюстраций, видео, таблицы;</w:t>
      </w:r>
    </w:p>
    <w:p w14:paraId="67C02CCC">
      <w:pPr>
        <w:pStyle w:val="67"/>
        <w:widowControl/>
        <w:spacing w:after="0" w:line="355" w:lineRule="auto"/>
        <w:ind w:left="0" w:firstLine="709"/>
        <w:jc w:val="both"/>
        <w:rPr>
          <w:rFonts w:ascii="Times New Roman" w:hAnsi="Times New Roman" w:eastAsia="Times New Roman"/>
          <w:lang w:eastAsia="ru-RU"/>
        </w:rPr>
      </w:pPr>
      <w:r>
        <w:rPr>
          <w:rFonts w:ascii="Times New Roman" w:hAnsi="Times New Roman" w:eastAsia="Times New Roman"/>
          <w:lang w:eastAsia="ru-RU"/>
        </w:rPr>
        <w:t>соотносить иллюстрацию явления (объекта, предмета) с его названием.</w:t>
      </w:r>
    </w:p>
    <w:p w14:paraId="2A56BCDB">
      <w:pPr>
        <w:spacing w:after="0" w:line="355" w:lineRule="auto"/>
        <w:ind w:firstLine="709"/>
        <w:jc w:val="both"/>
        <w:rPr>
          <w:rFonts w:ascii="Times New Roman" w:hAnsi="Times New Roman" w:eastAsia="SchoolBookSanPin"/>
        </w:rPr>
      </w:pPr>
      <w:r>
        <w:rPr>
          <w:rFonts w:ascii="Times New Roman" w:hAnsi="Times New Roman" w:eastAsia="SchoolBookSanPin"/>
        </w:rPr>
        <w:t>11</w:t>
      </w:r>
      <w:r>
        <w:rPr>
          <w:rFonts w:ascii="Times New Roman" w:hAnsi="Times New Roman" w:eastAsia="OfficinaSansBoldITC"/>
        </w:rPr>
        <w:t>.6.4.3. </w:t>
      </w:r>
      <w:r>
        <w:rPr>
          <w:rFonts w:ascii="Times New Roman" w:hAnsi="Times New Roman" w:eastAsia="Times New Roman"/>
        </w:rPr>
        <w:t>Коммуникативные универсальные учебные действия</w:t>
      </w:r>
      <w:r>
        <w:rPr>
          <w:rFonts w:ascii="Times New Roman" w:hAnsi="Times New Roman" w:eastAsia="SchoolBookSanPin"/>
        </w:rPr>
        <w:t xml:space="preserve"> способствуют формированию умений:</w:t>
      </w:r>
    </w:p>
    <w:p w14:paraId="3BA48F64">
      <w:pPr>
        <w:pStyle w:val="67"/>
        <w:widowControl/>
        <w:spacing w:after="0" w:line="355" w:lineRule="auto"/>
        <w:ind w:left="0" w:firstLine="709"/>
        <w:jc w:val="both"/>
        <w:rPr>
          <w:rFonts w:ascii="Times New Roman" w:hAnsi="Times New Roman" w:eastAsia="Times New Roman"/>
          <w:lang w:eastAsia="ru-RU"/>
        </w:rPr>
      </w:pPr>
      <w:r>
        <w:rPr>
          <w:rFonts w:ascii="Times New Roman" w:hAnsi="Times New Roman" w:eastAsia="Times New Roman"/>
          <w:lang w:eastAsia="ru-RU"/>
        </w:rPr>
        <w:t>в процессе учебного диалога слушать говорящего; отвечать на вопросы, дополнять ответы участников; уважительно относиться к разным мнениям;</w:t>
      </w:r>
    </w:p>
    <w:p w14:paraId="1B032756">
      <w:pPr>
        <w:pStyle w:val="67"/>
        <w:widowControl/>
        <w:spacing w:after="0" w:line="355" w:lineRule="auto"/>
        <w:ind w:left="0" w:firstLine="709"/>
        <w:jc w:val="both"/>
        <w:rPr>
          <w:rFonts w:ascii="Times New Roman" w:hAnsi="Times New Roman" w:eastAsia="Times New Roman"/>
          <w:lang w:eastAsia="ru-RU"/>
        </w:rPr>
      </w:pPr>
      <w:r>
        <w:rPr>
          <w:rFonts w:ascii="Times New Roman" w:hAnsi="Times New Roman" w:eastAsia="Times New Roman"/>
          <w:lang w:eastAsia="ru-RU"/>
        </w:rPr>
        <w:t>воспроизводить названия своего населенного пункта, название страны, её столицы;</w:t>
      </w:r>
    </w:p>
    <w:p w14:paraId="500FF2A5">
      <w:pPr>
        <w:pStyle w:val="67"/>
        <w:widowControl/>
        <w:spacing w:after="0" w:line="355" w:lineRule="auto"/>
        <w:ind w:left="0" w:firstLine="709"/>
        <w:jc w:val="both"/>
        <w:rPr>
          <w:rFonts w:ascii="Times New Roman" w:hAnsi="Times New Roman" w:eastAsia="Times New Roman"/>
          <w:lang w:eastAsia="ru-RU"/>
        </w:rPr>
      </w:pPr>
      <w:r>
        <w:rPr>
          <w:rFonts w:ascii="Times New Roman" w:hAnsi="Times New Roman" w:eastAsia="Times New Roman"/>
          <w:lang w:eastAsia="ru-RU"/>
        </w:rPr>
        <w:t>воспроизводить наизусть слова гимна России;</w:t>
      </w:r>
    </w:p>
    <w:p w14:paraId="61847BA5">
      <w:pPr>
        <w:pStyle w:val="67"/>
        <w:widowControl/>
        <w:spacing w:after="0" w:line="355" w:lineRule="auto"/>
        <w:ind w:left="0" w:firstLine="709"/>
        <w:jc w:val="both"/>
        <w:rPr>
          <w:rFonts w:ascii="Times New Roman" w:hAnsi="Times New Roman" w:eastAsia="Times New Roman"/>
          <w:lang w:eastAsia="ru-RU"/>
        </w:rPr>
      </w:pPr>
      <w:r>
        <w:rPr>
          <w:rFonts w:ascii="Times New Roman" w:hAnsi="Times New Roman" w:eastAsia="Times New Roman"/>
          <w:lang w:eastAsia="ru-RU"/>
        </w:rPr>
        <w:t>соотносить предметы декоративно-прикладного искусства с принадлежностью народу Российской Федерации, описывать предмет по предложенному плану;</w:t>
      </w:r>
    </w:p>
    <w:p w14:paraId="672B2CAA">
      <w:pPr>
        <w:pStyle w:val="67"/>
        <w:widowControl/>
        <w:spacing w:after="0" w:line="355" w:lineRule="auto"/>
        <w:ind w:left="0" w:firstLine="709"/>
        <w:jc w:val="both"/>
        <w:rPr>
          <w:rFonts w:ascii="Times New Roman" w:hAnsi="Times New Roman" w:eastAsia="Times New Roman"/>
          <w:lang w:eastAsia="ru-RU"/>
        </w:rPr>
      </w:pPr>
      <w:r>
        <w:rPr>
          <w:rFonts w:ascii="Times New Roman" w:hAnsi="Times New Roman" w:eastAsia="Times New Roman"/>
          <w:lang w:eastAsia="ru-RU"/>
        </w:rPr>
        <w:t>описывать по предложенному плану время года, передавать в рассказе своё отношение к природным явлениям;</w:t>
      </w:r>
    </w:p>
    <w:p w14:paraId="7F34267D">
      <w:pPr>
        <w:pStyle w:val="67"/>
        <w:widowControl/>
        <w:spacing w:after="0" w:line="355" w:lineRule="auto"/>
        <w:ind w:left="0" w:firstLine="709"/>
        <w:jc w:val="both"/>
        <w:rPr>
          <w:rFonts w:ascii="Times New Roman" w:hAnsi="Times New Roman" w:eastAsia="Times New Roman"/>
          <w:lang w:eastAsia="ru-RU"/>
        </w:rPr>
      </w:pPr>
      <w:r>
        <w:rPr>
          <w:rFonts w:ascii="Times New Roman" w:hAnsi="Times New Roman" w:eastAsia="Times New Roman"/>
          <w:lang w:eastAsia="ru-RU"/>
        </w:rPr>
        <w:t>сравнивать домашних и диких животных, объяснять, чем они различаются.</w:t>
      </w:r>
    </w:p>
    <w:p w14:paraId="1CA0942F">
      <w:pPr>
        <w:spacing w:after="0" w:line="355" w:lineRule="auto"/>
        <w:ind w:firstLine="709"/>
        <w:jc w:val="both"/>
        <w:rPr>
          <w:rFonts w:ascii="Times New Roman" w:hAnsi="Times New Roman" w:eastAsia="SchoolBookSanPin"/>
        </w:rPr>
      </w:pPr>
      <w:r>
        <w:rPr>
          <w:rFonts w:ascii="Times New Roman" w:hAnsi="Times New Roman" w:eastAsia="SchoolBookSanPin"/>
        </w:rPr>
        <w:t>11</w:t>
      </w:r>
      <w:r>
        <w:rPr>
          <w:rFonts w:ascii="Times New Roman" w:hAnsi="Times New Roman" w:eastAsia="OfficinaSansBoldITC"/>
        </w:rPr>
        <w:t>.6.4.4. </w:t>
      </w:r>
      <w:r>
        <w:rPr>
          <w:rFonts w:ascii="Times New Roman" w:hAnsi="Times New Roman" w:eastAsia="Times New Roman"/>
        </w:rPr>
        <w:t>Регулятивные универсальные учебные действия</w:t>
      </w:r>
      <w:r>
        <w:rPr>
          <w:rFonts w:ascii="Times New Roman" w:hAnsi="Times New Roman" w:eastAsia="SchoolBookSanPin"/>
        </w:rPr>
        <w:t xml:space="preserve"> способствуют формированию умений:</w:t>
      </w:r>
    </w:p>
    <w:p w14:paraId="38636A51">
      <w:pPr>
        <w:pStyle w:val="67"/>
        <w:widowControl/>
        <w:spacing w:after="0" w:line="355" w:lineRule="auto"/>
        <w:ind w:left="0" w:firstLine="709"/>
        <w:jc w:val="both"/>
        <w:rPr>
          <w:rFonts w:ascii="Times New Roman" w:hAnsi="Times New Roman" w:eastAsia="Times New Roman"/>
          <w:lang w:eastAsia="ru-RU"/>
        </w:rPr>
      </w:pPr>
      <w:r>
        <w:rPr>
          <w:rFonts w:ascii="Times New Roman" w:hAnsi="Times New Roman" w:eastAsia="Times New Roman"/>
          <w:lang w:eastAsia="ru-RU"/>
        </w:rPr>
        <w:t>сравнивать организацию своей жизни с установленными правилами здорового образа жизни (выполнение режима, двигательная активность, закаливание, безопасность использования бытовых электроприборов);</w:t>
      </w:r>
    </w:p>
    <w:p w14:paraId="4B9551FE">
      <w:pPr>
        <w:pStyle w:val="67"/>
        <w:widowControl/>
        <w:spacing w:after="0" w:line="355" w:lineRule="auto"/>
        <w:ind w:left="0" w:firstLine="709"/>
        <w:jc w:val="both"/>
        <w:rPr>
          <w:rFonts w:ascii="Times New Roman" w:hAnsi="Times New Roman" w:eastAsia="Times New Roman"/>
          <w:lang w:eastAsia="ru-RU"/>
        </w:rPr>
      </w:pPr>
      <w:r>
        <w:rPr>
          <w:rFonts w:ascii="Times New Roman" w:hAnsi="Times New Roman" w:eastAsia="Times New Roman"/>
          <w:lang w:eastAsia="ru-RU"/>
        </w:rPr>
        <w:t>оценивать выполнение правил безопасного поведения на дорогах и улицах другими детьми, выполнять самооценку;</w:t>
      </w:r>
    </w:p>
    <w:p w14:paraId="10CB3E55">
      <w:pPr>
        <w:pStyle w:val="67"/>
        <w:widowControl/>
        <w:spacing w:after="0" w:line="355" w:lineRule="auto"/>
        <w:ind w:left="0" w:firstLine="709"/>
        <w:jc w:val="both"/>
        <w:rPr>
          <w:rFonts w:ascii="Times New Roman" w:hAnsi="Times New Roman" w:eastAsia="Times New Roman"/>
          <w:lang w:eastAsia="ru-RU"/>
        </w:rPr>
      </w:pPr>
      <w:r>
        <w:rPr>
          <w:rFonts w:ascii="Times New Roman" w:hAnsi="Times New Roman" w:eastAsia="Times New Roman"/>
          <w:lang w:eastAsia="ru-RU"/>
        </w:rPr>
        <w:t>анализировать предложенные ситуации: устанавливать нарушения режима дня, организации учебной работы; нарушения правил дорожного движения, правил пользования электро- и газовыми приборами.</w:t>
      </w:r>
    </w:p>
    <w:p w14:paraId="3E2EE62D">
      <w:pPr>
        <w:spacing w:after="0" w:line="355" w:lineRule="auto"/>
        <w:ind w:firstLine="709"/>
        <w:jc w:val="both"/>
        <w:rPr>
          <w:rFonts w:ascii="Times New Roman" w:hAnsi="Times New Roman" w:eastAsia="Times New Roman"/>
          <w:lang w:eastAsia="ru-RU"/>
        </w:rPr>
      </w:pPr>
      <w:r>
        <w:rPr>
          <w:rFonts w:ascii="Times New Roman" w:hAnsi="Times New Roman" w:eastAsia="SchoolBookSanPin"/>
        </w:rPr>
        <w:t>11</w:t>
      </w:r>
      <w:r>
        <w:rPr>
          <w:rFonts w:ascii="Times New Roman" w:hAnsi="Times New Roman" w:eastAsia="OfficinaSansBoldITC"/>
        </w:rPr>
        <w:t>.6.4.5. </w:t>
      </w:r>
      <w:r>
        <w:rPr>
          <w:rFonts w:ascii="Times New Roman" w:hAnsi="Times New Roman" w:eastAsia="Times New Roman"/>
        </w:rPr>
        <w:t xml:space="preserve">Совместная деятельность </w:t>
      </w:r>
      <w:r>
        <w:rPr>
          <w:rFonts w:ascii="Times New Roman" w:hAnsi="Times New Roman" w:eastAsia="SchoolBookSanPin"/>
        </w:rPr>
        <w:t xml:space="preserve">способствует формированию умений </w:t>
      </w:r>
      <w:r>
        <w:rPr>
          <w:rFonts w:ascii="Times New Roman" w:hAnsi="Times New Roman" w:eastAsia="Times New Roman"/>
          <w:lang w:eastAsia="ru-RU"/>
        </w:rPr>
        <w:t>соблюдать правила общения в совместной деятельности: договариваться, справедливо распределять работу, определять нарушение правил взаимоотношений, при участии учителя устранять возникающие конфликты.</w:t>
      </w:r>
    </w:p>
    <w:p w14:paraId="280E3B81">
      <w:pPr>
        <w:spacing w:after="0" w:line="355" w:lineRule="auto"/>
        <w:ind w:firstLine="709"/>
        <w:rPr>
          <w:rFonts w:ascii="Times New Roman" w:hAnsi="Times New Roman" w:eastAsia="OfficinaSansBoldITC"/>
        </w:rPr>
      </w:pPr>
      <w:r>
        <w:rPr>
          <w:rFonts w:ascii="Times New Roman" w:hAnsi="Times New Roman" w:eastAsia="SchoolBookSanPin"/>
        </w:rPr>
        <w:t>11</w:t>
      </w:r>
      <w:r>
        <w:rPr>
          <w:rFonts w:ascii="Times New Roman" w:hAnsi="Times New Roman" w:eastAsia="OfficinaSansBoldITC"/>
        </w:rPr>
        <w:t>.7. Содержание обучения во 2 классе.</w:t>
      </w:r>
    </w:p>
    <w:p w14:paraId="69F221E6">
      <w:pPr>
        <w:spacing w:after="0" w:line="355" w:lineRule="auto"/>
        <w:ind w:firstLine="708"/>
        <w:rPr>
          <w:rFonts w:ascii="Times New Roman" w:hAnsi="Times New Roman" w:eastAsia="Times New Roman"/>
          <w:lang w:eastAsia="ru-RU"/>
        </w:rPr>
      </w:pPr>
      <w:r>
        <w:rPr>
          <w:rFonts w:ascii="Times New Roman" w:hAnsi="Times New Roman" w:eastAsia="SchoolBookSanPin"/>
        </w:rPr>
        <w:t>11</w:t>
      </w:r>
      <w:r>
        <w:rPr>
          <w:rFonts w:ascii="Times New Roman" w:hAnsi="Times New Roman" w:eastAsia="OfficinaSansBoldITC"/>
        </w:rPr>
        <w:t>.7.1. </w:t>
      </w:r>
      <w:r>
        <w:rPr>
          <w:rFonts w:ascii="Times New Roman" w:hAnsi="Times New Roman" w:eastAsia="Times New Roman"/>
          <w:iCs/>
          <w:lang w:eastAsia="ru-RU"/>
        </w:rPr>
        <w:t>Человек и общество.</w:t>
      </w:r>
    </w:p>
    <w:p w14:paraId="4B20C2DE">
      <w:pPr>
        <w:spacing w:after="0" w:line="355" w:lineRule="auto"/>
        <w:ind w:firstLine="709"/>
        <w:jc w:val="both"/>
        <w:rPr>
          <w:rFonts w:ascii="Times New Roman" w:hAnsi="Times New Roman" w:eastAsia="Times New Roman"/>
          <w:lang w:eastAsia="ru-RU"/>
        </w:rPr>
      </w:pPr>
      <w:r>
        <w:rPr>
          <w:rFonts w:ascii="Times New Roman" w:hAnsi="Times New Roman" w:eastAsia="SchoolBookSanPin"/>
        </w:rPr>
        <w:t>11</w:t>
      </w:r>
      <w:r>
        <w:rPr>
          <w:rFonts w:ascii="Times New Roman" w:hAnsi="Times New Roman" w:eastAsia="OfficinaSansBoldITC"/>
        </w:rPr>
        <w:t>.7.1.1. </w:t>
      </w:r>
      <w:r>
        <w:rPr>
          <w:rFonts w:ascii="Times New Roman" w:hAnsi="Times New Roman" w:eastAsia="Times New Roman"/>
          <w:lang w:eastAsia="ru-RU"/>
        </w:rPr>
        <w:t xml:space="preserve">Наша Родина ‒ Россия, Российская Федерация. Россия и её столица на карте. Государственные символы России. Москва – столица России. Святыни Москвы – святыни России: Кремль, Красная площадь, Большой театр и другие. Характеристика отдельных исторических событий, связанных с Москвой (основание Москвы, строительство Кремля и другие). Герб Москвы. Расположение Москвы на карте. Города России. Россия – многонациональное государство. Народы России, их традиции, обычаи, праздники. Родной край, его природные и культурные достопримечательности. Значимые события истории родного края. </w:t>
      </w:r>
    </w:p>
    <w:p w14:paraId="561263DB">
      <w:pPr>
        <w:spacing w:after="0" w:line="355" w:lineRule="auto"/>
        <w:ind w:firstLine="709"/>
        <w:jc w:val="both"/>
        <w:rPr>
          <w:rFonts w:ascii="Times New Roman" w:hAnsi="Times New Roman" w:eastAsia="Times New Roman"/>
          <w:lang w:eastAsia="ru-RU"/>
        </w:rPr>
      </w:pPr>
      <w:r>
        <w:rPr>
          <w:rFonts w:ascii="Times New Roman" w:hAnsi="Times New Roman" w:eastAsia="SchoolBookSanPin"/>
        </w:rPr>
        <w:t>11</w:t>
      </w:r>
      <w:r>
        <w:rPr>
          <w:rFonts w:ascii="Times New Roman" w:hAnsi="Times New Roman" w:eastAsia="OfficinaSansBoldITC"/>
        </w:rPr>
        <w:t>.7.1.2. </w:t>
      </w:r>
      <w:r>
        <w:rPr>
          <w:rFonts w:ascii="Times New Roman" w:hAnsi="Times New Roman" w:eastAsia="Times New Roman"/>
          <w:lang w:eastAsia="ru-RU"/>
        </w:rPr>
        <w:t>Свой регион и его главный город на карте; символика своего региона. Хозяйственные занятия, профессии жителей родного края. Значение труда в жизни человека и общества.</w:t>
      </w:r>
    </w:p>
    <w:p w14:paraId="0770D308">
      <w:pPr>
        <w:spacing w:after="0" w:line="355" w:lineRule="auto"/>
        <w:ind w:firstLine="709"/>
        <w:jc w:val="both"/>
        <w:rPr>
          <w:rFonts w:ascii="Times New Roman" w:hAnsi="Times New Roman" w:eastAsia="Times New Roman"/>
          <w:lang w:eastAsia="ru-RU"/>
        </w:rPr>
      </w:pPr>
      <w:r>
        <w:rPr>
          <w:rFonts w:ascii="Times New Roman" w:hAnsi="Times New Roman" w:eastAsia="SchoolBookSanPin"/>
        </w:rPr>
        <w:t>11</w:t>
      </w:r>
      <w:r>
        <w:rPr>
          <w:rFonts w:ascii="Times New Roman" w:hAnsi="Times New Roman" w:eastAsia="OfficinaSansBoldITC"/>
        </w:rPr>
        <w:t>.7.1.3. </w:t>
      </w:r>
      <w:r>
        <w:rPr>
          <w:rFonts w:ascii="Times New Roman" w:hAnsi="Times New Roman" w:eastAsia="Times New Roman"/>
          <w:lang w:eastAsia="ru-RU"/>
        </w:rPr>
        <w:t>Семья. Семейные ценности и традиции. Родословная. Составление схемы родословного древа, истории семьи.</w:t>
      </w:r>
    </w:p>
    <w:p w14:paraId="1240D4B9">
      <w:pPr>
        <w:spacing w:after="0" w:line="355" w:lineRule="auto"/>
        <w:ind w:firstLine="709"/>
        <w:jc w:val="both"/>
        <w:rPr>
          <w:rFonts w:ascii="Times New Roman" w:hAnsi="Times New Roman" w:eastAsia="Times New Roman"/>
          <w:lang w:eastAsia="ru-RU"/>
        </w:rPr>
      </w:pPr>
      <w:r>
        <w:rPr>
          <w:rFonts w:ascii="Times New Roman" w:hAnsi="Times New Roman" w:eastAsia="SchoolBookSanPin"/>
        </w:rPr>
        <w:t>11</w:t>
      </w:r>
      <w:r>
        <w:rPr>
          <w:rFonts w:ascii="Times New Roman" w:hAnsi="Times New Roman" w:eastAsia="OfficinaSansBoldITC"/>
        </w:rPr>
        <w:t>.7.1.4. </w:t>
      </w:r>
      <w:r>
        <w:rPr>
          <w:rFonts w:ascii="Times New Roman" w:hAnsi="Times New Roman" w:eastAsia="Times New Roman"/>
          <w:lang w:eastAsia="ru-RU"/>
        </w:rPr>
        <w:t>Правила культурного поведения в общественных местах. Доброта, справедливость, честность, уважение к чужому мнению и особенностям других людей – главные правила взаимоотношений членов общества.</w:t>
      </w:r>
    </w:p>
    <w:p w14:paraId="3A01F1AF">
      <w:pPr>
        <w:spacing w:after="0" w:line="355" w:lineRule="auto"/>
        <w:ind w:firstLine="708"/>
        <w:rPr>
          <w:rFonts w:ascii="Times New Roman" w:hAnsi="Times New Roman" w:eastAsia="Times New Roman"/>
          <w:lang w:eastAsia="ru-RU"/>
        </w:rPr>
      </w:pPr>
      <w:r>
        <w:rPr>
          <w:rFonts w:ascii="Times New Roman" w:hAnsi="Times New Roman" w:eastAsia="SchoolBookSanPin"/>
        </w:rPr>
        <w:t>11</w:t>
      </w:r>
      <w:r>
        <w:rPr>
          <w:rFonts w:ascii="Times New Roman" w:hAnsi="Times New Roman" w:eastAsia="OfficinaSansBoldITC"/>
        </w:rPr>
        <w:t>.7.2. </w:t>
      </w:r>
      <w:r>
        <w:rPr>
          <w:rFonts w:ascii="Times New Roman" w:hAnsi="Times New Roman" w:eastAsia="Times New Roman"/>
          <w:iCs/>
          <w:lang w:eastAsia="ru-RU"/>
        </w:rPr>
        <w:t>Человек и природа.</w:t>
      </w:r>
    </w:p>
    <w:p w14:paraId="2694EBDB">
      <w:pPr>
        <w:spacing w:after="0" w:line="355" w:lineRule="auto"/>
        <w:ind w:firstLine="709"/>
        <w:jc w:val="both"/>
        <w:rPr>
          <w:rFonts w:ascii="Times New Roman" w:hAnsi="Times New Roman" w:eastAsia="Times New Roman"/>
          <w:lang w:eastAsia="ru-RU"/>
        </w:rPr>
      </w:pPr>
      <w:r>
        <w:rPr>
          <w:rFonts w:ascii="Times New Roman" w:hAnsi="Times New Roman" w:eastAsia="SchoolBookSanPin"/>
        </w:rPr>
        <w:t>11</w:t>
      </w:r>
      <w:r>
        <w:rPr>
          <w:rFonts w:ascii="Times New Roman" w:hAnsi="Times New Roman" w:eastAsia="OfficinaSansBoldITC"/>
        </w:rPr>
        <w:t>.7.2.1. </w:t>
      </w:r>
      <w:r>
        <w:rPr>
          <w:rFonts w:ascii="Times New Roman" w:hAnsi="Times New Roman" w:eastAsia="Times New Roman"/>
          <w:lang w:eastAsia="ru-RU"/>
        </w:rPr>
        <w:t>Методы познания природы: наблюдения, опыты, измерения.</w:t>
      </w:r>
    </w:p>
    <w:p w14:paraId="4858AEE5">
      <w:pPr>
        <w:spacing w:after="0" w:line="355" w:lineRule="auto"/>
        <w:ind w:firstLine="709"/>
        <w:jc w:val="both"/>
        <w:rPr>
          <w:rFonts w:ascii="Times New Roman" w:hAnsi="Times New Roman" w:eastAsia="Times New Roman"/>
          <w:lang w:eastAsia="ru-RU"/>
        </w:rPr>
      </w:pPr>
      <w:r>
        <w:rPr>
          <w:rFonts w:ascii="Times New Roman" w:hAnsi="Times New Roman" w:eastAsia="SchoolBookSanPin"/>
        </w:rPr>
        <w:t>11</w:t>
      </w:r>
      <w:r>
        <w:rPr>
          <w:rFonts w:ascii="Times New Roman" w:hAnsi="Times New Roman" w:eastAsia="OfficinaSansBoldITC"/>
        </w:rPr>
        <w:t>.7.2.2. </w:t>
      </w:r>
      <w:r>
        <w:rPr>
          <w:rFonts w:ascii="Times New Roman" w:hAnsi="Times New Roman" w:eastAsia="Times New Roman"/>
          <w:lang w:eastAsia="ru-RU"/>
        </w:rPr>
        <w:t>Звёзды и созвездия, наблюдения звёздного неба. Планеты. Чем Земля отличается от других планет; условия жизни на Земле. Изображения Земли: глобус, карта, план. Карта мира. Материки, океаны. Определение сторон горизонта при помощи компаса. Ориентирование на местности по местным природным признакам, Солнцу. Компас, устройство; ориентирование с помощью компаса.</w:t>
      </w:r>
    </w:p>
    <w:p w14:paraId="3A91D2FD">
      <w:pPr>
        <w:spacing w:after="0" w:line="355" w:lineRule="auto"/>
        <w:ind w:firstLine="709"/>
        <w:jc w:val="both"/>
        <w:rPr>
          <w:rFonts w:ascii="Times New Roman" w:hAnsi="Times New Roman" w:eastAsia="Times New Roman"/>
          <w:lang w:eastAsia="ru-RU"/>
        </w:rPr>
      </w:pPr>
      <w:r>
        <w:rPr>
          <w:rFonts w:ascii="Times New Roman" w:hAnsi="Times New Roman" w:eastAsia="SchoolBookSanPin"/>
        </w:rPr>
        <w:t>11</w:t>
      </w:r>
      <w:r>
        <w:rPr>
          <w:rFonts w:ascii="Times New Roman" w:hAnsi="Times New Roman" w:eastAsia="OfficinaSansBoldITC"/>
        </w:rPr>
        <w:t>.7.2.3. </w:t>
      </w:r>
      <w:r>
        <w:rPr>
          <w:rFonts w:ascii="Times New Roman" w:hAnsi="Times New Roman" w:eastAsia="Times New Roman"/>
          <w:lang w:eastAsia="ru-RU"/>
        </w:rPr>
        <w:t xml:space="preserve">Многообразие растений. Деревья, кустарники, травы. Дикорастущие и культурные растения. Связи в природе. Годовой ход изменений в жизни растений. </w:t>
      </w:r>
    </w:p>
    <w:p w14:paraId="5F160DF9">
      <w:pPr>
        <w:spacing w:after="0" w:line="355" w:lineRule="auto"/>
        <w:ind w:firstLine="709"/>
        <w:jc w:val="both"/>
        <w:rPr>
          <w:rFonts w:ascii="Times New Roman" w:hAnsi="Times New Roman" w:eastAsia="Times New Roman"/>
          <w:lang w:eastAsia="ru-RU"/>
        </w:rPr>
      </w:pPr>
      <w:r>
        <w:rPr>
          <w:rFonts w:ascii="Times New Roman" w:hAnsi="Times New Roman" w:eastAsia="SchoolBookSanPin"/>
        </w:rPr>
        <w:t>11</w:t>
      </w:r>
      <w:r>
        <w:rPr>
          <w:rFonts w:ascii="Times New Roman" w:hAnsi="Times New Roman" w:eastAsia="OfficinaSansBoldITC"/>
        </w:rPr>
        <w:t xml:space="preserve">.7.2.4. </w:t>
      </w:r>
      <w:r>
        <w:rPr>
          <w:rFonts w:ascii="Times New Roman" w:hAnsi="Times New Roman" w:eastAsia="Times New Roman"/>
          <w:lang w:eastAsia="ru-RU"/>
        </w:rPr>
        <w:t>Многообразие животных. Насекомые, рыбы, птицы, звери, земноводные, пресмыкающиеся: общая характеристика внешних признаков. Связи в природе. Годовой ход изменений в жизни животных.</w:t>
      </w:r>
    </w:p>
    <w:p w14:paraId="1E9ABA92">
      <w:pPr>
        <w:spacing w:after="0" w:line="355" w:lineRule="auto"/>
        <w:ind w:firstLine="709"/>
        <w:jc w:val="both"/>
        <w:rPr>
          <w:rFonts w:ascii="Times New Roman" w:hAnsi="Times New Roman" w:eastAsia="Times New Roman"/>
          <w:lang w:eastAsia="ru-RU"/>
        </w:rPr>
      </w:pPr>
      <w:r>
        <w:rPr>
          <w:rFonts w:ascii="Times New Roman" w:hAnsi="Times New Roman" w:eastAsia="SchoolBookSanPin"/>
        </w:rPr>
        <w:t>11</w:t>
      </w:r>
      <w:r>
        <w:rPr>
          <w:rFonts w:ascii="Times New Roman" w:hAnsi="Times New Roman" w:eastAsia="OfficinaSansBoldITC"/>
        </w:rPr>
        <w:t>.7.2.5. </w:t>
      </w:r>
      <w:r>
        <w:rPr>
          <w:rFonts w:ascii="Times New Roman" w:hAnsi="Times New Roman" w:eastAsia="Times New Roman"/>
          <w:lang w:eastAsia="ru-RU"/>
        </w:rPr>
        <w:t>Красная книга России, её значение, отдельные представители растений и животных Красной книги. Заповедники, природные парки. Охрана природы. Правила нравственного поведения на природе.</w:t>
      </w:r>
    </w:p>
    <w:p w14:paraId="7FEC4C1A">
      <w:pPr>
        <w:spacing w:after="0" w:line="355" w:lineRule="auto"/>
        <w:ind w:firstLine="708"/>
        <w:rPr>
          <w:rFonts w:ascii="Times New Roman" w:hAnsi="Times New Roman" w:eastAsia="Times New Roman"/>
          <w:lang w:eastAsia="ru-RU"/>
        </w:rPr>
      </w:pPr>
      <w:r>
        <w:rPr>
          <w:rFonts w:ascii="Times New Roman" w:hAnsi="Times New Roman" w:eastAsia="SchoolBookSanPin"/>
        </w:rPr>
        <w:t>11</w:t>
      </w:r>
      <w:r>
        <w:rPr>
          <w:rFonts w:ascii="Times New Roman" w:hAnsi="Times New Roman" w:eastAsia="OfficinaSansBoldITC"/>
        </w:rPr>
        <w:t>.7.3. </w:t>
      </w:r>
      <w:r>
        <w:rPr>
          <w:rFonts w:ascii="Times New Roman" w:hAnsi="Times New Roman" w:eastAsia="Times New Roman"/>
          <w:iCs/>
          <w:lang w:eastAsia="ru-RU"/>
        </w:rPr>
        <w:t>Правила безопасной жизнедеятельности.</w:t>
      </w:r>
    </w:p>
    <w:p w14:paraId="0D311C53">
      <w:pPr>
        <w:spacing w:after="0" w:line="355" w:lineRule="auto"/>
        <w:ind w:firstLine="709"/>
        <w:jc w:val="both"/>
        <w:rPr>
          <w:rFonts w:ascii="Times New Roman" w:hAnsi="Times New Roman" w:eastAsia="Times New Roman"/>
          <w:lang w:eastAsia="ru-RU"/>
        </w:rPr>
      </w:pPr>
      <w:r>
        <w:rPr>
          <w:rFonts w:ascii="Times New Roman" w:hAnsi="Times New Roman" w:eastAsia="SchoolBookSanPin"/>
        </w:rPr>
        <w:t>11</w:t>
      </w:r>
      <w:r>
        <w:rPr>
          <w:rFonts w:ascii="Times New Roman" w:hAnsi="Times New Roman" w:eastAsia="OfficinaSansBoldITC"/>
        </w:rPr>
        <w:t>.7.3.1. </w:t>
      </w:r>
      <w:r>
        <w:rPr>
          <w:rFonts w:ascii="Times New Roman" w:hAnsi="Times New Roman" w:eastAsia="Times New Roman"/>
          <w:lang w:eastAsia="ru-RU"/>
        </w:rPr>
        <w:t xml:space="preserve">Здоровый образ жизни: режим дня (чередование сна, учебных занятий, двигательной активности) и рациональное питание (количество приёмов пищи и рацион питания). Физическая культура, закаливание, игры на воздухе как условие сохранения и укрепления здоровья. </w:t>
      </w:r>
    </w:p>
    <w:p w14:paraId="625DA835">
      <w:pPr>
        <w:spacing w:after="0" w:line="355" w:lineRule="auto"/>
        <w:ind w:firstLine="709"/>
        <w:jc w:val="both"/>
        <w:rPr>
          <w:rFonts w:ascii="Times New Roman" w:hAnsi="Times New Roman" w:eastAsia="Times New Roman"/>
          <w:lang w:eastAsia="ru-RU"/>
        </w:rPr>
      </w:pPr>
      <w:r>
        <w:rPr>
          <w:rFonts w:ascii="Times New Roman" w:hAnsi="Times New Roman" w:eastAsia="SchoolBookSanPin"/>
        </w:rPr>
        <w:t>11</w:t>
      </w:r>
      <w:r>
        <w:rPr>
          <w:rFonts w:ascii="Times New Roman" w:hAnsi="Times New Roman" w:eastAsia="OfficinaSansBoldITC"/>
        </w:rPr>
        <w:t>.7.3.2. </w:t>
      </w:r>
      <w:r>
        <w:rPr>
          <w:rFonts w:ascii="Times New Roman" w:hAnsi="Times New Roman" w:eastAsia="Times New Roman"/>
          <w:lang w:eastAsia="ru-RU"/>
        </w:rPr>
        <w:t xml:space="preserve">Правила безопасности в школе (маршрут до школы, правила поведения на занятиях, переменах, при приёмах пищи и на пришкольной территории), в быту, на прогулках. </w:t>
      </w:r>
    </w:p>
    <w:p w14:paraId="2571729E">
      <w:pPr>
        <w:spacing w:after="0" w:line="355" w:lineRule="auto"/>
        <w:ind w:firstLine="709"/>
        <w:jc w:val="both"/>
        <w:rPr>
          <w:rFonts w:ascii="Times New Roman" w:hAnsi="Times New Roman" w:eastAsia="Times New Roman"/>
          <w:lang w:eastAsia="ru-RU"/>
        </w:rPr>
      </w:pPr>
      <w:r>
        <w:rPr>
          <w:rFonts w:ascii="Times New Roman" w:hAnsi="Times New Roman" w:eastAsia="SchoolBookSanPin"/>
        </w:rPr>
        <w:t>11</w:t>
      </w:r>
      <w:r>
        <w:rPr>
          <w:rFonts w:ascii="Times New Roman" w:hAnsi="Times New Roman" w:eastAsia="OfficinaSansBoldITC"/>
        </w:rPr>
        <w:t>.7.3.3. </w:t>
      </w:r>
      <w:r>
        <w:rPr>
          <w:rFonts w:ascii="Times New Roman" w:hAnsi="Times New Roman" w:eastAsia="Times New Roman"/>
          <w:lang w:eastAsia="ru-RU"/>
        </w:rPr>
        <w:t xml:space="preserve">Правила безопасного поведения пассажира наземного транспорта и метро (ожидание на остановке, посадка, размещение в салоне или вагоне, высадка, знаки безопасности на общественном транспорте). Номера телефонов экстренной помощи. </w:t>
      </w:r>
    </w:p>
    <w:p w14:paraId="6E904B62">
      <w:pPr>
        <w:spacing w:after="0" w:line="355" w:lineRule="auto"/>
        <w:ind w:firstLine="709"/>
        <w:jc w:val="both"/>
        <w:rPr>
          <w:rFonts w:ascii="Times New Roman" w:hAnsi="Times New Roman" w:eastAsia="Times New Roman"/>
          <w:lang w:eastAsia="ru-RU"/>
        </w:rPr>
      </w:pPr>
      <w:r>
        <w:rPr>
          <w:rFonts w:ascii="Times New Roman" w:hAnsi="Times New Roman" w:eastAsia="SchoolBookSanPin"/>
        </w:rPr>
        <w:t>11</w:t>
      </w:r>
      <w:r>
        <w:rPr>
          <w:rFonts w:ascii="Times New Roman" w:hAnsi="Times New Roman" w:eastAsia="OfficinaSansBoldITC"/>
        </w:rPr>
        <w:t>.7.3.4. </w:t>
      </w:r>
      <w:r>
        <w:rPr>
          <w:rFonts w:ascii="Times New Roman" w:hAnsi="Times New Roman" w:eastAsia="Times New Roman"/>
          <w:lang w:eastAsia="ru-RU"/>
        </w:rPr>
        <w:t>Правила поведения при пользовании компьютером. Безопасность в Интернете (коммуникация в мессенджерах и социальных группах) в условиях контролируемого доступа в</w:t>
      </w:r>
      <w:r>
        <w:rPr>
          <w:rFonts w:ascii="Times New Roman" w:hAnsi="Times New Roman"/>
        </w:rPr>
        <w:t xml:space="preserve"> </w:t>
      </w:r>
      <w:r>
        <w:rPr>
          <w:rFonts w:ascii="Times New Roman" w:hAnsi="Times New Roman" w:eastAsia="Times New Roman"/>
          <w:lang w:eastAsia="ru-RU"/>
        </w:rPr>
        <w:t>информационно-телекоммуникационную сеть «Интернет».</w:t>
      </w:r>
    </w:p>
    <w:p w14:paraId="2A5D3E20">
      <w:pPr>
        <w:spacing w:after="0" w:line="355" w:lineRule="auto"/>
        <w:ind w:firstLine="709"/>
        <w:jc w:val="both"/>
        <w:rPr>
          <w:rFonts w:ascii="Times New Roman" w:hAnsi="Times New Roman" w:eastAsia="SchoolBookSanPin"/>
          <w:bCs/>
        </w:rPr>
      </w:pPr>
      <w:r>
        <w:rPr>
          <w:rFonts w:ascii="Times New Roman" w:hAnsi="Times New Roman" w:eastAsia="SchoolBookSanPin"/>
        </w:rPr>
        <w:t xml:space="preserve">11.7.4. Изучение окружающего мира во 2 классе способствует </w:t>
      </w:r>
      <w:r>
        <w:rPr>
          <w:rFonts w:ascii="Times New Roman" w:hAnsi="Times New Roman" w:eastAsia="Times New Roman"/>
        </w:rPr>
        <w:t>освоению на пропедевтическом уровне ряда универсальных учебных действий</w:t>
      </w:r>
      <w:r>
        <w:rPr>
          <w:rFonts w:ascii="Times New Roman" w:hAnsi="Times New Roman" w:eastAsia="SchoolBookSanPin"/>
        </w:rPr>
        <w:t xml:space="preserve">: </w:t>
      </w:r>
      <w:r>
        <w:rPr>
          <w:rFonts w:ascii="Times New Roman" w:hAnsi="Times New Roman" w:eastAsia="SchoolBookSanPin"/>
          <w:bCs/>
        </w:rPr>
        <w:t xml:space="preserve">познавательных универсальных учебных действий, коммуникативных универсальных учебных действий, регулятивных универсальных учебных действий, совместной деятельности. </w:t>
      </w:r>
    </w:p>
    <w:p w14:paraId="79369A5B">
      <w:pPr>
        <w:spacing w:after="0" w:line="355" w:lineRule="auto"/>
        <w:ind w:firstLine="709"/>
        <w:jc w:val="both"/>
        <w:rPr>
          <w:rFonts w:ascii="Times New Roman" w:hAnsi="Times New Roman" w:eastAsia="SchoolBookSanPin"/>
        </w:rPr>
      </w:pPr>
      <w:r>
        <w:rPr>
          <w:rFonts w:ascii="Times New Roman" w:hAnsi="Times New Roman" w:eastAsia="SchoolBookSanPin"/>
        </w:rPr>
        <w:t>11</w:t>
      </w:r>
      <w:r>
        <w:rPr>
          <w:rFonts w:ascii="Times New Roman" w:hAnsi="Times New Roman" w:eastAsia="OfficinaSansBoldITC"/>
        </w:rPr>
        <w:t>.7.4.1. </w:t>
      </w:r>
      <w:r>
        <w:rPr>
          <w:rFonts w:ascii="Times New Roman" w:hAnsi="Times New Roman" w:eastAsia="SchoolBookSanPin"/>
        </w:rPr>
        <w:t xml:space="preserve">Базовые логические действия как часть </w:t>
      </w:r>
      <w:r>
        <w:rPr>
          <w:rFonts w:ascii="Times New Roman" w:hAnsi="Times New Roman" w:eastAsia="SchoolBookSanPin"/>
          <w:bCs/>
        </w:rPr>
        <w:t>познавательных универсальных учебных действий</w:t>
      </w:r>
      <w:r>
        <w:rPr>
          <w:rFonts w:ascii="Times New Roman" w:hAnsi="Times New Roman" w:eastAsia="SchoolBookSanPin"/>
        </w:rPr>
        <w:t xml:space="preserve"> способствуют формированию умений:</w:t>
      </w:r>
    </w:p>
    <w:p w14:paraId="449CCADE">
      <w:pPr>
        <w:pStyle w:val="67"/>
        <w:widowControl/>
        <w:spacing w:after="0" w:line="355" w:lineRule="auto"/>
        <w:ind w:left="0" w:firstLine="709"/>
        <w:jc w:val="both"/>
        <w:rPr>
          <w:rFonts w:ascii="Times New Roman" w:hAnsi="Times New Roman" w:eastAsia="Times New Roman"/>
          <w:lang w:eastAsia="ru-RU"/>
        </w:rPr>
      </w:pPr>
      <w:r>
        <w:rPr>
          <w:rFonts w:ascii="Times New Roman" w:hAnsi="Times New Roman" w:eastAsia="Times New Roman"/>
          <w:lang w:eastAsia="ru-RU"/>
        </w:rPr>
        <w:t>ориентироваться в методах познания природы (наблюдение, опыт, сравнение, измерение);</w:t>
      </w:r>
    </w:p>
    <w:p w14:paraId="704D909C">
      <w:pPr>
        <w:pStyle w:val="67"/>
        <w:widowControl/>
        <w:spacing w:after="0" w:line="355" w:lineRule="auto"/>
        <w:ind w:left="0" w:firstLine="709"/>
        <w:jc w:val="both"/>
        <w:rPr>
          <w:rFonts w:ascii="Times New Roman" w:hAnsi="Times New Roman" w:eastAsia="Times New Roman"/>
          <w:lang w:eastAsia="ru-RU"/>
        </w:rPr>
      </w:pPr>
      <w:r>
        <w:rPr>
          <w:rFonts w:ascii="Times New Roman" w:hAnsi="Times New Roman" w:eastAsia="Times New Roman"/>
          <w:lang w:eastAsia="ru-RU"/>
        </w:rPr>
        <w:t>определять на основе наблюдения состояние вещества (жидкое, твёрдое, газообразное);</w:t>
      </w:r>
    </w:p>
    <w:p w14:paraId="309F1F77">
      <w:pPr>
        <w:pStyle w:val="67"/>
        <w:widowControl/>
        <w:spacing w:after="0" w:line="355" w:lineRule="auto"/>
        <w:ind w:left="0" w:firstLine="709"/>
        <w:jc w:val="both"/>
        <w:rPr>
          <w:rFonts w:ascii="Times New Roman" w:hAnsi="Times New Roman" w:eastAsia="Times New Roman"/>
          <w:lang w:eastAsia="ru-RU"/>
        </w:rPr>
      </w:pPr>
      <w:r>
        <w:rPr>
          <w:rFonts w:ascii="Times New Roman" w:hAnsi="Times New Roman" w:eastAsia="Times New Roman"/>
          <w:lang w:eastAsia="ru-RU"/>
        </w:rPr>
        <w:t>различать символы Российской Федерации;</w:t>
      </w:r>
    </w:p>
    <w:p w14:paraId="58F667D5">
      <w:pPr>
        <w:pStyle w:val="67"/>
        <w:widowControl/>
        <w:spacing w:after="0" w:line="355" w:lineRule="auto"/>
        <w:ind w:left="0" w:firstLine="709"/>
        <w:jc w:val="both"/>
        <w:rPr>
          <w:rFonts w:ascii="Times New Roman" w:hAnsi="Times New Roman" w:eastAsia="Times New Roman"/>
          <w:lang w:eastAsia="ru-RU"/>
        </w:rPr>
      </w:pPr>
      <w:r>
        <w:rPr>
          <w:rFonts w:ascii="Times New Roman" w:hAnsi="Times New Roman" w:eastAsia="Times New Roman"/>
          <w:lang w:eastAsia="ru-RU"/>
        </w:rPr>
        <w:t>различать деревья, кустарники, травы; приводить примеры (в пределах изученного);</w:t>
      </w:r>
    </w:p>
    <w:p w14:paraId="095ABFBD">
      <w:pPr>
        <w:pStyle w:val="67"/>
        <w:widowControl/>
        <w:spacing w:after="0" w:line="355" w:lineRule="auto"/>
        <w:ind w:left="0" w:firstLine="709"/>
        <w:jc w:val="both"/>
        <w:rPr>
          <w:rFonts w:ascii="Times New Roman" w:hAnsi="Times New Roman" w:eastAsia="Times New Roman"/>
          <w:lang w:eastAsia="ru-RU"/>
        </w:rPr>
      </w:pPr>
      <w:r>
        <w:rPr>
          <w:rFonts w:ascii="Times New Roman" w:hAnsi="Times New Roman" w:eastAsia="Times New Roman"/>
          <w:lang w:eastAsia="ru-RU"/>
        </w:rPr>
        <w:t>группировать растения: дикорастущие и культурные; лекарственные и ядовитые (в пределах изученного);</w:t>
      </w:r>
    </w:p>
    <w:p w14:paraId="100209B0">
      <w:pPr>
        <w:pStyle w:val="67"/>
        <w:widowControl/>
        <w:spacing w:after="0" w:line="355" w:lineRule="auto"/>
        <w:ind w:left="0" w:firstLine="709"/>
        <w:jc w:val="both"/>
        <w:rPr>
          <w:rFonts w:ascii="Times New Roman" w:hAnsi="Times New Roman" w:eastAsia="Times New Roman"/>
          <w:lang w:eastAsia="ru-RU"/>
        </w:rPr>
      </w:pPr>
      <w:r>
        <w:rPr>
          <w:rFonts w:ascii="Times New Roman" w:hAnsi="Times New Roman" w:eastAsia="Times New Roman"/>
          <w:lang w:eastAsia="ru-RU"/>
        </w:rPr>
        <w:t>различать прошлое, настоящее, будущее.</w:t>
      </w:r>
    </w:p>
    <w:p w14:paraId="54C65B23">
      <w:pPr>
        <w:spacing w:after="0" w:line="355" w:lineRule="auto"/>
        <w:ind w:firstLine="709"/>
        <w:jc w:val="both"/>
        <w:rPr>
          <w:rFonts w:ascii="Times New Roman" w:hAnsi="Times New Roman" w:eastAsia="SchoolBookSanPin"/>
        </w:rPr>
      </w:pPr>
      <w:r>
        <w:rPr>
          <w:rFonts w:ascii="Times New Roman" w:hAnsi="Times New Roman" w:eastAsia="SchoolBookSanPin"/>
        </w:rPr>
        <w:t>11</w:t>
      </w:r>
      <w:r>
        <w:rPr>
          <w:rFonts w:ascii="Times New Roman" w:hAnsi="Times New Roman" w:eastAsia="OfficinaSansBoldITC"/>
        </w:rPr>
        <w:t>.7.4.2. </w:t>
      </w:r>
      <w:r>
        <w:rPr>
          <w:rFonts w:ascii="Times New Roman" w:hAnsi="Times New Roman" w:eastAsia="SchoolBookSanPin"/>
        </w:rPr>
        <w:t xml:space="preserve">Работа с информацией как часть </w:t>
      </w:r>
      <w:r>
        <w:rPr>
          <w:rFonts w:ascii="Times New Roman" w:hAnsi="Times New Roman" w:eastAsia="SchoolBookSanPin"/>
          <w:bCs/>
        </w:rPr>
        <w:t>познавательных универсальных учебных действий</w:t>
      </w:r>
      <w:r>
        <w:rPr>
          <w:rFonts w:ascii="Times New Roman" w:hAnsi="Times New Roman" w:eastAsia="SchoolBookSanPin"/>
        </w:rPr>
        <w:t xml:space="preserve"> способствует формированию умений:</w:t>
      </w:r>
    </w:p>
    <w:p w14:paraId="05863BFF">
      <w:pPr>
        <w:pStyle w:val="67"/>
        <w:widowControl/>
        <w:spacing w:after="0" w:line="355" w:lineRule="auto"/>
        <w:ind w:left="0" w:firstLine="709"/>
        <w:jc w:val="both"/>
        <w:rPr>
          <w:rFonts w:ascii="Times New Roman" w:hAnsi="Times New Roman" w:eastAsia="Times New Roman"/>
          <w:lang w:eastAsia="ru-RU"/>
        </w:rPr>
      </w:pPr>
      <w:r>
        <w:rPr>
          <w:rFonts w:ascii="Times New Roman" w:hAnsi="Times New Roman" w:eastAsia="Times New Roman"/>
          <w:lang w:eastAsia="ru-RU"/>
        </w:rPr>
        <w:t>различать информацию, представленную в тексте, графически, аудиовизуально;</w:t>
      </w:r>
    </w:p>
    <w:p w14:paraId="4F2BCC34">
      <w:pPr>
        <w:pStyle w:val="67"/>
        <w:widowControl/>
        <w:spacing w:after="0" w:line="355" w:lineRule="auto"/>
        <w:ind w:left="0" w:firstLine="709"/>
        <w:jc w:val="both"/>
        <w:rPr>
          <w:rFonts w:ascii="Times New Roman" w:hAnsi="Times New Roman" w:eastAsia="Times New Roman"/>
          <w:lang w:eastAsia="ru-RU"/>
        </w:rPr>
      </w:pPr>
      <w:r>
        <w:rPr>
          <w:rFonts w:ascii="Times New Roman" w:hAnsi="Times New Roman" w:eastAsia="Times New Roman"/>
          <w:lang w:eastAsia="ru-RU"/>
        </w:rPr>
        <w:t>читать информацию, представленную в схеме, таблице;</w:t>
      </w:r>
    </w:p>
    <w:p w14:paraId="4DE5AE61">
      <w:pPr>
        <w:pStyle w:val="67"/>
        <w:widowControl/>
        <w:spacing w:after="0" w:line="355" w:lineRule="auto"/>
        <w:ind w:left="0" w:firstLine="709"/>
        <w:jc w:val="both"/>
        <w:rPr>
          <w:rFonts w:ascii="Times New Roman" w:hAnsi="Times New Roman" w:eastAsia="Times New Roman"/>
          <w:lang w:eastAsia="ru-RU"/>
        </w:rPr>
      </w:pPr>
      <w:r>
        <w:rPr>
          <w:rFonts w:ascii="Times New Roman" w:hAnsi="Times New Roman" w:eastAsia="Times New Roman"/>
          <w:lang w:eastAsia="ru-RU"/>
        </w:rPr>
        <w:t>используя текстовую информацию, заполнять таблицы; дополнять схемы;</w:t>
      </w:r>
    </w:p>
    <w:p w14:paraId="11460B0A">
      <w:pPr>
        <w:pStyle w:val="67"/>
        <w:widowControl/>
        <w:spacing w:after="0" w:line="355" w:lineRule="auto"/>
        <w:ind w:left="0" w:firstLine="709"/>
        <w:jc w:val="both"/>
        <w:rPr>
          <w:rFonts w:ascii="Times New Roman" w:hAnsi="Times New Roman" w:eastAsia="Times New Roman"/>
          <w:lang w:eastAsia="ru-RU"/>
        </w:rPr>
      </w:pPr>
      <w:r>
        <w:rPr>
          <w:rFonts w:ascii="Times New Roman" w:hAnsi="Times New Roman" w:eastAsia="Times New Roman"/>
          <w:lang w:eastAsia="ru-RU"/>
        </w:rPr>
        <w:t>соотносить пример (рисунок, предложенную ситуацию) со временем протекания.</w:t>
      </w:r>
    </w:p>
    <w:p w14:paraId="453800F6">
      <w:pPr>
        <w:spacing w:after="0" w:line="355" w:lineRule="auto"/>
        <w:ind w:firstLine="709"/>
        <w:jc w:val="both"/>
        <w:rPr>
          <w:rFonts w:ascii="Times New Roman" w:hAnsi="Times New Roman" w:eastAsia="SchoolBookSanPin"/>
        </w:rPr>
      </w:pPr>
      <w:r>
        <w:rPr>
          <w:rFonts w:ascii="Times New Roman" w:hAnsi="Times New Roman" w:eastAsia="SchoolBookSanPin"/>
        </w:rPr>
        <w:t>11</w:t>
      </w:r>
      <w:r>
        <w:rPr>
          <w:rFonts w:ascii="Times New Roman" w:hAnsi="Times New Roman" w:eastAsia="OfficinaSansBoldITC"/>
        </w:rPr>
        <w:t>.7.4.3. </w:t>
      </w:r>
      <w:r>
        <w:rPr>
          <w:rFonts w:ascii="Times New Roman" w:hAnsi="Times New Roman" w:eastAsia="Times New Roman"/>
        </w:rPr>
        <w:t>Коммуникативные универсальные учебные действия</w:t>
      </w:r>
      <w:r>
        <w:rPr>
          <w:rFonts w:ascii="Times New Roman" w:hAnsi="Times New Roman" w:eastAsia="SchoolBookSanPin"/>
        </w:rPr>
        <w:t xml:space="preserve"> способствуют формированию умений:</w:t>
      </w:r>
    </w:p>
    <w:p w14:paraId="7DC268DA">
      <w:pPr>
        <w:pStyle w:val="67"/>
        <w:widowControl/>
        <w:spacing w:after="0" w:line="355" w:lineRule="auto"/>
        <w:ind w:left="0" w:firstLine="709"/>
        <w:jc w:val="both"/>
        <w:rPr>
          <w:rFonts w:ascii="Times New Roman" w:hAnsi="Times New Roman" w:eastAsia="Times New Roman"/>
          <w:lang w:eastAsia="ru-RU"/>
        </w:rPr>
      </w:pPr>
      <w:r>
        <w:rPr>
          <w:rFonts w:ascii="Times New Roman" w:hAnsi="Times New Roman" w:eastAsia="Times New Roman"/>
          <w:lang w:eastAsia="ru-RU"/>
        </w:rPr>
        <w:t xml:space="preserve">ориентироваться в терминах (понятиях), соотносить их с краткой характеристикой: </w:t>
      </w:r>
    </w:p>
    <w:p w14:paraId="52CDC27E">
      <w:pPr>
        <w:pStyle w:val="67"/>
        <w:widowControl/>
        <w:spacing w:after="0" w:line="355" w:lineRule="auto"/>
        <w:ind w:left="0" w:firstLine="709"/>
        <w:jc w:val="both"/>
        <w:rPr>
          <w:rFonts w:ascii="Times New Roman" w:hAnsi="Times New Roman" w:eastAsia="Times New Roman"/>
          <w:lang w:eastAsia="ru-RU"/>
        </w:rPr>
      </w:pPr>
      <w:r>
        <w:rPr>
          <w:rFonts w:ascii="Times New Roman" w:hAnsi="Times New Roman" w:eastAsia="Times New Roman"/>
          <w:lang w:eastAsia="ru-RU"/>
        </w:rPr>
        <w:t>понятия и термины, связанные с социальным миром (индивидуальность человека, органы чувств, жизнедеятельность; поколение, старшее поколение, культура поведения; Родина, столица, родной край, регион);</w:t>
      </w:r>
    </w:p>
    <w:p w14:paraId="09FBFE65">
      <w:pPr>
        <w:pStyle w:val="67"/>
        <w:widowControl/>
        <w:spacing w:after="0" w:line="355" w:lineRule="auto"/>
        <w:ind w:left="0" w:firstLine="709"/>
        <w:jc w:val="both"/>
        <w:rPr>
          <w:rFonts w:ascii="Times New Roman" w:hAnsi="Times New Roman" w:eastAsia="Times New Roman"/>
          <w:lang w:eastAsia="ru-RU"/>
        </w:rPr>
      </w:pPr>
      <w:r>
        <w:rPr>
          <w:rFonts w:ascii="Times New Roman" w:hAnsi="Times New Roman" w:eastAsia="Times New Roman"/>
          <w:lang w:eastAsia="ru-RU"/>
        </w:rPr>
        <w:t>понятия и термины, связанные с миром природы (среда обитания, тело, явление, вещество; заповедник);</w:t>
      </w:r>
    </w:p>
    <w:p w14:paraId="48BC6FE0">
      <w:pPr>
        <w:pStyle w:val="67"/>
        <w:widowControl/>
        <w:spacing w:after="0" w:line="355" w:lineRule="auto"/>
        <w:ind w:left="0" w:firstLine="709"/>
        <w:jc w:val="both"/>
        <w:rPr>
          <w:rFonts w:ascii="Times New Roman" w:hAnsi="Times New Roman" w:eastAsia="Times New Roman"/>
          <w:lang w:eastAsia="ru-RU"/>
        </w:rPr>
      </w:pPr>
      <w:r>
        <w:rPr>
          <w:rFonts w:ascii="Times New Roman" w:hAnsi="Times New Roman" w:eastAsia="Times New Roman"/>
          <w:lang w:eastAsia="ru-RU"/>
        </w:rPr>
        <w:t>понятия и термины, связанные с организацией своей жизни и охраны здоровья (режим, правильное питание, закаливание, безопасность, опасная ситуация);</w:t>
      </w:r>
    </w:p>
    <w:p w14:paraId="1171F039">
      <w:pPr>
        <w:pStyle w:val="67"/>
        <w:widowControl/>
        <w:spacing w:after="0" w:line="355" w:lineRule="auto"/>
        <w:ind w:left="0" w:firstLine="709"/>
        <w:jc w:val="both"/>
        <w:rPr>
          <w:rFonts w:ascii="Times New Roman" w:hAnsi="Times New Roman" w:eastAsia="Times New Roman"/>
          <w:lang w:eastAsia="ru-RU"/>
        </w:rPr>
      </w:pPr>
      <w:r>
        <w:rPr>
          <w:rFonts w:ascii="Times New Roman" w:hAnsi="Times New Roman" w:eastAsia="Times New Roman"/>
          <w:lang w:eastAsia="ru-RU"/>
        </w:rPr>
        <w:t>описывать условия жизни на Земле, отличие нашей планеты от других планет Солнечной системы;</w:t>
      </w:r>
    </w:p>
    <w:p w14:paraId="61C18B65">
      <w:pPr>
        <w:pStyle w:val="67"/>
        <w:widowControl/>
        <w:spacing w:after="0" w:line="355" w:lineRule="auto"/>
        <w:ind w:left="0" w:firstLine="709"/>
        <w:jc w:val="both"/>
        <w:rPr>
          <w:rFonts w:ascii="Times New Roman" w:hAnsi="Times New Roman" w:eastAsia="Times New Roman"/>
          <w:lang w:eastAsia="ru-RU"/>
        </w:rPr>
      </w:pPr>
      <w:r>
        <w:rPr>
          <w:rFonts w:ascii="Times New Roman" w:hAnsi="Times New Roman" w:eastAsia="Times New Roman"/>
          <w:lang w:eastAsia="ru-RU"/>
        </w:rPr>
        <w:t>создавать небольшие описания на предложенную тему (например, «Моя семья», «Какие бывают профессии?», «Что «умеют» органы чувств?», «Лес – природное сообщество» и другие);</w:t>
      </w:r>
    </w:p>
    <w:p w14:paraId="56AFA91A">
      <w:pPr>
        <w:pStyle w:val="67"/>
        <w:widowControl/>
        <w:spacing w:after="0" w:line="355" w:lineRule="auto"/>
        <w:ind w:left="0" w:firstLine="709"/>
        <w:jc w:val="both"/>
        <w:rPr>
          <w:rFonts w:ascii="Times New Roman" w:hAnsi="Times New Roman" w:eastAsia="Times New Roman"/>
          <w:lang w:eastAsia="ru-RU"/>
        </w:rPr>
      </w:pPr>
      <w:r>
        <w:rPr>
          <w:rFonts w:ascii="Times New Roman" w:hAnsi="Times New Roman" w:eastAsia="Times New Roman"/>
          <w:lang w:eastAsia="ru-RU"/>
        </w:rPr>
        <w:t>создавать высказывания-рассуждения (например, признаки животного и растения как живого существа; связь изменений в живой природе с явлениями неживой природы);</w:t>
      </w:r>
    </w:p>
    <w:p w14:paraId="7C3A4ECB">
      <w:pPr>
        <w:pStyle w:val="67"/>
        <w:widowControl/>
        <w:spacing w:after="0" w:line="355" w:lineRule="auto"/>
        <w:ind w:left="0" w:firstLine="709"/>
        <w:jc w:val="both"/>
        <w:rPr>
          <w:rFonts w:ascii="Times New Roman" w:hAnsi="Times New Roman" w:eastAsia="Times New Roman"/>
          <w:lang w:eastAsia="ru-RU"/>
        </w:rPr>
      </w:pPr>
      <w:r>
        <w:rPr>
          <w:rFonts w:ascii="Times New Roman" w:hAnsi="Times New Roman" w:eastAsia="Times New Roman"/>
          <w:lang w:eastAsia="ru-RU"/>
        </w:rPr>
        <w:t>приводить примеры растений и животных, занесённых в Красную книгу России (на примере своей местности);</w:t>
      </w:r>
    </w:p>
    <w:p w14:paraId="053C7D9B">
      <w:pPr>
        <w:pStyle w:val="67"/>
        <w:widowControl/>
        <w:spacing w:after="0" w:line="355" w:lineRule="auto"/>
        <w:ind w:left="0" w:firstLine="709"/>
        <w:jc w:val="both"/>
        <w:rPr>
          <w:rFonts w:ascii="Times New Roman" w:hAnsi="Times New Roman" w:eastAsia="Times New Roman"/>
          <w:lang w:eastAsia="ru-RU"/>
        </w:rPr>
      </w:pPr>
      <w:r>
        <w:rPr>
          <w:rFonts w:ascii="Times New Roman" w:hAnsi="Times New Roman" w:eastAsia="Times New Roman"/>
          <w:lang w:eastAsia="ru-RU"/>
        </w:rPr>
        <w:t>описывать современные события от имени их участника.</w:t>
      </w:r>
    </w:p>
    <w:p w14:paraId="3DCA916B">
      <w:pPr>
        <w:spacing w:after="0" w:line="355" w:lineRule="auto"/>
        <w:ind w:firstLine="709"/>
        <w:jc w:val="both"/>
        <w:rPr>
          <w:rFonts w:ascii="Times New Roman" w:hAnsi="Times New Roman" w:eastAsia="SchoolBookSanPin"/>
        </w:rPr>
      </w:pPr>
      <w:r>
        <w:rPr>
          <w:rFonts w:ascii="Times New Roman" w:hAnsi="Times New Roman" w:eastAsia="SchoolBookSanPin"/>
        </w:rPr>
        <w:t>11</w:t>
      </w:r>
      <w:r>
        <w:rPr>
          <w:rFonts w:ascii="Times New Roman" w:hAnsi="Times New Roman" w:eastAsia="OfficinaSansBoldITC"/>
        </w:rPr>
        <w:t>.7.4.4. </w:t>
      </w:r>
      <w:r>
        <w:rPr>
          <w:rFonts w:ascii="Times New Roman" w:hAnsi="Times New Roman" w:eastAsia="Times New Roman"/>
        </w:rPr>
        <w:t>Регулятивные универсальные учебные действия</w:t>
      </w:r>
      <w:r>
        <w:rPr>
          <w:rFonts w:ascii="Times New Roman" w:hAnsi="Times New Roman" w:eastAsia="SchoolBookSanPin"/>
        </w:rPr>
        <w:t xml:space="preserve"> способствуют формированию умений:</w:t>
      </w:r>
    </w:p>
    <w:p w14:paraId="0C9A2759">
      <w:pPr>
        <w:pStyle w:val="67"/>
        <w:widowControl/>
        <w:spacing w:after="0" w:line="355" w:lineRule="auto"/>
        <w:ind w:left="0" w:firstLine="709"/>
        <w:jc w:val="both"/>
        <w:rPr>
          <w:rFonts w:ascii="Times New Roman" w:hAnsi="Times New Roman" w:eastAsia="Times New Roman"/>
          <w:lang w:eastAsia="ru-RU"/>
        </w:rPr>
      </w:pPr>
      <w:r>
        <w:rPr>
          <w:rFonts w:ascii="Times New Roman" w:hAnsi="Times New Roman" w:eastAsia="Times New Roman"/>
          <w:lang w:eastAsia="ru-RU"/>
        </w:rPr>
        <w:t>следовать образцу, предложенному плану и инструкции при решении учебной задачи;</w:t>
      </w:r>
    </w:p>
    <w:p w14:paraId="13F48792">
      <w:pPr>
        <w:pStyle w:val="67"/>
        <w:widowControl/>
        <w:spacing w:after="0" w:line="355" w:lineRule="auto"/>
        <w:ind w:left="0" w:firstLine="709"/>
        <w:jc w:val="both"/>
        <w:rPr>
          <w:rFonts w:ascii="Times New Roman" w:hAnsi="Times New Roman" w:eastAsia="Times New Roman"/>
          <w:lang w:eastAsia="ru-RU"/>
        </w:rPr>
      </w:pPr>
      <w:r>
        <w:rPr>
          <w:rFonts w:ascii="Times New Roman" w:hAnsi="Times New Roman" w:eastAsia="Times New Roman"/>
          <w:lang w:eastAsia="ru-RU"/>
        </w:rPr>
        <w:t>контролировать с небольшой помощью учителя последовательность действий по решению учебной задачи;</w:t>
      </w:r>
    </w:p>
    <w:p w14:paraId="6B73E502">
      <w:pPr>
        <w:pStyle w:val="67"/>
        <w:widowControl/>
        <w:spacing w:after="0" w:line="355" w:lineRule="auto"/>
        <w:ind w:left="0" w:firstLine="709"/>
        <w:jc w:val="both"/>
        <w:rPr>
          <w:rFonts w:ascii="Times New Roman" w:hAnsi="Times New Roman" w:eastAsia="Times New Roman"/>
          <w:lang w:eastAsia="ru-RU"/>
        </w:rPr>
      </w:pPr>
      <w:r>
        <w:rPr>
          <w:rFonts w:ascii="Times New Roman" w:hAnsi="Times New Roman" w:eastAsia="Times New Roman"/>
          <w:lang w:eastAsia="ru-RU"/>
        </w:rPr>
        <w:t>оценивать результаты своей работы, анализировать оценку учителя и других обучающихся, спокойно, без обид принимать советы и замечания.</w:t>
      </w:r>
    </w:p>
    <w:p w14:paraId="4C4AE811">
      <w:pPr>
        <w:spacing w:after="0" w:line="355" w:lineRule="auto"/>
        <w:ind w:firstLine="709"/>
        <w:jc w:val="both"/>
        <w:rPr>
          <w:rFonts w:ascii="Times New Roman" w:hAnsi="Times New Roman" w:eastAsia="Times New Roman"/>
          <w:lang w:eastAsia="ru-RU"/>
        </w:rPr>
      </w:pPr>
      <w:r>
        <w:rPr>
          <w:rFonts w:ascii="Times New Roman" w:hAnsi="Times New Roman" w:eastAsia="SchoolBookSanPin"/>
        </w:rPr>
        <w:t>11</w:t>
      </w:r>
      <w:r>
        <w:rPr>
          <w:rFonts w:ascii="Times New Roman" w:hAnsi="Times New Roman" w:eastAsia="OfficinaSansBoldITC"/>
        </w:rPr>
        <w:t>.7.4.5. </w:t>
      </w:r>
      <w:r>
        <w:rPr>
          <w:rFonts w:ascii="Times New Roman" w:hAnsi="Times New Roman" w:eastAsia="Times New Roman"/>
        </w:rPr>
        <w:t xml:space="preserve">Совместная деятельность </w:t>
      </w:r>
      <w:r>
        <w:rPr>
          <w:rFonts w:ascii="Times New Roman" w:hAnsi="Times New Roman" w:eastAsia="SchoolBookSanPin"/>
        </w:rPr>
        <w:t xml:space="preserve">способствует формированию умений: </w:t>
      </w:r>
    </w:p>
    <w:p w14:paraId="51138391">
      <w:pPr>
        <w:pStyle w:val="67"/>
        <w:widowControl/>
        <w:spacing w:after="0" w:line="355" w:lineRule="auto"/>
        <w:ind w:left="0" w:firstLine="709"/>
        <w:jc w:val="both"/>
        <w:rPr>
          <w:rFonts w:ascii="Times New Roman" w:hAnsi="Times New Roman" w:eastAsia="Times New Roman"/>
          <w:lang w:eastAsia="ru-RU"/>
        </w:rPr>
      </w:pPr>
      <w:r>
        <w:rPr>
          <w:rFonts w:ascii="Times New Roman" w:hAnsi="Times New Roman" w:eastAsia="Times New Roman"/>
          <w:lang w:eastAsia="ru-RU"/>
        </w:rPr>
        <w:t>строить свою учебную и игровую деятельность, житейские ситуации в соответствии с правилами поведения, принятыми в обществе;</w:t>
      </w:r>
    </w:p>
    <w:p w14:paraId="54F502F7">
      <w:pPr>
        <w:pStyle w:val="67"/>
        <w:widowControl/>
        <w:spacing w:after="0" w:line="355" w:lineRule="auto"/>
        <w:ind w:left="0" w:firstLine="709"/>
        <w:jc w:val="both"/>
        <w:rPr>
          <w:rFonts w:ascii="Times New Roman" w:hAnsi="Times New Roman" w:eastAsia="Times New Roman"/>
          <w:lang w:eastAsia="ru-RU"/>
        </w:rPr>
      </w:pPr>
      <w:r>
        <w:rPr>
          <w:rFonts w:ascii="Times New Roman" w:hAnsi="Times New Roman" w:eastAsia="Times New Roman"/>
          <w:lang w:eastAsia="ru-RU"/>
        </w:rPr>
        <w:t>оценивать жизненные ситуации с точки зрения правил поведения, культуры общения, проявления терпения и уважения к собеседнику;</w:t>
      </w:r>
    </w:p>
    <w:p w14:paraId="31221AD8">
      <w:pPr>
        <w:pStyle w:val="67"/>
        <w:widowControl/>
        <w:spacing w:after="0" w:line="355" w:lineRule="auto"/>
        <w:ind w:left="0" w:firstLine="709"/>
        <w:jc w:val="both"/>
        <w:rPr>
          <w:rFonts w:ascii="Times New Roman" w:hAnsi="Times New Roman" w:eastAsia="Times New Roman"/>
          <w:lang w:eastAsia="ru-RU"/>
        </w:rPr>
      </w:pPr>
      <w:r>
        <w:rPr>
          <w:rFonts w:ascii="Times New Roman" w:hAnsi="Times New Roman" w:eastAsia="Times New Roman"/>
          <w:lang w:eastAsia="ru-RU"/>
        </w:rPr>
        <w:t>проводить в парах (группах) простые опыты по определению свойств разных веществ (вода, молоко, сахар, соль, железо), совместно намечать план работы, оценивать свой вклад в общее дело;</w:t>
      </w:r>
    </w:p>
    <w:p w14:paraId="10D8B27B">
      <w:pPr>
        <w:pStyle w:val="67"/>
        <w:widowControl/>
        <w:spacing w:after="0" w:line="355" w:lineRule="auto"/>
        <w:ind w:left="0" w:firstLine="709"/>
        <w:jc w:val="both"/>
        <w:rPr>
          <w:rFonts w:ascii="Times New Roman" w:hAnsi="Times New Roman" w:eastAsia="Times New Roman"/>
          <w:lang w:eastAsia="ru-RU"/>
        </w:rPr>
      </w:pPr>
      <w:r>
        <w:rPr>
          <w:rFonts w:ascii="Times New Roman" w:hAnsi="Times New Roman" w:eastAsia="Times New Roman"/>
          <w:lang w:eastAsia="ru-RU"/>
        </w:rPr>
        <w:t>определять причины возможных конфликтов, выбирать (из предложенных) способы их разрешения.</w:t>
      </w:r>
    </w:p>
    <w:p w14:paraId="777E34E7">
      <w:pPr>
        <w:spacing w:after="0" w:line="355" w:lineRule="auto"/>
        <w:ind w:firstLine="709"/>
        <w:rPr>
          <w:rFonts w:ascii="Times New Roman" w:hAnsi="Times New Roman" w:eastAsia="OfficinaSansBoldITC"/>
        </w:rPr>
      </w:pPr>
      <w:r>
        <w:rPr>
          <w:rFonts w:ascii="Times New Roman" w:hAnsi="Times New Roman" w:eastAsia="SchoolBookSanPin"/>
        </w:rPr>
        <w:t>11</w:t>
      </w:r>
      <w:r>
        <w:rPr>
          <w:rFonts w:ascii="Times New Roman" w:hAnsi="Times New Roman" w:eastAsia="OfficinaSansBoldITC"/>
        </w:rPr>
        <w:t>.8. Содержание обучения в 3 классе.</w:t>
      </w:r>
    </w:p>
    <w:p w14:paraId="0273671B">
      <w:pPr>
        <w:spacing w:after="0" w:line="355" w:lineRule="auto"/>
        <w:ind w:firstLine="708"/>
        <w:rPr>
          <w:rFonts w:ascii="Times New Roman" w:hAnsi="Times New Roman" w:eastAsia="Times New Roman"/>
          <w:lang w:eastAsia="ru-RU"/>
        </w:rPr>
      </w:pPr>
      <w:r>
        <w:rPr>
          <w:rFonts w:ascii="Times New Roman" w:hAnsi="Times New Roman" w:eastAsia="SchoolBookSanPin"/>
        </w:rPr>
        <w:t>11</w:t>
      </w:r>
      <w:r>
        <w:rPr>
          <w:rFonts w:ascii="Times New Roman" w:hAnsi="Times New Roman" w:eastAsia="OfficinaSansBoldITC"/>
        </w:rPr>
        <w:t>.8.1. </w:t>
      </w:r>
      <w:r>
        <w:rPr>
          <w:rFonts w:ascii="Times New Roman" w:hAnsi="Times New Roman" w:eastAsia="Times New Roman"/>
          <w:iCs/>
          <w:lang w:eastAsia="ru-RU"/>
        </w:rPr>
        <w:t>Человек и общество.</w:t>
      </w:r>
    </w:p>
    <w:p w14:paraId="6F3AEE32">
      <w:pPr>
        <w:spacing w:after="0" w:line="355" w:lineRule="auto"/>
        <w:ind w:firstLine="709"/>
        <w:jc w:val="both"/>
        <w:rPr>
          <w:rFonts w:ascii="Times New Roman" w:hAnsi="Times New Roman" w:eastAsia="Times New Roman"/>
          <w:lang w:eastAsia="ru-RU"/>
        </w:rPr>
      </w:pPr>
      <w:r>
        <w:rPr>
          <w:rFonts w:ascii="Times New Roman" w:hAnsi="Times New Roman" w:eastAsia="SchoolBookSanPin"/>
        </w:rPr>
        <w:t>11</w:t>
      </w:r>
      <w:r>
        <w:rPr>
          <w:rFonts w:ascii="Times New Roman" w:hAnsi="Times New Roman" w:eastAsia="OfficinaSansBoldITC"/>
        </w:rPr>
        <w:t>.8.1.1. </w:t>
      </w:r>
      <w:r>
        <w:rPr>
          <w:rFonts w:ascii="Times New Roman" w:hAnsi="Times New Roman" w:eastAsia="Times New Roman"/>
          <w:lang w:eastAsia="ru-RU"/>
        </w:rPr>
        <w:t>Общество как совокупность людей, которые объединены общей культурой и связаны друг с другом совместной деятельностью во имя общей цели. Наша Родина ‒ Российская Федерация. Уникальные памятники культуры России, родного края. Государственная символика Российской Федерации и своего региона. Города Золотого кольца России. Народы России. Уважение к культуре, традициям своего народа и других народов, государственным символам России.</w:t>
      </w:r>
    </w:p>
    <w:p w14:paraId="3EA9FA12">
      <w:pPr>
        <w:spacing w:after="0" w:line="355" w:lineRule="auto"/>
        <w:ind w:firstLine="709"/>
        <w:jc w:val="both"/>
        <w:rPr>
          <w:rFonts w:ascii="Times New Roman" w:hAnsi="Times New Roman" w:eastAsia="Times New Roman"/>
          <w:lang w:eastAsia="ru-RU"/>
        </w:rPr>
      </w:pPr>
      <w:r>
        <w:rPr>
          <w:rFonts w:ascii="Times New Roman" w:hAnsi="Times New Roman" w:eastAsia="SchoolBookSanPin"/>
        </w:rPr>
        <w:t>11</w:t>
      </w:r>
      <w:r>
        <w:rPr>
          <w:rFonts w:ascii="Times New Roman" w:hAnsi="Times New Roman" w:eastAsia="OfficinaSansBoldITC"/>
        </w:rPr>
        <w:t>.8.1.2. </w:t>
      </w:r>
      <w:r>
        <w:rPr>
          <w:rFonts w:ascii="Times New Roman" w:hAnsi="Times New Roman" w:eastAsia="Times New Roman"/>
          <w:lang w:eastAsia="ru-RU"/>
        </w:rPr>
        <w:t>Семья – коллектив близких, родных людей. Семейный бюджет, доходы и расходы семьи. Уважение к семейным ценностям.</w:t>
      </w:r>
    </w:p>
    <w:p w14:paraId="6E986BD0">
      <w:pPr>
        <w:spacing w:after="0" w:line="355" w:lineRule="auto"/>
        <w:ind w:firstLine="709"/>
        <w:jc w:val="both"/>
        <w:rPr>
          <w:rFonts w:ascii="Times New Roman" w:hAnsi="Times New Roman" w:eastAsia="Times New Roman"/>
          <w:lang w:eastAsia="ru-RU"/>
        </w:rPr>
      </w:pPr>
      <w:r>
        <w:rPr>
          <w:rFonts w:ascii="Times New Roman" w:hAnsi="Times New Roman" w:eastAsia="SchoolBookSanPin"/>
        </w:rPr>
        <w:t>11</w:t>
      </w:r>
      <w:r>
        <w:rPr>
          <w:rFonts w:ascii="Times New Roman" w:hAnsi="Times New Roman" w:eastAsia="OfficinaSansBoldITC"/>
        </w:rPr>
        <w:t>.8.1.3. </w:t>
      </w:r>
      <w:r>
        <w:rPr>
          <w:rFonts w:ascii="Times New Roman" w:hAnsi="Times New Roman" w:eastAsia="Times New Roman"/>
          <w:lang w:eastAsia="ru-RU"/>
        </w:rPr>
        <w:t>Правила нравственного поведения в социуме. Внимание, уважительное отношение к людям с ограниченными возможностями здоровья, забота о них.</w:t>
      </w:r>
    </w:p>
    <w:p w14:paraId="5F5D7F5F">
      <w:pPr>
        <w:spacing w:after="0" w:line="355" w:lineRule="auto"/>
        <w:ind w:firstLine="709"/>
        <w:jc w:val="both"/>
        <w:rPr>
          <w:rFonts w:ascii="Times New Roman" w:hAnsi="Times New Roman" w:eastAsia="Times New Roman"/>
          <w:lang w:eastAsia="ru-RU"/>
        </w:rPr>
      </w:pPr>
      <w:r>
        <w:rPr>
          <w:rFonts w:ascii="Times New Roman" w:hAnsi="Times New Roman" w:eastAsia="SchoolBookSanPin"/>
        </w:rPr>
        <w:t>11</w:t>
      </w:r>
      <w:r>
        <w:rPr>
          <w:rFonts w:ascii="Times New Roman" w:hAnsi="Times New Roman" w:eastAsia="OfficinaSansBoldITC"/>
        </w:rPr>
        <w:t>.8.1.4. </w:t>
      </w:r>
      <w:r>
        <w:rPr>
          <w:rFonts w:ascii="Times New Roman" w:hAnsi="Times New Roman" w:eastAsia="Times New Roman"/>
          <w:lang w:eastAsia="ru-RU"/>
        </w:rPr>
        <w:t>Значение труда в жизни человека и общества. Трудолюбие как общественно значимая ценность в культуре народов России. Особенности труда людей родного края, их профессии.</w:t>
      </w:r>
    </w:p>
    <w:p w14:paraId="643B23AC">
      <w:pPr>
        <w:spacing w:after="0" w:line="355" w:lineRule="auto"/>
        <w:ind w:firstLine="709"/>
        <w:jc w:val="both"/>
        <w:rPr>
          <w:rFonts w:ascii="Times New Roman" w:hAnsi="Times New Roman" w:eastAsia="Times New Roman"/>
          <w:lang w:eastAsia="ru-RU"/>
        </w:rPr>
      </w:pPr>
      <w:r>
        <w:rPr>
          <w:rFonts w:ascii="Times New Roman" w:hAnsi="Times New Roman" w:eastAsia="SchoolBookSanPin"/>
        </w:rPr>
        <w:t>11</w:t>
      </w:r>
      <w:r>
        <w:rPr>
          <w:rFonts w:ascii="Times New Roman" w:hAnsi="Times New Roman" w:eastAsia="OfficinaSansBoldITC"/>
        </w:rPr>
        <w:t>.8.1.5. </w:t>
      </w:r>
      <w:r>
        <w:rPr>
          <w:rFonts w:ascii="Times New Roman" w:hAnsi="Times New Roman" w:eastAsia="Times New Roman"/>
          <w:lang w:eastAsia="ru-RU"/>
        </w:rPr>
        <w:t>Страны и народы мира. Памятники природы и культуры – символы стран, в которых они находятся.</w:t>
      </w:r>
    </w:p>
    <w:p w14:paraId="1A432886">
      <w:pPr>
        <w:spacing w:after="0" w:line="355" w:lineRule="auto"/>
        <w:ind w:firstLine="708"/>
        <w:rPr>
          <w:rFonts w:ascii="Times New Roman" w:hAnsi="Times New Roman" w:eastAsia="Times New Roman"/>
          <w:lang w:eastAsia="ru-RU"/>
        </w:rPr>
      </w:pPr>
      <w:r>
        <w:rPr>
          <w:rFonts w:ascii="Times New Roman" w:hAnsi="Times New Roman" w:eastAsia="SchoolBookSanPin"/>
        </w:rPr>
        <w:t>11</w:t>
      </w:r>
      <w:r>
        <w:rPr>
          <w:rFonts w:ascii="Times New Roman" w:hAnsi="Times New Roman" w:eastAsia="OfficinaSansBoldITC"/>
        </w:rPr>
        <w:t>.8.2. </w:t>
      </w:r>
      <w:r>
        <w:rPr>
          <w:rFonts w:ascii="Times New Roman" w:hAnsi="Times New Roman" w:eastAsia="Times New Roman"/>
          <w:iCs/>
          <w:lang w:eastAsia="ru-RU"/>
        </w:rPr>
        <w:t>Человек и природа.</w:t>
      </w:r>
    </w:p>
    <w:p w14:paraId="0AE0E0CC">
      <w:pPr>
        <w:spacing w:after="0" w:line="355" w:lineRule="auto"/>
        <w:ind w:firstLine="709"/>
        <w:jc w:val="both"/>
        <w:rPr>
          <w:rFonts w:ascii="Times New Roman" w:hAnsi="Times New Roman" w:eastAsia="Times New Roman"/>
          <w:lang w:eastAsia="ru-RU"/>
        </w:rPr>
      </w:pPr>
      <w:r>
        <w:rPr>
          <w:rFonts w:ascii="Times New Roman" w:hAnsi="Times New Roman" w:eastAsia="SchoolBookSanPin"/>
        </w:rPr>
        <w:t>11</w:t>
      </w:r>
      <w:r>
        <w:rPr>
          <w:rFonts w:ascii="Times New Roman" w:hAnsi="Times New Roman" w:eastAsia="OfficinaSansBoldITC"/>
        </w:rPr>
        <w:t>.8.2.1. </w:t>
      </w:r>
      <w:r>
        <w:rPr>
          <w:rFonts w:ascii="Times New Roman" w:hAnsi="Times New Roman" w:eastAsia="Times New Roman"/>
          <w:lang w:eastAsia="ru-RU"/>
        </w:rPr>
        <w:t xml:space="preserve">Методы изучения природы. Карта мира. Материки и части света. </w:t>
      </w:r>
    </w:p>
    <w:p w14:paraId="208D7DA4">
      <w:pPr>
        <w:spacing w:after="0" w:line="355" w:lineRule="auto"/>
        <w:ind w:firstLine="709"/>
        <w:jc w:val="both"/>
        <w:rPr>
          <w:rFonts w:ascii="Times New Roman" w:hAnsi="Times New Roman" w:eastAsia="Times New Roman"/>
          <w:lang w:eastAsia="ru-RU"/>
        </w:rPr>
      </w:pPr>
      <w:r>
        <w:rPr>
          <w:rFonts w:ascii="Times New Roman" w:hAnsi="Times New Roman" w:eastAsia="SchoolBookSanPin"/>
        </w:rPr>
        <w:t>11</w:t>
      </w:r>
      <w:r>
        <w:rPr>
          <w:rFonts w:ascii="Times New Roman" w:hAnsi="Times New Roman" w:eastAsia="OfficinaSansBoldITC"/>
        </w:rPr>
        <w:t>.8.2.2. </w:t>
      </w:r>
      <w:r>
        <w:rPr>
          <w:rFonts w:ascii="Times New Roman" w:hAnsi="Times New Roman" w:eastAsia="Times New Roman"/>
          <w:lang w:eastAsia="ru-RU"/>
        </w:rPr>
        <w:t xml:space="preserve">Вещество. Разнообразие веществ в окружающем мире. Примеры веществ: соль, сахар, вода, природный газ. Твёрдые тела, жидкости, газы. Простейшие практические работы с веществами, жидкостями, газами. Воздух – смесь газов. Свойства воздуха. Значение воздуха для растений, животных, человека. Вода. Свойства воды. Состояния воды, её распространение в природе, значение для живых организмов и хозяйственной жизни человека. Круговорот воды в природе. Охрана воздуха, воды. </w:t>
      </w:r>
    </w:p>
    <w:p w14:paraId="435D7914">
      <w:pPr>
        <w:spacing w:after="0" w:line="355" w:lineRule="auto"/>
        <w:ind w:firstLine="709"/>
        <w:jc w:val="both"/>
        <w:rPr>
          <w:rFonts w:ascii="Times New Roman" w:hAnsi="Times New Roman" w:eastAsia="Times New Roman"/>
          <w:lang w:eastAsia="ru-RU"/>
        </w:rPr>
      </w:pPr>
      <w:r>
        <w:rPr>
          <w:rFonts w:ascii="Times New Roman" w:hAnsi="Times New Roman" w:eastAsia="SchoolBookSanPin"/>
        </w:rPr>
        <w:t>11</w:t>
      </w:r>
      <w:r>
        <w:rPr>
          <w:rFonts w:ascii="Times New Roman" w:hAnsi="Times New Roman" w:eastAsia="Times New Roman"/>
          <w:lang w:eastAsia="ru-RU"/>
        </w:rPr>
        <w:t>.8.2.3. Горные породы и минералы. Полезные ископаемые, их значение в хозяйстве человека, бережное отношение людей к полезным ископаемым. Полезные ископаемые родного края (2–3 примера). Почва, её состав, значение для живой природы и хозяйственной жизни человека.</w:t>
      </w:r>
    </w:p>
    <w:p w14:paraId="3C20EE07">
      <w:pPr>
        <w:spacing w:after="0" w:line="355" w:lineRule="auto"/>
        <w:ind w:firstLine="709"/>
        <w:jc w:val="both"/>
        <w:rPr>
          <w:rFonts w:ascii="Times New Roman" w:hAnsi="Times New Roman" w:eastAsia="Times New Roman"/>
          <w:lang w:eastAsia="ru-RU"/>
        </w:rPr>
      </w:pPr>
      <w:r>
        <w:rPr>
          <w:rFonts w:ascii="Times New Roman" w:hAnsi="Times New Roman" w:eastAsia="SchoolBookSanPin"/>
        </w:rPr>
        <w:t>11</w:t>
      </w:r>
      <w:r>
        <w:rPr>
          <w:rFonts w:ascii="Times New Roman" w:hAnsi="Times New Roman" w:eastAsia="OfficinaSansBoldITC"/>
        </w:rPr>
        <w:t>.8.2.4. </w:t>
      </w:r>
      <w:r>
        <w:rPr>
          <w:rFonts w:ascii="Times New Roman" w:hAnsi="Times New Roman" w:eastAsia="Times New Roman"/>
          <w:lang w:eastAsia="ru-RU"/>
        </w:rPr>
        <w:t xml:space="preserve">Первоначальные представления о бактериях. </w:t>
      </w:r>
    </w:p>
    <w:p w14:paraId="37C6D139">
      <w:pPr>
        <w:spacing w:after="0" w:line="355" w:lineRule="auto"/>
        <w:ind w:firstLine="709"/>
        <w:jc w:val="both"/>
        <w:rPr>
          <w:rFonts w:ascii="Times New Roman" w:hAnsi="Times New Roman" w:eastAsia="Times New Roman"/>
          <w:lang w:eastAsia="ru-RU"/>
        </w:rPr>
      </w:pPr>
      <w:r>
        <w:rPr>
          <w:rFonts w:ascii="Times New Roman" w:hAnsi="Times New Roman" w:eastAsia="SchoolBookSanPin"/>
        </w:rPr>
        <w:t>11</w:t>
      </w:r>
      <w:r>
        <w:rPr>
          <w:rFonts w:ascii="Times New Roman" w:hAnsi="Times New Roman" w:eastAsia="OfficinaSansBoldITC"/>
        </w:rPr>
        <w:t>.8.2.5. </w:t>
      </w:r>
      <w:r>
        <w:rPr>
          <w:rFonts w:ascii="Times New Roman" w:hAnsi="Times New Roman" w:eastAsia="Times New Roman"/>
          <w:lang w:eastAsia="ru-RU"/>
        </w:rPr>
        <w:t xml:space="preserve">Грибы: строение шляпочных грибов. Грибы съедобные и несъедобные. </w:t>
      </w:r>
    </w:p>
    <w:p w14:paraId="133EAEA7">
      <w:pPr>
        <w:spacing w:after="0" w:line="355" w:lineRule="auto"/>
        <w:ind w:firstLine="709"/>
        <w:jc w:val="both"/>
        <w:rPr>
          <w:rFonts w:ascii="Times New Roman" w:hAnsi="Times New Roman" w:eastAsia="Times New Roman"/>
          <w:lang w:eastAsia="ru-RU"/>
        </w:rPr>
      </w:pPr>
      <w:r>
        <w:rPr>
          <w:rFonts w:ascii="Times New Roman" w:hAnsi="Times New Roman" w:eastAsia="SchoolBookSanPin"/>
        </w:rPr>
        <w:t>11</w:t>
      </w:r>
      <w:r>
        <w:rPr>
          <w:rFonts w:ascii="Times New Roman" w:hAnsi="Times New Roman" w:eastAsia="OfficinaSansBoldITC"/>
        </w:rPr>
        <w:t>.8.2.6. </w:t>
      </w:r>
      <w:r>
        <w:rPr>
          <w:rFonts w:ascii="Times New Roman" w:hAnsi="Times New Roman" w:eastAsia="Times New Roman"/>
          <w:lang w:eastAsia="ru-RU"/>
        </w:rPr>
        <w:t>Разнообразие растений. Зависимость жизненного цикла организмов от условий окружающей среды. Размножение и развитие растений. Особенности питания и дыхания растений. Роль растений в природе и жизни людей, бережное отношение человека к растениям. Условия, необходимые для жизни растения (свет, тепло, воздух, вода). Наблюдение роста растений, фиксация изменений. Растения родного края, названия и краткая характеристика на основе наблюдений. Охрана растений.</w:t>
      </w:r>
    </w:p>
    <w:p w14:paraId="6056FB16">
      <w:pPr>
        <w:spacing w:after="0" w:line="355" w:lineRule="auto"/>
        <w:ind w:firstLine="709"/>
        <w:jc w:val="both"/>
        <w:rPr>
          <w:rFonts w:ascii="Times New Roman" w:hAnsi="Times New Roman" w:eastAsia="Times New Roman"/>
          <w:lang w:eastAsia="ru-RU"/>
        </w:rPr>
      </w:pPr>
      <w:r>
        <w:rPr>
          <w:rFonts w:ascii="Times New Roman" w:hAnsi="Times New Roman" w:eastAsia="SchoolBookSanPin"/>
        </w:rPr>
        <w:t>11</w:t>
      </w:r>
      <w:r>
        <w:rPr>
          <w:rFonts w:ascii="Times New Roman" w:hAnsi="Times New Roman" w:eastAsia="OfficinaSansBoldITC"/>
        </w:rPr>
        <w:t>.8.2.7. </w:t>
      </w:r>
      <w:r>
        <w:rPr>
          <w:rFonts w:ascii="Times New Roman" w:hAnsi="Times New Roman" w:eastAsia="Times New Roman"/>
          <w:lang w:eastAsia="ru-RU"/>
        </w:rPr>
        <w:t>Разнообразие животных. Зависимость жизненного цикла организмов от условий окружающей среды. Размножение и развитие животных (рыбы, птицы, звери). Особенности питания животных. Цепи питания. Условия, необходимые для жизни животных (воздух, вода, тепло, пища). Роль животных в природе и жизни людей, бережное отношение человека к животным. Охрана животных. Животные родного края, их названия, краткая характеристика на основе наблюдений.</w:t>
      </w:r>
    </w:p>
    <w:p w14:paraId="011B5F81">
      <w:pPr>
        <w:spacing w:after="0" w:line="355" w:lineRule="auto"/>
        <w:ind w:firstLine="709"/>
        <w:jc w:val="both"/>
        <w:rPr>
          <w:rFonts w:ascii="Times New Roman" w:hAnsi="Times New Roman" w:eastAsia="Times New Roman"/>
          <w:lang w:eastAsia="ru-RU"/>
        </w:rPr>
      </w:pPr>
      <w:r>
        <w:rPr>
          <w:rFonts w:ascii="Times New Roman" w:hAnsi="Times New Roman" w:eastAsia="SchoolBookSanPin"/>
        </w:rPr>
        <w:t>11</w:t>
      </w:r>
      <w:r>
        <w:rPr>
          <w:rFonts w:ascii="Times New Roman" w:hAnsi="Times New Roman" w:eastAsia="OfficinaSansBoldITC"/>
        </w:rPr>
        <w:t>.8.2.8. </w:t>
      </w:r>
      <w:r>
        <w:rPr>
          <w:rFonts w:ascii="Times New Roman" w:hAnsi="Times New Roman" w:eastAsia="Times New Roman"/>
          <w:lang w:eastAsia="ru-RU"/>
        </w:rPr>
        <w:t>Природные сообщества: лес, луг, пруд. Взаимосвязи в природном сообществе: растения ‒ пища и укрытие для животных; животные – распространители плодов и семян растений. Влияние человека на природные сообщества. Природные сообщества родного края (2–3 примера на основе наблюдений). Правила нравственного поведения в природных сообществах.</w:t>
      </w:r>
    </w:p>
    <w:p w14:paraId="2491CA1A">
      <w:pPr>
        <w:spacing w:after="0" w:line="355" w:lineRule="auto"/>
        <w:ind w:firstLine="709"/>
        <w:jc w:val="both"/>
        <w:rPr>
          <w:rFonts w:ascii="Times New Roman" w:hAnsi="Times New Roman" w:eastAsia="Times New Roman"/>
          <w:lang w:eastAsia="ru-RU"/>
        </w:rPr>
      </w:pPr>
      <w:r>
        <w:rPr>
          <w:rFonts w:ascii="Times New Roman" w:hAnsi="Times New Roman" w:eastAsia="SchoolBookSanPin"/>
        </w:rPr>
        <w:t>11</w:t>
      </w:r>
      <w:r>
        <w:rPr>
          <w:rFonts w:ascii="Times New Roman" w:hAnsi="Times New Roman" w:eastAsia="OfficinaSansBoldITC"/>
        </w:rPr>
        <w:t>.8.2.9. </w:t>
      </w:r>
      <w:r>
        <w:rPr>
          <w:rFonts w:ascii="Times New Roman" w:hAnsi="Times New Roman" w:eastAsia="Times New Roman"/>
          <w:lang w:eastAsia="ru-RU"/>
        </w:rPr>
        <w:t>Человек – часть природы. Общее представление о строении тела человека. Системы органов (опорно-двигательная, пищеварительная, дыхательная, кровеносная, нервная, органы чувств), их роль в жизнедеятельности организма. Измерение температуры тела человека, частоты пульса.</w:t>
      </w:r>
    </w:p>
    <w:p w14:paraId="62FAC75D">
      <w:pPr>
        <w:spacing w:after="0" w:line="355" w:lineRule="auto"/>
        <w:ind w:firstLine="708"/>
        <w:rPr>
          <w:rFonts w:ascii="Times New Roman" w:hAnsi="Times New Roman" w:eastAsia="Times New Roman"/>
          <w:lang w:eastAsia="ru-RU"/>
        </w:rPr>
      </w:pPr>
      <w:r>
        <w:rPr>
          <w:rFonts w:ascii="Times New Roman" w:hAnsi="Times New Roman" w:eastAsia="SchoolBookSanPin"/>
        </w:rPr>
        <w:t>11</w:t>
      </w:r>
      <w:r>
        <w:rPr>
          <w:rFonts w:ascii="Times New Roman" w:hAnsi="Times New Roman" w:eastAsia="OfficinaSansBoldITC"/>
        </w:rPr>
        <w:t>.8.3. </w:t>
      </w:r>
      <w:r>
        <w:rPr>
          <w:rFonts w:ascii="Times New Roman" w:hAnsi="Times New Roman" w:eastAsia="Times New Roman"/>
          <w:iCs/>
          <w:lang w:eastAsia="ru-RU"/>
        </w:rPr>
        <w:t>Правила безопасной жизнедеятельности.</w:t>
      </w:r>
    </w:p>
    <w:p w14:paraId="4A5EA1DF">
      <w:pPr>
        <w:spacing w:after="0" w:line="355" w:lineRule="auto"/>
        <w:ind w:firstLine="709"/>
        <w:jc w:val="both"/>
        <w:rPr>
          <w:rFonts w:ascii="Times New Roman" w:hAnsi="Times New Roman" w:eastAsia="Times New Roman"/>
          <w:lang w:eastAsia="ru-RU"/>
        </w:rPr>
      </w:pPr>
      <w:r>
        <w:rPr>
          <w:rFonts w:ascii="Times New Roman" w:hAnsi="Times New Roman" w:eastAsia="SchoolBookSanPin"/>
        </w:rPr>
        <w:t>11</w:t>
      </w:r>
      <w:r>
        <w:rPr>
          <w:rFonts w:ascii="Times New Roman" w:hAnsi="Times New Roman" w:eastAsia="OfficinaSansBoldITC"/>
        </w:rPr>
        <w:t>.8.3.1. </w:t>
      </w:r>
      <w:r>
        <w:rPr>
          <w:rFonts w:ascii="Times New Roman" w:hAnsi="Times New Roman" w:eastAsia="Times New Roman"/>
          <w:lang w:eastAsia="ru-RU"/>
        </w:rPr>
        <w:t xml:space="preserve">Здоровый образ жизни: двигательная активность (утренняя зарядка, динамические паузы), закаливание и профилактика заболеваний. Забота о здоровье и безопасности окружающих людей. </w:t>
      </w:r>
    </w:p>
    <w:p w14:paraId="5457EBE3">
      <w:pPr>
        <w:spacing w:after="0" w:line="355" w:lineRule="auto"/>
        <w:ind w:firstLine="709"/>
        <w:jc w:val="both"/>
        <w:rPr>
          <w:rFonts w:ascii="Times New Roman" w:hAnsi="Times New Roman" w:eastAsia="Times New Roman"/>
          <w:lang w:eastAsia="ru-RU"/>
        </w:rPr>
      </w:pPr>
      <w:r>
        <w:rPr>
          <w:rFonts w:ascii="Times New Roman" w:hAnsi="Times New Roman" w:eastAsia="SchoolBookSanPin"/>
        </w:rPr>
        <w:t>11</w:t>
      </w:r>
      <w:r>
        <w:rPr>
          <w:rFonts w:ascii="Times New Roman" w:hAnsi="Times New Roman" w:eastAsia="OfficinaSansBoldITC"/>
        </w:rPr>
        <w:t>.8.3.2. </w:t>
      </w:r>
      <w:r>
        <w:rPr>
          <w:rFonts w:ascii="Times New Roman" w:hAnsi="Times New Roman" w:eastAsia="Times New Roman"/>
          <w:lang w:eastAsia="ru-RU"/>
        </w:rPr>
        <w:t xml:space="preserve">Безопасность во дворе жилого дома (правила перемещения внутри двора и пересечения дворовой проезжей части, безопасные зоны электрических, газовых, тепловых подстанций и других опасных объектов инженерной инфраструктуры жилого дома, предупреждающие знаки безопасности). </w:t>
      </w:r>
    </w:p>
    <w:p w14:paraId="6F56457E">
      <w:pPr>
        <w:spacing w:after="0" w:line="355" w:lineRule="auto"/>
        <w:ind w:firstLine="709"/>
        <w:jc w:val="both"/>
        <w:rPr>
          <w:rFonts w:ascii="Times New Roman" w:hAnsi="Times New Roman" w:eastAsia="Times New Roman"/>
          <w:lang w:eastAsia="ru-RU"/>
        </w:rPr>
      </w:pPr>
      <w:r>
        <w:rPr>
          <w:rFonts w:ascii="Times New Roman" w:hAnsi="Times New Roman" w:eastAsia="SchoolBookSanPin"/>
        </w:rPr>
        <w:t>11</w:t>
      </w:r>
      <w:r>
        <w:rPr>
          <w:rFonts w:ascii="Times New Roman" w:hAnsi="Times New Roman" w:eastAsia="OfficinaSansBoldITC"/>
        </w:rPr>
        <w:t>.8.3.3. </w:t>
      </w:r>
      <w:r>
        <w:rPr>
          <w:rFonts w:ascii="Times New Roman" w:hAnsi="Times New Roman" w:eastAsia="Times New Roman"/>
          <w:lang w:eastAsia="ru-RU"/>
        </w:rPr>
        <w:t xml:space="preserve">Правила безопасного поведения пассажира железнодорожного, водного и авиатранспорта (правила безопасного поведения на вокзалах и в аэропортах, безопасное поведение в вагоне, на борту самолёта, судна; знаки безопасности). </w:t>
      </w:r>
    </w:p>
    <w:p w14:paraId="17D716DB">
      <w:pPr>
        <w:spacing w:after="0" w:line="355" w:lineRule="auto"/>
        <w:ind w:firstLine="709"/>
        <w:jc w:val="both"/>
        <w:rPr>
          <w:rFonts w:ascii="Times New Roman" w:hAnsi="Times New Roman" w:eastAsia="Times New Roman"/>
          <w:lang w:eastAsia="ru-RU"/>
        </w:rPr>
      </w:pPr>
      <w:r>
        <w:rPr>
          <w:rFonts w:ascii="Times New Roman" w:hAnsi="Times New Roman" w:eastAsia="SchoolBookSanPin"/>
        </w:rPr>
        <w:t>11</w:t>
      </w:r>
      <w:r>
        <w:rPr>
          <w:rFonts w:ascii="Times New Roman" w:hAnsi="Times New Roman" w:eastAsia="OfficinaSansBoldITC"/>
        </w:rPr>
        <w:t>.8.3.4. </w:t>
      </w:r>
      <w:r>
        <w:rPr>
          <w:rFonts w:ascii="Times New Roman" w:hAnsi="Times New Roman" w:eastAsia="Times New Roman"/>
          <w:lang w:eastAsia="ru-RU"/>
        </w:rPr>
        <w:t>Безопасность в Интернете (ориентирование в признаках мошеннических действий, защита персональной информации, правила коммуникации в мессенджерах и социальных группах) в условиях контролируемого доступа в информационно-телекоммуникационную сеть «Интернет».</w:t>
      </w:r>
    </w:p>
    <w:p w14:paraId="10ADBDB3">
      <w:pPr>
        <w:spacing w:after="0" w:line="355" w:lineRule="auto"/>
        <w:ind w:firstLine="709"/>
        <w:jc w:val="both"/>
        <w:rPr>
          <w:rFonts w:ascii="Times New Roman" w:hAnsi="Times New Roman" w:eastAsia="SchoolBookSanPin"/>
          <w:bCs/>
        </w:rPr>
      </w:pPr>
      <w:r>
        <w:rPr>
          <w:rFonts w:ascii="Times New Roman" w:hAnsi="Times New Roman" w:eastAsia="SchoolBookSanPin"/>
        </w:rPr>
        <w:t xml:space="preserve">11.8.4. Изучение окружающего мира в 3 классе способствует </w:t>
      </w:r>
      <w:r>
        <w:rPr>
          <w:rFonts w:ascii="Times New Roman" w:hAnsi="Times New Roman" w:eastAsia="Times New Roman"/>
        </w:rPr>
        <w:t>освоению ряда универсальных учебных действий</w:t>
      </w:r>
      <w:r>
        <w:rPr>
          <w:rFonts w:ascii="Times New Roman" w:hAnsi="Times New Roman" w:eastAsia="SchoolBookSanPin"/>
        </w:rPr>
        <w:t xml:space="preserve">: </w:t>
      </w:r>
      <w:r>
        <w:rPr>
          <w:rFonts w:ascii="Times New Roman" w:hAnsi="Times New Roman" w:eastAsia="SchoolBookSanPin"/>
          <w:bCs/>
        </w:rPr>
        <w:t xml:space="preserve">познавательных универсальных учебных действий, коммуникативных универсальных учебных действий, регулятивных универсальных учебных действий, совместной деятельности. </w:t>
      </w:r>
    </w:p>
    <w:p w14:paraId="4D34D4D7">
      <w:pPr>
        <w:spacing w:after="0" w:line="355" w:lineRule="auto"/>
        <w:ind w:firstLine="709"/>
        <w:jc w:val="both"/>
        <w:rPr>
          <w:rFonts w:ascii="Times New Roman" w:hAnsi="Times New Roman" w:eastAsia="SchoolBookSanPin"/>
        </w:rPr>
      </w:pPr>
      <w:r>
        <w:rPr>
          <w:rFonts w:ascii="Times New Roman" w:hAnsi="Times New Roman" w:eastAsia="SchoolBookSanPin"/>
        </w:rPr>
        <w:t>11</w:t>
      </w:r>
      <w:r>
        <w:rPr>
          <w:rFonts w:ascii="Times New Roman" w:hAnsi="Times New Roman" w:eastAsia="OfficinaSansBoldITC"/>
        </w:rPr>
        <w:t>.8.4.1. </w:t>
      </w:r>
      <w:r>
        <w:rPr>
          <w:rFonts w:ascii="Times New Roman" w:hAnsi="Times New Roman" w:eastAsia="SchoolBookSanPin"/>
        </w:rPr>
        <w:t xml:space="preserve">Базовые логические и исследовательские действия как часть </w:t>
      </w:r>
      <w:r>
        <w:rPr>
          <w:rFonts w:ascii="Times New Roman" w:hAnsi="Times New Roman" w:eastAsia="SchoolBookSanPin"/>
          <w:bCs/>
        </w:rPr>
        <w:t>познавательных универсальных учебных действий</w:t>
      </w:r>
      <w:r>
        <w:rPr>
          <w:rFonts w:ascii="Times New Roman" w:hAnsi="Times New Roman" w:eastAsia="SchoolBookSanPin"/>
        </w:rPr>
        <w:t xml:space="preserve"> способствуют формированию умений:</w:t>
      </w:r>
    </w:p>
    <w:p w14:paraId="7C89BE65">
      <w:pPr>
        <w:pStyle w:val="67"/>
        <w:widowControl/>
        <w:spacing w:after="0" w:line="355" w:lineRule="auto"/>
        <w:ind w:left="0" w:firstLine="709"/>
        <w:jc w:val="both"/>
        <w:rPr>
          <w:rFonts w:ascii="Times New Roman" w:hAnsi="Times New Roman" w:eastAsia="Times New Roman"/>
          <w:lang w:eastAsia="ru-RU"/>
        </w:rPr>
      </w:pPr>
      <w:r>
        <w:rPr>
          <w:rFonts w:ascii="Times New Roman" w:hAnsi="Times New Roman" w:eastAsia="Times New Roman"/>
          <w:lang w:eastAsia="ru-RU"/>
        </w:rPr>
        <w:t>проводить несложные наблюдения в природе (сезонные изменения, поведение животных) по предложенному и самостоятельно составленному плану; на основе результатов совместных с одноклассниками наблюдений (в парах, группах) делать выводы;</w:t>
      </w:r>
    </w:p>
    <w:p w14:paraId="48699693">
      <w:pPr>
        <w:pStyle w:val="67"/>
        <w:widowControl/>
        <w:spacing w:after="0" w:line="355" w:lineRule="auto"/>
        <w:ind w:left="0" w:firstLine="709"/>
        <w:jc w:val="both"/>
        <w:rPr>
          <w:rFonts w:ascii="Times New Roman" w:hAnsi="Times New Roman" w:eastAsia="Times New Roman"/>
          <w:lang w:eastAsia="ru-RU"/>
        </w:rPr>
      </w:pPr>
      <w:r>
        <w:rPr>
          <w:rFonts w:ascii="Times New Roman" w:hAnsi="Times New Roman" w:eastAsia="Times New Roman"/>
          <w:lang w:eastAsia="ru-RU"/>
        </w:rPr>
        <w:t>устанавливать зависимость между внешним видом, особенностями поведения и условиями жизни животного;</w:t>
      </w:r>
    </w:p>
    <w:p w14:paraId="716B1B07">
      <w:pPr>
        <w:pStyle w:val="67"/>
        <w:widowControl/>
        <w:spacing w:after="0" w:line="355" w:lineRule="auto"/>
        <w:ind w:left="0" w:firstLine="709"/>
        <w:jc w:val="both"/>
        <w:rPr>
          <w:rFonts w:ascii="Times New Roman" w:hAnsi="Times New Roman" w:eastAsia="Times New Roman"/>
          <w:lang w:eastAsia="ru-RU"/>
        </w:rPr>
      </w:pPr>
      <w:r>
        <w:rPr>
          <w:rFonts w:ascii="Times New Roman" w:hAnsi="Times New Roman" w:eastAsia="Times New Roman"/>
          <w:lang w:eastAsia="ru-RU"/>
        </w:rPr>
        <w:t>определять (в процессе рассматривания объектов и явлений) существенные признаки и отношения между объектами и явлениями;</w:t>
      </w:r>
    </w:p>
    <w:p w14:paraId="4635F65A">
      <w:pPr>
        <w:pStyle w:val="67"/>
        <w:widowControl/>
        <w:spacing w:after="0" w:line="355" w:lineRule="auto"/>
        <w:ind w:left="0" w:firstLine="709"/>
        <w:jc w:val="both"/>
        <w:rPr>
          <w:rFonts w:ascii="Times New Roman" w:hAnsi="Times New Roman" w:eastAsia="Times New Roman"/>
          <w:lang w:eastAsia="ru-RU"/>
        </w:rPr>
      </w:pPr>
      <w:r>
        <w:rPr>
          <w:rFonts w:ascii="Times New Roman" w:hAnsi="Times New Roman" w:eastAsia="Times New Roman"/>
          <w:lang w:eastAsia="ru-RU"/>
        </w:rPr>
        <w:t>моделировать цепи питания в природном сообществе;</w:t>
      </w:r>
    </w:p>
    <w:p w14:paraId="0DF7E66F">
      <w:pPr>
        <w:pStyle w:val="67"/>
        <w:widowControl/>
        <w:spacing w:after="0" w:line="355" w:lineRule="auto"/>
        <w:ind w:left="0" w:firstLine="709"/>
        <w:jc w:val="both"/>
        <w:rPr>
          <w:rFonts w:ascii="Times New Roman" w:hAnsi="Times New Roman" w:eastAsia="Times New Roman"/>
          <w:lang w:eastAsia="ru-RU"/>
        </w:rPr>
      </w:pPr>
      <w:r>
        <w:rPr>
          <w:rFonts w:ascii="Times New Roman" w:hAnsi="Times New Roman" w:eastAsia="Times New Roman"/>
          <w:lang w:eastAsia="ru-RU"/>
        </w:rPr>
        <w:t>различать понятия «век», «столетие», «историческое время»;</w:t>
      </w:r>
    </w:p>
    <w:p w14:paraId="036D00FF">
      <w:pPr>
        <w:pStyle w:val="67"/>
        <w:widowControl/>
        <w:spacing w:after="0" w:line="355" w:lineRule="auto"/>
        <w:ind w:left="0" w:firstLine="709"/>
        <w:jc w:val="both"/>
        <w:rPr>
          <w:rFonts w:ascii="Times New Roman" w:hAnsi="Times New Roman" w:eastAsia="Times New Roman"/>
          <w:lang w:eastAsia="ru-RU"/>
        </w:rPr>
      </w:pPr>
      <w:r>
        <w:rPr>
          <w:rFonts w:ascii="Times New Roman" w:hAnsi="Times New Roman" w:eastAsia="Times New Roman"/>
          <w:lang w:eastAsia="ru-RU"/>
        </w:rPr>
        <w:t>соотносить историческое событие с датой (историческим периодом).</w:t>
      </w:r>
    </w:p>
    <w:p w14:paraId="2096115D">
      <w:pPr>
        <w:spacing w:after="0" w:line="355" w:lineRule="auto"/>
        <w:ind w:firstLine="709"/>
        <w:jc w:val="both"/>
        <w:rPr>
          <w:rFonts w:ascii="Times New Roman" w:hAnsi="Times New Roman" w:eastAsia="SchoolBookSanPin"/>
        </w:rPr>
      </w:pPr>
      <w:r>
        <w:rPr>
          <w:rFonts w:ascii="Times New Roman" w:hAnsi="Times New Roman" w:eastAsia="SchoolBookSanPin"/>
        </w:rPr>
        <w:t>11</w:t>
      </w:r>
      <w:r>
        <w:rPr>
          <w:rFonts w:ascii="Times New Roman" w:hAnsi="Times New Roman" w:eastAsia="OfficinaSansBoldITC"/>
        </w:rPr>
        <w:t>.8.4.2. </w:t>
      </w:r>
      <w:r>
        <w:rPr>
          <w:rFonts w:ascii="Times New Roman" w:hAnsi="Times New Roman" w:eastAsia="SchoolBookSanPin"/>
        </w:rPr>
        <w:t xml:space="preserve">Работа с информацией как часть </w:t>
      </w:r>
      <w:r>
        <w:rPr>
          <w:rFonts w:ascii="Times New Roman" w:hAnsi="Times New Roman" w:eastAsia="SchoolBookSanPin"/>
          <w:bCs/>
        </w:rPr>
        <w:t>познавательных универсальных учебных действий</w:t>
      </w:r>
      <w:r>
        <w:rPr>
          <w:rFonts w:ascii="Times New Roman" w:hAnsi="Times New Roman" w:eastAsia="SchoolBookSanPin"/>
        </w:rPr>
        <w:t xml:space="preserve"> способствует формированию умений:</w:t>
      </w:r>
    </w:p>
    <w:p w14:paraId="2694E462">
      <w:pPr>
        <w:pStyle w:val="67"/>
        <w:widowControl/>
        <w:spacing w:after="0" w:line="355" w:lineRule="auto"/>
        <w:ind w:left="0" w:firstLine="709"/>
        <w:jc w:val="both"/>
        <w:rPr>
          <w:rFonts w:ascii="Times New Roman" w:hAnsi="Times New Roman" w:eastAsia="Times New Roman"/>
          <w:lang w:eastAsia="ru-RU"/>
        </w:rPr>
      </w:pPr>
      <w:r>
        <w:rPr>
          <w:rFonts w:ascii="Times New Roman" w:hAnsi="Times New Roman" w:eastAsia="Times New Roman"/>
          <w:lang w:eastAsia="ru-RU"/>
        </w:rPr>
        <w:t>понимать, что работа с моделями Земли (глобус, карта) может дать полезную и интересную информацию о природе нашей планеты; находить на глобусе материки и океаны, воспроизводить их названия; находить на карте нашу страну, столицу, свой регион;</w:t>
      </w:r>
    </w:p>
    <w:p w14:paraId="408A6BB8">
      <w:pPr>
        <w:pStyle w:val="67"/>
        <w:widowControl/>
        <w:spacing w:after="0" w:line="355" w:lineRule="auto"/>
        <w:ind w:left="0" w:firstLine="709"/>
        <w:jc w:val="both"/>
        <w:rPr>
          <w:rFonts w:ascii="Times New Roman" w:hAnsi="Times New Roman" w:eastAsia="Times New Roman"/>
          <w:lang w:eastAsia="ru-RU"/>
        </w:rPr>
      </w:pPr>
      <w:r>
        <w:rPr>
          <w:rFonts w:ascii="Times New Roman" w:hAnsi="Times New Roman" w:eastAsia="Times New Roman"/>
          <w:lang w:eastAsia="ru-RU"/>
        </w:rPr>
        <w:t>читать несложные планы, соотносить условные обозначения с изображёнными объектами;</w:t>
      </w:r>
    </w:p>
    <w:p w14:paraId="5A991A56">
      <w:pPr>
        <w:pStyle w:val="67"/>
        <w:widowControl/>
        <w:spacing w:after="0" w:line="355" w:lineRule="auto"/>
        <w:ind w:left="0" w:firstLine="709"/>
        <w:jc w:val="both"/>
        <w:rPr>
          <w:rFonts w:ascii="Times New Roman" w:hAnsi="Times New Roman" w:eastAsia="Times New Roman"/>
          <w:lang w:eastAsia="ru-RU"/>
        </w:rPr>
      </w:pPr>
      <w:r>
        <w:rPr>
          <w:rFonts w:ascii="Times New Roman" w:hAnsi="Times New Roman" w:eastAsia="Times New Roman"/>
          <w:lang w:eastAsia="ru-RU"/>
        </w:rPr>
        <w:t xml:space="preserve">находить по предложению учителя информацию в разных источниках: текстах, таблицах, схемах, в том числе в Интернете (в условиях контролируемого входа); </w:t>
      </w:r>
    </w:p>
    <w:p w14:paraId="7684EC0B">
      <w:pPr>
        <w:pStyle w:val="67"/>
        <w:widowControl/>
        <w:spacing w:after="0" w:line="355" w:lineRule="auto"/>
        <w:ind w:left="0" w:firstLine="709"/>
        <w:jc w:val="both"/>
        <w:rPr>
          <w:rFonts w:ascii="Times New Roman" w:hAnsi="Times New Roman" w:eastAsia="Times New Roman"/>
          <w:lang w:eastAsia="ru-RU"/>
        </w:rPr>
      </w:pPr>
      <w:r>
        <w:rPr>
          <w:rFonts w:ascii="Times New Roman" w:hAnsi="Times New Roman" w:eastAsia="Times New Roman"/>
          <w:lang w:eastAsia="ru-RU"/>
        </w:rPr>
        <w:t>соблюдать правила безопасности при работе в информационной среде.</w:t>
      </w:r>
    </w:p>
    <w:p w14:paraId="73850CC2">
      <w:pPr>
        <w:spacing w:after="0" w:line="355" w:lineRule="auto"/>
        <w:ind w:firstLine="709"/>
        <w:jc w:val="both"/>
        <w:rPr>
          <w:rFonts w:ascii="Times New Roman" w:hAnsi="Times New Roman" w:eastAsia="SchoolBookSanPin"/>
        </w:rPr>
      </w:pPr>
      <w:r>
        <w:rPr>
          <w:rFonts w:ascii="Times New Roman" w:hAnsi="Times New Roman" w:eastAsia="SchoolBookSanPin"/>
        </w:rPr>
        <w:t>11</w:t>
      </w:r>
      <w:r>
        <w:rPr>
          <w:rFonts w:ascii="Times New Roman" w:hAnsi="Times New Roman" w:eastAsia="OfficinaSansBoldITC"/>
        </w:rPr>
        <w:t>.8.4.3. </w:t>
      </w:r>
      <w:r>
        <w:rPr>
          <w:rFonts w:ascii="Times New Roman" w:hAnsi="Times New Roman" w:eastAsia="Times New Roman"/>
        </w:rPr>
        <w:t>Коммуникативные универсальные учебные действия</w:t>
      </w:r>
      <w:r>
        <w:rPr>
          <w:rFonts w:ascii="Times New Roman" w:hAnsi="Times New Roman" w:eastAsia="SchoolBookSanPin"/>
        </w:rPr>
        <w:t xml:space="preserve"> способствуют формированию умений:</w:t>
      </w:r>
    </w:p>
    <w:p w14:paraId="451B1351">
      <w:pPr>
        <w:pStyle w:val="67"/>
        <w:spacing w:after="0" w:line="355" w:lineRule="auto"/>
        <w:ind w:left="0" w:firstLine="709"/>
        <w:jc w:val="both"/>
        <w:rPr>
          <w:rFonts w:ascii="Times New Roman" w:hAnsi="Times New Roman" w:eastAsia="Times New Roman"/>
          <w:lang w:eastAsia="ru-RU"/>
        </w:rPr>
      </w:pPr>
      <w:r>
        <w:rPr>
          <w:rFonts w:ascii="Times New Roman" w:hAnsi="Times New Roman" w:eastAsia="Times New Roman"/>
          <w:lang w:eastAsia="ru-RU"/>
        </w:rPr>
        <w:t xml:space="preserve">ориентироваться в понятиях, соотносить понятия и термины с их краткой характеристикой: </w:t>
      </w:r>
    </w:p>
    <w:p w14:paraId="50B2A56B">
      <w:pPr>
        <w:pStyle w:val="67"/>
        <w:widowControl/>
        <w:spacing w:after="0" w:line="355" w:lineRule="auto"/>
        <w:ind w:left="0" w:firstLine="709"/>
        <w:jc w:val="both"/>
        <w:rPr>
          <w:rFonts w:ascii="Times New Roman" w:hAnsi="Times New Roman" w:eastAsia="Times New Roman"/>
          <w:lang w:eastAsia="ru-RU"/>
        </w:rPr>
      </w:pPr>
      <w:r>
        <w:rPr>
          <w:rFonts w:ascii="Times New Roman" w:hAnsi="Times New Roman" w:eastAsia="Times New Roman"/>
          <w:lang w:eastAsia="ru-RU"/>
        </w:rPr>
        <w:t>знать понятия и термины, связанные с социальным миром (безопасность, семейный бюджет, памятник культуры);</w:t>
      </w:r>
    </w:p>
    <w:p w14:paraId="3A4E0CC5">
      <w:pPr>
        <w:pStyle w:val="67"/>
        <w:widowControl/>
        <w:spacing w:after="0" w:line="355" w:lineRule="auto"/>
        <w:ind w:left="0" w:firstLine="709"/>
        <w:jc w:val="both"/>
        <w:rPr>
          <w:rFonts w:ascii="Times New Roman" w:hAnsi="Times New Roman" w:eastAsia="Times New Roman"/>
          <w:lang w:eastAsia="ru-RU"/>
        </w:rPr>
      </w:pPr>
      <w:r>
        <w:rPr>
          <w:rFonts w:ascii="Times New Roman" w:hAnsi="Times New Roman" w:eastAsia="Times New Roman"/>
          <w:lang w:eastAsia="ru-RU"/>
        </w:rPr>
        <w:t>знать понятия и термины, связанные с миром природы (планета, материк, океан, модель Земли, царство природы, природное сообщество, цепь питания, Красная книга);</w:t>
      </w:r>
    </w:p>
    <w:p w14:paraId="579278E0">
      <w:pPr>
        <w:pStyle w:val="67"/>
        <w:widowControl/>
        <w:spacing w:after="0" w:line="355" w:lineRule="auto"/>
        <w:ind w:left="0" w:firstLine="709"/>
        <w:jc w:val="both"/>
        <w:rPr>
          <w:rFonts w:ascii="Times New Roman" w:hAnsi="Times New Roman" w:eastAsia="Times New Roman"/>
          <w:lang w:eastAsia="ru-RU"/>
        </w:rPr>
      </w:pPr>
      <w:r>
        <w:rPr>
          <w:rFonts w:ascii="Times New Roman" w:hAnsi="Times New Roman" w:eastAsia="Times New Roman"/>
          <w:lang w:eastAsia="ru-RU"/>
        </w:rPr>
        <w:t>знать понятия и термины, связанные с безопасной жизнедеятельностью (знаки дорожного движения, дорожные ловушки, опасные ситуации, предвидение);</w:t>
      </w:r>
    </w:p>
    <w:p w14:paraId="587852F8">
      <w:pPr>
        <w:pStyle w:val="67"/>
        <w:widowControl/>
        <w:spacing w:after="0" w:line="355" w:lineRule="auto"/>
        <w:ind w:left="0" w:firstLine="709"/>
        <w:jc w:val="both"/>
        <w:rPr>
          <w:rFonts w:ascii="Times New Roman" w:hAnsi="Times New Roman" w:eastAsia="Times New Roman"/>
          <w:lang w:eastAsia="ru-RU"/>
        </w:rPr>
      </w:pPr>
      <w:r>
        <w:rPr>
          <w:rFonts w:ascii="Times New Roman" w:hAnsi="Times New Roman" w:eastAsia="Times New Roman"/>
          <w:lang w:eastAsia="ru-RU"/>
        </w:rPr>
        <w:t>описывать (характеризовать) условия жизни на Земле;</w:t>
      </w:r>
    </w:p>
    <w:p w14:paraId="31E0A8C6">
      <w:pPr>
        <w:pStyle w:val="67"/>
        <w:widowControl/>
        <w:spacing w:after="0" w:line="355" w:lineRule="auto"/>
        <w:ind w:left="0" w:firstLine="709"/>
        <w:jc w:val="both"/>
        <w:rPr>
          <w:rFonts w:ascii="Times New Roman" w:hAnsi="Times New Roman" w:eastAsia="Times New Roman"/>
          <w:lang w:eastAsia="ru-RU"/>
        </w:rPr>
      </w:pPr>
      <w:r>
        <w:rPr>
          <w:rFonts w:ascii="Times New Roman" w:hAnsi="Times New Roman" w:eastAsia="Times New Roman"/>
          <w:lang w:eastAsia="ru-RU"/>
        </w:rPr>
        <w:t>описывать схожие, различные, индивидуальные признаки на основе сравнения объектов природы;</w:t>
      </w:r>
    </w:p>
    <w:p w14:paraId="17945569">
      <w:pPr>
        <w:pStyle w:val="67"/>
        <w:widowControl/>
        <w:spacing w:after="0" w:line="355" w:lineRule="auto"/>
        <w:ind w:left="0" w:firstLine="709"/>
        <w:jc w:val="both"/>
        <w:rPr>
          <w:rFonts w:ascii="Times New Roman" w:hAnsi="Times New Roman" w:eastAsia="Times New Roman"/>
          <w:lang w:eastAsia="ru-RU"/>
        </w:rPr>
      </w:pPr>
      <w:r>
        <w:rPr>
          <w:rFonts w:ascii="Times New Roman" w:hAnsi="Times New Roman" w:eastAsia="Times New Roman"/>
          <w:lang w:eastAsia="ru-RU"/>
        </w:rPr>
        <w:t>приводить примеры, кратко характеризовать представителей разных царств природы;</w:t>
      </w:r>
    </w:p>
    <w:p w14:paraId="1A43DE3A">
      <w:pPr>
        <w:pStyle w:val="67"/>
        <w:widowControl/>
        <w:spacing w:after="0" w:line="355" w:lineRule="auto"/>
        <w:ind w:left="0" w:firstLine="709"/>
        <w:jc w:val="both"/>
        <w:rPr>
          <w:rFonts w:ascii="Times New Roman" w:hAnsi="Times New Roman" w:eastAsia="Times New Roman"/>
          <w:lang w:eastAsia="ru-RU"/>
        </w:rPr>
      </w:pPr>
      <w:r>
        <w:rPr>
          <w:rFonts w:ascii="Times New Roman" w:hAnsi="Times New Roman" w:eastAsia="Times New Roman"/>
          <w:lang w:eastAsia="ru-RU"/>
        </w:rPr>
        <w:t>называть признаки (характеризовать) животного (растения) как живого организма;</w:t>
      </w:r>
    </w:p>
    <w:p w14:paraId="477A1581">
      <w:pPr>
        <w:pStyle w:val="67"/>
        <w:widowControl/>
        <w:spacing w:after="0" w:line="355" w:lineRule="auto"/>
        <w:ind w:left="0" w:firstLine="709"/>
        <w:jc w:val="both"/>
        <w:rPr>
          <w:rFonts w:ascii="Times New Roman" w:hAnsi="Times New Roman" w:eastAsia="Times New Roman"/>
          <w:lang w:eastAsia="ru-RU"/>
        </w:rPr>
      </w:pPr>
      <w:r>
        <w:rPr>
          <w:rFonts w:ascii="Times New Roman" w:hAnsi="Times New Roman" w:eastAsia="Times New Roman"/>
          <w:lang w:eastAsia="ru-RU"/>
        </w:rPr>
        <w:t>описывать (характеризовать) отдельные страницы истории нашей страны (в пределах изученного).</w:t>
      </w:r>
    </w:p>
    <w:p w14:paraId="601946AC">
      <w:pPr>
        <w:spacing w:after="0" w:line="355" w:lineRule="auto"/>
        <w:ind w:firstLine="709"/>
        <w:jc w:val="both"/>
        <w:rPr>
          <w:rFonts w:ascii="Times New Roman" w:hAnsi="Times New Roman" w:eastAsia="SchoolBookSanPin"/>
        </w:rPr>
      </w:pPr>
      <w:r>
        <w:rPr>
          <w:rFonts w:ascii="Times New Roman" w:hAnsi="Times New Roman" w:eastAsia="SchoolBookSanPin"/>
        </w:rPr>
        <w:t>11</w:t>
      </w:r>
      <w:r>
        <w:rPr>
          <w:rFonts w:ascii="Times New Roman" w:hAnsi="Times New Roman" w:eastAsia="OfficinaSansBoldITC"/>
        </w:rPr>
        <w:t>.8.4.4. </w:t>
      </w:r>
      <w:r>
        <w:rPr>
          <w:rFonts w:ascii="Times New Roman" w:hAnsi="Times New Roman" w:eastAsia="Times New Roman"/>
        </w:rPr>
        <w:t>Регулятивные универсальные учебные действия</w:t>
      </w:r>
      <w:r>
        <w:rPr>
          <w:rFonts w:ascii="Times New Roman" w:hAnsi="Times New Roman" w:eastAsia="SchoolBookSanPin"/>
        </w:rPr>
        <w:t xml:space="preserve"> способствуют формированию умений:</w:t>
      </w:r>
    </w:p>
    <w:p w14:paraId="192D4CEC">
      <w:pPr>
        <w:pStyle w:val="67"/>
        <w:widowControl/>
        <w:spacing w:after="0" w:line="355" w:lineRule="auto"/>
        <w:ind w:left="0" w:firstLine="709"/>
        <w:jc w:val="both"/>
        <w:rPr>
          <w:rFonts w:ascii="Times New Roman" w:hAnsi="Times New Roman" w:eastAsia="Times New Roman"/>
          <w:lang w:eastAsia="ru-RU"/>
        </w:rPr>
      </w:pPr>
      <w:r>
        <w:rPr>
          <w:rFonts w:ascii="Times New Roman" w:hAnsi="Times New Roman" w:eastAsia="Times New Roman"/>
          <w:lang w:eastAsia="ru-RU"/>
        </w:rPr>
        <w:t>планировать шаги по решению учебной задачи, контролировать свои действия (при небольшой помощи учителя);</w:t>
      </w:r>
    </w:p>
    <w:p w14:paraId="2C5DA9CF">
      <w:pPr>
        <w:pStyle w:val="67"/>
        <w:widowControl/>
        <w:spacing w:after="0" w:line="355" w:lineRule="auto"/>
        <w:ind w:left="0" w:firstLine="709"/>
        <w:jc w:val="both"/>
        <w:rPr>
          <w:rFonts w:ascii="Times New Roman" w:hAnsi="Times New Roman" w:eastAsia="Times New Roman"/>
          <w:lang w:eastAsia="ru-RU"/>
        </w:rPr>
      </w:pPr>
      <w:r>
        <w:rPr>
          <w:rFonts w:ascii="Times New Roman" w:hAnsi="Times New Roman" w:eastAsia="Times New Roman"/>
          <w:lang w:eastAsia="ru-RU"/>
        </w:rPr>
        <w:t>устанавливать причину возникающей трудности или ошибки, корректировать свои действия.</w:t>
      </w:r>
    </w:p>
    <w:p w14:paraId="46CA1AE8">
      <w:pPr>
        <w:spacing w:after="0" w:line="355" w:lineRule="auto"/>
        <w:ind w:firstLine="709"/>
        <w:jc w:val="both"/>
        <w:rPr>
          <w:rFonts w:ascii="Times New Roman" w:hAnsi="Times New Roman" w:eastAsia="Times New Roman"/>
          <w:lang w:eastAsia="ru-RU"/>
        </w:rPr>
      </w:pPr>
      <w:r>
        <w:rPr>
          <w:rFonts w:ascii="Times New Roman" w:hAnsi="Times New Roman" w:eastAsia="SchoolBookSanPin"/>
        </w:rPr>
        <w:t>11</w:t>
      </w:r>
      <w:r>
        <w:rPr>
          <w:rFonts w:ascii="Times New Roman" w:hAnsi="Times New Roman" w:eastAsia="OfficinaSansBoldITC"/>
        </w:rPr>
        <w:t>.8.4.5. </w:t>
      </w:r>
      <w:r>
        <w:rPr>
          <w:rFonts w:ascii="Times New Roman" w:hAnsi="Times New Roman" w:eastAsia="Times New Roman"/>
        </w:rPr>
        <w:t xml:space="preserve">Совместная деятельность </w:t>
      </w:r>
      <w:r>
        <w:rPr>
          <w:rFonts w:ascii="Times New Roman" w:hAnsi="Times New Roman" w:eastAsia="SchoolBookSanPin"/>
        </w:rPr>
        <w:t xml:space="preserve">способствует формированию умений: </w:t>
      </w:r>
    </w:p>
    <w:p w14:paraId="7F236E1B">
      <w:pPr>
        <w:pStyle w:val="67"/>
        <w:widowControl/>
        <w:spacing w:after="0" w:line="355" w:lineRule="auto"/>
        <w:ind w:left="0" w:firstLine="709"/>
        <w:jc w:val="both"/>
        <w:rPr>
          <w:rFonts w:ascii="Times New Roman" w:hAnsi="Times New Roman" w:eastAsia="Times New Roman"/>
          <w:lang w:eastAsia="ru-RU"/>
        </w:rPr>
      </w:pPr>
      <w:r>
        <w:rPr>
          <w:rFonts w:ascii="Times New Roman" w:hAnsi="Times New Roman" w:eastAsia="Times New Roman"/>
          <w:lang w:eastAsia="ru-RU"/>
        </w:rPr>
        <w:t xml:space="preserve">участвовать в совместной деятельности, выполнять роли руководителя (лидера), подчинённого; </w:t>
      </w:r>
    </w:p>
    <w:p w14:paraId="24E0CDB7">
      <w:pPr>
        <w:pStyle w:val="67"/>
        <w:widowControl/>
        <w:spacing w:after="0" w:line="355" w:lineRule="auto"/>
        <w:ind w:left="0" w:firstLine="709"/>
        <w:jc w:val="both"/>
        <w:rPr>
          <w:rFonts w:ascii="Times New Roman" w:hAnsi="Times New Roman" w:eastAsia="Times New Roman"/>
          <w:lang w:eastAsia="ru-RU"/>
        </w:rPr>
      </w:pPr>
      <w:r>
        <w:rPr>
          <w:rFonts w:ascii="Times New Roman" w:hAnsi="Times New Roman" w:eastAsia="Times New Roman"/>
          <w:lang w:eastAsia="ru-RU"/>
        </w:rPr>
        <w:t>оценивать результаты деятельности участников, положительно реагировать на советы и замечания в свой адрес;</w:t>
      </w:r>
    </w:p>
    <w:p w14:paraId="53DBD604">
      <w:pPr>
        <w:pStyle w:val="67"/>
        <w:widowControl/>
        <w:spacing w:after="0" w:line="355" w:lineRule="auto"/>
        <w:ind w:left="0" w:firstLine="709"/>
        <w:jc w:val="both"/>
        <w:rPr>
          <w:rFonts w:ascii="Times New Roman" w:hAnsi="Times New Roman" w:eastAsia="Times New Roman"/>
          <w:lang w:eastAsia="ru-RU"/>
        </w:rPr>
      </w:pPr>
      <w:r>
        <w:rPr>
          <w:rFonts w:ascii="Times New Roman" w:hAnsi="Times New Roman" w:eastAsia="Times New Roman"/>
          <w:lang w:eastAsia="ru-RU"/>
        </w:rPr>
        <w:t>выполнять правила совместной деятельности, признавать право другого человека иметь собственное суждение, мнение; самостоятельно разрешать возникающие конфликты с учётом этики общения.</w:t>
      </w:r>
    </w:p>
    <w:p w14:paraId="6FEFACBE">
      <w:pPr>
        <w:spacing w:after="0" w:line="355" w:lineRule="auto"/>
        <w:ind w:firstLine="709"/>
        <w:rPr>
          <w:rFonts w:ascii="Times New Roman" w:hAnsi="Times New Roman" w:eastAsia="OfficinaSansBoldITC"/>
        </w:rPr>
      </w:pPr>
      <w:r>
        <w:rPr>
          <w:rFonts w:ascii="Times New Roman" w:hAnsi="Times New Roman" w:eastAsia="SchoolBookSanPin"/>
        </w:rPr>
        <w:t>11</w:t>
      </w:r>
      <w:r>
        <w:rPr>
          <w:rFonts w:ascii="Times New Roman" w:hAnsi="Times New Roman" w:eastAsia="OfficinaSansBoldITC"/>
        </w:rPr>
        <w:t>.9. Содержание обучения в 4 классе.</w:t>
      </w:r>
    </w:p>
    <w:p w14:paraId="044DD136">
      <w:pPr>
        <w:spacing w:after="0" w:line="355" w:lineRule="auto"/>
        <w:ind w:firstLine="708"/>
        <w:rPr>
          <w:rFonts w:ascii="Times New Roman" w:hAnsi="Times New Roman" w:eastAsia="Times New Roman"/>
          <w:lang w:eastAsia="ru-RU"/>
        </w:rPr>
      </w:pPr>
      <w:r>
        <w:rPr>
          <w:rFonts w:ascii="Times New Roman" w:hAnsi="Times New Roman" w:eastAsia="SchoolBookSanPin"/>
        </w:rPr>
        <w:t>11</w:t>
      </w:r>
      <w:r>
        <w:rPr>
          <w:rFonts w:ascii="Times New Roman" w:hAnsi="Times New Roman" w:eastAsia="OfficinaSansBoldITC"/>
        </w:rPr>
        <w:t>.9.1. </w:t>
      </w:r>
      <w:r>
        <w:rPr>
          <w:rFonts w:ascii="Times New Roman" w:hAnsi="Times New Roman" w:eastAsia="Times New Roman"/>
          <w:iCs/>
          <w:lang w:eastAsia="ru-RU"/>
        </w:rPr>
        <w:t>Человек и общество.</w:t>
      </w:r>
    </w:p>
    <w:p w14:paraId="3FE09021">
      <w:pPr>
        <w:spacing w:after="0" w:line="355" w:lineRule="auto"/>
        <w:ind w:firstLine="709"/>
        <w:jc w:val="both"/>
        <w:rPr>
          <w:rFonts w:ascii="Times New Roman" w:hAnsi="Times New Roman" w:eastAsia="Times New Roman"/>
          <w:lang w:eastAsia="ru-RU"/>
        </w:rPr>
      </w:pPr>
      <w:r>
        <w:rPr>
          <w:rFonts w:ascii="Times New Roman" w:hAnsi="Times New Roman" w:eastAsia="SchoolBookSanPin"/>
        </w:rPr>
        <w:t>11</w:t>
      </w:r>
      <w:r>
        <w:rPr>
          <w:rFonts w:ascii="Times New Roman" w:hAnsi="Times New Roman" w:eastAsia="OfficinaSansBoldITC"/>
        </w:rPr>
        <w:t>.9.1.1. </w:t>
      </w:r>
      <w:r>
        <w:rPr>
          <w:rFonts w:ascii="Times New Roman" w:hAnsi="Times New Roman" w:eastAsia="Times New Roman"/>
          <w:lang w:eastAsia="ru-RU"/>
        </w:rPr>
        <w:t xml:space="preserve">Конституция – Основной закон Российской Федерации. Права и обязанности гражданина Российской Федерации. Президент Российской Федерации – глава государства. Политико-административная карта России. </w:t>
      </w:r>
    </w:p>
    <w:p w14:paraId="65A17F7B">
      <w:pPr>
        <w:spacing w:after="0" w:line="355" w:lineRule="auto"/>
        <w:ind w:firstLine="709"/>
        <w:jc w:val="both"/>
        <w:rPr>
          <w:rFonts w:ascii="Times New Roman" w:hAnsi="Times New Roman" w:eastAsia="Times New Roman"/>
          <w:lang w:eastAsia="ru-RU"/>
        </w:rPr>
      </w:pPr>
      <w:r>
        <w:rPr>
          <w:rFonts w:ascii="Times New Roman" w:hAnsi="Times New Roman" w:eastAsia="SchoolBookSanPin"/>
        </w:rPr>
        <w:t>11</w:t>
      </w:r>
      <w:r>
        <w:rPr>
          <w:rFonts w:ascii="Times New Roman" w:hAnsi="Times New Roman" w:eastAsia="OfficinaSansBoldITC"/>
        </w:rPr>
        <w:t>.9.1.2. </w:t>
      </w:r>
      <w:r>
        <w:rPr>
          <w:rFonts w:ascii="Times New Roman" w:hAnsi="Times New Roman" w:eastAsia="Times New Roman"/>
          <w:lang w:eastAsia="ru-RU"/>
        </w:rPr>
        <w:t>Общая характеристика родного края, важнейшие достопримечательности, знаменитые соотечественники.</w:t>
      </w:r>
    </w:p>
    <w:p w14:paraId="146DD84B">
      <w:pPr>
        <w:spacing w:after="0" w:line="355" w:lineRule="auto"/>
        <w:ind w:firstLine="709"/>
        <w:jc w:val="both"/>
        <w:rPr>
          <w:rFonts w:ascii="Times New Roman" w:hAnsi="Times New Roman" w:eastAsia="Times New Roman"/>
          <w:lang w:eastAsia="ru-RU"/>
        </w:rPr>
      </w:pPr>
      <w:r>
        <w:rPr>
          <w:rFonts w:ascii="Times New Roman" w:hAnsi="Times New Roman" w:eastAsia="SchoolBookSanPin"/>
        </w:rPr>
        <w:t>11</w:t>
      </w:r>
      <w:r>
        <w:rPr>
          <w:rFonts w:ascii="Times New Roman" w:hAnsi="Times New Roman" w:eastAsia="OfficinaSansBoldITC"/>
        </w:rPr>
        <w:t>.9.1.3. </w:t>
      </w:r>
      <w:r>
        <w:rPr>
          <w:rFonts w:ascii="Times New Roman" w:hAnsi="Times New Roman" w:eastAsia="Times New Roman"/>
          <w:lang w:eastAsia="ru-RU"/>
        </w:rPr>
        <w:t>Города России. Святыни городов России. Главный город родного края: достопримечательности, история и характеристика отдельных исторических событий, связанных с ним.</w:t>
      </w:r>
    </w:p>
    <w:p w14:paraId="2EC11764">
      <w:pPr>
        <w:spacing w:after="0" w:line="355" w:lineRule="auto"/>
        <w:ind w:firstLine="709"/>
        <w:jc w:val="both"/>
        <w:rPr>
          <w:rFonts w:ascii="Times New Roman" w:hAnsi="Times New Roman" w:eastAsia="Times New Roman"/>
          <w:lang w:eastAsia="ru-RU"/>
        </w:rPr>
      </w:pPr>
      <w:r>
        <w:rPr>
          <w:rFonts w:ascii="Times New Roman" w:hAnsi="Times New Roman" w:eastAsia="SchoolBookSanPin"/>
        </w:rPr>
        <w:t>11</w:t>
      </w:r>
      <w:r>
        <w:rPr>
          <w:rFonts w:ascii="Times New Roman" w:hAnsi="Times New Roman" w:eastAsia="OfficinaSansBoldITC"/>
        </w:rPr>
        <w:t>.9.1.4. </w:t>
      </w:r>
      <w:r>
        <w:rPr>
          <w:rFonts w:ascii="Times New Roman" w:hAnsi="Times New Roman" w:eastAsia="Times New Roman"/>
          <w:lang w:eastAsia="ru-RU"/>
        </w:rPr>
        <w:t>Праздник в жизни общества как средство укрепления общественной солидарности и упрочения духовных связей между соотечественниками. Новый год, День защитника Отечества, Международный женский день, День весны и труда, День Победы, День России, День народного единства, День Конституции. Праздники и памятные даты своего региона. Уважение к культуре, истории, традициям своего народа и других народов, государственным символам России.</w:t>
      </w:r>
    </w:p>
    <w:p w14:paraId="756A30A4">
      <w:pPr>
        <w:spacing w:after="0" w:line="355" w:lineRule="auto"/>
        <w:ind w:firstLine="709"/>
        <w:jc w:val="both"/>
        <w:rPr>
          <w:rFonts w:ascii="Times New Roman" w:hAnsi="Times New Roman" w:eastAsia="Times New Roman"/>
          <w:lang w:eastAsia="ru-RU"/>
        </w:rPr>
      </w:pPr>
      <w:r>
        <w:rPr>
          <w:rFonts w:ascii="Times New Roman" w:hAnsi="Times New Roman" w:eastAsia="SchoolBookSanPin"/>
        </w:rPr>
        <w:t>11</w:t>
      </w:r>
      <w:r>
        <w:rPr>
          <w:rFonts w:ascii="Times New Roman" w:hAnsi="Times New Roman" w:eastAsia="OfficinaSansBoldITC"/>
        </w:rPr>
        <w:t>.9.1.5. </w:t>
      </w:r>
      <w:r>
        <w:rPr>
          <w:rFonts w:ascii="Times New Roman" w:hAnsi="Times New Roman" w:eastAsia="Times New Roman"/>
          <w:lang w:eastAsia="ru-RU"/>
        </w:rPr>
        <w:t>История Отечества. «Лента времени» и историческая карта.</w:t>
      </w:r>
    </w:p>
    <w:p w14:paraId="2B8663E7">
      <w:pPr>
        <w:spacing w:after="0" w:line="355" w:lineRule="auto"/>
        <w:ind w:firstLine="709"/>
        <w:jc w:val="both"/>
        <w:rPr>
          <w:rFonts w:ascii="Times New Roman" w:hAnsi="Times New Roman" w:eastAsia="Times New Roman"/>
          <w:lang w:eastAsia="ru-RU"/>
        </w:rPr>
      </w:pPr>
      <w:r>
        <w:rPr>
          <w:rFonts w:ascii="Times New Roman" w:hAnsi="Times New Roman" w:eastAsia="SchoolBookSanPin"/>
        </w:rPr>
        <w:t>11</w:t>
      </w:r>
      <w:r>
        <w:rPr>
          <w:rFonts w:ascii="Times New Roman" w:hAnsi="Times New Roman" w:eastAsia="OfficinaSansBoldITC"/>
        </w:rPr>
        <w:t>.9.1.6. </w:t>
      </w:r>
      <w:r>
        <w:rPr>
          <w:rFonts w:ascii="Times New Roman" w:hAnsi="Times New Roman" w:eastAsia="Times New Roman"/>
          <w:lang w:eastAsia="ru-RU"/>
        </w:rPr>
        <w:t xml:space="preserve">Наиболее важные и яркие события общественной и культурной жизни страны в разные исторические периоды: государство Русь, Московское государство, Российская империя, СССР, Российская Федерация. Картины быта, труда, духовно-нравственные и культурные традиции людей в разные исторические времена. Выдающиеся люди разных эпох как носители базовых национальных ценностей. </w:t>
      </w:r>
    </w:p>
    <w:p w14:paraId="6A036889">
      <w:pPr>
        <w:spacing w:after="0" w:line="355" w:lineRule="auto"/>
        <w:ind w:firstLine="709"/>
        <w:jc w:val="both"/>
        <w:rPr>
          <w:rFonts w:ascii="Times New Roman" w:hAnsi="Times New Roman" w:eastAsia="Times New Roman"/>
          <w:lang w:eastAsia="ru-RU"/>
        </w:rPr>
      </w:pPr>
      <w:r>
        <w:rPr>
          <w:rFonts w:ascii="Times New Roman" w:hAnsi="Times New Roman" w:eastAsia="SchoolBookSanPin"/>
        </w:rPr>
        <w:t>11</w:t>
      </w:r>
      <w:r>
        <w:rPr>
          <w:rFonts w:ascii="Times New Roman" w:hAnsi="Times New Roman" w:eastAsia="OfficinaSansBoldITC"/>
        </w:rPr>
        <w:t>.9.1.7. </w:t>
      </w:r>
      <w:r>
        <w:rPr>
          <w:rFonts w:ascii="Times New Roman" w:hAnsi="Times New Roman" w:eastAsia="Times New Roman"/>
          <w:lang w:eastAsia="ru-RU"/>
        </w:rPr>
        <w:t>Наиболее значимые объекты списка Всемирного культурного наследия в России и за рубежом. Охрана памятников истории и культуры. Посильное участие в охране памятников истории и культуры своего края.</w:t>
      </w:r>
    </w:p>
    <w:p w14:paraId="2E4E4706">
      <w:pPr>
        <w:spacing w:after="0" w:line="355" w:lineRule="auto"/>
        <w:ind w:firstLine="709"/>
        <w:jc w:val="both"/>
        <w:rPr>
          <w:rFonts w:ascii="Times New Roman" w:hAnsi="Times New Roman" w:eastAsia="Times New Roman"/>
          <w:lang w:eastAsia="ru-RU"/>
        </w:rPr>
      </w:pPr>
      <w:r>
        <w:rPr>
          <w:rFonts w:ascii="Times New Roman" w:hAnsi="Times New Roman" w:eastAsia="SchoolBookSanPin"/>
        </w:rPr>
        <w:t>11</w:t>
      </w:r>
      <w:r>
        <w:rPr>
          <w:rFonts w:ascii="Times New Roman" w:hAnsi="Times New Roman" w:eastAsia="OfficinaSansBoldITC"/>
        </w:rPr>
        <w:t>.9.1.8. </w:t>
      </w:r>
      <w:r>
        <w:rPr>
          <w:rFonts w:ascii="Times New Roman" w:hAnsi="Times New Roman" w:eastAsia="Times New Roman"/>
          <w:lang w:eastAsia="ru-RU"/>
        </w:rPr>
        <w:t>Личная ответственность каждого человека за сохранность историко-культурного наследия своего края.</w:t>
      </w:r>
    </w:p>
    <w:p w14:paraId="614716B1">
      <w:pPr>
        <w:spacing w:after="0" w:line="355" w:lineRule="auto"/>
        <w:ind w:firstLine="709"/>
        <w:jc w:val="both"/>
        <w:rPr>
          <w:rFonts w:ascii="Times New Roman" w:hAnsi="Times New Roman" w:eastAsia="Times New Roman"/>
          <w:lang w:eastAsia="ru-RU"/>
        </w:rPr>
      </w:pPr>
      <w:r>
        <w:rPr>
          <w:rFonts w:ascii="Times New Roman" w:hAnsi="Times New Roman" w:eastAsia="SchoolBookSanPin"/>
        </w:rPr>
        <w:t>11</w:t>
      </w:r>
      <w:r>
        <w:rPr>
          <w:rFonts w:ascii="Times New Roman" w:hAnsi="Times New Roman" w:eastAsia="OfficinaSansBoldITC"/>
        </w:rPr>
        <w:t>.9.1.9. </w:t>
      </w:r>
      <w:r>
        <w:rPr>
          <w:rFonts w:ascii="Times New Roman" w:hAnsi="Times New Roman" w:eastAsia="Times New Roman"/>
          <w:lang w:eastAsia="ru-RU"/>
        </w:rPr>
        <w:t>Правила нравственного поведения в социуме, отношение к людям независимо от их национальности, социального статуса, религиозной принадлежности.</w:t>
      </w:r>
    </w:p>
    <w:p w14:paraId="32DC7EBB">
      <w:pPr>
        <w:spacing w:after="0" w:line="355" w:lineRule="auto"/>
        <w:ind w:firstLine="708"/>
        <w:rPr>
          <w:rFonts w:ascii="Times New Roman" w:hAnsi="Times New Roman" w:eastAsia="Times New Roman"/>
          <w:lang w:eastAsia="ru-RU"/>
        </w:rPr>
      </w:pPr>
      <w:r>
        <w:rPr>
          <w:rFonts w:ascii="Times New Roman" w:hAnsi="Times New Roman" w:eastAsia="SchoolBookSanPin"/>
        </w:rPr>
        <w:t>11</w:t>
      </w:r>
      <w:r>
        <w:rPr>
          <w:rFonts w:ascii="Times New Roman" w:hAnsi="Times New Roman" w:eastAsia="OfficinaSansBoldITC"/>
        </w:rPr>
        <w:t>.9.2. </w:t>
      </w:r>
      <w:r>
        <w:rPr>
          <w:rFonts w:ascii="Times New Roman" w:hAnsi="Times New Roman" w:eastAsia="Times New Roman"/>
          <w:iCs/>
          <w:lang w:eastAsia="ru-RU"/>
        </w:rPr>
        <w:t>Человек и природа.</w:t>
      </w:r>
    </w:p>
    <w:p w14:paraId="7E038760">
      <w:pPr>
        <w:spacing w:after="0" w:line="355" w:lineRule="auto"/>
        <w:ind w:firstLine="709"/>
        <w:jc w:val="both"/>
        <w:rPr>
          <w:rFonts w:ascii="Times New Roman" w:hAnsi="Times New Roman" w:eastAsia="Times New Roman"/>
          <w:lang w:eastAsia="ru-RU"/>
        </w:rPr>
      </w:pPr>
      <w:r>
        <w:rPr>
          <w:rFonts w:ascii="Times New Roman" w:hAnsi="Times New Roman" w:eastAsia="SchoolBookSanPin"/>
        </w:rPr>
        <w:t>11</w:t>
      </w:r>
      <w:r>
        <w:rPr>
          <w:rFonts w:ascii="Times New Roman" w:hAnsi="Times New Roman" w:eastAsia="OfficinaSansBoldITC"/>
        </w:rPr>
        <w:t>.9.2.1. </w:t>
      </w:r>
      <w:r>
        <w:rPr>
          <w:rFonts w:ascii="Times New Roman" w:hAnsi="Times New Roman" w:eastAsia="Times New Roman"/>
          <w:lang w:eastAsia="ru-RU"/>
        </w:rPr>
        <w:t xml:space="preserve">Методы познания окружающей природы: наблюдения, сравнения, измерения, опыты по исследованию природных объектов и явлений. </w:t>
      </w:r>
    </w:p>
    <w:p w14:paraId="3AEE4F09">
      <w:pPr>
        <w:spacing w:after="0" w:line="355" w:lineRule="auto"/>
        <w:ind w:firstLine="709"/>
        <w:jc w:val="both"/>
        <w:rPr>
          <w:rFonts w:ascii="Times New Roman" w:hAnsi="Times New Roman" w:eastAsia="Times New Roman"/>
          <w:lang w:eastAsia="ru-RU"/>
        </w:rPr>
      </w:pPr>
      <w:r>
        <w:rPr>
          <w:rFonts w:ascii="Times New Roman" w:hAnsi="Times New Roman" w:eastAsia="SchoolBookSanPin"/>
        </w:rPr>
        <w:t>11</w:t>
      </w:r>
      <w:r>
        <w:rPr>
          <w:rFonts w:ascii="Times New Roman" w:hAnsi="Times New Roman" w:eastAsia="OfficinaSansBoldITC"/>
        </w:rPr>
        <w:t>.9.2.2. </w:t>
      </w:r>
      <w:r>
        <w:rPr>
          <w:rFonts w:ascii="Times New Roman" w:hAnsi="Times New Roman" w:eastAsia="Times New Roman"/>
          <w:lang w:eastAsia="ru-RU"/>
        </w:rPr>
        <w:t xml:space="preserve">Солнце – ближайшая к нам звезда, источник света и тепла для всего живого на Земле. Характеристика планет Солнечной системы. Естественные спутники планет. Смена дня и ночи на Земле. Вращение Земли как причина смены дня и ночи. Обращение Земли вокруг Солнца и смена времён года. </w:t>
      </w:r>
    </w:p>
    <w:p w14:paraId="46D74F28">
      <w:pPr>
        <w:spacing w:after="0" w:line="355" w:lineRule="auto"/>
        <w:ind w:firstLine="709"/>
        <w:jc w:val="both"/>
        <w:rPr>
          <w:rFonts w:ascii="Times New Roman" w:hAnsi="Times New Roman" w:eastAsia="Times New Roman"/>
          <w:lang w:eastAsia="ru-RU"/>
        </w:rPr>
      </w:pPr>
      <w:r>
        <w:rPr>
          <w:rFonts w:ascii="Times New Roman" w:hAnsi="Times New Roman" w:eastAsia="SchoolBookSanPin"/>
        </w:rPr>
        <w:t>11</w:t>
      </w:r>
      <w:r>
        <w:rPr>
          <w:rFonts w:ascii="Times New Roman" w:hAnsi="Times New Roman" w:eastAsia="OfficinaSansBoldITC"/>
        </w:rPr>
        <w:t>.9.2.3. </w:t>
      </w:r>
      <w:r>
        <w:rPr>
          <w:rFonts w:ascii="Times New Roman" w:hAnsi="Times New Roman" w:eastAsia="Times New Roman"/>
          <w:lang w:eastAsia="ru-RU"/>
        </w:rPr>
        <w:t xml:space="preserve">Формы земной поверхности: равнины, горы, холмы, овраги (общее представление, условное обозначение равнин и гор на карте). Равнины и горы России. Особенности поверхности родного края (краткая характеристика на основе наблюдений). </w:t>
      </w:r>
    </w:p>
    <w:p w14:paraId="5FB8FD6C">
      <w:pPr>
        <w:spacing w:after="0" w:line="355" w:lineRule="auto"/>
        <w:ind w:firstLine="709"/>
        <w:jc w:val="both"/>
        <w:rPr>
          <w:rFonts w:ascii="Times New Roman" w:hAnsi="Times New Roman" w:eastAsia="Times New Roman"/>
          <w:lang w:eastAsia="ru-RU"/>
        </w:rPr>
      </w:pPr>
      <w:r>
        <w:rPr>
          <w:rFonts w:ascii="Times New Roman" w:hAnsi="Times New Roman" w:eastAsia="SchoolBookSanPin"/>
        </w:rPr>
        <w:t>11</w:t>
      </w:r>
      <w:r>
        <w:rPr>
          <w:rFonts w:ascii="Times New Roman" w:hAnsi="Times New Roman" w:eastAsia="OfficinaSansBoldITC"/>
        </w:rPr>
        <w:t>.9.2.4. </w:t>
      </w:r>
      <w:r>
        <w:rPr>
          <w:rFonts w:ascii="Times New Roman" w:hAnsi="Times New Roman" w:eastAsia="Times New Roman"/>
          <w:lang w:eastAsia="ru-RU"/>
        </w:rPr>
        <w:t>Водоёмы, их разнообразие (океан, море, озеро, пруд, болото); река как водный поток; использование рек и водоёмов человеком. Крупнейшие реки и озёра России, моря, омывающие её берега, океаны. Водоёмы и реки родного края (названия, краткая характеристика на основе наблюдений).</w:t>
      </w:r>
    </w:p>
    <w:p w14:paraId="52B6C439">
      <w:pPr>
        <w:spacing w:after="0" w:line="355" w:lineRule="auto"/>
        <w:ind w:firstLine="709"/>
        <w:jc w:val="both"/>
        <w:rPr>
          <w:rFonts w:ascii="Times New Roman" w:hAnsi="Times New Roman" w:eastAsia="Times New Roman"/>
          <w:lang w:eastAsia="ru-RU"/>
        </w:rPr>
      </w:pPr>
      <w:r>
        <w:rPr>
          <w:rFonts w:ascii="Times New Roman" w:hAnsi="Times New Roman" w:eastAsia="SchoolBookSanPin"/>
        </w:rPr>
        <w:t>11</w:t>
      </w:r>
      <w:r>
        <w:rPr>
          <w:rFonts w:ascii="Times New Roman" w:hAnsi="Times New Roman" w:eastAsia="OfficinaSansBoldITC"/>
        </w:rPr>
        <w:t>.9.2.5. </w:t>
      </w:r>
      <w:r>
        <w:rPr>
          <w:rFonts w:ascii="Times New Roman" w:hAnsi="Times New Roman" w:eastAsia="Times New Roman"/>
          <w:lang w:eastAsia="ru-RU"/>
        </w:rPr>
        <w:t>Наиболее значимые природные объекты списка Всемирного наследия в России и за рубежом (2–3 объекта).</w:t>
      </w:r>
    </w:p>
    <w:p w14:paraId="68403199">
      <w:pPr>
        <w:spacing w:after="0" w:line="355" w:lineRule="auto"/>
        <w:ind w:firstLine="709"/>
        <w:jc w:val="both"/>
        <w:rPr>
          <w:rFonts w:ascii="Times New Roman" w:hAnsi="Times New Roman" w:eastAsia="Times New Roman"/>
          <w:lang w:eastAsia="ru-RU"/>
        </w:rPr>
      </w:pPr>
      <w:r>
        <w:rPr>
          <w:rFonts w:ascii="Times New Roman" w:hAnsi="Times New Roman" w:eastAsia="SchoolBookSanPin"/>
        </w:rPr>
        <w:t>11</w:t>
      </w:r>
      <w:r>
        <w:rPr>
          <w:rFonts w:ascii="Times New Roman" w:hAnsi="Times New Roman" w:eastAsia="OfficinaSansBoldITC"/>
        </w:rPr>
        <w:t>.9.2.6. </w:t>
      </w:r>
      <w:r>
        <w:rPr>
          <w:rFonts w:ascii="Times New Roman" w:hAnsi="Times New Roman" w:eastAsia="Times New Roman"/>
          <w:lang w:eastAsia="ru-RU"/>
        </w:rPr>
        <w:t>Природные зоны России: общее представление, основные природные зоны (климат, растительный и животный мир, особенности труда и быта людей, влияние человека на природу изучаемых зон, охрана природы). Связи в природных зонах.</w:t>
      </w:r>
    </w:p>
    <w:p w14:paraId="6067F0E2">
      <w:pPr>
        <w:spacing w:after="0" w:line="355" w:lineRule="auto"/>
        <w:ind w:firstLine="709"/>
        <w:jc w:val="both"/>
        <w:rPr>
          <w:rFonts w:ascii="Times New Roman" w:hAnsi="Times New Roman" w:eastAsia="Times New Roman"/>
          <w:lang w:eastAsia="ru-RU"/>
        </w:rPr>
      </w:pPr>
      <w:r>
        <w:rPr>
          <w:rFonts w:ascii="Times New Roman" w:hAnsi="Times New Roman" w:eastAsia="SchoolBookSanPin"/>
        </w:rPr>
        <w:t>11</w:t>
      </w:r>
      <w:r>
        <w:rPr>
          <w:rFonts w:ascii="Times New Roman" w:hAnsi="Times New Roman" w:eastAsia="OfficinaSansBoldITC"/>
        </w:rPr>
        <w:t>.9.2.7. </w:t>
      </w:r>
      <w:r>
        <w:rPr>
          <w:rFonts w:ascii="Times New Roman" w:hAnsi="Times New Roman" w:eastAsia="Times New Roman"/>
          <w:lang w:eastAsia="ru-RU"/>
        </w:rPr>
        <w:t>Некоторые доступные для понимания экологические проблемы взаимодействия человека и природы. Охрана природных богатств: воды, воздуха, полезных ископаемых, растительного и животного мира. Правила нравственного поведения в природе. Международная Красная книга (отдельные примеры).</w:t>
      </w:r>
    </w:p>
    <w:p w14:paraId="6540E6B3">
      <w:pPr>
        <w:spacing w:after="0" w:line="355" w:lineRule="auto"/>
        <w:ind w:firstLine="708"/>
        <w:rPr>
          <w:rFonts w:ascii="Times New Roman" w:hAnsi="Times New Roman" w:eastAsia="Times New Roman"/>
          <w:lang w:eastAsia="ru-RU"/>
        </w:rPr>
      </w:pPr>
      <w:r>
        <w:rPr>
          <w:rFonts w:ascii="Times New Roman" w:hAnsi="Times New Roman" w:eastAsia="OfficinaSansBoldITC"/>
        </w:rPr>
        <w:t>11.9.3. </w:t>
      </w:r>
      <w:r>
        <w:rPr>
          <w:rFonts w:ascii="Times New Roman" w:hAnsi="Times New Roman" w:eastAsia="Times New Roman"/>
          <w:iCs/>
          <w:lang w:eastAsia="ru-RU"/>
        </w:rPr>
        <w:t>Правила безопасной жизнедеятельности.</w:t>
      </w:r>
    </w:p>
    <w:p w14:paraId="681B6394">
      <w:pPr>
        <w:spacing w:after="0" w:line="355" w:lineRule="auto"/>
        <w:ind w:firstLine="709"/>
        <w:jc w:val="both"/>
        <w:rPr>
          <w:rFonts w:ascii="Times New Roman" w:hAnsi="Times New Roman" w:eastAsia="Times New Roman"/>
          <w:lang w:eastAsia="ru-RU"/>
        </w:rPr>
      </w:pPr>
      <w:r>
        <w:rPr>
          <w:rFonts w:ascii="Times New Roman" w:hAnsi="Times New Roman" w:eastAsia="SchoolBookSanPin"/>
        </w:rPr>
        <w:t>11</w:t>
      </w:r>
      <w:r>
        <w:rPr>
          <w:rFonts w:ascii="Times New Roman" w:hAnsi="Times New Roman" w:eastAsia="OfficinaSansBoldITC"/>
        </w:rPr>
        <w:t>.9.3.1. </w:t>
      </w:r>
      <w:r>
        <w:rPr>
          <w:rFonts w:ascii="Times New Roman" w:hAnsi="Times New Roman" w:eastAsia="Times New Roman"/>
          <w:lang w:eastAsia="ru-RU"/>
        </w:rPr>
        <w:t>Здоровый образ жизни: профилактика вредных привычек.</w:t>
      </w:r>
    </w:p>
    <w:p w14:paraId="20767F05">
      <w:pPr>
        <w:spacing w:after="0" w:line="355" w:lineRule="auto"/>
        <w:ind w:firstLine="709"/>
        <w:jc w:val="both"/>
        <w:rPr>
          <w:rFonts w:ascii="Times New Roman" w:hAnsi="Times New Roman" w:eastAsia="Times New Roman"/>
          <w:lang w:eastAsia="ru-RU"/>
        </w:rPr>
      </w:pPr>
      <w:r>
        <w:rPr>
          <w:rFonts w:ascii="Times New Roman" w:hAnsi="Times New Roman" w:eastAsia="SchoolBookSanPin"/>
        </w:rPr>
        <w:t>11</w:t>
      </w:r>
      <w:r>
        <w:rPr>
          <w:rFonts w:ascii="Times New Roman" w:hAnsi="Times New Roman" w:eastAsia="OfficinaSansBoldITC"/>
        </w:rPr>
        <w:t>.9.3.2. </w:t>
      </w:r>
      <w:r>
        <w:rPr>
          <w:rFonts w:ascii="Times New Roman" w:hAnsi="Times New Roman" w:eastAsia="Times New Roman"/>
          <w:lang w:eastAsia="ru-RU"/>
        </w:rPr>
        <w:t xml:space="preserve">Безопасность в городе (планирование маршрутов с учётом транспортной инфраструктуры города; правила безопасного поведения в общественных местах, зонах отдыха, учреждениях культуры). </w:t>
      </w:r>
    </w:p>
    <w:p w14:paraId="68262A43">
      <w:pPr>
        <w:spacing w:after="0" w:line="355" w:lineRule="auto"/>
        <w:ind w:firstLine="709"/>
        <w:jc w:val="both"/>
        <w:rPr>
          <w:rFonts w:ascii="Times New Roman" w:hAnsi="Times New Roman" w:eastAsia="Times New Roman"/>
          <w:lang w:eastAsia="ru-RU"/>
        </w:rPr>
      </w:pPr>
      <w:r>
        <w:rPr>
          <w:rFonts w:ascii="Times New Roman" w:hAnsi="Times New Roman" w:eastAsia="SchoolBookSanPin"/>
        </w:rPr>
        <w:t>11</w:t>
      </w:r>
      <w:r>
        <w:rPr>
          <w:rFonts w:ascii="Times New Roman" w:hAnsi="Times New Roman" w:eastAsia="OfficinaSansBoldITC"/>
        </w:rPr>
        <w:t>.9.3.3. </w:t>
      </w:r>
      <w:r>
        <w:rPr>
          <w:rFonts w:ascii="Times New Roman" w:hAnsi="Times New Roman" w:eastAsia="Times New Roman"/>
          <w:lang w:eastAsia="ru-RU"/>
        </w:rPr>
        <w:t xml:space="preserve">Правила безопасного поведения велосипедиста с учётом дорожных знаков и разметки, сигналов и средств защиты велосипедиста, правила использования самоката и других средств индивидуальной мобильности. </w:t>
      </w:r>
    </w:p>
    <w:p w14:paraId="73F612DA">
      <w:pPr>
        <w:spacing w:after="0" w:line="355" w:lineRule="auto"/>
        <w:ind w:firstLine="709"/>
        <w:jc w:val="both"/>
        <w:rPr>
          <w:rFonts w:ascii="Times New Roman" w:hAnsi="Times New Roman" w:eastAsia="Times New Roman"/>
          <w:lang w:eastAsia="ru-RU"/>
        </w:rPr>
      </w:pPr>
      <w:r>
        <w:rPr>
          <w:rFonts w:ascii="Times New Roman" w:hAnsi="Times New Roman" w:eastAsia="SchoolBookSanPin"/>
        </w:rPr>
        <w:t>11</w:t>
      </w:r>
      <w:r>
        <w:rPr>
          <w:rFonts w:ascii="Times New Roman" w:hAnsi="Times New Roman" w:eastAsia="OfficinaSansBoldITC"/>
        </w:rPr>
        <w:t>.9.3.4. </w:t>
      </w:r>
      <w:r>
        <w:rPr>
          <w:rFonts w:ascii="Times New Roman" w:hAnsi="Times New Roman" w:eastAsia="Times New Roman"/>
          <w:lang w:eastAsia="ru-RU"/>
        </w:rPr>
        <w:t>Безопасность в Интернете (поиск достоверной информации, опознавание государственных образовательных ресурсов и детских развлекательных порталов) в условиях контролируемого доступа в Интернет.</w:t>
      </w:r>
    </w:p>
    <w:p w14:paraId="7AE47119">
      <w:pPr>
        <w:spacing w:after="0" w:line="355" w:lineRule="auto"/>
        <w:ind w:firstLine="709"/>
        <w:jc w:val="both"/>
        <w:rPr>
          <w:rFonts w:ascii="Times New Roman" w:hAnsi="Times New Roman" w:eastAsia="SchoolBookSanPin"/>
          <w:bCs/>
        </w:rPr>
      </w:pPr>
      <w:r>
        <w:rPr>
          <w:rFonts w:ascii="Times New Roman" w:hAnsi="Times New Roman" w:eastAsia="SchoolBookSanPin"/>
        </w:rPr>
        <w:t xml:space="preserve">11.9.4. Изучение окружающего мира в 4 классе способствует </w:t>
      </w:r>
      <w:r>
        <w:rPr>
          <w:rFonts w:ascii="Times New Roman" w:hAnsi="Times New Roman" w:eastAsia="Times New Roman"/>
        </w:rPr>
        <w:t>освоению ряда универсальных учебных действий</w:t>
      </w:r>
      <w:r>
        <w:rPr>
          <w:rFonts w:ascii="Times New Roman" w:hAnsi="Times New Roman" w:eastAsia="SchoolBookSanPin"/>
        </w:rPr>
        <w:t xml:space="preserve">: </w:t>
      </w:r>
      <w:r>
        <w:rPr>
          <w:rFonts w:ascii="Times New Roman" w:hAnsi="Times New Roman" w:eastAsia="SchoolBookSanPin"/>
          <w:bCs/>
        </w:rPr>
        <w:t xml:space="preserve">познавательных универсальных учебных действий, коммуникативных универсальных учебных действий, регулятивных универсальных учебных действий, совместной деятельности. </w:t>
      </w:r>
    </w:p>
    <w:p w14:paraId="079A2834">
      <w:pPr>
        <w:spacing w:after="0" w:line="355" w:lineRule="auto"/>
        <w:ind w:firstLine="709"/>
        <w:jc w:val="both"/>
        <w:rPr>
          <w:rFonts w:ascii="Times New Roman" w:hAnsi="Times New Roman" w:eastAsia="SchoolBookSanPin"/>
        </w:rPr>
      </w:pPr>
      <w:r>
        <w:rPr>
          <w:rFonts w:ascii="Times New Roman" w:hAnsi="Times New Roman" w:eastAsia="SchoolBookSanPin"/>
        </w:rPr>
        <w:t>11</w:t>
      </w:r>
      <w:r>
        <w:rPr>
          <w:rFonts w:ascii="Times New Roman" w:hAnsi="Times New Roman" w:eastAsia="OfficinaSansBoldITC"/>
        </w:rPr>
        <w:t>.9.4.1. </w:t>
      </w:r>
      <w:r>
        <w:rPr>
          <w:rFonts w:ascii="Times New Roman" w:hAnsi="Times New Roman" w:eastAsia="SchoolBookSanPin"/>
        </w:rPr>
        <w:t xml:space="preserve">Базовые логические и исследовательские действия как часть </w:t>
      </w:r>
      <w:r>
        <w:rPr>
          <w:rFonts w:ascii="Times New Roman" w:hAnsi="Times New Roman" w:eastAsia="SchoolBookSanPin"/>
          <w:bCs/>
        </w:rPr>
        <w:t>познавательных универсальных учебных действий</w:t>
      </w:r>
      <w:r>
        <w:rPr>
          <w:rFonts w:ascii="Times New Roman" w:hAnsi="Times New Roman" w:eastAsia="SchoolBookSanPin"/>
        </w:rPr>
        <w:t xml:space="preserve"> способствуют формированию умений:</w:t>
      </w:r>
    </w:p>
    <w:p w14:paraId="1E83FF6F">
      <w:pPr>
        <w:pStyle w:val="67"/>
        <w:widowControl/>
        <w:spacing w:after="0" w:line="355" w:lineRule="auto"/>
        <w:ind w:left="0" w:firstLine="709"/>
        <w:jc w:val="both"/>
        <w:rPr>
          <w:rFonts w:ascii="Times New Roman" w:hAnsi="Times New Roman" w:eastAsia="Times New Roman"/>
          <w:lang w:eastAsia="ru-RU"/>
        </w:rPr>
      </w:pPr>
      <w:r>
        <w:rPr>
          <w:rFonts w:ascii="Times New Roman" w:hAnsi="Times New Roman" w:eastAsia="Times New Roman"/>
          <w:lang w:eastAsia="ru-RU"/>
        </w:rPr>
        <w:t>устанавливать последовательность этапов возрастного развития человека;</w:t>
      </w:r>
    </w:p>
    <w:p w14:paraId="4D001B33">
      <w:pPr>
        <w:pStyle w:val="67"/>
        <w:widowControl/>
        <w:spacing w:after="0" w:line="355" w:lineRule="auto"/>
        <w:ind w:left="0" w:firstLine="709"/>
        <w:jc w:val="both"/>
        <w:rPr>
          <w:rFonts w:ascii="Times New Roman" w:hAnsi="Times New Roman" w:eastAsia="Times New Roman"/>
          <w:lang w:eastAsia="ru-RU"/>
        </w:rPr>
      </w:pPr>
      <w:r>
        <w:rPr>
          <w:rFonts w:ascii="Times New Roman" w:hAnsi="Times New Roman" w:eastAsia="Times New Roman"/>
          <w:lang w:eastAsia="ru-RU"/>
        </w:rPr>
        <w:t>конструировать в учебных и игровых ситуациях правила безопасного поведения в среде обитания;</w:t>
      </w:r>
    </w:p>
    <w:p w14:paraId="41C6F19F">
      <w:pPr>
        <w:pStyle w:val="67"/>
        <w:widowControl/>
        <w:spacing w:after="0" w:line="355" w:lineRule="auto"/>
        <w:ind w:left="0" w:firstLine="709"/>
        <w:jc w:val="both"/>
        <w:rPr>
          <w:rFonts w:ascii="Times New Roman" w:hAnsi="Times New Roman" w:eastAsia="Times New Roman"/>
          <w:lang w:eastAsia="ru-RU"/>
        </w:rPr>
      </w:pPr>
      <w:r>
        <w:rPr>
          <w:rFonts w:ascii="Times New Roman" w:hAnsi="Times New Roman" w:eastAsia="Times New Roman"/>
          <w:lang w:eastAsia="ru-RU"/>
        </w:rPr>
        <w:t>моделировать схемы природных объектов (строение почвы; движение реки, форма поверхности);</w:t>
      </w:r>
    </w:p>
    <w:p w14:paraId="54D587F9">
      <w:pPr>
        <w:pStyle w:val="67"/>
        <w:widowControl/>
        <w:spacing w:after="0" w:line="355" w:lineRule="auto"/>
        <w:ind w:left="0" w:firstLine="709"/>
        <w:jc w:val="both"/>
        <w:rPr>
          <w:rFonts w:ascii="Times New Roman" w:hAnsi="Times New Roman" w:eastAsia="Times New Roman"/>
          <w:lang w:eastAsia="ru-RU"/>
        </w:rPr>
      </w:pPr>
      <w:r>
        <w:rPr>
          <w:rFonts w:ascii="Times New Roman" w:hAnsi="Times New Roman" w:eastAsia="Times New Roman"/>
          <w:lang w:eastAsia="ru-RU"/>
        </w:rPr>
        <w:t>соотносить объекты природы с принадлежностью к определённой природной зоне;</w:t>
      </w:r>
    </w:p>
    <w:p w14:paraId="4A2989C6">
      <w:pPr>
        <w:pStyle w:val="67"/>
        <w:widowControl/>
        <w:spacing w:after="0" w:line="355" w:lineRule="auto"/>
        <w:ind w:left="0" w:firstLine="709"/>
        <w:jc w:val="both"/>
        <w:rPr>
          <w:rFonts w:ascii="Times New Roman" w:hAnsi="Times New Roman" w:eastAsia="Times New Roman"/>
          <w:lang w:eastAsia="ru-RU"/>
        </w:rPr>
      </w:pPr>
      <w:r>
        <w:rPr>
          <w:rFonts w:ascii="Times New Roman" w:hAnsi="Times New Roman" w:eastAsia="Times New Roman"/>
          <w:lang w:eastAsia="ru-RU"/>
        </w:rPr>
        <w:t>классифицировать природные объекты по принадлежности к природной зоне;</w:t>
      </w:r>
    </w:p>
    <w:p w14:paraId="6A1A0499">
      <w:pPr>
        <w:pStyle w:val="67"/>
        <w:widowControl/>
        <w:spacing w:after="0" w:line="355" w:lineRule="auto"/>
        <w:ind w:left="0" w:firstLine="709"/>
        <w:jc w:val="both"/>
        <w:rPr>
          <w:rFonts w:ascii="Times New Roman" w:hAnsi="Times New Roman" w:eastAsia="Times New Roman"/>
          <w:lang w:eastAsia="ru-RU"/>
        </w:rPr>
      </w:pPr>
      <w:r>
        <w:rPr>
          <w:rFonts w:ascii="Times New Roman" w:hAnsi="Times New Roman" w:eastAsia="Times New Roman"/>
          <w:lang w:eastAsia="ru-RU"/>
        </w:rPr>
        <w:t>определять разрыв между реальным и желательным состоянием объекта (ситуации) на основе предложенных учителем вопросов.</w:t>
      </w:r>
    </w:p>
    <w:p w14:paraId="63AA37F0">
      <w:pPr>
        <w:spacing w:after="0" w:line="355" w:lineRule="auto"/>
        <w:ind w:firstLine="709"/>
        <w:jc w:val="both"/>
        <w:rPr>
          <w:rFonts w:ascii="Times New Roman" w:hAnsi="Times New Roman" w:eastAsia="SchoolBookSanPin"/>
        </w:rPr>
      </w:pPr>
      <w:r>
        <w:rPr>
          <w:rFonts w:ascii="Times New Roman" w:hAnsi="Times New Roman" w:eastAsia="SchoolBookSanPin"/>
        </w:rPr>
        <w:t>11</w:t>
      </w:r>
      <w:r>
        <w:rPr>
          <w:rFonts w:ascii="Times New Roman" w:hAnsi="Times New Roman" w:eastAsia="OfficinaSansBoldITC"/>
        </w:rPr>
        <w:t>.9.4.2. </w:t>
      </w:r>
      <w:r>
        <w:rPr>
          <w:rFonts w:ascii="Times New Roman" w:hAnsi="Times New Roman" w:eastAsia="SchoolBookSanPin"/>
        </w:rPr>
        <w:t xml:space="preserve">Работа с информацией как часть </w:t>
      </w:r>
      <w:r>
        <w:rPr>
          <w:rFonts w:ascii="Times New Roman" w:hAnsi="Times New Roman" w:eastAsia="SchoolBookSanPin"/>
          <w:bCs/>
        </w:rPr>
        <w:t>познавательных универсальных учебных действий</w:t>
      </w:r>
      <w:r>
        <w:rPr>
          <w:rFonts w:ascii="Times New Roman" w:hAnsi="Times New Roman" w:eastAsia="SchoolBookSanPin"/>
        </w:rPr>
        <w:t xml:space="preserve"> способствует формированию умений:</w:t>
      </w:r>
    </w:p>
    <w:p w14:paraId="593DEA71">
      <w:pPr>
        <w:pStyle w:val="67"/>
        <w:widowControl/>
        <w:spacing w:after="0" w:line="355" w:lineRule="auto"/>
        <w:ind w:left="0" w:firstLine="709"/>
        <w:jc w:val="both"/>
        <w:rPr>
          <w:rFonts w:ascii="Times New Roman" w:hAnsi="Times New Roman" w:eastAsia="Times New Roman"/>
          <w:lang w:eastAsia="ru-RU"/>
        </w:rPr>
      </w:pPr>
      <w:r>
        <w:rPr>
          <w:rFonts w:ascii="Times New Roman" w:hAnsi="Times New Roman" w:eastAsia="Times New Roman"/>
          <w:lang w:eastAsia="ru-RU"/>
        </w:rPr>
        <w:t>использовать умения работать с информацией, представленной в разных формах; оценивать объективность информации, учитывать правила безопасного использования электронных образовательных и информационных ресурсов;</w:t>
      </w:r>
    </w:p>
    <w:p w14:paraId="2EEA6D09">
      <w:pPr>
        <w:pStyle w:val="67"/>
        <w:widowControl/>
        <w:spacing w:after="0" w:line="355" w:lineRule="auto"/>
        <w:ind w:left="0" w:firstLine="709"/>
        <w:jc w:val="both"/>
        <w:rPr>
          <w:rFonts w:ascii="Times New Roman" w:hAnsi="Times New Roman" w:eastAsia="Times New Roman"/>
          <w:lang w:eastAsia="ru-RU"/>
        </w:rPr>
      </w:pPr>
      <w:r>
        <w:rPr>
          <w:rFonts w:ascii="Times New Roman" w:hAnsi="Times New Roman" w:eastAsia="Times New Roman"/>
          <w:lang w:eastAsia="ru-RU"/>
        </w:rPr>
        <w:t>использовать для уточнения и расширения своих знаний об окружающем мире словари, справочники, энциклопедии, в том числе и информационно-телекомуникационную сеть «Интернет» (в условиях контролируемого выхода);</w:t>
      </w:r>
    </w:p>
    <w:p w14:paraId="0A9BA7F4">
      <w:pPr>
        <w:pStyle w:val="67"/>
        <w:widowControl/>
        <w:spacing w:after="0" w:line="355" w:lineRule="auto"/>
        <w:ind w:left="0" w:firstLine="709"/>
        <w:jc w:val="both"/>
        <w:rPr>
          <w:rFonts w:ascii="Times New Roman" w:hAnsi="Times New Roman" w:eastAsia="Times New Roman"/>
          <w:lang w:eastAsia="ru-RU"/>
        </w:rPr>
      </w:pPr>
      <w:r>
        <w:rPr>
          <w:rFonts w:ascii="Times New Roman" w:hAnsi="Times New Roman" w:eastAsia="Times New Roman"/>
          <w:lang w:eastAsia="ru-RU"/>
        </w:rPr>
        <w:t>подготавливать сообщения (доклады) на предложенную тему на основе дополнительной информации, подготавливать презентацию, включая в неё иллюстрации, таблицы, диаграммы.</w:t>
      </w:r>
    </w:p>
    <w:p w14:paraId="1E1A8564">
      <w:pPr>
        <w:spacing w:after="0" w:line="355" w:lineRule="auto"/>
        <w:ind w:firstLine="709"/>
        <w:jc w:val="both"/>
        <w:rPr>
          <w:rFonts w:ascii="Times New Roman" w:hAnsi="Times New Roman" w:eastAsia="SchoolBookSanPin"/>
        </w:rPr>
      </w:pPr>
      <w:r>
        <w:rPr>
          <w:rFonts w:ascii="Times New Roman" w:hAnsi="Times New Roman" w:eastAsia="SchoolBookSanPin"/>
        </w:rPr>
        <w:t>11</w:t>
      </w:r>
      <w:r>
        <w:rPr>
          <w:rFonts w:ascii="Times New Roman" w:hAnsi="Times New Roman" w:eastAsia="OfficinaSansBoldITC"/>
        </w:rPr>
        <w:t>.9.4.3. </w:t>
      </w:r>
      <w:r>
        <w:rPr>
          <w:rFonts w:ascii="Times New Roman" w:hAnsi="Times New Roman" w:eastAsia="Times New Roman"/>
        </w:rPr>
        <w:t>Коммуникативные универсальные учебные действия</w:t>
      </w:r>
      <w:r>
        <w:rPr>
          <w:rFonts w:ascii="Times New Roman" w:hAnsi="Times New Roman" w:eastAsia="SchoolBookSanPin"/>
        </w:rPr>
        <w:t xml:space="preserve"> способствуют формированию умений:</w:t>
      </w:r>
    </w:p>
    <w:p w14:paraId="44917991">
      <w:pPr>
        <w:pStyle w:val="67"/>
        <w:widowControl/>
        <w:spacing w:after="0" w:line="355" w:lineRule="auto"/>
        <w:ind w:left="0" w:firstLine="709"/>
        <w:jc w:val="both"/>
        <w:rPr>
          <w:rFonts w:ascii="Times New Roman" w:hAnsi="Times New Roman" w:eastAsia="Times New Roman"/>
          <w:lang w:eastAsia="ru-RU"/>
        </w:rPr>
      </w:pPr>
      <w:r>
        <w:rPr>
          <w:rFonts w:ascii="Times New Roman" w:hAnsi="Times New Roman" w:eastAsia="Times New Roman"/>
          <w:lang w:eastAsia="ru-RU"/>
        </w:rPr>
        <w:t>ориентироваться в понятиях: организм, возраст, система органов; культура, долг, соотечественник, берестяная грамота, первопечатник, иконопись, объект Всемирного природного и культурного наследия;</w:t>
      </w:r>
    </w:p>
    <w:p w14:paraId="5C9EC635">
      <w:pPr>
        <w:pStyle w:val="67"/>
        <w:widowControl/>
        <w:spacing w:after="0" w:line="355" w:lineRule="auto"/>
        <w:ind w:left="0" w:firstLine="709"/>
        <w:jc w:val="both"/>
        <w:rPr>
          <w:rFonts w:ascii="Times New Roman" w:hAnsi="Times New Roman" w:eastAsia="Times New Roman"/>
          <w:lang w:eastAsia="ru-RU"/>
        </w:rPr>
      </w:pPr>
      <w:r>
        <w:rPr>
          <w:rFonts w:ascii="Times New Roman" w:hAnsi="Times New Roman" w:eastAsia="Times New Roman"/>
          <w:lang w:eastAsia="ru-RU"/>
        </w:rPr>
        <w:t>характеризовать человека как живой организм: раскрывать функции различных систем органов; объяснять особую роль нервной системы в деятельности организма;</w:t>
      </w:r>
    </w:p>
    <w:p w14:paraId="65B2F523">
      <w:pPr>
        <w:pStyle w:val="67"/>
        <w:widowControl/>
        <w:spacing w:after="0" w:line="355" w:lineRule="auto"/>
        <w:ind w:left="0" w:firstLine="709"/>
        <w:jc w:val="both"/>
        <w:rPr>
          <w:rFonts w:ascii="Times New Roman" w:hAnsi="Times New Roman" w:eastAsia="Times New Roman"/>
          <w:lang w:eastAsia="ru-RU"/>
        </w:rPr>
      </w:pPr>
      <w:r>
        <w:rPr>
          <w:rFonts w:ascii="Times New Roman" w:hAnsi="Times New Roman" w:eastAsia="Times New Roman"/>
          <w:lang w:eastAsia="ru-RU"/>
        </w:rPr>
        <w:t>создавать текст-рассуждение: объяснять вред для здоровья и самочувствия организма вредных привычек;</w:t>
      </w:r>
    </w:p>
    <w:p w14:paraId="34054B49">
      <w:pPr>
        <w:pStyle w:val="67"/>
        <w:widowControl/>
        <w:spacing w:after="0" w:line="355" w:lineRule="auto"/>
        <w:ind w:left="0" w:firstLine="709"/>
        <w:jc w:val="both"/>
        <w:rPr>
          <w:rFonts w:ascii="Times New Roman" w:hAnsi="Times New Roman" w:eastAsia="Times New Roman"/>
          <w:lang w:eastAsia="ru-RU"/>
        </w:rPr>
      </w:pPr>
      <w:r>
        <w:rPr>
          <w:rFonts w:ascii="Times New Roman" w:hAnsi="Times New Roman" w:eastAsia="Times New Roman"/>
          <w:lang w:eastAsia="ru-RU"/>
        </w:rPr>
        <w:t>описывать ситуации проявления нравственных качеств: отзывчивости, доброты, справедливости и других;</w:t>
      </w:r>
    </w:p>
    <w:p w14:paraId="7445B37A">
      <w:pPr>
        <w:pStyle w:val="67"/>
        <w:widowControl/>
        <w:spacing w:after="0" w:line="355" w:lineRule="auto"/>
        <w:ind w:left="0" w:firstLine="709"/>
        <w:jc w:val="both"/>
        <w:rPr>
          <w:rFonts w:ascii="Times New Roman" w:hAnsi="Times New Roman" w:eastAsia="Times New Roman"/>
          <w:lang w:eastAsia="ru-RU"/>
        </w:rPr>
      </w:pPr>
      <w:r>
        <w:rPr>
          <w:rFonts w:ascii="Times New Roman" w:hAnsi="Times New Roman" w:eastAsia="Times New Roman"/>
          <w:lang w:eastAsia="ru-RU"/>
        </w:rPr>
        <w:t>составлять краткие суждения о связях и зависимостях в природе (на основе сезонных изменений, особенностей жизни природных зон, пищевых цепей);</w:t>
      </w:r>
    </w:p>
    <w:p w14:paraId="18370AAF">
      <w:pPr>
        <w:pStyle w:val="67"/>
        <w:widowControl/>
        <w:spacing w:after="0" w:line="355" w:lineRule="auto"/>
        <w:ind w:left="0" w:firstLine="709"/>
        <w:jc w:val="both"/>
        <w:rPr>
          <w:rFonts w:ascii="Times New Roman" w:hAnsi="Times New Roman" w:eastAsia="Times New Roman"/>
          <w:lang w:eastAsia="ru-RU"/>
        </w:rPr>
      </w:pPr>
      <w:r>
        <w:rPr>
          <w:rFonts w:ascii="Times New Roman" w:hAnsi="Times New Roman" w:eastAsia="Times New Roman"/>
          <w:lang w:eastAsia="ru-RU"/>
        </w:rPr>
        <w:t>составлять небольшие тексты «Права и обязанности гражданина Российской Федерации»;</w:t>
      </w:r>
    </w:p>
    <w:p w14:paraId="18971BC4">
      <w:pPr>
        <w:pStyle w:val="67"/>
        <w:widowControl/>
        <w:spacing w:after="0" w:line="355" w:lineRule="auto"/>
        <w:ind w:left="0" w:firstLine="709"/>
        <w:jc w:val="both"/>
        <w:rPr>
          <w:rFonts w:ascii="Times New Roman" w:hAnsi="Times New Roman" w:eastAsia="Times New Roman"/>
          <w:lang w:eastAsia="ru-RU"/>
        </w:rPr>
      </w:pPr>
      <w:r>
        <w:rPr>
          <w:rFonts w:ascii="Times New Roman" w:hAnsi="Times New Roman" w:eastAsia="Times New Roman"/>
          <w:lang w:eastAsia="ru-RU"/>
        </w:rPr>
        <w:t>создавать небольшие тексты о знаменательных страницах истории нашей страны (в рамках изученного).</w:t>
      </w:r>
    </w:p>
    <w:p w14:paraId="2348665D">
      <w:pPr>
        <w:spacing w:after="0" w:line="355" w:lineRule="auto"/>
        <w:ind w:firstLine="709"/>
        <w:jc w:val="both"/>
        <w:rPr>
          <w:rFonts w:ascii="Times New Roman" w:hAnsi="Times New Roman" w:eastAsia="SchoolBookSanPin"/>
        </w:rPr>
      </w:pPr>
      <w:r>
        <w:rPr>
          <w:rFonts w:ascii="Times New Roman" w:hAnsi="Times New Roman" w:eastAsia="SchoolBookSanPin"/>
        </w:rPr>
        <w:t>11</w:t>
      </w:r>
      <w:r>
        <w:rPr>
          <w:rFonts w:ascii="Times New Roman" w:hAnsi="Times New Roman" w:eastAsia="OfficinaSansBoldITC"/>
        </w:rPr>
        <w:t>.9.4.4. </w:t>
      </w:r>
      <w:r>
        <w:rPr>
          <w:rFonts w:ascii="Times New Roman" w:hAnsi="Times New Roman" w:eastAsia="Times New Roman"/>
        </w:rPr>
        <w:t>Регулятивные универсальные учебные действия</w:t>
      </w:r>
      <w:r>
        <w:rPr>
          <w:rFonts w:ascii="Times New Roman" w:hAnsi="Times New Roman" w:eastAsia="SchoolBookSanPin"/>
        </w:rPr>
        <w:t xml:space="preserve"> способствуют формированию умений:</w:t>
      </w:r>
    </w:p>
    <w:p w14:paraId="44756D1F">
      <w:pPr>
        <w:pStyle w:val="67"/>
        <w:widowControl/>
        <w:spacing w:after="0" w:line="355" w:lineRule="auto"/>
        <w:ind w:left="0" w:firstLine="709"/>
        <w:jc w:val="both"/>
        <w:rPr>
          <w:rFonts w:ascii="Times New Roman" w:hAnsi="Times New Roman" w:eastAsia="Times New Roman"/>
          <w:lang w:eastAsia="ru-RU"/>
        </w:rPr>
      </w:pPr>
      <w:r>
        <w:rPr>
          <w:rFonts w:ascii="Times New Roman" w:hAnsi="Times New Roman" w:eastAsia="Times New Roman"/>
          <w:lang w:eastAsia="ru-RU"/>
        </w:rPr>
        <w:t xml:space="preserve">самостоятельно планировать алгоритм решения учебной задачи; </w:t>
      </w:r>
    </w:p>
    <w:p w14:paraId="4F90748E">
      <w:pPr>
        <w:pStyle w:val="67"/>
        <w:widowControl/>
        <w:spacing w:after="0" w:line="355" w:lineRule="auto"/>
        <w:ind w:left="0" w:firstLine="709"/>
        <w:jc w:val="both"/>
        <w:rPr>
          <w:rFonts w:ascii="Times New Roman" w:hAnsi="Times New Roman" w:eastAsia="Times New Roman"/>
          <w:lang w:eastAsia="ru-RU"/>
        </w:rPr>
      </w:pPr>
      <w:r>
        <w:rPr>
          <w:rFonts w:ascii="Times New Roman" w:hAnsi="Times New Roman" w:eastAsia="Times New Roman"/>
          <w:lang w:eastAsia="ru-RU"/>
        </w:rPr>
        <w:t>предвидеть трудности и возможные ошибки;</w:t>
      </w:r>
    </w:p>
    <w:p w14:paraId="0133F2DB">
      <w:pPr>
        <w:pStyle w:val="67"/>
        <w:widowControl/>
        <w:spacing w:after="0" w:line="355" w:lineRule="auto"/>
        <w:ind w:left="0" w:firstLine="709"/>
        <w:jc w:val="both"/>
        <w:rPr>
          <w:rFonts w:ascii="Times New Roman" w:hAnsi="Times New Roman" w:eastAsia="Times New Roman"/>
          <w:lang w:eastAsia="ru-RU"/>
        </w:rPr>
      </w:pPr>
      <w:r>
        <w:rPr>
          <w:rFonts w:ascii="Times New Roman" w:hAnsi="Times New Roman" w:eastAsia="Times New Roman"/>
          <w:lang w:eastAsia="ru-RU"/>
        </w:rPr>
        <w:t>контролировать процесс и результат выполнения задания, корректировать учебные действия при необходимости;</w:t>
      </w:r>
    </w:p>
    <w:p w14:paraId="45624F12">
      <w:pPr>
        <w:pStyle w:val="67"/>
        <w:widowControl/>
        <w:spacing w:after="0" w:line="355" w:lineRule="auto"/>
        <w:ind w:left="0" w:firstLine="709"/>
        <w:jc w:val="both"/>
        <w:rPr>
          <w:rFonts w:ascii="Times New Roman" w:hAnsi="Times New Roman" w:eastAsia="Times New Roman"/>
          <w:lang w:eastAsia="ru-RU"/>
        </w:rPr>
      </w:pPr>
      <w:r>
        <w:rPr>
          <w:rFonts w:ascii="Times New Roman" w:hAnsi="Times New Roman" w:eastAsia="Times New Roman"/>
          <w:lang w:eastAsia="ru-RU"/>
        </w:rPr>
        <w:t>принимать оценку своей работы; планировать работу над ошибками;</w:t>
      </w:r>
    </w:p>
    <w:p w14:paraId="27123837">
      <w:pPr>
        <w:pStyle w:val="67"/>
        <w:widowControl/>
        <w:spacing w:after="0" w:line="355" w:lineRule="auto"/>
        <w:ind w:left="0" w:firstLine="709"/>
        <w:jc w:val="both"/>
        <w:rPr>
          <w:rFonts w:ascii="Times New Roman" w:hAnsi="Times New Roman" w:eastAsia="Times New Roman"/>
          <w:lang w:eastAsia="ru-RU"/>
        </w:rPr>
      </w:pPr>
      <w:r>
        <w:rPr>
          <w:rFonts w:ascii="Times New Roman" w:hAnsi="Times New Roman" w:eastAsia="Times New Roman"/>
          <w:lang w:eastAsia="ru-RU"/>
        </w:rPr>
        <w:t>находить ошибки в своей и чужих работах, устанавливать их причины.</w:t>
      </w:r>
    </w:p>
    <w:p w14:paraId="35D8917C">
      <w:pPr>
        <w:spacing w:after="0" w:line="355" w:lineRule="auto"/>
        <w:ind w:firstLine="709"/>
        <w:jc w:val="both"/>
        <w:rPr>
          <w:rFonts w:ascii="Times New Roman" w:hAnsi="Times New Roman" w:eastAsia="Times New Roman"/>
          <w:lang w:eastAsia="ru-RU"/>
        </w:rPr>
      </w:pPr>
      <w:r>
        <w:rPr>
          <w:rFonts w:ascii="Times New Roman" w:hAnsi="Times New Roman" w:eastAsia="SchoolBookSanPin"/>
        </w:rPr>
        <w:t>11</w:t>
      </w:r>
      <w:r>
        <w:rPr>
          <w:rFonts w:ascii="Times New Roman" w:hAnsi="Times New Roman" w:eastAsia="OfficinaSansBoldITC"/>
        </w:rPr>
        <w:t>.9.4.5. </w:t>
      </w:r>
      <w:r>
        <w:rPr>
          <w:rFonts w:ascii="Times New Roman" w:hAnsi="Times New Roman" w:eastAsia="Times New Roman"/>
        </w:rPr>
        <w:t xml:space="preserve">Совместная деятельность </w:t>
      </w:r>
      <w:r>
        <w:rPr>
          <w:rFonts w:ascii="Times New Roman" w:hAnsi="Times New Roman" w:eastAsia="SchoolBookSanPin"/>
        </w:rPr>
        <w:t xml:space="preserve">способствует формированию умений: </w:t>
      </w:r>
    </w:p>
    <w:p w14:paraId="685F3DBD">
      <w:pPr>
        <w:pStyle w:val="67"/>
        <w:widowControl/>
        <w:spacing w:after="0" w:line="355" w:lineRule="auto"/>
        <w:ind w:left="0" w:firstLine="709"/>
        <w:jc w:val="both"/>
        <w:rPr>
          <w:rFonts w:ascii="Times New Roman" w:hAnsi="Times New Roman" w:eastAsia="Times New Roman"/>
          <w:lang w:eastAsia="ru-RU"/>
        </w:rPr>
      </w:pPr>
      <w:r>
        <w:rPr>
          <w:rFonts w:ascii="Times New Roman" w:hAnsi="Times New Roman" w:eastAsia="Times New Roman"/>
          <w:lang w:eastAsia="ru-RU"/>
        </w:rPr>
        <w:t>выполнять правила совместной деятельности при выполнении разных ролей: руководителя, подчинённого, напарника, члена большого коллектива;</w:t>
      </w:r>
    </w:p>
    <w:p w14:paraId="20EC393B">
      <w:pPr>
        <w:pStyle w:val="67"/>
        <w:widowControl/>
        <w:spacing w:after="0" w:line="355" w:lineRule="auto"/>
        <w:ind w:left="0" w:firstLine="709"/>
        <w:jc w:val="both"/>
        <w:rPr>
          <w:rFonts w:ascii="Times New Roman" w:hAnsi="Times New Roman" w:eastAsia="Times New Roman"/>
          <w:lang w:eastAsia="ru-RU"/>
        </w:rPr>
      </w:pPr>
      <w:r>
        <w:rPr>
          <w:rFonts w:ascii="Times New Roman" w:hAnsi="Times New Roman" w:eastAsia="Times New Roman"/>
          <w:lang w:eastAsia="ru-RU"/>
        </w:rPr>
        <w:t>ответственно относиться к своим обязанностям в процессе совместной деятельности, объективно оценивать свой вклад в общее дело;</w:t>
      </w:r>
    </w:p>
    <w:p w14:paraId="664A942E">
      <w:pPr>
        <w:pStyle w:val="67"/>
        <w:widowControl/>
        <w:spacing w:after="0" w:line="355" w:lineRule="auto"/>
        <w:ind w:left="0" w:firstLine="709"/>
        <w:jc w:val="both"/>
        <w:rPr>
          <w:rFonts w:ascii="Times New Roman" w:hAnsi="Times New Roman" w:eastAsia="Times New Roman"/>
          <w:lang w:eastAsia="ru-RU"/>
        </w:rPr>
      </w:pPr>
      <w:r>
        <w:rPr>
          <w:rFonts w:ascii="Times New Roman" w:hAnsi="Times New Roman" w:eastAsia="Times New Roman"/>
          <w:lang w:eastAsia="ru-RU"/>
        </w:rPr>
        <w:t xml:space="preserve">анализировать ситуации, возникающие в процессе совместных игр, труда, использования инструментов, которые могут стать опасными для здоровья и жизни других людей. </w:t>
      </w:r>
    </w:p>
    <w:p w14:paraId="3A3CD71D">
      <w:pPr>
        <w:spacing w:after="0" w:line="355" w:lineRule="auto"/>
        <w:ind w:firstLine="709"/>
        <w:jc w:val="both"/>
        <w:rPr>
          <w:rFonts w:ascii="Times New Roman" w:hAnsi="Times New Roman" w:eastAsia="OfficinaSansBoldITC"/>
        </w:rPr>
      </w:pPr>
      <w:r>
        <w:rPr>
          <w:rFonts w:ascii="Times New Roman" w:hAnsi="Times New Roman" w:eastAsia="SchoolBookSanPin"/>
        </w:rPr>
        <w:t>11</w:t>
      </w:r>
      <w:r>
        <w:rPr>
          <w:rFonts w:ascii="Times New Roman" w:hAnsi="Times New Roman" w:eastAsia="OfficinaSansBoldITC"/>
        </w:rPr>
        <w:t>.10. Планируемые результаты освоения программы по окружающему миру на уровне начального общего образования.</w:t>
      </w:r>
    </w:p>
    <w:p w14:paraId="7D0AD369">
      <w:pPr>
        <w:pStyle w:val="67"/>
        <w:widowControl/>
        <w:spacing w:after="0" w:line="355" w:lineRule="auto"/>
        <w:ind w:left="0" w:firstLine="709"/>
        <w:jc w:val="both"/>
        <w:rPr>
          <w:rFonts w:ascii="Times New Roman" w:hAnsi="Times New Roman" w:eastAsia="Times New Roman"/>
          <w:lang w:eastAsia="ru-RU"/>
        </w:rPr>
      </w:pPr>
      <w:r>
        <w:rPr>
          <w:rFonts w:ascii="Times New Roman" w:hAnsi="Times New Roman" w:eastAsia="SchoolBookSanPin"/>
        </w:rPr>
        <w:t xml:space="preserve">11.10.1. </w:t>
      </w:r>
      <w:r>
        <w:rPr>
          <w:rFonts w:ascii="Times New Roman" w:hAnsi="Times New Roman" w:eastAsia="Times New Roman"/>
        </w:rPr>
        <w:t xml:space="preserve">Личностные результаты освоения программы </w:t>
      </w:r>
      <w:r>
        <w:rPr>
          <w:rFonts w:ascii="Times New Roman" w:hAnsi="Times New Roman" w:eastAsia="OfficinaSansBoldITC"/>
        </w:rPr>
        <w:t>по окружающему миру</w:t>
      </w:r>
      <w:r>
        <w:rPr>
          <w:rFonts w:ascii="Times New Roman" w:hAnsi="Times New Roman" w:eastAsia="Times New Roman"/>
          <w:lang w:eastAsia="ru-RU"/>
        </w:rPr>
        <w:t xml:space="preserve"> характеризуют готовность обучающихся руководствоваться традиционными российскими социокультурными и духовно-нравственными ценностями, принятыми в обществе правилами и нормами поведения и должны отражать приобретение первоначального опыта деятельности обучающихся, в части:</w:t>
      </w:r>
    </w:p>
    <w:p w14:paraId="4BC2ADEC">
      <w:pPr>
        <w:spacing w:after="0" w:line="355" w:lineRule="auto"/>
        <w:ind w:firstLine="709"/>
        <w:jc w:val="both"/>
        <w:rPr>
          <w:rFonts w:ascii="Times New Roman" w:hAnsi="Times New Roman" w:eastAsia="Times New Roman"/>
          <w:lang w:eastAsia="ru-RU"/>
        </w:rPr>
      </w:pPr>
      <w:r>
        <w:rPr>
          <w:rFonts w:ascii="Times New Roman" w:hAnsi="Times New Roman" w:eastAsia="Times New Roman"/>
          <w:bCs/>
          <w:lang w:eastAsia="ru-RU"/>
        </w:rPr>
        <w:t>1) гражданско-патриотического воспитания:</w:t>
      </w:r>
    </w:p>
    <w:p w14:paraId="6E408F77">
      <w:pPr>
        <w:pStyle w:val="67"/>
        <w:widowControl/>
        <w:spacing w:after="0" w:line="355" w:lineRule="auto"/>
        <w:ind w:left="0" w:firstLine="709"/>
        <w:jc w:val="both"/>
        <w:rPr>
          <w:rFonts w:ascii="Times New Roman" w:hAnsi="Times New Roman" w:eastAsia="Times New Roman"/>
          <w:lang w:eastAsia="ru-RU"/>
        </w:rPr>
      </w:pPr>
      <w:r>
        <w:rPr>
          <w:rFonts w:ascii="Times New Roman" w:hAnsi="Times New Roman" w:eastAsia="Times New Roman"/>
          <w:lang w:eastAsia="ru-RU"/>
        </w:rPr>
        <w:t>становление ценностного отношения к своей Родине – России; понимание особой роли многонациональной России в современном мире;</w:t>
      </w:r>
    </w:p>
    <w:p w14:paraId="27841478">
      <w:pPr>
        <w:pStyle w:val="67"/>
        <w:widowControl/>
        <w:spacing w:after="0" w:line="355" w:lineRule="auto"/>
        <w:ind w:left="0" w:firstLine="709"/>
        <w:jc w:val="both"/>
        <w:rPr>
          <w:rFonts w:ascii="Times New Roman" w:hAnsi="Times New Roman" w:eastAsia="Times New Roman"/>
          <w:lang w:eastAsia="ru-RU"/>
        </w:rPr>
      </w:pPr>
      <w:r>
        <w:rPr>
          <w:rFonts w:ascii="Times New Roman" w:hAnsi="Times New Roman" w:eastAsia="Times New Roman"/>
          <w:lang w:eastAsia="ru-RU"/>
        </w:rPr>
        <w:t>осознание своей этнокультурной и российской гражданской идентичности, принадлежности к российскому народу, к своей национальной общности;</w:t>
      </w:r>
    </w:p>
    <w:p w14:paraId="015DDB7A">
      <w:pPr>
        <w:pStyle w:val="67"/>
        <w:widowControl/>
        <w:spacing w:after="0" w:line="355" w:lineRule="auto"/>
        <w:ind w:left="0" w:firstLine="709"/>
        <w:jc w:val="both"/>
        <w:rPr>
          <w:rFonts w:ascii="Times New Roman" w:hAnsi="Times New Roman" w:eastAsia="Times New Roman"/>
          <w:lang w:eastAsia="ru-RU"/>
        </w:rPr>
      </w:pPr>
      <w:r>
        <w:rPr>
          <w:rFonts w:ascii="Times New Roman" w:hAnsi="Times New Roman" w:eastAsia="Times New Roman"/>
          <w:lang w:eastAsia="ru-RU"/>
        </w:rPr>
        <w:t>сопричастность к прошлому, настоящему и будущему своей страны и родного края;</w:t>
      </w:r>
    </w:p>
    <w:p w14:paraId="6F9D62E3">
      <w:pPr>
        <w:pStyle w:val="67"/>
        <w:widowControl/>
        <w:spacing w:after="0" w:line="355" w:lineRule="auto"/>
        <w:ind w:left="0" w:firstLine="709"/>
        <w:jc w:val="both"/>
        <w:rPr>
          <w:rFonts w:ascii="Times New Roman" w:hAnsi="Times New Roman" w:eastAsia="Times New Roman"/>
          <w:lang w:eastAsia="ru-RU"/>
        </w:rPr>
      </w:pPr>
      <w:r>
        <w:rPr>
          <w:rFonts w:ascii="Times New Roman" w:hAnsi="Times New Roman" w:eastAsia="Times New Roman"/>
          <w:lang w:eastAsia="ru-RU"/>
        </w:rPr>
        <w:t>проявление интереса к истории и многонациональной культуре своей страны, уважения к своему и другим народам;</w:t>
      </w:r>
    </w:p>
    <w:p w14:paraId="4335CFF6">
      <w:pPr>
        <w:pStyle w:val="67"/>
        <w:widowControl/>
        <w:spacing w:after="0" w:line="355" w:lineRule="auto"/>
        <w:ind w:left="0" w:firstLine="709"/>
        <w:jc w:val="both"/>
        <w:rPr>
          <w:rFonts w:ascii="Times New Roman" w:hAnsi="Times New Roman" w:eastAsia="Times New Roman"/>
          <w:lang w:eastAsia="ru-RU"/>
        </w:rPr>
      </w:pPr>
      <w:r>
        <w:rPr>
          <w:rFonts w:ascii="Times New Roman" w:hAnsi="Times New Roman" w:eastAsia="Times New Roman"/>
          <w:lang w:eastAsia="ru-RU"/>
        </w:rPr>
        <w:t>первоначальные представления о человеке как члене общества, осознание прав и ответственности человека как члена общества;</w:t>
      </w:r>
    </w:p>
    <w:p w14:paraId="25297EDC">
      <w:pPr>
        <w:spacing w:after="0" w:line="355" w:lineRule="auto"/>
        <w:ind w:firstLine="709"/>
        <w:jc w:val="both"/>
        <w:rPr>
          <w:rFonts w:ascii="Times New Roman" w:hAnsi="Times New Roman" w:eastAsia="Times New Roman"/>
          <w:lang w:eastAsia="ru-RU"/>
        </w:rPr>
      </w:pPr>
      <w:r>
        <w:rPr>
          <w:rFonts w:ascii="Times New Roman" w:hAnsi="Times New Roman" w:eastAsia="Times New Roman"/>
          <w:bCs/>
          <w:lang w:eastAsia="ru-RU"/>
        </w:rPr>
        <w:t>2) духовно-нравственного воспитания:</w:t>
      </w:r>
    </w:p>
    <w:p w14:paraId="41BA3188">
      <w:pPr>
        <w:pStyle w:val="67"/>
        <w:widowControl/>
        <w:spacing w:after="0" w:line="355" w:lineRule="auto"/>
        <w:ind w:left="0" w:firstLine="709"/>
        <w:jc w:val="both"/>
        <w:rPr>
          <w:rFonts w:ascii="Times New Roman" w:hAnsi="Times New Roman" w:eastAsia="Times New Roman"/>
          <w:lang w:eastAsia="ru-RU"/>
        </w:rPr>
      </w:pPr>
      <w:r>
        <w:rPr>
          <w:rFonts w:ascii="Times New Roman" w:hAnsi="Times New Roman" w:eastAsia="Times New Roman"/>
          <w:lang w:eastAsia="ru-RU"/>
        </w:rPr>
        <w:t>проявление культуры общения, уважительного отношения к людям, их взглядам, признанию их индивидуальности;</w:t>
      </w:r>
    </w:p>
    <w:p w14:paraId="00906DA2">
      <w:pPr>
        <w:pStyle w:val="67"/>
        <w:widowControl/>
        <w:spacing w:after="0" w:line="355" w:lineRule="auto"/>
        <w:ind w:left="0" w:firstLine="709"/>
        <w:jc w:val="both"/>
        <w:rPr>
          <w:rFonts w:ascii="Times New Roman" w:hAnsi="Times New Roman" w:eastAsia="Times New Roman"/>
          <w:lang w:eastAsia="ru-RU"/>
        </w:rPr>
      </w:pPr>
      <w:r>
        <w:rPr>
          <w:rFonts w:ascii="Times New Roman" w:hAnsi="Times New Roman" w:eastAsia="Times New Roman"/>
          <w:lang w:eastAsia="ru-RU"/>
        </w:rPr>
        <w:t>принятие существующих в обществе нравственно-этических норм поведения и правил межличностных отношений, которые строятся на проявлении гуманизма, сопереживания, уважения и доброжелательности;</w:t>
      </w:r>
    </w:p>
    <w:p w14:paraId="3FC788CA">
      <w:pPr>
        <w:pStyle w:val="67"/>
        <w:widowControl/>
        <w:spacing w:after="0" w:line="355" w:lineRule="auto"/>
        <w:ind w:left="0" w:firstLine="709"/>
        <w:jc w:val="both"/>
        <w:rPr>
          <w:rFonts w:ascii="Times New Roman" w:hAnsi="Times New Roman" w:eastAsia="Times New Roman"/>
          <w:lang w:eastAsia="ru-RU"/>
        </w:rPr>
      </w:pPr>
      <w:r>
        <w:rPr>
          <w:rFonts w:ascii="Times New Roman" w:hAnsi="Times New Roman" w:eastAsia="Times New Roman"/>
          <w:lang w:eastAsia="ru-RU"/>
        </w:rPr>
        <w:t>применение правил совместной деятельности, проявление способности договариваться, неприятие любых форм поведения, направленных на причинение физического и морального вреда другим людям;</w:t>
      </w:r>
    </w:p>
    <w:p w14:paraId="03E3D1B0">
      <w:pPr>
        <w:spacing w:after="0" w:line="355" w:lineRule="auto"/>
        <w:ind w:firstLine="709"/>
        <w:jc w:val="both"/>
        <w:rPr>
          <w:rFonts w:ascii="Times New Roman" w:hAnsi="Times New Roman" w:eastAsia="Times New Roman"/>
          <w:lang w:eastAsia="ru-RU"/>
        </w:rPr>
      </w:pPr>
      <w:r>
        <w:rPr>
          <w:rFonts w:ascii="Times New Roman" w:hAnsi="Times New Roman" w:eastAsia="Times New Roman"/>
          <w:bCs/>
          <w:lang w:eastAsia="ru-RU"/>
        </w:rPr>
        <w:t>3) эстетического воспитания:</w:t>
      </w:r>
    </w:p>
    <w:p w14:paraId="77053E58">
      <w:pPr>
        <w:pStyle w:val="67"/>
        <w:widowControl/>
        <w:spacing w:after="0" w:line="355" w:lineRule="auto"/>
        <w:ind w:left="0" w:firstLine="709"/>
        <w:jc w:val="both"/>
        <w:rPr>
          <w:rFonts w:ascii="Times New Roman" w:hAnsi="Times New Roman" w:eastAsia="Times New Roman"/>
          <w:lang w:eastAsia="ru-RU"/>
        </w:rPr>
      </w:pPr>
      <w:r>
        <w:rPr>
          <w:rFonts w:ascii="Times New Roman" w:hAnsi="Times New Roman" w:eastAsia="Times New Roman"/>
          <w:lang w:eastAsia="ru-RU"/>
        </w:rPr>
        <w:t>понимание особой роли России в развитии общемировой художественной культуры, проявление уважительного отношения, восприимчивости и интереса к разным видам искусства, традициям и творчеству своего и других народов;</w:t>
      </w:r>
    </w:p>
    <w:p w14:paraId="4DF228B1">
      <w:pPr>
        <w:pStyle w:val="67"/>
        <w:widowControl/>
        <w:spacing w:after="0" w:line="355" w:lineRule="auto"/>
        <w:ind w:left="0" w:firstLine="709"/>
        <w:jc w:val="both"/>
        <w:rPr>
          <w:rFonts w:ascii="Times New Roman" w:hAnsi="Times New Roman" w:eastAsia="Times New Roman"/>
          <w:lang w:eastAsia="ru-RU"/>
        </w:rPr>
      </w:pPr>
      <w:r>
        <w:rPr>
          <w:rFonts w:ascii="Times New Roman" w:hAnsi="Times New Roman" w:eastAsia="Times New Roman"/>
          <w:lang w:eastAsia="ru-RU"/>
        </w:rPr>
        <w:t>использование полученных знаний в продуктивной и преобразующей деятельности, в разных видах художественной деятельности.</w:t>
      </w:r>
    </w:p>
    <w:p w14:paraId="7F14EEF6">
      <w:pPr>
        <w:spacing w:after="0" w:line="355" w:lineRule="auto"/>
        <w:ind w:firstLine="709"/>
        <w:jc w:val="both"/>
        <w:rPr>
          <w:rFonts w:ascii="Times New Roman" w:hAnsi="Times New Roman" w:eastAsia="Times New Roman"/>
          <w:lang w:eastAsia="ru-RU"/>
        </w:rPr>
      </w:pPr>
      <w:r>
        <w:rPr>
          <w:rFonts w:ascii="Times New Roman" w:hAnsi="Times New Roman" w:eastAsia="Times New Roman"/>
          <w:bCs/>
          <w:lang w:eastAsia="ru-RU"/>
        </w:rPr>
        <w:t>4) физического воспитания, формирования культуры здоровья и эмоционального благополучия:</w:t>
      </w:r>
    </w:p>
    <w:p w14:paraId="68FF1CBB">
      <w:pPr>
        <w:pStyle w:val="67"/>
        <w:widowControl/>
        <w:spacing w:after="0" w:line="355" w:lineRule="auto"/>
        <w:ind w:left="0" w:firstLine="709"/>
        <w:jc w:val="both"/>
        <w:rPr>
          <w:rFonts w:ascii="Times New Roman" w:hAnsi="Times New Roman" w:eastAsia="Times New Roman"/>
          <w:lang w:eastAsia="ru-RU"/>
        </w:rPr>
      </w:pPr>
      <w:r>
        <w:rPr>
          <w:rFonts w:ascii="Times New Roman" w:hAnsi="Times New Roman" w:eastAsia="Times New Roman"/>
          <w:lang w:eastAsia="ru-RU"/>
        </w:rPr>
        <w:t>соблюдение правил организации здорового и безопасного (для себя и других людей) образа жизни; выполнение правил безопасного поведении в окружающей среде (в том числе информационной);</w:t>
      </w:r>
    </w:p>
    <w:p w14:paraId="3E95C1C7">
      <w:pPr>
        <w:pStyle w:val="67"/>
        <w:widowControl/>
        <w:spacing w:after="0" w:line="355" w:lineRule="auto"/>
        <w:ind w:left="0" w:firstLine="709"/>
        <w:jc w:val="both"/>
        <w:rPr>
          <w:rFonts w:ascii="Times New Roman" w:hAnsi="Times New Roman" w:eastAsia="Times New Roman"/>
          <w:lang w:eastAsia="ru-RU"/>
        </w:rPr>
      </w:pPr>
      <w:r>
        <w:rPr>
          <w:rFonts w:ascii="Times New Roman" w:hAnsi="Times New Roman" w:eastAsia="Times New Roman"/>
          <w:lang w:eastAsia="ru-RU"/>
        </w:rPr>
        <w:t>приобретение опыта эмоционального отношения к среде обитания, бережное отношение к физическому и психическому здоровью;</w:t>
      </w:r>
    </w:p>
    <w:p w14:paraId="2162FCED">
      <w:pPr>
        <w:spacing w:after="0" w:line="355" w:lineRule="auto"/>
        <w:ind w:firstLine="709"/>
        <w:jc w:val="both"/>
        <w:rPr>
          <w:rFonts w:ascii="Times New Roman" w:hAnsi="Times New Roman" w:eastAsia="Times New Roman"/>
          <w:lang w:eastAsia="ru-RU"/>
        </w:rPr>
      </w:pPr>
      <w:r>
        <w:rPr>
          <w:rFonts w:ascii="Times New Roman" w:hAnsi="Times New Roman" w:eastAsia="Times New Roman"/>
          <w:bCs/>
          <w:lang w:eastAsia="ru-RU"/>
        </w:rPr>
        <w:t>5) трудового воспитания:</w:t>
      </w:r>
    </w:p>
    <w:p w14:paraId="27FCF3EA">
      <w:pPr>
        <w:pStyle w:val="67"/>
        <w:widowControl/>
        <w:spacing w:after="0" w:line="355" w:lineRule="auto"/>
        <w:ind w:left="0" w:firstLine="709"/>
        <w:jc w:val="both"/>
        <w:rPr>
          <w:rFonts w:ascii="Times New Roman" w:hAnsi="Times New Roman" w:eastAsia="Times New Roman"/>
          <w:lang w:eastAsia="ru-RU"/>
        </w:rPr>
      </w:pPr>
      <w:r>
        <w:rPr>
          <w:rFonts w:ascii="Times New Roman" w:hAnsi="Times New Roman" w:eastAsia="Times New Roman"/>
          <w:lang w:eastAsia="ru-RU"/>
        </w:rPr>
        <w:t>осознание ценности трудовой деятельности в жизни человека и общества, ответственное потребление и бережное отношение к результатам труда, навыки участия в различных видах трудовой деятельности, интерес к различным профессиям;</w:t>
      </w:r>
    </w:p>
    <w:p w14:paraId="70ACDA3D">
      <w:pPr>
        <w:spacing w:after="0" w:line="355" w:lineRule="auto"/>
        <w:ind w:firstLine="709"/>
        <w:jc w:val="both"/>
        <w:rPr>
          <w:rFonts w:ascii="Times New Roman" w:hAnsi="Times New Roman" w:eastAsia="Times New Roman"/>
          <w:lang w:eastAsia="ru-RU"/>
        </w:rPr>
      </w:pPr>
      <w:r>
        <w:rPr>
          <w:rFonts w:ascii="Times New Roman" w:hAnsi="Times New Roman" w:eastAsia="Times New Roman"/>
          <w:bCs/>
          <w:lang w:eastAsia="ru-RU"/>
        </w:rPr>
        <w:t>6) экологического воспитания:</w:t>
      </w:r>
    </w:p>
    <w:p w14:paraId="00ED201B">
      <w:pPr>
        <w:pStyle w:val="67"/>
        <w:widowControl/>
        <w:spacing w:after="0" w:line="355" w:lineRule="auto"/>
        <w:ind w:left="0" w:firstLine="709"/>
        <w:jc w:val="both"/>
        <w:rPr>
          <w:rFonts w:ascii="Times New Roman" w:hAnsi="Times New Roman" w:eastAsia="Times New Roman"/>
          <w:lang w:eastAsia="ru-RU"/>
        </w:rPr>
      </w:pPr>
      <w:r>
        <w:rPr>
          <w:rFonts w:ascii="Times New Roman" w:hAnsi="Times New Roman" w:eastAsia="Times New Roman"/>
          <w:lang w:eastAsia="ru-RU"/>
        </w:rPr>
        <w:t>осознание роли человека в природе и обществе, принятие экологических норм поведения, бережного отношения к природе, неприятие действий, приносящих вред природе;</w:t>
      </w:r>
    </w:p>
    <w:p w14:paraId="6052DA21">
      <w:pPr>
        <w:spacing w:after="0" w:line="355" w:lineRule="auto"/>
        <w:ind w:firstLine="709"/>
        <w:jc w:val="both"/>
        <w:rPr>
          <w:rFonts w:ascii="Times New Roman" w:hAnsi="Times New Roman" w:eastAsia="Times New Roman"/>
          <w:bCs/>
          <w:lang w:eastAsia="ru-RU"/>
        </w:rPr>
      </w:pPr>
      <w:r>
        <w:rPr>
          <w:rFonts w:ascii="Times New Roman" w:hAnsi="Times New Roman" w:eastAsia="Times New Roman"/>
          <w:bCs/>
          <w:lang w:eastAsia="ru-RU"/>
        </w:rPr>
        <w:t>7) ценности научного познания:</w:t>
      </w:r>
    </w:p>
    <w:p w14:paraId="4EB432E2">
      <w:pPr>
        <w:pStyle w:val="67"/>
        <w:widowControl/>
        <w:spacing w:after="0" w:line="355" w:lineRule="auto"/>
        <w:ind w:left="0" w:firstLine="709"/>
        <w:jc w:val="both"/>
        <w:rPr>
          <w:rFonts w:ascii="Times New Roman" w:hAnsi="Times New Roman" w:eastAsia="Times New Roman"/>
          <w:lang w:eastAsia="ru-RU"/>
        </w:rPr>
      </w:pPr>
      <w:r>
        <w:rPr>
          <w:rFonts w:ascii="Times New Roman" w:hAnsi="Times New Roman" w:eastAsia="Times New Roman"/>
          <w:lang w:eastAsia="ru-RU"/>
        </w:rPr>
        <w:t>осознание ценности познания для развития человека, необходимости самообразования и саморазвития;</w:t>
      </w:r>
    </w:p>
    <w:p w14:paraId="142F9D71">
      <w:pPr>
        <w:pStyle w:val="67"/>
        <w:widowControl/>
        <w:spacing w:after="0" w:line="355" w:lineRule="auto"/>
        <w:ind w:left="0" w:firstLine="709"/>
        <w:jc w:val="both"/>
        <w:rPr>
          <w:rFonts w:ascii="Times New Roman" w:hAnsi="Times New Roman" w:eastAsia="Times New Roman"/>
          <w:lang w:eastAsia="ru-RU"/>
        </w:rPr>
      </w:pPr>
      <w:r>
        <w:rPr>
          <w:rFonts w:ascii="Times New Roman" w:hAnsi="Times New Roman" w:eastAsia="Times New Roman"/>
          <w:lang w:eastAsia="ru-RU"/>
        </w:rPr>
        <w:t>проявление познавательного интереса, активности, инициативности, любознательности и самостоятельности в расширении своих знаний, в том числе с использованием различных информационных средств.</w:t>
      </w:r>
    </w:p>
    <w:p w14:paraId="7487EE1F">
      <w:pPr>
        <w:spacing w:after="0" w:line="355" w:lineRule="auto"/>
        <w:ind w:firstLine="709"/>
        <w:jc w:val="both"/>
        <w:rPr>
          <w:rFonts w:ascii="Times New Roman" w:hAnsi="Times New Roman" w:eastAsia="SchoolBookSanPin"/>
          <w:bCs/>
        </w:rPr>
      </w:pPr>
      <w:r>
        <w:rPr>
          <w:rFonts w:ascii="Times New Roman" w:hAnsi="Times New Roman" w:eastAsia="SchoolBookSanPin"/>
        </w:rPr>
        <w:t xml:space="preserve">11.10.2. В результате изучения окружающего мира на уровне начального общего образования у обучающегося будут сформированы </w:t>
      </w:r>
      <w:r>
        <w:rPr>
          <w:rFonts w:ascii="Times New Roman" w:hAnsi="Times New Roman" w:eastAsia="SchoolBookSanPin"/>
          <w:bCs/>
        </w:rPr>
        <w:t xml:space="preserve">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деятельность. </w:t>
      </w:r>
    </w:p>
    <w:p w14:paraId="25AADC8D">
      <w:pPr>
        <w:spacing w:after="0" w:line="355" w:lineRule="auto"/>
        <w:ind w:firstLine="709"/>
        <w:jc w:val="both"/>
        <w:rPr>
          <w:rFonts w:ascii="Times New Roman" w:hAnsi="Times New Roman" w:eastAsia="SchoolBookSanPin"/>
        </w:rPr>
      </w:pPr>
      <w:r>
        <w:rPr>
          <w:rFonts w:ascii="Times New Roman" w:hAnsi="Times New Roman" w:eastAsia="SchoolBookSanPin"/>
        </w:rPr>
        <w:t>11</w:t>
      </w:r>
      <w:r>
        <w:rPr>
          <w:rFonts w:ascii="Times New Roman" w:hAnsi="Times New Roman" w:eastAsia="OfficinaSansBoldITC"/>
        </w:rPr>
        <w:t>.10.2.1. </w:t>
      </w:r>
      <w:r>
        <w:rPr>
          <w:rFonts w:ascii="Times New Roman" w:hAnsi="Times New Roman" w:eastAsia="SchoolBookSanPin"/>
        </w:rPr>
        <w:t xml:space="preserve">У обучающегося будут сформированы следующие базовые логические действия как часть </w:t>
      </w:r>
      <w:r>
        <w:rPr>
          <w:rFonts w:ascii="Times New Roman" w:hAnsi="Times New Roman" w:eastAsia="SchoolBookSanPin"/>
          <w:bCs/>
        </w:rPr>
        <w:t>познавательных универсальных учебных действий</w:t>
      </w:r>
      <w:r>
        <w:rPr>
          <w:rFonts w:ascii="Times New Roman" w:hAnsi="Times New Roman" w:eastAsia="SchoolBookSanPin"/>
        </w:rPr>
        <w:t>:</w:t>
      </w:r>
    </w:p>
    <w:p w14:paraId="6D331CAC">
      <w:pPr>
        <w:pStyle w:val="67"/>
        <w:widowControl/>
        <w:spacing w:after="0" w:line="355" w:lineRule="auto"/>
        <w:ind w:left="0" w:firstLine="709"/>
        <w:jc w:val="both"/>
        <w:rPr>
          <w:rFonts w:ascii="Times New Roman" w:hAnsi="Times New Roman" w:eastAsia="Times New Roman"/>
          <w:lang w:eastAsia="ru-RU"/>
        </w:rPr>
      </w:pPr>
      <w:r>
        <w:rPr>
          <w:rFonts w:ascii="Times New Roman" w:hAnsi="Times New Roman" w:eastAsia="Times New Roman"/>
          <w:lang w:eastAsia="ru-RU"/>
        </w:rPr>
        <w:t>понимать целостность окружающего мира (взаимосвязь природной и социальной среды обитания), проявлять способность ориентироваться в изменяющейся действительности;</w:t>
      </w:r>
    </w:p>
    <w:p w14:paraId="669527E5">
      <w:pPr>
        <w:pStyle w:val="67"/>
        <w:widowControl/>
        <w:spacing w:after="0" w:line="355" w:lineRule="auto"/>
        <w:ind w:left="0" w:firstLine="709"/>
        <w:jc w:val="both"/>
        <w:rPr>
          <w:rFonts w:ascii="Times New Roman" w:hAnsi="Times New Roman" w:eastAsia="Times New Roman"/>
          <w:lang w:eastAsia="ru-RU"/>
        </w:rPr>
      </w:pPr>
      <w:r>
        <w:rPr>
          <w:rFonts w:ascii="Times New Roman" w:hAnsi="Times New Roman" w:eastAsia="Times New Roman"/>
          <w:lang w:eastAsia="ru-RU"/>
        </w:rPr>
        <w:t>на основе наблюдений доступных объектов окружающего мира устанавливать связи и зависимости между объектами (часть – целое; причина – следствие; изменения во времени и в пространстве);</w:t>
      </w:r>
    </w:p>
    <w:p w14:paraId="5731BF7A">
      <w:pPr>
        <w:pStyle w:val="67"/>
        <w:widowControl/>
        <w:spacing w:after="0" w:line="355" w:lineRule="auto"/>
        <w:ind w:left="0" w:firstLine="709"/>
        <w:jc w:val="both"/>
        <w:rPr>
          <w:rFonts w:ascii="Times New Roman" w:hAnsi="Times New Roman" w:eastAsia="Times New Roman"/>
          <w:lang w:eastAsia="ru-RU"/>
        </w:rPr>
      </w:pPr>
      <w:r>
        <w:rPr>
          <w:rFonts w:ascii="Times New Roman" w:hAnsi="Times New Roman" w:eastAsia="Times New Roman"/>
          <w:lang w:eastAsia="ru-RU"/>
        </w:rPr>
        <w:t>сравнивать объекты окружающего мира, устанавливать основания для сравнения, устанавливать аналогии;</w:t>
      </w:r>
    </w:p>
    <w:p w14:paraId="4752058C">
      <w:pPr>
        <w:pStyle w:val="67"/>
        <w:widowControl/>
        <w:spacing w:after="0" w:line="355" w:lineRule="auto"/>
        <w:ind w:left="0" w:firstLine="709"/>
        <w:jc w:val="both"/>
        <w:rPr>
          <w:rFonts w:ascii="Times New Roman" w:hAnsi="Times New Roman" w:eastAsia="Times New Roman"/>
          <w:lang w:eastAsia="ru-RU"/>
        </w:rPr>
      </w:pPr>
      <w:r>
        <w:rPr>
          <w:rFonts w:ascii="Times New Roman" w:hAnsi="Times New Roman" w:eastAsia="Times New Roman"/>
          <w:lang w:eastAsia="ru-RU"/>
        </w:rPr>
        <w:t>объединять части объекта (объекты) по определённому признаку;</w:t>
      </w:r>
    </w:p>
    <w:p w14:paraId="1F02D829">
      <w:pPr>
        <w:pStyle w:val="67"/>
        <w:widowControl/>
        <w:spacing w:after="0" w:line="355" w:lineRule="auto"/>
        <w:ind w:left="0" w:firstLine="709"/>
        <w:jc w:val="both"/>
        <w:rPr>
          <w:rFonts w:ascii="Times New Roman" w:hAnsi="Times New Roman" w:eastAsia="Times New Roman"/>
          <w:lang w:eastAsia="ru-RU"/>
        </w:rPr>
      </w:pPr>
      <w:r>
        <w:rPr>
          <w:rFonts w:ascii="Times New Roman" w:hAnsi="Times New Roman" w:eastAsia="Times New Roman"/>
          <w:lang w:eastAsia="ru-RU"/>
        </w:rPr>
        <w:t>определять существенный признак для классификации, классифицировать предложенные объекты;</w:t>
      </w:r>
    </w:p>
    <w:p w14:paraId="6CDBD787">
      <w:pPr>
        <w:pStyle w:val="67"/>
        <w:widowControl/>
        <w:spacing w:after="0" w:line="355" w:lineRule="auto"/>
        <w:ind w:left="0" w:firstLine="709"/>
        <w:jc w:val="both"/>
        <w:rPr>
          <w:rFonts w:ascii="Times New Roman" w:hAnsi="Times New Roman" w:eastAsia="Times New Roman"/>
          <w:lang w:eastAsia="ru-RU"/>
        </w:rPr>
      </w:pPr>
      <w:r>
        <w:rPr>
          <w:rFonts w:ascii="Times New Roman" w:hAnsi="Times New Roman" w:eastAsia="Times New Roman"/>
          <w:lang w:eastAsia="ru-RU"/>
        </w:rPr>
        <w:t>находить закономерности и противоречия в рассматриваемых фактах, данных и наблюдениях на основе предложенного алгоритма;</w:t>
      </w:r>
    </w:p>
    <w:p w14:paraId="47EF87C2">
      <w:pPr>
        <w:pStyle w:val="67"/>
        <w:widowControl/>
        <w:spacing w:after="0" w:line="355" w:lineRule="auto"/>
        <w:ind w:left="0" w:firstLine="709"/>
        <w:jc w:val="both"/>
        <w:rPr>
          <w:rFonts w:ascii="Times New Roman" w:hAnsi="Times New Roman" w:eastAsia="Times New Roman"/>
          <w:lang w:eastAsia="ru-RU"/>
        </w:rPr>
      </w:pPr>
      <w:r>
        <w:rPr>
          <w:rFonts w:ascii="Times New Roman" w:hAnsi="Times New Roman" w:eastAsia="Times New Roman"/>
          <w:lang w:eastAsia="ru-RU"/>
        </w:rPr>
        <w:t>выявлять недостаток информации для решения учебной (практической) задачи на основе предложенного алгоритма.</w:t>
      </w:r>
    </w:p>
    <w:p w14:paraId="66EC5E73">
      <w:pPr>
        <w:spacing w:after="0" w:line="355" w:lineRule="auto"/>
        <w:ind w:firstLine="709"/>
        <w:jc w:val="both"/>
        <w:rPr>
          <w:rFonts w:ascii="Times New Roman" w:hAnsi="Times New Roman" w:eastAsia="SchoolBookSanPin"/>
        </w:rPr>
      </w:pPr>
      <w:r>
        <w:rPr>
          <w:rFonts w:ascii="Times New Roman" w:hAnsi="Times New Roman" w:eastAsia="SchoolBookSanPin"/>
        </w:rPr>
        <w:t>11</w:t>
      </w:r>
      <w:r>
        <w:rPr>
          <w:rFonts w:ascii="Times New Roman" w:hAnsi="Times New Roman" w:eastAsia="OfficinaSansBoldITC"/>
        </w:rPr>
        <w:t>.10.2.2. </w:t>
      </w:r>
      <w:r>
        <w:rPr>
          <w:rFonts w:ascii="Times New Roman" w:hAnsi="Times New Roman" w:eastAsia="SchoolBookSanPin"/>
        </w:rPr>
        <w:t xml:space="preserve">У обучающегося будут сформированы следующие базовые исследовательские действия как часть </w:t>
      </w:r>
      <w:r>
        <w:rPr>
          <w:rFonts w:ascii="Times New Roman" w:hAnsi="Times New Roman" w:eastAsia="SchoolBookSanPin"/>
          <w:bCs/>
        </w:rPr>
        <w:t>познавательных универсальных учебных действий</w:t>
      </w:r>
      <w:r>
        <w:rPr>
          <w:rFonts w:ascii="Times New Roman" w:hAnsi="Times New Roman" w:eastAsia="SchoolBookSanPin"/>
        </w:rPr>
        <w:t>:</w:t>
      </w:r>
    </w:p>
    <w:p w14:paraId="07AA6AA9">
      <w:pPr>
        <w:pStyle w:val="67"/>
        <w:widowControl/>
        <w:spacing w:after="0" w:line="355" w:lineRule="auto"/>
        <w:ind w:left="0" w:firstLine="709"/>
        <w:jc w:val="both"/>
        <w:rPr>
          <w:rFonts w:ascii="Times New Roman" w:hAnsi="Times New Roman" w:eastAsia="Times New Roman"/>
          <w:lang w:eastAsia="ru-RU"/>
        </w:rPr>
      </w:pPr>
      <w:r>
        <w:rPr>
          <w:rFonts w:ascii="Times New Roman" w:hAnsi="Times New Roman" w:eastAsia="Times New Roman"/>
          <w:lang w:eastAsia="ru-RU"/>
        </w:rPr>
        <w:t xml:space="preserve">проводить (по предложенному и самостоятельно составленному плану или выдвинутому предположению) наблюдения, несложные опыты; </w:t>
      </w:r>
    </w:p>
    <w:p w14:paraId="3080D7DB">
      <w:pPr>
        <w:pStyle w:val="67"/>
        <w:widowControl/>
        <w:spacing w:after="0" w:line="355" w:lineRule="auto"/>
        <w:ind w:left="0" w:firstLine="709"/>
        <w:jc w:val="both"/>
        <w:rPr>
          <w:rFonts w:ascii="Times New Roman" w:hAnsi="Times New Roman" w:eastAsia="Times New Roman"/>
          <w:lang w:eastAsia="ru-RU"/>
        </w:rPr>
      </w:pPr>
      <w:r>
        <w:rPr>
          <w:rFonts w:ascii="Times New Roman" w:hAnsi="Times New Roman" w:eastAsia="Times New Roman"/>
          <w:lang w:eastAsia="ru-RU"/>
        </w:rPr>
        <w:t>проявлять интерес к экспериментам, проводимым под руководством учителя;</w:t>
      </w:r>
    </w:p>
    <w:p w14:paraId="3349F711">
      <w:pPr>
        <w:pStyle w:val="67"/>
        <w:widowControl/>
        <w:spacing w:after="0" w:line="355" w:lineRule="auto"/>
        <w:ind w:left="0" w:firstLine="709"/>
        <w:jc w:val="both"/>
        <w:rPr>
          <w:rFonts w:ascii="Times New Roman" w:hAnsi="Times New Roman" w:eastAsia="Times New Roman"/>
          <w:lang w:eastAsia="ru-RU"/>
        </w:rPr>
      </w:pPr>
      <w:r>
        <w:rPr>
          <w:rFonts w:ascii="Times New Roman" w:hAnsi="Times New Roman" w:eastAsia="Times New Roman"/>
          <w:lang w:eastAsia="ru-RU"/>
        </w:rPr>
        <w:t>определять разницу между реальным и желательным состоянием объекта (ситуации) на основе предложенных вопросов;</w:t>
      </w:r>
    </w:p>
    <w:p w14:paraId="29C1AAFE">
      <w:pPr>
        <w:pStyle w:val="67"/>
        <w:widowControl/>
        <w:spacing w:after="0" w:line="355" w:lineRule="auto"/>
        <w:ind w:left="0" w:firstLine="709"/>
        <w:jc w:val="both"/>
        <w:rPr>
          <w:rFonts w:ascii="Times New Roman" w:hAnsi="Times New Roman" w:eastAsia="Times New Roman"/>
          <w:lang w:eastAsia="ru-RU"/>
        </w:rPr>
      </w:pPr>
      <w:r>
        <w:rPr>
          <w:rFonts w:ascii="Times New Roman" w:hAnsi="Times New Roman" w:eastAsia="Times New Roman"/>
          <w:lang w:eastAsia="ru-RU"/>
        </w:rPr>
        <w:t>формулировать с помощью учителя цель предстоящей работы, прогнозировать возможное развитие процессов, событий и последствия в аналогичных или сходных ситуациях;</w:t>
      </w:r>
    </w:p>
    <w:p w14:paraId="4A45D7B6">
      <w:pPr>
        <w:pStyle w:val="67"/>
        <w:widowControl/>
        <w:spacing w:after="0" w:line="355" w:lineRule="auto"/>
        <w:ind w:left="0" w:firstLine="709"/>
        <w:jc w:val="both"/>
        <w:rPr>
          <w:rFonts w:ascii="Times New Roman" w:hAnsi="Times New Roman" w:eastAsia="Times New Roman"/>
          <w:lang w:eastAsia="ru-RU"/>
        </w:rPr>
      </w:pPr>
      <w:r>
        <w:rPr>
          <w:rFonts w:ascii="Times New Roman" w:hAnsi="Times New Roman" w:eastAsia="Times New Roman"/>
          <w:lang w:eastAsia="ru-RU"/>
        </w:rPr>
        <w:t>моделировать ситуации на основе изученного материала о связях в природе (живая и неживая природа, цепи питания; природные зоны), а также в социуме (лента времени; поведение и его последствия; коллективный труд и его результаты и другие);</w:t>
      </w:r>
    </w:p>
    <w:p w14:paraId="6EEF5154">
      <w:pPr>
        <w:pStyle w:val="67"/>
        <w:widowControl/>
        <w:spacing w:after="0" w:line="355" w:lineRule="auto"/>
        <w:ind w:left="0" w:firstLine="709"/>
        <w:jc w:val="both"/>
        <w:rPr>
          <w:rFonts w:ascii="Times New Roman" w:hAnsi="Times New Roman" w:eastAsia="Times New Roman"/>
          <w:lang w:eastAsia="ru-RU"/>
        </w:rPr>
      </w:pPr>
      <w:r>
        <w:rPr>
          <w:rFonts w:ascii="Times New Roman" w:hAnsi="Times New Roman" w:eastAsia="Times New Roman"/>
          <w:lang w:eastAsia="ru-RU"/>
        </w:rPr>
        <w:t>проводить по предложенному плану опыт, несложное исследование по установлению особенностей объекта изучения и связей между объектами (часть ‒ целое, причина ‒ следствие);</w:t>
      </w:r>
    </w:p>
    <w:p w14:paraId="05424858">
      <w:pPr>
        <w:pStyle w:val="67"/>
        <w:widowControl/>
        <w:spacing w:after="0" w:line="355" w:lineRule="auto"/>
        <w:ind w:left="0" w:firstLine="709"/>
        <w:jc w:val="both"/>
        <w:rPr>
          <w:rFonts w:ascii="Times New Roman" w:hAnsi="Times New Roman" w:eastAsia="Times New Roman"/>
          <w:lang w:eastAsia="ru-RU"/>
        </w:rPr>
      </w:pPr>
      <w:r>
        <w:rPr>
          <w:rFonts w:ascii="Times New Roman" w:hAnsi="Times New Roman" w:eastAsia="Times New Roman"/>
          <w:lang w:eastAsia="ru-RU"/>
        </w:rPr>
        <w:t>формулировать выводы и подкреплять их доказательствами на основе результатов проведённого наблюдения (опыта, измерения, исследования).</w:t>
      </w:r>
    </w:p>
    <w:p w14:paraId="716F0247">
      <w:pPr>
        <w:spacing w:after="0" w:line="355" w:lineRule="auto"/>
        <w:ind w:firstLine="709"/>
        <w:jc w:val="both"/>
        <w:rPr>
          <w:rFonts w:ascii="Times New Roman" w:hAnsi="Times New Roman" w:eastAsia="SchoolBookSanPin"/>
        </w:rPr>
      </w:pPr>
      <w:r>
        <w:rPr>
          <w:rFonts w:ascii="Times New Roman" w:hAnsi="Times New Roman" w:eastAsia="SchoolBookSanPin"/>
        </w:rPr>
        <w:t>11</w:t>
      </w:r>
      <w:r>
        <w:rPr>
          <w:rFonts w:ascii="Times New Roman" w:hAnsi="Times New Roman" w:eastAsia="OfficinaSansBoldITC"/>
        </w:rPr>
        <w:t>.10.2.3. </w:t>
      </w:r>
      <w:r>
        <w:rPr>
          <w:rFonts w:ascii="Times New Roman" w:hAnsi="Times New Roman" w:eastAsia="SchoolBookSanPin"/>
        </w:rPr>
        <w:t xml:space="preserve">У обучающегося будут </w:t>
      </w:r>
      <w:r>
        <w:rPr>
          <w:rFonts w:ascii="Times New Roman" w:hAnsi="Times New Roman"/>
        </w:rPr>
        <w:t xml:space="preserve">сформированы умения </w:t>
      </w:r>
      <w:r>
        <w:rPr>
          <w:rFonts w:ascii="Times New Roman" w:hAnsi="Times New Roman" w:eastAsia="SchoolBookSanPin"/>
        </w:rPr>
        <w:t xml:space="preserve">работать с информацией как часть </w:t>
      </w:r>
      <w:r>
        <w:rPr>
          <w:rFonts w:ascii="Times New Roman" w:hAnsi="Times New Roman" w:eastAsia="SchoolBookSanPin"/>
          <w:bCs/>
        </w:rPr>
        <w:t>познавательных универсальных учебных действий</w:t>
      </w:r>
      <w:r>
        <w:rPr>
          <w:rFonts w:ascii="Times New Roman" w:hAnsi="Times New Roman" w:eastAsia="SchoolBookSanPin"/>
        </w:rPr>
        <w:t>:</w:t>
      </w:r>
    </w:p>
    <w:p w14:paraId="6DAE9C2A">
      <w:pPr>
        <w:pStyle w:val="67"/>
        <w:widowControl/>
        <w:spacing w:after="0" w:line="355" w:lineRule="auto"/>
        <w:ind w:left="0" w:firstLine="709"/>
        <w:jc w:val="both"/>
        <w:rPr>
          <w:rFonts w:ascii="Times New Roman" w:hAnsi="Times New Roman" w:eastAsia="Times New Roman"/>
          <w:lang w:eastAsia="ru-RU"/>
        </w:rPr>
      </w:pPr>
      <w:r>
        <w:rPr>
          <w:rFonts w:ascii="Times New Roman" w:hAnsi="Times New Roman" w:eastAsia="Times New Roman"/>
          <w:lang w:eastAsia="ru-RU"/>
        </w:rPr>
        <w:t>использовать различные источники для поиска информации, выбирать источник получения информации с учётом учебной задачи;</w:t>
      </w:r>
    </w:p>
    <w:p w14:paraId="52A39BAC">
      <w:pPr>
        <w:pStyle w:val="67"/>
        <w:widowControl/>
        <w:spacing w:after="0" w:line="355" w:lineRule="auto"/>
        <w:ind w:left="0" w:firstLine="709"/>
        <w:jc w:val="both"/>
        <w:rPr>
          <w:rFonts w:ascii="Times New Roman" w:hAnsi="Times New Roman" w:eastAsia="Times New Roman"/>
          <w:lang w:eastAsia="ru-RU"/>
        </w:rPr>
      </w:pPr>
      <w:r>
        <w:rPr>
          <w:rFonts w:ascii="Times New Roman" w:hAnsi="Times New Roman" w:eastAsia="Times New Roman"/>
          <w:lang w:eastAsia="ru-RU"/>
        </w:rPr>
        <w:t>находить в предложенном источнике информацию, представленную в явном виде, согласно заданному алгоритму;</w:t>
      </w:r>
    </w:p>
    <w:p w14:paraId="4A2288E8">
      <w:pPr>
        <w:pStyle w:val="67"/>
        <w:widowControl/>
        <w:spacing w:after="0" w:line="355" w:lineRule="auto"/>
        <w:ind w:left="0" w:firstLine="709"/>
        <w:jc w:val="both"/>
        <w:rPr>
          <w:rFonts w:ascii="Times New Roman" w:hAnsi="Times New Roman" w:eastAsia="Times New Roman"/>
          <w:lang w:eastAsia="ru-RU"/>
        </w:rPr>
      </w:pPr>
      <w:r>
        <w:rPr>
          <w:rFonts w:ascii="Times New Roman" w:hAnsi="Times New Roman" w:eastAsia="Times New Roman"/>
          <w:lang w:eastAsia="ru-RU"/>
        </w:rPr>
        <w:t>распознавать достоверную и недостоверную информацию самостоятельно или на основе предложенного учителем способа её проверки;</w:t>
      </w:r>
    </w:p>
    <w:p w14:paraId="6633C7D6">
      <w:pPr>
        <w:pStyle w:val="67"/>
        <w:widowControl/>
        <w:spacing w:after="0" w:line="355" w:lineRule="auto"/>
        <w:ind w:left="0" w:firstLine="709"/>
        <w:jc w:val="both"/>
        <w:rPr>
          <w:rFonts w:ascii="Times New Roman" w:hAnsi="Times New Roman" w:eastAsia="Times New Roman"/>
          <w:lang w:eastAsia="ru-RU"/>
        </w:rPr>
      </w:pPr>
      <w:r>
        <w:rPr>
          <w:rFonts w:ascii="Times New Roman" w:hAnsi="Times New Roman" w:eastAsia="Times New Roman"/>
          <w:lang w:eastAsia="ru-RU"/>
        </w:rPr>
        <w:t>находить и использовать для решения учебных задач текстовую, графическую, аудиовизуальную информацию;</w:t>
      </w:r>
    </w:p>
    <w:p w14:paraId="5E3F7230">
      <w:pPr>
        <w:pStyle w:val="67"/>
        <w:widowControl/>
        <w:spacing w:after="0" w:line="355" w:lineRule="auto"/>
        <w:ind w:left="0" w:firstLine="709"/>
        <w:jc w:val="both"/>
        <w:rPr>
          <w:rFonts w:ascii="Times New Roman" w:hAnsi="Times New Roman" w:eastAsia="Times New Roman"/>
          <w:lang w:eastAsia="ru-RU"/>
        </w:rPr>
      </w:pPr>
      <w:r>
        <w:rPr>
          <w:rFonts w:ascii="Times New Roman" w:hAnsi="Times New Roman" w:eastAsia="Times New Roman"/>
          <w:lang w:eastAsia="ru-RU"/>
        </w:rPr>
        <w:t>читать и интерпретировать графически представленную информацию: схему, таблицу, иллюстрацию;</w:t>
      </w:r>
    </w:p>
    <w:p w14:paraId="2435BCE8">
      <w:pPr>
        <w:pStyle w:val="67"/>
        <w:widowControl/>
        <w:spacing w:after="0" w:line="355" w:lineRule="auto"/>
        <w:ind w:left="0" w:firstLine="709"/>
        <w:jc w:val="both"/>
        <w:rPr>
          <w:rFonts w:ascii="Times New Roman" w:hAnsi="Times New Roman" w:eastAsia="Times New Roman"/>
          <w:lang w:eastAsia="ru-RU"/>
        </w:rPr>
      </w:pPr>
      <w:r>
        <w:rPr>
          <w:rFonts w:ascii="Times New Roman" w:hAnsi="Times New Roman" w:eastAsia="Times New Roman"/>
          <w:lang w:eastAsia="ru-RU"/>
        </w:rPr>
        <w:t>соблюдать правила информационной безопасности в условиях контролируемого доступа в информационно-телекоммуникационную сеть «Интернет» (с помощью учителя);</w:t>
      </w:r>
    </w:p>
    <w:p w14:paraId="566F4E32">
      <w:pPr>
        <w:pStyle w:val="67"/>
        <w:widowControl/>
        <w:spacing w:after="0" w:line="355" w:lineRule="auto"/>
        <w:ind w:left="0" w:firstLine="709"/>
        <w:jc w:val="both"/>
        <w:rPr>
          <w:rFonts w:ascii="Times New Roman" w:hAnsi="Times New Roman" w:eastAsia="Times New Roman"/>
          <w:lang w:eastAsia="ru-RU"/>
        </w:rPr>
      </w:pPr>
      <w:r>
        <w:rPr>
          <w:rFonts w:ascii="Times New Roman" w:hAnsi="Times New Roman" w:eastAsia="Times New Roman"/>
          <w:lang w:eastAsia="ru-RU"/>
        </w:rPr>
        <w:t>анализировать и создавать текстовую, видео-, графическую, звуковую информацию в соответствии с учебной задачей;</w:t>
      </w:r>
    </w:p>
    <w:p w14:paraId="6F49BBAA">
      <w:pPr>
        <w:pStyle w:val="67"/>
        <w:widowControl/>
        <w:spacing w:after="0" w:line="355" w:lineRule="auto"/>
        <w:ind w:left="0" w:firstLine="709"/>
        <w:jc w:val="both"/>
        <w:rPr>
          <w:rFonts w:ascii="Times New Roman" w:hAnsi="Times New Roman" w:eastAsia="Times New Roman"/>
          <w:lang w:eastAsia="ru-RU"/>
        </w:rPr>
      </w:pPr>
      <w:r>
        <w:rPr>
          <w:rFonts w:ascii="Times New Roman" w:hAnsi="Times New Roman" w:eastAsia="Times New Roman"/>
          <w:lang w:eastAsia="ru-RU"/>
        </w:rPr>
        <w:t>фиксировать полученные результаты в текстовой форме (отчёт, выступление, высказывание) и графическом виде (рисунок, схема, диаграмма).</w:t>
      </w:r>
    </w:p>
    <w:p w14:paraId="2D0E2B42">
      <w:pPr>
        <w:spacing w:after="0" w:line="355" w:lineRule="auto"/>
        <w:ind w:firstLine="709"/>
        <w:jc w:val="both"/>
        <w:rPr>
          <w:rFonts w:ascii="Times New Roman" w:hAnsi="Times New Roman" w:eastAsia="SchoolBookSanPin"/>
        </w:rPr>
      </w:pPr>
      <w:r>
        <w:rPr>
          <w:rFonts w:ascii="Times New Roman" w:hAnsi="Times New Roman" w:eastAsia="SchoolBookSanPin"/>
        </w:rPr>
        <w:t>11</w:t>
      </w:r>
      <w:r>
        <w:rPr>
          <w:rFonts w:ascii="Times New Roman" w:hAnsi="Times New Roman" w:eastAsia="OfficinaSansBoldITC"/>
        </w:rPr>
        <w:t>.10.2.4. </w:t>
      </w:r>
      <w:r>
        <w:rPr>
          <w:rFonts w:ascii="Times New Roman" w:hAnsi="Times New Roman" w:eastAsia="SchoolBookSanPin"/>
        </w:rPr>
        <w:t xml:space="preserve">У обучающегося будут </w:t>
      </w:r>
      <w:r>
        <w:rPr>
          <w:rFonts w:ascii="Times New Roman" w:hAnsi="Times New Roman"/>
        </w:rPr>
        <w:t xml:space="preserve">сформированы умения </w:t>
      </w:r>
      <w:r>
        <w:rPr>
          <w:rFonts w:ascii="Times New Roman" w:hAnsi="Times New Roman" w:eastAsia="SchoolBookSanPin"/>
        </w:rPr>
        <w:t xml:space="preserve">общения как часть </w:t>
      </w:r>
      <w:r>
        <w:rPr>
          <w:rFonts w:ascii="Times New Roman" w:hAnsi="Times New Roman" w:eastAsia="SchoolBookSanPin"/>
          <w:bCs/>
        </w:rPr>
        <w:t>коммуникативных универсальных учебных действий</w:t>
      </w:r>
      <w:r>
        <w:rPr>
          <w:rFonts w:ascii="Times New Roman" w:hAnsi="Times New Roman" w:eastAsia="SchoolBookSanPin"/>
        </w:rPr>
        <w:t>:</w:t>
      </w:r>
    </w:p>
    <w:p w14:paraId="2E86BB05">
      <w:pPr>
        <w:pStyle w:val="67"/>
        <w:widowControl/>
        <w:spacing w:after="0" w:line="355" w:lineRule="auto"/>
        <w:ind w:left="0" w:firstLine="709"/>
        <w:jc w:val="both"/>
        <w:rPr>
          <w:rFonts w:ascii="Times New Roman" w:hAnsi="Times New Roman" w:eastAsia="Times New Roman"/>
          <w:lang w:eastAsia="ru-RU"/>
        </w:rPr>
      </w:pPr>
      <w:r>
        <w:rPr>
          <w:rFonts w:ascii="Times New Roman" w:hAnsi="Times New Roman" w:eastAsia="Times New Roman"/>
          <w:lang w:eastAsia="ru-RU"/>
        </w:rPr>
        <w:t>в процессе диалогов задавать вопросы, высказывать суждения, оценивать выступления участников;</w:t>
      </w:r>
    </w:p>
    <w:p w14:paraId="359EFE01">
      <w:pPr>
        <w:pStyle w:val="67"/>
        <w:widowControl/>
        <w:spacing w:after="0" w:line="355" w:lineRule="auto"/>
        <w:ind w:left="0" w:firstLine="709"/>
        <w:jc w:val="both"/>
        <w:rPr>
          <w:rFonts w:ascii="Times New Roman" w:hAnsi="Times New Roman" w:eastAsia="Times New Roman"/>
          <w:lang w:eastAsia="ru-RU"/>
        </w:rPr>
      </w:pPr>
      <w:r>
        <w:rPr>
          <w:rFonts w:ascii="Times New Roman" w:hAnsi="Times New Roman" w:eastAsia="Times New Roman"/>
          <w:lang w:eastAsia="ru-RU"/>
        </w:rPr>
        <w:t>признавать возможность существования разных точек зрения; корректно и аргументированно высказывать своё мнение; приводить доказательства своей правоты;</w:t>
      </w:r>
    </w:p>
    <w:p w14:paraId="18AFB39C">
      <w:pPr>
        <w:pStyle w:val="67"/>
        <w:widowControl/>
        <w:spacing w:after="0" w:line="355" w:lineRule="auto"/>
        <w:ind w:left="0" w:firstLine="709"/>
        <w:jc w:val="both"/>
        <w:rPr>
          <w:rFonts w:ascii="Times New Roman" w:hAnsi="Times New Roman" w:eastAsia="Times New Roman"/>
          <w:lang w:eastAsia="ru-RU"/>
        </w:rPr>
      </w:pPr>
      <w:r>
        <w:rPr>
          <w:rFonts w:ascii="Times New Roman" w:hAnsi="Times New Roman" w:eastAsia="Times New Roman"/>
          <w:lang w:eastAsia="ru-RU"/>
        </w:rPr>
        <w:t>соблюдать правила ведения диалога и дискуссии; проявлять уважительное отношение к собеседнику;</w:t>
      </w:r>
    </w:p>
    <w:p w14:paraId="73193194">
      <w:pPr>
        <w:pStyle w:val="67"/>
        <w:widowControl/>
        <w:spacing w:after="0" w:line="355" w:lineRule="auto"/>
        <w:ind w:left="0" w:firstLine="709"/>
        <w:jc w:val="both"/>
        <w:rPr>
          <w:rFonts w:ascii="Times New Roman" w:hAnsi="Times New Roman" w:eastAsia="Times New Roman"/>
          <w:lang w:eastAsia="ru-RU"/>
        </w:rPr>
      </w:pPr>
      <w:r>
        <w:rPr>
          <w:rFonts w:ascii="Times New Roman" w:hAnsi="Times New Roman" w:eastAsia="Times New Roman"/>
          <w:lang w:eastAsia="ru-RU"/>
        </w:rPr>
        <w:t>использовать смысловое чтение для определения темы, главной мысли текста о природе, социальной жизни, взаимоотношениях и поступках людей;</w:t>
      </w:r>
    </w:p>
    <w:p w14:paraId="6DB3177B">
      <w:pPr>
        <w:pStyle w:val="67"/>
        <w:widowControl/>
        <w:spacing w:after="0" w:line="355" w:lineRule="auto"/>
        <w:ind w:left="0" w:firstLine="709"/>
        <w:jc w:val="both"/>
        <w:rPr>
          <w:rFonts w:ascii="Times New Roman" w:hAnsi="Times New Roman" w:eastAsia="Times New Roman"/>
          <w:lang w:eastAsia="ru-RU"/>
        </w:rPr>
      </w:pPr>
      <w:r>
        <w:rPr>
          <w:rFonts w:ascii="Times New Roman" w:hAnsi="Times New Roman" w:eastAsia="Times New Roman"/>
          <w:lang w:eastAsia="ru-RU"/>
        </w:rPr>
        <w:t>создавать устные и письменные тексты (описание, рассуждение, повествование);</w:t>
      </w:r>
    </w:p>
    <w:p w14:paraId="5BC5D173">
      <w:pPr>
        <w:pStyle w:val="67"/>
        <w:widowControl/>
        <w:spacing w:after="0" w:line="355" w:lineRule="auto"/>
        <w:ind w:left="0" w:firstLine="709"/>
        <w:jc w:val="both"/>
        <w:rPr>
          <w:rFonts w:ascii="Times New Roman" w:hAnsi="Times New Roman" w:eastAsia="Times New Roman"/>
          <w:lang w:eastAsia="ru-RU"/>
        </w:rPr>
      </w:pPr>
      <w:r>
        <w:rPr>
          <w:rFonts w:ascii="Times New Roman" w:hAnsi="Times New Roman" w:eastAsia="Times New Roman"/>
          <w:lang w:eastAsia="ru-RU"/>
        </w:rPr>
        <w:t>конструировать обобщения и выводы на основе полученных результатов наблюдений и опытной работы, подкреплять их доказательствами;</w:t>
      </w:r>
    </w:p>
    <w:p w14:paraId="43FC9982">
      <w:pPr>
        <w:pStyle w:val="67"/>
        <w:widowControl/>
        <w:spacing w:after="0" w:line="355" w:lineRule="auto"/>
        <w:ind w:left="0" w:firstLine="709"/>
        <w:jc w:val="both"/>
        <w:rPr>
          <w:rFonts w:ascii="Times New Roman" w:hAnsi="Times New Roman" w:eastAsia="Times New Roman"/>
          <w:lang w:eastAsia="ru-RU"/>
        </w:rPr>
      </w:pPr>
      <w:r>
        <w:rPr>
          <w:rFonts w:ascii="Times New Roman" w:hAnsi="Times New Roman" w:eastAsia="Times New Roman"/>
          <w:lang w:eastAsia="ru-RU"/>
        </w:rPr>
        <w:t>находить ошибки и восстанавливать деформированный текст об изученных объектах и явлениях природы, событиях социальной жизни;</w:t>
      </w:r>
    </w:p>
    <w:p w14:paraId="1F569BAD">
      <w:pPr>
        <w:pStyle w:val="67"/>
        <w:widowControl/>
        <w:spacing w:after="0" w:line="355" w:lineRule="auto"/>
        <w:ind w:left="0" w:firstLine="709"/>
        <w:jc w:val="both"/>
        <w:rPr>
          <w:rFonts w:ascii="Times New Roman" w:hAnsi="Times New Roman" w:eastAsia="Times New Roman"/>
          <w:lang w:eastAsia="ru-RU"/>
        </w:rPr>
      </w:pPr>
      <w:r>
        <w:rPr>
          <w:rFonts w:ascii="Times New Roman" w:hAnsi="Times New Roman" w:eastAsia="Times New Roman"/>
          <w:lang w:eastAsia="ru-RU"/>
        </w:rPr>
        <w:t>подготавливать небольшие публичные выступления с возможной презентацией (текст, рисунки, фото, плакаты и другие) к тексту выступления.</w:t>
      </w:r>
    </w:p>
    <w:p w14:paraId="0E416D81">
      <w:pPr>
        <w:spacing w:after="0" w:line="355" w:lineRule="auto"/>
        <w:ind w:firstLine="709"/>
        <w:jc w:val="both"/>
        <w:rPr>
          <w:rFonts w:ascii="Times New Roman" w:hAnsi="Times New Roman" w:eastAsia="SchoolBookSanPin"/>
        </w:rPr>
      </w:pPr>
      <w:r>
        <w:rPr>
          <w:rFonts w:ascii="Times New Roman" w:hAnsi="Times New Roman" w:eastAsia="SchoolBookSanPin"/>
        </w:rPr>
        <w:t>11</w:t>
      </w:r>
      <w:r>
        <w:rPr>
          <w:rFonts w:ascii="Times New Roman" w:hAnsi="Times New Roman" w:eastAsia="OfficinaSansBoldITC"/>
        </w:rPr>
        <w:t>.10.2.5. </w:t>
      </w:r>
      <w:r>
        <w:rPr>
          <w:rFonts w:ascii="Times New Roman" w:hAnsi="Times New Roman" w:eastAsia="SchoolBookSanPin"/>
        </w:rPr>
        <w:t xml:space="preserve">У обучающегося будут </w:t>
      </w:r>
      <w:r>
        <w:rPr>
          <w:rFonts w:ascii="Times New Roman" w:hAnsi="Times New Roman"/>
        </w:rPr>
        <w:t xml:space="preserve">сформированы умения </w:t>
      </w:r>
      <w:r>
        <w:rPr>
          <w:rFonts w:ascii="Times New Roman" w:hAnsi="Times New Roman" w:eastAsia="SchoolBookSanPin"/>
        </w:rPr>
        <w:t xml:space="preserve">самоорганизации как части </w:t>
      </w:r>
      <w:r>
        <w:rPr>
          <w:rFonts w:ascii="Times New Roman" w:hAnsi="Times New Roman" w:eastAsia="SchoolBookSanPin"/>
          <w:bCs/>
        </w:rPr>
        <w:t>регулятивных универсальных учебных действий</w:t>
      </w:r>
      <w:r>
        <w:rPr>
          <w:rFonts w:ascii="Times New Roman" w:hAnsi="Times New Roman" w:eastAsia="SchoolBookSanPin"/>
        </w:rPr>
        <w:t>:</w:t>
      </w:r>
    </w:p>
    <w:p w14:paraId="3FFB7BF8">
      <w:pPr>
        <w:pStyle w:val="67"/>
        <w:widowControl/>
        <w:spacing w:after="0" w:line="355" w:lineRule="auto"/>
        <w:ind w:left="0" w:firstLine="709"/>
        <w:jc w:val="both"/>
        <w:rPr>
          <w:rFonts w:ascii="Times New Roman" w:hAnsi="Times New Roman" w:eastAsia="Times New Roman"/>
          <w:lang w:eastAsia="ru-RU"/>
        </w:rPr>
      </w:pPr>
      <w:r>
        <w:rPr>
          <w:rFonts w:ascii="Times New Roman" w:hAnsi="Times New Roman" w:eastAsia="Times New Roman"/>
          <w:lang w:eastAsia="ru-RU"/>
        </w:rPr>
        <w:t>планировать самостоятельно или с помощью учителя действия по решению учебной задачи;</w:t>
      </w:r>
    </w:p>
    <w:p w14:paraId="508A725D">
      <w:pPr>
        <w:pStyle w:val="67"/>
        <w:widowControl/>
        <w:spacing w:after="0" w:line="355" w:lineRule="auto"/>
        <w:ind w:left="0" w:firstLine="709"/>
        <w:jc w:val="both"/>
        <w:rPr>
          <w:rFonts w:ascii="Times New Roman" w:hAnsi="Times New Roman" w:eastAsia="Times New Roman"/>
          <w:lang w:eastAsia="ru-RU"/>
        </w:rPr>
      </w:pPr>
      <w:r>
        <w:rPr>
          <w:rFonts w:ascii="Times New Roman" w:hAnsi="Times New Roman" w:eastAsia="Times New Roman"/>
          <w:lang w:eastAsia="ru-RU"/>
        </w:rPr>
        <w:t>выстраивать последовательность выбранных действий и операций.</w:t>
      </w:r>
    </w:p>
    <w:p w14:paraId="32895A63">
      <w:pPr>
        <w:spacing w:after="0" w:line="355" w:lineRule="auto"/>
        <w:ind w:firstLine="709"/>
        <w:jc w:val="both"/>
        <w:rPr>
          <w:rFonts w:ascii="Times New Roman" w:hAnsi="Times New Roman" w:eastAsia="SchoolBookSanPin"/>
        </w:rPr>
      </w:pPr>
      <w:r>
        <w:rPr>
          <w:rFonts w:ascii="Times New Roman" w:hAnsi="Times New Roman" w:eastAsia="SchoolBookSanPin"/>
        </w:rPr>
        <w:t>11</w:t>
      </w:r>
      <w:r>
        <w:rPr>
          <w:rFonts w:ascii="Times New Roman" w:hAnsi="Times New Roman" w:eastAsia="OfficinaSansBoldITC"/>
        </w:rPr>
        <w:t>.10.2.6. </w:t>
      </w:r>
      <w:r>
        <w:rPr>
          <w:rFonts w:ascii="Times New Roman" w:hAnsi="Times New Roman" w:eastAsia="SchoolBookSanPin"/>
        </w:rPr>
        <w:t xml:space="preserve">У обучающегося будут </w:t>
      </w:r>
      <w:r>
        <w:rPr>
          <w:rFonts w:ascii="Times New Roman" w:hAnsi="Times New Roman"/>
        </w:rPr>
        <w:t xml:space="preserve">сформированы умения </w:t>
      </w:r>
      <w:r>
        <w:rPr>
          <w:rFonts w:ascii="Times New Roman" w:hAnsi="Times New Roman" w:eastAsia="SchoolBookSanPin"/>
        </w:rPr>
        <w:t xml:space="preserve">самоконтроля и самооценки как части </w:t>
      </w:r>
      <w:r>
        <w:rPr>
          <w:rFonts w:ascii="Times New Roman" w:hAnsi="Times New Roman" w:eastAsia="SchoolBookSanPin"/>
          <w:bCs/>
        </w:rPr>
        <w:t>регулятивных универсальных учебных действий</w:t>
      </w:r>
      <w:r>
        <w:rPr>
          <w:rFonts w:ascii="Times New Roman" w:hAnsi="Times New Roman" w:eastAsia="SchoolBookSanPin"/>
        </w:rPr>
        <w:t>:</w:t>
      </w:r>
    </w:p>
    <w:p w14:paraId="64DB78E2">
      <w:pPr>
        <w:pStyle w:val="67"/>
        <w:widowControl/>
        <w:spacing w:after="0" w:line="355" w:lineRule="auto"/>
        <w:ind w:left="0" w:firstLine="709"/>
        <w:jc w:val="both"/>
        <w:rPr>
          <w:rFonts w:ascii="Times New Roman" w:hAnsi="Times New Roman" w:eastAsia="Times New Roman"/>
          <w:lang w:eastAsia="ru-RU"/>
        </w:rPr>
      </w:pPr>
      <w:r>
        <w:rPr>
          <w:rFonts w:ascii="Times New Roman" w:hAnsi="Times New Roman" w:eastAsia="Times New Roman"/>
          <w:lang w:eastAsia="ru-RU"/>
        </w:rPr>
        <w:t>осуществлять контроль процесса и результата своей деятельности;</w:t>
      </w:r>
    </w:p>
    <w:p w14:paraId="6587F7C7">
      <w:pPr>
        <w:pStyle w:val="67"/>
        <w:widowControl/>
        <w:spacing w:after="0" w:line="355" w:lineRule="auto"/>
        <w:ind w:left="0" w:firstLine="709"/>
        <w:jc w:val="both"/>
        <w:rPr>
          <w:rFonts w:ascii="Times New Roman" w:hAnsi="Times New Roman" w:eastAsia="Times New Roman"/>
          <w:lang w:eastAsia="ru-RU"/>
        </w:rPr>
      </w:pPr>
      <w:r>
        <w:rPr>
          <w:rFonts w:ascii="Times New Roman" w:hAnsi="Times New Roman" w:eastAsia="Times New Roman"/>
          <w:lang w:eastAsia="ru-RU"/>
        </w:rPr>
        <w:t xml:space="preserve">находить ошибки в своей работе и устанавливать их причины; </w:t>
      </w:r>
    </w:p>
    <w:p w14:paraId="6B06130B">
      <w:pPr>
        <w:pStyle w:val="67"/>
        <w:widowControl/>
        <w:spacing w:after="0" w:line="355" w:lineRule="auto"/>
        <w:ind w:left="0" w:firstLine="709"/>
        <w:jc w:val="both"/>
        <w:rPr>
          <w:rFonts w:ascii="Times New Roman" w:hAnsi="Times New Roman" w:eastAsia="Times New Roman"/>
          <w:lang w:eastAsia="ru-RU"/>
        </w:rPr>
      </w:pPr>
      <w:r>
        <w:rPr>
          <w:rFonts w:ascii="Times New Roman" w:hAnsi="Times New Roman" w:eastAsia="Times New Roman"/>
          <w:lang w:eastAsia="ru-RU"/>
        </w:rPr>
        <w:t>корректировать свои действия при необходимости (с небольшой помощью учителя);</w:t>
      </w:r>
    </w:p>
    <w:p w14:paraId="6BB80767">
      <w:pPr>
        <w:pStyle w:val="67"/>
        <w:widowControl/>
        <w:spacing w:after="0" w:line="355" w:lineRule="auto"/>
        <w:ind w:left="0" w:firstLine="709"/>
        <w:jc w:val="both"/>
        <w:rPr>
          <w:rFonts w:ascii="Times New Roman" w:hAnsi="Times New Roman" w:eastAsia="Times New Roman"/>
          <w:lang w:eastAsia="ru-RU"/>
        </w:rPr>
      </w:pPr>
      <w:r>
        <w:rPr>
          <w:rFonts w:ascii="Times New Roman" w:hAnsi="Times New Roman" w:eastAsia="Times New Roman"/>
          <w:lang w:eastAsia="ru-RU"/>
        </w:rPr>
        <w:t>предвидеть возможность возникновения трудностей и ошибок, предусматривать способы их предупреждения, в том числе в житейских ситуациях, опасных для здоровья и жизни;</w:t>
      </w:r>
    </w:p>
    <w:p w14:paraId="79F92A67">
      <w:pPr>
        <w:pStyle w:val="67"/>
        <w:widowControl/>
        <w:spacing w:after="0" w:line="355" w:lineRule="auto"/>
        <w:ind w:left="0" w:firstLine="709"/>
        <w:jc w:val="both"/>
        <w:rPr>
          <w:rFonts w:ascii="Times New Roman" w:hAnsi="Times New Roman" w:eastAsia="Times New Roman"/>
          <w:lang w:eastAsia="ru-RU"/>
        </w:rPr>
      </w:pPr>
      <w:r>
        <w:rPr>
          <w:rFonts w:ascii="Times New Roman" w:hAnsi="Times New Roman" w:eastAsia="Times New Roman"/>
          <w:lang w:eastAsia="ru-RU"/>
        </w:rPr>
        <w:t>объективно оценивать результаты своей деятельности, соотносить свою оценку с оценкой учителя;</w:t>
      </w:r>
    </w:p>
    <w:p w14:paraId="6350E994">
      <w:pPr>
        <w:pStyle w:val="67"/>
        <w:widowControl/>
        <w:spacing w:after="0" w:line="355" w:lineRule="auto"/>
        <w:ind w:left="0" w:firstLine="709"/>
        <w:jc w:val="both"/>
        <w:rPr>
          <w:rFonts w:ascii="Times New Roman" w:hAnsi="Times New Roman" w:eastAsia="Times New Roman"/>
          <w:lang w:eastAsia="ru-RU"/>
        </w:rPr>
      </w:pPr>
      <w:r>
        <w:rPr>
          <w:rFonts w:ascii="Times New Roman" w:hAnsi="Times New Roman" w:eastAsia="Times New Roman"/>
          <w:lang w:eastAsia="ru-RU"/>
        </w:rPr>
        <w:t>оценивать целесообразность выбранных способов действия, при необходимости корректировать их.</w:t>
      </w:r>
    </w:p>
    <w:p w14:paraId="1266DC03">
      <w:pPr>
        <w:spacing w:after="0" w:line="355" w:lineRule="auto"/>
        <w:ind w:firstLine="709"/>
        <w:jc w:val="both"/>
        <w:rPr>
          <w:rFonts w:ascii="Times New Roman" w:hAnsi="Times New Roman" w:eastAsia="SchoolBookSanPin"/>
        </w:rPr>
      </w:pPr>
      <w:r>
        <w:rPr>
          <w:rFonts w:ascii="Times New Roman" w:hAnsi="Times New Roman" w:eastAsia="SchoolBookSanPin"/>
        </w:rPr>
        <w:t>11</w:t>
      </w:r>
      <w:r>
        <w:rPr>
          <w:rFonts w:ascii="Times New Roman" w:hAnsi="Times New Roman" w:eastAsia="OfficinaSansBoldITC"/>
        </w:rPr>
        <w:t>.10.2.7. </w:t>
      </w:r>
      <w:r>
        <w:rPr>
          <w:rFonts w:ascii="Times New Roman" w:hAnsi="Times New Roman" w:eastAsia="SchoolBookSanPin"/>
        </w:rPr>
        <w:t xml:space="preserve">У обучающегося будут </w:t>
      </w:r>
      <w:r>
        <w:rPr>
          <w:rFonts w:ascii="Times New Roman" w:hAnsi="Times New Roman"/>
        </w:rPr>
        <w:t xml:space="preserve">сформированы умения </w:t>
      </w:r>
      <w:r>
        <w:rPr>
          <w:rFonts w:ascii="Times New Roman" w:hAnsi="Times New Roman" w:eastAsia="SchoolBookSanPin"/>
        </w:rPr>
        <w:t>совместной деятельности:</w:t>
      </w:r>
    </w:p>
    <w:p w14:paraId="6BDDE91A">
      <w:pPr>
        <w:pStyle w:val="67"/>
        <w:widowControl/>
        <w:spacing w:after="0" w:line="355" w:lineRule="auto"/>
        <w:ind w:left="0" w:firstLine="709"/>
        <w:jc w:val="both"/>
        <w:rPr>
          <w:rFonts w:ascii="Times New Roman" w:hAnsi="Times New Roman" w:eastAsia="Times New Roman"/>
          <w:lang w:eastAsia="ru-RU"/>
        </w:rPr>
      </w:pPr>
      <w:r>
        <w:rPr>
          <w:rFonts w:ascii="Times New Roman" w:hAnsi="Times New Roman" w:eastAsia="Times New Roman"/>
          <w:lang w:eastAsia="ru-RU"/>
        </w:rPr>
        <w:t>понимать значения коллективной деятельности для успешного решения учебной (практической) задачи; активно участвовать в формулировании краткосрочных и долгосрочных целей совместной деятельности (на основе изученного материала по окружающему миру);</w:t>
      </w:r>
    </w:p>
    <w:p w14:paraId="071A713E">
      <w:pPr>
        <w:pStyle w:val="67"/>
        <w:widowControl/>
        <w:spacing w:after="0" w:line="355" w:lineRule="auto"/>
        <w:ind w:left="0" w:firstLine="709"/>
        <w:jc w:val="both"/>
        <w:rPr>
          <w:rFonts w:ascii="Times New Roman" w:hAnsi="Times New Roman" w:eastAsia="Times New Roman"/>
          <w:lang w:eastAsia="ru-RU"/>
        </w:rPr>
      </w:pPr>
      <w:r>
        <w:rPr>
          <w:rFonts w:ascii="Times New Roman" w:hAnsi="Times New Roman" w:eastAsia="Times New Roman"/>
          <w:lang w:eastAsia="ru-RU"/>
        </w:rPr>
        <w:t>коллективно строить действия по достижению общей цели: распределять роли, договариваться, обсуждать процесс и результат совместной работы;</w:t>
      </w:r>
    </w:p>
    <w:p w14:paraId="2C2F9DDE">
      <w:pPr>
        <w:pStyle w:val="67"/>
        <w:widowControl/>
        <w:spacing w:after="0" w:line="355" w:lineRule="auto"/>
        <w:ind w:left="0" w:firstLine="709"/>
        <w:jc w:val="both"/>
        <w:rPr>
          <w:rFonts w:ascii="Times New Roman" w:hAnsi="Times New Roman" w:eastAsia="Times New Roman"/>
          <w:lang w:eastAsia="ru-RU"/>
        </w:rPr>
      </w:pPr>
      <w:r>
        <w:rPr>
          <w:rFonts w:ascii="Times New Roman" w:hAnsi="Times New Roman" w:eastAsia="Times New Roman"/>
          <w:lang w:eastAsia="ru-RU"/>
        </w:rPr>
        <w:t>проявлять готовность руководить, выполнять поручения, подчиняться;</w:t>
      </w:r>
    </w:p>
    <w:p w14:paraId="0C222078">
      <w:pPr>
        <w:pStyle w:val="67"/>
        <w:widowControl/>
        <w:spacing w:after="0" w:line="355" w:lineRule="auto"/>
        <w:ind w:left="0" w:firstLine="709"/>
        <w:jc w:val="both"/>
        <w:rPr>
          <w:rFonts w:ascii="Times New Roman" w:hAnsi="Times New Roman" w:eastAsia="Times New Roman"/>
          <w:lang w:eastAsia="ru-RU"/>
        </w:rPr>
      </w:pPr>
      <w:r>
        <w:rPr>
          <w:rFonts w:ascii="Times New Roman" w:hAnsi="Times New Roman" w:eastAsia="Times New Roman"/>
          <w:lang w:eastAsia="ru-RU"/>
        </w:rPr>
        <w:t>выполнять правила совместной деятельности: справедливо распределять и оценивать работу каждого участника; считаться с наличием разных мнений; не допускать конфликтов, при их возникновении мирно разрешать их без участия взрослого;</w:t>
      </w:r>
    </w:p>
    <w:p w14:paraId="66BA1BBB">
      <w:pPr>
        <w:pStyle w:val="67"/>
        <w:widowControl/>
        <w:spacing w:after="0" w:line="355" w:lineRule="auto"/>
        <w:ind w:left="0" w:firstLine="709"/>
        <w:jc w:val="both"/>
        <w:rPr>
          <w:rFonts w:ascii="Times New Roman" w:hAnsi="Times New Roman" w:eastAsia="Times New Roman"/>
          <w:lang w:eastAsia="ru-RU"/>
        </w:rPr>
      </w:pPr>
      <w:r>
        <w:rPr>
          <w:rFonts w:ascii="Times New Roman" w:hAnsi="Times New Roman" w:eastAsia="Times New Roman"/>
          <w:lang w:eastAsia="ru-RU"/>
        </w:rPr>
        <w:t>ответственно выполнять свою часть работы.</w:t>
      </w:r>
    </w:p>
    <w:p w14:paraId="4CD4ADF9">
      <w:pPr>
        <w:spacing w:after="0" w:line="355" w:lineRule="auto"/>
        <w:ind w:firstLine="709"/>
        <w:jc w:val="both"/>
        <w:rPr>
          <w:rFonts w:ascii="Times New Roman" w:hAnsi="Times New Roman" w:eastAsia="SchoolBookSanPin"/>
        </w:rPr>
      </w:pPr>
      <w:r>
        <w:rPr>
          <w:rFonts w:ascii="Times New Roman" w:hAnsi="Times New Roman" w:eastAsia="SchoolBookSanPin"/>
        </w:rPr>
        <w:t>11.10.3. </w:t>
      </w:r>
      <w:r>
        <w:rPr>
          <w:rFonts w:ascii="Times New Roman" w:hAnsi="Times New Roman" w:eastAsia="OfficinaSansBoldITC"/>
        </w:rPr>
        <w:t>Предметные результаты изучения окружающего мира. К</w:t>
      </w:r>
      <w:r>
        <w:rPr>
          <w:rFonts w:ascii="Times New Roman" w:hAnsi="Times New Roman" w:eastAsia="SchoolBookSanPin"/>
        </w:rPr>
        <w:t xml:space="preserve"> концу обучения в </w:t>
      </w:r>
      <w:r>
        <w:rPr>
          <w:rFonts w:ascii="Times New Roman" w:hAnsi="Times New Roman" w:eastAsia="SchoolBookSanPin"/>
          <w:bCs/>
        </w:rPr>
        <w:t xml:space="preserve">1 классе </w:t>
      </w:r>
      <w:r>
        <w:rPr>
          <w:rFonts w:ascii="Times New Roman" w:hAnsi="Times New Roman" w:eastAsia="SchoolBookSanPin"/>
        </w:rPr>
        <w:t>обучающийся научится:</w:t>
      </w:r>
    </w:p>
    <w:p w14:paraId="149C4FB5">
      <w:pPr>
        <w:pStyle w:val="67"/>
        <w:widowControl/>
        <w:spacing w:after="0" w:line="355" w:lineRule="auto"/>
        <w:ind w:left="0" w:firstLine="709"/>
        <w:jc w:val="both"/>
        <w:rPr>
          <w:rFonts w:ascii="Times New Roman" w:hAnsi="Times New Roman" w:eastAsia="Times New Roman"/>
          <w:lang w:eastAsia="ru-RU"/>
        </w:rPr>
      </w:pPr>
      <w:r>
        <w:rPr>
          <w:rFonts w:ascii="Times New Roman" w:hAnsi="Times New Roman" w:eastAsia="Times New Roman"/>
          <w:lang w:eastAsia="ru-RU"/>
        </w:rPr>
        <w:t>называть себя и членов своей семьи по фамилии, имени, отчеству, профессии членов своей семьи, домашний адрес и адрес своей школы; проявлять уважение к семейным ценностям и традициям, соблюдать правила нравственного поведения в социуме и на природе;</w:t>
      </w:r>
    </w:p>
    <w:p w14:paraId="3054A4C8">
      <w:pPr>
        <w:pStyle w:val="67"/>
        <w:widowControl/>
        <w:spacing w:after="0" w:line="355" w:lineRule="auto"/>
        <w:ind w:left="0" w:firstLine="709"/>
        <w:jc w:val="both"/>
        <w:rPr>
          <w:rFonts w:ascii="Times New Roman" w:hAnsi="Times New Roman" w:eastAsia="Times New Roman"/>
          <w:lang w:eastAsia="ru-RU"/>
        </w:rPr>
      </w:pPr>
      <w:r>
        <w:rPr>
          <w:rFonts w:ascii="Times New Roman" w:hAnsi="Times New Roman" w:eastAsia="Times New Roman"/>
          <w:lang w:eastAsia="ru-RU"/>
        </w:rPr>
        <w:t>воспроизводить название своего населённого пункта, региона, страны;</w:t>
      </w:r>
    </w:p>
    <w:p w14:paraId="484A55BC">
      <w:pPr>
        <w:pStyle w:val="67"/>
        <w:widowControl/>
        <w:spacing w:after="0" w:line="355" w:lineRule="auto"/>
        <w:ind w:left="0" w:firstLine="709"/>
        <w:jc w:val="both"/>
        <w:rPr>
          <w:rFonts w:ascii="Times New Roman" w:hAnsi="Times New Roman" w:eastAsia="Times New Roman"/>
          <w:lang w:eastAsia="ru-RU"/>
        </w:rPr>
      </w:pPr>
      <w:r>
        <w:rPr>
          <w:rFonts w:ascii="Times New Roman" w:hAnsi="Times New Roman" w:eastAsia="Times New Roman"/>
          <w:lang w:eastAsia="ru-RU"/>
        </w:rPr>
        <w:t>приводить примеры культурных объектов родного края, школьных традиций и праздников, традиций и ценностей своей семьи, профессий;</w:t>
      </w:r>
    </w:p>
    <w:p w14:paraId="56305386">
      <w:pPr>
        <w:pStyle w:val="67"/>
        <w:widowControl/>
        <w:spacing w:after="0" w:line="355" w:lineRule="auto"/>
        <w:ind w:left="0" w:firstLine="709"/>
        <w:jc w:val="both"/>
        <w:rPr>
          <w:rFonts w:ascii="Times New Roman" w:hAnsi="Times New Roman" w:eastAsia="Times New Roman"/>
          <w:lang w:eastAsia="ru-RU"/>
        </w:rPr>
      </w:pPr>
      <w:r>
        <w:rPr>
          <w:rFonts w:ascii="Times New Roman" w:hAnsi="Times New Roman" w:eastAsia="Times New Roman"/>
          <w:lang w:eastAsia="ru-RU"/>
        </w:rPr>
        <w:t>различать объекты живой и неживой природы, объекты, созданные человеком, и природные материалы, части растений (корень, стебель, лист, цветок, плод, семя), группы животных (насекомые, рыбы, птицы, звери);</w:t>
      </w:r>
    </w:p>
    <w:p w14:paraId="42227F9B">
      <w:pPr>
        <w:pStyle w:val="67"/>
        <w:widowControl/>
        <w:spacing w:after="0" w:line="355" w:lineRule="auto"/>
        <w:ind w:left="0" w:firstLine="709"/>
        <w:jc w:val="both"/>
        <w:rPr>
          <w:rFonts w:ascii="Times New Roman" w:hAnsi="Times New Roman" w:eastAsia="Times New Roman"/>
          <w:lang w:eastAsia="ru-RU"/>
        </w:rPr>
      </w:pPr>
      <w:r>
        <w:rPr>
          <w:rFonts w:ascii="Times New Roman" w:hAnsi="Times New Roman" w:eastAsia="Times New Roman"/>
          <w:lang w:eastAsia="ru-RU"/>
        </w:rPr>
        <w:t>описывать на основе опорных слов наиболее распространённые в родном крае дикорастущие и культурные растения, диких и домашних животных; сезонные явления в разные времена года; деревья, кустарники, травы; основные группы животных (насекомые, рыбы, птицы, звери); выделять их наиболее существенные признаки;</w:t>
      </w:r>
    </w:p>
    <w:p w14:paraId="21083657">
      <w:pPr>
        <w:pStyle w:val="67"/>
        <w:widowControl/>
        <w:spacing w:after="0" w:line="355" w:lineRule="auto"/>
        <w:ind w:left="0" w:firstLine="709"/>
        <w:jc w:val="both"/>
        <w:rPr>
          <w:rFonts w:ascii="Times New Roman" w:hAnsi="Times New Roman" w:eastAsia="Times New Roman"/>
          <w:lang w:eastAsia="ru-RU"/>
        </w:rPr>
      </w:pPr>
      <w:r>
        <w:rPr>
          <w:rFonts w:ascii="Times New Roman" w:hAnsi="Times New Roman" w:eastAsia="Times New Roman"/>
          <w:lang w:eastAsia="ru-RU"/>
        </w:rPr>
        <w:t>применять правила ухода за комнатными растениями и домашними животными;</w:t>
      </w:r>
    </w:p>
    <w:p w14:paraId="0BE6C0AA">
      <w:pPr>
        <w:pStyle w:val="67"/>
        <w:widowControl/>
        <w:spacing w:after="0" w:line="355" w:lineRule="auto"/>
        <w:ind w:left="0" w:firstLine="709"/>
        <w:jc w:val="both"/>
        <w:rPr>
          <w:rFonts w:ascii="Times New Roman" w:hAnsi="Times New Roman" w:eastAsia="Times New Roman"/>
          <w:lang w:eastAsia="ru-RU"/>
        </w:rPr>
      </w:pPr>
      <w:r>
        <w:rPr>
          <w:rFonts w:ascii="Times New Roman" w:hAnsi="Times New Roman" w:eastAsia="Times New Roman"/>
          <w:lang w:eastAsia="ru-RU"/>
        </w:rPr>
        <w:t>проводить, соблюдая правила безопасного труда, несложные групповые и индивидуальные наблюдения (в том числе за сезонными изменениями в природе своей местности), измерения (в том числе вести счёт времени, измерять температуру воздуха) и опыты под руководством учителя;</w:t>
      </w:r>
    </w:p>
    <w:p w14:paraId="0F7BDA41">
      <w:pPr>
        <w:pStyle w:val="67"/>
        <w:widowControl/>
        <w:spacing w:after="0" w:line="355" w:lineRule="auto"/>
        <w:ind w:left="0" w:firstLine="709"/>
        <w:jc w:val="both"/>
        <w:rPr>
          <w:rFonts w:ascii="Times New Roman" w:hAnsi="Times New Roman" w:eastAsia="Times New Roman"/>
          <w:lang w:eastAsia="ru-RU"/>
        </w:rPr>
      </w:pPr>
      <w:r>
        <w:rPr>
          <w:rFonts w:ascii="Times New Roman" w:hAnsi="Times New Roman" w:eastAsia="Times New Roman"/>
          <w:lang w:eastAsia="ru-RU"/>
        </w:rPr>
        <w:t>использовать для ответов на вопросы небольшие тексты о природе и обществе;</w:t>
      </w:r>
    </w:p>
    <w:p w14:paraId="19434BAC">
      <w:pPr>
        <w:pStyle w:val="67"/>
        <w:widowControl/>
        <w:spacing w:after="0" w:line="355" w:lineRule="auto"/>
        <w:ind w:left="0" w:firstLine="709"/>
        <w:jc w:val="both"/>
        <w:rPr>
          <w:rFonts w:ascii="Times New Roman" w:hAnsi="Times New Roman" w:eastAsia="Times New Roman"/>
          <w:lang w:eastAsia="ru-RU"/>
        </w:rPr>
      </w:pPr>
      <w:r>
        <w:rPr>
          <w:rFonts w:ascii="Times New Roman" w:hAnsi="Times New Roman" w:eastAsia="Times New Roman"/>
          <w:lang w:eastAsia="ru-RU"/>
        </w:rPr>
        <w:t>оценивать ситуации, раскрывающие положительное и негативное отношение к природе; правила поведения в быту, в общественных местах;</w:t>
      </w:r>
    </w:p>
    <w:p w14:paraId="0595AF55">
      <w:pPr>
        <w:pStyle w:val="67"/>
        <w:widowControl/>
        <w:spacing w:after="0" w:line="355" w:lineRule="auto"/>
        <w:ind w:left="0" w:firstLine="709"/>
        <w:jc w:val="both"/>
        <w:rPr>
          <w:rFonts w:ascii="Times New Roman" w:hAnsi="Times New Roman" w:eastAsia="Times New Roman"/>
          <w:lang w:eastAsia="ru-RU"/>
        </w:rPr>
      </w:pPr>
      <w:r>
        <w:rPr>
          <w:rFonts w:ascii="Times New Roman" w:hAnsi="Times New Roman" w:eastAsia="Times New Roman"/>
          <w:lang w:eastAsia="ru-RU"/>
        </w:rPr>
        <w:t>соблюдать правила безопасности на учебном месте обучающегося; во время наблюдений и опытов; безопасно пользоваться бытовыми электроприборами;</w:t>
      </w:r>
    </w:p>
    <w:p w14:paraId="5F67C263">
      <w:pPr>
        <w:pStyle w:val="67"/>
        <w:widowControl/>
        <w:spacing w:after="0" w:line="355" w:lineRule="auto"/>
        <w:ind w:left="0" w:firstLine="709"/>
        <w:jc w:val="both"/>
        <w:rPr>
          <w:rFonts w:ascii="Times New Roman" w:hAnsi="Times New Roman" w:eastAsia="Times New Roman"/>
          <w:lang w:eastAsia="ru-RU"/>
        </w:rPr>
      </w:pPr>
      <w:r>
        <w:rPr>
          <w:rFonts w:ascii="Times New Roman" w:hAnsi="Times New Roman"/>
        </w:rPr>
        <w:t>соблюдать правила использования электронных средств, оснащенных экраном;</w:t>
      </w:r>
    </w:p>
    <w:p w14:paraId="63DE84C9">
      <w:pPr>
        <w:pStyle w:val="67"/>
        <w:widowControl/>
        <w:spacing w:after="0" w:line="355" w:lineRule="auto"/>
        <w:ind w:left="0" w:firstLine="709"/>
        <w:jc w:val="both"/>
        <w:rPr>
          <w:rFonts w:ascii="Times New Roman" w:hAnsi="Times New Roman" w:eastAsia="Times New Roman"/>
          <w:lang w:eastAsia="ru-RU"/>
        </w:rPr>
      </w:pPr>
      <w:r>
        <w:rPr>
          <w:rFonts w:ascii="Times New Roman" w:hAnsi="Times New Roman" w:eastAsia="Times New Roman"/>
          <w:lang w:eastAsia="ru-RU"/>
        </w:rPr>
        <w:t>соблюдать правила здорового питания и личной гигиены;</w:t>
      </w:r>
    </w:p>
    <w:p w14:paraId="47997126">
      <w:pPr>
        <w:pStyle w:val="67"/>
        <w:widowControl/>
        <w:spacing w:after="0" w:line="355" w:lineRule="auto"/>
        <w:ind w:left="0" w:firstLine="709"/>
        <w:jc w:val="both"/>
        <w:rPr>
          <w:rFonts w:ascii="Times New Roman" w:hAnsi="Times New Roman" w:eastAsia="Times New Roman"/>
          <w:lang w:eastAsia="ru-RU"/>
        </w:rPr>
      </w:pPr>
      <w:r>
        <w:rPr>
          <w:rFonts w:ascii="Times New Roman" w:hAnsi="Times New Roman" w:eastAsia="Times New Roman"/>
          <w:lang w:eastAsia="ru-RU"/>
        </w:rPr>
        <w:t>соблюдать правила безопасного поведения пешехода;</w:t>
      </w:r>
    </w:p>
    <w:p w14:paraId="787D89BC">
      <w:pPr>
        <w:pStyle w:val="67"/>
        <w:widowControl/>
        <w:spacing w:after="0" w:line="355" w:lineRule="auto"/>
        <w:ind w:left="0" w:firstLine="709"/>
        <w:jc w:val="both"/>
        <w:rPr>
          <w:rFonts w:ascii="Times New Roman" w:hAnsi="Times New Roman" w:eastAsia="Times New Roman"/>
          <w:lang w:eastAsia="ru-RU"/>
        </w:rPr>
      </w:pPr>
      <w:r>
        <w:rPr>
          <w:rFonts w:ascii="Times New Roman" w:hAnsi="Times New Roman" w:eastAsia="Times New Roman"/>
          <w:lang w:eastAsia="ru-RU"/>
        </w:rPr>
        <w:t>соблюдать правила безопасного поведения в природе;</w:t>
      </w:r>
    </w:p>
    <w:p w14:paraId="3BDBC566">
      <w:pPr>
        <w:pStyle w:val="67"/>
        <w:widowControl/>
        <w:spacing w:after="0" w:line="355" w:lineRule="auto"/>
        <w:ind w:left="0" w:firstLine="709"/>
        <w:jc w:val="both"/>
        <w:rPr>
          <w:rFonts w:ascii="Times New Roman" w:hAnsi="Times New Roman" w:eastAsia="Times New Roman"/>
          <w:lang w:eastAsia="ru-RU"/>
        </w:rPr>
      </w:pPr>
      <w:r>
        <w:rPr>
          <w:rFonts w:ascii="Times New Roman" w:hAnsi="Times New Roman" w:eastAsia="Times New Roman"/>
          <w:lang w:eastAsia="ru-RU"/>
        </w:rPr>
        <w:t>с помощью взрослых (учителя, родителей) пользоваться электронным дневником и электронными образовательными и информационными ресурсами.</w:t>
      </w:r>
    </w:p>
    <w:p w14:paraId="5204F06A">
      <w:pPr>
        <w:spacing w:after="0" w:line="355" w:lineRule="auto"/>
        <w:ind w:firstLine="709"/>
        <w:jc w:val="both"/>
        <w:rPr>
          <w:rFonts w:ascii="Times New Roman" w:hAnsi="Times New Roman" w:eastAsia="SchoolBookSanPin"/>
        </w:rPr>
      </w:pPr>
      <w:r>
        <w:rPr>
          <w:rFonts w:ascii="Times New Roman" w:hAnsi="Times New Roman" w:eastAsia="SchoolBookSanPin"/>
        </w:rPr>
        <w:t>11.10.4. </w:t>
      </w:r>
      <w:r>
        <w:rPr>
          <w:rFonts w:ascii="Times New Roman" w:hAnsi="Times New Roman" w:eastAsia="OfficinaSansBoldITC"/>
        </w:rPr>
        <w:t>Предметные результаты изучения окружающего мира. К</w:t>
      </w:r>
      <w:r>
        <w:rPr>
          <w:rFonts w:ascii="Times New Roman" w:hAnsi="Times New Roman" w:eastAsia="SchoolBookSanPin"/>
        </w:rPr>
        <w:t xml:space="preserve"> концу обучения во </w:t>
      </w:r>
      <w:r>
        <w:rPr>
          <w:rFonts w:ascii="Times New Roman" w:hAnsi="Times New Roman" w:eastAsia="SchoolBookSanPin"/>
          <w:bCs/>
        </w:rPr>
        <w:t xml:space="preserve">2 классе </w:t>
      </w:r>
      <w:r>
        <w:rPr>
          <w:rFonts w:ascii="Times New Roman" w:hAnsi="Times New Roman" w:eastAsia="SchoolBookSanPin"/>
        </w:rPr>
        <w:t>обучающийся научится:</w:t>
      </w:r>
    </w:p>
    <w:p w14:paraId="477B6114">
      <w:pPr>
        <w:pStyle w:val="67"/>
        <w:widowControl/>
        <w:spacing w:after="0" w:line="355" w:lineRule="auto"/>
        <w:ind w:left="0" w:firstLine="709"/>
        <w:jc w:val="both"/>
        <w:rPr>
          <w:rFonts w:ascii="Times New Roman" w:hAnsi="Times New Roman" w:eastAsia="Times New Roman"/>
          <w:lang w:eastAsia="ru-RU"/>
        </w:rPr>
      </w:pPr>
      <w:r>
        <w:rPr>
          <w:rFonts w:ascii="Times New Roman" w:hAnsi="Times New Roman" w:eastAsia="Times New Roman"/>
          <w:lang w:eastAsia="ru-RU"/>
        </w:rPr>
        <w:t>находить Россию на карте мира, на карте России – Москву, свой регион и его главный город;</w:t>
      </w:r>
    </w:p>
    <w:p w14:paraId="0BE4A2E0">
      <w:pPr>
        <w:pStyle w:val="67"/>
        <w:widowControl/>
        <w:spacing w:after="0" w:line="355" w:lineRule="auto"/>
        <w:ind w:left="0" w:firstLine="709"/>
        <w:jc w:val="both"/>
        <w:rPr>
          <w:rFonts w:ascii="Times New Roman" w:hAnsi="Times New Roman" w:eastAsia="Times New Roman"/>
          <w:lang w:eastAsia="ru-RU"/>
        </w:rPr>
      </w:pPr>
      <w:r>
        <w:rPr>
          <w:rFonts w:ascii="Times New Roman" w:hAnsi="Times New Roman" w:eastAsia="Times New Roman"/>
          <w:lang w:eastAsia="ru-RU"/>
        </w:rPr>
        <w:t>узнавать государственную символику Российской Федерации (гимн, герб, флаг) и своего региона;</w:t>
      </w:r>
    </w:p>
    <w:p w14:paraId="6D6EADEF">
      <w:pPr>
        <w:pStyle w:val="67"/>
        <w:widowControl/>
        <w:spacing w:after="0" w:line="355" w:lineRule="auto"/>
        <w:ind w:left="0" w:firstLine="709"/>
        <w:jc w:val="both"/>
        <w:rPr>
          <w:rFonts w:ascii="Times New Roman" w:hAnsi="Times New Roman" w:eastAsia="Times New Roman"/>
          <w:lang w:eastAsia="ru-RU"/>
        </w:rPr>
      </w:pPr>
      <w:r>
        <w:rPr>
          <w:rFonts w:ascii="Times New Roman" w:hAnsi="Times New Roman" w:eastAsia="Times New Roman"/>
          <w:lang w:eastAsia="ru-RU"/>
        </w:rPr>
        <w:t>проявлять уважение к семейным ценностям и традициям, традициям своего народа и других народов, государственным символам России; соблюдать правила нравственного поведения в социуме и на природе;</w:t>
      </w:r>
    </w:p>
    <w:p w14:paraId="59904890">
      <w:pPr>
        <w:pStyle w:val="67"/>
        <w:widowControl/>
        <w:spacing w:after="0" w:line="355" w:lineRule="auto"/>
        <w:ind w:left="0" w:firstLine="709"/>
        <w:jc w:val="both"/>
        <w:rPr>
          <w:rFonts w:ascii="Times New Roman" w:hAnsi="Times New Roman" w:eastAsia="Times New Roman"/>
          <w:lang w:eastAsia="ru-RU"/>
        </w:rPr>
      </w:pPr>
      <w:r>
        <w:rPr>
          <w:rFonts w:ascii="Times New Roman" w:hAnsi="Times New Roman" w:eastAsia="Times New Roman"/>
          <w:lang w:eastAsia="ru-RU"/>
        </w:rPr>
        <w:t>распознавать изученные объекты окружающего мира по их описанию, рисункам и фотографиям, различать их в окружающем мире;</w:t>
      </w:r>
    </w:p>
    <w:p w14:paraId="1FD16108">
      <w:pPr>
        <w:pStyle w:val="67"/>
        <w:widowControl/>
        <w:spacing w:after="0" w:line="355" w:lineRule="auto"/>
        <w:ind w:left="0" w:firstLine="709"/>
        <w:jc w:val="both"/>
        <w:rPr>
          <w:rFonts w:ascii="Times New Roman" w:hAnsi="Times New Roman" w:eastAsia="Times New Roman"/>
          <w:lang w:eastAsia="ru-RU"/>
        </w:rPr>
      </w:pPr>
      <w:r>
        <w:rPr>
          <w:rFonts w:ascii="Times New Roman" w:hAnsi="Times New Roman" w:eastAsia="Times New Roman"/>
          <w:lang w:eastAsia="ru-RU"/>
        </w:rPr>
        <w:t>приводить примеры изученных традиций, обычаев и праздников народов родного края;</w:t>
      </w:r>
    </w:p>
    <w:p w14:paraId="0D10763F">
      <w:pPr>
        <w:pStyle w:val="67"/>
        <w:widowControl/>
        <w:spacing w:after="0" w:line="355" w:lineRule="auto"/>
        <w:ind w:left="0" w:firstLine="709"/>
        <w:jc w:val="both"/>
        <w:rPr>
          <w:rFonts w:ascii="Times New Roman" w:hAnsi="Times New Roman" w:eastAsia="Times New Roman"/>
          <w:lang w:eastAsia="ru-RU"/>
        </w:rPr>
      </w:pPr>
      <w:r>
        <w:rPr>
          <w:rFonts w:ascii="Times New Roman" w:hAnsi="Times New Roman" w:eastAsia="Times New Roman"/>
          <w:lang w:eastAsia="ru-RU"/>
        </w:rPr>
        <w:t xml:space="preserve">важных событий прошлого и настоящего родного края; </w:t>
      </w:r>
    </w:p>
    <w:p w14:paraId="536C656B">
      <w:pPr>
        <w:pStyle w:val="67"/>
        <w:widowControl/>
        <w:spacing w:after="0" w:line="355" w:lineRule="auto"/>
        <w:ind w:left="0" w:firstLine="709"/>
        <w:jc w:val="both"/>
        <w:rPr>
          <w:rFonts w:ascii="Times New Roman" w:hAnsi="Times New Roman" w:eastAsia="Times New Roman"/>
          <w:lang w:eastAsia="ru-RU"/>
        </w:rPr>
      </w:pPr>
      <w:r>
        <w:rPr>
          <w:rFonts w:ascii="Times New Roman" w:hAnsi="Times New Roman" w:eastAsia="Times New Roman"/>
          <w:lang w:eastAsia="ru-RU"/>
        </w:rPr>
        <w:t>трудовой деятельности и профессий жителей родного края;</w:t>
      </w:r>
    </w:p>
    <w:p w14:paraId="03E937F3">
      <w:pPr>
        <w:pStyle w:val="67"/>
        <w:widowControl/>
        <w:spacing w:after="0" w:line="355" w:lineRule="auto"/>
        <w:ind w:left="0" w:firstLine="709"/>
        <w:jc w:val="both"/>
        <w:rPr>
          <w:rFonts w:ascii="Times New Roman" w:hAnsi="Times New Roman" w:eastAsia="Times New Roman"/>
          <w:lang w:eastAsia="ru-RU"/>
        </w:rPr>
      </w:pPr>
      <w:r>
        <w:rPr>
          <w:rFonts w:ascii="Times New Roman" w:hAnsi="Times New Roman" w:eastAsia="Times New Roman"/>
          <w:lang w:eastAsia="ru-RU"/>
        </w:rPr>
        <w:t>проводить, соблюдая правила безопасного труда, несложные наблюдения и опыты с природными объектами, измерения;</w:t>
      </w:r>
    </w:p>
    <w:p w14:paraId="386B602E">
      <w:pPr>
        <w:pStyle w:val="67"/>
        <w:widowControl/>
        <w:spacing w:after="0" w:line="355" w:lineRule="auto"/>
        <w:ind w:left="0" w:firstLine="709"/>
        <w:jc w:val="both"/>
        <w:rPr>
          <w:rFonts w:ascii="Times New Roman" w:hAnsi="Times New Roman" w:eastAsia="Times New Roman"/>
          <w:lang w:eastAsia="ru-RU"/>
        </w:rPr>
      </w:pPr>
      <w:r>
        <w:rPr>
          <w:rFonts w:ascii="Times New Roman" w:hAnsi="Times New Roman" w:eastAsia="Times New Roman"/>
          <w:lang w:eastAsia="ru-RU"/>
        </w:rPr>
        <w:t>приводить примеры изученных взаимосвязей в природе, примеры, иллюстрирующие значение природы в жизни человека;</w:t>
      </w:r>
    </w:p>
    <w:p w14:paraId="41F64AEC">
      <w:pPr>
        <w:pStyle w:val="67"/>
        <w:widowControl/>
        <w:spacing w:after="0" w:line="355" w:lineRule="auto"/>
        <w:ind w:left="0" w:firstLine="709"/>
        <w:jc w:val="both"/>
        <w:rPr>
          <w:rFonts w:ascii="Times New Roman" w:hAnsi="Times New Roman" w:eastAsia="Times New Roman"/>
          <w:lang w:eastAsia="ru-RU"/>
        </w:rPr>
      </w:pPr>
      <w:r>
        <w:rPr>
          <w:rFonts w:ascii="Times New Roman" w:hAnsi="Times New Roman" w:eastAsia="Times New Roman"/>
          <w:lang w:eastAsia="ru-RU"/>
        </w:rPr>
        <w:t>описывать на основе предложенного плана или опорных слов изученные культурные объекты (достопримечательности родного края, музейные экспонаты);</w:t>
      </w:r>
    </w:p>
    <w:p w14:paraId="462A34F0">
      <w:pPr>
        <w:pStyle w:val="67"/>
        <w:widowControl/>
        <w:spacing w:after="0" w:line="355" w:lineRule="auto"/>
        <w:ind w:left="0" w:firstLine="709"/>
        <w:jc w:val="both"/>
        <w:rPr>
          <w:rFonts w:ascii="Times New Roman" w:hAnsi="Times New Roman" w:eastAsia="Times New Roman"/>
          <w:lang w:eastAsia="ru-RU"/>
        </w:rPr>
      </w:pPr>
      <w:r>
        <w:rPr>
          <w:rFonts w:ascii="Times New Roman" w:hAnsi="Times New Roman" w:eastAsia="Times New Roman"/>
          <w:lang w:eastAsia="ru-RU"/>
        </w:rPr>
        <w:t>описывать на основе предложенного плана или опорных слов изученные природные объекты и явления, в том числе звёзды, созвездия, планеты;</w:t>
      </w:r>
    </w:p>
    <w:p w14:paraId="18D93E05">
      <w:pPr>
        <w:pStyle w:val="67"/>
        <w:widowControl/>
        <w:spacing w:after="0" w:line="355" w:lineRule="auto"/>
        <w:ind w:left="0" w:firstLine="709"/>
        <w:jc w:val="both"/>
        <w:rPr>
          <w:rFonts w:ascii="Times New Roman" w:hAnsi="Times New Roman" w:eastAsia="Times New Roman"/>
          <w:lang w:eastAsia="ru-RU"/>
        </w:rPr>
      </w:pPr>
      <w:r>
        <w:rPr>
          <w:rFonts w:ascii="Times New Roman" w:hAnsi="Times New Roman" w:eastAsia="Times New Roman"/>
          <w:lang w:eastAsia="ru-RU"/>
        </w:rPr>
        <w:t>группировать изученные объекты живой и неживой природы по предложенным признакам;</w:t>
      </w:r>
    </w:p>
    <w:p w14:paraId="70752EB8">
      <w:pPr>
        <w:pStyle w:val="67"/>
        <w:widowControl/>
        <w:spacing w:after="0" w:line="355" w:lineRule="auto"/>
        <w:ind w:left="0" w:firstLine="709"/>
        <w:jc w:val="both"/>
        <w:rPr>
          <w:rFonts w:ascii="Times New Roman" w:hAnsi="Times New Roman" w:eastAsia="Times New Roman"/>
          <w:lang w:eastAsia="ru-RU"/>
        </w:rPr>
      </w:pPr>
      <w:r>
        <w:rPr>
          <w:rFonts w:ascii="Times New Roman" w:hAnsi="Times New Roman" w:eastAsia="Times New Roman"/>
          <w:lang w:eastAsia="ru-RU"/>
        </w:rPr>
        <w:t>сравнивать объекты живой и неживой природы на основе внешних признаков;</w:t>
      </w:r>
    </w:p>
    <w:p w14:paraId="2F34A199">
      <w:pPr>
        <w:pStyle w:val="67"/>
        <w:widowControl/>
        <w:spacing w:after="0" w:line="355" w:lineRule="auto"/>
        <w:ind w:left="0" w:firstLine="709"/>
        <w:jc w:val="both"/>
        <w:rPr>
          <w:rFonts w:ascii="Times New Roman" w:hAnsi="Times New Roman" w:eastAsia="Times New Roman"/>
          <w:lang w:eastAsia="ru-RU"/>
        </w:rPr>
      </w:pPr>
      <w:r>
        <w:rPr>
          <w:rFonts w:ascii="Times New Roman" w:hAnsi="Times New Roman" w:eastAsia="Times New Roman"/>
          <w:lang w:eastAsia="ru-RU"/>
        </w:rPr>
        <w:t>ориентироваться на местности по местным природным признакам, Солнцу, компасу;</w:t>
      </w:r>
    </w:p>
    <w:p w14:paraId="2BA6BC4B">
      <w:pPr>
        <w:pStyle w:val="67"/>
        <w:widowControl/>
        <w:spacing w:after="0" w:line="355" w:lineRule="auto"/>
        <w:ind w:left="0" w:firstLine="709"/>
        <w:jc w:val="both"/>
        <w:rPr>
          <w:rFonts w:ascii="Times New Roman" w:hAnsi="Times New Roman" w:eastAsia="Times New Roman"/>
          <w:lang w:eastAsia="ru-RU"/>
        </w:rPr>
      </w:pPr>
      <w:r>
        <w:rPr>
          <w:rFonts w:ascii="Times New Roman" w:hAnsi="Times New Roman" w:eastAsia="Times New Roman"/>
          <w:lang w:eastAsia="ru-RU"/>
        </w:rPr>
        <w:t>создавать по заданному плану развёрнутые высказывания о природе и обществе;</w:t>
      </w:r>
    </w:p>
    <w:p w14:paraId="52AB08B8">
      <w:pPr>
        <w:pStyle w:val="67"/>
        <w:widowControl/>
        <w:spacing w:after="0" w:line="355" w:lineRule="auto"/>
        <w:ind w:left="0" w:firstLine="709"/>
        <w:jc w:val="both"/>
        <w:rPr>
          <w:rFonts w:ascii="Times New Roman" w:hAnsi="Times New Roman" w:eastAsia="Times New Roman"/>
          <w:lang w:eastAsia="ru-RU"/>
        </w:rPr>
      </w:pPr>
      <w:r>
        <w:rPr>
          <w:rFonts w:ascii="Times New Roman" w:hAnsi="Times New Roman" w:eastAsia="Times New Roman"/>
          <w:lang w:eastAsia="ru-RU"/>
        </w:rPr>
        <w:t>использовать для ответов на вопросы небольшие тексты о природе и обществе;</w:t>
      </w:r>
    </w:p>
    <w:p w14:paraId="153FB0B2">
      <w:pPr>
        <w:pStyle w:val="67"/>
        <w:widowControl/>
        <w:spacing w:after="0" w:line="355" w:lineRule="auto"/>
        <w:ind w:left="0" w:firstLine="709"/>
        <w:jc w:val="both"/>
        <w:rPr>
          <w:rFonts w:ascii="Times New Roman" w:hAnsi="Times New Roman" w:eastAsia="Times New Roman"/>
          <w:lang w:eastAsia="ru-RU"/>
        </w:rPr>
      </w:pPr>
      <w:r>
        <w:rPr>
          <w:rFonts w:ascii="Times New Roman" w:hAnsi="Times New Roman" w:eastAsia="Times New Roman"/>
          <w:lang w:eastAsia="ru-RU"/>
        </w:rPr>
        <w:t>соблюдать правила нравственного поведения в социуме и в природе, оценивать примеры положительного и негативного отношения к объектам природы, проявления внимания, помощи людям, нуждающимся в ней;</w:t>
      </w:r>
    </w:p>
    <w:p w14:paraId="49E06860">
      <w:pPr>
        <w:pStyle w:val="67"/>
        <w:widowControl/>
        <w:spacing w:after="0" w:line="355" w:lineRule="auto"/>
        <w:ind w:left="0" w:firstLine="709"/>
        <w:jc w:val="both"/>
        <w:rPr>
          <w:rFonts w:ascii="Times New Roman" w:hAnsi="Times New Roman" w:eastAsia="Times New Roman"/>
          <w:lang w:eastAsia="ru-RU"/>
        </w:rPr>
      </w:pPr>
      <w:r>
        <w:rPr>
          <w:rFonts w:ascii="Times New Roman" w:hAnsi="Times New Roman" w:eastAsia="Times New Roman"/>
          <w:lang w:eastAsia="ru-RU"/>
        </w:rPr>
        <w:t>соблюдать правила безопасного поведения в школе, правила безопасного поведения пассажира наземного транспорта и метро;</w:t>
      </w:r>
    </w:p>
    <w:p w14:paraId="76C21DAE">
      <w:pPr>
        <w:pStyle w:val="67"/>
        <w:widowControl/>
        <w:spacing w:after="0" w:line="355" w:lineRule="auto"/>
        <w:ind w:left="0" w:firstLine="709"/>
        <w:jc w:val="both"/>
        <w:rPr>
          <w:rFonts w:ascii="Times New Roman" w:hAnsi="Times New Roman" w:eastAsia="Times New Roman"/>
          <w:lang w:eastAsia="ru-RU"/>
        </w:rPr>
      </w:pPr>
      <w:r>
        <w:rPr>
          <w:rFonts w:ascii="Times New Roman" w:hAnsi="Times New Roman" w:eastAsia="Times New Roman"/>
          <w:lang w:eastAsia="ru-RU"/>
        </w:rPr>
        <w:t>соблюдать режим дня и питания;</w:t>
      </w:r>
    </w:p>
    <w:p w14:paraId="07E8C564">
      <w:pPr>
        <w:pStyle w:val="67"/>
        <w:widowControl/>
        <w:spacing w:after="0" w:line="355" w:lineRule="auto"/>
        <w:ind w:left="0" w:firstLine="709"/>
        <w:jc w:val="both"/>
        <w:rPr>
          <w:rFonts w:ascii="Times New Roman" w:hAnsi="Times New Roman" w:eastAsia="Times New Roman"/>
          <w:lang w:eastAsia="ru-RU"/>
        </w:rPr>
      </w:pPr>
      <w:r>
        <w:rPr>
          <w:rFonts w:ascii="Times New Roman" w:hAnsi="Times New Roman" w:eastAsia="Times New Roman"/>
          <w:lang w:eastAsia="ru-RU"/>
        </w:rPr>
        <w:t xml:space="preserve">безопасно использовать мессенджеры в условиях контролируемого доступа в информационно-коммуникационную сеть «Интернет»; </w:t>
      </w:r>
    </w:p>
    <w:p w14:paraId="31DF74BB">
      <w:pPr>
        <w:pStyle w:val="67"/>
        <w:widowControl/>
        <w:spacing w:after="0" w:line="355" w:lineRule="auto"/>
        <w:ind w:left="0" w:firstLine="709"/>
        <w:jc w:val="both"/>
        <w:rPr>
          <w:rFonts w:ascii="Times New Roman" w:hAnsi="Times New Roman" w:eastAsia="Times New Roman"/>
          <w:lang w:eastAsia="ru-RU"/>
        </w:rPr>
      </w:pPr>
      <w:r>
        <w:rPr>
          <w:rFonts w:ascii="Times New Roman" w:hAnsi="Times New Roman" w:eastAsia="Times New Roman"/>
          <w:lang w:eastAsia="ru-RU"/>
        </w:rPr>
        <w:t>безопасно осуществлять коммуникацию в школьных сообществах с помощью учителя (при необходимости).</w:t>
      </w:r>
    </w:p>
    <w:p w14:paraId="63EDA6AB">
      <w:pPr>
        <w:spacing w:after="0" w:line="355" w:lineRule="auto"/>
        <w:ind w:firstLine="709"/>
        <w:jc w:val="both"/>
        <w:rPr>
          <w:rFonts w:ascii="Times New Roman" w:hAnsi="Times New Roman" w:eastAsia="SchoolBookSanPin"/>
        </w:rPr>
      </w:pPr>
      <w:r>
        <w:rPr>
          <w:rFonts w:ascii="Times New Roman" w:hAnsi="Times New Roman" w:eastAsia="SchoolBookSanPin"/>
        </w:rPr>
        <w:t>11.10.5. </w:t>
      </w:r>
      <w:r>
        <w:rPr>
          <w:rFonts w:ascii="Times New Roman" w:hAnsi="Times New Roman" w:eastAsia="OfficinaSansBoldITC"/>
        </w:rPr>
        <w:t>Предметные результаты изучения окружающего мира. К</w:t>
      </w:r>
      <w:r>
        <w:rPr>
          <w:rFonts w:ascii="Times New Roman" w:hAnsi="Times New Roman" w:eastAsia="SchoolBookSanPin"/>
        </w:rPr>
        <w:t xml:space="preserve"> концу обучения в </w:t>
      </w:r>
      <w:r>
        <w:rPr>
          <w:rFonts w:ascii="Times New Roman" w:hAnsi="Times New Roman" w:eastAsia="SchoolBookSanPin"/>
          <w:bCs/>
        </w:rPr>
        <w:t xml:space="preserve">3 классе </w:t>
      </w:r>
      <w:r>
        <w:rPr>
          <w:rFonts w:ascii="Times New Roman" w:hAnsi="Times New Roman" w:eastAsia="SchoolBookSanPin"/>
        </w:rPr>
        <w:t>обучающийся научится:</w:t>
      </w:r>
    </w:p>
    <w:p w14:paraId="53A8D971">
      <w:pPr>
        <w:pStyle w:val="67"/>
        <w:widowControl/>
        <w:spacing w:after="0" w:line="355" w:lineRule="auto"/>
        <w:ind w:left="0" w:firstLine="709"/>
        <w:jc w:val="both"/>
        <w:rPr>
          <w:rFonts w:ascii="Times New Roman" w:hAnsi="Times New Roman" w:eastAsia="Times New Roman"/>
          <w:lang w:eastAsia="ru-RU"/>
        </w:rPr>
      </w:pPr>
      <w:r>
        <w:rPr>
          <w:rFonts w:ascii="Times New Roman" w:hAnsi="Times New Roman" w:eastAsia="Times New Roman"/>
          <w:lang w:eastAsia="ru-RU"/>
        </w:rPr>
        <w:t>различать государственную символику Российской Федерации (гимн, герб, флаг);</w:t>
      </w:r>
    </w:p>
    <w:p w14:paraId="60E7F826">
      <w:pPr>
        <w:pStyle w:val="67"/>
        <w:widowControl/>
        <w:spacing w:after="0" w:line="355" w:lineRule="auto"/>
        <w:ind w:left="0" w:firstLine="709"/>
        <w:jc w:val="both"/>
        <w:rPr>
          <w:rFonts w:ascii="Times New Roman" w:hAnsi="Times New Roman" w:eastAsia="Times New Roman"/>
          <w:lang w:eastAsia="ru-RU"/>
        </w:rPr>
      </w:pPr>
      <w:r>
        <w:rPr>
          <w:rFonts w:ascii="Times New Roman" w:hAnsi="Times New Roman" w:eastAsia="Times New Roman"/>
          <w:lang w:eastAsia="ru-RU"/>
        </w:rPr>
        <w:t>проявлять уважение к государственным символам России и своего региона;</w:t>
      </w:r>
    </w:p>
    <w:p w14:paraId="60DF2B99">
      <w:pPr>
        <w:pStyle w:val="67"/>
        <w:widowControl/>
        <w:spacing w:after="0" w:line="355" w:lineRule="auto"/>
        <w:ind w:left="0" w:firstLine="709"/>
        <w:jc w:val="both"/>
        <w:rPr>
          <w:rFonts w:ascii="Times New Roman" w:hAnsi="Times New Roman" w:eastAsia="Times New Roman"/>
          <w:lang w:eastAsia="ru-RU"/>
        </w:rPr>
      </w:pPr>
      <w:r>
        <w:rPr>
          <w:rFonts w:ascii="Times New Roman" w:hAnsi="Times New Roman" w:eastAsia="Times New Roman"/>
          <w:lang w:eastAsia="ru-RU"/>
        </w:rPr>
        <w:t>проявлять уважение к семейным ценностям и традициям, традициям своего народа и других народов; соблюдать правила нравственного поведения в социуме;</w:t>
      </w:r>
    </w:p>
    <w:p w14:paraId="6EB45B39">
      <w:pPr>
        <w:pStyle w:val="67"/>
        <w:widowControl/>
        <w:spacing w:after="0" w:line="355" w:lineRule="auto"/>
        <w:ind w:left="0" w:firstLine="709"/>
        <w:jc w:val="both"/>
        <w:rPr>
          <w:rFonts w:ascii="Times New Roman" w:hAnsi="Times New Roman" w:eastAsia="Times New Roman"/>
          <w:lang w:eastAsia="ru-RU"/>
        </w:rPr>
      </w:pPr>
      <w:r>
        <w:rPr>
          <w:rFonts w:ascii="Times New Roman" w:hAnsi="Times New Roman" w:eastAsia="Times New Roman"/>
          <w:lang w:eastAsia="ru-RU"/>
        </w:rPr>
        <w:t>приводить примеры памятников природы, культурных объектов и достопримечательностей родного края; столицы России, городов Российской Федерации с богатой историей и культурой; российских центров декоративно-прикладного искусства; проявлять интерес и уважение к истории и культуре народов России;</w:t>
      </w:r>
    </w:p>
    <w:p w14:paraId="3486F160">
      <w:pPr>
        <w:pStyle w:val="67"/>
        <w:widowControl/>
        <w:spacing w:after="0" w:line="355" w:lineRule="auto"/>
        <w:ind w:left="0" w:firstLine="709"/>
        <w:jc w:val="both"/>
        <w:rPr>
          <w:rFonts w:ascii="Times New Roman" w:hAnsi="Times New Roman" w:eastAsia="Times New Roman"/>
          <w:lang w:eastAsia="ru-RU"/>
        </w:rPr>
      </w:pPr>
      <w:r>
        <w:rPr>
          <w:rFonts w:ascii="Times New Roman" w:hAnsi="Times New Roman" w:eastAsia="Times New Roman"/>
          <w:lang w:eastAsia="ru-RU"/>
        </w:rPr>
        <w:t>показывать на карте мира материки, изученные страны мира;</w:t>
      </w:r>
    </w:p>
    <w:p w14:paraId="6C0104ED">
      <w:pPr>
        <w:pStyle w:val="67"/>
        <w:widowControl/>
        <w:spacing w:after="0" w:line="355" w:lineRule="auto"/>
        <w:ind w:left="0" w:firstLine="709"/>
        <w:jc w:val="both"/>
        <w:rPr>
          <w:rFonts w:ascii="Times New Roman" w:hAnsi="Times New Roman" w:eastAsia="Times New Roman"/>
          <w:lang w:eastAsia="ru-RU"/>
        </w:rPr>
      </w:pPr>
      <w:r>
        <w:rPr>
          <w:rFonts w:ascii="Times New Roman" w:hAnsi="Times New Roman" w:eastAsia="Times New Roman"/>
          <w:lang w:eastAsia="ru-RU"/>
        </w:rPr>
        <w:t>различать расходы и доходы семейного бюджета;</w:t>
      </w:r>
    </w:p>
    <w:p w14:paraId="4CA78884">
      <w:pPr>
        <w:pStyle w:val="67"/>
        <w:widowControl/>
        <w:spacing w:after="0" w:line="355" w:lineRule="auto"/>
        <w:ind w:left="0" w:firstLine="709"/>
        <w:jc w:val="both"/>
        <w:rPr>
          <w:rFonts w:ascii="Times New Roman" w:hAnsi="Times New Roman" w:eastAsia="Times New Roman"/>
          <w:lang w:eastAsia="ru-RU"/>
        </w:rPr>
      </w:pPr>
      <w:r>
        <w:rPr>
          <w:rFonts w:ascii="Times New Roman" w:hAnsi="Times New Roman" w:eastAsia="Times New Roman"/>
          <w:lang w:eastAsia="ru-RU"/>
        </w:rPr>
        <w:t>распознавать изученные объекты природы по их описанию, рисункам и фотографиям, различать их в окружающем мире;</w:t>
      </w:r>
    </w:p>
    <w:p w14:paraId="4D5E61C8">
      <w:pPr>
        <w:pStyle w:val="67"/>
        <w:widowControl/>
        <w:spacing w:after="0" w:line="355" w:lineRule="auto"/>
        <w:ind w:left="0" w:firstLine="709"/>
        <w:jc w:val="both"/>
        <w:rPr>
          <w:rFonts w:ascii="Times New Roman" w:hAnsi="Times New Roman" w:eastAsia="Times New Roman"/>
          <w:lang w:eastAsia="ru-RU"/>
        </w:rPr>
      </w:pPr>
      <w:r>
        <w:rPr>
          <w:rFonts w:ascii="Times New Roman" w:hAnsi="Times New Roman" w:eastAsia="Times New Roman"/>
          <w:lang w:eastAsia="ru-RU"/>
        </w:rPr>
        <w:t>проводить по предложенному плану или инструкции небольшие опыты с природными объектами с использованием простейшего лабораторного оборудования и измерительных приборов; соблюдать безопасность проведения опытов;</w:t>
      </w:r>
    </w:p>
    <w:p w14:paraId="216C8419">
      <w:pPr>
        <w:pStyle w:val="67"/>
        <w:widowControl/>
        <w:spacing w:after="0" w:line="355" w:lineRule="auto"/>
        <w:ind w:left="0" w:firstLine="709"/>
        <w:jc w:val="both"/>
        <w:rPr>
          <w:rFonts w:ascii="Times New Roman" w:hAnsi="Times New Roman" w:eastAsia="Times New Roman"/>
          <w:lang w:eastAsia="ru-RU"/>
        </w:rPr>
      </w:pPr>
      <w:r>
        <w:rPr>
          <w:rFonts w:ascii="Times New Roman" w:hAnsi="Times New Roman" w:eastAsia="Times New Roman"/>
          <w:lang w:eastAsia="ru-RU"/>
        </w:rPr>
        <w:t>группировать изученные объекты живой и неживой природы, проводить простейшую классификацию;</w:t>
      </w:r>
    </w:p>
    <w:p w14:paraId="5394C2B6">
      <w:pPr>
        <w:pStyle w:val="67"/>
        <w:widowControl/>
        <w:spacing w:after="0" w:line="355" w:lineRule="auto"/>
        <w:ind w:left="0" w:firstLine="709"/>
        <w:jc w:val="both"/>
        <w:rPr>
          <w:rFonts w:ascii="Times New Roman" w:hAnsi="Times New Roman" w:eastAsia="Times New Roman"/>
          <w:lang w:eastAsia="ru-RU"/>
        </w:rPr>
      </w:pPr>
      <w:r>
        <w:rPr>
          <w:rFonts w:ascii="Times New Roman" w:hAnsi="Times New Roman" w:eastAsia="Times New Roman"/>
          <w:lang w:eastAsia="ru-RU"/>
        </w:rPr>
        <w:t>сравнивать по заданному количеству признаков объекты живой и неживой природы;</w:t>
      </w:r>
    </w:p>
    <w:p w14:paraId="7D619691">
      <w:pPr>
        <w:pStyle w:val="67"/>
        <w:widowControl/>
        <w:spacing w:after="0" w:line="355" w:lineRule="auto"/>
        <w:ind w:left="0" w:firstLine="709"/>
        <w:jc w:val="both"/>
        <w:rPr>
          <w:rFonts w:ascii="Times New Roman" w:hAnsi="Times New Roman" w:eastAsia="Times New Roman"/>
          <w:lang w:eastAsia="ru-RU"/>
        </w:rPr>
      </w:pPr>
      <w:r>
        <w:rPr>
          <w:rFonts w:ascii="Times New Roman" w:hAnsi="Times New Roman" w:eastAsia="Times New Roman"/>
          <w:lang w:eastAsia="ru-RU"/>
        </w:rPr>
        <w:t>описывать на основе предложенного плана изученные объекты и явления природы, выделяя их существенные признаки и характерные свойства;</w:t>
      </w:r>
    </w:p>
    <w:p w14:paraId="291AFDC4">
      <w:pPr>
        <w:pStyle w:val="67"/>
        <w:widowControl/>
        <w:spacing w:after="0" w:line="355" w:lineRule="auto"/>
        <w:ind w:left="0" w:firstLine="709"/>
        <w:jc w:val="both"/>
        <w:rPr>
          <w:rFonts w:ascii="Times New Roman" w:hAnsi="Times New Roman" w:eastAsia="Times New Roman"/>
          <w:lang w:eastAsia="ru-RU"/>
        </w:rPr>
      </w:pPr>
      <w:r>
        <w:rPr>
          <w:rFonts w:ascii="Times New Roman" w:hAnsi="Times New Roman" w:eastAsia="Times New Roman"/>
          <w:lang w:eastAsia="ru-RU"/>
        </w:rPr>
        <w:t>использовать различные источники информации о природе и обществе для поиска и извлечения информации, ответов на вопросы;</w:t>
      </w:r>
    </w:p>
    <w:p w14:paraId="616F7B79">
      <w:pPr>
        <w:pStyle w:val="67"/>
        <w:widowControl/>
        <w:spacing w:after="0" w:line="355" w:lineRule="auto"/>
        <w:ind w:left="0" w:firstLine="709"/>
        <w:jc w:val="both"/>
        <w:rPr>
          <w:rFonts w:ascii="Times New Roman" w:hAnsi="Times New Roman" w:eastAsia="Times New Roman"/>
          <w:lang w:eastAsia="ru-RU"/>
        </w:rPr>
      </w:pPr>
      <w:r>
        <w:rPr>
          <w:rFonts w:ascii="Times New Roman" w:hAnsi="Times New Roman" w:eastAsia="Times New Roman"/>
          <w:lang w:eastAsia="ru-RU"/>
        </w:rPr>
        <w:t>использовать знания о взаимосвязях в природе, связи человека и природы для объяснения простейших явлений и процессов в природе, организме человека;</w:t>
      </w:r>
    </w:p>
    <w:p w14:paraId="08704E36">
      <w:pPr>
        <w:pStyle w:val="67"/>
        <w:widowControl/>
        <w:spacing w:after="0" w:line="355" w:lineRule="auto"/>
        <w:ind w:left="0" w:firstLine="709"/>
        <w:jc w:val="both"/>
        <w:rPr>
          <w:rFonts w:ascii="Times New Roman" w:hAnsi="Times New Roman" w:eastAsia="Times New Roman"/>
          <w:lang w:eastAsia="ru-RU"/>
        </w:rPr>
      </w:pPr>
      <w:r>
        <w:rPr>
          <w:rFonts w:ascii="Times New Roman" w:hAnsi="Times New Roman" w:eastAsia="Times New Roman"/>
          <w:lang w:eastAsia="ru-RU"/>
        </w:rPr>
        <w:t>фиксировать результаты наблюдений, опытной работы, в процессе коллективной деятельности обобщать полученные результаты и делать выводы;</w:t>
      </w:r>
    </w:p>
    <w:p w14:paraId="0FBB1BFB">
      <w:pPr>
        <w:pStyle w:val="67"/>
        <w:widowControl/>
        <w:spacing w:after="0" w:line="355" w:lineRule="auto"/>
        <w:ind w:left="0" w:firstLine="709"/>
        <w:jc w:val="both"/>
        <w:rPr>
          <w:rFonts w:ascii="Times New Roman" w:hAnsi="Times New Roman" w:eastAsia="Times New Roman"/>
          <w:lang w:eastAsia="ru-RU"/>
        </w:rPr>
      </w:pPr>
      <w:r>
        <w:rPr>
          <w:rFonts w:ascii="Times New Roman" w:hAnsi="Times New Roman" w:eastAsia="Times New Roman"/>
          <w:lang w:eastAsia="ru-RU"/>
        </w:rPr>
        <w:t>создавать по заданному плану собственные развёрнутые высказывания о природе, человеке и обществе, сопровождая выступление иллюстрациями (презентацией);</w:t>
      </w:r>
    </w:p>
    <w:p w14:paraId="0445F516">
      <w:pPr>
        <w:pStyle w:val="67"/>
        <w:widowControl/>
        <w:spacing w:after="0" w:line="355" w:lineRule="auto"/>
        <w:ind w:left="0" w:firstLine="709"/>
        <w:jc w:val="both"/>
        <w:rPr>
          <w:rFonts w:ascii="Times New Roman" w:hAnsi="Times New Roman" w:eastAsia="Times New Roman"/>
          <w:lang w:eastAsia="ru-RU"/>
        </w:rPr>
      </w:pPr>
      <w:r>
        <w:rPr>
          <w:rFonts w:ascii="Times New Roman" w:hAnsi="Times New Roman" w:eastAsia="Times New Roman"/>
          <w:lang w:eastAsia="ru-RU"/>
        </w:rPr>
        <w:t>соблюдать правила безопасного поведения пассажира железнодорожного, водного и авиатранспорта;</w:t>
      </w:r>
    </w:p>
    <w:p w14:paraId="19803C20">
      <w:pPr>
        <w:pStyle w:val="67"/>
        <w:widowControl/>
        <w:spacing w:after="0" w:line="355" w:lineRule="auto"/>
        <w:ind w:left="0" w:firstLine="709"/>
        <w:jc w:val="both"/>
        <w:rPr>
          <w:rFonts w:ascii="Times New Roman" w:hAnsi="Times New Roman" w:eastAsia="Times New Roman"/>
          <w:lang w:eastAsia="ru-RU"/>
        </w:rPr>
      </w:pPr>
      <w:r>
        <w:rPr>
          <w:rFonts w:ascii="Times New Roman" w:hAnsi="Times New Roman" w:eastAsia="Times New Roman"/>
          <w:lang w:eastAsia="ru-RU"/>
        </w:rPr>
        <w:t>соблюдать основы здорового образа жизни, в том числе требования к двигательной активности и принципы здорового питания;</w:t>
      </w:r>
    </w:p>
    <w:p w14:paraId="3EEDC05C">
      <w:pPr>
        <w:pStyle w:val="67"/>
        <w:widowControl/>
        <w:spacing w:after="0" w:line="355" w:lineRule="auto"/>
        <w:ind w:left="0" w:firstLine="709"/>
        <w:jc w:val="both"/>
        <w:rPr>
          <w:rFonts w:ascii="Times New Roman" w:hAnsi="Times New Roman" w:eastAsia="Times New Roman"/>
          <w:lang w:eastAsia="ru-RU"/>
        </w:rPr>
      </w:pPr>
      <w:r>
        <w:rPr>
          <w:rFonts w:ascii="Times New Roman" w:hAnsi="Times New Roman" w:eastAsia="Times New Roman"/>
          <w:lang w:eastAsia="ru-RU"/>
        </w:rPr>
        <w:t>соблюдать основы профилактики заболеваний;</w:t>
      </w:r>
    </w:p>
    <w:p w14:paraId="75921CB7">
      <w:pPr>
        <w:pStyle w:val="67"/>
        <w:widowControl/>
        <w:spacing w:after="0" w:line="355" w:lineRule="auto"/>
        <w:ind w:left="0" w:firstLine="709"/>
        <w:jc w:val="both"/>
        <w:rPr>
          <w:rFonts w:ascii="Times New Roman" w:hAnsi="Times New Roman" w:eastAsia="Times New Roman"/>
          <w:lang w:eastAsia="ru-RU"/>
        </w:rPr>
      </w:pPr>
      <w:r>
        <w:rPr>
          <w:rFonts w:ascii="Times New Roman" w:hAnsi="Times New Roman" w:eastAsia="Times New Roman"/>
          <w:lang w:eastAsia="ru-RU"/>
        </w:rPr>
        <w:t>соблюдать правила безопасного поведения во дворе жилого дома;</w:t>
      </w:r>
    </w:p>
    <w:p w14:paraId="2C09C141">
      <w:pPr>
        <w:pStyle w:val="67"/>
        <w:widowControl/>
        <w:spacing w:after="0" w:line="355" w:lineRule="auto"/>
        <w:ind w:left="0" w:firstLine="709"/>
        <w:jc w:val="both"/>
        <w:rPr>
          <w:rFonts w:ascii="Times New Roman" w:hAnsi="Times New Roman" w:eastAsia="Times New Roman"/>
          <w:lang w:eastAsia="ru-RU"/>
        </w:rPr>
      </w:pPr>
      <w:r>
        <w:rPr>
          <w:rFonts w:ascii="Times New Roman" w:hAnsi="Times New Roman" w:eastAsia="Times New Roman"/>
          <w:lang w:eastAsia="ru-RU"/>
        </w:rPr>
        <w:t>соблюдать правила нравственного поведения на природе;</w:t>
      </w:r>
    </w:p>
    <w:p w14:paraId="26492C26">
      <w:pPr>
        <w:pStyle w:val="67"/>
        <w:widowControl/>
        <w:spacing w:after="0" w:line="355" w:lineRule="auto"/>
        <w:ind w:left="0" w:firstLine="709"/>
        <w:jc w:val="both"/>
        <w:rPr>
          <w:rFonts w:ascii="Times New Roman" w:hAnsi="Times New Roman" w:eastAsia="Times New Roman"/>
          <w:lang w:eastAsia="ru-RU"/>
        </w:rPr>
      </w:pPr>
      <w:r>
        <w:rPr>
          <w:rFonts w:ascii="Times New Roman" w:hAnsi="Times New Roman" w:eastAsia="Times New Roman"/>
          <w:lang w:eastAsia="ru-RU"/>
        </w:rPr>
        <w:t xml:space="preserve">безопасно использовать персональные данные в условиях контролируемого доступа в информационно-коммуникационную сеть «Интернет»; </w:t>
      </w:r>
    </w:p>
    <w:p w14:paraId="19C3379F">
      <w:pPr>
        <w:pStyle w:val="67"/>
        <w:widowControl/>
        <w:spacing w:after="0" w:line="355" w:lineRule="auto"/>
        <w:ind w:left="0" w:firstLine="709"/>
        <w:jc w:val="both"/>
        <w:rPr>
          <w:rFonts w:ascii="Times New Roman" w:hAnsi="Times New Roman" w:eastAsia="Times New Roman"/>
          <w:lang w:eastAsia="ru-RU"/>
        </w:rPr>
      </w:pPr>
      <w:r>
        <w:rPr>
          <w:rFonts w:ascii="Times New Roman" w:hAnsi="Times New Roman" w:eastAsia="Times New Roman"/>
          <w:lang w:eastAsia="ru-RU"/>
        </w:rPr>
        <w:t>ориентироваться в возможных мошеннических действиях при общении в мессенджерах.</w:t>
      </w:r>
    </w:p>
    <w:p w14:paraId="4C9B8553">
      <w:pPr>
        <w:spacing w:after="0" w:line="355" w:lineRule="auto"/>
        <w:ind w:firstLine="709"/>
        <w:jc w:val="both"/>
        <w:rPr>
          <w:rFonts w:ascii="Times New Roman" w:hAnsi="Times New Roman" w:eastAsia="SchoolBookSanPin"/>
        </w:rPr>
      </w:pPr>
      <w:r>
        <w:rPr>
          <w:rFonts w:ascii="Times New Roman" w:hAnsi="Times New Roman" w:eastAsia="SchoolBookSanPin"/>
        </w:rPr>
        <w:t>11.10.6. </w:t>
      </w:r>
      <w:r>
        <w:rPr>
          <w:rFonts w:ascii="Times New Roman" w:hAnsi="Times New Roman" w:eastAsia="OfficinaSansBoldITC"/>
        </w:rPr>
        <w:t>Предметные результаты изучения окружающего мира. К</w:t>
      </w:r>
      <w:r>
        <w:rPr>
          <w:rFonts w:ascii="Times New Roman" w:hAnsi="Times New Roman" w:eastAsia="SchoolBookSanPin"/>
        </w:rPr>
        <w:t xml:space="preserve"> концу обучения в </w:t>
      </w:r>
      <w:r>
        <w:rPr>
          <w:rFonts w:ascii="Times New Roman" w:hAnsi="Times New Roman" w:eastAsia="SchoolBookSanPin"/>
          <w:bCs/>
        </w:rPr>
        <w:t xml:space="preserve">4 классе </w:t>
      </w:r>
      <w:r>
        <w:rPr>
          <w:rFonts w:ascii="Times New Roman" w:hAnsi="Times New Roman" w:eastAsia="SchoolBookSanPin"/>
        </w:rPr>
        <w:t>обучающийся научится:</w:t>
      </w:r>
    </w:p>
    <w:p w14:paraId="7D3007A2">
      <w:pPr>
        <w:pStyle w:val="67"/>
        <w:widowControl/>
        <w:spacing w:after="0" w:line="355" w:lineRule="auto"/>
        <w:ind w:left="0" w:firstLine="709"/>
        <w:jc w:val="both"/>
        <w:rPr>
          <w:rFonts w:ascii="Times New Roman" w:hAnsi="Times New Roman" w:eastAsia="Times New Roman"/>
          <w:lang w:eastAsia="ru-RU"/>
        </w:rPr>
      </w:pPr>
      <w:r>
        <w:rPr>
          <w:rFonts w:ascii="Times New Roman" w:hAnsi="Times New Roman" w:eastAsia="Times New Roman"/>
          <w:lang w:eastAsia="ru-RU"/>
        </w:rPr>
        <w:t xml:space="preserve">проявлять уважение к семейным ценностям и традициям, традициям своего народа и других народов, государственным символам России; </w:t>
      </w:r>
    </w:p>
    <w:p w14:paraId="47A2CBED">
      <w:pPr>
        <w:pStyle w:val="67"/>
        <w:widowControl/>
        <w:spacing w:after="0" w:line="355" w:lineRule="auto"/>
        <w:ind w:left="0" w:firstLine="709"/>
        <w:jc w:val="both"/>
        <w:rPr>
          <w:rFonts w:ascii="Times New Roman" w:hAnsi="Times New Roman" w:eastAsia="Times New Roman"/>
          <w:lang w:eastAsia="ru-RU"/>
        </w:rPr>
      </w:pPr>
      <w:r>
        <w:rPr>
          <w:rFonts w:ascii="Times New Roman" w:hAnsi="Times New Roman" w:eastAsia="Times New Roman"/>
          <w:lang w:eastAsia="ru-RU"/>
        </w:rPr>
        <w:t>соблюдать правила нравственного поведения в социуме;</w:t>
      </w:r>
    </w:p>
    <w:p w14:paraId="42D9225B">
      <w:pPr>
        <w:pStyle w:val="67"/>
        <w:widowControl/>
        <w:spacing w:after="0" w:line="355" w:lineRule="auto"/>
        <w:ind w:left="0" w:firstLine="709"/>
        <w:jc w:val="both"/>
        <w:rPr>
          <w:rFonts w:ascii="Times New Roman" w:hAnsi="Times New Roman" w:eastAsia="Times New Roman"/>
          <w:lang w:eastAsia="ru-RU"/>
        </w:rPr>
      </w:pPr>
      <w:r>
        <w:rPr>
          <w:rFonts w:ascii="Times New Roman" w:hAnsi="Times New Roman" w:eastAsia="Times New Roman"/>
          <w:lang w:eastAsia="ru-RU"/>
        </w:rPr>
        <w:t>показывать на физической карте изученные крупные географические объекты России (горы, равнины, реки, озёра, моря, омывающие территорию России);</w:t>
      </w:r>
    </w:p>
    <w:p w14:paraId="42F44BBF">
      <w:pPr>
        <w:pStyle w:val="67"/>
        <w:widowControl/>
        <w:spacing w:after="0" w:line="355" w:lineRule="auto"/>
        <w:ind w:left="0" w:firstLine="709"/>
        <w:jc w:val="both"/>
        <w:rPr>
          <w:rFonts w:ascii="Times New Roman" w:hAnsi="Times New Roman" w:eastAsia="Times New Roman"/>
          <w:lang w:eastAsia="ru-RU"/>
        </w:rPr>
      </w:pPr>
      <w:r>
        <w:rPr>
          <w:rFonts w:ascii="Times New Roman" w:hAnsi="Times New Roman" w:eastAsia="Times New Roman"/>
          <w:lang w:eastAsia="ru-RU"/>
        </w:rPr>
        <w:t>показывать на исторической карте места изученных исторических событий;</w:t>
      </w:r>
    </w:p>
    <w:p w14:paraId="19730BC3">
      <w:pPr>
        <w:pStyle w:val="67"/>
        <w:widowControl/>
        <w:spacing w:after="0" w:line="355" w:lineRule="auto"/>
        <w:ind w:left="0" w:firstLine="709"/>
        <w:jc w:val="both"/>
        <w:rPr>
          <w:rFonts w:ascii="Times New Roman" w:hAnsi="Times New Roman" w:eastAsia="Times New Roman"/>
          <w:lang w:eastAsia="ru-RU"/>
        </w:rPr>
      </w:pPr>
      <w:r>
        <w:rPr>
          <w:rFonts w:ascii="Times New Roman" w:hAnsi="Times New Roman" w:eastAsia="Times New Roman"/>
          <w:lang w:eastAsia="ru-RU"/>
        </w:rPr>
        <w:t>находить место изученных событий на «ленте времени»;</w:t>
      </w:r>
    </w:p>
    <w:p w14:paraId="6E39B3F2">
      <w:pPr>
        <w:pStyle w:val="67"/>
        <w:widowControl/>
        <w:spacing w:after="0" w:line="355" w:lineRule="auto"/>
        <w:ind w:left="0" w:firstLine="709"/>
        <w:jc w:val="both"/>
        <w:rPr>
          <w:rFonts w:ascii="Times New Roman" w:hAnsi="Times New Roman" w:eastAsia="Times New Roman"/>
          <w:lang w:eastAsia="ru-RU"/>
        </w:rPr>
      </w:pPr>
      <w:r>
        <w:rPr>
          <w:rFonts w:ascii="Times New Roman" w:hAnsi="Times New Roman" w:eastAsia="Times New Roman"/>
          <w:lang w:eastAsia="ru-RU"/>
        </w:rPr>
        <w:t>знать основные права и обязанности гражданина Российской Федерации;</w:t>
      </w:r>
    </w:p>
    <w:p w14:paraId="5DFB8FF5">
      <w:pPr>
        <w:pStyle w:val="67"/>
        <w:widowControl/>
        <w:spacing w:after="0" w:line="355" w:lineRule="auto"/>
        <w:ind w:left="0" w:firstLine="709"/>
        <w:jc w:val="both"/>
        <w:rPr>
          <w:rFonts w:ascii="Times New Roman" w:hAnsi="Times New Roman" w:eastAsia="Times New Roman"/>
          <w:lang w:eastAsia="ru-RU"/>
        </w:rPr>
      </w:pPr>
      <w:r>
        <w:rPr>
          <w:rFonts w:ascii="Times New Roman" w:hAnsi="Times New Roman" w:eastAsia="Times New Roman"/>
          <w:lang w:eastAsia="ru-RU"/>
        </w:rPr>
        <w:t>соотносить изученные исторические события и исторических деятелей веками и периодами истории России;</w:t>
      </w:r>
    </w:p>
    <w:p w14:paraId="53479C22">
      <w:pPr>
        <w:pStyle w:val="67"/>
        <w:widowControl/>
        <w:spacing w:after="0" w:line="355" w:lineRule="auto"/>
        <w:ind w:left="0" w:firstLine="709"/>
        <w:jc w:val="both"/>
        <w:rPr>
          <w:rFonts w:ascii="Times New Roman" w:hAnsi="Times New Roman" w:eastAsia="Times New Roman"/>
          <w:lang w:eastAsia="ru-RU"/>
        </w:rPr>
      </w:pPr>
      <w:r>
        <w:rPr>
          <w:rFonts w:ascii="Times New Roman" w:hAnsi="Times New Roman" w:eastAsia="Times New Roman"/>
          <w:lang w:eastAsia="ru-RU"/>
        </w:rPr>
        <w:t>рассказывать о государственных праздниках России, наиболее важных событиях истории России, наиболее известных российских исторических деятелях разных периодов, достопримечательностях столицы России и родного края;</w:t>
      </w:r>
    </w:p>
    <w:p w14:paraId="18816F51">
      <w:pPr>
        <w:pStyle w:val="67"/>
        <w:widowControl/>
        <w:spacing w:after="0" w:line="355" w:lineRule="auto"/>
        <w:ind w:left="0" w:firstLine="709"/>
        <w:jc w:val="both"/>
        <w:rPr>
          <w:rFonts w:ascii="Times New Roman" w:hAnsi="Times New Roman" w:eastAsia="Times New Roman"/>
          <w:lang w:eastAsia="ru-RU"/>
        </w:rPr>
      </w:pPr>
      <w:r>
        <w:rPr>
          <w:rFonts w:ascii="Times New Roman" w:hAnsi="Times New Roman" w:eastAsia="Times New Roman"/>
          <w:lang w:eastAsia="ru-RU"/>
        </w:rPr>
        <w:t>описывать на основе предложенного плана изученные объекты, выделяя их существенные признаки, в том числе государственную символику России и своего региона;</w:t>
      </w:r>
    </w:p>
    <w:p w14:paraId="297DBD74">
      <w:pPr>
        <w:pStyle w:val="67"/>
        <w:widowControl/>
        <w:spacing w:after="0" w:line="355" w:lineRule="auto"/>
        <w:ind w:left="0" w:firstLine="709"/>
        <w:jc w:val="both"/>
        <w:rPr>
          <w:rFonts w:ascii="Times New Roman" w:hAnsi="Times New Roman" w:eastAsia="Times New Roman"/>
          <w:lang w:eastAsia="ru-RU"/>
        </w:rPr>
      </w:pPr>
      <w:r>
        <w:rPr>
          <w:rFonts w:ascii="Times New Roman" w:hAnsi="Times New Roman" w:eastAsia="Times New Roman"/>
          <w:lang w:eastAsia="ru-RU"/>
        </w:rPr>
        <w:t>проводить по предложенному (самостоятельно составленному) плану или выдвинутому предположению несложные наблюдения, опыты с объектами природы с использованием простейшего лабораторного оборудования и измерительных приборов, следуя правилам безопасного труда;</w:t>
      </w:r>
    </w:p>
    <w:p w14:paraId="54B55ABC">
      <w:pPr>
        <w:pStyle w:val="67"/>
        <w:widowControl/>
        <w:spacing w:after="0" w:line="355" w:lineRule="auto"/>
        <w:ind w:left="0" w:firstLine="709"/>
        <w:jc w:val="both"/>
        <w:rPr>
          <w:rFonts w:ascii="Times New Roman" w:hAnsi="Times New Roman" w:eastAsia="Times New Roman"/>
          <w:lang w:eastAsia="ru-RU"/>
        </w:rPr>
      </w:pPr>
      <w:r>
        <w:rPr>
          <w:rFonts w:ascii="Times New Roman" w:hAnsi="Times New Roman" w:eastAsia="Times New Roman"/>
          <w:lang w:eastAsia="ru-RU"/>
        </w:rPr>
        <w:t>распознавать изученные объекты и явления живой и неживой природы по их описанию, рисункам и фотографиям, различать их в окружающем мире;</w:t>
      </w:r>
    </w:p>
    <w:p w14:paraId="161156B0">
      <w:pPr>
        <w:pStyle w:val="67"/>
        <w:widowControl/>
        <w:spacing w:after="0" w:line="355" w:lineRule="auto"/>
        <w:ind w:left="0" w:firstLine="709"/>
        <w:jc w:val="both"/>
        <w:rPr>
          <w:rFonts w:ascii="Times New Roman" w:hAnsi="Times New Roman" w:eastAsia="Times New Roman"/>
          <w:lang w:eastAsia="ru-RU"/>
        </w:rPr>
      </w:pPr>
      <w:r>
        <w:rPr>
          <w:rFonts w:ascii="Times New Roman" w:hAnsi="Times New Roman" w:eastAsia="Times New Roman"/>
          <w:lang w:eastAsia="ru-RU"/>
        </w:rPr>
        <w:t>группировать изученные объекты живой и неживой природы, самостоятельно выбирая признак для группировки; проводить простейшие классификации;</w:t>
      </w:r>
    </w:p>
    <w:p w14:paraId="0D716818">
      <w:pPr>
        <w:pStyle w:val="67"/>
        <w:widowControl/>
        <w:spacing w:after="0" w:line="355" w:lineRule="auto"/>
        <w:ind w:left="0" w:firstLine="709"/>
        <w:jc w:val="both"/>
        <w:rPr>
          <w:rFonts w:ascii="Times New Roman" w:hAnsi="Times New Roman" w:eastAsia="Times New Roman"/>
          <w:lang w:eastAsia="ru-RU"/>
        </w:rPr>
      </w:pPr>
      <w:r>
        <w:rPr>
          <w:rFonts w:ascii="Times New Roman" w:hAnsi="Times New Roman" w:eastAsia="Times New Roman"/>
          <w:lang w:eastAsia="ru-RU"/>
        </w:rPr>
        <w:t>сравнивать объекты живой и неживой природы на основе их внешних признаков и известных характерных свойств;</w:t>
      </w:r>
    </w:p>
    <w:p w14:paraId="71F565C6">
      <w:pPr>
        <w:pStyle w:val="67"/>
        <w:widowControl/>
        <w:spacing w:after="0" w:line="355" w:lineRule="auto"/>
        <w:ind w:left="0" w:firstLine="709"/>
        <w:jc w:val="both"/>
        <w:rPr>
          <w:rFonts w:ascii="Times New Roman" w:hAnsi="Times New Roman" w:eastAsia="Times New Roman"/>
          <w:lang w:eastAsia="ru-RU"/>
        </w:rPr>
      </w:pPr>
      <w:r>
        <w:rPr>
          <w:rFonts w:ascii="Times New Roman" w:hAnsi="Times New Roman" w:eastAsia="Times New Roman"/>
          <w:lang w:eastAsia="ru-RU"/>
        </w:rPr>
        <w:t>использовать знания о взаимосвязях в природе для объяснения простейших явлений и процессов в природе (в том числе смены дня и ночи, смены времён года, сезонных изменений в природе своей местности, причины смены природных зон);</w:t>
      </w:r>
    </w:p>
    <w:p w14:paraId="63303873">
      <w:pPr>
        <w:pStyle w:val="67"/>
        <w:widowControl/>
        <w:spacing w:after="0" w:line="355" w:lineRule="auto"/>
        <w:ind w:left="0" w:firstLine="709"/>
        <w:jc w:val="both"/>
        <w:rPr>
          <w:rFonts w:ascii="Times New Roman" w:hAnsi="Times New Roman" w:eastAsia="Times New Roman"/>
          <w:lang w:eastAsia="ru-RU"/>
        </w:rPr>
      </w:pPr>
      <w:r>
        <w:rPr>
          <w:rFonts w:ascii="Times New Roman" w:hAnsi="Times New Roman" w:eastAsia="Times New Roman"/>
          <w:lang w:eastAsia="ru-RU"/>
        </w:rPr>
        <w:t>называть наиболее значимые природные объекты Всемирного наследия в России и за рубежом (в пределах изученного);</w:t>
      </w:r>
    </w:p>
    <w:p w14:paraId="48706E04">
      <w:pPr>
        <w:pStyle w:val="67"/>
        <w:widowControl/>
        <w:spacing w:after="0" w:line="355" w:lineRule="auto"/>
        <w:ind w:left="0" w:firstLine="709"/>
        <w:jc w:val="both"/>
        <w:rPr>
          <w:rFonts w:ascii="Times New Roman" w:hAnsi="Times New Roman" w:eastAsia="Times New Roman"/>
          <w:lang w:eastAsia="ru-RU"/>
        </w:rPr>
      </w:pPr>
      <w:r>
        <w:rPr>
          <w:rFonts w:ascii="Times New Roman" w:hAnsi="Times New Roman" w:eastAsia="Times New Roman"/>
          <w:lang w:eastAsia="ru-RU"/>
        </w:rPr>
        <w:t>называть экологические проблемы и определять пути их решения;</w:t>
      </w:r>
    </w:p>
    <w:p w14:paraId="4067ED8C">
      <w:pPr>
        <w:pStyle w:val="67"/>
        <w:widowControl/>
        <w:spacing w:after="0" w:line="355" w:lineRule="auto"/>
        <w:ind w:left="0" w:firstLine="709"/>
        <w:jc w:val="both"/>
        <w:rPr>
          <w:rFonts w:ascii="Times New Roman" w:hAnsi="Times New Roman" w:eastAsia="Times New Roman"/>
          <w:lang w:eastAsia="ru-RU"/>
        </w:rPr>
      </w:pPr>
      <w:r>
        <w:rPr>
          <w:rFonts w:ascii="Times New Roman" w:hAnsi="Times New Roman" w:eastAsia="Times New Roman"/>
          <w:lang w:eastAsia="ru-RU"/>
        </w:rPr>
        <w:t>создавать по заданному плану собственные развёрнутые высказывания о природе и обществе;</w:t>
      </w:r>
    </w:p>
    <w:p w14:paraId="13542468">
      <w:pPr>
        <w:pStyle w:val="67"/>
        <w:widowControl/>
        <w:spacing w:after="0" w:line="355" w:lineRule="auto"/>
        <w:ind w:left="0" w:firstLine="709"/>
        <w:jc w:val="both"/>
        <w:rPr>
          <w:rFonts w:ascii="Times New Roman" w:hAnsi="Times New Roman" w:eastAsia="Times New Roman"/>
          <w:lang w:eastAsia="ru-RU"/>
        </w:rPr>
      </w:pPr>
      <w:r>
        <w:rPr>
          <w:rFonts w:ascii="Times New Roman" w:hAnsi="Times New Roman" w:eastAsia="Times New Roman"/>
          <w:lang w:eastAsia="ru-RU"/>
        </w:rPr>
        <w:t>использовать различные источники информации для поиска и извлечения информации, ответов на вопросы;</w:t>
      </w:r>
    </w:p>
    <w:p w14:paraId="772C8708">
      <w:pPr>
        <w:pStyle w:val="67"/>
        <w:widowControl/>
        <w:spacing w:after="0" w:line="355" w:lineRule="auto"/>
        <w:ind w:left="0" w:firstLine="709"/>
        <w:jc w:val="both"/>
        <w:rPr>
          <w:rFonts w:ascii="Times New Roman" w:hAnsi="Times New Roman" w:eastAsia="Times New Roman"/>
          <w:lang w:eastAsia="ru-RU"/>
        </w:rPr>
      </w:pPr>
      <w:r>
        <w:rPr>
          <w:rFonts w:ascii="Times New Roman" w:hAnsi="Times New Roman" w:eastAsia="Times New Roman"/>
          <w:lang w:eastAsia="ru-RU"/>
        </w:rPr>
        <w:t>соблюдать правила нравственного поведения на природе;</w:t>
      </w:r>
    </w:p>
    <w:p w14:paraId="06FB87FD">
      <w:pPr>
        <w:pStyle w:val="67"/>
        <w:widowControl/>
        <w:spacing w:after="0" w:line="355" w:lineRule="auto"/>
        <w:ind w:left="0" w:firstLine="709"/>
        <w:jc w:val="both"/>
        <w:rPr>
          <w:rFonts w:ascii="Times New Roman" w:hAnsi="Times New Roman" w:eastAsia="Times New Roman"/>
          <w:lang w:eastAsia="ru-RU"/>
        </w:rPr>
      </w:pPr>
      <w:r>
        <w:rPr>
          <w:rFonts w:ascii="Times New Roman" w:hAnsi="Times New Roman" w:eastAsia="Times New Roman"/>
          <w:lang w:eastAsia="ru-RU"/>
        </w:rPr>
        <w:t>осознавать возможные последствия вредных привычек для здоровья и жизни человека;</w:t>
      </w:r>
    </w:p>
    <w:p w14:paraId="5F12753B">
      <w:pPr>
        <w:pStyle w:val="67"/>
        <w:widowControl/>
        <w:spacing w:after="0" w:line="355" w:lineRule="auto"/>
        <w:ind w:left="0" w:firstLine="709"/>
        <w:jc w:val="both"/>
        <w:rPr>
          <w:rFonts w:ascii="Times New Roman" w:hAnsi="Times New Roman" w:eastAsia="Times New Roman"/>
          <w:lang w:eastAsia="ru-RU"/>
        </w:rPr>
      </w:pPr>
      <w:r>
        <w:rPr>
          <w:rFonts w:ascii="Times New Roman" w:hAnsi="Times New Roman" w:eastAsia="Times New Roman"/>
          <w:lang w:eastAsia="ru-RU"/>
        </w:rPr>
        <w:t>соблюдать правила безопасного поведения при использовании объектов транспортной инфраструктуры населённого пункта, в театрах, кинотеатрах, торговых центрах, парках и зонах отдыха, учреждениях культуры (музеях, библиотеках и других);</w:t>
      </w:r>
    </w:p>
    <w:p w14:paraId="6F0795DB">
      <w:pPr>
        <w:pStyle w:val="67"/>
        <w:widowControl/>
        <w:spacing w:after="0" w:line="355" w:lineRule="auto"/>
        <w:ind w:left="0" w:firstLine="709"/>
        <w:jc w:val="both"/>
        <w:rPr>
          <w:rFonts w:ascii="Times New Roman" w:hAnsi="Times New Roman" w:eastAsia="Times New Roman"/>
          <w:lang w:eastAsia="ru-RU"/>
        </w:rPr>
      </w:pPr>
      <w:r>
        <w:rPr>
          <w:rFonts w:ascii="Times New Roman" w:hAnsi="Times New Roman" w:eastAsia="Times New Roman"/>
          <w:lang w:eastAsia="ru-RU"/>
        </w:rPr>
        <w:t>соблюдать правила безопасного поведения при езде на велосипеде, самокате и других средствах индивидуальной мобильности;</w:t>
      </w:r>
    </w:p>
    <w:p w14:paraId="444DFD0C">
      <w:pPr>
        <w:pStyle w:val="67"/>
        <w:widowControl/>
        <w:spacing w:after="0" w:line="355" w:lineRule="auto"/>
        <w:ind w:left="0" w:firstLine="709"/>
        <w:jc w:val="both"/>
        <w:rPr>
          <w:rFonts w:ascii="Times New Roman" w:hAnsi="Times New Roman" w:eastAsia="Times New Roman"/>
          <w:lang w:eastAsia="ru-RU"/>
        </w:rPr>
      </w:pPr>
      <w:r>
        <w:rPr>
          <w:rFonts w:ascii="Times New Roman" w:hAnsi="Times New Roman" w:eastAsia="Times New Roman"/>
          <w:lang w:eastAsia="ru-RU"/>
        </w:rPr>
        <w:t>осуществлять безопасный поиск образовательных ресурсов и верифицированной информации в</w:t>
      </w:r>
      <w:r>
        <w:rPr>
          <w:rFonts w:ascii="Times New Roman" w:hAnsi="Times New Roman"/>
        </w:rPr>
        <w:t xml:space="preserve"> </w:t>
      </w:r>
      <w:r>
        <w:rPr>
          <w:rFonts w:ascii="Times New Roman" w:hAnsi="Times New Roman" w:eastAsia="Times New Roman"/>
          <w:lang w:eastAsia="ru-RU"/>
        </w:rPr>
        <w:t>Интернете;</w:t>
      </w:r>
    </w:p>
    <w:p w14:paraId="3194ADD8">
      <w:pPr>
        <w:pStyle w:val="67"/>
        <w:widowControl/>
        <w:spacing w:after="0" w:line="355" w:lineRule="auto"/>
        <w:ind w:left="0" w:firstLine="709"/>
        <w:jc w:val="both"/>
        <w:rPr>
          <w:rFonts w:ascii="Times New Roman" w:hAnsi="Times New Roman" w:eastAsia="Times New Roman"/>
          <w:lang w:eastAsia="ru-RU"/>
        </w:rPr>
      </w:pPr>
      <w:r>
        <w:rPr>
          <w:rFonts w:ascii="Times New Roman" w:hAnsi="Times New Roman" w:eastAsia="Times New Roman"/>
          <w:lang w:eastAsia="ru-RU"/>
        </w:rPr>
        <w:t>соблюдать правила безопасного для здоровья использования электронных образовательных и информационных ресурсов.</w:t>
      </w:r>
    </w:p>
    <w:p w14:paraId="7B2D26B3">
      <w:pPr>
        <w:pStyle w:val="85"/>
        <w:spacing w:before="200"/>
        <w:ind w:firstLine="540"/>
        <w:jc w:val="both"/>
        <w:rPr>
          <w:color w:val="auto"/>
          <w:sz w:val="22"/>
          <w:szCs w:val="22"/>
        </w:rPr>
      </w:pPr>
      <w:r>
        <w:rPr>
          <w:color w:val="auto"/>
          <w:sz w:val="22"/>
          <w:szCs w:val="22"/>
        </w:rPr>
        <w:t>11.11. Поурочное планирование</w:t>
      </w:r>
    </w:p>
    <w:p w14:paraId="369404A6">
      <w:pPr>
        <w:pStyle w:val="85"/>
        <w:spacing w:before="200"/>
        <w:ind w:firstLine="540"/>
        <w:jc w:val="both"/>
        <w:rPr>
          <w:color w:val="auto"/>
          <w:sz w:val="22"/>
          <w:szCs w:val="22"/>
        </w:rPr>
      </w:pPr>
      <w:r>
        <w:rPr>
          <w:color w:val="auto"/>
          <w:sz w:val="22"/>
          <w:szCs w:val="22"/>
        </w:rPr>
        <w:t>Вариант 1. Поурочное планирование для педагогов, использующих учебник "Окружающий мир", 1 - 4 класс, в 2 частях, А.А. Плешаков.</w:t>
      </w:r>
    </w:p>
    <w:p w14:paraId="5FD038B3">
      <w:pPr>
        <w:pStyle w:val="85"/>
        <w:jc w:val="both"/>
        <w:rPr>
          <w:color w:val="auto"/>
          <w:sz w:val="22"/>
          <w:szCs w:val="22"/>
        </w:rPr>
      </w:pPr>
    </w:p>
    <w:p w14:paraId="67B7FE29">
      <w:pPr>
        <w:pStyle w:val="85"/>
        <w:jc w:val="right"/>
        <w:rPr>
          <w:color w:val="auto"/>
          <w:sz w:val="22"/>
          <w:szCs w:val="22"/>
        </w:rPr>
      </w:pPr>
      <w:r>
        <w:rPr>
          <w:color w:val="auto"/>
          <w:sz w:val="22"/>
          <w:szCs w:val="22"/>
        </w:rPr>
        <w:t>Таблица 11</w:t>
      </w:r>
    </w:p>
    <w:p w14:paraId="370AE032">
      <w:pPr>
        <w:pStyle w:val="85"/>
        <w:jc w:val="both"/>
        <w:rPr>
          <w:color w:val="auto"/>
          <w:sz w:val="22"/>
          <w:szCs w:val="22"/>
        </w:rPr>
      </w:pPr>
    </w:p>
    <w:p w14:paraId="61D13DF6">
      <w:pPr>
        <w:pStyle w:val="85"/>
        <w:jc w:val="both"/>
        <w:rPr>
          <w:color w:val="auto"/>
          <w:sz w:val="22"/>
          <w:szCs w:val="22"/>
        </w:rPr>
      </w:pPr>
      <w:r>
        <w:rPr>
          <w:color w:val="auto"/>
          <w:sz w:val="22"/>
          <w:szCs w:val="22"/>
        </w:rPr>
        <w:t>1 класс</w:t>
      </w:r>
    </w:p>
    <w:p w14:paraId="2E8CAAA6">
      <w:pPr>
        <w:pStyle w:val="85"/>
        <w:jc w:val="both"/>
        <w:rPr>
          <w:color w:val="auto"/>
          <w:sz w:val="22"/>
          <w:szCs w:val="22"/>
        </w:rPr>
      </w:pPr>
    </w:p>
    <w:tbl>
      <w:tblPr>
        <w:tblStyle w:val="1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02" w:type="dxa"/>
          <w:left w:w="62" w:type="dxa"/>
          <w:bottom w:w="102" w:type="dxa"/>
          <w:right w:w="62" w:type="dxa"/>
        </w:tblCellMar>
      </w:tblPr>
      <w:tblGrid>
        <w:gridCol w:w="1191"/>
        <w:gridCol w:w="6405"/>
        <w:gridCol w:w="1473"/>
      </w:tblGrid>
      <w:tr w14:paraId="667B5D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91" w:type="dxa"/>
          </w:tcPr>
          <w:p w14:paraId="2D4A4474">
            <w:pPr>
              <w:pStyle w:val="85"/>
              <w:jc w:val="center"/>
              <w:rPr>
                <w:color w:val="auto"/>
                <w:sz w:val="22"/>
                <w:szCs w:val="22"/>
              </w:rPr>
            </w:pPr>
            <w:r>
              <w:rPr>
                <w:color w:val="auto"/>
                <w:sz w:val="22"/>
                <w:szCs w:val="22"/>
              </w:rPr>
              <w:t>N урока</w:t>
            </w:r>
          </w:p>
        </w:tc>
        <w:tc>
          <w:tcPr>
            <w:tcW w:w="6405" w:type="dxa"/>
          </w:tcPr>
          <w:p w14:paraId="7CEF94FE">
            <w:pPr>
              <w:pStyle w:val="85"/>
              <w:jc w:val="center"/>
              <w:rPr>
                <w:color w:val="auto"/>
                <w:sz w:val="22"/>
                <w:szCs w:val="22"/>
              </w:rPr>
            </w:pPr>
            <w:r>
              <w:rPr>
                <w:color w:val="auto"/>
                <w:sz w:val="22"/>
                <w:szCs w:val="22"/>
              </w:rPr>
              <w:t>Тема урока</w:t>
            </w:r>
          </w:p>
        </w:tc>
        <w:tc>
          <w:tcPr>
            <w:tcW w:w="1473" w:type="dxa"/>
          </w:tcPr>
          <w:p w14:paraId="49CE305E">
            <w:pPr>
              <w:pStyle w:val="85"/>
              <w:jc w:val="center"/>
              <w:rPr>
                <w:color w:val="auto"/>
                <w:sz w:val="22"/>
                <w:szCs w:val="22"/>
              </w:rPr>
            </w:pPr>
            <w:r>
              <w:rPr>
                <w:color w:val="auto"/>
                <w:sz w:val="22"/>
                <w:szCs w:val="22"/>
              </w:rPr>
              <w:t>Количество часов на практические работы</w:t>
            </w:r>
          </w:p>
        </w:tc>
      </w:tr>
      <w:tr w14:paraId="45C13A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91" w:type="dxa"/>
            <w:vAlign w:val="center"/>
          </w:tcPr>
          <w:p w14:paraId="0C1C2BDC">
            <w:pPr>
              <w:pStyle w:val="85"/>
              <w:rPr>
                <w:color w:val="auto"/>
                <w:sz w:val="22"/>
                <w:szCs w:val="22"/>
              </w:rPr>
            </w:pPr>
            <w:r>
              <w:rPr>
                <w:color w:val="auto"/>
                <w:sz w:val="22"/>
                <w:szCs w:val="22"/>
              </w:rPr>
              <w:t>Урок 1</w:t>
            </w:r>
          </w:p>
        </w:tc>
        <w:tc>
          <w:tcPr>
            <w:tcW w:w="6405" w:type="dxa"/>
          </w:tcPr>
          <w:p w14:paraId="443181B2">
            <w:pPr>
              <w:pStyle w:val="85"/>
              <w:jc w:val="both"/>
              <w:rPr>
                <w:color w:val="auto"/>
                <w:sz w:val="22"/>
                <w:szCs w:val="22"/>
              </w:rPr>
            </w:pPr>
            <w:r>
              <w:rPr>
                <w:color w:val="auto"/>
                <w:sz w:val="22"/>
                <w:szCs w:val="22"/>
              </w:rPr>
              <w:t>Мы - школьники. Адрес школы. Знакомство со школьными помещениями</w:t>
            </w:r>
          </w:p>
        </w:tc>
        <w:tc>
          <w:tcPr>
            <w:tcW w:w="1473" w:type="dxa"/>
          </w:tcPr>
          <w:p w14:paraId="1D012841">
            <w:pPr>
              <w:pStyle w:val="85"/>
              <w:rPr>
                <w:color w:val="auto"/>
                <w:sz w:val="22"/>
                <w:szCs w:val="22"/>
              </w:rPr>
            </w:pPr>
          </w:p>
        </w:tc>
      </w:tr>
      <w:tr w14:paraId="503FEF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191" w:type="dxa"/>
            <w:vAlign w:val="center"/>
          </w:tcPr>
          <w:p w14:paraId="205CA8C2">
            <w:pPr>
              <w:pStyle w:val="85"/>
              <w:rPr>
                <w:color w:val="auto"/>
                <w:sz w:val="22"/>
                <w:szCs w:val="22"/>
              </w:rPr>
            </w:pPr>
            <w:r>
              <w:rPr>
                <w:color w:val="auto"/>
                <w:sz w:val="22"/>
                <w:szCs w:val="22"/>
              </w:rPr>
              <w:t>Урок 2</w:t>
            </w:r>
          </w:p>
        </w:tc>
        <w:tc>
          <w:tcPr>
            <w:tcW w:w="6405" w:type="dxa"/>
          </w:tcPr>
          <w:p w14:paraId="09AE0491">
            <w:pPr>
              <w:pStyle w:val="85"/>
              <w:jc w:val="both"/>
              <w:rPr>
                <w:color w:val="auto"/>
                <w:sz w:val="22"/>
                <w:szCs w:val="22"/>
              </w:rPr>
            </w:pPr>
            <w:r>
              <w:rPr>
                <w:color w:val="auto"/>
                <w:sz w:val="22"/>
                <w:szCs w:val="22"/>
              </w:rPr>
              <w:t>Наша страна - Россия, Российская Федерация. Что такое Родина?</w:t>
            </w:r>
          </w:p>
        </w:tc>
        <w:tc>
          <w:tcPr>
            <w:tcW w:w="1473" w:type="dxa"/>
          </w:tcPr>
          <w:p w14:paraId="6422CC03">
            <w:pPr>
              <w:pStyle w:val="85"/>
              <w:rPr>
                <w:color w:val="auto"/>
                <w:sz w:val="22"/>
                <w:szCs w:val="22"/>
              </w:rPr>
            </w:pPr>
          </w:p>
        </w:tc>
      </w:tr>
      <w:tr w14:paraId="715DF3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91" w:type="dxa"/>
            <w:vAlign w:val="center"/>
          </w:tcPr>
          <w:p w14:paraId="7E10606C">
            <w:pPr>
              <w:pStyle w:val="85"/>
              <w:rPr>
                <w:color w:val="auto"/>
                <w:sz w:val="22"/>
                <w:szCs w:val="22"/>
              </w:rPr>
            </w:pPr>
            <w:r>
              <w:rPr>
                <w:color w:val="auto"/>
                <w:sz w:val="22"/>
                <w:szCs w:val="22"/>
              </w:rPr>
              <w:t>Урок 3</w:t>
            </w:r>
          </w:p>
        </w:tc>
        <w:tc>
          <w:tcPr>
            <w:tcW w:w="6405" w:type="dxa"/>
            <w:vAlign w:val="center"/>
          </w:tcPr>
          <w:p w14:paraId="3EA87793">
            <w:pPr>
              <w:pStyle w:val="85"/>
              <w:jc w:val="both"/>
              <w:rPr>
                <w:color w:val="auto"/>
                <w:sz w:val="22"/>
                <w:szCs w:val="22"/>
              </w:rPr>
            </w:pPr>
            <w:r>
              <w:rPr>
                <w:color w:val="auto"/>
                <w:sz w:val="22"/>
                <w:szCs w:val="22"/>
              </w:rPr>
              <w:t>Наша Родина: от края и до края. Символы России</w:t>
            </w:r>
          </w:p>
        </w:tc>
        <w:tc>
          <w:tcPr>
            <w:tcW w:w="1473" w:type="dxa"/>
          </w:tcPr>
          <w:p w14:paraId="44946F8E">
            <w:pPr>
              <w:pStyle w:val="85"/>
              <w:rPr>
                <w:color w:val="auto"/>
                <w:sz w:val="22"/>
                <w:szCs w:val="22"/>
              </w:rPr>
            </w:pPr>
          </w:p>
        </w:tc>
      </w:tr>
      <w:tr w14:paraId="3BADC9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91" w:type="dxa"/>
          </w:tcPr>
          <w:p w14:paraId="16C886B1">
            <w:pPr>
              <w:pStyle w:val="85"/>
              <w:rPr>
                <w:color w:val="auto"/>
                <w:sz w:val="22"/>
                <w:szCs w:val="22"/>
              </w:rPr>
            </w:pPr>
            <w:r>
              <w:rPr>
                <w:color w:val="auto"/>
                <w:sz w:val="22"/>
                <w:szCs w:val="22"/>
              </w:rPr>
              <w:t>Урок 4</w:t>
            </w:r>
          </w:p>
        </w:tc>
        <w:tc>
          <w:tcPr>
            <w:tcW w:w="6405" w:type="dxa"/>
          </w:tcPr>
          <w:p w14:paraId="1EBD3822">
            <w:pPr>
              <w:pStyle w:val="85"/>
              <w:jc w:val="both"/>
              <w:rPr>
                <w:color w:val="auto"/>
                <w:sz w:val="22"/>
                <w:szCs w:val="22"/>
              </w:rPr>
            </w:pPr>
            <w:r>
              <w:rPr>
                <w:color w:val="auto"/>
                <w:sz w:val="22"/>
                <w:szCs w:val="22"/>
              </w:rPr>
              <w:t>Народы России. Народов дружная семья</w:t>
            </w:r>
          </w:p>
        </w:tc>
        <w:tc>
          <w:tcPr>
            <w:tcW w:w="1473" w:type="dxa"/>
          </w:tcPr>
          <w:p w14:paraId="62730484">
            <w:pPr>
              <w:pStyle w:val="85"/>
              <w:rPr>
                <w:color w:val="auto"/>
                <w:sz w:val="22"/>
                <w:szCs w:val="22"/>
              </w:rPr>
            </w:pPr>
          </w:p>
        </w:tc>
      </w:tr>
      <w:tr w14:paraId="5395F8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91" w:type="dxa"/>
          </w:tcPr>
          <w:p w14:paraId="04371C80">
            <w:pPr>
              <w:pStyle w:val="85"/>
              <w:rPr>
                <w:color w:val="auto"/>
                <w:sz w:val="22"/>
                <w:szCs w:val="22"/>
              </w:rPr>
            </w:pPr>
            <w:r>
              <w:rPr>
                <w:color w:val="auto"/>
                <w:sz w:val="22"/>
                <w:szCs w:val="22"/>
              </w:rPr>
              <w:t>Урок 5</w:t>
            </w:r>
          </w:p>
        </w:tc>
        <w:tc>
          <w:tcPr>
            <w:tcW w:w="6405" w:type="dxa"/>
          </w:tcPr>
          <w:p w14:paraId="42438139">
            <w:pPr>
              <w:pStyle w:val="85"/>
              <w:jc w:val="both"/>
              <w:rPr>
                <w:color w:val="auto"/>
                <w:sz w:val="22"/>
                <w:szCs w:val="22"/>
              </w:rPr>
            </w:pPr>
            <w:r>
              <w:rPr>
                <w:color w:val="auto"/>
                <w:sz w:val="22"/>
                <w:szCs w:val="22"/>
              </w:rPr>
              <w:t>Путешествие по родному краю</w:t>
            </w:r>
          </w:p>
        </w:tc>
        <w:tc>
          <w:tcPr>
            <w:tcW w:w="1473" w:type="dxa"/>
          </w:tcPr>
          <w:p w14:paraId="4B157165">
            <w:pPr>
              <w:pStyle w:val="85"/>
              <w:rPr>
                <w:color w:val="auto"/>
                <w:sz w:val="22"/>
                <w:szCs w:val="22"/>
              </w:rPr>
            </w:pPr>
          </w:p>
        </w:tc>
      </w:tr>
      <w:tr w14:paraId="71C7BF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91" w:type="dxa"/>
            <w:vAlign w:val="center"/>
          </w:tcPr>
          <w:p w14:paraId="6363C4B5">
            <w:pPr>
              <w:pStyle w:val="85"/>
              <w:rPr>
                <w:color w:val="auto"/>
                <w:sz w:val="22"/>
                <w:szCs w:val="22"/>
              </w:rPr>
            </w:pPr>
            <w:r>
              <w:rPr>
                <w:color w:val="auto"/>
                <w:sz w:val="22"/>
                <w:szCs w:val="22"/>
              </w:rPr>
              <w:t>Урок 6</w:t>
            </w:r>
          </w:p>
        </w:tc>
        <w:tc>
          <w:tcPr>
            <w:tcW w:w="6405" w:type="dxa"/>
          </w:tcPr>
          <w:p w14:paraId="1AD9E55E">
            <w:pPr>
              <w:pStyle w:val="85"/>
              <w:jc w:val="both"/>
              <w:rPr>
                <w:color w:val="auto"/>
                <w:sz w:val="22"/>
                <w:szCs w:val="22"/>
              </w:rPr>
            </w:pPr>
            <w:r>
              <w:rPr>
                <w:color w:val="auto"/>
                <w:sz w:val="22"/>
                <w:szCs w:val="22"/>
              </w:rPr>
              <w:t>Отражение в предметах декоративного искусства природных условий жизни и традиций народов Российской Федерации</w:t>
            </w:r>
          </w:p>
        </w:tc>
        <w:tc>
          <w:tcPr>
            <w:tcW w:w="1473" w:type="dxa"/>
          </w:tcPr>
          <w:p w14:paraId="6D11657F">
            <w:pPr>
              <w:pStyle w:val="85"/>
              <w:rPr>
                <w:color w:val="auto"/>
                <w:sz w:val="22"/>
                <w:szCs w:val="22"/>
              </w:rPr>
            </w:pPr>
          </w:p>
        </w:tc>
      </w:tr>
      <w:tr w14:paraId="2CB025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91" w:type="dxa"/>
            <w:vAlign w:val="center"/>
          </w:tcPr>
          <w:p w14:paraId="15AEC71C">
            <w:pPr>
              <w:pStyle w:val="85"/>
              <w:rPr>
                <w:color w:val="auto"/>
                <w:sz w:val="22"/>
                <w:szCs w:val="22"/>
              </w:rPr>
            </w:pPr>
            <w:r>
              <w:rPr>
                <w:color w:val="auto"/>
                <w:sz w:val="22"/>
                <w:szCs w:val="22"/>
              </w:rPr>
              <w:t>Урок 7</w:t>
            </w:r>
          </w:p>
        </w:tc>
        <w:tc>
          <w:tcPr>
            <w:tcW w:w="6405" w:type="dxa"/>
          </w:tcPr>
          <w:p w14:paraId="05F9716C">
            <w:pPr>
              <w:pStyle w:val="85"/>
              <w:jc w:val="both"/>
              <w:rPr>
                <w:color w:val="auto"/>
                <w:sz w:val="22"/>
                <w:szCs w:val="22"/>
              </w:rPr>
            </w:pPr>
            <w:r>
              <w:rPr>
                <w:color w:val="auto"/>
                <w:sz w:val="22"/>
                <w:szCs w:val="22"/>
              </w:rPr>
              <w:t>Столица России - Москва. Достопримечательности Москвы</w:t>
            </w:r>
          </w:p>
        </w:tc>
        <w:tc>
          <w:tcPr>
            <w:tcW w:w="1473" w:type="dxa"/>
          </w:tcPr>
          <w:p w14:paraId="6518D58D">
            <w:pPr>
              <w:pStyle w:val="85"/>
              <w:rPr>
                <w:color w:val="auto"/>
                <w:sz w:val="22"/>
                <w:szCs w:val="22"/>
              </w:rPr>
            </w:pPr>
          </w:p>
        </w:tc>
      </w:tr>
      <w:tr w14:paraId="6B3C4D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91" w:type="dxa"/>
            <w:vAlign w:val="center"/>
          </w:tcPr>
          <w:p w14:paraId="40DDDB76">
            <w:pPr>
              <w:pStyle w:val="85"/>
              <w:rPr>
                <w:color w:val="auto"/>
                <w:sz w:val="22"/>
                <w:szCs w:val="22"/>
              </w:rPr>
            </w:pPr>
            <w:r>
              <w:rPr>
                <w:color w:val="auto"/>
                <w:sz w:val="22"/>
                <w:szCs w:val="22"/>
              </w:rPr>
              <w:t>Урок 8</w:t>
            </w:r>
          </w:p>
        </w:tc>
        <w:tc>
          <w:tcPr>
            <w:tcW w:w="6405" w:type="dxa"/>
          </w:tcPr>
          <w:p w14:paraId="5AF885FF">
            <w:pPr>
              <w:pStyle w:val="85"/>
              <w:jc w:val="both"/>
              <w:rPr>
                <w:color w:val="auto"/>
                <w:sz w:val="22"/>
                <w:szCs w:val="22"/>
              </w:rPr>
            </w:pPr>
            <w:r>
              <w:rPr>
                <w:color w:val="auto"/>
                <w:sz w:val="22"/>
                <w:szCs w:val="22"/>
              </w:rPr>
              <w:t>Что такое окружающий мир? Что природа дает человеку?</w:t>
            </w:r>
          </w:p>
        </w:tc>
        <w:tc>
          <w:tcPr>
            <w:tcW w:w="1473" w:type="dxa"/>
          </w:tcPr>
          <w:p w14:paraId="33AB4327">
            <w:pPr>
              <w:pStyle w:val="85"/>
              <w:rPr>
                <w:color w:val="auto"/>
                <w:sz w:val="22"/>
                <w:szCs w:val="22"/>
              </w:rPr>
            </w:pPr>
          </w:p>
        </w:tc>
      </w:tr>
      <w:tr w14:paraId="4C94C4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91" w:type="dxa"/>
            <w:vAlign w:val="center"/>
          </w:tcPr>
          <w:p w14:paraId="6F78A91A">
            <w:pPr>
              <w:pStyle w:val="85"/>
              <w:rPr>
                <w:color w:val="auto"/>
                <w:sz w:val="22"/>
                <w:szCs w:val="22"/>
              </w:rPr>
            </w:pPr>
            <w:r>
              <w:rPr>
                <w:color w:val="auto"/>
                <w:sz w:val="22"/>
                <w:szCs w:val="22"/>
              </w:rPr>
              <w:t>Урок 9</w:t>
            </w:r>
          </w:p>
        </w:tc>
        <w:tc>
          <w:tcPr>
            <w:tcW w:w="6405" w:type="dxa"/>
          </w:tcPr>
          <w:p w14:paraId="449D9E2C">
            <w:pPr>
              <w:pStyle w:val="85"/>
              <w:jc w:val="both"/>
              <w:rPr>
                <w:color w:val="auto"/>
                <w:sz w:val="22"/>
                <w:szCs w:val="22"/>
              </w:rPr>
            </w:pPr>
            <w:r>
              <w:rPr>
                <w:color w:val="auto"/>
                <w:sz w:val="22"/>
                <w:szCs w:val="22"/>
              </w:rPr>
              <w:t>Объекты живой природы. Сравнение объектов неживой и живой природы: выделение различий</w:t>
            </w:r>
          </w:p>
        </w:tc>
        <w:tc>
          <w:tcPr>
            <w:tcW w:w="1473" w:type="dxa"/>
          </w:tcPr>
          <w:p w14:paraId="5756D183">
            <w:pPr>
              <w:pStyle w:val="85"/>
              <w:rPr>
                <w:color w:val="auto"/>
                <w:sz w:val="22"/>
                <w:szCs w:val="22"/>
              </w:rPr>
            </w:pPr>
          </w:p>
        </w:tc>
      </w:tr>
      <w:tr w14:paraId="6DCEE9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91" w:type="dxa"/>
            <w:vAlign w:val="center"/>
          </w:tcPr>
          <w:p w14:paraId="7B832AEB">
            <w:pPr>
              <w:pStyle w:val="85"/>
              <w:rPr>
                <w:color w:val="auto"/>
                <w:sz w:val="22"/>
                <w:szCs w:val="22"/>
              </w:rPr>
            </w:pPr>
            <w:r>
              <w:rPr>
                <w:color w:val="auto"/>
                <w:sz w:val="22"/>
                <w:szCs w:val="22"/>
              </w:rPr>
              <w:t>Урок 10</w:t>
            </w:r>
          </w:p>
        </w:tc>
        <w:tc>
          <w:tcPr>
            <w:tcW w:w="6405" w:type="dxa"/>
          </w:tcPr>
          <w:p w14:paraId="40C0FDBB">
            <w:pPr>
              <w:pStyle w:val="85"/>
              <w:jc w:val="both"/>
              <w:rPr>
                <w:color w:val="auto"/>
                <w:sz w:val="22"/>
                <w:szCs w:val="22"/>
              </w:rPr>
            </w:pPr>
            <w:r>
              <w:rPr>
                <w:color w:val="auto"/>
                <w:sz w:val="22"/>
                <w:szCs w:val="22"/>
              </w:rPr>
              <w:t>Дикорастущие и культурные растения вокруг нас. Сходство и различия дикорастущих и культурных растений</w:t>
            </w:r>
          </w:p>
        </w:tc>
        <w:tc>
          <w:tcPr>
            <w:tcW w:w="1473" w:type="dxa"/>
          </w:tcPr>
          <w:p w14:paraId="544F55E9">
            <w:pPr>
              <w:pStyle w:val="85"/>
              <w:rPr>
                <w:color w:val="auto"/>
                <w:sz w:val="22"/>
                <w:szCs w:val="22"/>
              </w:rPr>
            </w:pPr>
          </w:p>
        </w:tc>
      </w:tr>
      <w:tr w14:paraId="64D06D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91" w:type="dxa"/>
          </w:tcPr>
          <w:p w14:paraId="41FF7368">
            <w:pPr>
              <w:pStyle w:val="85"/>
              <w:rPr>
                <w:color w:val="auto"/>
                <w:sz w:val="22"/>
                <w:szCs w:val="22"/>
              </w:rPr>
            </w:pPr>
            <w:r>
              <w:rPr>
                <w:color w:val="auto"/>
                <w:sz w:val="22"/>
                <w:szCs w:val="22"/>
              </w:rPr>
              <w:t>Урок 11</w:t>
            </w:r>
          </w:p>
        </w:tc>
        <w:tc>
          <w:tcPr>
            <w:tcW w:w="6405" w:type="dxa"/>
          </w:tcPr>
          <w:p w14:paraId="05DF726F">
            <w:pPr>
              <w:pStyle w:val="85"/>
              <w:jc w:val="both"/>
              <w:rPr>
                <w:color w:val="auto"/>
                <w:sz w:val="22"/>
                <w:szCs w:val="22"/>
              </w:rPr>
            </w:pPr>
            <w:r>
              <w:rPr>
                <w:color w:val="auto"/>
                <w:sz w:val="22"/>
                <w:szCs w:val="22"/>
              </w:rPr>
              <w:t>Явления и объекты неживой природы</w:t>
            </w:r>
          </w:p>
        </w:tc>
        <w:tc>
          <w:tcPr>
            <w:tcW w:w="1473" w:type="dxa"/>
          </w:tcPr>
          <w:p w14:paraId="3DDA4AAE">
            <w:pPr>
              <w:pStyle w:val="85"/>
              <w:rPr>
                <w:color w:val="auto"/>
                <w:sz w:val="22"/>
                <w:szCs w:val="22"/>
              </w:rPr>
            </w:pPr>
          </w:p>
        </w:tc>
      </w:tr>
      <w:tr w14:paraId="349564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91" w:type="dxa"/>
            <w:vAlign w:val="center"/>
          </w:tcPr>
          <w:p w14:paraId="37DDCC18">
            <w:pPr>
              <w:pStyle w:val="85"/>
              <w:rPr>
                <w:color w:val="auto"/>
                <w:sz w:val="22"/>
                <w:szCs w:val="22"/>
              </w:rPr>
            </w:pPr>
            <w:r>
              <w:rPr>
                <w:color w:val="auto"/>
                <w:sz w:val="22"/>
                <w:szCs w:val="22"/>
              </w:rPr>
              <w:t>Урок 12</w:t>
            </w:r>
          </w:p>
        </w:tc>
        <w:tc>
          <w:tcPr>
            <w:tcW w:w="6405" w:type="dxa"/>
          </w:tcPr>
          <w:p w14:paraId="0D283E23">
            <w:pPr>
              <w:pStyle w:val="85"/>
              <w:jc w:val="both"/>
              <w:rPr>
                <w:color w:val="auto"/>
                <w:sz w:val="22"/>
                <w:szCs w:val="22"/>
              </w:rPr>
            </w:pPr>
            <w:r>
              <w:rPr>
                <w:color w:val="auto"/>
                <w:sz w:val="22"/>
                <w:szCs w:val="22"/>
              </w:rPr>
              <w:t>Природа и человек. Природные материалы и изделия из них. Наше творчество</w:t>
            </w:r>
          </w:p>
        </w:tc>
        <w:tc>
          <w:tcPr>
            <w:tcW w:w="1473" w:type="dxa"/>
          </w:tcPr>
          <w:p w14:paraId="2D77AC08">
            <w:pPr>
              <w:pStyle w:val="85"/>
              <w:rPr>
                <w:color w:val="auto"/>
                <w:sz w:val="22"/>
                <w:szCs w:val="22"/>
              </w:rPr>
            </w:pPr>
          </w:p>
        </w:tc>
      </w:tr>
      <w:tr w14:paraId="4BB777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91" w:type="dxa"/>
            <w:vAlign w:val="center"/>
          </w:tcPr>
          <w:p w14:paraId="6B9CDFC9">
            <w:pPr>
              <w:pStyle w:val="85"/>
              <w:rPr>
                <w:color w:val="auto"/>
                <w:sz w:val="22"/>
                <w:szCs w:val="22"/>
              </w:rPr>
            </w:pPr>
            <w:r>
              <w:rPr>
                <w:color w:val="auto"/>
                <w:sz w:val="22"/>
                <w:szCs w:val="22"/>
              </w:rPr>
              <w:t>Урок 13</w:t>
            </w:r>
          </w:p>
        </w:tc>
        <w:tc>
          <w:tcPr>
            <w:tcW w:w="6405" w:type="dxa"/>
          </w:tcPr>
          <w:p w14:paraId="6C2DFE44">
            <w:pPr>
              <w:pStyle w:val="85"/>
              <w:jc w:val="both"/>
              <w:rPr>
                <w:color w:val="auto"/>
                <w:sz w:val="22"/>
                <w:szCs w:val="22"/>
              </w:rPr>
            </w:pPr>
            <w:r>
              <w:rPr>
                <w:color w:val="auto"/>
                <w:sz w:val="22"/>
                <w:szCs w:val="22"/>
              </w:rPr>
              <w:t>Что мы знаем о растениях? Что общего у разных растений?</w:t>
            </w:r>
          </w:p>
        </w:tc>
        <w:tc>
          <w:tcPr>
            <w:tcW w:w="1473" w:type="dxa"/>
          </w:tcPr>
          <w:p w14:paraId="50A55A50">
            <w:pPr>
              <w:pStyle w:val="85"/>
              <w:rPr>
                <w:color w:val="auto"/>
                <w:sz w:val="22"/>
                <w:szCs w:val="22"/>
              </w:rPr>
            </w:pPr>
          </w:p>
        </w:tc>
      </w:tr>
      <w:tr w14:paraId="263C3F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191" w:type="dxa"/>
            <w:vAlign w:val="center"/>
          </w:tcPr>
          <w:p w14:paraId="1E1CB21C">
            <w:pPr>
              <w:pStyle w:val="85"/>
              <w:rPr>
                <w:color w:val="auto"/>
                <w:sz w:val="22"/>
                <w:szCs w:val="22"/>
              </w:rPr>
            </w:pPr>
            <w:r>
              <w:rPr>
                <w:color w:val="auto"/>
                <w:sz w:val="22"/>
                <w:szCs w:val="22"/>
              </w:rPr>
              <w:t>Урок 14</w:t>
            </w:r>
          </w:p>
        </w:tc>
        <w:tc>
          <w:tcPr>
            <w:tcW w:w="6405" w:type="dxa"/>
          </w:tcPr>
          <w:p w14:paraId="0DDA8079">
            <w:pPr>
              <w:pStyle w:val="85"/>
              <w:jc w:val="both"/>
              <w:rPr>
                <w:color w:val="auto"/>
                <w:sz w:val="22"/>
                <w:szCs w:val="22"/>
              </w:rPr>
            </w:pPr>
            <w:r>
              <w:rPr>
                <w:color w:val="auto"/>
                <w:sz w:val="22"/>
                <w:szCs w:val="22"/>
              </w:rPr>
              <w:t>Части растения. Название, краткая характеристика значения для жизни растения</w:t>
            </w:r>
          </w:p>
        </w:tc>
        <w:tc>
          <w:tcPr>
            <w:tcW w:w="1473" w:type="dxa"/>
          </w:tcPr>
          <w:p w14:paraId="104C32D2">
            <w:pPr>
              <w:pStyle w:val="85"/>
              <w:rPr>
                <w:color w:val="auto"/>
                <w:sz w:val="22"/>
                <w:szCs w:val="22"/>
              </w:rPr>
            </w:pPr>
          </w:p>
        </w:tc>
      </w:tr>
      <w:tr w14:paraId="380489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91" w:type="dxa"/>
            <w:vAlign w:val="center"/>
          </w:tcPr>
          <w:p w14:paraId="471458EA">
            <w:pPr>
              <w:pStyle w:val="85"/>
              <w:rPr>
                <w:color w:val="auto"/>
                <w:sz w:val="22"/>
                <w:szCs w:val="22"/>
              </w:rPr>
            </w:pPr>
            <w:r>
              <w:rPr>
                <w:color w:val="auto"/>
                <w:sz w:val="22"/>
                <w:szCs w:val="22"/>
              </w:rPr>
              <w:t>Урок 15</w:t>
            </w:r>
          </w:p>
        </w:tc>
        <w:tc>
          <w:tcPr>
            <w:tcW w:w="6405" w:type="dxa"/>
          </w:tcPr>
          <w:p w14:paraId="3A7A80CD">
            <w:pPr>
              <w:pStyle w:val="85"/>
              <w:jc w:val="both"/>
              <w:rPr>
                <w:color w:val="auto"/>
                <w:sz w:val="22"/>
                <w:szCs w:val="22"/>
              </w:rPr>
            </w:pPr>
            <w:r>
              <w:rPr>
                <w:color w:val="auto"/>
                <w:sz w:val="22"/>
                <w:szCs w:val="22"/>
              </w:rPr>
              <w:t>Комнатные растения. Растения в твоем доме: краткое описание</w:t>
            </w:r>
          </w:p>
        </w:tc>
        <w:tc>
          <w:tcPr>
            <w:tcW w:w="1473" w:type="dxa"/>
          </w:tcPr>
          <w:p w14:paraId="4F9A5A0B">
            <w:pPr>
              <w:pStyle w:val="85"/>
              <w:rPr>
                <w:color w:val="auto"/>
                <w:sz w:val="22"/>
                <w:szCs w:val="22"/>
              </w:rPr>
            </w:pPr>
          </w:p>
        </w:tc>
      </w:tr>
      <w:tr w14:paraId="030926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191" w:type="dxa"/>
            <w:vAlign w:val="center"/>
          </w:tcPr>
          <w:p w14:paraId="6770C601">
            <w:pPr>
              <w:pStyle w:val="85"/>
              <w:rPr>
                <w:color w:val="auto"/>
                <w:sz w:val="22"/>
                <w:szCs w:val="22"/>
              </w:rPr>
            </w:pPr>
            <w:r>
              <w:rPr>
                <w:color w:val="auto"/>
                <w:sz w:val="22"/>
                <w:szCs w:val="22"/>
              </w:rPr>
              <w:t>Урок 16</w:t>
            </w:r>
          </w:p>
        </w:tc>
        <w:tc>
          <w:tcPr>
            <w:tcW w:w="6405" w:type="dxa"/>
          </w:tcPr>
          <w:p w14:paraId="016CB827">
            <w:pPr>
              <w:pStyle w:val="85"/>
              <w:jc w:val="both"/>
              <w:rPr>
                <w:color w:val="auto"/>
                <w:sz w:val="22"/>
                <w:szCs w:val="22"/>
              </w:rPr>
            </w:pPr>
            <w:r>
              <w:rPr>
                <w:color w:val="auto"/>
                <w:sz w:val="22"/>
                <w:szCs w:val="22"/>
              </w:rPr>
              <w:t>Как мы ухаживаем за растениями (практическая работа)</w:t>
            </w:r>
          </w:p>
        </w:tc>
        <w:tc>
          <w:tcPr>
            <w:tcW w:w="1473" w:type="dxa"/>
            <w:vAlign w:val="center"/>
          </w:tcPr>
          <w:p w14:paraId="4D5D80C5">
            <w:pPr>
              <w:pStyle w:val="85"/>
              <w:jc w:val="center"/>
              <w:rPr>
                <w:color w:val="auto"/>
                <w:sz w:val="22"/>
                <w:szCs w:val="22"/>
              </w:rPr>
            </w:pPr>
            <w:r>
              <w:rPr>
                <w:color w:val="auto"/>
                <w:sz w:val="22"/>
                <w:szCs w:val="22"/>
              </w:rPr>
              <w:t>1</w:t>
            </w:r>
          </w:p>
        </w:tc>
      </w:tr>
      <w:tr w14:paraId="4C3200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91" w:type="dxa"/>
            <w:vAlign w:val="center"/>
          </w:tcPr>
          <w:p w14:paraId="0EBD9D5B">
            <w:pPr>
              <w:pStyle w:val="85"/>
              <w:rPr>
                <w:color w:val="auto"/>
                <w:sz w:val="22"/>
                <w:szCs w:val="22"/>
              </w:rPr>
            </w:pPr>
            <w:r>
              <w:rPr>
                <w:color w:val="auto"/>
                <w:sz w:val="22"/>
                <w:szCs w:val="22"/>
              </w:rPr>
              <w:t>Урок 17</w:t>
            </w:r>
          </w:p>
        </w:tc>
        <w:tc>
          <w:tcPr>
            <w:tcW w:w="6405" w:type="dxa"/>
          </w:tcPr>
          <w:p w14:paraId="117778E5">
            <w:pPr>
              <w:pStyle w:val="85"/>
              <w:jc w:val="both"/>
              <w:rPr>
                <w:color w:val="auto"/>
                <w:sz w:val="22"/>
                <w:szCs w:val="22"/>
              </w:rPr>
            </w:pPr>
            <w:r>
              <w:rPr>
                <w:color w:val="auto"/>
                <w:sz w:val="22"/>
                <w:szCs w:val="22"/>
              </w:rPr>
              <w:t>Разнообразие растений: узнавание, называние, краткое описание</w:t>
            </w:r>
          </w:p>
        </w:tc>
        <w:tc>
          <w:tcPr>
            <w:tcW w:w="1473" w:type="dxa"/>
          </w:tcPr>
          <w:p w14:paraId="41A6324F">
            <w:pPr>
              <w:pStyle w:val="85"/>
              <w:rPr>
                <w:color w:val="auto"/>
                <w:sz w:val="22"/>
                <w:szCs w:val="22"/>
              </w:rPr>
            </w:pPr>
          </w:p>
        </w:tc>
      </w:tr>
      <w:tr w14:paraId="1FA79B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191" w:type="dxa"/>
            <w:vAlign w:val="center"/>
          </w:tcPr>
          <w:p w14:paraId="72FB7B4B">
            <w:pPr>
              <w:pStyle w:val="85"/>
              <w:rPr>
                <w:color w:val="auto"/>
                <w:sz w:val="22"/>
                <w:szCs w:val="22"/>
              </w:rPr>
            </w:pPr>
            <w:r>
              <w:rPr>
                <w:color w:val="auto"/>
                <w:sz w:val="22"/>
                <w:szCs w:val="22"/>
              </w:rPr>
              <w:t>Урок 18</w:t>
            </w:r>
          </w:p>
        </w:tc>
        <w:tc>
          <w:tcPr>
            <w:tcW w:w="6405" w:type="dxa"/>
          </w:tcPr>
          <w:p w14:paraId="66BA0236">
            <w:pPr>
              <w:pStyle w:val="85"/>
              <w:jc w:val="both"/>
              <w:rPr>
                <w:color w:val="auto"/>
                <w:sz w:val="22"/>
                <w:szCs w:val="22"/>
              </w:rPr>
            </w:pPr>
            <w:r>
              <w:rPr>
                <w:color w:val="auto"/>
                <w:sz w:val="22"/>
                <w:szCs w:val="22"/>
              </w:rPr>
              <w:t>Особенности лиственных растений: узнавание, краткое описание. Лиственные растения нашего края</w:t>
            </w:r>
          </w:p>
        </w:tc>
        <w:tc>
          <w:tcPr>
            <w:tcW w:w="1473" w:type="dxa"/>
          </w:tcPr>
          <w:p w14:paraId="2323D845">
            <w:pPr>
              <w:pStyle w:val="85"/>
              <w:rPr>
                <w:color w:val="auto"/>
                <w:sz w:val="22"/>
                <w:szCs w:val="22"/>
              </w:rPr>
            </w:pPr>
          </w:p>
        </w:tc>
      </w:tr>
      <w:tr w14:paraId="4866D8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91" w:type="dxa"/>
            <w:vAlign w:val="center"/>
          </w:tcPr>
          <w:p w14:paraId="56274B06">
            <w:pPr>
              <w:pStyle w:val="85"/>
              <w:rPr>
                <w:color w:val="auto"/>
                <w:sz w:val="22"/>
                <w:szCs w:val="22"/>
              </w:rPr>
            </w:pPr>
            <w:r>
              <w:rPr>
                <w:color w:val="auto"/>
                <w:sz w:val="22"/>
                <w:szCs w:val="22"/>
              </w:rPr>
              <w:t>Урок 19</w:t>
            </w:r>
          </w:p>
        </w:tc>
        <w:tc>
          <w:tcPr>
            <w:tcW w:w="6405" w:type="dxa"/>
          </w:tcPr>
          <w:p w14:paraId="26399CB5">
            <w:pPr>
              <w:pStyle w:val="85"/>
              <w:jc w:val="both"/>
              <w:rPr>
                <w:color w:val="auto"/>
                <w:sz w:val="22"/>
                <w:szCs w:val="22"/>
              </w:rPr>
            </w:pPr>
            <w:r>
              <w:rPr>
                <w:color w:val="auto"/>
                <w:sz w:val="22"/>
                <w:szCs w:val="22"/>
              </w:rPr>
              <w:t>Особенности хвойных растений: узнавание, краткое описание. Хвойные растения нашего края</w:t>
            </w:r>
          </w:p>
        </w:tc>
        <w:tc>
          <w:tcPr>
            <w:tcW w:w="1473" w:type="dxa"/>
          </w:tcPr>
          <w:p w14:paraId="06305BA1">
            <w:pPr>
              <w:pStyle w:val="85"/>
              <w:rPr>
                <w:color w:val="auto"/>
                <w:sz w:val="22"/>
                <w:szCs w:val="22"/>
              </w:rPr>
            </w:pPr>
          </w:p>
        </w:tc>
      </w:tr>
      <w:tr w14:paraId="29EFFA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91" w:type="dxa"/>
            <w:vAlign w:val="center"/>
          </w:tcPr>
          <w:p w14:paraId="00798710">
            <w:pPr>
              <w:pStyle w:val="85"/>
              <w:rPr>
                <w:color w:val="auto"/>
                <w:sz w:val="22"/>
                <w:szCs w:val="22"/>
              </w:rPr>
            </w:pPr>
            <w:r>
              <w:rPr>
                <w:color w:val="auto"/>
                <w:sz w:val="22"/>
                <w:szCs w:val="22"/>
              </w:rPr>
              <w:t>Урок 20</w:t>
            </w:r>
          </w:p>
        </w:tc>
        <w:tc>
          <w:tcPr>
            <w:tcW w:w="6405" w:type="dxa"/>
          </w:tcPr>
          <w:p w14:paraId="3F5F0C4B">
            <w:pPr>
              <w:pStyle w:val="85"/>
              <w:jc w:val="both"/>
              <w:rPr>
                <w:color w:val="auto"/>
                <w:sz w:val="22"/>
                <w:szCs w:val="22"/>
              </w:rPr>
            </w:pPr>
            <w:r>
              <w:rPr>
                <w:color w:val="auto"/>
                <w:sz w:val="22"/>
                <w:szCs w:val="22"/>
              </w:rPr>
              <w:t>Мир животных: насекомые (узнавание, называние). Главная особенность этой группы животных</w:t>
            </w:r>
          </w:p>
        </w:tc>
        <w:tc>
          <w:tcPr>
            <w:tcW w:w="1473" w:type="dxa"/>
          </w:tcPr>
          <w:p w14:paraId="6C2D62AE">
            <w:pPr>
              <w:pStyle w:val="85"/>
              <w:rPr>
                <w:color w:val="auto"/>
                <w:sz w:val="22"/>
                <w:szCs w:val="22"/>
              </w:rPr>
            </w:pPr>
          </w:p>
        </w:tc>
      </w:tr>
      <w:tr w14:paraId="5A45DE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91" w:type="dxa"/>
            <w:vAlign w:val="center"/>
          </w:tcPr>
          <w:p w14:paraId="5F954199">
            <w:pPr>
              <w:pStyle w:val="85"/>
              <w:rPr>
                <w:color w:val="auto"/>
                <w:sz w:val="22"/>
                <w:szCs w:val="22"/>
              </w:rPr>
            </w:pPr>
            <w:r>
              <w:rPr>
                <w:color w:val="auto"/>
                <w:sz w:val="22"/>
                <w:szCs w:val="22"/>
              </w:rPr>
              <w:t>Урок 21</w:t>
            </w:r>
          </w:p>
        </w:tc>
        <w:tc>
          <w:tcPr>
            <w:tcW w:w="6405" w:type="dxa"/>
          </w:tcPr>
          <w:p w14:paraId="4D15E73D">
            <w:pPr>
              <w:pStyle w:val="85"/>
              <w:jc w:val="both"/>
              <w:rPr>
                <w:color w:val="auto"/>
                <w:sz w:val="22"/>
                <w:szCs w:val="22"/>
              </w:rPr>
            </w:pPr>
            <w:r>
              <w:rPr>
                <w:color w:val="auto"/>
                <w:sz w:val="22"/>
                <w:szCs w:val="22"/>
              </w:rPr>
              <w:t>Насекомые: сравнение, краткое описание внешнего вида</w:t>
            </w:r>
          </w:p>
        </w:tc>
        <w:tc>
          <w:tcPr>
            <w:tcW w:w="1473" w:type="dxa"/>
          </w:tcPr>
          <w:p w14:paraId="01963886">
            <w:pPr>
              <w:pStyle w:val="85"/>
              <w:rPr>
                <w:color w:val="auto"/>
                <w:sz w:val="22"/>
                <w:szCs w:val="22"/>
              </w:rPr>
            </w:pPr>
          </w:p>
        </w:tc>
      </w:tr>
      <w:tr w14:paraId="14D4B7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91" w:type="dxa"/>
            <w:vAlign w:val="center"/>
          </w:tcPr>
          <w:p w14:paraId="644E6195">
            <w:pPr>
              <w:pStyle w:val="85"/>
              <w:rPr>
                <w:color w:val="auto"/>
                <w:sz w:val="22"/>
                <w:szCs w:val="22"/>
              </w:rPr>
            </w:pPr>
            <w:r>
              <w:rPr>
                <w:color w:val="auto"/>
                <w:sz w:val="22"/>
                <w:szCs w:val="22"/>
              </w:rPr>
              <w:t>Урок 22</w:t>
            </w:r>
          </w:p>
        </w:tc>
        <w:tc>
          <w:tcPr>
            <w:tcW w:w="6405" w:type="dxa"/>
          </w:tcPr>
          <w:p w14:paraId="20BFC1E2">
            <w:pPr>
              <w:pStyle w:val="85"/>
              <w:jc w:val="both"/>
              <w:rPr>
                <w:color w:val="auto"/>
                <w:sz w:val="22"/>
                <w:szCs w:val="22"/>
              </w:rPr>
            </w:pPr>
            <w:r>
              <w:rPr>
                <w:color w:val="auto"/>
                <w:sz w:val="22"/>
                <w:szCs w:val="22"/>
              </w:rPr>
              <w:t>Какие звери живут в морях и океанах? Морские звери: узнавание, называние, краткое описание</w:t>
            </w:r>
          </w:p>
        </w:tc>
        <w:tc>
          <w:tcPr>
            <w:tcW w:w="1473" w:type="dxa"/>
          </w:tcPr>
          <w:p w14:paraId="354CE954">
            <w:pPr>
              <w:pStyle w:val="85"/>
              <w:rPr>
                <w:color w:val="auto"/>
                <w:sz w:val="22"/>
                <w:szCs w:val="22"/>
              </w:rPr>
            </w:pPr>
          </w:p>
        </w:tc>
      </w:tr>
      <w:tr w14:paraId="335016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91" w:type="dxa"/>
            <w:vAlign w:val="center"/>
          </w:tcPr>
          <w:p w14:paraId="2A0C0FB9">
            <w:pPr>
              <w:pStyle w:val="85"/>
              <w:rPr>
                <w:color w:val="auto"/>
                <w:sz w:val="22"/>
                <w:szCs w:val="22"/>
              </w:rPr>
            </w:pPr>
            <w:r>
              <w:rPr>
                <w:color w:val="auto"/>
                <w:sz w:val="22"/>
                <w:szCs w:val="22"/>
              </w:rPr>
              <w:t>Урок 23</w:t>
            </w:r>
          </w:p>
        </w:tc>
        <w:tc>
          <w:tcPr>
            <w:tcW w:w="6405" w:type="dxa"/>
          </w:tcPr>
          <w:p w14:paraId="17ED4B1D">
            <w:pPr>
              <w:pStyle w:val="85"/>
              <w:jc w:val="both"/>
              <w:rPr>
                <w:color w:val="auto"/>
                <w:sz w:val="22"/>
                <w:szCs w:val="22"/>
              </w:rPr>
            </w:pPr>
            <w:r>
              <w:rPr>
                <w:color w:val="auto"/>
                <w:sz w:val="22"/>
                <w:szCs w:val="22"/>
              </w:rPr>
              <w:t>Мир животных: рыбы пресных и соленых водоемов (сравнение, краткое описание)</w:t>
            </w:r>
          </w:p>
        </w:tc>
        <w:tc>
          <w:tcPr>
            <w:tcW w:w="1473" w:type="dxa"/>
          </w:tcPr>
          <w:p w14:paraId="3476EA1F">
            <w:pPr>
              <w:pStyle w:val="85"/>
              <w:rPr>
                <w:color w:val="auto"/>
                <w:sz w:val="22"/>
                <w:szCs w:val="22"/>
              </w:rPr>
            </w:pPr>
          </w:p>
        </w:tc>
      </w:tr>
      <w:tr w14:paraId="06BB7F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91" w:type="dxa"/>
            <w:vAlign w:val="center"/>
          </w:tcPr>
          <w:p w14:paraId="2143C349">
            <w:pPr>
              <w:pStyle w:val="85"/>
              <w:rPr>
                <w:color w:val="auto"/>
                <w:sz w:val="22"/>
                <w:szCs w:val="22"/>
              </w:rPr>
            </w:pPr>
            <w:r>
              <w:rPr>
                <w:color w:val="auto"/>
                <w:sz w:val="22"/>
                <w:szCs w:val="22"/>
              </w:rPr>
              <w:t>Урок 24</w:t>
            </w:r>
          </w:p>
        </w:tc>
        <w:tc>
          <w:tcPr>
            <w:tcW w:w="6405" w:type="dxa"/>
          </w:tcPr>
          <w:p w14:paraId="7E99ACB6">
            <w:pPr>
              <w:pStyle w:val="85"/>
              <w:jc w:val="both"/>
              <w:rPr>
                <w:color w:val="auto"/>
                <w:sz w:val="22"/>
                <w:szCs w:val="22"/>
              </w:rPr>
            </w:pPr>
            <w:r>
              <w:rPr>
                <w:color w:val="auto"/>
                <w:sz w:val="22"/>
                <w:szCs w:val="22"/>
              </w:rPr>
              <w:t>Мир животных: птицы (узнавание, называние). Главная особенность этой группы животных</w:t>
            </w:r>
          </w:p>
        </w:tc>
        <w:tc>
          <w:tcPr>
            <w:tcW w:w="1473" w:type="dxa"/>
          </w:tcPr>
          <w:p w14:paraId="4BB1E9B0">
            <w:pPr>
              <w:pStyle w:val="85"/>
              <w:rPr>
                <w:color w:val="auto"/>
                <w:sz w:val="22"/>
                <w:szCs w:val="22"/>
              </w:rPr>
            </w:pPr>
          </w:p>
        </w:tc>
      </w:tr>
      <w:tr w14:paraId="47DB38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191" w:type="dxa"/>
            <w:vAlign w:val="center"/>
          </w:tcPr>
          <w:p w14:paraId="321C66C1">
            <w:pPr>
              <w:pStyle w:val="85"/>
              <w:rPr>
                <w:color w:val="auto"/>
                <w:sz w:val="22"/>
                <w:szCs w:val="22"/>
              </w:rPr>
            </w:pPr>
            <w:r>
              <w:rPr>
                <w:color w:val="auto"/>
                <w:sz w:val="22"/>
                <w:szCs w:val="22"/>
              </w:rPr>
              <w:t>Урок 25</w:t>
            </w:r>
          </w:p>
        </w:tc>
        <w:tc>
          <w:tcPr>
            <w:tcW w:w="6405" w:type="dxa"/>
          </w:tcPr>
          <w:p w14:paraId="45C68D76">
            <w:pPr>
              <w:pStyle w:val="85"/>
              <w:jc w:val="both"/>
              <w:rPr>
                <w:color w:val="auto"/>
                <w:sz w:val="22"/>
                <w:szCs w:val="22"/>
              </w:rPr>
            </w:pPr>
            <w:r>
              <w:rPr>
                <w:color w:val="auto"/>
                <w:sz w:val="22"/>
                <w:szCs w:val="22"/>
              </w:rPr>
              <w:t>Где обитают птицы, чем они питаются. Птицы: сравнение места обитания, способа питания</w:t>
            </w:r>
          </w:p>
        </w:tc>
        <w:tc>
          <w:tcPr>
            <w:tcW w:w="1473" w:type="dxa"/>
          </w:tcPr>
          <w:p w14:paraId="65305C09">
            <w:pPr>
              <w:pStyle w:val="85"/>
              <w:rPr>
                <w:color w:val="auto"/>
                <w:sz w:val="22"/>
                <w:szCs w:val="22"/>
              </w:rPr>
            </w:pPr>
          </w:p>
        </w:tc>
      </w:tr>
      <w:tr w14:paraId="72895C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191" w:type="dxa"/>
            <w:vAlign w:val="center"/>
          </w:tcPr>
          <w:p w14:paraId="33F9BE02">
            <w:pPr>
              <w:pStyle w:val="85"/>
              <w:rPr>
                <w:color w:val="auto"/>
                <w:sz w:val="22"/>
                <w:szCs w:val="22"/>
              </w:rPr>
            </w:pPr>
            <w:r>
              <w:rPr>
                <w:color w:val="auto"/>
                <w:sz w:val="22"/>
                <w:szCs w:val="22"/>
              </w:rPr>
              <w:t>Урок 26</w:t>
            </w:r>
          </w:p>
        </w:tc>
        <w:tc>
          <w:tcPr>
            <w:tcW w:w="6405" w:type="dxa"/>
          </w:tcPr>
          <w:p w14:paraId="7786B1B7">
            <w:pPr>
              <w:pStyle w:val="85"/>
              <w:jc w:val="both"/>
              <w:rPr>
                <w:color w:val="auto"/>
                <w:sz w:val="22"/>
                <w:szCs w:val="22"/>
              </w:rPr>
            </w:pPr>
            <w:r>
              <w:rPr>
                <w:color w:val="auto"/>
                <w:sz w:val="22"/>
                <w:szCs w:val="22"/>
              </w:rPr>
              <w:t>Мир животных: звери (узнавание, называние, сравнение, краткое описание)</w:t>
            </w:r>
          </w:p>
        </w:tc>
        <w:tc>
          <w:tcPr>
            <w:tcW w:w="1473" w:type="dxa"/>
          </w:tcPr>
          <w:p w14:paraId="7EEA57DE">
            <w:pPr>
              <w:pStyle w:val="85"/>
              <w:rPr>
                <w:color w:val="auto"/>
                <w:sz w:val="22"/>
                <w:szCs w:val="22"/>
              </w:rPr>
            </w:pPr>
          </w:p>
        </w:tc>
      </w:tr>
      <w:tr w14:paraId="23AEE0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91" w:type="dxa"/>
            <w:vAlign w:val="center"/>
          </w:tcPr>
          <w:p w14:paraId="13E7D304">
            <w:pPr>
              <w:pStyle w:val="85"/>
              <w:rPr>
                <w:color w:val="auto"/>
                <w:sz w:val="22"/>
                <w:szCs w:val="22"/>
              </w:rPr>
            </w:pPr>
            <w:r>
              <w:rPr>
                <w:color w:val="auto"/>
                <w:sz w:val="22"/>
                <w:szCs w:val="22"/>
              </w:rPr>
              <w:t>Урок 27</w:t>
            </w:r>
          </w:p>
        </w:tc>
        <w:tc>
          <w:tcPr>
            <w:tcW w:w="6405" w:type="dxa"/>
          </w:tcPr>
          <w:p w14:paraId="1EA5154B">
            <w:pPr>
              <w:pStyle w:val="85"/>
              <w:jc w:val="both"/>
              <w:rPr>
                <w:color w:val="auto"/>
                <w:sz w:val="22"/>
                <w:szCs w:val="22"/>
              </w:rPr>
            </w:pPr>
            <w:r>
              <w:rPr>
                <w:color w:val="auto"/>
                <w:sz w:val="22"/>
                <w:szCs w:val="22"/>
              </w:rPr>
              <w:t>Мир животных: чем похожи все звери: главная особенность этой группы животных. Забота зверей о своих детенышах</w:t>
            </w:r>
          </w:p>
        </w:tc>
        <w:tc>
          <w:tcPr>
            <w:tcW w:w="1473" w:type="dxa"/>
          </w:tcPr>
          <w:p w14:paraId="0E1888F7">
            <w:pPr>
              <w:pStyle w:val="85"/>
              <w:rPr>
                <w:color w:val="auto"/>
                <w:sz w:val="22"/>
                <w:szCs w:val="22"/>
              </w:rPr>
            </w:pPr>
          </w:p>
        </w:tc>
      </w:tr>
      <w:tr w14:paraId="262C38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191" w:type="dxa"/>
          </w:tcPr>
          <w:p w14:paraId="60B089C5">
            <w:pPr>
              <w:pStyle w:val="85"/>
              <w:rPr>
                <w:color w:val="auto"/>
                <w:sz w:val="22"/>
                <w:szCs w:val="22"/>
              </w:rPr>
            </w:pPr>
            <w:r>
              <w:rPr>
                <w:color w:val="auto"/>
                <w:sz w:val="22"/>
                <w:szCs w:val="22"/>
              </w:rPr>
              <w:t>Урок 28</w:t>
            </w:r>
          </w:p>
        </w:tc>
        <w:tc>
          <w:tcPr>
            <w:tcW w:w="6405" w:type="dxa"/>
          </w:tcPr>
          <w:p w14:paraId="4502B436">
            <w:pPr>
              <w:pStyle w:val="85"/>
              <w:jc w:val="both"/>
              <w:rPr>
                <w:color w:val="auto"/>
                <w:sz w:val="22"/>
                <w:szCs w:val="22"/>
              </w:rPr>
            </w:pPr>
            <w:r>
              <w:rPr>
                <w:color w:val="auto"/>
                <w:sz w:val="22"/>
                <w:szCs w:val="22"/>
              </w:rPr>
              <w:t>Знакомься: электронные ресурсы школы</w:t>
            </w:r>
          </w:p>
        </w:tc>
        <w:tc>
          <w:tcPr>
            <w:tcW w:w="1473" w:type="dxa"/>
          </w:tcPr>
          <w:p w14:paraId="2CE0E918">
            <w:pPr>
              <w:pStyle w:val="85"/>
              <w:rPr>
                <w:color w:val="auto"/>
                <w:sz w:val="22"/>
                <w:szCs w:val="22"/>
              </w:rPr>
            </w:pPr>
          </w:p>
        </w:tc>
      </w:tr>
      <w:tr w14:paraId="482A9B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91" w:type="dxa"/>
          </w:tcPr>
          <w:p w14:paraId="081A46A5">
            <w:pPr>
              <w:pStyle w:val="85"/>
              <w:rPr>
                <w:color w:val="auto"/>
                <w:sz w:val="22"/>
                <w:szCs w:val="22"/>
              </w:rPr>
            </w:pPr>
            <w:r>
              <w:rPr>
                <w:color w:val="auto"/>
                <w:sz w:val="22"/>
                <w:szCs w:val="22"/>
              </w:rPr>
              <w:t>Урок 29</w:t>
            </w:r>
          </w:p>
        </w:tc>
        <w:tc>
          <w:tcPr>
            <w:tcW w:w="6405" w:type="dxa"/>
          </w:tcPr>
          <w:p w14:paraId="63A26FEA">
            <w:pPr>
              <w:pStyle w:val="85"/>
              <w:jc w:val="both"/>
              <w:rPr>
                <w:color w:val="auto"/>
                <w:sz w:val="22"/>
                <w:szCs w:val="22"/>
              </w:rPr>
            </w:pPr>
            <w:r>
              <w:rPr>
                <w:color w:val="auto"/>
                <w:sz w:val="22"/>
                <w:szCs w:val="22"/>
              </w:rPr>
              <w:t>Ты - пешеход!</w:t>
            </w:r>
          </w:p>
        </w:tc>
        <w:tc>
          <w:tcPr>
            <w:tcW w:w="1473" w:type="dxa"/>
          </w:tcPr>
          <w:p w14:paraId="2A9F08BD">
            <w:pPr>
              <w:pStyle w:val="85"/>
              <w:rPr>
                <w:color w:val="auto"/>
                <w:sz w:val="22"/>
                <w:szCs w:val="22"/>
              </w:rPr>
            </w:pPr>
          </w:p>
        </w:tc>
      </w:tr>
      <w:tr w14:paraId="249008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91" w:type="dxa"/>
          </w:tcPr>
          <w:p w14:paraId="5F9F1FC0">
            <w:pPr>
              <w:pStyle w:val="85"/>
              <w:rPr>
                <w:color w:val="auto"/>
                <w:sz w:val="22"/>
                <w:szCs w:val="22"/>
              </w:rPr>
            </w:pPr>
            <w:r>
              <w:rPr>
                <w:color w:val="auto"/>
                <w:sz w:val="22"/>
                <w:szCs w:val="22"/>
              </w:rPr>
              <w:t>Урок 30</w:t>
            </w:r>
          </w:p>
        </w:tc>
        <w:tc>
          <w:tcPr>
            <w:tcW w:w="6405" w:type="dxa"/>
          </w:tcPr>
          <w:p w14:paraId="1DF0A72E">
            <w:pPr>
              <w:pStyle w:val="85"/>
              <w:jc w:val="both"/>
              <w:rPr>
                <w:color w:val="auto"/>
                <w:sz w:val="22"/>
                <w:szCs w:val="22"/>
              </w:rPr>
            </w:pPr>
            <w:r>
              <w:rPr>
                <w:color w:val="auto"/>
                <w:sz w:val="22"/>
                <w:szCs w:val="22"/>
              </w:rPr>
              <w:t>Знаки дорожного движения</w:t>
            </w:r>
          </w:p>
        </w:tc>
        <w:tc>
          <w:tcPr>
            <w:tcW w:w="1473" w:type="dxa"/>
          </w:tcPr>
          <w:p w14:paraId="54A2FDBB">
            <w:pPr>
              <w:pStyle w:val="85"/>
              <w:rPr>
                <w:color w:val="auto"/>
                <w:sz w:val="22"/>
                <w:szCs w:val="22"/>
              </w:rPr>
            </w:pPr>
          </w:p>
        </w:tc>
      </w:tr>
      <w:tr w14:paraId="431B6D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91" w:type="dxa"/>
            <w:vAlign w:val="center"/>
          </w:tcPr>
          <w:p w14:paraId="548D802D">
            <w:pPr>
              <w:pStyle w:val="85"/>
              <w:rPr>
                <w:color w:val="auto"/>
                <w:sz w:val="22"/>
                <w:szCs w:val="22"/>
              </w:rPr>
            </w:pPr>
            <w:r>
              <w:rPr>
                <w:color w:val="auto"/>
                <w:sz w:val="22"/>
                <w:szCs w:val="22"/>
              </w:rPr>
              <w:t>Урок 31</w:t>
            </w:r>
          </w:p>
        </w:tc>
        <w:tc>
          <w:tcPr>
            <w:tcW w:w="6405" w:type="dxa"/>
          </w:tcPr>
          <w:p w14:paraId="6EB3119C">
            <w:pPr>
              <w:pStyle w:val="85"/>
              <w:jc w:val="both"/>
              <w:rPr>
                <w:color w:val="auto"/>
                <w:sz w:val="22"/>
                <w:szCs w:val="22"/>
              </w:rPr>
            </w:pPr>
            <w:r>
              <w:rPr>
                <w:color w:val="auto"/>
                <w:sz w:val="22"/>
                <w:szCs w:val="22"/>
              </w:rPr>
              <w:t>Родной край - малая Родина. Первоначальные сведения о родном крае: название. Моя малая родина</w:t>
            </w:r>
          </w:p>
        </w:tc>
        <w:tc>
          <w:tcPr>
            <w:tcW w:w="1473" w:type="dxa"/>
          </w:tcPr>
          <w:p w14:paraId="0843A69C">
            <w:pPr>
              <w:pStyle w:val="85"/>
              <w:rPr>
                <w:color w:val="auto"/>
                <w:sz w:val="22"/>
                <w:szCs w:val="22"/>
              </w:rPr>
            </w:pPr>
          </w:p>
        </w:tc>
      </w:tr>
      <w:tr w14:paraId="4AA748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91" w:type="dxa"/>
          </w:tcPr>
          <w:p w14:paraId="3A7A94A8">
            <w:pPr>
              <w:pStyle w:val="85"/>
              <w:rPr>
                <w:color w:val="auto"/>
                <w:sz w:val="22"/>
                <w:szCs w:val="22"/>
              </w:rPr>
            </w:pPr>
            <w:r>
              <w:rPr>
                <w:color w:val="auto"/>
                <w:sz w:val="22"/>
                <w:szCs w:val="22"/>
              </w:rPr>
              <w:t>Урок 32</w:t>
            </w:r>
          </w:p>
        </w:tc>
        <w:tc>
          <w:tcPr>
            <w:tcW w:w="6405" w:type="dxa"/>
          </w:tcPr>
          <w:p w14:paraId="7C65951A">
            <w:pPr>
              <w:pStyle w:val="85"/>
              <w:jc w:val="both"/>
              <w:rPr>
                <w:color w:val="auto"/>
                <w:sz w:val="22"/>
                <w:szCs w:val="22"/>
              </w:rPr>
            </w:pPr>
            <w:r>
              <w:rPr>
                <w:color w:val="auto"/>
                <w:sz w:val="22"/>
                <w:szCs w:val="22"/>
              </w:rPr>
              <w:t>Культурные объекты родного края</w:t>
            </w:r>
          </w:p>
        </w:tc>
        <w:tc>
          <w:tcPr>
            <w:tcW w:w="1473" w:type="dxa"/>
          </w:tcPr>
          <w:p w14:paraId="51AB1C9A">
            <w:pPr>
              <w:pStyle w:val="85"/>
              <w:rPr>
                <w:color w:val="auto"/>
                <w:sz w:val="22"/>
                <w:szCs w:val="22"/>
              </w:rPr>
            </w:pPr>
          </w:p>
        </w:tc>
      </w:tr>
      <w:tr w14:paraId="43445D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191" w:type="dxa"/>
            <w:vAlign w:val="center"/>
          </w:tcPr>
          <w:p w14:paraId="309043E8">
            <w:pPr>
              <w:pStyle w:val="85"/>
              <w:rPr>
                <w:color w:val="auto"/>
                <w:sz w:val="22"/>
                <w:szCs w:val="22"/>
              </w:rPr>
            </w:pPr>
            <w:r>
              <w:rPr>
                <w:color w:val="auto"/>
                <w:sz w:val="22"/>
                <w:szCs w:val="22"/>
              </w:rPr>
              <w:t>Урок 33</w:t>
            </w:r>
          </w:p>
        </w:tc>
        <w:tc>
          <w:tcPr>
            <w:tcW w:w="6405" w:type="dxa"/>
          </w:tcPr>
          <w:p w14:paraId="16FB95DE">
            <w:pPr>
              <w:pStyle w:val="85"/>
              <w:jc w:val="both"/>
              <w:rPr>
                <w:color w:val="auto"/>
                <w:sz w:val="22"/>
                <w:szCs w:val="22"/>
              </w:rPr>
            </w:pPr>
            <w:r>
              <w:rPr>
                <w:color w:val="auto"/>
                <w:sz w:val="22"/>
                <w:szCs w:val="22"/>
              </w:rPr>
              <w:t>Домашние и дикие животные. Различия в условиях жизни</w:t>
            </w:r>
          </w:p>
        </w:tc>
        <w:tc>
          <w:tcPr>
            <w:tcW w:w="1473" w:type="dxa"/>
          </w:tcPr>
          <w:p w14:paraId="723DCA00">
            <w:pPr>
              <w:pStyle w:val="85"/>
              <w:rPr>
                <w:color w:val="auto"/>
                <w:sz w:val="22"/>
                <w:szCs w:val="22"/>
              </w:rPr>
            </w:pPr>
          </w:p>
        </w:tc>
      </w:tr>
      <w:tr w14:paraId="4C22B0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91" w:type="dxa"/>
            <w:vAlign w:val="center"/>
          </w:tcPr>
          <w:p w14:paraId="14B45C9A">
            <w:pPr>
              <w:pStyle w:val="85"/>
              <w:rPr>
                <w:color w:val="auto"/>
                <w:sz w:val="22"/>
                <w:szCs w:val="22"/>
              </w:rPr>
            </w:pPr>
            <w:r>
              <w:rPr>
                <w:color w:val="auto"/>
                <w:sz w:val="22"/>
                <w:szCs w:val="22"/>
              </w:rPr>
              <w:t>Урок 34</w:t>
            </w:r>
          </w:p>
        </w:tc>
        <w:tc>
          <w:tcPr>
            <w:tcW w:w="6405" w:type="dxa"/>
          </w:tcPr>
          <w:p w14:paraId="5FDC054B">
            <w:pPr>
              <w:pStyle w:val="85"/>
              <w:jc w:val="both"/>
              <w:rPr>
                <w:color w:val="auto"/>
                <w:sz w:val="22"/>
                <w:szCs w:val="22"/>
              </w:rPr>
            </w:pPr>
            <w:r>
              <w:rPr>
                <w:color w:val="auto"/>
                <w:sz w:val="22"/>
                <w:szCs w:val="22"/>
              </w:rPr>
              <w:t>Резервный урок. Повторение изученного по разделу "Человек и общество"</w:t>
            </w:r>
          </w:p>
        </w:tc>
        <w:tc>
          <w:tcPr>
            <w:tcW w:w="1473" w:type="dxa"/>
          </w:tcPr>
          <w:p w14:paraId="38A0C88E">
            <w:pPr>
              <w:pStyle w:val="85"/>
              <w:rPr>
                <w:color w:val="auto"/>
                <w:sz w:val="22"/>
                <w:szCs w:val="22"/>
              </w:rPr>
            </w:pPr>
          </w:p>
        </w:tc>
      </w:tr>
      <w:tr w14:paraId="34BC56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191" w:type="dxa"/>
          </w:tcPr>
          <w:p w14:paraId="54E709ED">
            <w:pPr>
              <w:pStyle w:val="85"/>
              <w:rPr>
                <w:color w:val="auto"/>
                <w:sz w:val="22"/>
                <w:szCs w:val="22"/>
              </w:rPr>
            </w:pPr>
            <w:r>
              <w:rPr>
                <w:color w:val="auto"/>
                <w:sz w:val="22"/>
                <w:szCs w:val="22"/>
              </w:rPr>
              <w:t>Урок 35</w:t>
            </w:r>
          </w:p>
        </w:tc>
        <w:tc>
          <w:tcPr>
            <w:tcW w:w="6405" w:type="dxa"/>
          </w:tcPr>
          <w:p w14:paraId="76139EF2">
            <w:pPr>
              <w:pStyle w:val="85"/>
              <w:jc w:val="both"/>
              <w:rPr>
                <w:color w:val="auto"/>
                <w:sz w:val="22"/>
                <w:szCs w:val="22"/>
              </w:rPr>
            </w:pPr>
            <w:r>
              <w:rPr>
                <w:color w:val="auto"/>
                <w:sz w:val="22"/>
                <w:szCs w:val="22"/>
              </w:rPr>
              <w:t>Семья - коллектив. Права и обязанности членов семьи</w:t>
            </w:r>
          </w:p>
        </w:tc>
        <w:tc>
          <w:tcPr>
            <w:tcW w:w="1473" w:type="dxa"/>
          </w:tcPr>
          <w:p w14:paraId="134514D5">
            <w:pPr>
              <w:pStyle w:val="85"/>
              <w:rPr>
                <w:color w:val="auto"/>
                <w:sz w:val="22"/>
                <w:szCs w:val="22"/>
              </w:rPr>
            </w:pPr>
          </w:p>
        </w:tc>
      </w:tr>
      <w:tr w14:paraId="624B31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91" w:type="dxa"/>
            <w:vAlign w:val="center"/>
          </w:tcPr>
          <w:p w14:paraId="13ED1267">
            <w:pPr>
              <w:pStyle w:val="85"/>
              <w:rPr>
                <w:color w:val="auto"/>
                <w:sz w:val="22"/>
                <w:szCs w:val="22"/>
              </w:rPr>
            </w:pPr>
            <w:r>
              <w:rPr>
                <w:color w:val="auto"/>
                <w:sz w:val="22"/>
                <w:szCs w:val="22"/>
              </w:rPr>
              <w:t>Урок 36</w:t>
            </w:r>
          </w:p>
        </w:tc>
        <w:tc>
          <w:tcPr>
            <w:tcW w:w="6405" w:type="dxa"/>
            <w:vAlign w:val="center"/>
          </w:tcPr>
          <w:p w14:paraId="5FA28E20">
            <w:pPr>
              <w:pStyle w:val="85"/>
              <w:jc w:val="both"/>
              <w:rPr>
                <w:color w:val="auto"/>
                <w:sz w:val="22"/>
                <w:szCs w:val="22"/>
              </w:rPr>
            </w:pPr>
            <w:r>
              <w:rPr>
                <w:color w:val="auto"/>
                <w:sz w:val="22"/>
                <w:szCs w:val="22"/>
              </w:rPr>
              <w:t>Значение природы в жизни людей</w:t>
            </w:r>
          </w:p>
        </w:tc>
        <w:tc>
          <w:tcPr>
            <w:tcW w:w="1473" w:type="dxa"/>
          </w:tcPr>
          <w:p w14:paraId="773CC785">
            <w:pPr>
              <w:pStyle w:val="85"/>
              <w:rPr>
                <w:color w:val="auto"/>
                <w:sz w:val="22"/>
                <w:szCs w:val="22"/>
              </w:rPr>
            </w:pPr>
          </w:p>
        </w:tc>
      </w:tr>
      <w:tr w14:paraId="60CDB9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191" w:type="dxa"/>
            <w:vAlign w:val="center"/>
          </w:tcPr>
          <w:p w14:paraId="009C73AD">
            <w:pPr>
              <w:pStyle w:val="85"/>
              <w:rPr>
                <w:color w:val="auto"/>
                <w:sz w:val="22"/>
                <w:szCs w:val="22"/>
              </w:rPr>
            </w:pPr>
            <w:r>
              <w:rPr>
                <w:color w:val="auto"/>
                <w:sz w:val="22"/>
                <w:szCs w:val="22"/>
              </w:rPr>
              <w:t>Урок 37</w:t>
            </w:r>
          </w:p>
        </w:tc>
        <w:tc>
          <w:tcPr>
            <w:tcW w:w="6405" w:type="dxa"/>
          </w:tcPr>
          <w:p w14:paraId="3D6A29E8">
            <w:pPr>
              <w:pStyle w:val="85"/>
              <w:jc w:val="both"/>
              <w:rPr>
                <w:color w:val="auto"/>
                <w:sz w:val="22"/>
                <w:szCs w:val="22"/>
              </w:rPr>
            </w:pPr>
            <w:r>
              <w:rPr>
                <w:color w:val="auto"/>
                <w:sz w:val="22"/>
                <w:szCs w:val="22"/>
              </w:rPr>
              <w:t>Бытовые электрические и газовые приборы: правила безопасного использования. Поведение в экстремальных ситуациях. Номера телефонов экстренных служб</w:t>
            </w:r>
          </w:p>
        </w:tc>
        <w:tc>
          <w:tcPr>
            <w:tcW w:w="1473" w:type="dxa"/>
          </w:tcPr>
          <w:p w14:paraId="228E6533">
            <w:pPr>
              <w:pStyle w:val="85"/>
              <w:rPr>
                <w:color w:val="auto"/>
                <w:sz w:val="22"/>
                <w:szCs w:val="22"/>
              </w:rPr>
            </w:pPr>
          </w:p>
        </w:tc>
      </w:tr>
      <w:tr w14:paraId="0BC91E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191" w:type="dxa"/>
            <w:vAlign w:val="center"/>
          </w:tcPr>
          <w:p w14:paraId="33B6C1A6">
            <w:pPr>
              <w:pStyle w:val="85"/>
              <w:rPr>
                <w:color w:val="auto"/>
                <w:sz w:val="22"/>
                <w:szCs w:val="22"/>
              </w:rPr>
            </w:pPr>
            <w:r>
              <w:rPr>
                <w:color w:val="auto"/>
                <w:sz w:val="22"/>
                <w:szCs w:val="22"/>
              </w:rPr>
              <w:t>Урок 38</w:t>
            </w:r>
          </w:p>
        </w:tc>
        <w:tc>
          <w:tcPr>
            <w:tcW w:w="6405" w:type="dxa"/>
          </w:tcPr>
          <w:p w14:paraId="108C2046">
            <w:pPr>
              <w:pStyle w:val="85"/>
              <w:jc w:val="both"/>
              <w:rPr>
                <w:color w:val="auto"/>
                <w:sz w:val="22"/>
                <w:szCs w:val="22"/>
              </w:rPr>
            </w:pPr>
            <w:r>
              <w:rPr>
                <w:color w:val="auto"/>
                <w:sz w:val="22"/>
                <w:szCs w:val="22"/>
              </w:rPr>
              <w:t>Наблюдение за погодой. Анализ результатов наблюдений</w:t>
            </w:r>
          </w:p>
        </w:tc>
        <w:tc>
          <w:tcPr>
            <w:tcW w:w="1473" w:type="dxa"/>
          </w:tcPr>
          <w:p w14:paraId="0082EB7F">
            <w:pPr>
              <w:pStyle w:val="85"/>
              <w:rPr>
                <w:color w:val="auto"/>
                <w:sz w:val="22"/>
                <w:szCs w:val="22"/>
              </w:rPr>
            </w:pPr>
          </w:p>
        </w:tc>
      </w:tr>
      <w:tr w14:paraId="69EA04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91" w:type="dxa"/>
            <w:vAlign w:val="center"/>
          </w:tcPr>
          <w:p w14:paraId="3FB1F398">
            <w:pPr>
              <w:pStyle w:val="85"/>
              <w:rPr>
                <w:color w:val="auto"/>
                <w:sz w:val="22"/>
                <w:szCs w:val="22"/>
              </w:rPr>
            </w:pPr>
            <w:r>
              <w:rPr>
                <w:color w:val="auto"/>
                <w:sz w:val="22"/>
                <w:szCs w:val="22"/>
              </w:rPr>
              <w:t>Урок 39</w:t>
            </w:r>
          </w:p>
        </w:tc>
        <w:tc>
          <w:tcPr>
            <w:tcW w:w="6405" w:type="dxa"/>
          </w:tcPr>
          <w:p w14:paraId="3936F846">
            <w:pPr>
              <w:pStyle w:val="85"/>
              <w:jc w:val="both"/>
              <w:rPr>
                <w:color w:val="auto"/>
                <w:sz w:val="22"/>
                <w:szCs w:val="22"/>
              </w:rPr>
            </w:pPr>
            <w:r>
              <w:rPr>
                <w:color w:val="auto"/>
                <w:sz w:val="22"/>
                <w:szCs w:val="22"/>
              </w:rPr>
              <w:t>Что такое термометр. Измерение температуры воздуха и воды как способы определения состояния погоды</w:t>
            </w:r>
          </w:p>
        </w:tc>
        <w:tc>
          <w:tcPr>
            <w:tcW w:w="1473" w:type="dxa"/>
          </w:tcPr>
          <w:p w14:paraId="5C4F85AE">
            <w:pPr>
              <w:pStyle w:val="85"/>
              <w:rPr>
                <w:color w:val="auto"/>
                <w:sz w:val="22"/>
                <w:szCs w:val="22"/>
              </w:rPr>
            </w:pPr>
          </w:p>
        </w:tc>
      </w:tr>
      <w:tr w14:paraId="41D5C7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91" w:type="dxa"/>
            <w:vAlign w:val="center"/>
          </w:tcPr>
          <w:p w14:paraId="341F5B3E">
            <w:pPr>
              <w:pStyle w:val="85"/>
              <w:rPr>
                <w:color w:val="auto"/>
                <w:sz w:val="22"/>
                <w:szCs w:val="22"/>
              </w:rPr>
            </w:pPr>
            <w:r>
              <w:rPr>
                <w:color w:val="auto"/>
                <w:sz w:val="22"/>
                <w:szCs w:val="22"/>
              </w:rPr>
              <w:t>Урок 40</w:t>
            </w:r>
          </w:p>
        </w:tc>
        <w:tc>
          <w:tcPr>
            <w:tcW w:w="6405" w:type="dxa"/>
          </w:tcPr>
          <w:p w14:paraId="0CD2BC85">
            <w:pPr>
              <w:pStyle w:val="85"/>
              <w:jc w:val="both"/>
              <w:rPr>
                <w:color w:val="auto"/>
                <w:sz w:val="22"/>
                <w:szCs w:val="22"/>
              </w:rPr>
            </w:pPr>
            <w:r>
              <w:rPr>
                <w:color w:val="auto"/>
                <w:sz w:val="22"/>
                <w:szCs w:val="22"/>
              </w:rPr>
              <w:t>Практические занятия: измерение температуры воздуха и воды в разных условиях (в комнате, на улице)</w:t>
            </w:r>
          </w:p>
        </w:tc>
        <w:tc>
          <w:tcPr>
            <w:tcW w:w="1473" w:type="dxa"/>
            <w:vAlign w:val="center"/>
          </w:tcPr>
          <w:p w14:paraId="445445C4">
            <w:pPr>
              <w:pStyle w:val="85"/>
              <w:jc w:val="center"/>
              <w:rPr>
                <w:color w:val="auto"/>
                <w:sz w:val="22"/>
                <w:szCs w:val="22"/>
              </w:rPr>
            </w:pPr>
            <w:r>
              <w:rPr>
                <w:color w:val="auto"/>
                <w:sz w:val="22"/>
                <w:szCs w:val="22"/>
              </w:rPr>
              <w:t>1</w:t>
            </w:r>
          </w:p>
        </w:tc>
      </w:tr>
      <w:tr w14:paraId="10A7BC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91" w:type="dxa"/>
            <w:vAlign w:val="center"/>
          </w:tcPr>
          <w:p w14:paraId="52E77866">
            <w:pPr>
              <w:pStyle w:val="85"/>
              <w:rPr>
                <w:color w:val="auto"/>
                <w:sz w:val="22"/>
                <w:szCs w:val="22"/>
              </w:rPr>
            </w:pPr>
            <w:r>
              <w:rPr>
                <w:color w:val="auto"/>
                <w:sz w:val="22"/>
                <w:szCs w:val="22"/>
              </w:rPr>
              <w:t>Урок 41</w:t>
            </w:r>
          </w:p>
        </w:tc>
        <w:tc>
          <w:tcPr>
            <w:tcW w:w="6405" w:type="dxa"/>
            <w:vAlign w:val="bottom"/>
          </w:tcPr>
          <w:p w14:paraId="6BF2B174">
            <w:pPr>
              <w:pStyle w:val="85"/>
              <w:jc w:val="both"/>
              <w:rPr>
                <w:color w:val="auto"/>
                <w:sz w:val="22"/>
                <w:szCs w:val="22"/>
              </w:rPr>
            </w:pPr>
            <w:r>
              <w:rPr>
                <w:color w:val="auto"/>
                <w:sz w:val="22"/>
                <w:szCs w:val="22"/>
              </w:rPr>
              <w:t>Резервный урок. Откуда в снежках грязь?</w:t>
            </w:r>
          </w:p>
        </w:tc>
        <w:tc>
          <w:tcPr>
            <w:tcW w:w="1473" w:type="dxa"/>
          </w:tcPr>
          <w:p w14:paraId="5978DB11">
            <w:pPr>
              <w:pStyle w:val="85"/>
              <w:rPr>
                <w:color w:val="auto"/>
                <w:sz w:val="22"/>
                <w:szCs w:val="22"/>
              </w:rPr>
            </w:pPr>
          </w:p>
        </w:tc>
      </w:tr>
      <w:tr w14:paraId="0F65DD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91" w:type="dxa"/>
          </w:tcPr>
          <w:p w14:paraId="3EA4F38E">
            <w:pPr>
              <w:pStyle w:val="85"/>
              <w:rPr>
                <w:color w:val="auto"/>
                <w:sz w:val="22"/>
                <w:szCs w:val="22"/>
              </w:rPr>
            </w:pPr>
            <w:r>
              <w:rPr>
                <w:color w:val="auto"/>
                <w:sz w:val="22"/>
                <w:szCs w:val="22"/>
              </w:rPr>
              <w:t>Урок 42</w:t>
            </w:r>
          </w:p>
        </w:tc>
        <w:tc>
          <w:tcPr>
            <w:tcW w:w="6405" w:type="dxa"/>
          </w:tcPr>
          <w:p w14:paraId="1DFDEEB8">
            <w:pPr>
              <w:pStyle w:val="85"/>
              <w:jc w:val="both"/>
              <w:rPr>
                <w:color w:val="auto"/>
                <w:sz w:val="22"/>
                <w:szCs w:val="22"/>
              </w:rPr>
            </w:pPr>
            <w:r>
              <w:rPr>
                <w:color w:val="auto"/>
                <w:sz w:val="22"/>
                <w:szCs w:val="22"/>
              </w:rPr>
              <w:t>Как живут растения?</w:t>
            </w:r>
          </w:p>
        </w:tc>
        <w:tc>
          <w:tcPr>
            <w:tcW w:w="1473" w:type="dxa"/>
          </w:tcPr>
          <w:p w14:paraId="743C5FA4">
            <w:pPr>
              <w:pStyle w:val="85"/>
              <w:rPr>
                <w:color w:val="auto"/>
                <w:sz w:val="22"/>
                <w:szCs w:val="22"/>
              </w:rPr>
            </w:pPr>
          </w:p>
        </w:tc>
      </w:tr>
      <w:tr w14:paraId="55D6D0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191" w:type="dxa"/>
            <w:vAlign w:val="center"/>
          </w:tcPr>
          <w:p w14:paraId="02E7CA78">
            <w:pPr>
              <w:pStyle w:val="85"/>
              <w:rPr>
                <w:color w:val="auto"/>
                <w:sz w:val="22"/>
                <w:szCs w:val="22"/>
              </w:rPr>
            </w:pPr>
            <w:r>
              <w:rPr>
                <w:color w:val="auto"/>
                <w:sz w:val="22"/>
                <w:szCs w:val="22"/>
              </w:rPr>
              <w:t>Урок 43</w:t>
            </w:r>
          </w:p>
        </w:tc>
        <w:tc>
          <w:tcPr>
            <w:tcW w:w="6405" w:type="dxa"/>
          </w:tcPr>
          <w:p w14:paraId="089F857F">
            <w:pPr>
              <w:pStyle w:val="85"/>
              <w:jc w:val="both"/>
              <w:rPr>
                <w:color w:val="auto"/>
                <w:sz w:val="22"/>
                <w:szCs w:val="22"/>
              </w:rPr>
            </w:pPr>
            <w:r>
              <w:rPr>
                <w:color w:val="auto"/>
                <w:sz w:val="22"/>
                <w:szCs w:val="22"/>
              </w:rPr>
              <w:t>Многообразие мира животных. Какие животные живут в нашем регионе?</w:t>
            </w:r>
          </w:p>
        </w:tc>
        <w:tc>
          <w:tcPr>
            <w:tcW w:w="1473" w:type="dxa"/>
          </w:tcPr>
          <w:p w14:paraId="29139AD6">
            <w:pPr>
              <w:pStyle w:val="85"/>
              <w:rPr>
                <w:color w:val="auto"/>
                <w:sz w:val="22"/>
                <w:szCs w:val="22"/>
              </w:rPr>
            </w:pPr>
          </w:p>
        </w:tc>
      </w:tr>
      <w:tr w14:paraId="2AEAFF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91" w:type="dxa"/>
            <w:vAlign w:val="center"/>
          </w:tcPr>
          <w:p w14:paraId="1486DC50">
            <w:pPr>
              <w:pStyle w:val="85"/>
              <w:rPr>
                <w:color w:val="auto"/>
                <w:sz w:val="22"/>
                <w:szCs w:val="22"/>
              </w:rPr>
            </w:pPr>
            <w:r>
              <w:rPr>
                <w:color w:val="auto"/>
                <w:sz w:val="22"/>
                <w:szCs w:val="22"/>
              </w:rPr>
              <w:t>Урок 44</w:t>
            </w:r>
          </w:p>
        </w:tc>
        <w:tc>
          <w:tcPr>
            <w:tcW w:w="6405" w:type="dxa"/>
          </w:tcPr>
          <w:p w14:paraId="4FD16038">
            <w:pPr>
              <w:pStyle w:val="85"/>
              <w:jc w:val="both"/>
              <w:rPr>
                <w:color w:val="auto"/>
                <w:sz w:val="22"/>
                <w:szCs w:val="22"/>
              </w:rPr>
            </w:pPr>
            <w:r>
              <w:rPr>
                <w:color w:val="auto"/>
                <w:sz w:val="22"/>
                <w:szCs w:val="22"/>
              </w:rPr>
              <w:t>Времена года: наблюдения за особенностью погоды, жизнью растительного и животного мира осенью</w:t>
            </w:r>
          </w:p>
        </w:tc>
        <w:tc>
          <w:tcPr>
            <w:tcW w:w="1473" w:type="dxa"/>
          </w:tcPr>
          <w:p w14:paraId="0BA7D9F6">
            <w:pPr>
              <w:pStyle w:val="85"/>
              <w:rPr>
                <w:color w:val="auto"/>
                <w:sz w:val="22"/>
                <w:szCs w:val="22"/>
              </w:rPr>
            </w:pPr>
          </w:p>
        </w:tc>
      </w:tr>
      <w:tr w14:paraId="3A89FB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191" w:type="dxa"/>
            <w:vAlign w:val="center"/>
          </w:tcPr>
          <w:p w14:paraId="41A875B0">
            <w:pPr>
              <w:pStyle w:val="85"/>
              <w:rPr>
                <w:color w:val="auto"/>
                <w:sz w:val="22"/>
                <w:szCs w:val="22"/>
              </w:rPr>
            </w:pPr>
            <w:r>
              <w:rPr>
                <w:color w:val="auto"/>
                <w:sz w:val="22"/>
                <w:szCs w:val="22"/>
              </w:rPr>
              <w:t>Урок 45</w:t>
            </w:r>
          </w:p>
        </w:tc>
        <w:tc>
          <w:tcPr>
            <w:tcW w:w="6405" w:type="dxa"/>
          </w:tcPr>
          <w:p w14:paraId="46EF3DF4">
            <w:pPr>
              <w:pStyle w:val="85"/>
              <w:jc w:val="both"/>
              <w:rPr>
                <w:color w:val="auto"/>
                <w:sz w:val="22"/>
                <w:szCs w:val="22"/>
              </w:rPr>
            </w:pPr>
            <w:r>
              <w:rPr>
                <w:color w:val="auto"/>
                <w:sz w:val="22"/>
                <w:szCs w:val="22"/>
              </w:rPr>
              <w:t>Резервный урок. Откуда берется и куда девается мусор?</w:t>
            </w:r>
          </w:p>
        </w:tc>
        <w:tc>
          <w:tcPr>
            <w:tcW w:w="1473" w:type="dxa"/>
          </w:tcPr>
          <w:p w14:paraId="021A478B">
            <w:pPr>
              <w:pStyle w:val="85"/>
              <w:rPr>
                <w:color w:val="auto"/>
                <w:sz w:val="22"/>
                <w:szCs w:val="22"/>
              </w:rPr>
            </w:pPr>
          </w:p>
        </w:tc>
      </w:tr>
      <w:tr w14:paraId="2BACF0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91" w:type="dxa"/>
            <w:vAlign w:val="center"/>
          </w:tcPr>
          <w:p w14:paraId="18D175B9">
            <w:pPr>
              <w:pStyle w:val="85"/>
              <w:rPr>
                <w:color w:val="auto"/>
                <w:sz w:val="22"/>
                <w:szCs w:val="22"/>
              </w:rPr>
            </w:pPr>
            <w:r>
              <w:rPr>
                <w:color w:val="auto"/>
                <w:sz w:val="22"/>
                <w:szCs w:val="22"/>
              </w:rPr>
              <w:t>Урок 46</w:t>
            </w:r>
          </w:p>
        </w:tc>
        <w:tc>
          <w:tcPr>
            <w:tcW w:w="6405" w:type="dxa"/>
          </w:tcPr>
          <w:p w14:paraId="50BDE94B">
            <w:pPr>
              <w:pStyle w:val="85"/>
              <w:jc w:val="both"/>
              <w:rPr>
                <w:color w:val="auto"/>
                <w:sz w:val="22"/>
                <w:szCs w:val="22"/>
              </w:rPr>
            </w:pPr>
            <w:r>
              <w:rPr>
                <w:color w:val="auto"/>
                <w:sz w:val="22"/>
                <w:szCs w:val="22"/>
              </w:rPr>
              <w:t>Классный коллектив. Мои друзья - одноклассники. Правила совместной деятельности</w:t>
            </w:r>
          </w:p>
        </w:tc>
        <w:tc>
          <w:tcPr>
            <w:tcW w:w="1473" w:type="dxa"/>
          </w:tcPr>
          <w:p w14:paraId="70768E3F">
            <w:pPr>
              <w:pStyle w:val="85"/>
              <w:rPr>
                <w:color w:val="auto"/>
                <w:sz w:val="22"/>
                <w:szCs w:val="22"/>
              </w:rPr>
            </w:pPr>
          </w:p>
        </w:tc>
      </w:tr>
      <w:tr w14:paraId="4C85D8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91" w:type="dxa"/>
            <w:vAlign w:val="center"/>
          </w:tcPr>
          <w:p w14:paraId="600B16FC">
            <w:pPr>
              <w:pStyle w:val="85"/>
              <w:rPr>
                <w:color w:val="auto"/>
                <w:sz w:val="22"/>
                <w:szCs w:val="22"/>
              </w:rPr>
            </w:pPr>
            <w:r>
              <w:rPr>
                <w:color w:val="auto"/>
                <w:sz w:val="22"/>
                <w:szCs w:val="22"/>
              </w:rPr>
              <w:t>Урок 47</w:t>
            </w:r>
          </w:p>
        </w:tc>
        <w:tc>
          <w:tcPr>
            <w:tcW w:w="6405" w:type="dxa"/>
          </w:tcPr>
          <w:p w14:paraId="267481F7">
            <w:pPr>
              <w:pStyle w:val="85"/>
              <w:jc w:val="both"/>
              <w:rPr>
                <w:color w:val="auto"/>
                <w:sz w:val="22"/>
                <w:szCs w:val="22"/>
              </w:rPr>
            </w:pPr>
            <w:r>
              <w:rPr>
                <w:color w:val="auto"/>
                <w:sz w:val="22"/>
                <w:szCs w:val="22"/>
              </w:rPr>
              <w:t>Учебный класс. Рабочее место школьника. Режим учебного труда, отдыха</w:t>
            </w:r>
          </w:p>
        </w:tc>
        <w:tc>
          <w:tcPr>
            <w:tcW w:w="1473" w:type="dxa"/>
          </w:tcPr>
          <w:p w14:paraId="29DBB4B3">
            <w:pPr>
              <w:pStyle w:val="85"/>
              <w:rPr>
                <w:color w:val="auto"/>
                <w:sz w:val="22"/>
                <w:szCs w:val="22"/>
              </w:rPr>
            </w:pPr>
          </w:p>
        </w:tc>
      </w:tr>
      <w:tr w14:paraId="0DB3A3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91" w:type="dxa"/>
            <w:vAlign w:val="center"/>
          </w:tcPr>
          <w:p w14:paraId="605B73DE">
            <w:pPr>
              <w:pStyle w:val="85"/>
              <w:rPr>
                <w:color w:val="auto"/>
                <w:sz w:val="22"/>
                <w:szCs w:val="22"/>
              </w:rPr>
            </w:pPr>
            <w:r>
              <w:rPr>
                <w:color w:val="auto"/>
                <w:sz w:val="22"/>
                <w:szCs w:val="22"/>
              </w:rPr>
              <w:t>Урок 48</w:t>
            </w:r>
          </w:p>
        </w:tc>
        <w:tc>
          <w:tcPr>
            <w:tcW w:w="6405" w:type="dxa"/>
          </w:tcPr>
          <w:p w14:paraId="41592EF0">
            <w:pPr>
              <w:pStyle w:val="85"/>
              <w:jc w:val="both"/>
              <w:rPr>
                <w:color w:val="auto"/>
                <w:sz w:val="22"/>
                <w:szCs w:val="22"/>
              </w:rPr>
            </w:pPr>
            <w:r>
              <w:rPr>
                <w:color w:val="auto"/>
                <w:sz w:val="22"/>
                <w:szCs w:val="22"/>
              </w:rPr>
              <w:t>Времена года: наблюдения за особенностью погоды, жизнью растительного и животного мира зимой</w:t>
            </w:r>
          </w:p>
        </w:tc>
        <w:tc>
          <w:tcPr>
            <w:tcW w:w="1473" w:type="dxa"/>
          </w:tcPr>
          <w:p w14:paraId="2CD2E47C">
            <w:pPr>
              <w:pStyle w:val="85"/>
              <w:rPr>
                <w:color w:val="auto"/>
                <w:sz w:val="22"/>
                <w:szCs w:val="22"/>
              </w:rPr>
            </w:pPr>
          </w:p>
        </w:tc>
      </w:tr>
      <w:tr w14:paraId="6D1E36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91" w:type="dxa"/>
          </w:tcPr>
          <w:p w14:paraId="1062B45D">
            <w:pPr>
              <w:pStyle w:val="85"/>
              <w:rPr>
                <w:color w:val="auto"/>
                <w:sz w:val="22"/>
                <w:szCs w:val="22"/>
              </w:rPr>
            </w:pPr>
            <w:r>
              <w:rPr>
                <w:color w:val="auto"/>
                <w:sz w:val="22"/>
                <w:szCs w:val="22"/>
              </w:rPr>
              <w:t>Урок 49</w:t>
            </w:r>
          </w:p>
        </w:tc>
        <w:tc>
          <w:tcPr>
            <w:tcW w:w="6405" w:type="dxa"/>
          </w:tcPr>
          <w:p w14:paraId="21B32D54">
            <w:pPr>
              <w:pStyle w:val="85"/>
              <w:jc w:val="both"/>
              <w:rPr>
                <w:color w:val="auto"/>
                <w:sz w:val="22"/>
                <w:szCs w:val="22"/>
              </w:rPr>
            </w:pPr>
            <w:r>
              <w:rPr>
                <w:color w:val="auto"/>
                <w:sz w:val="22"/>
                <w:szCs w:val="22"/>
              </w:rPr>
              <w:t>Мир животных. Где живут белые медведи?</w:t>
            </w:r>
          </w:p>
        </w:tc>
        <w:tc>
          <w:tcPr>
            <w:tcW w:w="1473" w:type="dxa"/>
          </w:tcPr>
          <w:p w14:paraId="6C3CE18F">
            <w:pPr>
              <w:pStyle w:val="85"/>
              <w:rPr>
                <w:color w:val="auto"/>
                <w:sz w:val="22"/>
                <w:szCs w:val="22"/>
              </w:rPr>
            </w:pPr>
          </w:p>
        </w:tc>
      </w:tr>
      <w:tr w14:paraId="5474EB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91" w:type="dxa"/>
          </w:tcPr>
          <w:p w14:paraId="056DFE71">
            <w:pPr>
              <w:pStyle w:val="85"/>
              <w:rPr>
                <w:color w:val="auto"/>
                <w:sz w:val="22"/>
                <w:szCs w:val="22"/>
              </w:rPr>
            </w:pPr>
            <w:r>
              <w:rPr>
                <w:color w:val="auto"/>
                <w:sz w:val="22"/>
                <w:szCs w:val="22"/>
              </w:rPr>
              <w:t>Урок 50</w:t>
            </w:r>
          </w:p>
        </w:tc>
        <w:tc>
          <w:tcPr>
            <w:tcW w:w="6405" w:type="dxa"/>
          </w:tcPr>
          <w:p w14:paraId="5E519FF8">
            <w:pPr>
              <w:pStyle w:val="85"/>
              <w:jc w:val="both"/>
              <w:rPr>
                <w:color w:val="auto"/>
                <w:sz w:val="22"/>
                <w:szCs w:val="22"/>
              </w:rPr>
            </w:pPr>
            <w:r>
              <w:rPr>
                <w:color w:val="auto"/>
                <w:sz w:val="22"/>
                <w:szCs w:val="22"/>
              </w:rPr>
              <w:t>Мир животных. Где живут слоны?</w:t>
            </w:r>
          </w:p>
        </w:tc>
        <w:tc>
          <w:tcPr>
            <w:tcW w:w="1473" w:type="dxa"/>
          </w:tcPr>
          <w:p w14:paraId="594D802C">
            <w:pPr>
              <w:pStyle w:val="85"/>
              <w:rPr>
                <w:color w:val="auto"/>
                <w:sz w:val="22"/>
                <w:szCs w:val="22"/>
              </w:rPr>
            </w:pPr>
          </w:p>
        </w:tc>
      </w:tr>
      <w:tr w14:paraId="43E08B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91" w:type="dxa"/>
            <w:vAlign w:val="center"/>
          </w:tcPr>
          <w:p w14:paraId="12B8E80C">
            <w:pPr>
              <w:pStyle w:val="85"/>
              <w:rPr>
                <w:color w:val="auto"/>
                <w:sz w:val="22"/>
                <w:szCs w:val="22"/>
              </w:rPr>
            </w:pPr>
            <w:r>
              <w:rPr>
                <w:color w:val="auto"/>
                <w:sz w:val="22"/>
                <w:szCs w:val="22"/>
              </w:rPr>
              <w:t>Урок 51</w:t>
            </w:r>
          </w:p>
        </w:tc>
        <w:tc>
          <w:tcPr>
            <w:tcW w:w="6405" w:type="dxa"/>
          </w:tcPr>
          <w:p w14:paraId="1DC6312F">
            <w:pPr>
              <w:pStyle w:val="85"/>
              <w:jc w:val="both"/>
              <w:rPr>
                <w:color w:val="auto"/>
                <w:sz w:val="22"/>
                <w:szCs w:val="22"/>
              </w:rPr>
            </w:pPr>
            <w:r>
              <w:rPr>
                <w:color w:val="auto"/>
                <w:sz w:val="22"/>
                <w:szCs w:val="22"/>
              </w:rPr>
              <w:t>Мир животных. Перелетные и зимующие птицы. Где зимуют птицы?</w:t>
            </w:r>
          </w:p>
        </w:tc>
        <w:tc>
          <w:tcPr>
            <w:tcW w:w="1473" w:type="dxa"/>
          </w:tcPr>
          <w:p w14:paraId="5CD23A31">
            <w:pPr>
              <w:pStyle w:val="85"/>
              <w:rPr>
                <w:color w:val="auto"/>
                <w:sz w:val="22"/>
                <w:szCs w:val="22"/>
              </w:rPr>
            </w:pPr>
          </w:p>
        </w:tc>
      </w:tr>
      <w:tr w14:paraId="3FCDFD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191" w:type="dxa"/>
            <w:vAlign w:val="center"/>
          </w:tcPr>
          <w:p w14:paraId="41F2FDAB">
            <w:pPr>
              <w:pStyle w:val="85"/>
              <w:rPr>
                <w:color w:val="auto"/>
                <w:sz w:val="22"/>
                <w:szCs w:val="22"/>
              </w:rPr>
            </w:pPr>
            <w:r>
              <w:rPr>
                <w:color w:val="auto"/>
                <w:sz w:val="22"/>
                <w:szCs w:val="22"/>
              </w:rPr>
              <w:t>Урок 52</w:t>
            </w:r>
          </w:p>
        </w:tc>
        <w:tc>
          <w:tcPr>
            <w:tcW w:w="6405" w:type="dxa"/>
          </w:tcPr>
          <w:p w14:paraId="7A5F6154">
            <w:pPr>
              <w:pStyle w:val="85"/>
              <w:jc w:val="both"/>
              <w:rPr>
                <w:color w:val="auto"/>
                <w:sz w:val="22"/>
                <w:szCs w:val="22"/>
              </w:rPr>
            </w:pPr>
            <w:r>
              <w:rPr>
                <w:color w:val="auto"/>
                <w:sz w:val="22"/>
                <w:szCs w:val="22"/>
              </w:rPr>
              <w:t>Декоративное творчество народов, которое воплотилось в одежде, предметах быта, игрушках</w:t>
            </w:r>
          </w:p>
        </w:tc>
        <w:tc>
          <w:tcPr>
            <w:tcW w:w="1473" w:type="dxa"/>
          </w:tcPr>
          <w:p w14:paraId="02D28ED5">
            <w:pPr>
              <w:pStyle w:val="85"/>
              <w:rPr>
                <w:color w:val="auto"/>
                <w:sz w:val="22"/>
                <w:szCs w:val="22"/>
              </w:rPr>
            </w:pPr>
          </w:p>
        </w:tc>
      </w:tr>
      <w:tr w14:paraId="4B9ED7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91" w:type="dxa"/>
            <w:vAlign w:val="center"/>
          </w:tcPr>
          <w:p w14:paraId="02E65A6E">
            <w:pPr>
              <w:pStyle w:val="85"/>
              <w:rPr>
                <w:color w:val="auto"/>
                <w:sz w:val="22"/>
                <w:szCs w:val="22"/>
              </w:rPr>
            </w:pPr>
            <w:r>
              <w:rPr>
                <w:color w:val="auto"/>
                <w:sz w:val="22"/>
                <w:szCs w:val="22"/>
              </w:rPr>
              <w:t>Урок 53</w:t>
            </w:r>
          </w:p>
        </w:tc>
        <w:tc>
          <w:tcPr>
            <w:tcW w:w="6405" w:type="dxa"/>
            <w:vAlign w:val="center"/>
          </w:tcPr>
          <w:p w14:paraId="1EB619BF">
            <w:pPr>
              <w:pStyle w:val="85"/>
              <w:jc w:val="both"/>
              <w:rPr>
                <w:color w:val="auto"/>
                <w:sz w:val="22"/>
                <w:szCs w:val="22"/>
              </w:rPr>
            </w:pPr>
            <w:r>
              <w:rPr>
                <w:color w:val="auto"/>
                <w:sz w:val="22"/>
                <w:szCs w:val="22"/>
              </w:rPr>
              <w:t>Труд людей родного края</w:t>
            </w:r>
          </w:p>
        </w:tc>
        <w:tc>
          <w:tcPr>
            <w:tcW w:w="1473" w:type="dxa"/>
          </w:tcPr>
          <w:p w14:paraId="0EBF0318">
            <w:pPr>
              <w:pStyle w:val="85"/>
              <w:rPr>
                <w:color w:val="auto"/>
                <w:sz w:val="22"/>
                <w:szCs w:val="22"/>
              </w:rPr>
            </w:pPr>
          </w:p>
        </w:tc>
      </w:tr>
      <w:tr w14:paraId="6BD3FB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91" w:type="dxa"/>
            <w:vAlign w:val="center"/>
          </w:tcPr>
          <w:p w14:paraId="67C27CF1">
            <w:pPr>
              <w:pStyle w:val="85"/>
              <w:rPr>
                <w:color w:val="auto"/>
                <w:sz w:val="22"/>
                <w:szCs w:val="22"/>
              </w:rPr>
            </w:pPr>
            <w:r>
              <w:rPr>
                <w:color w:val="auto"/>
                <w:sz w:val="22"/>
                <w:szCs w:val="22"/>
              </w:rPr>
              <w:t>Урок 54</w:t>
            </w:r>
          </w:p>
        </w:tc>
        <w:tc>
          <w:tcPr>
            <w:tcW w:w="6405" w:type="dxa"/>
          </w:tcPr>
          <w:p w14:paraId="7DE2C61C">
            <w:pPr>
              <w:pStyle w:val="85"/>
              <w:jc w:val="both"/>
              <w:rPr>
                <w:color w:val="auto"/>
                <w:sz w:val="22"/>
                <w:szCs w:val="22"/>
              </w:rPr>
            </w:pPr>
            <w:r>
              <w:rPr>
                <w:color w:val="auto"/>
                <w:sz w:val="22"/>
                <w:szCs w:val="22"/>
              </w:rPr>
              <w:t>Семейные поколения. Моя семья в прошлом и настоящем</w:t>
            </w:r>
          </w:p>
        </w:tc>
        <w:tc>
          <w:tcPr>
            <w:tcW w:w="1473" w:type="dxa"/>
          </w:tcPr>
          <w:p w14:paraId="0ADD6824">
            <w:pPr>
              <w:pStyle w:val="85"/>
              <w:rPr>
                <w:color w:val="auto"/>
                <w:sz w:val="22"/>
                <w:szCs w:val="22"/>
              </w:rPr>
            </w:pPr>
          </w:p>
        </w:tc>
      </w:tr>
      <w:tr w14:paraId="16E60D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191" w:type="dxa"/>
            <w:vAlign w:val="center"/>
          </w:tcPr>
          <w:p w14:paraId="1047B2C9">
            <w:pPr>
              <w:pStyle w:val="85"/>
              <w:rPr>
                <w:color w:val="auto"/>
                <w:sz w:val="22"/>
                <w:szCs w:val="22"/>
              </w:rPr>
            </w:pPr>
            <w:r>
              <w:rPr>
                <w:color w:val="auto"/>
                <w:sz w:val="22"/>
                <w:szCs w:val="22"/>
              </w:rPr>
              <w:t>Урок 55</w:t>
            </w:r>
          </w:p>
        </w:tc>
        <w:tc>
          <w:tcPr>
            <w:tcW w:w="6405" w:type="dxa"/>
            <w:vAlign w:val="center"/>
          </w:tcPr>
          <w:p w14:paraId="1A9A2507">
            <w:pPr>
              <w:pStyle w:val="85"/>
              <w:jc w:val="both"/>
              <w:rPr>
                <w:color w:val="auto"/>
                <w:sz w:val="22"/>
                <w:szCs w:val="22"/>
              </w:rPr>
            </w:pPr>
            <w:r>
              <w:rPr>
                <w:color w:val="auto"/>
                <w:sz w:val="22"/>
                <w:szCs w:val="22"/>
              </w:rPr>
              <w:t>Резервный урок. Повторение изученного по разделу "Человек и природа"</w:t>
            </w:r>
          </w:p>
        </w:tc>
        <w:tc>
          <w:tcPr>
            <w:tcW w:w="1473" w:type="dxa"/>
          </w:tcPr>
          <w:p w14:paraId="0B964760">
            <w:pPr>
              <w:pStyle w:val="85"/>
              <w:rPr>
                <w:color w:val="auto"/>
                <w:sz w:val="22"/>
                <w:szCs w:val="22"/>
              </w:rPr>
            </w:pPr>
          </w:p>
        </w:tc>
      </w:tr>
      <w:tr w14:paraId="5B736C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91" w:type="dxa"/>
            <w:vAlign w:val="center"/>
          </w:tcPr>
          <w:p w14:paraId="7FAD3539">
            <w:pPr>
              <w:pStyle w:val="85"/>
              <w:rPr>
                <w:color w:val="auto"/>
                <w:sz w:val="22"/>
                <w:szCs w:val="22"/>
              </w:rPr>
            </w:pPr>
            <w:r>
              <w:rPr>
                <w:color w:val="auto"/>
                <w:sz w:val="22"/>
                <w:szCs w:val="22"/>
              </w:rPr>
              <w:t>Урок 56</w:t>
            </w:r>
          </w:p>
        </w:tc>
        <w:tc>
          <w:tcPr>
            <w:tcW w:w="6405" w:type="dxa"/>
            <w:vAlign w:val="center"/>
          </w:tcPr>
          <w:p w14:paraId="15E227F2">
            <w:pPr>
              <w:pStyle w:val="85"/>
              <w:jc w:val="both"/>
              <w:rPr>
                <w:color w:val="auto"/>
                <w:sz w:val="22"/>
                <w:szCs w:val="22"/>
              </w:rPr>
            </w:pPr>
            <w:r>
              <w:rPr>
                <w:color w:val="auto"/>
                <w:sz w:val="22"/>
                <w:szCs w:val="22"/>
              </w:rPr>
              <w:t>Мир животных. Почему мы любим кошек и собак?</w:t>
            </w:r>
          </w:p>
        </w:tc>
        <w:tc>
          <w:tcPr>
            <w:tcW w:w="1473" w:type="dxa"/>
          </w:tcPr>
          <w:p w14:paraId="489A77A3">
            <w:pPr>
              <w:pStyle w:val="85"/>
              <w:rPr>
                <w:color w:val="auto"/>
                <w:sz w:val="22"/>
                <w:szCs w:val="22"/>
              </w:rPr>
            </w:pPr>
          </w:p>
        </w:tc>
      </w:tr>
      <w:tr w14:paraId="7D05A9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91" w:type="dxa"/>
            <w:vAlign w:val="center"/>
          </w:tcPr>
          <w:p w14:paraId="05928E3F">
            <w:pPr>
              <w:pStyle w:val="85"/>
              <w:rPr>
                <w:color w:val="auto"/>
                <w:sz w:val="22"/>
                <w:szCs w:val="22"/>
              </w:rPr>
            </w:pPr>
            <w:r>
              <w:rPr>
                <w:color w:val="auto"/>
                <w:sz w:val="22"/>
                <w:szCs w:val="22"/>
              </w:rPr>
              <w:t>Урок 57</w:t>
            </w:r>
          </w:p>
        </w:tc>
        <w:tc>
          <w:tcPr>
            <w:tcW w:w="6405" w:type="dxa"/>
            <w:vAlign w:val="center"/>
          </w:tcPr>
          <w:p w14:paraId="7C5450B2">
            <w:pPr>
              <w:pStyle w:val="85"/>
              <w:jc w:val="both"/>
              <w:rPr>
                <w:color w:val="auto"/>
                <w:sz w:val="22"/>
                <w:szCs w:val="22"/>
              </w:rPr>
            </w:pPr>
            <w:r>
              <w:rPr>
                <w:color w:val="auto"/>
                <w:sz w:val="22"/>
                <w:szCs w:val="22"/>
              </w:rPr>
              <w:t>Прогулки на природе. Правила поведения в природе</w:t>
            </w:r>
          </w:p>
        </w:tc>
        <w:tc>
          <w:tcPr>
            <w:tcW w:w="1473" w:type="dxa"/>
          </w:tcPr>
          <w:p w14:paraId="72BE0C46">
            <w:pPr>
              <w:pStyle w:val="85"/>
              <w:rPr>
                <w:color w:val="auto"/>
                <w:sz w:val="22"/>
                <w:szCs w:val="22"/>
              </w:rPr>
            </w:pPr>
          </w:p>
        </w:tc>
      </w:tr>
      <w:tr w14:paraId="7816EE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91" w:type="dxa"/>
            <w:vAlign w:val="center"/>
          </w:tcPr>
          <w:p w14:paraId="475ABDA5">
            <w:pPr>
              <w:pStyle w:val="85"/>
              <w:rPr>
                <w:color w:val="auto"/>
                <w:sz w:val="22"/>
                <w:szCs w:val="22"/>
              </w:rPr>
            </w:pPr>
            <w:r>
              <w:rPr>
                <w:color w:val="auto"/>
                <w:sz w:val="22"/>
                <w:szCs w:val="22"/>
              </w:rPr>
              <w:t>Урок 58</w:t>
            </w:r>
          </w:p>
        </w:tc>
        <w:tc>
          <w:tcPr>
            <w:tcW w:w="6405" w:type="dxa"/>
            <w:vAlign w:val="center"/>
          </w:tcPr>
          <w:p w14:paraId="431B741A">
            <w:pPr>
              <w:pStyle w:val="85"/>
              <w:jc w:val="both"/>
              <w:rPr>
                <w:color w:val="auto"/>
                <w:sz w:val="22"/>
                <w:szCs w:val="22"/>
              </w:rPr>
            </w:pPr>
            <w:r>
              <w:rPr>
                <w:color w:val="auto"/>
                <w:sz w:val="22"/>
                <w:szCs w:val="22"/>
              </w:rPr>
              <w:t>Зачем нужна вежливость?</w:t>
            </w:r>
          </w:p>
        </w:tc>
        <w:tc>
          <w:tcPr>
            <w:tcW w:w="1473" w:type="dxa"/>
          </w:tcPr>
          <w:p w14:paraId="515ECAE0">
            <w:pPr>
              <w:pStyle w:val="85"/>
              <w:rPr>
                <w:color w:val="auto"/>
                <w:sz w:val="22"/>
                <w:szCs w:val="22"/>
              </w:rPr>
            </w:pPr>
          </w:p>
        </w:tc>
      </w:tr>
      <w:tr w14:paraId="53681E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91" w:type="dxa"/>
            <w:vAlign w:val="center"/>
          </w:tcPr>
          <w:p w14:paraId="47C94FEA">
            <w:pPr>
              <w:pStyle w:val="85"/>
              <w:rPr>
                <w:color w:val="auto"/>
                <w:sz w:val="22"/>
                <w:szCs w:val="22"/>
              </w:rPr>
            </w:pPr>
            <w:r>
              <w:rPr>
                <w:color w:val="auto"/>
                <w:sz w:val="22"/>
                <w:szCs w:val="22"/>
              </w:rPr>
              <w:t>Урок 59</w:t>
            </w:r>
          </w:p>
        </w:tc>
        <w:tc>
          <w:tcPr>
            <w:tcW w:w="6405" w:type="dxa"/>
          </w:tcPr>
          <w:p w14:paraId="34A8CEFB">
            <w:pPr>
              <w:pStyle w:val="85"/>
              <w:jc w:val="both"/>
              <w:rPr>
                <w:color w:val="auto"/>
                <w:sz w:val="22"/>
                <w:szCs w:val="22"/>
              </w:rPr>
            </w:pPr>
            <w:r>
              <w:rPr>
                <w:color w:val="auto"/>
                <w:sz w:val="22"/>
                <w:szCs w:val="22"/>
              </w:rPr>
              <w:t>Режим дня первоклассника. Правильное сочетание труда и отдыха в режиме первоклассника</w:t>
            </w:r>
          </w:p>
        </w:tc>
        <w:tc>
          <w:tcPr>
            <w:tcW w:w="1473" w:type="dxa"/>
          </w:tcPr>
          <w:p w14:paraId="156D6B77">
            <w:pPr>
              <w:pStyle w:val="85"/>
              <w:rPr>
                <w:color w:val="auto"/>
                <w:sz w:val="22"/>
                <w:szCs w:val="22"/>
              </w:rPr>
            </w:pPr>
          </w:p>
        </w:tc>
      </w:tr>
      <w:tr w14:paraId="6CB18E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91" w:type="dxa"/>
            <w:vAlign w:val="center"/>
          </w:tcPr>
          <w:p w14:paraId="741B7B4D">
            <w:pPr>
              <w:pStyle w:val="85"/>
              <w:rPr>
                <w:color w:val="auto"/>
                <w:sz w:val="22"/>
                <w:szCs w:val="22"/>
              </w:rPr>
            </w:pPr>
            <w:r>
              <w:rPr>
                <w:color w:val="auto"/>
                <w:sz w:val="22"/>
                <w:szCs w:val="22"/>
              </w:rPr>
              <w:t>Урок 60</w:t>
            </w:r>
          </w:p>
        </w:tc>
        <w:tc>
          <w:tcPr>
            <w:tcW w:w="6405" w:type="dxa"/>
          </w:tcPr>
          <w:p w14:paraId="2EBCB98A">
            <w:pPr>
              <w:pStyle w:val="85"/>
              <w:jc w:val="both"/>
              <w:rPr>
                <w:color w:val="auto"/>
                <w:sz w:val="22"/>
                <w:szCs w:val="22"/>
              </w:rPr>
            </w:pPr>
            <w:r>
              <w:rPr>
                <w:color w:val="auto"/>
                <w:sz w:val="22"/>
                <w:szCs w:val="22"/>
              </w:rPr>
              <w:t>Правила здорового питания. Состав пищи, обеспечивающий рост и развитие ребенка 6 - 7 лет. Правила поведения за столом</w:t>
            </w:r>
          </w:p>
        </w:tc>
        <w:tc>
          <w:tcPr>
            <w:tcW w:w="1473" w:type="dxa"/>
          </w:tcPr>
          <w:p w14:paraId="2C200032">
            <w:pPr>
              <w:pStyle w:val="85"/>
              <w:rPr>
                <w:color w:val="auto"/>
                <w:sz w:val="22"/>
                <w:szCs w:val="22"/>
              </w:rPr>
            </w:pPr>
          </w:p>
        </w:tc>
      </w:tr>
      <w:tr w14:paraId="2969CD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91" w:type="dxa"/>
            <w:vAlign w:val="center"/>
          </w:tcPr>
          <w:p w14:paraId="4DAC97BC">
            <w:pPr>
              <w:pStyle w:val="85"/>
              <w:rPr>
                <w:color w:val="auto"/>
                <w:sz w:val="22"/>
                <w:szCs w:val="22"/>
              </w:rPr>
            </w:pPr>
            <w:r>
              <w:rPr>
                <w:color w:val="auto"/>
                <w:sz w:val="22"/>
                <w:szCs w:val="22"/>
              </w:rPr>
              <w:t>Урок 61</w:t>
            </w:r>
          </w:p>
        </w:tc>
        <w:tc>
          <w:tcPr>
            <w:tcW w:w="6405" w:type="dxa"/>
          </w:tcPr>
          <w:p w14:paraId="6EE1632A">
            <w:pPr>
              <w:pStyle w:val="85"/>
              <w:jc w:val="both"/>
              <w:rPr>
                <w:color w:val="auto"/>
                <w:sz w:val="22"/>
                <w:szCs w:val="22"/>
              </w:rPr>
            </w:pPr>
            <w:r>
              <w:rPr>
                <w:color w:val="auto"/>
                <w:sz w:val="22"/>
                <w:szCs w:val="22"/>
              </w:rPr>
              <w:t>Предметы личной гигиены. Закаливание организма солнцем, воздухом, водой. Условия и правила закаливания</w:t>
            </w:r>
          </w:p>
        </w:tc>
        <w:tc>
          <w:tcPr>
            <w:tcW w:w="1473" w:type="dxa"/>
          </w:tcPr>
          <w:p w14:paraId="4A31DA3E">
            <w:pPr>
              <w:pStyle w:val="85"/>
              <w:rPr>
                <w:color w:val="auto"/>
                <w:sz w:val="22"/>
                <w:szCs w:val="22"/>
              </w:rPr>
            </w:pPr>
          </w:p>
        </w:tc>
      </w:tr>
      <w:tr w14:paraId="21CE9F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91" w:type="dxa"/>
            <w:vAlign w:val="center"/>
          </w:tcPr>
          <w:p w14:paraId="6048CF5B">
            <w:pPr>
              <w:pStyle w:val="85"/>
              <w:rPr>
                <w:color w:val="auto"/>
                <w:sz w:val="22"/>
                <w:szCs w:val="22"/>
              </w:rPr>
            </w:pPr>
            <w:r>
              <w:rPr>
                <w:color w:val="auto"/>
                <w:sz w:val="22"/>
                <w:szCs w:val="22"/>
              </w:rPr>
              <w:t>Урок 62</w:t>
            </w:r>
          </w:p>
        </w:tc>
        <w:tc>
          <w:tcPr>
            <w:tcW w:w="6405" w:type="dxa"/>
          </w:tcPr>
          <w:p w14:paraId="2A386026">
            <w:pPr>
              <w:pStyle w:val="85"/>
              <w:jc w:val="both"/>
              <w:rPr>
                <w:color w:val="auto"/>
                <w:sz w:val="22"/>
                <w:szCs w:val="22"/>
              </w:rPr>
            </w:pPr>
            <w:r>
              <w:rPr>
                <w:color w:val="auto"/>
                <w:sz w:val="22"/>
                <w:szCs w:val="22"/>
              </w:rPr>
              <w:t>Времена года: наблюдения за особенностью погоды, жизнью растительного и животного мира весной</w:t>
            </w:r>
          </w:p>
        </w:tc>
        <w:tc>
          <w:tcPr>
            <w:tcW w:w="1473" w:type="dxa"/>
          </w:tcPr>
          <w:p w14:paraId="7E3C3EAD">
            <w:pPr>
              <w:pStyle w:val="85"/>
              <w:rPr>
                <w:color w:val="auto"/>
                <w:sz w:val="22"/>
                <w:szCs w:val="22"/>
              </w:rPr>
            </w:pPr>
          </w:p>
        </w:tc>
      </w:tr>
      <w:tr w14:paraId="11611B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191" w:type="dxa"/>
            <w:vAlign w:val="center"/>
          </w:tcPr>
          <w:p w14:paraId="29200D54">
            <w:pPr>
              <w:pStyle w:val="85"/>
              <w:rPr>
                <w:color w:val="auto"/>
                <w:sz w:val="22"/>
                <w:szCs w:val="22"/>
              </w:rPr>
            </w:pPr>
            <w:r>
              <w:rPr>
                <w:color w:val="auto"/>
                <w:sz w:val="22"/>
                <w:szCs w:val="22"/>
              </w:rPr>
              <w:t>Урок 63</w:t>
            </w:r>
          </w:p>
        </w:tc>
        <w:tc>
          <w:tcPr>
            <w:tcW w:w="6405" w:type="dxa"/>
            <w:vAlign w:val="center"/>
          </w:tcPr>
          <w:p w14:paraId="62DE367D">
            <w:pPr>
              <w:pStyle w:val="85"/>
              <w:jc w:val="both"/>
              <w:rPr>
                <w:color w:val="auto"/>
                <w:sz w:val="22"/>
                <w:szCs w:val="22"/>
              </w:rPr>
            </w:pPr>
            <w:r>
              <w:rPr>
                <w:color w:val="auto"/>
                <w:sz w:val="22"/>
                <w:szCs w:val="22"/>
              </w:rPr>
              <w:t>Резервный урок. Зачем люди осваивают космос?</w:t>
            </w:r>
          </w:p>
        </w:tc>
        <w:tc>
          <w:tcPr>
            <w:tcW w:w="1473" w:type="dxa"/>
          </w:tcPr>
          <w:p w14:paraId="42F1E640">
            <w:pPr>
              <w:pStyle w:val="85"/>
              <w:rPr>
                <w:color w:val="auto"/>
                <w:sz w:val="22"/>
                <w:szCs w:val="22"/>
              </w:rPr>
            </w:pPr>
          </w:p>
        </w:tc>
      </w:tr>
      <w:tr w14:paraId="410B74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191" w:type="dxa"/>
          </w:tcPr>
          <w:p w14:paraId="58A2BF8B">
            <w:pPr>
              <w:pStyle w:val="85"/>
              <w:rPr>
                <w:color w:val="auto"/>
                <w:sz w:val="22"/>
                <w:szCs w:val="22"/>
              </w:rPr>
            </w:pPr>
            <w:r>
              <w:rPr>
                <w:color w:val="auto"/>
                <w:sz w:val="22"/>
                <w:szCs w:val="22"/>
              </w:rPr>
              <w:t>Урок 64</w:t>
            </w:r>
          </w:p>
        </w:tc>
        <w:tc>
          <w:tcPr>
            <w:tcW w:w="6405" w:type="dxa"/>
          </w:tcPr>
          <w:p w14:paraId="24998D3A">
            <w:pPr>
              <w:pStyle w:val="85"/>
              <w:jc w:val="both"/>
              <w:rPr>
                <w:color w:val="auto"/>
                <w:sz w:val="22"/>
                <w:szCs w:val="22"/>
              </w:rPr>
            </w:pPr>
            <w:r>
              <w:rPr>
                <w:color w:val="auto"/>
                <w:sz w:val="22"/>
                <w:szCs w:val="22"/>
              </w:rPr>
              <w:t>Труд и быт людей в разные времена года</w:t>
            </w:r>
          </w:p>
        </w:tc>
        <w:tc>
          <w:tcPr>
            <w:tcW w:w="1473" w:type="dxa"/>
          </w:tcPr>
          <w:p w14:paraId="090EEB0E">
            <w:pPr>
              <w:pStyle w:val="85"/>
              <w:rPr>
                <w:color w:val="auto"/>
                <w:sz w:val="22"/>
                <w:szCs w:val="22"/>
              </w:rPr>
            </w:pPr>
          </w:p>
        </w:tc>
      </w:tr>
      <w:tr w14:paraId="63EAB6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91" w:type="dxa"/>
            <w:vAlign w:val="center"/>
          </w:tcPr>
          <w:p w14:paraId="2D010053">
            <w:pPr>
              <w:pStyle w:val="85"/>
              <w:rPr>
                <w:color w:val="auto"/>
                <w:sz w:val="22"/>
                <w:szCs w:val="22"/>
              </w:rPr>
            </w:pPr>
            <w:r>
              <w:rPr>
                <w:color w:val="auto"/>
                <w:sz w:val="22"/>
                <w:szCs w:val="22"/>
              </w:rPr>
              <w:t>Урок 65</w:t>
            </w:r>
          </w:p>
        </w:tc>
        <w:tc>
          <w:tcPr>
            <w:tcW w:w="6405" w:type="dxa"/>
          </w:tcPr>
          <w:p w14:paraId="24B56872">
            <w:pPr>
              <w:pStyle w:val="85"/>
              <w:jc w:val="both"/>
              <w:rPr>
                <w:color w:val="auto"/>
                <w:sz w:val="22"/>
                <w:szCs w:val="22"/>
              </w:rPr>
            </w:pPr>
            <w:r>
              <w:rPr>
                <w:color w:val="auto"/>
                <w:sz w:val="22"/>
                <w:szCs w:val="22"/>
              </w:rPr>
              <w:t>Кто заботится о домашних животных Профессии людей, которые заботятся о животных. Мои домашние питомцы</w:t>
            </w:r>
          </w:p>
        </w:tc>
        <w:tc>
          <w:tcPr>
            <w:tcW w:w="1473" w:type="dxa"/>
          </w:tcPr>
          <w:p w14:paraId="679210AF">
            <w:pPr>
              <w:pStyle w:val="85"/>
              <w:rPr>
                <w:color w:val="auto"/>
                <w:sz w:val="22"/>
                <w:szCs w:val="22"/>
              </w:rPr>
            </w:pPr>
          </w:p>
        </w:tc>
      </w:tr>
      <w:tr w14:paraId="01762E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191" w:type="dxa"/>
            <w:vAlign w:val="center"/>
          </w:tcPr>
          <w:p w14:paraId="26125484">
            <w:pPr>
              <w:pStyle w:val="85"/>
              <w:rPr>
                <w:color w:val="auto"/>
                <w:sz w:val="22"/>
                <w:szCs w:val="22"/>
              </w:rPr>
            </w:pPr>
            <w:r>
              <w:rPr>
                <w:color w:val="auto"/>
                <w:sz w:val="22"/>
                <w:szCs w:val="22"/>
              </w:rPr>
              <w:t>Урок 66</w:t>
            </w:r>
          </w:p>
        </w:tc>
        <w:tc>
          <w:tcPr>
            <w:tcW w:w="6405" w:type="dxa"/>
            <w:vAlign w:val="center"/>
          </w:tcPr>
          <w:p w14:paraId="7577C59D">
            <w:pPr>
              <w:pStyle w:val="85"/>
              <w:jc w:val="both"/>
              <w:rPr>
                <w:color w:val="auto"/>
                <w:sz w:val="22"/>
                <w:szCs w:val="22"/>
              </w:rPr>
            </w:pPr>
            <w:r>
              <w:rPr>
                <w:color w:val="auto"/>
                <w:sz w:val="22"/>
                <w:szCs w:val="22"/>
              </w:rPr>
              <w:t>Резервный урок. Повторение изученного в 1 классе</w:t>
            </w:r>
          </w:p>
        </w:tc>
        <w:tc>
          <w:tcPr>
            <w:tcW w:w="1473" w:type="dxa"/>
          </w:tcPr>
          <w:p w14:paraId="5A499FF5">
            <w:pPr>
              <w:pStyle w:val="85"/>
              <w:rPr>
                <w:color w:val="auto"/>
                <w:sz w:val="22"/>
                <w:szCs w:val="22"/>
              </w:rPr>
            </w:pPr>
          </w:p>
        </w:tc>
      </w:tr>
      <w:tr w14:paraId="6D416C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9069" w:type="dxa"/>
            <w:gridSpan w:val="3"/>
          </w:tcPr>
          <w:p w14:paraId="1752BE0C">
            <w:pPr>
              <w:pStyle w:val="85"/>
              <w:jc w:val="both"/>
              <w:rPr>
                <w:color w:val="auto"/>
                <w:sz w:val="22"/>
                <w:szCs w:val="22"/>
              </w:rPr>
            </w:pPr>
            <w:r>
              <w:rPr>
                <w:color w:val="auto"/>
                <w:sz w:val="22"/>
                <w:szCs w:val="22"/>
              </w:rPr>
              <w:t>ОБЩЕЕ КОЛИЧЕСТВО УРОКОВ ПО ПРОГРАММЕ: 66</w:t>
            </w:r>
          </w:p>
        </w:tc>
      </w:tr>
    </w:tbl>
    <w:p w14:paraId="419412E2">
      <w:pPr>
        <w:pStyle w:val="85"/>
        <w:jc w:val="both"/>
        <w:rPr>
          <w:color w:val="auto"/>
          <w:sz w:val="22"/>
          <w:szCs w:val="22"/>
        </w:rPr>
      </w:pPr>
    </w:p>
    <w:p w14:paraId="3AF64417">
      <w:pPr>
        <w:pStyle w:val="85"/>
        <w:jc w:val="right"/>
        <w:rPr>
          <w:color w:val="auto"/>
          <w:sz w:val="22"/>
          <w:szCs w:val="22"/>
        </w:rPr>
      </w:pPr>
      <w:r>
        <w:rPr>
          <w:color w:val="auto"/>
          <w:sz w:val="22"/>
          <w:szCs w:val="22"/>
        </w:rPr>
        <w:t>Таблица 11.1</w:t>
      </w:r>
    </w:p>
    <w:p w14:paraId="0707E28F">
      <w:pPr>
        <w:pStyle w:val="85"/>
        <w:jc w:val="both"/>
        <w:rPr>
          <w:color w:val="auto"/>
          <w:sz w:val="22"/>
          <w:szCs w:val="22"/>
        </w:rPr>
      </w:pPr>
    </w:p>
    <w:p w14:paraId="4E9872E0">
      <w:pPr>
        <w:pStyle w:val="85"/>
        <w:jc w:val="both"/>
        <w:rPr>
          <w:color w:val="auto"/>
          <w:sz w:val="22"/>
          <w:szCs w:val="22"/>
        </w:rPr>
      </w:pPr>
      <w:r>
        <w:rPr>
          <w:color w:val="auto"/>
          <w:sz w:val="22"/>
          <w:szCs w:val="22"/>
        </w:rPr>
        <w:t>2 класс</w:t>
      </w:r>
    </w:p>
    <w:p w14:paraId="2750D67E">
      <w:pPr>
        <w:pStyle w:val="85"/>
        <w:jc w:val="both"/>
        <w:rPr>
          <w:color w:val="auto"/>
          <w:sz w:val="22"/>
          <w:szCs w:val="22"/>
        </w:rPr>
      </w:pPr>
    </w:p>
    <w:tbl>
      <w:tblPr>
        <w:tblStyle w:val="1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02" w:type="dxa"/>
          <w:left w:w="62" w:type="dxa"/>
          <w:bottom w:w="102" w:type="dxa"/>
          <w:right w:w="62" w:type="dxa"/>
        </w:tblCellMar>
      </w:tblPr>
      <w:tblGrid>
        <w:gridCol w:w="1191"/>
        <w:gridCol w:w="6405"/>
        <w:gridCol w:w="1473"/>
      </w:tblGrid>
      <w:tr w14:paraId="7F029C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91" w:type="dxa"/>
          </w:tcPr>
          <w:p w14:paraId="6C8FD1A5">
            <w:pPr>
              <w:pStyle w:val="85"/>
              <w:jc w:val="center"/>
              <w:rPr>
                <w:color w:val="auto"/>
                <w:sz w:val="22"/>
                <w:szCs w:val="22"/>
              </w:rPr>
            </w:pPr>
            <w:r>
              <w:rPr>
                <w:color w:val="auto"/>
                <w:sz w:val="22"/>
                <w:szCs w:val="22"/>
              </w:rPr>
              <w:t>N урока</w:t>
            </w:r>
          </w:p>
        </w:tc>
        <w:tc>
          <w:tcPr>
            <w:tcW w:w="6405" w:type="dxa"/>
          </w:tcPr>
          <w:p w14:paraId="29EE00E2">
            <w:pPr>
              <w:pStyle w:val="85"/>
              <w:jc w:val="center"/>
              <w:rPr>
                <w:color w:val="auto"/>
                <w:sz w:val="22"/>
                <w:szCs w:val="22"/>
              </w:rPr>
            </w:pPr>
            <w:r>
              <w:rPr>
                <w:color w:val="auto"/>
                <w:sz w:val="22"/>
                <w:szCs w:val="22"/>
              </w:rPr>
              <w:t>Тема урока</w:t>
            </w:r>
          </w:p>
        </w:tc>
        <w:tc>
          <w:tcPr>
            <w:tcW w:w="1473" w:type="dxa"/>
          </w:tcPr>
          <w:p w14:paraId="16C3D604">
            <w:pPr>
              <w:pStyle w:val="85"/>
              <w:jc w:val="center"/>
              <w:rPr>
                <w:color w:val="auto"/>
                <w:sz w:val="22"/>
                <w:szCs w:val="22"/>
              </w:rPr>
            </w:pPr>
            <w:r>
              <w:rPr>
                <w:color w:val="auto"/>
                <w:sz w:val="22"/>
                <w:szCs w:val="22"/>
              </w:rPr>
              <w:t>Количество часов на практические работы</w:t>
            </w:r>
          </w:p>
        </w:tc>
      </w:tr>
      <w:tr w14:paraId="0466E7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91" w:type="dxa"/>
          </w:tcPr>
          <w:p w14:paraId="02327B0E">
            <w:pPr>
              <w:pStyle w:val="85"/>
              <w:rPr>
                <w:color w:val="auto"/>
                <w:sz w:val="22"/>
                <w:szCs w:val="22"/>
              </w:rPr>
            </w:pPr>
            <w:r>
              <w:rPr>
                <w:color w:val="auto"/>
                <w:sz w:val="22"/>
                <w:szCs w:val="22"/>
              </w:rPr>
              <w:t>Урок 1</w:t>
            </w:r>
          </w:p>
        </w:tc>
        <w:tc>
          <w:tcPr>
            <w:tcW w:w="6405" w:type="dxa"/>
          </w:tcPr>
          <w:p w14:paraId="05A04CDB">
            <w:pPr>
              <w:pStyle w:val="85"/>
              <w:jc w:val="both"/>
              <w:rPr>
                <w:color w:val="auto"/>
                <w:sz w:val="22"/>
                <w:szCs w:val="22"/>
              </w:rPr>
            </w:pPr>
            <w:r>
              <w:rPr>
                <w:color w:val="auto"/>
                <w:sz w:val="22"/>
                <w:szCs w:val="22"/>
              </w:rPr>
              <w:t>Наша Родина - Россия, Российская Федерация</w:t>
            </w:r>
          </w:p>
        </w:tc>
        <w:tc>
          <w:tcPr>
            <w:tcW w:w="1473" w:type="dxa"/>
          </w:tcPr>
          <w:p w14:paraId="69E2EB85">
            <w:pPr>
              <w:pStyle w:val="85"/>
              <w:rPr>
                <w:color w:val="auto"/>
                <w:sz w:val="22"/>
                <w:szCs w:val="22"/>
              </w:rPr>
            </w:pPr>
          </w:p>
        </w:tc>
      </w:tr>
      <w:tr w14:paraId="6F6103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91" w:type="dxa"/>
          </w:tcPr>
          <w:p w14:paraId="5A3F0E6D">
            <w:pPr>
              <w:pStyle w:val="85"/>
              <w:rPr>
                <w:color w:val="auto"/>
                <w:sz w:val="22"/>
                <w:szCs w:val="22"/>
              </w:rPr>
            </w:pPr>
            <w:r>
              <w:rPr>
                <w:color w:val="auto"/>
                <w:sz w:val="22"/>
                <w:szCs w:val="22"/>
              </w:rPr>
              <w:t>Урок 2</w:t>
            </w:r>
          </w:p>
        </w:tc>
        <w:tc>
          <w:tcPr>
            <w:tcW w:w="6405" w:type="dxa"/>
          </w:tcPr>
          <w:p w14:paraId="13BCD007">
            <w:pPr>
              <w:pStyle w:val="85"/>
              <w:jc w:val="both"/>
              <w:rPr>
                <w:color w:val="auto"/>
                <w:sz w:val="22"/>
                <w:szCs w:val="22"/>
              </w:rPr>
            </w:pPr>
            <w:r>
              <w:rPr>
                <w:color w:val="auto"/>
                <w:sz w:val="22"/>
                <w:szCs w:val="22"/>
              </w:rPr>
              <w:t>Народы России. Родная страна</w:t>
            </w:r>
          </w:p>
        </w:tc>
        <w:tc>
          <w:tcPr>
            <w:tcW w:w="1473" w:type="dxa"/>
          </w:tcPr>
          <w:p w14:paraId="117CEF76">
            <w:pPr>
              <w:pStyle w:val="85"/>
              <w:rPr>
                <w:color w:val="auto"/>
                <w:sz w:val="22"/>
                <w:szCs w:val="22"/>
              </w:rPr>
            </w:pPr>
          </w:p>
        </w:tc>
      </w:tr>
      <w:tr w14:paraId="1555D9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91" w:type="dxa"/>
            <w:vAlign w:val="center"/>
          </w:tcPr>
          <w:p w14:paraId="64218EA2">
            <w:pPr>
              <w:pStyle w:val="85"/>
              <w:rPr>
                <w:color w:val="auto"/>
                <w:sz w:val="22"/>
                <w:szCs w:val="22"/>
              </w:rPr>
            </w:pPr>
            <w:r>
              <w:rPr>
                <w:color w:val="auto"/>
                <w:sz w:val="22"/>
                <w:szCs w:val="22"/>
              </w:rPr>
              <w:t>Урок 3</w:t>
            </w:r>
          </w:p>
        </w:tc>
        <w:tc>
          <w:tcPr>
            <w:tcW w:w="6405" w:type="dxa"/>
          </w:tcPr>
          <w:p w14:paraId="6304674F">
            <w:pPr>
              <w:pStyle w:val="85"/>
              <w:jc w:val="both"/>
              <w:rPr>
                <w:color w:val="auto"/>
                <w:sz w:val="22"/>
                <w:szCs w:val="22"/>
              </w:rPr>
            </w:pPr>
            <w:r>
              <w:rPr>
                <w:color w:val="auto"/>
                <w:sz w:val="22"/>
                <w:szCs w:val="22"/>
              </w:rPr>
              <w:t>Родной край, его природные достопримечательности. Город и село</w:t>
            </w:r>
          </w:p>
        </w:tc>
        <w:tc>
          <w:tcPr>
            <w:tcW w:w="1473" w:type="dxa"/>
          </w:tcPr>
          <w:p w14:paraId="7BC9EEA0">
            <w:pPr>
              <w:pStyle w:val="85"/>
              <w:rPr>
                <w:color w:val="auto"/>
                <w:sz w:val="22"/>
                <w:szCs w:val="22"/>
              </w:rPr>
            </w:pPr>
          </w:p>
        </w:tc>
      </w:tr>
      <w:tr w14:paraId="44022A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91" w:type="dxa"/>
            <w:vAlign w:val="center"/>
          </w:tcPr>
          <w:p w14:paraId="5A552608">
            <w:pPr>
              <w:pStyle w:val="85"/>
              <w:rPr>
                <w:color w:val="auto"/>
                <w:sz w:val="22"/>
                <w:szCs w:val="22"/>
              </w:rPr>
            </w:pPr>
            <w:r>
              <w:rPr>
                <w:color w:val="auto"/>
                <w:sz w:val="22"/>
                <w:szCs w:val="22"/>
              </w:rPr>
              <w:t>Урок 4</w:t>
            </w:r>
          </w:p>
        </w:tc>
        <w:tc>
          <w:tcPr>
            <w:tcW w:w="6405" w:type="dxa"/>
          </w:tcPr>
          <w:p w14:paraId="043F340D">
            <w:pPr>
              <w:pStyle w:val="85"/>
              <w:jc w:val="both"/>
              <w:rPr>
                <w:color w:val="auto"/>
                <w:sz w:val="22"/>
                <w:szCs w:val="22"/>
              </w:rPr>
            </w:pPr>
            <w:r>
              <w:rPr>
                <w:color w:val="auto"/>
                <w:sz w:val="22"/>
                <w:szCs w:val="22"/>
              </w:rPr>
              <w:t>Значимые события истории родного края. Исторические памятники, старинные постройки. Природа и предметы, созданные человеком</w:t>
            </w:r>
          </w:p>
        </w:tc>
        <w:tc>
          <w:tcPr>
            <w:tcW w:w="1473" w:type="dxa"/>
          </w:tcPr>
          <w:p w14:paraId="24AB6213">
            <w:pPr>
              <w:pStyle w:val="85"/>
              <w:rPr>
                <w:color w:val="auto"/>
                <w:sz w:val="22"/>
                <w:szCs w:val="22"/>
              </w:rPr>
            </w:pPr>
          </w:p>
        </w:tc>
      </w:tr>
      <w:tr w14:paraId="51E2AF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91" w:type="dxa"/>
            <w:vAlign w:val="center"/>
          </w:tcPr>
          <w:p w14:paraId="1BA02A0F">
            <w:pPr>
              <w:pStyle w:val="85"/>
              <w:rPr>
                <w:color w:val="auto"/>
                <w:sz w:val="22"/>
                <w:szCs w:val="22"/>
              </w:rPr>
            </w:pPr>
            <w:r>
              <w:rPr>
                <w:color w:val="auto"/>
                <w:sz w:val="22"/>
                <w:szCs w:val="22"/>
              </w:rPr>
              <w:t>Урок 5</w:t>
            </w:r>
          </w:p>
        </w:tc>
        <w:tc>
          <w:tcPr>
            <w:tcW w:w="6405" w:type="dxa"/>
          </w:tcPr>
          <w:p w14:paraId="5DC8B1DD">
            <w:pPr>
              <w:pStyle w:val="85"/>
              <w:jc w:val="both"/>
              <w:rPr>
                <w:color w:val="auto"/>
                <w:sz w:val="22"/>
                <w:szCs w:val="22"/>
              </w:rPr>
            </w:pPr>
            <w:r>
              <w:rPr>
                <w:color w:val="auto"/>
                <w:sz w:val="22"/>
                <w:szCs w:val="22"/>
              </w:rPr>
              <w:t>Заповедники России (Остров Врангеля, Большой Арктический заповедник). Охрана природы</w:t>
            </w:r>
          </w:p>
        </w:tc>
        <w:tc>
          <w:tcPr>
            <w:tcW w:w="1473" w:type="dxa"/>
          </w:tcPr>
          <w:p w14:paraId="686CB71B">
            <w:pPr>
              <w:pStyle w:val="85"/>
              <w:rPr>
                <w:color w:val="auto"/>
                <w:sz w:val="22"/>
                <w:szCs w:val="22"/>
              </w:rPr>
            </w:pPr>
          </w:p>
        </w:tc>
      </w:tr>
      <w:tr w14:paraId="0718FF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91" w:type="dxa"/>
          </w:tcPr>
          <w:p w14:paraId="34163ED8">
            <w:pPr>
              <w:pStyle w:val="85"/>
              <w:rPr>
                <w:color w:val="auto"/>
                <w:sz w:val="22"/>
                <w:szCs w:val="22"/>
              </w:rPr>
            </w:pPr>
            <w:r>
              <w:rPr>
                <w:color w:val="auto"/>
                <w:sz w:val="22"/>
                <w:szCs w:val="22"/>
              </w:rPr>
              <w:t>Урок 6</w:t>
            </w:r>
          </w:p>
        </w:tc>
        <w:tc>
          <w:tcPr>
            <w:tcW w:w="6405" w:type="dxa"/>
          </w:tcPr>
          <w:p w14:paraId="542B9CD4">
            <w:pPr>
              <w:pStyle w:val="85"/>
              <w:jc w:val="both"/>
              <w:rPr>
                <w:color w:val="auto"/>
                <w:sz w:val="22"/>
                <w:szCs w:val="22"/>
              </w:rPr>
            </w:pPr>
            <w:r>
              <w:rPr>
                <w:color w:val="auto"/>
                <w:sz w:val="22"/>
                <w:szCs w:val="22"/>
              </w:rPr>
              <w:t>Заповедники России</w:t>
            </w:r>
          </w:p>
        </w:tc>
        <w:tc>
          <w:tcPr>
            <w:tcW w:w="1473" w:type="dxa"/>
          </w:tcPr>
          <w:p w14:paraId="72422A36">
            <w:pPr>
              <w:pStyle w:val="85"/>
              <w:rPr>
                <w:color w:val="auto"/>
                <w:sz w:val="22"/>
                <w:szCs w:val="22"/>
              </w:rPr>
            </w:pPr>
          </w:p>
        </w:tc>
      </w:tr>
      <w:tr w14:paraId="7CEAB8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91" w:type="dxa"/>
          </w:tcPr>
          <w:p w14:paraId="05ABD928">
            <w:pPr>
              <w:pStyle w:val="85"/>
              <w:rPr>
                <w:color w:val="auto"/>
                <w:sz w:val="22"/>
                <w:szCs w:val="22"/>
              </w:rPr>
            </w:pPr>
            <w:r>
              <w:rPr>
                <w:color w:val="auto"/>
                <w:sz w:val="22"/>
                <w:szCs w:val="22"/>
              </w:rPr>
              <w:t>Урок 7</w:t>
            </w:r>
          </w:p>
        </w:tc>
        <w:tc>
          <w:tcPr>
            <w:tcW w:w="6405" w:type="dxa"/>
          </w:tcPr>
          <w:p w14:paraId="7AFBD739">
            <w:pPr>
              <w:pStyle w:val="85"/>
              <w:jc w:val="both"/>
              <w:rPr>
                <w:color w:val="auto"/>
                <w:sz w:val="22"/>
                <w:szCs w:val="22"/>
              </w:rPr>
            </w:pPr>
            <w:r>
              <w:rPr>
                <w:color w:val="auto"/>
                <w:sz w:val="22"/>
                <w:szCs w:val="22"/>
              </w:rPr>
              <w:t>Заповедники России. Охрана природы</w:t>
            </w:r>
          </w:p>
        </w:tc>
        <w:tc>
          <w:tcPr>
            <w:tcW w:w="1473" w:type="dxa"/>
          </w:tcPr>
          <w:p w14:paraId="20586FC6">
            <w:pPr>
              <w:pStyle w:val="85"/>
              <w:rPr>
                <w:color w:val="auto"/>
                <w:sz w:val="22"/>
                <w:szCs w:val="22"/>
              </w:rPr>
            </w:pPr>
          </w:p>
        </w:tc>
      </w:tr>
      <w:tr w14:paraId="2C9D5D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91" w:type="dxa"/>
            <w:vAlign w:val="center"/>
          </w:tcPr>
          <w:p w14:paraId="18384361">
            <w:pPr>
              <w:pStyle w:val="85"/>
              <w:rPr>
                <w:color w:val="auto"/>
                <w:sz w:val="22"/>
                <w:szCs w:val="22"/>
              </w:rPr>
            </w:pPr>
            <w:r>
              <w:rPr>
                <w:color w:val="auto"/>
                <w:sz w:val="22"/>
                <w:szCs w:val="22"/>
              </w:rPr>
              <w:t>Урок 8</w:t>
            </w:r>
          </w:p>
        </w:tc>
        <w:tc>
          <w:tcPr>
            <w:tcW w:w="6405" w:type="dxa"/>
          </w:tcPr>
          <w:p w14:paraId="06886882">
            <w:pPr>
              <w:pStyle w:val="85"/>
              <w:jc w:val="both"/>
              <w:rPr>
                <w:color w:val="auto"/>
                <w:sz w:val="22"/>
                <w:szCs w:val="22"/>
              </w:rPr>
            </w:pPr>
            <w:r>
              <w:rPr>
                <w:color w:val="auto"/>
                <w:sz w:val="22"/>
                <w:szCs w:val="22"/>
              </w:rPr>
              <w:t>Народы Поволжья и других территорий Российской Федерации: традиции, обычаи, праздники. Родной край, населенный пункт</w:t>
            </w:r>
          </w:p>
        </w:tc>
        <w:tc>
          <w:tcPr>
            <w:tcW w:w="1473" w:type="dxa"/>
          </w:tcPr>
          <w:p w14:paraId="7EEEDE51">
            <w:pPr>
              <w:pStyle w:val="85"/>
              <w:rPr>
                <w:color w:val="auto"/>
                <w:sz w:val="22"/>
                <w:szCs w:val="22"/>
              </w:rPr>
            </w:pPr>
          </w:p>
        </w:tc>
      </w:tr>
      <w:tr w14:paraId="256CF4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91" w:type="dxa"/>
            <w:vAlign w:val="center"/>
          </w:tcPr>
          <w:p w14:paraId="7D7FE1C0">
            <w:pPr>
              <w:pStyle w:val="85"/>
              <w:rPr>
                <w:color w:val="auto"/>
                <w:sz w:val="22"/>
                <w:szCs w:val="22"/>
              </w:rPr>
            </w:pPr>
            <w:r>
              <w:rPr>
                <w:color w:val="auto"/>
                <w:sz w:val="22"/>
                <w:szCs w:val="22"/>
              </w:rPr>
              <w:t>Урок 9</w:t>
            </w:r>
          </w:p>
        </w:tc>
        <w:tc>
          <w:tcPr>
            <w:tcW w:w="6405" w:type="dxa"/>
          </w:tcPr>
          <w:p w14:paraId="58A7A5B2">
            <w:pPr>
              <w:pStyle w:val="85"/>
              <w:jc w:val="both"/>
              <w:rPr>
                <w:color w:val="auto"/>
                <w:sz w:val="22"/>
                <w:szCs w:val="22"/>
              </w:rPr>
            </w:pPr>
            <w:r>
              <w:rPr>
                <w:color w:val="auto"/>
                <w:sz w:val="22"/>
                <w:szCs w:val="22"/>
              </w:rPr>
              <w:t>Резервный урок. Тематическое повторение по разделу "Где мы живем?"</w:t>
            </w:r>
          </w:p>
        </w:tc>
        <w:tc>
          <w:tcPr>
            <w:tcW w:w="1473" w:type="dxa"/>
          </w:tcPr>
          <w:p w14:paraId="22DA3E88">
            <w:pPr>
              <w:pStyle w:val="85"/>
              <w:rPr>
                <w:color w:val="auto"/>
                <w:sz w:val="22"/>
                <w:szCs w:val="22"/>
              </w:rPr>
            </w:pPr>
          </w:p>
        </w:tc>
      </w:tr>
      <w:tr w14:paraId="7BFD0C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91" w:type="dxa"/>
            <w:vAlign w:val="center"/>
          </w:tcPr>
          <w:p w14:paraId="4A77648A">
            <w:pPr>
              <w:pStyle w:val="85"/>
              <w:rPr>
                <w:color w:val="auto"/>
                <w:sz w:val="22"/>
                <w:szCs w:val="22"/>
              </w:rPr>
            </w:pPr>
            <w:r>
              <w:rPr>
                <w:color w:val="auto"/>
                <w:sz w:val="22"/>
                <w:szCs w:val="22"/>
              </w:rPr>
              <w:t>Урок 10</w:t>
            </w:r>
          </w:p>
        </w:tc>
        <w:tc>
          <w:tcPr>
            <w:tcW w:w="6405" w:type="dxa"/>
          </w:tcPr>
          <w:p w14:paraId="6FD7BFB3">
            <w:pPr>
              <w:pStyle w:val="85"/>
              <w:jc w:val="both"/>
              <w:rPr>
                <w:color w:val="auto"/>
                <w:sz w:val="22"/>
                <w:szCs w:val="22"/>
              </w:rPr>
            </w:pPr>
            <w:r>
              <w:rPr>
                <w:color w:val="auto"/>
                <w:sz w:val="22"/>
                <w:szCs w:val="22"/>
              </w:rPr>
              <w:t>Связи в природе: зависимость изменений в живой природе от изменений в неживой природе. Неживая и живая природа. Явления природы</w:t>
            </w:r>
          </w:p>
        </w:tc>
        <w:tc>
          <w:tcPr>
            <w:tcW w:w="1473" w:type="dxa"/>
          </w:tcPr>
          <w:p w14:paraId="7A592DD0">
            <w:pPr>
              <w:pStyle w:val="85"/>
              <w:rPr>
                <w:color w:val="auto"/>
                <w:sz w:val="22"/>
                <w:szCs w:val="22"/>
              </w:rPr>
            </w:pPr>
          </w:p>
        </w:tc>
      </w:tr>
      <w:tr w14:paraId="45C2EF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91" w:type="dxa"/>
            <w:vAlign w:val="center"/>
          </w:tcPr>
          <w:p w14:paraId="1C85F52D">
            <w:pPr>
              <w:pStyle w:val="85"/>
              <w:rPr>
                <w:color w:val="auto"/>
                <w:sz w:val="22"/>
                <w:szCs w:val="22"/>
              </w:rPr>
            </w:pPr>
            <w:r>
              <w:rPr>
                <w:color w:val="auto"/>
                <w:sz w:val="22"/>
                <w:szCs w:val="22"/>
              </w:rPr>
              <w:t>Урок 11</w:t>
            </w:r>
          </w:p>
        </w:tc>
        <w:tc>
          <w:tcPr>
            <w:tcW w:w="6405" w:type="dxa"/>
          </w:tcPr>
          <w:p w14:paraId="48C3CC54">
            <w:pPr>
              <w:pStyle w:val="85"/>
              <w:jc w:val="both"/>
              <w:rPr>
                <w:color w:val="auto"/>
                <w:sz w:val="22"/>
                <w:szCs w:val="22"/>
              </w:rPr>
            </w:pPr>
            <w:r>
              <w:rPr>
                <w:color w:val="auto"/>
                <w:sz w:val="22"/>
                <w:szCs w:val="22"/>
              </w:rPr>
              <w:t>Годовой ход изменений в жизни животных. Жизнь животных осенью и зимой. Явления природы</w:t>
            </w:r>
          </w:p>
        </w:tc>
        <w:tc>
          <w:tcPr>
            <w:tcW w:w="1473" w:type="dxa"/>
          </w:tcPr>
          <w:p w14:paraId="65B42F0B">
            <w:pPr>
              <w:pStyle w:val="85"/>
              <w:rPr>
                <w:color w:val="auto"/>
                <w:sz w:val="22"/>
                <w:szCs w:val="22"/>
              </w:rPr>
            </w:pPr>
          </w:p>
        </w:tc>
      </w:tr>
      <w:tr w14:paraId="0F6B51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91" w:type="dxa"/>
            <w:vAlign w:val="center"/>
          </w:tcPr>
          <w:p w14:paraId="155B7581">
            <w:pPr>
              <w:pStyle w:val="85"/>
              <w:rPr>
                <w:color w:val="auto"/>
                <w:sz w:val="22"/>
                <w:szCs w:val="22"/>
              </w:rPr>
            </w:pPr>
            <w:r>
              <w:rPr>
                <w:color w:val="auto"/>
                <w:sz w:val="22"/>
                <w:szCs w:val="22"/>
              </w:rPr>
              <w:t>Урок 12</w:t>
            </w:r>
          </w:p>
        </w:tc>
        <w:tc>
          <w:tcPr>
            <w:tcW w:w="6405" w:type="dxa"/>
          </w:tcPr>
          <w:p w14:paraId="13010A1A">
            <w:pPr>
              <w:pStyle w:val="85"/>
              <w:jc w:val="both"/>
              <w:rPr>
                <w:color w:val="auto"/>
                <w:sz w:val="22"/>
                <w:szCs w:val="22"/>
              </w:rPr>
            </w:pPr>
            <w:r>
              <w:rPr>
                <w:color w:val="auto"/>
                <w:sz w:val="22"/>
                <w:szCs w:val="22"/>
              </w:rPr>
              <w:t>Зачем человек трудится? Ценность труда и трудолюбия. Профессии. Все профессии важны</w:t>
            </w:r>
          </w:p>
        </w:tc>
        <w:tc>
          <w:tcPr>
            <w:tcW w:w="1473" w:type="dxa"/>
          </w:tcPr>
          <w:p w14:paraId="243876EC">
            <w:pPr>
              <w:pStyle w:val="85"/>
              <w:rPr>
                <w:color w:val="auto"/>
                <w:sz w:val="22"/>
                <w:szCs w:val="22"/>
              </w:rPr>
            </w:pPr>
          </w:p>
        </w:tc>
      </w:tr>
      <w:tr w14:paraId="1C0EB7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91" w:type="dxa"/>
            <w:vAlign w:val="center"/>
          </w:tcPr>
          <w:p w14:paraId="6F45A33F">
            <w:pPr>
              <w:pStyle w:val="85"/>
              <w:rPr>
                <w:color w:val="auto"/>
                <w:sz w:val="22"/>
                <w:szCs w:val="22"/>
              </w:rPr>
            </w:pPr>
            <w:r>
              <w:rPr>
                <w:color w:val="auto"/>
                <w:sz w:val="22"/>
                <w:szCs w:val="22"/>
              </w:rPr>
              <w:t>Урок 13</w:t>
            </w:r>
          </w:p>
        </w:tc>
        <w:tc>
          <w:tcPr>
            <w:tcW w:w="6405" w:type="dxa"/>
          </w:tcPr>
          <w:p w14:paraId="5AA7BFA1">
            <w:pPr>
              <w:pStyle w:val="85"/>
              <w:jc w:val="both"/>
              <w:rPr>
                <w:color w:val="auto"/>
                <w:sz w:val="22"/>
                <w:szCs w:val="22"/>
              </w:rPr>
            </w:pPr>
            <w:r>
              <w:rPr>
                <w:color w:val="auto"/>
                <w:sz w:val="22"/>
                <w:szCs w:val="22"/>
              </w:rPr>
              <w:t>Зависимость жизни растений от состояния неживой природы. Жизнь растений осенью и зимой. Невидимые нити природы</w:t>
            </w:r>
          </w:p>
        </w:tc>
        <w:tc>
          <w:tcPr>
            <w:tcW w:w="1473" w:type="dxa"/>
          </w:tcPr>
          <w:p w14:paraId="4094C790">
            <w:pPr>
              <w:pStyle w:val="85"/>
              <w:rPr>
                <w:color w:val="auto"/>
                <w:sz w:val="22"/>
                <w:szCs w:val="22"/>
              </w:rPr>
            </w:pPr>
          </w:p>
        </w:tc>
      </w:tr>
      <w:tr w14:paraId="7728C6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91" w:type="dxa"/>
            <w:vAlign w:val="center"/>
          </w:tcPr>
          <w:p w14:paraId="26ABF846">
            <w:pPr>
              <w:pStyle w:val="85"/>
              <w:rPr>
                <w:color w:val="auto"/>
                <w:sz w:val="22"/>
                <w:szCs w:val="22"/>
              </w:rPr>
            </w:pPr>
            <w:r>
              <w:rPr>
                <w:color w:val="auto"/>
                <w:sz w:val="22"/>
                <w:szCs w:val="22"/>
              </w:rPr>
              <w:t>Урок 14</w:t>
            </w:r>
          </w:p>
        </w:tc>
        <w:tc>
          <w:tcPr>
            <w:tcW w:w="6405" w:type="dxa"/>
          </w:tcPr>
          <w:p w14:paraId="124E55F2">
            <w:pPr>
              <w:pStyle w:val="85"/>
              <w:jc w:val="both"/>
              <w:rPr>
                <w:color w:val="auto"/>
                <w:sz w:val="22"/>
                <w:szCs w:val="22"/>
              </w:rPr>
            </w:pPr>
            <w:r>
              <w:rPr>
                <w:color w:val="auto"/>
                <w:sz w:val="22"/>
                <w:szCs w:val="22"/>
              </w:rPr>
              <w:t>Мир животных: птицы. Особенности внешнего вида, передвижения, питания: узнавание, называние, описание</w:t>
            </w:r>
          </w:p>
        </w:tc>
        <w:tc>
          <w:tcPr>
            <w:tcW w:w="1473" w:type="dxa"/>
          </w:tcPr>
          <w:p w14:paraId="01E9F492">
            <w:pPr>
              <w:pStyle w:val="85"/>
              <w:rPr>
                <w:color w:val="auto"/>
                <w:sz w:val="22"/>
                <w:szCs w:val="22"/>
              </w:rPr>
            </w:pPr>
          </w:p>
        </w:tc>
      </w:tr>
      <w:tr w14:paraId="326DB0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91" w:type="dxa"/>
            <w:vAlign w:val="center"/>
          </w:tcPr>
          <w:p w14:paraId="5E950C8C">
            <w:pPr>
              <w:pStyle w:val="85"/>
              <w:rPr>
                <w:color w:val="auto"/>
                <w:sz w:val="22"/>
                <w:szCs w:val="22"/>
              </w:rPr>
            </w:pPr>
            <w:r>
              <w:rPr>
                <w:color w:val="auto"/>
                <w:sz w:val="22"/>
                <w:szCs w:val="22"/>
              </w:rPr>
              <w:t>Урок 15</w:t>
            </w:r>
          </w:p>
        </w:tc>
        <w:tc>
          <w:tcPr>
            <w:tcW w:w="6405" w:type="dxa"/>
          </w:tcPr>
          <w:p w14:paraId="5C83E444">
            <w:pPr>
              <w:pStyle w:val="85"/>
              <w:jc w:val="both"/>
              <w:rPr>
                <w:color w:val="auto"/>
                <w:sz w:val="22"/>
                <w:szCs w:val="22"/>
              </w:rPr>
            </w:pPr>
            <w:r>
              <w:rPr>
                <w:color w:val="auto"/>
                <w:sz w:val="22"/>
                <w:szCs w:val="22"/>
              </w:rPr>
              <w:t>Звездное небо: звезды и созвездия. Солнечная система: планеты (название, расположение от Солнца, краткая характеристика)</w:t>
            </w:r>
          </w:p>
        </w:tc>
        <w:tc>
          <w:tcPr>
            <w:tcW w:w="1473" w:type="dxa"/>
          </w:tcPr>
          <w:p w14:paraId="15B9BCC9">
            <w:pPr>
              <w:pStyle w:val="85"/>
              <w:rPr>
                <w:color w:val="auto"/>
                <w:sz w:val="22"/>
                <w:szCs w:val="22"/>
              </w:rPr>
            </w:pPr>
          </w:p>
        </w:tc>
      </w:tr>
      <w:tr w14:paraId="46206C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91" w:type="dxa"/>
            <w:vAlign w:val="center"/>
          </w:tcPr>
          <w:p w14:paraId="4A362367">
            <w:pPr>
              <w:pStyle w:val="85"/>
              <w:rPr>
                <w:color w:val="auto"/>
                <w:sz w:val="22"/>
                <w:szCs w:val="22"/>
              </w:rPr>
            </w:pPr>
            <w:r>
              <w:rPr>
                <w:color w:val="auto"/>
                <w:sz w:val="22"/>
                <w:szCs w:val="22"/>
              </w:rPr>
              <w:t>Урок 16</w:t>
            </w:r>
          </w:p>
        </w:tc>
        <w:tc>
          <w:tcPr>
            <w:tcW w:w="6405" w:type="dxa"/>
          </w:tcPr>
          <w:p w14:paraId="11186165">
            <w:pPr>
              <w:pStyle w:val="85"/>
              <w:jc w:val="both"/>
              <w:rPr>
                <w:color w:val="auto"/>
                <w:sz w:val="22"/>
                <w:szCs w:val="22"/>
              </w:rPr>
            </w:pPr>
            <w:r>
              <w:rPr>
                <w:color w:val="auto"/>
                <w:sz w:val="22"/>
                <w:szCs w:val="22"/>
              </w:rPr>
              <w:t>Как человек познает окружающую природу? Особенности разных методов познания окружающего мира</w:t>
            </w:r>
          </w:p>
        </w:tc>
        <w:tc>
          <w:tcPr>
            <w:tcW w:w="1473" w:type="dxa"/>
          </w:tcPr>
          <w:p w14:paraId="1FC01314">
            <w:pPr>
              <w:pStyle w:val="85"/>
              <w:rPr>
                <w:color w:val="auto"/>
                <w:sz w:val="22"/>
                <w:szCs w:val="22"/>
              </w:rPr>
            </w:pPr>
          </w:p>
        </w:tc>
      </w:tr>
      <w:tr w14:paraId="2719D0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91" w:type="dxa"/>
            <w:vAlign w:val="center"/>
          </w:tcPr>
          <w:p w14:paraId="15CB2663">
            <w:pPr>
              <w:pStyle w:val="85"/>
              <w:rPr>
                <w:color w:val="auto"/>
                <w:sz w:val="22"/>
                <w:szCs w:val="22"/>
              </w:rPr>
            </w:pPr>
            <w:r>
              <w:rPr>
                <w:color w:val="auto"/>
                <w:sz w:val="22"/>
                <w:szCs w:val="22"/>
              </w:rPr>
              <w:t>Урок 17</w:t>
            </w:r>
          </w:p>
        </w:tc>
        <w:tc>
          <w:tcPr>
            <w:tcW w:w="6405" w:type="dxa"/>
            <w:vAlign w:val="center"/>
          </w:tcPr>
          <w:p w14:paraId="59DFFC3B">
            <w:pPr>
              <w:pStyle w:val="85"/>
              <w:jc w:val="both"/>
              <w:rPr>
                <w:color w:val="auto"/>
                <w:sz w:val="22"/>
                <w:szCs w:val="22"/>
              </w:rPr>
            </w:pPr>
            <w:r>
              <w:rPr>
                <w:color w:val="auto"/>
                <w:sz w:val="22"/>
                <w:szCs w:val="22"/>
              </w:rPr>
              <w:t>Земля - живая планета Солнечной системы</w:t>
            </w:r>
          </w:p>
        </w:tc>
        <w:tc>
          <w:tcPr>
            <w:tcW w:w="1473" w:type="dxa"/>
          </w:tcPr>
          <w:p w14:paraId="4342DA54">
            <w:pPr>
              <w:pStyle w:val="85"/>
              <w:rPr>
                <w:color w:val="auto"/>
                <w:sz w:val="22"/>
                <w:szCs w:val="22"/>
              </w:rPr>
            </w:pPr>
          </w:p>
        </w:tc>
      </w:tr>
      <w:tr w14:paraId="0D0D63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91" w:type="dxa"/>
            <w:vAlign w:val="center"/>
          </w:tcPr>
          <w:p w14:paraId="45A61BB2">
            <w:pPr>
              <w:pStyle w:val="85"/>
              <w:rPr>
                <w:color w:val="auto"/>
                <w:sz w:val="22"/>
                <w:szCs w:val="22"/>
              </w:rPr>
            </w:pPr>
            <w:r>
              <w:rPr>
                <w:color w:val="auto"/>
                <w:sz w:val="22"/>
                <w:szCs w:val="22"/>
              </w:rPr>
              <w:t>Урок 18</w:t>
            </w:r>
          </w:p>
        </w:tc>
        <w:tc>
          <w:tcPr>
            <w:tcW w:w="6405" w:type="dxa"/>
          </w:tcPr>
          <w:p w14:paraId="52004E67">
            <w:pPr>
              <w:pStyle w:val="85"/>
              <w:jc w:val="both"/>
              <w:rPr>
                <w:color w:val="auto"/>
                <w:sz w:val="22"/>
                <w:szCs w:val="22"/>
              </w:rPr>
            </w:pPr>
            <w:r>
              <w:rPr>
                <w:color w:val="auto"/>
                <w:sz w:val="22"/>
                <w:szCs w:val="22"/>
              </w:rPr>
              <w:t>Почему на Земле есть жизнь? Условия жизни на Земле.</w:t>
            </w:r>
          </w:p>
          <w:p w14:paraId="1FCE9DCD">
            <w:pPr>
              <w:pStyle w:val="85"/>
              <w:jc w:val="both"/>
              <w:rPr>
                <w:color w:val="auto"/>
                <w:sz w:val="22"/>
                <w:szCs w:val="22"/>
              </w:rPr>
            </w:pPr>
            <w:r>
              <w:rPr>
                <w:color w:val="auto"/>
                <w:sz w:val="22"/>
                <w:szCs w:val="22"/>
              </w:rPr>
              <w:t>Водные богатства Земли</w:t>
            </w:r>
          </w:p>
        </w:tc>
        <w:tc>
          <w:tcPr>
            <w:tcW w:w="1473" w:type="dxa"/>
          </w:tcPr>
          <w:p w14:paraId="47CCF68C">
            <w:pPr>
              <w:pStyle w:val="85"/>
              <w:rPr>
                <w:color w:val="auto"/>
                <w:sz w:val="22"/>
                <w:szCs w:val="22"/>
              </w:rPr>
            </w:pPr>
          </w:p>
        </w:tc>
      </w:tr>
      <w:tr w14:paraId="39E690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91" w:type="dxa"/>
            <w:vAlign w:val="center"/>
          </w:tcPr>
          <w:p w14:paraId="09D0869F">
            <w:pPr>
              <w:pStyle w:val="85"/>
              <w:rPr>
                <w:color w:val="auto"/>
                <w:sz w:val="22"/>
                <w:szCs w:val="22"/>
              </w:rPr>
            </w:pPr>
            <w:r>
              <w:rPr>
                <w:color w:val="auto"/>
                <w:sz w:val="22"/>
                <w:szCs w:val="22"/>
              </w:rPr>
              <w:t>Урок 19</w:t>
            </w:r>
          </w:p>
        </w:tc>
        <w:tc>
          <w:tcPr>
            <w:tcW w:w="6405" w:type="dxa"/>
          </w:tcPr>
          <w:p w14:paraId="5A73C734">
            <w:pPr>
              <w:pStyle w:val="85"/>
              <w:jc w:val="both"/>
              <w:rPr>
                <w:color w:val="auto"/>
                <w:sz w:val="22"/>
                <w:szCs w:val="22"/>
              </w:rPr>
            </w:pPr>
            <w:r>
              <w:rPr>
                <w:color w:val="auto"/>
                <w:sz w:val="22"/>
                <w:szCs w:val="22"/>
              </w:rPr>
              <w:t>Деревья, кустарники, травы родного края (узнавание, называние, краткое описание). Какие бывают растения</w:t>
            </w:r>
          </w:p>
        </w:tc>
        <w:tc>
          <w:tcPr>
            <w:tcW w:w="1473" w:type="dxa"/>
          </w:tcPr>
          <w:p w14:paraId="4626D70D">
            <w:pPr>
              <w:pStyle w:val="85"/>
              <w:rPr>
                <w:color w:val="auto"/>
                <w:sz w:val="22"/>
                <w:szCs w:val="22"/>
              </w:rPr>
            </w:pPr>
          </w:p>
        </w:tc>
      </w:tr>
      <w:tr w14:paraId="04B8E3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91" w:type="dxa"/>
            <w:vAlign w:val="center"/>
          </w:tcPr>
          <w:p w14:paraId="1052FB6D">
            <w:pPr>
              <w:pStyle w:val="85"/>
              <w:rPr>
                <w:color w:val="auto"/>
                <w:sz w:val="22"/>
                <w:szCs w:val="22"/>
              </w:rPr>
            </w:pPr>
            <w:r>
              <w:rPr>
                <w:color w:val="auto"/>
                <w:sz w:val="22"/>
                <w:szCs w:val="22"/>
              </w:rPr>
              <w:t>Урок 20</w:t>
            </w:r>
          </w:p>
        </w:tc>
        <w:tc>
          <w:tcPr>
            <w:tcW w:w="6405" w:type="dxa"/>
          </w:tcPr>
          <w:p w14:paraId="28F18192">
            <w:pPr>
              <w:pStyle w:val="85"/>
              <w:jc w:val="both"/>
              <w:rPr>
                <w:color w:val="auto"/>
                <w:sz w:val="22"/>
                <w:szCs w:val="22"/>
              </w:rPr>
            </w:pPr>
            <w:r>
              <w:rPr>
                <w:color w:val="auto"/>
                <w:sz w:val="22"/>
                <w:szCs w:val="22"/>
              </w:rPr>
              <w:t>Деревья лиственные и хвойные. Сравнение лиственных и хвойных деревьев: общее и различия</w:t>
            </w:r>
          </w:p>
        </w:tc>
        <w:tc>
          <w:tcPr>
            <w:tcW w:w="1473" w:type="dxa"/>
          </w:tcPr>
          <w:p w14:paraId="3AAE43DB">
            <w:pPr>
              <w:pStyle w:val="85"/>
              <w:rPr>
                <w:color w:val="auto"/>
                <w:sz w:val="22"/>
                <w:szCs w:val="22"/>
              </w:rPr>
            </w:pPr>
          </w:p>
        </w:tc>
      </w:tr>
      <w:tr w14:paraId="6FDCFC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91" w:type="dxa"/>
            <w:vAlign w:val="center"/>
          </w:tcPr>
          <w:p w14:paraId="5FEB0B91">
            <w:pPr>
              <w:pStyle w:val="85"/>
              <w:rPr>
                <w:color w:val="auto"/>
                <w:sz w:val="22"/>
                <w:szCs w:val="22"/>
              </w:rPr>
            </w:pPr>
            <w:r>
              <w:rPr>
                <w:color w:val="auto"/>
                <w:sz w:val="22"/>
                <w:szCs w:val="22"/>
              </w:rPr>
              <w:t>Урок 21</w:t>
            </w:r>
          </w:p>
        </w:tc>
        <w:tc>
          <w:tcPr>
            <w:tcW w:w="6405" w:type="dxa"/>
          </w:tcPr>
          <w:p w14:paraId="214FA28A">
            <w:pPr>
              <w:pStyle w:val="85"/>
              <w:jc w:val="both"/>
              <w:rPr>
                <w:color w:val="auto"/>
                <w:sz w:val="22"/>
                <w:szCs w:val="22"/>
              </w:rPr>
            </w:pPr>
            <w:r>
              <w:rPr>
                <w:color w:val="auto"/>
                <w:sz w:val="22"/>
                <w:szCs w:val="22"/>
              </w:rPr>
              <w:t>Многообразие животных родного края и разных территорий России. Какие бывают животные</w:t>
            </w:r>
          </w:p>
        </w:tc>
        <w:tc>
          <w:tcPr>
            <w:tcW w:w="1473" w:type="dxa"/>
          </w:tcPr>
          <w:p w14:paraId="4F4B039C">
            <w:pPr>
              <w:pStyle w:val="85"/>
              <w:rPr>
                <w:color w:val="auto"/>
                <w:sz w:val="22"/>
                <w:szCs w:val="22"/>
              </w:rPr>
            </w:pPr>
          </w:p>
        </w:tc>
      </w:tr>
      <w:tr w14:paraId="548F07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91" w:type="dxa"/>
            <w:vAlign w:val="center"/>
          </w:tcPr>
          <w:p w14:paraId="6178EB74">
            <w:pPr>
              <w:pStyle w:val="85"/>
              <w:rPr>
                <w:color w:val="auto"/>
                <w:sz w:val="22"/>
                <w:szCs w:val="22"/>
              </w:rPr>
            </w:pPr>
            <w:r>
              <w:rPr>
                <w:color w:val="auto"/>
                <w:sz w:val="22"/>
                <w:szCs w:val="22"/>
              </w:rPr>
              <w:t>Урок 22</w:t>
            </w:r>
          </w:p>
        </w:tc>
        <w:tc>
          <w:tcPr>
            <w:tcW w:w="6405" w:type="dxa"/>
          </w:tcPr>
          <w:p w14:paraId="6A5B2B79">
            <w:pPr>
              <w:pStyle w:val="85"/>
              <w:jc w:val="both"/>
              <w:rPr>
                <w:color w:val="auto"/>
                <w:sz w:val="22"/>
                <w:szCs w:val="22"/>
              </w:rPr>
            </w:pPr>
            <w:r>
              <w:rPr>
                <w:color w:val="auto"/>
                <w:sz w:val="22"/>
                <w:szCs w:val="22"/>
              </w:rPr>
              <w:t>Мир животных: насекомые. Особенности внешнего вида, передвижения, питания: узнавание, называние, описание</w:t>
            </w:r>
          </w:p>
        </w:tc>
        <w:tc>
          <w:tcPr>
            <w:tcW w:w="1473" w:type="dxa"/>
          </w:tcPr>
          <w:p w14:paraId="570BB329">
            <w:pPr>
              <w:pStyle w:val="85"/>
              <w:rPr>
                <w:color w:val="auto"/>
                <w:sz w:val="22"/>
                <w:szCs w:val="22"/>
              </w:rPr>
            </w:pPr>
          </w:p>
        </w:tc>
      </w:tr>
      <w:tr w14:paraId="7AE287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91" w:type="dxa"/>
            <w:vAlign w:val="center"/>
          </w:tcPr>
          <w:p w14:paraId="63EBB180">
            <w:pPr>
              <w:pStyle w:val="85"/>
              <w:rPr>
                <w:color w:val="auto"/>
                <w:sz w:val="22"/>
                <w:szCs w:val="22"/>
              </w:rPr>
            </w:pPr>
            <w:r>
              <w:rPr>
                <w:color w:val="auto"/>
                <w:sz w:val="22"/>
                <w:szCs w:val="22"/>
              </w:rPr>
              <w:t>Урок 23</w:t>
            </w:r>
          </w:p>
        </w:tc>
        <w:tc>
          <w:tcPr>
            <w:tcW w:w="6405" w:type="dxa"/>
          </w:tcPr>
          <w:p w14:paraId="4F1B1F99">
            <w:pPr>
              <w:pStyle w:val="85"/>
              <w:jc w:val="both"/>
              <w:rPr>
                <w:color w:val="auto"/>
                <w:sz w:val="22"/>
                <w:szCs w:val="22"/>
              </w:rPr>
            </w:pPr>
            <w:r>
              <w:rPr>
                <w:color w:val="auto"/>
                <w:sz w:val="22"/>
                <w:szCs w:val="22"/>
              </w:rPr>
              <w:t>Мир животных: рыбы. Особенности внешнего вида, условия жизни, передвижения, питания: узнавание, называние, описание</w:t>
            </w:r>
          </w:p>
        </w:tc>
        <w:tc>
          <w:tcPr>
            <w:tcW w:w="1473" w:type="dxa"/>
          </w:tcPr>
          <w:p w14:paraId="7F2BA307">
            <w:pPr>
              <w:pStyle w:val="85"/>
              <w:rPr>
                <w:color w:val="auto"/>
                <w:sz w:val="22"/>
                <w:szCs w:val="22"/>
              </w:rPr>
            </w:pPr>
          </w:p>
        </w:tc>
      </w:tr>
      <w:tr w14:paraId="40A214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91" w:type="dxa"/>
            <w:vAlign w:val="center"/>
          </w:tcPr>
          <w:p w14:paraId="6BB27D07">
            <w:pPr>
              <w:pStyle w:val="85"/>
              <w:rPr>
                <w:color w:val="auto"/>
                <w:sz w:val="22"/>
                <w:szCs w:val="22"/>
              </w:rPr>
            </w:pPr>
            <w:r>
              <w:rPr>
                <w:color w:val="auto"/>
                <w:sz w:val="22"/>
                <w:szCs w:val="22"/>
              </w:rPr>
              <w:t>Урок 24</w:t>
            </w:r>
          </w:p>
        </w:tc>
        <w:tc>
          <w:tcPr>
            <w:tcW w:w="6405" w:type="dxa"/>
          </w:tcPr>
          <w:p w14:paraId="75519E11">
            <w:pPr>
              <w:pStyle w:val="85"/>
              <w:jc w:val="both"/>
              <w:rPr>
                <w:color w:val="auto"/>
                <w:sz w:val="22"/>
                <w:szCs w:val="22"/>
              </w:rPr>
            </w:pPr>
            <w:r>
              <w:rPr>
                <w:color w:val="auto"/>
                <w:sz w:val="22"/>
                <w:szCs w:val="22"/>
              </w:rPr>
              <w:t>Зависимость жизни растений от состояния неживой природы. Жизнь растений весной и летом. Невидимые нити. Впереди лето</w:t>
            </w:r>
          </w:p>
        </w:tc>
        <w:tc>
          <w:tcPr>
            <w:tcW w:w="1473" w:type="dxa"/>
          </w:tcPr>
          <w:p w14:paraId="13AA9677">
            <w:pPr>
              <w:pStyle w:val="85"/>
              <w:rPr>
                <w:color w:val="auto"/>
                <w:sz w:val="22"/>
                <w:szCs w:val="22"/>
              </w:rPr>
            </w:pPr>
          </w:p>
        </w:tc>
      </w:tr>
      <w:tr w14:paraId="6E7779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91" w:type="dxa"/>
            <w:vAlign w:val="center"/>
          </w:tcPr>
          <w:p w14:paraId="2DD030B6">
            <w:pPr>
              <w:pStyle w:val="85"/>
              <w:rPr>
                <w:color w:val="auto"/>
                <w:sz w:val="22"/>
                <w:szCs w:val="22"/>
              </w:rPr>
            </w:pPr>
            <w:r>
              <w:rPr>
                <w:color w:val="auto"/>
                <w:sz w:val="22"/>
                <w:szCs w:val="22"/>
              </w:rPr>
              <w:t>Урок 25</w:t>
            </w:r>
          </w:p>
        </w:tc>
        <w:tc>
          <w:tcPr>
            <w:tcW w:w="6405" w:type="dxa"/>
            <w:vAlign w:val="center"/>
          </w:tcPr>
          <w:p w14:paraId="48228BBD">
            <w:pPr>
              <w:pStyle w:val="85"/>
              <w:jc w:val="both"/>
              <w:rPr>
                <w:color w:val="auto"/>
                <w:sz w:val="22"/>
                <w:szCs w:val="22"/>
              </w:rPr>
            </w:pPr>
            <w:r>
              <w:rPr>
                <w:color w:val="auto"/>
                <w:sz w:val="22"/>
                <w:szCs w:val="22"/>
              </w:rPr>
              <w:t>Растения дикорастущие и культурные: общее и различия</w:t>
            </w:r>
          </w:p>
        </w:tc>
        <w:tc>
          <w:tcPr>
            <w:tcW w:w="1473" w:type="dxa"/>
          </w:tcPr>
          <w:p w14:paraId="4AC0E058">
            <w:pPr>
              <w:pStyle w:val="85"/>
              <w:rPr>
                <w:color w:val="auto"/>
                <w:sz w:val="22"/>
                <w:szCs w:val="22"/>
              </w:rPr>
            </w:pPr>
          </w:p>
        </w:tc>
      </w:tr>
      <w:tr w14:paraId="3A674D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91" w:type="dxa"/>
            <w:vAlign w:val="center"/>
          </w:tcPr>
          <w:p w14:paraId="20ED9435">
            <w:pPr>
              <w:pStyle w:val="85"/>
              <w:rPr>
                <w:color w:val="auto"/>
                <w:sz w:val="22"/>
                <w:szCs w:val="22"/>
              </w:rPr>
            </w:pPr>
            <w:r>
              <w:rPr>
                <w:color w:val="auto"/>
                <w:sz w:val="22"/>
                <w:szCs w:val="22"/>
              </w:rPr>
              <w:t>Урок 26</w:t>
            </w:r>
          </w:p>
        </w:tc>
        <w:tc>
          <w:tcPr>
            <w:tcW w:w="6405" w:type="dxa"/>
          </w:tcPr>
          <w:p w14:paraId="47416E4A">
            <w:pPr>
              <w:pStyle w:val="85"/>
              <w:jc w:val="both"/>
              <w:rPr>
                <w:color w:val="auto"/>
                <w:sz w:val="22"/>
                <w:szCs w:val="22"/>
              </w:rPr>
            </w:pPr>
            <w:r>
              <w:rPr>
                <w:color w:val="auto"/>
                <w:sz w:val="22"/>
                <w:szCs w:val="22"/>
              </w:rPr>
              <w:t>Мир животных: земноводные и пресмыкающиеся. Особенности внешнего вида, условия жизни, передвижения, питания: узнавание, называние, описание</w:t>
            </w:r>
          </w:p>
        </w:tc>
        <w:tc>
          <w:tcPr>
            <w:tcW w:w="1473" w:type="dxa"/>
          </w:tcPr>
          <w:p w14:paraId="256A5D27">
            <w:pPr>
              <w:pStyle w:val="85"/>
              <w:rPr>
                <w:color w:val="auto"/>
                <w:sz w:val="22"/>
                <w:szCs w:val="22"/>
              </w:rPr>
            </w:pPr>
          </w:p>
        </w:tc>
      </w:tr>
      <w:tr w14:paraId="47F2E0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91" w:type="dxa"/>
            <w:vAlign w:val="center"/>
          </w:tcPr>
          <w:p w14:paraId="004C0732">
            <w:pPr>
              <w:pStyle w:val="85"/>
              <w:rPr>
                <w:color w:val="auto"/>
                <w:sz w:val="22"/>
                <w:szCs w:val="22"/>
              </w:rPr>
            </w:pPr>
            <w:r>
              <w:rPr>
                <w:color w:val="auto"/>
                <w:sz w:val="22"/>
                <w:szCs w:val="22"/>
              </w:rPr>
              <w:t>Урок 27</w:t>
            </w:r>
          </w:p>
        </w:tc>
        <w:tc>
          <w:tcPr>
            <w:tcW w:w="6405" w:type="dxa"/>
          </w:tcPr>
          <w:p w14:paraId="3CEEC814">
            <w:pPr>
              <w:pStyle w:val="85"/>
              <w:jc w:val="both"/>
              <w:rPr>
                <w:color w:val="auto"/>
                <w:sz w:val="22"/>
                <w:szCs w:val="22"/>
              </w:rPr>
            </w:pPr>
            <w:r>
              <w:rPr>
                <w:color w:val="auto"/>
                <w:sz w:val="22"/>
                <w:szCs w:val="22"/>
              </w:rPr>
              <w:t>Многообразие растений по месту обитания, внешнему виду. Сравнение растений разных климатических условий. Комнатные растения</w:t>
            </w:r>
          </w:p>
        </w:tc>
        <w:tc>
          <w:tcPr>
            <w:tcW w:w="1473" w:type="dxa"/>
          </w:tcPr>
          <w:p w14:paraId="336C02E1">
            <w:pPr>
              <w:pStyle w:val="85"/>
              <w:rPr>
                <w:color w:val="auto"/>
                <w:sz w:val="22"/>
                <w:szCs w:val="22"/>
              </w:rPr>
            </w:pPr>
          </w:p>
        </w:tc>
      </w:tr>
      <w:tr w14:paraId="4CF6AA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91" w:type="dxa"/>
            <w:vAlign w:val="center"/>
          </w:tcPr>
          <w:p w14:paraId="0491C59C">
            <w:pPr>
              <w:pStyle w:val="85"/>
              <w:rPr>
                <w:color w:val="auto"/>
                <w:sz w:val="22"/>
                <w:szCs w:val="22"/>
              </w:rPr>
            </w:pPr>
            <w:r>
              <w:rPr>
                <w:color w:val="auto"/>
                <w:sz w:val="22"/>
                <w:szCs w:val="22"/>
              </w:rPr>
              <w:t>Урок 28</w:t>
            </w:r>
          </w:p>
        </w:tc>
        <w:tc>
          <w:tcPr>
            <w:tcW w:w="6405" w:type="dxa"/>
          </w:tcPr>
          <w:p w14:paraId="58268307">
            <w:pPr>
              <w:pStyle w:val="85"/>
              <w:jc w:val="both"/>
              <w:rPr>
                <w:color w:val="auto"/>
                <w:sz w:val="22"/>
                <w:szCs w:val="22"/>
              </w:rPr>
            </w:pPr>
            <w:r>
              <w:rPr>
                <w:color w:val="auto"/>
                <w:sz w:val="22"/>
                <w:szCs w:val="22"/>
              </w:rPr>
              <w:t>Многообразие животных. Дикие и домашние животные</w:t>
            </w:r>
          </w:p>
        </w:tc>
        <w:tc>
          <w:tcPr>
            <w:tcW w:w="1473" w:type="dxa"/>
          </w:tcPr>
          <w:p w14:paraId="2FF791FA">
            <w:pPr>
              <w:pStyle w:val="85"/>
              <w:rPr>
                <w:color w:val="auto"/>
                <w:sz w:val="22"/>
                <w:szCs w:val="22"/>
              </w:rPr>
            </w:pPr>
          </w:p>
        </w:tc>
      </w:tr>
      <w:tr w14:paraId="4C6C19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91" w:type="dxa"/>
            <w:vAlign w:val="center"/>
          </w:tcPr>
          <w:p w14:paraId="043EE251">
            <w:pPr>
              <w:pStyle w:val="85"/>
              <w:rPr>
                <w:color w:val="auto"/>
                <w:sz w:val="22"/>
                <w:szCs w:val="22"/>
              </w:rPr>
            </w:pPr>
            <w:r>
              <w:rPr>
                <w:color w:val="auto"/>
                <w:sz w:val="22"/>
                <w:szCs w:val="22"/>
              </w:rPr>
              <w:t>Урок 29</w:t>
            </w:r>
          </w:p>
        </w:tc>
        <w:tc>
          <w:tcPr>
            <w:tcW w:w="6405" w:type="dxa"/>
          </w:tcPr>
          <w:p w14:paraId="0B1A8051">
            <w:pPr>
              <w:pStyle w:val="85"/>
              <w:jc w:val="both"/>
              <w:rPr>
                <w:color w:val="auto"/>
                <w:sz w:val="22"/>
                <w:szCs w:val="22"/>
              </w:rPr>
            </w:pPr>
            <w:r>
              <w:rPr>
                <w:color w:val="auto"/>
                <w:sz w:val="22"/>
                <w:szCs w:val="22"/>
              </w:rPr>
              <w:t>Мир животных: звери (млекопитающие). Особенности внешнего вида, передвижения, питания: узнавание, называние, описание</w:t>
            </w:r>
          </w:p>
        </w:tc>
        <w:tc>
          <w:tcPr>
            <w:tcW w:w="1473" w:type="dxa"/>
          </w:tcPr>
          <w:p w14:paraId="17A70C73">
            <w:pPr>
              <w:pStyle w:val="85"/>
              <w:rPr>
                <w:color w:val="auto"/>
                <w:sz w:val="22"/>
                <w:szCs w:val="22"/>
              </w:rPr>
            </w:pPr>
          </w:p>
        </w:tc>
      </w:tr>
      <w:tr w14:paraId="6E03A8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91" w:type="dxa"/>
            <w:vAlign w:val="center"/>
          </w:tcPr>
          <w:p w14:paraId="22C63EAC">
            <w:pPr>
              <w:pStyle w:val="85"/>
              <w:rPr>
                <w:color w:val="auto"/>
                <w:sz w:val="22"/>
                <w:szCs w:val="22"/>
              </w:rPr>
            </w:pPr>
            <w:r>
              <w:rPr>
                <w:color w:val="auto"/>
                <w:sz w:val="22"/>
                <w:szCs w:val="22"/>
              </w:rPr>
              <w:t>Урок 30</w:t>
            </w:r>
          </w:p>
        </w:tc>
        <w:tc>
          <w:tcPr>
            <w:tcW w:w="6405" w:type="dxa"/>
          </w:tcPr>
          <w:p w14:paraId="265F2690">
            <w:pPr>
              <w:pStyle w:val="85"/>
              <w:jc w:val="both"/>
              <w:rPr>
                <w:color w:val="auto"/>
                <w:sz w:val="22"/>
                <w:szCs w:val="22"/>
              </w:rPr>
            </w:pPr>
            <w:r>
              <w:rPr>
                <w:color w:val="auto"/>
                <w:sz w:val="22"/>
                <w:szCs w:val="22"/>
              </w:rPr>
              <w:t>Отдельные представители растений Красной книги России (включая представителей растительного мира региона): узнавание, называние и описание</w:t>
            </w:r>
          </w:p>
        </w:tc>
        <w:tc>
          <w:tcPr>
            <w:tcW w:w="1473" w:type="dxa"/>
          </w:tcPr>
          <w:p w14:paraId="48111A54">
            <w:pPr>
              <w:pStyle w:val="85"/>
              <w:rPr>
                <w:color w:val="auto"/>
                <w:sz w:val="22"/>
                <w:szCs w:val="22"/>
              </w:rPr>
            </w:pPr>
          </w:p>
        </w:tc>
      </w:tr>
      <w:tr w14:paraId="7D97FE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91" w:type="dxa"/>
            <w:vAlign w:val="center"/>
          </w:tcPr>
          <w:p w14:paraId="127D89B6">
            <w:pPr>
              <w:pStyle w:val="85"/>
              <w:rPr>
                <w:color w:val="auto"/>
                <w:sz w:val="22"/>
                <w:szCs w:val="22"/>
              </w:rPr>
            </w:pPr>
            <w:r>
              <w:rPr>
                <w:color w:val="auto"/>
                <w:sz w:val="22"/>
                <w:szCs w:val="22"/>
              </w:rPr>
              <w:t>Урок 31</w:t>
            </w:r>
          </w:p>
        </w:tc>
        <w:tc>
          <w:tcPr>
            <w:tcW w:w="6405" w:type="dxa"/>
          </w:tcPr>
          <w:p w14:paraId="7D64D647">
            <w:pPr>
              <w:pStyle w:val="85"/>
              <w:jc w:val="both"/>
              <w:rPr>
                <w:color w:val="auto"/>
                <w:sz w:val="22"/>
                <w:szCs w:val="22"/>
              </w:rPr>
            </w:pPr>
            <w:r>
              <w:rPr>
                <w:color w:val="auto"/>
                <w:sz w:val="22"/>
                <w:szCs w:val="22"/>
              </w:rPr>
              <w:t>Отдельные представители животных Красной книги России (включая представителей животного мира региона): узнавание, называние и описание</w:t>
            </w:r>
          </w:p>
        </w:tc>
        <w:tc>
          <w:tcPr>
            <w:tcW w:w="1473" w:type="dxa"/>
          </w:tcPr>
          <w:p w14:paraId="741B2CFD">
            <w:pPr>
              <w:pStyle w:val="85"/>
              <w:rPr>
                <w:color w:val="auto"/>
                <w:sz w:val="22"/>
                <w:szCs w:val="22"/>
              </w:rPr>
            </w:pPr>
          </w:p>
        </w:tc>
      </w:tr>
      <w:tr w14:paraId="3DB99A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91" w:type="dxa"/>
            <w:vAlign w:val="center"/>
          </w:tcPr>
          <w:p w14:paraId="535E6FCA">
            <w:pPr>
              <w:pStyle w:val="85"/>
              <w:rPr>
                <w:color w:val="auto"/>
                <w:sz w:val="22"/>
                <w:szCs w:val="22"/>
              </w:rPr>
            </w:pPr>
            <w:r>
              <w:rPr>
                <w:color w:val="auto"/>
                <w:sz w:val="22"/>
                <w:szCs w:val="22"/>
              </w:rPr>
              <w:t>Урок 32</w:t>
            </w:r>
          </w:p>
        </w:tc>
        <w:tc>
          <w:tcPr>
            <w:tcW w:w="6405" w:type="dxa"/>
          </w:tcPr>
          <w:p w14:paraId="749B620C">
            <w:pPr>
              <w:pStyle w:val="85"/>
              <w:jc w:val="both"/>
              <w:rPr>
                <w:color w:val="auto"/>
                <w:sz w:val="22"/>
                <w:szCs w:val="22"/>
              </w:rPr>
            </w:pPr>
            <w:r>
              <w:rPr>
                <w:color w:val="auto"/>
                <w:sz w:val="22"/>
                <w:szCs w:val="22"/>
              </w:rPr>
              <w:t>Красная книга России. Ее значение в сохранении и охране редких растений и животных</w:t>
            </w:r>
          </w:p>
        </w:tc>
        <w:tc>
          <w:tcPr>
            <w:tcW w:w="1473" w:type="dxa"/>
          </w:tcPr>
          <w:p w14:paraId="302C77D0">
            <w:pPr>
              <w:pStyle w:val="85"/>
              <w:rPr>
                <w:color w:val="auto"/>
                <w:sz w:val="22"/>
                <w:szCs w:val="22"/>
              </w:rPr>
            </w:pPr>
          </w:p>
        </w:tc>
      </w:tr>
      <w:tr w14:paraId="2D1386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91" w:type="dxa"/>
            <w:vAlign w:val="center"/>
          </w:tcPr>
          <w:p w14:paraId="1201DB84">
            <w:pPr>
              <w:pStyle w:val="85"/>
              <w:rPr>
                <w:color w:val="auto"/>
                <w:sz w:val="22"/>
                <w:szCs w:val="22"/>
              </w:rPr>
            </w:pPr>
            <w:r>
              <w:rPr>
                <w:color w:val="auto"/>
                <w:sz w:val="22"/>
                <w:szCs w:val="22"/>
              </w:rPr>
              <w:t>Урок 33</w:t>
            </w:r>
          </w:p>
        </w:tc>
        <w:tc>
          <w:tcPr>
            <w:tcW w:w="6405" w:type="dxa"/>
          </w:tcPr>
          <w:p w14:paraId="097E3746">
            <w:pPr>
              <w:pStyle w:val="85"/>
              <w:jc w:val="both"/>
              <w:rPr>
                <w:color w:val="auto"/>
                <w:sz w:val="22"/>
                <w:szCs w:val="22"/>
              </w:rPr>
            </w:pPr>
            <w:r>
              <w:rPr>
                <w:color w:val="auto"/>
                <w:sz w:val="22"/>
                <w:szCs w:val="22"/>
              </w:rPr>
              <w:t>Какие задачи решают сотрудники заповедника.</w:t>
            </w:r>
          </w:p>
          <w:p w14:paraId="3488EE43">
            <w:pPr>
              <w:pStyle w:val="85"/>
              <w:jc w:val="both"/>
              <w:rPr>
                <w:color w:val="auto"/>
                <w:sz w:val="22"/>
                <w:szCs w:val="22"/>
              </w:rPr>
            </w:pPr>
            <w:r>
              <w:rPr>
                <w:color w:val="auto"/>
                <w:sz w:val="22"/>
                <w:szCs w:val="22"/>
              </w:rPr>
              <w:t>Правила поведения на территории заповедника</w:t>
            </w:r>
          </w:p>
        </w:tc>
        <w:tc>
          <w:tcPr>
            <w:tcW w:w="1473" w:type="dxa"/>
          </w:tcPr>
          <w:p w14:paraId="4B82BF65">
            <w:pPr>
              <w:pStyle w:val="85"/>
              <w:rPr>
                <w:color w:val="auto"/>
                <w:sz w:val="22"/>
                <w:szCs w:val="22"/>
              </w:rPr>
            </w:pPr>
          </w:p>
        </w:tc>
      </w:tr>
      <w:tr w14:paraId="163975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91" w:type="dxa"/>
          </w:tcPr>
          <w:p w14:paraId="3BA49CDE">
            <w:pPr>
              <w:pStyle w:val="85"/>
              <w:rPr>
                <w:color w:val="auto"/>
                <w:sz w:val="22"/>
                <w:szCs w:val="22"/>
              </w:rPr>
            </w:pPr>
            <w:r>
              <w:rPr>
                <w:color w:val="auto"/>
                <w:sz w:val="22"/>
                <w:szCs w:val="22"/>
              </w:rPr>
              <w:t>Урок 34</w:t>
            </w:r>
          </w:p>
        </w:tc>
        <w:tc>
          <w:tcPr>
            <w:tcW w:w="6405" w:type="dxa"/>
          </w:tcPr>
          <w:p w14:paraId="065F5BEE">
            <w:pPr>
              <w:pStyle w:val="85"/>
              <w:jc w:val="both"/>
              <w:rPr>
                <w:color w:val="auto"/>
                <w:sz w:val="22"/>
                <w:szCs w:val="22"/>
              </w:rPr>
            </w:pPr>
            <w:r>
              <w:rPr>
                <w:color w:val="auto"/>
                <w:sz w:val="22"/>
                <w:szCs w:val="22"/>
              </w:rPr>
              <w:t>Заповедники: значение для охраны природы</w:t>
            </w:r>
          </w:p>
        </w:tc>
        <w:tc>
          <w:tcPr>
            <w:tcW w:w="1473" w:type="dxa"/>
          </w:tcPr>
          <w:p w14:paraId="11F39B3F">
            <w:pPr>
              <w:pStyle w:val="85"/>
              <w:rPr>
                <w:color w:val="auto"/>
                <w:sz w:val="22"/>
                <w:szCs w:val="22"/>
              </w:rPr>
            </w:pPr>
          </w:p>
        </w:tc>
      </w:tr>
      <w:tr w14:paraId="184A56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91" w:type="dxa"/>
            <w:vAlign w:val="center"/>
          </w:tcPr>
          <w:p w14:paraId="2A5E8748">
            <w:pPr>
              <w:pStyle w:val="85"/>
              <w:rPr>
                <w:color w:val="auto"/>
                <w:sz w:val="22"/>
                <w:szCs w:val="22"/>
              </w:rPr>
            </w:pPr>
            <w:r>
              <w:rPr>
                <w:color w:val="auto"/>
                <w:sz w:val="22"/>
                <w:szCs w:val="22"/>
              </w:rPr>
              <w:t>Урок 35</w:t>
            </w:r>
          </w:p>
        </w:tc>
        <w:tc>
          <w:tcPr>
            <w:tcW w:w="6405" w:type="dxa"/>
          </w:tcPr>
          <w:p w14:paraId="3A76104D">
            <w:pPr>
              <w:pStyle w:val="85"/>
              <w:jc w:val="both"/>
              <w:rPr>
                <w:color w:val="auto"/>
                <w:sz w:val="22"/>
                <w:szCs w:val="22"/>
              </w:rPr>
            </w:pPr>
            <w:r>
              <w:rPr>
                <w:color w:val="auto"/>
                <w:sz w:val="22"/>
                <w:szCs w:val="22"/>
              </w:rPr>
              <w:t>Резервный урок. Тематическое повторение по разделу "Человек и природа"</w:t>
            </w:r>
          </w:p>
        </w:tc>
        <w:tc>
          <w:tcPr>
            <w:tcW w:w="1473" w:type="dxa"/>
          </w:tcPr>
          <w:p w14:paraId="16C58941">
            <w:pPr>
              <w:pStyle w:val="85"/>
              <w:rPr>
                <w:color w:val="auto"/>
                <w:sz w:val="22"/>
                <w:szCs w:val="22"/>
              </w:rPr>
            </w:pPr>
          </w:p>
        </w:tc>
      </w:tr>
      <w:tr w14:paraId="775D2E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91" w:type="dxa"/>
            <w:vAlign w:val="center"/>
          </w:tcPr>
          <w:p w14:paraId="500B63E1">
            <w:pPr>
              <w:pStyle w:val="85"/>
              <w:rPr>
                <w:color w:val="auto"/>
                <w:sz w:val="22"/>
                <w:szCs w:val="22"/>
              </w:rPr>
            </w:pPr>
            <w:r>
              <w:rPr>
                <w:color w:val="auto"/>
                <w:sz w:val="22"/>
                <w:szCs w:val="22"/>
              </w:rPr>
              <w:t>Урок 36</w:t>
            </w:r>
          </w:p>
        </w:tc>
        <w:tc>
          <w:tcPr>
            <w:tcW w:w="6405" w:type="dxa"/>
            <w:vAlign w:val="center"/>
          </w:tcPr>
          <w:p w14:paraId="2647C460">
            <w:pPr>
              <w:pStyle w:val="85"/>
              <w:jc w:val="both"/>
              <w:rPr>
                <w:color w:val="auto"/>
                <w:sz w:val="22"/>
                <w:szCs w:val="22"/>
              </w:rPr>
            </w:pPr>
            <w:r>
              <w:rPr>
                <w:color w:val="auto"/>
                <w:sz w:val="22"/>
                <w:szCs w:val="22"/>
              </w:rPr>
              <w:t>Мир профессий жителей нашего региона</w:t>
            </w:r>
          </w:p>
        </w:tc>
        <w:tc>
          <w:tcPr>
            <w:tcW w:w="1473" w:type="dxa"/>
          </w:tcPr>
          <w:p w14:paraId="428A7712">
            <w:pPr>
              <w:pStyle w:val="85"/>
              <w:rPr>
                <w:color w:val="auto"/>
                <w:sz w:val="22"/>
                <w:szCs w:val="22"/>
              </w:rPr>
            </w:pPr>
          </w:p>
        </w:tc>
      </w:tr>
      <w:tr w14:paraId="71696C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91" w:type="dxa"/>
            <w:vAlign w:val="center"/>
          </w:tcPr>
          <w:p w14:paraId="6C66C0B4">
            <w:pPr>
              <w:pStyle w:val="85"/>
              <w:rPr>
                <w:color w:val="auto"/>
                <w:sz w:val="22"/>
                <w:szCs w:val="22"/>
              </w:rPr>
            </w:pPr>
            <w:r>
              <w:rPr>
                <w:color w:val="auto"/>
                <w:sz w:val="22"/>
                <w:szCs w:val="22"/>
              </w:rPr>
              <w:t>Урок 37</w:t>
            </w:r>
          </w:p>
        </w:tc>
        <w:tc>
          <w:tcPr>
            <w:tcW w:w="6405" w:type="dxa"/>
            <w:vAlign w:val="center"/>
          </w:tcPr>
          <w:p w14:paraId="03A56408">
            <w:pPr>
              <w:pStyle w:val="85"/>
              <w:jc w:val="both"/>
              <w:rPr>
                <w:color w:val="auto"/>
                <w:sz w:val="22"/>
                <w:szCs w:val="22"/>
              </w:rPr>
            </w:pPr>
            <w:r>
              <w:rPr>
                <w:color w:val="auto"/>
                <w:sz w:val="22"/>
                <w:szCs w:val="22"/>
              </w:rPr>
              <w:t>Резервный урок. Из чего что сделано</w:t>
            </w:r>
          </w:p>
        </w:tc>
        <w:tc>
          <w:tcPr>
            <w:tcW w:w="1473" w:type="dxa"/>
          </w:tcPr>
          <w:p w14:paraId="56A801F4">
            <w:pPr>
              <w:pStyle w:val="85"/>
              <w:rPr>
                <w:color w:val="auto"/>
                <w:sz w:val="22"/>
                <w:szCs w:val="22"/>
              </w:rPr>
            </w:pPr>
          </w:p>
        </w:tc>
      </w:tr>
      <w:tr w14:paraId="2A1788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91" w:type="dxa"/>
            <w:vAlign w:val="center"/>
          </w:tcPr>
          <w:p w14:paraId="707ED8DC">
            <w:pPr>
              <w:pStyle w:val="85"/>
              <w:rPr>
                <w:color w:val="auto"/>
                <w:sz w:val="22"/>
                <w:szCs w:val="22"/>
              </w:rPr>
            </w:pPr>
            <w:r>
              <w:rPr>
                <w:color w:val="auto"/>
                <w:sz w:val="22"/>
                <w:szCs w:val="22"/>
              </w:rPr>
              <w:t>Урок 38</w:t>
            </w:r>
          </w:p>
        </w:tc>
        <w:tc>
          <w:tcPr>
            <w:tcW w:w="6405" w:type="dxa"/>
          </w:tcPr>
          <w:p w14:paraId="6ADB3DBE">
            <w:pPr>
              <w:pStyle w:val="85"/>
              <w:jc w:val="both"/>
              <w:rPr>
                <w:color w:val="auto"/>
                <w:sz w:val="22"/>
                <w:szCs w:val="22"/>
              </w:rPr>
            </w:pPr>
            <w:r>
              <w:rPr>
                <w:color w:val="auto"/>
                <w:sz w:val="22"/>
                <w:szCs w:val="22"/>
              </w:rPr>
              <w:t>Наш регион, какой он? Культура родного края. Родной край, его культурные достопримечательности</w:t>
            </w:r>
          </w:p>
        </w:tc>
        <w:tc>
          <w:tcPr>
            <w:tcW w:w="1473" w:type="dxa"/>
          </w:tcPr>
          <w:p w14:paraId="0A154C16">
            <w:pPr>
              <w:pStyle w:val="85"/>
              <w:rPr>
                <w:color w:val="auto"/>
                <w:sz w:val="22"/>
                <w:szCs w:val="22"/>
              </w:rPr>
            </w:pPr>
          </w:p>
        </w:tc>
      </w:tr>
      <w:tr w14:paraId="686A22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91" w:type="dxa"/>
            <w:vAlign w:val="center"/>
          </w:tcPr>
          <w:p w14:paraId="2901EC31">
            <w:pPr>
              <w:pStyle w:val="85"/>
              <w:rPr>
                <w:color w:val="auto"/>
                <w:sz w:val="22"/>
                <w:szCs w:val="22"/>
              </w:rPr>
            </w:pPr>
            <w:r>
              <w:rPr>
                <w:color w:val="auto"/>
                <w:sz w:val="22"/>
                <w:szCs w:val="22"/>
              </w:rPr>
              <w:t>Урок 39</w:t>
            </w:r>
          </w:p>
        </w:tc>
        <w:tc>
          <w:tcPr>
            <w:tcW w:w="6405" w:type="dxa"/>
          </w:tcPr>
          <w:p w14:paraId="1D78CC60">
            <w:pPr>
              <w:pStyle w:val="85"/>
              <w:jc w:val="both"/>
              <w:rPr>
                <w:color w:val="auto"/>
                <w:sz w:val="22"/>
                <w:szCs w:val="22"/>
              </w:rPr>
            </w:pPr>
            <w:r>
              <w:rPr>
                <w:color w:val="auto"/>
                <w:sz w:val="22"/>
                <w:szCs w:val="22"/>
              </w:rPr>
              <w:t>Здоровый образ жизни. Режим дня: чередование сна, учебных занятий, двигательной активности. Если хочешь быть здоров</w:t>
            </w:r>
          </w:p>
        </w:tc>
        <w:tc>
          <w:tcPr>
            <w:tcW w:w="1473" w:type="dxa"/>
          </w:tcPr>
          <w:p w14:paraId="10CCE05F">
            <w:pPr>
              <w:pStyle w:val="85"/>
              <w:rPr>
                <w:color w:val="auto"/>
                <w:sz w:val="22"/>
                <w:szCs w:val="22"/>
              </w:rPr>
            </w:pPr>
          </w:p>
        </w:tc>
      </w:tr>
      <w:tr w14:paraId="314994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91" w:type="dxa"/>
            <w:vAlign w:val="center"/>
          </w:tcPr>
          <w:p w14:paraId="2A6C5917">
            <w:pPr>
              <w:pStyle w:val="85"/>
              <w:rPr>
                <w:color w:val="auto"/>
                <w:sz w:val="22"/>
                <w:szCs w:val="22"/>
              </w:rPr>
            </w:pPr>
            <w:r>
              <w:rPr>
                <w:color w:val="auto"/>
                <w:sz w:val="22"/>
                <w:szCs w:val="22"/>
              </w:rPr>
              <w:t>Урок 40</w:t>
            </w:r>
          </w:p>
        </w:tc>
        <w:tc>
          <w:tcPr>
            <w:tcW w:w="6405" w:type="dxa"/>
          </w:tcPr>
          <w:p w14:paraId="75852FDE">
            <w:pPr>
              <w:pStyle w:val="85"/>
              <w:jc w:val="both"/>
              <w:rPr>
                <w:color w:val="auto"/>
                <w:sz w:val="22"/>
                <w:szCs w:val="22"/>
              </w:rPr>
            </w:pPr>
            <w:r>
              <w:rPr>
                <w:color w:val="auto"/>
                <w:sz w:val="22"/>
                <w:szCs w:val="22"/>
              </w:rPr>
              <w:t>Рациональное питание: количество приемов пищи и рацион питания. Витамины и здоровье ребенка</w:t>
            </w:r>
          </w:p>
        </w:tc>
        <w:tc>
          <w:tcPr>
            <w:tcW w:w="1473" w:type="dxa"/>
          </w:tcPr>
          <w:p w14:paraId="5BFCAD19">
            <w:pPr>
              <w:pStyle w:val="85"/>
              <w:rPr>
                <w:color w:val="auto"/>
                <w:sz w:val="22"/>
                <w:szCs w:val="22"/>
              </w:rPr>
            </w:pPr>
          </w:p>
        </w:tc>
      </w:tr>
      <w:tr w14:paraId="0DC042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91" w:type="dxa"/>
            <w:vAlign w:val="center"/>
          </w:tcPr>
          <w:p w14:paraId="275251F1">
            <w:pPr>
              <w:pStyle w:val="85"/>
              <w:rPr>
                <w:color w:val="auto"/>
                <w:sz w:val="22"/>
                <w:szCs w:val="22"/>
              </w:rPr>
            </w:pPr>
            <w:r>
              <w:rPr>
                <w:color w:val="auto"/>
                <w:sz w:val="22"/>
                <w:szCs w:val="22"/>
              </w:rPr>
              <w:t>Урок 41</w:t>
            </w:r>
          </w:p>
        </w:tc>
        <w:tc>
          <w:tcPr>
            <w:tcW w:w="6405" w:type="dxa"/>
          </w:tcPr>
          <w:p w14:paraId="12002510">
            <w:pPr>
              <w:pStyle w:val="85"/>
              <w:jc w:val="both"/>
              <w:rPr>
                <w:color w:val="auto"/>
                <w:sz w:val="22"/>
                <w:szCs w:val="22"/>
              </w:rPr>
            </w:pPr>
            <w:r>
              <w:rPr>
                <w:color w:val="auto"/>
                <w:sz w:val="22"/>
                <w:szCs w:val="22"/>
              </w:rPr>
              <w:t>Правила безопасности в школе: маршрут до школы, поведение на занятиях, переменах, при приеме пищи; на пришкольной территории</w:t>
            </w:r>
          </w:p>
        </w:tc>
        <w:tc>
          <w:tcPr>
            <w:tcW w:w="1473" w:type="dxa"/>
          </w:tcPr>
          <w:p w14:paraId="02E0E601">
            <w:pPr>
              <w:pStyle w:val="85"/>
              <w:rPr>
                <w:color w:val="auto"/>
                <w:sz w:val="22"/>
                <w:szCs w:val="22"/>
              </w:rPr>
            </w:pPr>
          </w:p>
        </w:tc>
      </w:tr>
      <w:tr w14:paraId="2B03BD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91" w:type="dxa"/>
            <w:vAlign w:val="center"/>
          </w:tcPr>
          <w:p w14:paraId="7E60051D">
            <w:pPr>
              <w:pStyle w:val="85"/>
              <w:rPr>
                <w:color w:val="auto"/>
                <w:sz w:val="22"/>
                <w:szCs w:val="22"/>
              </w:rPr>
            </w:pPr>
            <w:r>
              <w:rPr>
                <w:color w:val="auto"/>
                <w:sz w:val="22"/>
                <w:szCs w:val="22"/>
              </w:rPr>
              <w:t>Урок 42</w:t>
            </w:r>
          </w:p>
        </w:tc>
        <w:tc>
          <w:tcPr>
            <w:tcW w:w="6405" w:type="dxa"/>
          </w:tcPr>
          <w:p w14:paraId="545B6EA4">
            <w:pPr>
              <w:pStyle w:val="85"/>
              <w:jc w:val="both"/>
              <w:rPr>
                <w:color w:val="auto"/>
                <w:sz w:val="22"/>
                <w:szCs w:val="22"/>
              </w:rPr>
            </w:pPr>
            <w:r>
              <w:rPr>
                <w:color w:val="auto"/>
                <w:sz w:val="22"/>
                <w:szCs w:val="22"/>
              </w:rPr>
              <w:t>Правила безопасного поведения в быту. Безопасное пользование электроприборами, газовой плитой. Безопасность при разогреве пищи. Номера телефонов экстренной помощи. Домашние опасности</w:t>
            </w:r>
          </w:p>
        </w:tc>
        <w:tc>
          <w:tcPr>
            <w:tcW w:w="1473" w:type="dxa"/>
          </w:tcPr>
          <w:p w14:paraId="2FB4ECDB">
            <w:pPr>
              <w:pStyle w:val="85"/>
              <w:rPr>
                <w:color w:val="auto"/>
                <w:sz w:val="22"/>
                <w:szCs w:val="22"/>
              </w:rPr>
            </w:pPr>
          </w:p>
        </w:tc>
      </w:tr>
      <w:tr w14:paraId="7F0315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91" w:type="dxa"/>
            <w:vAlign w:val="center"/>
          </w:tcPr>
          <w:p w14:paraId="717FB5E6">
            <w:pPr>
              <w:pStyle w:val="85"/>
              <w:rPr>
                <w:color w:val="auto"/>
                <w:sz w:val="22"/>
                <w:szCs w:val="22"/>
              </w:rPr>
            </w:pPr>
            <w:r>
              <w:rPr>
                <w:color w:val="auto"/>
                <w:sz w:val="22"/>
                <w:szCs w:val="22"/>
              </w:rPr>
              <w:t>Урок 43</w:t>
            </w:r>
          </w:p>
        </w:tc>
        <w:tc>
          <w:tcPr>
            <w:tcW w:w="6405" w:type="dxa"/>
          </w:tcPr>
          <w:p w14:paraId="774B49AB">
            <w:pPr>
              <w:pStyle w:val="85"/>
              <w:jc w:val="both"/>
              <w:rPr>
                <w:color w:val="auto"/>
                <w:sz w:val="22"/>
                <w:szCs w:val="22"/>
              </w:rPr>
            </w:pPr>
            <w:r>
              <w:rPr>
                <w:color w:val="auto"/>
                <w:sz w:val="22"/>
                <w:szCs w:val="22"/>
              </w:rPr>
              <w:t>Физическая культура, игры на воздухе как условие сохранения и укрепления здоровья</w:t>
            </w:r>
          </w:p>
        </w:tc>
        <w:tc>
          <w:tcPr>
            <w:tcW w:w="1473" w:type="dxa"/>
          </w:tcPr>
          <w:p w14:paraId="15E0AFAD">
            <w:pPr>
              <w:pStyle w:val="85"/>
              <w:rPr>
                <w:color w:val="auto"/>
                <w:sz w:val="22"/>
                <w:szCs w:val="22"/>
              </w:rPr>
            </w:pPr>
          </w:p>
        </w:tc>
      </w:tr>
      <w:tr w14:paraId="20A59F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91" w:type="dxa"/>
            <w:vAlign w:val="center"/>
          </w:tcPr>
          <w:p w14:paraId="2B251006">
            <w:pPr>
              <w:pStyle w:val="85"/>
              <w:rPr>
                <w:color w:val="auto"/>
                <w:sz w:val="22"/>
                <w:szCs w:val="22"/>
              </w:rPr>
            </w:pPr>
            <w:r>
              <w:rPr>
                <w:color w:val="auto"/>
                <w:sz w:val="22"/>
                <w:szCs w:val="22"/>
              </w:rPr>
              <w:t>Урок 44</w:t>
            </w:r>
          </w:p>
        </w:tc>
        <w:tc>
          <w:tcPr>
            <w:tcW w:w="6405" w:type="dxa"/>
          </w:tcPr>
          <w:p w14:paraId="68FC753A">
            <w:pPr>
              <w:pStyle w:val="85"/>
              <w:jc w:val="both"/>
              <w:rPr>
                <w:color w:val="auto"/>
                <w:sz w:val="22"/>
                <w:szCs w:val="22"/>
              </w:rPr>
            </w:pPr>
            <w:r>
              <w:rPr>
                <w:color w:val="auto"/>
                <w:sz w:val="22"/>
                <w:szCs w:val="22"/>
              </w:rPr>
              <w:t>Безопасное поведение на прогулках: правила поведения на игровых площадках; езда на велосипедах (санках, самокатах) и качелях. На воде и в лесу. Опасные незнакомцы</w:t>
            </w:r>
          </w:p>
        </w:tc>
        <w:tc>
          <w:tcPr>
            <w:tcW w:w="1473" w:type="dxa"/>
          </w:tcPr>
          <w:p w14:paraId="5941DDBF">
            <w:pPr>
              <w:pStyle w:val="85"/>
              <w:rPr>
                <w:color w:val="auto"/>
                <w:sz w:val="22"/>
                <w:szCs w:val="22"/>
              </w:rPr>
            </w:pPr>
          </w:p>
        </w:tc>
      </w:tr>
      <w:tr w14:paraId="76B7B9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91" w:type="dxa"/>
            <w:vAlign w:val="center"/>
          </w:tcPr>
          <w:p w14:paraId="23C81E2A">
            <w:pPr>
              <w:pStyle w:val="85"/>
              <w:rPr>
                <w:color w:val="auto"/>
                <w:sz w:val="22"/>
                <w:szCs w:val="22"/>
              </w:rPr>
            </w:pPr>
            <w:r>
              <w:rPr>
                <w:color w:val="auto"/>
                <w:sz w:val="22"/>
                <w:szCs w:val="22"/>
              </w:rPr>
              <w:t>Урок 45</w:t>
            </w:r>
          </w:p>
        </w:tc>
        <w:tc>
          <w:tcPr>
            <w:tcW w:w="6405" w:type="dxa"/>
          </w:tcPr>
          <w:p w14:paraId="2E0BF04A">
            <w:pPr>
              <w:pStyle w:val="85"/>
              <w:jc w:val="both"/>
              <w:rPr>
                <w:color w:val="auto"/>
                <w:sz w:val="22"/>
                <w:szCs w:val="22"/>
              </w:rPr>
            </w:pPr>
            <w:r>
              <w:rPr>
                <w:color w:val="auto"/>
                <w:sz w:val="22"/>
                <w:szCs w:val="22"/>
              </w:rPr>
              <w:t>Правила культурного поведения в общественных местах. Что такое этикет</w:t>
            </w:r>
          </w:p>
        </w:tc>
        <w:tc>
          <w:tcPr>
            <w:tcW w:w="1473" w:type="dxa"/>
          </w:tcPr>
          <w:p w14:paraId="01056F80">
            <w:pPr>
              <w:pStyle w:val="85"/>
              <w:rPr>
                <w:color w:val="auto"/>
                <w:sz w:val="22"/>
                <w:szCs w:val="22"/>
              </w:rPr>
            </w:pPr>
          </w:p>
        </w:tc>
      </w:tr>
      <w:tr w14:paraId="1AE67F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91" w:type="dxa"/>
            <w:vAlign w:val="center"/>
          </w:tcPr>
          <w:p w14:paraId="5FE8DA92">
            <w:pPr>
              <w:pStyle w:val="85"/>
              <w:rPr>
                <w:color w:val="auto"/>
                <w:sz w:val="22"/>
                <w:szCs w:val="22"/>
              </w:rPr>
            </w:pPr>
            <w:r>
              <w:rPr>
                <w:color w:val="auto"/>
                <w:sz w:val="22"/>
                <w:szCs w:val="22"/>
              </w:rPr>
              <w:t>Урок 46</w:t>
            </w:r>
          </w:p>
        </w:tc>
        <w:tc>
          <w:tcPr>
            <w:tcW w:w="6405" w:type="dxa"/>
            <w:vAlign w:val="center"/>
          </w:tcPr>
          <w:p w14:paraId="79022279">
            <w:pPr>
              <w:pStyle w:val="85"/>
              <w:jc w:val="both"/>
              <w:rPr>
                <w:color w:val="auto"/>
                <w:sz w:val="22"/>
                <w:szCs w:val="22"/>
              </w:rPr>
            </w:pPr>
            <w:r>
              <w:rPr>
                <w:color w:val="auto"/>
                <w:sz w:val="22"/>
                <w:szCs w:val="22"/>
              </w:rPr>
              <w:t>Подробнее о лесных опасностях</w:t>
            </w:r>
          </w:p>
        </w:tc>
        <w:tc>
          <w:tcPr>
            <w:tcW w:w="1473" w:type="dxa"/>
          </w:tcPr>
          <w:p w14:paraId="57865AC1">
            <w:pPr>
              <w:pStyle w:val="85"/>
              <w:rPr>
                <w:color w:val="auto"/>
                <w:sz w:val="22"/>
                <w:szCs w:val="22"/>
              </w:rPr>
            </w:pPr>
          </w:p>
        </w:tc>
      </w:tr>
      <w:tr w14:paraId="4F01F1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91" w:type="dxa"/>
            <w:vAlign w:val="center"/>
          </w:tcPr>
          <w:p w14:paraId="6A84F9FC">
            <w:pPr>
              <w:pStyle w:val="85"/>
              <w:rPr>
                <w:color w:val="auto"/>
                <w:sz w:val="22"/>
                <w:szCs w:val="22"/>
              </w:rPr>
            </w:pPr>
            <w:r>
              <w:rPr>
                <w:color w:val="auto"/>
                <w:sz w:val="22"/>
                <w:szCs w:val="22"/>
              </w:rPr>
              <w:t>Урок 47</w:t>
            </w:r>
          </w:p>
        </w:tc>
        <w:tc>
          <w:tcPr>
            <w:tcW w:w="6405" w:type="dxa"/>
          </w:tcPr>
          <w:p w14:paraId="11BF7879">
            <w:pPr>
              <w:pStyle w:val="85"/>
              <w:jc w:val="both"/>
              <w:rPr>
                <w:color w:val="auto"/>
                <w:sz w:val="22"/>
                <w:szCs w:val="22"/>
              </w:rPr>
            </w:pPr>
            <w:r>
              <w:rPr>
                <w:color w:val="auto"/>
                <w:sz w:val="22"/>
                <w:szCs w:val="22"/>
              </w:rPr>
              <w:t>Семейные ценности и традиции. Труд, досуг, занятия членов семьи. Наша дружная семья</w:t>
            </w:r>
          </w:p>
        </w:tc>
        <w:tc>
          <w:tcPr>
            <w:tcW w:w="1473" w:type="dxa"/>
          </w:tcPr>
          <w:p w14:paraId="2480050E">
            <w:pPr>
              <w:pStyle w:val="85"/>
              <w:rPr>
                <w:color w:val="auto"/>
                <w:sz w:val="22"/>
                <w:szCs w:val="22"/>
              </w:rPr>
            </w:pPr>
          </w:p>
        </w:tc>
      </w:tr>
      <w:tr w14:paraId="186D64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91" w:type="dxa"/>
            <w:vAlign w:val="center"/>
          </w:tcPr>
          <w:p w14:paraId="10D40DA3">
            <w:pPr>
              <w:pStyle w:val="85"/>
              <w:rPr>
                <w:color w:val="auto"/>
                <w:sz w:val="22"/>
                <w:szCs w:val="22"/>
              </w:rPr>
            </w:pPr>
            <w:r>
              <w:rPr>
                <w:color w:val="auto"/>
                <w:sz w:val="22"/>
                <w:szCs w:val="22"/>
              </w:rPr>
              <w:t>Урок 48</w:t>
            </w:r>
          </w:p>
        </w:tc>
        <w:tc>
          <w:tcPr>
            <w:tcW w:w="6405" w:type="dxa"/>
          </w:tcPr>
          <w:p w14:paraId="0F94E2AD">
            <w:pPr>
              <w:pStyle w:val="85"/>
              <w:jc w:val="both"/>
              <w:rPr>
                <w:color w:val="auto"/>
                <w:sz w:val="22"/>
                <w:szCs w:val="22"/>
              </w:rPr>
            </w:pPr>
            <w:r>
              <w:rPr>
                <w:color w:val="auto"/>
                <w:sz w:val="22"/>
                <w:szCs w:val="22"/>
              </w:rPr>
              <w:t>Главные правила взаимоотношений членов общества: доброта, справедливость, честность, уважение к чужому мнению</w:t>
            </w:r>
          </w:p>
        </w:tc>
        <w:tc>
          <w:tcPr>
            <w:tcW w:w="1473" w:type="dxa"/>
          </w:tcPr>
          <w:p w14:paraId="000ADE64">
            <w:pPr>
              <w:pStyle w:val="85"/>
              <w:rPr>
                <w:color w:val="auto"/>
                <w:sz w:val="22"/>
                <w:szCs w:val="22"/>
              </w:rPr>
            </w:pPr>
          </w:p>
        </w:tc>
      </w:tr>
      <w:tr w14:paraId="003C89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91" w:type="dxa"/>
            <w:vAlign w:val="center"/>
          </w:tcPr>
          <w:p w14:paraId="285D0D28">
            <w:pPr>
              <w:pStyle w:val="85"/>
              <w:rPr>
                <w:color w:val="auto"/>
                <w:sz w:val="22"/>
                <w:szCs w:val="22"/>
              </w:rPr>
            </w:pPr>
            <w:r>
              <w:rPr>
                <w:color w:val="auto"/>
                <w:sz w:val="22"/>
                <w:szCs w:val="22"/>
              </w:rPr>
              <w:t>Урок 49</w:t>
            </w:r>
          </w:p>
        </w:tc>
        <w:tc>
          <w:tcPr>
            <w:tcW w:w="6405" w:type="dxa"/>
          </w:tcPr>
          <w:p w14:paraId="7CA57EA4">
            <w:pPr>
              <w:pStyle w:val="85"/>
              <w:jc w:val="both"/>
              <w:rPr>
                <w:color w:val="auto"/>
                <w:sz w:val="22"/>
                <w:szCs w:val="22"/>
              </w:rPr>
            </w:pPr>
            <w:r>
              <w:rPr>
                <w:color w:val="auto"/>
                <w:sz w:val="22"/>
                <w:szCs w:val="22"/>
              </w:rPr>
              <w:t>Безопасное пользование сетью Интернет. Ты и твои друзья</w:t>
            </w:r>
          </w:p>
        </w:tc>
        <w:tc>
          <w:tcPr>
            <w:tcW w:w="1473" w:type="dxa"/>
          </w:tcPr>
          <w:p w14:paraId="79E3161D">
            <w:pPr>
              <w:pStyle w:val="85"/>
              <w:rPr>
                <w:color w:val="auto"/>
                <w:sz w:val="22"/>
                <w:szCs w:val="22"/>
              </w:rPr>
            </w:pPr>
          </w:p>
        </w:tc>
      </w:tr>
      <w:tr w14:paraId="371C8B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91" w:type="dxa"/>
            <w:vAlign w:val="center"/>
          </w:tcPr>
          <w:p w14:paraId="59E3DD11">
            <w:pPr>
              <w:pStyle w:val="85"/>
              <w:rPr>
                <w:color w:val="auto"/>
                <w:sz w:val="22"/>
                <w:szCs w:val="22"/>
              </w:rPr>
            </w:pPr>
            <w:r>
              <w:rPr>
                <w:color w:val="auto"/>
                <w:sz w:val="22"/>
                <w:szCs w:val="22"/>
              </w:rPr>
              <w:t>Урок 50</w:t>
            </w:r>
          </w:p>
        </w:tc>
        <w:tc>
          <w:tcPr>
            <w:tcW w:w="6405" w:type="dxa"/>
          </w:tcPr>
          <w:p w14:paraId="260A1681">
            <w:pPr>
              <w:pStyle w:val="85"/>
              <w:jc w:val="both"/>
              <w:rPr>
                <w:color w:val="auto"/>
                <w:sz w:val="22"/>
                <w:szCs w:val="22"/>
              </w:rPr>
            </w:pPr>
            <w:r>
              <w:rPr>
                <w:color w:val="auto"/>
                <w:sz w:val="22"/>
                <w:szCs w:val="22"/>
              </w:rPr>
              <w:t>Правила поведения при пользовании компьютером: посадка, время отдыха, обязательность отдыха и другие</w:t>
            </w:r>
          </w:p>
        </w:tc>
        <w:tc>
          <w:tcPr>
            <w:tcW w:w="1473" w:type="dxa"/>
          </w:tcPr>
          <w:p w14:paraId="1F2F9A0F">
            <w:pPr>
              <w:pStyle w:val="85"/>
              <w:rPr>
                <w:color w:val="auto"/>
                <w:sz w:val="22"/>
                <w:szCs w:val="22"/>
              </w:rPr>
            </w:pPr>
          </w:p>
        </w:tc>
      </w:tr>
      <w:tr w14:paraId="6AD64B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91" w:type="dxa"/>
            <w:vAlign w:val="center"/>
          </w:tcPr>
          <w:p w14:paraId="222A3ABC">
            <w:pPr>
              <w:pStyle w:val="85"/>
              <w:rPr>
                <w:color w:val="auto"/>
                <w:sz w:val="22"/>
                <w:szCs w:val="22"/>
              </w:rPr>
            </w:pPr>
            <w:r>
              <w:rPr>
                <w:color w:val="auto"/>
                <w:sz w:val="22"/>
                <w:szCs w:val="22"/>
              </w:rPr>
              <w:t>Урок 51</w:t>
            </w:r>
          </w:p>
        </w:tc>
        <w:tc>
          <w:tcPr>
            <w:tcW w:w="6405" w:type="dxa"/>
          </w:tcPr>
          <w:p w14:paraId="51E5616C">
            <w:pPr>
              <w:pStyle w:val="85"/>
              <w:jc w:val="both"/>
              <w:rPr>
                <w:color w:val="auto"/>
                <w:sz w:val="22"/>
                <w:szCs w:val="22"/>
              </w:rPr>
            </w:pPr>
            <w:r>
              <w:rPr>
                <w:color w:val="auto"/>
                <w:sz w:val="22"/>
                <w:szCs w:val="22"/>
              </w:rPr>
              <w:t>Правила безопасного поведения пассажира наземного транспорта. Мы - пассажиры</w:t>
            </w:r>
          </w:p>
        </w:tc>
        <w:tc>
          <w:tcPr>
            <w:tcW w:w="1473" w:type="dxa"/>
          </w:tcPr>
          <w:p w14:paraId="4927C846">
            <w:pPr>
              <w:pStyle w:val="85"/>
              <w:rPr>
                <w:color w:val="auto"/>
                <w:sz w:val="22"/>
                <w:szCs w:val="22"/>
              </w:rPr>
            </w:pPr>
          </w:p>
        </w:tc>
      </w:tr>
      <w:tr w14:paraId="38D38B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91" w:type="dxa"/>
            <w:vAlign w:val="center"/>
          </w:tcPr>
          <w:p w14:paraId="19386F4E">
            <w:pPr>
              <w:pStyle w:val="85"/>
              <w:rPr>
                <w:color w:val="auto"/>
                <w:sz w:val="22"/>
                <w:szCs w:val="22"/>
              </w:rPr>
            </w:pPr>
            <w:r>
              <w:rPr>
                <w:color w:val="auto"/>
                <w:sz w:val="22"/>
                <w:szCs w:val="22"/>
              </w:rPr>
              <w:t>Урок 52</w:t>
            </w:r>
          </w:p>
        </w:tc>
        <w:tc>
          <w:tcPr>
            <w:tcW w:w="6405" w:type="dxa"/>
            <w:vAlign w:val="center"/>
          </w:tcPr>
          <w:p w14:paraId="19C3FCC1">
            <w:pPr>
              <w:pStyle w:val="85"/>
              <w:jc w:val="both"/>
              <w:rPr>
                <w:color w:val="auto"/>
                <w:sz w:val="22"/>
                <w:szCs w:val="22"/>
              </w:rPr>
            </w:pPr>
            <w:r>
              <w:rPr>
                <w:color w:val="auto"/>
                <w:sz w:val="22"/>
                <w:szCs w:val="22"/>
              </w:rPr>
              <w:t>Знаки безопасности на общественном транспорте</w:t>
            </w:r>
          </w:p>
        </w:tc>
        <w:tc>
          <w:tcPr>
            <w:tcW w:w="1473" w:type="dxa"/>
          </w:tcPr>
          <w:p w14:paraId="2355F936">
            <w:pPr>
              <w:pStyle w:val="85"/>
              <w:rPr>
                <w:color w:val="auto"/>
                <w:sz w:val="22"/>
                <w:szCs w:val="22"/>
              </w:rPr>
            </w:pPr>
          </w:p>
        </w:tc>
      </w:tr>
      <w:tr w14:paraId="7223BA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91" w:type="dxa"/>
            <w:vAlign w:val="center"/>
          </w:tcPr>
          <w:p w14:paraId="18BBB5F1">
            <w:pPr>
              <w:pStyle w:val="85"/>
              <w:rPr>
                <w:color w:val="auto"/>
                <w:sz w:val="22"/>
                <w:szCs w:val="22"/>
              </w:rPr>
            </w:pPr>
            <w:r>
              <w:rPr>
                <w:color w:val="auto"/>
                <w:sz w:val="22"/>
                <w:szCs w:val="22"/>
              </w:rPr>
              <w:t>Урок 53</w:t>
            </w:r>
          </w:p>
        </w:tc>
        <w:tc>
          <w:tcPr>
            <w:tcW w:w="6405" w:type="dxa"/>
          </w:tcPr>
          <w:p w14:paraId="702856BB">
            <w:pPr>
              <w:pStyle w:val="85"/>
              <w:jc w:val="both"/>
              <w:rPr>
                <w:color w:val="auto"/>
                <w:sz w:val="22"/>
                <w:szCs w:val="22"/>
              </w:rPr>
            </w:pPr>
            <w:r>
              <w:rPr>
                <w:color w:val="auto"/>
                <w:sz w:val="22"/>
                <w:szCs w:val="22"/>
              </w:rPr>
              <w:t>Правила безопасного поведения пассажира метро. Знаки безопасности в метро</w:t>
            </w:r>
          </w:p>
        </w:tc>
        <w:tc>
          <w:tcPr>
            <w:tcW w:w="1473" w:type="dxa"/>
          </w:tcPr>
          <w:p w14:paraId="4F739A4C">
            <w:pPr>
              <w:pStyle w:val="85"/>
              <w:rPr>
                <w:color w:val="auto"/>
                <w:sz w:val="22"/>
                <w:szCs w:val="22"/>
              </w:rPr>
            </w:pPr>
          </w:p>
        </w:tc>
      </w:tr>
      <w:tr w14:paraId="47D5D2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91" w:type="dxa"/>
            <w:vAlign w:val="center"/>
          </w:tcPr>
          <w:p w14:paraId="3B71A96F">
            <w:pPr>
              <w:pStyle w:val="85"/>
              <w:rPr>
                <w:color w:val="auto"/>
                <w:sz w:val="22"/>
                <w:szCs w:val="22"/>
              </w:rPr>
            </w:pPr>
            <w:r>
              <w:rPr>
                <w:color w:val="auto"/>
                <w:sz w:val="22"/>
                <w:szCs w:val="22"/>
              </w:rPr>
              <w:t>Урок 54</w:t>
            </w:r>
          </w:p>
        </w:tc>
        <w:tc>
          <w:tcPr>
            <w:tcW w:w="6405" w:type="dxa"/>
          </w:tcPr>
          <w:p w14:paraId="1123FC7A">
            <w:pPr>
              <w:pStyle w:val="85"/>
              <w:jc w:val="both"/>
              <w:rPr>
                <w:color w:val="auto"/>
                <w:sz w:val="22"/>
                <w:szCs w:val="22"/>
              </w:rPr>
            </w:pPr>
            <w:r>
              <w:rPr>
                <w:color w:val="auto"/>
                <w:sz w:val="22"/>
                <w:szCs w:val="22"/>
              </w:rPr>
              <w:t>Родословная. Родословное древо, история семьи. Предшествующие поколения</w:t>
            </w:r>
          </w:p>
        </w:tc>
        <w:tc>
          <w:tcPr>
            <w:tcW w:w="1473" w:type="dxa"/>
            <w:vAlign w:val="center"/>
          </w:tcPr>
          <w:p w14:paraId="07303F30">
            <w:pPr>
              <w:pStyle w:val="85"/>
              <w:jc w:val="center"/>
              <w:rPr>
                <w:color w:val="auto"/>
                <w:sz w:val="22"/>
                <w:szCs w:val="22"/>
              </w:rPr>
            </w:pPr>
            <w:r>
              <w:rPr>
                <w:color w:val="auto"/>
                <w:sz w:val="22"/>
                <w:szCs w:val="22"/>
              </w:rPr>
              <w:t>1</w:t>
            </w:r>
          </w:p>
        </w:tc>
      </w:tr>
      <w:tr w14:paraId="144566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91" w:type="dxa"/>
            <w:vAlign w:val="center"/>
          </w:tcPr>
          <w:p w14:paraId="599B26A8">
            <w:pPr>
              <w:pStyle w:val="85"/>
              <w:rPr>
                <w:color w:val="auto"/>
                <w:sz w:val="22"/>
                <w:szCs w:val="22"/>
              </w:rPr>
            </w:pPr>
            <w:r>
              <w:rPr>
                <w:color w:val="auto"/>
                <w:sz w:val="22"/>
                <w:szCs w:val="22"/>
              </w:rPr>
              <w:t>Урок 55</w:t>
            </w:r>
          </w:p>
        </w:tc>
        <w:tc>
          <w:tcPr>
            <w:tcW w:w="6405" w:type="dxa"/>
          </w:tcPr>
          <w:p w14:paraId="3691D0C0">
            <w:pPr>
              <w:pStyle w:val="85"/>
              <w:jc w:val="both"/>
              <w:rPr>
                <w:color w:val="auto"/>
                <w:sz w:val="22"/>
                <w:szCs w:val="22"/>
              </w:rPr>
            </w:pPr>
            <w:r>
              <w:rPr>
                <w:color w:val="auto"/>
                <w:sz w:val="22"/>
                <w:szCs w:val="22"/>
              </w:rPr>
              <w:t>Модели Земли - глобус, карта, план. Практическая работа</w:t>
            </w:r>
          </w:p>
        </w:tc>
        <w:tc>
          <w:tcPr>
            <w:tcW w:w="1473" w:type="dxa"/>
            <w:vAlign w:val="center"/>
          </w:tcPr>
          <w:p w14:paraId="10E752DE">
            <w:pPr>
              <w:pStyle w:val="85"/>
              <w:jc w:val="center"/>
              <w:rPr>
                <w:color w:val="auto"/>
                <w:sz w:val="22"/>
                <w:szCs w:val="22"/>
              </w:rPr>
            </w:pPr>
            <w:r>
              <w:rPr>
                <w:color w:val="auto"/>
                <w:sz w:val="22"/>
                <w:szCs w:val="22"/>
              </w:rPr>
              <w:t>1</w:t>
            </w:r>
          </w:p>
        </w:tc>
      </w:tr>
      <w:tr w14:paraId="324F58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91" w:type="dxa"/>
          </w:tcPr>
          <w:p w14:paraId="54C391C3">
            <w:pPr>
              <w:pStyle w:val="85"/>
              <w:rPr>
                <w:color w:val="auto"/>
                <w:sz w:val="22"/>
                <w:szCs w:val="22"/>
              </w:rPr>
            </w:pPr>
            <w:r>
              <w:rPr>
                <w:color w:val="auto"/>
                <w:sz w:val="22"/>
                <w:szCs w:val="22"/>
              </w:rPr>
              <w:t>Урок 56</w:t>
            </w:r>
          </w:p>
        </w:tc>
        <w:tc>
          <w:tcPr>
            <w:tcW w:w="6405" w:type="dxa"/>
          </w:tcPr>
          <w:p w14:paraId="2DF363F8">
            <w:pPr>
              <w:pStyle w:val="85"/>
              <w:jc w:val="both"/>
              <w:rPr>
                <w:color w:val="auto"/>
                <w:sz w:val="22"/>
                <w:szCs w:val="22"/>
              </w:rPr>
            </w:pPr>
            <w:r>
              <w:rPr>
                <w:color w:val="auto"/>
                <w:sz w:val="22"/>
                <w:szCs w:val="22"/>
              </w:rPr>
              <w:t>Карта мира. Материки и океаны. Практическая работа</w:t>
            </w:r>
          </w:p>
        </w:tc>
        <w:tc>
          <w:tcPr>
            <w:tcW w:w="1473" w:type="dxa"/>
          </w:tcPr>
          <w:p w14:paraId="30DC46DA">
            <w:pPr>
              <w:pStyle w:val="85"/>
              <w:jc w:val="center"/>
              <w:rPr>
                <w:color w:val="auto"/>
                <w:sz w:val="22"/>
                <w:szCs w:val="22"/>
              </w:rPr>
            </w:pPr>
            <w:r>
              <w:rPr>
                <w:color w:val="auto"/>
                <w:sz w:val="22"/>
                <w:szCs w:val="22"/>
              </w:rPr>
              <w:t>1</w:t>
            </w:r>
          </w:p>
        </w:tc>
      </w:tr>
      <w:tr w14:paraId="6596DE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91" w:type="dxa"/>
            <w:vAlign w:val="center"/>
          </w:tcPr>
          <w:p w14:paraId="743130F7">
            <w:pPr>
              <w:pStyle w:val="85"/>
              <w:rPr>
                <w:color w:val="auto"/>
                <w:sz w:val="22"/>
                <w:szCs w:val="22"/>
              </w:rPr>
            </w:pPr>
            <w:r>
              <w:rPr>
                <w:color w:val="auto"/>
                <w:sz w:val="22"/>
                <w:szCs w:val="22"/>
              </w:rPr>
              <w:t>Урок 57</w:t>
            </w:r>
          </w:p>
        </w:tc>
        <w:tc>
          <w:tcPr>
            <w:tcW w:w="6405" w:type="dxa"/>
          </w:tcPr>
          <w:p w14:paraId="1B047D43">
            <w:pPr>
              <w:pStyle w:val="85"/>
              <w:jc w:val="both"/>
              <w:rPr>
                <w:color w:val="auto"/>
                <w:sz w:val="22"/>
                <w:szCs w:val="22"/>
              </w:rPr>
            </w:pPr>
            <w:r>
              <w:rPr>
                <w:color w:val="auto"/>
                <w:sz w:val="22"/>
                <w:szCs w:val="22"/>
              </w:rPr>
              <w:t>Ориентирование на местности по местным природным признакам и с использованием компаса. Практическая работа</w:t>
            </w:r>
          </w:p>
        </w:tc>
        <w:tc>
          <w:tcPr>
            <w:tcW w:w="1473" w:type="dxa"/>
            <w:vAlign w:val="center"/>
          </w:tcPr>
          <w:p w14:paraId="5DAB6907">
            <w:pPr>
              <w:pStyle w:val="85"/>
              <w:jc w:val="center"/>
              <w:rPr>
                <w:color w:val="auto"/>
                <w:sz w:val="22"/>
                <w:szCs w:val="22"/>
              </w:rPr>
            </w:pPr>
            <w:r>
              <w:rPr>
                <w:color w:val="auto"/>
                <w:sz w:val="22"/>
                <w:szCs w:val="22"/>
              </w:rPr>
              <w:t>1</w:t>
            </w:r>
          </w:p>
        </w:tc>
      </w:tr>
      <w:tr w14:paraId="5E895C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91" w:type="dxa"/>
            <w:vAlign w:val="center"/>
          </w:tcPr>
          <w:p w14:paraId="3B063D2D">
            <w:pPr>
              <w:pStyle w:val="85"/>
              <w:rPr>
                <w:color w:val="auto"/>
                <w:sz w:val="22"/>
                <w:szCs w:val="22"/>
              </w:rPr>
            </w:pPr>
            <w:r>
              <w:rPr>
                <w:color w:val="auto"/>
                <w:sz w:val="22"/>
                <w:szCs w:val="22"/>
              </w:rPr>
              <w:t>Урок 58</w:t>
            </w:r>
          </w:p>
        </w:tc>
        <w:tc>
          <w:tcPr>
            <w:tcW w:w="6405" w:type="dxa"/>
            <w:vAlign w:val="center"/>
          </w:tcPr>
          <w:p w14:paraId="71A04129">
            <w:pPr>
              <w:pStyle w:val="85"/>
              <w:jc w:val="both"/>
              <w:rPr>
                <w:color w:val="auto"/>
                <w:sz w:val="22"/>
                <w:szCs w:val="22"/>
              </w:rPr>
            </w:pPr>
            <w:r>
              <w:rPr>
                <w:color w:val="auto"/>
                <w:sz w:val="22"/>
                <w:szCs w:val="22"/>
              </w:rPr>
              <w:t>Резервный урок. Формы земной поверхности</w:t>
            </w:r>
          </w:p>
        </w:tc>
        <w:tc>
          <w:tcPr>
            <w:tcW w:w="1473" w:type="dxa"/>
          </w:tcPr>
          <w:p w14:paraId="0DD1AF99">
            <w:pPr>
              <w:pStyle w:val="85"/>
              <w:rPr>
                <w:color w:val="auto"/>
                <w:sz w:val="22"/>
                <w:szCs w:val="22"/>
              </w:rPr>
            </w:pPr>
          </w:p>
        </w:tc>
      </w:tr>
      <w:tr w14:paraId="33955D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91" w:type="dxa"/>
            <w:vAlign w:val="center"/>
          </w:tcPr>
          <w:p w14:paraId="53C3E79D">
            <w:pPr>
              <w:pStyle w:val="85"/>
              <w:rPr>
                <w:color w:val="auto"/>
                <w:sz w:val="22"/>
                <w:szCs w:val="22"/>
              </w:rPr>
            </w:pPr>
            <w:r>
              <w:rPr>
                <w:color w:val="auto"/>
                <w:sz w:val="22"/>
                <w:szCs w:val="22"/>
              </w:rPr>
              <w:t>Урок 59</w:t>
            </w:r>
          </w:p>
        </w:tc>
        <w:tc>
          <w:tcPr>
            <w:tcW w:w="6405" w:type="dxa"/>
          </w:tcPr>
          <w:p w14:paraId="555FE64C">
            <w:pPr>
              <w:pStyle w:val="85"/>
              <w:jc w:val="both"/>
              <w:rPr>
                <w:color w:val="auto"/>
                <w:sz w:val="22"/>
                <w:szCs w:val="22"/>
              </w:rPr>
            </w:pPr>
            <w:r>
              <w:rPr>
                <w:color w:val="auto"/>
                <w:sz w:val="22"/>
                <w:szCs w:val="22"/>
              </w:rPr>
              <w:t>Животные и их потомство. Размножение животных. Стадии развития насекомого, земноводных</w:t>
            </w:r>
          </w:p>
        </w:tc>
        <w:tc>
          <w:tcPr>
            <w:tcW w:w="1473" w:type="dxa"/>
          </w:tcPr>
          <w:p w14:paraId="2395FDE2">
            <w:pPr>
              <w:pStyle w:val="85"/>
              <w:rPr>
                <w:color w:val="auto"/>
                <w:sz w:val="22"/>
                <w:szCs w:val="22"/>
              </w:rPr>
            </w:pPr>
          </w:p>
        </w:tc>
      </w:tr>
      <w:tr w14:paraId="30EF36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91" w:type="dxa"/>
            <w:vAlign w:val="center"/>
          </w:tcPr>
          <w:p w14:paraId="725D3799">
            <w:pPr>
              <w:pStyle w:val="85"/>
              <w:rPr>
                <w:color w:val="auto"/>
                <w:sz w:val="22"/>
                <w:szCs w:val="22"/>
              </w:rPr>
            </w:pPr>
            <w:r>
              <w:rPr>
                <w:color w:val="auto"/>
                <w:sz w:val="22"/>
                <w:szCs w:val="22"/>
              </w:rPr>
              <w:t>Урок 60</w:t>
            </w:r>
          </w:p>
        </w:tc>
        <w:tc>
          <w:tcPr>
            <w:tcW w:w="6405" w:type="dxa"/>
            <w:vAlign w:val="center"/>
          </w:tcPr>
          <w:p w14:paraId="2CC2B90C">
            <w:pPr>
              <w:pStyle w:val="85"/>
              <w:jc w:val="both"/>
              <w:rPr>
                <w:color w:val="auto"/>
                <w:sz w:val="22"/>
                <w:szCs w:val="22"/>
              </w:rPr>
            </w:pPr>
            <w:r>
              <w:rPr>
                <w:color w:val="auto"/>
                <w:sz w:val="22"/>
                <w:szCs w:val="22"/>
              </w:rPr>
              <w:t>Москва - столица России. Герб Москвы</w:t>
            </w:r>
          </w:p>
        </w:tc>
        <w:tc>
          <w:tcPr>
            <w:tcW w:w="1473" w:type="dxa"/>
          </w:tcPr>
          <w:p w14:paraId="7DA35D8B">
            <w:pPr>
              <w:pStyle w:val="85"/>
              <w:rPr>
                <w:color w:val="auto"/>
                <w:sz w:val="22"/>
                <w:szCs w:val="22"/>
              </w:rPr>
            </w:pPr>
          </w:p>
        </w:tc>
      </w:tr>
      <w:tr w14:paraId="74EBDD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91" w:type="dxa"/>
            <w:vAlign w:val="center"/>
          </w:tcPr>
          <w:p w14:paraId="2CAEF320">
            <w:pPr>
              <w:pStyle w:val="85"/>
              <w:rPr>
                <w:color w:val="auto"/>
                <w:sz w:val="22"/>
                <w:szCs w:val="22"/>
              </w:rPr>
            </w:pPr>
            <w:r>
              <w:rPr>
                <w:color w:val="auto"/>
                <w:sz w:val="22"/>
                <w:szCs w:val="22"/>
              </w:rPr>
              <w:t>Урок 61</w:t>
            </w:r>
          </w:p>
        </w:tc>
        <w:tc>
          <w:tcPr>
            <w:tcW w:w="6405" w:type="dxa"/>
          </w:tcPr>
          <w:p w14:paraId="0CB7620C">
            <w:pPr>
              <w:pStyle w:val="85"/>
              <w:jc w:val="both"/>
              <w:rPr>
                <w:color w:val="auto"/>
                <w:sz w:val="22"/>
                <w:szCs w:val="22"/>
              </w:rPr>
            </w:pPr>
            <w:r>
              <w:rPr>
                <w:color w:val="auto"/>
                <w:sz w:val="22"/>
                <w:szCs w:val="22"/>
              </w:rPr>
              <w:t>Достопримечательности Москвы: Большой театр, Московский государственный университет,</w:t>
            </w:r>
          </w:p>
          <w:p w14:paraId="420801A1">
            <w:pPr>
              <w:pStyle w:val="85"/>
              <w:jc w:val="both"/>
              <w:rPr>
                <w:color w:val="auto"/>
                <w:sz w:val="22"/>
                <w:szCs w:val="22"/>
              </w:rPr>
            </w:pPr>
            <w:r>
              <w:rPr>
                <w:color w:val="auto"/>
                <w:sz w:val="22"/>
                <w:szCs w:val="22"/>
              </w:rPr>
              <w:t>Московский цирк, Театр кукол имени</w:t>
            </w:r>
          </w:p>
          <w:p w14:paraId="0133DF76">
            <w:pPr>
              <w:pStyle w:val="85"/>
              <w:jc w:val="both"/>
              <w:rPr>
                <w:color w:val="auto"/>
                <w:sz w:val="22"/>
                <w:szCs w:val="22"/>
              </w:rPr>
            </w:pPr>
            <w:r>
              <w:rPr>
                <w:color w:val="auto"/>
                <w:sz w:val="22"/>
                <w:szCs w:val="22"/>
              </w:rPr>
              <w:t>С.В. Образцова. Путешествие по Москве</w:t>
            </w:r>
          </w:p>
        </w:tc>
        <w:tc>
          <w:tcPr>
            <w:tcW w:w="1473" w:type="dxa"/>
          </w:tcPr>
          <w:p w14:paraId="4C8DD541">
            <w:pPr>
              <w:pStyle w:val="85"/>
              <w:rPr>
                <w:color w:val="auto"/>
                <w:sz w:val="22"/>
                <w:szCs w:val="22"/>
              </w:rPr>
            </w:pPr>
          </w:p>
        </w:tc>
      </w:tr>
      <w:tr w14:paraId="0989B8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91" w:type="dxa"/>
            <w:vAlign w:val="center"/>
          </w:tcPr>
          <w:p w14:paraId="0FBED11E">
            <w:pPr>
              <w:pStyle w:val="85"/>
              <w:rPr>
                <w:color w:val="auto"/>
                <w:sz w:val="22"/>
                <w:szCs w:val="22"/>
              </w:rPr>
            </w:pPr>
            <w:r>
              <w:rPr>
                <w:color w:val="auto"/>
                <w:sz w:val="22"/>
                <w:szCs w:val="22"/>
              </w:rPr>
              <w:t>Урок 62</w:t>
            </w:r>
          </w:p>
        </w:tc>
        <w:tc>
          <w:tcPr>
            <w:tcW w:w="6405" w:type="dxa"/>
          </w:tcPr>
          <w:p w14:paraId="68ED021F">
            <w:pPr>
              <w:pStyle w:val="85"/>
              <w:jc w:val="both"/>
              <w:rPr>
                <w:color w:val="auto"/>
                <w:sz w:val="22"/>
                <w:szCs w:val="22"/>
              </w:rPr>
            </w:pPr>
            <w:r>
              <w:rPr>
                <w:color w:val="auto"/>
                <w:sz w:val="22"/>
                <w:szCs w:val="22"/>
              </w:rPr>
              <w:t>Строительство Московского Кремля. Московский Кремль и Красная площадь</w:t>
            </w:r>
          </w:p>
        </w:tc>
        <w:tc>
          <w:tcPr>
            <w:tcW w:w="1473" w:type="dxa"/>
          </w:tcPr>
          <w:p w14:paraId="09DBBCB2">
            <w:pPr>
              <w:pStyle w:val="85"/>
              <w:rPr>
                <w:color w:val="auto"/>
                <w:sz w:val="22"/>
                <w:szCs w:val="22"/>
              </w:rPr>
            </w:pPr>
          </w:p>
        </w:tc>
      </w:tr>
      <w:tr w14:paraId="7C3A71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91" w:type="dxa"/>
            <w:vAlign w:val="center"/>
          </w:tcPr>
          <w:p w14:paraId="33096FEF">
            <w:pPr>
              <w:pStyle w:val="85"/>
              <w:rPr>
                <w:color w:val="auto"/>
                <w:sz w:val="22"/>
                <w:szCs w:val="22"/>
              </w:rPr>
            </w:pPr>
            <w:r>
              <w:rPr>
                <w:color w:val="auto"/>
                <w:sz w:val="22"/>
                <w:szCs w:val="22"/>
              </w:rPr>
              <w:t>Урок 63</w:t>
            </w:r>
          </w:p>
        </w:tc>
        <w:tc>
          <w:tcPr>
            <w:tcW w:w="6405" w:type="dxa"/>
          </w:tcPr>
          <w:p w14:paraId="5B0E7302">
            <w:pPr>
              <w:pStyle w:val="85"/>
              <w:jc w:val="both"/>
              <w:rPr>
                <w:color w:val="auto"/>
                <w:sz w:val="22"/>
                <w:szCs w:val="22"/>
              </w:rPr>
            </w:pPr>
            <w:r>
              <w:rPr>
                <w:color w:val="auto"/>
                <w:sz w:val="22"/>
                <w:szCs w:val="22"/>
              </w:rPr>
              <w:t>Санкт-Петербург - северная столица.</w:t>
            </w:r>
          </w:p>
          <w:p w14:paraId="6C125E37">
            <w:pPr>
              <w:pStyle w:val="85"/>
              <w:jc w:val="both"/>
              <w:rPr>
                <w:color w:val="auto"/>
                <w:sz w:val="22"/>
                <w:szCs w:val="22"/>
              </w:rPr>
            </w:pPr>
            <w:r>
              <w:rPr>
                <w:color w:val="auto"/>
                <w:sz w:val="22"/>
                <w:szCs w:val="22"/>
              </w:rPr>
              <w:t>Достопримечательности города</w:t>
            </w:r>
          </w:p>
        </w:tc>
        <w:tc>
          <w:tcPr>
            <w:tcW w:w="1473" w:type="dxa"/>
          </w:tcPr>
          <w:p w14:paraId="0C07CB44">
            <w:pPr>
              <w:pStyle w:val="85"/>
              <w:rPr>
                <w:color w:val="auto"/>
                <w:sz w:val="22"/>
                <w:szCs w:val="22"/>
              </w:rPr>
            </w:pPr>
          </w:p>
        </w:tc>
      </w:tr>
      <w:tr w14:paraId="258F6C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91" w:type="dxa"/>
            <w:vAlign w:val="center"/>
          </w:tcPr>
          <w:p w14:paraId="75585293">
            <w:pPr>
              <w:pStyle w:val="85"/>
              <w:rPr>
                <w:color w:val="auto"/>
                <w:sz w:val="22"/>
                <w:szCs w:val="22"/>
              </w:rPr>
            </w:pPr>
            <w:r>
              <w:rPr>
                <w:color w:val="auto"/>
                <w:sz w:val="22"/>
                <w:szCs w:val="22"/>
              </w:rPr>
              <w:t>Урок 64</w:t>
            </w:r>
          </w:p>
        </w:tc>
        <w:tc>
          <w:tcPr>
            <w:tcW w:w="6405" w:type="dxa"/>
          </w:tcPr>
          <w:p w14:paraId="4410A4E0">
            <w:pPr>
              <w:pStyle w:val="85"/>
              <w:jc w:val="both"/>
              <w:rPr>
                <w:color w:val="auto"/>
                <w:sz w:val="22"/>
                <w:szCs w:val="22"/>
              </w:rPr>
            </w:pPr>
            <w:r>
              <w:rPr>
                <w:color w:val="auto"/>
                <w:sz w:val="22"/>
                <w:szCs w:val="22"/>
              </w:rPr>
              <w:t>Кустарники нашего края: узнавание, название, краткое описание</w:t>
            </w:r>
          </w:p>
        </w:tc>
        <w:tc>
          <w:tcPr>
            <w:tcW w:w="1473" w:type="dxa"/>
          </w:tcPr>
          <w:p w14:paraId="17CD8A0C">
            <w:pPr>
              <w:pStyle w:val="85"/>
              <w:rPr>
                <w:color w:val="auto"/>
                <w:sz w:val="22"/>
                <w:szCs w:val="22"/>
              </w:rPr>
            </w:pPr>
          </w:p>
        </w:tc>
      </w:tr>
      <w:tr w14:paraId="1EB2BC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91" w:type="dxa"/>
            <w:vAlign w:val="center"/>
          </w:tcPr>
          <w:p w14:paraId="05AF6183">
            <w:pPr>
              <w:pStyle w:val="85"/>
              <w:rPr>
                <w:color w:val="auto"/>
                <w:sz w:val="22"/>
                <w:szCs w:val="22"/>
              </w:rPr>
            </w:pPr>
            <w:r>
              <w:rPr>
                <w:color w:val="auto"/>
                <w:sz w:val="22"/>
                <w:szCs w:val="22"/>
              </w:rPr>
              <w:t>Урок 65</w:t>
            </w:r>
          </w:p>
        </w:tc>
        <w:tc>
          <w:tcPr>
            <w:tcW w:w="6405" w:type="dxa"/>
          </w:tcPr>
          <w:p w14:paraId="30D3ED7C">
            <w:pPr>
              <w:pStyle w:val="85"/>
              <w:jc w:val="both"/>
              <w:rPr>
                <w:color w:val="auto"/>
                <w:sz w:val="22"/>
                <w:szCs w:val="22"/>
              </w:rPr>
            </w:pPr>
            <w:r>
              <w:rPr>
                <w:color w:val="auto"/>
                <w:sz w:val="22"/>
                <w:szCs w:val="22"/>
              </w:rPr>
              <w:t>Травы нашего края: многообразие. Внешний вид, условия жизни (называние, краткое описание)</w:t>
            </w:r>
          </w:p>
        </w:tc>
        <w:tc>
          <w:tcPr>
            <w:tcW w:w="1473" w:type="dxa"/>
          </w:tcPr>
          <w:p w14:paraId="059A0298">
            <w:pPr>
              <w:pStyle w:val="85"/>
              <w:rPr>
                <w:color w:val="auto"/>
                <w:sz w:val="22"/>
                <w:szCs w:val="22"/>
              </w:rPr>
            </w:pPr>
          </w:p>
        </w:tc>
      </w:tr>
      <w:tr w14:paraId="6FF3FA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91" w:type="dxa"/>
            <w:vAlign w:val="center"/>
          </w:tcPr>
          <w:p w14:paraId="6F24F4D5">
            <w:pPr>
              <w:pStyle w:val="85"/>
              <w:rPr>
                <w:color w:val="auto"/>
                <w:sz w:val="22"/>
                <w:szCs w:val="22"/>
              </w:rPr>
            </w:pPr>
            <w:r>
              <w:rPr>
                <w:color w:val="auto"/>
                <w:sz w:val="22"/>
                <w:szCs w:val="22"/>
              </w:rPr>
              <w:t>Урок 66</w:t>
            </w:r>
          </w:p>
        </w:tc>
        <w:tc>
          <w:tcPr>
            <w:tcW w:w="6405" w:type="dxa"/>
          </w:tcPr>
          <w:p w14:paraId="3C8D71E8">
            <w:pPr>
              <w:pStyle w:val="85"/>
              <w:jc w:val="both"/>
              <w:rPr>
                <w:color w:val="auto"/>
                <w:sz w:val="22"/>
                <w:szCs w:val="22"/>
              </w:rPr>
            </w:pPr>
            <w:r>
              <w:rPr>
                <w:color w:val="auto"/>
                <w:sz w:val="22"/>
                <w:szCs w:val="22"/>
              </w:rPr>
              <w:t>Годовой ход изменений в жизни животных. Жизнь животных весной и летом. Явления природы. В гости к весне. Впереди лето</w:t>
            </w:r>
          </w:p>
        </w:tc>
        <w:tc>
          <w:tcPr>
            <w:tcW w:w="1473" w:type="dxa"/>
          </w:tcPr>
          <w:p w14:paraId="5EA5B1B0">
            <w:pPr>
              <w:pStyle w:val="85"/>
              <w:rPr>
                <w:color w:val="auto"/>
                <w:sz w:val="22"/>
                <w:szCs w:val="22"/>
              </w:rPr>
            </w:pPr>
          </w:p>
        </w:tc>
      </w:tr>
      <w:tr w14:paraId="2A9F29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91" w:type="dxa"/>
            <w:vAlign w:val="center"/>
          </w:tcPr>
          <w:p w14:paraId="2E6A9831">
            <w:pPr>
              <w:pStyle w:val="85"/>
              <w:rPr>
                <w:color w:val="auto"/>
                <w:sz w:val="22"/>
                <w:szCs w:val="22"/>
              </w:rPr>
            </w:pPr>
            <w:r>
              <w:rPr>
                <w:color w:val="auto"/>
                <w:sz w:val="22"/>
                <w:szCs w:val="22"/>
              </w:rPr>
              <w:t>Урок 67</w:t>
            </w:r>
          </w:p>
        </w:tc>
        <w:tc>
          <w:tcPr>
            <w:tcW w:w="6405" w:type="dxa"/>
          </w:tcPr>
          <w:p w14:paraId="22A14DE1">
            <w:pPr>
              <w:pStyle w:val="85"/>
              <w:jc w:val="both"/>
              <w:rPr>
                <w:color w:val="auto"/>
                <w:sz w:val="22"/>
                <w:szCs w:val="22"/>
              </w:rPr>
            </w:pPr>
            <w:r>
              <w:rPr>
                <w:color w:val="auto"/>
                <w:sz w:val="22"/>
                <w:szCs w:val="22"/>
              </w:rPr>
              <w:t>Резервный урок. Древние кремлевские города: Нижний Новгород, Псков, Смоленск. Города России</w:t>
            </w:r>
          </w:p>
        </w:tc>
        <w:tc>
          <w:tcPr>
            <w:tcW w:w="1473" w:type="dxa"/>
          </w:tcPr>
          <w:p w14:paraId="53B07A61">
            <w:pPr>
              <w:pStyle w:val="85"/>
              <w:rPr>
                <w:color w:val="auto"/>
                <w:sz w:val="22"/>
                <w:szCs w:val="22"/>
              </w:rPr>
            </w:pPr>
          </w:p>
        </w:tc>
      </w:tr>
      <w:tr w14:paraId="0957F5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91" w:type="dxa"/>
            <w:vAlign w:val="center"/>
          </w:tcPr>
          <w:p w14:paraId="13FC1E1E">
            <w:pPr>
              <w:pStyle w:val="85"/>
              <w:rPr>
                <w:color w:val="auto"/>
                <w:sz w:val="22"/>
                <w:szCs w:val="22"/>
              </w:rPr>
            </w:pPr>
            <w:r>
              <w:rPr>
                <w:color w:val="auto"/>
                <w:sz w:val="22"/>
                <w:szCs w:val="22"/>
              </w:rPr>
              <w:t>Урок 68</w:t>
            </w:r>
          </w:p>
        </w:tc>
        <w:tc>
          <w:tcPr>
            <w:tcW w:w="6405" w:type="dxa"/>
          </w:tcPr>
          <w:p w14:paraId="305E00C7">
            <w:pPr>
              <w:pStyle w:val="85"/>
              <w:jc w:val="both"/>
              <w:rPr>
                <w:color w:val="auto"/>
                <w:sz w:val="22"/>
                <w:szCs w:val="22"/>
              </w:rPr>
            </w:pPr>
            <w:r>
              <w:rPr>
                <w:color w:val="auto"/>
                <w:sz w:val="22"/>
                <w:szCs w:val="22"/>
              </w:rPr>
              <w:t>Резервный урок. Тематическое повторение по итогам 2 класса</w:t>
            </w:r>
          </w:p>
        </w:tc>
        <w:tc>
          <w:tcPr>
            <w:tcW w:w="1473" w:type="dxa"/>
          </w:tcPr>
          <w:p w14:paraId="3E254728">
            <w:pPr>
              <w:pStyle w:val="85"/>
              <w:rPr>
                <w:color w:val="auto"/>
                <w:sz w:val="22"/>
                <w:szCs w:val="22"/>
              </w:rPr>
            </w:pPr>
          </w:p>
        </w:tc>
      </w:tr>
      <w:tr w14:paraId="4A895C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9069" w:type="dxa"/>
            <w:gridSpan w:val="3"/>
          </w:tcPr>
          <w:p w14:paraId="02973B3D">
            <w:pPr>
              <w:pStyle w:val="85"/>
              <w:jc w:val="both"/>
              <w:rPr>
                <w:color w:val="auto"/>
                <w:sz w:val="22"/>
                <w:szCs w:val="22"/>
              </w:rPr>
            </w:pPr>
            <w:r>
              <w:rPr>
                <w:color w:val="auto"/>
                <w:sz w:val="22"/>
                <w:szCs w:val="22"/>
              </w:rPr>
              <w:t>ОБЩЕЕ КОЛИЧЕСТВО УРОКОВ ПО ПРОГРАММЕ: 68, из них уроков, отведенных на контрольные работы, - не более 6</w:t>
            </w:r>
          </w:p>
        </w:tc>
      </w:tr>
    </w:tbl>
    <w:p w14:paraId="2719C51B">
      <w:pPr>
        <w:pStyle w:val="85"/>
        <w:jc w:val="both"/>
        <w:rPr>
          <w:color w:val="auto"/>
          <w:sz w:val="22"/>
          <w:szCs w:val="22"/>
        </w:rPr>
      </w:pPr>
    </w:p>
    <w:p w14:paraId="00070DF1">
      <w:pPr>
        <w:pStyle w:val="85"/>
        <w:jc w:val="right"/>
        <w:rPr>
          <w:color w:val="auto"/>
          <w:sz w:val="22"/>
          <w:szCs w:val="22"/>
        </w:rPr>
      </w:pPr>
      <w:r>
        <w:rPr>
          <w:color w:val="auto"/>
          <w:sz w:val="22"/>
          <w:szCs w:val="22"/>
        </w:rPr>
        <w:t>Таблица 11.2</w:t>
      </w:r>
    </w:p>
    <w:p w14:paraId="11AA2546">
      <w:pPr>
        <w:pStyle w:val="85"/>
        <w:jc w:val="both"/>
        <w:rPr>
          <w:color w:val="auto"/>
          <w:sz w:val="22"/>
          <w:szCs w:val="22"/>
        </w:rPr>
      </w:pPr>
    </w:p>
    <w:p w14:paraId="01D8EB75">
      <w:pPr>
        <w:pStyle w:val="85"/>
        <w:jc w:val="both"/>
        <w:rPr>
          <w:color w:val="auto"/>
          <w:sz w:val="22"/>
          <w:szCs w:val="22"/>
        </w:rPr>
      </w:pPr>
      <w:r>
        <w:rPr>
          <w:color w:val="auto"/>
          <w:sz w:val="22"/>
          <w:szCs w:val="22"/>
        </w:rPr>
        <w:t>3 класс</w:t>
      </w:r>
    </w:p>
    <w:p w14:paraId="3DDBCC23">
      <w:pPr>
        <w:pStyle w:val="85"/>
        <w:jc w:val="both"/>
        <w:rPr>
          <w:color w:val="auto"/>
          <w:sz w:val="22"/>
          <w:szCs w:val="22"/>
        </w:rPr>
      </w:pPr>
    </w:p>
    <w:tbl>
      <w:tblPr>
        <w:tblStyle w:val="1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02" w:type="dxa"/>
          <w:left w:w="62" w:type="dxa"/>
          <w:bottom w:w="102" w:type="dxa"/>
          <w:right w:w="62" w:type="dxa"/>
        </w:tblCellMar>
      </w:tblPr>
      <w:tblGrid>
        <w:gridCol w:w="1191"/>
        <w:gridCol w:w="6405"/>
        <w:gridCol w:w="1473"/>
      </w:tblGrid>
      <w:tr w14:paraId="6860FD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91" w:type="dxa"/>
          </w:tcPr>
          <w:p w14:paraId="1FBAA211">
            <w:pPr>
              <w:pStyle w:val="85"/>
              <w:jc w:val="center"/>
              <w:rPr>
                <w:color w:val="auto"/>
                <w:sz w:val="22"/>
                <w:szCs w:val="22"/>
              </w:rPr>
            </w:pPr>
            <w:r>
              <w:rPr>
                <w:color w:val="auto"/>
                <w:sz w:val="22"/>
                <w:szCs w:val="22"/>
              </w:rPr>
              <w:t>N урока</w:t>
            </w:r>
          </w:p>
        </w:tc>
        <w:tc>
          <w:tcPr>
            <w:tcW w:w="6405" w:type="dxa"/>
          </w:tcPr>
          <w:p w14:paraId="4326FFF9">
            <w:pPr>
              <w:pStyle w:val="85"/>
              <w:jc w:val="center"/>
              <w:rPr>
                <w:color w:val="auto"/>
                <w:sz w:val="22"/>
                <w:szCs w:val="22"/>
              </w:rPr>
            </w:pPr>
            <w:r>
              <w:rPr>
                <w:color w:val="auto"/>
                <w:sz w:val="22"/>
                <w:szCs w:val="22"/>
              </w:rPr>
              <w:t>Тема урока</w:t>
            </w:r>
          </w:p>
        </w:tc>
        <w:tc>
          <w:tcPr>
            <w:tcW w:w="1473" w:type="dxa"/>
          </w:tcPr>
          <w:p w14:paraId="5E811A3C">
            <w:pPr>
              <w:pStyle w:val="85"/>
              <w:jc w:val="center"/>
              <w:rPr>
                <w:color w:val="auto"/>
                <w:sz w:val="22"/>
                <w:szCs w:val="22"/>
              </w:rPr>
            </w:pPr>
            <w:r>
              <w:rPr>
                <w:color w:val="auto"/>
                <w:sz w:val="22"/>
                <w:szCs w:val="22"/>
              </w:rPr>
              <w:t>Количество часов на практические работы</w:t>
            </w:r>
          </w:p>
        </w:tc>
      </w:tr>
      <w:tr w14:paraId="769531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91" w:type="dxa"/>
          </w:tcPr>
          <w:p w14:paraId="6B56BCC7">
            <w:pPr>
              <w:pStyle w:val="85"/>
              <w:rPr>
                <w:color w:val="auto"/>
                <w:sz w:val="22"/>
                <w:szCs w:val="22"/>
              </w:rPr>
            </w:pPr>
            <w:r>
              <w:rPr>
                <w:color w:val="auto"/>
                <w:sz w:val="22"/>
                <w:szCs w:val="22"/>
              </w:rPr>
              <w:t>Урок 1</w:t>
            </w:r>
          </w:p>
        </w:tc>
        <w:tc>
          <w:tcPr>
            <w:tcW w:w="6405" w:type="dxa"/>
          </w:tcPr>
          <w:p w14:paraId="17EE1AC9">
            <w:pPr>
              <w:pStyle w:val="85"/>
              <w:jc w:val="both"/>
              <w:rPr>
                <w:color w:val="auto"/>
                <w:sz w:val="22"/>
                <w:szCs w:val="22"/>
              </w:rPr>
            </w:pPr>
            <w:r>
              <w:rPr>
                <w:color w:val="auto"/>
                <w:sz w:val="22"/>
                <w:szCs w:val="22"/>
              </w:rPr>
              <w:t>Безопасная информационная среда</w:t>
            </w:r>
          </w:p>
        </w:tc>
        <w:tc>
          <w:tcPr>
            <w:tcW w:w="1473" w:type="dxa"/>
          </w:tcPr>
          <w:p w14:paraId="520841AF">
            <w:pPr>
              <w:pStyle w:val="85"/>
              <w:rPr>
                <w:color w:val="auto"/>
                <w:sz w:val="22"/>
                <w:szCs w:val="22"/>
              </w:rPr>
            </w:pPr>
          </w:p>
        </w:tc>
      </w:tr>
      <w:tr w14:paraId="515BAE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91" w:type="dxa"/>
            <w:vAlign w:val="center"/>
          </w:tcPr>
          <w:p w14:paraId="0FC49F63">
            <w:pPr>
              <w:pStyle w:val="85"/>
              <w:rPr>
                <w:color w:val="auto"/>
                <w:sz w:val="22"/>
                <w:szCs w:val="22"/>
              </w:rPr>
            </w:pPr>
            <w:r>
              <w:rPr>
                <w:color w:val="auto"/>
                <w:sz w:val="22"/>
                <w:szCs w:val="22"/>
              </w:rPr>
              <w:t>Урок 2</w:t>
            </w:r>
          </w:p>
        </w:tc>
        <w:tc>
          <w:tcPr>
            <w:tcW w:w="6405" w:type="dxa"/>
          </w:tcPr>
          <w:p w14:paraId="464FE524">
            <w:pPr>
              <w:pStyle w:val="85"/>
              <w:jc w:val="both"/>
              <w:rPr>
                <w:color w:val="auto"/>
                <w:sz w:val="22"/>
                <w:szCs w:val="22"/>
              </w:rPr>
            </w:pPr>
            <w:r>
              <w:rPr>
                <w:color w:val="auto"/>
                <w:sz w:val="22"/>
                <w:szCs w:val="22"/>
              </w:rPr>
              <w:t>Методы изучения природы: наблюдения, сравнения, измерения, опыты и эксперименты. Материки и океаны, части света: картины природы</w:t>
            </w:r>
          </w:p>
        </w:tc>
        <w:tc>
          <w:tcPr>
            <w:tcW w:w="1473" w:type="dxa"/>
          </w:tcPr>
          <w:p w14:paraId="06DAFCBB">
            <w:pPr>
              <w:pStyle w:val="85"/>
              <w:rPr>
                <w:color w:val="auto"/>
                <w:sz w:val="22"/>
                <w:szCs w:val="22"/>
              </w:rPr>
            </w:pPr>
          </w:p>
        </w:tc>
      </w:tr>
      <w:tr w14:paraId="2068CF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91" w:type="dxa"/>
            <w:vAlign w:val="center"/>
          </w:tcPr>
          <w:p w14:paraId="08222CCD">
            <w:pPr>
              <w:pStyle w:val="85"/>
              <w:rPr>
                <w:color w:val="auto"/>
                <w:sz w:val="22"/>
                <w:szCs w:val="22"/>
              </w:rPr>
            </w:pPr>
            <w:r>
              <w:rPr>
                <w:color w:val="auto"/>
                <w:sz w:val="22"/>
                <w:szCs w:val="22"/>
              </w:rPr>
              <w:t>Урок 3</w:t>
            </w:r>
          </w:p>
        </w:tc>
        <w:tc>
          <w:tcPr>
            <w:tcW w:w="6405" w:type="dxa"/>
          </w:tcPr>
          <w:p w14:paraId="581B7C64">
            <w:pPr>
              <w:pStyle w:val="85"/>
              <w:jc w:val="both"/>
              <w:rPr>
                <w:color w:val="auto"/>
                <w:sz w:val="22"/>
                <w:szCs w:val="22"/>
              </w:rPr>
            </w:pPr>
            <w:r>
              <w:rPr>
                <w:color w:val="auto"/>
                <w:sz w:val="22"/>
                <w:szCs w:val="22"/>
              </w:rPr>
              <w:t>Бактерии - мельчайшие одноклеточные живые существа</w:t>
            </w:r>
          </w:p>
        </w:tc>
        <w:tc>
          <w:tcPr>
            <w:tcW w:w="1473" w:type="dxa"/>
          </w:tcPr>
          <w:p w14:paraId="1EF65C06">
            <w:pPr>
              <w:pStyle w:val="85"/>
              <w:rPr>
                <w:color w:val="auto"/>
                <w:sz w:val="22"/>
                <w:szCs w:val="22"/>
              </w:rPr>
            </w:pPr>
          </w:p>
        </w:tc>
      </w:tr>
      <w:tr w14:paraId="6C6F18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91" w:type="dxa"/>
            <w:vAlign w:val="center"/>
          </w:tcPr>
          <w:p w14:paraId="44E62C81">
            <w:pPr>
              <w:pStyle w:val="85"/>
              <w:rPr>
                <w:color w:val="auto"/>
                <w:sz w:val="22"/>
                <w:szCs w:val="22"/>
              </w:rPr>
            </w:pPr>
            <w:r>
              <w:rPr>
                <w:color w:val="auto"/>
                <w:sz w:val="22"/>
                <w:szCs w:val="22"/>
              </w:rPr>
              <w:t>Урок 4</w:t>
            </w:r>
          </w:p>
        </w:tc>
        <w:tc>
          <w:tcPr>
            <w:tcW w:w="6405" w:type="dxa"/>
            <w:vAlign w:val="center"/>
          </w:tcPr>
          <w:p w14:paraId="39C191EE">
            <w:pPr>
              <w:pStyle w:val="85"/>
              <w:jc w:val="both"/>
              <w:rPr>
                <w:color w:val="auto"/>
                <w:sz w:val="22"/>
                <w:szCs w:val="22"/>
              </w:rPr>
            </w:pPr>
            <w:r>
              <w:rPr>
                <w:color w:val="auto"/>
                <w:sz w:val="22"/>
                <w:szCs w:val="22"/>
              </w:rPr>
              <w:t>Естественные природные сообщества: лес, луг, водоем</w:t>
            </w:r>
          </w:p>
        </w:tc>
        <w:tc>
          <w:tcPr>
            <w:tcW w:w="1473" w:type="dxa"/>
          </w:tcPr>
          <w:p w14:paraId="57A59409">
            <w:pPr>
              <w:pStyle w:val="85"/>
              <w:rPr>
                <w:color w:val="auto"/>
                <w:sz w:val="22"/>
                <w:szCs w:val="22"/>
              </w:rPr>
            </w:pPr>
          </w:p>
        </w:tc>
      </w:tr>
      <w:tr w14:paraId="0C9998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91" w:type="dxa"/>
            <w:vAlign w:val="center"/>
          </w:tcPr>
          <w:p w14:paraId="397E64B9">
            <w:pPr>
              <w:pStyle w:val="85"/>
              <w:rPr>
                <w:color w:val="auto"/>
                <w:sz w:val="22"/>
                <w:szCs w:val="22"/>
              </w:rPr>
            </w:pPr>
            <w:r>
              <w:rPr>
                <w:color w:val="auto"/>
                <w:sz w:val="22"/>
                <w:szCs w:val="22"/>
              </w:rPr>
              <w:t>Урок 5</w:t>
            </w:r>
          </w:p>
        </w:tc>
        <w:tc>
          <w:tcPr>
            <w:tcW w:w="6405" w:type="dxa"/>
          </w:tcPr>
          <w:p w14:paraId="06697F99">
            <w:pPr>
              <w:pStyle w:val="85"/>
              <w:jc w:val="both"/>
              <w:rPr>
                <w:color w:val="auto"/>
                <w:sz w:val="22"/>
                <w:szCs w:val="22"/>
              </w:rPr>
            </w:pPr>
            <w:r>
              <w:rPr>
                <w:color w:val="auto"/>
                <w:sz w:val="22"/>
                <w:szCs w:val="22"/>
              </w:rPr>
              <w:t>Искусственные природные сообщества, созданные человеком - пруд, поле, парк, огород</w:t>
            </w:r>
          </w:p>
        </w:tc>
        <w:tc>
          <w:tcPr>
            <w:tcW w:w="1473" w:type="dxa"/>
          </w:tcPr>
          <w:p w14:paraId="4DFD69E7">
            <w:pPr>
              <w:pStyle w:val="85"/>
              <w:rPr>
                <w:color w:val="auto"/>
                <w:sz w:val="22"/>
                <w:szCs w:val="22"/>
              </w:rPr>
            </w:pPr>
          </w:p>
        </w:tc>
      </w:tr>
      <w:tr w14:paraId="4479D1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91" w:type="dxa"/>
            <w:vAlign w:val="center"/>
          </w:tcPr>
          <w:p w14:paraId="644BEAD3">
            <w:pPr>
              <w:pStyle w:val="85"/>
              <w:rPr>
                <w:color w:val="auto"/>
                <w:sz w:val="22"/>
                <w:szCs w:val="22"/>
              </w:rPr>
            </w:pPr>
            <w:r>
              <w:rPr>
                <w:color w:val="auto"/>
                <w:sz w:val="22"/>
                <w:szCs w:val="22"/>
              </w:rPr>
              <w:t>Урок 6</w:t>
            </w:r>
          </w:p>
        </w:tc>
        <w:tc>
          <w:tcPr>
            <w:tcW w:w="6405" w:type="dxa"/>
          </w:tcPr>
          <w:p w14:paraId="6D46FD4F">
            <w:pPr>
              <w:pStyle w:val="85"/>
              <w:jc w:val="both"/>
              <w:rPr>
                <w:color w:val="auto"/>
                <w:sz w:val="22"/>
                <w:szCs w:val="22"/>
              </w:rPr>
            </w:pPr>
            <w:r>
              <w:rPr>
                <w:color w:val="auto"/>
                <w:sz w:val="22"/>
                <w:szCs w:val="22"/>
              </w:rPr>
              <w:t>Природные сообщества родного края - два - три примера на основе наблюдения</w:t>
            </w:r>
          </w:p>
        </w:tc>
        <w:tc>
          <w:tcPr>
            <w:tcW w:w="1473" w:type="dxa"/>
          </w:tcPr>
          <w:p w14:paraId="765D574D">
            <w:pPr>
              <w:pStyle w:val="85"/>
              <w:rPr>
                <w:color w:val="auto"/>
                <w:sz w:val="22"/>
                <w:szCs w:val="22"/>
              </w:rPr>
            </w:pPr>
          </w:p>
        </w:tc>
      </w:tr>
      <w:tr w14:paraId="0F0EF9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91" w:type="dxa"/>
            <w:vAlign w:val="center"/>
          </w:tcPr>
          <w:p w14:paraId="7B2E437B">
            <w:pPr>
              <w:pStyle w:val="85"/>
              <w:rPr>
                <w:color w:val="auto"/>
                <w:sz w:val="22"/>
                <w:szCs w:val="22"/>
              </w:rPr>
            </w:pPr>
            <w:r>
              <w:rPr>
                <w:color w:val="auto"/>
                <w:sz w:val="22"/>
                <w:szCs w:val="22"/>
              </w:rPr>
              <w:t>Урок 7</w:t>
            </w:r>
          </w:p>
        </w:tc>
        <w:tc>
          <w:tcPr>
            <w:tcW w:w="6405" w:type="dxa"/>
          </w:tcPr>
          <w:p w14:paraId="16B1B45A">
            <w:pPr>
              <w:pStyle w:val="85"/>
              <w:jc w:val="both"/>
              <w:rPr>
                <w:color w:val="auto"/>
                <w:sz w:val="22"/>
                <w:szCs w:val="22"/>
              </w:rPr>
            </w:pPr>
            <w:r>
              <w:rPr>
                <w:color w:val="auto"/>
                <w:sz w:val="22"/>
                <w:szCs w:val="22"/>
              </w:rPr>
              <w:t>Культура, традиции народов России. Уважение к культуре, традициям, истории разных народов и своего народа</w:t>
            </w:r>
          </w:p>
        </w:tc>
        <w:tc>
          <w:tcPr>
            <w:tcW w:w="1473" w:type="dxa"/>
          </w:tcPr>
          <w:p w14:paraId="6C7B8218">
            <w:pPr>
              <w:pStyle w:val="85"/>
              <w:rPr>
                <w:color w:val="auto"/>
                <w:sz w:val="22"/>
                <w:szCs w:val="22"/>
              </w:rPr>
            </w:pPr>
          </w:p>
        </w:tc>
      </w:tr>
      <w:tr w14:paraId="1D4AF9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191" w:type="dxa"/>
          </w:tcPr>
          <w:p w14:paraId="5A020B42">
            <w:pPr>
              <w:pStyle w:val="85"/>
              <w:rPr>
                <w:color w:val="auto"/>
                <w:sz w:val="22"/>
                <w:szCs w:val="22"/>
              </w:rPr>
            </w:pPr>
            <w:r>
              <w:rPr>
                <w:color w:val="auto"/>
                <w:sz w:val="22"/>
                <w:szCs w:val="22"/>
              </w:rPr>
              <w:t>Урок 8</w:t>
            </w:r>
          </w:p>
        </w:tc>
        <w:tc>
          <w:tcPr>
            <w:tcW w:w="6405" w:type="dxa"/>
          </w:tcPr>
          <w:p w14:paraId="0EA184E0">
            <w:pPr>
              <w:pStyle w:val="85"/>
              <w:jc w:val="both"/>
              <w:rPr>
                <w:color w:val="auto"/>
                <w:sz w:val="22"/>
                <w:szCs w:val="22"/>
              </w:rPr>
            </w:pPr>
            <w:r>
              <w:rPr>
                <w:color w:val="auto"/>
                <w:sz w:val="22"/>
                <w:szCs w:val="22"/>
              </w:rPr>
              <w:t>Что такое общество?</w:t>
            </w:r>
          </w:p>
        </w:tc>
        <w:tc>
          <w:tcPr>
            <w:tcW w:w="1473" w:type="dxa"/>
          </w:tcPr>
          <w:p w14:paraId="1FA6822D">
            <w:pPr>
              <w:pStyle w:val="85"/>
              <w:rPr>
                <w:color w:val="auto"/>
                <w:sz w:val="22"/>
                <w:szCs w:val="22"/>
              </w:rPr>
            </w:pPr>
          </w:p>
        </w:tc>
      </w:tr>
      <w:tr w14:paraId="122A2C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91" w:type="dxa"/>
            <w:vAlign w:val="center"/>
          </w:tcPr>
          <w:p w14:paraId="7A8FF121">
            <w:pPr>
              <w:pStyle w:val="85"/>
              <w:rPr>
                <w:color w:val="auto"/>
                <w:sz w:val="22"/>
                <w:szCs w:val="22"/>
              </w:rPr>
            </w:pPr>
            <w:r>
              <w:rPr>
                <w:color w:val="auto"/>
                <w:sz w:val="22"/>
                <w:szCs w:val="22"/>
              </w:rPr>
              <w:t>Урок 9</w:t>
            </w:r>
          </w:p>
        </w:tc>
        <w:tc>
          <w:tcPr>
            <w:tcW w:w="6405" w:type="dxa"/>
          </w:tcPr>
          <w:p w14:paraId="184F24B6">
            <w:pPr>
              <w:pStyle w:val="85"/>
              <w:jc w:val="both"/>
              <w:rPr>
                <w:color w:val="auto"/>
                <w:sz w:val="22"/>
                <w:szCs w:val="22"/>
              </w:rPr>
            </w:pPr>
            <w:r>
              <w:rPr>
                <w:color w:val="auto"/>
                <w:sz w:val="22"/>
                <w:szCs w:val="22"/>
              </w:rPr>
              <w:t>Наша Родина - Российская Федерация Государственная символика Российской Федерации. Уважение к государственным символам России</w:t>
            </w:r>
          </w:p>
        </w:tc>
        <w:tc>
          <w:tcPr>
            <w:tcW w:w="1473" w:type="dxa"/>
          </w:tcPr>
          <w:p w14:paraId="284DF135">
            <w:pPr>
              <w:pStyle w:val="85"/>
              <w:rPr>
                <w:color w:val="auto"/>
                <w:sz w:val="22"/>
                <w:szCs w:val="22"/>
              </w:rPr>
            </w:pPr>
          </w:p>
        </w:tc>
      </w:tr>
      <w:tr w14:paraId="5759E7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91" w:type="dxa"/>
            <w:vAlign w:val="center"/>
          </w:tcPr>
          <w:p w14:paraId="0FE007F6">
            <w:pPr>
              <w:pStyle w:val="85"/>
              <w:rPr>
                <w:color w:val="auto"/>
                <w:sz w:val="22"/>
                <w:szCs w:val="22"/>
              </w:rPr>
            </w:pPr>
            <w:r>
              <w:rPr>
                <w:color w:val="auto"/>
                <w:sz w:val="22"/>
                <w:szCs w:val="22"/>
              </w:rPr>
              <w:t>Урок 10</w:t>
            </w:r>
          </w:p>
        </w:tc>
        <w:tc>
          <w:tcPr>
            <w:tcW w:w="6405" w:type="dxa"/>
            <w:vAlign w:val="center"/>
          </w:tcPr>
          <w:p w14:paraId="428D75D9">
            <w:pPr>
              <w:pStyle w:val="85"/>
              <w:jc w:val="both"/>
              <w:rPr>
                <w:color w:val="auto"/>
                <w:sz w:val="22"/>
                <w:szCs w:val="22"/>
              </w:rPr>
            </w:pPr>
            <w:r>
              <w:rPr>
                <w:color w:val="auto"/>
                <w:sz w:val="22"/>
                <w:szCs w:val="22"/>
              </w:rPr>
              <w:t>Родной край - малая родина. Российская Федерация</w:t>
            </w:r>
          </w:p>
        </w:tc>
        <w:tc>
          <w:tcPr>
            <w:tcW w:w="1473" w:type="dxa"/>
          </w:tcPr>
          <w:p w14:paraId="63048D43">
            <w:pPr>
              <w:pStyle w:val="85"/>
              <w:rPr>
                <w:color w:val="auto"/>
                <w:sz w:val="22"/>
                <w:szCs w:val="22"/>
              </w:rPr>
            </w:pPr>
          </w:p>
        </w:tc>
      </w:tr>
      <w:tr w14:paraId="65FA22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91" w:type="dxa"/>
            <w:vAlign w:val="center"/>
          </w:tcPr>
          <w:p w14:paraId="0E214963">
            <w:pPr>
              <w:pStyle w:val="85"/>
              <w:rPr>
                <w:color w:val="auto"/>
                <w:sz w:val="22"/>
                <w:szCs w:val="22"/>
              </w:rPr>
            </w:pPr>
            <w:r>
              <w:rPr>
                <w:color w:val="auto"/>
                <w:sz w:val="22"/>
                <w:szCs w:val="22"/>
              </w:rPr>
              <w:t>Урок 11</w:t>
            </w:r>
          </w:p>
        </w:tc>
        <w:tc>
          <w:tcPr>
            <w:tcW w:w="6405" w:type="dxa"/>
          </w:tcPr>
          <w:p w14:paraId="5032094B">
            <w:pPr>
              <w:pStyle w:val="85"/>
              <w:jc w:val="both"/>
              <w:rPr>
                <w:color w:val="auto"/>
                <w:sz w:val="22"/>
                <w:szCs w:val="22"/>
              </w:rPr>
            </w:pPr>
            <w:r>
              <w:rPr>
                <w:color w:val="auto"/>
                <w:sz w:val="22"/>
                <w:szCs w:val="22"/>
              </w:rPr>
              <w:t>Условия, необходимые для жизни животных: воздух, вода, тепло, пища (среда обитания) - обобщение на основе результатов наблюдений и работы с информацией</w:t>
            </w:r>
          </w:p>
        </w:tc>
        <w:tc>
          <w:tcPr>
            <w:tcW w:w="1473" w:type="dxa"/>
          </w:tcPr>
          <w:p w14:paraId="227BBAB6">
            <w:pPr>
              <w:pStyle w:val="85"/>
              <w:rPr>
                <w:color w:val="auto"/>
                <w:sz w:val="22"/>
                <w:szCs w:val="22"/>
              </w:rPr>
            </w:pPr>
          </w:p>
        </w:tc>
      </w:tr>
      <w:tr w14:paraId="63F7C1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91" w:type="dxa"/>
            <w:vAlign w:val="center"/>
          </w:tcPr>
          <w:p w14:paraId="669C3CAE">
            <w:pPr>
              <w:pStyle w:val="85"/>
              <w:rPr>
                <w:color w:val="auto"/>
                <w:sz w:val="22"/>
                <w:szCs w:val="22"/>
              </w:rPr>
            </w:pPr>
            <w:r>
              <w:rPr>
                <w:color w:val="auto"/>
                <w:sz w:val="22"/>
                <w:szCs w:val="22"/>
              </w:rPr>
              <w:t>Урок 12</w:t>
            </w:r>
          </w:p>
        </w:tc>
        <w:tc>
          <w:tcPr>
            <w:tcW w:w="6405" w:type="dxa"/>
          </w:tcPr>
          <w:p w14:paraId="2468A8F4">
            <w:pPr>
              <w:pStyle w:val="85"/>
              <w:jc w:val="both"/>
              <w:rPr>
                <w:color w:val="auto"/>
                <w:sz w:val="22"/>
                <w:szCs w:val="22"/>
              </w:rPr>
            </w:pPr>
            <w:r>
              <w:rPr>
                <w:color w:val="auto"/>
                <w:sz w:val="22"/>
                <w:szCs w:val="22"/>
              </w:rPr>
              <w:t>Труд жителей региона. Профессии, связанные с трудом в учреждениях образования и культуры</w:t>
            </w:r>
          </w:p>
        </w:tc>
        <w:tc>
          <w:tcPr>
            <w:tcW w:w="1473" w:type="dxa"/>
          </w:tcPr>
          <w:p w14:paraId="4BFB54E4">
            <w:pPr>
              <w:pStyle w:val="85"/>
              <w:rPr>
                <w:color w:val="auto"/>
                <w:sz w:val="22"/>
                <w:szCs w:val="22"/>
              </w:rPr>
            </w:pPr>
          </w:p>
        </w:tc>
      </w:tr>
      <w:tr w14:paraId="462710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91" w:type="dxa"/>
            <w:vAlign w:val="center"/>
          </w:tcPr>
          <w:p w14:paraId="1DFE2F09">
            <w:pPr>
              <w:pStyle w:val="85"/>
              <w:rPr>
                <w:color w:val="auto"/>
                <w:sz w:val="22"/>
                <w:szCs w:val="22"/>
              </w:rPr>
            </w:pPr>
            <w:r>
              <w:rPr>
                <w:color w:val="auto"/>
                <w:sz w:val="22"/>
                <w:szCs w:val="22"/>
              </w:rPr>
              <w:t>Урок 13</w:t>
            </w:r>
          </w:p>
        </w:tc>
        <w:tc>
          <w:tcPr>
            <w:tcW w:w="6405" w:type="dxa"/>
          </w:tcPr>
          <w:p w14:paraId="010A2AD0">
            <w:pPr>
              <w:pStyle w:val="85"/>
              <w:jc w:val="both"/>
              <w:rPr>
                <w:color w:val="auto"/>
                <w:sz w:val="22"/>
                <w:szCs w:val="22"/>
              </w:rPr>
            </w:pPr>
            <w:r>
              <w:rPr>
                <w:color w:val="auto"/>
                <w:sz w:val="22"/>
                <w:szCs w:val="22"/>
              </w:rPr>
              <w:t>Твердые вещества, жидкости, газы. Определение свойств твердых веществ, жидкостей и газов</w:t>
            </w:r>
          </w:p>
        </w:tc>
        <w:tc>
          <w:tcPr>
            <w:tcW w:w="1473" w:type="dxa"/>
          </w:tcPr>
          <w:p w14:paraId="5645668A">
            <w:pPr>
              <w:pStyle w:val="85"/>
              <w:rPr>
                <w:color w:val="auto"/>
                <w:sz w:val="22"/>
                <w:szCs w:val="22"/>
              </w:rPr>
            </w:pPr>
          </w:p>
        </w:tc>
      </w:tr>
      <w:tr w14:paraId="5478E5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91" w:type="dxa"/>
            <w:vAlign w:val="center"/>
          </w:tcPr>
          <w:p w14:paraId="11D3AA4E">
            <w:pPr>
              <w:pStyle w:val="85"/>
              <w:rPr>
                <w:color w:val="auto"/>
                <w:sz w:val="22"/>
                <w:szCs w:val="22"/>
              </w:rPr>
            </w:pPr>
            <w:r>
              <w:rPr>
                <w:color w:val="auto"/>
                <w:sz w:val="22"/>
                <w:szCs w:val="22"/>
              </w:rPr>
              <w:t>Урок 14</w:t>
            </w:r>
          </w:p>
        </w:tc>
        <w:tc>
          <w:tcPr>
            <w:tcW w:w="6405" w:type="dxa"/>
          </w:tcPr>
          <w:p w14:paraId="38C5B5A5">
            <w:pPr>
              <w:pStyle w:val="85"/>
              <w:jc w:val="both"/>
              <w:rPr>
                <w:color w:val="auto"/>
                <w:sz w:val="22"/>
                <w:szCs w:val="22"/>
              </w:rPr>
            </w:pPr>
            <w:r>
              <w:rPr>
                <w:color w:val="auto"/>
                <w:sz w:val="22"/>
                <w:szCs w:val="22"/>
              </w:rPr>
              <w:t>Разнообразие веществ в природе. Примеры веществ (соль, сахар, вода, природный газ): узнавание, называние, краткая характеристика</w:t>
            </w:r>
          </w:p>
        </w:tc>
        <w:tc>
          <w:tcPr>
            <w:tcW w:w="1473" w:type="dxa"/>
          </w:tcPr>
          <w:p w14:paraId="35026FD3">
            <w:pPr>
              <w:pStyle w:val="85"/>
              <w:rPr>
                <w:color w:val="auto"/>
                <w:sz w:val="22"/>
                <w:szCs w:val="22"/>
              </w:rPr>
            </w:pPr>
          </w:p>
        </w:tc>
      </w:tr>
      <w:tr w14:paraId="5FD1AC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91" w:type="dxa"/>
            <w:vAlign w:val="center"/>
          </w:tcPr>
          <w:p w14:paraId="2BFFDE80">
            <w:pPr>
              <w:pStyle w:val="85"/>
              <w:rPr>
                <w:color w:val="auto"/>
                <w:sz w:val="22"/>
                <w:szCs w:val="22"/>
              </w:rPr>
            </w:pPr>
            <w:r>
              <w:rPr>
                <w:color w:val="auto"/>
                <w:sz w:val="22"/>
                <w:szCs w:val="22"/>
              </w:rPr>
              <w:t>Урок 15</w:t>
            </w:r>
          </w:p>
        </w:tc>
        <w:tc>
          <w:tcPr>
            <w:tcW w:w="6405" w:type="dxa"/>
          </w:tcPr>
          <w:p w14:paraId="504ACE67">
            <w:pPr>
              <w:pStyle w:val="85"/>
              <w:jc w:val="both"/>
              <w:rPr>
                <w:color w:val="auto"/>
                <w:sz w:val="22"/>
                <w:szCs w:val="22"/>
              </w:rPr>
            </w:pPr>
            <w:r>
              <w:rPr>
                <w:color w:val="auto"/>
                <w:sz w:val="22"/>
                <w:szCs w:val="22"/>
              </w:rPr>
              <w:t>Воздух как смесь газов. Значение воздуха для жизни флоры, фауны, человека. Охрана воздуха</w:t>
            </w:r>
          </w:p>
        </w:tc>
        <w:tc>
          <w:tcPr>
            <w:tcW w:w="1473" w:type="dxa"/>
          </w:tcPr>
          <w:p w14:paraId="016245E1">
            <w:pPr>
              <w:pStyle w:val="85"/>
              <w:rPr>
                <w:color w:val="auto"/>
                <w:sz w:val="22"/>
                <w:szCs w:val="22"/>
              </w:rPr>
            </w:pPr>
          </w:p>
        </w:tc>
      </w:tr>
      <w:tr w14:paraId="74B324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191" w:type="dxa"/>
            <w:vAlign w:val="center"/>
          </w:tcPr>
          <w:p w14:paraId="78D7946A">
            <w:pPr>
              <w:pStyle w:val="85"/>
              <w:rPr>
                <w:color w:val="auto"/>
                <w:sz w:val="22"/>
                <w:szCs w:val="22"/>
              </w:rPr>
            </w:pPr>
            <w:r>
              <w:rPr>
                <w:color w:val="auto"/>
                <w:sz w:val="22"/>
                <w:szCs w:val="22"/>
              </w:rPr>
              <w:t>Урок 16</w:t>
            </w:r>
          </w:p>
        </w:tc>
        <w:tc>
          <w:tcPr>
            <w:tcW w:w="6405" w:type="dxa"/>
          </w:tcPr>
          <w:p w14:paraId="2063CFF3">
            <w:pPr>
              <w:pStyle w:val="85"/>
              <w:jc w:val="both"/>
              <w:rPr>
                <w:color w:val="auto"/>
                <w:sz w:val="22"/>
                <w:szCs w:val="22"/>
              </w:rPr>
            </w:pPr>
            <w:r>
              <w:rPr>
                <w:color w:val="auto"/>
                <w:sz w:val="22"/>
                <w:szCs w:val="22"/>
              </w:rPr>
              <w:t>Вода как вещество. Определение свойств воды в ходе практической работы</w:t>
            </w:r>
          </w:p>
        </w:tc>
        <w:tc>
          <w:tcPr>
            <w:tcW w:w="1473" w:type="dxa"/>
            <w:vAlign w:val="center"/>
          </w:tcPr>
          <w:p w14:paraId="27F58074">
            <w:pPr>
              <w:pStyle w:val="85"/>
              <w:jc w:val="center"/>
              <w:rPr>
                <w:color w:val="auto"/>
                <w:sz w:val="22"/>
                <w:szCs w:val="22"/>
              </w:rPr>
            </w:pPr>
            <w:r>
              <w:rPr>
                <w:color w:val="auto"/>
                <w:sz w:val="22"/>
                <w:szCs w:val="22"/>
              </w:rPr>
              <w:t>1</w:t>
            </w:r>
          </w:p>
        </w:tc>
      </w:tr>
      <w:tr w14:paraId="57E8DF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91" w:type="dxa"/>
            <w:vAlign w:val="center"/>
          </w:tcPr>
          <w:p w14:paraId="16C3EEB0">
            <w:pPr>
              <w:pStyle w:val="85"/>
              <w:rPr>
                <w:color w:val="auto"/>
                <w:sz w:val="22"/>
                <w:szCs w:val="22"/>
              </w:rPr>
            </w:pPr>
            <w:r>
              <w:rPr>
                <w:color w:val="auto"/>
                <w:sz w:val="22"/>
                <w:szCs w:val="22"/>
              </w:rPr>
              <w:t>Урок 17</w:t>
            </w:r>
          </w:p>
        </w:tc>
        <w:tc>
          <w:tcPr>
            <w:tcW w:w="6405" w:type="dxa"/>
          </w:tcPr>
          <w:p w14:paraId="22BE72EC">
            <w:pPr>
              <w:pStyle w:val="85"/>
              <w:jc w:val="both"/>
              <w:rPr>
                <w:color w:val="auto"/>
                <w:sz w:val="22"/>
                <w:szCs w:val="22"/>
              </w:rPr>
            </w:pPr>
            <w:r>
              <w:rPr>
                <w:color w:val="auto"/>
                <w:sz w:val="22"/>
                <w:szCs w:val="22"/>
              </w:rPr>
              <w:t>Распространение воды в природе: водоемы, реки. Круговорот воды в природе</w:t>
            </w:r>
          </w:p>
        </w:tc>
        <w:tc>
          <w:tcPr>
            <w:tcW w:w="1473" w:type="dxa"/>
          </w:tcPr>
          <w:p w14:paraId="25738773">
            <w:pPr>
              <w:pStyle w:val="85"/>
              <w:rPr>
                <w:color w:val="auto"/>
                <w:sz w:val="22"/>
                <w:szCs w:val="22"/>
              </w:rPr>
            </w:pPr>
          </w:p>
        </w:tc>
      </w:tr>
      <w:tr w14:paraId="001C02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91" w:type="dxa"/>
            <w:vAlign w:val="center"/>
          </w:tcPr>
          <w:p w14:paraId="5D0F811E">
            <w:pPr>
              <w:pStyle w:val="85"/>
              <w:rPr>
                <w:color w:val="auto"/>
                <w:sz w:val="22"/>
                <w:szCs w:val="22"/>
              </w:rPr>
            </w:pPr>
            <w:r>
              <w:rPr>
                <w:color w:val="auto"/>
                <w:sz w:val="22"/>
                <w:szCs w:val="22"/>
              </w:rPr>
              <w:t>Урок 18</w:t>
            </w:r>
          </w:p>
        </w:tc>
        <w:tc>
          <w:tcPr>
            <w:tcW w:w="6405" w:type="dxa"/>
          </w:tcPr>
          <w:p w14:paraId="281AD0B4">
            <w:pPr>
              <w:pStyle w:val="85"/>
              <w:jc w:val="both"/>
              <w:rPr>
                <w:color w:val="auto"/>
                <w:sz w:val="22"/>
                <w:szCs w:val="22"/>
              </w:rPr>
            </w:pPr>
            <w:r>
              <w:rPr>
                <w:color w:val="auto"/>
                <w:sz w:val="22"/>
                <w:szCs w:val="22"/>
              </w:rPr>
              <w:t>Значение воды для жизни живых организмов и хозяйственной деятельности людей. Охрана воды</w:t>
            </w:r>
          </w:p>
        </w:tc>
        <w:tc>
          <w:tcPr>
            <w:tcW w:w="1473" w:type="dxa"/>
          </w:tcPr>
          <w:p w14:paraId="794DFA55">
            <w:pPr>
              <w:pStyle w:val="85"/>
              <w:rPr>
                <w:color w:val="auto"/>
                <w:sz w:val="22"/>
                <w:szCs w:val="22"/>
              </w:rPr>
            </w:pPr>
          </w:p>
        </w:tc>
      </w:tr>
      <w:tr w14:paraId="07CABD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91" w:type="dxa"/>
          </w:tcPr>
          <w:p w14:paraId="5B66BB32">
            <w:pPr>
              <w:pStyle w:val="85"/>
              <w:rPr>
                <w:color w:val="auto"/>
                <w:sz w:val="22"/>
                <w:szCs w:val="22"/>
              </w:rPr>
            </w:pPr>
            <w:r>
              <w:rPr>
                <w:color w:val="auto"/>
                <w:sz w:val="22"/>
                <w:szCs w:val="22"/>
              </w:rPr>
              <w:t>Урок 19</w:t>
            </w:r>
          </w:p>
        </w:tc>
        <w:tc>
          <w:tcPr>
            <w:tcW w:w="6405" w:type="dxa"/>
          </w:tcPr>
          <w:p w14:paraId="753F1C0C">
            <w:pPr>
              <w:pStyle w:val="85"/>
              <w:jc w:val="both"/>
              <w:rPr>
                <w:color w:val="auto"/>
                <w:sz w:val="22"/>
                <w:szCs w:val="22"/>
              </w:rPr>
            </w:pPr>
            <w:r>
              <w:rPr>
                <w:color w:val="auto"/>
                <w:sz w:val="22"/>
                <w:szCs w:val="22"/>
              </w:rPr>
              <w:t>Почва, ее состав. Значение для живой природы</w:t>
            </w:r>
          </w:p>
        </w:tc>
        <w:tc>
          <w:tcPr>
            <w:tcW w:w="1473" w:type="dxa"/>
          </w:tcPr>
          <w:p w14:paraId="40AA2484">
            <w:pPr>
              <w:pStyle w:val="85"/>
              <w:rPr>
                <w:color w:val="auto"/>
                <w:sz w:val="22"/>
                <w:szCs w:val="22"/>
              </w:rPr>
            </w:pPr>
          </w:p>
        </w:tc>
      </w:tr>
      <w:tr w14:paraId="4D8A11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91" w:type="dxa"/>
            <w:vAlign w:val="center"/>
          </w:tcPr>
          <w:p w14:paraId="744F2832">
            <w:pPr>
              <w:pStyle w:val="85"/>
              <w:rPr>
                <w:color w:val="auto"/>
                <w:sz w:val="22"/>
                <w:szCs w:val="22"/>
              </w:rPr>
            </w:pPr>
            <w:r>
              <w:rPr>
                <w:color w:val="auto"/>
                <w:sz w:val="22"/>
                <w:szCs w:val="22"/>
              </w:rPr>
              <w:t>Урок 20</w:t>
            </w:r>
          </w:p>
        </w:tc>
        <w:tc>
          <w:tcPr>
            <w:tcW w:w="6405" w:type="dxa"/>
          </w:tcPr>
          <w:p w14:paraId="73EA5B36">
            <w:pPr>
              <w:pStyle w:val="85"/>
              <w:jc w:val="both"/>
              <w:rPr>
                <w:color w:val="auto"/>
                <w:sz w:val="22"/>
                <w:szCs w:val="22"/>
              </w:rPr>
            </w:pPr>
            <w:r>
              <w:rPr>
                <w:color w:val="auto"/>
                <w:sz w:val="22"/>
                <w:szCs w:val="22"/>
              </w:rPr>
              <w:t>Разнообразие растений: зависимость внешнего вида от условий и места обитания</w:t>
            </w:r>
          </w:p>
        </w:tc>
        <w:tc>
          <w:tcPr>
            <w:tcW w:w="1473" w:type="dxa"/>
          </w:tcPr>
          <w:p w14:paraId="6F3422C0">
            <w:pPr>
              <w:pStyle w:val="85"/>
              <w:rPr>
                <w:color w:val="auto"/>
                <w:sz w:val="22"/>
                <w:szCs w:val="22"/>
              </w:rPr>
            </w:pPr>
          </w:p>
        </w:tc>
      </w:tr>
      <w:tr w14:paraId="7928C7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91" w:type="dxa"/>
            <w:vAlign w:val="center"/>
          </w:tcPr>
          <w:p w14:paraId="6B492536">
            <w:pPr>
              <w:pStyle w:val="85"/>
              <w:rPr>
                <w:color w:val="auto"/>
                <w:sz w:val="22"/>
                <w:szCs w:val="22"/>
              </w:rPr>
            </w:pPr>
            <w:r>
              <w:rPr>
                <w:color w:val="auto"/>
                <w:sz w:val="22"/>
                <w:szCs w:val="22"/>
              </w:rPr>
              <w:t>Урок 21</w:t>
            </w:r>
          </w:p>
        </w:tc>
        <w:tc>
          <w:tcPr>
            <w:tcW w:w="6405" w:type="dxa"/>
          </w:tcPr>
          <w:p w14:paraId="45366DB3">
            <w:pPr>
              <w:pStyle w:val="85"/>
              <w:jc w:val="both"/>
              <w:rPr>
                <w:color w:val="auto"/>
                <w:sz w:val="22"/>
                <w:szCs w:val="22"/>
              </w:rPr>
            </w:pPr>
            <w:r>
              <w:rPr>
                <w:color w:val="auto"/>
                <w:sz w:val="22"/>
                <w:szCs w:val="22"/>
              </w:rPr>
              <w:t>Растения родного края: названия и краткая характеристика (на основе наблюдения)</w:t>
            </w:r>
          </w:p>
        </w:tc>
        <w:tc>
          <w:tcPr>
            <w:tcW w:w="1473" w:type="dxa"/>
          </w:tcPr>
          <w:p w14:paraId="1469378A">
            <w:pPr>
              <w:pStyle w:val="85"/>
              <w:rPr>
                <w:color w:val="auto"/>
                <w:sz w:val="22"/>
                <w:szCs w:val="22"/>
              </w:rPr>
            </w:pPr>
          </w:p>
        </w:tc>
      </w:tr>
      <w:tr w14:paraId="6F5BC3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91" w:type="dxa"/>
          </w:tcPr>
          <w:p w14:paraId="5FCA6BD2">
            <w:pPr>
              <w:pStyle w:val="85"/>
              <w:rPr>
                <w:color w:val="auto"/>
                <w:sz w:val="22"/>
                <w:szCs w:val="22"/>
              </w:rPr>
            </w:pPr>
            <w:r>
              <w:rPr>
                <w:color w:val="auto"/>
                <w:sz w:val="22"/>
                <w:szCs w:val="22"/>
              </w:rPr>
              <w:t>Урок 22</w:t>
            </w:r>
          </w:p>
        </w:tc>
        <w:tc>
          <w:tcPr>
            <w:tcW w:w="6405" w:type="dxa"/>
          </w:tcPr>
          <w:p w14:paraId="01BC9956">
            <w:pPr>
              <w:pStyle w:val="85"/>
              <w:jc w:val="both"/>
              <w:rPr>
                <w:color w:val="auto"/>
                <w:sz w:val="22"/>
                <w:szCs w:val="22"/>
              </w:rPr>
            </w:pPr>
            <w:r>
              <w:rPr>
                <w:color w:val="auto"/>
                <w:sz w:val="22"/>
                <w:szCs w:val="22"/>
              </w:rPr>
              <w:t>Растение как живой организм</w:t>
            </w:r>
          </w:p>
        </w:tc>
        <w:tc>
          <w:tcPr>
            <w:tcW w:w="1473" w:type="dxa"/>
          </w:tcPr>
          <w:p w14:paraId="53AD58F1">
            <w:pPr>
              <w:pStyle w:val="85"/>
              <w:rPr>
                <w:color w:val="auto"/>
                <w:sz w:val="22"/>
                <w:szCs w:val="22"/>
              </w:rPr>
            </w:pPr>
          </w:p>
        </w:tc>
      </w:tr>
      <w:tr w14:paraId="0F7D83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91" w:type="dxa"/>
          </w:tcPr>
          <w:p w14:paraId="7888C358">
            <w:pPr>
              <w:pStyle w:val="85"/>
              <w:rPr>
                <w:color w:val="auto"/>
                <w:sz w:val="22"/>
                <w:szCs w:val="22"/>
              </w:rPr>
            </w:pPr>
            <w:r>
              <w:rPr>
                <w:color w:val="auto"/>
                <w:sz w:val="22"/>
                <w:szCs w:val="22"/>
              </w:rPr>
              <w:t>Урок 23</w:t>
            </w:r>
          </w:p>
        </w:tc>
        <w:tc>
          <w:tcPr>
            <w:tcW w:w="6405" w:type="dxa"/>
          </w:tcPr>
          <w:p w14:paraId="53218690">
            <w:pPr>
              <w:pStyle w:val="85"/>
              <w:jc w:val="both"/>
              <w:rPr>
                <w:color w:val="auto"/>
                <w:sz w:val="22"/>
                <w:szCs w:val="22"/>
              </w:rPr>
            </w:pPr>
            <w:r>
              <w:rPr>
                <w:color w:val="auto"/>
                <w:sz w:val="22"/>
                <w:szCs w:val="22"/>
              </w:rPr>
              <w:t>Как растения размножаются?</w:t>
            </w:r>
          </w:p>
        </w:tc>
        <w:tc>
          <w:tcPr>
            <w:tcW w:w="1473" w:type="dxa"/>
          </w:tcPr>
          <w:p w14:paraId="02DA4F08">
            <w:pPr>
              <w:pStyle w:val="85"/>
              <w:rPr>
                <w:color w:val="auto"/>
                <w:sz w:val="22"/>
                <w:szCs w:val="22"/>
              </w:rPr>
            </w:pPr>
          </w:p>
        </w:tc>
      </w:tr>
      <w:tr w14:paraId="078280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91" w:type="dxa"/>
            <w:vAlign w:val="center"/>
          </w:tcPr>
          <w:p w14:paraId="495064D9">
            <w:pPr>
              <w:pStyle w:val="85"/>
              <w:rPr>
                <w:color w:val="auto"/>
                <w:sz w:val="22"/>
                <w:szCs w:val="22"/>
              </w:rPr>
            </w:pPr>
            <w:r>
              <w:rPr>
                <w:color w:val="auto"/>
                <w:sz w:val="22"/>
                <w:szCs w:val="22"/>
              </w:rPr>
              <w:t>Урок 24</w:t>
            </w:r>
          </w:p>
        </w:tc>
        <w:tc>
          <w:tcPr>
            <w:tcW w:w="6405" w:type="dxa"/>
          </w:tcPr>
          <w:p w14:paraId="2C9C2C32">
            <w:pPr>
              <w:pStyle w:val="85"/>
              <w:jc w:val="both"/>
              <w:rPr>
                <w:color w:val="auto"/>
                <w:sz w:val="22"/>
                <w:szCs w:val="22"/>
              </w:rPr>
            </w:pPr>
            <w:r>
              <w:rPr>
                <w:color w:val="auto"/>
                <w:sz w:val="22"/>
                <w:szCs w:val="22"/>
              </w:rPr>
              <w:t>Развитие растения от семени до семени (по результатам практических работ)</w:t>
            </w:r>
          </w:p>
        </w:tc>
        <w:tc>
          <w:tcPr>
            <w:tcW w:w="1473" w:type="dxa"/>
            <w:vAlign w:val="center"/>
          </w:tcPr>
          <w:p w14:paraId="47D84AC2">
            <w:pPr>
              <w:pStyle w:val="85"/>
              <w:jc w:val="center"/>
              <w:rPr>
                <w:color w:val="auto"/>
                <w:sz w:val="22"/>
                <w:szCs w:val="22"/>
              </w:rPr>
            </w:pPr>
            <w:r>
              <w:rPr>
                <w:color w:val="auto"/>
                <w:sz w:val="22"/>
                <w:szCs w:val="22"/>
              </w:rPr>
              <w:t>1</w:t>
            </w:r>
          </w:p>
        </w:tc>
      </w:tr>
      <w:tr w14:paraId="21A57C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91" w:type="dxa"/>
            <w:vAlign w:val="center"/>
          </w:tcPr>
          <w:p w14:paraId="45AC9AEB">
            <w:pPr>
              <w:pStyle w:val="85"/>
              <w:rPr>
                <w:color w:val="auto"/>
                <w:sz w:val="22"/>
                <w:szCs w:val="22"/>
              </w:rPr>
            </w:pPr>
            <w:r>
              <w:rPr>
                <w:color w:val="auto"/>
                <w:sz w:val="22"/>
                <w:szCs w:val="22"/>
              </w:rPr>
              <w:t>Урок 25</w:t>
            </w:r>
          </w:p>
        </w:tc>
        <w:tc>
          <w:tcPr>
            <w:tcW w:w="6405" w:type="dxa"/>
          </w:tcPr>
          <w:p w14:paraId="3AFB1682">
            <w:pPr>
              <w:pStyle w:val="85"/>
              <w:jc w:val="both"/>
              <w:rPr>
                <w:color w:val="auto"/>
                <w:sz w:val="22"/>
                <w:szCs w:val="22"/>
              </w:rPr>
            </w:pPr>
            <w:r>
              <w:rPr>
                <w:color w:val="auto"/>
                <w:sz w:val="22"/>
                <w:szCs w:val="22"/>
              </w:rPr>
              <w:t>Условия роста и развития растения (по результатам наблюдений). Бережное отношение человека к растениям</w:t>
            </w:r>
          </w:p>
        </w:tc>
        <w:tc>
          <w:tcPr>
            <w:tcW w:w="1473" w:type="dxa"/>
          </w:tcPr>
          <w:p w14:paraId="1240437E">
            <w:pPr>
              <w:pStyle w:val="85"/>
              <w:rPr>
                <w:color w:val="auto"/>
                <w:sz w:val="22"/>
                <w:szCs w:val="22"/>
              </w:rPr>
            </w:pPr>
          </w:p>
        </w:tc>
      </w:tr>
      <w:tr w14:paraId="0E2CC2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91" w:type="dxa"/>
            <w:vAlign w:val="center"/>
          </w:tcPr>
          <w:p w14:paraId="65E3946F">
            <w:pPr>
              <w:pStyle w:val="85"/>
              <w:rPr>
                <w:color w:val="auto"/>
                <w:sz w:val="22"/>
                <w:szCs w:val="22"/>
              </w:rPr>
            </w:pPr>
            <w:r>
              <w:rPr>
                <w:color w:val="auto"/>
                <w:sz w:val="22"/>
                <w:szCs w:val="22"/>
              </w:rPr>
              <w:t>Урок 26</w:t>
            </w:r>
          </w:p>
        </w:tc>
        <w:tc>
          <w:tcPr>
            <w:tcW w:w="6405" w:type="dxa"/>
          </w:tcPr>
          <w:p w14:paraId="44E8EF61">
            <w:pPr>
              <w:pStyle w:val="85"/>
              <w:jc w:val="both"/>
              <w:rPr>
                <w:color w:val="auto"/>
                <w:sz w:val="22"/>
                <w:szCs w:val="22"/>
              </w:rPr>
            </w:pPr>
            <w:r>
              <w:rPr>
                <w:color w:val="auto"/>
                <w:sz w:val="22"/>
                <w:szCs w:val="22"/>
              </w:rPr>
              <w:t>Жизнь животных в разные времена года. Разнообразие животных</w:t>
            </w:r>
          </w:p>
        </w:tc>
        <w:tc>
          <w:tcPr>
            <w:tcW w:w="1473" w:type="dxa"/>
          </w:tcPr>
          <w:p w14:paraId="30B97DAD">
            <w:pPr>
              <w:pStyle w:val="85"/>
              <w:rPr>
                <w:color w:val="auto"/>
                <w:sz w:val="22"/>
                <w:szCs w:val="22"/>
              </w:rPr>
            </w:pPr>
          </w:p>
        </w:tc>
      </w:tr>
      <w:tr w14:paraId="7DF0FB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91" w:type="dxa"/>
            <w:vAlign w:val="center"/>
          </w:tcPr>
          <w:p w14:paraId="05586C60">
            <w:pPr>
              <w:pStyle w:val="85"/>
              <w:rPr>
                <w:color w:val="auto"/>
                <w:sz w:val="22"/>
                <w:szCs w:val="22"/>
              </w:rPr>
            </w:pPr>
            <w:r>
              <w:rPr>
                <w:color w:val="auto"/>
                <w:sz w:val="22"/>
                <w:szCs w:val="22"/>
              </w:rPr>
              <w:t>Урок 27</w:t>
            </w:r>
          </w:p>
        </w:tc>
        <w:tc>
          <w:tcPr>
            <w:tcW w:w="6405" w:type="dxa"/>
            <w:vAlign w:val="center"/>
          </w:tcPr>
          <w:p w14:paraId="1BD6F437">
            <w:pPr>
              <w:pStyle w:val="85"/>
              <w:jc w:val="both"/>
              <w:rPr>
                <w:color w:val="auto"/>
                <w:sz w:val="22"/>
                <w:szCs w:val="22"/>
              </w:rPr>
            </w:pPr>
            <w:r>
              <w:rPr>
                <w:color w:val="auto"/>
                <w:sz w:val="22"/>
                <w:szCs w:val="22"/>
              </w:rPr>
              <w:t>Особенности питания животных. Цепи питания</w:t>
            </w:r>
          </w:p>
        </w:tc>
        <w:tc>
          <w:tcPr>
            <w:tcW w:w="1473" w:type="dxa"/>
          </w:tcPr>
          <w:p w14:paraId="0ED15F99">
            <w:pPr>
              <w:pStyle w:val="85"/>
              <w:rPr>
                <w:color w:val="auto"/>
                <w:sz w:val="22"/>
                <w:szCs w:val="22"/>
              </w:rPr>
            </w:pPr>
          </w:p>
        </w:tc>
      </w:tr>
      <w:tr w14:paraId="56A5DB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91" w:type="dxa"/>
          </w:tcPr>
          <w:p w14:paraId="04BB2FD8">
            <w:pPr>
              <w:pStyle w:val="85"/>
              <w:rPr>
                <w:color w:val="auto"/>
                <w:sz w:val="22"/>
                <w:szCs w:val="22"/>
              </w:rPr>
            </w:pPr>
            <w:r>
              <w:rPr>
                <w:color w:val="auto"/>
                <w:sz w:val="22"/>
                <w:szCs w:val="22"/>
              </w:rPr>
              <w:t>Урок 28</w:t>
            </w:r>
          </w:p>
        </w:tc>
        <w:tc>
          <w:tcPr>
            <w:tcW w:w="6405" w:type="dxa"/>
          </w:tcPr>
          <w:p w14:paraId="304D49FC">
            <w:pPr>
              <w:pStyle w:val="85"/>
              <w:jc w:val="both"/>
              <w:rPr>
                <w:color w:val="auto"/>
                <w:sz w:val="22"/>
                <w:szCs w:val="22"/>
              </w:rPr>
            </w:pPr>
            <w:r>
              <w:rPr>
                <w:color w:val="auto"/>
                <w:sz w:val="22"/>
                <w:szCs w:val="22"/>
              </w:rPr>
              <w:t>Размножение и развитие рыб, птиц, зверей</w:t>
            </w:r>
          </w:p>
        </w:tc>
        <w:tc>
          <w:tcPr>
            <w:tcW w:w="1473" w:type="dxa"/>
          </w:tcPr>
          <w:p w14:paraId="0D65AB15">
            <w:pPr>
              <w:pStyle w:val="85"/>
              <w:rPr>
                <w:color w:val="auto"/>
                <w:sz w:val="22"/>
                <w:szCs w:val="22"/>
              </w:rPr>
            </w:pPr>
          </w:p>
        </w:tc>
      </w:tr>
      <w:tr w14:paraId="25695B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91" w:type="dxa"/>
          </w:tcPr>
          <w:p w14:paraId="7B35948D">
            <w:pPr>
              <w:pStyle w:val="85"/>
              <w:rPr>
                <w:color w:val="auto"/>
                <w:sz w:val="22"/>
                <w:szCs w:val="22"/>
              </w:rPr>
            </w:pPr>
            <w:r>
              <w:rPr>
                <w:color w:val="auto"/>
                <w:sz w:val="22"/>
                <w:szCs w:val="22"/>
              </w:rPr>
              <w:t>Урок 29</w:t>
            </w:r>
          </w:p>
        </w:tc>
        <w:tc>
          <w:tcPr>
            <w:tcW w:w="6405" w:type="dxa"/>
          </w:tcPr>
          <w:p w14:paraId="01CBED78">
            <w:pPr>
              <w:pStyle w:val="85"/>
              <w:jc w:val="both"/>
              <w:rPr>
                <w:color w:val="auto"/>
                <w:sz w:val="22"/>
                <w:szCs w:val="22"/>
              </w:rPr>
            </w:pPr>
            <w:r>
              <w:rPr>
                <w:color w:val="auto"/>
                <w:sz w:val="22"/>
                <w:szCs w:val="22"/>
              </w:rPr>
              <w:t>Роль животных в природе и жизни людей</w:t>
            </w:r>
          </w:p>
        </w:tc>
        <w:tc>
          <w:tcPr>
            <w:tcW w:w="1473" w:type="dxa"/>
          </w:tcPr>
          <w:p w14:paraId="02C172AA">
            <w:pPr>
              <w:pStyle w:val="85"/>
              <w:rPr>
                <w:color w:val="auto"/>
                <w:sz w:val="22"/>
                <w:szCs w:val="22"/>
              </w:rPr>
            </w:pPr>
          </w:p>
        </w:tc>
      </w:tr>
      <w:tr w14:paraId="19FF07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91" w:type="dxa"/>
            <w:vAlign w:val="center"/>
          </w:tcPr>
          <w:p w14:paraId="1CD4F0F1">
            <w:pPr>
              <w:pStyle w:val="85"/>
              <w:rPr>
                <w:color w:val="auto"/>
                <w:sz w:val="22"/>
                <w:szCs w:val="22"/>
              </w:rPr>
            </w:pPr>
            <w:r>
              <w:rPr>
                <w:color w:val="auto"/>
                <w:sz w:val="22"/>
                <w:szCs w:val="22"/>
              </w:rPr>
              <w:t>Урок 30</w:t>
            </w:r>
          </w:p>
        </w:tc>
        <w:tc>
          <w:tcPr>
            <w:tcW w:w="6405" w:type="dxa"/>
          </w:tcPr>
          <w:p w14:paraId="5726B969">
            <w:pPr>
              <w:pStyle w:val="85"/>
              <w:jc w:val="both"/>
              <w:rPr>
                <w:color w:val="auto"/>
                <w:sz w:val="22"/>
                <w:szCs w:val="22"/>
              </w:rPr>
            </w:pPr>
            <w:r>
              <w:rPr>
                <w:color w:val="auto"/>
                <w:sz w:val="22"/>
                <w:szCs w:val="22"/>
              </w:rPr>
              <w:t>Бережное отношение к животным - нравственная ценность людей. Охрана животного мира в России</w:t>
            </w:r>
          </w:p>
        </w:tc>
        <w:tc>
          <w:tcPr>
            <w:tcW w:w="1473" w:type="dxa"/>
          </w:tcPr>
          <w:p w14:paraId="3E66D7F6">
            <w:pPr>
              <w:pStyle w:val="85"/>
              <w:rPr>
                <w:color w:val="auto"/>
                <w:sz w:val="22"/>
                <w:szCs w:val="22"/>
              </w:rPr>
            </w:pPr>
          </w:p>
        </w:tc>
      </w:tr>
      <w:tr w14:paraId="56317B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91" w:type="dxa"/>
            <w:vAlign w:val="center"/>
          </w:tcPr>
          <w:p w14:paraId="62B5354C">
            <w:pPr>
              <w:pStyle w:val="85"/>
              <w:rPr>
                <w:color w:val="auto"/>
                <w:sz w:val="22"/>
                <w:szCs w:val="22"/>
              </w:rPr>
            </w:pPr>
            <w:r>
              <w:rPr>
                <w:color w:val="auto"/>
                <w:sz w:val="22"/>
                <w:szCs w:val="22"/>
              </w:rPr>
              <w:t>Урок 31</w:t>
            </w:r>
          </w:p>
        </w:tc>
        <w:tc>
          <w:tcPr>
            <w:tcW w:w="6405" w:type="dxa"/>
          </w:tcPr>
          <w:p w14:paraId="32564322">
            <w:pPr>
              <w:pStyle w:val="85"/>
              <w:jc w:val="both"/>
              <w:rPr>
                <w:color w:val="auto"/>
                <w:sz w:val="22"/>
                <w:szCs w:val="22"/>
              </w:rPr>
            </w:pPr>
            <w:r>
              <w:rPr>
                <w:color w:val="auto"/>
                <w:sz w:val="22"/>
                <w:szCs w:val="22"/>
              </w:rPr>
              <w:t>Животные родного края: узнавание, называние, краткая характеристика</w:t>
            </w:r>
          </w:p>
        </w:tc>
        <w:tc>
          <w:tcPr>
            <w:tcW w:w="1473" w:type="dxa"/>
          </w:tcPr>
          <w:p w14:paraId="57061DA1">
            <w:pPr>
              <w:pStyle w:val="85"/>
              <w:rPr>
                <w:color w:val="auto"/>
                <w:sz w:val="22"/>
                <w:szCs w:val="22"/>
              </w:rPr>
            </w:pPr>
          </w:p>
        </w:tc>
      </w:tr>
      <w:tr w14:paraId="1FB341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91" w:type="dxa"/>
            <w:vAlign w:val="center"/>
          </w:tcPr>
          <w:p w14:paraId="3E76B613">
            <w:pPr>
              <w:pStyle w:val="85"/>
              <w:rPr>
                <w:color w:val="auto"/>
                <w:sz w:val="22"/>
                <w:szCs w:val="22"/>
              </w:rPr>
            </w:pPr>
            <w:r>
              <w:rPr>
                <w:color w:val="auto"/>
                <w:sz w:val="22"/>
                <w:szCs w:val="22"/>
              </w:rPr>
              <w:t>Урок 32</w:t>
            </w:r>
          </w:p>
        </w:tc>
        <w:tc>
          <w:tcPr>
            <w:tcW w:w="6405" w:type="dxa"/>
          </w:tcPr>
          <w:p w14:paraId="4EB323C6">
            <w:pPr>
              <w:pStyle w:val="85"/>
              <w:jc w:val="both"/>
              <w:rPr>
                <w:color w:val="auto"/>
                <w:sz w:val="22"/>
                <w:szCs w:val="22"/>
              </w:rPr>
            </w:pPr>
            <w:r>
              <w:rPr>
                <w:color w:val="auto"/>
                <w:sz w:val="22"/>
                <w:szCs w:val="22"/>
              </w:rPr>
              <w:t>Резервный урок. Повторение по теме "Многообразие растений и животных"</w:t>
            </w:r>
          </w:p>
        </w:tc>
        <w:tc>
          <w:tcPr>
            <w:tcW w:w="1473" w:type="dxa"/>
          </w:tcPr>
          <w:p w14:paraId="15BF11E9">
            <w:pPr>
              <w:pStyle w:val="85"/>
              <w:rPr>
                <w:color w:val="auto"/>
                <w:sz w:val="22"/>
                <w:szCs w:val="22"/>
              </w:rPr>
            </w:pPr>
          </w:p>
        </w:tc>
      </w:tr>
      <w:tr w14:paraId="623B5A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91" w:type="dxa"/>
            <w:vAlign w:val="center"/>
          </w:tcPr>
          <w:p w14:paraId="5A3A9F11">
            <w:pPr>
              <w:pStyle w:val="85"/>
              <w:rPr>
                <w:color w:val="auto"/>
                <w:sz w:val="22"/>
                <w:szCs w:val="22"/>
              </w:rPr>
            </w:pPr>
            <w:r>
              <w:rPr>
                <w:color w:val="auto"/>
                <w:sz w:val="22"/>
                <w:szCs w:val="22"/>
              </w:rPr>
              <w:t>Урок 33</w:t>
            </w:r>
          </w:p>
        </w:tc>
        <w:tc>
          <w:tcPr>
            <w:tcW w:w="6405" w:type="dxa"/>
            <w:vAlign w:val="center"/>
          </w:tcPr>
          <w:p w14:paraId="0421F082">
            <w:pPr>
              <w:pStyle w:val="85"/>
              <w:jc w:val="both"/>
              <w:rPr>
                <w:color w:val="auto"/>
                <w:sz w:val="22"/>
                <w:szCs w:val="22"/>
              </w:rPr>
            </w:pPr>
            <w:r>
              <w:rPr>
                <w:color w:val="auto"/>
                <w:sz w:val="22"/>
                <w:szCs w:val="22"/>
              </w:rPr>
              <w:t>Разнообразие грибов: узнавание, называние, описание</w:t>
            </w:r>
          </w:p>
        </w:tc>
        <w:tc>
          <w:tcPr>
            <w:tcW w:w="1473" w:type="dxa"/>
          </w:tcPr>
          <w:p w14:paraId="0BCC91EF">
            <w:pPr>
              <w:pStyle w:val="85"/>
              <w:rPr>
                <w:color w:val="auto"/>
                <w:sz w:val="22"/>
                <w:szCs w:val="22"/>
              </w:rPr>
            </w:pPr>
          </w:p>
        </w:tc>
      </w:tr>
      <w:tr w14:paraId="744658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91" w:type="dxa"/>
            <w:vAlign w:val="center"/>
          </w:tcPr>
          <w:p w14:paraId="2E1292A3">
            <w:pPr>
              <w:pStyle w:val="85"/>
              <w:rPr>
                <w:color w:val="auto"/>
                <w:sz w:val="22"/>
                <w:szCs w:val="22"/>
              </w:rPr>
            </w:pPr>
            <w:r>
              <w:rPr>
                <w:color w:val="auto"/>
                <w:sz w:val="22"/>
                <w:szCs w:val="22"/>
              </w:rPr>
              <w:t>Урок 34</w:t>
            </w:r>
          </w:p>
        </w:tc>
        <w:tc>
          <w:tcPr>
            <w:tcW w:w="6405" w:type="dxa"/>
          </w:tcPr>
          <w:p w14:paraId="30C17D77">
            <w:pPr>
              <w:pStyle w:val="85"/>
              <w:jc w:val="both"/>
              <w:rPr>
                <w:color w:val="auto"/>
                <w:sz w:val="22"/>
                <w:szCs w:val="22"/>
              </w:rPr>
            </w:pPr>
            <w:r>
              <w:rPr>
                <w:color w:val="auto"/>
                <w:sz w:val="22"/>
                <w:szCs w:val="22"/>
              </w:rPr>
              <w:t>Общее представление о строении организма человека. Температура тела, частота пульса как показатели здоровья человека</w:t>
            </w:r>
          </w:p>
        </w:tc>
        <w:tc>
          <w:tcPr>
            <w:tcW w:w="1473" w:type="dxa"/>
          </w:tcPr>
          <w:p w14:paraId="1A6AF6D3">
            <w:pPr>
              <w:pStyle w:val="85"/>
              <w:rPr>
                <w:color w:val="auto"/>
                <w:sz w:val="22"/>
                <w:szCs w:val="22"/>
              </w:rPr>
            </w:pPr>
          </w:p>
        </w:tc>
      </w:tr>
      <w:tr w14:paraId="1D1EEB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91" w:type="dxa"/>
            <w:vAlign w:val="center"/>
          </w:tcPr>
          <w:p w14:paraId="691A6CC5">
            <w:pPr>
              <w:pStyle w:val="85"/>
              <w:rPr>
                <w:color w:val="auto"/>
                <w:sz w:val="22"/>
                <w:szCs w:val="22"/>
              </w:rPr>
            </w:pPr>
            <w:r>
              <w:rPr>
                <w:color w:val="auto"/>
                <w:sz w:val="22"/>
                <w:szCs w:val="22"/>
              </w:rPr>
              <w:t>Урок 35</w:t>
            </w:r>
          </w:p>
        </w:tc>
        <w:tc>
          <w:tcPr>
            <w:tcW w:w="6405" w:type="dxa"/>
          </w:tcPr>
          <w:p w14:paraId="635A1546">
            <w:pPr>
              <w:pStyle w:val="85"/>
              <w:jc w:val="both"/>
              <w:rPr>
                <w:color w:val="auto"/>
                <w:sz w:val="22"/>
                <w:szCs w:val="22"/>
              </w:rPr>
            </w:pPr>
            <w:r>
              <w:rPr>
                <w:color w:val="auto"/>
                <w:sz w:val="22"/>
                <w:szCs w:val="22"/>
              </w:rPr>
              <w:t>Резервный урок. Органы чувств их роль в жизни человека</w:t>
            </w:r>
          </w:p>
        </w:tc>
        <w:tc>
          <w:tcPr>
            <w:tcW w:w="1473" w:type="dxa"/>
          </w:tcPr>
          <w:p w14:paraId="5B086FE6">
            <w:pPr>
              <w:pStyle w:val="85"/>
              <w:rPr>
                <w:color w:val="auto"/>
                <w:sz w:val="22"/>
                <w:szCs w:val="22"/>
              </w:rPr>
            </w:pPr>
          </w:p>
        </w:tc>
      </w:tr>
      <w:tr w14:paraId="73E8F3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91" w:type="dxa"/>
            <w:vAlign w:val="center"/>
          </w:tcPr>
          <w:p w14:paraId="6B9F5C49">
            <w:pPr>
              <w:pStyle w:val="85"/>
              <w:rPr>
                <w:color w:val="auto"/>
                <w:sz w:val="22"/>
                <w:szCs w:val="22"/>
              </w:rPr>
            </w:pPr>
            <w:r>
              <w:rPr>
                <w:color w:val="auto"/>
                <w:sz w:val="22"/>
                <w:szCs w:val="22"/>
              </w:rPr>
              <w:t>Урок 36</w:t>
            </w:r>
          </w:p>
        </w:tc>
        <w:tc>
          <w:tcPr>
            <w:tcW w:w="6405" w:type="dxa"/>
          </w:tcPr>
          <w:p w14:paraId="50AA28CB">
            <w:pPr>
              <w:pStyle w:val="85"/>
              <w:jc w:val="both"/>
              <w:rPr>
                <w:color w:val="auto"/>
                <w:sz w:val="22"/>
                <w:szCs w:val="22"/>
              </w:rPr>
            </w:pPr>
            <w:r>
              <w:rPr>
                <w:color w:val="auto"/>
                <w:sz w:val="22"/>
                <w:szCs w:val="22"/>
              </w:rPr>
              <w:t>Опорно-двигательная система и ее роль в жизни человека</w:t>
            </w:r>
          </w:p>
        </w:tc>
        <w:tc>
          <w:tcPr>
            <w:tcW w:w="1473" w:type="dxa"/>
          </w:tcPr>
          <w:p w14:paraId="323185D4">
            <w:pPr>
              <w:pStyle w:val="85"/>
              <w:rPr>
                <w:color w:val="auto"/>
                <w:sz w:val="22"/>
                <w:szCs w:val="22"/>
              </w:rPr>
            </w:pPr>
          </w:p>
        </w:tc>
      </w:tr>
      <w:tr w14:paraId="556DF7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91" w:type="dxa"/>
            <w:vAlign w:val="center"/>
          </w:tcPr>
          <w:p w14:paraId="5F1FA614">
            <w:pPr>
              <w:pStyle w:val="85"/>
              <w:rPr>
                <w:color w:val="auto"/>
                <w:sz w:val="22"/>
                <w:szCs w:val="22"/>
              </w:rPr>
            </w:pPr>
            <w:r>
              <w:rPr>
                <w:color w:val="auto"/>
                <w:sz w:val="22"/>
                <w:szCs w:val="22"/>
              </w:rPr>
              <w:t>Урок 37</w:t>
            </w:r>
          </w:p>
        </w:tc>
        <w:tc>
          <w:tcPr>
            <w:tcW w:w="6405" w:type="dxa"/>
            <w:vAlign w:val="center"/>
          </w:tcPr>
          <w:p w14:paraId="52FC2A64">
            <w:pPr>
              <w:pStyle w:val="85"/>
              <w:jc w:val="both"/>
              <w:rPr>
                <w:color w:val="auto"/>
                <w:sz w:val="22"/>
                <w:szCs w:val="22"/>
              </w:rPr>
            </w:pPr>
            <w:r>
              <w:rPr>
                <w:color w:val="auto"/>
                <w:sz w:val="22"/>
                <w:szCs w:val="22"/>
              </w:rPr>
              <w:t>Пищеварительная система и ее роль в жизни человека</w:t>
            </w:r>
          </w:p>
        </w:tc>
        <w:tc>
          <w:tcPr>
            <w:tcW w:w="1473" w:type="dxa"/>
          </w:tcPr>
          <w:p w14:paraId="46E583DA">
            <w:pPr>
              <w:pStyle w:val="85"/>
              <w:rPr>
                <w:color w:val="auto"/>
                <w:sz w:val="22"/>
                <w:szCs w:val="22"/>
              </w:rPr>
            </w:pPr>
          </w:p>
        </w:tc>
      </w:tr>
      <w:tr w14:paraId="1236C3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91" w:type="dxa"/>
            <w:vAlign w:val="center"/>
          </w:tcPr>
          <w:p w14:paraId="1ED58161">
            <w:pPr>
              <w:pStyle w:val="85"/>
              <w:rPr>
                <w:color w:val="auto"/>
                <w:sz w:val="22"/>
                <w:szCs w:val="22"/>
              </w:rPr>
            </w:pPr>
            <w:r>
              <w:rPr>
                <w:color w:val="auto"/>
                <w:sz w:val="22"/>
                <w:szCs w:val="22"/>
              </w:rPr>
              <w:t>Урок 38</w:t>
            </w:r>
          </w:p>
        </w:tc>
        <w:tc>
          <w:tcPr>
            <w:tcW w:w="6405" w:type="dxa"/>
            <w:vAlign w:val="center"/>
          </w:tcPr>
          <w:p w14:paraId="2C1B9926">
            <w:pPr>
              <w:pStyle w:val="85"/>
              <w:jc w:val="both"/>
              <w:rPr>
                <w:color w:val="auto"/>
                <w:sz w:val="22"/>
                <w:szCs w:val="22"/>
              </w:rPr>
            </w:pPr>
            <w:r>
              <w:rPr>
                <w:color w:val="auto"/>
                <w:sz w:val="22"/>
                <w:szCs w:val="22"/>
              </w:rPr>
              <w:t>Дыхательная система и ее роль в жизни человека</w:t>
            </w:r>
          </w:p>
        </w:tc>
        <w:tc>
          <w:tcPr>
            <w:tcW w:w="1473" w:type="dxa"/>
          </w:tcPr>
          <w:p w14:paraId="3B73F773">
            <w:pPr>
              <w:pStyle w:val="85"/>
              <w:rPr>
                <w:color w:val="auto"/>
                <w:sz w:val="22"/>
                <w:szCs w:val="22"/>
              </w:rPr>
            </w:pPr>
          </w:p>
        </w:tc>
      </w:tr>
      <w:tr w14:paraId="1ADD50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91" w:type="dxa"/>
            <w:vAlign w:val="center"/>
          </w:tcPr>
          <w:p w14:paraId="5FDC70DC">
            <w:pPr>
              <w:pStyle w:val="85"/>
              <w:rPr>
                <w:color w:val="auto"/>
                <w:sz w:val="22"/>
                <w:szCs w:val="22"/>
              </w:rPr>
            </w:pPr>
            <w:r>
              <w:rPr>
                <w:color w:val="auto"/>
                <w:sz w:val="22"/>
                <w:szCs w:val="22"/>
              </w:rPr>
              <w:t>Урок 39</w:t>
            </w:r>
          </w:p>
        </w:tc>
        <w:tc>
          <w:tcPr>
            <w:tcW w:w="6405" w:type="dxa"/>
          </w:tcPr>
          <w:p w14:paraId="5E39B87F">
            <w:pPr>
              <w:pStyle w:val="85"/>
              <w:jc w:val="both"/>
              <w:rPr>
                <w:color w:val="auto"/>
                <w:sz w:val="22"/>
                <w:szCs w:val="22"/>
              </w:rPr>
            </w:pPr>
            <w:r>
              <w:rPr>
                <w:color w:val="auto"/>
                <w:sz w:val="22"/>
                <w:szCs w:val="22"/>
              </w:rPr>
              <w:t>Кровеносная и нервная система и их роль в жизни человека</w:t>
            </w:r>
          </w:p>
        </w:tc>
        <w:tc>
          <w:tcPr>
            <w:tcW w:w="1473" w:type="dxa"/>
          </w:tcPr>
          <w:p w14:paraId="7EF0BC94">
            <w:pPr>
              <w:pStyle w:val="85"/>
              <w:rPr>
                <w:color w:val="auto"/>
                <w:sz w:val="22"/>
                <w:szCs w:val="22"/>
              </w:rPr>
            </w:pPr>
          </w:p>
        </w:tc>
      </w:tr>
      <w:tr w14:paraId="6F8E08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91" w:type="dxa"/>
            <w:vAlign w:val="center"/>
          </w:tcPr>
          <w:p w14:paraId="4E04C42C">
            <w:pPr>
              <w:pStyle w:val="85"/>
              <w:rPr>
                <w:color w:val="auto"/>
                <w:sz w:val="22"/>
                <w:szCs w:val="22"/>
              </w:rPr>
            </w:pPr>
            <w:r>
              <w:rPr>
                <w:color w:val="auto"/>
                <w:sz w:val="22"/>
                <w:szCs w:val="22"/>
              </w:rPr>
              <w:t>Урок 40</w:t>
            </w:r>
          </w:p>
        </w:tc>
        <w:tc>
          <w:tcPr>
            <w:tcW w:w="6405" w:type="dxa"/>
          </w:tcPr>
          <w:p w14:paraId="278F7058">
            <w:pPr>
              <w:pStyle w:val="85"/>
              <w:jc w:val="both"/>
              <w:rPr>
                <w:color w:val="auto"/>
                <w:sz w:val="22"/>
                <w:szCs w:val="22"/>
              </w:rPr>
            </w:pPr>
            <w:r>
              <w:rPr>
                <w:color w:val="auto"/>
                <w:sz w:val="22"/>
                <w:szCs w:val="22"/>
              </w:rPr>
              <w:t>Профилактика заболеваний. Роль закаливания для здоровья растущего организма</w:t>
            </w:r>
          </w:p>
        </w:tc>
        <w:tc>
          <w:tcPr>
            <w:tcW w:w="1473" w:type="dxa"/>
          </w:tcPr>
          <w:p w14:paraId="49D56C7B">
            <w:pPr>
              <w:pStyle w:val="85"/>
              <w:rPr>
                <w:color w:val="auto"/>
                <w:sz w:val="22"/>
                <w:szCs w:val="22"/>
              </w:rPr>
            </w:pPr>
          </w:p>
        </w:tc>
      </w:tr>
      <w:tr w14:paraId="59009E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91" w:type="dxa"/>
            <w:vAlign w:val="center"/>
          </w:tcPr>
          <w:p w14:paraId="24C47B6A">
            <w:pPr>
              <w:pStyle w:val="85"/>
              <w:rPr>
                <w:color w:val="auto"/>
                <w:sz w:val="22"/>
                <w:szCs w:val="22"/>
              </w:rPr>
            </w:pPr>
            <w:r>
              <w:rPr>
                <w:color w:val="auto"/>
                <w:sz w:val="22"/>
                <w:szCs w:val="22"/>
              </w:rPr>
              <w:t>Урок 41</w:t>
            </w:r>
          </w:p>
        </w:tc>
        <w:tc>
          <w:tcPr>
            <w:tcW w:w="6405" w:type="dxa"/>
          </w:tcPr>
          <w:p w14:paraId="48AC5241">
            <w:pPr>
              <w:pStyle w:val="85"/>
              <w:jc w:val="both"/>
              <w:rPr>
                <w:color w:val="auto"/>
                <w:sz w:val="22"/>
                <w:szCs w:val="22"/>
              </w:rPr>
            </w:pPr>
            <w:r>
              <w:rPr>
                <w:color w:val="auto"/>
                <w:sz w:val="22"/>
                <w:szCs w:val="22"/>
              </w:rPr>
              <w:t>Роль двигательной активности: утренней гимнастики, динамических пауз</w:t>
            </w:r>
          </w:p>
        </w:tc>
        <w:tc>
          <w:tcPr>
            <w:tcW w:w="1473" w:type="dxa"/>
          </w:tcPr>
          <w:p w14:paraId="6E9351E7">
            <w:pPr>
              <w:pStyle w:val="85"/>
              <w:rPr>
                <w:color w:val="auto"/>
                <w:sz w:val="22"/>
                <w:szCs w:val="22"/>
              </w:rPr>
            </w:pPr>
          </w:p>
        </w:tc>
      </w:tr>
      <w:tr w14:paraId="561AD9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91" w:type="dxa"/>
            <w:vAlign w:val="center"/>
          </w:tcPr>
          <w:p w14:paraId="0D6606EF">
            <w:pPr>
              <w:pStyle w:val="85"/>
              <w:rPr>
                <w:color w:val="auto"/>
                <w:sz w:val="22"/>
                <w:szCs w:val="22"/>
              </w:rPr>
            </w:pPr>
            <w:r>
              <w:rPr>
                <w:color w:val="auto"/>
                <w:sz w:val="22"/>
                <w:szCs w:val="22"/>
              </w:rPr>
              <w:t>Урок 42</w:t>
            </w:r>
          </w:p>
        </w:tc>
        <w:tc>
          <w:tcPr>
            <w:tcW w:w="6405" w:type="dxa"/>
          </w:tcPr>
          <w:p w14:paraId="5700C5CA">
            <w:pPr>
              <w:pStyle w:val="85"/>
              <w:jc w:val="both"/>
              <w:rPr>
                <w:color w:val="auto"/>
                <w:sz w:val="22"/>
                <w:szCs w:val="22"/>
              </w:rPr>
            </w:pPr>
            <w:r>
              <w:rPr>
                <w:color w:val="auto"/>
                <w:sz w:val="22"/>
                <w:szCs w:val="22"/>
              </w:rPr>
              <w:t>Резервный урок. Повторение по теме "Человек - часть природы. Строение тела человека"</w:t>
            </w:r>
          </w:p>
        </w:tc>
        <w:tc>
          <w:tcPr>
            <w:tcW w:w="1473" w:type="dxa"/>
          </w:tcPr>
          <w:p w14:paraId="1C24B8E8">
            <w:pPr>
              <w:pStyle w:val="85"/>
              <w:rPr>
                <w:color w:val="auto"/>
                <w:sz w:val="22"/>
                <w:szCs w:val="22"/>
              </w:rPr>
            </w:pPr>
          </w:p>
        </w:tc>
      </w:tr>
      <w:tr w14:paraId="66E74E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91" w:type="dxa"/>
            <w:vAlign w:val="center"/>
          </w:tcPr>
          <w:p w14:paraId="1A183A6C">
            <w:pPr>
              <w:pStyle w:val="85"/>
              <w:rPr>
                <w:color w:val="auto"/>
                <w:sz w:val="22"/>
                <w:szCs w:val="22"/>
              </w:rPr>
            </w:pPr>
            <w:r>
              <w:rPr>
                <w:color w:val="auto"/>
                <w:sz w:val="22"/>
                <w:szCs w:val="22"/>
              </w:rPr>
              <w:t>Урок 43</w:t>
            </w:r>
          </w:p>
        </w:tc>
        <w:tc>
          <w:tcPr>
            <w:tcW w:w="6405" w:type="dxa"/>
          </w:tcPr>
          <w:p w14:paraId="7C451C1E">
            <w:pPr>
              <w:pStyle w:val="85"/>
              <w:jc w:val="both"/>
              <w:rPr>
                <w:color w:val="auto"/>
                <w:sz w:val="22"/>
                <w:szCs w:val="22"/>
              </w:rPr>
            </w:pPr>
            <w:r>
              <w:rPr>
                <w:color w:val="auto"/>
                <w:sz w:val="22"/>
                <w:szCs w:val="22"/>
              </w:rPr>
              <w:t>Знаки безопасности во дворе жилого дома. Безопасность в доме</w:t>
            </w:r>
          </w:p>
        </w:tc>
        <w:tc>
          <w:tcPr>
            <w:tcW w:w="1473" w:type="dxa"/>
          </w:tcPr>
          <w:p w14:paraId="0C7D908F">
            <w:pPr>
              <w:pStyle w:val="85"/>
              <w:rPr>
                <w:color w:val="auto"/>
                <w:sz w:val="22"/>
                <w:szCs w:val="22"/>
              </w:rPr>
            </w:pPr>
          </w:p>
        </w:tc>
      </w:tr>
      <w:tr w14:paraId="14FE74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91" w:type="dxa"/>
            <w:vAlign w:val="center"/>
          </w:tcPr>
          <w:p w14:paraId="6846C71A">
            <w:pPr>
              <w:pStyle w:val="85"/>
              <w:rPr>
                <w:color w:val="auto"/>
                <w:sz w:val="22"/>
                <w:szCs w:val="22"/>
              </w:rPr>
            </w:pPr>
            <w:r>
              <w:rPr>
                <w:color w:val="auto"/>
                <w:sz w:val="22"/>
                <w:szCs w:val="22"/>
              </w:rPr>
              <w:t>Урок 44</w:t>
            </w:r>
          </w:p>
        </w:tc>
        <w:tc>
          <w:tcPr>
            <w:tcW w:w="6405" w:type="dxa"/>
          </w:tcPr>
          <w:p w14:paraId="7BD36E5B">
            <w:pPr>
              <w:pStyle w:val="85"/>
              <w:jc w:val="both"/>
              <w:rPr>
                <w:color w:val="auto"/>
                <w:sz w:val="22"/>
                <w:szCs w:val="22"/>
              </w:rPr>
            </w:pPr>
            <w:r>
              <w:rPr>
                <w:color w:val="auto"/>
                <w:sz w:val="22"/>
                <w:szCs w:val="22"/>
              </w:rPr>
              <w:t>Безопасное поведение пассажира железнодорожного транспорта. Знаки безопасности</w:t>
            </w:r>
          </w:p>
        </w:tc>
        <w:tc>
          <w:tcPr>
            <w:tcW w:w="1473" w:type="dxa"/>
          </w:tcPr>
          <w:p w14:paraId="70BEC52D">
            <w:pPr>
              <w:pStyle w:val="85"/>
              <w:rPr>
                <w:color w:val="auto"/>
                <w:sz w:val="22"/>
                <w:szCs w:val="22"/>
              </w:rPr>
            </w:pPr>
          </w:p>
        </w:tc>
      </w:tr>
      <w:tr w14:paraId="3C6C5A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91" w:type="dxa"/>
            <w:vAlign w:val="center"/>
          </w:tcPr>
          <w:p w14:paraId="2D20EA9E">
            <w:pPr>
              <w:pStyle w:val="85"/>
              <w:rPr>
                <w:color w:val="auto"/>
                <w:sz w:val="22"/>
                <w:szCs w:val="22"/>
              </w:rPr>
            </w:pPr>
            <w:r>
              <w:rPr>
                <w:color w:val="auto"/>
                <w:sz w:val="22"/>
                <w:szCs w:val="22"/>
              </w:rPr>
              <w:t>Урок 45</w:t>
            </w:r>
          </w:p>
        </w:tc>
        <w:tc>
          <w:tcPr>
            <w:tcW w:w="6405" w:type="dxa"/>
          </w:tcPr>
          <w:p w14:paraId="1F5C52D4">
            <w:pPr>
              <w:pStyle w:val="85"/>
              <w:jc w:val="both"/>
              <w:rPr>
                <w:color w:val="auto"/>
                <w:sz w:val="22"/>
                <w:szCs w:val="22"/>
              </w:rPr>
            </w:pPr>
            <w:r>
              <w:rPr>
                <w:color w:val="auto"/>
                <w:sz w:val="22"/>
                <w:szCs w:val="22"/>
              </w:rPr>
              <w:t>Безопасное поведение пассажира авиа и водного транспорта</w:t>
            </w:r>
          </w:p>
        </w:tc>
        <w:tc>
          <w:tcPr>
            <w:tcW w:w="1473" w:type="dxa"/>
          </w:tcPr>
          <w:p w14:paraId="1F7E43C9">
            <w:pPr>
              <w:pStyle w:val="85"/>
              <w:rPr>
                <w:color w:val="auto"/>
                <w:sz w:val="22"/>
                <w:szCs w:val="22"/>
              </w:rPr>
            </w:pPr>
          </w:p>
        </w:tc>
      </w:tr>
      <w:tr w14:paraId="00439C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191" w:type="dxa"/>
            <w:vAlign w:val="center"/>
          </w:tcPr>
          <w:p w14:paraId="6FFBDCC8">
            <w:pPr>
              <w:pStyle w:val="85"/>
              <w:rPr>
                <w:color w:val="auto"/>
                <w:sz w:val="22"/>
                <w:szCs w:val="22"/>
              </w:rPr>
            </w:pPr>
            <w:r>
              <w:rPr>
                <w:color w:val="auto"/>
                <w:sz w:val="22"/>
                <w:szCs w:val="22"/>
              </w:rPr>
              <w:t>Урок 46</w:t>
            </w:r>
          </w:p>
        </w:tc>
        <w:tc>
          <w:tcPr>
            <w:tcW w:w="6405" w:type="dxa"/>
          </w:tcPr>
          <w:p w14:paraId="5AB5555D">
            <w:pPr>
              <w:pStyle w:val="85"/>
              <w:jc w:val="both"/>
              <w:rPr>
                <w:color w:val="auto"/>
                <w:sz w:val="22"/>
                <w:szCs w:val="22"/>
              </w:rPr>
            </w:pPr>
            <w:r>
              <w:rPr>
                <w:color w:val="auto"/>
                <w:sz w:val="22"/>
                <w:szCs w:val="22"/>
              </w:rPr>
              <w:t>Соблюдение правил перемещения внутри двора и пересечения дворовой проезжей части. Знаки безопасности во дворе жилого дома</w:t>
            </w:r>
          </w:p>
        </w:tc>
        <w:tc>
          <w:tcPr>
            <w:tcW w:w="1473" w:type="dxa"/>
          </w:tcPr>
          <w:p w14:paraId="25DD0848">
            <w:pPr>
              <w:pStyle w:val="85"/>
              <w:rPr>
                <w:color w:val="auto"/>
                <w:sz w:val="22"/>
                <w:szCs w:val="22"/>
              </w:rPr>
            </w:pPr>
          </w:p>
        </w:tc>
      </w:tr>
      <w:tr w14:paraId="0C2281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91" w:type="dxa"/>
            <w:vAlign w:val="center"/>
          </w:tcPr>
          <w:p w14:paraId="0A841A56">
            <w:pPr>
              <w:pStyle w:val="85"/>
              <w:rPr>
                <w:color w:val="auto"/>
                <w:sz w:val="22"/>
                <w:szCs w:val="22"/>
              </w:rPr>
            </w:pPr>
            <w:r>
              <w:rPr>
                <w:color w:val="auto"/>
                <w:sz w:val="22"/>
                <w:szCs w:val="22"/>
              </w:rPr>
              <w:t>Урок 47</w:t>
            </w:r>
          </w:p>
        </w:tc>
        <w:tc>
          <w:tcPr>
            <w:tcW w:w="6405" w:type="dxa"/>
          </w:tcPr>
          <w:p w14:paraId="5BC342A9">
            <w:pPr>
              <w:pStyle w:val="85"/>
              <w:jc w:val="both"/>
              <w:rPr>
                <w:color w:val="auto"/>
                <w:sz w:val="22"/>
                <w:szCs w:val="22"/>
              </w:rPr>
            </w:pPr>
            <w:r>
              <w:rPr>
                <w:color w:val="auto"/>
                <w:sz w:val="22"/>
                <w:szCs w:val="22"/>
              </w:rPr>
              <w:t>Нужны ли обществу правила поведения? Правила поведения в социуме</w:t>
            </w:r>
          </w:p>
        </w:tc>
        <w:tc>
          <w:tcPr>
            <w:tcW w:w="1473" w:type="dxa"/>
          </w:tcPr>
          <w:p w14:paraId="026090DE">
            <w:pPr>
              <w:pStyle w:val="85"/>
              <w:rPr>
                <w:color w:val="auto"/>
                <w:sz w:val="22"/>
                <w:szCs w:val="22"/>
              </w:rPr>
            </w:pPr>
          </w:p>
        </w:tc>
      </w:tr>
      <w:tr w14:paraId="6AD9F4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91" w:type="dxa"/>
            <w:vAlign w:val="center"/>
          </w:tcPr>
          <w:p w14:paraId="6F511342">
            <w:pPr>
              <w:pStyle w:val="85"/>
              <w:rPr>
                <w:color w:val="auto"/>
                <w:sz w:val="22"/>
                <w:szCs w:val="22"/>
              </w:rPr>
            </w:pPr>
            <w:r>
              <w:rPr>
                <w:color w:val="auto"/>
                <w:sz w:val="22"/>
                <w:szCs w:val="22"/>
              </w:rPr>
              <w:t>Урок 48</w:t>
            </w:r>
          </w:p>
        </w:tc>
        <w:tc>
          <w:tcPr>
            <w:tcW w:w="6405" w:type="dxa"/>
          </w:tcPr>
          <w:p w14:paraId="094AB025">
            <w:pPr>
              <w:pStyle w:val="85"/>
              <w:jc w:val="both"/>
              <w:rPr>
                <w:color w:val="auto"/>
                <w:sz w:val="22"/>
                <w:szCs w:val="22"/>
              </w:rPr>
            </w:pPr>
            <w:r>
              <w:rPr>
                <w:color w:val="auto"/>
                <w:sz w:val="22"/>
                <w:szCs w:val="22"/>
              </w:rPr>
              <w:t>Значение труда в жизни человека и общества. Трудолюбие как общественно значимая ценность в культуре народов России</w:t>
            </w:r>
          </w:p>
        </w:tc>
        <w:tc>
          <w:tcPr>
            <w:tcW w:w="1473" w:type="dxa"/>
          </w:tcPr>
          <w:p w14:paraId="5DAFB964">
            <w:pPr>
              <w:pStyle w:val="85"/>
              <w:rPr>
                <w:color w:val="auto"/>
                <w:sz w:val="22"/>
                <w:szCs w:val="22"/>
              </w:rPr>
            </w:pPr>
          </w:p>
        </w:tc>
      </w:tr>
      <w:tr w14:paraId="34FD96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91" w:type="dxa"/>
            <w:vAlign w:val="center"/>
          </w:tcPr>
          <w:p w14:paraId="07B1066A">
            <w:pPr>
              <w:pStyle w:val="85"/>
              <w:rPr>
                <w:color w:val="auto"/>
                <w:sz w:val="22"/>
                <w:szCs w:val="22"/>
              </w:rPr>
            </w:pPr>
            <w:r>
              <w:rPr>
                <w:color w:val="auto"/>
                <w:sz w:val="22"/>
                <w:szCs w:val="22"/>
              </w:rPr>
              <w:t>Урок 49</w:t>
            </w:r>
          </w:p>
        </w:tc>
        <w:tc>
          <w:tcPr>
            <w:tcW w:w="6405" w:type="dxa"/>
          </w:tcPr>
          <w:p w14:paraId="70765AC2">
            <w:pPr>
              <w:pStyle w:val="85"/>
              <w:jc w:val="both"/>
              <w:rPr>
                <w:color w:val="auto"/>
                <w:sz w:val="22"/>
                <w:szCs w:val="22"/>
              </w:rPr>
            </w:pPr>
            <w:r>
              <w:rPr>
                <w:color w:val="auto"/>
                <w:sz w:val="22"/>
                <w:szCs w:val="22"/>
              </w:rPr>
              <w:t>Горная порода как соединение разных минералов. Примеры минералов</w:t>
            </w:r>
          </w:p>
        </w:tc>
        <w:tc>
          <w:tcPr>
            <w:tcW w:w="1473" w:type="dxa"/>
          </w:tcPr>
          <w:p w14:paraId="03355263">
            <w:pPr>
              <w:pStyle w:val="85"/>
              <w:rPr>
                <w:color w:val="auto"/>
                <w:sz w:val="22"/>
                <w:szCs w:val="22"/>
              </w:rPr>
            </w:pPr>
          </w:p>
        </w:tc>
      </w:tr>
      <w:tr w14:paraId="6846D3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91" w:type="dxa"/>
            <w:vAlign w:val="center"/>
          </w:tcPr>
          <w:p w14:paraId="538D6A36">
            <w:pPr>
              <w:pStyle w:val="85"/>
              <w:rPr>
                <w:color w:val="auto"/>
                <w:sz w:val="22"/>
                <w:szCs w:val="22"/>
              </w:rPr>
            </w:pPr>
            <w:r>
              <w:rPr>
                <w:color w:val="auto"/>
                <w:sz w:val="22"/>
                <w:szCs w:val="22"/>
              </w:rPr>
              <w:t>Урок 50</w:t>
            </w:r>
          </w:p>
        </w:tc>
        <w:tc>
          <w:tcPr>
            <w:tcW w:w="6405" w:type="dxa"/>
            <w:vAlign w:val="center"/>
          </w:tcPr>
          <w:p w14:paraId="39CFF41A">
            <w:pPr>
              <w:pStyle w:val="85"/>
              <w:jc w:val="both"/>
              <w:rPr>
                <w:color w:val="auto"/>
                <w:sz w:val="22"/>
                <w:szCs w:val="22"/>
              </w:rPr>
            </w:pPr>
            <w:r>
              <w:rPr>
                <w:color w:val="auto"/>
                <w:sz w:val="22"/>
                <w:szCs w:val="22"/>
              </w:rPr>
              <w:t>Полезные ископаемые - богатство земных недр</w:t>
            </w:r>
          </w:p>
        </w:tc>
        <w:tc>
          <w:tcPr>
            <w:tcW w:w="1473" w:type="dxa"/>
          </w:tcPr>
          <w:p w14:paraId="45A0BE7D">
            <w:pPr>
              <w:pStyle w:val="85"/>
              <w:rPr>
                <w:color w:val="auto"/>
                <w:sz w:val="22"/>
                <w:szCs w:val="22"/>
              </w:rPr>
            </w:pPr>
          </w:p>
        </w:tc>
      </w:tr>
      <w:tr w14:paraId="636CDD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91" w:type="dxa"/>
            <w:vAlign w:val="center"/>
          </w:tcPr>
          <w:p w14:paraId="7FEE5AE7">
            <w:pPr>
              <w:pStyle w:val="85"/>
              <w:rPr>
                <w:color w:val="auto"/>
                <w:sz w:val="22"/>
                <w:szCs w:val="22"/>
              </w:rPr>
            </w:pPr>
            <w:r>
              <w:rPr>
                <w:color w:val="auto"/>
                <w:sz w:val="22"/>
                <w:szCs w:val="22"/>
              </w:rPr>
              <w:t>Урок 51</w:t>
            </w:r>
          </w:p>
        </w:tc>
        <w:tc>
          <w:tcPr>
            <w:tcW w:w="6405" w:type="dxa"/>
          </w:tcPr>
          <w:p w14:paraId="27124AA4">
            <w:pPr>
              <w:pStyle w:val="85"/>
              <w:jc w:val="both"/>
              <w:rPr>
                <w:color w:val="auto"/>
                <w:sz w:val="22"/>
                <w:szCs w:val="22"/>
              </w:rPr>
            </w:pPr>
            <w:r>
              <w:rPr>
                <w:color w:val="auto"/>
                <w:sz w:val="22"/>
                <w:szCs w:val="22"/>
              </w:rPr>
              <w:t>Полезные ископаемые родного края: характеристика, использование в хозяйственной деятельности региона</w:t>
            </w:r>
          </w:p>
        </w:tc>
        <w:tc>
          <w:tcPr>
            <w:tcW w:w="1473" w:type="dxa"/>
          </w:tcPr>
          <w:p w14:paraId="590BB61C">
            <w:pPr>
              <w:pStyle w:val="85"/>
              <w:rPr>
                <w:color w:val="auto"/>
                <w:sz w:val="22"/>
                <w:szCs w:val="22"/>
              </w:rPr>
            </w:pPr>
          </w:p>
        </w:tc>
      </w:tr>
      <w:tr w14:paraId="280EFD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91" w:type="dxa"/>
            <w:vAlign w:val="center"/>
          </w:tcPr>
          <w:p w14:paraId="36F82E41">
            <w:pPr>
              <w:pStyle w:val="85"/>
              <w:rPr>
                <w:color w:val="auto"/>
                <w:sz w:val="22"/>
                <w:szCs w:val="22"/>
              </w:rPr>
            </w:pPr>
            <w:r>
              <w:rPr>
                <w:color w:val="auto"/>
                <w:sz w:val="22"/>
                <w:szCs w:val="22"/>
              </w:rPr>
              <w:t>Урок 52</w:t>
            </w:r>
          </w:p>
        </w:tc>
        <w:tc>
          <w:tcPr>
            <w:tcW w:w="6405" w:type="dxa"/>
          </w:tcPr>
          <w:p w14:paraId="14E8E47E">
            <w:pPr>
              <w:pStyle w:val="85"/>
              <w:jc w:val="both"/>
              <w:rPr>
                <w:color w:val="auto"/>
                <w:sz w:val="22"/>
                <w:szCs w:val="22"/>
              </w:rPr>
            </w:pPr>
            <w:r>
              <w:rPr>
                <w:color w:val="auto"/>
                <w:sz w:val="22"/>
                <w:szCs w:val="22"/>
              </w:rPr>
              <w:t>Растения, используемые людьми в хозяйственной деятельности</w:t>
            </w:r>
          </w:p>
        </w:tc>
        <w:tc>
          <w:tcPr>
            <w:tcW w:w="1473" w:type="dxa"/>
          </w:tcPr>
          <w:p w14:paraId="23039ECE">
            <w:pPr>
              <w:pStyle w:val="85"/>
              <w:rPr>
                <w:color w:val="auto"/>
                <w:sz w:val="22"/>
                <w:szCs w:val="22"/>
              </w:rPr>
            </w:pPr>
          </w:p>
        </w:tc>
      </w:tr>
      <w:tr w14:paraId="7D74B5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91" w:type="dxa"/>
            <w:vAlign w:val="center"/>
          </w:tcPr>
          <w:p w14:paraId="72340471">
            <w:pPr>
              <w:pStyle w:val="85"/>
              <w:rPr>
                <w:color w:val="auto"/>
                <w:sz w:val="22"/>
                <w:szCs w:val="22"/>
              </w:rPr>
            </w:pPr>
            <w:r>
              <w:rPr>
                <w:color w:val="auto"/>
                <w:sz w:val="22"/>
                <w:szCs w:val="22"/>
              </w:rPr>
              <w:t>Урок 53</w:t>
            </w:r>
          </w:p>
        </w:tc>
        <w:tc>
          <w:tcPr>
            <w:tcW w:w="6405" w:type="dxa"/>
          </w:tcPr>
          <w:p w14:paraId="1BF2D559">
            <w:pPr>
              <w:pStyle w:val="85"/>
              <w:jc w:val="both"/>
              <w:rPr>
                <w:color w:val="auto"/>
                <w:sz w:val="22"/>
                <w:szCs w:val="22"/>
              </w:rPr>
            </w:pPr>
            <w:r>
              <w:rPr>
                <w:color w:val="auto"/>
                <w:sz w:val="22"/>
                <w:szCs w:val="22"/>
              </w:rPr>
              <w:t>Труд жителей региона. Профессии, связанные с трудом на производстве, в сельском хозяйстве</w:t>
            </w:r>
          </w:p>
        </w:tc>
        <w:tc>
          <w:tcPr>
            <w:tcW w:w="1473" w:type="dxa"/>
          </w:tcPr>
          <w:p w14:paraId="7360378C">
            <w:pPr>
              <w:pStyle w:val="85"/>
              <w:rPr>
                <w:color w:val="auto"/>
                <w:sz w:val="22"/>
                <w:szCs w:val="22"/>
              </w:rPr>
            </w:pPr>
          </w:p>
        </w:tc>
      </w:tr>
      <w:tr w14:paraId="1B3B16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91" w:type="dxa"/>
            <w:vAlign w:val="center"/>
          </w:tcPr>
          <w:p w14:paraId="5B045CF9">
            <w:pPr>
              <w:pStyle w:val="85"/>
              <w:rPr>
                <w:color w:val="auto"/>
                <w:sz w:val="22"/>
                <w:szCs w:val="22"/>
              </w:rPr>
            </w:pPr>
            <w:r>
              <w:rPr>
                <w:color w:val="auto"/>
                <w:sz w:val="22"/>
                <w:szCs w:val="22"/>
              </w:rPr>
              <w:t>Урок 54</w:t>
            </w:r>
          </w:p>
        </w:tc>
        <w:tc>
          <w:tcPr>
            <w:tcW w:w="6405" w:type="dxa"/>
          </w:tcPr>
          <w:p w14:paraId="152A8129">
            <w:pPr>
              <w:pStyle w:val="85"/>
              <w:jc w:val="both"/>
              <w:rPr>
                <w:color w:val="auto"/>
                <w:sz w:val="22"/>
                <w:szCs w:val="22"/>
              </w:rPr>
            </w:pPr>
            <w:r>
              <w:rPr>
                <w:color w:val="auto"/>
                <w:sz w:val="22"/>
                <w:szCs w:val="22"/>
              </w:rPr>
              <w:t>Резервный урок. Семья: традиции, праздники. Государственный бюджет</w:t>
            </w:r>
          </w:p>
        </w:tc>
        <w:tc>
          <w:tcPr>
            <w:tcW w:w="1473" w:type="dxa"/>
          </w:tcPr>
          <w:p w14:paraId="23F10322">
            <w:pPr>
              <w:pStyle w:val="85"/>
              <w:rPr>
                <w:color w:val="auto"/>
                <w:sz w:val="22"/>
                <w:szCs w:val="22"/>
              </w:rPr>
            </w:pPr>
          </w:p>
        </w:tc>
      </w:tr>
      <w:tr w14:paraId="1A5F83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91" w:type="dxa"/>
            <w:vAlign w:val="center"/>
          </w:tcPr>
          <w:p w14:paraId="7EDD136E">
            <w:pPr>
              <w:pStyle w:val="85"/>
              <w:rPr>
                <w:color w:val="auto"/>
                <w:sz w:val="22"/>
                <w:szCs w:val="22"/>
              </w:rPr>
            </w:pPr>
            <w:r>
              <w:rPr>
                <w:color w:val="auto"/>
                <w:sz w:val="22"/>
                <w:szCs w:val="22"/>
              </w:rPr>
              <w:t>Урок 55</w:t>
            </w:r>
          </w:p>
        </w:tc>
        <w:tc>
          <w:tcPr>
            <w:tcW w:w="6405" w:type="dxa"/>
          </w:tcPr>
          <w:p w14:paraId="7FF08A43">
            <w:pPr>
              <w:pStyle w:val="85"/>
              <w:jc w:val="both"/>
              <w:rPr>
                <w:color w:val="auto"/>
                <w:sz w:val="22"/>
                <w:szCs w:val="22"/>
              </w:rPr>
            </w:pPr>
            <w:r>
              <w:rPr>
                <w:color w:val="auto"/>
                <w:sz w:val="22"/>
                <w:szCs w:val="22"/>
              </w:rPr>
              <w:t>Семья - первый и главный коллектив в жизни человека Повседневные заботы семьи</w:t>
            </w:r>
          </w:p>
        </w:tc>
        <w:tc>
          <w:tcPr>
            <w:tcW w:w="1473" w:type="dxa"/>
          </w:tcPr>
          <w:p w14:paraId="6D9E8530">
            <w:pPr>
              <w:pStyle w:val="85"/>
              <w:rPr>
                <w:color w:val="auto"/>
                <w:sz w:val="22"/>
                <w:szCs w:val="22"/>
              </w:rPr>
            </w:pPr>
          </w:p>
        </w:tc>
      </w:tr>
      <w:tr w14:paraId="78CBA3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91" w:type="dxa"/>
            <w:vAlign w:val="center"/>
          </w:tcPr>
          <w:p w14:paraId="4CE773F1">
            <w:pPr>
              <w:pStyle w:val="85"/>
              <w:rPr>
                <w:color w:val="auto"/>
                <w:sz w:val="22"/>
                <w:szCs w:val="22"/>
              </w:rPr>
            </w:pPr>
            <w:r>
              <w:rPr>
                <w:color w:val="auto"/>
                <w:sz w:val="22"/>
                <w:szCs w:val="22"/>
              </w:rPr>
              <w:t>Урок 56</w:t>
            </w:r>
          </w:p>
        </w:tc>
        <w:tc>
          <w:tcPr>
            <w:tcW w:w="6405" w:type="dxa"/>
          </w:tcPr>
          <w:p w14:paraId="6EE77719">
            <w:pPr>
              <w:pStyle w:val="85"/>
              <w:jc w:val="both"/>
              <w:rPr>
                <w:color w:val="auto"/>
                <w:sz w:val="22"/>
                <w:szCs w:val="22"/>
              </w:rPr>
            </w:pPr>
            <w:r>
              <w:rPr>
                <w:color w:val="auto"/>
                <w:sz w:val="22"/>
                <w:szCs w:val="22"/>
              </w:rPr>
              <w:t>Совместный труд. Семейный бюджет, доходы и расходы семьи</w:t>
            </w:r>
          </w:p>
        </w:tc>
        <w:tc>
          <w:tcPr>
            <w:tcW w:w="1473" w:type="dxa"/>
          </w:tcPr>
          <w:p w14:paraId="5D0B0850">
            <w:pPr>
              <w:pStyle w:val="85"/>
              <w:rPr>
                <w:color w:val="auto"/>
                <w:sz w:val="22"/>
                <w:szCs w:val="22"/>
              </w:rPr>
            </w:pPr>
          </w:p>
        </w:tc>
      </w:tr>
      <w:tr w14:paraId="41D598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91" w:type="dxa"/>
            <w:vAlign w:val="center"/>
          </w:tcPr>
          <w:p w14:paraId="28E4CD9C">
            <w:pPr>
              <w:pStyle w:val="85"/>
              <w:rPr>
                <w:color w:val="auto"/>
                <w:sz w:val="22"/>
                <w:szCs w:val="22"/>
              </w:rPr>
            </w:pPr>
            <w:r>
              <w:rPr>
                <w:color w:val="auto"/>
                <w:sz w:val="22"/>
                <w:szCs w:val="22"/>
              </w:rPr>
              <w:t>Урок 57</w:t>
            </w:r>
          </w:p>
        </w:tc>
        <w:tc>
          <w:tcPr>
            <w:tcW w:w="6405" w:type="dxa"/>
          </w:tcPr>
          <w:p w14:paraId="355C3746">
            <w:pPr>
              <w:pStyle w:val="85"/>
              <w:jc w:val="both"/>
              <w:rPr>
                <w:color w:val="auto"/>
                <w:sz w:val="22"/>
                <w:szCs w:val="22"/>
              </w:rPr>
            </w:pPr>
            <w:r>
              <w:rPr>
                <w:color w:val="auto"/>
                <w:sz w:val="22"/>
                <w:szCs w:val="22"/>
              </w:rPr>
              <w:t>Города Золотого кольца России: Сергиев Посад, Переславль-Залесский</w:t>
            </w:r>
          </w:p>
        </w:tc>
        <w:tc>
          <w:tcPr>
            <w:tcW w:w="1473" w:type="dxa"/>
          </w:tcPr>
          <w:p w14:paraId="5210F220">
            <w:pPr>
              <w:pStyle w:val="85"/>
              <w:rPr>
                <w:color w:val="auto"/>
                <w:sz w:val="22"/>
                <w:szCs w:val="22"/>
              </w:rPr>
            </w:pPr>
          </w:p>
        </w:tc>
      </w:tr>
      <w:tr w14:paraId="7A450E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91" w:type="dxa"/>
            <w:vAlign w:val="center"/>
          </w:tcPr>
          <w:p w14:paraId="51A68341">
            <w:pPr>
              <w:pStyle w:val="85"/>
              <w:rPr>
                <w:color w:val="auto"/>
                <w:sz w:val="22"/>
                <w:szCs w:val="22"/>
              </w:rPr>
            </w:pPr>
            <w:r>
              <w:rPr>
                <w:color w:val="auto"/>
                <w:sz w:val="22"/>
                <w:szCs w:val="22"/>
              </w:rPr>
              <w:t>Урок 58</w:t>
            </w:r>
          </w:p>
        </w:tc>
        <w:tc>
          <w:tcPr>
            <w:tcW w:w="6405" w:type="dxa"/>
          </w:tcPr>
          <w:p w14:paraId="6223408D">
            <w:pPr>
              <w:pStyle w:val="85"/>
              <w:jc w:val="both"/>
              <w:rPr>
                <w:color w:val="auto"/>
                <w:sz w:val="22"/>
                <w:szCs w:val="22"/>
              </w:rPr>
            </w:pPr>
            <w:r>
              <w:rPr>
                <w:color w:val="auto"/>
                <w:sz w:val="22"/>
                <w:szCs w:val="22"/>
              </w:rPr>
              <w:t>Города Золотого кольца России: Ростов, Углич, Ярославль</w:t>
            </w:r>
          </w:p>
        </w:tc>
        <w:tc>
          <w:tcPr>
            <w:tcW w:w="1473" w:type="dxa"/>
          </w:tcPr>
          <w:p w14:paraId="5426FC5C">
            <w:pPr>
              <w:pStyle w:val="85"/>
              <w:rPr>
                <w:color w:val="auto"/>
                <w:sz w:val="22"/>
                <w:szCs w:val="22"/>
              </w:rPr>
            </w:pPr>
          </w:p>
        </w:tc>
      </w:tr>
      <w:tr w14:paraId="3E9AF2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191" w:type="dxa"/>
            <w:vAlign w:val="center"/>
          </w:tcPr>
          <w:p w14:paraId="76219417">
            <w:pPr>
              <w:pStyle w:val="85"/>
              <w:rPr>
                <w:color w:val="auto"/>
                <w:sz w:val="22"/>
                <w:szCs w:val="22"/>
              </w:rPr>
            </w:pPr>
            <w:r>
              <w:rPr>
                <w:color w:val="auto"/>
                <w:sz w:val="22"/>
                <w:szCs w:val="22"/>
              </w:rPr>
              <w:t>Урок 59</w:t>
            </w:r>
          </w:p>
        </w:tc>
        <w:tc>
          <w:tcPr>
            <w:tcW w:w="6405" w:type="dxa"/>
          </w:tcPr>
          <w:p w14:paraId="14342857">
            <w:pPr>
              <w:pStyle w:val="85"/>
              <w:jc w:val="both"/>
              <w:rPr>
                <w:color w:val="auto"/>
                <w:sz w:val="22"/>
                <w:szCs w:val="22"/>
              </w:rPr>
            </w:pPr>
            <w:r>
              <w:rPr>
                <w:color w:val="auto"/>
                <w:sz w:val="22"/>
                <w:szCs w:val="22"/>
              </w:rPr>
              <w:t>Памятники природы и культуры стран Европы (по выбору)</w:t>
            </w:r>
          </w:p>
        </w:tc>
        <w:tc>
          <w:tcPr>
            <w:tcW w:w="1473" w:type="dxa"/>
          </w:tcPr>
          <w:p w14:paraId="028FAD47">
            <w:pPr>
              <w:pStyle w:val="85"/>
              <w:rPr>
                <w:color w:val="auto"/>
                <w:sz w:val="22"/>
                <w:szCs w:val="22"/>
              </w:rPr>
            </w:pPr>
          </w:p>
        </w:tc>
      </w:tr>
      <w:tr w14:paraId="294E81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91" w:type="dxa"/>
            <w:vAlign w:val="center"/>
          </w:tcPr>
          <w:p w14:paraId="1745BA06">
            <w:pPr>
              <w:pStyle w:val="85"/>
              <w:rPr>
                <w:color w:val="auto"/>
                <w:sz w:val="22"/>
                <w:szCs w:val="22"/>
              </w:rPr>
            </w:pPr>
            <w:r>
              <w:rPr>
                <w:color w:val="auto"/>
                <w:sz w:val="22"/>
                <w:szCs w:val="22"/>
              </w:rPr>
              <w:t>Урок 60</w:t>
            </w:r>
          </w:p>
        </w:tc>
        <w:tc>
          <w:tcPr>
            <w:tcW w:w="6405" w:type="dxa"/>
          </w:tcPr>
          <w:p w14:paraId="21B04DB6">
            <w:pPr>
              <w:pStyle w:val="85"/>
              <w:jc w:val="both"/>
              <w:rPr>
                <w:color w:val="auto"/>
                <w:sz w:val="22"/>
                <w:szCs w:val="22"/>
              </w:rPr>
            </w:pPr>
            <w:r>
              <w:rPr>
                <w:color w:val="auto"/>
                <w:sz w:val="22"/>
                <w:szCs w:val="22"/>
              </w:rPr>
              <w:t>Памятники природы и культуры Белоруссии (по выбору)</w:t>
            </w:r>
          </w:p>
        </w:tc>
        <w:tc>
          <w:tcPr>
            <w:tcW w:w="1473" w:type="dxa"/>
          </w:tcPr>
          <w:p w14:paraId="0DF23F7C">
            <w:pPr>
              <w:pStyle w:val="85"/>
              <w:rPr>
                <w:color w:val="auto"/>
                <w:sz w:val="22"/>
                <w:szCs w:val="22"/>
              </w:rPr>
            </w:pPr>
          </w:p>
        </w:tc>
      </w:tr>
      <w:tr w14:paraId="188BCC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91" w:type="dxa"/>
            <w:vAlign w:val="center"/>
          </w:tcPr>
          <w:p w14:paraId="693F3416">
            <w:pPr>
              <w:pStyle w:val="85"/>
              <w:rPr>
                <w:color w:val="auto"/>
                <w:sz w:val="22"/>
                <w:szCs w:val="22"/>
              </w:rPr>
            </w:pPr>
            <w:r>
              <w:rPr>
                <w:color w:val="auto"/>
                <w:sz w:val="22"/>
                <w:szCs w:val="22"/>
              </w:rPr>
              <w:t>Урок 61</w:t>
            </w:r>
          </w:p>
        </w:tc>
        <w:tc>
          <w:tcPr>
            <w:tcW w:w="6405" w:type="dxa"/>
            <w:vAlign w:val="center"/>
          </w:tcPr>
          <w:p w14:paraId="2A48D91F">
            <w:pPr>
              <w:pStyle w:val="85"/>
              <w:jc w:val="both"/>
              <w:rPr>
                <w:color w:val="auto"/>
                <w:sz w:val="22"/>
                <w:szCs w:val="22"/>
              </w:rPr>
            </w:pPr>
            <w:r>
              <w:rPr>
                <w:color w:val="auto"/>
                <w:sz w:val="22"/>
                <w:szCs w:val="22"/>
              </w:rPr>
              <w:t>Памятники природы и культуры Китая (по выбору)</w:t>
            </w:r>
          </w:p>
        </w:tc>
        <w:tc>
          <w:tcPr>
            <w:tcW w:w="1473" w:type="dxa"/>
          </w:tcPr>
          <w:p w14:paraId="43E3ED26">
            <w:pPr>
              <w:pStyle w:val="85"/>
              <w:rPr>
                <w:color w:val="auto"/>
                <w:sz w:val="22"/>
                <w:szCs w:val="22"/>
              </w:rPr>
            </w:pPr>
          </w:p>
        </w:tc>
      </w:tr>
      <w:tr w14:paraId="6CA106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91" w:type="dxa"/>
            <w:vAlign w:val="center"/>
          </w:tcPr>
          <w:p w14:paraId="485B090B">
            <w:pPr>
              <w:pStyle w:val="85"/>
              <w:rPr>
                <w:color w:val="auto"/>
                <w:sz w:val="22"/>
                <w:szCs w:val="22"/>
              </w:rPr>
            </w:pPr>
            <w:r>
              <w:rPr>
                <w:color w:val="auto"/>
                <w:sz w:val="22"/>
                <w:szCs w:val="22"/>
              </w:rPr>
              <w:t>Урок 62</w:t>
            </w:r>
          </w:p>
        </w:tc>
        <w:tc>
          <w:tcPr>
            <w:tcW w:w="6405" w:type="dxa"/>
          </w:tcPr>
          <w:p w14:paraId="799E872B">
            <w:pPr>
              <w:pStyle w:val="85"/>
              <w:jc w:val="both"/>
              <w:rPr>
                <w:color w:val="auto"/>
                <w:sz w:val="22"/>
                <w:szCs w:val="22"/>
              </w:rPr>
            </w:pPr>
            <w:r>
              <w:rPr>
                <w:color w:val="auto"/>
                <w:sz w:val="22"/>
                <w:szCs w:val="22"/>
              </w:rPr>
              <w:t>Памятники природы и культуры стран Азии (по выбору)</w:t>
            </w:r>
          </w:p>
        </w:tc>
        <w:tc>
          <w:tcPr>
            <w:tcW w:w="1473" w:type="dxa"/>
          </w:tcPr>
          <w:p w14:paraId="57CC0635">
            <w:pPr>
              <w:pStyle w:val="85"/>
              <w:rPr>
                <w:color w:val="auto"/>
                <w:sz w:val="22"/>
                <w:szCs w:val="22"/>
              </w:rPr>
            </w:pPr>
          </w:p>
        </w:tc>
      </w:tr>
      <w:tr w14:paraId="20D9C0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91" w:type="dxa"/>
            <w:vAlign w:val="center"/>
          </w:tcPr>
          <w:p w14:paraId="31361ABE">
            <w:pPr>
              <w:pStyle w:val="85"/>
              <w:rPr>
                <w:color w:val="auto"/>
                <w:sz w:val="22"/>
                <w:szCs w:val="22"/>
              </w:rPr>
            </w:pPr>
            <w:r>
              <w:rPr>
                <w:color w:val="auto"/>
                <w:sz w:val="22"/>
                <w:szCs w:val="22"/>
              </w:rPr>
              <w:t>Урок 63</w:t>
            </w:r>
          </w:p>
        </w:tc>
        <w:tc>
          <w:tcPr>
            <w:tcW w:w="6405" w:type="dxa"/>
          </w:tcPr>
          <w:p w14:paraId="704EE01F">
            <w:pPr>
              <w:pStyle w:val="85"/>
              <w:jc w:val="both"/>
              <w:rPr>
                <w:color w:val="auto"/>
                <w:sz w:val="22"/>
                <w:szCs w:val="22"/>
              </w:rPr>
            </w:pPr>
            <w:r>
              <w:rPr>
                <w:color w:val="auto"/>
                <w:sz w:val="22"/>
                <w:szCs w:val="22"/>
              </w:rPr>
              <w:t>Уникальные памятники культуры России: Красная площадь, Кремль</w:t>
            </w:r>
          </w:p>
        </w:tc>
        <w:tc>
          <w:tcPr>
            <w:tcW w:w="1473" w:type="dxa"/>
          </w:tcPr>
          <w:p w14:paraId="69002932">
            <w:pPr>
              <w:pStyle w:val="85"/>
              <w:rPr>
                <w:color w:val="auto"/>
                <w:sz w:val="22"/>
                <w:szCs w:val="22"/>
              </w:rPr>
            </w:pPr>
          </w:p>
        </w:tc>
      </w:tr>
      <w:tr w14:paraId="03A54D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91" w:type="dxa"/>
            <w:vAlign w:val="center"/>
          </w:tcPr>
          <w:p w14:paraId="4901F0AF">
            <w:pPr>
              <w:pStyle w:val="85"/>
              <w:rPr>
                <w:color w:val="auto"/>
                <w:sz w:val="22"/>
                <w:szCs w:val="22"/>
              </w:rPr>
            </w:pPr>
            <w:r>
              <w:rPr>
                <w:color w:val="auto"/>
                <w:sz w:val="22"/>
                <w:szCs w:val="22"/>
              </w:rPr>
              <w:t>Урок 64</w:t>
            </w:r>
          </w:p>
        </w:tc>
        <w:tc>
          <w:tcPr>
            <w:tcW w:w="6405" w:type="dxa"/>
          </w:tcPr>
          <w:p w14:paraId="7BAABBB1">
            <w:pPr>
              <w:pStyle w:val="85"/>
              <w:jc w:val="both"/>
              <w:rPr>
                <w:color w:val="auto"/>
                <w:sz w:val="22"/>
                <w:szCs w:val="22"/>
              </w:rPr>
            </w:pPr>
            <w:r>
              <w:rPr>
                <w:color w:val="auto"/>
                <w:sz w:val="22"/>
                <w:szCs w:val="22"/>
              </w:rPr>
              <w:t>Уникальные памятники культуры России:</w:t>
            </w:r>
          </w:p>
          <w:p w14:paraId="60F4495F">
            <w:pPr>
              <w:pStyle w:val="85"/>
              <w:jc w:val="both"/>
              <w:rPr>
                <w:color w:val="auto"/>
                <w:sz w:val="22"/>
                <w:szCs w:val="22"/>
              </w:rPr>
            </w:pPr>
            <w:r>
              <w:rPr>
                <w:color w:val="auto"/>
                <w:sz w:val="22"/>
                <w:szCs w:val="22"/>
              </w:rPr>
              <w:t>исторический центр Санкт-Петербурга</w:t>
            </w:r>
          </w:p>
        </w:tc>
        <w:tc>
          <w:tcPr>
            <w:tcW w:w="1473" w:type="dxa"/>
          </w:tcPr>
          <w:p w14:paraId="2B68B8E0">
            <w:pPr>
              <w:pStyle w:val="85"/>
              <w:rPr>
                <w:color w:val="auto"/>
                <w:sz w:val="22"/>
                <w:szCs w:val="22"/>
              </w:rPr>
            </w:pPr>
          </w:p>
        </w:tc>
      </w:tr>
      <w:tr w14:paraId="1729BE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91" w:type="dxa"/>
            <w:vAlign w:val="center"/>
          </w:tcPr>
          <w:p w14:paraId="6F63251B">
            <w:pPr>
              <w:pStyle w:val="85"/>
              <w:rPr>
                <w:color w:val="auto"/>
                <w:sz w:val="22"/>
                <w:szCs w:val="22"/>
              </w:rPr>
            </w:pPr>
            <w:r>
              <w:rPr>
                <w:color w:val="auto"/>
                <w:sz w:val="22"/>
                <w:szCs w:val="22"/>
              </w:rPr>
              <w:t>Урок 65</w:t>
            </w:r>
          </w:p>
        </w:tc>
        <w:tc>
          <w:tcPr>
            <w:tcW w:w="6405" w:type="dxa"/>
          </w:tcPr>
          <w:p w14:paraId="1425D42C">
            <w:pPr>
              <w:pStyle w:val="85"/>
              <w:jc w:val="both"/>
              <w:rPr>
                <w:color w:val="auto"/>
                <w:sz w:val="22"/>
                <w:szCs w:val="22"/>
              </w:rPr>
            </w:pPr>
            <w:r>
              <w:rPr>
                <w:color w:val="auto"/>
                <w:sz w:val="22"/>
                <w:szCs w:val="22"/>
              </w:rPr>
              <w:t>Уникальные памятники культуры России: Кижи, памятники Великого Новгорода</w:t>
            </w:r>
          </w:p>
        </w:tc>
        <w:tc>
          <w:tcPr>
            <w:tcW w:w="1473" w:type="dxa"/>
          </w:tcPr>
          <w:p w14:paraId="641DF139">
            <w:pPr>
              <w:pStyle w:val="85"/>
              <w:rPr>
                <w:color w:val="auto"/>
                <w:sz w:val="22"/>
                <w:szCs w:val="22"/>
              </w:rPr>
            </w:pPr>
          </w:p>
        </w:tc>
      </w:tr>
      <w:tr w14:paraId="0065F7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91" w:type="dxa"/>
            <w:vAlign w:val="center"/>
          </w:tcPr>
          <w:p w14:paraId="08BF9BB4">
            <w:pPr>
              <w:pStyle w:val="85"/>
              <w:rPr>
                <w:color w:val="auto"/>
                <w:sz w:val="22"/>
                <w:szCs w:val="22"/>
              </w:rPr>
            </w:pPr>
            <w:r>
              <w:rPr>
                <w:color w:val="auto"/>
                <w:sz w:val="22"/>
                <w:szCs w:val="22"/>
              </w:rPr>
              <w:t>Урок 66</w:t>
            </w:r>
          </w:p>
        </w:tc>
        <w:tc>
          <w:tcPr>
            <w:tcW w:w="6405" w:type="dxa"/>
          </w:tcPr>
          <w:p w14:paraId="3729D24A">
            <w:pPr>
              <w:pStyle w:val="85"/>
              <w:jc w:val="both"/>
              <w:rPr>
                <w:color w:val="auto"/>
                <w:sz w:val="22"/>
                <w:szCs w:val="22"/>
              </w:rPr>
            </w:pPr>
            <w:r>
              <w:rPr>
                <w:color w:val="auto"/>
                <w:sz w:val="22"/>
                <w:szCs w:val="22"/>
              </w:rPr>
              <w:t>Достопримечательности родного края: памятники природы и культуры региона</w:t>
            </w:r>
          </w:p>
        </w:tc>
        <w:tc>
          <w:tcPr>
            <w:tcW w:w="1473" w:type="dxa"/>
          </w:tcPr>
          <w:p w14:paraId="715C25D8">
            <w:pPr>
              <w:pStyle w:val="85"/>
              <w:rPr>
                <w:color w:val="auto"/>
                <w:sz w:val="22"/>
                <w:szCs w:val="22"/>
              </w:rPr>
            </w:pPr>
          </w:p>
        </w:tc>
      </w:tr>
      <w:tr w14:paraId="329D5D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91" w:type="dxa"/>
            <w:vAlign w:val="center"/>
          </w:tcPr>
          <w:p w14:paraId="7DED5C2B">
            <w:pPr>
              <w:pStyle w:val="85"/>
              <w:rPr>
                <w:color w:val="auto"/>
                <w:sz w:val="22"/>
                <w:szCs w:val="22"/>
              </w:rPr>
            </w:pPr>
            <w:r>
              <w:rPr>
                <w:color w:val="auto"/>
                <w:sz w:val="22"/>
                <w:szCs w:val="22"/>
              </w:rPr>
              <w:t>Урок 67</w:t>
            </w:r>
          </w:p>
        </w:tc>
        <w:tc>
          <w:tcPr>
            <w:tcW w:w="6405" w:type="dxa"/>
          </w:tcPr>
          <w:p w14:paraId="4D9C3D44">
            <w:pPr>
              <w:pStyle w:val="85"/>
              <w:jc w:val="both"/>
              <w:rPr>
                <w:color w:val="auto"/>
                <w:sz w:val="22"/>
                <w:szCs w:val="22"/>
              </w:rPr>
            </w:pPr>
            <w:r>
              <w:rPr>
                <w:color w:val="auto"/>
                <w:sz w:val="22"/>
                <w:szCs w:val="22"/>
              </w:rPr>
              <w:t>Резервный урок. Повторение по теме "Наша Родина - Российская Федерация"</w:t>
            </w:r>
          </w:p>
        </w:tc>
        <w:tc>
          <w:tcPr>
            <w:tcW w:w="1473" w:type="dxa"/>
          </w:tcPr>
          <w:p w14:paraId="233FB585">
            <w:pPr>
              <w:pStyle w:val="85"/>
              <w:rPr>
                <w:color w:val="auto"/>
                <w:sz w:val="22"/>
                <w:szCs w:val="22"/>
              </w:rPr>
            </w:pPr>
          </w:p>
        </w:tc>
      </w:tr>
      <w:tr w14:paraId="2B4142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91" w:type="dxa"/>
            <w:vAlign w:val="center"/>
          </w:tcPr>
          <w:p w14:paraId="324F2A0B">
            <w:pPr>
              <w:pStyle w:val="85"/>
              <w:rPr>
                <w:color w:val="auto"/>
                <w:sz w:val="22"/>
                <w:szCs w:val="22"/>
              </w:rPr>
            </w:pPr>
            <w:r>
              <w:rPr>
                <w:color w:val="auto"/>
                <w:sz w:val="22"/>
                <w:szCs w:val="22"/>
              </w:rPr>
              <w:t>Урок 68</w:t>
            </w:r>
          </w:p>
        </w:tc>
        <w:tc>
          <w:tcPr>
            <w:tcW w:w="6405" w:type="dxa"/>
          </w:tcPr>
          <w:p w14:paraId="0350F1C5">
            <w:pPr>
              <w:pStyle w:val="85"/>
              <w:jc w:val="both"/>
              <w:rPr>
                <w:color w:val="auto"/>
                <w:sz w:val="22"/>
                <w:szCs w:val="22"/>
              </w:rPr>
            </w:pPr>
            <w:r>
              <w:rPr>
                <w:color w:val="auto"/>
                <w:sz w:val="22"/>
                <w:szCs w:val="22"/>
              </w:rPr>
              <w:t>Резервный урок. Повторение по итогам обучения в 3 классе</w:t>
            </w:r>
          </w:p>
        </w:tc>
        <w:tc>
          <w:tcPr>
            <w:tcW w:w="1473" w:type="dxa"/>
          </w:tcPr>
          <w:p w14:paraId="1F221698">
            <w:pPr>
              <w:pStyle w:val="85"/>
              <w:rPr>
                <w:color w:val="auto"/>
                <w:sz w:val="22"/>
                <w:szCs w:val="22"/>
              </w:rPr>
            </w:pPr>
          </w:p>
        </w:tc>
      </w:tr>
      <w:tr w14:paraId="295034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9069" w:type="dxa"/>
            <w:gridSpan w:val="3"/>
          </w:tcPr>
          <w:p w14:paraId="233DFCAF">
            <w:pPr>
              <w:pStyle w:val="85"/>
              <w:jc w:val="both"/>
              <w:rPr>
                <w:color w:val="auto"/>
                <w:sz w:val="22"/>
                <w:szCs w:val="22"/>
              </w:rPr>
            </w:pPr>
            <w:r>
              <w:rPr>
                <w:color w:val="auto"/>
                <w:sz w:val="22"/>
                <w:szCs w:val="22"/>
              </w:rPr>
              <w:t>ОБЩЕЕ КОЛИЧЕСТВО УРОКОВ ПО ПРОГРАММЕ: 68, из них уроков, отведенных на контрольные работы, - не более 6</w:t>
            </w:r>
          </w:p>
        </w:tc>
      </w:tr>
    </w:tbl>
    <w:p w14:paraId="57CABA23">
      <w:pPr>
        <w:pStyle w:val="85"/>
        <w:jc w:val="both"/>
        <w:rPr>
          <w:color w:val="auto"/>
          <w:sz w:val="22"/>
          <w:szCs w:val="22"/>
        </w:rPr>
      </w:pPr>
    </w:p>
    <w:p w14:paraId="779BB7D5">
      <w:pPr>
        <w:pStyle w:val="85"/>
        <w:jc w:val="right"/>
        <w:rPr>
          <w:color w:val="auto"/>
          <w:sz w:val="22"/>
          <w:szCs w:val="22"/>
        </w:rPr>
      </w:pPr>
      <w:r>
        <w:rPr>
          <w:color w:val="auto"/>
          <w:sz w:val="22"/>
          <w:szCs w:val="22"/>
        </w:rPr>
        <w:t>Таблица 11.3</w:t>
      </w:r>
    </w:p>
    <w:p w14:paraId="11218877">
      <w:pPr>
        <w:pStyle w:val="85"/>
        <w:jc w:val="both"/>
        <w:rPr>
          <w:color w:val="auto"/>
          <w:sz w:val="22"/>
          <w:szCs w:val="22"/>
        </w:rPr>
      </w:pPr>
    </w:p>
    <w:p w14:paraId="23B8434F">
      <w:pPr>
        <w:pStyle w:val="85"/>
        <w:jc w:val="both"/>
        <w:rPr>
          <w:color w:val="auto"/>
          <w:sz w:val="22"/>
          <w:szCs w:val="22"/>
        </w:rPr>
      </w:pPr>
      <w:r>
        <w:rPr>
          <w:color w:val="auto"/>
          <w:sz w:val="22"/>
          <w:szCs w:val="22"/>
        </w:rPr>
        <w:t>4 класс</w:t>
      </w:r>
    </w:p>
    <w:p w14:paraId="319682D7">
      <w:pPr>
        <w:pStyle w:val="85"/>
        <w:jc w:val="both"/>
        <w:rPr>
          <w:color w:val="auto"/>
          <w:sz w:val="22"/>
          <w:szCs w:val="22"/>
        </w:rPr>
      </w:pPr>
    </w:p>
    <w:tbl>
      <w:tblPr>
        <w:tblStyle w:val="1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02" w:type="dxa"/>
          <w:left w:w="62" w:type="dxa"/>
          <w:bottom w:w="102" w:type="dxa"/>
          <w:right w:w="62" w:type="dxa"/>
        </w:tblCellMar>
      </w:tblPr>
      <w:tblGrid>
        <w:gridCol w:w="1191"/>
        <w:gridCol w:w="6405"/>
        <w:gridCol w:w="1473"/>
      </w:tblGrid>
      <w:tr w14:paraId="6BCAC7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91" w:type="dxa"/>
          </w:tcPr>
          <w:p w14:paraId="3B40FF3C">
            <w:pPr>
              <w:pStyle w:val="85"/>
              <w:jc w:val="center"/>
              <w:rPr>
                <w:color w:val="auto"/>
                <w:sz w:val="22"/>
                <w:szCs w:val="22"/>
              </w:rPr>
            </w:pPr>
            <w:r>
              <w:rPr>
                <w:color w:val="auto"/>
                <w:sz w:val="22"/>
                <w:szCs w:val="22"/>
              </w:rPr>
              <w:t>N урока</w:t>
            </w:r>
          </w:p>
        </w:tc>
        <w:tc>
          <w:tcPr>
            <w:tcW w:w="6405" w:type="dxa"/>
          </w:tcPr>
          <w:p w14:paraId="205E04AB">
            <w:pPr>
              <w:pStyle w:val="85"/>
              <w:jc w:val="center"/>
              <w:rPr>
                <w:color w:val="auto"/>
                <w:sz w:val="22"/>
                <w:szCs w:val="22"/>
              </w:rPr>
            </w:pPr>
            <w:r>
              <w:rPr>
                <w:color w:val="auto"/>
                <w:sz w:val="22"/>
                <w:szCs w:val="22"/>
              </w:rPr>
              <w:t>Тема урока</w:t>
            </w:r>
          </w:p>
        </w:tc>
        <w:tc>
          <w:tcPr>
            <w:tcW w:w="1473" w:type="dxa"/>
          </w:tcPr>
          <w:p w14:paraId="27F0543F">
            <w:pPr>
              <w:pStyle w:val="85"/>
              <w:jc w:val="center"/>
              <w:rPr>
                <w:color w:val="auto"/>
                <w:sz w:val="22"/>
                <w:szCs w:val="22"/>
              </w:rPr>
            </w:pPr>
            <w:r>
              <w:rPr>
                <w:color w:val="auto"/>
                <w:sz w:val="22"/>
                <w:szCs w:val="22"/>
              </w:rPr>
              <w:t>Количество часов на практические работы</w:t>
            </w:r>
          </w:p>
        </w:tc>
      </w:tr>
      <w:tr w14:paraId="601B95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91" w:type="dxa"/>
          </w:tcPr>
          <w:p w14:paraId="58244F9E">
            <w:pPr>
              <w:pStyle w:val="85"/>
              <w:rPr>
                <w:color w:val="auto"/>
                <w:sz w:val="22"/>
                <w:szCs w:val="22"/>
              </w:rPr>
            </w:pPr>
            <w:r>
              <w:rPr>
                <w:color w:val="auto"/>
                <w:sz w:val="22"/>
                <w:szCs w:val="22"/>
              </w:rPr>
              <w:t>Урок 1</w:t>
            </w:r>
          </w:p>
        </w:tc>
        <w:tc>
          <w:tcPr>
            <w:tcW w:w="6405" w:type="dxa"/>
          </w:tcPr>
          <w:p w14:paraId="7A11FC04">
            <w:pPr>
              <w:pStyle w:val="85"/>
              <w:jc w:val="both"/>
              <w:rPr>
                <w:color w:val="auto"/>
                <w:sz w:val="22"/>
                <w:szCs w:val="22"/>
              </w:rPr>
            </w:pPr>
            <w:r>
              <w:rPr>
                <w:color w:val="auto"/>
                <w:sz w:val="22"/>
                <w:szCs w:val="22"/>
              </w:rPr>
              <w:t>Как человек изучает окружающую природу?</w:t>
            </w:r>
          </w:p>
        </w:tc>
        <w:tc>
          <w:tcPr>
            <w:tcW w:w="1473" w:type="dxa"/>
          </w:tcPr>
          <w:p w14:paraId="2EF5C41B">
            <w:pPr>
              <w:pStyle w:val="85"/>
              <w:rPr>
                <w:color w:val="auto"/>
                <w:sz w:val="22"/>
                <w:szCs w:val="22"/>
              </w:rPr>
            </w:pPr>
          </w:p>
        </w:tc>
      </w:tr>
      <w:tr w14:paraId="306228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91" w:type="dxa"/>
          </w:tcPr>
          <w:p w14:paraId="2E42011F">
            <w:pPr>
              <w:pStyle w:val="85"/>
              <w:rPr>
                <w:color w:val="auto"/>
                <w:sz w:val="22"/>
                <w:szCs w:val="22"/>
              </w:rPr>
            </w:pPr>
            <w:r>
              <w:rPr>
                <w:color w:val="auto"/>
                <w:sz w:val="22"/>
                <w:szCs w:val="22"/>
              </w:rPr>
              <w:t>Урок 2</w:t>
            </w:r>
          </w:p>
        </w:tc>
        <w:tc>
          <w:tcPr>
            <w:tcW w:w="6405" w:type="dxa"/>
          </w:tcPr>
          <w:p w14:paraId="7DF613B8">
            <w:pPr>
              <w:pStyle w:val="85"/>
              <w:jc w:val="both"/>
              <w:rPr>
                <w:color w:val="auto"/>
                <w:sz w:val="22"/>
                <w:szCs w:val="22"/>
              </w:rPr>
            </w:pPr>
            <w:r>
              <w:rPr>
                <w:color w:val="auto"/>
                <w:sz w:val="22"/>
                <w:szCs w:val="22"/>
              </w:rPr>
              <w:t>Солнце - звезда</w:t>
            </w:r>
          </w:p>
        </w:tc>
        <w:tc>
          <w:tcPr>
            <w:tcW w:w="1473" w:type="dxa"/>
          </w:tcPr>
          <w:p w14:paraId="139E8B35">
            <w:pPr>
              <w:pStyle w:val="85"/>
              <w:rPr>
                <w:color w:val="auto"/>
                <w:sz w:val="22"/>
                <w:szCs w:val="22"/>
              </w:rPr>
            </w:pPr>
          </w:p>
        </w:tc>
      </w:tr>
      <w:tr w14:paraId="461381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91" w:type="dxa"/>
          </w:tcPr>
          <w:p w14:paraId="3036A822">
            <w:pPr>
              <w:pStyle w:val="85"/>
              <w:rPr>
                <w:color w:val="auto"/>
                <w:sz w:val="22"/>
                <w:szCs w:val="22"/>
              </w:rPr>
            </w:pPr>
            <w:r>
              <w:rPr>
                <w:color w:val="auto"/>
                <w:sz w:val="22"/>
                <w:szCs w:val="22"/>
              </w:rPr>
              <w:t>Урок 3</w:t>
            </w:r>
          </w:p>
        </w:tc>
        <w:tc>
          <w:tcPr>
            <w:tcW w:w="6405" w:type="dxa"/>
          </w:tcPr>
          <w:p w14:paraId="4E86241A">
            <w:pPr>
              <w:pStyle w:val="85"/>
              <w:jc w:val="both"/>
              <w:rPr>
                <w:color w:val="auto"/>
                <w:sz w:val="22"/>
                <w:szCs w:val="22"/>
              </w:rPr>
            </w:pPr>
            <w:r>
              <w:rPr>
                <w:color w:val="auto"/>
                <w:sz w:val="22"/>
                <w:szCs w:val="22"/>
              </w:rPr>
              <w:t>Планеты Солнечной системы. Луна - спутник Земли</w:t>
            </w:r>
          </w:p>
        </w:tc>
        <w:tc>
          <w:tcPr>
            <w:tcW w:w="1473" w:type="dxa"/>
          </w:tcPr>
          <w:p w14:paraId="1385D4A5">
            <w:pPr>
              <w:pStyle w:val="85"/>
              <w:rPr>
                <w:color w:val="auto"/>
                <w:sz w:val="22"/>
                <w:szCs w:val="22"/>
              </w:rPr>
            </w:pPr>
          </w:p>
        </w:tc>
      </w:tr>
      <w:tr w14:paraId="60F7A3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191" w:type="dxa"/>
            <w:vAlign w:val="center"/>
          </w:tcPr>
          <w:p w14:paraId="090F3EF9">
            <w:pPr>
              <w:pStyle w:val="85"/>
              <w:rPr>
                <w:color w:val="auto"/>
                <w:sz w:val="22"/>
                <w:szCs w:val="22"/>
              </w:rPr>
            </w:pPr>
            <w:r>
              <w:rPr>
                <w:color w:val="auto"/>
                <w:sz w:val="22"/>
                <w:szCs w:val="22"/>
              </w:rPr>
              <w:t>Урок 4</w:t>
            </w:r>
          </w:p>
        </w:tc>
        <w:tc>
          <w:tcPr>
            <w:tcW w:w="6405" w:type="dxa"/>
          </w:tcPr>
          <w:p w14:paraId="0C5644FB">
            <w:pPr>
              <w:pStyle w:val="85"/>
              <w:jc w:val="both"/>
              <w:rPr>
                <w:color w:val="auto"/>
                <w:sz w:val="22"/>
                <w:szCs w:val="22"/>
              </w:rPr>
            </w:pPr>
            <w:r>
              <w:rPr>
                <w:color w:val="auto"/>
                <w:sz w:val="22"/>
                <w:szCs w:val="22"/>
              </w:rPr>
              <w:t>Смена дня и ночи на Земле как результат вращения планеты вокруг своей оси (практические работы с моделями и схемами)</w:t>
            </w:r>
          </w:p>
        </w:tc>
        <w:tc>
          <w:tcPr>
            <w:tcW w:w="1473" w:type="dxa"/>
            <w:vAlign w:val="center"/>
          </w:tcPr>
          <w:p w14:paraId="6247E5CD">
            <w:pPr>
              <w:pStyle w:val="85"/>
              <w:jc w:val="center"/>
              <w:rPr>
                <w:color w:val="auto"/>
                <w:sz w:val="22"/>
                <w:szCs w:val="22"/>
              </w:rPr>
            </w:pPr>
            <w:r>
              <w:rPr>
                <w:color w:val="auto"/>
                <w:sz w:val="22"/>
                <w:szCs w:val="22"/>
              </w:rPr>
              <w:t>1</w:t>
            </w:r>
          </w:p>
        </w:tc>
      </w:tr>
      <w:tr w14:paraId="739FE4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91" w:type="dxa"/>
            <w:vAlign w:val="center"/>
          </w:tcPr>
          <w:p w14:paraId="430CA394">
            <w:pPr>
              <w:pStyle w:val="85"/>
              <w:rPr>
                <w:color w:val="auto"/>
                <w:sz w:val="22"/>
                <w:szCs w:val="22"/>
              </w:rPr>
            </w:pPr>
            <w:r>
              <w:rPr>
                <w:color w:val="auto"/>
                <w:sz w:val="22"/>
                <w:szCs w:val="22"/>
              </w:rPr>
              <w:t>Урок 5</w:t>
            </w:r>
          </w:p>
        </w:tc>
        <w:tc>
          <w:tcPr>
            <w:tcW w:w="6405" w:type="dxa"/>
          </w:tcPr>
          <w:p w14:paraId="6720D89D">
            <w:pPr>
              <w:pStyle w:val="85"/>
              <w:jc w:val="both"/>
              <w:rPr>
                <w:color w:val="auto"/>
                <w:sz w:val="22"/>
                <w:szCs w:val="22"/>
              </w:rPr>
            </w:pPr>
            <w:r>
              <w:rPr>
                <w:color w:val="auto"/>
                <w:sz w:val="22"/>
                <w:szCs w:val="22"/>
              </w:rPr>
              <w:t>Обращение Земли вокруг Солнца как причина смены сезонов (практические работы с моделями и схемами). Общая характеристика времен года</w:t>
            </w:r>
          </w:p>
        </w:tc>
        <w:tc>
          <w:tcPr>
            <w:tcW w:w="1473" w:type="dxa"/>
            <w:vAlign w:val="center"/>
          </w:tcPr>
          <w:p w14:paraId="2DC3DC6D">
            <w:pPr>
              <w:pStyle w:val="85"/>
              <w:jc w:val="center"/>
              <w:rPr>
                <w:color w:val="auto"/>
                <w:sz w:val="22"/>
                <w:szCs w:val="22"/>
              </w:rPr>
            </w:pPr>
            <w:r>
              <w:rPr>
                <w:color w:val="auto"/>
                <w:sz w:val="22"/>
                <w:szCs w:val="22"/>
              </w:rPr>
              <w:t>1</w:t>
            </w:r>
          </w:p>
        </w:tc>
      </w:tr>
      <w:tr w14:paraId="1261A2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91" w:type="dxa"/>
          </w:tcPr>
          <w:p w14:paraId="705A81E2">
            <w:pPr>
              <w:pStyle w:val="85"/>
              <w:rPr>
                <w:color w:val="auto"/>
                <w:sz w:val="22"/>
                <w:szCs w:val="22"/>
              </w:rPr>
            </w:pPr>
            <w:r>
              <w:rPr>
                <w:color w:val="auto"/>
                <w:sz w:val="22"/>
                <w:szCs w:val="22"/>
              </w:rPr>
              <w:t>Урок 6</w:t>
            </w:r>
          </w:p>
        </w:tc>
        <w:tc>
          <w:tcPr>
            <w:tcW w:w="6405" w:type="dxa"/>
          </w:tcPr>
          <w:p w14:paraId="663BC782">
            <w:pPr>
              <w:pStyle w:val="85"/>
              <w:jc w:val="both"/>
              <w:rPr>
                <w:color w:val="auto"/>
                <w:sz w:val="22"/>
                <w:szCs w:val="22"/>
              </w:rPr>
            </w:pPr>
            <w:r>
              <w:rPr>
                <w:color w:val="auto"/>
                <w:sz w:val="22"/>
                <w:szCs w:val="22"/>
              </w:rPr>
              <w:t>Историческое время. Что такое "лента времени"?</w:t>
            </w:r>
          </w:p>
        </w:tc>
        <w:tc>
          <w:tcPr>
            <w:tcW w:w="1473" w:type="dxa"/>
          </w:tcPr>
          <w:p w14:paraId="05FE0031">
            <w:pPr>
              <w:pStyle w:val="85"/>
              <w:rPr>
                <w:color w:val="auto"/>
                <w:sz w:val="22"/>
                <w:szCs w:val="22"/>
              </w:rPr>
            </w:pPr>
          </w:p>
        </w:tc>
      </w:tr>
      <w:tr w14:paraId="0F025E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91" w:type="dxa"/>
            <w:vAlign w:val="center"/>
          </w:tcPr>
          <w:p w14:paraId="36BE0D71">
            <w:pPr>
              <w:pStyle w:val="85"/>
              <w:rPr>
                <w:color w:val="auto"/>
                <w:sz w:val="22"/>
                <w:szCs w:val="22"/>
              </w:rPr>
            </w:pPr>
            <w:r>
              <w:rPr>
                <w:color w:val="auto"/>
                <w:sz w:val="22"/>
                <w:szCs w:val="22"/>
              </w:rPr>
              <w:t>Урок 7</w:t>
            </w:r>
          </w:p>
        </w:tc>
        <w:tc>
          <w:tcPr>
            <w:tcW w:w="6405" w:type="dxa"/>
          </w:tcPr>
          <w:p w14:paraId="0DFC6784">
            <w:pPr>
              <w:pStyle w:val="85"/>
              <w:jc w:val="both"/>
              <w:rPr>
                <w:color w:val="auto"/>
                <w:sz w:val="22"/>
                <w:szCs w:val="22"/>
              </w:rPr>
            </w:pPr>
            <w:r>
              <w:rPr>
                <w:color w:val="auto"/>
                <w:sz w:val="22"/>
                <w:szCs w:val="22"/>
              </w:rPr>
              <w:t>Экологические проблемы взаимодействия человека и природы</w:t>
            </w:r>
          </w:p>
        </w:tc>
        <w:tc>
          <w:tcPr>
            <w:tcW w:w="1473" w:type="dxa"/>
          </w:tcPr>
          <w:p w14:paraId="3388146D">
            <w:pPr>
              <w:pStyle w:val="85"/>
              <w:rPr>
                <w:color w:val="auto"/>
                <w:sz w:val="22"/>
                <w:szCs w:val="22"/>
              </w:rPr>
            </w:pPr>
          </w:p>
        </w:tc>
      </w:tr>
      <w:tr w14:paraId="38FAD4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91" w:type="dxa"/>
          </w:tcPr>
          <w:p w14:paraId="25A145C2">
            <w:pPr>
              <w:pStyle w:val="85"/>
              <w:rPr>
                <w:color w:val="auto"/>
                <w:sz w:val="22"/>
                <w:szCs w:val="22"/>
              </w:rPr>
            </w:pPr>
            <w:r>
              <w:rPr>
                <w:color w:val="auto"/>
                <w:sz w:val="22"/>
                <w:szCs w:val="22"/>
              </w:rPr>
              <w:t>Урок 8</w:t>
            </w:r>
          </w:p>
        </w:tc>
        <w:tc>
          <w:tcPr>
            <w:tcW w:w="6405" w:type="dxa"/>
          </w:tcPr>
          <w:p w14:paraId="58C09857">
            <w:pPr>
              <w:pStyle w:val="85"/>
              <w:jc w:val="both"/>
              <w:rPr>
                <w:color w:val="auto"/>
                <w:sz w:val="22"/>
                <w:szCs w:val="22"/>
              </w:rPr>
            </w:pPr>
            <w:r>
              <w:rPr>
                <w:color w:val="auto"/>
                <w:sz w:val="22"/>
                <w:szCs w:val="22"/>
              </w:rPr>
              <w:t>Всемирное культурное наследие России</w:t>
            </w:r>
          </w:p>
        </w:tc>
        <w:tc>
          <w:tcPr>
            <w:tcW w:w="1473" w:type="dxa"/>
          </w:tcPr>
          <w:p w14:paraId="3C021F50">
            <w:pPr>
              <w:pStyle w:val="85"/>
              <w:rPr>
                <w:color w:val="auto"/>
                <w:sz w:val="22"/>
                <w:szCs w:val="22"/>
              </w:rPr>
            </w:pPr>
          </w:p>
        </w:tc>
      </w:tr>
      <w:tr w14:paraId="376A7C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91" w:type="dxa"/>
            <w:vAlign w:val="center"/>
          </w:tcPr>
          <w:p w14:paraId="7BF4FCC0">
            <w:pPr>
              <w:pStyle w:val="85"/>
              <w:rPr>
                <w:color w:val="auto"/>
                <w:sz w:val="22"/>
                <w:szCs w:val="22"/>
              </w:rPr>
            </w:pPr>
            <w:r>
              <w:rPr>
                <w:color w:val="auto"/>
                <w:sz w:val="22"/>
                <w:szCs w:val="22"/>
              </w:rPr>
              <w:t>Урок 9</w:t>
            </w:r>
          </w:p>
        </w:tc>
        <w:tc>
          <w:tcPr>
            <w:tcW w:w="6405" w:type="dxa"/>
          </w:tcPr>
          <w:p w14:paraId="70D9A287">
            <w:pPr>
              <w:pStyle w:val="85"/>
              <w:jc w:val="both"/>
              <w:rPr>
                <w:color w:val="auto"/>
                <w:sz w:val="22"/>
                <w:szCs w:val="22"/>
              </w:rPr>
            </w:pPr>
            <w:r>
              <w:rPr>
                <w:color w:val="auto"/>
                <w:sz w:val="22"/>
                <w:szCs w:val="22"/>
              </w:rPr>
              <w:t>Природные и культурные объекты Всемирного наследия в России</w:t>
            </w:r>
          </w:p>
        </w:tc>
        <w:tc>
          <w:tcPr>
            <w:tcW w:w="1473" w:type="dxa"/>
          </w:tcPr>
          <w:p w14:paraId="441734DC">
            <w:pPr>
              <w:pStyle w:val="85"/>
              <w:rPr>
                <w:color w:val="auto"/>
                <w:sz w:val="22"/>
                <w:szCs w:val="22"/>
              </w:rPr>
            </w:pPr>
          </w:p>
        </w:tc>
      </w:tr>
      <w:tr w14:paraId="3EC8FA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191" w:type="dxa"/>
            <w:vAlign w:val="center"/>
          </w:tcPr>
          <w:p w14:paraId="124D5FB3">
            <w:pPr>
              <w:pStyle w:val="85"/>
              <w:rPr>
                <w:color w:val="auto"/>
                <w:sz w:val="22"/>
                <w:szCs w:val="22"/>
              </w:rPr>
            </w:pPr>
            <w:r>
              <w:rPr>
                <w:color w:val="auto"/>
                <w:sz w:val="22"/>
                <w:szCs w:val="22"/>
              </w:rPr>
              <w:t>Урок 10</w:t>
            </w:r>
          </w:p>
        </w:tc>
        <w:tc>
          <w:tcPr>
            <w:tcW w:w="6405" w:type="dxa"/>
          </w:tcPr>
          <w:p w14:paraId="2BD7CCF3">
            <w:pPr>
              <w:pStyle w:val="85"/>
              <w:jc w:val="both"/>
              <w:rPr>
                <w:color w:val="auto"/>
                <w:sz w:val="22"/>
                <w:szCs w:val="22"/>
              </w:rPr>
            </w:pPr>
            <w:r>
              <w:rPr>
                <w:color w:val="auto"/>
                <w:sz w:val="22"/>
                <w:szCs w:val="22"/>
              </w:rPr>
              <w:t>Природные и культурные объекты Всемирного наследия за рубежом</w:t>
            </w:r>
          </w:p>
        </w:tc>
        <w:tc>
          <w:tcPr>
            <w:tcW w:w="1473" w:type="dxa"/>
          </w:tcPr>
          <w:p w14:paraId="46603B2D">
            <w:pPr>
              <w:pStyle w:val="85"/>
              <w:rPr>
                <w:color w:val="auto"/>
                <w:sz w:val="22"/>
                <w:szCs w:val="22"/>
              </w:rPr>
            </w:pPr>
          </w:p>
        </w:tc>
      </w:tr>
      <w:tr w14:paraId="361CDA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191" w:type="dxa"/>
            <w:vAlign w:val="center"/>
          </w:tcPr>
          <w:p w14:paraId="4DDEC938">
            <w:pPr>
              <w:pStyle w:val="85"/>
              <w:rPr>
                <w:color w:val="auto"/>
                <w:sz w:val="22"/>
                <w:szCs w:val="22"/>
              </w:rPr>
            </w:pPr>
            <w:r>
              <w:rPr>
                <w:color w:val="auto"/>
                <w:sz w:val="22"/>
                <w:szCs w:val="22"/>
              </w:rPr>
              <w:t>Урок 11</w:t>
            </w:r>
          </w:p>
        </w:tc>
        <w:tc>
          <w:tcPr>
            <w:tcW w:w="6405" w:type="dxa"/>
            <w:vAlign w:val="center"/>
          </w:tcPr>
          <w:p w14:paraId="7F8F1081">
            <w:pPr>
              <w:pStyle w:val="85"/>
              <w:jc w:val="both"/>
              <w:rPr>
                <w:color w:val="auto"/>
                <w:sz w:val="22"/>
                <w:szCs w:val="22"/>
              </w:rPr>
            </w:pPr>
            <w:r>
              <w:rPr>
                <w:color w:val="auto"/>
                <w:sz w:val="22"/>
                <w:szCs w:val="22"/>
              </w:rPr>
              <w:t>Знакомство с Международной Красной книгой</w:t>
            </w:r>
          </w:p>
        </w:tc>
        <w:tc>
          <w:tcPr>
            <w:tcW w:w="1473" w:type="dxa"/>
          </w:tcPr>
          <w:p w14:paraId="05E72742">
            <w:pPr>
              <w:pStyle w:val="85"/>
              <w:rPr>
                <w:color w:val="auto"/>
                <w:sz w:val="22"/>
                <w:szCs w:val="22"/>
              </w:rPr>
            </w:pPr>
          </w:p>
        </w:tc>
      </w:tr>
      <w:tr w14:paraId="4F661E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91" w:type="dxa"/>
            <w:vAlign w:val="center"/>
          </w:tcPr>
          <w:p w14:paraId="3C61D262">
            <w:pPr>
              <w:pStyle w:val="85"/>
              <w:rPr>
                <w:color w:val="auto"/>
                <w:sz w:val="22"/>
                <w:szCs w:val="22"/>
              </w:rPr>
            </w:pPr>
            <w:r>
              <w:rPr>
                <w:color w:val="auto"/>
                <w:sz w:val="22"/>
                <w:szCs w:val="22"/>
              </w:rPr>
              <w:t>Урок 12</w:t>
            </w:r>
          </w:p>
        </w:tc>
        <w:tc>
          <w:tcPr>
            <w:tcW w:w="6405" w:type="dxa"/>
            <w:vAlign w:val="center"/>
          </w:tcPr>
          <w:p w14:paraId="221C81EC">
            <w:pPr>
              <w:pStyle w:val="85"/>
              <w:jc w:val="both"/>
              <w:rPr>
                <w:color w:val="auto"/>
                <w:sz w:val="22"/>
                <w:szCs w:val="22"/>
              </w:rPr>
            </w:pPr>
            <w:r>
              <w:rPr>
                <w:color w:val="auto"/>
                <w:sz w:val="22"/>
                <w:szCs w:val="22"/>
              </w:rPr>
              <w:t>Всемирное культурное наследие</w:t>
            </w:r>
          </w:p>
        </w:tc>
        <w:tc>
          <w:tcPr>
            <w:tcW w:w="1473" w:type="dxa"/>
          </w:tcPr>
          <w:p w14:paraId="4574AB43">
            <w:pPr>
              <w:pStyle w:val="85"/>
              <w:rPr>
                <w:color w:val="auto"/>
                <w:sz w:val="22"/>
                <w:szCs w:val="22"/>
              </w:rPr>
            </w:pPr>
          </w:p>
        </w:tc>
      </w:tr>
      <w:tr w14:paraId="3074C4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91" w:type="dxa"/>
            <w:vAlign w:val="center"/>
          </w:tcPr>
          <w:p w14:paraId="68D5A2B9">
            <w:pPr>
              <w:pStyle w:val="85"/>
              <w:rPr>
                <w:color w:val="auto"/>
                <w:sz w:val="22"/>
                <w:szCs w:val="22"/>
              </w:rPr>
            </w:pPr>
            <w:r>
              <w:rPr>
                <w:color w:val="auto"/>
                <w:sz w:val="22"/>
                <w:szCs w:val="22"/>
              </w:rPr>
              <w:t>Урок 13</w:t>
            </w:r>
          </w:p>
        </w:tc>
        <w:tc>
          <w:tcPr>
            <w:tcW w:w="6405" w:type="dxa"/>
            <w:vAlign w:val="center"/>
          </w:tcPr>
          <w:p w14:paraId="44DF1735">
            <w:pPr>
              <w:pStyle w:val="85"/>
              <w:jc w:val="both"/>
              <w:rPr>
                <w:color w:val="auto"/>
                <w:sz w:val="22"/>
                <w:szCs w:val="22"/>
              </w:rPr>
            </w:pPr>
            <w:r>
              <w:rPr>
                <w:color w:val="auto"/>
                <w:sz w:val="22"/>
                <w:szCs w:val="22"/>
              </w:rPr>
              <w:t>Охрана историко-культурного наследия</w:t>
            </w:r>
          </w:p>
        </w:tc>
        <w:tc>
          <w:tcPr>
            <w:tcW w:w="1473" w:type="dxa"/>
          </w:tcPr>
          <w:p w14:paraId="0C261BAD">
            <w:pPr>
              <w:pStyle w:val="85"/>
              <w:rPr>
                <w:color w:val="auto"/>
                <w:sz w:val="22"/>
                <w:szCs w:val="22"/>
              </w:rPr>
            </w:pPr>
          </w:p>
        </w:tc>
      </w:tr>
      <w:tr w14:paraId="396DDE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91" w:type="dxa"/>
            <w:vAlign w:val="center"/>
          </w:tcPr>
          <w:p w14:paraId="12F23B78">
            <w:pPr>
              <w:pStyle w:val="85"/>
              <w:rPr>
                <w:color w:val="auto"/>
                <w:sz w:val="22"/>
                <w:szCs w:val="22"/>
              </w:rPr>
            </w:pPr>
            <w:r>
              <w:rPr>
                <w:color w:val="auto"/>
                <w:sz w:val="22"/>
                <w:szCs w:val="22"/>
              </w:rPr>
              <w:t>Урок 14</w:t>
            </w:r>
          </w:p>
        </w:tc>
        <w:tc>
          <w:tcPr>
            <w:tcW w:w="6405" w:type="dxa"/>
            <w:vAlign w:val="center"/>
          </w:tcPr>
          <w:p w14:paraId="41333456">
            <w:pPr>
              <w:pStyle w:val="85"/>
              <w:jc w:val="both"/>
              <w:rPr>
                <w:color w:val="auto"/>
                <w:sz w:val="22"/>
                <w:szCs w:val="22"/>
              </w:rPr>
            </w:pPr>
            <w:r>
              <w:rPr>
                <w:color w:val="auto"/>
                <w:sz w:val="22"/>
                <w:szCs w:val="22"/>
              </w:rPr>
              <w:t>О вредных для здоровья привычках</w:t>
            </w:r>
          </w:p>
        </w:tc>
        <w:tc>
          <w:tcPr>
            <w:tcW w:w="1473" w:type="dxa"/>
          </w:tcPr>
          <w:p w14:paraId="34216AC8">
            <w:pPr>
              <w:pStyle w:val="85"/>
              <w:rPr>
                <w:color w:val="auto"/>
                <w:sz w:val="22"/>
                <w:szCs w:val="22"/>
              </w:rPr>
            </w:pPr>
          </w:p>
        </w:tc>
      </w:tr>
      <w:tr w14:paraId="2DC8A9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191" w:type="dxa"/>
            <w:vAlign w:val="center"/>
          </w:tcPr>
          <w:p w14:paraId="428ACEBE">
            <w:pPr>
              <w:pStyle w:val="85"/>
              <w:rPr>
                <w:color w:val="auto"/>
                <w:sz w:val="22"/>
                <w:szCs w:val="22"/>
              </w:rPr>
            </w:pPr>
            <w:r>
              <w:rPr>
                <w:color w:val="auto"/>
                <w:sz w:val="22"/>
                <w:szCs w:val="22"/>
              </w:rPr>
              <w:t>Урок 15</w:t>
            </w:r>
          </w:p>
        </w:tc>
        <w:tc>
          <w:tcPr>
            <w:tcW w:w="6405" w:type="dxa"/>
            <w:vAlign w:val="center"/>
          </w:tcPr>
          <w:p w14:paraId="6604F593">
            <w:pPr>
              <w:pStyle w:val="85"/>
              <w:jc w:val="both"/>
              <w:rPr>
                <w:color w:val="auto"/>
                <w:sz w:val="22"/>
                <w:szCs w:val="22"/>
              </w:rPr>
            </w:pPr>
            <w:r>
              <w:rPr>
                <w:color w:val="auto"/>
                <w:sz w:val="22"/>
                <w:szCs w:val="22"/>
              </w:rPr>
              <w:t>Правила цифровой грамотности при использовании сети Интернет</w:t>
            </w:r>
          </w:p>
        </w:tc>
        <w:tc>
          <w:tcPr>
            <w:tcW w:w="1473" w:type="dxa"/>
          </w:tcPr>
          <w:p w14:paraId="0CFE3917">
            <w:pPr>
              <w:pStyle w:val="85"/>
              <w:rPr>
                <w:color w:val="auto"/>
                <w:sz w:val="22"/>
                <w:szCs w:val="22"/>
              </w:rPr>
            </w:pPr>
          </w:p>
        </w:tc>
      </w:tr>
      <w:tr w14:paraId="550DED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191" w:type="dxa"/>
            <w:vAlign w:val="center"/>
          </w:tcPr>
          <w:p w14:paraId="19722F85">
            <w:pPr>
              <w:pStyle w:val="85"/>
              <w:rPr>
                <w:color w:val="auto"/>
                <w:sz w:val="22"/>
                <w:szCs w:val="22"/>
              </w:rPr>
            </w:pPr>
            <w:r>
              <w:rPr>
                <w:color w:val="auto"/>
                <w:sz w:val="22"/>
                <w:szCs w:val="22"/>
              </w:rPr>
              <w:t>Урок 16</w:t>
            </w:r>
          </w:p>
        </w:tc>
        <w:tc>
          <w:tcPr>
            <w:tcW w:w="6405" w:type="dxa"/>
            <w:vAlign w:val="center"/>
          </w:tcPr>
          <w:p w14:paraId="3B2670D3">
            <w:pPr>
              <w:pStyle w:val="85"/>
              <w:jc w:val="both"/>
              <w:rPr>
                <w:color w:val="auto"/>
                <w:sz w:val="22"/>
                <w:szCs w:val="22"/>
              </w:rPr>
            </w:pPr>
            <w:r>
              <w:rPr>
                <w:color w:val="auto"/>
                <w:sz w:val="22"/>
                <w:szCs w:val="22"/>
              </w:rPr>
              <w:t>Планирование маршрутов с учетом транспортной инфраструктуры населенного пункта</w:t>
            </w:r>
          </w:p>
        </w:tc>
        <w:tc>
          <w:tcPr>
            <w:tcW w:w="1473" w:type="dxa"/>
          </w:tcPr>
          <w:p w14:paraId="2F34EE8B">
            <w:pPr>
              <w:pStyle w:val="85"/>
              <w:rPr>
                <w:color w:val="auto"/>
                <w:sz w:val="22"/>
                <w:szCs w:val="22"/>
              </w:rPr>
            </w:pPr>
          </w:p>
        </w:tc>
      </w:tr>
      <w:tr w14:paraId="7F384E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191" w:type="dxa"/>
            <w:vAlign w:val="center"/>
          </w:tcPr>
          <w:p w14:paraId="3452C682">
            <w:pPr>
              <w:pStyle w:val="85"/>
              <w:rPr>
                <w:color w:val="auto"/>
                <w:sz w:val="22"/>
                <w:szCs w:val="22"/>
              </w:rPr>
            </w:pPr>
            <w:r>
              <w:rPr>
                <w:color w:val="auto"/>
                <w:sz w:val="22"/>
                <w:szCs w:val="22"/>
              </w:rPr>
              <w:t>Урок 17</w:t>
            </w:r>
          </w:p>
        </w:tc>
        <w:tc>
          <w:tcPr>
            <w:tcW w:w="6405" w:type="dxa"/>
            <w:vAlign w:val="center"/>
          </w:tcPr>
          <w:p w14:paraId="6020FE48">
            <w:pPr>
              <w:pStyle w:val="85"/>
              <w:jc w:val="both"/>
              <w:rPr>
                <w:color w:val="auto"/>
                <w:sz w:val="22"/>
                <w:szCs w:val="22"/>
              </w:rPr>
            </w:pPr>
            <w:r>
              <w:rPr>
                <w:color w:val="auto"/>
                <w:sz w:val="22"/>
                <w:szCs w:val="22"/>
              </w:rPr>
              <w:t>Правила поведения в общественных местах: зонах отдыха, учреждениях культуры и торговых центрах</w:t>
            </w:r>
          </w:p>
        </w:tc>
        <w:tc>
          <w:tcPr>
            <w:tcW w:w="1473" w:type="dxa"/>
          </w:tcPr>
          <w:p w14:paraId="5598A657">
            <w:pPr>
              <w:pStyle w:val="85"/>
              <w:rPr>
                <w:color w:val="auto"/>
                <w:sz w:val="22"/>
                <w:szCs w:val="22"/>
              </w:rPr>
            </w:pPr>
          </w:p>
        </w:tc>
      </w:tr>
      <w:tr w14:paraId="23DFBB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91" w:type="dxa"/>
            <w:vAlign w:val="center"/>
          </w:tcPr>
          <w:p w14:paraId="7411E465">
            <w:pPr>
              <w:pStyle w:val="85"/>
              <w:rPr>
                <w:color w:val="auto"/>
                <w:sz w:val="22"/>
                <w:szCs w:val="22"/>
              </w:rPr>
            </w:pPr>
            <w:r>
              <w:rPr>
                <w:color w:val="auto"/>
                <w:sz w:val="22"/>
                <w:szCs w:val="22"/>
              </w:rPr>
              <w:t>Урок 18</w:t>
            </w:r>
          </w:p>
        </w:tc>
        <w:tc>
          <w:tcPr>
            <w:tcW w:w="6405" w:type="dxa"/>
            <w:vAlign w:val="center"/>
          </w:tcPr>
          <w:p w14:paraId="32257FCA">
            <w:pPr>
              <w:pStyle w:val="85"/>
              <w:jc w:val="both"/>
              <w:rPr>
                <w:color w:val="auto"/>
                <w:sz w:val="22"/>
                <w:szCs w:val="22"/>
              </w:rPr>
            </w:pPr>
            <w:r>
              <w:rPr>
                <w:color w:val="auto"/>
                <w:sz w:val="22"/>
                <w:szCs w:val="22"/>
              </w:rPr>
              <w:t>Безопасное поведение при езде на велосипеде и самокате. Дорожные знаки</w:t>
            </w:r>
          </w:p>
        </w:tc>
        <w:tc>
          <w:tcPr>
            <w:tcW w:w="1473" w:type="dxa"/>
          </w:tcPr>
          <w:p w14:paraId="17551E95">
            <w:pPr>
              <w:pStyle w:val="85"/>
              <w:rPr>
                <w:color w:val="auto"/>
                <w:sz w:val="22"/>
                <w:szCs w:val="22"/>
              </w:rPr>
            </w:pPr>
          </w:p>
        </w:tc>
      </w:tr>
      <w:tr w14:paraId="0238CF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91" w:type="dxa"/>
            <w:vAlign w:val="center"/>
          </w:tcPr>
          <w:p w14:paraId="2A429450">
            <w:pPr>
              <w:pStyle w:val="85"/>
              <w:rPr>
                <w:color w:val="auto"/>
                <w:sz w:val="22"/>
                <w:szCs w:val="22"/>
              </w:rPr>
            </w:pPr>
            <w:r>
              <w:rPr>
                <w:color w:val="auto"/>
                <w:sz w:val="22"/>
                <w:szCs w:val="22"/>
              </w:rPr>
              <w:t>Урок 19</w:t>
            </w:r>
          </w:p>
        </w:tc>
        <w:tc>
          <w:tcPr>
            <w:tcW w:w="6405" w:type="dxa"/>
            <w:vAlign w:val="center"/>
          </w:tcPr>
          <w:p w14:paraId="031DB2B5">
            <w:pPr>
              <w:pStyle w:val="85"/>
              <w:jc w:val="both"/>
              <w:rPr>
                <w:color w:val="auto"/>
                <w:sz w:val="22"/>
                <w:szCs w:val="22"/>
              </w:rPr>
            </w:pPr>
            <w:r>
              <w:rPr>
                <w:color w:val="auto"/>
                <w:sz w:val="22"/>
                <w:szCs w:val="22"/>
              </w:rPr>
              <w:t>Равнины России: Восточно-Европейская, Западно-Сибирская (название, общая характеристика, нахождение на карте)</w:t>
            </w:r>
          </w:p>
        </w:tc>
        <w:tc>
          <w:tcPr>
            <w:tcW w:w="1473" w:type="dxa"/>
          </w:tcPr>
          <w:p w14:paraId="0E1BBE5F">
            <w:pPr>
              <w:pStyle w:val="85"/>
              <w:rPr>
                <w:color w:val="auto"/>
                <w:sz w:val="22"/>
                <w:szCs w:val="22"/>
              </w:rPr>
            </w:pPr>
          </w:p>
        </w:tc>
      </w:tr>
      <w:tr w14:paraId="4708E6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191" w:type="dxa"/>
            <w:vAlign w:val="center"/>
          </w:tcPr>
          <w:p w14:paraId="1BE04FC9">
            <w:pPr>
              <w:pStyle w:val="85"/>
              <w:rPr>
                <w:color w:val="auto"/>
                <w:sz w:val="22"/>
                <w:szCs w:val="22"/>
              </w:rPr>
            </w:pPr>
            <w:r>
              <w:rPr>
                <w:color w:val="auto"/>
                <w:sz w:val="22"/>
                <w:szCs w:val="22"/>
              </w:rPr>
              <w:t>Урок 20</w:t>
            </w:r>
          </w:p>
        </w:tc>
        <w:tc>
          <w:tcPr>
            <w:tcW w:w="6405" w:type="dxa"/>
            <w:vAlign w:val="center"/>
          </w:tcPr>
          <w:p w14:paraId="183E766B">
            <w:pPr>
              <w:pStyle w:val="85"/>
              <w:jc w:val="both"/>
              <w:rPr>
                <w:color w:val="auto"/>
                <w:sz w:val="22"/>
                <w:szCs w:val="22"/>
              </w:rPr>
            </w:pPr>
            <w:r>
              <w:rPr>
                <w:color w:val="auto"/>
                <w:sz w:val="22"/>
                <w:szCs w:val="22"/>
              </w:rPr>
              <w:t>Горные системы России: Урал, Кавказ, Алтай (краткая характеристика, главные вершины, место нахождения на карте)</w:t>
            </w:r>
          </w:p>
        </w:tc>
        <w:tc>
          <w:tcPr>
            <w:tcW w:w="1473" w:type="dxa"/>
          </w:tcPr>
          <w:p w14:paraId="4BFFFA5E">
            <w:pPr>
              <w:pStyle w:val="85"/>
              <w:rPr>
                <w:color w:val="auto"/>
                <w:sz w:val="22"/>
                <w:szCs w:val="22"/>
              </w:rPr>
            </w:pPr>
          </w:p>
        </w:tc>
      </w:tr>
      <w:tr w14:paraId="11011D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91" w:type="dxa"/>
            <w:vAlign w:val="center"/>
          </w:tcPr>
          <w:p w14:paraId="6BD20FD8">
            <w:pPr>
              <w:pStyle w:val="85"/>
              <w:rPr>
                <w:color w:val="auto"/>
                <w:sz w:val="22"/>
                <w:szCs w:val="22"/>
              </w:rPr>
            </w:pPr>
            <w:r>
              <w:rPr>
                <w:color w:val="auto"/>
                <w:sz w:val="22"/>
                <w:szCs w:val="22"/>
              </w:rPr>
              <w:t>Урок 21</w:t>
            </w:r>
          </w:p>
        </w:tc>
        <w:tc>
          <w:tcPr>
            <w:tcW w:w="6405" w:type="dxa"/>
            <w:vAlign w:val="center"/>
          </w:tcPr>
          <w:p w14:paraId="63B8F3BA">
            <w:pPr>
              <w:pStyle w:val="85"/>
              <w:jc w:val="both"/>
              <w:rPr>
                <w:color w:val="auto"/>
                <w:sz w:val="22"/>
                <w:szCs w:val="22"/>
              </w:rPr>
            </w:pPr>
            <w:r>
              <w:rPr>
                <w:color w:val="auto"/>
                <w:sz w:val="22"/>
                <w:szCs w:val="22"/>
              </w:rPr>
              <w:t>Водоемы Земли, их разнообразие. Естественные водоемы: океан, море, озеро, болото. Примеры водоемов в России</w:t>
            </w:r>
          </w:p>
        </w:tc>
        <w:tc>
          <w:tcPr>
            <w:tcW w:w="1473" w:type="dxa"/>
          </w:tcPr>
          <w:p w14:paraId="6D1FAD67">
            <w:pPr>
              <w:pStyle w:val="85"/>
              <w:rPr>
                <w:color w:val="auto"/>
                <w:sz w:val="22"/>
                <w:szCs w:val="22"/>
              </w:rPr>
            </w:pPr>
          </w:p>
        </w:tc>
      </w:tr>
      <w:tr w14:paraId="336C98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91" w:type="dxa"/>
            <w:vAlign w:val="center"/>
          </w:tcPr>
          <w:p w14:paraId="49BD3F9D">
            <w:pPr>
              <w:pStyle w:val="85"/>
              <w:rPr>
                <w:color w:val="auto"/>
                <w:sz w:val="22"/>
                <w:szCs w:val="22"/>
              </w:rPr>
            </w:pPr>
            <w:r>
              <w:rPr>
                <w:color w:val="auto"/>
                <w:sz w:val="22"/>
                <w:szCs w:val="22"/>
              </w:rPr>
              <w:t>Урок 22</w:t>
            </w:r>
          </w:p>
        </w:tc>
        <w:tc>
          <w:tcPr>
            <w:tcW w:w="6405" w:type="dxa"/>
            <w:vAlign w:val="center"/>
          </w:tcPr>
          <w:p w14:paraId="5C9F2921">
            <w:pPr>
              <w:pStyle w:val="85"/>
              <w:jc w:val="both"/>
              <w:rPr>
                <w:color w:val="auto"/>
                <w:sz w:val="22"/>
                <w:szCs w:val="22"/>
              </w:rPr>
            </w:pPr>
            <w:r>
              <w:rPr>
                <w:color w:val="auto"/>
                <w:sz w:val="22"/>
                <w:szCs w:val="22"/>
              </w:rPr>
              <w:t>Река как водный поток</w:t>
            </w:r>
          </w:p>
        </w:tc>
        <w:tc>
          <w:tcPr>
            <w:tcW w:w="1473" w:type="dxa"/>
          </w:tcPr>
          <w:p w14:paraId="4A4A8F8B">
            <w:pPr>
              <w:pStyle w:val="85"/>
              <w:rPr>
                <w:color w:val="auto"/>
                <w:sz w:val="22"/>
                <w:szCs w:val="22"/>
              </w:rPr>
            </w:pPr>
          </w:p>
        </w:tc>
      </w:tr>
      <w:tr w14:paraId="1F2C6B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191" w:type="dxa"/>
            <w:vAlign w:val="center"/>
          </w:tcPr>
          <w:p w14:paraId="084ADF7B">
            <w:pPr>
              <w:pStyle w:val="85"/>
              <w:rPr>
                <w:color w:val="auto"/>
                <w:sz w:val="22"/>
                <w:szCs w:val="22"/>
              </w:rPr>
            </w:pPr>
            <w:r>
              <w:rPr>
                <w:color w:val="auto"/>
                <w:sz w:val="22"/>
                <w:szCs w:val="22"/>
              </w:rPr>
              <w:t>Урок 23</w:t>
            </w:r>
          </w:p>
        </w:tc>
        <w:tc>
          <w:tcPr>
            <w:tcW w:w="6405" w:type="dxa"/>
            <w:vAlign w:val="center"/>
          </w:tcPr>
          <w:p w14:paraId="7C704669">
            <w:pPr>
              <w:pStyle w:val="85"/>
              <w:jc w:val="both"/>
              <w:rPr>
                <w:color w:val="auto"/>
                <w:sz w:val="22"/>
                <w:szCs w:val="22"/>
              </w:rPr>
            </w:pPr>
            <w:r>
              <w:rPr>
                <w:color w:val="auto"/>
                <w:sz w:val="22"/>
                <w:szCs w:val="22"/>
              </w:rPr>
              <w:t>Крупнейшие реки России: название, нахождение на карте</w:t>
            </w:r>
          </w:p>
        </w:tc>
        <w:tc>
          <w:tcPr>
            <w:tcW w:w="1473" w:type="dxa"/>
          </w:tcPr>
          <w:p w14:paraId="3ABCF6E5">
            <w:pPr>
              <w:pStyle w:val="85"/>
              <w:rPr>
                <w:color w:val="auto"/>
                <w:sz w:val="22"/>
                <w:szCs w:val="22"/>
              </w:rPr>
            </w:pPr>
          </w:p>
        </w:tc>
      </w:tr>
      <w:tr w14:paraId="0BF5A8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91" w:type="dxa"/>
            <w:vAlign w:val="center"/>
          </w:tcPr>
          <w:p w14:paraId="649B3D92">
            <w:pPr>
              <w:pStyle w:val="85"/>
              <w:rPr>
                <w:color w:val="auto"/>
                <w:sz w:val="22"/>
                <w:szCs w:val="22"/>
              </w:rPr>
            </w:pPr>
            <w:r>
              <w:rPr>
                <w:color w:val="auto"/>
                <w:sz w:val="22"/>
                <w:szCs w:val="22"/>
              </w:rPr>
              <w:t>Урок 24</w:t>
            </w:r>
          </w:p>
        </w:tc>
        <w:tc>
          <w:tcPr>
            <w:tcW w:w="6405" w:type="dxa"/>
            <w:vAlign w:val="center"/>
          </w:tcPr>
          <w:p w14:paraId="513FA1BC">
            <w:pPr>
              <w:pStyle w:val="85"/>
              <w:jc w:val="both"/>
              <w:rPr>
                <w:color w:val="auto"/>
                <w:sz w:val="22"/>
                <w:szCs w:val="22"/>
              </w:rPr>
            </w:pPr>
            <w:r>
              <w:rPr>
                <w:color w:val="auto"/>
                <w:sz w:val="22"/>
                <w:szCs w:val="22"/>
              </w:rPr>
              <w:t>Характеристика природных зон России: арктическая пустыня. Связи в природной зоне</w:t>
            </w:r>
          </w:p>
        </w:tc>
        <w:tc>
          <w:tcPr>
            <w:tcW w:w="1473" w:type="dxa"/>
          </w:tcPr>
          <w:p w14:paraId="218C11A9">
            <w:pPr>
              <w:pStyle w:val="85"/>
              <w:rPr>
                <w:color w:val="auto"/>
                <w:sz w:val="22"/>
                <w:szCs w:val="22"/>
              </w:rPr>
            </w:pPr>
          </w:p>
        </w:tc>
      </w:tr>
      <w:tr w14:paraId="241A6B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91" w:type="dxa"/>
            <w:vAlign w:val="center"/>
          </w:tcPr>
          <w:p w14:paraId="1EA04680">
            <w:pPr>
              <w:pStyle w:val="85"/>
              <w:rPr>
                <w:color w:val="auto"/>
                <w:sz w:val="22"/>
                <w:szCs w:val="22"/>
              </w:rPr>
            </w:pPr>
            <w:r>
              <w:rPr>
                <w:color w:val="auto"/>
                <w:sz w:val="22"/>
                <w:szCs w:val="22"/>
              </w:rPr>
              <w:t>Урок 25</w:t>
            </w:r>
          </w:p>
        </w:tc>
        <w:tc>
          <w:tcPr>
            <w:tcW w:w="6405" w:type="dxa"/>
            <w:vAlign w:val="center"/>
          </w:tcPr>
          <w:p w14:paraId="00179AB2">
            <w:pPr>
              <w:pStyle w:val="85"/>
              <w:jc w:val="both"/>
              <w:rPr>
                <w:color w:val="auto"/>
                <w:sz w:val="22"/>
                <w:szCs w:val="22"/>
              </w:rPr>
            </w:pPr>
            <w:r>
              <w:rPr>
                <w:color w:val="auto"/>
                <w:sz w:val="22"/>
                <w:szCs w:val="22"/>
              </w:rPr>
              <w:t>Характеристика природных зон России: тундра. Связи в природной зоне</w:t>
            </w:r>
          </w:p>
        </w:tc>
        <w:tc>
          <w:tcPr>
            <w:tcW w:w="1473" w:type="dxa"/>
          </w:tcPr>
          <w:p w14:paraId="4ED70CED">
            <w:pPr>
              <w:pStyle w:val="85"/>
              <w:rPr>
                <w:color w:val="auto"/>
                <w:sz w:val="22"/>
                <w:szCs w:val="22"/>
              </w:rPr>
            </w:pPr>
          </w:p>
        </w:tc>
      </w:tr>
      <w:tr w14:paraId="063805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91" w:type="dxa"/>
            <w:vAlign w:val="center"/>
          </w:tcPr>
          <w:p w14:paraId="68FD085E">
            <w:pPr>
              <w:pStyle w:val="85"/>
              <w:rPr>
                <w:color w:val="auto"/>
                <w:sz w:val="22"/>
                <w:szCs w:val="22"/>
              </w:rPr>
            </w:pPr>
            <w:r>
              <w:rPr>
                <w:color w:val="auto"/>
                <w:sz w:val="22"/>
                <w:szCs w:val="22"/>
              </w:rPr>
              <w:t>Урок 26</w:t>
            </w:r>
          </w:p>
        </w:tc>
        <w:tc>
          <w:tcPr>
            <w:tcW w:w="6405" w:type="dxa"/>
            <w:vAlign w:val="center"/>
          </w:tcPr>
          <w:p w14:paraId="2D5E3737">
            <w:pPr>
              <w:pStyle w:val="85"/>
              <w:jc w:val="both"/>
              <w:rPr>
                <w:color w:val="auto"/>
                <w:sz w:val="22"/>
                <w:szCs w:val="22"/>
              </w:rPr>
            </w:pPr>
            <w:r>
              <w:rPr>
                <w:color w:val="auto"/>
                <w:sz w:val="22"/>
                <w:szCs w:val="22"/>
              </w:rPr>
              <w:t>Характеристика природных зон России: тайга. Связи в природной зоне</w:t>
            </w:r>
          </w:p>
        </w:tc>
        <w:tc>
          <w:tcPr>
            <w:tcW w:w="1473" w:type="dxa"/>
          </w:tcPr>
          <w:p w14:paraId="64165B73">
            <w:pPr>
              <w:pStyle w:val="85"/>
              <w:rPr>
                <w:color w:val="auto"/>
                <w:sz w:val="22"/>
                <w:szCs w:val="22"/>
              </w:rPr>
            </w:pPr>
          </w:p>
        </w:tc>
      </w:tr>
      <w:tr w14:paraId="5C7173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91" w:type="dxa"/>
            <w:vAlign w:val="center"/>
          </w:tcPr>
          <w:p w14:paraId="73524BA6">
            <w:pPr>
              <w:pStyle w:val="85"/>
              <w:rPr>
                <w:color w:val="auto"/>
                <w:sz w:val="22"/>
                <w:szCs w:val="22"/>
              </w:rPr>
            </w:pPr>
            <w:r>
              <w:rPr>
                <w:color w:val="auto"/>
                <w:sz w:val="22"/>
                <w:szCs w:val="22"/>
              </w:rPr>
              <w:t>Урок 27</w:t>
            </w:r>
          </w:p>
        </w:tc>
        <w:tc>
          <w:tcPr>
            <w:tcW w:w="6405" w:type="dxa"/>
            <w:vAlign w:val="center"/>
          </w:tcPr>
          <w:p w14:paraId="3580652F">
            <w:pPr>
              <w:pStyle w:val="85"/>
              <w:jc w:val="both"/>
              <w:rPr>
                <w:color w:val="auto"/>
                <w:sz w:val="22"/>
                <w:szCs w:val="22"/>
              </w:rPr>
            </w:pPr>
            <w:r>
              <w:rPr>
                <w:color w:val="auto"/>
                <w:sz w:val="22"/>
                <w:szCs w:val="22"/>
              </w:rPr>
              <w:t>Характеристика природных зон России: смешанный лес. Связи в природной зоне</w:t>
            </w:r>
          </w:p>
        </w:tc>
        <w:tc>
          <w:tcPr>
            <w:tcW w:w="1473" w:type="dxa"/>
          </w:tcPr>
          <w:p w14:paraId="0349233A">
            <w:pPr>
              <w:pStyle w:val="85"/>
              <w:rPr>
                <w:color w:val="auto"/>
                <w:sz w:val="22"/>
                <w:szCs w:val="22"/>
              </w:rPr>
            </w:pPr>
          </w:p>
        </w:tc>
      </w:tr>
      <w:tr w14:paraId="2ACFB1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91" w:type="dxa"/>
            <w:vAlign w:val="center"/>
          </w:tcPr>
          <w:p w14:paraId="6DD4419A">
            <w:pPr>
              <w:pStyle w:val="85"/>
              <w:rPr>
                <w:color w:val="auto"/>
                <w:sz w:val="22"/>
                <w:szCs w:val="22"/>
              </w:rPr>
            </w:pPr>
            <w:r>
              <w:rPr>
                <w:color w:val="auto"/>
                <w:sz w:val="22"/>
                <w:szCs w:val="22"/>
              </w:rPr>
              <w:t>Урок 28</w:t>
            </w:r>
          </w:p>
        </w:tc>
        <w:tc>
          <w:tcPr>
            <w:tcW w:w="6405" w:type="dxa"/>
            <w:vAlign w:val="center"/>
          </w:tcPr>
          <w:p w14:paraId="1E45BF76">
            <w:pPr>
              <w:pStyle w:val="85"/>
              <w:jc w:val="both"/>
              <w:rPr>
                <w:color w:val="auto"/>
                <w:sz w:val="22"/>
                <w:szCs w:val="22"/>
              </w:rPr>
            </w:pPr>
            <w:r>
              <w:rPr>
                <w:color w:val="auto"/>
                <w:sz w:val="22"/>
                <w:szCs w:val="22"/>
              </w:rPr>
              <w:t>Характеристика природных зон России: степь и полупустыня. Связи в природной зоне</w:t>
            </w:r>
          </w:p>
        </w:tc>
        <w:tc>
          <w:tcPr>
            <w:tcW w:w="1473" w:type="dxa"/>
          </w:tcPr>
          <w:p w14:paraId="64FEF7BA">
            <w:pPr>
              <w:pStyle w:val="85"/>
              <w:rPr>
                <w:color w:val="auto"/>
                <w:sz w:val="22"/>
                <w:szCs w:val="22"/>
              </w:rPr>
            </w:pPr>
          </w:p>
        </w:tc>
      </w:tr>
      <w:tr w14:paraId="506430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91" w:type="dxa"/>
            <w:vAlign w:val="center"/>
          </w:tcPr>
          <w:p w14:paraId="2850830E">
            <w:pPr>
              <w:pStyle w:val="85"/>
              <w:rPr>
                <w:color w:val="auto"/>
                <w:sz w:val="22"/>
                <w:szCs w:val="22"/>
              </w:rPr>
            </w:pPr>
            <w:r>
              <w:rPr>
                <w:color w:val="auto"/>
                <w:sz w:val="22"/>
                <w:szCs w:val="22"/>
              </w:rPr>
              <w:t>Урок 29</w:t>
            </w:r>
          </w:p>
        </w:tc>
        <w:tc>
          <w:tcPr>
            <w:tcW w:w="6405" w:type="dxa"/>
            <w:vAlign w:val="center"/>
          </w:tcPr>
          <w:p w14:paraId="6E4073DA">
            <w:pPr>
              <w:pStyle w:val="85"/>
              <w:jc w:val="both"/>
              <w:rPr>
                <w:color w:val="auto"/>
                <w:sz w:val="22"/>
                <w:szCs w:val="22"/>
              </w:rPr>
            </w:pPr>
            <w:r>
              <w:rPr>
                <w:color w:val="auto"/>
                <w:sz w:val="22"/>
                <w:szCs w:val="22"/>
              </w:rPr>
              <w:t>Формы земной поверхности (на примере родного края)</w:t>
            </w:r>
          </w:p>
        </w:tc>
        <w:tc>
          <w:tcPr>
            <w:tcW w:w="1473" w:type="dxa"/>
          </w:tcPr>
          <w:p w14:paraId="0BBBDDA5">
            <w:pPr>
              <w:pStyle w:val="85"/>
              <w:rPr>
                <w:color w:val="auto"/>
                <w:sz w:val="22"/>
                <w:szCs w:val="22"/>
              </w:rPr>
            </w:pPr>
          </w:p>
        </w:tc>
      </w:tr>
      <w:tr w14:paraId="7FBC38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191" w:type="dxa"/>
            <w:vAlign w:val="center"/>
          </w:tcPr>
          <w:p w14:paraId="7CA4DBBD">
            <w:pPr>
              <w:pStyle w:val="85"/>
              <w:rPr>
                <w:color w:val="auto"/>
                <w:sz w:val="22"/>
                <w:szCs w:val="22"/>
              </w:rPr>
            </w:pPr>
            <w:r>
              <w:rPr>
                <w:color w:val="auto"/>
                <w:sz w:val="22"/>
                <w:szCs w:val="22"/>
              </w:rPr>
              <w:t>Урок 30</w:t>
            </w:r>
          </w:p>
        </w:tc>
        <w:tc>
          <w:tcPr>
            <w:tcW w:w="6405" w:type="dxa"/>
            <w:vAlign w:val="center"/>
          </w:tcPr>
          <w:p w14:paraId="42363DB3">
            <w:pPr>
              <w:pStyle w:val="85"/>
              <w:jc w:val="both"/>
              <w:rPr>
                <w:color w:val="auto"/>
                <w:sz w:val="22"/>
                <w:szCs w:val="22"/>
              </w:rPr>
            </w:pPr>
            <w:r>
              <w:rPr>
                <w:color w:val="auto"/>
                <w:sz w:val="22"/>
                <w:szCs w:val="22"/>
              </w:rPr>
              <w:t>Водоемы и реки родного края</w:t>
            </w:r>
          </w:p>
        </w:tc>
        <w:tc>
          <w:tcPr>
            <w:tcW w:w="1473" w:type="dxa"/>
          </w:tcPr>
          <w:p w14:paraId="73D47308">
            <w:pPr>
              <w:pStyle w:val="85"/>
              <w:rPr>
                <w:color w:val="auto"/>
                <w:sz w:val="22"/>
                <w:szCs w:val="22"/>
              </w:rPr>
            </w:pPr>
          </w:p>
        </w:tc>
      </w:tr>
      <w:tr w14:paraId="74796A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191" w:type="dxa"/>
            <w:vAlign w:val="center"/>
          </w:tcPr>
          <w:p w14:paraId="1D88DEBD">
            <w:pPr>
              <w:pStyle w:val="85"/>
              <w:rPr>
                <w:color w:val="auto"/>
                <w:sz w:val="22"/>
                <w:szCs w:val="22"/>
              </w:rPr>
            </w:pPr>
            <w:r>
              <w:rPr>
                <w:color w:val="auto"/>
                <w:sz w:val="22"/>
                <w:szCs w:val="22"/>
              </w:rPr>
              <w:t>Урок 31</w:t>
            </w:r>
          </w:p>
        </w:tc>
        <w:tc>
          <w:tcPr>
            <w:tcW w:w="6405" w:type="dxa"/>
            <w:vAlign w:val="center"/>
          </w:tcPr>
          <w:p w14:paraId="54626555">
            <w:pPr>
              <w:pStyle w:val="85"/>
              <w:jc w:val="both"/>
              <w:rPr>
                <w:color w:val="auto"/>
                <w:sz w:val="22"/>
                <w:szCs w:val="22"/>
              </w:rPr>
            </w:pPr>
            <w:r>
              <w:rPr>
                <w:color w:val="auto"/>
                <w:sz w:val="22"/>
                <w:szCs w:val="22"/>
              </w:rPr>
              <w:t>Использование рек и водоемов человеком (хозяйственная деятельность, отдых). Охрана рек и водоемов</w:t>
            </w:r>
          </w:p>
        </w:tc>
        <w:tc>
          <w:tcPr>
            <w:tcW w:w="1473" w:type="dxa"/>
          </w:tcPr>
          <w:p w14:paraId="7AC7D5D6">
            <w:pPr>
              <w:pStyle w:val="85"/>
              <w:rPr>
                <w:color w:val="auto"/>
                <w:sz w:val="22"/>
                <w:szCs w:val="22"/>
              </w:rPr>
            </w:pPr>
          </w:p>
        </w:tc>
      </w:tr>
      <w:tr w14:paraId="2B33C9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191" w:type="dxa"/>
            <w:vAlign w:val="center"/>
          </w:tcPr>
          <w:p w14:paraId="6CE6961A">
            <w:pPr>
              <w:pStyle w:val="85"/>
              <w:rPr>
                <w:color w:val="auto"/>
                <w:sz w:val="22"/>
                <w:szCs w:val="22"/>
              </w:rPr>
            </w:pPr>
            <w:r>
              <w:rPr>
                <w:color w:val="auto"/>
                <w:sz w:val="22"/>
                <w:szCs w:val="22"/>
              </w:rPr>
              <w:t>Урок 32</w:t>
            </w:r>
          </w:p>
        </w:tc>
        <w:tc>
          <w:tcPr>
            <w:tcW w:w="6405" w:type="dxa"/>
            <w:vAlign w:val="center"/>
          </w:tcPr>
          <w:p w14:paraId="146A875B">
            <w:pPr>
              <w:pStyle w:val="85"/>
              <w:jc w:val="both"/>
              <w:rPr>
                <w:color w:val="auto"/>
                <w:sz w:val="22"/>
                <w:szCs w:val="22"/>
              </w:rPr>
            </w:pPr>
            <w:r>
              <w:rPr>
                <w:color w:val="auto"/>
                <w:sz w:val="22"/>
                <w:szCs w:val="22"/>
              </w:rPr>
              <w:t>Защита и охрана природных богатств (воздуха, воды, полезных ископаемых, флоры и фауны)</w:t>
            </w:r>
          </w:p>
        </w:tc>
        <w:tc>
          <w:tcPr>
            <w:tcW w:w="1473" w:type="dxa"/>
          </w:tcPr>
          <w:p w14:paraId="1870C695">
            <w:pPr>
              <w:pStyle w:val="85"/>
              <w:rPr>
                <w:color w:val="auto"/>
                <w:sz w:val="22"/>
                <w:szCs w:val="22"/>
              </w:rPr>
            </w:pPr>
          </w:p>
        </w:tc>
      </w:tr>
      <w:tr w14:paraId="5F7142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91" w:type="dxa"/>
            <w:vAlign w:val="center"/>
          </w:tcPr>
          <w:p w14:paraId="0D4E663C">
            <w:pPr>
              <w:pStyle w:val="85"/>
              <w:rPr>
                <w:color w:val="auto"/>
                <w:sz w:val="22"/>
                <w:szCs w:val="22"/>
              </w:rPr>
            </w:pPr>
            <w:r>
              <w:rPr>
                <w:color w:val="auto"/>
                <w:sz w:val="22"/>
                <w:szCs w:val="22"/>
              </w:rPr>
              <w:t>Урок 33</w:t>
            </w:r>
          </w:p>
        </w:tc>
        <w:tc>
          <w:tcPr>
            <w:tcW w:w="6405" w:type="dxa"/>
            <w:vAlign w:val="center"/>
          </w:tcPr>
          <w:p w14:paraId="4A32430D">
            <w:pPr>
              <w:pStyle w:val="85"/>
              <w:jc w:val="both"/>
              <w:rPr>
                <w:color w:val="auto"/>
                <w:sz w:val="22"/>
                <w:szCs w:val="22"/>
              </w:rPr>
            </w:pPr>
            <w:r>
              <w:rPr>
                <w:color w:val="auto"/>
                <w:sz w:val="22"/>
                <w:szCs w:val="22"/>
              </w:rPr>
              <w:t>Искусственные водоемы: водохранилища, пруды (общая характеристика)</w:t>
            </w:r>
          </w:p>
        </w:tc>
        <w:tc>
          <w:tcPr>
            <w:tcW w:w="1473" w:type="dxa"/>
          </w:tcPr>
          <w:p w14:paraId="5BF61B9E">
            <w:pPr>
              <w:pStyle w:val="85"/>
              <w:rPr>
                <w:color w:val="auto"/>
                <w:sz w:val="22"/>
                <w:szCs w:val="22"/>
              </w:rPr>
            </w:pPr>
          </w:p>
        </w:tc>
      </w:tr>
      <w:tr w14:paraId="000095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191" w:type="dxa"/>
            <w:vAlign w:val="center"/>
          </w:tcPr>
          <w:p w14:paraId="45D58EB4">
            <w:pPr>
              <w:pStyle w:val="85"/>
              <w:rPr>
                <w:color w:val="auto"/>
                <w:sz w:val="22"/>
                <w:szCs w:val="22"/>
              </w:rPr>
            </w:pPr>
            <w:r>
              <w:rPr>
                <w:color w:val="auto"/>
                <w:sz w:val="22"/>
                <w:szCs w:val="22"/>
              </w:rPr>
              <w:t>Урок 34</w:t>
            </w:r>
          </w:p>
        </w:tc>
        <w:tc>
          <w:tcPr>
            <w:tcW w:w="6405" w:type="dxa"/>
            <w:vAlign w:val="center"/>
          </w:tcPr>
          <w:p w14:paraId="2987C57D">
            <w:pPr>
              <w:pStyle w:val="85"/>
              <w:jc w:val="both"/>
              <w:rPr>
                <w:color w:val="auto"/>
                <w:sz w:val="22"/>
                <w:szCs w:val="22"/>
              </w:rPr>
            </w:pPr>
            <w:r>
              <w:rPr>
                <w:color w:val="auto"/>
                <w:sz w:val="22"/>
                <w:szCs w:val="22"/>
              </w:rPr>
              <w:t>Резервный урок. Повторение по теме "Формы земной поверхности и водоемы"</w:t>
            </w:r>
          </w:p>
        </w:tc>
        <w:tc>
          <w:tcPr>
            <w:tcW w:w="1473" w:type="dxa"/>
          </w:tcPr>
          <w:p w14:paraId="40261820">
            <w:pPr>
              <w:pStyle w:val="85"/>
              <w:rPr>
                <w:color w:val="auto"/>
                <w:sz w:val="22"/>
                <w:szCs w:val="22"/>
              </w:rPr>
            </w:pPr>
          </w:p>
        </w:tc>
      </w:tr>
      <w:tr w14:paraId="58FABD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91" w:type="dxa"/>
            <w:vAlign w:val="center"/>
          </w:tcPr>
          <w:p w14:paraId="658C3997">
            <w:pPr>
              <w:pStyle w:val="85"/>
              <w:rPr>
                <w:color w:val="auto"/>
                <w:sz w:val="22"/>
                <w:szCs w:val="22"/>
              </w:rPr>
            </w:pPr>
            <w:r>
              <w:rPr>
                <w:color w:val="auto"/>
                <w:sz w:val="22"/>
                <w:szCs w:val="22"/>
              </w:rPr>
              <w:t>Урок 35</w:t>
            </w:r>
          </w:p>
        </w:tc>
        <w:tc>
          <w:tcPr>
            <w:tcW w:w="6405" w:type="dxa"/>
            <w:vAlign w:val="center"/>
          </w:tcPr>
          <w:p w14:paraId="06C9D300">
            <w:pPr>
              <w:pStyle w:val="85"/>
              <w:jc w:val="both"/>
              <w:rPr>
                <w:color w:val="auto"/>
                <w:sz w:val="22"/>
                <w:szCs w:val="22"/>
              </w:rPr>
            </w:pPr>
            <w:r>
              <w:rPr>
                <w:color w:val="auto"/>
                <w:sz w:val="22"/>
                <w:szCs w:val="22"/>
              </w:rPr>
              <w:t>Резервный урок. Повторение по теме "Природные зоны"</w:t>
            </w:r>
          </w:p>
        </w:tc>
        <w:tc>
          <w:tcPr>
            <w:tcW w:w="1473" w:type="dxa"/>
          </w:tcPr>
          <w:p w14:paraId="2DF9C60A">
            <w:pPr>
              <w:pStyle w:val="85"/>
              <w:rPr>
                <w:color w:val="auto"/>
                <w:sz w:val="22"/>
                <w:szCs w:val="22"/>
              </w:rPr>
            </w:pPr>
          </w:p>
        </w:tc>
      </w:tr>
      <w:tr w14:paraId="50905A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91" w:type="dxa"/>
            <w:vAlign w:val="center"/>
          </w:tcPr>
          <w:p w14:paraId="19EC59C5">
            <w:pPr>
              <w:pStyle w:val="85"/>
              <w:rPr>
                <w:color w:val="auto"/>
                <w:sz w:val="22"/>
                <w:szCs w:val="22"/>
              </w:rPr>
            </w:pPr>
            <w:r>
              <w:rPr>
                <w:color w:val="auto"/>
                <w:sz w:val="22"/>
                <w:szCs w:val="22"/>
              </w:rPr>
              <w:t>Урок 36</w:t>
            </w:r>
          </w:p>
        </w:tc>
        <w:tc>
          <w:tcPr>
            <w:tcW w:w="6405" w:type="dxa"/>
            <w:vAlign w:val="center"/>
          </w:tcPr>
          <w:p w14:paraId="1D8BA3FC">
            <w:pPr>
              <w:pStyle w:val="85"/>
              <w:jc w:val="both"/>
              <w:rPr>
                <w:color w:val="auto"/>
                <w:sz w:val="22"/>
                <w:szCs w:val="22"/>
              </w:rPr>
            </w:pPr>
            <w:r>
              <w:rPr>
                <w:color w:val="auto"/>
                <w:sz w:val="22"/>
                <w:szCs w:val="22"/>
              </w:rPr>
              <w:t>Человек - творец культурных ценностей</w:t>
            </w:r>
          </w:p>
        </w:tc>
        <w:tc>
          <w:tcPr>
            <w:tcW w:w="1473" w:type="dxa"/>
          </w:tcPr>
          <w:p w14:paraId="6054B6B7">
            <w:pPr>
              <w:pStyle w:val="85"/>
              <w:rPr>
                <w:color w:val="auto"/>
                <w:sz w:val="22"/>
                <w:szCs w:val="22"/>
              </w:rPr>
            </w:pPr>
          </w:p>
        </w:tc>
      </w:tr>
      <w:tr w14:paraId="1AD42A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91" w:type="dxa"/>
            <w:vAlign w:val="center"/>
          </w:tcPr>
          <w:p w14:paraId="3E94F5F2">
            <w:pPr>
              <w:pStyle w:val="85"/>
              <w:rPr>
                <w:color w:val="auto"/>
                <w:sz w:val="22"/>
                <w:szCs w:val="22"/>
              </w:rPr>
            </w:pPr>
            <w:r>
              <w:rPr>
                <w:color w:val="auto"/>
                <w:sz w:val="22"/>
                <w:szCs w:val="22"/>
              </w:rPr>
              <w:t>Урок 37</w:t>
            </w:r>
          </w:p>
        </w:tc>
        <w:tc>
          <w:tcPr>
            <w:tcW w:w="6405" w:type="dxa"/>
            <w:vAlign w:val="center"/>
          </w:tcPr>
          <w:p w14:paraId="43E2A619">
            <w:pPr>
              <w:pStyle w:val="85"/>
              <w:jc w:val="both"/>
              <w:rPr>
                <w:color w:val="auto"/>
                <w:sz w:val="22"/>
                <w:szCs w:val="22"/>
              </w:rPr>
            </w:pPr>
            <w:r>
              <w:rPr>
                <w:color w:val="auto"/>
                <w:sz w:val="22"/>
                <w:szCs w:val="22"/>
              </w:rPr>
              <w:t>Труд и быт людей в разные исторические времена</w:t>
            </w:r>
          </w:p>
        </w:tc>
        <w:tc>
          <w:tcPr>
            <w:tcW w:w="1473" w:type="dxa"/>
          </w:tcPr>
          <w:p w14:paraId="553EF041">
            <w:pPr>
              <w:pStyle w:val="85"/>
              <w:rPr>
                <w:color w:val="auto"/>
                <w:sz w:val="22"/>
                <w:szCs w:val="22"/>
              </w:rPr>
            </w:pPr>
          </w:p>
        </w:tc>
      </w:tr>
      <w:tr w14:paraId="6FE526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91" w:type="dxa"/>
            <w:vAlign w:val="center"/>
          </w:tcPr>
          <w:p w14:paraId="120381D6">
            <w:pPr>
              <w:pStyle w:val="85"/>
              <w:rPr>
                <w:color w:val="auto"/>
                <w:sz w:val="22"/>
                <w:szCs w:val="22"/>
              </w:rPr>
            </w:pPr>
            <w:r>
              <w:rPr>
                <w:color w:val="auto"/>
                <w:sz w:val="22"/>
                <w:szCs w:val="22"/>
              </w:rPr>
              <w:t>Урок 38</w:t>
            </w:r>
          </w:p>
        </w:tc>
        <w:tc>
          <w:tcPr>
            <w:tcW w:w="6405" w:type="dxa"/>
            <w:vAlign w:val="center"/>
          </w:tcPr>
          <w:p w14:paraId="7121D7BB">
            <w:pPr>
              <w:pStyle w:val="85"/>
              <w:jc w:val="both"/>
              <w:rPr>
                <w:color w:val="auto"/>
                <w:sz w:val="22"/>
                <w:szCs w:val="22"/>
              </w:rPr>
            </w:pPr>
            <w:r>
              <w:rPr>
                <w:color w:val="auto"/>
                <w:sz w:val="22"/>
                <w:szCs w:val="22"/>
              </w:rPr>
              <w:t>Резервный урок. Новое время</w:t>
            </w:r>
          </w:p>
        </w:tc>
        <w:tc>
          <w:tcPr>
            <w:tcW w:w="1473" w:type="dxa"/>
          </w:tcPr>
          <w:p w14:paraId="10C91181">
            <w:pPr>
              <w:pStyle w:val="85"/>
              <w:rPr>
                <w:color w:val="auto"/>
                <w:sz w:val="22"/>
                <w:szCs w:val="22"/>
              </w:rPr>
            </w:pPr>
          </w:p>
        </w:tc>
      </w:tr>
      <w:tr w14:paraId="11331D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91" w:type="dxa"/>
            <w:vAlign w:val="center"/>
          </w:tcPr>
          <w:p w14:paraId="18926833">
            <w:pPr>
              <w:pStyle w:val="85"/>
              <w:rPr>
                <w:color w:val="auto"/>
                <w:sz w:val="22"/>
                <w:szCs w:val="22"/>
              </w:rPr>
            </w:pPr>
            <w:r>
              <w:rPr>
                <w:color w:val="auto"/>
                <w:sz w:val="22"/>
                <w:szCs w:val="22"/>
              </w:rPr>
              <w:t>Урок 39</w:t>
            </w:r>
          </w:p>
        </w:tc>
        <w:tc>
          <w:tcPr>
            <w:tcW w:w="6405" w:type="dxa"/>
            <w:vAlign w:val="center"/>
          </w:tcPr>
          <w:p w14:paraId="2262B426">
            <w:pPr>
              <w:pStyle w:val="85"/>
              <w:jc w:val="both"/>
              <w:rPr>
                <w:color w:val="auto"/>
                <w:sz w:val="22"/>
                <w:szCs w:val="22"/>
              </w:rPr>
            </w:pPr>
            <w:r>
              <w:rPr>
                <w:color w:val="auto"/>
                <w:sz w:val="22"/>
                <w:szCs w:val="22"/>
              </w:rPr>
              <w:t>Резервный урок. Новейшее время: история продолжается сегодня</w:t>
            </w:r>
          </w:p>
        </w:tc>
        <w:tc>
          <w:tcPr>
            <w:tcW w:w="1473" w:type="dxa"/>
          </w:tcPr>
          <w:p w14:paraId="2A5F0F9B">
            <w:pPr>
              <w:pStyle w:val="85"/>
              <w:rPr>
                <w:color w:val="auto"/>
                <w:sz w:val="22"/>
                <w:szCs w:val="22"/>
              </w:rPr>
            </w:pPr>
          </w:p>
        </w:tc>
      </w:tr>
      <w:tr w14:paraId="604E1C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191" w:type="dxa"/>
            <w:vAlign w:val="center"/>
          </w:tcPr>
          <w:p w14:paraId="77DEF493">
            <w:pPr>
              <w:pStyle w:val="85"/>
              <w:rPr>
                <w:color w:val="auto"/>
                <w:sz w:val="22"/>
                <w:szCs w:val="22"/>
              </w:rPr>
            </w:pPr>
            <w:r>
              <w:rPr>
                <w:color w:val="auto"/>
                <w:sz w:val="22"/>
                <w:szCs w:val="22"/>
              </w:rPr>
              <w:t>Урок 40</w:t>
            </w:r>
          </w:p>
        </w:tc>
        <w:tc>
          <w:tcPr>
            <w:tcW w:w="6405" w:type="dxa"/>
            <w:vAlign w:val="center"/>
          </w:tcPr>
          <w:p w14:paraId="757BD9C6">
            <w:pPr>
              <w:pStyle w:val="85"/>
              <w:jc w:val="both"/>
              <w:rPr>
                <w:color w:val="auto"/>
                <w:sz w:val="22"/>
                <w:szCs w:val="22"/>
              </w:rPr>
            </w:pPr>
            <w:r>
              <w:rPr>
                <w:color w:val="auto"/>
                <w:sz w:val="22"/>
                <w:szCs w:val="22"/>
              </w:rPr>
              <w:t>Государство Русь. Страницы общественной и культурной жизни</w:t>
            </w:r>
          </w:p>
        </w:tc>
        <w:tc>
          <w:tcPr>
            <w:tcW w:w="1473" w:type="dxa"/>
          </w:tcPr>
          <w:p w14:paraId="237F1515">
            <w:pPr>
              <w:pStyle w:val="85"/>
              <w:rPr>
                <w:color w:val="auto"/>
                <w:sz w:val="22"/>
                <w:szCs w:val="22"/>
              </w:rPr>
            </w:pPr>
          </w:p>
        </w:tc>
      </w:tr>
      <w:tr w14:paraId="56E2AC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91" w:type="dxa"/>
            <w:vAlign w:val="center"/>
          </w:tcPr>
          <w:p w14:paraId="5EE88452">
            <w:pPr>
              <w:pStyle w:val="85"/>
              <w:rPr>
                <w:color w:val="auto"/>
                <w:sz w:val="22"/>
                <w:szCs w:val="22"/>
              </w:rPr>
            </w:pPr>
            <w:r>
              <w:rPr>
                <w:color w:val="auto"/>
                <w:sz w:val="22"/>
                <w:szCs w:val="22"/>
              </w:rPr>
              <w:t>Урок 41</w:t>
            </w:r>
          </w:p>
        </w:tc>
        <w:tc>
          <w:tcPr>
            <w:tcW w:w="6405" w:type="dxa"/>
            <w:vAlign w:val="center"/>
          </w:tcPr>
          <w:p w14:paraId="08AC7191">
            <w:pPr>
              <w:pStyle w:val="85"/>
              <w:jc w:val="both"/>
              <w:rPr>
                <w:color w:val="auto"/>
                <w:sz w:val="22"/>
                <w:szCs w:val="22"/>
              </w:rPr>
            </w:pPr>
            <w:r>
              <w:rPr>
                <w:color w:val="auto"/>
                <w:sz w:val="22"/>
                <w:szCs w:val="22"/>
              </w:rPr>
              <w:t>Города России. Древние города России. Страницы истории</w:t>
            </w:r>
          </w:p>
        </w:tc>
        <w:tc>
          <w:tcPr>
            <w:tcW w:w="1473" w:type="dxa"/>
          </w:tcPr>
          <w:p w14:paraId="71C648B8">
            <w:pPr>
              <w:pStyle w:val="85"/>
              <w:rPr>
                <w:color w:val="auto"/>
                <w:sz w:val="22"/>
                <w:szCs w:val="22"/>
              </w:rPr>
            </w:pPr>
          </w:p>
        </w:tc>
      </w:tr>
      <w:tr w14:paraId="45FFCD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91" w:type="dxa"/>
            <w:vAlign w:val="center"/>
          </w:tcPr>
          <w:p w14:paraId="08562A92">
            <w:pPr>
              <w:pStyle w:val="85"/>
              <w:rPr>
                <w:color w:val="auto"/>
                <w:sz w:val="22"/>
                <w:szCs w:val="22"/>
              </w:rPr>
            </w:pPr>
            <w:r>
              <w:rPr>
                <w:color w:val="auto"/>
                <w:sz w:val="22"/>
                <w:szCs w:val="22"/>
              </w:rPr>
              <w:t>Урок 42</w:t>
            </w:r>
          </w:p>
        </w:tc>
        <w:tc>
          <w:tcPr>
            <w:tcW w:w="6405" w:type="dxa"/>
            <w:vAlign w:val="center"/>
          </w:tcPr>
          <w:p w14:paraId="55AF26ED">
            <w:pPr>
              <w:pStyle w:val="85"/>
              <w:jc w:val="both"/>
              <w:rPr>
                <w:color w:val="auto"/>
                <w:sz w:val="22"/>
                <w:szCs w:val="22"/>
              </w:rPr>
            </w:pPr>
            <w:r>
              <w:rPr>
                <w:color w:val="auto"/>
                <w:sz w:val="22"/>
                <w:szCs w:val="22"/>
              </w:rPr>
              <w:t>Государство Русь. Человек - защитник своего Отечества</w:t>
            </w:r>
          </w:p>
        </w:tc>
        <w:tc>
          <w:tcPr>
            <w:tcW w:w="1473" w:type="dxa"/>
          </w:tcPr>
          <w:p w14:paraId="5012DD26">
            <w:pPr>
              <w:pStyle w:val="85"/>
              <w:rPr>
                <w:color w:val="auto"/>
                <w:sz w:val="22"/>
                <w:szCs w:val="22"/>
              </w:rPr>
            </w:pPr>
          </w:p>
        </w:tc>
      </w:tr>
      <w:tr w14:paraId="129CAA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91" w:type="dxa"/>
            <w:vAlign w:val="center"/>
          </w:tcPr>
          <w:p w14:paraId="74084ACF">
            <w:pPr>
              <w:pStyle w:val="85"/>
              <w:rPr>
                <w:color w:val="auto"/>
                <w:sz w:val="22"/>
                <w:szCs w:val="22"/>
              </w:rPr>
            </w:pPr>
            <w:r>
              <w:rPr>
                <w:color w:val="auto"/>
                <w:sz w:val="22"/>
                <w:szCs w:val="22"/>
              </w:rPr>
              <w:t>Урок 43</w:t>
            </w:r>
          </w:p>
        </w:tc>
        <w:tc>
          <w:tcPr>
            <w:tcW w:w="6405" w:type="dxa"/>
            <w:vAlign w:val="center"/>
          </w:tcPr>
          <w:p w14:paraId="39106FD6">
            <w:pPr>
              <w:pStyle w:val="85"/>
              <w:jc w:val="both"/>
              <w:rPr>
                <w:color w:val="auto"/>
                <w:sz w:val="22"/>
                <w:szCs w:val="22"/>
              </w:rPr>
            </w:pPr>
            <w:r>
              <w:rPr>
                <w:color w:val="auto"/>
                <w:sz w:val="22"/>
                <w:szCs w:val="22"/>
              </w:rPr>
              <w:t>Московское государство. Страницы общественной и культурной жизни в Московском государстве</w:t>
            </w:r>
          </w:p>
        </w:tc>
        <w:tc>
          <w:tcPr>
            <w:tcW w:w="1473" w:type="dxa"/>
          </w:tcPr>
          <w:p w14:paraId="3C94F160">
            <w:pPr>
              <w:pStyle w:val="85"/>
              <w:rPr>
                <w:color w:val="auto"/>
                <w:sz w:val="22"/>
                <w:szCs w:val="22"/>
              </w:rPr>
            </w:pPr>
          </w:p>
        </w:tc>
      </w:tr>
      <w:tr w14:paraId="010377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91" w:type="dxa"/>
            <w:vAlign w:val="center"/>
          </w:tcPr>
          <w:p w14:paraId="7BBE887B">
            <w:pPr>
              <w:pStyle w:val="85"/>
              <w:rPr>
                <w:color w:val="auto"/>
                <w:sz w:val="22"/>
                <w:szCs w:val="22"/>
              </w:rPr>
            </w:pPr>
            <w:r>
              <w:rPr>
                <w:color w:val="auto"/>
                <w:sz w:val="22"/>
                <w:szCs w:val="22"/>
              </w:rPr>
              <w:t>Урок 44</w:t>
            </w:r>
          </w:p>
        </w:tc>
        <w:tc>
          <w:tcPr>
            <w:tcW w:w="6405" w:type="dxa"/>
            <w:vAlign w:val="center"/>
          </w:tcPr>
          <w:p w14:paraId="251BDA1A">
            <w:pPr>
              <w:pStyle w:val="85"/>
              <w:jc w:val="both"/>
              <w:rPr>
                <w:color w:val="auto"/>
                <w:sz w:val="22"/>
                <w:szCs w:val="22"/>
              </w:rPr>
            </w:pPr>
            <w:r>
              <w:rPr>
                <w:color w:val="auto"/>
                <w:sz w:val="22"/>
                <w:szCs w:val="22"/>
              </w:rPr>
              <w:t>Образование и культура в Московском государстве</w:t>
            </w:r>
          </w:p>
        </w:tc>
        <w:tc>
          <w:tcPr>
            <w:tcW w:w="1473" w:type="dxa"/>
          </w:tcPr>
          <w:p w14:paraId="432717EB">
            <w:pPr>
              <w:pStyle w:val="85"/>
              <w:rPr>
                <w:color w:val="auto"/>
                <w:sz w:val="22"/>
                <w:szCs w:val="22"/>
              </w:rPr>
            </w:pPr>
          </w:p>
        </w:tc>
      </w:tr>
      <w:tr w14:paraId="7E7956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191" w:type="dxa"/>
            <w:vAlign w:val="center"/>
          </w:tcPr>
          <w:p w14:paraId="28B64980">
            <w:pPr>
              <w:pStyle w:val="85"/>
              <w:rPr>
                <w:color w:val="auto"/>
                <w:sz w:val="22"/>
                <w:szCs w:val="22"/>
              </w:rPr>
            </w:pPr>
            <w:r>
              <w:rPr>
                <w:color w:val="auto"/>
                <w:sz w:val="22"/>
                <w:szCs w:val="22"/>
              </w:rPr>
              <w:t>Урок 45</w:t>
            </w:r>
          </w:p>
        </w:tc>
        <w:tc>
          <w:tcPr>
            <w:tcW w:w="6405" w:type="dxa"/>
            <w:vAlign w:val="center"/>
          </w:tcPr>
          <w:p w14:paraId="15BAE9F3">
            <w:pPr>
              <w:pStyle w:val="85"/>
              <w:jc w:val="both"/>
              <w:rPr>
                <w:color w:val="auto"/>
                <w:sz w:val="22"/>
                <w:szCs w:val="22"/>
              </w:rPr>
            </w:pPr>
            <w:r>
              <w:rPr>
                <w:color w:val="auto"/>
                <w:sz w:val="22"/>
                <w:szCs w:val="22"/>
              </w:rPr>
              <w:t>Страницы истории Российской империи. Петр I</w:t>
            </w:r>
          </w:p>
        </w:tc>
        <w:tc>
          <w:tcPr>
            <w:tcW w:w="1473" w:type="dxa"/>
          </w:tcPr>
          <w:p w14:paraId="45B83B98">
            <w:pPr>
              <w:pStyle w:val="85"/>
              <w:rPr>
                <w:color w:val="auto"/>
                <w:sz w:val="22"/>
                <w:szCs w:val="22"/>
              </w:rPr>
            </w:pPr>
          </w:p>
        </w:tc>
      </w:tr>
      <w:tr w14:paraId="487BB6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91" w:type="dxa"/>
            <w:vAlign w:val="center"/>
          </w:tcPr>
          <w:p w14:paraId="32AFFC30">
            <w:pPr>
              <w:pStyle w:val="85"/>
              <w:rPr>
                <w:color w:val="auto"/>
                <w:sz w:val="22"/>
                <w:szCs w:val="22"/>
              </w:rPr>
            </w:pPr>
            <w:r>
              <w:rPr>
                <w:color w:val="auto"/>
                <w:sz w:val="22"/>
                <w:szCs w:val="22"/>
              </w:rPr>
              <w:t>Урок 46</w:t>
            </w:r>
          </w:p>
        </w:tc>
        <w:tc>
          <w:tcPr>
            <w:tcW w:w="6405" w:type="dxa"/>
            <w:vAlign w:val="center"/>
          </w:tcPr>
          <w:p w14:paraId="0BFB16F5">
            <w:pPr>
              <w:pStyle w:val="85"/>
              <w:jc w:val="both"/>
              <w:rPr>
                <w:color w:val="auto"/>
                <w:sz w:val="22"/>
                <w:szCs w:val="22"/>
              </w:rPr>
            </w:pPr>
            <w:r>
              <w:rPr>
                <w:color w:val="auto"/>
                <w:sz w:val="22"/>
                <w:szCs w:val="22"/>
              </w:rPr>
              <w:t>Страницы Российской империи. Преобразования в культуре, науке, быту</w:t>
            </w:r>
          </w:p>
        </w:tc>
        <w:tc>
          <w:tcPr>
            <w:tcW w:w="1473" w:type="dxa"/>
          </w:tcPr>
          <w:p w14:paraId="6E530553">
            <w:pPr>
              <w:pStyle w:val="85"/>
              <w:rPr>
                <w:color w:val="auto"/>
                <w:sz w:val="22"/>
                <w:szCs w:val="22"/>
              </w:rPr>
            </w:pPr>
          </w:p>
        </w:tc>
      </w:tr>
      <w:tr w14:paraId="646AD8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91" w:type="dxa"/>
            <w:vAlign w:val="center"/>
          </w:tcPr>
          <w:p w14:paraId="4B5E0079">
            <w:pPr>
              <w:pStyle w:val="85"/>
              <w:rPr>
                <w:color w:val="auto"/>
                <w:sz w:val="22"/>
                <w:szCs w:val="22"/>
              </w:rPr>
            </w:pPr>
            <w:r>
              <w:rPr>
                <w:color w:val="auto"/>
                <w:sz w:val="22"/>
                <w:szCs w:val="22"/>
              </w:rPr>
              <w:t>Урок 47</w:t>
            </w:r>
          </w:p>
        </w:tc>
        <w:tc>
          <w:tcPr>
            <w:tcW w:w="6405" w:type="dxa"/>
            <w:vAlign w:val="center"/>
          </w:tcPr>
          <w:p w14:paraId="346F8AEB">
            <w:pPr>
              <w:pStyle w:val="85"/>
              <w:jc w:val="both"/>
              <w:rPr>
                <w:color w:val="auto"/>
                <w:sz w:val="22"/>
                <w:szCs w:val="22"/>
              </w:rPr>
            </w:pPr>
            <w:r>
              <w:rPr>
                <w:color w:val="auto"/>
                <w:sz w:val="22"/>
                <w:szCs w:val="22"/>
              </w:rPr>
              <w:t>Образование в Российской империи</w:t>
            </w:r>
          </w:p>
        </w:tc>
        <w:tc>
          <w:tcPr>
            <w:tcW w:w="1473" w:type="dxa"/>
          </w:tcPr>
          <w:p w14:paraId="211DC4D3">
            <w:pPr>
              <w:pStyle w:val="85"/>
              <w:rPr>
                <w:color w:val="auto"/>
                <w:sz w:val="22"/>
                <w:szCs w:val="22"/>
              </w:rPr>
            </w:pPr>
          </w:p>
        </w:tc>
      </w:tr>
      <w:tr w14:paraId="28461C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91" w:type="dxa"/>
            <w:vAlign w:val="center"/>
          </w:tcPr>
          <w:p w14:paraId="28036B09">
            <w:pPr>
              <w:pStyle w:val="85"/>
              <w:rPr>
                <w:color w:val="auto"/>
                <w:sz w:val="22"/>
                <w:szCs w:val="22"/>
              </w:rPr>
            </w:pPr>
            <w:r>
              <w:rPr>
                <w:color w:val="auto"/>
                <w:sz w:val="22"/>
                <w:szCs w:val="22"/>
              </w:rPr>
              <w:t>Урок 48</w:t>
            </w:r>
          </w:p>
        </w:tc>
        <w:tc>
          <w:tcPr>
            <w:tcW w:w="6405" w:type="dxa"/>
            <w:vAlign w:val="center"/>
          </w:tcPr>
          <w:p w14:paraId="1B3F7D93">
            <w:pPr>
              <w:pStyle w:val="85"/>
              <w:jc w:val="both"/>
              <w:rPr>
                <w:color w:val="auto"/>
                <w:sz w:val="22"/>
                <w:szCs w:val="22"/>
              </w:rPr>
            </w:pPr>
            <w:r>
              <w:rPr>
                <w:color w:val="auto"/>
                <w:sz w:val="22"/>
                <w:szCs w:val="22"/>
              </w:rPr>
              <w:t>Развитие культуры в Российской империи Российская империя: развитие культуры XVIII в. (архитектура, живопись, театр)</w:t>
            </w:r>
          </w:p>
        </w:tc>
        <w:tc>
          <w:tcPr>
            <w:tcW w:w="1473" w:type="dxa"/>
          </w:tcPr>
          <w:p w14:paraId="7C649DB2">
            <w:pPr>
              <w:pStyle w:val="85"/>
              <w:rPr>
                <w:color w:val="auto"/>
                <w:sz w:val="22"/>
                <w:szCs w:val="22"/>
              </w:rPr>
            </w:pPr>
          </w:p>
        </w:tc>
      </w:tr>
      <w:tr w14:paraId="18A5FC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91" w:type="dxa"/>
            <w:vAlign w:val="center"/>
          </w:tcPr>
          <w:p w14:paraId="0439F524">
            <w:pPr>
              <w:pStyle w:val="85"/>
              <w:rPr>
                <w:color w:val="auto"/>
                <w:sz w:val="22"/>
                <w:szCs w:val="22"/>
              </w:rPr>
            </w:pPr>
            <w:r>
              <w:rPr>
                <w:color w:val="auto"/>
                <w:sz w:val="22"/>
                <w:szCs w:val="22"/>
              </w:rPr>
              <w:t>Урок 49</w:t>
            </w:r>
          </w:p>
        </w:tc>
        <w:tc>
          <w:tcPr>
            <w:tcW w:w="6405" w:type="dxa"/>
            <w:vAlign w:val="center"/>
          </w:tcPr>
          <w:p w14:paraId="2385E469">
            <w:pPr>
              <w:pStyle w:val="85"/>
              <w:jc w:val="both"/>
              <w:rPr>
                <w:color w:val="auto"/>
                <w:sz w:val="22"/>
                <w:szCs w:val="22"/>
              </w:rPr>
            </w:pPr>
            <w:r>
              <w:rPr>
                <w:color w:val="auto"/>
                <w:sz w:val="22"/>
                <w:szCs w:val="22"/>
              </w:rPr>
              <w:t>"Золотой век" русской культуры. Великие поэты и писатели, композиторы и художники XIX в.</w:t>
            </w:r>
          </w:p>
        </w:tc>
        <w:tc>
          <w:tcPr>
            <w:tcW w:w="1473" w:type="dxa"/>
          </w:tcPr>
          <w:p w14:paraId="0DA13AF7">
            <w:pPr>
              <w:pStyle w:val="85"/>
              <w:rPr>
                <w:color w:val="auto"/>
                <w:sz w:val="22"/>
                <w:szCs w:val="22"/>
              </w:rPr>
            </w:pPr>
          </w:p>
        </w:tc>
      </w:tr>
      <w:tr w14:paraId="132AAB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91" w:type="dxa"/>
            <w:vAlign w:val="center"/>
          </w:tcPr>
          <w:p w14:paraId="27D9CEAF">
            <w:pPr>
              <w:pStyle w:val="85"/>
              <w:rPr>
                <w:color w:val="auto"/>
                <w:sz w:val="22"/>
                <w:szCs w:val="22"/>
              </w:rPr>
            </w:pPr>
            <w:r>
              <w:rPr>
                <w:color w:val="auto"/>
                <w:sz w:val="22"/>
                <w:szCs w:val="22"/>
              </w:rPr>
              <w:t>Урок 50</w:t>
            </w:r>
          </w:p>
        </w:tc>
        <w:tc>
          <w:tcPr>
            <w:tcW w:w="6405" w:type="dxa"/>
            <w:vAlign w:val="center"/>
          </w:tcPr>
          <w:p w14:paraId="7AA82A8B">
            <w:pPr>
              <w:pStyle w:val="85"/>
              <w:jc w:val="both"/>
              <w:rPr>
                <w:color w:val="auto"/>
                <w:sz w:val="22"/>
                <w:szCs w:val="22"/>
              </w:rPr>
            </w:pPr>
            <w:r>
              <w:rPr>
                <w:color w:val="auto"/>
                <w:sz w:val="22"/>
                <w:szCs w:val="22"/>
              </w:rPr>
              <w:t>Первая Отечественная война: 1812 год. Защита Родины от французских завоевателей</w:t>
            </w:r>
          </w:p>
        </w:tc>
        <w:tc>
          <w:tcPr>
            <w:tcW w:w="1473" w:type="dxa"/>
          </w:tcPr>
          <w:p w14:paraId="438D4ED8">
            <w:pPr>
              <w:pStyle w:val="85"/>
              <w:rPr>
                <w:color w:val="auto"/>
                <w:sz w:val="22"/>
                <w:szCs w:val="22"/>
              </w:rPr>
            </w:pPr>
          </w:p>
        </w:tc>
      </w:tr>
      <w:tr w14:paraId="39C157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91" w:type="dxa"/>
            <w:vAlign w:val="center"/>
          </w:tcPr>
          <w:p w14:paraId="7F34D2E5">
            <w:pPr>
              <w:pStyle w:val="85"/>
              <w:rPr>
                <w:color w:val="auto"/>
                <w:sz w:val="22"/>
                <w:szCs w:val="22"/>
              </w:rPr>
            </w:pPr>
            <w:r>
              <w:rPr>
                <w:color w:val="auto"/>
                <w:sz w:val="22"/>
                <w:szCs w:val="22"/>
              </w:rPr>
              <w:t>Урок 51</w:t>
            </w:r>
          </w:p>
        </w:tc>
        <w:tc>
          <w:tcPr>
            <w:tcW w:w="6405" w:type="dxa"/>
            <w:vAlign w:val="center"/>
          </w:tcPr>
          <w:p w14:paraId="1C29BABA">
            <w:pPr>
              <w:pStyle w:val="85"/>
              <w:jc w:val="both"/>
              <w:rPr>
                <w:color w:val="auto"/>
                <w:sz w:val="22"/>
                <w:szCs w:val="22"/>
              </w:rPr>
            </w:pPr>
            <w:r>
              <w:rPr>
                <w:color w:val="auto"/>
                <w:sz w:val="22"/>
                <w:szCs w:val="22"/>
              </w:rPr>
              <w:t>Страницы истории России XX в.</w:t>
            </w:r>
          </w:p>
        </w:tc>
        <w:tc>
          <w:tcPr>
            <w:tcW w:w="1473" w:type="dxa"/>
          </w:tcPr>
          <w:p w14:paraId="4E685E16">
            <w:pPr>
              <w:pStyle w:val="85"/>
              <w:rPr>
                <w:color w:val="auto"/>
                <w:sz w:val="22"/>
                <w:szCs w:val="22"/>
              </w:rPr>
            </w:pPr>
          </w:p>
        </w:tc>
      </w:tr>
      <w:tr w14:paraId="526CAE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91" w:type="dxa"/>
            <w:vAlign w:val="center"/>
          </w:tcPr>
          <w:p w14:paraId="7E11AEA6">
            <w:pPr>
              <w:pStyle w:val="85"/>
              <w:rPr>
                <w:color w:val="auto"/>
                <w:sz w:val="22"/>
                <w:szCs w:val="22"/>
              </w:rPr>
            </w:pPr>
            <w:r>
              <w:rPr>
                <w:color w:val="auto"/>
                <w:sz w:val="22"/>
                <w:szCs w:val="22"/>
              </w:rPr>
              <w:t>Урок 52</w:t>
            </w:r>
          </w:p>
        </w:tc>
        <w:tc>
          <w:tcPr>
            <w:tcW w:w="6405" w:type="dxa"/>
            <w:vAlign w:val="center"/>
          </w:tcPr>
          <w:p w14:paraId="7B1E8D8E">
            <w:pPr>
              <w:pStyle w:val="85"/>
              <w:jc w:val="both"/>
              <w:rPr>
                <w:color w:val="auto"/>
                <w:sz w:val="22"/>
                <w:szCs w:val="22"/>
              </w:rPr>
            </w:pPr>
            <w:r>
              <w:rPr>
                <w:color w:val="auto"/>
                <w:sz w:val="22"/>
                <w:szCs w:val="22"/>
              </w:rPr>
              <w:t>Великая Отечественная война 1941 - 1945 гг: как все начиналось</w:t>
            </w:r>
          </w:p>
        </w:tc>
        <w:tc>
          <w:tcPr>
            <w:tcW w:w="1473" w:type="dxa"/>
          </w:tcPr>
          <w:p w14:paraId="1F93BFF6">
            <w:pPr>
              <w:pStyle w:val="85"/>
              <w:rPr>
                <w:color w:val="auto"/>
                <w:sz w:val="22"/>
                <w:szCs w:val="22"/>
              </w:rPr>
            </w:pPr>
          </w:p>
        </w:tc>
      </w:tr>
      <w:tr w14:paraId="60011B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191" w:type="dxa"/>
            <w:vAlign w:val="center"/>
          </w:tcPr>
          <w:p w14:paraId="12FADF8B">
            <w:pPr>
              <w:pStyle w:val="85"/>
              <w:rPr>
                <w:color w:val="auto"/>
                <w:sz w:val="22"/>
                <w:szCs w:val="22"/>
              </w:rPr>
            </w:pPr>
            <w:r>
              <w:rPr>
                <w:color w:val="auto"/>
                <w:sz w:val="22"/>
                <w:szCs w:val="22"/>
              </w:rPr>
              <w:t>Урок 53</w:t>
            </w:r>
          </w:p>
        </w:tc>
        <w:tc>
          <w:tcPr>
            <w:tcW w:w="6405" w:type="dxa"/>
            <w:vAlign w:val="center"/>
          </w:tcPr>
          <w:p w14:paraId="6DB34793">
            <w:pPr>
              <w:pStyle w:val="85"/>
              <w:jc w:val="both"/>
              <w:rPr>
                <w:color w:val="auto"/>
                <w:sz w:val="22"/>
                <w:szCs w:val="22"/>
              </w:rPr>
            </w:pPr>
            <w:r>
              <w:rPr>
                <w:color w:val="auto"/>
                <w:sz w:val="22"/>
                <w:szCs w:val="22"/>
              </w:rPr>
              <w:t>Великая Отечественная война 1941 - 1945 гг: главные сражения</w:t>
            </w:r>
          </w:p>
        </w:tc>
        <w:tc>
          <w:tcPr>
            <w:tcW w:w="1473" w:type="dxa"/>
          </w:tcPr>
          <w:p w14:paraId="1B4EAB70">
            <w:pPr>
              <w:pStyle w:val="85"/>
              <w:rPr>
                <w:color w:val="auto"/>
                <w:sz w:val="22"/>
                <w:szCs w:val="22"/>
              </w:rPr>
            </w:pPr>
          </w:p>
        </w:tc>
      </w:tr>
      <w:tr w14:paraId="29C7C3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91" w:type="dxa"/>
            <w:vAlign w:val="center"/>
          </w:tcPr>
          <w:p w14:paraId="3A17FA31">
            <w:pPr>
              <w:pStyle w:val="85"/>
              <w:rPr>
                <w:color w:val="auto"/>
                <w:sz w:val="22"/>
                <w:szCs w:val="22"/>
              </w:rPr>
            </w:pPr>
            <w:r>
              <w:rPr>
                <w:color w:val="auto"/>
                <w:sz w:val="22"/>
                <w:szCs w:val="22"/>
              </w:rPr>
              <w:t>Урок 54</w:t>
            </w:r>
          </w:p>
        </w:tc>
        <w:tc>
          <w:tcPr>
            <w:tcW w:w="6405" w:type="dxa"/>
            <w:vAlign w:val="center"/>
          </w:tcPr>
          <w:p w14:paraId="0B823592">
            <w:pPr>
              <w:pStyle w:val="85"/>
              <w:jc w:val="both"/>
              <w:rPr>
                <w:color w:val="auto"/>
                <w:sz w:val="22"/>
                <w:szCs w:val="22"/>
              </w:rPr>
            </w:pPr>
            <w:r>
              <w:rPr>
                <w:color w:val="auto"/>
                <w:sz w:val="22"/>
                <w:szCs w:val="22"/>
              </w:rPr>
              <w:t>Все для фронта - все для победы</w:t>
            </w:r>
          </w:p>
        </w:tc>
        <w:tc>
          <w:tcPr>
            <w:tcW w:w="1473" w:type="dxa"/>
          </w:tcPr>
          <w:p w14:paraId="1A51B251">
            <w:pPr>
              <w:pStyle w:val="85"/>
              <w:rPr>
                <w:color w:val="auto"/>
                <w:sz w:val="22"/>
                <w:szCs w:val="22"/>
              </w:rPr>
            </w:pPr>
          </w:p>
        </w:tc>
      </w:tr>
      <w:tr w14:paraId="6BA003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91" w:type="dxa"/>
            <w:vAlign w:val="center"/>
          </w:tcPr>
          <w:p w14:paraId="19D67D6F">
            <w:pPr>
              <w:pStyle w:val="85"/>
              <w:rPr>
                <w:color w:val="auto"/>
                <w:sz w:val="22"/>
                <w:szCs w:val="22"/>
              </w:rPr>
            </w:pPr>
            <w:r>
              <w:rPr>
                <w:color w:val="auto"/>
                <w:sz w:val="22"/>
                <w:szCs w:val="22"/>
              </w:rPr>
              <w:t>Урок 55</w:t>
            </w:r>
          </w:p>
        </w:tc>
        <w:tc>
          <w:tcPr>
            <w:tcW w:w="6405" w:type="dxa"/>
            <w:vAlign w:val="center"/>
          </w:tcPr>
          <w:p w14:paraId="2BFF5A99">
            <w:pPr>
              <w:pStyle w:val="85"/>
              <w:jc w:val="both"/>
              <w:rPr>
                <w:color w:val="auto"/>
                <w:sz w:val="22"/>
                <w:szCs w:val="22"/>
              </w:rPr>
            </w:pPr>
            <w:r>
              <w:rPr>
                <w:color w:val="auto"/>
                <w:sz w:val="22"/>
                <w:szCs w:val="22"/>
              </w:rPr>
              <w:t>Взятие Берлина. Парад Победы</w:t>
            </w:r>
          </w:p>
        </w:tc>
        <w:tc>
          <w:tcPr>
            <w:tcW w:w="1473" w:type="dxa"/>
          </w:tcPr>
          <w:p w14:paraId="039BEF83">
            <w:pPr>
              <w:pStyle w:val="85"/>
              <w:rPr>
                <w:color w:val="auto"/>
                <w:sz w:val="22"/>
                <w:szCs w:val="22"/>
              </w:rPr>
            </w:pPr>
          </w:p>
        </w:tc>
      </w:tr>
      <w:tr w14:paraId="2A681D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191" w:type="dxa"/>
            <w:vAlign w:val="center"/>
          </w:tcPr>
          <w:p w14:paraId="61BCFDE5">
            <w:pPr>
              <w:pStyle w:val="85"/>
              <w:rPr>
                <w:color w:val="auto"/>
                <w:sz w:val="22"/>
                <w:szCs w:val="22"/>
              </w:rPr>
            </w:pPr>
            <w:r>
              <w:rPr>
                <w:color w:val="auto"/>
                <w:sz w:val="22"/>
                <w:szCs w:val="22"/>
              </w:rPr>
              <w:t>Урок 56</w:t>
            </w:r>
          </w:p>
        </w:tc>
        <w:tc>
          <w:tcPr>
            <w:tcW w:w="6405" w:type="dxa"/>
            <w:vAlign w:val="center"/>
          </w:tcPr>
          <w:p w14:paraId="5A5244AB">
            <w:pPr>
              <w:pStyle w:val="85"/>
              <w:jc w:val="both"/>
              <w:rPr>
                <w:color w:val="auto"/>
                <w:sz w:val="22"/>
                <w:szCs w:val="22"/>
              </w:rPr>
            </w:pPr>
            <w:r>
              <w:rPr>
                <w:color w:val="auto"/>
                <w:sz w:val="22"/>
                <w:szCs w:val="22"/>
              </w:rPr>
              <w:t>Мы живем в Российской Федерации</w:t>
            </w:r>
          </w:p>
        </w:tc>
        <w:tc>
          <w:tcPr>
            <w:tcW w:w="1473" w:type="dxa"/>
          </w:tcPr>
          <w:p w14:paraId="6969A557">
            <w:pPr>
              <w:pStyle w:val="85"/>
              <w:rPr>
                <w:color w:val="auto"/>
                <w:sz w:val="22"/>
                <w:szCs w:val="22"/>
              </w:rPr>
            </w:pPr>
          </w:p>
        </w:tc>
      </w:tr>
      <w:tr w14:paraId="779FAF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91" w:type="dxa"/>
            <w:vAlign w:val="center"/>
          </w:tcPr>
          <w:p w14:paraId="2F92C8A7">
            <w:pPr>
              <w:pStyle w:val="85"/>
              <w:rPr>
                <w:color w:val="auto"/>
                <w:sz w:val="22"/>
                <w:szCs w:val="22"/>
              </w:rPr>
            </w:pPr>
            <w:r>
              <w:rPr>
                <w:color w:val="auto"/>
                <w:sz w:val="22"/>
                <w:szCs w:val="22"/>
              </w:rPr>
              <w:t>Урок 57</w:t>
            </w:r>
          </w:p>
        </w:tc>
        <w:tc>
          <w:tcPr>
            <w:tcW w:w="6405" w:type="dxa"/>
            <w:vAlign w:val="center"/>
          </w:tcPr>
          <w:p w14:paraId="5F96036C">
            <w:pPr>
              <w:pStyle w:val="85"/>
              <w:jc w:val="both"/>
              <w:rPr>
                <w:color w:val="auto"/>
                <w:sz w:val="22"/>
                <w:szCs w:val="22"/>
              </w:rPr>
            </w:pPr>
            <w:r>
              <w:rPr>
                <w:color w:val="auto"/>
                <w:sz w:val="22"/>
                <w:szCs w:val="22"/>
              </w:rPr>
              <w:t xml:space="preserve">Государственное устройство Российской Федерации (общее представление). </w:t>
            </w:r>
            <w:r>
              <w:fldChar w:fldCharType="begin"/>
            </w:r>
            <w:r>
              <w:instrText xml:space="preserve"> HYPERLINK "https://login.consultant.ru/link/?req=doc&amp;base=LAW&amp;n=2875" \o ""Конституция Российской Федерации" (принята всенародным голосованием 12.12.1993 с изменениями, одобренными в ходе общероссийского голосования 01.07.2020) {КонсультантПлюс}" \h </w:instrText>
            </w:r>
            <w:r>
              <w:fldChar w:fldCharType="separate"/>
            </w:r>
            <w:r>
              <w:rPr>
                <w:color w:val="auto"/>
                <w:sz w:val="22"/>
                <w:szCs w:val="22"/>
              </w:rPr>
              <w:t>Конституция</w:t>
            </w:r>
            <w:r>
              <w:rPr>
                <w:color w:val="auto"/>
                <w:sz w:val="22"/>
                <w:szCs w:val="22"/>
              </w:rPr>
              <w:fldChar w:fldCharType="end"/>
            </w:r>
            <w:r>
              <w:rPr>
                <w:color w:val="auto"/>
                <w:sz w:val="22"/>
                <w:szCs w:val="22"/>
              </w:rPr>
              <w:t xml:space="preserve"> Российской Федерации. Президент Российской Федерации. Политико-административная карта России</w:t>
            </w:r>
          </w:p>
        </w:tc>
        <w:tc>
          <w:tcPr>
            <w:tcW w:w="1473" w:type="dxa"/>
          </w:tcPr>
          <w:p w14:paraId="4D0D6F60">
            <w:pPr>
              <w:pStyle w:val="85"/>
              <w:rPr>
                <w:color w:val="auto"/>
                <w:sz w:val="22"/>
                <w:szCs w:val="22"/>
              </w:rPr>
            </w:pPr>
          </w:p>
        </w:tc>
      </w:tr>
      <w:tr w14:paraId="698599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91" w:type="dxa"/>
            <w:vAlign w:val="center"/>
          </w:tcPr>
          <w:p w14:paraId="3F4B04CF">
            <w:pPr>
              <w:pStyle w:val="85"/>
              <w:rPr>
                <w:color w:val="auto"/>
                <w:sz w:val="22"/>
                <w:szCs w:val="22"/>
              </w:rPr>
            </w:pPr>
            <w:r>
              <w:rPr>
                <w:color w:val="auto"/>
                <w:sz w:val="22"/>
                <w:szCs w:val="22"/>
              </w:rPr>
              <w:t>Урок 58</w:t>
            </w:r>
          </w:p>
        </w:tc>
        <w:tc>
          <w:tcPr>
            <w:tcW w:w="6405" w:type="dxa"/>
            <w:vAlign w:val="center"/>
          </w:tcPr>
          <w:p w14:paraId="5D091537">
            <w:pPr>
              <w:pStyle w:val="85"/>
              <w:jc w:val="both"/>
              <w:rPr>
                <w:color w:val="auto"/>
                <w:sz w:val="22"/>
                <w:szCs w:val="22"/>
              </w:rPr>
            </w:pPr>
            <w:r>
              <w:rPr>
                <w:color w:val="auto"/>
                <w:sz w:val="22"/>
                <w:szCs w:val="22"/>
              </w:rPr>
              <w:t>Родной край. Знаменитые люди родного края</w:t>
            </w:r>
          </w:p>
        </w:tc>
        <w:tc>
          <w:tcPr>
            <w:tcW w:w="1473" w:type="dxa"/>
          </w:tcPr>
          <w:p w14:paraId="57CA4C2E">
            <w:pPr>
              <w:pStyle w:val="85"/>
              <w:rPr>
                <w:color w:val="auto"/>
                <w:sz w:val="22"/>
                <w:szCs w:val="22"/>
              </w:rPr>
            </w:pPr>
          </w:p>
        </w:tc>
      </w:tr>
      <w:tr w14:paraId="40ACC0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91" w:type="dxa"/>
            <w:vAlign w:val="center"/>
          </w:tcPr>
          <w:p w14:paraId="011207DD">
            <w:pPr>
              <w:pStyle w:val="85"/>
              <w:rPr>
                <w:color w:val="auto"/>
                <w:sz w:val="22"/>
                <w:szCs w:val="22"/>
              </w:rPr>
            </w:pPr>
            <w:r>
              <w:rPr>
                <w:color w:val="auto"/>
                <w:sz w:val="22"/>
                <w:szCs w:val="22"/>
              </w:rPr>
              <w:t>Урок 59</w:t>
            </w:r>
          </w:p>
        </w:tc>
        <w:tc>
          <w:tcPr>
            <w:tcW w:w="6405" w:type="dxa"/>
            <w:vAlign w:val="center"/>
          </w:tcPr>
          <w:p w14:paraId="4B9BEA2C">
            <w:pPr>
              <w:pStyle w:val="85"/>
              <w:jc w:val="both"/>
              <w:rPr>
                <w:color w:val="auto"/>
                <w:sz w:val="22"/>
                <w:szCs w:val="22"/>
              </w:rPr>
            </w:pPr>
            <w:r>
              <w:rPr>
                <w:color w:val="auto"/>
                <w:sz w:val="22"/>
                <w:szCs w:val="22"/>
              </w:rPr>
              <w:t>Взаимоотношения людей в обществе: доброта и гуманизм, справедливость и уважение</w:t>
            </w:r>
          </w:p>
        </w:tc>
        <w:tc>
          <w:tcPr>
            <w:tcW w:w="1473" w:type="dxa"/>
          </w:tcPr>
          <w:p w14:paraId="1DFC2CC9">
            <w:pPr>
              <w:pStyle w:val="85"/>
              <w:rPr>
                <w:color w:val="auto"/>
                <w:sz w:val="22"/>
                <w:szCs w:val="22"/>
              </w:rPr>
            </w:pPr>
          </w:p>
        </w:tc>
      </w:tr>
      <w:tr w14:paraId="6F9DAF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91" w:type="dxa"/>
            <w:vAlign w:val="center"/>
          </w:tcPr>
          <w:p w14:paraId="3A81B64B">
            <w:pPr>
              <w:pStyle w:val="85"/>
              <w:rPr>
                <w:color w:val="auto"/>
                <w:sz w:val="22"/>
                <w:szCs w:val="22"/>
              </w:rPr>
            </w:pPr>
            <w:r>
              <w:rPr>
                <w:color w:val="auto"/>
                <w:sz w:val="22"/>
                <w:szCs w:val="22"/>
              </w:rPr>
              <w:t>Урок 60</w:t>
            </w:r>
          </w:p>
        </w:tc>
        <w:tc>
          <w:tcPr>
            <w:tcW w:w="6405" w:type="dxa"/>
            <w:vAlign w:val="center"/>
          </w:tcPr>
          <w:p w14:paraId="13880EAF">
            <w:pPr>
              <w:pStyle w:val="85"/>
              <w:jc w:val="both"/>
              <w:rPr>
                <w:color w:val="auto"/>
                <w:sz w:val="22"/>
                <w:szCs w:val="22"/>
              </w:rPr>
            </w:pPr>
            <w:r>
              <w:rPr>
                <w:color w:val="auto"/>
                <w:sz w:val="22"/>
                <w:szCs w:val="22"/>
              </w:rPr>
              <w:t>Права и обязанности гражданина Российской Федерации. Права ребенка</w:t>
            </w:r>
          </w:p>
        </w:tc>
        <w:tc>
          <w:tcPr>
            <w:tcW w:w="1473" w:type="dxa"/>
          </w:tcPr>
          <w:p w14:paraId="0C551AD8">
            <w:pPr>
              <w:pStyle w:val="85"/>
              <w:rPr>
                <w:color w:val="auto"/>
                <w:sz w:val="22"/>
                <w:szCs w:val="22"/>
              </w:rPr>
            </w:pPr>
          </w:p>
        </w:tc>
      </w:tr>
      <w:tr w14:paraId="232DBC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91" w:type="dxa"/>
            <w:vAlign w:val="center"/>
          </w:tcPr>
          <w:p w14:paraId="036BD278">
            <w:pPr>
              <w:pStyle w:val="85"/>
              <w:rPr>
                <w:color w:val="auto"/>
                <w:sz w:val="22"/>
                <w:szCs w:val="22"/>
              </w:rPr>
            </w:pPr>
            <w:r>
              <w:rPr>
                <w:color w:val="auto"/>
                <w:sz w:val="22"/>
                <w:szCs w:val="22"/>
              </w:rPr>
              <w:t>Урок 61</w:t>
            </w:r>
          </w:p>
        </w:tc>
        <w:tc>
          <w:tcPr>
            <w:tcW w:w="6405" w:type="dxa"/>
            <w:vAlign w:val="center"/>
          </w:tcPr>
          <w:p w14:paraId="1D0D24C5">
            <w:pPr>
              <w:pStyle w:val="85"/>
              <w:jc w:val="both"/>
              <w:rPr>
                <w:color w:val="auto"/>
                <w:sz w:val="22"/>
                <w:szCs w:val="22"/>
              </w:rPr>
            </w:pPr>
            <w:r>
              <w:rPr>
                <w:color w:val="auto"/>
                <w:sz w:val="22"/>
                <w:szCs w:val="22"/>
              </w:rPr>
              <w:t>Резервный урок. Повторение по теме "История Отечества"</w:t>
            </w:r>
          </w:p>
        </w:tc>
        <w:tc>
          <w:tcPr>
            <w:tcW w:w="1473" w:type="dxa"/>
          </w:tcPr>
          <w:p w14:paraId="786F6B9B">
            <w:pPr>
              <w:pStyle w:val="85"/>
              <w:rPr>
                <w:color w:val="auto"/>
                <w:sz w:val="22"/>
                <w:szCs w:val="22"/>
              </w:rPr>
            </w:pPr>
          </w:p>
        </w:tc>
      </w:tr>
      <w:tr w14:paraId="5335B2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91" w:type="dxa"/>
            <w:vAlign w:val="center"/>
          </w:tcPr>
          <w:p w14:paraId="2A38181E">
            <w:pPr>
              <w:pStyle w:val="85"/>
              <w:rPr>
                <w:color w:val="auto"/>
                <w:sz w:val="22"/>
                <w:szCs w:val="22"/>
              </w:rPr>
            </w:pPr>
            <w:r>
              <w:rPr>
                <w:color w:val="auto"/>
                <w:sz w:val="22"/>
                <w:szCs w:val="22"/>
              </w:rPr>
              <w:t>Урок 62</w:t>
            </w:r>
          </w:p>
        </w:tc>
        <w:tc>
          <w:tcPr>
            <w:tcW w:w="6405" w:type="dxa"/>
            <w:vAlign w:val="center"/>
          </w:tcPr>
          <w:p w14:paraId="10882955">
            <w:pPr>
              <w:pStyle w:val="85"/>
              <w:jc w:val="both"/>
              <w:rPr>
                <w:color w:val="auto"/>
                <w:sz w:val="22"/>
                <w:szCs w:val="22"/>
              </w:rPr>
            </w:pPr>
            <w:r>
              <w:rPr>
                <w:color w:val="auto"/>
                <w:sz w:val="22"/>
                <w:szCs w:val="22"/>
              </w:rPr>
              <w:t>Государственные праздники России</w:t>
            </w:r>
          </w:p>
        </w:tc>
        <w:tc>
          <w:tcPr>
            <w:tcW w:w="1473" w:type="dxa"/>
          </w:tcPr>
          <w:p w14:paraId="7CBD8DC2">
            <w:pPr>
              <w:pStyle w:val="85"/>
              <w:rPr>
                <w:color w:val="auto"/>
                <w:sz w:val="22"/>
                <w:szCs w:val="22"/>
              </w:rPr>
            </w:pPr>
          </w:p>
        </w:tc>
      </w:tr>
      <w:tr w14:paraId="34737F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91" w:type="dxa"/>
            <w:vAlign w:val="center"/>
          </w:tcPr>
          <w:p w14:paraId="3A4F862C">
            <w:pPr>
              <w:pStyle w:val="85"/>
              <w:rPr>
                <w:color w:val="auto"/>
                <w:sz w:val="22"/>
                <w:szCs w:val="22"/>
              </w:rPr>
            </w:pPr>
            <w:r>
              <w:rPr>
                <w:color w:val="auto"/>
                <w:sz w:val="22"/>
                <w:szCs w:val="22"/>
              </w:rPr>
              <w:t>Урок 63</w:t>
            </w:r>
          </w:p>
        </w:tc>
        <w:tc>
          <w:tcPr>
            <w:tcW w:w="6405" w:type="dxa"/>
            <w:vAlign w:val="center"/>
          </w:tcPr>
          <w:p w14:paraId="5660B484">
            <w:pPr>
              <w:pStyle w:val="85"/>
              <w:jc w:val="both"/>
              <w:rPr>
                <w:color w:val="auto"/>
                <w:sz w:val="22"/>
                <w:szCs w:val="22"/>
              </w:rPr>
            </w:pPr>
            <w:r>
              <w:rPr>
                <w:color w:val="auto"/>
                <w:sz w:val="22"/>
                <w:szCs w:val="22"/>
              </w:rPr>
              <w:t>Праздник в жизни общества и человека</w:t>
            </w:r>
          </w:p>
        </w:tc>
        <w:tc>
          <w:tcPr>
            <w:tcW w:w="1473" w:type="dxa"/>
          </w:tcPr>
          <w:p w14:paraId="7FC0F952">
            <w:pPr>
              <w:pStyle w:val="85"/>
              <w:rPr>
                <w:color w:val="auto"/>
                <w:sz w:val="22"/>
                <w:szCs w:val="22"/>
              </w:rPr>
            </w:pPr>
          </w:p>
        </w:tc>
      </w:tr>
      <w:tr w14:paraId="54A5FD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191" w:type="dxa"/>
            <w:vAlign w:val="center"/>
          </w:tcPr>
          <w:p w14:paraId="22139759">
            <w:pPr>
              <w:pStyle w:val="85"/>
              <w:rPr>
                <w:color w:val="auto"/>
                <w:sz w:val="22"/>
                <w:szCs w:val="22"/>
              </w:rPr>
            </w:pPr>
            <w:r>
              <w:rPr>
                <w:color w:val="auto"/>
                <w:sz w:val="22"/>
                <w:szCs w:val="22"/>
              </w:rPr>
              <w:t>Урок 64</w:t>
            </w:r>
          </w:p>
        </w:tc>
        <w:tc>
          <w:tcPr>
            <w:tcW w:w="6405" w:type="dxa"/>
            <w:vAlign w:val="center"/>
          </w:tcPr>
          <w:p w14:paraId="10AC086B">
            <w:pPr>
              <w:pStyle w:val="85"/>
              <w:jc w:val="both"/>
              <w:rPr>
                <w:color w:val="auto"/>
                <w:sz w:val="22"/>
                <w:szCs w:val="22"/>
              </w:rPr>
            </w:pPr>
            <w:r>
              <w:rPr>
                <w:color w:val="auto"/>
                <w:sz w:val="22"/>
                <w:szCs w:val="22"/>
              </w:rPr>
              <w:t>Праздники и памятные даты своего региона</w:t>
            </w:r>
          </w:p>
        </w:tc>
        <w:tc>
          <w:tcPr>
            <w:tcW w:w="1473" w:type="dxa"/>
          </w:tcPr>
          <w:p w14:paraId="3DC89055">
            <w:pPr>
              <w:pStyle w:val="85"/>
              <w:rPr>
                <w:color w:val="auto"/>
                <w:sz w:val="22"/>
                <w:szCs w:val="22"/>
              </w:rPr>
            </w:pPr>
          </w:p>
        </w:tc>
      </w:tr>
      <w:tr w14:paraId="33E875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91" w:type="dxa"/>
            <w:vAlign w:val="center"/>
          </w:tcPr>
          <w:p w14:paraId="0EBAA2DB">
            <w:pPr>
              <w:pStyle w:val="85"/>
              <w:rPr>
                <w:color w:val="auto"/>
                <w:sz w:val="22"/>
                <w:szCs w:val="22"/>
              </w:rPr>
            </w:pPr>
            <w:r>
              <w:rPr>
                <w:color w:val="auto"/>
                <w:sz w:val="22"/>
                <w:szCs w:val="22"/>
              </w:rPr>
              <w:t>Урок 65</w:t>
            </w:r>
          </w:p>
        </w:tc>
        <w:tc>
          <w:tcPr>
            <w:tcW w:w="6405" w:type="dxa"/>
            <w:vAlign w:val="center"/>
          </w:tcPr>
          <w:p w14:paraId="7397ACCF">
            <w:pPr>
              <w:pStyle w:val="85"/>
              <w:jc w:val="both"/>
              <w:rPr>
                <w:color w:val="auto"/>
                <w:sz w:val="22"/>
                <w:szCs w:val="22"/>
              </w:rPr>
            </w:pPr>
            <w:r>
              <w:rPr>
                <w:color w:val="auto"/>
                <w:sz w:val="22"/>
                <w:szCs w:val="22"/>
              </w:rPr>
              <w:t>Малая Родина гражданина России. Достопримечательности родного края</w:t>
            </w:r>
          </w:p>
        </w:tc>
        <w:tc>
          <w:tcPr>
            <w:tcW w:w="1473" w:type="dxa"/>
          </w:tcPr>
          <w:p w14:paraId="3D4DA8A1">
            <w:pPr>
              <w:pStyle w:val="85"/>
              <w:rPr>
                <w:color w:val="auto"/>
                <w:sz w:val="22"/>
                <w:szCs w:val="22"/>
              </w:rPr>
            </w:pPr>
          </w:p>
        </w:tc>
      </w:tr>
      <w:tr w14:paraId="193438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91" w:type="dxa"/>
            <w:vAlign w:val="center"/>
          </w:tcPr>
          <w:p w14:paraId="41071E44">
            <w:pPr>
              <w:pStyle w:val="85"/>
              <w:rPr>
                <w:color w:val="auto"/>
                <w:sz w:val="22"/>
                <w:szCs w:val="22"/>
              </w:rPr>
            </w:pPr>
            <w:r>
              <w:rPr>
                <w:color w:val="auto"/>
                <w:sz w:val="22"/>
                <w:szCs w:val="22"/>
              </w:rPr>
              <w:t>Урок 66</w:t>
            </w:r>
          </w:p>
        </w:tc>
        <w:tc>
          <w:tcPr>
            <w:tcW w:w="6405" w:type="dxa"/>
            <w:vAlign w:val="center"/>
          </w:tcPr>
          <w:p w14:paraId="27832715">
            <w:pPr>
              <w:pStyle w:val="85"/>
              <w:jc w:val="both"/>
              <w:rPr>
                <w:color w:val="auto"/>
                <w:sz w:val="22"/>
                <w:szCs w:val="22"/>
              </w:rPr>
            </w:pPr>
            <w:r>
              <w:rPr>
                <w:color w:val="auto"/>
                <w:sz w:val="22"/>
                <w:szCs w:val="22"/>
              </w:rPr>
              <w:t>Наша малая Родина: главный город</w:t>
            </w:r>
          </w:p>
        </w:tc>
        <w:tc>
          <w:tcPr>
            <w:tcW w:w="1473" w:type="dxa"/>
          </w:tcPr>
          <w:p w14:paraId="056F296F">
            <w:pPr>
              <w:pStyle w:val="85"/>
              <w:rPr>
                <w:color w:val="auto"/>
                <w:sz w:val="22"/>
                <w:szCs w:val="22"/>
              </w:rPr>
            </w:pPr>
          </w:p>
        </w:tc>
      </w:tr>
      <w:tr w14:paraId="66B8B3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91" w:type="dxa"/>
            <w:vAlign w:val="center"/>
          </w:tcPr>
          <w:p w14:paraId="74B5A643">
            <w:pPr>
              <w:pStyle w:val="85"/>
              <w:rPr>
                <w:color w:val="auto"/>
                <w:sz w:val="22"/>
                <w:szCs w:val="22"/>
              </w:rPr>
            </w:pPr>
            <w:r>
              <w:rPr>
                <w:color w:val="auto"/>
                <w:sz w:val="22"/>
                <w:szCs w:val="22"/>
              </w:rPr>
              <w:t>Урок 67</w:t>
            </w:r>
          </w:p>
        </w:tc>
        <w:tc>
          <w:tcPr>
            <w:tcW w:w="6405" w:type="dxa"/>
            <w:vAlign w:val="center"/>
          </w:tcPr>
          <w:p w14:paraId="3606AE57">
            <w:pPr>
              <w:pStyle w:val="85"/>
              <w:jc w:val="both"/>
              <w:rPr>
                <w:color w:val="auto"/>
                <w:sz w:val="22"/>
                <w:szCs w:val="22"/>
              </w:rPr>
            </w:pPr>
            <w:r>
              <w:rPr>
                <w:color w:val="auto"/>
                <w:sz w:val="22"/>
                <w:szCs w:val="22"/>
              </w:rPr>
              <w:t>Города России. Города-герои. Страницы истории</w:t>
            </w:r>
          </w:p>
        </w:tc>
        <w:tc>
          <w:tcPr>
            <w:tcW w:w="1473" w:type="dxa"/>
          </w:tcPr>
          <w:p w14:paraId="4C39F607">
            <w:pPr>
              <w:pStyle w:val="85"/>
              <w:rPr>
                <w:color w:val="auto"/>
                <w:sz w:val="22"/>
                <w:szCs w:val="22"/>
              </w:rPr>
            </w:pPr>
          </w:p>
        </w:tc>
      </w:tr>
      <w:tr w14:paraId="358D41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191" w:type="dxa"/>
            <w:vAlign w:val="center"/>
          </w:tcPr>
          <w:p w14:paraId="0250ADA2">
            <w:pPr>
              <w:pStyle w:val="85"/>
              <w:rPr>
                <w:color w:val="auto"/>
                <w:sz w:val="22"/>
                <w:szCs w:val="22"/>
              </w:rPr>
            </w:pPr>
            <w:r>
              <w:rPr>
                <w:color w:val="auto"/>
                <w:sz w:val="22"/>
                <w:szCs w:val="22"/>
              </w:rPr>
              <w:t>Урок 68</w:t>
            </w:r>
          </w:p>
        </w:tc>
        <w:tc>
          <w:tcPr>
            <w:tcW w:w="6405" w:type="dxa"/>
            <w:vAlign w:val="center"/>
          </w:tcPr>
          <w:p w14:paraId="508528E6">
            <w:pPr>
              <w:pStyle w:val="85"/>
              <w:jc w:val="both"/>
              <w:rPr>
                <w:color w:val="auto"/>
                <w:sz w:val="22"/>
                <w:szCs w:val="22"/>
              </w:rPr>
            </w:pPr>
            <w:r>
              <w:rPr>
                <w:color w:val="auto"/>
                <w:sz w:val="22"/>
                <w:szCs w:val="22"/>
              </w:rPr>
              <w:t>Резервный урок. Повторение "Оценим свои достижения"</w:t>
            </w:r>
          </w:p>
        </w:tc>
        <w:tc>
          <w:tcPr>
            <w:tcW w:w="1473" w:type="dxa"/>
          </w:tcPr>
          <w:p w14:paraId="7ABD8A70">
            <w:pPr>
              <w:pStyle w:val="85"/>
              <w:rPr>
                <w:color w:val="auto"/>
                <w:sz w:val="22"/>
                <w:szCs w:val="22"/>
              </w:rPr>
            </w:pPr>
          </w:p>
        </w:tc>
      </w:tr>
      <w:tr w14:paraId="41746C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9069" w:type="dxa"/>
            <w:gridSpan w:val="3"/>
            <w:vAlign w:val="center"/>
          </w:tcPr>
          <w:p w14:paraId="5C2CDE0C">
            <w:pPr>
              <w:pStyle w:val="85"/>
              <w:jc w:val="both"/>
              <w:rPr>
                <w:color w:val="auto"/>
                <w:sz w:val="22"/>
                <w:szCs w:val="22"/>
              </w:rPr>
            </w:pPr>
            <w:r>
              <w:rPr>
                <w:color w:val="auto"/>
                <w:sz w:val="22"/>
                <w:szCs w:val="22"/>
              </w:rPr>
              <w:t>ОБЩЕЕ КОЛИЧЕСТВО УРОКОВ ПО ПРОГРАММЕ: 68, из них уроков, отведенных на контрольные работы (в том числе Всероссийские проверочные работы), - не более 6</w:t>
            </w:r>
          </w:p>
        </w:tc>
      </w:tr>
    </w:tbl>
    <w:p w14:paraId="2D838FED">
      <w:pPr>
        <w:pStyle w:val="85"/>
        <w:jc w:val="both"/>
        <w:rPr>
          <w:color w:val="auto"/>
          <w:sz w:val="22"/>
          <w:szCs w:val="22"/>
        </w:rPr>
      </w:pPr>
    </w:p>
    <w:p w14:paraId="5657484F">
      <w:pPr>
        <w:pStyle w:val="85"/>
        <w:jc w:val="both"/>
        <w:rPr>
          <w:color w:val="auto"/>
          <w:sz w:val="22"/>
          <w:szCs w:val="22"/>
        </w:rPr>
      </w:pPr>
      <w:r>
        <w:rPr>
          <w:color w:val="auto"/>
          <w:sz w:val="22"/>
          <w:szCs w:val="22"/>
        </w:rPr>
        <w:t>Вариант 2. Для самостоятельного конструирования поурочного планирования.</w:t>
      </w:r>
    </w:p>
    <w:p w14:paraId="61658600">
      <w:pPr>
        <w:pStyle w:val="85"/>
        <w:jc w:val="both"/>
        <w:rPr>
          <w:color w:val="auto"/>
          <w:sz w:val="22"/>
          <w:szCs w:val="22"/>
        </w:rPr>
      </w:pPr>
    </w:p>
    <w:p w14:paraId="1FC377F0">
      <w:pPr>
        <w:pStyle w:val="85"/>
        <w:jc w:val="right"/>
        <w:rPr>
          <w:color w:val="auto"/>
          <w:sz w:val="22"/>
          <w:szCs w:val="22"/>
        </w:rPr>
      </w:pPr>
      <w:r>
        <w:rPr>
          <w:color w:val="auto"/>
          <w:sz w:val="22"/>
          <w:szCs w:val="22"/>
        </w:rPr>
        <w:t>Таблица 11.4</w:t>
      </w:r>
    </w:p>
    <w:p w14:paraId="548FABFE">
      <w:pPr>
        <w:pStyle w:val="85"/>
        <w:jc w:val="both"/>
        <w:rPr>
          <w:color w:val="auto"/>
          <w:sz w:val="22"/>
          <w:szCs w:val="22"/>
        </w:rPr>
      </w:pPr>
    </w:p>
    <w:p w14:paraId="27A778B2">
      <w:pPr>
        <w:pStyle w:val="85"/>
        <w:jc w:val="both"/>
        <w:rPr>
          <w:color w:val="auto"/>
          <w:sz w:val="22"/>
          <w:szCs w:val="22"/>
        </w:rPr>
      </w:pPr>
      <w:r>
        <w:rPr>
          <w:color w:val="auto"/>
          <w:sz w:val="22"/>
          <w:szCs w:val="22"/>
        </w:rPr>
        <w:t>1 класс</w:t>
      </w:r>
    </w:p>
    <w:p w14:paraId="50E38D2D">
      <w:pPr>
        <w:pStyle w:val="85"/>
        <w:jc w:val="both"/>
        <w:rPr>
          <w:color w:val="auto"/>
          <w:sz w:val="22"/>
          <w:szCs w:val="22"/>
        </w:rPr>
      </w:pPr>
    </w:p>
    <w:tbl>
      <w:tblPr>
        <w:tblStyle w:val="1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02" w:type="dxa"/>
          <w:left w:w="62" w:type="dxa"/>
          <w:bottom w:w="102" w:type="dxa"/>
          <w:right w:w="62" w:type="dxa"/>
        </w:tblCellMar>
      </w:tblPr>
      <w:tblGrid>
        <w:gridCol w:w="1191"/>
        <w:gridCol w:w="6405"/>
        <w:gridCol w:w="1473"/>
      </w:tblGrid>
      <w:tr w14:paraId="230FE1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91" w:type="dxa"/>
          </w:tcPr>
          <w:p w14:paraId="0B55C7DC">
            <w:pPr>
              <w:pStyle w:val="85"/>
              <w:jc w:val="center"/>
              <w:rPr>
                <w:color w:val="auto"/>
                <w:sz w:val="22"/>
                <w:szCs w:val="22"/>
              </w:rPr>
            </w:pPr>
            <w:r>
              <w:rPr>
                <w:color w:val="auto"/>
                <w:sz w:val="22"/>
                <w:szCs w:val="22"/>
              </w:rPr>
              <w:t>N урока</w:t>
            </w:r>
          </w:p>
        </w:tc>
        <w:tc>
          <w:tcPr>
            <w:tcW w:w="6405" w:type="dxa"/>
          </w:tcPr>
          <w:p w14:paraId="385DB319">
            <w:pPr>
              <w:pStyle w:val="85"/>
              <w:jc w:val="center"/>
              <w:rPr>
                <w:color w:val="auto"/>
                <w:sz w:val="22"/>
                <w:szCs w:val="22"/>
              </w:rPr>
            </w:pPr>
            <w:r>
              <w:rPr>
                <w:color w:val="auto"/>
                <w:sz w:val="22"/>
                <w:szCs w:val="22"/>
              </w:rPr>
              <w:t>Тема урока</w:t>
            </w:r>
          </w:p>
        </w:tc>
        <w:tc>
          <w:tcPr>
            <w:tcW w:w="1473" w:type="dxa"/>
          </w:tcPr>
          <w:p w14:paraId="0372D7EA">
            <w:pPr>
              <w:pStyle w:val="85"/>
              <w:jc w:val="center"/>
              <w:rPr>
                <w:color w:val="auto"/>
                <w:sz w:val="22"/>
                <w:szCs w:val="22"/>
              </w:rPr>
            </w:pPr>
            <w:r>
              <w:rPr>
                <w:color w:val="auto"/>
                <w:sz w:val="22"/>
                <w:szCs w:val="22"/>
              </w:rPr>
              <w:t>Количество часов на практические работы</w:t>
            </w:r>
          </w:p>
        </w:tc>
      </w:tr>
      <w:tr w14:paraId="46EEB8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91" w:type="dxa"/>
            <w:vAlign w:val="center"/>
          </w:tcPr>
          <w:p w14:paraId="7DB8AD96">
            <w:pPr>
              <w:pStyle w:val="85"/>
              <w:rPr>
                <w:color w:val="auto"/>
                <w:sz w:val="22"/>
                <w:szCs w:val="22"/>
              </w:rPr>
            </w:pPr>
            <w:r>
              <w:rPr>
                <w:color w:val="auto"/>
                <w:sz w:val="22"/>
                <w:szCs w:val="22"/>
              </w:rPr>
              <w:t>Урок 1</w:t>
            </w:r>
          </w:p>
        </w:tc>
        <w:tc>
          <w:tcPr>
            <w:tcW w:w="6405" w:type="dxa"/>
            <w:vAlign w:val="center"/>
          </w:tcPr>
          <w:p w14:paraId="34D358FE">
            <w:pPr>
              <w:pStyle w:val="85"/>
              <w:jc w:val="both"/>
              <w:rPr>
                <w:color w:val="auto"/>
                <w:sz w:val="22"/>
                <w:szCs w:val="22"/>
              </w:rPr>
            </w:pPr>
            <w:r>
              <w:rPr>
                <w:color w:val="auto"/>
                <w:sz w:val="22"/>
                <w:szCs w:val="22"/>
              </w:rPr>
              <w:t>Мы - школьники. Адрес школы. Знакомство со школьными помещениями</w:t>
            </w:r>
          </w:p>
        </w:tc>
        <w:tc>
          <w:tcPr>
            <w:tcW w:w="1473" w:type="dxa"/>
            <w:vAlign w:val="center"/>
          </w:tcPr>
          <w:p w14:paraId="3477AE83">
            <w:pPr>
              <w:pStyle w:val="85"/>
              <w:rPr>
                <w:color w:val="auto"/>
                <w:sz w:val="22"/>
                <w:szCs w:val="22"/>
              </w:rPr>
            </w:pPr>
          </w:p>
        </w:tc>
      </w:tr>
      <w:tr w14:paraId="7C2701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91" w:type="dxa"/>
            <w:vAlign w:val="center"/>
          </w:tcPr>
          <w:p w14:paraId="5808DB07">
            <w:pPr>
              <w:pStyle w:val="85"/>
              <w:rPr>
                <w:color w:val="auto"/>
                <w:sz w:val="22"/>
                <w:szCs w:val="22"/>
              </w:rPr>
            </w:pPr>
            <w:r>
              <w:rPr>
                <w:color w:val="auto"/>
                <w:sz w:val="22"/>
                <w:szCs w:val="22"/>
              </w:rPr>
              <w:t>Урок 2</w:t>
            </w:r>
          </w:p>
        </w:tc>
        <w:tc>
          <w:tcPr>
            <w:tcW w:w="6405" w:type="dxa"/>
            <w:vAlign w:val="center"/>
          </w:tcPr>
          <w:p w14:paraId="4EA0A873">
            <w:pPr>
              <w:pStyle w:val="85"/>
              <w:jc w:val="both"/>
              <w:rPr>
                <w:color w:val="auto"/>
                <w:sz w:val="22"/>
                <w:szCs w:val="22"/>
              </w:rPr>
            </w:pPr>
            <w:r>
              <w:rPr>
                <w:color w:val="auto"/>
                <w:sz w:val="22"/>
                <w:szCs w:val="22"/>
              </w:rPr>
              <w:t>Классный коллектив. Мои друзья - одноклассники. Правила совместной деятельности</w:t>
            </w:r>
          </w:p>
        </w:tc>
        <w:tc>
          <w:tcPr>
            <w:tcW w:w="1473" w:type="dxa"/>
            <w:vAlign w:val="center"/>
          </w:tcPr>
          <w:p w14:paraId="49594C5B">
            <w:pPr>
              <w:pStyle w:val="85"/>
              <w:rPr>
                <w:color w:val="auto"/>
                <w:sz w:val="22"/>
                <w:szCs w:val="22"/>
              </w:rPr>
            </w:pPr>
          </w:p>
        </w:tc>
      </w:tr>
      <w:tr w14:paraId="1FFD80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91" w:type="dxa"/>
            <w:vAlign w:val="center"/>
          </w:tcPr>
          <w:p w14:paraId="1D8F5575">
            <w:pPr>
              <w:pStyle w:val="85"/>
              <w:rPr>
                <w:color w:val="auto"/>
                <w:sz w:val="22"/>
                <w:szCs w:val="22"/>
              </w:rPr>
            </w:pPr>
            <w:r>
              <w:rPr>
                <w:color w:val="auto"/>
                <w:sz w:val="22"/>
                <w:szCs w:val="22"/>
              </w:rPr>
              <w:t>Урок 3</w:t>
            </w:r>
          </w:p>
        </w:tc>
        <w:tc>
          <w:tcPr>
            <w:tcW w:w="6405" w:type="dxa"/>
            <w:vAlign w:val="center"/>
          </w:tcPr>
          <w:p w14:paraId="1DB15028">
            <w:pPr>
              <w:pStyle w:val="85"/>
              <w:jc w:val="both"/>
              <w:rPr>
                <w:color w:val="auto"/>
                <w:sz w:val="22"/>
                <w:szCs w:val="22"/>
              </w:rPr>
            </w:pPr>
            <w:r>
              <w:rPr>
                <w:color w:val="auto"/>
                <w:sz w:val="22"/>
                <w:szCs w:val="22"/>
              </w:rPr>
              <w:t>Учебный класс. Рабочее место школьника. Режим учебного труда, отдыха</w:t>
            </w:r>
          </w:p>
        </w:tc>
        <w:tc>
          <w:tcPr>
            <w:tcW w:w="1473" w:type="dxa"/>
            <w:vAlign w:val="center"/>
          </w:tcPr>
          <w:p w14:paraId="0AF2FF9C">
            <w:pPr>
              <w:pStyle w:val="85"/>
              <w:rPr>
                <w:color w:val="auto"/>
                <w:sz w:val="22"/>
                <w:szCs w:val="22"/>
              </w:rPr>
            </w:pPr>
          </w:p>
        </w:tc>
      </w:tr>
      <w:tr w14:paraId="072A84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91" w:type="dxa"/>
            <w:vAlign w:val="center"/>
          </w:tcPr>
          <w:p w14:paraId="518791C6">
            <w:pPr>
              <w:pStyle w:val="85"/>
              <w:rPr>
                <w:color w:val="auto"/>
                <w:sz w:val="22"/>
                <w:szCs w:val="22"/>
              </w:rPr>
            </w:pPr>
            <w:r>
              <w:rPr>
                <w:color w:val="auto"/>
                <w:sz w:val="22"/>
                <w:szCs w:val="22"/>
              </w:rPr>
              <w:t>Урок 4</w:t>
            </w:r>
          </w:p>
        </w:tc>
        <w:tc>
          <w:tcPr>
            <w:tcW w:w="6405" w:type="dxa"/>
            <w:vAlign w:val="center"/>
          </w:tcPr>
          <w:p w14:paraId="29708553">
            <w:pPr>
              <w:pStyle w:val="85"/>
              <w:jc w:val="both"/>
              <w:rPr>
                <w:color w:val="auto"/>
                <w:sz w:val="22"/>
                <w:szCs w:val="22"/>
              </w:rPr>
            </w:pPr>
            <w:r>
              <w:rPr>
                <w:color w:val="auto"/>
                <w:sz w:val="22"/>
                <w:szCs w:val="22"/>
              </w:rPr>
              <w:t>Семейные поколения. Моя семья в прошлом и настоящем</w:t>
            </w:r>
          </w:p>
        </w:tc>
        <w:tc>
          <w:tcPr>
            <w:tcW w:w="1473" w:type="dxa"/>
            <w:vAlign w:val="center"/>
          </w:tcPr>
          <w:p w14:paraId="4B742983">
            <w:pPr>
              <w:pStyle w:val="85"/>
              <w:rPr>
                <w:color w:val="auto"/>
                <w:sz w:val="22"/>
                <w:szCs w:val="22"/>
              </w:rPr>
            </w:pPr>
          </w:p>
        </w:tc>
      </w:tr>
      <w:tr w14:paraId="35ECA6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91" w:type="dxa"/>
            <w:vAlign w:val="center"/>
          </w:tcPr>
          <w:p w14:paraId="696F85F6">
            <w:pPr>
              <w:pStyle w:val="85"/>
              <w:rPr>
                <w:color w:val="auto"/>
                <w:sz w:val="22"/>
                <w:szCs w:val="22"/>
              </w:rPr>
            </w:pPr>
            <w:r>
              <w:rPr>
                <w:color w:val="auto"/>
                <w:sz w:val="22"/>
                <w:szCs w:val="22"/>
              </w:rPr>
              <w:t>Урок 5</w:t>
            </w:r>
          </w:p>
        </w:tc>
        <w:tc>
          <w:tcPr>
            <w:tcW w:w="6405" w:type="dxa"/>
            <w:vAlign w:val="center"/>
          </w:tcPr>
          <w:p w14:paraId="5E1BDA23">
            <w:pPr>
              <w:pStyle w:val="85"/>
              <w:jc w:val="both"/>
              <w:rPr>
                <w:color w:val="auto"/>
                <w:sz w:val="22"/>
                <w:szCs w:val="22"/>
              </w:rPr>
            </w:pPr>
            <w:r>
              <w:rPr>
                <w:color w:val="auto"/>
                <w:sz w:val="22"/>
                <w:szCs w:val="22"/>
              </w:rPr>
              <w:t>Семья - коллектив. Права и обязанности членов семьи</w:t>
            </w:r>
          </w:p>
        </w:tc>
        <w:tc>
          <w:tcPr>
            <w:tcW w:w="1473" w:type="dxa"/>
            <w:vAlign w:val="center"/>
          </w:tcPr>
          <w:p w14:paraId="2F6797AB">
            <w:pPr>
              <w:pStyle w:val="85"/>
              <w:rPr>
                <w:color w:val="auto"/>
                <w:sz w:val="22"/>
                <w:szCs w:val="22"/>
              </w:rPr>
            </w:pPr>
          </w:p>
        </w:tc>
      </w:tr>
      <w:tr w14:paraId="5AC9BB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91" w:type="dxa"/>
            <w:vAlign w:val="center"/>
          </w:tcPr>
          <w:p w14:paraId="1077B63D">
            <w:pPr>
              <w:pStyle w:val="85"/>
              <w:rPr>
                <w:color w:val="auto"/>
                <w:sz w:val="22"/>
                <w:szCs w:val="22"/>
              </w:rPr>
            </w:pPr>
            <w:r>
              <w:rPr>
                <w:color w:val="auto"/>
                <w:sz w:val="22"/>
                <w:szCs w:val="22"/>
              </w:rPr>
              <w:t>Урок 6</w:t>
            </w:r>
          </w:p>
        </w:tc>
        <w:tc>
          <w:tcPr>
            <w:tcW w:w="6405" w:type="dxa"/>
            <w:vAlign w:val="center"/>
          </w:tcPr>
          <w:p w14:paraId="044FFA49">
            <w:pPr>
              <w:pStyle w:val="85"/>
              <w:jc w:val="both"/>
              <w:rPr>
                <w:color w:val="auto"/>
                <w:sz w:val="22"/>
                <w:szCs w:val="22"/>
              </w:rPr>
            </w:pPr>
            <w:r>
              <w:rPr>
                <w:color w:val="auto"/>
                <w:sz w:val="22"/>
                <w:szCs w:val="22"/>
              </w:rPr>
              <w:t>Наша страна - Россия, Российская Федерация</w:t>
            </w:r>
          </w:p>
        </w:tc>
        <w:tc>
          <w:tcPr>
            <w:tcW w:w="1473" w:type="dxa"/>
            <w:vAlign w:val="center"/>
          </w:tcPr>
          <w:p w14:paraId="4D68E9A4">
            <w:pPr>
              <w:pStyle w:val="85"/>
              <w:rPr>
                <w:color w:val="auto"/>
                <w:sz w:val="22"/>
                <w:szCs w:val="22"/>
              </w:rPr>
            </w:pPr>
          </w:p>
        </w:tc>
      </w:tr>
      <w:tr w14:paraId="54F5F9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91" w:type="dxa"/>
            <w:vAlign w:val="center"/>
          </w:tcPr>
          <w:p w14:paraId="7C4E3A2A">
            <w:pPr>
              <w:pStyle w:val="85"/>
              <w:rPr>
                <w:color w:val="auto"/>
                <w:sz w:val="22"/>
                <w:szCs w:val="22"/>
              </w:rPr>
            </w:pPr>
            <w:r>
              <w:rPr>
                <w:color w:val="auto"/>
                <w:sz w:val="22"/>
                <w:szCs w:val="22"/>
              </w:rPr>
              <w:t>Урок 7</w:t>
            </w:r>
          </w:p>
        </w:tc>
        <w:tc>
          <w:tcPr>
            <w:tcW w:w="6405" w:type="dxa"/>
            <w:vAlign w:val="center"/>
          </w:tcPr>
          <w:p w14:paraId="5BFC9388">
            <w:pPr>
              <w:pStyle w:val="85"/>
              <w:jc w:val="both"/>
              <w:rPr>
                <w:color w:val="auto"/>
                <w:sz w:val="22"/>
                <w:szCs w:val="22"/>
              </w:rPr>
            </w:pPr>
            <w:r>
              <w:rPr>
                <w:color w:val="auto"/>
                <w:sz w:val="22"/>
                <w:szCs w:val="22"/>
              </w:rPr>
              <w:t>Наша Родина: от края и до края. Символы России</w:t>
            </w:r>
          </w:p>
        </w:tc>
        <w:tc>
          <w:tcPr>
            <w:tcW w:w="1473" w:type="dxa"/>
            <w:vAlign w:val="center"/>
          </w:tcPr>
          <w:p w14:paraId="6EF615C3">
            <w:pPr>
              <w:pStyle w:val="85"/>
              <w:rPr>
                <w:color w:val="auto"/>
                <w:sz w:val="22"/>
                <w:szCs w:val="22"/>
              </w:rPr>
            </w:pPr>
          </w:p>
        </w:tc>
      </w:tr>
      <w:tr w14:paraId="3B7980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91" w:type="dxa"/>
            <w:vAlign w:val="center"/>
          </w:tcPr>
          <w:p w14:paraId="3063FF34">
            <w:pPr>
              <w:pStyle w:val="85"/>
              <w:rPr>
                <w:color w:val="auto"/>
                <w:sz w:val="22"/>
                <w:szCs w:val="22"/>
              </w:rPr>
            </w:pPr>
            <w:r>
              <w:rPr>
                <w:color w:val="auto"/>
                <w:sz w:val="22"/>
                <w:szCs w:val="22"/>
              </w:rPr>
              <w:t>Урок 8</w:t>
            </w:r>
          </w:p>
        </w:tc>
        <w:tc>
          <w:tcPr>
            <w:tcW w:w="6405" w:type="dxa"/>
            <w:vAlign w:val="center"/>
          </w:tcPr>
          <w:p w14:paraId="563C7D52">
            <w:pPr>
              <w:pStyle w:val="85"/>
              <w:jc w:val="both"/>
              <w:rPr>
                <w:color w:val="auto"/>
                <w:sz w:val="22"/>
                <w:szCs w:val="22"/>
              </w:rPr>
            </w:pPr>
            <w:r>
              <w:rPr>
                <w:color w:val="auto"/>
                <w:sz w:val="22"/>
                <w:szCs w:val="22"/>
              </w:rPr>
              <w:t>Столица России - Москва. Достопримечательности Москвы</w:t>
            </w:r>
          </w:p>
        </w:tc>
        <w:tc>
          <w:tcPr>
            <w:tcW w:w="1473" w:type="dxa"/>
            <w:vAlign w:val="center"/>
          </w:tcPr>
          <w:p w14:paraId="5AB5C2D0">
            <w:pPr>
              <w:pStyle w:val="85"/>
              <w:rPr>
                <w:color w:val="auto"/>
                <w:sz w:val="22"/>
                <w:szCs w:val="22"/>
              </w:rPr>
            </w:pPr>
          </w:p>
        </w:tc>
      </w:tr>
      <w:tr w14:paraId="0E0BDF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91" w:type="dxa"/>
            <w:vAlign w:val="center"/>
          </w:tcPr>
          <w:p w14:paraId="2A3A0048">
            <w:pPr>
              <w:pStyle w:val="85"/>
              <w:rPr>
                <w:color w:val="auto"/>
                <w:sz w:val="22"/>
                <w:szCs w:val="22"/>
              </w:rPr>
            </w:pPr>
            <w:r>
              <w:rPr>
                <w:color w:val="auto"/>
                <w:sz w:val="22"/>
                <w:szCs w:val="22"/>
              </w:rPr>
              <w:t>Урок 9</w:t>
            </w:r>
          </w:p>
        </w:tc>
        <w:tc>
          <w:tcPr>
            <w:tcW w:w="6405" w:type="dxa"/>
            <w:vAlign w:val="center"/>
          </w:tcPr>
          <w:p w14:paraId="5A929229">
            <w:pPr>
              <w:pStyle w:val="85"/>
              <w:jc w:val="both"/>
              <w:rPr>
                <w:color w:val="auto"/>
                <w:sz w:val="22"/>
                <w:szCs w:val="22"/>
              </w:rPr>
            </w:pPr>
            <w:r>
              <w:rPr>
                <w:color w:val="auto"/>
                <w:sz w:val="22"/>
                <w:szCs w:val="22"/>
              </w:rPr>
              <w:t>Народы России. Народов дружная семья</w:t>
            </w:r>
          </w:p>
        </w:tc>
        <w:tc>
          <w:tcPr>
            <w:tcW w:w="1473" w:type="dxa"/>
            <w:vAlign w:val="center"/>
          </w:tcPr>
          <w:p w14:paraId="36E0482A">
            <w:pPr>
              <w:pStyle w:val="85"/>
              <w:rPr>
                <w:color w:val="auto"/>
                <w:sz w:val="22"/>
                <w:szCs w:val="22"/>
              </w:rPr>
            </w:pPr>
          </w:p>
        </w:tc>
      </w:tr>
      <w:tr w14:paraId="72EDB7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91" w:type="dxa"/>
            <w:vAlign w:val="center"/>
          </w:tcPr>
          <w:p w14:paraId="2822C0DE">
            <w:pPr>
              <w:pStyle w:val="85"/>
              <w:rPr>
                <w:color w:val="auto"/>
                <w:sz w:val="22"/>
                <w:szCs w:val="22"/>
              </w:rPr>
            </w:pPr>
            <w:r>
              <w:rPr>
                <w:color w:val="auto"/>
                <w:sz w:val="22"/>
                <w:szCs w:val="22"/>
              </w:rPr>
              <w:t>Урок 10</w:t>
            </w:r>
          </w:p>
        </w:tc>
        <w:tc>
          <w:tcPr>
            <w:tcW w:w="6405" w:type="dxa"/>
            <w:vAlign w:val="center"/>
          </w:tcPr>
          <w:p w14:paraId="70B79223">
            <w:pPr>
              <w:pStyle w:val="85"/>
              <w:jc w:val="both"/>
              <w:rPr>
                <w:color w:val="auto"/>
                <w:sz w:val="22"/>
                <w:szCs w:val="22"/>
              </w:rPr>
            </w:pPr>
            <w:r>
              <w:rPr>
                <w:color w:val="auto"/>
                <w:sz w:val="22"/>
                <w:szCs w:val="22"/>
              </w:rPr>
              <w:t>Родной край - малая Родина. Первоначальные сведения о родном крае: название</w:t>
            </w:r>
          </w:p>
        </w:tc>
        <w:tc>
          <w:tcPr>
            <w:tcW w:w="1473" w:type="dxa"/>
            <w:vAlign w:val="center"/>
          </w:tcPr>
          <w:p w14:paraId="67573F82">
            <w:pPr>
              <w:pStyle w:val="85"/>
              <w:rPr>
                <w:color w:val="auto"/>
                <w:sz w:val="22"/>
                <w:szCs w:val="22"/>
              </w:rPr>
            </w:pPr>
          </w:p>
        </w:tc>
      </w:tr>
      <w:tr w14:paraId="2FA48B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91" w:type="dxa"/>
            <w:vAlign w:val="center"/>
          </w:tcPr>
          <w:p w14:paraId="78640BFF">
            <w:pPr>
              <w:pStyle w:val="85"/>
              <w:rPr>
                <w:color w:val="auto"/>
                <w:sz w:val="22"/>
                <w:szCs w:val="22"/>
              </w:rPr>
            </w:pPr>
            <w:r>
              <w:rPr>
                <w:color w:val="auto"/>
                <w:sz w:val="22"/>
                <w:szCs w:val="22"/>
              </w:rPr>
              <w:t>Урок 11</w:t>
            </w:r>
          </w:p>
        </w:tc>
        <w:tc>
          <w:tcPr>
            <w:tcW w:w="6405" w:type="dxa"/>
            <w:vAlign w:val="center"/>
          </w:tcPr>
          <w:p w14:paraId="449C1B06">
            <w:pPr>
              <w:pStyle w:val="85"/>
              <w:jc w:val="both"/>
              <w:rPr>
                <w:color w:val="auto"/>
                <w:sz w:val="22"/>
                <w:szCs w:val="22"/>
              </w:rPr>
            </w:pPr>
            <w:r>
              <w:rPr>
                <w:color w:val="auto"/>
                <w:sz w:val="22"/>
                <w:szCs w:val="22"/>
              </w:rPr>
              <w:t>Путешествие по родному краю</w:t>
            </w:r>
          </w:p>
        </w:tc>
        <w:tc>
          <w:tcPr>
            <w:tcW w:w="1473" w:type="dxa"/>
            <w:vAlign w:val="center"/>
          </w:tcPr>
          <w:p w14:paraId="26D95E9C">
            <w:pPr>
              <w:pStyle w:val="85"/>
              <w:rPr>
                <w:color w:val="auto"/>
                <w:sz w:val="22"/>
                <w:szCs w:val="22"/>
              </w:rPr>
            </w:pPr>
          </w:p>
        </w:tc>
      </w:tr>
      <w:tr w14:paraId="6A7B4E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91" w:type="dxa"/>
            <w:vAlign w:val="center"/>
          </w:tcPr>
          <w:p w14:paraId="380A6544">
            <w:pPr>
              <w:pStyle w:val="85"/>
              <w:rPr>
                <w:color w:val="auto"/>
                <w:sz w:val="22"/>
                <w:szCs w:val="22"/>
              </w:rPr>
            </w:pPr>
            <w:r>
              <w:rPr>
                <w:color w:val="auto"/>
                <w:sz w:val="22"/>
                <w:szCs w:val="22"/>
              </w:rPr>
              <w:t>Урок 12</w:t>
            </w:r>
          </w:p>
        </w:tc>
        <w:tc>
          <w:tcPr>
            <w:tcW w:w="6405" w:type="dxa"/>
            <w:vAlign w:val="center"/>
          </w:tcPr>
          <w:p w14:paraId="6401B383">
            <w:pPr>
              <w:pStyle w:val="85"/>
              <w:jc w:val="both"/>
              <w:rPr>
                <w:color w:val="auto"/>
                <w:sz w:val="22"/>
                <w:szCs w:val="22"/>
              </w:rPr>
            </w:pPr>
            <w:r>
              <w:rPr>
                <w:color w:val="auto"/>
                <w:sz w:val="22"/>
                <w:szCs w:val="22"/>
              </w:rPr>
              <w:t>Культурные объекты родного края</w:t>
            </w:r>
          </w:p>
        </w:tc>
        <w:tc>
          <w:tcPr>
            <w:tcW w:w="1473" w:type="dxa"/>
            <w:vAlign w:val="center"/>
          </w:tcPr>
          <w:p w14:paraId="0C3FDF21">
            <w:pPr>
              <w:pStyle w:val="85"/>
              <w:rPr>
                <w:color w:val="auto"/>
                <w:sz w:val="22"/>
                <w:szCs w:val="22"/>
              </w:rPr>
            </w:pPr>
          </w:p>
        </w:tc>
      </w:tr>
      <w:tr w14:paraId="6D8B64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91" w:type="dxa"/>
            <w:vAlign w:val="center"/>
          </w:tcPr>
          <w:p w14:paraId="5DF03934">
            <w:pPr>
              <w:pStyle w:val="85"/>
              <w:rPr>
                <w:color w:val="auto"/>
                <w:sz w:val="22"/>
                <w:szCs w:val="22"/>
              </w:rPr>
            </w:pPr>
            <w:r>
              <w:rPr>
                <w:color w:val="auto"/>
                <w:sz w:val="22"/>
                <w:szCs w:val="22"/>
              </w:rPr>
              <w:t>Урок 13</w:t>
            </w:r>
          </w:p>
        </w:tc>
        <w:tc>
          <w:tcPr>
            <w:tcW w:w="6405" w:type="dxa"/>
            <w:vAlign w:val="center"/>
          </w:tcPr>
          <w:p w14:paraId="577692F7">
            <w:pPr>
              <w:pStyle w:val="85"/>
              <w:jc w:val="both"/>
              <w:rPr>
                <w:color w:val="auto"/>
                <w:sz w:val="22"/>
                <w:szCs w:val="22"/>
              </w:rPr>
            </w:pPr>
            <w:r>
              <w:rPr>
                <w:color w:val="auto"/>
                <w:sz w:val="22"/>
                <w:szCs w:val="22"/>
              </w:rPr>
              <w:t>Труд людей родного края</w:t>
            </w:r>
          </w:p>
        </w:tc>
        <w:tc>
          <w:tcPr>
            <w:tcW w:w="1473" w:type="dxa"/>
            <w:vAlign w:val="center"/>
          </w:tcPr>
          <w:p w14:paraId="6A0430B5">
            <w:pPr>
              <w:pStyle w:val="85"/>
              <w:rPr>
                <w:color w:val="auto"/>
                <w:sz w:val="22"/>
                <w:szCs w:val="22"/>
              </w:rPr>
            </w:pPr>
          </w:p>
        </w:tc>
      </w:tr>
      <w:tr w14:paraId="3EC00E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91" w:type="dxa"/>
            <w:vAlign w:val="center"/>
          </w:tcPr>
          <w:p w14:paraId="078095CD">
            <w:pPr>
              <w:pStyle w:val="85"/>
              <w:rPr>
                <w:color w:val="auto"/>
                <w:sz w:val="22"/>
                <w:szCs w:val="22"/>
              </w:rPr>
            </w:pPr>
            <w:r>
              <w:rPr>
                <w:color w:val="auto"/>
                <w:sz w:val="22"/>
                <w:szCs w:val="22"/>
              </w:rPr>
              <w:t>Урок 14</w:t>
            </w:r>
          </w:p>
        </w:tc>
        <w:tc>
          <w:tcPr>
            <w:tcW w:w="6405" w:type="dxa"/>
            <w:vAlign w:val="center"/>
          </w:tcPr>
          <w:p w14:paraId="2483979F">
            <w:pPr>
              <w:pStyle w:val="85"/>
              <w:jc w:val="both"/>
              <w:rPr>
                <w:color w:val="auto"/>
                <w:sz w:val="22"/>
                <w:szCs w:val="22"/>
              </w:rPr>
            </w:pPr>
            <w:r>
              <w:rPr>
                <w:color w:val="auto"/>
                <w:sz w:val="22"/>
                <w:szCs w:val="22"/>
              </w:rPr>
              <w:t>Декоративное творчество народов, которое воплотилось в одежде, предметах быта, игрушках</w:t>
            </w:r>
          </w:p>
        </w:tc>
        <w:tc>
          <w:tcPr>
            <w:tcW w:w="1473" w:type="dxa"/>
            <w:vAlign w:val="center"/>
          </w:tcPr>
          <w:p w14:paraId="0456D2D3">
            <w:pPr>
              <w:pStyle w:val="85"/>
              <w:rPr>
                <w:color w:val="auto"/>
                <w:sz w:val="22"/>
                <w:szCs w:val="22"/>
              </w:rPr>
            </w:pPr>
          </w:p>
        </w:tc>
      </w:tr>
      <w:tr w14:paraId="3870A6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91" w:type="dxa"/>
            <w:vAlign w:val="center"/>
          </w:tcPr>
          <w:p w14:paraId="1E44C127">
            <w:pPr>
              <w:pStyle w:val="85"/>
              <w:rPr>
                <w:color w:val="auto"/>
                <w:sz w:val="22"/>
                <w:szCs w:val="22"/>
              </w:rPr>
            </w:pPr>
            <w:r>
              <w:rPr>
                <w:color w:val="auto"/>
                <w:sz w:val="22"/>
                <w:szCs w:val="22"/>
              </w:rPr>
              <w:t>Урок 15</w:t>
            </w:r>
          </w:p>
        </w:tc>
        <w:tc>
          <w:tcPr>
            <w:tcW w:w="6405" w:type="dxa"/>
            <w:vAlign w:val="center"/>
          </w:tcPr>
          <w:p w14:paraId="3C071133">
            <w:pPr>
              <w:pStyle w:val="85"/>
              <w:jc w:val="both"/>
              <w:rPr>
                <w:color w:val="auto"/>
                <w:sz w:val="22"/>
                <w:szCs w:val="22"/>
              </w:rPr>
            </w:pPr>
            <w:r>
              <w:rPr>
                <w:color w:val="auto"/>
                <w:sz w:val="22"/>
                <w:szCs w:val="22"/>
              </w:rPr>
              <w:t>Отражение в предметах декоративного искусства природных условий жизни и традиций народов Российской Федерации</w:t>
            </w:r>
          </w:p>
        </w:tc>
        <w:tc>
          <w:tcPr>
            <w:tcW w:w="1473" w:type="dxa"/>
            <w:vAlign w:val="center"/>
          </w:tcPr>
          <w:p w14:paraId="492F058E">
            <w:pPr>
              <w:pStyle w:val="85"/>
              <w:rPr>
                <w:color w:val="auto"/>
                <w:sz w:val="22"/>
                <w:szCs w:val="22"/>
              </w:rPr>
            </w:pPr>
          </w:p>
        </w:tc>
      </w:tr>
      <w:tr w14:paraId="021EED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91" w:type="dxa"/>
            <w:vAlign w:val="center"/>
          </w:tcPr>
          <w:p w14:paraId="65755FB9">
            <w:pPr>
              <w:pStyle w:val="85"/>
              <w:rPr>
                <w:color w:val="auto"/>
                <w:sz w:val="22"/>
                <w:szCs w:val="22"/>
              </w:rPr>
            </w:pPr>
            <w:r>
              <w:rPr>
                <w:color w:val="auto"/>
                <w:sz w:val="22"/>
                <w:szCs w:val="22"/>
              </w:rPr>
              <w:t>Урок 16</w:t>
            </w:r>
          </w:p>
        </w:tc>
        <w:tc>
          <w:tcPr>
            <w:tcW w:w="6405" w:type="dxa"/>
            <w:vAlign w:val="center"/>
          </w:tcPr>
          <w:p w14:paraId="1FF96BFD">
            <w:pPr>
              <w:pStyle w:val="85"/>
              <w:jc w:val="both"/>
              <w:rPr>
                <w:color w:val="auto"/>
                <w:sz w:val="22"/>
                <w:szCs w:val="22"/>
              </w:rPr>
            </w:pPr>
            <w:r>
              <w:rPr>
                <w:color w:val="auto"/>
                <w:sz w:val="22"/>
                <w:szCs w:val="22"/>
              </w:rPr>
              <w:t>Мы идем в театр</w:t>
            </w:r>
          </w:p>
        </w:tc>
        <w:tc>
          <w:tcPr>
            <w:tcW w:w="1473" w:type="dxa"/>
            <w:vAlign w:val="center"/>
          </w:tcPr>
          <w:p w14:paraId="0277704D">
            <w:pPr>
              <w:pStyle w:val="85"/>
              <w:rPr>
                <w:color w:val="auto"/>
                <w:sz w:val="22"/>
                <w:szCs w:val="22"/>
              </w:rPr>
            </w:pPr>
          </w:p>
        </w:tc>
      </w:tr>
      <w:tr w14:paraId="25609B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91" w:type="dxa"/>
            <w:vAlign w:val="center"/>
          </w:tcPr>
          <w:p w14:paraId="77D9FE5A">
            <w:pPr>
              <w:pStyle w:val="85"/>
              <w:rPr>
                <w:color w:val="auto"/>
                <w:sz w:val="22"/>
                <w:szCs w:val="22"/>
              </w:rPr>
            </w:pPr>
            <w:r>
              <w:rPr>
                <w:color w:val="auto"/>
                <w:sz w:val="22"/>
                <w:szCs w:val="22"/>
              </w:rPr>
              <w:t>Урок 17</w:t>
            </w:r>
          </w:p>
        </w:tc>
        <w:tc>
          <w:tcPr>
            <w:tcW w:w="6405" w:type="dxa"/>
            <w:vAlign w:val="center"/>
          </w:tcPr>
          <w:p w14:paraId="30995667">
            <w:pPr>
              <w:pStyle w:val="85"/>
              <w:jc w:val="both"/>
              <w:rPr>
                <w:color w:val="auto"/>
                <w:sz w:val="22"/>
                <w:szCs w:val="22"/>
              </w:rPr>
            </w:pPr>
            <w:r>
              <w:rPr>
                <w:color w:val="auto"/>
                <w:sz w:val="22"/>
                <w:szCs w:val="22"/>
              </w:rPr>
              <w:t>Резервный урок. Семейные традиции. Труд и отдых в семье</w:t>
            </w:r>
          </w:p>
        </w:tc>
        <w:tc>
          <w:tcPr>
            <w:tcW w:w="1473" w:type="dxa"/>
            <w:vAlign w:val="center"/>
          </w:tcPr>
          <w:p w14:paraId="2E9E5B86">
            <w:pPr>
              <w:pStyle w:val="85"/>
              <w:rPr>
                <w:color w:val="auto"/>
                <w:sz w:val="22"/>
                <w:szCs w:val="22"/>
              </w:rPr>
            </w:pPr>
          </w:p>
        </w:tc>
      </w:tr>
      <w:tr w14:paraId="499948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91" w:type="dxa"/>
            <w:vAlign w:val="center"/>
          </w:tcPr>
          <w:p w14:paraId="346A146B">
            <w:pPr>
              <w:pStyle w:val="85"/>
              <w:rPr>
                <w:color w:val="auto"/>
                <w:sz w:val="22"/>
                <w:szCs w:val="22"/>
              </w:rPr>
            </w:pPr>
            <w:r>
              <w:rPr>
                <w:color w:val="auto"/>
                <w:sz w:val="22"/>
                <w:szCs w:val="22"/>
              </w:rPr>
              <w:t>Урок 18</w:t>
            </w:r>
          </w:p>
        </w:tc>
        <w:tc>
          <w:tcPr>
            <w:tcW w:w="6405" w:type="dxa"/>
            <w:vAlign w:val="center"/>
          </w:tcPr>
          <w:p w14:paraId="183D37D4">
            <w:pPr>
              <w:pStyle w:val="85"/>
              <w:jc w:val="both"/>
              <w:rPr>
                <w:color w:val="auto"/>
                <w:sz w:val="22"/>
                <w:szCs w:val="22"/>
              </w:rPr>
            </w:pPr>
            <w:r>
              <w:rPr>
                <w:color w:val="auto"/>
                <w:sz w:val="22"/>
                <w:szCs w:val="22"/>
              </w:rPr>
              <w:t>Резервный урок. Культура народов России. Фольклор народов России</w:t>
            </w:r>
          </w:p>
        </w:tc>
        <w:tc>
          <w:tcPr>
            <w:tcW w:w="1473" w:type="dxa"/>
            <w:vAlign w:val="center"/>
          </w:tcPr>
          <w:p w14:paraId="540D0FD4">
            <w:pPr>
              <w:pStyle w:val="85"/>
              <w:rPr>
                <w:color w:val="auto"/>
                <w:sz w:val="22"/>
                <w:szCs w:val="22"/>
              </w:rPr>
            </w:pPr>
          </w:p>
        </w:tc>
      </w:tr>
      <w:tr w14:paraId="13C8BF62">
        <w:tblPrEx>
          <w:tblCellMar>
            <w:top w:w="102" w:type="dxa"/>
            <w:left w:w="62" w:type="dxa"/>
            <w:bottom w:w="102" w:type="dxa"/>
            <w:right w:w="62" w:type="dxa"/>
          </w:tblCellMar>
        </w:tblPrEx>
        <w:tc>
          <w:tcPr>
            <w:tcW w:w="1191" w:type="dxa"/>
            <w:vAlign w:val="center"/>
          </w:tcPr>
          <w:p w14:paraId="1FB115D1">
            <w:pPr>
              <w:pStyle w:val="85"/>
              <w:rPr>
                <w:color w:val="auto"/>
                <w:sz w:val="22"/>
                <w:szCs w:val="22"/>
              </w:rPr>
            </w:pPr>
            <w:r>
              <w:rPr>
                <w:color w:val="auto"/>
                <w:sz w:val="22"/>
                <w:szCs w:val="22"/>
              </w:rPr>
              <w:t>Урок 19</w:t>
            </w:r>
          </w:p>
        </w:tc>
        <w:tc>
          <w:tcPr>
            <w:tcW w:w="6405" w:type="dxa"/>
            <w:vAlign w:val="center"/>
          </w:tcPr>
          <w:p w14:paraId="7E84011C">
            <w:pPr>
              <w:pStyle w:val="85"/>
              <w:jc w:val="both"/>
              <w:rPr>
                <w:color w:val="auto"/>
                <w:sz w:val="22"/>
                <w:szCs w:val="22"/>
              </w:rPr>
            </w:pPr>
            <w:r>
              <w:rPr>
                <w:color w:val="auto"/>
                <w:sz w:val="22"/>
                <w:szCs w:val="22"/>
              </w:rPr>
              <w:t>Резервный урок. Культура народов России. Декоративное искусство народов России</w:t>
            </w:r>
          </w:p>
        </w:tc>
        <w:tc>
          <w:tcPr>
            <w:tcW w:w="1473" w:type="dxa"/>
            <w:vAlign w:val="center"/>
          </w:tcPr>
          <w:p w14:paraId="4B820E96">
            <w:pPr>
              <w:pStyle w:val="85"/>
              <w:rPr>
                <w:color w:val="auto"/>
                <w:sz w:val="22"/>
                <w:szCs w:val="22"/>
              </w:rPr>
            </w:pPr>
          </w:p>
        </w:tc>
      </w:tr>
      <w:tr w14:paraId="44F62B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91" w:type="dxa"/>
            <w:vAlign w:val="center"/>
          </w:tcPr>
          <w:p w14:paraId="78664899">
            <w:pPr>
              <w:pStyle w:val="85"/>
              <w:rPr>
                <w:color w:val="auto"/>
                <w:sz w:val="22"/>
                <w:szCs w:val="22"/>
              </w:rPr>
            </w:pPr>
            <w:r>
              <w:rPr>
                <w:color w:val="auto"/>
                <w:sz w:val="22"/>
                <w:szCs w:val="22"/>
              </w:rPr>
              <w:t>Урок 20</w:t>
            </w:r>
          </w:p>
        </w:tc>
        <w:tc>
          <w:tcPr>
            <w:tcW w:w="6405" w:type="dxa"/>
            <w:vAlign w:val="center"/>
          </w:tcPr>
          <w:p w14:paraId="4864DC71">
            <w:pPr>
              <w:pStyle w:val="85"/>
              <w:jc w:val="both"/>
              <w:rPr>
                <w:color w:val="auto"/>
                <w:sz w:val="22"/>
                <w:szCs w:val="22"/>
              </w:rPr>
            </w:pPr>
            <w:r>
              <w:rPr>
                <w:color w:val="auto"/>
                <w:sz w:val="22"/>
                <w:szCs w:val="22"/>
              </w:rPr>
              <w:t>Что такое окружающий мир. Что природа дает человеку?</w:t>
            </w:r>
          </w:p>
        </w:tc>
        <w:tc>
          <w:tcPr>
            <w:tcW w:w="1473" w:type="dxa"/>
            <w:vAlign w:val="center"/>
          </w:tcPr>
          <w:p w14:paraId="2F6E5C36">
            <w:pPr>
              <w:pStyle w:val="85"/>
              <w:rPr>
                <w:color w:val="auto"/>
                <w:sz w:val="22"/>
                <w:szCs w:val="22"/>
              </w:rPr>
            </w:pPr>
          </w:p>
        </w:tc>
      </w:tr>
      <w:tr w14:paraId="16C7B0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91" w:type="dxa"/>
            <w:vAlign w:val="center"/>
          </w:tcPr>
          <w:p w14:paraId="0906A4D3">
            <w:pPr>
              <w:pStyle w:val="85"/>
              <w:rPr>
                <w:color w:val="auto"/>
                <w:sz w:val="22"/>
                <w:szCs w:val="22"/>
              </w:rPr>
            </w:pPr>
            <w:r>
              <w:rPr>
                <w:color w:val="auto"/>
                <w:sz w:val="22"/>
                <w:szCs w:val="22"/>
              </w:rPr>
              <w:t>Урок 21</w:t>
            </w:r>
          </w:p>
        </w:tc>
        <w:tc>
          <w:tcPr>
            <w:tcW w:w="6405" w:type="dxa"/>
            <w:vAlign w:val="center"/>
          </w:tcPr>
          <w:p w14:paraId="238CEC43">
            <w:pPr>
              <w:pStyle w:val="85"/>
              <w:jc w:val="both"/>
              <w:rPr>
                <w:color w:val="auto"/>
                <w:sz w:val="22"/>
                <w:szCs w:val="22"/>
              </w:rPr>
            </w:pPr>
            <w:r>
              <w:rPr>
                <w:color w:val="auto"/>
                <w:sz w:val="22"/>
                <w:szCs w:val="22"/>
              </w:rPr>
              <w:t>Значение природы в жизни людей: природа кормит, лечит</w:t>
            </w:r>
          </w:p>
        </w:tc>
        <w:tc>
          <w:tcPr>
            <w:tcW w:w="1473" w:type="dxa"/>
            <w:vAlign w:val="center"/>
          </w:tcPr>
          <w:p w14:paraId="4881A3F1">
            <w:pPr>
              <w:pStyle w:val="85"/>
              <w:rPr>
                <w:color w:val="auto"/>
                <w:sz w:val="22"/>
                <w:szCs w:val="22"/>
              </w:rPr>
            </w:pPr>
          </w:p>
        </w:tc>
      </w:tr>
      <w:tr w14:paraId="4345E7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91" w:type="dxa"/>
            <w:vAlign w:val="center"/>
          </w:tcPr>
          <w:p w14:paraId="45D4CE5E">
            <w:pPr>
              <w:pStyle w:val="85"/>
              <w:rPr>
                <w:color w:val="auto"/>
                <w:sz w:val="22"/>
                <w:szCs w:val="22"/>
              </w:rPr>
            </w:pPr>
            <w:r>
              <w:rPr>
                <w:color w:val="auto"/>
                <w:sz w:val="22"/>
                <w:szCs w:val="22"/>
              </w:rPr>
              <w:t>Урок 22</w:t>
            </w:r>
          </w:p>
        </w:tc>
        <w:tc>
          <w:tcPr>
            <w:tcW w:w="6405" w:type="dxa"/>
            <w:vAlign w:val="center"/>
          </w:tcPr>
          <w:p w14:paraId="37479FBF">
            <w:pPr>
              <w:pStyle w:val="85"/>
              <w:jc w:val="both"/>
              <w:rPr>
                <w:color w:val="auto"/>
                <w:sz w:val="22"/>
                <w:szCs w:val="22"/>
              </w:rPr>
            </w:pPr>
            <w:r>
              <w:rPr>
                <w:color w:val="auto"/>
                <w:sz w:val="22"/>
                <w:szCs w:val="22"/>
              </w:rPr>
              <w:t>Природа и человек. Природные материалы и изделия из них. Наше творчество</w:t>
            </w:r>
          </w:p>
        </w:tc>
        <w:tc>
          <w:tcPr>
            <w:tcW w:w="1473" w:type="dxa"/>
            <w:vAlign w:val="center"/>
          </w:tcPr>
          <w:p w14:paraId="260F6A52">
            <w:pPr>
              <w:pStyle w:val="85"/>
              <w:rPr>
                <w:color w:val="auto"/>
                <w:sz w:val="22"/>
                <w:szCs w:val="22"/>
              </w:rPr>
            </w:pPr>
          </w:p>
        </w:tc>
      </w:tr>
      <w:tr w14:paraId="7C8AA9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91" w:type="dxa"/>
            <w:vAlign w:val="center"/>
          </w:tcPr>
          <w:p w14:paraId="44A7DBA4">
            <w:pPr>
              <w:pStyle w:val="85"/>
              <w:rPr>
                <w:color w:val="auto"/>
                <w:sz w:val="22"/>
                <w:szCs w:val="22"/>
              </w:rPr>
            </w:pPr>
            <w:r>
              <w:rPr>
                <w:color w:val="auto"/>
                <w:sz w:val="22"/>
                <w:szCs w:val="22"/>
              </w:rPr>
              <w:t>Урок 23</w:t>
            </w:r>
          </w:p>
        </w:tc>
        <w:tc>
          <w:tcPr>
            <w:tcW w:w="6405" w:type="dxa"/>
            <w:vAlign w:val="center"/>
          </w:tcPr>
          <w:p w14:paraId="5AD35DF2">
            <w:pPr>
              <w:pStyle w:val="85"/>
              <w:jc w:val="both"/>
              <w:rPr>
                <w:color w:val="auto"/>
                <w:sz w:val="22"/>
                <w:szCs w:val="22"/>
              </w:rPr>
            </w:pPr>
            <w:r>
              <w:rPr>
                <w:color w:val="auto"/>
                <w:sz w:val="22"/>
                <w:szCs w:val="22"/>
              </w:rPr>
              <w:t>Явления и объекты неживой природы</w:t>
            </w:r>
          </w:p>
        </w:tc>
        <w:tc>
          <w:tcPr>
            <w:tcW w:w="1473" w:type="dxa"/>
            <w:vAlign w:val="center"/>
          </w:tcPr>
          <w:p w14:paraId="6C3C5A6A">
            <w:pPr>
              <w:pStyle w:val="85"/>
              <w:rPr>
                <w:color w:val="auto"/>
                <w:sz w:val="22"/>
                <w:szCs w:val="22"/>
              </w:rPr>
            </w:pPr>
          </w:p>
        </w:tc>
      </w:tr>
      <w:tr w14:paraId="5E1BB8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91" w:type="dxa"/>
            <w:vAlign w:val="center"/>
          </w:tcPr>
          <w:p w14:paraId="37971436">
            <w:pPr>
              <w:pStyle w:val="85"/>
              <w:rPr>
                <w:color w:val="auto"/>
                <w:sz w:val="22"/>
                <w:szCs w:val="22"/>
              </w:rPr>
            </w:pPr>
            <w:r>
              <w:rPr>
                <w:color w:val="auto"/>
                <w:sz w:val="22"/>
                <w:szCs w:val="22"/>
              </w:rPr>
              <w:t>Урок 24</w:t>
            </w:r>
          </w:p>
        </w:tc>
        <w:tc>
          <w:tcPr>
            <w:tcW w:w="6405" w:type="dxa"/>
            <w:vAlign w:val="center"/>
          </w:tcPr>
          <w:p w14:paraId="67794A75">
            <w:pPr>
              <w:pStyle w:val="85"/>
              <w:jc w:val="both"/>
              <w:rPr>
                <w:color w:val="auto"/>
                <w:sz w:val="22"/>
                <w:szCs w:val="22"/>
              </w:rPr>
            </w:pPr>
            <w:r>
              <w:rPr>
                <w:color w:val="auto"/>
                <w:sz w:val="22"/>
                <w:szCs w:val="22"/>
              </w:rPr>
              <w:t>Объекты живой природы. Сравнение объектов неживой и живой природы: выделение различий</w:t>
            </w:r>
          </w:p>
        </w:tc>
        <w:tc>
          <w:tcPr>
            <w:tcW w:w="1473" w:type="dxa"/>
            <w:vAlign w:val="center"/>
          </w:tcPr>
          <w:p w14:paraId="212EE976">
            <w:pPr>
              <w:pStyle w:val="85"/>
              <w:jc w:val="center"/>
              <w:rPr>
                <w:color w:val="auto"/>
                <w:sz w:val="22"/>
                <w:szCs w:val="22"/>
              </w:rPr>
            </w:pPr>
            <w:r>
              <w:rPr>
                <w:color w:val="auto"/>
                <w:sz w:val="22"/>
                <w:szCs w:val="22"/>
              </w:rPr>
              <w:t>1</w:t>
            </w:r>
          </w:p>
        </w:tc>
      </w:tr>
      <w:tr w14:paraId="725B93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91" w:type="dxa"/>
            <w:vAlign w:val="center"/>
          </w:tcPr>
          <w:p w14:paraId="1FE6E5C6">
            <w:pPr>
              <w:pStyle w:val="85"/>
              <w:rPr>
                <w:color w:val="auto"/>
                <w:sz w:val="22"/>
                <w:szCs w:val="22"/>
              </w:rPr>
            </w:pPr>
            <w:r>
              <w:rPr>
                <w:color w:val="auto"/>
                <w:sz w:val="22"/>
                <w:szCs w:val="22"/>
              </w:rPr>
              <w:t>Урок 25</w:t>
            </w:r>
          </w:p>
        </w:tc>
        <w:tc>
          <w:tcPr>
            <w:tcW w:w="6405" w:type="dxa"/>
            <w:vAlign w:val="center"/>
          </w:tcPr>
          <w:p w14:paraId="01F55156">
            <w:pPr>
              <w:pStyle w:val="85"/>
              <w:jc w:val="both"/>
              <w:rPr>
                <w:color w:val="auto"/>
                <w:sz w:val="22"/>
                <w:szCs w:val="22"/>
              </w:rPr>
            </w:pPr>
            <w:r>
              <w:rPr>
                <w:color w:val="auto"/>
                <w:sz w:val="22"/>
                <w:szCs w:val="22"/>
              </w:rPr>
              <w:t>Наблюдаем за погодой. Анализ результатов наблюдений</w:t>
            </w:r>
          </w:p>
        </w:tc>
        <w:tc>
          <w:tcPr>
            <w:tcW w:w="1473" w:type="dxa"/>
            <w:vAlign w:val="center"/>
          </w:tcPr>
          <w:p w14:paraId="19E39685">
            <w:pPr>
              <w:pStyle w:val="85"/>
              <w:rPr>
                <w:color w:val="auto"/>
                <w:sz w:val="22"/>
                <w:szCs w:val="22"/>
              </w:rPr>
            </w:pPr>
          </w:p>
        </w:tc>
      </w:tr>
      <w:tr w14:paraId="33E756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91" w:type="dxa"/>
            <w:vAlign w:val="center"/>
          </w:tcPr>
          <w:p w14:paraId="5D969FF7">
            <w:pPr>
              <w:pStyle w:val="85"/>
              <w:rPr>
                <w:color w:val="auto"/>
                <w:sz w:val="22"/>
                <w:szCs w:val="22"/>
              </w:rPr>
            </w:pPr>
            <w:r>
              <w:rPr>
                <w:color w:val="auto"/>
                <w:sz w:val="22"/>
                <w:szCs w:val="22"/>
              </w:rPr>
              <w:t>Урок 26</w:t>
            </w:r>
          </w:p>
        </w:tc>
        <w:tc>
          <w:tcPr>
            <w:tcW w:w="6405" w:type="dxa"/>
            <w:vAlign w:val="center"/>
          </w:tcPr>
          <w:p w14:paraId="6B74CD53">
            <w:pPr>
              <w:pStyle w:val="85"/>
              <w:jc w:val="both"/>
              <w:rPr>
                <w:color w:val="auto"/>
                <w:sz w:val="22"/>
                <w:szCs w:val="22"/>
              </w:rPr>
            </w:pPr>
            <w:r>
              <w:rPr>
                <w:color w:val="auto"/>
                <w:sz w:val="22"/>
                <w:szCs w:val="22"/>
              </w:rPr>
              <w:t>Что такое термометр. Измерение температуры воздуха и воды как способы определения состояния погоды</w:t>
            </w:r>
          </w:p>
        </w:tc>
        <w:tc>
          <w:tcPr>
            <w:tcW w:w="1473" w:type="dxa"/>
            <w:vAlign w:val="center"/>
          </w:tcPr>
          <w:p w14:paraId="41FE32C5">
            <w:pPr>
              <w:pStyle w:val="85"/>
              <w:rPr>
                <w:color w:val="auto"/>
                <w:sz w:val="22"/>
                <w:szCs w:val="22"/>
              </w:rPr>
            </w:pPr>
          </w:p>
        </w:tc>
      </w:tr>
      <w:tr w14:paraId="233A5B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91" w:type="dxa"/>
            <w:vAlign w:val="center"/>
          </w:tcPr>
          <w:p w14:paraId="5AFB8638">
            <w:pPr>
              <w:pStyle w:val="85"/>
              <w:rPr>
                <w:color w:val="auto"/>
                <w:sz w:val="22"/>
                <w:szCs w:val="22"/>
              </w:rPr>
            </w:pPr>
            <w:r>
              <w:rPr>
                <w:color w:val="auto"/>
                <w:sz w:val="22"/>
                <w:szCs w:val="22"/>
              </w:rPr>
              <w:t>Урок 27</w:t>
            </w:r>
          </w:p>
        </w:tc>
        <w:tc>
          <w:tcPr>
            <w:tcW w:w="6405" w:type="dxa"/>
            <w:vAlign w:val="center"/>
          </w:tcPr>
          <w:p w14:paraId="64FB1BC2">
            <w:pPr>
              <w:pStyle w:val="85"/>
              <w:jc w:val="both"/>
              <w:rPr>
                <w:color w:val="auto"/>
                <w:sz w:val="22"/>
                <w:szCs w:val="22"/>
              </w:rPr>
            </w:pPr>
            <w:r>
              <w:rPr>
                <w:color w:val="auto"/>
                <w:sz w:val="22"/>
                <w:szCs w:val="22"/>
              </w:rPr>
              <w:t>Практические занятия: измерение температуры воздуха и воды в разных условиях (в комнате, на улице)</w:t>
            </w:r>
          </w:p>
        </w:tc>
        <w:tc>
          <w:tcPr>
            <w:tcW w:w="1473" w:type="dxa"/>
            <w:vAlign w:val="center"/>
          </w:tcPr>
          <w:p w14:paraId="552602F9">
            <w:pPr>
              <w:pStyle w:val="85"/>
              <w:rPr>
                <w:color w:val="auto"/>
                <w:sz w:val="22"/>
                <w:szCs w:val="22"/>
              </w:rPr>
            </w:pPr>
          </w:p>
        </w:tc>
      </w:tr>
      <w:tr w14:paraId="29EEFC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91" w:type="dxa"/>
            <w:vAlign w:val="center"/>
          </w:tcPr>
          <w:p w14:paraId="05AA13D6">
            <w:pPr>
              <w:pStyle w:val="85"/>
              <w:rPr>
                <w:color w:val="auto"/>
                <w:sz w:val="22"/>
                <w:szCs w:val="22"/>
              </w:rPr>
            </w:pPr>
            <w:r>
              <w:rPr>
                <w:color w:val="auto"/>
                <w:sz w:val="22"/>
                <w:szCs w:val="22"/>
              </w:rPr>
              <w:t>Урок 28</w:t>
            </w:r>
          </w:p>
        </w:tc>
        <w:tc>
          <w:tcPr>
            <w:tcW w:w="6405" w:type="dxa"/>
            <w:vAlign w:val="center"/>
          </w:tcPr>
          <w:p w14:paraId="10A21CDD">
            <w:pPr>
              <w:pStyle w:val="85"/>
              <w:jc w:val="both"/>
              <w:rPr>
                <w:color w:val="auto"/>
                <w:sz w:val="22"/>
                <w:szCs w:val="22"/>
              </w:rPr>
            </w:pPr>
            <w:r>
              <w:rPr>
                <w:color w:val="auto"/>
                <w:sz w:val="22"/>
                <w:szCs w:val="22"/>
              </w:rPr>
              <w:t>Времена года: наблюдения за особенностью погоды, жизнью растительного и животного мира осенью</w:t>
            </w:r>
          </w:p>
        </w:tc>
        <w:tc>
          <w:tcPr>
            <w:tcW w:w="1473" w:type="dxa"/>
            <w:vAlign w:val="center"/>
          </w:tcPr>
          <w:p w14:paraId="31DFC6EB">
            <w:pPr>
              <w:pStyle w:val="85"/>
              <w:rPr>
                <w:color w:val="auto"/>
                <w:sz w:val="22"/>
                <w:szCs w:val="22"/>
              </w:rPr>
            </w:pPr>
          </w:p>
        </w:tc>
      </w:tr>
      <w:tr w14:paraId="30A9B9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91" w:type="dxa"/>
            <w:vAlign w:val="center"/>
          </w:tcPr>
          <w:p w14:paraId="71154374">
            <w:pPr>
              <w:pStyle w:val="85"/>
              <w:rPr>
                <w:color w:val="auto"/>
                <w:sz w:val="22"/>
                <w:szCs w:val="22"/>
              </w:rPr>
            </w:pPr>
            <w:r>
              <w:rPr>
                <w:color w:val="auto"/>
                <w:sz w:val="22"/>
                <w:szCs w:val="22"/>
              </w:rPr>
              <w:t>Урок 29</w:t>
            </w:r>
          </w:p>
        </w:tc>
        <w:tc>
          <w:tcPr>
            <w:tcW w:w="6405" w:type="dxa"/>
            <w:vAlign w:val="center"/>
          </w:tcPr>
          <w:p w14:paraId="54BD8594">
            <w:pPr>
              <w:pStyle w:val="85"/>
              <w:jc w:val="both"/>
              <w:rPr>
                <w:color w:val="auto"/>
                <w:sz w:val="22"/>
                <w:szCs w:val="22"/>
              </w:rPr>
            </w:pPr>
            <w:r>
              <w:rPr>
                <w:color w:val="auto"/>
                <w:sz w:val="22"/>
                <w:szCs w:val="22"/>
              </w:rPr>
              <w:t>Времена года: наблюдения за особенностью погоды, жизнью растительного и животного мира зимой</w:t>
            </w:r>
          </w:p>
        </w:tc>
        <w:tc>
          <w:tcPr>
            <w:tcW w:w="1473" w:type="dxa"/>
            <w:vAlign w:val="center"/>
          </w:tcPr>
          <w:p w14:paraId="2E9C3E7C">
            <w:pPr>
              <w:pStyle w:val="85"/>
              <w:rPr>
                <w:color w:val="auto"/>
                <w:sz w:val="22"/>
                <w:szCs w:val="22"/>
              </w:rPr>
            </w:pPr>
          </w:p>
        </w:tc>
      </w:tr>
      <w:tr w14:paraId="04D32B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91" w:type="dxa"/>
            <w:vAlign w:val="center"/>
          </w:tcPr>
          <w:p w14:paraId="44CCB932">
            <w:pPr>
              <w:pStyle w:val="85"/>
              <w:rPr>
                <w:color w:val="auto"/>
                <w:sz w:val="22"/>
                <w:szCs w:val="22"/>
              </w:rPr>
            </w:pPr>
            <w:r>
              <w:rPr>
                <w:color w:val="auto"/>
                <w:sz w:val="22"/>
                <w:szCs w:val="22"/>
              </w:rPr>
              <w:t>Урок 30</w:t>
            </w:r>
          </w:p>
        </w:tc>
        <w:tc>
          <w:tcPr>
            <w:tcW w:w="6405" w:type="dxa"/>
            <w:vAlign w:val="center"/>
          </w:tcPr>
          <w:p w14:paraId="0C8221A2">
            <w:pPr>
              <w:pStyle w:val="85"/>
              <w:jc w:val="both"/>
              <w:rPr>
                <w:color w:val="auto"/>
                <w:sz w:val="22"/>
                <w:szCs w:val="22"/>
              </w:rPr>
            </w:pPr>
            <w:r>
              <w:rPr>
                <w:color w:val="auto"/>
                <w:sz w:val="22"/>
                <w:szCs w:val="22"/>
              </w:rPr>
              <w:t>Времена года: наблюдения за особенностью погоды, жизнью растительного и животного мира весной</w:t>
            </w:r>
          </w:p>
        </w:tc>
        <w:tc>
          <w:tcPr>
            <w:tcW w:w="1473" w:type="dxa"/>
            <w:vAlign w:val="center"/>
          </w:tcPr>
          <w:p w14:paraId="39756B0F">
            <w:pPr>
              <w:pStyle w:val="85"/>
              <w:rPr>
                <w:color w:val="auto"/>
                <w:sz w:val="22"/>
                <w:szCs w:val="22"/>
              </w:rPr>
            </w:pPr>
          </w:p>
        </w:tc>
      </w:tr>
      <w:tr w14:paraId="2113B6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91" w:type="dxa"/>
            <w:vAlign w:val="center"/>
          </w:tcPr>
          <w:p w14:paraId="713EA3A8">
            <w:pPr>
              <w:pStyle w:val="85"/>
              <w:rPr>
                <w:color w:val="auto"/>
                <w:sz w:val="22"/>
                <w:szCs w:val="22"/>
              </w:rPr>
            </w:pPr>
            <w:r>
              <w:rPr>
                <w:color w:val="auto"/>
                <w:sz w:val="22"/>
                <w:szCs w:val="22"/>
              </w:rPr>
              <w:t>Урок 31</w:t>
            </w:r>
          </w:p>
        </w:tc>
        <w:tc>
          <w:tcPr>
            <w:tcW w:w="6405" w:type="dxa"/>
            <w:vAlign w:val="center"/>
          </w:tcPr>
          <w:p w14:paraId="1A040165">
            <w:pPr>
              <w:pStyle w:val="85"/>
              <w:jc w:val="both"/>
              <w:rPr>
                <w:color w:val="auto"/>
                <w:sz w:val="22"/>
                <w:szCs w:val="22"/>
              </w:rPr>
            </w:pPr>
            <w:r>
              <w:rPr>
                <w:color w:val="auto"/>
                <w:sz w:val="22"/>
                <w:szCs w:val="22"/>
              </w:rPr>
              <w:t>Труд и быт людей в разные времена года</w:t>
            </w:r>
          </w:p>
        </w:tc>
        <w:tc>
          <w:tcPr>
            <w:tcW w:w="1473" w:type="dxa"/>
            <w:vAlign w:val="center"/>
          </w:tcPr>
          <w:p w14:paraId="0229598D">
            <w:pPr>
              <w:pStyle w:val="85"/>
              <w:rPr>
                <w:color w:val="auto"/>
                <w:sz w:val="22"/>
                <w:szCs w:val="22"/>
              </w:rPr>
            </w:pPr>
          </w:p>
        </w:tc>
      </w:tr>
      <w:tr w14:paraId="43A371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91" w:type="dxa"/>
            <w:vAlign w:val="center"/>
          </w:tcPr>
          <w:p w14:paraId="34E69099">
            <w:pPr>
              <w:pStyle w:val="85"/>
              <w:rPr>
                <w:color w:val="auto"/>
                <w:sz w:val="22"/>
                <w:szCs w:val="22"/>
              </w:rPr>
            </w:pPr>
            <w:r>
              <w:rPr>
                <w:color w:val="auto"/>
                <w:sz w:val="22"/>
                <w:szCs w:val="22"/>
              </w:rPr>
              <w:t>Урок 32</w:t>
            </w:r>
          </w:p>
        </w:tc>
        <w:tc>
          <w:tcPr>
            <w:tcW w:w="6405" w:type="dxa"/>
            <w:vAlign w:val="center"/>
          </w:tcPr>
          <w:p w14:paraId="3833F25E">
            <w:pPr>
              <w:pStyle w:val="85"/>
              <w:jc w:val="both"/>
              <w:rPr>
                <w:color w:val="auto"/>
                <w:sz w:val="22"/>
                <w:szCs w:val="22"/>
              </w:rPr>
            </w:pPr>
            <w:r>
              <w:rPr>
                <w:color w:val="auto"/>
                <w:sz w:val="22"/>
                <w:szCs w:val="22"/>
              </w:rPr>
              <w:t>Прогулки на природе. Правила поведения</w:t>
            </w:r>
          </w:p>
        </w:tc>
        <w:tc>
          <w:tcPr>
            <w:tcW w:w="1473" w:type="dxa"/>
            <w:vAlign w:val="center"/>
          </w:tcPr>
          <w:p w14:paraId="574A92E6">
            <w:pPr>
              <w:pStyle w:val="85"/>
              <w:rPr>
                <w:color w:val="auto"/>
                <w:sz w:val="22"/>
                <w:szCs w:val="22"/>
              </w:rPr>
            </w:pPr>
          </w:p>
        </w:tc>
      </w:tr>
      <w:tr w14:paraId="483E2A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91" w:type="dxa"/>
            <w:vAlign w:val="center"/>
          </w:tcPr>
          <w:p w14:paraId="2C04E5B8">
            <w:pPr>
              <w:pStyle w:val="85"/>
              <w:rPr>
                <w:color w:val="auto"/>
                <w:sz w:val="22"/>
                <w:szCs w:val="22"/>
              </w:rPr>
            </w:pPr>
            <w:r>
              <w:rPr>
                <w:color w:val="auto"/>
                <w:sz w:val="22"/>
                <w:szCs w:val="22"/>
              </w:rPr>
              <w:t>Урок 33</w:t>
            </w:r>
          </w:p>
        </w:tc>
        <w:tc>
          <w:tcPr>
            <w:tcW w:w="6405" w:type="dxa"/>
            <w:vAlign w:val="center"/>
          </w:tcPr>
          <w:p w14:paraId="0F257C04">
            <w:pPr>
              <w:pStyle w:val="85"/>
              <w:jc w:val="both"/>
              <w:rPr>
                <w:color w:val="auto"/>
                <w:sz w:val="22"/>
                <w:szCs w:val="22"/>
              </w:rPr>
            </w:pPr>
            <w:r>
              <w:rPr>
                <w:color w:val="auto"/>
                <w:sz w:val="22"/>
                <w:szCs w:val="22"/>
              </w:rPr>
              <w:t>Что мы знаем о растениях?</w:t>
            </w:r>
          </w:p>
        </w:tc>
        <w:tc>
          <w:tcPr>
            <w:tcW w:w="1473" w:type="dxa"/>
            <w:vAlign w:val="center"/>
          </w:tcPr>
          <w:p w14:paraId="6FA060E3">
            <w:pPr>
              <w:pStyle w:val="85"/>
              <w:rPr>
                <w:color w:val="auto"/>
                <w:sz w:val="22"/>
                <w:szCs w:val="22"/>
              </w:rPr>
            </w:pPr>
          </w:p>
        </w:tc>
      </w:tr>
      <w:tr w14:paraId="205CA7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91" w:type="dxa"/>
            <w:vAlign w:val="center"/>
          </w:tcPr>
          <w:p w14:paraId="1DA922F2">
            <w:pPr>
              <w:pStyle w:val="85"/>
              <w:rPr>
                <w:color w:val="auto"/>
                <w:sz w:val="22"/>
                <w:szCs w:val="22"/>
              </w:rPr>
            </w:pPr>
            <w:r>
              <w:rPr>
                <w:color w:val="auto"/>
                <w:sz w:val="22"/>
                <w:szCs w:val="22"/>
              </w:rPr>
              <w:t>Урок 34</w:t>
            </w:r>
          </w:p>
        </w:tc>
        <w:tc>
          <w:tcPr>
            <w:tcW w:w="6405" w:type="dxa"/>
            <w:vAlign w:val="center"/>
          </w:tcPr>
          <w:p w14:paraId="4214217D">
            <w:pPr>
              <w:pStyle w:val="85"/>
              <w:jc w:val="both"/>
              <w:rPr>
                <w:color w:val="auto"/>
                <w:sz w:val="22"/>
                <w:szCs w:val="22"/>
              </w:rPr>
            </w:pPr>
            <w:r>
              <w:rPr>
                <w:color w:val="auto"/>
                <w:sz w:val="22"/>
                <w:szCs w:val="22"/>
              </w:rPr>
              <w:t>Особенности лиственных растений: узнавание, краткое описание. Лиственные растения нашего края</w:t>
            </w:r>
          </w:p>
        </w:tc>
        <w:tc>
          <w:tcPr>
            <w:tcW w:w="1473" w:type="dxa"/>
            <w:vAlign w:val="center"/>
          </w:tcPr>
          <w:p w14:paraId="23077363">
            <w:pPr>
              <w:pStyle w:val="85"/>
              <w:rPr>
                <w:color w:val="auto"/>
                <w:sz w:val="22"/>
                <w:szCs w:val="22"/>
              </w:rPr>
            </w:pPr>
          </w:p>
        </w:tc>
      </w:tr>
      <w:tr w14:paraId="76EBEF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91" w:type="dxa"/>
            <w:vAlign w:val="center"/>
          </w:tcPr>
          <w:p w14:paraId="4A9333F8">
            <w:pPr>
              <w:pStyle w:val="85"/>
              <w:rPr>
                <w:color w:val="auto"/>
                <w:sz w:val="22"/>
                <w:szCs w:val="22"/>
              </w:rPr>
            </w:pPr>
            <w:r>
              <w:rPr>
                <w:color w:val="auto"/>
                <w:sz w:val="22"/>
                <w:szCs w:val="22"/>
              </w:rPr>
              <w:t>Урок 35</w:t>
            </w:r>
          </w:p>
        </w:tc>
        <w:tc>
          <w:tcPr>
            <w:tcW w:w="6405" w:type="dxa"/>
            <w:vAlign w:val="center"/>
          </w:tcPr>
          <w:p w14:paraId="412A2AAD">
            <w:pPr>
              <w:pStyle w:val="85"/>
              <w:jc w:val="both"/>
              <w:rPr>
                <w:color w:val="auto"/>
                <w:sz w:val="22"/>
                <w:szCs w:val="22"/>
              </w:rPr>
            </w:pPr>
            <w:r>
              <w:rPr>
                <w:color w:val="auto"/>
                <w:sz w:val="22"/>
                <w:szCs w:val="22"/>
              </w:rPr>
              <w:t>Особенности хвойных растений: узнавание, краткое описание. Хвойные растения нашего края</w:t>
            </w:r>
          </w:p>
        </w:tc>
        <w:tc>
          <w:tcPr>
            <w:tcW w:w="1473" w:type="dxa"/>
            <w:vAlign w:val="center"/>
          </w:tcPr>
          <w:p w14:paraId="1347AD95">
            <w:pPr>
              <w:pStyle w:val="85"/>
              <w:rPr>
                <w:color w:val="auto"/>
                <w:sz w:val="22"/>
                <w:szCs w:val="22"/>
              </w:rPr>
            </w:pPr>
          </w:p>
        </w:tc>
      </w:tr>
      <w:tr w14:paraId="169BFE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91" w:type="dxa"/>
            <w:vAlign w:val="center"/>
          </w:tcPr>
          <w:p w14:paraId="30E3254C">
            <w:pPr>
              <w:pStyle w:val="85"/>
              <w:rPr>
                <w:color w:val="auto"/>
                <w:sz w:val="22"/>
                <w:szCs w:val="22"/>
              </w:rPr>
            </w:pPr>
            <w:r>
              <w:rPr>
                <w:color w:val="auto"/>
                <w:sz w:val="22"/>
                <w:szCs w:val="22"/>
              </w:rPr>
              <w:t>Урок 36</w:t>
            </w:r>
          </w:p>
        </w:tc>
        <w:tc>
          <w:tcPr>
            <w:tcW w:w="6405" w:type="dxa"/>
            <w:vAlign w:val="center"/>
          </w:tcPr>
          <w:p w14:paraId="7DE1DC15">
            <w:pPr>
              <w:pStyle w:val="85"/>
              <w:jc w:val="both"/>
              <w:rPr>
                <w:color w:val="auto"/>
                <w:sz w:val="22"/>
                <w:szCs w:val="22"/>
              </w:rPr>
            </w:pPr>
            <w:r>
              <w:rPr>
                <w:color w:val="auto"/>
                <w:sz w:val="22"/>
                <w:szCs w:val="22"/>
              </w:rPr>
              <w:t>Дикорастущие и культурные растения вокруг нас. Сходство и различия дикорастущих и культурных растений</w:t>
            </w:r>
          </w:p>
        </w:tc>
        <w:tc>
          <w:tcPr>
            <w:tcW w:w="1473" w:type="dxa"/>
            <w:vAlign w:val="center"/>
          </w:tcPr>
          <w:p w14:paraId="77D5B527">
            <w:pPr>
              <w:pStyle w:val="85"/>
              <w:rPr>
                <w:color w:val="auto"/>
                <w:sz w:val="22"/>
                <w:szCs w:val="22"/>
              </w:rPr>
            </w:pPr>
          </w:p>
        </w:tc>
      </w:tr>
      <w:tr w14:paraId="3FEBCD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91" w:type="dxa"/>
            <w:vAlign w:val="center"/>
          </w:tcPr>
          <w:p w14:paraId="1BAE778F">
            <w:pPr>
              <w:pStyle w:val="85"/>
              <w:rPr>
                <w:color w:val="auto"/>
                <w:sz w:val="22"/>
                <w:szCs w:val="22"/>
              </w:rPr>
            </w:pPr>
            <w:r>
              <w:rPr>
                <w:color w:val="auto"/>
                <w:sz w:val="22"/>
                <w:szCs w:val="22"/>
              </w:rPr>
              <w:t>Урок 37</w:t>
            </w:r>
          </w:p>
        </w:tc>
        <w:tc>
          <w:tcPr>
            <w:tcW w:w="6405" w:type="dxa"/>
            <w:vAlign w:val="center"/>
          </w:tcPr>
          <w:p w14:paraId="366119E3">
            <w:pPr>
              <w:pStyle w:val="85"/>
              <w:jc w:val="both"/>
              <w:rPr>
                <w:color w:val="auto"/>
                <w:sz w:val="22"/>
                <w:szCs w:val="22"/>
              </w:rPr>
            </w:pPr>
            <w:r>
              <w:rPr>
                <w:color w:val="auto"/>
                <w:sz w:val="22"/>
                <w:szCs w:val="22"/>
              </w:rPr>
              <w:t>Как растение живет?</w:t>
            </w:r>
          </w:p>
        </w:tc>
        <w:tc>
          <w:tcPr>
            <w:tcW w:w="1473" w:type="dxa"/>
            <w:vAlign w:val="center"/>
          </w:tcPr>
          <w:p w14:paraId="7449501D">
            <w:pPr>
              <w:pStyle w:val="85"/>
              <w:rPr>
                <w:color w:val="auto"/>
                <w:sz w:val="22"/>
                <w:szCs w:val="22"/>
              </w:rPr>
            </w:pPr>
          </w:p>
        </w:tc>
      </w:tr>
      <w:tr w14:paraId="04D43C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91" w:type="dxa"/>
            <w:vAlign w:val="center"/>
          </w:tcPr>
          <w:p w14:paraId="1E97DFE8">
            <w:pPr>
              <w:pStyle w:val="85"/>
              <w:rPr>
                <w:color w:val="auto"/>
                <w:sz w:val="22"/>
                <w:szCs w:val="22"/>
              </w:rPr>
            </w:pPr>
            <w:r>
              <w:rPr>
                <w:color w:val="auto"/>
                <w:sz w:val="22"/>
                <w:szCs w:val="22"/>
              </w:rPr>
              <w:t>Урок 38</w:t>
            </w:r>
          </w:p>
        </w:tc>
        <w:tc>
          <w:tcPr>
            <w:tcW w:w="6405" w:type="dxa"/>
            <w:vAlign w:val="center"/>
          </w:tcPr>
          <w:p w14:paraId="2A4B7E84">
            <w:pPr>
              <w:pStyle w:val="85"/>
              <w:jc w:val="both"/>
              <w:rPr>
                <w:color w:val="auto"/>
                <w:sz w:val="22"/>
                <w:szCs w:val="22"/>
              </w:rPr>
            </w:pPr>
            <w:r>
              <w:rPr>
                <w:color w:val="auto"/>
                <w:sz w:val="22"/>
                <w:szCs w:val="22"/>
              </w:rPr>
              <w:t>Части растения. Название, краткая характеристика значения для жизни растения</w:t>
            </w:r>
          </w:p>
        </w:tc>
        <w:tc>
          <w:tcPr>
            <w:tcW w:w="1473" w:type="dxa"/>
            <w:vAlign w:val="center"/>
          </w:tcPr>
          <w:p w14:paraId="3155AD76">
            <w:pPr>
              <w:pStyle w:val="85"/>
              <w:jc w:val="center"/>
              <w:rPr>
                <w:color w:val="auto"/>
                <w:sz w:val="22"/>
                <w:szCs w:val="22"/>
              </w:rPr>
            </w:pPr>
            <w:r>
              <w:rPr>
                <w:color w:val="auto"/>
                <w:sz w:val="22"/>
                <w:szCs w:val="22"/>
              </w:rPr>
              <w:t>1</w:t>
            </w:r>
          </w:p>
        </w:tc>
      </w:tr>
      <w:tr w14:paraId="387FFB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91" w:type="dxa"/>
            <w:vAlign w:val="center"/>
          </w:tcPr>
          <w:p w14:paraId="366B2DE2">
            <w:pPr>
              <w:pStyle w:val="85"/>
              <w:rPr>
                <w:color w:val="auto"/>
                <w:sz w:val="22"/>
                <w:szCs w:val="22"/>
              </w:rPr>
            </w:pPr>
            <w:r>
              <w:rPr>
                <w:color w:val="auto"/>
                <w:sz w:val="22"/>
                <w:szCs w:val="22"/>
              </w:rPr>
              <w:t>Урок 39</w:t>
            </w:r>
          </w:p>
        </w:tc>
        <w:tc>
          <w:tcPr>
            <w:tcW w:w="6405" w:type="dxa"/>
            <w:vAlign w:val="center"/>
          </w:tcPr>
          <w:p w14:paraId="1EBF9D20">
            <w:pPr>
              <w:pStyle w:val="85"/>
              <w:jc w:val="both"/>
              <w:rPr>
                <w:color w:val="auto"/>
                <w:sz w:val="22"/>
                <w:szCs w:val="22"/>
              </w:rPr>
            </w:pPr>
            <w:r>
              <w:rPr>
                <w:color w:val="auto"/>
                <w:sz w:val="22"/>
                <w:szCs w:val="22"/>
              </w:rPr>
              <w:t>Растения нашего уголка природы: узнавание, называние, краткое описание</w:t>
            </w:r>
          </w:p>
        </w:tc>
        <w:tc>
          <w:tcPr>
            <w:tcW w:w="1473" w:type="dxa"/>
            <w:vAlign w:val="center"/>
          </w:tcPr>
          <w:p w14:paraId="1DFD4ABA">
            <w:pPr>
              <w:pStyle w:val="85"/>
              <w:rPr>
                <w:color w:val="auto"/>
                <w:sz w:val="22"/>
                <w:szCs w:val="22"/>
              </w:rPr>
            </w:pPr>
          </w:p>
        </w:tc>
      </w:tr>
      <w:tr w14:paraId="2729F6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91" w:type="dxa"/>
            <w:vAlign w:val="center"/>
          </w:tcPr>
          <w:p w14:paraId="6BB62417">
            <w:pPr>
              <w:pStyle w:val="85"/>
              <w:rPr>
                <w:color w:val="auto"/>
                <w:sz w:val="22"/>
                <w:szCs w:val="22"/>
              </w:rPr>
            </w:pPr>
            <w:r>
              <w:rPr>
                <w:color w:val="auto"/>
                <w:sz w:val="22"/>
                <w:szCs w:val="22"/>
              </w:rPr>
              <w:t>Урок 40</w:t>
            </w:r>
          </w:p>
        </w:tc>
        <w:tc>
          <w:tcPr>
            <w:tcW w:w="6405" w:type="dxa"/>
            <w:vAlign w:val="center"/>
          </w:tcPr>
          <w:p w14:paraId="1562C835">
            <w:pPr>
              <w:pStyle w:val="85"/>
              <w:jc w:val="both"/>
              <w:rPr>
                <w:color w:val="auto"/>
                <w:sz w:val="22"/>
                <w:szCs w:val="22"/>
              </w:rPr>
            </w:pPr>
            <w:r>
              <w:rPr>
                <w:color w:val="auto"/>
                <w:sz w:val="22"/>
                <w:szCs w:val="22"/>
              </w:rPr>
              <w:t>Комнатные растения. Растения в твоем доме: краткое описание</w:t>
            </w:r>
          </w:p>
        </w:tc>
        <w:tc>
          <w:tcPr>
            <w:tcW w:w="1473" w:type="dxa"/>
            <w:vAlign w:val="center"/>
          </w:tcPr>
          <w:p w14:paraId="271C6474">
            <w:pPr>
              <w:pStyle w:val="85"/>
              <w:rPr>
                <w:color w:val="auto"/>
                <w:sz w:val="22"/>
                <w:szCs w:val="22"/>
              </w:rPr>
            </w:pPr>
          </w:p>
        </w:tc>
      </w:tr>
      <w:tr w14:paraId="2BAFDD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91" w:type="dxa"/>
            <w:vAlign w:val="center"/>
          </w:tcPr>
          <w:p w14:paraId="14EBEE81">
            <w:pPr>
              <w:pStyle w:val="85"/>
              <w:rPr>
                <w:color w:val="auto"/>
                <w:sz w:val="22"/>
                <w:szCs w:val="22"/>
              </w:rPr>
            </w:pPr>
            <w:r>
              <w:rPr>
                <w:color w:val="auto"/>
                <w:sz w:val="22"/>
                <w:szCs w:val="22"/>
              </w:rPr>
              <w:t>Урок 41</w:t>
            </w:r>
          </w:p>
        </w:tc>
        <w:tc>
          <w:tcPr>
            <w:tcW w:w="6405" w:type="dxa"/>
            <w:vAlign w:val="center"/>
          </w:tcPr>
          <w:p w14:paraId="29CDCD6A">
            <w:pPr>
              <w:pStyle w:val="85"/>
              <w:jc w:val="both"/>
              <w:rPr>
                <w:color w:val="auto"/>
                <w:sz w:val="22"/>
                <w:szCs w:val="22"/>
              </w:rPr>
            </w:pPr>
            <w:r>
              <w:rPr>
                <w:color w:val="auto"/>
                <w:sz w:val="22"/>
                <w:szCs w:val="22"/>
              </w:rPr>
              <w:t>Как мы ухаживаем за растениями уголка природы (практическая работа)</w:t>
            </w:r>
          </w:p>
        </w:tc>
        <w:tc>
          <w:tcPr>
            <w:tcW w:w="1473" w:type="dxa"/>
            <w:vAlign w:val="center"/>
          </w:tcPr>
          <w:p w14:paraId="03C82DEF">
            <w:pPr>
              <w:pStyle w:val="85"/>
              <w:jc w:val="center"/>
              <w:rPr>
                <w:color w:val="auto"/>
                <w:sz w:val="22"/>
                <w:szCs w:val="22"/>
              </w:rPr>
            </w:pPr>
            <w:r>
              <w:rPr>
                <w:color w:val="auto"/>
                <w:sz w:val="22"/>
                <w:szCs w:val="22"/>
              </w:rPr>
              <w:t>1</w:t>
            </w:r>
          </w:p>
        </w:tc>
      </w:tr>
      <w:tr w14:paraId="221C72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91" w:type="dxa"/>
            <w:vAlign w:val="center"/>
          </w:tcPr>
          <w:p w14:paraId="199DEE70">
            <w:pPr>
              <w:pStyle w:val="85"/>
              <w:rPr>
                <w:color w:val="auto"/>
                <w:sz w:val="22"/>
                <w:szCs w:val="22"/>
              </w:rPr>
            </w:pPr>
            <w:r>
              <w:rPr>
                <w:color w:val="auto"/>
                <w:sz w:val="22"/>
                <w:szCs w:val="22"/>
              </w:rPr>
              <w:t>Урок 42</w:t>
            </w:r>
          </w:p>
        </w:tc>
        <w:tc>
          <w:tcPr>
            <w:tcW w:w="6405" w:type="dxa"/>
            <w:vAlign w:val="center"/>
          </w:tcPr>
          <w:p w14:paraId="76BE3E2F">
            <w:pPr>
              <w:pStyle w:val="85"/>
              <w:jc w:val="both"/>
              <w:rPr>
                <w:color w:val="auto"/>
                <w:sz w:val="22"/>
                <w:szCs w:val="22"/>
              </w:rPr>
            </w:pPr>
            <w:r>
              <w:rPr>
                <w:color w:val="auto"/>
                <w:sz w:val="22"/>
                <w:szCs w:val="22"/>
              </w:rPr>
              <w:t>Многообразие мира животных. Какие животные живут в нашем регионе?</w:t>
            </w:r>
          </w:p>
        </w:tc>
        <w:tc>
          <w:tcPr>
            <w:tcW w:w="1473" w:type="dxa"/>
            <w:vAlign w:val="center"/>
          </w:tcPr>
          <w:p w14:paraId="1A4F4B37">
            <w:pPr>
              <w:pStyle w:val="85"/>
              <w:rPr>
                <w:color w:val="auto"/>
                <w:sz w:val="22"/>
                <w:szCs w:val="22"/>
              </w:rPr>
            </w:pPr>
          </w:p>
        </w:tc>
      </w:tr>
      <w:tr w14:paraId="5ED027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91" w:type="dxa"/>
            <w:vAlign w:val="center"/>
          </w:tcPr>
          <w:p w14:paraId="3E7C8AB1">
            <w:pPr>
              <w:pStyle w:val="85"/>
              <w:rPr>
                <w:color w:val="auto"/>
                <w:sz w:val="22"/>
                <w:szCs w:val="22"/>
              </w:rPr>
            </w:pPr>
            <w:r>
              <w:rPr>
                <w:color w:val="auto"/>
                <w:sz w:val="22"/>
                <w:szCs w:val="22"/>
              </w:rPr>
              <w:t>Урок 43</w:t>
            </w:r>
          </w:p>
        </w:tc>
        <w:tc>
          <w:tcPr>
            <w:tcW w:w="6405" w:type="dxa"/>
            <w:vAlign w:val="center"/>
          </w:tcPr>
          <w:p w14:paraId="1F0A4CF0">
            <w:pPr>
              <w:pStyle w:val="85"/>
              <w:jc w:val="both"/>
              <w:rPr>
                <w:color w:val="auto"/>
                <w:sz w:val="22"/>
                <w:szCs w:val="22"/>
              </w:rPr>
            </w:pPr>
            <w:r>
              <w:rPr>
                <w:color w:val="auto"/>
                <w:sz w:val="22"/>
                <w:szCs w:val="22"/>
              </w:rPr>
              <w:t>Каких зверей мы знаем? Мир животных: звери (узнавание, называние, сравнение, краткое описание)</w:t>
            </w:r>
          </w:p>
        </w:tc>
        <w:tc>
          <w:tcPr>
            <w:tcW w:w="1473" w:type="dxa"/>
            <w:vAlign w:val="center"/>
          </w:tcPr>
          <w:p w14:paraId="5A0E80D2">
            <w:pPr>
              <w:pStyle w:val="85"/>
              <w:rPr>
                <w:color w:val="auto"/>
                <w:sz w:val="22"/>
                <w:szCs w:val="22"/>
              </w:rPr>
            </w:pPr>
          </w:p>
        </w:tc>
      </w:tr>
      <w:tr w14:paraId="6D7555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91" w:type="dxa"/>
            <w:vAlign w:val="center"/>
          </w:tcPr>
          <w:p w14:paraId="64563BCD">
            <w:pPr>
              <w:pStyle w:val="85"/>
              <w:rPr>
                <w:color w:val="auto"/>
                <w:sz w:val="22"/>
                <w:szCs w:val="22"/>
              </w:rPr>
            </w:pPr>
            <w:r>
              <w:rPr>
                <w:color w:val="auto"/>
                <w:sz w:val="22"/>
                <w:szCs w:val="22"/>
              </w:rPr>
              <w:t>Урок 44</w:t>
            </w:r>
          </w:p>
        </w:tc>
        <w:tc>
          <w:tcPr>
            <w:tcW w:w="6405" w:type="dxa"/>
            <w:vAlign w:val="center"/>
          </w:tcPr>
          <w:p w14:paraId="775782C3">
            <w:pPr>
              <w:pStyle w:val="85"/>
              <w:jc w:val="both"/>
              <w:rPr>
                <w:color w:val="auto"/>
                <w:sz w:val="22"/>
                <w:szCs w:val="22"/>
              </w:rPr>
            </w:pPr>
            <w:r>
              <w:rPr>
                <w:color w:val="auto"/>
                <w:sz w:val="22"/>
                <w:szCs w:val="22"/>
              </w:rPr>
              <w:t>Какие звери живут в морях и океанах? Звери морские: узнавание, называние, краткое описание</w:t>
            </w:r>
          </w:p>
        </w:tc>
        <w:tc>
          <w:tcPr>
            <w:tcW w:w="1473" w:type="dxa"/>
            <w:vAlign w:val="center"/>
          </w:tcPr>
          <w:p w14:paraId="3F0F876C">
            <w:pPr>
              <w:pStyle w:val="85"/>
              <w:rPr>
                <w:color w:val="auto"/>
                <w:sz w:val="22"/>
                <w:szCs w:val="22"/>
              </w:rPr>
            </w:pPr>
          </w:p>
        </w:tc>
      </w:tr>
      <w:tr w14:paraId="69836A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91" w:type="dxa"/>
            <w:vAlign w:val="center"/>
          </w:tcPr>
          <w:p w14:paraId="78CDD0C6">
            <w:pPr>
              <w:pStyle w:val="85"/>
              <w:rPr>
                <w:color w:val="auto"/>
                <w:sz w:val="22"/>
                <w:szCs w:val="22"/>
              </w:rPr>
            </w:pPr>
            <w:r>
              <w:rPr>
                <w:color w:val="auto"/>
                <w:sz w:val="22"/>
                <w:szCs w:val="22"/>
              </w:rPr>
              <w:t>Урок 45</w:t>
            </w:r>
          </w:p>
        </w:tc>
        <w:tc>
          <w:tcPr>
            <w:tcW w:w="6405" w:type="dxa"/>
            <w:vAlign w:val="center"/>
          </w:tcPr>
          <w:p w14:paraId="7CDF2915">
            <w:pPr>
              <w:pStyle w:val="85"/>
              <w:jc w:val="both"/>
              <w:rPr>
                <w:color w:val="auto"/>
                <w:sz w:val="22"/>
                <w:szCs w:val="22"/>
              </w:rPr>
            </w:pPr>
            <w:r>
              <w:rPr>
                <w:color w:val="auto"/>
                <w:sz w:val="22"/>
                <w:szCs w:val="22"/>
              </w:rPr>
              <w:t>Мир животных: чем похожи все звери: главная особенность этой группы животных. Забота зверей о своих детенышах</w:t>
            </w:r>
          </w:p>
        </w:tc>
        <w:tc>
          <w:tcPr>
            <w:tcW w:w="1473" w:type="dxa"/>
            <w:vAlign w:val="center"/>
          </w:tcPr>
          <w:p w14:paraId="13B0DAF0">
            <w:pPr>
              <w:pStyle w:val="85"/>
              <w:rPr>
                <w:color w:val="auto"/>
                <w:sz w:val="22"/>
                <w:szCs w:val="22"/>
              </w:rPr>
            </w:pPr>
          </w:p>
        </w:tc>
      </w:tr>
      <w:tr w14:paraId="045290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91" w:type="dxa"/>
            <w:vAlign w:val="center"/>
          </w:tcPr>
          <w:p w14:paraId="19B12DD3">
            <w:pPr>
              <w:pStyle w:val="85"/>
              <w:rPr>
                <w:color w:val="auto"/>
                <w:sz w:val="22"/>
                <w:szCs w:val="22"/>
              </w:rPr>
            </w:pPr>
            <w:r>
              <w:rPr>
                <w:color w:val="auto"/>
                <w:sz w:val="22"/>
                <w:szCs w:val="22"/>
              </w:rPr>
              <w:t>Урок 46</w:t>
            </w:r>
          </w:p>
        </w:tc>
        <w:tc>
          <w:tcPr>
            <w:tcW w:w="6405" w:type="dxa"/>
            <w:vAlign w:val="center"/>
          </w:tcPr>
          <w:p w14:paraId="2E6A5095">
            <w:pPr>
              <w:pStyle w:val="85"/>
              <w:jc w:val="both"/>
              <w:rPr>
                <w:color w:val="auto"/>
                <w:sz w:val="22"/>
                <w:szCs w:val="22"/>
              </w:rPr>
            </w:pPr>
            <w:r>
              <w:rPr>
                <w:color w:val="auto"/>
                <w:sz w:val="22"/>
                <w:szCs w:val="22"/>
              </w:rPr>
              <w:t>Мир животных: насекомые (узнавание, называние). Главная особенность этой группы животных</w:t>
            </w:r>
          </w:p>
        </w:tc>
        <w:tc>
          <w:tcPr>
            <w:tcW w:w="1473" w:type="dxa"/>
            <w:vAlign w:val="center"/>
          </w:tcPr>
          <w:p w14:paraId="4348DBFC">
            <w:pPr>
              <w:pStyle w:val="85"/>
              <w:rPr>
                <w:color w:val="auto"/>
                <w:sz w:val="22"/>
                <w:szCs w:val="22"/>
              </w:rPr>
            </w:pPr>
          </w:p>
        </w:tc>
      </w:tr>
      <w:tr w14:paraId="43E2DB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91" w:type="dxa"/>
            <w:vAlign w:val="center"/>
          </w:tcPr>
          <w:p w14:paraId="1F7A8415">
            <w:pPr>
              <w:pStyle w:val="85"/>
              <w:rPr>
                <w:color w:val="auto"/>
                <w:sz w:val="22"/>
                <w:szCs w:val="22"/>
              </w:rPr>
            </w:pPr>
            <w:r>
              <w:rPr>
                <w:color w:val="auto"/>
                <w:sz w:val="22"/>
                <w:szCs w:val="22"/>
              </w:rPr>
              <w:t>Урок 47</w:t>
            </w:r>
          </w:p>
        </w:tc>
        <w:tc>
          <w:tcPr>
            <w:tcW w:w="6405" w:type="dxa"/>
            <w:vAlign w:val="center"/>
          </w:tcPr>
          <w:p w14:paraId="2E8BF91B">
            <w:pPr>
              <w:pStyle w:val="85"/>
              <w:jc w:val="both"/>
              <w:rPr>
                <w:color w:val="auto"/>
                <w:sz w:val="22"/>
                <w:szCs w:val="22"/>
              </w:rPr>
            </w:pPr>
            <w:r>
              <w:rPr>
                <w:color w:val="auto"/>
                <w:sz w:val="22"/>
                <w:szCs w:val="22"/>
              </w:rPr>
              <w:t>Насекомые: сравнение, краткое описание внешнего вида</w:t>
            </w:r>
          </w:p>
        </w:tc>
        <w:tc>
          <w:tcPr>
            <w:tcW w:w="1473" w:type="dxa"/>
            <w:vAlign w:val="center"/>
          </w:tcPr>
          <w:p w14:paraId="6C8F0487">
            <w:pPr>
              <w:pStyle w:val="85"/>
              <w:rPr>
                <w:color w:val="auto"/>
                <w:sz w:val="22"/>
                <w:szCs w:val="22"/>
              </w:rPr>
            </w:pPr>
          </w:p>
        </w:tc>
      </w:tr>
      <w:tr w14:paraId="467006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91" w:type="dxa"/>
            <w:vAlign w:val="center"/>
          </w:tcPr>
          <w:p w14:paraId="56523365">
            <w:pPr>
              <w:pStyle w:val="85"/>
              <w:rPr>
                <w:color w:val="auto"/>
                <w:sz w:val="22"/>
                <w:szCs w:val="22"/>
              </w:rPr>
            </w:pPr>
            <w:r>
              <w:rPr>
                <w:color w:val="auto"/>
                <w:sz w:val="22"/>
                <w:szCs w:val="22"/>
              </w:rPr>
              <w:t>Урок 48</w:t>
            </w:r>
          </w:p>
        </w:tc>
        <w:tc>
          <w:tcPr>
            <w:tcW w:w="6405" w:type="dxa"/>
            <w:vAlign w:val="center"/>
          </w:tcPr>
          <w:p w14:paraId="16B24123">
            <w:pPr>
              <w:pStyle w:val="85"/>
              <w:jc w:val="both"/>
              <w:rPr>
                <w:color w:val="auto"/>
                <w:sz w:val="22"/>
                <w:szCs w:val="22"/>
              </w:rPr>
            </w:pPr>
            <w:r>
              <w:rPr>
                <w:color w:val="auto"/>
                <w:sz w:val="22"/>
                <w:szCs w:val="22"/>
              </w:rPr>
              <w:t>Мир животных: птицы (узнавание, называние). Главная особенность этой группы животных</w:t>
            </w:r>
          </w:p>
        </w:tc>
        <w:tc>
          <w:tcPr>
            <w:tcW w:w="1473" w:type="dxa"/>
            <w:vAlign w:val="center"/>
          </w:tcPr>
          <w:p w14:paraId="35AA6D40">
            <w:pPr>
              <w:pStyle w:val="85"/>
              <w:rPr>
                <w:color w:val="auto"/>
                <w:sz w:val="22"/>
                <w:szCs w:val="22"/>
              </w:rPr>
            </w:pPr>
          </w:p>
        </w:tc>
      </w:tr>
      <w:tr w14:paraId="1BA8FC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91" w:type="dxa"/>
            <w:vAlign w:val="center"/>
          </w:tcPr>
          <w:p w14:paraId="23394879">
            <w:pPr>
              <w:pStyle w:val="85"/>
              <w:rPr>
                <w:color w:val="auto"/>
                <w:sz w:val="22"/>
                <w:szCs w:val="22"/>
              </w:rPr>
            </w:pPr>
            <w:r>
              <w:rPr>
                <w:color w:val="auto"/>
                <w:sz w:val="22"/>
                <w:szCs w:val="22"/>
              </w:rPr>
              <w:t>Урок 49</w:t>
            </w:r>
          </w:p>
        </w:tc>
        <w:tc>
          <w:tcPr>
            <w:tcW w:w="6405" w:type="dxa"/>
            <w:vAlign w:val="center"/>
          </w:tcPr>
          <w:p w14:paraId="29D7A606">
            <w:pPr>
              <w:pStyle w:val="85"/>
              <w:jc w:val="both"/>
              <w:rPr>
                <w:color w:val="auto"/>
                <w:sz w:val="22"/>
                <w:szCs w:val="22"/>
              </w:rPr>
            </w:pPr>
            <w:r>
              <w:rPr>
                <w:color w:val="auto"/>
                <w:sz w:val="22"/>
                <w:szCs w:val="22"/>
              </w:rPr>
              <w:t>Где обитают птицы, чем они питаются. Птицы: сравнение места обитания, способа питания</w:t>
            </w:r>
          </w:p>
        </w:tc>
        <w:tc>
          <w:tcPr>
            <w:tcW w:w="1473" w:type="dxa"/>
            <w:vAlign w:val="center"/>
          </w:tcPr>
          <w:p w14:paraId="0CF9BB30">
            <w:pPr>
              <w:pStyle w:val="85"/>
              <w:rPr>
                <w:color w:val="auto"/>
                <w:sz w:val="22"/>
                <w:szCs w:val="22"/>
              </w:rPr>
            </w:pPr>
          </w:p>
        </w:tc>
      </w:tr>
      <w:tr w14:paraId="5045E4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91" w:type="dxa"/>
            <w:vAlign w:val="center"/>
          </w:tcPr>
          <w:p w14:paraId="208F8B17">
            <w:pPr>
              <w:pStyle w:val="85"/>
              <w:rPr>
                <w:color w:val="auto"/>
                <w:sz w:val="22"/>
                <w:szCs w:val="22"/>
              </w:rPr>
            </w:pPr>
            <w:r>
              <w:rPr>
                <w:color w:val="auto"/>
                <w:sz w:val="22"/>
                <w:szCs w:val="22"/>
              </w:rPr>
              <w:t>Урок 50</w:t>
            </w:r>
          </w:p>
        </w:tc>
        <w:tc>
          <w:tcPr>
            <w:tcW w:w="6405" w:type="dxa"/>
            <w:vAlign w:val="center"/>
          </w:tcPr>
          <w:p w14:paraId="234452B8">
            <w:pPr>
              <w:pStyle w:val="85"/>
              <w:jc w:val="both"/>
              <w:rPr>
                <w:color w:val="auto"/>
                <w:sz w:val="22"/>
                <w:szCs w:val="22"/>
              </w:rPr>
            </w:pPr>
            <w:r>
              <w:rPr>
                <w:color w:val="auto"/>
                <w:sz w:val="22"/>
                <w:szCs w:val="22"/>
              </w:rPr>
              <w:t>Мир животных: рыбы пресных и соленых водоемов (сравнение, краткое описание)</w:t>
            </w:r>
          </w:p>
        </w:tc>
        <w:tc>
          <w:tcPr>
            <w:tcW w:w="1473" w:type="dxa"/>
            <w:vAlign w:val="center"/>
          </w:tcPr>
          <w:p w14:paraId="4C6C9BC8">
            <w:pPr>
              <w:pStyle w:val="85"/>
              <w:rPr>
                <w:color w:val="auto"/>
                <w:sz w:val="22"/>
                <w:szCs w:val="22"/>
              </w:rPr>
            </w:pPr>
          </w:p>
        </w:tc>
      </w:tr>
      <w:tr w14:paraId="2A698D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91" w:type="dxa"/>
            <w:vAlign w:val="center"/>
          </w:tcPr>
          <w:p w14:paraId="398AF834">
            <w:pPr>
              <w:pStyle w:val="85"/>
              <w:rPr>
                <w:color w:val="auto"/>
                <w:sz w:val="22"/>
                <w:szCs w:val="22"/>
              </w:rPr>
            </w:pPr>
            <w:r>
              <w:rPr>
                <w:color w:val="auto"/>
                <w:sz w:val="22"/>
                <w:szCs w:val="22"/>
              </w:rPr>
              <w:t>Урок 51</w:t>
            </w:r>
          </w:p>
        </w:tc>
        <w:tc>
          <w:tcPr>
            <w:tcW w:w="6405" w:type="dxa"/>
            <w:vAlign w:val="center"/>
          </w:tcPr>
          <w:p w14:paraId="067CF600">
            <w:pPr>
              <w:pStyle w:val="85"/>
              <w:jc w:val="both"/>
              <w:rPr>
                <w:color w:val="auto"/>
                <w:sz w:val="22"/>
                <w:szCs w:val="22"/>
              </w:rPr>
            </w:pPr>
            <w:r>
              <w:rPr>
                <w:color w:val="auto"/>
                <w:sz w:val="22"/>
                <w:szCs w:val="22"/>
              </w:rPr>
              <w:t>Мир животных: земноводные (узнавание, называние, краткое описание). Главная особенность этой группы животных</w:t>
            </w:r>
          </w:p>
        </w:tc>
        <w:tc>
          <w:tcPr>
            <w:tcW w:w="1473" w:type="dxa"/>
            <w:vAlign w:val="center"/>
          </w:tcPr>
          <w:p w14:paraId="00A6998F">
            <w:pPr>
              <w:pStyle w:val="85"/>
              <w:rPr>
                <w:color w:val="auto"/>
                <w:sz w:val="22"/>
                <w:szCs w:val="22"/>
              </w:rPr>
            </w:pPr>
          </w:p>
        </w:tc>
      </w:tr>
      <w:tr w14:paraId="569125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91" w:type="dxa"/>
            <w:vAlign w:val="center"/>
          </w:tcPr>
          <w:p w14:paraId="60CADD5F">
            <w:pPr>
              <w:pStyle w:val="85"/>
              <w:rPr>
                <w:color w:val="auto"/>
                <w:sz w:val="22"/>
                <w:szCs w:val="22"/>
              </w:rPr>
            </w:pPr>
            <w:r>
              <w:rPr>
                <w:color w:val="auto"/>
                <w:sz w:val="22"/>
                <w:szCs w:val="22"/>
              </w:rPr>
              <w:t>Урок 52</w:t>
            </w:r>
          </w:p>
        </w:tc>
        <w:tc>
          <w:tcPr>
            <w:tcW w:w="6405" w:type="dxa"/>
            <w:vAlign w:val="center"/>
          </w:tcPr>
          <w:p w14:paraId="0BD57DC0">
            <w:pPr>
              <w:pStyle w:val="85"/>
              <w:jc w:val="both"/>
              <w:rPr>
                <w:color w:val="auto"/>
                <w:sz w:val="22"/>
                <w:szCs w:val="22"/>
              </w:rPr>
            </w:pPr>
            <w:r>
              <w:rPr>
                <w:color w:val="auto"/>
                <w:sz w:val="22"/>
                <w:szCs w:val="22"/>
              </w:rPr>
              <w:t>Земноводные: как они размножаются. Развитие лягушки от икры до икры: анализ схемы</w:t>
            </w:r>
          </w:p>
        </w:tc>
        <w:tc>
          <w:tcPr>
            <w:tcW w:w="1473" w:type="dxa"/>
            <w:vAlign w:val="center"/>
          </w:tcPr>
          <w:p w14:paraId="1382671F">
            <w:pPr>
              <w:pStyle w:val="85"/>
              <w:rPr>
                <w:color w:val="auto"/>
                <w:sz w:val="22"/>
                <w:szCs w:val="22"/>
              </w:rPr>
            </w:pPr>
          </w:p>
        </w:tc>
      </w:tr>
      <w:tr w14:paraId="4C7CB8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91" w:type="dxa"/>
            <w:vAlign w:val="center"/>
          </w:tcPr>
          <w:p w14:paraId="77404574">
            <w:pPr>
              <w:pStyle w:val="85"/>
              <w:rPr>
                <w:color w:val="auto"/>
                <w:sz w:val="22"/>
                <w:szCs w:val="22"/>
              </w:rPr>
            </w:pPr>
            <w:r>
              <w:rPr>
                <w:color w:val="auto"/>
                <w:sz w:val="22"/>
                <w:szCs w:val="22"/>
              </w:rPr>
              <w:t>Урок 53</w:t>
            </w:r>
          </w:p>
        </w:tc>
        <w:tc>
          <w:tcPr>
            <w:tcW w:w="6405" w:type="dxa"/>
            <w:vAlign w:val="center"/>
          </w:tcPr>
          <w:p w14:paraId="3EFDBC54">
            <w:pPr>
              <w:pStyle w:val="85"/>
              <w:jc w:val="both"/>
              <w:rPr>
                <w:color w:val="auto"/>
                <w:sz w:val="22"/>
                <w:szCs w:val="22"/>
              </w:rPr>
            </w:pPr>
            <w:r>
              <w:rPr>
                <w:color w:val="auto"/>
                <w:sz w:val="22"/>
                <w:szCs w:val="22"/>
              </w:rPr>
              <w:t>Мир животных: пресмыкающиеся (узнавание, называние, краткое описание). Главная особенность этой группы животных</w:t>
            </w:r>
          </w:p>
        </w:tc>
        <w:tc>
          <w:tcPr>
            <w:tcW w:w="1473" w:type="dxa"/>
            <w:vAlign w:val="center"/>
          </w:tcPr>
          <w:p w14:paraId="67C52D44">
            <w:pPr>
              <w:pStyle w:val="85"/>
              <w:rPr>
                <w:color w:val="auto"/>
                <w:sz w:val="22"/>
                <w:szCs w:val="22"/>
              </w:rPr>
            </w:pPr>
          </w:p>
        </w:tc>
      </w:tr>
      <w:tr w14:paraId="4441AB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91" w:type="dxa"/>
            <w:vAlign w:val="center"/>
          </w:tcPr>
          <w:p w14:paraId="4B7A57EE">
            <w:pPr>
              <w:pStyle w:val="85"/>
              <w:rPr>
                <w:color w:val="auto"/>
                <w:sz w:val="22"/>
                <w:szCs w:val="22"/>
              </w:rPr>
            </w:pPr>
            <w:r>
              <w:rPr>
                <w:color w:val="auto"/>
                <w:sz w:val="22"/>
                <w:szCs w:val="22"/>
              </w:rPr>
              <w:t>Урок 54</w:t>
            </w:r>
          </w:p>
        </w:tc>
        <w:tc>
          <w:tcPr>
            <w:tcW w:w="6405" w:type="dxa"/>
            <w:vAlign w:val="center"/>
          </w:tcPr>
          <w:p w14:paraId="1A71727C">
            <w:pPr>
              <w:pStyle w:val="85"/>
              <w:jc w:val="both"/>
              <w:rPr>
                <w:color w:val="auto"/>
                <w:sz w:val="22"/>
                <w:szCs w:val="22"/>
              </w:rPr>
            </w:pPr>
            <w:r>
              <w:rPr>
                <w:color w:val="auto"/>
                <w:sz w:val="22"/>
                <w:szCs w:val="22"/>
              </w:rPr>
              <w:t>Поговорим о пресмыкающихся, которые живут в жарких странах. Пресмыкающиеся жарких стран (узнавание, называние, краткое описание)</w:t>
            </w:r>
          </w:p>
        </w:tc>
        <w:tc>
          <w:tcPr>
            <w:tcW w:w="1473" w:type="dxa"/>
            <w:vAlign w:val="center"/>
          </w:tcPr>
          <w:p w14:paraId="0B00E41A">
            <w:pPr>
              <w:pStyle w:val="85"/>
              <w:rPr>
                <w:color w:val="auto"/>
                <w:sz w:val="22"/>
                <w:szCs w:val="22"/>
              </w:rPr>
            </w:pPr>
          </w:p>
        </w:tc>
      </w:tr>
      <w:tr w14:paraId="5D6DF5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91" w:type="dxa"/>
            <w:vAlign w:val="center"/>
          </w:tcPr>
          <w:p w14:paraId="223D2D2A">
            <w:pPr>
              <w:pStyle w:val="85"/>
              <w:rPr>
                <w:color w:val="auto"/>
                <w:sz w:val="22"/>
                <w:szCs w:val="22"/>
              </w:rPr>
            </w:pPr>
            <w:r>
              <w:rPr>
                <w:color w:val="auto"/>
                <w:sz w:val="22"/>
                <w:szCs w:val="22"/>
              </w:rPr>
              <w:t>Урок 55</w:t>
            </w:r>
          </w:p>
        </w:tc>
        <w:tc>
          <w:tcPr>
            <w:tcW w:w="6405" w:type="dxa"/>
            <w:vAlign w:val="center"/>
          </w:tcPr>
          <w:p w14:paraId="4AF078D4">
            <w:pPr>
              <w:pStyle w:val="85"/>
              <w:jc w:val="both"/>
              <w:rPr>
                <w:color w:val="auto"/>
                <w:sz w:val="22"/>
                <w:szCs w:val="22"/>
              </w:rPr>
            </w:pPr>
            <w:r>
              <w:rPr>
                <w:color w:val="auto"/>
                <w:sz w:val="22"/>
                <w:szCs w:val="22"/>
              </w:rPr>
              <w:t>Домашние и дикие животные. Различия в условиях жизни</w:t>
            </w:r>
          </w:p>
        </w:tc>
        <w:tc>
          <w:tcPr>
            <w:tcW w:w="1473" w:type="dxa"/>
            <w:vAlign w:val="center"/>
          </w:tcPr>
          <w:p w14:paraId="375FB5A7">
            <w:pPr>
              <w:pStyle w:val="85"/>
              <w:rPr>
                <w:color w:val="auto"/>
                <w:sz w:val="22"/>
                <w:szCs w:val="22"/>
              </w:rPr>
            </w:pPr>
          </w:p>
        </w:tc>
      </w:tr>
      <w:tr w14:paraId="63514B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91" w:type="dxa"/>
            <w:vAlign w:val="center"/>
          </w:tcPr>
          <w:p w14:paraId="4EFEC430">
            <w:pPr>
              <w:pStyle w:val="85"/>
              <w:rPr>
                <w:color w:val="auto"/>
                <w:sz w:val="22"/>
                <w:szCs w:val="22"/>
              </w:rPr>
            </w:pPr>
            <w:r>
              <w:rPr>
                <w:color w:val="auto"/>
                <w:sz w:val="22"/>
                <w:szCs w:val="22"/>
              </w:rPr>
              <w:t>Урок 56</w:t>
            </w:r>
          </w:p>
        </w:tc>
        <w:tc>
          <w:tcPr>
            <w:tcW w:w="6405" w:type="dxa"/>
            <w:vAlign w:val="center"/>
          </w:tcPr>
          <w:p w14:paraId="61D8B630">
            <w:pPr>
              <w:pStyle w:val="85"/>
              <w:jc w:val="both"/>
              <w:rPr>
                <w:color w:val="auto"/>
                <w:sz w:val="22"/>
                <w:szCs w:val="22"/>
              </w:rPr>
            </w:pPr>
            <w:r>
              <w:rPr>
                <w:color w:val="auto"/>
                <w:sz w:val="22"/>
                <w:szCs w:val="22"/>
              </w:rPr>
              <w:t>Кто заботится о домашних животных Профессии людей, которые заботятся о животных</w:t>
            </w:r>
          </w:p>
        </w:tc>
        <w:tc>
          <w:tcPr>
            <w:tcW w:w="1473" w:type="dxa"/>
            <w:vAlign w:val="center"/>
          </w:tcPr>
          <w:p w14:paraId="3153E8D4">
            <w:pPr>
              <w:pStyle w:val="85"/>
              <w:rPr>
                <w:color w:val="auto"/>
                <w:sz w:val="22"/>
                <w:szCs w:val="22"/>
              </w:rPr>
            </w:pPr>
          </w:p>
        </w:tc>
      </w:tr>
      <w:tr w14:paraId="7444FD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91" w:type="dxa"/>
            <w:vAlign w:val="center"/>
          </w:tcPr>
          <w:p w14:paraId="14146BA6">
            <w:pPr>
              <w:pStyle w:val="85"/>
              <w:rPr>
                <w:color w:val="auto"/>
                <w:sz w:val="22"/>
                <w:szCs w:val="22"/>
              </w:rPr>
            </w:pPr>
            <w:r>
              <w:rPr>
                <w:color w:val="auto"/>
                <w:sz w:val="22"/>
                <w:szCs w:val="22"/>
              </w:rPr>
              <w:t>Урок 57</w:t>
            </w:r>
          </w:p>
        </w:tc>
        <w:tc>
          <w:tcPr>
            <w:tcW w:w="6405" w:type="dxa"/>
            <w:vAlign w:val="center"/>
          </w:tcPr>
          <w:p w14:paraId="12CBF381">
            <w:pPr>
              <w:pStyle w:val="85"/>
              <w:jc w:val="both"/>
              <w:rPr>
                <w:color w:val="auto"/>
                <w:sz w:val="22"/>
                <w:szCs w:val="22"/>
              </w:rPr>
            </w:pPr>
            <w:r>
              <w:rPr>
                <w:color w:val="auto"/>
                <w:sz w:val="22"/>
                <w:szCs w:val="22"/>
              </w:rPr>
              <w:t>Резервный урок. Времена года: наблюдения за особенностью погоды, жизнью растительного и животного мира лета</w:t>
            </w:r>
          </w:p>
        </w:tc>
        <w:tc>
          <w:tcPr>
            <w:tcW w:w="1473" w:type="dxa"/>
            <w:vAlign w:val="center"/>
          </w:tcPr>
          <w:p w14:paraId="000BCFAF">
            <w:pPr>
              <w:pStyle w:val="85"/>
              <w:rPr>
                <w:color w:val="auto"/>
                <w:sz w:val="22"/>
                <w:szCs w:val="22"/>
              </w:rPr>
            </w:pPr>
          </w:p>
        </w:tc>
      </w:tr>
      <w:tr w14:paraId="2BA467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91" w:type="dxa"/>
            <w:vAlign w:val="center"/>
          </w:tcPr>
          <w:p w14:paraId="115214CE">
            <w:pPr>
              <w:pStyle w:val="85"/>
              <w:rPr>
                <w:color w:val="auto"/>
                <w:sz w:val="22"/>
                <w:szCs w:val="22"/>
              </w:rPr>
            </w:pPr>
            <w:r>
              <w:rPr>
                <w:color w:val="auto"/>
                <w:sz w:val="22"/>
                <w:szCs w:val="22"/>
              </w:rPr>
              <w:t>Урок 58</w:t>
            </w:r>
          </w:p>
        </w:tc>
        <w:tc>
          <w:tcPr>
            <w:tcW w:w="6405" w:type="dxa"/>
            <w:vAlign w:val="center"/>
          </w:tcPr>
          <w:p w14:paraId="42DB5F76">
            <w:pPr>
              <w:pStyle w:val="85"/>
              <w:jc w:val="both"/>
              <w:rPr>
                <w:color w:val="auto"/>
                <w:sz w:val="22"/>
                <w:szCs w:val="22"/>
              </w:rPr>
            </w:pPr>
            <w:r>
              <w:rPr>
                <w:color w:val="auto"/>
                <w:sz w:val="22"/>
                <w:szCs w:val="22"/>
              </w:rPr>
              <w:t>Резервный урок. Где живут насекомые? Насекомые: место обитания, питание</w:t>
            </w:r>
          </w:p>
        </w:tc>
        <w:tc>
          <w:tcPr>
            <w:tcW w:w="1473" w:type="dxa"/>
            <w:vAlign w:val="center"/>
          </w:tcPr>
          <w:p w14:paraId="12FBE7B8">
            <w:pPr>
              <w:pStyle w:val="85"/>
              <w:rPr>
                <w:color w:val="auto"/>
                <w:sz w:val="22"/>
                <w:szCs w:val="22"/>
              </w:rPr>
            </w:pPr>
          </w:p>
        </w:tc>
      </w:tr>
      <w:tr w14:paraId="391F37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91" w:type="dxa"/>
            <w:vAlign w:val="center"/>
          </w:tcPr>
          <w:p w14:paraId="3773F3D4">
            <w:pPr>
              <w:pStyle w:val="85"/>
              <w:rPr>
                <w:color w:val="auto"/>
                <w:sz w:val="22"/>
                <w:szCs w:val="22"/>
              </w:rPr>
            </w:pPr>
            <w:r>
              <w:rPr>
                <w:color w:val="auto"/>
                <w:sz w:val="22"/>
                <w:szCs w:val="22"/>
              </w:rPr>
              <w:t>Урок 59</w:t>
            </w:r>
          </w:p>
        </w:tc>
        <w:tc>
          <w:tcPr>
            <w:tcW w:w="6405" w:type="dxa"/>
            <w:vAlign w:val="center"/>
          </w:tcPr>
          <w:p w14:paraId="1B2EC097">
            <w:pPr>
              <w:pStyle w:val="85"/>
              <w:jc w:val="both"/>
              <w:rPr>
                <w:color w:val="auto"/>
                <w:sz w:val="22"/>
                <w:szCs w:val="22"/>
              </w:rPr>
            </w:pPr>
            <w:r>
              <w:rPr>
                <w:color w:val="auto"/>
                <w:sz w:val="22"/>
                <w:szCs w:val="22"/>
              </w:rPr>
              <w:t>Режим дня первоклассника. Правильное сочетание труда и отдыха в режиме первоклассника</w:t>
            </w:r>
          </w:p>
        </w:tc>
        <w:tc>
          <w:tcPr>
            <w:tcW w:w="1473" w:type="dxa"/>
            <w:vAlign w:val="center"/>
          </w:tcPr>
          <w:p w14:paraId="1EC728CB">
            <w:pPr>
              <w:pStyle w:val="85"/>
              <w:rPr>
                <w:color w:val="auto"/>
                <w:sz w:val="22"/>
                <w:szCs w:val="22"/>
              </w:rPr>
            </w:pPr>
          </w:p>
        </w:tc>
      </w:tr>
      <w:tr w14:paraId="41D823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91" w:type="dxa"/>
            <w:vAlign w:val="center"/>
          </w:tcPr>
          <w:p w14:paraId="25D33269">
            <w:pPr>
              <w:pStyle w:val="85"/>
              <w:rPr>
                <w:color w:val="auto"/>
                <w:sz w:val="22"/>
                <w:szCs w:val="22"/>
              </w:rPr>
            </w:pPr>
            <w:r>
              <w:rPr>
                <w:color w:val="auto"/>
                <w:sz w:val="22"/>
                <w:szCs w:val="22"/>
              </w:rPr>
              <w:t>Урок 60</w:t>
            </w:r>
          </w:p>
        </w:tc>
        <w:tc>
          <w:tcPr>
            <w:tcW w:w="6405" w:type="dxa"/>
            <w:vAlign w:val="center"/>
          </w:tcPr>
          <w:p w14:paraId="66E519E4">
            <w:pPr>
              <w:pStyle w:val="85"/>
              <w:jc w:val="both"/>
              <w:rPr>
                <w:color w:val="auto"/>
                <w:sz w:val="22"/>
                <w:szCs w:val="22"/>
              </w:rPr>
            </w:pPr>
            <w:r>
              <w:rPr>
                <w:color w:val="auto"/>
                <w:sz w:val="22"/>
                <w:szCs w:val="22"/>
              </w:rPr>
              <w:t>Правила здорового питания. Состав пищи, обеспечивающий рост и развитие ребенка 6 - 7 лет. Правила поведения за столом</w:t>
            </w:r>
          </w:p>
        </w:tc>
        <w:tc>
          <w:tcPr>
            <w:tcW w:w="1473" w:type="dxa"/>
            <w:vAlign w:val="center"/>
          </w:tcPr>
          <w:p w14:paraId="58A01B18">
            <w:pPr>
              <w:pStyle w:val="85"/>
              <w:rPr>
                <w:color w:val="auto"/>
                <w:sz w:val="22"/>
                <w:szCs w:val="22"/>
              </w:rPr>
            </w:pPr>
          </w:p>
        </w:tc>
      </w:tr>
      <w:tr w14:paraId="209EB2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91" w:type="dxa"/>
            <w:vAlign w:val="center"/>
          </w:tcPr>
          <w:p w14:paraId="1C67CAC7">
            <w:pPr>
              <w:pStyle w:val="85"/>
              <w:rPr>
                <w:color w:val="auto"/>
                <w:sz w:val="22"/>
                <w:szCs w:val="22"/>
              </w:rPr>
            </w:pPr>
            <w:r>
              <w:rPr>
                <w:color w:val="auto"/>
                <w:sz w:val="22"/>
                <w:szCs w:val="22"/>
              </w:rPr>
              <w:t>Урок 61</w:t>
            </w:r>
          </w:p>
        </w:tc>
        <w:tc>
          <w:tcPr>
            <w:tcW w:w="6405" w:type="dxa"/>
            <w:vAlign w:val="center"/>
          </w:tcPr>
          <w:p w14:paraId="7CAEB15B">
            <w:pPr>
              <w:pStyle w:val="85"/>
              <w:jc w:val="both"/>
              <w:rPr>
                <w:color w:val="auto"/>
                <w:sz w:val="22"/>
                <w:szCs w:val="22"/>
              </w:rPr>
            </w:pPr>
            <w:r>
              <w:rPr>
                <w:color w:val="auto"/>
                <w:sz w:val="22"/>
                <w:szCs w:val="22"/>
              </w:rPr>
              <w:t>Предметы личной гигиены. Закаливание организма солнцем, воздухом, водой. Условия и правила закаливания</w:t>
            </w:r>
          </w:p>
        </w:tc>
        <w:tc>
          <w:tcPr>
            <w:tcW w:w="1473" w:type="dxa"/>
            <w:vAlign w:val="center"/>
          </w:tcPr>
          <w:p w14:paraId="6C80E6F3">
            <w:pPr>
              <w:pStyle w:val="85"/>
              <w:rPr>
                <w:color w:val="auto"/>
                <w:sz w:val="22"/>
                <w:szCs w:val="22"/>
              </w:rPr>
            </w:pPr>
          </w:p>
        </w:tc>
      </w:tr>
      <w:tr w14:paraId="33FDEC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91" w:type="dxa"/>
            <w:vAlign w:val="center"/>
          </w:tcPr>
          <w:p w14:paraId="4E65EC17">
            <w:pPr>
              <w:pStyle w:val="85"/>
              <w:rPr>
                <w:color w:val="auto"/>
                <w:sz w:val="22"/>
                <w:szCs w:val="22"/>
              </w:rPr>
            </w:pPr>
            <w:r>
              <w:rPr>
                <w:color w:val="auto"/>
                <w:sz w:val="22"/>
                <w:szCs w:val="22"/>
              </w:rPr>
              <w:t>Урок 62</w:t>
            </w:r>
          </w:p>
        </w:tc>
        <w:tc>
          <w:tcPr>
            <w:tcW w:w="6405" w:type="dxa"/>
            <w:vAlign w:val="center"/>
          </w:tcPr>
          <w:p w14:paraId="454DD823">
            <w:pPr>
              <w:pStyle w:val="85"/>
              <w:jc w:val="both"/>
              <w:rPr>
                <w:color w:val="auto"/>
                <w:sz w:val="22"/>
                <w:szCs w:val="22"/>
              </w:rPr>
            </w:pPr>
            <w:r>
              <w:rPr>
                <w:color w:val="auto"/>
                <w:sz w:val="22"/>
                <w:szCs w:val="22"/>
              </w:rPr>
              <w:t>Бытовые электрические и газовые приборы: правила безопасного использования. Поведение в экстремальных ситуациях. Номера телефонов экстренных служб</w:t>
            </w:r>
          </w:p>
        </w:tc>
        <w:tc>
          <w:tcPr>
            <w:tcW w:w="1473" w:type="dxa"/>
            <w:vAlign w:val="center"/>
          </w:tcPr>
          <w:p w14:paraId="4C05C05C">
            <w:pPr>
              <w:pStyle w:val="85"/>
              <w:rPr>
                <w:color w:val="auto"/>
                <w:sz w:val="22"/>
                <w:szCs w:val="22"/>
              </w:rPr>
            </w:pPr>
          </w:p>
        </w:tc>
      </w:tr>
      <w:tr w14:paraId="2B1079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91" w:type="dxa"/>
            <w:vAlign w:val="center"/>
          </w:tcPr>
          <w:p w14:paraId="7EB0E0C8">
            <w:pPr>
              <w:pStyle w:val="85"/>
              <w:rPr>
                <w:color w:val="auto"/>
                <w:sz w:val="22"/>
                <w:szCs w:val="22"/>
              </w:rPr>
            </w:pPr>
            <w:r>
              <w:rPr>
                <w:color w:val="auto"/>
                <w:sz w:val="22"/>
                <w:szCs w:val="22"/>
              </w:rPr>
              <w:t>Урок 63</w:t>
            </w:r>
          </w:p>
        </w:tc>
        <w:tc>
          <w:tcPr>
            <w:tcW w:w="6405" w:type="dxa"/>
            <w:vAlign w:val="center"/>
          </w:tcPr>
          <w:p w14:paraId="78613809">
            <w:pPr>
              <w:pStyle w:val="85"/>
              <w:jc w:val="both"/>
              <w:rPr>
                <w:color w:val="auto"/>
                <w:sz w:val="22"/>
                <w:szCs w:val="22"/>
              </w:rPr>
            </w:pPr>
            <w:r>
              <w:rPr>
                <w:color w:val="auto"/>
                <w:sz w:val="22"/>
                <w:szCs w:val="22"/>
              </w:rPr>
              <w:t>Ты - пешеход!</w:t>
            </w:r>
          </w:p>
        </w:tc>
        <w:tc>
          <w:tcPr>
            <w:tcW w:w="1473" w:type="dxa"/>
            <w:vAlign w:val="center"/>
          </w:tcPr>
          <w:p w14:paraId="63DCCDA0">
            <w:pPr>
              <w:pStyle w:val="85"/>
              <w:rPr>
                <w:color w:val="auto"/>
                <w:sz w:val="22"/>
                <w:szCs w:val="22"/>
              </w:rPr>
            </w:pPr>
          </w:p>
        </w:tc>
      </w:tr>
      <w:tr w14:paraId="3F86EC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91" w:type="dxa"/>
            <w:vAlign w:val="center"/>
          </w:tcPr>
          <w:p w14:paraId="25EC10B0">
            <w:pPr>
              <w:pStyle w:val="85"/>
              <w:rPr>
                <w:color w:val="auto"/>
                <w:sz w:val="22"/>
                <w:szCs w:val="22"/>
              </w:rPr>
            </w:pPr>
            <w:r>
              <w:rPr>
                <w:color w:val="auto"/>
                <w:sz w:val="22"/>
                <w:szCs w:val="22"/>
              </w:rPr>
              <w:t>Урок 64</w:t>
            </w:r>
          </w:p>
        </w:tc>
        <w:tc>
          <w:tcPr>
            <w:tcW w:w="6405" w:type="dxa"/>
            <w:vAlign w:val="center"/>
          </w:tcPr>
          <w:p w14:paraId="483892EC">
            <w:pPr>
              <w:pStyle w:val="85"/>
              <w:jc w:val="both"/>
              <w:rPr>
                <w:color w:val="auto"/>
                <w:sz w:val="22"/>
                <w:szCs w:val="22"/>
              </w:rPr>
            </w:pPr>
            <w:r>
              <w:rPr>
                <w:color w:val="auto"/>
                <w:sz w:val="22"/>
                <w:szCs w:val="22"/>
              </w:rPr>
              <w:t>Знаки дорожного движения</w:t>
            </w:r>
          </w:p>
        </w:tc>
        <w:tc>
          <w:tcPr>
            <w:tcW w:w="1473" w:type="dxa"/>
            <w:vAlign w:val="center"/>
          </w:tcPr>
          <w:p w14:paraId="5DE8070B">
            <w:pPr>
              <w:pStyle w:val="85"/>
              <w:rPr>
                <w:color w:val="auto"/>
                <w:sz w:val="22"/>
                <w:szCs w:val="22"/>
              </w:rPr>
            </w:pPr>
          </w:p>
        </w:tc>
      </w:tr>
      <w:tr w14:paraId="73E72B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91" w:type="dxa"/>
            <w:vAlign w:val="center"/>
          </w:tcPr>
          <w:p w14:paraId="5D3E4F5F">
            <w:pPr>
              <w:pStyle w:val="85"/>
              <w:rPr>
                <w:color w:val="auto"/>
                <w:sz w:val="22"/>
                <w:szCs w:val="22"/>
              </w:rPr>
            </w:pPr>
            <w:r>
              <w:rPr>
                <w:color w:val="auto"/>
                <w:sz w:val="22"/>
                <w:szCs w:val="22"/>
              </w:rPr>
              <w:t>Урок 65</w:t>
            </w:r>
          </w:p>
        </w:tc>
        <w:tc>
          <w:tcPr>
            <w:tcW w:w="6405" w:type="dxa"/>
            <w:vAlign w:val="center"/>
          </w:tcPr>
          <w:p w14:paraId="29F0321D">
            <w:pPr>
              <w:pStyle w:val="85"/>
              <w:jc w:val="both"/>
              <w:rPr>
                <w:color w:val="auto"/>
                <w:sz w:val="22"/>
                <w:szCs w:val="22"/>
              </w:rPr>
            </w:pPr>
            <w:r>
              <w:rPr>
                <w:color w:val="auto"/>
                <w:sz w:val="22"/>
                <w:szCs w:val="22"/>
              </w:rPr>
              <w:t>Знакомься: электронные ресурсы школы</w:t>
            </w:r>
          </w:p>
        </w:tc>
        <w:tc>
          <w:tcPr>
            <w:tcW w:w="1473" w:type="dxa"/>
            <w:vAlign w:val="center"/>
          </w:tcPr>
          <w:p w14:paraId="47926749">
            <w:pPr>
              <w:pStyle w:val="85"/>
              <w:rPr>
                <w:color w:val="auto"/>
                <w:sz w:val="22"/>
                <w:szCs w:val="22"/>
              </w:rPr>
            </w:pPr>
          </w:p>
        </w:tc>
      </w:tr>
      <w:tr w14:paraId="763BBC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91" w:type="dxa"/>
            <w:vAlign w:val="center"/>
          </w:tcPr>
          <w:p w14:paraId="3DFE5EC3">
            <w:pPr>
              <w:pStyle w:val="85"/>
              <w:rPr>
                <w:color w:val="auto"/>
                <w:sz w:val="22"/>
                <w:szCs w:val="22"/>
              </w:rPr>
            </w:pPr>
            <w:r>
              <w:rPr>
                <w:color w:val="auto"/>
                <w:sz w:val="22"/>
                <w:szCs w:val="22"/>
              </w:rPr>
              <w:t>Урок 66</w:t>
            </w:r>
          </w:p>
        </w:tc>
        <w:tc>
          <w:tcPr>
            <w:tcW w:w="6405" w:type="dxa"/>
            <w:vAlign w:val="center"/>
          </w:tcPr>
          <w:p w14:paraId="50B6C3A9">
            <w:pPr>
              <w:pStyle w:val="85"/>
              <w:jc w:val="both"/>
              <w:rPr>
                <w:color w:val="auto"/>
                <w:sz w:val="22"/>
                <w:szCs w:val="22"/>
              </w:rPr>
            </w:pPr>
            <w:r>
              <w:rPr>
                <w:color w:val="auto"/>
                <w:sz w:val="22"/>
                <w:szCs w:val="22"/>
              </w:rPr>
              <w:t>Резервный урок. Правила использования электронных устройств</w:t>
            </w:r>
          </w:p>
        </w:tc>
        <w:tc>
          <w:tcPr>
            <w:tcW w:w="1473" w:type="dxa"/>
            <w:vAlign w:val="center"/>
          </w:tcPr>
          <w:p w14:paraId="52F4919A">
            <w:pPr>
              <w:pStyle w:val="85"/>
              <w:rPr>
                <w:color w:val="auto"/>
                <w:sz w:val="22"/>
                <w:szCs w:val="22"/>
              </w:rPr>
            </w:pPr>
          </w:p>
        </w:tc>
      </w:tr>
      <w:tr w14:paraId="23936B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9069" w:type="dxa"/>
            <w:gridSpan w:val="3"/>
          </w:tcPr>
          <w:p w14:paraId="73E6BE59">
            <w:pPr>
              <w:pStyle w:val="85"/>
              <w:jc w:val="both"/>
              <w:rPr>
                <w:color w:val="auto"/>
                <w:sz w:val="22"/>
                <w:szCs w:val="22"/>
              </w:rPr>
            </w:pPr>
            <w:r>
              <w:rPr>
                <w:color w:val="auto"/>
                <w:sz w:val="22"/>
                <w:szCs w:val="22"/>
              </w:rPr>
              <w:t>ОБЩЕЕ КОЛИЧЕСТВО УРОКОВ ПО ПРОГРАММЕ: 66</w:t>
            </w:r>
          </w:p>
        </w:tc>
      </w:tr>
    </w:tbl>
    <w:p w14:paraId="49024A63">
      <w:pPr>
        <w:pStyle w:val="85"/>
        <w:jc w:val="both"/>
        <w:rPr>
          <w:color w:val="auto"/>
          <w:sz w:val="22"/>
          <w:szCs w:val="22"/>
        </w:rPr>
      </w:pPr>
    </w:p>
    <w:p w14:paraId="57EFA468">
      <w:pPr>
        <w:pStyle w:val="85"/>
        <w:jc w:val="right"/>
        <w:rPr>
          <w:color w:val="auto"/>
          <w:sz w:val="22"/>
          <w:szCs w:val="22"/>
        </w:rPr>
      </w:pPr>
      <w:r>
        <w:rPr>
          <w:color w:val="auto"/>
          <w:sz w:val="22"/>
          <w:szCs w:val="22"/>
        </w:rPr>
        <w:t>Таблица 11.5</w:t>
      </w:r>
    </w:p>
    <w:p w14:paraId="22851793">
      <w:pPr>
        <w:pStyle w:val="85"/>
        <w:jc w:val="both"/>
        <w:rPr>
          <w:color w:val="auto"/>
          <w:sz w:val="22"/>
          <w:szCs w:val="22"/>
        </w:rPr>
      </w:pPr>
    </w:p>
    <w:p w14:paraId="7B7F3EB8">
      <w:pPr>
        <w:pStyle w:val="85"/>
        <w:jc w:val="both"/>
        <w:rPr>
          <w:color w:val="auto"/>
          <w:sz w:val="22"/>
          <w:szCs w:val="22"/>
        </w:rPr>
      </w:pPr>
      <w:r>
        <w:rPr>
          <w:color w:val="auto"/>
          <w:sz w:val="22"/>
          <w:szCs w:val="22"/>
        </w:rPr>
        <w:t>2 класс</w:t>
      </w:r>
    </w:p>
    <w:p w14:paraId="55B7E98B">
      <w:pPr>
        <w:pStyle w:val="85"/>
        <w:jc w:val="both"/>
        <w:rPr>
          <w:color w:val="auto"/>
          <w:sz w:val="22"/>
          <w:szCs w:val="22"/>
        </w:rPr>
      </w:pPr>
    </w:p>
    <w:tbl>
      <w:tblPr>
        <w:tblStyle w:val="1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02" w:type="dxa"/>
          <w:left w:w="62" w:type="dxa"/>
          <w:bottom w:w="102" w:type="dxa"/>
          <w:right w:w="62" w:type="dxa"/>
        </w:tblCellMar>
      </w:tblPr>
      <w:tblGrid>
        <w:gridCol w:w="1191"/>
        <w:gridCol w:w="6405"/>
        <w:gridCol w:w="1473"/>
      </w:tblGrid>
      <w:tr w14:paraId="49A40B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91" w:type="dxa"/>
          </w:tcPr>
          <w:p w14:paraId="0C326117">
            <w:pPr>
              <w:pStyle w:val="85"/>
              <w:jc w:val="center"/>
              <w:rPr>
                <w:color w:val="auto"/>
                <w:sz w:val="22"/>
                <w:szCs w:val="22"/>
              </w:rPr>
            </w:pPr>
            <w:r>
              <w:rPr>
                <w:color w:val="auto"/>
                <w:sz w:val="22"/>
                <w:szCs w:val="22"/>
              </w:rPr>
              <w:t>N урока</w:t>
            </w:r>
          </w:p>
        </w:tc>
        <w:tc>
          <w:tcPr>
            <w:tcW w:w="6405" w:type="dxa"/>
          </w:tcPr>
          <w:p w14:paraId="7FD4C84E">
            <w:pPr>
              <w:pStyle w:val="85"/>
              <w:jc w:val="center"/>
              <w:rPr>
                <w:color w:val="auto"/>
                <w:sz w:val="22"/>
                <w:szCs w:val="22"/>
              </w:rPr>
            </w:pPr>
            <w:r>
              <w:rPr>
                <w:color w:val="auto"/>
                <w:sz w:val="22"/>
                <w:szCs w:val="22"/>
              </w:rPr>
              <w:t>Тема урока</w:t>
            </w:r>
          </w:p>
        </w:tc>
        <w:tc>
          <w:tcPr>
            <w:tcW w:w="1473" w:type="dxa"/>
          </w:tcPr>
          <w:p w14:paraId="23054FCB">
            <w:pPr>
              <w:pStyle w:val="85"/>
              <w:jc w:val="center"/>
              <w:rPr>
                <w:color w:val="auto"/>
                <w:sz w:val="22"/>
                <w:szCs w:val="22"/>
              </w:rPr>
            </w:pPr>
            <w:r>
              <w:rPr>
                <w:color w:val="auto"/>
                <w:sz w:val="22"/>
                <w:szCs w:val="22"/>
              </w:rPr>
              <w:t>Количество часов на практические работы</w:t>
            </w:r>
          </w:p>
        </w:tc>
      </w:tr>
      <w:tr w14:paraId="425317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91" w:type="dxa"/>
            <w:vAlign w:val="center"/>
          </w:tcPr>
          <w:p w14:paraId="7EA1FB3A">
            <w:pPr>
              <w:pStyle w:val="85"/>
              <w:rPr>
                <w:color w:val="auto"/>
                <w:sz w:val="22"/>
                <w:szCs w:val="22"/>
              </w:rPr>
            </w:pPr>
            <w:r>
              <w:rPr>
                <w:color w:val="auto"/>
                <w:sz w:val="22"/>
                <w:szCs w:val="22"/>
              </w:rPr>
              <w:t>Урок 1</w:t>
            </w:r>
          </w:p>
        </w:tc>
        <w:tc>
          <w:tcPr>
            <w:tcW w:w="6405" w:type="dxa"/>
            <w:vAlign w:val="center"/>
          </w:tcPr>
          <w:p w14:paraId="7D2303E7">
            <w:pPr>
              <w:pStyle w:val="85"/>
              <w:jc w:val="both"/>
              <w:rPr>
                <w:color w:val="auto"/>
                <w:sz w:val="22"/>
                <w:szCs w:val="22"/>
              </w:rPr>
            </w:pPr>
            <w:r>
              <w:rPr>
                <w:color w:val="auto"/>
                <w:sz w:val="22"/>
                <w:szCs w:val="22"/>
              </w:rPr>
              <w:t>Наша Родина - Россия, Российская Федерация</w:t>
            </w:r>
          </w:p>
        </w:tc>
        <w:tc>
          <w:tcPr>
            <w:tcW w:w="1473" w:type="dxa"/>
            <w:vAlign w:val="center"/>
          </w:tcPr>
          <w:p w14:paraId="0A6B27C9">
            <w:pPr>
              <w:pStyle w:val="85"/>
              <w:rPr>
                <w:color w:val="auto"/>
                <w:sz w:val="22"/>
                <w:szCs w:val="22"/>
              </w:rPr>
            </w:pPr>
          </w:p>
        </w:tc>
      </w:tr>
      <w:tr w14:paraId="27B47C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91" w:type="dxa"/>
            <w:vAlign w:val="center"/>
          </w:tcPr>
          <w:p w14:paraId="645AD79E">
            <w:pPr>
              <w:pStyle w:val="85"/>
              <w:rPr>
                <w:color w:val="auto"/>
                <w:sz w:val="22"/>
                <w:szCs w:val="22"/>
              </w:rPr>
            </w:pPr>
            <w:r>
              <w:rPr>
                <w:color w:val="auto"/>
                <w:sz w:val="22"/>
                <w:szCs w:val="22"/>
              </w:rPr>
              <w:t>Урок 2</w:t>
            </w:r>
          </w:p>
        </w:tc>
        <w:tc>
          <w:tcPr>
            <w:tcW w:w="6405" w:type="dxa"/>
            <w:vAlign w:val="center"/>
          </w:tcPr>
          <w:p w14:paraId="27ECA82B">
            <w:pPr>
              <w:pStyle w:val="85"/>
              <w:jc w:val="both"/>
              <w:rPr>
                <w:color w:val="auto"/>
                <w:sz w:val="22"/>
                <w:szCs w:val="22"/>
              </w:rPr>
            </w:pPr>
            <w:r>
              <w:rPr>
                <w:color w:val="auto"/>
                <w:sz w:val="22"/>
                <w:szCs w:val="22"/>
              </w:rPr>
              <w:t>Москва - столица России. Герб Москвы</w:t>
            </w:r>
          </w:p>
        </w:tc>
        <w:tc>
          <w:tcPr>
            <w:tcW w:w="1473" w:type="dxa"/>
            <w:vAlign w:val="center"/>
          </w:tcPr>
          <w:p w14:paraId="5AEA242E">
            <w:pPr>
              <w:pStyle w:val="85"/>
              <w:rPr>
                <w:color w:val="auto"/>
                <w:sz w:val="22"/>
                <w:szCs w:val="22"/>
              </w:rPr>
            </w:pPr>
          </w:p>
        </w:tc>
      </w:tr>
      <w:tr w14:paraId="67E487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91" w:type="dxa"/>
            <w:vAlign w:val="center"/>
          </w:tcPr>
          <w:p w14:paraId="65AB2CB7">
            <w:pPr>
              <w:pStyle w:val="85"/>
              <w:rPr>
                <w:color w:val="auto"/>
                <w:sz w:val="22"/>
                <w:szCs w:val="22"/>
              </w:rPr>
            </w:pPr>
            <w:r>
              <w:rPr>
                <w:color w:val="auto"/>
                <w:sz w:val="22"/>
                <w:szCs w:val="22"/>
              </w:rPr>
              <w:t>Урок 3</w:t>
            </w:r>
          </w:p>
        </w:tc>
        <w:tc>
          <w:tcPr>
            <w:tcW w:w="6405" w:type="dxa"/>
            <w:vAlign w:val="center"/>
          </w:tcPr>
          <w:p w14:paraId="582DC6D1">
            <w:pPr>
              <w:pStyle w:val="85"/>
              <w:jc w:val="both"/>
              <w:rPr>
                <w:color w:val="auto"/>
                <w:sz w:val="22"/>
                <w:szCs w:val="22"/>
              </w:rPr>
            </w:pPr>
            <w:r>
              <w:rPr>
                <w:color w:val="auto"/>
                <w:sz w:val="22"/>
                <w:szCs w:val="22"/>
              </w:rPr>
              <w:t>Достопримечательности Москвы: Большой театр, Московский государственный университет, Московский цирк, Театр кукол имени С.В. Образцова</w:t>
            </w:r>
          </w:p>
        </w:tc>
        <w:tc>
          <w:tcPr>
            <w:tcW w:w="1473" w:type="dxa"/>
            <w:vAlign w:val="center"/>
          </w:tcPr>
          <w:p w14:paraId="11B2E2BB">
            <w:pPr>
              <w:pStyle w:val="85"/>
              <w:rPr>
                <w:color w:val="auto"/>
                <w:sz w:val="22"/>
                <w:szCs w:val="22"/>
              </w:rPr>
            </w:pPr>
          </w:p>
        </w:tc>
      </w:tr>
      <w:tr w14:paraId="18CA62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91" w:type="dxa"/>
            <w:vAlign w:val="center"/>
          </w:tcPr>
          <w:p w14:paraId="0F947CB2">
            <w:pPr>
              <w:pStyle w:val="85"/>
              <w:rPr>
                <w:color w:val="auto"/>
                <w:sz w:val="22"/>
                <w:szCs w:val="22"/>
              </w:rPr>
            </w:pPr>
            <w:r>
              <w:rPr>
                <w:color w:val="auto"/>
                <w:sz w:val="22"/>
                <w:szCs w:val="22"/>
              </w:rPr>
              <w:t>Урок 4</w:t>
            </w:r>
          </w:p>
        </w:tc>
        <w:tc>
          <w:tcPr>
            <w:tcW w:w="6405" w:type="dxa"/>
            <w:vAlign w:val="center"/>
          </w:tcPr>
          <w:p w14:paraId="58624391">
            <w:pPr>
              <w:pStyle w:val="85"/>
              <w:jc w:val="both"/>
              <w:rPr>
                <w:color w:val="auto"/>
                <w:sz w:val="22"/>
                <w:szCs w:val="22"/>
              </w:rPr>
            </w:pPr>
            <w:r>
              <w:rPr>
                <w:color w:val="auto"/>
                <w:sz w:val="22"/>
                <w:szCs w:val="22"/>
              </w:rPr>
              <w:t>Страницы истории: как Москва строилась</w:t>
            </w:r>
          </w:p>
        </w:tc>
        <w:tc>
          <w:tcPr>
            <w:tcW w:w="1473" w:type="dxa"/>
            <w:vAlign w:val="center"/>
          </w:tcPr>
          <w:p w14:paraId="50B6E69A">
            <w:pPr>
              <w:pStyle w:val="85"/>
              <w:rPr>
                <w:color w:val="auto"/>
                <w:sz w:val="22"/>
                <w:szCs w:val="22"/>
              </w:rPr>
            </w:pPr>
          </w:p>
        </w:tc>
      </w:tr>
      <w:tr w14:paraId="175148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91" w:type="dxa"/>
            <w:vAlign w:val="center"/>
          </w:tcPr>
          <w:p w14:paraId="6F49CD58">
            <w:pPr>
              <w:pStyle w:val="85"/>
              <w:rPr>
                <w:color w:val="auto"/>
                <w:sz w:val="22"/>
                <w:szCs w:val="22"/>
              </w:rPr>
            </w:pPr>
            <w:r>
              <w:rPr>
                <w:color w:val="auto"/>
                <w:sz w:val="22"/>
                <w:szCs w:val="22"/>
              </w:rPr>
              <w:t>Урок 5</w:t>
            </w:r>
          </w:p>
        </w:tc>
        <w:tc>
          <w:tcPr>
            <w:tcW w:w="6405" w:type="dxa"/>
            <w:vAlign w:val="center"/>
          </w:tcPr>
          <w:p w14:paraId="040B75EB">
            <w:pPr>
              <w:pStyle w:val="85"/>
              <w:jc w:val="both"/>
              <w:rPr>
                <w:color w:val="auto"/>
                <w:sz w:val="22"/>
                <w:szCs w:val="22"/>
              </w:rPr>
            </w:pPr>
            <w:r>
              <w:rPr>
                <w:color w:val="auto"/>
                <w:sz w:val="22"/>
                <w:szCs w:val="22"/>
              </w:rPr>
              <w:t>Санкт-Петербург - северная столица. Достопримечательности города</w:t>
            </w:r>
          </w:p>
        </w:tc>
        <w:tc>
          <w:tcPr>
            <w:tcW w:w="1473" w:type="dxa"/>
            <w:vAlign w:val="center"/>
          </w:tcPr>
          <w:p w14:paraId="11304A13">
            <w:pPr>
              <w:pStyle w:val="85"/>
              <w:rPr>
                <w:color w:val="auto"/>
                <w:sz w:val="22"/>
                <w:szCs w:val="22"/>
              </w:rPr>
            </w:pPr>
          </w:p>
        </w:tc>
      </w:tr>
      <w:tr w14:paraId="4AB32F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91" w:type="dxa"/>
            <w:vAlign w:val="center"/>
          </w:tcPr>
          <w:p w14:paraId="14589F6A">
            <w:pPr>
              <w:pStyle w:val="85"/>
              <w:rPr>
                <w:color w:val="auto"/>
                <w:sz w:val="22"/>
                <w:szCs w:val="22"/>
              </w:rPr>
            </w:pPr>
            <w:r>
              <w:rPr>
                <w:color w:val="auto"/>
                <w:sz w:val="22"/>
                <w:szCs w:val="22"/>
              </w:rPr>
              <w:t>Урок 6</w:t>
            </w:r>
          </w:p>
        </w:tc>
        <w:tc>
          <w:tcPr>
            <w:tcW w:w="6405" w:type="dxa"/>
            <w:vAlign w:val="center"/>
          </w:tcPr>
          <w:p w14:paraId="2A46FA1B">
            <w:pPr>
              <w:pStyle w:val="85"/>
              <w:jc w:val="both"/>
              <w:rPr>
                <w:color w:val="auto"/>
                <w:sz w:val="22"/>
                <w:szCs w:val="22"/>
              </w:rPr>
            </w:pPr>
            <w:r>
              <w:rPr>
                <w:color w:val="auto"/>
                <w:sz w:val="22"/>
                <w:szCs w:val="22"/>
              </w:rPr>
              <w:t>Народы России. Народы Севера: традиции, обычаи, праздники</w:t>
            </w:r>
          </w:p>
        </w:tc>
        <w:tc>
          <w:tcPr>
            <w:tcW w:w="1473" w:type="dxa"/>
            <w:vAlign w:val="center"/>
          </w:tcPr>
          <w:p w14:paraId="5F7CCD9C">
            <w:pPr>
              <w:pStyle w:val="85"/>
              <w:rPr>
                <w:color w:val="auto"/>
                <w:sz w:val="22"/>
                <w:szCs w:val="22"/>
              </w:rPr>
            </w:pPr>
          </w:p>
        </w:tc>
      </w:tr>
      <w:tr w14:paraId="77FEE2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91" w:type="dxa"/>
            <w:vAlign w:val="center"/>
          </w:tcPr>
          <w:p w14:paraId="23FECC07">
            <w:pPr>
              <w:pStyle w:val="85"/>
              <w:rPr>
                <w:color w:val="auto"/>
                <w:sz w:val="22"/>
                <w:szCs w:val="22"/>
              </w:rPr>
            </w:pPr>
            <w:r>
              <w:rPr>
                <w:color w:val="auto"/>
                <w:sz w:val="22"/>
                <w:szCs w:val="22"/>
              </w:rPr>
              <w:t>Урок 7</w:t>
            </w:r>
          </w:p>
        </w:tc>
        <w:tc>
          <w:tcPr>
            <w:tcW w:w="6405" w:type="dxa"/>
            <w:vAlign w:val="center"/>
          </w:tcPr>
          <w:p w14:paraId="7EB9658F">
            <w:pPr>
              <w:pStyle w:val="85"/>
              <w:jc w:val="both"/>
              <w:rPr>
                <w:color w:val="auto"/>
                <w:sz w:val="22"/>
                <w:szCs w:val="22"/>
              </w:rPr>
            </w:pPr>
            <w:r>
              <w:rPr>
                <w:color w:val="auto"/>
                <w:sz w:val="22"/>
                <w:szCs w:val="22"/>
              </w:rPr>
              <w:t>Народы Поволжья и других территорий Российской Федерации: традиции, обычаи, праздники</w:t>
            </w:r>
          </w:p>
        </w:tc>
        <w:tc>
          <w:tcPr>
            <w:tcW w:w="1473" w:type="dxa"/>
            <w:vAlign w:val="center"/>
          </w:tcPr>
          <w:p w14:paraId="0E8B79BC">
            <w:pPr>
              <w:pStyle w:val="85"/>
              <w:rPr>
                <w:color w:val="auto"/>
                <w:sz w:val="22"/>
                <w:szCs w:val="22"/>
              </w:rPr>
            </w:pPr>
          </w:p>
        </w:tc>
      </w:tr>
      <w:tr w14:paraId="6B4577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91" w:type="dxa"/>
            <w:vAlign w:val="center"/>
          </w:tcPr>
          <w:p w14:paraId="76D9CA93">
            <w:pPr>
              <w:pStyle w:val="85"/>
              <w:rPr>
                <w:color w:val="auto"/>
                <w:sz w:val="22"/>
                <w:szCs w:val="22"/>
              </w:rPr>
            </w:pPr>
            <w:r>
              <w:rPr>
                <w:color w:val="auto"/>
                <w:sz w:val="22"/>
                <w:szCs w:val="22"/>
              </w:rPr>
              <w:t>Урок 8</w:t>
            </w:r>
          </w:p>
        </w:tc>
        <w:tc>
          <w:tcPr>
            <w:tcW w:w="6405" w:type="dxa"/>
            <w:vAlign w:val="center"/>
          </w:tcPr>
          <w:p w14:paraId="6AB83E91">
            <w:pPr>
              <w:pStyle w:val="85"/>
              <w:jc w:val="both"/>
              <w:rPr>
                <w:color w:val="auto"/>
                <w:sz w:val="22"/>
                <w:szCs w:val="22"/>
              </w:rPr>
            </w:pPr>
            <w:r>
              <w:rPr>
                <w:color w:val="auto"/>
                <w:sz w:val="22"/>
                <w:szCs w:val="22"/>
              </w:rPr>
              <w:t>Родной край, его природные достопримечательности</w:t>
            </w:r>
          </w:p>
        </w:tc>
        <w:tc>
          <w:tcPr>
            <w:tcW w:w="1473" w:type="dxa"/>
            <w:vAlign w:val="center"/>
          </w:tcPr>
          <w:p w14:paraId="3FD8FD4B">
            <w:pPr>
              <w:pStyle w:val="85"/>
              <w:rPr>
                <w:color w:val="auto"/>
                <w:sz w:val="22"/>
                <w:szCs w:val="22"/>
              </w:rPr>
            </w:pPr>
          </w:p>
        </w:tc>
      </w:tr>
      <w:tr w14:paraId="594895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91" w:type="dxa"/>
            <w:vAlign w:val="center"/>
          </w:tcPr>
          <w:p w14:paraId="2099322F">
            <w:pPr>
              <w:pStyle w:val="85"/>
              <w:rPr>
                <w:color w:val="auto"/>
                <w:sz w:val="22"/>
                <w:szCs w:val="22"/>
              </w:rPr>
            </w:pPr>
            <w:r>
              <w:rPr>
                <w:color w:val="auto"/>
                <w:sz w:val="22"/>
                <w:szCs w:val="22"/>
              </w:rPr>
              <w:t>Урок 9</w:t>
            </w:r>
          </w:p>
        </w:tc>
        <w:tc>
          <w:tcPr>
            <w:tcW w:w="6405" w:type="dxa"/>
            <w:vAlign w:val="center"/>
          </w:tcPr>
          <w:p w14:paraId="74B789DD">
            <w:pPr>
              <w:pStyle w:val="85"/>
              <w:jc w:val="both"/>
              <w:rPr>
                <w:color w:val="auto"/>
                <w:sz w:val="22"/>
                <w:szCs w:val="22"/>
              </w:rPr>
            </w:pPr>
            <w:r>
              <w:rPr>
                <w:color w:val="auto"/>
                <w:sz w:val="22"/>
                <w:szCs w:val="22"/>
              </w:rPr>
              <w:t>Значимые события истории родного края. Исторические памятники, старинные постройки</w:t>
            </w:r>
          </w:p>
        </w:tc>
        <w:tc>
          <w:tcPr>
            <w:tcW w:w="1473" w:type="dxa"/>
            <w:vAlign w:val="center"/>
          </w:tcPr>
          <w:p w14:paraId="72BDB2A6">
            <w:pPr>
              <w:pStyle w:val="85"/>
              <w:rPr>
                <w:color w:val="auto"/>
                <w:sz w:val="22"/>
                <w:szCs w:val="22"/>
              </w:rPr>
            </w:pPr>
          </w:p>
        </w:tc>
      </w:tr>
      <w:tr w14:paraId="7CFC39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91" w:type="dxa"/>
            <w:vAlign w:val="center"/>
          </w:tcPr>
          <w:p w14:paraId="22E65DC1">
            <w:pPr>
              <w:pStyle w:val="85"/>
              <w:rPr>
                <w:color w:val="auto"/>
                <w:sz w:val="22"/>
                <w:szCs w:val="22"/>
              </w:rPr>
            </w:pPr>
            <w:r>
              <w:rPr>
                <w:color w:val="auto"/>
                <w:sz w:val="22"/>
                <w:szCs w:val="22"/>
              </w:rPr>
              <w:t>Урок 10</w:t>
            </w:r>
          </w:p>
        </w:tc>
        <w:tc>
          <w:tcPr>
            <w:tcW w:w="6405" w:type="dxa"/>
            <w:vAlign w:val="center"/>
          </w:tcPr>
          <w:p w14:paraId="51531469">
            <w:pPr>
              <w:pStyle w:val="85"/>
              <w:jc w:val="both"/>
              <w:rPr>
                <w:color w:val="auto"/>
                <w:sz w:val="22"/>
                <w:szCs w:val="22"/>
              </w:rPr>
            </w:pPr>
            <w:r>
              <w:rPr>
                <w:color w:val="auto"/>
                <w:sz w:val="22"/>
                <w:szCs w:val="22"/>
              </w:rPr>
              <w:t>Наш регион, какой он? Культура родного края Родной край, его культурные достопримечательности</w:t>
            </w:r>
          </w:p>
        </w:tc>
        <w:tc>
          <w:tcPr>
            <w:tcW w:w="1473" w:type="dxa"/>
            <w:vAlign w:val="center"/>
          </w:tcPr>
          <w:p w14:paraId="2B783CC2">
            <w:pPr>
              <w:pStyle w:val="85"/>
              <w:rPr>
                <w:color w:val="auto"/>
                <w:sz w:val="22"/>
                <w:szCs w:val="22"/>
              </w:rPr>
            </w:pPr>
          </w:p>
        </w:tc>
      </w:tr>
      <w:tr w14:paraId="7FE59E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91" w:type="dxa"/>
            <w:vAlign w:val="center"/>
          </w:tcPr>
          <w:p w14:paraId="5A95A366">
            <w:pPr>
              <w:pStyle w:val="85"/>
              <w:rPr>
                <w:color w:val="auto"/>
                <w:sz w:val="22"/>
                <w:szCs w:val="22"/>
              </w:rPr>
            </w:pPr>
            <w:r>
              <w:rPr>
                <w:color w:val="auto"/>
                <w:sz w:val="22"/>
                <w:szCs w:val="22"/>
              </w:rPr>
              <w:t>Урок 11</w:t>
            </w:r>
          </w:p>
        </w:tc>
        <w:tc>
          <w:tcPr>
            <w:tcW w:w="6405" w:type="dxa"/>
            <w:vAlign w:val="center"/>
          </w:tcPr>
          <w:p w14:paraId="05CA5F44">
            <w:pPr>
              <w:pStyle w:val="85"/>
              <w:jc w:val="both"/>
              <w:rPr>
                <w:color w:val="auto"/>
                <w:sz w:val="22"/>
                <w:szCs w:val="22"/>
              </w:rPr>
            </w:pPr>
            <w:r>
              <w:rPr>
                <w:color w:val="auto"/>
                <w:sz w:val="22"/>
                <w:szCs w:val="22"/>
              </w:rPr>
              <w:t>Мир профессий жителей нашего региона</w:t>
            </w:r>
          </w:p>
        </w:tc>
        <w:tc>
          <w:tcPr>
            <w:tcW w:w="1473" w:type="dxa"/>
            <w:vAlign w:val="center"/>
          </w:tcPr>
          <w:p w14:paraId="512ABA03">
            <w:pPr>
              <w:pStyle w:val="85"/>
              <w:rPr>
                <w:color w:val="auto"/>
                <w:sz w:val="22"/>
                <w:szCs w:val="22"/>
              </w:rPr>
            </w:pPr>
          </w:p>
        </w:tc>
      </w:tr>
      <w:tr w14:paraId="493328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91" w:type="dxa"/>
            <w:vAlign w:val="center"/>
          </w:tcPr>
          <w:p w14:paraId="1A1C7D88">
            <w:pPr>
              <w:pStyle w:val="85"/>
              <w:rPr>
                <w:color w:val="auto"/>
                <w:sz w:val="22"/>
                <w:szCs w:val="22"/>
              </w:rPr>
            </w:pPr>
            <w:r>
              <w:rPr>
                <w:color w:val="auto"/>
                <w:sz w:val="22"/>
                <w:szCs w:val="22"/>
              </w:rPr>
              <w:t>Урок 12</w:t>
            </w:r>
          </w:p>
        </w:tc>
        <w:tc>
          <w:tcPr>
            <w:tcW w:w="6405" w:type="dxa"/>
            <w:vAlign w:val="center"/>
          </w:tcPr>
          <w:p w14:paraId="4810278D">
            <w:pPr>
              <w:pStyle w:val="85"/>
              <w:jc w:val="both"/>
              <w:rPr>
                <w:color w:val="auto"/>
                <w:sz w:val="22"/>
                <w:szCs w:val="22"/>
              </w:rPr>
            </w:pPr>
            <w:r>
              <w:rPr>
                <w:color w:val="auto"/>
                <w:sz w:val="22"/>
                <w:szCs w:val="22"/>
              </w:rPr>
              <w:t>Зачем человек трудится? Ценность труда и трудолюбия</w:t>
            </w:r>
          </w:p>
        </w:tc>
        <w:tc>
          <w:tcPr>
            <w:tcW w:w="1473" w:type="dxa"/>
            <w:vAlign w:val="center"/>
          </w:tcPr>
          <w:p w14:paraId="5CB29636">
            <w:pPr>
              <w:pStyle w:val="85"/>
              <w:rPr>
                <w:color w:val="auto"/>
                <w:sz w:val="22"/>
                <w:szCs w:val="22"/>
              </w:rPr>
            </w:pPr>
          </w:p>
        </w:tc>
      </w:tr>
      <w:tr w14:paraId="176E9C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91" w:type="dxa"/>
            <w:vAlign w:val="center"/>
          </w:tcPr>
          <w:p w14:paraId="30EA0423">
            <w:pPr>
              <w:pStyle w:val="85"/>
              <w:rPr>
                <w:color w:val="auto"/>
                <w:sz w:val="22"/>
                <w:szCs w:val="22"/>
              </w:rPr>
            </w:pPr>
            <w:r>
              <w:rPr>
                <w:color w:val="auto"/>
                <w:sz w:val="22"/>
                <w:szCs w:val="22"/>
              </w:rPr>
              <w:t>Урок 13</w:t>
            </w:r>
          </w:p>
        </w:tc>
        <w:tc>
          <w:tcPr>
            <w:tcW w:w="6405" w:type="dxa"/>
            <w:vAlign w:val="center"/>
          </w:tcPr>
          <w:p w14:paraId="738FDD6B">
            <w:pPr>
              <w:pStyle w:val="85"/>
              <w:jc w:val="both"/>
              <w:rPr>
                <w:color w:val="auto"/>
                <w:sz w:val="22"/>
                <w:szCs w:val="22"/>
              </w:rPr>
            </w:pPr>
            <w:r>
              <w:rPr>
                <w:color w:val="auto"/>
                <w:sz w:val="22"/>
                <w:szCs w:val="22"/>
              </w:rPr>
              <w:t>Родословная. Родословное древо, история семьи. Предшествующие поколения</w:t>
            </w:r>
          </w:p>
        </w:tc>
        <w:tc>
          <w:tcPr>
            <w:tcW w:w="1473" w:type="dxa"/>
            <w:vAlign w:val="center"/>
          </w:tcPr>
          <w:p w14:paraId="40C0695A">
            <w:pPr>
              <w:pStyle w:val="85"/>
              <w:rPr>
                <w:color w:val="auto"/>
                <w:sz w:val="22"/>
                <w:szCs w:val="22"/>
              </w:rPr>
            </w:pPr>
          </w:p>
        </w:tc>
      </w:tr>
      <w:tr w14:paraId="0CDBDE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91" w:type="dxa"/>
            <w:vAlign w:val="center"/>
          </w:tcPr>
          <w:p w14:paraId="47E61015">
            <w:pPr>
              <w:pStyle w:val="85"/>
              <w:rPr>
                <w:color w:val="auto"/>
                <w:sz w:val="22"/>
                <w:szCs w:val="22"/>
              </w:rPr>
            </w:pPr>
            <w:r>
              <w:rPr>
                <w:color w:val="auto"/>
                <w:sz w:val="22"/>
                <w:szCs w:val="22"/>
              </w:rPr>
              <w:t>Урок 14</w:t>
            </w:r>
          </w:p>
        </w:tc>
        <w:tc>
          <w:tcPr>
            <w:tcW w:w="6405" w:type="dxa"/>
            <w:vAlign w:val="center"/>
          </w:tcPr>
          <w:p w14:paraId="05DBFC1B">
            <w:pPr>
              <w:pStyle w:val="85"/>
              <w:jc w:val="both"/>
              <w:rPr>
                <w:color w:val="auto"/>
                <w:sz w:val="22"/>
                <w:szCs w:val="22"/>
              </w:rPr>
            </w:pPr>
            <w:r>
              <w:rPr>
                <w:color w:val="auto"/>
                <w:sz w:val="22"/>
                <w:szCs w:val="22"/>
              </w:rPr>
              <w:t>Семейные ценности и традиции. Труд, досуг, занятия членов семьи</w:t>
            </w:r>
          </w:p>
        </w:tc>
        <w:tc>
          <w:tcPr>
            <w:tcW w:w="1473" w:type="dxa"/>
            <w:vAlign w:val="center"/>
          </w:tcPr>
          <w:p w14:paraId="1ABD5AD4">
            <w:pPr>
              <w:pStyle w:val="85"/>
              <w:rPr>
                <w:color w:val="auto"/>
                <w:sz w:val="22"/>
                <w:szCs w:val="22"/>
              </w:rPr>
            </w:pPr>
          </w:p>
        </w:tc>
      </w:tr>
      <w:tr w14:paraId="0546FA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91" w:type="dxa"/>
            <w:vAlign w:val="center"/>
          </w:tcPr>
          <w:p w14:paraId="50692888">
            <w:pPr>
              <w:pStyle w:val="85"/>
              <w:rPr>
                <w:color w:val="auto"/>
                <w:sz w:val="22"/>
                <w:szCs w:val="22"/>
              </w:rPr>
            </w:pPr>
            <w:r>
              <w:rPr>
                <w:color w:val="auto"/>
                <w:sz w:val="22"/>
                <w:szCs w:val="22"/>
              </w:rPr>
              <w:t>Урок 15</w:t>
            </w:r>
          </w:p>
        </w:tc>
        <w:tc>
          <w:tcPr>
            <w:tcW w:w="6405" w:type="dxa"/>
            <w:vAlign w:val="center"/>
          </w:tcPr>
          <w:p w14:paraId="491EAFEC">
            <w:pPr>
              <w:pStyle w:val="85"/>
              <w:jc w:val="both"/>
              <w:rPr>
                <w:color w:val="auto"/>
                <w:sz w:val="22"/>
                <w:szCs w:val="22"/>
              </w:rPr>
            </w:pPr>
            <w:r>
              <w:rPr>
                <w:color w:val="auto"/>
                <w:sz w:val="22"/>
                <w:szCs w:val="22"/>
              </w:rPr>
              <w:t>Правила культурного поведения в общественных местах: кинотеатре, театре, торговом центре, музее</w:t>
            </w:r>
          </w:p>
        </w:tc>
        <w:tc>
          <w:tcPr>
            <w:tcW w:w="1473" w:type="dxa"/>
            <w:vAlign w:val="center"/>
          </w:tcPr>
          <w:p w14:paraId="6965A2AC">
            <w:pPr>
              <w:pStyle w:val="85"/>
              <w:rPr>
                <w:color w:val="auto"/>
                <w:sz w:val="22"/>
                <w:szCs w:val="22"/>
              </w:rPr>
            </w:pPr>
          </w:p>
        </w:tc>
      </w:tr>
      <w:tr w14:paraId="77C682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91" w:type="dxa"/>
            <w:vAlign w:val="center"/>
          </w:tcPr>
          <w:p w14:paraId="3E42B673">
            <w:pPr>
              <w:pStyle w:val="85"/>
              <w:rPr>
                <w:color w:val="auto"/>
                <w:sz w:val="22"/>
                <w:szCs w:val="22"/>
              </w:rPr>
            </w:pPr>
            <w:r>
              <w:rPr>
                <w:color w:val="auto"/>
                <w:sz w:val="22"/>
                <w:szCs w:val="22"/>
              </w:rPr>
              <w:t>Урок 16</w:t>
            </w:r>
          </w:p>
        </w:tc>
        <w:tc>
          <w:tcPr>
            <w:tcW w:w="6405" w:type="dxa"/>
            <w:vAlign w:val="center"/>
          </w:tcPr>
          <w:p w14:paraId="41EE9B4E">
            <w:pPr>
              <w:pStyle w:val="85"/>
              <w:jc w:val="both"/>
              <w:rPr>
                <w:color w:val="auto"/>
                <w:sz w:val="22"/>
                <w:szCs w:val="22"/>
              </w:rPr>
            </w:pPr>
            <w:r>
              <w:rPr>
                <w:color w:val="auto"/>
                <w:sz w:val="22"/>
                <w:szCs w:val="22"/>
              </w:rPr>
              <w:t>Главные правила взаимоотношений членов общества: доброта, справедливость, честность, уважение к чужому мнению</w:t>
            </w:r>
          </w:p>
        </w:tc>
        <w:tc>
          <w:tcPr>
            <w:tcW w:w="1473" w:type="dxa"/>
            <w:vAlign w:val="center"/>
          </w:tcPr>
          <w:p w14:paraId="3DA0858F">
            <w:pPr>
              <w:pStyle w:val="85"/>
              <w:rPr>
                <w:color w:val="auto"/>
                <w:sz w:val="22"/>
                <w:szCs w:val="22"/>
              </w:rPr>
            </w:pPr>
          </w:p>
        </w:tc>
      </w:tr>
      <w:tr w14:paraId="67AD7D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91" w:type="dxa"/>
            <w:vAlign w:val="center"/>
          </w:tcPr>
          <w:p w14:paraId="612C2FD1">
            <w:pPr>
              <w:pStyle w:val="85"/>
              <w:rPr>
                <w:color w:val="auto"/>
                <w:sz w:val="22"/>
                <w:szCs w:val="22"/>
              </w:rPr>
            </w:pPr>
            <w:r>
              <w:rPr>
                <w:color w:val="auto"/>
                <w:sz w:val="22"/>
                <w:szCs w:val="22"/>
              </w:rPr>
              <w:t>Урок 17</w:t>
            </w:r>
          </w:p>
        </w:tc>
        <w:tc>
          <w:tcPr>
            <w:tcW w:w="6405" w:type="dxa"/>
            <w:vAlign w:val="center"/>
          </w:tcPr>
          <w:p w14:paraId="74FB109E">
            <w:pPr>
              <w:pStyle w:val="85"/>
              <w:jc w:val="both"/>
              <w:rPr>
                <w:color w:val="auto"/>
                <w:sz w:val="22"/>
                <w:szCs w:val="22"/>
              </w:rPr>
            </w:pPr>
            <w:r>
              <w:rPr>
                <w:color w:val="auto"/>
                <w:sz w:val="22"/>
                <w:szCs w:val="22"/>
              </w:rPr>
              <w:t>Резервный урок. Древние кремлевские города: Нижний Новгород, Псков, Смоленск</w:t>
            </w:r>
          </w:p>
        </w:tc>
        <w:tc>
          <w:tcPr>
            <w:tcW w:w="1473" w:type="dxa"/>
            <w:vAlign w:val="center"/>
          </w:tcPr>
          <w:p w14:paraId="14AEA895">
            <w:pPr>
              <w:pStyle w:val="85"/>
              <w:rPr>
                <w:color w:val="auto"/>
                <w:sz w:val="22"/>
                <w:szCs w:val="22"/>
              </w:rPr>
            </w:pPr>
          </w:p>
        </w:tc>
      </w:tr>
      <w:tr w14:paraId="56F257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191" w:type="dxa"/>
            <w:vAlign w:val="center"/>
          </w:tcPr>
          <w:p w14:paraId="6C63419A">
            <w:pPr>
              <w:pStyle w:val="85"/>
              <w:rPr>
                <w:color w:val="auto"/>
                <w:sz w:val="22"/>
                <w:szCs w:val="22"/>
              </w:rPr>
            </w:pPr>
            <w:r>
              <w:rPr>
                <w:color w:val="auto"/>
                <w:sz w:val="22"/>
                <w:szCs w:val="22"/>
              </w:rPr>
              <w:t>Урок 18</w:t>
            </w:r>
          </w:p>
        </w:tc>
        <w:tc>
          <w:tcPr>
            <w:tcW w:w="6405" w:type="dxa"/>
            <w:vAlign w:val="center"/>
          </w:tcPr>
          <w:p w14:paraId="30B4EA0B">
            <w:pPr>
              <w:pStyle w:val="85"/>
              <w:jc w:val="both"/>
              <w:rPr>
                <w:color w:val="auto"/>
                <w:sz w:val="22"/>
                <w:szCs w:val="22"/>
              </w:rPr>
            </w:pPr>
            <w:r>
              <w:rPr>
                <w:color w:val="auto"/>
                <w:sz w:val="22"/>
                <w:szCs w:val="22"/>
              </w:rPr>
              <w:t>Резервный урок. Взаимоотношения членов семьи: отношение к детям и старшему поколению</w:t>
            </w:r>
          </w:p>
        </w:tc>
        <w:tc>
          <w:tcPr>
            <w:tcW w:w="1473" w:type="dxa"/>
            <w:vAlign w:val="center"/>
          </w:tcPr>
          <w:p w14:paraId="4778843B">
            <w:pPr>
              <w:pStyle w:val="85"/>
              <w:rPr>
                <w:color w:val="auto"/>
                <w:sz w:val="22"/>
                <w:szCs w:val="22"/>
              </w:rPr>
            </w:pPr>
          </w:p>
        </w:tc>
      </w:tr>
      <w:tr w14:paraId="7393AA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91" w:type="dxa"/>
            <w:vAlign w:val="center"/>
          </w:tcPr>
          <w:p w14:paraId="4F28F002">
            <w:pPr>
              <w:pStyle w:val="85"/>
              <w:rPr>
                <w:color w:val="auto"/>
                <w:sz w:val="22"/>
                <w:szCs w:val="22"/>
              </w:rPr>
            </w:pPr>
            <w:r>
              <w:rPr>
                <w:color w:val="auto"/>
                <w:sz w:val="22"/>
                <w:szCs w:val="22"/>
              </w:rPr>
              <w:t>Урок 19</w:t>
            </w:r>
          </w:p>
        </w:tc>
        <w:tc>
          <w:tcPr>
            <w:tcW w:w="6405" w:type="dxa"/>
            <w:vAlign w:val="center"/>
          </w:tcPr>
          <w:p w14:paraId="1AB0BDB9">
            <w:pPr>
              <w:pStyle w:val="85"/>
              <w:jc w:val="both"/>
              <w:rPr>
                <w:color w:val="auto"/>
                <w:sz w:val="22"/>
                <w:szCs w:val="22"/>
              </w:rPr>
            </w:pPr>
            <w:r>
              <w:rPr>
                <w:color w:val="auto"/>
                <w:sz w:val="22"/>
                <w:szCs w:val="22"/>
              </w:rPr>
              <w:t>Резервный урок. Тематическое повторение по разделу "Человек и общество"</w:t>
            </w:r>
          </w:p>
        </w:tc>
        <w:tc>
          <w:tcPr>
            <w:tcW w:w="1473" w:type="dxa"/>
            <w:vAlign w:val="center"/>
          </w:tcPr>
          <w:p w14:paraId="0BB26985">
            <w:pPr>
              <w:pStyle w:val="85"/>
              <w:rPr>
                <w:color w:val="auto"/>
                <w:sz w:val="22"/>
                <w:szCs w:val="22"/>
              </w:rPr>
            </w:pPr>
          </w:p>
        </w:tc>
      </w:tr>
      <w:tr w14:paraId="4CD4F9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191" w:type="dxa"/>
            <w:vAlign w:val="center"/>
          </w:tcPr>
          <w:p w14:paraId="71A4B3CA">
            <w:pPr>
              <w:pStyle w:val="85"/>
              <w:rPr>
                <w:color w:val="auto"/>
                <w:sz w:val="22"/>
                <w:szCs w:val="22"/>
              </w:rPr>
            </w:pPr>
            <w:r>
              <w:rPr>
                <w:color w:val="auto"/>
                <w:sz w:val="22"/>
                <w:szCs w:val="22"/>
              </w:rPr>
              <w:t>Урок 20</w:t>
            </w:r>
          </w:p>
        </w:tc>
        <w:tc>
          <w:tcPr>
            <w:tcW w:w="6405" w:type="dxa"/>
            <w:vAlign w:val="center"/>
          </w:tcPr>
          <w:p w14:paraId="20FDE949">
            <w:pPr>
              <w:pStyle w:val="85"/>
              <w:jc w:val="both"/>
              <w:rPr>
                <w:color w:val="auto"/>
                <w:sz w:val="22"/>
                <w:szCs w:val="22"/>
              </w:rPr>
            </w:pPr>
            <w:r>
              <w:rPr>
                <w:color w:val="auto"/>
                <w:sz w:val="22"/>
                <w:szCs w:val="22"/>
              </w:rPr>
              <w:t>Как человек познает окружающую природу? Особенности разных методов познания окружающего мира</w:t>
            </w:r>
          </w:p>
        </w:tc>
        <w:tc>
          <w:tcPr>
            <w:tcW w:w="1473" w:type="dxa"/>
            <w:vAlign w:val="center"/>
          </w:tcPr>
          <w:p w14:paraId="3CE3252D">
            <w:pPr>
              <w:pStyle w:val="85"/>
              <w:rPr>
                <w:color w:val="auto"/>
                <w:sz w:val="22"/>
                <w:szCs w:val="22"/>
              </w:rPr>
            </w:pPr>
          </w:p>
        </w:tc>
      </w:tr>
      <w:tr w14:paraId="64A4DB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91" w:type="dxa"/>
            <w:vAlign w:val="center"/>
          </w:tcPr>
          <w:p w14:paraId="70F81C4D">
            <w:pPr>
              <w:pStyle w:val="85"/>
              <w:rPr>
                <w:color w:val="auto"/>
                <w:sz w:val="22"/>
                <w:szCs w:val="22"/>
              </w:rPr>
            </w:pPr>
            <w:r>
              <w:rPr>
                <w:color w:val="auto"/>
                <w:sz w:val="22"/>
                <w:szCs w:val="22"/>
              </w:rPr>
              <w:t>Урок 21</w:t>
            </w:r>
          </w:p>
        </w:tc>
        <w:tc>
          <w:tcPr>
            <w:tcW w:w="6405" w:type="dxa"/>
            <w:vAlign w:val="center"/>
          </w:tcPr>
          <w:p w14:paraId="422D4092">
            <w:pPr>
              <w:pStyle w:val="85"/>
              <w:jc w:val="both"/>
              <w:rPr>
                <w:color w:val="auto"/>
                <w:sz w:val="22"/>
                <w:szCs w:val="22"/>
              </w:rPr>
            </w:pPr>
            <w:r>
              <w:rPr>
                <w:color w:val="auto"/>
                <w:sz w:val="22"/>
                <w:szCs w:val="22"/>
              </w:rPr>
              <w:t>Звездное небо: звезды и созвездия. Солнечная система: планеты (название, расположение от Солнца, краткая характеристика)</w:t>
            </w:r>
          </w:p>
        </w:tc>
        <w:tc>
          <w:tcPr>
            <w:tcW w:w="1473" w:type="dxa"/>
            <w:vAlign w:val="center"/>
          </w:tcPr>
          <w:p w14:paraId="69CE7AE2">
            <w:pPr>
              <w:pStyle w:val="85"/>
              <w:rPr>
                <w:color w:val="auto"/>
                <w:sz w:val="22"/>
                <w:szCs w:val="22"/>
              </w:rPr>
            </w:pPr>
          </w:p>
        </w:tc>
      </w:tr>
      <w:tr w14:paraId="76A396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91" w:type="dxa"/>
            <w:vAlign w:val="center"/>
          </w:tcPr>
          <w:p w14:paraId="145C5C45">
            <w:pPr>
              <w:pStyle w:val="85"/>
              <w:rPr>
                <w:color w:val="auto"/>
                <w:sz w:val="22"/>
                <w:szCs w:val="22"/>
              </w:rPr>
            </w:pPr>
            <w:r>
              <w:rPr>
                <w:color w:val="auto"/>
                <w:sz w:val="22"/>
                <w:szCs w:val="22"/>
              </w:rPr>
              <w:t>Урок 22</w:t>
            </w:r>
          </w:p>
        </w:tc>
        <w:tc>
          <w:tcPr>
            <w:tcW w:w="6405" w:type="dxa"/>
            <w:vAlign w:val="center"/>
          </w:tcPr>
          <w:p w14:paraId="49AC542A">
            <w:pPr>
              <w:pStyle w:val="85"/>
              <w:jc w:val="both"/>
              <w:rPr>
                <w:color w:val="auto"/>
                <w:sz w:val="22"/>
                <w:szCs w:val="22"/>
              </w:rPr>
            </w:pPr>
            <w:r>
              <w:rPr>
                <w:color w:val="auto"/>
                <w:sz w:val="22"/>
                <w:szCs w:val="22"/>
              </w:rPr>
              <w:t>Земля - живая планета Солнечной системы</w:t>
            </w:r>
          </w:p>
        </w:tc>
        <w:tc>
          <w:tcPr>
            <w:tcW w:w="1473" w:type="dxa"/>
            <w:vAlign w:val="center"/>
          </w:tcPr>
          <w:p w14:paraId="11CCEC98">
            <w:pPr>
              <w:pStyle w:val="85"/>
              <w:rPr>
                <w:color w:val="auto"/>
                <w:sz w:val="22"/>
                <w:szCs w:val="22"/>
              </w:rPr>
            </w:pPr>
          </w:p>
        </w:tc>
      </w:tr>
      <w:tr w14:paraId="58F31A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91" w:type="dxa"/>
            <w:vAlign w:val="center"/>
          </w:tcPr>
          <w:p w14:paraId="02390628">
            <w:pPr>
              <w:pStyle w:val="85"/>
              <w:rPr>
                <w:color w:val="auto"/>
                <w:sz w:val="22"/>
                <w:szCs w:val="22"/>
              </w:rPr>
            </w:pPr>
            <w:r>
              <w:rPr>
                <w:color w:val="auto"/>
                <w:sz w:val="22"/>
                <w:szCs w:val="22"/>
              </w:rPr>
              <w:t>Урок 23</w:t>
            </w:r>
          </w:p>
        </w:tc>
        <w:tc>
          <w:tcPr>
            <w:tcW w:w="6405" w:type="dxa"/>
            <w:vAlign w:val="center"/>
          </w:tcPr>
          <w:p w14:paraId="45898A0D">
            <w:pPr>
              <w:pStyle w:val="85"/>
              <w:jc w:val="both"/>
              <w:rPr>
                <w:color w:val="auto"/>
                <w:sz w:val="22"/>
                <w:szCs w:val="22"/>
              </w:rPr>
            </w:pPr>
            <w:r>
              <w:rPr>
                <w:color w:val="auto"/>
                <w:sz w:val="22"/>
                <w:szCs w:val="22"/>
              </w:rPr>
              <w:t>Почему на Земле есть жизнь? Условия жизни на Земле</w:t>
            </w:r>
          </w:p>
        </w:tc>
        <w:tc>
          <w:tcPr>
            <w:tcW w:w="1473" w:type="dxa"/>
            <w:vAlign w:val="center"/>
          </w:tcPr>
          <w:p w14:paraId="2E8E1FB8">
            <w:pPr>
              <w:pStyle w:val="85"/>
              <w:rPr>
                <w:color w:val="auto"/>
                <w:sz w:val="22"/>
                <w:szCs w:val="22"/>
              </w:rPr>
            </w:pPr>
          </w:p>
        </w:tc>
      </w:tr>
      <w:tr w14:paraId="6EBA7E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91" w:type="dxa"/>
            <w:vAlign w:val="center"/>
          </w:tcPr>
          <w:p w14:paraId="578BDA78">
            <w:pPr>
              <w:pStyle w:val="85"/>
              <w:rPr>
                <w:color w:val="auto"/>
                <w:sz w:val="22"/>
                <w:szCs w:val="22"/>
              </w:rPr>
            </w:pPr>
            <w:r>
              <w:rPr>
                <w:color w:val="auto"/>
                <w:sz w:val="22"/>
                <w:szCs w:val="22"/>
              </w:rPr>
              <w:t>Урок 24</w:t>
            </w:r>
          </w:p>
        </w:tc>
        <w:tc>
          <w:tcPr>
            <w:tcW w:w="6405" w:type="dxa"/>
            <w:vAlign w:val="center"/>
          </w:tcPr>
          <w:p w14:paraId="3DD4A63D">
            <w:pPr>
              <w:pStyle w:val="85"/>
              <w:jc w:val="both"/>
              <w:rPr>
                <w:color w:val="auto"/>
                <w:sz w:val="22"/>
                <w:szCs w:val="22"/>
              </w:rPr>
            </w:pPr>
            <w:r>
              <w:rPr>
                <w:color w:val="auto"/>
                <w:sz w:val="22"/>
                <w:szCs w:val="22"/>
              </w:rPr>
              <w:t>Модели Земли. Практическая работа</w:t>
            </w:r>
          </w:p>
        </w:tc>
        <w:tc>
          <w:tcPr>
            <w:tcW w:w="1473" w:type="dxa"/>
          </w:tcPr>
          <w:p w14:paraId="222F795E">
            <w:pPr>
              <w:pStyle w:val="85"/>
              <w:jc w:val="center"/>
              <w:rPr>
                <w:color w:val="auto"/>
                <w:sz w:val="22"/>
                <w:szCs w:val="22"/>
              </w:rPr>
            </w:pPr>
            <w:r>
              <w:rPr>
                <w:color w:val="auto"/>
                <w:sz w:val="22"/>
                <w:szCs w:val="22"/>
              </w:rPr>
              <w:t>1</w:t>
            </w:r>
          </w:p>
        </w:tc>
      </w:tr>
      <w:tr w14:paraId="2FA121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91" w:type="dxa"/>
            <w:vAlign w:val="center"/>
          </w:tcPr>
          <w:p w14:paraId="531895D7">
            <w:pPr>
              <w:pStyle w:val="85"/>
              <w:rPr>
                <w:color w:val="auto"/>
                <w:sz w:val="22"/>
                <w:szCs w:val="22"/>
              </w:rPr>
            </w:pPr>
            <w:r>
              <w:rPr>
                <w:color w:val="auto"/>
                <w:sz w:val="22"/>
                <w:szCs w:val="22"/>
              </w:rPr>
              <w:t>Урок 25</w:t>
            </w:r>
          </w:p>
        </w:tc>
        <w:tc>
          <w:tcPr>
            <w:tcW w:w="6405" w:type="dxa"/>
            <w:vAlign w:val="center"/>
          </w:tcPr>
          <w:p w14:paraId="38F43803">
            <w:pPr>
              <w:pStyle w:val="85"/>
              <w:jc w:val="both"/>
              <w:rPr>
                <w:color w:val="auto"/>
                <w:sz w:val="22"/>
                <w:szCs w:val="22"/>
              </w:rPr>
            </w:pPr>
            <w:r>
              <w:rPr>
                <w:color w:val="auto"/>
                <w:sz w:val="22"/>
                <w:szCs w:val="22"/>
              </w:rPr>
              <w:t>Ориентирование на местности. Практическая работа</w:t>
            </w:r>
          </w:p>
        </w:tc>
        <w:tc>
          <w:tcPr>
            <w:tcW w:w="1473" w:type="dxa"/>
          </w:tcPr>
          <w:p w14:paraId="31072FFD">
            <w:pPr>
              <w:pStyle w:val="85"/>
              <w:jc w:val="center"/>
              <w:rPr>
                <w:color w:val="auto"/>
                <w:sz w:val="22"/>
                <w:szCs w:val="22"/>
              </w:rPr>
            </w:pPr>
            <w:r>
              <w:rPr>
                <w:color w:val="auto"/>
                <w:sz w:val="22"/>
                <w:szCs w:val="22"/>
              </w:rPr>
              <w:t>1</w:t>
            </w:r>
          </w:p>
        </w:tc>
      </w:tr>
      <w:tr w14:paraId="60B08D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91" w:type="dxa"/>
            <w:vAlign w:val="center"/>
          </w:tcPr>
          <w:p w14:paraId="4460DD69">
            <w:pPr>
              <w:pStyle w:val="85"/>
              <w:rPr>
                <w:color w:val="auto"/>
                <w:sz w:val="22"/>
                <w:szCs w:val="22"/>
              </w:rPr>
            </w:pPr>
            <w:r>
              <w:rPr>
                <w:color w:val="auto"/>
                <w:sz w:val="22"/>
                <w:szCs w:val="22"/>
              </w:rPr>
              <w:t>Урок 26</w:t>
            </w:r>
          </w:p>
        </w:tc>
        <w:tc>
          <w:tcPr>
            <w:tcW w:w="6405" w:type="dxa"/>
            <w:vAlign w:val="center"/>
          </w:tcPr>
          <w:p w14:paraId="15E4963F">
            <w:pPr>
              <w:pStyle w:val="85"/>
              <w:jc w:val="both"/>
              <w:rPr>
                <w:color w:val="auto"/>
                <w:sz w:val="22"/>
                <w:szCs w:val="22"/>
              </w:rPr>
            </w:pPr>
            <w:r>
              <w:rPr>
                <w:color w:val="auto"/>
                <w:sz w:val="22"/>
                <w:szCs w:val="22"/>
              </w:rPr>
              <w:t>Ориентирование на местности с использованием компаса. Практическая работа</w:t>
            </w:r>
          </w:p>
        </w:tc>
        <w:tc>
          <w:tcPr>
            <w:tcW w:w="1473" w:type="dxa"/>
            <w:vAlign w:val="center"/>
          </w:tcPr>
          <w:p w14:paraId="6BFB114F">
            <w:pPr>
              <w:pStyle w:val="85"/>
              <w:jc w:val="center"/>
              <w:rPr>
                <w:color w:val="auto"/>
                <w:sz w:val="22"/>
                <w:szCs w:val="22"/>
              </w:rPr>
            </w:pPr>
            <w:r>
              <w:rPr>
                <w:color w:val="auto"/>
                <w:sz w:val="22"/>
                <w:szCs w:val="22"/>
              </w:rPr>
              <w:t>1</w:t>
            </w:r>
          </w:p>
        </w:tc>
      </w:tr>
      <w:tr w14:paraId="3D0CF7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91" w:type="dxa"/>
            <w:vAlign w:val="center"/>
          </w:tcPr>
          <w:p w14:paraId="78E68CD3">
            <w:pPr>
              <w:pStyle w:val="85"/>
              <w:rPr>
                <w:color w:val="auto"/>
                <w:sz w:val="22"/>
                <w:szCs w:val="22"/>
              </w:rPr>
            </w:pPr>
            <w:r>
              <w:rPr>
                <w:color w:val="auto"/>
                <w:sz w:val="22"/>
                <w:szCs w:val="22"/>
              </w:rPr>
              <w:t>Урок 27</w:t>
            </w:r>
          </w:p>
        </w:tc>
        <w:tc>
          <w:tcPr>
            <w:tcW w:w="6405" w:type="dxa"/>
            <w:vAlign w:val="center"/>
          </w:tcPr>
          <w:p w14:paraId="5F3B1EC8">
            <w:pPr>
              <w:pStyle w:val="85"/>
              <w:jc w:val="both"/>
              <w:rPr>
                <w:color w:val="auto"/>
                <w:sz w:val="22"/>
                <w:szCs w:val="22"/>
              </w:rPr>
            </w:pPr>
            <w:r>
              <w:rPr>
                <w:color w:val="auto"/>
                <w:sz w:val="22"/>
                <w:szCs w:val="22"/>
              </w:rPr>
              <w:t>Многообразие растений по месту обитания, внешнему виду. Сравнение растений разных климатических условий</w:t>
            </w:r>
          </w:p>
        </w:tc>
        <w:tc>
          <w:tcPr>
            <w:tcW w:w="1473" w:type="dxa"/>
            <w:vAlign w:val="center"/>
          </w:tcPr>
          <w:p w14:paraId="0F0C9E22">
            <w:pPr>
              <w:pStyle w:val="85"/>
              <w:rPr>
                <w:color w:val="auto"/>
                <w:sz w:val="22"/>
                <w:szCs w:val="22"/>
              </w:rPr>
            </w:pPr>
          </w:p>
        </w:tc>
      </w:tr>
      <w:tr w14:paraId="3D2950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91" w:type="dxa"/>
            <w:vAlign w:val="center"/>
          </w:tcPr>
          <w:p w14:paraId="354ED6F1">
            <w:pPr>
              <w:pStyle w:val="85"/>
              <w:rPr>
                <w:color w:val="auto"/>
                <w:sz w:val="22"/>
                <w:szCs w:val="22"/>
              </w:rPr>
            </w:pPr>
            <w:r>
              <w:rPr>
                <w:color w:val="auto"/>
                <w:sz w:val="22"/>
                <w:szCs w:val="22"/>
              </w:rPr>
              <w:t>Урок 28</w:t>
            </w:r>
          </w:p>
        </w:tc>
        <w:tc>
          <w:tcPr>
            <w:tcW w:w="6405" w:type="dxa"/>
            <w:vAlign w:val="center"/>
          </w:tcPr>
          <w:p w14:paraId="3F1147F0">
            <w:pPr>
              <w:pStyle w:val="85"/>
              <w:jc w:val="both"/>
              <w:rPr>
                <w:color w:val="auto"/>
                <w:sz w:val="22"/>
                <w:szCs w:val="22"/>
              </w:rPr>
            </w:pPr>
            <w:r>
              <w:rPr>
                <w:color w:val="auto"/>
                <w:sz w:val="22"/>
                <w:szCs w:val="22"/>
              </w:rPr>
              <w:t>Деревья, кустарники, травы родного края (узнавание, называние, краткое описание)</w:t>
            </w:r>
          </w:p>
        </w:tc>
        <w:tc>
          <w:tcPr>
            <w:tcW w:w="1473" w:type="dxa"/>
            <w:vAlign w:val="center"/>
          </w:tcPr>
          <w:p w14:paraId="1F8B0727">
            <w:pPr>
              <w:pStyle w:val="85"/>
              <w:rPr>
                <w:color w:val="auto"/>
                <w:sz w:val="22"/>
                <w:szCs w:val="22"/>
              </w:rPr>
            </w:pPr>
          </w:p>
        </w:tc>
      </w:tr>
      <w:tr w14:paraId="670E26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91" w:type="dxa"/>
            <w:vAlign w:val="center"/>
          </w:tcPr>
          <w:p w14:paraId="117F81FD">
            <w:pPr>
              <w:pStyle w:val="85"/>
              <w:rPr>
                <w:color w:val="auto"/>
                <w:sz w:val="22"/>
                <w:szCs w:val="22"/>
              </w:rPr>
            </w:pPr>
            <w:r>
              <w:rPr>
                <w:color w:val="auto"/>
                <w:sz w:val="22"/>
                <w:szCs w:val="22"/>
              </w:rPr>
              <w:t>Урок 29</w:t>
            </w:r>
          </w:p>
        </w:tc>
        <w:tc>
          <w:tcPr>
            <w:tcW w:w="6405" w:type="dxa"/>
            <w:vAlign w:val="center"/>
          </w:tcPr>
          <w:p w14:paraId="7C635251">
            <w:pPr>
              <w:pStyle w:val="85"/>
              <w:jc w:val="both"/>
              <w:rPr>
                <w:color w:val="auto"/>
                <w:sz w:val="22"/>
                <w:szCs w:val="22"/>
              </w:rPr>
            </w:pPr>
            <w:r>
              <w:rPr>
                <w:color w:val="auto"/>
                <w:sz w:val="22"/>
                <w:szCs w:val="22"/>
              </w:rPr>
              <w:t>Деревья лиственные и хвойные. Сравнение лиственных и хвойных деревьев: общее и различия</w:t>
            </w:r>
          </w:p>
        </w:tc>
        <w:tc>
          <w:tcPr>
            <w:tcW w:w="1473" w:type="dxa"/>
            <w:vAlign w:val="center"/>
          </w:tcPr>
          <w:p w14:paraId="079EA9F7">
            <w:pPr>
              <w:pStyle w:val="85"/>
              <w:rPr>
                <w:color w:val="auto"/>
                <w:sz w:val="22"/>
                <w:szCs w:val="22"/>
              </w:rPr>
            </w:pPr>
          </w:p>
        </w:tc>
      </w:tr>
      <w:tr w14:paraId="7236FE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91" w:type="dxa"/>
            <w:vAlign w:val="center"/>
          </w:tcPr>
          <w:p w14:paraId="35AF6791">
            <w:pPr>
              <w:pStyle w:val="85"/>
              <w:rPr>
                <w:color w:val="auto"/>
                <w:sz w:val="22"/>
                <w:szCs w:val="22"/>
              </w:rPr>
            </w:pPr>
            <w:r>
              <w:rPr>
                <w:color w:val="auto"/>
                <w:sz w:val="22"/>
                <w:szCs w:val="22"/>
              </w:rPr>
              <w:t>Урок 30</w:t>
            </w:r>
          </w:p>
        </w:tc>
        <w:tc>
          <w:tcPr>
            <w:tcW w:w="6405" w:type="dxa"/>
            <w:vAlign w:val="center"/>
          </w:tcPr>
          <w:p w14:paraId="0A5029A4">
            <w:pPr>
              <w:pStyle w:val="85"/>
              <w:jc w:val="both"/>
              <w:rPr>
                <w:color w:val="auto"/>
                <w:sz w:val="22"/>
                <w:szCs w:val="22"/>
              </w:rPr>
            </w:pPr>
            <w:r>
              <w:rPr>
                <w:color w:val="auto"/>
                <w:sz w:val="22"/>
                <w:szCs w:val="22"/>
              </w:rPr>
              <w:t>Кустарники нашего края: узнавание, название, краткое описание</w:t>
            </w:r>
          </w:p>
        </w:tc>
        <w:tc>
          <w:tcPr>
            <w:tcW w:w="1473" w:type="dxa"/>
            <w:vAlign w:val="center"/>
          </w:tcPr>
          <w:p w14:paraId="2C0338C6">
            <w:pPr>
              <w:pStyle w:val="85"/>
              <w:rPr>
                <w:color w:val="auto"/>
                <w:sz w:val="22"/>
                <w:szCs w:val="22"/>
              </w:rPr>
            </w:pPr>
          </w:p>
        </w:tc>
      </w:tr>
      <w:tr w14:paraId="1FA30C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91" w:type="dxa"/>
            <w:vAlign w:val="center"/>
          </w:tcPr>
          <w:p w14:paraId="24DCD463">
            <w:pPr>
              <w:pStyle w:val="85"/>
              <w:rPr>
                <w:color w:val="auto"/>
                <w:sz w:val="22"/>
                <w:szCs w:val="22"/>
              </w:rPr>
            </w:pPr>
            <w:r>
              <w:rPr>
                <w:color w:val="auto"/>
                <w:sz w:val="22"/>
                <w:szCs w:val="22"/>
              </w:rPr>
              <w:t>Урок 31</w:t>
            </w:r>
          </w:p>
        </w:tc>
        <w:tc>
          <w:tcPr>
            <w:tcW w:w="6405" w:type="dxa"/>
            <w:vAlign w:val="center"/>
          </w:tcPr>
          <w:p w14:paraId="39927F96">
            <w:pPr>
              <w:pStyle w:val="85"/>
              <w:jc w:val="both"/>
              <w:rPr>
                <w:color w:val="auto"/>
                <w:sz w:val="22"/>
                <w:szCs w:val="22"/>
              </w:rPr>
            </w:pPr>
            <w:r>
              <w:rPr>
                <w:color w:val="auto"/>
                <w:sz w:val="22"/>
                <w:szCs w:val="22"/>
              </w:rPr>
              <w:t>Травы нашего края: многообразие. Внешний вид, условия жизни (называние, краткое описание)</w:t>
            </w:r>
          </w:p>
        </w:tc>
        <w:tc>
          <w:tcPr>
            <w:tcW w:w="1473" w:type="dxa"/>
            <w:vAlign w:val="center"/>
          </w:tcPr>
          <w:p w14:paraId="496BA2E1">
            <w:pPr>
              <w:pStyle w:val="85"/>
              <w:rPr>
                <w:color w:val="auto"/>
                <w:sz w:val="22"/>
                <w:szCs w:val="22"/>
              </w:rPr>
            </w:pPr>
          </w:p>
        </w:tc>
      </w:tr>
      <w:tr w14:paraId="283D4C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91" w:type="dxa"/>
            <w:vAlign w:val="center"/>
          </w:tcPr>
          <w:p w14:paraId="617EB878">
            <w:pPr>
              <w:pStyle w:val="85"/>
              <w:rPr>
                <w:color w:val="auto"/>
                <w:sz w:val="22"/>
                <w:szCs w:val="22"/>
              </w:rPr>
            </w:pPr>
            <w:r>
              <w:rPr>
                <w:color w:val="auto"/>
                <w:sz w:val="22"/>
                <w:szCs w:val="22"/>
              </w:rPr>
              <w:t>Урок 32</w:t>
            </w:r>
          </w:p>
        </w:tc>
        <w:tc>
          <w:tcPr>
            <w:tcW w:w="6405" w:type="dxa"/>
            <w:vAlign w:val="center"/>
          </w:tcPr>
          <w:p w14:paraId="56C3DC17">
            <w:pPr>
              <w:pStyle w:val="85"/>
              <w:jc w:val="both"/>
              <w:rPr>
                <w:color w:val="auto"/>
                <w:sz w:val="22"/>
                <w:szCs w:val="22"/>
              </w:rPr>
            </w:pPr>
            <w:r>
              <w:rPr>
                <w:color w:val="auto"/>
                <w:sz w:val="22"/>
                <w:szCs w:val="22"/>
              </w:rPr>
              <w:t>Зависимость жизни растений от состояния неживой природы. Жизнь растений осенью и зимой</w:t>
            </w:r>
          </w:p>
        </w:tc>
        <w:tc>
          <w:tcPr>
            <w:tcW w:w="1473" w:type="dxa"/>
            <w:vAlign w:val="center"/>
          </w:tcPr>
          <w:p w14:paraId="0E31AD22">
            <w:pPr>
              <w:pStyle w:val="85"/>
              <w:rPr>
                <w:color w:val="auto"/>
                <w:sz w:val="22"/>
                <w:szCs w:val="22"/>
              </w:rPr>
            </w:pPr>
          </w:p>
        </w:tc>
      </w:tr>
      <w:tr w14:paraId="2E677E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91" w:type="dxa"/>
            <w:vAlign w:val="center"/>
          </w:tcPr>
          <w:p w14:paraId="3CB4A97F">
            <w:pPr>
              <w:pStyle w:val="85"/>
              <w:rPr>
                <w:color w:val="auto"/>
                <w:sz w:val="22"/>
                <w:szCs w:val="22"/>
              </w:rPr>
            </w:pPr>
            <w:r>
              <w:rPr>
                <w:color w:val="auto"/>
                <w:sz w:val="22"/>
                <w:szCs w:val="22"/>
              </w:rPr>
              <w:t>Урок 33</w:t>
            </w:r>
          </w:p>
        </w:tc>
        <w:tc>
          <w:tcPr>
            <w:tcW w:w="6405" w:type="dxa"/>
            <w:vAlign w:val="center"/>
          </w:tcPr>
          <w:p w14:paraId="02BE3D93">
            <w:pPr>
              <w:pStyle w:val="85"/>
              <w:jc w:val="both"/>
              <w:rPr>
                <w:color w:val="auto"/>
                <w:sz w:val="22"/>
                <w:szCs w:val="22"/>
              </w:rPr>
            </w:pPr>
            <w:r>
              <w:rPr>
                <w:color w:val="auto"/>
                <w:sz w:val="22"/>
                <w:szCs w:val="22"/>
              </w:rPr>
              <w:t>Зависимость жизни растений от состояния неживой природы. Жизнь растений весной и летом</w:t>
            </w:r>
          </w:p>
        </w:tc>
        <w:tc>
          <w:tcPr>
            <w:tcW w:w="1473" w:type="dxa"/>
            <w:vAlign w:val="center"/>
          </w:tcPr>
          <w:p w14:paraId="58E51C3F">
            <w:pPr>
              <w:pStyle w:val="85"/>
              <w:rPr>
                <w:color w:val="auto"/>
                <w:sz w:val="22"/>
                <w:szCs w:val="22"/>
              </w:rPr>
            </w:pPr>
          </w:p>
        </w:tc>
      </w:tr>
      <w:tr w14:paraId="0D080A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91" w:type="dxa"/>
            <w:vAlign w:val="center"/>
          </w:tcPr>
          <w:p w14:paraId="2AAFF012">
            <w:pPr>
              <w:pStyle w:val="85"/>
              <w:rPr>
                <w:color w:val="auto"/>
                <w:sz w:val="22"/>
                <w:szCs w:val="22"/>
              </w:rPr>
            </w:pPr>
            <w:r>
              <w:rPr>
                <w:color w:val="auto"/>
                <w:sz w:val="22"/>
                <w:szCs w:val="22"/>
              </w:rPr>
              <w:t>Урок 34</w:t>
            </w:r>
          </w:p>
        </w:tc>
        <w:tc>
          <w:tcPr>
            <w:tcW w:w="6405" w:type="dxa"/>
            <w:vAlign w:val="center"/>
          </w:tcPr>
          <w:p w14:paraId="3D0D1246">
            <w:pPr>
              <w:pStyle w:val="85"/>
              <w:jc w:val="both"/>
              <w:rPr>
                <w:color w:val="auto"/>
                <w:sz w:val="22"/>
                <w:szCs w:val="22"/>
              </w:rPr>
            </w:pPr>
            <w:r>
              <w:rPr>
                <w:color w:val="auto"/>
                <w:sz w:val="22"/>
                <w:szCs w:val="22"/>
              </w:rPr>
              <w:t>Растения дикорастущие и культурные: общее и различия</w:t>
            </w:r>
          </w:p>
        </w:tc>
        <w:tc>
          <w:tcPr>
            <w:tcW w:w="1473" w:type="dxa"/>
            <w:vAlign w:val="center"/>
          </w:tcPr>
          <w:p w14:paraId="2B38CF1A">
            <w:pPr>
              <w:pStyle w:val="85"/>
              <w:rPr>
                <w:color w:val="auto"/>
                <w:sz w:val="22"/>
                <w:szCs w:val="22"/>
              </w:rPr>
            </w:pPr>
          </w:p>
        </w:tc>
      </w:tr>
      <w:tr w14:paraId="5CCF65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91" w:type="dxa"/>
            <w:vAlign w:val="center"/>
          </w:tcPr>
          <w:p w14:paraId="0B73A9A3">
            <w:pPr>
              <w:pStyle w:val="85"/>
              <w:rPr>
                <w:color w:val="auto"/>
                <w:sz w:val="22"/>
                <w:szCs w:val="22"/>
              </w:rPr>
            </w:pPr>
            <w:r>
              <w:rPr>
                <w:color w:val="auto"/>
                <w:sz w:val="22"/>
                <w:szCs w:val="22"/>
              </w:rPr>
              <w:t>Урок 35</w:t>
            </w:r>
          </w:p>
        </w:tc>
        <w:tc>
          <w:tcPr>
            <w:tcW w:w="6405" w:type="dxa"/>
            <w:vAlign w:val="center"/>
          </w:tcPr>
          <w:p w14:paraId="7757F5A7">
            <w:pPr>
              <w:pStyle w:val="85"/>
              <w:jc w:val="both"/>
              <w:rPr>
                <w:color w:val="auto"/>
                <w:sz w:val="22"/>
                <w:szCs w:val="22"/>
              </w:rPr>
            </w:pPr>
            <w:r>
              <w:rPr>
                <w:color w:val="auto"/>
                <w:sz w:val="22"/>
                <w:szCs w:val="22"/>
              </w:rPr>
              <w:t>Многообразие животных родного края и разных территорий России</w:t>
            </w:r>
          </w:p>
        </w:tc>
        <w:tc>
          <w:tcPr>
            <w:tcW w:w="1473" w:type="dxa"/>
            <w:vAlign w:val="center"/>
          </w:tcPr>
          <w:p w14:paraId="6CC4C810">
            <w:pPr>
              <w:pStyle w:val="85"/>
              <w:rPr>
                <w:color w:val="auto"/>
                <w:sz w:val="22"/>
                <w:szCs w:val="22"/>
              </w:rPr>
            </w:pPr>
          </w:p>
        </w:tc>
      </w:tr>
      <w:tr w14:paraId="44BD2B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191" w:type="dxa"/>
            <w:vAlign w:val="center"/>
          </w:tcPr>
          <w:p w14:paraId="760F28CB">
            <w:pPr>
              <w:pStyle w:val="85"/>
              <w:rPr>
                <w:color w:val="auto"/>
                <w:sz w:val="22"/>
                <w:szCs w:val="22"/>
              </w:rPr>
            </w:pPr>
            <w:r>
              <w:rPr>
                <w:color w:val="auto"/>
                <w:sz w:val="22"/>
                <w:szCs w:val="22"/>
              </w:rPr>
              <w:t>Урок 36</w:t>
            </w:r>
          </w:p>
        </w:tc>
        <w:tc>
          <w:tcPr>
            <w:tcW w:w="6405" w:type="dxa"/>
            <w:vAlign w:val="center"/>
          </w:tcPr>
          <w:p w14:paraId="2422988F">
            <w:pPr>
              <w:pStyle w:val="85"/>
              <w:jc w:val="both"/>
              <w:rPr>
                <w:color w:val="auto"/>
                <w:sz w:val="22"/>
                <w:szCs w:val="22"/>
              </w:rPr>
            </w:pPr>
            <w:r>
              <w:rPr>
                <w:color w:val="auto"/>
                <w:sz w:val="22"/>
                <w:szCs w:val="22"/>
              </w:rPr>
              <w:t>Мир животных: насекомые. Особенности внешнего вида, передвижения, питания: узнавание, называние, описание</w:t>
            </w:r>
          </w:p>
        </w:tc>
        <w:tc>
          <w:tcPr>
            <w:tcW w:w="1473" w:type="dxa"/>
            <w:vAlign w:val="center"/>
          </w:tcPr>
          <w:p w14:paraId="35476043">
            <w:pPr>
              <w:pStyle w:val="85"/>
              <w:rPr>
                <w:color w:val="auto"/>
                <w:sz w:val="22"/>
                <w:szCs w:val="22"/>
              </w:rPr>
            </w:pPr>
          </w:p>
        </w:tc>
      </w:tr>
      <w:tr w14:paraId="48DDD8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91" w:type="dxa"/>
            <w:vAlign w:val="center"/>
          </w:tcPr>
          <w:p w14:paraId="451A9111">
            <w:pPr>
              <w:pStyle w:val="85"/>
              <w:rPr>
                <w:color w:val="auto"/>
                <w:sz w:val="22"/>
                <w:szCs w:val="22"/>
              </w:rPr>
            </w:pPr>
            <w:r>
              <w:rPr>
                <w:color w:val="auto"/>
                <w:sz w:val="22"/>
                <w:szCs w:val="22"/>
              </w:rPr>
              <w:t>Урок 37</w:t>
            </w:r>
          </w:p>
        </w:tc>
        <w:tc>
          <w:tcPr>
            <w:tcW w:w="6405" w:type="dxa"/>
            <w:vAlign w:val="center"/>
          </w:tcPr>
          <w:p w14:paraId="7A116915">
            <w:pPr>
              <w:pStyle w:val="85"/>
              <w:jc w:val="both"/>
              <w:rPr>
                <w:color w:val="auto"/>
                <w:sz w:val="22"/>
                <w:szCs w:val="22"/>
              </w:rPr>
            </w:pPr>
            <w:r>
              <w:rPr>
                <w:color w:val="auto"/>
                <w:sz w:val="22"/>
                <w:szCs w:val="22"/>
              </w:rPr>
              <w:t>Мир животных: рыбы. Особенности внешнего вида, условия жизни, передвижения, питания: узнавание, называние, описание</w:t>
            </w:r>
          </w:p>
        </w:tc>
        <w:tc>
          <w:tcPr>
            <w:tcW w:w="1473" w:type="dxa"/>
            <w:vAlign w:val="center"/>
          </w:tcPr>
          <w:p w14:paraId="787103D9">
            <w:pPr>
              <w:pStyle w:val="85"/>
              <w:rPr>
                <w:color w:val="auto"/>
                <w:sz w:val="22"/>
                <w:szCs w:val="22"/>
              </w:rPr>
            </w:pPr>
          </w:p>
        </w:tc>
      </w:tr>
      <w:tr w14:paraId="73833F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91" w:type="dxa"/>
            <w:vAlign w:val="center"/>
          </w:tcPr>
          <w:p w14:paraId="13DCB73A">
            <w:pPr>
              <w:pStyle w:val="85"/>
              <w:rPr>
                <w:color w:val="auto"/>
                <w:sz w:val="22"/>
                <w:szCs w:val="22"/>
              </w:rPr>
            </w:pPr>
            <w:r>
              <w:rPr>
                <w:color w:val="auto"/>
                <w:sz w:val="22"/>
                <w:szCs w:val="22"/>
              </w:rPr>
              <w:t>Урок 38</w:t>
            </w:r>
          </w:p>
        </w:tc>
        <w:tc>
          <w:tcPr>
            <w:tcW w:w="6405" w:type="dxa"/>
            <w:vAlign w:val="center"/>
          </w:tcPr>
          <w:p w14:paraId="7AB40BF0">
            <w:pPr>
              <w:pStyle w:val="85"/>
              <w:jc w:val="both"/>
              <w:rPr>
                <w:color w:val="auto"/>
                <w:sz w:val="22"/>
                <w:szCs w:val="22"/>
              </w:rPr>
            </w:pPr>
            <w:r>
              <w:rPr>
                <w:color w:val="auto"/>
                <w:sz w:val="22"/>
                <w:szCs w:val="22"/>
              </w:rPr>
              <w:t>Мир животных: птицы. Особенности внешнего вида, передвижения, питания: узнавание, называние, описание</w:t>
            </w:r>
          </w:p>
        </w:tc>
        <w:tc>
          <w:tcPr>
            <w:tcW w:w="1473" w:type="dxa"/>
            <w:vAlign w:val="center"/>
          </w:tcPr>
          <w:p w14:paraId="59548148">
            <w:pPr>
              <w:pStyle w:val="85"/>
              <w:rPr>
                <w:color w:val="auto"/>
                <w:sz w:val="22"/>
                <w:szCs w:val="22"/>
              </w:rPr>
            </w:pPr>
          </w:p>
        </w:tc>
      </w:tr>
      <w:tr w14:paraId="321D54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91" w:type="dxa"/>
            <w:vAlign w:val="center"/>
          </w:tcPr>
          <w:p w14:paraId="476EB3FC">
            <w:pPr>
              <w:pStyle w:val="85"/>
              <w:rPr>
                <w:color w:val="auto"/>
                <w:sz w:val="22"/>
                <w:szCs w:val="22"/>
              </w:rPr>
            </w:pPr>
            <w:r>
              <w:rPr>
                <w:color w:val="auto"/>
                <w:sz w:val="22"/>
                <w:szCs w:val="22"/>
              </w:rPr>
              <w:t>Урок 39</w:t>
            </w:r>
          </w:p>
        </w:tc>
        <w:tc>
          <w:tcPr>
            <w:tcW w:w="6405" w:type="dxa"/>
            <w:vAlign w:val="center"/>
          </w:tcPr>
          <w:p w14:paraId="5B17C975">
            <w:pPr>
              <w:pStyle w:val="85"/>
              <w:jc w:val="both"/>
              <w:rPr>
                <w:color w:val="auto"/>
                <w:sz w:val="22"/>
                <w:szCs w:val="22"/>
              </w:rPr>
            </w:pPr>
            <w:r>
              <w:rPr>
                <w:color w:val="auto"/>
                <w:sz w:val="22"/>
                <w:szCs w:val="22"/>
              </w:rPr>
              <w:t>Мир животных: земноводные. Особенности внешнего вида, передвижения, питания: узнавание, называние, описание</w:t>
            </w:r>
          </w:p>
        </w:tc>
        <w:tc>
          <w:tcPr>
            <w:tcW w:w="1473" w:type="dxa"/>
            <w:vAlign w:val="center"/>
          </w:tcPr>
          <w:p w14:paraId="178A8F09">
            <w:pPr>
              <w:pStyle w:val="85"/>
              <w:rPr>
                <w:color w:val="auto"/>
                <w:sz w:val="22"/>
                <w:szCs w:val="22"/>
              </w:rPr>
            </w:pPr>
          </w:p>
        </w:tc>
      </w:tr>
      <w:tr w14:paraId="3D1D1B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91" w:type="dxa"/>
            <w:vAlign w:val="center"/>
          </w:tcPr>
          <w:p w14:paraId="077CE26C">
            <w:pPr>
              <w:pStyle w:val="85"/>
              <w:rPr>
                <w:color w:val="auto"/>
                <w:sz w:val="22"/>
                <w:szCs w:val="22"/>
              </w:rPr>
            </w:pPr>
            <w:r>
              <w:rPr>
                <w:color w:val="auto"/>
                <w:sz w:val="22"/>
                <w:szCs w:val="22"/>
              </w:rPr>
              <w:t>Урок 40</w:t>
            </w:r>
          </w:p>
        </w:tc>
        <w:tc>
          <w:tcPr>
            <w:tcW w:w="6405" w:type="dxa"/>
            <w:vAlign w:val="center"/>
          </w:tcPr>
          <w:p w14:paraId="4199425B">
            <w:pPr>
              <w:pStyle w:val="85"/>
              <w:jc w:val="both"/>
              <w:rPr>
                <w:color w:val="auto"/>
                <w:sz w:val="22"/>
                <w:szCs w:val="22"/>
              </w:rPr>
            </w:pPr>
            <w:r>
              <w:rPr>
                <w:color w:val="auto"/>
                <w:sz w:val="22"/>
                <w:szCs w:val="22"/>
              </w:rPr>
              <w:t>Мир животных: пресмыкающиеся. Особенности внешнего вида, передвижения, питания: узнавание, называние, описание (общая характеристика признаков)</w:t>
            </w:r>
          </w:p>
        </w:tc>
        <w:tc>
          <w:tcPr>
            <w:tcW w:w="1473" w:type="dxa"/>
            <w:vAlign w:val="center"/>
          </w:tcPr>
          <w:p w14:paraId="0F82C4BB">
            <w:pPr>
              <w:pStyle w:val="85"/>
              <w:rPr>
                <w:color w:val="auto"/>
                <w:sz w:val="22"/>
                <w:szCs w:val="22"/>
              </w:rPr>
            </w:pPr>
          </w:p>
        </w:tc>
      </w:tr>
      <w:tr w14:paraId="0DA82A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91" w:type="dxa"/>
            <w:vAlign w:val="center"/>
          </w:tcPr>
          <w:p w14:paraId="2924C8CD">
            <w:pPr>
              <w:pStyle w:val="85"/>
              <w:rPr>
                <w:color w:val="auto"/>
                <w:sz w:val="22"/>
                <w:szCs w:val="22"/>
              </w:rPr>
            </w:pPr>
            <w:r>
              <w:rPr>
                <w:color w:val="auto"/>
                <w:sz w:val="22"/>
                <w:szCs w:val="22"/>
              </w:rPr>
              <w:t>Урок 41</w:t>
            </w:r>
          </w:p>
        </w:tc>
        <w:tc>
          <w:tcPr>
            <w:tcW w:w="6405" w:type="dxa"/>
            <w:vAlign w:val="center"/>
          </w:tcPr>
          <w:p w14:paraId="73CB3607">
            <w:pPr>
              <w:pStyle w:val="85"/>
              <w:jc w:val="both"/>
              <w:rPr>
                <w:color w:val="auto"/>
                <w:sz w:val="22"/>
                <w:szCs w:val="22"/>
              </w:rPr>
            </w:pPr>
            <w:r>
              <w:rPr>
                <w:color w:val="auto"/>
                <w:sz w:val="22"/>
                <w:szCs w:val="22"/>
              </w:rPr>
              <w:t>Мир животных: звери (млекопитающие). Особенности внешнего вида, передвижения, питания: узнавание, называние, описание</w:t>
            </w:r>
          </w:p>
        </w:tc>
        <w:tc>
          <w:tcPr>
            <w:tcW w:w="1473" w:type="dxa"/>
            <w:vAlign w:val="center"/>
          </w:tcPr>
          <w:p w14:paraId="713F56D2">
            <w:pPr>
              <w:pStyle w:val="85"/>
              <w:rPr>
                <w:color w:val="auto"/>
                <w:sz w:val="22"/>
                <w:szCs w:val="22"/>
              </w:rPr>
            </w:pPr>
          </w:p>
        </w:tc>
      </w:tr>
      <w:tr w14:paraId="4153CD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91" w:type="dxa"/>
            <w:vAlign w:val="center"/>
          </w:tcPr>
          <w:p w14:paraId="6B72827A">
            <w:pPr>
              <w:pStyle w:val="85"/>
              <w:rPr>
                <w:color w:val="auto"/>
                <w:sz w:val="22"/>
                <w:szCs w:val="22"/>
              </w:rPr>
            </w:pPr>
            <w:r>
              <w:rPr>
                <w:color w:val="auto"/>
                <w:sz w:val="22"/>
                <w:szCs w:val="22"/>
              </w:rPr>
              <w:t>Урок 42</w:t>
            </w:r>
          </w:p>
        </w:tc>
        <w:tc>
          <w:tcPr>
            <w:tcW w:w="6405" w:type="dxa"/>
            <w:vAlign w:val="center"/>
          </w:tcPr>
          <w:p w14:paraId="1D593752">
            <w:pPr>
              <w:pStyle w:val="85"/>
              <w:jc w:val="both"/>
              <w:rPr>
                <w:color w:val="auto"/>
                <w:sz w:val="22"/>
                <w:szCs w:val="22"/>
              </w:rPr>
            </w:pPr>
            <w:r>
              <w:rPr>
                <w:color w:val="auto"/>
                <w:sz w:val="22"/>
                <w:szCs w:val="22"/>
              </w:rPr>
              <w:t>Животные и их потомство. Размножение животных. Стадии развития насекомого, земноводных</w:t>
            </w:r>
          </w:p>
        </w:tc>
        <w:tc>
          <w:tcPr>
            <w:tcW w:w="1473" w:type="dxa"/>
            <w:vAlign w:val="center"/>
          </w:tcPr>
          <w:p w14:paraId="5171011A">
            <w:pPr>
              <w:pStyle w:val="85"/>
              <w:rPr>
                <w:color w:val="auto"/>
                <w:sz w:val="22"/>
                <w:szCs w:val="22"/>
              </w:rPr>
            </w:pPr>
          </w:p>
        </w:tc>
      </w:tr>
      <w:tr w14:paraId="09C4FC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91" w:type="dxa"/>
            <w:vAlign w:val="center"/>
          </w:tcPr>
          <w:p w14:paraId="7AFA5E75">
            <w:pPr>
              <w:pStyle w:val="85"/>
              <w:rPr>
                <w:color w:val="auto"/>
                <w:sz w:val="22"/>
                <w:szCs w:val="22"/>
              </w:rPr>
            </w:pPr>
            <w:r>
              <w:rPr>
                <w:color w:val="auto"/>
                <w:sz w:val="22"/>
                <w:szCs w:val="22"/>
              </w:rPr>
              <w:t>Урок 43</w:t>
            </w:r>
          </w:p>
        </w:tc>
        <w:tc>
          <w:tcPr>
            <w:tcW w:w="6405" w:type="dxa"/>
            <w:vAlign w:val="center"/>
          </w:tcPr>
          <w:p w14:paraId="07142093">
            <w:pPr>
              <w:pStyle w:val="85"/>
              <w:jc w:val="both"/>
              <w:rPr>
                <w:color w:val="auto"/>
                <w:sz w:val="22"/>
                <w:szCs w:val="22"/>
              </w:rPr>
            </w:pPr>
            <w:r>
              <w:rPr>
                <w:color w:val="auto"/>
                <w:sz w:val="22"/>
                <w:szCs w:val="22"/>
              </w:rPr>
              <w:t>Связи в природе: зависимость изменений в живой природе от изменений в неживой природе</w:t>
            </w:r>
          </w:p>
        </w:tc>
        <w:tc>
          <w:tcPr>
            <w:tcW w:w="1473" w:type="dxa"/>
            <w:vAlign w:val="center"/>
          </w:tcPr>
          <w:p w14:paraId="37BD6105">
            <w:pPr>
              <w:pStyle w:val="85"/>
              <w:rPr>
                <w:color w:val="auto"/>
                <w:sz w:val="22"/>
                <w:szCs w:val="22"/>
              </w:rPr>
            </w:pPr>
          </w:p>
        </w:tc>
      </w:tr>
      <w:tr w14:paraId="66BE86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91" w:type="dxa"/>
            <w:vAlign w:val="center"/>
          </w:tcPr>
          <w:p w14:paraId="4A51B71D">
            <w:pPr>
              <w:pStyle w:val="85"/>
              <w:rPr>
                <w:color w:val="auto"/>
                <w:sz w:val="22"/>
                <w:szCs w:val="22"/>
              </w:rPr>
            </w:pPr>
            <w:r>
              <w:rPr>
                <w:color w:val="auto"/>
                <w:sz w:val="22"/>
                <w:szCs w:val="22"/>
              </w:rPr>
              <w:t>Урок 44</w:t>
            </w:r>
          </w:p>
        </w:tc>
        <w:tc>
          <w:tcPr>
            <w:tcW w:w="6405" w:type="dxa"/>
            <w:vAlign w:val="center"/>
          </w:tcPr>
          <w:p w14:paraId="63CDB341">
            <w:pPr>
              <w:pStyle w:val="85"/>
              <w:jc w:val="both"/>
              <w:rPr>
                <w:color w:val="auto"/>
                <w:sz w:val="22"/>
                <w:szCs w:val="22"/>
              </w:rPr>
            </w:pPr>
            <w:r>
              <w:rPr>
                <w:color w:val="auto"/>
                <w:sz w:val="22"/>
                <w:szCs w:val="22"/>
              </w:rPr>
              <w:t>Годовой ход изменений в жизни животных. Жизнь животных осенью и зимой</w:t>
            </w:r>
          </w:p>
        </w:tc>
        <w:tc>
          <w:tcPr>
            <w:tcW w:w="1473" w:type="dxa"/>
            <w:vAlign w:val="center"/>
          </w:tcPr>
          <w:p w14:paraId="3533BD24">
            <w:pPr>
              <w:pStyle w:val="85"/>
              <w:rPr>
                <w:color w:val="auto"/>
                <w:sz w:val="22"/>
                <w:szCs w:val="22"/>
              </w:rPr>
            </w:pPr>
          </w:p>
        </w:tc>
      </w:tr>
      <w:tr w14:paraId="5D86D9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91" w:type="dxa"/>
            <w:vAlign w:val="center"/>
          </w:tcPr>
          <w:p w14:paraId="55524DEF">
            <w:pPr>
              <w:pStyle w:val="85"/>
              <w:rPr>
                <w:color w:val="auto"/>
                <w:sz w:val="22"/>
                <w:szCs w:val="22"/>
              </w:rPr>
            </w:pPr>
            <w:r>
              <w:rPr>
                <w:color w:val="auto"/>
                <w:sz w:val="22"/>
                <w:szCs w:val="22"/>
              </w:rPr>
              <w:t>Урок 45</w:t>
            </w:r>
          </w:p>
        </w:tc>
        <w:tc>
          <w:tcPr>
            <w:tcW w:w="6405" w:type="dxa"/>
            <w:vAlign w:val="center"/>
          </w:tcPr>
          <w:p w14:paraId="021B33B2">
            <w:pPr>
              <w:pStyle w:val="85"/>
              <w:jc w:val="both"/>
              <w:rPr>
                <w:color w:val="auto"/>
                <w:sz w:val="22"/>
                <w:szCs w:val="22"/>
              </w:rPr>
            </w:pPr>
            <w:r>
              <w:rPr>
                <w:color w:val="auto"/>
                <w:sz w:val="22"/>
                <w:szCs w:val="22"/>
              </w:rPr>
              <w:t>Годовой ход изменений в жизни животных. Жизнь животных весной и летом</w:t>
            </w:r>
          </w:p>
        </w:tc>
        <w:tc>
          <w:tcPr>
            <w:tcW w:w="1473" w:type="dxa"/>
            <w:vAlign w:val="center"/>
          </w:tcPr>
          <w:p w14:paraId="5BF40703">
            <w:pPr>
              <w:pStyle w:val="85"/>
              <w:rPr>
                <w:color w:val="auto"/>
                <w:sz w:val="22"/>
                <w:szCs w:val="22"/>
              </w:rPr>
            </w:pPr>
          </w:p>
        </w:tc>
      </w:tr>
      <w:tr w14:paraId="1FCCEA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91" w:type="dxa"/>
            <w:vAlign w:val="center"/>
          </w:tcPr>
          <w:p w14:paraId="216E2593">
            <w:pPr>
              <w:pStyle w:val="85"/>
              <w:rPr>
                <w:color w:val="auto"/>
                <w:sz w:val="22"/>
                <w:szCs w:val="22"/>
              </w:rPr>
            </w:pPr>
            <w:r>
              <w:rPr>
                <w:color w:val="auto"/>
                <w:sz w:val="22"/>
                <w:szCs w:val="22"/>
              </w:rPr>
              <w:t>Урок 46</w:t>
            </w:r>
          </w:p>
        </w:tc>
        <w:tc>
          <w:tcPr>
            <w:tcW w:w="6405" w:type="dxa"/>
            <w:vAlign w:val="center"/>
          </w:tcPr>
          <w:p w14:paraId="7E37998C">
            <w:pPr>
              <w:pStyle w:val="85"/>
              <w:jc w:val="both"/>
              <w:rPr>
                <w:color w:val="auto"/>
                <w:sz w:val="22"/>
                <w:szCs w:val="22"/>
              </w:rPr>
            </w:pPr>
            <w:r>
              <w:rPr>
                <w:color w:val="auto"/>
                <w:sz w:val="22"/>
                <w:szCs w:val="22"/>
              </w:rPr>
              <w:t>Красная книга России. Ее значение в сохранении и охране редких растений и животных</w:t>
            </w:r>
          </w:p>
        </w:tc>
        <w:tc>
          <w:tcPr>
            <w:tcW w:w="1473" w:type="dxa"/>
            <w:vAlign w:val="center"/>
          </w:tcPr>
          <w:p w14:paraId="0BE502D1">
            <w:pPr>
              <w:pStyle w:val="85"/>
              <w:rPr>
                <w:color w:val="auto"/>
                <w:sz w:val="22"/>
                <w:szCs w:val="22"/>
              </w:rPr>
            </w:pPr>
          </w:p>
        </w:tc>
      </w:tr>
      <w:tr w14:paraId="4E9A84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91" w:type="dxa"/>
            <w:vAlign w:val="center"/>
          </w:tcPr>
          <w:p w14:paraId="6E73A183">
            <w:pPr>
              <w:pStyle w:val="85"/>
              <w:rPr>
                <w:color w:val="auto"/>
                <w:sz w:val="22"/>
                <w:szCs w:val="22"/>
              </w:rPr>
            </w:pPr>
            <w:r>
              <w:rPr>
                <w:color w:val="auto"/>
                <w:sz w:val="22"/>
                <w:szCs w:val="22"/>
              </w:rPr>
              <w:t>Урок 47</w:t>
            </w:r>
          </w:p>
        </w:tc>
        <w:tc>
          <w:tcPr>
            <w:tcW w:w="6405" w:type="dxa"/>
            <w:vAlign w:val="center"/>
          </w:tcPr>
          <w:p w14:paraId="74F43818">
            <w:pPr>
              <w:pStyle w:val="85"/>
              <w:jc w:val="both"/>
              <w:rPr>
                <w:color w:val="auto"/>
                <w:sz w:val="22"/>
                <w:szCs w:val="22"/>
              </w:rPr>
            </w:pPr>
            <w:r>
              <w:rPr>
                <w:color w:val="auto"/>
                <w:sz w:val="22"/>
                <w:szCs w:val="22"/>
              </w:rPr>
              <w:t>Отдельные представители растений Красной книги России (включая представителей растительного мира региона): узнавание, называние и описание</w:t>
            </w:r>
          </w:p>
        </w:tc>
        <w:tc>
          <w:tcPr>
            <w:tcW w:w="1473" w:type="dxa"/>
            <w:vAlign w:val="center"/>
          </w:tcPr>
          <w:p w14:paraId="5C197C08">
            <w:pPr>
              <w:pStyle w:val="85"/>
              <w:rPr>
                <w:color w:val="auto"/>
                <w:sz w:val="22"/>
                <w:szCs w:val="22"/>
              </w:rPr>
            </w:pPr>
          </w:p>
        </w:tc>
      </w:tr>
      <w:tr w14:paraId="3ADAF2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91" w:type="dxa"/>
            <w:vAlign w:val="center"/>
          </w:tcPr>
          <w:p w14:paraId="19FBEC0A">
            <w:pPr>
              <w:pStyle w:val="85"/>
              <w:rPr>
                <w:color w:val="auto"/>
                <w:sz w:val="22"/>
                <w:szCs w:val="22"/>
              </w:rPr>
            </w:pPr>
            <w:r>
              <w:rPr>
                <w:color w:val="auto"/>
                <w:sz w:val="22"/>
                <w:szCs w:val="22"/>
              </w:rPr>
              <w:t>Урок 48</w:t>
            </w:r>
          </w:p>
        </w:tc>
        <w:tc>
          <w:tcPr>
            <w:tcW w:w="6405" w:type="dxa"/>
            <w:vAlign w:val="center"/>
          </w:tcPr>
          <w:p w14:paraId="04E9A46A">
            <w:pPr>
              <w:pStyle w:val="85"/>
              <w:jc w:val="both"/>
              <w:rPr>
                <w:color w:val="auto"/>
                <w:sz w:val="22"/>
                <w:szCs w:val="22"/>
              </w:rPr>
            </w:pPr>
            <w:r>
              <w:rPr>
                <w:color w:val="auto"/>
                <w:sz w:val="22"/>
                <w:szCs w:val="22"/>
              </w:rPr>
              <w:t>Отдельные представители животных Красной книги России (включая представителей животного мира региона): узнавание, называние и описание</w:t>
            </w:r>
          </w:p>
        </w:tc>
        <w:tc>
          <w:tcPr>
            <w:tcW w:w="1473" w:type="dxa"/>
            <w:vAlign w:val="center"/>
          </w:tcPr>
          <w:p w14:paraId="44CDB14F">
            <w:pPr>
              <w:pStyle w:val="85"/>
              <w:rPr>
                <w:color w:val="auto"/>
                <w:sz w:val="22"/>
                <w:szCs w:val="22"/>
              </w:rPr>
            </w:pPr>
          </w:p>
        </w:tc>
      </w:tr>
      <w:tr w14:paraId="33A4C1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91" w:type="dxa"/>
            <w:vAlign w:val="center"/>
          </w:tcPr>
          <w:p w14:paraId="67A94868">
            <w:pPr>
              <w:pStyle w:val="85"/>
              <w:rPr>
                <w:color w:val="auto"/>
                <w:sz w:val="22"/>
                <w:szCs w:val="22"/>
              </w:rPr>
            </w:pPr>
            <w:r>
              <w:rPr>
                <w:color w:val="auto"/>
                <w:sz w:val="22"/>
                <w:szCs w:val="22"/>
              </w:rPr>
              <w:t>Урок 49</w:t>
            </w:r>
          </w:p>
        </w:tc>
        <w:tc>
          <w:tcPr>
            <w:tcW w:w="6405" w:type="dxa"/>
            <w:vAlign w:val="center"/>
          </w:tcPr>
          <w:p w14:paraId="0F85E938">
            <w:pPr>
              <w:pStyle w:val="85"/>
              <w:jc w:val="both"/>
              <w:rPr>
                <w:color w:val="auto"/>
                <w:sz w:val="22"/>
                <w:szCs w:val="22"/>
              </w:rPr>
            </w:pPr>
            <w:r>
              <w:rPr>
                <w:color w:val="auto"/>
                <w:sz w:val="22"/>
                <w:szCs w:val="22"/>
              </w:rPr>
              <w:t>Заповедники: значение для охраны природы</w:t>
            </w:r>
          </w:p>
        </w:tc>
        <w:tc>
          <w:tcPr>
            <w:tcW w:w="1473" w:type="dxa"/>
            <w:vAlign w:val="center"/>
          </w:tcPr>
          <w:p w14:paraId="61FFF28D">
            <w:pPr>
              <w:pStyle w:val="85"/>
              <w:rPr>
                <w:color w:val="auto"/>
                <w:sz w:val="22"/>
                <w:szCs w:val="22"/>
              </w:rPr>
            </w:pPr>
          </w:p>
        </w:tc>
      </w:tr>
      <w:tr w14:paraId="1E5F3F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91" w:type="dxa"/>
            <w:vAlign w:val="center"/>
          </w:tcPr>
          <w:p w14:paraId="2A434E5F">
            <w:pPr>
              <w:pStyle w:val="85"/>
              <w:rPr>
                <w:color w:val="auto"/>
                <w:sz w:val="22"/>
                <w:szCs w:val="22"/>
              </w:rPr>
            </w:pPr>
            <w:r>
              <w:rPr>
                <w:color w:val="auto"/>
                <w:sz w:val="22"/>
                <w:szCs w:val="22"/>
              </w:rPr>
              <w:t>Урок 50</w:t>
            </w:r>
          </w:p>
        </w:tc>
        <w:tc>
          <w:tcPr>
            <w:tcW w:w="6405" w:type="dxa"/>
            <w:vAlign w:val="center"/>
          </w:tcPr>
          <w:p w14:paraId="195EE4A6">
            <w:pPr>
              <w:pStyle w:val="85"/>
              <w:jc w:val="both"/>
              <w:rPr>
                <w:color w:val="auto"/>
                <w:sz w:val="22"/>
                <w:szCs w:val="22"/>
              </w:rPr>
            </w:pPr>
            <w:r>
              <w:rPr>
                <w:color w:val="auto"/>
                <w:sz w:val="22"/>
                <w:szCs w:val="22"/>
              </w:rPr>
              <w:t>Какие задачи решают сотрудники заповедника. Правила поведения на территории заповедника</w:t>
            </w:r>
          </w:p>
        </w:tc>
        <w:tc>
          <w:tcPr>
            <w:tcW w:w="1473" w:type="dxa"/>
            <w:vAlign w:val="center"/>
          </w:tcPr>
          <w:p w14:paraId="41346C7C">
            <w:pPr>
              <w:pStyle w:val="85"/>
              <w:rPr>
                <w:color w:val="auto"/>
                <w:sz w:val="22"/>
                <w:szCs w:val="22"/>
              </w:rPr>
            </w:pPr>
          </w:p>
        </w:tc>
      </w:tr>
      <w:tr w14:paraId="565012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91" w:type="dxa"/>
            <w:vAlign w:val="center"/>
          </w:tcPr>
          <w:p w14:paraId="361B4DD6">
            <w:pPr>
              <w:pStyle w:val="85"/>
              <w:rPr>
                <w:color w:val="auto"/>
                <w:sz w:val="22"/>
                <w:szCs w:val="22"/>
              </w:rPr>
            </w:pPr>
            <w:r>
              <w:rPr>
                <w:color w:val="auto"/>
                <w:sz w:val="22"/>
                <w:szCs w:val="22"/>
              </w:rPr>
              <w:t>Урок 51</w:t>
            </w:r>
          </w:p>
        </w:tc>
        <w:tc>
          <w:tcPr>
            <w:tcW w:w="6405" w:type="dxa"/>
            <w:vAlign w:val="center"/>
          </w:tcPr>
          <w:p w14:paraId="53BFAC81">
            <w:pPr>
              <w:pStyle w:val="85"/>
              <w:jc w:val="both"/>
              <w:rPr>
                <w:color w:val="auto"/>
                <w:sz w:val="22"/>
                <w:szCs w:val="22"/>
              </w:rPr>
            </w:pPr>
            <w:r>
              <w:rPr>
                <w:color w:val="auto"/>
                <w:sz w:val="22"/>
                <w:szCs w:val="22"/>
              </w:rPr>
              <w:t>Заповедники Севера России (Остров Врангеля, Большой Арктический заповедник)</w:t>
            </w:r>
          </w:p>
        </w:tc>
        <w:tc>
          <w:tcPr>
            <w:tcW w:w="1473" w:type="dxa"/>
            <w:vAlign w:val="center"/>
          </w:tcPr>
          <w:p w14:paraId="1F859077">
            <w:pPr>
              <w:pStyle w:val="85"/>
              <w:rPr>
                <w:color w:val="auto"/>
                <w:sz w:val="22"/>
                <w:szCs w:val="22"/>
              </w:rPr>
            </w:pPr>
          </w:p>
        </w:tc>
      </w:tr>
      <w:tr w14:paraId="13727C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91" w:type="dxa"/>
            <w:vAlign w:val="center"/>
          </w:tcPr>
          <w:p w14:paraId="2290D5DA">
            <w:pPr>
              <w:pStyle w:val="85"/>
              <w:rPr>
                <w:color w:val="auto"/>
                <w:sz w:val="22"/>
                <w:szCs w:val="22"/>
              </w:rPr>
            </w:pPr>
            <w:r>
              <w:rPr>
                <w:color w:val="auto"/>
                <w:sz w:val="22"/>
                <w:szCs w:val="22"/>
              </w:rPr>
              <w:t>Урок 52</w:t>
            </w:r>
          </w:p>
        </w:tc>
        <w:tc>
          <w:tcPr>
            <w:tcW w:w="6405" w:type="dxa"/>
            <w:vAlign w:val="center"/>
          </w:tcPr>
          <w:p w14:paraId="0915D120">
            <w:pPr>
              <w:pStyle w:val="85"/>
              <w:jc w:val="both"/>
              <w:rPr>
                <w:color w:val="auto"/>
                <w:sz w:val="22"/>
                <w:szCs w:val="22"/>
              </w:rPr>
            </w:pPr>
            <w:r>
              <w:rPr>
                <w:color w:val="auto"/>
                <w:sz w:val="22"/>
                <w:szCs w:val="22"/>
              </w:rPr>
              <w:t>Заповедники Юга России (Кавказский заповедник)</w:t>
            </w:r>
          </w:p>
        </w:tc>
        <w:tc>
          <w:tcPr>
            <w:tcW w:w="1473" w:type="dxa"/>
            <w:vAlign w:val="center"/>
          </w:tcPr>
          <w:p w14:paraId="723DE666">
            <w:pPr>
              <w:pStyle w:val="85"/>
              <w:rPr>
                <w:color w:val="auto"/>
                <w:sz w:val="22"/>
                <w:szCs w:val="22"/>
              </w:rPr>
            </w:pPr>
          </w:p>
        </w:tc>
      </w:tr>
      <w:tr w14:paraId="24E5A4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91" w:type="dxa"/>
            <w:vAlign w:val="center"/>
          </w:tcPr>
          <w:p w14:paraId="29197817">
            <w:pPr>
              <w:pStyle w:val="85"/>
              <w:rPr>
                <w:color w:val="auto"/>
                <w:sz w:val="22"/>
                <w:szCs w:val="22"/>
              </w:rPr>
            </w:pPr>
            <w:r>
              <w:rPr>
                <w:color w:val="auto"/>
                <w:sz w:val="22"/>
                <w:szCs w:val="22"/>
              </w:rPr>
              <w:t>Урок 53</w:t>
            </w:r>
          </w:p>
        </w:tc>
        <w:tc>
          <w:tcPr>
            <w:tcW w:w="6405" w:type="dxa"/>
            <w:vAlign w:val="center"/>
          </w:tcPr>
          <w:p w14:paraId="37E9D1AB">
            <w:pPr>
              <w:pStyle w:val="85"/>
              <w:jc w:val="both"/>
              <w:rPr>
                <w:color w:val="auto"/>
                <w:sz w:val="22"/>
                <w:szCs w:val="22"/>
              </w:rPr>
            </w:pPr>
            <w:r>
              <w:rPr>
                <w:color w:val="auto"/>
                <w:sz w:val="22"/>
                <w:szCs w:val="22"/>
              </w:rPr>
              <w:t>Заповедники Сибири (Байкальский заповедник, Саяно-Шушенский заповедник)</w:t>
            </w:r>
          </w:p>
        </w:tc>
        <w:tc>
          <w:tcPr>
            <w:tcW w:w="1473" w:type="dxa"/>
            <w:vAlign w:val="center"/>
          </w:tcPr>
          <w:p w14:paraId="0CCA039F">
            <w:pPr>
              <w:pStyle w:val="85"/>
              <w:rPr>
                <w:color w:val="auto"/>
                <w:sz w:val="22"/>
                <w:szCs w:val="22"/>
              </w:rPr>
            </w:pPr>
          </w:p>
        </w:tc>
      </w:tr>
      <w:tr w14:paraId="0B5A64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91" w:type="dxa"/>
            <w:vAlign w:val="center"/>
          </w:tcPr>
          <w:p w14:paraId="72F0BA5B">
            <w:pPr>
              <w:pStyle w:val="85"/>
              <w:rPr>
                <w:color w:val="auto"/>
                <w:sz w:val="22"/>
                <w:szCs w:val="22"/>
              </w:rPr>
            </w:pPr>
            <w:r>
              <w:rPr>
                <w:color w:val="auto"/>
                <w:sz w:val="22"/>
                <w:szCs w:val="22"/>
              </w:rPr>
              <w:t>Урок 54</w:t>
            </w:r>
          </w:p>
        </w:tc>
        <w:tc>
          <w:tcPr>
            <w:tcW w:w="6405" w:type="dxa"/>
            <w:vAlign w:val="center"/>
          </w:tcPr>
          <w:p w14:paraId="1C0705A4">
            <w:pPr>
              <w:pStyle w:val="85"/>
              <w:jc w:val="both"/>
              <w:rPr>
                <w:color w:val="auto"/>
                <w:sz w:val="22"/>
                <w:szCs w:val="22"/>
              </w:rPr>
            </w:pPr>
            <w:r>
              <w:rPr>
                <w:color w:val="auto"/>
                <w:sz w:val="22"/>
                <w:szCs w:val="22"/>
              </w:rPr>
              <w:t>Резервный урок. Дикорастущие и культурные растения родного края</w:t>
            </w:r>
          </w:p>
        </w:tc>
        <w:tc>
          <w:tcPr>
            <w:tcW w:w="1473" w:type="dxa"/>
            <w:vAlign w:val="center"/>
          </w:tcPr>
          <w:p w14:paraId="4E4C4E23">
            <w:pPr>
              <w:pStyle w:val="85"/>
              <w:rPr>
                <w:color w:val="auto"/>
                <w:sz w:val="22"/>
                <w:szCs w:val="22"/>
              </w:rPr>
            </w:pPr>
          </w:p>
        </w:tc>
      </w:tr>
      <w:tr w14:paraId="0FB4C8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91" w:type="dxa"/>
            <w:vAlign w:val="center"/>
          </w:tcPr>
          <w:p w14:paraId="1E50A50D">
            <w:pPr>
              <w:pStyle w:val="85"/>
              <w:rPr>
                <w:color w:val="auto"/>
                <w:sz w:val="22"/>
                <w:szCs w:val="22"/>
              </w:rPr>
            </w:pPr>
            <w:r>
              <w:rPr>
                <w:color w:val="auto"/>
                <w:sz w:val="22"/>
                <w:szCs w:val="22"/>
              </w:rPr>
              <w:t>Урок 55</w:t>
            </w:r>
          </w:p>
        </w:tc>
        <w:tc>
          <w:tcPr>
            <w:tcW w:w="6405" w:type="dxa"/>
            <w:vAlign w:val="center"/>
          </w:tcPr>
          <w:p w14:paraId="5C135EC2">
            <w:pPr>
              <w:pStyle w:val="85"/>
              <w:jc w:val="both"/>
              <w:rPr>
                <w:color w:val="auto"/>
                <w:sz w:val="22"/>
                <w:szCs w:val="22"/>
              </w:rPr>
            </w:pPr>
            <w:r>
              <w:rPr>
                <w:color w:val="auto"/>
                <w:sz w:val="22"/>
                <w:szCs w:val="22"/>
              </w:rPr>
              <w:t>Резервный урок. Тематическое повторение по разделу "Человек и природа"</w:t>
            </w:r>
          </w:p>
        </w:tc>
        <w:tc>
          <w:tcPr>
            <w:tcW w:w="1473" w:type="dxa"/>
            <w:vAlign w:val="center"/>
          </w:tcPr>
          <w:p w14:paraId="60D88777">
            <w:pPr>
              <w:pStyle w:val="85"/>
              <w:rPr>
                <w:color w:val="auto"/>
                <w:sz w:val="22"/>
                <w:szCs w:val="22"/>
              </w:rPr>
            </w:pPr>
          </w:p>
        </w:tc>
      </w:tr>
      <w:tr w14:paraId="024A21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91" w:type="dxa"/>
            <w:vAlign w:val="center"/>
          </w:tcPr>
          <w:p w14:paraId="71E8BC41">
            <w:pPr>
              <w:pStyle w:val="85"/>
              <w:rPr>
                <w:color w:val="auto"/>
                <w:sz w:val="22"/>
                <w:szCs w:val="22"/>
              </w:rPr>
            </w:pPr>
            <w:r>
              <w:rPr>
                <w:color w:val="auto"/>
                <w:sz w:val="22"/>
                <w:szCs w:val="22"/>
              </w:rPr>
              <w:t>Урок 56</w:t>
            </w:r>
          </w:p>
        </w:tc>
        <w:tc>
          <w:tcPr>
            <w:tcW w:w="6405" w:type="dxa"/>
            <w:vAlign w:val="center"/>
          </w:tcPr>
          <w:p w14:paraId="4974A20D">
            <w:pPr>
              <w:pStyle w:val="85"/>
              <w:jc w:val="both"/>
              <w:rPr>
                <w:color w:val="auto"/>
                <w:sz w:val="22"/>
                <w:szCs w:val="22"/>
              </w:rPr>
            </w:pPr>
            <w:r>
              <w:rPr>
                <w:color w:val="auto"/>
                <w:sz w:val="22"/>
                <w:szCs w:val="22"/>
              </w:rPr>
              <w:t>Здоровый образ жизни. Режим дня: чередование сна, учебных занятий, двигательной активности</w:t>
            </w:r>
          </w:p>
        </w:tc>
        <w:tc>
          <w:tcPr>
            <w:tcW w:w="1473" w:type="dxa"/>
            <w:vAlign w:val="center"/>
          </w:tcPr>
          <w:p w14:paraId="0A8704D3">
            <w:pPr>
              <w:pStyle w:val="85"/>
              <w:rPr>
                <w:color w:val="auto"/>
                <w:sz w:val="22"/>
                <w:szCs w:val="22"/>
              </w:rPr>
            </w:pPr>
          </w:p>
        </w:tc>
      </w:tr>
      <w:tr w14:paraId="0CFD39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91" w:type="dxa"/>
            <w:vAlign w:val="center"/>
          </w:tcPr>
          <w:p w14:paraId="347D45AA">
            <w:pPr>
              <w:pStyle w:val="85"/>
              <w:rPr>
                <w:color w:val="auto"/>
                <w:sz w:val="22"/>
                <w:szCs w:val="22"/>
              </w:rPr>
            </w:pPr>
            <w:r>
              <w:rPr>
                <w:color w:val="auto"/>
                <w:sz w:val="22"/>
                <w:szCs w:val="22"/>
              </w:rPr>
              <w:t>Урок 57</w:t>
            </w:r>
          </w:p>
        </w:tc>
        <w:tc>
          <w:tcPr>
            <w:tcW w:w="6405" w:type="dxa"/>
            <w:vAlign w:val="center"/>
          </w:tcPr>
          <w:p w14:paraId="2696DE5D">
            <w:pPr>
              <w:pStyle w:val="85"/>
              <w:jc w:val="both"/>
              <w:rPr>
                <w:color w:val="auto"/>
                <w:sz w:val="22"/>
                <w:szCs w:val="22"/>
              </w:rPr>
            </w:pPr>
            <w:r>
              <w:rPr>
                <w:color w:val="auto"/>
                <w:sz w:val="22"/>
                <w:szCs w:val="22"/>
              </w:rPr>
              <w:t>Рациональное питание: количество приемов пищи и рацион питания. Витамины и здоровье ребенка</w:t>
            </w:r>
          </w:p>
        </w:tc>
        <w:tc>
          <w:tcPr>
            <w:tcW w:w="1473" w:type="dxa"/>
            <w:vAlign w:val="center"/>
          </w:tcPr>
          <w:p w14:paraId="3BD5FE0D">
            <w:pPr>
              <w:pStyle w:val="85"/>
              <w:rPr>
                <w:color w:val="auto"/>
                <w:sz w:val="22"/>
                <w:szCs w:val="22"/>
              </w:rPr>
            </w:pPr>
          </w:p>
        </w:tc>
      </w:tr>
      <w:tr w14:paraId="2DBD70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91" w:type="dxa"/>
            <w:vAlign w:val="center"/>
          </w:tcPr>
          <w:p w14:paraId="594C671B">
            <w:pPr>
              <w:pStyle w:val="85"/>
              <w:rPr>
                <w:color w:val="auto"/>
                <w:sz w:val="22"/>
                <w:szCs w:val="22"/>
              </w:rPr>
            </w:pPr>
            <w:r>
              <w:rPr>
                <w:color w:val="auto"/>
                <w:sz w:val="22"/>
                <w:szCs w:val="22"/>
              </w:rPr>
              <w:t>Урок 58</w:t>
            </w:r>
          </w:p>
        </w:tc>
        <w:tc>
          <w:tcPr>
            <w:tcW w:w="6405" w:type="dxa"/>
            <w:vAlign w:val="center"/>
          </w:tcPr>
          <w:p w14:paraId="61731764">
            <w:pPr>
              <w:pStyle w:val="85"/>
              <w:jc w:val="both"/>
              <w:rPr>
                <w:color w:val="auto"/>
                <w:sz w:val="22"/>
                <w:szCs w:val="22"/>
              </w:rPr>
            </w:pPr>
            <w:r>
              <w:rPr>
                <w:color w:val="auto"/>
                <w:sz w:val="22"/>
                <w:szCs w:val="22"/>
              </w:rPr>
              <w:t>Физическая культура. Игры на воздухе как условие сохранения и укрепления здоровья</w:t>
            </w:r>
          </w:p>
        </w:tc>
        <w:tc>
          <w:tcPr>
            <w:tcW w:w="1473" w:type="dxa"/>
            <w:vAlign w:val="center"/>
          </w:tcPr>
          <w:p w14:paraId="622B2A3B">
            <w:pPr>
              <w:pStyle w:val="85"/>
              <w:rPr>
                <w:color w:val="auto"/>
                <w:sz w:val="22"/>
                <w:szCs w:val="22"/>
              </w:rPr>
            </w:pPr>
          </w:p>
        </w:tc>
      </w:tr>
      <w:tr w14:paraId="0E365D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91" w:type="dxa"/>
            <w:vAlign w:val="center"/>
          </w:tcPr>
          <w:p w14:paraId="765B44B6">
            <w:pPr>
              <w:pStyle w:val="85"/>
              <w:rPr>
                <w:color w:val="auto"/>
                <w:sz w:val="22"/>
                <w:szCs w:val="22"/>
              </w:rPr>
            </w:pPr>
            <w:r>
              <w:rPr>
                <w:color w:val="auto"/>
                <w:sz w:val="22"/>
                <w:szCs w:val="22"/>
              </w:rPr>
              <w:t>Урок 59</w:t>
            </w:r>
          </w:p>
        </w:tc>
        <w:tc>
          <w:tcPr>
            <w:tcW w:w="6405" w:type="dxa"/>
            <w:vAlign w:val="center"/>
          </w:tcPr>
          <w:p w14:paraId="142BF7AD">
            <w:pPr>
              <w:pStyle w:val="85"/>
              <w:jc w:val="both"/>
              <w:rPr>
                <w:color w:val="auto"/>
                <w:sz w:val="22"/>
                <w:szCs w:val="22"/>
              </w:rPr>
            </w:pPr>
            <w:r>
              <w:rPr>
                <w:color w:val="auto"/>
                <w:sz w:val="22"/>
                <w:szCs w:val="22"/>
              </w:rPr>
              <w:t>Закаливание. Значение закаливания для укрепления здоровья. Средства и правила проведения закаливающих процедур</w:t>
            </w:r>
          </w:p>
        </w:tc>
        <w:tc>
          <w:tcPr>
            <w:tcW w:w="1473" w:type="dxa"/>
            <w:vAlign w:val="center"/>
          </w:tcPr>
          <w:p w14:paraId="046DA835">
            <w:pPr>
              <w:pStyle w:val="85"/>
              <w:rPr>
                <w:color w:val="auto"/>
                <w:sz w:val="22"/>
                <w:szCs w:val="22"/>
              </w:rPr>
            </w:pPr>
          </w:p>
        </w:tc>
      </w:tr>
      <w:tr w14:paraId="49EA27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91" w:type="dxa"/>
            <w:vAlign w:val="center"/>
          </w:tcPr>
          <w:p w14:paraId="5DB31101">
            <w:pPr>
              <w:pStyle w:val="85"/>
              <w:rPr>
                <w:color w:val="auto"/>
                <w:sz w:val="22"/>
                <w:szCs w:val="22"/>
              </w:rPr>
            </w:pPr>
            <w:r>
              <w:rPr>
                <w:color w:val="auto"/>
                <w:sz w:val="22"/>
                <w:szCs w:val="22"/>
              </w:rPr>
              <w:t>Урок 60</w:t>
            </w:r>
          </w:p>
        </w:tc>
        <w:tc>
          <w:tcPr>
            <w:tcW w:w="6405" w:type="dxa"/>
            <w:vAlign w:val="center"/>
          </w:tcPr>
          <w:p w14:paraId="194DC638">
            <w:pPr>
              <w:pStyle w:val="85"/>
              <w:jc w:val="both"/>
              <w:rPr>
                <w:color w:val="auto"/>
                <w:sz w:val="22"/>
                <w:szCs w:val="22"/>
              </w:rPr>
            </w:pPr>
            <w:r>
              <w:rPr>
                <w:color w:val="auto"/>
                <w:sz w:val="22"/>
                <w:szCs w:val="22"/>
              </w:rPr>
              <w:t>Правила безопасности в школе: маршрут до школы, поведение на занятиях, переменах, при приеме пищи; на пришкольной территории</w:t>
            </w:r>
          </w:p>
        </w:tc>
        <w:tc>
          <w:tcPr>
            <w:tcW w:w="1473" w:type="dxa"/>
            <w:vAlign w:val="center"/>
          </w:tcPr>
          <w:p w14:paraId="70E00780">
            <w:pPr>
              <w:pStyle w:val="85"/>
              <w:rPr>
                <w:color w:val="auto"/>
                <w:sz w:val="22"/>
                <w:szCs w:val="22"/>
              </w:rPr>
            </w:pPr>
          </w:p>
        </w:tc>
      </w:tr>
      <w:tr w14:paraId="6DF731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91" w:type="dxa"/>
            <w:vAlign w:val="center"/>
          </w:tcPr>
          <w:p w14:paraId="689CDA7A">
            <w:pPr>
              <w:pStyle w:val="85"/>
              <w:rPr>
                <w:color w:val="auto"/>
                <w:sz w:val="22"/>
                <w:szCs w:val="22"/>
              </w:rPr>
            </w:pPr>
            <w:r>
              <w:rPr>
                <w:color w:val="auto"/>
                <w:sz w:val="22"/>
                <w:szCs w:val="22"/>
              </w:rPr>
              <w:t>Урок 61</w:t>
            </w:r>
          </w:p>
        </w:tc>
        <w:tc>
          <w:tcPr>
            <w:tcW w:w="6405" w:type="dxa"/>
            <w:vAlign w:val="center"/>
          </w:tcPr>
          <w:p w14:paraId="6C948834">
            <w:pPr>
              <w:pStyle w:val="85"/>
              <w:jc w:val="both"/>
              <w:rPr>
                <w:color w:val="auto"/>
                <w:sz w:val="22"/>
                <w:szCs w:val="22"/>
              </w:rPr>
            </w:pPr>
            <w:r>
              <w:rPr>
                <w:color w:val="auto"/>
                <w:sz w:val="22"/>
                <w:szCs w:val="22"/>
              </w:rPr>
              <w:t>Правила безопасного поведения в быту. Безопасное пользование электроприборами, газовой плитой. Безопасность при разогреве пищи. Номера телефонов экстренной помощи</w:t>
            </w:r>
          </w:p>
        </w:tc>
        <w:tc>
          <w:tcPr>
            <w:tcW w:w="1473" w:type="dxa"/>
            <w:vAlign w:val="center"/>
          </w:tcPr>
          <w:p w14:paraId="4E8753BA">
            <w:pPr>
              <w:pStyle w:val="85"/>
              <w:rPr>
                <w:color w:val="auto"/>
                <w:sz w:val="22"/>
                <w:szCs w:val="22"/>
              </w:rPr>
            </w:pPr>
          </w:p>
        </w:tc>
      </w:tr>
      <w:tr w14:paraId="5C6026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91" w:type="dxa"/>
            <w:vAlign w:val="center"/>
          </w:tcPr>
          <w:p w14:paraId="3193B3FE">
            <w:pPr>
              <w:pStyle w:val="85"/>
              <w:rPr>
                <w:color w:val="auto"/>
                <w:sz w:val="22"/>
                <w:szCs w:val="22"/>
              </w:rPr>
            </w:pPr>
            <w:r>
              <w:rPr>
                <w:color w:val="auto"/>
                <w:sz w:val="22"/>
                <w:szCs w:val="22"/>
              </w:rPr>
              <w:t>Урок 62</w:t>
            </w:r>
          </w:p>
        </w:tc>
        <w:tc>
          <w:tcPr>
            <w:tcW w:w="6405" w:type="dxa"/>
            <w:vAlign w:val="center"/>
          </w:tcPr>
          <w:p w14:paraId="1E366AF4">
            <w:pPr>
              <w:pStyle w:val="85"/>
              <w:jc w:val="both"/>
              <w:rPr>
                <w:color w:val="auto"/>
                <w:sz w:val="22"/>
                <w:szCs w:val="22"/>
              </w:rPr>
            </w:pPr>
            <w:r>
              <w:rPr>
                <w:color w:val="auto"/>
                <w:sz w:val="22"/>
                <w:szCs w:val="22"/>
              </w:rPr>
              <w:t>Безопасное поведение на прогулках: правила поведения на игровых площадках; езда на велосипедах (санках, самокатах) и качелях</w:t>
            </w:r>
          </w:p>
        </w:tc>
        <w:tc>
          <w:tcPr>
            <w:tcW w:w="1473" w:type="dxa"/>
            <w:vAlign w:val="center"/>
          </w:tcPr>
          <w:p w14:paraId="7779B730">
            <w:pPr>
              <w:pStyle w:val="85"/>
              <w:rPr>
                <w:color w:val="auto"/>
                <w:sz w:val="22"/>
                <w:szCs w:val="22"/>
              </w:rPr>
            </w:pPr>
          </w:p>
        </w:tc>
      </w:tr>
      <w:tr w14:paraId="179C23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91" w:type="dxa"/>
            <w:vAlign w:val="center"/>
          </w:tcPr>
          <w:p w14:paraId="501ACBC2">
            <w:pPr>
              <w:pStyle w:val="85"/>
              <w:rPr>
                <w:color w:val="auto"/>
                <w:sz w:val="22"/>
                <w:szCs w:val="22"/>
              </w:rPr>
            </w:pPr>
            <w:r>
              <w:rPr>
                <w:color w:val="auto"/>
                <w:sz w:val="22"/>
                <w:szCs w:val="22"/>
              </w:rPr>
              <w:t>Урок 63</w:t>
            </w:r>
          </w:p>
        </w:tc>
        <w:tc>
          <w:tcPr>
            <w:tcW w:w="6405" w:type="dxa"/>
            <w:vAlign w:val="center"/>
          </w:tcPr>
          <w:p w14:paraId="5A249049">
            <w:pPr>
              <w:pStyle w:val="85"/>
              <w:jc w:val="both"/>
              <w:rPr>
                <w:color w:val="auto"/>
                <w:sz w:val="22"/>
                <w:szCs w:val="22"/>
              </w:rPr>
            </w:pPr>
            <w:r>
              <w:rPr>
                <w:color w:val="auto"/>
                <w:sz w:val="22"/>
                <w:szCs w:val="22"/>
              </w:rPr>
              <w:t>Правила безопасного поведения пассажира наземного транспорта</w:t>
            </w:r>
          </w:p>
        </w:tc>
        <w:tc>
          <w:tcPr>
            <w:tcW w:w="1473" w:type="dxa"/>
            <w:vAlign w:val="center"/>
          </w:tcPr>
          <w:p w14:paraId="636964D6">
            <w:pPr>
              <w:pStyle w:val="85"/>
              <w:rPr>
                <w:color w:val="auto"/>
                <w:sz w:val="22"/>
                <w:szCs w:val="22"/>
              </w:rPr>
            </w:pPr>
          </w:p>
        </w:tc>
      </w:tr>
      <w:tr w14:paraId="14EF77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91" w:type="dxa"/>
            <w:vAlign w:val="center"/>
          </w:tcPr>
          <w:p w14:paraId="52737F2D">
            <w:pPr>
              <w:pStyle w:val="85"/>
              <w:rPr>
                <w:color w:val="auto"/>
                <w:sz w:val="22"/>
                <w:szCs w:val="22"/>
              </w:rPr>
            </w:pPr>
            <w:r>
              <w:rPr>
                <w:color w:val="auto"/>
                <w:sz w:val="22"/>
                <w:szCs w:val="22"/>
              </w:rPr>
              <w:t>Урок 64</w:t>
            </w:r>
          </w:p>
        </w:tc>
        <w:tc>
          <w:tcPr>
            <w:tcW w:w="6405" w:type="dxa"/>
            <w:vAlign w:val="center"/>
          </w:tcPr>
          <w:p w14:paraId="7A257B24">
            <w:pPr>
              <w:pStyle w:val="85"/>
              <w:jc w:val="both"/>
              <w:rPr>
                <w:color w:val="auto"/>
                <w:sz w:val="22"/>
                <w:szCs w:val="22"/>
              </w:rPr>
            </w:pPr>
            <w:r>
              <w:rPr>
                <w:color w:val="auto"/>
                <w:sz w:val="22"/>
                <w:szCs w:val="22"/>
              </w:rPr>
              <w:t>Знаки безопасности на общественном транспорте</w:t>
            </w:r>
          </w:p>
        </w:tc>
        <w:tc>
          <w:tcPr>
            <w:tcW w:w="1473" w:type="dxa"/>
            <w:vAlign w:val="center"/>
          </w:tcPr>
          <w:p w14:paraId="7810495E">
            <w:pPr>
              <w:pStyle w:val="85"/>
              <w:rPr>
                <w:color w:val="auto"/>
                <w:sz w:val="22"/>
                <w:szCs w:val="22"/>
              </w:rPr>
            </w:pPr>
          </w:p>
        </w:tc>
      </w:tr>
      <w:tr w14:paraId="1DAA21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91" w:type="dxa"/>
            <w:vAlign w:val="center"/>
          </w:tcPr>
          <w:p w14:paraId="31E9C685">
            <w:pPr>
              <w:pStyle w:val="85"/>
              <w:rPr>
                <w:color w:val="auto"/>
                <w:sz w:val="22"/>
                <w:szCs w:val="22"/>
              </w:rPr>
            </w:pPr>
            <w:r>
              <w:rPr>
                <w:color w:val="auto"/>
                <w:sz w:val="22"/>
                <w:szCs w:val="22"/>
              </w:rPr>
              <w:t>Урок 65</w:t>
            </w:r>
          </w:p>
        </w:tc>
        <w:tc>
          <w:tcPr>
            <w:tcW w:w="6405" w:type="dxa"/>
            <w:vAlign w:val="center"/>
          </w:tcPr>
          <w:p w14:paraId="61AE0D4A">
            <w:pPr>
              <w:pStyle w:val="85"/>
              <w:jc w:val="both"/>
              <w:rPr>
                <w:color w:val="auto"/>
                <w:sz w:val="22"/>
                <w:szCs w:val="22"/>
              </w:rPr>
            </w:pPr>
            <w:r>
              <w:rPr>
                <w:color w:val="auto"/>
                <w:sz w:val="22"/>
                <w:szCs w:val="22"/>
              </w:rPr>
              <w:t>Правила безопасного поведения пассажира метро. Знаки безопасности в метро</w:t>
            </w:r>
          </w:p>
        </w:tc>
        <w:tc>
          <w:tcPr>
            <w:tcW w:w="1473" w:type="dxa"/>
            <w:vAlign w:val="center"/>
          </w:tcPr>
          <w:p w14:paraId="3A74DBDF">
            <w:pPr>
              <w:pStyle w:val="85"/>
              <w:rPr>
                <w:color w:val="auto"/>
                <w:sz w:val="22"/>
                <w:szCs w:val="22"/>
              </w:rPr>
            </w:pPr>
          </w:p>
        </w:tc>
      </w:tr>
      <w:tr w14:paraId="5350C5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91" w:type="dxa"/>
            <w:vAlign w:val="center"/>
          </w:tcPr>
          <w:p w14:paraId="0A8B42AE">
            <w:pPr>
              <w:pStyle w:val="85"/>
              <w:rPr>
                <w:color w:val="auto"/>
                <w:sz w:val="22"/>
                <w:szCs w:val="22"/>
              </w:rPr>
            </w:pPr>
            <w:r>
              <w:rPr>
                <w:color w:val="auto"/>
                <w:sz w:val="22"/>
                <w:szCs w:val="22"/>
              </w:rPr>
              <w:t>Урок 66</w:t>
            </w:r>
          </w:p>
        </w:tc>
        <w:tc>
          <w:tcPr>
            <w:tcW w:w="6405" w:type="dxa"/>
            <w:vAlign w:val="center"/>
          </w:tcPr>
          <w:p w14:paraId="6649904F">
            <w:pPr>
              <w:pStyle w:val="85"/>
              <w:jc w:val="both"/>
              <w:rPr>
                <w:color w:val="auto"/>
                <w:sz w:val="22"/>
                <w:szCs w:val="22"/>
              </w:rPr>
            </w:pPr>
            <w:r>
              <w:rPr>
                <w:color w:val="auto"/>
                <w:sz w:val="22"/>
                <w:szCs w:val="22"/>
              </w:rPr>
              <w:t>Правила поведения при пользовании компьютером: посадка, время пользования, обязательность отдыха и другие</w:t>
            </w:r>
          </w:p>
        </w:tc>
        <w:tc>
          <w:tcPr>
            <w:tcW w:w="1473" w:type="dxa"/>
            <w:vAlign w:val="center"/>
          </w:tcPr>
          <w:p w14:paraId="611B6869">
            <w:pPr>
              <w:pStyle w:val="85"/>
              <w:rPr>
                <w:color w:val="auto"/>
                <w:sz w:val="22"/>
                <w:szCs w:val="22"/>
              </w:rPr>
            </w:pPr>
          </w:p>
        </w:tc>
      </w:tr>
      <w:tr w14:paraId="54212F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91" w:type="dxa"/>
            <w:vAlign w:val="center"/>
          </w:tcPr>
          <w:p w14:paraId="45955CD7">
            <w:pPr>
              <w:pStyle w:val="85"/>
              <w:rPr>
                <w:color w:val="auto"/>
                <w:sz w:val="22"/>
                <w:szCs w:val="22"/>
              </w:rPr>
            </w:pPr>
            <w:r>
              <w:rPr>
                <w:color w:val="auto"/>
                <w:sz w:val="22"/>
                <w:szCs w:val="22"/>
              </w:rPr>
              <w:t>Урок 67</w:t>
            </w:r>
          </w:p>
        </w:tc>
        <w:tc>
          <w:tcPr>
            <w:tcW w:w="6405" w:type="dxa"/>
            <w:vAlign w:val="center"/>
          </w:tcPr>
          <w:p w14:paraId="63A269E3">
            <w:pPr>
              <w:pStyle w:val="85"/>
              <w:jc w:val="both"/>
              <w:rPr>
                <w:color w:val="auto"/>
                <w:sz w:val="22"/>
                <w:szCs w:val="22"/>
              </w:rPr>
            </w:pPr>
            <w:r>
              <w:rPr>
                <w:color w:val="auto"/>
                <w:sz w:val="22"/>
                <w:szCs w:val="22"/>
              </w:rPr>
              <w:t>Безопасное пользование сетью Интернет</w:t>
            </w:r>
          </w:p>
        </w:tc>
        <w:tc>
          <w:tcPr>
            <w:tcW w:w="1473" w:type="dxa"/>
            <w:vAlign w:val="center"/>
          </w:tcPr>
          <w:p w14:paraId="399D6BFD">
            <w:pPr>
              <w:pStyle w:val="85"/>
              <w:rPr>
                <w:color w:val="auto"/>
                <w:sz w:val="22"/>
                <w:szCs w:val="22"/>
              </w:rPr>
            </w:pPr>
          </w:p>
        </w:tc>
      </w:tr>
      <w:tr w14:paraId="009A89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91" w:type="dxa"/>
            <w:vAlign w:val="center"/>
          </w:tcPr>
          <w:p w14:paraId="7198AE7A">
            <w:pPr>
              <w:pStyle w:val="85"/>
              <w:rPr>
                <w:color w:val="auto"/>
                <w:sz w:val="22"/>
                <w:szCs w:val="22"/>
              </w:rPr>
            </w:pPr>
            <w:r>
              <w:rPr>
                <w:color w:val="auto"/>
                <w:sz w:val="22"/>
                <w:szCs w:val="22"/>
              </w:rPr>
              <w:t>Урок 68</w:t>
            </w:r>
          </w:p>
        </w:tc>
        <w:tc>
          <w:tcPr>
            <w:tcW w:w="6405" w:type="dxa"/>
            <w:vAlign w:val="center"/>
          </w:tcPr>
          <w:p w14:paraId="716DA362">
            <w:pPr>
              <w:pStyle w:val="85"/>
              <w:jc w:val="both"/>
              <w:rPr>
                <w:color w:val="auto"/>
                <w:sz w:val="22"/>
                <w:szCs w:val="22"/>
              </w:rPr>
            </w:pPr>
            <w:r>
              <w:rPr>
                <w:color w:val="auto"/>
                <w:sz w:val="22"/>
                <w:szCs w:val="22"/>
              </w:rPr>
              <w:t>Резервный урок. Повторение по итогам обучения во 2 классе</w:t>
            </w:r>
          </w:p>
        </w:tc>
        <w:tc>
          <w:tcPr>
            <w:tcW w:w="1473" w:type="dxa"/>
            <w:vAlign w:val="center"/>
          </w:tcPr>
          <w:p w14:paraId="5F6E375B">
            <w:pPr>
              <w:pStyle w:val="85"/>
              <w:rPr>
                <w:color w:val="auto"/>
                <w:sz w:val="22"/>
                <w:szCs w:val="22"/>
              </w:rPr>
            </w:pPr>
          </w:p>
        </w:tc>
      </w:tr>
      <w:tr w14:paraId="0058A4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9069" w:type="dxa"/>
            <w:gridSpan w:val="3"/>
            <w:vAlign w:val="center"/>
          </w:tcPr>
          <w:p w14:paraId="630CF45B">
            <w:pPr>
              <w:pStyle w:val="85"/>
              <w:jc w:val="both"/>
              <w:rPr>
                <w:color w:val="auto"/>
                <w:sz w:val="22"/>
                <w:szCs w:val="22"/>
              </w:rPr>
            </w:pPr>
            <w:r>
              <w:rPr>
                <w:color w:val="auto"/>
                <w:sz w:val="22"/>
                <w:szCs w:val="22"/>
              </w:rPr>
              <w:t>ОБЩЕЕ КОЛИЧЕСТВО УРОКОВ ПО ПРОГРАММЕ: 68, из них уроков, отведенных на контрольные работы, - не более 6</w:t>
            </w:r>
          </w:p>
        </w:tc>
      </w:tr>
    </w:tbl>
    <w:p w14:paraId="514BDE10">
      <w:pPr>
        <w:pStyle w:val="85"/>
        <w:jc w:val="both"/>
        <w:rPr>
          <w:color w:val="auto"/>
          <w:sz w:val="22"/>
          <w:szCs w:val="22"/>
        </w:rPr>
      </w:pPr>
    </w:p>
    <w:p w14:paraId="648F9747">
      <w:pPr>
        <w:pStyle w:val="85"/>
        <w:jc w:val="right"/>
        <w:rPr>
          <w:color w:val="auto"/>
          <w:sz w:val="22"/>
          <w:szCs w:val="22"/>
        </w:rPr>
      </w:pPr>
      <w:r>
        <w:rPr>
          <w:color w:val="auto"/>
          <w:sz w:val="22"/>
          <w:szCs w:val="22"/>
        </w:rPr>
        <w:t>Таблица 11.6</w:t>
      </w:r>
    </w:p>
    <w:p w14:paraId="4200FAF6">
      <w:pPr>
        <w:pStyle w:val="85"/>
        <w:jc w:val="both"/>
        <w:rPr>
          <w:color w:val="auto"/>
          <w:sz w:val="22"/>
          <w:szCs w:val="22"/>
        </w:rPr>
      </w:pPr>
    </w:p>
    <w:p w14:paraId="15A9531F">
      <w:pPr>
        <w:pStyle w:val="85"/>
        <w:jc w:val="both"/>
        <w:rPr>
          <w:color w:val="auto"/>
          <w:sz w:val="22"/>
          <w:szCs w:val="22"/>
        </w:rPr>
      </w:pPr>
      <w:r>
        <w:rPr>
          <w:color w:val="auto"/>
          <w:sz w:val="22"/>
          <w:szCs w:val="22"/>
        </w:rPr>
        <w:t>3 класс</w:t>
      </w:r>
    </w:p>
    <w:p w14:paraId="3C736644">
      <w:pPr>
        <w:pStyle w:val="85"/>
        <w:jc w:val="both"/>
        <w:rPr>
          <w:color w:val="auto"/>
          <w:sz w:val="22"/>
          <w:szCs w:val="22"/>
        </w:rPr>
      </w:pPr>
    </w:p>
    <w:tbl>
      <w:tblPr>
        <w:tblStyle w:val="1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02" w:type="dxa"/>
          <w:left w:w="62" w:type="dxa"/>
          <w:bottom w:w="102" w:type="dxa"/>
          <w:right w:w="62" w:type="dxa"/>
        </w:tblCellMar>
      </w:tblPr>
      <w:tblGrid>
        <w:gridCol w:w="1191"/>
        <w:gridCol w:w="6405"/>
        <w:gridCol w:w="1473"/>
      </w:tblGrid>
      <w:tr w14:paraId="61D30D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91" w:type="dxa"/>
          </w:tcPr>
          <w:p w14:paraId="542F7E16">
            <w:pPr>
              <w:pStyle w:val="85"/>
              <w:jc w:val="center"/>
              <w:rPr>
                <w:color w:val="auto"/>
                <w:sz w:val="22"/>
                <w:szCs w:val="22"/>
              </w:rPr>
            </w:pPr>
            <w:r>
              <w:rPr>
                <w:color w:val="auto"/>
                <w:sz w:val="22"/>
                <w:szCs w:val="22"/>
              </w:rPr>
              <w:t>N урока</w:t>
            </w:r>
          </w:p>
        </w:tc>
        <w:tc>
          <w:tcPr>
            <w:tcW w:w="6405" w:type="dxa"/>
          </w:tcPr>
          <w:p w14:paraId="1C7B0B74">
            <w:pPr>
              <w:pStyle w:val="85"/>
              <w:jc w:val="center"/>
              <w:rPr>
                <w:color w:val="auto"/>
                <w:sz w:val="22"/>
                <w:szCs w:val="22"/>
              </w:rPr>
            </w:pPr>
            <w:r>
              <w:rPr>
                <w:color w:val="auto"/>
                <w:sz w:val="22"/>
                <w:szCs w:val="22"/>
              </w:rPr>
              <w:t>Тема урока</w:t>
            </w:r>
          </w:p>
        </w:tc>
        <w:tc>
          <w:tcPr>
            <w:tcW w:w="1473" w:type="dxa"/>
          </w:tcPr>
          <w:p w14:paraId="5D5D97CA">
            <w:pPr>
              <w:pStyle w:val="85"/>
              <w:jc w:val="center"/>
              <w:rPr>
                <w:color w:val="auto"/>
                <w:sz w:val="22"/>
                <w:szCs w:val="22"/>
              </w:rPr>
            </w:pPr>
            <w:r>
              <w:rPr>
                <w:color w:val="auto"/>
                <w:sz w:val="22"/>
                <w:szCs w:val="22"/>
              </w:rPr>
              <w:t>Количество часов на практические работы</w:t>
            </w:r>
          </w:p>
        </w:tc>
      </w:tr>
      <w:tr w14:paraId="4BDC55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91" w:type="dxa"/>
            <w:vAlign w:val="center"/>
          </w:tcPr>
          <w:p w14:paraId="1DA36E4C">
            <w:pPr>
              <w:pStyle w:val="85"/>
              <w:rPr>
                <w:color w:val="auto"/>
                <w:sz w:val="22"/>
                <w:szCs w:val="22"/>
              </w:rPr>
            </w:pPr>
            <w:r>
              <w:rPr>
                <w:color w:val="auto"/>
                <w:sz w:val="22"/>
                <w:szCs w:val="22"/>
              </w:rPr>
              <w:t>Урок 1</w:t>
            </w:r>
          </w:p>
        </w:tc>
        <w:tc>
          <w:tcPr>
            <w:tcW w:w="6405" w:type="dxa"/>
            <w:vAlign w:val="center"/>
          </w:tcPr>
          <w:p w14:paraId="0032A272">
            <w:pPr>
              <w:pStyle w:val="85"/>
              <w:jc w:val="both"/>
              <w:rPr>
                <w:color w:val="auto"/>
                <w:sz w:val="22"/>
                <w:szCs w:val="22"/>
              </w:rPr>
            </w:pPr>
            <w:r>
              <w:rPr>
                <w:color w:val="auto"/>
                <w:sz w:val="22"/>
                <w:szCs w:val="22"/>
              </w:rPr>
              <w:t>Что такое общество?</w:t>
            </w:r>
          </w:p>
        </w:tc>
        <w:tc>
          <w:tcPr>
            <w:tcW w:w="1473" w:type="dxa"/>
            <w:vAlign w:val="center"/>
          </w:tcPr>
          <w:p w14:paraId="7B4B80CC">
            <w:pPr>
              <w:pStyle w:val="85"/>
              <w:rPr>
                <w:color w:val="auto"/>
                <w:sz w:val="22"/>
                <w:szCs w:val="22"/>
              </w:rPr>
            </w:pPr>
          </w:p>
        </w:tc>
      </w:tr>
      <w:tr w14:paraId="064F34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191" w:type="dxa"/>
            <w:vAlign w:val="center"/>
          </w:tcPr>
          <w:p w14:paraId="0106C53B">
            <w:pPr>
              <w:pStyle w:val="85"/>
              <w:rPr>
                <w:color w:val="auto"/>
                <w:sz w:val="22"/>
                <w:szCs w:val="22"/>
              </w:rPr>
            </w:pPr>
            <w:r>
              <w:rPr>
                <w:color w:val="auto"/>
                <w:sz w:val="22"/>
                <w:szCs w:val="22"/>
              </w:rPr>
              <w:t>Урок 2</w:t>
            </w:r>
          </w:p>
        </w:tc>
        <w:tc>
          <w:tcPr>
            <w:tcW w:w="6405" w:type="dxa"/>
            <w:vAlign w:val="center"/>
          </w:tcPr>
          <w:p w14:paraId="60DFF152">
            <w:pPr>
              <w:pStyle w:val="85"/>
              <w:jc w:val="both"/>
              <w:rPr>
                <w:color w:val="auto"/>
                <w:sz w:val="22"/>
                <w:szCs w:val="22"/>
              </w:rPr>
            </w:pPr>
            <w:r>
              <w:rPr>
                <w:color w:val="auto"/>
                <w:sz w:val="22"/>
                <w:szCs w:val="22"/>
              </w:rPr>
              <w:t>Наша Родина - Российская Федерация Государственная символика Российской Федерации. Уважение к государственным символам России</w:t>
            </w:r>
          </w:p>
        </w:tc>
        <w:tc>
          <w:tcPr>
            <w:tcW w:w="1473" w:type="dxa"/>
            <w:vAlign w:val="center"/>
          </w:tcPr>
          <w:p w14:paraId="1F5F6325">
            <w:pPr>
              <w:pStyle w:val="85"/>
              <w:rPr>
                <w:color w:val="auto"/>
                <w:sz w:val="22"/>
                <w:szCs w:val="22"/>
              </w:rPr>
            </w:pPr>
          </w:p>
        </w:tc>
      </w:tr>
      <w:tr w14:paraId="11D5B8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91" w:type="dxa"/>
            <w:vAlign w:val="center"/>
          </w:tcPr>
          <w:p w14:paraId="4588686D">
            <w:pPr>
              <w:pStyle w:val="85"/>
              <w:rPr>
                <w:color w:val="auto"/>
                <w:sz w:val="22"/>
                <w:szCs w:val="22"/>
              </w:rPr>
            </w:pPr>
            <w:r>
              <w:rPr>
                <w:color w:val="auto"/>
                <w:sz w:val="22"/>
                <w:szCs w:val="22"/>
              </w:rPr>
              <w:t>Урок 3</w:t>
            </w:r>
          </w:p>
        </w:tc>
        <w:tc>
          <w:tcPr>
            <w:tcW w:w="6405" w:type="dxa"/>
            <w:vAlign w:val="center"/>
          </w:tcPr>
          <w:p w14:paraId="7B550E01">
            <w:pPr>
              <w:pStyle w:val="85"/>
              <w:jc w:val="both"/>
              <w:rPr>
                <w:color w:val="auto"/>
                <w:sz w:val="22"/>
                <w:szCs w:val="22"/>
              </w:rPr>
            </w:pPr>
            <w:r>
              <w:rPr>
                <w:color w:val="auto"/>
                <w:sz w:val="22"/>
                <w:szCs w:val="22"/>
              </w:rPr>
              <w:t>Родной край - малая родина</w:t>
            </w:r>
          </w:p>
        </w:tc>
        <w:tc>
          <w:tcPr>
            <w:tcW w:w="1473" w:type="dxa"/>
            <w:vAlign w:val="center"/>
          </w:tcPr>
          <w:p w14:paraId="3E8E2749">
            <w:pPr>
              <w:pStyle w:val="85"/>
              <w:rPr>
                <w:color w:val="auto"/>
                <w:sz w:val="22"/>
                <w:szCs w:val="22"/>
              </w:rPr>
            </w:pPr>
          </w:p>
        </w:tc>
      </w:tr>
      <w:tr w14:paraId="2BCF15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191" w:type="dxa"/>
            <w:vAlign w:val="center"/>
          </w:tcPr>
          <w:p w14:paraId="6372A22D">
            <w:pPr>
              <w:pStyle w:val="85"/>
              <w:rPr>
                <w:color w:val="auto"/>
                <w:sz w:val="22"/>
                <w:szCs w:val="22"/>
              </w:rPr>
            </w:pPr>
            <w:r>
              <w:rPr>
                <w:color w:val="auto"/>
                <w:sz w:val="22"/>
                <w:szCs w:val="22"/>
              </w:rPr>
              <w:t>Урок 4</w:t>
            </w:r>
          </w:p>
        </w:tc>
        <w:tc>
          <w:tcPr>
            <w:tcW w:w="6405" w:type="dxa"/>
            <w:vAlign w:val="center"/>
          </w:tcPr>
          <w:p w14:paraId="78C3C631">
            <w:pPr>
              <w:pStyle w:val="85"/>
              <w:jc w:val="both"/>
              <w:rPr>
                <w:color w:val="auto"/>
                <w:sz w:val="22"/>
                <w:szCs w:val="22"/>
              </w:rPr>
            </w:pPr>
            <w:r>
              <w:rPr>
                <w:color w:val="auto"/>
                <w:sz w:val="22"/>
                <w:szCs w:val="22"/>
              </w:rPr>
              <w:t>Уникальные памятники культуры России: Красная площадь, Кремль</w:t>
            </w:r>
          </w:p>
        </w:tc>
        <w:tc>
          <w:tcPr>
            <w:tcW w:w="1473" w:type="dxa"/>
            <w:vAlign w:val="center"/>
          </w:tcPr>
          <w:p w14:paraId="02969BA7">
            <w:pPr>
              <w:pStyle w:val="85"/>
              <w:rPr>
                <w:color w:val="auto"/>
                <w:sz w:val="22"/>
                <w:szCs w:val="22"/>
              </w:rPr>
            </w:pPr>
          </w:p>
        </w:tc>
      </w:tr>
      <w:tr w14:paraId="180D40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91" w:type="dxa"/>
            <w:vAlign w:val="center"/>
          </w:tcPr>
          <w:p w14:paraId="5E4C23D1">
            <w:pPr>
              <w:pStyle w:val="85"/>
              <w:rPr>
                <w:color w:val="auto"/>
                <w:sz w:val="22"/>
                <w:szCs w:val="22"/>
              </w:rPr>
            </w:pPr>
            <w:r>
              <w:rPr>
                <w:color w:val="auto"/>
                <w:sz w:val="22"/>
                <w:szCs w:val="22"/>
              </w:rPr>
              <w:t>Урок 5</w:t>
            </w:r>
          </w:p>
        </w:tc>
        <w:tc>
          <w:tcPr>
            <w:tcW w:w="6405" w:type="dxa"/>
            <w:vAlign w:val="center"/>
          </w:tcPr>
          <w:p w14:paraId="0B3B4E1A">
            <w:pPr>
              <w:pStyle w:val="85"/>
              <w:jc w:val="both"/>
              <w:rPr>
                <w:color w:val="auto"/>
                <w:sz w:val="22"/>
                <w:szCs w:val="22"/>
              </w:rPr>
            </w:pPr>
            <w:r>
              <w:rPr>
                <w:color w:val="auto"/>
                <w:sz w:val="22"/>
                <w:szCs w:val="22"/>
              </w:rPr>
              <w:t>Уникальные памятники культуры России: исторический центр Санкт-Петербурга</w:t>
            </w:r>
          </w:p>
        </w:tc>
        <w:tc>
          <w:tcPr>
            <w:tcW w:w="1473" w:type="dxa"/>
            <w:vAlign w:val="center"/>
          </w:tcPr>
          <w:p w14:paraId="1FC8EC4D">
            <w:pPr>
              <w:pStyle w:val="85"/>
              <w:rPr>
                <w:color w:val="auto"/>
                <w:sz w:val="22"/>
                <w:szCs w:val="22"/>
              </w:rPr>
            </w:pPr>
          </w:p>
        </w:tc>
      </w:tr>
      <w:tr w14:paraId="7D0E55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91" w:type="dxa"/>
            <w:vAlign w:val="center"/>
          </w:tcPr>
          <w:p w14:paraId="1875BC00">
            <w:pPr>
              <w:pStyle w:val="85"/>
              <w:rPr>
                <w:color w:val="auto"/>
                <w:sz w:val="22"/>
                <w:szCs w:val="22"/>
              </w:rPr>
            </w:pPr>
            <w:r>
              <w:rPr>
                <w:color w:val="auto"/>
                <w:sz w:val="22"/>
                <w:szCs w:val="22"/>
              </w:rPr>
              <w:t>Урок 6</w:t>
            </w:r>
          </w:p>
        </w:tc>
        <w:tc>
          <w:tcPr>
            <w:tcW w:w="6405" w:type="dxa"/>
            <w:vAlign w:val="center"/>
          </w:tcPr>
          <w:p w14:paraId="2B30BC54">
            <w:pPr>
              <w:pStyle w:val="85"/>
              <w:jc w:val="both"/>
              <w:rPr>
                <w:color w:val="auto"/>
                <w:sz w:val="22"/>
                <w:szCs w:val="22"/>
              </w:rPr>
            </w:pPr>
            <w:r>
              <w:rPr>
                <w:color w:val="auto"/>
                <w:sz w:val="22"/>
                <w:szCs w:val="22"/>
              </w:rPr>
              <w:t>Уникальные памятники культуры России: Кижи, памятники Великого Новгорода</w:t>
            </w:r>
          </w:p>
        </w:tc>
        <w:tc>
          <w:tcPr>
            <w:tcW w:w="1473" w:type="dxa"/>
            <w:vAlign w:val="center"/>
          </w:tcPr>
          <w:p w14:paraId="30DAABDD">
            <w:pPr>
              <w:pStyle w:val="85"/>
              <w:rPr>
                <w:color w:val="auto"/>
                <w:sz w:val="22"/>
                <w:szCs w:val="22"/>
              </w:rPr>
            </w:pPr>
          </w:p>
        </w:tc>
      </w:tr>
      <w:tr w14:paraId="44AC1B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91" w:type="dxa"/>
            <w:vAlign w:val="center"/>
          </w:tcPr>
          <w:p w14:paraId="7309E3E3">
            <w:pPr>
              <w:pStyle w:val="85"/>
              <w:rPr>
                <w:color w:val="auto"/>
                <w:sz w:val="22"/>
                <w:szCs w:val="22"/>
              </w:rPr>
            </w:pPr>
            <w:r>
              <w:rPr>
                <w:color w:val="auto"/>
                <w:sz w:val="22"/>
                <w:szCs w:val="22"/>
              </w:rPr>
              <w:t>Урок 7</w:t>
            </w:r>
          </w:p>
        </w:tc>
        <w:tc>
          <w:tcPr>
            <w:tcW w:w="6405" w:type="dxa"/>
            <w:vAlign w:val="center"/>
          </w:tcPr>
          <w:p w14:paraId="0E16120A">
            <w:pPr>
              <w:pStyle w:val="85"/>
              <w:jc w:val="both"/>
              <w:rPr>
                <w:color w:val="auto"/>
                <w:sz w:val="22"/>
                <w:szCs w:val="22"/>
              </w:rPr>
            </w:pPr>
            <w:r>
              <w:rPr>
                <w:color w:val="auto"/>
                <w:sz w:val="22"/>
                <w:szCs w:val="22"/>
              </w:rPr>
              <w:t>Достопримечательности родного края: памятники природы и культуры региона</w:t>
            </w:r>
          </w:p>
        </w:tc>
        <w:tc>
          <w:tcPr>
            <w:tcW w:w="1473" w:type="dxa"/>
            <w:vAlign w:val="center"/>
          </w:tcPr>
          <w:p w14:paraId="26EF36AF">
            <w:pPr>
              <w:pStyle w:val="85"/>
              <w:rPr>
                <w:color w:val="auto"/>
                <w:sz w:val="22"/>
                <w:szCs w:val="22"/>
              </w:rPr>
            </w:pPr>
          </w:p>
        </w:tc>
      </w:tr>
      <w:tr w14:paraId="656553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91" w:type="dxa"/>
            <w:vAlign w:val="center"/>
          </w:tcPr>
          <w:p w14:paraId="0F858375">
            <w:pPr>
              <w:pStyle w:val="85"/>
              <w:rPr>
                <w:color w:val="auto"/>
                <w:sz w:val="22"/>
                <w:szCs w:val="22"/>
              </w:rPr>
            </w:pPr>
            <w:r>
              <w:rPr>
                <w:color w:val="auto"/>
                <w:sz w:val="22"/>
                <w:szCs w:val="22"/>
              </w:rPr>
              <w:t>Урок 8</w:t>
            </w:r>
          </w:p>
        </w:tc>
        <w:tc>
          <w:tcPr>
            <w:tcW w:w="6405" w:type="dxa"/>
            <w:vAlign w:val="center"/>
          </w:tcPr>
          <w:p w14:paraId="77C0EA20">
            <w:pPr>
              <w:pStyle w:val="85"/>
              <w:jc w:val="both"/>
              <w:rPr>
                <w:color w:val="auto"/>
                <w:sz w:val="22"/>
                <w:szCs w:val="22"/>
              </w:rPr>
            </w:pPr>
            <w:r>
              <w:rPr>
                <w:color w:val="auto"/>
                <w:sz w:val="22"/>
                <w:szCs w:val="22"/>
              </w:rPr>
              <w:t>Города Золотого кольца России. Кремлевские города: Ростов Великий, Переславль-Залесский</w:t>
            </w:r>
          </w:p>
        </w:tc>
        <w:tc>
          <w:tcPr>
            <w:tcW w:w="1473" w:type="dxa"/>
            <w:vAlign w:val="center"/>
          </w:tcPr>
          <w:p w14:paraId="69E0DD8C">
            <w:pPr>
              <w:pStyle w:val="85"/>
              <w:rPr>
                <w:color w:val="auto"/>
                <w:sz w:val="22"/>
                <w:szCs w:val="22"/>
              </w:rPr>
            </w:pPr>
          </w:p>
        </w:tc>
      </w:tr>
      <w:tr w14:paraId="389600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91" w:type="dxa"/>
            <w:vAlign w:val="center"/>
          </w:tcPr>
          <w:p w14:paraId="7398AA08">
            <w:pPr>
              <w:pStyle w:val="85"/>
              <w:rPr>
                <w:color w:val="auto"/>
                <w:sz w:val="22"/>
                <w:szCs w:val="22"/>
              </w:rPr>
            </w:pPr>
            <w:r>
              <w:rPr>
                <w:color w:val="auto"/>
                <w:sz w:val="22"/>
                <w:szCs w:val="22"/>
              </w:rPr>
              <w:t>Урок 9</w:t>
            </w:r>
          </w:p>
        </w:tc>
        <w:tc>
          <w:tcPr>
            <w:tcW w:w="6405" w:type="dxa"/>
            <w:vAlign w:val="center"/>
          </w:tcPr>
          <w:p w14:paraId="0ACF06C1">
            <w:pPr>
              <w:pStyle w:val="85"/>
              <w:jc w:val="both"/>
              <w:rPr>
                <w:color w:val="auto"/>
                <w:sz w:val="22"/>
                <w:szCs w:val="22"/>
              </w:rPr>
            </w:pPr>
            <w:r>
              <w:rPr>
                <w:color w:val="auto"/>
                <w:sz w:val="22"/>
                <w:szCs w:val="22"/>
              </w:rPr>
              <w:t>Города Золотого кольца России. Кремлевские города: Суздаль, Сергиев Посад, Ярославль</w:t>
            </w:r>
          </w:p>
        </w:tc>
        <w:tc>
          <w:tcPr>
            <w:tcW w:w="1473" w:type="dxa"/>
            <w:vAlign w:val="center"/>
          </w:tcPr>
          <w:p w14:paraId="4FA5B6A4">
            <w:pPr>
              <w:pStyle w:val="85"/>
              <w:rPr>
                <w:color w:val="auto"/>
                <w:sz w:val="22"/>
                <w:szCs w:val="22"/>
              </w:rPr>
            </w:pPr>
          </w:p>
        </w:tc>
      </w:tr>
      <w:tr w14:paraId="7A0F95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91" w:type="dxa"/>
            <w:vAlign w:val="center"/>
          </w:tcPr>
          <w:p w14:paraId="160DCD65">
            <w:pPr>
              <w:pStyle w:val="85"/>
              <w:rPr>
                <w:color w:val="auto"/>
                <w:sz w:val="22"/>
                <w:szCs w:val="22"/>
              </w:rPr>
            </w:pPr>
            <w:r>
              <w:rPr>
                <w:color w:val="auto"/>
                <w:sz w:val="22"/>
                <w:szCs w:val="22"/>
              </w:rPr>
              <w:t>Урок 10</w:t>
            </w:r>
          </w:p>
        </w:tc>
        <w:tc>
          <w:tcPr>
            <w:tcW w:w="6405" w:type="dxa"/>
            <w:vAlign w:val="center"/>
          </w:tcPr>
          <w:p w14:paraId="24BBBA56">
            <w:pPr>
              <w:pStyle w:val="85"/>
              <w:jc w:val="both"/>
              <w:rPr>
                <w:color w:val="auto"/>
                <w:sz w:val="22"/>
                <w:szCs w:val="22"/>
              </w:rPr>
            </w:pPr>
            <w:r>
              <w:rPr>
                <w:color w:val="auto"/>
                <w:sz w:val="22"/>
                <w:szCs w:val="22"/>
              </w:rPr>
              <w:t>Трудолюбие как общественно значимая ценность в культуре народов России. Традиции воспитания трудолюбия у детей разных народов нашей страны</w:t>
            </w:r>
          </w:p>
        </w:tc>
        <w:tc>
          <w:tcPr>
            <w:tcW w:w="1473" w:type="dxa"/>
            <w:vAlign w:val="center"/>
          </w:tcPr>
          <w:p w14:paraId="55BA1F52">
            <w:pPr>
              <w:pStyle w:val="85"/>
              <w:rPr>
                <w:color w:val="auto"/>
                <w:sz w:val="22"/>
                <w:szCs w:val="22"/>
              </w:rPr>
            </w:pPr>
          </w:p>
        </w:tc>
      </w:tr>
      <w:tr w14:paraId="1CC789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91" w:type="dxa"/>
            <w:vAlign w:val="center"/>
          </w:tcPr>
          <w:p w14:paraId="4BD43402">
            <w:pPr>
              <w:pStyle w:val="85"/>
              <w:rPr>
                <w:color w:val="auto"/>
                <w:sz w:val="22"/>
                <w:szCs w:val="22"/>
              </w:rPr>
            </w:pPr>
            <w:r>
              <w:rPr>
                <w:color w:val="auto"/>
                <w:sz w:val="22"/>
                <w:szCs w:val="22"/>
              </w:rPr>
              <w:t>Урок 11</w:t>
            </w:r>
          </w:p>
        </w:tc>
        <w:tc>
          <w:tcPr>
            <w:tcW w:w="6405" w:type="dxa"/>
            <w:vAlign w:val="center"/>
          </w:tcPr>
          <w:p w14:paraId="78050994">
            <w:pPr>
              <w:pStyle w:val="85"/>
              <w:jc w:val="both"/>
              <w:rPr>
                <w:color w:val="auto"/>
                <w:sz w:val="22"/>
                <w:szCs w:val="22"/>
              </w:rPr>
            </w:pPr>
            <w:r>
              <w:rPr>
                <w:color w:val="auto"/>
                <w:sz w:val="22"/>
                <w:szCs w:val="22"/>
              </w:rPr>
              <w:t>Труд жителей региона. Профессии, связанные с трудом на производстве, в сельском хозяйстве</w:t>
            </w:r>
          </w:p>
        </w:tc>
        <w:tc>
          <w:tcPr>
            <w:tcW w:w="1473" w:type="dxa"/>
            <w:vAlign w:val="center"/>
          </w:tcPr>
          <w:p w14:paraId="755AEEDE">
            <w:pPr>
              <w:pStyle w:val="85"/>
              <w:rPr>
                <w:color w:val="auto"/>
                <w:sz w:val="22"/>
                <w:szCs w:val="22"/>
              </w:rPr>
            </w:pPr>
          </w:p>
        </w:tc>
      </w:tr>
      <w:tr w14:paraId="23B2F9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91" w:type="dxa"/>
            <w:vAlign w:val="center"/>
          </w:tcPr>
          <w:p w14:paraId="0FD9272B">
            <w:pPr>
              <w:pStyle w:val="85"/>
              <w:rPr>
                <w:color w:val="auto"/>
                <w:sz w:val="22"/>
                <w:szCs w:val="22"/>
              </w:rPr>
            </w:pPr>
            <w:r>
              <w:rPr>
                <w:color w:val="auto"/>
                <w:sz w:val="22"/>
                <w:szCs w:val="22"/>
              </w:rPr>
              <w:t>Урок 12</w:t>
            </w:r>
          </w:p>
        </w:tc>
        <w:tc>
          <w:tcPr>
            <w:tcW w:w="6405" w:type="dxa"/>
            <w:vAlign w:val="center"/>
          </w:tcPr>
          <w:p w14:paraId="4F47B380">
            <w:pPr>
              <w:pStyle w:val="85"/>
              <w:jc w:val="both"/>
              <w:rPr>
                <w:color w:val="auto"/>
                <w:sz w:val="22"/>
                <w:szCs w:val="22"/>
              </w:rPr>
            </w:pPr>
            <w:r>
              <w:rPr>
                <w:color w:val="auto"/>
                <w:sz w:val="22"/>
                <w:szCs w:val="22"/>
              </w:rPr>
              <w:t>Труд жителей региона. Профессии, связанные с трудом в учреждениях образования и культуры</w:t>
            </w:r>
          </w:p>
        </w:tc>
        <w:tc>
          <w:tcPr>
            <w:tcW w:w="1473" w:type="dxa"/>
            <w:vAlign w:val="center"/>
          </w:tcPr>
          <w:p w14:paraId="17960807">
            <w:pPr>
              <w:pStyle w:val="85"/>
              <w:rPr>
                <w:color w:val="auto"/>
                <w:sz w:val="22"/>
                <w:szCs w:val="22"/>
              </w:rPr>
            </w:pPr>
          </w:p>
        </w:tc>
      </w:tr>
      <w:tr w14:paraId="0CA1C3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191" w:type="dxa"/>
            <w:vAlign w:val="center"/>
          </w:tcPr>
          <w:p w14:paraId="5A6F7F35">
            <w:pPr>
              <w:pStyle w:val="85"/>
              <w:rPr>
                <w:color w:val="auto"/>
                <w:sz w:val="22"/>
                <w:szCs w:val="22"/>
              </w:rPr>
            </w:pPr>
            <w:r>
              <w:rPr>
                <w:color w:val="auto"/>
                <w:sz w:val="22"/>
                <w:szCs w:val="22"/>
              </w:rPr>
              <w:t>Урок 13</w:t>
            </w:r>
          </w:p>
        </w:tc>
        <w:tc>
          <w:tcPr>
            <w:tcW w:w="6405" w:type="dxa"/>
            <w:vAlign w:val="center"/>
          </w:tcPr>
          <w:p w14:paraId="055F5AA8">
            <w:pPr>
              <w:pStyle w:val="85"/>
              <w:jc w:val="both"/>
              <w:rPr>
                <w:color w:val="auto"/>
                <w:sz w:val="22"/>
                <w:szCs w:val="22"/>
              </w:rPr>
            </w:pPr>
            <w:r>
              <w:rPr>
                <w:color w:val="auto"/>
                <w:sz w:val="22"/>
                <w:szCs w:val="22"/>
              </w:rPr>
              <w:t>Культура, традиции народов России. Уважение к культуре, традициям, истории разных народов и своего народа</w:t>
            </w:r>
          </w:p>
        </w:tc>
        <w:tc>
          <w:tcPr>
            <w:tcW w:w="1473" w:type="dxa"/>
            <w:vAlign w:val="center"/>
          </w:tcPr>
          <w:p w14:paraId="44FEF0F7">
            <w:pPr>
              <w:pStyle w:val="85"/>
              <w:rPr>
                <w:color w:val="auto"/>
                <w:sz w:val="22"/>
                <w:szCs w:val="22"/>
              </w:rPr>
            </w:pPr>
          </w:p>
        </w:tc>
      </w:tr>
      <w:tr w14:paraId="1D618D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91" w:type="dxa"/>
            <w:vAlign w:val="center"/>
          </w:tcPr>
          <w:p w14:paraId="067B59D9">
            <w:pPr>
              <w:pStyle w:val="85"/>
              <w:rPr>
                <w:color w:val="auto"/>
                <w:sz w:val="22"/>
                <w:szCs w:val="22"/>
              </w:rPr>
            </w:pPr>
            <w:r>
              <w:rPr>
                <w:color w:val="auto"/>
                <w:sz w:val="22"/>
                <w:szCs w:val="22"/>
              </w:rPr>
              <w:t>Урок 14</w:t>
            </w:r>
          </w:p>
        </w:tc>
        <w:tc>
          <w:tcPr>
            <w:tcW w:w="6405" w:type="dxa"/>
            <w:vAlign w:val="center"/>
          </w:tcPr>
          <w:p w14:paraId="0DBBE395">
            <w:pPr>
              <w:pStyle w:val="85"/>
              <w:jc w:val="both"/>
              <w:rPr>
                <w:color w:val="auto"/>
                <w:sz w:val="22"/>
                <w:szCs w:val="22"/>
              </w:rPr>
            </w:pPr>
            <w:r>
              <w:rPr>
                <w:color w:val="auto"/>
                <w:sz w:val="22"/>
                <w:szCs w:val="22"/>
              </w:rPr>
              <w:t>Нужны ли обществу правила поведения? Правила поведения в социуме</w:t>
            </w:r>
          </w:p>
        </w:tc>
        <w:tc>
          <w:tcPr>
            <w:tcW w:w="1473" w:type="dxa"/>
            <w:vAlign w:val="center"/>
          </w:tcPr>
          <w:p w14:paraId="2F07D7E0">
            <w:pPr>
              <w:pStyle w:val="85"/>
              <w:rPr>
                <w:color w:val="auto"/>
                <w:sz w:val="22"/>
                <w:szCs w:val="22"/>
              </w:rPr>
            </w:pPr>
          </w:p>
        </w:tc>
      </w:tr>
      <w:tr w14:paraId="026C5E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91" w:type="dxa"/>
            <w:vAlign w:val="center"/>
          </w:tcPr>
          <w:p w14:paraId="74106039">
            <w:pPr>
              <w:pStyle w:val="85"/>
              <w:rPr>
                <w:color w:val="auto"/>
                <w:sz w:val="22"/>
                <w:szCs w:val="22"/>
              </w:rPr>
            </w:pPr>
            <w:r>
              <w:rPr>
                <w:color w:val="auto"/>
                <w:sz w:val="22"/>
                <w:szCs w:val="22"/>
              </w:rPr>
              <w:t>Урок 15</w:t>
            </w:r>
          </w:p>
        </w:tc>
        <w:tc>
          <w:tcPr>
            <w:tcW w:w="6405" w:type="dxa"/>
            <w:vAlign w:val="center"/>
          </w:tcPr>
          <w:p w14:paraId="3FDC6E47">
            <w:pPr>
              <w:pStyle w:val="85"/>
              <w:jc w:val="both"/>
              <w:rPr>
                <w:color w:val="auto"/>
                <w:sz w:val="22"/>
                <w:szCs w:val="22"/>
              </w:rPr>
            </w:pPr>
            <w:r>
              <w:rPr>
                <w:color w:val="auto"/>
                <w:sz w:val="22"/>
                <w:szCs w:val="22"/>
              </w:rPr>
              <w:t>Семья - первый и главный коллектив в жизни человека Повседневные заботы семьи</w:t>
            </w:r>
          </w:p>
        </w:tc>
        <w:tc>
          <w:tcPr>
            <w:tcW w:w="1473" w:type="dxa"/>
            <w:vAlign w:val="center"/>
          </w:tcPr>
          <w:p w14:paraId="69AC2760">
            <w:pPr>
              <w:pStyle w:val="85"/>
              <w:rPr>
                <w:color w:val="auto"/>
                <w:sz w:val="22"/>
                <w:szCs w:val="22"/>
              </w:rPr>
            </w:pPr>
          </w:p>
        </w:tc>
      </w:tr>
      <w:tr w14:paraId="1532DB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191" w:type="dxa"/>
            <w:vAlign w:val="center"/>
          </w:tcPr>
          <w:p w14:paraId="0DBFCCC2">
            <w:pPr>
              <w:pStyle w:val="85"/>
              <w:rPr>
                <w:color w:val="auto"/>
                <w:sz w:val="22"/>
                <w:szCs w:val="22"/>
              </w:rPr>
            </w:pPr>
            <w:r>
              <w:rPr>
                <w:color w:val="auto"/>
                <w:sz w:val="22"/>
                <w:szCs w:val="22"/>
              </w:rPr>
              <w:t>Урок 16</w:t>
            </w:r>
          </w:p>
        </w:tc>
        <w:tc>
          <w:tcPr>
            <w:tcW w:w="6405" w:type="dxa"/>
            <w:vAlign w:val="center"/>
          </w:tcPr>
          <w:p w14:paraId="66DD5A02">
            <w:pPr>
              <w:pStyle w:val="85"/>
              <w:jc w:val="both"/>
              <w:rPr>
                <w:color w:val="auto"/>
                <w:sz w:val="22"/>
                <w:szCs w:val="22"/>
              </w:rPr>
            </w:pPr>
            <w:r>
              <w:rPr>
                <w:color w:val="auto"/>
                <w:sz w:val="22"/>
                <w:szCs w:val="22"/>
              </w:rPr>
              <w:t>Совместный труд. Семейный бюджет, доходы и расходы семьи</w:t>
            </w:r>
          </w:p>
        </w:tc>
        <w:tc>
          <w:tcPr>
            <w:tcW w:w="1473" w:type="dxa"/>
            <w:vAlign w:val="center"/>
          </w:tcPr>
          <w:p w14:paraId="36B01798">
            <w:pPr>
              <w:pStyle w:val="85"/>
              <w:rPr>
                <w:color w:val="auto"/>
                <w:sz w:val="22"/>
                <w:szCs w:val="22"/>
              </w:rPr>
            </w:pPr>
          </w:p>
        </w:tc>
      </w:tr>
      <w:tr w14:paraId="513BF3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91" w:type="dxa"/>
            <w:vAlign w:val="center"/>
          </w:tcPr>
          <w:p w14:paraId="6C8F3230">
            <w:pPr>
              <w:pStyle w:val="85"/>
              <w:rPr>
                <w:color w:val="auto"/>
                <w:sz w:val="22"/>
                <w:szCs w:val="22"/>
              </w:rPr>
            </w:pPr>
            <w:r>
              <w:rPr>
                <w:color w:val="auto"/>
                <w:sz w:val="22"/>
                <w:szCs w:val="22"/>
              </w:rPr>
              <w:t>Урок 17</w:t>
            </w:r>
          </w:p>
        </w:tc>
        <w:tc>
          <w:tcPr>
            <w:tcW w:w="6405" w:type="dxa"/>
            <w:vAlign w:val="center"/>
          </w:tcPr>
          <w:p w14:paraId="3ACFAB3A">
            <w:pPr>
              <w:pStyle w:val="85"/>
              <w:jc w:val="both"/>
              <w:rPr>
                <w:color w:val="auto"/>
                <w:sz w:val="22"/>
                <w:szCs w:val="22"/>
              </w:rPr>
            </w:pPr>
            <w:r>
              <w:rPr>
                <w:color w:val="auto"/>
                <w:sz w:val="22"/>
                <w:szCs w:val="22"/>
              </w:rPr>
              <w:t>Памятники природы и культуры стран Европы (по выбору)</w:t>
            </w:r>
          </w:p>
        </w:tc>
        <w:tc>
          <w:tcPr>
            <w:tcW w:w="1473" w:type="dxa"/>
            <w:vAlign w:val="center"/>
          </w:tcPr>
          <w:p w14:paraId="2CF72A68">
            <w:pPr>
              <w:pStyle w:val="85"/>
              <w:rPr>
                <w:color w:val="auto"/>
                <w:sz w:val="22"/>
                <w:szCs w:val="22"/>
              </w:rPr>
            </w:pPr>
          </w:p>
        </w:tc>
      </w:tr>
      <w:tr w14:paraId="7CF5A3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91" w:type="dxa"/>
            <w:vAlign w:val="center"/>
          </w:tcPr>
          <w:p w14:paraId="313518DD">
            <w:pPr>
              <w:pStyle w:val="85"/>
              <w:rPr>
                <w:color w:val="auto"/>
                <w:sz w:val="22"/>
                <w:szCs w:val="22"/>
              </w:rPr>
            </w:pPr>
            <w:r>
              <w:rPr>
                <w:color w:val="auto"/>
                <w:sz w:val="22"/>
                <w:szCs w:val="22"/>
              </w:rPr>
              <w:t>Урок 18</w:t>
            </w:r>
          </w:p>
        </w:tc>
        <w:tc>
          <w:tcPr>
            <w:tcW w:w="6405" w:type="dxa"/>
            <w:vAlign w:val="center"/>
          </w:tcPr>
          <w:p w14:paraId="086794EB">
            <w:pPr>
              <w:pStyle w:val="85"/>
              <w:jc w:val="both"/>
              <w:rPr>
                <w:color w:val="auto"/>
                <w:sz w:val="22"/>
                <w:szCs w:val="22"/>
              </w:rPr>
            </w:pPr>
            <w:r>
              <w:rPr>
                <w:color w:val="auto"/>
                <w:sz w:val="22"/>
                <w:szCs w:val="22"/>
              </w:rPr>
              <w:t>Памятники природы и культуры Белоруссии (по выбору)</w:t>
            </w:r>
          </w:p>
        </w:tc>
        <w:tc>
          <w:tcPr>
            <w:tcW w:w="1473" w:type="dxa"/>
            <w:vAlign w:val="center"/>
          </w:tcPr>
          <w:p w14:paraId="01CC2840">
            <w:pPr>
              <w:pStyle w:val="85"/>
              <w:rPr>
                <w:color w:val="auto"/>
                <w:sz w:val="22"/>
                <w:szCs w:val="22"/>
              </w:rPr>
            </w:pPr>
          </w:p>
        </w:tc>
      </w:tr>
      <w:tr w14:paraId="2CC45A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91" w:type="dxa"/>
            <w:vAlign w:val="center"/>
          </w:tcPr>
          <w:p w14:paraId="309541B5">
            <w:pPr>
              <w:pStyle w:val="85"/>
              <w:rPr>
                <w:color w:val="auto"/>
                <w:sz w:val="22"/>
                <w:szCs w:val="22"/>
              </w:rPr>
            </w:pPr>
            <w:r>
              <w:rPr>
                <w:color w:val="auto"/>
                <w:sz w:val="22"/>
                <w:szCs w:val="22"/>
              </w:rPr>
              <w:t>Урок 19</w:t>
            </w:r>
          </w:p>
        </w:tc>
        <w:tc>
          <w:tcPr>
            <w:tcW w:w="6405" w:type="dxa"/>
            <w:vAlign w:val="center"/>
          </w:tcPr>
          <w:p w14:paraId="5A38A9D7">
            <w:pPr>
              <w:pStyle w:val="85"/>
              <w:jc w:val="both"/>
              <w:rPr>
                <w:color w:val="auto"/>
                <w:sz w:val="22"/>
                <w:szCs w:val="22"/>
              </w:rPr>
            </w:pPr>
            <w:r>
              <w:rPr>
                <w:color w:val="auto"/>
                <w:sz w:val="22"/>
                <w:szCs w:val="22"/>
              </w:rPr>
              <w:t>Памятники природы и культуры стран Азии (по выбору)</w:t>
            </w:r>
          </w:p>
        </w:tc>
        <w:tc>
          <w:tcPr>
            <w:tcW w:w="1473" w:type="dxa"/>
            <w:vAlign w:val="center"/>
          </w:tcPr>
          <w:p w14:paraId="68C34E04">
            <w:pPr>
              <w:pStyle w:val="85"/>
              <w:rPr>
                <w:color w:val="auto"/>
                <w:sz w:val="22"/>
                <w:szCs w:val="22"/>
              </w:rPr>
            </w:pPr>
          </w:p>
        </w:tc>
      </w:tr>
      <w:tr w14:paraId="7DC6A7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91" w:type="dxa"/>
            <w:vAlign w:val="center"/>
          </w:tcPr>
          <w:p w14:paraId="7BDE544E">
            <w:pPr>
              <w:pStyle w:val="85"/>
              <w:rPr>
                <w:color w:val="auto"/>
                <w:sz w:val="22"/>
                <w:szCs w:val="22"/>
              </w:rPr>
            </w:pPr>
            <w:r>
              <w:rPr>
                <w:color w:val="auto"/>
                <w:sz w:val="22"/>
                <w:szCs w:val="22"/>
              </w:rPr>
              <w:t>Урок 20</w:t>
            </w:r>
          </w:p>
        </w:tc>
        <w:tc>
          <w:tcPr>
            <w:tcW w:w="6405" w:type="dxa"/>
            <w:vAlign w:val="center"/>
          </w:tcPr>
          <w:p w14:paraId="49F19421">
            <w:pPr>
              <w:pStyle w:val="85"/>
              <w:jc w:val="both"/>
              <w:rPr>
                <w:color w:val="auto"/>
                <w:sz w:val="22"/>
                <w:szCs w:val="22"/>
              </w:rPr>
            </w:pPr>
            <w:r>
              <w:rPr>
                <w:color w:val="auto"/>
                <w:sz w:val="22"/>
                <w:szCs w:val="22"/>
              </w:rPr>
              <w:t>Памятники природы и культуры Китая (по выбору)</w:t>
            </w:r>
          </w:p>
        </w:tc>
        <w:tc>
          <w:tcPr>
            <w:tcW w:w="1473" w:type="dxa"/>
            <w:vAlign w:val="center"/>
          </w:tcPr>
          <w:p w14:paraId="38AF20F0">
            <w:pPr>
              <w:pStyle w:val="85"/>
              <w:rPr>
                <w:color w:val="auto"/>
                <w:sz w:val="22"/>
                <w:szCs w:val="22"/>
              </w:rPr>
            </w:pPr>
          </w:p>
        </w:tc>
      </w:tr>
      <w:tr w14:paraId="6C3011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91" w:type="dxa"/>
            <w:vAlign w:val="center"/>
          </w:tcPr>
          <w:p w14:paraId="76A8474F">
            <w:pPr>
              <w:pStyle w:val="85"/>
              <w:rPr>
                <w:color w:val="auto"/>
                <w:sz w:val="22"/>
                <w:szCs w:val="22"/>
              </w:rPr>
            </w:pPr>
            <w:r>
              <w:rPr>
                <w:color w:val="auto"/>
                <w:sz w:val="22"/>
                <w:szCs w:val="22"/>
              </w:rPr>
              <w:t>Урок 21</w:t>
            </w:r>
          </w:p>
        </w:tc>
        <w:tc>
          <w:tcPr>
            <w:tcW w:w="6405" w:type="dxa"/>
            <w:vAlign w:val="center"/>
          </w:tcPr>
          <w:p w14:paraId="5D669131">
            <w:pPr>
              <w:pStyle w:val="85"/>
              <w:jc w:val="both"/>
              <w:rPr>
                <w:color w:val="auto"/>
                <w:sz w:val="22"/>
                <w:szCs w:val="22"/>
              </w:rPr>
            </w:pPr>
            <w:r>
              <w:rPr>
                <w:color w:val="auto"/>
                <w:sz w:val="22"/>
                <w:szCs w:val="22"/>
              </w:rPr>
              <w:t>Резервный урок. Семья: традиции, праздники</w:t>
            </w:r>
          </w:p>
        </w:tc>
        <w:tc>
          <w:tcPr>
            <w:tcW w:w="1473" w:type="dxa"/>
            <w:vAlign w:val="center"/>
          </w:tcPr>
          <w:p w14:paraId="758EDF79">
            <w:pPr>
              <w:pStyle w:val="85"/>
              <w:rPr>
                <w:color w:val="auto"/>
                <w:sz w:val="22"/>
                <w:szCs w:val="22"/>
              </w:rPr>
            </w:pPr>
          </w:p>
        </w:tc>
      </w:tr>
      <w:tr w14:paraId="27C720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191" w:type="dxa"/>
            <w:vAlign w:val="center"/>
          </w:tcPr>
          <w:p w14:paraId="6A962D06">
            <w:pPr>
              <w:pStyle w:val="85"/>
              <w:rPr>
                <w:color w:val="auto"/>
                <w:sz w:val="22"/>
                <w:szCs w:val="22"/>
              </w:rPr>
            </w:pPr>
            <w:r>
              <w:rPr>
                <w:color w:val="auto"/>
                <w:sz w:val="22"/>
                <w:szCs w:val="22"/>
              </w:rPr>
              <w:t>Урок 22</w:t>
            </w:r>
          </w:p>
        </w:tc>
        <w:tc>
          <w:tcPr>
            <w:tcW w:w="6405" w:type="dxa"/>
            <w:vAlign w:val="center"/>
          </w:tcPr>
          <w:p w14:paraId="1F37B5D3">
            <w:pPr>
              <w:pStyle w:val="85"/>
              <w:jc w:val="both"/>
              <w:rPr>
                <w:color w:val="auto"/>
                <w:sz w:val="22"/>
                <w:szCs w:val="22"/>
              </w:rPr>
            </w:pPr>
            <w:r>
              <w:rPr>
                <w:color w:val="auto"/>
                <w:sz w:val="22"/>
                <w:szCs w:val="22"/>
              </w:rPr>
              <w:t>Резервный урок. Повторение по теме "Наша Родина - Российская Федерация"</w:t>
            </w:r>
          </w:p>
        </w:tc>
        <w:tc>
          <w:tcPr>
            <w:tcW w:w="1473" w:type="dxa"/>
            <w:vAlign w:val="center"/>
          </w:tcPr>
          <w:p w14:paraId="44A739CC">
            <w:pPr>
              <w:pStyle w:val="85"/>
              <w:rPr>
                <w:color w:val="auto"/>
                <w:sz w:val="22"/>
                <w:szCs w:val="22"/>
              </w:rPr>
            </w:pPr>
          </w:p>
        </w:tc>
      </w:tr>
      <w:tr w14:paraId="3A4BEA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191" w:type="dxa"/>
            <w:vAlign w:val="center"/>
          </w:tcPr>
          <w:p w14:paraId="312CEA6C">
            <w:pPr>
              <w:pStyle w:val="85"/>
              <w:rPr>
                <w:color w:val="auto"/>
                <w:sz w:val="22"/>
                <w:szCs w:val="22"/>
              </w:rPr>
            </w:pPr>
            <w:r>
              <w:rPr>
                <w:color w:val="auto"/>
                <w:sz w:val="22"/>
                <w:szCs w:val="22"/>
              </w:rPr>
              <w:t>Урок 23</w:t>
            </w:r>
          </w:p>
        </w:tc>
        <w:tc>
          <w:tcPr>
            <w:tcW w:w="6405" w:type="dxa"/>
            <w:vAlign w:val="center"/>
          </w:tcPr>
          <w:p w14:paraId="649E2460">
            <w:pPr>
              <w:pStyle w:val="85"/>
              <w:jc w:val="both"/>
              <w:rPr>
                <w:color w:val="auto"/>
                <w:sz w:val="22"/>
                <w:szCs w:val="22"/>
              </w:rPr>
            </w:pPr>
            <w:r>
              <w:rPr>
                <w:color w:val="auto"/>
                <w:sz w:val="22"/>
                <w:szCs w:val="22"/>
              </w:rPr>
              <w:t>Методы изучения природы: наблюдения, сравнения, измерения, опыты и эксперименты. Материки и океаны, части света: картины природы</w:t>
            </w:r>
          </w:p>
        </w:tc>
        <w:tc>
          <w:tcPr>
            <w:tcW w:w="1473" w:type="dxa"/>
            <w:vAlign w:val="center"/>
          </w:tcPr>
          <w:p w14:paraId="4A07A219">
            <w:pPr>
              <w:pStyle w:val="85"/>
              <w:rPr>
                <w:color w:val="auto"/>
                <w:sz w:val="22"/>
                <w:szCs w:val="22"/>
              </w:rPr>
            </w:pPr>
          </w:p>
        </w:tc>
      </w:tr>
      <w:tr w14:paraId="51EECB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191" w:type="dxa"/>
            <w:vAlign w:val="center"/>
          </w:tcPr>
          <w:p w14:paraId="53D3CF6C">
            <w:pPr>
              <w:pStyle w:val="85"/>
              <w:rPr>
                <w:color w:val="auto"/>
                <w:sz w:val="22"/>
                <w:szCs w:val="22"/>
              </w:rPr>
            </w:pPr>
            <w:r>
              <w:rPr>
                <w:color w:val="auto"/>
                <w:sz w:val="22"/>
                <w:szCs w:val="22"/>
              </w:rPr>
              <w:t>Урок 24</w:t>
            </w:r>
          </w:p>
        </w:tc>
        <w:tc>
          <w:tcPr>
            <w:tcW w:w="6405" w:type="dxa"/>
            <w:vAlign w:val="center"/>
          </w:tcPr>
          <w:p w14:paraId="43D88C2E">
            <w:pPr>
              <w:pStyle w:val="85"/>
              <w:jc w:val="both"/>
              <w:rPr>
                <w:color w:val="auto"/>
                <w:sz w:val="22"/>
                <w:szCs w:val="22"/>
              </w:rPr>
            </w:pPr>
            <w:r>
              <w:rPr>
                <w:color w:val="auto"/>
                <w:sz w:val="22"/>
                <w:szCs w:val="22"/>
              </w:rPr>
              <w:t>Разнообразие веществ в природе. Примеры веществ (соль, сахар, вода, природный газ): узнавание, называние, краткая характеристика</w:t>
            </w:r>
          </w:p>
        </w:tc>
        <w:tc>
          <w:tcPr>
            <w:tcW w:w="1473" w:type="dxa"/>
            <w:vAlign w:val="center"/>
          </w:tcPr>
          <w:p w14:paraId="34DADD26">
            <w:pPr>
              <w:pStyle w:val="85"/>
              <w:rPr>
                <w:color w:val="auto"/>
                <w:sz w:val="22"/>
                <w:szCs w:val="22"/>
              </w:rPr>
            </w:pPr>
          </w:p>
        </w:tc>
      </w:tr>
      <w:tr w14:paraId="347E07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91" w:type="dxa"/>
            <w:vAlign w:val="center"/>
          </w:tcPr>
          <w:p w14:paraId="29F72BFD">
            <w:pPr>
              <w:pStyle w:val="85"/>
              <w:rPr>
                <w:color w:val="auto"/>
                <w:sz w:val="22"/>
                <w:szCs w:val="22"/>
              </w:rPr>
            </w:pPr>
            <w:r>
              <w:rPr>
                <w:color w:val="auto"/>
                <w:sz w:val="22"/>
                <w:szCs w:val="22"/>
              </w:rPr>
              <w:t>Урок 25</w:t>
            </w:r>
          </w:p>
        </w:tc>
        <w:tc>
          <w:tcPr>
            <w:tcW w:w="6405" w:type="dxa"/>
            <w:vAlign w:val="center"/>
          </w:tcPr>
          <w:p w14:paraId="09577254">
            <w:pPr>
              <w:pStyle w:val="85"/>
              <w:jc w:val="both"/>
              <w:rPr>
                <w:color w:val="auto"/>
                <w:sz w:val="22"/>
                <w:szCs w:val="22"/>
              </w:rPr>
            </w:pPr>
            <w:r>
              <w:rPr>
                <w:color w:val="auto"/>
                <w:sz w:val="22"/>
                <w:szCs w:val="22"/>
              </w:rPr>
              <w:t>Твердые вещества, жидкости, газы. Определение свойств твердых веществ, жидкостей и газов</w:t>
            </w:r>
          </w:p>
        </w:tc>
        <w:tc>
          <w:tcPr>
            <w:tcW w:w="1473" w:type="dxa"/>
            <w:vAlign w:val="center"/>
          </w:tcPr>
          <w:p w14:paraId="705CD89D">
            <w:pPr>
              <w:pStyle w:val="85"/>
              <w:rPr>
                <w:color w:val="auto"/>
                <w:sz w:val="22"/>
                <w:szCs w:val="22"/>
              </w:rPr>
            </w:pPr>
          </w:p>
        </w:tc>
      </w:tr>
      <w:tr w14:paraId="60E0CB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91" w:type="dxa"/>
            <w:vAlign w:val="center"/>
          </w:tcPr>
          <w:p w14:paraId="5A5961AF">
            <w:pPr>
              <w:pStyle w:val="85"/>
              <w:rPr>
                <w:color w:val="auto"/>
                <w:sz w:val="22"/>
                <w:szCs w:val="22"/>
              </w:rPr>
            </w:pPr>
            <w:r>
              <w:rPr>
                <w:color w:val="auto"/>
                <w:sz w:val="22"/>
                <w:szCs w:val="22"/>
              </w:rPr>
              <w:t>Урок 26</w:t>
            </w:r>
          </w:p>
        </w:tc>
        <w:tc>
          <w:tcPr>
            <w:tcW w:w="6405" w:type="dxa"/>
            <w:vAlign w:val="center"/>
          </w:tcPr>
          <w:p w14:paraId="4DC8C3BC">
            <w:pPr>
              <w:pStyle w:val="85"/>
              <w:jc w:val="both"/>
              <w:rPr>
                <w:color w:val="auto"/>
                <w:sz w:val="22"/>
                <w:szCs w:val="22"/>
              </w:rPr>
            </w:pPr>
            <w:r>
              <w:rPr>
                <w:color w:val="auto"/>
                <w:sz w:val="22"/>
                <w:szCs w:val="22"/>
              </w:rPr>
              <w:t>Вода как вещество. Определение свойств воды в ходе практической работы</w:t>
            </w:r>
          </w:p>
        </w:tc>
        <w:tc>
          <w:tcPr>
            <w:tcW w:w="1473" w:type="dxa"/>
            <w:vAlign w:val="center"/>
          </w:tcPr>
          <w:p w14:paraId="4AA0069A">
            <w:pPr>
              <w:pStyle w:val="85"/>
              <w:jc w:val="center"/>
              <w:rPr>
                <w:color w:val="auto"/>
                <w:sz w:val="22"/>
                <w:szCs w:val="22"/>
              </w:rPr>
            </w:pPr>
            <w:r>
              <w:rPr>
                <w:color w:val="auto"/>
                <w:sz w:val="22"/>
                <w:szCs w:val="22"/>
              </w:rPr>
              <w:t>1</w:t>
            </w:r>
          </w:p>
        </w:tc>
      </w:tr>
      <w:tr w14:paraId="6268DF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91" w:type="dxa"/>
            <w:vAlign w:val="center"/>
          </w:tcPr>
          <w:p w14:paraId="77242FB9">
            <w:pPr>
              <w:pStyle w:val="85"/>
              <w:rPr>
                <w:color w:val="auto"/>
                <w:sz w:val="22"/>
                <w:szCs w:val="22"/>
              </w:rPr>
            </w:pPr>
            <w:r>
              <w:rPr>
                <w:color w:val="auto"/>
                <w:sz w:val="22"/>
                <w:szCs w:val="22"/>
              </w:rPr>
              <w:t>Урок 27</w:t>
            </w:r>
          </w:p>
        </w:tc>
        <w:tc>
          <w:tcPr>
            <w:tcW w:w="6405" w:type="dxa"/>
            <w:vAlign w:val="center"/>
          </w:tcPr>
          <w:p w14:paraId="439E54AA">
            <w:pPr>
              <w:pStyle w:val="85"/>
              <w:jc w:val="both"/>
              <w:rPr>
                <w:color w:val="auto"/>
                <w:sz w:val="22"/>
                <w:szCs w:val="22"/>
              </w:rPr>
            </w:pPr>
            <w:r>
              <w:rPr>
                <w:color w:val="auto"/>
                <w:sz w:val="22"/>
                <w:szCs w:val="22"/>
              </w:rPr>
              <w:t>Распространение воды в природе: водоемы, реки. Круговорот воды в природе</w:t>
            </w:r>
          </w:p>
        </w:tc>
        <w:tc>
          <w:tcPr>
            <w:tcW w:w="1473" w:type="dxa"/>
            <w:vAlign w:val="center"/>
          </w:tcPr>
          <w:p w14:paraId="7007B344">
            <w:pPr>
              <w:pStyle w:val="85"/>
              <w:rPr>
                <w:color w:val="auto"/>
                <w:sz w:val="22"/>
                <w:szCs w:val="22"/>
              </w:rPr>
            </w:pPr>
          </w:p>
        </w:tc>
      </w:tr>
      <w:tr w14:paraId="13EFF5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91" w:type="dxa"/>
            <w:vAlign w:val="center"/>
          </w:tcPr>
          <w:p w14:paraId="066AD9C4">
            <w:pPr>
              <w:pStyle w:val="85"/>
              <w:rPr>
                <w:color w:val="auto"/>
                <w:sz w:val="22"/>
                <w:szCs w:val="22"/>
              </w:rPr>
            </w:pPr>
            <w:r>
              <w:rPr>
                <w:color w:val="auto"/>
                <w:sz w:val="22"/>
                <w:szCs w:val="22"/>
              </w:rPr>
              <w:t>Урок 28</w:t>
            </w:r>
          </w:p>
        </w:tc>
        <w:tc>
          <w:tcPr>
            <w:tcW w:w="6405" w:type="dxa"/>
            <w:vAlign w:val="center"/>
          </w:tcPr>
          <w:p w14:paraId="1D146A71">
            <w:pPr>
              <w:pStyle w:val="85"/>
              <w:jc w:val="both"/>
              <w:rPr>
                <w:color w:val="auto"/>
                <w:sz w:val="22"/>
                <w:szCs w:val="22"/>
              </w:rPr>
            </w:pPr>
            <w:r>
              <w:rPr>
                <w:color w:val="auto"/>
                <w:sz w:val="22"/>
                <w:szCs w:val="22"/>
              </w:rPr>
              <w:t>Значение воды для жизни живых организмов и хозяйственной деятельности людей. Охрана воды</w:t>
            </w:r>
          </w:p>
        </w:tc>
        <w:tc>
          <w:tcPr>
            <w:tcW w:w="1473" w:type="dxa"/>
            <w:vAlign w:val="center"/>
          </w:tcPr>
          <w:p w14:paraId="00E4DF9D">
            <w:pPr>
              <w:pStyle w:val="85"/>
              <w:rPr>
                <w:color w:val="auto"/>
                <w:sz w:val="22"/>
                <w:szCs w:val="22"/>
              </w:rPr>
            </w:pPr>
          </w:p>
        </w:tc>
      </w:tr>
      <w:tr w14:paraId="230EB4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91" w:type="dxa"/>
            <w:vAlign w:val="center"/>
          </w:tcPr>
          <w:p w14:paraId="2CDC9EFB">
            <w:pPr>
              <w:pStyle w:val="85"/>
              <w:rPr>
                <w:color w:val="auto"/>
                <w:sz w:val="22"/>
                <w:szCs w:val="22"/>
              </w:rPr>
            </w:pPr>
            <w:r>
              <w:rPr>
                <w:color w:val="auto"/>
                <w:sz w:val="22"/>
                <w:szCs w:val="22"/>
              </w:rPr>
              <w:t>Урок 29</w:t>
            </w:r>
          </w:p>
        </w:tc>
        <w:tc>
          <w:tcPr>
            <w:tcW w:w="6405" w:type="dxa"/>
            <w:vAlign w:val="center"/>
          </w:tcPr>
          <w:p w14:paraId="45DCBA0F">
            <w:pPr>
              <w:pStyle w:val="85"/>
              <w:jc w:val="both"/>
              <w:rPr>
                <w:color w:val="auto"/>
                <w:sz w:val="22"/>
                <w:szCs w:val="22"/>
              </w:rPr>
            </w:pPr>
            <w:r>
              <w:rPr>
                <w:color w:val="auto"/>
                <w:sz w:val="22"/>
                <w:szCs w:val="22"/>
              </w:rPr>
              <w:t>Воздух как смесь газов. Значение воздуха для жизни флоры, фауны, человека. Охрана воздуха</w:t>
            </w:r>
          </w:p>
        </w:tc>
        <w:tc>
          <w:tcPr>
            <w:tcW w:w="1473" w:type="dxa"/>
            <w:vAlign w:val="center"/>
          </w:tcPr>
          <w:p w14:paraId="4E1E08EC">
            <w:pPr>
              <w:pStyle w:val="85"/>
              <w:rPr>
                <w:color w:val="auto"/>
                <w:sz w:val="22"/>
                <w:szCs w:val="22"/>
              </w:rPr>
            </w:pPr>
          </w:p>
        </w:tc>
      </w:tr>
      <w:tr w14:paraId="2832C3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91" w:type="dxa"/>
            <w:vAlign w:val="center"/>
          </w:tcPr>
          <w:p w14:paraId="004E2BB1">
            <w:pPr>
              <w:pStyle w:val="85"/>
              <w:rPr>
                <w:color w:val="auto"/>
                <w:sz w:val="22"/>
                <w:szCs w:val="22"/>
              </w:rPr>
            </w:pPr>
            <w:r>
              <w:rPr>
                <w:color w:val="auto"/>
                <w:sz w:val="22"/>
                <w:szCs w:val="22"/>
              </w:rPr>
              <w:t>Урок 30</w:t>
            </w:r>
          </w:p>
        </w:tc>
        <w:tc>
          <w:tcPr>
            <w:tcW w:w="6405" w:type="dxa"/>
            <w:vAlign w:val="center"/>
          </w:tcPr>
          <w:p w14:paraId="177E7D13">
            <w:pPr>
              <w:pStyle w:val="85"/>
              <w:jc w:val="both"/>
              <w:rPr>
                <w:color w:val="auto"/>
                <w:sz w:val="22"/>
                <w:szCs w:val="22"/>
              </w:rPr>
            </w:pPr>
            <w:r>
              <w:rPr>
                <w:color w:val="auto"/>
                <w:sz w:val="22"/>
                <w:szCs w:val="22"/>
              </w:rPr>
              <w:t>Горная порода как соединение разных минералов. Примеры минералов</w:t>
            </w:r>
          </w:p>
        </w:tc>
        <w:tc>
          <w:tcPr>
            <w:tcW w:w="1473" w:type="dxa"/>
            <w:vAlign w:val="center"/>
          </w:tcPr>
          <w:p w14:paraId="4F504FAA">
            <w:pPr>
              <w:pStyle w:val="85"/>
              <w:rPr>
                <w:color w:val="auto"/>
                <w:sz w:val="22"/>
                <w:szCs w:val="22"/>
              </w:rPr>
            </w:pPr>
          </w:p>
        </w:tc>
      </w:tr>
      <w:tr w14:paraId="0B92A9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91" w:type="dxa"/>
            <w:vAlign w:val="center"/>
          </w:tcPr>
          <w:p w14:paraId="7C35C737">
            <w:pPr>
              <w:pStyle w:val="85"/>
              <w:rPr>
                <w:color w:val="auto"/>
                <w:sz w:val="22"/>
                <w:szCs w:val="22"/>
              </w:rPr>
            </w:pPr>
            <w:r>
              <w:rPr>
                <w:color w:val="auto"/>
                <w:sz w:val="22"/>
                <w:szCs w:val="22"/>
              </w:rPr>
              <w:t>Урок 31</w:t>
            </w:r>
          </w:p>
        </w:tc>
        <w:tc>
          <w:tcPr>
            <w:tcW w:w="6405" w:type="dxa"/>
            <w:vAlign w:val="center"/>
          </w:tcPr>
          <w:p w14:paraId="2318AD87">
            <w:pPr>
              <w:pStyle w:val="85"/>
              <w:jc w:val="both"/>
              <w:rPr>
                <w:color w:val="auto"/>
                <w:sz w:val="22"/>
                <w:szCs w:val="22"/>
              </w:rPr>
            </w:pPr>
            <w:r>
              <w:rPr>
                <w:color w:val="auto"/>
                <w:sz w:val="22"/>
                <w:szCs w:val="22"/>
              </w:rPr>
              <w:t>Полезные ископаемые - богатство земных недр</w:t>
            </w:r>
          </w:p>
        </w:tc>
        <w:tc>
          <w:tcPr>
            <w:tcW w:w="1473" w:type="dxa"/>
            <w:vAlign w:val="center"/>
          </w:tcPr>
          <w:p w14:paraId="1E040C80">
            <w:pPr>
              <w:pStyle w:val="85"/>
              <w:rPr>
                <w:color w:val="auto"/>
                <w:sz w:val="22"/>
                <w:szCs w:val="22"/>
              </w:rPr>
            </w:pPr>
          </w:p>
        </w:tc>
      </w:tr>
      <w:tr w14:paraId="50C5BC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91" w:type="dxa"/>
            <w:vAlign w:val="center"/>
          </w:tcPr>
          <w:p w14:paraId="6F6E3B23">
            <w:pPr>
              <w:pStyle w:val="85"/>
              <w:rPr>
                <w:color w:val="auto"/>
                <w:sz w:val="22"/>
                <w:szCs w:val="22"/>
              </w:rPr>
            </w:pPr>
            <w:r>
              <w:rPr>
                <w:color w:val="auto"/>
                <w:sz w:val="22"/>
                <w:szCs w:val="22"/>
              </w:rPr>
              <w:t>Урок 32</w:t>
            </w:r>
          </w:p>
        </w:tc>
        <w:tc>
          <w:tcPr>
            <w:tcW w:w="6405" w:type="dxa"/>
            <w:vAlign w:val="center"/>
          </w:tcPr>
          <w:p w14:paraId="2464F779">
            <w:pPr>
              <w:pStyle w:val="85"/>
              <w:jc w:val="both"/>
              <w:rPr>
                <w:color w:val="auto"/>
                <w:sz w:val="22"/>
                <w:szCs w:val="22"/>
              </w:rPr>
            </w:pPr>
            <w:r>
              <w:rPr>
                <w:color w:val="auto"/>
                <w:sz w:val="22"/>
                <w:szCs w:val="22"/>
              </w:rPr>
              <w:t>Полезные ископаемые родного края: характеристика, использование в хозяйственной деятельности региона</w:t>
            </w:r>
          </w:p>
        </w:tc>
        <w:tc>
          <w:tcPr>
            <w:tcW w:w="1473" w:type="dxa"/>
            <w:vAlign w:val="center"/>
          </w:tcPr>
          <w:p w14:paraId="7C5BA131">
            <w:pPr>
              <w:pStyle w:val="85"/>
              <w:rPr>
                <w:color w:val="auto"/>
                <w:sz w:val="22"/>
                <w:szCs w:val="22"/>
              </w:rPr>
            </w:pPr>
          </w:p>
        </w:tc>
      </w:tr>
      <w:tr w14:paraId="294D70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191" w:type="dxa"/>
            <w:vAlign w:val="center"/>
          </w:tcPr>
          <w:p w14:paraId="5D51E3D8">
            <w:pPr>
              <w:pStyle w:val="85"/>
              <w:rPr>
                <w:color w:val="auto"/>
                <w:sz w:val="22"/>
                <w:szCs w:val="22"/>
              </w:rPr>
            </w:pPr>
            <w:r>
              <w:rPr>
                <w:color w:val="auto"/>
                <w:sz w:val="22"/>
                <w:szCs w:val="22"/>
              </w:rPr>
              <w:t>Урок 33</w:t>
            </w:r>
          </w:p>
        </w:tc>
        <w:tc>
          <w:tcPr>
            <w:tcW w:w="6405" w:type="dxa"/>
            <w:vAlign w:val="center"/>
          </w:tcPr>
          <w:p w14:paraId="356FC8EA">
            <w:pPr>
              <w:pStyle w:val="85"/>
              <w:jc w:val="both"/>
              <w:rPr>
                <w:color w:val="auto"/>
                <w:sz w:val="22"/>
                <w:szCs w:val="22"/>
              </w:rPr>
            </w:pPr>
            <w:r>
              <w:rPr>
                <w:color w:val="auto"/>
                <w:sz w:val="22"/>
                <w:szCs w:val="22"/>
              </w:rPr>
              <w:t>Почва, ее состав</w:t>
            </w:r>
          </w:p>
        </w:tc>
        <w:tc>
          <w:tcPr>
            <w:tcW w:w="1473" w:type="dxa"/>
            <w:vAlign w:val="center"/>
          </w:tcPr>
          <w:p w14:paraId="08AEA738">
            <w:pPr>
              <w:pStyle w:val="85"/>
              <w:rPr>
                <w:color w:val="auto"/>
                <w:sz w:val="22"/>
                <w:szCs w:val="22"/>
              </w:rPr>
            </w:pPr>
          </w:p>
        </w:tc>
      </w:tr>
      <w:tr w14:paraId="5D8B41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91" w:type="dxa"/>
            <w:vAlign w:val="center"/>
          </w:tcPr>
          <w:p w14:paraId="770625AF">
            <w:pPr>
              <w:pStyle w:val="85"/>
              <w:rPr>
                <w:color w:val="auto"/>
                <w:sz w:val="22"/>
                <w:szCs w:val="22"/>
              </w:rPr>
            </w:pPr>
            <w:r>
              <w:rPr>
                <w:color w:val="auto"/>
                <w:sz w:val="22"/>
                <w:szCs w:val="22"/>
              </w:rPr>
              <w:t>Урок 34</w:t>
            </w:r>
          </w:p>
        </w:tc>
        <w:tc>
          <w:tcPr>
            <w:tcW w:w="6405" w:type="dxa"/>
            <w:vAlign w:val="center"/>
          </w:tcPr>
          <w:p w14:paraId="221C9174">
            <w:pPr>
              <w:pStyle w:val="85"/>
              <w:jc w:val="both"/>
              <w:rPr>
                <w:color w:val="auto"/>
                <w:sz w:val="22"/>
                <w:szCs w:val="22"/>
              </w:rPr>
            </w:pPr>
            <w:r>
              <w:rPr>
                <w:color w:val="auto"/>
                <w:sz w:val="22"/>
                <w:szCs w:val="22"/>
              </w:rPr>
              <w:t>Бактерии - мельчайшие одноклеточные живые существа</w:t>
            </w:r>
          </w:p>
        </w:tc>
        <w:tc>
          <w:tcPr>
            <w:tcW w:w="1473" w:type="dxa"/>
            <w:vAlign w:val="center"/>
          </w:tcPr>
          <w:p w14:paraId="6DC3C3F0">
            <w:pPr>
              <w:pStyle w:val="85"/>
              <w:rPr>
                <w:color w:val="auto"/>
                <w:sz w:val="22"/>
                <w:szCs w:val="22"/>
              </w:rPr>
            </w:pPr>
          </w:p>
        </w:tc>
      </w:tr>
      <w:tr w14:paraId="66BD56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91" w:type="dxa"/>
            <w:vAlign w:val="center"/>
          </w:tcPr>
          <w:p w14:paraId="5FA3858D">
            <w:pPr>
              <w:pStyle w:val="85"/>
              <w:rPr>
                <w:color w:val="auto"/>
                <w:sz w:val="22"/>
                <w:szCs w:val="22"/>
              </w:rPr>
            </w:pPr>
            <w:r>
              <w:rPr>
                <w:color w:val="auto"/>
                <w:sz w:val="22"/>
                <w:szCs w:val="22"/>
              </w:rPr>
              <w:t>Урок 35</w:t>
            </w:r>
          </w:p>
        </w:tc>
        <w:tc>
          <w:tcPr>
            <w:tcW w:w="6405" w:type="dxa"/>
            <w:vAlign w:val="center"/>
          </w:tcPr>
          <w:p w14:paraId="48988FA3">
            <w:pPr>
              <w:pStyle w:val="85"/>
              <w:jc w:val="both"/>
              <w:rPr>
                <w:color w:val="auto"/>
                <w:sz w:val="22"/>
                <w:szCs w:val="22"/>
              </w:rPr>
            </w:pPr>
            <w:r>
              <w:rPr>
                <w:color w:val="auto"/>
                <w:sz w:val="22"/>
                <w:szCs w:val="22"/>
              </w:rPr>
              <w:t>Разнообразие грибов: узнавание, называние, описание</w:t>
            </w:r>
          </w:p>
        </w:tc>
        <w:tc>
          <w:tcPr>
            <w:tcW w:w="1473" w:type="dxa"/>
            <w:vAlign w:val="center"/>
          </w:tcPr>
          <w:p w14:paraId="55919729">
            <w:pPr>
              <w:pStyle w:val="85"/>
              <w:rPr>
                <w:color w:val="auto"/>
                <w:sz w:val="22"/>
                <w:szCs w:val="22"/>
              </w:rPr>
            </w:pPr>
          </w:p>
        </w:tc>
      </w:tr>
      <w:tr w14:paraId="5DF9C5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191" w:type="dxa"/>
            <w:vAlign w:val="center"/>
          </w:tcPr>
          <w:p w14:paraId="3689E913">
            <w:pPr>
              <w:pStyle w:val="85"/>
              <w:rPr>
                <w:color w:val="auto"/>
                <w:sz w:val="22"/>
                <w:szCs w:val="22"/>
              </w:rPr>
            </w:pPr>
            <w:r>
              <w:rPr>
                <w:color w:val="auto"/>
                <w:sz w:val="22"/>
                <w:szCs w:val="22"/>
              </w:rPr>
              <w:t>Урок 36</w:t>
            </w:r>
          </w:p>
        </w:tc>
        <w:tc>
          <w:tcPr>
            <w:tcW w:w="6405" w:type="dxa"/>
            <w:vAlign w:val="center"/>
          </w:tcPr>
          <w:p w14:paraId="484784D4">
            <w:pPr>
              <w:pStyle w:val="85"/>
              <w:jc w:val="both"/>
              <w:rPr>
                <w:color w:val="auto"/>
                <w:sz w:val="22"/>
                <w:szCs w:val="22"/>
              </w:rPr>
            </w:pPr>
            <w:r>
              <w:rPr>
                <w:color w:val="auto"/>
                <w:sz w:val="22"/>
                <w:szCs w:val="22"/>
              </w:rPr>
              <w:t>Разнообразие растений: зависимость внешнего вида от условий и места обитания</w:t>
            </w:r>
          </w:p>
        </w:tc>
        <w:tc>
          <w:tcPr>
            <w:tcW w:w="1473" w:type="dxa"/>
            <w:vAlign w:val="center"/>
          </w:tcPr>
          <w:p w14:paraId="75D4B8F8">
            <w:pPr>
              <w:pStyle w:val="85"/>
              <w:rPr>
                <w:color w:val="auto"/>
                <w:sz w:val="22"/>
                <w:szCs w:val="22"/>
              </w:rPr>
            </w:pPr>
          </w:p>
        </w:tc>
      </w:tr>
      <w:tr w14:paraId="517235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191" w:type="dxa"/>
            <w:vAlign w:val="center"/>
          </w:tcPr>
          <w:p w14:paraId="558A2320">
            <w:pPr>
              <w:pStyle w:val="85"/>
              <w:rPr>
                <w:color w:val="auto"/>
                <w:sz w:val="22"/>
                <w:szCs w:val="22"/>
              </w:rPr>
            </w:pPr>
            <w:r>
              <w:rPr>
                <w:color w:val="auto"/>
                <w:sz w:val="22"/>
                <w:szCs w:val="22"/>
              </w:rPr>
              <w:t>Урок 37</w:t>
            </w:r>
          </w:p>
        </w:tc>
        <w:tc>
          <w:tcPr>
            <w:tcW w:w="6405" w:type="dxa"/>
            <w:vAlign w:val="center"/>
          </w:tcPr>
          <w:p w14:paraId="112134B8">
            <w:pPr>
              <w:pStyle w:val="85"/>
              <w:jc w:val="both"/>
              <w:rPr>
                <w:color w:val="auto"/>
                <w:sz w:val="22"/>
                <w:szCs w:val="22"/>
              </w:rPr>
            </w:pPr>
            <w:r>
              <w:rPr>
                <w:color w:val="auto"/>
                <w:sz w:val="22"/>
                <w:szCs w:val="22"/>
              </w:rPr>
              <w:t>Растения родного края: названия и краткая характеристика (на основе наблюдения)</w:t>
            </w:r>
          </w:p>
        </w:tc>
        <w:tc>
          <w:tcPr>
            <w:tcW w:w="1473" w:type="dxa"/>
            <w:vAlign w:val="center"/>
          </w:tcPr>
          <w:p w14:paraId="0FE2CDF7">
            <w:pPr>
              <w:pStyle w:val="85"/>
              <w:rPr>
                <w:color w:val="auto"/>
                <w:sz w:val="22"/>
                <w:szCs w:val="22"/>
              </w:rPr>
            </w:pPr>
          </w:p>
        </w:tc>
      </w:tr>
      <w:tr w14:paraId="26D0FC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191" w:type="dxa"/>
            <w:vAlign w:val="center"/>
          </w:tcPr>
          <w:p w14:paraId="42DD4336">
            <w:pPr>
              <w:pStyle w:val="85"/>
              <w:rPr>
                <w:color w:val="auto"/>
                <w:sz w:val="22"/>
                <w:szCs w:val="22"/>
              </w:rPr>
            </w:pPr>
            <w:r>
              <w:rPr>
                <w:color w:val="auto"/>
                <w:sz w:val="22"/>
                <w:szCs w:val="22"/>
              </w:rPr>
              <w:t>Урок 38</w:t>
            </w:r>
          </w:p>
        </w:tc>
        <w:tc>
          <w:tcPr>
            <w:tcW w:w="6405" w:type="dxa"/>
            <w:vAlign w:val="center"/>
          </w:tcPr>
          <w:p w14:paraId="239660E6">
            <w:pPr>
              <w:pStyle w:val="85"/>
              <w:jc w:val="both"/>
              <w:rPr>
                <w:color w:val="auto"/>
                <w:sz w:val="22"/>
                <w:szCs w:val="22"/>
              </w:rPr>
            </w:pPr>
            <w:r>
              <w:rPr>
                <w:color w:val="auto"/>
                <w:sz w:val="22"/>
                <w:szCs w:val="22"/>
              </w:rPr>
              <w:t>Растения, используемые людьми в хозяйственной деятельности</w:t>
            </w:r>
          </w:p>
        </w:tc>
        <w:tc>
          <w:tcPr>
            <w:tcW w:w="1473" w:type="dxa"/>
            <w:vAlign w:val="center"/>
          </w:tcPr>
          <w:p w14:paraId="00A079E4">
            <w:pPr>
              <w:pStyle w:val="85"/>
              <w:rPr>
                <w:color w:val="auto"/>
                <w:sz w:val="22"/>
                <w:szCs w:val="22"/>
              </w:rPr>
            </w:pPr>
          </w:p>
        </w:tc>
      </w:tr>
      <w:tr w14:paraId="690DDE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91" w:type="dxa"/>
            <w:vAlign w:val="center"/>
          </w:tcPr>
          <w:p w14:paraId="1221F84E">
            <w:pPr>
              <w:pStyle w:val="85"/>
              <w:rPr>
                <w:color w:val="auto"/>
                <w:sz w:val="22"/>
                <w:szCs w:val="22"/>
              </w:rPr>
            </w:pPr>
            <w:r>
              <w:rPr>
                <w:color w:val="auto"/>
                <w:sz w:val="22"/>
                <w:szCs w:val="22"/>
              </w:rPr>
              <w:t>Урок 39</w:t>
            </w:r>
          </w:p>
        </w:tc>
        <w:tc>
          <w:tcPr>
            <w:tcW w:w="6405" w:type="dxa"/>
            <w:vAlign w:val="center"/>
          </w:tcPr>
          <w:p w14:paraId="0C9851B2">
            <w:pPr>
              <w:pStyle w:val="85"/>
              <w:jc w:val="both"/>
              <w:rPr>
                <w:color w:val="auto"/>
                <w:sz w:val="22"/>
                <w:szCs w:val="22"/>
              </w:rPr>
            </w:pPr>
            <w:r>
              <w:rPr>
                <w:color w:val="auto"/>
                <w:sz w:val="22"/>
                <w:szCs w:val="22"/>
              </w:rPr>
              <w:t>Растение как живой организм</w:t>
            </w:r>
          </w:p>
        </w:tc>
        <w:tc>
          <w:tcPr>
            <w:tcW w:w="1473" w:type="dxa"/>
            <w:vAlign w:val="center"/>
          </w:tcPr>
          <w:p w14:paraId="10CB3C17">
            <w:pPr>
              <w:pStyle w:val="85"/>
              <w:rPr>
                <w:color w:val="auto"/>
                <w:sz w:val="22"/>
                <w:szCs w:val="22"/>
              </w:rPr>
            </w:pPr>
          </w:p>
        </w:tc>
      </w:tr>
      <w:tr w14:paraId="7E012B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91" w:type="dxa"/>
            <w:vAlign w:val="center"/>
          </w:tcPr>
          <w:p w14:paraId="49621284">
            <w:pPr>
              <w:pStyle w:val="85"/>
              <w:rPr>
                <w:color w:val="auto"/>
                <w:sz w:val="22"/>
                <w:szCs w:val="22"/>
              </w:rPr>
            </w:pPr>
            <w:r>
              <w:rPr>
                <w:color w:val="auto"/>
                <w:sz w:val="22"/>
                <w:szCs w:val="22"/>
              </w:rPr>
              <w:t>Урок 40</w:t>
            </w:r>
          </w:p>
        </w:tc>
        <w:tc>
          <w:tcPr>
            <w:tcW w:w="6405" w:type="dxa"/>
            <w:vAlign w:val="center"/>
          </w:tcPr>
          <w:p w14:paraId="034C657C">
            <w:pPr>
              <w:pStyle w:val="85"/>
              <w:jc w:val="both"/>
              <w:rPr>
                <w:color w:val="auto"/>
                <w:sz w:val="22"/>
                <w:szCs w:val="22"/>
              </w:rPr>
            </w:pPr>
            <w:r>
              <w:rPr>
                <w:color w:val="auto"/>
                <w:sz w:val="22"/>
                <w:szCs w:val="22"/>
              </w:rPr>
              <w:t>Как растения размножаются?</w:t>
            </w:r>
          </w:p>
        </w:tc>
        <w:tc>
          <w:tcPr>
            <w:tcW w:w="1473" w:type="dxa"/>
            <w:vAlign w:val="center"/>
          </w:tcPr>
          <w:p w14:paraId="63276A4A">
            <w:pPr>
              <w:pStyle w:val="85"/>
              <w:rPr>
                <w:color w:val="auto"/>
                <w:sz w:val="22"/>
                <w:szCs w:val="22"/>
              </w:rPr>
            </w:pPr>
          </w:p>
        </w:tc>
      </w:tr>
      <w:tr w14:paraId="52D7E0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91" w:type="dxa"/>
            <w:vAlign w:val="center"/>
          </w:tcPr>
          <w:p w14:paraId="5AE5CFB4">
            <w:pPr>
              <w:pStyle w:val="85"/>
              <w:rPr>
                <w:color w:val="auto"/>
                <w:sz w:val="22"/>
                <w:szCs w:val="22"/>
              </w:rPr>
            </w:pPr>
            <w:r>
              <w:rPr>
                <w:color w:val="auto"/>
                <w:sz w:val="22"/>
                <w:szCs w:val="22"/>
              </w:rPr>
              <w:t>Урок 41</w:t>
            </w:r>
          </w:p>
        </w:tc>
        <w:tc>
          <w:tcPr>
            <w:tcW w:w="6405" w:type="dxa"/>
            <w:vAlign w:val="center"/>
          </w:tcPr>
          <w:p w14:paraId="580186B5">
            <w:pPr>
              <w:pStyle w:val="85"/>
              <w:jc w:val="both"/>
              <w:rPr>
                <w:color w:val="auto"/>
                <w:sz w:val="22"/>
                <w:szCs w:val="22"/>
              </w:rPr>
            </w:pPr>
            <w:r>
              <w:rPr>
                <w:color w:val="auto"/>
                <w:sz w:val="22"/>
                <w:szCs w:val="22"/>
              </w:rPr>
              <w:t>Развитие растения от семени до семени (по результатам практических работ)</w:t>
            </w:r>
          </w:p>
        </w:tc>
        <w:tc>
          <w:tcPr>
            <w:tcW w:w="1473" w:type="dxa"/>
            <w:vAlign w:val="center"/>
          </w:tcPr>
          <w:p w14:paraId="6F3CDCF0">
            <w:pPr>
              <w:pStyle w:val="85"/>
              <w:jc w:val="center"/>
              <w:rPr>
                <w:color w:val="auto"/>
                <w:sz w:val="22"/>
                <w:szCs w:val="22"/>
              </w:rPr>
            </w:pPr>
            <w:r>
              <w:rPr>
                <w:color w:val="auto"/>
                <w:sz w:val="22"/>
                <w:szCs w:val="22"/>
              </w:rPr>
              <w:t>1</w:t>
            </w:r>
          </w:p>
        </w:tc>
      </w:tr>
      <w:tr w14:paraId="124430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91" w:type="dxa"/>
            <w:vAlign w:val="center"/>
          </w:tcPr>
          <w:p w14:paraId="7B2B7D6B">
            <w:pPr>
              <w:pStyle w:val="85"/>
              <w:rPr>
                <w:color w:val="auto"/>
                <w:sz w:val="22"/>
                <w:szCs w:val="22"/>
              </w:rPr>
            </w:pPr>
            <w:r>
              <w:rPr>
                <w:color w:val="auto"/>
                <w:sz w:val="22"/>
                <w:szCs w:val="22"/>
              </w:rPr>
              <w:t>Урок 42</w:t>
            </w:r>
          </w:p>
        </w:tc>
        <w:tc>
          <w:tcPr>
            <w:tcW w:w="6405" w:type="dxa"/>
            <w:vAlign w:val="center"/>
          </w:tcPr>
          <w:p w14:paraId="7F29042E">
            <w:pPr>
              <w:pStyle w:val="85"/>
              <w:jc w:val="both"/>
              <w:rPr>
                <w:color w:val="auto"/>
                <w:sz w:val="22"/>
                <w:szCs w:val="22"/>
              </w:rPr>
            </w:pPr>
            <w:r>
              <w:rPr>
                <w:color w:val="auto"/>
                <w:sz w:val="22"/>
                <w:szCs w:val="22"/>
              </w:rPr>
              <w:t>Условия роста и развития растения (по результатам наблюдений)</w:t>
            </w:r>
          </w:p>
        </w:tc>
        <w:tc>
          <w:tcPr>
            <w:tcW w:w="1473" w:type="dxa"/>
            <w:vAlign w:val="center"/>
          </w:tcPr>
          <w:p w14:paraId="3AAD0B1A">
            <w:pPr>
              <w:pStyle w:val="85"/>
              <w:rPr>
                <w:color w:val="auto"/>
                <w:sz w:val="22"/>
                <w:szCs w:val="22"/>
              </w:rPr>
            </w:pPr>
          </w:p>
        </w:tc>
      </w:tr>
      <w:tr w14:paraId="06B1F7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191" w:type="dxa"/>
            <w:vAlign w:val="center"/>
          </w:tcPr>
          <w:p w14:paraId="0AAE9E2B">
            <w:pPr>
              <w:pStyle w:val="85"/>
              <w:rPr>
                <w:color w:val="auto"/>
                <w:sz w:val="22"/>
                <w:szCs w:val="22"/>
              </w:rPr>
            </w:pPr>
            <w:r>
              <w:rPr>
                <w:color w:val="auto"/>
                <w:sz w:val="22"/>
                <w:szCs w:val="22"/>
              </w:rPr>
              <w:t>Урок 43</w:t>
            </w:r>
          </w:p>
        </w:tc>
        <w:tc>
          <w:tcPr>
            <w:tcW w:w="6405" w:type="dxa"/>
            <w:vAlign w:val="center"/>
          </w:tcPr>
          <w:p w14:paraId="08C6C337">
            <w:pPr>
              <w:pStyle w:val="85"/>
              <w:jc w:val="both"/>
              <w:rPr>
                <w:color w:val="auto"/>
                <w:sz w:val="22"/>
                <w:szCs w:val="22"/>
              </w:rPr>
            </w:pPr>
            <w:r>
              <w:rPr>
                <w:color w:val="auto"/>
                <w:sz w:val="22"/>
                <w:szCs w:val="22"/>
              </w:rPr>
              <w:t>Жизнь животных в разные времена года</w:t>
            </w:r>
          </w:p>
        </w:tc>
        <w:tc>
          <w:tcPr>
            <w:tcW w:w="1473" w:type="dxa"/>
            <w:vAlign w:val="center"/>
          </w:tcPr>
          <w:p w14:paraId="7C9FF5FB">
            <w:pPr>
              <w:pStyle w:val="85"/>
              <w:rPr>
                <w:color w:val="auto"/>
                <w:sz w:val="22"/>
                <w:szCs w:val="22"/>
              </w:rPr>
            </w:pPr>
          </w:p>
        </w:tc>
      </w:tr>
      <w:tr w14:paraId="45F561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91" w:type="dxa"/>
            <w:vAlign w:val="center"/>
          </w:tcPr>
          <w:p w14:paraId="220C232C">
            <w:pPr>
              <w:pStyle w:val="85"/>
              <w:rPr>
                <w:color w:val="auto"/>
                <w:sz w:val="22"/>
                <w:szCs w:val="22"/>
              </w:rPr>
            </w:pPr>
            <w:r>
              <w:rPr>
                <w:color w:val="auto"/>
                <w:sz w:val="22"/>
                <w:szCs w:val="22"/>
              </w:rPr>
              <w:t>Урок 44</w:t>
            </w:r>
          </w:p>
        </w:tc>
        <w:tc>
          <w:tcPr>
            <w:tcW w:w="6405" w:type="dxa"/>
            <w:vAlign w:val="center"/>
          </w:tcPr>
          <w:p w14:paraId="35D657B8">
            <w:pPr>
              <w:pStyle w:val="85"/>
              <w:jc w:val="both"/>
              <w:rPr>
                <w:color w:val="auto"/>
                <w:sz w:val="22"/>
                <w:szCs w:val="22"/>
              </w:rPr>
            </w:pPr>
            <w:r>
              <w:rPr>
                <w:color w:val="auto"/>
                <w:sz w:val="22"/>
                <w:szCs w:val="22"/>
              </w:rPr>
              <w:t>Животные родного края: узнавание, называние, краткая характеристика</w:t>
            </w:r>
          </w:p>
        </w:tc>
        <w:tc>
          <w:tcPr>
            <w:tcW w:w="1473" w:type="dxa"/>
            <w:vAlign w:val="center"/>
          </w:tcPr>
          <w:p w14:paraId="112A9475">
            <w:pPr>
              <w:pStyle w:val="85"/>
              <w:rPr>
                <w:color w:val="auto"/>
                <w:sz w:val="22"/>
                <w:szCs w:val="22"/>
              </w:rPr>
            </w:pPr>
          </w:p>
        </w:tc>
      </w:tr>
      <w:tr w14:paraId="3347AB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91" w:type="dxa"/>
            <w:vAlign w:val="center"/>
          </w:tcPr>
          <w:p w14:paraId="78172361">
            <w:pPr>
              <w:pStyle w:val="85"/>
              <w:rPr>
                <w:color w:val="auto"/>
                <w:sz w:val="22"/>
                <w:szCs w:val="22"/>
              </w:rPr>
            </w:pPr>
            <w:r>
              <w:rPr>
                <w:color w:val="auto"/>
                <w:sz w:val="22"/>
                <w:szCs w:val="22"/>
              </w:rPr>
              <w:t>Урок 45</w:t>
            </w:r>
          </w:p>
        </w:tc>
        <w:tc>
          <w:tcPr>
            <w:tcW w:w="6405" w:type="dxa"/>
            <w:vAlign w:val="center"/>
          </w:tcPr>
          <w:p w14:paraId="2393479A">
            <w:pPr>
              <w:pStyle w:val="85"/>
              <w:jc w:val="both"/>
              <w:rPr>
                <w:color w:val="auto"/>
                <w:sz w:val="22"/>
                <w:szCs w:val="22"/>
              </w:rPr>
            </w:pPr>
            <w:r>
              <w:rPr>
                <w:color w:val="auto"/>
                <w:sz w:val="22"/>
                <w:szCs w:val="22"/>
              </w:rPr>
              <w:t>Бережное отношение к животным - нравственная ценность людей. Охрана животного мира в России</w:t>
            </w:r>
          </w:p>
        </w:tc>
        <w:tc>
          <w:tcPr>
            <w:tcW w:w="1473" w:type="dxa"/>
            <w:vAlign w:val="center"/>
          </w:tcPr>
          <w:p w14:paraId="5F89D76F">
            <w:pPr>
              <w:pStyle w:val="85"/>
              <w:rPr>
                <w:color w:val="auto"/>
                <w:sz w:val="22"/>
                <w:szCs w:val="22"/>
              </w:rPr>
            </w:pPr>
          </w:p>
        </w:tc>
      </w:tr>
      <w:tr w14:paraId="345C95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91" w:type="dxa"/>
            <w:vAlign w:val="center"/>
          </w:tcPr>
          <w:p w14:paraId="0DE1D9FA">
            <w:pPr>
              <w:pStyle w:val="85"/>
              <w:rPr>
                <w:color w:val="auto"/>
                <w:sz w:val="22"/>
                <w:szCs w:val="22"/>
              </w:rPr>
            </w:pPr>
            <w:r>
              <w:rPr>
                <w:color w:val="auto"/>
                <w:sz w:val="22"/>
                <w:szCs w:val="22"/>
              </w:rPr>
              <w:t>Урок 46</w:t>
            </w:r>
          </w:p>
        </w:tc>
        <w:tc>
          <w:tcPr>
            <w:tcW w:w="6405" w:type="dxa"/>
            <w:vAlign w:val="center"/>
          </w:tcPr>
          <w:p w14:paraId="522E6847">
            <w:pPr>
              <w:pStyle w:val="85"/>
              <w:jc w:val="both"/>
              <w:rPr>
                <w:color w:val="auto"/>
                <w:sz w:val="22"/>
                <w:szCs w:val="22"/>
              </w:rPr>
            </w:pPr>
            <w:r>
              <w:rPr>
                <w:color w:val="auto"/>
                <w:sz w:val="22"/>
                <w:szCs w:val="22"/>
              </w:rPr>
              <w:t>Как животные питаются?</w:t>
            </w:r>
          </w:p>
        </w:tc>
        <w:tc>
          <w:tcPr>
            <w:tcW w:w="1473" w:type="dxa"/>
            <w:vAlign w:val="center"/>
          </w:tcPr>
          <w:p w14:paraId="57CAC268">
            <w:pPr>
              <w:pStyle w:val="85"/>
              <w:rPr>
                <w:color w:val="auto"/>
                <w:sz w:val="22"/>
                <w:szCs w:val="22"/>
              </w:rPr>
            </w:pPr>
          </w:p>
        </w:tc>
      </w:tr>
      <w:tr w14:paraId="7EB4BA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91" w:type="dxa"/>
            <w:vAlign w:val="center"/>
          </w:tcPr>
          <w:p w14:paraId="3412A54B">
            <w:pPr>
              <w:pStyle w:val="85"/>
              <w:rPr>
                <w:color w:val="auto"/>
                <w:sz w:val="22"/>
                <w:szCs w:val="22"/>
              </w:rPr>
            </w:pPr>
            <w:r>
              <w:rPr>
                <w:color w:val="auto"/>
                <w:sz w:val="22"/>
                <w:szCs w:val="22"/>
              </w:rPr>
              <w:t>Урок 47</w:t>
            </w:r>
          </w:p>
        </w:tc>
        <w:tc>
          <w:tcPr>
            <w:tcW w:w="6405" w:type="dxa"/>
            <w:vAlign w:val="center"/>
          </w:tcPr>
          <w:p w14:paraId="0073063C">
            <w:pPr>
              <w:pStyle w:val="85"/>
              <w:jc w:val="both"/>
              <w:rPr>
                <w:color w:val="auto"/>
                <w:sz w:val="22"/>
                <w:szCs w:val="22"/>
              </w:rPr>
            </w:pPr>
            <w:r>
              <w:rPr>
                <w:color w:val="auto"/>
                <w:sz w:val="22"/>
                <w:szCs w:val="22"/>
              </w:rPr>
              <w:t>Особенности дыхания животных разных классов (звери - легкие; рыбы - жабры; насекомые - трахеи)</w:t>
            </w:r>
          </w:p>
        </w:tc>
        <w:tc>
          <w:tcPr>
            <w:tcW w:w="1473" w:type="dxa"/>
            <w:vAlign w:val="center"/>
          </w:tcPr>
          <w:p w14:paraId="65FFCD15">
            <w:pPr>
              <w:pStyle w:val="85"/>
              <w:rPr>
                <w:color w:val="auto"/>
                <w:sz w:val="22"/>
                <w:szCs w:val="22"/>
              </w:rPr>
            </w:pPr>
          </w:p>
        </w:tc>
      </w:tr>
      <w:tr w14:paraId="5C50E2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91" w:type="dxa"/>
            <w:vAlign w:val="center"/>
          </w:tcPr>
          <w:p w14:paraId="32FE71FC">
            <w:pPr>
              <w:pStyle w:val="85"/>
              <w:rPr>
                <w:color w:val="auto"/>
                <w:sz w:val="22"/>
                <w:szCs w:val="22"/>
              </w:rPr>
            </w:pPr>
            <w:r>
              <w:rPr>
                <w:color w:val="auto"/>
                <w:sz w:val="22"/>
                <w:szCs w:val="22"/>
              </w:rPr>
              <w:t>Урок 48</w:t>
            </w:r>
          </w:p>
        </w:tc>
        <w:tc>
          <w:tcPr>
            <w:tcW w:w="6405" w:type="dxa"/>
            <w:vAlign w:val="center"/>
          </w:tcPr>
          <w:p w14:paraId="2CE7B79D">
            <w:pPr>
              <w:pStyle w:val="85"/>
              <w:jc w:val="both"/>
              <w:rPr>
                <w:color w:val="auto"/>
                <w:sz w:val="22"/>
                <w:szCs w:val="22"/>
              </w:rPr>
            </w:pPr>
            <w:r>
              <w:rPr>
                <w:color w:val="auto"/>
                <w:sz w:val="22"/>
                <w:szCs w:val="22"/>
              </w:rPr>
              <w:t>Размножение и развитие рыб, птиц, земноводных</w:t>
            </w:r>
          </w:p>
        </w:tc>
        <w:tc>
          <w:tcPr>
            <w:tcW w:w="1473" w:type="dxa"/>
            <w:vAlign w:val="center"/>
          </w:tcPr>
          <w:p w14:paraId="7C6C798E">
            <w:pPr>
              <w:pStyle w:val="85"/>
              <w:rPr>
                <w:color w:val="auto"/>
                <w:sz w:val="22"/>
                <w:szCs w:val="22"/>
              </w:rPr>
            </w:pPr>
          </w:p>
        </w:tc>
      </w:tr>
      <w:tr w14:paraId="4F41A2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91" w:type="dxa"/>
            <w:vAlign w:val="center"/>
          </w:tcPr>
          <w:p w14:paraId="4A417F47">
            <w:pPr>
              <w:pStyle w:val="85"/>
              <w:rPr>
                <w:color w:val="auto"/>
                <w:sz w:val="22"/>
                <w:szCs w:val="22"/>
              </w:rPr>
            </w:pPr>
            <w:r>
              <w:rPr>
                <w:color w:val="auto"/>
                <w:sz w:val="22"/>
                <w:szCs w:val="22"/>
              </w:rPr>
              <w:t>Урок 49</w:t>
            </w:r>
          </w:p>
        </w:tc>
        <w:tc>
          <w:tcPr>
            <w:tcW w:w="6405" w:type="dxa"/>
            <w:vAlign w:val="center"/>
          </w:tcPr>
          <w:p w14:paraId="179336B9">
            <w:pPr>
              <w:pStyle w:val="85"/>
              <w:jc w:val="both"/>
              <w:rPr>
                <w:color w:val="auto"/>
                <w:sz w:val="22"/>
                <w:szCs w:val="22"/>
              </w:rPr>
            </w:pPr>
            <w:r>
              <w:rPr>
                <w:color w:val="auto"/>
                <w:sz w:val="22"/>
                <w:szCs w:val="22"/>
              </w:rPr>
              <w:t>Условия, необходимые для жизни животных: воздух, вода, тепло, пища (среда обитания) - обобщение на основе результатов наблюдений и работы с информацией</w:t>
            </w:r>
          </w:p>
        </w:tc>
        <w:tc>
          <w:tcPr>
            <w:tcW w:w="1473" w:type="dxa"/>
            <w:vAlign w:val="center"/>
          </w:tcPr>
          <w:p w14:paraId="504B0177">
            <w:pPr>
              <w:pStyle w:val="85"/>
              <w:rPr>
                <w:color w:val="auto"/>
                <w:sz w:val="22"/>
                <w:szCs w:val="22"/>
              </w:rPr>
            </w:pPr>
          </w:p>
        </w:tc>
      </w:tr>
      <w:tr w14:paraId="7E7DB8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91" w:type="dxa"/>
            <w:vAlign w:val="center"/>
          </w:tcPr>
          <w:p w14:paraId="6DEB6783">
            <w:pPr>
              <w:pStyle w:val="85"/>
              <w:rPr>
                <w:color w:val="auto"/>
                <w:sz w:val="22"/>
                <w:szCs w:val="22"/>
              </w:rPr>
            </w:pPr>
            <w:r>
              <w:rPr>
                <w:color w:val="auto"/>
                <w:sz w:val="22"/>
                <w:szCs w:val="22"/>
              </w:rPr>
              <w:t>Урок 50</w:t>
            </w:r>
          </w:p>
        </w:tc>
        <w:tc>
          <w:tcPr>
            <w:tcW w:w="6405" w:type="dxa"/>
            <w:vAlign w:val="center"/>
          </w:tcPr>
          <w:p w14:paraId="0914AE35">
            <w:pPr>
              <w:pStyle w:val="85"/>
              <w:jc w:val="both"/>
              <w:rPr>
                <w:color w:val="auto"/>
                <w:sz w:val="22"/>
                <w:szCs w:val="22"/>
              </w:rPr>
            </w:pPr>
            <w:r>
              <w:rPr>
                <w:color w:val="auto"/>
                <w:sz w:val="22"/>
                <w:szCs w:val="22"/>
              </w:rPr>
              <w:t>Естественные природные сообщества: лес, луг, водоем, степь</w:t>
            </w:r>
          </w:p>
        </w:tc>
        <w:tc>
          <w:tcPr>
            <w:tcW w:w="1473" w:type="dxa"/>
            <w:vAlign w:val="center"/>
          </w:tcPr>
          <w:p w14:paraId="23DCBECC">
            <w:pPr>
              <w:pStyle w:val="85"/>
              <w:rPr>
                <w:color w:val="auto"/>
                <w:sz w:val="22"/>
                <w:szCs w:val="22"/>
              </w:rPr>
            </w:pPr>
          </w:p>
        </w:tc>
      </w:tr>
      <w:tr w14:paraId="330101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191" w:type="dxa"/>
            <w:vAlign w:val="center"/>
          </w:tcPr>
          <w:p w14:paraId="14E29F73">
            <w:pPr>
              <w:pStyle w:val="85"/>
              <w:rPr>
                <w:color w:val="auto"/>
                <w:sz w:val="22"/>
                <w:szCs w:val="22"/>
              </w:rPr>
            </w:pPr>
            <w:r>
              <w:rPr>
                <w:color w:val="auto"/>
                <w:sz w:val="22"/>
                <w:szCs w:val="22"/>
              </w:rPr>
              <w:t>Урок 51</w:t>
            </w:r>
          </w:p>
        </w:tc>
        <w:tc>
          <w:tcPr>
            <w:tcW w:w="6405" w:type="dxa"/>
            <w:vAlign w:val="center"/>
          </w:tcPr>
          <w:p w14:paraId="6BFA08A0">
            <w:pPr>
              <w:pStyle w:val="85"/>
              <w:jc w:val="both"/>
              <w:rPr>
                <w:color w:val="auto"/>
                <w:sz w:val="22"/>
                <w:szCs w:val="22"/>
              </w:rPr>
            </w:pPr>
            <w:r>
              <w:rPr>
                <w:color w:val="auto"/>
                <w:sz w:val="22"/>
                <w:szCs w:val="22"/>
              </w:rPr>
              <w:t>Искусственные природные сообщества, созданные человеком - пруд, поле, парк, огород</w:t>
            </w:r>
          </w:p>
        </w:tc>
        <w:tc>
          <w:tcPr>
            <w:tcW w:w="1473" w:type="dxa"/>
            <w:vAlign w:val="center"/>
          </w:tcPr>
          <w:p w14:paraId="78EE7791">
            <w:pPr>
              <w:pStyle w:val="85"/>
              <w:rPr>
                <w:color w:val="auto"/>
                <w:sz w:val="22"/>
                <w:szCs w:val="22"/>
              </w:rPr>
            </w:pPr>
          </w:p>
        </w:tc>
      </w:tr>
      <w:tr w14:paraId="78A86B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91" w:type="dxa"/>
            <w:vAlign w:val="center"/>
          </w:tcPr>
          <w:p w14:paraId="03B9940A">
            <w:pPr>
              <w:pStyle w:val="85"/>
              <w:rPr>
                <w:color w:val="auto"/>
                <w:sz w:val="22"/>
                <w:szCs w:val="22"/>
              </w:rPr>
            </w:pPr>
            <w:r>
              <w:rPr>
                <w:color w:val="auto"/>
                <w:sz w:val="22"/>
                <w:szCs w:val="22"/>
              </w:rPr>
              <w:t>Урок 52</w:t>
            </w:r>
          </w:p>
        </w:tc>
        <w:tc>
          <w:tcPr>
            <w:tcW w:w="6405" w:type="dxa"/>
            <w:vAlign w:val="center"/>
          </w:tcPr>
          <w:p w14:paraId="1E6B72B5">
            <w:pPr>
              <w:pStyle w:val="85"/>
              <w:jc w:val="both"/>
              <w:rPr>
                <w:color w:val="auto"/>
                <w:sz w:val="22"/>
                <w:szCs w:val="22"/>
              </w:rPr>
            </w:pPr>
            <w:r>
              <w:rPr>
                <w:color w:val="auto"/>
                <w:sz w:val="22"/>
                <w:szCs w:val="22"/>
              </w:rPr>
              <w:t>Природные сообщества родного края - два-три примера на основе наблюдения</w:t>
            </w:r>
          </w:p>
        </w:tc>
        <w:tc>
          <w:tcPr>
            <w:tcW w:w="1473" w:type="dxa"/>
            <w:vAlign w:val="center"/>
          </w:tcPr>
          <w:p w14:paraId="17E22BDA">
            <w:pPr>
              <w:pStyle w:val="85"/>
              <w:rPr>
                <w:color w:val="auto"/>
                <w:sz w:val="22"/>
                <w:szCs w:val="22"/>
              </w:rPr>
            </w:pPr>
          </w:p>
        </w:tc>
      </w:tr>
      <w:tr w14:paraId="012CC4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91" w:type="dxa"/>
            <w:vAlign w:val="center"/>
          </w:tcPr>
          <w:p w14:paraId="048F879C">
            <w:pPr>
              <w:pStyle w:val="85"/>
              <w:rPr>
                <w:color w:val="auto"/>
                <w:sz w:val="22"/>
                <w:szCs w:val="22"/>
              </w:rPr>
            </w:pPr>
            <w:r>
              <w:rPr>
                <w:color w:val="auto"/>
                <w:sz w:val="22"/>
                <w:szCs w:val="22"/>
              </w:rPr>
              <w:t>Урок 53</w:t>
            </w:r>
          </w:p>
        </w:tc>
        <w:tc>
          <w:tcPr>
            <w:tcW w:w="6405" w:type="dxa"/>
            <w:vAlign w:val="center"/>
          </w:tcPr>
          <w:p w14:paraId="618DEEE1">
            <w:pPr>
              <w:pStyle w:val="85"/>
              <w:jc w:val="both"/>
              <w:rPr>
                <w:color w:val="auto"/>
                <w:sz w:val="22"/>
                <w:szCs w:val="22"/>
              </w:rPr>
            </w:pPr>
            <w:r>
              <w:rPr>
                <w:color w:val="auto"/>
                <w:sz w:val="22"/>
                <w:szCs w:val="22"/>
              </w:rPr>
              <w:t>Общее представление о строении организма человека. Температура тела, частота пульса как показатели здоровья человека</w:t>
            </w:r>
          </w:p>
        </w:tc>
        <w:tc>
          <w:tcPr>
            <w:tcW w:w="1473" w:type="dxa"/>
            <w:vAlign w:val="center"/>
          </w:tcPr>
          <w:p w14:paraId="1B76D9C6">
            <w:pPr>
              <w:pStyle w:val="85"/>
              <w:rPr>
                <w:color w:val="auto"/>
                <w:sz w:val="22"/>
                <w:szCs w:val="22"/>
              </w:rPr>
            </w:pPr>
          </w:p>
        </w:tc>
      </w:tr>
      <w:tr w14:paraId="19D105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191" w:type="dxa"/>
            <w:vAlign w:val="center"/>
          </w:tcPr>
          <w:p w14:paraId="7A5C77C6">
            <w:pPr>
              <w:pStyle w:val="85"/>
              <w:rPr>
                <w:color w:val="auto"/>
                <w:sz w:val="22"/>
                <w:szCs w:val="22"/>
              </w:rPr>
            </w:pPr>
            <w:r>
              <w:rPr>
                <w:color w:val="auto"/>
                <w:sz w:val="22"/>
                <w:szCs w:val="22"/>
              </w:rPr>
              <w:t>Урок 54</w:t>
            </w:r>
          </w:p>
        </w:tc>
        <w:tc>
          <w:tcPr>
            <w:tcW w:w="6405" w:type="dxa"/>
            <w:vAlign w:val="center"/>
          </w:tcPr>
          <w:p w14:paraId="61F2693F">
            <w:pPr>
              <w:pStyle w:val="85"/>
              <w:jc w:val="both"/>
              <w:rPr>
                <w:color w:val="auto"/>
                <w:sz w:val="22"/>
                <w:szCs w:val="22"/>
              </w:rPr>
            </w:pPr>
            <w:r>
              <w:rPr>
                <w:color w:val="auto"/>
                <w:sz w:val="22"/>
                <w:szCs w:val="22"/>
              </w:rPr>
              <w:t>Опорно-двигательная система и ее роль в жизни человека</w:t>
            </w:r>
          </w:p>
        </w:tc>
        <w:tc>
          <w:tcPr>
            <w:tcW w:w="1473" w:type="dxa"/>
            <w:vAlign w:val="center"/>
          </w:tcPr>
          <w:p w14:paraId="2F669D36">
            <w:pPr>
              <w:pStyle w:val="85"/>
              <w:rPr>
                <w:color w:val="auto"/>
                <w:sz w:val="22"/>
                <w:szCs w:val="22"/>
              </w:rPr>
            </w:pPr>
          </w:p>
        </w:tc>
      </w:tr>
      <w:tr w14:paraId="51DDE3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91" w:type="dxa"/>
            <w:vAlign w:val="center"/>
          </w:tcPr>
          <w:p w14:paraId="4F53A559">
            <w:pPr>
              <w:pStyle w:val="85"/>
              <w:rPr>
                <w:color w:val="auto"/>
                <w:sz w:val="22"/>
                <w:szCs w:val="22"/>
              </w:rPr>
            </w:pPr>
            <w:r>
              <w:rPr>
                <w:color w:val="auto"/>
                <w:sz w:val="22"/>
                <w:szCs w:val="22"/>
              </w:rPr>
              <w:t>Урок 55</w:t>
            </w:r>
          </w:p>
        </w:tc>
        <w:tc>
          <w:tcPr>
            <w:tcW w:w="6405" w:type="dxa"/>
            <w:vAlign w:val="center"/>
          </w:tcPr>
          <w:p w14:paraId="0DA63F03">
            <w:pPr>
              <w:pStyle w:val="85"/>
              <w:jc w:val="both"/>
              <w:rPr>
                <w:color w:val="auto"/>
                <w:sz w:val="22"/>
                <w:szCs w:val="22"/>
              </w:rPr>
            </w:pPr>
            <w:r>
              <w:rPr>
                <w:color w:val="auto"/>
                <w:sz w:val="22"/>
                <w:szCs w:val="22"/>
              </w:rPr>
              <w:t>Дыхательная система и ее роль в жизни человека</w:t>
            </w:r>
          </w:p>
        </w:tc>
        <w:tc>
          <w:tcPr>
            <w:tcW w:w="1473" w:type="dxa"/>
            <w:vAlign w:val="center"/>
          </w:tcPr>
          <w:p w14:paraId="6F9E7730">
            <w:pPr>
              <w:pStyle w:val="85"/>
              <w:rPr>
                <w:color w:val="auto"/>
                <w:sz w:val="22"/>
                <w:szCs w:val="22"/>
              </w:rPr>
            </w:pPr>
          </w:p>
        </w:tc>
      </w:tr>
      <w:tr w14:paraId="318E04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91" w:type="dxa"/>
            <w:vAlign w:val="center"/>
          </w:tcPr>
          <w:p w14:paraId="56C80803">
            <w:pPr>
              <w:pStyle w:val="85"/>
              <w:rPr>
                <w:color w:val="auto"/>
                <w:sz w:val="22"/>
                <w:szCs w:val="22"/>
              </w:rPr>
            </w:pPr>
            <w:r>
              <w:rPr>
                <w:color w:val="auto"/>
                <w:sz w:val="22"/>
                <w:szCs w:val="22"/>
              </w:rPr>
              <w:t>Урок 56</w:t>
            </w:r>
          </w:p>
        </w:tc>
        <w:tc>
          <w:tcPr>
            <w:tcW w:w="6405" w:type="dxa"/>
            <w:vAlign w:val="center"/>
          </w:tcPr>
          <w:p w14:paraId="50B7F118">
            <w:pPr>
              <w:pStyle w:val="85"/>
              <w:jc w:val="both"/>
              <w:rPr>
                <w:color w:val="auto"/>
                <w:sz w:val="22"/>
                <w:szCs w:val="22"/>
              </w:rPr>
            </w:pPr>
            <w:r>
              <w:rPr>
                <w:color w:val="auto"/>
                <w:sz w:val="22"/>
                <w:szCs w:val="22"/>
              </w:rPr>
              <w:t>Пищеварительная система и ее роль в жизни человека</w:t>
            </w:r>
          </w:p>
        </w:tc>
        <w:tc>
          <w:tcPr>
            <w:tcW w:w="1473" w:type="dxa"/>
            <w:vAlign w:val="center"/>
          </w:tcPr>
          <w:p w14:paraId="716002DE">
            <w:pPr>
              <w:pStyle w:val="85"/>
              <w:rPr>
                <w:color w:val="auto"/>
                <w:sz w:val="22"/>
                <w:szCs w:val="22"/>
              </w:rPr>
            </w:pPr>
          </w:p>
        </w:tc>
      </w:tr>
      <w:tr w14:paraId="050224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91" w:type="dxa"/>
            <w:vAlign w:val="center"/>
          </w:tcPr>
          <w:p w14:paraId="5F8509A7">
            <w:pPr>
              <w:pStyle w:val="85"/>
              <w:rPr>
                <w:color w:val="auto"/>
                <w:sz w:val="22"/>
                <w:szCs w:val="22"/>
              </w:rPr>
            </w:pPr>
            <w:r>
              <w:rPr>
                <w:color w:val="auto"/>
                <w:sz w:val="22"/>
                <w:szCs w:val="22"/>
              </w:rPr>
              <w:t>Урок 57</w:t>
            </w:r>
          </w:p>
        </w:tc>
        <w:tc>
          <w:tcPr>
            <w:tcW w:w="6405" w:type="dxa"/>
            <w:vAlign w:val="center"/>
          </w:tcPr>
          <w:p w14:paraId="71BD1ABC">
            <w:pPr>
              <w:pStyle w:val="85"/>
              <w:jc w:val="both"/>
              <w:rPr>
                <w:color w:val="auto"/>
                <w:sz w:val="22"/>
                <w:szCs w:val="22"/>
              </w:rPr>
            </w:pPr>
            <w:r>
              <w:rPr>
                <w:color w:val="auto"/>
                <w:sz w:val="22"/>
                <w:szCs w:val="22"/>
              </w:rPr>
              <w:t>Кровеносная и нервная система и ее роль в жизни человека</w:t>
            </w:r>
          </w:p>
        </w:tc>
        <w:tc>
          <w:tcPr>
            <w:tcW w:w="1473" w:type="dxa"/>
            <w:vAlign w:val="center"/>
          </w:tcPr>
          <w:p w14:paraId="19016C4F">
            <w:pPr>
              <w:pStyle w:val="85"/>
              <w:rPr>
                <w:color w:val="auto"/>
                <w:sz w:val="22"/>
                <w:szCs w:val="22"/>
              </w:rPr>
            </w:pPr>
          </w:p>
        </w:tc>
      </w:tr>
      <w:tr w14:paraId="53770A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191" w:type="dxa"/>
            <w:vAlign w:val="center"/>
          </w:tcPr>
          <w:p w14:paraId="757D7157">
            <w:pPr>
              <w:pStyle w:val="85"/>
              <w:rPr>
                <w:color w:val="auto"/>
                <w:sz w:val="22"/>
                <w:szCs w:val="22"/>
              </w:rPr>
            </w:pPr>
            <w:r>
              <w:rPr>
                <w:color w:val="auto"/>
                <w:sz w:val="22"/>
                <w:szCs w:val="22"/>
              </w:rPr>
              <w:t>Урок 58</w:t>
            </w:r>
          </w:p>
        </w:tc>
        <w:tc>
          <w:tcPr>
            <w:tcW w:w="6405" w:type="dxa"/>
            <w:vAlign w:val="center"/>
          </w:tcPr>
          <w:p w14:paraId="70BE4472">
            <w:pPr>
              <w:pStyle w:val="85"/>
              <w:jc w:val="both"/>
              <w:rPr>
                <w:color w:val="auto"/>
                <w:sz w:val="22"/>
                <w:szCs w:val="22"/>
              </w:rPr>
            </w:pPr>
            <w:r>
              <w:rPr>
                <w:color w:val="auto"/>
                <w:sz w:val="22"/>
                <w:szCs w:val="22"/>
              </w:rPr>
              <w:t>Резервный урок. Органы чувств их роль в жизни человека</w:t>
            </w:r>
          </w:p>
        </w:tc>
        <w:tc>
          <w:tcPr>
            <w:tcW w:w="1473" w:type="dxa"/>
            <w:vAlign w:val="center"/>
          </w:tcPr>
          <w:p w14:paraId="38328C5F">
            <w:pPr>
              <w:pStyle w:val="85"/>
              <w:rPr>
                <w:color w:val="auto"/>
                <w:sz w:val="22"/>
                <w:szCs w:val="22"/>
              </w:rPr>
            </w:pPr>
          </w:p>
        </w:tc>
      </w:tr>
      <w:tr w14:paraId="77A39D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191" w:type="dxa"/>
            <w:vAlign w:val="center"/>
          </w:tcPr>
          <w:p w14:paraId="0273B4EF">
            <w:pPr>
              <w:pStyle w:val="85"/>
              <w:rPr>
                <w:color w:val="auto"/>
                <w:sz w:val="22"/>
                <w:szCs w:val="22"/>
              </w:rPr>
            </w:pPr>
            <w:r>
              <w:rPr>
                <w:color w:val="auto"/>
                <w:sz w:val="22"/>
                <w:szCs w:val="22"/>
              </w:rPr>
              <w:t>Урок 59</w:t>
            </w:r>
          </w:p>
        </w:tc>
        <w:tc>
          <w:tcPr>
            <w:tcW w:w="6405" w:type="dxa"/>
            <w:vAlign w:val="center"/>
          </w:tcPr>
          <w:p w14:paraId="27F9FD7C">
            <w:pPr>
              <w:pStyle w:val="85"/>
              <w:jc w:val="both"/>
              <w:rPr>
                <w:color w:val="auto"/>
                <w:sz w:val="22"/>
                <w:szCs w:val="22"/>
              </w:rPr>
            </w:pPr>
            <w:r>
              <w:rPr>
                <w:color w:val="auto"/>
                <w:sz w:val="22"/>
                <w:szCs w:val="22"/>
              </w:rPr>
              <w:t>Резервный урок. Повторение по теме "Многообразие растений и животных"</w:t>
            </w:r>
          </w:p>
        </w:tc>
        <w:tc>
          <w:tcPr>
            <w:tcW w:w="1473" w:type="dxa"/>
            <w:vAlign w:val="center"/>
          </w:tcPr>
          <w:p w14:paraId="4662599A">
            <w:pPr>
              <w:pStyle w:val="85"/>
              <w:rPr>
                <w:color w:val="auto"/>
                <w:sz w:val="22"/>
                <w:szCs w:val="22"/>
              </w:rPr>
            </w:pPr>
          </w:p>
        </w:tc>
      </w:tr>
      <w:tr w14:paraId="2C8711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91" w:type="dxa"/>
            <w:vAlign w:val="center"/>
          </w:tcPr>
          <w:p w14:paraId="544BEA61">
            <w:pPr>
              <w:pStyle w:val="85"/>
              <w:rPr>
                <w:color w:val="auto"/>
                <w:sz w:val="22"/>
                <w:szCs w:val="22"/>
              </w:rPr>
            </w:pPr>
            <w:r>
              <w:rPr>
                <w:color w:val="auto"/>
                <w:sz w:val="22"/>
                <w:szCs w:val="22"/>
              </w:rPr>
              <w:t>Урок 60</w:t>
            </w:r>
          </w:p>
        </w:tc>
        <w:tc>
          <w:tcPr>
            <w:tcW w:w="6405" w:type="dxa"/>
            <w:vAlign w:val="center"/>
          </w:tcPr>
          <w:p w14:paraId="068D07CF">
            <w:pPr>
              <w:pStyle w:val="85"/>
              <w:jc w:val="both"/>
              <w:rPr>
                <w:color w:val="auto"/>
                <w:sz w:val="22"/>
                <w:szCs w:val="22"/>
              </w:rPr>
            </w:pPr>
            <w:r>
              <w:rPr>
                <w:color w:val="auto"/>
                <w:sz w:val="22"/>
                <w:szCs w:val="22"/>
              </w:rPr>
              <w:t>Резервный урок. Повторение по теме "Человек - часть природы. Строение тела человека"</w:t>
            </w:r>
          </w:p>
        </w:tc>
        <w:tc>
          <w:tcPr>
            <w:tcW w:w="1473" w:type="dxa"/>
            <w:vAlign w:val="center"/>
          </w:tcPr>
          <w:p w14:paraId="0DEC3FF7">
            <w:pPr>
              <w:pStyle w:val="85"/>
              <w:rPr>
                <w:color w:val="auto"/>
                <w:sz w:val="22"/>
                <w:szCs w:val="22"/>
              </w:rPr>
            </w:pPr>
          </w:p>
        </w:tc>
      </w:tr>
      <w:tr w14:paraId="0E5968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191" w:type="dxa"/>
            <w:vAlign w:val="center"/>
          </w:tcPr>
          <w:p w14:paraId="58BB9864">
            <w:pPr>
              <w:pStyle w:val="85"/>
              <w:rPr>
                <w:color w:val="auto"/>
                <w:sz w:val="22"/>
                <w:szCs w:val="22"/>
              </w:rPr>
            </w:pPr>
            <w:r>
              <w:rPr>
                <w:color w:val="auto"/>
                <w:sz w:val="22"/>
                <w:szCs w:val="22"/>
              </w:rPr>
              <w:t>Урок 61</w:t>
            </w:r>
          </w:p>
        </w:tc>
        <w:tc>
          <w:tcPr>
            <w:tcW w:w="6405" w:type="dxa"/>
            <w:vAlign w:val="center"/>
          </w:tcPr>
          <w:p w14:paraId="4011C1F1">
            <w:pPr>
              <w:pStyle w:val="85"/>
              <w:jc w:val="both"/>
              <w:rPr>
                <w:color w:val="auto"/>
                <w:sz w:val="22"/>
                <w:szCs w:val="22"/>
              </w:rPr>
            </w:pPr>
            <w:r>
              <w:rPr>
                <w:color w:val="auto"/>
                <w:sz w:val="22"/>
                <w:szCs w:val="22"/>
              </w:rPr>
              <w:t>Роль двигательной активности: утренней гимнастики, динамических пауз</w:t>
            </w:r>
          </w:p>
        </w:tc>
        <w:tc>
          <w:tcPr>
            <w:tcW w:w="1473" w:type="dxa"/>
            <w:vAlign w:val="center"/>
          </w:tcPr>
          <w:p w14:paraId="0C3F3C27">
            <w:pPr>
              <w:pStyle w:val="85"/>
              <w:rPr>
                <w:color w:val="auto"/>
                <w:sz w:val="22"/>
                <w:szCs w:val="22"/>
              </w:rPr>
            </w:pPr>
          </w:p>
        </w:tc>
      </w:tr>
      <w:tr w14:paraId="4DF3C1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191" w:type="dxa"/>
            <w:vAlign w:val="center"/>
          </w:tcPr>
          <w:p w14:paraId="6A68E654">
            <w:pPr>
              <w:pStyle w:val="85"/>
              <w:rPr>
                <w:color w:val="auto"/>
                <w:sz w:val="22"/>
                <w:szCs w:val="22"/>
              </w:rPr>
            </w:pPr>
            <w:r>
              <w:rPr>
                <w:color w:val="auto"/>
                <w:sz w:val="22"/>
                <w:szCs w:val="22"/>
              </w:rPr>
              <w:t>Урок 62</w:t>
            </w:r>
          </w:p>
        </w:tc>
        <w:tc>
          <w:tcPr>
            <w:tcW w:w="6405" w:type="dxa"/>
            <w:vAlign w:val="center"/>
          </w:tcPr>
          <w:p w14:paraId="5A133491">
            <w:pPr>
              <w:pStyle w:val="85"/>
              <w:jc w:val="both"/>
              <w:rPr>
                <w:color w:val="auto"/>
                <w:sz w:val="22"/>
                <w:szCs w:val="22"/>
              </w:rPr>
            </w:pPr>
            <w:r>
              <w:rPr>
                <w:color w:val="auto"/>
                <w:sz w:val="22"/>
                <w:szCs w:val="22"/>
              </w:rPr>
              <w:t>Профилактика заболеваний. Роль закаливания для здоровья растущего организма</w:t>
            </w:r>
          </w:p>
        </w:tc>
        <w:tc>
          <w:tcPr>
            <w:tcW w:w="1473" w:type="dxa"/>
            <w:vAlign w:val="center"/>
          </w:tcPr>
          <w:p w14:paraId="2422F78B">
            <w:pPr>
              <w:pStyle w:val="85"/>
              <w:rPr>
                <w:color w:val="auto"/>
                <w:sz w:val="22"/>
                <w:szCs w:val="22"/>
              </w:rPr>
            </w:pPr>
          </w:p>
        </w:tc>
      </w:tr>
      <w:tr w14:paraId="0852E5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91" w:type="dxa"/>
            <w:vAlign w:val="center"/>
          </w:tcPr>
          <w:p w14:paraId="339EB49D">
            <w:pPr>
              <w:pStyle w:val="85"/>
              <w:rPr>
                <w:color w:val="auto"/>
                <w:sz w:val="22"/>
                <w:szCs w:val="22"/>
              </w:rPr>
            </w:pPr>
            <w:r>
              <w:rPr>
                <w:color w:val="auto"/>
                <w:sz w:val="22"/>
                <w:szCs w:val="22"/>
              </w:rPr>
              <w:t>Урок 63</w:t>
            </w:r>
          </w:p>
        </w:tc>
        <w:tc>
          <w:tcPr>
            <w:tcW w:w="6405" w:type="dxa"/>
            <w:vAlign w:val="center"/>
          </w:tcPr>
          <w:p w14:paraId="73197DB3">
            <w:pPr>
              <w:pStyle w:val="85"/>
              <w:jc w:val="both"/>
              <w:rPr>
                <w:color w:val="auto"/>
                <w:sz w:val="22"/>
                <w:szCs w:val="22"/>
              </w:rPr>
            </w:pPr>
            <w:r>
              <w:rPr>
                <w:color w:val="auto"/>
                <w:sz w:val="22"/>
                <w:szCs w:val="22"/>
              </w:rPr>
              <w:t>Соблюдение правил перемещения внутри двора и пересечения дворовой проезжей части</w:t>
            </w:r>
          </w:p>
        </w:tc>
        <w:tc>
          <w:tcPr>
            <w:tcW w:w="1473" w:type="dxa"/>
            <w:vAlign w:val="center"/>
          </w:tcPr>
          <w:p w14:paraId="098E0E48">
            <w:pPr>
              <w:pStyle w:val="85"/>
              <w:rPr>
                <w:color w:val="auto"/>
                <w:sz w:val="22"/>
                <w:szCs w:val="22"/>
              </w:rPr>
            </w:pPr>
          </w:p>
        </w:tc>
      </w:tr>
      <w:tr w14:paraId="6CE00F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91" w:type="dxa"/>
            <w:vAlign w:val="center"/>
          </w:tcPr>
          <w:p w14:paraId="2885DB00">
            <w:pPr>
              <w:pStyle w:val="85"/>
              <w:rPr>
                <w:color w:val="auto"/>
                <w:sz w:val="22"/>
                <w:szCs w:val="22"/>
              </w:rPr>
            </w:pPr>
            <w:r>
              <w:rPr>
                <w:color w:val="auto"/>
                <w:sz w:val="22"/>
                <w:szCs w:val="22"/>
              </w:rPr>
              <w:t>Урок 64</w:t>
            </w:r>
          </w:p>
        </w:tc>
        <w:tc>
          <w:tcPr>
            <w:tcW w:w="6405" w:type="dxa"/>
            <w:vAlign w:val="center"/>
          </w:tcPr>
          <w:p w14:paraId="20D00051">
            <w:pPr>
              <w:pStyle w:val="85"/>
              <w:jc w:val="both"/>
              <w:rPr>
                <w:color w:val="auto"/>
                <w:sz w:val="22"/>
                <w:szCs w:val="22"/>
              </w:rPr>
            </w:pPr>
            <w:r>
              <w:rPr>
                <w:color w:val="auto"/>
                <w:sz w:val="22"/>
                <w:szCs w:val="22"/>
              </w:rPr>
              <w:t>Знаки безопасности во дворе жилого дома</w:t>
            </w:r>
          </w:p>
        </w:tc>
        <w:tc>
          <w:tcPr>
            <w:tcW w:w="1473" w:type="dxa"/>
            <w:vAlign w:val="center"/>
          </w:tcPr>
          <w:p w14:paraId="0F0B51BA">
            <w:pPr>
              <w:pStyle w:val="85"/>
              <w:rPr>
                <w:color w:val="auto"/>
                <w:sz w:val="22"/>
                <w:szCs w:val="22"/>
              </w:rPr>
            </w:pPr>
          </w:p>
        </w:tc>
      </w:tr>
      <w:tr w14:paraId="06235C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191" w:type="dxa"/>
            <w:vAlign w:val="center"/>
          </w:tcPr>
          <w:p w14:paraId="52B6A5C0">
            <w:pPr>
              <w:pStyle w:val="85"/>
              <w:rPr>
                <w:color w:val="auto"/>
                <w:sz w:val="22"/>
                <w:szCs w:val="22"/>
              </w:rPr>
            </w:pPr>
            <w:r>
              <w:rPr>
                <w:color w:val="auto"/>
                <w:sz w:val="22"/>
                <w:szCs w:val="22"/>
              </w:rPr>
              <w:t>Урок 65</w:t>
            </w:r>
          </w:p>
        </w:tc>
        <w:tc>
          <w:tcPr>
            <w:tcW w:w="6405" w:type="dxa"/>
            <w:vAlign w:val="center"/>
          </w:tcPr>
          <w:p w14:paraId="7DBB25E1">
            <w:pPr>
              <w:pStyle w:val="85"/>
              <w:jc w:val="both"/>
              <w:rPr>
                <w:color w:val="auto"/>
                <w:sz w:val="22"/>
                <w:szCs w:val="22"/>
              </w:rPr>
            </w:pPr>
            <w:r>
              <w:rPr>
                <w:color w:val="auto"/>
                <w:sz w:val="22"/>
                <w:szCs w:val="22"/>
              </w:rPr>
              <w:t>Безопасное поведение пассажира железнодорожного транспорта. Знаки безопасности</w:t>
            </w:r>
          </w:p>
        </w:tc>
        <w:tc>
          <w:tcPr>
            <w:tcW w:w="1473" w:type="dxa"/>
            <w:vAlign w:val="center"/>
          </w:tcPr>
          <w:p w14:paraId="54F9BFAE">
            <w:pPr>
              <w:pStyle w:val="85"/>
              <w:rPr>
                <w:color w:val="auto"/>
                <w:sz w:val="22"/>
                <w:szCs w:val="22"/>
              </w:rPr>
            </w:pPr>
          </w:p>
        </w:tc>
      </w:tr>
      <w:tr w14:paraId="137547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191" w:type="dxa"/>
            <w:vAlign w:val="center"/>
          </w:tcPr>
          <w:p w14:paraId="2D02A263">
            <w:pPr>
              <w:pStyle w:val="85"/>
              <w:rPr>
                <w:color w:val="auto"/>
                <w:sz w:val="22"/>
                <w:szCs w:val="22"/>
              </w:rPr>
            </w:pPr>
            <w:r>
              <w:rPr>
                <w:color w:val="auto"/>
                <w:sz w:val="22"/>
                <w:szCs w:val="22"/>
              </w:rPr>
              <w:t>Урок 66</w:t>
            </w:r>
          </w:p>
        </w:tc>
        <w:tc>
          <w:tcPr>
            <w:tcW w:w="6405" w:type="dxa"/>
            <w:vAlign w:val="center"/>
          </w:tcPr>
          <w:p w14:paraId="50DDCE0C">
            <w:pPr>
              <w:pStyle w:val="85"/>
              <w:jc w:val="both"/>
              <w:rPr>
                <w:color w:val="auto"/>
                <w:sz w:val="22"/>
                <w:szCs w:val="22"/>
              </w:rPr>
            </w:pPr>
            <w:r>
              <w:rPr>
                <w:color w:val="auto"/>
                <w:sz w:val="22"/>
                <w:szCs w:val="22"/>
              </w:rPr>
              <w:t>Безопасное поведение пассажира авиа и водного транспорта</w:t>
            </w:r>
          </w:p>
        </w:tc>
        <w:tc>
          <w:tcPr>
            <w:tcW w:w="1473" w:type="dxa"/>
            <w:vAlign w:val="center"/>
          </w:tcPr>
          <w:p w14:paraId="36E9819E">
            <w:pPr>
              <w:pStyle w:val="85"/>
              <w:rPr>
                <w:color w:val="auto"/>
                <w:sz w:val="22"/>
                <w:szCs w:val="22"/>
              </w:rPr>
            </w:pPr>
          </w:p>
        </w:tc>
      </w:tr>
      <w:tr w14:paraId="3297FA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91" w:type="dxa"/>
            <w:vAlign w:val="center"/>
          </w:tcPr>
          <w:p w14:paraId="4B0DFDF7">
            <w:pPr>
              <w:pStyle w:val="85"/>
              <w:rPr>
                <w:color w:val="auto"/>
                <w:sz w:val="22"/>
                <w:szCs w:val="22"/>
              </w:rPr>
            </w:pPr>
            <w:r>
              <w:rPr>
                <w:color w:val="auto"/>
                <w:sz w:val="22"/>
                <w:szCs w:val="22"/>
              </w:rPr>
              <w:t>Урок 67</w:t>
            </w:r>
          </w:p>
        </w:tc>
        <w:tc>
          <w:tcPr>
            <w:tcW w:w="6405" w:type="dxa"/>
            <w:vAlign w:val="center"/>
          </w:tcPr>
          <w:p w14:paraId="4A6A31CB">
            <w:pPr>
              <w:pStyle w:val="85"/>
              <w:jc w:val="both"/>
              <w:rPr>
                <w:color w:val="auto"/>
                <w:sz w:val="22"/>
                <w:szCs w:val="22"/>
              </w:rPr>
            </w:pPr>
            <w:r>
              <w:rPr>
                <w:color w:val="auto"/>
                <w:sz w:val="22"/>
                <w:szCs w:val="22"/>
              </w:rPr>
              <w:t>Безопасная информационная среда</w:t>
            </w:r>
          </w:p>
        </w:tc>
        <w:tc>
          <w:tcPr>
            <w:tcW w:w="1473" w:type="dxa"/>
            <w:vAlign w:val="center"/>
          </w:tcPr>
          <w:p w14:paraId="44E7DA2D">
            <w:pPr>
              <w:pStyle w:val="85"/>
              <w:rPr>
                <w:color w:val="auto"/>
                <w:sz w:val="22"/>
                <w:szCs w:val="22"/>
              </w:rPr>
            </w:pPr>
          </w:p>
        </w:tc>
      </w:tr>
      <w:tr w14:paraId="6834C8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91" w:type="dxa"/>
            <w:vAlign w:val="center"/>
          </w:tcPr>
          <w:p w14:paraId="74E78FE3">
            <w:pPr>
              <w:pStyle w:val="85"/>
              <w:rPr>
                <w:color w:val="auto"/>
                <w:sz w:val="22"/>
                <w:szCs w:val="22"/>
              </w:rPr>
            </w:pPr>
            <w:r>
              <w:rPr>
                <w:color w:val="auto"/>
                <w:sz w:val="22"/>
                <w:szCs w:val="22"/>
              </w:rPr>
              <w:t>Урок 68</w:t>
            </w:r>
          </w:p>
        </w:tc>
        <w:tc>
          <w:tcPr>
            <w:tcW w:w="6405" w:type="dxa"/>
            <w:vAlign w:val="center"/>
          </w:tcPr>
          <w:p w14:paraId="2835591A">
            <w:pPr>
              <w:pStyle w:val="85"/>
              <w:jc w:val="both"/>
              <w:rPr>
                <w:color w:val="auto"/>
                <w:sz w:val="22"/>
                <w:szCs w:val="22"/>
              </w:rPr>
            </w:pPr>
            <w:r>
              <w:rPr>
                <w:color w:val="auto"/>
                <w:sz w:val="22"/>
                <w:szCs w:val="22"/>
              </w:rPr>
              <w:t>Резервный урок. Повторение по итогам обучения в 3 классе</w:t>
            </w:r>
          </w:p>
        </w:tc>
        <w:tc>
          <w:tcPr>
            <w:tcW w:w="1473" w:type="dxa"/>
            <w:vAlign w:val="center"/>
          </w:tcPr>
          <w:p w14:paraId="64D09E14">
            <w:pPr>
              <w:pStyle w:val="85"/>
              <w:rPr>
                <w:color w:val="auto"/>
                <w:sz w:val="22"/>
                <w:szCs w:val="22"/>
              </w:rPr>
            </w:pPr>
          </w:p>
        </w:tc>
      </w:tr>
      <w:tr w14:paraId="65FCA5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9069" w:type="dxa"/>
            <w:gridSpan w:val="3"/>
            <w:vAlign w:val="center"/>
          </w:tcPr>
          <w:p w14:paraId="024AE228">
            <w:pPr>
              <w:pStyle w:val="85"/>
              <w:jc w:val="both"/>
              <w:rPr>
                <w:color w:val="auto"/>
                <w:sz w:val="22"/>
                <w:szCs w:val="22"/>
              </w:rPr>
            </w:pPr>
            <w:r>
              <w:rPr>
                <w:color w:val="auto"/>
                <w:sz w:val="22"/>
                <w:szCs w:val="22"/>
              </w:rPr>
              <w:t>ОБЩЕЕ КОЛИЧЕСТВО УРОКОВ ПО ПРОГРАММЕ: 68, из них уроков, отведенных на контрольные работы, - не более 6</w:t>
            </w:r>
          </w:p>
        </w:tc>
      </w:tr>
    </w:tbl>
    <w:p w14:paraId="20D8437E">
      <w:pPr>
        <w:pStyle w:val="85"/>
        <w:jc w:val="both"/>
        <w:rPr>
          <w:color w:val="auto"/>
          <w:sz w:val="22"/>
          <w:szCs w:val="22"/>
        </w:rPr>
      </w:pPr>
    </w:p>
    <w:p w14:paraId="56A02E67">
      <w:pPr>
        <w:pStyle w:val="85"/>
        <w:jc w:val="right"/>
        <w:rPr>
          <w:color w:val="auto"/>
          <w:sz w:val="22"/>
          <w:szCs w:val="22"/>
        </w:rPr>
      </w:pPr>
      <w:r>
        <w:rPr>
          <w:color w:val="auto"/>
          <w:sz w:val="22"/>
          <w:szCs w:val="22"/>
        </w:rPr>
        <w:t>Таблица 11.7</w:t>
      </w:r>
    </w:p>
    <w:p w14:paraId="6C3717AA">
      <w:pPr>
        <w:pStyle w:val="85"/>
        <w:jc w:val="both"/>
        <w:rPr>
          <w:color w:val="auto"/>
          <w:sz w:val="22"/>
          <w:szCs w:val="22"/>
        </w:rPr>
      </w:pPr>
    </w:p>
    <w:p w14:paraId="44A0C2D2">
      <w:pPr>
        <w:pStyle w:val="85"/>
        <w:jc w:val="both"/>
        <w:rPr>
          <w:color w:val="auto"/>
          <w:sz w:val="22"/>
          <w:szCs w:val="22"/>
        </w:rPr>
      </w:pPr>
      <w:r>
        <w:rPr>
          <w:color w:val="auto"/>
          <w:sz w:val="22"/>
          <w:szCs w:val="22"/>
        </w:rPr>
        <w:t>4 класс</w:t>
      </w:r>
    </w:p>
    <w:p w14:paraId="67F71221">
      <w:pPr>
        <w:pStyle w:val="85"/>
        <w:jc w:val="both"/>
        <w:rPr>
          <w:color w:val="auto"/>
          <w:sz w:val="22"/>
          <w:szCs w:val="22"/>
        </w:rPr>
      </w:pPr>
    </w:p>
    <w:tbl>
      <w:tblPr>
        <w:tblStyle w:val="1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02" w:type="dxa"/>
          <w:left w:w="62" w:type="dxa"/>
          <w:bottom w:w="102" w:type="dxa"/>
          <w:right w:w="62" w:type="dxa"/>
        </w:tblCellMar>
      </w:tblPr>
      <w:tblGrid>
        <w:gridCol w:w="1191"/>
        <w:gridCol w:w="6405"/>
        <w:gridCol w:w="1473"/>
      </w:tblGrid>
      <w:tr w14:paraId="35E697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91" w:type="dxa"/>
          </w:tcPr>
          <w:p w14:paraId="18DD4ACA">
            <w:pPr>
              <w:pStyle w:val="85"/>
              <w:jc w:val="center"/>
              <w:rPr>
                <w:color w:val="auto"/>
                <w:sz w:val="22"/>
                <w:szCs w:val="22"/>
              </w:rPr>
            </w:pPr>
            <w:r>
              <w:rPr>
                <w:color w:val="auto"/>
                <w:sz w:val="22"/>
                <w:szCs w:val="22"/>
              </w:rPr>
              <w:t>N урока</w:t>
            </w:r>
          </w:p>
        </w:tc>
        <w:tc>
          <w:tcPr>
            <w:tcW w:w="6405" w:type="dxa"/>
          </w:tcPr>
          <w:p w14:paraId="17E2AC52">
            <w:pPr>
              <w:pStyle w:val="85"/>
              <w:jc w:val="center"/>
              <w:rPr>
                <w:color w:val="auto"/>
                <w:sz w:val="22"/>
                <w:szCs w:val="22"/>
              </w:rPr>
            </w:pPr>
            <w:r>
              <w:rPr>
                <w:color w:val="auto"/>
                <w:sz w:val="22"/>
                <w:szCs w:val="22"/>
              </w:rPr>
              <w:t>Тема урока</w:t>
            </w:r>
          </w:p>
        </w:tc>
        <w:tc>
          <w:tcPr>
            <w:tcW w:w="1473" w:type="dxa"/>
          </w:tcPr>
          <w:p w14:paraId="0EE58429">
            <w:pPr>
              <w:pStyle w:val="85"/>
              <w:jc w:val="center"/>
              <w:rPr>
                <w:color w:val="auto"/>
                <w:sz w:val="22"/>
                <w:szCs w:val="22"/>
              </w:rPr>
            </w:pPr>
            <w:r>
              <w:rPr>
                <w:color w:val="auto"/>
                <w:sz w:val="22"/>
                <w:szCs w:val="22"/>
              </w:rPr>
              <w:t>Количество часов на практические работы</w:t>
            </w:r>
          </w:p>
        </w:tc>
      </w:tr>
      <w:tr w14:paraId="7E3220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91" w:type="dxa"/>
            <w:vAlign w:val="center"/>
          </w:tcPr>
          <w:p w14:paraId="0AC884C8">
            <w:pPr>
              <w:pStyle w:val="85"/>
              <w:rPr>
                <w:color w:val="auto"/>
                <w:sz w:val="22"/>
                <w:szCs w:val="22"/>
              </w:rPr>
            </w:pPr>
            <w:r>
              <w:rPr>
                <w:color w:val="auto"/>
                <w:sz w:val="22"/>
                <w:szCs w:val="22"/>
              </w:rPr>
              <w:t>Урок 1</w:t>
            </w:r>
          </w:p>
        </w:tc>
        <w:tc>
          <w:tcPr>
            <w:tcW w:w="6405" w:type="dxa"/>
            <w:vAlign w:val="center"/>
          </w:tcPr>
          <w:p w14:paraId="2DE3A23D">
            <w:pPr>
              <w:pStyle w:val="85"/>
              <w:jc w:val="both"/>
              <w:rPr>
                <w:color w:val="auto"/>
                <w:sz w:val="22"/>
                <w:szCs w:val="22"/>
              </w:rPr>
            </w:pPr>
            <w:r>
              <w:rPr>
                <w:color w:val="auto"/>
                <w:sz w:val="22"/>
                <w:szCs w:val="22"/>
              </w:rPr>
              <w:t xml:space="preserve">Государственное устройство Российской Федерации (общее представление). </w:t>
            </w:r>
            <w:r>
              <w:fldChar w:fldCharType="begin"/>
            </w:r>
            <w:r>
              <w:instrText xml:space="preserve"> HYPERLINK "https://login.consultant.ru/link/?req=doc&amp;base=LAW&amp;n=2875" \o ""Конституция Российской Федерации" (принята всенародным голосованием 12.12.1993 с изменениями, одобренными в ходе общероссийского голосования 01.07.2020) {КонсультантПлюс}" \h </w:instrText>
            </w:r>
            <w:r>
              <w:fldChar w:fldCharType="separate"/>
            </w:r>
            <w:r>
              <w:rPr>
                <w:color w:val="auto"/>
                <w:sz w:val="22"/>
                <w:szCs w:val="22"/>
              </w:rPr>
              <w:t>Конституция</w:t>
            </w:r>
            <w:r>
              <w:rPr>
                <w:color w:val="auto"/>
                <w:sz w:val="22"/>
                <w:szCs w:val="22"/>
              </w:rPr>
              <w:fldChar w:fldCharType="end"/>
            </w:r>
            <w:r>
              <w:rPr>
                <w:color w:val="auto"/>
                <w:sz w:val="22"/>
                <w:szCs w:val="22"/>
              </w:rPr>
              <w:t xml:space="preserve"> Российской Федерации. Президент Российской Федерации. Политико-административная карта России</w:t>
            </w:r>
          </w:p>
        </w:tc>
        <w:tc>
          <w:tcPr>
            <w:tcW w:w="1473" w:type="dxa"/>
            <w:vAlign w:val="center"/>
          </w:tcPr>
          <w:p w14:paraId="3A637A31">
            <w:pPr>
              <w:pStyle w:val="85"/>
              <w:rPr>
                <w:color w:val="auto"/>
                <w:sz w:val="22"/>
                <w:szCs w:val="22"/>
              </w:rPr>
            </w:pPr>
          </w:p>
        </w:tc>
      </w:tr>
      <w:tr w14:paraId="55822A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91" w:type="dxa"/>
            <w:vAlign w:val="center"/>
          </w:tcPr>
          <w:p w14:paraId="2241753E">
            <w:pPr>
              <w:pStyle w:val="85"/>
              <w:rPr>
                <w:color w:val="auto"/>
                <w:sz w:val="22"/>
                <w:szCs w:val="22"/>
              </w:rPr>
            </w:pPr>
            <w:r>
              <w:rPr>
                <w:color w:val="auto"/>
                <w:sz w:val="22"/>
                <w:szCs w:val="22"/>
              </w:rPr>
              <w:t>Урок 2</w:t>
            </w:r>
          </w:p>
        </w:tc>
        <w:tc>
          <w:tcPr>
            <w:tcW w:w="6405" w:type="dxa"/>
            <w:vAlign w:val="center"/>
          </w:tcPr>
          <w:p w14:paraId="1CBA4392">
            <w:pPr>
              <w:pStyle w:val="85"/>
              <w:jc w:val="both"/>
              <w:rPr>
                <w:color w:val="auto"/>
                <w:sz w:val="22"/>
                <w:szCs w:val="22"/>
              </w:rPr>
            </w:pPr>
            <w:r>
              <w:rPr>
                <w:color w:val="auto"/>
                <w:sz w:val="22"/>
                <w:szCs w:val="22"/>
              </w:rPr>
              <w:t>Права и обязанности гражданина Российской Федерации. Права ребенка</w:t>
            </w:r>
          </w:p>
        </w:tc>
        <w:tc>
          <w:tcPr>
            <w:tcW w:w="1473" w:type="dxa"/>
            <w:vAlign w:val="center"/>
          </w:tcPr>
          <w:p w14:paraId="3037A67D">
            <w:pPr>
              <w:pStyle w:val="85"/>
              <w:rPr>
                <w:color w:val="auto"/>
                <w:sz w:val="22"/>
                <w:szCs w:val="22"/>
              </w:rPr>
            </w:pPr>
          </w:p>
        </w:tc>
      </w:tr>
      <w:tr w14:paraId="49A448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91" w:type="dxa"/>
            <w:vAlign w:val="center"/>
          </w:tcPr>
          <w:p w14:paraId="344C24F4">
            <w:pPr>
              <w:pStyle w:val="85"/>
              <w:rPr>
                <w:color w:val="auto"/>
                <w:sz w:val="22"/>
                <w:szCs w:val="22"/>
              </w:rPr>
            </w:pPr>
            <w:r>
              <w:rPr>
                <w:color w:val="auto"/>
                <w:sz w:val="22"/>
                <w:szCs w:val="22"/>
              </w:rPr>
              <w:t>Урок 3</w:t>
            </w:r>
          </w:p>
        </w:tc>
        <w:tc>
          <w:tcPr>
            <w:tcW w:w="6405" w:type="dxa"/>
            <w:vAlign w:val="center"/>
          </w:tcPr>
          <w:p w14:paraId="23DFF2E4">
            <w:pPr>
              <w:pStyle w:val="85"/>
              <w:jc w:val="both"/>
              <w:rPr>
                <w:color w:val="auto"/>
                <w:sz w:val="22"/>
                <w:szCs w:val="22"/>
              </w:rPr>
            </w:pPr>
            <w:r>
              <w:rPr>
                <w:color w:val="auto"/>
                <w:sz w:val="22"/>
                <w:szCs w:val="22"/>
              </w:rPr>
              <w:t>Малая Родина гражданина России. Достопримечательности родного края</w:t>
            </w:r>
          </w:p>
        </w:tc>
        <w:tc>
          <w:tcPr>
            <w:tcW w:w="1473" w:type="dxa"/>
            <w:vAlign w:val="center"/>
          </w:tcPr>
          <w:p w14:paraId="01C63311">
            <w:pPr>
              <w:pStyle w:val="85"/>
              <w:rPr>
                <w:color w:val="auto"/>
                <w:sz w:val="22"/>
                <w:szCs w:val="22"/>
              </w:rPr>
            </w:pPr>
          </w:p>
        </w:tc>
      </w:tr>
      <w:tr w14:paraId="10EF27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91" w:type="dxa"/>
            <w:vAlign w:val="center"/>
          </w:tcPr>
          <w:p w14:paraId="24F836C0">
            <w:pPr>
              <w:pStyle w:val="85"/>
              <w:rPr>
                <w:color w:val="auto"/>
                <w:sz w:val="22"/>
                <w:szCs w:val="22"/>
              </w:rPr>
            </w:pPr>
            <w:r>
              <w:rPr>
                <w:color w:val="auto"/>
                <w:sz w:val="22"/>
                <w:szCs w:val="22"/>
              </w:rPr>
              <w:t>Урок 4</w:t>
            </w:r>
          </w:p>
        </w:tc>
        <w:tc>
          <w:tcPr>
            <w:tcW w:w="6405" w:type="dxa"/>
            <w:vAlign w:val="center"/>
          </w:tcPr>
          <w:p w14:paraId="26EFEFD1">
            <w:pPr>
              <w:pStyle w:val="85"/>
              <w:jc w:val="both"/>
              <w:rPr>
                <w:color w:val="auto"/>
                <w:sz w:val="22"/>
                <w:szCs w:val="22"/>
              </w:rPr>
            </w:pPr>
            <w:r>
              <w:rPr>
                <w:color w:val="auto"/>
                <w:sz w:val="22"/>
                <w:szCs w:val="22"/>
              </w:rPr>
              <w:t>Родной край. Знаменитые люди родного края</w:t>
            </w:r>
          </w:p>
        </w:tc>
        <w:tc>
          <w:tcPr>
            <w:tcW w:w="1473" w:type="dxa"/>
            <w:vAlign w:val="center"/>
          </w:tcPr>
          <w:p w14:paraId="3F37612D">
            <w:pPr>
              <w:pStyle w:val="85"/>
              <w:rPr>
                <w:color w:val="auto"/>
                <w:sz w:val="22"/>
                <w:szCs w:val="22"/>
              </w:rPr>
            </w:pPr>
          </w:p>
        </w:tc>
      </w:tr>
      <w:tr w14:paraId="1E3581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91" w:type="dxa"/>
            <w:vAlign w:val="center"/>
          </w:tcPr>
          <w:p w14:paraId="7A88C6D4">
            <w:pPr>
              <w:pStyle w:val="85"/>
              <w:rPr>
                <w:color w:val="auto"/>
                <w:sz w:val="22"/>
                <w:szCs w:val="22"/>
              </w:rPr>
            </w:pPr>
            <w:r>
              <w:rPr>
                <w:color w:val="auto"/>
                <w:sz w:val="22"/>
                <w:szCs w:val="22"/>
              </w:rPr>
              <w:t>Урок 5</w:t>
            </w:r>
          </w:p>
        </w:tc>
        <w:tc>
          <w:tcPr>
            <w:tcW w:w="6405" w:type="dxa"/>
            <w:vAlign w:val="center"/>
          </w:tcPr>
          <w:p w14:paraId="1637B751">
            <w:pPr>
              <w:pStyle w:val="85"/>
              <w:jc w:val="both"/>
              <w:rPr>
                <w:color w:val="auto"/>
                <w:sz w:val="22"/>
                <w:szCs w:val="22"/>
              </w:rPr>
            </w:pPr>
            <w:r>
              <w:rPr>
                <w:color w:val="auto"/>
                <w:sz w:val="22"/>
                <w:szCs w:val="22"/>
              </w:rPr>
              <w:t>Наша малая Родина: главный город</w:t>
            </w:r>
          </w:p>
        </w:tc>
        <w:tc>
          <w:tcPr>
            <w:tcW w:w="1473" w:type="dxa"/>
            <w:vAlign w:val="center"/>
          </w:tcPr>
          <w:p w14:paraId="6F4CE3EB">
            <w:pPr>
              <w:pStyle w:val="85"/>
              <w:rPr>
                <w:color w:val="auto"/>
                <w:sz w:val="22"/>
                <w:szCs w:val="22"/>
              </w:rPr>
            </w:pPr>
          </w:p>
        </w:tc>
      </w:tr>
      <w:tr w14:paraId="3B90F2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91" w:type="dxa"/>
            <w:vAlign w:val="center"/>
          </w:tcPr>
          <w:p w14:paraId="3828DDF7">
            <w:pPr>
              <w:pStyle w:val="85"/>
              <w:rPr>
                <w:color w:val="auto"/>
                <w:sz w:val="22"/>
                <w:szCs w:val="22"/>
              </w:rPr>
            </w:pPr>
            <w:r>
              <w:rPr>
                <w:color w:val="auto"/>
                <w:sz w:val="22"/>
                <w:szCs w:val="22"/>
              </w:rPr>
              <w:t>Урок 6</w:t>
            </w:r>
          </w:p>
        </w:tc>
        <w:tc>
          <w:tcPr>
            <w:tcW w:w="6405" w:type="dxa"/>
            <w:vAlign w:val="center"/>
          </w:tcPr>
          <w:p w14:paraId="2DE56E54">
            <w:pPr>
              <w:pStyle w:val="85"/>
              <w:jc w:val="both"/>
              <w:rPr>
                <w:color w:val="auto"/>
                <w:sz w:val="22"/>
                <w:szCs w:val="22"/>
              </w:rPr>
            </w:pPr>
            <w:r>
              <w:rPr>
                <w:color w:val="auto"/>
                <w:sz w:val="22"/>
                <w:szCs w:val="22"/>
              </w:rPr>
              <w:t>Города России. Древние города России. Страницы истории</w:t>
            </w:r>
          </w:p>
        </w:tc>
        <w:tc>
          <w:tcPr>
            <w:tcW w:w="1473" w:type="dxa"/>
            <w:vAlign w:val="center"/>
          </w:tcPr>
          <w:p w14:paraId="2844678C">
            <w:pPr>
              <w:pStyle w:val="85"/>
              <w:rPr>
                <w:color w:val="auto"/>
                <w:sz w:val="22"/>
                <w:szCs w:val="22"/>
              </w:rPr>
            </w:pPr>
          </w:p>
        </w:tc>
      </w:tr>
      <w:tr w14:paraId="608C0D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91" w:type="dxa"/>
            <w:vAlign w:val="center"/>
          </w:tcPr>
          <w:p w14:paraId="60866392">
            <w:pPr>
              <w:pStyle w:val="85"/>
              <w:rPr>
                <w:color w:val="auto"/>
                <w:sz w:val="22"/>
                <w:szCs w:val="22"/>
              </w:rPr>
            </w:pPr>
            <w:r>
              <w:rPr>
                <w:color w:val="auto"/>
                <w:sz w:val="22"/>
                <w:szCs w:val="22"/>
              </w:rPr>
              <w:t>Урок 7</w:t>
            </w:r>
          </w:p>
        </w:tc>
        <w:tc>
          <w:tcPr>
            <w:tcW w:w="6405" w:type="dxa"/>
            <w:vAlign w:val="center"/>
          </w:tcPr>
          <w:p w14:paraId="551178C9">
            <w:pPr>
              <w:pStyle w:val="85"/>
              <w:jc w:val="both"/>
              <w:rPr>
                <w:color w:val="auto"/>
                <w:sz w:val="22"/>
                <w:szCs w:val="22"/>
              </w:rPr>
            </w:pPr>
            <w:r>
              <w:rPr>
                <w:color w:val="auto"/>
                <w:sz w:val="22"/>
                <w:szCs w:val="22"/>
              </w:rPr>
              <w:t>Города России. Города-герои. Страницы истории</w:t>
            </w:r>
          </w:p>
        </w:tc>
        <w:tc>
          <w:tcPr>
            <w:tcW w:w="1473" w:type="dxa"/>
            <w:vAlign w:val="center"/>
          </w:tcPr>
          <w:p w14:paraId="00F9232B">
            <w:pPr>
              <w:pStyle w:val="85"/>
              <w:rPr>
                <w:color w:val="auto"/>
                <w:sz w:val="22"/>
                <w:szCs w:val="22"/>
              </w:rPr>
            </w:pPr>
          </w:p>
        </w:tc>
      </w:tr>
      <w:tr w14:paraId="711400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91" w:type="dxa"/>
            <w:vAlign w:val="center"/>
          </w:tcPr>
          <w:p w14:paraId="0D9D36DE">
            <w:pPr>
              <w:pStyle w:val="85"/>
              <w:rPr>
                <w:color w:val="auto"/>
                <w:sz w:val="22"/>
                <w:szCs w:val="22"/>
              </w:rPr>
            </w:pPr>
            <w:r>
              <w:rPr>
                <w:color w:val="auto"/>
                <w:sz w:val="22"/>
                <w:szCs w:val="22"/>
              </w:rPr>
              <w:t>Урок 8</w:t>
            </w:r>
          </w:p>
        </w:tc>
        <w:tc>
          <w:tcPr>
            <w:tcW w:w="6405" w:type="dxa"/>
            <w:vAlign w:val="center"/>
          </w:tcPr>
          <w:p w14:paraId="68037D3D">
            <w:pPr>
              <w:pStyle w:val="85"/>
              <w:jc w:val="both"/>
              <w:rPr>
                <w:color w:val="auto"/>
                <w:sz w:val="22"/>
                <w:szCs w:val="22"/>
              </w:rPr>
            </w:pPr>
            <w:r>
              <w:rPr>
                <w:color w:val="auto"/>
                <w:sz w:val="22"/>
                <w:szCs w:val="22"/>
              </w:rPr>
              <w:t>Праздник в жизни общества и человека</w:t>
            </w:r>
          </w:p>
        </w:tc>
        <w:tc>
          <w:tcPr>
            <w:tcW w:w="1473" w:type="dxa"/>
            <w:vAlign w:val="center"/>
          </w:tcPr>
          <w:p w14:paraId="5F93D848">
            <w:pPr>
              <w:pStyle w:val="85"/>
              <w:rPr>
                <w:color w:val="auto"/>
                <w:sz w:val="22"/>
                <w:szCs w:val="22"/>
              </w:rPr>
            </w:pPr>
          </w:p>
        </w:tc>
      </w:tr>
      <w:tr w14:paraId="0F5858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91" w:type="dxa"/>
            <w:vAlign w:val="center"/>
          </w:tcPr>
          <w:p w14:paraId="51679EB9">
            <w:pPr>
              <w:pStyle w:val="85"/>
              <w:rPr>
                <w:color w:val="auto"/>
                <w:sz w:val="22"/>
                <w:szCs w:val="22"/>
              </w:rPr>
            </w:pPr>
            <w:r>
              <w:rPr>
                <w:color w:val="auto"/>
                <w:sz w:val="22"/>
                <w:szCs w:val="22"/>
              </w:rPr>
              <w:t>Урок 9</w:t>
            </w:r>
          </w:p>
        </w:tc>
        <w:tc>
          <w:tcPr>
            <w:tcW w:w="6405" w:type="dxa"/>
            <w:vAlign w:val="center"/>
          </w:tcPr>
          <w:p w14:paraId="69BD55F2">
            <w:pPr>
              <w:pStyle w:val="85"/>
              <w:jc w:val="both"/>
              <w:rPr>
                <w:color w:val="auto"/>
                <w:sz w:val="22"/>
                <w:szCs w:val="22"/>
              </w:rPr>
            </w:pPr>
            <w:r>
              <w:rPr>
                <w:color w:val="auto"/>
                <w:sz w:val="22"/>
                <w:szCs w:val="22"/>
              </w:rPr>
              <w:t>Государственные праздники России</w:t>
            </w:r>
          </w:p>
        </w:tc>
        <w:tc>
          <w:tcPr>
            <w:tcW w:w="1473" w:type="dxa"/>
            <w:vAlign w:val="center"/>
          </w:tcPr>
          <w:p w14:paraId="6F05632C">
            <w:pPr>
              <w:pStyle w:val="85"/>
              <w:rPr>
                <w:color w:val="auto"/>
                <w:sz w:val="22"/>
                <w:szCs w:val="22"/>
              </w:rPr>
            </w:pPr>
          </w:p>
        </w:tc>
      </w:tr>
      <w:tr w14:paraId="0B9A72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91" w:type="dxa"/>
            <w:vAlign w:val="center"/>
          </w:tcPr>
          <w:p w14:paraId="53C36A18">
            <w:pPr>
              <w:pStyle w:val="85"/>
              <w:rPr>
                <w:color w:val="auto"/>
                <w:sz w:val="22"/>
                <w:szCs w:val="22"/>
              </w:rPr>
            </w:pPr>
            <w:r>
              <w:rPr>
                <w:color w:val="auto"/>
                <w:sz w:val="22"/>
                <w:szCs w:val="22"/>
              </w:rPr>
              <w:t>Урок 10</w:t>
            </w:r>
          </w:p>
        </w:tc>
        <w:tc>
          <w:tcPr>
            <w:tcW w:w="6405" w:type="dxa"/>
            <w:vAlign w:val="center"/>
          </w:tcPr>
          <w:p w14:paraId="1ED39041">
            <w:pPr>
              <w:pStyle w:val="85"/>
              <w:jc w:val="both"/>
              <w:rPr>
                <w:color w:val="auto"/>
                <w:sz w:val="22"/>
                <w:szCs w:val="22"/>
              </w:rPr>
            </w:pPr>
            <w:r>
              <w:rPr>
                <w:color w:val="auto"/>
                <w:sz w:val="22"/>
                <w:szCs w:val="22"/>
              </w:rPr>
              <w:t>Праздники и памятные даты своего региона</w:t>
            </w:r>
          </w:p>
        </w:tc>
        <w:tc>
          <w:tcPr>
            <w:tcW w:w="1473" w:type="dxa"/>
            <w:vAlign w:val="center"/>
          </w:tcPr>
          <w:p w14:paraId="221F1B23">
            <w:pPr>
              <w:pStyle w:val="85"/>
              <w:rPr>
                <w:color w:val="auto"/>
                <w:sz w:val="22"/>
                <w:szCs w:val="22"/>
              </w:rPr>
            </w:pPr>
          </w:p>
        </w:tc>
      </w:tr>
      <w:tr w14:paraId="5D960E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91" w:type="dxa"/>
            <w:vAlign w:val="center"/>
          </w:tcPr>
          <w:p w14:paraId="4B1C021B">
            <w:pPr>
              <w:pStyle w:val="85"/>
              <w:rPr>
                <w:color w:val="auto"/>
                <w:sz w:val="22"/>
                <w:szCs w:val="22"/>
              </w:rPr>
            </w:pPr>
            <w:r>
              <w:rPr>
                <w:color w:val="auto"/>
                <w:sz w:val="22"/>
                <w:szCs w:val="22"/>
              </w:rPr>
              <w:t>Урок 11</w:t>
            </w:r>
          </w:p>
        </w:tc>
        <w:tc>
          <w:tcPr>
            <w:tcW w:w="6405" w:type="dxa"/>
            <w:vAlign w:val="center"/>
          </w:tcPr>
          <w:p w14:paraId="416A0A37">
            <w:pPr>
              <w:pStyle w:val="85"/>
              <w:jc w:val="both"/>
              <w:rPr>
                <w:color w:val="auto"/>
                <w:sz w:val="22"/>
                <w:szCs w:val="22"/>
              </w:rPr>
            </w:pPr>
            <w:r>
              <w:rPr>
                <w:color w:val="auto"/>
                <w:sz w:val="22"/>
                <w:szCs w:val="22"/>
              </w:rPr>
              <w:t>Историческое время. Что такое "лента времени"?</w:t>
            </w:r>
          </w:p>
        </w:tc>
        <w:tc>
          <w:tcPr>
            <w:tcW w:w="1473" w:type="dxa"/>
            <w:vAlign w:val="center"/>
          </w:tcPr>
          <w:p w14:paraId="24645D1D">
            <w:pPr>
              <w:pStyle w:val="85"/>
              <w:rPr>
                <w:color w:val="auto"/>
                <w:sz w:val="22"/>
                <w:szCs w:val="22"/>
              </w:rPr>
            </w:pPr>
          </w:p>
        </w:tc>
      </w:tr>
      <w:tr w14:paraId="7B3C40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91" w:type="dxa"/>
            <w:vAlign w:val="center"/>
          </w:tcPr>
          <w:p w14:paraId="21E81F04">
            <w:pPr>
              <w:pStyle w:val="85"/>
              <w:rPr>
                <w:color w:val="auto"/>
                <w:sz w:val="22"/>
                <w:szCs w:val="22"/>
              </w:rPr>
            </w:pPr>
            <w:r>
              <w:rPr>
                <w:color w:val="auto"/>
                <w:sz w:val="22"/>
                <w:szCs w:val="22"/>
              </w:rPr>
              <w:t>Урок 12</w:t>
            </w:r>
          </w:p>
        </w:tc>
        <w:tc>
          <w:tcPr>
            <w:tcW w:w="6405" w:type="dxa"/>
            <w:vAlign w:val="center"/>
          </w:tcPr>
          <w:p w14:paraId="2D648AB0">
            <w:pPr>
              <w:pStyle w:val="85"/>
              <w:jc w:val="both"/>
              <w:rPr>
                <w:color w:val="auto"/>
                <w:sz w:val="22"/>
                <w:szCs w:val="22"/>
              </w:rPr>
            </w:pPr>
            <w:r>
              <w:rPr>
                <w:color w:val="auto"/>
                <w:sz w:val="22"/>
                <w:szCs w:val="22"/>
              </w:rPr>
              <w:t>Государство Русь. Страницы общественной и культурной жизни</w:t>
            </w:r>
          </w:p>
        </w:tc>
        <w:tc>
          <w:tcPr>
            <w:tcW w:w="1473" w:type="dxa"/>
            <w:vAlign w:val="center"/>
          </w:tcPr>
          <w:p w14:paraId="4BBA49E7">
            <w:pPr>
              <w:pStyle w:val="85"/>
              <w:rPr>
                <w:color w:val="auto"/>
                <w:sz w:val="22"/>
                <w:szCs w:val="22"/>
              </w:rPr>
            </w:pPr>
          </w:p>
        </w:tc>
      </w:tr>
      <w:tr w14:paraId="4A50DE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91" w:type="dxa"/>
            <w:vAlign w:val="center"/>
          </w:tcPr>
          <w:p w14:paraId="2B2C74BF">
            <w:pPr>
              <w:pStyle w:val="85"/>
              <w:rPr>
                <w:color w:val="auto"/>
                <w:sz w:val="22"/>
                <w:szCs w:val="22"/>
              </w:rPr>
            </w:pPr>
            <w:r>
              <w:rPr>
                <w:color w:val="auto"/>
                <w:sz w:val="22"/>
                <w:szCs w:val="22"/>
              </w:rPr>
              <w:t>Урок 13</w:t>
            </w:r>
          </w:p>
        </w:tc>
        <w:tc>
          <w:tcPr>
            <w:tcW w:w="6405" w:type="dxa"/>
            <w:vAlign w:val="center"/>
          </w:tcPr>
          <w:p w14:paraId="4ADDC7C0">
            <w:pPr>
              <w:pStyle w:val="85"/>
              <w:jc w:val="both"/>
              <w:rPr>
                <w:color w:val="auto"/>
                <w:sz w:val="22"/>
                <w:szCs w:val="22"/>
              </w:rPr>
            </w:pPr>
            <w:r>
              <w:rPr>
                <w:color w:val="auto"/>
                <w:sz w:val="22"/>
                <w:szCs w:val="22"/>
              </w:rPr>
              <w:t>Государство Русь. Человек - защитник своего Отечества</w:t>
            </w:r>
          </w:p>
        </w:tc>
        <w:tc>
          <w:tcPr>
            <w:tcW w:w="1473" w:type="dxa"/>
            <w:vAlign w:val="center"/>
          </w:tcPr>
          <w:p w14:paraId="4D508021">
            <w:pPr>
              <w:pStyle w:val="85"/>
              <w:rPr>
                <w:color w:val="auto"/>
                <w:sz w:val="22"/>
                <w:szCs w:val="22"/>
              </w:rPr>
            </w:pPr>
          </w:p>
        </w:tc>
      </w:tr>
      <w:tr w14:paraId="0CA4BE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91" w:type="dxa"/>
            <w:vAlign w:val="center"/>
          </w:tcPr>
          <w:p w14:paraId="3E6E7D97">
            <w:pPr>
              <w:pStyle w:val="85"/>
              <w:rPr>
                <w:color w:val="auto"/>
                <w:sz w:val="22"/>
                <w:szCs w:val="22"/>
              </w:rPr>
            </w:pPr>
            <w:r>
              <w:rPr>
                <w:color w:val="auto"/>
                <w:sz w:val="22"/>
                <w:szCs w:val="22"/>
              </w:rPr>
              <w:t>Урок 14</w:t>
            </w:r>
          </w:p>
        </w:tc>
        <w:tc>
          <w:tcPr>
            <w:tcW w:w="6405" w:type="dxa"/>
            <w:vAlign w:val="center"/>
          </w:tcPr>
          <w:p w14:paraId="45A77E75">
            <w:pPr>
              <w:pStyle w:val="85"/>
              <w:jc w:val="both"/>
              <w:rPr>
                <w:color w:val="auto"/>
                <w:sz w:val="22"/>
                <w:szCs w:val="22"/>
              </w:rPr>
            </w:pPr>
            <w:r>
              <w:rPr>
                <w:color w:val="auto"/>
                <w:sz w:val="22"/>
                <w:szCs w:val="22"/>
              </w:rPr>
              <w:t>Московское государство. Страницы общественной и культурной жизни в Московском государстве</w:t>
            </w:r>
          </w:p>
        </w:tc>
        <w:tc>
          <w:tcPr>
            <w:tcW w:w="1473" w:type="dxa"/>
            <w:vAlign w:val="center"/>
          </w:tcPr>
          <w:p w14:paraId="2F765E3A">
            <w:pPr>
              <w:pStyle w:val="85"/>
              <w:rPr>
                <w:color w:val="auto"/>
                <w:sz w:val="22"/>
                <w:szCs w:val="22"/>
              </w:rPr>
            </w:pPr>
          </w:p>
        </w:tc>
      </w:tr>
      <w:tr w14:paraId="5CFC0B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91" w:type="dxa"/>
            <w:vAlign w:val="center"/>
          </w:tcPr>
          <w:p w14:paraId="66E7C842">
            <w:pPr>
              <w:pStyle w:val="85"/>
              <w:rPr>
                <w:color w:val="auto"/>
                <w:sz w:val="22"/>
                <w:szCs w:val="22"/>
              </w:rPr>
            </w:pPr>
            <w:r>
              <w:rPr>
                <w:color w:val="auto"/>
                <w:sz w:val="22"/>
                <w:szCs w:val="22"/>
              </w:rPr>
              <w:t>Урок 15</w:t>
            </w:r>
          </w:p>
        </w:tc>
        <w:tc>
          <w:tcPr>
            <w:tcW w:w="6405" w:type="dxa"/>
            <w:vAlign w:val="center"/>
          </w:tcPr>
          <w:p w14:paraId="24BF7B1C">
            <w:pPr>
              <w:pStyle w:val="85"/>
              <w:jc w:val="both"/>
              <w:rPr>
                <w:color w:val="auto"/>
                <w:sz w:val="22"/>
                <w:szCs w:val="22"/>
              </w:rPr>
            </w:pPr>
            <w:r>
              <w:rPr>
                <w:color w:val="auto"/>
                <w:sz w:val="22"/>
                <w:szCs w:val="22"/>
              </w:rPr>
              <w:t>Образование и культура в Московском государстве</w:t>
            </w:r>
          </w:p>
        </w:tc>
        <w:tc>
          <w:tcPr>
            <w:tcW w:w="1473" w:type="dxa"/>
            <w:vAlign w:val="center"/>
          </w:tcPr>
          <w:p w14:paraId="1572B070">
            <w:pPr>
              <w:pStyle w:val="85"/>
              <w:rPr>
                <w:color w:val="auto"/>
                <w:sz w:val="22"/>
                <w:szCs w:val="22"/>
              </w:rPr>
            </w:pPr>
          </w:p>
        </w:tc>
      </w:tr>
      <w:tr w14:paraId="1C6DFD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91" w:type="dxa"/>
            <w:vAlign w:val="center"/>
          </w:tcPr>
          <w:p w14:paraId="686A31C5">
            <w:pPr>
              <w:pStyle w:val="85"/>
              <w:rPr>
                <w:color w:val="auto"/>
                <w:sz w:val="22"/>
                <w:szCs w:val="22"/>
              </w:rPr>
            </w:pPr>
            <w:r>
              <w:rPr>
                <w:color w:val="auto"/>
                <w:sz w:val="22"/>
                <w:szCs w:val="22"/>
              </w:rPr>
              <w:t>Урок 16</w:t>
            </w:r>
          </w:p>
        </w:tc>
        <w:tc>
          <w:tcPr>
            <w:tcW w:w="6405" w:type="dxa"/>
            <w:vAlign w:val="center"/>
          </w:tcPr>
          <w:p w14:paraId="401EDCC3">
            <w:pPr>
              <w:pStyle w:val="85"/>
              <w:jc w:val="both"/>
              <w:rPr>
                <w:color w:val="auto"/>
                <w:sz w:val="22"/>
                <w:szCs w:val="22"/>
              </w:rPr>
            </w:pPr>
            <w:r>
              <w:rPr>
                <w:color w:val="auto"/>
                <w:sz w:val="22"/>
                <w:szCs w:val="22"/>
              </w:rPr>
              <w:t>Страницы истории Российской империи. Петр I</w:t>
            </w:r>
          </w:p>
        </w:tc>
        <w:tc>
          <w:tcPr>
            <w:tcW w:w="1473" w:type="dxa"/>
            <w:vAlign w:val="center"/>
          </w:tcPr>
          <w:p w14:paraId="3B85C5D8">
            <w:pPr>
              <w:pStyle w:val="85"/>
              <w:rPr>
                <w:color w:val="auto"/>
                <w:sz w:val="22"/>
                <w:szCs w:val="22"/>
              </w:rPr>
            </w:pPr>
          </w:p>
        </w:tc>
      </w:tr>
      <w:tr w14:paraId="419AAB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91" w:type="dxa"/>
            <w:vAlign w:val="center"/>
          </w:tcPr>
          <w:p w14:paraId="645F71BD">
            <w:pPr>
              <w:pStyle w:val="85"/>
              <w:rPr>
                <w:color w:val="auto"/>
                <w:sz w:val="22"/>
                <w:szCs w:val="22"/>
              </w:rPr>
            </w:pPr>
            <w:r>
              <w:rPr>
                <w:color w:val="auto"/>
                <w:sz w:val="22"/>
                <w:szCs w:val="22"/>
              </w:rPr>
              <w:t>Урок 17</w:t>
            </w:r>
          </w:p>
        </w:tc>
        <w:tc>
          <w:tcPr>
            <w:tcW w:w="6405" w:type="dxa"/>
            <w:vAlign w:val="center"/>
          </w:tcPr>
          <w:p w14:paraId="5F68BFAB">
            <w:pPr>
              <w:pStyle w:val="85"/>
              <w:jc w:val="both"/>
              <w:rPr>
                <w:color w:val="auto"/>
                <w:sz w:val="22"/>
                <w:szCs w:val="22"/>
              </w:rPr>
            </w:pPr>
            <w:r>
              <w:rPr>
                <w:color w:val="auto"/>
                <w:sz w:val="22"/>
                <w:szCs w:val="22"/>
              </w:rPr>
              <w:t>Страницы Российской империи. Преобразования в культуре, науке, быту</w:t>
            </w:r>
          </w:p>
        </w:tc>
        <w:tc>
          <w:tcPr>
            <w:tcW w:w="1473" w:type="dxa"/>
            <w:vAlign w:val="center"/>
          </w:tcPr>
          <w:p w14:paraId="78E1ADA6">
            <w:pPr>
              <w:pStyle w:val="85"/>
              <w:rPr>
                <w:color w:val="auto"/>
                <w:sz w:val="22"/>
                <w:szCs w:val="22"/>
              </w:rPr>
            </w:pPr>
          </w:p>
        </w:tc>
      </w:tr>
      <w:tr w14:paraId="7145C7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91" w:type="dxa"/>
            <w:vAlign w:val="center"/>
          </w:tcPr>
          <w:p w14:paraId="4063AB50">
            <w:pPr>
              <w:pStyle w:val="85"/>
              <w:rPr>
                <w:color w:val="auto"/>
                <w:sz w:val="22"/>
                <w:szCs w:val="22"/>
              </w:rPr>
            </w:pPr>
            <w:r>
              <w:rPr>
                <w:color w:val="auto"/>
                <w:sz w:val="22"/>
                <w:szCs w:val="22"/>
              </w:rPr>
              <w:t>Урок 18</w:t>
            </w:r>
          </w:p>
        </w:tc>
        <w:tc>
          <w:tcPr>
            <w:tcW w:w="6405" w:type="dxa"/>
            <w:vAlign w:val="center"/>
          </w:tcPr>
          <w:p w14:paraId="2F69EDC4">
            <w:pPr>
              <w:pStyle w:val="85"/>
              <w:jc w:val="both"/>
              <w:rPr>
                <w:color w:val="auto"/>
                <w:sz w:val="22"/>
                <w:szCs w:val="22"/>
              </w:rPr>
            </w:pPr>
            <w:r>
              <w:rPr>
                <w:color w:val="auto"/>
                <w:sz w:val="22"/>
                <w:szCs w:val="22"/>
              </w:rPr>
              <w:t>Образование в Российской империи</w:t>
            </w:r>
          </w:p>
        </w:tc>
        <w:tc>
          <w:tcPr>
            <w:tcW w:w="1473" w:type="dxa"/>
            <w:vAlign w:val="center"/>
          </w:tcPr>
          <w:p w14:paraId="10506144">
            <w:pPr>
              <w:pStyle w:val="85"/>
              <w:rPr>
                <w:color w:val="auto"/>
                <w:sz w:val="22"/>
                <w:szCs w:val="22"/>
              </w:rPr>
            </w:pPr>
          </w:p>
        </w:tc>
      </w:tr>
      <w:tr w14:paraId="2ACA68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91" w:type="dxa"/>
            <w:vAlign w:val="center"/>
          </w:tcPr>
          <w:p w14:paraId="1205C1CC">
            <w:pPr>
              <w:pStyle w:val="85"/>
              <w:rPr>
                <w:color w:val="auto"/>
                <w:sz w:val="22"/>
                <w:szCs w:val="22"/>
              </w:rPr>
            </w:pPr>
            <w:r>
              <w:rPr>
                <w:color w:val="auto"/>
                <w:sz w:val="22"/>
                <w:szCs w:val="22"/>
              </w:rPr>
              <w:t>Урок 19</w:t>
            </w:r>
          </w:p>
        </w:tc>
        <w:tc>
          <w:tcPr>
            <w:tcW w:w="6405" w:type="dxa"/>
            <w:vAlign w:val="center"/>
          </w:tcPr>
          <w:p w14:paraId="537E36C7">
            <w:pPr>
              <w:pStyle w:val="85"/>
              <w:jc w:val="both"/>
              <w:rPr>
                <w:color w:val="auto"/>
                <w:sz w:val="22"/>
                <w:szCs w:val="22"/>
              </w:rPr>
            </w:pPr>
            <w:r>
              <w:rPr>
                <w:color w:val="auto"/>
                <w:sz w:val="22"/>
                <w:szCs w:val="22"/>
              </w:rPr>
              <w:t>Развитие культуры в Российской империи Российская империя: развитие культуры XVIII в. (архитектура, живопись, театр)</w:t>
            </w:r>
          </w:p>
        </w:tc>
        <w:tc>
          <w:tcPr>
            <w:tcW w:w="1473" w:type="dxa"/>
            <w:vAlign w:val="center"/>
          </w:tcPr>
          <w:p w14:paraId="6E711BE6">
            <w:pPr>
              <w:pStyle w:val="85"/>
              <w:rPr>
                <w:color w:val="auto"/>
                <w:sz w:val="22"/>
                <w:szCs w:val="22"/>
              </w:rPr>
            </w:pPr>
          </w:p>
        </w:tc>
      </w:tr>
      <w:tr w14:paraId="4E7BF6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91" w:type="dxa"/>
            <w:vAlign w:val="center"/>
          </w:tcPr>
          <w:p w14:paraId="600901E5">
            <w:pPr>
              <w:pStyle w:val="85"/>
              <w:rPr>
                <w:color w:val="auto"/>
                <w:sz w:val="22"/>
                <w:szCs w:val="22"/>
              </w:rPr>
            </w:pPr>
            <w:r>
              <w:rPr>
                <w:color w:val="auto"/>
                <w:sz w:val="22"/>
                <w:szCs w:val="22"/>
              </w:rPr>
              <w:t>Урок 20</w:t>
            </w:r>
          </w:p>
        </w:tc>
        <w:tc>
          <w:tcPr>
            <w:tcW w:w="6405" w:type="dxa"/>
            <w:vAlign w:val="center"/>
          </w:tcPr>
          <w:p w14:paraId="1F0B4D85">
            <w:pPr>
              <w:pStyle w:val="85"/>
              <w:jc w:val="both"/>
              <w:rPr>
                <w:color w:val="auto"/>
                <w:sz w:val="22"/>
                <w:szCs w:val="22"/>
              </w:rPr>
            </w:pPr>
            <w:r>
              <w:rPr>
                <w:color w:val="auto"/>
                <w:sz w:val="22"/>
                <w:szCs w:val="22"/>
              </w:rPr>
              <w:t>"Золотой век" русской культуры. Великие поэты и писатели, композиторы и художники XIX в.</w:t>
            </w:r>
          </w:p>
        </w:tc>
        <w:tc>
          <w:tcPr>
            <w:tcW w:w="1473" w:type="dxa"/>
            <w:vAlign w:val="center"/>
          </w:tcPr>
          <w:p w14:paraId="697BA2B1">
            <w:pPr>
              <w:pStyle w:val="85"/>
              <w:rPr>
                <w:color w:val="auto"/>
                <w:sz w:val="22"/>
                <w:szCs w:val="22"/>
              </w:rPr>
            </w:pPr>
          </w:p>
        </w:tc>
      </w:tr>
      <w:tr w14:paraId="6AC33B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91" w:type="dxa"/>
            <w:vAlign w:val="center"/>
          </w:tcPr>
          <w:p w14:paraId="23A218C4">
            <w:pPr>
              <w:pStyle w:val="85"/>
              <w:rPr>
                <w:color w:val="auto"/>
                <w:sz w:val="22"/>
                <w:szCs w:val="22"/>
              </w:rPr>
            </w:pPr>
            <w:r>
              <w:rPr>
                <w:color w:val="auto"/>
                <w:sz w:val="22"/>
                <w:szCs w:val="22"/>
              </w:rPr>
              <w:t>Урок 21</w:t>
            </w:r>
          </w:p>
        </w:tc>
        <w:tc>
          <w:tcPr>
            <w:tcW w:w="6405" w:type="dxa"/>
            <w:vAlign w:val="center"/>
          </w:tcPr>
          <w:p w14:paraId="627AC7A8">
            <w:pPr>
              <w:pStyle w:val="85"/>
              <w:jc w:val="both"/>
              <w:rPr>
                <w:color w:val="auto"/>
                <w:sz w:val="22"/>
                <w:szCs w:val="22"/>
              </w:rPr>
            </w:pPr>
            <w:r>
              <w:rPr>
                <w:color w:val="auto"/>
                <w:sz w:val="22"/>
                <w:szCs w:val="22"/>
              </w:rPr>
              <w:t>Первая Отечественная война: 1812 год. Защита Родины от французских завоевателей</w:t>
            </w:r>
          </w:p>
        </w:tc>
        <w:tc>
          <w:tcPr>
            <w:tcW w:w="1473" w:type="dxa"/>
            <w:vAlign w:val="center"/>
          </w:tcPr>
          <w:p w14:paraId="37CC1AF7">
            <w:pPr>
              <w:pStyle w:val="85"/>
              <w:rPr>
                <w:color w:val="auto"/>
                <w:sz w:val="22"/>
                <w:szCs w:val="22"/>
              </w:rPr>
            </w:pPr>
          </w:p>
        </w:tc>
      </w:tr>
      <w:tr w14:paraId="473E8B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91" w:type="dxa"/>
            <w:vAlign w:val="center"/>
          </w:tcPr>
          <w:p w14:paraId="7C90CDDE">
            <w:pPr>
              <w:pStyle w:val="85"/>
              <w:rPr>
                <w:color w:val="auto"/>
                <w:sz w:val="22"/>
                <w:szCs w:val="22"/>
              </w:rPr>
            </w:pPr>
            <w:r>
              <w:rPr>
                <w:color w:val="auto"/>
                <w:sz w:val="22"/>
                <w:szCs w:val="22"/>
              </w:rPr>
              <w:t>Урок 22</w:t>
            </w:r>
          </w:p>
        </w:tc>
        <w:tc>
          <w:tcPr>
            <w:tcW w:w="6405" w:type="dxa"/>
            <w:vAlign w:val="center"/>
          </w:tcPr>
          <w:p w14:paraId="7F77B404">
            <w:pPr>
              <w:pStyle w:val="85"/>
              <w:jc w:val="both"/>
              <w:rPr>
                <w:color w:val="auto"/>
                <w:sz w:val="22"/>
                <w:szCs w:val="22"/>
              </w:rPr>
            </w:pPr>
            <w:r>
              <w:rPr>
                <w:color w:val="auto"/>
                <w:sz w:val="22"/>
                <w:szCs w:val="22"/>
              </w:rPr>
              <w:t>Страницы истории России XX в.</w:t>
            </w:r>
          </w:p>
        </w:tc>
        <w:tc>
          <w:tcPr>
            <w:tcW w:w="1473" w:type="dxa"/>
            <w:vAlign w:val="center"/>
          </w:tcPr>
          <w:p w14:paraId="5B3F20C1">
            <w:pPr>
              <w:pStyle w:val="85"/>
              <w:rPr>
                <w:color w:val="auto"/>
                <w:sz w:val="22"/>
                <w:szCs w:val="22"/>
              </w:rPr>
            </w:pPr>
          </w:p>
        </w:tc>
      </w:tr>
      <w:tr w14:paraId="097C69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91" w:type="dxa"/>
            <w:vAlign w:val="center"/>
          </w:tcPr>
          <w:p w14:paraId="7D17612A">
            <w:pPr>
              <w:pStyle w:val="85"/>
              <w:rPr>
                <w:color w:val="auto"/>
                <w:sz w:val="22"/>
                <w:szCs w:val="22"/>
              </w:rPr>
            </w:pPr>
            <w:r>
              <w:rPr>
                <w:color w:val="auto"/>
                <w:sz w:val="22"/>
                <w:szCs w:val="22"/>
              </w:rPr>
              <w:t>Урок 23</w:t>
            </w:r>
          </w:p>
        </w:tc>
        <w:tc>
          <w:tcPr>
            <w:tcW w:w="6405" w:type="dxa"/>
            <w:vAlign w:val="center"/>
          </w:tcPr>
          <w:p w14:paraId="5281DAB2">
            <w:pPr>
              <w:pStyle w:val="85"/>
              <w:jc w:val="both"/>
              <w:rPr>
                <w:color w:val="auto"/>
                <w:sz w:val="22"/>
                <w:szCs w:val="22"/>
              </w:rPr>
            </w:pPr>
            <w:r>
              <w:rPr>
                <w:color w:val="auto"/>
                <w:sz w:val="22"/>
                <w:szCs w:val="22"/>
              </w:rPr>
              <w:t>Великая Отечественная война 1941 - 1945 гг: как все начиналось</w:t>
            </w:r>
          </w:p>
        </w:tc>
        <w:tc>
          <w:tcPr>
            <w:tcW w:w="1473" w:type="dxa"/>
            <w:vAlign w:val="center"/>
          </w:tcPr>
          <w:p w14:paraId="544CAD64">
            <w:pPr>
              <w:pStyle w:val="85"/>
              <w:rPr>
                <w:color w:val="auto"/>
                <w:sz w:val="22"/>
                <w:szCs w:val="22"/>
              </w:rPr>
            </w:pPr>
          </w:p>
        </w:tc>
      </w:tr>
      <w:tr w14:paraId="244D34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91" w:type="dxa"/>
            <w:vAlign w:val="center"/>
          </w:tcPr>
          <w:p w14:paraId="15603848">
            <w:pPr>
              <w:pStyle w:val="85"/>
              <w:rPr>
                <w:color w:val="auto"/>
                <w:sz w:val="22"/>
                <w:szCs w:val="22"/>
              </w:rPr>
            </w:pPr>
            <w:r>
              <w:rPr>
                <w:color w:val="auto"/>
                <w:sz w:val="22"/>
                <w:szCs w:val="22"/>
              </w:rPr>
              <w:t>Урок 24</w:t>
            </w:r>
          </w:p>
        </w:tc>
        <w:tc>
          <w:tcPr>
            <w:tcW w:w="6405" w:type="dxa"/>
            <w:vAlign w:val="center"/>
          </w:tcPr>
          <w:p w14:paraId="7E543EE3">
            <w:pPr>
              <w:pStyle w:val="85"/>
              <w:jc w:val="both"/>
              <w:rPr>
                <w:color w:val="auto"/>
                <w:sz w:val="22"/>
                <w:szCs w:val="22"/>
              </w:rPr>
            </w:pPr>
            <w:r>
              <w:rPr>
                <w:color w:val="auto"/>
                <w:sz w:val="22"/>
                <w:szCs w:val="22"/>
              </w:rPr>
              <w:t>Великая Отечественная война 1941 - 1945 гг: главные сражения</w:t>
            </w:r>
          </w:p>
        </w:tc>
        <w:tc>
          <w:tcPr>
            <w:tcW w:w="1473" w:type="dxa"/>
            <w:vAlign w:val="center"/>
          </w:tcPr>
          <w:p w14:paraId="356DB778">
            <w:pPr>
              <w:pStyle w:val="85"/>
              <w:rPr>
                <w:color w:val="auto"/>
                <w:sz w:val="22"/>
                <w:szCs w:val="22"/>
              </w:rPr>
            </w:pPr>
          </w:p>
        </w:tc>
      </w:tr>
      <w:tr w14:paraId="5DC587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91" w:type="dxa"/>
            <w:vAlign w:val="center"/>
          </w:tcPr>
          <w:p w14:paraId="0BDAF347">
            <w:pPr>
              <w:pStyle w:val="85"/>
              <w:rPr>
                <w:color w:val="auto"/>
                <w:sz w:val="22"/>
                <w:szCs w:val="22"/>
              </w:rPr>
            </w:pPr>
            <w:r>
              <w:rPr>
                <w:color w:val="auto"/>
                <w:sz w:val="22"/>
                <w:szCs w:val="22"/>
              </w:rPr>
              <w:t>Урок 25</w:t>
            </w:r>
          </w:p>
        </w:tc>
        <w:tc>
          <w:tcPr>
            <w:tcW w:w="6405" w:type="dxa"/>
            <w:vAlign w:val="center"/>
          </w:tcPr>
          <w:p w14:paraId="3B00BB85">
            <w:pPr>
              <w:pStyle w:val="85"/>
              <w:jc w:val="both"/>
              <w:rPr>
                <w:color w:val="auto"/>
                <w:sz w:val="22"/>
                <w:szCs w:val="22"/>
              </w:rPr>
            </w:pPr>
            <w:r>
              <w:rPr>
                <w:color w:val="auto"/>
                <w:sz w:val="22"/>
                <w:szCs w:val="22"/>
              </w:rPr>
              <w:t>Все для фронта - все для победы</w:t>
            </w:r>
          </w:p>
        </w:tc>
        <w:tc>
          <w:tcPr>
            <w:tcW w:w="1473" w:type="dxa"/>
            <w:vAlign w:val="center"/>
          </w:tcPr>
          <w:p w14:paraId="238D1EC8">
            <w:pPr>
              <w:pStyle w:val="85"/>
              <w:rPr>
                <w:color w:val="auto"/>
                <w:sz w:val="22"/>
                <w:szCs w:val="22"/>
              </w:rPr>
            </w:pPr>
          </w:p>
        </w:tc>
      </w:tr>
      <w:tr w14:paraId="62DCA7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91" w:type="dxa"/>
            <w:vAlign w:val="center"/>
          </w:tcPr>
          <w:p w14:paraId="04E01F7F">
            <w:pPr>
              <w:pStyle w:val="85"/>
              <w:rPr>
                <w:color w:val="auto"/>
                <w:sz w:val="22"/>
                <w:szCs w:val="22"/>
              </w:rPr>
            </w:pPr>
            <w:r>
              <w:rPr>
                <w:color w:val="auto"/>
                <w:sz w:val="22"/>
                <w:szCs w:val="22"/>
              </w:rPr>
              <w:t>Урок 26</w:t>
            </w:r>
          </w:p>
        </w:tc>
        <w:tc>
          <w:tcPr>
            <w:tcW w:w="6405" w:type="dxa"/>
            <w:vAlign w:val="center"/>
          </w:tcPr>
          <w:p w14:paraId="4E17459F">
            <w:pPr>
              <w:pStyle w:val="85"/>
              <w:jc w:val="both"/>
              <w:rPr>
                <w:color w:val="auto"/>
                <w:sz w:val="22"/>
                <w:szCs w:val="22"/>
              </w:rPr>
            </w:pPr>
            <w:r>
              <w:rPr>
                <w:color w:val="auto"/>
                <w:sz w:val="22"/>
                <w:szCs w:val="22"/>
              </w:rPr>
              <w:t>Взятие Берлина. Парад Победы</w:t>
            </w:r>
          </w:p>
        </w:tc>
        <w:tc>
          <w:tcPr>
            <w:tcW w:w="1473" w:type="dxa"/>
            <w:vAlign w:val="center"/>
          </w:tcPr>
          <w:p w14:paraId="7270A6F7">
            <w:pPr>
              <w:pStyle w:val="85"/>
              <w:rPr>
                <w:color w:val="auto"/>
                <w:sz w:val="22"/>
                <w:szCs w:val="22"/>
              </w:rPr>
            </w:pPr>
          </w:p>
        </w:tc>
      </w:tr>
      <w:tr w14:paraId="40BF01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91" w:type="dxa"/>
            <w:vAlign w:val="center"/>
          </w:tcPr>
          <w:p w14:paraId="60288B38">
            <w:pPr>
              <w:pStyle w:val="85"/>
              <w:rPr>
                <w:color w:val="auto"/>
                <w:sz w:val="22"/>
                <w:szCs w:val="22"/>
              </w:rPr>
            </w:pPr>
            <w:r>
              <w:rPr>
                <w:color w:val="auto"/>
                <w:sz w:val="22"/>
                <w:szCs w:val="22"/>
              </w:rPr>
              <w:t>Урок 27</w:t>
            </w:r>
          </w:p>
        </w:tc>
        <w:tc>
          <w:tcPr>
            <w:tcW w:w="6405" w:type="dxa"/>
            <w:vAlign w:val="center"/>
          </w:tcPr>
          <w:p w14:paraId="09649B74">
            <w:pPr>
              <w:pStyle w:val="85"/>
              <w:jc w:val="both"/>
              <w:rPr>
                <w:color w:val="auto"/>
                <w:sz w:val="22"/>
                <w:szCs w:val="22"/>
              </w:rPr>
            </w:pPr>
            <w:r>
              <w:rPr>
                <w:color w:val="auto"/>
                <w:sz w:val="22"/>
                <w:szCs w:val="22"/>
              </w:rPr>
              <w:t>Мы живем в Российской Федерации</w:t>
            </w:r>
          </w:p>
        </w:tc>
        <w:tc>
          <w:tcPr>
            <w:tcW w:w="1473" w:type="dxa"/>
            <w:vAlign w:val="center"/>
          </w:tcPr>
          <w:p w14:paraId="60E7D5FD">
            <w:pPr>
              <w:pStyle w:val="85"/>
              <w:rPr>
                <w:color w:val="auto"/>
                <w:sz w:val="22"/>
                <w:szCs w:val="22"/>
              </w:rPr>
            </w:pPr>
          </w:p>
        </w:tc>
      </w:tr>
      <w:tr w14:paraId="48BA14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91" w:type="dxa"/>
            <w:vAlign w:val="center"/>
          </w:tcPr>
          <w:p w14:paraId="34296365">
            <w:pPr>
              <w:pStyle w:val="85"/>
              <w:rPr>
                <w:color w:val="auto"/>
                <w:sz w:val="22"/>
                <w:szCs w:val="22"/>
              </w:rPr>
            </w:pPr>
            <w:r>
              <w:rPr>
                <w:color w:val="auto"/>
                <w:sz w:val="22"/>
                <w:szCs w:val="22"/>
              </w:rPr>
              <w:t>Урок 28</w:t>
            </w:r>
          </w:p>
        </w:tc>
        <w:tc>
          <w:tcPr>
            <w:tcW w:w="6405" w:type="dxa"/>
            <w:vAlign w:val="center"/>
          </w:tcPr>
          <w:p w14:paraId="2D7E8105">
            <w:pPr>
              <w:pStyle w:val="85"/>
              <w:jc w:val="both"/>
              <w:rPr>
                <w:color w:val="auto"/>
                <w:sz w:val="22"/>
                <w:szCs w:val="22"/>
              </w:rPr>
            </w:pPr>
            <w:r>
              <w:rPr>
                <w:color w:val="auto"/>
                <w:sz w:val="22"/>
                <w:szCs w:val="22"/>
              </w:rPr>
              <w:t>Человек - творец культурных ценностей</w:t>
            </w:r>
          </w:p>
        </w:tc>
        <w:tc>
          <w:tcPr>
            <w:tcW w:w="1473" w:type="dxa"/>
            <w:vAlign w:val="center"/>
          </w:tcPr>
          <w:p w14:paraId="6C59CD8D">
            <w:pPr>
              <w:pStyle w:val="85"/>
              <w:rPr>
                <w:color w:val="auto"/>
                <w:sz w:val="22"/>
                <w:szCs w:val="22"/>
              </w:rPr>
            </w:pPr>
          </w:p>
        </w:tc>
      </w:tr>
      <w:tr w14:paraId="64CA97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91" w:type="dxa"/>
            <w:vAlign w:val="center"/>
          </w:tcPr>
          <w:p w14:paraId="6CC65683">
            <w:pPr>
              <w:pStyle w:val="85"/>
              <w:rPr>
                <w:color w:val="auto"/>
                <w:sz w:val="22"/>
                <w:szCs w:val="22"/>
              </w:rPr>
            </w:pPr>
            <w:r>
              <w:rPr>
                <w:color w:val="auto"/>
                <w:sz w:val="22"/>
                <w:szCs w:val="22"/>
              </w:rPr>
              <w:t>Урок 29</w:t>
            </w:r>
          </w:p>
        </w:tc>
        <w:tc>
          <w:tcPr>
            <w:tcW w:w="6405" w:type="dxa"/>
            <w:vAlign w:val="center"/>
          </w:tcPr>
          <w:p w14:paraId="3D572295">
            <w:pPr>
              <w:pStyle w:val="85"/>
              <w:jc w:val="both"/>
              <w:rPr>
                <w:color w:val="auto"/>
                <w:sz w:val="22"/>
                <w:szCs w:val="22"/>
              </w:rPr>
            </w:pPr>
            <w:r>
              <w:rPr>
                <w:color w:val="auto"/>
                <w:sz w:val="22"/>
                <w:szCs w:val="22"/>
              </w:rPr>
              <w:t>Труд и быт людей в разные исторические времена</w:t>
            </w:r>
          </w:p>
        </w:tc>
        <w:tc>
          <w:tcPr>
            <w:tcW w:w="1473" w:type="dxa"/>
            <w:vAlign w:val="center"/>
          </w:tcPr>
          <w:p w14:paraId="069034F9">
            <w:pPr>
              <w:pStyle w:val="85"/>
              <w:rPr>
                <w:color w:val="auto"/>
                <w:sz w:val="22"/>
                <w:szCs w:val="22"/>
              </w:rPr>
            </w:pPr>
          </w:p>
        </w:tc>
      </w:tr>
      <w:tr w14:paraId="26AC36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91" w:type="dxa"/>
            <w:vAlign w:val="center"/>
          </w:tcPr>
          <w:p w14:paraId="56586104">
            <w:pPr>
              <w:pStyle w:val="85"/>
              <w:rPr>
                <w:color w:val="auto"/>
                <w:sz w:val="22"/>
                <w:szCs w:val="22"/>
              </w:rPr>
            </w:pPr>
            <w:r>
              <w:rPr>
                <w:color w:val="auto"/>
                <w:sz w:val="22"/>
                <w:szCs w:val="22"/>
              </w:rPr>
              <w:t>Урок 30</w:t>
            </w:r>
          </w:p>
        </w:tc>
        <w:tc>
          <w:tcPr>
            <w:tcW w:w="6405" w:type="dxa"/>
            <w:vAlign w:val="center"/>
          </w:tcPr>
          <w:p w14:paraId="064CF546">
            <w:pPr>
              <w:pStyle w:val="85"/>
              <w:jc w:val="both"/>
              <w:rPr>
                <w:color w:val="auto"/>
                <w:sz w:val="22"/>
                <w:szCs w:val="22"/>
              </w:rPr>
            </w:pPr>
            <w:r>
              <w:rPr>
                <w:color w:val="auto"/>
                <w:sz w:val="22"/>
                <w:szCs w:val="22"/>
              </w:rPr>
              <w:t>Всемирное культурное наследие России</w:t>
            </w:r>
          </w:p>
        </w:tc>
        <w:tc>
          <w:tcPr>
            <w:tcW w:w="1473" w:type="dxa"/>
            <w:vAlign w:val="center"/>
          </w:tcPr>
          <w:p w14:paraId="21DE5F3E">
            <w:pPr>
              <w:pStyle w:val="85"/>
              <w:rPr>
                <w:color w:val="auto"/>
                <w:sz w:val="22"/>
                <w:szCs w:val="22"/>
              </w:rPr>
            </w:pPr>
          </w:p>
        </w:tc>
      </w:tr>
      <w:tr w14:paraId="2D3D95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91" w:type="dxa"/>
            <w:vAlign w:val="center"/>
          </w:tcPr>
          <w:p w14:paraId="6954C451">
            <w:pPr>
              <w:pStyle w:val="85"/>
              <w:rPr>
                <w:color w:val="auto"/>
                <w:sz w:val="22"/>
                <w:szCs w:val="22"/>
              </w:rPr>
            </w:pPr>
            <w:r>
              <w:rPr>
                <w:color w:val="auto"/>
                <w:sz w:val="22"/>
                <w:szCs w:val="22"/>
              </w:rPr>
              <w:t>Урок 31</w:t>
            </w:r>
          </w:p>
        </w:tc>
        <w:tc>
          <w:tcPr>
            <w:tcW w:w="6405" w:type="dxa"/>
            <w:vAlign w:val="center"/>
          </w:tcPr>
          <w:p w14:paraId="49386C0F">
            <w:pPr>
              <w:pStyle w:val="85"/>
              <w:jc w:val="both"/>
              <w:rPr>
                <w:color w:val="auto"/>
                <w:sz w:val="22"/>
                <w:szCs w:val="22"/>
              </w:rPr>
            </w:pPr>
            <w:r>
              <w:rPr>
                <w:color w:val="auto"/>
                <w:sz w:val="22"/>
                <w:szCs w:val="22"/>
              </w:rPr>
              <w:t>Всемирное культурное наследие</w:t>
            </w:r>
          </w:p>
        </w:tc>
        <w:tc>
          <w:tcPr>
            <w:tcW w:w="1473" w:type="dxa"/>
            <w:vAlign w:val="center"/>
          </w:tcPr>
          <w:p w14:paraId="55CF1363">
            <w:pPr>
              <w:pStyle w:val="85"/>
              <w:rPr>
                <w:color w:val="auto"/>
                <w:sz w:val="22"/>
                <w:szCs w:val="22"/>
              </w:rPr>
            </w:pPr>
          </w:p>
        </w:tc>
      </w:tr>
      <w:tr w14:paraId="0F34F5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91" w:type="dxa"/>
            <w:vAlign w:val="center"/>
          </w:tcPr>
          <w:p w14:paraId="18D7D5B1">
            <w:pPr>
              <w:pStyle w:val="85"/>
              <w:rPr>
                <w:color w:val="auto"/>
                <w:sz w:val="22"/>
                <w:szCs w:val="22"/>
              </w:rPr>
            </w:pPr>
            <w:r>
              <w:rPr>
                <w:color w:val="auto"/>
                <w:sz w:val="22"/>
                <w:szCs w:val="22"/>
              </w:rPr>
              <w:t>Урок 32</w:t>
            </w:r>
          </w:p>
        </w:tc>
        <w:tc>
          <w:tcPr>
            <w:tcW w:w="6405" w:type="dxa"/>
            <w:vAlign w:val="center"/>
          </w:tcPr>
          <w:p w14:paraId="0FF18EB0">
            <w:pPr>
              <w:pStyle w:val="85"/>
              <w:jc w:val="both"/>
              <w:rPr>
                <w:color w:val="auto"/>
                <w:sz w:val="22"/>
                <w:szCs w:val="22"/>
              </w:rPr>
            </w:pPr>
            <w:r>
              <w:rPr>
                <w:color w:val="auto"/>
                <w:sz w:val="22"/>
                <w:szCs w:val="22"/>
              </w:rPr>
              <w:t>Охрана историко-культурного наследия</w:t>
            </w:r>
          </w:p>
        </w:tc>
        <w:tc>
          <w:tcPr>
            <w:tcW w:w="1473" w:type="dxa"/>
            <w:vAlign w:val="center"/>
          </w:tcPr>
          <w:p w14:paraId="2108A37B">
            <w:pPr>
              <w:pStyle w:val="85"/>
              <w:rPr>
                <w:color w:val="auto"/>
                <w:sz w:val="22"/>
                <w:szCs w:val="22"/>
              </w:rPr>
            </w:pPr>
          </w:p>
        </w:tc>
      </w:tr>
      <w:tr w14:paraId="1D7987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91" w:type="dxa"/>
            <w:vAlign w:val="center"/>
          </w:tcPr>
          <w:p w14:paraId="686B7D6D">
            <w:pPr>
              <w:pStyle w:val="85"/>
              <w:rPr>
                <w:color w:val="auto"/>
                <w:sz w:val="22"/>
                <w:szCs w:val="22"/>
              </w:rPr>
            </w:pPr>
            <w:r>
              <w:rPr>
                <w:color w:val="auto"/>
                <w:sz w:val="22"/>
                <w:szCs w:val="22"/>
              </w:rPr>
              <w:t>Урок 33</w:t>
            </w:r>
          </w:p>
        </w:tc>
        <w:tc>
          <w:tcPr>
            <w:tcW w:w="6405" w:type="dxa"/>
            <w:vAlign w:val="center"/>
          </w:tcPr>
          <w:p w14:paraId="68B55A0B">
            <w:pPr>
              <w:pStyle w:val="85"/>
              <w:jc w:val="both"/>
              <w:rPr>
                <w:color w:val="auto"/>
                <w:sz w:val="22"/>
                <w:szCs w:val="22"/>
              </w:rPr>
            </w:pPr>
            <w:r>
              <w:rPr>
                <w:color w:val="auto"/>
                <w:sz w:val="22"/>
                <w:szCs w:val="22"/>
              </w:rPr>
              <w:t>Взаимоотношения людей в обществе: доброта и гуманизм, справедливость и уважение</w:t>
            </w:r>
          </w:p>
        </w:tc>
        <w:tc>
          <w:tcPr>
            <w:tcW w:w="1473" w:type="dxa"/>
            <w:vAlign w:val="center"/>
          </w:tcPr>
          <w:p w14:paraId="660566E3">
            <w:pPr>
              <w:pStyle w:val="85"/>
              <w:rPr>
                <w:color w:val="auto"/>
                <w:sz w:val="22"/>
                <w:szCs w:val="22"/>
              </w:rPr>
            </w:pPr>
          </w:p>
        </w:tc>
      </w:tr>
      <w:tr w14:paraId="71D895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91" w:type="dxa"/>
            <w:vAlign w:val="center"/>
          </w:tcPr>
          <w:p w14:paraId="43B8F2C6">
            <w:pPr>
              <w:pStyle w:val="85"/>
              <w:rPr>
                <w:color w:val="auto"/>
                <w:sz w:val="22"/>
                <w:szCs w:val="22"/>
              </w:rPr>
            </w:pPr>
            <w:r>
              <w:rPr>
                <w:color w:val="auto"/>
                <w:sz w:val="22"/>
                <w:szCs w:val="22"/>
              </w:rPr>
              <w:t>Урок 34</w:t>
            </w:r>
          </w:p>
        </w:tc>
        <w:tc>
          <w:tcPr>
            <w:tcW w:w="6405" w:type="dxa"/>
            <w:vAlign w:val="center"/>
          </w:tcPr>
          <w:p w14:paraId="7EA779A8">
            <w:pPr>
              <w:pStyle w:val="85"/>
              <w:jc w:val="both"/>
              <w:rPr>
                <w:color w:val="auto"/>
                <w:sz w:val="22"/>
                <w:szCs w:val="22"/>
              </w:rPr>
            </w:pPr>
            <w:r>
              <w:rPr>
                <w:color w:val="auto"/>
                <w:sz w:val="22"/>
                <w:szCs w:val="22"/>
              </w:rPr>
              <w:t>Резервный урок. Летописи и летописцы. Роль монастырей в развитии образования народа</w:t>
            </w:r>
          </w:p>
        </w:tc>
        <w:tc>
          <w:tcPr>
            <w:tcW w:w="1473" w:type="dxa"/>
            <w:vAlign w:val="center"/>
          </w:tcPr>
          <w:p w14:paraId="5B3ACB76">
            <w:pPr>
              <w:pStyle w:val="85"/>
              <w:rPr>
                <w:color w:val="auto"/>
                <w:sz w:val="22"/>
                <w:szCs w:val="22"/>
              </w:rPr>
            </w:pPr>
          </w:p>
        </w:tc>
      </w:tr>
      <w:tr w14:paraId="19D901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91" w:type="dxa"/>
            <w:vAlign w:val="center"/>
          </w:tcPr>
          <w:p w14:paraId="4B48CB27">
            <w:pPr>
              <w:pStyle w:val="85"/>
              <w:rPr>
                <w:color w:val="auto"/>
                <w:sz w:val="22"/>
                <w:szCs w:val="22"/>
              </w:rPr>
            </w:pPr>
            <w:r>
              <w:rPr>
                <w:color w:val="auto"/>
                <w:sz w:val="22"/>
                <w:szCs w:val="22"/>
              </w:rPr>
              <w:t>Урок 35</w:t>
            </w:r>
          </w:p>
        </w:tc>
        <w:tc>
          <w:tcPr>
            <w:tcW w:w="6405" w:type="dxa"/>
            <w:vAlign w:val="center"/>
          </w:tcPr>
          <w:p w14:paraId="54184602">
            <w:pPr>
              <w:pStyle w:val="85"/>
              <w:jc w:val="both"/>
              <w:rPr>
                <w:color w:val="auto"/>
                <w:sz w:val="22"/>
                <w:szCs w:val="22"/>
              </w:rPr>
            </w:pPr>
            <w:r>
              <w:rPr>
                <w:color w:val="auto"/>
                <w:sz w:val="22"/>
                <w:szCs w:val="22"/>
              </w:rPr>
              <w:t>Резервный урок. Культура Московского государства. Творчество скоморохов и гусляров, первые "потешные хоромы", первый театр</w:t>
            </w:r>
          </w:p>
        </w:tc>
        <w:tc>
          <w:tcPr>
            <w:tcW w:w="1473" w:type="dxa"/>
            <w:vAlign w:val="center"/>
          </w:tcPr>
          <w:p w14:paraId="7522F954">
            <w:pPr>
              <w:pStyle w:val="85"/>
              <w:rPr>
                <w:color w:val="auto"/>
                <w:sz w:val="22"/>
                <w:szCs w:val="22"/>
              </w:rPr>
            </w:pPr>
          </w:p>
        </w:tc>
      </w:tr>
      <w:tr w14:paraId="753749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91" w:type="dxa"/>
            <w:vAlign w:val="center"/>
          </w:tcPr>
          <w:p w14:paraId="1968189D">
            <w:pPr>
              <w:pStyle w:val="85"/>
              <w:rPr>
                <w:color w:val="auto"/>
                <w:sz w:val="22"/>
                <w:szCs w:val="22"/>
              </w:rPr>
            </w:pPr>
            <w:r>
              <w:rPr>
                <w:color w:val="auto"/>
                <w:sz w:val="22"/>
                <w:szCs w:val="22"/>
              </w:rPr>
              <w:t>Урок 36</w:t>
            </w:r>
          </w:p>
        </w:tc>
        <w:tc>
          <w:tcPr>
            <w:tcW w:w="6405" w:type="dxa"/>
            <w:vAlign w:val="center"/>
          </w:tcPr>
          <w:p w14:paraId="4D4950F3">
            <w:pPr>
              <w:pStyle w:val="85"/>
              <w:jc w:val="both"/>
              <w:rPr>
                <w:color w:val="auto"/>
                <w:sz w:val="22"/>
                <w:szCs w:val="22"/>
              </w:rPr>
            </w:pPr>
            <w:r>
              <w:rPr>
                <w:color w:val="auto"/>
                <w:sz w:val="22"/>
                <w:szCs w:val="22"/>
              </w:rPr>
              <w:t>Резервный урок. Повторение по теме "История Отечества"</w:t>
            </w:r>
          </w:p>
        </w:tc>
        <w:tc>
          <w:tcPr>
            <w:tcW w:w="1473" w:type="dxa"/>
            <w:vAlign w:val="center"/>
          </w:tcPr>
          <w:p w14:paraId="3CAFB4FB">
            <w:pPr>
              <w:pStyle w:val="85"/>
              <w:rPr>
                <w:color w:val="auto"/>
                <w:sz w:val="22"/>
                <w:szCs w:val="22"/>
              </w:rPr>
            </w:pPr>
          </w:p>
        </w:tc>
      </w:tr>
      <w:tr w14:paraId="629E46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91" w:type="dxa"/>
            <w:vAlign w:val="center"/>
          </w:tcPr>
          <w:p w14:paraId="1B5A27E5">
            <w:pPr>
              <w:pStyle w:val="85"/>
              <w:rPr>
                <w:color w:val="auto"/>
                <w:sz w:val="22"/>
                <w:szCs w:val="22"/>
              </w:rPr>
            </w:pPr>
            <w:r>
              <w:rPr>
                <w:color w:val="auto"/>
                <w:sz w:val="22"/>
                <w:szCs w:val="22"/>
              </w:rPr>
              <w:t>Урок 37</w:t>
            </w:r>
          </w:p>
        </w:tc>
        <w:tc>
          <w:tcPr>
            <w:tcW w:w="6405" w:type="dxa"/>
            <w:vAlign w:val="center"/>
          </w:tcPr>
          <w:p w14:paraId="4CDE0F33">
            <w:pPr>
              <w:pStyle w:val="85"/>
              <w:jc w:val="both"/>
              <w:rPr>
                <w:color w:val="auto"/>
                <w:sz w:val="22"/>
                <w:szCs w:val="22"/>
              </w:rPr>
            </w:pPr>
            <w:r>
              <w:rPr>
                <w:color w:val="auto"/>
                <w:sz w:val="22"/>
                <w:szCs w:val="22"/>
              </w:rPr>
              <w:t>Как человек изучает окружающую природу?</w:t>
            </w:r>
          </w:p>
        </w:tc>
        <w:tc>
          <w:tcPr>
            <w:tcW w:w="1473" w:type="dxa"/>
            <w:vAlign w:val="center"/>
          </w:tcPr>
          <w:p w14:paraId="45A17F38">
            <w:pPr>
              <w:pStyle w:val="85"/>
              <w:jc w:val="center"/>
              <w:rPr>
                <w:color w:val="auto"/>
                <w:sz w:val="22"/>
                <w:szCs w:val="22"/>
              </w:rPr>
            </w:pPr>
            <w:r>
              <w:rPr>
                <w:color w:val="auto"/>
                <w:sz w:val="22"/>
                <w:szCs w:val="22"/>
              </w:rPr>
              <w:t>1</w:t>
            </w:r>
          </w:p>
        </w:tc>
      </w:tr>
      <w:tr w14:paraId="53E813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91" w:type="dxa"/>
            <w:vAlign w:val="center"/>
          </w:tcPr>
          <w:p w14:paraId="59EEBF79">
            <w:pPr>
              <w:pStyle w:val="85"/>
              <w:rPr>
                <w:color w:val="auto"/>
                <w:sz w:val="22"/>
                <w:szCs w:val="22"/>
              </w:rPr>
            </w:pPr>
            <w:r>
              <w:rPr>
                <w:color w:val="auto"/>
                <w:sz w:val="22"/>
                <w:szCs w:val="22"/>
              </w:rPr>
              <w:t>Урок 38</w:t>
            </w:r>
          </w:p>
        </w:tc>
        <w:tc>
          <w:tcPr>
            <w:tcW w:w="6405" w:type="dxa"/>
            <w:vAlign w:val="center"/>
          </w:tcPr>
          <w:p w14:paraId="51CB57BA">
            <w:pPr>
              <w:pStyle w:val="85"/>
              <w:jc w:val="both"/>
              <w:rPr>
                <w:color w:val="auto"/>
                <w:sz w:val="22"/>
                <w:szCs w:val="22"/>
              </w:rPr>
            </w:pPr>
            <w:r>
              <w:rPr>
                <w:color w:val="auto"/>
                <w:sz w:val="22"/>
                <w:szCs w:val="22"/>
              </w:rPr>
              <w:t>Солнце - звезда</w:t>
            </w:r>
          </w:p>
        </w:tc>
        <w:tc>
          <w:tcPr>
            <w:tcW w:w="1473" w:type="dxa"/>
            <w:vAlign w:val="center"/>
          </w:tcPr>
          <w:p w14:paraId="55071A9A">
            <w:pPr>
              <w:pStyle w:val="85"/>
              <w:jc w:val="center"/>
              <w:rPr>
                <w:color w:val="auto"/>
                <w:sz w:val="22"/>
                <w:szCs w:val="22"/>
              </w:rPr>
            </w:pPr>
            <w:r>
              <w:rPr>
                <w:color w:val="auto"/>
                <w:sz w:val="22"/>
                <w:szCs w:val="22"/>
              </w:rPr>
              <w:t>1</w:t>
            </w:r>
          </w:p>
        </w:tc>
      </w:tr>
      <w:tr w14:paraId="766640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91" w:type="dxa"/>
            <w:vAlign w:val="center"/>
          </w:tcPr>
          <w:p w14:paraId="7F70A1E1">
            <w:pPr>
              <w:pStyle w:val="85"/>
              <w:rPr>
                <w:color w:val="auto"/>
                <w:sz w:val="22"/>
                <w:szCs w:val="22"/>
              </w:rPr>
            </w:pPr>
            <w:r>
              <w:rPr>
                <w:color w:val="auto"/>
                <w:sz w:val="22"/>
                <w:szCs w:val="22"/>
              </w:rPr>
              <w:t>Урок 39</w:t>
            </w:r>
          </w:p>
        </w:tc>
        <w:tc>
          <w:tcPr>
            <w:tcW w:w="6405" w:type="dxa"/>
            <w:vAlign w:val="center"/>
          </w:tcPr>
          <w:p w14:paraId="0798B02D">
            <w:pPr>
              <w:pStyle w:val="85"/>
              <w:jc w:val="both"/>
              <w:rPr>
                <w:color w:val="auto"/>
                <w:sz w:val="22"/>
                <w:szCs w:val="22"/>
              </w:rPr>
            </w:pPr>
            <w:r>
              <w:rPr>
                <w:color w:val="auto"/>
                <w:sz w:val="22"/>
                <w:szCs w:val="22"/>
              </w:rPr>
              <w:t>Планеты Солнечной системы Луна - спутник Земли</w:t>
            </w:r>
          </w:p>
        </w:tc>
        <w:tc>
          <w:tcPr>
            <w:tcW w:w="1473" w:type="dxa"/>
            <w:vAlign w:val="center"/>
          </w:tcPr>
          <w:p w14:paraId="1B49C3A2">
            <w:pPr>
              <w:pStyle w:val="85"/>
              <w:rPr>
                <w:color w:val="auto"/>
                <w:sz w:val="22"/>
                <w:szCs w:val="22"/>
              </w:rPr>
            </w:pPr>
          </w:p>
        </w:tc>
      </w:tr>
      <w:tr w14:paraId="4AA227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91" w:type="dxa"/>
            <w:vAlign w:val="center"/>
          </w:tcPr>
          <w:p w14:paraId="2A8613F5">
            <w:pPr>
              <w:pStyle w:val="85"/>
              <w:rPr>
                <w:color w:val="auto"/>
                <w:sz w:val="22"/>
                <w:szCs w:val="22"/>
              </w:rPr>
            </w:pPr>
            <w:r>
              <w:rPr>
                <w:color w:val="auto"/>
                <w:sz w:val="22"/>
                <w:szCs w:val="22"/>
              </w:rPr>
              <w:t>Урок 40</w:t>
            </w:r>
          </w:p>
        </w:tc>
        <w:tc>
          <w:tcPr>
            <w:tcW w:w="6405" w:type="dxa"/>
            <w:vAlign w:val="center"/>
          </w:tcPr>
          <w:p w14:paraId="6FE46043">
            <w:pPr>
              <w:pStyle w:val="85"/>
              <w:jc w:val="both"/>
              <w:rPr>
                <w:color w:val="auto"/>
                <w:sz w:val="22"/>
                <w:szCs w:val="22"/>
              </w:rPr>
            </w:pPr>
            <w:r>
              <w:rPr>
                <w:color w:val="auto"/>
                <w:sz w:val="22"/>
                <w:szCs w:val="22"/>
              </w:rPr>
              <w:t>Смена дня и ночи на Земле как результат вращения планеты вокруг своей оси (практические работы с моделями и схемами)</w:t>
            </w:r>
          </w:p>
        </w:tc>
        <w:tc>
          <w:tcPr>
            <w:tcW w:w="1473" w:type="dxa"/>
            <w:vAlign w:val="center"/>
          </w:tcPr>
          <w:p w14:paraId="6E1AEF4B">
            <w:pPr>
              <w:pStyle w:val="85"/>
              <w:rPr>
                <w:color w:val="auto"/>
                <w:sz w:val="22"/>
                <w:szCs w:val="22"/>
              </w:rPr>
            </w:pPr>
          </w:p>
        </w:tc>
      </w:tr>
      <w:tr w14:paraId="1531E5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91" w:type="dxa"/>
            <w:vAlign w:val="center"/>
          </w:tcPr>
          <w:p w14:paraId="64353076">
            <w:pPr>
              <w:pStyle w:val="85"/>
              <w:rPr>
                <w:color w:val="auto"/>
                <w:sz w:val="22"/>
                <w:szCs w:val="22"/>
              </w:rPr>
            </w:pPr>
            <w:r>
              <w:rPr>
                <w:color w:val="auto"/>
                <w:sz w:val="22"/>
                <w:szCs w:val="22"/>
              </w:rPr>
              <w:t>Урок 41</w:t>
            </w:r>
          </w:p>
        </w:tc>
        <w:tc>
          <w:tcPr>
            <w:tcW w:w="6405" w:type="dxa"/>
            <w:vAlign w:val="center"/>
          </w:tcPr>
          <w:p w14:paraId="20CEF677">
            <w:pPr>
              <w:pStyle w:val="85"/>
              <w:jc w:val="both"/>
              <w:rPr>
                <w:color w:val="auto"/>
                <w:sz w:val="22"/>
                <w:szCs w:val="22"/>
              </w:rPr>
            </w:pPr>
            <w:r>
              <w:rPr>
                <w:color w:val="auto"/>
                <w:sz w:val="22"/>
                <w:szCs w:val="22"/>
              </w:rPr>
              <w:t>Обращение Земли вокруг Солнца как причина смены сезонов (практические работы с моделями и схемами). Общая характеристика времен года</w:t>
            </w:r>
          </w:p>
        </w:tc>
        <w:tc>
          <w:tcPr>
            <w:tcW w:w="1473" w:type="dxa"/>
            <w:vAlign w:val="center"/>
          </w:tcPr>
          <w:p w14:paraId="1C24CF7E">
            <w:pPr>
              <w:pStyle w:val="85"/>
              <w:rPr>
                <w:color w:val="auto"/>
                <w:sz w:val="22"/>
                <w:szCs w:val="22"/>
              </w:rPr>
            </w:pPr>
          </w:p>
        </w:tc>
      </w:tr>
      <w:tr w14:paraId="5C6D8F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91" w:type="dxa"/>
            <w:vAlign w:val="center"/>
          </w:tcPr>
          <w:p w14:paraId="11DB0BD4">
            <w:pPr>
              <w:pStyle w:val="85"/>
              <w:rPr>
                <w:color w:val="auto"/>
                <w:sz w:val="22"/>
                <w:szCs w:val="22"/>
              </w:rPr>
            </w:pPr>
            <w:r>
              <w:rPr>
                <w:color w:val="auto"/>
                <w:sz w:val="22"/>
                <w:szCs w:val="22"/>
              </w:rPr>
              <w:t>Урок 42</w:t>
            </w:r>
          </w:p>
        </w:tc>
        <w:tc>
          <w:tcPr>
            <w:tcW w:w="6405" w:type="dxa"/>
            <w:vAlign w:val="center"/>
          </w:tcPr>
          <w:p w14:paraId="27C4C582">
            <w:pPr>
              <w:pStyle w:val="85"/>
              <w:jc w:val="both"/>
              <w:rPr>
                <w:color w:val="auto"/>
                <w:sz w:val="22"/>
                <w:szCs w:val="22"/>
              </w:rPr>
            </w:pPr>
            <w:r>
              <w:rPr>
                <w:color w:val="auto"/>
                <w:sz w:val="22"/>
                <w:szCs w:val="22"/>
              </w:rPr>
              <w:t>Равнины России: Восточно-Европейская, Западно-Сибирская (название, общая характеристика, нахождение на карте)</w:t>
            </w:r>
          </w:p>
        </w:tc>
        <w:tc>
          <w:tcPr>
            <w:tcW w:w="1473" w:type="dxa"/>
            <w:vAlign w:val="center"/>
          </w:tcPr>
          <w:p w14:paraId="3CCD5745">
            <w:pPr>
              <w:pStyle w:val="85"/>
              <w:rPr>
                <w:color w:val="auto"/>
                <w:sz w:val="22"/>
                <w:szCs w:val="22"/>
              </w:rPr>
            </w:pPr>
          </w:p>
        </w:tc>
      </w:tr>
      <w:tr w14:paraId="1FEA42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91" w:type="dxa"/>
            <w:vAlign w:val="center"/>
          </w:tcPr>
          <w:p w14:paraId="34B17D7A">
            <w:pPr>
              <w:pStyle w:val="85"/>
              <w:rPr>
                <w:color w:val="auto"/>
                <w:sz w:val="22"/>
                <w:szCs w:val="22"/>
              </w:rPr>
            </w:pPr>
            <w:r>
              <w:rPr>
                <w:color w:val="auto"/>
                <w:sz w:val="22"/>
                <w:szCs w:val="22"/>
              </w:rPr>
              <w:t>Урок 43</w:t>
            </w:r>
          </w:p>
        </w:tc>
        <w:tc>
          <w:tcPr>
            <w:tcW w:w="6405" w:type="dxa"/>
            <w:vAlign w:val="center"/>
          </w:tcPr>
          <w:p w14:paraId="62AD5E1F">
            <w:pPr>
              <w:pStyle w:val="85"/>
              <w:jc w:val="both"/>
              <w:rPr>
                <w:color w:val="auto"/>
                <w:sz w:val="22"/>
                <w:szCs w:val="22"/>
              </w:rPr>
            </w:pPr>
            <w:r>
              <w:rPr>
                <w:color w:val="auto"/>
                <w:sz w:val="22"/>
                <w:szCs w:val="22"/>
              </w:rPr>
              <w:t>Горные системы России: Урал, Кавказ, Алтай (краткая характеристика, главные вершины, место нахождения на карте)</w:t>
            </w:r>
          </w:p>
        </w:tc>
        <w:tc>
          <w:tcPr>
            <w:tcW w:w="1473" w:type="dxa"/>
            <w:vAlign w:val="center"/>
          </w:tcPr>
          <w:p w14:paraId="668434B4">
            <w:pPr>
              <w:pStyle w:val="85"/>
              <w:rPr>
                <w:color w:val="auto"/>
                <w:sz w:val="22"/>
                <w:szCs w:val="22"/>
              </w:rPr>
            </w:pPr>
          </w:p>
        </w:tc>
      </w:tr>
      <w:tr w14:paraId="551E2A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91" w:type="dxa"/>
            <w:vAlign w:val="center"/>
          </w:tcPr>
          <w:p w14:paraId="2770AB45">
            <w:pPr>
              <w:pStyle w:val="85"/>
              <w:rPr>
                <w:color w:val="auto"/>
                <w:sz w:val="22"/>
                <w:szCs w:val="22"/>
              </w:rPr>
            </w:pPr>
            <w:r>
              <w:rPr>
                <w:color w:val="auto"/>
                <w:sz w:val="22"/>
                <w:szCs w:val="22"/>
              </w:rPr>
              <w:t>Урок 44</w:t>
            </w:r>
          </w:p>
        </w:tc>
        <w:tc>
          <w:tcPr>
            <w:tcW w:w="6405" w:type="dxa"/>
            <w:vAlign w:val="center"/>
          </w:tcPr>
          <w:p w14:paraId="427E8ECA">
            <w:pPr>
              <w:pStyle w:val="85"/>
              <w:jc w:val="both"/>
              <w:rPr>
                <w:color w:val="auto"/>
                <w:sz w:val="22"/>
                <w:szCs w:val="22"/>
              </w:rPr>
            </w:pPr>
            <w:r>
              <w:rPr>
                <w:color w:val="auto"/>
                <w:sz w:val="22"/>
                <w:szCs w:val="22"/>
              </w:rPr>
              <w:t>Формы земной поверхности (на примере родного края)</w:t>
            </w:r>
          </w:p>
        </w:tc>
        <w:tc>
          <w:tcPr>
            <w:tcW w:w="1473" w:type="dxa"/>
            <w:vAlign w:val="center"/>
          </w:tcPr>
          <w:p w14:paraId="0DB6C96B">
            <w:pPr>
              <w:pStyle w:val="85"/>
              <w:rPr>
                <w:color w:val="auto"/>
                <w:sz w:val="22"/>
                <w:szCs w:val="22"/>
              </w:rPr>
            </w:pPr>
          </w:p>
        </w:tc>
      </w:tr>
      <w:tr w14:paraId="5FF73D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91" w:type="dxa"/>
            <w:vAlign w:val="center"/>
          </w:tcPr>
          <w:p w14:paraId="37223B68">
            <w:pPr>
              <w:pStyle w:val="85"/>
              <w:rPr>
                <w:color w:val="auto"/>
                <w:sz w:val="22"/>
                <w:szCs w:val="22"/>
              </w:rPr>
            </w:pPr>
            <w:r>
              <w:rPr>
                <w:color w:val="auto"/>
                <w:sz w:val="22"/>
                <w:szCs w:val="22"/>
              </w:rPr>
              <w:t>Урок 45</w:t>
            </w:r>
          </w:p>
        </w:tc>
        <w:tc>
          <w:tcPr>
            <w:tcW w:w="6405" w:type="dxa"/>
            <w:vAlign w:val="center"/>
          </w:tcPr>
          <w:p w14:paraId="68F5FFF8">
            <w:pPr>
              <w:pStyle w:val="85"/>
              <w:jc w:val="both"/>
              <w:rPr>
                <w:color w:val="auto"/>
                <w:sz w:val="22"/>
                <w:szCs w:val="22"/>
              </w:rPr>
            </w:pPr>
            <w:r>
              <w:rPr>
                <w:color w:val="auto"/>
                <w:sz w:val="22"/>
                <w:szCs w:val="22"/>
              </w:rPr>
              <w:t>Водоемы Земли, их разнообразие. Естественные водоемы: океан, море, озеро, болото. Примеры водоемов в России</w:t>
            </w:r>
          </w:p>
        </w:tc>
        <w:tc>
          <w:tcPr>
            <w:tcW w:w="1473" w:type="dxa"/>
            <w:vAlign w:val="center"/>
          </w:tcPr>
          <w:p w14:paraId="779836CB">
            <w:pPr>
              <w:pStyle w:val="85"/>
              <w:rPr>
                <w:color w:val="auto"/>
                <w:sz w:val="22"/>
                <w:szCs w:val="22"/>
              </w:rPr>
            </w:pPr>
          </w:p>
        </w:tc>
      </w:tr>
      <w:tr w14:paraId="282FB5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91" w:type="dxa"/>
            <w:vAlign w:val="center"/>
          </w:tcPr>
          <w:p w14:paraId="5062E69D">
            <w:pPr>
              <w:pStyle w:val="85"/>
              <w:rPr>
                <w:color w:val="auto"/>
                <w:sz w:val="22"/>
                <w:szCs w:val="22"/>
              </w:rPr>
            </w:pPr>
            <w:r>
              <w:rPr>
                <w:color w:val="auto"/>
                <w:sz w:val="22"/>
                <w:szCs w:val="22"/>
              </w:rPr>
              <w:t>Урок 46</w:t>
            </w:r>
          </w:p>
        </w:tc>
        <w:tc>
          <w:tcPr>
            <w:tcW w:w="6405" w:type="dxa"/>
            <w:vAlign w:val="center"/>
          </w:tcPr>
          <w:p w14:paraId="74E7F7A6">
            <w:pPr>
              <w:pStyle w:val="85"/>
              <w:jc w:val="both"/>
              <w:rPr>
                <w:color w:val="auto"/>
                <w:sz w:val="22"/>
                <w:szCs w:val="22"/>
              </w:rPr>
            </w:pPr>
            <w:r>
              <w:rPr>
                <w:color w:val="auto"/>
                <w:sz w:val="22"/>
                <w:szCs w:val="22"/>
              </w:rPr>
              <w:t>Искусственные водоемы: водохранилища, пруды (общая характеристика)</w:t>
            </w:r>
          </w:p>
        </w:tc>
        <w:tc>
          <w:tcPr>
            <w:tcW w:w="1473" w:type="dxa"/>
            <w:vAlign w:val="center"/>
          </w:tcPr>
          <w:p w14:paraId="64640E0B">
            <w:pPr>
              <w:pStyle w:val="85"/>
              <w:rPr>
                <w:color w:val="auto"/>
                <w:sz w:val="22"/>
                <w:szCs w:val="22"/>
              </w:rPr>
            </w:pPr>
          </w:p>
        </w:tc>
      </w:tr>
      <w:tr w14:paraId="7E9B54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91" w:type="dxa"/>
            <w:vAlign w:val="center"/>
          </w:tcPr>
          <w:p w14:paraId="7BF14686">
            <w:pPr>
              <w:pStyle w:val="85"/>
              <w:rPr>
                <w:color w:val="auto"/>
                <w:sz w:val="22"/>
                <w:szCs w:val="22"/>
              </w:rPr>
            </w:pPr>
            <w:r>
              <w:rPr>
                <w:color w:val="auto"/>
                <w:sz w:val="22"/>
                <w:szCs w:val="22"/>
              </w:rPr>
              <w:t>Урок 47</w:t>
            </w:r>
          </w:p>
        </w:tc>
        <w:tc>
          <w:tcPr>
            <w:tcW w:w="6405" w:type="dxa"/>
            <w:vAlign w:val="center"/>
          </w:tcPr>
          <w:p w14:paraId="7FB19D65">
            <w:pPr>
              <w:pStyle w:val="85"/>
              <w:jc w:val="both"/>
              <w:rPr>
                <w:color w:val="auto"/>
                <w:sz w:val="22"/>
                <w:szCs w:val="22"/>
              </w:rPr>
            </w:pPr>
            <w:r>
              <w:rPr>
                <w:color w:val="auto"/>
                <w:sz w:val="22"/>
                <w:szCs w:val="22"/>
              </w:rPr>
              <w:t>Река как водный поток</w:t>
            </w:r>
          </w:p>
        </w:tc>
        <w:tc>
          <w:tcPr>
            <w:tcW w:w="1473" w:type="dxa"/>
            <w:vAlign w:val="center"/>
          </w:tcPr>
          <w:p w14:paraId="6BF11473">
            <w:pPr>
              <w:pStyle w:val="85"/>
              <w:rPr>
                <w:color w:val="auto"/>
                <w:sz w:val="22"/>
                <w:szCs w:val="22"/>
              </w:rPr>
            </w:pPr>
          </w:p>
        </w:tc>
      </w:tr>
      <w:tr w14:paraId="3CD663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91" w:type="dxa"/>
            <w:vAlign w:val="center"/>
          </w:tcPr>
          <w:p w14:paraId="23341DDB">
            <w:pPr>
              <w:pStyle w:val="85"/>
              <w:rPr>
                <w:color w:val="auto"/>
                <w:sz w:val="22"/>
                <w:szCs w:val="22"/>
              </w:rPr>
            </w:pPr>
            <w:r>
              <w:rPr>
                <w:color w:val="auto"/>
                <w:sz w:val="22"/>
                <w:szCs w:val="22"/>
              </w:rPr>
              <w:t>Урок 48</w:t>
            </w:r>
          </w:p>
        </w:tc>
        <w:tc>
          <w:tcPr>
            <w:tcW w:w="6405" w:type="dxa"/>
            <w:vAlign w:val="center"/>
          </w:tcPr>
          <w:p w14:paraId="30F69791">
            <w:pPr>
              <w:pStyle w:val="85"/>
              <w:jc w:val="both"/>
              <w:rPr>
                <w:color w:val="auto"/>
                <w:sz w:val="22"/>
                <w:szCs w:val="22"/>
              </w:rPr>
            </w:pPr>
            <w:r>
              <w:rPr>
                <w:color w:val="auto"/>
                <w:sz w:val="22"/>
                <w:szCs w:val="22"/>
              </w:rPr>
              <w:t>Крупнейшие реки России: название, нахождение на карте</w:t>
            </w:r>
          </w:p>
        </w:tc>
        <w:tc>
          <w:tcPr>
            <w:tcW w:w="1473" w:type="dxa"/>
            <w:vAlign w:val="center"/>
          </w:tcPr>
          <w:p w14:paraId="55DE907F">
            <w:pPr>
              <w:pStyle w:val="85"/>
              <w:rPr>
                <w:color w:val="auto"/>
                <w:sz w:val="22"/>
                <w:szCs w:val="22"/>
              </w:rPr>
            </w:pPr>
          </w:p>
        </w:tc>
      </w:tr>
      <w:tr w14:paraId="6E251E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91" w:type="dxa"/>
            <w:vAlign w:val="center"/>
          </w:tcPr>
          <w:p w14:paraId="07CC22B3">
            <w:pPr>
              <w:pStyle w:val="85"/>
              <w:rPr>
                <w:color w:val="auto"/>
                <w:sz w:val="22"/>
                <w:szCs w:val="22"/>
              </w:rPr>
            </w:pPr>
            <w:r>
              <w:rPr>
                <w:color w:val="auto"/>
                <w:sz w:val="22"/>
                <w:szCs w:val="22"/>
              </w:rPr>
              <w:t>Урок 49</w:t>
            </w:r>
          </w:p>
        </w:tc>
        <w:tc>
          <w:tcPr>
            <w:tcW w:w="6405" w:type="dxa"/>
            <w:vAlign w:val="center"/>
          </w:tcPr>
          <w:p w14:paraId="072B6A6D">
            <w:pPr>
              <w:pStyle w:val="85"/>
              <w:jc w:val="both"/>
              <w:rPr>
                <w:color w:val="auto"/>
                <w:sz w:val="22"/>
                <w:szCs w:val="22"/>
              </w:rPr>
            </w:pPr>
            <w:r>
              <w:rPr>
                <w:color w:val="auto"/>
                <w:sz w:val="22"/>
                <w:szCs w:val="22"/>
              </w:rPr>
              <w:t>Водоемы и реки родного края</w:t>
            </w:r>
          </w:p>
        </w:tc>
        <w:tc>
          <w:tcPr>
            <w:tcW w:w="1473" w:type="dxa"/>
            <w:vAlign w:val="center"/>
          </w:tcPr>
          <w:p w14:paraId="7A7138FF">
            <w:pPr>
              <w:pStyle w:val="85"/>
              <w:rPr>
                <w:color w:val="auto"/>
                <w:sz w:val="22"/>
                <w:szCs w:val="22"/>
              </w:rPr>
            </w:pPr>
          </w:p>
        </w:tc>
      </w:tr>
      <w:tr w14:paraId="327C05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91" w:type="dxa"/>
            <w:vAlign w:val="center"/>
          </w:tcPr>
          <w:p w14:paraId="19C27EC7">
            <w:pPr>
              <w:pStyle w:val="85"/>
              <w:rPr>
                <w:color w:val="auto"/>
                <w:sz w:val="22"/>
                <w:szCs w:val="22"/>
              </w:rPr>
            </w:pPr>
            <w:r>
              <w:rPr>
                <w:color w:val="auto"/>
                <w:sz w:val="22"/>
                <w:szCs w:val="22"/>
              </w:rPr>
              <w:t>Урок 50</w:t>
            </w:r>
          </w:p>
        </w:tc>
        <w:tc>
          <w:tcPr>
            <w:tcW w:w="6405" w:type="dxa"/>
            <w:vAlign w:val="center"/>
          </w:tcPr>
          <w:p w14:paraId="6BEC981A">
            <w:pPr>
              <w:pStyle w:val="85"/>
              <w:jc w:val="both"/>
              <w:rPr>
                <w:color w:val="auto"/>
                <w:sz w:val="22"/>
                <w:szCs w:val="22"/>
              </w:rPr>
            </w:pPr>
            <w:r>
              <w:rPr>
                <w:color w:val="auto"/>
                <w:sz w:val="22"/>
                <w:szCs w:val="22"/>
              </w:rPr>
              <w:t>Использование рек и водоемов человеком (хозяйственная деятельность, отдых). Охрана рек и водоемов</w:t>
            </w:r>
          </w:p>
        </w:tc>
        <w:tc>
          <w:tcPr>
            <w:tcW w:w="1473" w:type="dxa"/>
            <w:vAlign w:val="center"/>
          </w:tcPr>
          <w:p w14:paraId="1460B7D0">
            <w:pPr>
              <w:pStyle w:val="85"/>
              <w:rPr>
                <w:color w:val="auto"/>
                <w:sz w:val="22"/>
                <w:szCs w:val="22"/>
              </w:rPr>
            </w:pPr>
          </w:p>
        </w:tc>
      </w:tr>
      <w:tr w14:paraId="10F2E6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91" w:type="dxa"/>
            <w:vAlign w:val="center"/>
          </w:tcPr>
          <w:p w14:paraId="286E59F3">
            <w:pPr>
              <w:pStyle w:val="85"/>
              <w:rPr>
                <w:color w:val="auto"/>
                <w:sz w:val="22"/>
                <w:szCs w:val="22"/>
              </w:rPr>
            </w:pPr>
            <w:r>
              <w:rPr>
                <w:color w:val="auto"/>
                <w:sz w:val="22"/>
                <w:szCs w:val="22"/>
              </w:rPr>
              <w:t>Урок 51</w:t>
            </w:r>
          </w:p>
        </w:tc>
        <w:tc>
          <w:tcPr>
            <w:tcW w:w="6405" w:type="dxa"/>
            <w:vAlign w:val="center"/>
          </w:tcPr>
          <w:p w14:paraId="768B9C4E">
            <w:pPr>
              <w:pStyle w:val="85"/>
              <w:jc w:val="both"/>
              <w:rPr>
                <w:color w:val="auto"/>
                <w:sz w:val="22"/>
                <w:szCs w:val="22"/>
              </w:rPr>
            </w:pPr>
            <w:r>
              <w:rPr>
                <w:color w:val="auto"/>
                <w:sz w:val="22"/>
                <w:szCs w:val="22"/>
              </w:rPr>
              <w:t>Характеристика природных зон России: арктическая пустыня. Связи в природной зоне</w:t>
            </w:r>
          </w:p>
        </w:tc>
        <w:tc>
          <w:tcPr>
            <w:tcW w:w="1473" w:type="dxa"/>
            <w:vAlign w:val="center"/>
          </w:tcPr>
          <w:p w14:paraId="48E9DDF6">
            <w:pPr>
              <w:pStyle w:val="85"/>
              <w:rPr>
                <w:color w:val="auto"/>
                <w:sz w:val="22"/>
                <w:szCs w:val="22"/>
              </w:rPr>
            </w:pPr>
          </w:p>
        </w:tc>
      </w:tr>
      <w:tr w14:paraId="571F5F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91" w:type="dxa"/>
            <w:vAlign w:val="center"/>
          </w:tcPr>
          <w:p w14:paraId="2FCE6A7F">
            <w:pPr>
              <w:pStyle w:val="85"/>
              <w:rPr>
                <w:color w:val="auto"/>
                <w:sz w:val="22"/>
                <w:szCs w:val="22"/>
              </w:rPr>
            </w:pPr>
            <w:r>
              <w:rPr>
                <w:color w:val="auto"/>
                <w:sz w:val="22"/>
                <w:szCs w:val="22"/>
              </w:rPr>
              <w:t>Урок 52</w:t>
            </w:r>
          </w:p>
        </w:tc>
        <w:tc>
          <w:tcPr>
            <w:tcW w:w="6405" w:type="dxa"/>
            <w:vAlign w:val="center"/>
          </w:tcPr>
          <w:p w14:paraId="0779BAE4">
            <w:pPr>
              <w:pStyle w:val="85"/>
              <w:jc w:val="both"/>
              <w:rPr>
                <w:color w:val="auto"/>
                <w:sz w:val="22"/>
                <w:szCs w:val="22"/>
              </w:rPr>
            </w:pPr>
            <w:r>
              <w:rPr>
                <w:color w:val="auto"/>
                <w:sz w:val="22"/>
                <w:szCs w:val="22"/>
              </w:rPr>
              <w:t>Характеристика природных зон России: тундра. Связи в природной зоне</w:t>
            </w:r>
          </w:p>
        </w:tc>
        <w:tc>
          <w:tcPr>
            <w:tcW w:w="1473" w:type="dxa"/>
            <w:vAlign w:val="center"/>
          </w:tcPr>
          <w:p w14:paraId="01337728">
            <w:pPr>
              <w:pStyle w:val="85"/>
              <w:rPr>
                <w:color w:val="auto"/>
                <w:sz w:val="22"/>
                <w:szCs w:val="22"/>
              </w:rPr>
            </w:pPr>
          </w:p>
        </w:tc>
      </w:tr>
      <w:tr w14:paraId="0DC6C9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91" w:type="dxa"/>
            <w:vAlign w:val="center"/>
          </w:tcPr>
          <w:p w14:paraId="0A83CEF2">
            <w:pPr>
              <w:pStyle w:val="85"/>
              <w:rPr>
                <w:color w:val="auto"/>
                <w:sz w:val="22"/>
                <w:szCs w:val="22"/>
              </w:rPr>
            </w:pPr>
            <w:r>
              <w:rPr>
                <w:color w:val="auto"/>
                <w:sz w:val="22"/>
                <w:szCs w:val="22"/>
              </w:rPr>
              <w:t>Урок 53</w:t>
            </w:r>
          </w:p>
        </w:tc>
        <w:tc>
          <w:tcPr>
            <w:tcW w:w="6405" w:type="dxa"/>
            <w:vAlign w:val="center"/>
          </w:tcPr>
          <w:p w14:paraId="105658A2">
            <w:pPr>
              <w:pStyle w:val="85"/>
              <w:jc w:val="both"/>
              <w:rPr>
                <w:color w:val="auto"/>
                <w:sz w:val="22"/>
                <w:szCs w:val="22"/>
              </w:rPr>
            </w:pPr>
            <w:r>
              <w:rPr>
                <w:color w:val="auto"/>
                <w:sz w:val="22"/>
                <w:szCs w:val="22"/>
              </w:rPr>
              <w:t>Характеристика природных зон России: тайга. Связи в природной зоне</w:t>
            </w:r>
          </w:p>
        </w:tc>
        <w:tc>
          <w:tcPr>
            <w:tcW w:w="1473" w:type="dxa"/>
            <w:vAlign w:val="center"/>
          </w:tcPr>
          <w:p w14:paraId="445FD82E">
            <w:pPr>
              <w:pStyle w:val="85"/>
              <w:rPr>
                <w:color w:val="auto"/>
                <w:sz w:val="22"/>
                <w:szCs w:val="22"/>
              </w:rPr>
            </w:pPr>
          </w:p>
        </w:tc>
      </w:tr>
      <w:tr w14:paraId="0E8F70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91" w:type="dxa"/>
            <w:vAlign w:val="center"/>
          </w:tcPr>
          <w:p w14:paraId="0435E7C5">
            <w:pPr>
              <w:pStyle w:val="85"/>
              <w:rPr>
                <w:color w:val="auto"/>
                <w:sz w:val="22"/>
                <w:szCs w:val="22"/>
              </w:rPr>
            </w:pPr>
            <w:r>
              <w:rPr>
                <w:color w:val="auto"/>
                <w:sz w:val="22"/>
                <w:szCs w:val="22"/>
              </w:rPr>
              <w:t>Урок 54</w:t>
            </w:r>
          </w:p>
        </w:tc>
        <w:tc>
          <w:tcPr>
            <w:tcW w:w="6405" w:type="dxa"/>
            <w:vAlign w:val="center"/>
          </w:tcPr>
          <w:p w14:paraId="7EF37661">
            <w:pPr>
              <w:pStyle w:val="85"/>
              <w:jc w:val="both"/>
              <w:rPr>
                <w:color w:val="auto"/>
                <w:sz w:val="22"/>
                <w:szCs w:val="22"/>
              </w:rPr>
            </w:pPr>
            <w:r>
              <w:rPr>
                <w:color w:val="auto"/>
                <w:sz w:val="22"/>
                <w:szCs w:val="22"/>
              </w:rPr>
              <w:t>Характеристика природных зон России: смешанный лес. Связи в природной зоне</w:t>
            </w:r>
          </w:p>
        </w:tc>
        <w:tc>
          <w:tcPr>
            <w:tcW w:w="1473" w:type="dxa"/>
            <w:vAlign w:val="center"/>
          </w:tcPr>
          <w:p w14:paraId="43354733">
            <w:pPr>
              <w:pStyle w:val="85"/>
              <w:rPr>
                <w:color w:val="auto"/>
                <w:sz w:val="22"/>
                <w:szCs w:val="22"/>
              </w:rPr>
            </w:pPr>
          </w:p>
        </w:tc>
      </w:tr>
      <w:tr w14:paraId="31F2F3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91" w:type="dxa"/>
            <w:vAlign w:val="center"/>
          </w:tcPr>
          <w:p w14:paraId="1D848FB4">
            <w:pPr>
              <w:pStyle w:val="85"/>
              <w:rPr>
                <w:color w:val="auto"/>
                <w:sz w:val="22"/>
                <w:szCs w:val="22"/>
              </w:rPr>
            </w:pPr>
            <w:r>
              <w:rPr>
                <w:color w:val="auto"/>
                <w:sz w:val="22"/>
                <w:szCs w:val="22"/>
              </w:rPr>
              <w:t>Урок 55</w:t>
            </w:r>
          </w:p>
        </w:tc>
        <w:tc>
          <w:tcPr>
            <w:tcW w:w="6405" w:type="dxa"/>
            <w:vAlign w:val="center"/>
          </w:tcPr>
          <w:p w14:paraId="432AF7EB">
            <w:pPr>
              <w:pStyle w:val="85"/>
              <w:jc w:val="both"/>
              <w:rPr>
                <w:color w:val="auto"/>
                <w:sz w:val="22"/>
                <w:szCs w:val="22"/>
              </w:rPr>
            </w:pPr>
            <w:r>
              <w:rPr>
                <w:color w:val="auto"/>
                <w:sz w:val="22"/>
                <w:szCs w:val="22"/>
              </w:rPr>
              <w:t>Характеристика природных зон России: степь и полупустыня. Связи в природной зоне</w:t>
            </w:r>
          </w:p>
        </w:tc>
        <w:tc>
          <w:tcPr>
            <w:tcW w:w="1473" w:type="dxa"/>
            <w:vAlign w:val="center"/>
          </w:tcPr>
          <w:p w14:paraId="298121D8">
            <w:pPr>
              <w:pStyle w:val="85"/>
              <w:rPr>
                <w:color w:val="auto"/>
                <w:sz w:val="22"/>
                <w:szCs w:val="22"/>
              </w:rPr>
            </w:pPr>
          </w:p>
        </w:tc>
      </w:tr>
      <w:tr w14:paraId="17975F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91" w:type="dxa"/>
            <w:vAlign w:val="center"/>
          </w:tcPr>
          <w:p w14:paraId="4967DFC1">
            <w:pPr>
              <w:pStyle w:val="85"/>
              <w:rPr>
                <w:color w:val="auto"/>
                <w:sz w:val="22"/>
                <w:szCs w:val="22"/>
              </w:rPr>
            </w:pPr>
            <w:r>
              <w:rPr>
                <w:color w:val="auto"/>
                <w:sz w:val="22"/>
                <w:szCs w:val="22"/>
              </w:rPr>
              <w:t>Урок 56</w:t>
            </w:r>
          </w:p>
        </w:tc>
        <w:tc>
          <w:tcPr>
            <w:tcW w:w="6405" w:type="dxa"/>
            <w:vAlign w:val="center"/>
          </w:tcPr>
          <w:p w14:paraId="415114BD">
            <w:pPr>
              <w:pStyle w:val="85"/>
              <w:jc w:val="both"/>
              <w:rPr>
                <w:color w:val="auto"/>
                <w:sz w:val="22"/>
                <w:szCs w:val="22"/>
              </w:rPr>
            </w:pPr>
            <w:r>
              <w:rPr>
                <w:color w:val="auto"/>
                <w:sz w:val="22"/>
                <w:szCs w:val="22"/>
              </w:rPr>
              <w:t>Резервный урок. Повторение по теме "Природные зоны"</w:t>
            </w:r>
          </w:p>
        </w:tc>
        <w:tc>
          <w:tcPr>
            <w:tcW w:w="1473" w:type="dxa"/>
            <w:vAlign w:val="center"/>
          </w:tcPr>
          <w:p w14:paraId="16113D92">
            <w:pPr>
              <w:pStyle w:val="85"/>
              <w:rPr>
                <w:color w:val="auto"/>
                <w:sz w:val="22"/>
                <w:szCs w:val="22"/>
              </w:rPr>
            </w:pPr>
          </w:p>
        </w:tc>
      </w:tr>
      <w:tr w14:paraId="5D24F7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91" w:type="dxa"/>
            <w:vAlign w:val="center"/>
          </w:tcPr>
          <w:p w14:paraId="7652410F">
            <w:pPr>
              <w:pStyle w:val="85"/>
              <w:rPr>
                <w:color w:val="auto"/>
                <w:sz w:val="22"/>
                <w:szCs w:val="22"/>
              </w:rPr>
            </w:pPr>
            <w:r>
              <w:rPr>
                <w:color w:val="auto"/>
                <w:sz w:val="22"/>
                <w:szCs w:val="22"/>
              </w:rPr>
              <w:t>Урок 57</w:t>
            </w:r>
          </w:p>
        </w:tc>
        <w:tc>
          <w:tcPr>
            <w:tcW w:w="6405" w:type="dxa"/>
            <w:vAlign w:val="center"/>
          </w:tcPr>
          <w:p w14:paraId="589F30A7">
            <w:pPr>
              <w:pStyle w:val="85"/>
              <w:jc w:val="both"/>
              <w:rPr>
                <w:color w:val="auto"/>
                <w:sz w:val="22"/>
                <w:szCs w:val="22"/>
              </w:rPr>
            </w:pPr>
            <w:r>
              <w:rPr>
                <w:color w:val="auto"/>
                <w:sz w:val="22"/>
                <w:szCs w:val="22"/>
              </w:rPr>
              <w:t>Природные и культурные объекты Всемирного наследия в России</w:t>
            </w:r>
          </w:p>
        </w:tc>
        <w:tc>
          <w:tcPr>
            <w:tcW w:w="1473" w:type="dxa"/>
            <w:vAlign w:val="center"/>
          </w:tcPr>
          <w:p w14:paraId="5F1C8CFA">
            <w:pPr>
              <w:pStyle w:val="85"/>
              <w:rPr>
                <w:color w:val="auto"/>
                <w:sz w:val="22"/>
                <w:szCs w:val="22"/>
              </w:rPr>
            </w:pPr>
          </w:p>
        </w:tc>
      </w:tr>
      <w:tr w14:paraId="43AA8B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91" w:type="dxa"/>
            <w:vAlign w:val="center"/>
          </w:tcPr>
          <w:p w14:paraId="73E82B54">
            <w:pPr>
              <w:pStyle w:val="85"/>
              <w:rPr>
                <w:color w:val="auto"/>
                <w:sz w:val="22"/>
                <w:szCs w:val="22"/>
              </w:rPr>
            </w:pPr>
            <w:r>
              <w:rPr>
                <w:color w:val="auto"/>
                <w:sz w:val="22"/>
                <w:szCs w:val="22"/>
              </w:rPr>
              <w:t>Урок 58</w:t>
            </w:r>
          </w:p>
        </w:tc>
        <w:tc>
          <w:tcPr>
            <w:tcW w:w="6405" w:type="dxa"/>
            <w:vAlign w:val="center"/>
          </w:tcPr>
          <w:p w14:paraId="6573D392">
            <w:pPr>
              <w:pStyle w:val="85"/>
              <w:jc w:val="both"/>
              <w:rPr>
                <w:color w:val="auto"/>
                <w:sz w:val="22"/>
                <w:szCs w:val="22"/>
              </w:rPr>
            </w:pPr>
            <w:r>
              <w:rPr>
                <w:color w:val="auto"/>
                <w:sz w:val="22"/>
                <w:szCs w:val="22"/>
              </w:rPr>
              <w:t>Природные и культурные объекты Всемирного наследия за рубежом</w:t>
            </w:r>
          </w:p>
        </w:tc>
        <w:tc>
          <w:tcPr>
            <w:tcW w:w="1473" w:type="dxa"/>
            <w:vAlign w:val="center"/>
          </w:tcPr>
          <w:p w14:paraId="0B7B2B13">
            <w:pPr>
              <w:pStyle w:val="85"/>
              <w:rPr>
                <w:color w:val="auto"/>
                <w:sz w:val="22"/>
                <w:szCs w:val="22"/>
              </w:rPr>
            </w:pPr>
          </w:p>
        </w:tc>
      </w:tr>
      <w:tr w14:paraId="1A1E55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91" w:type="dxa"/>
            <w:vAlign w:val="center"/>
          </w:tcPr>
          <w:p w14:paraId="40F1B720">
            <w:pPr>
              <w:pStyle w:val="85"/>
              <w:rPr>
                <w:color w:val="auto"/>
                <w:sz w:val="22"/>
                <w:szCs w:val="22"/>
              </w:rPr>
            </w:pPr>
            <w:r>
              <w:rPr>
                <w:color w:val="auto"/>
                <w:sz w:val="22"/>
                <w:szCs w:val="22"/>
              </w:rPr>
              <w:t>Урок 59</w:t>
            </w:r>
          </w:p>
        </w:tc>
        <w:tc>
          <w:tcPr>
            <w:tcW w:w="6405" w:type="dxa"/>
            <w:vAlign w:val="center"/>
          </w:tcPr>
          <w:p w14:paraId="7D7E5D61">
            <w:pPr>
              <w:pStyle w:val="85"/>
              <w:jc w:val="both"/>
              <w:rPr>
                <w:color w:val="auto"/>
                <w:sz w:val="22"/>
                <w:szCs w:val="22"/>
              </w:rPr>
            </w:pPr>
            <w:r>
              <w:rPr>
                <w:color w:val="auto"/>
                <w:sz w:val="22"/>
                <w:szCs w:val="22"/>
              </w:rPr>
              <w:t>Экологические проблемы взаимодействия человека и природы</w:t>
            </w:r>
          </w:p>
        </w:tc>
        <w:tc>
          <w:tcPr>
            <w:tcW w:w="1473" w:type="dxa"/>
            <w:vAlign w:val="center"/>
          </w:tcPr>
          <w:p w14:paraId="30D0D0C7">
            <w:pPr>
              <w:pStyle w:val="85"/>
              <w:rPr>
                <w:color w:val="auto"/>
                <w:sz w:val="22"/>
                <w:szCs w:val="22"/>
              </w:rPr>
            </w:pPr>
          </w:p>
        </w:tc>
      </w:tr>
      <w:tr w14:paraId="6290AE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91" w:type="dxa"/>
            <w:vAlign w:val="center"/>
          </w:tcPr>
          <w:p w14:paraId="23EE78A2">
            <w:pPr>
              <w:pStyle w:val="85"/>
              <w:rPr>
                <w:color w:val="auto"/>
                <w:sz w:val="22"/>
                <w:szCs w:val="22"/>
              </w:rPr>
            </w:pPr>
            <w:r>
              <w:rPr>
                <w:color w:val="auto"/>
                <w:sz w:val="22"/>
                <w:szCs w:val="22"/>
              </w:rPr>
              <w:t>Урок 60</w:t>
            </w:r>
          </w:p>
        </w:tc>
        <w:tc>
          <w:tcPr>
            <w:tcW w:w="6405" w:type="dxa"/>
            <w:vAlign w:val="center"/>
          </w:tcPr>
          <w:p w14:paraId="1EDCF18F">
            <w:pPr>
              <w:pStyle w:val="85"/>
              <w:jc w:val="both"/>
              <w:rPr>
                <w:color w:val="auto"/>
                <w:sz w:val="22"/>
                <w:szCs w:val="22"/>
              </w:rPr>
            </w:pPr>
            <w:r>
              <w:rPr>
                <w:color w:val="auto"/>
                <w:sz w:val="22"/>
                <w:szCs w:val="22"/>
              </w:rPr>
              <w:t>Защита и охрана природных богатств (воздуха, воды, полезных ископаемых, флоры и фауны)</w:t>
            </w:r>
          </w:p>
        </w:tc>
        <w:tc>
          <w:tcPr>
            <w:tcW w:w="1473" w:type="dxa"/>
            <w:vAlign w:val="center"/>
          </w:tcPr>
          <w:p w14:paraId="3F2DAF06">
            <w:pPr>
              <w:pStyle w:val="85"/>
              <w:rPr>
                <w:color w:val="auto"/>
                <w:sz w:val="22"/>
                <w:szCs w:val="22"/>
              </w:rPr>
            </w:pPr>
          </w:p>
        </w:tc>
      </w:tr>
      <w:tr w14:paraId="440093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91" w:type="dxa"/>
            <w:vAlign w:val="center"/>
          </w:tcPr>
          <w:p w14:paraId="71F23B4B">
            <w:pPr>
              <w:pStyle w:val="85"/>
              <w:rPr>
                <w:color w:val="auto"/>
                <w:sz w:val="22"/>
                <w:szCs w:val="22"/>
              </w:rPr>
            </w:pPr>
            <w:r>
              <w:rPr>
                <w:color w:val="auto"/>
                <w:sz w:val="22"/>
                <w:szCs w:val="22"/>
              </w:rPr>
              <w:t>Урок 61</w:t>
            </w:r>
          </w:p>
        </w:tc>
        <w:tc>
          <w:tcPr>
            <w:tcW w:w="6405" w:type="dxa"/>
            <w:vAlign w:val="center"/>
          </w:tcPr>
          <w:p w14:paraId="1A5BCDA0">
            <w:pPr>
              <w:pStyle w:val="85"/>
              <w:jc w:val="both"/>
              <w:rPr>
                <w:color w:val="auto"/>
                <w:sz w:val="22"/>
                <w:szCs w:val="22"/>
              </w:rPr>
            </w:pPr>
            <w:r>
              <w:rPr>
                <w:color w:val="auto"/>
                <w:sz w:val="22"/>
                <w:szCs w:val="22"/>
              </w:rPr>
              <w:t>Знакомство с Международной Красной книгой</w:t>
            </w:r>
          </w:p>
        </w:tc>
        <w:tc>
          <w:tcPr>
            <w:tcW w:w="1473" w:type="dxa"/>
            <w:vAlign w:val="center"/>
          </w:tcPr>
          <w:p w14:paraId="04432081">
            <w:pPr>
              <w:pStyle w:val="85"/>
              <w:rPr>
                <w:color w:val="auto"/>
                <w:sz w:val="22"/>
                <w:szCs w:val="22"/>
              </w:rPr>
            </w:pPr>
          </w:p>
        </w:tc>
      </w:tr>
      <w:tr w14:paraId="6B2458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91" w:type="dxa"/>
            <w:vAlign w:val="center"/>
          </w:tcPr>
          <w:p w14:paraId="5C81B955">
            <w:pPr>
              <w:pStyle w:val="85"/>
              <w:rPr>
                <w:color w:val="auto"/>
                <w:sz w:val="22"/>
                <w:szCs w:val="22"/>
              </w:rPr>
            </w:pPr>
            <w:r>
              <w:rPr>
                <w:color w:val="auto"/>
                <w:sz w:val="22"/>
                <w:szCs w:val="22"/>
              </w:rPr>
              <w:t>Урок 62</w:t>
            </w:r>
          </w:p>
        </w:tc>
        <w:tc>
          <w:tcPr>
            <w:tcW w:w="6405" w:type="dxa"/>
            <w:vAlign w:val="center"/>
          </w:tcPr>
          <w:p w14:paraId="55061F25">
            <w:pPr>
              <w:pStyle w:val="85"/>
              <w:jc w:val="both"/>
              <w:rPr>
                <w:color w:val="auto"/>
                <w:sz w:val="22"/>
                <w:szCs w:val="22"/>
              </w:rPr>
            </w:pPr>
            <w:r>
              <w:rPr>
                <w:color w:val="auto"/>
                <w:sz w:val="22"/>
                <w:szCs w:val="22"/>
              </w:rPr>
              <w:t>Резервный урок. Повторение по итогам обучения в 4 классе</w:t>
            </w:r>
          </w:p>
        </w:tc>
        <w:tc>
          <w:tcPr>
            <w:tcW w:w="1473" w:type="dxa"/>
            <w:vAlign w:val="center"/>
          </w:tcPr>
          <w:p w14:paraId="5C911605">
            <w:pPr>
              <w:pStyle w:val="85"/>
              <w:rPr>
                <w:color w:val="auto"/>
                <w:sz w:val="22"/>
                <w:szCs w:val="22"/>
              </w:rPr>
            </w:pPr>
          </w:p>
        </w:tc>
      </w:tr>
      <w:tr w14:paraId="3AC018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91" w:type="dxa"/>
            <w:vAlign w:val="center"/>
          </w:tcPr>
          <w:p w14:paraId="4300F2D6">
            <w:pPr>
              <w:pStyle w:val="85"/>
              <w:rPr>
                <w:color w:val="auto"/>
                <w:sz w:val="22"/>
                <w:szCs w:val="22"/>
              </w:rPr>
            </w:pPr>
            <w:r>
              <w:rPr>
                <w:color w:val="auto"/>
                <w:sz w:val="22"/>
                <w:szCs w:val="22"/>
              </w:rPr>
              <w:t>Урок 63</w:t>
            </w:r>
          </w:p>
        </w:tc>
        <w:tc>
          <w:tcPr>
            <w:tcW w:w="6405" w:type="dxa"/>
            <w:vAlign w:val="center"/>
          </w:tcPr>
          <w:p w14:paraId="11B2298B">
            <w:pPr>
              <w:pStyle w:val="85"/>
              <w:jc w:val="both"/>
              <w:rPr>
                <w:color w:val="auto"/>
                <w:sz w:val="22"/>
                <w:szCs w:val="22"/>
              </w:rPr>
            </w:pPr>
            <w:r>
              <w:rPr>
                <w:color w:val="auto"/>
                <w:sz w:val="22"/>
                <w:szCs w:val="22"/>
              </w:rPr>
              <w:t>О вредных для здоровья привычках</w:t>
            </w:r>
          </w:p>
        </w:tc>
        <w:tc>
          <w:tcPr>
            <w:tcW w:w="1473" w:type="dxa"/>
            <w:vAlign w:val="center"/>
          </w:tcPr>
          <w:p w14:paraId="2917655D">
            <w:pPr>
              <w:pStyle w:val="85"/>
              <w:rPr>
                <w:color w:val="auto"/>
                <w:sz w:val="22"/>
                <w:szCs w:val="22"/>
              </w:rPr>
            </w:pPr>
          </w:p>
        </w:tc>
      </w:tr>
      <w:tr w14:paraId="552DFA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91" w:type="dxa"/>
            <w:vAlign w:val="center"/>
          </w:tcPr>
          <w:p w14:paraId="23BA0715">
            <w:pPr>
              <w:pStyle w:val="85"/>
              <w:rPr>
                <w:color w:val="auto"/>
                <w:sz w:val="22"/>
                <w:szCs w:val="22"/>
              </w:rPr>
            </w:pPr>
            <w:r>
              <w:rPr>
                <w:color w:val="auto"/>
                <w:sz w:val="22"/>
                <w:szCs w:val="22"/>
              </w:rPr>
              <w:t>Урок 64</w:t>
            </w:r>
          </w:p>
        </w:tc>
        <w:tc>
          <w:tcPr>
            <w:tcW w:w="6405" w:type="dxa"/>
            <w:vAlign w:val="center"/>
          </w:tcPr>
          <w:p w14:paraId="575FB54C">
            <w:pPr>
              <w:pStyle w:val="85"/>
              <w:jc w:val="both"/>
              <w:rPr>
                <w:color w:val="auto"/>
                <w:sz w:val="22"/>
                <w:szCs w:val="22"/>
              </w:rPr>
            </w:pPr>
            <w:r>
              <w:rPr>
                <w:color w:val="auto"/>
                <w:sz w:val="22"/>
                <w:szCs w:val="22"/>
              </w:rPr>
              <w:t>Планирование маршрутов с учетом транспортной инфраструктуры населенного пункта</w:t>
            </w:r>
          </w:p>
        </w:tc>
        <w:tc>
          <w:tcPr>
            <w:tcW w:w="1473" w:type="dxa"/>
            <w:vAlign w:val="center"/>
          </w:tcPr>
          <w:p w14:paraId="2DFF609A">
            <w:pPr>
              <w:pStyle w:val="85"/>
              <w:rPr>
                <w:color w:val="auto"/>
                <w:sz w:val="22"/>
                <w:szCs w:val="22"/>
              </w:rPr>
            </w:pPr>
          </w:p>
        </w:tc>
      </w:tr>
      <w:tr w14:paraId="3F7459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91" w:type="dxa"/>
            <w:vAlign w:val="center"/>
          </w:tcPr>
          <w:p w14:paraId="5946804E">
            <w:pPr>
              <w:pStyle w:val="85"/>
              <w:rPr>
                <w:color w:val="auto"/>
                <w:sz w:val="22"/>
                <w:szCs w:val="22"/>
              </w:rPr>
            </w:pPr>
            <w:r>
              <w:rPr>
                <w:color w:val="auto"/>
                <w:sz w:val="22"/>
                <w:szCs w:val="22"/>
              </w:rPr>
              <w:t>Урок 65</w:t>
            </w:r>
          </w:p>
        </w:tc>
        <w:tc>
          <w:tcPr>
            <w:tcW w:w="6405" w:type="dxa"/>
            <w:vAlign w:val="center"/>
          </w:tcPr>
          <w:p w14:paraId="18ECB131">
            <w:pPr>
              <w:pStyle w:val="85"/>
              <w:jc w:val="both"/>
              <w:rPr>
                <w:color w:val="auto"/>
                <w:sz w:val="22"/>
                <w:szCs w:val="22"/>
              </w:rPr>
            </w:pPr>
            <w:r>
              <w:rPr>
                <w:color w:val="auto"/>
                <w:sz w:val="22"/>
                <w:szCs w:val="22"/>
              </w:rPr>
              <w:t>Правила поведения в общественных местах: зонах отдыха, учреждениях культуры и торговых центрах</w:t>
            </w:r>
          </w:p>
        </w:tc>
        <w:tc>
          <w:tcPr>
            <w:tcW w:w="1473" w:type="dxa"/>
            <w:vAlign w:val="center"/>
          </w:tcPr>
          <w:p w14:paraId="7A32E64A">
            <w:pPr>
              <w:pStyle w:val="85"/>
              <w:rPr>
                <w:color w:val="auto"/>
                <w:sz w:val="22"/>
                <w:szCs w:val="22"/>
              </w:rPr>
            </w:pPr>
          </w:p>
        </w:tc>
      </w:tr>
      <w:tr w14:paraId="0D7E6F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91" w:type="dxa"/>
            <w:vAlign w:val="center"/>
          </w:tcPr>
          <w:p w14:paraId="6F1F70A1">
            <w:pPr>
              <w:pStyle w:val="85"/>
              <w:rPr>
                <w:color w:val="auto"/>
                <w:sz w:val="22"/>
                <w:szCs w:val="22"/>
              </w:rPr>
            </w:pPr>
            <w:r>
              <w:rPr>
                <w:color w:val="auto"/>
                <w:sz w:val="22"/>
                <w:szCs w:val="22"/>
              </w:rPr>
              <w:t>Урок 66</w:t>
            </w:r>
          </w:p>
        </w:tc>
        <w:tc>
          <w:tcPr>
            <w:tcW w:w="6405" w:type="dxa"/>
            <w:vAlign w:val="center"/>
          </w:tcPr>
          <w:p w14:paraId="7424C6F0">
            <w:pPr>
              <w:pStyle w:val="85"/>
              <w:jc w:val="both"/>
              <w:rPr>
                <w:color w:val="auto"/>
                <w:sz w:val="22"/>
                <w:szCs w:val="22"/>
              </w:rPr>
            </w:pPr>
            <w:r>
              <w:rPr>
                <w:color w:val="auto"/>
                <w:sz w:val="22"/>
                <w:szCs w:val="22"/>
              </w:rPr>
              <w:t>Безопасное поведение при езде на велосипеде и самокате. Дорожные знаки</w:t>
            </w:r>
          </w:p>
        </w:tc>
        <w:tc>
          <w:tcPr>
            <w:tcW w:w="1473" w:type="dxa"/>
            <w:vAlign w:val="center"/>
          </w:tcPr>
          <w:p w14:paraId="729AD55F">
            <w:pPr>
              <w:pStyle w:val="85"/>
              <w:rPr>
                <w:color w:val="auto"/>
                <w:sz w:val="22"/>
                <w:szCs w:val="22"/>
              </w:rPr>
            </w:pPr>
          </w:p>
        </w:tc>
      </w:tr>
      <w:tr w14:paraId="74B5E4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91" w:type="dxa"/>
            <w:vAlign w:val="center"/>
          </w:tcPr>
          <w:p w14:paraId="767854A2">
            <w:pPr>
              <w:pStyle w:val="85"/>
              <w:rPr>
                <w:color w:val="auto"/>
                <w:sz w:val="22"/>
                <w:szCs w:val="22"/>
              </w:rPr>
            </w:pPr>
            <w:r>
              <w:rPr>
                <w:color w:val="auto"/>
                <w:sz w:val="22"/>
                <w:szCs w:val="22"/>
              </w:rPr>
              <w:t>Урок 67</w:t>
            </w:r>
          </w:p>
        </w:tc>
        <w:tc>
          <w:tcPr>
            <w:tcW w:w="6405" w:type="dxa"/>
            <w:vAlign w:val="center"/>
          </w:tcPr>
          <w:p w14:paraId="18E81B0D">
            <w:pPr>
              <w:pStyle w:val="85"/>
              <w:jc w:val="both"/>
              <w:rPr>
                <w:color w:val="auto"/>
                <w:sz w:val="22"/>
                <w:szCs w:val="22"/>
              </w:rPr>
            </w:pPr>
            <w:r>
              <w:rPr>
                <w:color w:val="auto"/>
                <w:sz w:val="22"/>
                <w:szCs w:val="22"/>
              </w:rPr>
              <w:t>Правила цифровой грамотности при использовании сетью Интернет</w:t>
            </w:r>
          </w:p>
        </w:tc>
        <w:tc>
          <w:tcPr>
            <w:tcW w:w="1473" w:type="dxa"/>
            <w:vAlign w:val="center"/>
          </w:tcPr>
          <w:p w14:paraId="4F4AB42F">
            <w:pPr>
              <w:pStyle w:val="85"/>
              <w:rPr>
                <w:color w:val="auto"/>
                <w:sz w:val="22"/>
                <w:szCs w:val="22"/>
              </w:rPr>
            </w:pPr>
          </w:p>
        </w:tc>
      </w:tr>
      <w:tr w14:paraId="5EC905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91" w:type="dxa"/>
            <w:vAlign w:val="center"/>
          </w:tcPr>
          <w:p w14:paraId="3D853CA9">
            <w:pPr>
              <w:pStyle w:val="85"/>
              <w:rPr>
                <w:color w:val="auto"/>
                <w:sz w:val="22"/>
                <w:szCs w:val="22"/>
              </w:rPr>
            </w:pPr>
            <w:r>
              <w:rPr>
                <w:color w:val="auto"/>
                <w:sz w:val="22"/>
                <w:szCs w:val="22"/>
              </w:rPr>
              <w:t>Урок 68</w:t>
            </w:r>
          </w:p>
        </w:tc>
        <w:tc>
          <w:tcPr>
            <w:tcW w:w="6405" w:type="dxa"/>
            <w:vAlign w:val="center"/>
          </w:tcPr>
          <w:p w14:paraId="68920645">
            <w:pPr>
              <w:pStyle w:val="85"/>
              <w:jc w:val="both"/>
              <w:rPr>
                <w:color w:val="auto"/>
                <w:sz w:val="22"/>
                <w:szCs w:val="22"/>
              </w:rPr>
            </w:pPr>
            <w:r>
              <w:rPr>
                <w:color w:val="auto"/>
                <w:sz w:val="22"/>
                <w:szCs w:val="22"/>
              </w:rPr>
              <w:t>Резервный урок. Повторение "Оценим свои достижения"</w:t>
            </w:r>
          </w:p>
        </w:tc>
        <w:tc>
          <w:tcPr>
            <w:tcW w:w="1473" w:type="dxa"/>
            <w:vAlign w:val="center"/>
          </w:tcPr>
          <w:p w14:paraId="7D51DB53">
            <w:pPr>
              <w:pStyle w:val="85"/>
              <w:rPr>
                <w:color w:val="auto"/>
                <w:sz w:val="22"/>
                <w:szCs w:val="22"/>
              </w:rPr>
            </w:pPr>
          </w:p>
        </w:tc>
      </w:tr>
      <w:tr w14:paraId="252655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9069" w:type="dxa"/>
            <w:gridSpan w:val="3"/>
          </w:tcPr>
          <w:p w14:paraId="4BE24E1D">
            <w:pPr>
              <w:pStyle w:val="85"/>
              <w:jc w:val="both"/>
              <w:rPr>
                <w:color w:val="auto"/>
                <w:sz w:val="22"/>
                <w:szCs w:val="22"/>
              </w:rPr>
            </w:pPr>
            <w:r>
              <w:rPr>
                <w:color w:val="auto"/>
                <w:sz w:val="22"/>
                <w:szCs w:val="22"/>
              </w:rPr>
              <w:t>ОБЩЕЕ КОЛИЧЕСТВО УРОКОВ ПО ПРОГРАММЕ: 68, из них уроков, отведенных на контрольные работы (в том числе Всероссийские проверочные работы), - не более 6</w:t>
            </w:r>
          </w:p>
        </w:tc>
      </w:tr>
    </w:tbl>
    <w:p w14:paraId="6AA1E92C">
      <w:pPr>
        <w:pStyle w:val="85"/>
        <w:jc w:val="both"/>
        <w:rPr>
          <w:color w:val="auto"/>
          <w:sz w:val="22"/>
          <w:szCs w:val="22"/>
        </w:rPr>
      </w:pPr>
    </w:p>
    <w:p w14:paraId="555533EF">
      <w:pPr>
        <w:pStyle w:val="85"/>
        <w:ind w:firstLine="540"/>
        <w:jc w:val="both"/>
        <w:rPr>
          <w:color w:val="auto"/>
          <w:sz w:val="22"/>
          <w:szCs w:val="22"/>
        </w:rPr>
      </w:pPr>
      <w:r>
        <w:rPr>
          <w:color w:val="auto"/>
          <w:sz w:val="22"/>
          <w:szCs w:val="22"/>
        </w:rPr>
        <w:t>163.12. В федеральных и региональных процедурах оценки качества образования используется перечень (кодификатор) распределенных по классам проверяемых требований к результатам освоения основной образовательной программы начального общего образования и элементов содержания по учебному предмету "Окружающий мир".</w:t>
      </w:r>
    </w:p>
    <w:p w14:paraId="36E1B967">
      <w:pPr>
        <w:pStyle w:val="85"/>
        <w:jc w:val="both"/>
        <w:rPr>
          <w:color w:val="auto"/>
          <w:sz w:val="22"/>
          <w:szCs w:val="22"/>
        </w:rPr>
      </w:pPr>
    </w:p>
    <w:p w14:paraId="77E8E2B2">
      <w:pPr>
        <w:pStyle w:val="85"/>
        <w:jc w:val="right"/>
        <w:rPr>
          <w:color w:val="auto"/>
          <w:sz w:val="22"/>
          <w:szCs w:val="22"/>
        </w:rPr>
      </w:pPr>
      <w:r>
        <w:rPr>
          <w:color w:val="auto"/>
          <w:sz w:val="22"/>
          <w:szCs w:val="22"/>
        </w:rPr>
        <w:t>Таблица 12</w:t>
      </w:r>
    </w:p>
    <w:p w14:paraId="2A915D2F">
      <w:pPr>
        <w:pStyle w:val="85"/>
        <w:jc w:val="both"/>
        <w:rPr>
          <w:color w:val="auto"/>
          <w:sz w:val="22"/>
          <w:szCs w:val="22"/>
        </w:rPr>
      </w:pPr>
    </w:p>
    <w:p w14:paraId="713C4AC2">
      <w:pPr>
        <w:pStyle w:val="85"/>
        <w:jc w:val="center"/>
        <w:rPr>
          <w:color w:val="auto"/>
          <w:sz w:val="22"/>
          <w:szCs w:val="22"/>
        </w:rPr>
      </w:pPr>
      <w:r>
        <w:rPr>
          <w:color w:val="auto"/>
          <w:sz w:val="22"/>
          <w:szCs w:val="22"/>
        </w:rPr>
        <w:t>Проверяемые требования к результатам освоения основной</w:t>
      </w:r>
    </w:p>
    <w:p w14:paraId="4760B618">
      <w:pPr>
        <w:pStyle w:val="85"/>
        <w:jc w:val="center"/>
        <w:rPr>
          <w:color w:val="auto"/>
          <w:sz w:val="22"/>
          <w:szCs w:val="22"/>
        </w:rPr>
      </w:pPr>
      <w:r>
        <w:rPr>
          <w:color w:val="auto"/>
          <w:sz w:val="22"/>
          <w:szCs w:val="22"/>
        </w:rPr>
        <w:t>образовательной программы 1 класса</w:t>
      </w:r>
    </w:p>
    <w:p w14:paraId="150EDCF2">
      <w:pPr>
        <w:pStyle w:val="85"/>
        <w:jc w:val="both"/>
        <w:rPr>
          <w:color w:val="auto"/>
          <w:sz w:val="22"/>
          <w:szCs w:val="22"/>
        </w:rPr>
      </w:pPr>
    </w:p>
    <w:tbl>
      <w:tblPr>
        <w:tblStyle w:val="1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02" w:type="dxa"/>
          <w:left w:w="62" w:type="dxa"/>
          <w:bottom w:w="102" w:type="dxa"/>
          <w:right w:w="62" w:type="dxa"/>
        </w:tblCellMar>
      </w:tblPr>
      <w:tblGrid>
        <w:gridCol w:w="1701"/>
        <w:gridCol w:w="7370"/>
      </w:tblGrid>
      <w:tr w14:paraId="530BA6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701" w:type="dxa"/>
          </w:tcPr>
          <w:p w14:paraId="50B73E88">
            <w:pPr>
              <w:pStyle w:val="85"/>
              <w:jc w:val="center"/>
              <w:rPr>
                <w:color w:val="auto"/>
                <w:sz w:val="22"/>
                <w:szCs w:val="22"/>
              </w:rPr>
            </w:pPr>
            <w:r>
              <w:rPr>
                <w:color w:val="auto"/>
                <w:sz w:val="22"/>
                <w:szCs w:val="22"/>
              </w:rPr>
              <w:t>Код проверяемого результата</w:t>
            </w:r>
          </w:p>
        </w:tc>
        <w:tc>
          <w:tcPr>
            <w:tcW w:w="7370" w:type="dxa"/>
          </w:tcPr>
          <w:p w14:paraId="0A15CF30">
            <w:pPr>
              <w:pStyle w:val="85"/>
              <w:jc w:val="center"/>
              <w:rPr>
                <w:color w:val="auto"/>
                <w:sz w:val="22"/>
                <w:szCs w:val="22"/>
              </w:rPr>
            </w:pPr>
            <w:r>
              <w:rPr>
                <w:color w:val="auto"/>
                <w:sz w:val="22"/>
                <w:szCs w:val="22"/>
              </w:rPr>
              <w:t>Проверяемые предметные результаты освоения основной образовательной программы начального общего образования</w:t>
            </w:r>
          </w:p>
        </w:tc>
      </w:tr>
      <w:tr w14:paraId="024C69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701" w:type="dxa"/>
          </w:tcPr>
          <w:p w14:paraId="72A21925">
            <w:pPr>
              <w:pStyle w:val="85"/>
              <w:rPr>
                <w:color w:val="auto"/>
                <w:sz w:val="22"/>
                <w:szCs w:val="22"/>
              </w:rPr>
            </w:pPr>
          </w:p>
        </w:tc>
        <w:tc>
          <w:tcPr>
            <w:tcW w:w="7370" w:type="dxa"/>
          </w:tcPr>
          <w:p w14:paraId="04894733">
            <w:pPr>
              <w:pStyle w:val="85"/>
              <w:jc w:val="both"/>
              <w:rPr>
                <w:color w:val="auto"/>
                <w:sz w:val="22"/>
                <w:szCs w:val="22"/>
              </w:rPr>
            </w:pPr>
            <w:r>
              <w:rPr>
                <w:color w:val="auto"/>
                <w:sz w:val="22"/>
                <w:szCs w:val="22"/>
              </w:rPr>
              <w:t>Человек и общество</w:t>
            </w:r>
          </w:p>
        </w:tc>
      </w:tr>
      <w:tr w14:paraId="05E9D9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701" w:type="dxa"/>
          </w:tcPr>
          <w:p w14:paraId="4BAEB140">
            <w:pPr>
              <w:pStyle w:val="85"/>
              <w:jc w:val="center"/>
              <w:rPr>
                <w:color w:val="auto"/>
                <w:sz w:val="22"/>
                <w:szCs w:val="22"/>
              </w:rPr>
            </w:pPr>
            <w:r>
              <w:rPr>
                <w:color w:val="auto"/>
                <w:sz w:val="22"/>
                <w:szCs w:val="22"/>
              </w:rPr>
              <w:t>1</w:t>
            </w:r>
          </w:p>
        </w:tc>
        <w:tc>
          <w:tcPr>
            <w:tcW w:w="7370" w:type="dxa"/>
          </w:tcPr>
          <w:p w14:paraId="27A7FD4F">
            <w:pPr>
              <w:pStyle w:val="85"/>
              <w:jc w:val="both"/>
              <w:rPr>
                <w:color w:val="auto"/>
                <w:sz w:val="22"/>
                <w:szCs w:val="22"/>
              </w:rPr>
            </w:pPr>
            <w:r>
              <w:rPr>
                <w:color w:val="auto"/>
                <w:sz w:val="22"/>
                <w:szCs w:val="22"/>
              </w:rPr>
              <w:t>называть себя и членов своей семьи по фамилии, имени, отчеству, профессии членов своей семьи, домашний адрес и адрес своей школы</w:t>
            </w:r>
          </w:p>
        </w:tc>
      </w:tr>
      <w:tr w14:paraId="30B530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701" w:type="dxa"/>
          </w:tcPr>
          <w:p w14:paraId="35C7FD46">
            <w:pPr>
              <w:pStyle w:val="85"/>
              <w:jc w:val="center"/>
              <w:rPr>
                <w:color w:val="auto"/>
                <w:sz w:val="22"/>
                <w:szCs w:val="22"/>
              </w:rPr>
            </w:pPr>
            <w:r>
              <w:rPr>
                <w:color w:val="auto"/>
                <w:sz w:val="22"/>
                <w:szCs w:val="22"/>
              </w:rPr>
              <w:t>2</w:t>
            </w:r>
          </w:p>
        </w:tc>
        <w:tc>
          <w:tcPr>
            <w:tcW w:w="7370" w:type="dxa"/>
          </w:tcPr>
          <w:p w14:paraId="3B2445FA">
            <w:pPr>
              <w:pStyle w:val="85"/>
              <w:jc w:val="both"/>
              <w:rPr>
                <w:color w:val="auto"/>
                <w:sz w:val="22"/>
                <w:szCs w:val="22"/>
              </w:rPr>
            </w:pPr>
            <w:r>
              <w:rPr>
                <w:color w:val="auto"/>
                <w:sz w:val="22"/>
                <w:szCs w:val="22"/>
              </w:rPr>
              <w:t>проявлять уважение к семейным ценностям и традициям, соблюдать правила нравственного поведения в социуме и на природе</w:t>
            </w:r>
          </w:p>
        </w:tc>
      </w:tr>
      <w:tr w14:paraId="695439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701" w:type="dxa"/>
          </w:tcPr>
          <w:p w14:paraId="73A4CEE0">
            <w:pPr>
              <w:pStyle w:val="85"/>
              <w:jc w:val="center"/>
              <w:rPr>
                <w:color w:val="auto"/>
                <w:sz w:val="22"/>
                <w:szCs w:val="22"/>
              </w:rPr>
            </w:pPr>
            <w:r>
              <w:rPr>
                <w:color w:val="auto"/>
                <w:sz w:val="22"/>
                <w:szCs w:val="22"/>
              </w:rPr>
              <w:t>3</w:t>
            </w:r>
          </w:p>
        </w:tc>
        <w:tc>
          <w:tcPr>
            <w:tcW w:w="7370" w:type="dxa"/>
          </w:tcPr>
          <w:p w14:paraId="28CC9A64">
            <w:pPr>
              <w:pStyle w:val="85"/>
              <w:jc w:val="both"/>
              <w:rPr>
                <w:color w:val="auto"/>
                <w:sz w:val="22"/>
                <w:szCs w:val="22"/>
              </w:rPr>
            </w:pPr>
            <w:r>
              <w:rPr>
                <w:color w:val="auto"/>
                <w:sz w:val="22"/>
                <w:szCs w:val="22"/>
              </w:rPr>
              <w:t>воспроизводить название своего населенного пункта, региона, страны</w:t>
            </w:r>
          </w:p>
        </w:tc>
      </w:tr>
      <w:tr w14:paraId="0F8ADF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701" w:type="dxa"/>
          </w:tcPr>
          <w:p w14:paraId="384F8A41">
            <w:pPr>
              <w:pStyle w:val="85"/>
              <w:jc w:val="center"/>
              <w:rPr>
                <w:color w:val="auto"/>
                <w:sz w:val="22"/>
                <w:szCs w:val="22"/>
              </w:rPr>
            </w:pPr>
            <w:r>
              <w:rPr>
                <w:color w:val="auto"/>
                <w:sz w:val="22"/>
                <w:szCs w:val="22"/>
              </w:rPr>
              <w:t>4</w:t>
            </w:r>
          </w:p>
        </w:tc>
        <w:tc>
          <w:tcPr>
            <w:tcW w:w="7370" w:type="dxa"/>
          </w:tcPr>
          <w:p w14:paraId="1907A026">
            <w:pPr>
              <w:pStyle w:val="85"/>
              <w:jc w:val="both"/>
              <w:rPr>
                <w:color w:val="auto"/>
                <w:sz w:val="22"/>
                <w:szCs w:val="22"/>
              </w:rPr>
            </w:pPr>
            <w:r>
              <w:rPr>
                <w:color w:val="auto"/>
                <w:sz w:val="22"/>
                <w:szCs w:val="22"/>
              </w:rPr>
              <w:t>приводить примеры культурных объектов родного края, школьных традиций и праздников, традиций и ценностей своей семьи, профессий</w:t>
            </w:r>
          </w:p>
        </w:tc>
      </w:tr>
      <w:tr w14:paraId="1DDF1C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701" w:type="dxa"/>
          </w:tcPr>
          <w:p w14:paraId="7F2A07A4">
            <w:pPr>
              <w:pStyle w:val="85"/>
              <w:rPr>
                <w:color w:val="auto"/>
                <w:sz w:val="22"/>
                <w:szCs w:val="22"/>
              </w:rPr>
            </w:pPr>
          </w:p>
        </w:tc>
        <w:tc>
          <w:tcPr>
            <w:tcW w:w="7370" w:type="dxa"/>
          </w:tcPr>
          <w:p w14:paraId="445E053C">
            <w:pPr>
              <w:pStyle w:val="85"/>
              <w:jc w:val="both"/>
              <w:rPr>
                <w:color w:val="auto"/>
                <w:sz w:val="22"/>
                <w:szCs w:val="22"/>
              </w:rPr>
            </w:pPr>
            <w:r>
              <w:rPr>
                <w:color w:val="auto"/>
                <w:sz w:val="22"/>
                <w:szCs w:val="22"/>
              </w:rPr>
              <w:t>Человек и природа</w:t>
            </w:r>
          </w:p>
        </w:tc>
      </w:tr>
      <w:tr w14:paraId="31C949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701" w:type="dxa"/>
          </w:tcPr>
          <w:p w14:paraId="448F925E">
            <w:pPr>
              <w:pStyle w:val="85"/>
              <w:jc w:val="center"/>
              <w:rPr>
                <w:color w:val="auto"/>
                <w:sz w:val="22"/>
                <w:szCs w:val="22"/>
              </w:rPr>
            </w:pPr>
            <w:r>
              <w:rPr>
                <w:color w:val="auto"/>
                <w:sz w:val="22"/>
                <w:szCs w:val="22"/>
              </w:rPr>
              <w:t>5</w:t>
            </w:r>
          </w:p>
        </w:tc>
        <w:tc>
          <w:tcPr>
            <w:tcW w:w="7370" w:type="dxa"/>
          </w:tcPr>
          <w:p w14:paraId="2DA199AD">
            <w:pPr>
              <w:pStyle w:val="85"/>
              <w:jc w:val="both"/>
              <w:rPr>
                <w:color w:val="auto"/>
                <w:sz w:val="22"/>
                <w:szCs w:val="22"/>
              </w:rPr>
            </w:pPr>
            <w:r>
              <w:rPr>
                <w:color w:val="auto"/>
                <w:sz w:val="22"/>
                <w:szCs w:val="22"/>
              </w:rPr>
              <w:t>различать объекты живой и неживой природы, объекты, созданные человеком, и природные материалы, части растений (корень, стебель, лист, цветок, плод, семя), группы животных (насекомые, рыбы, птицы, звери)</w:t>
            </w:r>
          </w:p>
        </w:tc>
      </w:tr>
      <w:tr w14:paraId="53268A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701" w:type="dxa"/>
          </w:tcPr>
          <w:p w14:paraId="145D07DC">
            <w:pPr>
              <w:pStyle w:val="85"/>
              <w:jc w:val="center"/>
              <w:rPr>
                <w:color w:val="auto"/>
                <w:sz w:val="22"/>
                <w:szCs w:val="22"/>
              </w:rPr>
            </w:pPr>
            <w:r>
              <w:rPr>
                <w:color w:val="auto"/>
                <w:sz w:val="22"/>
                <w:szCs w:val="22"/>
              </w:rPr>
              <w:t>6</w:t>
            </w:r>
          </w:p>
        </w:tc>
        <w:tc>
          <w:tcPr>
            <w:tcW w:w="7370" w:type="dxa"/>
          </w:tcPr>
          <w:p w14:paraId="1ECD88C3">
            <w:pPr>
              <w:pStyle w:val="85"/>
              <w:jc w:val="both"/>
              <w:rPr>
                <w:color w:val="auto"/>
                <w:sz w:val="22"/>
                <w:szCs w:val="22"/>
              </w:rPr>
            </w:pPr>
            <w:r>
              <w:rPr>
                <w:color w:val="auto"/>
                <w:sz w:val="22"/>
                <w:szCs w:val="22"/>
              </w:rPr>
              <w:t>описывать на основе опорных слов наиболее распространенные в родном крае дикорастущие и культурные растения, диких и домашних животных; сезонные явления в разные времена года; деревья, кустарники, травы; основные группы животных (насекомые, рыбы, птицы, звери); выделять их наиболее существенные признаки</w:t>
            </w:r>
          </w:p>
        </w:tc>
      </w:tr>
      <w:tr w14:paraId="794938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701" w:type="dxa"/>
          </w:tcPr>
          <w:p w14:paraId="3CB3EA18">
            <w:pPr>
              <w:pStyle w:val="85"/>
              <w:jc w:val="center"/>
              <w:rPr>
                <w:color w:val="auto"/>
                <w:sz w:val="22"/>
                <w:szCs w:val="22"/>
              </w:rPr>
            </w:pPr>
            <w:r>
              <w:rPr>
                <w:color w:val="auto"/>
                <w:sz w:val="22"/>
                <w:szCs w:val="22"/>
              </w:rPr>
              <w:t>7</w:t>
            </w:r>
          </w:p>
        </w:tc>
        <w:tc>
          <w:tcPr>
            <w:tcW w:w="7370" w:type="dxa"/>
          </w:tcPr>
          <w:p w14:paraId="0FF91B6D">
            <w:pPr>
              <w:pStyle w:val="85"/>
              <w:jc w:val="both"/>
              <w:rPr>
                <w:color w:val="auto"/>
                <w:sz w:val="22"/>
                <w:szCs w:val="22"/>
              </w:rPr>
            </w:pPr>
            <w:r>
              <w:rPr>
                <w:color w:val="auto"/>
                <w:sz w:val="22"/>
                <w:szCs w:val="22"/>
              </w:rPr>
              <w:t>применять правила ухода за комнатными растениями и домашними животными</w:t>
            </w:r>
          </w:p>
        </w:tc>
      </w:tr>
      <w:tr w14:paraId="10754F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701" w:type="dxa"/>
          </w:tcPr>
          <w:p w14:paraId="2FA97468">
            <w:pPr>
              <w:pStyle w:val="85"/>
              <w:jc w:val="center"/>
              <w:rPr>
                <w:color w:val="auto"/>
                <w:sz w:val="22"/>
                <w:szCs w:val="22"/>
              </w:rPr>
            </w:pPr>
            <w:r>
              <w:rPr>
                <w:color w:val="auto"/>
                <w:sz w:val="22"/>
                <w:szCs w:val="22"/>
              </w:rPr>
              <w:t>8</w:t>
            </w:r>
          </w:p>
        </w:tc>
        <w:tc>
          <w:tcPr>
            <w:tcW w:w="7370" w:type="dxa"/>
          </w:tcPr>
          <w:p w14:paraId="582BBE92">
            <w:pPr>
              <w:pStyle w:val="85"/>
              <w:jc w:val="both"/>
              <w:rPr>
                <w:color w:val="auto"/>
                <w:sz w:val="22"/>
                <w:szCs w:val="22"/>
              </w:rPr>
            </w:pPr>
            <w:r>
              <w:rPr>
                <w:color w:val="auto"/>
                <w:sz w:val="22"/>
                <w:szCs w:val="22"/>
              </w:rPr>
              <w:t>проводить, соблюдая правила безопасного труда, несложные групповые и индивидуальные наблюдения (в том числе за сезонными изменениями в природе своей местности), измерения (в том числе вести счет времени, измерять температуру воздуха) и опыты под руководством учителя</w:t>
            </w:r>
          </w:p>
        </w:tc>
      </w:tr>
      <w:tr w14:paraId="0B3826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701" w:type="dxa"/>
          </w:tcPr>
          <w:p w14:paraId="782CA261">
            <w:pPr>
              <w:pStyle w:val="85"/>
              <w:jc w:val="center"/>
              <w:rPr>
                <w:color w:val="auto"/>
                <w:sz w:val="22"/>
                <w:szCs w:val="22"/>
              </w:rPr>
            </w:pPr>
            <w:r>
              <w:rPr>
                <w:color w:val="auto"/>
                <w:sz w:val="22"/>
                <w:szCs w:val="22"/>
              </w:rPr>
              <w:t>9</w:t>
            </w:r>
          </w:p>
        </w:tc>
        <w:tc>
          <w:tcPr>
            <w:tcW w:w="7370" w:type="dxa"/>
          </w:tcPr>
          <w:p w14:paraId="3177A676">
            <w:pPr>
              <w:pStyle w:val="85"/>
              <w:jc w:val="both"/>
              <w:rPr>
                <w:color w:val="auto"/>
                <w:sz w:val="22"/>
                <w:szCs w:val="22"/>
              </w:rPr>
            </w:pPr>
            <w:r>
              <w:rPr>
                <w:color w:val="auto"/>
                <w:sz w:val="22"/>
                <w:szCs w:val="22"/>
              </w:rPr>
              <w:t>использовать для ответов на вопросы небольшие тексты о природе и обществе</w:t>
            </w:r>
          </w:p>
        </w:tc>
      </w:tr>
      <w:tr w14:paraId="0A6A60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701" w:type="dxa"/>
          </w:tcPr>
          <w:p w14:paraId="45C8F36B">
            <w:pPr>
              <w:pStyle w:val="85"/>
              <w:jc w:val="center"/>
              <w:rPr>
                <w:color w:val="auto"/>
                <w:sz w:val="22"/>
                <w:szCs w:val="22"/>
              </w:rPr>
            </w:pPr>
            <w:r>
              <w:rPr>
                <w:color w:val="auto"/>
                <w:sz w:val="22"/>
                <w:szCs w:val="22"/>
              </w:rPr>
              <w:t>10</w:t>
            </w:r>
          </w:p>
        </w:tc>
        <w:tc>
          <w:tcPr>
            <w:tcW w:w="7370" w:type="dxa"/>
          </w:tcPr>
          <w:p w14:paraId="06EAD3A1">
            <w:pPr>
              <w:pStyle w:val="85"/>
              <w:jc w:val="both"/>
              <w:rPr>
                <w:color w:val="auto"/>
                <w:sz w:val="22"/>
                <w:szCs w:val="22"/>
              </w:rPr>
            </w:pPr>
            <w:r>
              <w:rPr>
                <w:color w:val="auto"/>
                <w:sz w:val="22"/>
                <w:szCs w:val="22"/>
              </w:rPr>
              <w:t>оценивать ситуации, раскрывающие положительное и негативное отношение к природе; правила поведения в быту, в общественных местах</w:t>
            </w:r>
          </w:p>
        </w:tc>
      </w:tr>
      <w:tr w14:paraId="5516C4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701" w:type="dxa"/>
          </w:tcPr>
          <w:p w14:paraId="52726302">
            <w:pPr>
              <w:pStyle w:val="85"/>
              <w:rPr>
                <w:color w:val="auto"/>
                <w:sz w:val="22"/>
                <w:szCs w:val="22"/>
              </w:rPr>
            </w:pPr>
          </w:p>
        </w:tc>
        <w:tc>
          <w:tcPr>
            <w:tcW w:w="7370" w:type="dxa"/>
          </w:tcPr>
          <w:p w14:paraId="67FE045A">
            <w:pPr>
              <w:pStyle w:val="85"/>
              <w:jc w:val="both"/>
              <w:rPr>
                <w:color w:val="auto"/>
                <w:sz w:val="22"/>
                <w:szCs w:val="22"/>
              </w:rPr>
            </w:pPr>
            <w:r>
              <w:rPr>
                <w:color w:val="auto"/>
                <w:sz w:val="22"/>
                <w:szCs w:val="22"/>
              </w:rPr>
              <w:t>Правила безопасной жизнедеятельности</w:t>
            </w:r>
          </w:p>
        </w:tc>
      </w:tr>
      <w:tr w14:paraId="6B5E63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701" w:type="dxa"/>
          </w:tcPr>
          <w:p w14:paraId="54F43E8A">
            <w:pPr>
              <w:pStyle w:val="85"/>
              <w:jc w:val="center"/>
              <w:rPr>
                <w:color w:val="auto"/>
                <w:sz w:val="22"/>
                <w:szCs w:val="22"/>
              </w:rPr>
            </w:pPr>
            <w:r>
              <w:rPr>
                <w:color w:val="auto"/>
                <w:sz w:val="22"/>
                <w:szCs w:val="22"/>
              </w:rPr>
              <w:t>11</w:t>
            </w:r>
          </w:p>
        </w:tc>
        <w:tc>
          <w:tcPr>
            <w:tcW w:w="7370" w:type="dxa"/>
          </w:tcPr>
          <w:p w14:paraId="6A3EE9BB">
            <w:pPr>
              <w:pStyle w:val="85"/>
              <w:jc w:val="both"/>
              <w:rPr>
                <w:color w:val="auto"/>
                <w:sz w:val="22"/>
                <w:szCs w:val="22"/>
              </w:rPr>
            </w:pPr>
            <w:r>
              <w:rPr>
                <w:color w:val="auto"/>
                <w:sz w:val="22"/>
                <w:szCs w:val="22"/>
              </w:rPr>
              <w:t>соблюдать правила безопасности на учебном месте обучающегося; во время наблюдений и опытов;</w:t>
            </w:r>
          </w:p>
        </w:tc>
      </w:tr>
      <w:tr w14:paraId="49EE0D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701" w:type="dxa"/>
          </w:tcPr>
          <w:p w14:paraId="06D1F51E">
            <w:pPr>
              <w:pStyle w:val="85"/>
              <w:jc w:val="center"/>
              <w:rPr>
                <w:color w:val="auto"/>
                <w:sz w:val="22"/>
                <w:szCs w:val="22"/>
              </w:rPr>
            </w:pPr>
            <w:r>
              <w:rPr>
                <w:color w:val="auto"/>
                <w:sz w:val="22"/>
                <w:szCs w:val="22"/>
              </w:rPr>
              <w:t>12</w:t>
            </w:r>
          </w:p>
        </w:tc>
        <w:tc>
          <w:tcPr>
            <w:tcW w:w="7370" w:type="dxa"/>
          </w:tcPr>
          <w:p w14:paraId="67A902F9">
            <w:pPr>
              <w:pStyle w:val="85"/>
              <w:jc w:val="both"/>
              <w:rPr>
                <w:color w:val="auto"/>
                <w:sz w:val="22"/>
                <w:szCs w:val="22"/>
              </w:rPr>
            </w:pPr>
            <w:r>
              <w:rPr>
                <w:color w:val="auto"/>
                <w:sz w:val="22"/>
                <w:szCs w:val="22"/>
              </w:rPr>
              <w:t>соблюдать правила здорового питания и личной гигиены;</w:t>
            </w:r>
          </w:p>
        </w:tc>
      </w:tr>
      <w:tr w14:paraId="368920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701" w:type="dxa"/>
          </w:tcPr>
          <w:p w14:paraId="1ECEDED9">
            <w:pPr>
              <w:pStyle w:val="85"/>
              <w:jc w:val="center"/>
              <w:rPr>
                <w:color w:val="auto"/>
                <w:sz w:val="22"/>
                <w:szCs w:val="22"/>
              </w:rPr>
            </w:pPr>
            <w:r>
              <w:rPr>
                <w:color w:val="auto"/>
                <w:sz w:val="22"/>
                <w:szCs w:val="22"/>
              </w:rPr>
              <w:t>13</w:t>
            </w:r>
          </w:p>
        </w:tc>
        <w:tc>
          <w:tcPr>
            <w:tcW w:w="7370" w:type="dxa"/>
          </w:tcPr>
          <w:p w14:paraId="25AB2D81">
            <w:pPr>
              <w:pStyle w:val="85"/>
              <w:jc w:val="both"/>
              <w:rPr>
                <w:color w:val="auto"/>
                <w:sz w:val="22"/>
                <w:szCs w:val="22"/>
              </w:rPr>
            </w:pPr>
            <w:r>
              <w:rPr>
                <w:color w:val="auto"/>
                <w:sz w:val="22"/>
                <w:szCs w:val="22"/>
              </w:rPr>
              <w:t>соблюдать правила безопасного поведения пешехода; соблюдать правила безопасного поведения в природе</w:t>
            </w:r>
          </w:p>
        </w:tc>
      </w:tr>
      <w:tr w14:paraId="3A7EBF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701" w:type="dxa"/>
          </w:tcPr>
          <w:p w14:paraId="30FC067E">
            <w:pPr>
              <w:pStyle w:val="85"/>
              <w:jc w:val="center"/>
              <w:rPr>
                <w:color w:val="auto"/>
                <w:sz w:val="22"/>
                <w:szCs w:val="22"/>
              </w:rPr>
            </w:pPr>
            <w:r>
              <w:rPr>
                <w:color w:val="auto"/>
                <w:sz w:val="22"/>
                <w:szCs w:val="22"/>
              </w:rPr>
              <w:t>14</w:t>
            </w:r>
          </w:p>
        </w:tc>
        <w:tc>
          <w:tcPr>
            <w:tcW w:w="7370" w:type="dxa"/>
          </w:tcPr>
          <w:p w14:paraId="19D16AD7">
            <w:pPr>
              <w:pStyle w:val="85"/>
              <w:jc w:val="both"/>
              <w:rPr>
                <w:color w:val="auto"/>
                <w:sz w:val="22"/>
                <w:szCs w:val="22"/>
              </w:rPr>
            </w:pPr>
            <w:r>
              <w:rPr>
                <w:color w:val="auto"/>
                <w:sz w:val="22"/>
                <w:szCs w:val="22"/>
              </w:rPr>
              <w:t>безопасно пользоваться бытовыми электроприборами;</w:t>
            </w:r>
          </w:p>
          <w:p w14:paraId="2A108300">
            <w:pPr>
              <w:pStyle w:val="85"/>
              <w:jc w:val="both"/>
              <w:rPr>
                <w:color w:val="auto"/>
                <w:sz w:val="22"/>
                <w:szCs w:val="22"/>
              </w:rPr>
            </w:pPr>
            <w:r>
              <w:rPr>
                <w:color w:val="auto"/>
                <w:sz w:val="22"/>
                <w:szCs w:val="22"/>
              </w:rPr>
              <w:t>соблюдать правила использования электронных средств, оснащенных экраном; с помощью взрослых (учителя, родителей) пользоваться электронным дневником и электронными образовательными и информационными ресурсами.</w:t>
            </w:r>
          </w:p>
        </w:tc>
      </w:tr>
    </w:tbl>
    <w:p w14:paraId="15606000">
      <w:pPr>
        <w:pStyle w:val="85"/>
        <w:jc w:val="both"/>
        <w:rPr>
          <w:color w:val="auto"/>
          <w:sz w:val="22"/>
          <w:szCs w:val="22"/>
        </w:rPr>
      </w:pPr>
    </w:p>
    <w:p w14:paraId="5440840D">
      <w:pPr>
        <w:pStyle w:val="85"/>
        <w:jc w:val="right"/>
        <w:rPr>
          <w:color w:val="auto"/>
          <w:sz w:val="22"/>
          <w:szCs w:val="22"/>
        </w:rPr>
      </w:pPr>
      <w:r>
        <w:rPr>
          <w:color w:val="auto"/>
          <w:sz w:val="22"/>
          <w:szCs w:val="22"/>
        </w:rPr>
        <w:t>Таблица 12.1</w:t>
      </w:r>
    </w:p>
    <w:p w14:paraId="42E449F1">
      <w:pPr>
        <w:pStyle w:val="85"/>
        <w:jc w:val="both"/>
        <w:rPr>
          <w:color w:val="auto"/>
          <w:sz w:val="22"/>
          <w:szCs w:val="22"/>
        </w:rPr>
      </w:pPr>
    </w:p>
    <w:p w14:paraId="75B748EC">
      <w:pPr>
        <w:pStyle w:val="85"/>
        <w:jc w:val="center"/>
        <w:rPr>
          <w:color w:val="auto"/>
          <w:sz w:val="22"/>
          <w:szCs w:val="22"/>
        </w:rPr>
      </w:pPr>
      <w:r>
        <w:rPr>
          <w:color w:val="auto"/>
          <w:sz w:val="22"/>
          <w:szCs w:val="22"/>
        </w:rPr>
        <w:t>Проверяемые элементы содержания (1 класс)</w:t>
      </w:r>
    </w:p>
    <w:p w14:paraId="3E9559DF">
      <w:pPr>
        <w:pStyle w:val="85"/>
        <w:jc w:val="both"/>
        <w:rPr>
          <w:color w:val="auto"/>
          <w:sz w:val="22"/>
          <w:szCs w:val="22"/>
        </w:rPr>
      </w:pPr>
    </w:p>
    <w:tbl>
      <w:tblPr>
        <w:tblStyle w:val="1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02" w:type="dxa"/>
          <w:left w:w="62" w:type="dxa"/>
          <w:bottom w:w="102" w:type="dxa"/>
          <w:right w:w="62" w:type="dxa"/>
        </w:tblCellMar>
      </w:tblPr>
      <w:tblGrid>
        <w:gridCol w:w="1077"/>
        <w:gridCol w:w="7994"/>
      </w:tblGrid>
      <w:tr w14:paraId="5CFF04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077" w:type="dxa"/>
          </w:tcPr>
          <w:p w14:paraId="1FE8F09F">
            <w:pPr>
              <w:pStyle w:val="85"/>
              <w:jc w:val="center"/>
              <w:rPr>
                <w:color w:val="auto"/>
                <w:sz w:val="22"/>
                <w:szCs w:val="22"/>
              </w:rPr>
            </w:pPr>
            <w:r>
              <w:rPr>
                <w:color w:val="auto"/>
                <w:sz w:val="22"/>
                <w:szCs w:val="22"/>
              </w:rPr>
              <w:t>Код</w:t>
            </w:r>
          </w:p>
        </w:tc>
        <w:tc>
          <w:tcPr>
            <w:tcW w:w="7994" w:type="dxa"/>
          </w:tcPr>
          <w:p w14:paraId="3AB2E0BD">
            <w:pPr>
              <w:pStyle w:val="85"/>
              <w:jc w:val="center"/>
              <w:rPr>
                <w:color w:val="auto"/>
                <w:sz w:val="22"/>
                <w:szCs w:val="22"/>
              </w:rPr>
            </w:pPr>
            <w:r>
              <w:rPr>
                <w:color w:val="auto"/>
                <w:sz w:val="22"/>
                <w:szCs w:val="22"/>
              </w:rPr>
              <w:t>Проверяемый элемент содержания</w:t>
            </w:r>
          </w:p>
        </w:tc>
      </w:tr>
      <w:tr w14:paraId="7DF9FC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077" w:type="dxa"/>
          </w:tcPr>
          <w:p w14:paraId="0F6D326E">
            <w:pPr>
              <w:pStyle w:val="85"/>
              <w:jc w:val="center"/>
              <w:rPr>
                <w:color w:val="auto"/>
                <w:sz w:val="22"/>
                <w:szCs w:val="22"/>
              </w:rPr>
            </w:pPr>
            <w:r>
              <w:rPr>
                <w:color w:val="auto"/>
                <w:sz w:val="22"/>
                <w:szCs w:val="22"/>
              </w:rPr>
              <w:t>1</w:t>
            </w:r>
          </w:p>
        </w:tc>
        <w:tc>
          <w:tcPr>
            <w:tcW w:w="7994" w:type="dxa"/>
          </w:tcPr>
          <w:p w14:paraId="37EF7882">
            <w:pPr>
              <w:pStyle w:val="85"/>
              <w:jc w:val="both"/>
              <w:rPr>
                <w:color w:val="auto"/>
                <w:sz w:val="22"/>
                <w:szCs w:val="22"/>
              </w:rPr>
            </w:pPr>
            <w:r>
              <w:rPr>
                <w:color w:val="auto"/>
                <w:sz w:val="22"/>
                <w:szCs w:val="22"/>
              </w:rPr>
              <w:t>Человек и общество</w:t>
            </w:r>
          </w:p>
        </w:tc>
      </w:tr>
      <w:tr w14:paraId="57DE8E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077" w:type="dxa"/>
          </w:tcPr>
          <w:p w14:paraId="10FE17A7">
            <w:pPr>
              <w:pStyle w:val="85"/>
              <w:jc w:val="center"/>
              <w:rPr>
                <w:color w:val="auto"/>
                <w:sz w:val="22"/>
                <w:szCs w:val="22"/>
              </w:rPr>
            </w:pPr>
            <w:r>
              <w:rPr>
                <w:color w:val="auto"/>
                <w:sz w:val="22"/>
                <w:szCs w:val="22"/>
              </w:rPr>
              <w:t>1.1</w:t>
            </w:r>
          </w:p>
        </w:tc>
        <w:tc>
          <w:tcPr>
            <w:tcW w:w="7994" w:type="dxa"/>
          </w:tcPr>
          <w:p w14:paraId="2173A976">
            <w:pPr>
              <w:pStyle w:val="85"/>
              <w:jc w:val="both"/>
              <w:rPr>
                <w:color w:val="auto"/>
                <w:sz w:val="22"/>
                <w:szCs w:val="22"/>
              </w:rPr>
            </w:pPr>
            <w:r>
              <w:rPr>
                <w:color w:val="auto"/>
                <w:sz w:val="22"/>
                <w:szCs w:val="22"/>
              </w:rPr>
              <w:t>Школа. Школьные традиции и праздники. Адрес школы. Классный, школьный коллектив</w:t>
            </w:r>
          </w:p>
        </w:tc>
      </w:tr>
      <w:tr w14:paraId="73150A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077" w:type="dxa"/>
          </w:tcPr>
          <w:p w14:paraId="45F7283D">
            <w:pPr>
              <w:pStyle w:val="85"/>
              <w:jc w:val="center"/>
              <w:rPr>
                <w:color w:val="auto"/>
                <w:sz w:val="22"/>
                <w:szCs w:val="22"/>
              </w:rPr>
            </w:pPr>
            <w:r>
              <w:rPr>
                <w:color w:val="auto"/>
                <w:sz w:val="22"/>
                <w:szCs w:val="22"/>
              </w:rPr>
              <w:t>1.2</w:t>
            </w:r>
          </w:p>
        </w:tc>
        <w:tc>
          <w:tcPr>
            <w:tcW w:w="7994" w:type="dxa"/>
          </w:tcPr>
          <w:p w14:paraId="5672FF7B">
            <w:pPr>
              <w:pStyle w:val="85"/>
              <w:jc w:val="both"/>
              <w:rPr>
                <w:color w:val="auto"/>
                <w:sz w:val="22"/>
                <w:szCs w:val="22"/>
              </w:rPr>
            </w:pPr>
            <w:r>
              <w:rPr>
                <w:color w:val="auto"/>
                <w:sz w:val="22"/>
                <w:szCs w:val="22"/>
              </w:rPr>
              <w:t>Друзья, взаимоотношения между ними; ценность дружбы, согласия, взаимной помощи</w:t>
            </w:r>
          </w:p>
        </w:tc>
      </w:tr>
      <w:tr w14:paraId="5B77A7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077" w:type="dxa"/>
          </w:tcPr>
          <w:p w14:paraId="1DA2B333">
            <w:pPr>
              <w:pStyle w:val="85"/>
              <w:jc w:val="center"/>
              <w:rPr>
                <w:color w:val="auto"/>
                <w:sz w:val="22"/>
                <w:szCs w:val="22"/>
              </w:rPr>
            </w:pPr>
            <w:r>
              <w:rPr>
                <w:color w:val="auto"/>
                <w:sz w:val="22"/>
                <w:szCs w:val="22"/>
              </w:rPr>
              <w:t>1.3</w:t>
            </w:r>
          </w:p>
        </w:tc>
        <w:tc>
          <w:tcPr>
            <w:tcW w:w="7994" w:type="dxa"/>
          </w:tcPr>
          <w:p w14:paraId="371C118A">
            <w:pPr>
              <w:pStyle w:val="85"/>
              <w:jc w:val="both"/>
              <w:rPr>
                <w:color w:val="auto"/>
                <w:sz w:val="22"/>
                <w:szCs w:val="22"/>
              </w:rPr>
            </w:pPr>
            <w:r>
              <w:rPr>
                <w:color w:val="auto"/>
                <w:sz w:val="22"/>
                <w:szCs w:val="22"/>
              </w:rPr>
              <w:t>Совместная деятельность с одноклассниками - учеба, игры, отдых</w:t>
            </w:r>
          </w:p>
        </w:tc>
      </w:tr>
      <w:tr w14:paraId="53F832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077" w:type="dxa"/>
          </w:tcPr>
          <w:p w14:paraId="0A7C6300">
            <w:pPr>
              <w:pStyle w:val="85"/>
              <w:jc w:val="center"/>
              <w:rPr>
                <w:color w:val="auto"/>
                <w:sz w:val="22"/>
                <w:szCs w:val="22"/>
              </w:rPr>
            </w:pPr>
            <w:r>
              <w:rPr>
                <w:color w:val="auto"/>
                <w:sz w:val="22"/>
                <w:szCs w:val="22"/>
              </w:rPr>
              <w:t>1.4</w:t>
            </w:r>
          </w:p>
        </w:tc>
        <w:tc>
          <w:tcPr>
            <w:tcW w:w="7994" w:type="dxa"/>
          </w:tcPr>
          <w:p w14:paraId="34AFB7EE">
            <w:pPr>
              <w:pStyle w:val="85"/>
              <w:jc w:val="both"/>
              <w:rPr>
                <w:color w:val="auto"/>
                <w:sz w:val="22"/>
                <w:szCs w:val="22"/>
              </w:rPr>
            </w:pPr>
            <w:r>
              <w:rPr>
                <w:color w:val="auto"/>
                <w:sz w:val="22"/>
                <w:szCs w:val="22"/>
              </w:rPr>
              <w:t>Рабочее место школьника: удобное размещение учебных материалов и учебного оборудования; поза; освещение рабочего места. Правила безопасной работы на учебном месте</w:t>
            </w:r>
          </w:p>
        </w:tc>
      </w:tr>
      <w:tr w14:paraId="6A7CDA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077" w:type="dxa"/>
          </w:tcPr>
          <w:p w14:paraId="57D1F564">
            <w:pPr>
              <w:pStyle w:val="85"/>
              <w:jc w:val="center"/>
              <w:rPr>
                <w:color w:val="auto"/>
                <w:sz w:val="22"/>
                <w:szCs w:val="22"/>
              </w:rPr>
            </w:pPr>
            <w:r>
              <w:rPr>
                <w:color w:val="auto"/>
                <w:sz w:val="22"/>
                <w:szCs w:val="22"/>
              </w:rPr>
              <w:t>1.5</w:t>
            </w:r>
          </w:p>
        </w:tc>
        <w:tc>
          <w:tcPr>
            <w:tcW w:w="7994" w:type="dxa"/>
          </w:tcPr>
          <w:p w14:paraId="617DE262">
            <w:pPr>
              <w:pStyle w:val="85"/>
              <w:jc w:val="both"/>
              <w:rPr>
                <w:color w:val="auto"/>
                <w:sz w:val="22"/>
                <w:szCs w:val="22"/>
              </w:rPr>
            </w:pPr>
            <w:r>
              <w:rPr>
                <w:color w:val="auto"/>
                <w:sz w:val="22"/>
                <w:szCs w:val="22"/>
              </w:rPr>
              <w:t>Режим труда и отдыха</w:t>
            </w:r>
          </w:p>
        </w:tc>
      </w:tr>
      <w:tr w14:paraId="3931B4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077" w:type="dxa"/>
          </w:tcPr>
          <w:p w14:paraId="35DA64D8">
            <w:pPr>
              <w:pStyle w:val="85"/>
              <w:jc w:val="center"/>
              <w:rPr>
                <w:color w:val="auto"/>
                <w:sz w:val="22"/>
                <w:szCs w:val="22"/>
              </w:rPr>
            </w:pPr>
            <w:r>
              <w:rPr>
                <w:color w:val="auto"/>
                <w:sz w:val="22"/>
                <w:szCs w:val="22"/>
              </w:rPr>
              <w:t>1.6</w:t>
            </w:r>
          </w:p>
        </w:tc>
        <w:tc>
          <w:tcPr>
            <w:tcW w:w="7994" w:type="dxa"/>
          </w:tcPr>
          <w:p w14:paraId="169FC6E1">
            <w:pPr>
              <w:pStyle w:val="85"/>
              <w:jc w:val="both"/>
              <w:rPr>
                <w:color w:val="auto"/>
                <w:sz w:val="22"/>
                <w:szCs w:val="22"/>
              </w:rPr>
            </w:pPr>
            <w:r>
              <w:rPr>
                <w:color w:val="auto"/>
                <w:sz w:val="22"/>
                <w:szCs w:val="22"/>
              </w:rPr>
              <w:t>Семья. Моя семья в прошлом и настоящем. Имена и фамилии членов семьи, их профессии. Домашний адрес</w:t>
            </w:r>
          </w:p>
        </w:tc>
      </w:tr>
      <w:tr w14:paraId="7E3628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077" w:type="dxa"/>
          </w:tcPr>
          <w:p w14:paraId="2B0D8E35">
            <w:pPr>
              <w:pStyle w:val="85"/>
              <w:jc w:val="center"/>
              <w:rPr>
                <w:color w:val="auto"/>
                <w:sz w:val="22"/>
                <w:szCs w:val="22"/>
              </w:rPr>
            </w:pPr>
            <w:r>
              <w:rPr>
                <w:color w:val="auto"/>
                <w:sz w:val="22"/>
                <w:szCs w:val="22"/>
              </w:rPr>
              <w:t>1.7</w:t>
            </w:r>
          </w:p>
        </w:tc>
        <w:tc>
          <w:tcPr>
            <w:tcW w:w="7994" w:type="dxa"/>
          </w:tcPr>
          <w:p w14:paraId="7E4F9C1D">
            <w:pPr>
              <w:pStyle w:val="85"/>
              <w:jc w:val="both"/>
              <w:rPr>
                <w:color w:val="auto"/>
                <w:sz w:val="22"/>
                <w:szCs w:val="22"/>
              </w:rPr>
            </w:pPr>
            <w:r>
              <w:rPr>
                <w:color w:val="auto"/>
                <w:sz w:val="22"/>
                <w:szCs w:val="22"/>
              </w:rPr>
              <w:t>Взаимоотношения и взаимопомощь в семье. Совместный труд и отдых</w:t>
            </w:r>
          </w:p>
        </w:tc>
      </w:tr>
      <w:tr w14:paraId="57BA36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077" w:type="dxa"/>
          </w:tcPr>
          <w:p w14:paraId="30C97F53">
            <w:pPr>
              <w:pStyle w:val="85"/>
              <w:jc w:val="center"/>
              <w:rPr>
                <w:color w:val="auto"/>
                <w:sz w:val="22"/>
                <w:szCs w:val="22"/>
              </w:rPr>
            </w:pPr>
            <w:r>
              <w:rPr>
                <w:color w:val="auto"/>
                <w:sz w:val="22"/>
                <w:szCs w:val="22"/>
              </w:rPr>
              <w:t>1.8</w:t>
            </w:r>
          </w:p>
        </w:tc>
        <w:tc>
          <w:tcPr>
            <w:tcW w:w="7994" w:type="dxa"/>
          </w:tcPr>
          <w:p w14:paraId="6D6BE3DE">
            <w:pPr>
              <w:pStyle w:val="85"/>
              <w:jc w:val="both"/>
              <w:rPr>
                <w:color w:val="auto"/>
                <w:sz w:val="22"/>
                <w:szCs w:val="22"/>
              </w:rPr>
            </w:pPr>
            <w:r>
              <w:rPr>
                <w:color w:val="auto"/>
                <w:sz w:val="22"/>
                <w:szCs w:val="22"/>
              </w:rPr>
              <w:t>Россия - наша Родина. Москва - столица России. Символы России (герб, флаг, гимн). Народы России</w:t>
            </w:r>
          </w:p>
        </w:tc>
      </w:tr>
      <w:tr w14:paraId="15F9E3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077" w:type="dxa"/>
          </w:tcPr>
          <w:p w14:paraId="7F4C75CE">
            <w:pPr>
              <w:pStyle w:val="85"/>
              <w:jc w:val="center"/>
              <w:rPr>
                <w:color w:val="auto"/>
                <w:sz w:val="22"/>
                <w:szCs w:val="22"/>
              </w:rPr>
            </w:pPr>
            <w:r>
              <w:rPr>
                <w:color w:val="auto"/>
                <w:sz w:val="22"/>
                <w:szCs w:val="22"/>
              </w:rPr>
              <w:t>1.9</w:t>
            </w:r>
          </w:p>
        </w:tc>
        <w:tc>
          <w:tcPr>
            <w:tcW w:w="7994" w:type="dxa"/>
          </w:tcPr>
          <w:p w14:paraId="3933A71A">
            <w:pPr>
              <w:pStyle w:val="85"/>
              <w:jc w:val="both"/>
              <w:rPr>
                <w:color w:val="auto"/>
                <w:sz w:val="22"/>
                <w:szCs w:val="22"/>
              </w:rPr>
            </w:pPr>
            <w:r>
              <w:rPr>
                <w:color w:val="auto"/>
                <w:sz w:val="22"/>
                <w:szCs w:val="22"/>
              </w:rPr>
              <w:t>Первоначальные сведения о родном крае. Название своего населенного пункта (города, села), региона. Культурные объекты родного края</w:t>
            </w:r>
          </w:p>
        </w:tc>
      </w:tr>
      <w:tr w14:paraId="73E849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077" w:type="dxa"/>
          </w:tcPr>
          <w:p w14:paraId="3C4ADA15">
            <w:pPr>
              <w:pStyle w:val="85"/>
              <w:jc w:val="center"/>
              <w:rPr>
                <w:color w:val="auto"/>
                <w:sz w:val="22"/>
                <w:szCs w:val="22"/>
              </w:rPr>
            </w:pPr>
            <w:r>
              <w:rPr>
                <w:color w:val="auto"/>
                <w:sz w:val="22"/>
                <w:szCs w:val="22"/>
              </w:rPr>
              <w:t>1.10</w:t>
            </w:r>
          </w:p>
        </w:tc>
        <w:tc>
          <w:tcPr>
            <w:tcW w:w="7994" w:type="dxa"/>
          </w:tcPr>
          <w:p w14:paraId="6BE0E682">
            <w:pPr>
              <w:pStyle w:val="85"/>
              <w:jc w:val="both"/>
              <w:rPr>
                <w:color w:val="auto"/>
                <w:sz w:val="22"/>
                <w:szCs w:val="22"/>
              </w:rPr>
            </w:pPr>
            <w:r>
              <w:rPr>
                <w:color w:val="auto"/>
                <w:sz w:val="22"/>
                <w:szCs w:val="22"/>
              </w:rPr>
              <w:t>Ценность и красота рукотворного мира. Правила поведения в социуме</w:t>
            </w:r>
          </w:p>
        </w:tc>
      </w:tr>
      <w:tr w14:paraId="51C0B0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077" w:type="dxa"/>
          </w:tcPr>
          <w:p w14:paraId="0CBFF642">
            <w:pPr>
              <w:pStyle w:val="85"/>
              <w:jc w:val="center"/>
              <w:rPr>
                <w:color w:val="auto"/>
                <w:sz w:val="22"/>
                <w:szCs w:val="22"/>
              </w:rPr>
            </w:pPr>
            <w:r>
              <w:rPr>
                <w:color w:val="auto"/>
                <w:sz w:val="22"/>
                <w:szCs w:val="22"/>
              </w:rPr>
              <w:t>2</w:t>
            </w:r>
          </w:p>
        </w:tc>
        <w:tc>
          <w:tcPr>
            <w:tcW w:w="7994" w:type="dxa"/>
          </w:tcPr>
          <w:p w14:paraId="62CF9283">
            <w:pPr>
              <w:pStyle w:val="85"/>
              <w:jc w:val="both"/>
              <w:rPr>
                <w:color w:val="auto"/>
                <w:sz w:val="22"/>
                <w:szCs w:val="22"/>
              </w:rPr>
            </w:pPr>
            <w:r>
              <w:rPr>
                <w:color w:val="auto"/>
                <w:sz w:val="22"/>
                <w:szCs w:val="22"/>
              </w:rPr>
              <w:t>Человек и природа</w:t>
            </w:r>
          </w:p>
        </w:tc>
      </w:tr>
      <w:tr w14:paraId="026E2C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077" w:type="dxa"/>
          </w:tcPr>
          <w:p w14:paraId="137C795B">
            <w:pPr>
              <w:pStyle w:val="85"/>
              <w:jc w:val="center"/>
              <w:rPr>
                <w:color w:val="auto"/>
                <w:sz w:val="22"/>
                <w:szCs w:val="22"/>
              </w:rPr>
            </w:pPr>
            <w:r>
              <w:rPr>
                <w:color w:val="auto"/>
                <w:sz w:val="22"/>
                <w:szCs w:val="22"/>
              </w:rPr>
              <w:t>2.1</w:t>
            </w:r>
          </w:p>
        </w:tc>
        <w:tc>
          <w:tcPr>
            <w:tcW w:w="7994" w:type="dxa"/>
          </w:tcPr>
          <w:p w14:paraId="6CC57557">
            <w:pPr>
              <w:pStyle w:val="85"/>
              <w:jc w:val="both"/>
              <w:rPr>
                <w:color w:val="auto"/>
                <w:sz w:val="22"/>
                <w:szCs w:val="22"/>
              </w:rPr>
            </w:pPr>
            <w:r>
              <w:rPr>
                <w:color w:val="auto"/>
                <w:sz w:val="22"/>
                <w:szCs w:val="22"/>
              </w:rPr>
              <w:t>Природа - среда обитания человека. Неживая и живая природа</w:t>
            </w:r>
          </w:p>
        </w:tc>
      </w:tr>
      <w:tr w14:paraId="33B96A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077" w:type="dxa"/>
          </w:tcPr>
          <w:p w14:paraId="622DB160">
            <w:pPr>
              <w:pStyle w:val="85"/>
              <w:jc w:val="center"/>
              <w:rPr>
                <w:color w:val="auto"/>
                <w:sz w:val="22"/>
                <w:szCs w:val="22"/>
              </w:rPr>
            </w:pPr>
            <w:r>
              <w:rPr>
                <w:color w:val="auto"/>
                <w:sz w:val="22"/>
                <w:szCs w:val="22"/>
              </w:rPr>
              <w:t>2.2</w:t>
            </w:r>
          </w:p>
        </w:tc>
        <w:tc>
          <w:tcPr>
            <w:tcW w:w="7994" w:type="dxa"/>
          </w:tcPr>
          <w:p w14:paraId="3DC7FD8B">
            <w:pPr>
              <w:pStyle w:val="85"/>
              <w:jc w:val="both"/>
              <w:rPr>
                <w:color w:val="auto"/>
                <w:sz w:val="22"/>
                <w:szCs w:val="22"/>
              </w:rPr>
            </w:pPr>
            <w:r>
              <w:rPr>
                <w:color w:val="auto"/>
                <w:sz w:val="22"/>
                <w:szCs w:val="22"/>
              </w:rPr>
              <w:t>Природа и предметы, созданные человеком. Природные материалы. Бережное отношение к предметам, вещам, уход за ними</w:t>
            </w:r>
          </w:p>
        </w:tc>
      </w:tr>
      <w:tr w14:paraId="67FD8A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077" w:type="dxa"/>
          </w:tcPr>
          <w:p w14:paraId="08752E45">
            <w:pPr>
              <w:pStyle w:val="85"/>
              <w:jc w:val="center"/>
              <w:rPr>
                <w:color w:val="auto"/>
                <w:sz w:val="22"/>
                <w:szCs w:val="22"/>
              </w:rPr>
            </w:pPr>
            <w:r>
              <w:rPr>
                <w:color w:val="auto"/>
                <w:sz w:val="22"/>
                <w:szCs w:val="22"/>
              </w:rPr>
              <w:t>2.3</w:t>
            </w:r>
          </w:p>
        </w:tc>
        <w:tc>
          <w:tcPr>
            <w:tcW w:w="7994" w:type="dxa"/>
          </w:tcPr>
          <w:p w14:paraId="257E983A">
            <w:pPr>
              <w:pStyle w:val="85"/>
              <w:jc w:val="both"/>
              <w:rPr>
                <w:color w:val="auto"/>
                <w:sz w:val="22"/>
                <w:szCs w:val="22"/>
              </w:rPr>
            </w:pPr>
            <w:r>
              <w:rPr>
                <w:color w:val="auto"/>
                <w:sz w:val="22"/>
                <w:szCs w:val="22"/>
              </w:rPr>
              <w:t>Наблюдение за погодой своего края. Погода и термометр. Определение температуры воздуха (воды) по термометру</w:t>
            </w:r>
          </w:p>
        </w:tc>
      </w:tr>
      <w:tr w14:paraId="5D103A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077" w:type="dxa"/>
          </w:tcPr>
          <w:p w14:paraId="1556C44D">
            <w:pPr>
              <w:pStyle w:val="85"/>
              <w:jc w:val="center"/>
              <w:rPr>
                <w:color w:val="auto"/>
                <w:sz w:val="22"/>
                <w:szCs w:val="22"/>
              </w:rPr>
            </w:pPr>
            <w:r>
              <w:rPr>
                <w:color w:val="auto"/>
                <w:sz w:val="22"/>
                <w:szCs w:val="22"/>
              </w:rPr>
              <w:t>2.4</w:t>
            </w:r>
          </w:p>
        </w:tc>
        <w:tc>
          <w:tcPr>
            <w:tcW w:w="7994" w:type="dxa"/>
          </w:tcPr>
          <w:p w14:paraId="3FF47C4B">
            <w:pPr>
              <w:pStyle w:val="85"/>
              <w:jc w:val="both"/>
              <w:rPr>
                <w:color w:val="auto"/>
                <w:sz w:val="22"/>
                <w:szCs w:val="22"/>
              </w:rPr>
            </w:pPr>
            <w:r>
              <w:rPr>
                <w:color w:val="auto"/>
                <w:sz w:val="22"/>
                <w:szCs w:val="22"/>
              </w:rPr>
              <w:t>Сезонные изменения в природе</w:t>
            </w:r>
          </w:p>
        </w:tc>
      </w:tr>
      <w:tr w14:paraId="4C5F24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077" w:type="dxa"/>
          </w:tcPr>
          <w:p w14:paraId="60AB075F">
            <w:pPr>
              <w:pStyle w:val="85"/>
              <w:jc w:val="center"/>
              <w:rPr>
                <w:color w:val="auto"/>
                <w:sz w:val="22"/>
                <w:szCs w:val="22"/>
              </w:rPr>
            </w:pPr>
            <w:r>
              <w:rPr>
                <w:color w:val="auto"/>
                <w:sz w:val="22"/>
                <w:szCs w:val="22"/>
              </w:rPr>
              <w:t>2.5</w:t>
            </w:r>
          </w:p>
        </w:tc>
        <w:tc>
          <w:tcPr>
            <w:tcW w:w="7994" w:type="dxa"/>
          </w:tcPr>
          <w:p w14:paraId="7DCE2E44">
            <w:pPr>
              <w:pStyle w:val="85"/>
              <w:jc w:val="both"/>
              <w:rPr>
                <w:color w:val="auto"/>
                <w:sz w:val="22"/>
                <w:szCs w:val="22"/>
              </w:rPr>
            </w:pPr>
            <w:r>
              <w:rPr>
                <w:color w:val="auto"/>
                <w:sz w:val="22"/>
                <w:szCs w:val="22"/>
              </w:rPr>
              <w:t>Взаимосвязи между человеком и природой. Правила нравственного и безопасного поведения в природе</w:t>
            </w:r>
          </w:p>
        </w:tc>
      </w:tr>
      <w:tr w14:paraId="4BF555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077" w:type="dxa"/>
          </w:tcPr>
          <w:p w14:paraId="4249F747">
            <w:pPr>
              <w:pStyle w:val="85"/>
              <w:jc w:val="center"/>
              <w:rPr>
                <w:color w:val="auto"/>
                <w:sz w:val="22"/>
                <w:szCs w:val="22"/>
              </w:rPr>
            </w:pPr>
            <w:r>
              <w:rPr>
                <w:color w:val="auto"/>
                <w:sz w:val="22"/>
                <w:szCs w:val="22"/>
              </w:rPr>
              <w:t>2.6</w:t>
            </w:r>
          </w:p>
        </w:tc>
        <w:tc>
          <w:tcPr>
            <w:tcW w:w="7994" w:type="dxa"/>
          </w:tcPr>
          <w:p w14:paraId="2502C94C">
            <w:pPr>
              <w:pStyle w:val="85"/>
              <w:jc w:val="both"/>
              <w:rPr>
                <w:color w:val="auto"/>
                <w:sz w:val="22"/>
                <w:szCs w:val="22"/>
              </w:rPr>
            </w:pPr>
            <w:r>
              <w:rPr>
                <w:color w:val="auto"/>
                <w:sz w:val="22"/>
                <w:szCs w:val="22"/>
              </w:rPr>
              <w:t>Растительный мир. Растения ближайшего окружения (узнавание, называние, краткое описание). Лиственные и хвойные растения. Дикорастущие и культурные растения</w:t>
            </w:r>
          </w:p>
        </w:tc>
      </w:tr>
      <w:tr w14:paraId="2571C7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077" w:type="dxa"/>
          </w:tcPr>
          <w:p w14:paraId="15989A57">
            <w:pPr>
              <w:pStyle w:val="85"/>
              <w:jc w:val="center"/>
              <w:rPr>
                <w:color w:val="auto"/>
                <w:sz w:val="22"/>
                <w:szCs w:val="22"/>
              </w:rPr>
            </w:pPr>
            <w:r>
              <w:rPr>
                <w:color w:val="auto"/>
                <w:sz w:val="22"/>
                <w:szCs w:val="22"/>
              </w:rPr>
              <w:t>2.7</w:t>
            </w:r>
          </w:p>
        </w:tc>
        <w:tc>
          <w:tcPr>
            <w:tcW w:w="7994" w:type="dxa"/>
          </w:tcPr>
          <w:p w14:paraId="60020C49">
            <w:pPr>
              <w:pStyle w:val="85"/>
              <w:jc w:val="both"/>
              <w:rPr>
                <w:color w:val="auto"/>
                <w:sz w:val="22"/>
                <w:szCs w:val="22"/>
              </w:rPr>
            </w:pPr>
            <w:r>
              <w:rPr>
                <w:color w:val="auto"/>
                <w:sz w:val="22"/>
                <w:szCs w:val="22"/>
              </w:rPr>
              <w:t>Части растения (название, краткая характеристика значения для жизни растения): корень, стебель, лист, цветок, плод, семя</w:t>
            </w:r>
          </w:p>
        </w:tc>
      </w:tr>
      <w:tr w14:paraId="0140BE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077" w:type="dxa"/>
          </w:tcPr>
          <w:p w14:paraId="417A0985">
            <w:pPr>
              <w:pStyle w:val="85"/>
              <w:jc w:val="center"/>
              <w:rPr>
                <w:color w:val="auto"/>
                <w:sz w:val="22"/>
                <w:szCs w:val="22"/>
              </w:rPr>
            </w:pPr>
            <w:r>
              <w:rPr>
                <w:color w:val="auto"/>
                <w:sz w:val="22"/>
                <w:szCs w:val="22"/>
              </w:rPr>
              <w:t>2.8</w:t>
            </w:r>
          </w:p>
        </w:tc>
        <w:tc>
          <w:tcPr>
            <w:tcW w:w="7994" w:type="dxa"/>
          </w:tcPr>
          <w:p w14:paraId="6A338528">
            <w:pPr>
              <w:pStyle w:val="85"/>
              <w:jc w:val="both"/>
              <w:rPr>
                <w:color w:val="auto"/>
                <w:sz w:val="22"/>
                <w:szCs w:val="22"/>
              </w:rPr>
            </w:pPr>
            <w:r>
              <w:rPr>
                <w:color w:val="auto"/>
                <w:sz w:val="22"/>
                <w:szCs w:val="22"/>
              </w:rPr>
              <w:t>Комнатные растения, правила содержания и ухода</w:t>
            </w:r>
          </w:p>
        </w:tc>
      </w:tr>
      <w:tr w14:paraId="3108BE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077" w:type="dxa"/>
          </w:tcPr>
          <w:p w14:paraId="03F99264">
            <w:pPr>
              <w:pStyle w:val="85"/>
              <w:jc w:val="center"/>
              <w:rPr>
                <w:color w:val="auto"/>
                <w:sz w:val="22"/>
                <w:szCs w:val="22"/>
              </w:rPr>
            </w:pPr>
            <w:r>
              <w:rPr>
                <w:color w:val="auto"/>
                <w:sz w:val="22"/>
                <w:szCs w:val="22"/>
              </w:rPr>
              <w:t>2.9</w:t>
            </w:r>
          </w:p>
        </w:tc>
        <w:tc>
          <w:tcPr>
            <w:tcW w:w="7994" w:type="dxa"/>
          </w:tcPr>
          <w:p w14:paraId="49DD45B2">
            <w:pPr>
              <w:pStyle w:val="85"/>
              <w:jc w:val="both"/>
              <w:rPr>
                <w:color w:val="auto"/>
                <w:sz w:val="22"/>
                <w:szCs w:val="22"/>
              </w:rPr>
            </w:pPr>
            <w:r>
              <w:rPr>
                <w:color w:val="auto"/>
                <w:sz w:val="22"/>
                <w:szCs w:val="22"/>
              </w:rPr>
              <w:t>Мир животных. Разные группы животных (звери, насекомые, птицы, рыбы и другие). Домашние и дикие животные (различия в условиях жизни). Забота о домашних питомцах</w:t>
            </w:r>
          </w:p>
        </w:tc>
      </w:tr>
      <w:tr w14:paraId="34F71E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077" w:type="dxa"/>
          </w:tcPr>
          <w:p w14:paraId="2E90D7C0">
            <w:pPr>
              <w:pStyle w:val="85"/>
              <w:jc w:val="center"/>
              <w:rPr>
                <w:color w:val="auto"/>
                <w:sz w:val="22"/>
                <w:szCs w:val="22"/>
              </w:rPr>
            </w:pPr>
            <w:r>
              <w:rPr>
                <w:color w:val="auto"/>
                <w:sz w:val="22"/>
                <w:szCs w:val="22"/>
              </w:rPr>
              <w:t>3</w:t>
            </w:r>
          </w:p>
        </w:tc>
        <w:tc>
          <w:tcPr>
            <w:tcW w:w="7994" w:type="dxa"/>
          </w:tcPr>
          <w:p w14:paraId="0610B5E2">
            <w:pPr>
              <w:pStyle w:val="85"/>
              <w:jc w:val="both"/>
              <w:rPr>
                <w:color w:val="auto"/>
                <w:sz w:val="22"/>
                <w:szCs w:val="22"/>
              </w:rPr>
            </w:pPr>
            <w:r>
              <w:rPr>
                <w:color w:val="auto"/>
                <w:sz w:val="22"/>
                <w:szCs w:val="22"/>
              </w:rPr>
              <w:t>Правила безопасной жизнедеятельности</w:t>
            </w:r>
          </w:p>
        </w:tc>
      </w:tr>
      <w:tr w14:paraId="4214CD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077" w:type="dxa"/>
          </w:tcPr>
          <w:p w14:paraId="435AC443">
            <w:pPr>
              <w:pStyle w:val="85"/>
              <w:jc w:val="center"/>
              <w:rPr>
                <w:color w:val="auto"/>
                <w:sz w:val="22"/>
                <w:szCs w:val="22"/>
              </w:rPr>
            </w:pPr>
            <w:r>
              <w:rPr>
                <w:color w:val="auto"/>
                <w:sz w:val="22"/>
                <w:szCs w:val="22"/>
              </w:rPr>
              <w:t>3.1</w:t>
            </w:r>
          </w:p>
        </w:tc>
        <w:tc>
          <w:tcPr>
            <w:tcW w:w="7994" w:type="dxa"/>
          </w:tcPr>
          <w:p w14:paraId="2A5E4B5D">
            <w:pPr>
              <w:pStyle w:val="85"/>
              <w:jc w:val="both"/>
              <w:rPr>
                <w:color w:val="auto"/>
                <w:sz w:val="22"/>
                <w:szCs w:val="22"/>
              </w:rPr>
            </w:pPr>
            <w:r>
              <w:rPr>
                <w:color w:val="auto"/>
                <w:sz w:val="22"/>
                <w:szCs w:val="22"/>
              </w:rPr>
              <w:t>Понимание необходимости соблюдения режима дня, правил здорового питания и личной гигиены</w:t>
            </w:r>
          </w:p>
        </w:tc>
      </w:tr>
      <w:tr w14:paraId="657CB2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077" w:type="dxa"/>
          </w:tcPr>
          <w:p w14:paraId="13095306">
            <w:pPr>
              <w:pStyle w:val="85"/>
              <w:jc w:val="center"/>
              <w:rPr>
                <w:color w:val="auto"/>
                <w:sz w:val="22"/>
                <w:szCs w:val="22"/>
              </w:rPr>
            </w:pPr>
            <w:r>
              <w:rPr>
                <w:color w:val="auto"/>
                <w:sz w:val="22"/>
                <w:szCs w:val="22"/>
              </w:rPr>
              <w:t>3.2</w:t>
            </w:r>
          </w:p>
        </w:tc>
        <w:tc>
          <w:tcPr>
            <w:tcW w:w="7994" w:type="dxa"/>
          </w:tcPr>
          <w:p w14:paraId="055B2C78">
            <w:pPr>
              <w:pStyle w:val="85"/>
              <w:jc w:val="both"/>
              <w:rPr>
                <w:color w:val="auto"/>
                <w:sz w:val="22"/>
                <w:szCs w:val="22"/>
              </w:rPr>
            </w:pPr>
            <w:r>
              <w:rPr>
                <w:color w:val="auto"/>
                <w:sz w:val="22"/>
                <w:szCs w:val="22"/>
              </w:rPr>
              <w:t>Правила безопасности в быту: пользование бытовыми электроприборами, газовыми плитами</w:t>
            </w:r>
          </w:p>
        </w:tc>
      </w:tr>
      <w:tr w14:paraId="2CF6A9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077" w:type="dxa"/>
          </w:tcPr>
          <w:p w14:paraId="09E30AD5">
            <w:pPr>
              <w:pStyle w:val="85"/>
              <w:jc w:val="center"/>
              <w:rPr>
                <w:color w:val="auto"/>
                <w:sz w:val="22"/>
                <w:szCs w:val="22"/>
              </w:rPr>
            </w:pPr>
            <w:r>
              <w:rPr>
                <w:color w:val="auto"/>
                <w:sz w:val="22"/>
                <w:szCs w:val="22"/>
              </w:rPr>
              <w:t>3.3</w:t>
            </w:r>
          </w:p>
        </w:tc>
        <w:tc>
          <w:tcPr>
            <w:tcW w:w="7994" w:type="dxa"/>
          </w:tcPr>
          <w:p w14:paraId="3EE6E52E">
            <w:pPr>
              <w:pStyle w:val="85"/>
              <w:jc w:val="both"/>
              <w:rPr>
                <w:color w:val="auto"/>
                <w:sz w:val="22"/>
                <w:szCs w:val="22"/>
              </w:rPr>
            </w:pPr>
            <w:r>
              <w:rPr>
                <w:color w:val="auto"/>
                <w:sz w:val="22"/>
                <w:szCs w:val="22"/>
              </w:rPr>
              <w:t>Дорога от дома до школы. Правила безопасного поведения пешехода (дорожные знаки, дорожная разметка, дорожные сигналы)</w:t>
            </w:r>
          </w:p>
        </w:tc>
      </w:tr>
      <w:tr w14:paraId="7B53B5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077" w:type="dxa"/>
          </w:tcPr>
          <w:p w14:paraId="23DFD89C">
            <w:pPr>
              <w:pStyle w:val="85"/>
              <w:jc w:val="center"/>
              <w:rPr>
                <w:color w:val="auto"/>
                <w:sz w:val="22"/>
                <w:szCs w:val="22"/>
              </w:rPr>
            </w:pPr>
            <w:r>
              <w:rPr>
                <w:color w:val="auto"/>
                <w:sz w:val="22"/>
                <w:szCs w:val="22"/>
              </w:rPr>
              <w:t>3.4</w:t>
            </w:r>
          </w:p>
        </w:tc>
        <w:tc>
          <w:tcPr>
            <w:tcW w:w="7994" w:type="dxa"/>
          </w:tcPr>
          <w:p w14:paraId="0FC0DE4C">
            <w:pPr>
              <w:pStyle w:val="85"/>
              <w:jc w:val="both"/>
              <w:rPr>
                <w:color w:val="auto"/>
                <w:sz w:val="22"/>
                <w:szCs w:val="22"/>
              </w:rPr>
            </w:pPr>
            <w:r>
              <w:rPr>
                <w:color w:val="auto"/>
                <w:sz w:val="22"/>
                <w:szCs w:val="22"/>
              </w:rPr>
              <w:t>Безопасность в сети Интернет (электронный дневник и электронные ресурсы школы) в условиях контролируемого доступа в информационно-телекоммуникационную сеть Интернет</w:t>
            </w:r>
          </w:p>
        </w:tc>
      </w:tr>
    </w:tbl>
    <w:p w14:paraId="0AB8A7BF">
      <w:pPr>
        <w:pStyle w:val="85"/>
        <w:jc w:val="both"/>
        <w:rPr>
          <w:color w:val="auto"/>
          <w:sz w:val="22"/>
          <w:szCs w:val="22"/>
        </w:rPr>
      </w:pPr>
    </w:p>
    <w:p w14:paraId="657E8D7B">
      <w:pPr>
        <w:pStyle w:val="85"/>
        <w:jc w:val="right"/>
        <w:rPr>
          <w:color w:val="auto"/>
          <w:sz w:val="22"/>
          <w:szCs w:val="22"/>
        </w:rPr>
      </w:pPr>
      <w:r>
        <w:rPr>
          <w:color w:val="auto"/>
          <w:sz w:val="22"/>
          <w:szCs w:val="22"/>
        </w:rPr>
        <w:t>Таблица 12.2</w:t>
      </w:r>
    </w:p>
    <w:p w14:paraId="65BB583D">
      <w:pPr>
        <w:pStyle w:val="85"/>
        <w:jc w:val="both"/>
        <w:rPr>
          <w:color w:val="auto"/>
          <w:sz w:val="22"/>
          <w:szCs w:val="22"/>
        </w:rPr>
      </w:pPr>
    </w:p>
    <w:p w14:paraId="148972BD">
      <w:pPr>
        <w:pStyle w:val="85"/>
        <w:jc w:val="center"/>
        <w:rPr>
          <w:color w:val="auto"/>
          <w:sz w:val="22"/>
          <w:szCs w:val="22"/>
        </w:rPr>
      </w:pPr>
      <w:r>
        <w:rPr>
          <w:color w:val="auto"/>
          <w:sz w:val="22"/>
          <w:szCs w:val="22"/>
        </w:rPr>
        <w:t>Проверяемые требования к результатам освоения основной</w:t>
      </w:r>
    </w:p>
    <w:p w14:paraId="027E1607">
      <w:pPr>
        <w:pStyle w:val="85"/>
        <w:jc w:val="center"/>
        <w:rPr>
          <w:color w:val="auto"/>
          <w:sz w:val="22"/>
          <w:szCs w:val="22"/>
        </w:rPr>
      </w:pPr>
      <w:r>
        <w:rPr>
          <w:color w:val="auto"/>
          <w:sz w:val="22"/>
          <w:szCs w:val="22"/>
        </w:rPr>
        <w:t>образовательной программы (2 класс)</w:t>
      </w:r>
    </w:p>
    <w:p w14:paraId="3FB34040">
      <w:pPr>
        <w:pStyle w:val="85"/>
        <w:jc w:val="both"/>
        <w:rPr>
          <w:color w:val="auto"/>
          <w:sz w:val="22"/>
          <w:szCs w:val="22"/>
        </w:rPr>
      </w:pPr>
    </w:p>
    <w:tbl>
      <w:tblPr>
        <w:tblStyle w:val="1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02" w:type="dxa"/>
          <w:left w:w="62" w:type="dxa"/>
          <w:bottom w:w="102" w:type="dxa"/>
          <w:right w:w="62" w:type="dxa"/>
        </w:tblCellMar>
      </w:tblPr>
      <w:tblGrid>
        <w:gridCol w:w="1701"/>
        <w:gridCol w:w="7370"/>
      </w:tblGrid>
      <w:tr w14:paraId="70A8B6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701" w:type="dxa"/>
          </w:tcPr>
          <w:p w14:paraId="76C75A57">
            <w:pPr>
              <w:pStyle w:val="85"/>
              <w:jc w:val="center"/>
              <w:rPr>
                <w:color w:val="auto"/>
                <w:sz w:val="22"/>
                <w:szCs w:val="22"/>
              </w:rPr>
            </w:pPr>
            <w:r>
              <w:rPr>
                <w:color w:val="auto"/>
                <w:sz w:val="22"/>
                <w:szCs w:val="22"/>
              </w:rPr>
              <w:t>Код проверяемого результата</w:t>
            </w:r>
          </w:p>
        </w:tc>
        <w:tc>
          <w:tcPr>
            <w:tcW w:w="7370" w:type="dxa"/>
          </w:tcPr>
          <w:p w14:paraId="0FB461BD">
            <w:pPr>
              <w:pStyle w:val="85"/>
              <w:jc w:val="center"/>
              <w:rPr>
                <w:color w:val="auto"/>
                <w:sz w:val="22"/>
                <w:szCs w:val="22"/>
              </w:rPr>
            </w:pPr>
            <w:r>
              <w:rPr>
                <w:color w:val="auto"/>
                <w:sz w:val="22"/>
                <w:szCs w:val="22"/>
              </w:rPr>
              <w:t>Проверяемые предметные результаты освоения основной образовательной программы начального общего образования</w:t>
            </w:r>
          </w:p>
        </w:tc>
      </w:tr>
      <w:tr w14:paraId="22CECB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701" w:type="dxa"/>
          </w:tcPr>
          <w:p w14:paraId="426E9261">
            <w:pPr>
              <w:pStyle w:val="85"/>
              <w:rPr>
                <w:color w:val="auto"/>
                <w:sz w:val="22"/>
                <w:szCs w:val="22"/>
              </w:rPr>
            </w:pPr>
          </w:p>
        </w:tc>
        <w:tc>
          <w:tcPr>
            <w:tcW w:w="7370" w:type="dxa"/>
          </w:tcPr>
          <w:p w14:paraId="4F02AD4E">
            <w:pPr>
              <w:pStyle w:val="85"/>
              <w:jc w:val="both"/>
              <w:rPr>
                <w:color w:val="auto"/>
                <w:sz w:val="22"/>
                <w:szCs w:val="22"/>
              </w:rPr>
            </w:pPr>
            <w:r>
              <w:rPr>
                <w:color w:val="auto"/>
                <w:sz w:val="22"/>
                <w:szCs w:val="22"/>
              </w:rPr>
              <w:t>Человек и общество</w:t>
            </w:r>
          </w:p>
        </w:tc>
      </w:tr>
      <w:tr w14:paraId="1DBBD6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701" w:type="dxa"/>
          </w:tcPr>
          <w:p w14:paraId="1E828881">
            <w:pPr>
              <w:pStyle w:val="85"/>
              <w:jc w:val="center"/>
              <w:rPr>
                <w:color w:val="auto"/>
                <w:sz w:val="22"/>
                <w:szCs w:val="22"/>
              </w:rPr>
            </w:pPr>
            <w:r>
              <w:rPr>
                <w:color w:val="auto"/>
                <w:sz w:val="22"/>
                <w:szCs w:val="22"/>
              </w:rPr>
              <w:t>1</w:t>
            </w:r>
          </w:p>
        </w:tc>
        <w:tc>
          <w:tcPr>
            <w:tcW w:w="7370" w:type="dxa"/>
          </w:tcPr>
          <w:p w14:paraId="2377A134">
            <w:pPr>
              <w:pStyle w:val="85"/>
              <w:jc w:val="both"/>
              <w:rPr>
                <w:color w:val="auto"/>
                <w:sz w:val="22"/>
                <w:szCs w:val="22"/>
              </w:rPr>
            </w:pPr>
            <w:r>
              <w:rPr>
                <w:color w:val="auto"/>
                <w:sz w:val="22"/>
                <w:szCs w:val="22"/>
              </w:rPr>
              <w:t>находить Россию на карте мира, на карте России - Москву, свой регион и его главный город</w:t>
            </w:r>
          </w:p>
        </w:tc>
      </w:tr>
      <w:tr w14:paraId="64CD46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701" w:type="dxa"/>
          </w:tcPr>
          <w:p w14:paraId="7C07E7A4">
            <w:pPr>
              <w:pStyle w:val="85"/>
              <w:jc w:val="center"/>
              <w:rPr>
                <w:color w:val="auto"/>
                <w:sz w:val="22"/>
                <w:szCs w:val="22"/>
              </w:rPr>
            </w:pPr>
            <w:r>
              <w:rPr>
                <w:color w:val="auto"/>
                <w:sz w:val="22"/>
                <w:szCs w:val="22"/>
              </w:rPr>
              <w:t>2</w:t>
            </w:r>
          </w:p>
        </w:tc>
        <w:tc>
          <w:tcPr>
            <w:tcW w:w="7370" w:type="dxa"/>
          </w:tcPr>
          <w:p w14:paraId="7C4EB0AE">
            <w:pPr>
              <w:pStyle w:val="85"/>
              <w:jc w:val="both"/>
              <w:rPr>
                <w:color w:val="auto"/>
                <w:sz w:val="22"/>
                <w:szCs w:val="22"/>
              </w:rPr>
            </w:pPr>
            <w:r>
              <w:rPr>
                <w:color w:val="auto"/>
                <w:sz w:val="22"/>
                <w:szCs w:val="22"/>
              </w:rPr>
              <w:t>узнавать государственную символику Российской Федерации (гимн, герб, флаг) и своего региона</w:t>
            </w:r>
          </w:p>
        </w:tc>
      </w:tr>
      <w:tr w14:paraId="281B63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701" w:type="dxa"/>
          </w:tcPr>
          <w:p w14:paraId="557BBA42">
            <w:pPr>
              <w:pStyle w:val="85"/>
              <w:jc w:val="center"/>
              <w:rPr>
                <w:color w:val="auto"/>
                <w:sz w:val="22"/>
                <w:szCs w:val="22"/>
              </w:rPr>
            </w:pPr>
            <w:r>
              <w:rPr>
                <w:color w:val="auto"/>
                <w:sz w:val="22"/>
                <w:szCs w:val="22"/>
              </w:rPr>
              <w:t>3</w:t>
            </w:r>
          </w:p>
        </w:tc>
        <w:tc>
          <w:tcPr>
            <w:tcW w:w="7370" w:type="dxa"/>
          </w:tcPr>
          <w:p w14:paraId="4F3F5B1E">
            <w:pPr>
              <w:pStyle w:val="85"/>
              <w:jc w:val="both"/>
              <w:rPr>
                <w:color w:val="auto"/>
                <w:sz w:val="22"/>
                <w:szCs w:val="22"/>
              </w:rPr>
            </w:pPr>
            <w:r>
              <w:rPr>
                <w:color w:val="auto"/>
                <w:sz w:val="22"/>
                <w:szCs w:val="22"/>
              </w:rPr>
              <w:t>проявлять уважение к семейным ценностям и традициям, традициям своего народа и других народов, государственным символам России; соблюдать правила нравственного поведения в социуме и на природе</w:t>
            </w:r>
          </w:p>
        </w:tc>
      </w:tr>
      <w:tr w14:paraId="733FF1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701" w:type="dxa"/>
          </w:tcPr>
          <w:p w14:paraId="6EF2AE21">
            <w:pPr>
              <w:pStyle w:val="85"/>
              <w:jc w:val="center"/>
              <w:rPr>
                <w:color w:val="auto"/>
                <w:sz w:val="22"/>
                <w:szCs w:val="22"/>
              </w:rPr>
            </w:pPr>
            <w:r>
              <w:rPr>
                <w:color w:val="auto"/>
                <w:sz w:val="22"/>
                <w:szCs w:val="22"/>
              </w:rPr>
              <w:t>4</w:t>
            </w:r>
          </w:p>
        </w:tc>
        <w:tc>
          <w:tcPr>
            <w:tcW w:w="7370" w:type="dxa"/>
          </w:tcPr>
          <w:p w14:paraId="0EB9AC89">
            <w:pPr>
              <w:pStyle w:val="85"/>
              <w:jc w:val="both"/>
              <w:rPr>
                <w:color w:val="auto"/>
                <w:sz w:val="22"/>
                <w:szCs w:val="22"/>
              </w:rPr>
            </w:pPr>
            <w:r>
              <w:rPr>
                <w:color w:val="auto"/>
                <w:sz w:val="22"/>
                <w:szCs w:val="22"/>
              </w:rPr>
              <w:t>приводить примеры изученных традиций, обычаев и праздников народов родного края; важных событий прошлого и настоящего родного края; трудовой деятельности и профессий жителей родного края</w:t>
            </w:r>
          </w:p>
        </w:tc>
      </w:tr>
      <w:tr w14:paraId="510DED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701" w:type="dxa"/>
          </w:tcPr>
          <w:p w14:paraId="1BE57F28">
            <w:pPr>
              <w:pStyle w:val="85"/>
              <w:jc w:val="center"/>
              <w:rPr>
                <w:color w:val="auto"/>
                <w:sz w:val="22"/>
                <w:szCs w:val="22"/>
              </w:rPr>
            </w:pPr>
            <w:r>
              <w:rPr>
                <w:color w:val="auto"/>
                <w:sz w:val="22"/>
                <w:szCs w:val="22"/>
              </w:rPr>
              <w:t>5</w:t>
            </w:r>
          </w:p>
        </w:tc>
        <w:tc>
          <w:tcPr>
            <w:tcW w:w="7370" w:type="dxa"/>
          </w:tcPr>
          <w:p w14:paraId="68041BAF">
            <w:pPr>
              <w:pStyle w:val="85"/>
              <w:jc w:val="both"/>
              <w:rPr>
                <w:color w:val="auto"/>
                <w:sz w:val="22"/>
                <w:szCs w:val="22"/>
              </w:rPr>
            </w:pPr>
            <w:r>
              <w:rPr>
                <w:color w:val="auto"/>
                <w:sz w:val="22"/>
                <w:szCs w:val="22"/>
              </w:rPr>
              <w:t>описывать на основе предложенного плана или опорных слов изученные культурные объекты (достопримечательности родного края, музейные экспонаты); создавать по заданному плану развернутые высказывания об обществе</w:t>
            </w:r>
          </w:p>
        </w:tc>
      </w:tr>
      <w:tr w14:paraId="755380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701" w:type="dxa"/>
          </w:tcPr>
          <w:p w14:paraId="3FA92238">
            <w:pPr>
              <w:pStyle w:val="85"/>
              <w:jc w:val="center"/>
              <w:rPr>
                <w:color w:val="auto"/>
                <w:sz w:val="22"/>
                <w:szCs w:val="22"/>
              </w:rPr>
            </w:pPr>
            <w:r>
              <w:rPr>
                <w:color w:val="auto"/>
                <w:sz w:val="22"/>
                <w:szCs w:val="22"/>
              </w:rPr>
              <w:t>6</w:t>
            </w:r>
          </w:p>
        </w:tc>
        <w:tc>
          <w:tcPr>
            <w:tcW w:w="7370" w:type="dxa"/>
          </w:tcPr>
          <w:p w14:paraId="00874BF2">
            <w:pPr>
              <w:pStyle w:val="85"/>
              <w:jc w:val="both"/>
              <w:rPr>
                <w:color w:val="auto"/>
                <w:sz w:val="22"/>
                <w:szCs w:val="22"/>
              </w:rPr>
            </w:pPr>
            <w:r>
              <w:rPr>
                <w:color w:val="auto"/>
                <w:sz w:val="22"/>
                <w:szCs w:val="22"/>
              </w:rPr>
              <w:t>использовать для ответов на вопросы небольшие тексты о природе и обществе</w:t>
            </w:r>
          </w:p>
        </w:tc>
      </w:tr>
      <w:tr w14:paraId="26356E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701" w:type="dxa"/>
          </w:tcPr>
          <w:p w14:paraId="2A3DC55F">
            <w:pPr>
              <w:pStyle w:val="85"/>
              <w:jc w:val="center"/>
              <w:rPr>
                <w:color w:val="auto"/>
                <w:sz w:val="22"/>
                <w:szCs w:val="22"/>
              </w:rPr>
            </w:pPr>
            <w:r>
              <w:rPr>
                <w:color w:val="auto"/>
                <w:sz w:val="22"/>
                <w:szCs w:val="22"/>
              </w:rPr>
              <w:t>7</w:t>
            </w:r>
          </w:p>
        </w:tc>
        <w:tc>
          <w:tcPr>
            <w:tcW w:w="7370" w:type="dxa"/>
          </w:tcPr>
          <w:p w14:paraId="30900203">
            <w:pPr>
              <w:pStyle w:val="85"/>
              <w:jc w:val="both"/>
              <w:rPr>
                <w:color w:val="auto"/>
                <w:sz w:val="22"/>
                <w:szCs w:val="22"/>
              </w:rPr>
            </w:pPr>
            <w:r>
              <w:rPr>
                <w:color w:val="auto"/>
                <w:sz w:val="22"/>
                <w:szCs w:val="22"/>
              </w:rPr>
              <w:t>соблюдать правила нравственного поведения в социуме, оценивать примеры проявления внимания, помощи людям, нуждающимся в ней</w:t>
            </w:r>
          </w:p>
        </w:tc>
      </w:tr>
      <w:tr w14:paraId="7D74EA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701" w:type="dxa"/>
          </w:tcPr>
          <w:p w14:paraId="07066F9C">
            <w:pPr>
              <w:pStyle w:val="85"/>
              <w:rPr>
                <w:color w:val="auto"/>
                <w:sz w:val="22"/>
                <w:szCs w:val="22"/>
              </w:rPr>
            </w:pPr>
          </w:p>
        </w:tc>
        <w:tc>
          <w:tcPr>
            <w:tcW w:w="7370" w:type="dxa"/>
          </w:tcPr>
          <w:p w14:paraId="4085ECF3">
            <w:pPr>
              <w:pStyle w:val="85"/>
              <w:jc w:val="both"/>
              <w:rPr>
                <w:color w:val="auto"/>
                <w:sz w:val="22"/>
                <w:szCs w:val="22"/>
              </w:rPr>
            </w:pPr>
            <w:r>
              <w:rPr>
                <w:color w:val="auto"/>
                <w:sz w:val="22"/>
                <w:szCs w:val="22"/>
              </w:rPr>
              <w:t>Человек и природа</w:t>
            </w:r>
          </w:p>
        </w:tc>
      </w:tr>
      <w:tr w14:paraId="31542C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701" w:type="dxa"/>
          </w:tcPr>
          <w:p w14:paraId="65F25845">
            <w:pPr>
              <w:pStyle w:val="85"/>
              <w:jc w:val="center"/>
              <w:rPr>
                <w:color w:val="auto"/>
                <w:sz w:val="22"/>
                <w:szCs w:val="22"/>
              </w:rPr>
            </w:pPr>
            <w:r>
              <w:rPr>
                <w:color w:val="auto"/>
                <w:sz w:val="22"/>
                <w:szCs w:val="22"/>
              </w:rPr>
              <w:t>8</w:t>
            </w:r>
          </w:p>
        </w:tc>
        <w:tc>
          <w:tcPr>
            <w:tcW w:w="7370" w:type="dxa"/>
          </w:tcPr>
          <w:p w14:paraId="51A8D1DA">
            <w:pPr>
              <w:pStyle w:val="85"/>
              <w:jc w:val="both"/>
              <w:rPr>
                <w:color w:val="auto"/>
                <w:sz w:val="22"/>
                <w:szCs w:val="22"/>
              </w:rPr>
            </w:pPr>
            <w:r>
              <w:rPr>
                <w:color w:val="auto"/>
                <w:sz w:val="22"/>
                <w:szCs w:val="22"/>
              </w:rPr>
              <w:t>распознавать изученные объекты окружающего мира по их описанию, рисункам и фотографиям, различать их в окружающем мире</w:t>
            </w:r>
          </w:p>
        </w:tc>
      </w:tr>
      <w:tr w14:paraId="7BAF2D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701" w:type="dxa"/>
          </w:tcPr>
          <w:p w14:paraId="6C51536F">
            <w:pPr>
              <w:pStyle w:val="85"/>
              <w:jc w:val="center"/>
              <w:rPr>
                <w:color w:val="auto"/>
                <w:sz w:val="22"/>
                <w:szCs w:val="22"/>
              </w:rPr>
            </w:pPr>
            <w:r>
              <w:rPr>
                <w:color w:val="auto"/>
                <w:sz w:val="22"/>
                <w:szCs w:val="22"/>
              </w:rPr>
              <w:t>9</w:t>
            </w:r>
          </w:p>
        </w:tc>
        <w:tc>
          <w:tcPr>
            <w:tcW w:w="7370" w:type="dxa"/>
          </w:tcPr>
          <w:p w14:paraId="1F5153B0">
            <w:pPr>
              <w:pStyle w:val="85"/>
              <w:jc w:val="both"/>
              <w:rPr>
                <w:color w:val="auto"/>
                <w:sz w:val="22"/>
                <w:szCs w:val="22"/>
              </w:rPr>
            </w:pPr>
            <w:r>
              <w:rPr>
                <w:color w:val="auto"/>
                <w:sz w:val="22"/>
                <w:szCs w:val="22"/>
              </w:rPr>
              <w:t>группировать изученные объекты живой и неживой природы по предложенным признакам</w:t>
            </w:r>
          </w:p>
        </w:tc>
      </w:tr>
      <w:tr w14:paraId="2534F2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701" w:type="dxa"/>
          </w:tcPr>
          <w:p w14:paraId="2F7B0027">
            <w:pPr>
              <w:pStyle w:val="85"/>
              <w:jc w:val="center"/>
              <w:rPr>
                <w:color w:val="auto"/>
                <w:sz w:val="22"/>
                <w:szCs w:val="22"/>
              </w:rPr>
            </w:pPr>
            <w:r>
              <w:rPr>
                <w:color w:val="auto"/>
                <w:sz w:val="22"/>
                <w:szCs w:val="22"/>
              </w:rPr>
              <w:t>10</w:t>
            </w:r>
          </w:p>
        </w:tc>
        <w:tc>
          <w:tcPr>
            <w:tcW w:w="7370" w:type="dxa"/>
          </w:tcPr>
          <w:p w14:paraId="6784685D">
            <w:pPr>
              <w:pStyle w:val="85"/>
              <w:jc w:val="both"/>
              <w:rPr>
                <w:color w:val="auto"/>
                <w:sz w:val="22"/>
                <w:szCs w:val="22"/>
              </w:rPr>
            </w:pPr>
            <w:r>
              <w:rPr>
                <w:color w:val="auto"/>
                <w:sz w:val="22"/>
                <w:szCs w:val="22"/>
              </w:rPr>
              <w:t>сравнивать объекты живой и неживой природы на основе внешних признаков</w:t>
            </w:r>
          </w:p>
        </w:tc>
      </w:tr>
      <w:tr w14:paraId="1A4D35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701" w:type="dxa"/>
          </w:tcPr>
          <w:p w14:paraId="6F933A6E">
            <w:pPr>
              <w:pStyle w:val="85"/>
              <w:jc w:val="center"/>
              <w:rPr>
                <w:color w:val="auto"/>
                <w:sz w:val="22"/>
                <w:szCs w:val="22"/>
              </w:rPr>
            </w:pPr>
            <w:r>
              <w:rPr>
                <w:color w:val="auto"/>
                <w:sz w:val="22"/>
                <w:szCs w:val="22"/>
              </w:rPr>
              <w:t>11</w:t>
            </w:r>
          </w:p>
        </w:tc>
        <w:tc>
          <w:tcPr>
            <w:tcW w:w="7370" w:type="dxa"/>
          </w:tcPr>
          <w:p w14:paraId="6173DF9A">
            <w:pPr>
              <w:pStyle w:val="85"/>
              <w:jc w:val="both"/>
              <w:rPr>
                <w:color w:val="auto"/>
                <w:sz w:val="22"/>
                <w:szCs w:val="22"/>
              </w:rPr>
            </w:pPr>
            <w:r>
              <w:rPr>
                <w:color w:val="auto"/>
                <w:sz w:val="22"/>
                <w:szCs w:val="22"/>
              </w:rPr>
              <w:t>описывать на основе предложенного плана или опорных слов изученные природные объекты и явления, в том числе звезды, созвездия, планеты</w:t>
            </w:r>
          </w:p>
        </w:tc>
      </w:tr>
      <w:tr w14:paraId="0A3E5A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701" w:type="dxa"/>
          </w:tcPr>
          <w:p w14:paraId="4A88A295">
            <w:pPr>
              <w:pStyle w:val="85"/>
              <w:jc w:val="center"/>
              <w:rPr>
                <w:color w:val="auto"/>
                <w:sz w:val="22"/>
                <w:szCs w:val="22"/>
              </w:rPr>
            </w:pPr>
            <w:r>
              <w:rPr>
                <w:color w:val="auto"/>
                <w:sz w:val="22"/>
                <w:szCs w:val="22"/>
              </w:rPr>
              <w:t>12</w:t>
            </w:r>
          </w:p>
        </w:tc>
        <w:tc>
          <w:tcPr>
            <w:tcW w:w="7370" w:type="dxa"/>
          </w:tcPr>
          <w:p w14:paraId="0493158B">
            <w:pPr>
              <w:pStyle w:val="85"/>
              <w:jc w:val="both"/>
              <w:rPr>
                <w:color w:val="auto"/>
                <w:sz w:val="22"/>
                <w:szCs w:val="22"/>
              </w:rPr>
            </w:pPr>
            <w:r>
              <w:rPr>
                <w:color w:val="auto"/>
                <w:sz w:val="22"/>
                <w:szCs w:val="22"/>
              </w:rPr>
              <w:t>ориентироваться на местности по местным природным признакам, Солнцу, компасу</w:t>
            </w:r>
          </w:p>
        </w:tc>
      </w:tr>
      <w:tr w14:paraId="5CC00C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701" w:type="dxa"/>
          </w:tcPr>
          <w:p w14:paraId="1095D69A">
            <w:pPr>
              <w:pStyle w:val="85"/>
              <w:jc w:val="center"/>
              <w:rPr>
                <w:color w:val="auto"/>
                <w:sz w:val="22"/>
                <w:szCs w:val="22"/>
              </w:rPr>
            </w:pPr>
            <w:r>
              <w:rPr>
                <w:color w:val="auto"/>
                <w:sz w:val="22"/>
                <w:szCs w:val="22"/>
              </w:rPr>
              <w:t>13</w:t>
            </w:r>
          </w:p>
        </w:tc>
        <w:tc>
          <w:tcPr>
            <w:tcW w:w="7370" w:type="dxa"/>
          </w:tcPr>
          <w:p w14:paraId="2BE9EC48">
            <w:pPr>
              <w:pStyle w:val="85"/>
              <w:jc w:val="both"/>
              <w:rPr>
                <w:color w:val="auto"/>
                <w:sz w:val="22"/>
                <w:szCs w:val="22"/>
              </w:rPr>
            </w:pPr>
            <w:r>
              <w:rPr>
                <w:color w:val="auto"/>
                <w:sz w:val="22"/>
                <w:szCs w:val="22"/>
              </w:rPr>
              <w:t>проводить, соблюдая правила безопасного труда, несложные наблюдения и опыты с природными объектами, измерения</w:t>
            </w:r>
          </w:p>
        </w:tc>
      </w:tr>
      <w:tr w14:paraId="37071A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701" w:type="dxa"/>
          </w:tcPr>
          <w:p w14:paraId="115348EE">
            <w:pPr>
              <w:pStyle w:val="85"/>
              <w:jc w:val="center"/>
              <w:rPr>
                <w:color w:val="auto"/>
                <w:sz w:val="22"/>
                <w:szCs w:val="22"/>
              </w:rPr>
            </w:pPr>
            <w:r>
              <w:rPr>
                <w:color w:val="auto"/>
                <w:sz w:val="22"/>
                <w:szCs w:val="22"/>
              </w:rPr>
              <w:t>14</w:t>
            </w:r>
          </w:p>
        </w:tc>
        <w:tc>
          <w:tcPr>
            <w:tcW w:w="7370" w:type="dxa"/>
          </w:tcPr>
          <w:p w14:paraId="696A4D9C">
            <w:pPr>
              <w:pStyle w:val="85"/>
              <w:jc w:val="both"/>
              <w:rPr>
                <w:color w:val="auto"/>
                <w:sz w:val="22"/>
                <w:szCs w:val="22"/>
              </w:rPr>
            </w:pPr>
            <w:r>
              <w:rPr>
                <w:color w:val="auto"/>
                <w:sz w:val="22"/>
                <w:szCs w:val="22"/>
              </w:rPr>
              <w:t>приводить примеры изученных взаимосвязей в природе, примеры, иллюстрирующие значение природы в жизни человека</w:t>
            </w:r>
          </w:p>
        </w:tc>
      </w:tr>
      <w:tr w14:paraId="702A5A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701" w:type="dxa"/>
          </w:tcPr>
          <w:p w14:paraId="14FAD804">
            <w:pPr>
              <w:pStyle w:val="85"/>
              <w:jc w:val="center"/>
              <w:rPr>
                <w:color w:val="auto"/>
                <w:sz w:val="22"/>
                <w:szCs w:val="22"/>
              </w:rPr>
            </w:pPr>
            <w:r>
              <w:rPr>
                <w:color w:val="auto"/>
                <w:sz w:val="22"/>
                <w:szCs w:val="22"/>
              </w:rPr>
              <w:t>15</w:t>
            </w:r>
          </w:p>
        </w:tc>
        <w:tc>
          <w:tcPr>
            <w:tcW w:w="7370" w:type="dxa"/>
          </w:tcPr>
          <w:p w14:paraId="50FDAF01">
            <w:pPr>
              <w:pStyle w:val="85"/>
              <w:jc w:val="both"/>
              <w:rPr>
                <w:color w:val="auto"/>
                <w:sz w:val="22"/>
                <w:szCs w:val="22"/>
              </w:rPr>
            </w:pPr>
            <w:r>
              <w:rPr>
                <w:color w:val="auto"/>
                <w:sz w:val="22"/>
                <w:szCs w:val="22"/>
              </w:rPr>
              <w:t>создавать по заданному плану развернутые высказывания о природе</w:t>
            </w:r>
          </w:p>
        </w:tc>
      </w:tr>
      <w:tr w14:paraId="786581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701" w:type="dxa"/>
          </w:tcPr>
          <w:p w14:paraId="6B3A8B90">
            <w:pPr>
              <w:pStyle w:val="85"/>
              <w:jc w:val="center"/>
              <w:rPr>
                <w:color w:val="auto"/>
                <w:sz w:val="22"/>
                <w:szCs w:val="22"/>
              </w:rPr>
            </w:pPr>
            <w:r>
              <w:rPr>
                <w:color w:val="auto"/>
                <w:sz w:val="22"/>
                <w:szCs w:val="22"/>
              </w:rPr>
              <w:t>16</w:t>
            </w:r>
          </w:p>
        </w:tc>
        <w:tc>
          <w:tcPr>
            <w:tcW w:w="7370" w:type="dxa"/>
          </w:tcPr>
          <w:p w14:paraId="16D04534">
            <w:pPr>
              <w:pStyle w:val="85"/>
              <w:jc w:val="both"/>
              <w:rPr>
                <w:color w:val="auto"/>
                <w:sz w:val="22"/>
                <w:szCs w:val="22"/>
              </w:rPr>
            </w:pPr>
            <w:r>
              <w:rPr>
                <w:color w:val="auto"/>
                <w:sz w:val="22"/>
                <w:szCs w:val="22"/>
              </w:rPr>
              <w:t>использовать для ответов на вопросы небольшие тексты о природе</w:t>
            </w:r>
          </w:p>
        </w:tc>
      </w:tr>
      <w:tr w14:paraId="6B4CCA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701" w:type="dxa"/>
          </w:tcPr>
          <w:p w14:paraId="0AAC2D1B">
            <w:pPr>
              <w:pStyle w:val="85"/>
              <w:jc w:val="center"/>
              <w:rPr>
                <w:color w:val="auto"/>
                <w:sz w:val="22"/>
                <w:szCs w:val="22"/>
              </w:rPr>
            </w:pPr>
            <w:r>
              <w:rPr>
                <w:color w:val="auto"/>
                <w:sz w:val="22"/>
                <w:szCs w:val="22"/>
              </w:rPr>
              <w:t>17</w:t>
            </w:r>
          </w:p>
        </w:tc>
        <w:tc>
          <w:tcPr>
            <w:tcW w:w="7370" w:type="dxa"/>
          </w:tcPr>
          <w:p w14:paraId="768FF697">
            <w:pPr>
              <w:pStyle w:val="85"/>
              <w:jc w:val="both"/>
              <w:rPr>
                <w:color w:val="auto"/>
                <w:sz w:val="22"/>
                <w:szCs w:val="22"/>
              </w:rPr>
            </w:pPr>
            <w:r>
              <w:rPr>
                <w:color w:val="auto"/>
                <w:sz w:val="22"/>
                <w:szCs w:val="22"/>
              </w:rPr>
              <w:t>соблюдать правила нравственного поведения в природе, оценивать примеры положительного и негативного отношения к объектам природы</w:t>
            </w:r>
          </w:p>
        </w:tc>
      </w:tr>
      <w:tr w14:paraId="710E6E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701" w:type="dxa"/>
          </w:tcPr>
          <w:p w14:paraId="45FCE1B8">
            <w:pPr>
              <w:pStyle w:val="85"/>
              <w:rPr>
                <w:color w:val="auto"/>
                <w:sz w:val="22"/>
                <w:szCs w:val="22"/>
              </w:rPr>
            </w:pPr>
          </w:p>
        </w:tc>
        <w:tc>
          <w:tcPr>
            <w:tcW w:w="7370" w:type="dxa"/>
          </w:tcPr>
          <w:p w14:paraId="6A1BD96B">
            <w:pPr>
              <w:pStyle w:val="85"/>
              <w:jc w:val="both"/>
              <w:rPr>
                <w:color w:val="auto"/>
                <w:sz w:val="22"/>
                <w:szCs w:val="22"/>
              </w:rPr>
            </w:pPr>
            <w:r>
              <w:rPr>
                <w:color w:val="auto"/>
                <w:sz w:val="22"/>
                <w:szCs w:val="22"/>
              </w:rPr>
              <w:t>Правила безопасной жизнедеятельности</w:t>
            </w:r>
          </w:p>
        </w:tc>
      </w:tr>
      <w:tr w14:paraId="19033EB0">
        <w:tblPrEx>
          <w:tblBorders>
            <w:top w:val="single" w:color="auto" w:sz="4" w:space="0"/>
            <w:left w:val="single" w:color="auto" w:sz="4" w:space="0"/>
            <w:bottom w:val="single" w:color="auto" w:sz="4" w:space="0"/>
            <w:right w:val="single" w:color="auto" w:sz="4" w:space="0"/>
            <w:insideH w:val="none" w:color="auto" w:sz="0" w:space="0"/>
            <w:insideV w:val="single" w:color="auto" w:sz="4" w:space="0"/>
          </w:tblBorders>
          <w:tblCellMar>
            <w:top w:w="102" w:type="dxa"/>
            <w:left w:w="62" w:type="dxa"/>
            <w:bottom w:w="102" w:type="dxa"/>
            <w:right w:w="62" w:type="dxa"/>
          </w:tblCellMar>
        </w:tblPrEx>
        <w:tc>
          <w:tcPr>
            <w:tcW w:w="9071" w:type="dxa"/>
            <w:gridSpan w:val="2"/>
            <w:tcBorders>
              <w:bottom w:val="nil"/>
            </w:tcBorders>
          </w:tcPr>
          <w:tbl>
            <w:tblPr>
              <w:tblStyle w:val="13"/>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 w:type="dxa"/>
                <w:bottom w:w="0" w:type="dxa"/>
                <w:right w:w="10" w:type="dxa"/>
              </w:tblCellMar>
            </w:tblPr>
            <w:tblGrid>
              <w:gridCol w:w="56"/>
              <w:gridCol w:w="101"/>
              <w:gridCol w:w="8689"/>
              <w:gridCol w:w="101"/>
            </w:tblGrid>
            <w:tr w14:paraId="25C9047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 w:type="dxa"/>
                  <w:bottom w:w="0" w:type="dxa"/>
                  <w:right w:w="1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30C47E93">
                  <w:pPr>
                    <w:pStyle w:val="85"/>
                    <w:rPr>
                      <w:color w:val="auto"/>
                      <w:sz w:val="22"/>
                      <w:szCs w:val="22"/>
                    </w:rPr>
                  </w:pPr>
                </w:p>
              </w:tc>
              <w:tc>
                <w:tcPr>
                  <w:tcW w:w="113" w:type="dxa"/>
                  <w:tcBorders>
                    <w:top w:val="nil"/>
                    <w:left w:val="nil"/>
                    <w:bottom w:val="nil"/>
                    <w:right w:val="nil"/>
                  </w:tcBorders>
                  <w:shd w:val="clear" w:color="auto" w:fill="F4F3F8"/>
                  <w:tcMar>
                    <w:top w:w="0" w:type="dxa"/>
                    <w:left w:w="0" w:type="dxa"/>
                    <w:bottom w:w="0" w:type="dxa"/>
                    <w:right w:w="0" w:type="dxa"/>
                  </w:tcMar>
                </w:tcPr>
                <w:p w14:paraId="0EB356AC">
                  <w:pPr>
                    <w:pStyle w:val="85"/>
                    <w:rPr>
                      <w:color w:val="auto"/>
                      <w:sz w:val="22"/>
                      <w:szCs w:val="22"/>
                    </w:rPr>
                  </w:pPr>
                </w:p>
              </w:tc>
              <w:tc>
                <w:tcPr>
                  <w:tcW w:w="9921" w:type="dxa"/>
                  <w:tcBorders>
                    <w:top w:val="nil"/>
                    <w:left w:val="nil"/>
                    <w:bottom w:val="nil"/>
                    <w:right w:val="nil"/>
                  </w:tcBorders>
                  <w:shd w:val="clear" w:color="auto" w:fill="F4F3F8"/>
                  <w:tcMar>
                    <w:top w:w="113" w:type="dxa"/>
                    <w:left w:w="0" w:type="dxa"/>
                    <w:bottom w:w="113" w:type="dxa"/>
                    <w:right w:w="0" w:type="dxa"/>
                  </w:tcMar>
                </w:tcPr>
                <w:p w14:paraId="401CA876">
                  <w:pPr>
                    <w:pStyle w:val="85"/>
                    <w:jc w:val="both"/>
                    <w:rPr>
                      <w:color w:val="auto"/>
                      <w:sz w:val="22"/>
                      <w:szCs w:val="22"/>
                    </w:rPr>
                  </w:pPr>
                  <w:r>
                    <w:rPr>
                      <w:color w:val="auto"/>
                      <w:sz w:val="22"/>
                      <w:szCs w:val="22"/>
                    </w:rPr>
                    <w:t>КонсультантПлюс: примечание.</w:t>
                  </w:r>
                </w:p>
                <w:p w14:paraId="4B77111E">
                  <w:pPr>
                    <w:pStyle w:val="85"/>
                    <w:jc w:val="both"/>
                    <w:rPr>
                      <w:color w:val="auto"/>
                      <w:sz w:val="22"/>
                      <w:szCs w:val="22"/>
                    </w:rPr>
                  </w:pPr>
                  <w:r>
                    <w:rPr>
                      <w:color w:val="auto"/>
                      <w:sz w:val="22"/>
                      <w:szCs w:val="22"/>
                    </w:rPr>
                    <w:t>Нумерация пунктов дана в соответствии с официальным текстом документа.</w:t>
                  </w:r>
                </w:p>
              </w:tc>
              <w:tc>
                <w:tcPr>
                  <w:tcW w:w="113" w:type="dxa"/>
                  <w:tcBorders>
                    <w:top w:val="nil"/>
                    <w:left w:val="nil"/>
                    <w:bottom w:val="nil"/>
                    <w:right w:val="nil"/>
                  </w:tcBorders>
                  <w:shd w:val="clear" w:color="auto" w:fill="F4F3F8"/>
                  <w:tcMar>
                    <w:top w:w="0" w:type="dxa"/>
                    <w:left w:w="0" w:type="dxa"/>
                    <w:bottom w:w="0" w:type="dxa"/>
                    <w:right w:w="0" w:type="dxa"/>
                  </w:tcMar>
                </w:tcPr>
                <w:p w14:paraId="07B82C21">
                  <w:pPr>
                    <w:pStyle w:val="85"/>
                    <w:rPr>
                      <w:color w:val="auto"/>
                      <w:sz w:val="22"/>
                      <w:szCs w:val="22"/>
                    </w:rPr>
                  </w:pPr>
                </w:p>
              </w:tc>
            </w:tr>
          </w:tbl>
          <w:p w14:paraId="2AE49E9B">
            <w:pPr>
              <w:pStyle w:val="85"/>
              <w:rPr>
                <w:color w:val="auto"/>
                <w:sz w:val="22"/>
                <w:szCs w:val="22"/>
              </w:rPr>
            </w:pPr>
          </w:p>
        </w:tc>
      </w:tr>
      <w:tr w14:paraId="5D2EF671">
        <w:tblPrEx>
          <w:tblBorders>
            <w:top w:val="single" w:color="auto" w:sz="4" w:space="0"/>
            <w:left w:val="single" w:color="auto" w:sz="4" w:space="0"/>
            <w:bottom w:val="single" w:color="auto" w:sz="4" w:space="0"/>
            <w:right w:val="single" w:color="auto" w:sz="4" w:space="0"/>
            <w:insideH w:val="none" w:color="auto" w:sz="0" w:space="0"/>
            <w:insideV w:val="single" w:color="auto" w:sz="4" w:space="0"/>
          </w:tblBorders>
          <w:tblCellMar>
            <w:top w:w="102" w:type="dxa"/>
            <w:left w:w="62" w:type="dxa"/>
            <w:bottom w:w="102" w:type="dxa"/>
            <w:right w:w="62" w:type="dxa"/>
          </w:tblCellMar>
        </w:tblPrEx>
        <w:tc>
          <w:tcPr>
            <w:tcW w:w="1701" w:type="dxa"/>
            <w:tcBorders>
              <w:top w:val="nil"/>
            </w:tcBorders>
          </w:tcPr>
          <w:p w14:paraId="4D697F8C">
            <w:pPr>
              <w:pStyle w:val="85"/>
              <w:jc w:val="center"/>
              <w:rPr>
                <w:color w:val="auto"/>
                <w:sz w:val="22"/>
                <w:szCs w:val="22"/>
              </w:rPr>
            </w:pPr>
            <w:r>
              <w:rPr>
                <w:color w:val="auto"/>
                <w:sz w:val="22"/>
                <w:szCs w:val="22"/>
              </w:rPr>
              <w:t>16</w:t>
            </w:r>
          </w:p>
        </w:tc>
        <w:tc>
          <w:tcPr>
            <w:tcW w:w="7370" w:type="dxa"/>
            <w:tcBorders>
              <w:top w:val="nil"/>
            </w:tcBorders>
          </w:tcPr>
          <w:p w14:paraId="356CBBFF">
            <w:pPr>
              <w:pStyle w:val="85"/>
              <w:jc w:val="both"/>
              <w:rPr>
                <w:color w:val="auto"/>
                <w:sz w:val="22"/>
                <w:szCs w:val="22"/>
              </w:rPr>
            </w:pPr>
            <w:r>
              <w:rPr>
                <w:color w:val="auto"/>
                <w:sz w:val="22"/>
                <w:szCs w:val="22"/>
              </w:rPr>
              <w:t>соблюдать правила безопасного поведения в школе,</w:t>
            </w:r>
          </w:p>
          <w:p w14:paraId="454D7C27">
            <w:pPr>
              <w:pStyle w:val="85"/>
              <w:jc w:val="both"/>
              <w:rPr>
                <w:color w:val="auto"/>
                <w:sz w:val="22"/>
                <w:szCs w:val="22"/>
              </w:rPr>
            </w:pPr>
            <w:r>
              <w:rPr>
                <w:color w:val="auto"/>
                <w:sz w:val="22"/>
                <w:szCs w:val="22"/>
              </w:rPr>
              <w:t>режим дня и питания</w:t>
            </w:r>
          </w:p>
        </w:tc>
      </w:tr>
      <w:tr w14:paraId="785799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701" w:type="dxa"/>
          </w:tcPr>
          <w:p w14:paraId="576A2E6C">
            <w:pPr>
              <w:pStyle w:val="85"/>
              <w:jc w:val="center"/>
              <w:rPr>
                <w:color w:val="auto"/>
                <w:sz w:val="22"/>
                <w:szCs w:val="22"/>
              </w:rPr>
            </w:pPr>
            <w:r>
              <w:rPr>
                <w:color w:val="auto"/>
                <w:sz w:val="22"/>
                <w:szCs w:val="22"/>
              </w:rPr>
              <w:t>17</w:t>
            </w:r>
          </w:p>
        </w:tc>
        <w:tc>
          <w:tcPr>
            <w:tcW w:w="7370" w:type="dxa"/>
          </w:tcPr>
          <w:p w14:paraId="446D1F92">
            <w:pPr>
              <w:pStyle w:val="85"/>
              <w:jc w:val="both"/>
              <w:rPr>
                <w:color w:val="auto"/>
                <w:sz w:val="22"/>
                <w:szCs w:val="22"/>
              </w:rPr>
            </w:pPr>
            <w:r>
              <w:rPr>
                <w:color w:val="auto"/>
                <w:sz w:val="22"/>
                <w:szCs w:val="22"/>
              </w:rPr>
              <w:t>соблюдать правила безопасного поведения пассажира наземного транспорта и метро;</w:t>
            </w:r>
          </w:p>
        </w:tc>
      </w:tr>
      <w:tr w14:paraId="17361A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701" w:type="dxa"/>
          </w:tcPr>
          <w:p w14:paraId="3335465B">
            <w:pPr>
              <w:pStyle w:val="85"/>
              <w:jc w:val="center"/>
              <w:rPr>
                <w:color w:val="auto"/>
                <w:sz w:val="22"/>
                <w:szCs w:val="22"/>
              </w:rPr>
            </w:pPr>
            <w:r>
              <w:rPr>
                <w:color w:val="auto"/>
                <w:sz w:val="22"/>
                <w:szCs w:val="22"/>
              </w:rPr>
              <w:t>18</w:t>
            </w:r>
          </w:p>
        </w:tc>
        <w:tc>
          <w:tcPr>
            <w:tcW w:w="7370" w:type="dxa"/>
          </w:tcPr>
          <w:p w14:paraId="7F46EB73">
            <w:pPr>
              <w:pStyle w:val="85"/>
              <w:jc w:val="both"/>
              <w:rPr>
                <w:color w:val="auto"/>
                <w:sz w:val="22"/>
                <w:szCs w:val="22"/>
              </w:rPr>
            </w:pPr>
            <w:r>
              <w:rPr>
                <w:color w:val="auto"/>
                <w:sz w:val="22"/>
                <w:szCs w:val="22"/>
              </w:rPr>
              <w:t>безопасно использовать мессенджеры в условиях контролируемого доступа в информационно-коммуникационную сеть Интернет; безопасно осуществлять коммуникацию в школьных сообществах с помощью учителя (при необходимости).</w:t>
            </w:r>
          </w:p>
        </w:tc>
      </w:tr>
    </w:tbl>
    <w:p w14:paraId="352F2DFF">
      <w:pPr>
        <w:pStyle w:val="85"/>
        <w:jc w:val="both"/>
        <w:rPr>
          <w:color w:val="auto"/>
          <w:sz w:val="22"/>
          <w:szCs w:val="22"/>
        </w:rPr>
      </w:pPr>
    </w:p>
    <w:p w14:paraId="40D250B6">
      <w:pPr>
        <w:pStyle w:val="85"/>
        <w:jc w:val="right"/>
        <w:rPr>
          <w:color w:val="auto"/>
          <w:sz w:val="22"/>
          <w:szCs w:val="22"/>
        </w:rPr>
      </w:pPr>
      <w:r>
        <w:rPr>
          <w:color w:val="auto"/>
          <w:sz w:val="22"/>
          <w:szCs w:val="22"/>
        </w:rPr>
        <w:t>Таблица 12.3</w:t>
      </w:r>
    </w:p>
    <w:p w14:paraId="45F462C8">
      <w:pPr>
        <w:pStyle w:val="85"/>
        <w:jc w:val="both"/>
        <w:rPr>
          <w:color w:val="auto"/>
          <w:sz w:val="22"/>
          <w:szCs w:val="22"/>
        </w:rPr>
      </w:pPr>
    </w:p>
    <w:p w14:paraId="38465AD0">
      <w:pPr>
        <w:pStyle w:val="85"/>
        <w:jc w:val="center"/>
        <w:rPr>
          <w:color w:val="auto"/>
          <w:sz w:val="22"/>
          <w:szCs w:val="22"/>
        </w:rPr>
      </w:pPr>
      <w:r>
        <w:rPr>
          <w:color w:val="auto"/>
          <w:sz w:val="22"/>
          <w:szCs w:val="22"/>
        </w:rPr>
        <w:t>Проверяемые элементы содержания (2 класс)</w:t>
      </w:r>
    </w:p>
    <w:p w14:paraId="39CE6BEB">
      <w:pPr>
        <w:pStyle w:val="85"/>
        <w:jc w:val="both"/>
        <w:rPr>
          <w:color w:val="auto"/>
          <w:sz w:val="22"/>
          <w:szCs w:val="22"/>
        </w:rPr>
      </w:pPr>
    </w:p>
    <w:tbl>
      <w:tblPr>
        <w:tblStyle w:val="1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02" w:type="dxa"/>
          <w:left w:w="62" w:type="dxa"/>
          <w:bottom w:w="102" w:type="dxa"/>
          <w:right w:w="62" w:type="dxa"/>
        </w:tblCellMar>
      </w:tblPr>
      <w:tblGrid>
        <w:gridCol w:w="1077"/>
        <w:gridCol w:w="7994"/>
      </w:tblGrid>
      <w:tr w14:paraId="700258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077" w:type="dxa"/>
          </w:tcPr>
          <w:p w14:paraId="07B90816">
            <w:pPr>
              <w:pStyle w:val="85"/>
              <w:jc w:val="center"/>
              <w:rPr>
                <w:color w:val="auto"/>
                <w:sz w:val="22"/>
                <w:szCs w:val="22"/>
              </w:rPr>
            </w:pPr>
            <w:r>
              <w:rPr>
                <w:color w:val="auto"/>
                <w:sz w:val="22"/>
                <w:szCs w:val="22"/>
              </w:rPr>
              <w:t>Код</w:t>
            </w:r>
          </w:p>
        </w:tc>
        <w:tc>
          <w:tcPr>
            <w:tcW w:w="7994" w:type="dxa"/>
          </w:tcPr>
          <w:p w14:paraId="52B14FB0">
            <w:pPr>
              <w:pStyle w:val="85"/>
              <w:jc w:val="center"/>
              <w:rPr>
                <w:color w:val="auto"/>
                <w:sz w:val="22"/>
                <w:szCs w:val="22"/>
              </w:rPr>
            </w:pPr>
            <w:r>
              <w:rPr>
                <w:color w:val="auto"/>
                <w:sz w:val="22"/>
                <w:szCs w:val="22"/>
              </w:rPr>
              <w:t>Проверяемый элемент содержания</w:t>
            </w:r>
          </w:p>
        </w:tc>
      </w:tr>
      <w:tr w14:paraId="0ABC5E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077" w:type="dxa"/>
          </w:tcPr>
          <w:p w14:paraId="63F0FA70">
            <w:pPr>
              <w:pStyle w:val="85"/>
              <w:jc w:val="center"/>
              <w:rPr>
                <w:color w:val="auto"/>
                <w:sz w:val="22"/>
                <w:szCs w:val="22"/>
              </w:rPr>
            </w:pPr>
            <w:r>
              <w:rPr>
                <w:color w:val="auto"/>
                <w:sz w:val="22"/>
                <w:szCs w:val="22"/>
              </w:rPr>
              <w:t>1</w:t>
            </w:r>
          </w:p>
        </w:tc>
        <w:tc>
          <w:tcPr>
            <w:tcW w:w="7994" w:type="dxa"/>
          </w:tcPr>
          <w:p w14:paraId="52A2022C">
            <w:pPr>
              <w:pStyle w:val="85"/>
              <w:jc w:val="both"/>
              <w:rPr>
                <w:color w:val="auto"/>
                <w:sz w:val="22"/>
                <w:szCs w:val="22"/>
              </w:rPr>
            </w:pPr>
            <w:r>
              <w:rPr>
                <w:color w:val="auto"/>
                <w:sz w:val="22"/>
                <w:szCs w:val="22"/>
              </w:rPr>
              <w:t>Человек и общество</w:t>
            </w:r>
          </w:p>
        </w:tc>
      </w:tr>
      <w:tr w14:paraId="10FA9C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077" w:type="dxa"/>
          </w:tcPr>
          <w:p w14:paraId="0EA8304F">
            <w:pPr>
              <w:pStyle w:val="85"/>
              <w:jc w:val="center"/>
              <w:rPr>
                <w:color w:val="auto"/>
                <w:sz w:val="22"/>
                <w:szCs w:val="22"/>
              </w:rPr>
            </w:pPr>
            <w:r>
              <w:rPr>
                <w:color w:val="auto"/>
                <w:sz w:val="22"/>
                <w:szCs w:val="22"/>
              </w:rPr>
              <w:t>1.1</w:t>
            </w:r>
          </w:p>
        </w:tc>
        <w:tc>
          <w:tcPr>
            <w:tcW w:w="7994" w:type="dxa"/>
          </w:tcPr>
          <w:p w14:paraId="5512F856">
            <w:pPr>
              <w:pStyle w:val="85"/>
              <w:jc w:val="both"/>
              <w:rPr>
                <w:color w:val="auto"/>
                <w:sz w:val="22"/>
                <w:szCs w:val="22"/>
              </w:rPr>
            </w:pPr>
            <w:r>
              <w:rPr>
                <w:color w:val="auto"/>
                <w:sz w:val="22"/>
                <w:szCs w:val="22"/>
              </w:rPr>
              <w:t>Наша Родина - Россия, Российская Федерация. Россия и ее столица на карте. Государственные символы России</w:t>
            </w:r>
          </w:p>
        </w:tc>
      </w:tr>
      <w:tr w14:paraId="4E257B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077" w:type="dxa"/>
          </w:tcPr>
          <w:p w14:paraId="6A997D63">
            <w:pPr>
              <w:pStyle w:val="85"/>
              <w:jc w:val="center"/>
              <w:rPr>
                <w:color w:val="auto"/>
                <w:sz w:val="22"/>
                <w:szCs w:val="22"/>
              </w:rPr>
            </w:pPr>
            <w:r>
              <w:rPr>
                <w:color w:val="auto"/>
                <w:sz w:val="22"/>
                <w:szCs w:val="22"/>
              </w:rPr>
              <w:t>1.2</w:t>
            </w:r>
          </w:p>
        </w:tc>
        <w:tc>
          <w:tcPr>
            <w:tcW w:w="7994" w:type="dxa"/>
          </w:tcPr>
          <w:p w14:paraId="610D7077">
            <w:pPr>
              <w:pStyle w:val="85"/>
              <w:jc w:val="both"/>
              <w:rPr>
                <w:color w:val="auto"/>
                <w:sz w:val="22"/>
                <w:szCs w:val="22"/>
              </w:rPr>
            </w:pPr>
            <w:r>
              <w:rPr>
                <w:color w:val="auto"/>
                <w:sz w:val="22"/>
                <w:szCs w:val="22"/>
              </w:rPr>
              <w:t>Москва - столица России. Святыни Москвы - святыни России: Кремль, Красная площадь, Большой театр и другие. Характеристика отдельных исторических событий, связанных с Москвой (основание Москвы, строительство Кремля и другие). Герб Москвы. Расположение Москвы на карте</w:t>
            </w:r>
          </w:p>
        </w:tc>
      </w:tr>
      <w:tr w14:paraId="1D5010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077" w:type="dxa"/>
          </w:tcPr>
          <w:p w14:paraId="3CA0D605">
            <w:pPr>
              <w:pStyle w:val="85"/>
              <w:jc w:val="center"/>
              <w:rPr>
                <w:color w:val="auto"/>
                <w:sz w:val="22"/>
                <w:szCs w:val="22"/>
              </w:rPr>
            </w:pPr>
            <w:r>
              <w:rPr>
                <w:color w:val="auto"/>
                <w:sz w:val="22"/>
                <w:szCs w:val="22"/>
              </w:rPr>
              <w:t>1.3</w:t>
            </w:r>
          </w:p>
        </w:tc>
        <w:tc>
          <w:tcPr>
            <w:tcW w:w="7994" w:type="dxa"/>
          </w:tcPr>
          <w:p w14:paraId="4D189EE3">
            <w:pPr>
              <w:pStyle w:val="85"/>
              <w:jc w:val="both"/>
              <w:rPr>
                <w:color w:val="auto"/>
                <w:sz w:val="22"/>
                <w:szCs w:val="22"/>
              </w:rPr>
            </w:pPr>
            <w:r>
              <w:rPr>
                <w:color w:val="auto"/>
                <w:sz w:val="22"/>
                <w:szCs w:val="22"/>
              </w:rPr>
              <w:t>Города России</w:t>
            </w:r>
          </w:p>
        </w:tc>
      </w:tr>
      <w:tr w14:paraId="3DECD7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077" w:type="dxa"/>
          </w:tcPr>
          <w:p w14:paraId="3B049776">
            <w:pPr>
              <w:pStyle w:val="85"/>
              <w:jc w:val="center"/>
              <w:rPr>
                <w:color w:val="auto"/>
                <w:sz w:val="22"/>
                <w:szCs w:val="22"/>
              </w:rPr>
            </w:pPr>
            <w:r>
              <w:rPr>
                <w:color w:val="auto"/>
                <w:sz w:val="22"/>
                <w:szCs w:val="22"/>
              </w:rPr>
              <w:t>1.4</w:t>
            </w:r>
          </w:p>
        </w:tc>
        <w:tc>
          <w:tcPr>
            <w:tcW w:w="7994" w:type="dxa"/>
          </w:tcPr>
          <w:p w14:paraId="08C0378D">
            <w:pPr>
              <w:pStyle w:val="85"/>
              <w:jc w:val="both"/>
              <w:rPr>
                <w:color w:val="auto"/>
                <w:sz w:val="22"/>
                <w:szCs w:val="22"/>
              </w:rPr>
            </w:pPr>
            <w:r>
              <w:rPr>
                <w:color w:val="auto"/>
                <w:sz w:val="22"/>
                <w:szCs w:val="22"/>
              </w:rPr>
              <w:t>Россия - многонациональное государство. Народы России, их традиции, обычаи, праздники</w:t>
            </w:r>
          </w:p>
        </w:tc>
      </w:tr>
      <w:tr w14:paraId="64B5BA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077" w:type="dxa"/>
          </w:tcPr>
          <w:p w14:paraId="1C8C9209">
            <w:pPr>
              <w:pStyle w:val="85"/>
              <w:jc w:val="center"/>
              <w:rPr>
                <w:color w:val="auto"/>
                <w:sz w:val="22"/>
                <w:szCs w:val="22"/>
              </w:rPr>
            </w:pPr>
            <w:r>
              <w:rPr>
                <w:color w:val="auto"/>
                <w:sz w:val="22"/>
                <w:szCs w:val="22"/>
              </w:rPr>
              <w:t>1.5</w:t>
            </w:r>
          </w:p>
        </w:tc>
        <w:tc>
          <w:tcPr>
            <w:tcW w:w="7994" w:type="dxa"/>
          </w:tcPr>
          <w:p w14:paraId="26F25B87">
            <w:pPr>
              <w:pStyle w:val="85"/>
              <w:jc w:val="both"/>
              <w:rPr>
                <w:color w:val="auto"/>
                <w:sz w:val="22"/>
                <w:szCs w:val="22"/>
              </w:rPr>
            </w:pPr>
            <w:r>
              <w:rPr>
                <w:color w:val="auto"/>
                <w:sz w:val="22"/>
                <w:szCs w:val="22"/>
              </w:rPr>
              <w:t>Родной край, его природные и культурные достопримечательности. Значимые события истории родного края</w:t>
            </w:r>
          </w:p>
        </w:tc>
      </w:tr>
      <w:tr w14:paraId="776B93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077" w:type="dxa"/>
          </w:tcPr>
          <w:p w14:paraId="572DCF96">
            <w:pPr>
              <w:pStyle w:val="85"/>
              <w:jc w:val="center"/>
              <w:rPr>
                <w:color w:val="auto"/>
                <w:sz w:val="22"/>
                <w:szCs w:val="22"/>
              </w:rPr>
            </w:pPr>
            <w:r>
              <w:rPr>
                <w:color w:val="auto"/>
                <w:sz w:val="22"/>
                <w:szCs w:val="22"/>
              </w:rPr>
              <w:t>1.6</w:t>
            </w:r>
          </w:p>
        </w:tc>
        <w:tc>
          <w:tcPr>
            <w:tcW w:w="7994" w:type="dxa"/>
          </w:tcPr>
          <w:p w14:paraId="0CD766BA">
            <w:pPr>
              <w:pStyle w:val="85"/>
              <w:jc w:val="both"/>
              <w:rPr>
                <w:color w:val="auto"/>
                <w:sz w:val="22"/>
                <w:szCs w:val="22"/>
              </w:rPr>
            </w:pPr>
            <w:r>
              <w:rPr>
                <w:color w:val="auto"/>
                <w:sz w:val="22"/>
                <w:szCs w:val="22"/>
              </w:rPr>
              <w:t>Свой регион и его главный город на карте; символика своего региона. Хозяйственные занятия, профессии жителей родного края</w:t>
            </w:r>
          </w:p>
        </w:tc>
      </w:tr>
      <w:tr w14:paraId="1A4A2B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077" w:type="dxa"/>
          </w:tcPr>
          <w:p w14:paraId="41B17558">
            <w:pPr>
              <w:pStyle w:val="85"/>
              <w:jc w:val="center"/>
              <w:rPr>
                <w:color w:val="auto"/>
                <w:sz w:val="22"/>
                <w:szCs w:val="22"/>
              </w:rPr>
            </w:pPr>
            <w:r>
              <w:rPr>
                <w:color w:val="auto"/>
                <w:sz w:val="22"/>
                <w:szCs w:val="22"/>
              </w:rPr>
              <w:t>1.7</w:t>
            </w:r>
          </w:p>
        </w:tc>
        <w:tc>
          <w:tcPr>
            <w:tcW w:w="7994" w:type="dxa"/>
          </w:tcPr>
          <w:p w14:paraId="506120E4">
            <w:pPr>
              <w:pStyle w:val="85"/>
              <w:jc w:val="both"/>
              <w:rPr>
                <w:color w:val="auto"/>
                <w:sz w:val="22"/>
                <w:szCs w:val="22"/>
              </w:rPr>
            </w:pPr>
            <w:r>
              <w:rPr>
                <w:color w:val="auto"/>
                <w:sz w:val="22"/>
                <w:szCs w:val="22"/>
              </w:rPr>
              <w:t>Значение труда в жизни человека и общества</w:t>
            </w:r>
          </w:p>
        </w:tc>
      </w:tr>
      <w:tr w14:paraId="4F7C41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077" w:type="dxa"/>
          </w:tcPr>
          <w:p w14:paraId="1356F3D6">
            <w:pPr>
              <w:pStyle w:val="85"/>
              <w:jc w:val="center"/>
              <w:rPr>
                <w:color w:val="auto"/>
                <w:sz w:val="22"/>
                <w:szCs w:val="22"/>
              </w:rPr>
            </w:pPr>
            <w:r>
              <w:rPr>
                <w:color w:val="auto"/>
                <w:sz w:val="22"/>
                <w:szCs w:val="22"/>
              </w:rPr>
              <w:t>1.8</w:t>
            </w:r>
          </w:p>
        </w:tc>
        <w:tc>
          <w:tcPr>
            <w:tcW w:w="7994" w:type="dxa"/>
          </w:tcPr>
          <w:p w14:paraId="1DFBEAAD">
            <w:pPr>
              <w:pStyle w:val="85"/>
              <w:jc w:val="both"/>
              <w:rPr>
                <w:color w:val="auto"/>
                <w:sz w:val="22"/>
                <w:szCs w:val="22"/>
              </w:rPr>
            </w:pPr>
            <w:r>
              <w:rPr>
                <w:color w:val="auto"/>
                <w:sz w:val="22"/>
                <w:szCs w:val="22"/>
              </w:rPr>
              <w:t>Семья. Семейные ценности и традиции. Родословная. Составление схемы родословного древа, истории семьи</w:t>
            </w:r>
          </w:p>
        </w:tc>
      </w:tr>
      <w:tr w14:paraId="03A5FC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077" w:type="dxa"/>
          </w:tcPr>
          <w:p w14:paraId="44819471">
            <w:pPr>
              <w:pStyle w:val="85"/>
              <w:jc w:val="center"/>
              <w:rPr>
                <w:color w:val="auto"/>
                <w:sz w:val="22"/>
                <w:szCs w:val="22"/>
              </w:rPr>
            </w:pPr>
            <w:r>
              <w:rPr>
                <w:color w:val="auto"/>
                <w:sz w:val="22"/>
                <w:szCs w:val="22"/>
              </w:rPr>
              <w:t>1.9</w:t>
            </w:r>
          </w:p>
        </w:tc>
        <w:tc>
          <w:tcPr>
            <w:tcW w:w="7994" w:type="dxa"/>
          </w:tcPr>
          <w:p w14:paraId="338B6844">
            <w:pPr>
              <w:pStyle w:val="85"/>
              <w:jc w:val="both"/>
              <w:rPr>
                <w:color w:val="auto"/>
                <w:sz w:val="22"/>
                <w:szCs w:val="22"/>
              </w:rPr>
            </w:pPr>
            <w:r>
              <w:rPr>
                <w:color w:val="auto"/>
                <w:sz w:val="22"/>
                <w:szCs w:val="22"/>
              </w:rPr>
              <w:t>Правила культурного поведения в общественных местах</w:t>
            </w:r>
          </w:p>
        </w:tc>
      </w:tr>
      <w:tr w14:paraId="6E1F74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077" w:type="dxa"/>
          </w:tcPr>
          <w:p w14:paraId="4854DE35">
            <w:pPr>
              <w:pStyle w:val="85"/>
              <w:jc w:val="center"/>
              <w:rPr>
                <w:color w:val="auto"/>
                <w:sz w:val="22"/>
                <w:szCs w:val="22"/>
              </w:rPr>
            </w:pPr>
            <w:r>
              <w:rPr>
                <w:color w:val="auto"/>
                <w:sz w:val="22"/>
                <w:szCs w:val="22"/>
              </w:rPr>
              <w:t>1.10</w:t>
            </w:r>
          </w:p>
        </w:tc>
        <w:tc>
          <w:tcPr>
            <w:tcW w:w="7994" w:type="dxa"/>
          </w:tcPr>
          <w:p w14:paraId="0DED201C">
            <w:pPr>
              <w:pStyle w:val="85"/>
              <w:jc w:val="both"/>
              <w:rPr>
                <w:color w:val="auto"/>
                <w:sz w:val="22"/>
                <w:szCs w:val="22"/>
              </w:rPr>
            </w:pPr>
            <w:r>
              <w:rPr>
                <w:color w:val="auto"/>
                <w:sz w:val="22"/>
                <w:szCs w:val="22"/>
              </w:rPr>
              <w:t>Доброта, справедливость, честность, уважение к чужому мнению и особенностям других людей - главные правила взаимоотношений членов общества</w:t>
            </w:r>
          </w:p>
        </w:tc>
      </w:tr>
      <w:tr w14:paraId="6A4C25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077" w:type="dxa"/>
          </w:tcPr>
          <w:p w14:paraId="7062021B">
            <w:pPr>
              <w:pStyle w:val="85"/>
              <w:jc w:val="center"/>
              <w:rPr>
                <w:color w:val="auto"/>
                <w:sz w:val="22"/>
                <w:szCs w:val="22"/>
              </w:rPr>
            </w:pPr>
            <w:r>
              <w:rPr>
                <w:color w:val="auto"/>
                <w:sz w:val="22"/>
                <w:szCs w:val="22"/>
              </w:rPr>
              <w:t>2</w:t>
            </w:r>
          </w:p>
        </w:tc>
        <w:tc>
          <w:tcPr>
            <w:tcW w:w="7994" w:type="dxa"/>
          </w:tcPr>
          <w:p w14:paraId="4F5F6352">
            <w:pPr>
              <w:pStyle w:val="85"/>
              <w:jc w:val="both"/>
              <w:rPr>
                <w:color w:val="auto"/>
                <w:sz w:val="22"/>
                <w:szCs w:val="22"/>
              </w:rPr>
            </w:pPr>
            <w:r>
              <w:rPr>
                <w:color w:val="auto"/>
                <w:sz w:val="22"/>
                <w:szCs w:val="22"/>
              </w:rPr>
              <w:t>Человек и природа</w:t>
            </w:r>
          </w:p>
        </w:tc>
      </w:tr>
      <w:tr w14:paraId="35E828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077" w:type="dxa"/>
          </w:tcPr>
          <w:p w14:paraId="0EA058D0">
            <w:pPr>
              <w:pStyle w:val="85"/>
              <w:jc w:val="center"/>
              <w:rPr>
                <w:color w:val="auto"/>
                <w:sz w:val="22"/>
                <w:szCs w:val="22"/>
              </w:rPr>
            </w:pPr>
            <w:r>
              <w:rPr>
                <w:color w:val="auto"/>
                <w:sz w:val="22"/>
                <w:szCs w:val="22"/>
              </w:rPr>
              <w:t>2.1</w:t>
            </w:r>
          </w:p>
        </w:tc>
        <w:tc>
          <w:tcPr>
            <w:tcW w:w="7994" w:type="dxa"/>
          </w:tcPr>
          <w:p w14:paraId="505BB391">
            <w:pPr>
              <w:pStyle w:val="85"/>
              <w:jc w:val="both"/>
              <w:rPr>
                <w:color w:val="auto"/>
                <w:sz w:val="22"/>
                <w:szCs w:val="22"/>
              </w:rPr>
            </w:pPr>
            <w:r>
              <w:rPr>
                <w:color w:val="auto"/>
                <w:sz w:val="22"/>
                <w:szCs w:val="22"/>
              </w:rPr>
              <w:t>Методы познания природы: наблюдения, опыты, измерения</w:t>
            </w:r>
          </w:p>
        </w:tc>
      </w:tr>
      <w:tr w14:paraId="41DF13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077" w:type="dxa"/>
          </w:tcPr>
          <w:p w14:paraId="32788CF2">
            <w:pPr>
              <w:pStyle w:val="85"/>
              <w:jc w:val="center"/>
              <w:rPr>
                <w:color w:val="auto"/>
                <w:sz w:val="22"/>
                <w:szCs w:val="22"/>
              </w:rPr>
            </w:pPr>
            <w:r>
              <w:rPr>
                <w:color w:val="auto"/>
                <w:sz w:val="22"/>
                <w:szCs w:val="22"/>
              </w:rPr>
              <w:t>2.2</w:t>
            </w:r>
          </w:p>
        </w:tc>
        <w:tc>
          <w:tcPr>
            <w:tcW w:w="7994" w:type="dxa"/>
          </w:tcPr>
          <w:p w14:paraId="6DD377AC">
            <w:pPr>
              <w:pStyle w:val="85"/>
              <w:jc w:val="both"/>
              <w:rPr>
                <w:color w:val="auto"/>
                <w:sz w:val="22"/>
                <w:szCs w:val="22"/>
              </w:rPr>
            </w:pPr>
            <w:r>
              <w:rPr>
                <w:color w:val="auto"/>
                <w:sz w:val="22"/>
                <w:szCs w:val="22"/>
              </w:rPr>
              <w:t>Звезды и созвездия, наблюдения звездного неба. Планеты. Чем Земля отличается от других планет; условия жизни на Земле</w:t>
            </w:r>
          </w:p>
        </w:tc>
      </w:tr>
      <w:tr w14:paraId="43C7B6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077" w:type="dxa"/>
          </w:tcPr>
          <w:p w14:paraId="4429164A">
            <w:pPr>
              <w:pStyle w:val="85"/>
              <w:jc w:val="center"/>
              <w:rPr>
                <w:color w:val="auto"/>
                <w:sz w:val="22"/>
                <w:szCs w:val="22"/>
              </w:rPr>
            </w:pPr>
            <w:r>
              <w:rPr>
                <w:color w:val="auto"/>
                <w:sz w:val="22"/>
                <w:szCs w:val="22"/>
              </w:rPr>
              <w:t>2.3</w:t>
            </w:r>
          </w:p>
        </w:tc>
        <w:tc>
          <w:tcPr>
            <w:tcW w:w="7994" w:type="dxa"/>
          </w:tcPr>
          <w:p w14:paraId="550F9595">
            <w:pPr>
              <w:pStyle w:val="85"/>
              <w:jc w:val="both"/>
              <w:rPr>
                <w:color w:val="auto"/>
                <w:sz w:val="22"/>
                <w:szCs w:val="22"/>
              </w:rPr>
            </w:pPr>
            <w:r>
              <w:rPr>
                <w:color w:val="auto"/>
                <w:sz w:val="22"/>
                <w:szCs w:val="22"/>
              </w:rPr>
              <w:t>Изображения Земли: глобус, карта, план. Карта мира</w:t>
            </w:r>
          </w:p>
        </w:tc>
      </w:tr>
      <w:tr w14:paraId="0536F0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077" w:type="dxa"/>
          </w:tcPr>
          <w:p w14:paraId="06C6D228">
            <w:pPr>
              <w:pStyle w:val="85"/>
              <w:jc w:val="center"/>
              <w:rPr>
                <w:color w:val="auto"/>
                <w:sz w:val="22"/>
                <w:szCs w:val="22"/>
              </w:rPr>
            </w:pPr>
            <w:r>
              <w:rPr>
                <w:color w:val="auto"/>
                <w:sz w:val="22"/>
                <w:szCs w:val="22"/>
              </w:rPr>
              <w:t>2.4</w:t>
            </w:r>
          </w:p>
        </w:tc>
        <w:tc>
          <w:tcPr>
            <w:tcW w:w="7994" w:type="dxa"/>
          </w:tcPr>
          <w:p w14:paraId="778D18B8">
            <w:pPr>
              <w:pStyle w:val="85"/>
              <w:jc w:val="both"/>
              <w:rPr>
                <w:color w:val="auto"/>
                <w:sz w:val="22"/>
                <w:szCs w:val="22"/>
              </w:rPr>
            </w:pPr>
            <w:r>
              <w:rPr>
                <w:color w:val="auto"/>
                <w:sz w:val="22"/>
                <w:szCs w:val="22"/>
              </w:rPr>
              <w:t>Материки, океаны</w:t>
            </w:r>
          </w:p>
        </w:tc>
      </w:tr>
      <w:tr w14:paraId="7C3308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077" w:type="dxa"/>
          </w:tcPr>
          <w:p w14:paraId="5DBCF414">
            <w:pPr>
              <w:pStyle w:val="85"/>
              <w:jc w:val="center"/>
              <w:rPr>
                <w:color w:val="auto"/>
                <w:sz w:val="22"/>
                <w:szCs w:val="22"/>
              </w:rPr>
            </w:pPr>
            <w:r>
              <w:rPr>
                <w:color w:val="auto"/>
                <w:sz w:val="22"/>
                <w:szCs w:val="22"/>
              </w:rPr>
              <w:t>2.5</w:t>
            </w:r>
          </w:p>
        </w:tc>
        <w:tc>
          <w:tcPr>
            <w:tcW w:w="7994" w:type="dxa"/>
          </w:tcPr>
          <w:p w14:paraId="762D9FE6">
            <w:pPr>
              <w:pStyle w:val="85"/>
              <w:jc w:val="both"/>
              <w:rPr>
                <w:color w:val="auto"/>
                <w:sz w:val="22"/>
                <w:szCs w:val="22"/>
              </w:rPr>
            </w:pPr>
            <w:r>
              <w:rPr>
                <w:color w:val="auto"/>
                <w:sz w:val="22"/>
                <w:szCs w:val="22"/>
              </w:rPr>
              <w:t>Определение сторон горизонта при помощи компаса. Ориентирование на местности по местным природным признакам, Солнцу. Компас, устройство; ориентирование с помощью компаса</w:t>
            </w:r>
          </w:p>
        </w:tc>
      </w:tr>
      <w:tr w14:paraId="240AF9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077" w:type="dxa"/>
          </w:tcPr>
          <w:p w14:paraId="65398770">
            <w:pPr>
              <w:pStyle w:val="85"/>
              <w:jc w:val="center"/>
              <w:rPr>
                <w:color w:val="auto"/>
                <w:sz w:val="22"/>
                <w:szCs w:val="22"/>
              </w:rPr>
            </w:pPr>
            <w:r>
              <w:rPr>
                <w:color w:val="auto"/>
                <w:sz w:val="22"/>
                <w:szCs w:val="22"/>
              </w:rPr>
              <w:t>2.6</w:t>
            </w:r>
          </w:p>
        </w:tc>
        <w:tc>
          <w:tcPr>
            <w:tcW w:w="7994" w:type="dxa"/>
          </w:tcPr>
          <w:p w14:paraId="351BE361">
            <w:pPr>
              <w:pStyle w:val="85"/>
              <w:jc w:val="both"/>
              <w:rPr>
                <w:color w:val="auto"/>
                <w:sz w:val="22"/>
                <w:szCs w:val="22"/>
              </w:rPr>
            </w:pPr>
            <w:r>
              <w:rPr>
                <w:color w:val="auto"/>
                <w:sz w:val="22"/>
                <w:szCs w:val="22"/>
              </w:rPr>
              <w:t>Многообразие растений. Деревья, кустарники, травы. Дикорастущие и культурные растения</w:t>
            </w:r>
          </w:p>
        </w:tc>
      </w:tr>
      <w:tr w14:paraId="27616D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077" w:type="dxa"/>
          </w:tcPr>
          <w:p w14:paraId="24ABBE85">
            <w:pPr>
              <w:pStyle w:val="85"/>
              <w:jc w:val="center"/>
              <w:rPr>
                <w:color w:val="auto"/>
                <w:sz w:val="22"/>
                <w:szCs w:val="22"/>
              </w:rPr>
            </w:pPr>
            <w:r>
              <w:rPr>
                <w:color w:val="auto"/>
                <w:sz w:val="22"/>
                <w:szCs w:val="22"/>
              </w:rPr>
              <w:t>2.7</w:t>
            </w:r>
          </w:p>
        </w:tc>
        <w:tc>
          <w:tcPr>
            <w:tcW w:w="7994" w:type="dxa"/>
          </w:tcPr>
          <w:p w14:paraId="1E4DA5DC">
            <w:pPr>
              <w:pStyle w:val="85"/>
              <w:jc w:val="both"/>
              <w:rPr>
                <w:color w:val="auto"/>
                <w:sz w:val="22"/>
                <w:szCs w:val="22"/>
              </w:rPr>
            </w:pPr>
            <w:r>
              <w:rPr>
                <w:color w:val="auto"/>
                <w:sz w:val="22"/>
                <w:szCs w:val="22"/>
              </w:rPr>
              <w:t>Связи в природе. Годовой ход изменений в жизни растений</w:t>
            </w:r>
          </w:p>
        </w:tc>
      </w:tr>
      <w:tr w14:paraId="1A601D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077" w:type="dxa"/>
          </w:tcPr>
          <w:p w14:paraId="5B77186D">
            <w:pPr>
              <w:pStyle w:val="85"/>
              <w:jc w:val="center"/>
              <w:rPr>
                <w:color w:val="auto"/>
                <w:sz w:val="22"/>
                <w:szCs w:val="22"/>
              </w:rPr>
            </w:pPr>
            <w:r>
              <w:rPr>
                <w:color w:val="auto"/>
                <w:sz w:val="22"/>
                <w:szCs w:val="22"/>
              </w:rPr>
              <w:t>2.8</w:t>
            </w:r>
          </w:p>
        </w:tc>
        <w:tc>
          <w:tcPr>
            <w:tcW w:w="7994" w:type="dxa"/>
          </w:tcPr>
          <w:p w14:paraId="6319FEF5">
            <w:pPr>
              <w:pStyle w:val="85"/>
              <w:jc w:val="both"/>
              <w:rPr>
                <w:color w:val="auto"/>
                <w:sz w:val="22"/>
                <w:szCs w:val="22"/>
              </w:rPr>
            </w:pPr>
            <w:r>
              <w:rPr>
                <w:color w:val="auto"/>
                <w:sz w:val="22"/>
                <w:szCs w:val="22"/>
              </w:rPr>
              <w:t>Многообразие животных. Насекомые, рыбы, птицы, звери, земноводные, пресмыкающиеся: общая характеристика внешних признаков</w:t>
            </w:r>
          </w:p>
        </w:tc>
      </w:tr>
      <w:tr w14:paraId="757104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077" w:type="dxa"/>
          </w:tcPr>
          <w:p w14:paraId="7A0ECC9A">
            <w:pPr>
              <w:pStyle w:val="85"/>
              <w:jc w:val="center"/>
              <w:rPr>
                <w:color w:val="auto"/>
                <w:sz w:val="22"/>
                <w:szCs w:val="22"/>
              </w:rPr>
            </w:pPr>
            <w:r>
              <w:rPr>
                <w:color w:val="auto"/>
                <w:sz w:val="22"/>
                <w:szCs w:val="22"/>
              </w:rPr>
              <w:t>2.9</w:t>
            </w:r>
          </w:p>
        </w:tc>
        <w:tc>
          <w:tcPr>
            <w:tcW w:w="7994" w:type="dxa"/>
          </w:tcPr>
          <w:p w14:paraId="5D17F187">
            <w:pPr>
              <w:pStyle w:val="85"/>
              <w:jc w:val="both"/>
              <w:rPr>
                <w:color w:val="auto"/>
                <w:sz w:val="22"/>
                <w:szCs w:val="22"/>
              </w:rPr>
            </w:pPr>
            <w:r>
              <w:rPr>
                <w:color w:val="auto"/>
                <w:sz w:val="22"/>
                <w:szCs w:val="22"/>
              </w:rPr>
              <w:t>Связи в природе. Годовой ход изменений в жизни животных</w:t>
            </w:r>
          </w:p>
        </w:tc>
      </w:tr>
      <w:tr w14:paraId="348B5E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077" w:type="dxa"/>
          </w:tcPr>
          <w:p w14:paraId="0E7FF800">
            <w:pPr>
              <w:pStyle w:val="85"/>
              <w:jc w:val="center"/>
              <w:rPr>
                <w:color w:val="auto"/>
                <w:sz w:val="22"/>
                <w:szCs w:val="22"/>
              </w:rPr>
            </w:pPr>
            <w:r>
              <w:rPr>
                <w:color w:val="auto"/>
                <w:sz w:val="22"/>
                <w:szCs w:val="22"/>
              </w:rPr>
              <w:t>2.10</w:t>
            </w:r>
          </w:p>
        </w:tc>
        <w:tc>
          <w:tcPr>
            <w:tcW w:w="7994" w:type="dxa"/>
          </w:tcPr>
          <w:p w14:paraId="1EE1BA1A">
            <w:pPr>
              <w:pStyle w:val="85"/>
              <w:jc w:val="both"/>
              <w:rPr>
                <w:color w:val="auto"/>
                <w:sz w:val="22"/>
                <w:szCs w:val="22"/>
              </w:rPr>
            </w:pPr>
            <w:r>
              <w:rPr>
                <w:color w:val="auto"/>
                <w:sz w:val="22"/>
                <w:szCs w:val="22"/>
              </w:rPr>
              <w:t>Красная книга России, ее значение, отдельные представители растений и животных Красной книги. Заповедники, природные парки. Охрана природы. Правила нравственного поведения на природе</w:t>
            </w:r>
          </w:p>
        </w:tc>
      </w:tr>
      <w:tr w14:paraId="47F02A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077" w:type="dxa"/>
          </w:tcPr>
          <w:p w14:paraId="33CE8E4D">
            <w:pPr>
              <w:pStyle w:val="85"/>
              <w:jc w:val="center"/>
              <w:rPr>
                <w:color w:val="auto"/>
                <w:sz w:val="22"/>
                <w:szCs w:val="22"/>
              </w:rPr>
            </w:pPr>
            <w:r>
              <w:rPr>
                <w:color w:val="auto"/>
                <w:sz w:val="22"/>
                <w:szCs w:val="22"/>
              </w:rPr>
              <w:t>3</w:t>
            </w:r>
          </w:p>
        </w:tc>
        <w:tc>
          <w:tcPr>
            <w:tcW w:w="7994" w:type="dxa"/>
          </w:tcPr>
          <w:p w14:paraId="15B5F242">
            <w:pPr>
              <w:pStyle w:val="85"/>
              <w:jc w:val="both"/>
              <w:rPr>
                <w:color w:val="auto"/>
                <w:sz w:val="22"/>
                <w:szCs w:val="22"/>
              </w:rPr>
            </w:pPr>
            <w:r>
              <w:rPr>
                <w:color w:val="auto"/>
                <w:sz w:val="22"/>
                <w:szCs w:val="22"/>
              </w:rPr>
              <w:t>Правила безопасной жизнедеятельности</w:t>
            </w:r>
          </w:p>
        </w:tc>
      </w:tr>
      <w:tr w14:paraId="236D87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077" w:type="dxa"/>
          </w:tcPr>
          <w:p w14:paraId="48376706">
            <w:pPr>
              <w:pStyle w:val="85"/>
              <w:jc w:val="center"/>
              <w:rPr>
                <w:color w:val="auto"/>
                <w:sz w:val="22"/>
                <w:szCs w:val="22"/>
              </w:rPr>
            </w:pPr>
            <w:r>
              <w:rPr>
                <w:color w:val="auto"/>
                <w:sz w:val="22"/>
                <w:szCs w:val="22"/>
              </w:rPr>
              <w:t>3.1</w:t>
            </w:r>
          </w:p>
        </w:tc>
        <w:tc>
          <w:tcPr>
            <w:tcW w:w="7994" w:type="dxa"/>
          </w:tcPr>
          <w:p w14:paraId="73171563">
            <w:pPr>
              <w:pStyle w:val="85"/>
              <w:jc w:val="both"/>
              <w:rPr>
                <w:color w:val="auto"/>
                <w:sz w:val="22"/>
                <w:szCs w:val="22"/>
              </w:rPr>
            </w:pPr>
            <w:r>
              <w:rPr>
                <w:color w:val="auto"/>
                <w:sz w:val="22"/>
                <w:szCs w:val="22"/>
              </w:rPr>
              <w:t>Здоровый образ жизни: режим дня (чередование сна, учебных занятий, двигательной активности) и рациональное питание (количество приемов пищи и рацион питания). Физическая культура, закаливание, игры на воздухе как условие сохранения и укрепления здоровья</w:t>
            </w:r>
          </w:p>
        </w:tc>
      </w:tr>
      <w:tr w14:paraId="431309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077" w:type="dxa"/>
          </w:tcPr>
          <w:p w14:paraId="01DD59EB">
            <w:pPr>
              <w:pStyle w:val="85"/>
              <w:jc w:val="center"/>
              <w:rPr>
                <w:color w:val="auto"/>
                <w:sz w:val="22"/>
                <w:szCs w:val="22"/>
              </w:rPr>
            </w:pPr>
            <w:r>
              <w:rPr>
                <w:color w:val="auto"/>
                <w:sz w:val="22"/>
                <w:szCs w:val="22"/>
              </w:rPr>
              <w:t>3.2</w:t>
            </w:r>
          </w:p>
        </w:tc>
        <w:tc>
          <w:tcPr>
            <w:tcW w:w="7994" w:type="dxa"/>
          </w:tcPr>
          <w:p w14:paraId="5A950295">
            <w:pPr>
              <w:pStyle w:val="85"/>
              <w:jc w:val="both"/>
              <w:rPr>
                <w:color w:val="auto"/>
                <w:sz w:val="22"/>
                <w:szCs w:val="22"/>
              </w:rPr>
            </w:pPr>
            <w:r>
              <w:rPr>
                <w:color w:val="auto"/>
                <w:sz w:val="22"/>
                <w:szCs w:val="22"/>
              </w:rPr>
              <w:t>Правила безопасности в школе (маршрут до школы, правила поведения на занятиях, переменах, при приемах пищи и на пришкольной территории), в быту, на прогулках</w:t>
            </w:r>
          </w:p>
        </w:tc>
      </w:tr>
      <w:tr w14:paraId="58E938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077" w:type="dxa"/>
          </w:tcPr>
          <w:p w14:paraId="3E4B4DBD">
            <w:pPr>
              <w:pStyle w:val="85"/>
              <w:jc w:val="center"/>
              <w:rPr>
                <w:color w:val="auto"/>
                <w:sz w:val="22"/>
                <w:szCs w:val="22"/>
              </w:rPr>
            </w:pPr>
            <w:r>
              <w:rPr>
                <w:color w:val="auto"/>
                <w:sz w:val="22"/>
                <w:szCs w:val="22"/>
              </w:rPr>
              <w:t>3.3</w:t>
            </w:r>
          </w:p>
        </w:tc>
        <w:tc>
          <w:tcPr>
            <w:tcW w:w="7994" w:type="dxa"/>
          </w:tcPr>
          <w:p w14:paraId="31AA968F">
            <w:pPr>
              <w:pStyle w:val="85"/>
              <w:jc w:val="both"/>
              <w:rPr>
                <w:color w:val="auto"/>
                <w:sz w:val="22"/>
                <w:szCs w:val="22"/>
              </w:rPr>
            </w:pPr>
            <w:r>
              <w:rPr>
                <w:color w:val="auto"/>
                <w:sz w:val="22"/>
                <w:szCs w:val="22"/>
              </w:rPr>
              <w:t>Правила безопасного поведения пассажира наземного транспорта и метро (ожидание на остановке, посадка, размещение в салоне или вагоне, высадка, знаки безопасности на общественном транспорте). Номера телефонов экстренной помощи</w:t>
            </w:r>
          </w:p>
        </w:tc>
      </w:tr>
      <w:tr w14:paraId="2108B0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077" w:type="dxa"/>
          </w:tcPr>
          <w:p w14:paraId="607EBD8C">
            <w:pPr>
              <w:pStyle w:val="85"/>
              <w:jc w:val="center"/>
              <w:rPr>
                <w:color w:val="auto"/>
                <w:sz w:val="22"/>
                <w:szCs w:val="22"/>
              </w:rPr>
            </w:pPr>
            <w:r>
              <w:rPr>
                <w:color w:val="auto"/>
                <w:sz w:val="22"/>
                <w:szCs w:val="22"/>
              </w:rPr>
              <w:t>3.4</w:t>
            </w:r>
          </w:p>
        </w:tc>
        <w:tc>
          <w:tcPr>
            <w:tcW w:w="7994" w:type="dxa"/>
          </w:tcPr>
          <w:p w14:paraId="5E54EE8D">
            <w:pPr>
              <w:pStyle w:val="85"/>
              <w:jc w:val="both"/>
              <w:rPr>
                <w:color w:val="auto"/>
                <w:sz w:val="22"/>
                <w:szCs w:val="22"/>
              </w:rPr>
            </w:pPr>
            <w:r>
              <w:rPr>
                <w:color w:val="auto"/>
                <w:sz w:val="22"/>
                <w:szCs w:val="22"/>
              </w:rPr>
              <w:t>Правила поведения при пользовании компьютером. Безопасность в информационно-коммуникационной сети Интернет (коммуникация в мессенджерах и социальных группах) в условиях контролируемого доступа в информационно-телекоммуникационную сеть Интернет</w:t>
            </w:r>
          </w:p>
        </w:tc>
      </w:tr>
    </w:tbl>
    <w:p w14:paraId="555897EF">
      <w:pPr>
        <w:pStyle w:val="85"/>
        <w:jc w:val="both"/>
        <w:rPr>
          <w:color w:val="auto"/>
          <w:sz w:val="22"/>
          <w:szCs w:val="22"/>
        </w:rPr>
      </w:pPr>
    </w:p>
    <w:p w14:paraId="45C8E5FB">
      <w:pPr>
        <w:pStyle w:val="85"/>
        <w:jc w:val="right"/>
        <w:rPr>
          <w:color w:val="auto"/>
          <w:sz w:val="22"/>
          <w:szCs w:val="22"/>
        </w:rPr>
      </w:pPr>
      <w:r>
        <w:rPr>
          <w:color w:val="auto"/>
          <w:sz w:val="22"/>
          <w:szCs w:val="22"/>
        </w:rPr>
        <w:t>Таблица 12.4</w:t>
      </w:r>
    </w:p>
    <w:p w14:paraId="3C99B544">
      <w:pPr>
        <w:pStyle w:val="85"/>
        <w:jc w:val="both"/>
        <w:rPr>
          <w:color w:val="auto"/>
          <w:sz w:val="22"/>
          <w:szCs w:val="22"/>
        </w:rPr>
      </w:pPr>
    </w:p>
    <w:p w14:paraId="6BC83775">
      <w:pPr>
        <w:pStyle w:val="85"/>
        <w:jc w:val="center"/>
        <w:rPr>
          <w:color w:val="auto"/>
          <w:sz w:val="22"/>
          <w:szCs w:val="22"/>
        </w:rPr>
      </w:pPr>
      <w:r>
        <w:rPr>
          <w:color w:val="auto"/>
          <w:sz w:val="22"/>
          <w:szCs w:val="22"/>
        </w:rPr>
        <w:t>Проверяемые требования к результатам освоения основной</w:t>
      </w:r>
    </w:p>
    <w:p w14:paraId="37A81E61">
      <w:pPr>
        <w:pStyle w:val="85"/>
        <w:jc w:val="center"/>
        <w:rPr>
          <w:color w:val="auto"/>
          <w:sz w:val="22"/>
          <w:szCs w:val="22"/>
        </w:rPr>
      </w:pPr>
      <w:r>
        <w:rPr>
          <w:color w:val="auto"/>
          <w:sz w:val="22"/>
          <w:szCs w:val="22"/>
        </w:rPr>
        <w:t>образовательной программы (3 класс)</w:t>
      </w:r>
    </w:p>
    <w:p w14:paraId="5C7C78F5">
      <w:pPr>
        <w:pStyle w:val="85"/>
        <w:jc w:val="both"/>
        <w:rPr>
          <w:color w:val="auto"/>
          <w:sz w:val="22"/>
          <w:szCs w:val="22"/>
        </w:rPr>
      </w:pPr>
    </w:p>
    <w:tbl>
      <w:tblPr>
        <w:tblStyle w:val="1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02" w:type="dxa"/>
          <w:left w:w="62" w:type="dxa"/>
          <w:bottom w:w="102" w:type="dxa"/>
          <w:right w:w="62" w:type="dxa"/>
        </w:tblCellMar>
      </w:tblPr>
      <w:tblGrid>
        <w:gridCol w:w="1701"/>
        <w:gridCol w:w="7370"/>
      </w:tblGrid>
      <w:tr w14:paraId="0B8AC5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701" w:type="dxa"/>
          </w:tcPr>
          <w:p w14:paraId="44F6FFA5">
            <w:pPr>
              <w:pStyle w:val="85"/>
              <w:jc w:val="center"/>
              <w:rPr>
                <w:color w:val="auto"/>
                <w:sz w:val="22"/>
                <w:szCs w:val="22"/>
              </w:rPr>
            </w:pPr>
            <w:r>
              <w:rPr>
                <w:color w:val="auto"/>
                <w:sz w:val="22"/>
                <w:szCs w:val="22"/>
              </w:rPr>
              <w:t>Код проверяемого результата</w:t>
            </w:r>
          </w:p>
        </w:tc>
        <w:tc>
          <w:tcPr>
            <w:tcW w:w="7370" w:type="dxa"/>
          </w:tcPr>
          <w:p w14:paraId="2BECAFDB">
            <w:pPr>
              <w:pStyle w:val="85"/>
              <w:jc w:val="center"/>
              <w:rPr>
                <w:color w:val="auto"/>
                <w:sz w:val="22"/>
                <w:szCs w:val="22"/>
              </w:rPr>
            </w:pPr>
            <w:r>
              <w:rPr>
                <w:color w:val="auto"/>
                <w:sz w:val="22"/>
                <w:szCs w:val="22"/>
              </w:rPr>
              <w:t>Проверяемые предметные результаты освоения основной образовательной программы начального общего образования</w:t>
            </w:r>
          </w:p>
        </w:tc>
      </w:tr>
      <w:tr w14:paraId="7DBB54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701" w:type="dxa"/>
          </w:tcPr>
          <w:p w14:paraId="03786E9E">
            <w:pPr>
              <w:pStyle w:val="85"/>
              <w:rPr>
                <w:color w:val="auto"/>
                <w:sz w:val="22"/>
                <w:szCs w:val="22"/>
              </w:rPr>
            </w:pPr>
          </w:p>
        </w:tc>
        <w:tc>
          <w:tcPr>
            <w:tcW w:w="7370" w:type="dxa"/>
          </w:tcPr>
          <w:p w14:paraId="53C49710">
            <w:pPr>
              <w:pStyle w:val="85"/>
              <w:jc w:val="both"/>
              <w:rPr>
                <w:color w:val="auto"/>
                <w:sz w:val="22"/>
                <w:szCs w:val="22"/>
              </w:rPr>
            </w:pPr>
            <w:r>
              <w:rPr>
                <w:color w:val="auto"/>
                <w:sz w:val="22"/>
                <w:szCs w:val="22"/>
              </w:rPr>
              <w:t>Человек и общество</w:t>
            </w:r>
          </w:p>
        </w:tc>
      </w:tr>
      <w:tr w14:paraId="1DADD3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701" w:type="dxa"/>
          </w:tcPr>
          <w:p w14:paraId="38199EA0">
            <w:pPr>
              <w:pStyle w:val="85"/>
              <w:jc w:val="center"/>
              <w:rPr>
                <w:color w:val="auto"/>
                <w:sz w:val="22"/>
                <w:szCs w:val="22"/>
              </w:rPr>
            </w:pPr>
            <w:r>
              <w:rPr>
                <w:color w:val="auto"/>
                <w:sz w:val="22"/>
                <w:szCs w:val="22"/>
              </w:rPr>
              <w:t>1</w:t>
            </w:r>
          </w:p>
        </w:tc>
        <w:tc>
          <w:tcPr>
            <w:tcW w:w="7370" w:type="dxa"/>
          </w:tcPr>
          <w:p w14:paraId="3FCE91E3">
            <w:pPr>
              <w:pStyle w:val="85"/>
              <w:jc w:val="both"/>
              <w:rPr>
                <w:color w:val="auto"/>
                <w:sz w:val="22"/>
                <w:szCs w:val="22"/>
              </w:rPr>
            </w:pPr>
            <w:r>
              <w:rPr>
                <w:color w:val="auto"/>
                <w:sz w:val="22"/>
                <w:szCs w:val="22"/>
              </w:rPr>
              <w:t>различать государственную символику Российской Федерации (гимн, герб, флаг); проявлять уважение к государственным символам России и своего региона</w:t>
            </w:r>
          </w:p>
        </w:tc>
      </w:tr>
      <w:tr w14:paraId="430348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701" w:type="dxa"/>
          </w:tcPr>
          <w:p w14:paraId="0A993C04">
            <w:pPr>
              <w:pStyle w:val="85"/>
              <w:jc w:val="center"/>
              <w:rPr>
                <w:color w:val="auto"/>
                <w:sz w:val="22"/>
                <w:szCs w:val="22"/>
              </w:rPr>
            </w:pPr>
            <w:r>
              <w:rPr>
                <w:color w:val="auto"/>
                <w:sz w:val="22"/>
                <w:szCs w:val="22"/>
              </w:rPr>
              <w:t>2</w:t>
            </w:r>
          </w:p>
        </w:tc>
        <w:tc>
          <w:tcPr>
            <w:tcW w:w="7370" w:type="dxa"/>
          </w:tcPr>
          <w:p w14:paraId="4050E4CA">
            <w:pPr>
              <w:pStyle w:val="85"/>
              <w:jc w:val="both"/>
              <w:rPr>
                <w:color w:val="auto"/>
                <w:sz w:val="22"/>
                <w:szCs w:val="22"/>
              </w:rPr>
            </w:pPr>
            <w:r>
              <w:rPr>
                <w:color w:val="auto"/>
                <w:sz w:val="22"/>
                <w:szCs w:val="22"/>
              </w:rPr>
              <w:t>проявлять уважение к семейным ценностям и традициям, традициям своего народа и других народов; соблюдать правила нравственного поведения в социуме</w:t>
            </w:r>
          </w:p>
        </w:tc>
      </w:tr>
      <w:tr w14:paraId="05A7CC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701" w:type="dxa"/>
          </w:tcPr>
          <w:p w14:paraId="0B8BC089">
            <w:pPr>
              <w:pStyle w:val="85"/>
              <w:jc w:val="center"/>
              <w:rPr>
                <w:color w:val="auto"/>
                <w:sz w:val="22"/>
                <w:szCs w:val="22"/>
              </w:rPr>
            </w:pPr>
            <w:r>
              <w:rPr>
                <w:color w:val="auto"/>
                <w:sz w:val="22"/>
                <w:szCs w:val="22"/>
              </w:rPr>
              <w:t>3</w:t>
            </w:r>
          </w:p>
        </w:tc>
        <w:tc>
          <w:tcPr>
            <w:tcW w:w="7370" w:type="dxa"/>
          </w:tcPr>
          <w:p w14:paraId="707248C5">
            <w:pPr>
              <w:pStyle w:val="85"/>
              <w:jc w:val="both"/>
              <w:rPr>
                <w:color w:val="auto"/>
                <w:sz w:val="22"/>
                <w:szCs w:val="22"/>
              </w:rPr>
            </w:pPr>
            <w:r>
              <w:rPr>
                <w:color w:val="auto"/>
                <w:sz w:val="22"/>
                <w:szCs w:val="22"/>
              </w:rPr>
              <w:t>приводить примеры памятников природы, культурных объектов и достопримечательностей родного края; столицы России, городов Российской Федерации с богатой историей и культурой; российских центров декоративно-прикладного искусства; проявлять интерес и уважение к истории и культуре народов России</w:t>
            </w:r>
          </w:p>
        </w:tc>
      </w:tr>
      <w:tr w14:paraId="79E14D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701" w:type="dxa"/>
          </w:tcPr>
          <w:p w14:paraId="4166DEA6">
            <w:pPr>
              <w:pStyle w:val="85"/>
              <w:jc w:val="center"/>
              <w:rPr>
                <w:color w:val="auto"/>
                <w:sz w:val="22"/>
                <w:szCs w:val="22"/>
              </w:rPr>
            </w:pPr>
            <w:r>
              <w:rPr>
                <w:color w:val="auto"/>
                <w:sz w:val="22"/>
                <w:szCs w:val="22"/>
              </w:rPr>
              <w:t>4</w:t>
            </w:r>
          </w:p>
        </w:tc>
        <w:tc>
          <w:tcPr>
            <w:tcW w:w="7370" w:type="dxa"/>
          </w:tcPr>
          <w:p w14:paraId="512461CE">
            <w:pPr>
              <w:pStyle w:val="85"/>
              <w:jc w:val="both"/>
              <w:rPr>
                <w:color w:val="auto"/>
                <w:sz w:val="22"/>
                <w:szCs w:val="22"/>
              </w:rPr>
            </w:pPr>
            <w:r>
              <w:rPr>
                <w:color w:val="auto"/>
                <w:sz w:val="22"/>
                <w:szCs w:val="22"/>
              </w:rPr>
              <w:t>различать расходы и доходы семейного бюджета</w:t>
            </w:r>
          </w:p>
        </w:tc>
      </w:tr>
      <w:tr w14:paraId="58F725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701" w:type="dxa"/>
          </w:tcPr>
          <w:p w14:paraId="34E7218C">
            <w:pPr>
              <w:pStyle w:val="85"/>
              <w:jc w:val="center"/>
              <w:rPr>
                <w:color w:val="auto"/>
                <w:sz w:val="22"/>
                <w:szCs w:val="22"/>
              </w:rPr>
            </w:pPr>
            <w:r>
              <w:rPr>
                <w:color w:val="auto"/>
                <w:sz w:val="22"/>
                <w:szCs w:val="22"/>
              </w:rPr>
              <w:t>5</w:t>
            </w:r>
          </w:p>
        </w:tc>
        <w:tc>
          <w:tcPr>
            <w:tcW w:w="7370" w:type="dxa"/>
          </w:tcPr>
          <w:p w14:paraId="5D26003D">
            <w:pPr>
              <w:pStyle w:val="85"/>
              <w:jc w:val="both"/>
              <w:rPr>
                <w:color w:val="auto"/>
                <w:sz w:val="22"/>
                <w:szCs w:val="22"/>
              </w:rPr>
            </w:pPr>
            <w:r>
              <w:rPr>
                <w:color w:val="auto"/>
                <w:sz w:val="22"/>
                <w:szCs w:val="22"/>
              </w:rPr>
              <w:t>создавать по заданному плану собственные развернутые высказывания о человеке и обществе, сопровождая выступление иллюстрациями (презентацией)</w:t>
            </w:r>
          </w:p>
        </w:tc>
      </w:tr>
      <w:tr w14:paraId="37559A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701" w:type="dxa"/>
          </w:tcPr>
          <w:p w14:paraId="29A7DD31">
            <w:pPr>
              <w:pStyle w:val="85"/>
              <w:rPr>
                <w:color w:val="auto"/>
                <w:sz w:val="22"/>
                <w:szCs w:val="22"/>
              </w:rPr>
            </w:pPr>
          </w:p>
        </w:tc>
        <w:tc>
          <w:tcPr>
            <w:tcW w:w="7370" w:type="dxa"/>
          </w:tcPr>
          <w:p w14:paraId="1FEB4101">
            <w:pPr>
              <w:pStyle w:val="85"/>
              <w:jc w:val="both"/>
              <w:rPr>
                <w:color w:val="auto"/>
                <w:sz w:val="22"/>
                <w:szCs w:val="22"/>
              </w:rPr>
            </w:pPr>
            <w:r>
              <w:rPr>
                <w:color w:val="auto"/>
                <w:sz w:val="22"/>
                <w:szCs w:val="22"/>
              </w:rPr>
              <w:t>Человек и природа</w:t>
            </w:r>
          </w:p>
        </w:tc>
      </w:tr>
      <w:tr w14:paraId="55586A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701" w:type="dxa"/>
          </w:tcPr>
          <w:p w14:paraId="4B39F6F2">
            <w:pPr>
              <w:pStyle w:val="85"/>
              <w:jc w:val="center"/>
              <w:rPr>
                <w:color w:val="auto"/>
                <w:sz w:val="22"/>
                <w:szCs w:val="22"/>
              </w:rPr>
            </w:pPr>
            <w:r>
              <w:rPr>
                <w:color w:val="auto"/>
                <w:sz w:val="22"/>
                <w:szCs w:val="22"/>
              </w:rPr>
              <w:t>6</w:t>
            </w:r>
          </w:p>
        </w:tc>
        <w:tc>
          <w:tcPr>
            <w:tcW w:w="7370" w:type="dxa"/>
          </w:tcPr>
          <w:p w14:paraId="72C0E883">
            <w:pPr>
              <w:pStyle w:val="85"/>
              <w:jc w:val="both"/>
              <w:rPr>
                <w:color w:val="auto"/>
                <w:sz w:val="22"/>
                <w:szCs w:val="22"/>
              </w:rPr>
            </w:pPr>
            <w:r>
              <w:rPr>
                <w:color w:val="auto"/>
                <w:sz w:val="22"/>
                <w:szCs w:val="22"/>
              </w:rPr>
              <w:t>распознавать изученные объекты природы по их описанию, рисункам и фотографиям, различать их в окружающем мире</w:t>
            </w:r>
          </w:p>
        </w:tc>
      </w:tr>
      <w:tr w14:paraId="58F4FA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701" w:type="dxa"/>
          </w:tcPr>
          <w:p w14:paraId="7034D129">
            <w:pPr>
              <w:pStyle w:val="85"/>
              <w:jc w:val="center"/>
              <w:rPr>
                <w:color w:val="auto"/>
                <w:sz w:val="22"/>
                <w:szCs w:val="22"/>
              </w:rPr>
            </w:pPr>
            <w:r>
              <w:rPr>
                <w:color w:val="auto"/>
                <w:sz w:val="22"/>
                <w:szCs w:val="22"/>
              </w:rPr>
              <w:t>7</w:t>
            </w:r>
          </w:p>
        </w:tc>
        <w:tc>
          <w:tcPr>
            <w:tcW w:w="7370" w:type="dxa"/>
          </w:tcPr>
          <w:p w14:paraId="6A590553">
            <w:pPr>
              <w:pStyle w:val="85"/>
              <w:jc w:val="both"/>
              <w:rPr>
                <w:color w:val="auto"/>
                <w:sz w:val="22"/>
                <w:szCs w:val="22"/>
              </w:rPr>
            </w:pPr>
            <w:r>
              <w:rPr>
                <w:color w:val="auto"/>
                <w:sz w:val="22"/>
                <w:szCs w:val="22"/>
              </w:rPr>
              <w:t>группировать изученные объекты живой и неживой природы, проводить простейшую классификацию</w:t>
            </w:r>
          </w:p>
        </w:tc>
      </w:tr>
      <w:tr w14:paraId="65F5F4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701" w:type="dxa"/>
          </w:tcPr>
          <w:p w14:paraId="797A257E">
            <w:pPr>
              <w:pStyle w:val="85"/>
              <w:jc w:val="center"/>
              <w:rPr>
                <w:color w:val="auto"/>
                <w:sz w:val="22"/>
                <w:szCs w:val="22"/>
              </w:rPr>
            </w:pPr>
            <w:r>
              <w:rPr>
                <w:color w:val="auto"/>
                <w:sz w:val="22"/>
                <w:szCs w:val="22"/>
              </w:rPr>
              <w:t>8</w:t>
            </w:r>
          </w:p>
        </w:tc>
        <w:tc>
          <w:tcPr>
            <w:tcW w:w="7370" w:type="dxa"/>
          </w:tcPr>
          <w:p w14:paraId="1A887C9A">
            <w:pPr>
              <w:pStyle w:val="85"/>
              <w:jc w:val="both"/>
              <w:rPr>
                <w:color w:val="auto"/>
                <w:sz w:val="22"/>
                <w:szCs w:val="22"/>
              </w:rPr>
            </w:pPr>
            <w:r>
              <w:rPr>
                <w:color w:val="auto"/>
                <w:sz w:val="22"/>
                <w:szCs w:val="22"/>
              </w:rPr>
              <w:t>сравнивать по заданному количеству признаков объекты живой и неживой природы</w:t>
            </w:r>
          </w:p>
        </w:tc>
      </w:tr>
      <w:tr w14:paraId="2E4823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701" w:type="dxa"/>
          </w:tcPr>
          <w:p w14:paraId="2ACF0471">
            <w:pPr>
              <w:pStyle w:val="85"/>
              <w:jc w:val="center"/>
              <w:rPr>
                <w:color w:val="auto"/>
                <w:sz w:val="22"/>
                <w:szCs w:val="22"/>
              </w:rPr>
            </w:pPr>
            <w:r>
              <w:rPr>
                <w:color w:val="auto"/>
                <w:sz w:val="22"/>
                <w:szCs w:val="22"/>
              </w:rPr>
              <w:t>9</w:t>
            </w:r>
          </w:p>
        </w:tc>
        <w:tc>
          <w:tcPr>
            <w:tcW w:w="7370" w:type="dxa"/>
          </w:tcPr>
          <w:p w14:paraId="539712C8">
            <w:pPr>
              <w:pStyle w:val="85"/>
              <w:jc w:val="both"/>
              <w:rPr>
                <w:color w:val="auto"/>
                <w:sz w:val="22"/>
                <w:szCs w:val="22"/>
              </w:rPr>
            </w:pPr>
            <w:r>
              <w:rPr>
                <w:color w:val="auto"/>
                <w:sz w:val="22"/>
                <w:szCs w:val="22"/>
              </w:rPr>
              <w:t>описывать на основе предложенного плана изученные объекты и явления природы, выделяя их существенные признаки и характерные свойства</w:t>
            </w:r>
          </w:p>
        </w:tc>
      </w:tr>
      <w:tr w14:paraId="090D71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701" w:type="dxa"/>
          </w:tcPr>
          <w:p w14:paraId="49BFC579">
            <w:pPr>
              <w:pStyle w:val="85"/>
              <w:jc w:val="center"/>
              <w:rPr>
                <w:color w:val="auto"/>
                <w:sz w:val="22"/>
                <w:szCs w:val="22"/>
              </w:rPr>
            </w:pPr>
            <w:r>
              <w:rPr>
                <w:color w:val="auto"/>
                <w:sz w:val="22"/>
                <w:szCs w:val="22"/>
              </w:rPr>
              <w:t>10</w:t>
            </w:r>
          </w:p>
        </w:tc>
        <w:tc>
          <w:tcPr>
            <w:tcW w:w="7370" w:type="dxa"/>
          </w:tcPr>
          <w:p w14:paraId="3E6851C0">
            <w:pPr>
              <w:pStyle w:val="85"/>
              <w:jc w:val="both"/>
              <w:rPr>
                <w:color w:val="auto"/>
                <w:sz w:val="22"/>
                <w:szCs w:val="22"/>
              </w:rPr>
            </w:pPr>
            <w:r>
              <w:rPr>
                <w:color w:val="auto"/>
                <w:sz w:val="22"/>
                <w:szCs w:val="22"/>
              </w:rPr>
              <w:t>проводить по предложенному плану или инструкции небольшие опыты с природными объектами с использованием простейшего лабораторного оборудования и измерительных приборов; соблюдать безопасность проведения опытов</w:t>
            </w:r>
          </w:p>
        </w:tc>
      </w:tr>
      <w:tr w14:paraId="615D2F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701" w:type="dxa"/>
          </w:tcPr>
          <w:p w14:paraId="12A4D30A">
            <w:pPr>
              <w:pStyle w:val="85"/>
              <w:jc w:val="center"/>
              <w:rPr>
                <w:color w:val="auto"/>
                <w:sz w:val="22"/>
                <w:szCs w:val="22"/>
              </w:rPr>
            </w:pPr>
            <w:r>
              <w:rPr>
                <w:color w:val="auto"/>
                <w:sz w:val="22"/>
                <w:szCs w:val="22"/>
              </w:rPr>
              <w:t>11</w:t>
            </w:r>
          </w:p>
        </w:tc>
        <w:tc>
          <w:tcPr>
            <w:tcW w:w="7370" w:type="dxa"/>
          </w:tcPr>
          <w:p w14:paraId="68FC5E41">
            <w:pPr>
              <w:pStyle w:val="85"/>
              <w:jc w:val="both"/>
              <w:rPr>
                <w:color w:val="auto"/>
                <w:sz w:val="22"/>
                <w:szCs w:val="22"/>
              </w:rPr>
            </w:pPr>
            <w:r>
              <w:rPr>
                <w:color w:val="auto"/>
                <w:sz w:val="22"/>
                <w:szCs w:val="22"/>
              </w:rPr>
              <w:t>показывать на карте мира материки, изученные страны мира</w:t>
            </w:r>
          </w:p>
        </w:tc>
      </w:tr>
      <w:tr w14:paraId="5E268E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701" w:type="dxa"/>
          </w:tcPr>
          <w:p w14:paraId="28B13276">
            <w:pPr>
              <w:pStyle w:val="85"/>
              <w:jc w:val="center"/>
              <w:rPr>
                <w:color w:val="auto"/>
                <w:sz w:val="22"/>
                <w:szCs w:val="22"/>
              </w:rPr>
            </w:pPr>
            <w:r>
              <w:rPr>
                <w:color w:val="auto"/>
                <w:sz w:val="22"/>
                <w:szCs w:val="22"/>
              </w:rPr>
              <w:t>12</w:t>
            </w:r>
          </w:p>
        </w:tc>
        <w:tc>
          <w:tcPr>
            <w:tcW w:w="7370" w:type="dxa"/>
          </w:tcPr>
          <w:p w14:paraId="75898468">
            <w:pPr>
              <w:pStyle w:val="85"/>
              <w:jc w:val="both"/>
              <w:rPr>
                <w:color w:val="auto"/>
                <w:sz w:val="22"/>
                <w:szCs w:val="22"/>
              </w:rPr>
            </w:pPr>
            <w:r>
              <w:rPr>
                <w:color w:val="auto"/>
                <w:sz w:val="22"/>
                <w:szCs w:val="22"/>
              </w:rPr>
              <w:t>фиксировать результаты наблюдений, опытной работы, в процессе коллективной деятельности обобщать полученные результаты и делать выводы</w:t>
            </w:r>
          </w:p>
        </w:tc>
      </w:tr>
      <w:tr w14:paraId="5E8007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701" w:type="dxa"/>
          </w:tcPr>
          <w:p w14:paraId="679CEA38">
            <w:pPr>
              <w:pStyle w:val="85"/>
              <w:jc w:val="center"/>
              <w:rPr>
                <w:color w:val="auto"/>
                <w:sz w:val="22"/>
                <w:szCs w:val="22"/>
              </w:rPr>
            </w:pPr>
            <w:r>
              <w:rPr>
                <w:color w:val="auto"/>
                <w:sz w:val="22"/>
                <w:szCs w:val="22"/>
              </w:rPr>
              <w:t>13</w:t>
            </w:r>
          </w:p>
        </w:tc>
        <w:tc>
          <w:tcPr>
            <w:tcW w:w="7370" w:type="dxa"/>
          </w:tcPr>
          <w:p w14:paraId="6CAC2870">
            <w:pPr>
              <w:pStyle w:val="85"/>
              <w:jc w:val="both"/>
              <w:rPr>
                <w:color w:val="auto"/>
                <w:sz w:val="22"/>
                <w:szCs w:val="22"/>
              </w:rPr>
            </w:pPr>
            <w:r>
              <w:rPr>
                <w:color w:val="auto"/>
                <w:sz w:val="22"/>
                <w:szCs w:val="22"/>
              </w:rPr>
              <w:t>использовать различные источники информации о природе и обществе для поиска и извлечения информации, ответов на вопросы</w:t>
            </w:r>
          </w:p>
        </w:tc>
      </w:tr>
      <w:tr w14:paraId="06C0C5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701" w:type="dxa"/>
          </w:tcPr>
          <w:p w14:paraId="4B29F3D9">
            <w:pPr>
              <w:pStyle w:val="85"/>
              <w:jc w:val="center"/>
              <w:rPr>
                <w:color w:val="auto"/>
                <w:sz w:val="22"/>
                <w:szCs w:val="22"/>
              </w:rPr>
            </w:pPr>
            <w:r>
              <w:rPr>
                <w:color w:val="auto"/>
                <w:sz w:val="22"/>
                <w:szCs w:val="22"/>
              </w:rPr>
              <w:t>14</w:t>
            </w:r>
          </w:p>
        </w:tc>
        <w:tc>
          <w:tcPr>
            <w:tcW w:w="7370" w:type="dxa"/>
          </w:tcPr>
          <w:p w14:paraId="068B986F">
            <w:pPr>
              <w:pStyle w:val="85"/>
              <w:jc w:val="both"/>
              <w:rPr>
                <w:color w:val="auto"/>
                <w:sz w:val="22"/>
                <w:szCs w:val="22"/>
              </w:rPr>
            </w:pPr>
            <w:r>
              <w:rPr>
                <w:color w:val="auto"/>
                <w:sz w:val="22"/>
                <w:szCs w:val="22"/>
              </w:rPr>
              <w:t>использовать знания о взаимосвязях в природе, связи человека и природы для объяснения простейших явлений и процессов в природе, организме человека</w:t>
            </w:r>
          </w:p>
        </w:tc>
      </w:tr>
      <w:tr w14:paraId="38BBB8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701" w:type="dxa"/>
          </w:tcPr>
          <w:p w14:paraId="2285A9A5">
            <w:pPr>
              <w:pStyle w:val="85"/>
              <w:jc w:val="center"/>
              <w:rPr>
                <w:color w:val="auto"/>
                <w:sz w:val="22"/>
                <w:szCs w:val="22"/>
              </w:rPr>
            </w:pPr>
            <w:r>
              <w:rPr>
                <w:color w:val="auto"/>
                <w:sz w:val="22"/>
                <w:szCs w:val="22"/>
              </w:rPr>
              <w:t>15</w:t>
            </w:r>
          </w:p>
        </w:tc>
        <w:tc>
          <w:tcPr>
            <w:tcW w:w="7370" w:type="dxa"/>
          </w:tcPr>
          <w:p w14:paraId="087B009A">
            <w:pPr>
              <w:pStyle w:val="85"/>
              <w:jc w:val="both"/>
              <w:rPr>
                <w:color w:val="auto"/>
                <w:sz w:val="22"/>
                <w:szCs w:val="22"/>
              </w:rPr>
            </w:pPr>
            <w:r>
              <w:rPr>
                <w:color w:val="auto"/>
                <w:sz w:val="22"/>
                <w:szCs w:val="22"/>
              </w:rPr>
              <w:t>создавать по заданному плану собственные развернутые высказывания о природе, сопровождая выступление иллюстрациями (презентацией)</w:t>
            </w:r>
          </w:p>
        </w:tc>
      </w:tr>
      <w:tr w14:paraId="67AC9A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701" w:type="dxa"/>
          </w:tcPr>
          <w:p w14:paraId="397BEBD6">
            <w:pPr>
              <w:pStyle w:val="85"/>
              <w:rPr>
                <w:color w:val="auto"/>
                <w:sz w:val="22"/>
                <w:szCs w:val="22"/>
              </w:rPr>
            </w:pPr>
          </w:p>
        </w:tc>
        <w:tc>
          <w:tcPr>
            <w:tcW w:w="7370" w:type="dxa"/>
          </w:tcPr>
          <w:p w14:paraId="5084ACC9">
            <w:pPr>
              <w:pStyle w:val="85"/>
              <w:jc w:val="both"/>
              <w:rPr>
                <w:color w:val="auto"/>
                <w:sz w:val="22"/>
                <w:szCs w:val="22"/>
              </w:rPr>
            </w:pPr>
            <w:r>
              <w:rPr>
                <w:color w:val="auto"/>
                <w:sz w:val="22"/>
                <w:szCs w:val="22"/>
              </w:rPr>
              <w:t>Правила безопасной жизнедеятельности</w:t>
            </w:r>
          </w:p>
        </w:tc>
      </w:tr>
      <w:tr w14:paraId="3A7A38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701" w:type="dxa"/>
          </w:tcPr>
          <w:p w14:paraId="2A62C9F0">
            <w:pPr>
              <w:pStyle w:val="85"/>
              <w:jc w:val="center"/>
              <w:rPr>
                <w:color w:val="auto"/>
                <w:sz w:val="22"/>
                <w:szCs w:val="22"/>
              </w:rPr>
            </w:pPr>
            <w:r>
              <w:rPr>
                <w:color w:val="auto"/>
                <w:sz w:val="22"/>
                <w:szCs w:val="22"/>
              </w:rPr>
              <w:t>16</w:t>
            </w:r>
          </w:p>
        </w:tc>
        <w:tc>
          <w:tcPr>
            <w:tcW w:w="7370" w:type="dxa"/>
          </w:tcPr>
          <w:p w14:paraId="7757B02A">
            <w:pPr>
              <w:pStyle w:val="85"/>
              <w:jc w:val="both"/>
              <w:rPr>
                <w:color w:val="auto"/>
                <w:sz w:val="22"/>
                <w:szCs w:val="22"/>
              </w:rPr>
            </w:pPr>
            <w:r>
              <w:rPr>
                <w:color w:val="auto"/>
                <w:sz w:val="22"/>
                <w:szCs w:val="22"/>
              </w:rPr>
              <w:t>соблюдать основы здорового образа жизни, в том числе требования к двигательной активности и принципы здорового питания; соблюдать основы профилактики заболеваний</w:t>
            </w:r>
          </w:p>
        </w:tc>
      </w:tr>
      <w:tr w14:paraId="389CB5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701" w:type="dxa"/>
          </w:tcPr>
          <w:p w14:paraId="0DB356B9">
            <w:pPr>
              <w:pStyle w:val="85"/>
              <w:jc w:val="center"/>
              <w:rPr>
                <w:color w:val="auto"/>
                <w:sz w:val="22"/>
                <w:szCs w:val="22"/>
              </w:rPr>
            </w:pPr>
            <w:r>
              <w:rPr>
                <w:color w:val="auto"/>
                <w:sz w:val="22"/>
                <w:szCs w:val="22"/>
              </w:rPr>
              <w:t>17</w:t>
            </w:r>
          </w:p>
        </w:tc>
        <w:tc>
          <w:tcPr>
            <w:tcW w:w="7370" w:type="dxa"/>
          </w:tcPr>
          <w:p w14:paraId="2D883A03">
            <w:pPr>
              <w:pStyle w:val="85"/>
              <w:jc w:val="both"/>
              <w:rPr>
                <w:color w:val="auto"/>
                <w:sz w:val="22"/>
                <w:szCs w:val="22"/>
              </w:rPr>
            </w:pPr>
            <w:r>
              <w:rPr>
                <w:color w:val="auto"/>
                <w:sz w:val="22"/>
                <w:szCs w:val="22"/>
              </w:rPr>
              <w:t>соблюдать правила безопасного поведения пассажира железнодорожного, водного и авиатранспорта; соблюдать правила безопасного поведения во дворе жилого дома</w:t>
            </w:r>
          </w:p>
        </w:tc>
      </w:tr>
      <w:tr w14:paraId="7BD30D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701" w:type="dxa"/>
          </w:tcPr>
          <w:p w14:paraId="5FE09F42">
            <w:pPr>
              <w:pStyle w:val="85"/>
              <w:jc w:val="center"/>
              <w:rPr>
                <w:color w:val="auto"/>
                <w:sz w:val="22"/>
                <w:szCs w:val="22"/>
              </w:rPr>
            </w:pPr>
            <w:r>
              <w:rPr>
                <w:color w:val="auto"/>
                <w:sz w:val="22"/>
                <w:szCs w:val="22"/>
              </w:rPr>
              <w:t>18</w:t>
            </w:r>
          </w:p>
        </w:tc>
        <w:tc>
          <w:tcPr>
            <w:tcW w:w="7370" w:type="dxa"/>
          </w:tcPr>
          <w:p w14:paraId="45F3B0D8">
            <w:pPr>
              <w:pStyle w:val="85"/>
              <w:jc w:val="both"/>
              <w:rPr>
                <w:color w:val="auto"/>
                <w:sz w:val="22"/>
                <w:szCs w:val="22"/>
              </w:rPr>
            </w:pPr>
            <w:r>
              <w:rPr>
                <w:color w:val="auto"/>
                <w:sz w:val="22"/>
                <w:szCs w:val="22"/>
              </w:rPr>
              <w:t>соблюдать правила нравственного поведения на природе</w:t>
            </w:r>
          </w:p>
        </w:tc>
      </w:tr>
      <w:tr w14:paraId="45308A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701" w:type="dxa"/>
          </w:tcPr>
          <w:p w14:paraId="7976618C">
            <w:pPr>
              <w:pStyle w:val="85"/>
              <w:jc w:val="center"/>
              <w:rPr>
                <w:color w:val="auto"/>
                <w:sz w:val="22"/>
                <w:szCs w:val="22"/>
              </w:rPr>
            </w:pPr>
            <w:r>
              <w:rPr>
                <w:color w:val="auto"/>
                <w:sz w:val="22"/>
                <w:szCs w:val="22"/>
              </w:rPr>
              <w:t>19</w:t>
            </w:r>
          </w:p>
        </w:tc>
        <w:tc>
          <w:tcPr>
            <w:tcW w:w="7370" w:type="dxa"/>
          </w:tcPr>
          <w:p w14:paraId="3B2C89AA">
            <w:pPr>
              <w:pStyle w:val="85"/>
              <w:jc w:val="both"/>
              <w:rPr>
                <w:color w:val="auto"/>
                <w:sz w:val="22"/>
                <w:szCs w:val="22"/>
              </w:rPr>
            </w:pPr>
            <w:r>
              <w:rPr>
                <w:color w:val="auto"/>
                <w:sz w:val="22"/>
                <w:szCs w:val="22"/>
              </w:rPr>
              <w:t>безопасно использовать персональные данные в условиях контролируемого доступа в сеть Интернет; ориентироваться в возможных мошеннических действиях при общении в мессенджерах</w:t>
            </w:r>
          </w:p>
        </w:tc>
      </w:tr>
    </w:tbl>
    <w:p w14:paraId="4156FB64">
      <w:pPr>
        <w:pStyle w:val="85"/>
        <w:jc w:val="both"/>
        <w:rPr>
          <w:color w:val="auto"/>
          <w:sz w:val="22"/>
          <w:szCs w:val="22"/>
        </w:rPr>
      </w:pPr>
    </w:p>
    <w:p w14:paraId="62B53253">
      <w:pPr>
        <w:pStyle w:val="85"/>
        <w:jc w:val="right"/>
        <w:rPr>
          <w:color w:val="auto"/>
          <w:sz w:val="22"/>
          <w:szCs w:val="22"/>
        </w:rPr>
      </w:pPr>
      <w:r>
        <w:rPr>
          <w:color w:val="auto"/>
          <w:sz w:val="22"/>
          <w:szCs w:val="22"/>
        </w:rPr>
        <w:t>Таблица 12.5</w:t>
      </w:r>
    </w:p>
    <w:p w14:paraId="3A4E2BC6">
      <w:pPr>
        <w:pStyle w:val="85"/>
        <w:jc w:val="both"/>
        <w:rPr>
          <w:color w:val="auto"/>
          <w:sz w:val="22"/>
          <w:szCs w:val="22"/>
        </w:rPr>
      </w:pPr>
    </w:p>
    <w:p w14:paraId="258C53A7">
      <w:pPr>
        <w:pStyle w:val="85"/>
        <w:jc w:val="center"/>
        <w:rPr>
          <w:color w:val="auto"/>
          <w:sz w:val="22"/>
          <w:szCs w:val="22"/>
        </w:rPr>
      </w:pPr>
      <w:r>
        <w:rPr>
          <w:color w:val="auto"/>
          <w:sz w:val="22"/>
          <w:szCs w:val="22"/>
        </w:rPr>
        <w:t>Проверяемые элементы содержания (3 класс)</w:t>
      </w:r>
    </w:p>
    <w:p w14:paraId="495E6E74">
      <w:pPr>
        <w:pStyle w:val="85"/>
        <w:jc w:val="both"/>
        <w:rPr>
          <w:color w:val="auto"/>
          <w:sz w:val="22"/>
          <w:szCs w:val="22"/>
        </w:rPr>
      </w:pPr>
    </w:p>
    <w:tbl>
      <w:tblPr>
        <w:tblStyle w:val="1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02" w:type="dxa"/>
          <w:left w:w="62" w:type="dxa"/>
          <w:bottom w:w="102" w:type="dxa"/>
          <w:right w:w="62" w:type="dxa"/>
        </w:tblCellMar>
      </w:tblPr>
      <w:tblGrid>
        <w:gridCol w:w="1077"/>
        <w:gridCol w:w="7994"/>
      </w:tblGrid>
      <w:tr w14:paraId="5DAF3A46">
        <w:tblPrEx>
          <w:tblCellMar>
            <w:top w:w="102" w:type="dxa"/>
            <w:left w:w="62" w:type="dxa"/>
            <w:bottom w:w="102" w:type="dxa"/>
            <w:right w:w="62" w:type="dxa"/>
          </w:tblCellMar>
        </w:tblPrEx>
        <w:tc>
          <w:tcPr>
            <w:tcW w:w="1077" w:type="dxa"/>
          </w:tcPr>
          <w:p w14:paraId="7D5DCE84">
            <w:pPr>
              <w:pStyle w:val="85"/>
              <w:jc w:val="center"/>
              <w:rPr>
                <w:color w:val="auto"/>
                <w:sz w:val="22"/>
                <w:szCs w:val="22"/>
              </w:rPr>
            </w:pPr>
            <w:r>
              <w:rPr>
                <w:color w:val="auto"/>
                <w:sz w:val="22"/>
                <w:szCs w:val="22"/>
              </w:rPr>
              <w:t>Код</w:t>
            </w:r>
          </w:p>
        </w:tc>
        <w:tc>
          <w:tcPr>
            <w:tcW w:w="7994" w:type="dxa"/>
          </w:tcPr>
          <w:p w14:paraId="423C5369">
            <w:pPr>
              <w:pStyle w:val="85"/>
              <w:jc w:val="center"/>
              <w:rPr>
                <w:color w:val="auto"/>
                <w:sz w:val="22"/>
                <w:szCs w:val="22"/>
              </w:rPr>
            </w:pPr>
            <w:r>
              <w:rPr>
                <w:color w:val="auto"/>
                <w:sz w:val="22"/>
                <w:szCs w:val="22"/>
              </w:rPr>
              <w:t>Проверяемый элемент содержания</w:t>
            </w:r>
          </w:p>
        </w:tc>
      </w:tr>
      <w:tr w14:paraId="29481F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077" w:type="dxa"/>
          </w:tcPr>
          <w:p w14:paraId="64688401">
            <w:pPr>
              <w:pStyle w:val="85"/>
              <w:jc w:val="center"/>
              <w:rPr>
                <w:color w:val="auto"/>
                <w:sz w:val="22"/>
                <w:szCs w:val="22"/>
              </w:rPr>
            </w:pPr>
            <w:r>
              <w:rPr>
                <w:color w:val="auto"/>
                <w:sz w:val="22"/>
                <w:szCs w:val="22"/>
              </w:rPr>
              <w:t>1</w:t>
            </w:r>
          </w:p>
        </w:tc>
        <w:tc>
          <w:tcPr>
            <w:tcW w:w="7994" w:type="dxa"/>
          </w:tcPr>
          <w:p w14:paraId="00FDCECC">
            <w:pPr>
              <w:pStyle w:val="85"/>
              <w:jc w:val="both"/>
              <w:rPr>
                <w:color w:val="auto"/>
                <w:sz w:val="22"/>
                <w:szCs w:val="22"/>
              </w:rPr>
            </w:pPr>
            <w:r>
              <w:rPr>
                <w:color w:val="auto"/>
                <w:sz w:val="22"/>
                <w:szCs w:val="22"/>
              </w:rPr>
              <w:t>Человек и общество</w:t>
            </w:r>
          </w:p>
        </w:tc>
      </w:tr>
      <w:tr w14:paraId="0B3AB2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077" w:type="dxa"/>
          </w:tcPr>
          <w:p w14:paraId="0B3A95C9">
            <w:pPr>
              <w:pStyle w:val="85"/>
              <w:jc w:val="center"/>
              <w:rPr>
                <w:color w:val="auto"/>
                <w:sz w:val="22"/>
                <w:szCs w:val="22"/>
              </w:rPr>
            </w:pPr>
            <w:r>
              <w:rPr>
                <w:color w:val="auto"/>
                <w:sz w:val="22"/>
                <w:szCs w:val="22"/>
              </w:rPr>
              <w:t>1.1</w:t>
            </w:r>
          </w:p>
        </w:tc>
        <w:tc>
          <w:tcPr>
            <w:tcW w:w="7994" w:type="dxa"/>
          </w:tcPr>
          <w:p w14:paraId="483FB7CF">
            <w:pPr>
              <w:pStyle w:val="85"/>
              <w:jc w:val="both"/>
              <w:rPr>
                <w:color w:val="auto"/>
                <w:sz w:val="22"/>
                <w:szCs w:val="22"/>
              </w:rPr>
            </w:pPr>
            <w:r>
              <w:rPr>
                <w:color w:val="auto"/>
                <w:sz w:val="22"/>
                <w:szCs w:val="22"/>
              </w:rPr>
              <w:t>Общество как совокупность людей, которые объединены общей культурой и связаны друг с другом совместной деятельностью во имя общей цели</w:t>
            </w:r>
          </w:p>
        </w:tc>
      </w:tr>
      <w:tr w14:paraId="4CCC14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077" w:type="dxa"/>
          </w:tcPr>
          <w:p w14:paraId="5D664F60">
            <w:pPr>
              <w:pStyle w:val="85"/>
              <w:jc w:val="center"/>
              <w:rPr>
                <w:color w:val="auto"/>
                <w:sz w:val="22"/>
                <w:szCs w:val="22"/>
              </w:rPr>
            </w:pPr>
            <w:r>
              <w:rPr>
                <w:color w:val="auto"/>
                <w:sz w:val="22"/>
                <w:szCs w:val="22"/>
              </w:rPr>
              <w:t>1.2</w:t>
            </w:r>
          </w:p>
        </w:tc>
        <w:tc>
          <w:tcPr>
            <w:tcW w:w="7994" w:type="dxa"/>
          </w:tcPr>
          <w:p w14:paraId="0BA4E2ED">
            <w:pPr>
              <w:pStyle w:val="85"/>
              <w:jc w:val="both"/>
              <w:rPr>
                <w:color w:val="auto"/>
                <w:sz w:val="22"/>
                <w:szCs w:val="22"/>
              </w:rPr>
            </w:pPr>
            <w:r>
              <w:rPr>
                <w:color w:val="auto"/>
                <w:sz w:val="22"/>
                <w:szCs w:val="22"/>
              </w:rPr>
              <w:t>Наша Родина - Российская Федерация. Государственная символика Российской Федерации и своего региона</w:t>
            </w:r>
          </w:p>
        </w:tc>
      </w:tr>
      <w:tr w14:paraId="1B928A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077" w:type="dxa"/>
          </w:tcPr>
          <w:p w14:paraId="326F7CA7">
            <w:pPr>
              <w:pStyle w:val="85"/>
              <w:jc w:val="center"/>
              <w:rPr>
                <w:color w:val="auto"/>
                <w:sz w:val="22"/>
                <w:szCs w:val="22"/>
              </w:rPr>
            </w:pPr>
            <w:r>
              <w:rPr>
                <w:color w:val="auto"/>
                <w:sz w:val="22"/>
                <w:szCs w:val="22"/>
              </w:rPr>
              <w:t>1.3</w:t>
            </w:r>
          </w:p>
        </w:tc>
        <w:tc>
          <w:tcPr>
            <w:tcW w:w="7994" w:type="dxa"/>
          </w:tcPr>
          <w:p w14:paraId="658C270C">
            <w:pPr>
              <w:pStyle w:val="85"/>
              <w:jc w:val="both"/>
              <w:rPr>
                <w:color w:val="auto"/>
                <w:sz w:val="22"/>
                <w:szCs w:val="22"/>
              </w:rPr>
            </w:pPr>
            <w:r>
              <w:rPr>
                <w:color w:val="auto"/>
                <w:sz w:val="22"/>
                <w:szCs w:val="22"/>
              </w:rPr>
              <w:t>Уникальные памятники культуры России, родного края. Города Золотого кольца России</w:t>
            </w:r>
          </w:p>
        </w:tc>
      </w:tr>
      <w:tr w14:paraId="4A761A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077" w:type="dxa"/>
          </w:tcPr>
          <w:p w14:paraId="30A14C05">
            <w:pPr>
              <w:pStyle w:val="85"/>
              <w:jc w:val="center"/>
              <w:rPr>
                <w:color w:val="auto"/>
                <w:sz w:val="22"/>
                <w:szCs w:val="22"/>
              </w:rPr>
            </w:pPr>
            <w:r>
              <w:rPr>
                <w:color w:val="auto"/>
                <w:sz w:val="22"/>
                <w:szCs w:val="22"/>
              </w:rPr>
              <w:t>1.4</w:t>
            </w:r>
          </w:p>
        </w:tc>
        <w:tc>
          <w:tcPr>
            <w:tcW w:w="7994" w:type="dxa"/>
          </w:tcPr>
          <w:p w14:paraId="7BAB50F0">
            <w:pPr>
              <w:pStyle w:val="85"/>
              <w:jc w:val="both"/>
              <w:rPr>
                <w:color w:val="auto"/>
                <w:sz w:val="22"/>
                <w:szCs w:val="22"/>
              </w:rPr>
            </w:pPr>
            <w:r>
              <w:rPr>
                <w:color w:val="auto"/>
                <w:sz w:val="22"/>
                <w:szCs w:val="22"/>
              </w:rPr>
              <w:t>Народы России. Уважение к культуре, традициям своего народа и других народов, государственным символам России</w:t>
            </w:r>
          </w:p>
        </w:tc>
      </w:tr>
      <w:tr w14:paraId="080119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077" w:type="dxa"/>
          </w:tcPr>
          <w:p w14:paraId="4A08AB28">
            <w:pPr>
              <w:pStyle w:val="85"/>
              <w:jc w:val="center"/>
              <w:rPr>
                <w:color w:val="auto"/>
                <w:sz w:val="22"/>
                <w:szCs w:val="22"/>
              </w:rPr>
            </w:pPr>
            <w:r>
              <w:rPr>
                <w:color w:val="auto"/>
                <w:sz w:val="22"/>
                <w:szCs w:val="22"/>
              </w:rPr>
              <w:t>1.5</w:t>
            </w:r>
          </w:p>
        </w:tc>
        <w:tc>
          <w:tcPr>
            <w:tcW w:w="7994" w:type="dxa"/>
          </w:tcPr>
          <w:p w14:paraId="4C8A2614">
            <w:pPr>
              <w:pStyle w:val="85"/>
              <w:jc w:val="both"/>
              <w:rPr>
                <w:color w:val="auto"/>
                <w:sz w:val="22"/>
                <w:szCs w:val="22"/>
              </w:rPr>
            </w:pPr>
            <w:r>
              <w:rPr>
                <w:color w:val="auto"/>
                <w:sz w:val="22"/>
                <w:szCs w:val="22"/>
              </w:rPr>
              <w:t>Семья - коллектив близких, родных людей. Семейный бюджет, доходы и расходы семьи. Уважение к семейным ценностям</w:t>
            </w:r>
          </w:p>
        </w:tc>
      </w:tr>
      <w:tr w14:paraId="027A94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077" w:type="dxa"/>
          </w:tcPr>
          <w:p w14:paraId="7A4D0EA1">
            <w:pPr>
              <w:pStyle w:val="85"/>
              <w:jc w:val="center"/>
              <w:rPr>
                <w:color w:val="auto"/>
                <w:sz w:val="22"/>
                <w:szCs w:val="22"/>
              </w:rPr>
            </w:pPr>
            <w:r>
              <w:rPr>
                <w:color w:val="auto"/>
                <w:sz w:val="22"/>
                <w:szCs w:val="22"/>
              </w:rPr>
              <w:t>1.6</w:t>
            </w:r>
          </w:p>
        </w:tc>
        <w:tc>
          <w:tcPr>
            <w:tcW w:w="7994" w:type="dxa"/>
          </w:tcPr>
          <w:p w14:paraId="76448FEE">
            <w:pPr>
              <w:pStyle w:val="85"/>
              <w:jc w:val="both"/>
              <w:rPr>
                <w:color w:val="auto"/>
                <w:sz w:val="22"/>
                <w:szCs w:val="22"/>
              </w:rPr>
            </w:pPr>
            <w:r>
              <w:rPr>
                <w:color w:val="auto"/>
                <w:sz w:val="22"/>
                <w:szCs w:val="22"/>
              </w:rPr>
              <w:t>Правила нравственного поведения в социуме. Внимание, уважительное отношение к людям с ограниченными возможностями здоровья, забота о них</w:t>
            </w:r>
          </w:p>
        </w:tc>
      </w:tr>
      <w:tr w14:paraId="58FD54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077" w:type="dxa"/>
          </w:tcPr>
          <w:p w14:paraId="40408BCA">
            <w:pPr>
              <w:pStyle w:val="85"/>
              <w:jc w:val="center"/>
              <w:rPr>
                <w:color w:val="auto"/>
                <w:sz w:val="22"/>
                <w:szCs w:val="22"/>
              </w:rPr>
            </w:pPr>
            <w:r>
              <w:rPr>
                <w:color w:val="auto"/>
                <w:sz w:val="22"/>
                <w:szCs w:val="22"/>
              </w:rPr>
              <w:t>1.7</w:t>
            </w:r>
          </w:p>
        </w:tc>
        <w:tc>
          <w:tcPr>
            <w:tcW w:w="7994" w:type="dxa"/>
          </w:tcPr>
          <w:p w14:paraId="1000A649">
            <w:pPr>
              <w:pStyle w:val="85"/>
              <w:jc w:val="both"/>
              <w:rPr>
                <w:color w:val="auto"/>
                <w:sz w:val="22"/>
                <w:szCs w:val="22"/>
              </w:rPr>
            </w:pPr>
            <w:r>
              <w:rPr>
                <w:color w:val="auto"/>
                <w:sz w:val="22"/>
                <w:szCs w:val="22"/>
              </w:rPr>
              <w:t>Значение труда в жизни человека и общества. Трудолюбие как общественно значимая ценность в культуре народов России. Особенности труда людей родного края, их профессии</w:t>
            </w:r>
          </w:p>
        </w:tc>
      </w:tr>
      <w:tr w14:paraId="4DD863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077" w:type="dxa"/>
          </w:tcPr>
          <w:p w14:paraId="711AC3AA">
            <w:pPr>
              <w:pStyle w:val="85"/>
              <w:jc w:val="center"/>
              <w:rPr>
                <w:color w:val="auto"/>
                <w:sz w:val="22"/>
                <w:szCs w:val="22"/>
              </w:rPr>
            </w:pPr>
            <w:r>
              <w:rPr>
                <w:color w:val="auto"/>
                <w:sz w:val="22"/>
                <w:szCs w:val="22"/>
              </w:rPr>
              <w:t>1.8</w:t>
            </w:r>
          </w:p>
        </w:tc>
        <w:tc>
          <w:tcPr>
            <w:tcW w:w="7994" w:type="dxa"/>
          </w:tcPr>
          <w:p w14:paraId="2A308FE8">
            <w:pPr>
              <w:pStyle w:val="85"/>
              <w:jc w:val="both"/>
              <w:rPr>
                <w:color w:val="auto"/>
                <w:sz w:val="22"/>
                <w:szCs w:val="22"/>
              </w:rPr>
            </w:pPr>
            <w:r>
              <w:rPr>
                <w:color w:val="auto"/>
                <w:sz w:val="22"/>
                <w:szCs w:val="22"/>
              </w:rPr>
              <w:t>Страны и народы мира. Памятники природы и культуры - символы стран, в которых они находятся</w:t>
            </w:r>
          </w:p>
        </w:tc>
      </w:tr>
      <w:tr w14:paraId="59A4BB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077" w:type="dxa"/>
          </w:tcPr>
          <w:p w14:paraId="62D3502A">
            <w:pPr>
              <w:pStyle w:val="85"/>
              <w:jc w:val="center"/>
              <w:rPr>
                <w:color w:val="auto"/>
                <w:sz w:val="22"/>
                <w:szCs w:val="22"/>
              </w:rPr>
            </w:pPr>
            <w:r>
              <w:rPr>
                <w:color w:val="auto"/>
                <w:sz w:val="22"/>
                <w:szCs w:val="22"/>
              </w:rPr>
              <w:t>2</w:t>
            </w:r>
          </w:p>
        </w:tc>
        <w:tc>
          <w:tcPr>
            <w:tcW w:w="7994" w:type="dxa"/>
          </w:tcPr>
          <w:p w14:paraId="03DEC85C">
            <w:pPr>
              <w:pStyle w:val="85"/>
              <w:jc w:val="both"/>
              <w:rPr>
                <w:color w:val="auto"/>
                <w:sz w:val="22"/>
                <w:szCs w:val="22"/>
              </w:rPr>
            </w:pPr>
            <w:r>
              <w:rPr>
                <w:color w:val="auto"/>
                <w:sz w:val="22"/>
                <w:szCs w:val="22"/>
              </w:rPr>
              <w:t>Человек и природа</w:t>
            </w:r>
          </w:p>
        </w:tc>
      </w:tr>
      <w:tr w14:paraId="3FE255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077" w:type="dxa"/>
          </w:tcPr>
          <w:p w14:paraId="1564DC05">
            <w:pPr>
              <w:pStyle w:val="85"/>
              <w:jc w:val="center"/>
              <w:rPr>
                <w:color w:val="auto"/>
                <w:sz w:val="22"/>
                <w:szCs w:val="22"/>
              </w:rPr>
            </w:pPr>
            <w:r>
              <w:rPr>
                <w:color w:val="auto"/>
                <w:sz w:val="22"/>
                <w:szCs w:val="22"/>
              </w:rPr>
              <w:t>2.1</w:t>
            </w:r>
          </w:p>
        </w:tc>
        <w:tc>
          <w:tcPr>
            <w:tcW w:w="7994" w:type="dxa"/>
          </w:tcPr>
          <w:p w14:paraId="29903E3C">
            <w:pPr>
              <w:pStyle w:val="85"/>
              <w:jc w:val="both"/>
              <w:rPr>
                <w:color w:val="auto"/>
                <w:sz w:val="22"/>
                <w:szCs w:val="22"/>
              </w:rPr>
            </w:pPr>
            <w:r>
              <w:rPr>
                <w:color w:val="auto"/>
                <w:sz w:val="22"/>
                <w:szCs w:val="22"/>
              </w:rPr>
              <w:t>Методы изучения природы</w:t>
            </w:r>
          </w:p>
        </w:tc>
      </w:tr>
      <w:tr w14:paraId="6DF8ED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077" w:type="dxa"/>
          </w:tcPr>
          <w:p w14:paraId="09598FB9">
            <w:pPr>
              <w:pStyle w:val="85"/>
              <w:jc w:val="center"/>
              <w:rPr>
                <w:color w:val="auto"/>
                <w:sz w:val="22"/>
                <w:szCs w:val="22"/>
              </w:rPr>
            </w:pPr>
            <w:r>
              <w:rPr>
                <w:color w:val="auto"/>
                <w:sz w:val="22"/>
                <w:szCs w:val="22"/>
              </w:rPr>
              <w:t>2.2</w:t>
            </w:r>
          </w:p>
        </w:tc>
        <w:tc>
          <w:tcPr>
            <w:tcW w:w="7994" w:type="dxa"/>
          </w:tcPr>
          <w:p w14:paraId="6BCC20D1">
            <w:pPr>
              <w:pStyle w:val="85"/>
              <w:jc w:val="both"/>
              <w:rPr>
                <w:color w:val="auto"/>
                <w:sz w:val="22"/>
                <w:szCs w:val="22"/>
              </w:rPr>
            </w:pPr>
            <w:r>
              <w:rPr>
                <w:color w:val="auto"/>
                <w:sz w:val="22"/>
                <w:szCs w:val="22"/>
              </w:rPr>
              <w:t>Карта мира. Материки и части света</w:t>
            </w:r>
          </w:p>
        </w:tc>
      </w:tr>
      <w:tr w14:paraId="51226F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077" w:type="dxa"/>
          </w:tcPr>
          <w:p w14:paraId="3C54CC97">
            <w:pPr>
              <w:pStyle w:val="85"/>
              <w:jc w:val="center"/>
              <w:rPr>
                <w:color w:val="auto"/>
                <w:sz w:val="22"/>
                <w:szCs w:val="22"/>
              </w:rPr>
            </w:pPr>
            <w:r>
              <w:rPr>
                <w:color w:val="auto"/>
                <w:sz w:val="22"/>
                <w:szCs w:val="22"/>
              </w:rPr>
              <w:t>2.3</w:t>
            </w:r>
          </w:p>
        </w:tc>
        <w:tc>
          <w:tcPr>
            <w:tcW w:w="7994" w:type="dxa"/>
          </w:tcPr>
          <w:p w14:paraId="5F288814">
            <w:pPr>
              <w:pStyle w:val="85"/>
              <w:jc w:val="both"/>
              <w:rPr>
                <w:color w:val="auto"/>
                <w:sz w:val="22"/>
                <w:szCs w:val="22"/>
              </w:rPr>
            </w:pPr>
            <w:r>
              <w:rPr>
                <w:color w:val="auto"/>
                <w:sz w:val="22"/>
                <w:szCs w:val="22"/>
              </w:rPr>
              <w:t>Вещество. Разнообразие веществ в окружающем мире. Примеры веществ: соль, сахар, вода, природный газ. Твердые тела, жидкости, газы. Простейшие практические работы с веществами, жидкостями, газами</w:t>
            </w:r>
          </w:p>
        </w:tc>
      </w:tr>
      <w:tr w14:paraId="3C7672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077" w:type="dxa"/>
          </w:tcPr>
          <w:p w14:paraId="3CCF05F6">
            <w:pPr>
              <w:pStyle w:val="85"/>
              <w:jc w:val="center"/>
              <w:rPr>
                <w:color w:val="auto"/>
                <w:sz w:val="22"/>
                <w:szCs w:val="22"/>
              </w:rPr>
            </w:pPr>
            <w:r>
              <w:rPr>
                <w:color w:val="auto"/>
                <w:sz w:val="22"/>
                <w:szCs w:val="22"/>
              </w:rPr>
              <w:t>2.4</w:t>
            </w:r>
          </w:p>
        </w:tc>
        <w:tc>
          <w:tcPr>
            <w:tcW w:w="7994" w:type="dxa"/>
          </w:tcPr>
          <w:p w14:paraId="34E90FF4">
            <w:pPr>
              <w:pStyle w:val="85"/>
              <w:jc w:val="both"/>
              <w:rPr>
                <w:color w:val="auto"/>
                <w:sz w:val="22"/>
                <w:szCs w:val="22"/>
              </w:rPr>
            </w:pPr>
            <w:r>
              <w:rPr>
                <w:color w:val="auto"/>
                <w:sz w:val="22"/>
                <w:szCs w:val="22"/>
              </w:rPr>
              <w:t>Воздух - смесь газов. Свойства воздуха. Значение воздуха для растений, животных, человека</w:t>
            </w:r>
          </w:p>
        </w:tc>
      </w:tr>
      <w:tr w14:paraId="186F99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077" w:type="dxa"/>
          </w:tcPr>
          <w:p w14:paraId="62193517">
            <w:pPr>
              <w:pStyle w:val="85"/>
              <w:jc w:val="center"/>
              <w:rPr>
                <w:color w:val="auto"/>
                <w:sz w:val="22"/>
                <w:szCs w:val="22"/>
              </w:rPr>
            </w:pPr>
            <w:r>
              <w:rPr>
                <w:color w:val="auto"/>
                <w:sz w:val="22"/>
                <w:szCs w:val="22"/>
              </w:rPr>
              <w:t>2.5</w:t>
            </w:r>
          </w:p>
        </w:tc>
        <w:tc>
          <w:tcPr>
            <w:tcW w:w="7994" w:type="dxa"/>
          </w:tcPr>
          <w:p w14:paraId="74D7C624">
            <w:pPr>
              <w:pStyle w:val="85"/>
              <w:jc w:val="both"/>
              <w:rPr>
                <w:color w:val="auto"/>
                <w:sz w:val="22"/>
                <w:szCs w:val="22"/>
              </w:rPr>
            </w:pPr>
            <w:r>
              <w:rPr>
                <w:color w:val="auto"/>
                <w:sz w:val="22"/>
                <w:szCs w:val="22"/>
              </w:rPr>
              <w:t>Вода. Свойства воды. Состояния воды, ее распространение в природе, значение для живых организмов и хозяйственной жизни человека. Круговорот воды в природе. Охрана воздуха, воды</w:t>
            </w:r>
          </w:p>
        </w:tc>
      </w:tr>
      <w:tr w14:paraId="48AE14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077" w:type="dxa"/>
          </w:tcPr>
          <w:p w14:paraId="40BA70EA">
            <w:pPr>
              <w:pStyle w:val="85"/>
              <w:jc w:val="center"/>
              <w:rPr>
                <w:color w:val="auto"/>
                <w:sz w:val="22"/>
                <w:szCs w:val="22"/>
              </w:rPr>
            </w:pPr>
            <w:r>
              <w:rPr>
                <w:color w:val="auto"/>
                <w:sz w:val="22"/>
                <w:szCs w:val="22"/>
              </w:rPr>
              <w:t>2.6</w:t>
            </w:r>
          </w:p>
        </w:tc>
        <w:tc>
          <w:tcPr>
            <w:tcW w:w="7994" w:type="dxa"/>
          </w:tcPr>
          <w:p w14:paraId="296078D4">
            <w:pPr>
              <w:pStyle w:val="85"/>
              <w:jc w:val="both"/>
              <w:rPr>
                <w:color w:val="auto"/>
                <w:sz w:val="22"/>
                <w:szCs w:val="22"/>
              </w:rPr>
            </w:pPr>
            <w:r>
              <w:rPr>
                <w:color w:val="auto"/>
                <w:sz w:val="22"/>
                <w:szCs w:val="22"/>
              </w:rPr>
              <w:t>Горные породы и минералы. Полезные ископаемые, их значение в хозяйстве человека, бережное отношение людей к полезным ископаемым. Полезные ископаемые родного края (2 - 3 примера)</w:t>
            </w:r>
          </w:p>
        </w:tc>
      </w:tr>
      <w:tr w14:paraId="51CCF2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077" w:type="dxa"/>
          </w:tcPr>
          <w:p w14:paraId="35CE4567">
            <w:pPr>
              <w:pStyle w:val="85"/>
              <w:jc w:val="center"/>
              <w:rPr>
                <w:color w:val="auto"/>
                <w:sz w:val="22"/>
                <w:szCs w:val="22"/>
              </w:rPr>
            </w:pPr>
            <w:r>
              <w:rPr>
                <w:color w:val="auto"/>
                <w:sz w:val="22"/>
                <w:szCs w:val="22"/>
              </w:rPr>
              <w:t>2.7</w:t>
            </w:r>
          </w:p>
        </w:tc>
        <w:tc>
          <w:tcPr>
            <w:tcW w:w="7994" w:type="dxa"/>
          </w:tcPr>
          <w:p w14:paraId="1F4CA3F1">
            <w:pPr>
              <w:pStyle w:val="85"/>
              <w:jc w:val="both"/>
              <w:rPr>
                <w:color w:val="auto"/>
                <w:sz w:val="22"/>
                <w:szCs w:val="22"/>
              </w:rPr>
            </w:pPr>
            <w:r>
              <w:rPr>
                <w:color w:val="auto"/>
                <w:sz w:val="22"/>
                <w:szCs w:val="22"/>
              </w:rPr>
              <w:t>Почва, ее состав, значение для живой природы и хозяйственной жизни человека</w:t>
            </w:r>
          </w:p>
        </w:tc>
      </w:tr>
      <w:tr w14:paraId="5AA231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077" w:type="dxa"/>
          </w:tcPr>
          <w:p w14:paraId="1026FB08">
            <w:pPr>
              <w:pStyle w:val="85"/>
              <w:jc w:val="center"/>
              <w:rPr>
                <w:color w:val="auto"/>
                <w:sz w:val="22"/>
                <w:szCs w:val="22"/>
              </w:rPr>
            </w:pPr>
            <w:r>
              <w:rPr>
                <w:color w:val="auto"/>
                <w:sz w:val="22"/>
                <w:szCs w:val="22"/>
              </w:rPr>
              <w:t>2.8</w:t>
            </w:r>
          </w:p>
        </w:tc>
        <w:tc>
          <w:tcPr>
            <w:tcW w:w="7994" w:type="dxa"/>
          </w:tcPr>
          <w:p w14:paraId="7C9EAFD9">
            <w:pPr>
              <w:pStyle w:val="85"/>
              <w:jc w:val="both"/>
              <w:rPr>
                <w:color w:val="auto"/>
                <w:sz w:val="22"/>
                <w:szCs w:val="22"/>
              </w:rPr>
            </w:pPr>
            <w:r>
              <w:rPr>
                <w:color w:val="auto"/>
                <w:sz w:val="22"/>
                <w:szCs w:val="22"/>
              </w:rPr>
              <w:t>Первоначальные представления о бактериях</w:t>
            </w:r>
          </w:p>
        </w:tc>
      </w:tr>
      <w:tr w14:paraId="476180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077" w:type="dxa"/>
          </w:tcPr>
          <w:p w14:paraId="0483254A">
            <w:pPr>
              <w:pStyle w:val="85"/>
              <w:jc w:val="center"/>
              <w:rPr>
                <w:color w:val="auto"/>
                <w:sz w:val="22"/>
                <w:szCs w:val="22"/>
              </w:rPr>
            </w:pPr>
            <w:r>
              <w:rPr>
                <w:color w:val="auto"/>
                <w:sz w:val="22"/>
                <w:szCs w:val="22"/>
              </w:rPr>
              <w:t>2.9</w:t>
            </w:r>
          </w:p>
        </w:tc>
        <w:tc>
          <w:tcPr>
            <w:tcW w:w="7994" w:type="dxa"/>
          </w:tcPr>
          <w:p w14:paraId="42DC2945">
            <w:pPr>
              <w:pStyle w:val="85"/>
              <w:jc w:val="both"/>
              <w:rPr>
                <w:color w:val="auto"/>
                <w:sz w:val="22"/>
                <w:szCs w:val="22"/>
              </w:rPr>
            </w:pPr>
            <w:r>
              <w:rPr>
                <w:color w:val="auto"/>
                <w:sz w:val="22"/>
                <w:szCs w:val="22"/>
              </w:rPr>
              <w:t>Грибы: строение шляпочных грибов. Грибы съедобные и несъедобные</w:t>
            </w:r>
          </w:p>
        </w:tc>
      </w:tr>
      <w:tr w14:paraId="78CF5B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077" w:type="dxa"/>
          </w:tcPr>
          <w:p w14:paraId="37A953C0">
            <w:pPr>
              <w:pStyle w:val="85"/>
              <w:jc w:val="center"/>
              <w:rPr>
                <w:color w:val="auto"/>
                <w:sz w:val="22"/>
                <w:szCs w:val="22"/>
              </w:rPr>
            </w:pPr>
            <w:r>
              <w:rPr>
                <w:color w:val="auto"/>
                <w:sz w:val="22"/>
                <w:szCs w:val="22"/>
              </w:rPr>
              <w:t>2.10</w:t>
            </w:r>
          </w:p>
        </w:tc>
        <w:tc>
          <w:tcPr>
            <w:tcW w:w="7994" w:type="dxa"/>
          </w:tcPr>
          <w:p w14:paraId="464977CB">
            <w:pPr>
              <w:pStyle w:val="85"/>
              <w:jc w:val="both"/>
              <w:rPr>
                <w:color w:val="auto"/>
                <w:sz w:val="22"/>
                <w:szCs w:val="22"/>
              </w:rPr>
            </w:pPr>
            <w:r>
              <w:rPr>
                <w:color w:val="auto"/>
                <w:sz w:val="22"/>
                <w:szCs w:val="22"/>
              </w:rPr>
              <w:t>Разнообразие растений. Зависимость жизненного цикла организмов от условий окружающей среды. Размножение и развитие растений. Особенности питания и дыхания растений. Условия, необходимые для жизни растения (свет, тепло, воздух, вода). Наблюдение роста растений, фиксация изменений</w:t>
            </w:r>
          </w:p>
        </w:tc>
      </w:tr>
      <w:tr w14:paraId="61F433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077" w:type="dxa"/>
          </w:tcPr>
          <w:p w14:paraId="7EE1878A">
            <w:pPr>
              <w:pStyle w:val="85"/>
              <w:jc w:val="center"/>
              <w:rPr>
                <w:color w:val="auto"/>
                <w:sz w:val="22"/>
                <w:szCs w:val="22"/>
              </w:rPr>
            </w:pPr>
            <w:r>
              <w:rPr>
                <w:color w:val="auto"/>
                <w:sz w:val="22"/>
                <w:szCs w:val="22"/>
              </w:rPr>
              <w:t>2.11</w:t>
            </w:r>
          </w:p>
        </w:tc>
        <w:tc>
          <w:tcPr>
            <w:tcW w:w="7994" w:type="dxa"/>
          </w:tcPr>
          <w:p w14:paraId="7B324405">
            <w:pPr>
              <w:pStyle w:val="85"/>
              <w:jc w:val="both"/>
              <w:rPr>
                <w:color w:val="auto"/>
                <w:sz w:val="22"/>
                <w:szCs w:val="22"/>
              </w:rPr>
            </w:pPr>
            <w:r>
              <w:rPr>
                <w:color w:val="auto"/>
                <w:sz w:val="22"/>
                <w:szCs w:val="22"/>
              </w:rPr>
              <w:t>Роль растений в природе и жизни людей, бережное отношение человека к растениям. Охрана растений</w:t>
            </w:r>
          </w:p>
        </w:tc>
      </w:tr>
      <w:tr w14:paraId="057F4F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077" w:type="dxa"/>
          </w:tcPr>
          <w:p w14:paraId="0A846BAF">
            <w:pPr>
              <w:pStyle w:val="85"/>
              <w:jc w:val="center"/>
              <w:rPr>
                <w:color w:val="auto"/>
                <w:sz w:val="22"/>
                <w:szCs w:val="22"/>
              </w:rPr>
            </w:pPr>
            <w:r>
              <w:rPr>
                <w:color w:val="auto"/>
                <w:sz w:val="22"/>
                <w:szCs w:val="22"/>
              </w:rPr>
              <w:t>2.12</w:t>
            </w:r>
          </w:p>
        </w:tc>
        <w:tc>
          <w:tcPr>
            <w:tcW w:w="7994" w:type="dxa"/>
          </w:tcPr>
          <w:p w14:paraId="65CE13A4">
            <w:pPr>
              <w:pStyle w:val="85"/>
              <w:jc w:val="both"/>
              <w:rPr>
                <w:color w:val="auto"/>
                <w:sz w:val="22"/>
                <w:szCs w:val="22"/>
              </w:rPr>
            </w:pPr>
            <w:r>
              <w:rPr>
                <w:color w:val="auto"/>
                <w:sz w:val="22"/>
                <w:szCs w:val="22"/>
              </w:rPr>
              <w:t>Растения родного края, названия и краткая характеристика на основе наблюдений</w:t>
            </w:r>
          </w:p>
        </w:tc>
      </w:tr>
      <w:tr w14:paraId="16D10D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077" w:type="dxa"/>
          </w:tcPr>
          <w:p w14:paraId="56AFAE96">
            <w:pPr>
              <w:pStyle w:val="85"/>
              <w:jc w:val="center"/>
              <w:rPr>
                <w:color w:val="auto"/>
                <w:sz w:val="22"/>
                <w:szCs w:val="22"/>
              </w:rPr>
            </w:pPr>
            <w:r>
              <w:rPr>
                <w:color w:val="auto"/>
                <w:sz w:val="22"/>
                <w:szCs w:val="22"/>
              </w:rPr>
              <w:t>2.13</w:t>
            </w:r>
          </w:p>
        </w:tc>
        <w:tc>
          <w:tcPr>
            <w:tcW w:w="7994" w:type="dxa"/>
          </w:tcPr>
          <w:p w14:paraId="493A0A50">
            <w:pPr>
              <w:pStyle w:val="85"/>
              <w:jc w:val="both"/>
              <w:rPr>
                <w:color w:val="auto"/>
                <w:sz w:val="22"/>
                <w:szCs w:val="22"/>
              </w:rPr>
            </w:pPr>
            <w:r>
              <w:rPr>
                <w:color w:val="auto"/>
                <w:sz w:val="22"/>
                <w:szCs w:val="22"/>
              </w:rPr>
              <w:t>Разнообразие животных. Зависимость жизненного цикла организмов от условий окружающей среды. Размножение и развитие животных (рыбы, птицы, звери)</w:t>
            </w:r>
          </w:p>
        </w:tc>
      </w:tr>
      <w:tr w14:paraId="76184B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077" w:type="dxa"/>
          </w:tcPr>
          <w:p w14:paraId="010DC365">
            <w:pPr>
              <w:pStyle w:val="85"/>
              <w:jc w:val="center"/>
              <w:rPr>
                <w:color w:val="auto"/>
                <w:sz w:val="22"/>
                <w:szCs w:val="22"/>
              </w:rPr>
            </w:pPr>
            <w:r>
              <w:rPr>
                <w:color w:val="auto"/>
                <w:sz w:val="22"/>
                <w:szCs w:val="22"/>
              </w:rPr>
              <w:t>2.14</w:t>
            </w:r>
          </w:p>
        </w:tc>
        <w:tc>
          <w:tcPr>
            <w:tcW w:w="7994" w:type="dxa"/>
          </w:tcPr>
          <w:p w14:paraId="6E6707AC">
            <w:pPr>
              <w:pStyle w:val="85"/>
              <w:jc w:val="both"/>
              <w:rPr>
                <w:color w:val="auto"/>
                <w:sz w:val="22"/>
                <w:szCs w:val="22"/>
              </w:rPr>
            </w:pPr>
            <w:r>
              <w:rPr>
                <w:color w:val="auto"/>
                <w:sz w:val="22"/>
                <w:szCs w:val="22"/>
              </w:rPr>
              <w:t>Особенности питания животных. Цепи питания. Условия, необходимые для жизни животных (воздух, вода, тепло, пища)</w:t>
            </w:r>
          </w:p>
        </w:tc>
      </w:tr>
      <w:tr w14:paraId="37CAF2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077" w:type="dxa"/>
          </w:tcPr>
          <w:p w14:paraId="0F2DF22A">
            <w:pPr>
              <w:pStyle w:val="85"/>
              <w:jc w:val="center"/>
              <w:rPr>
                <w:color w:val="auto"/>
                <w:sz w:val="22"/>
                <w:szCs w:val="22"/>
              </w:rPr>
            </w:pPr>
            <w:r>
              <w:rPr>
                <w:color w:val="auto"/>
                <w:sz w:val="22"/>
                <w:szCs w:val="22"/>
              </w:rPr>
              <w:t>2.15</w:t>
            </w:r>
          </w:p>
        </w:tc>
        <w:tc>
          <w:tcPr>
            <w:tcW w:w="7994" w:type="dxa"/>
          </w:tcPr>
          <w:p w14:paraId="3B192466">
            <w:pPr>
              <w:pStyle w:val="85"/>
              <w:jc w:val="both"/>
              <w:rPr>
                <w:color w:val="auto"/>
                <w:sz w:val="22"/>
                <w:szCs w:val="22"/>
              </w:rPr>
            </w:pPr>
            <w:r>
              <w:rPr>
                <w:color w:val="auto"/>
                <w:sz w:val="22"/>
                <w:szCs w:val="22"/>
              </w:rPr>
              <w:t>Роль животных в природе и жизни людей, бережное отношение человека к животным. Охрана животных</w:t>
            </w:r>
          </w:p>
        </w:tc>
      </w:tr>
      <w:tr w14:paraId="25F185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077" w:type="dxa"/>
          </w:tcPr>
          <w:p w14:paraId="7285B0E2">
            <w:pPr>
              <w:pStyle w:val="85"/>
              <w:jc w:val="center"/>
              <w:rPr>
                <w:color w:val="auto"/>
                <w:sz w:val="22"/>
                <w:szCs w:val="22"/>
              </w:rPr>
            </w:pPr>
            <w:r>
              <w:rPr>
                <w:color w:val="auto"/>
                <w:sz w:val="22"/>
                <w:szCs w:val="22"/>
              </w:rPr>
              <w:t>2.16</w:t>
            </w:r>
          </w:p>
        </w:tc>
        <w:tc>
          <w:tcPr>
            <w:tcW w:w="7994" w:type="dxa"/>
          </w:tcPr>
          <w:p w14:paraId="05F6E502">
            <w:pPr>
              <w:pStyle w:val="85"/>
              <w:jc w:val="both"/>
              <w:rPr>
                <w:color w:val="auto"/>
                <w:sz w:val="22"/>
                <w:szCs w:val="22"/>
              </w:rPr>
            </w:pPr>
            <w:r>
              <w:rPr>
                <w:color w:val="auto"/>
                <w:sz w:val="22"/>
                <w:szCs w:val="22"/>
              </w:rPr>
              <w:t>Животные родного края, их названия, краткая характеристика на основе наблюдений</w:t>
            </w:r>
          </w:p>
        </w:tc>
      </w:tr>
      <w:tr w14:paraId="431BD5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077" w:type="dxa"/>
          </w:tcPr>
          <w:p w14:paraId="5A6A7887">
            <w:pPr>
              <w:pStyle w:val="85"/>
              <w:jc w:val="center"/>
              <w:rPr>
                <w:color w:val="auto"/>
                <w:sz w:val="22"/>
                <w:szCs w:val="22"/>
              </w:rPr>
            </w:pPr>
            <w:r>
              <w:rPr>
                <w:color w:val="auto"/>
                <w:sz w:val="22"/>
                <w:szCs w:val="22"/>
              </w:rPr>
              <w:t>2.17</w:t>
            </w:r>
          </w:p>
        </w:tc>
        <w:tc>
          <w:tcPr>
            <w:tcW w:w="7994" w:type="dxa"/>
          </w:tcPr>
          <w:p w14:paraId="10292343">
            <w:pPr>
              <w:pStyle w:val="85"/>
              <w:jc w:val="both"/>
              <w:rPr>
                <w:color w:val="auto"/>
                <w:sz w:val="22"/>
                <w:szCs w:val="22"/>
              </w:rPr>
            </w:pPr>
            <w:r>
              <w:rPr>
                <w:color w:val="auto"/>
                <w:sz w:val="22"/>
                <w:szCs w:val="22"/>
              </w:rPr>
              <w:t>Природные сообщества: лес, луг, пруд. Взаимосвязи в природном сообществе: растения - пища и укрытие для животных; животные - распространители плодов и семян растений. Природные сообщества родного края (2 - 3 примера на основе наблюдений)</w:t>
            </w:r>
          </w:p>
        </w:tc>
      </w:tr>
      <w:tr w14:paraId="601DB2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077" w:type="dxa"/>
          </w:tcPr>
          <w:p w14:paraId="36FA9C0D">
            <w:pPr>
              <w:pStyle w:val="85"/>
              <w:jc w:val="center"/>
              <w:rPr>
                <w:color w:val="auto"/>
                <w:sz w:val="22"/>
                <w:szCs w:val="22"/>
              </w:rPr>
            </w:pPr>
            <w:r>
              <w:rPr>
                <w:color w:val="auto"/>
                <w:sz w:val="22"/>
                <w:szCs w:val="22"/>
              </w:rPr>
              <w:t>2.18</w:t>
            </w:r>
          </w:p>
        </w:tc>
        <w:tc>
          <w:tcPr>
            <w:tcW w:w="7994" w:type="dxa"/>
          </w:tcPr>
          <w:p w14:paraId="47DEE788">
            <w:pPr>
              <w:pStyle w:val="85"/>
              <w:jc w:val="both"/>
              <w:rPr>
                <w:color w:val="auto"/>
                <w:sz w:val="22"/>
                <w:szCs w:val="22"/>
              </w:rPr>
            </w:pPr>
            <w:r>
              <w:rPr>
                <w:color w:val="auto"/>
                <w:sz w:val="22"/>
                <w:szCs w:val="22"/>
              </w:rPr>
              <w:t>Человек - часть природы. Влияние человека на природные сообщества. Правила нравственного поведения в природных сообществах</w:t>
            </w:r>
          </w:p>
        </w:tc>
      </w:tr>
      <w:tr w14:paraId="132F7E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077" w:type="dxa"/>
          </w:tcPr>
          <w:p w14:paraId="3081FDB9">
            <w:pPr>
              <w:pStyle w:val="85"/>
              <w:jc w:val="center"/>
              <w:rPr>
                <w:color w:val="auto"/>
                <w:sz w:val="22"/>
                <w:szCs w:val="22"/>
              </w:rPr>
            </w:pPr>
            <w:r>
              <w:rPr>
                <w:color w:val="auto"/>
                <w:sz w:val="22"/>
                <w:szCs w:val="22"/>
              </w:rPr>
              <w:t>2.19</w:t>
            </w:r>
          </w:p>
        </w:tc>
        <w:tc>
          <w:tcPr>
            <w:tcW w:w="7994" w:type="dxa"/>
          </w:tcPr>
          <w:p w14:paraId="209C23E1">
            <w:pPr>
              <w:pStyle w:val="85"/>
              <w:jc w:val="both"/>
              <w:rPr>
                <w:color w:val="auto"/>
                <w:sz w:val="22"/>
                <w:szCs w:val="22"/>
              </w:rPr>
            </w:pPr>
            <w:r>
              <w:rPr>
                <w:color w:val="auto"/>
                <w:sz w:val="22"/>
                <w:szCs w:val="22"/>
              </w:rPr>
              <w:t>Общее представление о строении тела человека. Системы органов (опорно-двигательная, пищеварительная, дыхательная, кровеносная, нервная, органы чувств), их роль в жизнедеятельности организма. Измерение температуры тела человека, частоты пульса</w:t>
            </w:r>
          </w:p>
        </w:tc>
      </w:tr>
      <w:tr w14:paraId="52F8F8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077" w:type="dxa"/>
          </w:tcPr>
          <w:p w14:paraId="2E7A6E8F">
            <w:pPr>
              <w:pStyle w:val="85"/>
              <w:jc w:val="center"/>
              <w:rPr>
                <w:color w:val="auto"/>
                <w:sz w:val="22"/>
                <w:szCs w:val="22"/>
              </w:rPr>
            </w:pPr>
            <w:r>
              <w:rPr>
                <w:color w:val="auto"/>
                <w:sz w:val="22"/>
                <w:szCs w:val="22"/>
              </w:rPr>
              <w:t>3</w:t>
            </w:r>
          </w:p>
        </w:tc>
        <w:tc>
          <w:tcPr>
            <w:tcW w:w="7994" w:type="dxa"/>
          </w:tcPr>
          <w:p w14:paraId="1EB648DE">
            <w:pPr>
              <w:pStyle w:val="85"/>
              <w:jc w:val="both"/>
              <w:rPr>
                <w:color w:val="auto"/>
                <w:sz w:val="22"/>
                <w:szCs w:val="22"/>
              </w:rPr>
            </w:pPr>
            <w:r>
              <w:rPr>
                <w:color w:val="auto"/>
                <w:sz w:val="22"/>
                <w:szCs w:val="22"/>
              </w:rPr>
              <w:t>Правила безопасной жизнедеятельности</w:t>
            </w:r>
          </w:p>
        </w:tc>
      </w:tr>
      <w:tr w14:paraId="465AB4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077" w:type="dxa"/>
          </w:tcPr>
          <w:p w14:paraId="7FC0D372">
            <w:pPr>
              <w:pStyle w:val="85"/>
              <w:jc w:val="center"/>
              <w:rPr>
                <w:color w:val="auto"/>
                <w:sz w:val="22"/>
                <w:szCs w:val="22"/>
              </w:rPr>
            </w:pPr>
            <w:r>
              <w:rPr>
                <w:color w:val="auto"/>
                <w:sz w:val="22"/>
                <w:szCs w:val="22"/>
              </w:rPr>
              <w:t>3.1</w:t>
            </w:r>
          </w:p>
        </w:tc>
        <w:tc>
          <w:tcPr>
            <w:tcW w:w="7994" w:type="dxa"/>
          </w:tcPr>
          <w:p w14:paraId="2E2F385A">
            <w:pPr>
              <w:pStyle w:val="85"/>
              <w:jc w:val="both"/>
              <w:rPr>
                <w:color w:val="auto"/>
                <w:sz w:val="22"/>
                <w:szCs w:val="22"/>
              </w:rPr>
            </w:pPr>
            <w:r>
              <w:rPr>
                <w:color w:val="auto"/>
                <w:sz w:val="22"/>
                <w:szCs w:val="22"/>
              </w:rPr>
              <w:t>Здоровый образ жизни: двигательная активность (утренняя зарядка, динамические паузы), закаливание и профилактика заболеваний. Забота о здоровье и безопасности окружающих людей</w:t>
            </w:r>
          </w:p>
        </w:tc>
      </w:tr>
      <w:tr w14:paraId="75AC38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077" w:type="dxa"/>
          </w:tcPr>
          <w:p w14:paraId="11BD7822">
            <w:pPr>
              <w:pStyle w:val="85"/>
              <w:jc w:val="center"/>
              <w:rPr>
                <w:color w:val="auto"/>
                <w:sz w:val="22"/>
                <w:szCs w:val="22"/>
              </w:rPr>
            </w:pPr>
            <w:r>
              <w:rPr>
                <w:color w:val="auto"/>
                <w:sz w:val="22"/>
                <w:szCs w:val="22"/>
              </w:rPr>
              <w:t>3.2</w:t>
            </w:r>
          </w:p>
        </w:tc>
        <w:tc>
          <w:tcPr>
            <w:tcW w:w="7994" w:type="dxa"/>
          </w:tcPr>
          <w:p w14:paraId="04E74CDA">
            <w:pPr>
              <w:pStyle w:val="85"/>
              <w:jc w:val="both"/>
              <w:rPr>
                <w:color w:val="auto"/>
                <w:sz w:val="22"/>
                <w:szCs w:val="22"/>
              </w:rPr>
            </w:pPr>
            <w:r>
              <w:rPr>
                <w:color w:val="auto"/>
                <w:sz w:val="22"/>
                <w:szCs w:val="22"/>
              </w:rPr>
              <w:t>Безопасность во дворе жилого дома (правила перемещения внутри двора и пересечения дворовой проезжей части, безопасные зоны электрических, газовых, тепловых подстанций и других опасных объектов инженерной инфраструктуры жилого дома, предупреждающие знаки безопасности)</w:t>
            </w:r>
          </w:p>
        </w:tc>
      </w:tr>
      <w:tr w14:paraId="327313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077" w:type="dxa"/>
          </w:tcPr>
          <w:p w14:paraId="1B1C2CE1">
            <w:pPr>
              <w:pStyle w:val="85"/>
              <w:jc w:val="center"/>
              <w:rPr>
                <w:color w:val="auto"/>
                <w:sz w:val="22"/>
                <w:szCs w:val="22"/>
              </w:rPr>
            </w:pPr>
            <w:r>
              <w:rPr>
                <w:color w:val="auto"/>
                <w:sz w:val="22"/>
                <w:szCs w:val="22"/>
              </w:rPr>
              <w:t>3.3</w:t>
            </w:r>
          </w:p>
        </w:tc>
        <w:tc>
          <w:tcPr>
            <w:tcW w:w="7994" w:type="dxa"/>
          </w:tcPr>
          <w:p w14:paraId="2F81CC08">
            <w:pPr>
              <w:pStyle w:val="85"/>
              <w:jc w:val="both"/>
              <w:rPr>
                <w:color w:val="auto"/>
                <w:sz w:val="22"/>
                <w:szCs w:val="22"/>
              </w:rPr>
            </w:pPr>
            <w:r>
              <w:rPr>
                <w:color w:val="auto"/>
                <w:sz w:val="22"/>
                <w:szCs w:val="22"/>
              </w:rPr>
              <w:t>Правила безопасного поведения пассажира железнодорожного, водного и авиатранспорта (правила безопасного поведения на вокзалах и в аэропортах, безопасное поведение в вагоне, на борту самолета, судна; знаки безопасности)</w:t>
            </w:r>
          </w:p>
        </w:tc>
      </w:tr>
      <w:tr w14:paraId="1E9007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077" w:type="dxa"/>
          </w:tcPr>
          <w:p w14:paraId="453F4DBA">
            <w:pPr>
              <w:pStyle w:val="85"/>
              <w:jc w:val="center"/>
              <w:rPr>
                <w:color w:val="auto"/>
                <w:sz w:val="22"/>
                <w:szCs w:val="22"/>
              </w:rPr>
            </w:pPr>
            <w:r>
              <w:rPr>
                <w:color w:val="auto"/>
                <w:sz w:val="22"/>
                <w:szCs w:val="22"/>
              </w:rPr>
              <w:t>3.4</w:t>
            </w:r>
          </w:p>
        </w:tc>
        <w:tc>
          <w:tcPr>
            <w:tcW w:w="7994" w:type="dxa"/>
          </w:tcPr>
          <w:p w14:paraId="6E110B12">
            <w:pPr>
              <w:pStyle w:val="85"/>
              <w:jc w:val="both"/>
              <w:rPr>
                <w:color w:val="auto"/>
                <w:sz w:val="22"/>
                <w:szCs w:val="22"/>
              </w:rPr>
            </w:pPr>
            <w:r>
              <w:rPr>
                <w:color w:val="auto"/>
                <w:sz w:val="22"/>
                <w:szCs w:val="22"/>
              </w:rPr>
              <w:t>Безопасность в сети Интернет (ориентирование в признаках мошеннических действий, защита персональной информации, правила коммуникации в мессенджерах и социальных группах) в условиях контролируемого доступа в сеть Интернет</w:t>
            </w:r>
          </w:p>
        </w:tc>
      </w:tr>
    </w:tbl>
    <w:p w14:paraId="45065327">
      <w:pPr>
        <w:pStyle w:val="85"/>
        <w:jc w:val="both"/>
        <w:rPr>
          <w:color w:val="auto"/>
          <w:sz w:val="22"/>
          <w:szCs w:val="22"/>
        </w:rPr>
      </w:pPr>
    </w:p>
    <w:p w14:paraId="2D52C603">
      <w:pPr>
        <w:pStyle w:val="85"/>
        <w:jc w:val="right"/>
        <w:rPr>
          <w:color w:val="auto"/>
          <w:sz w:val="22"/>
          <w:szCs w:val="22"/>
        </w:rPr>
      </w:pPr>
      <w:r>
        <w:rPr>
          <w:color w:val="auto"/>
          <w:sz w:val="22"/>
          <w:szCs w:val="22"/>
        </w:rPr>
        <w:t>Таблица 12.6</w:t>
      </w:r>
    </w:p>
    <w:p w14:paraId="50DACC5F">
      <w:pPr>
        <w:pStyle w:val="85"/>
        <w:jc w:val="both"/>
        <w:rPr>
          <w:color w:val="auto"/>
          <w:sz w:val="22"/>
          <w:szCs w:val="22"/>
        </w:rPr>
      </w:pPr>
    </w:p>
    <w:p w14:paraId="5370FEF4">
      <w:pPr>
        <w:pStyle w:val="85"/>
        <w:jc w:val="center"/>
        <w:rPr>
          <w:color w:val="auto"/>
          <w:sz w:val="22"/>
          <w:szCs w:val="22"/>
        </w:rPr>
      </w:pPr>
      <w:r>
        <w:rPr>
          <w:color w:val="auto"/>
          <w:sz w:val="22"/>
          <w:szCs w:val="22"/>
        </w:rPr>
        <w:t>Проверяемые требования к результатам освоения основной</w:t>
      </w:r>
    </w:p>
    <w:p w14:paraId="6757ED28">
      <w:pPr>
        <w:pStyle w:val="85"/>
        <w:jc w:val="center"/>
        <w:rPr>
          <w:color w:val="auto"/>
          <w:sz w:val="22"/>
          <w:szCs w:val="22"/>
        </w:rPr>
      </w:pPr>
      <w:r>
        <w:rPr>
          <w:color w:val="auto"/>
          <w:sz w:val="22"/>
          <w:szCs w:val="22"/>
        </w:rPr>
        <w:t>образовательной программы (4 класс)</w:t>
      </w:r>
    </w:p>
    <w:p w14:paraId="2DEC6149">
      <w:pPr>
        <w:pStyle w:val="85"/>
        <w:jc w:val="both"/>
        <w:rPr>
          <w:color w:val="auto"/>
          <w:sz w:val="22"/>
          <w:szCs w:val="22"/>
        </w:rPr>
      </w:pPr>
    </w:p>
    <w:tbl>
      <w:tblPr>
        <w:tblStyle w:val="1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02" w:type="dxa"/>
          <w:left w:w="62" w:type="dxa"/>
          <w:bottom w:w="102" w:type="dxa"/>
          <w:right w:w="62" w:type="dxa"/>
        </w:tblCellMar>
      </w:tblPr>
      <w:tblGrid>
        <w:gridCol w:w="1701"/>
        <w:gridCol w:w="7370"/>
      </w:tblGrid>
      <w:tr w14:paraId="3BDB6A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701" w:type="dxa"/>
          </w:tcPr>
          <w:p w14:paraId="0B45B8A0">
            <w:pPr>
              <w:pStyle w:val="85"/>
              <w:jc w:val="center"/>
              <w:rPr>
                <w:color w:val="auto"/>
                <w:sz w:val="22"/>
                <w:szCs w:val="22"/>
              </w:rPr>
            </w:pPr>
            <w:r>
              <w:rPr>
                <w:color w:val="auto"/>
                <w:sz w:val="22"/>
                <w:szCs w:val="22"/>
              </w:rPr>
              <w:t>Код проверяемого результата</w:t>
            </w:r>
          </w:p>
        </w:tc>
        <w:tc>
          <w:tcPr>
            <w:tcW w:w="7370" w:type="dxa"/>
          </w:tcPr>
          <w:p w14:paraId="021EFEB4">
            <w:pPr>
              <w:pStyle w:val="85"/>
              <w:jc w:val="center"/>
              <w:rPr>
                <w:color w:val="auto"/>
                <w:sz w:val="22"/>
                <w:szCs w:val="22"/>
              </w:rPr>
            </w:pPr>
            <w:r>
              <w:rPr>
                <w:color w:val="auto"/>
                <w:sz w:val="22"/>
                <w:szCs w:val="22"/>
              </w:rPr>
              <w:t>Проверяемые предметные результаты освоения основной образовательной программы начального общего образования</w:t>
            </w:r>
          </w:p>
        </w:tc>
      </w:tr>
      <w:tr w14:paraId="1BD0BB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701" w:type="dxa"/>
          </w:tcPr>
          <w:p w14:paraId="0F0D6A94">
            <w:pPr>
              <w:pStyle w:val="85"/>
              <w:jc w:val="center"/>
              <w:rPr>
                <w:color w:val="auto"/>
                <w:sz w:val="22"/>
                <w:szCs w:val="22"/>
              </w:rPr>
            </w:pPr>
            <w:r>
              <w:rPr>
                <w:color w:val="auto"/>
                <w:sz w:val="22"/>
                <w:szCs w:val="22"/>
              </w:rPr>
              <w:t>Код проверяемого результата</w:t>
            </w:r>
          </w:p>
        </w:tc>
        <w:tc>
          <w:tcPr>
            <w:tcW w:w="7370" w:type="dxa"/>
          </w:tcPr>
          <w:p w14:paraId="09B6AB64">
            <w:pPr>
              <w:pStyle w:val="85"/>
              <w:jc w:val="center"/>
              <w:rPr>
                <w:color w:val="auto"/>
                <w:sz w:val="22"/>
                <w:szCs w:val="22"/>
              </w:rPr>
            </w:pPr>
            <w:r>
              <w:rPr>
                <w:color w:val="auto"/>
                <w:sz w:val="22"/>
                <w:szCs w:val="22"/>
              </w:rPr>
              <w:t>Проверяемые предметные результаты освоения основной образовательной программы начального общего образования</w:t>
            </w:r>
          </w:p>
        </w:tc>
      </w:tr>
      <w:tr w14:paraId="553212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701" w:type="dxa"/>
          </w:tcPr>
          <w:p w14:paraId="3ACC4663">
            <w:pPr>
              <w:pStyle w:val="85"/>
              <w:rPr>
                <w:color w:val="auto"/>
                <w:sz w:val="22"/>
                <w:szCs w:val="22"/>
              </w:rPr>
            </w:pPr>
          </w:p>
        </w:tc>
        <w:tc>
          <w:tcPr>
            <w:tcW w:w="7370" w:type="dxa"/>
          </w:tcPr>
          <w:p w14:paraId="01B265C7">
            <w:pPr>
              <w:pStyle w:val="85"/>
              <w:jc w:val="both"/>
              <w:rPr>
                <w:color w:val="auto"/>
                <w:sz w:val="22"/>
                <w:szCs w:val="22"/>
              </w:rPr>
            </w:pPr>
            <w:r>
              <w:rPr>
                <w:color w:val="auto"/>
                <w:sz w:val="22"/>
                <w:szCs w:val="22"/>
              </w:rPr>
              <w:t>Человек и общество</w:t>
            </w:r>
          </w:p>
        </w:tc>
      </w:tr>
      <w:tr w14:paraId="1178F9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701" w:type="dxa"/>
          </w:tcPr>
          <w:p w14:paraId="5D9C1345">
            <w:pPr>
              <w:pStyle w:val="85"/>
              <w:jc w:val="center"/>
              <w:rPr>
                <w:color w:val="auto"/>
                <w:sz w:val="22"/>
                <w:szCs w:val="22"/>
              </w:rPr>
            </w:pPr>
            <w:r>
              <w:rPr>
                <w:color w:val="auto"/>
                <w:sz w:val="22"/>
                <w:szCs w:val="22"/>
              </w:rPr>
              <w:t>1</w:t>
            </w:r>
          </w:p>
        </w:tc>
        <w:tc>
          <w:tcPr>
            <w:tcW w:w="7370" w:type="dxa"/>
          </w:tcPr>
          <w:p w14:paraId="73C90EBA">
            <w:pPr>
              <w:pStyle w:val="85"/>
              <w:jc w:val="both"/>
              <w:rPr>
                <w:color w:val="auto"/>
                <w:sz w:val="22"/>
                <w:szCs w:val="22"/>
              </w:rPr>
            </w:pPr>
            <w:r>
              <w:rPr>
                <w:color w:val="auto"/>
                <w:sz w:val="22"/>
                <w:szCs w:val="22"/>
              </w:rPr>
              <w:t>знать основные права и обязанности гражданина Российской Федерации</w:t>
            </w:r>
          </w:p>
        </w:tc>
      </w:tr>
      <w:tr w14:paraId="585314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701" w:type="dxa"/>
          </w:tcPr>
          <w:p w14:paraId="473D7F65">
            <w:pPr>
              <w:pStyle w:val="85"/>
              <w:jc w:val="center"/>
              <w:rPr>
                <w:color w:val="auto"/>
                <w:sz w:val="22"/>
                <w:szCs w:val="22"/>
              </w:rPr>
            </w:pPr>
            <w:r>
              <w:rPr>
                <w:color w:val="auto"/>
                <w:sz w:val="22"/>
                <w:szCs w:val="22"/>
              </w:rPr>
              <w:t>2</w:t>
            </w:r>
          </w:p>
        </w:tc>
        <w:tc>
          <w:tcPr>
            <w:tcW w:w="7370" w:type="dxa"/>
          </w:tcPr>
          <w:p w14:paraId="1411329E">
            <w:pPr>
              <w:pStyle w:val="85"/>
              <w:jc w:val="both"/>
              <w:rPr>
                <w:color w:val="auto"/>
                <w:sz w:val="22"/>
                <w:szCs w:val="22"/>
              </w:rPr>
            </w:pPr>
            <w:r>
              <w:rPr>
                <w:color w:val="auto"/>
                <w:sz w:val="22"/>
                <w:szCs w:val="22"/>
              </w:rPr>
              <w:t>соотносить изученные исторические события и исторических деятелей веками и периодами истории России</w:t>
            </w:r>
          </w:p>
        </w:tc>
      </w:tr>
      <w:tr w14:paraId="309CD1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701" w:type="dxa"/>
          </w:tcPr>
          <w:p w14:paraId="32622496">
            <w:pPr>
              <w:pStyle w:val="85"/>
              <w:jc w:val="center"/>
              <w:rPr>
                <w:color w:val="auto"/>
                <w:sz w:val="22"/>
                <w:szCs w:val="22"/>
              </w:rPr>
            </w:pPr>
            <w:r>
              <w:rPr>
                <w:color w:val="auto"/>
                <w:sz w:val="22"/>
                <w:szCs w:val="22"/>
              </w:rPr>
              <w:t>3</w:t>
            </w:r>
          </w:p>
        </w:tc>
        <w:tc>
          <w:tcPr>
            <w:tcW w:w="7370" w:type="dxa"/>
          </w:tcPr>
          <w:p w14:paraId="07E0FAB2">
            <w:pPr>
              <w:pStyle w:val="85"/>
              <w:jc w:val="both"/>
              <w:rPr>
                <w:color w:val="auto"/>
                <w:sz w:val="22"/>
                <w:szCs w:val="22"/>
              </w:rPr>
            </w:pPr>
            <w:r>
              <w:rPr>
                <w:color w:val="auto"/>
                <w:sz w:val="22"/>
                <w:szCs w:val="22"/>
              </w:rPr>
              <w:t>рассказывать о государственных праздниках России, наиболее важных событиях истории России, наиболее известных российских исторических деятелях разных периодов, достопримечательностях столицы России и родного края</w:t>
            </w:r>
          </w:p>
        </w:tc>
      </w:tr>
      <w:tr w14:paraId="7F197A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701" w:type="dxa"/>
          </w:tcPr>
          <w:p w14:paraId="27DC4C9C">
            <w:pPr>
              <w:pStyle w:val="85"/>
              <w:jc w:val="center"/>
              <w:rPr>
                <w:color w:val="auto"/>
                <w:sz w:val="22"/>
                <w:szCs w:val="22"/>
              </w:rPr>
            </w:pPr>
            <w:r>
              <w:rPr>
                <w:color w:val="auto"/>
                <w:sz w:val="22"/>
                <w:szCs w:val="22"/>
              </w:rPr>
              <w:t>4</w:t>
            </w:r>
          </w:p>
        </w:tc>
        <w:tc>
          <w:tcPr>
            <w:tcW w:w="7370" w:type="dxa"/>
          </w:tcPr>
          <w:p w14:paraId="2191D2B4">
            <w:pPr>
              <w:pStyle w:val="85"/>
              <w:jc w:val="both"/>
              <w:rPr>
                <w:color w:val="auto"/>
                <w:sz w:val="22"/>
                <w:szCs w:val="22"/>
              </w:rPr>
            </w:pPr>
            <w:r>
              <w:rPr>
                <w:color w:val="auto"/>
                <w:sz w:val="22"/>
                <w:szCs w:val="22"/>
              </w:rPr>
              <w:t>показывать на исторической карте места изученных исторических событий</w:t>
            </w:r>
          </w:p>
        </w:tc>
      </w:tr>
      <w:tr w14:paraId="414055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701" w:type="dxa"/>
          </w:tcPr>
          <w:p w14:paraId="34919C14">
            <w:pPr>
              <w:pStyle w:val="85"/>
              <w:jc w:val="center"/>
              <w:rPr>
                <w:color w:val="auto"/>
                <w:sz w:val="22"/>
                <w:szCs w:val="22"/>
              </w:rPr>
            </w:pPr>
            <w:r>
              <w:rPr>
                <w:color w:val="auto"/>
                <w:sz w:val="22"/>
                <w:szCs w:val="22"/>
              </w:rPr>
              <w:t>5</w:t>
            </w:r>
          </w:p>
        </w:tc>
        <w:tc>
          <w:tcPr>
            <w:tcW w:w="7370" w:type="dxa"/>
          </w:tcPr>
          <w:p w14:paraId="4460ACDF">
            <w:pPr>
              <w:pStyle w:val="85"/>
              <w:jc w:val="both"/>
              <w:rPr>
                <w:color w:val="auto"/>
                <w:sz w:val="22"/>
                <w:szCs w:val="22"/>
              </w:rPr>
            </w:pPr>
            <w:r>
              <w:rPr>
                <w:color w:val="auto"/>
                <w:sz w:val="22"/>
                <w:szCs w:val="22"/>
              </w:rPr>
              <w:t>находить место изученных событий на "ленте времени"</w:t>
            </w:r>
          </w:p>
        </w:tc>
      </w:tr>
      <w:tr w14:paraId="10BD2B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701" w:type="dxa"/>
          </w:tcPr>
          <w:p w14:paraId="14D6C88A">
            <w:pPr>
              <w:pStyle w:val="85"/>
              <w:jc w:val="center"/>
              <w:rPr>
                <w:color w:val="auto"/>
                <w:sz w:val="22"/>
                <w:szCs w:val="22"/>
              </w:rPr>
            </w:pPr>
            <w:r>
              <w:rPr>
                <w:color w:val="auto"/>
                <w:sz w:val="22"/>
                <w:szCs w:val="22"/>
              </w:rPr>
              <w:t>6</w:t>
            </w:r>
          </w:p>
        </w:tc>
        <w:tc>
          <w:tcPr>
            <w:tcW w:w="7370" w:type="dxa"/>
          </w:tcPr>
          <w:p w14:paraId="75F265C3">
            <w:pPr>
              <w:pStyle w:val="85"/>
              <w:jc w:val="both"/>
              <w:rPr>
                <w:color w:val="auto"/>
                <w:sz w:val="22"/>
                <w:szCs w:val="22"/>
              </w:rPr>
            </w:pPr>
            <w:r>
              <w:rPr>
                <w:color w:val="auto"/>
                <w:sz w:val="22"/>
                <w:szCs w:val="22"/>
              </w:rPr>
              <w:t>проявлять уважение к семейным ценностям и традициям, традициям своего народа и других народов, государственным символам России</w:t>
            </w:r>
          </w:p>
        </w:tc>
      </w:tr>
      <w:tr w14:paraId="60671D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701" w:type="dxa"/>
          </w:tcPr>
          <w:p w14:paraId="32828D4C">
            <w:pPr>
              <w:pStyle w:val="85"/>
              <w:jc w:val="center"/>
              <w:rPr>
                <w:color w:val="auto"/>
                <w:sz w:val="22"/>
                <w:szCs w:val="22"/>
              </w:rPr>
            </w:pPr>
            <w:r>
              <w:rPr>
                <w:color w:val="auto"/>
                <w:sz w:val="22"/>
                <w:szCs w:val="22"/>
              </w:rPr>
              <w:t>7</w:t>
            </w:r>
          </w:p>
        </w:tc>
        <w:tc>
          <w:tcPr>
            <w:tcW w:w="7370" w:type="dxa"/>
          </w:tcPr>
          <w:p w14:paraId="23C2DF2E">
            <w:pPr>
              <w:pStyle w:val="85"/>
              <w:jc w:val="both"/>
              <w:rPr>
                <w:color w:val="auto"/>
                <w:sz w:val="22"/>
                <w:szCs w:val="22"/>
              </w:rPr>
            </w:pPr>
            <w:r>
              <w:rPr>
                <w:color w:val="auto"/>
                <w:sz w:val="22"/>
                <w:szCs w:val="22"/>
              </w:rPr>
              <w:t>соблюдать правила нравственного поведения в социуме</w:t>
            </w:r>
          </w:p>
        </w:tc>
      </w:tr>
      <w:tr w14:paraId="19D32F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701" w:type="dxa"/>
          </w:tcPr>
          <w:p w14:paraId="176686AE">
            <w:pPr>
              <w:pStyle w:val="85"/>
              <w:jc w:val="center"/>
              <w:rPr>
                <w:color w:val="auto"/>
                <w:sz w:val="22"/>
                <w:szCs w:val="22"/>
              </w:rPr>
            </w:pPr>
            <w:r>
              <w:rPr>
                <w:color w:val="auto"/>
                <w:sz w:val="22"/>
                <w:szCs w:val="22"/>
              </w:rPr>
              <w:t>8</w:t>
            </w:r>
          </w:p>
        </w:tc>
        <w:tc>
          <w:tcPr>
            <w:tcW w:w="7370" w:type="dxa"/>
          </w:tcPr>
          <w:p w14:paraId="2D3FEF38">
            <w:pPr>
              <w:pStyle w:val="85"/>
              <w:jc w:val="both"/>
              <w:rPr>
                <w:color w:val="auto"/>
                <w:sz w:val="22"/>
                <w:szCs w:val="22"/>
              </w:rPr>
            </w:pPr>
            <w:r>
              <w:rPr>
                <w:color w:val="auto"/>
                <w:sz w:val="22"/>
                <w:szCs w:val="22"/>
              </w:rPr>
              <w:t>описывать на основе предложенного плана государственную символику России и своего региона</w:t>
            </w:r>
          </w:p>
        </w:tc>
      </w:tr>
      <w:tr w14:paraId="1D28A7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701" w:type="dxa"/>
          </w:tcPr>
          <w:p w14:paraId="5A8EDD6D">
            <w:pPr>
              <w:pStyle w:val="85"/>
              <w:jc w:val="center"/>
              <w:rPr>
                <w:color w:val="auto"/>
                <w:sz w:val="22"/>
                <w:szCs w:val="22"/>
              </w:rPr>
            </w:pPr>
            <w:r>
              <w:rPr>
                <w:color w:val="auto"/>
                <w:sz w:val="22"/>
                <w:szCs w:val="22"/>
              </w:rPr>
              <w:t>9</w:t>
            </w:r>
          </w:p>
        </w:tc>
        <w:tc>
          <w:tcPr>
            <w:tcW w:w="7370" w:type="dxa"/>
          </w:tcPr>
          <w:p w14:paraId="5279C773">
            <w:pPr>
              <w:pStyle w:val="85"/>
              <w:jc w:val="both"/>
              <w:rPr>
                <w:color w:val="auto"/>
                <w:sz w:val="22"/>
                <w:szCs w:val="22"/>
              </w:rPr>
            </w:pPr>
            <w:r>
              <w:rPr>
                <w:color w:val="auto"/>
                <w:sz w:val="22"/>
                <w:szCs w:val="22"/>
              </w:rPr>
              <w:t>использовать различные источники информации об обществе для поиска и извлечения информации, ответов на вопросы; создавать по заданному плану собственные развернутые высказывания</w:t>
            </w:r>
          </w:p>
        </w:tc>
      </w:tr>
      <w:tr w14:paraId="3B073F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701" w:type="dxa"/>
          </w:tcPr>
          <w:p w14:paraId="6F7377F8">
            <w:pPr>
              <w:pStyle w:val="85"/>
              <w:rPr>
                <w:color w:val="auto"/>
                <w:sz w:val="22"/>
                <w:szCs w:val="22"/>
              </w:rPr>
            </w:pPr>
          </w:p>
        </w:tc>
        <w:tc>
          <w:tcPr>
            <w:tcW w:w="7370" w:type="dxa"/>
          </w:tcPr>
          <w:p w14:paraId="40BBDDEA">
            <w:pPr>
              <w:pStyle w:val="85"/>
              <w:jc w:val="both"/>
              <w:rPr>
                <w:color w:val="auto"/>
                <w:sz w:val="22"/>
                <w:szCs w:val="22"/>
              </w:rPr>
            </w:pPr>
            <w:r>
              <w:rPr>
                <w:color w:val="auto"/>
                <w:sz w:val="22"/>
                <w:szCs w:val="22"/>
              </w:rPr>
              <w:t>Человек и природа</w:t>
            </w:r>
          </w:p>
        </w:tc>
      </w:tr>
      <w:tr w14:paraId="06C70C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701" w:type="dxa"/>
          </w:tcPr>
          <w:p w14:paraId="784E6D81">
            <w:pPr>
              <w:pStyle w:val="85"/>
              <w:jc w:val="center"/>
              <w:rPr>
                <w:color w:val="auto"/>
                <w:sz w:val="22"/>
                <w:szCs w:val="22"/>
              </w:rPr>
            </w:pPr>
            <w:r>
              <w:rPr>
                <w:color w:val="auto"/>
                <w:sz w:val="22"/>
                <w:szCs w:val="22"/>
              </w:rPr>
              <w:t>10</w:t>
            </w:r>
          </w:p>
        </w:tc>
        <w:tc>
          <w:tcPr>
            <w:tcW w:w="7370" w:type="dxa"/>
          </w:tcPr>
          <w:p w14:paraId="3125087B">
            <w:pPr>
              <w:pStyle w:val="85"/>
              <w:jc w:val="both"/>
              <w:rPr>
                <w:color w:val="auto"/>
                <w:sz w:val="22"/>
                <w:szCs w:val="22"/>
              </w:rPr>
            </w:pPr>
            <w:r>
              <w:rPr>
                <w:color w:val="auto"/>
                <w:sz w:val="22"/>
                <w:szCs w:val="22"/>
              </w:rPr>
              <w:t>распознавать изученные объекты и явления живой и неживой природы по их описанию, рисункам и фотографиям, различать их в окружающем мире</w:t>
            </w:r>
          </w:p>
        </w:tc>
      </w:tr>
      <w:tr w14:paraId="6D4158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701" w:type="dxa"/>
          </w:tcPr>
          <w:p w14:paraId="577D53AA">
            <w:pPr>
              <w:pStyle w:val="85"/>
              <w:jc w:val="center"/>
              <w:rPr>
                <w:color w:val="auto"/>
                <w:sz w:val="22"/>
                <w:szCs w:val="22"/>
              </w:rPr>
            </w:pPr>
            <w:r>
              <w:rPr>
                <w:color w:val="auto"/>
                <w:sz w:val="22"/>
                <w:szCs w:val="22"/>
              </w:rPr>
              <w:t>11</w:t>
            </w:r>
          </w:p>
        </w:tc>
        <w:tc>
          <w:tcPr>
            <w:tcW w:w="7370" w:type="dxa"/>
          </w:tcPr>
          <w:p w14:paraId="6964D0DC">
            <w:pPr>
              <w:pStyle w:val="85"/>
              <w:jc w:val="both"/>
              <w:rPr>
                <w:color w:val="auto"/>
                <w:sz w:val="22"/>
                <w:szCs w:val="22"/>
              </w:rPr>
            </w:pPr>
            <w:r>
              <w:rPr>
                <w:color w:val="auto"/>
                <w:sz w:val="22"/>
                <w:szCs w:val="22"/>
              </w:rPr>
              <w:t>называть наиболее значимые природные объекты Всемирного наследия в России и за рубежом (в пределах изученного)</w:t>
            </w:r>
          </w:p>
        </w:tc>
      </w:tr>
      <w:tr w14:paraId="492911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701" w:type="dxa"/>
          </w:tcPr>
          <w:p w14:paraId="2B5C083F">
            <w:pPr>
              <w:pStyle w:val="85"/>
              <w:jc w:val="center"/>
              <w:rPr>
                <w:color w:val="auto"/>
                <w:sz w:val="22"/>
                <w:szCs w:val="22"/>
              </w:rPr>
            </w:pPr>
            <w:r>
              <w:rPr>
                <w:color w:val="auto"/>
                <w:sz w:val="22"/>
                <w:szCs w:val="22"/>
              </w:rPr>
              <w:t>12</w:t>
            </w:r>
          </w:p>
        </w:tc>
        <w:tc>
          <w:tcPr>
            <w:tcW w:w="7370" w:type="dxa"/>
          </w:tcPr>
          <w:p w14:paraId="01E4305F">
            <w:pPr>
              <w:pStyle w:val="85"/>
              <w:jc w:val="both"/>
              <w:rPr>
                <w:color w:val="auto"/>
                <w:sz w:val="22"/>
                <w:szCs w:val="22"/>
              </w:rPr>
            </w:pPr>
            <w:r>
              <w:rPr>
                <w:color w:val="auto"/>
                <w:sz w:val="22"/>
                <w:szCs w:val="22"/>
              </w:rPr>
              <w:t>описывать на основе предложенного плана изученные объекты, выделяя их существенные признаки</w:t>
            </w:r>
          </w:p>
        </w:tc>
      </w:tr>
      <w:tr w14:paraId="0A9BE7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701" w:type="dxa"/>
          </w:tcPr>
          <w:p w14:paraId="7EACB86A">
            <w:pPr>
              <w:pStyle w:val="85"/>
              <w:jc w:val="center"/>
              <w:rPr>
                <w:color w:val="auto"/>
                <w:sz w:val="22"/>
                <w:szCs w:val="22"/>
              </w:rPr>
            </w:pPr>
            <w:r>
              <w:rPr>
                <w:color w:val="auto"/>
                <w:sz w:val="22"/>
                <w:szCs w:val="22"/>
              </w:rPr>
              <w:t>13</w:t>
            </w:r>
          </w:p>
        </w:tc>
        <w:tc>
          <w:tcPr>
            <w:tcW w:w="7370" w:type="dxa"/>
          </w:tcPr>
          <w:p w14:paraId="53E6CA41">
            <w:pPr>
              <w:pStyle w:val="85"/>
              <w:jc w:val="both"/>
              <w:rPr>
                <w:color w:val="auto"/>
                <w:sz w:val="22"/>
                <w:szCs w:val="22"/>
              </w:rPr>
            </w:pPr>
            <w:r>
              <w:rPr>
                <w:color w:val="auto"/>
                <w:sz w:val="22"/>
                <w:szCs w:val="22"/>
              </w:rPr>
              <w:t>группировать изученные объекты живой и неживой природы, самостоятельно выбирая признак для группировки; проводить простейшие классификации</w:t>
            </w:r>
          </w:p>
        </w:tc>
      </w:tr>
      <w:tr w14:paraId="356B96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701" w:type="dxa"/>
          </w:tcPr>
          <w:p w14:paraId="29A98905">
            <w:pPr>
              <w:pStyle w:val="85"/>
              <w:jc w:val="center"/>
              <w:rPr>
                <w:color w:val="auto"/>
                <w:sz w:val="22"/>
                <w:szCs w:val="22"/>
              </w:rPr>
            </w:pPr>
            <w:r>
              <w:rPr>
                <w:color w:val="auto"/>
                <w:sz w:val="22"/>
                <w:szCs w:val="22"/>
              </w:rPr>
              <w:t>14</w:t>
            </w:r>
          </w:p>
        </w:tc>
        <w:tc>
          <w:tcPr>
            <w:tcW w:w="7370" w:type="dxa"/>
          </w:tcPr>
          <w:p w14:paraId="734DC06C">
            <w:pPr>
              <w:pStyle w:val="85"/>
              <w:jc w:val="both"/>
              <w:rPr>
                <w:color w:val="auto"/>
                <w:sz w:val="22"/>
                <w:szCs w:val="22"/>
              </w:rPr>
            </w:pPr>
            <w:r>
              <w:rPr>
                <w:color w:val="auto"/>
                <w:sz w:val="22"/>
                <w:szCs w:val="22"/>
              </w:rPr>
              <w:t>сравнивать объекты живой и неживой природы на основе их внешних признаков и известных характерных свойств</w:t>
            </w:r>
          </w:p>
        </w:tc>
      </w:tr>
      <w:tr w14:paraId="0A3353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701" w:type="dxa"/>
          </w:tcPr>
          <w:p w14:paraId="451A16BA">
            <w:pPr>
              <w:pStyle w:val="85"/>
              <w:jc w:val="center"/>
              <w:rPr>
                <w:color w:val="auto"/>
                <w:sz w:val="22"/>
                <w:szCs w:val="22"/>
              </w:rPr>
            </w:pPr>
            <w:r>
              <w:rPr>
                <w:color w:val="auto"/>
                <w:sz w:val="22"/>
                <w:szCs w:val="22"/>
              </w:rPr>
              <w:t>15</w:t>
            </w:r>
          </w:p>
        </w:tc>
        <w:tc>
          <w:tcPr>
            <w:tcW w:w="7370" w:type="dxa"/>
          </w:tcPr>
          <w:p w14:paraId="03F954BA">
            <w:pPr>
              <w:pStyle w:val="85"/>
              <w:jc w:val="both"/>
              <w:rPr>
                <w:color w:val="auto"/>
                <w:sz w:val="22"/>
                <w:szCs w:val="22"/>
              </w:rPr>
            </w:pPr>
            <w:r>
              <w:rPr>
                <w:color w:val="auto"/>
                <w:sz w:val="22"/>
                <w:szCs w:val="22"/>
              </w:rPr>
              <w:t>показывать на физической карте изученные крупные географические объекты России (горы, равнины, реки, озера, моря, омывающие территорию России)</w:t>
            </w:r>
          </w:p>
        </w:tc>
      </w:tr>
      <w:tr w14:paraId="05F779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701" w:type="dxa"/>
          </w:tcPr>
          <w:p w14:paraId="48631F4B">
            <w:pPr>
              <w:pStyle w:val="85"/>
              <w:jc w:val="center"/>
              <w:rPr>
                <w:color w:val="auto"/>
                <w:sz w:val="22"/>
                <w:szCs w:val="22"/>
              </w:rPr>
            </w:pPr>
            <w:r>
              <w:rPr>
                <w:color w:val="auto"/>
                <w:sz w:val="22"/>
                <w:szCs w:val="22"/>
              </w:rPr>
              <w:t>16</w:t>
            </w:r>
          </w:p>
        </w:tc>
        <w:tc>
          <w:tcPr>
            <w:tcW w:w="7370" w:type="dxa"/>
          </w:tcPr>
          <w:p w14:paraId="4E0C633D">
            <w:pPr>
              <w:pStyle w:val="85"/>
              <w:jc w:val="both"/>
              <w:rPr>
                <w:color w:val="auto"/>
                <w:sz w:val="22"/>
                <w:szCs w:val="22"/>
              </w:rPr>
            </w:pPr>
            <w:r>
              <w:rPr>
                <w:color w:val="auto"/>
                <w:sz w:val="22"/>
                <w:szCs w:val="22"/>
              </w:rPr>
              <w:t>проводить по предложенному (самостоятельно составленному) плану или выдвинутому предположению несложные наблюдения, опыты с объектами природы с использованием простейшего лабораторного оборудования и измерительных приборов, следуя правилам безопасного труда</w:t>
            </w:r>
          </w:p>
        </w:tc>
      </w:tr>
      <w:tr w14:paraId="220DE1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701" w:type="dxa"/>
          </w:tcPr>
          <w:p w14:paraId="2A099830">
            <w:pPr>
              <w:pStyle w:val="85"/>
              <w:jc w:val="center"/>
              <w:rPr>
                <w:color w:val="auto"/>
                <w:sz w:val="22"/>
                <w:szCs w:val="22"/>
              </w:rPr>
            </w:pPr>
            <w:r>
              <w:rPr>
                <w:color w:val="auto"/>
                <w:sz w:val="22"/>
                <w:szCs w:val="22"/>
              </w:rPr>
              <w:t>17</w:t>
            </w:r>
          </w:p>
        </w:tc>
        <w:tc>
          <w:tcPr>
            <w:tcW w:w="7370" w:type="dxa"/>
          </w:tcPr>
          <w:p w14:paraId="293156A6">
            <w:pPr>
              <w:pStyle w:val="85"/>
              <w:jc w:val="both"/>
              <w:rPr>
                <w:color w:val="auto"/>
                <w:sz w:val="22"/>
                <w:szCs w:val="22"/>
              </w:rPr>
            </w:pPr>
            <w:r>
              <w:rPr>
                <w:color w:val="auto"/>
                <w:sz w:val="22"/>
                <w:szCs w:val="22"/>
              </w:rPr>
              <w:t>использовать знания о взаимосвязях в природе для объяснения простейших явлений и процессов в природе (в том числе смены дня и ночи, смены времен года, сезонных изменений в природе своей местности, причины смены природных зон)</w:t>
            </w:r>
          </w:p>
        </w:tc>
      </w:tr>
      <w:tr w14:paraId="40A875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701" w:type="dxa"/>
          </w:tcPr>
          <w:p w14:paraId="2736145B">
            <w:pPr>
              <w:pStyle w:val="85"/>
              <w:jc w:val="center"/>
              <w:rPr>
                <w:color w:val="auto"/>
                <w:sz w:val="22"/>
                <w:szCs w:val="22"/>
              </w:rPr>
            </w:pPr>
            <w:r>
              <w:rPr>
                <w:color w:val="auto"/>
                <w:sz w:val="22"/>
                <w:szCs w:val="22"/>
              </w:rPr>
              <w:t>18</w:t>
            </w:r>
          </w:p>
        </w:tc>
        <w:tc>
          <w:tcPr>
            <w:tcW w:w="7370" w:type="dxa"/>
          </w:tcPr>
          <w:p w14:paraId="7B5B32C1">
            <w:pPr>
              <w:pStyle w:val="85"/>
              <w:jc w:val="both"/>
              <w:rPr>
                <w:color w:val="auto"/>
                <w:sz w:val="22"/>
                <w:szCs w:val="22"/>
              </w:rPr>
            </w:pPr>
            <w:r>
              <w:rPr>
                <w:color w:val="auto"/>
                <w:sz w:val="22"/>
                <w:szCs w:val="22"/>
              </w:rPr>
              <w:t>называть экологические проблемы и определять пути их решения</w:t>
            </w:r>
          </w:p>
        </w:tc>
      </w:tr>
      <w:tr w14:paraId="60A510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701" w:type="dxa"/>
          </w:tcPr>
          <w:p w14:paraId="41B87DAF">
            <w:pPr>
              <w:pStyle w:val="85"/>
              <w:jc w:val="center"/>
              <w:rPr>
                <w:color w:val="auto"/>
                <w:sz w:val="22"/>
                <w:szCs w:val="22"/>
              </w:rPr>
            </w:pPr>
            <w:r>
              <w:rPr>
                <w:color w:val="auto"/>
                <w:sz w:val="22"/>
                <w:szCs w:val="22"/>
              </w:rPr>
              <w:t>19</w:t>
            </w:r>
          </w:p>
        </w:tc>
        <w:tc>
          <w:tcPr>
            <w:tcW w:w="7370" w:type="dxa"/>
          </w:tcPr>
          <w:p w14:paraId="65E53133">
            <w:pPr>
              <w:pStyle w:val="85"/>
              <w:jc w:val="both"/>
              <w:rPr>
                <w:color w:val="auto"/>
                <w:sz w:val="22"/>
                <w:szCs w:val="22"/>
              </w:rPr>
            </w:pPr>
            <w:r>
              <w:rPr>
                <w:color w:val="auto"/>
                <w:sz w:val="22"/>
                <w:szCs w:val="22"/>
              </w:rPr>
              <w:t>создавать по заданному плану собственные развернутые высказывания о природе</w:t>
            </w:r>
          </w:p>
        </w:tc>
      </w:tr>
      <w:tr w14:paraId="7EFB62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701" w:type="dxa"/>
          </w:tcPr>
          <w:p w14:paraId="20A16764">
            <w:pPr>
              <w:pStyle w:val="85"/>
              <w:jc w:val="center"/>
              <w:rPr>
                <w:color w:val="auto"/>
                <w:sz w:val="22"/>
                <w:szCs w:val="22"/>
              </w:rPr>
            </w:pPr>
            <w:r>
              <w:rPr>
                <w:color w:val="auto"/>
                <w:sz w:val="22"/>
                <w:szCs w:val="22"/>
              </w:rPr>
              <w:t>20</w:t>
            </w:r>
          </w:p>
        </w:tc>
        <w:tc>
          <w:tcPr>
            <w:tcW w:w="7370" w:type="dxa"/>
          </w:tcPr>
          <w:p w14:paraId="03DB03BF">
            <w:pPr>
              <w:pStyle w:val="85"/>
              <w:jc w:val="both"/>
              <w:rPr>
                <w:color w:val="auto"/>
                <w:sz w:val="22"/>
                <w:szCs w:val="22"/>
              </w:rPr>
            </w:pPr>
            <w:r>
              <w:rPr>
                <w:color w:val="auto"/>
                <w:sz w:val="22"/>
                <w:szCs w:val="22"/>
              </w:rPr>
              <w:t>использовать различные источники информации о природе для поиска и извлечения информации, ответов на вопросы</w:t>
            </w:r>
          </w:p>
        </w:tc>
      </w:tr>
      <w:tr w14:paraId="5E5A6E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701" w:type="dxa"/>
          </w:tcPr>
          <w:p w14:paraId="6C8F7FE0">
            <w:pPr>
              <w:pStyle w:val="85"/>
              <w:rPr>
                <w:color w:val="auto"/>
                <w:sz w:val="22"/>
                <w:szCs w:val="22"/>
              </w:rPr>
            </w:pPr>
          </w:p>
        </w:tc>
        <w:tc>
          <w:tcPr>
            <w:tcW w:w="7370" w:type="dxa"/>
          </w:tcPr>
          <w:p w14:paraId="7602CC02">
            <w:pPr>
              <w:pStyle w:val="85"/>
              <w:jc w:val="both"/>
              <w:rPr>
                <w:color w:val="auto"/>
                <w:sz w:val="22"/>
                <w:szCs w:val="22"/>
              </w:rPr>
            </w:pPr>
            <w:r>
              <w:rPr>
                <w:color w:val="auto"/>
                <w:sz w:val="22"/>
                <w:szCs w:val="22"/>
              </w:rPr>
              <w:t>Правила безопасной жизнедеятельности</w:t>
            </w:r>
          </w:p>
        </w:tc>
      </w:tr>
      <w:tr w14:paraId="1B4ABF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701" w:type="dxa"/>
          </w:tcPr>
          <w:p w14:paraId="2EDFE1D6">
            <w:pPr>
              <w:pStyle w:val="85"/>
              <w:jc w:val="center"/>
              <w:rPr>
                <w:color w:val="auto"/>
                <w:sz w:val="22"/>
                <w:szCs w:val="22"/>
              </w:rPr>
            </w:pPr>
            <w:r>
              <w:rPr>
                <w:color w:val="auto"/>
                <w:sz w:val="22"/>
                <w:szCs w:val="22"/>
              </w:rPr>
              <w:t>21</w:t>
            </w:r>
          </w:p>
        </w:tc>
        <w:tc>
          <w:tcPr>
            <w:tcW w:w="7370" w:type="dxa"/>
          </w:tcPr>
          <w:p w14:paraId="58C0DC98">
            <w:pPr>
              <w:pStyle w:val="85"/>
              <w:jc w:val="both"/>
              <w:rPr>
                <w:color w:val="auto"/>
                <w:sz w:val="22"/>
                <w:szCs w:val="22"/>
              </w:rPr>
            </w:pPr>
            <w:r>
              <w:rPr>
                <w:color w:val="auto"/>
                <w:sz w:val="22"/>
                <w:szCs w:val="22"/>
              </w:rPr>
              <w:t>соблюдать правила нравственного поведения на природе</w:t>
            </w:r>
          </w:p>
        </w:tc>
      </w:tr>
      <w:tr w14:paraId="550857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701" w:type="dxa"/>
          </w:tcPr>
          <w:p w14:paraId="11890750">
            <w:pPr>
              <w:pStyle w:val="85"/>
              <w:jc w:val="center"/>
              <w:rPr>
                <w:color w:val="auto"/>
                <w:sz w:val="22"/>
                <w:szCs w:val="22"/>
              </w:rPr>
            </w:pPr>
            <w:r>
              <w:rPr>
                <w:color w:val="auto"/>
                <w:sz w:val="22"/>
                <w:szCs w:val="22"/>
              </w:rPr>
              <w:t>22</w:t>
            </w:r>
          </w:p>
        </w:tc>
        <w:tc>
          <w:tcPr>
            <w:tcW w:w="7370" w:type="dxa"/>
          </w:tcPr>
          <w:p w14:paraId="63D32E0E">
            <w:pPr>
              <w:pStyle w:val="85"/>
              <w:jc w:val="both"/>
              <w:rPr>
                <w:color w:val="auto"/>
                <w:sz w:val="22"/>
                <w:szCs w:val="22"/>
              </w:rPr>
            </w:pPr>
            <w:r>
              <w:rPr>
                <w:color w:val="auto"/>
                <w:sz w:val="22"/>
                <w:szCs w:val="22"/>
              </w:rPr>
              <w:t>осознавать возможные последствия вредных привычек для здоровья и жизни человека</w:t>
            </w:r>
          </w:p>
        </w:tc>
      </w:tr>
      <w:tr w14:paraId="37FCF4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701" w:type="dxa"/>
          </w:tcPr>
          <w:p w14:paraId="2D73B42F">
            <w:pPr>
              <w:pStyle w:val="85"/>
              <w:jc w:val="center"/>
              <w:rPr>
                <w:color w:val="auto"/>
                <w:sz w:val="22"/>
                <w:szCs w:val="22"/>
              </w:rPr>
            </w:pPr>
            <w:r>
              <w:rPr>
                <w:color w:val="auto"/>
                <w:sz w:val="22"/>
                <w:szCs w:val="22"/>
              </w:rPr>
              <w:t>23</w:t>
            </w:r>
          </w:p>
        </w:tc>
        <w:tc>
          <w:tcPr>
            <w:tcW w:w="7370" w:type="dxa"/>
          </w:tcPr>
          <w:p w14:paraId="5A3A774F">
            <w:pPr>
              <w:pStyle w:val="85"/>
              <w:jc w:val="both"/>
              <w:rPr>
                <w:color w:val="auto"/>
                <w:sz w:val="22"/>
                <w:szCs w:val="22"/>
              </w:rPr>
            </w:pPr>
            <w:r>
              <w:rPr>
                <w:color w:val="auto"/>
                <w:sz w:val="22"/>
                <w:szCs w:val="22"/>
              </w:rPr>
              <w:t>соблюдать правила безопасного поведения при использовании объектов транспортной инфраструктуры населенного пункта, в театрах, кинотеатрах, торговых центрах, парках и зонах отдыха, учреждениях культуры (музеях, библиотеках и других); соблюдать правила безопасного поведения при езде на велосипеде, самокате и других средствах индивидуальной мобильности</w:t>
            </w:r>
          </w:p>
        </w:tc>
      </w:tr>
    </w:tbl>
    <w:p w14:paraId="4A83085B">
      <w:pPr>
        <w:pStyle w:val="85"/>
        <w:jc w:val="both"/>
        <w:rPr>
          <w:color w:val="auto"/>
          <w:sz w:val="22"/>
          <w:szCs w:val="22"/>
        </w:rPr>
      </w:pPr>
    </w:p>
    <w:p w14:paraId="1206D292">
      <w:pPr>
        <w:pStyle w:val="85"/>
        <w:jc w:val="right"/>
        <w:rPr>
          <w:color w:val="auto"/>
          <w:sz w:val="22"/>
          <w:szCs w:val="22"/>
        </w:rPr>
      </w:pPr>
      <w:r>
        <w:rPr>
          <w:color w:val="auto"/>
          <w:sz w:val="22"/>
          <w:szCs w:val="22"/>
        </w:rPr>
        <w:t>Таблица 12.7</w:t>
      </w:r>
    </w:p>
    <w:p w14:paraId="5D507D4B">
      <w:pPr>
        <w:pStyle w:val="85"/>
        <w:jc w:val="both"/>
        <w:rPr>
          <w:color w:val="auto"/>
          <w:sz w:val="22"/>
          <w:szCs w:val="22"/>
        </w:rPr>
      </w:pPr>
    </w:p>
    <w:p w14:paraId="58C5C842">
      <w:pPr>
        <w:pStyle w:val="85"/>
        <w:jc w:val="center"/>
        <w:rPr>
          <w:color w:val="auto"/>
          <w:sz w:val="22"/>
          <w:szCs w:val="22"/>
        </w:rPr>
      </w:pPr>
      <w:r>
        <w:rPr>
          <w:color w:val="auto"/>
          <w:sz w:val="22"/>
          <w:szCs w:val="22"/>
        </w:rPr>
        <w:t>Проверяемые элементы содержания (4 класс)</w:t>
      </w:r>
    </w:p>
    <w:p w14:paraId="7E051BA9">
      <w:pPr>
        <w:pStyle w:val="85"/>
        <w:jc w:val="both"/>
        <w:rPr>
          <w:color w:val="auto"/>
          <w:sz w:val="22"/>
          <w:szCs w:val="22"/>
        </w:rPr>
      </w:pPr>
    </w:p>
    <w:tbl>
      <w:tblPr>
        <w:tblStyle w:val="1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02" w:type="dxa"/>
          <w:left w:w="62" w:type="dxa"/>
          <w:bottom w:w="102" w:type="dxa"/>
          <w:right w:w="62" w:type="dxa"/>
        </w:tblCellMar>
      </w:tblPr>
      <w:tblGrid>
        <w:gridCol w:w="1077"/>
        <w:gridCol w:w="7994"/>
      </w:tblGrid>
      <w:tr w14:paraId="67C391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077" w:type="dxa"/>
          </w:tcPr>
          <w:p w14:paraId="4102126F">
            <w:pPr>
              <w:pStyle w:val="85"/>
              <w:jc w:val="center"/>
              <w:rPr>
                <w:color w:val="auto"/>
                <w:sz w:val="22"/>
                <w:szCs w:val="22"/>
              </w:rPr>
            </w:pPr>
            <w:r>
              <w:rPr>
                <w:color w:val="auto"/>
                <w:sz w:val="22"/>
                <w:szCs w:val="22"/>
              </w:rPr>
              <w:t>Код</w:t>
            </w:r>
          </w:p>
        </w:tc>
        <w:tc>
          <w:tcPr>
            <w:tcW w:w="7994" w:type="dxa"/>
          </w:tcPr>
          <w:p w14:paraId="5FE0672B">
            <w:pPr>
              <w:pStyle w:val="85"/>
              <w:jc w:val="center"/>
              <w:rPr>
                <w:color w:val="auto"/>
                <w:sz w:val="22"/>
                <w:szCs w:val="22"/>
              </w:rPr>
            </w:pPr>
            <w:r>
              <w:rPr>
                <w:color w:val="auto"/>
                <w:sz w:val="22"/>
                <w:szCs w:val="22"/>
              </w:rPr>
              <w:t>Проверяемый элемент содержания</w:t>
            </w:r>
          </w:p>
        </w:tc>
      </w:tr>
      <w:tr w14:paraId="21D4A0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077" w:type="dxa"/>
          </w:tcPr>
          <w:p w14:paraId="275C1275">
            <w:pPr>
              <w:pStyle w:val="85"/>
              <w:jc w:val="center"/>
              <w:rPr>
                <w:color w:val="auto"/>
                <w:sz w:val="22"/>
                <w:szCs w:val="22"/>
              </w:rPr>
            </w:pPr>
            <w:r>
              <w:rPr>
                <w:color w:val="auto"/>
                <w:sz w:val="22"/>
                <w:szCs w:val="22"/>
              </w:rPr>
              <w:t>1</w:t>
            </w:r>
          </w:p>
        </w:tc>
        <w:tc>
          <w:tcPr>
            <w:tcW w:w="7994" w:type="dxa"/>
          </w:tcPr>
          <w:p w14:paraId="01C1C802">
            <w:pPr>
              <w:pStyle w:val="85"/>
              <w:jc w:val="both"/>
              <w:rPr>
                <w:color w:val="auto"/>
                <w:sz w:val="22"/>
                <w:szCs w:val="22"/>
              </w:rPr>
            </w:pPr>
            <w:r>
              <w:rPr>
                <w:color w:val="auto"/>
                <w:sz w:val="22"/>
                <w:szCs w:val="22"/>
              </w:rPr>
              <w:t>Человек и общество</w:t>
            </w:r>
          </w:p>
        </w:tc>
      </w:tr>
      <w:tr w14:paraId="2384F5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077" w:type="dxa"/>
          </w:tcPr>
          <w:p w14:paraId="5F41DC7D">
            <w:pPr>
              <w:pStyle w:val="85"/>
              <w:jc w:val="center"/>
              <w:rPr>
                <w:color w:val="auto"/>
                <w:sz w:val="22"/>
                <w:szCs w:val="22"/>
              </w:rPr>
            </w:pPr>
            <w:r>
              <w:rPr>
                <w:color w:val="auto"/>
                <w:sz w:val="22"/>
                <w:szCs w:val="22"/>
              </w:rPr>
              <w:t>1.1</w:t>
            </w:r>
          </w:p>
        </w:tc>
        <w:tc>
          <w:tcPr>
            <w:tcW w:w="7994" w:type="dxa"/>
          </w:tcPr>
          <w:p w14:paraId="4CC8D75C">
            <w:pPr>
              <w:pStyle w:val="85"/>
              <w:jc w:val="both"/>
              <w:rPr>
                <w:color w:val="auto"/>
                <w:sz w:val="22"/>
                <w:szCs w:val="22"/>
              </w:rPr>
            </w:pPr>
            <w:r>
              <w:fldChar w:fldCharType="begin"/>
            </w:r>
            <w:r>
              <w:instrText xml:space="preserve"> HYPERLINK "https://login.consultant.ru/link/?req=doc&amp;base=LAW&amp;n=2875" \o ""Конституция Российской Федерации" (принята всенародным голосованием 12.12.1993 с изменениями, одобренными в ходе общероссийского голосования 01.07.2020) {КонсультантПлюс}" \h </w:instrText>
            </w:r>
            <w:r>
              <w:fldChar w:fldCharType="separate"/>
            </w:r>
            <w:r>
              <w:rPr>
                <w:color w:val="auto"/>
                <w:sz w:val="22"/>
                <w:szCs w:val="22"/>
              </w:rPr>
              <w:t>Конституция</w:t>
            </w:r>
            <w:r>
              <w:rPr>
                <w:color w:val="auto"/>
                <w:sz w:val="22"/>
                <w:szCs w:val="22"/>
              </w:rPr>
              <w:fldChar w:fldCharType="end"/>
            </w:r>
            <w:r>
              <w:rPr>
                <w:color w:val="auto"/>
                <w:sz w:val="22"/>
                <w:szCs w:val="22"/>
              </w:rPr>
              <w:t xml:space="preserve"> - Основной закон Российской Федерации. Права и обязанности гражданина Российской Федерации. Президент Российской Федерации - глава государства</w:t>
            </w:r>
          </w:p>
        </w:tc>
      </w:tr>
      <w:tr w14:paraId="0D84CE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077" w:type="dxa"/>
          </w:tcPr>
          <w:p w14:paraId="1A353C5C">
            <w:pPr>
              <w:pStyle w:val="85"/>
              <w:jc w:val="center"/>
              <w:rPr>
                <w:color w:val="auto"/>
                <w:sz w:val="22"/>
                <w:szCs w:val="22"/>
              </w:rPr>
            </w:pPr>
            <w:r>
              <w:rPr>
                <w:color w:val="auto"/>
                <w:sz w:val="22"/>
                <w:szCs w:val="22"/>
              </w:rPr>
              <w:t>1.2</w:t>
            </w:r>
          </w:p>
        </w:tc>
        <w:tc>
          <w:tcPr>
            <w:tcW w:w="7994" w:type="dxa"/>
          </w:tcPr>
          <w:p w14:paraId="01FD87D5">
            <w:pPr>
              <w:pStyle w:val="85"/>
              <w:jc w:val="both"/>
              <w:rPr>
                <w:color w:val="auto"/>
                <w:sz w:val="22"/>
                <w:szCs w:val="22"/>
              </w:rPr>
            </w:pPr>
            <w:r>
              <w:rPr>
                <w:color w:val="auto"/>
                <w:sz w:val="22"/>
                <w:szCs w:val="22"/>
              </w:rPr>
              <w:t>Политико-административная карта России</w:t>
            </w:r>
          </w:p>
        </w:tc>
      </w:tr>
      <w:tr w14:paraId="6823BC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077" w:type="dxa"/>
          </w:tcPr>
          <w:p w14:paraId="46E60F32">
            <w:pPr>
              <w:pStyle w:val="85"/>
              <w:jc w:val="center"/>
              <w:rPr>
                <w:color w:val="auto"/>
                <w:sz w:val="22"/>
                <w:szCs w:val="22"/>
              </w:rPr>
            </w:pPr>
            <w:r>
              <w:rPr>
                <w:color w:val="auto"/>
                <w:sz w:val="22"/>
                <w:szCs w:val="22"/>
              </w:rPr>
              <w:t>1.3</w:t>
            </w:r>
          </w:p>
        </w:tc>
        <w:tc>
          <w:tcPr>
            <w:tcW w:w="7994" w:type="dxa"/>
          </w:tcPr>
          <w:p w14:paraId="4D3F31E8">
            <w:pPr>
              <w:pStyle w:val="85"/>
              <w:jc w:val="both"/>
              <w:rPr>
                <w:color w:val="auto"/>
                <w:sz w:val="22"/>
                <w:szCs w:val="22"/>
              </w:rPr>
            </w:pPr>
            <w:r>
              <w:rPr>
                <w:color w:val="auto"/>
                <w:sz w:val="22"/>
                <w:szCs w:val="22"/>
              </w:rPr>
              <w:t>Общая характеристика родного края, важнейшие достопримечательности, знаменитые соотечественники</w:t>
            </w:r>
          </w:p>
        </w:tc>
      </w:tr>
      <w:tr w14:paraId="7B5F4D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077" w:type="dxa"/>
          </w:tcPr>
          <w:p w14:paraId="3461C6E1">
            <w:pPr>
              <w:pStyle w:val="85"/>
              <w:jc w:val="center"/>
              <w:rPr>
                <w:color w:val="auto"/>
                <w:sz w:val="22"/>
                <w:szCs w:val="22"/>
              </w:rPr>
            </w:pPr>
            <w:r>
              <w:rPr>
                <w:color w:val="auto"/>
                <w:sz w:val="22"/>
                <w:szCs w:val="22"/>
              </w:rPr>
              <w:t>1.4</w:t>
            </w:r>
          </w:p>
        </w:tc>
        <w:tc>
          <w:tcPr>
            <w:tcW w:w="7994" w:type="dxa"/>
          </w:tcPr>
          <w:p w14:paraId="676CBF29">
            <w:pPr>
              <w:pStyle w:val="85"/>
              <w:jc w:val="both"/>
              <w:rPr>
                <w:color w:val="auto"/>
                <w:sz w:val="22"/>
                <w:szCs w:val="22"/>
              </w:rPr>
            </w:pPr>
            <w:r>
              <w:rPr>
                <w:color w:val="auto"/>
                <w:sz w:val="22"/>
                <w:szCs w:val="22"/>
              </w:rPr>
              <w:t>Города России. Святыни городов России. Главный город родного края: достопримечательности, история и характеристика отдельных исторических событий, связанных с ним</w:t>
            </w:r>
          </w:p>
        </w:tc>
      </w:tr>
      <w:tr w14:paraId="544B3A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077" w:type="dxa"/>
          </w:tcPr>
          <w:p w14:paraId="654DD240">
            <w:pPr>
              <w:pStyle w:val="85"/>
              <w:jc w:val="center"/>
              <w:rPr>
                <w:color w:val="auto"/>
                <w:sz w:val="22"/>
                <w:szCs w:val="22"/>
              </w:rPr>
            </w:pPr>
            <w:r>
              <w:rPr>
                <w:color w:val="auto"/>
                <w:sz w:val="22"/>
                <w:szCs w:val="22"/>
              </w:rPr>
              <w:t>1.5</w:t>
            </w:r>
          </w:p>
        </w:tc>
        <w:tc>
          <w:tcPr>
            <w:tcW w:w="7994" w:type="dxa"/>
          </w:tcPr>
          <w:p w14:paraId="1BF97FA0">
            <w:pPr>
              <w:pStyle w:val="85"/>
              <w:jc w:val="both"/>
              <w:rPr>
                <w:color w:val="auto"/>
                <w:sz w:val="22"/>
                <w:szCs w:val="22"/>
              </w:rPr>
            </w:pPr>
            <w:r>
              <w:rPr>
                <w:color w:val="auto"/>
                <w:sz w:val="22"/>
                <w:szCs w:val="22"/>
              </w:rPr>
              <w:t>Праздник в жизни общества как средство укрепления общественной солидарности и упрочения духовных связей между соотечественниками. Новый год, День защитника Отечества, Международный женский день, День весны и труда, День Победы, День России, День народного единства, День Конституции. Праздники и памятные даты своего региона. Уважение к культуре, истории, традициям своего народа и других народов, государственным символам России</w:t>
            </w:r>
          </w:p>
        </w:tc>
      </w:tr>
      <w:tr w14:paraId="0D9360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077" w:type="dxa"/>
          </w:tcPr>
          <w:p w14:paraId="2BC50728">
            <w:pPr>
              <w:pStyle w:val="85"/>
              <w:jc w:val="center"/>
              <w:rPr>
                <w:color w:val="auto"/>
                <w:sz w:val="22"/>
                <w:szCs w:val="22"/>
              </w:rPr>
            </w:pPr>
            <w:r>
              <w:rPr>
                <w:color w:val="auto"/>
                <w:sz w:val="22"/>
                <w:szCs w:val="22"/>
              </w:rPr>
              <w:t>1.6</w:t>
            </w:r>
          </w:p>
        </w:tc>
        <w:tc>
          <w:tcPr>
            <w:tcW w:w="7994" w:type="dxa"/>
          </w:tcPr>
          <w:p w14:paraId="3D02926E">
            <w:pPr>
              <w:pStyle w:val="85"/>
              <w:jc w:val="both"/>
              <w:rPr>
                <w:color w:val="auto"/>
                <w:sz w:val="22"/>
                <w:szCs w:val="22"/>
              </w:rPr>
            </w:pPr>
            <w:r>
              <w:rPr>
                <w:color w:val="auto"/>
                <w:sz w:val="22"/>
                <w:szCs w:val="22"/>
              </w:rPr>
              <w:t>История Отечества. "Лента времени" и историческая карта</w:t>
            </w:r>
          </w:p>
        </w:tc>
      </w:tr>
      <w:tr w14:paraId="3CD014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077" w:type="dxa"/>
          </w:tcPr>
          <w:p w14:paraId="3C9A4373">
            <w:pPr>
              <w:pStyle w:val="85"/>
              <w:jc w:val="center"/>
              <w:rPr>
                <w:color w:val="auto"/>
                <w:sz w:val="22"/>
                <w:szCs w:val="22"/>
              </w:rPr>
            </w:pPr>
            <w:r>
              <w:rPr>
                <w:color w:val="auto"/>
                <w:sz w:val="22"/>
                <w:szCs w:val="22"/>
              </w:rPr>
              <w:t>1.7</w:t>
            </w:r>
          </w:p>
        </w:tc>
        <w:tc>
          <w:tcPr>
            <w:tcW w:w="7994" w:type="dxa"/>
          </w:tcPr>
          <w:p w14:paraId="3B245DDD">
            <w:pPr>
              <w:pStyle w:val="85"/>
              <w:jc w:val="both"/>
              <w:rPr>
                <w:color w:val="auto"/>
                <w:sz w:val="22"/>
                <w:szCs w:val="22"/>
              </w:rPr>
            </w:pPr>
            <w:r>
              <w:rPr>
                <w:color w:val="auto"/>
                <w:sz w:val="22"/>
                <w:szCs w:val="22"/>
              </w:rPr>
              <w:t>Наиболее важные и яркие события общественной и культурной жизни страны в разные исторические периоды: государство Русь, Московское государство, Российская империя, СССР, Российская Федерация</w:t>
            </w:r>
          </w:p>
        </w:tc>
      </w:tr>
      <w:tr w14:paraId="6E4F2C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077" w:type="dxa"/>
          </w:tcPr>
          <w:p w14:paraId="715DBD0F">
            <w:pPr>
              <w:pStyle w:val="85"/>
              <w:jc w:val="center"/>
              <w:rPr>
                <w:color w:val="auto"/>
                <w:sz w:val="22"/>
                <w:szCs w:val="22"/>
              </w:rPr>
            </w:pPr>
            <w:r>
              <w:rPr>
                <w:color w:val="auto"/>
                <w:sz w:val="22"/>
                <w:szCs w:val="22"/>
              </w:rPr>
              <w:t>1.8</w:t>
            </w:r>
          </w:p>
        </w:tc>
        <w:tc>
          <w:tcPr>
            <w:tcW w:w="7994" w:type="dxa"/>
          </w:tcPr>
          <w:p w14:paraId="39F0DE37">
            <w:pPr>
              <w:pStyle w:val="85"/>
              <w:jc w:val="both"/>
              <w:rPr>
                <w:color w:val="auto"/>
                <w:sz w:val="22"/>
                <w:szCs w:val="22"/>
              </w:rPr>
            </w:pPr>
            <w:r>
              <w:rPr>
                <w:color w:val="auto"/>
                <w:sz w:val="22"/>
                <w:szCs w:val="22"/>
              </w:rPr>
              <w:t>Картины быта, труда, духовно-нравственные и культурные традиции людей в разные исторические времена</w:t>
            </w:r>
          </w:p>
        </w:tc>
      </w:tr>
      <w:tr w14:paraId="1CFAC5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077" w:type="dxa"/>
          </w:tcPr>
          <w:p w14:paraId="2C324822">
            <w:pPr>
              <w:pStyle w:val="85"/>
              <w:jc w:val="center"/>
              <w:rPr>
                <w:color w:val="auto"/>
                <w:sz w:val="22"/>
                <w:szCs w:val="22"/>
              </w:rPr>
            </w:pPr>
            <w:r>
              <w:rPr>
                <w:color w:val="auto"/>
                <w:sz w:val="22"/>
                <w:szCs w:val="22"/>
              </w:rPr>
              <w:t>1.9</w:t>
            </w:r>
          </w:p>
        </w:tc>
        <w:tc>
          <w:tcPr>
            <w:tcW w:w="7994" w:type="dxa"/>
          </w:tcPr>
          <w:p w14:paraId="2D11B2C0">
            <w:pPr>
              <w:pStyle w:val="85"/>
              <w:jc w:val="both"/>
              <w:rPr>
                <w:color w:val="auto"/>
                <w:sz w:val="22"/>
                <w:szCs w:val="22"/>
              </w:rPr>
            </w:pPr>
            <w:r>
              <w:rPr>
                <w:color w:val="auto"/>
                <w:sz w:val="22"/>
                <w:szCs w:val="22"/>
              </w:rPr>
              <w:t>Выдающиеся люди разных эпох как носители базовых национальных ценностей</w:t>
            </w:r>
          </w:p>
        </w:tc>
      </w:tr>
      <w:tr w14:paraId="682992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077" w:type="dxa"/>
          </w:tcPr>
          <w:p w14:paraId="64B85D17">
            <w:pPr>
              <w:pStyle w:val="85"/>
              <w:jc w:val="center"/>
              <w:rPr>
                <w:color w:val="auto"/>
                <w:sz w:val="22"/>
                <w:szCs w:val="22"/>
              </w:rPr>
            </w:pPr>
            <w:r>
              <w:rPr>
                <w:color w:val="auto"/>
                <w:sz w:val="22"/>
                <w:szCs w:val="22"/>
              </w:rPr>
              <w:t>1.10</w:t>
            </w:r>
          </w:p>
        </w:tc>
        <w:tc>
          <w:tcPr>
            <w:tcW w:w="7994" w:type="dxa"/>
          </w:tcPr>
          <w:p w14:paraId="57B06915">
            <w:pPr>
              <w:pStyle w:val="85"/>
              <w:jc w:val="both"/>
              <w:rPr>
                <w:color w:val="auto"/>
                <w:sz w:val="22"/>
                <w:szCs w:val="22"/>
              </w:rPr>
            </w:pPr>
            <w:r>
              <w:rPr>
                <w:color w:val="auto"/>
                <w:sz w:val="22"/>
                <w:szCs w:val="22"/>
              </w:rPr>
              <w:t>Наиболее значимые объекты списка Всемирного культурного наследия в России и за рубежом. Охрана памятников истории и культуры. Посильное участие в охране памятников истории и культуры своего края. Личная ответственность каждого человека за сохранность историко-культурного наследия своего края</w:t>
            </w:r>
          </w:p>
        </w:tc>
      </w:tr>
      <w:tr w14:paraId="5F081F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077" w:type="dxa"/>
          </w:tcPr>
          <w:p w14:paraId="0C860938">
            <w:pPr>
              <w:pStyle w:val="85"/>
              <w:jc w:val="center"/>
              <w:rPr>
                <w:color w:val="auto"/>
                <w:sz w:val="22"/>
                <w:szCs w:val="22"/>
              </w:rPr>
            </w:pPr>
            <w:r>
              <w:rPr>
                <w:color w:val="auto"/>
                <w:sz w:val="22"/>
                <w:szCs w:val="22"/>
              </w:rPr>
              <w:t>1.11</w:t>
            </w:r>
          </w:p>
        </w:tc>
        <w:tc>
          <w:tcPr>
            <w:tcW w:w="7994" w:type="dxa"/>
          </w:tcPr>
          <w:p w14:paraId="6491E56C">
            <w:pPr>
              <w:pStyle w:val="85"/>
              <w:jc w:val="both"/>
              <w:rPr>
                <w:color w:val="auto"/>
                <w:sz w:val="22"/>
                <w:szCs w:val="22"/>
              </w:rPr>
            </w:pPr>
            <w:r>
              <w:rPr>
                <w:color w:val="auto"/>
                <w:sz w:val="22"/>
                <w:szCs w:val="22"/>
              </w:rPr>
              <w:t>Правила нравственного поведения в социуме, отношение к людям независимо от их национальности, социального статуса, религиозной принадлежности</w:t>
            </w:r>
          </w:p>
        </w:tc>
      </w:tr>
      <w:tr w14:paraId="2A5D0F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077" w:type="dxa"/>
          </w:tcPr>
          <w:p w14:paraId="0B72E911">
            <w:pPr>
              <w:pStyle w:val="85"/>
              <w:jc w:val="center"/>
              <w:rPr>
                <w:color w:val="auto"/>
                <w:sz w:val="22"/>
                <w:szCs w:val="22"/>
              </w:rPr>
            </w:pPr>
            <w:r>
              <w:rPr>
                <w:color w:val="auto"/>
                <w:sz w:val="22"/>
                <w:szCs w:val="22"/>
              </w:rPr>
              <w:t>2</w:t>
            </w:r>
          </w:p>
        </w:tc>
        <w:tc>
          <w:tcPr>
            <w:tcW w:w="7994" w:type="dxa"/>
          </w:tcPr>
          <w:p w14:paraId="3FE0D48A">
            <w:pPr>
              <w:pStyle w:val="85"/>
              <w:jc w:val="both"/>
              <w:rPr>
                <w:color w:val="auto"/>
                <w:sz w:val="22"/>
                <w:szCs w:val="22"/>
              </w:rPr>
            </w:pPr>
            <w:r>
              <w:rPr>
                <w:color w:val="auto"/>
                <w:sz w:val="22"/>
                <w:szCs w:val="22"/>
              </w:rPr>
              <w:t>Человек и природа</w:t>
            </w:r>
          </w:p>
        </w:tc>
      </w:tr>
      <w:tr w14:paraId="3C63D2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077" w:type="dxa"/>
          </w:tcPr>
          <w:p w14:paraId="4CD9EC41">
            <w:pPr>
              <w:pStyle w:val="85"/>
              <w:jc w:val="center"/>
              <w:rPr>
                <w:color w:val="auto"/>
                <w:sz w:val="22"/>
                <w:szCs w:val="22"/>
              </w:rPr>
            </w:pPr>
            <w:r>
              <w:rPr>
                <w:color w:val="auto"/>
                <w:sz w:val="22"/>
                <w:szCs w:val="22"/>
              </w:rPr>
              <w:t>2.1</w:t>
            </w:r>
          </w:p>
        </w:tc>
        <w:tc>
          <w:tcPr>
            <w:tcW w:w="7994" w:type="dxa"/>
          </w:tcPr>
          <w:p w14:paraId="7FBE41D0">
            <w:pPr>
              <w:pStyle w:val="85"/>
              <w:jc w:val="both"/>
              <w:rPr>
                <w:color w:val="auto"/>
                <w:sz w:val="22"/>
                <w:szCs w:val="22"/>
              </w:rPr>
            </w:pPr>
            <w:r>
              <w:rPr>
                <w:color w:val="auto"/>
                <w:sz w:val="22"/>
                <w:szCs w:val="22"/>
              </w:rPr>
              <w:t>Методы познания окружающей природы: наблюдения, сравнения, измерения, опыты по исследованию природных объектов и явлений</w:t>
            </w:r>
          </w:p>
        </w:tc>
      </w:tr>
      <w:tr w14:paraId="5836F2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077" w:type="dxa"/>
          </w:tcPr>
          <w:p w14:paraId="5CE3CD7B">
            <w:pPr>
              <w:pStyle w:val="85"/>
              <w:jc w:val="center"/>
              <w:rPr>
                <w:color w:val="auto"/>
                <w:sz w:val="22"/>
                <w:szCs w:val="22"/>
              </w:rPr>
            </w:pPr>
            <w:r>
              <w:rPr>
                <w:color w:val="auto"/>
                <w:sz w:val="22"/>
                <w:szCs w:val="22"/>
              </w:rPr>
              <w:t>2.2</w:t>
            </w:r>
          </w:p>
        </w:tc>
        <w:tc>
          <w:tcPr>
            <w:tcW w:w="7994" w:type="dxa"/>
          </w:tcPr>
          <w:p w14:paraId="1E205730">
            <w:pPr>
              <w:pStyle w:val="85"/>
              <w:jc w:val="both"/>
              <w:rPr>
                <w:color w:val="auto"/>
                <w:sz w:val="22"/>
                <w:szCs w:val="22"/>
              </w:rPr>
            </w:pPr>
            <w:r>
              <w:rPr>
                <w:color w:val="auto"/>
                <w:sz w:val="22"/>
                <w:szCs w:val="22"/>
              </w:rPr>
              <w:t>Солнце - ближайшая к нам звезда, источник света и тепла для всего живого на Земле. Характеристика планет Солнечной системы. Естественные спутники планет. Смена дня и ночи на Земле. Вращение Земли как причина смены дня и ночи. Обращение Земли вокруг Солнца и смена времен года</w:t>
            </w:r>
          </w:p>
        </w:tc>
      </w:tr>
      <w:tr w14:paraId="743471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077" w:type="dxa"/>
          </w:tcPr>
          <w:p w14:paraId="155616F0">
            <w:pPr>
              <w:pStyle w:val="85"/>
              <w:jc w:val="center"/>
              <w:rPr>
                <w:color w:val="auto"/>
                <w:sz w:val="22"/>
                <w:szCs w:val="22"/>
              </w:rPr>
            </w:pPr>
            <w:r>
              <w:rPr>
                <w:color w:val="auto"/>
                <w:sz w:val="22"/>
                <w:szCs w:val="22"/>
              </w:rPr>
              <w:t>2.3</w:t>
            </w:r>
          </w:p>
        </w:tc>
        <w:tc>
          <w:tcPr>
            <w:tcW w:w="7994" w:type="dxa"/>
          </w:tcPr>
          <w:p w14:paraId="3F447A07">
            <w:pPr>
              <w:pStyle w:val="85"/>
              <w:jc w:val="both"/>
              <w:rPr>
                <w:color w:val="auto"/>
                <w:sz w:val="22"/>
                <w:szCs w:val="22"/>
              </w:rPr>
            </w:pPr>
            <w:r>
              <w:rPr>
                <w:color w:val="auto"/>
                <w:sz w:val="22"/>
                <w:szCs w:val="22"/>
              </w:rPr>
              <w:t>Формы земной поверхности: равнины, горы, холмы, овраги (общее представление, условное обозначение равнин и гор на карте)</w:t>
            </w:r>
          </w:p>
        </w:tc>
      </w:tr>
      <w:tr w14:paraId="715283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077" w:type="dxa"/>
          </w:tcPr>
          <w:p w14:paraId="658B4D2F">
            <w:pPr>
              <w:pStyle w:val="85"/>
              <w:jc w:val="center"/>
              <w:rPr>
                <w:color w:val="auto"/>
                <w:sz w:val="22"/>
                <w:szCs w:val="22"/>
              </w:rPr>
            </w:pPr>
            <w:r>
              <w:rPr>
                <w:color w:val="auto"/>
                <w:sz w:val="22"/>
                <w:szCs w:val="22"/>
              </w:rPr>
              <w:t>2.4</w:t>
            </w:r>
          </w:p>
        </w:tc>
        <w:tc>
          <w:tcPr>
            <w:tcW w:w="7994" w:type="dxa"/>
          </w:tcPr>
          <w:p w14:paraId="26732861">
            <w:pPr>
              <w:pStyle w:val="85"/>
              <w:jc w:val="both"/>
              <w:rPr>
                <w:color w:val="auto"/>
                <w:sz w:val="22"/>
                <w:szCs w:val="22"/>
              </w:rPr>
            </w:pPr>
            <w:r>
              <w:rPr>
                <w:color w:val="auto"/>
                <w:sz w:val="22"/>
                <w:szCs w:val="22"/>
              </w:rPr>
              <w:t>Равнины и горы России. Особенности поверхности родного края (краткая характеристика на основе наблюдений)</w:t>
            </w:r>
          </w:p>
        </w:tc>
      </w:tr>
      <w:tr w14:paraId="3FB847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077" w:type="dxa"/>
          </w:tcPr>
          <w:p w14:paraId="3AC4A346">
            <w:pPr>
              <w:pStyle w:val="85"/>
              <w:jc w:val="center"/>
              <w:rPr>
                <w:color w:val="auto"/>
                <w:sz w:val="22"/>
                <w:szCs w:val="22"/>
              </w:rPr>
            </w:pPr>
            <w:r>
              <w:rPr>
                <w:color w:val="auto"/>
                <w:sz w:val="22"/>
                <w:szCs w:val="22"/>
              </w:rPr>
              <w:t>2.5</w:t>
            </w:r>
          </w:p>
        </w:tc>
        <w:tc>
          <w:tcPr>
            <w:tcW w:w="7994" w:type="dxa"/>
          </w:tcPr>
          <w:p w14:paraId="32D2D72C">
            <w:pPr>
              <w:pStyle w:val="85"/>
              <w:jc w:val="both"/>
              <w:rPr>
                <w:color w:val="auto"/>
                <w:sz w:val="22"/>
                <w:szCs w:val="22"/>
              </w:rPr>
            </w:pPr>
            <w:r>
              <w:rPr>
                <w:color w:val="auto"/>
                <w:sz w:val="22"/>
                <w:szCs w:val="22"/>
              </w:rPr>
              <w:t>Водоемы, их разнообразие (океан, море, озеро, пруд, болото); река как водный поток; использование рек и водоемов человеком</w:t>
            </w:r>
          </w:p>
        </w:tc>
      </w:tr>
      <w:tr w14:paraId="0047AF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077" w:type="dxa"/>
          </w:tcPr>
          <w:p w14:paraId="656995D0">
            <w:pPr>
              <w:pStyle w:val="85"/>
              <w:jc w:val="center"/>
              <w:rPr>
                <w:color w:val="auto"/>
                <w:sz w:val="22"/>
                <w:szCs w:val="22"/>
              </w:rPr>
            </w:pPr>
            <w:r>
              <w:rPr>
                <w:color w:val="auto"/>
                <w:sz w:val="22"/>
                <w:szCs w:val="22"/>
              </w:rPr>
              <w:t>2.6</w:t>
            </w:r>
          </w:p>
        </w:tc>
        <w:tc>
          <w:tcPr>
            <w:tcW w:w="7994" w:type="dxa"/>
          </w:tcPr>
          <w:p w14:paraId="5EBB060E">
            <w:pPr>
              <w:pStyle w:val="85"/>
              <w:jc w:val="both"/>
              <w:rPr>
                <w:color w:val="auto"/>
                <w:sz w:val="22"/>
                <w:szCs w:val="22"/>
              </w:rPr>
            </w:pPr>
            <w:r>
              <w:rPr>
                <w:color w:val="auto"/>
                <w:sz w:val="22"/>
                <w:szCs w:val="22"/>
              </w:rPr>
              <w:t>Крупнейшие реки и озера России, моря, омывающие ее берега, океаны. Водоемы и реки родного края (названия, краткая характеристика на основе наблюдений)</w:t>
            </w:r>
          </w:p>
        </w:tc>
      </w:tr>
      <w:tr w14:paraId="208ACB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077" w:type="dxa"/>
          </w:tcPr>
          <w:p w14:paraId="34862030">
            <w:pPr>
              <w:pStyle w:val="85"/>
              <w:jc w:val="center"/>
              <w:rPr>
                <w:color w:val="auto"/>
                <w:sz w:val="22"/>
                <w:szCs w:val="22"/>
              </w:rPr>
            </w:pPr>
            <w:r>
              <w:rPr>
                <w:color w:val="auto"/>
                <w:sz w:val="22"/>
                <w:szCs w:val="22"/>
              </w:rPr>
              <w:t>2.7</w:t>
            </w:r>
          </w:p>
        </w:tc>
        <w:tc>
          <w:tcPr>
            <w:tcW w:w="7994" w:type="dxa"/>
          </w:tcPr>
          <w:p w14:paraId="4ED05C15">
            <w:pPr>
              <w:pStyle w:val="85"/>
              <w:jc w:val="both"/>
              <w:rPr>
                <w:color w:val="auto"/>
                <w:sz w:val="22"/>
                <w:szCs w:val="22"/>
              </w:rPr>
            </w:pPr>
            <w:r>
              <w:rPr>
                <w:color w:val="auto"/>
                <w:sz w:val="22"/>
                <w:szCs w:val="22"/>
              </w:rPr>
              <w:t>Наиболее значимые природные объекты списка Всемирного наследия в России и за рубежом (2 - 3 объекта)</w:t>
            </w:r>
          </w:p>
        </w:tc>
      </w:tr>
      <w:tr w14:paraId="1FB936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077" w:type="dxa"/>
          </w:tcPr>
          <w:p w14:paraId="1F901319">
            <w:pPr>
              <w:pStyle w:val="85"/>
              <w:jc w:val="center"/>
              <w:rPr>
                <w:color w:val="auto"/>
                <w:sz w:val="22"/>
                <w:szCs w:val="22"/>
              </w:rPr>
            </w:pPr>
            <w:r>
              <w:rPr>
                <w:color w:val="auto"/>
                <w:sz w:val="22"/>
                <w:szCs w:val="22"/>
              </w:rPr>
              <w:t>2.8</w:t>
            </w:r>
          </w:p>
        </w:tc>
        <w:tc>
          <w:tcPr>
            <w:tcW w:w="7994" w:type="dxa"/>
          </w:tcPr>
          <w:p w14:paraId="40BC6967">
            <w:pPr>
              <w:pStyle w:val="85"/>
              <w:jc w:val="both"/>
              <w:rPr>
                <w:color w:val="auto"/>
                <w:sz w:val="22"/>
                <w:szCs w:val="22"/>
              </w:rPr>
            </w:pPr>
            <w:r>
              <w:rPr>
                <w:color w:val="auto"/>
                <w:sz w:val="22"/>
                <w:szCs w:val="22"/>
              </w:rPr>
              <w:t>Природные зоны России: общее представление, основные природные зоны (климат, растительный и животный мир, особенности труда и быта людей, влияние человека на природу изучаемых зон, охрана природы). Связи в природных зонах</w:t>
            </w:r>
          </w:p>
        </w:tc>
      </w:tr>
      <w:tr w14:paraId="4314BB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077" w:type="dxa"/>
          </w:tcPr>
          <w:p w14:paraId="79E0C323">
            <w:pPr>
              <w:pStyle w:val="85"/>
              <w:jc w:val="center"/>
              <w:rPr>
                <w:color w:val="auto"/>
                <w:sz w:val="22"/>
                <w:szCs w:val="22"/>
              </w:rPr>
            </w:pPr>
            <w:r>
              <w:rPr>
                <w:color w:val="auto"/>
                <w:sz w:val="22"/>
                <w:szCs w:val="22"/>
              </w:rPr>
              <w:t>2.9</w:t>
            </w:r>
          </w:p>
        </w:tc>
        <w:tc>
          <w:tcPr>
            <w:tcW w:w="7994" w:type="dxa"/>
          </w:tcPr>
          <w:p w14:paraId="763FE63D">
            <w:pPr>
              <w:pStyle w:val="85"/>
              <w:jc w:val="both"/>
              <w:rPr>
                <w:color w:val="auto"/>
                <w:sz w:val="22"/>
                <w:szCs w:val="22"/>
              </w:rPr>
            </w:pPr>
            <w:r>
              <w:rPr>
                <w:color w:val="auto"/>
                <w:sz w:val="22"/>
                <w:szCs w:val="22"/>
              </w:rPr>
              <w:t>Некоторые доступные для понимания экологические проблемы взаимодействия человека и природы. Охрана природных богатств: воды, воздуха, полезных ископаемых, растительного и животного мира</w:t>
            </w:r>
          </w:p>
        </w:tc>
      </w:tr>
      <w:tr w14:paraId="437023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077" w:type="dxa"/>
          </w:tcPr>
          <w:p w14:paraId="6C885C3F">
            <w:pPr>
              <w:pStyle w:val="85"/>
              <w:jc w:val="center"/>
              <w:rPr>
                <w:color w:val="auto"/>
                <w:sz w:val="22"/>
                <w:szCs w:val="22"/>
              </w:rPr>
            </w:pPr>
            <w:r>
              <w:rPr>
                <w:color w:val="auto"/>
                <w:sz w:val="22"/>
                <w:szCs w:val="22"/>
              </w:rPr>
              <w:t>2.10</w:t>
            </w:r>
          </w:p>
        </w:tc>
        <w:tc>
          <w:tcPr>
            <w:tcW w:w="7994" w:type="dxa"/>
          </w:tcPr>
          <w:p w14:paraId="6F5DBE14">
            <w:pPr>
              <w:pStyle w:val="85"/>
              <w:jc w:val="both"/>
              <w:rPr>
                <w:color w:val="auto"/>
                <w:sz w:val="22"/>
                <w:szCs w:val="22"/>
              </w:rPr>
            </w:pPr>
            <w:r>
              <w:rPr>
                <w:color w:val="auto"/>
                <w:sz w:val="22"/>
                <w:szCs w:val="22"/>
              </w:rPr>
              <w:t>Правила нравственного поведения в природе. Международная Красная книга (отдельные примеры)</w:t>
            </w:r>
          </w:p>
        </w:tc>
      </w:tr>
      <w:tr w14:paraId="02B94D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077" w:type="dxa"/>
          </w:tcPr>
          <w:p w14:paraId="2F9B1C6F">
            <w:pPr>
              <w:pStyle w:val="85"/>
              <w:jc w:val="center"/>
              <w:rPr>
                <w:color w:val="auto"/>
                <w:sz w:val="22"/>
                <w:szCs w:val="22"/>
              </w:rPr>
            </w:pPr>
            <w:r>
              <w:rPr>
                <w:color w:val="auto"/>
                <w:sz w:val="22"/>
                <w:szCs w:val="22"/>
              </w:rPr>
              <w:t>3</w:t>
            </w:r>
          </w:p>
        </w:tc>
        <w:tc>
          <w:tcPr>
            <w:tcW w:w="7994" w:type="dxa"/>
          </w:tcPr>
          <w:p w14:paraId="46EDDA1F">
            <w:pPr>
              <w:pStyle w:val="85"/>
              <w:jc w:val="both"/>
              <w:rPr>
                <w:color w:val="auto"/>
                <w:sz w:val="22"/>
                <w:szCs w:val="22"/>
              </w:rPr>
            </w:pPr>
            <w:r>
              <w:rPr>
                <w:color w:val="auto"/>
                <w:sz w:val="22"/>
                <w:szCs w:val="22"/>
              </w:rPr>
              <w:t>Правила безопасной жизнедеятельности</w:t>
            </w:r>
          </w:p>
        </w:tc>
      </w:tr>
      <w:tr w14:paraId="0B66A7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077" w:type="dxa"/>
          </w:tcPr>
          <w:p w14:paraId="327D0632">
            <w:pPr>
              <w:pStyle w:val="85"/>
              <w:jc w:val="center"/>
              <w:rPr>
                <w:color w:val="auto"/>
                <w:sz w:val="22"/>
                <w:szCs w:val="22"/>
              </w:rPr>
            </w:pPr>
            <w:r>
              <w:rPr>
                <w:color w:val="auto"/>
                <w:sz w:val="22"/>
                <w:szCs w:val="22"/>
              </w:rPr>
              <w:t>3.1</w:t>
            </w:r>
          </w:p>
        </w:tc>
        <w:tc>
          <w:tcPr>
            <w:tcW w:w="7994" w:type="dxa"/>
          </w:tcPr>
          <w:p w14:paraId="43D8A2B4">
            <w:pPr>
              <w:pStyle w:val="85"/>
              <w:jc w:val="both"/>
              <w:rPr>
                <w:color w:val="auto"/>
                <w:sz w:val="22"/>
                <w:szCs w:val="22"/>
              </w:rPr>
            </w:pPr>
            <w:r>
              <w:rPr>
                <w:color w:val="auto"/>
                <w:sz w:val="22"/>
                <w:szCs w:val="22"/>
              </w:rPr>
              <w:t>Здоровый образ жизни: профилактика вредных привычек</w:t>
            </w:r>
          </w:p>
        </w:tc>
      </w:tr>
      <w:tr w14:paraId="3680F4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077" w:type="dxa"/>
          </w:tcPr>
          <w:p w14:paraId="396622C9">
            <w:pPr>
              <w:pStyle w:val="85"/>
              <w:jc w:val="center"/>
              <w:rPr>
                <w:color w:val="auto"/>
                <w:sz w:val="22"/>
                <w:szCs w:val="22"/>
              </w:rPr>
            </w:pPr>
            <w:r>
              <w:rPr>
                <w:color w:val="auto"/>
                <w:sz w:val="22"/>
                <w:szCs w:val="22"/>
              </w:rPr>
              <w:t>3.2</w:t>
            </w:r>
          </w:p>
        </w:tc>
        <w:tc>
          <w:tcPr>
            <w:tcW w:w="7994" w:type="dxa"/>
          </w:tcPr>
          <w:p w14:paraId="2D18EC26">
            <w:pPr>
              <w:pStyle w:val="85"/>
              <w:jc w:val="both"/>
              <w:rPr>
                <w:color w:val="auto"/>
                <w:sz w:val="22"/>
                <w:szCs w:val="22"/>
              </w:rPr>
            </w:pPr>
            <w:r>
              <w:rPr>
                <w:color w:val="auto"/>
                <w:sz w:val="22"/>
                <w:szCs w:val="22"/>
              </w:rPr>
              <w:t>Безопасность в городе (планирование маршрутов с учетом транспортной инфраструктуры города; правила безопасного поведения в общественных местах, зонах отдыха, учреждениях культуры)</w:t>
            </w:r>
          </w:p>
        </w:tc>
      </w:tr>
      <w:tr w14:paraId="2817F3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077" w:type="dxa"/>
          </w:tcPr>
          <w:p w14:paraId="2A88EE7D">
            <w:pPr>
              <w:pStyle w:val="85"/>
              <w:jc w:val="center"/>
              <w:rPr>
                <w:color w:val="auto"/>
                <w:sz w:val="22"/>
                <w:szCs w:val="22"/>
              </w:rPr>
            </w:pPr>
            <w:r>
              <w:rPr>
                <w:color w:val="auto"/>
                <w:sz w:val="22"/>
                <w:szCs w:val="22"/>
              </w:rPr>
              <w:t>3.3</w:t>
            </w:r>
          </w:p>
        </w:tc>
        <w:tc>
          <w:tcPr>
            <w:tcW w:w="7994" w:type="dxa"/>
          </w:tcPr>
          <w:p w14:paraId="27CAFC4D">
            <w:pPr>
              <w:pStyle w:val="85"/>
              <w:jc w:val="both"/>
              <w:rPr>
                <w:color w:val="auto"/>
                <w:sz w:val="22"/>
                <w:szCs w:val="22"/>
              </w:rPr>
            </w:pPr>
            <w:r>
              <w:rPr>
                <w:color w:val="auto"/>
                <w:sz w:val="22"/>
                <w:szCs w:val="22"/>
              </w:rPr>
              <w:t>Правила безопасного поведения велосипедиста с учетом дорожных знаков и разметки, сигналов и средств защиты велосипедиста, правила использования самоката и других средств индивидуальной мобильности</w:t>
            </w:r>
          </w:p>
        </w:tc>
      </w:tr>
      <w:tr w14:paraId="22BA6A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077" w:type="dxa"/>
          </w:tcPr>
          <w:p w14:paraId="3510924C">
            <w:pPr>
              <w:pStyle w:val="85"/>
              <w:jc w:val="center"/>
              <w:rPr>
                <w:color w:val="auto"/>
                <w:sz w:val="22"/>
                <w:szCs w:val="22"/>
              </w:rPr>
            </w:pPr>
            <w:r>
              <w:rPr>
                <w:color w:val="auto"/>
                <w:sz w:val="22"/>
                <w:szCs w:val="22"/>
              </w:rPr>
              <w:t>3.4</w:t>
            </w:r>
          </w:p>
        </w:tc>
        <w:tc>
          <w:tcPr>
            <w:tcW w:w="7994" w:type="dxa"/>
          </w:tcPr>
          <w:p w14:paraId="2294E26A">
            <w:pPr>
              <w:pStyle w:val="85"/>
              <w:jc w:val="both"/>
              <w:rPr>
                <w:color w:val="auto"/>
                <w:sz w:val="22"/>
                <w:szCs w:val="22"/>
              </w:rPr>
            </w:pPr>
            <w:r>
              <w:rPr>
                <w:color w:val="auto"/>
                <w:sz w:val="22"/>
                <w:szCs w:val="22"/>
              </w:rPr>
              <w:t>Безопасность в сети Интернет (поиск достоверной информации, опознавание государственных образовательных ресурсов и детских развлекательных порталов) в условиях контролируемого доступа в сеть Интернет</w:t>
            </w:r>
          </w:p>
        </w:tc>
      </w:tr>
    </w:tbl>
    <w:p w14:paraId="18F3750B">
      <w:pPr>
        <w:widowControl/>
        <w:spacing w:after="0" w:line="355" w:lineRule="auto"/>
        <w:jc w:val="both"/>
        <w:rPr>
          <w:rFonts w:ascii="Times New Roman" w:hAnsi="Times New Roman" w:eastAsia="Times New Roman"/>
          <w:lang w:eastAsia="ru-RU"/>
        </w:rPr>
      </w:pPr>
    </w:p>
    <w:p w14:paraId="51CB4B09">
      <w:pPr>
        <w:pStyle w:val="2"/>
        <w:pBdr>
          <w:bottom w:val="none" w:color="auto" w:sz="0" w:space="0"/>
        </w:pBdr>
        <w:spacing w:before="0" w:line="360" w:lineRule="auto"/>
        <w:ind w:firstLine="708"/>
        <w:jc w:val="both"/>
        <w:rPr>
          <w:b w:val="0"/>
          <w:sz w:val="22"/>
          <w:szCs w:val="22"/>
          <w:lang w:eastAsia="ru-RU"/>
        </w:rPr>
      </w:pPr>
      <w:r>
        <w:rPr>
          <w:b w:val="0"/>
          <w:sz w:val="22"/>
          <w:szCs w:val="22"/>
          <w:lang w:eastAsia="ru-RU"/>
        </w:rPr>
        <w:t>12. Рабочая программа по учебному предмету «Основы религиозных культур и светской этики».</w:t>
      </w:r>
    </w:p>
    <w:p w14:paraId="3E3B2580">
      <w:pPr>
        <w:pStyle w:val="67"/>
        <w:widowControl/>
        <w:spacing w:after="0" w:line="360" w:lineRule="auto"/>
        <w:ind w:left="0" w:firstLine="709"/>
        <w:jc w:val="both"/>
        <w:rPr>
          <w:rFonts w:ascii="Times New Roman" w:hAnsi="Times New Roman" w:eastAsia="Times New Roman"/>
          <w:lang w:eastAsia="ru-RU"/>
        </w:rPr>
      </w:pPr>
      <w:r>
        <w:rPr>
          <w:rFonts w:ascii="Times New Roman" w:hAnsi="Times New Roman" w:eastAsia="Times New Roman"/>
          <w:lang w:eastAsia="ru-RU"/>
        </w:rPr>
        <w:t>12.1. Рабочая программа по учебному предмету «Основы религиозных культур и светской этики» (предметная область «Основы религиозных культур и светской этики») (далее соответственно – программа по ОРКСЭ, ОРКСЭ) включает пояснительную записку, содержание обучения, планируемые результаты освоения программы по основам религиозных культур и светской этики.</w:t>
      </w:r>
    </w:p>
    <w:p w14:paraId="6DD8F971">
      <w:pPr>
        <w:pStyle w:val="67"/>
        <w:widowControl/>
        <w:spacing w:after="0" w:line="360" w:lineRule="auto"/>
        <w:ind w:left="0" w:firstLine="709"/>
        <w:jc w:val="both"/>
        <w:rPr>
          <w:rFonts w:ascii="Times New Roman" w:hAnsi="Times New Roman" w:eastAsia="Times New Roman"/>
          <w:lang w:eastAsia="ru-RU"/>
        </w:rPr>
      </w:pPr>
      <w:r>
        <w:rPr>
          <w:rFonts w:ascii="Times New Roman" w:hAnsi="Times New Roman" w:eastAsia="Times New Roman"/>
          <w:lang w:eastAsia="ru-RU"/>
        </w:rPr>
        <w:t>12.2. Пояснительная записка отражает общие цели и задачи изучения ОРКСЭ, место в структуре учебного плана, а также подходы к отбору содержания и планируемым результатам.</w:t>
      </w:r>
    </w:p>
    <w:p w14:paraId="6DD2B4BB">
      <w:pPr>
        <w:pStyle w:val="67"/>
        <w:widowControl/>
        <w:spacing w:after="0" w:line="360" w:lineRule="auto"/>
        <w:ind w:left="0" w:firstLine="709"/>
        <w:jc w:val="both"/>
        <w:rPr>
          <w:rFonts w:ascii="Times New Roman" w:hAnsi="Times New Roman" w:eastAsia="Times New Roman"/>
          <w:lang w:eastAsia="ru-RU"/>
        </w:rPr>
      </w:pPr>
      <w:r>
        <w:rPr>
          <w:rFonts w:ascii="Times New Roman" w:hAnsi="Times New Roman" w:eastAsia="Times New Roman"/>
          <w:lang w:eastAsia="ru-RU"/>
        </w:rPr>
        <w:t xml:space="preserve">12.3. Содержание обучения раскрывает содержательные линии, которые предлагаются для обязательного изучения в 4 классе на уровне начального общего образования. </w:t>
      </w:r>
    </w:p>
    <w:p w14:paraId="1A975A86">
      <w:pPr>
        <w:pStyle w:val="67"/>
        <w:widowControl/>
        <w:spacing w:after="0" w:line="360" w:lineRule="auto"/>
        <w:ind w:left="0" w:firstLine="709"/>
        <w:jc w:val="both"/>
        <w:rPr>
          <w:rFonts w:ascii="Times New Roman" w:hAnsi="Times New Roman" w:eastAsia="Times New Roman"/>
          <w:lang w:eastAsia="ru-RU"/>
        </w:rPr>
      </w:pPr>
      <w:r>
        <w:rPr>
          <w:rFonts w:ascii="Times New Roman" w:hAnsi="Times New Roman" w:eastAsia="Times New Roman"/>
          <w:lang w:eastAsia="ru-RU"/>
        </w:rPr>
        <w:t>12.4. Планируемые результаты освоения программы по ОРКСЭ включают личностные, метапредметные результаты, а также предметные достижения обучающегося за весь период обучения на уровне начального общего образования.</w:t>
      </w:r>
    </w:p>
    <w:p w14:paraId="73D69FC4">
      <w:pPr>
        <w:pStyle w:val="67"/>
        <w:widowControl/>
        <w:spacing w:after="0" w:line="360" w:lineRule="auto"/>
        <w:ind w:left="0" w:firstLine="709"/>
        <w:jc w:val="both"/>
        <w:rPr>
          <w:rFonts w:ascii="Times New Roman" w:hAnsi="Times New Roman" w:eastAsia="Times New Roman"/>
          <w:lang w:eastAsia="ru-RU"/>
        </w:rPr>
      </w:pPr>
      <w:r>
        <w:rPr>
          <w:rFonts w:ascii="Times New Roman" w:hAnsi="Times New Roman" w:eastAsia="Times New Roman"/>
          <w:lang w:eastAsia="ru-RU"/>
        </w:rPr>
        <w:t>12.5. Пояснительная записка.</w:t>
      </w:r>
    </w:p>
    <w:p w14:paraId="5DFBE905">
      <w:pPr>
        <w:pStyle w:val="67"/>
        <w:widowControl/>
        <w:spacing w:after="0" w:line="360" w:lineRule="auto"/>
        <w:ind w:left="0" w:firstLine="709"/>
        <w:jc w:val="both"/>
        <w:rPr>
          <w:rFonts w:ascii="Times New Roman" w:hAnsi="Times New Roman" w:eastAsia="Times New Roman"/>
          <w:lang w:eastAsia="ru-RU"/>
        </w:rPr>
      </w:pPr>
      <w:r>
        <w:rPr>
          <w:rFonts w:ascii="Times New Roman" w:hAnsi="Times New Roman" w:eastAsia="Times New Roman"/>
          <w:lang w:eastAsia="ru-RU"/>
        </w:rPr>
        <w:t xml:space="preserve">12.5.1. Программа по ОРКСЭ на уровне начального общего образования составлена на основе требований к результатам освоения основной образовательной программы начального общего образования ФГОС НОО, а также ориентирована на целевые приоритеты духовно-нравственного развития, воспитания и социализации обучающихся, сформулированные в федеральной </w:t>
      </w:r>
      <w:r>
        <w:rPr>
          <w:rFonts w:ascii="Times New Roman" w:hAnsi="Times New Roman" w:eastAsia="SchoolBookSanPin"/>
        </w:rPr>
        <w:t xml:space="preserve">рабочей </w:t>
      </w:r>
      <w:r>
        <w:rPr>
          <w:rFonts w:ascii="Times New Roman" w:hAnsi="Times New Roman" w:eastAsia="Times New Roman"/>
          <w:lang w:eastAsia="ru-RU"/>
        </w:rPr>
        <w:t>программе воспитания.</w:t>
      </w:r>
    </w:p>
    <w:p w14:paraId="0084B902">
      <w:pPr>
        <w:pStyle w:val="67"/>
        <w:widowControl/>
        <w:spacing w:after="0" w:line="360" w:lineRule="auto"/>
        <w:ind w:left="0" w:firstLine="709"/>
        <w:jc w:val="both"/>
        <w:rPr>
          <w:rFonts w:ascii="Times New Roman" w:hAnsi="Times New Roman" w:eastAsia="Times New Roman"/>
          <w:lang w:eastAsia="ru-RU"/>
        </w:rPr>
      </w:pPr>
      <w:r>
        <w:rPr>
          <w:rFonts w:ascii="Times New Roman" w:hAnsi="Times New Roman" w:eastAsia="Times New Roman"/>
          <w:lang w:eastAsia="ru-RU"/>
        </w:rPr>
        <w:t xml:space="preserve">12.5.2. Программа по ОРКСЭ состоит из учебных модулей по выбору: «Основы православной культуры», «Основы исламской культуры», «Основы буддийской культуры», «Основы иудейской культуры», «Основы религиозных культур народов России», «Основы светской этики». Выбор модуля осуществляется по заявлению родителей (законных представителей) несовершеннолетних обучающихся. </w:t>
      </w:r>
    </w:p>
    <w:p w14:paraId="6AAD04D5">
      <w:pPr>
        <w:pStyle w:val="67"/>
        <w:widowControl/>
        <w:spacing w:after="0" w:line="360" w:lineRule="auto"/>
        <w:ind w:left="0" w:firstLine="709"/>
        <w:jc w:val="both"/>
        <w:rPr>
          <w:rFonts w:ascii="Times New Roman" w:hAnsi="Times New Roman" w:eastAsia="Times New Roman"/>
          <w:lang w:eastAsia="ru-RU"/>
        </w:rPr>
      </w:pPr>
      <w:r>
        <w:rPr>
          <w:rFonts w:ascii="Times New Roman" w:hAnsi="Times New Roman" w:eastAsia="Times New Roman"/>
          <w:lang w:eastAsia="ru-RU"/>
        </w:rPr>
        <w:t xml:space="preserve">12.5.3. Планируемые результаты освоения курса ОРКСЭ включают результаты по каждому учебному модулю. При конструировании планируемых результатов учитываются цели обучения, требования, которые представлены в </w:t>
      </w:r>
      <w:r>
        <w:rPr>
          <w:rFonts w:ascii="Times New Roman" w:hAnsi="Times New Roman"/>
        </w:rPr>
        <w:t>ФГОС НОО</w:t>
      </w:r>
      <w:r>
        <w:rPr>
          <w:rFonts w:ascii="Times New Roman" w:hAnsi="Times New Roman" w:eastAsia="Times New Roman"/>
          <w:lang w:eastAsia="ru-RU"/>
        </w:rPr>
        <w:t>, и специфика содержания каждого учебного модуля. Общие результаты содержат перечень личностных и метапредметных достижений, которые приобретает каждый обучающийся независимо от изучаемого модуля. Поскольку предмет изучается один год (4 класс), все результаты обучения представляются за этот период. Целью программы по ОРКСЭ является формирование у обучающегося мотивации к осознанному нравственному поведению, основанному на знании и уважении культурных и религиозных традиций многонационального народа Российской Федерации, а также к диалогу с представителями других культур и мировоззрений.</w:t>
      </w:r>
    </w:p>
    <w:p w14:paraId="452FDA41">
      <w:pPr>
        <w:pStyle w:val="67"/>
        <w:widowControl/>
        <w:spacing w:after="0" w:line="360" w:lineRule="auto"/>
        <w:ind w:left="0" w:firstLine="709"/>
        <w:jc w:val="both"/>
        <w:rPr>
          <w:rFonts w:ascii="Times New Roman" w:hAnsi="Times New Roman" w:eastAsia="Times New Roman"/>
          <w:lang w:eastAsia="ru-RU"/>
        </w:rPr>
      </w:pPr>
      <w:r>
        <w:rPr>
          <w:rFonts w:ascii="Times New Roman" w:hAnsi="Times New Roman" w:eastAsia="Times New Roman"/>
          <w:lang w:eastAsia="ru-RU"/>
        </w:rPr>
        <w:t>12.5.4. Основными задачами программы по ОРКСЭ являются:</w:t>
      </w:r>
    </w:p>
    <w:p w14:paraId="79C14145">
      <w:pPr>
        <w:pStyle w:val="67"/>
        <w:widowControl/>
        <w:spacing w:after="0" w:line="360" w:lineRule="auto"/>
        <w:ind w:left="0" w:firstLine="709"/>
        <w:jc w:val="both"/>
        <w:rPr>
          <w:rFonts w:ascii="Times New Roman" w:hAnsi="Times New Roman" w:eastAsia="Times New Roman"/>
          <w:lang w:eastAsia="ru-RU"/>
        </w:rPr>
      </w:pPr>
      <w:r>
        <w:rPr>
          <w:rFonts w:ascii="Times New Roman" w:hAnsi="Times New Roman" w:eastAsia="Times New Roman"/>
          <w:lang w:eastAsia="ru-RU"/>
        </w:rPr>
        <w:t>знакомство обучающихся с основами православной, мусульманской, буддийской, иудейской культур, основами мировых религиозных культур и светской этики по выбору родителей (законных представителей);</w:t>
      </w:r>
    </w:p>
    <w:p w14:paraId="0D20D5F5">
      <w:pPr>
        <w:pStyle w:val="67"/>
        <w:widowControl/>
        <w:spacing w:after="0" w:line="360" w:lineRule="auto"/>
        <w:ind w:left="0" w:firstLine="709"/>
        <w:jc w:val="both"/>
        <w:rPr>
          <w:rFonts w:ascii="Times New Roman" w:hAnsi="Times New Roman" w:eastAsia="Times New Roman"/>
          <w:lang w:eastAsia="ru-RU"/>
        </w:rPr>
      </w:pPr>
      <w:r>
        <w:rPr>
          <w:rFonts w:ascii="Times New Roman" w:hAnsi="Times New Roman" w:eastAsia="Times New Roman"/>
          <w:lang w:eastAsia="ru-RU"/>
        </w:rPr>
        <w:t>развитие представлений обучающихся о значении нравственных норм и ценностей в жизни личности, семьи, общества;</w:t>
      </w:r>
    </w:p>
    <w:p w14:paraId="573A973D">
      <w:pPr>
        <w:pStyle w:val="67"/>
        <w:widowControl/>
        <w:spacing w:after="0" w:line="360" w:lineRule="auto"/>
        <w:ind w:left="0" w:firstLine="709"/>
        <w:jc w:val="both"/>
        <w:rPr>
          <w:rFonts w:ascii="Times New Roman" w:hAnsi="Times New Roman" w:eastAsia="Times New Roman"/>
          <w:lang w:eastAsia="ru-RU"/>
        </w:rPr>
      </w:pPr>
      <w:r>
        <w:rPr>
          <w:rFonts w:ascii="Times New Roman" w:hAnsi="Times New Roman" w:eastAsia="Times New Roman"/>
          <w:lang w:eastAsia="ru-RU"/>
        </w:rPr>
        <w:t xml:space="preserve">обобщение знаний, понятий и представлений о духовной культуре и морали, ранее полученных </w:t>
      </w:r>
      <w:r>
        <w:rPr>
          <w:rFonts w:ascii="Times New Roman" w:hAnsi="Times New Roman" w:eastAsia="SchoolBookSanPin"/>
        </w:rPr>
        <w:t>обучающимися</w:t>
      </w:r>
      <w:r>
        <w:rPr>
          <w:rFonts w:ascii="Times New Roman" w:hAnsi="Times New Roman" w:eastAsia="Times New Roman"/>
          <w:lang w:eastAsia="ru-RU"/>
        </w:rPr>
        <w:t>, формирование ценностно-смысловой сферы личности с учётом мировоззренческих и культурных особенностей и потребностей семьи;</w:t>
      </w:r>
    </w:p>
    <w:p w14:paraId="075AAC40">
      <w:pPr>
        <w:pStyle w:val="67"/>
        <w:widowControl/>
        <w:spacing w:after="0" w:line="360" w:lineRule="auto"/>
        <w:ind w:left="0" w:firstLine="709"/>
        <w:jc w:val="both"/>
        <w:rPr>
          <w:rFonts w:ascii="Times New Roman" w:hAnsi="Times New Roman" w:eastAsia="Times New Roman"/>
          <w:lang w:eastAsia="ru-RU"/>
        </w:rPr>
      </w:pPr>
      <w:r>
        <w:rPr>
          <w:rFonts w:ascii="Times New Roman" w:hAnsi="Times New Roman" w:eastAsia="Times New Roman"/>
          <w:lang w:eastAsia="ru-RU"/>
        </w:rPr>
        <w:t xml:space="preserve">развитие способностей обучающихся к общению в полиэтничной, разномировоззренческой и многоконфессиональной среде на основе взаимного уважения и диалога. Основной методологический принцип реализации программы по ОРКСЭ – культурологический подход, способствующий формированию у </w:t>
      </w:r>
      <w:r>
        <w:rPr>
          <w:rFonts w:ascii="Times New Roman" w:hAnsi="Times New Roman"/>
        </w:rPr>
        <w:t>обучающихся</w:t>
      </w:r>
      <w:r>
        <w:rPr>
          <w:rFonts w:ascii="Times New Roman" w:hAnsi="Times New Roman" w:eastAsia="Times New Roman"/>
          <w:lang w:eastAsia="ru-RU"/>
        </w:rPr>
        <w:t xml:space="preserve"> первоначальных представлений о культуре традиционных религий народов России (православия, ислама, буддизма, иудаизма), российской светской (гражданской) этике, основанной на конституционных правах, свободах и обязанностях человека и гражданина в Российской Федерации.</w:t>
      </w:r>
    </w:p>
    <w:p w14:paraId="0C1F2B4D">
      <w:pPr>
        <w:pStyle w:val="67"/>
        <w:widowControl/>
        <w:spacing w:after="0" w:line="360" w:lineRule="auto"/>
        <w:ind w:left="0" w:firstLine="709"/>
        <w:jc w:val="both"/>
        <w:rPr>
          <w:rFonts w:ascii="Times New Roman" w:hAnsi="Times New Roman" w:eastAsia="Times New Roman"/>
          <w:lang w:eastAsia="ru-RU"/>
        </w:rPr>
      </w:pPr>
      <w:r>
        <w:rPr>
          <w:rFonts w:ascii="Times New Roman" w:hAnsi="Times New Roman" w:eastAsia="Times New Roman"/>
          <w:lang w:eastAsia="ru-RU"/>
        </w:rPr>
        <w:t>12.5.5. Культурологическая направленность программы по ОРКСЭ</w:t>
      </w:r>
      <w:r>
        <w:rPr>
          <w:rFonts w:ascii="Times New Roman" w:hAnsi="Times New Roman" w:eastAsia="Times New Roman"/>
          <w:strike/>
          <w:lang w:eastAsia="ru-RU"/>
        </w:rPr>
        <w:t xml:space="preserve"> </w:t>
      </w:r>
      <w:r>
        <w:rPr>
          <w:rFonts w:ascii="Times New Roman" w:hAnsi="Times New Roman" w:eastAsia="Times New Roman"/>
          <w:lang w:eastAsia="ru-RU"/>
        </w:rPr>
        <w:t>способствует развитию у обучающихся представлений о нравственных идеалах и ценностях религиозных и светских традиций народов Российской Федерации, формированию ценностного отношения к социальной реальности, осознанию роли буддизма, православия, ислама, иудаизма, светской этики в истории и культуре нашей страны. Коммуникативный подход к преподаванию учебного предмета ОРКСЭ предполагает организацию коммуникативной деятельности обучающихся, требующей от них умения выслушивать позицию партнёра по деятельности, принимать её, согласовывать усилия для достижения поставленной цели, находить вербальные средства передачи информации и рефлексии. Деятельностный подход, основывающийся на принципе диалогичности, осуществляется в процессе активного взаимодействия обучающихся, сотрудничества, обмена информацией, обсуждения разных точек зрения и другие.</w:t>
      </w:r>
    </w:p>
    <w:p w14:paraId="465A53AD">
      <w:pPr>
        <w:pStyle w:val="67"/>
        <w:widowControl/>
        <w:spacing w:after="0" w:line="360" w:lineRule="auto"/>
        <w:ind w:left="0" w:firstLine="709"/>
        <w:jc w:val="both"/>
        <w:rPr>
          <w:rFonts w:ascii="Times New Roman" w:hAnsi="Times New Roman" w:eastAsia="Times New Roman"/>
          <w:lang w:eastAsia="ru-RU"/>
        </w:rPr>
      </w:pPr>
      <w:r>
        <w:rPr>
          <w:rFonts w:ascii="Times New Roman" w:hAnsi="Times New Roman" w:eastAsia="Times New Roman"/>
          <w:lang w:eastAsia="ru-RU"/>
        </w:rPr>
        <w:t xml:space="preserve">12.5.6. Предпосылками усвоения обучающимися содержания программы по ОРКСЭ являются психологические особенности обучающихся, завершающих обучение </w:t>
      </w:r>
      <w:r>
        <w:rPr>
          <w:rFonts w:ascii="Times New Roman" w:hAnsi="Times New Roman" w:eastAsia="SchoolBookSanPin"/>
        </w:rPr>
        <w:t>на уровне начального общего образования</w:t>
      </w:r>
      <w:r>
        <w:rPr>
          <w:rFonts w:ascii="Times New Roman" w:hAnsi="Times New Roman" w:eastAsia="Times New Roman"/>
          <w:lang w:eastAsia="ru-RU"/>
        </w:rPr>
        <w:t>: интерес к социальной жизни, любознательность, принятие авторитета взрослого. Естественная открытость обучающихся уровня начального общего образования, способность эмоционально реагировать на окружающую действительность, остро реагировать как на доброжелательность, отзывчивость, доброту других людей, так и на проявление несправедливости, нанесение обид и оскорблений становится предпосылкой к пониманию законов существования в социуме и принятию их как руководства к собственному поведению. Вместе с тем в процессе обучения необходимо учитывать, что обучающиеся с трудом усваивают абстрактные философские сентенции, нравственные поучения, поэтому особое внимание должно быть уделено эмоциональной стороне восприятия явлений социальной жизни, связанной с проявлением или нарушением нравственных, этических норм, обсуждение конкретных жизненных ситуаций, дающих образцы нравственно ценного поведения.</w:t>
      </w:r>
    </w:p>
    <w:p w14:paraId="3F504141">
      <w:pPr>
        <w:pStyle w:val="67"/>
        <w:widowControl/>
        <w:spacing w:after="0" w:line="360" w:lineRule="auto"/>
        <w:ind w:left="0" w:firstLine="709"/>
        <w:jc w:val="both"/>
        <w:rPr>
          <w:rFonts w:ascii="Times New Roman" w:hAnsi="Times New Roman" w:eastAsia="Times New Roman"/>
          <w:lang w:eastAsia="ru-RU"/>
        </w:rPr>
      </w:pPr>
      <w:r>
        <w:rPr>
          <w:rFonts w:ascii="Times New Roman" w:hAnsi="Times New Roman" w:eastAsia="Times New Roman"/>
          <w:lang w:eastAsia="ru-RU"/>
        </w:rPr>
        <w:t xml:space="preserve">12.5.7. В рамках освоения программы по ОРКСЭ в части преподавания учебных модулей по основам религиозных культур не предусматривается подготовка обучающихся к участию в богослужениях, обучение религиозной практике в религиозной общине </w:t>
      </w:r>
    </w:p>
    <w:p w14:paraId="1568F3CA">
      <w:pPr>
        <w:pStyle w:val="67"/>
        <w:widowControl/>
        <w:spacing w:after="0" w:line="360" w:lineRule="auto"/>
        <w:ind w:left="0" w:firstLine="709"/>
        <w:jc w:val="both"/>
        <w:rPr>
          <w:rFonts w:ascii="Times New Roman" w:hAnsi="Times New Roman" w:eastAsia="Times New Roman"/>
          <w:lang w:eastAsia="ru-RU"/>
        </w:rPr>
      </w:pPr>
      <w:r>
        <w:rPr>
          <w:rFonts w:ascii="Times New Roman" w:hAnsi="Times New Roman" w:eastAsia="Times New Roman"/>
          <w:lang w:eastAsia="ru-RU"/>
        </w:rPr>
        <w:t xml:space="preserve">12.5.8. Общее число часов, </w:t>
      </w:r>
      <w:r>
        <w:rPr>
          <w:rFonts w:ascii="Times New Roman" w:hAnsi="Times New Roman" w:eastAsia="SchoolBookSanPin"/>
        </w:rPr>
        <w:t>рекомендованных для изучения</w:t>
      </w:r>
      <w:r>
        <w:rPr>
          <w:rFonts w:ascii="Times New Roman" w:hAnsi="Times New Roman" w:eastAsia="Times New Roman"/>
          <w:lang w:eastAsia="ru-RU"/>
        </w:rPr>
        <w:t xml:space="preserve"> ОРКСЭ, ‒ 34 часа (один час в неделю в 4 классе).</w:t>
      </w:r>
    </w:p>
    <w:p w14:paraId="4E7E89E4">
      <w:pPr>
        <w:pStyle w:val="67"/>
        <w:widowControl/>
        <w:spacing w:after="0" w:line="360" w:lineRule="auto"/>
        <w:ind w:left="0" w:firstLine="709"/>
        <w:jc w:val="both"/>
        <w:rPr>
          <w:rFonts w:ascii="Times New Roman" w:hAnsi="Times New Roman" w:eastAsia="Times New Roman"/>
          <w:lang w:eastAsia="ru-RU"/>
        </w:rPr>
      </w:pPr>
      <w:r>
        <w:rPr>
          <w:rFonts w:ascii="Times New Roman" w:hAnsi="Times New Roman" w:eastAsia="Times New Roman"/>
          <w:lang w:eastAsia="ru-RU"/>
        </w:rPr>
        <w:t>12.6. Содержание обучения в 4 классе.</w:t>
      </w:r>
    </w:p>
    <w:p w14:paraId="423D9817">
      <w:pPr>
        <w:pStyle w:val="67"/>
        <w:widowControl/>
        <w:spacing w:after="0" w:line="360" w:lineRule="auto"/>
        <w:ind w:left="0" w:firstLine="709"/>
        <w:jc w:val="both"/>
        <w:rPr>
          <w:rFonts w:ascii="Times New Roman" w:hAnsi="Times New Roman" w:eastAsia="Times New Roman"/>
          <w:lang w:eastAsia="ru-RU"/>
        </w:rPr>
      </w:pPr>
      <w:r>
        <w:rPr>
          <w:rFonts w:ascii="Times New Roman" w:hAnsi="Times New Roman" w:eastAsia="Times New Roman"/>
          <w:lang w:eastAsia="ru-RU"/>
        </w:rPr>
        <w:t>12.6.1. Модуль «Основы православной культуры».</w:t>
      </w:r>
    </w:p>
    <w:p w14:paraId="60AC7174">
      <w:pPr>
        <w:pStyle w:val="67"/>
        <w:widowControl/>
        <w:spacing w:after="0" w:line="360" w:lineRule="auto"/>
        <w:ind w:left="0" w:firstLine="709"/>
        <w:jc w:val="both"/>
        <w:rPr>
          <w:rFonts w:ascii="Times New Roman" w:hAnsi="Times New Roman" w:eastAsia="Times New Roman"/>
          <w:lang w:eastAsia="ru-RU"/>
        </w:rPr>
      </w:pPr>
      <w:r>
        <w:rPr>
          <w:rFonts w:ascii="Times New Roman" w:hAnsi="Times New Roman" w:eastAsia="Times New Roman"/>
          <w:lang w:eastAsia="ru-RU"/>
        </w:rPr>
        <w:t>12.6.1.1. Россия – наша Родина. Введение в православную традицию. Культура и религия. Во что верят православные христиане. Добро и зло в православной традиции. Золотое правило нравственности. Любовь к ближнему. Отношение к труду. Долг и ответственность. Милосердие и сострадание. Православие в России. Православный храм и другие святыни. Символический язык православной культуры: христианское искусство (иконы, фрески, церковное пение, прикладное искусство), православный календарь. Праздники. Христианская семья и её ценности.</w:t>
      </w:r>
    </w:p>
    <w:p w14:paraId="49854FAE">
      <w:pPr>
        <w:pStyle w:val="67"/>
        <w:widowControl/>
        <w:spacing w:after="0" w:line="360" w:lineRule="auto"/>
        <w:ind w:left="0" w:firstLine="709"/>
        <w:jc w:val="both"/>
        <w:rPr>
          <w:rFonts w:ascii="Times New Roman" w:hAnsi="Times New Roman" w:eastAsia="Times New Roman"/>
          <w:lang w:eastAsia="ru-RU"/>
        </w:rPr>
      </w:pPr>
      <w:r>
        <w:rPr>
          <w:rFonts w:ascii="Times New Roman" w:hAnsi="Times New Roman" w:eastAsia="Times New Roman"/>
          <w:lang w:eastAsia="ru-RU"/>
        </w:rPr>
        <w:t>12.6.1.2. Любовь и уважение к Отечеству. Патриотизм многонационального и многоконфессионального народа России.</w:t>
      </w:r>
    </w:p>
    <w:p w14:paraId="6114A6E7">
      <w:pPr>
        <w:pStyle w:val="67"/>
        <w:widowControl/>
        <w:spacing w:after="0" w:line="360" w:lineRule="auto"/>
        <w:ind w:left="0" w:firstLine="709"/>
        <w:jc w:val="both"/>
        <w:rPr>
          <w:rFonts w:ascii="Times New Roman" w:hAnsi="Times New Roman" w:eastAsia="Times New Roman"/>
          <w:lang w:eastAsia="ru-RU"/>
        </w:rPr>
      </w:pPr>
      <w:r>
        <w:rPr>
          <w:rFonts w:ascii="Times New Roman" w:hAnsi="Times New Roman" w:eastAsia="Times New Roman"/>
          <w:lang w:eastAsia="ru-RU"/>
        </w:rPr>
        <w:t>12.6.2. Модуль «Основы исламской культуры».</w:t>
      </w:r>
    </w:p>
    <w:p w14:paraId="084354AA">
      <w:pPr>
        <w:pStyle w:val="67"/>
        <w:widowControl/>
        <w:spacing w:after="0" w:line="360" w:lineRule="auto"/>
        <w:ind w:left="0" w:firstLine="709"/>
        <w:jc w:val="both"/>
        <w:rPr>
          <w:rFonts w:ascii="Times New Roman" w:hAnsi="Times New Roman" w:eastAsia="Times New Roman"/>
          <w:lang w:eastAsia="ru-RU"/>
        </w:rPr>
      </w:pPr>
      <w:r>
        <w:rPr>
          <w:rFonts w:ascii="Times New Roman" w:hAnsi="Times New Roman" w:eastAsia="Times New Roman"/>
          <w:lang w:eastAsia="ru-RU"/>
        </w:rPr>
        <w:t>12.6.2.1. Россия – наша Родина. Введение в исламскую традицию. Культура и религия. Пророк Мухаммад – образец человека и учитель нравственности в исламской традиции. Во что верят мусульмане. Добро и зло в исламской традиции. Нравственные основы ислама. Любовь к ближнему. Отношение к труду. Долг и ответственность. Милосердие и сострадание. Столпы ислама. Обязанности мусульман. Для чего построена и как устроена мечеть. Мусульманское летоисчисление и календарь. Ислам в России. Семья в исламе. Праздники исламских народов России: их происхождение и особенности проведения. Искусство ислама.</w:t>
      </w:r>
    </w:p>
    <w:p w14:paraId="67482E82">
      <w:pPr>
        <w:pStyle w:val="67"/>
        <w:widowControl/>
        <w:spacing w:after="0" w:line="360" w:lineRule="auto"/>
        <w:ind w:left="0" w:firstLine="709"/>
        <w:jc w:val="both"/>
        <w:rPr>
          <w:rFonts w:ascii="Times New Roman" w:hAnsi="Times New Roman" w:eastAsia="Times New Roman"/>
          <w:lang w:eastAsia="ru-RU"/>
        </w:rPr>
      </w:pPr>
      <w:r>
        <w:rPr>
          <w:rFonts w:ascii="Times New Roman" w:hAnsi="Times New Roman" w:eastAsia="Times New Roman"/>
          <w:lang w:eastAsia="ru-RU"/>
        </w:rPr>
        <w:t>12.6.2.2. Любовь и уважение к Отечеству. Патриотизм многонационального и многоконфессионального народа России.</w:t>
      </w:r>
    </w:p>
    <w:p w14:paraId="291A294B">
      <w:pPr>
        <w:pStyle w:val="67"/>
        <w:widowControl/>
        <w:spacing w:after="0" w:line="360" w:lineRule="auto"/>
        <w:ind w:left="0" w:firstLine="709"/>
        <w:jc w:val="both"/>
        <w:rPr>
          <w:rFonts w:ascii="Times New Roman" w:hAnsi="Times New Roman" w:eastAsia="Times New Roman"/>
          <w:lang w:eastAsia="ru-RU"/>
        </w:rPr>
      </w:pPr>
      <w:r>
        <w:rPr>
          <w:rFonts w:ascii="Times New Roman" w:hAnsi="Times New Roman" w:eastAsia="Times New Roman"/>
          <w:lang w:eastAsia="ru-RU"/>
        </w:rPr>
        <w:t>12.6.3. Модуль «Основы буддийской культуры».</w:t>
      </w:r>
    </w:p>
    <w:p w14:paraId="2A818408">
      <w:pPr>
        <w:pStyle w:val="67"/>
        <w:widowControl/>
        <w:spacing w:after="0" w:line="360" w:lineRule="auto"/>
        <w:ind w:left="0" w:firstLine="709"/>
        <w:jc w:val="both"/>
        <w:rPr>
          <w:rFonts w:ascii="Times New Roman" w:hAnsi="Times New Roman" w:eastAsia="Times New Roman"/>
          <w:lang w:eastAsia="ru-RU"/>
        </w:rPr>
      </w:pPr>
      <w:r>
        <w:rPr>
          <w:rFonts w:ascii="Times New Roman" w:hAnsi="Times New Roman" w:eastAsia="Times New Roman"/>
          <w:lang w:eastAsia="ru-RU"/>
        </w:rPr>
        <w:t>12.6.3.1. Россия – наша Родина. Введение в буддийскую духовную традицию. Культура и религия. Будда и его учение. Буддийские святыни. Будды и бодхисатвы. Семья в буддийской культуре и её ценности. Буддизм в России. Человек в буддийской картине мира. Буддийские символы. Буддийские ритуалы. Буддийские святыни. Буддийские священные сооружения. Буддийский храм. Буддийский календарь. Праздники в буддийской культуре. Искусство в буддийской культуре.</w:t>
      </w:r>
    </w:p>
    <w:p w14:paraId="1CB2F057">
      <w:pPr>
        <w:pStyle w:val="67"/>
        <w:widowControl/>
        <w:spacing w:after="0" w:line="360" w:lineRule="auto"/>
        <w:ind w:left="0" w:firstLine="709"/>
        <w:jc w:val="both"/>
        <w:rPr>
          <w:rFonts w:ascii="Times New Roman" w:hAnsi="Times New Roman" w:eastAsia="Times New Roman"/>
          <w:lang w:eastAsia="ru-RU"/>
        </w:rPr>
      </w:pPr>
      <w:r>
        <w:rPr>
          <w:rFonts w:ascii="Times New Roman" w:hAnsi="Times New Roman" w:eastAsia="Times New Roman"/>
          <w:lang w:eastAsia="ru-RU"/>
        </w:rPr>
        <w:t>12.6.3.2. Любовь и уважение к Отечеству. Патриотизм многонационального и многоконфессионального народа России.</w:t>
      </w:r>
    </w:p>
    <w:p w14:paraId="2AA00627">
      <w:pPr>
        <w:pStyle w:val="67"/>
        <w:widowControl/>
        <w:spacing w:after="0" w:line="360" w:lineRule="auto"/>
        <w:ind w:left="0" w:firstLine="709"/>
        <w:jc w:val="both"/>
        <w:rPr>
          <w:rFonts w:ascii="Times New Roman" w:hAnsi="Times New Roman" w:eastAsia="Times New Roman"/>
          <w:lang w:eastAsia="ru-RU"/>
        </w:rPr>
      </w:pPr>
      <w:r>
        <w:rPr>
          <w:rFonts w:ascii="Times New Roman" w:hAnsi="Times New Roman" w:eastAsia="Times New Roman"/>
          <w:lang w:eastAsia="ru-RU"/>
        </w:rPr>
        <w:t>12.6.4. Модуль «Основы иудейской культуры».</w:t>
      </w:r>
    </w:p>
    <w:p w14:paraId="4CF6DE56">
      <w:pPr>
        <w:pStyle w:val="67"/>
        <w:widowControl/>
        <w:spacing w:after="0" w:line="360" w:lineRule="auto"/>
        <w:ind w:left="0" w:firstLine="709"/>
        <w:jc w:val="both"/>
        <w:rPr>
          <w:rFonts w:ascii="Times New Roman" w:hAnsi="Times New Roman" w:eastAsia="Times New Roman"/>
          <w:lang w:eastAsia="ru-RU"/>
        </w:rPr>
      </w:pPr>
      <w:r>
        <w:rPr>
          <w:rFonts w:ascii="Times New Roman" w:hAnsi="Times New Roman" w:eastAsia="Times New Roman"/>
          <w:lang w:eastAsia="ru-RU"/>
        </w:rPr>
        <w:t>12.6.4.1. Россия – наша Родина. Введение в иудейскую духовную традицию. Культура и религия. Тора – главная книга иудаизма. Классические тексты иудаизма. Патриархи еврейского народа. Пророки и праведники в иудейской культуре. Храм в жизни иудеев. Назначение синагоги и её устройство. Суббота (Шабат) в иудейской традиции. Иудаизм в России. Традиции иудаизма в повседневной жизни евреев. Ответственное принятие заповедей. Еврейский дом. Еврейский календарь: его устройство и особенности. Еврейские праздники: их история и традиции. Ценности семейной жизни в иудейской традиции.</w:t>
      </w:r>
    </w:p>
    <w:p w14:paraId="1FAEC9F1">
      <w:pPr>
        <w:pStyle w:val="67"/>
        <w:widowControl/>
        <w:spacing w:after="0" w:line="360" w:lineRule="auto"/>
        <w:ind w:left="0" w:firstLine="709"/>
        <w:jc w:val="both"/>
        <w:rPr>
          <w:rFonts w:ascii="Times New Roman" w:hAnsi="Times New Roman" w:eastAsia="Times New Roman"/>
          <w:lang w:eastAsia="ru-RU"/>
        </w:rPr>
      </w:pPr>
      <w:r>
        <w:rPr>
          <w:rFonts w:ascii="Times New Roman" w:hAnsi="Times New Roman" w:eastAsia="Times New Roman"/>
          <w:lang w:eastAsia="ru-RU"/>
        </w:rPr>
        <w:t>12.6.4.2. Любовь и уважение к Отечеству. Патриотизм многонационального и многоконфессионального народа России.</w:t>
      </w:r>
    </w:p>
    <w:p w14:paraId="7AFDD592">
      <w:pPr>
        <w:pStyle w:val="67"/>
        <w:widowControl/>
        <w:spacing w:after="0" w:line="360" w:lineRule="auto"/>
        <w:ind w:left="0" w:firstLine="709"/>
        <w:jc w:val="both"/>
        <w:rPr>
          <w:rFonts w:ascii="Times New Roman" w:hAnsi="Times New Roman" w:eastAsia="Times New Roman"/>
          <w:lang w:eastAsia="ru-RU"/>
        </w:rPr>
      </w:pPr>
      <w:r>
        <w:rPr>
          <w:rFonts w:ascii="Times New Roman" w:hAnsi="Times New Roman" w:eastAsia="Times New Roman"/>
          <w:lang w:eastAsia="ru-RU"/>
        </w:rPr>
        <w:t>12.6.5. Модуль «Основы религиозных культур народов России».</w:t>
      </w:r>
    </w:p>
    <w:p w14:paraId="6464C7E1">
      <w:pPr>
        <w:pStyle w:val="67"/>
        <w:widowControl/>
        <w:spacing w:after="0" w:line="360" w:lineRule="auto"/>
        <w:ind w:left="0" w:firstLine="709"/>
        <w:jc w:val="both"/>
        <w:rPr>
          <w:rFonts w:ascii="Times New Roman" w:hAnsi="Times New Roman" w:eastAsia="Times New Roman"/>
          <w:lang w:eastAsia="ru-RU"/>
        </w:rPr>
      </w:pPr>
      <w:r>
        <w:rPr>
          <w:rFonts w:ascii="Times New Roman" w:hAnsi="Times New Roman" w:eastAsia="Times New Roman"/>
          <w:lang w:eastAsia="ru-RU"/>
        </w:rPr>
        <w:t xml:space="preserve">12.6.5.1. Россия – наша Родина. Культура и религия. Религиозная культура народов России. Мировые религии и иудаизм. Их основатели. Священные книги христианства, ислама, иудаизма, буддизма. Хранители предания в религиях. Человек в религиозных традициях народов России. Добро и зло. Священные сооружения. Искусство в религиозной культуре. Религия и мораль. Нравственные заповеди христианства, ислама, иудаизма, буддизма. Обычаи и обряды. Праздники и календари в религиях. Семья, семейные ценности. Долг, свобода, ответственность, труд. Милосердие, забота о слабых, взаимопомощь, социальные проблемы общества и отношение к ним разных религий. </w:t>
      </w:r>
    </w:p>
    <w:p w14:paraId="1AC7A50A">
      <w:pPr>
        <w:pStyle w:val="67"/>
        <w:widowControl/>
        <w:spacing w:after="0" w:line="360" w:lineRule="auto"/>
        <w:ind w:left="0" w:firstLine="709"/>
        <w:jc w:val="both"/>
        <w:rPr>
          <w:rFonts w:ascii="Times New Roman" w:hAnsi="Times New Roman" w:eastAsia="Times New Roman"/>
          <w:lang w:eastAsia="ru-RU"/>
        </w:rPr>
      </w:pPr>
      <w:r>
        <w:rPr>
          <w:rFonts w:ascii="Times New Roman" w:hAnsi="Times New Roman" w:eastAsia="Times New Roman"/>
          <w:lang w:eastAsia="ru-RU"/>
        </w:rPr>
        <w:t>12.6.5.2. Любовь и уважение к Отечеству. Патриотизм многонационального и многоконфессионального народа России.</w:t>
      </w:r>
    </w:p>
    <w:p w14:paraId="67B20445">
      <w:pPr>
        <w:pStyle w:val="67"/>
        <w:widowControl/>
        <w:spacing w:after="0" w:line="360" w:lineRule="auto"/>
        <w:ind w:left="0" w:firstLine="709"/>
        <w:jc w:val="both"/>
        <w:rPr>
          <w:rFonts w:ascii="Times New Roman" w:hAnsi="Times New Roman" w:eastAsia="Times New Roman"/>
          <w:lang w:eastAsia="ru-RU"/>
        </w:rPr>
      </w:pPr>
      <w:r>
        <w:rPr>
          <w:rFonts w:ascii="Times New Roman" w:hAnsi="Times New Roman" w:eastAsia="Times New Roman"/>
          <w:lang w:eastAsia="ru-RU"/>
        </w:rPr>
        <w:t>12.6.6. Модуль «Основы светской этики».</w:t>
      </w:r>
    </w:p>
    <w:p w14:paraId="4CB3CD04">
      <w:pPr>
        <w:pStyle w:val="67"/>
        <w:widowControl/>
        <w:spacing w:after="0" w:line="360" w:lineRule="auto"/>
        <w:ind w:left="0" w:firstLine="709"/>
        <w:jc w:val="both"/>
        <w:rPr>
          <w:rFonts w:ascii="Times New Roman" w:hAnsi="Times New Roman" w:eastAsia="Times New Roman"/>
          <w:lang w:eastAsia="ru-RU"/>
        </w:rPr>
      </w:pPr>
      <w:r>
        <w:rPr>
          <w:rFonts w:ascii="Times New Roman" w:hAnsi="Times New Roman" w:eastAsia="Times New Roman"/>
          <w:lang w:eastAsia="ru-RU"/>
        </w:rPr>
        <w:t>12.6.6.1. Россия – наша Родина. Этика и её значение в жизни человека. Праздники как одна из форм исторической памяти. Образцы нравственности в культуре Отечества, в культурах разных народов России. Государство и мораль гражданина, основной закон (Конституция) в государстве как источник российской светской (гражданской) этики. Трудовая мораль. Нравственные традиции предпринимательства. Что значит быть нравственным в наше время. Нравственные ценности, идеалы, принципы морали. Нормы морали. Семейные ценности и этика семейных отношений. Этикет. Образование как нравственная норма. Методы нравственного самосовершенствования.</w:t>
      </w:r>
    </w:p>
    <w:p w14:paraId="08A9E0E4">
      <w:pPr>
        <w:pStyle w:val="67"/>
        <w:widowControl/>
        <w:spacing w:after="0" w:line="360" w:lineRule="auto"/>
        <w:ind w:left="0" w:firstLine="709"/>
        <w:jc w:val="both"/>
        <w:rPr>
          <w:rFonts w:ascii="Times New Roman" w:hAnsi="Times New Roman" w:eastAsia="Times New Roman"/>
          <w:lang w:eastAsia="ru-RU"/>
        </w:rPr>
      </w:pPr>
      <w:r>
        <w:rPr>
          <w:rFonts w:ascii="Times New Roman" w:hAnsi="Times New Roman" w:eastAsia="Times New Roman"/>
          <w:lang w:eastAsia="ru-RU"/>
        </w:rPr>
        <w:t>12.6.6.2. Любовь и уважение к Отечеству. Патриотизм многонационального и многоконфессионального народа России.</w:t>
      </w:r>
    </w:p>
    <w:p w14:paraId="25AD1CF4">
      <w:pPr>
        <w:pStyle w:val="67"/>
        <w:widowControl/>
        <w:spacing w:after="0" w:line="360" w:lineRule="auto"/>
        <w:ind w:left="0" w:firstLine="709"/>
        <w:jc w:val="both"/>
        <w:rPr>
          <w:rFonts w:ascii="Times New Roman" w:hAnsi="Times New Roman" w:eastAsia="Times New Roman"/>
          <w:lang w:eastAsia="ru-RU"/>
        </w:rPr>
      </w:pPr>
      <w:r>
        <w:rPr>
          <w:rFonts w:ascii="Times New Roman" w:hAnsi="Times New Roman" w:eastAsia="Times New Roman"/>
          <w:lang w:eastAsia="ru-RU"/>
        </w:rPr>
        <w:t>12.7. Планируемые результаты освоения программы по ОРКСЭ на уровне начального общего образования.</w:t>
      </w:r>
    </w:p>
    <w:p w14:paraId="18507DA9">
      <w:pPr>
        <w:pStyle w:val="67"/>
        <w:widowControl/>
        <w:spacing w:after="0" w:line="360" w:lineRule="auto"/>
        <w:ind w:left="0" w:firstLine="709"/>
        <w:jc w:val="both"/>
        <w:rPr>
          <w:rFonts w:ascii="Times New Roman" w:hAnsi="Times New Roman" w:eastAsia="Times New Roman"/>
          <w:lang w:eastAsia="ru-RU"/>
        </w:rPr>
      </w:pPr>
      <w:r>
        <w:rPr>
          <w:rFonts w:ascii="Times New Roman" w:hAnsi="Times New Roman" w:eastAsia="Times New Roman"/>
          <w:lang w:eastAsia="ru-RU"/>
        </w:rPr>
        <w:t>12.7.1. Личностные результаты освоения программы по ОРКСЭ на уровне начального общего образования достигаются в единстве учебной и воспитательной деятельности в соответствии с традиционными российскими социокультурными и духовно-нравственными ценностями, принятыми в обществе правилами и нормами поведения и способствуют процессам самопознания, самовоспитания и саморазвития, формирования внутренней позиции личности.</w:t>
      </w:r>
    </w:p>
    <w:p w14:paraId="79E066C3">
      <w:pPr>
        <w:pStyle w:val="67"/>
        <w:widowControl/>
        <w:spacing w:after="0" w:line="360" w:lineRule="auto"/>
        <w:ind w:left="0" w:firstLine="709"/>
        <w:jc w:val="both"/>
        <w:rPr>
          <w:rFonts w:ascii="Times New Roman" w:hAnsi="Times New Roman" w:eastAsia="Times New Roman"/>
          <w:lang w:eastAsia="ru-RU"/>
        </w:rPr>
      </w:pPr>
      <w:r>
        <w:rPr>
          <w:rFonts w:ascii="Times New Roman" w:hAnsi="Times New Roman" w:eastAsia="Times New Roman"/>
          <w:lang w:eastAsia="ru-RU"/>
        </w:rPr>
        <w:t xml:space="preserve">В результате изучения ОРКСЭ на уровне начального общего образования у обучающегося будут сформированы следующие личностные результаты: </w:t>
      </w:r>
    </w:p>
    <w:p w14:paraId="32F00732">
      <w:pPr>
        <w:pStyle w:val="67"/>
        <w:widowControl/>
        <w:spacing w:after="0" w:line="360" w:lineRule="auto"/>
        <w:ind w:left="0" w:firstLine="709"/>
        <w:jc w:val="both"/>
        <w:rPr>
          <w:rFonts w:ascii="Times New Roman" w:hAnsi="Times New Roman" w:eastAsia="Times New Roman"/>
          <w:lang w:eastAsia="ru-RU"/>
        </w:rPr>
      </w:pPr>
      <w:r>
        <w:rPr>
          <w:rFonts w:ascii="Times New Roman" w:hAnsi="Times New Roman" w:eastAsia="Times New Roman"/>
          <w:lang w:eastAsia="ru-RU"/>
        </w:rPr>
        <w:t>понимать основы российской гражданской идентичности, испытывать чувство гордости за свою Родину;</w:t>
      </w:r>
    </w:p>
    <w:p w14:paraId="66116889">
      <w:pPr>
        <w:pStyle w:val="67"/>
        <w:widowControl/>
        <w:spacing w:after="0" w:line="360" w:lineRule="auto"/>
        <w:ind w:left="0" w:firstLine="709"/>
        <w:jc w:val="both"/>
        <w:rPr>
          <w:rFonts w:ascii="Times New Roman" w:hAnsi="Times New Roman" w:eastAsia="Times New Roman"/>
          <w:lang w:eastAsia="ru-RU"/>
        </w:rPr>
      </w:pPr>
      <w:r>
        <w:rPr>
          <w:rFonts w:ascii="Times New Roman" w:hAnsi="Times New Roman" w:eastAsia="Times New Roman"/>
          <w:lang w:eastAsia="ru-RU"/>
        </w:rPr>
        <w:t>формировать национальную и гражданскую самоидентичность, осознавать свою этническую и национальную принадлежность;</w:t>
      </w:r>
    </w:p>
    <w:p w14:paraId="322847AA">
      <w:pPr>
        <w:pStyle w:val="67"/>
        <w:widowControl/>
        <w:spacing w:after="0" w:line="360" w:lineRule="auto"/>
        <w:ind w:left="0" w:firstLine="709"/>
        <w:jc w:val="both"/>
        <w:rPr>
          <w:rFonts w:ascii="Times New Roman" w:hAnsi="Times New Roman" w:eastAsia="Times New Roman"/>
          <w:lang w:eastAsia="ru-RU"/>
        </w:rPr>
      </w:pPr>
      <w:r>
        <w:rPr>
          <w:rFonts w:ascii="Times New Roman" w:hAnsi="Times New Roman" w:eastAsia="Times New Roman"/>
          <w:lang w:eastAsia="ru-RU"/>
        </w:rPr>
        <w:t>понимать значения гуманистических и демократических ценностных ориентаций, осознавать ценность человеческой жизни;</w:t>
      </w:r>
    </w:p>
    <w:p w14:paraId="7B110093">
      <w:pPr>
        <w:pStyle w:val="67"/>
        <w:widowControl/>
        <w:spacing w:after="0" w:line="360" w:lineRule="auto"/>
        <w:ind w:left="0" w:firstLine="709"/>
        <w:jc w:val="both"/>
        <w:rPr>
          <w:rFonts w:ascii="Times New Roman" w:hAnsi="Times New Roman" w:eastAsia="Times New Roman"/>
          <w:lang w:eastAsia="ru-RU"/>
        </w:rPr>
      </w:pPr>
      <w:r>
        <w:rPr>
          <w:rFonts w:ascii="Times New Roman" w:hAnsi="Times New Roman" w:eastAsia="Times New Roman"/>
          <w:lang w:eastAsia="ru-RU"/>
        </w:rPr>
        <w:t>понимать значения нравственных норм и ценностей как условия жизни личности, семьи, общества;</w:t>
      </w:r>
    </w:p>
    <w:p w14:paraId="1E665BE8">
      <w:pPr>
        <w:pStyle w:val="67"/>
        <w:widowControl/>
        <w:spacing w:after="0" w:line="360" w:lineRule="auto"/>
        <w:ind w:left="0" w:firstLine="709"/>
        <w:jc w:val="both"/>
        <w:rPr>
          <w:rFonts w:ascii="Times New Roman" w:hAnsi="Times New Roman" w:eastAsia="Times New Roman"/>
          <w:lang w:eastAsia="ru-RU"/>
        </w:rPr>
      </w:pPr>
      <w:r>
        <w:rPr>
          <w:rFonts w:ascii="Times New Roman" w:hAnsi="Times New Roman" w:eastAsia="Times New Roman"/>
          <w:lang w:eastAsia="ru-RU"/>
        </w:rPr>
        <w:t>осознавать право гражданина Российской Федерации исповедовать любую традиционную религию или не исповедовать никакой религии;</w:t>
      </w:r>
    </w:p>
    <w:p w14:paraId="57744707">
      <w:pPr>
        <w:pStyle w:val="67"/>
        <w:widowControl/>
        <w:spacing w:after="0" w:line="360" w:lineRule="auto"/>
        <w:ind w:left="0" w:firstLine="709"/>
        <w:jc w:val="both"/>
        <w:rPr>
          <w:rFonts w:ascii="Times New Roman" w:hAnsi="Times New Roman" w:eastAsia="Times New Roman"/>
          <w:lang w:eastAsia="ru-RU"/>
        </w:rPr>
      </w:pPr>
      <w:r>
        <w:rPr>
          <w:rFonts w:ascii="Times New Roman" w:hAnsi="Times New Roman" w:eastAsia="Times New Roman"/>
          <w:lang w:eastAsia="ru-RU"/>
        </w:rPr>
        <w:t>строить своё общение, совместную деятельность на основе правил коммуникации: умения договариваться, мирно разрешать конфликты, уважать другое мнение, независимо от принадлежности собеседников к религии или к атеизму;</w:t>
      </w:r>
    </w:p>
    <w:p w14:paraId="7DD5F02A">
      <w:pPr>
        <w:pStyle w:val="67"/>
        <w:widowControl/>
        <w:spacing w:after="0" w:line="360" w:lineRule="auto"/>
        <w:ind w:left="0" w:firstLine="709"/>
        <w:jc w:val="both"/>
        <w:rPr>
          <w:rFonts w:ascii="Times New Roman" w:hAnsi="Times New Roman" w:eastAsia="Times New Roman"/>
          <w:lang w:eastAsia="ru-RU"/>
        </w:rPr>
      </w:pPr>
      <w:r>
        <w:rPr>
          <w:rFonts w:ascii="Times New Roman" w:hAnsi="Times New Roman" w:eastAsia="Times New Roman"/>
          <w:lang w:eastAsia="ru-RU"/>
        </w:rPr>
        <w:t>соотносить свои поступки с нравственными ценностями, принятыми в российском обществе, проявлять уважение к духовным традициям народов России, терпимость к представителям разного вероисповедания;</w:t>
      </w:r>
    </w:p>
    <w:p w14:paraId="3D68859C">
      <w:pPr>
        <w:pStyle w:val="67"/>
        <w:widowControl/>
        <w:spacing w:after="0" w:line="360" w:lineRule="auto"/>
        <w:ind w:left="0" w:firstLine="709"/>
        <w:jc w:val="both"/>
        <w:rPr>
          <w:rFonts w:ascii="Times New Roman" w:hAnsi="Times New Roman" w:eastAsia="Times New Roman"/>
          <w:lang w:eastAsia="ru-RU"/>
        </w:rPr>
      </w:pPr>
      <w:r>
        <w:rPr>
          <w:rFonts w:ascii="Times New Roman" w:hAnsi="Times New Roman" w:eastAsia="Times New Roman"/>
          <w:lang w:eastAsia="ru-RU"/>
        </w:rPr>
        <w:t>строить своё поведение с учётом нравственных норм и правил, проявлять в повседневной жизни доброту, справедливость, доброжелательность в общении, желание при необходимости прийти на помощь;</w:t>
      </w:r>
    </w:p>
    <w:p w14:paraId="196BA00A">
      <w:pPr>
        <w:pStyle w:val="67"/>
        <w:widowControl/>
        <w:spacing w:after="0" w:line="360" w:lineRule="auto"/>
        <w:ind w:left="0" w:firstLine="709"/>
        <w:jc w:val="both"/>
        <w:rPr>
          <w:rFonts w:ascii="Times New Roman" w:hAnsi="Times New Roman" w:eastAsia="Times New Roman"/>
          <w:lang w:eastAsia="ru-RU"/>
        </w:rPr>
      </w:pPr>
      <w:r>
        <w:rPr>
          <w:rFonts w:ascii="Times New Roman" w:hAnsi="Times New Roman" w:eastAsia="Times New Roman"/>
          <w:lang w:eastAsia="ru-RU"/>
        </w:rPr>
        <w:t>понимать необходимость обогащать свои знания о духовно-нравственной культуре, стремиться анализировать своё поведение, избегать негативных поступков и действий, оскорбляющих других людей;</w:t>
      </w:r>
    </w:p>
    <w:p w14:paraId="710A2A04">
      <w:pPr>
        <w:pStyle w:val="67"/>
        <w:widowControl/>
        <w:spacing w:after="0" w:line="360" w:lineRule="auto"/>
        <w:ind w:left="0" w:firstLine="709"/>
        <w:jc w:val="both"/>
        <w:rPr>
          <w:rFonts w:ascii="Times New Roman" w:hAnsi="Times New Roman" w:eastAsia="Times New Roman"/>
          <w:lang w:eastAsia="ru-RU"/>
        </w:rPr>
      </w:pPr>
      <w:r>
        <w:rPr>
          <w:rFonts w:ascii="Times New Roman" w:hAnsi="Times New Roman" w:eastAsia="Times New Roman"/>
          <w:lang w:eastAsia="ru-RU"/>
        </w:rPr>
        <w:t>понимать необходимость бережного отношения к материальным и духовным ценностям.</w:t>
      </w:r>
    </w:p>
    <w:p w14:paraId="3EA7497A">
      <w:pPr>
        <w:pStyle w:val="67"/>
        <w:widowControl/>
        <w:spacing w:after="0" w:line="360" w:lineRule="auto"/>
        <w:ind w:left="0" w:firstLine="709"/>
        <w:jc w:val="both"/>
        <w:rPr>
          <w:rFonts w:ascii="Times New Roman" w:hAnsi="Times New Roman" w:eastAsia="Times New Roman"/>
          <w:lang w:eastAsia="ru-RU"/>
        </w:rPr>
      </w:pPr>
      <w:r>
        <w:rPr>
          <w:rFonts w:ascii="Times New Roman" w:hAnsi="Times New Roman" w:eastAsia="Times New Roman"/>
          <w:lang w:eastAsia="ru-RU"/>
        </w:rPr>
        <w:t>12.7.2. В результате изучения ОРКСЭ на уровне начального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деятельность.</w:t>
      </w:r>
    </w:p>
    <w:p w14:paraId="524B2069">
      <w:pPr>
        <w:pStyle w:val="67"/>
        <w:widowControl/>
        <w:spacing w:after="0" w:line="360" w:lineRule="auto"/>
        <w:ind w:left="0" w:firstLine="709"/>
        <w:jc w:val="both"/>
        <w:rPr>
          <w:rFonts w:ascii="Times New Roman" w:hAnsi="Times New Roman" w:eastAsia="Times New Roman"/>
          <w:lang w:eastAsia="ru-RU"/>
        </w:rPr>
      </w:pPr>
      <w:r>
        <w:rPr>
          <w:rFonts w:ascii="Times New Roman" w:hAnsi="Times New Roman" w:eastAsia="Times New Roman"/>
          <w:lang w:eastAsia="ru-RU"/>
        </w:rPr>
        <w:t>12.7.2.1. Метапредметные результаты:</w:t>
      </w:r>
    </w:p>
    <w:p w14:paraId="567E1108">
      <w:pPr>
        <w:pStyle w:val="67"/>
        <w:widowControl/>
        <w:spacing w:after="0" w:line="360" w:lineRule="auto"/>
        <w:ind w:left="0" w:firstLine="709"/>
        <w:jc w:val="both"/>
        <w:rPr>
          <w:rFonts w:ascii="Times New Roman" w:hAnsi="Times New Roman" w:eastAsia="Times New Roman"/>
          <w:lang w:eastAsia="ru-RU"/>
        </w:rPr>
      </w:pPr>
      <w:r>
        <w:rPr>
          <w:rFonts w:ascii="Times New Roman" w:hAnsi="Times New Roman" w:eastAsia="Times New Roman"/>
          <w:lang w:eastAsia="ru-RU"/>
        </w:rPr>
        <w:t>овладевать способностью понимания и сохранения целей и задач учебной деятельности, поиска оптимальных средств их достижения;</w:t>
      </w:r>
    </w:p>
    <w:p w14:paraId="1B8F9B27">
      <w:pPr>
        <w:pStyle w:val="67"/>
        <w:widowControl/>
        <w:spacing w:after="0" w:line="360" w:lineRule="auto"/>
        <w:ind w:left="0" w:firstLine="709"/>
        <w:jc w:val="both"/>
        <w:rPr>
          <w:rFonts w:ascii="Times New Roman" w:hAnsi="Times New Roman" w:eastAsia="Times New Roman"/>
          <w:lang w:eastAsia="ru-RU"/>
        </w:rPr>
      </w:pPr>
      <w:r>
        <w:rPr>
          <w:rFonts w:ascii="Times New Roman" w:hAnsi="Times New Roman" w:eastAsia="Times New Roman"/>
          <w:lang w:eastAsia="ru-RU"/>
        </w:rPr>
        <w:t>формировать умения планировать, контролировать и оценивать учебные действия в соответствии с поставленной задачей и условиями её реализации, определять и находить наиболее эффективные способы достижения результата, вносить соответствующие коррективы в процесс их реализации на основе оценки и учёта характера ошибок, понимать причины успеха/неуспеха учебной деятельности;</w:t>
      </w:r>
    </w:p>
    <w:p w14:paraId="7F870CAC">
      <w:pPr>
        <w:pStyle w:val="67"/>
        <w:widowControl/>
        <w:spacing w:after="0" w:line="360" w:lineRule="auto"/>
        <w:ind w:left="0" w:firstLine="709"/>
        <w:jc w:val="both"/>
        <w:rPr>
          <w:rFonts w:ascii="Times New Roman" w:hAnsi="Times New Roman" w:eastAsia="Times New Roman"/>
          <w:lang w:eastAsia="ru-RU"/>
        </w:rPr>
      </w:pPr>
      <w:r>
        <w:rPr>
          <w:rFonts w:ascii="Times New Roman" w:hAnsi="Times New Roman" w:eastAsia="Times New Roman"/>
          <w:lang w:eastAsia="ru-RU"/>
        </w:rPr>
        <w:t>совершенствовать умения в различных видах речевой деятельности и коммуникативных ситуациях, использование речевых средств и средств информационно-коммуникационных технологий для решения различных коммуникативных и познавательных задач;</w:t>
      </w:r>
    </w:p>
    <w:p w14:paraId="5ADF0E38">
      <w:pPr>
        <w:pStyle w:val="67"/>
        <w:widowControl/>
        <w:spacing w:after="0" w:line="360" w:lineRule="auto"/>
        <w:ind w:left="0" w:firstLine="709"/>
        <w:jc w:val="both"/>
        <w:rPr>
          <w:rFonts w:ascii="Times New Roman" w:hAnsi="Times New Roman" w:eastAsia="Times New Roman"/>
          <w:lang w:eastAsia="ru-RU"/>
        </w:rPr>
      </w:pPr>
      <w:r>
        <w:rPr>
          <w:rFonts w:ascii="Times New Roman" w:hAnsi="Times New Roman" w:eastAsia="Times New Roman"/>
          <w:lang w:eastAsia="ru-RU"/>
        </w:rPr>
        <w:t>совершенствовать умения в области работы с информацией, осуществления информационного поиска для выполнения учебных заданий;</w:t>
      </w:r>
    </w:p>
    <w:p w14:paraId="1FF748C3">
      <w:pPr>
        <w:pStyle w:val="67"/>
        <w:widowControl/>
        <w:spacing w:after="0" w:line="360" w:lineRule="auto"/>
        <w:ind w:left="0" w:firstLine="709"/>
        <w:jc w:val="both"/>
        <w:rPr>
          <w:rFonts w:ascii="Times New Roman" w:hAnsi="Times New Roman" w:eastAsia="Times New Roman"/>
          <w:lang w:eastAsia="ru-RU"/>
        </w:rPr>
      </w:pPr>
      <w:r>
        <w:rPr>
          <w:rFonts w:ascii="Times New Roman" w:hAnsi="Times New Roman" w:eastAsia="Times New Roman"/>
          <w:lang w:eastAsia="ru-RU"/>
        </w:rPr>
        <w:t>овладевать навыками смыслового чтения текстов различных стилей и жанров, осознанного построения речевых высказываний в соответствии с задачами коммуникации;</w:t>
      </w:r>
    </w:p>
    <w:p w14:paraId="70877D91">
      <w:pPr>
        <w:pStyle w:val="67"/>
        <w:widowControl/>
        <w:spacing w:after="0" w:line="360" w:lineRule="auto"/>
        <w:ind w:left="0" w:firstLine="709"/>
        <w:jc w:val="both"/>
        <w:rPr>
          <w:rFonts w:ascii="Times New Roman" w:hAnsi="Times New Roman" w:eastAsia="Times New Roman"/>
          <w:lang w:eastAsia="ru-RU"/>
        </w:rPr>
      </w:pPr>
      <w:r>
        <w:rPr>
          <w:rFonts w:ascii="Times New Roman" w:hAnsi="Times New Roman" w:eastAsia="Times New Roman"/>
          <w:lang w:eastAsia="ru-RU"/>
        </w:rPr>
        <w:t>овладевать логическими действиями анализа, синтеза, сравнения, обобщения, классификации, установления аналогий и причинно-следственных связей, построения рассуждений, отнесения к известным понятиям;</w:t>
      </w:r>
    </w:p>
    <w:p w14:paraId="21FA1801">
      <w:pPr>
        <w:pStyle w:val="67"/>
        <w:widowControl/>
        <w:spacing w:after="0" w:line="360" w:lineRule="auto"/>
        <w:ind w:left="0" w:firstLine="709"/>
        <w:jc w:val="both"/>
        <w:rPr>
          <w:rFonts w:ascii="Times New Roman" w:hAnsi="Times New Roman" w:eastAsia="Times New Roman"/>
          <w:lang w:eastAsia="ru-RU"/>
        </w:rPr>
      </w:pPr>
      <w:r>
        <w:rPr>
          <w:rFonts w:ascii="Times New Roman" w:hAnsi="Times New Roman" w:eastAsia="Times New Roman"/>
          <w:lang w:eastAsia="ru-RU"/>
        </w:rPr>
        <w:t>формировать готовность слушать собеседника и вести диалог, признавать возможность существования различных точек зрения и право каждого иметь свою собственную, умений излагать своё мнение и аргументировать свою точку зрения и оценку событий;</w:t>
      </w:r>
    </w:p>
    <w:p w14:paraId="5EEA3267">
      <w:pPr>
        <w:pStyle w:val="67"/>
        <w:widowControl/>
        <w:spacing w:after="0" w:line="360" w:lineRule="auto"/>
        <w:ind w:left="0" w:firstLine="709"/>
        <w:jc w:val="both"/>
        <w:rPr>
          <w:rFonts w:ascii="Times New Roman" w:hAnsi="Times New Roman" w:eastAsia="Times New Roman"/>
          <w:lang w:eastAsia="ru-RU"/>
        </w:rPr>
      </w:pPr>
      <w:r>
        <w:rPr>
          <w:rFonts w:ascii="Times New Roman" w:hAnsi="Times New Roman" w:eastAsia="Times New Roman"/>
          <w:lang w:eastAsia="ru-RU"/>
        </w:rPr>
        <w:t>совершенствовать организационные умения в области коллективной деятельности, умения определять общую цель и пути её достижения, умений договариваться о распределении ролей в совместной деятельности, оценивать собственное поведение и поведение окружающих.</w:t>
      </w:r>
    </w:p>
    <w:p w14:paraId="01D300F0">
      <w:pPr>
        <w:pStyle w:val="67"/>
        <w:widowControl/>
        <w:spacing w:after="0" w:line="360" w:lineRule="auto"/>
        <w:ind w:left="0" w:firstLine="709"/>
        <w:jc w:val="both"/>
        <w:rPr>
          <w:rFonts w:ascii="Times New Roman" w:hAnsi="Times New Roman" w:eastAsia="Times New Roman"/>
          <w:lang w:eastAsia="ru-RU"/>
        </w:rPr>
      </w:pPr>
      <w:r>
        <w:rPr>
          <w:rFonts w:ascii="Times New Roman" w:hAnsi="Times New Roman" w:eastAsia="Times New Roman"/>
          <w:lang w:eastAsia="ru-RU"/>
        </w:rPr>
        <w:t>12.7.2.2. У обучающегося будут сформированы следующие базовые логические и исследовательские действия как часть познавательных универсальных учебных действий:</w:t>
      </w:r>
    </w:p>
    <w:p w14:paraId="2090A5A9">
      <w:pPr>
        <w:pStyle w:val="67"/>
        <w:widowControl/>
        <w:spacing w:after="0" w:line="360" w:lineRule="auto"/>
        <w:ind w:left="0" w:firstLine="709"/>
        <w:jc w:val="both"/>
        <w:rPr>
          <w:rFonts w:ascii="Times New Roman" w:hAnsi="Times New Roman" w:eastAsia="Times New Roman"/>
          <w:lang w:eastAsia="ru-RU"/>
        </w:rPr>
      </w:pPr>
      <w:r>
        <w:rPr>
          <w:rFonts w:ascii="Times New Roman" w:hAnsi="Times New Roman" w:eastAsia="Times New Roman"/>
          <w:lang w:eastAsia="ru-RU"/>
        </w:rPr>
        <w:t>ориентироваться в понятиях, отражающих нравственные ценности общества – мораль, этика, этикет, справедливость, гуманизм, благотворительность, а также используемых в разных религиях (в пределах изученного);</w:t>
      </w:r>
    </w:p>
    <w:p w14:paraId="576B0250">
      <w:pPr>
        <w:pStyle w:val="67"/>
        <w:widowControl/>
        <w:spacing w:after="0" w:line="360" w:lineRule="auto"/>
        <w:ind w:left="0" w:firstLine="709"/>
        <w:jc w:val="both"/>
        <w:rPr>
          <w:rFonts w:ascii="Times New Roman" w:hAnsi="Times New Roman" w:eastAsia="Times New Roman"/>
          <w:lang w:eastAsia="ru-RU"/>
        </w:rPr>
      </w:pPr>
      <w:r>
        <w:rPr>
          <w:rFonts w:ascii="Times New Roman" w:hAnsi="Times New Roman" w:eastAsia="Times New Roman"/>
          <w:lang w:eastAsia="ru-RU"/>
        </w:rPr>
        <w:t>использовать разные методы получения знаний о традиционных религиях и светской этике (наблюдение, чтение, сравнение, вычисление);</w:t>
      </w:r>
    </w:p>
    <w:p w14:paraId="61B92434">
      <w:pPr>
        <w:pStyle w:val="67"/>
        <w:widowControl/>
        <w:spacing w:after="0" w:line="360" w:lineRule="auto"/>
        <w:ind w:left="0" w:firstLine="709"/>
        <w:jc w:val="both"/>
        <w:rPr>
          <w:rFonts w:ascii="Times New Roman" w:hAnsi="Times New Roman" w:eastAsia="Times New Roman"/>
          <w:lang w:eastAsia="ru-RU"/>
        </w:rPr>
      </w:pPr>
      <w:r>
        <w:rPr>
          <w:rFonts w:ascii="Times New Roman" w:hAnsi="Times New Roman" w:eastAsia="Times New Roman"/>
          <w:lang w:eastAsia="ru-RU"/>
        </w:rPr>
        <w:t>применять логические действия и операции для решения учебных задач: сравнивать, анализировать, обобщать, подготавливать выводы на основе изучаемого фактического материала;</w:t>
      </w:r>
    </w:p>
    <w:p w14:paraId="09250457">
      <w:pPr>
        <w:pStyle w:val="67"/>
        <w:widowControl/>
        <w:spacing w:after="0" w:line="360" w:lineRule="auto"/>
        <w:ind w:left="0" w:firstLine="709"/>
        <w:jc w:val="both"/>
        <w:rPr>
          <w:rFonts w:ascii="Times New Roman" w:hAnsi="Times New Roman" w:eastAsia="Times New Roman"/>
          <w:lang w:eastAsia="ru-RU"/>
        </w:rPr>
      </w:pPr>
      <w:r>
        <w:rPr>
          <w:rFonts w:ascii="Times New Roman" w:hAnsi="Times New Roman" w:eastAsia="Times New Roman"/>
          <w:lang w:eastAsia="ru-RU"/>
        </w:rPr>
        <w:t>признавать возможность существования разных точек зрения, обосновывать свои суждения, приводить убедительные доказательства;</w:t>
      </w:r>
    </w:p>
    <w:p w14:paraId="4CF29E06">
      <w:pPr>
        <w:pStyle w:val="67"/>
        <w:widowControl/>
        <w:spacing w:after="0" w:line="360" w:lineRule="auto"/>
        <w:ind w:left="0" w:firstLine="709"/>
        <w:jc w:val="both"/>
        <w:rPr>
          <w:rFonts w:ascii="Times New Roman" w:hAnsi="Times New Roman" w:eastAsia="Times New Roman"/>
          <w:lang w:eastAsia="ru-RU"/>
        </w:rPr>
      </w:pPr>
      <w:r>
        <w:rPr>
          <w:rFonts w:ascii="Times New Roman" w:hAnsi="Times New Roman" w:eastAsia="Times New Roman"/>
          <w:lang w:eastAsia="ru-RU"/>
        </w:rPr>
        <w:t>выполнять совместные проектные задания с использованием предложенного образца.</w:t>
      </w:r>
    </w:p>
    <w:p w14:paraId="146CE090">
      <w:pPr>
        <w:pStyle w:val="67"/>
        <w:widowControl/>
        <w:spacing w:after="0" w:line="360" w:lineRule="auto"/>
        <w:ind w:left="0" w:firstLine="709"/>
        <w:jc w:val="both"/>
        <w:rPr>
          <w:rFonts w:ascii="Times New Roman" w:hAnsi="Times New Roman" w:eastAsia="Times New Roman"/>
          <w:lang w:eastAsia="ru-RU"/>
        </w:rPr>
      </w:pPr>
      <w:r>
        <w:rPr>
          <w:rFonts w:ascii="Times New Roman" w:hAnsi="Times New Roman" w:eastAsia="Times New Roman"/>
          <w:lang w:eastAsia="ru-RU"/>
        </w:rPr>
        <w:t xml:space="preserve">12.7.2.3. У обучающегося будут </w:t>
      </w:r>
      <w:r>
        <w:rPr>
          <w:rFonts w:ascii="Times New Roman" w:hAnsi="Times New Roman"/>
        </w:rPr>
        <w:t xml:space="preserve">сформированы умения </w:t>
      </w:r>
      <w:r>
        <w:rPr>
          <w:rFonts w:ascii="Times New Roman" w:hAnsi="Times New Roman" w:eastAsia="Times New Roman"/>
          <w:lang w:eastAsia="ru-RU"/>
        </w:rPr>
        <w:t>работать с информацией как часть познавательных универсальных учебных действий:</w:t>
      </w:r>
    </w:p>
    <w:p w14:paraId="3EA23FAA">
      <w:pPr>
        <w:pStyle w:val="67"/>
        <w:widowControl/>
        <w:spacing w:after="0" w:line="360" w:lineRule="auto"/>
        <w:ind w:left="0" w:firstLine="709"/>
        <w:jc w:val="both"/>
        <w:rPr>
          <w:rFonts w:ascii="Times New Roman" w:hAnsi="Times New Roman" w:eastAsia="Times New Roman"/>
          <w:lang w:eastAsia="ru-RU"/>
        </w:rPr>
      </w:pPr>
      <w:r>
        <w:rPr>
          <w:rFonts w:ascii="Times New Roman" w:hAnsi="Times New Roman" w:eastAsia="Times New Roman"/>
          <w:lang w:eastAsia="ru-RU"/>
        </w:rPr>
        <w:t>воспроизводить прослушанную (прочитанную) информацию, подчёркивать её принадлежность к определённой религии и (или) к гражданской этике;</w:t>
      </w:r>
    </w:p>
    <w:p w14:paraId="2F3CE8E7">
      <w:pPr>
        <w:pStyle w:val="67"/>
        <w:widowControl/>
        <w:spacing w:after="0" w:line="360" w:lineRule="auto"/>
        <w:ind w:left="0" w:firstLine="709"/>
        <w:jc w:val="both"/>
        <w:rPr>
          <w:rFonts w:ascii="Times New Roman" w:hAnsi="Times New Roman" w:eastAsia="Times New Roman"/>
          <w:lang w:eastAsia="ru-RU"/>
        </w:rPr>
      </w:pPr>
      <w:r>
        <w:rPr>
          <w:rFonts w:ascii="Times New Roman" w:hAnsi="Times New Roman" w:eastAsia="Times New Roman"/>
          <w:lang w:eastAsia="ru-RU"/>
        </w:rPr>
        <w:t>использовать разные средства для получения информации в соответствии с поставленной учебной задачей (текстовую, графическую, видео);</w:t>
      </w:r>
    </w:p>
    <w:p w14:paraId="494CAB09">
      <w:pPr>
        <w:pStyle w:val="67"/>
        <w:widowControl/>
        <w:spacing w:after="0" w:line="360" w:lineRule="auto"/>
        <w:ind w:left="0" w:firstLine="709"/>
        <w:jc w:val="both"/>
        <w:rPr>
          <w:rFonts w:ascii="Times New Roman" w:hAnsi="Times New Roman" w:eastAsia="Times New Roman"/>
          <w:lang w:eastAsia="ru-RU"/>
        </w:rPr>
      </w:pPr>
      <w:r>
        <w:rPr>
          <w:rFonts w:ascii="Times New Roman" w:hAnsi="Times New Roman" w:eastAsia="Times New Roman"/>
          <w:lang w:eastAsia="ru-RU"/>
        </w:rPr>
        <w:t>находить дополнительную информацию к основному учебному материалу в разных информационных источниках, в том числе в Интернете (в условиях контролируемого входа);</w:t>
      </w:r>
    </w:p>
    <w:p w14:paraId="723A7C68">
      <w:pPr>
        <w:pStyle w:val="67"/>
        <w:widowControl/>
        <w:spacing w:after="0" w:line="360" w:lineRule="auto"/>
        <w:ind w:left="0" w:firstLine="709"/>
        <w:jc w:val="both"/>
        <w:rPr>
          <w:rFonts w:ascii="Times New Roman" w:hAnsi="Times New Roman" w:eastAsia="Times New Roman"/>
          <w:lang w:eastAsia="ru-RU"/>
        </w:rPr>
      </w:pPr>
      <w:r>
        <w:rPr>
          <w:rFonts w:ascii="Times New Roman" w:hAnsi="Times New Roman" w:eastAsia="Times New Roman"/>
          <w:lang w:eastAsia="ru-RU"/>
        </w:rPr>
        <w:t>анализировать, сравнивать информацию, представленную в разных источниках, с помощью учителя, оценивать её объективность и правильность.</w:t>
      </w:r>
    </w:p>
    <w:p w14:paraId="1F941AB1">
      <w:pPr>
        <w:pStyle w:val="67"/>
        <w:widowControl/>
        <w:spacing w:after="0" w:line="360" w:lineRule="auto"/>
        <w:ind w:left="0" w:firstLine="709"/>
        <w:jc w:val="both"/>
        <w:rPr>
          <w:rFonts w:ascii="Times New Roman" w:hAnsi="Times New Roman" w:eastAsia="Times New Roman"/>
          <w:lang w:eastAsia="ru-RU"/>
        </w:rPr>
      </w:pPr>
      <w:r>
        <w:rPr>
          <w:rFonts w:ascii="Times New Roman" w:hAnsi="Times New Roman" w:eastAsia="Times New Roman"/>
          <w:lang w:eastAsia="ru-RU"/>
        </w:rPr>
        <w:t xml:space="preserve">12.7.2.4. У обучающегося будут </w:t>
      </w:r>
      <w:r>
        <w:rPr>
          <w:rFonts w:ascii="Times New Roman" w:hAnsi="Times New Roman"/>
        </w:rPr>
        <w:t xml:space="preserve">сформированы умения </w:t>
      </w:r>
      <w:r>
        <w:rPr>
          <w:rFonts w:ascii="Times New Roman" w:hAnsi="Times New Roman" w:eastAsia="Times New Roman"/>
          <w:lang w:eastAsia="ru-RU"/>
        </w:rPr>
        <w:t>общения как часть коммуникативных универсальных учебных действий:</w:t>
      </w:r>
    </w:p>
    <w:p w14:paraId="3D3A7FEB">
      <w:pPr>
        <w:pStyle w:val="67"/>
        <w:widowControl/>
        <w:spacing w:after="0" w:line="360" w:lineRule="auto"/>
        <w:ind w:left="0" w:firstLine="709"/>
        <w:jc w:val="both"/>
        <w:rPr>
          <w:rFonts w:ascii="Times New Roman" w:hAnsi="Times New Roman" w:eastAsia="Times New Roman"/>
          <w:lang w:eastAsia="ru-RU"/>
        </w:rPr>
      </w:pPr>
      <w:r>
        <w:rPr>
          <w:rFonts w:ascii="Times New Roman" w:hAnsi="Times New Roman" w:eastAsia="Times New Roman"/>
          <w:lang w:eastAsia="ru-RU"/>
        </w:rPr>
        <w:t>использовать смысловое чтение для выделения главной мысли религиозных притч, сказаний, произведений фольклора и художественной литературы, анализа и оценки жизненных ситуаций, раскрывающих проблемы нравственности, этики, речевого этикета;</w:t>
      </w:r>
    </w:p>
    <w:p w14:paraId="4739F2F4">
      <w:pPr>
        <w:pStyle w:val="67"/>
        <w:widowControl/>
        <w:spacing w:after="0" w:line="360" w:lineRule="auto"/>
        <w:ind w:left="0" w:firstLine="709"/>
        <w:jc w:val="both"/>
        <w:rPr>
          <w:rFonts w:ascii="Times New Roman" w:hAnsi="Times New Roman" w:eastAsia="Times New Roman"/>
          <w:lang w:eastAsia="ru-RU"/>
        </w:rPr>
      </w:pPr>
      <w:r>
        <w:rPr>
          <w:rFonts w:ascii="Times New Roman" w:hAnsi="Times New Roman" w:eastAsia="Times New Roman"/>
          <w:lang w:eastAsia="ru-RU"/>
        </w:rPr>
        <w:t>соблюдать правила ведения диалога и дискуссии, корректно задавать вопросы и высказывать своё мнение, проявлять уважительное отношение к собеседнику с учётом особенностей участников общения;</w:t>
      </w:r>
    </w:p>
    <w:p w14:paraId="2CB11AB8">
      <w:pPr>
        <w:pStyle w:val="67"/>
        <w:widowControl/>
        <w:spacing w:after="0" w:line="360" w:lineRule="auto"/>
        <w:ind w:left="0" w:firstLine="709"/>
        <w:jc w:val="both"/>
        <w:rPr>
          <w:rFonts w:ascii="Times New Roman" w:hAnsi="Times New Roman" w:eastAsia="Times New Roman"/>
          <w:lang w:eastAsia="ru-RU"/>
        </w:rPr>
      </w:pPr>
      <w:r>
        <w:rPr>
          <w:rFonts w:ascii="Times New Roman" w:hAnsi="Times New Roman" w:eastAsia="Times New Roman"/>
          <w:lang w:eastAsia="ru-RU"/>
        </w:rPr>
        <w:t>создавать небольшие тексты-описания, тексты-рассуждения для воссоздания, анализа и оценки нравственно-этических идей, представленных в религиозных учениях и светской этике.</w:t>
      </w:r>
    </w:p>
    <w:p w14:paraId="7A95E0B4">
      <w:pPr>
        <w:pStyle w:val="67"/>
        <w:widowControl/>
        <w:spacing w:after="0" w:line="360" w:lineRule="auto"/>
        <w:ind w:left="0" w:firstLine="709"/>
        <w:jc w:val="both"/>
        <w:rPr>
          <w:rFonts w:ascii="Times New Roman" w:hAnsi="Times New Roman" w:eastAsia="Times New Roman"/>
          <w:lang w:eastAsia="ru-RU"/>
        </w:rPr>
      </w:pPr>
      <w:r>
        <w:rPr>
          <w:rFonts w:ascii="Times New Roman" w:hAnsi="Times New Roman" w:eastAsia="Times New Roman"/>
          <w:lang w:eastAsia="ru-RU"/>
        </w:rPr>
        <w:t xml:space="preserve">12.7.2.5. У обучающегося будут </w:t>
      </w:r>
      <w:r>
        <w:rPr>
          <w:rFonts w:ascii="Times New Roman" w:hAnsi="Times New Roman"/>
        </w:rPr>
        <w:t xml:space="preserve">сформированы умения </w:t>
      </w:r>
      <w:r>
        <w:rPr>
          <w:rFonts w:ascii="Times New Roman" w:hAnsi="Times New Roman" w:eastAsia="Times New Roman"/>
        </w:rPr>
        <w:t>самоорганизации и самоконтроля</w:t>
      </w:r>
      <w:r>
        <w:rPr>
          <w:rFonts w:ascii="Times New Roman" w:hAnsi="Times New Roman" w:eastAsia="Times New Roman"/>
          <w:lang w:eastAsia="ru-RU"/>
        </w:rPr>
        <w:t xml:space="preserve"> как часть регулятивных универсальных учебных действий:</w:t>
      </w:r>
    </w:p>
    <w:p w14:paraId="129A3885">
      <w:pPr>
        <w:pStyle w:val="67"/>
        <w:widowControl/>
        <w:spacing w:after="0" w:line="360" w:lineRule="auto"/>
        <w:ind w:left="0" w:firstLine="709"/>
        <w:jc w:val="both"/>
        <w:rPr>
          <w:rFonts w:ascii="Times New Roman" w:hAnsi="Times New Roman" w:eastAsia="Times New Roman"/>
          <w:lang w:eastAsia="ru-RU"/>
        </w:rPr>
      </w:pPr>
      <w:r>
        <w:rPr>
          <w:rFonts w:ascii="Times New Roman" w:hAnsi="Times New Roman" w:eastAsia="Times New Roman"/>
          <w:lang w:eastAsia="ru-RU"/>
        </w:rPr>
        <w:t>проявлять самостоятельность, инициативность, организованность в осуществлении учебной деятельности и в конкретных жизненных ситуациях, контролировать состояние своего здоровья и эмоционального благополучия, предвидеть опасные для здоровья и жизни ситуации и способы их предупреждения;</w:t>
      </w:r>
    </w:p>
    <w:p w14:paraId="5D2CB0F4">
      <w:pPr>
        <w:pStyle w:val="67"/>
        <w:widowControl/>
        <w:spacing w:after="0" w:line="360" w:lineRule="auto"/>
        <w:ind w:left="0" w:firstLine="709"/>
        <w:jc w:val="both"/>
        <w:rPr>
          <w:rFonts w:ascii="Times New Roman" w:hAnsi="Times New Roman" w:eastAsia="Times New Roman"/>
          <w:lang w:eastAsia="ru-RU"/>
        </w:rPr>
      </w:pPr>
      <w:r>
        <w:rPr>
          <w:rFonts w:ascii="Times New Roman" w:hAnsi="Times New Roman" w:eastAsia="Times New Roman"/>
          <w:lang w:eastAsia="ru-RU"/>
        </w:rPr>
        <w:t>проявлять готовность изменять себя, оценивать свои поступки, ориентируясь на нравственные правила и нормы современного российского общества, проявлять способность к сознательному самоограничению в поведении;</w:t>
      </w:r>
    </w:p>
    <w:p w14:paraId="0F712037">
      <w:pPr>
        <w:pStyle w:val="67"/>
        <w:widowControl/>
        <w:spacing w:after="0" w:line="360" w:lineRule="auto"/>
        <w:ind w:left="0" w:firstLine="709"/>
        <w:jc w:val="both"/>
        <w:rPr>
          <w:rFonts w:ascii="Times New Roman" w:hAnsi="Times New Roman" w:eastAsia="Times New Roman"/>
          <w:lang w:eastAsia="ru-RU"/>
        </w:rPr>
      </w:pPr>
      <w:r>
        <w:rPr>
          <w:rFonts w:ascii="Times New Roman" w:hAnsi="Times New Roman" w:eastAsia="Times New Roman"/>
          <w:lang w:eastAsia="ru-RU"/>
        </w:rPr>
        <w:t>анализировать ситуации, отражающие примеры положительного и негативного отношения к окружающему миру (природе, людям, предметам трудовой деятельности);</w:t>
      </w:r>
    </w:p>
    <w:p w14:paraId="4CAF45D8">
      <w:pPr>
        <w:pStyle w:val="67"/>
        <w:widowControl/>
        <w:spacing w:after="0" w:line="360" w:lineRule="auto"/>
        <w:ind w:left="0" w:firstLine="709"/>
        <w:jc w:val="both"/>
        <w:rPr>
          <w:rFonts w:ascii="Times New Roman" w:hAnsi="Times New Roman" w:eastAsia="Times New Roman"/>
          <w:lang w:eastAsia="ru-RU"/>
        </w:rPr>
      </w:pPr>
      <w:r>
        <w:rPr>
          <w:rFonts w:ascii="Times New Roman" w:hAnsi="Times New Roman" w:eastAsia="Times New Roman"/>
          <w:lang w:eastAsia="ru-RU"/>
        </w:rPr>
        <w:t>выражать своё отношение к анализируемым событиям, поступкам, действиям: одобрять нравственные нормы поведения, осуждать проявление несправедливости, жадности, нечестности, зла;</w:t>
      </w:r>
    </w:p>
    <w:p w14:paraId="122C4DB2">
      <w:pPr>
        <w:pStyle w:val="67"/>
        <w:widowControl/>
        <w:spacing w:after="0" w:line="360" w:lineRule="auto"/>
        <w:ind w:left="0" w:firstLine="709"/>
        <w:jc w:val="both"/>
        <w:rPr>
          <w:rFonts w:ascii="Times New Roman" w:hAnsi="Times New Roman" w:eastAsia="Times New Roman"/>
          <w:lang w:eastAsia="ru-RU"/>
        </w:rPr>
      </w:pPr>
      <w:r>
        <w:rPr>
          <w:rFonts w:ascii="Times New Roman" w:hAnsi="Times New Roman" w:eastAsia="Times New Roman"/>
          <w:lang w:eastAsia="ru-RU"/>
        </w:rPr>
        <w:t>проявлять высокий уровень познавательной мотивации, интерес к предмету, желание больше узнавать о других религиях и правилах светской этики и этикета.</w:t>
      </w:r>
    </w:p>
    <w:p w14:paraId="62724FE6">
      <w:pPr>
        <w:pStyle w:val="67"/>
        <w:widowControl/>
        <w:spacing w:after="0" w:line="360" w:lineRule="auto"/>
        <w:ind w:left="0" w:firstLine="709"/>
        <w:jc w:val="both"/>
        <w:rPr>
          <w:rFonts w:ascii="Times New Roman" w:hAnsi="Times New Roman" w:eastAsia="Times New Roman"/>
          <w:lang w:eastAsia="ru-RU"/>
        </w:rPr>
      </w:pPr>
      <w:r>
        <w:rPr>
          <w:rFonts w:ascii="Times New Roman" w:hAnsi="Times New Roman" w:eastAsia="Times New Roman"/>
          <w:lang w:eastAsia="ru-RU"/>
        </w:rPr>
        <w:t xml:space="preserve">12.7.2.6. У обучающегося будут </w:t>
      </w:r>
      <w:r>
        <w:rPr>
          <w:rFonts w:ascii="Times New Roman" w:hAnsi="Times New Roman"/>
        </w:rPr>
        <w:t xml:space="preserve">сформированы умения </w:t>
      </w:r>
      <w:r>
        <w:rPr>
          <w:rFonts w:ascii="Times New Roman" w:hAnsi="Times New Roman" w:eastAsia="Times New Roman"/>
          <w:lang w:eastAsia="ru-RU"/>
        </w:rPr>
        <w:t>совместной деятельности:</w:t>
      </w:r>
    </w:p>
    <w:p w14:paraId="24541836">
      <w:pPr>
        <w:pStyle w:val="67"/>
        <w:widowControl/>
        <w:spacing w:after="0" w:line="360" w:lineRule="auto"/>
        <w:ind w:left="0" w:firstLine="709"/>
        <w:jc w:val="both"/>
        <w:rPr>
          <w:rFonts w:ascii="Times New Roman" w:hAnsi="Times New Roman" w:eastAsia="Times New Roman"/>
          <w:lang w:eastAsia="ru-RU"/>
        </w:rPr>
      </w:pPr>
      <w:r>
        <w:rPr>
          <w:rFonts w:ascii="Times New Roman" w:hAnsi="Times New Roman" w:eastAsia="Times New Roman"/>
          <w:lang w:eastAsia="ru-RU"/>
        </w:rPr>
        <w:t>выбирать партнёра не только по личным симпатиям, но и по деловым качествам, корректно высказывать свои пожелания к работе, спокойно принимать замечания к своей работе, объективно их оценивать;</w:t>
      </w:r>
    </w:p>
    <w:p w14:paraId="13566640">
      <w:pPr>
        <w:pStyle w:val="67"/>
        <w:widowControl/>
        <w:spacing w:after="0" w:line="360" w:lineRule="auto"/>
        <w:ind w:left="0" w:firstLine="709"/>
        <w:jc w:val="both"/>
        <w:rPr>
          <w:rFonts w:ascii="Times New Roman" w:hAnsi="Times New Roman" w:eastAsia="Times New Roman"/>
          <w:lang w:eastAsia="ru-RU"/>
        </w:rPr>
      </w:pPr>
      <w:r>
        <w:rPr>
          <w:rFonts w:ascii="Times New Roman" w:hAnsi="Times New Roman" w:eastAsia="Times New Roman"/>
          <w:lang w:eastAsia="ru-RU"/>
        </w:rPr>
        <w:t>владеть умениями совместной деятельности: подчиняться, договариваться, руководить, терпеливо и спокойно разрешать возникающие конфликты;</w:t>
      </w:r>
    </w:p>
    <w:p w14:paraId="4F0983E3">
      <w:pPr>
        <w:pStyle w:val="67"/>
        <w:widowControl/>
        <w:spacing w:after="0" w:line="360" w:lineRule="auto"/>
        <w:ind w:left="0" w:firstLine="709"/>
        <w:jc w:val="both"/>
        <w:rPr>
          <w:rFonts w:ascii="Times New Roman" w:hAnsi="Times New Roman" w:eastAsia="Times New Roman"/>
          <w:lang w:eastAsia="ru-RU"/>
        </w:rPr>
      </w:pPr>
      <w:r>
        <w:rPr>
          <w:rFonts w:ascii="Times New Roman" w:hAnsi="Times New Roman" w:eastAsia="Times New Roman"/>
          <w:lang w:eastAsia="ru-RU"/>
        </w:rPr>
        <w:t>подготавливать индивидуально, в парах, в группах сообщения по изученному и дополнительному материалу с иллюстративным материалом и видеопрезентацией.</w:t>
      </w:r>
    </w:p>
    <w:p w14:paraId="34CC1AED">
      <w:pPr>
        <w:pStyle w:val="67"/>
        <w:widowControl/>
        <w:spacing w:after="0" w:line="360" w:lineRule="auto"/>
        <w:ind w:left="0" w:firstLine="709"/>
        <w:jc w:val="both"/>
        <w:rPr>
          <w:rFonts w:ascii="Times New Roman" w:hAnsi="Times New Roman" w:eastAsia="Times New Roman"/>
          <w:lang w:eastAsia="ru-RU"/>
        </w:rPr>
      </w:pPr>
      <w:r>
        <w:rPr>
          <w:rFonts w:ascii="Times New Roman" w:hAnsi="Times New Roman" w:eastAsia="Times New Roman"/>
          <w:lang w:eastAsia="ru-RU"/>
        </w:rPr>
        <w:t>12.7.3. К концу обучения в 4 классе обучающийся получит следующие предметные результаты по отдельным темам программы по ОРКСЭ:</w:t>
      </w:r>
    </w:p>
    <w:p w14:paraId="0A97F69F">
      <w:pPr>
        <w:pStyle w:val="67"/>
        <w:widowControl/>
        <w:spacing w:after="0" w:line="360" w:lineRule="auto"/>
        <w:ind w:left="0" w:firstLine="709"/>
        <w:jc w:val="both"/>
        <w:rPr>
          <w:rFonts w:ascii="Times New Roman" w:hAnsi="Times New Roman" w:eastAsia="Times New Roman"/>
          <w:lang w:eastAsia="ru-RU"/>
        </w:rPr>
      </w:pPr>
      <w:r>
        <w:rPr>
          <w:rFonts w:ascii="Times New Roman" w:hAnsi="Times New Roman" w:eastAsia="Times New Roman"/>
          <w:lang w:eastAsia="ru-RU"/>
        </w:rPr>
        <w:t>12.7.3.1. Модуль «Основы православной культуры».</w:t>
      </w:r>
    </w:p>
    <w:p w14:paraId="7623F109">
      <w:pPr>
        <w:pStyle w:val="67"/>
        <w:widowControl/>
        <w:spacing w:after="0" w:line="360" w:lineRule="auto"/>
        <w:ind w:left="0" w:firstLine="709"/>
        <w:jc w:val="both"/>
        <w:rPr>
          <w:rFonts w:ascii="Times New Roman" w:hAnsi="Times New Roman" w:eastAsia="Times New Roman"/>
          <w:lang w:eastAsia="ru-RU"/>
        </w:rPr>
      </w:pPr>
      <w:r>
        <w:rPr>
          <w:rFonts w:ascii="Times New Roman" w:hAnsi="Times New Roman" w:eastAsia="Times New Roman"/>
          <w:lang w:eastAsia="ru-RU"/>
        </w:rPr>
        <w:t>выражать своими словами первоначальное понимание сущности духовного развития как осознания и усвоения человеком значимых для жизни представлений о себе, людях, окружающей действительности;</w:t>
      </w:r>
    </w:p>
    <w:p w14:paraId="3B65D40D">
      <w:pPr>
        <w:pStyle w:val="67"/>
        <w:widowControl/>
        <w:spacing w:after="0" w:line="360" w:lineRule="auto"/>
        <w:ind w:left="0" w:firstLine="709"/>
        <w:jc w:val="both"/>
        <w:rPr>
          <w:rFonts w:ascii="Times New Roman" w:hAnsi="Times New Roman" w:eastAsia="Times New Roman"/>
          <w:lang w:eastAsia="ru-RU"/>
        </w:rPr>
      </w:pPr>
      <w:r>
        <w:rPr>
          <w:rFonts w:ascii="Times New Roman" w:hAnsi="Times New Roman" w:eastAsia="Times New Roman"/>
          <w:lang w:eastAsia="ru-RU"/>
        </w:rPr>
        <w:t>выражать своими словами понимание значимости нравственного совершенствования и роли в этом личных усилий человека, приводить примеры;</w:t>
      </w:r>
    </w:p>
    <w:p w14:paraId="3EAA4D75">
      <w:pPr>
        <w:pStyle w:val="67"/>
        <w:widowControl/>
        <w:spacing w:after="0" w:line="360" w:lineRule="auto"/>
        <w:ind w:left="0" w:firstLine="709"/>
        <w:jc w:val="both"/>
        <w:rPr>
          <w:rFonts w:ascii="Times New Roman" w:hAnsi="Times New Roman" w:eastAsia="Times New Roman"/>
          <w:lang w:eastAsia="ru-RU"/>
        </w:rPr>
      </w:pPr>
      <w:r>
        <w:rPr>
          <w:rFonts w:ascii="Times New Roman" w:hAnsi="Times New Roman" w:eastAsia="Times New Roman"/>
          <w:lang w:eastAsia="ru-RU"/>
        </w:rPr>
        <w:t>выражать понимание и принятие значения российских традиционных духовных и нравственных ценностей, духовно-нравственной культуры народов России, российского общества как источника и основы духовного развития, нравственного совершенствования;</w:t>
      </w:r>
    </w:p>
    <w:p w14:paraId="7260E9E7">
      <w:pPr>
        <w:pStyle w:val="67"/>
        <w:widowControl/>
        <w:spacing w:after="0" w:line="360" w:lineRule="auto"/>
        <w:ind w:left="0" w:firstLine="709"/>
        <w:jc w:val="both"/>
        <w:rPr>
          <w:rFonts w:ascii="Times New Roman" w:hAnsi="Times New Roman" w:eastAsia="Times New Roman"/>
          <w:lang w:eastAsia="ru-RU"/>
        </w:rPr>
      </w:pPr>
      <w:r>
        <w:rPr>
          <w:rFonts w:ascii="Times New Roman" w:hAnsi="Times New Roman" w:eastAsia="Times New Roman"/>
          <w:lang w:eastAsia="ru-RU"/>
        </w:rPr>
        <w:t>рассказывать о нравственных заповедях, нормах христианской морали, их значении в выстраивании отношений в семье, между людьми, в общении и деятельности;</w:t>
      </w:r>
    </w:p>
    <w:p w14:paraId="44368B37">
      <w:pPr>
        <w:pStyle w:val="67"/>
        <w:widowControl/>
        <w:spacing w:after="0" w:line="360" w:lineRule="auto"/>
        <w:ind w:left="0" w:firstLine="709"/>
        <w:jc w:val="both"/>
        <w:rPr>
          <w:rFonts w:ascii="Times New Roman" w:hAnsi="Times New Roman" w:eastAsia="Times New Roman"/>
          <w:lang w:eastAsia="ru-RU"/>
        </w:rPr>
      </w:pPr>
      <w:r>
        <w:rPr>
          <w:rFonts w:ascii="Times New Roman" w:hAnsi="Times New Roman" w:eastAsia="Times New Roman"/>
          <w:lang w:eastAsia="ru-RU"/>
        </w:rPr>
        <w:t>раскрывать основное содержание нравственных категорий в православной культуре, традиции (любовь, вера, милосердие, прощение, покаяние, сострадание, ответственность, послушание, грех как нарушение заповедей, борьба с грехом, спасение), основное содержание и соотношение ветхозаветных Десяти заповедей и Евангельских заповедей Блаженств, христианского нравственного идеала, объяснять «золотое правило нравственности» в православной христианской традиции;</w:t>
      </w:r>
    </w:p>
    <w:p w14:paraId="5E55F61E">
      <w:pPr>
        <w:pStyle w:val="67"/>
        <w:widowControl/>
        <w:spacing w:after="0" w:line="360" w:lineRule="auto"/>
        <w:ind w:left="0" w:firstLine="709"/>
        <w:jc w:val="both"/>
        <w:rPr>
          <w:rFonts w:ascii="Times New Roman" w:hAnsi="Times New Roman" w:eastAsia="Times New Roman"/>
          <w:lang w:eastAsia="ru-RU"/>
        </w:rPr>
      </w:pPr>
      <w:r>
        <w:rPr>
          <w:rFonts w:ascii="Times New Roman" w:hAnsi="Times New Roman" w:eastAsia="Times New Roman"/>
          <w:lang w:eastAsia="ru-RU"/>
        </w:rPr>
        <w:t>первоначальный опыт осмысления и нравственной оценки поступков, поведения (своих и других людей) с позиций православной этики;</w:t>
      </w:r>
    </w:p>
    <w:p w14:paraId="73DCCBA5">
      <w:pPr>
        <w:pStyle w:val="67"/>
        <w:widowControl/>
        <w:spacing w:after="0" w:line="360" w:lineRule="auto"/>
        <w:ind w:left="0" w:firstLine="709"/>
        <w:jc w:val="both"/>
        <w:rPr>
          <w:rFonts w:ascii="Times New Roman" w:hAnsi="Times New Roman" w:eastAsia="Times New Roman"/>
          <w:lang w:eastAsia="ru-RU"/>
        </w:rPr>
      </w:pPr>
      <w:r>
        <w:rPr>
          <w:rFonts w:ascii="Times New Roman" w:hAnsi="Times New Roman" w:eastAsia="Times New Roman"/>
          <w:lang w:eastAsia="ru-RU"/>
        </w:rPr>
        <w:t>раскрывать своими словами первоначальные представления о мировоззрении (картине мира) в православии, вероучении о Боге-Троице, Творении, человеке, Богочеловеке Иисусе Христе как Спасителе, Церкви;</w:t>
      </w:r>
    </w:p>
    <w:p w14:paraId="28582B8F">
      <w:pPr>
        <w:pStyle w:val="67"/>
        <w:widowControl/>
        <w:spacing w:after="0" w:line="360" w:lineRule="auto"/>
        <w:ind w:left="0" w:firstLine="709"/>
        <w:jc w:val="both"/>
        <w:rPr>
          <w:rFonts w:ascii="Times New Roman" w:hAnsi="Times New Roman" w:eastAsia="Times New Roman"/>
          <w:lang w:eastAsia="ru-RU"/>
        </w:rPr>
      </w:pPr>
      <w:r>
        <w:rPr>
          <w:rFonts w:ascii="Times New Roman" w:hAnsi="Times New Roman" w:eastAsia="Times New Roman"/>
          <w:lang w:eastAsia="ru-RU"/>
        </w:rPr>
        <w:t>рассказывать о Священном Писании Церкви – Библии (Ветхий Завет, Новый Завет, Евангелия и евангелисты), апостолах, святых и житиях святых, священнослужителях, богослужениях, молитвах, Таинствах (общее число Таинств, смысл Таинств Крещения, Причастия, Венчания, Исповеди), монашестве и монастырях в православной традиции;</w:t>
      </w:r>
    </w:p>
    <w:p w14:paraId="669F86F5">
      <w:pPr>
        <w:pStyle w:val="67"/>
        <w:widowControl/>
        <w:spacing w:after="0" w:line="360" w:lineRule="auto"/>
        <w:ind w:left="0" w:firstLine="709"/>
        <w:jc w:val="both"/>
        <w:rPr>
          <w:rFonts w:ascii="Times New Roman" w:hAnsi="Times New Roman" w:eastAsia="Times New Roman"/>
          <w:lang w:eastAsia="ru-RU"/>
        </w:rPr>
      </w:pPr>
      <w:r>
        <w:rPr>
          <w:rFonts w:ascii="Times New Roman" w:hAnsi="Times New Roman" w:eastAsia="Times New Roman"/>
          <w:lang w:eastAsia="ru-RU"/>
        </w:rPr>
        <w:t>рассказывать о назначении и устройстве православного храма (собственно храм, притвор, алтарь, иконы, иконостас), нормах поведения в храме, общения с мирянами и священнослужителями;</w:t>
      </w:r>
    </w:p>
    <w:p w14:paraId="02CA8C6F">
      <w:pPr>
        <w:pStyle w:val="67"/>
        <w:widowControl/>
        <w:spacing w:after="0" w:line="360" w:lineRule="auto"/>
        <w:ind w:left="0" w:firstLine="709"/>
        <w:jc w:val="both"/>
        <w:rPr>
          <w:rFonts w:ascii="Times New Roman" w:hAnsi="Times New Roman" w:eastAsia="Times New Roman"/>
          <w:lang w:eastAsia="ru-RU"/>
        </w:rPr>
      </w:pPr>
      <w:r>
        <w:rPr>
          <w:rFonts w:ascii="Times New Roman" w:hAnsi="Times New Roman" w:eastAsia="Times New Roman"/>
          <w:lang w:eastAsia="ru-RU"/>
        </w:rPr>
        <w:t>рассказывать о православных праздниках (не менее трёх, включая Воскресение Христово и Рождество Христово), православных постах, назначении поста;</w:t>
      </w:r>
    </w:p>
    <w:p w14:paraId="4F436C84">
      <w:pPr>
        <w:pStyle w:val="67"/>
        <w:widowControl/>
        <w:spacing w:after="0" w:line="360" w:lineRule="auto"/>
        <w:ind w:left="0" w:firstLine="709"/>
        <w:jc w:val="both"/>
        <w:rPr>
          <w:rFonts w:ascii="Times New Roman" w:hAnsi="Times New Roman" w:eastAsia="Times New Roman"/>
          <w:lang w:eastAsia="ru-RU"/>
        </w:rPr>
      </w:pPr>
      <w:r>
        <w:rPr>
          <w:rFonts w:ascii="Times New Roman" w:hAnsi="Times New Roman" w:eastAsia="Times New Roman"/>
          <w:lang w:eastAsia="ru-RU"/>
        </w:rPr>
        <w:t>раскрывать основное содержание норм отношений в православной семье, обязанностей и ответственности членов семьи, отношении детей к отцу, матери, братьям и сёстрам, старшим по возрасту, предкам, православных семейных ценностей;</w:t>
      </w:r>
    </w:p>
    <w:p w14:paraId="00CBCC23">
      <w:pPr>
        <w:pStyle w:val="67"/>
        <w:widowControl/>
        <w:spacing w:after="0" w:line="360" w:lineRule="auto"/>
        <w:ind w:left="0" w:firstLine="709"/>
        <w:jc w:val="both"/>
        <w:rPr>
          <w:rFonts w:ascii="Times New Roman" w:hAnsi="Times New Roman" w:eastAsia="Times New Roman"/>
          <w:lang w:eastAsia="ru-RU"/>
        </w:rPr>
      </w:pPr>
      <w:r>
        <w:rPr>
          <w:rFonts w:ascii="Times New Roman" w:hAnsi="Times New Roman" w:eastAsia="Times New Roman"/>
          <w:lang w:eastAsia="ru-RU"/>
        </w:rPr>
        <w:t>распознавать христианскую символику, объяснять своими словами её смысл (православный крест) и значение в православной культуре;</w:t>
      </w:r>
    </w:p>
    <w:p w14:paraId="080F23DD">
      <w:pPr>
        <w:pStyle w:val="67"/>
        <w:widowControl/>
        <w:spacing w:after="0" w:line="360" w:lineRule="auto"/>
        <w:ind w:left="0" w:firstLine="709"/>
        <w:jc w:val="both"/>
        <w:rPr>
          <w:rFonts w:ascii="Times New Roman" w:hAnsi="Times New Roman" w:eastAsia="Times New Roman"/>
          <w:lang w:eastAsia="ru-RU"/>
        </w:rPr>
      </w:pPr>
      <w:r>
        <w:rPr>
          <w:rFonts w:ascii="Times New Roman" w:hAnsi="Times New Roman" w:eastAsia="Times New Roman"/>
          <w:lang w:eastAsia="ru-RU"/>
        </w:rPr>
        <w:t>рассказывать о художественной культуре в православной традиции, об иконописи, выделять и объяснять особенности икон в сравнении с картинами;</w:t>
      </w:r>
    </w:p>
    <w:p w14:paraId="268CF4C4">
      <w:pPr>
        <w:pStyle w:val="67"/>
        <w:widowControl/>
        <w:spacing w:after="0" w:line="360" w:lineRule="auto"/>
        <w:ind w:left="0" w:firstLine="709"/>
        <w:jc w:val="both"/>
        <w:rPr>
          <w:rFonts w:ascii="Times New Roman" w:hAnsi="Times New Roman" w:eastAsia="Times New Roman"/>
          <w:lang w:eastAsia="ru-RU"/>
        </w:rPr>
      </w:pPr>
      <w:r>
        <w:rPr>
          <w:rFonts w:ascii="Times New Roman" w:hAnsi="Times New Roman" w:eastAsia="Times New Roman"/>
          <w:lang w:eastAsia="ru-RU"/>
        </w:rPr>
        <w:t>излагать основные исторические сведения о возникновении православной религиозной традиции в России (Крещение Руси), своими словами объяснять роль православия в становлении культуры народов России, российской культуры и государственности;</w:t>
      </w:r>
    </w:p>
    <w:p w14:paraId="6F72201D">
      <w:pPr>
        <w:pStyle w:val="67"/>
        <w:widowControl/>
        <w:spacing w:after="0" w:line="360" w:lineRule="auto"/>
        <w:ind w:left="0" w:firstLine="709"/>
        <w:jc w:val="both"/>
        <w:rPr>
          <w:rFonts w:ascii="Times New Roman" w:hAnsi="Times New Roman" w:eastAsia="Times New Roman"/>
          <w:lang w:eastAsia="ru-RU"/>
        </w:rPr>
      </w:pPr>
      <w:r>
        <w:rPr>
          <w:rFonts w:ascii="Times New Roman" w:hAnsi="Times New Roman" w:eastAsia="Times New Roman"/>
          <w:lang w:eastAsia="ru-RU"/>
        </w:rPr>
        <w:t>первоначальный опыт поисковой, проектной деятельности по изучению православного исторического и культурного наследия в своей местности, регионе (храмы, монастыри, святыни, памятные и святые места), оформлению и представлению её результатов;</w:t>
      </w:r>
    </w:p>
    <w:p w14:paraId="4BA91FE4">
      <w:pPr>
        <w:pStyle w:val="67"/>
        <w:widowControl/>
        <w:spacing w:after="0" w:line="360" w:lineRule="auto"/>
        <w:ind w:left="0" w:firstLine="709"/>
        <w:jc w:val="both"/>
        <w:rPr>
          <w:rFonts w:ascii="Times New Roman" w:hAnsi="Times New Roman" w:eastAsia="Times New Roman"/>
          <w:lang w:eastAsia="ru-RU"/>
        </w:rPr>
      </w:pPr>
      <w:r>
        <w:rPr>
          <w:rFonts w:ascii="Times New Roman" w:hAnsi="Times New Roman" w:eastAsia="Times New Roman"/>
          <w:lang w:eastAsia="ru-RU"/>
        </w:rPr>
        <w:t>приводить примеры нравственных поступков, совершаемых с использованием этических норм религиозной культуры и внутренней установки личности, поступать согласно своей совести;</w:t>
      </w:r>
    </w:p>
    <w:p w14:paraId="7BA2B96F">
      <w:pPr>
        <w:pStyle w:val="67"/>
        <w:widowControl/>
        <w:spacing w:after="0" w:line="360" w:lineRule="auto"/>
        <w:ind w:left="0" w:firstLine="709"/>
        <w:jc w:val="both"/>
        <w:rPr>
          <w:rFonts w:ascii="Times New Roman" w:hAnsi="Times New Roman" w:eastAsia="Times New Roman"/>
          <w:lang w:eastAsia="ru-RU"/>
        </w:rPr>
      </w:pPr>
      <w:r>
        <w:rPr>
          <w:rFonts w:ascii="Times New Roman" w:hAnsi="Times New Roman" w:eastAsia="Times New Roman"/>
          <w:lang w:eastAsia="ru-RU"/>
        </w:rPr>
        <w:t>выражать своими словами понимание свободы мировоззренческого выбора, отношения человека, людей в обществе к религии, свободы вероисповедания, понимание российского общества как многоэтничного и многорелигиозного (приводить примеры), понимание российского общенародного (общенационального, гражданского) патриотизма, любви к Отечеству, нашей общей Родине – России, приводить примеры сотрудничества последователей традиционных религий;</w:t>
      </w:r>
    </w:p>
    <w:p w14:paraId="24789641">
      <w:pPr>
        <w:pStyle w:val="67"/>
        <w:widowControl/>
        <w:spacing w:after="0" w:line="360" w:lineRule="auto"/>
        <w:ind w:left="0" w:firstLine="709"/>
        <w:jc w:val="both"/>
        <w:rPr>
          <w:rFonts w:ascii="Times New Roman" w:hAnsi="Times New Roman" w:eastAsia="Times New Roman"/>
          <w:lang w:eastAsia="ru-RU"/>
        </w:rPr>
      </w:pPr>
      <w:r>
        <w:rPr>
          <w:rFonts w:ascii="Times New Roman" w:hAnsi="Times New Roman" w:eastAsia="Times New Roman"/>
          <w:lang w:eastAsia="ru-RU"/>
        </w:rPr>
        <w:t>называть традиционные религии в России (не менее трёх, кроме изучаемой), народы России, для которых традиционными религиями исторически являются православие, ислам, буддизм, иудаизм;</w:t>
      </w:r>
    </w:p>
    <w:p w14:paraId="3F7CE248">
      <w:pPr>
        <w:pStyle w:val="67"/>
        <w:widowControl/>
        <w:spacing w:after="0" w:line="360" w:lineRule="auto"/>
        <w:ind w:left="0" w:firstLine="709"/>
        <w:jc w:val="both"/>
        <w:rPr>
          <w:rFonts w:ascii="Times New Roman" w:hAnsi="Times New Roman" w:eastAsia="Times New Roman"/>
          <w:lang w:eastAsia="ru-RU"/>
        </w:rPr>
      </w:pPr>
      <w:r>
        <w:rPr>
          <w:rFonts w:ascii="Times New Roman" w:hAnsi="Times New Roman" w:eastAsia="Times New Roman"/>
          <w:lang w:eastAsia="ru-RU"/>
        </w:rPr>
        <w:t>выражать своими словами понимание человеческого достоинства, ценности человеческой жизни в православной духовно-нравственной культуре, традиции.</w:t>
      </w:r>
    </w:p>
    <w:p w14:paraId="43BCDF2E">
      <w:pPr>
        <w:pStyle w:val="67"/>
        <w:widowControl/>
        <w:spacing w:after="0" w:line="360" w:lineRule="auto"/>
        <w:ind w:left="0" w:firstLine="709"/>
        <w:jc w:val="both"/>
        <w:rPr>
          <w:rFonts w:ascii="Times New Roman" w:hAnsi="Times New Roman" w:eastAsia="Times New Roman"/>
          <w:lang w:eastAsia="ru-RU"/>
        </w:rPr>
      </w:pPr>
      <w:r>
        <w:rPr>
          <w:rFonts w:ascii="Times New Roman" w:hAnsi="Times New Roman" w:eastAsia="Times New Roman"/>
          <w:lang w:eastAsia="ru-RU"/>
        </w:rPr>
        <w:t>12.7.3.2. Модуль «Основы исламской культуры».</w:t>
      </w:r>
    </w:p>
    <w:p w14:paraId="58E2CD9C">
      <w:pPr>
        <w:pStyle w:val="67"/>
        <w:widowControl/>
        <w:spacing w:after="0" w:line="360" w:lineRule="auto"/>
        <w:ind w:left="0" w:firstLine="709"/>
        <w:jc w:val="both"/>
        <w:rPr>
          <w:rFonts w:ascii="Times New Roman" w:hAnsi="Times New Roman" w:eastAsia="Times New Roman"/>
          <w:lang w:eastAsia="ru-RU"/>
        </w:rPr>
      </w:pPr>
      <w:r>
        <w:rPr>
          <w:rFonts w:ascii="Times New Roman" w:hAnsi="Times New Roman" w:eastAsia="Times New Roman"/>
          <w:lang w:eastAsia="ru-RU"/>
        </w:rPr>
        <w:t>Предметные результаты освоения образовательной программы модуля «Основы исламской культуры» должны отражать сформированность умений:</w:t>
      </w:r>
    </w:p>
    <w:p w14:paraId="5D55579A">
      <w:pPr>
        <w:pStyle w:val="67"/>
        <w:widowControl/>
        <w:spacing w:after="0" w:line="360" w:lineRule="auto"/>
        <w:ind w:left="0" w:firstLine="709"/>
        <w:jc w:val="both"/>
        <w:rPr>
          <w:rFonts w:ascii="Times New Roman" w:hAnsi="Times New Roman" w:eastAsia="Times New Roman"/>
          <w:lang w:eastAsia="ru-RU"/>
        </w:rPr>
      </w:pPr>
      <w:r>
        <w:rPr>
          <w:rFonts w:ascii="Times New Roman" w:hAnsi="Times New Roman" w:eastAsia="Times New Roman"/>
          <w:lang w:eastAsia="ru-RU"/>
        </w:rPr>
        <w:t>выражать своими словами первоначальное понимание сущности духовного развития как осознания и усвоения человеком значимых для жизни представлений о себе, людях, окружающей действительности;</w:t>
      </w:r>
    </w:p>
    <w:p w14:paraId="2FA0BDEF">
      <w:pPr>
        <w:pStyle w:val="67"/>
        <w:widowControl/>
        <w:spacing w:after="0" w:line="360" w:lineRule="auto"/>
        <w:ind w:left="0" w:firstLine="709"/>
        <w:jc w:val="both"/>
        <w:rPr>
          <w:rFonts w:ascii="Times New Roman" w:hAnsi="Times New Roman" w:eastAsia="Times New Roman"/>
          <w:lang w:eastAsia="ru-RU"/>
        </w:rPr>
      </w:pPr>
      <w:r>
        <w:rPr>
          <w:rFonts w:ascii="Times New Roman" w:hAnsi="Times New Roman" w:eastAsia="Times New Roman"/>
          <w:lang w:eastAsia="ru-RU"/>
        </w:rPr>
        <w:t>выражать своими словами понимание значимости нравственного совершенствования и роли в этом личных усилий человека, приводить примеры;</w:t>
      </w:r>
    </w:p>
    <w:p w14:paraId="3188AFE2">
      <w:pPr>
        <w:pStyle w:val="67"/>
        <w:widowControl/>
        <w:spacing w:after="0" w:line="360" w:lineRule="auto"/>
        <w:ind w:left="0" w:firstLine="709"/>
        <w:jc w:val="both"/>
        <w:rPr>
          <w:rFonts w:ascii="Times New Roman" w:hAnsi="Times New Roman" w:eastAsia="Times New Roman"/>
          <w:lang w:eastAsia="ru-RU"/>
        </w:rPr>
      </w:pPr>
      <w:r>
        <w:rPr>
          <w:rFonts w:ascii="Times New Roman" w:hAnsi="Times New Roman" w:eastAsia="Times New Roman"/>
          <w:lang w:eastAsia="ru-RU"/>
        </w:rPr>
        <w:t>выражать понимание и принятие значения российских традиционных духовных и нравственных ценностей, духовно-нравственной культуры народов России, российского общества как источника и основы духовного развития, нравственного совершенствования;</w:t>
      </w:r>
    </w:p>
    <w:p w14:paraId="7C2019CE">
      <w:pPr>
        <w:pStyle w:val="67"/>
        <w:widowControl/>
        <w:spacing w:after="0" w:line="360" w:lineRule="auto"/>
        <w:ind w:left="0" w:firstLine="709"/>
        <w:jc w:val="both"/>
        <w:rPr>
          <w:rFonts w:ascii="Times New Roman" w:hAnsi="Times New Roman" w:eastAsia="Times New Roman"/>
          <w:lang w:eastAsia="ru-RU"/>
        </w:rPr>
      </w:pPr>
      <w:r>
        <w:rPr>
          <w:rFonts w:ascii="Times New Roman" w:hAnsi="Times New Roman" w:eastAsia="Times New Roman"/>
          <w:lang w:eastAsia="ru-RU"/>
        </w:rPr>
        <w:t>рассказывать о нравственных заповедях, нормах исламской религиозной морали, их значении в выстраивании отношений в семье, между людьми, в общении и деятельности;</w:t>
      </w:r>
    </w:p>
    <w:p w14:paraId="1E36480A">
      <w:pPr>
        <w:pStyle w:val="67"/>
        <w:widowControl/>
        <w:spacing w:after="0" w:line="360" w:lineRule="auto"/>
        <w:ind w:left="0" w:firstLine="709"/>
        <w:jc w:val="both"/>
        <w:rPr>
          <w:rFonts w:ascii="Times New Roman" w:hAnsi="Times New Roman" w:eastAsia="Times New Roman"/>
          <w:lang w:eastAsia="ru-RU"/>
        </w:rPr>
      </w:pPr>
      <w:r>
        <w:rPr>
          <w:rFonts w:ascii="Times New Roman" w:hAnsi="Times New Roman" w:eastAsia="Times New Roman"/>
          <w:lang w:eastAsia="ru-RU"/>
        </w:rPr>
        <w:t>раскрывать основное содержание нравственных категорий в исламской культуре, традиции (вера, искренность, милосердие, ответственность, справедливость, честность, великодушие, скромность, верность, терпение, выдержка, достойное поведение, стремление к знаниям);</w:t>
      </w:r>
    </w:p>
    <w:p w14:paraId="0B5BFE5B">
      <w:pPr>
        <w:pStyle w:val="67"/>
        <w:widowControl/>
        <w:spacing w:after="0" w:line="360" w:lineRule="auto"/>
        <w:ind w:left="0" w:firstLine="709"/>
        <w:jc w:val="both"/>
        <w:rPr>
          <w:rFonts w:ascii="Times New Roman" w:hAnsi="Times New Roman" w:eastAsia="Times New Roman"/>
          <w:lang w:eastAsia="ru-RU"/>
        </w:rPr>
      </w:pPr>
      <w:r>
        <w:rPr>
          <w:rFonts w:ascii="Times New Roman" w:hAnsi="Times New Roman" w:eastAsia="Times New Roman"/>
          <w:lang w:eastAsia="ru-RU"/>
        </w:rPr>
        <w:t>первоначальный опыт осмысления и нравственной оценки поступков, поведения (своих и других людей) с позиций исламской этики;</w:t>
      </w:r>
    </w:p>
    <w:p w14:paraId="0EF124AC">
      <w:pPr>
        <w:pStyle w:val="67"/>
        <w:widowControl/>
        <w:spacing w:after="0" w:line="360" w:lineRule="auto"/>
        <w:ind w:left="0" w:firstLine="709"/>
        <w:jc w:val="both"/>
        <w:rPr>
          <w:rFonts w:ascii="Times New Roman" w:hAnsi="Times New Roman" w:eastAsia="Times New Roman"/>
          <w:lang w:eastAsia="ru-RU"/>
        </w:rPr>
      </w:pPr>
      <w:r>
        <w:rPr>
          <w:rFonts w:ascii="Times New Roman" w:hAnsi="Times New Roman" w:eastAsia="Times New Roman"/>
          <w:lang w:eastAsia="ru-RU"/>
        </w:rPr>
        <w:t>раскрывать своими словами первоначальные представления о мировоззрении (картине мира) в исламской культуре, единобожии, вере и её основах;</w:t>
      </w:r>
    </w:p>
    <w:p w14:paraId="35237FDC">
      <w:pPr>
        <w:pStyle w:val="67"/>
        <w:widowControl/>
        <w:spacing w:after="0" w:line="360" w:lineRule="auto"/>
        <w:ind w:left="0" w:firstLine="709"/>
        <w:jc w:val="both"/>
        <w:rPr>
          <w:rFonts w:ascii="Times New Roman" w:hAnsi="Times New Roman" w:eastAsia="Times New Roman"/>
          <w:lang w:eastAsia="ru-RU"/>
        </w:rPr>
      </w:pPr>
      <w:r>
        <w:rPr>
          <w:rFonts w:ascii="Times New Roman" w:hAnsi="Times New Roman" w:eastAsia="Times New Roman"/>
          <w:lang w:eastAsia="ru-RU"/>
        </w:rPr>
        <w:t>рассказывать о Священном Коране и сунне – примерах из жизни пророка Мухаммада, о праведных предках, о ритуальной практике в исламе (намаз, хадж, пост, закят, дуа, зикр);</w:t>
      </w:r>
    </w:p>
    <w:p w14:paraId="28AA0C90">
      <w:pPr>
        <w:pStyle w:val="67"/>
        <w:widowControl/>
        <w:spacing w:after="0" w:line="360" w:lineRule="auto"/>
        <w:ind w:left="0" w:firstLine="709"/>
        <w:jc w:val="both"/>
        <w:rPr>
          <w:rFonts w:ascii="Times New Roman" w:hAnsi="Times New Roman" w:eastAsia="Times New Roman"/>
          <w:lang w:eastAsia="ru-RU"/>
        </w:rPr>
      </w:pPr>
      <w:r>
        <w:rPr>
          <w:rFonts w:ascii="Times New Roman" w:hAnsi="Times New Roman" w:eastAsia="Times New Roman"/>
          <w:lang w:eastAsia="ru-RU"/>
        </w:rPr>
        <w:t>рассказывать о назначении и устройстве мечети (минбар, михраб), нормах поведения в мечети, общения с верующими и служителями ислама;</w:t>
      </w:r>
    </w:p>
    <w:p w14:paraId="2E173496">
      <w:pPr>
        <w:pStyle w:val="67"/>
        <w:widowControl/>
        <w:spacing w:after="0" w:line="360" w:lineRule="auto"/>
        <w:ind w:left="0" w:firstLine="709"/>
        <w:jc w:val="both"/>
        <w:rPr>
          <w:rFonts w:ascii="Times New Roman" w:hAnsi="Times New Roman" w:eastAsia="Times New Roman"/>
          <w:lang w:eastAsia="ru-RU"/>
        </w:rPr>
      </w:pPr>
      <w:r>
        <w:rPr>
          <w:rFonts w:ascii="Times New Roman" w:hAnsi="Times New Roman" w:eastAsia="Times New Roman"/>
          <w:lang w:eastAsia="ru-RU"/>
        </w:rPr>
        <w:t>рассказывать о праздниках в исламе (Ураза-байрам, Курбан-байрам, Маулид);</w:t>
      </w:r>
    </w:p>
    <w:p w14:paraId="26EC16ED">
      <w:pPr>
        <w:pStyle w:val="67"/>
        <w:widowControl/>
        <w:spacing w:after="0" w:line="360" w:lineRule="auto"/>
        <w:ind w:left="0" w:firstLine="709"/>
        <w:jc w:val="both"/>
        <w:rPr>
          <w:rFonts w:ascii="Times New Roman" w:hAnsi="Times New Roman" w:eastAsia="Times New Roman"/>
          <w:lang w:eastAsia="ru-RU"/>
        </w:rPr>
      </w:pPr>
      <w:r>
        <w:rPr>
          <w:rFonts w:ascii="Times New Roman" w:hAnsi="Times New Roman" w:eastAsia="Times New Roman"/>
          <w:lang w:eastAsia="ru-RU"/>
        </w:rPr>
        <w:t>раскрывать основное содержание норм отношений в исламской семье, обязанностей и ответственности членов семьи, норм отношений детей к отцу, матери, братьям и сёстрам, старшим по возрасту, предкам, норм отношений с дальними родственниками, соседями, исламских семейных ценностей;</w:t>
      </w:r>
    </w:p>
    <w:p w14:paraId="0F08B6E3">
      <w:pPr>
        <w:pStyle w:val="67"/>
        <w:widowControl/>
        <w:spacing w:after="0" w:line="360" w:lineRule="auto"/>
        <w:ind w:left="0" w:firstLine="709"/>
        <w:jc w:val="both"/>
        <w:rPr>
          <w:rFonts w:ascii="Times New Roman" w:hAnsi="Times New Roman" w:eastAsia="Times New Roman"/>
          <w:lang w:eastAsia="ru-RU"/>
        </w:rPr>
      </w:pPr>
      <w:r>
        <w:rPr>
          <w:rFonts w:ascii="Times New Roman" w:hAnsi="Times New Roman" w:eastAsia="Times New Roman"/>
          <w:lang w:eastAsia="ru-RU"/>
        </w:rPr>
        <w:t>распознавать исламскую символику, объяснять своими словами её смысл и охарактеризовать назначение исламского орнамента;</w:t>
      </w:r>
    </w:p>
    <w:p w14:paraId="7786E0B4">
      <w:pPr>
        <w:pStyle w:val="67"/>
        <w:widowControl/>
        <w:spacing w:after="0" w:line="360" w:lineRule="auto"/>
        <w:ind w:left="0" w:firstLine="709"/>
        <w:jc w:val="both"/>
        <w:rPr>
          <w:rFonts w:ascii="Times New Roman" w:hAnsi="Times New Roman" w:eastAsia="Times New Roman"/>
          <w:lang w:eastAsia="ru-RU"/>
        </w:rPr>
      </w:pPr>
      <w:r>
        <w:rPr>
          <w:rFonts w:ascii="Times New Roman" w:hAnsi="Times New Roman" w:eastAsia="Times New Roman"/>
          <w:lang w:eastAsia="ru-RU"/>
        </w:rPr>
        <w:t>рассказывать о художественной культуре в исламской традиции, религиозных напевах, каллиграфии, архитектуре, книжной миниатюре, религиозной атрибутике, одежде;</w:t>
      </w:r>
    </w:p>
    <w:p w14:paraId="04257825">
      <w:pPr>
        <w:pStyle w:val="67"/>
        <w:widowControl/>
        <w:spacing w:after="0" w:line="360" w:lineRule="auto"/>
        <w:ind w:left="0" w:firstLine="709"/>
        <w:jc w:val="both"/>
        <w:rPr>
          <w:rFonts w:ascii="Times New Roman" w:hAnsi="Times New Roman" w:eastAsia="Times New Roman"/>
          <w:lang w:eastAsia="ru-RU"/>
        </w:rPr>
      </w:pPr>
      <w:r>
        <w:rPr>
          <w:rFonts w:ascii="Times New Roman" w:hAnsi="Times New Roman" w:eastAsia="Times New Roman"/>
          <w:lang w:eastAsia="ru-RU"/>
        </w:rPr>
        <w:t>излагать основные исторические сведения о возникновении исламской религиозной традиции в России, своими словами объяснять роль ислама в становлении культуры народов России, российской культуры и государственности;</w:t>
      </w:r>
    </w:p>
    <w:p w14:paraId="3532FDC8">
      <w:pPr>
        <w:pStyle w:val="67"/>
        <w:widowControl/>
        <w:spacing w:after="0" w:line="360" w:lineRule="auto"/>
        <w:ind w:left="0" w:firstLine="709"/>
        <w:jc w:val="both"/>
        <w:rPr>
          <w:rFonts w:ascii="Times New Roman" w:hAnsi="Times New Roman" w:eastAsia="Times New Roman"/>
          <w:lang w:eastAsia="ru-RU"/>
        </w:rPr>
      </w:pPr>
      <w:r>
        <w:rPr>
          <w:rFonts w:ascii="Times New Roman" w:hAnsi="Times New Roman" w:eastAsia="Times New Roman"/>
          <w:lang w:eastAsia="ru-RU"/>
        </w:rPr>
        <w:t>первоначальный опыт поисковой, проектной деятельности по изучению исламского исторического и культурного наследия в своей местности, регионе (мечети, медресе, памятные и святые места), оформлению и представлению её результатов;</w:t>
      </w:r>
    </w:p>
    <w:p w14:paraId="68284337">
      <w:pPr>
        <w:pStyle w:val="67"/>
        <w:widowControl/>
        <w:spacing w:after="0" w:line="360" w:lineRule="auto"/>
        <w:ind w:left="0" w:firstLine="709"/>
        <w:jc w:val="both"/>
        <w:rPr>
          <w:rFonts w:ascii="Times New Roman" w:hAnsi="Times New Roman" w:eastAsia="Times New Roman"/>
          <w:lang w:eastAsia="ru-RU"/>
        </w:rPr>
      </w:pPr>
      <w:r>
        <w:rPr>
          <w:rFonts w:ascii="Times New Roman" w:hAnsi="Times New Roman" w:eastAsia="Times New Roman"/>
          <w:lang w:eastAsia="ru-RU"/>
        </w:rPr>
        <w:t>приводить примеры нравственных поступков, совершаемых с использованием этических норм религиозной культуры и внутренней установки личности поступать согласно своей совести;</w:t>
      </w:r>
    </w:p>
    <w:p w14:paraId="6C0CB70D">
      <w:pPr>
        <w:pStyle w:val="67"/>
        <w:widowControl/>
        <w:spacing w:after="0" w:line="360" w:lineRule="auto"/>
        <w:ind w:left="0" w:firstLine="709"/>
        <w:jc w:val="both"/>
        <w:rPr>
          <w:rFonts w:ascii="Times New Roman" w:hAnsi="Times New Roman" w:eastAsia="Times New Roman"/>
          <w:lang w:eastAsia="ru-RU"/>
        </w:rPr>
      </w:pPr>
      <w:r>
        <w:rPr>
          <w:rFonts w:ascii="Times New Roman" w:hAnsi="Times New Roman" w:eastAsia="Times New Roman"/>
          <w:lang w:eastAsia="ru-RU"/>
        </w:rPr>
        <w:t>выражать своими словами понимание свободы мировоззренческого выбора, отношения человека, людей в обществе к религии, свободы вероисповедания, понимание российского общества как многоэтничного и многорелигиозного (приводить примеры), понимание российского общенародного (общенационального, гражданского) патриотизма, любви к Отечеству, нашей общей Родине – России, приводить примеры сотрудничества последователей традиционных религий;</w:t>
      </w:r>
    </w:p>
    <w:p w14:paraId="54D1DB3C">
      <w:pPr>
        <w:pStyle w:val="67"/>
        <w:widowControl/>
        <w:spacing w:after="0" w:line="360" w:lineRule="auto"/>
        <w:ind w:left="0" w:firstLine="709"/>
        <w:jc w:val="both"/>
        <w:rPr>
          <w:rFonts w:ascii="Times New Roman" w:hAnsi="Times New Roman" w:eastAsia="Times New Roman"/>
          <w:lang w:eastAsia="ru-RU"/>
        </w:rPr>
      </w:pPr>
      <w:r>
        <w:rPr>
          <w:rFonts w:ascii="Times New Roman" w:hAnsi="Times New Roman" w:eastAsia="Times New Roman"/>
          <w:lang w:eastAsia="ru-RU"/>
        </w:rPr>
        <w:t>называть традиционные религии в России (не менее трёх, кроме изучаемой), народы России, для которых традиционными религиями исторически являются православие, ислам, буддизм, иудаизм;</w:t>
      </w:r>
    </w:p>
    <w:p w14:paraId="40903A21">
      <w:pPr>
        <w:pStyle w:val="67"/>
        <w:widowControl/>
        <w:spacing w:after="0" w:line="360" w:lineRule="auto"/>
        <w:ind w:left="0" w:firstLine="709"/>
        <w:jc w:val="both"/>
        <w:rPr>
          <w:rFonts w:ascii="Times New Roman" w:hAnsi="Times New Roman" w:eastAsia="Times New Roman"/>
          <w:lang w:eastAsia="ru-RU"/>
        </w:rPr>
      </w:pPr>
      <w:r>
        <w:rPr>
          <w:rFonts w:ascii="Times New Roman" w:hAnsi="Times New Roman" w:eastAsia="Times New Roman"/>
          <w:lang w:eastAsia="ru-RU"/>
        </w:rPr>
        <w:t>выражать своими словами понимание человеческого достоинства, ценности человеческой жизни в исламской духовно-нравственной культуре, традиции.</w:t>
      </w:r>
    </w:p>
    <w:p w14:paraId="06CD2F43">
      <w:pPr>
        <w:pStyle w:val="67"/>
        <w:widowControl/>
        <w:spacing w:after="0" w:line="360" w:lineRule="auto"/>
        <w:ind w:left="0" w:firstLine="709"/>
        <w:jc w:val="both"/>
        <w:rPr>
          <w:rFonts w:ascii="Times New Roman" w:hAnsi="Times New Roman" w:eastAsia="Times New Roman"/>
          <w:lang w:eastAsia="ru-RU"/>
        </w:rPr>
      </w:pPr>
      <w:r>
        <w:rPr>
          <w:rFonts w:ascii="Times New Roman" w:hAnsi="Times New Roman" w:eastAsia="Times New Roman"/>
          <w:lang w:eastAsia="ru-RU"/>
        </w:rPr>
        <w:t>12.7.3.3. Модуль «Основы буддийской культуры».</w:t>
      </w:r>
    </w:p>
    <w:p w14:paraId="2B76C9CF">
      <w:pPr>
        <w:pStyle w:val="67"/>
        <w:widowControl/>
        <w:spacing w:after="0" w:line="360" w:lineRule="auto"/>
        <w:ind w:left="0" w:firstLine="709"/>
        <w:jc w:val="both"/>
        <w:rPr>
          <w:rFonts w:ascii="Times New Roman" w:hAnsi="Times New Roman" w:eastAsia="Times New Roman"/>
          <w:lang w:eastAsia="ru-RU"/>
        </w:rPr>
      </w:pPr>
      <w:r>
        <w:rPr>
          <w:rFonts w:ascii="Times New Roman" w:hAnsi="Times New Roman" w:eastAsia="Times New Roman"/>
          <w:lang w:eastAsia="ru-RU"/>
        </w:rPr>
        <w:t>Предметные результаты освоения образовательной программы модуля «Основы буддийской культуры» должны отражать сформированность умений:</w:t>
      </w:r>
    </w:p>
    <w:p w14:paraId="7768510B">
      <w:pPr>
        <w:pStyle w:val="67"/>
        <w:widowControl/>
        <w:spacing w:after="0" w:line="360" w:lineRule="auto"/>
        <w:ind w:left="0" w:firstLine="709"/>
        <w:jc w:val="both"/>
        <w:rPr>
          <w:rFonts w:ascii="Times New Roman" w:hAnsi="Times New Roman" w:eastAsia="Times New Roman"/>
          <w:lang w:eastAsia="ru-RU"/>
        </w:rPr>
      </w:pPr>
      <w:r>
        <w:rPr>
          <w:rFonts w:ascii="Times New Roman" w:hAnsi="Times New Roman" w:eastAsia="Times New Roman"/>
          <w:lang w:eastAsia="ru-RU"/>
        </w:rPr>
        <w:t>выражать своими словами первоначальное понимание сущности духовного развития как осознания и усвоения человеком значимых для жизни представлений о себе, людях, окружающей действительности;</w:t>
      </w:r>
    </w:p>
    <w:p w14:paraId="2CA43D07">
      <w:pPr>
        <w:pStyle w:val="67"/>
        <w:widowControl/>
        <w:spacing w:after="0" w:line="360" w:lineRule="auto"/>
        <w:ind w:left="0" w:firstLine="709"/>
        <w:jc w:val="both"/>
        <w:rPr>
          <w:rFonts w:ascii="Times New Roman" w:hAnsi="Times New Roman" w:eastAsia="Times New Roman"/>
          <w:lang w:eastAsia="ru-RU"/>
        </w:rPr>
      </w:pPr>
      <w:r>
        <w:rPr>
          <w:rFonts w:ascii="Times New Roman" w:hAnsi="Times New Roman" w:eastAsia="Times New Roman"/>
          <w:lang w:eastAsia="ru-RU"/>
        </w:rPr>
        <w:t>выражать своими словами понимание значимости нравственного самосовершенствования и роли в этом личных усилий человека, приводить примеры;</w:t>
      </w:r>
    </w:p>
    <w:p w14:paraId="49DF70DD">
      <w:pPr>
        <w:pStyle w:val="67"/>
        <w:widowControl/>
        <w:spacing w:after="0" w:line="360" w:lineRule="auto"/>
        <w:ind w:left="0" w:firstLine="709"/>
        <w:jc w:val="both"/>
        <w:rPr>
          <w:rFonts w:ascii="Times New Roman" w:hAnsi="Times New Roman" w:eastAsia="Times New Roman"/>
          <w:lang w:eastAsia="ru-RU"/>
        </w:rPr>
      </w:pPr>
      <w:r>
        <w:rPr>
          <w:rFonts w:ascii="Times New Roman" w:hAnsi="Times New Roman" w:eastAsia="Times New Roman"/>
          <w:lang w:eastAsia="ru-RU"/>
        </w:rPr>
        <w:t>выражать понимание и принятие значения российских традиционных духовных и нравственных ценностей, духовно-нравственной культуры народов России, российского общества как источника и основы духовного развития, нравственного совершенствования;</w:t>
      </w:r>
    </w:p>
    <w:p w14:paraId="01E01FC6">
      <w:pPr>
        <w:pStyle w:val="67"/>
        <w:widowControl/>
        <w:spacing w:after="0" w:line="360" w:lineRule="auto"/>
        <w:ind w:left="0" w:firstLine="709"/>
        <w:jc w:val="both"/>
        <w:rPr>
          <w:rFonts w:ascii="Times New Roman" w:hAnsi="Times New Roman" w:eastAsia="Times New Roman"/>
          <w:lang w:eastAsia="ru-RU"/>
        </w:rPr>
      </w:pPr>
      <w:r>
        <w:rPr>
          <w:rFonts w:ascii="Times New Roman" w:hAnsi="Times New Roman" w:eastAsia="Times New Roman"/>
          <w:lang w:eastAsia="ru-RU"/>
        </w:rPr>
        <w:t>рассказывать о нравственных заповедях, нормах буддийской религиозной морали, их значении в выстраивании отношений в семье, между людьми, в общении и деятельности;</w:t>
      </w:r>
    </w:p>
    <w:p w14:paraId="48C8EDB6">
      <w:pPr>
        <w:pStyle w:val="67"/>
        <w:widowControl/>
        <w:spacing w:after="0" w:line="360" w:lineRule="auto"/>
        <w:ind w:left="0" w:firstLine="709"/>
        <w:jc w:val="both"/>
        <w:rPr>
          <w:rFonts w:ascii="Times New Roman" w:hAnsi="Times New Roman" w:eastAsia="Times New Roman"/>
          <w:lang w:eastAsia="ru-RU"/>
        </w:rPr>
      </w:pPr>
      <w:r>
        <w:rPr>
          <w:rFonts w:ascii="Times New Roman" w:hAnsi="Times New Roman" w:eastAsia="Times New Roman"/>
          <w:lang w:eastAsia="ru-RU"/>
        </w:rPr>
        <w:t>раскрывать основное содержание нравственных категорий в буддийской культуре, традиции (сострадание, милосердие, любовь, ответственность, благие и неблагие деяния, освобождение, борьба с неведением, уверенность в себе, постоянство перемен, внимательность), основных идей (учения) Будды о сущности человеческой жизни, цикличности и значения сансары, понимание личности как совокупности всех поступков, значение понятий «правильное воззрение» и «правильное действие»;</w:t>
      </w:r>
    </w:p>
    <w:p w14:paraId="6DD34F29">
      <w:pPr>
        <w:pStyle w:val="67"/>
        <w:widowControl/>
        <w:spacing w:after="0" w:line="360" w:lineRule="auto"/>
        <w:ind w:left="0" w:firstLine="709"/>
        <w:jc w:val="both"/>
        <w:rPr>
          <w:rFonts w:ascii="Times New Roman" w:hAnsi="Times New Roman" w:eastAsia="Times New Roman"/>
          <w:lang w:eastAsia="ru-RU"/>
        </w:rPr>
      </w:pPr>
      <w:r>
        <w:rPr>
          <w:rFonts w:ascii="Times New Roman" w:hAnsi="Times New Roman" w:eastAsia="Times New Roman"/>
          <w:lang w:eastAsia="ru-RU"/>
        </w:rPr>
        <w:t>первоначальный опыт осмысления и нравственной оценки поступков, поведения (своих и других людей) с позиций буддийской этики;</w:t>
      </w:r>
    </w:p>
    <w:p w14:paraId="5154B004">
      <w:pPr>
        <w:pStyle w:val="67"/>
        <w:widowControl/>
        <w:spacing w:after="0" w:line="360" w:lineRule="auto"/>
        <w:ind w:left="0" w:firstLine="709"/>
        <w:jc w:val="both"/>
        <w:rPr>
          <w:rFonts w:ascii="Times New Roman" w:hAnsi="Times New Roman" w:eastAsia="Times New Roman"/>
          <w:lang w:eastAsia="ru-RU"/>
        </w:rPr>
      </w:pPr>
      <w:r>
        <w:rPr>
          <w:rFonts w:ascii="Times New Roman" w:hAnsi="Times New Roman" w:eastAsia="Times New Roman"/>
          <w:lang w:eastAsia="ru-RU"/>
        </w:rPr>
        <w:t>раскрывать своими словами первоначальные представления о мировоззрении (картине мира) в буддийской культуре, учении о Будде (буддах), бодхисатвах, Вселенной, человеке, обществе, сангхе, сансаре и нирване, понимание ценности любой формы жизни как связанной с ценностью человеческой жизни и бытия;</w:t>
      </w:r>
    </w:p>
    <w:p w14:paraId="7258A860">
      <w:pPr>
        <w:pStyle w:val="67"/>
        <w:widowControl/>
        <w:spacing w:after="0" w:line="360" w:lineRule="auto"/>
        <w:ind w:left="0" w:firstLine="709"/>
        <w:jc w:val="both"/>
        <w:rPr>
          <w:rFonts w:ascii="Times New Roman" w:hAnsi="Times New Roman" w:eastAsia="Times New Roman"/>
          <w:lang w:eastAsia="ru-RU"/>
        </w:rPr>
      </w:pPr>
      <w:r>
        <w:rPr>
          <w:rFonts w:ascii="Times New Roman" w:hAnsi="Times New Roman" w:eastAsia="Times New Roman"/>
          <w:lang w:eastAsia="ru-RU"/>
        </w:rPr>
        <w:t>рассказывать о буддийских писаниях, ламах, службах, смысле принятия, восьмеричном пути и карме;</w:t>
      </w:r>
    </w:p>
    <w:p w14:paraId="7A105F3E">
      <w:pPr>
        <w:pStyle w:val="67"/>
        <w:widowControl/>
        <w:spacing w:after="0" w:line="360" w:lineRule="auto"/>
        <w:ind w:left="0" w:firstLine="709"/>
        <w:jc w:val="both"/>
        <w:rPr>
          <w:rFonts w:ascii="Times New Roman" w:hAnsi="Times New Roman" w:eastAsia="Times New Roman"/>
          <w:lang w:eastAsia="ru-RU"/>
        </w:rPr>
      </w:pPr>
      <w:r>
        <w:rPr>
          <w:rFonts w:ascii="Times New Roman" w:hAnsi="Times New Roman" w:eastAsia="Times New Roman"/>
          <w:lang w:eastAsia="ru-RU"/>
        </w:rPr>
        <w:t>рассказывать о назначении и устройстве буддийского храма, нормах поведения в храме, общения с мирскими последователями и ламами;</w:t>
      </w:r>
    </w:p>
    <w:p w14:paraId="3E99C2D7">
      <w:pPr>
        <w:pStyle w:val="67"/>
        <w:widowControl/>
        <w:spacing w:after="0" w:line="360" w:lineRule="auto"/>
        <w:ind w:left="0" w:firstLine="709"/>
        <w:jc w:val="both"/>
        <w:rPr>
          <w:rFonts w:ascii="Times New Roman" w:hAnsi="Times New Roman" w:eastAsia="Times New Roman"/>
          <w:lang w:eastAsia="ru-RU"/>
        </w:rPr>
      </w:pPr>
      <w:r>
        <w:rPr>
          <w:rFonts w:ascii="Times New Roman" w:hAnsi="Times New Roman" w:eastAsia="Times New Roman"/>
          <w:lang w:eastAsia="ru-RU"/>
        </w:rPr>
        <w:t>рассказывать о праздниках в буддизме, аскезе;</w:t>
      </w:r>
    </w:p>
    <w:p w14:paraId="140F02DE">
      <w:pPr>
        <w:pStyle w:val="67"/>
        <w:widowControl/>
        <w:spacing w:after="0" w:line="360" w:lineRule="auto"/>
        <w:ind w:left="0" w:firstLine="709"/>
        <w:jc w:val="both"/>
        <w:rPr>
          <w:rFonts w:ascii="Times New Roman" w:hAnsi="Times New Roman" w:eastAsia="Times New Roman"/>
          <w:lang w:eastAsia="ru-RU"/>
        </w:rPr>
      </w:pPr>
      <w:r>
        <w:rPr>
          <w:rFonts w:ascii="Times New Roman" w:hAnsi="Times New Roman" w:eastAsia="Times New Roman"/>
          <w:lang w:eastAsia="ru-RU"/>
        </w:rPr>
        <w:t>раскрывать основное содержание норм отношений в буддийской семье, обязанностей и ответственности членов семьи, отношении детей к отцу, матери, братьям и сёстрам, старшим по возрасту, предкам, буддийских семейных ценностей;</w:t>
      </w:r>
    </w:p>
    <w:p w14:paraId="7AE9399D">
      <w:pPr>
        <w:pStyle w:val="67"/>
        <w:widowControl/>
        <w:spacing w:after="0" w:line="360" w:lineRule="auto"/>
        <w:ind w:left="0" w:firstLine="709"/>
        <w:jc w:val="both"/>
        <w:rPr>
          <w:rFonts w:ascii="Times New Roman" w:hAnsi="Times New Roman" w:eastAsia="Times New Roman"/>
          <w:lang w:eastAsia="ru-RU"/>
        </w:rPr>
      </w:pPr>
      <w:r>
        <w:rPr>
          <w:rFonts w:ascii="Times New Roman" w:hAnsi="Times New Roman" w:eastAsia="Times New Roman"/>
          <w:lang w:eastAsia="ru-RU"/>
        </w:rPr>
        <w:t>распознавать буддийскую символику, объяснять своими словами её смысл и значение в буддийской культуре;</w:t>
      </w:r>
    </w:p>
    <w:p w14:paraId="6009FE86">
      <w:pPr>
        <w:pStyle w:val="67"/>
        <w:widowControl/>
        <w:spacing w:after="0" w:line="360" w:lineRule="auto"/>
        <w:ind w:left="0" w:firstLine="709"/>
        <w:jc w:val="both"/>
        <w:rPr>
          <w:rFonts w:ascii="Times New Roman" w:hAnsi="Times New Roman" w:eastAsia="Times New Roman"/>
          <w:lang w:eastAsia="ru-RU"/>
        </w:rPr>
      </w:pPr>
      <w:r>
        <w:rPr>
          <w:rFonts w:ascii="Times New Roman" w:hAnsi="Times New Roman" w:eastAsia="Times New Roman"/>
          <w:lang w:eastAsia="ru-RU"/>
        </w:rPr>
        <w:t>рассказывать о художественной культуре в буддийской традиции;</w:t>
      </w:r>
    </w:p>
    <w:p w14:paraId="577EA7EF">
      <w:pPr>
        <w:pStyle w:val="67"/>
        <w:widowControl/>
        <w:spacing w:after="0" w:line="360" w:lineRule="auto"/>
        <w:ind w:left="0" w:firstLine="709"/>
        <w:jc w:val="both"/>
        <w:rPr>
          <w:rFonts w:ascii="Times New Roman" w:hAnsi="Times New Roman" w:eastAsia="Times New Roman"/>
          <w:lang w:eastAsia="ru-RU"/>
        </w:rPr>
      </w:pPr>
      <w:r>
        <w:rPr>
          <w:rFonts w:ascii="Times New Roman" w:hAnsi="Times New Roman" w:eastAsia="Times New Roman"/>
          <w:lang w:eastAsia="ru-RU"/>
        </w:rPr>
        <w:t>излагать основные исторические сведения о возникновении буддийской религиозной традиции в истории и в России, своими словами объяснять роль буддизма в становлении культуры народов России, российской культуры и государственности;</w:t>
      </w:r>
    </w:p>
    <w:p w14:paraId="04DF63EE">
      <w:pPr>
        <w:pStyle w:val="67"/>
        <w:widowControl/>
        <w:spacing w:after="0" w:line="360" w:lineRule="auto"/>
        <w:ind w:left="0" w:firstLine="709"/>
        <w:jc w:val="both"/>
        <w:rPr>
          <w:rFonts w:ascii="Times New Roman" w:hAnsi="Times New Roman" w:eastAsia="Times New Roman"/>
          <w:lang w:eastAsia="ru-RU"/>
        </w:rPr>
      </w:pPr>
      <w:r>
        <w:rPr>
          <w:rFonts w:ascii="Times New Roman" w:hAnsi="Times New Roman" w:eastAsia="Times New Roman"/>
          <w:lang w:eastAsia="ru-RU"/>
        </w:rPr>
        <w:t>первоначальный опыт поисковой, проектной деятельности по изучению буддийского исторического и культурного наследия в своей местности, регионе (храмы, монастыри, святыни, памятные и святые места), оформлению и представлению её результатов;</w:t>
      </w:r>
    </w:p>
    <w:p w14:paraId="02ADD7DD">
      <w:pPr>
        <w:pStyle w:val="67"/>
        <w:widowControl/>
        <w:spacing w:after="0" w:line="360" w:lineRule="auto"/>
        <w:ind w:left="0" w:firstLine="709"/>
        <w:jc w:val="both"/>
        <w:rPr>
          <w:rFonts w:ascii="Times New Roman" w:hAnsi="Times New Roman" w:eastAsia="Times New Roman"/>
          <w:lang w:eastAsia="ru-RU"/>
        </w:rPr>
      </w:pPr>
      <w:r>
        <w:rPr>
          <w:rFonts w:ascii="Times New Roman" w:hAnsi="Times New Roman" w:eastAsia="Times New Roman"/>
          <w:lang w:eastAsia="ru-RU"/>
        </w:rPr>
        <w:t>приводить примеры нравственных поступков, совершаемых с использованием этических норм религиозной культуры и внутренней установки личности, поступать согласно своей совести;</w:t>
      </w:r>
    </w:p>
    <w:p w14:paraId="7D2933C4">
      <w:pPr>
        <w:pStyle w:val="67"/>
        <w:widowControl/>
        <w:spacing w:after="0" w:line="360" w:lineRule="auto"/>
        <w:ind w:left="0" w:firstLine="709"/>
        <w:jc w:val="both"/>
        <w:rPr>
          <w:rFonts w:ascii="Times New Roman" w:hAnsi="Times New Roman" w:eastAsia="Times New Roman"/>
          <w:lang w:eastAsia="ru-RU"/>
        </w:rPr>
      </w:pPr>
      <w:r>
        <w:rPr>
          <w:rFonts w:ascii="Times New Roman" w:hAnsi="Times New Roman" w:eastAsia="Times New Roman"/>
          <w:lang w:eastAsia="ru-RU"/>
        </w:rPr>
        <w:t>выражать своими словами понимание свободы мировоззренческого выбора, отношения человека, людей в обществе к религии, свободы вероисповедания, понимание российского общества как многоэтничного и многорелигиозного (приводить примеры), понимание российского общенародного (общенационального, гражданского) патриотизма, любви к Отечеству, нашей общей Родине – России, приводить примеры сотрудничества последователей традиционных религий;</w:t>
      </w:r>
    </w:p>
    <w:p w14:paraId="3C622355">
      <w:pPr>
        <w:pStyle w:val="67"/>
        <w:widowControl/>
        <w:spacing w:after="0" w:line="360" w:lineRule="auto"/>
        <w:ind w:left="0" w:firstLine="709"/>
        <w:jc w:val="both"/>
        <w:rPr>
          <w:rFonts w:ascii="Times New Roman" w:hAnsi="Times New Roman" w:eastAsia="Times New Roman"/>
          <w:lang w:eastAsia="ru-RU"/>
        </w:rPr>
      </w:pPr>
      <w:r>
        <w:rPr>
          <w:rFonts w:ascii="Times New Roman" w:hAnsi="Times New Roman" w:eastAsia="Times New Roman"/>
          <w:lang w:eastAsia="ru-RU"/>
        </w:rPr>
        <w:t>называть традиционные религии в России (не менее трёх, кроме изучаемой), народы России, для которых традиционными религиями исторически являются православие, ислам, буддизм, иудаизм;</w:t>
      </w:r>
    </w:p>
    <w:p w14:paraId="171965FD">
      <w:pPr>
        <w:pStyle w:val="67"/>
        <w:widowControl/>
        <w:spacing w:after="0" w:line="360" w:lineRule="auto"/>
        <w:ind w:left="0" w:firstLine="709"/>
        <w:jc w:val="both"/>
        <w:rPr>
          <w:rFonts w:ascii="Times New Roman" w:hAnsi="Times New Roman" w:eastAsia="Times New Roman"/>
          <w:lang w:eastAsia="ru-RU"/>
        </w:rPr>
      </w:pPr>
      <w:r>
        <w:rPr>
          <w:rFonts w:ascii="Times New Roman" w:hAnsi="Times New Roman" w:eastAsia="Times New Roman"/>
          <w:lang w:eastAsia="ru-RU"/>
        </w:rPr>
        <w:t>выражать своими словами понимание человеческого достоинства, ценности человеческой жизни в буддийской духовно-нравственной культуре, традиции.</w:t>
      </w:r>
    </w:p>
    <w:p w14:paraId="435F9E95">
      <w:pPr>
        <w:pStyle w:val="67"/>
        <w:widowControl/>
        <w:spacing w:after="0" w:line="360" w:lineRule="auto"/>
        <w:ind w:left="0" w:firstLine="709"/>
        <w:jc w:val="both"/>
        <w:rPr>
          <w:rFonts w:ascii="Times New Roman" w:hAnsi="Times New Roman" w:eastAsia="Times New Roman"/>
          <w:lang w:eastAsia="ru-RU"/>
        </w:rPr>
      </w:pPr>
      <w:r>
        <w:rPr>
          <w:rFonts w:ascii="Times New Roman" w:hAnsi="Times New Roman" w:eastAsia="Times New Roman"/>
          <w:lang w:eastAsia="ru-RU"/>
        </w:rPr>
        <w:t>12.7.3.4. Модуль «Основы иудейской культуры».</w:t>
      </w:r>
    </w:p>
    <w:p w14:paraId="137D7312">
      <w:pPr>
        <w:pStyle w:val="67"/>
        <w:widowControl/>
        <w:spacing w:after="0" w:line="360" w:lineRule="auto"/>
        <w:ind w:left="0" w:firstLine="709"/>
        <w:jc w:val="both"/>
        <w:rPr>
          <w:rFonts w:ascii="Times New Roman" w:hAnsi="Times New Roman" w:eastAsia="Times New Roman"/>
          <w:lang w:eastAsia="ru-RU"/>
        </w:rPr>
      </w:pPr>
      <w:r>
        <w:rPr>
          <w:rFonts w:ascii="Times New Roman" w:hAnsi="Times New Roman" w:eastAsia="Times New Roman"/>
          <w:lang w:eastAsia="ru-RU"/>
        </w:rPr>
        <w:t>Предметные результаты освоения образовательной программы модуля «Основы иудейской культуры» должны отражать сформированность умений:</w:t>
      </w:r>
    </w:p>
    <w:p w14:paraId="088A54DE">
      <w:pPr>
        <w:pStyle w:val="67"/>
        <w:widowControl/>
        <w:spacing w:after="0" w:line="360" w:lineRule="auto"/>
        <w:ind w:left="0" w:firstLine="709"/>
        <w:jc w:val="both"/>
        <w:rPr>
          <w:rFonts w:ascii="Times New Roman" w:hAnsi="Times New Roman" w:eastAsia="Times New Roman"/>
          <w:lang w:eastAsia="ru-RU"/>
        </w:rPr>
      </w:pPr>
      <w:r>
        <w:rPr>
          <w:rFonts w:ascii="Times New Roman" w:hAnsi="Times New Roman" w:eastAsia="Times New Roman"/>
          <w:lang w:eastAsia="ru-RU"/>
        </w:rPr>
        <w:t>выражать своими словами первоначальное понимание сущности духовного развития как осознания и усвоения человеком значимых для жизни представлений о себе, людях, окружающей действительности;</w:t>
      </w:r>
    </w:p>
    <w:p w14:paraId="7919DE78">
      <w:pPr>
        <w:pStyle w:val="67"/>
        <w:widowControl/>
        <w:spacing w:after="0" w:line="360" w:lineRule="auto"/>
        <w:ind w:left="0" w:firstLine="709"/>
        <w:jc w:val="both"/>
        <w:rPr>
          <w:rFonts w:ascii="Times New Roman" w:hAnsi="Times New Roman" w:eastAsia="Times New Roman"/>
          <w:lang w:eastAsia="ru-RU"/>
        </w:rPr>
      </w:pPr>
      <w:r>
        <w:rPr>
          <w:rFonts w:ascii="Times New Roman" w:hAnsi="Times New Roman" w:eastAsia="Times New Roman"/>
          <w:lang w:eastAsia="ru-RU"/>
        </w:rPr>
        <w:t>выражать своими словами понимание значимости нравственного совершенствования и роли в этом личных усилий человека, приводить примеры;</w:t>
      </w:r>
    </w:p>
    <w:p w14:paraId="79245626">
      <w:pPr>
        <w:pStyle w:val="67"/>
        <w:widowControl/>
        <w:spacing w:after="0" w:line="360" w:lineRule="auto"/>
        <w:ind w:left="0" w:firstLine="709"/>
        <w:jc w:val="both"/>
        <w:rPr>
          <w:rFonts w:ascii="Times New Roman" w:hAnsi="Times New Roman" w:eastAsia="Times New Roman"/>
          <w:lang w:eastAsia="ru-RU"/>
        </w:rPr>
      </w:pPr>
      <w:r>
        <w:rPr>
          <w:rFonts w:ascii="Times New Roman" w:hAnsi="Times New Roman" w:eastAsia="Times New Roman"/>
          <w:lang w:eastAsia="ru-RU"/>
        </w:rPr>
        <w:t>выражать понимание и принятие значения российских традиционных духовных и нравственных ценностей, духовно-нравственной культуры народов России, российского общества как источника и основы духовного развития, нравственного совершенствования;</w:t>
      </w:r>
    </w:p>
    <w:p w14:paraId="7B55610E">
      <w:pPr>
        <w:pStyle w:val="67"/>
        <w:widowControl/>
        <w:spacing w:after="0" w:line="360" w:lineRule="auto"/>
        <w:ind w:left="0" w:firstLine="709"/>
        <w:jc w:val="both"/>
        <w:rPr>
          <w:rFonts w:ascii="Times New Roman" w:hAnsi="Times New Roman" w:eastAsia="Times New Roman"/>
          <w:lang w:eastAsia="ru-RU"/>
        </w:rPr>
      </w:pPr>
      <w:r>
        <w:rPr>
          <w:rFonts w:ascii="Times New Roman" w:hAnsi="Times New Roman" w:eastAsia="Times New Roman"/>
          <w:lang w:eastAsia="ru-RU"/>
        </w:rPr>
        <w:t>рассказывать о нравственных заповедях, нормах иудейской морали, их значении в выстраивании отношений в семье, между людьми, в общении и деятельности;</w:t>
      </w:r>
    </w:p>
    <w:p w14:paraId="66A1A7B8">
      <w:pPr>
        <w:pStyle w:val="67"/>
        <w:widowControl/>
        <w:spacing w:after="0" w:line="360" w:lineRule="auto"/>
        <w:ind w:left="0" w:firstLine="709"/>
        <w:jc w:val="both"/>
        <w:rPr>
          <w:rFonts w:ascii="Times New Roman" w:hAnsi="Times New Roman" w:eastAsia="Times New Roman"/>
          <w:lang w:eastAsia="ru-RU"/>
        </w:rPr>
      </w:pPr>
      <w:r>
        <w:rPr>
          <w:rFonts w:ascii="Times New Roman" w:hAnsi="Times New Roman" w:eastAsia="Times New Roman"/>
          <w:lang w:eastAsia="ru-RU"/>
        </w:rPr>
        <w:t>раскрывать основное содержание нравственных категорий в иудейской культуре, традиции (любовь, вера, милосердие, прощение, покаяние, сострадание, ответственность, послушание, исполнение заповедей, борьба с грехом и спасение), основное содержание и место заповедей (прежде всего, Десяти заповедей) в жизни человека, объяснять «золотое правило нравственности» в иудейской религиозной традиции;</w:t>
      </w:r>
    </w:p>
    <w:p w14:paraId="21D1DEE0">
      <w:pPr>
        <w:pStyle w:val="67"/>
        <w:widowControl/>
        <w:spacing w:after="0" w:line="360" w:lineRule="auto"/>
        <w:ind w:left="0" w:firstLine="709"/>
        <w:jc w:val="both"/>
        <w:rPr>
          <w:rFonts w:ascii="Times New Roman" w:hAnsi="Times New Roman" w:eastAsia="Times New Roman"/>
          <w:lang w:eastAsia="ru-RU"/>
        </w:rPr>
      </w:pPr>
      <w:r>
        <w:rPr>
          <w:rFonts w:ascii="Times New Roman" w:hAnsi="Times New Roman" w:eastAsia="Times New Roman"/>
          <w:lang w:eastAsia="ru-RU"/>
        </w:rPr>
        <w:t>первоначальный опыт осмысления и нравственной оценки поступков, поведения (своих и других людей) с позиций иудейской этики;</w:t>
      </w:r>
    </w:p>
    <w:p w14:paraId="652627E0">
      <w:pPr>
        <w:pStyle w:val="67"/>
        <w:widowControl/>
        <w:spacing w:after="0" w:line="360" w:lineRule="auto"/>
        <w:ind w:left="0" w:firstLine="709"/>
        <w:jc w:val="both"/>
        <w:rPr>
          <w:rFonts w:ascii="Times New Roman" w:hAnsi="Times New Roman" w:eastAsia="Times New Roman"/>
          <w:lang w:eastAsia="ru-RU"/>
        </w:rPr>
      </w:pPr>
      <w:r>
        <w:rPr>
          <w:rFonts w:ascii="Times New Roman" w:hAnsi="Times New Roman" w:eastAsia="Times New Roman"/>
          <w:lang w:eastAsia="ru-RU"/>
        </w:rPr>
        <w:t>раскрывать своими словами первоначальные представления о мировоззрении (картине мира) в иудаизме, учение о единобожии, об основных принципах иудаизма;</w:t>
      </w:r>
    </w:p>
    <w:p w14:paraId="4390BE2E">
      <w:pPr>
        <w:pStyle w:val="67"/>
        <w:widowControl/>
        <w:spacing w:after="0" w:line="360" w:lineRule="auto"/>
        <w:ind w:left="0" w:firstLine="709"/>
        <w:jc w:val="both"/>
        <w:rPr>
          <w:rFonts w:ascii="Times New Roman" w:hAnsi="Times New Roman" w:eastAsia="Times New Roman"/>
          <w:lang w:eastAsia="ru-RU"/>
        </w:rPr>
      </w:pPr>
      <w:r>
        <w:rPr>
          <w:rFonts w:ascii="Times New Roman" w:hAnsi="Times New Roman" w:eastAsia="Times New Roman"/>
          <w:lang w:eastAsia="ru-RU"/>
        </w:rPr>
        <w:t>рассказывать о священных текстах иудаизма – Торе и Танахе, о Талмуде, произведениях выдающихся деятелей иудаизма, богослужениях, молитвах;</w:t>
      </w:r>
    </w:p>
    <w:p w14:paraId="245E8444">
      <w:pPr>
        <w:pStyle w:val="67"/>
        <w:widowControl/>
        <w:spacing w:after="0" w:line="360" w:lineRule="auto"/>
        <w:ind w:left="0" w:firstLine="709"/>
        <w:jc w:val="both"/>
        <w:rPr>
          <w:rFonts w:ascii="Times New Roman" w:hAnsi="Times New Roman" w:eastAsia="Times New Roman"/>
          <w:lang w:eastAsia="ru-RU"/>
        </w:rPr>
      </w:pPr>
      <w:r>
        <w:rPr>
          <w:rFonts w:ascii="Times New Roman" w:hAnsi="Times New Roman" w:eastAsia="Times New Roman"/>
          <w:lang w:eastAsia="ru-RU"/>
        </w:rPr>
        <w:t>рассказывать о назначении и устройстве синагоги, о раввинах, нормах поведения в синагоге, общения с мирянами и раввинами;</w:t>
      </w:r>
    </w:p>
    <w:p w14:paraId="1B59658E">
      <w:pPr>
        <w:pStyle w:val="67"/>
        <w:widowControl/>
        <w:spacing w:after="0" w:line="360" w:lineRule="auto"/>
        <w:ind w:left="0" w:firstLine="709"/>
        <w:jc w:val="both"/>
        <w:rPr>
          <w:rFonts w:ascii="Times New Roman" w:hAnsi="Times New Roman" w:eastAsia="Times New Roman"/>
          <w:lang w:eastAsia="ru-RU"/>
        </w:rPr>
      </w:pPr>
      <w:r>
        <w:rPr>
          <w:rFonts w:ascii="Times New Roman" w:hAnsi="Times New Roman" w:eastAsia="Times New Roman"/>
          <w:lang w:eastAsia="ru-RU"/>
        </w:rPr>
        <w:t>рассказывать об иудейских праздниках (не менее четырёх, включая Рош-а-Шана, Йом-Киппур, Суккот, Песах), постах, назначении поста;</w:t>
      </w:r>
    </w:p>
    <w:p w14:paraId="225B084F">
      <w:pPr>
        <w:pStyle w:val="67"/>
        <w:widowControl/>
        <w:spacing w:after="0" w:line="360" w:lineRule="auto"/>
        <w:ind w:left="0" w:firstLine="709"/>
        <w:jc w:val="both"/>
        <w:rPr>
          <w:rFonts w:ascii="Times New Roman" w:hAnsi="Times New Roman" w:eastAsia="Times New Roman"/>
          <w:lang w:eastAsia="ru-RU"/>
        </w:rPr>
      </w:pPr>
      <w:r>
        <w:rPr>
          <w:rFonts w:ascii="Times New Roman" w:hAnsi="Times New Roman" w:eastAsia="Times New Roman"/>
          <w:lang w:eastAsia="ru-RU"/>
        </w:rPr>
        <w:t>раскрывать основное содержание норм отношений в еврейской семье, обязанностей и ответственности членов семьи, отношений детей к отцу, матери, братьям и сёстрам, старшим по возрасту, предкам, иудейских традиционных семейных ценностей;</w:t>
      </w:r>
    </w:p>
    <w:p w14:paraId="4CAB8E0A">
      <w:pPr>
        <w:pStyle w:val="67"/>
        <w:widowControl/>
        <w:spacing w:after="0" w:line="360" w:lineRule="auto"/>
        <w:ind w:left="0" w:firstLine="709"/>
        <w:jc w:val="both"/>
        <w:rPr>
          <w:rFonts w:ascii="Times New Roman" w:hAnsi="Times New Roman" w:eastAsia="Times New Roman"/>
          <w:lang w:eastAsia="ru-RU"/>
        </w:rPr>
      </w:pPr>
      <w:r>
        <w:rPr>
          <w:rFonts w:ascii="Times New Roman" w:hAnsi="Times New Roman" w:eastAsia="Times New Roman"/>
          <w:lang w:eastAsia="ru-RU"/>
        </w:rPr>
        <w:t>распознавать иудейскую символику, объяснять своими словами её смысл (магендовид) и значение в еврейской культуре;</w:t>
      </w:r>
    </w:p>
    <w:p w14:paraId="4C6A0C86">
      <w:pPr>
        <w:pStyle w:val="67"/>
        <w:widowControl/>
        <w:spacing w:after="0" w:line="360" w:lineRule="auto"/>
        <w:ind w:left="0" w:firstLine="709"/>
        <w:jc w:val="both"/>
        <w:rPr>
          <w:rFonts w:ascii="Times New Roman" w:hAnsi="Times New Roman" w:eastAsia="Times New Roman"/>
          <w:lang w:eastAsia="ru-RU"/>
        </w:rPr>
      </w:pPr>
      <w:r>
        <w:rPr>
          <w:rFonts w:ascii="Times New Roman" w:hAnsi="Times New Roman" w:eastAsia="Times New Roman"/>
          <w:lang w:eastAsia="ru-RU"/>
        </w:rPr>
        <w:t>рассказывать о художественной культуре в иудейской традиции, каллиграфии, религиозных напевах, архитектуре, книжной миниатюре, религиозной атрибутике, одежде;</w:t>
      </w:r>
    </w:p>
    <w:p w14:paraId="37B2DE75">
      <w:pPr>
        <w:pStyle w:val="67"/>
        <w:widowControl/>
        <w:spacing w:after="0" w:line="360" w:lineRule="auto"/>
        <w:ind w:left="0" w:firstLine="709"/>
        <w:jc w:val="both"/>
        <w:rPr>
          <w:rFonts w:ascii="Times New Roman" w:hAnsi="Times New Roman" w:eastAsia="Times New Roman"/>
          <w:lang w:eastAsia="ru-RU"/>
        </w:rPr>
      </w:pPr>
      <w:r>
        <w:rPr>
          <w:rFonts w:ascii="Times New Roman" w:hAnsi="Times New Roman" w:eastAsia="Times New Roman"/>
          <w:lang w:eastAsia="ru-RU"/>
        </w:rPr>
        <w:t>излагать основные исторические сведения о появлении иудаизма на территории России, своими словами объяснять роль иудаизма в становлении культуры народов России, российской культуры и государственности;</w:t>
      </w:r>
    </w:p>
    <w:p w14:paraId="3DDA5E0F">
      <w:pPr>
        <w:pStyle w:val="67"/>
        <w:widowControl/>
        <w:spacing w:after="0" w:line="360" w:lineRule="auto"/>
        <w:ind w:left="0" w:firstLine="709"/>
        <w:jc w:val="both"/>
        <w:rPr>
          <w:rFonts w:ascii="Times New Roman" w:hAnsi="Times New Roman" w:eastAsia="Times New Roman"/>
          <w:lang w:eastAsia="ru-RU"/>
        </w:rPr>
      </w:pPr>
      <w:r>
        <w:rPr>
          <w:rFonts w:ascii="Times New Roman" w:hAnsi="Times New Roman" w:eastAsia="Times New Roman"/>
          <w:lang w:eastAsia="ru-RU"/>
        </w:rPr>
        <w:t>первоначальный опыт поисковой, проектной деятельности по изучению иудейского исторического и культурного наследия в своей местности, регионе (синагоги, кладбища, памятные и святые места), оформлению и представлению её результатов;</w:t>
      </w:r>
    </w:p>
    <w:p w14:paraId="18E408E5">
      <w:pPr>
        <w:pStyle w:val="67"/>
        <w:widowControl/>
        <w:spacing w:after="0" w:line="360" w:lineRule="auto"/>
        <w:ind w:left="0" w:firstLine="709"/>
        <w:jc w:val="both"/>
        <w:rPr>
          <w:rFonts w:ascii="Times New Roman" w:hAnsi="Times New Roman" w:eastAsia="Times New Roman"/>
          <w:lang w:eastAsia="ru-RU"/>
        </w:rPr>
      </w:pPr>
      <w:r>
        <w:rPr>
          <w:rFonts w:ascii="Times New Roman" w:hAnsi="Times New Roman" w:eastAsia="Times New Roman"/>
          <w:lang w:eastAsia="ru-RU"/>
        </w:rPr>
        <w:t>приводить примеры нравственных поступков, совершаемых с использованием этических норм религиозной культуры и внутренней установки личности, поступать согласно своей совести;</w:t>
      </w:r>
    </w:p>
    <w:p w14:paraId="65C9881C">
      <w:pPr>
        <w:pStyle w:val="67"/>
        <w:widowControl/>
        <w:spacing w:after="0" w:line="360" w:lineRule="auto"/>
        <w:ind w:left="0" w:firstLine="709"/>
        <w:jc w:val="both"/>
        <w:rPr>
          <w:rFonts w:ascii="Times New Roman" w:hAnsi="Times New Roman" w:eastAsia="Times New Roman"/>
          <w:lang w:eastAsia="ru-RU"/>
        </w:rPr>
      </w:pPr>
      <w:r>
        <w:rPr>
          <w:rFonts w:ascii="Times New Roman" w:hAnsi="Times New Roman" w:eastAsia="Times New Roman"/>
          <w:lang w:eastAsia="ru-RU"/>
        </w:rPr>
        <w:t>выражать своими словами понимание свободы мировоззренческого выбора, отношения человека, людей в обществе к религии, свободы вероисповедания, понимание российского общества как многоэтничного и многорелигиозного (приводить примеры), понимание российского общенародного (общенационального, гражданского) патриотизма, любви к Отечеству, нашей общей Родине – России, приводить примеры сотрудничества последователей традиционных религий;</w:t>
      </w:r>
    </w:p>
    <w:p w14:paraId="2833CF33">
      <w:pPr>
        <w:pStyle w:val="67"/>
        <w:widowControl/>
        <w:spacing w:after="0" w:line="360" w:lineRule="auto"/>
        <w:ind w:left="0" w:firstLine="709"/>
        <w:jc w:val="both"/>
        <w:rPr>
          <w:rFonts w:ascii="Times New Roman" w:hAnsi="Times New Roman" w:eastAsia="Times New Roman"/>
          <w:lang w:eastAsia="ru-RU"/>
        </w:rPr>
      </w:pPr>
      <w:r>
        <w:rPr>
          <w:rFonts w:ascii="Times New Roman" w:hAnsi="Times New Roman" w:eastAsia="Times New Roman"/>
          <w:lang w:eastAsia="ru-RU"/>
        </w:rPr>
        <w:t>называть традиционные религии в России (не менее трёх, кроме изучаемой), народы России, для которых традиционными религиями исторически являются православие, ислам, буддизм, иудаизм;</w:t>
      </w:r>
    </w:p>
    <w:p w14:paraId="3CC84615">
      <w:pPr>
        <w:pStyle w:val="67"/>
        <w:widowControl/>
        <w:spacing w:after="0" w:line="360" w:lineRule="auto"/>
        <w:ind w:left="0" w:firstLine="709"/>
        <w:jc w:val="both"/>
        <w:rPr>
          <w:rFonts w:ascii="Times New Roman" w:hAnsi="Times New Roman" w:eastAsia="Times New Roman"/>
          <w:lang w:eastAsia="ru-RU"/>
        </w:rPr>
      </w:pPr>
      <w:r>
        <w:rPr>
          <w:rFonts w:ascii="Times New Roman" w:hAnsi="Times New Roman" w:eastAsia="Times New Roman"/>
          <w:lang w:eastAsia="ru-RU"/>
        </w:rPr>
        <w:t>выражать своими словами понимание человеческого достоинства, ценности человеческой жизни в иудейской духовно-нравственной культуре, традиции.</w:t>
      </w:r>
    </w:p>
    <w:p w14:paraId="4F4A2BE4">
      <w:pPr>
        <w:pStyle w:val="67"/>
        <w:widowControl/>
        <w:spacing w:after="0" w:line="360" w:lineRule="auto"/>
        <w:ind w:left="0" w:firstLine="709"/>
        <w:jc w:val="both"/>
        <w:rPr>
          <w:rFonts w:ascii="Times New Roman" w:hAnsi="Times New Roman" w:eastAsia="Times New Roman"/>
          <w:lang w:eastAsia="ru-RU"/>
        </w:rPr>
      </w:pPr>
      <w:r>
        <w:rPr>
          <w:rFonts w:ascii="Times New Roman" w:hAnsi="Times New Roman" w:eastAsia="Times New Roman"/>
          <w:lang w:eastAsia="ru-RU"/>
        </w:rPr>
        <w:t>12.7.3.5. Модуль «Основы религиозных культур народов России».</w:t>
      </w:r>
    </w:p>
    <w:p w14:paraId="42B884F6">
      <w:pPr>
        <w:pStyle w:val="67"/>
        <w:widowControl/>
        <w:spacing w:after="0" w:line="360" w:lineRule="auto"/>
        <w:ind w:left="0" w:firstLine="709"/>
        <w:jc w:val="both"/>
        <w:rPr>
          <w:rFonts w:ascii="Times New Roman" w:hAnsi="Times New Roman" w:eastAsia="Times New Roman"/>
          <w:lang w:eastAsia="ru-RU"/>
        </w:rPr>
      </w:pPr>
      <w:r>
        <w:rPr>
          <w:rFonts w:ascii="Times New Roman" w:hAnsi="Times New Roman" w:eastAsia="Times New Roman"/>
          <w:lang w:eastAsia="ru-RU"/>
        </w:rPr>
        <w:t>Предметные результаты освоения образовательной программы модуля «Основы религиозных культур народов России» должны отражать сформированность умений:</w:t>
      </w:r>
    </w:p>
    <w:p w14:paraId="794755E9">
      <w:pPr>
        <w:pStyle w:val="67"/>
        <w:widowControl/>
        <w:spacing w:after="0" w:line="360" w:lineRule="auto"/>
        <w:ind w:left="0" w:firstLine="709"/>
        <w:jc w:val="both"/>
        <w:rPr>
          <w:rFonts w:ascii="Times New Roman" w:hAnsi="Times New Roman" w:eastAsia="Times New Roman"/>
          <w:lang w:eastAsia="ru-RU"/>
        </w:rPr>
      </w:pPr>
      <w:r>
        <w:rPr>
          <w:rFonts w:ascii="Times New Roman" w:hAnsi="Times New Roman" w:eastAsia="Times New Roman"/>
          <w:lang w:eastAsia="ru-RU"/>
        </w:rPr>
        <w:t>выражать своими словами первоначальное понимание сущности духовного развития как осознания и усвоения человеком значимых для жизни представлений о себе, людях, окружающей действительности;</w:t>
      </w:r>
    </w:p>
    <w:p w14:paraId="508A7F14">
      <w:pPr>
        <w:pStyle w:val="67"/>
        <w:widowControl/>
        <w:spacing w:after="0" w:line="360" w:lineRule="auto"/>
        <w:ind w:left="0" w:firstLine="709"/>
        <w:jc w:val="both"/>
        <w:rPr>
          <w:rFonts w:ascii="Times New Roman" w:hAnsi="Times New Roman" w:eastAsia="Times New Roman"/>
          <w:lang w:eastAsia="ru-RU"/>
        </w:rPr>
      </w:pPr>
      <w:r>
        <w:rPr>
          <w:rFonts w:ascii="Times New Roman" w:hAnsi="Times New Roman" w:eastAsia="Times New Roman"/>
          <w:lang w:eastAsia="ru-RU"/>
        </w:rPr>
        <w:t>выражать своими словами понимание значимости нравственного самосовершенствования и роли в этом личных усилий человека, приводить примеры;</w:t>
      </w:r>
    </w:p>
    <w:p w14:paraId="60F36721">
      <w:pPr>
        <w:pStyle w:val="67"/>
        <w:widowControl/>
        <w:spacing w:after="0" w:line="360" w:lineRule="auto"/>
        <w:ind w:left="0" w:firstLine="709"/>
        <w:jc w:val="both"/>
        <w:rPr>
          <w:rFonts w:ascii="Times New Roman" w:hAnsi="Times New Roman" w:eastAsia="Times New Roman"/>
          <w:lang w:eastAsia="ru-RU"/>
        </w:rPr>
      </w:pPr>
      <w:r>
        <w:rPr>
          <w:rFonts w:ascii="Times New Roman" w:hAnsi="Times New Roman" w:eastAsia="Times New Roman"/>
          <w:lang w:eastAsia="ru-RU"/>
        </w:rPr>
        <w:t>выражать понимание и принятие значения российских традиционных духовных и нравственных ценностей, духовно-нравственной культуры народов России, российского общества как источника и основы духовного развития, нравственного совершенствования;</w:t>
      </w:r>
    </w:p>
    <w:p w14:paraId="22265571">
      <w:pPr>
        <w:pStyle w:val="67"/>
        <w:widowControl/>
        <w:spacing w:after="0" w:line="360" w:lineRule="auto"/>
        <w:ind w:left="0" w:firstLine="709"/>
        <w:jc w:val="both"/>
        <w:rPr>
          <w:rFonts w:ascii="Times New Roman" w:hAnsi="Times New Roman" w:eastAsia="Times New Roman"/>
          <w:lang w:eastAsia="ru-RU"/>
        </w:rPr>
      </w:pPr>
      <w:r>
        <w:rPr>
          <w:rFonts w:ascii="Times New Roman" w:hAnsi="Times New Roman" w:eastAsia="Times New Roman"/>
          <w:lang w:eastAsia="ru-RU"/>
        </w:rPr>
        <w:t>рассказывать о нравственных заповедях, нормах морали в традиционных религиях России (православие, ислам, буддизм, иудаизм), их значении в выстраивании отношений в семье, между людьми;</w:t>
      </w:r>
    </w:p>
    <w:p w14:paraId="22FF187C">
      <w:pPr>
        <w:pStyle w:val="67"/>
        <w:widowControl/>
        <w:spacing w:after="0" w:line="360" w:lineRule="auto"/>
        <w:ind w:left="0" w:firstLine="709"/>
        <w:jc w:val="both"/>
        <w:rPr>
          <w:rFonts w:ascii="Times New Roman" w:hAnsi="Times New Roman" w:eastAsia="Times New Roman"/>
          <w:lang w:eastAsia="ru-RU"/>
        </w:rPr>
      </w:pPr>
      <w:r>
        <w:rPr>
          <w:rFonts w:ascii="Times New Roman" w:hAnsi="Times New Roman" w:eastAsia="Times New Roman"/>
          <w:lang w:eastAsia="ru-RU"/>
        </w:rPr>
        <w:t>раскрывать основное содержание нравственных категорий (долг, свобода, ответственность, милосердие, забота о слабых, взаимопомощь) в религиозной культуре народов России (православии, исламе, буддизме, иудаизме), объяснять «золотое правило нравственности» в религиозных традициях;</w:t>
      </w:r>
    </w:p>
    <w:p w14:paraId="1A748479">
      <w:pPr>
        <w:pStyle w:val="67"/>
        <w:widowControl/>
        <w:spacing w:after="0" w:line="360" w:lineRule="auto"/>
        <w:ind w:left="0" w:firstLine="709"/>
        <w:jc w:val="both"/>
        <w:rPr>
          <w:rFonts w:ascii="Times New Roman" w:hAnsi="Times New Roman" w:eastAsia="Times New Roman"/>
          <w:lang w:eastAsia="ru-RU"/>
        </w:rPr>
      </w:pPr>
      <w:r>
        <w:rPr>
          <w:rFonts w:ascii="Times New Roman" w:hAnsi="Times New Roman" w:eastAsia="Times New Roman"/>
          <w:lang w:eastAsia="ru-RU"/>
        </w:rPr>
        <w:t>соотносить нравственные формы поведения с нравственными нормами, заповедями в традиционных религиях народов России;</w:t>
      </w:r>
    </w:p>
    <w:p w14:paraId="1E321285">
      <w:pPr>
        <w:pStyle w:val="67"/>
        <w:widowControl/>
        <w:spacing w:after="0" w:line="360" w:lineRule="auto"/>
        <w:ind w:left="0" w:firstLine="709"/>
        <w:jc w:val="both"/>
        <w:rPr>
          <w:rFonts w:ascii="Times New Roman" w:hAnsi="Times New Roman" w:eastAsia="Times New Roman"/>
          <w:lang w:eastAsia="ru-RU"/>
        </w:rPr>
      </w:pPr>
      <w:r>
        <w:rPr>
          <w:rFonts w:ascii="Times New Roman" w:hAnsi="Times New Roman" w:eastAsia="Times New Roman"/>
          <w:lang w:eastAsia="ru-RU"/>
        </w:rPr>
        <w:t>раскрывать своими словами первоначальные представления о мировоззрении (картине мира) в вероучении православия, ислама, буддизма, иудаизма, об основателях религий;</w:t>
      </w:r>
    </w:p>
    <w:p w14:paraId="0447A550">
      <w:pPr>
        <w:pStyle w:val="67"/>
        <w:widowControl/>
        <w:spacing w:after="0" w:line="360" w:lineRule="auto"/>
        <w:ind w:left="0" w:firstLine="709"/>
        <w:jc w:val="both"/>
        <w:rPr>
          <w:rFonts w:ascii="Times New Roman" w:hAnsi="Times New Roman" w:eastAsia="Times New Roman"/>
          <w:lang w:eastAsia="ru-RU"/>
        </w:rPr>
      </w:pPr>
      <w:r>
        <w:rPr>
          <w:rFonts w:ascii="Times New Roman" w:hAnsi="Times New Roman" w:eastAsia="Times New Roman"/>
          <w:lang w:eastAsia="ru-RU"/>
        </w:rPr>
        <w:t>рассказывать о священных писаниях традиционных религий народов России (Библия, Коран, Трипитака (Ганджур), Танах), хранителях предания и служителях религиозного культа (священники, муллы, ламы, раввины), религиозных обрядах, ритуалах, обычаях (1–2 примера);</w:t>
      </w:r>
    </w:p>
    <w:p w14:paraId="73637941">
      <w:pPr>
        <w:pStyle w:val="67"/>
        <w:widowControl/>
        <w:spacing w:after="0" w:line="360" w:lineRule="auto"/>
        <w:ind w:left="0" w:firstLine="709"/>
        <w:jc w:val="both"/>
        <w:rPr>
          <w:rFonts w:ascii="Times New Roman" w:hAnsi="Times New Roman" w:eastAsia="Times New Roman"/>
          <w:lang w:eastAsia="ru-RU"/>
        </w:rPr>
      </w:pPr>
      <w:r>
        <w:rPr>
          <w:rFonts w:ascii="Times New Roman" w:hAnsi="Times New Roman" w:eastAsia="Times New Roman"/>
          <w:lang w:eastAsia="ru-RU"/>
        </w:rPr>
        <w:t>рассказывать о назначении и устройстве священных сооружений (храмов) традиционных религий народов России, основных нормах поведения в храмах, общения с верующими;</w:t>
      </w:r>
    </w:p>
    <w:p w14:paraId="5DE26016">
      <w:pPr>
        <w:pStyle w:val="67"/>
        <w:widowControl/>
        <w:spacing w:after="0" w:line="360" w:lineRule="auto"/>
        <w:ind w:left="0" w:firstLine="709"/>
        <w:jc w:val="both"/>
        <w:rPr>
          <w:rFonts w:ascii="Times New Roman" w:hAnsi="Times New Roman" w:eastAsia="Times New Roman"/>
          <w:lang w:eastAsia="ru-RU"/>
        </w:rPr>
      </w:pPr>
      <w:r>
        <w:rPr>
          <w:rFonts w:ascii="Times New Roman" w:hAnsi="Times New Roman" w:eastAsia="Times New Roman"/>
          <w:lang w:eastAsia="ru-RU"/>
        </w:rPr>
        <w:t>рассказывать о религиозных календарях и праздниках традиционных религий народов России (православия, ислама, буддизма, иудаизма, не менее одного религиозного праздника каждой традиции);</w:t>
      </w:r>
    </w:p>
    <w:p w14:paraId="51CCFE2B">
      <w:pPr>
        <w:pStyle w:val="67"/>
        <w:widowControl/>
        <w:spacing w:after="0" w:line="360" w:lineRule="auto"/>
        <w:ind w:left="0" w:firstLine="709"/>
        <w:jc w:val="both"/>
        <w:rPr>
          <w:rFonts w:ascii="Times New Roman" w:hAnsi="Times New Roman" w:eastAsia="Times New Roman"/>
          <w:lang w:eastAsia="ru-RU"/>
        </w:rPr>
      </w:pPr>
      <w:r>
        <w:rPr>
          <w:rFonts w:ascii="Times New Roman" w:hAnsi="Times New Roman" w:eastAsia="Times New Roman"/>
          <w:lang w:eastAsia="ru-RU"/>
        </w:rPr>
        <w:t>раскрывать основное содержание норм отношений в религиозной семье (православие, ислам, буддизм, иудаизм), общее представление о семейных ценностях в традиционных религиях народов России, понимание отношения к труду, учению в традиционных религиях народов России;</w:t>
      </w:r>
    </w:p>
    <w:p w14:paraId="0A39A926">
      <w:pPr>
        <w:pStyle w:val="67"/>
        <w:widowControl/>
        <w:spacing w:after="0" w:line="360" w:lineRule="auto"/>
        <w:ind w:left="0" w:firstLine="709"/>
        <w:jc w:val="both"/>
        <w:rPr>
          <w:rFonts w:ascii="Times New Roman" w:hAnsi="Times New Roman" w:eastAsia="Times New Roman"/>
          <w:lang w:eastAsia="ru-RU"/>
        </w:rPr>
      </w:pPr>
      <w:r>
        <w:rPr>
          <w:rFonts w:ascii="Times New Roman" w:hAnsi="Times New Roman" w:eastAsia="Times New Roman"/>
          <w:lang w:eastAsia="ru-RU"/>
        </w:rPr>
        <w:t>распознавать религиозную символику традиционных религий народов России (православия, ислама, буддизма, иудаизма минимально по одному символу), объяснять своими словами её значение в религиозной культуре;</w:t>
      </w:r>
    </w:p>
    <w:p w14:paraId="628A7AEE">
      <w:pPr>
        <w:pStyle w:val="67"/>
        <w:widowControl/>
        <w:spacing w:after="0" w:line="360" w:lineRule="auto"/>
        <w:ind w:left="0" w:firstLine="709"/>
        <w:jc w:val="both"/>
        <w:rPr>
          <w:rFonts w:ascii="Times New Roman" w:hAnsi="Times New Roman" w:eastAsia="Times New Roman"/>
          <w:lang w:eastAsia="ru-RU"/>
        </w:rPr>
      </w:pPr>
      <w:r>
        <w:rPr>
          <w:rFonts w:ascii="Times New Roman" w:hAnsi="Times New Roman" w:eastAsia="Times New Roman"/>
          <w:lang w:eastAsia="ru-RU"/>
        </w:rPr>
        <w:t>рассказывать о художественной культуре традиционных религий народов России (православные иконы, исламская каллиграфия, буддийская танкопись), главных особенностях религиозного искусства православия, ислама, буддизма, иудаизма (архитектура, изобразительное искусство, язык и поэтика религиозных текстов, музыки или звуковой среды);</w:t>
      </w:r>
    </w:p>
    <w:p w14:paraId="668CC0D9">
      <w:pPr>
        <w:pStyle w:val="67"/>
        <w:widowControl/>
        <w:spacing w:after="0" w:line="360" w:lineRule="auto"/>
        <w:ind w:left="0" w:firstLine="709"/>
        <w:jc w:val="both"/>
        <w:rPr>
          <w:rFonts w:ascii="Times New Roman" w:hAnsi="Times New Roman" w:eastAsia="Times New Roman"/>
          <w:lang w:eastAsia="ru-RU"/>
        </w:rPr>
      </w:pPr>
      <w:r>
        <w:rPr>
          <w:rFonts w:ascii="Times New Roman" w:hAnsi="Times New Roman" w:eastAsia="Times New Roman"/>
          <w:lang w:eastAsia="ru-RU"/>
        </w:rPr>
        <w:t>излагать основные исторические сведения о роли традиционных религий в становлении культуры народов России, российского общества, российской государственности;</w:t>
      </w:r>
    </w:p>
    <w:p w14:paraId="0FC14864">
      <w:pPr>
        <w:pStyle w:val="67"/>
        <w:widowControl/>
        <w:spacing w:after="0" w:line="360" w:lineRule="auto"/>
        <w:ind w:left="0" w:firstLine="709"/>
        <w:jc w:val="both"/>
        <w:rPr>
          <w:rFonts w:ascii="Times New Roman" w:hAnsi="Times New Roman" w:eastAsia="Times New Roman"/>
          <w:lang w:eastAsia="ru-RU"/>
        </w:rPr>
      </w:pPr>
      <w:r>
        <w:rPr>
          <w:rFonts w:ascii="Times New Roman" w:hAnsi="Times New Roman" w:eastAsia="Times New Roman"/>
          <w:lang w:eastAsia="ru-RU"/>
        </w:rPr>
        <w:t>первоначальный опыт поисковой, проектной деятельности по изучению исторического и культурного наследия традиционных религий народов России в своей местности, регионе (храмы, монастыри, святыни, памятные и святые места), оформлению и представлению её результатов;</w:t>
      </w:r>
    </w:p>
    <w:p w14:paraId="695F1D60">
      <w:pPr>
        <w:pStyle w:val="67"/>
        <w:widowControl/>
        <w:spacing w:after="0" w:line="360" w:lineRule="auto"/>
        <w:ind w:left="0" w:firstLine="709"/>
        <w:jc w:val="both"/>
        <w:rPr>
          <w:rFonts w:ascii="Times New Roman" w:hAnsi="Times New Roman" w:eastAsia="Times New Roman"/>
          <w:lang w:eastAsia="ru-RU"/>
        </w:rPr>
      </w:pPr>
      <w:r>
        <w:rPr>
          <w:rFonts w:ascii="Times New Roman" w:hAnsi="Times New Roman" w:eastAsia="Times New Roman"/>
          <w:lang w:eastAsia="ru-RU"/>
        </w:rPr>
        <w:t>приводить примеры нравственных поступков, совершаемых с использованием этических норм религиозной культуры и внутренней установки личности, поступать согласно своей совести;</w:t>
      </w:r>
    </w:p>
    <w:p w14:paraId="017E3665">
      <w:pPr>
        <w:pStyle w:val="67"/>
        <w:widowControl/>
        <w:spacing w:after="0" w:line="360" w:lineRule="auto"/>
        <w:ind w:left="0" w:firstLine="709"/>
        <w:jc w:val="both"/>
        <w:rPr>
          <w:rFonts w:ascii="Times New Roman" w:hAnsi="Times New Roman" w:eastAsia="Times New Roman"/>
          <w:lang w:eastAsia="ru-RU"/>
        </w:rPr>
      </w:pPr>
      <w:r>
        <w:rPr>
          <w:rFonts w:ascii="Times New Roman" w:hAnsi="Times New Roman" w:eastAsia="Times New Roman"/>
          <w:lang w:eastAsia="ru-RU"/>
        </w:rPr>
        <w:t>выражать своими словами понимание свободы мировоззренческого выбора, отношения человека, людей в обществе к религии, свободы вероисповедания, понимание российского общества как многоэтничного и многорелигиозного (приводить примеры), понимание российского общенародного (общенационального, гражданского) патриотизма, любви к Отечеству, нашей общей Родине – России, приводить примеры сотрудничества последователей традиционных религий;</w:t>
      </w:r>
    </w:p>
    <w:p w14:paraId="0A8B6C7C">
      <w:pPr>
        <w:pStyle w:val="67"/>
        <w:widowControl/>
        <w:spacing w:after="0" w:line="360" w:lineRule="auto"/>
        <w:ind w:left="0" w:firstLine="709"/>
        <w:jc w:val="both"/>
        <w:rPr>
          <w:rFonts w:ascii="Times New Roman" w:hAnsi="Times New Roman" w:eastAsia="Times New Roman"/>
          <w:lang w:eastAsia="ru-RU"/>
        </w:rPr>
      </w:pPr>
      <w:r>
        <w:rPr>
          <w:rFonts w:ascii="Times New Roman" w:hAnsi="Times New Roman" w:eastAsia="Times New Roman"/>
          <w:lang w:eastAsia="ru-RU"/>
        </w:rPr>
        <w:t>называть традиционные религии в России, народы России, для которых традиционными религиями исторически являются православие, ислам, буддизм, иудаизм;</w:t>
      </w:r>
    </w:p>
    <w:p w14:paraId="3D1B5BCB">
      <w:pPr>
        <w:pStyle w:val="67"/>
        <w:widowControl/>
        <w:spacing w:after="0" w:line="360" w:lineRule="auto"/>
        <w:ind w:left="0" w:firstLine="709"/>
        <w:jc w:val="both"/>
        <w:rPr>
          <w:rFonts w:ascii="Times New Roman" w:hAnsi="Times New Roman" w:eastAsia="Times New Roman"/>
          <w:lang w:eastAsia="ru-RU"/>
        </w:rPr>
      </w:pPr>
      <w:r>
        <w:rPr>
          <w:rFonts w:ascii="Times New Roman" w:hAnsi="Times New Roman" w:eastAsia="Times New Roman"/>
          <w:lang w:eastAsia="ru-RU"/>
        </w:rPr>
        <w:t>выражать своими словами понимание человеческого достоинства, ценности человеческой жизни в традиционных религиях народов России.</w:t>
      </w:r>
    </w:p>
    <w:p w14:paraId="1442D89E">
      <w:pPr>
        <w:pStyle w:val="67"/>
        <w:widowControl/>
        <w:spacing w:after="0" w:line="360" w:lineRule="auto"/>
        <w:ind w:left="0" w:firstLine="709"/>
        <w:jc w:val="both"/>
        <w:rPr>
          <w:rFonts w:ascii="Times New Roman" w:hAnsi="Times New Roman" w:eastAsia="Times New Roman"/>
          <w:lang w:eastAsia="ru-RU"/>
        </w:rPr>
      </w:pPr>
      <w:r>
        <w:rPr>
          <w:rFonts w:ascii="Times New Roman" w:hAnsi="Times New Roman" w:eastAsia="Times New Roman"/>
          <w:lang w:eastAsia="ru-RU"/>
        </w:rPr>
        <w:t>12.7.3.6. Модуль «Основы светской этики».</w:t>
      </w:r>
    </w:p>
    <w:p w14:paraId="121C9FDE">
      <w:pPr>
        <w:pStyle w:val="67"/>
        <w:widowControl/>
        <w:spacing w:after="0" w:line="360" w:lineRule="auto"/>
        <w:ind w:left="0" w:firstLine="709"/>
        <w:jc w:val="both"/>
        <w:rPr>
          <w:rFonts w:ascii="Times New Roman" w:hAnsi="Times New Roman" w:eastAsia="Times New Roman"/>
          <w:lang w:eastAsia="ru-RU"/>
        </w:rPr>
      </w:pPr>
      <w:r>
        <w:rPr>
          <w:rFonts w:ascii="Times New Roman" w:hAnsi="Times New Roman" w:eastAsia="Times New Roman"/>
          <w:lang w:eastAsia="ru-RU"/>
        </w:rPr>
        <w:t>Предметные результаты освоения образовательной программы модуля «Основы светской этики» должны отражать сформированность умений:</w:t>
      </w:r>
    </w:p>
    <w:p w14:paraId="3871BE88">
      <w:pPr>
        <w:pStyle w:val="67"/>
        <w:widowControl/>
        <w:spacing w:after="0" w:line="360" w:lineRule="auto"/>
        <w:ind w:left="0" w:firstLine="709"/>
        <w:jc w:val="both"/>
        <w:rPr>
          <w:rFonts w:ascii="Times New Roman" w:hAnsi="Times New Roman" w:eastAsia="Times New Roman"/>
          <w:lang w:eastAsia="ru-RU"/>
        </w:rPr>
      </w:pPr>
      <w:r>
        <w:rPr>
          <w:rFonts w:ascii="Times New Roman" w:hAnsi="Times New Roman" w:eastAsia="Times New Roman"/>
          <w:lang w:eastAsia="ru-RU"/>
        </w:rPr>
        <w:t>выражать своими словами первоначальное понимание сущности духовного развития как осознания и усвоения человеком значимых для жизни представлений о себе, людях, окружающей действительности;</w:t>
      </w:r>
    </w:p>
    <w:p w14:paraId="60269E79">
      <w:pPr>
        <w:pStyle w:val="67"/>
        <w:widowControl/>
        <w:spacing w:after="0" w:line="360" w:lineRule="auto"/>
        <w:ind w:left="0" w:firstLine="709"/>
        <w:jc w:val="both"/>
        <w:rPr>
          <w:rFonts w:ascii="Times New Roman" w:hAnsi="Times New Roman" w:eastAsia="Times New Roman"/>
          <w:lang w:eastAsia="ru-RU"/>
        </w:rPr>
      </w:pPr>
      <w:r>
        <w:rPr>
          <w:rFonts w:ascii="Times New Roman" w:hAnsi="Times New Roman" w:eastAsia="Times New Roman"/>
          <w:lang w:eastAsia="ru-RU"/>
        </w:rPr>
        <w:t>выражать своими словами понимание значимости нравственного самосовершенствования и роли в этом личных усилий человека, приводить примеры;</w:t>
      </w:r>
    </w:p>
    <w:p w14:paraId="1D99E5D7">
      <w:pPr>
        <w:pStyle w:val="67"/>
        <w:widowControl/>
        <w:spacing w:after="0" w:line="360" w:lineRule="auto"/>
        <w:ind w:left="0" w:firstLine="709"/>
        <w:jc w:val="both"/>
        <w:rPr>
          <w:rFonts w:ascii="Times New Roman" w:hAnsi="Times New Roman" w:eastAsia="Times New Roman"/>
          <w:lang w:eastAsia="ru-RU"/>
        </w:rPr>
      </w:pPr>
      <w:r>
        <w:rPr>
          <w:rFonts w:ascii="Times New Roman" w:hAnsi="Times New Roman" w:eastAsia="Times New Roman"/>
          <w:lang w:eastAsia="ru-RU"/>
        </w:rPr>
        <w:t>выражать понимание и принятие значения российских традиционных духовных и нравственных ценностей, духовно-нравственной культуры народов России, российского общества как источника и основы духовного развития, нравственного совершенствования;</w:t>
      </w:r>
    </w:p>
    <w:p w14:paraId="7922CB00">
      <w:pPr>
        <w:pStyle w:val="67"/>
        <w:widowControl/>
        <w:spacing w:after="0" w:line="360" w:lineRule="auto"/>
        <w:ind w:left="0" w:firstLine="709"/>
        <w:jc w:val="both"/>
        <w:rPr>
          <w:rFonts w:ascii="Times New Roman" w:hAnsi="Times New Roman" w:eastAsia="Times New Roman"/>
          <w:lang w:eastAsia="ru-RU"/>
        </w:rPr>
      </w:pPr>
      <w:r>
        <w:rPr>
          <w:rFonts w:ascii="Times New Roman" w:hAnsi="Times New Roman" w:eastAsia="Times New Roman"/>
          <w:lang w:eastAsia="ru-RU"/>
        </w:rPr>
        <w:t>рассказывать о российской светской (гражданской) этике как общепринятых в российском обществе нормах морали, отношений и поведения людей, основанных на российских традиционных духовных ценностях, конституционных правах, свободах и обязанностях человека и гражданина в России;</w:t>
      </w:r>
    </w:p>
    <w:p w14:paraId="03CBE8E5">
      <w:pPr>
        <w:pStyle w:val="67"/>
        <w:widowControl/>
        <w:spacing w:after="0" w:line="360" w:lineRule="auto"/>
        <w:ind w:left="0" w:firstLine="709"/>
        <w:jc w:val="both"/>
        <w:rPr>
          <w:rFonts w:ascii="Times New Roman" w:hAnsi="Times New Roman" w:eastAsia="Times New Roman"/>
          <w:lang w:eastAsia="ru-RU"/>
        </w:rPr>
      </w:pPr>
      <w:r>
        <w:rPr>
          <w:rFonts w:ascii="Times New Roman" w:hAnsi="Times New Roman" w:eastAsia="Times New Roman"/>
          <w:lang w:eastAsia="ru-RU"/>
        </w:rPr>
        <w:t>раскрывать основное содержание нравственных категорий российской светской этики (справедливость, совесть, ответственность, сострадание, ценность и достоинство человеческой жизни, взаимоуважение, вера в добро, человеколюбие, милосердие, добродетели, патриотизм, труд) в отношениях между людьми в российском обществе, объяснять «золотое правило нравственности»;</w:t>
      </w:r>
    </w:p>
    <w:p w14:paraId="776917AD">
      <w:pPr>
        <w:pStyle w:val="67"/>
        <w:widowControl/>
        <w:spacing w:after="0" w:line="360" w:lineRule="auto"/>
        <w:ind w:left="0" w:firstLine="709"/>
        <w:jc w:val="both"/>
        <w:rPr>
          <w:rFonts w:ascii="Times New Roman" w:hAnsi="Times New Roman" w:eastAsia="Times New Roman"/>
          <w:lang w:eastAsia="ru-RU"/>
        </w:rPr>
      </w:pPr>
      <w:r>
        <w:rPr>
          <w:rFonts w:ascii="Times New Roman" w:hAnsi="Times New Roman" w:eastAsia="Times New Roman"/>
          <w:lang w:eastAsia="ru-RU"/>
        </w:rPr>
        <w:t>высказывать суждения оценочного характера о значении нравственности в жизни человека, семьи, народа, общества и государства, умение различать нравственные нормы и нормы этикета, приводить примеры;</w:t>
      </w:r>
    </w:p>
    <w:p w14:paraId="496DACDB">
      <w:pPr>
        <w:pStyle w:val="67"/>
        <w:widowControl/>
        <w:spacing w:after="0" w:line="360" w:lineRule="auto"/>
        <w:ind w:left="0" w:firstLine="709"/>
        <w:jc w:val="both"/>
        <w:rPr>
          <w:rFonts w:ascii="Times New Roman" w:hAnsi="Times New Roman" w:eastAsia="Times New Roman"/>
          <w:lang w:eastAsia="ru-RU"/>
        </w:rPr>
      </w:pPr>
      <w:r>
        <w:rPr>
          <w:rFonts w:ascii="Times New Roman" w:hAnsi="Times New Roman" w:eastAsia="Times New Roman"/>
          <w:lang w:eastAsia="ru-RU"/>
        </w:rPr>
        <w:t>первоначальный опыт осмысления и нравственной оценки поступков, поведения (своих и других людей) с позиций российской светской (гражданской) этики;</w:t>
      </w:r>
    </w:p>
    <w:p w14:paraId="7B9080CD">
      <w:pPr>
        <w:pStyle w:val="67"/>
        <w:widowControl/>
        <w:spacing w:after="0" w:line="360" w:lineRule="auto"/>
        <w:ind w:left="0" w:firstLine="709"/>
        <w:jc w:val="both"/>
        <w:rPr>
          <w:rFonts w:ascii="Times New Roman" w:hAnsi="Times New Roman" w:eastAsia="Times New Roman"/>
          <w:lang w:eastAsia="ru-RU"/>
        </w:rPr>
      </w:pPr>
      <w:r>
        <w:rPr>
          <w:rFonts w:ascii="Times New Roman" w:hAnsi="Times New Roman" w:eastAsia="Times New Roman"/>
          <w:lang w:eastAsia="ru-RU"/>
        </w:rPr>
        <w:t>раскрывать своими словами первоначальные представления об основных нормах российской светской (гражданской) этики: любовь к Родине, российский патриотизм и гражданственность, защита Отечества, уважение памяти предков, исторического и культурного наследия и особенностей народов России, российского общества, уважение чести, достоинства, доброго имени любого человека, любовь к природе, забота о животных, охрана окружающей среды;</w:t>
      </w:r>
    </w:p>
    <w:p w14:paraId="0F6229E1">
      <w:pPr>
        <w:pStyle w:val="67"/>
        <w:widowControl/>
        <w:spacing w:after="0" w:line="360" w:lineRule="auto"/>
        <w:ind w:left="0" w:firstLine="709"/>
        <w:jc w:val="both"/>
        <w:rPr>
          <w:rFonts w:ascii="Times New Roman" w:hAnsi="Times New Roman" w:eastAsia="Times New Roman"/>
          <w:lang w:eastAsia="ru-RU"/>
        </w:rPr>
      </w:pPr>
      <w:r>
        <w:rPr>
          <w:rFonts w:ascii="Times New Roman" w:hAnsi="Times New Roman" w:eastAsia="Times New Roman"/>
          <w:lang w:eastAsia="ru-RU"/>
        </w:rPr>
        <w:t>рассказывать о праздниках как одной из форм исторической памяти народа, общества, российских праздниках (государственные, народные, религиозные, семейные праздники), российских государственных праздниках, их истории и традициях (не менее трёх), религиозных праздниках (не менее двух разных традиционных религий народов России), праздниках в своём регионе (не менее одного), о роли семейных праздников в жизни человека, семьи;</w:t>
      </w:r>
    </w:p>
    <w:p w14:paraId="0E05F380">
      <w:pPr>
        <w:pStyle w:val="67"/>
        <w:widowControl/>
        <w:spacing w:after="0" w:line="360" w:lineRule="auto"/>
        <w:ind w:left="0" w:firstLine="709"/>
        <w:jc w:val="both"/>
        <w:rPr>
          <w:rFonts w:ascii="Times New Roman" w:hAnsi="Times New Roman" w:eastAsia="Times New Roman"/>
          <w:lang w:eastAsia="ru-RU"/>
        </w:rPr>
      </w:pPr>
      <w:r>
        <w:rPr>
          <w:rFonts w:ascii="Times New Roman" w:hAnsi="Times New Roman" w:eastAsia="Times New Roman"/>
          <w:lang w:eastAsia="ru-RU"/>
        </w:rPr>
        <w:t>раскрывать основное содержание понимания семьи, отношений в семье на основе российских традиционных духовных ценностей (семья – союз мужчины и женщины на основе взаимной любви для совместной жизни, рождения и воспитания детей, любовь и забота родителей о детях, любовь и забота детей о нуждающихся в помощи родителях, уважение старших по возрасту, предков), российских традиционных семейных ценностей;</w:t>
      </w:r>
    </w:p>
    <w:p w14:paraId="427C8BCF">
      <w:pPr>
        <w:pStyle w:val="67"/>
        <w:widowControl/>
        <w:spacing w:after="0" w:line="360" w:lineRule="auto"/>
        <w:ind w:left="0" w:firstLine="709"/>
        <w:jc w:val="both"/>
        <w:rPr>
          <w:rFonts w:ascii="Times New Roman" w:hAnsi="Times New Roman" w:eastAsia="Times New Roman"/>
          <w:lang w:eastAsia="ru-RU"/>
        </w:rPr>
      </w:pPr>
      <w:r>
        <w:rPr>
          <w:rFonts w:ascii="Times New Roman" w:hAnsi="Times New Roman" w:eastAsia="Times New Roman"/>
          <w:lang w:eastAsia="ru-RU"/>
        </w:rPr>
        <w:t>распознавать российскую государственную символику, символику своего региона, объяснять её значение, выражать уважение российской государственности, законов в российском обществе, законных интересов и прав людей, сограждан;</w:t>
      </w:r>
    </w:p>
    <w:p w14:paraId="6A5F004F">
      <w:pPr>
        <w:pStyle w:val="67"/>
        <w:widowControl/>
        <w:spacing w:after="0" w:line="360" w:lineRule="auto"/>
        <w:ind w:left="0" w:firstLine="709"/>
        <w:jc w:val="both"/>
        <w:rPr>
          <w:rFonts w:ascii="Times New Roman" w:hAnsi="Times New Roman" w:eastAsia="Times New Roman"/>
          <w:lang w:eastAsia="ru-RU"/>
        </w:rPr>
      </w:pPr>
      <w:r>
        <w:rPr>
          <w:rFonts w:ascii="Times New Roman" w:hAnsi="Times New Roman" w:eastAsia="Times New Roman"/>
          <w:lang w:eastAsia="ru-RU"/>
        </w:rPr>
        <w:t>рассказывать о трудовой морали, нравственных традициях трудовой деятельности, предпринимательства в России, выражать нравственную ориентацию на трудолюбие, честный труд, уважение к труду, трудящимся, результатам труда;</w:t>
      </w:r>
    </w:p>
    <w:p w14:paraId="7547215D">
      <w:pPr>
        <w:pStyle w:val="67"/>
        <w:widowControl/>
        <w:spacing w:after="0" w:line="360" w:lineRule="auto"/>
        <w:ind w:left="0" w:firstLine="709"/>
        <w:jc w:val="both"/>
        <w:rPr>
          <w:rFonts w:ascii="Times New Roman" w:hAnsi="Times New Roman" w:eastAsia="Times New Roman"/>
          <w:lang w:eastAsia="ru-RU"/>
        </w:rPr>
      </w:pPr>
      <w:r>
        <w:rPr>
          <w:rFonts w:ascii="Times New Roman" w:hAnsi="Times New Roman" w:eastAsia="Times New Roman"/>
          <w:lang w:eastAsia="ru-RU"/>
        </w:rPr>
        <w:t>рассказывать о российских культурных и природных памятниках, о культурных и природных достопримечательностях своего региона;</w:t>
      </w:r>
    </w:p>
    <w:p w14:paraId="06EF9621">
      <w:pPr>
        <w:pStyle w:val="67"/>
        <w:widowControl/>
        <w:spacing w:after="0" w:line="360" w:lineRule="auto"/>
        <w:ind w:left="0" w:firstLine="709"/>
        <w:jc w:val="both"/>
        <w:rPr>
          <w:rFonts w:ascii="Times New Roman" w:hAnsi="Times New Roman" w:eastAsia="Times New Roman"/>
          <w:lang w:eastAsia="ru-RU"/>
        </w:rPr>
      </w:pPr>
      <w:r>
        <w:rPr>
          <w:rFonts w:ascii="Times New Roman" w:hAnsi="Times New Roman" w:eastAsia="Times New Roman"/>
          <w:lang w:eastAsia="ru-RU"/>
        </w:rPr>
        <w:t>раскрывать основное содержание российской светской (гражданской) этики на примерах образцов нравственности, российской гражданственности и патриотизма в истории России;</w:t>
      </w:r>
    </w:p>
    <w:p w14:paraId="1CEBE3E4">
      <w:pPr>
        <w:pStyle w:val="67"/>
        <w:widowControl/>
        <w:spacing w:after="0" w:line="360" w:lineRule="auto"/>
        <w:ind w:left="0" w:firstLine="709"/>
        <w:jc w:val="both"/>
        <w:rPr>
          <w:rFonts w:ascii="Times New Roman" w:hAnsi="Times New Roman" w:eastAsia="Times New Roman"/>
          <w:lang w:eastAsia="ru-RU"/>
        </w:rPr>
      </w:pPr>
      <w:r>
        <w:rPr>
          <w:rFonts w:ascii="Times New Roman" w:hAnsi="Times New Roman" w:eastAsia="Times New Roman"/>
          <w:lang w:eastAsia="ru-RU"/>
        </w:rPr>
        <w:t>объяснять своими словами роль светской (гражданской) этики в становлении российской государственности;</w:t>
      </w:r>
    </w:p>
    <w:p w14:paraId="1F03EE0E">
      <w:pPr>
        <w:pStyle w:val="67"/>
        <w:widowControl/>
        <w:spacing w:after="0" w:line="360" w:lineRule="auto"/>
        <w:ind w:left="0" w:firstLine="709"/>
        <w:jc w:val="both"/>
        <w:rPr>
          <w:rFonts w:ascii="Times New Roman" w:hAnsi="Times New Roman" w:eastAsia="Times New Roman"/>
          <w:lang w:eastAsia="ru-RU"/>
        </w:rPr>
      </w:pPr>
      <w:r>
        <w:rPr>
          <w:rFonts w:ascii="Times New Roman" w:hAnsi="Times New Roman" w:eastAsia="Times New Roman"/>
          <w:lang w:eastAsia="ru-RU"/>
        </w:rPr>
        <w:t>первоначальный опыт поисковой, проектной деятельности по изучению исторического и культурного наследия народов России, российского общества в своей местности, регионе, оформлению и представлению её результатов;</w:t>
      </w:r>
    </w:p>
    <w:p w14:paraId="38E7A700">
      <w:pPr>
        <w:pStyle w:val="67"/>
        <w:widowControl/>
        <w:spacing w:after="0" w:line="360" w:lineRule="auto"/>
        <w:ind w:left="0" w:firstLine="709"/>
        <w:jc w:val="both"/>
        <w:rPr>
          <w:rFonts w:ascii="Times New Roman" w:hAnsi="Times New Roman" w:eastAsia="Times New Roman"/>
          <w:lang w:eastAsia="ru-RU"/>
        </w:rPr>
      </w:pPr>
      <w:r>
        <w:rPr>
          <w:rFonts w:ascii="Times New Roman" w:hAnsi="Times New Roman" w:eastAsia="Times New Roman"/>
          <w:lang w:eastAsia="ru-RU"/>
        </w:rPr>
        <w:t>приводить примеры нравственных поступков, совершаемых с использованием этических норм российской светской (гражданской) этики и внутренней установки личности поступать согласно своей совести;</w:t>
      </w:r>
    </w:p>
    <w:p w14:paraId="4FCD2AE6">
      <w:pPr>
        <w:pStyle w:val="67"/>
        <w:widowControl/>
        <w:spacing w:after="0" w:line="360" w:lineRule="auto"/>
        <w:ind w:left="0" w:firstLine="709"/>
        <w:jc w:val="both"/>
        <w:rPr>
          <w:rFonts w:ascii="Times New Roman" w:hAnsi="Times New Roman" w:eastAsia="Times New Roman"/>
          <w:lang w:eastAsia="ru-RU"/>
        </w:rPr>
      </w:pPr>
      <w:r>
        <w:rPr>
          <w:rFonts w:ascii="Times New Roman" w:hAnsi="Times New Roman" w:eastAsia="Times New Roman"/>
          <w:lang w:eastAsia="ru-RU"/>
        </w:rPr>
        <w:t>выражать своими словами понимание свободы мировоззренческого выбора, отношения человека, людей в обществе к религии, свободы вероисповедания, понимание российского общества как многоэтничного и многорелигиозного (приводить примеры), понимание российского общенародного (общенационального, гражданского) патриотизма, любви к Отечеству, нашей общей Родине – России, приводить примеры сотрудничества последователей традиционных религий;</w:t>
      </w:r>
    </w:p>
    <w:p w14:paraId="05C1BB84">
      <w:pPr>
        <w:pStyle w:val="67"/>
        <w:widowControl/>
        <w:spacing w:after="0" w:line="360" w:lineRule="auto"/>
        <w:ind w:left="0" w:firstLine="709"/>
        <w:jc w:val="both"/>
        <w:rPr>
          <w:rFonts w:ascii="Times New Roman" w:hAnsi="Times New Roman" w:eastAsia="Times New Roman"/>
          <w:lang w:eastAsia="ru-RU"/>
        </w:rPr>
      </w:pPr>
      <w:r>
        <w:rPr>
          <w:rFonts w:ascii="Times New Roman" w:hAnsi="Times New Roman" w:eastAsia="Times New Roman"/>
          <w:lang w:eastAsia="ru-RU"/>
        </w:rPr>
        <w:t>называть традиционные религии в России, народы России, для которых традиционными религиями исторически являются православие, ислам, буддизм, иудаизм;</w:t>
      </w:r>
    </w:p>
    <w:p w14:paraId="73090108">
      <w:pPr>
        <w:pStyle w:val="67"/>
        <w:widowControl/>
        <w:spacing w:after="0" w:line="360" w:lineRule="auto"/>
        <w:ind w:left="0" w:firstLine="709"/>
        <w:jc w:val="both"/>
        <w:rPr>
          <w:rFonts w:ascii="Times New Roman" w:hAnsi="Times New Roman" w:eastAsia="Times New Roman"/>
          <w:lang w:eastAsia="ru-RU"/>
        </w:rPr>
      </w:pPr>
      <w:r>
        <w:rPr>
          <w:rFonts w:ascii="Times New Roman" w:hAnsi="Times New Roman" w:eastAsia="Times New Roman"/>
          <w:lang w:eastAsia="ru-RU"/>
        </w:rPr>
        <w:t>выражать своими словами понимание человеческого достоинства, ценности человеческой жизни в российской светской (гражданской) этике.</w:t>
      </w:r>
    </w:p>
    <w:p w14:paraId="3E2217F2">
      <w:pPr>
        <w:pStyle w:val="2"/>
        <w:pBdr>
          <w:bottom w:val="none" w:color="auto" w:sz="0" w:space="0"/>
        </w:pBdr>
        <w:spacing w:before="0" w:line="360" w:lineRule="auto"/>
        <w:ind w:firstLine="708"/>
        <w:jc w:val="both"/>
        <w:rPr>
          <w:b w:val="0"/>
          <w:sz w:val="22"/>
          <w:szCs w:val="22"/>
        </w:rPr>
      </w:pPr>
      <w:r>
        <w:rPr>
          <w:b w:val="0"/>
          <w:sz w:val="22"/>
          <w:szCs w:val="22"/>
        </w:rPr>
        <w:t>13. Рабочая программа по учебному предмету «Изобразительное искусство».</w:t>
      </w:r>
    </w:p>
    <w:p w14:paraId="67BEFF14">
      <w:pPr>
        <w:spacing w:after="0" w:line="360" w:lineRule="auto"/>
        <w:ind w:firstLine="709"/>
        <w:jc w:val="both"/>
        <w:rPr>
          <w:rFonts w:ascii="Times New Roman" w:hAnsi="Times New Roman"/>
        </w:rPr>
      </w:pPr>
      <w:r>
        <w:rPr>
          <w:rFonts w:ascii="Times New Roman" w:hAnsi="Times New Roman"/>
        </w:rPr>
        <w:t>13.1. Рабочая программа по учебному предмету «Изобразительное искусство» (предметная область «Искусство») (далее соответственно – программа по изобразительному искусству, искусство) включает пояснительную записку, содержание обучения, планируемые результаты освоения программы по изобразительному искусству.</w:t>
      </w:r>
    </w:p>
    <w:p w14:paraId="2F480F78">
      <w:pPr>
        <w:spacing w:after="0" w:line="360" w:lineRule="auto"/>
        <w:ind w:firstLine="709"/>
        <w:jc w:val="both"/>
        <w:rPr>
          <w:rFonts w:ascii="Times New Roman" w:hAnsi="Times New Roman"/>
        </w:rPr>
      </w:pPr>
      <w:r>
        <w:rPr>
          <w:rFonts w:ascii="Times New Roman" w:hAnsi="Times New Roman"/>
        </w:rPr>
        <w:t>13.2. Пояснительная записка отражает общие цели и задачи изучения изобразительного искусства, место в структуре учебного плана, а также подходы к отбору содержания и планируемым результатам.</w:t>
      </w:r>
    </w:p>
    <w:p w14:paraId="4F76E190">
      <w:pPr>
        <w:spacing w:after="0" w:line="360" w:lineRule="auto"/>
        <w:ind w:firstLine="709"/>
        <w:jc w:val="both"/>
        <w:rPr>
          <w:rFonts w:ascii="Times New Roman" w:hAnsi="Times New Roman"/>
        </w:rPr>
      </w:pPr>
      <w:r>
        <w:rPr>
          <w:rFonts w:ascii="Times New Roman" w:hAnsi="Times New Roman"/>
        </w:rPr>
        <w:t xml:space="preserve">13.3. Содержание обучения раскрывает содержательные линии, которые предлагаются для обязательного изучения в каждом классе на уровне начального общего образования. </w:t>
      </w:r>
    </w:p>
    <w:p w14:paraId="5F9125B1">
      <w:pPr>
        <w:spacing w:after="0" w:line="360" w:lineRule="auto"/>
        <w:ind w:firstLine="709"/>
        <w:jc w:val="both"/>
        <w:rPr>
          <w:rFonts w:ascii="Times New Roman" w:hAnsi="Times New Roman"/>
        </w:rPr>
      </w:pPr>
      <w:r>
        <w:rPr>
          <w:rFonts w:ascii="Times New Roman" w:hAnsi="Times New Roman"/>
        </w:rPr>
        <w:t>13.4. Планируемые результаты освоения программы по изобразительному искусству включают личностные, метапредметные результаты за весь период обучения на уровне начального общего образования, а также предметные достижения обучающегося за каждый год обучения.</w:t>
      </w:r>
    </w:p>
    <w:p w14:paraId="1FD3C2B4">
      <w:pPr>
        <w:spacing w:after="0" w:line="360" w:lineRule="auto"/>
        <w:ind w:firstLine="709"/>
        <w:jc w:val="both"/>
        <w:rPr>
          <w:rFonts w:ascii="Times New Roman" w:hAnsi="Times New Roman"/>
        </w:rPr>
      </w:pPr>
      <w:r>
        <w:rPr>
          <w:rFonts w:ascii="Times New Roman" w:hAnsi="Times New Roman"/>
          <w:bCs/>
        </w:rPr>
        <w:t>При разработке рабочей программы по изобразительному искусству образовательная организация вправе использовать возможности сетевого взаимодействия, в том числе с организациями системы дополнительного образования детей, учреждениями культуры, организациями культурно-досуговой сферы (театры, музеи, творческие союзы).</w:t>
      </w:r>
    </w:p>
    <w:p w14:paraId="1746511B">
      <w:pPr>
        <w:spacing w:after="0" w:line="360" w:lineRule="auto"/>
        <w:ind w:firstLine="709"/>
        <w:jc w:val="both"/>
        <w:rPr>
          <w:rFonts w:ascii="Times New Roman" w:hAnsi="Times New Roman"/>
        </w:rPr>
      </w:pPr>
      <w:r>
        <w:rPr>
          <w:rFonts w:ascii="Times New Roman" w:hAnsi="Times New Roman"/>
        </w:rPr>
        <w:t>13.5. Пояснительная записка.</w:t>
      </w:r>
    </w:p>
    <w:p w14:paraId="288CEC7A">
      <w:pPr>
        <w:spacing w:after="0" w:line="360" w:lineRule="auto"/>
        <w:ind w:firstLine="709"/>
        <w:jc w:val="both"/>
        <w:rPr>
          <w:rFonts w:ascii="Times New Roman" w:hAnsi="Times New Roman"/>
        </w:rPr>
      </w:pPr>
      <w:r>
        <w:rPr>
          <w:rFonts w:ascii="Times New Roman" w:hAnsi="Times New Roman"/>
        </w:rPr>
        <w:t xml:space="preserve">13.5.1. Программа по изобразительному искусству на уровне начального общего образования составлена на основе требований к результатам освоения основной образовательной программы начального общего образования ФГОС НОО, а также ориентирована на целевые приоритеты духовно-нравственного развития, воспитания и социализации обучающихся, сформулированные в федеральной </w:t>
      </w:r>
      <w:r>
        <w:rPr>
          <w:rFonts w:ascii="Times New Roman" w:hAnsi="Times New Roman" w:eastAsia="SchoolBookSanPin"/>
        </w:rPr>
        <w:t xml:space="preserve">рабочей </w:t>
      </w:r>
      <w:r>
        <w:rPr>
          <w:rFonts w:ascii="Times New Roman" w:hAnsi="Times New Roman"/>
        </w:rPr>
        <w:t>программе воспитания.</w:t>
      </w:r>
    </w:p>
    <w:p w14:paraId="79AE4844">
      <w:pPr>
        <w:spacing w:after="0" w:line="360" w:lineRule="auto"/>
        <w:ind w:firstLine="709"/>
        <w:jc w:val="both"/>
        <w:rPr>
          <w:rFonts w:ascii="Times New Roman" w:hAnsi="Times New Roman"/>
        </w:rPr>
      </w:pPr>
      <w:r>
        <w:rPr>
          <w:rFonts w:ascii="Times New Roman" w:hAnsi="Times New Roman"/>
        </w:rPr>
        <w:t>13.5.2. Цель программы по изобразительному искусству состоит в формировании художественной культуры обучающихся, развитии художественно-образного мышления и эстетического отношения к явлениям действительности путём освоения начальных основ художественных знаний, умений, навыков и развития творческого потенциала обучающихся.</w:t>
      </w:r>
    </w:p>
    <w:p w14:paraId="6FD70A7F">
      <w:pPr>
        <w:spacing w:after="0" w:line="360" w:lineRule="auto"/>
        <w:ind w:firstLine="709"/>
        <w:jc w:val="both"/>
        <w:rPr>
          <w:rFonts w:ascii="Times New Roman" w:hAnsi="Times New Roman"/>
        </w:rPr>
      </w:pPr>
      <w:r>
        <w:rPr>
          <w:rFonts w:ascii="Times New Roman" w:hAnsi="Times New Roman"/>
        </w:rPr>
        <w:t>13.5.3. Программа по изобразительному искусству направлена на развитие духовной культуры обучающихся, формирование активной эстетической позиции по отношению к действительности и произведениям искусства, понимание роли и значения художественной деятельности в жизни людей.</w:t>
      </w:r>
    </w:p>
    <w:p w14:paraId="439C51CD">
      <w:pPr>
        <w:spacing w:after="0" w:line="360" w:lineRule="auto"/>
        <w:ind w:firstLine="709"/>
        <w:jc w:val="both"/>
        <w:rPr>
          <w:rFonts w:ascii="Times New Roman" w:hAnsi="Times New Roman"/>
        </w:rPr>
      </w:pPr>
      <w:r>
        <w:rPr>
          <w:rFonts w:ascii="Times New Roman" w:hAnsi="Times New Roman"/>
        </w:rPr>
        <w:t xml:space="preserve">13.5.4. Содержание программы по изобразительному искусству охватывает все основные виды визуально-пространственных искусств (собственно изобразительных): начальные основы графики, живописи и скульптуры, декоративно-прикладные и народные виды искусства, архитектуру и дизайн. Особое внимание уделено развитию эстетического восприятия природы, восприятию произведений искусства и формированию зрительских навыков, художественному восприятию предметно-бытовой культуры. </w:t>
      </w:r>
    </w:p>
    <w:p w14:paraId="688392F9">
      <w:pPr>
        <w:spacing w:after="0" w:line="360" w:lineRule="auto"/>
        <w:ind w:firstLine="709"/>
        <w:jc w:val="both"/>
        <w:rPr>
          <w:rFonts w:ascii="Times New Roman" w:hAnsi="Times New Roman"/>
        </w:rPr>
      </w:pPr>
      <w:r>
        <w:rPr>
          <w:rFonts w:ascii="Times New Roman" w:hAnsi="Times New Roman"/>
        </w:rPr>
        <w:t>13.5.5. Важнейшей задачей является формирование активного, ценностного отношения к истории отечественной культуры, выраженной в её архитектуре, изобразительном искусстве, в национальных образах предметно-материальной и пространственной среды, в понимании красоты человека.</w:t>
      </w:r>
    </w:p>
    <w:p w14:paraId="4E65DD23">
      <w:pPr>
        <w:spacing w:after="0" w:line="360" w:lineRule="auto"/>
        <w:ind w:firstLine="709"/>
        <w:jc w:val="both"/>
        <w:rPr>
          <w:rFonts w:ascii="Times New Roman" w:hAnsi="Times New Roman"/>
        </w:rPr>
      </w:pPr>
      <w:r>
        <w:rPr>
          <w:rFonts w:ascii="Times New Roman" w:hAnsi="Times New Roman"/>
        </w:rPr>
        <w:t>13.5.6. Учебные темы, связанные с восприятием, могут быть реализованы как отдельные уроки, но чаще всего следует объединять задачи восприятия с задачами практической творческой работы (при сохранении учебного времени на восприятие произведений искусства и эстетического наблюдения окружающей действительности).</w:t>
      </w:r>
    </w:p>
    <w:p w14:paraId="737A32F6">
      <w:pPr>
        <w:spacing w:after="0" w:line="360" w:lineRule="auto"/>
        <w:ind w:firstLine="709"/>
        <w:jc w:val="both"/>
        <w:rPr>
          <w:rFonts w:ascii="Times New Roman" w:hAnsi="Times New Roman"/>
        </w:rPr>
      </w:pPr>
      <w:r>
        <w:rPr>
          <w:rFonts w:ascii="Times New Roman" w:hAnsi="Times New Roman"/>
        </w:rPr>
        <w:t>13.5.7. Программа по изобразительному искусству знакомит обучающихся с многообразием видов художественной деятельности и технически доступным разнообразием художественных материалов. Практическая художественно-творческая деятельность занимает приоритетное пространство учебного времени. При опоре на восприятие произведений искусства художественно-эстетическое отношение к миру формируется прежде всего в собственной художественной деятельности, в процессе практического решения художественно-творческих задач.</w:t>
      </w:r>
    </w:p>
    <w:p w14:paraId="11EC480A">
      <w:pPr>
        <w:spacing w:after="0" w:line="360" w:lineRule="auto"/>
        <w:ind w:firstLine="709"/>
        <w:jc w:val="both"/>
        <w:rPr>
          <w:rFonts w:ascii="Times New Roman" w:hAnsi="Times New Roman"/>
        </w:rPr>
      </w:pPr>
      <w:r>
        <w:rPr>
          <w:rFonts w:ascii="Times New Roman" w:hAnsi="Times New Roman"/>
        </w:rPr>
        <w:t>13.5.8. Содержание программы по изобразительному искусству структурировано как система тематических модулей. Изучение содержания всех модулей в 1–4 классах обязательно.</w:t>
      </w:r>
    </w:p>
    <w:p w14:paraId="08654D87">
      <w:pPr>
        <w:spacing w:after="0" w:line="360" w:lineRule="auto"/>
        <w:ind w:firstLine="709"/>
        <w:jc w:val="both"/>
        <w:rPr>
          <w:rFonts w:ascii="Times New Roman" w:hAnsi="Times New Roman"/>
        </w:rPr>
      </w:pPr>
      <w:r>
        <w:rPr>
          <w:rFonts w:ascii="Times New Roman" w:hAnsi="Times New Roman"/>
        </w:rPr>
        <w:t xml:space="preserve">13.5.9. Общее число часов, рекомендованных для изучения изобразительного искусства – 135 часов: в 1 классе – 33 часа (1 час в неделю), во 2 классе – 34 часа (1 час в неделю), в 3 классе – 34 часа (1 час в неделю), в 4 классе – 34 часа (1 час в неделю). </w:t>
      </w:r>
    </w:p>
    <w:p w14:paraId="170D52B7">
      <w:pPr>
        <w:spacing w:after="0" w:line="360" w:lineRule="auto"/>
        <w:ind w:firstLine="709"/>
        <w:jc w:val="both"/>
        <w:rPr>
          <w:rFonts w:ascii="Times New Roman" w:hAnsi="Times New Roman"/>
        </w:rPr>
      </w:pPr>
      <w:r>
        <w:rPr>
          <w:rFonts w:ascii="Times New Roman" w:hAnsi="Times New Roman"/>
        </w:rPr>
        <w:t>13.6. Содержание обучения в 1 классе.</w:t>
      </w:r>
    </w:p>
    <w:p w14:paraId="57752BD1">
      <w:pPr>
        <w:spacing w:after="0" w:line="360" w:lineRule="auto"/>
        <w:ind w:firstLine="709"/>
        <w:jc w:val="both"/>
        <w:rPr>
          <w:rFonts w:ascii="Times New Roman" w:hAnsi="Times New Roman"/>
        </w:rPr>
      </w:pPr>
      <w:r>
        <w:rPr>
          <w:rFonts w:ascii="Times New Roman" w:hAnsi="Times New Roman"/>
        </w:rPr>
        <w:t>13.6.1. Модуль «Графика».</w:t>
      </w:r>
    </w:p>
    <w:p w14:paraId="5BE7476F">
      <w:pPr>
        <w:spacing w:after="0" w:line="360" w:lineRule="auto"/>
        <w:ind w:firstLine="709"/>
        <w:jc w:val="both"/>
        <w:rPr>
          <w:rFonts w:ascii="Times New Roman" w:hAnsi="Times New Roman"/>
        </w:rPr>
      </w:pPr>
      <w:r>
        <w:rPr>
          <w:rFonts w:ascii="Times New Roman" w:hAnsi="Times New Roman"/>
        </w:rPr>
        <w:t>Расположение изображения на листе. Выбор вертикального или горизонтального формата листа в зависимости от содержания изображения.</w:t>
      </w:r>
    </w:p>
    <w:p w14:paraId="423804A6">
      <w:pPr>
        <w:spacing w:after="0" w:line="360" w:lineRule="auto"/>
        <w:ind w:firstLine="709"/>
        <w:jc w:val="both"/>
        <w:rPr>
          <w:rFonts w:ascii="Times New Roman" w:hAnsi="Times New Roman"/>
        </w:rPr>
      </w:pPr>
      <w:r>
        <w:rPr>
          <w:rFonts w:ascii="Times New Roman" w:hAnsi="Times New Roman"/>
        </w:rPr>
        <w:t>Разные виды линий. Линейный рисунок. Графические материалы для линейного рисунка и их особенности. Приёмы рисования линией.</w:t>
      </w:r>
    </w:p>
    <w:p w14:paraId="6F3F5E77">
      <w:pPr>
        <w:spacing w:after="0" w:line="360" w:lineRule="auto"/>
        <w:ind w:firstLine="709"/>
        <w:jc w:val="both"/>
        <w:rPr>
          <w:rFonts w:ascii="Times New Roman" w:hAnsi="Times New Roman"/>
        </w:rPr>
      </w:pPr>
      <w:r>
        <w:rPr>
          <w:rFonts w:ascii="Times New Roman" w:hAnsi="Times New Roman"/>
        </w:rPr>
        <w:t>Рисование с натуры: разные листья и их форма.</w:t>
      </w:r>
    </w:p>
    <w:p w14:paraId="65CA2C3F">
      <w:pPr>
        <w:spacing w:after="0" w:line="360" w:lineRule="auto"/>
        <w:ind w:firstLine="709"/>
        <w:jc w:val="both"/>
        <w:rPr>
          <w:rFonts w:ascii="Times New Roman" w:hAnsi="Times New Roman"/>
        </w:rPr>
      </w:pPr>
      <w:r>
        <w:rPr>
          <w:rFonts w:ascii="Times New Roman" w:hAnsi="Times New Roman"/>
        </w:rPr>
        <w:t>Представление о пропорциях: короткое – длинное. Развитие – навыка видения соотношения частей целого (на основе рисунков животных).</w:t>
      </w:r>
    </w:p>
    <w:p w14:paraId="325BE1F0">
      <w:pPr>
        <w:spacing w:after="0" w:line="360" w:lineRule="auto"/>
        <w:ind w:firstLine="709"/>
        <w:jc w:val="both"/>
        <w:rPr>
          <w:rFonts w:ascii="Times New Roman" w:hAnsi="Times New Roman"/>
        </w:rPr>
      </w:pPr>
      <w:r>
        <w:rPr>
          <w:rFonts w:ascii="Times New Roman" w:hAnsi="Times New Roman"/>
        </w:rPr>
        <w:t>Графическое пятно (ахроматическое) и представление о силуэте. Формирование навыка видения целостности. Цельная форма и её части.</w:t>
      </w:r>
    </w:p>
    <w:p w14:paraId="4BE8FF6F">
      <w:pPr>
        <w:spacing w:after="0" w:line="360" w:lineRule="auto"/>
        <w:ind w:firstLine="709"/>
        <w:jc w:val="both"/>
        <w:rPr>
          <w:rFonts w:ascii="Times New Roman" w:hAnsi="Times New Roman"/>
        </w:rPr>
      </w:pPr>
      <w:r>
        <w:rPr>
          <w:rFonts w:ascii="Times New Roman" w:hAnsi="Times New Roman"/>
        </w:rPr>
        <w:t>13.6.2. Модуль «Живопись».</w:t>
      </w:r>
    </w:p>
    <w:p w14:paraId="64AF3B55">
      <w:pPr>
        <w:spacing w:after="0" w:line="360" w:lineRule="auto"/>
        <w:ind w:firstLine="709"/>
        <w:jc w:val="both"/>
        <w:rPr>
          <w:rFonts w:ascii="Times New Roman" w:hAnsi="Times New Roman"/>
        </w:rPr>
      </w:pPr>
      <w:r>
        <w:rPr>
          <w:rFonts w:ascii="Times New Roman" w:hAnsi="Times New Roman"/>
        </w:rPr>
        <w:t>Цвет как одно из главных средств выражения в изобразительном искусстве. Навыки работы гуашью в условиях урока. Краски «гуашь», кисти, бумага цветная и белая.</w:t>
      </w:r>
    </w:p>
    <w:p w14:paraId="155B543F">
      <w:pPr>
        <w:spacing w:after="0" w:line="360" w:lineRule="auto"/>
        <w:ind w:firstLine="709"/>
        <w:jc w:val="both"/>
        <w:rPr>
          <w:rFonts w:ascii="Times New Roman" w:hAnsi="Times New Roman"/>
        </w:rPr>
      </w:pPr>
      <w:r>
        <w:rPr>
          <w:rFonts w:ascii="Times New Roman" w:hAnsi="Times New Roman"/>
        </w:rPr>
        <w:t>Три основных цвета. Ассоциативные представления, связанные с каждым цветом. Навыки смешения красок и получение нового цвета.</w:t>
      </w:r>
    </w:p>
    <w:p w14:paraId="217B7DBB">
      <w:pPr>
        <w:spacing w:after="0" w:line="360" w:lineRule="auto"/>
        <w:ind w:firstLine="709"/>
        <w:jc w:val="both"/>
        <w:rPr>
          <w:rFonts w:ascii="Times New Roman" w:hAnsi="Times New Roman"/>
        </w:rPr>
      </w:pPr>
      <w:r>
        <w:rPr>
          <w:rFonts w:ascii="Times New Roman" w:hAnsi="Times New Roman"/>
        </w:rPr>
        <w:t>Эмоциональная выразительность цвета, способы выражение настроения в изображаемом сюжете.</w:t>
      </w:r>
    </w:p>
    <w:p w14:paraId="1611BCE5">
      <w:pPr>
        <w:spacing w:after="0" w:line="360" w:lineRule="auto"/>
        <w:ind w:firstLine="709"/>
        <w:jc w:val="both"/>
        <w:rPr>
          <w:rFonts w:ascii="Times New Roman" w:hAnsi="Times New Roman"/>
        </w:rPr>
      </w:pPr>
      <w:r>
        <w:rPr>
          <w:rFonts w:ascii="Times New Roman" w:hAnsi="Times New Roman"/>
        </w:rPr>
        <w:t>Живописное изображение разных цветков по представлению и восприятию. Развитие навыков работы гуашью. Эмоциональная выразительность цвета.</w:t>
      </w:r>
    </w:p>
    <w:p w14:paraId="388AA0EE">
      <w:pPr>
        <w:spacing w:after="0" w:line="360" w:lineRule="auto"/>
        <w:ind w:firstLine="709"/>
        <w:jc w:val="both"/>
        <w:rPr>
          <w:rFonts w:ascii="Times New Roman" w:hAnsi="Times New Roman"/>
        </w:rPr>
      </w:pPr>
      <w:r>
        <w:rPr>
          <w:rFonts w:ascii="Times New Roman" w:hAnsi="Times New Roman"/>
        </w:rPr>
        <w:t>Тематическая композиция «Времена года». Контрастные цветовые состояния времён года. Живопись (гуашь), аппликация или смешанная техника.</w:t>
      </w:r>
    </w:p>
    <w:p w14:paraId="71A018CA">
      <w:pPr>
        <w:spacing w:after="0" w:line="360" w:lineRule="auto"/>
        <w:ind w:firstLine="709"/>
        <w:jc w:val="both"/>
        <w:rPr>
          <w:rFonts w:ascii="Times New Roman" w:hAnsi="Times New Roman"/>
        </w:rPr>
      </w:pPr>
      <w:r>
        <w:rPr>
          <w:rFonts w:ascii="Times New Roman" w:hAnsi="Times New Roman"/>
        </w:rPr>
        <w:t>Техника монотипии. Представления о симметрии. Развитие воображения.</w:t>
      </w:r>
    </w:p>
    <w:p w14:paraId="02DE642E">
      <w:pPr>
        <w:spacing w:after="0" w:line="360" w:lineRule="auto"/>
        <w:ind w:firstLine="709"/>
        <w:jc w:val="both"/>
        <w:rPr>
          <w:rFonts w:ascii="Times New Roman" w:hAnsi="Times New Roman"/>
        </w:rPr>
      </w:pPr>
      <w:r>
        <w:rPr>
          <w:rFonts w:ascii="Times New Roman" w:hAnsi="Times New Roman"/>
        </w:rPr>
        <w:t>13.6.3. Модуль «Скульптура».</w:t>
      </w:r>
    </w:p>
    <w:p w14:paraId="4A7F5BC5">
      <w:pPr>
        <w:spacing w:after="0" w:line="360" w:lineRule="auto"/>
        <w:ind w:firstLine="709"/>
        <w:jc w:val="both"/>
        <w:rPr>
          <w:rFonts w:ascii="Times New Roman" w:hAnsi="Times New Roman"/>
        </w:rPr>
      </w:pPr>
      <w:r>
        <w:rPr>
          <w:rFonts w:ascii="Times New Roman" w:hAnsi="Times New Roman"/>
        </w:rPr>
        <w:t>Изображение в объёме. Приёмы работы с пластилином; дощечка, стек, тряпочка.</w:t>
      </w:r>
    </w:p>
    <w:p w14:paraId="02C2728E">
      <w:pPr>
        <w:spacing w:after="0" w:line="360" w:lineRule="auto"/>
        <w:ind w:firstLine="709"/>
        <w:jc w:val="both"/>
        <w:rPr>
          <w:rFonts w:ascii="Times New Roman" w:hAnsi="Times New Roman"/>
        </w:rPr>
      </w:pPr>
      <w:r>
        <w:rPr>
          <w:rFonts w:ascii="Times New Roman" w:hAnsi="Times New Roman"/>
        </w:rPr>
        <w:t>Лепка зверушек из цельной формы (например, черепашки, ёжика, зайчика). Приёмы вытягивания, вдавливания, сгибания, скручивания.</w:t>
      </w:r>
    </w:p>
    <w:p w14:paraId="69070866">
      <w:pPr>
        <w:spacing w:after="0" w:line="360" w:lineRule="auto"/>
        <w:ind w:firstLine="709"/>
        <w:jc w:val="both"/>
        <w:rPr>
          <w:rFonts w:ascii="Times New Roman" w:hAnsi="Times New Roman"/>
        </w:rPr>
      </w:pPr>
      <w:r>
        <w:rPr>
          <w:rFonts w:ascii="Times New Roman" w:hAnsi="Times New Roman"/>
        </w:rPr>
        <w:t>Лепка игрушки, характерной для одного из наиболее известных народных художественных промыслов (дымковская или каргопольская игрушка или по выбору учителя с учётом местных промыслов).</w:t>
      </w:r>
    </w:p>
    <w:p w14:paraId="1CB63078">
      <w:pPr>
        <w:spacing w:after="0" w:line="360" w:lineRule="auto"/>
        <w:ind w:firstLine="709"/>
        <w:jc w:val="both"/>
        <w:rPr>
          <w:rFonts w:ascii="Times New Roman" w:hAnsi="Times New Roman"/>
        </w:rPr>
      </w:pPr>
      <w:r>
        <w:rPr>
          <w:rFonts w:ascii="Times New Roman" w:hAnsi="Times New Roman"/>
        </w:rPr>
        <w:t>Бумажная пластика. Овладение первичными приёмами надрезания, закручивания, складывания.</w:t>
      </w:r>
    </w:p>
    <w:p w14:paraId="3B5EE9D4">
      <w:pPr>
        <w:spacing w:after="0" w:line="360" w:lineRule="auto"/>
        <w:ind w:firstLine="709"/>
        <w:jc w:val="both"/>
        <w:rPr>
          <w:rFonts w:ascii="Times New Roman" w:hAnsi="Times New Roman"/>
        </w:rPr>
      </w:pPr>
      <w:r>
        <w:rPr>
          <w:rFonts w:ascii="Times New Roman" w:hAnsi="Times New Roman"/>
        </w:rPr>
        <w:t>Объёмная аппликация из бумаги и картона.</w:t>
      </w:r>
    </w:p>
    <w:p w14:paraId="5357C35B">
      <w:pPr>
        <w:spacing w:after="0" w:line="360" w:lineRule="auto"/>
        <w:ind w:firstLine="709"/>
        <w:jc w:val="both"/>
        <w:rPr>
          <w:rFonts w:ascii="Times New Roman" w:hAnsi="Times New Roman"/>
        </w:rPr>
      </w:pPr>
      <w:r>
        <w:rPr>
          <w:rFonts w:ascii="Times New Roman" w:hAnsi="Times New Roman"/>
        </w:rPr>
        <w:t>13.6.4. Модуль «Декоративно-прикладное искусство».</w:t>
      </w:r>
    </w:p>
    <w:p w14:paraId="77061283">
      <w:pPr>
        <w:spacing w:after="0" w:line="360" w:lineRule="auto"/>
        <w:ind w:firstLine="709"/>
        <w:jc w:val="both"/>
        <w:rPr>
          <w:rFonts w:ascii="Times New Roman" w:hAnsi="Times New Roman"/>
        </w:rPr>
      </w:pPr>
      <w:r>
        <w:rPr>
          <w:rFonts w:ascii="Times New Roman" w:hAnsi="Times New Roman"/>
        </w:rPr>
        <w:t>Узоры в природе. Наблюдение узоров в живой природе (в условиях урока на основе фотографий). Эмоционально-эстетическое восприятие объектов действительности. Ассоциативное сопоставление с орнаментами в предметах декоративно-прикладного искусства.</w:t>
      </w:r>
    </w:p>
    <w:p w14:paraId="2F217883">
      <w:pPr>
        <w:spacing w:after="0" w:line="360" w:lineRule="auto"/>
        <w:ind w:firstLine="709"/>
        <w:jc w:val="both"/>
        <w:rPr>
          <w:rFonts w:ascii="Times New Roman" w:hAnsi="Times New Roman"/>
        </w:rPr>
      </w:pPr>
      <w:r>
        <w:rPr>
          <w:rFonts w:ascii="Times New Roman" w:hAnsi="Times New Roman"/>
        </w:rPr>
        <w:t>Узоры и орнаменты, создаваемые людьми, и разнообразие их видов. Орнаменты геометрические и растительные. Декоративная композиция в круге или в полосе.</w:t>
      </w:r>
    </w:p>
    <w:p w14:paraId="2E64B134">
      <w:pPr>
        <w:spacing w:after="0" w:line="360" w:lineRule="auto"/>
        <w:ind w:firstLine="709"/>
        <w:jc w:val="both"/>
        <w:rPr>
          <w:rFonts w:ascii="Times New Roman" w:hAnsi="Times New Roman"/>
        </w:rPr>
      </w:pPr>
      <w:r>
        <w:rPr>
          <w:rFonts w:ascii="Times New Roman" w:hAnsi="Times New Roman"/>
        </w:rPr>
        <w:t>Представления о симметрии и наблюдение её в природе. Последовательное ведение работы над изображением бабочки по представлению, использование линии симметрии при составлении узора крыльев.</w:t>
      </w:r>
    </w:p>
    <w:p w14:paraId="3F348F3F">
      <w:pPr>
        <w:spacing w:after="0" w:line="360" w:lineRule="auto"/>
        <w:ind w:firstLine="709"/>
        <w:jc w:val="both"/>
        <w:rPr>
          <w:rFonts w:ascii="Times New Roman" w:hAnsi="Times New Roman"/>
        </w:rPr>
      </w:pPr>
      <w:r>
        <w:rPr>
          <w:rFonts w:ascii="Times New Roman" w:hAnsi="Times New Roman"/>
        </w:rPr>
        <w:t>Орнамент, характерный для игрушек одного из наиболее известных народных художественных промыслов: дымковская или каргопольская игрушка (или по выбору учителя с учётом местных промыслов).</w:t>
      </w:r>
    </w:p>
    <w:p w14:paraId="54E2F9F9">
      <w:pPr>
        <w:spacing w:after="0" w:line="360" w:lineRule="auto"/>
        <w:ind w:firstLine="709"/>
        <w:jc w:val="both"/>
        <w:rPr>
          <w:rFonts w:ascii="Times New Roman" w:hAnsi="Times New Roman"/>
        </w:rPr>
      </w:pPr>
      <w:r>
        <w:rPr>
          <w:rFonts w:ascii="Times New Roman" w:hAnsi="Times New Roman"/>
        </w:rPr>
        <w:t>Дизайн предмета: изготовление нарядной упаковки путём складывания бумаги и аппликации.</w:t>
      </w:r>
    </w:p>
    <w:p w14:paraId="0DDCE15B">
      <w:pPr>
        <w:spacing w:after="0" w:line="360" w:lineRule="auto"/>
        <w:ind w:firstLine="709"/>
        <w:jc w:val="both"/>
        <w:rPr>
          <w:rFonts w:ascii="Times New Roman" w:hAnsi="Times New Roman"/>
        </w:rPr>
      </w:pPr>
      <w:r>
        <w:rPr>
          <w:rFonts w:ascii="Times New Roman" w:hAnsi="Times New Roman"/>
        </w:rPr>
        <w:t>Оригами – создание игрушки для новогодней ёлки. Приёмы складывания бумаги.</w:t>
      </w:r>
    </w:p>
    <w:p w14:paraId="5B6829C1">
      <w:pPr>
        <w:spacing w:after="0" w:line="360" w:lineRule="auto"/>
        <w:ind w:firstLine="709"/>
        <w:jc w:val="both"/>
        <w:rPr>
          <w:rFonts w:ascii="Times New Roman" w:hAnsi="Times New Roman"/>
        </w:rPr>
      </w:pPr>
      <w:r>
        <w:rPr>
          <w:rFonts w:ascii="Times New Roman" w:hAnsi="Times New Roman"/>
        </w:rPr>
        <w:t>13.6.5. Модуль «Архитектура».</w:t>
      </w:r>
    </w:p>
    <w:p w14:paraId="53D29796">
      <w:pPr>
        <w:spacing w:after="0" w:line="360" w:lineRule="auto"/>
        <w:ind w:firstLine="709"/>
        <w:jc w:val="both"/>
        <w:rPr>
          <w:rFonts w:ascii="Times New Roman" w:hAnsi="Times New Roman"/>
        </w:rPr>
      </w:pPr>
      <w:r>
        <w:rPr>
          <w:rFonts w:ascii="Times New Roman" w:hAnsi="Times New Roman"/>
        </w:rPr>
        <w:t>Наблюдение разнообразных архитектурных зданий в окружающем мире (по фотографиям), обсуждение особенностей и составных частей зданий.</w:t>
      </w:r>
    </w:p>
    <w:p w14:paraId="19438B80">
      <w:pPr>
        <w:spacing w:after="0" w:line="360" w:lineRule="auto"/>
        <w:ind w:firstLine="709"/>
        <w:jc w:val="both"/>
        <w:rPr>
          <w:rFonts w:ascii="Times New Roman" w:hAnsi="Times New Roman"/>
        </w:rPr>
      </w:pPr>
      <w:r>
        <w:rPr>
          <w:rFonts w:ascii="Times New Roman" w:hAnsi="Times New Roman"/>
        </w:rPr>
        <w:t>Освоение приёмов конструирования из бумаги. Складывание объёмных простых геометрических тел. Овладение приёмами склеивания, надрезания и вырезания деталей; использование приёма симметрии.</w:t>
      </w:r>
    </w:p>
    <w:p w14:paraId="22627D3F">
      <w:pPr>
        <w:spacing w:after="0" w:line="360" w:lineRule="auto"/>
        <w:ind w:firstLine="709"/>
        <w:jc w:val="both"/>
        <w:rPr>
          <w:rFonts w:ascii="Times New Roman" w:hAnsi="Times New Roman"/>
        </w:rPr>
      </w:pPr>
      <w:r>
        <w:rPr>
          <w:rFonts w:ascii="Times New Roman" w:hAnsi="Times New Roman"/>
        </w:rPr>
        <w:t>Макетирование (или аппликация) пространственной среды сказочного города из бумаги, картона или пластилина.</w:t>
      </w:r>
    </w:p>
    <w:p w14:paraId="4DA711D5">
      <w:pPr>
        <w:spacing w:after="0" w:line="360" w:lineRule="auto"/>
        <w:ind w:firstLine="709"/>
        <w:jc w:val="both"/>
        <w:rPr>
          <w:rFonts w:ascii="Times New Roman" w:hAnsi="Times New Roman"/>
        </w:rPr>
      </w:pPr>
      <w:r>
        <w:rPr>
          <w:rFonts w:ascii="Times New Roman" w:hAnsi="Times New Roman"/>
        </w:rPr>
        <w:t>13.6.6. Модуль «Восприятие произведений искусства».</w:t>
      </w:r>
    </w:p>
    <w:p w14:paraId="15CF03DD">
      <w:pPr>
        <w:spacing w:after="0" w:line="360" w:lineRule="auto"/>
        <w:ind w:firstLine="709"/>
        <w:jc w:val="both"/>
        <w:rPr>
          <w:rFonts w:ascii="Times New Roman" w:hAnsi="Times New Roman"/>
        </w:rPr>
      </w:pPr>
      <w:r>
        <w:rPr>
          <w:rFonts w:ascii="Times New Roman" w:hAnsi="Times New Roman"/>
        </w:rPr>
        <w:t>Восприятие произведений детского творчества. Обсуждение сюжетного и эмоционального содержания детских работ.</w:t>
      </w:r>
    </w:p>
    <w:p w14:paraId="3C3A0877">
      <w:pPr>
        <w:spacing w:after="0" w:line="360" w:lineRule="auto"/>
        <w:ind w:firstLine="709"/>
        <w:jc w:val="both"/>
        <w:rPr>
          <w:rFonts w:ascii="Times New Roman" w:hAnsi="Times New Roman"/>
        </w:rPr>
      </w:pPr>
      <w:r>
        <w:rPr>
          <w:rFonts w:ascii="Times New Roman" w:hAnsi="Times New Roman"/>
        </w:rPr>
        <w:t>Художественное наблюдение окружающего мира природы и предметной среды жизни человека в зависимости от поставленной аналитической и эстетической задачи наблюдения (установки).</w:t>
      </w:r>
    </w:p>
    <w:p w14:paraId="08BE83ED">
      <w:pPr>
        <w:spacing w:after="0" w:line="360" w:lineRule="auto"/>
        <w:ind w:firstLine="709"/>
        <w:jc w:val="both"/>
        <w:rPr>
          <w:rFonts w:ascii="Times New Roman" w:hAnsi="Times New Roman"/>
        </w:rPr>
      </w:pPr>
      <w:r>
        <w:rPr>
          <w:rFonts w:ascii="Times New Roman" w:hAnsi="Times New Roman"/>
        </w:rPr>
        <w:t>Рассматривание иллюстраций детской книги на основе содержательных установок учителя в соответствии с изучаемой темой.</w:t>
      </w:r>
    </w:p>
    <w:p w14:paraId="4B9D94DF">
      <w:pPr>
        <w:spacing w:after="0" w:line="360" w:lineRule="auto"/>
        <w:ind w:firstLine="709"/>
        <w:jc w:val="both"/>
        <w:rPr>
          <w:rFonts w:ascii="Times New Roman" w:hAnsi="Times New Roman"/>
        </w:rPr>
      </w:pPr>
      <w:r>
        <w:rPr>
          <w:rFonts w:ascii="Times New Roman" w:hAnsi="Times New Roman"/>
        </w:rPr>
        <w:t>Знакомство с картиной, в которой ярко выражено эмоциональное состояние, или с картиной, написанной на сказочный сюжет (произведения В.М. Васнецова и другие по выбору учителя).</w:t>
      </w:r>
    </w:p>
    <w:p w14:paraId="3726160F">
      <w:pPr>
        <w:spacing w:after="0" w:line="360" w:lineRule="auto"/>
        <w:ind w:firstLine="709"/>
        <w:jc w:val="both"/>
        <w:rPr>
          <w:rFonts w:ascii="Times New Roman" w:hAnsi="Times New Roman"/>
        </w:rPr>
      </w:pPr>
      <w:r>
        <w:rPr>
          <w:rFonts w:ascii="Times New Roman" w:hAnsi="Times New Roman"/>
        </w:rPr>
        <w:t>Художник и зритель. Освоение зрительских умений на основе получаемых знаний и творческих практических задач – установок наблюдения. Ассоциации из личного опыта обучающихся и оценка эмоционального содержания произведений.</w:t>
      </w:r>
    </w:p>
    <w:p w14:paraId="743059D9">
      <w:pPr>
        <w:spacing w:after="0" w:line="360" w:lineRule="auto"/>
        <w:ind w:firstLine="709"/>
        <w:jc w:val="both"/>
        <w:rPr>
          <w:rFonts w:ascii="Times New Roman" w:hAnsi="Times New Roman"/>
        </w:rPr>
      </w:pPr>
      <w:r>
        <w:rPr>
          <w:rFonts w:ascii="Times New Roman" w:hAnsi="Times New Roman"/>
        </w:rPr>
        <w:t>13.6.7. Модуль «Азбука цифровой графики».</w:t>
      </w:r>
    </w:p>
    <w:p w14:paraId="6E710300">
      <w:pPr>
        <w:spacing w:after="0" w:line="360" w:lineRule="auto"/>
        <w:ind w:firstLine="709"/>
        <w:jc w:val="both"/>
        <w:rPr>
          <w:rFonts w:ascii="Times New Roman" w:hAnsi="Times New Roman"/>
        </w:rPr>
      </w:pPr>
      <w:r>
        <w:rPr>
          <w:rFonts w:ascii="Times New Roman" w:hAnsi="Times New Roman"/>
        </w:rPr>
        <w:t>Фотографирование мелких деталей природы, выражение ярких зрительных впечатлений.</w:t>
      </w:r>
    </w:p>
    <w:p w14:paraId="3D830B6D">
      <w:pPr>
        <w:spacing w:after="0" w:line="360" w:lineRule="auto"/>
        <w:ind w:firstLine="709"/>
        <w:jc w:val="both"/>
        <w:rPr>
          <w:rFonts w:ascii="Times New Roman" w:hAnsi="Times New Roman"/>
        </w:rPr>
      </w:pPr>
      <w:r>
        <w:rPr>
          <w:rFonts w:ascii="Times New Roman" w:hAnsi="Times New Roman"/>
        </w:rPr>
        <w:t>Обсуждение в условиях урока ученических фотографий, соответствующих изучаемой теме.</w:t>
      </w:r>
    </w:p>
    <w:p w14:paraId="6E7ACAAC">
      <w:pPr>
        <w:spacing w:after="0" w:line="360" w:lineRule="auto"/>
        <w:ind w:firstLine="709"/>
        <w:jc w:val="both"/>
        <w:rPr>
          <w:rFonts w:ascii="Times New Roman" w:hAnsi="Times New Roman"/>
        </w:rPr>
      </w:pPr>
      <w:r>
        <w:rPr>
          <w:rFonts w:ascii="Times New Roman" w:hAnsi="Times New Roman"/>
        </w:rPr>
        <w:t>13.7. Содержание обучения во 2 классе.</w:t>
      </w:r>
    </w:p>
    <w:p w14:paraId="1D30F425">
      <w:pPr>
        <w:spacing w:after="0" w:line="360" w:lineRule="auto"/>
        <w:ind w:firstLine="709"/>
        <w:jc w:val="both"/>
        <w:rPr>
          <w:rFonts w:ascii="Times New Roman" w:hAnsi="Times New Roman"/>
        </w:rPr>
      </w:pPr>
      <w:r>
        <w:rPr>
          <w:rFonts w:ascii="Times New Roman" w:hAnsi="Times New Roman"/>
        </w:rPr>
        <w:t>13.7.1. Модуль «Графика».</w:t>
      </w:r>
    </w:p>
    <w:p w14:paraId="69CFCB5A">
      <w:pPr>
        <w:spacing w:after="0" w:line="360" w:lineRule="auto"/>
        <w:ind w:firstLine="709"/>
        <w:jc w:val="both"/>
        <w:rPr>
          <w:rFonts w:ascii="Times New Roman" w:hAnsi="Times New Roman"/>
        </w:rPr>
      </w:pPr>
      <w:r>
        <w:rPr>
          <w:rFonts w:ascii="Times New Roman" w:hAnsi="Times New Roman"/>
        </w:rPr>
        <w:t>Ритм линий. Выразительность линии. Художественные материалы для линейного рисунка и их свойства. Развитие навыков линейного рисунка.</w:t>
      </w:r>
    </w:p>
    <w:p w14:paraId="444AED7B">
      <w:pPr>
        <w:spacing w:after="0" w:line="360" w:lineRule="auto"/>
        <w:ind w:firstLine="709"/>
        <w:jc w:val="both"/>
        <w:rPr>
          <w:rFonts w:ascii="Times New Roman" w:hAnsi="Times New Roman"/>
        </w:rPr>
      </w:pPr>
      <w:r>
        <w:rPr>
          <w:rFonts w:ascii="Times New Roman" w:hAnsi="Times New Roman"/>
        </w:rPr>
        <w:t>Пастель и мелки – особенности и выразительные свойства графических материалов, приёмы работы.</w:t>
      </w:r>
    </w:p>
    <w:p w14:paraId="7D814F6C">
      <w:pPr>
        <w:spacing w:after="0" w:line="360" w:lineRule="auto"/>
        <w:ind w:firstLine="709"/>
        <w:jc w:val="both"/>
        <w:rPr>
          <w:rFonts w:ascii="Times New Roman" w:hAnsi="Times New Roman"/>
        </w:rPr>
      </w:pPr>
      <w:r>
        <w:rPr>
          <w:rFonts w:ascii="Times New Roman" w:hAnsi="Times New Roman"/>
        </w:rPr>
        <w:t>Ритм пятен: освоение основ композиции. Расположение пятна на плоскости листа: сгущение, разброс, доминанта, равновесие, спокойствие и движение.</w:t>
      </w:r>
    </w:p>
    <w:p w14:paraId="4764FFBA">
      <w:pPr>
        <w:spacing w:after="0" w:line="360" w:lineRule="auto"/>
        <w:ind w:firstLine="709"/>
        <w:jc w:val="both"/>
        <w:rPr>
          <w:rFonts w:ascii="Times New Roman" w:hAnsi="Times New Roman"/>
        </w:rPr>
      </w:pPr>
      <w:r>
        <w:rPr>
          <w:rFonts w:ascii="Times New Roman" w:hAnsi="Times New Roman"/>
        </w:rPr>
        <w:t>Пропорции – соотношение частей и целого. Развитие аналитических навыков видения пропорций. Выразительные свойства пропорций (на основе рисунков птиц).</w:t>
      </w:r>
    </w:p>
    <w:p w14:paraId="02D7D0F0">
      <w:pPr>
        <w:spacing w:after="0" w:line="360" w:lineRule="auto"/>
        <w:ind w:firstLine="709"/>
        <w:jc w:val="both"/>
        <w:rPr>
          <w:rFonts w:ascii="Times New Roman" w:hAnsi="Times New Roman"/>
        </w:rPr>
      </w:pPr>
      <w:r>
        <w:rPr>
          <w:rFonts w:ascii="Times New Roman" w:hAnsi="Times New Roman"/>
        </w:rPr>
        <w:t>Рисунок с натуры простого предмета. Расположение предмета на листе бумаги. Определение формы предмета. Соотношение частей предмета. Светлые и тёмные части предмета, тень под предметом. Штриховка. Умение внимательно рассматривать и анализировать форму натурного предмета.</w:t>
      </w:r>
    </w:p>
    <w:p w14:paraId="0B208FFD">
      <w:pPr>
        <w:spacing w:after="0" w:line="360" w:lineRule="auto"/>
        <w:ind w:firstLine="709"/>
        <w:jc w:val="both"/>
        <w:rPr>
          <w:rFonts w:ascii="Times New Roman" w:hAnsi="Times New Roman"/>
        </w:rPr>
      </w:pPr>
      <w:r>
        <w:rPr>
          <w:rFonts w:ascii="Times New Roman" w:hAnsi="Times New Roman"/>
        </w:rPr>
        <w:t>Графический рисунок животного с активным выражением его характера. Аналитическое рассматривание графических произведений анималистического жанра.</w:t>
      </w:r>
    </w:p>
    <w:p w14:paraId="4DE851E6">
      <w:pPr>
        <w:spacing w:after="0" w:line="360" w:lineRule="auto"/>
        <w:ind w:firstLine="709"/>
        <w:jc w:val="both"/>
        <w:rPr>
          <w:rFonts w:ascii="Times New Roman" w:hAnsi="Times New Roman"/>
        </w:rPr>
      </w:pPr>
      <w:r>
        <w:rPr>
          <w:rFonts w:ascii="Times New Roman" w:hAnsi="Times New Roman"/>
        </w:rPr>
        <w:t>13.7.2. Модуль «Живопись».</w:t>
      </w:r>
    </w:p>
    <w:p w14:paraId="397DC600">
      <w:pPr>
        <w:spacing w:after="0" w:line="360" w:lineRule="auto"/>
        <w:ind w:firstLine="709"/>
        <w:jc w:val="both"/>
        <w:rPr>
          <w:rFonts w:ascii="Times New Roman" w:hAnsi="Times New Roman"/>
        </w:rPr>
      </w:pPr>
      <w:r>
        <w:rPr>
          <w:rFonts w:ascii="Times New Roman" w:hAnsi="Times New Roman"/>
        </w:rPr>
        <w:t>Цвета основные и составные. Развитие навыков смешивания красок и получения нового цвета. Приёмы работы гуашью. Разный характер мазков и движений кистью. Пастозное, плотное и прозрачное нанесение краски.</w:t>
      </w:r>
    </w:p>
    <w:p w14:paraId="26F4A88A">
      <w:pPr>
        <w:spacing w:after="0" w:line="360" w:lineRule="auto"/>
        <w:ind w:firstLine="709"/>
        <w:jc w:val="both"/>
        <w:rPr>
          <w:rFonts w:ascii="Times New Roman" w:hAnsi="Times New Roman"/>
        </w:rPr>
      </w:pPr>
      <w:r>
        <w:rPr>
          <w:rFonts w:ascii="Times New Roman" w:hAnsi="Times New Roman"/>
        </w:rPr>
        <w:t>Акварель и её свойства. Акварельные кисти. Приёмы работы акварелью.</w:t>
      </w:r>
    </w:p>
    <w:p w14:paraId="02D350B4">
      <w:pPr>
        <w:spacing w:after="0" w:line="360" w:lineRule="auto"/>
        <w:ind w:firstLine="709"/>
        <w:jc w:val="both"/>
        <w:rPr>
          <w:rFonts w:ascii="Times New Roman" w:hAnsi="Times New Roman"/>
        </w:rPr>
      </w:pPr>
      <w:r>
        <w:rPr>
          <w:rFonts w:ascii="Times New Roman" w:hAnsi="Times New Roman"/>
        </w:rPr>
        <w:t>Цвет тёплый и холодный – цветовой контраст.</w:t>
      </w:r>
    </w:p>
    <w:p w14:paraId="12F7839D">
      <w:pPr>
        <w:spacing w:after="0" w:line="360" w:lineRule="auto"/>
        <w:ind w:firstLine="709"/>
        <w:jc w:val="both"/>
        <w:rPr>
          <w:rFonts w:ascii="Times New Roman" w:hAnsi="Times New Roman"/>
        </w:rPr>
      </w:pPr>
      <w:r>
        <w:rPr>
          <w:rFonts w:ascii="Times New Roman" w:hAnsi="Times New Roman"/>
        </w:rPr>
        <w:t>Цвет тёмный и светлый (тональные отношения). Затемнение цвета с помощью тёмной краски и осветление цвета. Эмоциональная выразительность цветовых состояний и отношений.</w:t>
      </w:r>
    </w:p>
    <w:p w14:paraId="08D78A49">
      <w:pPr>
        <w:spacing w:after="0" w:line="360" w:lineRule="auto"/>
        <w:ind w:firstLine="709"/>
        <w:jc w:val="both"/>
        <w:rPr>
          <w:rFonts w:ascii="Times New Roman" w:hAnsi="Times New Roman"/>
        </w:rPr>
      </w:pPr>
      <w:r>
        <w:rPr>
          <w:rFonts w:ascii="Times New Roman" w:hAnsi="Times New Roman"/>
        </w:rPr>
        <w:t>Цвет открытый – звонкий и приглушённый, тихий. Эмоциональная выразительность цвета.</w:t>
      </w:r>
    </w:p>
    <w:p w14:paraId="5ADA621D">
      <w:pPr>
        <w:spacing w:after="0" w:line="360" w:lineRule="auto"/>
        <w:ind w:firstLine="709"/>
        <w:jc w:val="both"/>
        <w:rPr>
          <w:rFonts w:ascii="Times New Roman" w:hAnsi="Times New Roman"/>
        </w:rPr>
      </w:pPr>
      <w:r>
        <w:rPr>
          <w:rFonts w:ascii="Times New Roman" w:hAnsi="Times New Roman"/>
        </w:rPr>
        <w:t>Изображение природы (моря) в разных контрастных состояниях погоды и соответствующих цветовых состояниях (туман, нежное утро, гроза, буря, ветер – по выбору учителя). Произведения И.К. Айвазовского.</w:t>
      </w:r>
    </w:p>
    <w:p w14:paraId="10CCDEE9">
      <w:pPr>
        <w:spacing w:after="0" w:line="360" w:lineRule="auto"/>
        <w:ind w:firstLine="709"/>
        <w:jc w:val="both"/>
        <w:rPr>
          <w:rFonts w:ascii="Times New Roman" w:hAnsi="Times New Roman"/>
        </w:rPr>
      </w:pPr>
      <w:r>
        <w:rPr>
          <w:rFonts w:ascii="Times New Roman" w:hAnsi="Times New Roman"/>
        </w:rPr>
        <w:t>Изображение сказочного персонажа с ярко выраженным характером (образ мужской или женский).</w:t>
      </w:r>
    </w:p>
    <w:p w14:paraId="0E91AD32">
      <w:pPr>
        <w:spacing w:after="0" w:line="360" w:lineRule="auto"/>
        <w:ind w:firstLine="709"/>
        <w:jc w:val="both"/>
        <w:rPr>
          <w:rFonts w:ascii="Times New Roman" w:hAnsi="Times New Roman"/>
        </w:rPr>
      </w:pPr>
      <w:r>
        <w:rPr>
          <w:rFonts w:ascii="Times New Roman" w:hAnsi="Times New Roman"/>
        </w:rPr>
        <w:t>13.7.3. Модуль «Скульптура».</w:t>
      </w:r>
    </w:p>
    <w:p w14:paraId="3A0B7DDE">
      <w:pPr>
        <w:spacing w:after="0" w:line="360" w:lineRule="auto"/>
        <w:ind w:firstLine="709"/>
        <w:jc w:val="both"/>
        <w:rPr>
          <w:rFonts w:ascii="Times New Roman" w:hAnsi="Times New Roman"/>
        </w:rPr>
      </w:pPr>
      <w:r>
        <w:rPr>
          <w:rFonts w:ascii="Times New Roman" w:hAnsi="Times New Roman"/>
        </w:rPr>
        <w:t>Лепка из пластилина или глины игрушки – сказочного животного по мотивам выбранного художественного народного промысла (филимоновская игрушка, дымковский петух, каргопольский Полкан и другие по выбору учителя с учётом местных промыслов). Способ лепки в соответствии с традициями промысла.</w:t>
      </w:r>
    </w:p>
    <w:p w14:paraId="657B9949">
      <w:pPr>
        <w:spacing w:after="0" w:line="360" w:lineRule="auto"/>
        <w:ind w:firstLine="709"/>
        <w:jc w:val="both"/>
        <w:rPr>
          <w:rFonts w:ascii="Times New Roman" w:hAnsi="Times New Roman"/>
        </w:rPr>
      </w:pPr>
      <w:r>
        <w:rPr>
          <w:rFonts w:ascii="Times New Roman" w:hAnsi="Times New Roman"/>
        </w:rPr>
        <w:t>Лепка животных (например, кошки, собаки, медвежонка) с передачей характерной пластики движения. Соблюдение цельности формы, её преобразование и добавление деталей.</w:t>
      </w:r>
    </w:p>
    <w:p w14:paraId="20975023">
      <w:pPr>
        <w:spacing w:after="0" w:line="360" w:lineRule="auto"/>
        <w:ind w:firstLine="709"/>
        <w:jc w:val="both"/>
        <w:rPr>
          <w:rFonts w:ascii="Times New Roman" w:hAnsi="Times New Roman"/>
        </w:rPr>
      </w:pPr>
      <w:r>
        <w:rPr>
          <w:rFonts w:ascii="Times New Roman" w:hAnsi="Times New Roman"/>
        </w:rPr>
        <w:t>Изображение движения и статики в скульптуре: лепка из пластилина тяжёлой, неповоротливой и лёгкой, стремительной формы.</w:t>
      </w:r>
    </w:p>
    <w:p w14:paraId="23F9E804">
      <w:pPr>
        <w:spacing w:after="0" w:line="360" w:lineRule="auto"/>
        <w:ind w:firstLine="709"/>
        <w:jc w:val="both"/>
        <w:rPr>
          <w:rFonts w:ascii="Times New Roman" w:hAnsi="Times New Roman"/>
        </w:rPr>
      </w:pPr>
      <w:r>
        <w:rPr>
          <w:rFonts w:ascii="Times New Roman" w:hAnsi="Times New Roman"/>
        </w:rPr>
        <w:t>13.7.4. Модуль «Декоративно-прикладное искусство».</w:t>
      </w:r>
    </w:p>
    <w:p w14:paraId="4C0335F9">
      <w:pPr>
        <w:spacing w:after="0" w:line="360" w:lineRule="auto"/>
        <w:ind w:firstLine="709"/>
        <w:jc w:val="both"/>
        <w:rPr>
          <w:rFonts w:ascii="Times New Roman" w:hAnsi="Times New Roman"/>
        </w:rPr>
      </w:pPr>
      <w:r>
        <w:rPr>
          <w:rFonts w:ascii="Times New Roman" w:hAnsi="Times New Roman"/>
        </w:rPr>
        <w:t>Наблюдение узоров в природе (на основе фотографий в условиях урока), например, снежинки, паутинки, роса на листьях. Ассоциативное сопоставление с орнаментами в предметах декоративно-прикладного искусства (например, кружево, вышивка, ювелирные изделия).</w:t>
      </w:r>
    </w:p>
    <w:p w14:paraId="4D7B081B">
      <w:pPr>
        <w:spacing w:after="0" w:line="360" w:lineRule="auto"/>
        <w:ind w:firstLine="709"/>
        <w:jc w:val="both"/>
        <w:rPr>
          <w:rFonts w:ascii="Times New Roman" w:hAnsi="Times New Roman"/>
        </w:rPr>
      </w:pPr>
      <w:r>
        <w:rPr>
          <w:rFonts w:ascii="Times New Roman" w:hAnsi="Times New Roman"/>
        </w:rPr>
        <w:t>Рисунок геометрического орнамента кружева или вышивки. Декоративная композиция. Ритм пятен в декоративной аппликации.</w:t>
      </w:r>
    </w:p>
    <w:p w14:paraId="3085A6E2">
      <w:pPr>
        <w:spacing w:after="0" w:line="360" w:lineRule="auto"/>
        <w:ind w:firstLine="709"/>
        <w:jc w:val="both"/>
        <w:rPr>
          <w:rFonts w:ascii="Times New Roman" w:hAnsi="Times New Roman"/>
        </w:rPr>
      </w:pPr>
      <w:r>
        <w:rPr>
          <w:rFonts w:ascii="Times New Roman" w:hAnsi="Times New Roman"/>
        </w:rPr>
        <w:t>Поделки из подручных нехудожественных материалов. Декоративные изображения животных в игрушках народных промыслов; филимоновские, дымковские, каргопольские игрушки (и другие по выбору учителя с учётом местных художественных промыслов).</w:t>
      </w:r>
    </w:p>
    <w:p w14:paraId="793020E6">
      <w:pPr>
        <w:spacing w:after="0" w:line="360" w:lineRule="auto"/>
        <w:ind w:firstLine="709"/>
        <w:jc w:val="both"/>
        <w:rPr>
          <w:rFonts w:ascii="Times New Roman" w:hAnsi="Times New Roman"/>
        </w:rPr>
      </w:pPr>
      <w:r>
        <w:rPr>
          <w:rFonts w:ascii="Times New Roman" w:hAnsi="Times New Roman"/>
        </w:rPr>
        <w:t>Декор одежды человека. Разнообразие украшений. Традиционные народные женские и мужские украшения. Назначение украшений и их роль в жизни людей.</w:t>
      </w:r>
    </w:p>
    <w:p w14:paraId="55FF9153">
      <w:pPr>
        <w:spacing w:after="0" w:line="360" w:lineRule="auto"/>
        <w:ind w:firstLine="709"/>
        <w:jc w:val="both"/>
        <w:rPr>
          <w:rFonts w:ascii="Times New Roman" w:hAnsi="Times New Roman"/>
        </w:rPr>
      </w:pPr>
      <w:r>
        <w:rPr>
          <w:rFonts w:ascii="Times New Roman" w:hAnsi="Times New Roman"/>
        </w:rPr>
        <w:t>13.7.5. Модуль «Архитектура».</w:t>
      </w:r>
    </w:p>
    <w:p w14:paraId="42419A31">
      <w:pPr>
        <w:spacing w:after="0" w:line="360" w:lineRule="auto"/>
        <w:ind w:firstLine="709"/>
        <w:jc w:val="both"/>
        <w:rPr>
          <w:rFonts w:ascii="Times New Roman" w:hAnsi="Times New Roman"/>
        </w:rPr>
      </w:pPr>
      <w:r>
        <w:rPr>
          <w:rFonts w:ascii="Times New Roman" w:hAnsi="Times New Roman"/>
        </w:rPr>
        <w:t>Конструирование из бумаги. Приёмы работы с полосой бумаги, разные варианты складывания, закручивания, надрезания. Макетирование пространства детской площадки.</w:t>
      </w:r>
    </w:p>
    <w:p w14:paraId="04636F06">
      <w:pPr>
        <w:spacing w:after="0" w:line="360" w:lineRule="auto"/>
        <w:ind w:firstLine="709"/>
        <w:jc w:val="both"/>
        <w:rPr>
          <w:rFonts w:ascii="Times New Roman" w:hAnsi="Times New Roman"/>
        </w:rPr>
      </w:pPr>
      <w:r>
        <w:rPr>
          <w:rFonts w:ascii="Times New Roman" w:hAnsi="Times New Roman"/>
        </w:rPr>
        <w:t>Построение игрового сказочного города из бумаги (на основе сворачивания геометрических тел – параллелепипедов разной высоты, цилиндров с прорезями и наклейками); завивание, скручивание и складывание полоски бумаги (например, гармошкой). Образ здания. Памятники отечественной или западноевропейской архитектуры с ярко выраженным характером здания. Рисунок дома для доброго или злого сказочного персонажа (иллюстрация сказки по выбору учителя).</w:t>
      </w:r>
    </w:p>
    <w:p w14:paraId="3E1A6B8F">
      <w:pPr>
        <w:spacing w:after="0" w:line="360" w:lineRule="auto"/>
        <w:ind w:firstLine="709"/>
        <w:jc w:val="both"/>
        <w:rPr>
          <w:rFonts w:ascii="Times New Roman" w:hAnsi="Times New Roman"/>
        </w:rPr>
      </w:pPr>
      <w:r>
        <w:rPr>
          <w:rFonts w:ascii="Times New Roman" w:hAnsi="Times New Roman"/>
        </w:rPr>
        <w:t>13.7.6. Модуль «Восприятие произведений искусства».</w:t>
      </w:r>
    </w:p>
    <w:p w14:paraId="31244815">
      <w:pPr>
        <w:spacing w:after="0" w:line="360" w:lineRule="auto"/>
        <w:ind w:firstLine="709"/>
        <w:jc w:val="both"/>
        <w:rPr>
          <w:rFonts w:ascii="Times New Roman" w:hAnsi="Times New Roman"/>
        </w:rPr>
      </w:pPr>
      <w:r>
        <w:rPr>
          <w:rFonts w:ascii="Times New Roman" w:hAnsi="Times New Roman"/>
        </w:rPr>
        <w:t>Восприятие произведений детского творчества. Обсуждение сюжетного и эмоционального содержания детских работ.</w:t>
      </w:r>
    </w:p>
    <w:p w14:paraId="2E706293">
      <w:pPr>
        <w:spacing w:after="0" w:line="360" w:lineRule="auto"/>
        <w:ind w:firstLine="709"/>
        <w:jc w:val="both"/>
        <w:rPr>
          <w:rFonts w:ascii="Times New Roman" w:hAnsi="Times New Roman"/>
        </w:rPr>
      </w:pPr>
      <w:r>
        <w:rPr>
          <w:rFonts w:ascii="Times New Roman" w:hAnsi="Times New Roman"/>
        </w:rPr>
        <w:t>Художественное наблюдение природы и красивых природных деталей, анализ их конструкции и эмоционального воздействия. Сопоставление их с рукотворными произведениями.</w:t>
      </w:r>
    </w:p>
    <w:p w14:paraId="165AC269">
      <w:pPr>
        <w:spacing w:after="0" w:line="360" w:lineRule="auto"/>
        <w:ind w:firstLine="709"/>
        <w:jc w:val="both"/>
        <w:rPr>
          <w:rFonts w:ascii="Times New Roman" w:hAnsi="Times New Roman"/>
        </w:rPr>
      </w:pPr>
      <w:r>
        <w:rPr>
          <w:rFonts w:ascii="Times New Roman" w:hAnsi="Times New Roman"/>
        </w:rPr>
        <w:t>Восприятие орнаментальных произведений прикладного искусства (например, кружево, шитьё, резьба и роспись).</w:t>
      </w:r>
    </w:p>
    <w:p w14:paraId="7C835BA3">
      <w:pPr>
        <w:spacing w:after="0" w:line="360" w:lineRule="auto"/>
        <w:ind w:firstLine="709"/>
        <w:jc w:val="both"/>
        <w:rPr>
          <w:rFonts w:ascii="Times New Roman" w:hAnsi="Times New Roman"/>
        </w:rPr>
      </w:pPr>
      <w:r>
        <w:rPr>
          <w:rFonts w:ascii="Times New Roman" w:hAnsi="Times New Roman"/>
        </w:rPr>
        <w:t>Восприятие произведений живописи с активным выражением цветового состояния в природе. Произведения И.И. Левитана, Н.П. Крымова.</w:t>
      </w:r>
    </w:p>
    <w:p w14:paraId="184F8DDB">
      <w:pPr>
        <w:spacing w:after="0" w:line="360" w:lineRule="auto"/>
        <w:ind w:firstLine="709"/>
        <w:jc w:val="both"/>
        <w:rPr>
          <w:rFonts w:ascii="Times New Roman" w:hAnsi="Times New Roman"/>
        </w:rPr>
      </w:pPr>
      <w:r>
        <w:rPr>
          <w:rFonts w:ascii="Times New Roman" w:hAnsi="Times New Roman"/>
        </w:rPr>
        <w:t>Восприятие произведений анималистического жанра в графике (например, произведений В.В. Ватагина, Е.И. Чарушина) и в скульптуре (произведения В.В. Ватагина). Наблюдение животных с точки зрения их пропорций, характера движения, пластики.</w:t>
      </w:r>
    </w:p>
    <w:p w14:paraId="6DD9DA26">
      <w:pPr>
        <w:spacing w:after="0" w:line="360" w:lineRule="auto"/>
        <w:ind w:firstLine="709"/>
        <w:jc w:val="both"/>
        <w:rPr>
          <w:rFonts w:ascii="Times New Roman" w:hAnsi="Times New Roman"/>
        </w:rPr>
      </w:pPr>
      <w:r>
        <w:rPr>
          <w:rFonts w:ascii="Times New Roman" w:hAnsi="Times New Roman"/>
        </w:rPr>
        <w:t>13.7.7. Модуль «Азбука цифровой графики».</w:t>
      </w:r>
    </w:p>
    <w:p w14:paraId="78E6D301">
      <w:pPr>
        <w:spacing w:after="0" w:line="360" w:lineRule="auto"/>
        <w:ind w:firstLine="709"/>
        <w:jc w:val="both"/>
        <w:rPr>
          <w:rFonts w:ascii="Times New Roman" w:hAnsi="Times New Roman"/>
        </w:rPr>
      </w:pPr>
      <w:r>
        <w:rPr>
          <w:rFonts w:ascii="Times New Roman" w:hAnsi="Times New Roman"/>
        </w:rPr>
        <w:t>Компьютерные средства изображения. Виды линий (в программе Paint или другом графическом редакторе).</w:t>
      </w:r>
    </w:p>
    <w:p w14:paraId="5AA70338">
      <w:pPr>
        <w:spacing w:after="0" w:line="360" w:lineRule="auto"/>
        <w:ind w:firstLine="709"/>
        <w:jc w:val="both"/>
        <w:rPr>
          <w:rFonts w:ascii="Times New Roman" w:hAnsi="Times New Roman"/>
        </w:rPr>
      </w:pPr>
      <w:r>
        <w:rPr>
          <w:rFonts w:ascii="Times New Roman" w:hAnsi="Times New Roman"/>
        </w:rPr>
        <w:t>Компьютерные средства изображения. Работа с геометрическими фигурами. Трансформация и копирование геометрических фигур в программе Paint.</w:t>
      </w:r>
    </w:p>
    <w:p w14:paraId="7C2DAA26">
      <w:pPr>
        <w:spacing w:after="0" w:line="360" w:lineRule="auto"/>
        <w:ind w:firstLine="709"/>
        <w:jc w:val="both"/>
        <w:rPr>
          <w:rFonts w:ascii="Times New Roman" w:hAnsi="Times New Roman"/>
        </w:rPr>
      </w:pPr>
      <w:r>
        <w:rPr>
          <w:rFonts w:ascii="Times New Roman" w:hAnsi="Times New Roman"/>
        </w:rPr>
        <w:t>Освоение инструментов традиционного рисования (карандаш, кисточка, ластик, заливка и другие) в программе Paint на основе простых сюжетов (например, образ дерева).</w:t>
      </w:r>
    </w:p>
    <w:p w14:paraId="03CBFD82">
      <w:pPr>
        <w:spacing w:after="0" w:line="360" w:lineRule="auto"/>
        <w:ind w:firstLine="709"/>
        <w:jc w:val="both"/>
        <w:rPr>
          <w:rFonts w:ascii="Times New Roman" w:hAnsi="Times New Roman"/>
        </w:rPr>
      </w:pPr>
      <w:r>
        <w:rPr>
          <w:rFonts w:ascii="Times New Roman" w:hAnsi="Times New Roman"/>
        </w:rPr>
        <w:t>Освоение инструментов традиционного рисования в программе Paint на основе темы «Тёплый и холодный цвета» (например, «Горящий костёр в синей ночи», «Перо жар-птицы»).</w:t>
      </w:r>
    </w:p>
    <w:p w14:paraId="76814A0C">
      <w:pPr>
        <w:spacing w:after="0" w:line="360" w:lineRule="auto"/>
        <w:ind w:firstLine="709"/>
        <w:jc w:val="both"/>
        <w:rPr>
          <w:rFonts w:ascii="Times New Roman" w:hAnsi="Times New Roman"/>
        </w:rPr>
      </w:pPr>
      <w:r>
        <w:rPr>
          <w:rFonts w:ascii="Times New Roman" w:hAnsi="Times New Roman"/>
        </w:rPr>
        <w:t>Художественная фотография. Расположение объекта в кадре. Масштаб. Доминанта. Обсуждение в условиях урока ученических фотографий, соответствующих изучаемой теме.</w:t>
      </w:r>
    </w:p>
    <w:p w14:paraId="015C380A">
      <w:pPr>
        <w:spacing w:after="0" w:line="360" w:lineRule="auto"/>
        <w:ind w:firstLine="709"/>
        <w:jc w:val="both"/>
        <w:rPr>
          <w:rFonts w:ascii="Times New Roman" w:hAnsi="Times New Roman"/>
        </w:rPr>
      </w:pPr>
      <w:r>
        <w:rPr>
          <w:rFonts w:ascii="Times New Roman" w:hAnsi="Times New Roman"/>
        </w:rPr>
        <w:t>13.8. Содержание обучения в 3 классе.</w:t>
      </w:r>
    </w:p>
    <w:p w14:paraId="72BC5231">
      <w:pPr>
        <w:spacing w:after="0" w:line="360" w:lineRule="auto"/>
        <w:ind w:firstLine="709"/>
        <w:jc w:val="both"/>
        <w:rPr>
          <w:rFonts w:ascii="Times New Roman" w:hAnsi="Times New Roman"/>
        </w:rPr>
      </w:pPr>
      <w:r>
        <w:rPr>
          <w:rFonts w:ascii="Times New Roman" w:hAnsi="Times New Roman"/>
        </w:rPr>
        <w:t>13.8.1. Модуль «Графика».</w:t>
      </w:r>
    </w:p>
    <w:p w14:paraId="7EA52CFD">
      <w:pPr>
        <w:spacing w:after="0" w:line="360" w:lineRule="auto"/>
        <w:ind w:firstLine="709"/>
        <w:jc w:val="both"/>
        <w:rPr>
          <w:rFonts w:ascii="Times New Roman" w:hAnsi="Times New Roman"/>
        </w:rPr>
      </w:pPr>
      <w:r>
        <w:rPr>
          <w:rFonts w:ascii="Times New Roman" w:hAnsi="Times New Roman"/>
        </w:rPr>
        <w:t>Эскизы обложки и иллюстраций к детской книге сказок (сказка по выбору). Рисунок буквицы. Макет книги-игрушки. Совмещение изображения и текста. Расположение иллюстраций и текста на развороте книги.</w:t>
      </w:r>
    </w:p>
    <w:p w14:paraId="4F8D15BB">
      <w:pPr>
        <w:spacing w:after="0" w:line="360" w:lineRule="auto"/>
        <w:ind w:firstLine="709"/>
        <w:jc w:val="both"/>
        <w:rPr>
          <w:rFonts w:ascii="Times New Roman" w:hAnsi="Times New Roman"/>
        </w:rPr>
      </w:pPr>
      <w:r>
        <w:rPr>
          <w:rFonts w:ascii="Times New Roman" w:hAnsi="Times New Roman"/>
        </w:rPr>
        <w:t>Поздравительная открытка. Открытка-пожелание. Композиция открытки: совмещение текста (шрифта) и изображения. Рисунок открытки или аппликация.</w:t>
      </w:r>
    </w:p>
    <w:p w14:paraId="4B732D71">
      <w:pPr>
        <w:spacing w:after="0" w:line="360" w:lineRule="auto"/>
        <w:ind w:firstLine="709"/>
        <w:jc w:val="both"/>
        <w:rPr>
          <w:rFonts w:ascii="Times New Roman" w:hAnsi="Times New Roman"/>
        </w:rPr>
      </w:pPr>
      <w:r>
        <w:rPr>
          <w:rFonts w:ascii="Times New Roman" w:hAnsi="Times New Roman"/>
        </w:rPr>
        <w:t>Эскиз плаката или афиши. Совмещение шрифта и изображения. Особенности композиции плаката.</w:t>
      </w:r>
    </w:p>
    <w:p w14:paraId="6532A4FB">
      <w:pPr>
        <w:spacing w:after="0" w:line="360" w:lineRule="auto"/>
        <w:ind w:firstLine="709"/>
        <w:jc w:val="both"/>
        <w:rPr>
          <w:rFonts w:ascii="Times New Roman" w:hAnsi="Times New Roman"/>
        </w:rPr>
      </w:pPr>
      <w:r>
        <w:rPr>
          <w:rFonts w:ascii="Times New Roman" w:hAnsi="Times New Roman"/>
        </w:rPr>
        <w:t>Графические зарисовки карандашами по памяти или на основе наблюдений и фотографий архитектурных достопримечательностей своего города.</w:t>
      </w:r>
    </w:p>
    <w:p w14:paraId="6C7A7FEE">
      <w:pPr>
        <w:spacing w:after="0" w:line="360" w:lineRule="auto"/>
        <w:ind w:firstLine="709"/>
        <w:jc w:val="both"/>
        <w:rPr>
          <w:rFonts w:ascii="Times New Roman" w:hAnsi="Times New Roman"/>
        </w:rPr>
      </w:pPr>
      <w:r>
        <w:rPr>
          <w:rFonts w:ascii="Times New Roman" w:hAnsi="Times New Roman"/>
        </w:rPr>
        <w:t>Транспорт в городе. Рисунки реальных или фантастических машин.</w:t>
      </w:r>
    </w:p>
    <w:p w14:paraId="2A5C1173">
      <w:pPr>
        <w:spacing w:after="0" w:line="360" w:lineRule="auto"/>
        <w:ind w:firstLine="709"/>
        <w:jc w:val="both"/>
        <w:rPr>
          <w:rFonts w:ascii="Times New Roman" w:hAnsi="Times New Roman"/>
        </w:rPr>
      </w:pPr>
      <w:r>
        <w:rPr>
          <w:rFonts w:ascii="Times New Roman" w:hAnsi="Times New Roman"/>
        </w:rPr>
        <w:t>Изображение лица человека. Строение, пропорции, взаиморасположение частей лица.</w:t>
      </w:r>
    </w:p>
    <w:p w14:paraId="6297C92A">
      <w:pPr>
        <w:spacing w:after="0" w:line="360" w:lineRule="auto"/>
        <w:ind w:firstLine="709"/>
        <w:jc w:val="both"/>
        <w:rPr>
          <w:rFonts w:ascii="Times New Roman" w:hAnsi="Times New Roman"/>
        </w:rPr>
      </w:pPr>
      <w:r>
        <w:rPr>
          <w:rFonts w:ascii="Times New Roman" w:hAnsi="Times New Roman"/>
        </w:rPr>
        <w:t>Эскиз маски для маскарада: изображение лица – маски персонажа с ярко выраженным характером. Аппликация из цветной бумаги.</w:t>
      </w:r>
    </w:p>
    <w:p w14:paraId="3991F85B">
      <w:pPr>
        <w:spacing w:after="0" w:line="360" w:lineRule="auto"/>
        <w:ind w:firstLine="709"/>
        <w:jc w:val="both"/>
        <w:rPr>
          <w:rFonts w:ascii="Times New Roman" w:hAnsi="Times New Roman"/>
        </w:rPr>
      </w:pPr>
      <w:r>
        <w:rPr>
          <w:rFonts w:ascii="Times New Roman" w:hAnsi="Times New Roman"/>
        </w:rPr>
        <w:t>13.8.2. Модуль «Живопись».</w:t>
      </w:r>
    </w:p>
    <w:p w14:paraId="41756591">
      <w:pPr>
        <w:spacing w:after="0" w:line="360" w:lineRule="auto"/>
        <w:ind w:firstLine="709"/>
        <w:jc w:val="both"/>
        <w:rPr>
          <w:rFonts w:ascii="Times New Roman" w:hAnsi="Times New Roman"/>
        </w:rPr>
      </w:pPr>
      <w:r>
        <w:rPr>
          <w:rFonts w:ascii="Times New Roman" w:hAnsi="Times New Roman"/>
        </w:rPr>
        <w:t>Создание сюжетной композиции «В цирке», использование гуаши или карандаша и акварели (по памяти и представлению). Художник в театре: эскиз занавеса (или декораций сцены) для спектакля со сказочным сюжетом (сказка по выбору).</w:t>
      </w:r>
    </w:p>
    <w:p w14:paraId="25218B07">
      <w:pPr>
        <w:spacing w:after="0" w:line="360" w:lineRule="auto"/>
        <w:ind w:firstLine="709"/>
        <w:jc w:val="both"/>
        <w:rPr>
          <w:rFonts w:ascii="Times New Roman" w:hAnsi="Times New Roman"/>
        </w:rPr>
      </w:pPr>
      <w:r>
        <w:rPr>
          <w:rFonts w:ascii="Times New Roman" w:hAnsi="Times New Roman"/>
        </w:rPr>
        <w:t>Тематическая композиция «Праздник в городе». Гуашь по цветной бумаге, возможно совмещение с наклейками в виде коллажа или аппликации.</w:t>
      </w:r>
    </w:p>
    <w:p w14:paraId="047E0312">
      <w:pPr>
        <w:spacing w:after="0" w:line="360" w:lineRule="auto"/>
        <w:ind w:firstLine="709"/>
        <w:jc w:val="both"/>
        <w:rPr>
          <w:rFonts w:ascii="Times New Roman" w:hAnsi="Times New Roman"/>
        </w:rPr>
      </w:pPr>
      <w:r>
        <w:rPr>
          <w:rFonts w:ascii="Times New Roman" w:hAnsi="Times New Roman"/>
        </w:rPr>
        <w:t>Натюрморт из простых предметов с натуры или по представлению. «Натюрморт-автопортрет» из предметов, характеризующих личность обучающегося.</w:t>
      </w:r>
    </w:p>
    <w:p w14:paraId="08A13D66">
      <w:pPr>
        <w:spacing w:after="0" w:line="360" w:lineRule="auto"/>
        <w:ind w:firstLine="709"/>
        <w:jc w:val="both"/>
        <w:rPr>
          <w:rFonts w:ascii="Times New Roman" w:hAnsi="Times New Roman"/>
        </w:rPr>
      </w:pPr>
      <w:r>
        <w:rPr>
          <w:rFonts w:ascii="Times New Roman" w:hAnsi="Times New Roman"/>
        </w:rPr>
        <w:t>Пейзаж в живописи. Передача в пейзаже состояний в природе. Выбор для изображения времени года, времени дня, характера погоды и особенностей ландшафта (лес или поле, река или озеро); количество и состояние неба в изображении.</w:t>
      </w:r>
    </w:p>
    <w:p w14:paraId="3DFA9BC8">
      <w:pPr>
        <w:spacing w:after="0" w:line="360" w:lineRule="auto"/>
        <w:ind w:firstLine="709"/>
        <w:jc w:val="both"/>
        <w:rPr>
          <w:rFonts w:ascii="Times New Roman" w:hAnsi="Times New Roman"/>
        </w:rPr>
      </w:pPr>
      <w:r>
        <w:rPr>
          <w:rFonts w:ascii="Times New Roman" w:hAnsi="Times New Roman"/>
        </w:rPr>
        <w:t>Портрет человека по памяти и представлению с использованием натуры. Выражение в портрете (автопортрете) характера человека, особенностей его личности с использованием выразительных возможностей композиционного размещения в плоскости листа, особенностей пропорций и мимики лица, характера цветового решения, сильного или мягкого контраста, включения в композицию дополнительных предметов.</w:t>
      </w:r>
    </w:p>
    <w:p w14:paraId="7C4ACB6F">
      <w:pPr>
        <w:spacing w:after="0" w:line="360" w:lineRule="auto"/>
        <w:ind w:firstLine="709"/>
        <w:jc w:val="both"/>
        <w:rPr>
          <w:rFonts w:ascii="Times New Roman" w:hAnsi="Times New Roman"/>
        </w:rPr>
      </w:pPr>
      <w:r>
        <w:rPr>
          <w:rFonts w:ascii="Times New Roman" w:hAnsi="Times New Roman"/>
        </w:rPr>
        <w:t>13.8.3. Модуль «Скульптура».</w:t>
      </w:r>
    </w:p>
    <w:p w14:paraId="7A64F8FA">
      <w:pPr>
        <w:spacing w:after="0" w:line="360" w:lineRule="auto"/>
        <w:ind w:firstLine="709"/>
        <w:jc w:val="both"/>
        <w:rPr>
          <w:rFonts w:ascii="Times New Roman" w:hAnsi="Times New Roman"/>
        </w:rPr>
      </w:pPr>
      <w:r>
        <w:rPr>
          <w:rFonts w:ascii="Times New Roman" w:hAnsi="Times New Roman"/>
        </w:rPr>
        <w:t>Создание игрушки из подручного нехудожественного материала, придание ей одушевлённого образа (добавления деталей лепных или из бумаги, ниток или других материалов).</w:t>
      </w:r>
    </w:p>
    <w:p w14:paraId="165B7AFE">
      <w:pPr>
        <w:spacing w:after="0" w:line="360" w:lineRule="auto"/>
        <w:ind w:firstLine="709"/>
        <w:jc w:val="both"/>
        <w:rPr>
          <w:rFonts w:ascii="Times New Roman" w:hAnsi="Times New Roman"/>
        </w:rPr>
      </w:pPr>
      <w:r>
        <w:rPr>
          <w:rFonts w:ascii="Times New Roman" w:hAnsi="Times New Roman"/>
        </w:rPr>
        <w:t>Лепка сказочного персонажа на основе сюжета известной сказки или создание этого персонажа путём бумагопластики.</w:t>
      </w:r>
    </w:p>
    <w:p w14:paraId="2D220B98">
      <w:pPr>
        <w:spacing w:after="0" w:line="360" w:lineRule="auto"/>
        <w:ind w:firstLine="709"/>
        <w:jc w:val="both"/>
        <w:rPr>
          <w:rFonts w:ascii="Times New Roman" w:hAnsi="Times New Roman"/>
        </w:rPr>
      </w:pPr>
      <w:r>
        <w:rPr>
          <w:rFonts w:ascii="Times New Roman" w:hAnsi="Times New Roman"/>
        </w:rPr>
        <w:t>Освоение знаний о видах скульптуры (по назначению) и жанрах скульптуры (по сюжету изображения).</w:t>
      </w:r>
    </w:p>
    <w:p w14:paraId="2868274C">
      <w:pPr>
        <w:spacing w:after="0" w:line="360" w:lineRule="auto"/>
        <w:ind w:firstLine="709"/>
        <w:jc w:val="both"/>
        <w:rPr>
          <w:rFonts w:ascii="Times New Roman" w:hAnsi="Times New Roman"/>
        </w:rPr>
      </w:pPr>
      <w:r>
        <w:rPr>
          <w:rFonts w:ascii="Times New Roman" w:hAnsi="Times New Roman"/>
        </w:rPr>
        <w:t>Лепка эскиза парковой скульптуры. Выражение пластики движения в скульптуре. Работа с пластилином или глиной.</w:t>
      </w:r>
    </w:p>
    <w:p w14:paraId="14D132DF">
      <w:pPr>
        <w:spacing w:after="0" w:line="360" w:lineRule="auto"/>
        <w:ind w:firstLine="709"/>
        <w:jc w:val="both"/>
        <w:rPr>
          <w:rFonts w:ascii="Times New Roman" w:hAnsi="Times New Roman"/>
        </w:rPr>
      </w:pPr>
      <w:r>
        <w:rPr>
          <w:rFonts w:ascii="Times New Roman" w:hAnsi="Times New Roman"/>
        </w:rPr>
        <w:t>13.8.4. Модуль «Декоративно-прикладное искусство».</w:t>
      </w:r>
    </w:p>
    <w:p w14:paraId="7EB58722">
      <w:pPr>
        <w:spacing w:after="0" w:line="360" w:lineRule="auto"/>
        <w:ind w:firstLine="709"/>
        <w:jc w:val="both"/>
        <w:rPr>
          <w:rFonts w:ascii="Times New Roman" w:hAnsi="Times New Roman"/>
        </w:rPr>
      </w:pPr>
      <w:r>
        <w:rPr>
          <w:rFonts w:ascii="Times New Roman" w:hAnsi="Times New Roman"/>
        </w:rPr>
        <w:t>Приёмы исполнения орнаментов и выполнение эскизов украшения посуды из дерева и глины в традициях народных художественных промыслов Хохломы и Гжели (или в традициях других промыслов по выбору учителя).</w:t>
      </w:r>
    </w:p>
    <w:p w14:paraId="7B27E9FD">
      <w:pPr>
        <w:spacing w:after="0" w:line="360" w:lineRule="auto"/>
        <w:ind w:firstLine="709"/>
        <w:jc w:val="both"/>
        <w:rPr>
          <w:rFonts w:ascii="Times New Roman" w:hAnsi="Times New Roman"/>
        </w:rPr>
      </w:pPr>
      <w:r>
        <w:rPr>
          <w:rFonts w:ascii="Times New Roman" w:hAnsi="Times New Roman"/>
        </w:rPr>
        <w:t>Эскизы орнаментов для росписи тканей. Раппорт. Трафарет и создание орнамента при помощи печаток или штампов.</w:t>
      </w:r>
    </w:p>
    <w:p w14:paraId="7DF89EBA">
      <w:pPr>
        <w:spacing w:after="0" w:line="360" w:lineRule="auto"/>
        <w:ind w:firstLine="709"/>
        <w:jc w:val="both"/>
        <w:rPr>
          <w:rFonts w:ascii="Times New Roman" w:hAnsi="Times New Roman"/>
        </w:rPr>
      </w:pPr>
      <w:r>
        <w:rPr>
          <w:rFonts w:ascii="Times New Roman" w:hAnsi="Times New Roman"/>
        </w:rPr>
        <w:t>Эскизы орнамента для росписи платка: симметрия или асимметрия построения композиции, статика и динамика узора, ритмические чередования мотивов, наличие композиционного центра, роспись по канве. Рассматривание павловопосадских платков.</w:t>
      </w:r>
    </w:p>
    <w:p w14:paraId="2E35E2A9">
      <w:pPr>
        <w:spacing w:after="0" w:line="360" w:lineRule="auto"/>
        <w:ind w:firstLine="709"/>
        <w:jc w:val="both"/>
        <w:rPr>
          <w:rFonts w:ascii="Times New Roman" w:hAnsi="Times New Roman"/>
        </w:rPr>
      </w:pPr>
      <w:r>
        <w:rPr>
          <w:rFonts w:ascii="Times New Roman" w:hAnsi="Times New Roman"/>
        </w:rPr>
        <w:t>Проектирование (эскизы) декоративных украшений в городе, например, ажурные ограды, украшения фонарей, скамеек, киосков, подставок для цветов.</w:t>
      </w:r>
    </w:p>
    <w:p w14:paraId="2DCBCA7F">
      <w:pPr>
        <w:spacing w:after="0" w:line="360" w:lineRule="auto"/>
        <w:ind w:firstLine="709"/>
        <w:jc w:val="both"/>
        <w:rPr>
          <w:rFonts w:ascii="Times New Roman" w:hAnsi="Times New Roman"/>
        </w:rPr>
      </w:pPr>
      <w:r>
        <w:rPr>
          <w:rFonts w:ascii="Times New Roman" w:hAnsi="Times New Roman"/>
        </w:rPr>
        <w:t>13.8.5. Модуль «Архитектура».</w:t>
      </w:r>
    </w:p>
    <w:p w14:paraId="7A30C983">
      <w:pPr>
        <w:spacing w:after="0" w:line="360" w:lineRule="auto"/>
        <w:ind w:firstLine="709"/>
        <w:jc w:val="both"/>
        <w:rPr>
          <w:rFonts w:ascii="Times New Roman" w:hAnsi="Times New Roman"/>
        </w:rPr>
      </w:pPr>
      <w:r>
        <w:rPr>
          <w:rFonts w:ascii="Times New Roman" w:hAnsi="Times New Roman"/>
        </w:rPr>
        <w:t>Зарисовки исторических памятников и архитектурных достопримечательностей города или села. Работа по наблюдению и по памяти, на основе использования фотографий и образных представлений.</w:t>
      </w:r>
    </w:p>
    <w:p w14:paraId="666AFA08">
      <w:pPr>
        <w:spacing w:after="0" w:line="360" w:lineRule="auto"/>
        <w:ind w:firstLine="709"/>
        <w:jc w:val="both"/>
        <w:rPr>
          <w:rFonts w:ascii="Times New Roman" w:hAnsi="Times New Roman"/>
        </w:rPr>
      </w:pPr>
      <w:r>
        <w:rPr>
          <w:rFonts w:ascii="Times New Roman" w:hAnsi="Times New Roman"/>
        </w:rPr>
        <w:t>Проектирование садово-паркового пространства на плоскости (аппликация, коллаж) или в виде макета с использованием бумаги, картона, пенопласта и других подручных материалов. Графический рисунок (индивидуально) или тематическое панно «Образ моего города» (села) в виде коллективной работы (композиционная склейка-аппликация рисунков зданий и других элементов городского пространства, выполненных индивидуально).</w:t>
      </w:r>
    </w:p>
    <w:p w14:paraId="06A1CF49">
      <w:pPr>
        <w:spacing w:after="0" w:line="360" w:lineRule="auto"/>
        <w:ind w:firstLine="709"/>
        <w:jc w:val="both"/>
        <w:rPr>
          <w:rFonts w:ascii="Times New Roman" w:hAnsi="Times New Roman"/>
        </w:rPr>
      </w:pPr>
      <w:r>
        <w:rPr>
          <w:rFonts w:ascii="Times New Roman" w:hAnsi="Times New Roman"/>
        </w:rPr>
        <w:t>13.8.6. Модуль «Восприятие произведений искусства».</w:t>
      </w:r>
    </w:p>
    <w:p w14:paraId="639EAD78">
      <w:pPr>
        <w:spacing w:after="0" w:line="360" w:lineRule="auto"/>
        <w:ind w:firstLine="709"/>
        <w:jc w:val="both"/>
        <w:rPr>
          <w:rFonts w:ascii="Times New Roman" w:hAnsi="Times New Roman"/>
        </w:rPr>
      </w:pPr>
      <w:r>
        <w:rPr>
          <w:rFonts w:ascii="Times New Roman" w:hAnsi="Times New Roman"/>
        </w:rPr>
        <w:t>Иллюстрации в детских книгах и дизайн детской книги. Рассматривание и обсуждение иллюстраций известных российских иллюстраторов детских книг.</w:t>
      </w:r>
    </w:p>
    <w:p w14:paraId="252F9838">
      <w:pPr>
        <w:spacing w:after="0" w:line="360" w:lineRule="auto"/>
        <w:ind w:firstLine="709"/>
        <w:jc w:val="both"/>
        <w:rPr>
          <w:rFonts w:ascii="Times New Roman" w:hAnsi="Times New Roman"/>
        </w:rPr>
      </w:pPr>
      <w:r>
        <w:rPr>
          <w:rFonts w:ascii="Times New Roman" w:hAnsi="Times New Roman"/>
        </w:rPr>
        <w:t>Восприятие объектов окружающего мира – архитектура, улицы города или села. Памятники архитектуры и архитектурные достопримечательности (по выбору учителя), их значение в современном мире.</w:t>
      </w:r>
    </w:p>
    <w:p w14:paraId="1CB1A3AF">
      <w:pPr>
        <w:spacing w:after="0" w:line="360" w:lineRule="auto"/>
        <w:ind w:firstLine="709"/>
        <w:jc w:val="both"/>
        <w:rPr>
          <w:rFonts w:ascii="Times New Roman" w:hAnsi="Times New Roman"/>
        </w:rPr>
      </w:pPr>
      <w:r>
        <w:rPr>
          <w:rFonts w:ascii="Times New Roman" w:hAnsi="Times New Roman"/>
        </w:rPr>
        <w:t>Виртуальное путешествие: памятники архитектуры в Москве и Санкт-Петербурге (обзор памятников по выбору учителя).</w:t>
      </w:r>
    </w:p>
    <w:p w14:paraId="761DE0A7">
      <w:pPr>
        <w:spacing w:after="0" w:line="360" w:lineRule="auto"/>
        <w:ind w:firstLine="709"/>
        <w:jc w:val="both"/>
        <w:rPr>
          <w:rFonts w:ascii="Times New Roman" w:hAnsi="Times New Roman"/>
        </w:rPr>
      </w:pPr>
      <w:r>
        <w:rPr>
          <w:rFonts w:ascii="Times New Roman" w:hAnsi="Times New Roman"/>
        </w:rPr>
        <w:t>Художественные музеи. Виртуальные путешествия в художественные музеи: Государственная Третьяковская галерея, Государственный Эрмитаж, Государственный Русский музей, Государственный музей изобразительных искусств имени А.С. Пушкина. Экскурсии в местные художественные музеи и галереи. Виртуальные экскурсии в знаменитые зарубежные художественные музеи (выбор музеев – за учителем). Осознание значимости и увлекательности посещения музеев; посещение знаменитого музея как событие; интерес к коллекции музея и искусству в целом.</w:t>
      </w:r>
    </w:p>
    <w:p w14:paraId="16043A28">
      <w:pPr>
        <w:spacing w:after="0" w:line="360" w:lineRule="auto"/>
        <w:ind w:firstLine="709"/>
        <w:jc w:val="both"/>
        <w:rPr>
          <w:rFonts w:ascii="Times New Roman" w:hAnsi="Times New Roman"/>
        </w:rPr>
      </w:pPr>
      <w:r>
        <w:rPr>
          <w:rFonts w:ascii="Times New Roman" w:hAnsi="Times New Roman"/>
        </w:rPr>
        <w:t>Знания о видах пространственных искусств: виды определяются по назначению произведений в жизни людей.</w:t>
      </w:r>
    </w:p>
    <w:p w14:paraId="57B13DF1">
      <w:pPr>
        <w:spacing w:after="0" w:line="360" w:lineRule="auto"/>
        <w:ind w:firstLine="709"/>
        <w:jc w:val="both"/>
        <w:rPr>
          <w:rFonts w:ascii="Times New Roman" w:hAnsi="Times New Roman"/>
        </w:rPr>
      </w:pPr>
      <w:r>
        <w:rPr>
          <w:rFonts w:ascii="Times New Roman" w:hAnsi="Times New Roman"/>
        </w:rPr>
        <w:t>Жанры в изобразительном искусстве – в живописи, графике, скульптуре – определяются предметом изображения; классификация и сравнение содержания произведений сходного сюжета (например, портреты, пейзажи).</w:t>
      </w:r>
    </w:p>
    <w:p w14:paraId="2D80AF49">
      <w:pPr>
        <w:spacing w:after="0" w:line="360" w:lineRule="auto"/>
        <w:ind w:firstLine="709"/>
        <w:jc w:val="both"/>
        <w:rPr>
          <w:rFonts w:ascii="Times New Roman" w:hAnsi="Times New Roman"/>
        </w:rPr>
      </w:pPr>
      <w:r>
        <w:rPr>
          <w:rFonts w:ascii="Times New Roman" w:hAnsi="Times New Roman"/>
        </w:rPr>
        <w:t>Представления о произведениях крупнейших отечественных художников-пейзажистов: И.И. Шишкина, И.И. Левитана, А.К. Саврасова, В.Д. Поленова, И.К. Айвазовского и других.</w:t>
      </w:r>
    </w:p>
    <w:p w14:paraId="7A9EA2E2">
      <w:pPr>
        <w:spacing w:after="0" w:line="360" w:lineRule="auto"/>
        <w:ind w:firstLine="709"/>
        <w:jc w:val="both"/>
        <w:rPr>
          <w:rFonts w:ascii="Times New Roman" w:hAnsi="Times New Roman"/>
        </w:rPr>
      </w:pPr>
      <w:r>
        <w:rPr>
          <w:rFonts w:ascii="Times New Roman" w:hAnsi="Times New Roman"/>
        </w:rPr>
        <w:t>Представления о произведениях крупнейших отечественных портретистов: В.И. Сурикова, И.Е. Репина, В.А. Серова и других.</w:t>
      </w:r>
    </w:p>
    <w:p w14:paraId="714DCB8E">
      <w:pPr>
        <w:spacing w:after="0" w:line="360" w:lineRule="auto"/>
        <w:ind w:firstLine="709"/>
        <w:jc w:val="both"/>
        <w:rPr>
          <w:rFonts w:ascii="Times New Roman" w:hAnsi="Times New Roman"/>
        </w:rPr>
      </w:pPr>
      <w:r>
        <w:rPr>
          <w:rFonts w:ascii="Times New Roman" w:hAnsi="Times New Roman"/>
        </w:rPr>
        <w:t>13.8.7. Модуль «Азбука цифровой графики».</w:t>
      </w:r>
    </w:p>
    <w:p w14:paraId="4A1A0E77">
      <w:pPr>
        <w:spacing w:after="0" w:line="360" w:lineRule="auto"/>
        <w:ind w:firstLine="709"/>
        <w:jc w:val="both"/>
        <w:rPr>
          <w:rFonts w:ascii="Times New Roman" w:hAnsi="Times New Roman"/>
        </w:rPr>
      </w:pPr>
      <w:r>
        <w:rPr>
          <w:rFonts w:ascii="Times New Roman" w:hAnsi="Times New Roman"/>
        </w:rPr>
        <w:t>Построение в графическом редакторе различных по эмоциональному восприятию ритмов расположения пятен на плоскости: покой (статика), разные направления и ритмы движения (например, собрались, разбежались, догоняют, улетают). Вместо пятен (геометрических фигур) могут быть простые силуэты машинок, птичек, облаков.</w:t>
      </w:r>
    </w:p>
    <w:p w14:paraId="15BACB56">
      <w:pPr>
        <w:spacing w:after="0" w:line="360" w:lineRule="auto"/>
        <w:ind w:firstLine="709"/>
        <w:jc w:val="both"/>
        <w:rPr>
          <w:rFonts w:ascii="Times New Roman" w:hAnsi="Times New Roman"/>
        </w:rPr>
      </w:pPr>
      <w:r>
        <w:rPr>
          <w:rFonts w:ascii="Times New Roman" w:hAnsi="Times New Roman"/>
        </w:rPr>
        <w:t>В графическом редакторе создание рисунка элемента орнамента (паттерна), его копирование, многократное повторение, в том числе с поворотами вокруг оси рисунка, и создание орнамента, в основе которого раппорт. Вариативное создание орнаментов на основе одного и того же элемента.</w:t>
      </w:r>
    </w:p>
    <w:p w14:paraId="1548CD87">
      <w:pPr>
        <w:spacing w:after="0" w:line="360" w:lineRule="auto"/>
        <w:ind w:firstLine="709"/>
        <w:jc w:val="both"/>
        <w:rPr>
          <w:rFonts w:ascii="Times New Roman" w:hAnsi="Times New Roman"/>
        </w:rPr>
      </w:pPr>
      <w:r>
        <w:rPr>
          <w:rFonts w:ascii="Times New Roman" w:hAnsi="Times New Roman"/>
        </w:rPr>
        <w:t>Изображение и изучение мимики лица в программе Paint (или другом графическом редакторе).</w:t>
      </w:r>
    </w:p>
    <w:p w14:paraId="4B5CD176">
      <w:pPr>
        <w:spacing w:after="0" w:line="360" w:lineRule="auto"/>
        <w:ind w:firstLine="709"/>
        <w:jc w:val="both"/>
        <w:rPr>
          <w:rFonts w:ascii="Times New Roman" w:hAnsi="Times New Roman"/>
        </w:rPr>
      </w:pPr>
      <w:r>
        <w:rPr>
          <w:rFonts w:ascii="Times New Roman" w:hAnsi="Times New Roman"/>
        </w:rPr>
        <w:t>Совмещение с помощью графического редактора векторного изображения, фотографии и шрифта для создания плаката или поздравительной открытки.</w:t>
      </w:r>
    </w:p>
    <w:p w14:paraId="3CF32293">
      <w:pPr>
        <w:spacing w:after="0" w:line="360" w:lineRule="auto"/>
        <w:ind w:firstLine="709"/>
        <w:jc w:val="both"/>
        <w:rPr>
          <w:rFonts w:ascii="Times New Roman" w:hAnsi="Times New Roman"/>
        </w:rPr>
      </w:pPr>
      <w:r>
        <w:rPr>
          <w:rFonts w:ascii="Times New Roman" w:hAnsi="Times New Roman"/>
        </w:rPr>
        <w:t>Редактирование фотографий в программе Picture Manager: изменение яркости, контраста, насыщенности цвета; обрезка, поворот, отражение.</w:t>
      </w:r>
    </w:p>
    <w:p w14:paraId="2F605329">
      <w:pPr>
        <w:spacing w:after="0" w:line="360" w:lineRule="auto"/>
        <w:ind w:firstLine="709"/>
        <w:jc w:val="both"/>
        <w:rPr>
          <w:rFonts w:ascii="Times New Roman" w:hAnsi="Times New Roman"/>
        </w:rPr>
      </w:pPr>
      <w:r>
        <w:rPr>
          <w:rFonts w:ascii="Times New Roman" w:hAnsi="Times New Roman"/>
        </w:rPr>
        <w:t>Виртуальные путешествия в главные художественные музеи и музеи местные (по выбору учителя).</w:t>
      </w:r>
    </w:p>
    <w:p w14:paraId="3CDB2AF0">
      <w:pPr>
        <w:spacing w:after="0" w:line="360" w:lineRule="auto"/>
        <w:ind w:firstLine="709"/>
        <w:jc w:val="both"/>
        <w:rPr>
          <w:rFonts w:ascii="Times New Roman" w:hAnsi="Times New Roman"/>
        </w:rPr>
      </w:pPr>
      <w:r>
        <w:rPr>
          <w:rFonts w:ascii="Times New Roman" w:hAnsi="Times New Roman"/>
        </w:rPr>
        <w:t>13.9. Содержание обучения в 4 классе.</w:t>
      </w:r>
    </w:p>
    <w:p w14:paraId="01710442">
      <w:pPr>
        <w:spacing w:after="0" w:line="360" w:lineRule="auto"/>
        <w:ind w:firstLine="709"/>
        <w:jc w:val="both"/>
        <w:rPr>
          <w:rFonts w:ascii="Times New Roman" w:hAnsi="Times New Roman"/>
        </w:rPr>
      </w:pPr>
      <w:r>
        <w:rPr>
          <w:rFonts w:ascii="Times New Roman" w:hAnsi="Times New Roman"/>
        </w:rPr>
        <w:t>13.9.1. Модуль «Графика».</w:t>
      </w:r>
    </w:p>
    <w:p w14:paraId="356819AD">
      <w:pPr>
        <w:spacing w:after="0" w:line="360" w:lineRule="auto"/>
        <w:ind w:firstLine="709"/>
        <w:jc w:val="both"/>
        <w:rPr>
          <w:rFonts w:ascii="Times New Roman" w:hAnsi="Times New Roman"/>
        </w:rPr>
      </w:pPr>
      <w:r>
        <w:rPr>
          <w:rFonts w:ascii="Times New Roman" w:hAnsi="Times New Roman"/>
        </w:rPr>
        <w:t>Правила линейной и воздушной перспективы: уменьшение размера изображения по мере удаления от первого плана, смягчения цветового и тонального контрастов.</w:t>
      </w:r>
    </w:p>
    <w:p w14:paraId="3461B976">
      <w:pPr>
        <w:spacing w:after="0" w:line="360" w:lineRule="auto"/>
        <w:ind w:firstLine="709"/>
        <w:jc w:val="both"/>
        <w:rPr>
          <w:rFonts w:ascii="Times New Roman" w:hAnsi="Times New Roman"/>
        </w:rPr>
      </w:pPr>
      <w:r>
        <w:rPr>
          <w:rFonts w:ascii="Times New Roman" w:hAnsi="Times New Roman"/>
        </w:rPr>
        <w:t>Рисунок фигуры человека: основные пропорции и взаимоотношение частей фигуры, передача движения фигуры на плоскости листа: бег, ходьба, сидящая и стоящая фигуры.</w:t>
      </w:r>
    </w:p>
    <w:p w14:paraId="1F632D69">
      <w:pPr>
        <w:spacing w:after="0" w:line="360" w:lineRule="auto"/>
        <w:ind w:firstLine="709"/>
        <w:jc w:val="both"/>
        <w:rPr>
          <w:rFonts w:ascii="Times New Roman" w:hAnsi="Times New Roman"/>
        </w:rPr>
      </w:pPr>
      <w:r>
        <w:rPr>
          <w:rFonts w:ascii="Times New Roman" w:hAnsi="Times New Roman"/>
        </w:rPr>
        <w:t>Графическое изображение героев былин, древних легенд, сказок и сказаний разных народов.</w:t>
      </w:r>
    </w:p>
    <w:p w14:paraId="07F70578">
      <w:pPr>
        <w:spacing w:after="0" w:line="360" w:lineRule="auto"/>
        <w:ind w:firstLine="709"/>
        <w:jc w:val="both"/>
        <w:rPr>
          <w:rFonts w:ascii="Times New Roman" w:hAnsi="Times New Roman"/>
        </w:rPr>
      </w:pPr>
      <w:r>
        <w:rPr>
          <w:rFonts w:ascii="Times New Roman" w:hAnsi="Times New Roman"/>
        </w:rPr>
        <w:t>Изображение города – тематическая графическая композиция; использование карандаша, мелков, фломастеров (смешанная техника).</w:t>
      </w:r>
    </w:p>
    <w:p w14:paraId="28207FB8">
      <w:pPr>
        <w:spacing w:after="0" w:line="360" w:lineRule="auto"/>
        <w:ind w:firstLine="709"/>
        <w:jc w:val="both"/>
        <w:rPr>
          <w:rFonts w:ascii="Times New Roman" w:hAnsi="Times New Roman"/>
        </w:rPr>
      </w:pPr>
      <w:r>
        <w:rPr>
          <w:rFonts w:ascii="Times New Roman" w:hAnsi="Times New Roman"/>
        </w:rPr>
        <w:t>13.9.2. Модуль «Живопись».</w:t>
      </w:r>
    </w:p>
    <w:p w14:paraId="185CBD33">
      <w:pPr>
        <w:spacing w:after="0" w:line="360" w:lineRule="auto"/>
        <w:ind w:firstLine="709"/>
        <w:jc w:val="both"/>
        <w:rPr>
          <w:rFonts w:ascii="Times New Roman" w:hAnsi="Times New Roman"/>
        </w:rPr>
      </w:pPr>
      <w:r>
        <w:rPr>
          <w:rFonts w:ascii="Times New Roman" w:hAnsi="Times New Roman"/>
        </w:rPr>
        <w:t>Красота природы разных климатических зон, создание пейзажных композиций (горный, степной, среднерусский ландшафт).</w:t>
      </w:r>
    </w:p>
    <w:p w14:paraId="6F3E441B">
      <w:pPr>
        <w:spacing w:after="0" w:line="360" w:lineRule="auto"/>
        <w:ind w:firstLine="709"/>
        <w:jc w:val="both"/>
        <w:rPr>
          <w:rFonts w:ascii="Times New Roman" w:hAnsi="Times New Roman"/>
        </w:rPr>
      </w:pPr>
      <w:r>
        <w:rPr>
          <w:rFonts w:ascii="Times New Roman" w:hAnsi="Times New Roman"/>
        </w:rPr>
        <w:t>Портретные изображения человека по представлению и наблюдению с разным содержанием: женский или мужской портрет, двойной портрет матери и ребёнка, портрет пожилого человека, детский портрет или автопортрет, портрет персонажа по представлению (из выбранной культурной эпохи).</w:t>
      </w:r>
    </w:p>
    <w:p w14:paraId="0652DCFF">
      <w:pPr>
        <w:spacing w:after="0" w:line="360" w:lineRule="auto"/>
        <w:ind w:firstLine="709"/>
        <w:jc w:val="both"/>
        <w:rPr>
          <w:rFonts w:ascii="Times New Roman" w:hAnsi="Times New Roman"/>
        </w:rPr>
      </w:pPr>
      <w:r>
        <w:rPr>
          <w:rFonts w:ascii="Times New Roman" w:hAnsi="Times New Roman"/>
        </w:rPr>
        <w:t>Тематические многофигурные композиции: коллективно созданные панно-аппликации из индивидуальных рисунков и вырезанных персонажей на темы праздников народов мира или в качестве иллюстраций к сказкам и легендам.</w:t>
      </w:r>
    </w:p>
    <w:p w14:paraId="0B9F4686">
      <w:pPr>
        <w:spacing w:after="0" w:line="360" w:lineRule="auto"/>
        <w:ind w:firstLine="709"/>
        <w:jc w:val="both"/>
        <w:rPr>
          <w:rFonts w:ascii="Times New Roman" w:hAnsi="Times New Roman"/>
        </w:rPr>
      </w:pPr>
      <w:r>
        <w:rPr>
          <w:rFonts w:ascii="Times New Roman" w:hAnsi="Times New Roman"/>
        </w:rPr>
        <w:t>13.9.3. Модуль «Скульптура».</w:t>
      </w:r>
    </w:p>
    <w:p w14:paraId="673023FC">
      <w:pPr>
        <w:spacing w:after="0" w:line="360" w:lineRule="auto"/>
        <w:ind w:firstLine="709"/>
        <w:jc w:val="both"/>
        <w:rPr>
          <w:rFonts w:ascii="Times New Roman" w:hAnsi="Times New Roman"/>
        </w:rPr>
      </w:pPr>
      <w:r>
        <w:rPr>
          <w:rFonts w:ascii="Times New Roman" w:hAnsi="Times New Roman"/>
        </w:rPr>
        <w:t>Знакомство со скульптурными памятниками героям и мемориальными комплексами.</w:t>
      </w:r>
    </w:p>
    <w:p w14:paraId="4C3F3781">
      <w:pPr>
        <w:spacing w:after="0" w:line="360" w:lineRule="auto"/>
        <w:ind w:firstLine="709"/>
        <w:jc w:val="both"/>
        <w:rPr>
          <w:rFonts w:ascii="Times New Roman" w:hAnsi="Times New Roman"/>
        </w:rPr>
      </w:pPr>
      <w:r>
        <w:rPr>
          <w:rFonts w:ascii="Times New Roman" w:hAnsi="Times New Roman"/>
        </w:rPr>
        <w:t>Создание эскиза памятника народному герою. Работа с пластилином или глиной. Выражение значительности, трагизма и победительной силы.</w:t>
      </w:r>
    </w:p>
    <w:p w14:paraId="5EAB8B11">
      <w:pPr>
        <w:spacing w:after="0" w:line="360" w:lineRule="auto"/>
        <w:ind w:firstLine="709"/>
        <w:jc w:val="both"/>
        <w:rPr>
          <w:rFonts w:ascii="Times New Roman" w:hAnsi="Times New Roman"/>
        </w:rPr>
      </w:pPr>
      <w:r>
        <w:rPr>
          <w:rFonts w:ascii="Times New Roman" w:hAnsi="Times New Roman"/>
        </w:rPr>
        <w:t>13.9.4. Модуль «Декоративно-прикладное искусство».</w:t>
      </w:r>
    </w:p>
    <w:p w14:paraId="13BBFAED">
      <w:pPr>
        <w:spacing w:after="0" w:line="360" w:lineRule="auto"/>
        <w:ind w:firstLine="709"/>
        <w:jc w:val="both"/>
        <w:rPr>
          <w:rFonts w:ascii="Times New Roman" w:hAnsi="Times New Roman"/>
        </w:rPr>
      </w:pPr>
      <w:r>
        <w:rPr>
          <w:rFonts w:ascii="Times New Roman" w:hAnsi="Times New Roman"/>
        </w:rPr>
        <w:t>Орнаменты разных народов. Подчинённость орнамента форме и назначению предмета, в художественной обработке которого он применяется. Особенности символов и изобразительных мотивов в орнаментах разных народов. Орнаменты в архитектуре, на тканях, одежде, предметах быта и другие.</w:t>
      </w:r>
    </w:p>
    <w:p w14:paraId="1666E9C4">
      <w:pPr>
        <w:spacing w:after="0" w:line="360" w:lineRule="auto"/>
        <w:ind w:firstLine="709"/>
        <w:jc w:val="both"/>
        <w:rPr>
          <w:rFonts w:ascii="Times New Roman" w:hAnsi="Times New Roman"/>
        </w:rPr>
      </w:pPr>
      <w:r>
        <w:rPr>
          <w:rFonts w:ascii="Times New Roman" w:hAnsi="Times New Roman"/>
        </w:rPr>
        <w:t>Мотивы и назначение русских народных орнаментов. Деревянная резьба и роспись, украшение наличников и других элементов избы, вышивка, декор головных уборов и другие.</w:t>
      </w:r>
    </w:p>
    <w:p w14:paraId="6B751CE4">
      <w:pPr>
        <w:spacing w:after="0" w:line="360" w:lineRule="auto"/>
        <w:ind w:firstLine="709"/>
        <w:jc w:val="both"/>
        <w:rPr>
          <w:rFonts w:ascii="Times New Roman" w:hAnsi="Times New Roman"/>
        </w:rPr>
      </w:pPr>
      <w:r>
        <w:rPr>
          <w:rFonts w:ascii="Times New Roman" w:hAnsi="Times New Roman"/>
        </w:rPr>
        <w:t>Орнаментальное украшение каменной архитектуры в памятниках русской культуры, каменная резьба, росписи стен, изразцы.</w:t>
      </w:r>
    </w:p>
    <w:p w14:paraId="39D4F62B">
      <w:pPr>
        <w:spacing w:after="0" w:line="360" w:lineRule="auto"/>
        <w:ind w:firstLine="709"/>
        <w:jc w:val="both"/>
        <w:rPr>
          <w:rFonts w:ascii="Times New Roman" w:hAnsi="Times New Roman"/>
        </w:rPr>
      </w:pPr>
      <w:r>
        <w:rPr>
          <w:rFonts w:ascii="Times New Roman" w:hAnsi="Times New Roman"/>
        </w:rPr>
        <w:t>Народный костюм. Русский народный праздничный костюм, символы и обереги в его декоре. Головные уборы. Особенности мужской одежды разных сословий, связь украшения костюма мужчины с родом его занятий.</w:t>
      </w:r>
    </w:p>
    <w:p w14:paraId="24BDE2CE">
      <w:pPr>
        <w:spacing w:after="0" w:line="360" w:lineRule="auto"/>
        <w:ind w:firstLine="709"/>
        <w:jc w:val="both"/>
        <w:rPr>
          <w:rFonts w:ascii="Times New Roman" w:hAnsi="Times New Roman"/>
        </w:rPr>
      </w:pPr>
      <w:r>
        <w:rPr>
          <w:rFonts w:ascii="Times New Roman" w:hAnsi="Times New Roman"/>
        </w:rPr>
        <w:t>Женский и мужской костюмы в традициях разных народов.</w:t>
      </w:r>
    </w:p>
    <w:p w14:paraId="3B6B5075">
      <w:pPr>
        <w:spacing w:after="0" w:line="360" w:lineRule="auto"/>
        <w:ind w:firstLine="709"/>
        <w:jc w:val="both"/>
        <w:rPr>
          <w:rFonts w:ascii="Times New Roman" w:hAnsi="Times New Roman"/>
        </w:rPr>
      </w:pPr>
      <w:r>
        <w:rPr>
          <w:rFonts w:ascii="Times New Roman" w:hAnsi="Times New Roman"/>
        </w:rPr>
        <w:t>Своеобразие одежды разных эпох и культур.</w:t>
      </w:r>
    </w:p>
    <w:p w14:paraId="0462293F">
      <w:pPr>
        <w:spacing w:after="0" w:line="360" w:lineRule="auto"/>
        <w:ind w:firstLine="709"/>
        <w:jc w:val="both"/>
        <w:rPr>
          <w:rFonts w:ascii="Times New Roman" w:hAnsi="Times New Roman"/>
        </w:rPr>
      </w:pPr>
      <w:r>
        <w:rPr>
          <w:rFonts w:ascii="Times New Roman" w:hAnsi="Times New Roman"/>
        </w:rPr>
        <w:t>13.9.5. Модуль «Архитектура».</w:t>
      </w:r>
    </w:p>
    <w:p w14:paraId="6B2788E6">
      <w:pPr>
        <w:spacing w:after="0" w:line="360" w:lineRule="auto"/>
        <w:ind w:firstLine="709"/>
        <w:jc w:val="both"/>
        <w:rPr>
          <w:rFonts w:ascii="Times New Roman" w:hAnsi="Times New Roman"/>
        </w:rPr>
      </w:pPr>
      <w:r>
        <w:rPr>
          <w:rFonts w:ascii="Times New Roman" w:hAnsi="Times New Roman"/>
        </w:rPr>
        <w:t>Конструкция традиционных народных жилищ, их связь с окружающей природой: дома из дерева, глины, камня; юрта и её устройство (каркасный дом); изображение традиционных жилищ.</w:t>
      </w:r>
    </w:p>
    <w:p w14:paraId="3D83E910">
      <w:pPr>
        <w:spacing w:after="0" w:line="360" w:lineRule="auto"/>
        <w:ind w:firstLine="709"/>
        <w:jc w:val="both"/>
        <w:rPr>
          <w:rFonts w:ascii="Times New Roman" w:hAnsi="Times New Roman"/>
        </w:rPr>
      </w:pPr>
      <w:r>
        <w:rPr>
          <w:rFonts w:ascii="Times New Roman" w:hAnsi="Times New Roman"/>
        </w:rPr>
        <w:t>Деревянная изба, её конструкция и декор. Моделирование избы из бумаги или изображение на плоскости в технике аппликации её фасада и традиционного декора. Понимание тесной связи красоты и пользы, функционального и декоративного в архитектуре традиционного жилого деревянного дома. Разные виды изб и надворных построек.</w:t>
      </w:r>
    </w:p>
    <w:p w14:paraId="59D12FA8">
      <w:pPr>
        <w:spacing w:after="0" w:line="360" w:lineRule="auto"/>
        <w:ind w:firstLine="709"/>
        <w:jc w:val="both"/>
        <w:rPr>
          <w:rFonts w:ascii="Times New Roman" w:hAnsi="Times New Roman"/>
        </w:rPr>
      </w:pPr>
      <w:r>
        <w:rPr>
          <w:rFonts w:ascii="Times New Roman" w:hAnsi="Times New Roman"/>
        </w:rPr>
        <w:t>Конструкция и изображение здания каменного собора: свод, нефы, закомары, глава, купол. Роль собора в организации жизни древнего города, собор как архитектурная доминанта.</w:t>
      </w:r>
    </w:p>
    <w:p w14:paraId="273D4035">
      <w:pPr>
        <w:spacing w:after="0" w:line="360" w:lineRule="auto"/>
        <w:ind w:firstLine="709"/>
        <w:jc w:val="both"/>
        <w:rPr>
          <w:rFonts w:ascii="Times New Roman" w:hAnsi="Times New Roman"/>
        </w:rPr>
      </w:pPr>
      <w:r>
        <w:rPr>
          <w:rFonts w:ascii="Times New Roman" w:hAnsi="Times New Roman"/>
        </w:rPr>
        <w:t>Традиции архитектурной конструкции храмовых построек разных народов. Изображение типичной конструкции зданий: древнегреческий храм, готический или романский собор, мечеть, пагода.</w:t>
      </w:r>
    </w:p>
    <w:p w14:paraId="73BCF1FE">
      <w:pPr>
        <w:spacing w:after="0" w:line="360" w:lineRule="auto"/>
        <w:ind w:firstLine="709"/>
        <w:jc w:val="both"/>
        <w:rPr>
          <w:rFonts w:ascii="Times New Roman" w:hAnsi="Times New Roman"/>
        </w:rPr>
      </w:pPr>
      <w:r>
        <w:rPr>
          <w:rFonts w:ascii="Times New Roman" w:hAnsi="Times New Roman"/>
        </w:rPr>
        <w:t>Освоение образа и структуры архитектурного пространства древнерусского города. Крепостные стены и башни, торг, посад, главный собор. Красота и мудрость в организации города, жизнь в городе.</w:t>
      </w:r>
    </w:p>
    <w:p w14:paraId="2F8136AA">
      <w:pPr>
        <w:spacing w:after="0" w:line="360" w:lineRule="auto"/>
        <w:ind w:firstLine="709"/>
        <w:jc w:val="both"/>
        <w:rPr>
          <w:rFonts w:ascii="Times New Roman" w:hAnsi="Times New Roman"/>
        </w:rPr>
      </w:pPr>
      <w:r>
        <w:rPr>
          <w:rFonts w:ascii="Times New Roman" w:hAnsi="Times New Roman"/>
        </w:rPr>
        <w:t>Понимание значения для современных людей сохранения культурного наследия.</w:t>
      </w:r>
    </w:p>
    <w:p w14:paraId="312BB498">
      <w:pPr>
        <w:spacing w:after="0" w:line="360" w:lineRule="auto"/>
        <w:ind w:firstLine="709"/>
        <w:jc w:val="both"/>
        <w:rPr>
          <w:rFonts w:ascii="Times New Roman" w:hAnsi="Times New Roman"/>
        </w:rPr>
      </w:pPr>
      <w:r>
        <w:rPr>
          <w:rFonts w:ascii="Times New Roman" w:hAnsi="Times New Roman"/>
        </w:rPr>
        <w:t>13.9.6. Модуль «Восприятие произведений искусства».</w:t>
      </w:r>
    </w:p>
    <w:p w14:paraId="6DCAC9AD">
      <w:pPr>
        <w:spacing w:after="0" w:line="360" w:lineRule="auto"/>
        <w:ind w:firstLine="709"/>
        <w:jc w:val="both"/>
        <w:rPr>
          <w:rFonts w:ascii="Times New Roman" w:hAnsi="Times New Roman"/>
        </w:rPr>
      </w:pPr>
      <w:r>
        <w:rPr>
          <w:rFonts w:ascii="Times New Roman" w:hAnsi="Times New Roman"/>
        </w:rPr>
        <w:t>Произведения В.М. Васнецова, Б.М. Кустодиева, А.М. Васнецова, В.И. Сурикова, К.А. Коровина, А.Г. Венецианова, А.П. Рябушкина, И.Я. Билибина на темы истории и традиций русской отечественной культуры.</w:t>
      </w:r>
    </w:p>
    <w:p w14:paraId="4DB72160">
      <w:pPr>
        <w:spacing w:after="0" w:line="360" w:lineRule="auto"/>
        <w:ind w:firstLine="709"/>
        <w:jc w:val="both"/>
        <w:rPr>
          <w:rFonts w:ascii="Times New Roman" w:hAnsi="Times New Roman"/>
        </w:rPr>
      </w:pPr>
      <w:r>
        <w:rPr>
          <w:rFonts w:ascii="Times New Roman" w:hAnsi="Times New Roman"/>
        </w:rPr>
        <w:t>Примеры произведений великих европейских художников: Леонардо да Винчи, Рафаэля, Рембрандта, Пикассо (и других по выбору учителя).</w:t>
      </w:r>
    </w:p>
    <w:p w14:paraId="2A14EAA0">
      <w:pPr>
        <w:spacing w:after="0" w:line="360" w:lineRule="auto"/>
        <w:ind w:firstLine="709"/>
        <w:jc w:val="both"/>
        <w:rPr>
          <w:rFonts w:ascii="Times New Roman" w:hAnsi="Times New Roman"/>
        </w:rPr>
      </w:pPr>
      <w:r>
        <w:rPr>
          <w:rFonts w:ascii="Times New Roman" w:hAnsi="Times New Roman"/>
        </w:rPr>
        <w:t>Памятники древнерусского каменного зодчества: Московский Кремль, Новгородский детинец, Псковский кром, Казанский кремль (и другие с учётом местных архитектурных комплексов, в том числе монастырских). Памятники русского деревянного зодчества. Архитектурный комплекс на острове Кижи.</w:t>
      </w:r>
    </w:p>
    <w:p w14:paraId="7BA95754">
      <w:pPr>
        <w:spacing w:after="0" w:line="360" w:lineRule="auto"/>
        <w:ind w:firstLine="709"/>
        <w:jc w:val="both"/>
        <w:rPr>
          <w:rFonts w:ascii="Times New Roman" w:hAnsi="Times New Roman"/>
        </w:rPr>
      </w:pPr>
      <w:r>
        <w:rPr>
          <w:rFonts w:ascii="Times New Roman" w:hAnsi="Times New Roman"/>
        </w:rPr>
        <w:t>Художественная культура разных эпох и народов. Представления об архитектурных, декоративных и изобразительных произведениях в культуре Древней Греции, других культур Древнего мира. Архитектурные памятники Западной Европы Средних веков и эпохи Возрождения. Произведения предметно-пространственной культуры, составляющие истоки, основания национальных культур в современном мире.</w:t>
      </w:r>
    </w:p>
    <w:p w14:paraId="029F16D6">
      <w:pPr>
        <w:spacing w:after="0" w:line="360" w:lineRule="auto"/>
        <w:ind w:firstLine="709"/>
        <w:jc w:val="both"/>
        <w:rPr>
          <w:rFonts w:ascii="Times New Roman" w:hAnsi="Times New Roman"/>
        </w:rPr>
      </w:pPr>
      <w:r>
        <w:rPr>
          <w:rFonts w:ascii="Times New Roman" w:hAnsi="Times New Roman"/>
        </w:rPr>
        <w:t>Памятники национальным героям. Памятник К. Минину и Д. Пожарскому скульптора И.П. Мартоса в Москве. Мемориальные ансамбли: Могила Неизвестного Солдата в Москве; памятник-ансамбль «Героям Сталинградской битвы» на Мамаевом кургане (и другие по выбору учителя).</w:t>
      </w:r>
    </w:p>
    <w:p w14:paraId="00555DAC">
      <w:pPr>
        <w:spacing w:after="0" w:line="360" w:lineRule="auto"/>
        <w:ind w:firstLine="709"/>
        <w:jc w:val="both"/>
        <w:rPr>
          <w:rFonts w:ascii="Times New Roman" w:hAnsi="Times New Roman"/>
        </w:rPr>
      </w:pPr>
      <w:r>
        <w:rPr>
          <w:rFonts w:ascii="Times New Roman" w:hAnsi="Times New Roman"/>
        </w:rPr>
        <w:t>13.9.7. Модуль «Азбука цифровой графики».</w:t>
      </w:r>
    </w:p>
    <w:p w14:paraId="0788AB7C">
      <w:pPr>
        <w:spacing w:after="0" w:line="360" w:lineRule="auto"/>
        <w:ind w:firstLine="709"/>
        <w:jc w:val="both"/>
        <w:rPr>
          <w:rFonts w:ascii="Times New Roman" w:hAnsi="Times New Roman"/>
        </w:rPr>
      </w:pPr>
      <w:r>
        <w:rPr>
          <w:rFonts w:ascii="Times New Roman" w:hAnsi="Times New Roman"/>
        </w:rPr>
        <w:t>Изображение и освоение в программе Paint правил линейной и воздушной перспективы: изображение линии горизонта и точки схода, перспективных сокращений, цветовых и тональных изменений.</w:t>
      </w:r>
    </w:p>
    <w:p w14:paraId="29820625">
      <w:pPr>
        <w:spacing w:after="0" w:line="360" w:lineRule="auto"/>
        <w:ind w:firstLine="709"/>
        <w:jc w:val="both"/>
        <w:rPr>
          <w:rFonts w:ascii="Times New Roman" w:hAnsi="Times New Roman"/>
        </w:rPr>
      </w:pPr>
      <w:r>
        <w:rPr>
          <w:rFonts w:ascii="Times New Roman" w:hAnsi="Times New Roman"/>
        </w:rPr>
        <w:t>Моделирование в графическом редакторе с помощью инструментов геометрических фигур конструкции традиционного крестьянского деревянного дома (избы) и различных вариантов его устройства. Моделирование конструкции разных видов традиционных жилищ разных народов (например, юрта, каркасный дом, в том числе с учётом местных традиций).</w:t>
      </w:r>
    </w:p>
    <w:p w14:paraId="72CCF8F3">
      <w:pPr>
        <w:spacing w:after="0" w:line="360" w:lineRule="auto"/>
        <w:ind w:firstLine="709"/>
        <w:jc w:val="both"/>
        <w:rPr>
          <w:rFonts w:ascii="Times New Roman" w:hAnsi="Times New Roman"/>
        </w:rPr>
      </w:pPr>
      <w:r>
        <w:rPr>
          <w:rFonts w:ascii="Times New Roman" w:hAnsi="Times New Roman"/>
        </w:rPr>
        <w:t>Моделирование в графическом редакторе с помощью инструментов геометрических фигур конструкций храмовых зданий разных культур: каменный православный собор, готический или романский собор, пагода, мечеть.</w:t>
      </w:r>
    </w:p>
    <w:p w14:paraId="3E75641C">
      <w:pPr>
        <w:spacing w:after="0" w:line="360" w:lineRule="auto"/>
        <w:ind w:firstLine="709"/>
        <w:jc w:val="both"/>
        <w:rPr>
          <w:rFonts w:ascii="Times New Roman" w:hAnsi="Times New Roman"/>
        </w:rPr>
      </w:pPr>
      <w:r>
        <w:rPr>
          <w:rFonts w:ascii="Times New Roman" w:hAnsi="Times New Roman"/>
        </w:rPr>
        <w:t>Построение в графическом редакторе с помощью геометрических фигур или на линейной основе пропорций фигуры человека, изображение различных фаз движения. Создание анимации схематического движения человека (при соответствующих технических условиях).</w:t>
      </w:r>
    </w:p>
    <w:p w14:paraId="53E1F726">
      <w:pPr>
        <w:spacing w:after="0" w:line="360" w:lineRule="auto"/>
        <w:ind w:firstLine="709"/>
        <w:jc w:val="both"/>
        <w:rPr>
          <w:rFonts w:ascii="Times New Roman" w:hAnsi="Times New Roman"/>
        </w:rPr>
      </w:pPr>
      <w:r>
        <w:rPr>
          <w:rFonts w:ascii="Times New Roman" w:hAnsi="Times New Roman"/>
        </w:rPr>
        <w:t>Анимация простого движения нарисованной фигурки: загрузить две фазы движения фигурки в виртуальный редактор GIF-анимации и сохранить простое повторяющееся движение своего рисунка.</w:t>
      </w:r>
    </w:p>
    <w:p w14:paraId="4D7D5E43">
      <w:pPr>
        <w:spacing w:after="0" w:line="360" w:lineRule="auto"/>
        <w:ind w:firstLine="709"/>
        <w:jc w:val="both"/>
        <w:rPr>
          <w:rFonts w:ascii="Times New Roman" w:hAnsi="Times New Roman"/>
        </w:rPr>
      </w:pPr>
      <w:r>
        <w:rPr>
          <w:rFonts w:ascii="Times New Roman" w:hAnsi="Times New Roman"/>
        </w:rPr>
        <w:t>Создание компьютерной презентации в программе PowerPoint на тему архитектуры, декоративного и изобразительного искусства выбранной эпохи или этнокультурных традиций народов России.</w:t>
      </w:r>
    </w:p>
    <w:p w14:paraId="7310B698">
      <w:pPr>
        <w:spacing w:after="0" w:line="360" w:lineRule="auto"/>
        <w:ind w:firstLine="709"/>
        <w:jc w:val="both"/>
        <w:rPr>
          <w:rFonts w:ascii="Times New Roman" w:hAnsi="Times New Roman"/>
        </w:rPr>
      </w:pPr>
      <w:r>
        <w:rPr>
          <w:rFonts w:ascii="Times New Roman" w:hAnsi="Times New Roman"/>
        </w:rPr>
        <w:t>Виртуальные тематические путешествия по художественным музеям мира.</w:t>
      </w:r>
    </w:p>
    <w:p w14:paraId="2D610385">
      <w:pPr>
        <w:spacing w:after="0" w:line="360" w:lineRule="auto"/>
        <w:ind w:firstLine="709"/>
        <w:jc w:val="both"/>
        <w:rPr>
          <w:rFonts w:ascii="Times New Roman" w:hAnsi="Times New Roman"/>
        </w:rPr>
      </w:pPr>
      <w:r>
        <w:rPr>
          <w:rFonts w:ascii="Times New Roman" w:hAnsi="Times New Roman"/>
        </w:rPr>
        <w:t>13.10. Планируемые результаты освоения программы по изобразительному искусству на уровне начального общего образования.</w:t>
      </w:r>
    </w:p>
    <w:p w14:paraId="2A467FF5">
      <w:pPr>
        <w:pStyle w:val="67"/>
        <w:widowControl/>
        <w:spacing w:after="0" w:line="360" w:lineRule="auto"/>
        <w:ind w:left="0" w:firstLine="709"/>
        <w:jc w:val="both"/>
        <w:rPr>
          <w:rFonts w:ascii="Times New Roman" w:hAnsi="Times New Roman" w:eastAsia="Times New Roman"/>
          <w:lang w:eastAsia="ru-RU"/>
        </w:rPr>
      </w:pPr>
      <w:r>
        <w:rPr>
          <w:rFonts w:ascii="Times New Roman" w:hAnsi="Times New Roman"/>
        </w:rPr>
        <w:t>13.10.1. </w:t>
      </w:r>
      <w:r>
        <w:rPr>
          <w:rFonts w:ascii="Times New Roman" w:hAnsi="Times New Roman" w:eastAsia="Times New Roman"/>
          <w:lang w:eastAsia="ru-RU"/>
        </w:rPr>
        <w:t>Личностные результаты освоения программы по изобразительному искусству на уровне начального общего образования достигаются в единстве учебной и воспитательной деятельности в соответствии с традиционными российскими социокультурными и духовно-нравственными ценностями, принятыми в обществе правилами и нормами поведения и способствуют процессам самопознания, самовоспитания и саморазвития, формирования внутренней позиции личности.</w:t>
      </w:r>
    </w:p>
    <w:p w14:paraId="728A965E">
      <w:pPr>
        <w:pStyle w:val="67"/>
        <w:widowControl/>
        <w:spacing w:after="0" w:line="360" w:lineRule="auto"/>
        <w:ind w:left="0" w:firstLine="709"/>
        <w:jc w:val="both"/>
        <w:rPr>
          <w:rFonts w:ascii="Times New Roman" w:hAnsi="Times New Roman" w:eastAsia="Times New Roman"/>
          <w:lang w:eastAsia="ru-RU"/>
        </w:rPr>
      </w:pPr>
      <w:r>
        <w:rPr>
          <w:rFonts w:ascii="Times New Roman" w:hAnsi="Times New Roman" w:eastAsia="Times New Roman"/>
          <w:lang w:eastAsia="ru-RU"/>
        </w:rPr>
        <w:t xml:space="preserve">В результате изучения изобразительного искусства на уровне начального общего образования у обучающегося будут сформированы следующие личностные результаты: </w:t>
      </w:r>
    </w:p>
    <w:p w14:paraId="190CEF06">
      <w:pPr>
        <w:spacing w:after="0" w:line="360" w:lineRule="auto"/>
        <w:ind w:firstLine="709"/>
        <w:jc w:val="both"/>
        <w:rPr>
          <w:rFonts w:ascii="Times New Roman" w:hAnsi="Times New Roman"/>
        </w:rPr>
      </w:pPr>
      <w:r>
        <w:rPr>
          <w:rFonts w:ascii="Times New Roman" w:hAnsi="Times New Roman"/>
        </w:rPr>
        <w:t>уважение и ценностное отношение к своей Родине – России;</w:t>
      </w:r>
    </w:p>
    <w:p w14:paraId="57F18186">
      <w:pPr>
        <w:spacing w:after="0" w:line="360" w:lineRule="auto"/>
        <w:ind w:firstLine="709"/>
        <w:jc w:val="both"/>
        <w:rPr>
          <w:rFonts w:ascii="Times New Roman" w:hAnsi="Times New Roman"/>
        </w:rPr>
      </w:pPr>
      <w:r>
        <w:rPr>
          <w:rFonts w:ascii="Times New Roman" w:hAnsi="Times New Roman"/>
        </w:rPr>
        <w:t>ценностно-смысловые ориентации и установки, отражающие индивидуально-личностные позиции и социально значимые личностные качества;</w:t>
      </w:r>
    </w:p>
    <w:p w14:paraId="4E94B02A">
      <w:pPr>
        <w:spacing w:after="0" w:line="360" w:lineRule="auto"/>
        <w:ind w:firstLine="709"/>
        <w:jc w:val="both"/>
        <w:rPr>
          <w:rFonts w:ascii="Times New Roman" w:hAnsi="Times New Roman"/>
        </w:rPr>
      </w:pPr>
      <w:r>
        <w:rPr>
          <w:rFonts w:ascii="Times New Roman" w:hAnsi="Times New Roman"/>
        </w:rPr>
        <w:t>духовно-нравственное развитие обучающихся;</w:t>
      </w:r>
    </w:p>
    <w:p w14:paraId="1B05C57A">
      <w:pPr>
        <w:spacing w:after="0" w:line="360" w:lineRule="auto"/>
        <w:ind w:firstLine="709"/>
        <w:jc w:val="both"/>
        <w:rPr>
          <w:rFonts w:ascii="Times New Roman" w:hAnsi="Times New Roman"/>
        </w:rPr>
      </w:pPr>
      <w:r>
        <w:rPr>
          <w:rFonts w:ascii="Times New Roman" w:hAnsi="Times New Roman"/>
        </w:rPr>
        <w:t>мотивация к познанию и обучению, готовность к саморазвитию и активному участию в социально-значимой деятельности;</w:t>
      </w:r>
    </w:p>
    <w:p w14:paraId="05D1E174">
      <w:pPr>
        <w:spacing w:after="0" w:line="360" w:lineRule="auto"/>
        <w:ind w:firstLine="709"/>
        <w:jc w:val="both"/>
        <w:rPr>
          <w:rFonts w:ascii="Times New Roman" w:hAnsi="Times New Roman"/>
        </w:rPr>
      </w:pPr>
      <w:r>
        <w:rPr>
          <w:rFonts w:ascii="Times New Roman" w:hAnsi="Times New Roman"/>
        </w:rPr>
        <w:t>позитивный опыт участия в творческой деятельности; интерес к произведениям искусства и литературы, построенным на принципах нравственности и гуманизма, уважительного отношения и интереса к культурным традициям и творчеству своего и других народов.</w:t>
      </w:r>
    </w:p>
    <w:p w14:paraId="6848A57F">
      <w:pPr>
        <w:spacing w:after="0" w:line="360" w:lineRule="auto"/>
        <w:ind w:firstLine="709"/>
        <w:jc w:val="both"/>
        <w:rPr>
          <w:rFonts w:ascii="Times New Roman" w:hAnsi="Times New Roman"/>
        </w:rPr>
      </w:pPr>
      <w:r>
        <w:rPr>
          <w:rFonts w:ascii="Times New Roman" w:hAnsi="Times New Roman"/>
        </w:rPr>
        <w:t>Патриотическое воспитание осуществляется через освоение обучающимися содержания традиций отечественной культуры, выраженной в её архитектуре, народном, декоративно-прикладном и изобразительном искусстве. Урок искусства воспитывает патриотизм не в декларативной форме, а в процессе восприятия и освоения в личной художественной деятельности конкретных знаний о красоте и мудрости, заложенных в культурных традициях.</w:t>
      </w:r>
    </w:p>
    <w:p w14:paraId="540E2DDF">
      <w:pPr>
        <w:spacing w:after="0" w:line="360" w:lineRule="auto"/>
        <w:ind w:firstLine="709"/>
        <w:jc w:val="both"/>
        <w:rPr>
          <w:rFonts w:ascii="Times New Roman" w:hAnsi="Times New Roman"/>
        </w:rPr>
      </w:pPr>
      <w:r>
        <w:rPr>
          <w:rFonts w:ascii="Times New Roman" w:hAnsi="Times New Roman"/>
        </w:rPr>
        <w:t>Гражданское воспитание формируется через развитие чувства личной причастности к жизни общества и созидающих качеств личности, приобщение обучающихся к ценностям отечественной и мировой культуры. Учебный предмет способствует пониманию особенностей жизни разных народов и красоты национальных эстетических идеалов. Коллективные творческие работы создают условия для разных форм художественно-творческой деятельности, способствуют пониманию другого человека, становлению чувства личной ответственности.</w:t>
      </w:r>
    </w:p>
    <w:p w14:paraId="532C4B37">
      <w:pPr>
        <w:spacing w:after="0" w:line="360" w:lineRule="auto"/>
        <w:ind w:firstLine="709"/>
        <w:jc w:val="both"/>
        <w:rPr>
          <w:rFonts w:ascii="Times New Roman" w:hAnsi="Times New Roman"/>
        </w:rPr>
      </w:pPr>
      <w:r>
        <w:rPr>
          <w:rFonts w:ascii="Times New Roman" w:hAnsi="Times New Roman"/>
        </w:rPr>
        <w:t>Духовно-нравственное воспитание является стержнем художественного развития обучающегося, приобщения его к искусству как сфере, концентрирующей в себе духовно-нравственного поиск человечества. Учебные задания направлены на развитие внутреннего мира обучающегося и воспитание его эмоционально-образной, чувственной сферы. Занятия искусством помогают обучающемуся обрести социально значимые знания. Развитие творческих способностей способствует росту самосознания, осознания себя как личности и члена общества.</w:t>
      </w:r>
    </w:p>
    <w:p w14:paraId="7D521997">
      <w:pPr>
        <w:spacing w:after="0" w:line="360" w:lineRule="auto"/>
        <w:ind w:firstLine="709"/>
        <w:jc w:val="both"/>
        <w:rPr>
          <w:rFonts w:ascii="Times New Roman" w:hAnsi="Times New Roman"/>
        </w:rPr>
      </w:pPr>
      <w:r>
        <w:rPr>
          <w:rFonts w:ascii="Times New Roman" w:hAnsi="Times New Roman"/>
        </w:rPr>
        <w:t>Эстетическое воспитание – важнейший компонент и условие развития социально значимых отношений обучающихся, формирования представлений о прекрасном и безобразном, о высоком и низком. Эстетическое воспитание способствует формированию ценностных ориентаций обучающихся в отношении к окружающим людям, в стремлении к их пониманию, а также в отношении к семье, природе, труду, искусству, культурному наследию.</w:t>
      </w:r>
    </w:p>
    <w:p w14:paraId="664138CE">
      <w:pPr>
        <w:spacing w:after="0" w:line="360" w:lineRule="auto"/>
        <w:ind w:firstLine="709"/>
        <w:jc w:val="both"/>
        <w:rPr>
          <w:rFonts w:ascii="Times New Roman" w:hAnsi="Times New Roman"/>
        </w:rPr>
      </w:pPr>
      <w:r>
        <w:rPr>
          <w:rFonts w:ascii="Times New Roman" w:hAnsi="Times New Roman"/>
        </w:rPr>
        <w:t>Ценности познавательной деятельности воспитываются как эмоционально окрашенный интерес к жизни людей и природы. Происходит это в процессе развития навыков восприятия и художественной рефлексии своих наблюдений в художественно-творческой деятельности. Навыки исследовательской деятельности развиваются при выполнении заданий культурно-исторической направленности.</w:t>
      </w:r>
    </w:p>
    <w:p w14:paraId="49FD30A1">
      <w:pPr>
        <w:spacing w:after="0" w:line="360" w:lineRule="auto"/>
        <w:ind w:firstLine="709"/>
        <w:jc w:val="both"/>
        <w:rPr>
          <w:rFonts w:ascii="Times New Roman" w:hAnsi="Times New Roman"/>
        </w:rPr>
      </w:pPr>
      <w:r>
        <w:rPr>
          <w:rFonts w:ascii="Times New Roman" w:hAnsi="Times New Roman"/>
        </w:rPr>
        <w:t>Экологическое воспитание происходит в процессе художественно-эстетического наблюдения природы и её образа в произведениях искусства. Формирование эстетических чувств способствует активному неприятию действий, приносящих вред окружающей среде.</w:t>
      </w:r>
    </w:p>
    <w:p w14:paraId="574105C1">
      <w:pPr>
        <w:spacing w:after="0" w:line="360" w:lineRule="auto"/>
        <w:ind w:firstLine="709"/>
        <w:jc w:val="both"/>
        <w:rPr>
          <w:rFonts w:ascii="Times New Roman" w:hAnsi="Times New Roman"/>
        </w:rPr>
      </w:pPr>
      <w:r>
        <w:rPr>
          <w:rFonts w:ascii="Times New Roman" w:hAnsi="Times New Roman"/>
        </w:rPr>
        <w:t>Трудовое воспитание осуществляется в процессе личной художественно-творческой работы по освоению художественных материалов и удовлетворения от создания реального, практического продукта. Воспитываются стремление достичь результат, упорство, творческая инициатива, понимание эстетики трудовой деятельности. Важны также умения сотрудничать с одноклассниками, работать в команде, выполнять коллективную работу – обязательные требования к определённым заданиям по программе.</w:t>
      </w:r>
      <w:bookmarkStart w:id="236" w:name="_Toc124264881"/>
    </w:p>
    <w:p w14:paraId="6739FB63">
      <w:pPr>
        <w:spacing w:after="0" w:line="360" w:lineRule="auto"/>
        <w:ind w:firstLine="709"/>
        <w:jc w:val="both"/>
        <w:rPr>
          <w:rFonts w:ascii="Times New Roman" w:hAnsi="Times New Roman"/>
        </w:rPr>
      </w:pPr>
      <w:r>
        <w:rPr>
          <w:rFonts w:ascii="Times New Roman" w:hAnsi="Times New Roman"/>
        </w:rPr>
        <w:t>13.10.2. В результате изучения изобразительного искусства на уровне начального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деятельность.</w:t>
      </w:r>
    </w:p>
    <w:bookmarkEnd w:id="236"/>
    <w:p w14:paraId="2FA4C1CB">
      <w:pPr>
        <w:spacing w:after="0" w:line="360" w:lineRule="auto"/>
        <w:ind w:firstLine="709"/>
        <w:jc w:val="both"/>
        <w:rPr>
          <w:rFonts w:ascii="Times New Roman" w:hAnsi="Times New Roman"/>
        </w:rPr>
      </w:pPr>
      <w:r>
        <w:rPr>
          <w:rFonts w:ascii="Times New Roman" w:hAnsi="Times New Roman"/>
        </w:rPr>
        <w:t>Пространственные представления и сенсорные способности:</w:t>
      </w:r>
    </w:p>
    <w:p w14:paraId="3C7E4DBF">
      <w:pPr>
        <w:spacing w:after="0" w:line="360" w:lineRule="auto"/>
        <w:ind w:firstLine="709"/>
        <w:jc w:val="both"/>
        <w:rPr>
          <w:rFonts w:ascii="Times New Roman" w:hAnsi="Times New Roman"/>
        </w:rPr>
      </w:pPr>
      <w:r>
        <w:rPr>
          <w:rFonts w:ascii="Times New Roman" w:hAnsi="Times New Roman"/>
        </w:rPr>
        <w:t>характеризовать форму предмета, конструкции;</w:t>
      </w:r>
    </w:p>
    <w:p w14:paraId="47AEC52B">
      <w:pPr>
        <w:spacing w:after="0" w:line="360" w:lineRule="auto"/>
        <w:ind w:firstLine="709"/>
        <w:jc w:val="both"/>
        <w:rPr>
          <w:rFonts w:ascii="Times New Roman" w:hAnsi="Times New Roman"/>
        </w:rPr>
      </w:pPr>
      <w:r>
        <w:rPr>
          <w:rFonts w:ascii="Times New Roman" w:hAnsi="Times New Roman"/>
        </w:rPr>
        <w:t>выявлять доминантные черты (характерные особенности) в визуальном образе;</w:t>
      </w:r>
    </w:p>
    <w:p w14:paraId="51D0776A">
      <w:pPr>
        <w:spacing w:after="0" w:line="360" w:lineRule="auto"/>
        <w:ind w:firstLine="709"/>
        <w:jc w:val="both"/>
        <w:rPr>
          <w:rFonts w:ascii="Times New Roman" w:hAnsi="Times New Roman"/>
        </w:rPr>
      </w:pPr>
      <w:r>
        <w:rPr>
          <w:rFonts w:ascii="Times New Roman" w:hAnsi="Times New Roman"/>
        </w:rPr>
        <w:t>сравнивать плоскостные и пространственные объекты по заданным основаниям;</w:t>
      </w:r>
    </w:p>
    <w:p w14:paraId="2B4E5065">
      <w:pPr>
        <w:spacing w:after="0" w:line="360" w:lineRule="auto"/>
        <w:ind w:firstLine="709"/>
        <w:jc w:val="both"/>
        <w:rPr>
          <w:rFonts w:ascii="Times New Roman" w:hAnsi="Times New Roman"/>
        </w:rPr>
      </w:pPr>
      <w:r>
        <w:rPr>
          <w:rFonts w:ascii="Times New Roman" w:hAnsi="Times New Roman"/>
        </w:rPr>
        <w:t>находить ассоциативные связи между визуальными образами разных форм и предметов;</w:t>
      </w:r>
    </w:p>
    <w:p w14:paraId="3DDF96AB">
      <w:pPr>
        <w:spacing w:after="0" w:line="360" w:lineRule="auto"/>
        <w:ind w:firstLine="709"/>
        <w:jc w:val="both"/>
        <w:rPr>
          <w:rFonts w:ascii="Times New Roman" w:hAnsi="Times New Roman"/>
        </w:rPr>
      </w:pPr>
      <w:r>
        <w:rPr>
          <w:rFonts w:ascii="Times New Roman" w:hAnsi="Times New Roman"/>
        </w:rPr>
        <w:t>сопоставлять части и целое в видимом образе, предмете, конструкции;</w:t>
      </w:r>
    </w:p>
    <w:p w14:paraId="78087B40">
      <w:pPr>
        <w:spacing w:after="0" w:line="360" w:lineRule="auto"/>
        <w:ind w:firstLine="709"/>
        <w:jc w:val="both"/>
        <w:rPr>
          <w:rFonts w:ascii="Times New Roman" w:hAnsi="Times New Roman"/>
        </w:rPr>
      </w:pPr>
      <w:r>
        <w:rPr>
          <w:rFonts w:ascii="Times New Roman" w:hAnsi="Times New Roman"/>
        </w:rPr>
        <w:t>анализировать пропорциональные отношения частей внутри целого и предметов между собой;</w:t>
      </w:r>
    </w:p>
    <w:p w14:paraId="72F8D053">
      <w:pPr>
        <w:spacing w:after="0" w:line="360" w:lineRule="auto"/>
        <w:ind w:firstLine="709"/>
        <w:jc w:val="both"/>
        <w:rPr>
          <w:rFonts w:ascii="Times New Roman" w:hAnsi="Times New Roman"/>
        </w:rPr>
      </w:pPr>
      <w:r>
        <w:rPr>
          <w:rFonts w:ascii="Times New Roman" w:hAnsi="Times New Roman"/>
        </w:rPr>
        <w:t>обобщать форму составной конструкции;</w:t>
      </w:r>
    </w:p>
    <w:p w14:paraId="4D7B8732">
      <w:pPr>
        <w:spacing w:after="0" w:line="360" w:lineRule="auto"/>
        <w:ind w:firstLine="709"/>
        <w:jc w:val="both"/>
        <w:rPr>
          <w:rFonts w:ascii="Times New Roman" w:hAnsi="Times New Roman"/>
        </w:rPr>
      </w:pPr>
      <w:r>
        <w:rPr>
          <w:rFonts w:ascii="Times New Roman" w:hAnsi="Times New Roman"/>
        </w:rPr>
        <w:t>выявлять и анализировать ритмические отношения в пространстве и в изображении (визуальном образе) на установленных основаниях;</w:t>
      </w:r>
    </w:p>
    <w:p w14:paraId="6A3CE60C">
      <w:pPr>
        <w:spacing w:after="0" w:line="360" w:lineRule="auto"/>
        <w:ind w:firstLine="709"/>
        <w:jc w:val="both"/>
        <w:rPr>
          <w:rFonts w:ascii="Times New Roman" w:hAnsi="Times New Roman"/>
        </w:rPr>
      </w:pPr>
      <w:r>
        <w:rPr>
          <w:rFonts w:ascii="Times New Roman" w:hAnsi="Times New Roman"/>
        </w:rPr>
        <w:t>передавать обобщенный образ реальности при построении плоской композиции;</w:t>
      </w:r>
    </w:p>
    <w:p w14:paraId="0521E36E">
      <w:pPr>
        <w:spacing w:after="0" w:line="360" w:lineRule="auto"/>
        <w:ind w:firstLine="709"/>
        <w:jc w:val="both"/>
        <w:rPr>
          <w:rFonts w:ascii="Times New Roman" w:hAnsi="Times New Roman"/>
        </w:rPr>
      </w:pPr>
      <w:r>
        <w:rPr>
          <w:rFonts w:ascii="Times New Roman" w:hAnsi="Times New Roman"/>
        </w:rPr>
        <w:t>соотносить тональные отношения (тёмное – светлое) в пространственных и плоскостных объектах;</w:t>
      </w:r>
    </w:p>
    <w:p w14:paraId="122780B8">
      <w:pPr>
        <w:spacing w:after="0" w:line="360" w:lineRule="auto"/>
        <w:ind w:firstLine="709"/>
        <w:jc w:val="both"/>
        <w:rPr>
          <w:rFonts w:ascii="Times New Roman" w:hAnsi="Times New Roman"/>
        </w:rPr>
      </w:pPr>
      <w:r>
        <w:rPr>
          <w:rFonts w:ascii="Times New Roman" w:hAnsi="Times New Roman"/>
        </w:rPr>
        <w:t>выявлять и анализировать эмоциональное воздействие цветовых отношений в пространственной среде и плоскостном изображении.</w:t>
      </w:r>
    </w:p>
    <w:p w14:paraId="5B8E1D94">
      <w:pPr>
        <w:spacing w:after="0" w:line="360" w:lineRule="auto"/>
        <w:ind w:firstLine="709"/>
        <w:jc w:val="both"/>
        <w:rPr>
          <w:rFonts w:ascii="Times New Roman" w:hAnsi="Times New Roman"/>
        </w:rPr>
      </w:pPr>
      <w:r>
        <w:rPr>
          <w:rFonts w:ascii="Times New Roman" w:hAnsi="Times New Roman"/>
        </w:rPr>
        <w:t>13.10.2.1. У обучающегося будут сформированы следующие базовые логические и исследовательские действия как часть познавательных универсальных учебных действий:</w:t>
      </w:r>
    </w:p>
    <w:p w14:paraId="1F422AAB">
      <w:pPr>
        <w:spacing w:after="0" w:line="360" w:lineRule="auto"/>
        <w:ind w:firstLine="709"/>
        <w:jc w:val="both"/>
        <w:rPr>
          <w:rFonts w:ascii="Times New Roman" w:hAnsi="Times New Roman"/>
        </w:rPr>
      </w:pPr>
      <w:r>
        <w:rPr>
          <w:rFonts w:ascii="Times New Roman" w:hAnsi="Times New Roman"/>
        </w:rPr>
        <w:t>проявлять исследовательские, экспериментальные действия в процессе освоения выразительных свойств различных художественных материалов;</w:t>
      </w:r>
    </w:p>
    <w:p w14:paraId="7F49443C">
      <w:pPr>
        <w:spacing w:after="0" w:line="360" w:lineRule="auto"/>
        <w:ind w:firstLine="709"/>
        <w:jc w:val="both"/>
        <w:rPr>
          <w:rFonts w:ascii="Times New Roman" w:hAnsi="Times New Roman"/>
        </w:rPr>
      </w:pPr>
      <w:r>
        <w:rPr>
          <w:rFonts w:ascii="Times New Roman" w:hAnsi="Times New Roman"/>
        </w:rPr>
        <w:t>проявлять творческие экспериментальные действия в процессе самостоятельного выполнения художественных заданий; проявлять исследовательские и аналитические действия на основе определённых учебных установок в процессе восприятия произведений изобразительного искусства, архитектуры и продуктов детского художественного творчества;</w:t>
      </w:r>
    </w:p>
    <w:p w14:paraId="29017837">
      <w:pPr>
        <w:spacing w:after="0" w:line="360" w:lineRule="auto"/>
        <w:ind w:firstLine="709"/>
        <w:jc w:val="both"/>
        <w:rPr>
          <w:rFonts w:ascii="Times New Roman" w:hAnsi="Times New Roman"/>
        </w:rPr>
      </w:pPr>
      <w:r>
        <w:rPr>
          <w:rFonts w:ascii="Times New Roman" w:hAnsi="Times New Roman"/>
        </w:rPr>
        <w:t>использовать наблюдения для получения информации об особенностях объектов и состояния природы, предметного мира человека, городской среды;</w:t>
      </w:r>
    </w:p>
    <w:p w14:paraId="3DDD29BF">
      <w:pPr>
        <w:spacing w:after="0" w:line="360" w:lineRule="auto"/>
        <w:ind w:firstLine="709"/>
        <w:jc w:val="both"/>
        <w:rPr>
          <w:rFonts w:ascii="Times New Roman" w:hAnsi="Times New Roman"/>
        </w:rPr>
      </w:pPr>
      <w:r>
        <w:rPr>
          <w:rFonts w:ascii="Times New Roman" w:hAnsi="Times New Roman"/>
        </w:rPr>
        <w:t>анализировать и оценивать с позиций эстетических категорий явления природы и предметно-пространственную среду жизни человека;</w:t>
      </w:r>
    </w:p>
    <w:p w14:paraId="796AD9F6">
      <w:pPr>
        <w:spacing w:after="0" w:line="360" w:lineRule="auto"/>
        <w:ind w:firstLine="709"/>
        <w:jc w:val="both"/>
        <w:rPr>
          <w:rFonts w:ascii="Times New Roman" w:hAnsi="Times New Roman"/>
        </w:rPr>
      </w:pPr>
      <w:r>
        <w:rPr>
          <w:rFonts w:ascii="Times New Roman" w:hAnsi="Times New Roman"/>
        </w:rPr>
        <w:t>формулировать выводы, соответствующие эстетическим, аналитическим и другим учебным установкам по результатам проведённого наблюдения;</w:t>
      </w:r>
    </w:p>
    <w:p w14:paraId="2C876190">
      <w:pPr>
        <w:spacing w:after="0" w:line="360" w:lineRule="auto"/>
        <w:ind w:firstLine="709"/>
        <w:jc w:val="both"/>
        <w:rPr>
          <w:rFonts w:ascii="Times New Roman" w:hAnsi="Times New Roman"/>
        </w:rPr>
      </w:pPr>
      <w:r>
        <w:rPr>
          <w:rFonts w:ascii="Times New Roman" w:hAnsi="Times New Roman"/>
        </w:rPr>
        <w:t>использовать знаково-символические средства для составления орнаментов и декоративных композиций;</w:t>
      </w:r>
    </w:p>
    <w:p w14:paraId="76FA782E">
      <w:pPr>
        <w:spacing w:after="0" w:line="360" w:lineRule="auto"/>
        <w:ind w:firstLine="709"/>
        <w:jc w:val="both"/>
        <w:rPr>
          <w:rFonts w:ascii="Times New Roman" w:hAnsi="Times New Roman"/>
        </w:rPr>
      </w:pPr>
      <w:r>
        <w:rPr>
          <w:rFonts w:ascii="Times New Roman" w:hAnsi="Times New Roman"/>
        </w:rPr>
        <w:t>классифицировать произведения искусства по видам и, соответственно, по назначению в жизни людей;</w:t>
      </w:r>
    </w:p>
    <w:p w14:paraId="3AAF30E0">
      <w:pPr>
        <w:spacing w:after="0" w:line="360" w:lineRule="auto"/>
        <w:ind w:firstLine="709"/>
        <w:jc w:val="both"/>
        <w:rPr>
          <w:rFonts w:ascii="Times New Roman" w:hAnsi="Times New Roman"/>
        </w:rPr>
      </w:pPr>
      <w:r>
        <w:rPr>
          <w:rFonts w:ascii="Times New Roman" w:hAnsi="Times New Roman"/>
        </w:rPr>
        <w:t>классифицировать произведения изобразительного искусства по жанрам в качестве инструмента анализа содержания произведений;</w:t>
      </w:r>
    </w:p>
    <w:p w14:paraId="05E9CB64">
      <w:pPr>
        <w:tabs>
          <w:tab w:val="left" w:pos="10490"/>
        </w:tabs>
        <w:spacing w:after="0" w:line="360" w:lineRule="auto"/>
        <w:ind w:firstLine="709"/>
        <w:jc w:val="both"/>
        <w:rPr>
          <w:rFonts w:ascii="Times New Roman" w:hAnsi="Times New Roman"/>
        </w:rPr>
      </w:pPr>
      <w:r>
        <w:rPr>
          <w:rFonts w:ascii="Times New Roman" w:hAnsi="Times New Roman"/>
        </w:rPr>
        <w:t>ставить и использовать вопросы как исследовательский инструмент познания.</w:t>
      </w:r>
    </w:p>
    <w:p w14:paraId="4D820629">
      <w:pPr>
        <w:tabs>
          <w:tab w:val="left" w:pos="10490"/>
        </w:tabs>
        <w:spacing w:after="0" w:line="360" w:lineRule="auto"/>
        <w:ind w:firstLine="709"/>
        <w:jc w:val="both"/>
        <w:rPr>
          <w:rFonts w:ascii="Times New Roman" w:hAnsi="Times New Roman"/>
        </w:rPr>
      </w:pPr>
      <w:r>
        <w:rPr>
          <w:rFonts w:ascii="Times New Roman" w:hAnsi="Times New Roman"/>
        </w:rPr>
        <w:t>13.10.2.2. У обучающегося будут сформированы умения работать с информацией как часть познавательных универсальных учебных действий:</w:t>
      </w:r>
    </w:p>
    <w:p w14:paraId="0FBCD525">
      <w:pPr>
        <w:tabs>
          <w:tab w:val="left" w:pos="10490"/>
        </w:tabs>
        <w:spacing w:after="0" w:line="360" w:lineRule="auto"/>
        <w:ind w:firstLine="709"/>
        <w:jc w:val="both"/>
        <w:rPr>
          <w:rFonts w:ascii="Times New Roman" w:hAnsi="Times New Roman"/>
        </w:rPr>
      </w:pPr>
      <w:r>
        <w:rPr>
          <w:rFonts w:ascii="Times New Roman" w:hAnsi="Times New Roman"/>
        </w:rPr>
        <w:t>использовать электронные образовательные ресурсы;</w:t>
      </w:r>
    </w:p>
    <w:p w14:paraId="43798260">
      <w:pPr>
        <w:tabs>
          <w:tab w:val="left" w:pos="10490"/>
        </w:tabs>
        <w:spacing w:after="0" w:line="360" w:lineRule="auto"/>
        <w:ind w:firstLine="709"/>
        <w:jc w:val="both"/>
        <w:rPr>
          <w:rFonts w:ascii="Times New Roman" w:hAnsi="Times New Roman"/>
        </w:rPr>
      </w:pPr>
      <w:r>
        <w:rPr>
          <w:rFonts w:ascii="Times New Roman" w:hAnsi="Times New Roman"/>
        </w:rPr>
        <w:t>работать с электронными учебниками и учебными пособиями;</w:t>
      </w:r>
    </w:p>
    <w:p w14:paraId="7EEDBDCE">
      <w:pPr>
        <w:tabs>
          <w:tab w:val="left" w:pos="10490"/>
        </w:tabs>
        <w:spacing w:after="0" w:line="360" w:lineRule="auto"/>
        <w:ind w:firstLine="709"/>
        <w:jc w:val="both"/>
        <w:rPr>
          <w:rFonts w:ascii="Times New Roman" w:hAnsi="Times New Roman"/>
        </w:rPr>
      </w:pPr>
      <w:r>
        <w:rPr>
          <w:rFonts w:ascii="Times New Roman" w:hAnsi="Times New Roman"/>
        </w:rPr>
        <w:t>выбирать источник для получения информации: поисковые системы Интернета, цифровые электронные средства, справочники, художественные альбомы и детские книги;</w:t>
      </w:r>
    </w:p>
    <w:p w14:paraId="11F8CA1A">
      <w:pPr>
        <w:tabs>
          <w:tab w:val="left" w:pos="10490"/>
        </w:tabs>
        <w:spacing w:after="0" w:line="360" w:lineRule="auto"/>
        <w:ind w:firstLine="709"/>
        <w:jc w:val="both"/>
        <w:rPr>
          <w:rFonts w:ascii="Times New Roman" w:hAnsi="Times New Roman"/>
        </w:rPr>
      </w:pPr>
      <w:r>
        <w:rPr>
          <w:rFonts w:ascii="Times New Roman" w:hAnsi="Times New Roman"/>
        </w:rPr>
        <w:t>анализировать, интерпретировать, обобщать и систематизировать информацию, представленную в произведениях искусства, текстах, таблицах и схемах;</w:t>
      </w:r>
    </w:p>
    <w:p w14:paraId="67A5D9CF">
      <w:pPr>
        <w:tabs>
          <w:tab w:val="left" w:pos="10490"/>
        </w:tabs>
        <w:spacing w:after="0" w:line="360" w:lineRule="auto"/>
        <w:ind w:firstLine="709"/>
        <w:jc w:val="both"/>
        <w:rPr>
          <w:rFonts w:ascii="Times New Roman" w:hAnsi="Times New Roman"/>
        </w:rPr>
      </w:pPr>
      <w:r>
        <w:rPr>
          <w:rFonts w:ascii="Times New Roman" w:hAnsi="Times New Roman"/>
        </w:rPr>
        <w:t>самостоятельно подготавливать информацию на заданную или выбранную тему и представлять её в различных видах: рисунках и эскизах, электронных презентациях;</w:t>
      </w:r>
    </w:p>
    <w:p w14:paraId="447083B1">
      <w:pPr>
        <w:tabs>
          <w:tab w:val="left" w:pos="10490"/>
        </w:tabs>
        <w:spacing w:after="0" w:line="360" w:lineRule="auto"/>
        <w:ind w:firstLine="709"/>
        <w:jc w:val="both"/>
        <w:rPr>
          <w:rFonts w:ascii="Times New Roman" w:hAnsi="Times New Roman"/>
        </w:rPr>
      </w:pPr>
      <w:r>
        <w:rPr>
          <w:rFonts w:ascii="Times New Roman" w:hAnsi="Times New Roman"/>
        </w:rPr>
        <w:t>осуществлять виртуальные путешествия по архитектурным памятникам, в отечественные художественные музеи и зарубежные художественные музеи (галереи) на основе установок и квестов, предложенных учителем;</w:t>
      </w:r>
    </w:p>
    <w:p w14:paraId="0D990801">
      <w:pPr>
        <w:tabs>
          <w:tab w:val="left" w:pos="10490"/>
        </w:tabs>
        <w:spacing w:after="0" w:line="360" w:lineRule="auto"/>
        <w:ind w:firstLine="709"/>
        <w:jc w:val="both"/>
        <w:rPr>
          <w:rFonts w:ascii="Times New Roman" w:hAnsi="Times New Roman"/>
        </w:rPr>
      </w:pPr>
      <w:r>
        <w:rPr>
          <w:rFonts w:ascii="Times New Roman" w:hAnsi="Times New Roman"/>
        </w:rPr>
        <w:t>соблюдать правила информационной безопасности при работе в Интернете.</w:t>
      </w:r>
    </w:p>
    <w:p w14:paraId="7F1D42C9">
      <w:pPr>
        <w:tabs>
          <w:tab w:val="left" w:pos="10490"/>
        </w:tabs>
        <w:spacing w:after="0" w:line="360" w:lineRule="auto"/>
        <w:ind w:firstLine="709"/>
        <w:jc w:val="both"/>
        <w:rPr>
          <w:rFonts w:ascii="Times New Roman" w:hAnsi="Times New Roman"/>
        </w:rPr>
      </w:pPr>
      <w:r>
        <w:rPr>
          <w:rFonts w:ascii="Times New Roman" w:hAnsi="Times New Roman"/>
        </w:rPr>
        <w:t xml:space="preserve">13.10.2.3. У обучающегося будут сформированы умения общения как часть коммуникативных универсальных учебных действий: </w:t>
      </w:r>
    </w:p>
    <w:p w14:paraId="1A118878">
      <w:pPr>
        <w:tabs>
          <w:tab w:val="left" w:pos="10490"/>
        </w:tabs>
        <w:spacing w:after="0" w:line="360" w:lineRule="auto"/>
        <w:ind w:firstLine="709"/>
        <w:jc w:val="both"/>
        <w:rPr>
          <w:rFonts w:ascii="Times New Roman" w:hAnsi="Times New Roman"/>
        </w:rPr>
      </w:pPr>
      <w:r>
        <w:rPr>
          <w:rFonts w:ascii="Times New Roman" w:hAnsi="Times New Roman"/>
        </w:rPr>
        <w:t>понимать искусство в качестве особого языка общения – межличностного (автор – зритель), между поколениями, между народами;</w:t>
      </w:r>
    </w:p>
    <w:p w14:paraId="51692EF1">
      <w:pPr>
        <w:tabs>
          <w:tab w:val="left" w:pos="10490"/>
        </w:tabs>
        <w:spacing w:after="0" w:line="360" w:lineRule="auto"/>
        <w:ind w:firstLine="709"/>
        <w:jc w:val="both"/>
        <w:rPr>
          <w:rFonts w:ascii="Times New Roman" w:hAnsi="Times New Roman"/>
        </w:rPr>
      </w:pPr>
      <w:r>
        <w:rPr>
          <w:rFonts w:ascii="Times New Roman" w:hAnsi="Times New Roman"/>
        </w:rPr>
        <w:t>вести диалог и участвовать в дискуссии, проявляя уважительное отношение к оппонентам, сопоставлять свои суждения с суждениями участников общения, выявляя и корректно отстаивая свои позиции в оценке и понимании обсуждаемого явления;</w:t>
      </w:r>
    </w:p>
    <w:p w14:paraId="10A44BBA">
      <w:pPr>
        <w:tabs>
          <w:tab w:val="left" w:pos="10490"/>
        </w:tabs>
        <w:spacing w:after="0" w:line="360" w:lineRule="auto"/>
        <w:ind w:firstLine="709"/>
        <w:jc w:val="both"/>
        <w:rPr>
          <w:rFonts w:ascii="Times New Roman" w:hAnsi="Times New Roman"/>
        </w:rPr>
      </w:pPr>
      <w:r>
        <w:rPr>
          <w:rFonts w:ascii="Times New Roman" w:hAnsi="Times New Roman"/>
        </w:rPr>
        <w:t>находить общее решение и разрешать конфликты на основе общих позиций и учёта интересов в процессе совместной художественной деятельности;</w:t>
      </w:r>
    </w:p>
    <w:p w14:paraId="039F483A">
      <w:pPr>
        <w:tabs>
          <w:tab w:val="left" w:pos="10490"/>
        </w:tabs>
        <w:spacing w:after="0" w:line="360" w:lineRule="auto"/>
        <w:ind w:firstLine="709"/>
        <w:jc w:val="both"/>
        <w:rPr>
          <w:rFonts w:ascii="Times New Roman" w:hAnsi="Times New Roman"/>
        </w:rPr>
      </w:pPr>
      <w:r>
        <w:rPr>
          <w:rFonts w:ascii="Times New Roman" w:hAnsi="Times New Roman"/>
        </w:rPr>
        <w:t>демонстрировать и объяснять результаты своего творческого, художественного или исследовательского опыта;</w:t>
      </w:r>
    </w:p>
    <w:p w14:paraId="60C1857D">
      <w:pPr>
        <w:tabs>
          <w:tab w:val="left" w:pos="10490"/>
        </w:tabs>
        <w:spacing w:after="0" w:line="360" w:lineRule="auto"/>
        <w:ind w:firstLine="709"/>
        <w:jc w:val="both"/>
        <w:rPr>
          <w:rFonts w:ascii="Times New Roman" w:hAnsi="Times New Roman"/>
        </w:rPr>
      </w:pPr>
      <w:r>
        <w:rPr>
          <w:rFonts w:ascii="Times New Roman" w:hAnsi="Times New Roman"/>
        </w:rPr>
        <w:t>анализировать произведения детского художественного творчества с позиций их содержания и в соответствии с учебной задачей, поставленной учителем;</w:t>
      </w:r>
    </w:p>
    <w:p w14:paraId="1928C0B5">
      <w:pPr>
        <w:tabs>
          <w:tab w:val="left" w:pos="10490"/>
        </w:tabs>
        <w:spacing w:after="0" w:line="360" w:lineRule="auto"/>
        <w:ind w:firstLine="709"/>
        <w:jc w:val="both"/>
        <w:rPr>
          <w:rFonts w:ascii="Times New Roman" w:hAnsi="Times New Roman"/>
        </w:rPr>
      </w:pPr>
      <w:r>
        <w:rPr>
          <w:rFonts w:ascii="Times New Roman" w:hAnsi="Times New Roman"/>
        </w:rPr>
        <w:t>признавать своё и чужое право на ошибку, развивать свои способности сопереживать, понимать намерения и переживания свои и других людей;</w:t>
      </w:r>
    </w:p>
    <w:p w14:paraId="1F6A2678">
      <w:pPr>
        <w:tabs>
          <w:tab w:val="left" w:pos="10490"/>
        </w:tabs>
        <w:spacing w:after="0" w:line="360" w:lineRule="auto"/>
        <w:ind w:firstLine="709"/>
        <w:jc w:val="both"/>
        <w:rPr>
          <w:rFonts w:ascii="Times New Roman" w:hAnsi="Times New Roman"/>
        </w:rPr>
      </w:pPr>
      <w:r>
        <w:rPr>
          <w:rFonts w:ascii="Times New Roman" w:hAnsi="Times New Roman"/>
        </w:rPr>
        <w:t>взаимодействовать, сотрудничать в процессе коллективной работы, принимать цель совместной деятельности и строить действия по её достижению, договариваться, выполнять поручения, подчиняться, ответственно относиться к своей задаче по достижению общего результата.</w:t>
      </w:r>
    </w:p>
    <w:p w14:paraId="2370B798">
      <w:pPr>
        <w:tabs>
          <w:tab w:val="left" w:pos="10490"/>
        </w:tabs>
        <w:spacing w:after="0" w:line="360" w:lineRule="auto"/>
        <w:ind w:firstLine="709"/>
        <w:jc w:val="both"/>
        <w:rPr>
          <w:rFonts w:ascii="Times New Roman" w:hAnsi="Times New Roman"/>
        </w:rPr>
      </w:pPr>
      <w:r>
        <w:rPr>
          <w:rFonts w:ascii="Times New Roman" w:hAnsi="Times New Roman"/>
        </w:rPr>
        <w:t xml:space="preserve">13.10.2.4. У обучающегося будут сформированы умения самоорганизации и самоконтроля как часть регулятивных универсальных учебных действий: </w:t>
      </w:r>
    </w:p>
    <w:p w14:paraId="7ABA137A">
      <w:pPr>
        <w:tabs>
          <w:tab w:val="left" w:pos="10490"/>
        </w:tabs>
        <w:spacing w:after="0" w:line="360" w:lineRule="auto"/>
        <w:ind w:firstLine="709"/>
        <w:jc w:val="both"/>
        <w:rPr>
          <w:rFonts w:ascii="Times New Roman" w:hAnsi="Times New Roman"/>
        </w:rPr>
      </w:pPr>
      <w:r>
        <w:rPr>
          <w:rFonts w:ascii="Times New Roman" w:hAnsi="Times New Roman"/>
        </w:rPr>
        <w:t>внимательно относиться и выполнять учебные задачи, поставленные учителем;</w:t>
      </w:r>
    </w:p>
    <w:p w14:paraId="19D1B205">
      <w:pPr>
        <w:tabs>
          <w:tab w:val="left" w:pos="10490"/>
        </w:tabs>
        <w:spacing w:after="0" w:line="360" w:lineRule="auto"/>
        <w:ind w:firstLine="709"/>
        <w:jc w:val="both"/>
        <w:rPr>
          <w:rFonts w:ascii="Times New Roman" w:hAnsi="Times New Roman"/>
        </w:rPr>
      </w:pPr>
      <w:r>
        <w:rPr>
          <w:rFonts w:ascii="Times New Roman" w:hAnsi="Times New Roman"/>
        </w:rPr>
        <w:t>соблюдать последовательность учебных действий при выполнении задания;</w:t>
      </w:r>
    </w:p>
    <w:p w14:paraId="118ECAEA">
      <w:pPr>
        <w:tabs>
          <w:tab w:val="left" w:pos="10490"/>
        </w:tabs>
        <w:spacing w:after="0" w:line="360" w:lineRule="auto"/>
        <w:ind w:firstLine="709"/>
        <w:jc w:val="both"/>
        <w:rPr>
          <w:rFonts w:ascii="Times New Roman" w:hAnsi="Times New Roman"/>
        </w:rPr>
      </w:pPr>
      <w:r>
        <w:rPr>
          <w:rFonts w:ascii="Times New Roman" w:hAnsi="Times New Roman"/>
        </w:rPr>
        <w:t>1порядок в окружающем пространстве и бережно относясь к используемым материалам;</w:t>
      </w:r>
    </w:p>
    <w:p w14:paraId="0A0255AC">
      <w:pPr>
        <w:tabs>
          <w:tab w:val="left" w:pos="10490"/>
        </w:tabs>
        <w:spacing w:after="0" w:line="360" w:lineRule="auto"/>
        <w:ind w:firstLine="709"/>
        <w:jc w:val="both"/>
        <w:rPr>
          <w:rFonts w:ascii="Times New Roman" w:hAnsi="Times New Roman"/>
        </w:rPr>
      </w:pPr>
      <w:r>
        <w:rPr>
          <w:rFonts w:ascii="Times New Roman" w:hAnsi="Times New Roman"/>
        </w:rPr>
        <w:t>соотносить свои действия с планируемыми результатами, осуществлять контроль своей деятельности в процессе достижения результата.</w:t>
      </w:r>
    </w:p>
    <w:p w14:paraId="5B70E372">
      <w:pPr>
        <w:spacing w:after="0" w:line="360" w:lineRule="auto"/>
        <w:ind w:firstLine="709"/>
        <w:jc w:val="both"/>
        <w:rPr>
          <w:rFonts w:ascii="Times New Roman" w:hAnsi="Times New Roman"/>
        </w:rPr>
      </w:pPr>
      <w:bookmarkStart w:id="237" w:name="_Toc124264882"/>
      <w:r>
        <w:rPr>
          <w:rFonts w:ascii="Times New Roman" w:hAnsi="Times New Roman"/>
        </w:rPr>
        <w:t>13.10.3. К концу обучения в 1 классе обучающийся получит следующие предметные результаты по отдельным темам программы по изобразительному искусству:</w:t>
      </w:r>
    </w:p>
    <w:bookmarkEnd w:id="237"/>
    <w:p w14:paraId="1A4E70E3">
      <w:pPr>
        <w:spacing w:after="0" w:line="360" w:lineRule="auto"/>
        <w:ind w:firstLine="709"/>
        <w:jc w:val="both"/>
        <w:rPr>
          <w:rFonts w:ascii="Times New Roman" w:hAnsi="Times New Roman"/>
        </w:rPr>
      </w:pPr>
      <w:r>
        <w:rPr>
          <w:rFonts w:ascii="Times New Roman" w:hAnsi="Times New Roman"/>
        </w:rPr>
        <w:t>13.10.3.1. Модуль «Графика».</w:t>
      </w:r>
    </w:p>
    <w:p w14:paraId="4EF9E575">
      <w:pPr>
        <w:spacing w:after="0" w:line="360" w:lineRule="auto"/>
        <w:ind w:firstLine="709"/>
        <w:jc w:val="both"/>
        <w:rPr>
          <w:rFonts w:ascii="Times New Roman" w:hAnsi="Times New Roman"/>
        </w:rPr>
      </w:pPr>
      <w:r>
        <w:rPr>
          <w:rFonts w:ascii="Times New Roman" w:hAnsi="Times New Roman"/>
        </w:rPr>
        <w:t>Осваивать навыки применения свойств простых графических материалов в самостоятельной творческой работе в условиях урока.</w:t>
      </w:r>
    </w:p>
    <w:p w14:paraId="45863EDD">
      <w:pPr>
        <w:spacing w:after="0" w:line="360" w:lineRule="auto"/>
        <w:ind w:firstLine="709"/>
        <w:jc w:val="both"/>
        <w:rPr>
          <w:rFonts w:ascii="Times New Roman" w:hAnsi="Times New Roman"/>
        </w:rPr>
      </w:pPr>
      <w:r>
        <w:rPr>
          <w:rFonts w:ascii="Times New Roman" w:hAnsi="Times New Roman"/>
        </w:rPr>
        <w:t>Приобретать первичный опыт в создании графического рисунка на основе знакомства со средствами изобразительного языка.</w:t>
      </w:r>
    </w:p>
    <w:p w14:paraId="30513360">
      <w:pPr>
        <w:spacing w:after="0" w:line="360" w:lineRule="auto"/>
        <w:ind w:firstLine="709"/>
        <w:jc w:val="both"/>
        <w:rPr>
          <w:rFonts w:ascii="Times New Roman" w:hAnsi="Times New Roman"/>
        </w:rPr>
      </w:pPr>
      <w:r>
        <w:rPr>
          <w:rFonts w:ascii="Times New Roman" w:hAnsi="Times New Roman"/>
        </w:rPr>
        <w:t>Приобретать опыт аналитического наблюдения формы предмета, опыт обобщения и геометризации наблюдаемой формы как основы обучения рисунку.</w:t>
      </w:r>
    </w:p>
    <w:p w14:paraId="1B9FB5B4">
      <w:pPr>
        <w:spacing w:after="0" w:line="360" w:lineRule="auto"/>
        <w:ind w:firstLine="709"/>
        <w:jc w:val="both"/>
        <w:rPr>
          <w:rFonts w:ascii="Times New Roman" w:hAnsi="Times New Roman"/>
        </w:rPr>
      </w:pPr>
      <w:r>
        <w:rPr>
          <w:rFonts w:ascii="Times New Roman" w:hAnsi="Times New Roman"/>
        </w:rPr>
        <w:t>Приобретать опыт создания рисунка простого (плоского) предмета с натуры.</w:t>
      </w:r>
    </w:p>
    <w:p w14:paraId="604F0867">
      <w:pPr>
        <w:spacing w:after="0" w:line="360" w:lineRule="auto"/>
        <w:ind w:firstLine="709"/>
        <w:jc w:val="both"/>
        <w:rPr>
          <w:rFonts w:ascii="Times New Roman" w:hAnsi="Times New Roman"/>
        </w:rPr>
      </w:pPr>
      <w:r>
        <w:rPr>
          <w:rFonts w:ascii="Times New Roman" w:hAnsi="Times New Roman"/>
        </w:rPr>
        <w:t>Учиться анализировать соотношения пропорций, визуально сравнивать пространственные величины.</w:t>
      </w:r>
    </w:p>
    <w:p w14:paraId="02D5BB3F">
      <w:pPr>
        <w:spacing w:after="0" w:line="360" w:lineRule="auto"/>
        <w:ind w:firstLine="709"/>
        <w:jc w:val="both"/>
        <w:rPr>
          <w:rFonts w:ascii="Times New Roman" w:hAnsi="Times New Roman"/>
        </w:rPr>
      </w:pPr>
      <w:r>
        <w:rPr>
          <w:rFonts w:ascii="Times New Roman" w:hAnsi="Times New Roman"/>
        </w:rPr>
        <w:t>Приобретать первичные знания и навыки композиционного расположения изображения на листе.</w:t>
      </w:r>
    </w:p>
    <w:p w14:paraId="5837C69E">
      <w:pPr>
        <w:spacing w:after="0" w:line="360" w:lineRule="auto"/>
        <w:ind w:firstLine="709"/>
        <w:jc w:val="both"/>
        <w:rPr>
          <w:rFonts w:ascii="Times New Roman" w:hAnsi="Times New Roman"/>
        </w:rPr>
      </w:pPr>
      <w:r>
        <w:rPr>
          <w:rFonts w:ascii="Times New Roman" w:hAnsi="Times New Roman"/>
        </w:rPr>
        <w:t>Выбирать вертикальный или горизонтальный формат листа для выполнения соответствующих задач рисунка.</w:t>
      </w:r>
    </w:p>
    <w:p w14:paraId="15F9BD01">
      <w:pPr>
        <w:spacing w:after="0" w:line="360" w:lineRule="auto"/>
        <w:ind w:firstLine="709"/>
        <w:jc w:val="both"/>
        <w:rPr>
          <w:rFonts w:ascii="Times New Roman" w:hAnsi="Times New Roman"/>
        </w:rPr>
      </w:pPr>
      <w:r>
        <w:rPr>
          <w:rFonts w:ascii="Times New Roman" w:hAnsi="Times New Roman"/>
        </w:rPr>
        <w:t>Воспринимать учебную задачу, поставленную учителем, и решать её в своей практической художественной деятельности.</w:t>
      </w:r>
    </w:p>
    <w:p w14:paraId="6FA78EB6">
      <w:pPr>
        <w:spacing w:after="0" w:line="360" w:lineRule="auto"/>
        <w:ind w:firstLine="709"/>
        <w:jc w:val="both"/>
        <w:rPr>
          <w:rFonts w:ascii="Times New Roman" w:hAnsi="Times New Roman"/>
        </w:rPr>
      </w:pPr>
      <w:r>
        <w:rPr>
          <w:rFonts w:ascii="Times New Roman" w:hAnsi="Times New Roman"/>
        </w:rPr>
        <w:t>Обсуждать результаты своей практической работы и работы товарищей с позиций соответствия их поставленной учебной задаче, с позиций выраженного в рисунке содержания и графических средств его выражения (в рамках программного материала).</w:t>
      </w:r>
    </w:p>
    <w:p w14:paraId="129ADDBD">
      <w:pPr>
        <w:spacing w:after="0" w:line="360" w:lineRule="auto"/>
        <w:ind w:firstLine="709"/>
        <w:jc w:val="both"/>
        <w:rPr>
          <w:rFonts w:ascii="Times New Roman" w:hAnsi="Times New Roman"/>
        </w:rPr>
      </w:pPr>
      <w:r>
        <w:rPr>
          <w:rFonts w:ascii="Times New Roman" w:hAnsi="Times New Roman"/>
        </w:rPr>
        <w:t>13.10.3.2. Модуль «Живопись».</w:t>
      </w:r>
    </w:p>
    <w:p w14:paraId="07FDB255">
      <w:pPr>
        <w:spacing w:after="0" w:line="360" w:lineRule="auto"/>
        <w:ind w:firstLine="709"/>
        <w:jc w:val="both"/>
        <w:rPr>
          <w:rFonts w:ascii="Times New Roman" w:hAnsi="Times New Roman"/>
        </w:rPr>
      </w:pPr>
      <w:r>
        <w:rPr>
          <w:rFonts w:ascii="Times New Roman" w:hAnsi="Times New Roman"/>
        </w:rPr>
        <w:t>Осваивать навыки работы красками «гуашь» в условиях урока.</w:t>
      </w:r>
    </w:p>
    <w:p w14:paraId="5D95E3E1">
      <w:pPr>
        <w:spacing w:after="0" w:line="360" w:lineRule="auto"/>
        <w:ind w:firstLine="709"/>
        <w:jc w:val="both"/>
        <w:rPr>
          <w:rFonts w:ascii="Times New Roman" w:hAnsi="Times New Roman"/>
        </w:rPr>
      </w:pPr>
      <w:r>
        <w:rPr>
          <w:rFonts w:ascii="Times New Roman" w:hAnsi="Times New Roman"/>
        </w:rPr>
        <w:t>Иметь представление о трех основных цветах; обсуждать и называть ассоциативные представления, которые рождает каждый цвет.</w:t>
      </w:r>
    </w:p>
    <w:p w14:paraId="5EC5AF80">
      <w:pPr>
        <w:spacing w:after="0" w:line="360" w:lineRule="auto"/>
        <w:ind w:firstLine="709"/>
        <w:jc w:val="both"/>
        <w:rPr>
          <w:rFonts w:ascii="Times New Roman" w:hAnsi="Times New Roman"/>
        </w:rPr>
      </w:pPr>
      <w:r>
        <w:rPr>
          <w:rFonts w:ascii="Times New Roman" w:hAnsi="Times New Roman"/>
        </w:rPr>
        <w:t>Осознавать эмоциональное звучание цвета и формулировать своё мнение с использованием опыта жизненных ассоциаций.</w:t>
      </w:r>
    </w:p>
    <w:p w14:paraId="56FD9E7E">
      <w:pPr>
        <w:spacing w:after="0" w:line="360" w:lineRule="auto"/>
        <w:ind w:firstLine="709"/>
        <w:jc w:val="both"/>
        <w:rPr>
          <w:rFonts w:ascii="Times New Roman" w:hAnsi="Times New Roman"/>
        </w:rPr>
      </w:pPr>
      <w:r>
        <w:rPr>
          <w:rFonts w:ascii="Times New Roman" w:hAnsi="Times New Roman"/>
        </w:rPr>
        <w:t>Приобретать опыт экспериментирования, исследования результатов смешения красок и получения нового цвета.</w:t>
      </w:r>
    </w:p>
    <w:p w14:paraId="327EEB25">
      <w:pPr>
        <w:spacing w:after="0" w:line="360" w:lineRule="auto"/>
        <w:ind w:firstLine="709"/>
        <w:jc w:val="both"/>
        <w:rPr>
          <w:rFonts w:ascii="Times New Roman" w:hAnsi="Times New Roman"/>
        </w:rPr>
      </w:pPr>
      <w:r>
        <w:rPr>
          <w:rFonts w:ascii="Times New Roman" w:hAnsi="Times New Roman"/>
        </w:rPr>
        <w:t>Вести творческую работу на заданную тему с использованием зрительных впечатлений, организованную педагогом.</w:t>
      </w:r>
    </w:p>
    <w:p w14:paraId="305EB979">
      <w:pPr>
        <w:spacing w:after="0" w:line="360" w:lineRule="auto"/>
        <w:ind w:firstLine="709"/>
        <w:jc w:val="both"/>
        <w:rPr>
          <w:rFonts w:ascii="Times New Roman" w:hAnsi="Times New Roman"/>
        </w:rPr>
      </w:pPr>
      <w:r>
        <w:rPr>
          <w:rFonts w:ascii="Times New Roman" w:hAnsi="Times New Roman"/>
        </w:rPr>
        <w:t>13.10.3.3. Модуль «Скульптура».</w:t>
      </w:r>
    </w:p>
    <w:p w14:paraId="7C076857">
      <w:pPr>
        <w:spacing w:after="0" w:line="360" w:lineRule="auto"/>
        <w:ind w:firstLine="709"/>
        <w:jc w:val="both"/>
        <w:rPr>
          <w:rFonts w:ascii="Times New Roman" w:hAnsi="Times New Roman"/>
        </w:rPr>
      </w:pPr>
      <w:r>
        <w:rPr>
          <w:rFonts w:ascii="Times New Roman" w:hAnsi="Times New Roman"/>
        </w:rPr>
        <w:t>Приобретать опыт аналитического наблюдения, поиска выразительных образных объёмных форм в природе (например, облака, камни, коряги, формы плодов).</w:t>
      </w:r>
    </w:p>
    <w:p w14:paraId="203031AC">
      <w:pPr>
        <w:spacing w:after="0" w:line="360" w:lineRule="auto"/>
        <w:ind w:firstLine="709"/>
        <w:jc w:val="both"/>
        <w:rPr>
          <w:rFonts w:ascii="Times New Roman" w:hAnsi="Times New Roman"/>
        </w:rPr>
      </w:pPr>
      <w:r>
        <w:rPr>
          <w:rFonts w:ascii="Times New Roman" w:hAnsi="Times New Roman"/>
        </w:rPr>
        <w:t>Осваивать первичные приёмы лепки из пластилина, приобретать представления о целостной форме в объёмном изображении.</w:t>
      </w:r>
    </w:p>
    <w:p w14:paraId="141C3F08">
      <w:pPr>
        <w:spacing w:after="0" w:line="360" w:lineRule="auto"/>
        <w:ind w:firstLine="709"/>
        <w:jc w:val="both"/>
        <w:rPr>
          <w:rFonts w:ascii="Times New Roman" w:hAnsi="Times New Roman"/>
        </w:rPr>
      </w:pPr>
      <w:r>
        <w:rPr>
          <w:rFonts w:ascii="Times New Roman" w:hAnsi="Times New Roman"/>
        </w:rPr>
        <w:t>Овладевать первичными навыками бумагопластики – создания объёмных форм из бумаги путём её складывания, надрезания, закручивания.</w:t>
      </w:r>
    </w:p>
    <w:p w14:paraId="264F09AC">
      <w:pPr>
        <w:spacing w:after="0" w:line="360" w:lineRule="auto"/>
        <w:ind w:firstLine="709"/>
        <w:jc w:val="both"/>
        <w:rPr>
          <w:rFonts w:ascii="Times New Roman" w:hAnsi="Times New Roman"/>
        </w:rPr>
      </w:pPr>
      <w:r>
        <w:rPr>
          <w:rFonts w:ascii="Times New Roman" w:hAnsi="Times New Roman"/>
        </w:rPr>
        <w:t>13.10.3.4. Модуль «Декоративно-прикладное искусство».</w:t>
      </w:r>
    </w:p>
    <w:p w14:paraId="68EBA9E9">
      <w:pPr>
        <w:spacing w:after="0" w:line="360" w:lineRule="auto"/>
        <w:ind w:firstLine="709"/>
        <w:jc w:val="both"/>
        <w:rPr>
          <w:rFonts w:ascii="Times New Roman" w:hAnsi="Times New Roman"/>
        </w:rPr>
      </w:pPr>
      <w:r>
        <w:rPr>
          <w:rFonts w:ascii="Times New Roman" w:hAnsi="Times New Roman"/>
        </w:rPr>
        <w:t>Рассматривать и эстетически характеризовать различные примеры узоров в природе (в условиях урока на основе фотографий); приводить примеры, сопоставлять и искать ассоциации с орнаментами в произведениях декоративно-прикладного искусства.</w:t>
      </w:r>
    </w:p>
    <w:p w14:paraId="40D38DEA">
      <w:pPr>
        <w:spacing w:after="0" w:line="360" w:lineRule="auto"/>
        <w:ind w:firstLine="709"/>
        <w:jc w:val="both"/>
        <w:rPr>
          <w:rFonts w:ascii="Times New Roman" w:hAnsi="Times New Roman"/>
        </w:rPr>
      </w:pPr>
      <w:r>
        <w:rPr>
          <w:rFonts w:ascii="Times New Roman" w:hAnsi="Times New Roman"/>
        </w:rPr>
        <w:t>Различать виды орнаментов по изобразительным мотивам: растительные, геометрические, анималистические.</w:t>
      </w:r>
    </w:p>
    <w:p w14:paraId="7943F94E">
      <w:pPr>
        <w:spacing w:after="0" w:line="360" w:lineRule="auto"/>
        <w:ind w:firstLine="709"/>
        <w:jc w:val="both"/>
        <w:rPr>
          <w:rFonts w:ascii="Times New Roman" w:hAnsi="Times New Roman"/>
        </w:rPr>
      </w:pPr>
      <w:r>
        <w:rPr>
          <w:rFonts w:ascii="Times New Roman" w:hAnsi="Times New Roman"/>
        </w:rPr>
        <w:t>Учиться использовать правила симметрии в своей художественной деятельности.</w:t>
      </w:r>
    </w:p>
    <w:p w14:paraId="27939703">
      <w:pPr>
        <w:spacing w:after="0" w:line="360" w:lineRule="auto"/>
        <w:ind w:firstLine="709"/>
        <w:jc w:val="both"/>
        <w:rPr>
          <w:rFonts w:ascii="Times New Roman" w:hAnsi="Times New Roman"/>
        </w:rPr>
      </w:pPr>
      <w:r>
        <w:rPr>
          <w:rFonts w:ascii="Times New Roman" w:hAnsi="Times New Roman"/>
        </w:rPr>
        <w:t>Приобретать опыт создания орнаментальной декоративной композиции (стилизованной: декоративный цветок или птица).</w:t>
      </w:r>
    </w:p>
    <w:p w14:paraId="7FA06797">
      <w:pPr>
        <w:spacing w:after="0" w:line="360" w:lineRule="auto"/>
        <w:ind w:firstLine="709"/>
        <w:jc w:val="both"/>
        <w:rPr>
          <w:rFonts w:ascii="Times New Roman" w:hAnsi="Times New Roman"/>
        </w:rPr>
      </w:pPr>
      <w:r>
        <w:rPr>
          <w:rFonts w:ascii="Times New Roman" w:hAnsi="Times New Roman"/>
        </w:rPr>
        <w:t>Приобретать знания о значении и назначении украшений в жизни людей.</w:t>
      </w:r>
    </w:p>
    <w:p w14:paraId="3F05416A">
      <w:pPr>
        <w:spacing w:after="0" w:line="360" w:lineRule="auto"/>
        <w:ind w:firstLine="709"/>
        <w:jc w:val="both"/>
        <w:rPr>
          <w:rFonts w:ascii="Times New Roman" w:hAnsi="Times New Roman"/>
        </w:rPr>
      </w:pPr>
      <w:r>
        <w:rPr>
          <w:rFonts w:ascii="Times New Roman" w:hAnsi="Times New Roman"/>
        </w:rPr>
        <w:t>Приобретать представления о глиняных игрушках отечественных народных художественных промыслов (дымковская, каргопольская игрушки или по выбору учителя с учётом местных промыслов) и опыт практической художественной деятельности по мотивам игрушки выбранного промысла.</w:t>
      </w:r>
    </w:p>
    <w:p w14:paraId="5A238B9F">
      <w:pPr>
        <w:spacing w:after="0" w:line="360" w:lineRule="auto"/>
        <w:ind w:firstLine="709"/>
        <w:jc w:val="both"/>
        <w:rPr>
          <w:rFonts w:ascii="Times New Roman" w:hAnsi="Times New Roman"/>
        </w:rPr>
      </w:pPr>
      <w:r>
        <w:rPr>
          <w:rFonts w:ascii="Times New Roman" w:hAnsi="Times New Roman"/>
        </w:rPr>
        <w:t>Иметь опыт и соответствующие возрасту навыки подготовки и оформления общего праздника.</w:t>
      </w:r>
    </w:p>
    <w:p w14:paraId="7F64F479">
      <w:pPr>
        <w:spacing w:after="0" w:line="360" w:lineRule="auto"/>
        <w:ind w:firstLine="709"/>
        <w:jc w:val="both"/>
        <w:rPr>
          <w:rFonts w:ascii="Times New Roman" w:hAnsi="Times New Roman"/>
        </w:rPr>
      </w:pPr>
      <w:r>
        <w:rPr>
          <w:rFonts w:ascii="Times New Roman" w:hAnsi="Times New Roman"/>
        </w:rPr>
        <w:t>13.10.3.5. Модуль «Архитектура».</w:t>
      </w:r>
    </w:p>
    <w:p w14:paraId="78D0C944">
      <w:pPr>
        <w:spacing w:after="0" w:line="360" w:lineRule="auto"/>
        <w:ind w:firstLine="709"/>
        <w:jc w:val="both"/>
        <w:rPr>
          <w:rFonts w:ascii="Times New Roman" w:hAnsi="Times New Roman"/>
        </w:rPr>
      </w:pPr>
      <w:r>
        <w:rPr>
          <w:rFonts w:ascii="Times New Roman" w:hAnsi="Times New Roman"/>
        </w:rPr>
        <w:t>Рассматривать различные произведения архитектуры в окружающем мире (по фотографиям в условиях урока); анализировать и характеризовать особенности и составные части рассматриваемых зданий.</w:t>
      </w:r>
    </w:p>
    <w:p w14:paraId="62EC46C5">
      <w:pPr>
        <w:spacing w:after="0" w:line="360" w:lineRule="auto"/>
        <w:ind w:firstLine="709"/>
        <w:jc w:val="both"/>
        <w:rPr>
          <w:rFonts w:ascii="Times New Roman" w:hAnsi="Times New Roman"/>
        </w:rPr>
      </w:pPr>
      <w:r>
        <w:rPr>
          <w:rFonts w:ascii="Times New Roman" w:hAnsi="Times New Roman"/>
        </w:rPr>
        <w:t>Осваивать приёмы конструирования из бумаги, складывания объёмных простых геометрических тел.</w:t>
      </w:r>
    </w:p>
    <w:p w14:paraId="5AE6A839">
      <w:pPr>
        <w:spacing w:after="0" w:line="360" w:lineRule="auto"/>
        <w:ind w:firstLine="709"/>
        <w:jc w:val="both"/>
        <w:rPr>
          <w:rFonts w:ascii="Times New Roman" w:hAnsi="Times New Roman"/>
        </w:rPr>
      </w:pPr>
      <w:r>
        <w:rPr>
          <w:rFonts w:ascii="Times New Roman" w:hAnsi="Times New Roman"/>
        </w:rPr>
        <w:t>Приобретать опыт пространственного макетирования (сказочный город) в форме коллективной игровой деятельности.</w:t>
      </w:r>
    </w:p>
    <w:p w14:paraId="6243DE53">
      <w:pPr>
        <w:spacing w:after="0" w:line="360" w:lineRule="auto"/>
        <w:ind w:firstLine="709"/>
        <w:jc w:val="both"/>
        <w:rPr>
          <w:rFonts w:ascii="Times New Roman" w:hAnsi="Times New Roman"/>
        </w:rPr>
      </w:pPr>
      <w:r>
        <w:rPr>
          <w:rFonts w:ascii="Times New Roman" w:hAnsi="Times New Roman"/>
        </w:rPr>
        <w:t>Приобретать представления о конструктивной основе любого предмета и первичные навыки анализа его строения.</w:t>
      </w:r>
    </w:p>
    <w:p w14:paraId="59CC61D4">
      <w:pPr>
        <w:spacing w:after="0" w:line="360" w:lineRule="auto"/>
        <w:ind w:firstLine="709"/>
        <w:jc w:val="both"/>
        <w:rPr>
          <w:rFonts w:ascii="Times New Roman" w:hAnsi="Times New Roman"/>
        </w:rPr>
      </w:pPr>
      <w:r>
        <w:rPr>
          <w:rFonts w:ascii="Times New Roman" w:hAnsi="Times New Roman"/>
        </w:rPr>
        <w:t>13.10.3.6. Модуль «Восприятие произведений искусства».</w:t>
      </w:r>
    </w:p>
    <w:p w14:paraId="4B1B3B7D">
      <w:pPr>
        <w:spacing w:after="0" w:line="360" w:lineRule="auto"/>
        <w:ind w:firstLine="709"/>
        <w:jc w:val="both"/>
        <w:rPr>
          <w:rFonts w:ascii="Times New Roman" w:hAnsi="Times New Roman"/>
        </w:rPr>
      </w:pPr>
      <w:r>
        <w:rPr>
          <w:rFonts w:ascii="Times New Roman" w:hAnsi="Times New Roman"/>
        </w:rPr>
        <w:t>Приобретать умения рассматривать, анализировать детские рисунки с позиций их содержания и сюжета, настроения, композиции (расположения на листе), цвета, а также соответствия учебной задаче, поставленной учителем.</w:t>
      </w:r>
    </w:p>
    <w:p w14:paraId="2AEF3F38">
      <w:pPr>
        <w:spacing w:after="0" w:line="360" w:lineRule="auto"/>
        <w:ind w:firstLine="709"/>
        <w:jc w:val="both"/>
        <w:rPr>
          <w:rFonts w:ascii="Times New Roman" w:hAnsi="Times New Roman"/>
        </w:rPr>
      </w:pPr>
      <w:r>
        <w:rPr>
          <w:rFonts w:ascii="Times New Roman" w:hAnsi="Times New Roman"/>
        </w:rPr>
        <w:t>Приобретать опыт эстетического наблюдения природы на основе эмоциональных впечатлений с учётом учебных задач и визуальной установки учителя.</w:t>
      </w:r>
    </w:p>
    <w:p w14:paraId="34FA304D">
      <w:pPr>
        <w:spacing w:after="0" w:line="360" w:lineRule="auto"/>
        <w:ind w:firstLine="709"/>
        <w:jc w:val="both"/>
        <w:rPr>
          <w:rFonts w:ascii="Times New Roman" w:hAnsi="Times New Roman"/>
        </w:rPr>
      </w:pPr>
      <w:r>
        <w:rPr>
          <w:rFonts w:ascii="Times New Roman" w:hAnsi="Times New Roman"/>
        </w:rPr>
        <w:t>Приобретать опыт художественного наблюдения предметной среды жизни человека в зависимости от поставленной аналитической и эстетической задачи (установки).</w:t>
      </w:r>
    </w:p>
    <w:p w14:paraId="4406434C">
      <w:pPr>
        <w:spacing w:after="0" w:line="360" w:lineRule="auto"/>
        <w:ind w:firstLine="709"/>
        <w:jc w:val="both"/>
        <w:rPr>
          <w:rFonts w:ascii="Times New Roman" w:hAnsi="Times New Roman"/>
        </w:rPr>
      </w:pPr>
      <w:r>
        <w:rPr>
          <w:rFonts w:ascii="Times New Roman" w:hAnsi="Times New Roman"/>
        </w:rPr>
        <w:t>Осваивать опыт эстетического восприятия и аналитического наблюдения архитектурных построек.</w:t>
      </w:r>
    </w:p>
    <w:p w14:paraId="106EED8F">
      <w:pPr>
        <w:spacing w:after="0" w:line="360" w:lineRule="auto"/>
        <w:ind w:firstLine="709"/>
        <w:jc w:val="both"/>
        <w:rPr>
          <w:rFonts w:ascii="Times New Roman" w:hAnsi="Times New Roman"/>
        </w:rPr>
      </w:pPr>
      <w:r>
        <w:rPr>
          <w:rFonts w:ascii="Times New Roman" w:hAnsi="Times New Roman"/>
        </w:rPr>
        <w:t>Осваивать опыт эстетического, эмоционального общения со станковой картиной, понимать значения зрительских умений и специальных знаний; приобретать опыт восприятия картин со сказочным сюжетом (В.М. Васнецова и других художников по выбору учителя), а также произведений с ярко выраженным эмоциональным настроением (например, натюрморты В. Ван Гога или А. Матисса).</w:t>
      </w:r>
    </w:p>
    <w:p w14:paraId="787D515F">
      <w:pPr>
        <w:spacing w:after="0" w:line="360" w:lineRule="auto"/>
        <w:ind w:firstLine="709"/>
        <w:jc w:val="both"/>
        <w:rPr>
          <w:rFonts w:ascii="Times New Roman" w:hAnsi="Times New Roman"/>
        </w:rPr>
      </w:pPr>
      <w:r>
        <w:rPr>
          <w:rFonts w:ascii="Times New Roman" w:hAnsi="Times New Roman"/>
        </w:rPr>
        <w:t>Осваивать новый опыт восприятия художественных иллюстраций в детских книгах и отношения к ним в соответствии с учебной установкой.</w:t>
      </w:r>
    </w:p>
    <w:p w14:paraId="7A768CB2">
      <w:pPr>
        <w:spacing w:after="0" w:line="360" w:lineRule="auto"/>
        <w:ind w:firstLine="709"/>
        <w:jc w:val="both"/>
        <w:rPr>
          <w:rFonts w:ascii="Times New Roman" w:hAnsi="Times New Roman"/>
        </w:rPr>
      </w:pPr>
      <w:r>
        <w:rPr>
          <w:rFonts w:ascii="Times New Roman" w:hAnsi="Times New Roman"/>
        </w:rPr>
        <w:t>13.10.3.7. Модуль «Азбука цифровой графики».</w:t>
      </w:r>
    </w:p>
    <w:p w14:paraId="4674AD8D">
      <w:pPr>
        <w:spacing w:after="0" w:line="360" w:lineRule="auto"/>
        <w:ind w:firstLine="709"/>
        <w:jc w:val="both"/>
        <w:rPr>
          <w:rFonts w:ascii="Times New Roman" w:hAnsi="Times New Roman"/>
        </w:rPr>
      </w:pPr>
      <w:r>
        <w:rPr>
          <w:rFonts w:ascii="Times New Roman" w:hAnsi="Times New Roman"/>
        </w:rPr>
        <w:t>Приобретать опыт создания фотографий с целью эстетического и целенаправленного наблюдения природы.</w:t>
      </w:r>
    </w:p>
    <w:p w14:paraId="6058B1CF">
      <w:pPr>
        <w:spacing w:after="0" w:line="360" w:lineRule="auto"/>
        <w:ind w:firstLine="709"/>
        <w:jc w:val="both"/>
        <w:rPr>
          <w:rFonts w:ascii="Times New Roman" w:hAnsi="Times New Roman"/>
        </w:rPr>
      </w:pPr>
      <w:r>
        <w:rPr>
          <w:rFonts w:ascii="Times New Roman" w:hAnsi="Times New Roman"/>
        </w:rPr>
        <w:t>Приобретать опыт обсуждения фотографий с точки зрения того, с какой целью сделан снимок, насколько значимо его содержание и какова композиция в кадре.</w:t>
      </w:r>
      <w:bookmarkStart w:id="238" w:name="_TOC_250003"/>
    </w:p>
    <w:bookmarkEnd w:id="238"/>
    <w:p w14:paraId="08B921A6">
      <w:pPr>
        <w:spacing w:after="0" w:line="360" w:lineRule="auto"/>
        <w:ind w:firstLine="709"/>
        <w:jc w:val="both"/>
        <w:rPr>
          <w:rFonts w:ascii="Times New Roman" w:hAnsi="Times New Roman"/>
        </w:rPr>
      </w:pPr>
      <w:r>
        <w:rPr>
          <w:rFonts w:ascii="Times New Roman" w:hAnsi="Times New Roman"/>
        </w:rPr>
        <w:t>13.10.4. К концу обучения во 2 классе обучающийся получит следующие предметные результаты по отдельным темам программы по изобразительному искусству:</w:t>
      </w:r>
    </w:p>
    <w:p w14:paraId="41B53075">
      <w:pPr>
        <w:spacing w:after="0" w:line="360" w:lineRule="auto"/>
        <w:ind w:firstLine="709"/>
        <w:jc w:val="both"/>
        <w:rPr>
          <w:rFonts w:ascii="Times New Roman" w:hAnsi="Times New Roman"/>
        </w:rPr>
      </w:pPr>
      <w:r>
        <w:rPr>
          <w:rFonts w:ascii="Times New Roman" w:hAnsi="Times New Roman"/>
        </w:rPr>
        <w:t>13.10.4.1. Модуль «Графика».</w:t>
      </w:r>
    </w:p>
    <w:p w14:paraId="7B4C999B">
      <w:pPr>
        <w:spacing w:after="0" w:line="360" w:lineRule="auto"/>
        <w:ind w:firstLine="709"/>
        <w:jc w:val="both"/>
        <w:rPr>
          <w:rFonts w:ascii="Times New Roman" w:hAnsi="Times New Roman"/>
        </w:rPr>
      </w:pPr>
      <w:r>
        <w:rPr>
          <w:rFonts w:ascii="Times New Roman" w:hAnsi="Times New Roman"/>
        </w:rPr>
        <w:t>Осваивать особенности и приёмы работы новыми графическими художественными материалами; осваивать выразительные свойства твёрдых, сухих, мягких и жидких графических материалов.</w:t>
      </w:r>
    </w:p>
    <w:p w14:paraId="61F7E8E6">
      <w:pPr>
        <w:spacing w:after="0" w:line="360" w:lineRule="auto"/>
        <w:ind w:firstLine="709"/>
        <w:jc w:val="both"/>
        <w:rPr>
          <w:rFonts w:ascii="Times New Roman" w:hAnsi="Times New Roman"/>
        </w:rPr>
      </w:pPr>
      <w:r>
        <w:rPr>
          <w:rFonts w:ascii="Times New Roman" w:hAnsi="Times New Roman"/>
        </w:rPr>
        <w:t>Приобретать навыки изображения на основе разной по характеру и способу наложения линии.</w:t>
      </w:r>
    </w:p>
    <w:p w14:paraId="616E02BF">
      <w:pPr>
        <w:spacing w:after="0" w:line="360" w:lineRule="auto"/>
        <w:ind w:firstLine="709"/>
        <w:jc w:val="both"/>
        <w:rPr>
          <w:rFonts w:ascii="Times New Roman" w:hAnsi="Times New Roman"/>
        </w:rPr>
      </w:pPr>
      <w:r>
        <w:rPr>
          <w:rFonts w:ascii="Times New Roman" w:hAnsi="Times New Roman"/>
        </w:rPr>
        <w:t>Овладевать понятием «ритм» и навыками ритмической организации изображения как необходимой композиционной основы выражения содержания.</w:t>
      </w:r>
    </w:p>
    <w:p w14:paraId="737B0511">
      <w:pPr>
        <w:spacing w:after="0" w:line="360" w:lineRule="auto"/>
        <w:ind w:firstLine="709"/>
        <w:jc w:val="both"/>
        <w:rPr>
          <w:rFonts w:ascii="Times New Roman" w:hAnsi="Times New Roman"/>
        </w:rPr>
      </w:pPr>
      <w:r>
        <w:rPr>
          <w:rFonts w:ascii="Times New Roman" w:hAnsi="Times New Roman"/>
        </w:rPr>
        <w:t>Осваивать навык визуального сравнения пространственных величин, приобретать умения соотносить пропорции в рисунках птиц и животных (с использованием зрительских впечатлений и анализа).</w:t>
      </w:r>
    </w:p>
    <w:p w14:paraId="33111ED4">
      <w:pPr>
        <w:spacing w:after="0" w:line="360" w:lineRule="auto"/>
        <w:ind w:firstLine="709"/>
        <w:jc w:val="both"/>
        <w:rPr>
          <w:rFonts w:ascii="Times New Roman" w:hAnsi="Times New Roman"/>
        </w:rPr>
      </w:pPr>
      <w:r>
        <w:rPr>
          <w:rFonts w:ascii="Times New Roman" w:hAnsi="Times New Roman"/>
        </w:rPr>
        <w:t>Приобретать умение вести рисунок с натуры, видеть пропорции объекта, расположение его в пространстве; располагать изображение на листе, соблюдая этапы ведения рисунка, осваивая навык штриховки.</w:t>
      </w:r>
    </w:p>
    <w:p w14:paraId="1871C572">
      <w:pPr>
        <w:spacing w:after="0" w:line="360" w:lineRule="auto"/>
        <w:ind w:firstLine="709"/>
        <w:jc w:val="both"/>
        <w:rPr>
          <w:rFonts w:ascii="Times New Roman" w:hAnsi="Times New Roman"/>
        </w:rPr>
      </w:pPr>
      <w:r>
        <w:rPr>
          <w:rFonts w:ascii="Times New Roman" w:hAnsi="Times New Roman"/>
        </w:rPr>
        <w:t>13.10.4.2. Модуль «Живопись».</w:t>
      </w:r>
    </w:p>
    <w:p w14:paraId="14A9F99A">
      <w:pPr>
        <w:spacing w:after="0" w:line="360" w:lineRule="auto"/>
        <w:ind w:firstLine="709"/>
        <w:jc w:val="both"/>
        <w:rPr>
          <w:rFonts w:ascii="Times New Roman" w:hAnsi="Times New Roman"/>
        </w:rPr>
      </w:pPr>
      <w:r>
        <w:rPr>
          <w:rFonts w:ascii="Times New Roman" w:hAnsi="Times New Roman"/>
        </w:rPr>
        <w:t>Осваивать навыки работы цветом, навыки смешения красок, пастозное плотное и прозрачное нанесение краски; осваивать разный характер мазков и движений кистью, навыки создания выразительной фактуры и кроющие качества гуаши.</w:t>
      </w:r>
    </w:p>
    <w:p w14:paraId="71F78F36">
      <w:pPr>
        <w:spacing w:after="0" w:line="360" w:lineRule="auto"/>
        <w:ind w:firstLine="709"/>
        <w:jc w:val="both"/>
        <w:rPr>
          <w:rFonts w:ascii="Times New Roman" w:hAnsi="Times New Roman"/>
        </w:rPr>
      </w:pPr>
      <w:r>
        <w:rPr>
          <w:rFonts w:ascii="Times New Roman" w:hAnsi="Times New Roman"/>
        </w:rPr>
        <w:t>Приобретать опыт работы акварельной краской и понимать особенности работы прозрачной краской.</w:t>
      </w:r>
    </w:p>
    <w:p w14:paraId="228E29CC">
      <w:pPr>
        <w:spacing w:after="0" w:line="360" w:lineRule="auto"/>
        <w:ind w:firstLine="709"/>
        <w:jc w:val="both"/>
        <w:rPr>
          <w:rFonts w:ascii="Times New Roman" w:hAnsi="Times New Roman"/>
        </w:rPr>
      </w:pPr>
      <w:r>
        <w:rPr>
          <w:rFonts w:ascii="Times New Roman" w:hAnsi="Times New Roman"/>
        </w:rPr>
        <w:t>Знать названия основных и составных цветов и способы получения разных оттенков составного цвета.</w:t>
      </w:r>
    </w:p>
    <w:p w14:paraId="18D2F9E2">
      <w:pPr>
        <w:spacing w:after="0" w:line="360" w:lineRule="auto"/>
        <w:ind w:firstLine="709"/>
        <w:jc w:val="both"/>
        <w:rPr>
          <w:rFonts w:ascii="Times New Roman" w:hAnsi="Times New Roman"/>
        </w:rPr>
      </w:pPr>
      <w:r>
        <w:rPr>
          <w:rFonts w:ascii="Times New Roman" w:hAnsi="Times New Roman"/>
        </w:rPr>
        <w:t>Различать и сравнивать тёмные и светлые оттенки цвета; осваивать смешение цветных красок с белой и чёрной (для изменения их тона).</w:t>
      </w:r>
    </w:p>
    <w:p w14:paraId="095BF2BC">
      <w:pPr>
        <w:spacing w:after="0" w:line="360" w:lineRule="auto"/>
        <w:ind w:firstLine="709"/>
        <w:jc w:val="both"/>
        <w:rPr>
          <w:rFonts w:ascii="Times New Roman" w:hAnsi="Times New Roman"/>
        </w:rPr>
      </w:pPr>
      <w:r>
        <w:rPr>
          <w:rFonts w:ascii="Times New Roman" w:hAnsi="Times New Roman" w:eastAsia="Times New Roman"/>
        </w:rPr>
        <w:t>Иметь представление о</w:t>
      </w:r>
      <w:r>
        <w:rPr>
          <w:rFonts w:ascii="Times New Roman" w:hAnsi="Times New Roman"/>
        </w:rPr>
        <w:t xml:space="preserve"> делении цветов на тёплые и холодные; различать и сравнивать тёплые и холодные оттенки цвета.</w:t>
      </w:r>
    </w:p>
    <w:p w14:paraId="67B70B42">
      <w:pPr>
        <w:spacing w:after="0" w:line="360" w:lineRule="auto"/>
        <w:ind w:firstLine="709"/>
        <w:jc w:val="both"/>
        <w:rPr>
          <w:rFonts w:ascii="Times New Roman" w:hAnsi="Times New Roman"/>
        </w:rPr>
      </w:pPr>
      <w:r>
        <w:rPr>
          <w:rFonts w:ascii="Times New Roman" w:hAnsi="Times New Roman"/>
        </w:rPr>
        <w:t>Осваивать эмоциональную выразительность цвета: цвет звонкий и яркий, радостный; цвет мягкий, «глухой» и мрачный и другие</w:t>
      </w:r>
    </w:p>
    <w:p w14:paraId="64B4C8AC">
      <w:pPr>
        <w:spacing w:after="0" w:line="360" w:lineRule="auto"/>
        <w:ind w:firstLine="709"/>
        <w:jc w:val="both"/>
        <w:rPr>
          <w:rFonts w:ascii="Times New Roman" w:hAnsi="Times New Roman"/>
        </w:rPr>
      </w:pPr>
      <w:r>
        <w:rPr>
          <w:rFonts w:ascii="Times New Roman" w:hAnsi="Times New Roman"/>
        </w:rPr>
        <w:t>Приобретать опыт создания пейзажей, передающих разные состояния погоды (например, туман, грозу) на основе изменения тонального звучания цвета, приобретать опыт передачи разного цветового состояния моря.</w:t>
      </w:r>
    </w:p>
    <w:p w14:paraId="636D44E9">
      <w:pPr>
        <w:spacing w:after="0" w:line="360" w:lineRule="auto"/>
        <w:ind w:firstLine="709"/>
        <w:jc w:val="both"/>
        <w:rPr>
          <w:rFonts w:ascii="Times New Roman" w:hAnsi="Times New Roman"/>
        </w:rPr>
      </w:pPr>
      <w:r>
        <w:rPr>
          <w:rFonts w:ascii="Times New Roman" w:hAnsi="Times New Roman"/>
        </w:rPr>
        <w:t>Уметь выразить в изображении сказочных персонажей их характер (герои сказок добрые и злые, нежные и грозные); обсуждать, объяснять, какими художественными средствами удалось показать характер сказочных персонажей.</w:t>
      </w:r>
    </w:p>
    <w:p w14:paraId="226E1A9D">
      <w:pPr>
        <w:spacing w:after="0" w:line="360" w:lineRule="auto"/>
        <w:ind w:firstLine="709"/>
        <w:jc w:val="both"/>
        <w:rPr>
          <w:rFonts w:ascii="Times New Roman" w:hAnsi="Times New Roman"/>
        </w:rPr>
      </w:pPr>
      <w:r>
        <w:rPr>
          <w:rFonts w:ascii="Times New Roman" w:hAnsi="Times New Roman"/>
        </w:rPr>
        <w:t>13.10.4.3. Модуль «Скульптура».</w:t>
      </w:r>
    </w:p>
    <w:p w14:paraId="09D7D5DB">
      <w:pPr>
        <w:spacing w:after="0" w:line="360" w:lineRule="auto"/>
        <w:ind w:firstLine="709"/>
        <w:jc w:val="both"/>
        <w:rPr>
          <w:rFonts w:ascii="Times New Roman" w:hAnsi="Times New Roman"/>
        </w:rPr>
      </w:pPr>
      <w:r>
        <w:rPr>
          <w:rFonts w:ascii="Times New Roman" w:hAnsi="Times New Roman"/>
        </w:rPr>
        <w:t>Познакомиться с традиционными игрушками одного из народных художественных промыслов; освоить приёмы и последовательность лепки игрушки в традициях выбранного промысла; выполнить в технике лепки фигурку сказочного зверя по мотивам традиций выбранного промысла (по выбору: филимоновская, абашевская, каргопольская, дымковская игрушки или с учётом местных промыслов).</w:t>
      </w:r>
    </w:p>
    <w:p w14:paraId="198EE291">
      <w:pPr>
        <w:spacing w:after="0" w:line="360" w:lineRule="auto"/>
        <w:ind w:firstLine="709"/>
        <w:jc w:val="both"/>
        <w:rPr>
          <w:rFonts w:ascii="Times New Roman" w:hAnsi="Times New Roman"/>
        </w:rPr>
      </w:pPr>
      <w:r>
        <w:rPr>
          <w:rFonts w:ascii="Times New Roman" w:hAnsi="Times New Roman" w:eastAsia="Times New Roman"/>
        </w:rPr>
        <w:t xml:space="preserve">Иметь представление </w:t>
      </w:r>
      <w:r>
        <w:rPr>
          <w:rFonts w:ascii="Times New Roman" w:hAnsi="Times New Roman"/>
        </w:rPr>
        <w:t>об изменениях скульптурного образа при осмотре произведения с разных сторон.</w:t>
      </w:r>
    </w:p>
    <w:p w14:paraId="1B9BBD07">
      <w:pPr>
        <w:spacing w:after="0" w:line="360" w:lineRule="auto"/>
        <w:ind w:firstLine="709"/>
        <w:jc w:val="both"/>
        <w:rPr>
          <w:rFonts w:ascii="Times New Roman" w:hAnsi="Times New Roman"/>
        </w:rPr>
      </w:pPr>
      <w:r>
        <w:rPr>
          <w:rFonts w:ascii="Times New Roman" w:hAnsi="Times New Roman"/>
        </w:rPr>
        <w:t>Приобретать в процессе лепки из пластилина опыт передачи движения цельной лепной формы и разного характера движения этой формы (изображения зверушки).</w:t>
      </w:r>
    </w:p>
    <w:p w14:paraId="5C3BA00E">
      <w:pPr>
        <w:spacing w:after="0" w:line="360" w:lineRule="auto"/>
        <w:ind w:firstLine="709"/>
        <w:jc w:val="both"/>
        <w:rPr>
          <w:rFonts w:ascii="Times New Roman" w:hAnsi="Times New Roman"/>
        </w:rPr>
      </w:pPr>
      <w:r>
        <w:rPr>
          <w:rFonts w:ascii="Times New Roman" w:hAnsi="Times New Roman"/>
        </w:rPr>
        <w:t>13.10.4.4. Модуль «Декоративно-прикладное искусство».</w:t>
      </w:r>
    </w:p>
    <w:p w14:paraId="2A7DDDCE">
      <w:pPr>
        <w:spacing w:after="0" w:line="360" w:lineRule="auto"/>
        <w:ind w:firstLine="709"/>
        <w:jc w:val="both"/>
        <w:rPr>
          <w:rFonts w:ascii="Times New Roman" w:hAnsi="Times New Roman"/>
        </w:rPr>
      </w:pPr>
      <w:r>
        <w:rPr>
          <w:rFonts w:ascii="Times New Roman" w:hAnsi="Times New Roman"/>
        </w:rPr>
        <w:t>Рассматривать, анализировать и эстетически оценивать разнообразие форм в природе, воспринимаемых как узоры.</w:t>
      </w:r>
    </w:p>
    <w:p w14:paraId="4F9F0CAF">
      <w:pPr>
        <w:spacing w:after="0" w:line="360" w:lineRule="auto"/>
        <w:ind w:firstLine="709"/>
        <w:jc w:val="both"/>
        <w:rPr>
          <w:rFonts w:ascii="Times New Roman" w:hAnsi="Times New Roman"/>
        </w:rPr>
      </w:pPr>
      <w:r>
        <w:rPr>
          <w:rFonts w:ascii="Times New Roman" w:hAnsi="Times New Roman"/>
        </w:rPr>
        <w:t>Сравнивать, сопоставлять природные явления – узоры (например, капли, снежинки, паутинки, роса на листьях, серёжки во время цветения деревьев) – с рукотворными произведениями декоративного искусства (кружево, шитьё, ювелирные изделия и другие).</w:t>
      </w:r>
    </w:p>
    <w:p w14:paraId="6F262097">
      <w:pPr>
        <w:spacing w:after="0" w:line="360" w:lineRule="auto"/>
        <w:ind w:firstLine="709"/>
        <w:jc w:val="both"/>
        <w:rPr>
          <w:rFonts w:ascii="Times New Roman" w:hAnsi="Times New Roman"/>
        </w:rPr>
      </w:pPr>
      <w:r>
        <w:rPr>
          <w:rFonts w:ascii="Times New Roman" w:hAnsi="Times New Roman"/>
        </w:rPr>
        <w:t>Приобретать опыт выполнения эскиза геометрического орнамента кружева или вышивки на основе природных мотивов.</w:t>
      </w:r>
    </w:p>
    <w:p w14:paraId="16211E58">
      <w:pPr>
        <w:spacing w:after="0" w:line="360" w:lineRule="auto"/>
        <w:ind w:firstLine="709"/>
        <w:jc w:val="both"/>
        <w:rPr>
          <w:rFonts w:ascii="Times New Roman" w:hAnsi="Times New Roman"/>
        </w:rPr>
      </w:pPr>
      <w:r>
        <w:rPr>
          <w:rFonts w:ascii="Times New Roman" w:hAnsi="Times New Roman"/>
        </w:rPr>
        <w:t>Осваивать приёмы орнаментального оформления сказочных глиняных зверушек, созданных по мотивам народного художественного промысла (по выбору: филимоновская, абашевская, каргопольская, дымковская игрушки или с учётом местных промыслов).</w:t>
      </w:r>
    </w:p>
    <w:p w14:paraId="37BC9D5F">
      <w:pPr>
        <w:spacing w:after="0" w:line="360" w:lineRule="auto"/>
        <w:ind w:firstLine="709"/>
        <w:jc w:val="both"/>
        <w:rPr>
          <w:rFonts w:ascii="Times New Roman" w:hAnsi="Times New Roman"/>
        </w:rPr>
      </w:pPr>
      <w:r>
        <w:rPr>
          <w:rFonts w:ascii="Times New Roman" w:hAnsi="Times New Roman"/>
        </w:rPr>
        <w:t>Приобретать опыт преобразования бытовых подручных нехудожественных материалов в художественные изображения и поделки.</w:t>
      </w:r>
    </w:p>
    <w:p w14:paraId="1AE45D23">
      <w:pPr>
        <w:spacing w:after="0" w:line="360" w:lineRule="auto"/>
        <w:ind w:firstLine="709"/>
        <w:jc w:val="both"/>
        <w:rPr>
          <w:rFonts w:ascii="Times New Roman" w:hAnsi="Times New Roman"/>
        </w:rPr>
      </w:pPr>
      <w:r>
        <w:rPr>
          <w:rFonts w:ascii="Times New Roman" w:hAnsi="Times New Roman"/>
        </w:rPr>
        <w:t>Рассматривать, анализировать, сравнивать украшения человека на примерах иллюстраций к народным сказкам лучших художников-иллюстраторов (например, И.Я. Билибина), когда украшения не только соответствуют народным традициям, но и выражают характер персонажа; учиться понимать, что украшения человека рассказывают о нём, выявляют особенности его характера, его представления о красоте.</w:t>
      </w:r>
    </w:p>
    <w:p w14:paraId="40C42DFF">
      <w:pPr>
        <w:spacing w:after="0" w:line="360" w:lineRule="auto"/>
        <w:ind w:firstLine="709"/>
        <w:jc w:val="both"/>
        <w:rPr>
          <w:rFonts w:ascii="Times New Roman" w:hAnsi="Times New Roman"/>
        </w:rPr>
      </w:pPr>
      <w:r>
        <w:rPr>
          <w:rFonts w:ascii="Times New Roman" w:hAnsi="Times New Roman"/>
        </w:rPr>
        <w:t>Приобретать опыт выполнения красками рисунков украшений народных былинных персонажей.</w:t>
      </w:r>
    </w:p>
    <w:p w14:paraId="5899D9B0">
      <w:pPr>
        <w:spacing w:after="0" w:line="360" w:lineRule="auto"/>
        <w:ind w:firstLine="709"/>
        <w:jc w:val="both"/>
        <w:rPr>
          <w:rFonts w:ascii="Times New Roman" w:hAnsi="Times New Roman"/>
        </w:rPr>
      </w:pPr>
      <w:r>
        <w:rPr>
          <w:rFonts w:ascii="Times New Roman" w:hAnsi="Times New Roman"/>
        </w:rPr>
        <w:t>13.10.4.5. Модуль «Архитектура».</w:t>
      </w:r>
    </w:p>
    <w:p w14:paraId="5A128005">
      <w:pPr>
        <w:spacing w:after="0" w:line="360" w:lineRule="auto"/>
        <w:ind w:firstLine="709"/>
        <w:jc w:val="both"/>
        <w:rPr>
          <w:rFonts w:ascii="Times New Roman" w:hAnsi="Times New Roman"/>
        </w:rPr>
      </w:pPr>
      <w:r>
        <w:rPr>
          <w:rFonts w:ascii="Times New Roman" w:hAnsi="Times New Roman"/>
        </w:rPr>
        <w:t>Осваивать приёмы создания объёмных предметов из бумаги и объёмного декорирования предметов из бумаги.</w:t>
      </w:r>
    </w:p>
    <w:p w14:paraId="47DD585D">
      <w:pPr>
        <w:spacing w:after="0" w:line="360" w:lineRule="auto"/>
        <w:ind w:firstLine="709"/>
        <w:jc w:val="both"/>
        <w:rPr>
          <w:rFonts w:ascii="Times New Roman" w:hAnsi="Times New Roman"/>
        </w:rPr>
      </w:pPr>
      <w:r>
        <w:rPr>
          <w:rFonts w:ascii="Times New Roman" w:hAnsi="Times New Roman"/>
        </w:rPr>
        <w:t>Участвовать в коллективной работе по построению из бумаги пространственного макета сказочного города или детской площадки.</w:t>
      </w:r>
    </w:p>
    <w:p w14:paraId="354B5A64">
      <w:pPr>
        <w:spacing w:after="0" w:line="360" w:lineRule="auto"/>
        <w:ind w:firstLine="709"/>
        <w:jc w:val="both"/>
        <w:rPr>
          <w:rFonts w:ascii="Times New Roman" w:hAnsi="Times New Roman"/>
        </w:rPr>
      </w:pPr>
      <w:r>
        <w:rPr>
          <w:rFonts w:ascii="Times New Roman" w:hAnsi="Times New Roman"/>
        </w:rPr>
        <w:t>Рассматривать, характеризовать конструкцию архитектурных строений (по фотографиям в условиях урока), указывая составные части и их пропорциональные соотношения.</w:t>
      </w:r>
    </w:p>
    <w:p w14:paraId="163B405B">
      <w:pPr>
        <w:spacing w:after="0" w:line="360" w:lineRule="auto"/>
        <w:ind w:firstLine="709"/>
        <w:jc w:val="both"/>
        <w:rPr>
          <w:rFonts w:ascii="Times New Roman" w:hAnsi="Times New Roman"/>
        </w:rPr>
      </w:pPr>
      <w:r>
        <w:rPr>
          <w:rFonts w:ascii="Times New Roman" w:hAnsi="Times New Roman"/>
        </w:rPr>
        <w:t>Осваивать понимание образа здания, то есть его эмоционального воздействия.</w:t>
      </w:r>
    </w:p>
    <w:p w14:paraId="42CB38C8">
      <w:pPr>
        <w:spacing w:after="0" w:line="360" w:lineRule="auto"/>
        <w:ind w:firstLine="709"/>
        <w:jc w:val="both"/>
        <w:rPr>
          <w:rFonts w:ascii="Times New Roman" w:hAnsi="Times New Roman"/>
        </w:rPr>
      </w:pPr>
      <w:r>
        <w:rPr>
          <w:rFonts w:ascii="Times New Roman" w:hAnsi="Times New Roman"/>
        </w:rPr>
        <w:t>Рассматривать, приводить примеры и обсуждать вид разных жилищ, домиков сказочных героев в иллюстрациях известных художников детской книги, развивая фантазию и внимание к архитектурным постройкам.</w:t>
      </w:r>
    </w:p>
    <w:p w14:paraId="447359FA">
      <w:pPr>
        <w:spacing w:after="0" w:line="360" w:lineRule="auto"/>
        <w:ind w:firstLine="709"/>
        <w:jc w:val="both"/>
        <w:rPr>
          <w:rFonts w:ascii="Times New Roman" w:hAnsi="Times New Roman"/>
        </w:rPr>
      </w:pPr>
      <w:r>
        <w:rPr>
          <w:rFonts w:ascii="Times New Roman" w:hAnsi="Times New Roman"/>
        </w:rPr>
        <w:t>Приобретать опыт сочинения и изображения жилья для разных по своему характеру героев литературных и народных сказок.</w:t>
      </w:r>
    </w:p>
    <w:p w14:paraId="40AFA451">
      <w:pPr>
        <w:spacing w:after="0" w:line="360" w:lineRule="auto"/>
        <w:ind w:firstLine="709"/>
        <w:jc w:val="both"/>
        <w:rPr>
          <w:rFonts w:ascii="Times New Roman" w:hAnsi="Times New Roman"/>
        </w:rPr>
      </w:pPr>
      <w:r>
        <w:rPr>
          <w:rFonts w:ascii="Times New Roman" w:hAnsi="Times New Roman"/>
        </w:rPr>
        <w:t>13.10.4.6. Модуль «Восприятие произведений искусства».</w:t>
      </w:r>
    </w:p>
    <w:p w14:paraId="6D7CD959">
      <w:pPr>
        <w:spacing w:after="0" w:line="360" w:lineRule="auto"/>
        <w:ind w:firstLine="709"/>
        <w:jc w:val="both"/>
        <w:rPr>
          <w:rFonts w:ascii="Times New Roman" w:hAnsi="Times New Roman"/>
        </w:rPr>
      </w:pPr>
      <w:r>
        <w:rPr>
          <w:rFonts w:ascii="Times New Roman" w:hAnsi="Times New Roman"/>
        </w:rPr>
        <w:t>Обсуждать примеры детского художественного творчества с точки зрения выражения в них содержания, настроения, расположения изображения в листе, цвета и других средств художественной выразительности, а также ответа на поставленную учебную задачу.</w:t>
      </w:r>
    </w:p>
    <w:p w14:paraId="64D58E87">
      <w:pPr>
        <w:spacing w:after="0" w:line="360" w:lineRule="auto"/>
        <w:ind w:firstLine="709"/>
        <w:jc w:val="both"/>
        <w:rPr>
          <w:rFonts w:ascii="Times New Roman" w:hAnsi="Times New Roman"/>
        </w:rPr>
      </w:pPr>
      <w:r>
        <w:rPr>
          <w:rFonts w:ascii="Times New Roman" w:hAnsi="Times New Roman"/>
        </w:rPr>
        <w:t>Осваивать и развивать умения вести эстетическое наблюдение явлений природы, а также потребность в таком наблюдении.</w:t>
      </w:r>
    </w:p>
    <w:p w14:paraId="4E8859C1">
      <w:pPr>
        <w:spacing w:after="0" w:line="360" w:lineRule="auto"/>
        <w:ind w:firstLine="709"/>
        <w:jc w:val="both"/>
        <w:rPr>
          <w:rFonts w:ascii="Times New Roman" w:hAnsi="Times New Roman"/>
        </w:rPr>
      </w:pPr>
      <w:r>
        <w:rPr>
          <w:rFonts w:ascii="Times New Roman" w:hAnsi="Times New Roman"/>
        </w:rPr>
        <w:t>Приобретать опыт эстетического наблюдения и художественного анализа произведений декоративного искусства и их орнаментальной организации (например, кружево, шитьё, резьба и роспись по дереву и ткани, чеканка).</w:t>
      </w:r>
    </w:p>
    <w:p w14:paraId="3B2B6069">
      <w:pPr>
        <w:spacing w:after="0" w:line="360" w:lineRule="auto"/>
        <w:ind w:firstLine="709"/>
        <w:jc w:val="both"/>
        <w:rPr>
          <w:rFonts w:ascii="Times New Roman" w:hAnsi="Times New Roman"/>
        </w:rPr>
      </w:pPr>
      <w:r>
        <w:rPr>
          <w:rFonts w:ascii="Times New Roman" w:hAnsi="Times New Roman"/>
        </w:rPr>
        <w:t>Приобретать опыт восприятия, эстетического анализа произведений отечественных художников-пейзажистов (И.И. Левитана, И.И. Шишкина, И.К. Айвазовского, Н.П. Крымова и других по выбору учителя), а также художников-анималистов (В.В. Ватагина, Е.И. Чарушина и других по выбору учителя).</w:t>
      </w:r>
    </w:p>
    <w:p w14:paraId="67887F3B">
      <w:pPr>
        <w:spacing w:after="0" w:line="360" w:lineRule="auto"/>
        <w:ind w:firstLine="709"/>
        <w:jc w:val="both"/>
        <w:rPr>
          <w:rFonts w:ascii="Times New Roman" w:hAnsi="Times New Roman"/>
        </w:rPr>
      </w:pPr>
      <w:r>
        <w:rPr>
          <w:rFonts w:ascii="Times New Roman" w:hAnsi="Times New Roman"/>
        </w:rPr>
        <w:t>Приобретать опыт восприятия, эстетического анализа произведений живописи западноевропейских художников с активным, ярким выражением настроения (В. Ван Гога, К. Моне, А. Матисса и других по выбору учителя).</w:t>
      </w:r>
    </w:p>
    <w:p w14:paraId="055134D7">
      <w:pPr>
        <w:spacing w:after="0" w:line="360" w:lineRule="auto"/>
        <w:ind w:firstLine="709"/>
        <w:jc w:val="both"/>
        <w:rPr>
          <w:rFonts w:ascii="Times New Roman" w:hAnsi="Times New Roman"/>
        </w:rPr>
      </w:pPr>
      <w:r>
        <w:rPr>
          <w:rFonts w:ascii="Times New Roman" w:hAnsi="Times New Roman"/>
        </w:rPr>
        <w:t>Знать имена и узнавать наиболее известные произведения художников И.И. Левитана, И.И. Шишкина, И.К. Айвазовского, В.М. Васнецова, В.В. Ватагина, Е.И. Чарушина (и других по выбору учителя).</w:t>
      </w:r>
    </w:p>
    <w:p w14:paraId="5558EB0E">
      <w:pPr>
        <w:spacing w:after="0" w:line="360" w:lineRule="auto"/>
        <w:ind w:firstLine="709"/>
        <w:jc w:val="both"/>
        <w:rPr>
          <w:rFonts w:ascii="Times New Roman" w:hAnsi="Times New Roman"/>
        </w:rPr>
      </w:pPr>
      <w:r>
        <w:rPr>
          <w:rFonts w:ascii="Times New Roman" w:hAnsi="Times New Roman"/>
        </w:rPr>
        <w:t>13.10.4.7. Модуль «Азбука цифровой графики».</w:t>
      </w:r>
    </w:p>
    <w:p w14:paraId="56707E67">
      <w:pPr>
        <w:spacing w:after="0" w:line="360" w:lineRule="auto"/>
        <w:ind w:firstLine="709"/>
        <w:jc w:val="both"/>
        <w:rPr>
          <w:rFonts w:ascii="Times New Roman" w:hAnsi="Times New Roman"/>
        </w:rPr>
      </w:pPr>
      <w:r>
        <w:rPr>
          <w:rFonts w:ascii="Times New Roman" w:hAnsi="Times New Roman"/>
        </w:rPr>
        <w:t>Осваивать возможности изображения с помощью разных видов линий в программе Paint (или другом графическом редакторе).</w:t>
      </w:r>
    </w:p>
    <w:p w14:paraId="4337D9E7">
      <w:pPr>
        <w:spacing w:after="0" w:line="360" w:lineRule="auto"/>
        <w:ind w:firstLine="709"/>
        <w:jc w:val="both"/>
        <w:rPr>
          <w:rFonts w:ascii="Times New Roman" w:hAnsi="Times New Roman"/>
        </w:rPr>
      </w:pPr>
      <w:r>
        <w:rPr>
          <w:rFonts w:ascii="Times New Roman" w:hAnsi="Times New Roman"/>
        </w:rPr>
        <w:t>Осваивать приёмы трансформации и копирования геометрических фигур в программе Paint, а также построения из них простых рисунков или орнаментов.</w:t>
      </w:r>
    </w:p>
    <w:p w14:paraId="23973846">
      <w:pPr>
        <w:spacing w:after="0" w:line="360" w:lineRule="auto"/>
        <w:ind w:firstLine="709"/>
        <w:jc w:val="both"/>
        <w:rPr>
          <w:rFonts w:ascii="Times New Roman" w:hAnsi="Times New Roman"/>
        </w:rPr>
      </w:pPr>
      <w:r>
        <w:rPr>
          <w:rFonts w:ascii="Times New Roman" w:hAnsi="Times New Roman"/>
        </w:rPr>
        <w:t>Осваивать в компьютерном редакторе (например, Paint) инструменты и техники – карандаш, кисточка, ластик, заливка и другие – и создавать простые рисунки или композиции (например, образ дерева).</w:t>
      </w:r>
    </w:p>
    <w:p w14:paraId="1AF10BBD">
      <w:pPr>
        <w:spacing w:after="0" w:line="360" w:lineRule="auto"/>
        <w:ind w:firstLine="709"/>
        <w:jc w:val="both"/>
        <w:rPr>
          <w:rFonts w:ascii="Times New Roman" w:hAnsi="Times New Roman"/>
        </w:rPr>
      </w:pPr>
      <w:r>
        <w:rPr>
          <w:rFonts w:ascii="Times New Roman" w:hAnsi="Times New Roman"/>
        </w:rPr>
        <w:t>Осваивать композиционное построение кадра при фотографировании: расположение объекта в кадре, масштаб, доминанта. Участвовать в обсуждении композиционного построения кадра в фотографии.</w:t>
      </w:r>
      <w:bookmarkStart w:id="239" w:name="_TOC_250002"/>
    </w:p>
    <w:bookmarkEnd w:id="239"/>
    <w:p w14:paraId="67826960">
      <w:pPr>
        <w:spacing w:after="0" w:line="360" w:lineRule="auto"/>
        <w:ind w:firstLine="709"/>
        <w:jc w:val="both"/>
        <w:rPr>
          <w:rFonts w:ascii="Times New Roman" w:hAnsi="Times New Roman"/>
        </w:rPr>
      </w:pPr>
      <w:r>
        <w:rPr>
          <w:rFonts w:ascii="Times New Roman" w:hAnsi="Times New Roman"/>
        </w:rPr>
        <w:t>13.10.5. К концу обучения в 3 классе обучающийся получит следующие предметные результаты по отдельным темам программы по изобразительному искусству:</w:t>
      </w:r>
    </w:p>
    <w:p w14:paraId="46EBC4CE">
      <w:pPr>
        <w:spacing w:after="0" w:line="360" w:lineRule="auto"/>
        <w:ind w:firstLine="709"/>
        <w:jc w:val="both"/>
        <w:rPr>
          <w:rFonts w:ascii="Times New Roman" w:hAnsi="Times New Roman"/>
        </w:rPr>
      </w:pPr>
      <w:r>
        <w:rPr>
          <w:rFonts w:ascii="Times New Roman" w:hAnsi="Times New Roman"/>
        </w:rPr>
        <w:t>13.10.5.1. Модуль «Графика».</w:t>
      </w:r>
    </w:p>
    <w:p w14:paraId="580D4C4A">
      <w:pPr>
        <w:spacing w:after="0" w:line="360" w:lineRule="auto"/>
        <w:ind w:firstLine="709"/>
        <w:jc w:val="both"/>
        <w:rPr>
          <w:rFonts w:ascii="Times New Roman" w:hAnsi="Times New Roman"/>
        </w:rPr>
      </w:pPr>
      <w:r>
        <w:rPr>
          <w:rFonts w:ascii="Times New Roman" w:hAnsi="Times New Roman"/>
        </w:rPr>
        <w:t>Приобретать представление о художественном оформлении книги, о дизайне книги, многообразии форм детских книг, о работе художников-иллюстраторов.</w:t>
      </w:r>
    </w:p>
    <w:p w14:paraId="15BF0928">
      <w:pPr>
        <w:spacing w:after="0" w:line="360" w:lineRule="auto"/>
        <w:ind w:firstLine="709"/>
        <w:jc w:val="both"/>
        <w:rPr>
          <w:rFonts w:ascii="Times New Roman" w:hAnsi="Times New Roman"/>
        </w:rPr>
      </w:pPr>
      <w:r>
        <w:rPr>
          <w:rFonts w:ascii="Times New Roman" w:hAnsi="Times New Roman"/>
        </w:rPr>
        <w:t>Получать опыт создания эскиза книжки-игрушки на выбранный сюжет: рисунок обложки с соединением шрифта (текста) и изображения, рисунок прописной буквицы, создание иллюстраций, размещение текста и иллюстраций на развороте.</w:t>
      </w:r>
    </w:p>
    <w:p w14:paraId="5F4F6900">
      <w:pPr>
        <w:spacing w:after="0" w:line="360" w:lineRule="auto"/>
        <w:ind w:firstLine="709"/>
        <w:jc w:val="both"/>
        <w:rPr>
          <w:rFonts w:ascii="Times New Roman" w:hAnsi="Times New Roman"/>
        </w:rPr>
      </w:pPr>
      <w:r>
        <w:rPr>
          <w:rFonts w:ascii="Times New Roman" w:hAnsi="Times New Roman"/>
        </w:rPr>
        <w:t>Узнавать об искусстве шрифта и образных (изобразительных) возможностях надписи, о работе художника над шрифтовой композицией.</w:t>
      </w:r>
    </w:p>
    <w:p w14:paraId="6426A5A8">
      <w:pPr>
        <w:spacing w:after="0" w:line="360" w:lineRule="auto"/>
        <w:ind w:firstLine="709"/>
        <w:jc w:val="both"/>
        <w:rPr>
          <w:rFonts w:ascii="Times New Roman" w:hAnsi="Times New Roman"/>
        </w:rPr>
      </w:pPr>
      <w:r>
        <w:rPr>
          <w:rFonts w:ascii="Times New Roman" w:hAnsi="Times New Roman"/>
        </w:rPr>
        <w:t>Создавать практическую творческую работу – поздравительную открытку, совмещая в ней шрифт и изображение.</w:t>
      </w:r>
    </w:p>
    <w:p w14:paraId="0322C9CC">
      <w:pPr>
        <w:spacing w:after="0" w:line="360" w:lineRule="auto"/>
        <w:ind w:firstLine="709"/>
        <w:jc w:val="both"/>
        <w:rPr>
          <w:rFonts w:ascii="Times New Roman" w:hAnsi="Times New Roman"/>
        </w:rPr>
      </w:pPr>
      <w:r>
        <w:rPr>
          <w:rFonts w:ascii="Times New Roman" w:hAnsi="Times New Roman"/>
        </w:rPr>
        <w:t>Узнавать о работе художников над плакатами и афишами. Выполнять творческую композицию – эскиз афиши к выбранному спектаклю или фильму.</w:t>
      </w:r>
    </w:p>
    <w:p w14:paraId="35DCB05A">
      <w:pPr>
        <w:spacing w:after="0" w:line="360" w:lineRule="auto"/>
        <w:ind w:firstLine="709"/>
        <w:jc w:val="both"/>
        <w:rPr>
          <w:rFonts w:ascii="Times New Roman" w:hAnsi="Times New Roman"/>
        </w:rPr>
      </w:pPr>
      <w:r>
        <w:rPr>
          <w:rFonts w:ascii="Times New Roman" w:hAnsi="Times New Roman"/>
        </w:rPr>
        <w:t>Узнавать основные пропорции лица человека, взаимное расположение частей лица.</w:t>
      </w:r>
    </w:p>
    <w:p w14:paraId="4AF607E1">
      <w:pPr>
        <w:spacing w:after="0" w:line="360" w:lineRule="auto"/>
        <w:ind w:firstLine="709"/>
        <w:jc w:val="both"/>
        <w:rPr>
          <w:rFonts w:ascii="Times New Roman" w:hAnsi="Times New Roman"/>
        </w:rPr>
      </w:pPr>
      <w:r>
        <w:rPr>
          <w:rFonts w:ascii="Times New Roman" w:hAnsi="Times New Roman"/>
        </w:rPr>
        <w:t>Приобретать опыт рисования портрета (лица) человека.</w:t>
      </w:r>
    </w:p>
    <w:p w14:paraId="066F846E">
      <w:pPr>
        <w:spacing w:after="0" w:line="360" w:lineRule="auto"/>
        <w:ind w:firstLine="709"/>
        <w:jc w:val="both"/>
        <w:rPr>
          <w:rFonts w:ascii="Times New Roman" w:hAnsi="Times New Roman"/>
        </w:rPr>
      </w:pPr>
      <w:r>
        <w:rPr>
          <w:rFonts w:ascii="Times New Roman" w:hAnsi="Times New Roman"/>
        </w:rPr>
        <w:t>Создавать маску сказочного персонажа с ярко выраженным характером лица (для карнавала или спектакля).</w:t>
      </w:r>
    </w:p>
    <w:p w14:paraId="715BB91A">
      <w:pPr>
        <w:spacing w:after="0" w:line="360" w:lineRule="auto"/>
        <w:ind w:firstLine="709"/>
        <w:jc w:val="both"/>
        <w:rPr>
          <w:rFonts w:ascii="Times New Roman" w:hAnsi="Times New Roman"/>
        </w:rPr>
      </w:pPr>
      <w:r>
        <w:rPr>
          <w:rFonts w:ascii="Times New Roman" w:hAnsi="Times New Roman"/>
        </w:rPr>
        <w:t>13.10.5.2. Модуль «Живопись».</w:t>
      </w:r>
    </w:p>
    <w:p w14:paraId="35A9C69D">
      <w:pPr>
        <w:spacing w:after="0" w:line="360" w:lineRule="auto"/>
        <w:ind w:firstLine="709"/>
        <w:jc w:val="both"/>
        <w:rPr>
          <w:rFonts w:ascii="Times New Roman" w:hAnsi="Times New Roman"/>
        </w:rPr>
      </w:pPr>
      <w:r>
        <w:rPr>
          <w:rFonts w:ascii="Times New Roman" w:hAnsi="Times New Roman"/>
        </w:rPr>
        <w:t>Осваивать приёмы создания живописной композиции (натюрморта) по наблюдению натуры или по представлению.</w:t>
      </w:r>
    </w:p>
    <w:p w14:paraId="6CAB6EDA">
      <w:pPr>
        <w:spacing w:after="0" w:line="360" w:lineRule="auto"/>
        <w:ind w:firstLine="709"/>
        <w:jc w:val="both"/>
        <w:rPr>
          <w:rFonts w:ascii="Times New Roman" w:hAnsi="Times New Roman"/>
        </w:rPr>
      </w:pPr>
      <w:r>
        <w:rPr>
          <w:rFonts w:ascii="Times New Roman" w:hAnsi="Times New Roman"/>
        </w:rPr>
        <w:t>Рассматривать, эстетически анализировать сюжет и композицию, эмоциональное настроение в натюрмортах известных отечественных художников.</w:t>
      </w:r>
    </w:p>
    <w:p w14:paraId="7322B55F">
      <w:pPr>
        <w:spacing w:after="0" w:line="360" w:lineRule="auto"/>
        <w:ind w:firstLine="709"/>
        <w:jc w:val="both"/>
        <w:rPr>
          <w:rFonts w:ascii="Times New Roman" w:hAnsi="Times New Roman"/>
        </w:rPr>
      </w:pPr>
      <w:r>
        <w:rPr>
          <w:rFonts w:ascii="Times New Roman" w:hAnsi="Times New Roman"/>
        </w:rPr>
        <w:t>Приобретать опыт создания творческой живописной работы – натюрморта с ярко выраженным настроением или «натюрморта-автопортрета».</w:t>
      </w:r>
    </w:p>
    <w:p w14:paraId="5B4B6AF2">
      <w:pPr>
        <w:spacing w:after="0" w:line="360" w:lineRule="auto"/>
        <w:ind w:firstLine="709"/>
        <w:jc w:val="both"/>
        <w:rPr>
          <w:rFonts w:ascii="Times New Roman" w:hAnsi="Times New Roman"/>
        </w:rPr>
      </w:pPr>
      <w:r>
        <w:rPr>
          <w:rFonts w:ascii="Times New Roman" w:hAnsi="Times New Roman"/>
        </w:rPr>
        <w:t>Изображать красками портрет человека с использованием натуры или представлению.</w:t>
      </w:r>
    </w:p>
    <w:p w14:paraId="2FD3047B">
      <w:pPr>
        <w:spacing w:after="0" w:line="360" w:lineRule="auto"/>
        <w:ind w:firstLine="709"/>
        <w:jc w:val="both"/>
        <w:rPr>
          <w:rFonts w:ascii="Times New Roman" w:hAnsi="Times New Roman"/>
        </w:rPr>
      </w:pPr>
      <w:r>
        <w:rPr>
          <w:rFonts w:ascii="Times New Roman" w:hAnsi="Times New Roman"/>
        </w:rPr>
        <w:t>Создавать пейзаж, передавая в нём активное состояние природы.</w:t>
      </w:r>
    </w:p>
    <w:p w14:paraId="1E781E40">
      <w:pPr>
        <w:spacing w:after="0" w:line="360" w:lineRule="auto"/>
        <w:ind w:firstLine="709"/>
        <w:jc w:val="both"/>
        <w:rPr>
          <w:rFonts w:ascii="Times New Roman" w:hAnsi="Times New Roman"/>
        </w:rPr>
      </w:pPr>
      <w:r>
        <w:rPr>
          <w:rFonts w:ascii="Times New Roman" w:hAnsi="Times New Roman"/>
        </w:rPr>
        <w:t>Приобрести представление о деятельности художника в театре.</w:t>
      </w:r>
    </w:p>
    <w:p w14:paraId="68188197">
      <w:pPr>
        <w:spacing w:after="0" w:line="360" w:lineRule="auto"/>
        <w:ind w:firstLine="709"/>
        <w:jc w:val="both"/>
        <w:rPr>
          <w:rFonts w:ascii="Times New Roman" w:hAnsi="Times New Roman"/>
        </w:rPr>
      </w:pPr>
      <w:r>
        <w:rPr>
          <w:rFonts w:ascii="Times New Roman" w:hAnsi="Times New Roman"/>
        </w:rPr>
        <w:t>Создать красками эскиз занавеса или эскиз декораций к выбранному сюжету.</w:t>
      </w:r>
    </w:p>
    <w:p w14:paraId="67E93F5C">
      <w:pPr>
        <w:spacing w:after="0" w:line="360" w:lineRule="auto"/>
        <w:ind w:firstLine="709"/>
        <w:jc w:val="both"/>
        <w:rPr>
          <w:rFonts w:ascii="Times New Roman" w:hAnsi="Times New Roman"/>
        </w:rPr>
      </w:pPr>
      <w:r>
        <w:rPr>
          <w:rFonts w:ascii="Times New Roman" w:hAnsi="Times New Roman"/>
        </w:rPr>
        <w:t>Познакомиться с работой художников по оформлению праздников.</w:t>
      </w:r>
    </w:p>
    <w:p w14:paraId="4FE39D6A">
      <w:pPr>
        <w:spacing w:after="0" w:line="360" w:lineRule="auto"/>
        <w:ind w:firstLine="709"/>
        <w:jc w:val="both"/>
        <w:rPr>
          <w:rFonts w:ascii="Times New Roman" w:hAnsi="Times New Roman"/>
        </w:rPr>
      </w:pPr>
      <w:r>
        <w:rPr>
          <w:rFonts w:ascii="Times New Roman" w:hAnsi="Times New Roman"/>
        </w:rPr>
        <w:t>Выполнить тематическую композицию «Праздник в городе» на основе наблюдений, по памяти и по представлению.</w:t>
      </w:r>
    </w:p>
    <w:p w14:paraId="404B75A5">
      <w:pPr>
        <w:spacing w:after="0" w:line="360" w:lineRule="auto"/>
        <w:ind w:firstLine="709"/>
        <w:jc w:val="both"/>
        <w:rPr>
          <w:rFonts w:ascii="Times New Roman" w:hAnsi="Times New Roman"/>
        </w:rPr>
      </w:pPr>
      <w:r>
        <w:rPr>
          <w:rFonts w:ascii="Times New Roman" w:hAnsi="Times New Roman"/>
        </w:rPr>
        <w:t>13.10.5.3. Модуль «Скульптура».</w:t>
      </w:r>
    </w:p>
    <w:p w14:paraId="33F4EE65">
      <w:pPr>
        <w:spacing w:after="0" w:line="360" w:lineRule="auto"/>
        <w:ind w:firstLine="709"/>
        <w:jc w:val="both"/>
        <w:rPr>
          <w:rFonts w:ascii="Times New Roman" w:hAnsi="Times New Roman"/>
        </w:rPr>
      </w:pPr>
      <w:r>
        <w:rPr>
          <w:rFonts w:ascii="Times New Roman" w:hAnsi="Times New Roman"/>
        </w:rPr>
        <w:t>Приобрести опыт творческой работы: лепка сказочного персонажа на основе сюжета известной сказки (или создание этого персонажа в технике бумагопластики, по выбору учителя).</w:t>
      </w:r>
    </w:p>
    <w:p w14:paraId="33C40485">
      <w:pPr>
        <w:spacing w:after="0" w:line="360" w:lineRule="auto"/>
        <w:ind w:firstLine="709"/>
        <w:jc w:val="both"/>
        <w:rPr>
          <w:rFonts w:ascii="Times New Roman" w:hAnsi="Times New Roman"/>
        </w:rPr>
      </w:pPr>
      <w:r>
        <w:rPr>
          <w:rFonts w:ascii="Times New Roman" w:hAnsi="Times New Roman"/>
        </w:rPr>
        <w:t>Учиться создавать игрушку из подручного нехудожественного материала путём добавления к ней необходимых деталей и для «одушевления образа».</w:t>
      </w:r>
    </w:p>
    <w:p w14:paraId="334202D1">
      <w:pPr>
        <w:spacing w:after="0" w:line="360" w:lineRule="auto"/>
        <w:ind w:firstLine="709"/>
        <w:jc w:val="both"/>
        <w:rPr>
          <w:rFonts w:ascii="Times New Roman" w:hAnsi="Times New Roman"/>
        </w:rPr>
      </w:pPr>
      <w:r>
        <w:rPr>
          <w:rFonts w:ascii="Times New Roman" w:hAnsi="Times New Roman"/>
        </w:rPr>
        <w:t>Узнавать о видах скульптуры: скульптурные памятники, парковая скульптура, мелкая пластика, рельеф (виды рельефа).</w:t>
      </w:r>
    </w:p>
    <w:p w14:paraId="2FD568BF">
      <w:pPr>
        <w:spacing w:after="0" w:line="360" w:lineRule="auto"/>
        <w:ind w:firstLine="709"/>
        <w:jc w:val="both"/>
        <w:rPr>
          <w:rFonts w:ascii="Times New Roman" w:hAnsi="Times New Roman"/>
        </w:rPr>
      </w:pPr>
      <w:r>
        <w:rPr>
          <w:rFonts w:ascii="Times New Roman" w:hAnsi="Times New Roman"/>
        </w:rPr>
        <w:t>Приобретать опыт лепки эскиза парковой скульптуры.</w:t>
      </w:r>
    </w:p>
    <w:p w14:paraId="74FD2898">
      <w:pPr>
        <w:spacing w:after="0" w:line="360" w:lineRule="auto"/>
        <w:ind w:firstLine="709"/>
        <w:jc w:val="both"/>
        <w:rPr>
          <w:rFonts w:ascii="Times New Roman" w:hAnsi="Times New Roman"/>
        </w:rPr>
      </w:pPr>
      <w:r>
        <w:rPr>
          <w:rFonts w:ascii="Times New Roman" w:hAnsi="Times New Roman"/>
        </w:rPr>
        <w:t>13.10.5.4. Модуль «Декоративно-прикладное искусство».</w:t>
      </w:r>
    </w:p>
    <w:p w14:paraId="266C50C6">
      <w:pPr>
        <w:spacing w:after="0" w:line="360" w:lineRule="auto"/>
        <w:ind w:firstLine="709"/>
        <w:jc w:val="both"/>
        <w:rPr>
          <w:rFonts w:ascii="Times New Roman" w:hAnsi="Times New Roman"/>
        </w:rPr>
      </w:pPr>
      <w:r>
        <w:rPr>
          <w:rFonts w:ascii="Times New Roman" w:hAnsi="Times New Roman"/>
        </w:rPr>
        <w:t>Узнавать о создании глиняной и деревянной посуды: народные художественные промыслы Гжель и Хохлома.</w:t>
      </w:r>
    </w:p>
    <w:p w14:paraId="3C8C1539">
      <w:pPr>
        <w:spacing w:after="0" w:line="360" w:lineRule="auto"/>
        <w:ind w:firstLine="709"/>
        <w:jc w:val="both"/>
        <w:rPr>
          <w:rFonts w:ascii="Times New Roman" w:hAnsi="Times New Roman"/>
        </w:rPr>
      </w:pPr>
      <w:r>
        <w:rPr>
          <w:rFonts w:ascii="Times New Roman" w:hAnsi="Times New Roman"/>
        </w:rPr>
        <w:t>Знакомиться с приёмами исполнения традиционных орнаментов, украшающих посуду Гжели и Хохломы; осваивать простые кистевые приёмы, свойственные этим промыслам; выполнить эскизы орнаментов, украшающих посуду (по мотивам выбранного художественного промысла).</w:t>
      </w:r>
    </w:p>
    <w:p w14:paraId="6239724E">
      <w:pPr>
        <w:spacing w:after="0" w:line="360" w:lineRule="auto"/>
        <w:ind w:firstLine="709"/>
        <w:jc w:val="both"/>
        <w:rPr>
          <w:rFonts w:ascii="Times New Roman" w:hAnsi="Times New Roman"/>
        </w:rPr>
      </w:pPr>
      <w:r>
        <w:rPr>
          <w:rFonts w:ascii="Times New Roman" w:hAnsi="Times New Roman"/>
        </w:rPr>
        <w:t>Узнавать о сетчатых видах орнаментов и их применении, например, в росписи тканей, стен, уметь рассуждать с использованием зрительного материала о видах симметрии в сетчатом орнаменте.</w:t>
      </w:r>
    </w:p>
    <w:p w14:paraId="2A3B0B3E">
      <w:pPr>
        <w:spacing w:after="0" w:line="360" w:lineRule="auto"/>
        <w:ind w:firstLine="709"/>
        <w:jc w:val="both"/>
        <w:rPr>
          <w:rFonts w:ascii="Times New Roman" w:hAnsi="Times New Roman"/>
        </w:rPr>
      </w:pPr>
      <w:r>
        <w:rPr>
          <w:rFonts w:ascii="Times New Roman" w:hAnsi="Times New Roman"/>
        </w:rPr>
        <w:t>Осваивать навыки создания орнаментов при помощи штампов и трафаретов.</w:t>
      </w:r>
    </w:p>
    <w:p w14:paraId="40780A7E">
      <w:pPr>
        <w:spacing w:after="0" w:line="360" w:lineRule="auto"/>
        <w:ind w:firstLine="709"/>
        <w:jc w:val="both"/>
        <w:rPr>
          <w:rFonts w:ascii="Times New Roman" w:hAnsi="Times New Roman"/>
        </w:rPr>
      </w:pPr>
      <w:r>
        <w:rPr>
          <w:rFonts w:ascii="Times New Roman" w:hAnsi="Times New Roman"/>
        </w:rPr>
        <w:t>Получить опыт создания композиции орнамента в квадрате (в качестве эскиза росписи женского платка).</w:t>
      </w:r>
    </w:p>
    <w:p w14:paraId="70C5BD37">
      <w:pPr>
        <w:spacing w:after="0" w:line="360" w:lineRule="auto"/>
        <w:ind w:firstLine="709"/>
        <w:jc w:val="both"/>
        <w:rPr>
          <w:rFonts w:ascii="Times New Roman" w:hAnsi="Times New Roman"/>
        </w:rPr>
      </w:pPr>
      <w:r>
        <w:rPr>
          <w:rFonts w:ascii="Times New Roman" w:hAnsi="Times New Roman"/>
        </w:rPr>
        <w:t>13.10.5.5. Модуль «Архитектура».</w:t>
      </w:r>
    </w:p>
    <w:p w14:paraId="48C6873B">
      <w:pPr>
        <w:spacing w:after="0" w:line="360" w:lineRule="auto"/>
        <w:ind w:firstLine="709"/>
        <w:jc w:val="both"/>
        <w:rPr>
          <w:rFonts w:ascii="Times New Roman" w:hAnsi="Times New Roman"/>
        </w:rPr>
      </w:pPr>
      <w:r>
        <w:rPr>
          <w:rFonts w:ascii="Times New Roman" w:hAnsi="Times New Roman"/>
        </w:rPr>
        <w:t>Выполнить зарисовки или творческие рисунки по памяти и по представлению на тему исторических памятников или архитектурных достопримечательностей своего города.</w:t>
      </w:r>
    </w:p>
    <w:p w14:paraId="31B15294">
      <w:pPr>
        <w:spacing w:after="0" w:line="360" w:lineRule="auto"/>
        <w:ind w:firstLine="709"/>
        <w:jc w:val="both"/>
        <w:rPr>
          <w:rFonts w:ascii="Times New Roman" w:hAnsi="Times New Roman"/>
        </w:rPr>
      </w:pPr>
      <w:r>
        <w:rPr>
          <w:rFonts w:ascii="Times New Roman" w:hAnsi="Times New Roman"/>
        </w:rPr>
        <w:t>Создать эскиз макета паркового пространства или участвовать в коллективной работе по созданию такого макета.</w:t>
      </w:r>
    </w:p>
    <w:p w14:paraId="0A39B68A">
      <w:pPr>
        <w:spacing w:after="0" w:line="360" w:lineRule="auto"/>
        <w:ind w:firstLine="709"/>
        <w:jc w:val="both"/>
        <w:rPr>
          <w:rFonts w:ascii="Times New Roman" w:hAnsi="Times New Roman"/>
        </w:rPr>
      </w:pPr>
      <w:r>
        <w:rPr>
          <w:rFonts w:ascii="Times New Roman" w:hAnsi="Times New Roman"/>
        </w:rPr>
        <w:t>Создать в виде рисунков или объёмных аппликаций из цветной бумаги эскизы разнообразных малых архитектурных форм, наполняющих городское пространство.</w:t>
      </w:r>
    </w:p>
    <w:p w14:paraId="5D2D7568">
      <w:pPr>
        <w:spacing w:after="0" w:line="360" w:lineRule="auto"/>
        <w:ind w:firstLine="709"/>
        <w:jc w:val="both"/>
        <w:rPr>
          <w:rFonts w:ascii="Times New Roman" w:hAnsi="Times New Roman"/>
        </w:rPr>
      </w:pPr>
      <w:r>
        <w:rPr>
          <w:rFonts w:ascii="Times New Roman" w:hAnsi="Times New Roman"/>
        </w:rPr>
        <w:t>Придумать и нарисовать (или выполнить в технике бумагопластики) транспортное средство.</w:t>
      </w:r>
    </w:p>
    <w:p w14:paraId="02F7DC98">
      <w:pPr>
        <w:spacing w:after="0" w:line="360" w:lineRule="auto"/>
        <w:ind w:firstLine="709"/>
        <w:jc w:val="both"/>
        <w:rPr>
          <w:rFonts w:ascii="Times New Roman" w:hAnsi="Times New Roman"/>
        </w:rPr>
      </w:pPr>
      <w:r>
        <w:rPr>
          <w:rFonts w:ascii="Times New Roman" w:hAnsi="Times New Roman"/>
        </w:rPr>
        <w:t>Выполнить творческий рисунок – создать образ своего города или села или участвовать в коллективной работе по созданию образа своего города или села (в виде коллажа).</w:t>
      </w:r>
    </w:p>
    <w:p w14:paraId="25784E8B">
      <w:pPr>
        <w:spacing w:after="0" w:line="360" w:lineRule="auto"/>
        <w:ind w:firstLine="709"/>
        <w:jc w:val="both"/>
        <w:rPr>
          <w:rFonts w:ascii="Times New Roman" w:hAnsi="Times New Roman"/>
        </w:rPr>
      </w:pPr>
      <w:r>
        <w:rPr>
          <w:rFonts w:ascii="Times New Roman" w:hAnsi="Times New Roman"/>
        </w:rPr>
        <w:t>13.10.5.6. Модуль «Восприятие произведений искусства».</w:t>
      </w:r>
    </w:p>
    <w:p w14:paraId="2B90EC06">
      <w:pPr>
        <w:spacing w:after="0" w:line="360" w:lineRule="auto"/>
        <w:ind w:firstLine="709"/>
        <w:jc w:val="both"/>
        <w:rPr>
          <w:rFonts w:ascii="Times New Roman" w:hAnsi="Times New Roman"/>
        </w:rPr>
      </w:pPr>
      <w:r>
        <w:rPr>
          <w:rFonts w:ascii="Times New Roman" w:hAnsi="Times New Roman"/>
        </w:rPr>
        <w:t>Рассматривать и обсуждать содержание работы художника, ценностно и эстетически относиться к иллюстрациям известных отечественных художников детских книг, получая различную визуально-образную информацию; знать имена нескольких художников детской книги.</w:t>
      </w:r>
    </w:p>
    <w:p w14:paraId="1C8574CC">
      <w:pPr>
        <w:spacing w:after="0" w:line="360" w:lineRule="auto"/>
        <w:ind w:firstLine="709"/>
        <w:jc w:val="both"/>
        <w:rPr>
          <w:rFonts w:ascii="Times New Roman" w:hAnsi="Times New Roman"/>
        </w:rPr>
      </w:pPr>
      <w:r>
        <w:rPr>
          <w:rFonts w:ascii="Times New Roman" w:hAnsi="Times New Roman"/>
        </w:rPr>
        <w:t>Рассматривать и анализировать архитектурные постройки своего города (села), характерные особенности улиц и площадей, выделять центральные по архитектуре здания и обсуждать их архитектурные особенности, приобретать представления, аналитический и эмоциональный опыт восприятия наиболее известных памятников архитектуры Москвы и Санкт-Петербурга (для жителей регионов на основе фотографий, телепередач и виртуальных путешествий), уметь обсуждать увиденные памятники.</w:t>
      </w:r>
    </w:p>
    <w:p w14:paraId="3CE01084">
      <w:pPr>
        <w:spacing w:after="0" w:line="360" w:lineRule="auto"/>
        <w:ind w:firstLine="709"/>
        <w:jc w:val="both"/>
        <w:rPr>
          <w:rFonts w:ascii="Times New Roman" w:hAnsi="Times New Roman"/>
        </w:rPr>
      </w:pPr>
      <w:r>
        <w:rPr>
          <w:rFonts w:ascii="Times New Roman" w:hAnsi="Times New Roman"/>
        </w:rPr>
        <w:t>Объяснять назначение основных видов пространственных искусств: изобразительных видов искусства – живописи, графики, скульптуры; архитектуры, дизайна, декоративно-прикладных видов искусства, а также деятельности художника в кино, в театре, на празднике.</w:t>
      </w:r>
    </w:p>
    <w:p w14:paraId="26F62825">
      <w:pPr>
        <w:spacing w:after="0" w:line="360" w:lineRule="auto"/>
        <w:ind w:firstLine="709"/>
        <w:jc w:val="both"/>
        <w:rPr>
          <w:rFonts w:ascii="Times New Roman" w:hAnsi="Times New Roman"/>
        </w:rPr>
      </w:pPr>
      <w:r>
        <w:rPr>
          <w:rFonts w:ascii="Times New Roman" w:hAnsi="Times New Roman"/>
        </w:rPr>
        <w:t>Называть основные жанры живописи, графики и скульптуры, определяемые предметом изображения.</w:t>
      </w:r>
    </w:p>
    <w:p w14:paraId="499260EA">
      <w:pPr>
        <w:spacing w:after="0" w:line="360" w:lineRule="auto"/>
        <w:ind w:firstLine="709"/>
        <w:jc w:val="both"/>
        <w:rPr>
          <w:rFonts w:ascii="Times New Roman" w:hAnsi="Times New Roman"/>
        </w:rPr>
      </w:pPr>
      <w:r>
        <w:rPr>
          <w:rFonts w:ascii="Times New Roman" w:hAnsi="Times New Roman" w:eastAsia="Times New Roman"/>
        </w:rPr>
        <w:t>Иметь представление об</w:t>
      </w:r>
      <w:r>
        <w:rPr>
          <w:rFonts w:ascii="Times New Roman" w:hAnsi="Times New Roman"/>
        </w:rPr>
        <w:t xml:space="preserve"> именах крупнейших отечественных художников-пейзажистов: И.И. Шишкина, И.И. Левитана, А.К. Саврасова, В.Д. Поленова, И.К. Айвазовского и других (по выбору учителя), приобретать представления об их произведениях.</w:t>
      </w:r>
    </w:p>
    <w:p w14:paraId="10E10F09">
      <w:pPr>
        <w:spacing w:after="0" w:line="360" w:lineRule="auto"/>
        <w:ind w:firstLine="709"/>
        <w:jc w:val="both"/>
        <w:rPr>
          <w:rFonts w:ascii="Times New Roman" w:hAnsi="Times New Roman"/>
        </w:rPr>
      </w:pPr>
      <w:r>
        <w:rPr>
          <w:rFonts w:ascii="Times New Roman" w:hAnsi="Times New Roman"/>
        </w:rPr>
        <w:t>Осуществлять виртуальные интерактивные путешествия в художественные музеи, участвовать в исследовательских квестах, в обсуждении впечатлений от виртуальных путешествий.</w:t>
      </w:r>
    </w:p>
    <w:p w14:paraId="1CADBB8A">
      <w:pPr>
        <w:spacing w:after="0" w:line="360" w:lineRule="auto"/>
        <w:ind w:firstLine="709"/>
        <w:jc w:val="both"/>
        <w:rPr>
          <w:rFonts w:ascii="Times New Roman" w:hAnsi="Times New Roman"/>
        </w:rPr>
      </w:pPr>
      <w:r>
        <w:rPr>
          <w:rFonts w:ascii="Times New Roman" w:hAnsi="Times New Roman" w:eastAsia="Times New Roman"/>
        </w:rPr>
        <w:t>иметь представление об</w:t>
      </w:r>
      <w:r>
        <w:rPr>
          <w:rFonts w:ascii="Times New Roman" w:hAnsi="Times New Roman"/>
        </w:rPr>
        <w:t xml:space="preserve"> именах крупнейших отечественных портретистов: В.И. Сурикова, И.Е. Репина, В.А. Серова и других (по выбору учителя), приобретать представления об их произведениях.</w:t>
      </w:r>
    </w:p>
    <w:p w14:paraId="5038B0EF">
      <w:pPr>
        <w:spacing w:after="0" w:line="360" w:lineRule="auto"/>
        <w:ind w:firstLine="709"/>
        <w:jc w:val="both"/>
        <w:rPr>
          <w:rFonts w:ascii="Times New Roman" w:hAnsi="Times New Roman"/>
        </w:rPr>
      </w:pPr>
      <w:r>
        <w:rPr>
          <w:rFonts w:ascii="Times New Roman" w:hAnsi="Times New Roman"/>
        </w:rPr>
        <w:t>Понимать значения музеев и называть, указывать, где находятся и чему посвящены их коллекции: Государственная Третьяковская галерея, Государственный Эрмитаж, Государственный Русский музей, Государственный музей изобразительных искусств имени А.С. Пушкина.</w:t>
      </w:r>
    </w:p>
    <w:p w14:paraId="43E0484B">
      <w:pPr>
        <w:spacing w:after="0" w:line="360" w:lineRule="auto"/>
        <w:ind w:firstLine="709"/>
        <w:jc w:val="both"/>
        <w:rPr>
          <w:rFonts w:ascii="Times New Roman" w:hAnsi="Times New Roman"/>
        </w:rPr>
      </w:pPr>
      <w:r>
        <w:rPr>
          <w:rFonts w:ascii="Times New Roman" w:hAnsi="Times New Roman"/>
        </w:rPr>
        <w:t>Иметь представление о замечательных художественных музеях России, о коллекциях своих региональных музеев.</w:t>
      </w:r>
    </w:p>
    <w:p w14:paraId="0E1FA3C8">
      <w:pPr>
        <w:spacing w:after="0" w:line="360" w:lineRule="auto"/>
        <w:ind w:firstLine="709"/>
        <w:jc w:val="both"/>
        <w:rPr>
          <w:rFonts w:ascii="Times New Roman" w:hAnsi="Times New Roman"/>
        </w:rPr>
      </w:pPr>
      <w:r>
        <w:rPr>
          <w:rFonts w:ascii="Times New Roman" w:hAnsi="Times New Roman"/>
        </w:rPr>
        <w:t>13.10.5.7. Модуль «Азбука цифровой графики».</w:t>
      </w:r>
    </w:p>
    <w:p w14:paraId="0A0A5219">
      <w:pPr>
        <w:spacing w:after="0" w:line="360" w:lineRule="auto"/>
        <w:ind w:firstLine="709"/>
        <w:jc w:val="both"/>
        <w:rPr>
          <w:rFonts w:ascii="Times New Roman" w:hAnsi="Times New Roman"/>
        </w:rPr>
      </w:pPr>
      <w:r>
        <w:rPr>
          <w:rFonts w:ascii="Times New Roman" w:hAnsi="Times New Roman"/>
        </w:rPr>
        <w:t>Осваивать приёмы работы в графическом редакторе с линиями, геометрическими фигурами, инструментами традиционного рисования.</w:t>
      </w:r>
    </w:p>
    <w:p w14:paraId="16DFDB0F">
      <w:pPr>
        <w:spacing w:after="0" w:line="360" w:lineRule="auto"/>
        <w:ind w:firstLine="709"/>
        <w:jc w:val="both"/>
        <w:rPr>
          <w:rFonts w:ascii="Times New Roman" w:hAnsi="Times New Roman"/>
        </w:rPr>
      </w:pPr>
      <w:r>
        <w:rPr>
          <w:rFonts w:ascii="Times New Roman" w:hAnsi="Times New Roman"/>
        </w:rPr>
        <w:t>Применять получаемые навыки для усвоения определённых учебных тем, например: исследования свойств ритма и построения ритмических композиций, составления орнаментов путём различных повторений рисунка узора, простого повторения (раппорт), экспериментируя на свойствах симметрии; создание паттернов.</w:t>
      </w:r>
    </w:p>
    <w:p w14:paraId="52410DCF">
      <w:pPr>
        <w:spacing w:after="0" w:line="360" w:lineRule="auto"/>
        <w:ind w:firstLine="709"/>
        <w:jc w:val="both"/>
        <w:rPr>
          <w:rFonts w:ascii="Times New Roman" w:hAnsi="Times New Roman"/>
        </w:rPr>
      </w:pPr>
      <w:r>
        <w:rPr>
          <w:rFonts w:ascii="Times New Roman" w:hAnsi="Times New Roman"/>
        </w:rPr>
        <w:t>Осваивать с помощью создания схемы лица человека его конструкцию и пропорции; осваивать с помощью графического редактора схематическое изменение мимики лица.</w:t>
      </w:r>
    </w:p>
    <w:p w14:paraId="6E5508FC">
      <w:pPr>
        <w:spacing w:after="0" w:line="360" w:lineRule="auto"/>
        <w:ind w:firstLine="709"/>
        <w:jc w:val="both"/>
        <w:rPr>
          <w:rFonts w:ascii="Times New Roman" w:hAnsi="Times New Roman"/>
        </w:rPr>
      </w:pPr>
      <w:r>
        <w:rPr>
          <w:rFonts w:ascii="Times New Roman" w:hAnsi="Times New Roman"/>
        </w:rPr>
        <w:t>Осваивать приёмы соединения шрифта и векторного изображения при создании, например, поздравительных открыток, афиши.</w:t>
      </w:r>
    </w:p>
    <w:p w14:paraId="52E26BCF">
      <w:pPr>
        <w:spacing w:after="0" w:line="360" w:lineRule="auto"/>
        <w:ind w:firstLine="709"/>
        <w:jc w:val="both"/>
        <w:rPr>
          <w:rFonts w:ascii="Times New Roman" w:hAnsi="Times New Roman"/>
        </w:rPr>
      </w:pPr>
      <w:r>
        <w:rPr>
          <w:rFonts w:ascii="Times New Roman" w:hAnsi="Times New Roman"/>
        </w:rPr>
        <w:t>Осваивать приёмы редактирования цифровых фотографий с помощью компьютерной программы Picture Manager (или другой): изменение яркости, контраста и насыщенности цвета, обрезка изображения, поворот, отражение.</w:t>
      </w:r>
    </w:p>
    <w:p w14:paraId="5FE81EA8">
      <w:pPr>
        <w:spacing w:after="0" w:line="360" w:lineRule="auto"/>
        <w:ind w:firstLine="709"/>
        <w:jc w:val="both"/>
        <w:rPr>
          <w:rFonts w:ascii="Times New Roman" w:hAnsi="Times New Roman"/>
        </w:rPr>
      </w:pPr>
      <w:r>
        <w:rPr>
          <w:rFonts w:ascii="Times New Roman" w:hAnsi="Times New Roman"/>
        </w:rPr>
        <w:t>Осуществлять виртуальные путешествия в отечественные художественные музеи и, возможно, знаменитые зарубежные художественные музеи на основе установок и квестов, предложенных учителем.</w:t>
      </w:r>
      <w:bookmarkStart w:id="240" w:name="_TOC_250001"/>
    </w:p>
    <w:bookmarkEnd w:id="240"/>
    <w:p w14:paraId="627E419D">
      <w:pPr>
        <w:spacing w:after="0" w:line="360" w:lineRule="auto"/>
        <w:ind w:firstLine="709"/>
        <w:jc w:val="both"/>
        <w:rPr>
          <w:rFonts w:ascii="Times New Roman" w:hAnsi="Times New Roman"/>
        </w:rPr>
      </w:pPr>
      <w:r>
        <w:rPr>
          <w:rFonts w:ascii="Times New Roman" w:hAnsi="Times New Roman"/>
        </w:rPr>
        <w:t>13.10.6. К концу обучения в 4 классе обучающийся получит следующие предметные результаты по отдельным темам программы по изобразительному искусству:</w:t>
      </w:r>
    </w:p>
    <w:p w14:paraId="0DE43304">
      <w:pPr>
        <w:spacing w:after="0" w:line="360" w:lineRule="auto"/>
        <w:ind w:firstLine="709"/>
        <w:jc w:val="both"/>
        <w:rPr>
          <w:rFonts w:ascii="Times New Roman" w:hAnsi="Times New Roman"/>
        </w:rPr>
      </w:pPr>
      <w:r>
        <w:rPr>
          <w:rFonts w:ascii="Times New Roman" w:hAnsi="Times New Roman"/>
        </w:rPr>
        <w:t>13.10.6.1. Модуль «Графика».</w:t>
      </w:r>
    </w:p>
    <w:p w14:paraId="3AA1A0AD">
      <w:pPr>
        <w:spacing w:after="0" w:line="360" w:lineRule="auto"/>
        <w:ind w:firstLine="709"/>
        <w:jc w:val="both"/>
        <w:rPr>
          <w:rFonts w:ascii="Times New Roman" w:hAnsi="Times New Roman"/>
        </w:rPr>
      </w:pPr>
      <w:r>
        <w:rPr>
          <w:rFonts w:ascii="Times New Roman" w:hAnsi="Times New Roman"/>
        </w:rPr>
        <w:t>Осваивать правила линейной и воздушной перспективы и применять их в своей практической творческой деятельности. Изучать основные пропорции фигуры человека, пропорциональные отношения отдельных частей фигуры и учиться применять эти знания в своих рисунках.</w:t>
      </w:r>
    </w:p>
    <w:p w14:paraId="234A66D6">
      <w:pPr>
        <w:spacing w:after="0" w:line="360" w:lineRule="auto"/>
        <w:ind w:firstLine="709"/>
        <w:jc w:val="both"/>
        <w:rPr>
          <w:rFonts w:ascii="Times New Roman" w:hAnsi="Times New Roman"/>
        </w:rPr>
      </w:pPr>
      <w:r>
        <w:rPr>
          <w:rFonts w:ascii="Times New Roman" w:hAnsi="Times New Roman"/>
        </w:rPr>
        <w:t>Приобретать представление о традиционных одеждах разных народов и представление о красоте человека в разных культурах, применять эти знания в изображении персонажей сказаний и легенд или просто представителей народов разных культур.</w:t>
      </w:r>
    </w:p>
    <w:p w14:paraId="6F9F165B">
      <w:pPr>
        <w:spacing w:after="0" w:line="360" w:lineRule="auto"/>
        <w:ind w:firstLine="709"/>
        <w:jc w:val="both"/>
        <w:rPr>
          <w:rFonts w:ascii="Times New Roman" w:hAnsi="Times New Roman"/>
        </w:rPr>
      </w:pPr>
      <w:r>
        <w:rPr>
          <w:rFonts w:ascii="Times New Roman" w:hAnsi="Times New Roman"/>
        </w:rPr>
        <w:t>Создавать зарисовки памятников отечественной и мировой архитектуры.</w:t>
      </w:r>
    </w:p>
    <w:p w14:paraId="5750B33B">
      <w:pPr>
        <w:spacing w:after="0" w:line="360" w:lineRule="auto"/>
        <w:ind w:firstLine="709"/>
        <w:jc w:val="both"/>
        <w:rPr>
          <w:rFonts w:ascii="Times New Roman" w:hAnsi="Times New Roman"/>
        </w:rPr>
      </w:pPr>
      <w:r>
        <w:rPr>
          <w:rFonts w:ascii="Times New Roman" w:hAnsi="Times New Roman"/>
        </w:rPr>
        <w:t>13.10.6.2. Модуль «Живопись».</w:t>
      </w:r>
    </w:p>
    <w:p w14:paraId="4CE83740">
      <w:pPr>
        <w:spacing w:after="0" w:line="360" w:lineRule="auto"/>
        <w:ind w:firstLine="709"/>
        <w:jc w:val="both"/>
        <w:rPr>
          <w:rFonts w:ascii="Times New Roman" w:hAnsi="Times New Roman"/>
        </w:rPr>
      </w:pPr>
      <w:r>
        <w:rPr>
          <w:rFonts w:ascii="Times New Roman" w:hAnsi="Times New Roman"/>
        </w:rPr>
        <w:t>Выполнять живописное изображение пейзажей разных климатических зон (пейзаж гор, пейзаж степной или пустынной зоны, пейзаж, типичный для среднерусской природы).</w:t>
      </w:r>
    </w:p>
    <w:p w14:paraId="5251D341">
      <w:pPr>
        <w:spacing w:after="0" w:line="360" w:lineRule="auto"/>
        <w:ind w:firstLine="709"/>
        <w:jc w:val="both"/>
        <w:rPr>
          <w:rFonts w:ascii="Times New Roman" w:hAnsi="Times New Roman"/>
        </w:rPr>
      </w:pPr>
      <w:r>
        <w:rPr>
          <w:rFonts w:ascii="Times New Roman" w:hAnsi="Times New Roman"/>
        </w:rPr>
        <w:t>Передавать в изображении народные представления о красоте человека, создавать образ женщины в русском народном костюме и образ мужчины в народном костюме.</w:t>
      </w:r>
    </w:p>
    <w:p w14:paraId="609AA8C5">
      <w:pPr>
        <w:spacing w:after="0" w:line="360" w:lineRule="auto"/>
        <w:ind w:firstLine="709"/>
        <w:jc w:val="both"/>
        <w:rPr>
          <w:rFonts w:ascii="Times New Roman" w:hAnsi="Times New Roman"/>
        </w:rPr>
      </w:pPr>
      <w:r>
        <w:rPr>
          <w:rFonts w:ascii="Times New Roman" w:hAnsi="Times New Roman"/>
        </w:rPr>
        <w:t>Приобретать опыт создания портретов женских и мужских, портрета пожилого человека, детского портрета или автопортрета, портрета персонажа (по представлению из выбранной культурной эпохи).</w:t>
      </w:r>
    </w:p>
    <w:p w14:paraId="332B7387">
      <w:pPr>
        <w:spacing w:after="0" w:line="360" w:lineRule="auto"/>
        <w:ind w:firstLine="709"/>
        <w:jc w:val="both"/>
        <w:rPr>
          <w:rFonts w:ascii="Times New Roman" w:hAnsi="Times New Roman"/>
        </w:rPr>
      </w:pPr>
      <w:r>
        <w:rPr>
          <w:rFonts w:ascii="Times New Roman" w:hAnsi="Times New Roman"/>
        </w:rPr>
        <w:t>Создавать двойной портрет (например, портрет матери и ребёнка).</w:t>
      </w:r>
    </w:p>
    <w:p w14:paraId="6E37416A">
      <w:pPr>
        <w:spacing w:after="0" w:line="360" w:lineRule="auto"/>
        <w:ind w:firstLine="709"/>
        <w:jc w:val="both"/>
        <w:rPr>
          <w:rFonts w:ascii="Times New Roman" w:hAnsi="Times New Roman"/>
        </w:rPr>
      </w:pPr>
      <w:r>
        <w:rPr>
          <w:rFonts w:ascii="Times New Roman" w:hAnsi="Times New Roman"/>
        </w:rPr>
        <w:t>Приобретать опыт создания композиции на тему «Древнерусский город».</w:t>
      </w:r>
    </w:p>
    <w:p w14:paraId="17092025">
      <w:pPr>
        <w:spacing w:after="0" w:line="360" w:lineRule="auto"/>
        <w:ind w:firstLine="709"/>
        <w:jc w:val="both"/>
        <w:rPr>
          <w:rFonts w:ascii="Times New Roman" w:hAnsi="Times New Roman"/>
        </w:rPr>
      </w:pPr>
      <w:r>
        <w:rPr>
          <w:rFonts w:ascii="Times New Roman" w:hAnsi="Times New Roman"/>
        </w:rPr>
        <w:t>Участвовать в коллективной творческой работе по созданию композиционного панно (аппликации из индивидуальных рисунков) на темы народных праздников (русского народного праздника и традиционных праздников у разных народов), в которых выражается обобщённый образ национальной культуры.</w:t>
      </w:r>
    </w:p>
    <w:p w14:paraId="08026FF3">
      <w:pPr>
        <w:spacing w:after="0" w:line="360" w:lineRule="auto"/>
        <w:ind w:firstLine="709"/>
        <w:jc w:val="both"/>
        <w:rPr>
          <w:rFonts w:ascii="Times New Roman" w:hAnsi="Times New Roman"/>
        </w:rPr>
      </w:pPr>
      <w:r>
        <w:rPr>
          <w:rFonts w:ascii="Times New Roman" w:hAnsi="Times New Roman"/>
        </w:rPr>
        <w:t>13.10.6.3. Модуль «Скульптура».</w:t>
      </w:r>
    </w:p>
    <w:p w14:paraId="176F2C89">
      <w:pPr>
        <w:spacing w:after="0" w:line="360" w:lineRule="auto"/>
        <w:ind w:firstLine="709"/>
        <w:jc w:val="both"/>
        <w:rPr>
          <w:rFonts w:ascii="Times New Roman" w:hAnsi="Times New Roman"/>
        </w:rPr>
      </w:pPr>
      <w:r>
        <w:rPr>
          <w:rFonts w:ascii="Times New Roman" w:hAnsi="Times New Roman"/>
        </w:rPr>
        <w:t>Лепка из пластилина эскиза памятника выбранному герою или участие в коллективной разработке проекта макета мемориального комплекса (работа выполняется после освоения собранного материала о мемориальных комплексах, существующих в нашей стране).</w:t>
      </w:r>
    </w:p>
    <w:p w14:paraId="07239B4D">
      <w:pPr>
        <w:spacing w:after="0" w:line="360" w:lineRule="auto"/>
        <w:ind w:firstLine="709"/>
        <w:jc w:val="both"/>
        <w:rPr>
          <w:rFonts w:ascii="Times New Roman" w:hAnsi="Times New Roman"/>
        </w:rPr>
      </w:pPr>
      <w:r>
        <w:rPr>
          <w:rFonts w:ascii="Times New Roman" w:hAnsi="Times New Roman"/>
        </w:rPr>
        <w:t>13.10.6.4. Модуль «Декоративно-прикладное искусство».</w:t>
      </w:r>
    </w:p>
    <w:p w14:paraId="05613508">
      <w:pPr>
        <w:spacing w:after="0" w:line="360" w:lineRule="auto"/>
        <w:ind w:firstLine="709"/>
        <w:jc w:val="both"/>
        <w:rPr>
          <w:rFonts w:ascii="Times New Roman" w:hAnsi="Times New Roman"/>
        </w:rPr>
      </w:pPr>
      <w:r>
        <w:rPr>
          <w:rFonts w:ascii="Times New Roman" w:hAnsi="Times New Roman"/>
        </w:rPr>
        <w:t>Исследовать и создавать зарисовки особенностей, характерных для орнаментов разных народов или исторических эпох (особенности символов и стилизованных мотивов), показать в рисунках традиции использования орнаментов в архитектуре, одежде, оформлении предметов быта у разных народов, в разные эпохи.</w:t>
      </w:r>
    </w:p>
    <w:p w14:paraId="1DB4B89D">
      <w:pPr>
        <w:spacing w:after="0" w:line="360" w:lineRule="auto"/>
        <w:ind w:firstLine="709"/>
        <w:jc w:val="both"/>
        <w:rPr>
          <w:rFonts w:ascii="Times New Roman" w:hAnsi="Times New Roman"/>
        </w:rPr>
      </w:pPr>
      <w:r>
        <w:rPr>
          <w:rFonts w:ascii="Times New Roman" w:hAnsi="Times New Roman"/>
        </w:rPr>
        <w:t>Изучить и показать в практической творческой работе орнаменты, традиционные мотивы и символы русской народной культуры (в деревянной резьбе и росписи по дереву, вышивке, декоре головных уборов, орнаментах, которые характерны для предметов быта).</w:t>
      </w:r>
    </w:p>
    <w:p w14:paraId="5BA6063C">
      <w:pPr>
        <w:spacing w:after="0" w:line="360" w:lineRule="auto"/>
        <w:ind w:firstLine="709"/>
        <w:jc w:val="both"/>
        <w:rPr>
          <w:rFonts w:ascii="Times New Roman" w:hAnsi="Times New Roman"/>
        </w:rPr>
      </w:pPr>
      <w:r>
        <w:rPr>
          <w:rFonts w:ascii="Times New Roman" w:hAnsi="Times New Roman"/>
        </w:rPr>
        <w:t>Получить представления о красоте русского народного костюма и головных женских уборов, особенностях мужской одежды разных сословий, а также о связи украшения костюма мужчины с родом его занятий и положением в обществе.</w:t>
      </w:r>
    </w:p>
    <w:p w14:paraId="2DB4B874">
      <w:pPr>
        <w:spacing w:after="0" w:line="360" w:lineRule="auto"/>
        <w:ind w:firstLine="709"/>
        <w:jc w:val="both"/>
        <w:rPr>
          <w:rFonts w:ascii="Times New Roman" w:hAnsi="Times New Roman"/>
        </w:rPr>
      </w:pPr>
      <w:r>
        <w:rPr>
          <w:rFonts w:ascii="Times New Roman" w:hAnsi="Times New Roman"/>
        </w:rPr>
        <w:t>Познакомиться с женским и мужским костюмами в традициях разных народов, со своеобразием одежды в разных культурах и в разные эпохи.</w:t>
      </w:r>
    </w:p>
    <w:p w14:paraId="4F9C2DA7">
      <w:pPr>
        <w:spacing w:after="0" w:line="360" w:lineRule="auto"/>
        <w:ind w:firstLine="709"/>
        <w:jc w:val="both"/>
        <w:rPr>
          <w:rFonts w:ascii="Times New Roman" w:hAnsi="Times New Roman"/>
        </w:rPr>
      </w:pPr>
      <w:r>
        <w:rPr>
          <w:rFonts w:ascii="Times New Roman" w:hAnsi="Times New Roman"/>
        </w:rPr>
        <w:t>13.10.6.5. Модуль «Архитектура».</w:t>
      </w:r>
    </w:p>
    <w:p w14:paraId="20BFE1DC">
      <w:pPr>
        <w:spacing w:after="0" w:line="360" w:lineRule="auto"/>
        <w:ind w:firstLine="709"/>
        <w:jc w:val="both"/>
        <w:rPr>
          <w:rFonts w:ascii="Times New Roman" w:hAnsi="Times New Roman"/>
        </w:rPr>
      </w:pPr>
      <w:r>
        <w:rPr>
          <w:rFonts w:ascii="Times New Roman" w:hAnsi="Times New Roman"/>
        </w:rPr>
        <w:t>Получить представление о конструкции традиционных жилищ у разных народов, об их связи с окружающей природой.</w:t>
      </w:r>
    </w:p>
    <w:p w14:paraId="590A0130">
      <w:pPr>
        <w:spacing w:after="0" w:line="360" w:lineRule="auto"/>
        <w:ind w:firstLine="709"/>
        <w:jc w:val="both"/>
        <w:rPr>
          <w:rFonts w:ascii="Times New Roman" w:hAnsi="Times New Roman"/>
        </w:rPr>
      </w:pPr>
      <w:r>
        <w:rPr>
          <w:rFonts w:ascii="Times New Roman" w:hAnsi="Times New Roman"/>
        </w:rPr>
        <w:t>Познакомиться с конструкцией избы – традиционного деревянного жилого дома – и надворных построек, строить из бумаги или изображать конструкцию избы, понимать и уметь объяснять тесную связь декора (украшений) избы с функциональным значением тех же деталей: единство красоты и пользы. Иметь представления о конструктивных особенностях переносного жилища – юрты.</w:t>
      </w:r>
    </w:p>
    <w:p w14:paraId="41A14CD7">
      <w:pPr>
        <w:spacing w:after="0" w:line="360" w:lineRule="auto"/>
        <w:ind w:firstLine="709"/>
        <w:jc w:val="both"/>
        <w:rPr>
          <w:rFonts w:ascii="Times New Roman" w:hAnsi="Times New Roman"/>
        </w:rPr>
      </w:pPr>
      <w:r>
        <w:rPr>
          <w:rFonts w:ascii="Times New Roman" w:hAnsi="Times New Roman"/>
        </w:rPr>
        <w:t xml:space="preserve">Уметь объяснять и изображать традиционную конструкцию здания каменного древнерусского храма, </w:t>
      </w:r>
      <w:r>
        <w:rPr>
          <w:rFonts w:ascii="Times New Roman" w:hAnsi="Times New Roman" w:eastAsia="Times New Roman"/>
        </w:rPr>
        <w:t>иметь представление о</w:t>
      </w:r>
      <w:r>
        <w:rPr>
          <w:rFonts w:ascii="Times New Roman" w:hAnsi="Times New Roman"/>
        </w:rPr>
        <w:t xml:space="preserve"> наиболее значительных древнерусских соборах и их местонахождении, о красоте и конструктивных особенностях памятников русского деревянного зодчества. Иметь представления об устройстве и красоте древнерусского города, его архитектурном устройстве и жизни в нём людей. </w:t>
      </w:r>
      <w:r>
        <w:rPr>
          <w:rFonts w:ascii="Times New Roman" w:hAnsi="Times New Roman" w:eastAsia="Times New Roman"/>
        </w:rPr>
        <w:t xml:space="preserve">Иметь представление об </w:t>
      </w:r>
      <w:r>
        <w:rPr>
          <w:rFonts w:ascii="Times New Roman" w:hAnsi="Times New Roman"/>
        </w:rPr>
        <w:t>основных конструктивных чертах древнегреческого храма, уметь его изображать, иметь общее, целостное образное представление о древнегреческой культуре.</w:t>
      </w:r>
    </w:p>
    <w:p w14:paraId="5E2A5D86">
      <w:pPr>
        <w:spacing w:after="0" w:line="360" w:lineRule="auto"/>
        <w:ind w:firstLine="709"/>
        <w:jc w:val="both"/>
        <w:rPr>
          <w:rFonts w:ascii="Times New Roman" w:hAnsi="Times New Roman"/>
        </w:rPr>
      </w:pPr>
      <w:r>
        <w:rPr>
          <w:rFonts w:ascii="Times New Roman" w:hAnsi="Times New Roman"/>
        </w:rPr>
        <w:t>Иметь представление об основных характерных чертах храмовых сооружений, характерных для разных культур: готический (романский) собор в европейских городах, буддийская пагода, мусульманская мечеть, уметь изображать их.</w:t>
      </w:r>
    </w:p>
    <w:p w14:paraId="70320637">
      <w:pPr>
        <w:spacing w:after="0" w:line="360" w:lineRule="auto"/>
        <w:ind w:firstLine="709"/>
        <w:jc w:val="both"/>
        <w:rPr>
          <w:rFonts w:ascii="Times New Roman" w:hAnsi="Times New Roman"/>
        </w:rPr>
      </w:pPr>
      <w:r>
        <w:rPr>
          <w:rFonts w:ascii="Times New Roman" w:hAnsi="Times New Roman"/>
        </w:rPr>
        <w:t>Понимать и объяснять, в чём заключается значимость для современных людей сохранения архитектурных памятников и исторического образа своей и мировой культуры.</w:t>
      </w:r>
    </w:p>
    <w:p w14:paraId="37EBB627">
      <w:pPr>
        <w:spacing w:after="0" w:line="360" w:lineRule="auto"/>
        <w:ind w:firstLine="709"/>
        <w:jc w:val="both"/>
        <w:rPr>
          <w:rFonts w:ascii="Times New Roman" w:hAnsi="Times New Roman"/>
        </w:rPr>
      </w:pPr>
      <w:r>
        <w:rPr>
          <w:rFonts w:ascii="Times New Roman" w:hAnsi="Times New Roman"/>
        </w:rPr>
        <w:t>13.10.6.6. Модуль «Восприятие произведений искусства».</w:t>
      </w:r>
    </w:p>
    <w:p w14:paraId="5AAFA985">
      <w:pPr>
        <w:spacing w:after="0" w:line="360" w:lineRule="auto"/>
        <w:ind w:firstLine="709"/>
        <w:jc w:val="both"/>
        <w:rPr>
          <w:rFonts w:ascii="Times New Roman" w:hAnsi="Times New Roman"/>
        </w:rPr>
      </w:pPr>
      <w:r>
        <w:rPr>
          <w:rFonts w:ascii="Times New Roman" w:hAnsi="Times New Roman"/>
        </w:rPr>
        <w:t>Формировать восприятие произведений искусства на темы истории и традиций русской отечественной культуры (произведения В.М. Васнецова, А.М. Васнецова, Б.М. Кустодиева, В.И. Сурикова, К.А. Коровина, А.Г. Венецианова, А.П. Рябушкина, И.Я. Билибина и других по выбору учителя).</w:t>
      </w:r>
    </w:p>
    <w:p w14:paraId="1724AED3">
      <w:pPr>
        <w:spacing w:after="0" w:line="360" w:lineRule="auto"/>
        <w:ind w:firstLine="709"/>
        <w:jc w:val="both"/>
        <w:rPr>
          <w:rFonts w:ascii="Times New Roman" w:hAnsi="Times New Roman"/>
        </w:rPr>
      </w:pPr>
      <w:r>
        <w:rPr>
          <w:rFonts w:ascii="Times New Roman" w:hAnsi="Times New Roman"/>
        </w:rPr>
        <w:t>Иметь образные представления о каменном древнерусском зодчестве (Московский Кремль, Новгородский детинец, Псковский кром, Казанский кремль и другие с учётом местных архитектурных комплексов, в том числе монастырских), о памятниках русского деревянного зодчества (архитектурный комплекс на острове Кижи).</w:t>
      </w:r>
    </w:p>
    <w:p w14:paraId="01BC7071">
      <w:pPr>
        <w:spacing w:after="0" w:line="360" w:lineRule="auto"/>
        <w:ind w:firstLine="709"/>
        <w:jc w:val="both"/>
        <w:rPr>
          <w:rFonts w:ascii="Times New Roman" w:hAnsi="Times New Roman"/>
        </w:rPr>
      </w:pPr>
      <w:r>
        <w:rPr>
          <w:rFonts w:ascii="Times New Roman" w:hAnsi="Times New Roman"/>
        </w:rPr>
        <w:t>Узнавать соборы Московского Кремля, Софийский собор в Великом Новгороде, храм Покрова на Нерли.</w:t>
      </w:r>
    </w:p>
    <w:p w14:paraId="30FEEB43">
      <w:pPr>
        <w:spacing w:after="0" w:line="360" w:lineRule="auto"/>
        <w:ind w:firstLine="709"/>
        <w:jc w:val="both"/>
        <w:rPr>
          <w:rFonts w:ascii="Times New Roman" w:hAnsi="Times New Roman"/>
        </w:rPr>
      </w:pPr>
      <w:r>
        <w:rPr>
          <w:rFonts w:ascii="Times New Roman" w:hAnsi="Times New Roman"/>
        </w:rPr>
        <w:t>Называть и объяснять содержание памятника К. Минину и Д. Пожарскому скульптора И.П. Мартоса в Москве.</w:t>
      </w:r>
    </w:p>
    <w:p w14:paraId="68C1CA29">
      <w:pPr>
        <w:spacing w:after="0" w:line="360" w:lineRule="auto"/>
        <w:ind w:firstLine="709"/>
        <w:jc w:val="both"/>
        <w:rPr>
          <w:rFonts w:ascii="Times New Roman" w:hAnsi="Times New Roman"/>
        </w:rPr>
      </w:pPr>
      <w:r>
        <w:rPr>
          <w:rFonts w:ascii="Times New Roman" w:hAnsi="Times New Roman"/>
        </w:rPr>
        <w:t xml:space="preserve">Различать основные памятники наиболее значимых мемориальных ансамблей и объяснять их особое значение в жизни людей (мемориальные ансамбли: Могила Неизвестного Солдата в Москве; памятник-ансамбль «Героям Сталинградской битвы» на Мамаевом кургане, «Воин-освободитель» в берлинском Трептов-парке, Пискарёвский мемориал в Санкт-Петербурге и другие по выбору учителя), </w:t>
      </w:r>
      <w:r>
        <w:rPr>
          <w:rFonts w:ascii="Times New Roman" w:hAnsi="Times New Roman" w:eastAsia="Times New Roman"/>
        </w:rPr>
        <w:t>иметь представление о</w:t>
      </w:r>
      <w:r>
        <w:rPr>
          <w:rFonts w:ascii="Times New Roman" w:hAnsi="Times New Roman"/>
        </w:rPr>
        <w:t xml:space="preserve"> правилах поведения при посещении мемориальных памятников.</w:t>
      </w:r>
    </w:p>
    <w:p w14:paraId="37BF2CE9">
      <w:pPr>
        <w:spacing w:after="0" w:line="360" w:lineRule="auto"/>
        <w:ind w:firstLine="709"/>
        <w:jc w:val="both"/>
        <w:rPr>
          <w:rFonts w:ascii="Times New Roman" w:hAnsi="Times New Roman"/>
        </w:rPr>
      </w:pPr>
      <w:r>
        <w:rPr>
          <w:rFonts w:ascii="Times New Roman" w:hAnsi="Times New Roman"/>
        </w:rPr>
        <w:t>Иметь представления об архитектурных, декоративных и изобразительных произведениях в культуре Древней Греции, других культурах Древнего мира, в том числе Древнего Востока, уметь обсуждать эти произведения.</w:t>
      </w:r>
    </w:p>
    <w:p w14:paraId="16D73850">
      <w:pPr>
        <w:spacing w:after="0" w:line="360" w:lineRule="auto"/>
        <w:ind w:firstLine="709"/>
        <w:jc w:val="both"/>
        <w:rPr>
          <w:rFonts w:ascii="Times New Roman" w:hAnsi="Times New Roman"/>
        </w:rPr>
      </w:pPr>
      <w:r>
        <w:rPr>
          <w:rFonts w:ascii="Times New Roman" w:hAnsi="Times New Roman"/>
        </w:rPr>
        <w:t xml:space="preserve">Различать общий вид и представлять основные компоненты конструкции готических (романских) соборов, </w:t>
      </w:r>
      <w:r>
        <w:rPr>
          <w:rFonts w:ascii="Times New Roman" w:hAnsi="Times New Roman" w:eastAsia="Times New Roman"/>
        </w:rPr>
        <w:t>иметь представление об</w:t>
      </w:r>
      <w:r>
        <w:rPr>
          <w:rFonts w:ascii="Times New Roman" w:hAnsi="Times New Roman"/>
        </w:rPr>
        <w:t xml:space="preserve"> особенностях архитектурного устройства мусульманских мечетей, иметь представление об архитектурном своеобразии здания буддийской пагоды.</w:t>
      </w:r>
    </w:p>
    <w:p w14:paraId="6BFB6449">
      <w:pPr>
        <w:spacing w:after="0" w:line="360" w:lineRule="auto"/>
        <w:ind w:firstLine="709"/>
        <w:jc w:val="both"/>
        <w:rPr>
          <w:rFonts w:ascii="Times New Roman" w:hAnsi="Times New Roman"/>
        </w:rPr>
      </w:pPr>
      <w:r>
        <w:rPr>
          <w:rFonts w:ascii="Times New Roman" w:hAnsi="Times New Roman"/>
        </w:rPr>
        <w:t>Приводить примеры произведений великих европейских художников: Леонардо да Винчи, Рафаэля, Рембрандта, Пикассо и других (по выбору учителя).</w:t>
      </w:r>
    </w:p>
    <w:p w14:paraId="3A908998">
      <w:pPr>
        <w:spacing w:after="0" w:line="360" w:lineRule="auto"/>
        <w:ind w:firstLine="709"/>
        <w:jc w:val="both"/>
        <w:rPr>
          <w:rFonts w:ascii="Times New Roman" w:hAnsi="Times New Roman"/>
        </w:rPr>
      </w:pPr>
      <w:r>
        <w:rPr>
          <w:rFonts w:ascii="Times New Roman" w:hAnsi="Times New Roman"/>
        </w:rPr>
        <w:t>13.10.6.7. Модуль «Азбука цифровой графики».</w:t>
      </w:r>
    </w:p>
    <w:p w14:paraId="03E7803A">
      <w:pPr>
        <w:spacing w:after="0" w:line="360" w:lineRule="auto"/>
        <w:ind w:firstLine="709"/>
        <w:jc w:val="both"/>
        <w:rPr>
          <w:rFonts w:ascii="Times New Roman" w:hAnsi="Times New Roman"/>
        </w:rPr>
      </w:pPr>
      <w:r>
        <w:rPr>
          <w:rFonts w:ascii="Times New Roman" w:hAnsi="Times New Roman"/>
        </w:rPr>
        <w:t>Осваивать правила линейной и воздушной перспективы с помощью графических изображений и их варьирования в компьютерной программе Paint: изображение линии горизонта и точки схода, перспективных сокращений, цветовых и тональных изменений.</w:t>
      </w:r>
    </w:p>
    <w:p w14:paraId="1436CF65">
      <w:pPr>
        <w:spacing w:after="0" w:line="360" w:lineRule="auto"/>
        <w:ind w:firstLine="709"/>
        <w:jc w:val="both"/>
        <w:rPr>
          <w:rFonts w:ascii="Times New Roman" w:hAnsi="Times New Roman"/>
        </w:rPr>
      </w:pPr>
      <w:r>
        <w:rPr>
          <w:rFonts w:ascii="Times New Roman" w:hAnsi="Times New Roman"/>
        </w:rPr>
        <w:t>Моделировать в графическом редакторе с помощью инструментов геометрических фигур конструкцию традиционного крестьянского деревянного дома (избы) и различные варианты его устройства.</w:t>
      </w:r>
    </w:p>
    <w:p w14:paraId="37D72D95">
      <w:pPr>
        <w:spacing w:after="0" w:line="360" w:lineRule="auto"/>
        <w:ind w:firstLine="709"/>
        <w:jc w:val="both"/>
        <w:rPr>
          <w:rFonts w:ascii="Times New Roman" w:hAnsi="Times New Roman"/>
        </w:rPr>
      </w:pPr>
      <w:r>
        <w:rPr>
          <w:rFonts w:ascii="Times New Roman" w:hAnsi="Times New Roman"/>
        </w:rPr>
        <w:t>Использовать поисковую систему для знакомства с разными видами деревянного дома на основе избы и традициями и её украшений.</w:t>
      </w:r>
    </w:p>
    <w:p w14:paraId="5D2A61B3">
      <w:pPr>
        <w:spacing w:after="0" w:line="360" w:lineRule="auto"/>
        <w:ind w:firstLine="709"/>
        <w:jc w:val="both"/>
        <w:rPr>
          <w:rFonts w:ascii="Times New Roman" w:hAnsi="Times New Roman"/>
        </w:rPr>
      </w:pPr>
      <w:r>
        <w:rPr>
          <w:rFonts w:ascii="Times New Roman" w:hAnsi="Times New Roman"/>
        </w:rPr>
        <w:t>Осваивать строение юрты, моделируя её конструкцию в графическом редакторе с помощью инструментов геометрических фигур, находить в поисковой системе разнообразные модели юрты, её украшения, внешний и внутренний вид юрты.</w:t>
      </w:r>
    </w:p>
    <w:p w14:paraId="3E58D92C">
      <w:pPr>
        <w:spacing w:after="0" w:line="360" w:lineRule="auto"/>
        <w:ind w:firstLine="709"/>
        <w:jc w:val="both"/>
        <w:rPr>
          <w:rFonts w:ascii="Times New Roman" w:hAnsi="Times New Roman"/>
        </w:rPr>
      </w:pPr>
      <w:r>
        <w:rPr>
          <w:rFonts w:ascii="Times New Roman" w:hAnsi="Times New Roman"/>
        </w:rPr>
        <w:t>Моделировать в графическом редакторе с помощью инструментов геометрических фигур конструкции храмовых зданий разных культур (каменный православный собор с закомарами, со сводами-нефами, главой, куполом, готический или романский собор, пагода, мечеть).</w:t>
      </w:r>
    </w:p>
    <w:p w14:paraId="37DEE205">
      <w:pPr>
        <w:spacing w:after="0" w:line="360" w:lineRule="auto"/>
        <w:ind w:firstLine="709"/>
        <w:jc w:val="both"/>
        <w:rPr>
          <w:rFonts w:ascii="Times New Roman" w:hAnsi="Times New Roman"/>
        </w:rPr>
      </w:pPr>
      <w:r>
        <w:rPr>
          <w:rFonts w:ascii="Times New Roman" w:hAnsi="Times New Roman"/>
        </w:rPr>
        <w:t>Построить пропорции фигуры человека в графическом редакторе с помощью геометрических фигур или на линейной основе; изобразить различные фазы движения, двигая части фигуры (при соответствующих технических условиях создать анимацию схематического движения человека).</w:t>
      </w:r>
    </w:p>
    <w:p w14:paraId="17C3323F">
      <w:pPr>
        <w:spacing w:after="0" w:line="360" w:lineRule="auto"/>
        <w:ind w:firstLine="709"/>
        <w:jc w:val="both"/>
        <w:rPr>
          <w:rFonts w:ascii="Times New Roman" w:hAnsi="Times New Roman"/>
        </w:rPr>
      </w:pPr>
      <w:r>
        <w:rPr>
          <w:rFonts w:ascii="Times New Roman" w:hAnsi="Times New Roman"/>
        </w:rPr>
        <w:t>Освоить анимацию простого повторяющегося движения изображения в виртуальном редакторе GIF-анимации.</w:t>
      </w:r>
    </w:p>
    <w:p w14:paraId="4951E15E">
      <w:pPr>
        <w:spacing w:after="0" w:line="360" w:lineRule="auto"/>
        <w:ind w:firstLine="709"/>
        <w:jc w:val="both"/>
        <w:rPr>
          <w:rFonts w:ascii="Times New Roman" w:hAnsi="Times New Roman"/>
        </w:rPr>
      </w:pPr>
      <w:r>
        <w:rPr>
          <w:rFonts w:ascii="Times New Roman" w:hAnsi="Times New Roman"/>
        </w:rPr>
        <w:t>Освоить и проводить компьютерные презентации в программе PowerPoint по темам изучаемого материала, собирая в поисковых системах нужный материал, или на основе собственных фотографий и фотографий своих рисунков, выполнять шрифтовые надписи наиболее важных определений, названий, положений, которые надо помнить и знать.</w:t>
      </w:r>
    </w:p>
    <w:p w14:paraId="11748C20">
      <w:pPr>
        <w:spacing w:after="0" w:line="360" w:lineRule="auto"/>
        <w:ind w:firstLine="709"/>
        <w:jc w:val="both"/>
        <w:rPr>
          <w:rFonts w:ascii="Times New Roman" w:hAnsi="Times New Roman"/>
        </w:rPr>
      </w:pPr>
      <w:r>
        <w:rPr>
          <w:rFonts w:ascii="Times New Roman" w:hAnsi="Times New Roman"/>
        </w:rPr>
        <w:t>Совершать виртуальные тематические путешествия по художественным музеям мира.</w:t>
      </w:r>
      <w:bookmarkStart w:id="241" w:name="_TOC_250000"/>
      <w:bookmarkEnd w:id="241"/>
      <w:r>
        <w:rPr>
          <w:rFonts w:ascii="Times New Roman" w:hAnsi="Times New Roman"/>
        </w:rPr>
        <w:t xml:space="preserve"> </w:t>
      </w:r>
    </w:p>
    <w:p w14:paraId="0205C50E">
      <w:pPr>
        <w:spacing w:after="0" w:line="360" w:lineRule="auto"/>
        <w:ind w:firstLine="709"/>
        <w:jc w:val="both"/>
        <w:rPr>
          <w:rFonts w:ascii="Times New Roman" w:hAnsi="Times New Roman"/>
        </w:rPr>
      </w:pPr>
      <w:r>
        <w:rPr>
          <w:rFonts w:ascii="Times New Roman" w:hAnsi="Times New Roman"/>
        </w:rPr>
        <w:t>14. Рабочая программа по учебному предмету «Музыка».</w:t>
      </w:r>
    </w:p>
    <w:p w14:paraId="28C8C527">
      <w:pPr>
        <w:spacing w:after="0" w:line="360" w:lineRule="auto"/>
        <w:ind w:firstLine="851"/>
        <w:jc w:val="both"/>
        <w:rPr>
          <w:rFonts w:ascii="Times New Roman" w:hAnsi="Times New Roman"/>
        </w:rPr>
      </w:pPr>
      <w:r>
        <w:rPr>
          <w:rFonts w:ascii="Times New Roman" w:hAnsi="Times New Roman"/>
        </w:rPr>
        <w:t>14.1. Рабочая программа по учебному предмету «Музыка» (предметная область «Искусство») (далее соответственно – программа по музыке, музыка) включает пояснительную записку, содержание обучения, планируемые результаты освоения программы по музыке.</w:t>
      </w:r>
    </w:p>
    <w:p w14:paraId="2E939E2A">
      <w:pPr>
        <w:spacing w:after="0" w:line="360" w:lineRule="auto"/>
        <w:ind w:firstLine="851"/>
        <w:jc w:val="both"/>
        <w:rPr>
          <w:rFonts w:ascii="Times New Roman" w:hAnsi="Times New Roman"/>
        </w:rPr>
      </w:pPr>
      <w:r>
        <w:rPr>
          <w:rFonts w:ascii="Times New Roman" w:hAnsi="Times New Roman"/>
        </w:rPr>
        <w:t>14.2. Пояснительная записка отражает общие цели и задачи изучения музыки, место в структуре учебного плана, а также подходы к отбору содержания и планируемым результатам.</w:t>
      </w:r>
    </w:p>
    <w:p w14:paraId="70D81E35">
      <w:pPr>
        <w:spacing w:after="0" w:line="360" w:lineRule="auto"/>
        <w:ind w:firstLine="851"/>
        <w:jc w:val="both"/>
        <w:rPr>
          <w:rFonts w:ascii="Times New Roman" w:hAnsi="Times New Roman"/>
        </w:rPr>
      </w:pPr>
      <w:r>
        <w:rPr>
          <w:rFonts w:ascii="Times New Roman" w:hAnsi="Times New Roman"/>
        </w:rPr>
        <w:t>14.3. Содержание обучения раскрывает содержательные линии, которые предлагаются для изучения на уровне начального общего образования. Содержание обучения завершается перечнем универсальных учебных действий (познавательных, коммуникативных и регулятивных), которые возможно формировать средствами музыки с учётом возрастных особенностей обучающихся на уровне начального общего образования.</w:t>
      </w:r>
    </w:p>
    <w:p w14:paraId="59F0E5F4">
      <w:pPr>
        <w:spacing w:after="0" w:line="360" w:lineRule="auto"/>
        <w:ind w:firstLine="851"/>
        <w:jc w:val="both"/>
        <w:rPr>
          <w:rFonts w:ascii="Times New Roman" w:hAnsi="Times New Roman"/>
        </w:rPr>
      </w:pPr>
      <w:r>
        <w:rPr>
          <w:rFonts w:ascii="Times New Roman" w:hAnsi="Times New Roman"/>
        </w:rPr>
        <w:t>14.4. Планируемые результаты освоения программы по музыке включают личностные, метапредметные и предметные результаты за весь период обучения на уровне начального общего образования. Предметные результаты, формируемые в ходе изучения музыки, сгруппированы по учебным модулям.</w:t>
      </w:r>
    </w:p>
    <w:p w14:paraId="7BB62132">
      <w:pPr>
        <w:spacing w:after="0" w:line="360" w:lineRule="auto"/>
        <w:ind w:firstLine="851"/>
        <w:jc w:val="both"/>
        <w:rPr>
          <w:rFonts w:ascii="Times New Roman" w:hAnsi="Times New Roman"/>
        </w:rPr>
      </w:pPr>
      <w:r>
        <w:rPr>
          <w:rFonts w:ascii="Times New Roman" w:hAnsi="Times New Roman"/>
        </w:rPr>
        <w:t>14 .5. Пояснительная записка.</w:t>
      </w:r>
    </w:p>
    <w:p w14:paraId="086D80AF">
      <w:pPr>
        <w:spacing w:after="0" w:line="360" w:lineRule="auto"/>
        <w:ind w:firstLine="851"/>
        <w:jc w:val="both"/>
        <w:rPr>
          <w:rFonts w:ascii="Times New Roman" w:hAnsi="Times New Roman"/>
        </w:rPr>
      </w:pPr>
      <w:r>
        <w:rPr>
          <w:rFonts w:ascii="Times New Roman" w:hAnsi="Times New Roman"/>
        </w:rPr>
        <w:t>14.5.1. Программа по музыке разработана с целью оказания методической помощи учителю музыки в создании рабочей программы по учебному предмету.</w:t>
      </w:r>
    </w:p>
    <w:p w14:paraId="0B8732DB">
      <w:pPr>
        <w:spacing w:after="0" w:line="360" w:lineRule="auto"/>
        <w:ind w:firstLine="851"/>
        <w:jc w:val="both"/>
        <w:rPr>
          <w:rFonts w:ascii="Times New Roman" w:hAnsi="Times New Roman"/>
        </w:rPr>
      </w:pPr>
      <w:r>
        <w:rPr>
          <w:rFonts w:ascii="Times New Roman" w:hAnsi="Times New Roman"/>
        </w:rPr>
        <w:t>14.5.2. Программа по музыке позволит учителю:</w:t>
      </w:r>
    </w:p>
    <w:p w14:paraId="19B4B065">
      <w:pPr>
        <w:spacing w:after="0" w:line="360" w:lineRule="auto"/>
        <w:ind w:firstLine="851"/>
        <w:jc w:val="both"/>
        <w:rPr>
          <w:rFonts w:ascii="Times New Roman" w:hAnsi="Times New Roman"/>
        </w:rPr>
      </w:pPr>
      <w:r>
        <w:rPr>
          <w:rFonts w:ascii="Times New Roman" w:hAnsi="Times New Roman"/>
        </w:rPr>
        <w:t>реализовать в процессе преподавания музыки современные подходы к формированию личностных, метапредметных и предметных результатов обучения, сформулированных в ФГОС НОО; определить и структурировать планируемые результаты обучения и содержание учебного предмета по годам обучения в соответствии с ФГОС НОО, а также на основе планируемых результатов духовно-нравственного развития, воспитания и социализации обучающихся, представленных в федеральной рабочей программе воспитания;</w:t>
      </w:r>
    </w:p>
    <w:p w14:paraId="6C50BEE6">
      <w:pPr>
        <w:spacing w:after="0" w:line="360" w:lineRule="auto"/>
        <w:ind w:firstLine="851"/>
        <w:jc w:val="both"/>
        <w:rPr>
          <w:rFonts w:ascii="Times New Roman" w:hAnsi="Times New Roman"/>
        </w:rPr>
      </w:pPr>
      <w:r>
        <w:rPr>
          <w:rFonts w:ascii="Times New Roman" w:hAnsi="Times New Roman"/>
        </w:rPr>
        <w:t>разработать календарно-тематическое планирование с учётом особенностей конкретного региона, образовательной организации, класса.</w:t>
      </w:r>
    </w:p>
    <w:p w14:paraId="2B4DC7D5">
      <w:pPr>
        <w:spacing w:after="0" w:line="360" w:lineRule="auto"/>
        <w:ind w:firstLine="851"/>
        <w:jc w:val="both"/>
        <w:rPr>
          <w:rFonts w:ascii="Times New Roman" w:hAnsi="Times New Roman"/>
        </w:rPr>
      </w:pPr>
      <w:r>
        <w:rPr>
          <w:rFonts w:ascii="Times New Roman" w:hAnsi="Times New Roman"/>
        </w:rPr>
        <w:t>14.5.3. Музыка является неотъемлемой частью культурного наследия, универсальным способом коммуникации особенно важна музыка для становления личности обучающегося – как способ, форма и опыт самовыражения и естественного радостного мировосприятия.</w:t>
      </w:r>
    </w:p>
    <w:p w14:paraId="57CC1818">
      <w:pPr>
        <w:spacing w:after="0" w:line="360" w:lineRule="auto"/>
        <w:ind w:firstLine="851"/>
        <w:jc w:val="both"/>
        <w:rPr>
          <w:rFonts w:ascii="Times New Roman" w:hAnsi="Times New Roman"/>
        </w:rPr>
      </w:pPr>
      <w:r>
        <w:rPr>
          <w:rFonts w:ascii="Times New Roman" w:hAnsi="Times New Roman"/>
        </w:rPr>
        <w:t>В течение периода начального общего образования необходимо заложить основы будущей музыкальной культуры личности, сформировать представления о многообразии проявлений музыкального искусства в жизни современного человека и общества. В содержании программы по музыке представлены различные пласты музыкального искусства: фольклор, классическая, современная музыка, в том числе наиболее достойные образцы массовой музыкальной культуры (джаз, эстрада, музыка кино и другие). Наиболее эффективной формой освоения музыкального искусства является практическое музицирование – пение, игра на доступных музыкальных инструментах, различные формы музыкального движения. В ходе активной музыкальной деятельности происходит постепенное освоение элементов музыкального языка, понимание основных жанровых особенностей, принципов и форм развития музыки.</w:t>
      </w:r>
    </w:p>
    <w:p w14:paraId="449B94B6">
      <w:pPr>
        <w:spacing w:after="0" w:line="360" w:lineRule="auto"/>
        <w:ind w:firstLine="851"/>
        <w:jc w:val="both"/>
        <w:rPr>
          <w:rFonts w:ascii="Times New Roman" w:hAnsi="Times New Roman"/>
        </w:rPr>
      </w:pPr>
      <w:r>
        <w:rPr>
          <w:rFonts w:ascii="Times New Roman" w:hAnsi="Times New Roman"/>
        </w:rPr>
        <w:t>Программа по музыке предусматривает знакомство обучающихся с некоторым количеством явлений, фактов музыкальной культуры (знание музыкальных произведений, фамилий композиторов и исполнителей, специальной терминологии). Программа по музыке формирует эстетические потребности, проживание и осознание тех особых мыслей и чувств, состояний, отношений к жизни, самому себе, другим людям, которые несёт в себе музыка.</w:t>
      </w:r>
    </w:p>
    <w:p w14:paraId="6601BE3C">
      <w:pPr>
        <w:spacing w:after="0" w:line="360" w:lineRule="auto"/>
        <w:ind w:firstLine="851"/>
        <w:jc w:val="both"/>
        <w:rPr>
          <w:rFonts w:ascii="Times New Roman" w:hAnsi="Times New Roman"/>
        </w:rPr>
      </w:pPr>
      <w:r>
        <w:rPr>
          <w:rFonts w:ascii="Times New Roman" w:hAnsi="Times New Roman"/>
        </w:rPr>
        <w:t xml:space="preserve">Свойственная музыкальному восприятию идентификация с лирическим героем произведения является уникальным психологическим механизмом для формирования мировоззрения обучающегося опосредованным недирективным путём. Ключевым моментом при составлении программы по музыке является отбор репертуара, который должен сочетать в себе такие качества, как доступность, высокий художественный уровень, соответствие системе традиционных российских ценностей. </w:t>
      </w:r>
    </w:p>
    <w:p w14:paraId="3B44A3C7">
      <w:pPr>
        <w:spacing w:after="0" w:line="360" w:lineRule="auto"/>
        <w:ind w:firstLine="851"/>
        <w:jc w:val="both"/>
        <w:rPr>
          <w:rFonts w:ascii="Times New Roman" w:hAnsi="Times New Roman"/>
        </w:rPr>
      </w:pPr>
      <w:r>
        <w:rPr>
          <w:rFonts w:ascii="Times New Roman" w:hAnsi="Times New Roman"/>
        </w:rPr>
        <w:t>Одним из наиболее важных направлений программы по музыке является развитие эмоционального интеллекта обучающихся. Через опыт чувственного восприятия и художественного исполнения музыки формируется эмоциональная осознанность, рефлексивная установка личности в целом.</w:t>
      </w:r>
    </w:p>
    <w:p w14:paraId="61A867CA">
      <w:pPr>
        <w:spacing w:after="0" w:line="360" w:lineRule="auto"/>
        <w:ind w:firstLine="851"/>
        <w:jc w:val="both"/>
        <w:rPr>
          <w:rFonts w:ascii="Times New Roman" w:hAnsi="Times New Roman"/>
        </w:rPr>
      </w:pPr>
      <w:r>
        <w:rPr>
          <w:rFonts w:ascii="Times New Roman" w:hAnsi="Times New Roman"/>
        </w:rPr>
        <w:t>Особая роль в организации музыкальных занятий в программе по музыке принадлежит игровым формам деятельности, которые рассматриваются как широкий спектр конкретных приёмов и методов, внутренне присущих самому искусству – от традиционных фольклорных игр и театрализованных представлений к звуковым импровизациям, направленным на освоение жанровых особенностей, элементов музыкального языка, композиционных принципов.</w:t>
      </w:r>
    </w:p>
    <w:p w14:paraId="2A6F5A93">
      <w:pPr>
        <w:spacing w:after="0" w:line="360" w:lineRule="auto"/>
        <w:ind w:firstLine="851"/>
        <w:jc w:val="both"/>
        <w:rPr>
          <w:rFonts w:ascii="Times New Roman" w:hAnsi="Times New Roman"/>
        </w:rPr>
      </w:pPr>
      <w:r>
        <w:rPr>
          <w:rFonts w:ascii="Times New Roman" w:hAnsi="Times New Roman"/>
        </w:rPr>
        <w:t xml:space="preserve">14.5.4. Основная цель программы по музыке – воспитание музыкальной культуры как части общей духовной культуры обучающихся. Основным содержанием музыкального обучения и воспитания является личный и коллективный опыт проживания и осознания специфического комплекса эмоций, чувств, образов, идей, порождаемых ситуациями эстетического восприятия (постижение мира через переживание, самовыражение через творчество, духовно-нравственное становление, воспитание чуткости к внутреннему миру другого человека через опыт сотворчества и сопереживания). </w:t>
      </w:r>
    </w:p>
    <w:p w14:paraId="2CD16C5D">
      <w:pPr>
        <w:spacing w:after="0" w:line="360" w:lineRule="auto"/>
        <w:ind w:firstLine="851"/>
        <w:jc w:val="both"/>
        <w:rPr>
          <w:rFonts w:ascii="Times New Roman" w:hAnsi="Times New Roman"/>
        </w:rPr>
      </w:pPr>
      <w:r>
        <w:rPr>
          <w:rFonts w:ascii="Times New Roman" w:hAnsi="Times New Roman"/>
        </w:rPr>
        <w:t>14.5.5. В процессе конкретизации учебных целей их реализация осуществляется по следующим направлениям:</w:t>
      </w:r>
    </w:p>
    <w:p w14:paraId="29C96120">
      <w:pPr>
        <w:spacing w:after="0" w:line="360" w:lineRule="auto"/>
        <w:ind w:firstLine="851"/>
        <w:jc w:val="both"/>
        <w:rPr>
          <w:rFonts w:ascii="Times New Roman" w:hAnsi="Times New Roman"/>
        </w:rPr>
      </w:pPr>
      <w:r>
        <w:rPr>
          <w:rFonts w:ascii="Times New Roman" w:hAnsi="Times New Roman"/>
        </w:rPr>
        <w:t>становление системы ценностей, обучающихся в единстве эмоциональной и познавательной сферы;</w:t>
      </w:r>
    </w:p>
    <w:p w14:paraId="0D64A6E1">
      <w:pPr>
        <w:spacing w:after="0" w:line="360" w:lineRule="auto"/>
        <w:ind w:firstLine="851"/>
        <w:jc w:val="both"/>
        <w:rPr>
          <w:rFonts w:ascii="Times New Roman" w:hAnsi="Times New Roman"/>
        </w:rPr>
      </w:pPr>
      <w:r>
        <w:rPr>
          <w:rFonts w:ascii="Times New Roman" w:hAnsi="Times New Roman"/>
        </w:rPr>
        <w:t>развитие потребности в общении с произведениями искусства, осознание значения музыкального искусства как универсального языка общения, художественного отражения многообразия жизни;</w:t>
      </w:r>
    </w:p>
    <w:p w14:paraId="0FA7F370">
      <w:pPr>
        <w:spacing w:after="0" w:line="360" w:lineRule="auto"/>
        <w:ind w:firstLine="851"/>
        <w:jc w:val="both"/>
        <w:rPr>
          <w:rFonts w:ascii="Times New Roman" w:hAnsi="Times New Roman"/>
        </w:rPr>
      </w:pPr>
      <w:r>
        <w:rPr>
          <w:rFonts w:ascii="Times New Roman" w:hAnsi="Times New Roman"/>
        </w:rPr>
        <w:t>формирование творческих способностей ребёнка, развитие внутренней мотивации к музицированию.</w:t>
      </w:r>
    </w:p>
    <w:p w14:paraId="57623858">
      <w:pPr>
        <w:spacing w:after="0" w:line="360" w:lineRule="auto"/>
        <w:ind w:firstLine="851"/>
        <w:jc w:val="both"/>
        <w:rPr>
          <w:rFonts w:ascii="Times New Roman" w:hAnsi="Times New Roman"/>
        </w:rPr>
      </w:pPr>
      <w:r>
        <w:rPr>
          <w:rFonts w:ascii="Times New Roman" w:hAnsi="Times New Roman"/>
        </w:rPr>
        <w:t>14.5.6. Важнейшие задачи обучения музыке на уровне начального общего образования:</w:t>
      </w:r>
    </w:p>
    <w:p w14:paraId="677E860E">
      <w:pPr>
        <w:spacing w:after="0" w:line="360" w:lineRule="auto"/>
        <w:ind w:firstLine="851"/>
        <w:jc w:val="both"/>
        <w:rPr>
          <w:rFonts w:ascii="Times New Roman" w:hAnsi="Times New Roman"/>
        </w:rPr>
      </w:pPr>
      <w:r>
        <w:rPr>
          <w:rFonts w:ascii="Times New Roman" w:hAnsi="Times New Roman"/>
        </w:rPr>
        <w:t>формирование эмоционально-ценностной отзывчивости на прекрасное в жизни и в искусстве;</w:t>
      </w:r>
    </w:p>
    <w:p w14:paraId="3674FDAF">
      <w:pPr>
        <w:spacing w:after="0" w:line="360" w:lineRule="auto"/>
        <w:ind w:firstLine="851"/>
        <w:jc w:val="both"/>
        <w:rPr>
          <w:rFonts w:ascii="Times New Roman" w:hAnsi="Times New Roman"/>
        </w:rPr>
      </w:pPr>
      <w:r>
        <w:rPr>
          <w:rFonts w:ascii="Times New Roman" w:hAnsi="Times New Roman"/>
        </w:rPr>
        <w:t>формирование позитивного взгляда на окружающий мир, гармонизация взаимодействия с природой, обществом, самим собой через доступные формы музицирования;</w:t>
      </w:r>
    </w:p>
    <w:p w14:paraId="5DCF0074">
      <w:pPr>
        <w:spacing w:after="0" w:line="360" w:lineRule="auto"/>
        <w:ind w:firstLine="851"/>
        <w:jc w:val="both"/>
        <w:rPr>
          <w:rFonts w:ascii="Times New Roman" w:hAnsi="Times New Roman"/>
        </w:rPr>
      </w:pPr>
      <w:r>
        <w:rPr>
          <w:rFonts w:ascii="Times New Roman" w:hAnsi="Times New Roman"/>
        </w:rPr>
        <w:t xml:space="preserve">формирование культуры осознанного восприятия музыкальных образов, приобщение к традиционным российским духовно-нравственным ценностям через собственный внутренний опыт эмоционального переживания; </w:t>
      </w:r>
    </w:p>
    <w:p w14:paraId="687809BF">
      <w:pPr>
        <w:spacing w:after="0" w:line="360" w:lineRule="auto"/>
        <w:ind w:firstLine="851"/>
        <w:jc w:val="both"/>
        <w:rPr>
          <w:rFonts w:ascii="Times New Roman" w:hAnsi="Times New Roman"/>
        </w:rPr>
      </w:pPr>
      <w:r>
        <w:rPr>
          <w:rFonts w:ascii="Times New Roman" w:hAnsi="Times New Roman"/>
        </w:rPr>
        <w:t>развитие эмоционального интеллекта в единстве с другими познавательными и регулятивными универсальными учебными действиями, развитие ассоциативного мышления и продуктивного воображения;</w:t>
      </w:r>
    </w:p>
    <w:p w14:paraId="0A934AB1">
      <w:pPr>
        <w:spacing w:after="0" w:line="360" w:lineRule="auto"/>
        <w:ind w:firstLine="851"/>
        <w:jc w:val="both"/>
        <w:rPr>
          <w:rFonts w:ascii="Times New Roman" w:hAnsi="Times New Roman"/>
        </w:rPr>
      </w:pPr>
      <w:r>
        <w:rPr>
          <w:rFonts w:ascii="Times New Roman" w:hAnsi="Times New Roman"/>
        </w:rPr>
        <w:t>овладение предметными умениями и навыками в различных видах практического музицирования, введение обучающегося в искусство через разнообразие видов музыкальной деятельности, в том числе: слушание (воспитание грамотного слушателя), исполнение (пение, игра на музыкальных инструментах); сочинение (элементы импровизации, композиции, аранжировки); музыкальное движение (пластическое интонирование, танец, двигательное моделирование), исследовательские и творческие проекты;</w:t>
      </w:r>
    </w:p>
    <w:p w14:paraId="591B6C99">
      <w:pPr>
        <w:spacing w:after="0" w:line="360" w:lineRule="auto"/>
        <w:ind w:firstLine="851"/>
        <w:jc w:val="both"/>
        <w:rPr>
          <w:rFonts w:ascii="Times New Roman" w:hAnsi="Times New Roman"/>
        </w:rPr>
      </w:pPr>
      <w:r>
        <w:rPr>
          <w:rFonts w:ascii="Times New Roman" w:hAnsi="Times New Roman"/>
        </w:rPr>
        <w:t>изучение закономерностей музыкального искусства: интонационная и жанровая природа музыки, основные выразительные средства, элементы музыкального языка;</w:t>
      </w:r>
    </w:p>
    <w:p w14:paraId="177E03B5">
      <w:pPr>
        <w:spacing w:after="0" w:line="360" w:lineRule="auto"/>
        <w:ind w:firstLine="851"/>
        <w:jc w:val="both"/>
        <w:rPr>
          <w:rFonts w:ascii="Times New Roman" w:hAnsi="Times New Roman"/>
        </w:rPr>
      </w:pPr>
      <w:r>
        <w:rPr>
          <w:rFonts w:ascii="Times New Roman" w:hAnsi="Times New Roman"/>
        </w:rPr>
        <w:t xml:space="preserve">воспитание уважения к культурному наследию России, присвоение интонационно-образного строя отечественной музыкальной культуры; </w:t>
      </w:r>
    </w:p>
    <w:p w14:paraId="626601A6">
      <w:pPr>
        <w:spacing w:after="0" w:line="360" w:lineRule="auto"/>
        <w:ind w:firstLine="851"/>
        <w:jc w:val="both"/>
        <w:rPr>
          <w:rFonts w:ascii="Times New Roman" w:hAnsi="Times New Roman"/>
        </w:rPr>
      </w:pPr>
      <w:r>
        <w:rPr>
          <w:rFonts w:ascii="Times New Roman" w:hAnsi="Times New Roman"/>
        </w:rPr>
        <w:t xml:space="preserve">расширение кругозора, воспитание любознательности, интереса к музыкальной культуре России, ее регионов, этнических групп, малой родины, а также к музыкальной культуре других стран, культур, времён и народов. </w:t>
      </w:r>
    </w:p>
    <w:p w14:paraId="26C0C87D">
      <w:pPr>
        <w:spacing w:after="0" w:line="360" w:lineRule="auto"/>
        <w:ind w:firstLine="851"/>
        <w:jc w:val="both"/>
        <w:rPr>
          <w:rFonts w:ascii="Times New Roman" w:hAnsi="Times New Roman"/>
        </w:rPr>
      </w:pPr>
      <w:r>
        <w:rPr>
          <w:rFonts w:ascii="Times New Roman" w:hAnsi="Times New Roman"/>
        </w:rPr>
        <w:t>14.5.7. Программа по музыке составлена на основе модульного принципа построения учебного материала и допускает вариативный подход к очерёдности изучения модулей, принципам компоновки учебных тем, форм и методов освоения содержания.</w:t>
      </w:r>
    </w:p>
    <w:p w14:paraId="797671D1">
      <w:pPr>
        <w:spacing w:after="0" w:line="360" w:lineRule="auto"/>
        <w:ind w:firstLine="851"/>
        <w:jc w:val="both"/>
        <w:rPr>
          <w:rFonts w:ascii="Times New Roman" w:hAnsi="Times New Roman"/>
        </w:rPr>
      </w:pPr>
      <w:r>
        <w:rPr>
          <w:rFonts w:ascii="Times New Roman" w:hAnsi="Times New Roman"/>
        </w:rPr>
        <w:t>Содержание учебного предмета структурно представлено модулями (тематическими линиями):</w:t>
      </w:r>
    </w:p>
    <w:p w14:paraId="13816307">
      <w:pPr>
        <w:spacing w:after="0" w:line="360" w:lineRule="auto"/>
        <w:ind w:firstLine="851"/>
        <w:jc w:val="both"/>
        <w:rPr>
          <w:rFonts w:ascii="Times New Roman" w:hAnsi="Times New Roman"/>
        </w:rPr>
      </w:pPr>
      <w:r>
        <w:rPr>
          <w:rFonts w:ascii="Times New Roman" w:hAnsi="Times New Roman"/>
        </w:rPr>
        <w:t xml:space="preserve">модуль № 1 «Народная музыка России»; </w:t>
      </w:r>
    </w:p>
    <w:p w14:paraId="742C665A">
      <w:pPr>
        <w:spacing w:after="0" w:line="360" w:lineRule="auto"/>
        <w:ind w:firstLine="851"/>
        <w:jc w:val="both"/>
        <w:rPr>
          <w:rFonts w:ascii="Times New Roman" w:hAnsi="Times New Roman"/>
        </w:rPr>
      </w:pPr>
      <w:r>
        <w:rPr>
          <w:rFonts w:ascii="Times New Roman" w:hAnsi="Times New Roman"/>
        </w:rPr>
        <w:t xml:space="preserve">модуль № 2 «Классическая музыка»; </w:t>
      </w:r>
    </w:p>
    <w:p w14:paraId="53D52B6C">
      <w:pPr>
        <w:spacing w:after="0" w:line="360" w:lineRule="auto"/>
        <w:ind w:firstLine="851"/>
        <w:jc w:val="both"/>
        <w:rPr>
          <w:rFonts w:ascii="Times New Roman" w:hAnsi="Times New Roman"/>
        </w:rPr>
      </w:pPr>
      <w:r>
        <w:rPr>
          <w:rFonts w:ascii="Times New Roman" w:hAnsi="Times New Roman"/>
        </w:rPr>
        <w:t xml:space="preserve">модуль № 3 «Музыка в жизни человека» </w:t>
      </w:r>
    </w:p>
    <w:p w14:paraId="4D03197A">
      <w:pPr>
        <w:spacing w:after="0" w:line="360" w:lineRule="auto"/>
        <w:ind w:firstLine="851"/>
        <w:jc w:val="both"/>
        <w:rPr>
          <w:rFonts w:ascii="Times New Roman" w:hAnsi="Times New Roman"/>
        </w:rPr>
      </w:pPr>
      <w:r>
        <w:rPr>
          <w:rFonts w:ascii="Times New Roman" w:hAnsi="Times New Roman"/>
        </w:rPr>
        <w:t>14.5.8. Каждый модуль состоит из нескольких тематических блоков. Модульный принцип допускает перестановку блоков, перераспределение количества учебных часов между блоками.</w:t>
      </w:r>
    </w:p>
    <w:p w14:paraId="08A794AC">
      <w:pPr>
        <w:spacing w:after="0" w:line="360" w:lineRule="auto"/>
        <w:ind w:firstLine="851"/>
        <w:jc w:val="both"/>
        <w:rPr>
          <w:rFonts w:ascii="Times New Roman" w:hAnsi="Times New Roman"/>
        </w:rPr>
      </w:pPr>
      <w:r>
        <w:rPr>
          <w:rFonts w:ascii="Times New Roman" w:hAnsi="Times New Roman"/>
        </w:rPr>
        <w:t xml:space="preserve">Вариативная компоновка тематических блоков позволяет существенно расширить формы и виды деятельности за счёт внеурочных и внеклассных мероприятий – посещений театров, музеев, концертных залов, работы над исследовательскими и творческими проектами. В таком случае количество часов, отводимых на изучение данной темы, увеличивается за счёт внеурочной деятельности в рамках часов, предусмотренных эстетическим направлением плана внеурочной деятельности образовательной организации. </w:t>
      </w:r>
    </w:p>
    <w:p w14:paraId="6F01C1A6">
      <w:pPr>
        <w:spacing w:after="0" w:line="360" w:lineRule="auto"/>
        <w:ind w:firstLine="851"/>
        <w:jc w:val="both"/>
        <w:rPr>
          <w:rFonts w:ascii="Times New Roman" w:hAnsi="Times New Roman"/>
        </w:rPr>
      </w:pPr>
      <w:r>
        <w:rPr>
          <w:rFonts w:ascii="Times New Roman" w:hAnsi="Times New Roman"/>
        </w:rPr>
        <w:t xml:space="preserve">14.5.9. Общее число часов, рекомендованных для изучения музыки </w:t>
      </w:r>
      <w:r>
        <w:rPr>
          <w:rFonts w:ascii="Times New Roman" w:hAnsi="Times New Roman"/>
        </w:rPr>
        <w:noBreakHyphen/>
      </w:r>
      <w:r>
        <w:rPr>
          <w:rFonts w:ascii="Times New Roman" w:hAnsi="Times New Roman"/>
        </w:rPr>
        <w:t xml:space="preserve"> 135 часов: в 1 классе – 33 часа (1 час в неделю), во 2 классе – 34 часа (1 час в неделю), в 3 классе – 34 часа (1 час в неделю), в 4 классе – 34 часа (1 час в неделю).</w:t>
      </w:r>
    </w:p>
    <w:p w14:paraId="215848FB">
      <w:pPr>
        <w:spacing w:after="0" w:line="360" w:lineRule="auto"/>
        <w:ind w:firstLine="851"/>
        <w:jc w:val="both"/>
        <w:rPr>
          <w:rFonts w:ascii="Times New Roman" w:hAnsi="Times New Roman"/>
        </w:rPr>
      </w:pPr>
      <w:r>
        <w:rPr>
          <w:rFonts w:ascii="Times New Roman" w:hAnsi="Times New Roman"/>
        </w:rPr>
        <w:t>14.5.10. При разработке рабочей программы по музыке образовательная организация вправе использовать возможности сетевого взаимодействия, в том числе с организациями системы дополнительного образования детей, учреждениями культуры, организациями культурно-досуговой сферы (театры, музеи, творческие союзы).</w:t>
      </w:r>
    </w:p>
    <w:p w14:paraId="413D93EF">
      <w:pPr>
        <w:spacing w:after="0" w:line="360" w:lineRule="auto"/>
        <w:ind w:firstLine="851"/>
        <w:jc w:val="both"/>
        <w:rPr>
          <w:rFonts w:ascii="Times New Roman" w:hAnsi="Times New Roman"/>
        </w:rPr>
      </w:pPr>
      <w:r>
        <w:rPr>
          <w:rFonts w:ascii="Times New Roman" w:hAnsi="Times New Roman"/>
        </w:rPr>
        <w:t>Освоение программы по музыке предполагает активную социокультурную деятельность обучающихся, участие в музыкальных праздниках, конкурсах, концертах, театрализованных действиях, в том числе основанных на межпредметных связях с такими учебными предметами, как «Изобразительное искусство», «Литературное чтение», «Окружающий мир», «Основы религиозной культуры и светской этики», «Иностранный язык» и другие.</w:t>
      </w:r>
    </w:p>
    <w:p w14:paraId="0A11001F">
      <w:pPr>
        <w:spacing w:after="0" w:line="360" w:lineRule="auto"/>
        <w:ind w:firstLine="851"/>
        <w:jc w:val="both"/>
        <w:rPr>
          <w:rFonts w:ascii="Times New Roman" w:hAnsi="Times New Roman"/>
        </w:rPr>
      </w:pPr>
      <w:r>
        <w:rPr>
          <w:rFonts w:ascii="Times New Roman" w:hAnsi="Times New Roman"/>
        </w:rPr>
        <w:t>14.6. Содержание обучения музыке на уровне начального общего образования.</w:t>
      </w:r>
    </w:p>
    <w:p w14:paraId="23EC37E2">
      <w:pPr>
        <w:spacing w:after="0" w:line="360" w:lineRule="auto"/>
        <w:ind w:firstLine="851"/>
        <w:jc w:val="both"/>
        <w:rPr>
          <w:rFonts w:ascii="Times New Roman" w:hAnsi="Times New Roman"/>
        </w:rPr>
      </w:pPr>
      <w:r>
        <w:rPr>
          <w:rFonts w:ascii="Times New Roman" w:hAnsi="Times New Roman"/>
        </w:rPr>
        <w:t>Инвариантные модули:</w:t>
      </w:r>
    </w:p>
    <w:p w14:paraId="162CED8F">
      <w:pPr>
        <w:spacing w:after="0" w:line="360" w:lineRule="auto"/>
        <w:ind w:firstLine="851"/>
        <w:jc w:val="both"/>
        <w:rPr>
          <w:rFonts w:ascii="Times New Roman" w:hAnsi="Times New Roman"/>
        </w:rPr>
      </w:pPr>
      <w:r>
        <w:rPr>
          <w:rFonts w:ascii="Times New Roman" w:hAnsi="Times New Roman"/>
        </w:rPr>
        <w:t xml:space="preserve">14.6.1. Модуль № 1 «Народная музыка России». </w:t>
      </w:r>
    </w:p>
    <w:p w14:paraId="5DD36356">
      <w:pPr>
        <w:spacing w:after="0" w:line="360" w:lineRule="auto"/>
        <w:ind w:firstLine="851"/>
        <w:jc w:val="both"/>
        <w:rPr>
          <w:rFonts w:ascii="Times New Roman" w:hAnsi="Times New Roman"/>
        </w:rPr>
      </w:pPr>
      <w:r>
        <w:rPr>
          <w:rFonts w:ascii="Times New Roman" w:hAnsi="Times New Roman"/>
        </w:rPr>
        <w:t xml:space="preserve">Данный модуль является одним из наиболее значимых. Цели воспитания национальной и гражданской идентичности, а также принцип «вхождения в музыку от родного порога» предполагают, что отправной точкой для освоения всего богатства и разнообразия музыки должна быть музыкальная культура родного края, своего народа, других народов нашей страны. Необходимо обеспечить глубокое и содержательное освоение основ традиционного фольклора, отталкиваясь в первую очередь от материнского и детского фольклора, календарных обрядов и праздников. Особое внимание необходимо уделить подлинному, аутентичному звучанию народной музыки, научить детей отличать настоящую народную музыку от эстрадных шоу-программ, эксплуатирующих фольклорный колорит. </w:t>
      </w:r>
    </w:p>
    <w:p w14:paraId="7806F484">
      <w:pPr>
        <w:spacing w:after="0" w:line="360" w:lineRule="auto"/>
        <w:ind w:firstLine="851"/>
        <w:jc w:val="both"/>
        <w:rPr>
          <w:rFonts w:ascii="Times New Roman" w:hAnsi="Times New Roman"/>
        </w:rPr>
      </w:pPr>
      <w:r>
        <w:rPr>
          <w:rFonts w:ascii="Times New Roman" w:hAnsi="Times New Roman"/>
        </w:rPr>
        <w:t>14.6.1.1. Край, в котором ты живёшь.</w:t>
      </w:r>
    </w:p>
    <w:p w14:paraId="2772D1E3">
      <w:pPr>
        <w:spacing w:after="0" w:line="360" w:lineRule="auto"/>
        <w:ind w:firstLine="851"/>
        <w:jc w:val="both"/>
        <w:rPr>
          <w:rFonts w:ascii="Times New Roman" w:hAnsi="Times New Roman"/>
        </w:rPr>
      </w:pPr>
      <w:r>
        <w:rPr>
          <w:rFonts w:ascii="Times New Roman" w:hAnsi="Times New Roman"/>
        </w:rPr>
        <w:t>Содержание: музыкальные традиции малой Родины. Песни, обряды, музыкальные инструменты.</w:t>
      </w:r>
    </w:p>
    <w:p w14:paraId="652441D0">
      <w:pPr>
        <w:spacing w:after="0" w:line="360" w:lineRule="auto"/>
        <w:ind w:firstLine="851"/>
        <w:jc w:val="both"/>
        <w:rPr>
          <w:rFonts w:ascii="Times New Roman" w:hAnsi="Times New Roman"/>
        </w:rPr>
      </w:pPr>
      <w:r>
        <w:rPr>
          <w:rFonts w:ascii="Times New Roman" w:hAnsi="Times New Roman"/>
        </w:rPr>
        <w:t>Виды деятельности обучающихся:</w:t>
      </w:r>
    </w:p>
    <w:p w14:paraId="638A7894">
      <w:pPr>
        <w:spacing w:after="0" w:line="360" w:lineRule="auto"/>
        <w:ind w:firstLine="851"/>
        <w:jc w:val="both"/>
        <w:rPr>
          <w:rFonts w:ascii="Times New Roman" w:hAnsi="Times New Roman"/>
        </w:rPr>
      </w:pPr>
      <w:r>
        <w:rPr>
          <w:rFonts w:ascii="Times New Roman" w:hAnsi="Times New Roman"/>
        </w:rPr>
        <w:t>разучивание, исполнение образцов традиционного фольклора своей местности, песен, посвящённых своей малой родине, песен композиторов-земляков;</w:t>
      </w:r>
    </w:p>
    <w:p w14:paraId="189FF347">
      <w:pPr>
        <w:spacing w:after="0" w:line="360" w:lineRule="auto"/>
        <w:ind w:firstLine="851"/>
        <w:jc w:val="both"/>
        <w:rPr>
          <w:rFonts w:ascii="Times New Roman" w:hAnsi="Times New Roman"/>
        </w:rPr>
      </w:pPr>
      <w:r>
        <w:rPr>
          <w:rFonts w:ascii="Times New Roman" w:hAnsi="Times New Roman"/>
        </w:rPr>
        <w:t xml:space="preserve">диалог с учителем о музыкальных традициях своего родного края; </w:t>
      </w:r>
    </w:p>
    <w:p w14:paraId="59A39534">
      <w:pPr>
        <w:spacing w:after="0" w:line="360" w:lineRule="auto"/>
        <w:ind w:firstLine="851"/>
        <w:jc w:val="both"/>
        <w:rPr>
          <w:rFonts w:ascii="Times New Roman" w:hAnsi="Times New Roman"/>
        </w:rPr>
      </w:pPr>
      <w:r>
        <w:rPr>
          <w:rFonts w:ascii="Times New Roman" w:hAnsi="Times New Roman"/>
        </w:rPr>
        <w:t>вариативно: просмотр видеофильма о культуре родного края; посещение краеведческого музея; посещение этнографического спектакля, концерта.</w:t>
      </w:r>
    </w:p>
    <w:p w14:paraId="42DAE460">
      <w:pPr>
        <w:spacing w:after="0" w:line="360" w:lineRule="auto"/>
        <w:ind w:firstLine="851"/>
        <w:jc w:val="both"/>
        <w:rPr>
          <w:rFonts w:ascii="Times New Roman" w:hAnsi="Times New Roman"/>
        </w:rPr>
      </w:pPr>
      <w:r>
        <w:rPr>
          <w:rFonts w:ascii="Times New Roman" w:hAnsi="Times New Roman"/>
        </w:rPr>
        <w:t>14.6.1.2. Русский фольклор.</w:t>
      </w:r>
    </w:p>
    <w:p w14:paraId="6E0B7E0C">
      <w:pPr>
        <w:spacing w:after="0" w:line="360" w:lineRule="auto"/>
        <w:ind w:firstLine="851"/>
        <w:jc w:val="both"/>
        <w:rPr>
          <w:rFonts w:ascii="Times New Roman" w:hAnsi="Times New Roman"/>
        </w:rPr>
      </w:pPr>
      <w:r>
        <w:rPr>
          <w:rFonts w:ascii="Times New Roman" w:hAnsi="Times New Roman"/>
        </w:rPr>
        <w:t xml:space="preserve">Содержание: русские народные песни (трудовые, хороводные). Детский фольклор (игровые, заклички, потешки, считалки, прибаутки). </w:t>
      </w:r>
    </w:p>
    <w:p w14:paraId="4DCA3935">
      <w:pPr>
        <w:spacing w:after="0" w:line="360" w:lineRule="auto"/>
        <w:ind w:firstLine="851"/>
        <w:jc w:val="both"/>
        <w:rPr>
          <w:rFonts w:ascii="Times New Roman" w:hAnsi="Times New Roman"/>
        </w:rPr>
      </w:pPr>
      <w:r>
        <w:rPr>
          <w:rFonts w:ascii="Times New Roman" w:hAnsi="Times New Roman"/>
        </w:rPr>
        <w:t>Виды деятельности обучающихся:</w:t>
      </w:r>
    </w:p>
    <w:p w14:paraId="57CFABD1">
      <w:pPr>
        <w:spacing w:after="0" w:line="360" w:lineRule="auto"/>
        <w:ind w:firstLine="851"/>
        <w:jc w:val="both"/>
        <w:rPr>
          <w:rFonts w:ascii="Times New Roman" w:hAnsi="Times New Roman"/>
        </w:rPr>
      </w:pPr>
      <w:r>
        <w:rPr>
          <w:rFonts w:ascii="Times New Roman" w:hAnsi="Times New Roman"/>
        </w:rPr>
        <w:t>разучивание, исполнение русских народных песен разных жанров;</w:t>
      </w:r>
    </w:p>
    <w:p w14:paraId="0D7E6316">
      <w:pPr>
        <w:spacing w:after="0" w:line="360" w:lineRule="auto"/>
        <w:ind w:firstLine="851"/>
        <w:jc w:val="both"/>
        <w:rPr>
          <w:rFonts w:ascii="Times New Roman" w:hAnsi="Times New Roman"/>
        </w:rPr>
      </w:pPr>
      <w:r>
        <w:rPr>
          <w:rFonts w:ascii="Times New Roman" w:hAnsi="Times New Roman"/>
        </w:rPr>
        <w:t>участие в коллективной традиционной музыкальной игре (по выбору учителя могут быть освоены игры «Бояре», «Плетень», «Бабка-ёжка», «Заинька» и другие);</w:t>
      </w:r>
    </w:p>
    <w:p w14:paraId="461F88A7">
      <w:pPr>
        <w:spacing w:after="0" w:line="360" w:lineRule="auto"/>
        <w:ind w:firstLine="851"/>
        <w:jc w:val="both"/>
        <w:rPr>
          <w:rFonts w:ascii="Times New Roman" w:hAnsi="Times New Roman"/>
        </w:rPr>
      </w:pPr>
      <w:r>
        <w:rPr>
          <w:rFonts w:ascii="Times New Roman" w:hAnsi="Times New Roman"/>
        </w:rPr>
        <w:t>сочинение мелодий, вокальная импровизация на основе текстов игрового детского фольклора;</w:t>
      </w:r>
    </w:p>
    <w:p w14:paraId="2C10D0CC">
      <w:pPr>
        <w:spacing w:after="0" w:line="360" w:lineRule="auto"/>
        <w:ind w:firstLine="851"/>
        <w:jc w:val="both"/>
        <w:rPr>
          <w:rFonts w:ascii="Times New Roman" w:hAnsi="Times New Roman"/>
        </w:rPr>
      </w:pPr>
      <w:r>
        <w:rPr>
          <w:rFonts w:ascii="Times New Roman" w:hAnsi="Times New Roman"/>
        </w:rPr>
        <w:t xml:space="preserve">вариативно: ритмическая импровизация, исполнение аккомпанемента на простых ударных (ложки) и духовых (свирель) инструментах к изученным народным песням; </w:t>
      </w:r>
    </w:p>
    <w:p w14:paraId="6444E725">
      <w:pPr>
        <w:spacing w:after="0" w:line="360" w:lineRule="auto"/>
        <w:ind w:firstLine="851"/>
        <w:jc w:val="both"/>
        <w:rPr>
          <w:rFonts w:ascii="Times New Roman" w:hAnsi="Times New Roman"/>
        </w:rPr>
      </w:pPr>
      <w:r>
        <w:rPr>
          <w:rFonts w:ascii="Times New Roman" w:hAnsi="Times New Roman"/>
        </w:rPr>
        <w:t>14.6.1.3. Русские народные музыкальные инструменты.</w:t>
      </w:r>
    </w:p>
    <w:p w14:paraId="60D5BF53">
      <w:pPr>
        <w:spacing w:after="0" w:line="360" w:lineRule="auto"/>
        <w:ind w:firstLine="851"/>
        <w:jc w:val="both"/>
        <w:rPr>
          <w:rFonts w:ascii="Times New Roman" w:hAnsi="Times New Roman"/>
        </w:rPr>
      </w:pPr>
      <w:r>
        <w:rPr>
          <w:rFonts w:ascii="Times New Roman" w:hAnsi="Times New Roman"/>
        </w:rPr>
        <w:t>Содержание: народные музыкальные инструменты (балалайка, рожок, свирель, гусли, гармонь, ложки). Инструментальные наигрыши. Плясовые мелодии.</w:t>
      </w:r>
    </w:p>
    <w:p w14:paraId="00B63754">
      <w:pPr>
        <w:spacing w:after="0" w:line="360" w:lineRule="auto"/>
        <w:ind w:firstLine="851"/>
        <w:jc w:val="both"/>
        <w:rPr>
          <w:rFonts w:ascii="Times New Roman" w:hAnsi="Times New Roman"/>
        </w:rPr>
      </w:pPr>
      <w:r>
        <w:rPr>
          <w:rFonts w:ascii="Times New Roman" w:hAnsi="Times New Roman"/>
        </w:rPr>
        <w:t>Виды деятельности обучающихся:</w:t>
      </w:r>
    </w:p>
    <w:p w14:paraId="4BF7D6A0">
      <w:pPr>
        <w:spacing w:after="0" w:line="360" w:lineRule="auto"/>
        <w:ind w:firstLine="851"/>
        <w:jc w:val="both"/>
        <w:rPr>
          <w:rFonts w:ascii="Times New Roman" w:hAnsi="Times New Roman"/>
        </w:rPr>
      </w:pPr>
      <w:r>
        <w:rPr>
          <w:rFonts w:ascii="Times New Roman" w:hAnsi="Times New Roman"/>
        </w:rPr>
        <w:t>знакомство с внешним видом, особенностями исполнения и звучания русских народных инструментов;</w:t>
      </w:r>
    </w:p>
    <w:p w14:paraId="045625A7">
      <w:pPr>
        <w:spacing w:after="0" w:line="360" w:lineRule="auto"/>
        <w:ind w:firstLine="851"/>
        <w:jc w:val="both"/>
        <w:rPr>
          <w:rFonts w:ascii="Times New Roman" w:hAnsi="Times New Roman"/>
        </w:rPr>
      </w:pPr>
      <w:r>
        <w:rPr>
          <w:rFonts w:ascii="Times New Roman" w:hAnsi="Times New Roman"/>
        </w:rPr>
        <w:t>определение на слух тембров инструментов;</w:t>
      </w:r>
    </w:p>
    <w:p w14:paraId="4C05E115">
      <w:pPr>
        <w:spacing w:after="0" w:line="360" w:lineRule="auto"/>
        <w:ind w:firstLine="851"/>
        <w:jc w:val="both"/>
        <w:rPr>
          <w:rFonts w:ascii="Times New Roman" w:hAnsi="Times New Roman"/>
        </w:rPr>
      </w:pPr>
      <w:r>
        <w:rPr>
          <w:rFonts w:ascii="Times New Roman" w:hAnsi="Times New Roman"/>
        </w:rPr>
        <w:t>классификация на группы духовых, ударных, струнных;</w:t>
      </w:r>
    </w:p>
    <w:p w14:paraId="6BC88231">
      <w:pPr>
        <w:spacing w:after="0" w:line="360" w:lineRule="auto"/>
        <w:ind w:firstLine="851"/>
        <w:jc w:val="both"/>
        <w:rPr>
          <w:rFonts w:ascii="Times New Roman" w:hAnsi="Times New Roman"/>
        </w:rPr>
      </w:pPr>
      <w:r>
        <w:rPr>
          <w:rFonts w:ascii="Times New Roman" w:hAnsi="Times New Roman"/>
        </w:rPr>
        <w:t>музыкальная викторина на знание тембров народных инструментов;</w:t>
      </w:r>
    </w:p>
    <w:p w14:paraId="1142B4E2">
      <w:pPr>
        <w:spacing w:after="0" w:line="360" w:lineRule="auto"/>
        <w:ind w:firstLine="851"/>
        <w:jc w:val="both"/>
        <w:rPr>
          <w:rFonts w:ascii="Times New Roman" w:hAnsi="Times New Roman"/>
        </w:rPr>
      </w:pPr>
      <w:r>
        <w:rPr>
          <w:rFonts w:ascii="Times New Roman" w:hAnsi="Times New Roman"/>
        </w:rPr>
        <w:t>двигательная игра – импровизация-подражание игре на музыкальных инструментах;</w:t>
      </w:r>
    </w:p>
    <w:p w14:paraId="23D2060D">
      <w:pPr>
        <w:spacing w:after="0" w:line="360" w:lineRule="auto"/>
        <w:ind w:firstLine="851"/>
        <w:jc w:val="both"/>
        <w:rPr>
          <w:rFonts w:ascii="Times New Roman" w:hAnsi="Times New Roman"/>
        </w:rPr>
      </w:pPr>
      <w:r>
        <w:rPr>
          <w:rFonts w:ascii="Times New Roman" w:hAnsi="Times New Roman"/>
        </w:rPr>
        <w:t>слушание фортепианных пьес композиторов, исполнение песен, в которых присутствуют звукоизобразительные элементы, подражание голосам народных инструментов;</w:t>
      </w:r>
    </w:p>
    <w:p w14:paraId="5342F8F5">
      <w:pPr>
        <w:spacing w:after="0" w:line="360" w:lineRule="auto"/>
        <w:ind w:firstLine="851"/>
        <w:jc w:val="both"/>
        <w:rPr>
          <w:rFonts w:ascii="Times New Roman" w:hAnsi="Times New Roman"/>
        </w:rPr>
      </w:pPr>
      <w:r>
        <w:rPr>
          <w:rFonts w:ascii="Times New Roman" w:hAnsi="Times New Roman"/>
        </w:rPr>
        <w:t>вариативно: просмотр видеофильма о русских музыкальных инструментах; посещение музыкального или краеведческого музея; освоение простейших навыков игры на свирели, ложках.</w:t>
      </w:r>
    </w:p>
    <w:p w14:paraId="0FF01C6B">
      <w:pPr>
        <w:spacing w:after="0" w:line="360" w:lineRule="auto"/>
        <w:ind w:firstLine="851"/>
        <w:jc w:val="both"/>
        <w:rPr>
          <w:rFonts w:ascii="Times New Roman" w:hAnsi="Times New Roman"/>
        </w:rPr>
      </w:pPr>
      <w:r>
        <w:rPr>
          <w:rFonts w:ascii="Times New Roman" w:hAnsi="Times New Roman"/>
        </w:rPr>
        <w:t>14.6.1.4. Сказки, мифы и легенды.</w:t>
      </w:r>
    </w:p>
    <w:p w14:paraId="04D0CDAA">
      <w:pPr>
        <w:spacing w:after="0" w:line="360" w:lineRule="auto"/>
        <w:ind w:firstLine="851"/>
        <w:jc w:val="both"/>
        <w:rPr>
          <w:rFonts w:ascii="Times New Roman" w:hAnsi="Times New Roman"/>
        </w:rPr>
      </w:pPr>
      <w:r>
        <w:rPr>
          <w:rFonts w:ascii="Times New Roman" w:hAnsi="Times New Roman"/>
        </w:rPr>
        <w:t>Содержание: народные сказители. Русские народные сказания, былины. Сказки и легенды о музыке и музыкантах.</w:t>
      </w:r>
    </w:p>
    <w:p w14:paraId="6CEED511">
      <w:pPr>
        <w:spacing w:after="0" w:line="360" w:lineRule="auto"/>
        <w:ind w:firstLine="851"/>
        <w:jc w:val="both"/>
        <w:rPr>
          <w:rFonts w:ascii="Times New Roman" w:hAnsi="Times New Roman"/>
        </w:rPr>
      </w:pPr>
      <w:r>
        <w:rPr>
          <w:rFonts w:ascii="Times New Roman" w:hAnsi="Times New Roman"/>
        </w:rPr>
        <w:t>Виды деятельности обучающихся:</w:t>
      </w:r>
    </w:p>
    <w:p w14:paraId="09CCD2B1">
      <w:pPr>
        <w:spacing w:after="0" w:line="360" w:lineRule="auto"/>
        <w:ind w:firstLine="851"/>
        <w:jc w:val="both"/>
        <w:rPr>
          <w:rFonts w:ascii="Times New Roman" w:hAnsi="Times New Roman"/>
        </w:rPr>
      </w:pPr>
      <w:r>
        <w:rPr>
          <w:rFonts w:ascii="Times New Roman" w:hAnsi="Times New Roman"/>
        </w:rPr>
        <w:t>знакомство с манерой сказывания нараспев;</w:t>
      </w:r>
    </w:p>
    <w:p w14:paraId="328363F7">
      <w:pPr>
        <w:spacing w:after="0" w:line="360" w:lineRule="auto"/>
        <w:ind w:firstLine="851"/>
        <w:jc w:val="both"/>
        <w:rPr>
          <w:rFonts w:ascii="Times New Roman" w:hAnsi="Times New Roman"/>
        </w:rPr>
      </w:pPr>
      <w:r>
        <w:rPr>
          <w:rFonts w:ascii="Times New Roman" w:hAnsi="Times New Roman"/>
        </w:rPr>
        <w:t>слушание сказок, былин, эпических сказаний, рассказываемых нараспев;</w:t>
      </w:r>
    </w:p>
    <w:p w14:paraId="22FD71A4">
      <w:pPr>
        <w:spacing w:after="0" w:line="360" w:lineRule="auto"/>
        <w:ind w:firstLine="851"/>
        <w:jc w:val="both"/>
        <w:rPr>
          <w:rFonts w:ascii="Times New Roman" w:hAnsi="Times New Roman"/>
        </w:rPr>
      </w:pPr>
      <w:r>
        <w:rPr>
          <w:rFonts w:ascii="Times New Roman" w:hAnsi="Times New Roman"/>
        </w:rPr>
        <w:t>в инструментальной музыке определение на слух музыкальных интонаций речитативного характера;</w:t>
      </w:r>
    </w:p>
    <w:p w14:paraId="0C414412">
      <w:pPr>
        <w:spacing w:after="0" w:line="360" w:lineRule="auto"/>
        <w:ind w:firstLine="851"/>
        <w:jc w:val="both"/>
        <w:rPr>
          <w:rFonts w:ascii="Times New Roman" w:hAnsi="Times New Roman"/>
        </w:rPr>
      </w:pPr>
      <w:r>
        <w:rPr>
          <w:rFonts w:ascii="Times New Roman" w:hAnsi="Times New Roman"/>
        </w:rPr>
        <w:t>создание иллюстраций к прослушанным музыкальным и литературным произведениям;</w:t>
      </w:r>
    </w:p>
    <w:p w14:paraId="5F7A0169">
      <w:pPr>
        <w:spacing w:after="0" w:line="360" w:lineRule="auto"/>
        <w:ind w:firstLine="851"/>
        <w:jc w:val="both"/>
        <w:rPr>
          <w:rFonts w:ascii="Times New Roman" w:hAnsi="Times New Roman"/>
        </w:rPr>
      </w:pPr>
      <w:r>
        <w:rPr>
          <w:rFonts w:ascii="Times New Roman" w:hAnsi="Times New Roman"/>
        </w:rPr>
        <w:t>вариативно: знакомство с эпосом народов России (по выбору учителя: отдельные сказания или примеры из эпоса народов России, например, якутского Олонхо, карело-финской Калевалы, калмыцкого Джангара, Нартского эпоса); просмотр фильмов, мультфильмов, созданных на основе былин, сказаний; речитативная импровизация – чтение нараспев фрагмента сказки, былины.</w:t>
      </w:r>
    </w:p>
    <w:p w14:paraId="279DD6B2">
      <w:pPr>
        <w:spacing w:after="0" w:line="360" w:lineRule="auto"/>
        <w:ind w:firstLine="851"/>
        <w:jc w:val="both"/>
        <w:rPr>
          <w:rFonts w:ascii="Times New Roman" w:hAnsi="Times New Roman"/>
        </w:rPr>
      </w:pPr>
      <w:r>
        <w:rPr>
          <w:rFonts w:ascii="Times New Roman" w:hAnsi="Times New Roman"/>
        </w:rPr>
        <w:t>14.6.1.5. Жанры музыкального фольклора.</w:t>
      </w:r>
    </w:p>
    <w:p w14:paraId="0692BAD0">
      <w:pPr>
        <w:spacing w:after="0" w:line="360" w:lineRule="auto"/>
        <w:ind w:firstLine="851"/>
        <w:jc w:val="both"/>
        <w:rPr>
          <w:rFonts w:ascii="Times New Roman" w:hAnsi="Times New Roman"/>
        </w:rPr>
      </w:pPr>
      <w:r>
        <w:rPr>
          <w:rFonts w:ascii="Times New Roman" w:hAnsi="Times New Roman"/>
        </w:rPr>
        <w:t>Содержание: фольклорные жанры, общие для всех народов: лирические, трудовые, колыбельные песни, танцы и пляски. Традиционные музыкальные инструменты.</w:t>
      </w:r>
    </w:p>
    <w:p w14:paraId="3D8DCBA2">
      <w:pPr>
        <w:spacing w:after="0" w:line="360" w:lineRule="auto"/>
        <w:ind w:firstLine="851"/>
        <w:jc w:val="both"/>
        <w:rPr>
          <w:rFonts w:ascii="Times New Roman" w:hAnsi="Times New Roman"/>
        </w:rPr>
      </w:pPr>
      <w:r>
        <w:rPr>
          <w:rFonts w:ascii="Times New Roman" w:hAnsi="Times New Roman"/>
        </w:rPr>
        <w:t>Виды деятельности обучающихся:</w:t>
      </w:r>
    </w:p>
    <w:p w14:paraId="09407C95">
      <w:pPr>
        <w:spacing w:after="0" w:line="360" w:lineRule="auto"/>
        <w:ind w:firstLine="851"/>
        <w:jc w:val="both"/>
        <w:rPr>
          <w:rFonts w:ascii="Times New Roman" w:hAnsi="Times New Roman"/>
        </w:rPr>
      </w:pPr>
      <w:r>
        <w:rPr>
          <w:rFonts w:ascii="Times New Roman" w:hAnsi="Times New Roman"/>
        </w:rPr>
        <w:t>различение на слух контрастных по характеру фольклорных жанров: колыбельная, трудовая, лирическая, плясовая;</w:t>
      </w:r>
    </w:p>
    <w:p w14:paraId="522AAD42">
      <w:pPr>
        <w:spacing w:after="0" w:line="360" w:lineRule="auto"/>
        <w:ind w:firstLine="851"/>
        <w:jc w:val="both"/>
        <w:rPr>
          <w:rFonts w:ascii="Times New Roman" w:hAnsi="Times New Roman"/>
        </w:rPr>
      </w:pPr>
      <w:r>
        <w:rPr>
          <w:rFonts w:ascii="Times New Roman" w:hAnsi="Times New Roman"/>
        </w:rPr>
        <w:t>определение, характеристика типичных элементов музыкального языка (темп, ритм, мелодия, динамика), состава исполнителей;</w:t>
      </w:r>
    </w:p>
    <w:p w14:paraId="69270803">
      <w:pPr>
        <w:spacing w:after="0" w:line="360" w:lineRule="auto"/>
        <w:ind w:firstLine="851"/>
        <w:jc w:val="both"/>
        <w:rPr>
          <w:rFonts w:ascii="Times New Roman" w:hAnsi="Times New Roman"/>
        </w:rPr>
      </w:pPr>
      <w:r>
        <w:rPr>
          <w:rFonts w:ascii="Times New Roman" w:hAnsi="Times New Roman"/>
        </w:rPr>
        <w:t>определение тембра музыкальных инструментов, отнесение к одной из групп (духовые, ударные, струнные);</w:t>
      </w:r>
    </w:p>
    <w:p w14:paraId="7249E893">
      <w:pPr>
        <w:spacing w:after="0" w:line="360" w:lineRule="auto"/>
        <w:ind w:firstLine="851"/>
        <w:jc w:val="both"/>
        <w:rPr>
          <w:rFonts w:ascii="Times New Roman" w:hAnsi="Times New Roman"/>
        </w:rPr>
      </w:pPr>
      <w:r>
        <w:rPr>
          <w:rFonts w:ascii="Times New Roman" w:hAnsi="Times New Roman"/>
        </w:rPr>
        <w:t>разучивание, исполнение песен разных жанров, относящихся к фольклору разных народов Российской Федерации;</w:t>
      </w:r>
    </w:p>
    <w:p w14:paraId="5FA124EF">
      <w:pPr>
        <w:spacing w:after="0" w:line="360" w:lineRule="auto"/>
        <w:ind w:firstLine="851"/>
        <w:jc w:val="both"/>
        <w:rPr>
          <w:rFonts w:ascii="Times New Roman" w:hAnsi="Times New Roman"/>
        </w:rPr>
      </w:pPr>
      <w:r>
        <w:rPr>
          <w:rFonts w:ascii="Times New Roman" w:hAnsi="Times New Roman"/>
        </w:rPr>
        <w:t>импровизации, сочинение к ним ритмических аккомпанементов (звучащими жестами, на ударных инструментах);</w:t>
      </w:r>
    </w:p>
    <w:p w14:paraId="47BA31EE">
      <w:pPr>
        <w:spacing w:after="0" w:line="360" w:lineRule="auto"/>
        <w:ind w:firstLine="851"/>
        <w:jc w:val="both"/>
        <w:rPr>
          <w:rFonts w:ascii="Times New Roman" w:hAnsi="Times New Roman"/>
        </w:rPr>
      </w:pPr>
      <w:r>
        <w:rPr>
          <w:rFonts w:ascii="Times New Roman" w:hAnsi="Times New Roman"/>
        </w:rPr>
        <w:t>вариативно: исполнение на клавишных или духовых инструментах (свирель) мелодий народных песен, прослеживание мелодии по нотной записи.</w:t>
      </w:r>
    </w:p>
    <w:p w14:paraId="3EABD254">
      <w:pPr>
        <w:spacing w:after="0" w:line="360" w:lineRule="auto"/>
        <w:ind w:firstLine="851"/>
        <w:jc w:val="both"/>
        <w:rPr>
          <w:rFonts w:ascii="Times New Roman" w:hAnsi="Times New Roman"/>
        </w:rPr>
      </w:pPr>
      <w:r>
        <w:rPr>
          <w:rFonts w:ascii="Times New Roman" w:hAnsi="Times New Roman"/>
        </w:rPr>
        <w:t>14.6.1.6. Народные праздники.</w:t>
      </w:r>
    </w:p>
    <w:p w14:paraId="5E520868">
      <w:pPr>
        <w:spacing w:after="0" w:line="360" w:lineRule="auto"/>
        <w:ind w:firstLine="851"/>
        <w:jc w:val="both"/>
        <w:rPr>
          <w:rFonts w:ascii="Times New Roman" w:hAnsi="Times New Roman"/>
        </w:rPr>
      </w:pPr>
      <w:r>
        <w:rPr>
          <w:rFonts w:ascii="Times New Roman" w:hAnsi="Times New Roman"/>
        </w:rPr>
        <w:t>Содержание: обряды, игры, хороводы, праздничная символика – на примере одного или нескольких народных праздников (по выбору учителя внимание обучающихся может быть сосредоточено на русских традиционных народных праздниках (Рождество, Осенины, Масленица, Троица) и (или) праздниках других народов России (Сабантуй, Байрам, Навруз, Ысыах).</w:t>
      </w:r>
    </w:p>
    <w:p w14:paraId="61D9FEC6">
      <w:pPr>
        <w:spacing w:after="0" w:line="360" w:lineRule="auto"/>
        <w:ind w:firstLine="851"/>
        <w:jc w:val="both"/>
        <w:rPr>
          <w:rFonts w:ascii="Times New Roman" w:hAnsi="Times New Roman"/>
        </w:rPr>
      </w:pPr>
      <w:r>
        <w:rPr>
          <w:rFonts w:ascii="Times New Roman" w:hAnsi="Times New Roman"/>
        </w:rPr>
        <w:t>Виды деятельности обучающихся:</w:t>
      </w:r>
    </w:p>
    <w:p w14:paraId="3B04FC1E">
      <w:pPr>
        <w:spacing w:after="0" w:line="360" w:lineRule="auto"/>
        <w:ind w:firstLine="851"/>
        <w:jc w:val="both"/>
        <w:rPr>
          <w:rFonts w:ascii="Times New Roman" w:hAnsi="Times New Roman"/>
        </w:rPr>
      </w:pPr>
      <w:r>
        <w:rPr>
          <w:rFonts w:ascii="Times New Roman" w:hAnsi="Times New Roman"/>
        </w:rPr>
        <w:t>знакомство с праздничными обычаями, обрядами, бытовавшими ранее и сохранившимися сегодня у различных народностей Российской Федерации;</w:t>
      </w:r>
    </w:p>
    <w:p w14:paraId="4DE53C38">
      <w:pPr>
        <w:spacing w:after="0" w:line="360" w:lineRule="auto"/>
        <w:ind w:firstLine="851"/>
        <w:jc w:val="both"/>
        <w:rPr>
          <w:rFonts w:ascii="Times New Roman" w:hAnsi="Times New Roman"/>
        </w:rPr>
      </w:pPr>
      <w:r>
        <w:rPr>
          <w:rFonts w:ascii="Times New Roman" w:hAnsi="Times New Roman"/>
        </w:rPr>
        <w:t>разучивание песен, реконструкция фрагмента обряда, участие в коллективной традиционной игре (по выбору учителя могут быть освоены традиционные игры территориально близких или, наоборот, далёких регионов Российской Федерации);</w:t>
      </w:r>
    </w:p>
    <w:p w14:paraId="29A7992E">
      <w:pPr>
        <w:spacing w:after="0" w:line="360" w:lineRule="auto"/>
        <w:ind w:firstLine="851"/>
        <w:jc w:val="both"/>
        <w:rPr>
          <w:rFonts w:ascii="Times New Roman" w:hAnsi="Times New Roman"/>
        </w:rPr>
      </w:pPr>
      <w:r>
        <w:rPr>
          <w:rFonts w:ascii="Times New Roman" w:hAnsi="Times New Roman"/>
        </w:rPr>
        <w:t>вариативно: просмотр фильма (мультфильма), рассказывающего о символике фольклорного праздника;</w:t>
      </w:r>
    </w:p>
    <w:p w14:paraId="68CFA441">
      <w:pPr>
        <w:spacing w:after="0" w:line="360" w:lineRule="auto"/>
        <w:ind w:firstLine="851"/>
        <w:jc w:val="both"/>
        <w:rPr>
          <w:rFonts w:ascii="Times New Roman" w:hAnsi="Times New Roman"/>
        </w:rPr>
      </w:pPr>
      <w:r>
        <w:rPr>
          <w:rFonts w:ascii="Times New Roman" w:hAnsi="Times New Roman"/>
        </w:rPr>
        <w:t>посещение театра, театрализованного представления;</w:t>
      </w:r>
    </w:p>
    <w:p w14:paraId="3E8DC0A8">
      <w:pPr>
        <w:spacing w:after="0" w:line="360" w:lineRule="auto"/>
        <w:ind w:firstLine="851"/>
        <w:jc w:val="both"/>
        <w:rPr>
          <w:rFonts w:ascii="Times New Roman" w:hAnsi="Times New Roman"/>
        </w:rPr>
      </w:pPr>
      <w:r>
        <w:rPr>
          <w:rFonts w:ascii="Times New Roman" w:hAnsi="Times New Roman"/>
        </w:rPr>
        <w:t>участие в народных гуляньях на улицах родного города, посёлка.</w:t>
      </w:r>
    </w:p>
    <w:p w14:paraId="01F244E1">
      <w:pPr>
        <w:spacing w:after="0" w:line="360" w:lineRule="auto"/>
        <w:ind w:firstLine="851"/>
        <w:jc w:val="both"/>
        <w:rPr>
          <w:rFonts w:ascii="Times New Roman" w:hAnsi="Times New Roman"/>
        </w:rPr>
      </w:pPr>
      <w:r>
        <w:rPr>
          <w:rFonts w:ascii="Times New Roman" w:hAnsi="Times New Roman"/>
        </w:rPr>
        <w:t>14.6.1.7. Первые артисты, народный театр.</w:t>
      </w:r>
    </w:p>
    <w:p w14:paraId="1CD29000">
      <w:pPr>
        <w:spacing w:after="0" w:line="360" w:lineRule="auto"/>
        <w:ind w:firstLine="851"/>
        <w:jc w:val="both"/>
        <w:rPr>
          <w:rFonts w:ascii="Times New Roman" w:hAnsi="Times New Roman"/>
        </w:rPr>
      </w:pPr>
      <w:r>
        <w:rPr>
          <w:rFonts w:ascii="Times New Roman" w:hAnsi="Times New Roman"/>
        </w:rPr>
        <w:t>Содержание: скоморохи. Ярмарочный балаган. Вертеп.</w:t>
      </w:r>
    </w:p>
    <w:p w14:paraId="4DB9B633">
      <w:pPr>
        <w:spacing w:after="0" w:line="360" w:lineRule="auto"/>
        <w:ind w:firstLine="851"/>
        <w:jc w:val="both"/>
        <w:rPr>
          <w:rFonts w:ascii="Times New Roman" w:hAnsi="Times New Roman"/>
        </w:rPr>
      </w:pPr>
      <w:r>
        <w:rPr>
          <w:rFonts w:ascii="Times New Roman" w:hAnsi="Times New Roman"/>
        </w:rPr>
        <w:t>Виды деятельности обучающихся:</w:t>
      </w:r>
    </w:p>
    <w:p w14:paraId="1D381EB8">
      <w:pPr>
        <w:spacing w:after="0" w:line="360" w:lineRule="auto"/>
        <w:ind w:firstLine="851"/>
        <w:jc w:val="both"/>
        <w:rPr>
          <w:rFonts w:ascii="Times New Roman" w:hAnsi="Times New Roman"/>
        </w:rPr>
      </w:pPr>
      <w:r>
        <w:rPr>
          <w:rFonts w:ascii="Times New Roman" w:hAnsi="Times New Roman"/>
        </w:rPr>
        <w:t>чтение учебных, справочных текстов по теме;</w:t>
      </w:r>
    </w:p>
    <w:p w14:paraId="6C28547F">
      <w:pPr>
        <w:spacing w:after="0" w:line="360" w:lineRule="auto"/>
        <w:ind w:firstLine="851"/>
        <w:jc w:val="both"/>
        <w:rPr>
          <w:rFonts w:ascii="Times New Roman" w:hAnsi="Times New Roman"/>
        </w:rPr>
      </w:pPr>
      <w:r>
        <w:rPr>
          <w:rFonts w:ascii="Times New Roman" w:hAnsi="Times New Roman"/>
        </w:rPr>
        <w:t>диалог с учителем;</w:t>
      </w:r>
    </w:p>
    <w:p w14:paraId="166C076A">
      <w:pPr>
        <w:spacing w:after="0" w:line="360" w:lineRule="auto"/>
        <w:ind w:firstLine="851"/>
        <w:jc w:val="both"/>
        <w:rPr>
          <w:rFonts w:ascii="Times New Roman" w:hAnsi="Times New Roman"/>
        </w:rPr>
      </w:pPr>
      <w:r>
        <w:rPr>
          <w:rFonts w:ascii="Times New Roman" w:hAnsi="Times New Roman"/>
        </w:rPr>
        <w:t>разучивание, исполнение скоморошин;</w:t>
      </w:r>
    </w:p>
    <w:p w14:paraId="09DDE73B">
      <w:pPr>
        <w:spacing w:after="0" w:line="360" w:lineRule="auto"/>
        <w:ind w:firstLine="851"/>
        <w:jc w:val="both"/>
        <w:rPr>
          <w:rFonts w:ascii="Times New Roman" w:hAnsi="Times New Roman"/>
        </w:rPr>
      </w:pPr>
      <w:r>
        <w:rPr>
          <w:rFonts w:ascii="Times New Roman" w:hAnsi="Times New Roman"/>
        </w:rPr>
        <w:t>вариативно: просмотр фильма (мультфильма), фрагмента музыкального спектакля; творческий проект – театрализованная постановка.</w:t>
      </w:r>
    </w:p>
    <w:p w14:paraId="3539CF1E">
      <w:pPr>
        <w:spacing w:after="0" w:line="360" w:lineRule="auto"/>
        <w:ind w:firstLine="851"/>
        <w:jc w:val="both"/>
        <w:rPr>
          <w:rFonts w:ascii="Times New Roman" w:hAnsi="Times New Roman"/>
        </w:rPr>
      </w:pPr>
      <w:r>
        <w:rPr>
          <w:rFonts w:ascii="Times New Roman" w:hAnsi="Times New Roman"/>
        </w:rPr>
        <w:t>14.6.1.8. Фольклор народов России.</w:t>
      </w:r>
    </w:p>
    <w:p w14:paraId="76F78C74">
      <w:pPr>
        <w:spacing w:after="0" w:line="360" w:lineRule="auto"/>
        <w:ind w:firstLine="851"/>
        <w:jc w:val="both"/>
        <w:rPr>
          <w:rFonts w:ascii="Times New Roman" w:hAnsi="Times New Roman"/>
        </w:rPr>
      </w:pPr>
      <w:r>
        <w:rPr>
          <w:rFonts w:ascii="Times New Roman" w:hAnsi="Times New Roman"/>
        </w:rPr>
        <w:t>Содержание: музыкальные традиции, особенности народной музыки республик Российской Федерации (по выбору учителя может быть представлена культура 2–3 регионов Российской Федерации. Особое внимание следует уделить как наиболее распространённым чертам, так и уникальным самобытным явлениям, например: тувинское горловое пение, кавказская лезгинка, якутский варган, пентатонные лады в музыке республик Поволжья, Сибири). Жанры, интонации, музыкальные инструменты, музыканты-исполнители.</w:t>
      </w:r>
    </w:p>
    <w:p w14:paraId="69DDB2CD">
      <w:pPr>
        <w:spacing w:after="0" w:line="360" w:lineRule="auto"/>
        <w:ind w:firstLine="851"/>
        <w:jc w:val="both"/>
        <w:rPr>
          <w:rFonts w:ascii="Times New Roman" w:hAnsi="Times New Roman"/>
        </w:rPr>
      </w:pPr>
      <w:r>
        <w:rPr>
          <w:rFonts w:ascii="Times New Roman" w:hAnsi="Times New Roman"/>
        </w:rPr>
        <w:t>Виды деятельности обучающихся:</w:t>
      </w:r>
    </w:p>
    <w:p w14:paraId="73E808B3">
      <w:pPr>
        <w:spacing w:after="0" w:line="360" w:lineRule="auto"/>
        <w:ind w:firstLine="851"/>
        <w:jc w:val="both"/>
        <w:rPr>
          <w:rFonts w:ascii="Times New Roman" w:hAnsi="Times New Roman"/>
        </w:rPr>
      </w:pPr>
      <w:r>
        <w:rPr>
          <w:rFonts w:ascii="Times New Roman" w:hAnsi="Times New Roman"/>
        </w:rPr>
        <w:t>знакомство с особенностями музыкального фольклора различных народностей Российской Федерации;</w:t>
      </w:r>
    </w:p>
    <w:p w14:paraId="5C0CA59F">
      <w:pPr>
        <w:spacing w:after="0" w:line="360" w:lineRule="auto"/>
        <w:ind w:firstLine="851"/>
        <w:jc w:val="both"/>
        <w:rPr>
          <w:rFonts w:ascii="Times New Roman" w:hAnsi="Times New Roman"/>
        </w:rPr>
      </w:pPr>
      <w:r>
        <w:rPr>
          <w:rFonts w:ascii="Times New Roman" w:hAnsi="Times New Roman"/>
        </w:rPr>
        <w:t>определение характерных черт, характеристика типичных элементов музыкального языка (ритм, лад, интонации);</w:t>
      </w:r>
    </w:p>
    <w:p w14:paraId="7F341639">
      <w:pPr>
        <w:spacing w:after="0" w:line="360" w:lineRule="auto"/>
        <w:ind w:firstLine="851"/>
        <w:jc w:val="both"/>
        <w:rPr>
          <w:rFonts w:ascii="Times New Roman" w:hAnsi="Times New Roman"/>
        </w:rPr>
      </w:pPr>
      <w:r>
        <w:rPr>
          <w:rFonts w:ascii="Times New Roman" w:hAnsi="Times New Roman"/>
        </w:rPr>
        <w:t>разучивание песен, танцев, импровизация ритмических аккомпанементов на ударных инструментах;</w:t>
      </w:r>
    </w:p>
    <w:p w14:paraId="39035E51">
      <w:pPr>
        <w:spacing w:after="0" w:line="360" w:lineRule="auto"/>
        <w:ind w:firstLine="851"/>
        <w:jc w:val="both"/>
        <w:rPr>
          <w:rFonts w:ascii="Times New Roman" w:hAnsi="Times New Roman"/>
        </w:rPr>
      </w:pPr>
      <w:r>
        <w:rPr>
          <w:rFonts w:ascii="Times New Roman" w:hAnsi="Times New Roman"/>
        </w:rPr>
        <w:t>вариативно: исполнение на доступных клавишных или духовых инструментах (свирель) мелодий народных песен, прослеживание мелодии по нотной записи;</w:t>
      </w:r>
    </w:p>
    <w:p w14:paraId="5F133A5B">
      <w:pPr>
        <w:spacing w:after="0" w:line="360" w:lineRule="auto"/>
        <w:ind w:firstLine="851"/>
        <w:jc w:val="both"/>
        <w:rPr>
          <w:rFonts w:ascii="Times New Roman" w:hAnsi="Times New Roman"/>
        </w:rPr>
      </w:pPr>
      <w:r>
        <w:rPr>
          <w:rFonts w:ascii="Times New Roman" w:hAnsi="Times New Roman"/>
        </w:rPr>
        <w:t>творческие, исследовательские проекты, школьные фестивали, посвящённые музыкальному творчеству народов России.</w:t>
      </w:r>
    </w:p>
    <w:p w14:paraId="510E7D0B">
      <w:pPr>
        <w:spacing w:after="0" w:line="360" w:lineRule="auto"/>
        <w:ind w:firstLine="851"/>
        <w:jc w:val="both"/>
        <w:rPr>
          <w:rFonts w:ascii="Times New Roman" w:hAnsi="Times New Roman"/>
        </w:rPr>
      </w:pPr>
      <w:r>
        <w:rPr>
          <w:rFonts w:ascii="Times New Roman" w:hAnsi="Times New Roman"/>
        </w:rPr>
        <w:t>14.6.1.9. Фольклор в творчестве профессиональных музыкантов.</w:t>
      </w:r>
    </w:p>
    <w:p w14:paraId="23F9316D">
      <w:pPr>
        <w:spacing w:after="0" w:line="360" w:lineRule="auto"/>
        <w:ind w:firstLine="851"/>
        <w:jc w:val="both"/>
        <w:rPr>
          <w:rFonts w:ascii="Times New Roman" w:hAnsi="Times New Roman"/>
        </w:rPr>
      </w:pPr>
      <w:r>
        <w:rPr>
          <w:rFonts w:ascii="Times New Roman" w:hAnsi="Times New Roman"/>
        </w:rPr>
        <w:t>Содержание: собиратели фольклора. Народные мелодии в обработке композиторов. Народные жанры, интонации как основа для композиторского творчества.</w:t>
      </w:r>
    </w:p>
    <w:p w14:paraId="251B118A">
      <w:pPr>
        <w:spacing w:after="0" w:line="360" w:lineRule="auto"/>
        <w:ind w:firstLine="851"/>
        <w:jc w:val="both"/>
        <w:rPr>
          <w:rFonts w:ascii="Times New Roman" w:hAnsi="Times New Roman"/>
        </w:rPr>
      </w:pPr>
      <w:r>
        <w:rPr>
          <w:rFonts w:ascii="Times New Roman" w:hAnsi="Times New Roman"/>
        </w:rPr>
        <w:t>Виды деятельности обучающихся:</w:t>
      </w:r>
    </w:p>
    <w:p w14:paraId="36F48F06">
      <w:pPr>
        <w:spacing w:after="0" w:line="360" w:lineRule="auto"/>
        <w:ind w:firstLine="851"/>
        <w:jc w:val="both"/>
        <w:rPr>
          <w:rFonts w:ascii="Times New Roman" w:hAnsi="Times New Roman"/>
        </w:rPr>
      </w:pPr>
      <w:r>
        <w:rPr>
          <w:rFonts w:ascii="Times New Roman" w:hAnsi="Times New Roman"/>
        </w:rPr>
        <w:t xml:space="preserve">диалог с учителем о значении фольклористики; </w:t>
      </w:r>
    </w:p>
    <w:p w14:paraId="1011FC13">
      <w:pPr>
        <w:spacing w:after="0" w:line="360" w:lineRule="auto"/>
        <w:ind w:firstLine="851"/>
        <w:jc w:val="both"/>
        <w:rPr>
          <w:rFonts w:ascii="Times New Roman" w:hAnsi="Times New Roman"/>
        </w:rPr>
      </w:pPr>
      <w:r>
        <w:rPr>
          <w:rFonts w:ascii="Times New Roman" w:hAnsi="Times New Roman"/>
        </w:rPr>
        <w:t>чтение учебных, популярных текстов о собирателях фольклора;</w:t>
      </w:r>
    </w:p>
    <w:p w14:paraId="7AADDD8B">
      <w:pPr>
        <w:spacing w:after="0" w:line="360" w:lineRule="auto"/>
        <w:ind w:firstLine="851"/>
        <w:jc w:val="both"/>
        <w:rPr>
          <w:rFonts w:ascii="Times New Roman" w:hAnsi="Times New Roman"/>
        </w:rPr>
      </w:pPr>
      <w:r>
        <w:rPr>
          <w:rFonts w:ascii="Times New Roman" w:hAnsi="Times New Roman"/>
        </w:rPr>
        <w:t>слушание музыки, созданной композиторами на основе народных жанров и интонаций;</w:t>
      </w:r>
    </w:p>
    <w:p w14:paraId="2BD90157">
      <w:pPr>
        <w:spacing w:after="0" w:line="360" w:lineRule="auto"/>
        <w:ind w:firstLine="851"/>
        <w:jc w:val="both"/>
        <w:rPr>
          <w:rFonts w:ascii="Times New Roman" w:hAnsi="Times New Roman"/>
        </w:rPr>
      </w:pPr>
      <w:r>
        <w:rPr>
          <w:rFonts w:ascii="Times New Roman" w:hAnsi="Times New Roman"/>
        </w:rPr>
        <w:t>определение приёмов обработки, развития народных мелодий;</w:t>
      </w:r>
    </w:p>
    <w:p w14:paraId="2ADAD9B5">
      <w:pPr>
        <w:spacing w:after="0" w:line="360" w:lineRule="auto"/>
        <w:ind w:firstLine="851"/>
        <w:jc w:val="both"/>
        <w:rPr>
          <w:rFonts w:ascii="Times New Roman" w:hAnsi="Times New Roman"/>
        </w:rPr>
      </w:pPr>
      <w:r>
        <w:rPr>
          <w:rFonts w:ascii="Times New Roman" w:hAnsi="Times New Roman"/>
        </w:rPr>
        <w:t>разучивание, исполнение народных песен в композиторской обработке;</w:t>
      </w:r>
    </w:p>
    <w:p w14:paraId="3E6C9E8A">
      <w:pPr>
        <w:spacing w:after="0" w:line="360" w:lineRule="auto"/>
        <w:ind w:firstLine="851"/>
        <w:jc w:val="both"/>
        <w:rPr>
          <w:rFonts w:ascii="Times New Roman" w:hAnsi="Times New Roman"/>
        </w:rPr>
      </w:pPr>
      <w:r>
        <w:rPr>
          <w:rFonts w:ascii="Times New Roman" w:hAnsi="Times New Roman"/>
        </w:rPr>
        <w:t>сравнение звучания одних и тех же мелодий в народном и композиторском варианте;</w:t>
      </w:r>
    </w:p>
    <w:p w14:paraId="42A8519D">
      <w:pPr>
        <w:spacing w:after="0" w:line="360" w:lineRule="auto"/>
        <w:ind w:firstLine="851"/>
        <w:jc w:val="both"/>
        <w:rPr>
          <w:rFonts w:ascii="Times New Roman" w:hAnsi="Times New Roman"/>
        </w:rPr>
      </w:pPr>
      <w:r>
        <w:rPr>
          <w:rFonts w:ascii="Times New Roman" w:hAnsi="Times New Roman"/>
        </w:rPr>
        <w:t>обсуждение аргументированных оценочных суждений на основе сравнения;</w:t>
      </w:r>
    </w:p>
    <w:p w14:paraId="46A27896">
      <w:pPr>
        <w:spacing w:after="0" w:line="360" w:lineRule="auto"/>
        <w:ind w:firstLine="851"/>
        <w:jc w:val="both"/>
        <w:rPr>
          <w:rFonts w:ascii="Times New Roman" w:hAnsi="Times New Roman"/>
        </w:rPr>
      </w:pPr>
      <w:r>
        <w:rPr>
          <w:rFonts w:ascii="Times New Roman" w:hAnsi="Times New Roman"/>
        </w:rPr>
        <w:t>вариативно: аналогии с изобразительным искусством – сравнение фотографий подлинных образцов народных промыслов (гжель, хохлома, городецкая роспись) с творчеством современных художников, модельеров, дизайнеров, работающих в соответствующих техниках росписи.</w:t>
      </w:r>
    </w:p>
    <w:p w14:paraId="1E78E7B7">
      <w:pPr>
        <w:spacing w:after="0" w:line="360" w:lineRule="auto"/>
        <w:ind w:firstLine="851"/>
        <w:jc w:val="both"/>
        <w:rPr>
          <w:rFonts w:ascii="Times New Roman" w:hAnsi="Times New Roman"/>
        </w:rPr>
      </w:pPr>
      <w:r>
        <w:rPr>
          <w:rFonts w:ascii="Times New Roman" w:hAnsi="Times New Roman"/>
        </w:rPr>
        <w:t xml:space="preserve">14.6.2. Модуль № 2 «Классическая музыка». </w:t>
      </w:r>
    </w:p>
    <w:p w14:paraId="27C34059">
      <w:pPr>
        <w:spacing w:after="0" w:line="360" w:lineRule="auto"/>
        <w:ind w:firstLine="851"/>
        <w:jc w:val="both"/>
        <w:rPr>
          <w:rFonts w:ascii="Times New Roman" w:hAnsi="Times New Roman"/>
        </w:rPr>
      </w:pPr>
      <w:r>
        <w:rPr>
          <w:rFonts w:ascii="Times New Roman" w:hAnsi="Times New Roman"/>
        </w:rPr>
        <w:t xml:space="preserve">Данный модуль является одним из важнейших. Шедевры мировой музыкальной классики составляют золотой фонд музыкальной культуры. Проверенные временем образцы камерных и симфонических сочинений позволяют раскрыть перед обучающимися богатую палитру мыслей и чувств, воплощённую в звуках музыкальным гением великих композиторов, воспитывать их музыкальный вкус на подлинно художественных произведениях. </w:t>
      </w:r>
    </w:p>
    <w:p w14:paraId="1259E354">
      <w:pPr>
        <w:spacing w:after="0" w:line="360" w:lineRule="auto"/>
        <w:ind w:firstLine="851"/>
        <w:jc w:val="both"/>
        <w:rPr>
          <w:rFonts w:ascii="Times New Roman" w:hAnsi="Times New Roman"/>
        </w:rPr>
      </w:pPr>
      <w:r>
        <w:rPr>
          <w:rFonts w:ascii="Times New Roman" w:hAnsi="Times New Roman"/>
        </w:rPr>
        <w:t>14.6.2.1. Композитор – исполнитель – слушатель.</w:t>
      </w:r>
    </w:p>
    <w:p w14:paraId="5E2BCB85">
      <w:pPr>
        <w:spacing w:after="0" w:line="360" w:lineRule="auto"/>
        <w:ind w:firstLine="851"/>
        <w:jc w:val="both"/>
        <w:rPr>
          <w:rFonts w:ascii="Times New Roman" w:hAnsi="Times New Roman"/>
        </w:rPr>
      </w:pPr>
      <w:r>
        <w:rPr>
          <w:rFonts w:ascii="Times New Roman" w:hAnsi="Times New Roman"/>
        </w:rPr>
        <w:t>Содержание: композитор, исполнитель, особенности их деятельности, творчества. Умение слушать музыку. Концерт, концертный зал. Правила поведения в концертном зале.</w:t>
      </w:r>
    </w:p>
    <w:p w14:paraId="39D59869">
      <w:pPr>
        <w:spacing w:after="0" w:line="360" w:lineRule="auto"/>
        <w:ind w:firstLine="851"/>
        <w:jc w:val="both"/>
        <w:rPr>
          <w:rFonts w:ascii="Times New Roman" w:hAnsi="Times New Roman"/>
        </w:rPr>
      </w:pPr>
      <w:r>
        <w:rPr>
          <w:rFonts w:ascii="Times New Roman" w:hAnsi="Times New Roman"/>
        </w:rPr>
        <w:t>Виды деятельности обучающихся:</w:t>
      </w:r>
    </w:p>
    <w:p w14:paraId="14140948">
      <w:pPr>
        <w:spacing w:after="0" w:line="360" w:lineRule="auto"/>
        <w:ind w:firstLine="851"/>
        <w:jc w:val="both"/>
        <w:rPr>
          <w:rFonts w:ascii="Times New Roman" w:hAnsi="Times New Roman"/>
        </w:rPr>
      </w:pPr>
      <w:r>
        <w:rPr>
          <w:rFonts w:ascii="Times New Roman" w:hAnsi="Times New Roman"/>
        </w:rPr>
        <w:t>просмотр видеозаписи концерта;</w:t>
      </w:r>
    </w:p>
    <w:p w14:paraId="18708115">
      <w:pPr>
        <w:spacing w:after="0" w:line="360" w:lineRule="auto"/>
        <w:ind w:firstLine="851"/>
        <w:jc w:val="both"/>
        <w:rPr>
          <w:rFonts w:ascii="Times New Roman" w:hAnsi="Times New Roman"/>
        </w:rPr>
      </w:pPr>
      <w:r>
        <w:rPr>
          <w:rFonts w:ascii="Times New Roman" w:hAnsi="Times New Roman"/>
        </w:rPr>
        <w:t>слушание музыки, рассматривание иллюстраций;</w:t>
      </w:r>
    </w:p>
    <w:p w14:paraId="2566E19F">
      <w:pPr>
        <w:spacing w:after="0" w:line="360" w:lineRule="auto"/>
        <w:ind w:firstLine="851"/>
        <w:jc w:val="both"/>
        <w:rPr>
          <w:rFonts w:ascii="Times New Roman" w:hAnsi="Times New Roman"/>
        </w:rPr>
      </w:pPr>
      <w:r>
        <w:rPr>
          <w:rFonts w:ascii="Times New Roman" w:hAnsi="Times New Roman"/>
        </w:rPr>
        <w:t xml:space="preserve">диалог с учителем по теме занятия; </w:t>
      </w:r>
    </w:p>
    <w:p w14:paraId="41290417">
      <w:pPr>
        <w:spacing w:after="0" w:line="360" w:lineRule="auto"/>
        <w:ind w:firstLine="851"/>
        <w:jc w:val="both"/>
        <w:rPr>
          <w:rFonts w:ascii="Times New Roman" w:hAnsi="Times New Roman"/>
        </w:rPr>
      </w:pPr>
      <w:r>
        <w:rPr>
          <w:rFonts w:ascii="Times New Roman" w:hAnsi="Times New Roman"/>
        </w:rPr>
        <w:t>«Я – исполнитель» (игра – имитация исполнительских движений);</w:t>
      </w:r>
    </w:p>
    <w:p w14:paraId="29EA0965">
      <w:pPr>
        <w:spacing w:after="0" w:line="360" w:lineRule="auto"/>
        <w:ind w:firstLine="851"/>
        <w:jc w:val="both"/>
        <w:rPr>
          <w:rFonts w:ascii="Times New Roman" w:hAnsi="Times New Roman"/>
        </w:rPr>
      </w:pPr>
      <w:r>
        <w:rPr>
          <w:rFonts w:ascii="Times New Roman" w:hAnsi="Times New Roman"/>
        </w:rPr>
        <w:t>игра «Я – композитор» (сочинение небольших попевок, мелодических фраз);</w:t>
      </w:r>
    </w:p>
    <w:p w14:paraId="6D4BAE17">
      <w:pPr>
        <w:spacing w:after="0" w:line="360" w:lineRule="auto"/>
        <w:ind w:firstLine="851"/>
        <w:jc w:val="both"/>
        <w:rPr>
          <w:rFonts w:ascii="Times New Roman" w:hAnsi="Times New Roman"/>
        </w:rPr>
      </w:pPr>
      <w:r>
        <w:rPr>
          <w:rFonts w:ascii="Times New Roman" w:hAnsi="Times New Roman"/>
        </w:rPr>
        <w:t>освоение правил поведения на концерте;</w:t>
      </w:r>
    </w:p>
    <w:p w14:paraId="372B6BBB">
      <w:pPr>
        <w:spacing w:after="0" w:line="360" w:lineRule="auto"/>
        <w:ind w:firstLine="851"/>
        <w:jc w:val="both"/>
        <w:rPr>
          <w:rFonts w:ascii="Times New Roman" w:hAnsi="Times New Roman"/>
        </w:rPr>
      </w:pPr>
      <w:r>
        <w:rPr>
          <w:rFonts w:ascii="Times New Roman" w:hAnsi="Times New Roman"/>
        </w:rPr>
        <w:t>вариативно: «Как на концерте» – выступление учителя или одноклассника, обучающегося в музыкальной школе, с исполнением краткого музыкального произведения; посещение концерта классической музыки.</w:t>
      </w:r>
    </w:p>
    <w:p w14:paraId="37261117">
      <w:pPr>
        <w:spacing w:after="0" w:line="360" w:lineRule="auto"/>
        <w:ind w:firstLine="851"/>
        <w:jc w:val="both"/>
        <w:rPr>
          <w:rFonts w:ascii="Times New Roman" w:hAnsi="Times New Roman"/>
        </w:rPr>
      </w:pPr>
      <w:r>
        <w:rPr>
          <w:rFonts w:ascii="Times New Roman" w:hAnsi="Times New Roman"/>
        </w:rPr>
        <w:t>14.6.2.2. Композиторы – детям.</w:t>
      </w:r>
    </w:p>
    <w:p w14:paraId="2DE294D2">
      <w:pPr>
        <w:spacing w:after="0" w:line="360" w:lineRule="auto"/>
        <w:ind w:firstLine="851"/>
        <w:jc w:val="both"/>
        <w:rPr>
          <w:rFonts w:ascii="Times New Roman" w:hAnsi="Times New Roman"/>
        </w:rPr>
      </w:pPr>
      <w:r>
        <w:rPr>
          <w:rFonts w:ascii="Times New Roman" w:hAnsi="Times New Roman"/>
        </w:rPr>
        <w:t>Содержание: детская музыка П.И. Чайковского, С.С. Прокофьева, Д.Б. Кабалевского и других композиторов. Понятие жанра. Песня, танец, марш.</w:t>
      </w:r>
    </w:p>
    <w:p w14:paraId="571EDF89">
      <w:pPr>
        <w:spacing w:after="0" w:line="360" w:lineRule="auto"/>
        <w:ind w:firstLine="851"/>
        <w:jc w:val="both"/>
        <w:rPr>
          <w:rFonts w:ascii="Times New Roman" w:hAnsi="Times New Roman"/>
        </w:rPr>
      </w:pPr>
      <w:r>
        <w:rPr>
          <w:rFonts w:ascii="Times New Roman" w:hAnsi="Times New Roman"/>
        </w:rPr>
        <w:t>Виды деятельности обучающихся:</w:t>
      </w:r>
    </w:p>
    <w:p w14:paraId="0FA56408">
      <w:pPr>
        <w:spacing w:after="0" w:line="360" w:lineRule="auto"/>
        <w:ind w:firstLine="851"/>
        <w:jc w:val="both"/>
        <w:rPr>
          <w:rFonts w:ascii="Times New Roman" w:hAnsi="Times New Roman"/>
        </w:rPr>
      </w:pPr>
      <w:r>
        <w:rPr>
          <w:rFonts w:ascii="Times New Roman" w:hAnsi="Times New Roman"/>
        </w:rPr>
        <w:t>слушание музыки, определение основного характера, музыкально-выразительных средств, использованных композитором;</w:t>
      </w:r>
    </w:p>
    <w:p w14:paraId="575BA04F">
      <w:pPr>
        <w:spacing w:after="0" w:line="360" w:lineRule="auto"/>
        <w:ind w:firstLine="851"/>
        <w:jc w:val="both"/>
        <w:rPr>
          <w:rFonts w:ascii="Times New Roman" w:hAnsi="Times New Roman"/>
        </w:rPr>
      </w:pPr>
      <w:r>
        <w:rPr>
          <w:rFonts w:ascii="Times New Roman" w:hAnsi="Times New Roman"/>
        </w:rPr>
        <w:t>подбор эпитетов, иллюстраций к музыке;</w:t>
      </w:r>
    </w:p>
    <w:p w14:paraId="73DDCC1C">
      <w:pPr>
        <w:spacing w:after="0" w:line="360" w:lineRule="auto"/>
        <w:ind w:firstLine="851"/>
        <w:jc w:val="both"/>
        <w:rPr>
          <w:rFonts w:ascii="Times New Roman" w:hAnsi="Times New Roman"/>
        </w:rPr>
      </w:pPr>
      <w:r>
        <w:rPr>
          <w:rFonts w:ascii="Times New Roman" w:hAnsi="Times New Roman"/>
        </w:rPr>
        <w:t>определение жанра;</w:t>
      </w:r>
    </w:p>
    <w:p w14:paraId="2A76E276">
      <w:pPr>
        <w:spacing w:after="0" w:line="360" w:lineRule="auto"/>
        <w:ind w:firstLine="851"/>
        <w:jc w:val="both"/>
        <w:rPr>
          <w:rFonts w:ascii="Times New Roman" w:hAnsi="Times New Roman"/>
        </w:rPr>
      </w:pPr>
      <w:r>
        <w:rPr>
          <w:rFonts w:ascii="Times New Roman" w:hAnsi="Times New Roman"/>
        </w:rPr>
        <w:t>музыкальная викторина;</w:t>
      </w:r>
    </w:p>
    <w:p w14:paraId="3D7C4379">
      <w:pPr>
        <w:spacing w:after="0" w:line="360" w:lineRule="auto"/>
        <w:ind w:firstLine="851"/>
        <w:jc w:val="both"/>
        <w:rPr>
          <w:rFonts w:ascii="Times New Roman" w:hAnsi="Times New Roman"/>
        </w:rPr>
      </w:pPr>
      <w:r>
        <w:rPr>
          <w:rFonts w:ascii="Times New Roman" w:hAnsi="Times New Roman"/>
        </w:rPr>
        <w:t>вариативно: вокализация, исполнение мелодий инструментальных пьес со словами; разучивание, исполнение песен; сочинение ритмических аккомпанементов (с помощью звучащих жестов или ударных и шумовых инструментов) к пьесам маршевого и танцевального характера.</w:t>
      </w:r>
    </w:p>
    <w:p w14:paraId="1ED6A6D7">
      <w:pPr>
        <w:spacing w:after="0" w:line="360" w:lineRule="auto"/>
        <w:ind w:firstLine="851"/>
        <w:jc w:val="both"/>
        <w:rPr>
          <w:rFonts w:ascii="Times New Roman" w:hAnsi="Times New Roman"/>
        </w:rPr>
      </w:pPr>
      <w:r>
        <w:rPr>
          <w:rFonts w:ascii="Times New Roman" w:hAnsi="Times New Roman"/>
        </w:rPr>
        <w:t>14.6.2.3. Оркестр.</w:t>
      </w:r>
    </w:p>
    <w:p w14:paraId="4FB6B3F9">
      <w:pPr>
        <w:spacing w:after="0" w:line="360" w:lineRule="auto"/>
        <w:ind w:firstLine="851"/>
        <w:jc w:val="both"/>
        <w:rPr>
          <w:rFonts w:ascii="Times New Roman" w:hAnsi="Times New Roman"/>
        </w:rPr>
      </w:pPr>
      <w:r>
        <w:rPr>
          <w:rFonts w:ascii="Times New Roman" w:hAnsi="Times New Roman"/>
        </w:rPr>
        <w:t>Содержание: оркестр – большой коллектив музыкантов. Дирижёр, партитура, репетиция. Жанр концерта – музыкальное соревнование солиста с оркестром.</w:t>
      </w:r>
    </w:p>
    <w:p w14:paraId="1082DA6F">
      <w:pPr>
        <w:spacing w:after="0" w:line="360" w:lineRule="auto"/>
        <w:ind w:firstLine="851"/>
        <w:jc w:val="both"/>
        <w:rPr>
          <w:rFonts w:ascii="Times New Roman" w:hAnsi="Times New Roman"/>
        </w:rPr>
      </w:pPr>
      <w:r>
        <w:rPr>
          <w:rFonts w:ascii="Times New Roman" w:hAnsi="Times New Roman"/>
        </w:rPr>
        <w:t>Виды деятельности обучающихся:</w:t>
      </w:r>
    </w:p>
    <w:p w14:paraId="20F23E98">
      <w:pPr>
        <w:spacing w:after="0" w:line="360" w:lineRule="auto"/>
        <w:ind w:firstLine="851"/>
        <w:jc w:val="both"/>
        <w:rPr>
          <w:rFonts w:ascii="Times New Roman" w:hAnsi="Times New Roman"/>
        </w:rPr>
      </w:pPr>
      <w:r>
        <w:rPr>
          <w:rFonts w:ascii="Times New Roman" w:hAnsi="Times New Roman"/>
        </w:rPr>
        <w:t>слушание музыки в исполнении оркестра;</w:t>
      </w:r>
    </w:p>
    <w:p w14:paraId="4C1CF25F">
      <w:pPr>
        <w:spacing w:after="0" w:line="360" w:lineRule="auto"/>
        <w:ind w:firstLine="851"/>
        <w:jc w:val="both"/>
        <w:rPr>
          <w:rFonts w:ascii="Times New Roman" w:hAnsi="Times New Roman"/>
        </w:rPr>
      </w:pPr>
      <w:r>
        <w:rPr>
          <w:rFonts w:ascii="Times New Roman" w:hAnsi="Times New Roman"/>
        </w:rPr>
        <w:t>просмотр видеозаписи;</w:t>
      </w:r>
    </w:p>
    <w:p w14:paraId="5D53F9C4">
      <w:pPr>
        <w:spacing w:after="0" w:line="360" w:lineRule="auto"/>
        <w:ind w:firstLine="851"/>
        <w:jc w:val="both"/>
        <w:rPr>
          <w:rFonts w:ascii="Times New Roman" w:hAnsi="Times New Roman"/>
        </w:rPr>
      </w:pPr>
      <w:r>
        <w:rPr>
          <w:rFonts w:ascii="Times New Roman" w:hAnsi="Times New Roman"/>
        </w:rPr>
        <w:t xml:space="preserve">диалог с учителем о роли дирижёра; </w:t>
      </w:r>
    </w:p>
    <w:p w14:paraId="321EC4ED">
      <w:pPr>
        <w:spacing w:after="0" w:line="360" w:lineRule="auto"/>
        <w:ind w:firstLine="851"/>
        <w:jc w:val="both"/>
        <w:rPr>
          <w:rFonts w:ascii="Times New Roman" w:hAnsi="Times New Roman"/>
        </w:rPr>
      </w:pPr>
      <w:r>
        <w:rPr>
          <w:rFonts w:ascii="Times New Roman" w:hAnsi="Times New Roman"/>
        </w:rPr>
        <w:t>«Я – дирижёр» – игра-имитация дирижёрских жестов во время звучания музыки;</w:t>
      </w:r>
    </w:p>
    <w:p w14:paraId="0660675E">
      <w:pPr>
        <w:spacing w:after="0" w:line="360" w:lineRule="auto"/>
        <w:ind w:firstLine="851"/>
        <w:jc w:val="both"/>
        <w:rPr>
          <w:rFonts w:ascii="Times New Roman" w:hAnsi="Times New Roman"/>
        </w:rPr>
      </w:pPr>
      <w:r>
        <w:rPr>
          <w:rFonts w:ascii="Times New Roman" w:hAnsi="Times New Roman"/>
        </w:rPr>
        <w:t>разучивание и исполнение песен соответствующей тематики;</w:t>
      </w:r>
    </w:p>
    <w:p w14:paraId="1381D532">
      <w:pPr>
        <w:spacing w:after="0" w:line="360" w:lineRule="auto"/>
        <w:ind w:firstLine="851"/>
        <w:jc w:val="both"/>
        <w:rPr>
          <w:rFonts w:ascii="Times New Roman" w:hAnsi="Times New Roman"/>
        </w:rPr>
      </w:pPr>
      <w:r>
        <w:rPr>
          <w:rFonts w:ascii="Times New Roman" w:hAnsi="Times New Roman"/>
        </w:rPr>
        <w:t>вариативно: знакомство с принципом расположения партий в партитуре; работа по группам – сочинение своего варианта ритмической партитуры.</w:t>
      </w:r>
    </w:p>
    <w:p w14:paraId="1900B523">
      <w:pPr>
        <w:spacing w:after="0" w:line="360" w:lineRule="auto"/>
        <w:ind w:firstLine="851"/>
        <w:jc w:val="both"/>
        <w:rPr>
          <w:rFonts w:ascii="Times New Roman" w:hAnsi="Times New Roman"/>
        </w:rPr>
      </w:pPr>
      <w:r>
        <w:rPr>
          <w:rFonts w:ascii="Times New Roman" w:hAnsi="Times New Roman"/>
        </w:rPr>
        <w:t>14.6.2.4. Музыкальные инструменты. Фортепиано.</w:t>
      </w:r>
    </w:p>
    <w:p w14:paraId="6AA707E7">
      <w:pPr>
        <w:spacing w:after="0" w:line="360" w:lineRule="auto"/>
        <w:ind w:firstLine="851"/>
        <w:jc w:val="both"/>
        <w:rPr>
          <w:rFonts w:ascii="Times New Roman" w:hAnsi="Times New Roman"/>
        </w:rPr>
      </w:pPr>
      <w:r>
        <w:rPr>
          <w:rFonts w:ascii="Times New Roman" w:hAnsi="Times New Roman"/>
        </w:rPr>
        <w:t>Содержание: рояль и пианино, история изобретения фортепиано, «секрет» названия инструмента (форте + пиано). «Предки» и «наследники» фортепиано (клавесин, синтезатор).</w:t>
      </w:r>
    </w:p>
    <w:p w14:paraId="4AEB2CF9">
      <w:pPr>
        <w:spacing w:after="0" w:line="360" w:lineRule="auto"/>
        <w:ind w:firstLine="851"/>
        <w:jc w:val="both"/>
        <w:rPr>
          <w:rFonts w:ascii="Times New Roman" w:hAnsi="Times New Roman"/>
        </w:rPr>
      </w:pPr>
      <w:r>
        <w:rPr>
          <w:rFonts w:ascii="Times New Roman" w:hAnsi="Times New Roman"/>
        </w:rPr>
        <w:t>Виды деятельности обучающихся:</w:t>
      </w:r>
    </w:p>
    <w:p w14:paraId="6D4F9772">
      <w:pPr>
        <w:spacing w:after="0" w:line="360" w:lineRule="auto"/>
        <w:ind w:firstLine="851"/>
        <w:jc w:val="both"/>
        <w:rPr>
          <w:rFonts w:ascii="Times New Roman" w:hAnsi="Times New Roman"/>
        </w:rPr>
      </w:pPr>
      <w:r>
        <w:rPr>
          <w:rFonts w:ascii="Times New Roman" w:hAnsi="Times New Roman"/>
        </w:rPr>
        <w:t>знакомство с многообразием красок фортепиано;</w:t>
      </w:r>
    </w:p>
    <w:p w14:paraId="61C1416F">
      <w:pPr>
        <w:spacing w:after="0" w:line="360" w:lineRule="auto"/>
        <w:ind w:firstLine="851"/>
        <w:jc w:val="both"/>
        <w:rPr>
          <w:rFonts w:ascii="Times New Roman" w:hAnsi="Times New Roman"/>
        </w:rPr>
      </w:pPr>
      <w:r>
        <w:rPr>
          <w:rFonts w:ascii="Times New Roman" w:hAnsi="Times New Roman"/>
        </w:rPr>
        <w:t>слушание фортепианных пьес в исполнении известных пианистов;</w:t>
      </w:r>
    </w:p>
    <w:p w14:paraId="1F5B466E">
      <w:pPr>
        <w:spacing w:after="0" w:line="360" w:lineRule="auto"/>
        <w:ind w:firstLine="851"/>
        <w:jc w:val="both"/>
        <w:rPr>
          <w:rFonts w:ascii="Times New Roman" w:hAnsi="Times New Roman"/>
        </w:rPr>
      </w:pPr>
      <w:r>
        <w:rPr>
          <w:rFonts w:ascii="Times New Roman" w:hAnsi="Times New Roman"/>
        </w:rPr>
        <w:t>«Я – пианист» – игра-имитация исполнительских движений во время звучания музыки;</w:t>
      </w:r>
    </w:p>
    <w:p w14:paraId="5BBF0F14">
      <w:pPr>
        <w:spacing w:after="0" w:line="360" w:lineRule="auto"/>
        <w:ind w:firstLine="851"/>
        <w:jc w:val="both"/>
        <w:rPr>
          <w:rFonts w:ascii="Times New Roman" w:hAnsi="Times New Roman"/>
        </w:rPr>
      </w:pPr>
      <w:r>
        <w:rPr>
          <w:rFonts w:ascii="Times New Roman" w:hAnsi="Times New Roman"/>
        </w:rPr>
        <w:t>слушание детских пьес на фортепиано в исполнении учителя;</w:t>
      </w:r>
    </w:p>
    <w:p w14:paraId="49D88EE3">
      <w:pPr>
        <w:spacing w:after="0" w:line="360" w:lineRule="auto"/>
        <w:ind w:firstLine="851"/>
        <w:jc w:val="both"/>
        <w:rPr>
          <w:rFonts w:ascii="Times New Roman" w:hAnsi="Times New Roman"/>
        </w:rPr>
      </w:pPr>
      <w:r>
        <w:rPr>
          <w:rFonts w:ascii="Times New Roman" w:hAnsi="Times New Roman"/>
        </w:rPr>
        <w:t>демонстрация возможностей инструмента (исполнение одной и той же пьесы тихо и громко, в разных регистрах, разными штрихами);</w:t>
      </w:r>
    </w:p>
    <w:p w14:paraId="4C9451BE">
      <w:pPr>
        <w:spacing w:after="0" w:line="360" w:lineRule="auto"/>
        <w:ind w:firstLine="851"/>
        <w:jc w:val="both"/>
        <w:rPr>
          <w:rFonts w:ascii="Times New Roman" w:hAnsi="Times New Roman"/>
        </w:rPr>
      </w:pPr>
      <w:r>
        <w:rPr>
          <w:rFonts w:ascii="Times New Roman" w:hAnsi="Times New Roman"/>
        </w:rPr>
        <w:t>вариативно: посещение концерта фортепианной музыки; разбираем инструмент – наглядная демонстрация внутреннего устройства акустического пианино; «Паспорт инструмента» – исследовательская работа, предполагающая подсчёт параметров (высота, ширина, количество клавиш, педалей).</w:t>
      </w:r>
    </w:p>
    <w:p w14:paraId="4E8627B8">
      <w:pPr>
        <w:spacing w:after="0" w:line="360" w:lineRule="auto"/>
        <w:ind w:firstLine="851"/>
        <w:jc w:val="both"/>
        <w:rPr>
          <w:rFonts w:ascii="Times New Roman" w:hAnsi="Times New Roman"/>
        </w:rPr>
      </w:pPr>
      <w:r>
        <w:rPr>
          <w:rFonts w:ascii="Times New Roman" w:hAnsi="Times New Roman"/>
        </w:rPr>
        <w:t>14.6.2.5. Музыкальные инструменты. Флейта.</w:t>
      </w:r>
    </w:p>
    <w:p w14:paraId="206CA6A6">
      <w:pPr>
        <w:spacing w:after="0" w:line="360" w:lineRule="auto"/>
        <w:ind w:firstLine="851"/>
        <w:jc w:val="both"/>
        <w:rPr>
          <w:rFonts w:ascii="Times New Roman" w:hAnsi="Times New Roman"/>
        </w:rPr>
      </w:pPr>
      <w:r>
        <w:rPr>
          <w:rFonts w:ascii="Times New Roman" w:hAnsi="Times New Roman"/>
        </w:rPr>
        <w:t>Содержание: предки современной флейты, легенда о нимфе Сиринкс, музыка для флейты соло, флейты в сопровождении фортепиано, оркестра (например, «Шутка» И.С. Баха, «Мелодия» из оперы «Орфей и Эвридика» К.В. Глюка, «Сиринкс» К. Дебюсси).</w:t>
      </w:r>
    </w:p>
    <w:p w14:paraId="7FB462E9">
      <w:pPr>
        <w:spacing w:after="0" w:line="360" w:lineRule="auto"/>
        <w:ind w:firstLine="851"/>
        <w:jc w:val="both"/>
        <w:rPr>
          <w:rFonts w:ascii="Times New Roman" w:hAnsi="Times New Roman"/>
        </w:rPr>
      </w:pPr>
      <w:r>
        <w:rPr>
          <w:rFonts w:ascii="Times New Roman" w:hAnsi="Times New Roman"/>
        </w:rPr>
        <w:t>Виды деятельности обучающихся:</w:t>
      </w:r>
    </w:p>
    <w:p w14:paraId="3CE012C3">
      <w:pPr>
        <w:spacing w:after="0" w:line="360" w:lineRule="auto"/>
        <w:ind w:firstLine="851"/>
        <w:jc w:val="both"/>
        <w:rPr>
          <w:rFonts w:ascii="Times New Roman" w:hAnsi="Times New Roman"/>
        </w:rPr>
      </w:pPr>
      <w:r>
        <w:rPr>
          <w:rFonts w:ascii="Times New Roman" w:hAnsi="Times New Roman"/>
        </w:rPr>
        <w:t>знакомство с внешним видом, устройством и тембрами классических музыкальных инструментов;</w:t>
      </w:r>
    </w:p>
    <w:p w14:paraId="43FFCBB3">
      <w:pPr>
        <w:spacing w:after="0" w:line="360" w:lineRule="auto"/>
        <w:ind w:firstLine="851"/>
        <w:jc w:val="both"/>
        <w:rPr>
          <w:rFonts w:ascii="Times New Roman" w:hAnsi="Times New Roman"/>
        </w:rPr>
      </w:pPr>
      <w:r>
        <w:rPr>
          <w:rFonts w:ascii="Times New Roman" w:hAnsi="Times New Roman"/>
        </w:rPr>
        <w:t>слушание музыкальных фрагментов в исполнении известных музыкантов-инструменталистов;</w:t>
      </w:r>
    </w:p>
    <w:p w14:paraId="46918ADF">
      <w:pPr>
        <w:spacing w:after="0" w:line="360" w:lineRule="auto"/>
        <w:ind w:firstLine="851"/>
        <w:jc w:val="both"/>
        <w:rPr>
          <w:rFonts w:ascii="Times New Roman" w:hAnsi="Times New Roman"/>
        </w:rPr>
      </w:pPr>
      <w:r>
        <w:rPr>
          <w:rFonts w:ascii="Times New Roman" w:hAnsi="Times New Roman"/>
        </w:rPr>
        <w:t>чтение учебных текстов, сказок и легенд, рассказывающих о музыкальных инструментах, истории их появления.</w:t>
      </w:r>
    </w:p>
    <w:p w14:paraId="12626C8A">
      <w:pPr>
        <w:spacing w:after="0" w:line="360" w:lineRule="auto"/>
        <w:ind w:firstLine="851"/>
        <w:jc w:val="both"/>
        <w:rPr>
          <w:rFonts w:ascii="Times New Roman" w:hAnsi="Times New Roman"/>
        </w:rPr>
      </w:pPr>
      <w:r>
        <w:rPr>
          <w:rFonts w:ascii="Times New Roman" w:hAnsi="Times New Roman"/>
        </w:rPr>
        <w:t>14.6.2.6. Музыкальные инструменты. Скрипка, виолончель.</w:t>
      </w:r>
    </w:p>
    <w:p w14:paraId="5F0B7A0F">
      <w:pPr>
        <w:spacing w:after="0" w:line="360" w:lineRule="auto"/>
        <w:ind w:firstLine="851"/>
        <w:jc w:val="both"/>
        <w:rPr>
          <w:rFonts w:ascii="Times New Roman" w:hAnsi="Times New Roman"/>
        </w:rPr>
      </w:pPr>
      <w:r>
        <w:rPr>
          <w:rFonts w:ascii="Times New Roman" w:hAnsi="Times New Roman"/>
        </w:rPr>
        <w:t>Содержание: певучесть тембров струнных смычковых инструментов, композиторы, сочинявшие скрипичную музыку, знаменитые исполнители, мастера, изготавливавшие инструменты.</w:t>
      </w:r>
    </w:p>
    <w:p w14:paraId="47981978">
      <w:pPr>
        <w:spacing w:after="0" w:line="360" w:lineRule="auto"/>
        <w:ind w:firstLine="851"/>
        <w:jc w:val="both"/>
        <w:rPr>
          <w:rFonts w:ascii="Times New Roman" w:hAnsi="Times New Roman"/>
        </w:rPr>
      </w:pPr>
      <w:r>
        <w:rPr>
          <w:rFonts w:ascii="Times New Roman" w:hAnsi="Times New Roman"/>
        </w:rPr>
        <w:t>Виды деятельности обучающихся:</w:t>
      </w:r>
    </w:p>
    <w:p w14:paraId="28BF1F4E">
      <w:pPr>
        <w:spacing w:after="0" w:line="360" w:lineRule="auto"/>
        <w:ind w:firstLine="851"/>
        <w:jc w:val="both"/>
        <w:rPr>
          <w:rFonts w:ascii="Times New Roman" w:hAnsi="Times New Roman"/>
        </w:rPr>
      </w:pPr>
      <w:r>
        <w:rPr>
          <w:rFonts w:ascii="Times New Roman" w:hAnsi="Times New Roman"/>
        </w:rPr>
        <w:t>игра-имитация исполнительских движений во время звучания музыки;</w:t>
      </w:r>
    </w:p>
    <w:p w14:paraId="362E2733">
      <w:pPr>
        <w:spacing w:after="0" w:line="360" w:lineRule="auto"/>
        <w:ind w:firstLine="851"/>
        <w:jc w:val="both"/>
        <w:rPr>
          <w:rFonts w:ascii="Times New Roman" w:hAnsi="Times New Roman"/>
        </w:rPr>
      </w:pPr>
      <w:r>
        <w:rPr>
          <w:rFonts w:ascii="Times New Roman" w:hAnsi="Times New Roman"/>
        </w:rPr>
        <w:t>музыкальная викторина на знание конкретных произведений и их авторов, определения тембров звучащих инструментов;</w:t>
      </w:r>
    </w:p>
    <w:p w14:paraId="4357B792">
      <w:pPr>
        <w:spacing w:after="0" w:line="360" w:lineRule="auto"/>
        <w:ind w:firstLine="851"/>
        <w:jc w:val="both"/>
        <w:rPr>
          <w:rFonts w:ascii="Times New Roman" w:hAnsi="Times New Roman"/>
        </w:rPr>
      </w:pPr>
      <w:r>
        <w:rPr>
          <w:rFonts w:ascii="Times New Roman" w:hAnsi="Times New Roman"/>
        </w:rPr>
        <w:t>разучивание, исполнение песен, посвящённых музыкальным инструментам;</w:t>
      </w:r>
    </w:p>
    <w:p w14:paraId="3B5E46E6">
      <w:pPr>
        <w:spacing w:after="0" w:line="360" w:lineRule="auto"/>
        <w:ind w:firstLine="851"/>
        <w:jc w:val="both"/>
        <w:rPr>
          <w:rFonts w:ascii="Times New Roman" w:hAnsi="Times New Roman"/>
        </w:rPr>
      </w:pPr>
      <w:r>
        <w:rPr>
          <w:rFonts w:ascii="Times New Roman" w:hAnsi="Times New Roman"/>
        </w:rPr>
        <w:t>вариативно: посещение концерта инструментальной музыки; «Паспорт инструмента» – исследовательская работа, предполагающая описание внешнего вида и особенностей звучания инструмента, способов игры на нём.</w:t>
      </w:r>
    </w:p>
    <w:p w14:paraId="762940EF">
      <w:pPr>
        <w:spacing w:after="0" w:line="360" w:lineRule="auto"/>
        <w:ind w:firstLine="851"/>
        <w:jc w:val="both"/>
        <w:rPr>
          <w:rFonts w:ascii="Times New Roman" w:hAnsi="Times New Roman"/>
        </w:rPr>
      </w:pPr>
      <w:r>
        <w:rPr>
          <w:rFonts w:ascii="Times New Roman" w:hAnsi="Times New Roman"/>
        </w:rPr>
        <w:t>14.6.2.7. Вокальная музыка.</w:t>
      </w:r>
    </w:p>
    <w:p w14:paraId="7BDABE54">
      <w:pPr>
        <w:spacing w:after="0" w:line="360" w:lineRule="auto"/>
        <w:ind w:firstLine="851"/>
        <w:jc w:val="both"/>
        <w:rPr>
          <w:rFonts w:ascii="Times New Roman" w:hAnsi="Times New Roman"/>
        </w:rPr>
      </w:pPr>
      <w:r>
        <w:rPr>
          <w:rFonts w:ascii="Times New Roman" w:hAnsi="Times New Roman"/>
        </w:rPr>
        <w:t>Содержание: целовеческий голос – самый совершенный инструмент, бережное отношение к своему голосу, известные певцы, жанры вокальной музыки: песни, вокализы, романсы, арии из опер. Кантата. Песня, романс, вокализ, кант.</w:t>
      </w:r>
    </w:p>
    <w:p w14:paraId="482F5DED">
      <w:pPr>
        <w:spacing w:after="0" w:line="360" w:lineRule="auto"/>
        <w:ind w:firstLine="851"/>
        <w:jc w:val="both"/>
        <w:rPr>
          <w:rFonts w:ascii="Times New Roman" w:hAnsi="Times New Roman"/>
        </w:rPr>
      </w:pPr>
      <w:r>
        <w:rPr>
          <w:rFonts w:ascii="Times New Roman" w:hAnsi="Times New Roman"/>
        </w:rPr>
        <w:t>Виды деятельности обучающихся:</w:t>
      </w:r>
    </w:p>
    <w:p w14:paraId="5A91FCA4">
      <w:pPr>
        <w:spacing w:after="0" w:line="360" w:lineRule="auto"/>
        <w:ind w:firstLine="851"/>
        <w:jc w:val="both"/>
        <w:rPr>
          <w:rFonts w:ascii="Times New Roman" w:hAnsi="Times New Roman"/>
        </w:rPr>
      </w:pPr>
      <w:r>
        <w:rPr>
          <w:rFonts w:ascii="Times New Roman" w:hAnsi="Times New Roman"/>
        </w:rPr>
        <w:t>определение на слух типов человеческих голосов (детские, мужские, женские), тембров голосов профессиональных вокалистов;</w:t>
      </w:r>
    </w:p>
    <w:p w14:paraId="212A2F84">
      <w:pPr>
        <w:spacing w:after="0" w:line="360" w:lineRule="auto"/>
        <w:ind w:firstLine="851"/>
        <w:jc w:val="both"/>
        <w:rPr>
          <w:rFonts w:ascii="Times New Roman" w:hAnsi="Times New Roman"/>
        </w:rPr>
      </w:pPr>
      <w:r>
        <w:rPr>
          <w:rFonts w:ascii="Times New Roman" w:hAnsi="Times New Roman"/>
        </w:rPr>
        <w:t>знакомство с жанрами вокальной музыки;</w:t>
      </w:r>
    </w:p>
    <w:p w14:paraId="23ECBAE6">
      <w:pPr>
        <w:spacing w:after="0" w:line="360" w:lineRule="auto"/>
        <w:ind w:firstLine="851"/>
        <w:jc w:val="both"/>
        <w:rPr>
          <w:rFonts w:ascii="Times New Roman" w:hAnsi="Times New Roman"/>
        </w:rPr>
      </w:pPr>
      <w:r>
        <w:rPr>
          <w:rFonts w:ascii="Times New Roman" w:hAnsi="Times New Roman"/>
        </w:rPr>
        <w:t>слушание вокальных произведений композиторов-классиков;</w:t>
      </w:r>
    </w:p>
    <w:p w14:paraId="312BD63C">
      <w:pPr>
        <w:spacing w:after="0" w:line="360" w:lineRule="auto"/>
        <w:ind w:firstLine="851"/>
        <w:jc w:val="both"/>
        <w:rPr>
          <w:rFonts w:ascii="Times New Roman" w:hAnsi="Times New Roman"/>
        </w:rPr>
      </w:pPr>
      <w:r>
        <w:rPr>
          <w:rFonts w:ascii="Times New Roman" w:hAnsi="Times New Roman"/>
        </w:rPr>
        <w:t>освоение комплекса дыхательных, артикуляционных упражнений;</w:t>
      </w:r>
    </w:p>
    <w:p w14:paraId="75073F86">
      <w:pPr>
        <w:spacing w:after="0" w:line="360" w:lineRule="auto"/>
        <w:ind w:firstLine="851"/>
        <w:jc w:val="both"/>
        <w:rPr>
          <w:rFonts w:ascii="Times New Roman" w:hAnsi="Times New Roman"/>
        </w:rPr>
      </w:pPr>
      <w:r>
        <w:rPr>
          <w:rFonts w:ascii="Times New Roman" w:hAnsi="Times New Roman"/>
        </w:rPr>
        <w:t>вокальные упражнения на развитие гибкости голоса, расширения его диапазона;</w:t>
      </w:r>
    </w:p>
    <w:p w14:paraId="2B815690">
      <w:pPr>
        <w:spacing w:after="0" w:line="360" w:lineRule="auto"/>
        <w:ind w:firstLine="851"/>
        <w:jc w:val="both"/>
        <w:rPr>
          <w:rFonts w:ascii="Times New Roman" w:hAnsi="Times New Roman"/>
        </w:rPr>
      </w:pPr>
      <w:r>
        <w:rPr>
          <w:rFonts w:ascii="Times New Roman" w:hAnsi="Times New Roman"/>
        </w:rPr>
        <w:t>проблемная ситуация: что значит красивое пение;</w:t>
      </w:r>
    </w:p>
    <w:p w14:paraId="0FFED917">
      <w:pPr>
        <w:spacing w:after="0" w:line="360" w:lineRule="auto"/>
        <w:ind w:firstLine="851"/>
        <w:jc w:val="both"/>
        <w:rPr>
          <w:rFonts w:ascii="Times New Roman" w:hAnsi="Times New Roman"/>
        </w:rPr>
      </w:pPr>
      <w:r>
        <w:rPr>
          <w:rFonts w:ascii="Times New Roman" w:hAnsi="Times New Roman"/>
        </w:rPr>
        <w:t>музыкальная викторина на знание вокальных музыкальных произведений и их авторов;</w:t>
      </w:r>
    </w:p>
    <w:p w14:paraId="2B31E150">
      <w:pPr>
        <w:spacing w:after="0" w:line="360" w:lineRule="auto"/>
        <w:ind w:firstLine="851"/>
        <w:jc w:val="both"/>
        <w:rPr>
          <w:rFonts w:ascii="Times New Roman" w:hAnsi="Times New Roman"/>
        </w:rPr>
      </w:pPr>
      <w:r>
        <w:rPr>
          <w:rFonts w:ascii="Times New Roman" w:hAnsi="Times New Roman"/>
        </w:rPr>
        <w:t>разучивание, исполнение вокальных произведений композиторов-классиков;</w:t>
      </w:r>
    </w:p>
    <w:p w14:paraId="151375DA">
      <w:pPr>
        <w:spacing w:after="0" w:line="360" w:lineRule="auto"/>
        <w:ind w:firstLine="851"/>
        <w:jc w:val="both"/>
        <w:rPr>
          <w:rFonts w:ascii="Times New Roman" w:hAnsi="Times New Roman"/>
        </w:rPr>
      </w:pPr>
      <w:r>
        <w:rPr>
          <w:rFonts w:ascii="Times New Roman" w:hAnsi="Times New Roman"/>
        </w:rPr>
        <w:t>вариативно: посещение концерта вокальной музыки; школьный конкурс юных вокалистов.</w:t>
      </w:r>
    </w:p>
    <w:p w14:paraId="58B02C5D">
      <w:pPr>
        <w:spacing w:after="0" w:line="360" w:lineRule="auto"/>
        <w:ind w:firstLine="851"/>
        <w:jc w:val="both"/>
        <w:rPr>
          <w:rFonts w:ascii="Times New Roman" w:hAnsi="Times New Roman"/>
        </w:rPr>
      </w:pPr>
      <w:r>
        <w:rPr>
          <w:rFonts w:ascii="Times New Roman" w:hAnsi="Times New Roman"/>
        </w:rPr>
        <w:t>14.6.2.8. Инструментальная музыка.</w:t>
      </w:r>
    </w:p>
    <w:p w14:paraId="4345275F">
      <w:pPr>
        <w:spacing w:after="0" w:line="360" w:lineRule="auto"/>
        <w:ind w:firstLine="851"/>
        <w:jc w:val="both"/>
        <w:rPr>
          <w:rFonts w:ascii="Times New Roman" w:hAnsi="Times New Roman"/>
        </w:rPr>
      </w:pPr>
      <w:r>
        <w:rPr>
          <w:rFonts w:ascii="Times New Roman" w:hAnsi="Times New Roman"/>
        </w:rPr>
        <w:t>Содержание: жанры камерной инструментальной музыки: этюд, пьеса. Альбом. Цикл. Сюита. Соната. Квартет.</w:t>
      </w:r>
    </w:p>
    <w:p w14:paraId="61FF4D4E">
      <w:pPr>
        <w:spacing w:after="0" w:line="360" w:lineRule="auto"/>
        <w:ind w:firstLine="851"/>
        <w:jc w:val="both"/>
        <w:rPr>
          <w:rFonts w:ascii="Times New Roman" w:hAnsi="Times New Roman"/>
        </w:rPr>
      </w:pPr>
      <w:r>
        <w:rPr>
          <w:rFonts w:ascii="Times New Roman" w:hAnsi="Times New Roman"/>
        </w:rPr>
        <w:t>Виды деятельности обучающихся:</w:t>
      </w:r>
    </w:p>
    <w:p w14:paraId="473F0C7E">
      <w:pPr>
        <w:spacing w:after="0" w:line="360" w:lineRule="auto"/>
        <w:ind w:firstLine="851"/>
        <w:jc w:val="both"/>
        <w:rPr>
          <w:rFonts w:ascii="Times New Roman" w:hAnsi="Times New Roman"/>
        </w:rPr>
      </w:pPr>
      <w:r>
        <w:rPr>
          <w:rFonts w:ascii="Times New Roman" w:hAnsi="Times New Roman"/>
        </w:rPr>
        <w:t>знакомство с жанрами камерной инструментальной музыки;</w:t>
      </w:r>
    </w:p>
    <w:p w14:paraId="3613D456">
      <w:pPr>
        <w:spacing w:after="0" w:line="360" w:lineRule="auto"/>
        <w:ind w:firstLine="851"/>
        <w:jc w:val="both"/>
        <w:rPr>
          <w:rFonts w:ascii="Times New Roman" w:hAnsi="Times New Roman"/>
        </w:rPr>
      </w:pPr>
      <w:r>
        <w:rPr>
          <w:rFonts w:ascii="Times New Roman" w:hAnsi="Times New Roman"/>
        </w:rPr>
        <w:t>слушание произведений композиторов-классиков;</w:t>
      </w:r>
    </w:p>
    <w:p w14:paraId="2A7167B8">
      <w:pPr>
        <w:spacing w:after="0" w:line="360" w:lineRule="auto"/>
        <w:ind w:firstLine="851"/>
        <w:jc w:val="both"/>
        <w:rPr>
          <w:rFonts w:ascii="Times New Roman" w:hAnsi="Times New Roman"/>
        </w:rPr>
      </w:pPr>
      <w:r>
        <w:rPr>
          <w:rFonts w:ascii="Times New Roman" w:hAnsi="Times New Roman"/>
        </w:rPr>
        <w:t>определение комплекса выразительных средств;</w:t>
      </w:r>
    </w:p>
    <w:p w14:paraId="1ED95627">
      <w:pPr>
        <w:spacing w:after="0" w:line="360" w:lineRule="auto"/>
        <w:ind w:firstLine="851"/>
        <w:jc w:val="both"/>
        <w:rPr>
          <w:rFonts w:ascii="Times New Roman" w:hAnsi="Times New Roman"/>
        </w:rPr>
      </w:pPr>
      <w:r>
        <w:rPr>
          <w:rFonts w:ascii="Times New Roman" w:hAnsi="Times New Roman"/>
        </w:rPr>
        <w:t>описание своего впечатления от восприятия;</w:t>
      </w:r>
    </w:p>
    <w:p w14:paraId="4C0D7873">
      <w:pPr>
        <w:spacing w:after="0" w:line="360" w:lineRule="auto"/>
        <w:ind w:firstLine="851"/>
        <w:jc w:val="both"/>
        <w:rPr>
          <w:rFonts w:ascii="Times New Roman" w:hAnsi="Times New Roman"/>
        </w:rPr>
      </w:pPr>
      <w:r>
        <w:rPr>
          <w:rFonts w:ascii="Times New Roman" w:hAnsi="Times New Roman"/>
        </w:rPr>
        <w:t>музыкальная викторина;</w:t>
      </w:r>
    </w:p>
    <w:p w14:paraId="6A285AC1">
      <w:pPr>
        <w:spacing w:after="0" w:line="360" w:lineRule="auto"/>
        <w:ind w:firstLine="851"/>
        <w:jc w:val="both"/>
        <w:rPr>
          <w:rFonts w:ascii="Times New Roman" w:hAnsi="Times New Roman"/>
        </w:rPr>
      </w:pPr>
      <w:r>
        <w:rPr>
          <w:rFonts w:ascii="Times New Roman" w:hAnsi="Times New Roman"/>
        </w:rPr>
        <w:t>вариативно: посещение концерта инструментальной музыки; составление словаря музыкальных жанров.</w:t>
      </w:r>
    </w:p>
    <w:p w14:paraId="73D4BE4A">
      <w:pPr>
        <w:spacing w:after="0" w:line="360" w:lineRule="auto"/>
        <w:ind w:firstLine="851"/>
        <w:jc w:val="both"/>
        <w:rPr>
          <w:rFonts w:ascii="Times New Roman" w:hAnsi="Times New Roman"/>
        </w:rPr>
      </w:pPr>
      <w:r>
        <w:rPr>
          <w:rFonts w:ascii="Times New Roman" w:hAnsi="Times New Roman"/>
        </w:rPr>
        <w:t>14.6.2.9. Программная музыка.</w:t>
      </w:r>
    </w:p>
    <w:p w14:paraId="39E6C003">
      <w:pPr>
        <w:spacing w:after="0" w:line="360" w:lineRule="auto"/>
        <w:ind w:firstLine="851"/>
        <w:jc w:val="both"/>
        <w:rPr>
          <w:rFonts w:ascii="Times New Roman" w:hAnsi="Times New Roman"/>
        </w:rPr>
      </w:pPr>
      <w:r>
        <w:rPr>
          <w:rFonts w:ascii="Times New Roman" w:hAnsi="Times New Roman"/>
        </w:rPr>
        <w:t>Содержание: программное название, известный сюжет, литературный эпиграф.</w:t>
      </w:r>
    </w:p>
    <w:p w14:paraId="0B4B0F92">
      <w:pPr>
        <w:spacing w:after="0" w:line="360" w:lineRule="auto"/>
        <w:ind w:firstLine="851"/>
        <w:jc w:val="both"/>
        <w:rPr>
          <w:rFonts w:ascii="Times New Roman" w:hAnsi="Times New Roman"/>
        </w:rPr>
      </w:pPr>
      <w:r>
        <w:rPr>
          <w:rFonts w:ascii="Times New Roman" w:hAnsi="Times New Roman"/>
        </w:rPr>
        <w:t>Виды деятельности обучающихся:</w:t>
      </w:r>
    </w:p>
    <w:p w14:paraId="029AB79A">
      <w:pPr>
        <w:spacing w:after="0" w:line="360" w:lineRule="auto"/>
        <w:ind w:firstLine="851"/>
        <w:jc w:val="both"/>
        <w:rPr>
          <w:rFonts w:ascii="Times New Roman" w:hAnsi="Times New Roman"/>
        </w:rPr>
      </w:pPr>
      <w:r>
        <w:rPr>
          <w:rFonts w:ascii="Times New Roman" w:hAnsi="Times New Roman"/>
        </w:rPr>
        <w:t>слушание произведений программной музыки;</w:t>
      </w:r>
    </w:p>
    <w:p w14:paraId="5821D2E5">
      <w:pPr>
        <w:spacing w:after="0" w:line="360" w:lineRule="auto"/>
        <w:ind w:firstLine="851"/>
        <w:jc w:val="both"/>
        <w:rPr>
          <w:rFonts w:ascii="Times New Roman" w:hAnsi="Times New Roman"/>
        </w:rPr>
      </w:pPr>
      <w:r>
        <w:rPr>
          <w:rFonts w:ascii="Times New Roman" w:hAnsi="Times New Roman"/>
        </w:rPr>
        <w:t>обсуждение музыкального образа, музыкальных средств, использованных композитором;</w:t>
      </w:r>
    </w:p>
    <w:p w14:paraId="2BF5488F">
      <w:pPr>
        <w:spacing w:after="0" w:line="360" w:lineRule="auto"/>
        <w:ind w:firstLine="851"/>
        <w:jc w:val="both"/>
        <w:rPr>
          <w:rFonts w:ascii="Times New Roman" w:hAnsi="Times New Roman"/>
        </w:rPr>
      </w:pPr>
      <w:r>
        <w:rPr>
          <w:rFonts w:ascii="Times New Roman" w:hAnsi="Times New Roman"/>
        </w:rPr>
        <w:t>вариативно: рисование образов программной музыки; сочинение небольших миниатюр (вокальные или инструментальные импровизации) по заданной программе.</w:t>
      </w:r>
    </w:p>
    <w:p w14:paraId="15C24C2C">
      <w:pPr>
        <w:spacing w:after="0" w:line="360" w:lineRule="auto"/>
        <w:ind w:firstLine="851"/>
        <w:jc w:val="both"/>
        <w:rPr>
          <w:rFonts w:ascii="Times New Roman" w:hAnsi="Times New Roman"/>
        </w:rPr>
      </w:pPr>
      <w:r>
        <w:rPr>
          <w:rFonts w:ascii="Times New Roman" w:hAnsi="Times New Roman"/>
        </w:rPr>
        <w:t>14.6.2.10. Симфоническая музыка.</w:t>
      </w:r>
    </w:p>
    <w:p w14:paraId="6353E929">
      <w:pPr>
        <w:spacing w:after="0" w:line="360" w:lineRule="auto"/>
        <w:ind w:firstLine="851"/>
        <w:jc w:val="both"/>
        <w:rPr>
          <w:rFonts w:ascii="Times New Roman" w:hAnsi="Times New Roman"/>
        </w:rPr>
      </w:pPr>
      <w:r>
        <w:rPr>
          <w:rFonts w:ascii="Times New Roman" w:hAnsi="Times New Roman"/>
        </w:rPr>
        <w:t>Содержание: симфонический оркестр, тембры, группы инструментов, симфония, симфоническая картина.</w:t>
      </w:r>
    </w:p>
    <w:p w14:paraId="2CB36E2B">
      <w:pPr>
        <w:spacing w:after="0" w:line="360" w:lineRule="auto"/>
        <w:ind w:firstLine="851"/>
        <w:jc w:val="both"/>
        <w:rPr>
          <w:rFonts w:ascii="Times New Roman" w:hAnsi="Times New Roman"/>
        </w:rPr>
      </w:pPr>
      <w:r>
        <w:rPr>
          <w:rFonts w:ascii="Times New Roman" w:hAnsi="Times New Roman"/>
        </w:rPr>
        <w:t>Виды деятельности обучающихся:</w:t>
      </w:r>
    </w:p>
    <w:p w14:paraId="382430A4">
      <w:pPr>
        <w:spacing w:after="0" w:line="360" w:lineRule="auto"/>
        <w:ind w:firstLine="851"/>
        <w:jc w:val="both"/>
        <w:rPr>
          <w:rFonts w:ascii="Times New Roman" w:hAnsi="Times New Roman"/>
        </w:rPr>
      </w:pPr>
      <w:r>
        <w:rPr>
          <w:rFonts w:ascii="Times New Roman" w:hAnsi="Times New Roman"/>
        </w:rPr>
        <w:t>знакомство с составом симфонического оркестра, группами инструментов;</w:t>
      </w:r>
    </w:p>
    <w:p w14:paraId="43B12627">
      <w:pPr>
        <w:spacing w:after="0" w:line="360" w:lineRule="auto"/>
        <w:ind w:firstLine="851"/>
        <w:jc w:val="both"/>
        <w:rPr>
          <w:rFonts w:ascii="Times New Roman" w:hAnsi="Times New Roman"/>
        </w:rPr>
      </w:pPr>
      <w:r>
        <w:rPr>
          <w:rFonts w:ascii="Times New Roman" w:hAnsi="Times New Roman"/>
        </w:rPr>
        <w:t>определение на слух тембров инструментов симфонического оркестра;</w:t>
      </w:r>
    </w:p>
    <w:p w14:paraId="40BCACAA">
      <w:pPr>
        <w:spacing w:after="0" w:line="360" w:lineRule="auto"/>
        <w:ind w:firstLine="851"/>
        <w:jc w:val="both"/>
        <w:rPr>
          <w:rFonts w:ascii="Times New Roman" w:hAnsi="Times New Roman"/>
        </w:rPr>
      </w:pPr>
      <w:r>
        <w:rPr>
          <w:rFonts w:ascii="Times New Roman" w:hAnsi="Times New Roman"/>
        </w:rPr>
        <w:t>слушание фрагментов симфонической музыки;</w:t>
      </w:r>
    </w:p>
    <w:p w14:paraId="0D009526">
      <w:pPr>
        <w:spacing w:after="0" w:line="360" w:lineRule="auto"/>
        <w:ind w:firstLine="851"/>
        <w:jc w:val="both"/>
        <w:rPr>
          <w:rFonts w:ascii="Times New Roman" w:hAnsi="Times New Roman"/>
        </w:rPr>
      </w:pPr>
      <w:r>
        <w:rPr>
          <w:rFonts w:ascii="Times New Roman" w:hAnsi="Times New Roman"/>
        </w:rPr>
        <w:t>«дирижирование» оркестром;</w:t>
      </w:r>
    </w:p>
    <w:p w14:paraId="4BB72B7B">
      <w:pPr>
        <w:spacing w:after="0" w:line="360" w:lineRule="auto"/>
        <w:ind w:firstLine="851"/>
        <w:jc w:val="both"/>
        <w:rPr>
          <w:rFonts w:ascii="Times New Roman" w:hAnsi="Times New Roman"/>
        </w:rPr>
      </w:pPr>
      <w:r>
        <w:rPr>
          <w:rFonts w:ascii="Times New Roman" w:hAnsi="Times New Roman"/>
        </w:rPr>
        <w:t>музыкальная викторина;</w:t>
      </w:r>
    </w:p>
    <w:p w14:paraId="633E6B93">
      <w:pPr>
        <w:spacing w:after="0" w:line="360" w:lineRule="auto"/>
        <w:ind w:firstLine="851"/>
        <w:jc w:val="both"/>
        <w:rPr>
          <w:rFonts w:ascii="Times New Roman" w:hAnsi="Times New Roman"/>
        </w:rPr>
      </w:pPr>
      <w:r>
        <w:rPr>
          <w:rFonts w:ascii="Times New Roman" w:hAnsi="Times New Roman"/>
        </w:rPr>
        <w:t>вариативно: посещение концерта симфонической музыки; просмотр фильма об устройстве оркестра.</w:t>
      </w:r>
    </w:p>
    <w:p w14:paraId="27B00209">
      <w:pPr>
        <w:spacing w:after="0" w:line="360" w:lineRule="auto"/>
        <w:ind w:firstLine="851"/>
        <w:jc w:val="both"/>
        <w:rPr>
          <w:rFonts w:ascii="Times New Roman" w:hAnsi="Times New Roman"/>
        </w:rPr>
      </w:pPr>
      <w:r>
        <w:rPr>
          <w:rFonts w:ascii="Times New Roman" w:hAnsi="Times New Roman"/>
        </w:rPr>
        <w:t>14.6.2.11. Русские композиторы-классики.</w:t>
      </w:r>
    </w:p>
    <w:p w14:paraId="2087ED0D">
      <w:pPr>
        <w:spacing w:after="0" w:line="360" w:lineRule="auto"/>
        <w:ind w:firstLine="851"/>
        <w:jc w:val="both"/>
        <w:rPr>
          <w:rFonts w:ascii="Times New Roman" w:hAnsi="Times New Roman"/>
        </w:rPr>
      </w:pPr>
      <w:r>
        <w:rPr>
          <w:rFonts w:ascii="Times New Roman" w:hAnsi="Times New Roman"/>
        </w:rPr>
        <w:t>Содержание: творчество выдающихся отечественных композиторов.</w:t>
      </w:r>
    </w:p>
    <w:p w14:paraId="5F53C3ED">
      <w:pPr>
        <w:spacing w:after="0" w:line="360" w:lineRule="auto"/>
        <w:ind w:firstLine="851"/>
        <w:jc w:val="both"/>
        <w:rPr>
          <w:rFonts w:ascii="Times New Roman" w:hAnsi="Times New Roman"/>
        </w:rPr>
      </w:pPr>
      <w:r>
        <w:rPr>
          <w:rFonts w:ascii="Times New Roman" w:hAnsi="Times New Roman"/>
        </w:rPr>
        <w:t>Виды деятельности обучающихся:</w:t>
      </w:r>
    </w:p>
    <w:p w14:paraId="66AF3717">
      <w:pPr>
        <w:spacing w:after="0" w:line="360" w:lineRule="auto"/>
        <w:ind w:firstLine="851"/>
        <w:jc w:val="both"/>
        <w:rPr>
          <w:rFonts w:ascii="Times New Roman" w:hAnsi="Times New Roman"/>
        </w:rPr>
      </w:pPr>
      <w:r>
        <w:rPr>
          <w:rFonts w:ascii="Times New Roman" w:hAnsi="Times New Roman"/>
        </w:rPr>
        <w:t>знакомство с творчеством выдающихся композиторов, отдельными фактами из их биографии;</w:t>
      </w:r>
    </w:p>
    <w:p w14:paraId="609C470E">
      <w:pPr>
        <w:spacing w:after="0" w:line="360" w:lineRule="auto"/>
        <w:ind w:firstLine="851"/>
        <w:jc w:val="both"/>
        <w:rPr>
          <w:rFonts w:ascii="Times New Roman" w:hAnsi="Times New Roman"/>
        </w:rPr>
      </w:pPr>
      <w:r>
        <w:rPr>
          <w:rFonts w:ascii="Times New Roman" w:hAnsi="Times New Roman"/>
        </w:rPr>
        <w:t>слушание музыки;</w:t>
      </w:r>
    </w:p>
    <w:p w14:paraId="39B918FE">
      <w:pPr>
        <w:spacing w:after="0" w:line="360" w:lineRule="auto"/>
        <w:ind w:firstLine="851"/>
        <w:jc w:val="both"/>
        <w:rPr>
          <w:rFonts w:ascii="Times New Roman" w:hAnsi="Times New Roman"/>
        </w:rPr>
      </w:pPr>
      <w:r>
        <w:rPr>
          <w:rFonts w:ascii="Times New Roman" w:hAnsi="Times New Roman"/>
        </w:rPr>
        <w:t>фрагменты вокальных, инструментальных, симфонических сочинений;</w:t>
      </w:r>
    </w:p>
    <w:p w14:paraId="6143380C">
      <w:pPr>
        <w:spacing w:after="0" w:line="360" w:lineRule="auto"/>
        <w:ind w:firstLine="851"/>
        <w:jc w:val="both"/>
        <w:rPr>
          <w:rFonts w:ascii="Times New Roman" w:hAnsi="Times New Roman"/>
        </w:rPr>
      </w:pPr>
      <w:r>
        <w:rPr>
          <w:rFonts w:ascii="Times New Roman" w:hAnsi="Times New Roman"/>
        </w:rPr>
        <w:t>круг характерных образов (картины природы, народной жизни, истории);</w:t>
      </w:r>
    </w:p>
    <w:p w14:paraId="4A80ECBD">
      <w:pPr>
        <w:spacing w:after="0" w:line="360" w:lineRule="auto"/>
        <w:ind w:firstLine="851"/>
        <w:jc w:val="both"/>
        <w:rPr>
          <w:rFonts w:ascii="Times New Roman" w:hAnsi="Times New Roman"/>
        </w:rPr>
      </w:pPr>
      <w:r>
        <w:rPr>
          <w:rFonts w:ascii="Times New Roman" w:hAnsi="Times New Roman"/>
        </w:rPr>
        <w:t>характеристика музыкальных образов, музыкально-выразительных средств;</w:t>
      </w:r>
    </w:p>
    <w:p w14:paraId="5DECC44C">
      <w:pPr>
        <w:spacing w:after="0" w:line="360" w:lineRule="auto"/>
        <w:ind w:firstLine="851"/>
        <w:jc w:val="both"/>
        <w:rPr>
          <w:rFonts w:ascii="Times New Roman" w:hAnsi="Times New Roman"/>
        </w:rPr>
      </w:pPr>
      <w:r>
        <w:rPr>
          <w:rFonts w:ascii="Times New Roman" w:hAnsi="Times New Roman"/>
        </w:rPr>
        <w:t>наблюдение за развитием музыки;</w:t>
      </w:r>
    </w:p>
    <w:p w14:paraId="6E1D4DAE">
      <w:pPr>
        <w:spacing w:after="0" w:line="360" w:lineRule="auto"/>
        <w:ind w:firstLine="851"/>
        <w:jc w:val="both"/>
        <w:rPr>
          <w:rFonts w:ascii="Times New Roman" w:hAnsi="Times New Roman"/>
        </w:rPr>
      </w:pPr>
      <w:r>
        <w:rPr>
          <w:rFonts w:ascii="Times New Roman" w:hAnsi="Times New Roman"/>
        </w:rPr>
        <w:t>определение жанра, формы;</w:t>
      </w:r>
    </w:p>
    <w:p w14:paraId="68817233">
      <w:pPr>
        <w:spacing w:after="0" w:line="360" w:lineRule="auto"/>
        <w:ind w:firstLine="851"/>
        <w:jc w:val="both"/>
        <w:rPr>
          <w:rFonts w:ascii="Times New Roman" w:hAnsi="Times New Roman"/>
        </w:rPr>
      </w:pPr>
      <w:r>
        <w:rPr>
          <w:rFonts w:ascii="Times New Roman" w:hAnsi="Times New Roman"/>
        </w:rPr>
        <w:t>чтение учебных текстов и художественной литературы биографического характера;</w:t>
      </w:r>
    </w:p>
    <w:p w14:paraId="067D796B">
      <w:pPr>
        <w:spacing w:after="0" w:line="360" w:lineRule="auto"/>
        <w:ind w:firstLine="851"/>
        <w:jc w:val="both"/>
        <w:rPr>
          <w:rFonts w:ascii="Times New Roman" w:hAnsi="Times New Roman"/>
        </w:rPr>
      </w:pPr>
      <w:r>
        <w:rPr>
          <w:rFonts w:ascii="Times New Roman" w:hAnsi="Times New Roman"/>
        </w:rPr>
        <w:t>вокализация тем инструментальных сочинений;</w:t>
      </w:r>
    </w:p>
    <w:p w14:paraId="5951ADA7">
      <w:pPr>
        <w:spacing w:after="0" w:line="360" w:lineRule="auto"/>
        <w:ind w:firstLine="851"/>
        <w:jc w:val="both"/>
        <w:rPr>
          <w:rFonts w:ascii="Times New Roman" w:hAnsi="Times New Roman"/>
        </w:rPr>
      </w:pPr>
      <w:r>
        <w:rPr>
          <w:rFonts w:ascii="Times New Roman" w:hAnsi="Times New Roman"/>
        </w:rPr>
        <w:t>разучивание, исполнение доступных вокальных сочинений;</w:t>
      </w:r>
    </w:p>
    <w:p w14:paraId="792116BC">
      <w:pPr>
        <w:spacing w:after="0" w:line="360" w:lineRule="auto"/>
        <w:ind w:firstLine="851"/>
        <w:jc w:val="both"/>
        <w:rPr>
          <w:rFonts w:ascii="Times New Roman" w:hAnsi="Times New Roman"/>
        </w:rPr>
      </w:pPr>
      <w:r>
        <w:rPr>
          <w:rFonts w:ascii="Times New Roman" w:hAnsi="Times New Roman"/>
        </w:rPr>
        <w:t>вариативно: посещение концерта; просмотр биографического фильма.</w:t>
      </w:r>
    </w:p>
    <w:p w14:paraId="1FC97AB1">
      <w:pPr>
        <w:spacing w:after="0" w:line="360" w:lineRule="auto"/>
        <w:ind w:firstLine="851"/>
        <w:jc w:val="both"/>
        <w:rPr>
          <w:rFonts w:ascii="Times New Roman" w:hAnsi="Times New Roman"/>
        </w:rPr>
      </w:pPr>
      <w:r>
        <w:rPr>
          <w:rFonts w:ascii="Times New Roman" w:hAnsi="Times New Roman"/>
        </w:rPr>
        <w:t>14.6.2.12. Европейские композиторы-классики.</w:t>
      </w:r>
    </w:p>
    <w:p w14:paraId="178A0FD0">
      <w:pPr>
        <w:spacing w:after="0" w:line="360" w:lineRule="auto"/>
        <w:ind w:firstLine="851"/>
        <w:jc w:val="both"/>
        <w:rPr>
          <w:rFonts w:ascii="Times New Roman" w:hAnsi="Times New Roman"/>
        </w:rPr>
      </w:pPr>
      <w:r>
        <w:rPr>
          <w:rFonts w:ascii="Times New Roman" w:hAnsi="Times New Roman"/>
        </w:rPr>
        <w:t>Содержание: творчество выдающихся зарубежных композиторов.</w:t>
      </w:r>
    </w:p>
    <w:p w14:paraId="526B6781">
      <w:pPr>
        <w:spacing w:after="0" w:line="360" w:lineRule="auto"/>
        <w:ind w:firstLine="851"/>
        <w:jc w:val="both"/>
        <w:rPr>
          <w:rFonts w:ascii="Times New Roman" w:hAnsi="Times New Roman"/>
        </w:rPr>
      </w:pPr>
      <w:r>
        <w:rPr>
          <w:rFonts w:ascii="Times New Roman" w:hAnsi="Times New Roman"/>
        </w:rPr>
        <w:t>Виды деятельности обучающихся:</w:t>
      </w:r>
    </w:p>
    <w:p w14:paraId="35B51D47">
      <w:pPr>
        <w:spacing w:after="0" w:line="360" w:lineRule="auto"/>
        <w:ind w:firstLine="851"/>
        <w:jc w:val="both"/>
        <w:rPr>
          <w:rFonts w:ascii="Times New Roman" w:hAnsi="Times New Roman"/>
        </w:rPr>
      </w:pPr>
      <w:r>
        <w:rPr>
          <w:rFonts w:ascii="Times New Roman" w:hAnsi="Times New Roman"/>
        </w:rPr>
        <w:t>знакомство с творчеством выдающихся композиторов, отдельными фактами из их биографии;</w:t>
      </w:r>
    </w:p>
    <w:p w14:paraId="0976E782">
      <w:pPr>
        <w:spacing w:after="0" w:line="360" w:lineRule="auto"/>
        <w:ind w:firstLine="851"/>
        <w:jc w:val="both"/>
        <w:rPr>
          <w:rFonts w:ascii="Times New Roman" w:hAnsi="Times New Roman"/>
        </w:rPr>
      </w:pPr>
      <w:r>
        <w:rPr>
          <w:rFonts w:ascii="Times New Roman" w:hAnsi="Times New Roman"/>
        </w:rPr>
        <w:t>слушание музыки;</w:t>
      </w:r>
    </w:p>
    <w:p w14:paraId="6FA924FB">
      <w:pPr>
        <w:spacing w:after="0" w:line="360" w:lineRule="auto"/>
        <w:ind w:firstLine="851"/>
        <w:jc w:val="both"/>
        <w:rPr>
          <w:rFonts w:ascii="Times New Roman" w:hAnsi="Times New Roman"/>
        </w:rPr>
      </w:pPr>
      <w:r>
        <w:rPr>
          <w:rFonts w:ascii="Times New Roman" w:hAnsi="Times New Roman"/>
        </w:rPr>
        <w:t>фрагменты вокальных, инструментальных, симфонических сочинений;</w:t>
      </w:r>
    </w:p>
    <w:p w14:paraId="5A5C5CCA">
      <w:pPr>
        <w:spacing w:after="0" w:line="360" w:lineRule="auto"/>
        <w:ind w:firstLine="851"/>
        <w:jc w:val="both"/>
        <w:rPr>
          <w:rFonts w:ascii="Times New Roman" w:hAnsi="Times New Roman"/>
        </w:rPr>
      </w:pPr>
      <w:r>
        <w:rPr>
          <w:rFonts w:ascii="Times New Roman" w:hAnsi="Times New Roman"/>
        </w:rPr>
        <w:t>круг характерных образов (картины природы, народной жизни, истории);</w:t>
      </w:r>
    </w:p>
    <w:p w14:paraId="1ADB5E41">
      <w:pPr>
        <w:spacing w:after="0" w:line="360" w:lineRule="auto"/>
        <w:ind w:firstLine="851"/>
        <w:jc w:val="both"/>
        <w:rPr>
          <w:rFonts w:ascii="Times New Roman" w:hAnsi="Times New Roman"/>
        </w:rPr>
      </w:pPr>
      <w:r>
        <w:rPr>
          <w:rFonts w:ascii="Times New Roman" w:hAnsi="Times New Roman"/>
        </w:rPr>
        <w:t>характеристика музыкальных образов, музыкально-выразительных средств;</w:t>
      </w:r>
    </w:p>
    <w:p w14:paraId="6FBD983D">
      <w:pPr>
        <w:spacing w:after="0" w:line="360" w:lineRule="auto"/>
        <w:ind w:firstLine="851"/>
        <w:jc w:val="both"/>
        <w:rPr>
          <w:rFonts w:ascii="Times New Roman" w:hAnsi="Times New Roman"/>
        </w:rPr>
      </w:pPr>
      <w:r>
        <w:rPr>
          <w:rFonts w:ascii="Times New Roman" w:hAnsi="Times New Roman"/>
        </w:rPr>
        <w:t>наблюдение за развитием музыки;</w:t>
      </w:r>
    </w:p>
    <w:p w14:paraId="48D5B0AA">
      <w:pPr>
        <w:spacing w:after="0" w:line="360" w:lineRule="auto"/>
        <w:ind w:firstLine="851"/>
        <w:jc w:val="both"/>
        <w:rPr>
          <w:rFonts w:ascii="Times New Roman" w:hAnsi="Times New Roman"/>
        </w:rPr>
      </w:pPr>
      <w:r>
        <w:rPr>
          <w:rFonts w:ascii="Times New Roman" w:hAnsi="Times New Roman"/>
        </w:rPr>
        <w:t>определение жанра, формы;</w:t>
      </w:r>
    </w:p>
    <w:p w14:paraId="12EF374A">
      <w:pPr>
        <w:spacing w:after="0" w:line="360" w:lineRule="auto"/>
        <w:ind w:firstLine="851"/>
        <w:jc w:val="both"/>
        <w:rPr>
          <w:rFonts w:ascii="Times New Roman" w:hAnsi="Times New Roman"/>
        </w:rPr>
      </w:pPr>
      <w:r>
        <w:rPr>
          <w:rFonts w:ascii="Times New Roman" w:hAnsi="Times New Roman"/>
        </w:rPr>
        <w:t>чтение учебных текстов и художественной литературы биографического характера;</w:t>
      </w:r>
    </w:p>
    <w:p w14:paraId="6940755E">
      <w:pPr>
        <w:spacing w:after="0" w:line="360" w:lineRule="auto"/>
        <w:ind w:firstLine="851"/>
        <w:jc w:val="both"/>
        <w:rPr>
          <w:rFonts w:ascii="Times New Roman" w:hAnsi="Times New Roman"/>
        </w:rPr>
      </w:pPr>
      <w:r>
        <w:rPr>
          <w:rFonts w:ascii="Times New Roman" w:hAnsi="Times New Roman"/>
        </w:rPr>
        <w:t>вокализация тем инструментальных сочинений;</w:t>
      </w:r>
    </w:p>
    <w:p w14:paraId="56659BD3">
      <w:pPr>
        <w:spacing w:after="0" w:line="360" w:lineRule="auto"/>
        <w:ind w:firstLine="851"/>
        <w:jc w:val="both"/>
        <w:rPr>
          <w:rFonts w:ascii="Times New Roman" w:hAnsi="Times New Roman"/>
        </w:rPr>
      </w:pPr>
      <w:r>
        <w:rPr>
          <w:rFonts w:ascii="Times New Roman" w:hAnsi="Times New Roman"/>
        </w:rPr>
        <w:t>разучивание, исполнение доступных вокальных сочинений;</w:t>
      </w:r>
    </w:p>
    <w:p w14:paraId="1A42FF78">
      <w:pPr>
        <w:spacing w:after="0" w:line="360" w:lineRule="auto"/>
        <w:ind w:firstLine="851"/>
        <w:jc w:val="both"/>
        <w:rPr>
          <w:rFonts w:ascii="Times New Roman" w:hAnsi="Times New Roman"/>
        </w:rPr>
      </w:pPr>
      <w:r>
        <w:rPr>
          <w:rFonts w:ascii="Times New Roman" w:hAnsi="Times New Roman"/>
        </w:rPr>
        <w:t>вариативно: посещение концерта; просмотр биографического фильма.</w:t>
      </w:r>
    </w:p>
    <w:p w14:paraId="69AA0CF4">
      <w:pPr>
        <w:spacing w:after="0" w:line="360" w:lineRule="auto"/>
        <w:ind w:firstLine="851"/>
        <w:jc w:val="both"/>
        <w:rPr>
          <w:rFonts w:ascii="Times New Roman" w:hAnsi="Times New Roman"/>
        </w:rPr>
      </w:pPr>
      <w:r>
        <w:rPr>
          <w:rFonts w:ascii="Times New Roman" w:hAnsi="Times New Roman"/>
        </w:rPr>
        <w:t>14.6.2.13. Мастерство исполнителя.</w:t>
      </w:r>
    </w:p>
    <w:p w14:paraId="1F9A7DF2">
      <w:pPr>
        <w:spacing w:after="0" w:line="360" w:lineRule="auto"/>
        <w:ind w:firstLine="851"/>
        <w:jc w:val="both"/>
        <w:rPr>
          <w:rFonts w:ascii="Times New Roman" w:hAnsi="Times New Roman"/>
        </w:rPr>
      </w:pPr>
      <w:r>
        <w:rPr>
          <w:rFonts w:ascii="Times New Roman" w:hAnsi="Times New Roman"/>
        </w:rPr>
        <w:t>Содержание: творчество выдающихся исполнителей-певцов, инструменталистов, дирижёров. Консерватория, филармония, Конкурс имени П.И. Чайковского.</w:t>
      </w:r>
    </w:p>
    <w:p w14:paraId="32F010B9">
      <w:pPr>
        <w:spacing w:after="0" w:line="360" w:lineRule="auto"/>
        <w:ind w:firstLine="851"/>
        <w:jc w:val="both"/>
        <w:rPr>
          <w:rFonts w:ascii="Times New Roman" w:hAnsi="Times New Roman"/>
        </w:rPr>
      </w:pPr>
      <w:r>
        <w:rPr>
          <w:rFonts w:ascii="Times New Roman" w:hAnsi="Times New Roman"/>
        </w:rPr>
        <w:t>Виды деятельности обучающихся:</w:t>
      </w:r>
    </w:p>
    <w:p w14:paraId="5A5EB531">
      <w:pPr>
        <w:spacing w:after="0" w:line="360" w:lineRule="auto"/>
        <w:ind w:firstLine="851"/>
        <w:jc w:val="both"/>
        <w:rPr>
          <w:rFonts w:ascii="Times New Roman" w:hAnsi="Times New Roman"/>
        </w:rPr>
      </w:pPr>
      <w:r>
        <w:rPr>
          <w:rFonts w:ascii="Times New Roman" w:hAnsi="Times New Roman"/>
        </w:rPr>
        <w:t>знакомство с творчеством выдающихся исполнителей классической музыки;</w:t>
      </w:r>
    </w:p>
    <w:p w14:paraId="7F728295">
      <w:pPr>
        <w:spacing w:after="0" w:line="360" w:lineRule="auto"/>
        <w:ind w:firstLine="851"/>
        <w:jc w:val="both"/>
        <w:rPr>
          <w:rFonts w:ascii="Times New Roman" w:hAnsi="Times New Roman"/>
        </w:rPr>
      </w:pPr>
      <w:r>
        <w:rPr>
          <w:rFonts w:ascii="Times New Roman" w:hAnsi="Times New Roman"/>
        </w:rPr>
        <w:t>изучение программ, афиш консерватории, филармонии;</w:t>
      </w:r>
    </w:p>
    <w:p w14:paraId="242E77F8">
      <w:pPr>
        <w:spacing w:after="0" w:line="360" w:lineRule="auto"/>
        <w:ind w:firstLine="851"/>
        <w:jc w:val="both"/>
        <w:rPr>
          <w:rFonts w:ascii="Times New Roman" w:hAnsi="Times New Roman"/>
        </w:rPr>
      </w:pPr>
      <w:r>
        <w:rPr>
          <w:rFonts w:ascii="Times New Roman" w:hAnsi="Times New Roman"/>
        </w:rPr>
        <w:t>сравнение нескольких интерпретаций одного и того же произведения в исполнении разных музыкантов;</w:t>
      </w:r>
    </w:p>
    <w:p w14:paraId="21BDA38B">
      <w:pPr>
        <w:spacing w:after="0" w:line="360" w:lineRule="auto"/>
        <w:ind w:firstLine="851"/>
        <w:jc w:val="both"/>
        <w:rPr>
          <w:rFonts w:ascii="Times New Roman" w:hAnsi="Times New Roman"/>
        </w:rPr>
      </w:pPr>
      <w:r>
        <w:rPr>
          <w:rFonts w:ascii="Times New Roman" w:hAnsi="Times New Roman"/>
        </w:rPr>
        <w:t xml:space="preserve">беседа на тему «Композитор – исполнитель – слушатель»; </w:t>
      </w:r>
    </w:p>
    <w:p w14:paraId="4D572F82">
      <w:pPr>
        <w:spacing w:after="0" w:line="360" w:lineRule="auto"/>
        <w:ind w:firstLine="851"/>
        <w:jc w:val="both"/>
        <w:rPr>
          <w:rFonts w:ascii="Times New Roman" w:hAnsi="Times New Roman"/>
        </w:rPr>
      </w:pPr>
      <w:r>
        <w:rPr>
          <w:rFonts w:ascii="Times New Roman" w:hAnsi="Times New Roman"/>
        </w:rPr>
        <w:t>вариативно: посещение концерта классической музыки;</w:t>
      </w:r>
    </w:p>
    <w:p w14:paraId="428AA9F6">
      <w:pPr>
        <w:spacing w:after="0" w:line="360" w:lineRule="auto"/>
        <w:ind w:firstLine="851"/>
        <w:jc w:val="both"/>
        <w:rPr>
          <w:rFonts w:ascii="Times New Roman" w:hAnsi="Times New Roman"/>
        </w:rPr>
      </w:pPr>
      <w:r>
        <w:rPr>
          <w:rFonts w:ascii="Times New Roman" w:hAnsi="Times New Roman"/>
        </w:rPr>
        <w:t>создание коллекции записей любимого исполнителя.</w:t>
      </w:r>
    </w:p>
    <w:p w14:paraId="66348961">
      <w:pPr>
        <w:spacing w:after="0" w:line="360" w:lineRule="auto"/>
        <w:ind w:firstLine="851"/>
        <w:jc w:val="both"/>
        <w:rPr>
          <w:rFonts w:ascii="Times New Roman" w:hAnsi="Times New Roman"/>
        </w:rPr>
      </w:pPr>
      <w:r>
        <w:rPr>
          <w:rFonts w:ascii="Times New Roman" w:hAnsi="Times New Roman"/>
        </w:rPr>
        <w:t xml:space="preserve">14.6.3. Модуль № 3 «Музыка в жизни человека». </w:t>
      </w:r>
    </w:p>
    <w:p w14:paraId="09C6AF1D">
      <w:pPr>
        <w:spacing w:after="0" w:line="360" w:lineRule="auto"/>
        <w:ind w:firstLine="851"/>
        <w:jc w:val="both"/>
        <w:rPr>
          <w:rFonts w:ascii="Times New Roman" w:hAnsi="Times New Roman"/>
        </w:rPr>
      </w:pPr>
      <w:r>
        <w:rPr>
          <w:rFonts w:ascii="Times New Roman" w:hAnsi="Times New Roman"/>
        </w:rPr>
        <w:t>Главное содержание данного модуля сосредоточено вокруг рефлексивного исследования обучающимися психологической связи музыкального искусства и внутреннего мира человека. Основным результатом его освоения является развитие эмоционального интеллекта обучающихся, расширение спектра переживаемых чувств и их оттенков, осознание собственных душевных движений, способность к сопереживанию как при восприятии произведений искусства, так и в непосредственном общении с другими людьми. Формы бытования музыки, типичный комплекс выразительных средств музыкальных жанров выступают как обобщённые жизненные ситуации, порождающие различные чувства и настроения. Сверхзадача модуля – воспитание чувства прекрасного, пробуждение и развитие эстетических потребностей.</w:t>
      </w:r>
    </w:p>
    <w:p w14:paraId="049D78EF">
      <w:pPr>
        <w:spacing w:after="0" w:line="360" w:lineRule="auto"/>
        <w:ind w:firstLine="851"/>
        <w:jc w:val="both"/>
        <w:rPr>
          <w:rFonts w:ascii="Times New Roman" w:hAnsi="Times New Roman"/>
        </w:rPr>
      </w:pPr>
      <w:r>
        <w:rPr>
          <w:rFonts w:ascii="Times New Roman" w:hAnsi="Times New Roman"/>
        </w:rPr>
        <w:t>14.6.3.1. Красота и вдохновение.</w:t>
      </w:r>
    </w:p>
    <w:p w14:paraId="3204C439">
      <w:pPr>
        <w:spacing w:after="0" w:line="360" w:lineRule="auto"/>
        <w:ind w:firstLine="851"/>
        <w:jc w:val="both"/>
        <w:rPr>
          <w:rFonts w:ascii="Times New Roman" w:hAnsi="Times New Roman"/>
        </w:rPr>
      </w:pPr>
      <w:r>
        <w:rPr>
          <w:rFonts w:ascii="Times New Roman" w:hAnsi="Times New Roman"/>
        </w:rPr>
        <w:t>Содержание: стремление человека к красоте. Особое состояние – вдохновение. Музыка – возможность вместе переживать вдохновение, наслаждаться красотой. Музыкальное единство людей – хор, хоровод.</w:t>
      </w:r>
    </w:p>
    <w:p w14:paraId="583D1F04">
      <w:pPr>
        <w:spacing w:after="0" w:line="360" w:lineRule="auto"/>
        <w:ind w:firstLine="851"/>
        <w:jc w:val="both"/>
        <w:rPr>
          <w:rFonts w:ascii="Times New Roman" w:hAnsi="Times New Roman"/>
        </w:rPr>
      </w:pPr>
      <w:r>
        <w:rPr>
          <w:rFonts w:ascii="Times New Roman" w:hAnsi="Times New Roman"/>
        </w:rPr>
        <w:t>Виды деятельности обучающихся:</w:t>
      </w:r>
    </w:p>
    <w:p w14:paraId="0BCB48C1">
      <w:pPr>
        <w:spacing w:after="0" w:line="360" w:lineRule="auto"/>
        <w:ind w:firstLine="851"/>
        <w:jc w:val="both"/>
        <w:rPr>
          <w:rFonts w:ascii="Times New Roman" w:hAnsi="Times New Roman"/>
        </w:rPr>
      </w:pPr>
      <w:r>
        <w:rPr>
          <w:rFonts w:ascii="Times New Roman" w:hAnsi="Times New Roman"/>
        </w:rPr>
        <w:t>диалог с учителем о значении красоты и вдохновения в жизни человека;</w:t>
      </w:r>
    </w:p>
    <w:p w14:paraId="0E206C73">
      <w:pPr>
        <w:spacing w:after="0" w:line="360" w:lineRule="auto"/>
        <w:ind w:firstLine="851"/>
        <w:jc w:val="both"/>
        <w:rPr>
          <w:rFonts w:ascii="Times New Roman" w:hAnsi="Times New Roman"/>
        </w:rPr>
      </w:pPr>
      <w:r>
        <w:rPr>
          <w:rFonts w:ascii="Times New Roman" w:hAnsi="Times New Roman"/>
        </w:rPr>
        <w:t>слушание музыки, концентрация на её восприятии, своём внутреннем состоянии;</w:t>
      </w:r>
    </w:p>
    <w:p w14:paraId="46FD7759">
      <w:pPr>
        <w:spacing w:after="0" w:line="360" w:lineRule="auto"/>
        <w:ind w:firstLine="851"/>
        <w:jc w:val="both"/>
        <w:rPr>
          <w:rFonts w:ascii="Times New Roman" w:hAnsi="Times New Roman"/>
        </w:rPr>
      </w:pPr>
      <w:r>
        <w:rPr>
          <w:rFonts w:ascii="Times New Roman" w:hAnsi="Times New Roman"/>
        </w:rPr>
        <w:t>двигательная импровизация под музыку лирического характера «Цветы распускаются под музыку»;</w:t>
      </w:r>
    </w:p>
    <w:p w14:paraId="6FE1F191">
      <w:pPr>
        <w:spacing w:after="0" w:line="360" w:lineRule="auto"/>
        <w:ind w:firstLine="851"/>
        <w:jc w:val="both"/>
        <w:rPr>
          <w:rFonts w:ascii="Times New Roman" w:hAnsi="Times New Roman"/>
        </w:rPr>
      </w:pPr>
      <w:r>
        <w:rPr>
          <w:rFonts w:ascii="Times New Roman" w:hAnsi="Times New Roman"/>
        </w:rPr>
        <w:t>выстраивание хорового унисона – вокального и психологического;</w:t>
      </w:r>
    </w:p>
    <w:p w14:paraId="4833544D">
      <w:pPr>
        <w:spacing w:after="0" w:line="360" w:lineRule="auto"/>
        <w:ind w:firstLine="851"/>
        <w:jc w:val="both"/>
        <w:rPr>
          <w:rFonts w:ascii="Times New Roman" w:hAnsi="Times New Roman"/>
        </w:rPr>
      </w:pPr>
      <w:r>
        <w:rPr>
          <w:rFonts w:ascii="Times New Roman" w:hAnsi="Times New Roman"/>
        </w:rPr>
        <w:t>одновременное взятие и снятие звука, навыки певческого дыхания по руке дирижёра;</w:t>
      </w:r>
    </w:p>
    <w:p w14:paraId="546694D5">
      <w:pPr>
        <w:spacing w:after="0" w:line="360" w:lineRule="auto"/>
        <w:ind w:firstLine="851"/>
        <w:jc w:val="both"/>
        <w:rPr>
          <w:rFonts w:ascii="Times New Roman" w:hAnsi="Times New Roman"/>
        </w:rPr>
      </w:pPr>
      <w:r>
        <w:rPr>
          <w:rFonts w:ascii="Times New Roman" w:hAnsi="Times New Roman"/>
        </w:rPr>
        <w:t>разучивание, исполнение красивой песни;</w:t>
      </w:r>
    </w:p>
    <w:p w14:paraId="6208AEBD">
      <w:pPr>
        <w:spacing w:after="0" w:line="360" w:lineRule="auto"/>
        <w:ind w:firstLine="851"/>
        <w:jc w:val="both"/>
        <w:rPr>
          <w:rFonts w:ascii="Times New Roman" w:hAnsi="Times New Roman"/>
        </w:rPr>
      </w:pPr>
      <w:r>
        <w:rPr>
          <w:rFonts w:ascii="Times New Roman" w:hAnsi="Times New Roman"/>
        </w:rPr>
        <w:t xml:space="preserve">вариативно: разучивание хоровода  </w:t>
      </w:r>
    </w:p>
    <w:p w14:paraId="50B5EEB0">
      <w:pPr>
        <w:spacing w:after="0" w:line="360" w:lineRule="auto"/>
        <w:ind w:firstLine="851"/>
        <w:jc w:val="both"/>
        <w:rPr>
          <w:rFonts w:ascii="Times New Roman" w:hAnsi="Times New Roman"/>
        </w:rPr>
      </w:pPr>
      <w:r>
        <w:rPr>
          <w:rFonts w:ascii="Times New Roman" w:hAnsi="Times New Roman"/>
        </w:rPr>
        <w:t>14.6.3.2. Музыкальные пейзажи.</w:t>
      </w:r>
    </w:p>
    <w:p w14:paraId="62371418">
      <w:pPr>
        <w:spacing w:after="0" w:line="360" w:lineRule="auto"/>
        <w:ind w:firstLine="851"/>
        <w:jc w:val="both"/>
        <w:rPr>
          <w:rFonts w:ascii="Times New Roman" w:hAnsi="Times New Roman"/>
        </w:rPr>
      </w:pPr>
      <w:r>
        <w:rPr>
          <w:rFonts w:ascii="Times New Roman" w:hAnsi="Times New Roman"/>
        </w:rPr>
        <w:t>Содержание: образы природы в музыке, настроение музыкальных пейзажей, чувства человека, любующегося природой. Музыка – выражение глубоких чувств, тонких оттенков настроения, которые трудно передать словами.</w:t>
      </w:r>
    </w:p>
    <w:p w14:paraId="4CD3593B">
      <w:pPr>
        <w:spacing w:after="0" w:line="360" w:lineRule="auto"/>
        <w:ind w:firstLine="851"/>
        <w:jc w:val="both"/>
        <w:rPr>
          <w:rFonts w:ascii="Times New Roman" w:hAnsi="Times New Roman"/>
        </w:rPr>
      </w:pPr>
      <w:r>
        <w:rPr>
          <w:rFonts w:ascii="Times New Roman" w:hAnsi="Times New Roman"/>
        </w:rPr>
        <w:t>Виды деятельности обучающихся:</w:t>
      </w:r>
    </w:p>
    <w:p w14:paraId="4CB35267">
      <w:pPr>
        <w:spacing w:after="0" w:line="360" w:lineRule="auto"/>
        <w:ind w:firstLine="851"/>
        <w:jc w:val="both"/>
        <w:rPr>
          <w:rFonts w:ascii="Times New Roman" w:hAnsi="Times New Roman"/>
        </w:rPr>
      </w:pPr>
      <w:r>
        <w:rPr>
          <w:rFonts w:ascii="Times New Roman" w:hAnsi="Times New Roman"/>
        </w:rPr>
        <w:t>слушание произведений программной музыки, посвящённой образам природы;</w:t>
      </w:r>
    </w:p>
    <w:p w14:paraId="55EA6522">
      <w:pPr>
        <w:spacing w:after="0" w:line="360" w:lineRule="auto"/>
        <w:ind w:firstLine="851"/>
        <w:jc w:val="both"/>
        <w:rPr>
          <w:rFonts w:ascii="Times New Roman" w:hAnsi="Times New Roman"/>
        </w:rPr>
      </w:pPr>
      <w:r>
        <w:rPr>
          <w:rFonts w:ascii="Times New Roman" w:hAnsi="Times New Roman"/>
        </w:rPr>
        <w:t>подбор эпитетов для описания настроения, характера музыки;</w:t>
      </w:r>
    </w:p>
    <w:p w14:paraId="19173134">
      <w:pPr>
        <w:spacing w:after="0" w:line="360" w:lineRule="auto"/>
        <w:ind w:firstLine="851"/>
        <w:jc w:val="both"/>
        <w:rPr>
          <w:rFonts w:ascii="Times New Roman" w:hAnsi="Times New Roman"/>
        </w:rPr>
      </w:pPr>
      <w:r>
        <w:rPr>
          <w:rFonts w:ascii="Times New Roman" w:hAnsi="Times New Roman"/>
        </w:rPr>
        <w:t>сопоставление музыки с произведениями изобразительного искусства;</w:t>
      </w:r>
    </w:p>
    <w:p w14:paraId="72671694">
      <w:pPr>
        <w:spacing w:after="0" w:line="360" w:lineRule="auto"/>
        <w:ind w:firstLine="851"/>
        <w:jc w:val="both"/>
        <w:rPr>
          <w:rFonts w:ascii="Times New Roman" w:hAnsi="Times New Roman"/>
        </w:rPr>
      </w:pPr>
      <w:r>
        <w:rPr>
          <w:rFonts w:ascii="Times New Roman" w:hAnsi="Times New Roman"/>
        </w:rPr>
        <w:t>двигательная импровизация, пластическое интонирование;</w:t>
      </w:r>
    </w:p>
    <w:p w14:paraId="0CD316C0">
      <w:pPr>
        <w:spacing w:after="0" w:line="360" w:lineRule="auto"/>
        <w:ind w:firstLine="851"/>
        <w:jc w:val="both"/>
        <w:rPr>
          <w:rFonts w:ascii="Times New Roman" w:hAnsi="Times New Roman"/>
        </w:rPr>
      </w:pPr>
      <w:r>
        <w:rPr>
          <w:rFonts w:ascii="Times New Roman" w:hAnsi="Times New Roman"/>
        </w:rPr>
        <w:t>разучивание, одухотворенное исполнение песен о природе, её красоте;</w:t>
      </w:r>
    </w:p>
    <w:p w14:paraId="5E69DFD1">
      <w:pPr>
        <w:spacing w:after="0" w:line="360" w:lineRule="auto"/>
        <w:ind w:firstLine="851"/>
        <w:jc w:val="both"/>
        <w:rPr>
          <w:rFonts w:ascii="Times New Roman" w:hAnsi="Times New Roman"/>
        </w:rPr>
      </w:pPr>
      <w:r>
        <w:rPr>
          <w:rFonts w:ascii="Times New Roman" w:hAnsi="Times New Roman"/>
        </w:rPr>
        <w:t>вариативно: рисование «услышанных» пейзажей и (или) абстрактная живопись – передача настроения цветом, точками, линиями; игра-импровизация «Угадай моё настроение».</w:t>
      </w:r>
    </w:p>
    <w:p w14:paraId="6AF21129">
      <w:pPr>
        <w:spacing w:after="0" w:line="360" w:lineRule="auto"/>
        <w:ind w:firstLine="851"/>
        <w:jc w:val="both"/>
        <w:rPr>
          <w:rFonts w:ascii="Times New Roman" w:hAnsi="Times New Roman"/>
        </w:rPr>
      </w:pPr>
      <w:r>
        <w:rPr>
          <w:rFonts w:ascii="Times New Roman" w:hAnsi="Times New Roman"/>
        </w:rPr>
        <w:t>14.6.3.3. Музыкальные портреты.</w:t>
      </w:r>
    </w:p>
    <w:p w14:paraId="0E7FBF1F">
      <w:pPr>
        <w:spacing w:after="0" w:line="360" w:lineRule="auto"/>
        <w:ind w:firstLine="851"/>
        <w:jc w:val="both"/>
        <w:rPr>
          <w:rFonts w:ascii="Times New Roman" w:hAnsi="Times New Roman"/>
        </w:rPr>
      </w:pPr>
      <w:r>
        <w:rPr>
          <w:rFonts w:ascii="Times New Roman" w:hAnsi="Times New Roman"/>
        </w:rPr>
        <w:t>Содержание: музыка, передающая образ человека, его походку, движения, характер, манеру речи. «Портреты», выраженные в музыкальных интонациях.</w:t>
      </w:r>
    </w:p>
    <w:p w14:paraId="36E694CF">
      <w:pPr>
        <w:spacing w:after="0" w:line="360" w:lineRule="auto"/>
        <w:ind w:firstLine="851"/>
        <w:jc w:val="both"/>
        <w:rPr>
          <w:rFonts w:ascii="Times New Roman" w:hAnsi="Times New Roman"/>
        </w:rPr>
      </w:pPr>
      <w:r>
        <w:rPr>
          <w:rFonts w:ascii="Times New Roman" w:hAnsi="Times New Roman"/>
        </w:rPr>
        <w:t>Виды деятельности обучающихся:</w:t>
      </w:r>
    </w:p>
    <w:p w14:paraId="178F4082">
      <w:pPr>
        <w:spacing w:after="0" w:line="360" w:lineRule="auto"/>
        <w:ind w:firstLine="851"/>
        <w:jc w:val="both"/>
        <w:rPr>
          <w:rFonts w:ascii="Times New Roman" w:hAnsi="Times New Roman"/>
        </w:rPr>
      </w:pPr>
      <w:r>
        <w:rPr>
          <w:rFonts w:ascii="Times New Roman" w:hAnsi="Times New Roman"/>
        </w:rPr>
        <w:t>слушание произведений вокальной, программной инструментальной музыки, посвящённой образам людей, сказочных персонажей;</w:t>
      </w:r>
    </w:p>
    <w:p w14:paraId="4E27D011">
      <w:pPr>
        <w:spacing w:after="0" w:line="360" w:lineRule="auto"/>
        <w:ind w:firstLine="851"/>
        <w:jc w:val="both"/>
        <w:rPr>
          <w:rFonts w:ascii="Times New Roman" w:hAnsi="Times New Roman"/>
        </w:rPr>
      </w:pPr>
      <w:r>
        <w:rPr>
          <w:rFonts w:ascii="Times New Roman" w:hAnsi="Times New Roman"/>
        </w:rPr>
        <w:t>подбор эпитетов для описания настроения, характера музыки;</w:t>
      </w:r>
    </w:p>
    <w:p w14:paraId="3CF408B4">
      <w:pPr>
        <w:spacing w:after="0" w:line="360" w:lineRule="auto"/>
        <w:ind w:firstLine="851"/>
        <w:jc w:val="both"/>
        <w:rPr>
          <w:rFonts w:ascii="Times New Roman" w:hAnsi="Times New Roman"/>
        </w:rPr>
      </w:pPr>
      <w:r>
        <w:rPr>
          <w:rFonts w:ascii="Times New Roman" w:hAnsi="Times New Roman"/>
        </w:rPr>
        <w:t>сопоставление музыки с произведениями изобразительного искусства;</w:t>
      </w:r>
    </w:p>
    <w:p w14:paraId="2A8A7157">
      <w:pPr>
        <w:spacing w:after="0" w:line="360" w:lineRule="auto"/>
        <w:ind w:firstLine="851"/>
        <w:jc w:val="both"/>
        <w:rPr>
          <w:rFonts w:ascii="Times New Roman" w:hAnsi="Times New Roman"/>
        </w:rPr>
      </w:pPr>
      <w:r>
        <w:rPr>
          <w:rFonts w:ascii="Times New Roman" w:hAnsi="Times New Roman"/>
        </w:rPr>
        <w:t>двигательная импровизация в образе героя музыкального произведения;</w:t>
      </w:r>
    </w:p>
    <w:p w14:paraId="4321723C">
      <w:pPr>
        <w:spacing w:after="0" w:line="360" w:lineRule="auto"/>
        <w:ind w:firstLine="851"/>
        <w:jc w:val="both"/>
        <w:rPr>
          <w:rFonts w:ascii="Times New Roman" w:hAnsi="Times New Roman"/>
        </w:rPr>
      </w:pPr>
      <w:r>
        <w:rPr>
          <w:rFonts w:ascii="Times New Roman" w:hAnsi="Times New Roman"/>
        </w:rPr>
        <w:t>разучивание, харáктерное исполнение песни – портретной зарисовки;</w:t>
      </w:r>
    </w:p>
    <w:p w14:paraId="38DE6EBD">
      <w:pPr>
        <w:spacing w:after="0" w:line="360" w:lineRule="auto"/>
        <w:ind w:firstLine="851"/>
        <w:jc w:val="both"/>
        <w:rPr>
          <w:rFonts w:ascii="Times New Roman" w:hAnsi="Times New Roman"/>
        </w:rPr>
      </w:pPr>
      <w:r>
        <w:rPr>
          <w:rFonts w:ascii="Times New Roman" w:hAnsi="Times New Roman"/>
        </w:rPr>
        <w:t>вариативно: рисование, лепка героя музыкального произведения; игра-импровизация «Угадай мой характер»; инсценировка – импровизация в жанре кукольного (теневого) театра с помощью кукол, силуэтов.</w:t>
      </w:r>
    </w:p>
    <w:p w14:paraId="604B2266">
      <w:pPr>
        <w:spacing w:after="0" w:line="360" w:lineRule="auto"/>
        <w:ind w:firstLine="851"/>
        <w:jc w:val="both"/>
        <w:rPr>
          <w:rFonts w:ascii="Times New Roman" w:hAnsi="Times New Roman"/>
        </w:rPr>
      </w:pPr>
      <w:r>
        <w:rPr>
          <w:rFonts w:ascii="Times New Roman" w:hAnsi="Times New Roman"/>
        </w:rPr>
        <w:t>14.6.3.4. Какой же праздник без музыки?</w:t>
      </w:r>
    </w:p>
    <w:p w14:paraId="0B6235F7">
      <w:pPr>
        <w:spacing w:after="0" w:line="360" w:lineRule="auto"/>
        <w:ind w:firstLine="851"/>
        <w:jc w:val="both"/>
        <w:rPr>
          <w:rFonts w:ascii="Times New Roman" w:hAnsi="Times New Roman"/>
        </w:rPr>
      </w:pPr>
      <w:r>
        <w:rPr>
          <w:rFonts w:ascii="Times New Roman" w:hAnsi="Times New Roman"/>
        </w:rPr>
        <w:t>Содержание: музыка, создающая настроение праздника. Музыка в цирке, на уличном шествии, спортивном празднике.</w:t>
      </w:r>
    </w:p>
    <w:p w14:paraId="17CB343E">
      <w:pPr>
        <w:spacing w:after="0" w:line="360" w:lineRule="auto"/>
        <w:ind w:firstLine="851"/>
        <w:jc w:val="both"/>
        <w:rPr>
          <w:rFonts w:ascii="Times New Roman" w:hAnsi="Times New Roman"/>
        </w:rPr>
      </w:pPr>
      <w:r>
        <w:rPr>
          <w:rFonts w:ascii="Times New Roman" w:hAnsi="Times New Roman"/>
        </w:rPr>
        <w:t>Виды деятельности обучающихся:</w:t>
      </w:r>
    </w:p>
    <w:p w14:paraId="7096CB42">
      <w:pPr>
        <w:spacing w:after="0" w:line="360" w:lineRule="auto"/>
        <w:ind w:firstLine="851"/>
        <w:jc w:val="both"/>
        <w:rPr>
          <w:rFonts w:ascii="Times New Roman" w:hAnsi="Times New Roman"/>
        </w:rPr>
      </w:pPr>
      <w:r>
        <w:rPr>
          <w:rFonts w:ascii="Times New Roman" w:hAnsi="Times New Roman"/>
        </w:rPr>
        <w:t>диалог с учителем о значении музыки на празднике;</w:t>
      </w:r>
    </w:p>
    <w:p w14:paraId="13734880">
      <w:pPr>
        <w:spacing w:after="0" w:line="360" w:lineRule="auto"/>
        <w:ind w:firstLine="851"/>
        <w:jc w:val="both"/>
        <w:rPr>
          <w:rFonts w:ascii="Times New Roman" w:hAnsi="Times New Roman"/>
        </w:rPr>
      </w:pPr>
      <w:r>
        <w:rPr>
          <w:rFonts w:ascii="Times New Roman" w:hAnsi="Times New Roman"/>
        </w:rPr>
        <w:t>слушание произведений торжественного, праздничного характера;</w:t>
      </w:r>
    </w:p>
    <w:p w14:paraId="59542D41">
      <w:pPr>
        <w:spacing w:after="0" w:line="360" w:lineRule="auto"/>
        <w:ind w:firstLine="851"/>
        <w:jc w:val="both"/>
        <w:rPr>
          <w:rFonts w:ascii="Times New Roman" w:hAnsi="Times New Roman"/>
        </w:rPr>
      </w:pPr>
      <w:r>
        <w:rPr>
          <w:rFonts w:ascii="Times New Roman" w:hAnsi="Times New Roman"/>
        </w:rPr>
        <w:t>«дирижирование» фрагментами произведений;</w:t>
      </w:r>
    </w:p>
    <w:p w14:paraId="324932A5">
      <w:pPr>
        <w:spacing w:after="0" w:line="360" w:lineRule="auto"/>
        <w:ind w:firstLine="851"/>
        <w:jc w:val="both"/>
        <w:rPr>
          <w:rFonts w:ascii="Times New Roman" w:hAnsi="Times New Roman"/>
        </w:rPr>
      </w:pPr>
      <w:r>
        <w:rPr>
          <w:rFonts w:ascii="Times New Roman" w:hAnsi="Times New Roman"/>
        </w:rPr>
        <w:t>конкурс на лучшего «дирижёра»;</w:t>
      </w:r>
    </w:p>
    <w:p w14:paraId="1FC1909E">
      <w:pPr>
        <w:spacing w:after="0" w:line="360" w:lineRule="auto"/>
        <w:ind w:firstLine="851"/>
        <w:jc w:val="both"/>
        <w:rPr>
          <w:rFonts w:ascii="Times New Roman" w:hAnsi="Times New Roman"/>
        </w:rPr>
      </w:pPr>
      <w:r>
        <w:rPr>
          <w:rFonts w:ascii="Times New Roman" w:hAnsi="Times New Roman"/>
        </w:rPr>
        <w:t>разучивание и исполнение тематических песен к ближайшему празднику;</w:t>
      </w:r>
    </w:p>
    <w:p w14:paraId="4F410980">
      <w:pPr>
        <w:spacing w:after="0" w:line="360" w:lineRule="auto"/>
        <w:ind w:firstLine="851"/>
        <w:jc w:val="both"/>
        <w:rPr>
          <w:rFonts w:ascii="Times New Roman" w:hAnsi="Times New Roman"/>
        </w:rPr>
      </w:pPr>
      <w:r>
        <w:rPr>
          <w:rFonts w:ascii="Times New Roman" w:hAnsi="Times New Roman"/>
        </w:rPr>
        <w:t>проблемная ситуация: почему на праздниках обязательно звучит музыка;</w:t>
      </w:r>
    </w:p>
    <w:p w14:paraId="0B2499F6">
      <w:pPr>
        <w:spacing w:after="0" w:line="360" w:lineRule="auto"/>
        <w:ind w:firstLine="851"/>
        <w:jc w:val="both"/>
        <w:rPr>
          <w:rFonts w:ascii="Times New Roman" w:hAnsi="Times New Roman"/>
        </w:rPr>
      </w:pPr>
      <w:r>
        <w:rPr>
          <w:rFonts w:ascii="Times New Roman" w:hAnsi="Times New Roman"/>
        </w:rPr>
        <w:t>вариативно: запись видеооткрытки с музыкальным поздравлением; групповые творческие шутливые двигательные импровизации «Цирковая труппа».</w:t>
      </w:r>
    </w:p>
    <w:p w14:paraId="073D2F30">
      <w:pPr>
        <w:spacing w:after="0" w:line="360" w:lineRule="auto"/>
        <w:ind w:firstLine="851"/>
        <w:jc w:val="both"/>
        <w:rPr>
          <w:rFonts w:ascii="Times New Roman" w:hAnsi="Times New Roman"/>
        </w:rPr>
      </w:pPr>
      <w:r>
        <w:rPr>
          <w:rFonts w:ascii="Times New Roman" w:hAnsi="Times New Roman"/>
        </w:rPr>
        <w:t>14.6.3.5. Танцы, игры и веселье.</w:t>
      </w:r>
    </w:p>
    <w:p w14:paraId="5FBEBF7A">
      <w:pPr>
        <w:spacing w:after="0" w:line="360" w:lineRule="auto"/>
        <w:ind w:firstLine="851"/>
        <w:jc w:val="both"/>
        <w:rPr>
          <w:rFonts w:ascii="Times New Roman" w:hAnsi="Times New Roman"/>
        </w:rPr>
      </w:pPr>
      <w:r>
        <w:rPr>
          <w:rFonts w:ascii="Times New Roman" w:hAnsi="Times New Roman"/>
        </w:rPr>
        <w:t>Содержание: музыка – игра звуками. Танец – искусство и радость движения. Примеры популярных танцев.</w:t>
      </w:r>
    </w:p>
    <w:p w14:paraId="364AB749">
      <w:pPr>
        <w:spacing w:after="0" w:line="360" w:lineRule="auto"/>
        <w:ind w:firstLine="851"/>
        <w:jc w:val="both"/>
        <w:rPr>
          <w:rFonts w:ascii="Times New Roman" w:hAnsi="Times New Roman"/>
        </w:rPr>
      </w:pPr>
      <w:r>
        <w:rPr>
          <w:rFonts w:ascii="Times New Roman" w:hAnsi="Times New Roman"/>
        </w:rPr>
        <w:t>Виды деятельности обучающихся:</w:t>
      </w:r>
    </w:p>
    <w:p w14:paraId="48DA9D54">
      <w:pPr>
        <w:spacing w:after="0" w:line="360" w:lineRule="auto"/>
        <w:ind w:firstLine="851"/>
        <w:jc w:val="both"/>
        <w:rPr>
          <w:rFonts w:ascii="Times New Roman" w:hAnsi="Times New Roman"/>
        </w:rPr>
      </w:pPr>
      <w:r>
        <w:rPr>
          <w:rFonts w:ascii="Times New Roman" w:hAnsi="Times New Roman"/>
        </w:rPr>
        <w:t>слушание, исполнение музыки скерцозного характера;</w:t>
      </w:r>
    </w:p>
    <w:p w14:paraId="0F1993E6">
      <w:pPr>
        <w:spacing w:after="0" w:line="360" w:lineRule="auto"/>
        <w:ind w:firstLine="851"/>
        <w:jc w:val="both"/>
        <w:rPr>
          <w:rFonts w:ascii="Times New Roman" w:hAnsi="Times New Roman"/>
        </w:rPr>
      </w:pPr>
      <w:r>
        <w:rPr>
          <w:rFonts w:ascii="Times New Roman" w:hAnsi="Times New Roman"/>
        </w:rPr>
        <w:t>разучивание, исполнение танцевальных движений;</w:t>
      </w:r>
    </w:p>
    <w:p w14:paraId="78A4DB4D">
      <w:pPr>
        <w:spacing w:after="0" w:line="360" w:lineRule="auto"/>
        <w:ind w:firstLine="851"/>
        <w:jc w:val="both"/>
        <w:rPr>
          <w:rFonts w:ascii="Times New Roman" w:hAnsi="Times New Roman"/>
        </w:rPr>
      </w:pPr>
      <w:r>
        <w:rPr>
          <w:rFonts w:ascii="Times New Roman" w:hAnsi="Times New Roman"/>
        </w:rPr>
        <w:t>танец-игра;</w:t>
      </w:r>
    </w:p>
    <w:p w14:paraId="5022323E">
      <w:pPr>
        <w:spacing w:after="0" w:line="360" w:lineRule="auto"/>
        <w:ind w:firstLine="851"/>
        <w:jc w:val="both"/>
        <w:rPr>
          <w:rFonts w:ascii="Times New Roman" w:hAnsi="Times New Roman"/>
        </w:rPr>
      </w:pPr>
      <w:r>
        <w:rPr>
          <w:rFonts w:ascii="Times New Roman" w:hAnsi="Times New Roman"/>
        </w:rPr>
        <w:t>рефлексия собственного эмоционального состояния после участия в танцевальных композициях и импровизациях;</w:t>
      </w:r>
    </w:p>
    <w:p w14:paraId="329A5C59">
      <w:pPr>
        <w:spacing w:after="0" w:line="360" w:lineRule="auto"/>
        <w:ind w:firstLine="851"/>
        <w:jc w:val="both"/>
        <w:rPr>
          <w:rFonts w:ascii="Times New Roman" w:hAnsi="Times New Roman"/>
        </w:rPr>
      </w:pPr>
      <w:r>
        <w:rPr>
          <w:rFonts w:ascii="Times New Roman" w:hAnsi="Times New Roman"/>
        </w:rPr>
        <w:t>проблемная ситуация: зачем люди танцуют;</w:t>
      </w:r>
    </w:p>
    <w:p w14:paraId="742A7CAA">
      <w:pPr>
        <w:spacing w:after="0" w:line="360" w:lineRule="auto"/>
        <w:ind w:firstLine="851"/>
        <w:jc w:val="both"/>
        <w:rPr>
          <w:rFonts w:ascii="Times New Roman" w:hAnsi="Times New Roman"/>
        </w:rPr>
      </w:pPr>
      <w:r>
        <w:rPr>
          <w:rFonts w:ascii="Times New Roman" w:hAnsi="Times New Roman"/>
        </w:rPr>
        <w:t>ритмическая импровизация в стиле определённого танцевального жанра;</w:t>
      </w:r>
    </w:p>
    <w:p w14:paraId="184632B3">
      <w:pPr>
        <w:spacing w:after="0" w:line="360" w:lineRule="auto"/>
        <w:ind w:firstLine="851"/>
        <w:jc w:val="both"/>
        <w:rPr>
          <w:rFonts w:ascii="Times New Roman" w:hAnsi="Times New Roman"/>
        </w:rPr>
      </w:pPr>
      <w:r>
        <w:rPr>
          <w:rFonts w:ascii="Times New Roman" w:hAnsi="Times New Roman"/>
        </w:rPr>
        <w:t>14.6.3.6. Музыка на войне, музыка о войне.</w:t>
      </w:r>
    </w:p>
    <w:p w14:paraId="32560A8F">
      <w:pPr>
        <w:spacing w:after="0" w:line="360" w:lineRule="auto"/>
        <w:ind w:firstLine="851"/>
        <w:jc w:val="both"/>
        <w:rPr>
          <w:rFonts w:ascii="Times New Roman" w:hAnsi="Times New Roman"/>
        </w:rPr>
      </w:pPr>
      <w:r>
        <w:rPr>
          <w:rFonts w:ascii="Times New Roman" w:hAnsi="Times New Roman"/>
        </w:rPr>
        <w:t>Содержание: военная тема в музыкальном искусстве. Военные песни, марши, интонации, ритмы, тембры (призывная кварта, пунктирный ритм, тембры малого барабана, трубы). Песни Великой Отечественной войны – песни Великой Победы.</w:t>
      </w:r>
    </w:p>
    <w:p w14:paraId="1EEE9A35">
      <w:pPr>
        <w:spacing w:after="0" w:line="360" w:lineRule="auto"/>
        <w:ind w:firstLine="851"/>
        <w:jc w:val="both"/>
        <w:rPr>
          <w:rFonts w:ascii="Times New Roman" w:hAnsi="Times New Roman"/>
        </w:rPr>
      </w:pPr>
      <w:r>
        <w:rPr>
          <w:rFonts w:ascii="Times New Roman" w:hAnsi="Times New Roman"/>
        </w:rPr>
        <w:t>Виды деятельности обучающихся:</w:t>
      </w:r>
    </w:p>
    <w:p w14:paraId="55806191">
      <w:pPr>
        <w:spacing w:after="0" w:line="360" w:lineRule="auto"/>
        <w:ind w:firstLine="851"/>
        <w:jc w:val="both"/>
        <w:rPr>
          <w:rFonts w:ascii="Times New Roman" w:hAnsi="Times New Roman"/>
        </w:rPr>
      </w:pPr>
      <w:r>
        <w:rPr>
          <w:rFonts w:ascii="Times New Roman" w:hAnsi="Times New Roman"/>
        </w:rPr>
        <w:t>чтение учебных и художественных текстов, посвящённых песням Великой Отечественной войны;</w:t>
      </w:r>
    </w:p>
    <w:p w14:paraId="523BF370">
      <w:pPr>
        <w:spacing w:after="0" w:line="360" w:lineRule="auto"/>
        <w:ind w:firstLine="851"/>
        <w:jc w:val="both"/>
        <w:rPr>
          <w:rFonts w:ascii="Times New Roman" w:hAnsi="Times New Roman"/>
        </w:rPr>
      </w:pPr>
      <w:r>
        <w:rPr>
          <w:rFonts w:ascii="Times New Roman" w:hAnsi="Times New Roman"/>
        </w:rPr>
        <w:t>слушание, исполнение песен Великой Отечественной войны, знакомство с историей их сочинения и исполнения;</w:t>
      </w:r>
    </w:p>
    <w:p w14:paraId="5FF76D97">
      <w:pPr>
        <w:spacing w:after="0" w:line="360" w:lineRule="auto"/>
        <w:ind w:firstLine="851"/>
        <w:jc w:val="both"/>
        <w:rPr>
          <w:rFonts w:ascii="Times New Roman" w:hAnsi="Times New Roman"/>
        </w:rPr>
      </w:pPr>
      <w:r>
        <w:rPr>
          <w:rFonts w:ascii="Times New Roman" w:hAnsi="Times New Roman"/>
        </w:rPr>
        <w:t>обсуждение в классе, ответы на вопросы: какие чувства вызывают песни Великой Победы, почему? Как музыка, песни помогали российскому народу одержать победу в Великой Отечественной войне?</w:t>
      </w:r>
    </w:p>
    <w:p w14:paraId="747AECF8">
      <w:pPr>
        <w:spacing w:after="0" w:line="360" w:lineRule="auto"/>
        <w:ind w:firstLine="851"/>
        <w:jc w:val="both"/>
        <w:rPr>
          <w:rFonts w:ascii="Times New Roman" w:hAnsi="Times New Roman"/>
        </w:rPr>
      </w:pPr>
      <w:r>
        <w:rPr>
          <w:rFonts w:ascii="Times New Roman" w:hAnsi="Times New Roman"/>
        </w:rPr>
        <w:t>14.6.3.7. Главный музыкальный символ.</w:t>
      </w:r>
    </w:p>
    <w:p w14:paraId="174018C7">
      <w:pPr>
        <w:spacing w:after="0" w:line="360" w:lineRule="auto"/>
        <w:ind w:firstLine="851"/>
        <w:jc w:val="both"/>
        <w:rPr>
          <w:rFonts w:ascii="Times New Roman" w:hAnsi="Times New Roman"/>
        </w:rPr>
      </w:pPr>
      <w:r>
        <w:rPr>
          <w:rFonts w:ascii="Times New Roman" w:hAnsi="Times New Roman"/>
        </w:rPr>
        <w:t>Содержание: гимн России – главный музыкальный символ нашей страны. Традиции исполнения Гимна России. Другие гимны.</w:t>
      </w:r>
    </w:p>
    <w:p w14:paraId="5BFE8306">
      <w:pPr>
        <w:spacing w:after="0" w:line="360" w:lineRule="auto"/>
        <w:ind w:firstLine="851"/>
        <w:jc w:val="both"/>
        <w:rPr>
          <w:rFonts w:ascii="Times New Roman" w:hAnsi="Times New Roman"/>
        </w:rPr>
      </w:pPr>
      <w:r>
        <w:rPr>
          <w:rFonts w:ascii="Times New Roman" w:hAnsi="Times New Roman"/>
        </w:rPr>
        <w:t>Виды деятельности обучающихся:</w:t>
      </w:r>
    </w:p>
    <w:p w14:paraId="608CD9CD">
      <w:pPr>
        <w:spacing w:after="0" w:line="360" w:lineRule="auto"/>
        <w:ind w:firstLine="851"/>
        <w:jc w:val="both"/>
        <w:rPr>
          <w:rFonts w:ascii="Times New Roman" w:hAnsi="Times New Roman"/>
        </w:rPr>
      </w:pPr>
      <w:r>
        <w:rPr>
          <w:rFonts w:ascii="Times New Roman" w:hAnsi="Times New Roman"/>
        </w:rPr>
        <w:t>разучивание, исполнение Гимна Российской Федерации;</w:t>
      </w:r>
    </w:p>
    <w:p w14:paraId="0A7A7695">
      <w:pPr>
        <w:spacing w:after="0" w:line="360" w:lineRule="auto"/>
        <w:ind w:firstLine="851"/>
        <w:jc w:val="both"/>
        <w:rPr>
          <w:rFonts w:ascii="Times New Roman" w:hAnsi="Times New Roman"/>
        </w:rPr>
      </w:pPr>
      <w:r>
        <w:rPr>
          <w:rFonts w:ascii="Times New Roman" w:hAnsi="Times New Roman"/>
        </w:rPr>
        <w:t>знакомство с историей создания, правилами исполнения;</w:t>
      </w:r>
    </w:p>
    <w:p w14:paraId="013D9E06">
      <w:pPr>
        <w:spacing w:after="0" w:line="360" w:lineRule="auto"/>
        <w:ind w:firstLine="851"/>
        <w:jc w:val="both"/>
        <w:rPr>
          <w:rFonts w:ascii="Times New Roman" w:hAnsi="Times New Roman"/>
        </w:rPr>
      </w:pPr>
      <w:r>
        <w:rPr>
          <w:rFonts w:ascii="Times New Roman" w:hAnsi="Times New Roman"/>
        </w:rPr>
        <w:t>просмотр видеозаписей парада, церемонии награждения спортсменов;</w:t>
      </w:r>
    </w:p>
    <w:p w14:paraId="616EEC99">
      <w:pPr>
        <w:spacing w:after="0" w:line="360" w:lineRule="auto"/>
        <w:ind w:firstLine="851"/>
        <w:jc w:val="both"/>
        <w:rPr>
          <w:rFonts w:ascii="Times New Roman" w:hAnsi="Times New Roman"/>
        </w:rPr>
      </w:pPr>
      <w:r>
        <w:rPr>
          <w:rFonts w:ascii="Times New Roman" w:hAnsi="Times New Roman"/>
        </w:rPr>
        <w:t>чувство гордости, понятия достоинства и чести;</w:t>
      </w:r>
    </w:p>
    <w:p w14:paraId="17087B1F">
      <w:pPr>
        <w:spacing w:after="0" w:line="360" w:lineRule="auto"/>
        <w:ind w:firstLine="851"/>
        <w:jc w:val="both"/>
        <w:rPr>
          <w:rFonts w:ascii="Times New Roman" w:hAnsi="Times New Roman"/>
        </w:rPr>
      </w:pPr>
      <w:r>
        <w:rPr>
          <w:rFonts w:ascii="Times New Roman" w:hAnsi="Times New Roman"/>
        </w:rPr>
        <w:t>обсуждение этических вопросов, связанных с государственными символами страны;</w:t>
      </w:r>
    </w:p>
    <w:p w14:paraId="48627F85">
      <w:pPr>
        <w:spacing w:after="0" w:line="360" w:lineRule="auto"/>
        <w:ind w:firstLine="851"/>
        <w:jc w:val="both"/>
        <w:rPr>
          <w:rFonts w:ascii="Times New Roman" w:hAnsi="Times New Roman"/>
        </w:rPr>
      </w:pPr>
      <w:r>
        <w:rPr>
          <w:rFonts w:ascii="Times New Roman" w:hAnsi="Times New Roman"/>
        </w:rPr>
        <w:t>разучивание, исполнение Гимна своей республики, города, школы.</w:t>
      </w:r>
    </w:p>
    <w:p w14:paraId="10B4601C">
      <w:pPr>
        <w:spacing w:after="0" w:line="360" w:lineRule="auto"/>
        <w:ind w:firstLine="851"/>
        <w:jc w:val="both"/>
        <w:rPr>
          <w:rFonts w:ascii="Times New Roman" w:hAnsi="Times New Roman"/>
        </w:rPr>
      </w:pPr>
      <w:r>
        <w:rPr>
          <w:rFonts w:ascii="Times New Roman" w:hAnsi="Times New Roman"/>
        </w:rPr>
        <w:t>14.6.3.8. Искусство времени.</w:t>
      </w:r>
    </w:p>
    <w:p w14:paraId="4E66CFB8">
      <w:pPr>
        <w:spacing w:after="0" w:line="360" w:lineRule="auto"/>
        <w:ind w:firstLine="851"/>
        <w:jc w:val="both"/>
        <w:rPr>
          <w:rFonts w:ascii="Times New Roman" w:hAnsi="Times New Roman"/>
        </w:rPr>
      </w:pPr>
      <w:r>
        <w:rPr>
          <w:rFonts w:ascii="Times New Roman" w:hAnsi="Times New Roman"/>
        </w:rPr>
        <w:t>Содержание: музыка – временное искусство. Погружение в поток музыкального звучания. Музыкальные образы движения, изменения и развития.</w:t>
      </w:r>
    </w:p>
    <w:p w14:paraId="1D234D4C">
      <w:pPr>
        <w:spacing w:after="0" w:line="360" w:lineRule="auto"/>
        <w:ind w:firstLine="851"/>
        <w:jc w:val="both"/>
        <w:rPr>
          <w:rFonts w:ascii="Times New Roman" w:hAnsi="Times New Roman"/>
        </w:rPr>
      </w:pPr>
      <w:r>
        <w:rPr>
          <w:rFonts w:ascii="Times New Roman" w:hAnsi="Times New Roman"/>
        </w:rPr>
        <w:t>Виды деятельности обучающихся:</w:t>
      </w:r>
    </w:p>
    <w:p w14:paraId="6EB4D16F">
      <w:pPr>
        <w:spacing w:after="0" w:line="360" w:lineRule="auto"/>
        <w:ind w:firstLine="851"/>
        <w:jc w:val="both"/>
        <w:rPr>
          <w:rFonts w:ascii="Times New Roman" w:hAnsi="Times New Roman"/>
        </w:rPr>
      </w:pPr>
      <w:r>
        <w:rPr>
          <w:rFonts w:ascii="Times New Roman" w:hAnsi="Times New Roman"/>
        </w:rPr>
        <w:t>слушание, исполнение музыкальных произведений, передающих образ непрерывного движения;</w:t>
      </w:r>
    </w:p>
    <w:p w14:paraId="5BF9A8B4">
      <w:pPr>
        <w:spacing w:after="0" w:line="360" w:lineRule="auto"/>
        <w:ind w:firstLine="851"/>
        <w:jc w:val="both"/>
        <w:rPr>
          <w:rFonts w:ascii="Times New Roman" w:hAnsi="Times New Roman"/>
        </w:rPr>
      </w:pPr>
      <w:r>
        <w:rPr>
          <w:rFonts w:ascii="Times New Roman" w:hAnsi="Times New Roman"/>
        </w:rPr>
        <w:t>наблюдение за своими телесными реакциями (дыхание, пульс, мышечный тонус) при восприятии музыки;</w:t>
      </w:r>
    </w:p>
    <w:p w14:paraId="224481CD">
      <w:pPr>
        <w:spacing w:after="0" w:line="360" w:lineRule="auto"/>
        <w:ind w:firstLine="851"/>
        <w:jc w:val="both"/>
        <w:rPr>
          <w:rFonts w:ascii="Times New Roman" w:hAnsi="Times New Roman"/>
        </w:rPr>
      </w:pPr>
      <w:r>
        <w:rPr>
          <w:rFonts w:ascii="Times New Roman" w:hAnsi="Times New Roman"/>
        </w:rPr>
        <w:t>проблемная ситуация: как музыка воздействует на человека;</w:t>
      </w:r>
    </w:p>
    <w:p w14:paraId="2018EA95">
      <w:pPr>
        <w:spacing w:after="0" w:line="360" w:lineRule="auto"/>
        <w:ind w:firstLine="851"/>
        <w:jc w:val="both"/>
        <w:rPr>
          <w:rFonts w:ascii="Times New Roman" w:hAnsi="Times New Roman"/>
        </w:rPr>
      </w:pPr>
      <w:r>
        <w:rPr>
          <w:rFonts w:ascii="Times New Roman" w:hAnsi="Times New Roman"/>
        </w:rPr>
        <w:t>вариативно: программная ритмическая или инструментальная импровизация «Поезд», «Космический корабль».</w:t>
      </w:r>
    </w:p>
    <w:p w14:paraId="7FF915E5">
      <w:pPr>
        <w:spacing w:after="0" w:line="360" w:lineRule="auto"/>
        <w:ind w:firstLine="851"/>
        <w:jc w:val="both"/>
        <w:rPr>
          <w:rFonts w:ascii="Times New Roman" w:hAnsi="Times New Roman"/>
        </w:rPr>
      </w:pPr>
      <w:r>
        <w:rPr>
          <w:rFonts w:ascii="Times New Roman" w:hAnsi="Times New Roman"/>
        </w:rPr>
        <w:t>14.7. Планируемые результаты освоения программы по музыке на уровне начального общего образования.</w:t>
      </w:r>
    </w:p>
    <w:p w14:paraId="7F1162BD">
      <w:pPr>
        <w:spacing w:after="0" w:line="360" w:lineRule="auto"/>
        <w:ind w:firstLine="851"/>
        <w:jc w:val="both"/>
        <w:rPr>
          <w:rFonts w:ascii="Times New Roman" w:hAnsi="Times New Roman"/>
        </w:rPr>
      </w:pPr>
      <w:r>
        <w:rPr>
          <w:rFonts w:ascii="Times New Roman" w:hAnsi="Times New Roman"/>
        </w:rPr>
        <w:t>14.7.1. В результате изучения музыки на уровне начального общего образования у обучающегося будут сформированы следующие личностные результаты:</w:t>
      </w:r>
    </w:p>
    <w:p w14:paraId="728F5136">
      <w:pPr>
        <w:spacing w:after="0" w:line="360" w:lineRule="auto"/>
        <w:ind w:firstLine="851"/>
        <w:jc w:val="both"/>
        <w:rPr>
          <w:rFonts w:ascii="Times New Roman" w:hAnsi="Times New Roman"/>
        </w:rPr>
      </w:pPr>
      <w:r>
        <w:rPr>
          <w:rFonts w:ascii="Times New Roman" w:hAnsi="Times New Roman"/>
        </w:rPr>
        <w:t xml:space="preserve">1) в области гражданско-патриотического воспитания: </w:t>
      </w:r>
    </w:p>
    <w:p w14:paraId="7EFA16D0">
      <w:pPr>
        <w:spacing w:after="0" w:line="360" w:lineRule="auto"/>
        <w:ind w:firstLine="851"/>
        <w:jc w:val="both"/>
        <w:rPr>
          <w:rFonts w:ascii="Times New Roman" w:hAnsi="Times New Roman"/>
        </w:rPr>
      </w:pPr>
      <w:r>
        <w:rPr>
          <w:rFonts w:ascii="Times New Roman" w:hAnsi="Times New Roman"/>
        </w:rPr>
        <w:t>осознание российской гражданской идентичности;</w:t>
      </w:r>
    </w:p>
    <w:p w14:paraId="47062077">
      <w:pPr>
        <w:spacing w:after="0" w:line="360" w:lineRule="auto"/>
        <w:ind w:firstLine="851"/>
        <w:jc w:val="both"/>
        <w:rPr>
          <w:rFonts w:ascii="Times New Roman" w:hAnsi="Times New Roman"/>
        </w:rPr>
      </w:pPr>
      <w:r>
        <w:rPr>
          <w:rFonts w:ascii="Times New Roman" w:hAnsi="Times New Roman"/>
        </w:rPr>
        <w:t>знание Гимна России и традиций его исполнения, уважение музыкальных символов и традиций республик Российской Федерации;</w:t>
      </w:r>
    </w:p>
    <w:p w14:paraId="5D18AC1E">
      <w:pPr>
        <w:spacing w:after="0" w:line="360" w:lineRule="auto"/>
        <w:ind w:firstLine="851"/>
        <w:jc w:val="both"/>
        <w:rPr>
          <w:rFonts w:ascii="Times New Roman" w:hAnsi="Times New Roman"/>
        </w:rPr>
      </w:pPr>
      <w:r>
        <w:rPr>
          <w:rFonts w:ascii="Times New Roman" w:hAnsi="Times New Roman"/>
        </w:rPr>
        <w:t>проявление интереса к освоению музыкальных традиций своего края, музыкальной культуры народов России;</w:t>
      </w:r>
    </w:p>
    <w:p w14:paraId="4DB154D4">
      <w:pPr>
        <w:spacing w:after="0" w:line="360" w:lineRule="auto"/>
        <w:ind w:firstLine="851"/>
        <w:jc w:val="both"/>
        <w:rPr>
          <w:rFonts w:ascii="Times New Roman" w:hAnsi="Times New Roman"/>
        </w:rPr>
      </w:pPr>
      <w:r>
        <w:rPr>
          <w:rFonts w:ascii="Times New Roman" w:hAnsi="Times New Roman"/>
        </w:rPr>
        <w:t>уважение к достижениям отечественных мастеров культуры;</w:t>
      </w:r>
    </w:p>
    <w:p w14:paraId="675ADB51">
      <w:pPr>
        <w:spacing w:after="0" w:line="360" w:lineRule="auto"/>
        <w:ind w:firstLine="851"/>
        <w:jc w:val="both"/>
        <w:rPr>
          <w:rFonts w:ascii="Times New Roman" w:hAnsi="Times New Roman"/>
        </w:rPr>
      </w:pPr>
      <w:r>
        <w:rPr>
          <w:rFonts w:ascii="Times New Roman" w:hAnsi="Times New Roman"/>
        </w:rPr>
        <w:t>стремление участвовать в творческой жизни своей школы, города, республики;</w:t>
      </w:r>
    </w:p>
    <w:p w14:paraId="54668D62">
      <w:pPr>
        <w:spacing w:after="0" w:line="360" w:lineRule="auto"/>
        <w:ind w:firstLine="851"/>
        <w:jc w:val="both"/>
        <w:rPr>
          <w:rFonts w:ascii="Times New Roman" w:hAnsi="Times New Roman"/>
        </w:rPr>
      </w:pPr>
      <w:r>
        <w:rPr>
          <w:rFonts w:ascii="Times New Roman" w:hAnsi="Times New Roman"/>
        </w:rPr>
        <w:t>2) в области духовно-нравственного воспитания:</w:t>
      </w:r>
    </w:p>
    <w:p w14:paraId="2FEB3C44">
      <w:pPr>
        <w:spacing w:after="0" w:line="360" w:lineRule="auto"/>
        <w:ind w:firstLine="851"/>
        <w:jc w:val="both"/>
        <w:rPr>
          <w:rFonts w:ascii="Times New Roman" w:hAnsi="Times New Roman"/>
        </w:rPr>
      </w:pPr>
      <w:r>
        <w:rPr>
          <w:rFonts w:ascii="Times New Roman" w:hAnsi="Times New Roman"/>
        </w:rPr>
        <w:t>признание индивидуальности каждого человека;</w:t>
      </w:r>
    </w:p>
    <w:p w14:paraId="058B7962">
      <w:pPr>
        <w:spacing w:after="0" w:line="360" w:lineRule="auto"/>
        <w:ind w:firstLine="851"/>
        <w:jc w:val="both"/>
        <w:rPr>
          <w:rFonts w:ascii="Times New Roman" w:hAnsi="Times New Roman"/>
        </w:rPr>
      </w:pPr>
      <w:r>
        <w:rPr>
          <w:rFonts w:ascii="Times New Roman" w:hAnsi="Times New Roman"/>
        </w:rPr>
        <w:t>проявление сопереживания, уважения и доброжелательности;</w:t>
      </w:r>
    </w:p>
    <w:p w14:paraId="05EC3237">
      <w:pPr>
        <w:spacing w:after="0" w:line="360" w:lineRule="auto"/>
        <w:ind w:firstLine="851"/>
        <w:jc w:val="both"/>
        <w:rPr>
          <w:rFonts w:ascii="Times New Roman" w:hAnsi="Times New Roman"/>
        </w:rPr>
      </w:pPr>
      <w:r>
        <w:rPr>
          <w:rFonts w:ascii="Times New Roman" w:hAnsi="Times New Roman"/>
        </w:rPr>
        <w:t>готовность придерживаться принципов взаимопомощи и творческого сотрудничества в процессе непосредственной музыкальной и учебной деятельности;</w:t>
      </w:r>
    </w:p>
    <w:p w14:paraId="7A709454">
      <w:pPr>
        <w:spacing w:after="0" w:line="360" w:lineRule="auto"/>
        <w:ind w:firstLine="851"/>
        <w:jc w:val="both"/>
        <w:rPr>
          <w:rFonts w:ascii="Times New Roman" w:hAnsi="Times New Roman"/>
        </w:rPr>
      </w:pPr>
      <w:r>
        <w:rPr>
          <w:rFonts w:ascii="Times New Roman" w:hAnsi="Times New Roman"/>
        </w:rPr>
        <w:t>3) в области эстетического воспитания:</w:t>
      </w:r>
    </w:p>
    <w:p w14:paraId="0210B624">
      <w:pPr>
        <w:spacing w:after="0" w:line="360" w:lineRule="auto"/>
        <w:ind w:firstLine="851"/>
        <w:jc w:val="both"/>
        <w:rPr>
          <w:rFonts w:ascii="Times New Roman" w:hAnsi="Times New Roman"/>
        </w:rPr>
      </w:pPr>
      <w:r>
        <w:rPr>
          <w:rFonts w:ascii="Times New Roman" w:hAnsi="Times New Roman"/>
        </w:rPr>
        <w:t>восприимчивость к различным видам искусства, музыкальным традициям и творчеству своего и других народов;</w:t>
      </w:r>
    </w:p>
    <w:p w14:paraId="3C64EA0F">
      <w:pPr>
        <w:spacing w:after="0" w:line="360" w:lineRule="auto"/>
        <w:ind w:firstLine="851"/>
        <w:jc w:val="both"/>
        <w:rPr>
          <w:rFonts w:ascii="Times New Roman" w:hAnsi="Times New Roman"/>
        </w:rPr>
      </w:pPr>
      <w:r>
        <w:rPr>
          <w:rFonts w:ascii="Times New Roman" w:hAnsi="Times New Roman"/>
        </w:rPr>
        <w:t>умение видеть прекрасное в жизни, наслаждаться красотой;</w:t>
      </w:r>
    </w:p>
    <w:p w14:paraId="0BE239AF">
      <w:pPr>
        <w:spacing w:after="0" w:line="360" w:lineRule="auto"/>
        <w:ind w:firstLine="851"/>
        <w:jc w:val="both"/>
        <w:rPr>
          <w:rFonts w:ascii="Times New Roman" w:hAnsi="Times New Roman"/>
        </w:rPr>
      </w:pPr>
      <w:r>
        <w:rPr>
          <w:rFonts w:ascii="Times New Roman" w:hAnsi="Times New Roman"/>
        </w:rPr>
        <w:t>стремление к самовыражению в разных видах искусства;</w:t>
      </w:r>
    </w:p>
    <w:p w14:paraId="0DA75837">
      <w:pPr>
        <w:spacing w:after="0" w:line="360" w:lineRule="auto"/>
        <w:ind w:firstLine="851"/>
        <w:jc w:val="both"/>
        <w:rPr>
          <w:rFonts w:ascii="Times New Roman" w:hAnsi="Times New Roman"/>
        </w:rPr>
      </w:pPr>
      <w:r>
        <w:rPr>
          <w:rFonts w:ascii="Times New Roman" w:hAnsi="Times New Roman"/>
        </w:rPr>
        <w:t xml:space="preserve">4) в области научного познания: </w:t>
      </w:r>
    </w:p>
    <w:p w14:paraId="3E2577F2">
      <w:pPr>
        <w:spacing w:after="0" w:line="360" w:lineRule="auto"/>
        <w:ind w:firstLine="851"/>
        <w:jc w:val="both"/>
        <w:rPr>
          <w:rFonts w:ascii="Times New Roman" w:hAnsi="Times New Roman"/>
        </w:rPr>
      </w:pPr>
      <w:r>
        <w:rPr>
          <w:rFonts w:ascii="Times New Roman" w:hAnsi="Times New Roman"/>
        </w:rPr>
        <w:t>первоначальные представления о единстве и особенностях художественной и научной картины мира;</w:t>
      </w:r>
    </w:p>
    <w:p w14:paraId="5B1A03FC">
      <w:pPr>
        <w:spacing w:after="0" w:line="360" w:lineRule="auto"/>
        <w:ind w:firstLine="851"/>
        <w:jc w:val="both"/>
        <w:rPr>
          <w:rFonts w:ascii="Times New Roman" w:hAnsi="Times New Roman"/>
        </w:rPr>
      </w:pPr>
      <w:r>
        <w:rPr>
          <w:rFonts w:ascii="Times New Roman" w:hAnsi="Times New Roman"/>
        </w:rPr>
        <w:t>познавательные интересы, активность, инициативность, любознательность и самостоятельность в познании;</w:t>
      </w:r>
    </w:p>
    <w:p w14:paraId="5FDB15B0">
      <w:pPr>
        <w:spacing w:after="0" w:line="360" w:lineRule="auto"/>
        <w:ind w:firstLine="851"/>
        <w:jc w:val="both"/>
        <w:rPr>
          <w:rFonts w:ascii="Times New Roman" w:hAnsi="Times New Roman"/>
        </w:rPr>
      </w:pPr>
      <w:r>
        <w:rPr>
          <w:rFonts w:ascii="Times New Roman" w:hAnsi="Times New Roman"/>
        </w:rPr>
        <w:t>5) в области физического воспитания, формирования культуры здоровья и эмоционального благополучия:</w:t>
      </w:r>
    </w:p>
    <w:p w14:paraId="123D714E">
      <w:pPr>
        <w:spacing w:after="0" w:line="360" w:lineRule="auto"/>
        <w:ind w:firstLine="851"/>
        <w:jc w:val="both"/>
        <w:rPr>
          <w:rFonts w:ascii="Times New Roman" w:hAnsi="Times New Roman"/>
        </w:rPr>
      </w:pPr>
      <w:r>
        <w:rPr>
          <w:rFonts w:ascii="Times New Roman" w:hAnsi="Times New Roman"/>
        </w:rPr>
        <w:t>знание правил здорового и безопасного (для себя и других людей) образа жизни в окружающей среде и готовность к их выполнению;</w:t>
      </w:r>
    </w:p>
    <w:p w14:paraId="1EDB9E7B">
      <w:pPr>
        <w:spacing w:after="0" w:line="360" w:lineRule="auto"/>
        <w:ind w:firstLine="851"/>
        <w:jc w:val="both"/>
        <w:rPr>
          <w:rFonts w:ascii="Times New Roman" w:hAnsi="Times New Roman"/>
        </w:rPr>
      </w:pPr>
      <w:r>
        <w:rPr>
          <w:rFonts w:ascii="Times New Roman" w:hAnsi="Times New Roman"/>
        </w:rPr>
        <w:t>бережное отношение к физиологическим системам организма, задействованным в музыкально-исполнительской деятельности (дыхание, артикуляция, музыкальный слух, голос);</w:t>
      </w:r>
    </w:p>
    <w:p w14:paraId="7A09E57C">
      <w:pPr>
        <w:spacing w:after="0" w:line="360" w:lineRule="auto"/>
        <w:ind w:firstLine="851"/>
        <w:jc w:val="both"/>
        <w:rPr>
          <w:rFonts w:ascii="Times New Roman" w:hAnsi="Times New Roman"/>
        </w:rPr>
      </w:pPr>
      <w:r>
        <w:rPr>
          <w:rFonts w:ascii="Times New Roman" w:hAnsi="Times New Roman"/>
        </w:rPr>
        <w:t>профилактика умственного и физического утомления с использованием возможностей музыкотерапии;</w:t>
      </w:r>
    </w:p>
    <w:p w14:paraId="53B0C15C">
      <w:pPr>
        <w:spacing w:after="0" w:line="360" w:lineRule="auto"/>
        <w:ind w:firstLine="851"/>
        <w:jc w:val="both"/>
        <w:rPr>
          <w:rFonts w:ascii="Times New Roman" w:hAnsi="Times New Roman"/>
        </w:rPr>
      </w:pPr>
      <w:r>
        <w:rPr>
          <w:rFonts w:ascii="Times New Roman" w:hAnsi="Times New Roman"/>
        </w:rPr>
        <w:t>6) в области трудового воспитания:</w:t>
      </w:r>
    </w:p>
    <w:p w14:paraId="09BB29C7">
      <w:pPr>
        <w:spacing w:after="0" w:line="360" w:lineRule="auto"/>
        <w:ind w:firstLine="851"/>
        <w:jc w:val="both"/>
        <w:rPr>
          <w:rFonts w:ascii="Times New Roman" w:hAnsi="Times New Roman"/>
        </w:rPr>
      </w:pPr>
      <w:r>
        <w:rPr>
          <w:rFonts w:ascii="Times New Roman" w:hAnsi="Times New Roman"/>
        </w:rPr>
        <w:t>установка на посильное активное участие в практической деятельности;</w:t>
      </w:r>
    </w:p>
    <w:p w14:paraId="265F3304">
      <w:pPr>
        <w:spacing w:after="0" w:line="360" w:lineRule="auto"/>
        <w:ind w:firstLine="851"/>
        <w:jc w:val="both"/>
        <w:rPr>
          <w:rFonts w:ascii="Times New Roman" w:hAnsi="Times New Roman"/>
        </w:rPr>
      </w:pPr>
      <w:r>
        <w:rPr>
          <w:rFonts w:ascii="Times New Roman" w:hAnsi="Times New Roman"/>
        </w:rPr>
        <w:t>трудолюбие в учёбе, настойчивость в достижении поставленных целей;</w:t>
      </w:r>
    </w:p>
    <w:p w14:paraId="41C727AD">
      <w:pPr>
        <w:spacing w:after="0" w:line="360" w:lineRule="auto"/>
        <w:ind w:firstLine="851"/>
        <w:jc w:val="both"/>
        <w:rPr>
          <w:rFonts w:ascii="Times New Roman" w:hAnsi="Times New Roman"/>
        </w:rPr>
      </w:pPr>
      <w:r>
        <w:rPr>
          <w:rFonts w:ascii="Times New Roman" w:hAnsi="Times New Roman"/>
        </w:rPr>
        <w:t>интерес к практическому изучению профессий в сфере культуры и искусства;</w:t>
      </w:r>
    </w:p>
    <w:p w14:paraId="396583C0">
      <w:pPr>
        <w:spacing w:after="0" w:line="360" w:lineRule="auto"/>
        <w:ind w:firstLine="851"/>
        <w:jc w:val="both"/>
        <w:rPr>
          <w:rFonts w:ascii="Times New Roman" w:hAnsi="Times New Roman"/>
        </w:rPr>
      </w:pPr>
      <w:r>
        <w:rPr>
          <w:rFonts w:ascii="Times New Roman" w:hAnsi="Times New Roman"/>
        </w:rPr>
        <w:t>уважение к труду и результатам трудовой деятельности;</w:t>
      </w:r>
    </w:p>
    <w:p w14:paraId="6EAB4164">
      <w:pPr>
        <w:spacing w:after="0" w:line="360" w:lineRule="auto"/>
        <w:ind w:firstLine="851"/>
        <w:jc w:val="both"/>
        <w:rPr>
          <w:rFonts w:ascii="Times New Roman" w:hAnsi="Times New Roman"/>
        </w:rPr>
      </w:pPr>
      <w:r>
        <w:rPr>
          <w:rFonts w:ascii="Times New Roman" w:hAnsi="Times New Roman"/>
        </w:rPr>
        <w:t>7) в области экологического воспитания:</w:t>
      </w:r>
    </w:p>
    <w:p w14:paraId="56D270FF">
      <w:pPr>
        <w:spacing w:after="0" w:line="360" w:lineRule="auto"/>
        <w:ind w:firstLine="851"/>
        <w:jc w:val="both"/>
        <w:rPr>
          <w:rFonts w:ascii="Times New Roman" w:hAnsi="Times New Roman"/>
        </w:rPr>
      </w:pPr>
      <w:r>
        <w:rPr>
          <w:rFonts w:ascii="Times New Roman" w:hAnsi="Times New Roman"/>
        </w:rPr>
        <w:t>бережное отношение к природе; неприятие действий, приносящих ей вред.</w:t>
      </w:r>
    </w:p>
    <w:p w14:paraId="3D4ABF85">
      <w:pPr>
        <w:spacing w:after="0" w:line="360" w:lineRule="auto"/>
        <w:ind w:firstLine="851"/>
        <w:jc w:val="both"/>
        <w:rPr>
          <w:rFonts w:ascii="Times New Roman" w:hAnsi="Times New Roman"/>
        </w:rPr>
      </w:pPr>
      <w:r>
        <w:rPr>
          <w:rFonts w:ascii="Times New Roman" w:hAnsi="Times New Roman"/>
        </w:rPr>
        <w:t>14.7.2. В результате изучения музыки на уровне начального общего образования у обучающегося будут сформированы универсальные познавательные учебные действия, универсальные коммуникативные учебные действия, универсальные регулятивные учебные действия.</w:t>
      </w:r>
    </w:p>
    <w:p w14:paraId="4E316188">
      <w:pPr>
        <w:spacing w:after="0" w:line="360" w:lineRule="auto"/>
        <w:ind w:firstLine="851"/>
        <w:jc w:val="both"/>
        <w:rPr>
          <w:rFonts w:ascii="Times New Roman" w:hAnsi="Times New Roman"/>
        </w:rPr>
      </w:pPr>
      <w:r>
        <w:rPr>
          <w:rFonts w:ascii="Times New Roman" w:hAnsi="Times New Roman"/>
        </w:rPr>
        <w:t>14.7.2.1. У обучающегося будут сформированы следующие базовые логические действия как часть универсальных познавательных учебных действий:</w:t>
      </w:r>
    </w:p>
    <w:p w14:paraId="021BBEC2">
      <w:pPr>
        <w:spacing w:after="0" w:line="360" w:lineRule="auto"/>
        <w:ind w:firstLine="851"/>
        <w:jc w:val="both"/>
        <w:rPr>
          <w:rFonts w:ascii="Times New Roman" w:hAnsi="Times New Roman"/>
        </w:rPr>
      </w:pPr>
      <w:r>
        <w:rPr>
          <w:rFonts w:ascii="Times New Roman" w:hAnsi="Times New Roman"/>
        </w:rPr>
        <w:t>сравнивать музыкальные звуки, звуковые сочетания, произведения, жанры, устанавливать основания для сравнения, объединять элементы музыкального звучания по определённому признаку;</w:t>
      </w:r>
    </w:p>
    <w:p w14:paraId="7C98FEBC">
      <w:pPr>
        <w:spacing w:after="0" w:line="360" w:lineRule="auto"/>
        <w:ind w:firstLine="851"/>
        <w:jc w:val="both"/>
        <w:rPr>
          <w:rFonts w:ascii="Times New Roman" w:hAnsi="Times New Roman"/>
        </w:rPr>
      </w:pPr>
      <w:r>
        <w:rPr>
          <w:rFonts w:ascii="Times New Roman" w:hAnsi="Times New Roman"/>
        </w:rPr>
        <w:t>определять существенный признак для классификации, классифицировать предложенные объекты (музыкальные инструменты, элементы музыкального языка, произведения, исполнительские составы);</w:t>
      </w:r>
    </w:p>
    <w:p w14:paraId="33BBDA66">
      <w:pPr>
        <w:spacing w:after="0" w:line="360" w:lineRule="auto"/>
        <w:ind w:firstLine="851"/>
        <w:jc w:val="both"/>
        <w:rPr>
          <w:rFonts w:ascii="Times New Roman" w:hAnsi="Times New Roman"/>
        </w:rPr>
      </w:pPr>
      <w:r>
        <w:rPr>
          <w:rFonts w:ascii="Times New Roman" w:hAnsi="Times New Roman"/>
        </w:rPr>
        <w:t>находить закономерности и противоречия в рассматриваемых явлениях музыкального искусства, сведениях и наблюдениях за звучащим музыкальным материалом на основе предложенного учителем алгоритма;</w:t>
      </w:r>
    </w:p>
    <w:p w14:paraId="598F31EE">
      <w:pPr>
        <w:spacing w:after="0" w:line="360" w:lineRule="auto"/>
        <w:ind w:firstLine="851"/>
        <w:jc w:val="both"/>
        <w:rPr>
          <w:rFonts w:ascii="Times New Roman" w:hAnsi="Times New Roman"/>
        </w:rPr>
      </w:pPr>
      <w:r>
        <w:rPr>
          <w:rFonts w:ascii="Times New Roman" w:hAnsi="Times New Roman"/>
        </w:rPr>
        <w:t>выявлять недостаток информации, в том числе слуховой, акустической для решения учебной (практической) задачи на основе предложенного алгоритма;</w:t>
      </w:r>
    </w:p>
    <w:p w14:paraId="61136EE6">
      <w:pPr>
        <w:spacing w:after="0" w:line="360" w:lineRule="auto"/>
        <w:ind w:firstLine="851"/>
        <w:jc w:val="both"/>
        <w:rPr>
          <w:rFonts w:ascii="Times New Roman" w:hAnsi="Times New Roman"/>
        </w:rPr>
      </w:pPr>
      <w:r>
        <w:rPr>
          <w:rFonts w:ascii="Times New Roman" w:hAnsi="Times New Roman"/>
        </w:rPr>
        <w:t>устанавливать причинно-следственные связи в ситуациях музыкального восприятия и исполнения, делать выводы.</w:t>
      </w:r>
    </w:p>
    <w:p w14:paraId="289D79F5">
      <w:pPr>
        <w:spacing w:after="0" w:line="360" w:lineRule="auto"/>
        <w:ind w:firstLine="851"/>
        <w:jc w:val="both"/>
        <w:rPr>
          <w:rFonts w:ascii="Times New Roman" w:hAnsi="Times New Roman"/>
        </w:rPr>
      </w:pPr>
      <w:r>
        <w:rPr>
          <w:rFonts w:ascii="Times New Roman" w:hAnsi="Times New Roman"/>
        </w:rPr>
        <w:t>14.7.2.2. У обучающегося будут сформированы следующие базовые исследовательские действия как часть универсальных познавательных учебных действий:</w:t>
      </w:r>
    </w:p>
    <w:p w14:paraId="1920ACFF">
      <w:pPr>
        <w:spacing w:after="0" w:line="360" w:lineRule="auto"/>
        <w:ind w:firstLine="851"/>
        <w:jc w:val="both"/>
        <w:rPr>
          <w:rFonts w:ascii="Times New Roman" w:hAnsi="Times New Roman"/>
        </w:rPr>
      </w:pPr>
      <w:r>
        <w:rPr>
          <w:rFonts w:ascii="Times New Roman" w:hAnsi="Times New Roman"/>
        </w:rPr>
        <w:t>на основе предложенных учителем вопросов определять разрыв между реальным и желательным состоянием музыкальных явлений, в том числе в отношении собственных музыкально-исполнительских навыков;</w:t>
      </w:r>
    </w:p>
    <w:p w14:paraId="529A76F0">
      <w:pPr>
        <w:spacing w:after="0" w:line="360" w:lineRule="auto"/>
        <w:ind w:firstLine="851"/>
        <w:jc w:val="both"/>
        <w:rPr>
          <w:rFonts w:ascii="Times New Roman" w:hAnsi="Times New Roman"/>
        </w:rPr>
      </w:pPr>
      <w:r>
        <w:rPr>
          <w:rFonts w:ascii="Times New Roman" w:hAnsi="Times New Roman"/>
        </w:rPr>
        <w:t>с помощью учителя формулировать цель выполнения вокальных и слуховых упражнений, планировать изменения результатов своей музыкальной деятельности, ситуации совместного музицирования;</w:t>
      </w:r>
    </w:p>
    <w:p w14:paraId="0A93CACF">
      <w:pPr>
        <w:spacing w:after="0" w:line="360" w:lineRule="auto"/>
        <w:ind w:firstLine="851"/>
        <w:jc w:val="both"/>
        <w:rPr>
          <w:rFonts w:ascii="Times New Roman" w:hAnsi="Times New Roman"/>
        </w:rPr>
      </w:pPr>
      <w:r>
        <w:rPr>
          <w:rFonts w:ascii="Times New Roman" w:hAnsi="Times New Roman"/>
        </w:rPr>
        <w:t>сравнивать несколько вариантов решения творческой, исполнительской задачи, выбирать наиболее подходящий (на основе предложенных критериев);</w:t>
      </w:r>
    </w:p>
    <w:p w14:paraId="07856D44">
      <w:pPr>
        <w:spacing w:after="0" w:line="360" w:lineRule="auto"/>
        <w:ind w:firstLine="851"/>
        <w:jc w:val="both"/>
        <w:rPr>
          <w:rFonts w:ascii="Times New Roman" w:hAnsi="Times New Roman"/>
        </w:rPr>
      </w:pPr>
      <w:r>
        <w:rPr>
          <w:rFonts w:ascii="Times New Roman" w:hAnsi="Times New Roman"/>
        </w:rPr>
        <w:t>проводить по предложенному плану опыт, несложное исследование по установлению особенностей предмета изучения и связей между музыкальными объектами и явлениями (часть – целое, причина – следствие);</w:t>
      </w:r>
    </w:p>
    <w:p w14:paraId="1672F0E9">
      <w:pPr>
        <w:spacing w:after="0" w:line="360" w:lineRule="auto"/>
        <w:ind w:firstLine="851"/>
        <w:jc w:val="both"/>
        <w:rPr>
          <w:rFonts w:ascii="Times New Roman" w:hAnsi="Times New Roman"/>
        </w:rPr>
      </w:pPr>
      <w:r>
        <w:rPr>
          <w:rFonts w:ascii="Times New Roman" w:hAnsi="Times New Roman"/>
        </w:rPr>
        <w:t>формулировать выводы и подкреплять их доказательствами на основе результатов проведённого наблюдения (в том числе в форме двигательного моделирования, звукового эксперимента, классификации, сравнения, исследования);</w:t>
      </w:r>
    </w:p>
    <w:p w14:paraId="06F10CDD">
      <w:pPr>
        <w:spacing w:after="0" w:line="360" w:lineRule="auto"/>
        <w:ind w:firstLine="851"/>
        <w:jc w:val="both"/>
        <w:rPr>
          <w:rFonts w:ascii="Times New Roman" w:hAnsi="Times New Roman"/>
        </w:rPr>
      </w:pPr>
      <w:r>
        <w:rPr>
          <w:rFonts w:ascii="Times New Roman" w:hAnsi="Times New Roman"/>
        </w:rPr>
        <w:t>прогнозировать возможное развитие музыкального процесса, эволюции культурных явлений в различных условиях.</w:t>
      </w:r>
    </w:p>
    <w:p w14:paraId="7832C73C">
      <w:pPr>
        <w:spacing w:after="0" w:line="360" w:lineRule="auto"/>
        <w:ind w:firstLine="851"/>
        <w:jc w:val="both"/>
        <w:rPr>
          <w:rFonts w:ascii="Times New Roman" w:hAnsi="Times New Roman"/>
        </w:rPr>
      </w:pPr>
      <w:r>
        <w:rPr>
          <w:rFonts w:ascii="Times New Roman" w:hAnsi="Times New Roman"/>
        </w:rPr>
        <w:t>14.7.2.3. У обучающегося будут сформированы умения работать с информацией как часть универсальных познавательных учебных действий:</w:t>
      </w:r>
    </w:p>
    <w:p w14:paraId="4BD01039">
      <w:pPr>
        <w:spacing w:after="0" w:line="360" w:lineRule="auto"/>
        <w:ind w:firstLine="851"/>
        <w:jc w:val="both"/>
        <w:rPr>
          <w:rFonts w:ascii="Times New Roman" w:hAnsi="Times New Roman"/>
        </w:rPr>
      </w:pPr>
      <w:r>
        <w:rPr>
          <w:rFonts w:ascii="Times New Roman" w:hAnsi="Times New Roman"/>
        </w:rPr>
        <w:t>выбирать источник получения информации;</w:t>
      </w:r>
    </w:p>
    <w:p w14:paraId="2002A676">
      <w:pPr>
        <w:spacing w:after="0" w:line="360" w:lineRule="auto"/>
        <w:ind w:firstLine="851"/>
        <w:jc w:val="both"/>
        <w:rPr>
          <w:rFonts w:ascii="Times New Roman" w:hAnsi="Times New Roman"/>
        </w:rPr>
      </w:pPr>
      <w:r>
        <w:rPr>
          <w:rFonts w:ascii="Times New Roman" w:hAnsi="Times New Roman"/>
        </w:rPr>
        <w:t>согласно заданному алгоритму находить в предложенном источнике информацию, представленную в явном виде;</w:t>
      </w:r>
    </w:p>
    <w:p w14:paraId="3C20734E">
      <w:pPr>
        <w:spacing w:after="0" w:line="360" w:lineRule="auto"/>
        <w:ind w:firstLine="851"/>
        <w:jc w:val="both"/>
        <w:rPr>
          <w:rFonts w:ascii="Times New Roman" w:hAnsi="Times New Roman"/>
        </w:rPr>
      </w:pPr>
      <w:r>
        <w:rPr>
          <w:rFonts w:ascii="Times New Roman" w:hAnsi="Times New Roman"/>
        </w:rPr>
        <w:t>распознавать достоверную и недостоверную информацию самостоятельно или на основании предложенного учителем способа её проверки;</w:t>
      </w:r>
    </w:p>
    <w:p w14:paraId="407495BA">
      <w:pPr>
        <w:spacing w:after="0" w:line="360" w:lineRule="auto"/>
        <w:ind w:firstLine="851"/>
        <w:jc w:val="both"/>
        <w:rPr>
          <w:rFonts w:ascii="Times New Roman" w:hAnsi="Times New Roman"/>
        </w:rPr>
      </w:pPr>
      <w:r>
        <w:rPr>
          <w:rFonts w:ascii="Times New Roman" w:hAnsi="Times New Roman"/>
        </w:rPr>
        <w:t>соблюдать с помощью взрослых (учителей, родителей (законных представителей) обучающихся) правила информационной безопасности при поиске информации в Интернете;</w:t>
      </w:r>
    </w:p>
    <w:p w14:paraId="4A3CE42B">
      <w:pPr>
        <w:spacing w:after="0" w:line="360" w:lineRule="auto"/>
        <w:ind w:firstLine="851"/>
        <w:jc w:val="both"/>
        <w:rPr>
          <w:rFonts w:ascii="Times New Roman" w:hAnsi="Times New Roman"/>
        </w:rPr>
      </w:pPr>
      <w:r>
        <w:rPr>
          <w:rFonts w:ascii="Times New Roman" w:hAnsi="Times New Roman"/>
        </w:rPr>
        <w:t>анализировать текстовую, видео-, графическую, звуковую, информацию в соответствии с учебной задачей;</w:t>
      </w:r>
    </w:p>
    <w:p w14:paraId="38B46760">
      <w:pPr>
        <w:spacing w:after="0" w:line="360" w:lineRule="auto"/>
        <w:ind w:firstLine="851"/>
        <w:jc w:val="both"/>
        <w:rPr>
          <w:rFonts w:ascii="Times New Roman" w:hAnsi="Times New Roman"/>
        </w:rPr>
      </w:pPr>
      <w:r>
        <w:rPr>
          <w:rFonts w:ascii="Times New Roman" w:hAnsi="Times New Roman"/>
        </w:rPr>
        <w:t>анализировать музыкальные тексты (акустические и нотные) по предложенному учителем алгоритму;</w:t>
      </w:r>
    </w:p>
    <w:p w14:paraId="3D3953E5">
      <w:pPr>
        <w:spacing w:after="0" w:line="360" w:lineRule="auto"/>
        <w:ind w:firstLine="851"/>
        <w:jc w:val="both"/>
        <w:rPr>
          <w:rFonts w:ascii="Times New Roman" w:hAnsi="Times New Roman"/>
        </w:rPr>
      </w:pPr>
      <w:r>
        <w:rPr>
          <w:rFonts w:ascii="Times New Roman" w:hAnsi="Times New Roman"/>
        </w:rPr>
        <w:t>самостоятельно создавать схемы, таблицы для представления информации.</w:t>
      </w:r>
    </w:p>
    <w:p w14:paraId="219607EF">
      <w:pPr>
        <w:spacing w:after="0" w:line="360" w:lineRule="auto"/>
        <w:ind w:firstLine="851"/>
        <w:jc w:val="both"/>
        <w:rPr>
          <w:rFonts w:ascii="Times New Roman" w:hAnsi="Times New Roman"/>
        </w:rPr>
      </w:pPr>
      <w:r>
        <w:rPr>
          <w:rFonts w:ascii="Times New Roman" w:hAnsi="Times New Roman"/>
        </w:rPr>
        <w:t>14.7.2.4. У обучающегося будут сформированы умения как часть универсальных коммуникативных учебных действий:</w:t>
      </w:r>
    </w:p>
    <w:p w14:paraId="47F5E8BD">
      <w:pPr>
        <w:spacing w:after="0" w:line="360" w:lineRule="auto"/>
        <w:ind w:firstLine="851"/>
        <w:jc w:val="both"/>
        <w:rPr>
          <w:rFonts w:ascii="Times New Roman" w:hAnsi="Times New Roman"/>
        </w:rPr>
      </w:pPr>
      <w:r>
        <w:rPr>
          <w:rFonts w:ascii="Times New Roman" w:hAnsi="Times New Roman"/>
        </w:rPr>
        <w:t>1) невербальная коммуникация:</w:t>
      </w:r>
    </w:p>
    <w:p w14:paraId="28BB1FC2">
      <w:pPr>
        <w:spacing w:after="0" w:line="360" w:lineRule="auto"/>
        <w:ind w:firstLine="851"/>
        <w:jc w:val="both"/>
        <w:rPr>
          <w:rFonts w:ascii="Times New Roman" w:hAnsi="Times New Roman"/>
        </w:rPr>
      </w:pPr>
      <w:r>
        <w:rPr>
          <w:rFonts w:ascii="Times New Roman" w:hAnsi="Times New Roman"/>
        </w:rPr>
        <w:t>воспринимать музыку как специфическую форму общения людей, стремиться понять эмоционально-образное содержание музыкального высказывания;</w:t>
      </w:r>
    </w:p>
    <w:p w14:paraId="66DB833C">
      <w:pPr>
        <w:spacing w:after="0" w:line="360" w:lineRule="auto"/>
        <w:ind w:firstLine="851"/>
        <w:jc w:val="both"/>
        <w:rPr>
          <w:rFonts w:ascii="Times New Roman" w:hAnsi="Times New Roman"/>
        </w:rPr>
      </w:pPr>
      <w:r>
        <w:rPr>
          <w:rFonts w:ascii="Times New Roman" w:hAnsi="Times New Roman"/>
        </w:rPr>
        <w:t>выступать перед публикой в качестве исполнителя музыки (соло или в коллективе);</w:t>
      </w:r>
    </w:p>
    <w:p w14:paraId="3809A1BD">
      <w:pPr>
        <w:spacing w:after="0" w:line="360" w:lineRule="auto"/>
        <w:ind w:firstLine="851"/>
        <w:jc w:val="both"/>
        <w:rPr>
          <w:rFonts w:ascii="Times New Roman" w:hAnsi="Times New Roman"/>
        </w:rPr>
      </w:pPr>
      <w:r>
        <w:rPr>
          <w:rFonts w:ascii="Times New Roman" w:hAnsi="Times New Roman"/>
        </w:rPr>
        <w:t>передавать в собственном исполнении музыки художественное содержание, выражать настроение, чувства, личное отношение к исполняемому произведению;</w:t>
      </w:r>
    </w:p>
    <w:p w14:paraId="7633090F">
      <w:pPr>
        <w:spacing w:after="0" w:line="360" w:lineRule="auto"/>
        <w:ind w:firstLine="851"/>
        <w:jc w:val="both"/>
        <w:rPr>
          <w:rFonts w:ascii="Times New Roman" w:hAnsi="Times New Roman"/>
        </w:rPr>
      </w:pPr>
      <w:r>
        <w:rPr>
          <w:rFonts w:ascii="Times New Roman" w:hAnsi="Times New Roman"/>
        </w:rPr>
        <w:t>осознанно пользоваться интонационной выразительностью в обыденной речи, понимать культурные нормы и значение интонации в повседневном общении;</w:t>
      </w:r>
    </w:p>
    <w:p w14:paraId="2B6F5839">
      <w:pPr>
        <w:spacing w:after="0" w:line="360" w:lineRule="auto"/>
        <w:ind w:firstLine="851"/>
        <w:jc w:val="both"/>
        <w:rPr>
          <w:rFonts w:ascii="Times New Roman" w:hAnsi="Times New Roman"/>
        </w:rPr>
      </w:pPr>
      <w:r>
        <w:rPr>
          <w:rFonts w:ascii="Times New Roman" w:hAnsi="Times New Roman"/>
        </w:rPr>
        <w:t>2) вербальная коммуникация:</w:t>
      </w:r>
    </w:p>
    <w:p w14:paraId="21808180">
      <w:pPr>
        <w:spacing w:after="0" w:line="360" w:lineRule="auto"/>
        <w:ind w:firstLine="851"/>
        <w:jc w:val="both"/>
        <w:rPr>
          <w:rFonts w:ascii="Times New Roman" w:hAnsi="Times New Roman"/>
        </w:rPr>
      </w:pPr>
      <w:r>
        <w:rPr>
          <w:rFonts w:ascii="Times New Roman" w:hAnsi="Times New Roman"/>
        </w:rPr>
        <w:t>воспринимать и формулировать суждения, выражать эмоции в соответствии с целями и условиями общения в знакомой среде;</w:t>
      </w:r>
    </w:p>
    <w:p w14:paraId="2615F0A3">
      <w:pPr>
        <w:spacing w:after="0" w:line="360" w:lineRule="auto"/>
        <w:ind w:firstLine="851"/>
        <w:jc w:val="both"/>
        <w:rPr>
          <w:rFonts w:ascii="Times New Roman" w:hAnsi="Times New Roman"/>
        </w:rPr>
      </w:pPr>
      <w:r>
        <w:rPr>
          <w:rFonts w:ascii="Times New Roman" w:hAnsi="Times New Roman"/>
        </w:rPr>
        <w:t>проявлять уважительное отношение к собеседнику, соблюдать правила ведения диалога и дискуссии;</w:t>
      </w:r>
    </w:p>
    <w:p w14:paraId="600CA806">
      <w:pPr>
        <w:spacing w:after="0" w:line="360" w:lineRule="auto"/>
        <w:ind w:firstLine="851"/>
        <w:jc w:val="both"/>
        <w:rPr>
          <w:rFonts w:ascii="Times New Roman" w:hAnsi="Times New Roman"/>
        </w:rPr>
      </w:pPr>
      <w:r>
        <w:rPr>
          <w:rFonts w:ascii="Times New Roman" w:hAnsi="Times New Roman"/>
        </w:rPr>
        <w:t>признавать возможность существования разных точек зрения;</w:t>
      </w:r>
    </w:p>
    <w:p w14:paraId="35619F61">
      <w:pPr>
        <w:spacing w:after="0" w:line="360" w:lineRule="auto"/>
        <w:ind w:firstLine="851"/>
        <w:jc w:val="both"/>
        <w:rPr>
          <w:rFonts w:ascii="Times New Roman" w:hAnsi="Times New Roman"/>
        </w:rPr>
      </w:pPr>
      <w:r>
        <w:rPr>
          <w:rFonts w:ascii="Times New Roman" w:hAnsi="Times New Roman"/>
        </w:rPr>
        <w:t>корректно и аргументированно высказывать своё мнение;</w:t>
      </w:r>
    </w:p>
    <w:p w14:paraId="3CD75ECC">
      <w:pPr>
        <w:spacing w:after="0" w:line="360" w:lineRule="auto"/>
        <w:ind w:firstLine="851"/>
        <w:jc w:val="both"/>
        <w:rPr>
          <w:rFonts w:ascii="Times New Roman" w:hAnsi="Times New Roman"/>
        </w:rPr>
      </w:pPr>
      <w:r>
        <w:rPr>
          <w:rFonts w:ascii="Times New Roman" w:hAnsi="Times New Roman"/>
        </w:rPr>
        <w:t>строить речевое высказывание в соответствии с поставленной задачей;</w:t>
      </w:r>
    </w:p>
    <w:p w14:paraId="0AE76CA8">
      <w:pPr>
        <w:spacing w:after="0" w:line="360" w:lineRule="auto"/>
        <w:ind w:firstLine="851"/>
        <w:jc w:val="both"/>
        <w:rPr>
          <w:rFonts w:ascii="Times New Roman" w:hAnsi="Times New Roman"/>
        </w:rPr>
      </w:pPr>
      <w:r>
        <w:rPr>
          <w:rFonts w:ascii="Times New Roman" w:hAnsi="Times New Roman"/>
        </w:rPr>
        <w:t>создавать устные и письменные тексты (описание, рассуждение, повествование);</w:t>
      </w:r>
    </w:p>
    <w:p w14:paraId="6BDF58B5">
      <w:pPr>
        <w:spacing w:after="0" w:line="360" w:lineRule="auto"/>
        <w:ind w:firstLine="851"/>
        <w:jc w:val="both"/>
        <w:rPr>
          <w:rFonts w:ascii="Times New Roman" w:hAnsi="Times New Roman"/>
        </w:rPr>
      </w:pPr>
      <w:r>
        <w:rPr>
          <w:rFonts w:ascii="Times New Roman" w:hAnsi="Times New Roman"/>
        </w:rPr>
        <w:t>подготавливать небольшие публичные выступления;</w:t>
      </w:r>
    </w:p>
    <w:p w14:paraId="57C47B69">
      <w:pPr>
        <w:spacing w:after="0" w:line="360" w:lineRule="auto"/>
        <w:ind w:firstLine="851"/>
        <w:jc w:val="both"/>
        <w:rPr>
          <w:rFonts w:ascii="Times New Roman" w:hAnsi="Times New Roman"/>
        </w:rPr>
      </w:pPr>
      <w:r>
        <w:rPr>
          <w:rFonts w:ascii="Times New Roman" w:hAnsi="Times New Roman"/>
        </w:rPr>
        <w:t>подбирать иллюстративный материал (рисунки, фото, плакаты) к тексту выступления;</w:t>
      </w:r>
    </w:p>
    <w:p w14:paraId="2674682F">
      <w:pPr>
        <w:spacing w:after="0" w:line="360" w:lineRule="auto"/>
        <w:ind w:firstLine="851"/>
        <w:jc w:val="both"/>
        <w:rPr>
          <w:rFonts w:ascii="Times New Roman" w:hAnsi="Times New Roman"/>
        </w:rPr>
      </w:pPr>
      <w:r>
        <w:rPr>
          <w:rFonts w:ascii="Times New Roman" w:hAnsi="Times New Roman"/>
        </w:rPr>
        <w:t>3) совместная деятельность (сотрудничество):</w:t>
      </w:r>
    </w:p>
    <w:p w14:paraId="1EBF8011">
      <w:pPr>
        <w:spacing w:after="0" w:line="360" w:lineRule="auto"/>
        <w:ind w:firstLine="851"/>
        <w:jc w:val="both"/>
        <w:rPr>
          <w:rFonts w:ascii="Times New Roman" w:hAnsi="Times New Roman"/>
        </w:rPr>
      </w:pPr>
      <w:r>
        <w:rPr>
          <w:rFonts w:ascii="Times New Roman" w:hAnsi="Times New Roman"/>
        </w:rPr>
        <w:t>стремиться к объединению усилий, эмоциональной эмпатии в ситуациях совместного восприятия, исполнения музыки;</w:t>
      </w:r>
    </w:p>
    <w:p w14:paraId="134A7F67">
      <w:pPr>
        <w:spacing w:after="0" w:line="360" w:lineRule="auto"/>
        <w:ind w:firstLine="851"/>
        <w:jc w:val="both"/>
        <w:rPr>
          <w:rFonts w:ascii="Times New Roman" w:hAnsi="Times New Roman"/>
        </w:rPr>
      </w:pPr>
      <w:r>
        <w:rPr>
          <w:rFonts w:ascii="Times New Roman" w:hAnsi="Times New Roman"/>
        </w:rPr>
        <w:t>переключаться между различными формами коллективной, групповой и индивидуальной работы при решении конкретной проблемы, выбирать наиболее эффективные формы взаимодействия при решении поставленной задачи;</w:t>
      </w:r>
    </w:p>
    <w:p w14:paraId="392F453B">
      <w:pPr>
        <w:spacing w:after="0" w:line="360" w:lineRule="auto"/>
        <w:ind w:firstLine="851"/>
        <w:jc w:val="both"/>
        <w:rPr>
          <w:rFonts w:ascii="Times New Roman" w:hAnsi="Times New Roman"/>
        </w:rPr>
      </w:pPr>
      <w:r>
        <w:rPr>
          <w:rFonts w:ascii="Times New Roman" w:hAnsi="Times New Roman"/>
        </w:rPr>
        <w:t>формулировать краткосрочные и долгосрочные цели (индивидуальные с учётом участия в коллективных задачах) в стандартной (типовой) ситуации на основе предложенного формата планирования, распределения промежуточных шагов и сроков;</w:t>
      </w:r>
    </w:p>
    <w:p w14:paraId="3ADDDD8E">
      <w:pPr>
        <w:spacing w:after="0" w:line="360" w:lineRule="auto"/>
        <w:ind w:firstLine="851"/>
        <w:jc w:val="both"/>
        <w:rPr>
          <w:rFonts w:ascii="Times New Roman" w:hAnsi="Times New Roman"/>
        </w:rPr>
      </w:pPr>
      <w:r>
        <w:rPr>
          <w:rFonts w:ascii="Times New Roman" w:hAnsi="Times New Roman"/>
        </w:rPr>
        <w:t>принимать цель совместной деятельности, коллективно строить действия по её достижению: распределять роли, договариваться, обсуждать процесс и результат совместной работы; проявлять готовность руководить, выполнять поручения, подчиняться;</w:t>
      </w:r>
    </w:p>
    <w:p w14:paraId="2A0124D4">
      <w:pPr>
        <w:spacing w:after="0" w:line="360" w:lineRule="auto"/>
        <w:ind w:firstLine="851"/>
        <w:jc w:val="both"/>
        <w:rPr>
          <w:rFonts w:ascii="Times New Roman" w:hAnsi="Times New Roman"/>
        </w:rPr>
      </w:pPr>
      <w:r>
        <w:rPr>
          <w:rFonts w:ascii="Times New Roman" w:hAnsi="Times New Roman"/>
        </w:rPr>
        <w:t>ответственно выполнять свою часть работы; оценивать свой вклад в общий результат;</w:t>
      </w:r>
    </w:p>
    <w:p w14:paraId="32884B04">
      <w:pPr>
        <w:spacing w:after="0" w:line="360" w:lineRule="auto"/>
        <w:ind w:firstLine="851"/>
        <w:jc w:val="both"/>
        <w:rPr>
          <w:rFonts w:ascii="Times New Roman" w:hAnsi="Times New Roman"/>
        </w:rPr>
      </w:pPr>
      <w:r>
        <w:rPr>
          <w:rFonts w:ascii="Times New Roman" w:hAnsi="Times New Roman"/>
        </w:rPr>
        <w:t>выполнять совместные проектные, творческие задания с использованием предложенных образцов.</w:t>
      </w:r>
    </w:p>
    <w:p w14:paraId="201A92F4">
      <w:pPr>
        <w:spacing w:after="0" w:line="360" w:lineRule="auto"/>
        <w:ind w:firstLine="851"/>
        <w:jc w:val="both"/>
        <w:rPr>
          <w:rFonts w:ascii="Times New Roman" w:hAnsi="Times New Roman"/>
        </w:rPr>
      </w:pPr>
      <w:r>
        <w:rPr>
          <w:rFonts w:ascii="Times New Roman" w:hAnsi="Times New Roman"/>
        </w:rPr>
        <w:t>14.7.2.5. У обучающегося будут сформированы умения самоорганизации как части универсальных регулятивных учебных действий:</w:t>
      </w:r>
    </w:p>
    <w:p w14:paraId="5F7CE68D">
      <w:pPr>
        <w:spacing w:after="0" w:line="360" w:lineRule="auto"/>
        <w:ind w:firstLine="851"/>
        <w:jc w:val="both"/>
        <w:rPr>
          <w:rFonts w:ascii="Times New Roman" w:hAnsi="Times New Roman"/>
        </w:rPr>
      </w:pPr>
      <w:r>
        <w:rPr>
          <w:rFonts w:ascii="Times New Roman" w:hAnsi="Times New Roman"/>
        </w:rPr>
        <w:t>планировать действия по решению учебной задачи для получения результата;</w:t>
      </w:r>
    </w:p>
    <w:p w14:paraId="0E35D58A">
      <w:pPr>
        <w:spacing w:after="0" w:line="360" w:lineRule="auto"/>
        <w:ind w:firstLine="851"/>
        <w:jc w:val="both"/>
        <w:rPr>
          <w:rFonts w:ascii="Times New Roman" w:hAnsi="Times New Roman"/>
        </w:rPr>
      </w:pPr>
      <w:r>
        <w:rPr>
          <w:rFonts w:ascii="Times New Roman" w:hAnsi="Times New Roman"/>
        </w:rPr>
        <w:t>выстраивать последовательность выбранных действий.</w:t>
      </w:r>
    </w:p>
    <w:p w14:paraId="2B3F3FDF">
      <w:pPr>
        <w:spacing w:after="0" w:line="360" w:lineRule="auto"/>
        <w:ind w:firstLine="851"/>
        <w:jc w:val="both"/>
        <w:rPr>
          <w:rFonts w:ascii="Times New Roman" w:hAnsi="Times New Roman"/>
        </w:rPr>
      </w:pPr>
      <w:r>
        <w:rPr>
          <w:rFonts w:ascii="Times New Roman" w:hAnsi="Times New Roman"/>
        </w:rPr>
        <w:t>14.7.2.6. У обучающегося будут сформированы умения самоконтроля как части универсальных учебных действий:</w:t>
      </w:r>
    </w:p>
    <w:p w14:paraId="3A86A892">
      <w:pPr>
        <w:spacing w:after="0" w:line="360" w:lineRule="auto"/>
        <w:ind w:firstLine="851"/>
        <w:jc w:val="both"/>
        <w:rPr>
          <w:rFonts w:ascii="Times New Roman" w:hAnsi="Times New Roman"/>
        </w:rPr>
      </w:pPr>
      <w:r>
        <w:rPr>
          <w:rFonts w:ascii="Times New Roman" w:hAnsi="Times New Roman"/>
        </w:rPr>
        <w:t>устанавливать причины успеха (неудач) учебной деятельности;</w:t>
      </w:r>
    </w:p>
    <w:p w14:paraId="60AD1F29">
      <w:pPr>
        <w:spacing w:after="0" w:line="360" w:lineRule="auto"/>
        <w:ind w:firstLine="851"/>
        <w:jc w:val="both"/>
        <w:rPr>
          <w:rFonts w:ascii="Times New Roman" w:hAnsi="Times New Roman"/>
        </w:rPr>
      </w:pPr>
      <w:r>
        <w:rPr>
          <w:rFonts w:ascii="Times New Roman" w:hAnsi="Times New Roman"/>
        </w:rPr>
        <w:t>корректировать свои учебные действия для преодоления ошибок.</w:t>
      </w:r>
    </w:p>
    <w:p w14:paraId="2CDDAB92">
      <w:pPr>
        <w:spacing w:after="0" w:line="360" w:lineRule="auto"/>
        <w:ind w:firstLine="851"/>
        <w:jc w:val="both"/>
        <w:rPr>
          <w:rFonts w:ascii="Times New Roman" w:hAnsi="Times New Roman"/>
        </w:rPr>
      </w:pPr>
      <w:r>
        <w:rPr>
          <w:rFonts w:ascii="Times New Roman" w:hAnsi="Times New Roman"/>
        </w:rPr>
        <w:t>14.7.2.7. Овладение системой универсальных учебных регулятивных учебных действий обеспечивает формирование смысловых установок личности (внутренняя позиция личности) и жизненных навыков личности (управления собой, самодисциплины, устойчивого поведения, эмоционального душевного равновесия и т.д.).</w:t>
      </w:r>
    </w:p>
    <w:p w14:paraId="3D5A34DE">
      <w:pPr>
        <w:spacing w:after="0" w:line="360" w:lineRule="auto"/>
        <w:ind w:firstLine="851"/>
        <w:jc w:val="both"/>
        <w:rPr>
          <w:rFonts w:ascii="Times New Roman" w:hAnsi="Times New Roman"/>
        </w:rPr>
      </w:pPr>
      <w:r>
        <w:rPr>
          <w:rFonts w:ascii="Times New Roman" w:hAnsi="Times New Roman"/>
        </w:rPr>
        <w:t>14.7.3. Предметные результаты изучения музыки.</w:t>
      </w:r>
    </w:p>
    <w:p w14:paraId="6E39E319">
      <w:pPr>
        <w:spacing w:after="0" w:line="360" w:lineRule="auto"/>
        <w:ind w:firstLine="851"/>
        <w:jc w:val="both"/>
        <w:rPr>
          <w:rFonts w:ascii="Times New Roman" w:hAnsi="Times New Roman"/>
        </w:rPr>
      </w:pPr>
      <w:r>
        <w:rPr>
          <w:rFonts w:ascii="Times New Roman" w:hAnsi="Times New Roman"/>
        </w:rPr>
        <w:t>14.7.3.1. Предметные результаты характеризуют начальный этап формирования у обучающихся основ музыкальной культуры и проявляются в способности к музыкальной деятельности, потребности в регулярном общении с музыкальным искусством, позитивном ценностном отношении к музыке как важному элементу своей жизни.</w:t>
      </w:r>
    </w:p>
    <w:p w14:paraId="56263D5C">
      <w:pPr>
        <w:spacing w:after="0" w:line="360" w:lineRule="auto"/>
        <w:ind w:firstLine="851"/>
        <w:jc w:val="both"/>
        <w:rPr>
          <w:rFonts w:ascii="Times New Roman" w:hAnsi="Times New Roman"/>
        </w:rPr>
      </w:pPr>
      <w:r>
        <w:rPr>
          <w:rFonts w:ascii="Times New Roman" w:hAnsi="Times New Roman"/>
        </w:rPr>
        <w:t>Обучающиеся, освоившие основную образовательную программу по музыке:</w:t>
      </w:r>
    </w:p>
    <w:p w14:paraId="443455B8">
      <w:pPr>
        <w:spacing w:after="0" w:line="360" w:lineRule="auto"/>
        <w:ind w:firstLine="851"/>
        <w:jc w:val="both"/>
        <w:rPr>
          <w:rFonts w:ascii="Times New Roman" w:hAnsi="Times New Roman"/>
        </w:rPr>
      </w:pPr>
      <w:r>
        <w:rPr>
          <w:rFonts w:ascii="Times New Roman" w:hAnsi="Times New Roman"/>
        </w:rPr>
        <w:t>с интересом занимаются музыкой, любят петь, умеют слушать серьёзную музыку, знают правила поведения в театре, концертном зале; проявляют интерес к игре на доступных музыкальных инструментах;</w:t>
      </w:r>
    </w:p>
    <w:p w14:paraId="30AA252B">
      <w:pPr>
        <w:spacing w:after="0" w:line="360" w:lineRule="auto"/>
        <w:ind w:firstLine="851"/>
        <w:jc w:val="both"/>
        <w:rPr>
          <w:rFonts w:ascii="Times New Roman" w:hAnsi="Times New Roman"/>
        </w:rPr>
      </w:pPr>
      <w:r>
        <w:rPr>
          <w:rFonts w:ascii="Times New Roman" w:hAnsi="Times New Roman"/>
        </w:rPr>
        <w:t>сознательно стремятся к развитию своих музыкальных способностей;</w:t>
      </w:r>
    </w:p>
    <w:p w14:paraId="7FDA9B4D">
      <w:pPr>
        <w:spacing w:after="0" w:line="360" w:lineRule="auto"/>
        <w:ind w:firstLine="851"/>
        <w:jc w:val="both"/>
        <w:rPr>
          <w:rFonts w:ascii="Times New Roman" w:hAnsi="Times New Roman"/>
        </w:rPr>
      </w:pPr>
      <w:r>
        <w:rPr>
          <w:rFonts w:ascii="Times New Roman" w:hAnsi="Times New Roman"/>
        </w:rPr>
        <w:t>осознают разнообразие форм и направлений музыкального искусства, могут назвать музыкальные произведения, композиторов, исполнителей, которые им нравятся, аргументировать свой выбор;</w:t>
      </w:r>
    </w:p>
    <w:p w14:paraId="2AFE6A87">
      <w:pPr>
        <w:spacing w:after="0" w:line="360" w:lineRule="auto"/>
        <w:ind w:firstLine="851"/>
        <w:jc w:val="both"/>
        <w:rPr>
          <w:rFonts w:ascii="Times New Roman" w:hAnsi="Times New Roman"/>
        </w:rPr>
      </w:pPr>
      <w:r>
        <w:rPr>
          <w:rFonts w:ascii="Times New Roman" w:hAnsi="Times New Roman"/>
        </w:rPr>
        <w:t xml:space="preserve">имеют опыт восприятия, творческой и исполнительской деятельности; </w:t>
      </w:r>
    </w:p>
    <w:p w14:paraId="2E853E4C">
      <w:pPr>
        <w:spacing w:after="0" w:line="360" w:lineRule="auto"/>
        <w:ind w:firstLine="851"/>
        <w:jc w:val="both"/>
        <w:rPr>
          <w:rFonts w:ascii="Times New Roman" w:hAnsi="Times New Roman"/>
        </w:rPr>
      </w:pPr>
      <w:r>
        <w:rPr>
          <w:rFonts w:ascii="Times New Roman" w:hAnsi="Times New Roman"/>
        </w:rPr>
        <w:t>с уважением относятся к достижениям отечественной музыкальной культуры;</w:t>
      </w:r>
    </w:p>
    <w:p w14:paraId="6E14A0E8">
      <w:pPr>
        <w:spacing w:after="0" w:line="360" w:lineRule="auto"/>
        <w:ind w:firstLine="851"/>
        <w:jc w:val="both"/>
        <w:rPr>
          <w:rFonts w:ascii="Times New Roman" w:hAnsi="Times New Roman"/>
        </w:rPr>
      </w:pPr>
      <w:r>
        <w:rPr>
          <w:rFonts w:ascii="Times New Roman" w:hAnsi="Times New Roman"/>
        </w:rPr>
        <w:t>стремятся к расширению своего музыкального кругозора.</w:t>
      </w:r>
    </w:p>
    <w:p w14:paraId="38C498E1">
      <w:pPr>
        <w:spacing w:after="0" w:line="360" w:lineRule="auto"/>
        <w:ind w:firstLine="851"/>
        <w:jc w:val="both"/>
        <w:rPr>
          <w:rFonts w:ascii="Times New Roman" w:hAnsi="Times New Roman"/>
        </w:rPr>
      </w:pPr>
      <w:r>
        <w:rPr>
          <w:rFonts w:ascii="Times New Roman" w:hAnsi="Times New Roman"/>
        </w:rPr>
        <w:t>14.7.3.2. К концу изучения модуля № 1 «Народная музыка России» обучающийся научится:</w:t>
      </w:r>
    </w:p>
    <w:p w14:paraId="07430E8B">
      <w:pPr>
        <w:spacing w:after="0" w:line="360" w:lineRule="auto"/>
        <w:ind w:firstLine="851"/>
        <w:jc w:val="both"/>
        <w:rPr>
          <w:rFonts w:ascii="Times New Roman" w:hAnsi="Times New Roman"/>
        </w:rPr>
      </w:pPr>
      <w:r>
        <w:rPr>
          <w:rFonts w:ascii="Times New Roman" w:hAnsi="Times New Roman"/>
        </w:rPr>
        <w:t>определять принадлежность музыкальных интонаций, изученных произведений к родному фольклору, русской музыке, народной музыке различных регионов России;</w:t>
      </w:r>
    </w:p>
    <w:p w14:paraId="5E0F6CE3">
      <w:pPr>
        <w:spacing w:after="0" w:line="360" w:lineRule="auto"/>
        <w:ind w:firstLine="851"/>
        <w:jc w:val="both"/>
        <w:rPr>
          <w:rFonts w:ascii="Times New Roman" w:hAnsi="Times New Roman"/>
        </w:rPr>
      </w:pPr>
      <w:r>
        <w:rPr>
          <w:rFonts w:ascii="Times New Roman" w:hAnsi="Times New Roman"/>
        </w:rPr>
        <w:t>определять на слух и называть знакомые народные музыкальные инструменты;</w:t>
      </w:r>
    </w:p>
    <w:p w14:paraId="6594033B">
      <w:pPr>
        <w:spacing w:after="0" w:line="360" w:lineRule="auto"/>
        <w:ind w:firstLine="851"/>
        <w:jc w:val="both"/>
        <w:rPr>
          <w:rFonts w:ascii="Times New Roman" w:hAnsi="Times New Roman"/>
        </w:rPr>
      </w:pPr>
      <w:r>
        <w:rPr>
          <w:rFonts w:ascii="Times New Roman" w:hAnsi="Times New Roman"/>
        </w:rPr>
        <w:t>группировать народные музыкальные инструменты по принципу звукоизвлечения: духовые, ударные, струнные;</w:t>
      </w:r>
    </w:p>
    <w:p w14:paraId="0B0C3D20">
      <w:pPr>
        <w:spacing w:after="0" w:line="360" w:lineRule="auto"/>
        <w:ind w:firstLine="851"/>
        <w:jc w:val="both"/>
        <w:rPr>
          <w:rFonts w:ascii="Times New Roman" w:hAnsi="Times New Roman"/>
        </w:rPr>
      </w:pPr>
      <w:r>
        <w:rPr>
          <w:rFonts w:ascii="Times New Roman" w:hAnsi="Times New Roman"/>
        </w:rPr>
        <w:t>определять принадлежность музыкальных произведений и их фрагментов к композиторскому или народному творчеству;</w:t>
      </w:r>
    </w:p>
    <w:p w14:paraId="5A723728">
      <w:pPr>
        <w:spacing w:after="0" w:line="360" w:lineRule="auto"/>
        <w:ind w:firstLine="851"/>
        <w:jc w:val="both"/>
        <w:rPr>
          <w:rFonts w:ascii="Times New Roman" w:hAnsi="Times New Roman"/>
        </w:rPr>
      </w:pPr>
      <w:r>
        <w:rPr>
          <w:rFonts w:ascii="Times New Roman" w:hAnsi="Times New Roman"/>
        </w:rPr>
        <w:t>различать манеру пения, инструментального исполнения, типы солистов и коллективов – народных и академических;</w:t>
      </w:r>
    </w:p>
    <w:p w14:paraId="4C994728">
      <w:pPr>
        <w:spacing w:after="0" w:line="360" w:lineRule="auto"/>
        <w:ind w:firstLine="851"/>
        <w:jc w:val="both"/>
        <w:rPr>
          <w:rFonts w:ascii="Times New Roman" w:hAnsi="Times New Roman"/>
        </w:rPr>
      </w:pPr>
      <w:r>
        <w:rPr>
          <w:rFonts w:ascii="Times New Roman" w:hAnsi="Times New Roman"/>
        </w:rPr>
        <w:t>создавать ритмический аккомпанемент на ударных инструментах при исполнении народной песни;</w:t>
      </w:r>
    </w:p>
    <w:p w14:paraId="533F8458">
      <w:pPr>
        <w:spacing w:after="0" w:line="360" w:lineRule="auto"/>
        <w:ind w:firstLine="851"/>
        <w:jc w:val="both"/>
        <w:rPr>
          <w:rFonts w:ascii="Times New Roman" w:hAnsi="Times New Roman"/>
        </w:rPr>
      </w:pPr>
      <w:r>
        <w:rPr>
          <w:rFonts w:ascii="Times New Roman" w:hAnsi="Times New Roman"/>
        </w:rPr>
        <w:t>исполнять народные произведения различных жанров с сопровождением и без сопровождения;</w:t>
      </w:r>
    </w:p>
    <w:p w14:paraId="10E6600A">
      <w:pPr>
        <w:spacing w:after="0" w:line="360" w:lineRule="auto"/>
        <w:ind w:firstLine="851"/>
        <w:jc w:val="both"/>
        <w:rPr>
          <w:rFonts w:ascii="Times New Roman" w:hAnsi="Times New Roman"/>
        </w:rPr>
      </w:pPr>
      <w:r>
        <w:rPr>
          <w:rFonts w:ascii="Times New Roman" w:hAnsi="Times New Roman"/>
        </w:rPr>
        <w:t>участвовать в коллективной игре (импровизации) (вокальной, инструментальной, танцевальной) на основе освоенных фольклорных жанров.</w:t>
      </w:r>
    </w:p>
    <w:p w14:paraId="0B52C222">
      <w:pPr>
        <w:spacing w:after="0" w:line="360" w:lineRule="auto"/>
        <w:ind w:firstLine="851"/>
        <w:jc w:val="both"/>
        <w:rPr>
          <w:rFonts w:ascii="Times New Roman" w:hAnsi="Times New Roman"/>
        </w:rPr>
      </w:pPr>
      <w:r>
        <w:rPr>
          <w:rFonts w:ascii="Times New Roman" w:hAnsi="Times New Roman"/>
        </w:rPr>
        <w:t>14.7.3.3. К концу изучения модуля № 2 «Классическая музыка» обучающийся научится:</w:t>
      </w:r>
    </w:p>
    <w:p w14:paraId="7D572863">
      <w:pPr>
        <w:spacing w:after="0" w:line="360" w:lineRule="auto"/>
        <w:ind w:firstLine="851"/>
        <w:jc w:val="both"/>
        <w:rPr>
          <w:rFonts w:ascii="Times New Roman" w:hAnsi="Times New Roman"/>
        </w:rPr>
      </w:pPr>
      <w:r>
        <w:rPr>
          <w:rFonts w:ascii="Times New Roman" w:hAnsi="Times New Roman"/>
        </w:rPr>
        <w:t>различать на слух произведения классической музыки, называть автора и произведение, исполнительский состав;</w:t>
      </w:r>
    </w:p>
    <w:p w14:paraId="17A907A4">
      <w:pPr>
        <w:spacing w:after="0" w:line="360" w:lineRule="auto"/>
        <w:ind w:firstLine="851"/>
        <w:jc w:val="both"/>
        <w:rPr>
          <w:rFonts w:ascii="Times New Roman" w:hAnsi="Times New Roman"/>
        </w:rPr>
      </w:pPr>
      <w:r>
        <w:rPr>
          <w:rFonts w:ascii="Times New Roman" w:hAnsi="Times New Roman"/>
        </w:rPr>
        <w:t>различать и характеризовать простейшие жанры музыки (песня, танец, марш), выделять и называть типичные жанровые признаки песни, танца и марша в сочинениях композиторов-классиков;</w:t>
      </w:r>
    </w:p>
    <w:p w14:paraId="7196F75D">
      <w:pPr>
        <w:spacing w:after="0" w:line="360" w:lineRule="auto"/>
        <w:ind w:firstLine="851"/>
        <w:jc w:val="both"/>
        <w:rPr>
          <w:rFonts w:ascii="Times New Roman" w:hAnsi="Times New Roman"/>
        </w:rPr>
      </w:pPr>
      <w:r>
        <w:rPr>
          <w:rFonts w:ascii="Times New Roman" w:hAnsi="Times New Roman"/>
        </w:rPr>
        <w:t>различать концертные жанры по особенностям исполнения (камерные и симфонические, вокальные и инструментальные), приводить примеры;</w:t>
      </w:r>
    </w:p>
    <w:p w14:paraId="53F220CA">
      <w:pPr>
        <w:spacing w:after="0" w:line="360" w:lineRule="auto"/>
        <w:ind w:firstLine="851"/>
        <w:jc w:val="both"/>
        <w:rPr>
          <w:rFonts w:ascii="Times New Roman" w:hAnsi="Times New Roman"/>
        </w:rPr>
      </w:pPr>
      <w:r>
        <w:rPr>
          <w:rFonts w:ascii="Times New Roman" w:hAnsi="Times New Roman"/>
        </w:rPr>
        <w:t>исполнять (в том числе фрагментарно, отдельными темами) сочинения композиторов-классиков;</w:t>
      </w:r>
    </w:p>
    <w:p w14:paraId="15131E06">
      <w:pPr>
        <w:spacing w:after="0" w:line="360" w:lineRule="auto"/>
        <w:ind w:firstLine="851"/>
        <w:jc w:val="both"/>
        <w:rPr>
          <w:rFonts w:ascii="Times New Roman" w:hAnsi="Times New Roman"/>
        </w:rPr>
      </w:pPr>
      <w:r>
        <w:rPr>
          <w:rFonts w:ascii="Times New Roman" w:hAnsi="Times New Roman"/>
        </w:rPr>
        <w:t>воспринимать музыку в соответствии с её настроением, характером, осознавать эмоции и чувства, вызванные музыкальным звучанием, кратко описать свои впечатления от музыкального восприятия;</w:t>
      </w:r>
    </w:p>
    <w:p w14:paraId="428CCEAB">
      <w:pPr>
        <w:spacing w:after="0" w:line="360" w:lineRule="auto"/>
        <w:ind w:firstLine="851"/>
        <w:jc w:val="both"/>
        <w:rPr>
          <w:rFonts w:ascii="Times New Roman" w:hAnsi="Times New Roman"/>
        </w:rPr>
      </w:pPr>
      <w:r>
        <w:rPr>
          <w:rFonts w:ascii="Times New Roman" w:hAnsi="Times New Roman"/>
        </w:rPr>
        <w:t>характеризовать выразительные средства, использованные композитором для создания музыкального образа;</w:t>
      </w:r>
    </w:p>
    <w:p w14:paraId="67C10BBC">
      <w:pPr>
        <w:spacing w:after="0" w:line="360" w:lineRule="auto"/>
        <w:ind w:firstLine="851"/>
        <w:jc w:val="both"/>
        <w:rPr>
          <w:rFonts w:ascii="Times New Roman" w:hAnsi="Times New Roman"/>
        </w:rPr>
      </w:pPr>
      <w:r>
        <w:rPr>
          <w:rFonts w:ascii="Times New Roman" w:hAnsi="Times New Roman"/>
        </w:rPr>
        <w:t>соотносить музыкальные произведения с произведениями живописи, литературы на основе сходства настроения, характера, комплекса выразительных средств.</w:t>
      </w:r>
    </w:p>
    <w:p w14:paraId="6DB8E00C">
      <w:pPr>
        <w:spacing w:after="0" w:line="360" w:lineRule="auto"/>
        <w:ind w:firstLine="851"/>
        <w:jc w:val="both"/>
        <w:rPr>
          <w:rFonts w:ascii="Times New Roman" w:hAnsi="Times New Roman"/>
        </w:rPr>
      </w:pPr>
      <w:r>
        <w:rPr>
          <w:rFonts w:ascii="Times New Roman" w:hAnsi="Times New Roman"/>
        </w:rPr>
        <w:t>14.7.3.4. К концу изучения модуля № 3 «Музыка в жизни человека» обучающийся научится:</w:t>
      </w:r>
    </w:p>
    <w:p w14:paraId="694A62E1">
      <w:pPr>
        <w:spacing w:after="0" w:line="360" w:lineRule="auto"/>
        <w:ind w:firstLine="851"/>
        <w:jc w:val="both"/>
        <w:rPr>
          <w:rFonts w:ascii="Times New Roman" w:hAnsi="Times New Roman"/>
        </w:rPr>
      </w:pPr>
      <w:r>
        <w:rPr>
          <w:rFonts w:ascii="Times New Roman" w:hAnsi="Times New Roman"/>
        </w:rPr>
        <w:t xml:space="preserve">исполнять Гимн Российской Федерации, Гимн своей республики, школы, исполнять песни, посвящённые Победе нашего народа в Великой Отечественной войне, песни, воспевающие красоту родной природы, выражающие разнообразные эмоции, чувства и настроения; </w:t>
      </w:r>
    </w:p>
    <w:p w14:paraId="6FCF6A6F">
      <w:pPr>
        <w:spacing w:after="0" w:line="360" w:lineRule="auto"/>
        <w:ind w:firstLine="851"/>
        <w:jc w:val="both"/>
        <w:rPr>
          <w:rFonts w:ascii="Times New Roman" w:hAnsi="Times New Roman"/>
        </w:rPr>
      </w:pPr>
      <w:r>
        <w:rPr>
          <w:rFonts w:ascii="Times New Roman" w:hAnsi="Times New Roman"/>
        </w:rPr>
        <w:t>воспринимать музыкальное искусство как отражение многообразия жизни, различать обобщённые жанровые сферы: напевность (лирика), танцевальность и маршевость (связь с движением), декламационность, эпос (связь со словом);</w:t>
      </w:r>
    </w:p>
    <w:p w14:paraId="466A7477">
      <w:pPr>
        <w:spacing w:after="0" w:line="360" w:lineRule="auto"/>
        <w:ind w:firstLine="851"/>
        <w:jc w:val="both"/>
        <w:rPr>
          <w:rFonts w:ascii="Times New Roman" w:hAnsi="Times New Roman"/>
        </w:rPr>
      </w:pPr>
      <w:r>
        <w:rPr>
          <w:rFonts w:ascii="Times New Roman" w:hAnsi="Times New Roman"/>
        </w:rPr>
        <w:t>осознавать собственные чувства и мысли, эстетические переживания, находить прекрасное в окружающем мире и в человеке, стремиться к развитию и удовлетворению эстетических потребностей</w:t>
      </w:r>
    </w:p>
    <w:p w14:paraId="3A7C5E66">
      <w:pPr>
        <w:pStyle w:val="85"/>
        <w:ind w:firstLine="540"/>
        <w:jc w:val="both"/>
        <w:rPr>
          <w:color w:val="auto"/>
          <w:sz w:val="22"/>
          <w:szCs w:val="22"/>
        </w:rPr>
      </w:pPr>
      <w:r>
        <w:rPr>
          <w:color w:val="auto"/>
          <w:sz w:val="22"/>
          <w:szCs w:val="22"/>
        </w:rPr>
        <w:t>15. Федеральная рабочая программа по учебному предмету "Труд (технология)".</w:t>
      </w:r>
    </w:p>
    <w:p w14:paraId="5C17A1F8">
      <w:pPr>
        <w:pStyle w:val="85"/>
        <w:spacing w:before="240"/>
        <w:ind w:firstLine="540"/>
        <w:jc w:val="both"/>
        <w:rPr>
          <w:color w:val="auto"/>
          <w:sz w:val="22"/>
          <w:szCs w:val="22"/>
        </w:rPr>
      </w:pPr>
      <w:r>
        <w:rPr>
          <w:color w:val="auto"/>
          <w:sz w:val="22"/>
          <w:szCs w:val="22"/>
        </w:rPr>
        <w:t>15.1. Федеральная рабочая программа по учебному предмету "Труд (технология)" (предметная область "Технология") (далее соответственно - программа по труду (технологии), труд (технология) включает пояснительную записку, содержание обучения, планируемые результаты освоения программы по труду (технологии).</w:t>
      </w:r>
    </w:p>
    <w:p w14:paraId="4A551B8F">
      <w:pPr>
        <w:pStyle w:val="85"/>
        <w:spacing w:before="240"/>
        <w:ind w:firstLine="540"/>
        <w:jc w:val="both"/>
        <w:rPr>
          <w:color w:val="auto"/>
          <w:sz w:val="22"/>
          <w:szCs w:val="22"/>
        </w:rPr>
      </w:pPr>
      <w:r>
        <w:rPr>
          <w:color w:val="auto"/>
          <w:sz w:val="22"/>
          <w:szCs w:val="22"/>
        </w:rPr>
        <w:t>15.2. Пояснительная записка отражает общие цели и задачи изучения учебного предмета, место в структуре учебного плана, а также подходы к отбору содержания и планируемым результатам.</w:t>
      </w:r>
    </w:p>
    <w:p w14:paraId="49C09262">
      <w:pPr>
        <w:pStyle w:val="85"/>
        <w:spacing w:before="240"/>
        <w:ind w:firstLine="540"/>
        <w:jc w:val="both"/>
        <w:rPr>
          <w:color w:val="auto"/>
          <w:sz w:val="22"/>
          <w:szCs w:val="22"/>
        </w:rPr>
      </w:pPr>
      <w:r>
        <w:rPr>
          <w:color w:val="auto"/>
          <w:sz w:val="22"/>
          <w:szCs w:val="22"/>
        </w:rPr>
        <w:t>15.3. Содержание обучения раскрывает содержательные линии, которые предлагаются для обязательного изучения в каждом классе на уровне начального общего образования. Содержание обучения в каждом классе завершается перечнем универсальных учебных действий (познавательных, коммуникативных и регулятивных), которые возможно формировать средствами технологии с учетом возрастных особенностей обучающихся на уровне начального общего образования.</w:t>
      </w:r>
    </w:p>
    <w:p w14:paraId="366FB73D">
      <w:pPr>
        <w:pStyle w:val="85"/>
        <w:spacing w:before="240"/>
        <w:ind w:firstLine="540"/>
        <w:jc w:val="both"/>
        <w:rPr>
          <w:color w:val="auto"/>
          <w:sz w:val="22"/>
          <w:szCs w:val="22"/>
        </w:rPr>
      </w:pPr>
      <w:r>
        <w:rPr>
          <w:color w:val="auto"/>
          <w:sz w:val="22"/>
          <w:szCs w:val="22"/>
        </w:rPr>
        <w:t>15.4. Планируемые результаты освоения программы по труду (технологии) включают личностные, метапредметные результаты за весь период обучения на уровне начального общего образования, а также предметные достижения обучающегося за каждый год обучения.</w:t>
      </w:r>
    </w:p>
    <w:p w14:paraId="28B76C57">
      <w:pPr>
        <w:pStyle w:val="85"/>
        <w:jc w:val="both"/>
        <w:rPr>
          <w:color w:val="auto"/>
          <w:sz w:val="22"/>
          <w:szCs w:val="22"/>
        </w:rPr>
      </w:pPr>
    </w:p>
    <w:p w14:paraId="3FBDB711">
      <w:pPr>
        <w:pStyle w:val="85"/>
        <w:ind w:firstLine="540"/>
        <w:jc w:val="both"/>
        <w:rPr>
          <w:color w:val="auto"/>
          <w:sz w:val="22"/>
          <w:szCs w:val="22"/>
        </w:rPr>
      </w:pPr>
      <w:r>
        <w:rPr>
          <w:color w:val="auto"/>
          <w:sz w:val="22"/>
          <w:szCs w:val="22"/>
        </w:rPr>
        <w:t>15.5. Пояснительная записка.</w:t>
      </w:r>
    </w:p>
    <w:p w14:paraId="14023AF5">
      <w:pPr>
        <w:pStyle w:val="85"/>
        <w:spacing w:before="240"/>
        <w:ind w:firstLine="540"/>
        <w:jc w:val="both"/>
        <w:rPr>
          <w:color w:val="auto"/>
          <w:sz w:val="22"/>
          <w:szCs w:val="22"/>
        </w:rPr>
      </w:pPr>
      <w:r>
        <w:rPr>
          <w:color w:val="auto"/>
          <w:sz w:val="22"/>
          <w:szCs w:val="22"/>
        </w:rPr>
        <w:t>15.5.1. Программа по труду (технологии) на уровне начального общего образования составлена на основе требований к результатам освоения основной образовательной программы начального общего образования ФГОС НОО, а также ориентирована на целевые приоритеты духовно-нравственного развития, воспитания и социализации обучающихся, сформулированные в федеральной рабочей программе воспитания.</w:t>
      </w:r>
    </w:p>
    <w:p w14:paraId="56CA7CAA">
      <w:pPr>
        <w:pStyle w:val="85"/>
        <w:spacing w:before="240"/>
        <w:ind w:firstLine="540"/>
        <w:jc w:val="both"/>
        <w:rPr>
          <w:color w:val="auto"/>
          <w:sz w:val="22"/>
          <w:szCs w:val="22"/>
        </w:rPr>
      </w:pPr>
      <w:r>
        <w:rPr>
          <w:color w:val="auto"/>
          <w:sz w:val="22"/>
          <w:szCs w:val="22"/>
        </w:rPr>
        <w:t>15.5.2. Основной целью программы по труду (технологии) является успешная социализация обучающихся, формирование у них функциональной грамотности на базе освоения культурологических и конструкторско-технологических знаний (о рукотворном мире и общих правилах его создания в рамках исторически меняющихся технологий) и соответствующих им практических умений, приобретение практических умений, необходимых для разумной организации собственной жизни, воспитание ориентации на будущую трудовую деятельность, выбор профессии в процессе практического знакомства с историей ремесел и технологий.</w:t>
      </w:r>
    </w:p>
    <w:p w14:paraId="34DC322F">
      <w:pPr>
        <w:pStyle w:val="85"/>
        <w:spacing w:before="240"/>
        <w:ind w:firstLine="540"/>
        <w:jc w:val="both"/>
        <w:rPr>
          <w:color w:val="auto"/>
          <w:sz w:val="22"/>
          <w:szCs w:val="22"/>
        </w:rPr>
      </w:pPr>
      <w:r>
        <w:rPr>
          <w:color w:val="auto"/>
          <w:sz w:val="22"/>
          <w:szCs w:val="22"/>
        </w:rPr>
        <w:t>15.5.3. Программа по труду (технологии) направлена на решение системы задач:</w:t>
      </w:r>
    </w:p>
    <w:p w14:paraId="590036BC">
      <w:pPr>
        <w:pStyle w:val="85"/>
        <w:spacing w:before="240"/>
        <w:ind w:firstLine="540"/>
        <w:jc w:val="both"/>
        <w:rPr>
          <w:color w:val="auto"/>
          <w:sz w:val="22"/>
          <w:szCs w:val="22"/>
        </w:rPr>
      </w:pPr>
      <w:r>
        <w:rPr>
          <w:color w:val="auto"/>
          <w:sz w:val="22"/>
          <w:szCs w:val="22"/>
        </w:rPr>
        <w:t>формирование общих представлений о технологической культуре и организации трудовой деятельности как важной части общей культуры человека;</w:t>
      </w:r>
    </w:p>
    <w:p w14:paraId="45EFA2C3">
      <w:pPr>
        <w:pStyle w:val="85"/>
        <w:spacing w:before="240"/>
        <w:ind w:firstLine="540"/>
        <w:jc w:val="both"/>
        <w:rPr>
          <w:color w:val="auto"/>
          <w:sz w:val="22"/>
          <w:szCs w:val="22"/>
        </w:rPr>
      </w:pPr>
      <w:r>
        <w:rPr>
          <w:color w:val="auto"/>
          <w:sz w:val="22"/>
          <w:szCs w:val="22"/>
        </w:rPr>
        <w:t>становление элементарных базовых знаний и представлений о предметном (рукотворном) мире как результате деятельности человека, его взаимодействии с миром природы, правилах и технологиях создания, исторически развивающихся и современных производствах и профессиях;</w:t>
      </w:r>
    </w:p>
    <w:p w14:paraId="1CD5825E">
      <w:pPr>
        <w:pStyle w:val="85"/>
        <w:spacing w:before="240"/>
        <w:ind w:firstLine="540"/>
        <w:jc w:val="both"/>
        <w:rPr>
          <w:color w:val="auto"/>
          <w:sz w:val="22"/>
          <w:szCs w:val="22"/>
        </w:rPr>
      </w:pPr>
      <w:r>
        <w:rPr>
          <w:color w:val="auto"/>
          <w:sz w:val="22"/>
          <w:szCs w:val="22"/>
        </w:rPr>
        <w:t>формирование основ чертежно-графической грамотности, умения работать с простейшей технологической документацией (рисунок, чертеж, эскиз, схема);</w:t>
      </w:r>
    </w:p>
    <w:p w14:paraId="1F786966">
      <w:pPr>
        <w:pStyle w:val="85"/>
        <w:spacing w:before="240"/>
        <w:ind w:firstLine="540"/>
        <w:jc w:val="both"/>
        <w:rPr>
          <w:color w:val="auto"/>
          <w:sz w:val="22"/>
          <w:szCs w:val="22"/>
        </w:rPr>
      </w:pPr>
      <w:r>
        <w:rPr>
          <w:color w:val="auto"/>
          <w:sz w:val="22"/>
          <w:szCs w:val="22"/>
        </w:rPr>
        <w:t>формирование элементарных знаний и представлений о различных материалах, технологиях их обработки и соответствующих умений;</w:t>
      </w:r>
    </w:p>
    <w:p w14:paraId="73444FFD">
      <w:pPr>
        <w:pStyle w:val="85"/>
        <w:spacing w:before="240"/>
        <w:ind w:firstLine="540"/>
        <w:jc w:val="both"/>
        <w:rPr>
          <w:color w:val="auto"/>
          <w:sz w:val="22"/>
          <w:szCs w:val="22"/>
        </w:rPr>
      </w:pPr>
      <w:r>
        <w:rPr>
          <w:color w:val="auto"/>
          <w:sz w:val="22"/>
          <w:szCs w:val="22"/>
        </w:rPr>
        <w:t>развитие сенсомоторных процессов, психомоторной координации, глазомера через формирование практических умений;</w:t>
      </w:r>
    </w:p>
    <w:p w14:paraId="1098D93A">
      <w:pPr>
        <w:pStyle w:val="85"/>
        <w:spacing w:before="240"/>
        <w:ind w:firstLine="540"/>
        <w:jc w:val="both"/>
        <w:rPr>
          <w:color w:val="auto"/>
          <w:sz w:val="22"/>
          <w:szCs w:val="22"/>
        </w:rPr>
      </w:pPr>
      <w:r>
        <w:rPr>
          <w:color w:val="auto"/>
          <w:sz w:val="22"/>
          <w:szCs w:val="22"/>
        </w:rPr>
        <w:t>расширение культурного кругозора, развитие способности творческого использования полученных знаний и умений в практической деятельности;</w:t>
      </w:r>
    </w:p>
    <w:p w14:paraId="1A9EA25A">
      <w:pPr>
        <w:pStyle w:val="85"/>
        <w:spacing w:before="240"/>
        <w:ind w:firstLine="540"/>
        <w:jc w:val="both"/>
        <w:rPr>
          <w:color w:val="auto"/>
          <w:sz w:val="22"/>
          <w:szCs w:val="22"/>
        </w:rPr>
      </w:pPr>
      <w:r>
        <w:rPr>
          <w:color w:val="auto"/>
          <w:sz w:val="22"/>
          <w:szCs w:val="22"/>
        </w:rPr>
        <w:t>развитие познавательных психических процессов и приемов умственной деятельности в ходе выполнения практических заданий;</w:t>
      </w:r>
    </w:p>
    <w:p w14:paraId="7A35675B">
      <w:pPr>
        <w:pStyle w:val="85"/>
        <w:spacing w:before="240"/>
        <w:ind w:firstLine="540"/>
        <w:jc w:val="both"/>
        <w:rPr>
          <w:color w:val="auto"/>
          <w:sz w:val="22"/>
          <w:szCs w:val="22"/>
        </w:rPr>
      </w:pPr>
      <w:r>
        <w:rPr>
          <w:color w:val="auto"/>
          <w:sz w:val="22"/>
          <w:szCs w:val="22"/>
        </w:rPr>
        <w:t>развитие гибкости и вариативности мышления, способностей к конструкторской и изобретательской деятельности;</w:t>
      </w:r>
    </w:p>
    <w:p w14:paraId="0C15967F">
      <w:pPr>
        <w:pStyle w:val="85"/>
        <w:spacing w:before="240"/>
        <w:ind w:firstLine="540"/>
        <w:jc w:val="both"/>
        <w:rPr>
          <w:color w:val="auto"/>
          <w:sz w:val="22"/>
          <w:szCs w:val="22"/>
        </w:rPr>
      </w:pPr>
      <w:r>
        <w:rPr>
          <w:color w:val="auto"/>
          <w:sz w:val="22"/>
          <w:szCs w:val="22"/>
        </w:rPr>
        <w:t>воспитание уважительного отношения к труду, людям труда, культурным традициям, понимания ценности предшествующих культур, отраженных в материальном мире;</w:t>
      </w:r>
    </w:p>
    <w:p w14:paraId="14ED24CB">
      <w:pPr>
        <w:pStyle w:val="85"/>
        <w:spacing w:before="240"/>
        <w:ind w:firstLine="540"/>
        <w:jc w:val="both"/>
        <w:rPr>
          <w:color w:val="auto"/>
          <w:sz w:val="22"/>
          <w:szCs w:val="22"/>
        </w:rPr>
      </w:pPr>
      <w:r>
        <w:rPr>
          <w:color w:val="auto"/>
          <w:sz w:val="22"/>
          <w:szCs w:val="22"/>
        </w:rPr>
        <w:t>воспитание понимания социального значения разных профессий, важности ответственного отношения каждого за результаты труда;</w:t>
      </w:r>
    </w:p>
    <w:p w14:paraId="3EB7A97F">
      <w:pPr>
        <w:pStyle w:val="85"/>
        <w:spacing w:before="240"/>
        <w:ind w:firstLine="540"/>
        <w:jc w:val="both"/>
        <w:rPr>
          <w:color w:val="auto"/>
          <w:sz w:val="22"/>
          <w:szCs w:val="22"/>
        </w:rPr>
      </w:pPr>
      <w:r>
        <w:rPr>
          <w:color w:val="auto"/>
          <w:sz w:val="22"/>
          <w:szCs w:val="22"/>
        </w:rPr>
        <w:t>воспитание готовности участия в трудовых делах школьного коллектива;</w:t>
      </w:r>
    </w:p>
    <w:p w14:paraId="01E54C78">
      <w:pPr>
        <w:pStyle w:val="85"/>
        <w:spacing w:before="240"/>
        <w:ind w:firstLine="540"/>
        <w:jc w:val="both"/>
        <w:rPr>
          <w:color w:val="auto"/>
          <w:sz w:val="22"/>
          <w:szCs w:val="22"/>
        </w:rPr>
      </w:pPr>
      <w:r>
        <w:rPr>
          <w:color w:val="auto"/>
          <w:sz w:val="22"/>
          <w:szCs w:val="22"/>
        </w:rPr>
        <w:t>развитие социально ценных личностных качеств: организованности, аккуратности, добросовестного и ответственного отношения к работе, взаимопомощи, волевой саморегуляции, активности и инициативности;</w:t>
      </w:r>
    </w:p>
    <w:p w14:paraId="61D50182">
      <w:pPr>
        <w:pStyle w:val="85"/>
        <w:spacing w:before="240"/>
        <w:ind w:firstLine="540"/>
        <w:jc w:val="both"/>
        <w:rPr>
          <w:color w:val="auto"/>
          <w:sz w:val="22"/>
          <w:szCs w:val="22"/>
        </w:rPr>
      </w:pPr>
      <w:r>
        <w:rPr>
          <w:color w:val="auto"/>
          <w:sz w:val="22"/>
          <w:szCs w:val="22"/>
        </w:rPr>
        <w:t>воспитание интереса и творческого отношения к продуктивной созидательной деятельности, мотивации успеха и достижений, стремления к творческой самореализации;</w:t>
      </w:r>
    </w:p>
    <w:p w14:paraId="7F735D1F">
      <w:pPr>
        <w:pStyle w:val="85"/>
        <w:spacing w:before="240"/>
        <w:ind w:firstLine="540"/>
        <w:jc w:val="both"/>
        <w:rPr>
          <w:color w:val="auto"/>
          <w:sz w:val="22"/>
          <w:szCs w:val="22"/>
        </w:rPr>
      </w:pPr>
      <w:r>
        <w:rPr>
          <w:color w:val="auto"/>
          <w:sz w:val="22"/>
          <w:szCs w:val="22"/>
        </w:rPr>
        <w:t>становление экологического сознания, внимательного и вдумчивого отношения к окружающей природе, осознание взаимосвязи рукотворного мира с миром природы;</w:t>
      </w:r>
    </w:p>
    <w:p w14:paraId="316598DA">
      <w:pPr>
        <w:pStyle w:val="85"/>
        <w:spacing w:before="240"/>
        <w:ind w:firstLine="540"/>
        <w:jc w:val="both"/>
        <w:rPr>
          <w:color w:val="auto"/>
          <w:sz w:val="22"/>
          <w:szCs w:val="22"/>
        </w:rPr>
      </w:pPr>
      <w:r>
        <w:rPr>
          <w:color w:val="auto"/>
          <w:sz w:val="22"/>
          <w:szCs w:val="22"/>
        </w:rPr>
        <w:t>воспитание положительного отношения к коллективному труду, применение правил культуры общения, проявление уважения к взглядам и мнению других людей.</w:t>
      </w:r>
    </w:p>
    <w:p w14:paraId="158A75F1">
      <w:pPr>
        <w:pStyle w:val="85"/>
        <w:spacing w:before="240"/>
        <w:ind w:firstLine="540"/>
        <w:jc w:val="both"/>
        <w:rPr>
          <w:color w:val="auto"/>
          <w:sz w:val="22"/>
          <w:szCs w:val="22"/>
        </w:rPr>
      </w:pPr>
      <w:r>
        <w:rPr>
          <w:color w:val="auto"/>
          <w:sz w:val="22"/>
          <w:szCs w:val="22"/>
        </w:rPr>
        <w:t>15.5.4. Содержание программы по труду (технологии) включает характеристику основных структурных единиц (модулей), которые являются общими для каждого года обучения:</w:t>
      </w:r>
    </w:p>
    <w:p w14:paraId="5125F6C5">
      <w:pPr>
        <w:pStyle w:val="85"/>
        <w:spacing w:before="240"/>
        <w:ind w:firstLine="540"/>
        <w:jc w:val="both"/>
        <w:rPr>
          <w:color w:val="auto"/>
          <w:sz w:val="22"/>
          <w:szCs w:val="22"/>
        </w:rPr>
      </w:pPr>
      <w:r>
        <w:rPr>
          <w:color w:val="auto"/>
          <w:sz w:val="22"/>
          <w:szCs w:val="22"/>
        </w:rPr>
        <w:t>труд, технологии, профессии и производства;</w:t>
      </w:r>
    </w:p>
    <w:p w14:paraId="56D84D3C">
      <w:pPr>
        <w:pStyle w:val="85"/>
        <w:spacing w:before="240"/>
        <w:ind w:firstLine="540"/>
        <w:jc w:val="both"/>
        <w:rPr>
          <w:color w:val="auto"/>
          <w:sz w:val="22"/>
          <w:szCs w:val="22"/>
        </w:rPr>
      </w:pPr>
      <w:r>
        <w:rPr>
          <w:color w:val="auto"/>
          <w:sz w:val="22"/>
          <w:szCs w:val="22"/>
        </w:rPr>
        <w:t>технологии ручной обработки материалов: работы с бумагой и картоном, с пластичными материалами, с природным материалом, с текстильными материалами и другими доступными материалами (например, пластик, поролон, фольга, солома);</w:t>
      </w:r>
    </w:p>
    <w:p w14:paraId="4D3BBB1D">
      <w:pPr>
        <w:pStyle w:val="85"/>
        <w:spacing w:before="240"/>
        <w:ind w:firstLine="540"/>
        <w:jc w:val="both"/>
        <w:rPr>
          <w:color w:val="auto"/>
          <w:sz w:val="22"/>
          <w:szCs w:val="22"/>
        </w:rPr>
      </w:pPr>
      <w:r>
        <w:rPr>
          <w:color w:val="auto"/>
          <w:sz w:val="22"/>
          <w:szCs w:val="22"/>
        </w:rPr>
        <w:t>конструирование и моделирование: работа с конструктором (с учетом возможностей материально-технической базы образовательной организации), конструирование и моделирование из бумаги, картона, пластичных материалов, природных и текстильных материалов, робототехника (с учетом возможностей материально-технической базы образовательной организации);</w:t>
      </w:r>
    </w:p>
    <w:p w14:paraId="69B38E18">
      <w:pPr>
        <w:pStyle w:val="85"/>
        <w:spacing w:before="240"/>
        <w:ind w:firstLine="540"/>
        <w:jc w:val="both"/>
        <w:rPr>
          <w:color w:val="auto"/>
          <w:sz w:val="22"/>
          <w:szCs w:val="22"/>
        </w:rPr>
      </w:pPr>
      <w:r>
        <w:rPr>
          <w:color w:val="auto"/>
          <w:sz w:val="22"/>
          <w:szCs w:val="22"/>
        </w:rPr>
        <w:t>ИКТ (с учетом возможностей материально-технической базы образовательной организации).</w:t>
      </w:r>
    </w:p>
    <w:p w14:paraId="36770CB3">
      <w:pPr>
        <w:pStyle w:val="85"/>
        <w:spacing w:before="240"/>
        <w:ind w:firstLine="540"/>
        <w:jc w:val="both"/>
        <w:rPr>
          <w:color w:val="auto"/>
          <w:sz w:val="22"/>
          <w:szCs w:val="22"/>
        </w:rPr>
      </w:pPr>
      <w:r>
        <w:rPr>
          <w:color w:val="auto"/>
          <w:sz w:val="22"/>
          <w:szCs w:val="22"/>
        </w:rPr>
        <w:t>15.5.5. В процессе освоения программы по труду (технологии) обучающиеся овладевают основами проектной деятельности, которая направлена на развитие творческих черт личности, коммуникабельности, чувства ответственности, умения искать и использовать информацию.</w:t>
      </w:r>
    </w:p>
    <w:p w14:paraId="7D949B0F">
      <w:pPr>
        <w:pStyle w:val="85"/>
        <w:spacing w:before="240"/>
        <w:ind w:firstLine="540"/>
        <w:jc w:val="both"/>
        <w:rPr>
          <w:color w:val="auto"/>
          <w:sz w:val="22"/>
          <w:szCs w:val="22"/>
        </w:rPr>
      </w:pPr>
      <w:r>
        <w:rPr>
          <w:color w:val="auto"/>
          <w:sz w:val="22"/>
          <w:szCs w:val="22"/>
        </w:rPr>
        <w:t>15.5.6. В программе по труду (технологии) осуществляется реализация межпредметных связей с учебными предметами: "Математика" (моделирование, выполнение расчетов, вычислений, построение форм с учетом основ геометрии, работа с геометрическими фигурами, телами, именованными числами), "Изобразительное искусство" (использование средств художественной выразительности, законов и правил декоративно-прикладного искусства и дизайна), "Окружающий мир" (природные формы и конструкции как универсальный источник инженерно-художественных идей для мастера; природа как источник сырья, этнокультурные традиции), "Родной язык" (использование важнейших видов речевой деятельности и основных типов учебных текстов в процессе анализа заданий и обсуждения результатов практической деятельности), "Литературное чтение" (работа с текстами для создания образа, реализуемого в изделии).</w:t>
      </w:r>
    </w:p>
    <w:p w14:paraId="000FE62F">
      <w:pPr>
        <w:pStyle w:val="85"/>
        <w:spacing w:before="240"/>
        <w:ind w:firstLine="540"/>
        <w:jc w:val="both"/>
        <w:rPr>
          <w:color w:val="auto"/>
          <w:sz w:val="22"/>
          <w:szCs w:val="22"/>
        </w:rPr>
      </w:pPr>
      <w:r>
        <w:rPr>
          <w:color w:val="auto"/>
          <w:sz w:val="22"/>
          <w:szCs w:val="22"/>
        </w:rPr>
        <w:t>15.5.7. Общее число часов, рекомендованных для изучения труда (технологии), - 135 часов: в 1 классе - 33 часа (1 час в неделю), во 2 классе - 34 часа (1 час в неделю), в 3 классе - 34 часа (1 час в неделю), в 4 классе - 34 часа (1 час в неделю).</w:t>
      </w:r>
    </w:p>
    <w:p w14:paraId="3823798D">
      <w:pPr>
        <w:pStyle w:val="85"/>
        <w:jc w:val="both"/>
        <w:rPr>
          <w:color w:val="auto"/>
          <w:sz w:val="22"/>
          <w:szCs w:val="22"/>
        </w:rPr>
      </w:pPr>
    </w:p>
    <w:p w14:paraId="4FE645CC">
      <w:pPr>
        <w:pStyle w:val="85"/>
        <w:ind w:firstLine="540"/>
        <w:jc w:val="both"/>
        <w:rPr>
          <w:color w:val="auto"/>
          <w:sz w:val="22"/>
          <w:szCs w:val="22"/>
        </w:rPr>
      </w:pPr>
      <w:r>
        <w:rPr>
          <w:color w:val="auto"/>
          <w:sz w:val="22"/>
          <w:szCs w:val="22"/>
        </w:rPr>
        <w:t>15.6. Содержание обучения в 1 классе.</w:t>
      </w:r>
    </w:p>
    <w:p w14:paraId="35396498">
      <w:pPr>
        <w:pStyle w:val="85"/>
        <w:spacing w:before="240"/>
        <w:ind w:firstLine="540"/>
        <w:jc w:val="both"/>
        <w:rPr>
          <w:color w:val="auto"/>
          <w:sz w:val="22"/>
          <w:szCs w:val="22"/>
        </w:rPr>
      </w:pPr>
      <w:r>
        <w:rPr>
          <w:color w:val="auto"/>
          <w:sz w:val="22"/>
          <w:szCs w:val="22"/>
        </w:rPr>
        <w:t>15.6.1. Технологии, профессии и производства.</w:t>
      </w:r>
    </w:p>
    <w:p w14:paraId="54978DCA">
      <w:pPr>
        <w:pStyle w:val="85"/>
        <w:spacing w:before="240"/>
        <w:ind w:firstLine="540"/>
        <w:jc w:val="both"/>
        <w:rPr>
          <w:color w:val="auto"/>
          <w:sz w:val="22"/>
          <w:szCs w:val="22"/>
        </w:rPr>
      </w:pPr>
      <w:r>
        <w:rPr>
          <w:color w:val="auto"/>
          <w:sz w:val="22"/>
          <w:szCs w:val="22"/>
        </w:rPr>
        <w:t>15.6.1.1. Природное и техническое окружение человека. Природа как источник сырьевых ресурсов и творчества мастеров. Красота и разнообразие природных форм, их передача в изделиях из различных материалов. Наблюдения природы и фантазия мастера - условия создания изделия. Бережное отношение к природе. Общее понятие об изучаемых материалах, их происхождении, разнообразии. Подготовка к работе. Рабочее место, его организация в зависимости от вида работы. Рациональное размещение на рабочем месте материалов и инструментов, поддержание порядка во время работы, уборка по окончании работы. Рациональное и безопасное использование и хранение инструментов.</w:t>
      </w:r>
    </w:p>
    <w:p w14:paraId="4855FD6B">
      <w:pPr>
        <w:pStyle w:val="85"/>
        <w:spacing w:before="240"/>
        <w:ind w:firstLine="540"/>
        <w:jc w:val="both"/>
        <w:rPr>
          <w:color w:val="auto"/>
          <w:sz w:val="22"/>
          <w:szCs w:val="22"/>
        </w:rPr>
      </w:pPr>
      <w:r>
        <w:rPr>
          <w:color w:val="auto"/>
          <w:sz w:val="22"/>
          <w:szCs w:val="22"/>
        </w:rPr>
        <w:t>15.6.1.2. Мир профессий. Профессии родных и знакомых. Профессии, связанные с изучаемыми материалами и производствами. Профессии сферы обслуживания.</w:t>
      </w:r>
    </w:p>
    <w:p w14:paraId="6E832690">
      <w:pPr>
        <w:pStyle w:val="85"/>
        <w:spacing w:before="240"/>
        <w:ind w:firstLine="540"/>
        <w:jc w:val="both"/>
        <w:rPr>
          <w:color w:val="auto"/>
          <w:sz w:val="22"/>
          <w:szCs w:val="22"/>
        </w:rPr>
      </w:pPr>
      <w:r>
        <w:rPr>
          <w:color w:val="auto"/>
          <w:sz w:val="22"/>
          <w:szCs w:val="22"/>
        </w:rPr>
        <w:t>15.6.1.3. Традиции и праздники народов России, ремесла, обычаи.</w:t>
      </w:r>
    </w:p>
    <w:p w14:paraId="4EA17451">
      <w:pPr>
        <w:pStyle w:val="85"/>
        <w:spacing w:before="240"/>
        <w:ind w:firstLine="540"/>
        <w:jc w:val="both"/>
        <w:rPr>
          <w:color w:val="auto"/>
          <w:sz w:val="22"/>
          <w:szCs w:val="22"/>
        </w:rPr>
      </w:pPr>
      <w:r>
        <w:rPr>
          <w:color w:val="auto"/>
          <w:sz w:val="22"/>
          <w:szCs w:val="22"/>
        </w:rPr>
        <w:t>15.6.2. Технологии ручной обработки материалов.</w:t>
      </w:r>
    </w:p>
    <w:p w14:paraId="16017184">
      <w:pPr>
        <w:pStyle w:val="85"/>
        <w:spacing w:before="240"/>
        <w:ind w:firstLine="540"/>
        <w:jc w:val="both"/>
        <w:rPr>
          <w:color w:val="auto"/>
          <w:sz w:val="22"/>
          <w:szCs w:val="22"/>
        </w:rPr>
      </w:pPr>
      <w:r>
        <w:rPr>
          <w:color w:val="auto"/>
          <w:sz w:val="22"/>
          <w:szCs w:val="22"/>
        </w:rPr>
        <w:t>15.6.2.1. Бережное, экономное и рациональное использование обрабатываемых материалов. Использование конструктивных особенностей материалов при изготовлении изделий.</w:t>
      </w:r>
    </w:p>
    <w:p w14:paraId="375A28B3">
      <w:pPr>
        <w:pStyle w:val="85"/>
        <w:spacing w:before="240"/>
        <w:ind w:firstLine="540"/>
        <w:jc w:val="both"/>
        <w:rPr>
          <w:color w:val="auto"/>
          <w:sz w:val="22"/>
          <w:szCs w:val="22"/>
        </w:rPr>
      </w:pPr>
      <w:r>
        <w:rPr>
          <w:color w:val="auto"/>
          <w:sz w:val="22"/>
          <w:szCs w:val="22"/>
        </w:rPr>
        <w:t>15.6.2.2. Общее представление об основных технологических операциях ручной обработки материалов: разметка деталей, выделение деталей, формообразование деталей, сборка изделия, отделка изделия или его деталей.</w:t>
      </w:r>
    </w:p>
    <w:p w14:paraId="262772A3">
      <w:pPr>
        <w:pStyle w:val="85"/>
        <w:spacing w:before="240"/>
        <w:ind w:firstLine="540"/>
        <w:jc w:val="both"/>
        <w:rPr>
          <w:color w:val="auto"/>
          <w:sz w:val="22"/>
          <w:szCs w:val="22"/>
        </w:rPr>
      </w:pPr>
      <w:r>
        <w:rPr>
          <w:color w:val="auto"/>
          <w:sz w:val="22"/>
          <w:szCs w:val="22"/>
        </w:rPr>
        <w:t>15.6.2.3. Способы разметки деталей: "на глаз" и "от руки", по шаблону, по линейке (как направляющему инструменту без откладывания размеров) и изготовление изделий с использованием рисунков, графических инструкций, простейших схем. Чтение условных графических изображений (знание операций, способов и приемов работы, последовательности изготовления изделий). Правила экономной и аккуратной разметки. Рациональная разметка и вырезание нескольких одинаковых деталей из бумаги. Способы соединения деталей в изделии: с помощью пластилина, клея, скручивание, сшивание и другие. Приемы и правила аккуратной работы с клеем. Отделка изделия или его деталей (окрашивание, вышивка, аппликация и другие).</w:t>
      </w:r>
    </w:p>
    <w:p w14:paraId="397EF91F">
      <w:pPr>
        <w:pStyle w:val="85"/>
        <w:spacing w:before="240"/>
        <w:ind w:firstLine="540"/>
        <w:jc w:val="both"/>
        <w:rPr>
          <w:color w:val="auto"/>
          <w:sz w:val="22"/>
          <w:szCs w:val="22"/>
        </w:rPr>
      </w:pPr>
      <w:r>
        <w:rPr>
          <w:color w:val="auto"/>
          <w:sz w:val="22"/>
          <w:szCs w:val="22"/>
        </w:rPr>
        <w:t>15.6.2.4. Подбор соответствующих инструментов и способов обработки материалов в зависимости от их свойств и видов изделий. Инструменты и приспособления (ножницы, линейка, игла, гладилка, стека, шаблон и другие), их правильное, рациональное и безопасное использование.</w:t>
      </w:r>
    </w:p>
    <w:p w14:paraId="20AD7823">
      <w:pPr>
        <w:pStyle w:val="85"/>
        <w:spacing w:before="240"/>
        <w:ind w:firstLine="540"/>
        <w:jc w:val="both"/>
        <w:rPr>
          <w:color w:val="auto"/>
          <w:sz w:val="22"/>
          <w:szCs w:val="22"/>
        </w:rPr>
      </w:pPr>
      <w:r>
        <w:rPr>
          <w:color w:val="auto"/>
          <w:sz w:val="22"/>
          <w:szCs w:val="22"/>
        </w:rPr>
        <w:t>15.6.2.5. Пластические массы, их виды (пластилин, пластика и другие). Приемы изготовления изделий доступной по сложности формы из них: разметка "на глаз", отделение части (стекой, отрыванием), придание формы.</w:t>
      </w:r>
    </w:p>
    <w:p w14:paraId="7BBA6F5A">
      <w:pPr>
        <w:pStyle w:val="85"/>
        <w:spacing w:before="240"/>
        <w:ind w:firstLine="540"/>
        <w:jc w:val="both"/>
        <w:rPr>
          <w:color w:val="auto"/>
          <w:sz w:val="22"/>
          <w:szCs w:val="22"/>
        </w:rPr>
      </w:pPr>
      <w:r>
        <w:rPr>
          <w:color w:val="auto"/>
          <w:sz w:val="22"/>
          <w:szCs w:val="22"/>
        </w:rPr>
        <w:t>15.6.2.6. Наиболее распространенные виды бумаги, их общие свойства. Простейшие способы обработки бумаги различных видов: сгибание и складывание, сминание, обрывание, склеивание и другие. Резание бумаги ножницами. Правила безопасного использования ножниц.</w:t>
      </w:r>
    </w:p>
    <w:p w14:paraId="38A188C3">
      <w:pPr>
        <w:pStyle w:val="85"/>
        <w:spacing w:before="240"/>
        <w:ind w:firstLine="540"/>
        <w:jc w:val="both"/>
        <w:rPr>
          <w:color w:val="auto"/>
          <w:sz w:val="22"/>
          <w:szCs w:val="22"/>
        </w:rPr>
      </w:pPr>
      <w:r>
        <w:rPr>
          <w:color w:val="auto"/>
          <w:sz w:val="22"/>
          <w:szCs w:val="22"/>
        </w:rPr>
        <w:t>15.6.2.7. Виды природных материалов (плоские - листья и объемные - орехи, шишки, семена, ветки). Приемы работы с природными материалами: подбор материалов в соответствии с замыслом, составление композиции, соединение деталей (приклеивание, склеивание с помощью прокладки, соединение с помощью пластилина).</w:t>
      </w:r>
    </w:p>
    <w:p w14:paraId="2D52BF5A">
      <w:pPr>
        <w:pStyle w:val="85"/>
        <w:spacing w:before="240"/>
        <w:ind w:firstLine="540"/>
        <w:jc w:val="both"/>
        <w:rPr>
          <w:color w:val="auto"/>
          <w:sz w:val="22"/>
          <w:szCs w:val="22"/>
        </w:rPr>
      </w:pPr>
      <w:r>
        <w:rPr>
          <w:color w:val="auto"/>
          <w:sz w:val="22"/>
          <w:szCs w:val="22"/>
        </w:rPr>
        <w:t>15.6.2.8. Общее представление о тканях (текстиле), их строении и свойствах. Швейные инструменты и приспособления (иглы, булавки и другие). Отмеривание и заправка нитки в иголку, строчка прямого стежка.</w:t>
      </w:r>
    </w:p>
    <w:p w14:paraId="5EECE3F1">
      <w:pPr>
        <w:pStyle w:val="85"/>
        <w:spacing w:before="240"/>
        <w:ind w:firstLine="540"/>
        <w:jc w:val="both"/>
        <w:rPr>
          <w:color w:val="auto"/>
          <w:sz w:val="22"/>
          <w:szCs w:val="22"/>
        </w:rPr>
      </w:pPr>
      <w:r>
        <w:rPr>
          <w:color w:val="auto"/>
          <w:sz w:val="22"/>
          <w:szCs w:val="22"/>
        </w:rPr>
        <w:t>15.6.2.9. Использование дополнительных отделочных материалов.</w:t>
      </w:r>
    </w:p>
    <w:p w14:paraId="0FA8DA9E">
      <w:pPr>
        <w:pStyle w:val="85"/>
        <w:spacing w:before="240"/>
        <w:ind w:firstLine="540"/>
        <w:jc w:val="both"/>
        <w:rPr>
          <w:color w:val="auto"/>
          <w:sz w:val="22"/>
          <w:szCs w:val="22"/>
        </w:rPr>
      </w:pPr>
      <w:r>
        <w:rPr>
          <w:color w:val="auto"/>
          <w:sz w:val="22"/>
          <w:szCs w:val="22"/>
        </w:rPr>
        <w:t>15.6.3. Конструирование и моделирование.</w:t>
      </w:r>
    </w:p>
    <w:p w14:paraId="364D17E4">
      <w:pPr>
        <w:pStyle w:val="85"/>
        <w:spacing w:before="240"/>
        <w:ind w:firstLine="540"/>
        <w:jc w:val="both"/>
        <w:rPr>
          <w:color w:val="auto"/>
          <w:sz w:val="22"/>
          <w:szCs w:val="22"/>
        </w:rPr>
      </w:pPr>
      <w:r>
        <w:rPr>
          <w:color w:val="auto"/>
          <w:sz w:val="22"/>
          <w:szCs w:val="22"/>
        </w:rPr>
        <w:t>15.6.3.1. Простые и объемные конструкции из разных материалов (пластические массы, бумага, текстиль и другие) и способы их создания. Общее представление о конструкции изделия, детали и части изделия, их взаимное расположение в общей конструкции. Способы соединения деталей в изделиях из разных материалов. Образец, анализ конструкции образцов изделий, изготовление изделий по образцу, рисунку. Конструирование по модели (на плоскости). Взаимосвязь выполняемого действия и результата. Элементарное прогнозирование порядка действий в зависимости от желаемого (необходимого) результата, выбор способа работы в зависимости от требуемого результата (замысла).</w:t>
      </w:r>
    </w:p>
    <w:p w14:paraId="16160D5A">
      <w:pPr>
        <w:pStyle w:val="85"/>
        <w:spacing w:before="240"/>
        <w:ind w:firstLine="540"/>
        <w:jc w:val="both"/>
        <w:rPr>
          <w:color w:val="auto"/>
          <w:sz w:val="22"/>
          <w:szCs w:val="22"/>
        </w:rPr>
      </w:pPr>
      <w:r>
        <w:rPr>
          <w:color w:val="auto"/>
          <w:sz w:val="22"/>
          <w:szCs w:val="22"/>
        </w:rPr>
        <w:t>15.6.4. ИКТ.</w:t>
      </w:r>
    </w:p>
    <w:p w14:paraId="34F3703B">
      <w:pPr>
        <w:pStyle w:val="85"/>
        <w:spacing w:before="240"/>
        <w:ind w:firstLine="540"/>
        <w:jc w:val="both"/>
        <w:rPr>
          <w:color w:val="auto"/>
          <w:sz w:val="22"/>
          <w:szCs w:val="22"/>
        </w:rPr>
      </w:pPr>
      <w:r>
        <w:rPr>
          <w:color w:val="auto"/>
          <w:sz w:val="22"/>
          <w:szCs w:val="22"/>
        </w:rPr>
        <w:t>15.6.4.1. Демонстрация учителем подготовленных материалов на информационных носителях.</w:t>
      </w:r>
    </w:p>
    <w:p w14:paraId="185953E8">
      <w:pPr>
        <w:pStyle w:val="85"/>
        <w:spacing w:before="240"/>
        <w:ind w:firstLine="540"/>
        <w:jc w:val="both"/>
        <w:rPr>
          <w:color w:val="auto"/>
          <w:sz w:val="22"/>
          <w:szCs w:val="22"/>
        </w:rPr>
      </w:pPr>
      <w:r>
        <w:rPr>
          <w:color w:val="auto"/>
          <w:sz w:val="22"/>
          <w:szCs w:val="22"/>
        </w:rPr>
        <w:t>167.6.4.2. Информация. Виды информации.</w:t>
      </w:r>
    </w:p>
    <w:p w14:paraId="57945A42">
      <w:pPr>
        <w:pStyle w:val="85"/>
        <w:spacing w:before="240"/>
        <w:ind w:firstLine="540"/>
        <w:jc w:val="both"/>
        <w:rPr>
          <w:color w:val="auto"/>
          <w:sz w:val="22"/>
          <w:szCs w:val="22"/>
        </w:rPr>
      </w:pPr>
      <w:r>
        <w:rPr>
          <w:color w:val="auto"/>
          <w:sz w:val="22"/>
          <w:szCs w:val="22"/>
        </w:rPr>
        <w:t>15.6.5. Изучение труда (технологии) в 1 классе способствует освоению на пропедевтическом уровне ряда универсальных учебных действий: познавательных универсальных учебных действий, коммуникативных универсальных учебных действий, регулятивных универсальных учебных действий, совместной деятельности.</w:t>
      </w:r>
    </w:p>
    <w:p w14:paraId="2CB5C5CD">
      <w:pPr>
        <w:pStyle w:val="85"/>
        <w:spacing w:before="240"/>
        <w:ind w:firstLine="540"/>
        <w:jc w:val="both"/>
        <w:rPr>
          <w:color w:val="auto"/>
          <w:sz w:val="22"/>
          <w:szCs w:val="22"/>
        </w:rPr>
      </w:pPr>
      <w:r>
        <w:rPr>
          <w:color w:val="auto"/>
          <w:sz w:val="22"/>
          <w:szCs w:val="22"/>
        </w:rPr>
        <w:t>15.6.5.1. У обучающегося будут сформированы следующие базовые логические и исследовательские действия как часть познавательных универсальных учебных действий:</w:t>
      </w:r>
    </w:p>
    <w:p w14:paraId="4095AB45">
      <w:pPr>
        <w:pStyle w:val="85"/>
        <w:spacing w:before="240"/>
        <w:ind w:firstLine="540"/>
        <w:jc w:val="both"/>
        <w:rPr>
          <w:color w:val="auto"/>
          <w:sz w:val="22"/>
          <w:szCs w:val="22"/>
        </w:rPr>
      </w:pPr>
      <w:r>
        <w:rPr>
          <w:color w:val="auto"/>
          <w:sz w:val="22"/>
          <w:szCs w:val="22"/>
        </w:rPr>
        <w:t>ориентироваться в терминах, используемых в технологии (в пределах изученного);</w:t>
      </w:r>
    </w:p>
    <w:p w14:paraId="091D56E1">
      <w:pPr>
        <w:pStyle w:val="85"/>
        <w:spacing w:before="240"/>
        <w:ind w:firstLine="540"/>
        <w:jc w:val="both"/>
        <w:rPr>
          <w:color w:val="auto"/>
          <w:sz w:val="22"/>
          <w:szCs w:val="22"/>
        </w:rPr>
      </w:pPr>
      <w:r>
        <w:rPr>
          <w:color w:val="auto"/>
          <w:sz w:val="22"/>
          <w:szCs w:val="22"/>
        </w:rPr>
        <w:t>воспринимать и использовать предложенную инструкцию (устную, графическую);</w:t>
      </w:r>
    </w:p>
    <w:p w14:paraId="58A0BB03">
      <w:pPr>
        <w:pStyle w:val="85"/>
        <w:spacing w:before="240"/>
        <w:ind w:firstLine="540"/>
        <w:jc w:val="both"/>
        <w:rPr>
          <w:color w:val="auto"/>
          <w:sz w:val="22"/>
          <w:szCs w:val="22"/>
        </w:rPr>
      </w:pPr>
      <w:r>
        <w:rPr>
          <w:color w:val="auto"/>
          <w:sz w:val="22"/>
          <w:szCs w:val="22"/>
        </w:rPr>
        <w:t>анализировать устройство простых изделий по образцу, рисунку, выделять основные и второстепенные составляющие конструкции;</w:t>
      </w:r>
    </w:p>
    <w:p w14:paraId="7B1AB00B">
      <w:pPr>
        <w:pStyle w:val="85"/>
        <w:spacing w:before="240"/>
        <w:ind w:firstLine="540"/>
        <w:jc w:val="both"/>
        <w:rPr>
          <w:color w:val="auto"/>
          <w:sz w:val="22"/>
          <w:szCs w:val="22"/>
        </w:rPr>
      </w:pPr>
      <w:r>
        <w:rPr>
          <w:color w:val="auto"/>
          <w:sz w:val="22"/>
          <w:szCs w:val="22"/>
        </w:rPr>
        <w:t>сравнивать отдельные изделия (конструкции), находить сходство и различия в их устройстве.</w:t>
      </w:r>
    </w:p>
    <w:p w14:paraId="0159BE5C">
      <w:pPr>
        <w:pStyle w:val="85"/>
        <w:spacing w:before="240"/>
        <w:ind w:firstLine="540"/>
        <w:jc w:val="both"/>
        <w:rPr>
          <w:color w:val="auto"/>
          <w:sz w:val="22"/>
          <w:szCs w:val="22"/>
        </w:rPr>
      </w:pPr>
      <w:r>
        <w:rPr>
          <w:color w:val="auto"/>
          <w:sz w:val="22"/>
          <w:szCs w:val="22"/>
        </w:rPr>
        <w:t>15.6.5.2. У обучающегося будут сформированы следующие умения работать с информацией как часть познавательных универсальных учебных действий:</w:t>
      </w:r>
    </w:p>
    <w:p w14:paraId="27E24600">
      <w:pPr>
        <w:pStyle w:val="85"/>
        <w:spacing w:before="240"/>
        <w:ind w:firstLine="540"/>
        <w:jc w:val="both"/>
        <w:rPr>
          <w:color w:val="auto"/>
          <w:sz w:val="22"/>
          <w:szCs w:val="22"/>
        </w:rPr>
      </w:pPr>
      <w:r>
        <w:rPr>
          <w:color w:val="auto"/>
          <w:sz w:val="22"/>
          <w:szCs w:val="22"/>
        </w:rPr>
        <w:t>воспринимать информацию (представленную в объяснении учителя или в учебнике), использовать ее в работе;</w:t>
      </w:r>
    </w:p>
    <w:p w14:paraId="3DA0C142">
      <w:pPr>
        <w:pStyle w:val="85"/>
        <w:spacing w:before="240"/>
        <w:ind w:firstLine="540"/>
        <w:jc w:val="both"/>
        <w:rPr>
          <w:color w:val="auto"/>
          <w:sz w:val="22"/>
          <w:szCs w:val="22"/>
        </w:rPr>
      </w:pPr>
      <w:r>
        <w:rPr>
          <w:color w:val="auto"/>
          <w:sz w:val="22"/>
          <w:szCs w:val="22"/>
        </w:rPr>
        <w:t>понимать и анализировать простейшую знаково-символическую информацию (схема, рисунок) и строить работу в соответствии с ней.</w:t>
      </w:r>
    </w:p>
    <w:p w14:paraId="113F124D">
      <w:pPr>
        <w:pStyle w:val="85"/>
        <w:spacing w:before="240"/>
        <w:ind w:firstLine="540"/>
        <w:jc w:val="both"/>
        <w:rPr>
          <w:color w:val="auto"/>
          <w:sz w:val="22"/>
          <w:szCs w:val="22"/>
        </w:rPr>
      </w:pPr>
      <w:r>
        <w:rPr>
          <w:color w:val="auto"/>
          <w:sz w:val="22"/>
          <w:szCs w:val="22"/>
        </w:rPr>
        <w:t>15.6.5.3. У обучающегося будут сформированы следующие умения общения как часть коммуникативных универсальных учебных действий:</w:t>
      </w:r>
    </w:p>
    <w:p w14:paraId="18846411">
      <w:pPr>
        <w:pStyle w:val="85"/>
        <w:spacing w:before="240"/>
        <w:ind w:firstLine="540"/>
        <w:jc w:val="both"/>
        <w:rPr>
          <w:color w:val="auto"/>
          <w:sz w:val="22"/>
          <w:szCs w:val="22"/>
        </w:rPr>
      </w:pPr>
      <w:r>
        <w:rPr>
          <w:color w:val="auto"/>
          <w:sz w:val="22"/>
          <w:szCs w:val="22"/>
        </w:rPr>
        <w:t>участвовать в коллективном обсуждении: высказывать собственное мнение, отвечать на вопросы, выполнять правила этики общения: уважительное отношение к одноклассникам, внимание к мнению другого человека;</w:t>
      </w:r>
    </w:p>
    <w:p w14:paraId="05D77997">
      <w:pPr>
        <w:pStyle w:val="85"/>
        <w:spacing w:before="240"/>
        <w:ind w:firstLine="540"/>
        <w:jc w:val="both"/>
        <w:rPr>
          <w:color w:val="auto"/>
          <w:sz w:val="22"/>
          <w:szCs w:val="22"/>
        </w:rPr>
      </w:pPr>
      <w:r>
        <w:rPr>
          <w:color w:val="auto"/>
          <w:sz w:val="22"/>
          <w:szCs w:val="22"/>
        </w:rPr>
        <w:t>строить несложные высказывания, сообщения в устной форме (по содержанию изученных тем).</w:t>
      </w:r>
    </w:p>
    <w:p w14:paraId="611D23C7">
      <w:pPr>
        <w:pStyle w:val="85"/>
        <w:spacing w:before="240"/>
        <w:ind w:firstLine="540"/>
        <w:jc w:val="both"/>
        <w:rPr>
          <w:color w:val="auto"/>
          <w:sz w:val="22"/>
          <w:szCs w:val="22"/>
        </w:rPr>
      </w:pPr>
      <w:r>
        <w:rPr>
          <w:color w:val="auto"/>
          <w:sz w:val="22"/>
          <w:szCs w:val="22"/>
        </w:rPr>
        <w:t>15.6.5.4. У обучающегося будут сформированы следующие умения самоорганизации и самоконтроля как часть регулятивных универсальных учебных действий:</w:t>
      </w:r>
    </w:p>
    <w:p w14:paraId="6527F541">
      <w:pPr>
        <w:pStyle w:val="85"/>
        <w:spacing w:before="240"/>
        <w:ind w:firstLine="540"/>
        <w:jc w:val="both"/>
        <w:rPr>
          <w:color w:val="auto"/>
          <w:sz w:val="22"/>
          <w:szCs w:val="22"/>
        </w:rPr>
      </w:pPr>
      <w:r>
        <w:rPr>
          <w:color w:val="auto"/>
          <w:sz w:val="22"/>
          <w:szCs w:val="22"/>
        </w:rPr>
        <w:t>принимать и удерживать в процессе деятельности предложенную учебную задачу;</w:t>
      </w:r>
    </w:p>
    <w:p w14:paraId="43CC0A67">
      <w:pPr>
        <w:pStyle w:val="85"/>
        <w:spacing w:before="240"/>
        <w:ind w:firstLine="540"/>
        <w:jc w:val="both"/>
        <w:rPr>
          <w:color w:val="auto"/>
          <w:sz w:val="22"/>
          <w:szCs w:val="22"/>
        </w:rPr>
      </w:pPr>
      <w:r>
        <w:rPr>
          <w:color w:val="auto"/>
          <w:sz w:val="22"/>
          <w:szCs w:val="22"/>
        </w:rPr>
        <w:t>действовать по плану, предложенному учителем, работать с использованием графических инструкций учебника, принимать участие в коллективном построении простого плана действий;</w:t>
      </w:r>
    </w:p>
    <w:p w14:paraId="062A0F2C">
      <w:pPr>
        <w:pStyle w:val="85"/>
        <w:spacing w:before="240"/>
        <w:ind w:firstLine="540"/>
        <w:jc w:val="both"/>
        <w:rPr>
          <w:color w:val="auto"/>
          <w:sz w:val="22"/>
          <w:szCs w:val="22"/>
        </w:rPr>
      </w:pPr>
      <w:r>
        <w:rPr>
          <w:color w:val="auto"/>
          <w:sz w:val="22"/>
          <w:szCs w:val="22"/>
        </w:rPr>
        <w:t>понимать и принимать критерии оценки качества работы, руководствоваться ими в процессе анализа и оценки выполненных работ;</w:t>
      </w:r>
    </w:p>
    <w:p w14:paraId="7A9C2C02">
      <w:pPr>
        <w:pStyle w:val="85"/>
        <w:spacing w:before="240"/>
        <w:ind w:firstLine="540"/>
        <w:jc w:val="both"/>
        <w:rPr>
          <w:color w:val="auto"/>
          <w:sz w:val="22"/>
          <w:szCs w:val="22"/>
        </w:rPr>
      </w:pPr>
      <w:r>
        <w:rPr>
          <w:color w:val="auto"/>
          <w:sz w:val="22"/>
          <w:szCs w:val="22"/>
        </w:rPr>
        <w:t>организовывать свою деятельность: производить подготовку к уроку рабочего места, поддерживать на нем порядок в течение урока, производить необходимую уборку по окончании работы;</w:t>
      </w:r>
    </w:p>
    <w:p w14:paraId="0846C49E">
      <w:pPr>
        <w:pStyle w:val="85"/>
        <w:spacing w:before="240"/>
        <w:ind w:firstLine="540"/>
        <w:jc w:val="both"/>
        <w:rPr>
          <w:color w:val="auto"/>
          <w:sz w:val="22"/>
          <w:szCs w:val="22"/>
        </w:rPr>
      </w:pPr>
      <w:r>
        <w:rPr>
          <w:color w:val="auto"/>
          <w:sz w:val="22"/>
          <w:szCs w:val="22"/>
        </w:rPr>
        <w:t>выполнять несложные действия контроля и оценки по предложенным критериям.</w:t>
      </w:r>
    </w:p>
    <w:p w14:paraId="70F7C484">
      <w:pPr>
        <w:pStyle w:val="85"/>
        <w:spacing w:before="240"/>
        <w:ind w:firstLine="540"/>
        <w:jc w:val="both"/>
        <w:rPr>
          <w:color w:val="auto"/>
          <w:sz w:val="22"/>
          <w:szCs w:val="22"/>
        </w:rPr>
      </w:pPr>
      <w:r>
        <w:rPr>
          <w:color w:val="auto"/>
          <w:sz w:val="22"/>
          <w:szCs w:val="22"/>
        </w:rPr>
        <w:t>15.6.5.5. Совместная деятельность способствует формированию умений:</w:t>
      </w:r>
    </w:p>
    <w:p w14:paraId="44DDA550">
      <w:pPr>
        <w:pStyle w:val="85"/>
        <w:spacing w:before="240"/>
        <w:ind w:firstLine="540"/>
        <w:jc w:val="both"/>
        <w:rPr>
          <w:color w:val="auto"/>
          <w:sz w:val="22"/>
          <w:szCs w:val="22"/>
        </w:rPr>
      </w:pPr>
      <w:r>
        <w:rPr>
          <w:color w:val="auto"/>
          <w:sz w:val="22"/>
          <w:szCs w:val="22"/>
        </w:rPr>
        <w:t>проявлять положительное отношение к включению в совместную работу, к простым видам сотрудничества;</w:t>
      </w:r>
    </w:p>
    <w:p w14:paraId="1E0B3339">
      <w:pPr>
        <w:pStyle w:val="85"/>
        <w:spacing w:before="240"/>
        <w:ind w:firstLine="540"/>
        <w:jc w:val="both"/>
        <w:rPr>
          <w:color w:val="auto"/>
          <w:sz w:val="22"/>
          <w:szCs w:val="22"/>
        </w:rPr>
      </w:pPr>
      <w:r>
        <w:rPr>
          <w:color w:val="auto"/>
          <w:sz w:val="22"/>
          <w:szCs w:val="22"/>
        </w:rPr>
        <w:t>принимать участие в парных, групповых, коллективных видах работы, в процессе изготовления изделий осуществлять элементарное сотрудничество.</w:t>
      </w:r>
    </w:p>
    <w:p w14:paraId="687649E3">
      <w:pPr>
        <w:pStyle w:val="85"/>
        <w:jc w:val="both"/>
        <w:rPr>
          <w:color w:val="auto"/>
          <w:sz w:val="22"/>
          <w:szCs w:val="22"/>
        </w:rPr>
      </w:pPr>
    </w:p>
    <w:p w14:paraId="4382198E">
      <w:pPr>
        <w:pStyle w:val="85"/>
        <w:ind w:firstLine="540"/>
        <w:jc w:val="both"/>
        <w:rPr>
          <w:color w:val="auto"/>
          <w:sz w:val="22"/>
          <w:szCs w:val="22"/>
        </w:rPr>
      </w:pPr>
      <w:r>
        <w:rPr>
          <w:color w:val="auto"/>
          <w:sz w:val="22"/>
          <w:szCs w:val="22"/>
        </w:rPr>
        <w:t>15.7. Содержание обучения во 2 классе.</w:t>
      </w:r>
    </w:p>
    <w:p w14:paraId="5B953909">
      <w:pPr>
        <w:pStyle w:val="85"/>
        <w:spacing w:before="240"/>
        <w:ind w:firstLine="540"/>
        <w:jc w:val="both"/>
        <w:rPr>
          <w:color w:val="auto"/>
          <w:sz w:val="22"/>
          <w:szCs w:val="22"/>
        </w:rPr>
      </w:pPr>
      <w:r>
        <w:rPr>
          <w:color w:val="auto"/>
          <w:sz w:val="22"/>
          <w:szCs w:val="22"/>
        </w:rPr>
        <w:t>15.7.1. Технологии, профессии и производства.</w:t>
      </w:r>
    </w:p>
    <w:p w14:paraId="54EE9884">
      <w:pPr>
        <w:pStyle w:val="85"/>
        <w:spacing w:before="240"/>
        <w:ind w:firstLine="540"/>
        <w:jc w:val="both"/>
        <w:rPr>
          <w:color w:val="auto"/>
          <w:sz w:val="22"/>
          <w:szCs w:val="22"/>
        </w:rPr>
      </w:pPr>
      <w:r>
        <w:rPr>
          <w:color w:val="auto"/>
          <w:sz w:val="22"/>
          <w:szCs w:val="22"/>
        </w:rPr>
        <w:t>15.7.1.1. Рукотворный мир - результат труда человека. Элементарные представления об основном принципе создания мира вещей: прочность конструкции, удобство использования, эстетическая выразительность. Средства художественной выразительности (композиция, цвет, тон и другие). Изготовление изделий с учетом данного принципа. Общее представление о технологическом процессе: анализ устройства и назначения изделия, выстраивание последовательности практических действий и технологических операций, подбор материалов и инструментов, экономная разметка, обработка с целью получения (выделения) деталей, сборка, отделка изделия, проверка изделия в действии, внесение необходимых дополнений и изменений. Изготовление изделий из различных материалов с соблюдением этапов технологического процесса.</w:t>
      </w:r>
    </w:p>
    <w:p w14:paraId="5B3667BA">
      <w:pPr>
        <w:pStyle w:val="85"/>
        <w:spacing w:before="240"/>
        <w:ind w:firstLine="540"/>
        <w:jc w:val="both"/>
        <w:rPr>
          <w:color w:val="auto"/>
          <w:sz w:val="22"/>
          <w:szCs w:val="22"/>
        </w:rPr>
      </w:pPr>
      <w:r>
        <w:rPr>
          <w:color w:val="auto"/>
          <w:sz w:val="22"/>
          <w:szCs w:val="22"/>
        </w:rPr>
        <w:t>15.7.1.2. Традиции и современность. Новая жизнь древних профессий. Совершенствование их технологических процессов. Мир профессий. Мастера и их профессии, правила мастера. Культурные традиции. Техника на службе человеку.</w:t>
      </w:r>
    </w:p>
    <w:p w14:paraId="2E3EAAAE">
      <w:pPr>
        <w:pStyle w:val="85"/>
        <w:spacing w:before="240"/>
        <w:ind w:firstLine="540"/>
        <w:jc w:val="both"/>
        <w:rPr>
          <w:color w:val="auto"/>
          <w:sz w:val="22"/>
          <w:szCs w:val="22"/>
        </w:rPr>
      </w:pPr>
      <w:r>
        <w:rPr>
          <w:color w:val="auto"/>
          <w:sz w:val="22"/>
          <w:szCs w:val="22"/>
        </w:rPr>
        <w:t>15.7.1.3. Элементарная творческая и проектная деятельность (создание замысла, его детализация и воплощение). Несложные коллективные, групповые проекты.</w:t>
      </w:r>
    </w:p>
    <w:p w14:paraId="27FE6F31">
      <w:pPr>
        <w:pStyle w:val="85"/>
        <w:spacing w:before="240"/>
        <w:ind w:firstLine="540"/>
        <w:jc w:val="both"/>
        <w:rPr>
          <w:color w:val="auto"/>
          <w:sz w:val="22"/>
          <w:szCs w:val="22"/>
        </w:rPr>
      </w:pPr>
      <w:r>
        <w:rPr>
          <w:color w:val="auto"/>
          <w:sz w:val="22"/>
          <w:szCs w:val="22"/>
        </w:rPr>
        <w:t>15.7.2. Технологии ручной обработки материалов.</w:t>
      </w:r>
    </w:p>
    <w:p w14:paraId="6CAD5452">
      <w:pPr>
        <w:pStyle w:val="85"/>
        <w:spacing w:before="240"/>
        <w:ind w:firstLine="540"/>
        <w:jc w:val="both"/>
        <w:rPr>
          <w:color w:val="auto"/>
          <w:sz w:val="22"/>
          <w:szCs w:val="22"/>
        </w:rPr>
      </w:pPr>
      <w:r>
        <w:rPr>
          <w:color w:val="auto"/>
          <w:sz w:val="22"/>
          <w:szCs w:val="22"/>
        </w:rPr>
        <w:t>15.7.2.1. Многообразие материалов, их свойств и их практическое применение в жизни. Исследование и сравнение элементарных физических, механических и технологических свойств различных материалов. Выбор материалов по их декоративно-художественным и конструктивным свойствам.</w:t>
      </w:r>
    </w:p>
    <w:p w14:paraId="0E1134AA">
      <w:pPr>
        <w:pStyle w:val="85"/>
        <w:spacing w:before="240"/>
        <w:ind w:firstLine="540"/>
        <w:jc w:val="both"/>
        <w:rPr>
          <w:color w:val="auto"/>
          <w:sz w:val="22"/>
          <w:szCs w:val="22"/>
        </w:rPr>
      </w:pPr>
      <w:r>
        <w:rPr>
          <w:color w:val="auto"/>
          <w:sz w:val="22"/>
          <w:szCs w:val="22"/>
        </w:rPr>
        <w:t>15.7.2.2. Знание и выполнение основных технологических операций ручной обработки материалов в процессе изготовления изделия: разметка деталей (с помощью линейки (угольника, циркуля), формообразование деталей (сгибание, складывание тонкого картона и плотных видов бумаги и другие), сборка изделия (сшивание). Подвижное соединение деталей изделия. Использование соответствующих способов обработки материалов в зависимости от вида и назначения изделия.</w:t>
      </w:r>
    </w:p>
    <w:p w14:paraId="6ECFD01C">
      <w:pPr>
        <w:pStyle w:val="85"/>
        <w:spacing w:before="240"/>
        <w:ind w:firstLine="540"/>
        <w:jc w:val="both"/>
        <w:rPr>
          <w:color w:val="auto"/>
          <w:sz w:val="22"/>
          <w:szCs w:val="22"/>
        </w:rPr>
      </w:pPr>
      <w:r>
        <w:rPr>
          <w:color w:val="auto"/>
          <w:sz w:val="22"/>
          <w:szCs w:val="22"/>
        </w:rPr>
        <w:t>15.7.2.3. Виды условных графических изображений: рисунок, простейший чертеж, эскиз, схема. Чертежные инструменты - линейка, угольник, циркуль. Их функциональное назначение, конструкция. Приемы безопасной работы колющими инструментами (циркуль).</w:t>
      </w:r>
    </w:p>
    <w:p w14:paraId="41A4B25D">
      <w:pPr>
        <w:pStyle w:val="85"/>
        <w:spacing w:before="240"/>
        <w:ind w:firstLine="540"/>
        <w:jc w:val="both"/>
        <w:rPr>
          <w:color w:val="auto"/>
          <w:sz w:val="22"/>
          <w:szCs w:val="22"/>
        </w:rPr>
      </w:pPr>
      <w:r>
        <w:rPr>
          <w:color w:val="auto"/>
          <w:sz w:val="22"/>
          <w:szCs w:val="22"/>
        </w:rPr>
        <w:t>15.7.2.4. Технология обработки бумаги и картона. Назначение линий чертежа (контур, линия разреза, сгиба, выносная, размерная). Чтение условных графических изображений. Построение прямоугольника от двух прямых углов (от одного прямого угла). Разметка деталей с использованием простейших чертежей, эскизов. Изготовление изделий по рисунку, простейшему чертежу или эскизу, схеме. Использование измерений, вычислений и построений для решения практических задач. Сгибание и складывание тонкого картона и плотных видов бумаги (биговка). Подвижное соединение деталей на проволоку, толстую нитку.</w:t>
      </w:r>
    </w:p>
    <w:p w14:paraId="4DADA32F">
      <w:pPr>
        <w:pStyle w:val="85"/>
        <w:spacing w:before="240"/>
        <w:ind w:firstLine="540"/>
        <w:jc w:val="both"/>
        <w:rPr>
          <w:color w:val="auto"/>
          <w:sz w:val="22"/>
          <w:szCs w:val="22"/>
        </w:rPr>
      </w:pPr>
      <w:r>
        <w:rPr>
          <w:color w:val="auto"/>
          <w:sz w:val="22"/>
          <w:szCs w:val="22"/>
        </w:rPr>
        <w:t>15.7.2.5. Технология обработки текстильных материалов. Строение ткани (поперечное и продольное направление нитей). Ткани и нитки растительного происхождения (полученные на основе натурального сырья). Виды ниток (швейные, мулине). Трикотаж, нетканые материалы (общее представление), его строение и основные свойства. Строчка прямого стежка и ее варианты (перевивы, наборы) и (или) строчка косого стежка и ее варианты (крестик, стебельчатая, елочка). Лекало. Разметка с помощью лекала (простейшей выкройки). Технологическая последовательность изготовления несложного швейного изделия (разметка деталей, выкраивание деталей, отделка деталей, сшивание деталей).</w:t>
      </w:r>
    </w:p>
    <w:p w14:paraId="6A387EEF">
      <w:pPr>
        <w:pStyle w:val="85"/>
        <w:spacing w:before="240"/>
        <w:ind w:firstLine="540"/>
        <w:jc w:val="both"/>
        <w:rPr>
          <w:color w:val="auto"/>
          <w:sz w:val="22"/>
          <w:szCs w:val="22"/>
        </w:rPr>
      </w:pPr>
      <w:r>
        <w:rPr>
          <w:color w:val="auto"/>
          <w:sz w:val="22"/>
          <w:szCs w:val="22"/>
        </w:rPr>
        <w:t>15.7.2.6. Использование дополнительных материалов (например, проволока, пряжа, бусины и другие).</w:t>
      </w:r>
    </w:p>
    <w:p w14:paraId="2F7F1FFA">
      <w:pPr>
        <w:pStyle w:val="85"/>
        <w:spacing w:before="240"/>
        <w:ind w:firstLine="540"/>
        <w:jc w:val="both"/>
        <w:rPr>
          <w:color w:val="auto"/>
          <w:sz w:val="22"/>
          <w:szCs w:val="22"/>
        </w:rPr>
      </w:pPr>
      <w:r>
        <w:rPr>
          <w:color w:val="auto"/>
          <w:sz w:val="22"/>
          <w:szCs w:val="22"/>
        </w:rPr>
        <w:t>15.7.3. Конструирование и моделирование.</w:t>
      </w:r>
    </w:p>
    <w:p w14:paraId="5C716C7C">
      <w:pPr>
        <w:pStyle w:val="85"/>
        <w:spacing w:before="240"/>
        <w:ind w:firstLine="540"/>
        <w:jc w:val="both"/>
        <w:rPr>
          <w:color w:val="auto"/>
          <w:sz w:val="22"/>
          <w:szCs w:val="22"/>
        </w:rPr>
      </w:pPr>
      <w:r>
        <w:rPr>
          <w:color w:val="auto"/>
          <w:sz w:val="22"/>
          <w:szCs w:val="22"/>
        </w:rPr>
        <w:t>15.7.3.1. Основные и дополнительные детали. Общее представление о правилах создания гармоничной композиции. Симметрия, способы разметки и конструирования симметричных форм.</w:t>
      </w:r>
    </w:p>
    <w:p w14:paraId="35711624">
      <w:pPr>
        <w:pStyle w:val="85"/>
        <w:spacing w:before="240"/>
        <w:ind w:firstLine="540"/>
        <w:jc w:val="both"/>
        <w:rPr>
          <w:color w:val="auto"/>
          <w:sz w:val="22"/>
          <w:szCs w:val="22"/>
        </w:rPr>
      </w:pPr>
      <w:r>
        <w:rPr>
          <w:color w:val="auto"/>
          <w:sz w:val="22"/>
          <w:szCs w:val="22"/>
        </w:rPr>
        <w:t>15.7.3.2. Конструирование и моделирование изделий из различных материалов по простейшему чертежу или эскизу. Подвижное соединение деталей конструкции. Внесение элементарных конструктивных изменений и дополнений в изделие.</w:t>
      </w:r>
    </w:p>
    <w:p w14:paraId="1CF26C35">
      <w:pPr>
        <w:pStyle w:val="85"/>
        <w:spacing w:before="240"/>
        <w:ind w:firstLine="540"/>
        <w:jc w:val="both"/>
        <w:rPr>
          <w:color w:val="auto"/>
          <w:sz w:val="22"/>
          <w:szCs w:val="22"/>
        </w:rPr>
      </w:pPr>
      <w:r>
        <w:rPr>
          <w:color w:val="auto"/>
          <w:sz w:val="22"/>
          <w:szCs w:val="22"/>
        </w:rPr>
        <w:t>15.7.4. ИКТ.</w:t>
      </w:r>
    </w:p>
    <w:p w14:paraId="38E96EAE">
      <w:pPr>
        <w:pStyle w:val="85"/>
        <w:spacing w:before="240"/>
        <w:ind w:firstLine="540"/>
        <w:jc w:val="both"/>
        <w:rPr>
          <w:color w:val="auto"/>
          <w:sz w:val="22"/>
          <w:szCs w:val="22"/>
        </w:rPr>
      </w:pPr>
      <w:r>
        <w:rPr>
          <w:color w:val="auto"/>
          <w:sz w:val="22"/>
          <w:szCs w:val="22"/>
        </w:rPr>
        <w:t>15.7.4.1. Демонстрация учителем подготовленных материалов на информационных носителях.</w:t>
      </w:r>
    </w:p>
    <w:p w14:paraId="49B6527A">
      <w:pPr>
        <w:pStyle w:val="85"/>
        <w:spacing w:before="240"/>
        <w:ind w:firstLine="540"/>
        <w:jc w:val="both"/>
        <w:rPr>
          <w:color w:val="auto"/>
          <w:sz w:val="22"/>
          <w:szCs w:val="22"/>
        </w:rPr>
      </w:pPr>
      <w:r>
        <w:rPr>
          <w:color w:val="auto"/>
          <w:sz w:val="22"/>
          <w:szCs w:val="22"/>
        </w:rPr>
        <w:t>15.7.4.2. Поиск информации. Интернет как источник информации.</w:t>
      </w:r>
    </w:p>
    <w:p w14:paraId="418120CC">
      <w:pPr>
        <w:pStyle w:val="85"/>
        <w:spacing w:before="240"/>
        <w:ind w:firstLine="540"/>
        <w:jc w:val="both"/>
        <w:rPr>
          <w:color w:val="auto"/>
          <w:sz w:val="22"/>
          <w:szCs w:val="22"/>
        </w:rPr>
      </w:pPr>
      <w:r>
        <w:rPr>
          <w:color w:val="auto"/>
          <w:sz w:val="22"/>
          <w:szCs w:val="22"/>
        </w:rPr>
        <w:t>15.7.5. Изучение труда (технологии) во 2 классе способствует освоению ряда универсальных учебных действий: познавательных универсальных учебных действий, коммуникативных универсальных учебных действий, регулятивных универсальных учебных действий, совместной деятельности.</w:t>
      </w:r>
    </w:p>
    <w:p w14:paraId="5824A091">
      <w:pPr>
        <w:pStyle w:val="85"/>
        <w:spacing w:before="240"/>
        <w:ind w:firstLine="540"/>
        <w:jc w:val="both"/>
        <w:rPr>
          <w:color w:val="auto"/>
          <w:sz w:val="22"/>
          <w:szCs w:val="22"/>
        </w:rPr>
      </w:pPr>
      <w:r>
        <w:rPr>
          <w:color w:val="auto"/>
          <w:sz w:val="22"/>
          <w:szCs w:val="22"/>
        </w:rPr>
        <w:t>15.7.5.1. У обучающегося будут сформированы следующие базовые логические и исследовательские действия как часть познавательных универсальных учебных действий:</w:t>
      </w:r>
    </w:p>
    <w:p w14:paraId="4EDAABAE">
      <w:pPr>
        <w:pStyle w:val="85"/>
        <w:spacing w:before="240"/>
        <w:ind w:firstLine="540"/>
        <w:jc w:val="both"/>
        <w:rPr>
          <w:color w:val="auto"/>
          <w:sz w:val="22"/>
          <w:szCs w:val="22"/>
        </w:rPr>
      </w:pPr>
      <w:r>
        <w:rPr>
          <w:color w:val="auto"/>
          <w:sz w:val="22"/>
          <w:szCs w:val="22"/>
        </w:rPr>
        <w:t>ориентироваться в терминах, используемых в технологии (в пределах изученного);</w:t>
      </w:r>
    </w:p>
    <w:p w14:paraId="58BE5DD1">
      <w:pPr>
        <w:pStyle w:val="85"/>
        <w:spacing w:before="240"/>
        <w:ind w:firstLine="540"/>
        <w:jc w:val="both"/>
        <w:rPr>
          <w:color w:val="auto"/>
          <w:sz w:val="22"/>
          <w:szCs w:val="22"/>
        </w:rPr>
      </w:pPr>
      <w:r>
        <w:rPr>
          <w:color w:val="auto"/>
          <w:sz w:val="22"/>
          <w:szCs w:val="22"/>
        </w:rPr>
        <w:t>выполнять работу в соответствии с образцом, инструкцией, устной или письменной инструкцией;</w:t>
      </w:r>
    </w:p>
    <w:p w14:paraId="49674D81">
      <w:pPr>
        <w:pStyle w:val="85"/>
        <w:spacing w:before="240"/>
        <w:ind w:firstLine="540"/>
        <w:jc w:val="both"/>
        <w:rPr>
          <w:color w:val="auto"/>
          <w:sz w:val="22"/>
          <w:szCs w:val="22"/>
        </w:rPr>
      </w:pPr>
      <w:r>
        <w:rPr>
          <w:color w:val="auto"/>
          <w:sz w:val="22"/>
          <w:szCs w:val="22"/>
        </w:rPr>
        <w:t>выполнять действия анализа и синтеза, сравнения, группировки с учетом указанных критериев;</w:t>
      </w:r>
    </w:p>
    <w:p w14:paraId="4B64ED8D">
      <w:pPr>
        <w:pStyle w:val="85"/>
        <w:spacing w:before="240"/>
        <w:ind w:firstLine="540"/>
        <w:jc w:val="both"/>
        <w:rPr>
          <w:color w:val="auto"/>
          <w:sz w:val="22"/>
          <w:szCs w:val="22"/>
        </w:rPr>
      </w:pPr>
      <w:r>
        <w:rPr>
          <w:color w:val="auto"/>
          <w:sz w:val="22"/>
          <w:szCs w:val="22"/>
        </w:rPr>
        <w:t>строить рассуждения, проводить умозаключения, проверять их в практической работе;</w:t>
      </w:r>
    </w:p>
    <w:p w14:paraId="41CF3D1A">
      <w:pPr>
        <w:pStyle w:val="85"/>
        <w:spacing w:before="240"/>
        <w:ind w:firstLine="540"/>
        <w:jc w:val="both"/>
        <w:rPr>
          <w:color w:val="auto"/>
          <w:sz w:val="22"/>
          <w:szCs w:val="22"/>
        </w:rPr>
      </w:pPr>
      <w:r>
        <w:rPr>
          <w:color w:val="auto"/>
          <w:sz w:val="22"/>
          <w:szCs w:val="22"/>
        </w:rPr>
        <w:t>воспроизводить порядок действий при решении учебной (практической) задачи;</w:t>
      </w:r>
    </w:p>
    <w:p w14:paraId="07E9FBDA">
      <w:pPr>
        <w:pStyle w:val="85"/>
        <w:spacing w:before="240"/>
        <w:ind w:firstLine="540"/>
        <w:jc w:val="both"/>
        <w:rPr>
          <w:color w:val="auto"/>
          <w:sz w:val="22"/>
          <w:szCs w:val="22"/>
        </w:rPr>
      </w:pPr>
      <w:r>
        <w:rPr>
          <w:color w:val="auto"/>
          <w:sz w:val="22"/>
          <w:szCs w:val="22"/>
        </w:rPr>
        <w:t>осуществлять решение простых задач в умственной и материализованной формах.</w:t>
      </w:r>
    </w:p>
    <w:p w14:paraId="58E35A3A">
      <w:pPr>
        <w:pStyle w:val="85"/>
        <w:spacing w:before="240"/>
        <w:ind w:firstLine="540"/>
        <w:jc w:val="both"/>
        <w:rPr>
          <w:color w:val="auto"/>
          <w:sz w:val="22"/>
          <w:szCs w:val="22"/>
        </w:rPr>
      </w:pPr>
      <w:r>
        <w:rPr>
          <w:color w:val="auto"/>
          <w:sz w:val="22"/>
          <w:szCs w:val="22"/>
        </w:rPr>
        <w:t>15.7.5.2. У обучающегося будут сформированы следующие умения работать с информацией как часть познавательных универсальных учебных действий:</w:t>
      </w:r>
    </w:p>
    <w:p w14:paraId="7C64F4D3">
      <w:pPr>
        <w:pStyle w:val="85"/>
        <w:spacing w:before="240"/>
        <w:ind w:firstLine="540"/>
        <w:jc w:val="both"/>
        <w:rPr>
          <w:color w:val="auto"/>
          <w:sz w:val="22"/>
          <w:szCs w:val="22"/>
        </w:rPr>
      </w:pPr>
      <w:r>
        <w:rPr>
          <w:color w:val="auto"/>
          <w:sz w:val="22"/>
          <w:szCs w:val="22"/>
        </w:rPr>
        <w:t>получать информацию из учебника и других дидактических материалов, использовать ее в работе;</w:t>
      </w:r>
    </w:p>
    <w:p w14:paraId="43A52138">
      <w:pPr>
        <w:pStyle w:val="85"/>
        <w:spacing w:before="240"/>
        <w:ind w:firstLine="540"/>
        <w:jc w:val="both"/>
        <w:rPr>
          <w:color w:val="auto"/>
          <w:sz w:val="22"/>
          <w:szCs w:val="22"/>
        </w:rPr>
      </w:pPr>
      <w:r>
        <w:rPr>
          <w:color w:val="auto"/>
          <w:sz w:val="22"/>
          <w:szCs w:val="22"/>
        </w:rPr>
        <w:t>понимать и анализировать знаково-символическую информацию (чертеж, эскиз, рисунок, схема) и строить работу в соответствии с ней.</w:t>
      </w:r>
    </w:p>
    <w:p w14:paraId="57C680D9">
      <w:pPr>
        <w:pStyle w:val="85"/>
        <w:spacing w:before="240"/>
        <w:ind w:firstLine="540"/>
        <w:jc w:val="both"/>
        <w:rPr>
          <w:color w:val="auto"/>
          <w:sz w:val="22"/>
          <w:szCs w:val="22"/>
        </w:rPr>
      </w:pPr>
      <w:r>
        <w:rPr>
          <w:color w:val="auto"/>
          <w:sz w:val="22"/>
          <w:szCs w:val="22"/>
        </w:rPr>
        <w:t>15.7.5.3. У обучающегося будут сформированы следующие умения общения как часть коммуникативных универсальных учебных действий:</w:t>
      </w:r>
    </w:p>
    <w:p w14:paraId="2B04D596">
      <w:pPr>
        <w:pStyle w:val="85"/>
        <w:spacing w:before="240"/>
        <w:ind w:firstLine="540"/>
        <w:jc w:val="both"/>
        <w:rPr>
          <w:color w:val="auto"/>
          <w:sz w:val="22"/>
          <w:szCs w:val="22"/>
        </w:rPr>
      </w:pPr>
      <w:r>
        <w:rPr>
          <w:color w:val="auto"/>
          <w:sz w:val="22"/>
          <w:szCs w:val="22"/>
        </w:rPr>
        <w:t>выполнять правила участия в учебном диалоге: задавать вопросы, дополнять ответы других обучающихся, высказывать свое мнение, отвечать на вопросы, проявлять уважительное отношение к одноклассникам, внимание к мнению другого человека;</w:t>
      </w:r>
    </w:p>
    <w:p w14:paraId="2E0BEB11">
      <w:pPr>
        <w:pStyle w:val="85"/>
        <w:spacing w:before="240"/>
        <w:ind w:firstLine="540"/>
        <w:jc w:val="both"/>
        <w:rPr>
          <w:color w:val="auto"/>
          <w:sz w:val="22"/>
          <w:szCs w:val="22"/>
        </w:rPr>
      </w:pPr>
      <w:r>
        <w:rPr>
          <w:color w:val="auto"/>
          <w:sz w:val="22"/>
          <w:szCs w:val="22"/>
        </w:rPr>
        <w:t>делиться впечатлениями о прослушанном (прочитанном) тексте, рассказе учителя, о выполненной работе, созданном изделии.</w:t>
      </w:r>
    </w:p>
    <w:p w14:paraId="7EE57E3E">
      <w:pPr>
        <w:pStyle w:val="85"/>
        <w:spacing w:before="240"/>
        <w:ind w:firstLine="540"/>
        <w:jc w:val="both"/>
        <w:rPr>
          <w:color w:val="auto"/>
          <w:sz w:val="22"/>
          <w:szCs w:val="22"/>
        </w:rPr>
      </w:pPr>
      <w:r>
        <w:rPr>
          <w:color w:val="auto"/>
          <w:sz w:val="22"/>
          <w:szCs w:val="22"/>
        </w:rPr>
        <w:t>15.7.5.4. У обучающегося будут сформированы следующие умения самоорганизации и самоконтроля как часть регулятивных универсальных учебных действий:</w:t>
      </w:r>
    </w:p>
    <w:p w14:paraId="008EC2CB">
      <w:pPr>
        <w:pStyle w:val="85"/>
        <w:spacing w:before="240"/>
        <w:ind w:firstLine="540"/>
        <w:jc w:val="both"/>
        <w:rPr>
          <w:color w:val="auto"/>
          <w:sz w:val="22"/>
          <w:szCs w:val="22"/>
        </w:rPr>
      </w:pPr>
      <w:r>
        <w:rPr>
          <w:color w:val="auto"/>
          <w:sz w:val="22"/>
          <w:szCs w:val="22"/>
        </w:rPr>
        <w:t>понимать и принимать учебную задачу;</w:t>
      </w:r>
    </w:p>
    <w:p w14:paraId="1C3B38C9">
      <w:pPr>
        <w:pStyle w:val="85"/>
        <w:spacing w:before="240"/>
        <w:ind w:firstLine="540"/>
        <w:jc w:val="both"/>
        <w:rPr>
          <w:color w:val="auto"/>
          <w:sz w:val="22"/>
          <w:szCs w:val="22"/>
        </w:rPr>
      </w:pPr>
      <w:r>
        <w:rPr>
          <w:color w:val="auto"/>
          <w:sz w:val="22"/>
          <w:szCs w:val="22"/>
        </w:rPr>
        <w:t>организовывать свою деятельность;</w:t>
      </w:r>
    </w:p>
    <w:p w14:paraId="3062C6AB">
      <w:pPr>
        <w:pStyle w:val="85"/>
        <w:spacing w:before="240"/>
        <w:ind w:firstLine="540"/>
        <w:jc w:val="both"/>
        <w:rPr>
          <w:color w:val="auto"/>
          <w:sz w:val="22"/>
          <w:szCs w:val="22"/>
        </w:rPr>
      </w:pPr>
      <w:r>
        <w:rPr>
          <w:color w:val="auto"/>
          <w:sz w:val="22"/>
          <w:szCs w:val="22"/>
        </w:rPr>
        <w:t>понимать предлагаемый план действий, действовать по плану;</w:t>
      </w:r>
    </w:p>
    <w:p w14:paraId="2FD1FDFF">
      <w:pPr>
        <w:pStyle w:val="85"/>
        <w:spacing w:before="240"/>
        <w:ind w:firstLine="540"/>
        <w:jc w:val="both"/>
        <w:rPr>
          <w:color w:val="auto"/>
          <w:sz w:val="22"/>
          <w:szCs w:val="22"/>
        </w:rPr>
      </w:pPr>
      <w:r>
        <w:rPr>
          <w:color w:val="auto"/>
          <w:sz w:val="22"/>
          <w:szCs w:val="22"/>
        </w:rPr>
        <w:t>прогнозировать необходимые действия для получения практического результата, планировать работу;</w:t>
      </w:r>
    </w:p>
    <w:p w14:paraId="3FEDAB18">
      <w:pPr>
        <w:pStyle w:val="85"/>
        <w:spacing w:before="240"/>
        <w:ind w:firstLine="540"/>
        <w:jc w:val="both"/>
        <w:rPr>
          <w:color w:val="auto"/>
          <w:sz w:val="22"/>
          <w:szCs w:val="22"/>
        </w:rPr>
      </w:pPr>
      <w:r>
        <w:rPr>
          <w:color w:val="auto"/>
          <w:sz w:val="22"/>
          <w:szCs w:val="22"/>
        </w:rPr>
        <w:t>выполнять действия контроля и оценки;</w:t>
      </w:r>
    </w:p>
    <w:p w14:paraId="3ED68F8B">
      <w:pPr>
        <w:pStyle w:val="85"/>
        <w:spacing w:before="240"/>
        <w:ind w:firstLine="540"/>
        <w:jc w:val="both"/>
        <w:rPr>
          <w:color w:val="auto"/>
          <w:sz w:val="22"/>
          <w:szCs w:val="22"/>
        </w:rPr>
      </w:pPr>
      <w:r>
        <w:rPr>
          <w:color w:val="auto"/>
          <w:sz w:val="22"/>
          <w:szCs w:val="22"/>
        </w:rPr>
        <w:t>воспринимать советы, оценку учителя и других обучающихся, стараться учитывать их в работе.</w:t>
      </w:r>
    </w:p>
    <w:p w14:paraId="64BE1E9C">
      <w:pPr>
        <w:pStyle w:val="85"/>
        <w:spacing w:before="240"/>
        <w:ind w:firstLine="540"/>
        <w:jc w:val="both"/>
        <w:rPr>
          <w:color w:val="auto"/>
          <w:sz w:val="22"/>
          <w:szCs w:val="22"/>
        </w:rPr>
      </w:pPr>
      <w:r>
        <w:rPr>
          <w:color w:val="auto"/>
          <w:sz w:val="22"/>
          <w:szCs w:val="22"/>
        </w:rPr>
        <w:t>15.7.5.5. У обучающегося будут сформированы следующие умения совместной деятельности:</w:t>
      </w:r>
    </w:p>
    <w:p w14:paraId="44C6E85B">
      <w:pPr>
        <w:pStyle w:val="85"/>
        <w:spacing w:before="240"/>
        <w:ind w:firstLine="540"/>
        <w:jc w:val="both"/>
        <w:rPr>
          <w:color w:val="auto"/>
          <w:sz w:val="22"/>
          <w:szCs w:val="22"/>
        </w:rPr>
      </w:pPr>
      <w:r>
        <w:rPr>
          <w:color w:val="auto"/>
          <w:sz w:val="22"/>
          <w:szCs w:val="22"/>
        </w:rPr>
        <w:t>выполнять элементарную совместную деятельность в процессе изготовления изделий, осуществлять взаимопомощь;</w:t>
      </w:r>
    </w:p>
    <w:p w14:paraId="688DD1E0">
      <w:pPr>
        <w:pStyle w:val="85"/>
        <w:spacing w:before="240"/>
        <w:ind w:firstLine="540"/>
        <w:jc w:val="both"/>
        <w:rPr>
          <w:color w:val="auto"/>
          <w:sz w:val="22"/>
          <w:szCs w:val="22"/>
        </w:rPr>
      </w:pPr>
      <w:r>
        <w:rPr>
          <w:color w:val="auto"/>
          <w:sz w:val="22"/>
          <w:szCs w:val="22"/>
        </w:rPr>
        <w:t>выполнять правила совместной работы: справедливо распределять работу, договариваться, выполнять ответственно свою часть работы, уважительно относиться к чужому мнению.</w:t>
      </w:r>
    </w:p>
    <w:p w14:paraId="2AFE8ABF">
      <w:pPr>
        <w:pStyle w:val="85"/>
        <w:jc w:val="both"/>
        <w:rPr>
          <w:color w:val="auto"/>
          <w:sz w:val="22"/>
          <w:szCs w:val="22"/>
        </w:rPr>
      </w:pPr>
    </w:p>
    <w:p w14:paraId="117CFE96">
      <w:pPr>
        <w:pStyle w:val="85"/>
        <w:ind w:firstLine="540"/>
        <w:jc w:val="both"/>
        <w:rPr>
          <w:color w:val="auto"/>
          <w:sz w:val="22"/>
          <w:szCs w:val="22"/>
        </w:rPr>
      </w:pPr>
      <w:r>
        <w:rPr>
          <w:color w:val="auto"/>
          <w:sz w:val="22"/>
          <w:szCs w:val="22"/>
        </w:rPr>
        <w:t>15.8. Содержание обучения в 3 классе.</w:t>
      </w:r>
    </w:p>
    <w:p w14:paraId="6DA314B4">
      <w:pPr>
        <w:pStyle w:val="85"/>
        <w:spacing w:before="240"/>
        <w:ind w:firstLine="540"/>
        <w:jc w:val="both"/>
        <w:rPr>
          <w:color w:val="auto"/>
          <w:sz w:val="22"/>
          <w:szCs w:val="22"/>
        </w:rPr>
      </w:pPr>
      <w:r>
        <w:rPr>
          <w:color w:val="auto"/>
          <w:sz w:val="22"/>
          <w:szCs w:val="22"/>
        </w:rPr>
        <w:t>15.8.1. Технологии, профессии и производства.</w:t>
      </w:r>
    </w:p>
    <w:p w14:paraId="3AB372EF">
      <w:pPr>
        <w:pStyle w:val="85"/>
        <w:spacing w:before="240"/>
        <w:ind w:firstLine="540"/>
        <w:jc w:val="both"/>
        <w:rPr>
          <w:color w:val="auto"/>
          <w:sz w:val="22"/>
          <w:szCs w:val="22"/>
        </w:rPr>
      </w:pPr>
      <w:r>
        <w:rPr>
          <w:color w:val="auto"/>
          <w:sz w:val="22"/>
          <w:szCs w:val="22"/>
        </w:rPr>
        <w:t>15.8.1.1. Непрерывность процесса деятельностного освоения мира человеком и создания культуры. Материальные и духовные потребности человека как движущие силы прогресса.</w:t>
      </w:r>
    </w:p>
    <w:p w14:paraId="0E0F0F2C">
      <w:pPr>
        <w:pStyle w:val="85"/>
        <w:spacing w:before="240"/>
        <w:ind w:firstLine="540"/>
        <w:jc w:val="both"/>
        <w:rPr>
          <w:color w:val="auto"/>
          <w:sz w:val="22"/>
          <w:szCs w:val="22"/>
        </w:rPr>
      </w:pPr>
      <w:r>
        <w:rPr>
          <w:color w:val="auto"/>
          <w:sz w:val="22"/>
          <w:szCs w:val="22"/>
        </w:rPr>
        <w:t>15.8.1.2. Разнообразие творческой трудовой деятельности в современных условиях. Разнообразие предметов рукотворного мира: архитектура, техника, предметы быта и декоративно-прикладного искусства. Мир профессий. Современные производства и профессии, связанные с обработкой материалов, аналогичных используемым на уроках труда (технологии).</w:t>
      </w:r>
    </w:p>
    <w:p w14:paraId="5AF1AA58">
      <w:pPr>
        <w:pStyle w:val="85"/>
        <w:spacing w:before="240"/>
        <w:ind w:firstLine="540"/>
        <w:jc w:val="both"/>
        <w:rPr>
          <w:color w:val="auto"/>
          <w:sz w:val="22"/>
          <w:szCs w:val="22"/>
        </w:rPr>
      </w:pPr>
      <w:r>
        <w:rPr>
          <w:color w:val="auto"/>
          <w:sz w:val="22"/>
          <w:szCs w:val="22"/>
        </w:rPr>
        <w:t>15.8.1.3. Общие правила создания предметов рукотворного мира: соответствие формы, размеров, материала и внешнего оформления изделия его назначению. Стилевая гармония в предметном ансамбле, гармония предметной и окружающей среды (общее представление).</w:t>
      </w:r>
    </w:p>
    <w:p w14:paraId="7FCBBCC3">
      <w:pPr>
        <w:pStyle w:val="85"/>
        <w:spacing w:before="240"/>
        <w:ind w:firstLine="540"/>
        <w:jc w:val="both"/>
        <w:rPr>
          <w:color w:val="auto"/>
          <w:sz w:val="22"/>
          <w:szCs w:val="22"/>
        </w:rPr>
      </w:pPr>
      <w:r>
        <w:rPr>
          <w:color w:val="auto"/>
          <w:sz w:val="22"/>
          <w:szCs w:val="22"/>
        </w:rPr>
        <w:t>15.8.1.4. Мир современной техники. Информационно-коммуникационные технологии в жизни современного человека. Решение человеком инженерных задач на основе изучения природных законов - жесткость конструкции (трубчатые сооружения, треугольник как устойчивая геометрическая форма и другие).</w:t>
      </w:r>
    </w:p>
    <w:p w14:paraId="0A84F23F">
      <w:pPr>
        <w:pStyle w:val="85"/>
        <w:spacing w:before="240"/>
        <w:ind w:firstLine="540"/>
        <w:jc w:val="both"/>
        <w:rPr>
          <w:color w:val="auto"/>
          <w:sz w:val="22"/>
          <w:szCs w:val="22"/>
        </w:rPr>
      </w:pPr>
      <w:r>
        <w:rPr>
          <w:color w:val="auto"/>
          <w:sz w:val="22"/>
          <w:szCs w:val="22"/>
        </w:rPr>
        <w:t>15.8.1.5. Бережное и внимательное отношение к природе как источнику сырьевых ресурсов и идей для технологий будущего.</w:t>
      </w:r>
    </w:p>
    <w:p w14:paraId="60B0F5F4">
      <w:pPr>
        <w:pStyle w:val="85"/>
        <w:spacing w:before="240"/>
        <w:ind w:firstLine="540"/>
        <w:jc w:val="both"/>
        <w:rPr>
          <w:color w:val="auto"/>
          <w:sz w:val="22"/>
          <w:szCs w:val="22"/>
        </w:rPr>
      </w:pPr>
      <w:r>
        <w:rPr>
          <w:color w:val="auto"/>
          <w:sz w:val="22"/>
          <w:szCs w:val="22"/>
        </w:rPr>
        <w:t>15.8.1.6. Элементарная творческая и проектная деятельность. Коллективные, групповые и индивидуальные проекты в рамках изучаемой тематики. Совместная работа в малых группах, осуществление сотрудничества, распределение работы, выполнение социальных ролей (руководитель (лидер) и подчиненный).</w:t>
      </w:r>
    </w:p>
    <w:p w14:paraId="53C4B33A">
      <w:pPr>
        <w:pStyle w:val="85"/>
        <w:spacing w:before="240"/>
        <w:ind w:firstLine="540"/>
        <w:jc w:val="both"/>
        <w:rPr>
          <w:color w:val="auto"/>
          <w:sz w:val="22"/>
          <w:szCs w:val="22"/>
        </w:rPr>
      </w:pPr>
      <w:r>
        <w:rPr>
          <w:color w:val="auto"/>
          <w:sz w:val="22"/>
          <w:szCs w:val="22"/>
        </w:rPr>
        <w:t>15.8.2. Технологии ручной обработки материалов.</w:t>
      </w:r>
    </w:p>
    <w:p w14:paraId="00BC426A">
      <w:pPr>
        <w:pStyle w:val="85"/>
        <w:spacing w:before="240"/>
        <w:ind w:firstLine="540"/>
        <w:jc w:val="both"/>
        <w:rPr>
          <w:color w:val="auto"/>
          <w:sz w:val="22"/>
          <w:szCs w:val="22"/>
        </w:rPr>
      </w:pPr>
      <w:r>
        <w:rPr>
          <w:color w:val="auto"/>
          <w:sz w:val="22"/>
          <w:szCs w:val="22"/>
        </w:rPr>
        <w:t>15.8.2.1. Некоторые (доступные в обработке) виды искусственных и синтетических материалов. Разнообразие технологий и способов обработки материалов в различных видах изделий, сравнительный анализ технологий при использовании того или иного материала (например, аппликация из бумаги и ткани, коллаж и другие). Выбор материалов по их декоративно-художественным и технологическим свойствам, использование соответствующих способов обработки материалов в зависимости от назначения изделия.</w:t>
      </w:r>
    </w:p>
    <w:p w14:paraId="05DEF9A1">
      <w:pPr>
        <w:pStyle w:val="85"/>
        <w:spacing w:before="240"/>
        <w:ind w:firstLine="540"/>
        <w:jc w:val="both"/>
        <w:rPr>
          <w:color w:val="auto"/>
          <w:sz w:val="22"/>
          <w:szCs w:val="22"/>
        </w:rPr>
      </w:pPr>
      <w:r>
        <w:rPr>
          <w:color w:val="auto"/>
          <w:sz w:val="22"/>
          <w:szCs w:val="22"/>
        </w:rPr>
        <w:t>15.8.2.2. Инструменты и приспособления (циркуль, угольник, канцелярский нож, шило и другие), знание приемов их рационального и безопасного использования.</w:t>
      </w:r>
    </w:p>
    <w:p w14:paraId="242ADA38">
      <w:pPr>
        <w:pStyle w:val="85"/>
        <w:spacing w:before="240"/>
        <w:ind w:firstLine="540"/>
        <w:jc w:val="both"/>
        <w:rPr>
          <w:color w:val="auto"/>
          <w:sz w:val="22"/>
          <w:szCs w:val="22"/>
        </w:rPr>
      </w:pPr>
      <w:r>
        <w:rPr>
          <w:color w:val="auto"/>
          <w:sz w:val="22"/>
          <w:szCs w:val="22"/>
        </w:rPr>
        <w:t>15.8.2.3. Углубление общих представлений о технологическом процессе (анализ устройства и назначения изделия, выстраивание последовательности практических действий и технологических операций, подбор материалов и инструментов, экономная разметка материалов, обработка с целью получения деталей, сборка, отделка изделия, проверка изделия в действии, внесение необходимых дополнений и изменений). Рицовка. Изготовление объемных изделий из разверток. Преобразование разверток несложных форм.</w:t>
      </w:r>
    </w:p>
    <w:p w14:paraId="0CC45CEB">
      <w:pPr>
        <w:pStyle w:val="85"/>
        <w:spacing w:before="240"/>
        <w:ind w:firstLine="540"/>
        <w:jc w:val="both"/>
        <w:rPr>
          <w:color w:val="auto"/>
          <w:sz w:val="22"/>
          <w:szCs w:val="22"/>
        </w:rPr>
      </w:pPr>
      <w:r>
        <w:rPr>
          <w:color w:val="auto"/>
          <w:sz w:val="22"/>
          <w:szCs w:val="22"/>
        </w:rPr>
        <w:t>15.8.2.4. Технология обработки бумаги и картона. Виды картона (гофрированный, толстый, тонкий, цветной и другой). Чтение и построение простого чертежа (эскиза) развертки изделия. Разметка деталей с использованием простейших чертежей, эскизов. Решение задач на внесение необходимых дополнений и изменений в схему, чертеж, эскиз. Выполнение измерений, расчетов, несложных построений.</w:t>
      </w:r>
    </w:p>
    <w:p w14:paraId="40371799">
      <w:pPr>
        <w:pStyle w:val="85"/>
        <w:spacing w:before="240"/>
        <w:ind w:firstLine="540"/>
        <w:jc w:val="both"/>
        <w:rPr>
          <w:color w:val="auto"/>
          <w:sz w:val="22"/>
          <w:szCs w:val="22"/>
        </w:rPr>
      </w:pPr>
      <w:r>
        <w:rPr>
          <w:color w:val="auto"/>
          <w:sz w:val="22"/>
          <w:szCs w:val="22"/>
        </w:rPr>
        <w:t>15.8.2.5. Выполнение рицовки на картоне с помощью канцелярского ножа, выполнение отверстий шилом.</w:t>
      </w:r>
    </w:p>
    <w:p w14:paraId="5EAF0DA2">
      <w:pPr>
        <w:pStyle w:val="85"/>
        <w:spacing w:before="240"/>
        <w:ind w:firstLine="540"/>
        <w:jc w:val="both"/>
        <w:rPr>
          <w:color w:val="auto"/>
          <w:sz w:val="22"/>
          <w:szCs w:val="22"/>
        </w:rPr>
      </w:pPr>
      <w:r>
        <w:rPr>
          <w:color w:val="auto"/>
          <w:sz w:val="22"/>
          <w:szCs w:val="22"/>
        </w:rPr>
        <w:t>15.8.2.6. Технология обработки текстильных материалов. Использование трикотажа и нетканых материалов для изготовления изделий. Использование вариантов строчки косого стежка (крестик, стебельчатая и другие) и (или) петельной строчки для соединения деталей изделия и отделки. Пришивание пуговиц (с двумя - четырьмя отверстиями). Изготовление швейных изделий из нескольких деталей.</w:t>
      </w:r>
    </w:p>
    <w:p w14:paraId="28F6051B">
      <w:pPr>
        <w:pStyle w:val="85"/>
        <w:spacing w:before="240"/>
        <w:ind w:firstLine="540"/>
        <w:jc w:val="both"/>
        <w:rPr>
          <w:color w:val="auto"/>
          <w:sz w:val="22"/>
          <w:szCs w:val="22"/>
        </w:rPr>
      </w:pPr>
      <w:r>
        <w:rPr>
          <w:color w:val="auto"/>
          <w:sz w:val="22"/>
          <w:szCs w:val="22"/>
        </w:rPr>
        <w:t>15.8.2.7. Использование дополнительных материалов. Комбинирование разных материалов в одном изделии.</w:t>
      </w:r>
    </w:p>
    <w:p w14:paraId="4E688D33">
      <w:pPr>
        <w:pStyle w:val="85"/>
        <w:spacing w:before="240"/>
        <w:ind w:firstLine="540"/>
        <w:jc w:val="both"/>
        <w:rPr>
          <w:color w:val="auto"/>
          <w:sz w:val="22"/>
          <w:szCs w:val="22"/>
        </w:rPr>
      </w:pPr>
      <w:r>
        <w:rPr>
          <w:color w:val="auto"/>
          <w:sz w:val="22"/>
          <w:szCs w:val="22"/>
        </w:rPr>
        <w:t>15.8.3. Конструирование и моделирование.</w:t>
      </w:r>
    </w:p>
    <w:p w14:paraId="3C860972">
      <w:pPr>
        <w:pStyle w:val="85"/>
        <w:spacing w:before="240"/>
        <w:ind w:firstLine="540"/>
        <w:jc w:val="both"/>
        <w:rPr>
          <w:color w:val="auto"/>
          <w:sz w:val="22"/>
          <w:szCs w:val="22"/>
        </w:rPr>
      </w:pPr>
      <w:r>
        <w:rPr>
          <w:color w:val="auto"/>
          <w:sz w:val="22"/>
          <w:szCs w:val="22"/>
        </w:rPr>
        <w:t>15.8.3.1. Конструирование и моделирование изделий из различных материалов, в том числе с использованием конструктора по заданным условиям (технико-технологическим, функциональным, декоративно-художественным). Способы подвижного и неподвижного соединения деталей набора конструктора, их использование в изделиях, жесткость и устойчивость конструкции.</w:t>
      </w:r>
    </w:p>
    <w:p w14:paraId="55438AE5">
      <w:pPr>
        <w:pStyle w:val="85"/>
        <w:spacing w:before="240"/>
        <w:ind w:firstLine="540"/>
        <w:jc w:val="both"/>
        <w:rPr>
          <w:color w:val="auto"/>
          <w:sz w:val="22"/>
          <w:szCs w:val="22"/>
        </w:rPr>
      </w:pPr>
      <w:r>
        <w:rPr>
          <w:color w:val="auto"/>
          <w:sz w:val="22"/>
          <w:szCs w:val="22"/>
        </w:rPr>
        <w:t>15.8.3.2. Создание простых макетов и моделей архитектурных сооружений, технических устройств, бытовых конструкций. Выполнение заданий на доработку конструкций (отдельных узлов, соединений) с учетом дополнительных условий (требований). Использование измерений и построений для решения практических задач. Решение задач на мысленную трансформацию трехмерной конструкции в развертку (и наоборот).</w:t>
      </w:r>
    </w:p>
    <w:p w14:paraId="07CB9C9E">
      <w:pPr>
        <w:pStyle w:val="85"/>
        <w:spacing w:before="240"/>
        <w:ind w:firstLine="540"/>
        <w:jc w:val="both"/>
        <w:rPr>
          <w:color w:val="auto"/>
          <w:sz w:val="22"/>
          <w:szCs w:val="22"/>
        </w:rPr>
      </w:pPr>
      <w:r>
        <w:rPr>
          <w:color w:val="auto"/>
          <w:sz w:val="22"/>
          <w:szCs w:val="22"/>
        </w:rPr>
        <w:t>1.5.8.4. ИКТ.</w:t>
      </w:r>
    </w:p>
    <w:p w14:paraId="61492AAE">
      <w:pPr>
        <w:pStyle w:val="85"/>
        <w:spacing w:before="240"/>
        <w:ind w:firstLine="540"/>
        <w:jc w:val="both"/>
        <w:rPr>
          <w:color w:val="auto"/>
          <w:sz w:val="22"/>
          <w:szCs w:val="22"/>
        </w:rPr>
      </w:pPr>
      <w:r>
        <w:rPr>
          <w:color w:val="auto"/>
          <w:sz w:val="22"/>
          <w:szCs w:val="22"/>
        </w:rPr>
        <w:t>15.8.4.1. Информационная среда, основные источники (органы восприятия) информации, получаемой человеком. Сохранение и передача информации. Информационные технологии. Источники информации, используемые человеком в быту: телевидение, радио, печатные издания, персональный компьютер и другие. Современный информационный мир. Персональный компьютер (ПК) и его назначение. Правила пользования ПК для сохранения здоровья. Назначение основных устройств компьютера для ввода, вывода и обработки информации. Работа с доступной информацией (книги, музеи, беседы (мастер-классы) с мастерами, Интернет, видео, DVD). Работа с текстовым редактором Microsoft Word или другим.</w:t>
      </w:r>
    </w:p>
    <w:p w14:paraId="6E8E8513">
      <w:pPr>
        <w:pStyle w:val="85"/>
        <w:spacing w:before="240"/>
        <w:ind w:firstLine="540"/>
        <w:jc w:val="both"/>
        <w:rPr>
          <w:color w:val="auto"/>
          <w:sz w:val="22"/>
          <w:szCs w:val="22"/>
        </w:rPr>
      </w:pPr>
      <w:r>
        <w:rPr>
          <w:color w:val="auto"/>
          <w:sz w:val="22"/>
          <w:szCs w:val="22"/>
        </w:rPr>
        <w:t>15.8.5. Изучение труда (технологии) в 3 классе способствует освоению ряда универсальных учебных действий: познавательных универсальных учебных действий, коммуникативных универсальных учебных действий, регулятивных универсальных учебных действий, совместной деятельности.</w:t>
      </w:r>
    </w:p>
    <w:p w14:paraId="3D254849">
      <w:pPr>
        <w:pStyle w:val="85"/>
        <w:spacing w:before="240"/>
        <w:ind w:firstLine="540"/>
        <w:jc w:val="both"/>
        <w:rPr>
          <w:color w:val="auto"/>
          <w:sz w:val="22"/>
          <w:szCs w:val="22"/>
        </w:rPr>
      </w:pPr>
      <w:r>
        <w:rPr>
          <w:color w:val="auto"/>
          <w:sz w:val="22"/>
          <w:szCs w:val="22"/>
        </w:rPr>
        <w:t>15.8.5.1. У обучающегося будут сформированы следующие базовые логические и исследовательские действия как часть познавательных универсальных учебных действий:</w:t>
      </w:r>
    </w:p>
    <w:p w14:paraId="1CC9B4A1">
      <w:pPr>
        <w:pStyle w:val="85"/>
        <w:spacing w:before="240"/>
        <w:ind w:firstLine="540"/>
        <w:jc w:val="both"/>
        <w:rPr>
          <w:color w:val="auto"/>
          <w:sz w:val="22"/>
          <w:szCs w:val="22"/>
        </w:rPr>
      </w:pPr>
      <w:r>
        <w:rPr>
          <w:color w:val="auto"/>
          <w:sz w:val="22"/>
          <w:szCs w:val="22"/>
        </w:rPr>
        <w:t>ориентироваться в терминах, используемых в технологии, использовать их в ответах на вопросы и высказываниях (в пределах изученного);</w:t>
      </w:r>
    </w:p>
    <w:p w14:paraId="0FDB970C">
      <w:pPr>
        <w:pStyle w:val="85"/>
        <w:spacing w:before="240"/>
        <w:ind w:firstLine="540"/>
        <w:jc w:val="both"/>
        <w:rPr>
          <w:color w:val="auto"/>
          <w:sz w:val="22"/>
          <w:szCs w:val="22"/>
        </w:rPr>
      </w:pPr>
      <w:r>
        <w:rPr>
          <w:color w:val="auto"/>
          <w:sz w:val="22"/>
          <w:szCs w:val="22"/>
        </w:rPr>
        <w:t>осуществлять анализ предложенных образцов с выделением существенных и несущественных признаков;</w:t>
      </w:r>
    </w:p>
    <w:p w14:paraId="3F3BC2B1">
      <w:pPr>
        <w:pStyle w:val="85"/>
        <w:spacing w:before="240"/>
        <w:ind w:firstLine="540"/>
        <w:jc w:val="both"/>
        <w:rPr>
          <w:color w:val="auto"/>
          <w:sz w:val="22"/>
          <w:szCs w:val="22"/>
        </w:rPr>
      </w:pPr>
      <w:r>
        <w:rPr>
          <w:color w:val="auto"/>
          <w:sz w:val="22"/>
          <w:szCs w:val="22"/>
        </w:rPr>
        <w:t>выполнять работу в соответствии с инструкцией, устной или письменной, а также графически представленной в схеме, таблице;</w:t>
      </w:r>
    </w:p>
    <w:p w14:paraId="2F01ACFE">
      <w:pPr>
        <w:pStyle w:val="85"/>
        <w:spacing w:before="240"/>
        <w:ind w:firstLine="540"/>
        <w:jc w:val="both"/>
        <w:rPr>
          <w:color w:val="auto"/>
          <w:sz w:val="22"/>
          <w:szCs w:val="22"/>
        </w:rPr>
      </w:pPr>
      <w:r>
        <w:rPr>
          <w:color w:val="auto"/>
          <w:sz w:val="22"/>
          <w:szCs w:val="22"/>
        </w:rPr>
        <w:t>определять способы доработки конструкций с учетом предложенных условий;</w:t>
      </w:r>
    </w:p>
    <w:p w14:paraId="0D9AD91D">
      <w:pPr>
        <w:pStyle w:val="85"/>
        <w:spacing w:before="240"/>
        <w:ind w:firstLine="540"/>
        <w:jc w:val="both"/>
        <w:rPr>
          <w:color w:val="auto"/>
          <w:sz w:val="22"/>
          <w:szCs w:val="22"/>
        </w:rPr>
      </w:pPr>
      <w:r>
        <w:rPr>
          <w:color w:val="auto"/>
          <w:sz w:val="22"/>
          <w:szCs w:val="22"/>
        </w:rPr>
        <w:t>классифицировать изделия по самостоятельно предложенному существенному признаку (используемый материал, форма, размер, назначение, способ сборки);</w:t>
      </w:r>
    </w:p>
    <w:p w14:paraId="3B04ABAB">
      <w:pPr>
        <w:pStyle w:val="85"/>
        <w:spacing w:before="240"/>
        <w:ind w:firstLine="540"/>
        <w:jc w:val="both"/>
        <w:rPr>
          <w:color w:val="auto"/>
          <w:sz w:val="22"/>
          <w:szCs w:val="22"/>
        </w:rPr>
      </w:pPr>
      <w:r>
        <w:rPr>
          <w:color w:val="auto"/>
          <w:sz w:val="22"/>
          <w:szCs w:val="22"/>
        </w:rPr>
        <w:t>читать и воспроизводить простой чертеж (эскиз) развертки изделия;</w:t>
      </w:r>
    </w:p>
    <w:p w14:paraId="56779BE5">
      <w:pPr>
        <w:pStyle w:val="85"/>
        <w:spacing w:before="240"/>
        <w:ind w:firstLine="540"/>
        <w:jc w:val="both"/>
        <w:rPr>
          <w:color w:val="auto"/>
          <w:sz w:val="22"/>
          <w:szCs w:val="22"/>
        </w:rPr>
      </w:pPr>
      <w:r>
        <w:rPr>
          <w:color w:val="auto"/>
          <w:sz w:val="22"/>
          <w:szCs w:val="22"/>
        </w:rPr>
        <w:t>восстанавливать нарушенную последовательность выполнения изделия.</w:t>
      </w:r>
    </w:p>
    <w:p w14:paraId="63C9699A">
      <w:pPr>
        <w:pStyle w:val="85"/>
        <w:spacing w:before="240"/>
        <w:ind w:firstLine="540"/>
        <w:jc w:val="both"/>
        <w:rPr>
          <w:color w:val="auto"/>
          <w:sz w:val="22"/>
          <w:szCs w:val="22"/>
        </w:rPr>
      </w:pPr>
      <w:r>
        <w:rPr>
          <w:color w:val="auto"/>
          <w:sz w:val="22"/>
          <w:szCs w:val="22"/>
        </w:rPr>
        <w:t>15.8.5.2. У обучающегося будут сформированы следующие умения работать с информацией как часть познавательных универсальных учебных действий:</w:t>
      </w:r>
    </w:p>
    <w:p w14:paraId="45BCAF0E">
      <w:pPr>
        <w:pStyle w:val="85"/>
        <w:spacing w:before="240"/>
        <w:ind w:firstLine="540"/>
        <w:jc w:val="both"/>
        <w:rPr>
          <w:color w:val="auto"/>
          <w:sz w:val="22"/>
          <w:szCs w:val="22"/>
        </w:rPr>
      </w:pPr>
      <w:r>
        <w:rPr>
          <w:color w:val="auto"/>
          <w:sz w:val="22"/>
          <w:szCs w:val="22"/>
        </w:rPr>
        <w:t>анализировать и использовать знаково-символические средства представления информации для создания моделей и макетов изучаемых объектов;</w:t>
      </w:r>
    </w:p>
    <w:p w14:paraId="0B64022E">
      <w:pPr>
        <w:pStyle w:val="85"/>
        <w:spacing w:before="240"/>
        <w:ind w:firstLine="540"/>
        <w:jc w:val="both"/>
        <w:rPr>
          <w:color w:val="auto"/>
          <w:sz w:val="22"/>
          <w:szCs w:val="22"/>
        </w:rPr>
      </w:pPr>
      <w:r>
        <w:rPr>
          <w:color w:val="auto"/>
          <w:sz w:val="22"/>
          <w:szCs w:val="22"/>
        </w:rPr>
        <w:t>на основе анализа информации производить выбор наиболее эффективных способов работы;</w:t>
      </w:r>
    </w:p>
    <w:p w14:paraId="77893587">
      <w:pPr>
        <w:pStyle w:val="85"/>
        <w:spacing w:before="240"/>
        <w:ind w:firstLine="540"/>
        <w:jc w:val="both"/>
        <w:rPr>
          <w:color w:val="auto"/>
          <w:sz w:val="22"/>
          <w:szCs w:val="22"/>
        </w:rPr>
      </w:pPr>
      <w:r>
        <w:rPr>
          <w:color w:val="auto"/>
          <w:sz w:val="22"/>
          <w:szCs w:val="22"/>
        </w:rPr>
        <w:t>осуществлять поиск необходимой информации для выполнения учебных заданий с использованием учебной литературы;</w:t>
      </w:r>
    </w:p>
    <w:p w14:paraId="688ACD04">
      <w:pPr>
        <w:pStyle w:val="85"/>
        <w:spacing w:before="240"/>
        <w:ind w:firstLine="540"/>
        <w:jc w:val="both"/>
        <w:rPr>
          <w:color w:val="auto"/>
          <w:sz w:val="22"/>
          <w:szCs w:val="22"/>
        </w:rPr>
      </w:pPr>
      <w:r>
        <w:rPr>
          <w:color w:val="auto"/>
          <w:sz w:val="22"/>
          <w:szCs w:val="22"/>
        </w:rPr>
        <w:t>использовать средства информационно-коммуникационных технологий для решения учебных и практических задач, в том числе Интернет, под руководством учителя.</w:t>
      </w:r>
    </w:p>
    <w:p w14:paraId="491F87E0">
      <w:pPr>
        <w:pStyle w:val="85"/>
        <w:spacing w:before="240"/>
        <w:ind w:firstLine="540"/>
        <w:jc w:val="both"/>
        <w:rPr>
          <w:color w:val="auto"/>
          <w:sz w:val="22"/>
          <w:szCs w:val="22"/>
        </w:rPr>
      </w:pPr>
      <w:r>
        <w:rPr>
          <w:color w:val="auto"/>
          <w:sz w:val="22"/>
          <w:szCs w:val="22"/>
        </w:rPr>
        <w:t>15.8.5.3. У обучающегося будут сформированы следующие умения общения как часть коммуникативных универсальных учебных действий:</w:t>
      </w:r>
    </w:p>
    <w:p w14:paraId="75E7DC19">
      <w:pPr>
        <w:pStyle w:val="85"/>
        <w:spacing w:before="240"/>
        <w:ind w:firstLine="540"/>
        <w:jc w:val="both"/>
        <w:rPr>
          <w:color w:val="auto"/>
          <w:sz w:val="22"/>
          <w:szCs w:val="22"/>
        </w:rPr>
      </w:pPr>
      <w:r>
        <w:rPr>
          <w:color w:val="auto"/>
          <w:sz w:val="22"/>
          <w:szCs w:val="22"/>
        </w:rPr>
        <w:t>строить монологическое высказывание, владеть диалогической формой коммуникации;</w:t>
      </w:r>
    </w:p>
    <w:p w14:paraId="67E36603">
      <w:pPr>
        <w:pStyle w:val="85"/>
        <w:spacing w:before="240"/>
        <w:ind w:firstLine="540"/>
        <w:jc w:val="both"/>
        <w:rPr>
          <w:color w:val="auto"/>
          <w:sz w:val="22"/>
          <w:szCs w:val="22"/>
        </w:rPr>
      </w:pPr>
      <w:r>
        <w:rPr>
          <w:color w:val="auto"/>
          <w:sz w:val="22"/>
          <w:szCs w:val="22"/>
        </w:rPr>
        <w:t>строить рассуждения в форме связи простых суждений об объекте, его строении, свойствах и способах создания;</w:t>
      </w:r>
    </w:p>
    <w:p w14:paraId="70311F43">
      <w:pPr>
        <w:pStyle w:val="85"/>
        <w:spacing w:before="240"/>
        <w:ind w:firstLine="540"/>
        <w:jc w:val="both"/>
        <w:rPr>
          <w:color w:val="auto"/>
          <w:sz w:val="22"/>
          <w:szCs w:val="22"/>
        </w:rPr>
      </w:pPr>
      <w:r>
        <w:rPr>
          <w:color w:val="auto"/>
          <w:sz w:val="22"/>
          <w:szCs w:val="22"/>
        </w:rPr>
        <w:t>описывать предметы рукотворного мира, оценивать их достоинства;</w:t>
      </w:r>
    </w:p>
    <w:p w14:paraId="32B20522">
      <w:pPr>
        <w:pStyle w:val="85"/>
        <w:spacing w:before="240"/>
        <w:ind w:firstLine="540"/>
        <w:jc w:val="both"/>
        <w:rPr>
          <w:color w:val="auto"/>
          <w:sz w:val="22"/>
          <w:szCs w:val="22"/>
        </w:rPr>
      </w:pPr>
      <w:r>
        <w:rPr>
          <w:color w:val="auto"/>
          <w:sz w:val="22"/>
          <w:szCs w:val="22"/>
        </w:rPr>
        <w:t>формулировать собственное мнение, аргументировать выбор вариантов и способов выполнения задания.</w:t>
      </w:r>
    </w:p>
    <w:p w14:paraId="09FF9CF4">
      <w:pPr>
        <w:pStyle w:val="85"/>
        <w:spacing w:before="240"/>
        <w:ind w:firstLine="540"/>
        <w:jc w:val="both"/>
        <w:rPr>
          <w:color w:val="auto"/>
          <w:sz w:val="22"/>
          <w:szCs w:val="22"/>
        </w:rPr>
      </w:pPr>
      <w:r>
        <w:rPr>
          <w:color w:val="auto"/>
          <w:sz w:val="22"/>
          <w:szCs w:val="22"/>
        </w:rPr>
        <w:t>15.8.5.4. У обучающегося будут сформированы следующие умения самоорганизации и самоконтроля как часть регулятивных универсальных учебных действий:</w:t>
      </w:r>
    </w:p>
    <w:p w14:paraId="00CA9E02">
      <w:pPr>
        <w:pStyle w:val="85"/>
        <w:spacing w:before="240"/>
        <w:ind w:firstLine="540"/>
        <w:jc w:val="both"/>
        <w:rPr>
          <w:color w:val="auto"/>
          <w:sz w:val="22"/>
          <w:szCs w:val="22"/>
        </w:rPr>
      </w:pPr>
      <w:r>
        <w:rPr>
          <w:color w:val="auto"/>
          <w:sz w:val="22"/>
          <w:szCs w:val="22"/>
        </w:rPr>
        <w:t>принимать и сохранять учебную задачу, осуществлять поиск средств для ее решения;</w:t>
      </w:r>
    </w:p>
    <w:p w14:paraId="31C21F5F">
      <w:pPr>
        <w:pStyle w:val="85"/>
        <w:spacing w:before="240"/>
        <w:ind w:firstLine="540"/>
        <w:jc w:val="both"/>
        <w:rPr>
          <w:color w:val="auto"/>
          <w:sz w:val="22"/>
          <w:szCs w:val="22"/>
        </w:rPr>
      </w:pPr>
      <w:r>
        <w:rPr>
          <w:color w:val="auto"/>
          <w:sz w:val="22"/>
          <w:szCs w:val="22"/>
        </w:rPr>
        <w:t>прогнозировать необходимые действия для получения практического результата, предлагать план действий в соответствии с поставленной задачей, действовать по плану;</w:t>
      </w:r>
    </w:p>
    <w:p w14:paraId="34C23B7D">
      <w:pPr>
        <w:pStyle w:val="85"/>
        <w:spacing w:before="240"/>
        <w:ind w:firstLine="540"/>
        <w:jc w:val="both"/>
        <w:rPr>
          <w:color w:val="auto"/>
          <w:sz w:val="22"/>
          <w:szCs w:val="22"/>
        </w:rPr>
      </w:pPr>
      <w:r>
        <w:rPr>
          <w:color w:val="auto"/>
          <w:sz w:val="22"/>
          <w:szCs w:val="22"/>
        </w:rPr>
        <w:t>выполнять действия контроля и оценки, выявлять ошибки и недочеты по результатам работы, устанавливать их причины и искать способы устранения;</w:t>
      </w:r>
    </w:p>
    <w:p w14:paraId="4053E82B">
      <w:pPr>
        <w:pStyle w:val="85"/>
        <w:spacing w:before="240"/>
        <w:ind w:firstLine="540"/>
        <w:jc w:val="both"/>
        <w:rPr>
          <w:color w:val="auto"/>
          <w:sz w:val="22"/>
          <w:szCs w:val="22"/>
        </w:rPr>
      </w:pPr>
      <w:r>
        <w:rPr>
          <w:color w:val="auto"/>
          <w:sz w:val="22"/>
          <w:szCs w:val="22"/>
        </w:rPr>
        <w:t>проявлять волевую саморегуляцию при выполнении задания.</w:t>
      </w:r>
    </w:p>
    <w:p w14:paraId="3FA1F743">
      <w:pPr>
        <w:pStyle w:val="85"/>
        <w:spacing w:before="240"/>
        <w:ind w:firstLine="540"/>
        <w:jc w:val="both"/>
        <w:rPr>
          <w:color w:val="auto"/>
          <w:sz w:val="22"/>
          <w:szCs w:val="22"/>
        </w:rPr>
      </w:pPr>
      <w:r>
        <w:rPr>
          <w:color w:val="auto"/>
          <w:sz w:val="22"/>
          <w:szCs w:val="22"/>
        </w:rPr>
        <w:t>15.8.5.5. У обучающегося будут сформированы следующие умения совместной деятельности:</w:t>
      </w:r>
    </w:p>
    <w:p w14:paraId="399260F7">
      <w:pPr>
        <w:pStyle w:val="85"/>
        <w:spacing w:before="240"/>
        <w:ind w:firstLine="540"/>
        <w:jc w:val="both"/>
        <w:rPr>
          <w:color w:val="auto"/>
          <w:sz w:val="22"/>
          <w:szCs w:val="22"/>
        </w:rPr>
      </w:pPr>
      <w:r>
        <w:rPr>
          <w:color w:val="auto"/>
          <w:sz w:val="22"/>
          <w:szCs w:val="22"/>
        </w:rPr>
        <w:t>выбирать себе партнеров по совместной деятельности не только по симпатии, но и по деловым качествам;</w:t>
      </w:r>
    </w:p>
    <w:p w14:paraId="6269A98E">
      <w:pPr>
        <w:pStyle w:val="85"/>
        <w:spacing w:before="240"/>
        <w:ind w:firstLine="540"/>
        <w:jc w:val="both"/>
        <w:rPr>
          <w:color w:val="auto"/>
          <w:sz w:val="22"/>
          <w:szCs w:val="22"/>
        </w:rPr>
      </w:pPr>
      <w:r>
        <w:rPr>
          <w:color w:val="auto"/>
          <w:sz w:val="22"/>
          <w:szCs w:val="22"/>
        </w:rPr>
        <w:t>справедливо распределять работу, договариваться, приходить к общему решению, отвечать за общий результат работы;</w:t>
      </w:r>
    </w:p>
    <w:p w14:paraId="71B88115">
      <w:pPr>
        <w:pStyle w:val="85"/>
        <w:spacing w:before="240"/>
        <w:ind w:firstLine="540"/>
        <w:jc w:val="both"/>
        <w:rPr>
          <w:color w:val="auto"/>
          <w:sz w:val="22"/>
          <w:szCs w:val="22"/>
        </w:rPr>
      </w:pPr>
      <w:r>
        <w:rPr>
          <w:color w:val="auto"/>
          <w:sz w:val="22"/>
          <w:szCs w:val="22"/>
        </w:rPr>
        <w:t>выполнять роли лидера, подчиненного, соблюдать равноправие и дружелюбие;</w:t>
      </w:r>
    </w:p>
    <w:p w14:paraId="6E798893">
      <w:pPr>
        <w:pStyle w:val="85"/>
        <w:spacing w:before="240"/>
        <w:ind w:firstLine="540"/>
        <w:jc w:val="both"/>
        <w:rPr>
          <w:color w:val="auto"/>
          <w:sz w:val="22"/>
          <w:szCs w:val="22"/>
        </w:rPr>
      </w:pPr>
      <w:r>
        <w:rPr>
          <w:color w:val="auto"/>
          <w:sz w:val="22"/>
          <w:szCs w:val="22"/>
        </w:rPr>
        <w:t>осуществлять взаимопомощь, проявлять ответственность при выполнении своей части работы.</w:t>
      </w:r>
    </w:p>
    <w:p w14:paraId="13E2951B">
      <w:pPr>
        <w:pStyle w:val="85"/>
        <w:jc w:val="both"/>
        <w:rPr>
          <w:color w:val="auto"/>
          <w:sz w:val="22"/>
          <w:szCs w:val="22"/>
        </w:rPr>
      </w:pPr>
    </w:p>
    <w:p w14:paraId="5AF2526D">
      <w:pPr>
        <w:pStyle w:val="85"/>
        <w:ind w:firstLine="540"/>
        <w:jc w:val="both"/>
        <w:rPr>
          <w:color w:val="auto"/>
          <w:sz w:val="22"/>
          <w:szCs w:val="22"/>
        </w:rPr>
      </w:pPr>
      <w:r>
        <w:rPr>
          <w:color w:val="auto"/>
          <w:sz w:val="22"/>
          <w:szCs w:val="22"/>
        </w:rPr>
        <w:t>15.9. Содержание обучения в 4 классе.</w:t>
      </w:r>
    </w:p>
    <w:p w14:paraId="680B2D8B">
      <w:pPr>
        <w:pStyle w:val="85"/>
        <w:spacing w:before="240"/>
        <w:ind w:firstLine="540"/>
        <w:jc w:val="both"/>
        <w:rPr>
          <w:color w:val="auto"/>
          <w:sz w:val="22"/>
          <w:szCs w:val="22"/>
        </w:rPr>
      </w:pPr>
      <w:r>
        <w:rPr>
          <w:color w:val="auto"/>
          <w:sz w:val="22"/>
          <w:szCs w:val="22"/>
        </w:rPr>
        <w:t>15.9.1. Технологии, профессии и производства.</w:t>
      </w:r>
    </w:p>
    <w:p w14:paraId="0962C883">
      <w:pPr>
        <w:pStyle w:val="85"/>
        <w:spacing w:before="240"/>
        <w:ind w:firstLine="540"/>
        <w:jc w:val="both"/>
        <w:rPr>
          <w:color w:val="auto"/>
          <w:sz w:val="22"/>
          <w:szCs w:val="22"/>
        </w:rPr>
      </w:pPr>
      <w:r>
        <w:rPr>
          <w:color w:val="auto"/>
          <w:sz w:val="22"/>
          <w:szCs w:val="22"/>
        </w:rPr>
        <w:t>15.9.1.1. Профессии и технологии современного мира. Использование достижений науки в развитии технического прогресса. Изобретение и использование синтетических материалов с определенными заданными свойствами в различных отраслях и профессиях. Нефть как универсальное сырье. Материалы, получаемые из нефти (пластик, стеклоткань, пенопласт и другие).</w:t>
      </w:r>
    </w:p>
    <w:p w14:paraId="4D09FADE">
      <w:pPr>
        <w:pStyle w:val="85"/>
        <w:spacing w:before="240"/>
        <w:ind w:firstLine="540"/>
        <w:jc w:val="both"/>
        <w:rPr>
          <w:color w:val="auto"/>
          <w:sz w:val="22"/>
          <w:szCs w:val="22"/>
        </w:rPr>
      </w:pPr>
      <w:r>
        <w:rPr>
          <w:color w:val="auto"/>
          <w:sz w:val="22"/>
          <w:szCs w:val="22"/>
        </w:rPr>
        <w:t>15.9.1.2. Мир профессий. Профессии, связанные с опасностями (пожарные, космонавты, химики и другие).</w:t>
      </w:r>
    </w:p>
    <w:p w14:paraId="5C421777">
      <w:pPr>
        <w:pStyle w:val="85"/>
        <w:spacing w:before="240"/>
        <w:ind w:firstLine="540"/>
        <w:jc w:val="both"/>
        <w:rPr>
          <w:color w:val="auto"/>
          <w:sz w:val="22"/>
          <w:szCs w:val="22"/>
        </w:rPr>
      </w:pPr>
      <w:r>
        <w:rPr>
          <w:color w:val="auto"/>
          <w:sz w:val="22"/>
          <w:szCs w:val="22"/>
        </w:rPr>
        <w:t>15.9.1.3. Информационный мир, его место и влияние на жизнь и деятельность людей. Влияние современных технологий и преобразующей деятельности человека на окружающую среду, способы ее защиты.</w:t>
      </w:r>
    </w:p>
    <w:p w14:paraId="63037F1B">
      <w:pPr>
        <w:pStyle w:val="85"/>
        <w:spacing w:before="240"/>
        <w:ind w:firstLine="540"/>
        <w:jc w:val="both"/>
        <w:rPr>
          <w:color w:val="auto"/>
          <w:sz w:val="22"/>
          <w:szCs w:val="22"/>
        </w:rPr>
      </w:pPr>
      <w:r>
        <w:rPr>
          <w:color w:val="auto"/>
          <w:sz w:val="22"/>
          <w:szCs w:val="22"/>
        </w:rPr>
        <w:t>15.9.1.4. Сохранение и развитие традиций прошлого в творчестве современных мастеров. Бережное и уважительное отношение людей к культурным традициям. Изготовление изделий с учетом традиционных правил и современных технологий (лепка, вязание, шитье, вышивка и другие).</w:t>
      </w:r>
    </w:p>
    <w:p w14:paraId="277814E9">
      <w:pPr>
        <w:pStyle w:val="85"/>
        <w:spacing w:before="240"/>
        <w:ind w:firstLine="540"/>
        <w:jc w:val="both"/>
        <w:rPr>
          <w:color w:val="auto"/>
          <w:sz w:val="22"/>
          <w:szCs w:val="22"/>
        </w:rPr>
      </w:pPr>
      <w:r>
        <w:rPr>
          <w:color w:val="auto"/>
          <w:sz w:val="22"/>
          <w:szCs w:val="22"/>
        </w:rPr>
        <w:t>15.9.1.5. Элементарная творческая и проектная деятельность (реализация заданного или собственного замысла, поиск оптимальных конструктивных и технологических решений). Коллективные, групповые и индивидуальные проекты на основе содержания материала, изучаемого в течение учебного года. Использование комбинированных техник создания конструкций по заданным условиям в выполнении учебных проектов.</w:t>
      </w:r>
    </w:p>
    <w:p w14:paraId="567D4352">
      <w:pPr>
        <w:pStyle w:val="85"/>
        <w:spacing w:before="240"/>
        <w:ind w:firstLine="540"/>
        <w:jc w:val="both"/>
        <w:rPr>
          <w:color w:val="auto"/>
          <w:sz w:val="22"/>
          <w:szCs w:val="22"/>
        </w:rPr>
      </w:pPr>
      <w:r>
        <w:rPr>
          <w:color w:val="auto"/>
          <w:sz w:val="22"/>
          <w:szCs w:val="22"/>
        </w:rPr>
        <w:t>15.9.2. Технологии ручной обработки материалов.</w:t>
      </w:r>
    </w:p>
    <w:p w14:paraId="3D5C9DC9">
      <w:pPr>
        <w:pStyle w:val="85"/>
        <w:spacing w:before="240"/>
        <w:ind w:firstLine="540"/>
        <w:jc w:val="both"/>
        <w:rPr>
          <w:color w:val="auto"/>
          <w:sz w:val="22"/>
          <w:szCs w:val="22"/>
        </w:rPr>
      </w:pPr>
      <w:r>
        <w:rPr>
          <w:color w:val="auto"/>
          <w:sz w:val="22"/>
          <w:szCs w:val="22"/>
        </w:rPr>
        <w:t>15.9.2.1. Синтетические материалы - ткани, полимеры (пластик, поролон). Их свойства. Создание синтетических материалов с заданными свойствами.</w:t>
      </w:r>
    </w:p>
    <w:p w14:paraId="446D692E">
      <w:pPr>
        <w:pStyle w:val="85"/>
        <w:spacing w:before="240"/>
        <w:ind w:firstLine="540"/>
        <w:jc w:val="both"/>
        <w:rPr>
          <w:color w:val="auto"/>
          <w:sz w:val="22"/>
          <w:szCs w:val="22"/>
        </w:rPr>
      </w:pPr>
      <w:r>
        <w:rPr>
          <w:color w:val="auto"/>
          <w:sz w:val="22"/>
          <w:szCs w:val="22"/>
        </w:rPr>
        <w:t>15.9.2.2. Использование измерений, вычислений и построений для решения практических задач. Внесение дополнений и изменений в условные графические изображения в соответствии с дополнительными (измененными) требованиями к изделию.</w:t>
      </w:r>
    </w:p>
    <w:p w14:paraId="7BCDA8DA">
      <w:pPr>
        <w:pStyle w:val="85"/>
        <w:spacing w:before="240"/>
        <w:ind w:firstLine="540"/>
        <w:jc w:val="both"/>
        <w:rPr>
          <w:color w:val="auto"/>
          <w:sz w:val="22"/>
          <w:szCs w:val="22"/>
        </w:rPr>
      </w:pPr>
      <w:r>
        <w:rPr>
          <w:color w:val="auto"/>
          <w:sz w:val="22"/>
          <w:szCs w:val="22"/>
        </w:rPr>
        <w:t>15.9.2.3. Технология обработки бумаги и картона. Подбор материалов в соответствии с замыслом, особенностями конструкции изделия. Определение оптимальных способов разметки деталей, сборки изделия. Выбор способов отделки. Комбинирование разных материалов в одном изделии.</w:t>
      </w:r>
    </w:p>
    <w:p w14:paraId="28D0EBBF">
      <w:pPr>
        <w:pStyle w:val="85"/>
        <w:spacing w:before="240"/>
        <w:ind w:firstLine="540"/>
        <w:jc w:val="both"/>
        <w:rPr>
          <w:color w:val="auto"/>
          <w:sz w:val="22"/>
          <w:szCs w:val="22"/>
        </w:rPr>
      </w:pPr>
      <w:r>
        <w:rPr>
          <w:color w:val="auto"/>
          <w:sz w:val="22"/>
          <w:szCs w:val="22"/>
        </w:rPr>
        <w:t>15.9.2.4. Совершенствование умений выполнять разные способы разметки с помощью чертежных инструментов. Освоение доступных художественных техник.</w:t>
      </w:r>
    </w:p>
    <w:p w14:paraId="4413942D">
      <w:pPr>
        <w:pStyle w:val="85"/>
        <w:spacing w:before="240"/>
        <w:ind w:firstLine="540"/>
        <w:jc w:val="both"/>
        <w:rPr>
          <w:color w:val="auto"/>
          <w:sz w:val="22"/>
          <w:szCs w:val="22"/>
        </w:rPr>
      </w:pPr>
      <w:r>
        <w:rPr>
          <w:color w:val="auto"/>
          <w:sz w:val="22"/>
          <w:szCs w:val="22"/>
        </w:rPr>
        <w:t>15.9.2.5. Технология обработки текстильных материалов. Обобщенное представление о видах тканей (натуральные, искусственные, синтетические), их свойствах и областей использования. Дизайн одежды в зависимости от ее назначения, моды, времени. Подбор текстильных материалов в соответствии с замыслом, особенностями конструкции изделия. Раскрой деталей по готовым лекалам (выкройкам), собственным несложным. Строчка петельного стежка и ее варианты ("тамбур" и другие), ее назначение (соединение и отделка деталей) и (или) строчки петлеобразного и крестообразного стежков (соединительные и отделочные). Подбор ручных строчек для сшивания и отделки изделий. Простейший ремонт изделий.</w:t>
      </w:r>
    </w:p>
    <w:p w14:paraId="3C730349">
      <w:pPr>
        <w:pStyle w:val="85"/>
        <w:spacing w:before="240"/>
        <w:ind w:firstLine="540"/>
        <w:jc w:val="both"/>
        <w:rPr>
          <w:color w:val="auto"/>
          <w:sz w:val="22"/>
          <w:szCs w:val="22"/>
        </w:rPr>
      </w:pPr>
      <w:r>
        <w:rPr>
          <w:color w:val="auto"/>
          <w:sz w:val="22"/>
          <w:szCs w:val="22"/>
        </w:rPr>
        <w:t>15.9.2.6. Технология обработки синтетических материалов. Пластик, поролон, полиэтилен. Общее знакомство, сравнение свойств. Самостоятельное определение технологий их обработки в сравнении с освоенными материалами.</w:t>
      </w:r>
    </w:p>
    <w:p w14:paraId="57181452">
      <w:pPr>
        <w:pStyle w:val="85"/>
        <w:spacing w:before="240"/>
        <w:ind w:firstLine="540"/>
        <w:jc w:val="both"/>
        <w:rPr>
          <w:color w:val="auto"/>
          <w:sz w:val="22"/>
          <w:szCs w:val="22"/>
        </w:rPr>
      </w:pPr>
      <w:r>
        <w:rPr>
          <w:color w:val="auto"/>
          <w:sz w:val="22"/>
          <w:szCs w:val="22"/>
        </w:rPr>
        <w:t>15.9.2.7. Комбинированное использование разных материалов.</w:t>
      </w:r>
    </w:p>
    <w:p w14:paraId="55E6D35E">
      <w:pPr>
        <w:pStyle w:val="85"/>
        <w:spacing w:before="240"/>
        <w:ind w:firstLine="540"/>
        <w:jc w:val="both"/>
        <w:rPr>
          <w:color w:val="auto"/>
          <w:sz w:val="22"/>
          <w:szCs w:val="22"/>
        </w:rPr>
      </w:pPr>
      <w:r>
        <w:rPr>
          <w:color w:val="auto"/>
          <w:sz w:val="22"/>
          <w:szCs w:val="22"/>
        </w:rPr>
        <w:t>15.9.3. Конструирование и моделирование.</w:t>
      </w:r>
    </w:p>
    <w:p w14:paraId="4D59342A">
      <w:pPr>
        <w:pStyle w:val="85"/>
        <w:spacing w:before="240"/>
        <w:ind w:firstLine="540"/>
        <w:jc w:val="both"/>
        <w:rPr>
          <w:color w:val="auto"/>
          <w:sz w:val="22"/>
          <w:szCs w:val="22"/>
        </w:rPr>
      </w:pPr>
      <w:r>
        <w:rPr>
          <w:color w:val="auto"/>
          <w:sz w:val="22"/>
          <w:szCs w:val="22"/>
        </w:rPr>
        <w:t>15.9.3.1. Современные требования к техническим устройствам (экологичность, безопасность, эргономичность и другие).</w:t>
      </w:r>
    </w:p>
    <w:p w14:paraId="12A99621">
      <w:pPr>
        <w:pStyle w:val="85"/>
        <w:spacing w:before="240"/>
        <w:ind w:firstLine="540"/>
        <w:jc w:val="both"/>
        <w:rPr>
          <w:color w:val="auto"/>
          <w:sz w:val="22"/>
          <w:szCs w:val="22"/>
        </w:rPr>
      </w:pPr>
      <w:r>
        <w:rPr>
          <w:color w:val="auto"/>
          <w:sz w:val="22"/>
          <w:szCs w:val="22"/>
        </w:rPr>
        <w:t>15.9.3.2. Конструирование и моделирование изделий из различных материалов, в том числе конструктора, по проектному заданию или собственному замыслу. Поиск оптимальных и доступных новых решений конструкторско-технологических проблем на всех этапах аналитического и технологического процесса при выполнении индивидуальных творческих и коллективных проектных работ.</w:t>
      </w:r>
    </w:p>
    <w:p w14:paraId="4198178E">
      <w:pPr>
        <w:pStyle w:val="85"/>
        <w:spacing w:before="240"/>
        <w:ind w:firstLine="540"/>
        <w:jc w:val="both"/>
        <w:rPr>
          <w:color w:val="auto"/>
          <w:sz w:val="22"/>
          <w:szCs w:val="22"/>
        </w:rPr>
      </w:pPr>
      <w:r>
        <w:rPr>
          <w:color w:val="auto"/>
          <w:sz w:val="22"/>
          <w:szCs w:val="22"/>
        </w:rPr>
        <w:t>15.9.3.3. Робототехника. Конструктивные, соединительные элементы и основные узлы робота. Инструменты и детали для создания робота. Конструирование робота. Составление алгоритма действий робота. Программирование, тестирование робота. Преобразование конструкции робота. Презентация робота.</w:t>
      </w:r>
    </w:p>
    <w:p w14:paraId="68AAC793">
      <w:pPr>
        <w:pStyle w:val="85"/>
        <w:spacing w:before="240"/>
        <w:ind w:firstLine="540"/>
        <w:jc w:val="both"/>
        <w:rPr>
          <w:color w:val="auto"/>
          <w:sz w:val="22"/>
          <w:szCs w:val="22"/>
        </w:rPr>
      </w:pPr>
      <w:r>
        <w:rPr>
          <w:color w:val="auto"/>
          <w:sz w:val="22"/>
          <w:szCs w:val="22"/>
        </w:rPr>
        <w:t>15.9.4. ИКТ.</w:t>
      </w:r>
    </w:p>
    <w:p w14:paraId="3319D59F">
      <w:pPr>
        <w:pStyle w:val="85"/>
        <w:spacing w:before="240"/>
        <w:ind w:firstLine="540"/>
        <w:jc w:val="both"/>
        <w:rPr>
          <w:color w:val="auto"/>
          <w:sz w:val="22"/>
          <w:szCs w:val="22"/>
        </w:rPr>
      </w:pPr>
      <w:r>
        <w:rPr>
          <w:color w:val="auto"/>
          <w:sz w:val="22"/>
          <w:szCs w:val="22"/>
        </w:rPr>
        <w:t>15.9.4.1. Работа с доступной информацией в Интернете и на цифровых носителях информации.</w:t>
      </w:r>
    </w:p>
    <w:p w14:paraId="675F913A">
      <w:pPr>
        <w:pStyle w:val="85"/>
        <w:spacing w:before="240"/>
        <w:ind w:firstLine="540"/>
        <w:jc w:val="both"/>
        <w:rPr>
          <w:color w:val="auto"/>
          <w:sz w:val="22"/>
          <w:szCs w:val="22"/>
        </w:rPr>
      </w:pPr>
      <w:r>
        <w:rPr>
          <w:color w:val="auto"/>
          <w:sz w:val="22"/>
          <w:szCs w:val="22"/>
        </w:rPr>
        <w:t>15.9.4.2. Электронные и медиаресурсы в художественно-конструкторской, проектной, предметной преобразующей деятельности. Работа с подготовленными цифровыми материалами. Поиск дополнительной информации по тематике творческих и проектных работ, использование рисунков из ресурса компьютера в оформлении изделий и другие. Создание презентаций в программе PowerPoint или другой.</w:t>
      </w:r>
    </w:p>
    <w:p w14:paraId="12A67AB6">
      <w:pPr>
        <w:pStyle w:val="85"/>
        <w:spacing w:before="240"/>
        <w:ind w:firstLine="540"/>
        <w:jc w:val="both"/>
        <w:rPr>
          <w:color w:val="auto"/>
          <w:sz w:val="22"/>
          <w:szCs w:val="22"/>
        </w:rPr>
      </w:pPr>
      <w:r>
        <w:rPr>
          <w:color w:val="auto"/>
          <w:sz w:val="22"/>
          <w:szCs w:val="22"/>
        </w:rPr>
        <w:t>15.9.5. Изучение труда (технологии) в 4 классе способствует освоению ряда универсальных учебных действий: познавательных универсальных учебных действий, коммуникативных универсальных учебных действий, регулятивных универсальных учебных действий, совместной деятельности.</w:t>
      </w:r>
    </w:p>
    <w:p w14:paraId="03E11313">
      <w:pPr>
        <w:pStyle w:val="85"/>
        <w:spacing w:before="240"/>
        <w:ind w:firstLine="540"/>
        <w:jc w:val="both"/>
        <w:rPr>
          <w:color w:val="auto"/>
          <w:sz w:val="22"/>
          <w:szCs w:val="22"/>
        </w:rPr>
      </w:pPr>
      <w:r>
        <w:rPr>
          <w:color w:val="auto"/>
          <w:sz w:val="22"/>
          <w:szCs w:val="22"/>
        </w:rPr>
        <w:t>15.9.5.1. У обучающегося будут сформированы следующие базовые логические и исследовательские действия как часть познавательных универсальных учебных действий:</w:t>
      </w:r>
    </w:p>
    <w:p w14:paraId="1D15703E">
      <w:pPr>
        <w:pStyle w:val="85"/>
        <w:spacing w:before="240"/>
        <w:ind w:firstLine="540"/>
        <w:jc w:val="both"/>
        <w:rPr>
          <w:color w:val="auto"/>
          <w:sz w:val="22"/>
          <w:szCs w:val="22"/>
        </w:rPr>
      </w:pPr>
      <w:r>
        <w:rPr>
          <w:color w:val="auto"/>
          <w:sz w:val="22"/>
          <w:szCs w:val="22"/>
        </w:rPr>
        <w:t>ориентироваться в терминах, используемых в технологии, использовать их в ответах на вопросы и высказываниях (в пределах изученного);</w:t>
      </w:r>
    </w:p>
    <w:p w14:paraId="6CFBC825">
      <w:pPr>
        <w:pStyle w:val="85"/>
        <w:spacing w:before="240"/>
        <w:ind w:firstLine="540"/>
        <w:jc w:val="both"/>
        <w:rPr>
          <w:color w:val="auto"/>
          <w:sz w:val="22"/>
          <w:szCs w:val="22"/>
        </w:rPr>
      </w:pPr>
      <w:r>
        <w:rPr>
          <w:color w:val="auto"/>
          <w:sz w:val="22"/>
          <w:szCs w:val="22"/>
        </w:rPr>
        <w:t>анализировать конструкции предложенных образцов изделий;</w:t>
      </w:r>
    </w:p>
    <w:p w14:paraId="323E6757">
      <w:pPr>
        <w:pStyle w:val="85"/>
        <w:spacing w:before="240"/>
        <w:ind w:firstLine="540"/>
        <w:jc w:val="both"/>
        <w:rPr>
          <w:color w:val="auto"/>
          <w:sz w:val="22"/>
          <w:szCs w:val="22"/>
        </w:rPr>
      </w:pPr>
      <w:r>
        <w:rPr>
          <w:color w:val="auto"/>
          <w:sz w:val="22"/>
          <w:szCs w:val="22"/>
        </w:rPr>
        <w:t>конструировать и моделировать изделия из различных материалов по образцу, рисунку, простейшему чертежу, эскизу, схеме с использованием общепринятых условных обозначений и по заданным условиям;</w:t>
      </w:r>
    </w:p>
    <w:p w14:paraId="19CF2A35">
      <w:pPr>
        <w:pStyle w:val="85"/>
        <w:spacing w:before="240"/>
        <w:ind w:firstLine="540"/>
        <w:jc w:val="both"/>
        <w:rPr>
          <w:color w:val="auto"/>
          <w:sz w:val="22"/>
          <w:szCs w:val="22"/>
        </w:rPr>
      </w:pPr>
      <w:r>
        <w:rPr>
          <w:color w:val="auto"/>
          <w:sz w:val="22"/>
          <w:szCs w:val="22"/>
        </w:rPr>
        <w:t>выстраивать последовательность практических действий и технологических операций, подбирать материал и инструменты, выполнять экономную разметку, сборку, отделку изделия;</w:t>
      </w:r>
    </w:p>
    <w:p w14:paraId="21343EDA">
      <w:pPr>
        <w:pStyle w:val="85"/>
        <w:spacing w:before="240"/>
        <w:ind w:firstLine="540"/>
        <w:jc w:val="both"/>
        <w:rPr>
          <w:color w:val="auto"/>
          <w:sz w:val="22"/>
          <w:szCs w:val="22"/>
        </w:rPr>
      </w:pPr>
      <w:r>
        <w:rPr>
          <w:color w:val="auto"/>
          <w:sz w:val="22"/>
          <w:szCs w:val="22"/>
        </w:rPr>
        <w:t>решать простые задачи на преобразование конструкции;</w:t>
      </w:r>
    </w:p>
    <w:p w14:paraId="1A815761">
      <w:pPr>
        <w:pStyle w:val="85"/>
        <w:spacing w:before="240"/>
        <w:ind w:firstLine="540"/>
        <w:jc w:val="both"/>
        <w:rPr>
          <w:color w:val="auto"/>
          <w:sz w:val="22"/>
          <w:szCs w:val="22"/>
        </w:rPr>
      </w:pPr>
      <w:r>
        <w:rPr>
          <w:color w:val="auto"/>
          <w:sz w:val="22"/>
          <w:szCs w:val="22"/>
        </w:rPr>
        <w:t>выполнять работу в соответствии с инструкцией (устной или письменной);</w:t>
      </w:r>
    </w:p>
    <w:p w14:paraId="58935F5A">
      <w:pPr>
        <w:pStyle w:val="85"/>
        <w:spacing w:before="240"/>
        <w:ind w:firstLine="540"/>
        <w:jc w:val="both"/>
        <w:rPr>
          <w:color w:val="auto"/>
          <w:sz w:val="22"/>
          <w:szCs w:val="22"/>
        </w:rPr>
      </w:pPr>
      <w:r>
        <w:rPr>
          <w:color w:val="auto"/>
          <w:sz w:val="22"/>
          <w:szCs w:val="22"/>
        </w:rPr>
        <w:t>соотносить результат работы с заданным алгоритмом, проверять изделия в действии, вносить необходимые дополнения и изменения;</w:t>
      </w:r>
    </w:p>
    <w:p w14:paraId="16228B29">
      <w:pPr>
        <w:pStyle w:val="85"/>
        <w:spacing w:before="240"/>
        <w:ind w:firstLine="540"/>
        <w:jc w:val="both"/>
        <w:rPr>
          <w:color w:val="auto"/>
          <w:sz w:val="22"/>
          <w:szCs w:val="22"/>
        </w:rPr>
      </w:pPr>
      <w:r>
        <w:rPr>
          <w:color w:val="auto"/>
          <w:sz w:val="22"/>
          <w:szCs w:val="22"/>
        </w:rPr>
        <w:t>классифицировать изделия по самостоятельно предложенному существенному признаку (используемый материал, форма, размер, назначение, способ сборки);</w:t>
      </w:r>
    </w:p>
    <w:p w14:paraId="05A1F533">
      <w:pPr>
        <w:pStyle w:val="85"/>
        <w:spacing w:before="240"/>
        <w:ind w:firstLine="540"/>
        <w:jc w:val="both"/>
        <w:rPr>
          <w:color w:val="auto"/>
          <w:sz w:val="22"/>
          <w:szCs w:val="22"/>
        </w:rPr>
      </w:pPr>
      <w:r>
        <w:rPr>
          <w:color w:val="auto"/>
          <w:sz w:val="22"/>
          <w:szCs w:val="22"/>
        </w:rPr>
        <w:t>выполнять действия анализа и синтеза, сравнения, классификации предметов (изделий) с учетом данных критериев;</w:t>
      </w:r>
    </w:p>
    <w:p w14:paraId="027A2E95">
      <w:pPr>
        <w:pStyle w:val="85"/>
        <w:spacing w:before="240"/>
        <w:ind w:firstLine="540"/>
        <w:jc w:val="both"/>
        <w:rPr>
          <w:color w:val="auto"/>
          <w:sz w:val="22"/>
          <w:szCs w:val="22"/>
        </w:rPr>
      </w:pPr>
      <w:r>
        <w:rPr>
          <w:color w:val="auto"/>
          <w:sz w:val="22"/>
          <w:szCs w:val="22"/>
        </w:rPr>
        <w:t>анализировать устройство простых изделий по образцу, рисунку, выделять основные и второстепенные составляющие конструкции.</w:t>
      </w:r>
    </w:p>
    <w:p w14:paraId="4D3B555E">
      <w:pPr>
        <w:pStyle w:val="85"/>
        <w:spacing w:before="240"/>
        <w:ind w:firstLine="540"/>
        <w:jc w:val="both"/>
        <w:rPr>
          <w:color w:val="auto"/>
          <w:sz w:val="22"/>
          <w:szCs w:val="22"/>
        </w:rPr>
      </w:pPr>
      <w:r>
        <w:rPr>
          <w:color w:val="auto"/>
          <w:sz w:val="22"/>
          <w:szCs w:val="22"/>
        </w:rPr>
        <w:t>15.9.5.2. У обучающегося будут сформированы следующие умения работать с информацией как часть познавательных универсальных учебных действий:</w:t>
      </w:r>
    </w:p>
    <w:p w14:paraId="00D6F8BA">
      <w:pPr>
        <w:pStyle w:val="85"/>
        <w:spacing w:before="240"/>
        <w:ind w:firstLine="540"/>
        <w:jc w:val="both"/>
        <w:rPr>
          <w:color w:val="auto"/>
          <w:sz w:val="22"/>
          <w:szCs w:val="22"/>
        </w:rPr>
      </w:pPr>
      <w:r>
        <w:rPr>
          <w:color w:val="auto"/>
          <w:sz w:val="22"/>
          <w:szCs w:val="22"/>
        </w:rPr>
        <w:t>находить необходимую для выполнения работы информацию, пользуясь различными источниками, анализировать ее и отбирать в соответствии с решаемой задачей;</w:t>
      </w:r>
    </w:p>
    <w:p w14:paraId="5C6877CE">
      <w:pPr>
        <w:pStyle w:val="85"/>
        <w:spacing w:before="240"/>
        <w:ind w:firstLine="540"/>
        <w:jc w:val="both"/>
        <w:rPr>
          <w:color w:val="auto"/>
          <w:sz w:val="22"/>
          <w:szCs w:val="22"/>
        </w:rPr>
      </w:pPr>
      <w:r>
        <w:rPr>
          <w:color w:val="auto"/>
          <w:sz w:val="22"/>
          <w:szCs w:val="22"/>
        </w:rPr>
        <w:t>на основе анализа информации производить выбор наиболее эффективных способов работы;</w:t>
      </w:r>
    </w:p>
    <w:p w14:paraId="011BFF08">
      <w:pPr>
        <w:pStyle w:val="85"/>
        <w:spacing w:before="240"/>
        <w:ind w:firstLine="540"/>
        <w:jc w:val="both"/>
        <w:rPr>
          <w:color w:val="auto"/>
          <w:sz w:val="22"/>
          <w:szCs w:val="22"/>
        </w:rPr>
      </w:pPr>
      <w:r>
        <w:rPr>
          <w:color w:val="auto"/>
          <w:sz w:val="22"/>
          <w:szCs w:val="22"/>
        </w:rPr>
        <w:t>использовать знаково-символические средства для решения задач в умственной или материализованной форме, выполнять действия моделирования, работать с моделями;</w:t>
      </w:r>
    </w:p>
    <w:p w14:paraId="7D86C51E">
      <w:pPr>
        <w:pStyle w:val="85"/>
        <w:spacing w:before="240"/>
        <w:ind w:firstLine="540"/>
        <w:jc w:val="both"/>
        <w:rPr>
          <w:color w:val="auto"/>
          <w:sz w:val="22"/>
          <w:szCs w:val="22"/>
        </w:rPr>
      </w:pPr>
      <w:r>
        <w:rPr>
          <w:color w:val="auto"/>
          <w:sz w:val="22"/>
          <w:szCs w:val="22"/>
        </w:rPr>
        <w:t>осуществлять поиск дополнительной информации по тематике творческих и проектных работ;</w:t>
      </w:r>
    </w:p>
    <w:p w14:paraId="1E456693">
      <w:pPr>
        <w:pStyle w:val="85"/>
        <w:spacing w:before="240"/>
        <w:ind w:firstLine="540"/>
        <w:jc w:val="both"/>
        <w:rPr>
          <w:color w:val="auto"/>
          <w:sz w:val="22"/>
          <w:szCs w:val="22"/>
        </w:rPr>
      </w:pPr>
      <w:r>
        <w:rPr>
          <w:color w:val="auto"/>
          <w:sz w:val="22"/>
          <w:szCs w:val="22"/>
        </w:rPr>
        <w:t>использовать рисунки из ресурса компьютера в оформлении изделий и другие;</w:t>
      </w:r>
    </w:p>
    <w:p w14:paraId="1E0D135E">
      <w:pPr>
        <w:pStyle w:val="85"/>
        <w:spacing w:before="240"/>
        <w:ind w:firstLine="540"/>
        <w:jc w:val="both"/>
        <w:rPr>
          <w:color w:val="auto"/>
          <w:sz w:val="22"/>
          <w:szCs w:val="22"/>
        </w:rPr>
      </w:pPr>
      <w:r>
        <w:rPr>
          <w:color w:val="auto"/>
          <w:sz w:val="22"/>
          <w:szCs w:val="22"/>
        </w:rPr>
        <w:t>использовать средства ИКТ для решения учебных и практических задач, в том числе Интернет, под руководством учителя.</w:t>
      </w:r>
    </w:p>
    <w:p w14:paraId="13E10EF2">
      <w:pPr>
        <w:pStyle w:val="85"/>
        <w:spacing w:before="240"/>
        <w:ind w:firstLine="540"/>
        <w:jc w:val="both"/>
        <w:rPr>
          <w:color w:val="auto"/>
          <w:sz w:val="22"/>
          <w:szCs w:val="22"/>
        </w:rPr>
      </w:pPr>
      <w:r>
        <w:rPr>
          <w:color w:val="auto"/>
          <w:sz w:val="22"/>
          <w:szCs w:val="22"/>
        </w:rPr>
        <w:t>15.9.5.3. У обучающегося будут сформированы следующие умения общения как часть коммуникативных универсальных учебных действий:</w:t>
      </w:r>
    </w:p>
    <w:p w14:paraId="32979236">
      <w:pPr>
        <w:pStyle w:val="85"/>
        <w:spacing w:before="240"/>
        <w:ind w:firstLine="540"/>
        <w:jc w:val="both"/>
        <w:rPr>
          <w:color w:val="auto"/>
          <w:sz w:val="22"/>
          <w:szCs w:val="22"/>
        </w:rPr>
      </w:pPr>
      <w:r>
        <w:rPr>
          <w:color w:val="auto"/>
          <w:sz w:val="22"/>
          <w:szCs w:val="22"/>
        </w:rPr>
        <w:t>соблюдать правила участия в диалоге: ставить вопросы, аргументировать и доказывать свою точку зрения, уважительно относиться к чужому мнению;</w:t>
      </w:r>
    </w:p>
    <w:p w14:paraId="579A3E12">
      <w:pPr>
        <w:pStyle w:val="85"/>
        <w:spacing w:before="240"/>
        <w:ind w:firstLine="540"/>
        <w:jc w:val="both"/>
        <w:rPr>
          <w:color w:val="auto"/>
          <w:sz w:val="22"/>
          <w:szCs w:val="22"/>
        </w:rPr>
      </w:pPr>
      <w:r>
        <w:rPr>
          <w:color w:val="auto"/>
          <w:sz w:val="22"/>
          <w:szCs w:val="22"/>
        </w:rPr>
        <w:t>описывать факты из истории развития ремесел в России, высказывать свое отношение к предметам декоративно-прикладного искусства разных народов Российской Федерации;</w:t>
      </w:r>
    </w:p>
    <w:p w14:paraId="6197993A">
      <w:pPr>
        <w:pStyle w:val="85"/>
        <w:spacing w:before="240"/>
        <w:ind w:firstLine="540"/>
        <w:jc w:val="both"/>
        <w:rPr>
          <w:color w:val="auto"/>
          <w:sz w:val="22"/>
          <w:szCs w:val="22"/>
        </w:rPr>
      </w:pPr>
      <w:r>
        <w:rPr>
          <w:color w:val="auto"/>
          <w:sz w:val="22"/>
          <w:szCs w:val="22"/>
        </w:rPr>
        <w:t>создавать тексты-рассуждения: раскрывать последовательность операций при работе с разными материалами;</w:t>
      </w:r>
    </w:p>
    <w:p w14:paraId="209C3533">
      <w:pPr>
        <w:pStyle w:val="85"/>
        <w:spacing w:before="240"/>
        <w:ind w:firstLine="540"/>
        <w:jc w:val="both"/>
        <w:rPr>
          <w:color w:val="auto"/>
          <w:sz w:val="22"/>
          <w:szCs w:val="22"/>
        </w:rPr>
      </w:pPr>
      <w:r>
        <w:rPr>
          <w:color w:val="auto"/>
          <w:sz w:val="22"/>
          <w:szCs w:val="22"/>
        </w:rPr>
        <w:t>осознавать культурно-исторический смысл и назначение праздников, их роль в жизни каждого человека, ориентироваться в традициях организации и оформления праздников.</w:t>
      </w:r>
    </w:p>
    <w:p w14:paraId="2391F285">
      <w:pPr>
        <w:pStyle w:val="85"/>
        <w:spacing w:before="240"/>
        <w:ind w:firstLine="540"/>
        <w:jc w:val="both"/>
        <w:rPr>
          <w:color w:val="auto"/>
          <w:sz w:val="22"/>
          <w:szCs w:val="22"/>
        </w:rPr>
      </w:pPr>
      <w:r>
        <w:rPr>
          <w:color w:val="auto"/>
          <w:sz w:val="22"/>
          <w:szCs w:val="22"/>
        </w:rPr>
        <w:t>15.9.5.4. У обучающегося будут сформированы следующие умения самоорганизации и самоконтроля как часть регулятивных универсальных учебных действий:</w:t>
      </w:r>
    </w:p>
    <w:p w14:paraId="0E5AFB81">
      <w:pPr>
        <w:pStyle w:val="85"/>
        <w:spacing w:before="240"/>
        <w:ind w:firstLine="540"/>
        <w:jc w:val="both"/>
        <w:rPr>
          <w:color w:val="auto"/>
          <w:sz w:val="22"/>
          <w:szCs w:val="22"/>
        </w:rPr>
      </w:pPr>
      <w:r>
        <w:rPr>
          <w:color w:val="auto"/>
          <w:sz w:val="22"/>
          <w:szCs w:val="22"/>
        </w:rPr>
        <w:t>понимать и принимать учебную задачу, самостоятельно определять цели учебно-познавательной деятельности;</w:t>
      </w:r>
    </w:p>
    <w:p w14:paraId="5DA6A834">
      <w:pPr>
        <w:pStyle w:val="85"/>
        <w:spacing w:before="240"/>
        <w:ind w:firstLine="540"/>
        <w:jc w:val="both"/>
        <w:rPr>
          <w:color w:val="auto"/>
          <w:sz w:val="22"/>
          <w:szCs w:val="22"/>
        </w:rPr>
      </w:pPr>
      <w:r>
        <w:rPr>
          <w:color w:val="auto"/>
          <w:sz w:val="22"/>
          <w:szCs w:val="22"/>
        </w:rPr>
        <w:t>планировать практическую работу в соответствии с поставленной целью и выполнять ее в соответствии с планом;</w:t>
      </w:r>
    </w:p>
    <w:p w14:paraId="38D34761">
      <w:pPr>
        <w:pStyle w:val="85"/>
        <w:spacing w:before="240"/>
        <w:ind w:firstLine="540"/>
        <w:jc w:val="both"/>
        <w:rPr>
          <w:color w:val="auto"/>
          <w:sz w:val="22"/>
          <w:szCs w:val="22"/>
        </w:rPr>
      </w:pPr>
      <w:r>
        <w:rPr>
          <w:color w:val="auto"/>
          <w:sz w:val="22"/>
          <w:szCs w:val="22"/>
        </w:rPr>
        <w:t>на основе анализа причинно-следственных связей между действиями и их результатами прогнозировать практические "шаги" для получения необходимого результата;</w:t>
      </w:r>
    </w:p>
    <w:p w14:paraId="0FD22BC9">
      <w:pPr>
        <w:pStyle w:val="85"/>
        <w:spacing w:before="240"/>
        <w:ind w:firstLine="540"/>
        <w:jc w:val="both"/>
        <w:rPr>
          <w:color w:val="auto"/>
          <w:sz w:val="22"/>
          <w:szCs w:val="22"/>
        </w:rPr>
      </w:pPr>
      <w:r>
        <w:rPr>
          <w:color w:val="auto"/>
          <w:sz w:val="22"/>
          <w:szCs w:val="22"/>
        </w:rPr>
        <w:t>выполнять действия контроля (самоконтроля) и оценки, процесса и результата деятельности, при необходимости вносить коррективы в выполняемые действия;</w:t>
      </w:r>
    </w:p>
    <w:p w14:paraId="49A2A968">
      <w:pPr>
        <w:pStyle w:val="85"/>
        <w:spacing w:before="240"/>
        <w:ind w:firstLine="540"/>
        <w:jc w:val="both"/>
        <w:rPr>
          <w:color w:val="auto"/>
          <w:sz w:val="22"/>
          <w:szCs w:val="22"/>
        </w:rPr>
      </w:pPr>
      <w:r>
        <w:rPr>
          <w:color w:val="auto"/>
          <w:sz w:val="22"/>
          <w:szCs w:val="22"/>
        </w:rPr>
        <w:t>проявлять волевую саморегуляцию при выполнении задания.</w:t>
      </w:r>
    </w:p>
    <w:p w14:paraId="5858B69D">
      <w:pPr>
        <w:pStyle w:val="85"/>
        <w:spacing w:before="240"/>
        <w:ind w:firstLine="540"/>
        <w:jc w:val="both"/>
        <w:rPr>
          <w:color w:val="auto"/>
          <w:sz w:val="22"/>
          <w:szCs w:val="22"/>
        </w:rPr>
      </w:pPr>
      <w:r>
        <w:rPr>
          <w:color w:val="auto"/>
          <w:sz w:val="22"/>
          <w:szCs w:val="22"/>
        </w:rPr>
        <w:t>15.9.5.5. У обучающегося будут сформированы следующие умения совместной деятельности:</w:t>
      </w:r>
    </w:p>
    <w:p w14:paraId="4DC7D4EC">
      <w:pPr>
        <w:pStyle w:val="85"/>
        <w:spacing w:before="240"/>
        <w:ind w:firstLine="540"/>
        <w:jc w:val="both"/>
        <w:rPr>
          <w:color w:val="auto"/>
          <w:sz w:val="22"/>
          <w:szCs w:val="22"/>
        </w:rPr>
      </w:pPr>
      <w:r>
        <w:rPr>
          <w:color w:val="auto"/>
          <w:sz w:val="22"/>
          <w:szCs w:val="22"/>
        </w:rPr>
        <w:t>организовывать под руководством учителя совместную работу в группе: распределять роли, выполнять функции руководителя или подчиненного, осуществлять продуктивное сотрудничество, взаимопомощь;</w:t>
      </w:r>
    </w:p>
    <w:p w14:paraId="7BEAB3F4">
      <w:pPr>
        <w:pStyle w:val="85"/>
        <w:spacing w:before="240"/>
        <w:ind w:firstLine="540"/>
        <w:jc w:val="both"/>
        <w:rPr>
          <w:color w:val="auto"/>
          <w:sz w:val="22"/>
          <w:szCs w:val="22"/>
        </w:rPr>
      </w:pPr>
      <w:r>
        <w:rPr>
          <w:color w:val="auto"/>
          <w:sz w:val="22"/>
          <w:szCs w:val="22"/>
        </w:rPr>
        <w:t>проявлять интерес к деятельности своих товарищей и результатам их работы, в доброжелательной форме комментировать и оценивать их достижения;</w:t>
      </w:r>
    </w:p>
    <w:p w14:paraId="71963D2A">
      <w:pPr>
        <w:pStyle w:val="85"/>
        <w:spacing w:before="240"/>
        <w:ind w:firstLine="540"/>
        <w:jc w:val="both"/>
        <w:rPr>
          <w:color w:val="auto"/>
          <w:sz w:val="22"/>
          <w:szCs w:val="22"/>
        </w:rPr>
      </w:pPr>
      <w:r>
        <w:rPr>
          <w:color w:val="auto"/>
          <w:sz w:val="22"/>
          <w:szCs w:val="22"/>
        </w:rPr>
        <w:t>в процессе анализа и оценки совместной деятельности высказывать свои предложения и пожелания, выслушивать и принимать к сведению мнение других обучающихся, их советы и пожелания, с уважением относиться к разной оценке своих достижений.</w:t>
      </w:r>
    </w:p>
    <w:p w14:paraId="784450E0">
      <w:pPr>
        <w:pStyle w:val="85"/>
        <w:jc w:val="both"/>
        <w:rPr>
          <w:color w:val="auto"/>
          <w:sz w:val="22"/>
          <w:szCs w:val="22"/>
        </w:rPr>
      </w:pPr>
    </w:p>
    <w:p w14:paraId="32FD18D1">
      <w:pPr>
        <w:pStyle w:val="85"/>
        <w:ind w:firstLine="540"/>
        <w:jc w:val="both"/>
        <w:rPr>
          <w:color w:val="auto"/>
          <w:sz w:val="22"/>
          <w:szCs w:val="22"/>
        </w:rPr>
      </w:pPr>
      <w:r>
        <w:rPr>
          <w:color w:val="auto"/>
          <w:sz w:val="22"/>
          <w:szCs w:val="22"/>
        </w:rPr>
        <w:t>15.10. Планируемые результаты освоения программы по труду (технологии) на уровне начального общего образования.</w:t>
      </w:r>
    </w:p>
    <w:p w14:paraId="33AB3E6A">
      <w:pPr>
        <w:pStyle w:val="85"/>
        <w:spacing w:before="240"/>
        <w:ind w:firstLine="540"/>
        <w:jc w:val="both"/>
        <w:rPr>
          <w:color w:val="auto"/>
          <w:sz w:val="22"/>
          <w:szCs w:val="22"/>
        </w:rPr>
      </w:pPr>
      <w:r>
        <w:rPr>
          <w:color w:val="auto"/>
          <w:sz w:val="22"/>
          <w:szCs w:val="22"/>
        </w:rPr>
        <w:t>15.10.1. Личностные результаты освоения программы по труду (технологии) на уровне начального общего образования достигаются в единстве учебной и воспитательной деятельности в соответствии с традиционными российскими социокультурными и духовно-нравственными ценностями, принятыми в обществе правилами и нормами поведения и способствуют процессам самопознания, самовоспитания и саморазвития, формирования внутренней позиции личности.</w:t>
      </w:r>
    </w:p>
    <w:p w14:paraId="58AE930D">
      <w:pPr>
        <w:pStyle w:val="85"/>
        <w:spacing w:before="240"/>
        <w:ind w:firstLine="540"/>
        <w:jc w:val="both"/>
        <w:rPr>
          <w:color w:val="auto"/>
          <w:sz w:val="22"/>
          <w:szCs w:val="22"/>
        </w:rPr>
      </w:pPr>
      <w:r>
        <w:rPr>
          <w:color w:val="auto"/>
          <w:sz w:val="22"/>
          <w:szCs w:val="22"/>
        </w:rPr>
        <w:t>В результате изучения труда (технологии) на уровне начального общего образования у обучающегося будут сформированы следующие личностные результаты:</w:t>
      </w:r>
    </w:p>
    <w:p w14:paraId="1028FC19">
      <w:pPr>
        <w:pStyle w:val="85"/>
        <w:spacing w:before="240"/>
        <w:ind w:firstLine="540"/>
        <w:jc w:val="both"/>
        <w:rPr>
          <w:color w:val="auto"/>
          <w:sz w:val="22"/>
          <w:szCs w:val="22"/>
        </w:rPr>
      </w:pPr>
      <w:r>
        <w:rPr>
          <w:color w:val="auto"/>
          <w:sz w:val="22"/>
          <w:szCs w:val="22"/>
        </w:rPr>
        <w:t>первоначальные представления о созидательном и нравственном значении труда в жизни человека и общества, уважительное отношение к труду и творчеству мастеров;</w:t>
      </w:r>
    </w:p>
    <w:p w14:paraId="4F4F9644">
      <w:pPr>
        <w:pStyle w:val="85"/>
        <w:spacing w:before="240"/>
        <w:ind w:firstLine="540"/>
        <w:jc w:val="both"/>
        <w:rPr>
          <w:color w:val="auto"/>
          <w:sz w:val="22"/>
          <w:szCs w:val="22"/>
        </w:rPr>
      </w:pPr>
      <w:r>
        <w:rPr>
          <w:color w:val="auto"/>
          <w:sz w:val="22"/>
          <w:szCs w:val="22"/>
        </w:rPr>
        <w:t>осознание роли человека и используемых им технологий в сохранении гармонического сосуществования рукотворного мира с миром природы, ответственное отношение к сохранению окружающей среды;</w:t>
      </w:r>
    </w:p>
    <w:p w14:paraId="73A704F0">
      <w:pPr>
        <w:pStyle w:val="85"/>
        <w:spacing w:before="240"/>
        <w:ind w:firstLine="540"/>
        <w:jc w:val="both"/>
        <w:rPr>
          <w:color w:val="auto"/>
          <w:sz w:val="22"/>
          <w:szCs w:val="22"/>
        </w:rPr>
      </w:pPr>
      <w:r>
        <w:rPr>
          <w:color w:val="auto"/>
          <w:sz w:val="22"/>
          <w:szCs w:val="22"/>
        </w:rPr>
        <w:t>понимание культурно-исторической ценности традиций, отраженных в предметном мире, чувство сопричастности к культуре своего народа, уважительное отношение к культурным традициям других народов;</w:t>
      </w:r>
    </w:p>
    <w:p w14:paraId="77D4753E">
      <w:pPr>
        <w:pStyle w:val="85"/>
        <w:spacing w:before="240"/>
        <w:ind w:firstLine="540"/>
        <w:jc w:val="both"/>
        <w:rPr>
          <w:color w:val="auto"/>
          <w:sz w:val="22"/>
          <w:szCs w:val="22"/>
        </w:rPr>
      </w:pPr>
      <w:r>
        <w:rPr>
          <w:color w:val="auto"/>
          <w:sz w:val="22"/>
          <w:szCs w:val="22"/>
        </w:rPr>
        <w:t>проявление способности к эстетической оценке окружающей предметной среды, эстетические чувства - эмоционально-положительное восприятие и понимание красоты форм и образов природных объектов, образцов мировой и отечественной художественной культуры;</w:t>
      </w:r>
    </w:p>
    <w:p w14:paraId="4CD469D3">
      <w:pPr>
        <w:pStyle w:val="85"/>
        <w:spacing w:before="240"/>
        <w:ind w:firstLine="540"/>
        <w:jc w:val="both"/>
        <w:rPr>
          <w:color w:val="auto"/>
          <w:sz w:val="22"/>
          <w:szCs w:val="22"/>
        </w:rPr>
      </w:pPr>
      <w:r>
        <w:rPr>
          <w:color w:val="auto"/>
          <w:sz w:val="22"/>
          <w:szCs w:val="22"/>
        </w:rPr>
        <w:t>проявление положительного отношения и интереса к различным видам творческой преобразующей деятельности, стремление к творческой самореализации, мотивация к творческому труду, работе на результат, способность к различным видам практической преобразующей деятельности;</w:t>
      </w:r>
    </w:p>
    <w:p w14:paraId="0F0173C0">
      <w:pPr>
        <w:pStyle w:val="85"/>
        <w:spacing w:before="240"/>
        <w:ind w:firstLine="540"/>
        <w:jc w:val="both"/>
        <w:rPr>
          <w:color w:val="auto"/>
          <w:sz w:val="22"/>
          <w:szCs w:val="22"/>
        </w:rPr>
      </w:pPr>
      <w:r>
        <w:rPr>
          <w:color w:val="auto"/>
          <w:sz w:val="22"/>
          <w:szCs w:val="22"/>
        </w:rPr>
        <w:t>проявление устойчивых волевых качеств и способность к саморегуляции: организованность, аккуратность, трудолюбие, ответственность, умение справляться с доступными проблемами;</w:t>
      </w:r>
    </w:p>
    <w:p w14:paraId="618F264B">
      <w:pPr>
        <w:pStyle w:val="85"/>
        <w:spacing w:before="240"/>
        <w:ind w:firstLine="540"/>
        <w:jc w:val="both"/>
        <w:rPr>
          <w:color w:val="auto"/>
          <w:sz w:val="22"/>
          <w:szCs w:val="22"/>
        </w:rPr>
      </w:pPr>
      <w:r>
        <w:rPr>
          <w:color w:val="auto"/>
          <w:sz w:val="22"/>
          <w:szCs w:val="22"/>
        </w:rPr>
        <w:t>готовность вступать в сотрудничество с другими людьми с учетом этики общения, проявление толерантности и доброжелательности.</w:t>
      </w:r>
    </w:p>
    <w:p w14:paraId="718BE4E9">
      <w:pPr>
        <w:pStyle w:val="85"/>
        <w:spacing w:before="240"/>
        <w:ind w:firstLine="540"/>
        <w:jc w:val="both"/>
        <w:rPr>
          <w:color w:val="auto"/>
          <w:sz w:val="22"/>
          <w:szCs w:val="22"/>
        </w:rPr>
      </w:pPr>
      <w:r>
        <w:rPr>
          <w:color w:val="auto"/>
          <w:sz w:val="22"/>
          <w:szCs w:val="22"/>
        </w:rPr>
        <w:t>15.10.2. В результате изучения труда (технологии) на уровне начального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деятельность.</w:t>
      </w:r>
    </w:p>
    <w:p w14:paraId="4A1F3205">
      <w:pPr>
        <w:pStyle w:val="85"/>
        <w:spacing w:before="240"/>
        <w:ind w:firstLine="540"/>
        <w:jc w:val="both"/>
        <w:rPr>
          <w:color w:val="auto"/>
          <w:sz w:val="22"/>
          <w:szCs w:val="22"/>
        </w:rPr>
      </w:pPr>
      <w:r>
        <w:rPr>
          <w:color w:val="auto"/>
          <w:sz w:val="22"/>
          <w:szCs w:val="22"/>
        </w:rPr>
        <w:t>15.10.2.1. У обучающегося будут сформированы следующие базовые логические и исследовательские действия как часть познавательных универсальных учебных действий:</w:t>
      </w:r>
    </w:p>
    <w:p w14:paraId="398D7881">
      <w:pPr>
        <w:pStyle w:val="85"/>
        <w:spacing w:before="240"/>
        <w:ind w:firstLine="540"/>
        <w:jc w:val="both"/>
        <w:rPr>
          <w:color w:val="auto"/>
          <w:sz w:val="22"/>
          <w:szCs w:val="22"/>
        </w:rPr>
      </w:pPr>
      <w:r>
        <w:rPr>
          <w:color w:val="auto"/>
          <w:sz w:val="22"/>
          <w:szCs w:val="22"/>
        </w:rPr>
        <w:t>ориентироваться в терминах и понятиях, используемых в технологии (в пределах изученного), использовать изученную терминологию в своих устных и письменных высказываниях;</w:t>
      </w:r>
    </w:p>
    <w:p w14:paraId="7905C245">
      <w:pPr>
        <w:pStyle w:val="85"/>
        <w:spacing w:before="240"/>
        <w:ind w:firstLine="540"/>
        <w:jc w:val="both"/>
        <w:rPr>
          <w:color w:val="auto"/>
          <w:sz w:val="22"/>
          <w:szCs w:val="22"/>
        </w:rPr>
      </w:pPr>
      <w:r>
        <w:rPr>
          <w:color w:val="auto"/>
          <w:sz w:val="22"/>
          <w:szCs w:val="22"/>
        </w:rPr>
        <w:t>осуществлять анализ объектов и изделий с выделением существенных и несущественных признаков;</w:t>
      </w:r>
    </w:p>
    <w:p w14:paraId="6CC841CB">
      <w:pPr>
        <w:pStyle w:val="85"/>
        <w:spacing w:before="240"/>
        <w:ind w:firstLine="540"/>
        <w:jc w:val="both"/>
        <w:rPr>
          <w:color w:val="auto"/>
          <w:sz w:val="22"/>
          <w:szCs w:val="22"/>
        </w:rPr>
      </w:pPr>
      <w:r>
        <w:rPr>
          <w:color w:val="auto"/>
          <w:sz w:val="22"/>
          <w:szCs w:val="22"/>
        </w:rPr>
        <w:t>сравнивать группы объектов (изделий), выделять в них общее и различия;</w:t>
      </w:r>
    </w:p>
    <w:p w14:paraId="0FC6B2CD">
      <w:pPr>
        <w:pStyle w:val="85"/>
        <w:spacing w:before="240"/>
        <w:ind w:firstLine="540"/>
        <w:jc w:val="both"/>
        <w:rPr>
          <w:color w:val="auto"/>
          <w:sz w:val="22"/>
          <w:szCs w:val="22"/>
        </w:rPr>
      </w:pPr>
      <w:r>
        <w:rPr>
          <w:color w:val="auto"/>
          <w:sz w:val="22"/>
          <w:szCs w:val="22"/>
        </w:rPr>
        <w:t>проводить обобщения (технико-технологического и декоративно-художественного характера) по изучаемой тематике;</w:t>
      </w:r>
    </w:p>
    <w:p w14:paraId="26D9C313">
      <w:pPr>
        <w:pStyle w:val="85"/>
        <w:spacing w:before="240"/>
        <w:ind w:firstLine="540"/>
        <w:jc w:val="both"/>
        <w:rPr>
          <w:color w:val="auto"/>
          <w:sz w:val="22"/>
          <w:szCs w:val="22"/>
        </w:rPr>
      </w:pPr>
      <w:r>
        <w:rPr>
          <w:color w:val="auto"/>
          <w:sz w:val="22"/>
          <w:szCs w:val="22"/>
        </w:rPr>
        <w:t>использовать схемы, модели и простейшие чертежи в собственной практической творческой деятельности;</w:t>
      </w:r>
    </w:p>
    <w:p w14:paraId="0EAF0187">
      <w:pPr>
        <w:pStyle w:val="85"/>
        <w:spacing w:before="240"/>
        <w:ind w:firstLine="540"/>
        <w:jc w:val="both"/>
        <w:rPr>
          <w:color w:val="auto"/>
          <w:sz w:val="22"/>
          <w:szCs w:val="22"/>
        </w:rPr>
      </w:pPr>
      <w:r>
        <w:rPr>
          <w:color w:val="auto"/>
          <w:sz w:val="22"/>
          <w:szCs w:val="22"/>
        </w:rPr>
        <w:t>комбинировать и использовать освоенные технологии при изготовлении изделий в соответствии с технической, технологической или декоративно-художественной задачей;</w:t>
      </w:r>
    </w:p>
    <w:p w14:paraId="294ECC45">
      <w:pPr>
        <w:pStyle w:val="85"/>
        <w:spacing w:before="240"/>
        <w:ind w:firstLine="540"/>
        <w:jc w:val="both"/>
        <w:rPr>
          <w:color w:val="auto"/>
          <w:sz w:val="22"/>
          <w:szCs w:val="22"/>
        </w:rPr>
      </w:pPr>
      <w:r>
        <w:rPr>
          <w:color w:val="auto"/>
          <w:sz w:val="22"/>
          <w:szCs w:val="22"/>
        </w:rPr>
        <w:t>понимать необходимость поиска новых технологий на основе изучения объектов и законов природы, доступного исторического и современного опыта технологической деятельности.</w:t>
      </w:r>
    </w:p>
    <w:p w14:paraId="631765C4">
      <w:pPr>
        <w:pStyle w:val="85"/>
        <w:spacing w:before="240"/>
        <w:ind w:firstLine="540"/>
        <w:jc w:val="both"/>
        <w:rPr>
          <w:color w:val="auto"/>
          <w:sz w:val="22"/>
          <w:szCs w:val="22"/>
        </w:rPr>
      </w:pPr>
      <w:r>
        <w:rPr>
          <w:color w:val="auto"/>
          <w:sz w:val="22"/>
          <w:szCs w:val="22"/>
        </w:rPr>
        <w:t>15.10.2.2. У обучающегося будут сформированы умения работать с информацией как часть познавательных универсальных учебных действий:</w:t>
      </w:r>
    </w:p>
    <w:p w14:paraId="4FEFBCCE">
      <w:pPr>
        <w:pStyle w:val="85"/>
        <w:spacing w:before="240"/>
        <w:ind w:firstLine="540"/>
        <w:jc w:val="both"/>
        <w:rPr>
          <w:color w:val="auto"/>
          <w:sz w:val="22"/>
          <w:szCs w:val="22"/>
        </w:rPr>
      </w:pPr>
      <w:r>
        <w:rPr>
          <w:color w:val="auto"/>
          <w:sz w:val="22"/>
          <w:szCs w:val="22"/>
        </w:rPr>
        <w:t>осуществлять поиск необходимой для выполнения работы информации в учебнике и других доступных источниках, анализировать ее и отбирать в соответствии с решаемой задачей;</w:t>
      </w:r>
    </w:p>
    <w:p w14:paraId="5B460097">
      <w:pPr>
        <w:pStyle w:val="85"/>
        <w:spacing w:before="240"/>
        <w:ind w:firstLine="540"/>
        <w:jc w:val="both"/>
        <w:rPr>
          <w:color w:val="auto"/>
          <w:sz w:val="22"/>
          <w:szCs w:val="22"/>
        </w:rPr>
      </w:pPr>
      <w:r>
        <w:rPr>
          <w:color w:val="auto"/>
          <w:sz w:val="22"/>
          <w:szCs w:val="22"/>
        </w:rPr>
        <w:t>анализировать и использовать знаково-символические средства представления информации для решения задач в умственной и материализованной форме, выполнять действия моделирования, работать с моделями;</w:t>
      </w:r>
    </w:p>
    <w:p w14:paraId="16F0E78D">
      <w:pPr>
        <w:pStyle w:val="85"/>
        <w:spacing w:before="240"/>
        <w:ind w:firstLine="540"/>
        <w:jc w:val="both"/>
        <w:rPr>
          <w:color w:val="auto"/>
          <w:sz w:val="22"/>
          <w:szCs w:val="22"/>
        </w:rPr>
      </w:pPr>
      <w:r>
        <w:rPr>
          <w:color w:val="auto"/>
          <w:sz w:val="22"/>
          <w:szCs w:val="22"/>
        </w:rPr>
        <w:t>использовать средства информационно-коммуникационных технологий для решения учебных и практических задач (в том числе Интернет с контролируемым выходом), оценивать объективность информации и возможности ее использования для решения конкретных учебных задач;</w:t>
      </w:r>
    </w:p>
    <w:p w14:paraId="3CF905E8">
      <w:pPr>
        <w:pStyle w:val="85"/>
        <w:spacing w:before="240"/>
        <w:ind w:firstLine="540"/>
        <w:jc w:val="both"/>
        <w:rPr>
          <w:color w:val="auto"/>
          <w:sz w:val="22"/>
          <w:szCs w:val="22"/>
        </w:rPr>
      </w:pPr>
      <w:r>
        <w:rPr>
          <w:color w:val="auto"/>
          <w:sz w:val="22"/>
          <w:szCs w:val="22"/>
        </w:rPr>
        <w:t>следовать при выполнении работы инструкциям учителя или представленным в других информационных источниках.</w:t>
      </w:r>
    </w:p>
    <w:p w14:paraId="01EC58E4">
      <w:pPr>
        <w:pStyle w:val="85"/>
        <w:spacing w:before="240"/>
        <w:ind w:firstLine="540"/>
        <w:jc w:val="both"/>
        <w:rPr>
          <w:color w:val="auto"/>
          <w:sz w:val="22"/>
          <w:szCs w:val="22"/>
        </w:rPr>
      </w:pPr>
      <w:r>
        <w:rPr>
          <w:color w:val="auto"/>
          <w:sz w:val="22"/>
          <w:szCs w:val="22"/>
        </w:rPr>
        <w:t>15.10.2.3. У обучающегося будут сформированы умения общения как часть коммуникативных универсальных учебных действий:</w:t>
      </w:r>
    </w:p>
    <w:p w14:paraId="53DA84B7">
      <w:pPr>
        <w:pStyle w:val="85"/>
        <w:spacing w:before="240"/>
        <w:ind w:firstLine="540"/>
        <w:jc w:val="both"/>
        <w:rPr>
          <w:color w:val="auto"/>
          <w:sz w:val="22"/>
          <w:szCs w:val="22"/>
        </w:rPr>
      </w:pPr>
      <w:r>
        <w:rPr>
          <w:color w:val="auto"/>
          <w:sz w:val="22"/>
          <w:szCs w:val="22"/>
        </w:rPr>
        <w:t>вступать в диалог, задавать собеседнику вопросы, использовать реплики-уточнения и дополнения, формулировать собственное мнение и идеи, аргументированно их излагать, выслушивать разные мнения, учитывать их в диалоге;</w:t>
      </w:r>
    </w:p>
    <w:p w14:paraId="16DB8736">
      <w:pPr>
        <w:pStyle w:val="85"/>
        <w:spacing w:before="240"/>
        <w:ind w:firstLine="540"/>
        <w:jc w:val="both"/>
        <w:rPr>
          <w:color w:val="auto"/>
          <w:sz w:val="22"/>
          <w:szCs w:val="22"/>
        </w:rPr>
      </w:pPr>
      <w:r>
        <w:rPr>
          <w:color w:val="auto"/>
          <w:sz w:val="22"/>
          <w:szCs w:val="22"/>
        </w:rPr>
        <w:t>создавать тексты-описания на основе рассматривания изделий декоративно-прикладного искусства народов России;</w:t>
      </w:r>
    </w:p>
    <w:p w14:paraId="54D46958">
      <w:pPr>
        <w:pStyle w:val="85"/>
        <w:spacing w:before="240"/>
        <w:ind w:firstLine="540"/>
        <w:jc w:val="both"/>
        <w:rPr>
          <w:color w:val="auto"/>
          <w:sz w:val="22"/>
          <w:szCs w:val="22"/>
        </w:rPr>
      </w:pPr>
      <w:r>
        <w:rPr>
          <w:color w:val="auto"/>
          <w:sz w:val="22"/>
          <w:szCs w:val="22"/>
        </w:rPr>
        <w:t>строить рассуждения о связях природного и предметного мира, простые суждения (небольшие тексты) об объекте, его строении, свойствах и способах создания;</w:t>
      </w:r>
    </w:p>
    <w:p w14:paraId="58E954FA">
      <w:pPr>
        <w:pStyle w:val="85"/>
        <w:spacing w:before="240"/>
        <w:ind w:firstLine="540"/>
        <w:jc w:val="both"/>
        <w:rPr>
          <w:color w:val="auto"/>
          <w:sz w:val="22"/>
          <w:szCs w:val="22"/>
        </w:rPr>
      </w:pPr>
      <w:r>
        <w:rPr>
          <w:color w:val="auto"/>
          <w:sz w:val="22"/>
          <w:szCs w:val="22"/>
        </w:rPr>
        <w:t>объяснять последовательность совершаемых действий при создании изделия.</w:t>
      </w:r>
    </w:p>
    <w:p w14:paraId="7BD42FF6">
      <w:pPr>
        <w:pStyle w:val="85"/>
        <w:spacing w:before="240"/>
        <w:ind w:firstLine="540"/>
        <w:jc w:val="both"/>
        <w:rPr>
          <w:color w:val="auto"/>
          <w:sz w:val="22"/>
          <w:szCs w:val="22"/>
        </w:rPr>
      </w:pPr>
      <w:r>
        <w:rPr>
          <w:color w:val="auto"/>
          <w:sz w:val="22"/>
          <w:szCs w:val="22"/>
        </w:rPr>
        <w:t>15.10.2.4. У обучающегося будут сформированы умения самоорганизации и самоконтроля как часть регулятивных универсальных учебных действий:</w:t>
      </w:r>
    </w:p>
    <w:p w14:paraId="7848E1B4">
      <w:pPr>
        <w:pStyle w:val="85"/>
        <w:spacing w:before="240"/>
        <w:ind w:firstLine="540"/>
        <w:jc w:val="both"/>
        <w:rPr>
          <w:color w:val="auto"/>
          <w:sz w:val="22"/>
          <w:szCs w:val="22"/>
        </w:rPr>
      </w:pPr>
      <w:r>
        <w:rPr>
          <w:color w:val="auto"/>
          <w:sz w:val="22"/>
          <w:szCs w:val="22"/>
        </w:rPr>
        <w:t>рационально организовывать свою работу (подготовка рабочего места, поддержание и наведение порядка, уборка после работы);</w:t>
      </w:r>
    </w:p>
    <w:p w14:paraId="5DCA12A8">
      <w:pPr>
        <w:pStyle w:val="85"/>
        <w:spacing w:before="240"/>
        <w:ind w:firstLine="540"/>
        <w:jc w:val="both"/>
        <w:rPr>
          <w:color w:val="auto"/>
          <w:sz w:val="22"/>
          <w:szCs w:val="22"/>
        </w:rPr>
      </w:pPr>
      <w:r>
        <w:rPr>
          <w:color w:val="auto"/>
          <w:sz w:val="22"/>
          <w:szCs w:val="22"/>
        </w:rPr>
        <w:t>выполнять правила безопасности труда при выполнении работы;</w:t>
      </w:r>
    </w:p>
    <w:p w14:paraId="62E1ADAD">
      <w:pPr>
        <w:pStyle w:val="85"/>
        <w:spacing w:before="240"/>
        <w:ind w:firstLine="540"/>
        <w:jc w:val="both"/>
        <w:rPr>
          <w:color w:val="auto"/>
          <w:sz w:val="22"/>
          <w:szCs w:val="22"/>
        </w:rPr>
      </w:pPr>
      <w:r>
        <w:rPr>
          <w:color w:val="auto"/>
          <w:sz w:val="22"/>
          <w:szCs w:val="22"/>
        </w:rPr>
        <w:t>планировать работу, соотносить свои действия с поставленной целью;</w:t>
      </w:r>
    </w:p>
    <w:p w14:paraId="3A1B48E5">
      <w:pPr>
        <w:pStyle w:val="85"/>
        <w:spacing w:before="240"/>
        <w:ind w:firstLine="540"/>
        <w:jc w:val="both"/>
        <w:rPr>
          <w:color w:val="auto"/>
          <w:sz w:val="22"/>
          <w:szCs w:val="22"/>
        </w:rPr>
      </w:pPr>
      <w:r>
        <w:rPr>
          <w:color w:val="auto"/>
          <w:sz w:val="22"/>
          <w:szCs w:val="22"/>
        </w:rPr>
        <w:t>устанавливать причинно-следственные связи между выполняемыми действиями и их результатами, прогнозировать действия для получения необходимых результатов;</w:t>
      </w:r>
    </w:p>
    <w:p w14:paraId="73F5F384">
      <w:pPr>
        <w:pStyle w:val="85"/>
        <w:spacing w:before="240"/>
        <w:ind w:firstLine="540"/>
        <w:jc w:val="both"/>
        <w:rPr>
          <w:color w:val="auto"/>
          <w:sz w:val="22"/>
          <w:szCs w:val="22"/>
        </w:rPr>
      </w:pPr>
      <w:r>
        <w:rPr>
          <w:color w:val="auto"/>
          <w:sz w:val="22"/>
          <w:szCs w:val="22"/>
        </w:rPr>
        <w:t>выполнять действия контроля и оценки, вносить необходимые коррективы в действие после его завершения на основе его оценки и учета характера сделанных ошибок;</w:t>
      </w:r>
    </w:p>
    <w:p w14:paraId="25EBD967">
      <w:pPr>
        <w:pStyle w:val="85"/>
        <w:spacing w:before="240"/>
        <w:ind w:firstLine="540"/>
        <w:jc w:val="both"/>
        <w:rPr>
          <w:color w:val="auto"/>
          <w:sz w:val="22"/>
          <w:szCs w:val="22"/>
        </w:rPr>
      </w:pPr>
      <w:r>
        <w:rPr>
          <w:color w:val="auto"/>
          <w:sz w:val="22"/>
          <w:szCs w:val="22"/>
        </w:rPr>
        <w:t>проявлять волевую саморегуляцию при выполнении работы.</w:t>
      </w:r>
    </w:p>
    <w:p w14:paraId="3EBC5998">
      <w:pPr>
        <w:pStyle w:val="85"/>
        <w:spacing w:before="240"/>
        <w:ind w:firstLine="540"/>
        <w:jc w:val="both"/>
        <w:rPr>
          <w:color w:val="auto"/>
          <w:sz w:val="22"/>
          <w:szCs w:val="22"/>
        </w:rPr>
      </w:pPr>
      <w:r>
        <w:rPr>
          <w:color w:val="auto"/>
          <w:sz w:val="22"/>
          <w:szCs w:val="22"/>
        </w:rPr>
        <w:t>15.10.2.5. У обучающегося будут сформированы умения совместной деятельности:</w:t>
      </w:r>
    </w:p>
    <w:p w14:paraId="1A117378">
      <w:pPr>
        <w:pStyle w:val="85"/>
        <w:spacing w:before="240"/>
        <w:ind w:firstLine="540"/>
        <w:jc w:val="both"/>
        <w:rPr>
          <w:color w:val="auto"/>
          <w:sz w:val="22"/>
          <w:szCs w:val="22"/>
        </w:rPr>
      </w:pPr>
      <w:r>
        <w:rPr>
          <w:color w:val="auto"/>
          <w:sz w:val="22"/>
          <w:szCs w:val="22"/>
        </w:rPr>
        <w:t>организовывать под руководством учителя и самостоятельно совместную работу в группе: обсуждать задачу, распределять роли, выполнять функции руководителя (лидера) и подчиненного, осуществлять продуктивное сотрудничество;</w:t>
      </w:r>
    </w:p>
    <w:p w14:paraId="684D2BFD">
      <w:pPr>
        <w:pStyle w:val="85"/>
        <w:spacing w:before="240"/>
        <w:ind w:firstLine="540"/>
        <w:jc w:val="both"/>
        <w:rPr>
          <w:color w:val="auto"/>
          <w:sz w:val="22"/>
          <w:szCs w:val="22"/>
        </w:rPr>
      </w:pPr>
      <w:r>
        <w:rPr>
          <w:color w:val="auto"/>
          <w:sz w:val="22"/>
          <w:szCs w:val="22"/>
        </w:rPr>
        <w:t>проявлять интерес к работе товарищей, в доброжелательной форме комментировать и оценивать их достижения, высказывать свои предложения и пожелания, оказывать при необходимости помощь;</w:t>
      </w:r>
    </w:p>
    <w:p w14:paraId="7F48CD1E">
      <w:pPr>
        <w:pStyle w:val="85"/>
        <w:spacing w:before="240"/>
        <w:ind w:firstLine="540"/>
        <w:jc w:val="both"/>
        <w:rPr>
          <w:color w:val="auto"/>
          <w:sz w:val="22"/>
          <w:szCs w:val="22"/>
        </w:rPr>
      </w:pPr>
      <w:r>
        <w:rPr>
          <w:color w:val="auto"/>
          <w:sz w:val="22"/>
          <w:szCs w:val="22"/>
        </w:rPr>
        <w:t>понимать особенности проектной деятельности, выдвигать несложные идеи решений предлагаемых проектных заданий, мысленно создавать конструктивный замысел, осуществлять выбор средств и способов для его практического воплощения, предъявлять аргументы для защиты продукта проектной деятельности.</w:t>
      </w:r>
    </w:p>
    <w:p w14:paraId="103618C9">
      <w:pPr>
        <w:pStyle w:val="85"/>
        <w:spacing w:before="240"/>
        <w:ind w:firstLine="540"/>
        <w:jc w:val="both"/>
        <w:rPr>
          <w:color w:val="auto"/>
          <w:sz w:val="22"/>
          <w:szCs w:val="22"/>
        </w:rPr>
      </w:pPr>
      <w:r>
        <w:rPr>
          <w:color w:val="auto"/>
          <w:sz w:val="22"/>
          <w:szCs w:val="22"/>
        </w:rPr>
        <w:t>15.10.3. К концу обучения в 1 классе обучающийся получит следующие предметные результаты по отдельным темам программы по труду (технологии):</w:t>
      </w:r>
    </w:p>
    <w:p w14:paraId="3D9D365E">
      <w:pPr>
        <w:pStyle w:val="85"/>
        <w:spacing w:before="240"/>
        <w:ind w:firstLine="540"/>
        <w:jc w:val="both"/>
        <w:rPr>
          <w:color w:val="auto"/>
          <w:sz w:val="22"/>
          <w:szCs w:val="22"/>
        </w:rPr>
      </w:pPr>
      <w:r>
        <w:rPr>
          <w:color w:val="auto"/>
          <w:sz w:val="22"/>
          <w:szCs w:val="22"/>
        </w:rPr>
        <w:t>правильно организовывать свой труд: своевременно подготавливать и убирать рабочее место, поддерживать порядок на нем в процессе труда;</w:t>
      </w:r>
    </w:p>
    <w:p w14:paraId="34F5B63A">
      <w:pPr>
        <w:pStyle w:val="85"/>
        <w:spacing w:before="240"/>
        <w:ind w:firstLine="540"/>
        <w:jc w:val="both"/>
        <w:rPr>
          <w:color w:val="auto"/>
          <w:sz w:val="22"/>
          <w:szCs w:val="22"/>
        </w:rPr>
      </w:pPr>
      <w:r>
        <w:rPr>
          <w:color w:val="auto"/>
          <w:sz w:val="22"/>
          <w:szCs w:val="22"/>
        </w:rPr>
        <w:t>применять правила безопасной работы ножницами, иглой и аккуратной работы с клеем;</w:t>
      </w:r>
    </w:p>
    <w:p w14:paraId="39F0CF6C">
      <w:pPr>
        <w:pStyle w:val="85"/>
        <w:spacing w:before="240"/>
        <w:ind w:firstLine="540"/>
        <w:jc w:val="both"/>
        <w:rPr>
          <w:color w:val="auto"/>
          <w:sz w:val="22"/>
          <w:szCs w:val="22"/>
        </w:rPr>
      </w:pPr>
      <w:r>
        <w:rPr>
          <w:color w:val="auto"/>
          <w:sz w:val="22"/>
          <w:szCs w:val="22"/>
        </w:rPr>
        <w:t>действовать по предложенному образцу в соответствии с правилами рациональной разметки (разметка на изнаночной стороне материала, экономия материала при разметке);</w:t>
      </w:r>
    </w:p>
    <w:p w14:paraId="11F6A886">
      <w:pPr>
        <w:pStyle w:val="85"/>
        <w:spacing w:before="240"/>
        <w:ind w:firstLine="540"/>
        <w:jc w:val="both"/>
        <w:rPr>
          <w:color w:val="auto"/>
          <w:sz w:val="22"/>
          <w:szCs w:val="22"/>
        </w:rPr>
      </w:pPr>
      <w:r>
        <w:rPr>
          <w:color w:val="auto"/>
          <w:sz w:val="22"/>
          <w:szCs w:val="22"/>
        </w:rPr>
        <w:t>определять названия и назначение основных инструментов и приспособлений для ручного труда (линейка, карандаш, ножницы, игла, шаблон, стека и другие), использовать их в практической работе;</w:t>
      </w:r>
    </w:p>
    <w:p w14:paraId="6B669522">
      <w:pPr>
        <w:pStyle w:val="85"/>
        <w:spacing w:before="240"/>
        <w:ind w:firstLine="540"/>
        <w:jc w:val="both"/>
        <w:rPr>
          <w:color w:val="auto"/>
          <w:sz w:val="22"/>
          <w:szCs w:val="22"/>
        </w:rPr>
      </w:pPr>
      <w:r>
        <w:rPr>
          <w:color w:val="auto"/>
          <w:sz w:val="22"/>
          <w:szCs w:val="22"/>
        </w:rPr>
        <w:t>определять наименования отдельных материалов (например, бумага, картон, фольга, пластилин, природные, текстильные материалы) и способы их обработки (сгибание, отрывание, сминание, резание, лепка и другие), выполнять доступные технологические приемы ручной обработки материалов при изготовлении изделий;</w:t>
      </w:r>
    </w:p>
    <w:p w14:paraId="63189435">
      <w:pPr>
        <w:pStyle w:val="85"/>
        <w:spacing w:before="240"/>
        <w:ind w:firstLine="540"/>
        <w:jc w:val="both"/>
        <w:rPr>
          <w:color w:val="auto"/>
          <w:sz w:val="22"/>
          <w:szCs w:val="22"/>
        </w:rPr>
      </w:pPr>
      <w:r>
        <w:rPr>
          <w:color w:val="auto"/>
          <w:sz w:val="22"/>
          <w:szCs w:val="22"/>
        </w:rPr>
        <w:t>ориентироваться в наименованиях основных технологических операций: разметка деталей, выделение деталей, сборка изделия;</w:t>
      </w:r>
    </w:p>
    <w:p w14:paraId="06188A8B">
      <w:pPr>
        <w:pStyle w:val="85"/>
        <w:spacing w:before="240"/>
        <w:ind w:firstLine="540"/>
        <w:jc w:val="both"/>
        <w:rPr>
          <w:color w:val="auto"/>
          <w:sz w:val="22"/>
          <w:szCs w:val="22"/>
        </w:rPr>
      </w:pPr>
      <w:r>
        <w:rPr>
          <w:color w:val="auto"/>
          <w:sz w:val="22"/>
          <w:szCs w:val="22"/>
        </w:rPr>
        <w:t>выполнять разметку деталей сгибанием, по шаблону, "на глаз", "от руки", выделение деталей способами обрывания, вырезания и другими, сборку изделий с помощью клея, ниток и других;</w:t>
      </w:r>
    </w:p>
    <w:p w14:paraId="64FBC683">
      <w:pPr>
        <w:pStyle w:val="85"/>
        <w:spacing w:before="240"/>
        <w:ind w:firstLine="540"/>
        <w:jc w:val="both"/>
        <w:rPr>
          <w:color w:val="auto"/>
          <w:sz w:val="22"/>
          <w:szCs w:val="22"/>
        </w:rPr>
      </w:pPr>
      <w:r>
        <w:rPr>
          <w:color w:val="auto"/>
          <w:sz w:val="22"/>
          <w:szCs w:val="22"/>
        </w:rPr>
        <w:t>оформлять изделия строчкой прямого стежка;</w:t>
      </w:r>
    </w:p>
    <w:p w14:paraId="24261675">
      <w:pPr>
        <w:pStyle w:val="85"/>
        <w:spacing w:before="240"/>
        <w:ind w:firstLine="540"/>
        <w:jc w:val="both"/>
        <w:rPr>
          <w:color w:val="auto"/>
          <w:sz w:val="22"/>
          <w:szCs w:val="22"/>
        </w:rPr>
      </w:pPr>
      <w:r>
        <w:rPr>
          <w:color w:val="auto"/>
          <w:sz w:val="22"/>
          <w:szCs w:val="22"/>
        </w:rPr>
        <w:t>понимать смысл понятий "изделие", "деталь изделия", "образец", "заготовка", "материал", "инструмент", "приспособление", "конструирование", "аппликация";</w:t>
      </w:r>
    </w:p>
    <w:p w14:paraId="5FE1C2B0">
      <w:pPr>
        <w:pStyle w:val="85"/>
        <w:spacing w:before="240"/>
        <w:ind w:firstLine="540"/>
        <w:jc w:val="both"/>
        <w:rPr>
          <w:color w:val="auto"/>
          <w:sz w:val="22"/>
          <w:szCs w:val="22"/>
        </w:rPr>
      </w:pPr>
      <w:r>
        <w:rPr>
          <w:color w:val="auto"/>
          <w:sz w:val="22"/>
          <w:szCs w:val="22"/>
        </w:rPr>
        <w:t>выполнять задания с использованием подготовленного плана;</w:t>
      </w:r>
    </w:p>
    <w:p w14:paraId="0E6F00AE">
      <w:pPr>
        <w:pStyle w:val="85"/>
        <w:spacing w:before="240"/>
        <w:ind w:firstLine="540"/>
        <w:jc w:val="both"/>
        <w:rPr>
          <w:color w:val="auto"/>
          <w:sz w:val="22"/>
          <w:szCs w:val="22"/>
        </w:rPr>
      </w:pPr>
      <w:r>
        <w:rPr>
          <w:color w:val="auto"/>
          <w:sz w:val="22"/>
          <w:szCs w:val="22"/>
        </w:rPr>
        <w:t>обслуживать себя во время работы: соблюдать порядок на рабочем месте, ухаживать за инструментами и правильно хранить их, соблюдать правила гигиены труда;</w:t>
      </w:r>
    </w:p>
    <w:p w14:paraId="5C6A01BD">
      <w:pPr>
        <w:pStyle w:val="85"/>
        <w:spacing w:before="240"/>
        <w:ind w:firstLine="540"/>
        <w:jc w:val="both"/>
        <w:rPr>
          <w:color w:val="auto"/>
          <w:sz w:val="22"/>
          <w:szCs w:val="22"/>
        </w:rPr>
      </w:pPr>
      <w:r>
        <w:rPr>
          <w:color w:val="auto"/>
          <w:sz w:val="22"/>
          <w:szCs w:val="22"/>
        </w:rPr>
        <w:t>рассматривать и анализировать простые по конструкции образцы (по вопросам учителя), анализировать простейшую конструкцию изделия: выделять основные и дополнительные детали, называть их форму, определять взаимное расположение, виды соединения, способы изготовления;</w:t>
      </w:r>
    </w:p>
    <w:p w14:paraId="2531CED7">
      <w:pPr>
        <w:pStyle w:val="85"/>
        <w:spacing w:before="240"/>
        <w:ind w:firstLine="540"/>
        <w:jc w:val="both"/>
        <w:rPr>
          <w:color w:val="auto"/>
          <w:sz w:val="22"/>
          <w:szCs w:val="22"/>
        </w:rPr>
      </w:pPr>
      <w:r>
        <w:rPr>
          <w:color w:val="auto"/>
          <w:sz w:val="22"/>
          <w:szCs w:val="22"/>
        </w:rPr>
        <w:t>распознавать изученные виды материалов (природные, пластические, бумага, тонкий картон, текстильные, клей и другие), их свойства (цвет, фактура, форма, гибкость и другие);</w:t>
      </w:r>
    </w:p>
    <w:p w14:paraId="7FB1B7AA">
      <w:pPr>
        <w:pStyle w:val="85"/>
        <w:spacing w:before="240"/>
        <w:ind w:firstLine="540"/>
        <w:jc w:val="both"/>
        <w:rPr>
          <w:color w:val="auto"/>
          <w:sz w:val="22"/>
          <w:szCs w:val="22"/>
        </w:rPr>
      </w:pPr>
      <w:r>
        <w:rPr>
          <w:color w:val="auto"/>
          <w:sz w:val="22"/>
          <w:szCs w:val="22"/>
        </w:rPr>
        <w:t>называть ручные инструменты (ножницы, игла, линейка) и приспособления (шаблон, стека, булавки и другие), безопасно хранить и работать ими;</w:t>
      </w:r>
    </w:p>
    <w:p w14:paraId="5CFE4D5E">
      <w:pPr>
        <w:pStyle w:val="85"/>
        <w:spacing w:before="240"/>
        <w:ind w:firstLine="540"/>
        <w:jc w:val="both"/>
        <w:rPr>
          <w:color w:val="auto"/>
          <w:sz w:val="22"/>
          <w:szCs w:val="22"/>
        </w:rPr>
      </w:pPr>
      <w:r>
        <w:rPr>
          <w:color w:val="auto"/>
          <w:sz w:val="22"/>
          <w:szCs w:val="22"/>
        </w:rPr>
        <w:t>различать материалы и инструменты по их назначению;</w:t>
      </w:r>
    </w:p>
    <w:p w14:paraId="7ABE944F">
      <w:pPr>
        <w:pStyle w:val="85"/>
        <w:spacing w:before="240"/>
        <w:ind w:firstLine="540"/>
        <w:jc w:val="both"/>
        <w:rPr>
          <w:color w:val="auto"/>
          <w:sz w:val="22"/>
          <w:szCs w:val="22"/>
        </w:rPr>
      </w:pPr>
      <w:r>
        <w:rPr>
          <w:color w:val="auto"/>
          <w:sz w:val="22"/>
          <w:szCs w:val="22"/>
        </w:rPr>
        <w:t>называть и выполнять последовательность изготовления несложных изделий: разметка, резание, сборка, отделка;</w:t>
      </w:r>
    </w:p>
    <w:p w14:paraId="499A19E7">
      <w:pPr>
        <w:pStyle w:val="85"/>
        <w:spacing w:before="240"/>
        <w:ind w:firstLine="540"/>
        <w:jc w:val="both"/>
        <w:rPr>
          <w:color w:val="auto"/>
          <w:sz w:val="22"/>
          <w:szCs w:val="22"/>
        </w:rPr>
      </w:pPr>
      <w:r>
        <w:rPr>
          <w:color w:val="auto"/>
          <w:sz w:val="22"/>
          <w:szCs w:val="22"/>
        </w:rPr>
        <w:t>качественно выполнять операции и приемы по изготовлению несложных изделий: экономно выполнять разметку деталей "на глаз", "от руки", по шаблону, по линейке (как направляющему инструменту без откладывания размеров), точно резать ножницами по линиям разметки, придавать форму деталям и изделию сгибанием, складыванием, вытягиванием, отрыванием, сминанием, лепкой и другими способами, собирать изделия с помощью клея, пластических масс и других, эстетично и аккуратно выполнять отделку раскрашиванием, аппликацией, строчкой прямого стежка;</w:t>
      </w:r>
    </w:p>
    <w:p w14:paraId="55E06880">
      <w:pPr>
        <w:pStyle w:val="85"/>
        <w:spacing w:before="240"/>
        <w:ind w:firstLine="540"/>
        <w:jc w:val="both"/>
        <w:rPr>
          <w:color w:val="auto"/>
          <w:sz w:val="22"/>
          <w:szCs w:val="22"/>
        </w:rPr>
      </w:pPr>
      <w:r>
        <w:rPr>
          <w:color w:val="auto"/>
          <w:sz w:val="22"/>
          <w:szCs w:val="22"/>
        </w:rPr>
        <w:t>использовать для сушки плоских изделий пресс;</w:t>
      </w:r>
    </w:p>
    <w:p w14:paraId="483223A9">
      <w:pPr>
        <w:pStyle w:val="85"/>
        <w:spacing w:before="240"/>
        <w:ind w:firstLine="540"/>
        <w:jc w:val="both"/>
        <w:rPr>
          <w:color w:val="auto"/>
          <w:sz w:val="22"/>
          <w:szCs w:val="22"/>
        </w:rPr>
      </w:pPr>
      <w:r>
        <w:rPr>
          <w:color w:val="auto"/>
          <w:sz w:val="22"/>
          <w:szCs w:val="22"/>
        </w:rPr>
        <w:t>с помощью учителя выполнять практическую работу и осуществлять самоконтроль с использованием инструкционной карты, образца, шаблона;</w:t>
      </w:r>
    </w:p>
    <w:p w14:paraId="6EF33E79">
      <w:pPr>
        <w:pStyle w:val="85"/>
        <w:spacing w:before="240"/>
        <w:ind w:firstLine="540"/>
        <w:jc w:val="both"/>
        <w:rPr>
          <w:color w:val="auto"/>
          <w:sz w:val="22"/>
          <w:szCs w:val="22"/>
        </w:rPr>
      </w:pPr>
      <w:r>
        <w:rPr>
          <w:color w:val="auto"/>
          <w:sz w:val="22"/>
          <w:szCs w:val="22"/>
        </w:rPr>
        <w:t>различать разборные и неразборные конструкции несложных изделий;</w:t>
      </w:r>
    </w:p>
    <w:p w14:paraId="6B9A22AD">
      <w:pPr>
        <w:pStyle w:val="85"/>
        <w:spacing w:before="240"/>
        <w:ind w:firstLine="540"/>
        <w:jc w:val="both"/>
        <w:rPr>
          <w:color w:val="auto"/>
          <w:sz w:val="22"/>
          <w:szCs w:val="22"/>
        </w:rPr>
      </w:pPr>
      <w:r>
        <w:rPr>
          <w:color w:val="auto"/>
          <w:sz w:val="22"/>
          <w:szCs w:val="22"/>
        </w:rPr>
        <w:t>понимать простейшие виды технической документации (рисунок, схема), конструировать и моделировать изделия из различных материалов по образцу, рисунку;</w:t>
      </w:r>
    </w:p>
    <w:p w14:paraId="6FC1B7CD">
      <w:pPr>
        <w:pStyle w:val="85"/>
        <w:spacing w:before="240"/>
        <w:ind w:firstLine="540"/>
        <w:jc w:val="both"/>
        <w:rPr>
          <w:color w:val="auto"/>
          <w:sz w:val="22"/>
          <w:szCs w:val="22"/>
        </w:rPr>
      </w:pPr>
      <w:r>
        <w:rPr>
          <w:color w:val="auto"/>
          <w:sz w:val="22"/>
          <w:szCs w:val="22"/>
        </w:rPr>
        <w:t>осуществлять элементарное сотрудничество, участвовать в коллективных работах под руководством учителя;</w:t>
      </w:r>
    </w:p>
    <w:p w14:paraId="75B004DD">
      <w:pPr>
        <w:pStyle w:val="85"/>
        <w:spacing w:before="240"/>
        <w:ind w:firstLine="540"/>
        <w:jc w:val="both"/>
        <w:rPr>
          <w:color w:val="auto"/>
          <w:sz w:val="22"/>
          <w:szCs w:val="22"/>
        </w:rPr>
      </w:pPr>
      <w:r>
        <w:rPr>
          <w:color w:val="auto"/>
          <w:sz w:val="22"/>
          <w:szCs w:val="22"/>
        </w:rPr>
        <w:t>выполнять несложные коллективные работы проектного характера;</w:t>
      </w:r>
    </w:p>
    <w:p w14:paraId="0AE1F254">
      <w:pPr>
        <w:pStyle w:val="85"/>
        <w:spacing w:before="240"/>
        <w:ind w:firstLine="540"/>
        <w:jc w:val="both"/>
        <w:rPr>
          <w:color w:val="auto"/>
          <w:sz w:val="22"/>
          <w:szCs w:val="22"/>
        </w:rPr>
      </w:pPr>
      <w:r>
        <w:rPr>
          <w:color w:val="auto"/>
          <w:sz w:val="22"/>
          <w:szCs w:val="22"/>
        </w:rPr>
        <w:t>называть профессии, связанные с изучаемыми материалами и производствами, их социальное значение.</w:t>
      </w:r>
    </w:p>
    <w:p w14:paraId="4A33E242">
      <w:pPr>
        <w:pStyle w:val="85"/>
        <w:spacing w:before="240"/>
        <w:ind w:firstLine="540"/>
        <w:jc w:val="both"/>
        <w:rPr>
          <w:color w:val="auto"/>
          <w:sz w:val="22"/>
          <w:szCs w:val="22"/>
        </w:rPr>
      </w:pPr>
      <w:r>
        <w:rPr>
          <w:color w:val="auto"/>
          <w:sz w:val="22"/>
          <w:szCs w:val="22"/>
        </w:rPr>
        <w:t>15.10.4. К концу обучения во 2 классе обучающийся получит следующие предметные результаты по отдельным темам программы по труду (технологии):</w:t>
      </w:r>
    </w:p>
    <w:p w14:paraId="56055F4F">
      <w:pPr>
        <w:pStyle w:val="85"/>
        <w:spacing w:before="240"/>
        <w:ind w:firstLine="540"/>
        <w:jc w:val="both"/>
        <w:rPr>
          <w:color w:val="auto"/>
          <w:sz w:val="22"/>
          <w:szCs w:val="22"/>
        </w:rPr>
      </w:pPr>
      <w:r>
        <w:rPr>
          <w:color w:val="auto"/>
          <w:sz w:val="22"/>
          <w:szCs w:val="22"/>
        </w:rPr>
        <w:t>понимать смысл понятий "инструкционная" ("технологическая") карта, "чертеж", "эскиз", "линии чертежа", "развертка", "макет", "модель", "технология", "технологические операции", "способы обработки" и использовать их в практической деятельности;</w:t>
      </w:r>
    </w:p>
    <w:p w14:paraId="177FAA45">
      <w:pPr>
        <w:pStyle w:val="85"/>
        <w:spacing w:before="240"/>
        <w:ind w:firstLine="540"/>
        <w:jc w:val="both"/>
        <w:rPr>
          <w:color w:val="auto"/>
          <w:sz w:val="22"/>
          <w:szCs w:val="22"/>
        </w:rPr>
      </w:pPr>
      <w:r>
        <w:rPr>
          <w:color w:val="auto"/>
          <w:sz w:val="22"/>
          <w:szCs w:val="22"/>
        </w:rPr>
        <w:t>выполнять задания по самостоятельно составленному плану;</w:t>
      </w:r>
    </w:p>
    <w:p w14:paraId="29522AFE">
      <w:pPr>
        <w:pStyle w:val="85"/>
        <w:spacing w:before="240"/>
        <w:ind w:firstLine="540"/>
        <w:jc w:val="both"/>
        <w:rPr>
          <w:color w:val="auto"/>
          <w:sz w:val="22"/>
          <w:szCs w:val="22"/>
        </w:rPr>
      </w:pPr>
      <w:r>
        <w:rPr>
          <w:color w:val="auto"/>
          <w:sz w:val="22"/>
          <w:szCs w:val="22"/>
        </w:rPr>
        <w:t>распознавать элементарные общие правила создания рукотворного мира (прочность, удобство, эстетическая выразительность - симметрия, асимметрия, равновесие), наблюдать гармонию предметов и окружающей среды, называть характерные особенности изученных видов декоративно-прикладного искусства;</w:t>
      </w:r>
    </w:p>
    <w:p w14:paraId="0B6F4566">
      <w:pPr>
        <w:pStyle w:val="85"/>
        <w:spacing w:before="240"/>
        <w:ind w:firstLine="540"/>
        <w:jc w:val="both"/>
        <w:rPr>
          <w:color w:val="auto"/>
          <w:sz w:val="22"/>
          <w:szCs w:val="22"/>
        </w:rPr>
      </w:pPr>
      <w:r>
        <w:rPr>
          <w:color w:val="auto"/>
          <w:sz w:val="22"/>
          <w:szCs w:val="22"/>
        </w:rPr>
        <w:t>выделять, называть и применять изученные общие правила создания рукотворного мира в своей предметно-творческой деятельности;</w:t>
      </w:r>
    </w:p>
    <w:p w14:paraId="7464A413">
      <w:pPr>
        <w:pStyle w:val="85"/>
        <w:spacing w:before="240"/>
        <w:ind w:firstLine="540"/>
        <w:jc w:val="both"/>
        <w:rPr>
          <w:color w:val="auto"/>
          <w:sz w:val="22"/>
          <w:szCs w:val="22"/>
        </w:rPr>
      </w:pPr>
      <w:r>
        <w:rPr>
          <w:color w:val="auto"/>
          <w:sz w:val="22"/>
          <w:szCs w:val="22"/>
        </w:rPr>
        <w:t>самостоятельно подготавливать рабочее место в соответствии с видом деятельности, поддерживать порядок во время работы, убирать рабочее место;</w:t>
      </w:r>
    </w:p>
    <w:p w14:paraId="5A66E795">
      <w:pPr>
        <w:pStyle w:val="85"/>
        <w:spacing w:before="240"/>
        <w:ind w:firstLine="540"/>
        <w:jc w:val="both"/>
        <w:rPr>
          <w:color w:val="auto"/>
          <w:sz w:val="22"/>
          <w:szCs w:val="22"/>
        </w:rPr>
      </w:pPr>
      <w:r>
        <w:rPr>
          <w:color w:val="auto"/>
          <w:sz w:val="22"/>
          <w:szCs w:val="22"/>
        </w:rPr>
        <w:t>анализировать задание (образец) по предложенным вопросам, памятке или инструкции, самостоятельно выполнять доступные задания с использованием инструкционной (технологической) карты;</w:t>
      </w:r>
    </w:p>
    <w:p w14:paraId="1A6D7ED6">
      <w:pPr>
        <w:pStyle w:val="85"/>
        <w:spacing w:before="240"/>
        <w:ind w:firstLine="540"/>
        <w:jc w:val="both"/>
        <w:rPr>
          <w:color w:val="auto"/>
          <w:sz w:val="22"/>
          <w:szCs w:val="22"/>
        </w:rPr>
      </w:pPr>
      <w:r>
        <w:rPr>
          <w:color w:val="auto"/>
          <w:sz w:val="22"/>
          <w:szCs w:val="22"/>
        </w:rPr>
        <w:t>самостоятельно отбирать материалы и инструменты для работы, исследовать свойства новых изучаемых материалов (толстый картон, натуральные ткани, нитки, проволока и другие);</w:t>
      </w:r>
    </w:p>
    <w:p w14:paraId="2BAA3DE3">
      <w:pPr>
        <w:pStyle w:val="85"/>
        <w:spacing w:before="240"/>
        <w:ind w:firstLine="540"/>
        <w:jc w:val="both"/>
        <w:rPr>
          <w:color w:val="auto"/>
          <w:sz w:val="22"/>
          <w:szCs w:val="22"/>
        </w:rPr>
      </w:pPr>
      <w:r>
        <w:rPr>
          <w:color w:val="auto"/>
          <w:sz w:val="22"/>
          <w:szCs w:val="22"/>
        </w:rPr>
        <w:t>читать простейшие чертежи (эскизы), называть линии чертежа (линия контура и надреза, линия выносная и размерная, линия сгиба, линия симметрии);</w:t>
      </w:r>
    </w:p>
    <w:p w14:paraId="562832FE">
      <w:pPr>
        <w:pStyle w:val="85"/>
        <w:spacing w:before="240"/>
        <w:ind w:firstLine="540"/>
        <w:jc w:val="both"/>
        <w:rPr>
          <w:color w:val="auto"/>
          <w:sz w:val="22"/>
          <w:szCs w:val="22"/>
        </w:rPr>
      </w:pPr>
      <w:r>
        <w:rPr>
          <w:color w:val="auto"/>
          <w:sz w:val="22"/>
          <w:szCs w:val="22"/>
        </w:rPr>
        <w:t>выполнять экономную разметку прямоугольника (от двух прямых углов и одного прямого угла) с помощью чертежных инструментов (линейки, угольника) с использованием простейшего чертежа (эскиза), чертить окружность с помощью циркуля;</w:t>
      </w:r>
    </w:p>
    <w:p w14:paraId="09B76F84">
      <w:pPr>
        <w:pStyle w:val="85"/>
        <w:spacing w:before="240"/>
        <w:ind w:firstLine="540"/>
        <w:jc w:val="both"/>
        <w:rPr>
          <w:color w:val="auto"/>
          <w:sz w:val="22"/>
          <w:szCs w:val="22"/>
        </w:rPr>
      </w:pPr>
      <w:r>
        <w:rPr>
          <w:color w:val="auto"/>
          <w:sz w:val="22"/>
          <w:szCs w:val="22"/>
        </w:rPr>
        <w:t>выполнять биговку;</w:t>
      </w:r>
    </w:p>
    <w:p w14:paraId="0A040AD1">
      <w:pPr>
        <w:pStyle w:val="85"/>
        <w:spacing w:before="240"/>
        <w:ind w:firstLine="540"/>
        <w:jc w:val="both"/>
        <w:rPr>
          <w:color w:val="auto"/>
          <w:sz w:val="22"/>
          <w:szCs w:val="22"/>
        </w:rPr>
      </w:pPr>
      <w:r>
        <w:rPr>
          <w:color w:val="auto"/>
          <w:sz w:val="22"/>
          <w:szCs w:val="22"/>
        </w:rPr>
        <w:t>выполнять построение простейшего лекала (выкройки) правильной геометрической формы и разметку деталей кроя на ткани по нему/ней;</w:t>
      </w:r>
    </w:p>
    <w:p w14:paraId="1455B197">
      <w:pPr>
        <w:pStyle w:val="85"/>
        <w:spacing w:before="240"/>
        <w:ind w:firstLine="540"/>
        <w:jc w:val="both"/>
        <w:rPr>
          <w:color w:val="auto"/>
          <w:sz w:val="22"/>
          <w:szCs w:val="22"/>
        </w:rPr>
      </w:pPr>
      <w:r>
        <w:rPr>
          <w:color w:val="auto"/>
          <w:sz w:val="22"/>
          <w:szCs w:val="22"/>
        </w:rPr>
        <w:t>оформлять изделия и соединять детали освоенными ручными строчками;</w:t>
      </w:r>
    </w:p>
    <w:p w14:paraId="5D873665">
      <w:pPr>
        <w:pStyle w:val="85"/>
        <w:spacing w:before="240"/>
        <w:ind w:firstLine="540"/>
        <w:jc w:val="both"/>
        <w:rPr>
          <w:color w:val="auto"/>
          <w:sz w:val="22"/>
          <w:szCs w:val="22"/>
        </w:rPr>
      </w:pPr>
      <w:r>
        <w:rPr>
          <w:color w:val="auto"/>
          <w:sz w:val="22"/>
          <w:szCs w:val="22"/>
        </w:rPr>
        <w:t>понимать смысл понятия "развертка" (трехмерного предмета), соотносить объемную конструкцию с изображениями ее развертки;</w:t>
      </w:r>
    </w:p>
    <w:p w14:paraId="41D467C0">
      <w:pPr>
        <w:pStyle w:val="85"/>
        <w:spacing w:before="240"/>
        <w:ind w:firstLine="540"/>
        <w:jc w:val="both"/>
        <w:rPr>
          <w:color w:val="auto"/>
          <w:sz w:val="22"/>
          <w:szCs w:val="22"/>
        </w:rPr>
      </w:pPr>
      <w:r>
        <w:rPr>
          <w:color w:val="auto"/>
          <w:sz w:val="22"/>
          <w:szCs w:val="22"/>
        </w:rPr>
        <w:t>отличать макет от модели, строить трехмерный макет из готовой развертки;</w:t>
      </w:r>
    </w:p>
    <w:p w14:paraId="10930825">
      <w:pPr>
        <w:pStyle w:val="85"/>
        <w:spacing w:before="240"/>
        <w:ind w:firstLine="540"/>
        <w:jc w:val="both"/>
        <w:rPr>
          <w:color w:val="auto"/>
          <w:sz w:val="22"/>
          <w:szCs w:val="22"/>
        </w:rPr>
      </w:pPr>
      <w:r>
        <w:rPr>
          <w:color w:val="auto"/>
          <w:sz w:val="22"/>
          <w:szCs w:val="22"/>
        </w:rPr>
        <w:t>определять неподвижный и подвижный способ соединения деталей и выполнять подвижное и неподвижное соединения известными способами;</w:t>
      </w:r>
    </w:p>
    <w:p w14:paraId="2A7293F1">
      <w:pPr>
        <w:pStyle w:val="85"/>
        <w:spacing w:before="240"/>
        <w:ind w:firstLine="540"/>
        <w:jc w:val="both"/>
        <w:rPr>
          <w:color w:val="auto"/>
          <w:sz w:val="22"/>
          <w:szCs w:val="22"/>
        </w:rPr>
      </w:pPr>
      <w:r>
        <w:rPr>
          <w:color w:val="auto"/>
          <w:sz w:val="22"/>
          <w:szCs w:val="22"/>
        </w:rPr>
        <w:t>конструировать и моделировать изделия из различных материалов по модели, простейшему чертежу или эскизу;</w:t>
      </w:r>
    </w:p>
    <w:p w14:paraId="154D5C02">
      <w:pPr>
        <w:pStyle w:val="85"/>
        <w:spacing w:before="240"/>
        <w:ind w:firstLine="540"/>
        <w:jc w:val="both"/>
        <w:rPr>
          <w:color w:val="auto"/>
          <w:sz w:val="22"/>
          <w:szCs w:val="22"/>
        </w:rPr>
      </w:pPr>
      <w:r>
        <w:rPr>
          <w:color w:val="auto"/>
          <w:sz w:val="22"/>
          <w:szCs w:val="22"/>
        </w:rPr>
        <w:t>решать несложные конструкторско-технологические задачи;</w:t>
      </w:r>
    </w:p>
    <w:p w14:paraId="322090ED">
      <w:pPr>
        <w:pStyle w:val="85"/>
        <w:spacing w:before="240"/>
        <w:ind w:firstLine="540"/>
        <w:jc w:val="both"/>
        <w:rPr>
          <w:color w:val="auto"/>
          <w:sz w:val="22"/>
          <w:szCs w:val="22"/>
        </w:rPr>
      </w:pPr>
      <w:r>
        <w:rPr>
          <w:color w:val="auto"/>
          <w:sz w:val="22"/>
          <w:szCs w:val="22"/>
        </w:rPr>
        <w:t>применять освоенные знания и практические умения (технологические, графические, конструкторские) в самостоятельной интеллектуальной и практической деятельности;</w:t>
      </w:r>
    </w:p>
    <w:p w14:paraId="66C63A16">
      <w:pPr>
        <w:pStyle w:val="85"/>
        <w:spacing w:before="240"/>
        <w:ind w:firstLine="540"/>
        <w:jc w:val="both"/>
        <w:rPr>
          <w:color w:val="auto"/>
          <w:sz w:val="22"/>
          <w:szCs w:val="22"/>
        </w:rPr>
      </w:pPr>
      <w:r>
        <w:rPr>
          <w:color w:val="auto"/>
          <w:sz w:val="22"/>
          <w:szCs w:val="22"/>
        </w:rPr>
        <w:t>выполнять работу в малых группах, осуществлять сотрудничество;</w:t>
      </w:r>
    </w:p>
    <w:p w14:paraId="36182495">
      <w:pPr>
        <w:pStyle w:val="85"/>
        <w:spacing w:before="240"/>
        <w:ind w:firstLine="540"/>
        <w:jc w:val="both"/>
        <w:rPr>
          <w:color w:val="auto"/>
          <w:sz w:val="22"/>
          <w:szCs w:val="22"/>
        </w:rPr>
      </w:pPr>
      <w:r>
        <w:rPr>
          <w:color w:val="auto"/>
          <w:sz w:val="22"/>
          <w:szCs w:val="22"/>
        </w:rPr>
        <w:t>понимать особенности проектной деятельности, осуществлять под руководством учителя элементарную проектную деятельность в малых группах: разрабатывать замысел, искать пути его реализации, воплощать его в продукте, демонстрировать готовый продукт;</w:t>
      </w:r>
    </w:p>
    <w:p w14:paraId="0E33B1B1">
      <w:pPr>
        <w:pStyle w:val="85"/>
        <w:spacing w:before="240"/>
        <w:ind w:firstLine="540"/>
        <w:jc w:val="both"/>
        <w:rPr>
          <w:color w:val="auto"/>
          <w:sz w:val="22"/>
          <w:szCs w:val="22"/>
        </w:rPr>
      </w:pPr>
      <w:r>
        <w:rPr>
          <w:color w:val="auto"/>
          <w:sz w:val="22"/>
          <w:szCs w:val="22"/>
        </w:rPr>
        <w:t>знать профессии людей, работающих в сфере обслуживания.</w:t>
      </w:r>
    </w:p>
    <w:p w14:paraId="52E4CF99">
      <w:pPr>
        <w:pStyle w:val="85"/>
        <w:spacing w:before="240"/>
        <w:ind w:firstLine="540"/>
        <w:jc w:val="both"/>
        <w:rPr>
          <w:color w:val="auto"/>
          <w:sz w:val="22"/>
          <w:szCs w:val="22"/>
        </w:rPr>
      </w:pPr>
      <w:r>
        <w:rPr>
          <w:color w:val="auto"/>
          <w:sz w:val="22"/>
          <w:szCs w:val="22"/>
        </w:rPr>
        <w:t>1.10.5. К концу обучения в 3 классе обучающийся получит следующие предметные результаты по отдельным темам программы по труду (технологии):</w:t>
      </w:r>
    </w:p>
    <w:p w14:paraId="5BE4F64F">
      <w:pPr>
        <w:pStyle w:val="85"/>
        <w:spacing w:before="240"/>
        <w:ind w:firstLine="540"/>
        <w:jc w:val="both"/>
        <w:rPr>
          <w:color w:val="auto"/>
          <w:sz w:val="22"/>
          <w:szCs w:val="22"/>
        </w:rPr>
      </w:pPr>
      <w:r>
        <w:rPr>
          <w:color w:val="auto"/>
          <w:sz w:val="22"/>
          <w:szCs w:val="22"/>
        </w:rPr>
        <w:t>понимать смысл понятий "чертеж развертки", "канцелярский нож", "шило", "искусственный материал";</w:t>
      </w:r>
    </w:p>
    <w:p w14:paraId="32FCDB27">
      <w:pPr>
        <w:pStyle w:val="85"/>
        <w:spacing w:before="240"/>
        <w:ind w:firstLine="540"/>
        <w:jc w:val="both"/>
        <w:rPr>
          <w:color w:val="auto"/>
          <w:sz w:val="22"/>
          <w:szCs w:val="22"/>
        </w:rPr>
      </w:pPr>
      <w:r>
        <w:rPr>
          <w:color w:val="auto"/>
          <w:sz w:val="22"/>
          <w:szCs w:val="22"/>
        </w:rPr>
        <w:t>выделять и называть характерные особенности изученных видов декоративно-прикладного искусства, профессии мастеров прикладного искусства (в рамках изученного);</w:t>
      </w:r>
    </w:p>
    <w:p w14:paraId="0B410B17">
      <w:pPr>
        <w:pStyle w:val="85"/>
        <w:spacing w:before="240"/>
        <w:ind w:firstLine="540"/>
        <w:jc w:val="both"/>
        <w:rPr>
          <w:color w:val="auto"/>
          <w:sz w:val="22"/>
          <w:szCs w:val="22"/>
        </w:rPr>
      </w:pPr>
      <w:r>
        <w:rPr>
          <w:color w:val="auto"/>
          <w:sz w:val="22"/>
          <w:szCs w:val="22"/>
        </w:rPr>
        <w:t>узнавать и называть по характерным особенностям образцов или по описанию изученные и распространенные в крае ремесла;</w:t>
      </w:r>
    </w:p>
    <w:p w14:paraId="787C9B25">
      <w:pPr>
        <w:pStyle w:val="85"/>
        <w:spacing w:before="240"/>
        <w:ind w:firstLine="540"/>
        <w:jc w:val="both"/>
        <w:rPr>
          <w:color w:val="auto"/>
          <w:sz w:val="22"/>
          <w:szCs w:val="22"/>
        </w:rPr>
      </w:pPr>
      <w:r>
        <w:rPr>
          <w:color w:val="auto"/>
          <w:sz w:val="22"/>
          <w:szCs w:val="22"/>
        </w:rPr>
        <w:t>называть и описывать свойства наиболее распространенных изучаемых искусственных и синтетических материалов (бумага, металлы, текстиль и другие);</w:t>
      </w:r>
    </w:p>
    <w:p w14:paraId="12EBB35C">
      <w:pPr>
        <w:pStyle w:val="85"/>
        <w:spacing w:before="240"/>
        <w:ind w:firstLine="540"/>
        <w:jc w:val="both"/>
        <w:rPr>
          <w:color w:val="auto"/>
          <w:sz w:val="22"/>
          <w:szCs w:val="22"/>
        </w:rPr>
      </w:pPr>
      <w:r>
        <w:rPr>
          <w:color w:val="auto"/>
          <w:sz w:val="22"/>
          <w:szCs w:val="22"/>
        </w:rPr>
        <w:t>читать чертеж развертки и выполнять разметку разверток с помощью чертежных инструментов (линейка, угольник, циркуль);</w:t>
      </w:r>
    </w:p>
    <w:p w14:paraId="5244ED5C">
      <w:pPr>
        <w:pStyle w:val="85"/>
        <w:spacing w:before="240"/>
        <w:ind w:firstLine="540"/>
        <w:jc w:val="both"/>
        <w:rPr>
          <w:color w:val="auto"/>
          <w:sz w:val="22"/>
          <w:szCs w:val="22"/>
        </w:rPr>
      </w:pPr>
      <w:r>
        <w:rPr>
          <w:color w:val="auto"/>
          <w:sz w:val="22"/>
          <w:szCs w:val="22"/>
        </w:rPr>
        <w:t>узнавать и называть линии чертежа (осевая и центровая);</w:t>
      </w:r>
    </w:p>
    <w:p w14:paraId="37C4733F">
      <w:pPr>
        <w:pStyle w:val="85"/>
        <w:spacing w:before="240"/>
        <w:ind w:firstLine="540"/>
        <w:jc w:val="both"/>
        <w:rPr>
          <w:color w:val="auto"/>
          <w:sz w:val="22"/>
          <w:szCs w:val="22"/>
        </w:rPr>
      </w:pPr>
      <w:r>
        <w:rPr>
          <w:color w:val="auto"/>
          <w:sz w:val="22"/>
          <w:szCs w:val="22"/>
        </w:rPr>
        <w:t>безопасно пользоваться канцелярским ножом, шилом;</w:t>
      </w:r>
    </w:p>
    <w:p w14:paraId="0B839834">
      <w:pPr>
        <w:pStyle w:val="85"/>
        <w:spacing w:before="240"/>
        <w:ind w:firstLine="540"/>
        <w:jc w:val="both"/>
        <w:rPr>
          <w:color w:val="auto"/>
          <w:sz w:val="22"/>
          <w:szCs w:val="22"/>
        </w:rPr>
      </w:pPr>
      <w:r>
        <w:rPr>
          <w:color w:val="auto"/>
          <w:sz w:val="22"/>
          <w:szCs w:val="22"/>
        </w:rPr>
        <w:t>выполнять рицовку;</w:t>
      </w:r>
    </w:p>
    <w:p w14:paraId="0417D418">
      <w:pPr>
        <w:pStyle w:val="85"/>
        <w:spacing w:before="240"/>
        <w:ind w:firstLine="540"/>
        <w:jc w:val="both"/>
        <w:rPr>
          <w:color w:val="auto"/>
          <w:sz w:val="22"/>
          <w:szCs w:val="22"/>
        </w:rPr>
      </w:pPr>
      <w:r>
        <w:rPr>
          <w:color w:val="auto"/>
          <w:sz w:val="22"/>
          <w:szCs w:val="22"/>
        </w:rPr>
        <w:t>выполнять соединение деталей и отделку изделия освоенными ручными строчками;</w:t>
      </w:r>
    </w:p>
    <w:p w14:paraId="7558E08B">
      <w:pPr>
        <w:pStyle w:val="85"/>
        <w:spacing w:before="240"/>
        <w:ind w:firstLine="540"/>
        <w:jc w:val="both"/>
        <w:rPr>
          <w:color w:val="auto"/>
          <w:sz w:val="22"/>
          <w:szCs w:val="22"/>
        </w:rPr>
      </w:pPr>
      <w:r>
        <w:rPr>
          <w:color w:val="auto"/>
          <w:sz w:val="22"/>
          <w:szCs w:val="22"/>
        </w:rPr>
        <w:t>решать простейшие задачи технико-технологического характера по изменению вида и способа соединения деталей: на достраивание, придание новых свойств конструкции в соответствии с новыми (дополненными) требованиями, использовать комбинированные техники при изготовлении изделий в соответствии с технической или декоративно-художественной задачей;</w:t>
      </w:r>
    </w:p>
    <w:p w14:paraId="251B0FE7">
      <w:pPr>
        <w:pStyle w:val="85"/>
        <w:spacing w:before="240"/>
        <w:ind w:firstLine="540"/>
        <w:jc w:val="both"/>
        <w:rPr>
          <w:color w:val="auto"/>
          <w:sz w:val="22"/>
          <w:szCs w:val="22"/>
        </w:rPr>
      </w:pPr>
      <w:r>
        <w:rPr>
          <w:color w:val="auto"/>
          <w:sz w:val="22"/>
          <w:szCs w:val="22"/>
        </w:rPr>
        <w:t>понимать технологический и практический смысл различных видов соединений в технических объектах, простейшие способы достижения прочности конструкций, использовать их при решении простейших конструкторских задач;</w:t>
      </w:r>
    </w:p>
    <w:p w14:paraId="779ADBCC">
      <w:pPr>
        <w:pStyle w:val="85"/>
        <w:spacing w:before="240"/>
        <w:ind w:firstLine="540"/>
        <w:jc w:val="both"/>
        <w:rPr>
          <w:color w:val="auto"/>
          <w:sz w:val="22"/>
          <w:szCs w:val="22"/>
        </w:rPr>
      </w:pPr>
      <w:r>
        <w:rPr>
          <w:color w:val="auto"/>
          <w:sz w:val="22"/>
          <w:szCs w:val="22"/>
        </w:rPr>
        <w:t>конструировать и моделировать изделия из разных материалов и с использованием конструктора по заданным техническим, технологическим и декоративно-художественным условиям;</w:t>
      </w:r>
    </w:p>
    <w:p w14:paraId="530CBB02">
      <w:pPr>
        <w:pStyle w:val="85"/>
        <w:spacing w:before="240"/>
        <w:ind w:firstLine="540"/>
        <w:jc w:val="both"/>
        <w:rPr>
          <w:color w:val="auto"/>
          <w:sz w:val="22"/>
          <w:szCs w:val="22"/>
        </w:rPr>
      </w:pPr>
      <w:r>
        <w:rPr>
          <w:color w:val="auto"/>
          <w:sz w:val="22"/>
          <w:szCs w:val="22"/>
        </w:rPr>
        <w:t>изменять конструкцию изделия по заданным условиям;</w:t>
      </w:r>
    </w:p>
    <w:p w14:paraId="009F4B48">
      <w:pPr>
        <w:pStyle w:val="85"/>
        <w:spacing w:before="240"/>
        <w:ind w:firstLine="540"/>
        <w:jc w:val="both"/>
        <w:rPr>
          <w:color w:val="auto"/>
          <w:sz w:val="22"/>
          <w:szCs w:val="22"/>
        </w:rPr>
      </w:pPr>
      <w:r>
        <w:rPr>
          <w:color w:val="auto"/>
          <w:sz w:val="22"/>
          <w:szCs w:val="22"/>
        </w:rPr>
        <w:t>выбирать способ соединения и соединительный материал в зависимости от требований конструкции;</w:t>
      </w:r>
    </w:p>
    <w:p w14:paraId="61C098A0">
      <w:pPr>
        <w:pStyle w:val="85"/>
        <w:spacing w:before="240"/>
        <w:ind w:firstLine="540"/>
        <w:jc w:val="both"/>
        <w:rPr>
          <w:color w:val="auto"/>
          <w:sz w:val="22"/>
          <w:szCs w:val="22"/>
        </w:rPr>
      </w:pPr>
      <w:r>
        <w:rPr>
          <w:color w:val="auto"/>
          <w:sz w:val="22"/>
          <w:szCs w:val="22"/>
        </w:rPr>
        <w:t>знать несколько видов информационных технологий и соответствующих способов передачи информации (из опыта обучающихся);</w:t>
      </w:r>
    </w:p>
    <w:p w14:paraId="542826E6">
      <w:pPr>
        <w:pStyle w:val="85"/>
        <w:spacing w:before="240"/>
        <w:ind w:firstLine="540"/>
        <w:jc w:val="both"/>
        <w:rPr>
          <w:color w:val="auto"/>
          <w:sz w:val="22"/>
          <w:szCs w:val="22"/>
        </w:rPr>
      </w:pPr>
      <w:r>
        <w:rPr>
          <w:color w:val="auto"/>
          <w:sz w:val="22"/>
          <w:szCs w:val="22"/>
        </w:rPr>
        <w:t>понимать назначение основных устройств персонального компьютера для ввода, вывода и обработки информации;</w:t>
      </w:r>
    </w:p>
    <w:p w14:paraId="4606FE41">
      <w:pPr>
        <w:pStyle w:val="85"/>
        <w:spacing w:before="240"/>
        <w:ind w:firstLine="540"/>
        <w:jc w:val="both"/>
        <w:rPr>
          <w:color w:val="auto"/>
          <w:sz w:val="22"/>
          <w:szCs w:val="22"/>
        </w:rPr>
      </w:pPr>
      <w:r>
        <w:rPr>
          <w:color w:val="auto"/>
          <w:sz w:val="22"/>
          <w:szCs w:val="22"/>
        </w:rPr>
        <w:t>выполнять основные правила безопасной работы на компьютере;</w:t>
      </w:r>
    </w:p>
    <w:p w14:paraId="63DEDFC0">
      <w:pPr>
        <w:pStyle w:val="85"/>
        <w:spacing w:before="240"/>
        <w:ind w:firstLine="540"/>
        <w:jc w:val="both"/>
        <w:rPr>
          <w:color w:val="auto"/>
          <w:sz w:val="22"/>
          <w:szCs w:val="22"/>
        </w:rPr>
      </w:pPr>
      <w:r>
        <w:rPr>
          <w:color w:val="auto"/>
          <w:sz w:val="22"/>
          <w:szCs w:val="22"/>
        </w:rPr>
        <w:t>использовать возможности компьютера и ИКТ для поиска необходимой информации при выполнении обучающих, творческих и проектных заданий;</w:t>
      </w:r>
    </w:p>
    <w:p w14:paraId="3B254851">
      <w:pPr>
        <w:pStyle w:val="85"/>
        <w:spacing w:before="240"/>
        <w:ind w:firstLine="540"/>
        <w:jc w:val="both"/>
        <w:rPr>
          <w:color w:val="auto"/>
          <w:sz w:val="22"/>
          <w:szCs w:val="22"/>
        </w:rPr>
      </w:pPr>
      <w:r>
        <w:rPr>
          <w:color w:val="auto"/>
          <w:sz w:val="22"/>
          <w:szCs w:val="22"/>
        </w:rPr>
        <w:t>выполнять проектные задания в соответствии с содержанием изученного материала на основе полученных знаний и умений;</w:t>
      </w:r>
    </w:p>
    <w:p w14:paraId="5704D12B">
      <w:pPr>
        <w:pStyle w:val="85"/>
        <w:spacing w:before="240"/>
        <w:ind w:firstLine="540"/>
        <w:jc w:val="both"/>
        <w:rPr>
          <w:color w:val="auto"/>
          <w:sz w:val="22"/>
          <w:szCs w:val="22"/>
        </w:rPr>
      </w:pPr>
      <w:r>
        <w:rPr>
          <w:color w:val="auto"/>
          <w:sz w:val="22"/>
          <w:szCs w:val="22"/>
        </w:rPr>
        <w:t>называть профессии, связанные с изучаемыми материалами и производствами, их социальное значение.</w:t>
      </w:r>
    </w:p>
    <w:p w14:paraId="2EBD5AD1">
      <w:pPr>
        <w:pStyle w:val="85"/>
        <w:spacing w:before="240"/>
        <w:ind w:firstLine="540"/>
        <w:jc w:val="both"/>
        <w:rPr>
          <w:color w:val="auto"/>
          <w:sz w:val="22"/>
          <w:szCs w:val="22"/>
        </w:rPr>
      </w:pPr>
      <w:r>
        <w:rPr>
          <w:color w:val="auto"/>
          <w:sz w:val="22"/>
          <w:szCs w:val="22"/>
        </w:rPr>
        <w:t>15.10.6. К концу обучения в 4 классе обучающийся получит следующие предметные результаты по отдельным темам программы по труду (технологии):</w:t>
      </w:r>
    </w:p>
    <w:p w14:paraId="6853D26B">
      <w:pPr>
        <w:pStyle w:val="85"/>
        <w:spacing w:before="240"/>
        <w:ind w:firstLine="540"/>
        <w:jc w:val="both"/>
        <w:rPr>
          <w:color w:val="auto"/>
          <w:sz w:val="22"/>
          <w:szCs w:val="22"/>
        </w:rPr>
      </w:pPr>
      <w:r>
        <w:rPr>
          <w:color w:val="auto"/>
          <w:sz w:val="22"/>
          <w:szCs w:val="22"/>
        </w:rPr>
        <w:t>формировать общее представление о мире профессий, их социальном значении, о творчестве и творческих профессиях, о мировых достижениях в области техники и искусства (в рамках изученного), о наиболее значимых окружающих производствах;</w:t>
      </w:r>
    </w:p>
    <w:p w14:paraId="206BC26E">
      <w:pPr>
        <w:pStyle w:val="85"/>
        <w:spacing w:before="240"/>
        <w:ind w:firstLine="540"/>
        <w:jc w:val="both"/>
        <w:rPr>
          <w:color w:val="auto"/>
          <w:sz w:val="22"/>
          <w:szCs w:val="22"/>
        </w:rPr>
      </w:pPr>
      <w:r>
        <w:rPr>
          <w:color w:val="auto"/>
          <w:sz w:val="22"/>
          <w:szCs w:val="22"/>
        </w:rPr>
        <w:t>самостоятельно организовывать рабочее место в зависимости от вида работы, осуществлять планирование трудового процесса на основе анализа задания;</w:t>
      </w:r>
    </w:p>
    <w:p w14:paraId="2B41279C">
      <w:pPr>
        <w:pStyle w:val="85"/>
        <w:spacing w:before="240"/>
        <w:ind w:firstLine="540"/>
        <w:jc w:val="both"/>
        <w:rPr>
          <w:color w:val="auto"/>
          <w:sz w:val="22"/>
          <w:szCs w:val="22"/>
        </w:rPr>
      </w:pPr>
      <w:r>
        <w:rPr>
          <w:color w:val="auto"/>
          <w:sz w:val="22"/>
          <w:szCs w:val="22"/>
        </w:rPr>
        <w:t>самостоятельно планировать и выполнять практическое задание (практическую работу) с использованием инструкционной (технологической) карты или творческого замысла, при необходимости вносить коррективы в выполняемые действия;</w:t>
      </w:r>
    </w:p>
    <w:p w14:paraId="1B1645AA">
      <w:pPr>
        <w:pStyle w:val="85"/>
        <w:spacing w:before="240"/>
        <w:ind w:firstLine="540"/>
        <w:jc w:val="both"/>
        <w:rPr>
          <w:color w:val="auto"/>
          <w:sz w:val="22"/>
          <w:szCs w:val="22"/>
        </w:rPr>
      </w:pPr>
      <w:r>
        <w:rPr>
          <w:color w:val="auto"/>
          <w:sz w:val="22"/>
          <w:szCs w:val="22"/>
        </w:rPr>
        <w:t>понимать элементарные основы бытовой культуры, выполнять доступные действия по самообслуживанию и доступные виды домашнего труда;</w:t>
      </w:r>
    </w:p>
    <w:p w14:paraId="1FDF7E1D">
      <w:pPr>
        <w:pStyle w:val="85"/>
        <w:spacing w:before="240"/>
        <w:ind w:firstLine="540"/>
        <w:jc w:val="both"/>
        <w:rPr>
          <w:color w:val="auto"/>
          <w:sz w:val="22"/>
          <w:szCs w:val="22"/>
        </w:rPr>
      </w:pPr>
      <w:r>
        <w:rPr>
          <w:color w:val="auto"/>
          <w:sz w:val="22"/>
          <w:szCs w:val="22"/>
        </w:rPr>
        <w:t>выполнять более сложные виды работ и приемы обработки различных материалов (например, плетение, шитье и вышивание, тиснение по фольге), комбинировать различные способы в зависимости и от поставленной задачи, оформлять изделия и соединять детали освоенными ручными строчками;</w:t>
      </w:r>
    </w:p>
    <w:p w14:paraId="447DD717">
      <w:pPr>
        <w:pStyle w:val="85"/>
        <w:spacing w:before="240"/>
        <w:ind w:firstLine="540"/>
        <w:jc w:val="both"/>
        <w:rPr>
          <w:color w:val="auto"/>
          <w:sz w:val="22"/>
          <w:szCs w:val="22"/>
        </w:rPr>
      </w:pPr>
      <w:r>
        <w:rPr>
          <w:color w:val="auto"/>
          <w:sz w:val="22"/>
          <w:szCs w:val="22"/>
        </w:rPr>
        <w:t>выполнять символические действия моделирования, понимать и создавать простейшие виды технической документации (чертеж развертки, эскиз, технический рисунок, схему) и выполнять по ней работу;</w:t>
      </w:r>
    </w:p>
    <w:p w14:paraId="74501AEB">
      <w:pPr>
        <w:pStyle w:val="85"/>
        <w:spacing w:before="240"/>
        <w:ind w:firstLine="540"/>
        <w:jc w:val="both"/>
        <w:rPr>
          <w:color w:val="auto"/>
          <w:sz w:val="22"/>
          <w:szCs w:val="22"/>
        </w:rPr>
      </w:pPr>
      <w:r>
        <w:rPr>
          <w:color w:val="auto"/>
          <w:sz w:val="22"/>
          <w:szCs w:val="22"/>
        </w:rPr>
        <w:t>решать простейшие задачи рационализаторского характера по изменению конструкции изделия: на достраивание, придание новых свойств конструкции в связи с изменением функционального назначения изделия;</w:t>
      </w:r>
    </w:p>
    <w:p w14:paraId="1CE56E32">
      <w:pPr>
        <w:pStyle w:val="85"/>
        <w:spacing w:before="240"/>
        <w:ind w:firstLine="540"/>
        <w:jc w:val="both"/>
        <w:rPr>
          <w:color w:val="auto"/>
          <w:sz w:val="22"/>
          <w:szCs w:val="22"/>
        </w:rPr>
      </w:pPr>
      <w:r>
        <w:rPr>
          <w:color w:val="auto"/>
          <w:sz w:val="22"/>
          <w:szCs w:val="22"/>
        </w:rPr>
        <w:t>решать простейшие художественно-конструкторские задачи по созданию изделий с заданной функцией на основе усвоенных правил дизайна;</w:t>
      </w:r>
    </w:p>
    <w:p w14:paraId="70CAFA5D">
      <w:pPr>
        <w:pStyle w:val="85"/>
        <w:spacing w:before="240"/>
        <w:ind w:firstLine="540"/>
        <w:jc w:val="both"/>
        <w:rPr>
          <w:color w:val="auto"/>
          <w:sz w:val="22"/>
          <w:szCs w:val="22"/>
        </w:rPr>
      </w:pPr>
      <w:r>
        <w:rPr>
          <w:color w:val="auto"/>
          <w:sz w:val="22"/>
          <w:szCs w:val="22"/>
        </w:rPr>
        <w:t>создавать небольшие тексты, презентации и печатные публикации с использованием изображений на экране компьютера, оформлять текст (выбор шрифта, размера, цвета шрифта, выравнивание абзаца);</w:t>
      </w:r>
    </w:p>
    <w:p w14:paraId="17D4709E">
      <w:pPr>
        <w:pStyle w:val="85"/>
        <w:spacing w:before="240"/>
        <w:ind w:firstLine="540"/>
        <w:jc w:val="both"/>
        <w:rPr>
          <w:color w:val="auto"/>
          <w:sz w:val="22"/>
          <w:szCs w:val="22"/>
        </w:rPr>
      </w:pPr>
      <w:r>
        <w:rPr>
          <w:color w:val="auto"/>
          <w:sz w:val="22"/>
          <w:szCs w:val="22"/>
        </w:rPr>
        <w:t>работать с доступной информацией, работать в программах текстового редактора Word, PowerPoint;</w:t>
      </w:r>
    </w:p>
    <w:p w14:paraId="19CEE5CE">
      <w:pPr>
        <w:pStyle w:val="85"/>
        <w:spacing w:before="240"/>
        <w:ind w:firstLine="540"/>
        <w:jc w:val="both"/>
        <w:rPr>
          <w:color w:val="auto"/>
          <w:sz w:val="22"/>
          <w:szCs w:val="22"/>
        </w:rPr>
      </w:pPr>
      <w:r>
        <w:rPr>
          <w:color w:val="auto"/>
          <w:sz w:val="22"/>
          <w:szCs w:val="22"/>
        </w:rPr>
        <w:t>решать творческие задачи, мысленно создавать и разрабатывать проектный замысел, осуществлять выбор средств и способов его практического воплощения, аргументированно представлять продукт проектной деятельности;</w:t>
      </w:r>
    </w:p>
    <w:p w14:paraId="5F91D1A7">
      <w:pPr>
        <w:spacing w:after="0" w:line="360" w:lineRule="auto"/>
        <w:ind w:firstLine="709"/>
        <w:jc w:val="both"/>
        <w:rPr>
          <w:rFonts w:ascii="Times New Roman" w:hAnsi="Times New Roman"/>
        </w:rPr>
      </w:pPr>
      <w:r>
        <w:rPr>
          <w:rFonts w:ascii="Times New Roman" w:hAnsi="Times New Roman"/>
        </w:rPr>
        <w:t>осуществлять сотрудничество в различных видах совместной деятельности, предлагать идеи для обсуждения, уважительно относиться к мнению товарищей, договариваться, участвовать в распределении ролей, координировать собственную работу в общем процессе.</w:t>
      </w:r>
    </w:p>
    <w:p w14:paraId="04142470">
      <w:pPr>
        <w:pStyle w:val="85"/>
        <w:spacing w:before="200"/>
        <w:ind w:firstLine="540"/>
        <w:jc w:val="both"/>
        <w:rPr>
          <w:color w:val="auto"/>
          <w:sz w:val="22"/>
          <w:szCs w:val="22"/>
        </w:rPr>
      </w:pPr>
      <w:r>
        <w:rPr>
          <w:color w:val="auto"/>
          <w:sz w:val="22"/>
          <w:szCs w:val="22"/>
        </w:rPr>
        <w:t>15.11. Поурочное планирование</w:t>
      </w:r>
    </w:p>
    <w:p w14:paraId="3B52D1E7">
      <w:pPr>
        <w:pStyle w:val="85"/>
        <w:jc w:val="both"/>
        <w:rPr>
          <w:color w:val="auto"/>
          <w:sz w:val="22"/>
          <w:szCs w:val="22"/>
        </w:rPr>
      </w:pPr>
    </w:p>
    <w:p w14:paraId="54A704A2">
      <w:pPr>
        <w:pStyle w:val="85"/>
        <w:jc w:val="right"/>
        <w:rPr>
          <w:color w:val="auto"/>
          <w:sz w:val="22"/>
          <w:szCs w:val="22"/>
        </w:rPr>
      </w:pPr>
      <w:r>
        <w:rPr>
          <w:color w:val="auto"/>
          <w:sz w:val="22"/>
          <w:szCs w:val="22"/>
        </w:rPr>
        <w:t>Таблица 13</w:t>
      </w:r>
    </w:p>
    <w:p w14:paraId="090220B0">
      <w:pPr>
        <w:pStyle w:val="85"/>
        <w:jc w:val="both"/>
        <w:rPr>
          <w:color w:val="auto"/>
          <w:sz w:val="22"/>
          <w:szCs w:val="22"/>
        </w:rPr>
      </w:pPr>
    </w:p>
    <w:p w14:paraId="56B64888">
      <w:pPr>
        <w:pStyle w:val="85"/>
        <w:jc w:val="both"/>
        <w:rPr>
          <w:color w:val="auto"/>
          <w:sz w:val="22"/>
          <w:szCs w:val="22"/>
        </w:rPr>
      </w:pPr>
      <w:r>
        <w:rPr>
          <w:color w:val="auto"/>
          <w:sz w:val="22"/>
          <w:szCs w:val="22"/>
        </w:rPr>
        <w:t>1 класс</w:t>
      </w:r>
    </w:p>
    <w:p w14:paraId="1705DEF0">
      <w:pPr>
        <w:pStyle w:val="85"/>
        <w:jc w:val="both"/>
        <w:rPr>
          <w:color w:val="auto"/>
          <w:sz w:val="22"/>
          <w:szCs w:val="22"/>
        </w:rPr>
      </w:pPr>
    </w:p>
    <w:tbl>
      <w:tblPr>
        <w:tblStyle w:val="1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02" w:type="dxa"/>
          <w:left w:w="62" w:type="dxa"/>
          <w:bottom w:w="102" w:type="dxa"/>
          <w:right w:w="62" w:type="dxa"/>
        </w:tblCellMar>
      </w:tblPr>
      <w:tblGrid>
        <w:gridCol w:w="1134"/>
        <w:gridCol w:w="7937"/>
      </w:tblGrid>
      <w:tr w14:paraId="7E07EB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tcPr>
          <w:p w14:paraId="18336076">
            <w:pPr>
              <w:pStyle w:val="85"/>
              <w:jc w:val="center"/>
              <w:rPr>
                <w:color w:val="auto"/>
                <w:sz w:val="22"/>
                <w:szCs w:val="22"/>
              </w:rPr>
            </w:pPr>
            <w:r>
              <w:rPr>
                <w:color w:val="auto"/>
                <w:sz w:val="22"/>
                <w:szCs w:val="22"/>
              </w:rPr>
              <w:t>N урока</w:t>
            </w:r>
          </w:p>
        </w:tc>
        <w:tc>
          <w:tcPr>
            <w:tcW w:w="7937" w:type="dxa"/>
          </w:tcPr>
          <w:p w14:paraId="25C74EA0">
            <w:pPr>
              <w:pStyle w:val="85"/>
              <w:jc w:val="center"/>
              <w:rPr>
                <w:color w:val="auto"/>
                <w:sz w:val="22"/>
                <w:szCs w:val="22"/>
              </w:rPr>
            </w:pPr>
            <w:r>
              <w:rPr>
                <w:color w:val="auto"/>
                <w:sz w:val="22"/>
                <w:szCs w:val="22"/>
              </w:rPr>
              <w:t>Тема урока</w:t>
            </w:r>
          </w:p>
        </w:tc>
      </w:tr>
      <w:tr w14:paraId="0455A1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7A086289">
            <w:pPr>
              <w:pStyle w:val="85"/>
              <w:jc w:val="center"/>
              <w:rPr>
                <w:color w:val="auto"/>
                <w:sz w:val="22"/>
                <w:szCs w:val="22"/>
              </w:rPr>
            </w:pPr>
            <w:r>
              <w:rPr>
                <w:color w:val="auto"/>
                <w:sz w:val="22"/>
                <w:szCs w:val="22"/>
              </w:rPr>
              <w:t>Урок 1</w:t>
            </w:r>
          </w:p>
        </w:tc>
        <w:tc>
          <w:tcPr>
            <w:tcW w:w="7937" w:type="dxa"/>
            <w:vAlign w:val="center"/>
          </w:tcPr>
          <w:p w14:paraId="655CA8E0">
            <w:pPr>
              <w:pStyle w:val="85"/>
              <w:jc w:val="both"/>
              <w:rPr>
                <w:color w:val="auto"/>
                <w:sz w:val="22"/>
                <w:szCs w:val="22"/>
              </w:rPr>
            </w:pPr>
            <w:r>
              <w:rPr>
                <w:color w:val="auto"/>
                <w:sz w:val="22"/>
                <w:szCs w:val="22"/>
              </w:rPr>
              <w:t>Мир вокруг нас (природный и рукотворный)</w:t>
            </w:r>
          </w:p>
        </w:tc>
      </w:tr>
      <w:tr w14:paraId="587DD9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207D2CF4">
            <w:pPr>
              <w:pStyle w:val="85"/>
              <w:jc w:val="center"/>
              <w:rPr>
                <w:color w:val="auto"/>
                <w:sz w:val="22"/>
                <w:szCs w:val="22"/>
              </w:rPr>
            </w:pPr>
            <w:r>
              <w:rPr>
                <w:color w:val="auto"/>
                <w:sz w:val="22"/>
                <w:szCs w:val="22"/>
              </w:rPr>
              <w:t>Урок 2</w:t>
            </w:r>
          </w:p>
        </w:tc>
        <w:tc>
          <w:tcPr>
            <w:tcW w:w="7937" w:type="dxa"/>
            <w:vAlign w:val="center"/>
          </w:tcPr>
          <w:p w14:paraId="23DA417F">
            <w:pPr>
              <w:pStyle w:val="85"/>
              <w:jc w:val="both"/>
              <w:rPr>
                <w:color w:val="auto"/>
                <w:sz w:val="22"/>
                <w:szCs w:val="22"/>
              </w:rPr>
            </w:pPr>
            <w:r>
              <w:rPr>
                <w:color w:val="auto"/>
                <w:sz w:val="22"/>
                <w:szCs w:val="22"/>
              </w:rPr>
              <w:t>Техника на службе человека (в воздухе, на земле и на воде)</w:t>
            </w:r>
          </w:p>
        </w:tc>
      </w:tr>
      <w:tr w14:paraId="7F00BB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28A551C8">
            <w:pPr>
              <w:pStyle w:val="85"/>
              <w:jc w:val="center"/>
              <w:rPr>
                <w:color w:val="auto"/>
                <w:sz w:val="22"/>
                <w:szCs w:val="22"/>
              </w:rPr>
            </w:pPr>
            <w:r>
              <w:rPr>
                <w:color w:val="auto"/>
                <w:sz w:val="22"/>
                <w:szCs w:val="22"/>
              </w:rPr>
              <w:t>Урок 3</w:t>
            </w:r>
          </w:p>
        </w:tc>
        <w:tc>
          <w:tcPr>
            <w:tcW w:w="7937" w:type="dxa"/>
            <w:vAlign w:val="center"/>
          </w:tcPr>
          <w:p w14:paraId="0F27FD92">
            <w:pPr>
              <w:pStyle w:val="85"/>
              <w:jc w:val="both"/>
              <w:rPr>
                <w:color w:val="auto"/>
                <w:sz w:val="22"/>
                <w:szCs w:val="22"/>
              </w:rPr>
            </w:pPr>
            <w:r>
              <w:rPr>
                <w:color w:val="auto"/>
                <w:sz w:val="22"/>
                <w:szCs w:val="22"/>
              </w:rPr>
              <w:t>Традиции и праздники народов России, ремесла, обычаи</w:t>
            </w:r>
          </w:p>
        </w:tc>
      </w:tr>
      <w:tr w14:paraId="1E4739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4AD5270D">
            <w:pPr>
              <w:pStyle w:val="85"/>
              <w:jc w:val="center"/>
              <w:rPr>
                <w:color w:val="auto"/>
                <w:sz w:val="22"/>
                <w:szCs w:val="22"/>
              </w:rPr>
            </w:pPr>
            <w:r>
              <w:rPr>
                <w:color w:val="auto"/>
                <w:sz w:val="22"/>
                <w:szCs w:val="22"/>
              </w:rPr>
              <w:t>Урок 4</w:t>
            </w:r>
          </w:p>
        </w:tc>
        <w:tc>
          <w:tcPr>
            <w:tcW w:w="7937" w:type="dxa"/>
            <w:vAlign w:val="center"/>
          </w:tcPr>
          <w:p w14:paraId="0C26A10D">
            <w:pPr>
              <w:pStyle w:val="85"/>
              <w:jc w:val="both"/>
              <w:rPr>
                <w:color w:val="auto"/>
                <w:sz w:val="22"/>
                <w:szCs w:val="22"/>
              </w:rPr>
            </w:pPr>
            <w:r>
              <w:rPr>
                <w:color w:val="auto"/>
                <w:sz w:val="22"/>
                <w:szCs w:val="22"/>
              </w:rPr>
              <w:t>Профессии, связанные с изучаемыми материалами и производствами. Профессии сферы обслуживания</w:t>
            </w:r>
          </w:p>
        </w:tc>
      </w:tr>
      <w:tr w14:paraId="234E05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53CD7A8D">
            <w:pPr>
              <w:pStyle w:val="85"/>
              <w:jc w:val="center"/>
              <w:rPr>
                <w:color w:val="auto"/>
                <w:sz w:val="22"/>
                <w:szCs w:val="22"/>
              </w:rPr>
            </w:pPr>
            <w:r>
              <w:rPr>
                <w:color w:val="auto"/>
                <w:sz w:val="22"/>
                <w:szCs w:val="22"/>
              </w:rPr>
              <w:t>Урок 5</w:t>
            </w:r>
          </w:p>
        </w:tc>
        <w:tc>
          <w:tcPr>
            <w:tcW w:w="7937" w:type="dxa"/>
            <w:vAlign w:val="center"/>
          </w:tcPr>
          <w:p w14:paraId="0E79A4A7">
            <w:pPr>
              <w:pStyle w:val="85"/>
              <w:jc w:val="both"/>
              <w:rPr>
                <w:color w:val="auto"/>
                <w:sz w:val="22"/>
                <w:szCs w:val="22"/>
              </w:rPr>
            </w:pPr>
            <w:r>
              <w:rPr>
                <w:color w:val="auto"/>
                <w:sz w:val="22"/>
                <w:szCs w:val="22"/>
              </w:rPr>
              <w:t>Природа и творчество. Природные материалы. Сбор листьев и способы их засушивания</w:t>
            </w:r>
          </w:p>
        </w:tc>
      </w:tr>
      <w:tr w14:paraId="010CB7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70E583F7">
            <w:pPr>
              <w:pStyle w:val="85"/>
              <w:jc w:val="center"/>
              <w:rPr>
                <w:color w:val="auto"/>
                <w:sz w:val="22"/>
                <w:szCs w:val="22"/>
              </w:rPr>
            </w:pPr>
            <w:r>
              <w:rPr>
                <w:color w:val="auto"/>
                <w:sz w:val="22"/>
                <w:szCs w:val="22"/>
              </w:rPr>
              <w:t>Урок 6</w:t>
            </w:r>
          </w:p>
        </w:tc>
        <w:tc>
          <w:tcPr>
            <w:tcW w:w="7937" w:type="dxa"/>
            <w:vAlign w:val="center"/>
          </w:tcPr>
          <w:p w14:paraId="787F845F">
            <w:pPr>
              <w:pStyle w:val="85"/>
              <w:jc w:val="both"/>
              <w:rPr>
                <w:color w:val="auto"/>
                <w:sz w:val="22"/>
                <w:szCs w:val="22"/>
              </w:rPr>
            </w:pPr>
            <w:r>
              <w:rPr>
                <w:color w:val="auto"/>
                <w:sz w:val="22"/>
                <w:szCs w:val="22"/>
              </w:rPr>
              <w:t>Семена разных растений. Составление композиций из семян</w:t>
            </w:r>
          </w:p>
        </w:tc>
      </w:tr>
      <w:tr w14:paraId="242B10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134" w:type="dxa"/>
            <w:vAlign w:val="center"/>
          </w:tcPr>
          <w:p w14:paraId="66A28BD5">
            <w:pPr>
              <w:pStyle w:val="85"/>
              <w:jc w:val="center"/>
              <w:rPr>
                <w:color w:val="auto"/>
                <w:sz w:val="22"/>
                <w:szCs w:val="22"/>
              </w:rPr>
            </w:pPr>
            <w:r>
              <w:rPr>
                <w:color w:val="auto"/>
                <w:sz w:val="22"/>
                <w:szCs w:val="22"/>
              </w:rPr>
              <w:t>Урок 7</w:t>
            </w:r>
          </w:p>
        </w:tc>
        <w:tc>
          <w:tcPr>
            <w:tcW w:w="7937" w:type="dxa"/>
            <w:vAlign w:val="center"/>
          </w:tcPr>
          <w:p w14:paraId="7DDEE4B3">
            <w:pPr>
              <w:pStyle w:val="85"/>
              <w:jc w:val="both"/>
              <w:rPr>
                <w:color w:val="auto"/>
                <w:sz w:val="22"/>
                <w:szCs w:val="22"/>
              </w:rPr>
            </w:pPr>
            <w:r>
              <w:rPr>
                <w:color w:val="auto"/>
                <w:sz w:val="22"/>
                <w:szCs w:val="22"/>
              </w:rPr>
              <w:t>Объемные природные материалы (шишки, желуди, каштаны). Конструирование объемных изделий из них</w:t>
            </w:r>
          </w:p>
        </w:tc>
      </w:tr>
      <w:tr w14:paraId="44BE5A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134" w:type="dxa"/>
            <w:vAlign w:val="center"/>
          </w:tcPr>
          <w:p w14:paraId="65544BA4">
            <w:pPr>
              <w:pStyle w:val="85"/>
              <w:jc w:val="center"/>
              <w:rPr>
                <w:color w:val="auto"/>
                <w:sz w:val="22"/>
                <w:szCs w:val="22"/>
              </w:rPr>
            </w:pPr>
            <w:r>
              <w:rPr>
                <w:color w:val="auto"/>
                <w:sz w:val="22"/>
                <w:szCs w:val="22"/>
              </w:rPr>
              <w:t>Урок 8</w:t>
            </w:r>
          </w:p>
        </w:tc>
        <w:tc>
          <w:tcPr>
            <w:tcW w:w="7937" w:type="dxa"/>
            <w:vAlign w:val="center"/>
          </w:tcPr>
          <w:p w14:paraId="39453D60">
            <w:pPr>
              <w:pStyle w:val="85"/>
              <w:jc w:val="both"/>
              <w:rPr>
                <w:color w:val="auto"/>
                <w:sz w:val="22"/>
                <w:szCs w:val="22"/>
              </w:rPr>
            </w:pPr>
            <w:r>
              <w:rPr>
                <w:color w:val="auto"/>
                <w:sz w:val="22"/>
                <w:szCs w:val="22"/>
              </w:rPr>
              <w:t>Способы соединения природных материалов</w:t>
            </w:r>
          </w:p>
        </w:tc>
      </w:tr>
      <w:tr w14:paraId="3BAAE0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41C21614">
            <w:pPr>
              <w:pStyle w:val="85"/>
              <w:jc w:val="center"/>
              <w:rPr>
                <w:color w:val="auto"/>
                <w:sz w:val="22"/>
                <w:szCs w:val="22"/>
              </w:rPr>
            </w:pPr>
            <w:r>
              <w:rPr>
                <w:color w:val="auto"/>
                <w:sz w:val="22"/>
                <w:szCs w:val="22"/>
              </w:rPr>
              <w:t>Урок 9</w:t>
            </w:r>
          </w:p>
        </w:tc>
        <w:tc>
          <w:tcPr>
            <w:tcW w:w="7937" w:type="dxa"/>
            <w:vAlign w:val="center"/>
          </w:tcPr>
          <w:p w14:paraId="204745D5">
            <w:pPr>
              <w:pStyle w:val="85"/>
              <w:jc w:val="both"/>
              <w:rPr>
                <w:color w:val="auto"/>
                <w:sz w:val="22"/>
                <w:szCs w:val="22"/>
              </w:rPr>
            </w:pPr>
            <w:r>
              <w:rPr>
                <w:color w:val="auto"/>
                <w:sz w:val="22"/>
                <w:szCs w:val="22"/>
              </w:rPr>
              <w:t>Понятие "композиция". Центровая композиция. Точечное наклеивание листьев.</w:t>
            </w:r>
          </w:p>
        </w:tc>
      </w:tr>
      <w:tr w14:paraId="30302E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1A48C40B">
            <w:pPr>
              <w:pStyle w:val="85"/>
              <w:jc w:val="center"/>
              <w:rPr>
                <w:color w:val="auto"/>
                <w:sz w:val="22"/>
                <w:szCs w:val="22"/>
              </w:rPr>
            </w:pPr>
            <w:r>
              <w:rPr>
                <w:color w:val="auto"/>
                <w:sz w:val="22"/>
                <w:szCs w:val="22"/>
              </w:rPr>
              <w:t>Урок 10</w:t>
            </w:r>
          </w:p>
        </w:tc>
        <w:tc>
          <w:tcPr>
            <w:tcW w:w="7937" w:type="dxa"/>
            <w:vAlign w:val="center"/>
          </w:tcPr>
          <w:p w14:paraId="0129A29D">
            <w:pPr>
              <w:pStyle w:val="85"/>
              <w:jc w:val="both"/>
              <w:rPr>
                <w:color w:val="auto"/>
                <w:sz w:val="22"/>
                <w:szCs w:val="22"/>
              </w:rPr>
            </w:pPr>
            <w:r>
              <w:rPr>
                <w:color w:val="auto"/>
                <w:sz w:val="22"/>
                <w:szCs w:val="22"/>
              </w:rPr>
              <w:t>"Орнамент". Разновидности композиций, Композиция в полосе</w:t>
            </w:r>
          </w:p>
        </w:tc>
      </w:tr>
      <w:tr w14:paraId="40A028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491DE4C0">
            <w:pPr>
              <w:pStyle w:val="85"/>
              <w:jc w:val="center"/>
              <w:rPr>
                <w:color w:val="auto"/>
                <w:sz w:val="22"/>
                <w:szCs w:val="22"/>
              </w:rPr>
            </w:pPr>
            <w:r>
              <w:rPr>
                <w:color w:val="auto"/>
                <w:sz w:val="22"/>
                <w:szCs w:val="22"/>
              </w:rPr>
              <w:t>Урок 11</w:t>
            </w:r>
          </w:p>
        </w:tc>
        <w:tc>
          <w:tcPr>
            <w:tcW w:w="7937" w:type="dxa"/>
            <w:vAlign w:val="center"/>
          </w:tcPr>
          <w:p w14:paraId="633DFC58">
            <w:pPr>
              <w:pStyle w:val="85"/>
              <w:jc w:val="both"/>
              <w:rPr>
                <w:color w:val="auto"/>
                <w:sz w:val="22"/>
                <w:szCs w:val="22"/>
              </w:rPr>
            </w:pPr>
            <w:r>
              <w:rPr>
                <w:color w:val="auto"/>
                <w:sz w:val="22"/>
                <w:szCs w:val="22"/>
              </w:rPr>
              <w:t>Материалы для лепки (пластилин, пластические массы). Свойства пластических масс</w:t>
            </w:r>
          </w:p>
        </w:tc>
      </w:tr>
      <w:tr w14:paraId="112D54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2FB2A858">
            <w:pPr>
              <w:pStyle w:val="85"/>
              <w:jc w:val="center"/>
              <w:rPr>
                <w:color w:val="auto"/>
                <w:sz w:val="22"/>
                <w:szCs w:val="22"/>
              </w:rPr>
            </w:pPr>
            <w:r>
              <w:rPr>
                <w:color w:val="auto"/>
                <w:sz w:val="22"/>
                <w:szCs w:val="22"/>
              </w:rPr>
              <w:t>Урок 12</w:t>
            </w:r>
          </w:p>
        </w:tc>
        <w:tc>
          <w:tcPr>
            <w:tcW w:w="7937" w:type="dxa"/>
            <w:vAlign w:val="center"/>
          </w:tcPr>
          <w:p w14:paraId="6FCB98AA">
            <w:pPr>
              <w:pStyle w:val="85"/>
              <w:jc w:val="both"/>
              <w:rPr>
                <w:color w:val="auto"/>
                <w:sz w:val="22"/>
                <w:szCs w:val="22"/>
              </w:rPr>
            </w:pPr>
            <w:r>
              <w:rPr>
                <w:color w:val="auto"/>
                <w:sz w:val="22"/>
                <w:szCs w:val="22"/>
              </w:rPr>
              <w:t>Изделие. Основа и детали изделия. Понятие "технология"</w:t>
            </w:r>
          </w:p>
        </w:tc>
      </w:tr>
      <w:tr w14:paraId="3A14C0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4765932C">
            <w:pPr>
              <w:pStyle w:val="85"/>
              <w:jc w:val="center"/>
              <w:rPr>
                <w:color w:val="auto"/>
                <w:sz w:val="22"/>
                <w:szCs w:val="22"/>
              </w:rPr>
            </w:pPr>
            <w:r>
              <w:rPr>
                <w:color w:val="auto"/>
                <w:sz w:val="22"/>
                <w:szCs w:val="22"/>
              </w:rPr>
              <w:t>Урок 13</w:t>
            </w:r>
          </w:p>
        </w:tc>
        <w:tc>
          <w:tcPr>
            <w:tcW w:w="7937" w:type="dxa"/>
            <w:vAlign w:val="center"/>
          </w:tcPr>
          <w:p w14:paraId="2EB711F4">
            <w:pPr>
              <w:pStyle w:val="85"/>
              <w:jc w:val="both"/>
              <w:rPr>
                <w:color w:val="auto"/>
                <w:sz w:val="22"/>
                <w:szCs w:val="22"/>
              </w:rPr>
            </w:pPr>
            <w:r>
              <w:rPr>
                <w:color w:val="auto"/>
                <w:sz w:val="22"/>
                <w:szCs w:val="22"/>
              </w:rPr>
              <w:t>Формообразование деталей изделия из пластилина</w:t>
            </w:r>
          </w:p>
        </w:tc>
      </w:tr>
      <w:tr w14:paraId="79686C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75FE4635">
            <w:pPr>
              <w:pStyle w:val="85"/>
              <w:jc w:val="center"/>
              <w:rPr>
                <w:color w:val="auto"/>
                <w:sz w:val="22"/>
                <w:szCs w:val="22"/>
              </w:rPr>
            </w:pPr>
            <w:r>
              <w:rPr>
                <w:color w:val="auto"/>
                <w:sz w:val="22"/>
                <w:szCs w:val="22"/>
              </w:rPr>
              <w:t>Урок 14</w:t>
            </w:r>
          </w:p>
        </w:tc>
        <w:tc>
          <w:tcPr>
            <w:tcW w:w="7937" w:type="dxa"/>
            <w:vAlign w:val="center"/>
          </w:tcPr>
          <w:p w14:paraId="6FAA5952">
            <w:pPr>
              <w:pStyle w:val="85"/>
              <w:jc w:val="both"/>
              <w:rPr>
                <w:color w:val="auto"/>
                <w:sz w:val="22"/>
                <w:szCs w:val="22"/>
              </w:rPr>
            </w:pPr>
            <w:r>
              <w:rPr>
                <w:color w:val="auto"/>
                <w:sz w:val="22"/>
                <w:szCs w:val="22"/>
              </w:rPr>
              <w:t>Объемная композиция. Групповая творческая работа - проект</w:t>
            </w:r>
          </w:p>
        </w:tc>
      </w:tr>
      <w:tr w14:paraId="1E15BF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27C11FD2">
            <w:pPr>
              <w:pStyle w:val="85"/>
              <w:jc w:val="center"/>
              <w:rPr>
                <w:color w:val="auto"/>
                <w:sz w:val="22"/>
                <w:szCs w:val="22"/>
              </w:rPr>
            </w:pPr>
            <w:r>
              <w:rPr>
                <w:color w:val="auto"/>
                <w:sz w:val="22"/>
                <w:szCs w:val="22"/>
              </w:rPr>
              <w:t>Урок 15</w:t>
            </w:r>
          </w:p>
        </w:tc>
        <w:tc>
          <w:tcPr>
            <w:tcW w:w="7937" w:type="dxa"/>
            <w:vAlign w:val="center"/>
          </w:tcPr>
          <w:p w14:paraId="5FBBE436">
            <w:pPr>
              <w:pStyle w:val="85"/>
              <w:jc w:val="both"/>
              <w:rPr>
                <w:color w:val="auto"/>
                <w:sz w:val="22"/>
                <w:szCs w:val="22"/>
              </w:rPr>
            </w:pPr>
            <w:r>
              <w:rPr>
                <w:color w:val="auto"/>
                <w:sz w:val="22"/>
                <w:szCs w:val="22"/>
              </w:rPr>
              <w:t>Бумага. Ее основные свойства. Виды бумаги</w:t>
            </w:r>
          </w:p>
        </w:tc>
      </w:tr>
      <w:tr w14:paraId="51F4B0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16E5CDD1">
            <w:pPr>
              <w:pStyle w:val="85"/>
              <w:jc w:val="center"/>
              <w:rPr>
                <w:color w:val="auto"/>
                <w:sz w:val="22"/>
                <w:szCs w:val="22"/>
              </w:rPr>
            </w:pPr>
            <w:r>
              <w:rPr>
                <w:color w:val="auto"/>
                <w:sz w:val="22"/>
                <w:szCs w:val="22"/>
              </w:rPr>
              <w:t>Урок 16</w:t>
            </w:r>
          </w:p>
        </w:tc>
        <w:tc>
          <w:tcPr>
            <w:tcW w:w="7937" w:type="dxa"/>
            <w:vAlign w:val="center"/>
          </w:tcPr>
          <w:p w14:paraId="7229EEC4">
            <w:pPr>
              <w:pStyle w:val="85"/>
              <w:jc w:val="both"/>
              <w:rPr>
                <w:color w:val="auto"/>
                <w:sz w:val="22"/>
                <w:szCs w:val="22"/>
              </w:rPr>
            </w:pPr>
            <w:r>
              <w:rPr>
                <w:color w:val="auto"/>
                <w:sz w:val="22"/>
                <w:szCs w:val="22"/>
              </w:rPr>
              <w:t>Картон. Его основные свойства. Виды картона</w:t>
            </w:r>
          </w:p>
        </w:tc>
      </w:tr>
      <w:tr w14:paraId="24EDCC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6B0BDD2D">
            <w:pPr>
              <w:pStyle w:val="85"/>
              <w:jc w:val="center"/>
              <w:rPr>
                <w:color w:val="auto"/>
                <w:sz w:val="22"/>
                <w:szCs w:val="22"/>
              </w:rPr>
            </w:pPr>
            <w:r>
              <w:rPr>
                <w:color w:val="auto"/>
                <w:sz w:val="22"/>
                <w:szCs w:val="22"/>
              </w:rPr>
              <w:t>Урок 17</w:t>
            </w:r>
          </w:p>
        </w:tc>
        <w:tc>
          <w:tcPr>
            <w:tcW w:w="7937" w:type="dxa"/>
            <w:vAlign w:val="center"/>
          </w:tcPr>
          <w:p w14:paraId="69D5E995">
            <w:pPr>
              <w:pStyle w:val="85"/>
              <w:jc w:val="both"/>
              <w:rPr>
                <w:color w:val="auto"/>
                <w:sz w:val="22"/>
                <w:szCs w:val="22"/>
              </w:rPr>
            </w:pPr>
            <w:r>
              <w:rPr>
                <w:color w:val="auto"/>
                <w:sz w:val="22"/>
                <w:szCs w:val="22"/>
              </w:rPr>
              <w:t>Сгибание и складывание бумаги. (Составление композиций из несложной сложенной детали)</w:t>
            </w:r>
          </w:p>
        </w:tc>
      </w:tr>
      <w:tr w14:paraId="4E4AD4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7D80F92E">
            <w:pPr>
              <w:pStyle w:val="85"/>
              <w:jc w:val="center"/>
              <w:rPr>
                <w:color w:val="auto"/>
                <w:sz w:val="22"/>
                <w:szCs w:val="22"/>
              </w:rPr>
            </w:pPr>
            <w:r>
              <w:rPr>
                <w:color w:val="auto"/>
                <w:sz w:val="22"/>
                <w:szCs w:val="22"/>
              </w:rPr>
              <w:t>Урок 18</w:t>
            </w:r>
          </w:p>
        </w:tc>
        <w:tc>
          <w:tcPr>
            <w:tcW w:w="7937" w:type="dxa"/>
            <w:vAlign w:val="center"/>
          </w:tcPr>
          <w:p w14:paraId="137D941C">
            <w:pPr>
              <w:pStyle w:val="85"/>
              <w:jc w:val="both"/>
              <w:rPr>
                <w:color w:val="auto"/>
                <w:sz w:val="22"/>
                <w:szCs w:val="22"/>
              </w:rPr>
            </w:pPr>
            <w:r>
              <w:rPr>
                <w:color w:val="auto"/>
                <w:sz w:val="22"/>
                <w:szCs w:val="22"/>
              </w:rPr>
              <w:t>Сгибание и складывание бумаги (Основные формы оригами и их преобразование)</w:t>
            </w:r>
          </w:p>
        </w:tc>
      </w:tr>
      <w:tr w14:paraId="46B9C9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025ACB46">
            <w:pPr>
              <w:pStyle w:val="85"/>
              <w:jc w:val="center"/>
              <w:rPr>
                <w:color w:val="auto"/>
                <w:sz w:val="22"/>
                <w:szCs w:val="22"/>
              </w:rPr>
            </w:pPr>
            <w:r>
              <w:rPr>
                <w:color w:val="auto"/>
                <w:sz w:val="22"/>
                <w:szCs w:val="22"/>
              </w:rPr>
              <w:t>Урок 19</w:t>
            </w:r>
          </w:p>
        </w:tc>
        <w:tc>
          <w:tcPr>
            <w:tcW w:w="7937" w:type="dxa"/>
            <w:vAlign w:val="center"/>
          </w:tcPr>
          <w:p w14:paraId="1E3E2776">
            <w:pPr>
              <w:pStyle w:val="85"/>
              <w:jc w:val="both"/>
              <w:rPr>
                <w:color w:val="auto"/>
                <w:sz w:val="22"/>
                <w:szCs w:val="22"/>
              </w:rPr>
            </w:pPr>
            <w:r>
              <w:rPr>
                <w:color w:val="auto"/>
                <w:sz w:val="22"/>
                <w:szCs w:val="22"/>
              </w:rPr>
              <w:t>Складывание бумажной детали гармошкой</w:t>
            </w:r>
          </w:p>
        </w:tc>
      </w:tr>
      <w:tr w14:paraId="71B7C7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134" w:type="dxa"/>
            <w:vAlign w:val="center"/>
          </w:tcPr>
          <w:p w14:paraId="7F63AE38">
            <w:pPr>
              <w:pStyle w:val="85"/>
              <w:jc w:val="center"/>
              <w:rPr>
                <w:color w:val="auto"/>
                <w:sz w:val="22"/>
                <w:szCs w:val="22"/>
              </w:rPr>
            </w:pPr>
            <w:r>
              <w:rPr>
                <w:color w:val="auto"/>
                <w:sz w:val="22"/>
                <w:szCs w:val="22"/>
              </w:rPr>
              <w:t>Урок 20</w:t>
            </w:r>
          </w:p>
        </w:tc>
        <w:tc>
          <w:tcPr>
            <w:tcW w:w="7937" w:type="dxa"/>
            <w:vAlign w:val="center"/>
          </w:tcPr>
          <w:p w14:paraId="53F4AED0">
            <w:pPr>
              <w:pStyle w:val="85"/>
              <w:jc w:val="both"/>
              <w:rPr>
                <w:color w:val="auto"/>
                <w:sz w:val="22"/>
                <w:szCs w:val="22"/>
              </w:rPr>
            </w:pPr>
            <w:r>
              <w:rPr>
                <w:color w:val="auto"/>
                <w:sz w:val="22"/>
                <w:szCs w:val="22"/>
              </w:rPr>
              <w:t>Режущий инструмент ножницы. Их назначение, конструкция. Правила пользования</w:t>
            </w:r>
          </w:p>
        </w:tc>
      </w:tr>
      <w:tr w14:paraId="7C242D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76F296EB">
            <w:pPr>
              <w:pStyle w:val="85"/>
              <w:jc w:val="center"/>
              <w:rPr>
                <w:color w:val="auto"/>
                <w:sz w:val="22"/>
                <w:szCs w:val="22"/>
              </w:rPr>
            </w:pPr>
            <w:r>
              <w:rPr>
                <w:color w:val="auto"/>
                <w:sz w:val="22"/>
                <w:szCs w:val="22"/>
              </w:rPr>
              <w:t>Урок 21</w:t>
            </w:r>
          </w:p>
        </w:tc>
        <w:tc>
          <w:tcPr>
            <w:tcW w:w="7937" w:type="dxa"/>
            <w:vAlign w:val="center"/>
          </w:tcPr>
          <w:p w14:paraId="0C804B6B">
            <w:pPr>
              <w:pStyle w:val="85"/>
              <w:jc w:val="both"/>
              <w:rPr>
                <w:color w:val="auto"/>
                <w:sz w:val="22"/>
                <w:szCs w:val="22"/>
              </w:rPr>
            </w:pPr>
            <w:r>
              <w:rPr>
                <w:color w:val="auto"/>
                <w:sz w:val="22"/>
                <w:szCs w:val="22"/>
              </w:rPr>
              <w:t>Приемы резания ножницами по прямой, кривой и ломаной линиям</w:t>
            </w:r>
          </w:p>
        </w:tc>
      </w:tr>
      <w:tr w14:paraId="64ABF6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49E6C535">
            <w:pPr>
              <w:pStyle w:val="85"/>
              <w:jc w:val="center"/>
              <w:rPr>
                <w:color w:val="auto"/>
                <w:sz w:val="22"/>
                <w:szCs w:val="22"/>
              </w:rPr>
            </w:pPr>
            <w:r>
              <w:rPr>
                <w:color w:val="auto"/>
                <w:sz w:val="22"/>
                <w:szCs w:val="22"/>
              </w:rPr>
              <w:t>Урок 22</w:t>
            </w:r>
          </w:p>
        </w:tc>
        <w:tc>
          <w:tcPr>
            <w:tcW w:w="7937" w:type="dxa"/>
            <w:vAlign w:val="center"/>
          </w:tcPr>
          <w:p w14:paraId="00CDBD2C">
            <w:pPr>
              <w:pStyle w:val="85"/>
              <w:jc w:val="both"/>
              <w:rPr>
                <w:color w:val="auto"/>
                <w:sz w:val="22"/>
                <w:szCs w:val="22"/>
              </w:rPr>
            </w:pPr>
            <w:r>
              <w:rPr>
                <w:color w:val="auto"/>
                <w:sz w:val="22"/>
                <w:szCs w:val="22"/>
              </w:rPr>
              <w:t>Резаная аппликация</w:t>
            </w:r>
          </w:p>
        </w:tc>
      </w:tr>
      <w:tr w14:paraId="276D94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4387D577">
            <w:pPr>
              <w:pStyle w:val="85"/>
              <w:jc w:val="center"/>
              <w:rPr>
                <w:color w:val="auto"/>
                <w:sz w:val="22"/>
                <w:szCs w:val="22"/>
              </w:rPr>
            </w:pPr>
            <w:r>
              <w:rPr>
                <w:color w:val="auto"/>
                <w:sz w:val="22"/>
                <w:szCs w:val="22"/>
              </w:rPr>
              <w:t>Урок 23</w:t>
            </w:r>
          </w:p>
        </w:tc>
        <w:tc>
          <w:tcPr>
            <w:tcW w:w="7937" w:type="dxa"/>
            <w:vAlign w:val="center"/>
          </w:tcPr>
          <w:p w14:paraId="0D031143">
            <w:pPr>
              <w:pStyle w:val="85"/>
              <w:jc w:val="both"/>
              <w:rPr>
                <w:color w:val="auto"/>
                <w:sz w:val="22"/>
                <w:szCs w:val="22"/>
              </w:rPr>
            </w:pPr>
            <w:r>
              <w:rPr>
                <w:color w:val="auto"/>
                <w:sz w:val="22"/>
                <w:szCs w:val="22"/>
              </w:rPr>
              <w:t>Шаблон - приспособление для разметки деталей. Разметка по шаблону</w:t>
            </w:r>
          </w:p>
        </w:tc>
      </w:tr>
      <w:tr w14:paraId="71E91C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45D36C7C">
            <w:pPr>
              <w:pStyle w:val="85"/>
              <w:jc w:val="center"/>
              <w:rPr>
                <w:color w:val="auto"/>
                <w:sz w:val="22"/>
                <w:szCs w:val="22"/>
              </w:rPr>
            </w:pPr>
            <w:r>
              <w:rPr>
                <w:color w:val="auto"/>
                <w:sz w:val="22"/>
                <w:szCs w:val="22"/>
              </w:rPr>
              <w:t>Урок 24</w:t>
            </w:r>
          </w:p>
        </w:tc>
        <w:tc>
          <w:tcPr>
            <w:tcW w:w="7937" w:type="dxa"/>
            <w:vAlign w:val="center"/>
          </w:tcPr>
          <w:p w14:paraId="5820A83E">
            <w:pPr>
              <w:pStyle w:val="85"/>
              <w:jc w:val="both"/>
              <w:rPr>
                <w:color w:val="auto"/>
                <w:sz w:val="22"/>
                <w:szCs w:val="22"/>
              </w:rPr>
            </w:pPr>
            <w:r>
              <w:rPr>
                <w:color w:val="auto"/>
                <w:sz w:val="22"/>
                <w:szCs w:val="22"/>
              </w:rPr>
              <w:t>Разметка по шаблону и вырезание нескольких деталей из бумаги</w:t>
            </w:r>
          </w:p>
        </w:tc>
      </w:tr>
      <w:tr w14:paraId="6A41A8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76D719B8">
            <w:pPr>
              <w:pStyle w:val="85"/>
              <w:jc w:val="center"/>
              <w:rPr>
                <w:color w:val="auto"/>
                <w:sz w:val="22"/>
                <w:szCs w:val="22"/>
              </w:rPr>
            </w:pPr>
            <w:r>
              <w:rPr>
                <w:color w:val="auto"/>
                <w:sz w:val="22"/>
                <w:szCs w:val="22"/>
              </w:rPr>
              <w:t>Урок 25</w:t>
            </w:r>
          </w:p>
        </w:tc>
        <w:tc>
          <w:tcPr>
            <w:tcW w:w="7937" w:type="dxa"/>
            <w:vAlign w:val="center"/>
          </w:tcPr>
          <w:p w14:paraId="6430B779">
            <w:pPr>
              <w:pStyle w:val="85"/>
              <w:jc w:val="both"/>
              <w:rPr>
                <w:color w:val="auto"/>
                <w:sz w:val="22"/>
                <w:szCs w:val="22"/>
              </w:rPr>
            </w:pPr>
            <w:r>
              <w:rPr>
                <w:color w:val="auto"/>
                <w:sz w:val="22"/>
                <w:szCs w:val="22"/>
              </w:rPr>
              <w:t>Преобразование правильных форм в неправильные</w:t>
            </w:r>
          </w:p>
        </w:tc>
      </w:tr>
      <w:tr w14:paraId="49C03D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1A7B6028">
            <w:pPr>
              <w:pStyle w:val="85"/>
              <w:jc w:val="center"/>
              <w:rPr>
                <w:color w:val="auto"/>
                <w:sz w:val="22"/>
                <w:szCs w:val="22"/>
              </w:rPr>
            </w:pPr>
            <w:r>
              <w:rPr>
                <w:color w:val="auto"/>
                <w:sz w:val="22"/>
                <w:szCs w:val="22"/>
              </w:rPr>
              <w:t>Урок 26</w:t>
            </w:r>
          </w:p>
        </w:tc>
        <w:tc>
          <w:tcPr>
            <w:tcW w:w="7937" w:type="dxa"/>
            <w:vAlign w:val="center"/>
          </w:tcPr>
          <w:p w14:paraId="4A51E16B">
            <w:pPr>
              <w:pStyle w:val="85"/>
              <w:jc w:val="both"/>
              <w:rPr>
                <w:color w:val="auto"/>
                <w:sz w:val="22"/>
                <w:szCs w:val="22"/>
              </w:rPr>
            </w:pPr>
            <w:r>
              <w:rPr>
                <w:color w:val="auto"/>
                <w:sz w:val="22"/>
                <w:szCs w:val="22"/>
              </w:rPr>
              <w:t>Составление композиций из деталей разных форм</w:t>
            </w:r>
          </w:p>
        </w:tc>
      </w:tr>
      <w:tr w14:paraId="4F1D38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2152C0FE">
            <w:pPr>
              <w:pStyle w:val="85"/>
              <w:jc w:val="center"/>
              <w:rPr>
                <w:color w:val="auto"/>
                <w:sz w:val="22"/>
                <w:szCs w:val="22"/>
              </w:rPr>
            </w:pPr>
            <w:r>
              <w:rPr>
                <w:color w:val="auto"/>
                <w:sz w:val="22"/>
                <w:szCs w:val="22"/>
              </w:rPr>
              <w:t>Урок 27</w:t>
            </w:r>
          </w:p>
        </w:tc>
        <w:tc>
          <w:tcPr>
            <w:tcW w:w="7937" w:type="dxa"/>
            <w:vAlign w:val="center"/>
          </w:tcPr>
          <w:p w14:paraId="323C3846">
            <w:pPr>
              <w:pStyle w:val="85"/>
              <w:jc w:val="both"/>
              <w:rPr>
                <w:color w:val="auto"/>
                <w:sz w:val="22"/>
                <w:szCs w:val="22"/>
              </w:rPr>
            </w:pPr>
            <w:r>
              <w:rPr>
                <w:color w:val="auto"/>
                <w:sz w:val="22"/>
                <w:szCs w:val="22"/>
              </w:rPr>
              <w:t>Изготовление деталей по шаблону из тонкого картона</w:t>
            </w:r>
          </w:p>
        </w:tc>
      </w:tr>
      <w:tr w14:paraId="5AAEEE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044CE973">
            <w:pPr>
              <w:pStyle w:val="85"/>
              <w:jc w:val="center"/>
              <w:rPr>
                <w:color w:val="auto"/>
                <w:sz w:val="22"/>
                <w:szCs w:val="22"/>
              </w:rPr>
            </w:pPr>
            <w:r>
              <w:rPr>
                <w:color w:val="auto"/>
                <w:sz w:val="22"/>
                <w:szCs w:val="22"/>
              </w:rPr>
              <w:t>Урок 28</w:t>
            </w:r>
          </w:p>
        </w:tc>
        <w:tc>
          <w:tcPr>
            <w:tcW w:w="7937" w:type="dxa"/>
            <w:vAlign w:val="center"/>
          </w:tcPr>
          <w:p w14:paraId="23A034B6">
            <w:pPr>
              <w:pStyle w:val="85"/>
              <w:jc w:val="both"/>
              <w:rPr>
                <w:color w:val="auto"/>
                <w:sz w:val="22"/>
                <w:szCs w:val="22"/>
              </w:rPr>
            </w:pPr>
            <w:r>
              <w:rPr>
                <w:color w:val="auto"/>
                <w:sz w:val="22"/>
                <w:szCs w:val="22"/>
              </w:rPr>
              <w:t>Общее представление о тканях и нитках</w:t>
            </w:r>
          </w:p>
        </w:tc>
      </w:tr>
      <w:tr w14:paraId="4C6E5A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31C55992">
            <w:pPr>
              <w:pStyle w:val="85"/>
              <w:jc w:val="center"/>
              <w:rPr>
                <w:color w:val="auto"/>
                <w:sz w:val="22"/>
                <w:szCs w:val="22"/>
              </w:rPr>
            </w:pPr>
            <w:r>
              <w:rPr>
                <w:color w:val="auto"/>
                <w:sz w:val="22"/>
                <w:szCs w:val="22"/>
              </w:rPr>
              <w:t>Урок 29</w:t>
            </w:r>
          </w:p>
        </w:tc>
        <w:tc>
          <w:tcPr>
            <w:tcW w:w="7937" w:type="dxa"/>
            <w:vAlign w:val="center"/>
          </w:tcPr>
          <w:p w14:paraId="0F29772F">
            <w:pPr>
              <w:pStyle w:val="85"/>
              <w:jc w:val="both"/>
              <w:rPr>
                <w:color w:val="auto"/>
                <w:sz w:val="22"/>
                <w:szCs w:val="22"/>
              </w:rPr>
            </w:pPr>
            <w:r>
              <w:rPr>
                <w:color w:val="auto"/>
                <w:sz w:val="22"/>
                <w:szCs w:val="22"/>
              </w:rPr>
              <w:t>Швейные иглы и приспособления. Назначение. Правила обращения. Строчка прямого стежка</w:t>
            </w:r>
          </w:p>
        </w:tc>
      </w:tr>
      <w:tr w14:paraId="513409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7D66D333">
            <w:pPr>
              <w:pStyle w:val="85"/>
              <w:jc w:val="center"/>
              <w:rPr>
                <w:color w:val="auto"/>
                <w:sz w:val="22"/>
                <w:szCs w:val="22"/>
              </w:rPr>
            </w:pPr>
            <w:r>
              <w:rPr>
                <w:color w:val="auto"/>
                <w:sz w:val="22"/>
                <w:szCs w:val="22"/>
              </w:rPr>
              <w:t>Урок 30</w:t>
            </w:r>
          </w:p>
        </w:tc>
        <w:tc>
          <w:tcPr>
            <w:tcW w:w="7937" w:type="dxa"/>
            <w:vAlign w:val="center"/>
          </w:tcPr>
          <w:p w14:paraId="38CB451E">
            <w:pPr>
              <w:pStyle w:val="85"/>
              <w:jc w:val="both"/>
              <w:rPr>
                <w:color w:val="auto"/>
                <w:sz w:val="22"/>
                <w:szCs w:val="22"/>
              </w:rPr>
            </w:pPr>
            <w:r>
              <w:rPr>
                <w:color w:val="auto"/>
                <w:sz w:val="22"/>
                <w:szCs w:val="22"/>
              </w:rPr>
              <w:t>Вышивка - способ отделки изделий. Мережка (осыпание края заготовки из ткани)</w:t>
            </w:r>
          </w:p>
        </w:tc>
      </w:tr>
      <w:tr w14:paraId="587C71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6DE34B17">
            <w:pPr>
              <w:pStyle w:val="85"/>
              <w:jc w:val="center"/>
              <w:rPr>
                <w:color w:val="auto"/>
                <w:sz w:val="22"/>
                <w:szCs w:val="22"/>
              </w:rPr>
            </w:pPr>
            <w:r>
              <w:rPr>
                <w:color w:val="auto"/>
                <w:sz w:val="22"/>
                <w:szCs w:val="22"/>
              </w:rPr>
              <w:t>Урок 31</w:t>
            </w:r>
          </w:p>
        </w:tc>
        <w:tc>
          <w:tcPr>
            <w:tcW w:w="7937" w:type="dxa"/>
            <w:vAlign w:val="center"/>
          </w:tcPr>
          <w:p w14:paraId="0D7D3168">
            <w:pPr>
              <w:pStyle w:val="85"/>
              <w:jc w:val="both"/>
              <w:rPr>
                <w:color w:val="auto"/>
                <w:sz w:val="22"/>
                <w:szCs w:val="22"/>
              </w:rPr>
            </w:pPr>
            <w:r>
              <w:rPr>
                <w:color w:val="auto"/>
                <w:sz w:val="22"/>
                <w:szCs w:val="22"/>
              </w:rPr>
              <w:t>Строчка прямого стежка, ее варианты - перевивы</w:t>
            </w:r>
          </w:p>
        </w:tc>
      </w:tr>
      <w:tr w14:paraId="2F8960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16E4A60B">
            <w:pPr>
              <w:pStyle w:val="85"/>
              <w:jc w:val="center"/>
              <w:rPr>
                <w:color w:val="auto"/>
                <w:sz w:val="22"/>
                <w:szCs w:val="22"/>
              </w:rPr>
            </w:pPr>
            <w:r>
              <w:rPr>
                <w:color w:val="auto"/>
                <w:sz w:val="22"/>
                <w:szCs w:val="22"/>
              </w:rPr>
              <w:t>Урок 32</w:t>
            </w:r>
          </w:p>
        </w:tc>
        <w:tc>
          <w:tcPr>
            <w:tcW w:w="7937" w:type="dxa"/>
            <w:vAlign w:val="center"/>
          </w:tcPr>
          <w:p w14:paraId="3A9E8E6E">
            <w:pPr>
              <w:pStyle w:val="85"/>
              <w:jc w:val="both"/>
              <w:rPr>
                <w:color w:val="auto"/>
                <w:sz w:val="22"/>
                <w:szCs w:val="22"/>
              </w:rPr>
            </w:pPr>
            <w:r>
              <w:rPr>
                <w:color w:val="auto"/>
                <w:sz w:val="22"/>
                <w:szCs w:val="22"/>
              </w:rPr>
              <w:t>Отделка швейного изделия (салфетки, закладки) строчками прямого стежка</w:t>
            </w:r>
          </w:p>
        </w:tc>
      </w:tr>
      <w:tr w14:paraId="131C6B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7DEC5E5E">
            <w:pPr>
              <w:pStyle w:val="85"/>
              <w:jc w:val="center"/>
              <w:rPr>
                <w:color w:val="auto"/>
                <w:sz w:val="22"/>
                <w:szCs w:val="22"/>
              </w:rPr>
            </w:pPr>
            <w:r>
              <w:rPr>
                <w:color w:val="auto"/>
                <w:sz w:val="22"/>
                <w:szCs w:val="22"/>
              </w:rPr>
              <w:t>Урок 33</w:t>
            </w:r>
          </w:p>
        </w:tc>
        <w:tc>
          <w:tcPr>
            <w:tcW w:w="7937" w:type="dxa"/>
            <w:vAlign w:val="center"/>
          </w:tcPr>
          <w:p w14:paraId="59FF0BF4">
            <w:pPr>
              <w:pStyle w:val="85"/>
              <w:jc w:val="both"/>
              <w:rPr>
                <w:color w:val="auto"/>
                <w:sz w:val="22"/>
                <w:szCs w:val="22"/>
              </w:rPr>
            </w:pPr>
            <w:r>
              <w:rPr>
                <w:color w:val="auto"/>
                <w:sz w:val="22"/>
                <w:szCs w:val="22"/>
              </w:rPr>
              <w:t>Выставка работ. Итоговое занятие</w:t>
            </w:r>
          </w:p>
        </w:tc>
      </w:tr>
      <w:tr w14:paraId="31EE9A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9071" w:type="dxa"/>
            <w:gridSpan w:val="2"/>
          </w:tcPr>
          <w:p w14:paraId="61CA123A">
            <w:pPr>
              <w:pStyle w:val="85"/>
              <w:jc w:val="both"/>
              <w:rPr>
                <w:color w:val="auto"/>
                <w:sz w:val="22"/>
                <w:szCs w:val="22"/>
              </w:rPr>
            </w:pPr>
            <w:r>
              <w:rPr>
                <w:color w:val="auto"/>
                <w:sz w:val="22"/>
                <w:szCs w:val="22"/>
              </w:rPr>
              <w:t>ОБЩЕЕ КОЛИЧЕСТВО УРОКОВ ПО ПРОГРАММЕ: 33</w:t>
            </w:r>
          </w:p>
        </w:tc>
      </w:tr>
    </w:tbl>
    <w:p w14:paraId="0F5508B0">
      <w:pPr>
        <w:pStyle w:val="85"/>
        <w:jc w:val="both"/>
        <w:rPr>
          <w:color w:val="auto"/>
          <w:sz w:val="22"/>
          <w:szCs w:val="22"/>
        </w:rPr>
      </w:pPr>
    </w:p>
    <w:p w14:paraId="5FE569FF">
      <w:pPr>
        <w:pStyle w:val="85"/>
        <w:jc w:val="right"/>
        <w:rPr>
          <w:color w:val="auto"/>
          <w:sz w:val="22"/>
          <w:szCs w:val="22"/>
        </w:rPr>
      </w:pPr>
      <w:r>
        <w:rPr>
          <w:color w:val="auto"/>
          <w:sz w:val="22"/>
          <w:szCs w:val="22"/>
        </w:rPr>
        <w:t>Таблица 13.1</w:t>
      </w:r>
    </w:p>
    <w:p w14:paraId="3EBC9A70">
      <w:pPr>
        <w:pStyle w:val="85"/>
        <w:jc w:val="both"/>
        <w:rPr>
          <w:color w:val="auto"/>
          <w:sz w:val="22"/>
          <w:szCs w:val="22"/>
        </w:rPr>
      </w:pPr>
    </w:p>
    <w:p w14:paraId="34E4A954">
      <w:pPr>
        <w:pStyle w:val="85"/>
        <w:jc w:val="both"/>
        <w:rPr>
          <w:color w:val="auto"/>
          <w:sz w:val="22"/>
          <w:szCs w:val="22"/>
        </w:rPr>
      </w:pPr>
      <w:r>
        <w:rPr>
          <w:color w:val="auto"/>
          <w:sz w:val="22"/>
          <w:szCs w:val="22"/>
        </w:rPr>
        <w:t>2 класс</w:t>
      </w:r>
    </w:p>
    <w:p w14:paraId="242FA693">
      <w:pPr>
        <w:pStyle w:val="85"/>
        <w:jc w:val="both"/>
        <w:rPr>
          <w:color w:val="auto"/>
          <w:sz w:val="22"/>
          <w:szCs w:val="22"/>
        </w:rPr>
      </w:pPr>
    </w:p>
    <w:tbl>
      <w:tblPr>
        <w:tblStyle w:val="1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02" w:type="dxa"/>
          <w:left w:w="62" w:type="dxa"/>
          <w:bottom w:w="102" w:type="dxa"/>
          <w:right w:w="62" w:type="dxa"/>
        </w:tblCellMar>
      </w:tblPr>
      <w:tblGrid>
        <w:gridCol w:w="1134"/>
        <w:gridCol w:w="7937"/>
      </w:tblGrid>
      <w:tr w14:paraId="28EC0F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tcPr>
          <w:p w14:paraId="03DA0D24">
            <w:pPr>
              <w:pStyle w:val="85"/>
              <w:jc w:val="center"/>
              <w:rPr>
                <w:color w:val="auto"/>
                <w:sz w:val="22"/>
                <w:szCs w:val="22"/>
              </w:rPr>
            </w:pPr>
            <w:r>
              <w:rPr>
                <w:color w:val="auto"/>
                <w:sz w:val="22"/>
                <w:szCs w:val="22"/>
              </w:rPr>
              <w:t>N урока</w:t>
            </w:r>
          </w:p>
        </w:tc>
        <w:tc>
          <w:tcPr>
            <w:tcW w:w="7937" w:type="dxa"/>
          </w:tcPr>
          <w:p w14:paraId="53B4F6D6">
            <w:pPr>
              <w:pStyle w:val="85"/>
              <w:jc w:val="center"/>
              <w:rPr>
                <w:color w:val="auto"/>
                <w:sz w:val="22"/>
                <w:szCs w:val="22"/>
              </w:rPr>
            </w:pPr>
            <w:r>
              <w:rPr>
                <w:color w:val="auto"/>
                <w:sz w:val="22"/>
                <w:szCs w:val="22"/>
              </w:rPr>
              <w:t>Тема урока</w:t>
            </w:r>
          </w:p>
        </w:tc>
      </w:tr>
      <w:tr w14:paraId="5F438E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23940E8E">
            <w:pPr>
              <w:pStyle w:val="85"/>
              <w:jc w:val="both"/>
              <w:rPr>
                <w:color w:val="auto"/>
                <w:sz w:val="22"/>
                <w:szCs w:val="22"/>
              </w:rPr>
            </w:pPr>
            <w:r>
              <w:rPr>
                <w:color w:val="auto"/>
                <w:sz w:val="22"/>
                <w:szCs w:val="22"/>
              </w:rPr>
              <w:t>Урок 1</w:t>
            </w:r>
          </w:p>
        </w:tc>
        <w:tc>
          <w:tcPr>
            <w:tcW w:w="7937" w:type="dxa"/>
            <w:vAlign w:val="center"/>
          </w:tcPr>
          <w:p w14:paraId="2CCC0175">
            <w:pPr>
              <w:pStyle w:val="85"/>
              <w:jc w:val="both"/>
              <w:rPr>
                <w:color w:val="auto"/>
                <w:sz w:val="22"/>
                <w:szCs w:val="22"/>
              </w:rPr>
            </w:pPr>
            <w:r>
              <w:rPr>
                <w:color w:val="auto"/>
                <w:sz w:val="22"/>
                <w:szCs w:val="22"/>
              </w:rPr>
              <w:t>Мастера и их профессии. Повторение и обобщение пройденного в первом классе</w:t>
            </w:r>
          </w:p>
        </w:tc>
      </w:tr>
      <w:tr w14:paraId="25A6D2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5C527C99">
            <w:pPr>
              <w:pStyle w:val="85"/>
              <w:jc w:val="both"/>
              <w:rPr>
                <w:color w:val="auto"/>
                <w:sz w:val="22"/>
                <w:szCs w:val="22"/>
              </w:rPr>
            </w:pPr>
            <w:r>
              <w:rPr>
                <w:color w:val="auto"/>
                <w:sz w:val="22"/>
                <w:szCs w:val="22"/>
              </w:rPr>
              <w:t>Урок 2</w:t>
            </w:r>
          </w:p>
        </w:tc>
        <w:tc>
          <w:tcPr>
            <w:tcW w:w="7937" w:type="dxa"/>
            <w:vAlign w:val="center"/>
          </w:tcPr>
          <w:p w14:paraId="7DC0DA62">
            <w:pPr>
              <w:pStyle w:val="85"/>
              <w:jc w:val="both"/>
              <w:rPr>
                <w:color w:val="auto"/>
                <w:sz w:val="22"/>
                <w:szCs w:val="22"/>
              </w:rPr>
            </w:pPr>
            <w:r>
              <w:rPr>
                <w:color w:val="auto"/>
                <w:sz w:val="22"/>
                <w:szCs w:val="22"/>
              </w:rPr>
              <w:t>Средства художественной выразительности: цвет, форма, размер. Общее представление</w:t>
            </w:r>
          </w:p>
        </w:tc>
      </w:tr>
      <w:tr w14:paraId="67F0B8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046CF6A8">
            <w:pPr>
              <w:pStyle w:val="85"/>
              <w:jc w:val="both"/>
              <w:rPr>
                <w:color w:val="auto"/>
                <w:sz w:val="22"/>
                <w:szCs w:val="22"/>
              </w:rPr>
            </w:pPr>
            <w:r>
              <w:rPr>
                <w:color w:val="auto"/>
                <w:sz w:val="22"/>
                <w:szCs w:val="22"/>
              </w:rPr>
              <w:t>Урок 3</w:t>
            </w:r>
          </w:p>
        </w:tc>
        <w:tc>
          <w:tcPr>
            <w:tcW w:w="7937" w:type="dxa"/>
            <w:vAlign w:val="center"/>
          </w:tcPr>
          <w:p w14:paraId="56FB1629">
            <w:pPr>
              <w:pStyle w:val="85"/>
              <w:jc w:val="both"/>
              <w:rPr>
                <w:color w:val="auto"/>
                <w:sz w:val="22"/>
                <w:szCs w:val="22"/>
              </w:rPr>
            </w:pPr>
            <w:r>
              <w:rPr>
                <w:color w:val="auto"/>
                <w:sz w:val="22"/>
                <w:szCs w:val="22"/>
              </w:rPr>
              <w:t>Средства художественной выразительности: цвет в композиции</w:t>
            </w:r>
          </w:p>
        </w:tc>
      </w:tr>
      <w:tr w14:paraId="6FA1FC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00C3A5E4">
            <w:pPr>
              <w:pStyle w:val="85"/>
              <w:jc w:val="both"/>
              <w:rPr>
                <w:color w:val="auto"/>
                <w:sz w:val="22"/>
                <w:szCs w:val="22"/>
              </w:rPr>
            </w:pPr>
            <w:r>
              <w:rPr>
                <w:color w:val="auto"/>
                <w:sz w:val="22"/>
                <w:szCs w:val="22"/>
              </w:rPr>
              <w:t>Урок 4</w:t>
            </w:r>
          </w:p>
        </w:tc>
        <w:tc>
          <w:tcPr>
            <w:tcW w:w="7937" w:type="dxa"/>
            <w:vAlign w:val="center"/>
          </w:tcPr>
          <w:p w14:paraId="32956C90">
            <w:pPr>
              <w:pStyle w:val="85"/>
              <w:jc w:val="both"/>
              <w:rPr>
                <w:color w:val="auto"/>
                <w:sz w:val="22"/>
                <w:szCs w:val="22"/>
              </w:rPr>
            </w:pPr>
            <w:r>
              <w:rPr>
                <w:color w:val="auto"/>
                <w:sz w:val="22"/>
                <w:szCs w:val="22"/>
              </w:rPr>
              <w:t>Виды цветочных композиций (центральная, вертикальная, горизонтальная)</w:t>
            </w:r>
          </w:p>
        </w:tc>
      </w:tr>
      <w:tr w14:paraId="7D0907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2F9567B3">
            <w:pPr>
              <w:pStyle w:val="85"/>
              <w:jc w:val="both"/>
              <w:rPr>
                <w:color w:val="auto"/>
                <w:sz w:val="22"/>
                <w:szCs w:val="22"/>
              </w:rPr>
            </w:pPr>
            <w:r>
              <w:rPr>
                <w:color w:val="auto"/>
                <w:sz w:val="22"/>
                <w:szCs w:val="22"/>
              </w:rPr>
              <w:t>Урок 5</w:t>
            </w:r>
          </w:p>
        </w:tc>
        <w:tc>
          <w:tcPr>
            <w:tcW w:w="7937" w:type="dxa"/>
            <w:vAlign w:val="center"/>
          </w:tcPr>
          <w:p w14:paraId="54552C0C">
            <w:pPr>
              <w:pStyle w:val="85"/>
              <w:jc w:val="both"/>
              <w:rPr>
                <w:color w:val="auto"/>
                <w:sz w:val="22"/>
                <w:szCs w:val="22"/>
              </w:rPr>
            </w:pPr>
            <w:r>
              <w:rPr>
                <w:color w:val="auto"/>
                <w:sz w:val="22"/>
                <w:szCs w:val="22"/>
              </w:rPr>
              <w:t>Светотень. Способы ее получения формообразованием белых бумажных деталей</w:t>
            </w:r>
          </w:p>
        </w:tc>
      </w:tr>
      <w:tr w14:paraId="51CB21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5BB18DAE">
            <w:pPr>
              <w:pStyle w:val="85"/>
              <w:jc w:val="both"/>
              <w:rPr>
                <w:color w:val="auto"/>
                <w:sz w:val="22"/>
                <w:szCs w:val="22"/>
              </w:rPr>
            </w:pPr>
            <w:r>
              <w:rPr>
                <w:color w:val="auto"/>
                <w:sz w:val="22"/>
                <w:szCs w:val="22"/>
              </w:rPr>
              <w:t>Урок 6</w:t>
            </w:r>
          </w:p>
        </w:tc>
        <w:tc>
          <w:tcPr>
            <w:tcW w:w="7937" w:type="dxa"/>
            <w:vAlign w:val="center"/>
          </w:tcPr>
          <w:p w14:paraId="2D519C7D">
            <w:pPr>
              <w:pStyle w:val="85"/>
              <w:jc w:val="both"/>
              <w:rPr>
                <w:color w:val="auto"/>
                <w:sz w:val="22"/>
                <w:szCs w:val="22"/>
              </w:rPr>
            </w:pPr>
            <w:r>
              <w:rPr>
                <w:color w:val="auto"/>
                <w:sz w:val="22"/>
                <w:szCs w:val="22"/>
              </w:rPr>
              <w:t>Биговка - способ сгибания тонкого картона и плотных видов бумаги</w:t>
            </w:r>
          </w:p>
        </w:tc>
      </w:tr>
      <w:tr w14:paraId="2AEAD2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06DC2223">
            <w:pPr>
              <w:pStyle w:val="85"/>
              <w:jc w:val="both"/>
              <w:rPr>
                <w:color w:val="auto"/>
                <w:sz w:val="22"/>
                <w:szCs w:val="22"/>
              </w:rPr>
            </w:pPr>
            <w:r>
              <w:rPr>
                <w:color w:val="auto"/>
                <w:sz w:val="22"/>
                <w:szCs w:val="22"/>
              </w:rPr>
              <w:t>Урок 7</w:t>
            </w:r>
          </w:p>
        </w:tc>
        <w:tc>
          <w:tcPr>
            <w:tcW w:w="7937" w:type="dxa"/>
            <w:vAlign w:val="center"/>
          </w:tcPr>
          <w:p w14:paraId="76FA98D4">
            <w:pPr>
              <w:pStyle w:val="85"/>
              <w:jc w:val="both"/>
              <w:rPr>
                <w:color w:val="auto"/>
                <w:sz w:val="22"/>
                <w:szCs w:val="22"/>
              </w:rPr>
            </w:pPr>
            <w:r>
              <w:rPr>
                <w:color w:val="auto"/>
                <w:sz w:val="22"/>
                <w:szCs w:val="22"/>
              </w:rPr>
              <w:t>Биговка по кривым линиям</w:t>
            </w:r>
          </w:p>
        </w:tc>
      </w:tr>
      <w:tr w14:paraId="1ED79A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2206D40F">
            <w:pPr>
              <w:pStyle w:val="85"/>
              <w:jc w:val="both"/>
              <w:rPr>
                <w:color w:val="auto"/>
                <w:sz w:val="22"/>
                <w:szCs w:val="22"/>
              </w:rPr>
            </w:pPr>
            <w:r>
              <w:rPr>
                <w:color w:val="auto"/>
                <w:sz w:val="22"/>
                <w:szCs w:val="22"/>
              </w:rPr>
              <w:t>Урок 8</w:t>
            </w:r>
          </w:p>
        </w:tc>
        <w:tc>
          <w:tcPr>
            <w:tcW w:w="7937" w:type="dxa"/>
            <w:vAlign w:val="center"/>
          </w:tcPr>
          <w:p w14:paraId="2284A511">
            <w:pPr>
              <w:pStyle w:val="85"/>
              <w:jc w:val="both"/>
              <w:rPr>
                <w:color w:val="auto"/>
                <w:sz w:val="22"/>
                <w:szCs w:val="22"/>
              </w:rPr>
            </w:pPr>
            <w:r>
              <w:rPr>
                <w:color w:val="auto"/>
                <w:sz w:val="22"/>
                <w:szCs w:val="22"/>
              </w:rPr>
              <w:t>Изготовление сложных выпуклых форм на деталях из тонкого картона и плотных видов бумаги</w:t>
            </w:r>
          </w:p>
        </w:tc>
      </w:tr>
      <w:tr w14:paraId="5AEEA3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296B14DB">
            <w:pPr>
              <w:pStyle w:val="85"/>
              <w:jc w:val="both"/>
              <w:rPr>
                <w:color w:val="auto"/>
                <w:sz w:val="22"/>
                <w:szCs w:val="22"/>
              </w:rPr>
            </w:pPr>
            <w:r>
              <w:rPr>
                <w:color w:val="auto"/>
                <w:sz w:val="22"/>
                <w:szCs w:val="22"/>
              </w:rPr>
              <w:t>Урок 9</w:t>
            </w:r>
          </w:p>
        </w:tc>
        <w:tc>
          <w:tcPr>
            <w:tcW w:w="7937" w:type="dxa"/>
            <w:vAlign w:val="center"/>
          </w:tcPr>
          <w:p w14:paraId="4B994022">
            <w:pPr>
              <w:pStyle w:val="85"/>
              <w:jc w:val="both"/>
              <w:rPr>
                <w:color w:val="auto"/>
                <w:sz w:val="22"/>
                <w:szCs w:val="22"/>
              </w:rPr>
            </w:pPr>
            <w:r>
              <w:rPr>
                <w:color w:val="auto"/>
                <w:sz w:val="22"/>
                <w:szCs w:val="22"/>
              </w:rPr>
              <w:t>Конструирование складной открытки со вставкой</w:t>
            </w:r>
          </w:p>
        </w:tc>
      </w:tr>
      <w:tr w14:paraId="6A6EA4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34F3E26D">
            <w:pPr>
              <w:pStyle w:val="85"/>
              <w:jc w:val="both"/>
              <w:rPr>
                <w:color w:val="auto"/>
                <w:sz w:val="22"/>
                <w:szCs w:val="22"/>
              </w:rPr>
            </w:pPr>
            <w:r>
              <w:rPr>
                <w:color w:val="auto"/>
                <w:sz w:val="22"/>
                <w:szCs w:val="22"/>
              </w:rPr>
              <w:t>Урок 10</w:t>
            </w:r>
          </w:p>
        </w:tc>
        <w:tc>
          <w:tcPr>
            <w:tcW w:w="7937" w:type="dxa"/>
            <w:vAlign w:val="center"/>
          </w:tcPr>
          <w:p w14:paraId="3AB43F81">
            <w:pPr>
              <w:pStyle w:val="85"/>
              <w:jc w:val="both"/>
              <w:rPr>
                <w:color w:val="auto"/>
                <w:sz w:val="22"/>
                <w:szCs w:val="22"/>
              </w:rPr>
            </w:pPr>
            <w:r>
              <w:rPr>
                <w:color w:val="auto"/>
                <w:sz w:val="22"/>
                <w:szCs w:val="22"/>
              </w:rPr>
              <w:t>Технология и технологические операции ручной обработки материалов (общее представление)</w:t>
            </w:r>
          </w:p>
        </w:tc>
      </w:tr>
      <w:tr w14:paraId="22C973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72C0AF2A">
            <w:pPr>
              <w:pStyle w:val="85"/>
              <w:jc w:val="both"/>
              <w:rPr>
                <w:color w:val="auto"/>
                <w:sz w:val="22"/>
                <w:szCs w:val="22"/>
              </w:rPr>
            </w:pPr>
            <w:r>
              <w:rPr>
                <w:color w:val="auto"/>
                <w:sz w:val="22"/>
                <w:szCs w:val="22"/>
              </w:rPr>
              <w:t>Урок 11</w:t>
            </w:r>
          </w:p>
        </w:tc>
        <w:tc>
          <w:tcPr>
            <w:tcW w:w="7937" w:type="dxa"/>
            <w:vAlign w:val="center"/>
          </w:tcPr>
          <w:p w14:paraId="00C7EE4C">
            <w:pPr>
              <w:pStyle w:val="85"/>
              <w:jc w:val="both"/>
              <w:rPr>
                <w:color w:val="auto"/>
                <w:sz w:val="22"/>
                <w:szCs w:val="22"/>
              </w:rPr>
            </w:pPr>
            <w:r>
              <w:rPr>
                <w:color w:val="auto"/>
                <w:sz w:val="22"/>
                <w:szCs w:val="22"/>
              </w:rPr>
              <w:t>Линейка - чертежный (контрольно-измерительный) инструмент. Понятие "чертеж". Линии чертежа (основная толстая, тонкая, штрих и два пунктира)</w:t>
            </w:r>
          </w:p>
        </w:tc>
      </w:tr>
      <w:tr w14:paraId="63707D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0F32DFAE">
            <w:pPr>
              <w:pStyle w:val="85"/>
              <w:jc w:val="both"/>
              <w:rPr>
                <w:color w:val="auto"/>
                <w:sz w:val="22"/>
                <w:szCs w:val="22"/>
              </w:rPr>
            </w:pPr>
            <w:r>
              <w:rPr>
                <w:color w:val="auto"/>
                <w:sz w:val="22"/>
                <w:szCs w:val="22"/>
              </w:rPr>
              <w:t>Урок 12</w:t>
            </w:r>
          </w:p>
        </w:tc>
        <w:tc>
          <w:tcPr>
            <w:tcW w:w="7937" w:type="dxa"/>
            <w:vAlign w:val="center"/>
          </w:tcPr>
          <w:p w14:paraId="09A21810">
            <w:pPr>
              <w:pStyle w:val="85"/>
              <w:jc w:val="both"/>
              <w:rPr>
                <w:color w:val="auto"/>
                <w:sz w:val="22"/>
                <w:szCs w:val="22"/>
              </w:rPr>
            </w:pPr>
            <w:r>
              <w:rPr>
                <w:color w:val="auto"/>
                <w:sz w:val="22"/>
                <w:szCs w:val="22"/>
              </w:rPr>
              <w:t>Понятие "чертеж". Линии чертежа (основная толстая, тонкая, штрих и два пунктира)</w:t>
            </w:r>
          </w:p>
        </w:tc>
      </w:tr>
      <w:tr w14:paraId="52E0BB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374DFA46">
            <w:pPr>
              <w:pStyle w:val="85"/>
              <w:jc w:val="both"/>
              <w:rPr>
                <w:color w:val="auto"/>
                <w:sz w:val="22"/>
                <w:szCs w:val="22"/>
              </w:rPr>
            </w:pPr>
            <w:r>
              <w:rPr>
                <w:color w:val="auto"/>
                <w:sz w:val="22"/>
                <w:szCs w:val="22"/>
              </w:rPr>
              <w:t>Урок 13</w:t>
            </w:r>
          </w:p>
        </w:tc>
        <w:tc>
          <w:tcPr>
            <w:tcW w:w="7937" w:type="dxa"/>
            <w:vAlign w:val="center"/>
          </w:tcPr>
          <w:p w14:paraId="477C62C7">
            <w:pPr>
              <w:pStyle w:val="85"/>
              <w:jc w:val="both"/>
              <w:rPr>
                <w:color w:val="auto"/>
                <w:sz w:val="22"/>
                <w:szCs w:val="22"/>
              </w:rPr>
            </w:pPr>
            <w:r>
              <w:rPr>
                <w:color w:val="auto"/>
                <w:sz w:val="22"/>
                <w:szCs w:val="22"/>
              </w:rPr>
              <w:t>Разметка прямоугольных деталей от двух прямых углов по линейке</w:t>
            </w:r>
          </w:p>
        </w:tc>
      </w:tr>
      <w:tr w14:paraId="177132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451CF7E1">
            <w:pPr>
              <w:pStyle w:val="85"/>
              <w:jc w:val="both"/>
              <w:rPr>
                <w:color w:val="auto"/>
                <w:sz w:val="22"/>
                <w:szCs w:val="22"/>
              </w:rPr>
            </w:pPr>
            <w:r>
              <w:rPr>
                <w:color w:val="auto"/>
                <w:sz w:val="22"/>
                <w:szCs w:val="22"/>
              </w:rPr>
              <w:t>Урок 14</w:t>
            </w:r>
          </w:p>
        </w:tc>
        <w:tc>
          <w:tcPr>
            <w:tcW w:w="7937" w:type="dxa"/>
            <w:vAlign w:val="center"/>
          </w:tcPr>
          <w:p w14:paraId="4B5D27D8">
            <w:pPr>
              <w:pStyle w:val="85"/>
              <w:jc w:val="both"/>
              <w:rPr>
                <w:color w:val="auto"/>
                <w:sz w:val="22"/>
                <w:szCs w:val="22"/>
              </w:rPr>
            </w:pPr>
            <w:r>
              <w:rPr>
                <w:color w:val="auto"/>
                <w:sz w:val="22"/>
                <w:szCs w:val="22"/>
              </w:rPr>
              <w:t>Конструирование усложненных изделий из бумаги</w:t>
            </w:r>
          </w:p>
        </w:tc>
      </w:tr>
      <w:tr w14:paraId="3FEC29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100A4394">
            <w:pPr>
              <w:pStyle w:val="85"/>
              <w:jc w:val="both"/>
              <w:rPr>
                <w:color w:val="auto"/>
                <w:sz w:val="22"/>
                <w:szCs w:val="22"/>
              </w:rPr>
            </w:pPr>
            <w:r>
              <w:rPr>
                <w:color w:val="auto"/>
                <w:sz w:val="22"/>
                <w:szCs w:val="22"/>
              </w:rPr>
              <w:t>Урок 15</w:t>
            </w:r>
          </w:p>
        </w:tc>
        <w:tc>
          <w:tcPr>
            <w:tcW w:w="7937" w:type="dxa"/>
            <w:vAlign w:val="center"/>
          </w:tcPr>
          <w:p w14:paraId="2E25B3E1">
            <w:pPr>
              <w:pStyle w:val="85"/>
              <w:jc w:val="both"/>
              <w:rPr>
                <w:color w:val="auto"/>
                <w:sz w:val="22"/>
                <w:szCs w:val="22"/>
              </w:rPr>
            </w:pPr>
            <w:r>
              <w:rPr>
                <w:color w:val="auto"/>
                <w:sz w:val="22"/>
                <w:szCs w:val="22"/>
              </w:rPr>
              <w:t>Конструирование усложненных изделий из бумаги</w:t>
            </w:r>
          </w:p>
        </w:tc>
      </w:tr>
      <w:tr w14:paraId="51E227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3F1A28CA">
            <w:pPr>
              <w:pStyle w:val="85"/>
              <w:jc w:val="both"/>
              <w:rPr>
                <w:color w:val="auto"/>
                <w:sz w:val="22"/>
                <w:szCs w:val="22"/>
              </w:rPr>
            </w:pPr>
            <w:r>
              <w:rPr>
                <w:color w:val="auto"/>
                <w:sz w:val="22"/>
                <w:szCs w:val="22"/>
              </w:rPr>
              <w:t>Урок 16</w:t>
            </w:r>
          </w:p>
        </w:tc>
        <w:tc>
          <w:tcPr>
            <w:tcW w:w="7937" w:type="dxa"/>
            <w:vAlign w:val="center"/>
          </w:tcPr>
          <w:p w14:paraId="31D0404B">
            <w:pPr>
              <w:pStyle w:val="85"/>
              <w:jc w:val="both"/>
              <w:rPr>
                <w:color w:val="auto"/>
                <w:sz w:val="22"/>
                <w:szCs w:val="22"/>
              </w:rPr>
            </w:pPr>
            <w:r>
              <w:rPr>
                <w:color w:val="auto"/>
                <w:sz w:val="22"/>
                <w:szCs w:val="22"/>
              </w:rPr>
              <w:t>Угольник - чертежный (контрольно-измерительный) инструмент. Разметка прямоугольных деталей по угольнику</w:t>
            </w:r>
          </w:p>
        </w:tc>
      </w:tr>
      <w:tr w14:paraId="01AE58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21C24E2F">
            <w:pPr>
              <w:pStyle w:val="85"/>
              <w:jc w:val="both"/>
              <w:rPr>
                <w:color w:val="auto"/>
                <w:sz w:val="22"/>
                <w:szCs w:val="22"/>
              </w:rPr>
            </w:pPr>
            <w:r>
              <w:rPr>
                <w:color w:val="auto"/>
                <w:sz w:val="22"/>
                <w:szCs w:val="22"/>
              </w:rPr>
              <w:t>Урок 17</w:t>
            </w:r>
          </w:p>
        </w:tc>
        <w:tc>
          <w:tcPr>
            <w:tcW w:w="7937" w:type="dxa"/>
            <w:vAlign w:val="center"/>
          </w:tcPr>
          <w:p w14:paraId="77F27ACE">
            <w:pPr>
              <w:pStyle w:val="85"/>
              <w:jc w:val="both"/>
              <w:rPr>
                <w:color w:val="auto"/>
                <w:sz w:val="22"/>
                <w:szCs w:val="22"/>
              </w:rPr>
            </w:pPr>
            <w:r>
              <w:rPr>
                <w:color w:val="auto"/>
                <w:sz w:val="22"/>
                <w:szCs w:val="22"/>
              </w:rPr>
              <w:t>Циркуль. Его назначение, конструкция, приемы работы. Круг, окружность, радиус</w:t>
            </w:r>
          </w:p>
        </w:tc>
      </w:tr>
      <w:tr w14:paraId="0D350E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28DEE684">
            <w:pPr>
              <w:pStyle w:val="85"/>
              <w:jc w:val="both"/>
              <w:rPr>
                <w:color w:val="auto"/>
                <w:sz w:val="22"/>
                <w:szCs w:val="22"/>
              </w:rPr>
            </w:pPr>
            <w:r>
              <w:rPr>
                <w:color w:val="auto"/>
                <w:sz w:val="22"/>
                <w:szCs w:val="22"/>
              </w:rPr>
              <w:t>Урок 18</w:t>
            </w:r>
          </w:p>
        </w:tc>
        <w:tc>
          <w:tcPr>
            <w:tcW w:w="7937" w:type="dxa"/>
            <w:vAlign w:val="center"/>
          </w:tcPr>
          <w:p w14:paraId="456AE4F6">
            <w:pPr>
              <w:pStyle w:val="85"/>
              <w:jc w:val="both"/>
              <w:rPr>
                <w:color w:val="auto"/>
                <w:sz w:val="22"/>
                <w:szCs w:val="22"/>
              </w:rPr>
            </w:pPr>
            <w:r>
              <w:rPr>
                <w:color w:val="auto"/>
                <w:sz w:val="22"/>
                <w:szCs w:val="22"/>
              </w:rPr>
              <w:t>Чертеж круга. Деление круглых деталей на части. Получение секторов из круга</w:t>
            </w:r>
          </w:p>
        </w:tc>
      </w:tr>
      <w:tr w14:paraId="305ECC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190389AF">
            <w:pPr>
              <w:pStyle w:val="85"/>
              <w:jc w:val="both"/>
              <w:rPr>
                <w:color w:val="auto"/>
                <w:sz w:val="22"/>
                <w:szCs w:val="22"/>
              </w:rPr>
            </w:pPr>
            <w:r>
              <w:rPr>
                <w:color w:val="auto"/>
                <w:sz w:val="22"/>
                <w:szCs w:val="22"/>
              </w:rPr>
              <w:t>Урок 19</w:t>
            </w:r>
          </w:p>
        </w:tc>
        <w:tc>
          <w:tcPr>
            <w:tcW w:w="7937" w:type="dxa"/>
            <w:vAlign w:val="center"/>
          </w:tcPr>
          <w:p w14:paraId="4F7810E3">
            <w:pPr>
              <w:pStyle w:val="85"/>
              <w:jc w:val="both"/>
              <w:rPr>
                <w:color w:val="auto"/>
                <w:sz w:val="22"/>
                <w:szCs w:val="22"/>
              </w:rPr>
            </w:pPr>
            <w:r>
              <w:rPr>
                <w:color w:val="auto"/>
                <w:sz w:val="22"/>
                <w:szCs w:val="22"/>
              </w:rPr>
              <w:t>Подвижное и соединение деталей. Шарнир. Соединение деталей на шпильку</w:t>
            </w:r>
          </w:p>
        </w:tc>
      </w:tr>
      <w:tr w14:paraId="22054E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24D7A5F0">
            <w:pPr>
              <w:pStyle w:val="85"/>
              <w:jc w:val="both"/>
              <w:rPr>
                <w:color w:val="auto"/>
                <w:sz w:val="22"/>
                <w:szCs w:val="22"/>
              </w:rPr>
            </w:pPr>
            <w:r>
              <w:rPr>
                <w:color w:val="auto"/>
                <w:sz w:val="22"/>
                <w:szCs w:val="22"/>
              </w:rPr>
              <w:t>Урок 20</w:t>
            </w:r>
          </w:p>
        </w:tc>
        <w:tc>
          <w:tcPr>
            <w:tcW w:w="7937" w:type="dxa"/>
            <w:vAlign w:val="center"/>
          </w:tcPr>
          <w:p w14:paraId="51DAF4FF">
            <w:pPr>
              <w:pStyle w:val="85"/>
              <w:jc w:val="both"/>
              <w:rPr>
                <w:color w:val="auto"/>
                <w:sz w:val="22"/>
                <w:szCs w:val="22"/>
              </w:rPr>
            </w:pPr>
            <w:r>
              <w:rPr>
                <w:color w:val="auto"/>
                <w:sz w:val="22"/>
                <w:szCs w:val="22"/>
              </w:rPr>
              <w:t>Подвижное соединение деталей шарнира на проволоку</w:t>
            </w:r>
          </w:p>
        </w:tc>
      </w:tr>
      <w:tr w14:paraId="2FE123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02C6D4FE">
            <w:pPr>
              <w:pStyle w:val="85"/>
              <w:jc w:val="both"/>
              <w:rPr>
                <w:color w:val="auto"/>
                <w:sz w:val="22"/>
                <w:szCs w:val="22"/>
              </w:rPr>
            </w:pPr>
            <w:r>
              <w:rPr>
                <w:color w:val="auto"/>
                <w:sz w:val="22"/>
                <w:szCs w:val="22"/>
              </w:rPr>
              <w:t>Урок 21</w:t>
            </w:r>
          </w:p>
        </w:tc>
        <w:tc>
          <w:tcPr>
            <w:tcW w:w="7937" w:type="dxa"/>
            <w:vAlign w:val="center"/>
          </w:tcPr>
          <w:p w14:paraId="47440010">
            <w:pPr>
              <w:pStyle w:val="85"/>
              <w:jc w:val="both"/>
              <w:rPr>
                <w:color w:val="auto"/>
                <w:sz w:val="22"/>
                <w:szCs w:val="22"/>
              </w:rPr>
            </w:pPr>
            <w:r>
              <w:rPr>
                <w:color w:val="auto"/>
                <w:sz w:val="22"/>
                <w:szCs w:val="22"/>
              </w:rPr>
              <w:t>Шарнирный механизм по типу игрушки-дергунчик</w:t>
            </w:r>
          </w:p>
        </w:tc>
      </w:tr>
      <w:tr w14:paraId="78A22B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0A812ECF">
            <w:pPr>
              <w:pStyle w:val="85"/>
              <w:jc w:val="both"/>
              <w:rPr>
                <w:color w:val="auto"/>
                <w:sz w:val="22"/>
                <w:szCs w:val="22"/>
              </w:rPr>
            </w:pPr>
            <w:r>
              <w:rPr>
                <w:color w:val="auto"/>
                <w:sz w:val="22"/>
                <w:szCs w:val="22"/>
              </w:rPr>
              <w:t>Урок 22</w:t>
            </w:r>
          </w:p>
        </w:tc>
        <w:tc>
          <w:tcPr>
            <w:tcW w:w="7937" w:type="dxa"/>
            <w:vAlign w:val="center"/>
          </w:tcPr>
          <w:p w14:paraId="6000BD42">
            <w:pPr>
              <w:pStyle w:val="85"/>
              <w:jc w:val="both"/>
              <w:rPr>
                <w:color w:val="auto"/>
                <w:sz w:val="22"/>
                <w:szCs w:val="22"/>
              </w:rPr>
            </w:pPr>
            <w:r>
              <w:rPr>
                <w:color w:val="auto"/>
                <w:sz w:val="22"/>
                <w:szCs w:val="22"/>
              </w:rPr>
              <w:t>"Щелевой замок" - способ разъемного соединения деталей</w:t>
            </w:r>
          </w:p>
        </w:tc>
      </w:tr>
      <w:tr w14:paraId="0BE950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22DA111E">
            <w:pPr>
              <w:pStyle w:val="85"/>
              <w:jc w:val="both"/>
              <w:rPr>
                <w:color w:val="auto"/>
                <w:sz w:val="22"/>
                <w:szCs w:val="22"/>
              </w:rPr>
            </w:pPr>
            <w:r>
              <w:rPr>
                <w:color w:val="auto"/>
                <w:sz w:val="22"/>
                <w:szCs w:val="22"/>
              </w:rPr>
              <w:t>Урок 23</w:t>
            </w:r>
          </w:p>
        </w:tc>
        <w:tc>
          <w:tcPr>
            <w:tcW w:w="7937" w:type="dxa"/>
            <w:vAlign w:val="center"/>
          </w:tcPr>
          <w:p w14:paraId="22B7DD9A">
            <w:pPr>
              <w:pStyle w:val="85"/>
              <w:jc w:val="both"/>
              <w:rPr>
                <w:color w:val="auto"/>
                <w:sz w:val="22"/>
                <w:szCs w:val="22"/>
              </w:rPr>
            </w:pPr>
            <w:r>
              <w:rPr>
                <w:color w:val="auto"/>
                <w:sz w:val="22"/>
                <w:szCs w:val="22"/>
              </w:rPr>
              <w:t>Разъемное соединение вращающихся деталей</w:t>
            </w:r>
          </w:p>
        </w:tc>
      </w:tr>
      <w:tr w14:paraId="361363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5FA7B362">
            <w:pPr>
              <w:pStyle w:val="85"/>
              <w:jc w:val="both"/>
              <w:rPr>
                <w:color w:val="auto"/>
                <w:sz w:val="22"/>
                <w:szCs w:val="22"/>
              </w:rPr>
            </w:pPr>
            <w:r>
              <w:rPr>
                <w:color w:val="auto"/>
                <w:sz w:val="22"/>
                <w:szCs w:val="22"/>
              </w:rPr>
              <w:t>Урок 24</w:t>
            </w:r>
          </w:p>
        </w:tc>
        <w:tc>
          <w:tcPr>
            <w:tcW w:w="7937" w:type="dxa"/>
            <w:vAlign w:val="center"/>
          </w:tcPr>
          <w:p w14:paraId="385998D1">
            <w:pPr>
              <w:pStyle w:val="85"/>
              <w:jc w:val="both"/>
              <w:rPr>
                <w:color w:val="auto"/>
                <w:sz w:val="22"/>
                <w:szCs w:val="22"/>
              </w:rPr>
            </w:pPr>
            <w:r>
              <w:rPr>
                <w:color w:val="auto"/>
                <w:sz w:val="22"/>
                <w:szCs w:val="22"/>
              </w:rPr>
              <w:t>Транспорт и машины специального назначения</w:t>
            </w:r>
          </w:p>
        </w:tc>
      </w:tr>
      <w:tr w14:paraId="311CB0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17651B1D">
            <w:pPr>
              <w:pStyle w:val="85"/>
              <w:jc w:val="both"/>
              <w:rPr>
                <w:color w:val="auto"/>
                <w:sz w:val="22"/>
                <w:szCs w:val="22"/>
              </w:rPr>
            </w:pPr>
            <w:r>
              <w:rPr>
                <w:color w:val="auto"/>
                <w:sz w:val="22"/>
                <w:szCs w:val="22"/>
              </w:rPr>
              <w:t>Урок 25</w:t>
            </w:r>
          </w:p>
        </w:tc>
        <w:tc>
          <w:tcPr>
            <w:tcW w:w="7937" w:type="dxa"/>
            <w:vAlign w:val="center"/>
          </w:tcPr>
          <w:p w14:paraId="267BF135">
            <w:pPr>
              <w:pStyle w:val="85"/>
              <w:jc w:val="both"/>
              <w:rPr>
                <w:color w:val="auto"/>
                <w:sz w:val="22"/>
                <w:szCs w:val="22"/>
              </w:rPr>
            </w:pPr>
            <w:r>
              <w:rPr>
                <w:color w:val="auto"/>
                <w:sz w:val="22"/>
                <w:szCs w:val="22"/>
              </w:rPr>
              <w:t>Макет автомобиля</w:t>
            </w:r>
          </w:p>
        </w:tc>
      </w:tr>
      <w:tr w14:paraId="196258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654988A2">
            <w:pPr>
              <w:pStyle w:val="85"/>
              <w:jc w:val="both"/>
              <w:rPr>
                <w:color w:val="auto"/>
                <w:sz w:val="22"/>
                <w:szCs w:val="22"/>
              </w:rPr>
            </w:pPr>
            <w:r>
              <w:rPr>
                <w:color w:val="auto"/>
                <w:sz w:val="22"/>
                <w:szCs w:val="22"/>
              </w:rPr>
              <w:t>Урок 26</w:t>
            </w:r>
          </w:p>
        </w:tc>
        <w:tc>
          <w:tcPr>
            <w:tcW w:w="7937" w:type="dxa"/>
            <w:vAlign w:val="center"/>
          </w:tcPr>
          <w:p w14:paraId="070FA3D0">
            <w:pPr>
              <w:pStyle w:val="85"/>
              <w:jc w:val="both"/>
              <w:rPr>
                <w:color w:val="auto"/>
                <w:sz w:val="22"/>
                <w:szCs w:val="22"/>
              </w:rPr>
            </w:pPr>
            <w:r>
              <w:rPr>
                <w:color w:val="auto"/>
                <w:sz w:val="22"/>
                <w:szCs w:val="22"/>
              </w:rPr>
              <w:t>Натуральные ткани, трикотажное полотно, нетканые материалы</w:t>
            </w:r>
          </w:p>
        </w:tc>
      </w:tr>
      <w:tr w14:paraId="57863C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4FDA7595">
            <w:pPr>
              <w:pStyle w:val="85"/>
              <w:jc w:val="both"/>
              <w:rPr>
                <w:color w:val="auto"/>
                <w:sz w:val="22"/>
                <w:szCs w:val="22"/>
              </w:rPr>
            </w:pPr>
            <w:r>
              <w:rPr>
                <w:color w:val="auto"/>
                <w:sz w:val="22"/>
                <w:szCs w:val="22"/>
              </w:rPr>
              <w:t>Урок 27</w:t>
            </w:r>
          </w:p>
        </w:tc>
        <w:tc>
          <w:tcPr>
            <w:tcW w:w="7937" w:type="dxa"/>
            <w:vAlign w:val="center"/>
          </w:tcPr>
          <w:p w14:paraId="4C73C475">
            <w:pPr>
              <w:pStyle w:val="85"/>
              <w:jc w:val="both"/>
              <w:rPr>
                <w:color w:val="auto"/>
                <w:sz w:val="22"/>
                <w:szCs w:val="22"/>
              </w:rPr>
            </w:pPr>
            <w:r>
              <w:rPr>
                <w:color w:val="auto"/>
                <w:sz w:val="22"/>
                <w:szCs w:val="22"/>
              </w:rPr>
              <w:t>Виды ниток. Их назначение, использование</w:t>
            </w:r>
          </w:p>
        </w:tc>
      </w:tr>
      <w:tr w14:paraId="2BA6F8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7F75B724">
            <w:pPr>
              <w:pStyle w:val="85"/>
              <w:jc w:val="both"/>
              <w:rPr>
                <w:color w:val="auto"/>
                <w:sz w:val="22"/>
                <w:szCs w:val="22"/>
              </w:rPr>
            </w:pPr>
            <w:r>
              <w:rPr>
                <w:color w:val="auto"/>
                <w:sz w:val="22"/>
                <w:szCs w:val="22"/>
              </w:rPr>
              <w:t>Урок 28</w:t>
            </w:r>
          </w:p>
        </w:tc>
        <w:tc>
          <w:tcPr>
            <w:tcW w:w="7937" w:type="dxa"/>
            <w:vAlign w:val="center"/>
          </w:tcPr>
          <w:p w14:paraId="632FD34F">
            <w:pPr>
              <w:pStyle w:val="85"/>
              <w:jc w:val="both"/>
              <w:rPr>
                <w:color w:val="auto"/>
                <w:sz w:val="22"/>
                <w:szCs w:val="22"/>
              </w:rPr>
            </w:pPr>
            <w:r>
              <w:rPr>
                <w:color w:val="auto"/>
                <w:sz w:val="22"/>
                <w:szCs w:val="22"/>
              </w:rPr>
              <w:t>Строчка косого стежка. Назначение. Безузелковое закрепление нитки на ткани. Зашивания разреза</w:t>
            </w:r>
          </w:p>
        </w:tc>
      </w:tr>
      <w:tr w14:paraId="1DDB83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65BF72E1">
            <w:pPr>
              <w:pStyle w:val="85"/>
              <w:jc w:val="both"/>
              <w:rPr>
                <w:color w:val="auto"/>
                <w:sz w:val="22"/>
                <w:szCs w:val="22"/>
              </w:rPr>
            </w:pPr>
            <w:r>
              <w:rPr>
                <w:color w:val="auto"/>
                <w:sz w:val="22"/>
                <w:szCs w:val="22"/>
              </w:rPr>
              <w:t>Урок 29</w:t>
            </w:r>
          </w:p>
        </w:tc>
        <w:tc>
          <w:tcPr>
            <w:tcW w:w="7937" w:type="dxa"/>
            <w:vAlign w:val="center"/>
          </w:tcPr>
          <w:p w14:paraId="719C5312">
            <w:pPr>
              <w:pStyle w:val="85"/>
              <w:jc w:val="both"/>
              <w:rPr>
                <w:color w:val="auto"/>
                <w:sz w:val="22"/>
                <w:szCs w:val="22"/>
              </w:rPr>
            </w:pPr>
            <w:r>
              <w:rPr>
                <w:color w:val="auto"/>
                <w:sz w:val="22"/>
                <w:szCs w:val="22"/>
              </w:rPr>
              <w:t>Разметка и выкраивание прямоугольного швейного изделия. Отделка вышивкой</w:t>
            </w:r>
          </w:p>
        </w:tc>
      </w:tr>
      <w:tr w14:paraId="481D31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08583B92">
            <w:pPr>
              <w:pStyle w:val="85"/>
              <w:jc w:val="both"/>
              <w:rPr>
                <w:color w:val="auto"/>
                <w:sz w:val="22"/>
                <w:szCs w:val="22"/>
              </w:rPr>
            </w:pPr>
            <w:r>
              <w:rPr>
                <w:color w:val="auto"/>
                <w:sz w:val="22"/>
                <w:szCs w:val="22"/>
              </w:rPr>
              <w:t>Урок 30</w:t>
            </w:r>
          </w:p>
        </w:tc>
        <w:tc>
          <w:tcPr>
            <w:tcW w:w="7937" w:type="dxa"/>
            <w:vAlign w:val="center"/>
          </w:tcPr>
          <w:p w14:paraId="7880A94F">
            <w:pPr>
              <w:pStyle w:val="85"/>
              <w:jc w:val="both"/>
              <w:rPr>
                <w:color w:val="auto"/>
                <w:sz w:val="22"/>
                <w:szCs w:val="22"/>
              </w:rPr>
            </w:pPr>
            <w:r>
              <w:rPr>
                <w:color w:val="auto"/>
                <w:sz w:val="22"/>
                <w:szCs w:val="22"/>
              </w:rPr>
              <w:t>Сборка, сшивание швейного изделия</w:t>
            </w:r>
          </w:p>
        </w:tc>
      </w:tr>
      <w:tr w14:paraId="59584E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2DB69ABB">
            <w:pPr>
              <w:pStyle w:val="85"/>
              <w:jc w:val="both"/>
              <w:rPr>
                <w:color w:val="auto"/>
                <w:sz w:val="22"/>
                <w:szCs w:val="22"/>
              </w:rPr>
            </w:pPr>
            <w:r>
              <w:rPr>
                <w:color w:val="auto"/>
                <w:sz w:val="22"/>
                <w:szCs w:val="22"/>
              </w:rPr>
              <w:t>Урок 31</w:t>
            </w:r>
          </w:p>
        </w:tc>
        <w:tc>
          <w:tcPr>
            <w:tcW w:w="7937" w:type="dxa"/>
            <w:vAlign w:val="center"/>
          </w:tcPr>
          <w:p w14:paraId="0BCB57C1">
            <w:pPr>
              <w:pStyle w:val="85"/>
              <w:jc w:val="both"/>
              <w:rPr>
                <w:color w:val="auto"/>
                <w:sz w:val="22"/>
                <w:szCs w:val="22"/>
              </w:rPr>
            </w:pPr>
            <w:r>
              <w:rPr>
                <w:color w:val="auto"/>
                <w:sz w:val="22"/>
                <w:szCs w:val="22"/>
              </w:rPr>
              <w:t>Лекало. Разметка и выкраивание деталей швейного изделия по лекалу</w:t>
            </w:r>
          </w:p>
        </w:tc>
      </w:tr>
      <w:tr w14:paraId="6ADA6D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35F56975">
            <w:pPr>
              <w:pStyle w:val="85"/>
              <w:jc w:val="both"/>
              <w:rPr>
                <w:color w:val="auto"/>
                <w:sz w:val="22"/>
                <w:szCs w:val="22"/>
              </w:rPr>
            </w:pPr>
            <w:r>
              <w:rPr>
                <w:color w:val="auto"/>
                <w:sz w:val="22"/>
                <w:szCs w:val="22"/>
              </w:rPr>
              <w:t>Урок 32</w:t>
            </w:r>
          </w:p>
        </w:tc>
        <w:tc>
          <w:tcPr>
            <w:tcW w:w="7937" w:type="dxa"/>
            <w:vAlign w:val="center"/>
          </w:tcPr>
          <w:p w14:paraId="4BCE3441">
            <w:pPr>
              <w:pStyle w:val="85"/>
              <w:jc w:val="both"/>
              <w:rPr>
                <w:color w:val="auto"/>
                <w:sz w:val="22"/>
                <w:szCs w:val="22"/>
              </w:rPr>
            </w:pPr>
            <w:r>
              <w:rPr>
                <w:color w:val="auto"/>
                <w:sz w:val="22"/>
                <w:szCs w:val="22"/>
              </w:rPr>
              <w:t>Изготовление швейного изделия с отделкой вышивкой</w:t>
            </w:r>
          </w:p>
        </w:tc>
      </w:tr>
      <w:tr w14:paraId="3A0AE7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49F3E00C">
            <w:pPr>
              <w:pStyle w:val="85"/>
              <w:jc w:val="both"/>
              <w:rPr>
                <w:color w:val="auto"/>
                <w:sz w:val="22"/>
                <w:szCs w:val="22"/>
              </w:rPr>
            </w:pPr>
            <w:r>
              <w:rPr>
                <w:color w:val="auto"/>
                <w:sz w:val="22"/>
                <w:szCs w:val="22"/>
              </w:rPr>
              <w:t>Урок 33</w:t>
            </w:r>
          </w:p>
        </w:tc>
        <w:tc>
          <w:tcPr>
            <w:tcW w:w="7937" w:type="dxa"/>
            <w:vAlign w:val="center"/>
          </w:tcPr>
          <w:p w14:paraId="412765B7">
            <w:pPr>
              <w:pStyle w:val="85"/>
              <w:jc w:val="both"/>
              <w:rPr>
                <w:color w:val="auto"/>
                <w:sz w:val="22"/>
                <w:szCs w:val="22"/>
              </w:rPr>
            </w:pPr>
            <w:r>
              <w:rPr>
                <w:color w:val="auto"/>
                <w:sz w:val="22"/>
                <w:szCs w:val="22"/>
              </w:rPr>
              <w:t>Изготовление швейного изделия с отделкой вышивкой</w:t>
            </w:r>
          </w:p>
        </w:tc>
      </w:tr>
      <w:tr w14:paraId="6A30D1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76858D99">
            <w:pPr>
              <w:pStyle w:val="85"/>
              <w:jc w:val="both"/>
              <w:rPr>
                <w:color w:val="auto"/>
                <w:sz w:val="22"/>
                <w:szCs w:val="22"/>
              </w:rPr>
            </w:pPr>
            <w:r>
              <w:rPr>
                <w:color w:val="auto"/>
                <w:sz w:val="22"/>
                <w:szCs w:val="22"/>
              </w:rPr>
              <w:t>Урок 34</w:t>
            </w:r>
          </w:p>
        </w:tc>
        <w:tc>
          <w:tcPr>
            <w:tcW w:w="7937" w:type="dxa"/>
            <w:vAlign w:val="center"/>
          </w:tcPr>
          <w:p w14:paraId="2C10C4D5">
            <w:pPr>
              <w:pStyle w:val="85"/>
              <w:jc w:val="both"/>
              <w:rPr>
                <w:color w:val="auto"/>
                <w:sz w:val="22"/>
                <w:szCs w:val="22"/>
              </w:rPr>
            </w:pPr>
            <w:r>
              <w:rPr>
                <w:color w:val="auto"/>
                <w:sz w:val="22"/>
                <w:szCs w:val="22"/>
              </w:rPr>
              <w:t>Итоговый контроль за год (повторение)</w:t>
            </w:r>
          </w:p>
        </w:tc>
      </w:tr>
      <w:tr w14:paraId="7D18BA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9071" w:type="dxa"/>
            <w:gridSpan w:val="2"/>
            <w:vAlign w:val="center"/>
          </w:tcPr>
          <w:p w14:paraId="1D793FB8">
            <w:pPr>
              <w:pStyle w:val="85"/>
              <w:jc w:val="both"/>
              <w:rPr>
                <w:color w:val="auto"/>
                <w:sz w:val="22"/>
                <w:szCs w:val="22"/>
              </w:rPr>
            </w:pPr>
            <w:r>
              <w:rPr>
                <w:color w:val="auto"/>
                <w:sz w:val="22"/>
                <w:szCs w:val="22"/>
              </w:rPr>
              <w:t>ОБЩЕЕ КОЛИЧЕСТВО УРОКОВ ПО ПРОГРАММЕ: 34, из них уроков, отведенных на контрольные работы, - не более 3</w:t>
            </w:r>
          </w:p>
        </w:tc>
      </w:tr>
    </w:tbl>
    <w:p w14:paraId="7DBB6A09">
      <w:pPr>
        <w:pStyle w:val="85"/>
        <w:jc w:val="both"/>
        <w:rPr>
          <w:color w:val="auto"/>
          <w:sz w:val="22"/>
          <w:szCs w:val="22"/>
        </w:rPr>
      </w:pPr>
    </w:p>
    <w:p w14:paraId="590F92C7">
      <w:pPr>
        <w:pStyle w:val="85"/>
        <w:jc w:val="right"/>
        <w:rPr>
          <w:color w:val="auto"/>
          <w:sz w:val="22"/>
          <w:szCs w:val="22"/>
        </w:rPr>
      </w:pPr>
      <w:r>
        <w:rPr>
          <w:color w:val="auto"/>
          <w:sz w:val="22"/>
          <w:szCs w:val="22"/>
        </w:rPr>
        <w:t>Таблица 13.2</w:t>
      </w:r>
    </w:p>
    <w:p w14:paraId="4CBB102F">
      <w:pPr>
        <w:pStyle w:val="85"/>
        <w:jc w:val="both"/>
        <w:rPr>
          <w:color w:val="auto"/>
          <w:sz w:val="22"/>
          <w:szCs w:val="22"/>
        </w:rPr>
      </w:pPr>
    </w:p>
    <w:p w14:paraId="6853D6F6">
      <w:pPr>
        <w:pStyle w:val="85"/>
        <w:jc w:val="both"/>
        <w:rPr>
          <w:color w:val="auto"/>
          <w:sz w:val="22"/>
          <w:szCs w:val="22"/>
        </w:rPr>
      </w:pPr>
      <w:r>
        <w:rPr>
          <w:color w:val="auto"/>
          <w:sz w:val="22"/>
          <w:szCs w:val="22"/>
        </w:rPr>
        <w:t>3 класс</w:t>
      </w:r>
    </w:p>
    <w:p w14:paraId="46F5D2CB">
      <w:pPr>
        <w:pStyle w:val="85"/>
        <w:jc w:val="both"/>
        <w:rPr>
          <w:color w:val="auto"/>
          <w:sz w:val="22"/>
          <w:szCs w:val="22"/>
        </w:rPr>
      </w:pPr>
    </w:p>
    <w:tbl>
      <w:tblPr>
        <w:tblStyle w:val="1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02" w:type="dxa"/>
          <w:left w:w="62" w:type="dxa"/>
          <w:bottom w:w="102" w:type="dxa"/>
          <w:right w:w="62" w:type="dxa"/>
        </w:tblCellMar>
      </w:tblPr>
      <w:tblGrid>
        <w:gridCol w:w="1134"/>
        <w:gridCol w:w="7937"/>
      </w:tblGrid>
      <w:tr w14:paraId="19A4A7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tcPr>
          <w:p w14:paraId="4D2D43DE">
            <w:pPr>
              <w:pStyle w:val="85"/>
              <w:jc w:val="center"/>
              <w:rPr>
                <w:color w:val="auto"/>
                <w:sz w:val="22"/>
                <w:szCs w:val="22"/>
              </w:rPr>
            </w:pPr>
            <w:r>
              <w:rPr>
                <w:color w:val="auto"/>
                <w:sz w:val="22"/>
                <w:szCs w:val="22"/>
              </w:rPr>
              <w:t>N урока</w:t>
            </w:r>
          </w:p>
        </w:tc>
        <w:tc>
          <w:tcPr>
            <w:tcW w:w="7937" w:type="dxa"/>
          </w:tcPr>
          <w:p w14:paraId="6513058C">
            <w:pPr>
              <w:pStyle w:val="85"/>
              <w:jc w:val="center"/>
              <w:rPr>
                <w:color w:val="auto"/>
                <w:sz w:val="22"/>
                <w:szCs w:val="22"/>
              </w:rPr>
            </w:pPr>
            <w:r>
              <w:rPr>
                <w:color w:val="auto"/>
                <w:sz w:val="22"/>
                <w:szCs w:val="22"/>
              </w:rPr>
              <w:t>Тема урока</w:t>
            </w:r>
          </w:p>
        </w:tc>
      </w:tr>
      <w:tr w14:paraId="1680A4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2CA57B6A">
            <w:pPr>
              <w:pStyle w:val="85"/>
              <w:jc w:val="both"/>
              <w:rPr>
                <w:color w:val="auto"/>
                <w:sz w:val="22"/>
                <w:szCs w:val="22"/>
              </w:rPr>
            </w:pPr>
            <w:r>
              <w:rPr>
                <w:color w:val="auto"/>
                <w:sz w:val="22"/>
                <w:szCs w:val="22"/>
              </w:rPr>
              <w:t>Урок 1</w:t>
            </w:r>
          </w:p>
        </w:tc>
        <w:tc>
          <w:tcPr>
            <w:tcW w:w="7937" w:type="dxa"/>
            <w:vAlign w:val="center"/>
          </w:tcPr>
          <w:p w14:paraId="5D32849B">
            <w:pPr>
              <w:pStyle w:val="85"/>
              <w:jc w:val="both"/>
              <w:rPr>
                <w:color w:val="auto"/>
                <w:sz w:val="22"/>
                <w:szCs w:val="22"/>
              </w:rPr>
            </w:pPr>
            <w:r>
              <w:rPr>
                <w:color w:val="auto"/>
                <w:sz w:val="22"/>
                <w:szCs w:val="22"/>
              </w:rPr>
              <w:t>Технологии, профессии и производства. Повторение и обобщение пройденного во втором классе</w:t>
            </w:r>
          </w:p>
        </w:tc>
      </w:tr>
      <w:tr w14:paraId="2192A1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52B8E6A4">
            <w:pPr>
              <w:pStyle w:val="85"/>
              <w:jc w:val="both"/>
              <w:rPr>
                <w:color w:val="auto"/>
                <w:sz w:val="22"/>
                <w:szCs w:val="22"/>
              </w:rPr>
            </w:pPr>
            <w:r>
              <w:rPr>
                <w:color w:val="auto"/>
                <w:sz w:val="22"/>
                <w:szCs w:val="22"/>
              </w:rPr>
              <w:t>Урок 2</w:t>
            </w:r>
          </w:p>
        </w:tc>
        <w:tc>
          <w:tcPr>
            <w:tcW w:w="7937" w:type="dxa"/>
            <w:vAlign w:val="center"/>
          </w:tcPr>
          <w:p w14:paraId="0A598C67">
            <w:pPr>
              <w:pStyle w:val="85"/>
              <w:jc w:val="both"/>
              <w:rPr>
                <w:color w:val="auto"/>
                <w:sz w:val="22"/>
                <w:szCs w:val="22"/>
              </w:rPr>
            </w:pPr>
            <w:r>
              <w:rPr>
                <w:color w:val="auto"/>
                <w:sz w:val="22"/>
                <w:szCs w:val="22"/>
              </w:rPr>
              <w:t>Современные производства и профессии, связанные с обработкой материалов</w:t>
            </w:r>
          </w:p>
        </w:tc>
      </w:tr>
      <w:tr w14:paraId="4C57E8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6D62DB80">
            <w:pPr>
              <w:pStyle w:val="85"/>
              <w:jc w:val="both"/>
              <w:rPr>
                <w:color w:val="auto"/>
                <w:sz w:val="22"/>
                <w:szCs w:val="22"/>
              </w:rPr>
            </w:pPr>
            <w:r>
              <w:rPr>
                <w:color w:val="auto"/>
                <w:sz w:val="22"/>
                <w:szCs w:val="22"/>
              </w:rPr>
              <w:t>Урок 3</w:t>
            </w:r>
          </w:p>
        </w:tc>
        <w:tc>
          <w:tcPr>
            <w:tcW w:w="7937" w:type="dxa"/>
            <w:vAlign w:val="center"/>
          </w:tcPr>
          <w:p w14:paraId="0CD3BBD6">
            <w:pPr>
              <w:pStyle w:val="85"/>
              <w:jc w:val="both"/>
              <w:rPr>
                <w:color w:val="auto"/>
                <w:sz w:val="22"/>
                <w:szCs w:val="22"/>
              </w:rPr>
            </w:pPr>
            <w:r>
              <w:rPr>
                <w:color w:val="auto"/>
                <w:sz w:val="22"/>
                <w:szCs w:val="22"/>
              </w:rPr>
              <w:t>Знакомимся с компьютером. Назначение, основные устройства</w:t>
            </w:r>
          </w:p>
        </w:tc>
      </w:tr>
      <w:tr w14:paraId="21C949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783C1953">
            <w:pPr>
              <w:pStyle w:val="85"/>
              <w:jc w:val="both"/>
              <w:rPr>
                <w:color w:val="auto"/>
                <w:sz w:val="22"/>
                <w:szCs w:val="22"/>
              </w:rPr>
            </w:pPr>
            <w:r>
              <w:rPr>
                <w:color w:val="auto"/>
                <w:sz w:val="22"/>
                <w:szCs w:val="22"/>
              </w:rPr>
              <w:t>Урок 4</w:t>
            </w:r>
          </w:p>
        </w:tc>
        <w:tc>
          <w:tcPr>
            <w:tcW w:w="7937" w:type="dxa"/>
            <w:vAlign w:val="center"/>
          </w:tcPr>
          <w:p w14:paraId="09533B87">
            <w:pPr>
              <w:pStyle w:val="85"/>
              <w:jc w:val="both"/>
              <w:rPr>
                <w:color w:val="auto"/>
                <w:sz w:val="22"/>
                <w:szCs w:val="22"/>
              </w:rPr>
            </w:pPr>
            <w:r>
              <w:rPr>
                <w:color w:val="auto"/>
                <w:sz w:val="22"/>
                <w:szCs w:val="22"/>
              </w:rPr>
              <w:t>Компьютер - твой помощник. Запоминающие устройства - носители информации</w:t>
            </w:r>
          </w:p>
        </w:tc>
      </w:tr>
      <w:tr w14:paraId="175CF4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0D5883ED">
            <w:pPr>
              <w:pStyle w:val="85"/>
              <w:jc w:val="both"/>
              <w:rPr>
                <w:color w:val="auto"/>
                <w:sz w:val="22"/>
                <w:szCs w:val="22"/>
              </w:rPr>
            </w:pPr>
            <w:r>
              <w:rPr>
                <w:color w:val="auto"/>
                <w:sz w:val="22"/>
                <w:szCs w:val="22"/>
              </w:rPr>
              <w:t>Урок 5</w:t>
            </w:r>
          </w:p>
        </w:tc>
        <w:tc>
          <w:tcPr>
            <w:tcW w:w="7937" w:type="dxa"/>
            <w:vAlign w:val="center"/>
          </w:tcPr>
          <w:p w14:paraId="4C1962D5">
            <w:pPr>
              <w:pStyle w:val="85"/>
              <w:jc w:val="both"/>
              <w:rPr>
                <w:color w:val="auto"/>
                <w:sz w:val="22"/>
                <w:szCs w:val="22"/>
              </w:rPr>
            </w:pPr>
            <w:r>
              <w:rPr>
                <w:color w:val="auto"/>
                <w:sz w:val="22"/>
                <w:szCs w:val="22"/>
              </w:rPr>
              <w:t>Работа с текстовой программой</w:t>
            </w:r>
          </w:p>
        </w:tc>
      </w:tr>
      <w:tr w14:paraId="321131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429B0588">
            <w:pPr>
              <w:pStyle w:val="85"/>
              <w:jc w:val="both"/>
              <w:rPr>
                <w:color w:val="auto"/>
                <w:sz w:val="22"/>
                <w:szCs w:val="22"/>
              </w:rPr>
            </w:pPr>
            <w:r>
              <w:rPr>
                <w:color w:val="auto"/>
                <w:sz w:val="22"/>
                <w:szCs w:val="22"/>
              </w:rPr>
              <w:t>Урок 6</w:t>
            </w:r>
          </w:p>
        </w:tc>
        <w:tc>
          <w:tcPr>
            <w:tcW w:w="7937" w:type="dxa"/>
            <w:vAlign w:val="center"/>
          </w:tcPr>
          <w:p w14:paraId="0393D08E">
            <w:pPr>
              <w:pStyle w:val="85"/>
              <w:jc w:val="both"/>
              <w:rPr>
                <w:color w:val="auto"/>
                <w:sz w:val="22"/>
                <w:szCs w:val="22"/>
              </w:rPr>
            </w:pPr>
            <w:r>
              <w:rPr>
                <w:color w:val="auto"/>
                <w:sz w:val="22"/>
                <w:szCs w:val="22"/>
              </w:rPr>
              <w:t>Как работает скульптор. Скульптуры разных времен и народов</w:t>
            </w:r>
          </w:p>
        </w:tc>
      </w:tr>
      <w:tr w14:paraId="553EFE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134" w:type="dxa"/>
            <w:vAlign w:val="center"/>
          </w:tcPr>
          <w:p w14:paraId="79E60517">
            <w:pPr>
              <w:pStyle w:val="85"/>
              <w:jc w:val="both"/>
              <w:rPr>
                <w:color w:val="auto"/>
                <w:sz w:val="22"/>
                <w:szCs w:val="22"/>
              </w:rPr>
            </w:pPr>
            <w:r>
              <w:rPr>
                <w:color w:val="auto"/>
                <w:sz w:val="22"/>
                <w:szCs w:val="22"/>
              </w:rPr>
              <w:t>Урок 7</w:t>
            </w:r>
          </w:p>
        </w:tc>
        <w:tc>
          <w:tcPr>
            <w:tcW w:w="7937" w:type="dxa"/>
            <w:vAlign w:val="center"/>
          </w:tcPr>
          <w:p w14:paraId="291721AB">
            <w:pPr>
              <w:pStyle w:val="85"/>
              <w:jc w:val="both"/>
              <w:rPr>
                <w:color w:val="auto"/>
                <w:sz w:val="22"/>
                <w:szCs w:val="22"/>
              </w:rPr>
            </w:pPr>
            <w:r>
              <w:rPr>
                <w:color w:val="auto"/>
                <w:sz w:val="22"/>
                <w:szCs w:val="22"/>
              </w:rPr>
              <w:t>Рельеф. Придание поверхности фактуры и объема</w:t>
            </w:r>
          </w:p>
        </w:tc>
      </w:tr>
      <w:tr w14:paraId="5F409B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1519B2E1">
            <w:pPr>
              <w:pStyle w:val="85"/>
              <w:jc w:val="both"/>
              <w:rPr>
                <w:color w:val="auto"/>
                <w:sz w:val="22"/>
                <w:szCs w:val="22"/>
              </w:rPr>
            </w:pPr>
            <w:r>
              <w:rPr>
                <w:color w:val="auto"/>
                <w:sz w:val="22"/>
                <w:szCs w:val="22"/>
              </w:rPr>
              <w:t>Урок 8</w:t>
            </w:r>
          </w:p>
        </w:tc>
        <w:tc>
          <w:tcPr>
            <w:tcW w:w="7937" w:type="dxa"/>
            <w:vAlign w:val="center"/>
          </w:tcPr>
          <w:p w14:paraId="1AE71BC2">
            <w:pPr>
              <w:pStyle w:val="85"/>
              <w:jc w:val="both"/>
              <w:rPr>
                <w:color w:val="auto"/>
                <w:sz w:val="22"/>
                <w:szCs w:val="22"/>
              </w:rPr>
            </w:pPr>
            <w:r>
              <w:rPr>
                <w:color w:val="auto"/>
                <w:sz w:val="22"/>
                <w:szCs w:val="22"/>
              </w:rPr>
              <w:t>Как работает художник-декоратор. Материалы художника, художественные технологии</w:t>
            </w:r>
          </w:p>
        </w:tc>
      </w:tr>
      <w:tr w14:paraId="330EDA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58C267B9">
            <w:pPr>
              <w:pStyle w:val="85"/>
              <w:jc w:val="both"/>
              <w:rPr>
                <w:color w:val="auto"/>
                <w:sz w:val="22"/>
                <w:szCs w:val="22"/>
              </w:rPr>
            </w:pPr>
            <w:r>
              <w:rPr>
                <w:color w:val="auto"/>
                <w:sz w:val="22"/>
                <w:szCs w:val="22"/>
              </w:rPr>
              <w:t>Урок 9</w:t>
            </w:r>
          </w:p>
        </w:tc>
        <w:tc>
          <w:tcPr>
            <w:tcW w:w="7937" w:type="dxa"/>
            <w:vAlign w:val="center"/>
          </w:tcPr>
          <w:p w14:paraId="27CEA153">
            <w:pPr>
              <w:pStyle w:val="85"/>
              <w:jc w:val="both"/>
              <w:rPr>
                <w:color w:val="auto"/>
                <w:sz w:val="22"/>
                <w:szCs w:val="22"/>
              </w:rPr>
            </w:pPr>
            <w:r>
              <w:rPr>
                <w:color w:val="auto"/>
                <w:sz w:val="22"/>
                <w:szCs w:val="22"/>
              </w:rPr>
              <w:t>Свойства креповой бумаги. Способы получение объемных форм</w:t>
            </w:r>
          </w:p>
        </w:tc>
      </w:tr>
      <w:tr w14:paraId="035576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4FBB7E7F">
            <w:pPr>
              <w:pStyle w:val="85"/>
              <w:jc w:val="both"/>
              <w:rPr>
                <w:color w:val="auto"/>
                <w:sz w:val="22"/>
                <w:szCs w:val="22"/>
              </w:rPr>
            </w:pPr>
            <w:r>
              <w:rPr>
                <w:color w:val="auto"/>
                <w:sz w:val="22"/>
                <w:szCs w:val="22"/>
              </w:rPr>
              <w:t>Урок 10</w:t>
            </w:r>
          </w:p>
        </w:tc>
        <w:tc>
          <w:tcPr>
            <w:tcW w:w="7937" w:type="dxa"/>
            <w:vAlign w:val="center"/>
          </w:tcPr>
          <w:p w14:paraId="5B6B5C15">
            <w:pPr>
              <w:pStyle w:val="85"/>
              <w:jc w:val="both"/>
              <w:rPr>
                <w:color w:val="auto"/>
                <w:sz w:val="22"/>
                <w:szCs w:val="22"/>
              </w:rPr>
            </w:pPr>
            <w:r>
              <w:rPr>
                <w:color w:val="auto"/>
                <w:sz w:val="22"/>
                <w:szCs w:val="22"/>
              </w:rPr>
              <w:t>Способы получения объемных рельефных форм и изображений Фольга. Технология обработки фольги.</w:t>
            </w:r>
          </w:p>
        </w:tc>
      </w:tr>
      <w:tr w14:paraId="6022E5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40925D56">
            <w:pPr>
              <w:pStyle w:val="85"/>
              <w:jc w:val="both"/>
              <w:rPr>
                <w:color w:val="auto"/>
                <w:sz w:val="22"/>
                <w:szCs w:val="22"/>
              </w:rPr>
            </w:pPr>
            <w:r>
              <w:rPr>
                <w:color w:val="auto"/>
                <w:sz w:val="22"/>
                <w:szCs w:val="22"/>
              </w:rPr>
              <w:t>Урок 11</w:t>
            </w:r>
          </w:p>
        </w:tc>
        <w:tc>
          <w:tcPr>
            <w:tcW w:w="7937" w:type="dxa"/>
            <w:vAlign w:val="center"/>
          </w:tcPr>
          <w:p w14:paraId="5BF55215">
            <w:pPr>
              <w:pStyle w:val="85"/>
              <w:jc w:val="both"/>
              <w:rPr>
                <w:color w:val="auto"/>
                <w:sz w:val="22"/>
                <w:szCs w:val="22"/>
              </w:rPr>
            </w:pPr>
            <w:r>
              <w:rPr>
                <w:color w:val="auto"/>
                <w:sz w:val="22"/>
                <w:szCs w:val="22"/>
              </w:rPr>
              <w:t>Архитектура и строительство. Гофрокартон. Его строение свойства, сферы использования</w:t>
            </w:r>
          </w:p>
        </w:tc>
      </w:tr>
      <w:tr w14:paraId="489BB6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134" w:type="dxa"/>
            <w:vAlign w:val="center"/>
          </w:tcPr>
          <w:p w14:paraId="4A9B7951">
            <w:pPr>
              <w:pStyle w:val="85"/>
              <w:jc w:val="both"/>
              <w:rPr>
                <w:color w:val="auto"/>
                <w:sz w:val="22"/>
                <w:szCs w:val="22"/>
              </w:rPr>
            </w:pPr>
            <w:r>
              <w:rPr>
                <w:color w:val="auto"/>
                <w:sz w:val="22"/>
                <w:szCs w:val="22"/>
              </w:rPr>
              <w:t>Урок 12</w:t>
            </w:r>
          </w:p>
        </w:tc>
        <w:tc>
          <w:tcPr>
            <w:tcW w:w="7937" w:type="dxa"/>
            <w:vAlign w:val="center"/>
          </w:tcPr>
          <w:p w14:paraId="09EBE996">
            <w:pPr>
              <w:pStyle w:val="85"/>
              <w:jc w:val="both"/>
              <w:rPr>
                <w:color w:val="auto"/>
                <w:sz w:val="22"/>
                <w:szCs w:val="22"/>
              </w:rPr>
            </w:pPr>
            <w:r>
              <w:rPr>
                <w:color w:val="auto"/>
                <w:sz w:val="22"/>
                <w:szCs w:val="22"/>
              </w:rPr>
              <w:t>Плоские и объемные формы деталей и изделий. Развертка. Чертеж развертки. Рицовка</w:t>
            </w:r>
          </w:p>
        </w:tc>
      </w:tr>
      <w:tr w14:paraId="2AF796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20B412DE">
            <w:pPr>
              <w:pStyle w:val="85"/>
              <w:jc w:val="both"/>
              <w:rPr>
                <w:color w:val="auto"/>
                <w:sz w:val="22"/>
                <w:szCs w:val="22"/>
              </w:rPr>
            </w:pPr>
            <w:r>
              <w:rPr>
                <w:color w:val="auto"/>
                <w:sz w:val="22"/>
                <w:szCs w:val="22"/>
              </w:rPr>
              <w:t>Урок 13</w:t>
            </w:r>
          </w:p>
        </w:tc>
        <w:tc>
          <w:tcPr>
            <w:tcW w:w="7937" w:type="dxa"/>
            <w:vAlign w:val="center"/>
          </w:tcPr>
          <w:p w14:paraId="00F61296">
            <w:pPr>
              <w:pStyle w:val="85"/>
              <w:jc w:val="both"/>
              <w:rPr>
                <w:color w:val="auto"/>
                <w:sz w:val="22"/>
                <w:szCs w:val="22"/>
              </w:rPr>
            </w:pPr>
            <w:r>
              <w:rPr>
                <w:color w:val="auto"/>
                <w:sz w:val="22"/>
                <w:szCs w:val="22"/>
              </w:rPr>
              <w:t>Плоские и объемные формы деталей и изделий. Развертка. Чертеж развертки. Рицовка</w:t>
            </w:r>
          </w:p>
        </w:tc>
      </w:tr>
      <w:tr w14:paraId="78A82C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481E4693">
            <w:pPr>
              <w:pStyle w:val="85"/>
              <w:jc w:val="both"/>
              <w:rPr>
                <w:color w:val="auto"/>
                <w:sz w:val="22"/>
                <w:szCs w:val="22"/>
              </w:rPr>
            </w:pPr>
            <w:r>
              <w:rPr>
                <w:color w:val="auto"/>
                <w:sz w:val="22"/>
                <w:szCs w:val="22"/>
              </w:rPr>
              <w:t>Урок 14</w:t>
            </w:r>
          </w:p>
        </w:tc>
        <w:tc>
          <w:tcPr>
            <w:tcW w:w="7937" w:type="dxa"/>
            <w:vAlign w:val="center"/>
          </w:tcPr>
          <w:p w14:paraId="75D2756E">
            <w:pPr>
              <w:pStyle w:val="85"/>
              <w:jc w:val="both"/>
              <w:rPr>
                <w:color w:val="auto"/>
                <w:sz w:val="22"/>
                <w:szCs w:val="22"/>
              </w:rPr>
            </w:pPr>
            <w:r>
              <w:rPr>
                <w:color w:val="auto"/>
                <w:sz w:val="22"/>
                <w:szCs w:val="22"/>
              </w:rPr>
              <w:t>Развертка коробки с крышкой</w:t>
            </w:r>
          </w:p>
        </w:tc>
      </w:tr>
      <w:tr w14:paraId="79AA1A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4B864236">
            <w:pPr>
              <w:pStyle w:val="85"/>
              <w:jc w:val="both"/>
              <w:rPr>
                <w:color w:val="auto"/>
                <w:sz w:val="22"/>
                <w:szCs w:val="22"/>
              </w:rPr>
            </w:pPr>
            <w:r>
              <w:rPr>
                <w:color w:val="auto"/>
                <w:sz w:val="22"/>
                <w:szCs w:val="22"/>
              </w:rPr>
              <w:t>Урок 15</w:t>
            </w:r>
          </w:p>
        </w:tc>
        <w:tc>
          <w:tcPr>
            <w:tcW w:w="7937" w:type="dxa"/>
            <w:vAlign w:val="center"/>
          </w:tcPr>
          <w:p w14:paraId="25186421">
            <w:pPr>
              <w:pStyle w:val="85"/>
              <w:jc w:val="both"/>
              <w:rPr>
                <w:color w:val="auto"/>
                <w:sz w:val="22"/>
                <w:szCs w:val="22"/>
              </w:rPr>
            </w:pPr>
            <w:r>
              <w:rPr>
                <w:color w:val="auto"/>
                <w:sz w:val="22"/>
                <w:szCs w:val="22"/>
              </w:rPr>
              <w:t>Оклеивание деталей коробки с крышкой</w:t>
            </w:r>
          </w:p>
        </w:tc>
      </w:tr>
      <w:tr w14:paraId="6E1174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37B3F616">
            <w:pPr>
              <w:pStyle w:val="85"/>
              <w:jc w:val="both"/>
              <w:rPr>
                <w:color w:val="auto"/>
                <w:sz w:val="22"/>
                <w:szCs w:val="22"/>
              </w:rPr>
            </w:pPr>
            <w:r>
              <w:rPr>
                <w:color w:val="auto"/>
                <w:sz w:val="22"/>
                <w:szCs w:val="22"/>
              </w:rPr>
              <w:t>Урок 16</w:t>
            </w:r>
          </w:p>
        </w:tc>
        <w:tc>
          <w:tcPr>
            <w:tcW w:w="7937" w:type="dxa"/>
            <w:vAlign w:val="center"/>
          </w:tcPr>
          <w:p w14:paraId="5849E87D">
            <w:pPr>
              <w:pStyle w:val="85"/>
              <w:jc w:val="both"/>
              <w:rPr>
                <w:color w:val="auto"/>
                <w:sz w:val="22"/>
                <w:szCs w:val="22"/>
              </w:rPr>
            </w:pPr>
            <w:r>
              <w:rPr>
                <w:color w:val="auto"/>
                <w:sz w:val="22"/>
                <w:szCs w:val="22"/>
              </w:rPr>
              <w:t>Конструирование сложных разверток</w:t>
            </w:r>
          </w:p>
        </w:tc>
      </w:tr>
      <w:tr w14:paraId="33CACD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0F2F0BB2">
            <w:pPr>
              <w:pStyle w:val="85"/>
              <w:jc w:val="both"/>
              <w:rPr>
                <w:color w:val="auto"/>
                <w:sz w:val="22"/>
                <w:szCs w:val="22"/>
              </w:rPr>
            </w:pPr>
            <w:r>
              <w:rPr>
                <w:color w:val="auto"/>
                <w:sz w:val="22"/>
                <w:szCs w:val="22"/>
              </w:rPr>
              <w:t>Урок 17</w:t>
            </w:r>
          </w:p>
        </w:tc>
        <w:tc>
          <w:tcPr>
            <w:tcW w:w="7937" w:type="dxa"/>
            <w:vAlign w:val="center"/>
          </w:tcPr>
          <w:p w14:paraId="64FD090D">
            <w:pPr>
              <w:pStyle w:val="85"/>
              <w:jc w:val="both"/>
              <w:rPr>
                <w:color w:val="auto"/>
                <w:sz w:val="22"/>
                <w:szCs w:val="22"/>
              </w:rPr>
            </w:pPr>
            <w:r>
              <w:rPr>
                <w:color w:val="auto"/>
                <w:sz w:val="22"/>
                <w:szCs w:val="22"/>
              </w:rPr>
              <w:t>Конструирование сложных разверток</w:t>
            </w:r>
          </w:p>
        </w:tc>
      </w:tr>
      <w:tr w14:paraId="499CF6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134FCB8A">
            <w:pPr>
              <w:pStyle w:val="85"/>
              <w:jc w:val="both"/>
              <w:rPr>
                <w:color w:val="auto"/>
                <w:sz w:val="22"/>
                <w:szCs w:val="22"/>
              </w:rPr>
            </w:pPr>
            <w:r>
              <w:rPr>
                <w:color w:val="auto"/>
                <w:sz w:val="22"/>
                <w:szCs w:val="22"/>
              </w:rPr>
              <w:t>Урок 18</w:t>
            </w:r>
          </w:p>
        </w:tc>
        <w:tc>
          <w:tcPr>
            <w:tcW w:w="7937" w:type="dxa"/>
            <w:vAlign w:val="center"/>
          </w:tcPr>
          <w:p w14:paraId="1B03E64B">
            <w:pPr>
              <w:pStyle w:val="85"/>
              <w:jc w:val="both"/>
              <w:rPr>
                <w:color w:val="auto"/>
                <w:sz w:val="22"/>
                <w:szCs w:val="22"/>
              </w:rPr>
            </w:pPr>
            <w:r>
              <w:rPr>
                <w:color w:val="auto"/>
                <w:sz w:val="22"/>
                <w:szCs w:val="22"/>
              </w:rPr>
              <w:t>Строчка косого стежка (крестик, стебельчатая). Узелковое закрепление нитки на ткани. Изготовление швейного изделия</w:t>
            </w:r>
          </w:p>
        </w:tc>
      </w:tr>
      <w:tr w14:paraId="7BE9A8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3B549D3E">
            <w:pPr>
              <w:pStyle w:val="85"/>
              <w:jc w:val="both"/>
              <w:rPr>
                <w:color w:val="auto"/>
                <w:sz w:val="22"/>
                <w:szCs w:val="22"/>
              </w:rPr>
            </w:pPr>
            <w:r>
              <w:rPr>
                <w:color w:val="auto"/>
                <w:sz w:val="22"/>
                <w:szCs w:val="22"/>
              </w:rPr>
              <w:t>Урок 19</w:t>
            </w:r>
          </w:p>
        </w:tc>
        <w:tc>
          <w:tcPr>
            <w:tcW w:w="7937" w:type="dxa"/>
            <w:vAlign w:val="center"/>
          </w:tcPr>
          <w:p w14:paraId="70712FC0">
            <w:pPr>
              <w:pStyle w:val="85"/>
              <w:jc w:val="both"/>
              <w:rPr>
                <w:color w:val="auto"/>
                <w:sz w:val="22"/>
                <w:szCs w:val="22"/>
              </w:rPr>
            </w:pPr>
            <w:r>
              <w:rPr>
                <w:color w:val="auto"/>
                <w:sz w:val="22"/>
                <w:szCs w:val="22"/>
              </w:rPr>
              <w:t>Строчка косого стежка (крестик, стебельчатая). Узелковое закрепление нитки на ткани. Изготовление швейного изделия</w:t>
            </w:r>
          </w:p>
        </w:tc>
      </w:tr>
      <w:tr w14:paraId="06A4CF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1C7AB30B">
            <w:pPr>
              <w:pStyle w:val="85"/>
              <w:jc w:val="both"/>
              <w:rPr>
                <w:color w:val="auto"/>
                <w:sz w:val="22"/>
                <w:szCs w:val="22"/>
              </w:rPr>
            </w:pPr>
            <w:r>
              <w:rPr>
                <w:color w:val="auto"/>
                <w:sz w:val="22"/>
                <w:szCs w:val="22"/>
              </w:rPr>
              <w:t>Урок 20</w:t>
            </w:r>
          </w:p>
        </w:tc>
        <w:tc>
          <w:tcPr>
            <w:tcW w:w="7937" w:type="dxa"/>
            <w:vAlign w:val="center"/>
          </w:tcPr>
          <w:p w14:paraId="02EDFCF8">
            <w:pPr>
              <w:pStyle w:val="85"/>
              <w:jc w:val="both"/>
              <w:rPr>
                <w:color w:val="auto"/>
                <w:sz w:val="22"/>
                <w:szCs w:val="22"/>
              </w:rPr>
            </w:pPr>
            <w:r>
              <w:rPr>
                <w:color w:val="auto"/>
                <w:sz w:val="22"/>
                <w:szCs w:val="22"/>
              </w:rPr>
              <w:t>Строчка петельного стежка и ее варианты. Изготовление многодетального швейного изделия</w:t>
            </w:r>
          </w:p>
        </w:tc>
      </w:tr>
      <w:tr w14:paraId="31E6D2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6464AAC5">
            <w:pPr>
              <w:pStyle w:val="85"/>
              <w:jc w:val="both"/>
              <w:rPr>
                <w:color w:val="auto"/>
                <w:sz w:val="22"/>
                <w:szCs w:val="22"/>
              </w:rPr>
            </w:pPr>
            <w:r>
              <w:rPr>
                <w:color w:val="auto"/>
                <w:sz w:val="22"/>
                <w:szCs w:val="22"/>
              </w:rPr>
              <w:t>Урок 21</w:t>
            </w:r>
          </w:p>
        </w:tc>
        <w:tc>
          <w:tcPr>
            <w:tcW w:w="7937" w:type="dxa"/>
            <w:vAlign w:val="center"/>
          </w:tcPr>
          <w:p w14:paraId="704389D0">
            <w:pPr>
              <w:pStyle w:val="85"/>
              <w:jc w:val="both"/>
              <w:rPr>
                <w:color w:val="auto"/>
                <w:sz w:val="22"/>
                <w:szCs w:val="22"/>
              </w:rPr>
            </w:pPr>
            <w:r>
              <w:rPr>
                <w:color w:val="auto"/>
                <w:sz w:val="22"/>
                <w:szCs w:val="22"/>
              </w:rPr>
              <w:t>Строчка петельного стежка и ее варианты. Изготовление многодетального швейного изделия</w:t>
            </w:r>
          </w:p>
        </w:tc>
      </w:tr>
      <w:tr w14:paraId="668DAF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134" w:type="dxa"/>
            <w:vAlign w:val="center"/>
          </w:tcPr>
          <w:p w14:paraId="7B7887D6">
            <w:pPr>
              <w:pStyle w:val="85"/>
              <w:jc w:val="both"/>
              <w:rPr>
                <w:color w:val="auto"/>
                <w:sz w:val="22"/>
                <w:szCs w:val="22"/>
              </w:rPr>
            </w:pPr>
            <w:r>
              <w:rPr>
                <w:color w:val="auto"/>
                <w:sz w:val="22"/>
                <w:szCs w:val="22"/>
              </w:rPr>
              <w:t>Урок 22</w:t>
            </w:r>
          </w:p>
        </w:tc>
        <w:tc>
          <w:tcPr>
            <w:tcW w:w="7937" w:type="dxa"/>
            <w:vAlign w:val="center"/>
          </w:tcPr>
          <w:p w14:paraId="0210BA9B">
            <w:pPr>
              <w:pStyle w:val="85"/>
              <w:jc w:val="both"/>
              <w:rPr>
                <w:color w:val="auto"/>
                <w:sz w:val="22"/>
                <w:szCs w:val="22"/>
              </w:rPr>
            </w:pPr>
            <w:r>
              <w:rPr>
                <w:color w:val="auto"/>
                <w:sz w:val="22"/>
                <w:szCs w:val="22"/>
              </w:rPr>
              <w:t>Пришивание пуговиц. Ремонт одежды. Конструирование и изготовление изделия (из нетканого полотна) с отделкой пуговицей</w:t>
            </w:r>
          </w:p>
        </w:tc>
      </w:tr>
      <w:tr w14:paraId="02A310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48597675">
            <w:pPr>
              <w:pStyle w:val="85"/>
              <w:jc w:val="both"/>
              <w:rPr>
                <w:color w:val="auto"/>
                <w:sz w:val="22"/>
                <w:szCs w:val="22"/>
              </w:rPr>
            </w:pPr>
            <w:r>
              <w:rPr>
                <w:color w:val="auto"/>
                <w:sz w:val="22"/>
                <w:szCs w:val="22"/>
              </w:rPr>
              <w:t>Урок 23</w:t>
            </w:r>
          </w:p>
        </w:tc>
        <w:tc>
          <w:tcPr>
            <w:tcW w:w="7937" w:type="dxa"/>
            <w:vAlign w:val="center"/>
          </w:tcPr>
          <w:p w14:paraId="01E37EE4">
            <w:pPr>
              <w:pStyle w:val="85"/>
              <w:jc w:val="both"/>
              <w:rPr>
                <w:color w:val="auto"/>
                <w:sz w:val="22"/>
                <w:szCs w:val="22"/>
              </w:rPr>
            </w:pPr>
            <w:r>
              <w:rPr>
                <w:color w:val="auto"/>
                <w:sz w:val="22"/>
                <w:szCs w:val="22"/>
              </w:rPr>
              <w:t>Проект. Коллективное дидактическое пособие для обучения счету (с застежками на пуговицы)</w:t>
            </w:r>
          </w:p>
        </w:tc>
      </w:tr>
      <w:tr w14:paraId="27E2BD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562D27A1">
            <w:pPr>
              <w:pStyle w:val="85"/>
              <w:jc w:val="both"/>
              <w:rPr>
                <w:color w:val="auto"/>
                <w:sz w:val="22"/>
                <w:szCs w:val="22"/>
              </w:rPr>
            </w:pPr>
            <w:r>
              <w:rPr>
                <w:color w:val="auto"/>
                <w:sz w:val="22"/>
                <w:szCs w:val="22"/>
              </w:rPr>
              <w:t>Урок 24</w:t>
            </w:r>
          </w:p>
        </w:tc>
        <w:tc>
          <w:tcPr>
            <w:tcW w:w="7937" w:type="dxa"/>
            <w:vAlign w:val="center"/>
          </w:tcPr>
          <w:p w14:paraId="067C899E">
            <w:pPr>
              <w:pStyle w:val="85"/>
              <w:jc w:val="both"/>
              <w:rPr>
                <w:color w:val="auto"/>
                <w:sz w:val="22"/>
                <w:szCs w:val="22"/>
              </w:rPr>
            </w:pPr>
            <w:r>
              <w:rPr>
                <w:color w:val="auto"/>
                <w:sz w:val="22"/>
                <w:szCs w:val="22"/>
              </w:rPr>
              <w:t>История швейной машины. Способ изготовления изделий из тонкого трикотажа стяжкой</w:t>
            </w:r>
          </w:p>
        </w:tc>
      </w:tr>
      <w:tr w14:paraId="342D8C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77D33CA3">
            <w:pPr>
              <w:pStyle w:val="85"/>
              <w:jc w:val="both"/>
              <w:rPr>
                <w:color w:val="auto"/>
                <w:sz w:val="22"/>
                <w:szCs w:val="22"/>
              </w:rPr>
            </w:pPr>
            <w:r>
              <w:rPr>
                <w:color w:val="auto"/>
                <w:sz w:val="22"/>
                <w:szCs w:val="22"/>
              </w:rPr>
              <w:t>Урок 25</w:t>
            </w:r>
          </w:p>
        </w:tc>
        <w:tc>
          <w:tcPr>
            <w:tcW w:w="7937" w:type="dxa"/>
            <w:vAlign w:val="center"/>
          </w:tcPr>
          <w:p w14:paraId="02D10203">
            <w:pPr>
              <w:pStyle w:val="85"/>
              <w:jc w:val="both"/>
              <w:rPr>
                <w:color w:val="auto"/>
                <w:sz w:val="22"/>
                <w:szCs w:val="22"/>
              </w:rPr>
            </w:pPr>
            <w:r>
              <w:rPr>
                <w:color w:val="auto"/>
                <w:sz w:val="22"/>
                <w:szCs w:val="22"/>
              </w:rPr>
              <w:t>История швейной машины. Способ изготовления изделий из тонкого трикотажа стяжкой</w:t>
            </w:r>
          </w:p>
        </w:tc>
      </w:tr>
      <w:tr w14:paraId="1EF56B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46F2E70B">
            <w:pPr>
              <w:pStyle w:val="85"/>
              <w:jc w:val="both"/>
              <w:rPr>
                <w:color w:val="auto"/>
                <w:sz w:val="22"/>
                <w:szCs w:val="22"/>
              </w:rPr>
            </w:pPr>
            <w:r>
              <w:rPr>
                <w:color w:val="auto"/>
                <w:sz w:val="22"/>
                <w:szCs w:val="22"/>
              </w:rPr>
              <w:t>Урок 26</w:t>
            </w:r>
          </w:p>
        </w:tc>
        <w:tc>
          <w:tcPr>
            <w:tcW w:w="7937" w:type="dxa"/>
            <w:vAlign w:val="center"/>
          </w:tcPr>
          <w:p w14:paraId="187B90E8">
            <w:pPr>
              <w:pStyle w:val="85"/>
              <w:jc w:val="both"/>
              <w:rPr>
                <w:color w:val="auto"/>
                <w:sz w:val="22"/>
                <w:szCs w:val="22"/>
              </w:rPr>
            </w:pPr>
            <w:r>
              <w:rPr>
                <w:color w:val="auto"/>
                <w:sz w:val="22"/>
                <w:szCs w:val="22"/>
              </w:rPr>
              <w:t>Пришивание бусины на швейное изделие</w:t>
            </w:r>
          </w:p>
        </w:tc>
      </w:tr>
      <w:tr w14:paraId="5857AD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6A8EBD04">
            <w:pPr>
              <w:pStyle w:val="85"/>
              <w:jc w:val="both"/>
              <w:rPr>
                <w:color w:val="auto"/>
                <w:sz w:val="22"/>
                <w:szCs w:val="22"/>
              </w:rPr>
            </w:pPr>
            <w:r>
              <w:rPr>
                <w:color w:val="auto"/>
                <w:sz w:val="22"/>
                <w:szCs w:val="22"/>
              </w:rPr>
              <w:t>Урок 27</w:t>
            </w:r>
          </w:p>
        </w:tc>
        <w:tc>
          <w:tcPr>
            <w:tcW w:w="7937" w:type="dxa"/>
            <w:vAlign w:val="center"/>
          </w:tcPr>
          <w:p w14:paraId="4141708A">
            <w:pPr>
              <w:pStyle w:val="85"/>
              <w:jc w:val="both"/>
              <w:rPr>
                <w:color w:val="auto"/>
                <w:sz w:val="22"/>
                <w:szCs w:val="22"/>
              </w:rPr>
            </w:pPr>
            <w:r>
              <w:rPr>
                <w:color w:val="auto"/>
                <w:sz w:val="22"/>
                <w:szCs w:val="22"/>
              </w:rPr>
              <w:t>Пришивание бусины на швейное изделие</w:t>
            </w:r>
          </w:p>
        </w:tc>
      </w:tr>
      <w:tr w14:paraId="18F3F0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779BA8DC">
            <w:pPr>
              <w:pStyle w:val="85"/>
              <w:jc w:val="both"/>
              <w:rPr>
                <w:color w:val="auto"/>
                <w:sz w:val="22"/>
                <w:szCs w:val="22"/>
              </w:rPr>
            </w:pPr>
            <w:r>
              <w:rPr>
                <w:color w:val="auto"/>
                <w:sz w:val="22"/>
                <w:szCs w:val="22"/>
              </w:rPr>
              <w:t>Урок 28</w:t>
            </w:r>
          </w:p>
        </w:tc>
        <w:tc>
          <w:tcPr>
            <w:tcW w:w="7937" w:type="dxa"/>
            <w:vAlign w:val="center"/>
          </w:tcPr>
          <w:p w14:paraId="1BBE9402">
            <w:pPr>
              <w:pStyle w:val="85"/>
              <w:jc w:val="both"/>
              <w:rPr>
                <w:color w:val="auto"/>
                <w:sz w:val="22"/>
                <w:szCs w:val="22"/>
              </w:rPr>
            </w:pPr>
            <w:r>
              <w:rPr>
                <w:color w:val="auto"/>
                <w:sz w:val="22"/>
                <w:szCs w:val="22"/>
              </w:rPr>
              <w:t>Подвижное и неподвижное соединение деталей из деталей наборов конструктора. Профессии технической, инженерной направленности</w:t>
            </w:r>
          </w:p>
        </w:tc>
      </w:tr>
      <w:tr w14:paraId="471177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6A1C4945">
            <w:pPr>
              <w:pStyle w:val="85"/>
              <w:jc w:val="both"/>
              <w:rPr>
                <w:color w:val="auto"/>
                <w:sz w:val="22"/>
                <w:szCs w:val="22"/>
              </w:rPr>
            </w:pPr>
            <w:r>
              <w:rPr>
                <w:color w:val="auto"/>
                <w:sz w:val="22"/>
                <w:szCs w:val="22"/>
              </w:rPr>
              <w:t>Урок 29</w:t>
            </w:r>
          </w:p>
        </w:tc>
        <w:tc>
          <w:tcPr>
            <w:tcW w:w="7937" w:type="dxa"/>
            <w:vAlign w:val="center"/>
          </w:tcPr>
          <w:p w14:paraId="68C28BB6">
            <w:pPr>
              <w:pStyle w:val="85"/>
              <w:jc w:val="both"/>
              <w:rPr>
                <w:color w:val="auto"/>
                <w:sz w:val="22"/>
                <w:szCs w:val="22"/>
              </w:rPr>
            </w:pPr>
            <w:r>
              <w:rPr>
                <w:color w:val="auto"/>
                <w:sz w:val="22"/>
                <w:szCs w:val="22"/>
              </w:rPr>
              <w:t>Конструирование моделей с подвижным и неподвижным соединением из деталей набора конструктора или из разных материалов</w:t>
            </w:r>
          </w:p>
        </w:tc>
      </w:tr>
      <w:tr w14:paraId="234B2C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5F2FEFA2">
            <w:pPr>
              <w:pStyle w:val="85"/>
              <w:jc w:val="both"/>
              <w:rPr>
                <w:color w:val="auto"/>
                <w:sz w:val="22"/>
                <w:szCs w:val="22"/>
              </w:rPr>
            </w:pPr>
            <w:r>
              <w:rPr>
                <w:color w:val="auto"/>
                <w:sz w:val="22"/>
                <w:szCs w:val="22"/>
              </w:rPr>
              <w:t>Урок 30</w:t>
            </w:r>
          </w:p>
        </w:tc>
        <w:tc>
          <w:tcPr>
            <w:tcW w:w="7937" w:type="dxa"/>
            <w:vAlign w:val="center"/>
          </w:tcPr>
          <w:p w14:paraId="2079A741">
            <w:pPr>
              <w:pStyle w:val="85"/>
              <w:jc w:val="both"/>
              <w:rPr>
                <w:color w:val="auto"/>
                <w:sz w:val="22"/>
                <w:szCs w:val="22"/>
              </w:rPr>
            </w:pPr>
            <w:r>
              <w:rPr>
                <w:color w:val="auto"/>
                <w:sz w:val="22"/>
                <w:szCs w:val="22"/>
              </w:rPr>
              <w:t>Простые механизмы. Рычаг. Конструирование моделей качелей из деталей набора конструктора или из разных материалов</w:t>
            </w:r>
          </w:p>
        </w:tc>
      </w:tr>
      <w:tr w14:paraId="10E777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2B8A0F20">
            <w:pPr>
              <w:pStyle w:val="85"/>
              <w:jc w:val="both"/>
              <w:rPr>
                <w:color w:val="auto"/>
                <w:sz w:val="22"/>
                <w:szCs w:val="22"/>
              </w:rPr>
            </w:pPr>
            <w:r>
              <w:rPr>
                <w:color w:val="auto"/>
                <w:sz w:val="22"/>
                <w:szCs w:val="22"/>
              </w:rPr>
              <w:t>Урок 31</w:t>
            </w:r>
          </w:p>
        </w:tc>
        <w:tc>
          <w:tcPr>
            <w:tcW w:w="7937" w:type="dxa"/>
            <w:vAlign w:val="center"/>
          </w:tcPr>
          <w:p w14:paraId="2069FABB">
            <w:pPr>
              <w:pStyle w:val="85"/>
              <w:jc w:val="both"/>
              <w:rPr>
                <w:color w:val="auto"/>
                <w:sz w:val="22"/>
                <w:szCs w:val="22"/>
              </w:rPr>
            </w:pPr>
            <w:r>
              <w:rPr>
                <w:color w:val="auto"/>
                <w:sz w:val="22"/>
                <w:szCs w:val="22"/>
              </w:rPr>
              <w:t>Простые механизмы. Ножничный механизм. Конструирование моделей с ножничным механизмом из деталей набора конструктора или из разных материалов</w:t>
            </w:r>
          </w:p>
        </w:tc>
      </w:tr>
      <w:tr w14:paraId="6CF2E8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76C8EDE0">
            <w:pPr>
              <w:pStyle w:val="85"/>
              <w:jc w:val="both"/>
              <w:rPr>
                <w:color w:val="auto"/>
                <w:sz w:val="22"/>
                <w:szCs w:val="22"/>
              </w:rPr>
            </w:pPr>
            <w:r>
              <w:rPr>
                <w:color w:val="auto"/>
                <w:sz w:val="22"/>
                <w:szCs w:val="22"/>
              </w:rPr>
              <w:t>Урок 32</w:t>
            </w:r>
          </w:p>
        </w:tc>
        <w:tc>
          <w:tcPr>
            <w:tcW w:w="7937" w:type="dxa"/>
            <w:vAlign w:val="center"/>
          </w:tcPr>
          <w:p w14:paraId="7E5D0D41">
            <w:pPr>
              <w:pStyle w:val="85"/>
              <w:jc w:val="both"/>
              <w:rPr>
                <w:color w:val="auto"/>
                <w:sz w:val="22"/>
                <w:szCs w:val="22"/>
              </w:rPr>
            </w:pPr>
            <w:r>
              <w:rPr>
                <w:color w:val="auto"/>
                <w:sz w:val="22"/>
                <w:szCs w:val="22"/>
              </w:rPr>
              <w:t>Конструирование модели робота из деталей набора конструктор или из разных материалов</w:t>
            </w:r>
          </w:p>
        </w:tc>
      </w:tr>
      <w:tr w14:paraId="6AD3F7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1F7EE394">
            <w:pPr>
              <w:pStyle w:val="85"/>
              <w:jc w:val="both"/>
              <w:rPr>
                <w:color w:val="auto"/>
                <w:sz w:val="22"/>
                <w:szCs w:val="22"/>
              </w:rPr>
            </w:pPr>
            <w:r>
              <w:rPr>
                <w:color w:val="auto"/>
                <w:sz w:val="22"/>
                <w:szCs w:val="22"/>
              </w:rPr>
              <w:t>Урок 33</w:t>
            </w:r>
          </w:p>
        </w:tc>
        <w:tc>
          <w:tcPr>
            <w:tcW w:w="7937" w:type="dxa"/>
            <w:vAlign w:val="center"/>
          </w:tcPr>
          <w:p w14:paraId="501500E5">
            <w:pPr>
              <w:pStyle w:val="85"/>
              <w:jc w:val="both"/>
              <w:rPr>
                <w:color w:val="auto"/>
                <w:sz w:val="22"/>
                <w:szCs w:val="22"/>
              </w:rPr>
            </w:pPr>
            <w:r>
              <w:rPr>
                <w:color w:val="auto"/>
                <w:sz w:val="22"/>
                <w:szCs w:val="22"/>
              </w:rPr>
              <w:t>Конструирование модели транспортного робота из деталей набора конструктор или из разных материалов</w:t>
            </w:r>
          </w:p>
        </w:tc>
      </w:tr>
      <w:tr w14:paraId="494CCB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272EA2F7">
            <w:pPr>
              <w:pStyle w:val="85"/>
              <w:jc w:val="both"/>
              <w:rPr>
                <w:color w:val="auto"/>
                <w:sz w:val="22"/>
                <w:szCs w:val="22"/>
              </w:rPr>
            </w:pPr>
            <w:r>
              <w:rPr>
                <w:color w:val="auto"/>
                <w:sz w:val="22"/>
                <w:szCs w:val="22"/>
              </w:rPr>
              <w:t>Урок 34</w:t>
            </w:r>
          </w:p>
        </w:tc>
        <w:tc>
          <w:tcPr>
            <w:tcW w:w="7937" w:type="dxa"/>
            <w:vAlign w:val="center"/>
          </w:tcPr>
          <w:p w14:paraId="101D7EEA">
            <w:pPr>
              <w:pStyle w:val="85"/>
              <w:jc w:val="both"/>
              <w:rPr>
                <w:color w:val="auto"/>
                <w:sz w:val="22"/>
                <w:szCs w:val="22"/>
              </w:rPr>
            </w:pPr>
            <w:r>
              <w:rPr>
                <w:color w:val="auto"/>
                <w:sz w:val="22"/>
                <w:szCs w:val="22"/>
              </w:rPr>
              <w:t>Итоговый контроль за год (повторение)</w:t>
            </w:r>
          </w:p>
        </w:tc>
      </w:tr>
      <w:tr w14:paraId="05A878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9071" w:type="dxa"/>
            <w:gridSpan w:val="2"/>
            <w:vAlign w:val="center"/>
          </w:tcPr>
          <w:p w14:paraId="5B3548E9">
            <w:pPr>
              <w:pStyle w:val="85"/>
              <w:jc w:val="both"/>
              <w:rPr>
                <w:color w:val="auto"/>
                <w:sz w:val="22"/>
                <w:szCs w:val="22"/>
              </w:rPr>
            </w:pPr>
            <w:r>
              <w:rPr>
                <w:color w:val="auto"/>
                <w:sz w:val="22"/>
                <w:szCs w:val="22"/>
              </w:rPr>
              <w:t>ОБЩЕЕ КОЛИЧЕСТВО УРОКОВ ПО ПРОГРАММЕ: 34, из них уроков, отведенных на контрольные работы, - не более 3</w:t>
            </w:r>
          </w:p>
        </w:tc>
      </w:tr>
    </w:tbl>
    <w:p w14:paraId="2BF7A4CB">
      <w:pPr>
        <w:pStyle w:val="85"/>
        <w:jc w:val="both"/>
        <w:rPr>
          <w:color w:val="auto"/>
          <w:sz w:val="22"/>
          <w:szCs w:val="22"/>
        </w:rPr>
      </w:pPr>
    </w:p>
    <w:p w14:paraId="66783492">
      <w:pPr>
        <w:pStyle w:val="85"/>
        <w:jc w:val="right"/>
        <w:rPr>
          <w:color w:val="auto"/>
          <w:sz w:val="22"/>
          <w:szCs w:val="22"/>
        </w:rPr>
      </w:pPr>
      <w:r>
        <w:rPr>
          <w:color w:val="auto"/>
          <w:sz w:val="22"/>
          <w:szCs w:val="22"/>
        </w:rPr>
        <w:t>Таблица 13.3</w:t>
      </w:r>
    </w:p>
    <w:p w14:paraId="757E4CA3">
      <w:pPr>
        <w:pStyle w:val="85"/>
        <w:jc w:val="both"/>
        <w:rPr>
          <w:color w:val="auto"/>
          <w:sz w:val="22"/>
          <w:szCs w:val="22"/>
        </w:rPr>
      </w:pPr>
    </w:p>
    <w:p w14:paraId="3C2EE93F">
      <w:pPr>
        <w:pStyle w:val="85"/>
        <w:jc w:val="both"/>
        <w:rPr>
          <w:color w:val="auto"/>
          <w:sz w:val="22"/>
          <w:szCs w:val="22"/>
        </w:rPr>
      </w:pPr>
      <w:r>
        <w:rPr>
          <w:color w:val="auto"/>
          <w:sz w:val="22"/>
          <w:szCs w:val="22"/>
        </w:rPr>
        <w:t>4 класс</w:t>
      </w:r>
    </w:p>
    <w:p w14:paraId="3C25EB2E">
      <w:pPr>
        <w:pStyle w:val="85"/>
        <w:jc w:val="both"/>
        <w:rPr>
          <w:color w:val="auto"/>
          <w:sz w:val="22"/>
          <w:szCs w:val="22"/>
        </w:rPr>
      </w:pPr>
    </w:p>
    <w:tbl>
      <w:tblPr>
        <w:tblStyle w:val="1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02" w:type="dxa"/>
          <w:left w:w="62" w:type="dxa"/>
          <w:bottom w:w="102" w:type="dxa"/>
          <w:right w:w="62" w:type="dxa"/>
        </w:tblCellMar>
      </w:tblPr>
      <w:tblGrid>
        <w:gridCol w:w="1134"/>
        <w:gridCol w:w="7937"/>
      </w:tblGrid>
      <w:tr w14:paraId="2B41E0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tcPr>
          <w:p w14:paraId="3CF672D8">
            <w:pPr>
              <w:pStyle w:val="85"/>
              <w:jc w:val="center"/>
              <w:rPr>
                <w:color w:val="auto"/>
                <w:sz w:val="22"/>
                <w:szCs w:val="22"/>
              </w:rPr>
            </w:pPr>
            <w:r>
              <w:rPr>
                <w:color w:val="auto"/>
                <w:sz w:val="22"/>
                <w:szCs w:val="22"/>
              </w:rPr>
              <w:t>N урока</w:t>
            </w:r>
          </w:p>
        </w:tc>
        <w:tc>
          <w:tcPr>
            <w:tcW w:w="7937" w:type="dxa"/>
          </w:tcPr>
          <w:p w14:paraId="27E4429C">
            <w:pPr>
              <w:pStyle w:val="85"/>
              <w:jc w:val="center"/>
              <w:rPr>
                <w:color w:val="auto"/>
                <w:sz w:val="22"/>
                <w:szCs w:val="22"/>
              </w:rPr>
            </w:pPr>
            <w:r>
              <w:rPr>
                <w:color w:val="auto"/>
                <w:sz w:val="22"/>
                <w:szCs w:val="22"/>
              </w:rPr>
              <w:t>Тема урока</w:t>
            </w:r>
          </w:p>
        </w:tc>
      </w:tr>
      <w:tr w14:paraId="76F292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07B88385">
            <w:pPr>
              <w:pStyle w:val="85"/>
              <w:jc w:val="center"/>
              <w:rPr>
                <w:color w:val="auto"/>
                <w:sz w:val="22"/>
                <w:szCs w:val="22"/>
              </w:rPr>
            </w:pPr>
            <w:r>
              <w:rPr>
                <w:color w:val="auto"/>
                <w:sz w:val="22"/>
                <w:szCs w:val="22"/>
              </w:rPr>
              <w:t>Урок 1</w:t>
            </w:r>
          </w:p>
        </w:tc>
        <w:tc>
          <w:tcPr>
            <w:tcW w:w="7937" w:type="dxa"/>
            <w:vAlign w:val="center"/>
          </w:tcPr>
          <w:p w14:paraId="4802598D">
            <w:pPr>
              <w:pStyle w:val="85"/>
              <w:jc w:val="both"/>
              <w:rPr>
                <w:color w:val="auto"/>
                <w:sz w:val="22"/>
                <w:szCs w:val="22"/>
              </w:rPr>
            </w:pPr>
            <w:r>
              <w:rPr>
                <w:color w:val="auto"/>
                <w:sz w:val="22"/>
                <w:szCs w:val="22"/>
              </w:rPr>
              <w:t>Повторение изученного в 3 классе. Современные синтетические материалы</w:t>
            </w:r>
          </w:p>
        </w:tc>
      </w:tr>
      <w:tr w14:paraId="52A46A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5D15EAD3">
            <w:pPr>
              <w:pStyle w:val="85"/>
              <w:jc w:val="center"/>
              <w:rPr>
                <w:color w:val="auto"/>
                <w:sz w:val="22"/>
                <w:szCs w:val="22"/>
              </w:rPr>
            </w:pPr>
            <w:r>
              <w:rPr>
                <w:color w:val="auto"/>
                <w:sz w:val="22"/>
                <w:szCs w:val="22"/>
              </w:rPr>
              <w:t>Урок 2</w:t>
            </w:r>
          </w:p>
        </w:tc>
        <w:tc>
          <w:tcPr>
            <w:tcW w:w="7937" w:type="dxa"/>
            <w:vAlign w:val="center"/>
          </w:tcPr>
          <w:p w14:paraId="257A5819">
            <w:pPr>
              <w:pStyle w:val="85"/>
              <w:jc w:val="both"/>
              <w:rPr>
                <w:color w:val="auto"/>
                <w:sz w:val="22"/>
                <w:szCs w:val="22"/>
              </w:rPr>
            </w:pPr>
            <w:r>
              <w:rPr>
                <w:color w:val="auto"/>
                <w:sz w:val="22"/>
                <w:szCs w:val="22"/>
              </w:rPr>
              <w:t>Современные производства и профессии</w:t>
            </w:r>
          </w:p>
        </w:tc>
      </w:tr>
      <w:tr w14:paraId="337C88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1BBC6647">
            <w:pPr>
              <w:pStyle w:val="85"/>
              <w:jc w:val="center"/>
              <w:rPr>
                <w:color w:val="auto"/>
                <w:sz w:val="22"/>
                <w:szCs w:val="22"/>
              </w:rPr>
            </w:pPr>
            <w:r>
              <w:rPr>
                <w:color w:val="auto"/>
                <w:sz w:val="22"/>
                <w:szCs w:val="22"/>
              </w:rPr>
              <w:t>Урок 3</w:t>
            </w:r>
          </w:p>
        </w:tc>
        <w:tc>
          <w:tcPr>
            <w:tcW w:w="7937" w:type="dxa"/>
            <w:vAlign w:val="center"/>
          </w:tcPr>
          <w:p w14:paraId="7BE01474">
            <w:pPr>
              <w:pStyle w:val="85"/>
              <w:jc w:val="both"/>
              <w:rPr>
                <w:color w:val="auto"/>
                <w:sz w:val="22"/>
                <w:szCs w:val="22"/>
              </w:rPr>
            </w:pPr>
            <w:r>
              <w:rPr>
                <w:color w:val="auto"/>
                <w:sz w:val="22"/>
                <w:szCs w:val="22"/>
              </w:rPr>
              <w:t>Информация. Сеть Интернет</w:t>
            </w:r>
          </w:p>
        </w:tc>
      </w:tr>
      <w:tr w14:paraId="2AD9BC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449E4846">
            <w:pPr>
              <w:pStyle w:val="85"/>
              <w:jc w:val="center"/>
              <w:rPr>
                <w:color w:val="auto"/>
                <w:sz w:val="22"/>
                <w:szCs w:val="22"/>
              </w:rPr>
            </w:pPr>
            <w:r>
              <w:rPr>
                <w:color w:val="auto"/>
                <w:sz w:val="22"/>
                <w:szCs w:val="22"/>
              </w:rPr>
              <w:t>Урок 4</w:t>
            </w:r>
          </w:p>
        </w:tc>
        <w:tc>
          <w:tcPr>
            <w:tcW w:w="7937" w:type="dxa"/>
            <w:vAlign w:val="center"/>
          </w:tcPr>
          <w:p w14:paraId="36854F42">
            <w:pPr>
              <w:pStyle w:val="85"/>
              <w:jc w:val="both"/>
              <w:rPr>
                <w:color w:val="auto"/>
                <w:sz w:val="22"/>
                <w:szCs w:val="22"/>
              </w:rPr>
            </w:pPr>
            <w:r>
              <w:rPr>
                <w:color w:val="auto"/>
                <w:sz w:val="22"/>
                <w:szCs w:val="22"/>
              </w:rPr>
              <w:t>Графический редактор</w:t>
            </w:r>
          </w:p>
        </w:tc>
      </w:tr>
      <w:tr w14:paraId="7A17D7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6EF2FC95">
            <w:pPr>
              <w:pStyle w:val="85"/>
              <w:jc w:val="center"/>
              <w:rPr>
                <w:color w:val="auto"/>
                <w:sz w:val="22"/>
                <w:szCs w:val="22"/>
              </w:rPr>
            </w:pPr>
            <w:r>
              <w:rPr>
                <w:color w:val="auto"/>
                <w:sz w:val="22"/>
                <w:szCs w:val="22"/>
              </w:rPr>
              <w:t>Урок 5</w:t>
            </w:r>
          </w:p>
        </w:tc>
        <w:tc>
          <w:tcPr>
            <w:tcW w:w="7937" w:type="dxa"/>
            <w:vAlign w:val="center"/>
          </w:tcPr>
          <w:p w14:paraId="74DE7BFF">
            <w:pPr>
              <w:pStyle w:val="85"/>
              <w:jc w:val="both"/>
              <w:rPr>
                <w:color w:val="auto"/>
                <w:sz w:val="22"/>
                <w:szCs w:val="22"/>
              </w:rPr>
            </w:pPr>
            <w:r>
              <w:rPr>
                <w:color w:val="auto"/>
                <w:sz w:val="22"/>
                <w:szCs w:val="22"/>
              </w:rPr>
              <w:t>Групповой проект в рамках изучаемой тематики</w:t>
            </w:r>
          </w:p>
        </w:tc>
      </w:tr>
      <w:tr w14:paraId="3368D4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78AF6F44">
            <w:pPr>
              <w:pStyle w:val="85"/>
              <w:jc w:val="center"/>
              <w:rPr>
                <w:color w:val="auto"/>
                <w:sz w:val="22"/>
                <w:szCs w:val="22"/>
              </w:rPr>
            </w:pPr>
            <w:r>
              <w:rPr>
                <w:color w:val="auto"/>
                <w:sz w:val="22"/>
                <w:szCs w:val="22"/>
              </w:rPr>
              <w:t>Урок 6</w:t>
            </w:r>
          </w:p>
        </w:tc>
        <w:tc>
          <w:tcPr>
            <w:tcW w:w="7937" w:type="dxa"/>
            <w:vAlign w:val="center"/>
          </w:tcPr>
          <w:p w14:paraId="313364DD">
            <w:pPr>
              <w:pStyle w:val="85"/>
              <w:jc w:val="both"/>
              <w:rPr>
                <w:color w:val="auto"/>
                <w:sz w:val="22"/>
                <w:szCs w:val="22"/>
              </w:rPr>
            </w:pPr>
            <w:r>
              <w:rPr>
                <w:color w:val="auto"/>
                <w:sz w:val="22"/>
                <w:szCs w:val="22"/>
              </w:rPr>
              <w:t>Робототехника. Виды роботов</w:t>
            </w:r>
          </w:p>
        </w:tc>
      </w:tr>
      <w:tr w14:paraId="6D74AD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69774F2E">
            <w:pPr>
              <w:pStyle w:val="85"/>
              <w:jc w:val="center"/>
              <w:rPr>
                <w:color w:val="auto"/>
                <w:sz w:val="22"/>
                <w:szCs w:val="22"/>
              </w:rPr>
            </w:pPr>
            <w:r>
              <w:rPr>
                <w:color w:val="auto"/>
                <w:sz w:val="22"/>
                <w:szCs w:val="22"/>
              </w:rPr>
              <w:t>Урок 7</w:t>
            </w:r>
          </w:p>
        </w:tc>
        <w:tc>
          <w:tcPr>
            <w:tcW w:w="7937" w:type="dxa"/>
            <w:vAlign w:val="center"/>
          </w:tcPr>
          <w:p w14:paraId="6892B212">
            <w:pPr>
              <w:pStyle w:val="85"/>
              <w:jc w:val="both"/>
              <w:rPr>
                <w:color w:val="auto"/>
                <w:sz w:val="22"/>
                <w:szCs w:val="22"/>
              </w:rPr>
            </w:pPr>
            <w:r>
              <w:rPr>
                <w:color w:val="auto"/>
                <w:sz w:val="22"/>
                <w:szCs w:val="22"/>
              </w:rPr>
              <w:t>Конструирование робота</w:t>
            </w:r>
          </w:p>
        </w:tc>
      </w:tr>
      <w:tr w14:paraId="3CAECB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1AA81A58">
            <w:pPr>
              <w:pStyle w:val="85"/>
              <w:jc w:val="center"/>
              <w:rPr>
                <w:color w:val="auto"/>
                <w:sz w:val="22"/>
                <w:szCs w:val="22"/>
              </w:rPr>
            </w:pPr>
            <w:r>
              <w:rPr>
                <w:color w:val="auto"/>
                <w:sz w:val="22"/>
                <w:szCs w:val="22"/>
              </w:rPr>
              <w:t>Урок 8</w:t>
            </w:r>
          </w:p>
        </w:tc>
        <w:tc>
          <w:tcPr>
            <w:tcW w:w="7937" w:type="dxa"/>
            <w:vAlign w:val="center"/>
          </w:tcPr>
          <w:p w14:paraId="650ACACB">
            <w:pPr>
              <w:pStyle w:val="85"/>
              <w:jc w:val="both"/>
              <w:rPr>
                <w:color w:val="auto"/>
                <w:sz w:val="22"/>
                <w:szCs w:val="22"/>
              </w:rPr>
            </w:pPr>
            <w:r>
              <w:rPr>
                <w:color w:val="auto"/>
                <w:sz w:val="22"/>
                <w:szCs w:val="22"/>
              </w:rPr>
              <w:t>Электронные устройства. Контроллер, двигатель</w:t>
            </w:r>
          </w:p>
        </w:tc>
      </w:tr>
      <w:tr w14:paraId="388C3C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59A9940C">
            <w:pPr>
              <w:pStyle w:val="85"/>
              <w:jc w:val="center"/>
              <w:rPr>
                <w:color w:val="auto"/>
                <w:sz w:val="22"/>
                <w:szCs w:val="22"/>
              </w:rPr>
            </w:pPr>
            <w:r>
              <w:rPr>
                <w:color w:val="auto"/>
                <w:sz w:val="22"/>
                <w:szCs w:val="22"/>
              </w:rPr>
              <w:t>Урок 9</w:t>
            </w:r>
          </w:p>
        </w:tc>
        <w:tc>
          <w:tcPr>
            <w:tcW w:w="7937" w:type="dxa"/>
            <w:vAlign w:val="center"/>
          </w:tcPr>
          <w:p w14:paraId="7C14D705">
            <w:pPr>
              <w:pStyle w:val="85"/>
              <w:jc w:val="both"/>
              <w:rPr>
                <w:color w:val="auto"/>
                <w:sz w:val="22"/>
                <w:szCs w:val="22"/>
              </w:rPr>
            </w:pPr>
            <w:r>
              <w:rPr>
                <w:color w:val="auto"/>
                <w:sz w:val="22"/>
                <w:szCs w:val="22"/>
              </w:rPr>
              <w:t>Программирование робота</w:t>
            </w:r>
          </w:p>
        </w:tc>
      </w:tr>
      <w:tr w14:paraId="75744A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5F47C6B8">
            <w:pPr>
              <w:pStyle w:val="85"/>
              <w:jc w:val="center"/>
              <w:rPr>
                <w:color w:val="auto"/>
                <w:sz w:val="22"/>
                <w:szCs w:val="22"/>
              </w:rPr>
            </w:pPr>
            <w:r>
              <w:rPr>
                <w:color w:val="auto"/>
                <w:sz w:val="22"/>
                <w:szCs w:val="22"/>
              </w:rPr>
              <w:t>Урок 10</w:t>
            </w:r>
          </w:p>
        </w:tc>
        <w:tc>
          <w:tcPr>
            <w:tcW w:w="7937" w:type="dxa"/>
            <w:vAlign w:val="center"/>
          </w:tcPr>
          <w:p w14:paraId="79EBBF78">
            <w:pPr>
              <w:pStyle w:val="85"/>
              <w:jc w:val="both"/>
              <w:rPr>
                <w:color w:val="auto"/>
                <w:sz w:val="22"/>
                <w:szCs w:val="22"/>
              </w:rPr>
            </w:pPr>
            <w:r>
              <w:rPr>
                <w:color w:val="auto"/>
                <w:sz w:val="22"/>
                <w:szCs w:val="22"/>
              </w:rPr>
              <w:t>Испытания и презентация робота</w:t>
            </w:r>
          </w:p>
        </w:tc>
      </w:tr>
      <w:tr w14:paraId="6E952F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7296DBE4">
            <w:pPr>
              <w:pStyle w:val="85"/>
              <w:jc w:val="center"/>
              <w:rPr>
                <w:color w:val="auto"/>
                <w:sz w:val="22"/>
                <w:szCs w:val="22"/>
              </w:rPr>
            </w:pPr>
            <w:r>
              <w:rPr>
                <w:color w:val="auto"/>
                <w:sz w:val="22"/>
                <w:szCs w:val="22"/>
              </w:rPr>
              <w:t>Урок 11</w:t>
            </w:r>
          </w:p>
        </w:tc>
        <w:tc>
          <w:tcPr>
            <w:tcW w:w="7937" w:type="dxa"/>
            <w:vAlign w:val="center"/>
          </w:tcPr>
          <w:p w14:paraId="65AE123E">
            <w:pPr>
              <w:pStyle w:val="85"/>
              <w:jc w:val="both"/>
              <w:rPr>
                <w:color w:val="auto"/>
                <w:sz w:val="22"/>
                <w:szCs w:val="22"/>
              </w:rPr>
            </w:pPr>
            <w:r>
              <w:rPr>
                <w:color w:val="auto"/>
                <w:sz w:val="22"/>
                <w:szCs w:val="22"/>
              </w:rPr>
              <w:t>Конструирование сложной открытки</w:t>
            </w:r>
          </w:p>
        </w:tc>
      </w:tr>
      <w:tr w14:paraId="5BA2AF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6CEE0426">
            <w:pPr>
              <w:pStyle w:val="85"/>
              <w:jc w:val="center"/>
              <w:rPr>
                <w:color w:val="auto"/>
                <w:sz w:val="22"/>
                <w:szCs w:val="22"/>
              </w:rPr>
            </w:pPr>
            <w:r>
              <w:rPr>
                <w:color w:val="auto"/>
                <w:sz w:val="22"/>
                <w:szCs w:val="22"/>
              </w:rPr>
              <w:t>Урок 12</w:t>
            </w:r>
          </w:p>
        </w:tc>
        <w:tc>
          <w:tcPr>
            <w:tcW w:w="7937" w:type="dxa"/>
            <w:vAlign w:val="center"/>
          </w:tcPr>
          <w:p w14:paraId="7C7346A7">
            <w:pPr>
              <w:pStyle w:val="85"/>
              <w:jc w:val="both"/>
              <w:rPr>
                <w:color w:val="auto"/>
                <w:sz w:val="22"/>
                <w:szCs w:val="22"/>
              </w:rPr>
            </w:pPr>
            <w:r>
              <w:rPr>
                <w:color w:val="auto"/>
                <w:sz w:val="22"/>
                <w:szCs w:val="22"/>
              </w:rPr>
              <w:t>Конструирование сложных изделий из бумаги и картона</w:t>
            </w:r>
          </w:p>
        </w:tc>
      </w:tr>
      <w:tr w14:paraId="65B98D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40AC43DF">
            <w:pPr>
              <w:pStyle w:val="85"/>
              <w:jc w:val="center"/>
              <w:rPr>
                <w:color w:val="auto"/>
                <w:sz w:val="22"/>
                <w:szCs w:val="22"/>
              </w:rPr>
            </w:pPr>
            <w:r>
              <w:rPr>
                <w:color w:val="auto"/>
                <w:sz w:val="22"/>
                <w:szCs w:val="22"/>
              </w:rPr>
              <w:t>Урок 13</w:t>
            </w:r>
          </w:p>
        </w:tc>
        <w:tc>
          <w:tcPr>
            <w:tcW w:w="7937" w:type="dxa"/>
            <w:vAlign w:val="center"/>
          </w:tcPr>
          <w:p w14:paraId="3A5A7A65">
            <w:pPr>
              <w:pStyle w:val="85"/>
              <w:jc w:val="both"/>
              <w:rPr>
                <w:color w:val="auto"/>
                <w:sz w:val="22"/>
                <w:szCs w:val="22"/>
              </w:rPr>
            </w:pPr>
            <w:r>
              <w:rPr>
                <w:color w:val="auto"/>
                <w:sz w:val="22"/>
                <w:szCs w:val="22"/>
              </w:rPr>
              <w:t>Конструирование объемного изделия военной тематики</w:t>
            </w:r>
          </w:p>
        </w:tc>
      </w:tr>
      <w:tr w14:paraId="72AF58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7FA46053">
            <w:pPr>
              <w:pStyle w:val="85"/>
              <w:jc w:val="center"/>
              <w:rPr>
                <w:color w:val="auto"/>
                <w:sz w:val="22"/>
                <w:szCs w:val="22"/>
              </w:rPr>
            </w:pPr>
            <w:r>
              <w:rPr>
                <w:color w:val="auto"/>
                <w:sz w:val="22"/>
                <w:szCs w:val="22"/>
              </w:rPr>
              <w:t>Урок 14</w:t>
            </w:r>
          </w:p>
        </w:tc>
        <w:tc>
          <w:tcPr>
            <w:tcW w:w="7937" w:type="dxa"/>
            <w:vAlign w:val="center"/>
          </w:tcPr>
          <w:p w14:paraId="61671483">
            <w:pPr>
              <w:pStyle w:val="85"/>
              <w:jc w:val="both"/>
              <w:rPr>
                <w:color w:val="auto"/>
                <w:sz w:val="22"/>
                <w:szCs w:val="22"/>
              </w:rPr>
            </w:pPr>
            <w:r>
              <w:rPr>
                <w:color w:val="auto"/>
                <w:sz w:val="22"/>
                <w:szCs w:val="22"/>
              </w:rPr>
              <w:t>Конструирование объемного изделия - подарок женщине, девочке</w:t>
            </w:r>
          </w:p>
        </w:tc>
      </w:tr>
      <w:tr w14:paraId="733D6C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726FF9BF">
            <w:pPr>
              <w:pStyle w:val="85"/>
              <w:jc w:val="center"/>
              <w:rPr>
                <w:color w:val="auto"/>
                <w:sz w:val="22"/>
                <w:szCs w:val="22"/>
              </w:rPr>
            </w:pPr>
            <w:r>
              <w:rPr>
                <w:color w:val="auto"/>
                <w:sz w:val="22"/>
                <w:szCs w:val="22"/>
              </w:rPr>
              <w:t>Урок 15</w:t>
            </w:r>
          </w:p>
        </w:tc>
        <w:tc>
          <w:tcPr>
            <w:tcW w:w="7937" w:type="dxa"/>
            <w:vAlign w:val="center"/>
          </w:tcPr>
          <w:p w14:paraId="46226929">
            <w:pPr>
              <w:pStyle w:val="85"/>
              <w:jc w:val="both"/>
              <w:rPr>
                <w:color w:val="auto"/>
                <w:sz w:val="22"/>
                <w:szCs w:val="22"/>
              </w:rPr>
            </w:pPr>
            <w:r>
              <w:rPr>
                <w:color w:val="auto"/>
                <w:sz w:val="22"/>
                <w:szCs w:val="22"/>
              </w:rPr>
              <w:t>Изменение форм деталей объемных изделий. Изменение размеров деталей развертки</w:t>
            </w:r>
          </w:p>
        </w:tc>
      </w:tr>
      <w:tr w14:paraId="4DF2FD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5B60DB32">
            <w:pPr>
              <w:pStyle w:val="85"/>
              <w:jc w:val="center"/>
              <w:rPr>
                <w:color w:val="auto"/>
                <w:sz w:val="22"/>
                <w:szCs w:val="22"/>
              </w:rPr>
            </w:pPr>
            <w:r>
              <w:rPr>
                <w:color w:val="auto"/>
                <w:sz w:val="22"/>
                <w:szCs w:val="22"/>
              </w:rPr>
              <w:t>Урок 16</w:t>
            </w:r>
          </w:p>
        </w:tc>
        <w:tc>
          <w:tcPr>
            <w:tcW w:w="7937" w:type="dxa"/>
            <w:vAlign w:val="center"/>
          </w:tcPr>
          <w:p w14:paraId="1B640A3B">
            <w:pPr>
              <w:pStyle w:val="85"/>
              <w:jc w:val="both"/>
              <w:rPr>
                <w:color w:val="auto"/>
                <w:sz w:val="22"/>
                <w:szCs w:val="22"/>
              </w:rPr>
            </w:pPr>
            <w:r>
              <w:rPr>
                <w:color w:val="auto"/>
                <w:sz w:val="22"/>
                <w:szCs w:val="22"/>
              </w:rPr>
              <w:t>Построение развертки с помощью линейки и циркуля</w:t>
            </w:r>
          </w:p>
        </w:tc>
      </w:tr>
      <w:tr w14:paraId="676926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58670EAD">
            <w:pPr>
              <w:pStyle w:val="85"/>
              <w:jc w:val="center"/>
              <w:rPr>
                <w:color w:val="auto"/>
                <w:sz w:val="22"/>
                <w:szCs w:val="22"/>
              </w:rPr>
            </w:pPr>
            <w:r>
              <w:rPr>
                <w:color w:val="auto"/>
                <w:sz w:val="22"/>
                <w:szCs w:val="22"/>
              </w:rPr>
              <w:t>Урок 17</w:t>
            </w:r>
          </w:p>
        </w:tc>
        <w:tc>
          <w:tcPr>
            <w:tcW w:w="7937" w:type="dxa"/>
            <w:vAlign w:val="center"/>
          </w:tcPr>
          <w:p w14:paraId="4A6E73A1">
            <w:pPr>
              <w:pStyle w:val="85"/>
              <w:jc w:val="both"/>
              <w:rPr>
                <w:color w:val="auto"/>
                <w:sz w:val="22"/>
                <w:szCs w:val="22"/>
              </w:rPr>
            </w:pPr>
            <w:r>
              <w:rPr>
                <w:color w:val="auto"/>
                <w:sz w:val="22"/>
                <w:szCs w:val="22"/>
              </w:rPr>
              <w:t>Построение развертки многогранной пирамиды циркулем</w:t>
            </w:r>
          </w:p>
        </w:tc>
      </w:tr>
      <w:tr w14:paraId="49400F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5832A87F">
            <w:pPr>
              <w:pStyle w:val="85"/>
              <w:jc w:val="center"/>
              <w:rPr>
                <w:color w:val="auto"/>
                <w:sz w:val="22"/>
                <w:szCs w:val="22"/>
              </w:rPr>
            </w:pPr>
            <w:r>
              <w:rPr>
                <w:color w:val="auto"/>
                <w:sz w:val="22"/>
                <w:szCs w:val="22"/>
              </w:rPr>
              <w:t>Урок 18</w:t>
            </w:r>
          </w:p>
        </w:tc>
        <w:tc>
          <w:tcPr>
            <w:tcW w:w="7937" w:type="dxa"/>
            <w:vAlign w:val="center"/>
          </w:tcPr>
          <w:p w14:paraId="67C4D891">
            <w:pPr>
              <w:pStyle w:val="85"/>
              <w:jc w:val="both"/>
              <w:rPr>
                <w:color w:val="auto"/>
                <w:sz w:val="22"/>
                <w:szCs w:val="22"/>
              </w:rPr>
            </w:pPr>
            <w:r>
              <w:rPr>
                <w:color w:val="auto"/>
                <w:sz w:val="22"/>
                <w:szCs w:val="22"/>
              </w:rPr>
              <w:t>Декор интерьера. Художественная техника декупаж</w:t>
            </w:r>
          </w:p>
        </w:tc>
      </w:tr>
      <w:tr w14:paraId="3DCA7E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4B2B7D25">
            <w:pPr>
              <w:pStyle w:val="85"/>
              <w:jc w:val="center"/>
              <w:rPr>
                <w:color w:val="auto"/>
                <w:sz w:val="22"/>
                <w:szCs w:val="22"/>
              </w:rPr>
            </w:pPr>
            <w:r>
              <w:rPr>
                <w:color w:val="auto"/>
                <w:sz w:val="22"/>
                <w:szCs w:val="22"/>
              </w:rPr>
              <w:t>Урок 19</w:t>
            </w:r>
          </w:p>
        </w:tc>
        <w:tc>
          <w:tcPr>
            <w:tcW w:w="7937" w:type="dxa"/>
            <w:vAlign w:val="center"/>
          </w:tcPr>
          <w:p w14:paraId="75B84B9B">
            <w:pPr>
              <w:pStyle w:val="85"/>
              <w:jc w:val="both"/>
              <w:rPr>
                <w:color w:val="auto"/>
                <w:sz w:val="22"/>
                <w:szCs w:val="22"/>
              </w:rPr>
            </w:pPr>
            <w:r>
              <w:rPr>
                <w:color w:val="auto"/>
                <w:sz w:val="22"/>
                <w:szCs w:val="22"/>
              </w:rPr>
              <w:t>Природные мотивы в декоре интерьера</w:t>
            </w:r>
          </w:p>
        </w:tc>
      </w:tr>
      <w:tr w14:paraId="605F94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693EDA1D">
            <w:pPr>
              <w:pStyle w:val="85"/>
              <w:jc w:val="center"/>
              <w:rPr>
                <w:color w:val="auto"/>
                <w:sz w:val="22"/>
                <w:szCs w:val="22"/>
              </w:rPr>
            </w:pPr>
            <w:r>
              <w:rPr>
                <w:color w:val="auto"/>
                <w:sz w:val="22"/>
                <w:szCs w:val="22"/>
              </w:rPr>
              <w:t>Урок 20</w:t>
            </w:r>
          </w:p>
        </w:tc>
        <w:tc>
          <w:tcPr>
            <w:tcW w:w="7937" w:type="dxa"/>
            <w:vAlign w:val="center"/>
          </w:tcPr>
          <w:p w14:paraId="61DC6F34">
            <w:pPr>
              <w:pStyle w:val="85"/>
              <w:jc w:val="both"/>
              <w:rPr>
                <w:color w:val="auto"/>
                <w:sz w:val="22"/>
                <w:szCs w:val="22"/>
              </w:rPr>
            </w:pPr>
            <w:r>
              <w:rPr>
                <w:color w:val="auto"/>
                <w:sz w:val="22"/>
                <w:szCs w:val="22"/>
              </w:rPr>
              <w:t>Конструирование и моделирование изделий из различных материалов. Подвижное соединение деталей на проволоку (толстую нитку)</w:t>
            </w:r>
          </w:p>
        </w:tc>
      </w:tr>
      <w:tr w14:paraId="6245CB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78E7BD12">
            <w:pPr>
              <w:pStyle w:val="85"/>
              <w:jc w:val="center"/>
              <w:rPr>
                <w:color w:val="auto"/>
                <w:sz w:val="22"/>
                <w:szCs w:val="22"/>
              </w:rPr>
            </w:pPr>
            <w:r>
              <w:rPr>
                <w:color w:val="auto"/>
                <w:sz w:val="22"/>
                <w:szCs w:val="22"/>
              </w:rPr>
              <w:t>Урок 21</w:t>
            </w:r>
          </w:p>
        </w:tc>
        <w:tc>
          <w:tcPr>
            <w:tcW w:w="7937" w:type="dxa"/>
            <w:vAlign w:val="center"/>
          </w:tcPr>
          <w:p w14:paraId="2269B049">
            <w:pPr>
              <w:pStyle w:val="85"/>
              <w:jc w:val="both"/>
              <w:rPr>
                <w:color w:val="auto"/>
                <w:sz w:val="22"/>
                <w:szCs w:val="22"/>
              </w:rPr>
            </w:pPr>
            <w:r>
              <w:rPr>
                <w:color w:val="auto"/>
                <w:sz w:val="22"/>
                <w:szCs w:val="22"/>
              </w:rPr>
              <w:t>Полимеры. Виды полимерных материалов, их свойства</w:t>
            </w:r>
          </w:p>
        </w:tc>
      </w:tr>
      <w:tr w14:paraId="1A4F65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493C74D9">
            <w:pPr>
              <w:pStyle w:val="85"/>
              <w:jc w:val="center"/>
              <w:rPr>
                <w:color w:val="auto"/>
                <w:sz w:val="22"/>
                <w:szCs w:val="22"/>
              </w:rPr>
            </w:pPr>
            <w:r>
              <w:rPr>
                <w:color w:val="auto"/>
                <w:sz w:val="22"/>
                <w:szCs w:val="22"/>
              </w:rPr>
              <w:t>Урок 22</w:t>
            </w:r>
          </w:p>
        </w:tc>
        <w:tc>
          <w:tcPr>
            <w:tcW w:w="7937" w:type="dxa"/>
            <w:vAlign w:val="center"/>
          </w:tcPr>
          <w:p w14:paraId="53154A9F">
            <w:pPr>
              <w:pStyle w:val="85"/>
              <w:jc w:val="both"/>
              <w:rPr>
                <w:color w:val="auto"/>
                <w:sz w:val="22"/>
                <w:szCs w:val="22"/>
              </w:rPr>
            </w:pPr>
            <w:r>
              <w:rPr>
                <w:color w:val="auto"/>
                <w:sz w:val="22"/>
                <w:szCs w:val="22"/>
              </w:rPr>
              <w:t>Технология обработки полимерных материалов (на выбор)</w:t>
            </w:r>
          </w:p>
        </w:tc>
      </w:tr>
      <w:tr w14:paraId="591DAE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2A583426">
            <w:pPr>
              <w:pStyle w:val="85"/>
              <w:jc w:val="center"/>
              <w:rPr>
                <w:color w:val="auto"/>
                <w:sz w:val="22"/>
                <w:szCs w:val="22"/>
              </w:rPr>
            </w:pPr>
            <w:r>
              <w:rPr>
                <w:color w:val="auto"/>
                <w:sz w:val="22"/>
                <w:szCs w:val="22"/>
              </w:rPr>
              <w:t>Урок 23</w:t>
            </w:r>
          </w:p>
        </w:tc>
        <w:tc>
          <w:tcPr>
            <w:tcW w:w="7937" w:type="dxa"/>
            <w:vAlign w:val="center"/>
          </w:tcPr>
          <w:p w14:paraId="523EF37E">
            <w:pPr>
              <w:pStyle w:val="85"/>
              <w:jc w:val="both"/>
              <w:rPr>
                <w:color w:val="auto"/>
                <w:sz w:val="22"/>
                <w:szCs w:val="22"/>
              </w:rPr>
            </w:pPr>
            <w:r>
              <w:rPr>
                <w:color w:val="auto"/>
                <w:sz w:val="22"/>
                <w:szCs w:val="22"/>
              </w:rPr>
              <w:t>Конструирование сложных форм из пластиковых трубочек</w:t>
            </w:r>
          </w:p>
        </w:tc>
      </w:tr>
      <w:tr w14:paraId="792B49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339D71AA">
            <w:pPr>
              <w:pStyle w:val="85"/>
              <w:jc w:val="center"/>
              <w:rPr>
                <w:color w:val="auto"/>
                <w:sz w:val="22"/>
                <w:szCs w:val="22"/>
              </w:rPr>
            </w:pPr>
            <w:r>
              <w:rPr>
                <w:color w:val="auto"/>
                <w:sz w:val="22"/>
                <w:szCs w:val="22"/>
              </w:rPr>
              <w:t>Урок 24</w:t>
            </w:r>
          </w:p>
        </w:tc>
        <w:tc>
          <w:tcPr>
            <w:tcW w:w="7937" w:type="dxa"/>
            <w:vAlign w:val="center"/>
          </w:tcPr>
          <w:p w14:paraId="2BBD89D8">
            <w:pPr>
              <w:pStyle w:val="85"/>
              <w:jc w:val="both"/>
              <w:rPr>
                <w:color w:val="auto"/>
                <w:sz w:val="22"/>
                <w:szCs w:val="22"/>
              </w:rPr>
            </w:pPr>
            <w:r>
              <w:rPr>
                <w:color w:val="auto"/>
                <w:sz w:val="22"/>
                <w:szCs w:val="22"/>
              </w:rPr>
              <w:t>Конструирование объемных геометрических конструкций из разных материалов</w:t>
            </w:r>
          </w:p>
        </w:tc>
      </w:tr>
      <w:tr w14:paraId="034C48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048C597A">
            <w:pPr>
              <w:pStyle w:val="85"/>
              <w:jc w:val="center"/>
              <w:rPr>
                <w:color w:val="auto"/>
                <w:sz w:val="22"/>
                <w:szCs w:val="22"/>
              </w:rPr>
            </w:pPr>
            <w:r>
              <w:rPr>
                <w:color w:val="auto"/>
                <w:sz w:val="22"/>
                <w:szCs w:val="22"/>
              </w:rPr>
              <w:t>Урок 25</w:t>
            </w:r>
          </w:p>
        </w:tc>
        <w:tc>
          <w:tcPr>
            <w:tcW w:w="7937" w:type="dxa"/>
            <w:vAlign w:val="center"/>
          </w:tcPr>
          <w:p w14:paraId="58105209">
            <w:pPr>
              <w:pStyle w:val="85"/>
              <w:jc w:val="both"/>
              <w:rPr>
                <w:color w:val="auto"/>
                <w:sz w:val="22"/>
                <w:szCs w:val="22"/>
              </w:rPr>
            </w:pPr>
            <w:r>
              <w:rPr>
                <w:color w:val="auto"/>
                <w:sz w:val="22"/>
                <w:szCs w:val="22"/>
              </w:rPr>
              <w:t>Синтетические ткани, их свойства</w:t>
            </w:r>
          </w:p>
        </w:tc>
      </w:tr>
      <w:tr w14:paraId="44CDEC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4E557FB8">
            <w:pPr>
              <w:pStyle w:val="85"/>
              <w:jc w:val="center"/>
              <w:rPr>
                <w:color w:val="auto"/>
                <w:sz w:val="22"/>
                <w:szCs w:val="22"/>
              </w:rPr>
            </w:pPr>
            <w:r>
              <w:rPr>
                <w:color w:val="auto"/>
                <w:sz w:val="22"/>
                <w:szCs w:val="22"/>
              </w:rPr>
              <w:t>Урок 26</w:t>
            </w:r>
          </w:p>
        </w:tc>
        <w:tc>
          <w:tcPr>
            <w:tcW w:w="7937" w:type="dxa"/>
            <w:vAlign w:val="center"/>
          </w:tcPr>
          <w:p w14:paraId="47AF65CB">
            <w:pPr>
              <w:pStyle w:val="85"/>
              <w:jc w:val="both"/>
              <w:rPr>
                <w:color w:val="auto"/>
                <w:sz w:val="22"/>
                <w:szCs w:val="22"/>
              </w:rPr>
            </w:pPr>
            <w:r>
              <w:rPr>
                <w:color w:val="auto"/>
                <w:sz w:val="22"/>
                <w:szCs w:val="22"/>
              </w:rPr>
              <w:t>Мода, одежда и ткани разных времен. Ткани натурального и искусственного происхождения</w:t>
            </w:r>
          </w:p>
        </w:tc>
      </w:tr>
      <w:tr w14:paraId="5FFE1F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7A59209D">
            <w:pPr>
              <w:pStyle w:val="85"/>
              <w:jc w:val="center"/>
              <w:rPr>
                <w:color w:val="auto"/>
                <w:sz w:val="22"/>
                <w:szCs w:val="22"/>
              </w:rPr>
            </w:pPr>
            <w:r>
              <w:rPr>
                <w:color w:val="auto"/>
                <w:sz w:val="22"/>
                <w:szCs w:val="22"/>
              </w:rPr>
              <w:t>Урок 27</w:t>
            </w:r>
          </w:p>
        </w:tc>
        <w:tc>
          <w:tcPr>
            <w:tcW w:w="7937" w:type="dxa"/>
            <w:vAlign w:val="center"/>
          </w:tcPr>
          <w:p w14:paraId="596B4613">
            <w:pPr>
              <w:pStyle w:val="85"/>
              <w:jc w:val="both"/>
              <w:rPr>
                <w:color w:val="auto"/>
                <w:sz w:val="22"/>
                <w:szCs w:val="22"/>
              </w:rPr>
            </w:pPr>
            <w:r>
              <w:rPr>
                <w:color w:val="auto"/>
                <w:sz w:val="22"/>
                <w:szCs w:val="22"/>
              </w:rPr>
              <w:t>Способ драпировки тканей. Исторический костюм</w:t>
            </w:r>
          </w:p>
        </w:tc>
      </w:tr>
      <w:tr w14:paraId="0B7188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2CD13268">
            <w:pPr>
              <w:pStyle w:val="85"/>
              <w:jc w:val="center"/>
              <w:rPr>
                <w:color w:val="auto"/>
                <w:sz w:val="22"/>
                <w:szCs w:val="22"/>
              </w:rPr>
            </w:pPr>
            <w:r>
              <w:rPr>
                <w:color w:val="auto"/>
                <w:sz w:val="22"/>
                <w:szCs w:val="22"/>
              </w:rPr>
              <w:t>Урок 28</w:t>
            </w:r>
          </w:p>
        </w:tc>
        <w:tc>
          <w:tcPr>
            <w:tcW w:w="7937" w:type="dxa"/>
            <w:vAlign w:val="center"/>
          </w:tcPr>
          <w:p w14:paraId="142EBFC6">
            <w:pPr>
              <w:pStyle w:val="85"/>
              <w:jc w:val="both"/>
              <w:rPr>
                <w:color w:val="auto"/>
                <w:sz w:val="22"/>
                <w:szCs w:val="22"/>
              </w:rPr>
            </w:pPr>
            <w:r>
              <w:rPr>
                <w:color w:val="auto"/>
                <w:sz w:val="22"/>
                <w:szCs w:val="22"/>
              </w:rPr>
              <w:t>Одежда народов России. Составные части костюмов и платьев, их конструктивные и декоративные особенности</w:t>
            </w:r>
          </w:p>
        </w:tc>
      </w:tr>
      <w:tr w14:paraId="52FBB0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7B2571CF">
            <w:pPr>
              <w:pStyle w:val="85"/>
              <w:jc w:val="center"/>
              <w:rPr>
                <w:color w:val="auto"/>
                <w:sz w:val="22"/>
                <w:szCs w:val="22"/>
              </w:rPr>
            </w:pPr>
            <w:r>
              <w:rPr>
                <w:color w:val="auto"/>
                <w:sz w:val="22"/>
                <w:szCs w:val="22"/>
              </w:rPr>
              <w:t>Урок 29</w:t>
            </w:r>
          </w:p>
        </w:tc>
        <w:tc>
          <w:tcPr>
            <w:tcW w:w="7937" w:type="dxa"/>
            <w:vAlign w:val="center"/>
          </w:tcPr>
          <w:p w14:paraId="47701022">
            <w:pPr>
              <w:pStyle w:val="85"/>
              <w:jc w:val="both"/>
              <w:rPr>
                <w:color w:val="auto"/>
                <w:sz w:val="22"/>
                <w:szCs w:val="22"/>
              </w:rPr>
            </w:pPr>
            <w:r>
              <w:rPr>
                <w:color w:val="auto"/>
                <w:sz w:val="22"/>
                <w:szCs w:val="22"/>
              </w:rPr>
              <w:t>Строчка крестообразного стежка. Строчка петлеобразного стежка. Аксессуары в одежде</w:t>
            </w:r>
          </w:p>
        </w:tc>
      </w:tr>
      <w:tr w14:paraId="236D75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462135E1">
            <w:pPr>
              <w:pStyle w:val="85"/>
              <w:jc w:val="center"/>
              <w:rPr>
                <w:color w:val="auto"/>
                <w:sz w:val="22"/>
                <w:szCs w:val="22"/>
              </w:rPr>
            </w:pPr>
            <w:r>
              <w:rPr>
                <w:color w:val="auto"/>
                <w:sz w:val="22"/>
                <w:szCs w:val="22"/>
              </w:rPr>
              <w:t>Урок 30</w:t>
            </w:r>
          </w:p>
        </w:tc>
        <w:tc>
          <w:tcPr>
            <w:tcW w:w="7937" w:type="dxa"/>
            <w:vAlign w:val="center"/>
          </w:tcPr>
          <w:p w14:paraId="738EE6DF">
            <w:pPr>
              <w:pStyle w:val="85"/>
              <w:jc w:val="both"/>
              <w:rPr>
                <w:color w:val="auto"/>
                <w:sz w:val="22"/>
                <w:szCs w:val="22"/>
              </w:rPr>
            </w:pPr>
            <w:r>
              <w:rPr>
                <w:color w:val="auto"/>
                <w:sz w:val="22"/>
                <w:szCs w:val="22"/>
              </w:rPr>
              <w:t>Строчка крестообразного стежка. Строчка петлеобразного стежка. Аксессуары в одежде</w:t>
            </w:r>
          </w:p>
        </w:tc>
      </w:tr>
      <w:tr w14:paraId="2D3695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40EC4500">
            <w:pPr>
              <w:pStyle w:val="85"/>
              <w:jc w:val="center"/>
              <w:rPr>
                <w:color w:val="auto"/>
                <w:sz w:val="22"/>
                <w:szCs w:val="22"/>
              </w:rPr>
            </w:pPr>
            <w:r>
              <w:rPr>
                <w:color w:val="auto"/>
                <w:sz w:val="22"/>
                <w:szCs w:val="22"/>
              </w:rPr>
              <w:t>Урок 31</w:t>
            </w:r>
          </w:p>
        </w:tc>
        <w:tc>
          <w:tcPr>
            <w:tcW w:w="7937" w:type="dxa"/>
            <w:vAlign w:val="center"/>
          </w:tcPr>
          <w:p w14:paraId="50BEACE2">
            <w:pPr>
              <w:pStyle w:val="85"/>
              <w:jc w:val="both"/>
              <w:rPr>
                <w:color w:val="auto"/>
                <w:sz w:val="22"/>
                <w:szCs w:val="22"/>
              </w:rPr>
            </w:pPr>
            <w:r>
              <w:rPr>
                <w:color w:val="auto"/>
                <w:sz w:val="22"/>
                <w:szCs w:val="22"/>
              </w:rPr>
              <w:t>Конструкция "пружина" из полос картона или металлических деталей наборов конструктора</w:t>
            </w:r>
          </w:p>
        </w:tc>
      </w:tr>
      <w:tr w14:paraId="36B36E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512FDE4D">
            <w:pPr>
              <w:pStyle w:val="85"/>
              <w:jc w:val="center"/>
              <w:rPr>
                <w:color w:val="auto"/>
                <w:sz w:val="22"/>
                <w:szCs w:val="22"/>
              </w:rPr>
            </w:pPr>
            <w:r>
              <w:rPr>
                <w:color w:val="auto"/>
                <w:sz w:val="22"/>
                <w:szCs w:val="22"/>
              </w:rPr>
              <w:t>Урок 32</w:t>
            </w:r>
          </w:p>
        </w:tc>
        <w:tc>
          <w:tcPr>
            <w:tcW w:w="7937" w:type="dxa"/>
            <w:vAlign w:val="center"/>
          </w:tcPr>
          <w:p w14:paraId="7160A801">
            <w:pPr>
              <w:pStyle w:val="85"/>
              <w:jc w:val="both"/>
              <w:rPr>
                <w:color w:val="auto"/>
                <w:sz w:val="22"/>
                <w:szCs w:val="22"/>
              </w:rPr>
            </w:pPr>
            <w:r>
              <w:rPr>
                <w:color w:val="auto"/>
                <w:sz w:val="22"/>
                <w:szCs w:val="22"/>
              </w:rPr>
              <w:t>Конструкции с ножничным механизмом</w:t>
            </w:r>
          </w:p>
        </w:tc>
      </w:tr>
      <w:tr w14:paraId="08E543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7AD45DEB">
            <w:pPr>
              <w:pStyle w:val="85"/>
              <w:jc w:val="center"/>
              <w:rPr>
                <w:color w:val="auto"/>
                <w:sz w:val="22"/>
                <w:szCs w:val="22"/>
              </w:rPr>
            </w:pPr>
            <w:r>
              <w:rPr>
                <w:color w:val="auto"/>
                <w:sz w:val="22"/>
                <w:szCs w:val="22"/>
              </w:rPr>
              <w:t>Урок 33</w:t>
            </w:r>
          </w:p>
        </w:tc>
        <w:tc>
          <w:tcPr>
            <w:tcW w:w="7937" w:type="dxa"/>
            <w:vAlign w:val="center"/>
          </w:tcPr>
          <w:p w14:paraId="4261484E">
            <w:pPr>
              <w:pStyle w:val="85"/>
              <w:jc w:val="both"/>
              <w:rPr>
                <w:color w:val="auto"/>
                <w:sz w:val="22"/>
                <w:szCs w:val="22"/>
              </w:rPr>
            </w:pPr>
            <w:r>
              <w:rPr>
                <w:color w:val="auto"/>
                <w:sz w:val="22"/>
                <w:szCs w:val="22"/>
              </w:rPr>
              <w:t>Конструкция с рычажным механизмом</w:t>
            </w:r>
          </w:p>
        </w:tc>
      </w:tr>
      <w:tr w14:paraId="5E0A1D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vAlign w:val="center"/>
          </w:tcPr>
          <w:p w14:paraId="06C8C4CC">
            <w:pPr>
              <w:pStyle w:val="85"/>
              <w:jc w:val="center"/>
              <w:rPr>
                <w:color w:val="auto"/>
                <w:sz w:val="22"/>
                <w:szCs w:val="22"/>
              </w:rPr>
            </w:pPr>
            <w:r>
              <w:rPr>
                <w:color w:val="auto"/>
                <w:sz w:val="22"/>
                <w:szCs w:val="22"/>
              </w:rPr>
              <w:t>Урок 34</w:t>
            </w:r>
          </w:p>
        </w:tc>
        <w:tc>
          <w:tcPr>
            <w:tcW w:w="7937" w:type="dxa"/>
            <w:vAlign w:val="center"/>
          </w:tcPr>
          <w:p w14:paraId="330AEA8C">
            <w:pPr>
              <w:pStyle w:val="85"/>
              <w:jc w:val="both"/>
              <w:rPr>
                <w:color w:val="auto"/>
                <w:sz w:val="22"/>
                <w:szCs w:val="22"/>
              </w:rPr>
            </w:pPr>
            <w:r>
              <w:rPr>
                <w:color w:val="auto"/>
                <w:sz w:val="22"/>
                <w:szCs w:val="22"/>
              </w:rPr>
              <w:t>Подготовка портфолио. Повторение</w:t>
            </w:r>
          </w:p>
        </w:tc>
      </w:tr>
      <w:tr w14:paraId="339A77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9071" w:type="dxa"/>
            <w:gridSpan w:val="2"/>
            <w:vAlign w:val="center"/>
          </w:tcPr>
          <w:p w14:paraId="1AB4651B">
            <w:pPr>
              <w:pStyle w:val="85"/>
              <w:jc w:val="both"/>
              <w:rPr>
                <w:color w:val="auto"/>
                <w:sz w:val="22"/>
                <w:szCs w:val="22"/>
              </w:rPr>
            </w:pPr>
            <w:r>
              <w:rPr>
                <w:color w:val="auto"/>
                <w:sz w:val="22"/>
                <w:szCs w:val="22"/>
              </w:rPr>
              <w:t>ОБЩЕЕ КОЛИЧЕСТВО УРОКОВ ПО ПРОГРАММЕ: 34, из них уроков, отведенных на контрольные работы, - не более 3</w:t>
            </w:r>
          </w:p>
        </w:tc>
      </w:tr>
    </w:tbl>
    <w:p w14:paraId="0834E283">
      <w:pPr>
        <w:spacing w:after="0" w:line="360" w:lineRule="auto"/>
        <w:jc w:val="both"/>
        <w:rPr>
          <w:rFonts w:ascii="Times New Roman" w:hAnsi="Times New Roman"/>
        </w:rPr>
      </w:pPr>
    </w:p>
    <w:p w14:paraId="517A8013">
      <w:pPr>
        <w:pStyle w:val="2"/>
        <w:pBdr>
          <w:bottom w:val="none" w:color="auto" w:sz="0" w:space="0"/>
        </w:pBdr>
        <w:spacing w:before="0" w:line="360" w:lineRule="auto"/>
        <w:ind w:firstLine="708"/>
        <w:jc w:val="both"/>
        <w:rPr>
          <w:b w:val="0"/>
          <w:sz w:val="22"/>
          <w:szCs w:val="22"/>
        </w:rPr>
      </w:pPr>
      <w:r>
        <w:rPr>
          <w:b w:val="0"/>
          <w:sz w:val="22"/>
          <w:szCs w:val="22"/>
        </w:rPr>
        <w:t>16. Федеральная рабочая программа по учебному предмету «Физическая культура».</w:t>
      </w:r>
    </w:p>
    <w:p w14:paraId="01FD402D">
      <w:pPr>
        <w:pStyle w:val="99"/>
        <w:spacing w:line="360" w:lineRule="auto"/>
        <w:ind w:firstLine="709"/>
        <w:contextualSpacing/>
        <w:rPr>
          <w:rFonts w:ascii="Times New Roman" w:hAnsi="Times New Roman" w:cs="Times New Roman"/>
          <w:color w:val="auto"/>
          <w:sz w:val="22"/>
          <w:szCs w:val="22"/>
        </w:rPr>
      </w:pPr>
      <w:r>
        <w:rPr>
          <w:rFonts w:ascii="Times New Roman" w:hAnsi="Times New Roman" w:cs="Times New Roman"/>
          <w:color w:val="auto"/>
          <w:sz w:val="22"/>
          <w:szCs w:val="22"/>
        </w:rPr>
        <w:t>16.1. Федеральная рабочая программа по учебному предмету «Физическая культура» (предметная область «Физическая культура») (далее соответственно – программа по физической культуре, физическая культура) включает пояснительную записку, содержание обучения, планируемые результаты освоения программы по физической культуре.</w:t>
      </w:r>
    </w:p>
    <w:p w14:paraId="3EC2F0FB">
      <w:pPr>
        <w:pStyle w:val="99"/>
        <w:spacing w:line="360" w:lineRule="auto"/>
        <w:ind w:firstLine="709"/>
        <w:contextualSpacing/>
        <w:rPr>
          <w:rFonts w:ascii="Times New Roman" w:hAnsi="Times New Roman" w:cs="Times New Roman"/>
          <w:color w:val="auto"/>
          <w:sz w:val="22"/>
          <w:szCs w:val="22"/>
        </w:rPr>
      </w:pPr>
      <w:r>
        <w:rPr>
          <w:rFonts w:ascii="Times New Roman" w:hAnsi="Times New Roman" w:cs="Times New Roman"/>
          <w:color w:val="auto"/>
          <w:sz w:val="22"/>
          <w:szCs w:val="22"/>
        </w:rPr>
        <w:t>16.2. Вариант № 1.</w:t>
      </w:r>
    </w:p>
    <w:p w14:paraId="4EF6DE48">
      <w:pPr>
        <w:pStyle w:val="99"/>
        <w:spacing w:line="360" w:lineRule="auto"/>
        <w:ind w:firstLine="709"/>
        <w:contextualSpacing/>
        <w:rPr>
          <w:rFonts w:ascii="Times New Roman" w:hAnsi="Times New Roman" w:cs="Times New Roman"/>
          <w:color w:val="auto"/>
          <w:sz w:val="22"/>
          <w:szCs w:val="22"/>
        </w:rPr>
      </w:pPr>
      <w:r>
        <w:rPr>
          <w:rFonts w:ascii="Times New Roman" w:hAnsi="Times New Roman" w:cs="Times New Roman"/>
          <w:color w:val="auto"/>
          <w:sz w:val="22"/>
          <w:szCs w:val="22"/>
        </w:rPr>
        <w:t>16.2.1. Пояснительная записка.</w:t>
      </w:r>
    </w:p>
    <w:p w14:paraId="3AA11E26">
      <w:pPr>
        <w:pStyle w:val="99"/>
        <w:spacing w:line="360" w:lineRule="auto"/>
        <w:ind w:firstLine="709"/>
        <w:contextualSpacing/>
        <w:rPr>
          <w:rFonts w:ascii="Times New Roman" w:hAnsi="Times New Roman" w:cs="Times New Roman"/>
          <w:color w:val="auto"/>
          <w:sz w:val="22"/>
          <w:szCs w:val="22"/>
        </w:rPr>
      </w:pPr>
      <w:r>
        <w:rPr>
          <w:rFonts w:ascii="Times New Roman" w:hAnsi="Times New Roman" w:cs="Times New Roman"/>
          <w:color w:val="auto"/>
          <w:sz w:val="22"/>
          <w:szCs w:val="22"/>
        </w:rPr>
        <w:t xml:space="preserve">16.2.1.1. Программа по физической культуре на уровне начального общего образования составлена на основе требований к результатам освоения основной образовательной программы начального общего образования ФГОС НОО, а также ориентирована на целевые приоритеты духовно-нравственного развития, воспитания и социализации обучающихся, сформулированные в федеральной </w:t>
      </w:r>
      <w:r>
        <w:rPr>
          <w:rFonts w:ascii="Times New Roman" w:hAnsi="Times New Roman" w:eastAsia="SchoolBookSanPin" w:cs="Times New Roman"/>
          <w:color w:val="auto"/>
          <w:sz w:val="22"/>
          <w:szCs w:val="22"/>
        </w:rPr>
        <w:t xml:space="preserve">рабочей </w:t>
      </w:r>
      <w:r>
        <w:rPr>
          <w:rFonts w:ascii="Times New Roman" w:hAnsi="Times New Roman" w:cs="Times New Roman"/>
          <w:color w:val="auto"/>
          <w:sz w:val="22"/>
          <w:szCs w:val="22"/>
        </w:rPr>
        <w:t>программе воспитания.</w:t>
      </w:r>
    </w:p>
    <w:p w14:paraId="3DBA6213">
      <w:pPr>
        <w:spacing w:after="0" w:line="360" w:lineRule="auto"/>
        <w:ind w:firstLine="709"/>
        <w:contextualSpacing/>
        <w:jc w:val="both"/>
        <w:rPr>
          <w:rFonts w:ascii="Times New Roman" w:hAnsi="Times New Roman"/>
        </w:rPr>
      </w:pPr>
      <w:r>
        <w:rPr>
          <w:rFonts w:ascii="Times New Roman" w:hAnsi="Times New Roman"/>
        </w:rPr>
        <w:t>16.2.1.2. При создании программы по физической культуре учитывались потребности современного российского общества в воспитании здорового поколения, государственная политика с национальными целями увеличения продолжительности жизни граждан России и научная теория физической культуры, представляющая закономерности двигательной деятельности человека. Здоровье закладывается в детстве, и качественное образование в части физического воспитания, физической культуры детей дошкольного и начального возраста определяет образ жизни на многие годы.</w:t>
      </w:r>
    </w:p>
    <w:p w14:paraId="0B62AE66">
      <w:pPr>
        <w:pStyle w:val="99"/>
        <w:spacing w:line="360" w:lineRule="auto"/>
        <w:ind w:firstLine="709"/>
        <w:contextualSpacing/>
        <w:rPr>
          <w:rFonts w:ascii="Times New Roman" w:hAnsi="Times New Roman" w:cs="Times New Roman"/>
          <w:color w:val="auto"/>
          <w:sz w:val="22"/>
          <w:szCs w:val="22"/>
        </w:rPr>
      </w:pPr>
      <w:r>
        <w:rPr>
          <w:rFonts w:ascii="Times New Roman" w:hAnsi="Times New Roman" w:cs="Times New Roman"/>
          <w:color w:val="auto"/>
          <w:sz w:val="22"/>
          <w:szCs w:val="22"/>
        </w:rPr>
        <w:t xml:space="preserve">16.2.1.3. Основными составляющими в классификации физических упражнений по признаку исторически сложившихся систем физического воспитания являются гимнастика, игры, туризм, спорт. </w:t>
      </w:r>
    </w:p>
    <w:p w14:paraId="620847D0">
      <w:pPr>
        <w:pStyle w:val="99"/>
        <w:spacing w:line="360" w:lineRule="auto"/>
        <w:ind w:firstLine="709"/>
        <w:contextualSpacing/>
        <w:rPr>
          <w:rFonts w:ascii="Times New Roman" w:hAnsi="Times New Roman" w:cs="Times New Roman"/>
          <w:color w:val="auto"/>
          <w:spacing w:val="1"/>
          <w:sz w:val="22"/>
          <w:szCs w:val="22"/>
        </w:rPr>
      </w:pPr>
      <w:r>
        <w:rPr>
          <w:rFonts w:ascii="Times New Roman" w:hAnsi="Times New Roman" w:cs="Times New Roman"/>
          <w:color w:val="auto"/>
          <w:spacing w:val="1"/>
          <w:sz w:val="22"/>
          <w:szCs w:val="22"/>
        </w:rPr>
        <w:t>По данной классификации физические упражнения делятся на четыре группы: гимнастические упражнения, характеризующиеся многообразием искусственно созданных движений и действий, эффективность которых оценивается избирательностью воздействия на строение и функции организма, а также правильностью, красотой и координационной сложностью всех движений, игровые упражнения, состоящие из естественных видов действий (бега, бросков и других), которые выполняются в разнообразных вариантах в соответствии с изменяющейся игровой ситуацией и оцениваются по эффективности влияния на организм в целом и по конечному результату действия, туристические физические упражнения, включающие ходьбу, бег, прыжки, преодоление препятствий, ходьбу на лыжах, езду на велосипеде, греблю в естественных природных условиях, эффективность которых оценивается комплексным воздействием на организм и результативностью преодоления расстояния и препятствий на местности, спортивные упражнения объединяют ту группу действий, исполнение которых искусственно стандартизировано в соответствии с Единой всесоюзной спортивной классификацией и является предметом специализации для достижения максимальных спортивных результатов.</w:t>
      </w:r>
    </w:p>
    <w:p w14:paraId="7E2281B6">
      <w:pPr>
        <w:pStyle w:val="99"/>
        <w:spacing w:line="360" w:lineRule="auto"/>
        <w:ind w:firstLine="709"/>
        <w:contextualSpacing/>
        <w:rPr>
          <w:rFonts w:ascii="Times New Roman" w:hAnsi="Times New Roman" w:cs="Times New Roman"/>
          <w:color w:val="auto"/>
          <w:sz w:val="22"/>
          <w:szCs w:val="22"/>
        </w:rPr>
      </w:pPr>
      <w:r>
        <w:rPr>
          <w:rFonts w:ascii="Times New Roman" w:hAnsi="Times New Roman" w:cs="Times New Roman"/>
          <w:color w:val="auto"/>
          <w:sz w:val="22"/>
          <w:szCs w:val="22"/>
        </w:rPr>
        <w:t xml:space="preserve">16.2.1.4. Основные предметные результаты по учебному предмету «Физическая культура» в соответствии с </w:t>
      </w:r>
      <w:r>
        <w:rPr>
          <w:rFonts w:ascii="Times New Roman" w:hAnsi="Times New Roman" w:cs="Times New Roman"/>
          <w:bCs/>
          <w:color w:val="auto"/>
          <w:sz w:val="22"/>
          <w:szCs w:val="22"/>
        </w:rPr>
        <w:t>ФГОС НОО</w:t>
      </w:r>
      <w:r>
        <w:rPr>
          <w:rFonts w:ascii="Times New Roman" w:hAnsi="Times New Roman" w:cs="Times New Roman"/>
          <w:color w:val="auto"/>
          <w:sz w:val="22"/>
          <w:szCs w:val="22"/>
        </w:rPr>
        <w:t xml:space="preserve"> должны обеспечивать умение использовать основные гимнастические упражнения для формирования и укрепления здоровья, физического развития, физического совершенствования, повышения физической и умственной работоспособности.</w:t>
      </w:r>
    </w:p>
    <w:p w14:paraId="66313E9E">
      <w:pPr>
        <w:pStyle w:val="99"/>
        <w:spacing w:line="360" w:lineRule="auto"/>
        <w:ind w:firstLine="709"/>
        <w:contextualSpacing/>
        <w:rPr>
          <w:rFonts w:ascii="Times New Roman" w:hAnsi="Times New Roman" w:cs="Times New Roman"/>
          <w:color w:val="auto"/>
          <w:sz w:val="22"/>
          <w:szCs w:val="22"/>
        </w:rPr>
      </w:pPr>
      <w:r>
        <w:rPr>
          <w:rFonts w:ascii="Times New Roman" w:hAnsi="Times New Roman" w:cs="Times New Roman"/>
          <w:color w:val="auto"/>
          <w:sz w:val="22"/>
          <w:szCs w:val="22"/>
        </w:rPr>
        <w:t>16.2.1.5. В программе по физической культуре отведено особое место упражнениям основной гимнастики и играм с использованием гимнастических упражнений. Овладение жизненно важными навыками гимнастики позволяет решить задачу овладения жизненно важными навыками плавания. Программа по физической культуре включает упражнения для развития гибкости и координации, эффективность развития которых приходится на возрастной период начального общего образования. Целенаправленные физические упражнения позволяют избирательно и значительно их развить.</w:t>
      </w:r>
    </w:p>
    <w:p w14:paraId="093FED17">
      <w:pPr>
        <w:pStyle w:val="99"/>
        <w:spacing w:line="360" w:lineRule="auto"/>
        <w:ind w:firstLine="709"/>
        <w:contextualSpacing/>
        <w:rPr>
          <w:rFonts w:ascii="Times New Roman" w:hAnsi="Times New Roman" w:cs="Times New Roman"/>
          <w:color w:val="auto"/>
          <w:sz w:val="22"/>
          <w:szCs w:val="22"/>
        </w:rPr>
      </w:pPr>
      <w:r>
        <w:rPr>
          <w:rFonts w:ascii="Times New Roman" w:hAnsi="Times New Roman" w:cs="Times New Roman"/>
          <w:color w:val="auto"/>
          <w:sz w:val="22"/>
          <w:szCs w:val="22"/>
        </w:rPr>
        <w:t>16.2.1.6. Программа по физической культуре обеспечивает сформированность общих представлений о физической культуре и спорте, физической активности, физических качествах, жизненно важных прикладных умениях и навыках, основных физических упражнениях (гимнастических, игровых, туристических и спортивных).</w:t>
      </w:r>
    </w:p>
    <w:p w14:paraId="275A5042">
      <w:pPr>
        <w:pStyle w:val="99"/>
        <w:spacing w:line="360" w:lineRule="auto"/>
        <w:ind w:firstLine="709"/>
        <w:contextualSpacing/>
        <w:rPr>
          <w:rFonts w:ascii="Times New Roman" w:hAnsi="Times New Roman" w:cs="Times New Roman"/>
          <w:color w:val="auto"/>
          <w:sz w:val="22"/>
          <w:szCs w:val="22"/>
        </w:rPr>
      </w:pPr>
      <w:r>
        <w:rPr>
          <w:rFonts w:ascii="Times New Roman" w:hAnsi="Times New Roman" w:cs="Times New Roman"/>
          <w:color w:val="auto"/>
          <w:sz w:val="22"/>
          <w:szCs w:val="22"/>
        </w:rPr>
        <w:t xml:space="preserve">16.2.1.7. Освоение программы по физической культуре обеспечивает выполнение обучающимися нормативов Всероссийского физкультурно-спортивного комплекса «Готов к труду и обороне» </w:t>
      </w:r>
      <w:r>
        <w:rPr>
          <w:rFonts w:ascii="Times New Roman" w:hAnsi="Times New Roman" w:cs="Times New Roman"/>
          <w:color w:val="auto"/>
          <w:sz w:val="22"/>
          <w:szCs w:val="22"/>
          <w:lang w:eastAsia="zh-CN"/>
        </w:rPr>
        <w:t xml:space="preserve">(далее </w:t>
      </w:r>
      <w:r>
        <w:rPr>
          <w:rFonts w:ascii="Times New Roman" w:hAnsi="Times New Roman" w:cs="Times New Roman"/>
          <w:bCs/>
          <w:color w:val="auto"/>
          <w:sz w:val="22"/>
          <w:szCs w:val="22"/>
          <w:u w:color="000000"/>
          <w:lang w:eastAsia="zh-CN"/>
        </w:rPr>
        <w:t xml:space="preserve">– </w:t>
      </w:r>
      <w:r>
        <w:rPr>
          <w:rFonts w:ascii="Times New Roman" w:hAnsi="Times New Roman" w:cs="Times New Roman"/>
          <w:color w:val="auto"/>
          <w:sz w:val="22"/>
          <w:szCs w:val="22"/>
          <w:lang w:eastAsia="zh-CN"/>
        </w:rPr>
        <w:t xml:space="preserve">ГТО) </w:t>
      </w:r>
      <w:r>
        <w:rPr>
          <w:rFonts w:ascii="Times New Roman" w:hAnsi="Times New Roman" w:cs="Times New Roman"/>
          <w:color w:val="auto"/>
          <w:sz w:val="22"/>
          <w:szCs w:val="22"/>
        </w:rPr>
        <w:t xml:space="preserve">и другие предметные результаты ФГОС НОО, а также позволяет решить воспитательные задачи, изложенные в федеральной </w:t>
      </w:r>
      <w:r>
        <w:rPr>
          <w:rFonts w:ascii="Times New Roman" w:hAnsi="Times New Roman" w:eastAsia="SchoolBookSanPin" w:cs="Times New Roman"/>
          <w:color w:val="auto"/>
          <w:sz w:val="22"/>
          <w:szCs w:val="22"/>
        </w:rPr>
        <w:t xml:space="preserve">рабочей </w:t>
      </w:r>
      <w:r>
        <w:rPr>
          <w:rFonts w:ascii="Times New Roman" w:hAnsi="Times New Roman" w:cs="Times New Roman"/>
          <w:color w:val="auto"/>
          <w:sz w:val="22"/>
          <w:szCs w:val="22"/>
        </w:rPr>
        <w:t xml:space="preserve">программе воспитания. </w:t>
      </w:r>
    </w:p>
    <w:p w14:paraId="5EEA2C97">
      <w:pPr>
        <w:pStyle w:val="99"/>
        <w:spacing w:line="360" w:lineRule="auto"/>
        <w:ind w:firstLine="709"/>
        <w:contextualSpacing/>
        <w:rPr>
          <w:rFonts w:ascii="Times New Roman" w:hAnsi="Times New Roman" w:cs="Times New Roman"/>
          <w:color w:val="auto"/>
          <w:sz w:val="22"/>
          <w:szCs w:val="22"/>
        </w:rPr>
      </w:pPr>
      <w:r>
        <w:rPr>
          <w:rFonts w:ascii="Times New Roman" w:hAnsi="Times New Roman" w:cs="Times New Roman"/>
          <w:color w:val="auto"/>
          <w:sz w:val="22"/>
          <w:szCs w:val="22"/>
        </w:rPr>
        <w:t>16.2.1.8. Согласно своему назначению программа по физической культуре является ориентиром для составления рабочих программ образовательных организаций: она даёт представление о целях, общей стратегии обучения, воспитания и развития обучающихся по физической культуре, устанавливает обязательное предметное содержание, предусматривает распределение его по классам и структурирование по разделам и темам курса, определяет количественные и качественные характеристики содержания, даёт распределение тематических разделов и рекомендуемую последовательность их изучения с учётом межпредметных и внутрипредметных связей, логики учебного процесса, возрастных особенностей обучающихся, определяет возможности предмета для реализации требований к результатам освоения основной образовательной программы начального общего образования, а также требований к результатам обучения физической культуре.</w:t>
      </w:r>
    </w:p>
    <w:p w14:paraId="5CE3EAAC">
      <w:pPr>
        <w:pStyle w:val="99"/>
        <w:spacing w:line="360" w:lineRule="auto"/>
        <w:ind w:firstLine="709"/>
        <w:contextualSpacing/>
        <w:rPr>
          <w:rFonts w:ascii="Times New Roman" w:hAnsi="Times New Roman" w:cs="Times New Roman"/>
          <w:color w:val="auto"/>
          <w:spacing w:val="-1"/>
          <w:sz w:val="22"/>
          <w:szCs w:val="22"/>
        </w:rPr>
      </w:pPr>
      <w:r>
        <w:rPr>
          <w:rFonts w:ascii="Times New Roman" w:hAnsi="Times New Roman" w:cs="Times New Roman"/>
          <w:color w:val="auto"/>
          <w:sz w:val="22"/>
          <w:szCs w:val="22"/>
        </w:rPr>
        <w:t>16.2.1.9. </w:t>
      </w:r>
      <w:r>
        <w:rPr>
          <w:rFonts w:ascii="Times New Roman" w:hAnsi="Times New Roman" w:cs="Times New Roman"/>
          <w:color w:val="auto"/>
          <w:spacing w:val="-1"/>
          <w:sz w:val="22"/>
          <w:szCs w:val="22"/>
        </w:rPr>
        <w:t xml:space="preserve">В программе </w:t>
      </w:r>
      <w:r>
        <w:rPr>
          <w:rFonts w:ascii="Times New Roman" w:hAnsi="Times New Roman" w:cs="Times New Roman"/>
          <w:color w:val="auto"/>
          <w:sz w:val="22"/>
          <w:szCs w:val="22"/>
        </w:rPr>
        <w:t xml:space="preserve">по физической культуре </w:t>
      </w:r>
      <w:r>
        <w:rPr>
          <w:rFonts w:ascii="Times New Roman" w:hAnsi="Times New Roman" w:cs="Times New Roman"/>
          <w:color w:val="auto"/>
          <w:spacing w:val="-1"/>
          <w:sz w:val="22"/>
          <w:szCs w:val="22"/>
        </w:rPr>
        <w:t>нашли своё отражение условия Концепции преподавания учебного предмета «Физическая культура» в образовательных организациях Российской Федерации, реализующих основные общеобразовательные программы.</w:t>
      </w:r>
    </w:p>
    <w:p w14:paraId="36CC35FC">
      <w:pPr>
        <w:pStyle w:val="99"/>
        <w:spacing w:line="360" w:lineRule="auto"/>
        <w:ind w:firstLine="709"/>
        <w:contextualSpacing/>
        <w:rPr>
          <w:rFonts w:ascii="Times New Roman" w:hAnsi="Times New Roman" w:cs="Times New Roman"/>
          <w:color w:val="auto"/>
          <w:sz w:val="22"/>
          <w:szCs w:val="22"/>
        </w:rPr>
      </w:pPr>
      <w:r>
        <w:rPr>
          <w:rFonts w:ascii="Times New Roman" w:hAnsi="Times New Roman" w:cs="Times New Roman"/>
          <w:color w:val="auto"/>
          <w:sz w:val="22"/>
          <w:szCs w:val="22"/>
        </w:rPr>
        <w:t xml:space="preserve">16.2.1.10. Предметом обучения физической культуре </w:t>
      </w:r>
      <w:r>
        <w:rPr>
          <w:rFonts w:ascii="Times New Roman" w:hAnsi="Times New Roman" w:eastAsia="SchoolBookSanPin" w:cs="Times New Roman"/>
          <w:color w:val="auto"/>
          <w:sz w:val="22"/>
          <w:szCs w:val="22"/>
        </w:rPr>
        <w:t>на уровне начального общего образования</w:t>
      </w:r>
      <w:r>
        <w:rPr>
          <w:rFonts w:ascii="Times New Roman" w:hAnsi="Times New Roman" w:cs="Times New Roman"/>
          <w:color w:val="auto"/>
          <w:sz w:val="22"/>
          <w:szCs w:val="22"/>
        </w:rPr>
        <w:t xml:space="preserve"> является двигательная деятельность человека с общеразвивающей направленностью с использованием основных направлений физической культуры в классификации физических упражнений по признаку исторически сложившихся систем: гимнастика, игры, туризм, спорт – и упражнений по преимущественной целевой направленности их использования с учётом сенситивных периодов развития обучающихся </w:t>
      </w:r>
      <w:r>
        <w:rPr>
          <w:rFonts w:ascii="Times New Roman" w:hAnsi="Times New Roman" w:eastAsia="SchoolBookSanPin" w:cs="Times New Roman"/>
          <w:color w:val="auto"/>
          <w:sz w:val="22"/>
          <w:szCs w:val="22"/>
        </w:rPr>
        <w:t>начального общего образования</w:t>
      </w:r>
      <w:r>
        <w:rPr>
          <w:rFonts w:ascii="Times New Roman" w:hAnsi="Times New Roman" w:cs="Times New Roman"/>
          <w:color w:val="auto"/>
          <w:sz w:val="22"/>
          <w:szCs w:val="22"/>
        </w:rPr>
        <w:t>. В процессе овладения этой деятельностью формируется костно-мышечная система, укрепляется здоровье, совершенствуются физические качества, осваиваются необходимые двигательные действия, активно развиваются мышление, творчество и самостоятельность.</w:t>
      </w:r>
    </w:p>
    <w:p w14:paraId="15E75F88">
      <w:pPr>
        <w:pStyle w:val="99"/>
        <w:spacing w:line="360" w:lineRule="auto"/>
        <w:ind w:firstLine="709"/>
        <w:contextualSpacing/>
        <w:rPr>
          <w:rFonts w:ascii="Times New Roman" w:hAnsi="Times New Roman" w:cs="Times New Roman"/>
          <w:color w:val="auto"/>
          <w:sz w:val="22"/>
          <w:szCs w:val="22"/>
        </w:rPr>
      </w:pPr>
      <w:r>
        <w:rPr>
          <w:rFonts w:ascii="Times New Roman" w:hAnsi="Times New Roman" w:cs="Times New Roman"/>
          <w:color w:val="auto"/>
          <w:sz w:val="22"/>
          <w:szCs w:val="22"/>
        </w:rPr>
        <w:t xml:space="preserve">16.2.1.11. Физическая культура обладает широкими возможностями в использовании форм, средств и методов обучения. Существенным компонентом содержания программы по физической культуре является физическое воспитание граждан Российской Федерации. </w:t>
      </w:r>
    </w:p>
    <w:p w14:paraId="308740E6">
      <w:pPr>
        <w:pStyle w:val="99"/>
        <w:spacing w:line="360" w:lineRule="auto"/>
        <w:ind w:firstLine="709"/>
        <w:contextualSpacing/>
        <w:rPr>
          <w:rFonts w:ascii="Times New Roman" w:hAnsi="Times New Roman" w:cs="Times New Roman"/>
          <w:color w:val="auto"/>
          <w:sz w:val="22"/>
          <w:szCs w:val="22"/>
        </w:rPr>
      </w:pPr>
      <w:r>
        <w:rPr>
          <w:rFonts w:ascii="Times New Roman" w:hAnsi="Times New Roman" w:cs="Times New Roman"/>
          <w:color w:val="auto"/>
          <w:sz w:val="22"/>
          <w:szCs w:val="22"/>
        </w:rPr>
        <w:t>16.2.1.12. Программа по физической культуре основана на системе научных знаний о человеке, сущности физической культуры, общих закономерностях её функционирования и использования с целью всестороннего развития людей и направлена на формирование основ знаний в области физической культуры, культуры движений, воспитание устойчивых навыков выполнения основных двигательных действий, укрепление здоровья.</w:t>
      </w:r>
    </w:p>
    <w:p w14:paraId="2F41974F">
      <w:pPr>
        <w:pStyle w:val="99"/>
        <w:spacing w:line="360" w:lineRule="auto"/>
        <w:ind w:firstLine="709"/>
        <w:contextualSpacing/>
        <w:rPr>
          <w:rFonts w:ascii="Times New Roman" w:hAnsi="Times New Roman" w:cs="Times New Roman"/>
          <w:color w:val="auto"/>
          <w:sz w:val="22"/>
          <w:szCs w:val="22"/>
        </w:rPr>
      </w:pPr>
      <w:r>
        <w:rPr>
          <w:rFonts w:ascii="Times New Roman" w:hAnsi="Times New Roman" w:cs="Times New Roman"/>
          <w:color w:val="auto"/>
          <w:sz w:val="22"/>
          <w:szCs w:val="22"/>
        </w:rPr>
        <w:t>16.2.1.13. В программе по физической культуре учтены приоритеты в обучении на уровне начального образования, изложенные в Концепции модернизации преподавания учебного предмета «Физическая культура» в образовательных организациях Российской Федерации, которые нашли отражение в содержании программы по физической культуре в части получения знаний и умений выполнения базовых упражнений гимнастики для правильного формирования опорно-двигательного аппарата, развития гибкости, координации, моторики, получения эмоционального удовлетворения от выполнения физических упражнений в игровой деятельности.</w:t>
      </w:r>
    </w:p>
    <w:p w14:paraId="15E939D1">
      <w:pPr>
        <w:pStyle w:val="99"/>
        <w:spacing w:line="360" w:lineRule="auto"/>
        <w:ind w:firstLine="709"/>
        <w:contextualSpacing/>
        <w:rPr>
          <w:rFonts w:ascii="Times New Roman" w:hAnsi="Times New Roman" w:cs="Times New Roman"/>
          <w:color w:val="auto"/>
          <w:spacing w:val="1"/>
          <w:sz w:val="22"/>
          <w:szCs w:val="22"/>
        </w:rPr>
      </w:pPr>
      <w:r>
        <w:rPr>
          <w:rFonts w:ascii="Times New Roman" w:hAnsi="Times New Roman" w:cs="Times New Roman"/>
          <w:color w:val="auto"/>
          <w:sz w:val="22"/>
          <w:szCs w:val="22"/>
        </w:rPr>
        <w:t>16.2.1.14. </w:t>
      </w:r>
      <w:r>
        <w:rPr>
          <w:rFonts w:ascii="Times New Roman" w:hAnsi="Times New Roman" w:cs="Times New Roman"/>
          <w:color w:val="auto"/>
          <w:spacing w:val="1"/>
          <w:sz w:val="22"/>
          <w:szCs w:val="22"/>
        </w:rPr>
        <w:t xml:space="preserve">Программа </w:t>
      </w:r>
      <w:r>
        <w:rPr>
          <w:rFonts w:ascii="Times New Roman" w:hAnsi="Times New Roman" w:cs="Times New Roman"/>
          <w:color w:val="auto"/>
          <w:sz w:val="22"/>
          <w:szCs w:val="22"/>
        </w:rPr>
        <w:t xml:space="preserve">по физической культуре </w:t>
      </w:r>
      <w:r>
        <w:rPr>
          <w:rFonts w:ascii="Times New Roman" w:hAnsi="Times New Roman" w:cs="Times New Roman"/>
          <w:color w:val="auto"/>
          <w:spacing w:val="1"/>
          <w:sz w:val="22"/>
          <w:szCs w:val="22"/>
        </w:rPr>
        <w:t>обеспечивает создание условий для высокого качества преподавания физической культуры на уровне начального общего образования, выполнение требований, определённых статьей 41 Федерального закона «Об образовании в Российской Федерации» от 29 декабря 2012 г. № 273-ФЗ, включая определение оптимальной учебной нагрузки, режима учебных занятий, создание условий для профилактики заболеваний и оздоровления обучающихся, способствует решению задач, определённых в стратегии развития физической культуры и спорта в Российской Федерации на период до 2030 г. и межотраслевой программы развития школьного спорта до 2024 г., направлена на достижение национальных целей развития Российской Федерации: сохранение населения, здоровья и благополучия людей, создание возможностей для самореализации и развития талантов.</w:t>
      </w:r>
    </w:p>
    <w:p w14:paraId="4155256A">
      <w:pPr>
        <w:pStyle w:val="99"/>
        <w:spacing w:line="360" w:lineRule="auto"/>
        <w:ind w:firstLine="709"/>
        <w:contextualSpacing/>
        <w:rPr>
          <w:rFonts w:ascii="Times New Roman" w:hAnsi="Times New Roman" w:cs="Times New Roman"/>
          <w:color w:val="auto"/>
          <w:sz w:val="22"/>
          <w:szCs w:val="22"/>
        </w:rPr>
      </w:pPr>
      <w:r>
        <w:rPr>
          <w:rFonts w:ascii="Times New Roman" w:hAnsi="Times New Roman" w:cs="Times New Roman"/>
          <w:color w:val="auto"/>
          <w:sz w:val="22"/>
          <w:szCs w:val="22"/>
        </w:rPr>
        <w:t xml:space="preserve">16.2.1.15. Программа по физической культуре разработана в соответствии с требованиями </w:t>
      </w:r>
      <w:r>
        <w:rPr>
          <w:rFonts w:ascii="Times New Roman" w:hAnsi="Times New Roman" w:cs="Times New Roman"/>
          <w:bCs/>
          <w:color w:val="auto"/>
          <w:sz w:val="22"/>
          <w:szCs w:val="22"/>
        </w:rPr>
        <w:t>ФГОС НОО</w:t>
      </w:r>
      <w:r>
        <w:rPr>
          <w:rFonts w:ascii="Times New Roman" w:hAnsi="Times New Roman" w:cs="Times New Roman"/>
          <w:color w:val="auto"/>
          <w:sz w:val="22"/>
          <w:szCs w:val="22"/>
        </w:rPr>
        <w:t>.</w:t>
      </w:r>
    </w:p>
    <w:p w14:paraId="36FF2949">
      <w:pPr>
        <w:pStyle w:val="99"/>
        <w:spacing w:line="360" w:lineRule="auto"/>
        <w:ind w:firstLine="709"/>
        <w:contextualSpacing/>
        <w:rPr>
          <w:rFonts w:ascii="Times New Roman" w:hAnsi="Times New Roman" w:cs="Times New Roman"/>
          <w:color w:val="auto"/>
          <w:spacing w:val="2"/>
          <w:sz w:val="22"/>
          <w:szCs w:val="22"/>
        </w:rPr>
      </w:pPr>
      <w:r>
        <w:rPr>
          <w:rFonts w:ascii="Times New Roman" w:hAnsi="Times New Roman" w:cs="Times New Roman"/>
          <w:color w:val="auto"/>
          <w:sz w:val="22"/>
          <w:szCs w:val="22"/>
        </w:rPr>
        <w:t>16.2.1.16. </w:t>
      </w:r>
      <w:r>
        <w:rPr>
          <w:rFonts w:ascii="Times New Roman" w:hAnsi="Times New Roman" w:cs="Times New Roman"/>
          <w:color w:val="auto"/>
          <w:spacing w:val="2"/>
          <w:sz w:val="22"/>
          <w:szCs w:val="22"/>
        </w:rPr>
        <w:t xml:space="preserve">В основе программы </w:t>
      </w:r>
      <w:r>
        <w:rPr>
          <w:rFonts w:ascii="Times New Roman" w:hAnsi="Times New Roman" w:cs="Times New Roman"/>
          <w:color w:val="auto"/>
          <w:sz w:val="22"/>
          <w:szCs w:val="22"/>
        </w:rPr>
        <w:t xml:space="preserve">по физической культуре </w:t>
      </w:r>
      <w:r>
        <w:rPr>
          <w:rFonts w:ascii="Times New Roman" w:hAnsi="Times New Roman" w:cs="Times New Roman"/>
          <w:color w:val="auto"/>
          <w:spacing w:val="2"/>
          <w:sz w:val="22"/>
          <w:szCs w:val="22"/>
        </w:rPr>
        <w:t>лежат представления об уникальности личности каждого обучающегося, индивидуальных возможностях каждого обучающегося и ученического сообщества в целом, профессиональных качествах учителей и управленческих команд системы образования, создающих условия для максимально полного обеспечения образовательных возможностей обучающихся в рамках единого образовательного пространства Российской Федерации.</w:t>
      </w:r>
    </w:p>
    <w:p w14:paraId="00B013BA">
      <w:pPr>
        <w:pStyle w:val="99"/>
        <w:spacing w:line="360" w:lineRule="auto"/>
        <w:ind w:firstLine="709"/>
        <w:contextualSpacing/>
        <w:rPr>
          <w:rFonts w:ascii="Times New Roman" w:hAnsi="Times New Roman" w:cs="Times New Roman"/>
          <w:color w:val="auto"/>
          <w:sz w:val="22"/>
          <w:szCs w:val="22"/>
        </w:rPr>
      </w:pPr>
      <w:r>
        <w:rPr>
          <w:rFonts w:ascii="Times New Roman" w:hAnsi="Times New Roman" w:cs="Times New Roman"/>
          <w:color w:val="auto"/>
          <w:sz w:val="22"/>
          <w:szCs w:val="22"/>
        </w:rPr>
        <w:t>16.2.1.17. Ценностные ориентиры содержания программы по физической культуре направлены на воспитание творческих, компетентных и успешных граждан России, способных к активной самореализации в личной, общественной и профессиональной деятельности. Обучение по программе по физической культуре позволяет формировать у обучающихся установку на формирование, сохранение и укрепление здоровья, освоить умения, навыки ведения здорового и безопасного образа жизни, выполнить нормы ГТО.</w:t>
      </w:r>
    </w:p>
    <w:p w14:paraId="7FA952D6">
      <w:pPr>
        <w:pStyle w:val="99"/>
        <w:spacing w:line="360" w:lineRule="auto"/>
        <w:ind w:firstLine="709"/>
        <w:contextualSpacing/>
        <w:rPr>
          <w:rFonts w:ascii="Times New Roman" w:hAnsi="Times New Roman" w:cs="Times New Roman"/>
          <w:color w:val="auto"/>
          <w:sz w:val="22"/>
          <w:szCs w:val="22"/>
        </w:rPr>
      </w:pPr>
      <w:r>
        <w:rPr>
          <w:rFonts w:ascii="Times New Roman" w:hAnsi="Times New Roman" w:cs="Times New Roman"/>
          <w:color w:val="auto"/>
          <w:sz w:val="22"/>
          <w:szCs w:val="22"/>
        </w:rPr>
        <w:t>16.2.1.18. Содержание программы по физической культуре направлено на эффективное развитие физических качеств и способностей обучающихся, на воспитание личностных качеств, включающих в себя готовность и способность к саморазвитию, самооценке, рефлексии, анализу, формирует творческое нестандартное мышление, инициативность, целеустремлённость, воспитывает этические чувства доброжелательности и эмоционально-нравственной отзывчивости, понимания и сопереживания чувствам других людей, учит взаимодействовать с окружающими людьми и работать в команде, проявлять лидерские качества.</w:t>
      </w:r>
    </w:p>
    <w:p w14:paraId="573CB1AC">
      <w:pPr>
        <w:pStyle w:val="99"/>
        <w:spacing w:line="360" w:lineRule="auto"/>
        <w:ind w:firstLine="709"/>
        <w:contextualSpacing/>
        <w:rPr>
          <w:rFonts w:ascii="Times New Roman" w:hAnsi="Times New Roman" w:cs="Times New Roman"/>
          <w:color w:val="auto"/>
          <w:sz w:val="22"/>
          <w:szCs w:val="22"/>
        </w:rPr>
      </w:pPr>
      <w:r>
        <w:rPr>
          <w:rFonts w:ascii="Times New Roman" w:hAnsi="Times New Roman" w:cs="Times New Roman"/>
          <w:color w:val="auto"/>
          <w:sz w:val="22"/>
          <w:szCs w:val="22"/>
        </w:rPr>
        <w:t>16.2.1.19. Содержание программы по физической культуре строится на принципах личностно-ориентированной, личностно-развивающей педагогики, которая определяет повышение внимания к культуре физического развития, ориентации физкультурно-спортивной деятельности на решение задач развития культуры движения, физическое воспитание.</w:t>
      </w:r>
    </w:p>
    <w:p w14:paraId="46ACDF6B">
      <w:pPr>
        <w:pStyle w:val="99"/>
        <w:spacing w:line="360" w:lineRule="auto"/>
        <w:ind w:firstLine="709"/>
        <w:contextualSpacing/>
        <w:rPr>
          <w:rFonts w:ascii="Times New Roman" w:hAnsi="Times New Roman" w:cs="Times New Roman"/>
          <w:color w:val="auto"/>
          <w:sz w:val="22"/>
          <w:szCs w:val="22"/>
        </w:rPr>
      </w:pPr>
      <w:r>
        <w:rPr>
          <w:rFonts w:ascii="Times New Roman" w:hAnsi="Times New Roman" w:cs="Times New Roman"/>
          <w:color w:val="auto"/>
          <w:sz w:val="22"/>
          <w:szCs w:val="22"/>
        </w:rPr>
        <w:t>16.2.1.20. Важное значение в освоении программы по физической культуре уделено играм и игровым заданиям как простейшей форме физкультурно-спортивной деятельности. В программе по физической культуре используются сюжетные и импровизационно-творческие подвижные игры, рефлексивно-метафорические игры, игры на основе интеграции интеллектуального и двигательного компонентов. Игры повышают интерес к занятиям физической культурой, а также содействуют духовно-нравственному воспитанию обучающихся. Для ознакомления с видами спорта в программе по физической культуре используются спортивные эстафеты, спортивные упражнения и спортивные игровые задания. Для ознакомления с туристическими спортивными упражнениями в программе по физической культуре используются туристические спортивные игры. Содержание программы по физической культуре обеспечивает достаточный объём практико-ориентированных знаний и умений.</w:t>
      </w:r>
    </w:p>
    <w:p w14:paraId="4B5B18AF">
      <w:pPr>
        <w:pStyle w:val="99"/>
        <w:spacing w:line="360" w:lineRule="auto"/>
        <w:ind w:firstLine="709"/>
        <w:contextualSpacing/>
        <w:rPr>
          <w:rFonts w:ascii="Times New Roman" w:hAnsi="Times New Roman" w:cs="Times New Roman"/>
          <w:color w:val="auto"/>
          <w:sz w:val="22"/>
          <w:szCs w:val="22"/>
        </w:rPr>
      </w:pPr>
      <w:r>
        <w:rPr>
          <w:rFonts w:ascii="Times New Roman" w:hAnsi="Times New Roman" w:cs="Times New Roman"/>
          <w:color w:val="auto"/>
          <w:sz w:val="22"/>
          <w:szCs w:val="22"/>
        </w:rPr>
        <w:t>16.2.1.21. В соответствии с ФГОС НОО содержание программы по физической культуре состоит из следующих компонентов:</w:t>
      </w:r>
    </w:p>
    <w:p w14:paraId="6534B587">
      <w:pPr>
        <w:pStyle w:val="100"/>
        <w:spacing w:line="360" w:lineRule="auto"/>
        <w:ind w:left="0" w:firstLine="709"/>
        <w:contextualSpacing/>
        <w:rPr>
          <w:rFonts w:ascii="Times New Roman" w:hAnsi="Times New Roman" w:cs="Times New Roman"/>
          <w:color w:val="auto"/>
          <w:sz w:val="22"/>
          <w:szCs w:val="22"/>
        </w:rPr>
      </w:pPr>
      <w:r>
        <w:rPr>
          <w:rFonts w:ascii="Times New Roman" w:hAnsi="Times New Roman" w:cs="Times New Roman"/>
          <w:color w:val="auto"/>
          <w:sz w:val="22"/>
          <w:szCs w:val="22"/>
        </w:rPr>
        <w:t>знания о физической культуре (информационный компонент деятельности);</w:t>
      </w:r>
    </w:p>
    <w:p w14:paraId="64DC8772">
      <w:pPr>
        <w:pStyle w:val="100"/>
        <w:spacing w:line="360" w:lineRule="auto"/>
        <w:ind w:left="0" w:firstLine="709"/>
        <w:contextualSpacing/>
        <w:rPr>
          <w:rFonts w:ascii="Times New Roman" w:hAnsi="Times New Roman" w:cs="Times New Roman"/>
          <w:color w:val="auto"/>
          <w:sz w:val="22"/>
          <w:szCs w:val="22"/>
        </w:rPr>
      </w:pPr>
      <w:r>
        <w:rPr>
          <w:rFonts w:ascii="Times New Roman" w:hAnsi="Times New Roman" w:cs="Times New Roman"/>
          <w:color w:val="auto"/>
          <w:sz w:val="22"/>
          <w:szCs w:val="22"/>
        </w:rPr>
        <w:t>способы физкультурной деятельности (операциональный компонент деятельности);</w:t>
      </w:r>
    </w:p>
    <w:p w14:paraId="31B1D7A0">
      <w:pPr>
        <w:pStyle w:val="100"/>
        <w:spacing w:line="360" w:lineRule="auto"/>
        <w:ind w:left="0" w:firstLine="709"/>
        <w:contextualSpacing/>
        <w:rPr>
          <w:rFonts w:ascii="Times New Roman" w:hAnsi="Times New Roman" w:cs="Times New Roman"/>
          <w:color w:val="auto"/>
          <w:sz w:val="22"/>
          <w:szCs w:val="22"/>
        </w:rPr>
      </w:pPr>
      <w:r>
        <w:rPr>
          <w:rFonts w:ascii="Times New Roman" w:hAnsi="Times New Roman" w:cs="Times New Roman"/>
          <w:color w:val="auto"/>
          <w:sz w:val="22"/>
          <w:szCs w:val="22"/>
        </w:rPr>
        <w:t>физическое совершенствование (мотивационно-процессуальный компонент деятельности), которое подразделяется на физкультурно-оздоровительную и спортивно-оздоровительную деятельность.</w:t>
      </w:r>
    </w:p>
    <w:p w14:paraId="5F6F6CAA">
      <w:pPr>
        <w:pStyle w:val="99"/>
        <w:spacing w:line="360" w:lineRule="auto"/>
        <w:ind w:firstLine="709"/>
        <w:contextualSpacing/>
        <w:rPr>
          <w:rFonts w:ascii="Times New Roman" w:hAnsi="Times New Roman" w:cs="Times New Roman"/>
          <w:color w:val="auto"/>
          <w:sz w:val="22"/>
          <w:szCs w:val="22"/>
        </w:rPr>
      </w:pPr>
      <w:r>
        <w:rPr>
          <w:rFonts w:ascii="Times New Roman" w:hAnsi="Times New Roman" w:cs="Times New Roman"/>
          <w:color w:val="auto"/>
          <w:sz w:val="22"/>
          <w:szCs w:val="22"/>
        </w:rPr>
        <w:t>16.2.1.22. Концепция программы по физической культуре основана на следующих принципах:</w:t>
      </w:r>
    </w:p>
    <w:p w14:paraId="4DC38FFF">
      <w:pPr>
        <w:pStyle w:val="99"/>
        <w:spacing w:line="360" w:lineRule="auto"/>
        <w:ind w:firstLine="709"/>
        <w:contextualSpacing/>
        <w:rPr>
          <w:rFonts w:ascii="Times New Roman" w:hAnsi="Times New Roman" w:cs="Times New Roman"/>
          <w:color w:val="auto"/>
          <w:sz w:val="22"/>
          <w:szCs w:val="22"/>
        </w:rPr>
      </w:pPr>
      <w:r>
        <w:rPr>
          <w:rFonts w:ascii="Times New Roman" w:hAnsi="Times New Roman" w:cs="Times New Roman"/>
          <w:color w:val="auto"/>
          <w:sz w:val="22"/>
          <w:szCs w:val="22"/>
        </w:rPr>
        <w:t>16.2.1.22.1. </w:t>
      </w:r>
      <w:r>
        <w:rPr>
          <w:rStyle w:val="102"/>
          <w:rFonts w:ascii="Times New Roman" w:hAnsi="Times New Roman" w:eastAsia="Georgia" w:cs="Times New Roman"/>
          <w:i w:val="0"/>
          <w:iCs w:val="0"/>
          <w:color w:val="auto"/>
          <w:sz w:val="22"/>
          <w:szCs w:val="22"/>
        </w:rPr>
        <w:t xml:space="preserve">Принцип систематичности и последовательности </w:t>
      </w:r>
      <w:r>
        <w:rPr>
          <w:rFonts w:ascii="Times New Roman" w:hAnsi="Times New Roman" w:cs="Times New Roman"/>
          <w:color w:val="auto"/>
          <w:sz w:val="22"/>
          <w:szCs w:val="22"/>
        </w:rPr>
        <w:t>предполагает регулярность занятий и систему чередования нагрузок с отдыхом, а также определённую последовательность занятий и взаимосвязь между различными сторонами их содержания. Учебный материал программы по физической культуре должен быть разделён на логически завершённые части, теоретическая база знаний подкрепляется практическими навыками. Особое внимание в программе по физической культуре уделяется повторяемости. Повторяются не только отдельные физические упражнения, но и последовательность их в занятиях. Также повторяется в определённых чертах и последовательность самих занятий на протяжении недельных, месячных и других циклов. Принцип систематичности и последовательности повышает эффективность динамики развития основных физических качеств обучающихся с учётом их сенситивного периода развития: гибкости, координации, быстроты.</w:t>
      </w:r>
    </w:p>
    <w:p w14:paraId="2BA1511B">
      <w:pPr>
        <w:pStyle w:val="99"/>
        <w:spacing w:line="360" w:lineRule="auto"/>
        <w:ind w:firstLine="709"/>
        <w:contextualSpacing/>
        <w:rPr>
          <w:rFonts w:ascii="Times New Roman" w:hAnsi="Times New Roman" w:cs="Times New Roman"/>
          <w:color w:val="auto"/>
          <w:spacing w:val="1"/>
          <w:sz w:val="22"/>
          <w:szCs w:val="22"/>
        </w:rPr>
      </w:pPr>
      <w:r>
        <w:rPr>
          <w:rFonts w:ascii="Times New Roman" w:hAnsi="Times New Roman" w:cs="Times New Roman"/>
          <w:color w:val="auto"/>
          <w:sz w:val="22"/>
          <w:szCs w:val="22"/>
        </w:rPr>
        <w:t>16.2.1.22.2. </w:t>
      </w:r>
      <w:r>
        <w:rPr>
          <w:rStyle w:val="102"/>
          <w:rFonts w:ascii="Times New Roman" w:hAnsi="Times New Roman" w:eastAsia="Georgia" w:cs="Times New Roman"/>
          <w:i w:val="0"/>
          <w:iCs w:val="0"/>
          <w:color w:val="auto"/>
          <w:spacing w:val="1"/>
          <w:sz w:val="22"/>
          <w:szCs w:val="22"/>
        </w:rPr>
        <w:t>Принципы непрерывности и цикличности</w:t>
      </w:r>
      <w:r>
        <w:rPr>
          <w:rFonts w:ascii="Times New Roman" w:hAnsi="Times New Roman" w:cs="Times New Roman"/>
          <w:color w:val="auto"/>
          <w:spacing w:val="1"/>
          <w:sz w:val="22"/>
          <w:szCs w:val="22"/>
        </w:rPr>
        <w:t xml:space="preserve"> выражают основные закономерности построения занятий в физическом воспитании. Они обеспечивает преемственность между занятиями, частоту и суммарную протяжённость их во времени. Кроме того, принцип непрерывности тесно связан с принципом системного чередования нагрузок и отдыха. Принцип цикличности заключается в повторяющейся последовательности занятий, что обеспечивает повышение тренированности, улучшает физическую подготовленность обучающегося.</w:t>
      </w:r>
    </w:p>
    <w:p w14:paraId="23F72636">
      <w:pPr>
        <w:pStyle w:val="99"/>
        <w:spacing w:line="360" w:lineRule="auto"/>
        <w:ind w:firstLine="709"/>
        <w:contextualSpacing/>
        <w:rPr>
          <w:rFonts w:ascii="Times New Roman" w:hAnsi="Times New Roman" w:cs="Times New Roman"/>
          <w:color w:val="auto"/>
          <w:sz w:val="22"/>
          <w:szCs w:val="22"/>
        </w:rPr>
      </w:pPr>
      <w:r>
        <w:rPr>
          <w:rFonts w:ascii="Times New Roman" w:hAnsi="Times New Roman" w:cs="Times New Roman"/>
          <w:color w:val="auto"/>
          <w:sz w:val="22"/>
          <w:szCs w:val="22"/>
        </w:rPr>
        <w:t>16.2.1.22.3. </w:t>
      </w:r>
      <w:r>
        <w:rPr>
          <w:rStyle w:val="102"/>
          <w:rFonts w:ascii="Times New Roman" w:hAnsi="Times New Roman" w:eastAsia="Georgia" w:cs="Times New Roman"/>
          <w:i w:val="0"/>
          <w:iCs w:val="0"/>
          <w:color w:val="auto"/>
          <w:sz w:val="22"/>
          <w:szCs w:val="22"/>
        </w:rPr>
        <w:t>Принцип возрастного соответствия направлений физического воспитания заключается в том, что п</w:t>
      </w:r>
      <w:r>
        <w:rPr>
          <w:rFonts w:ascii="Times New Roman" w:hAnsi="Times New Roman" w:cs="Times New Roman"/>
          <w:color w:val="auto"/>
          <w:sz w:val="22"/>
          <w:szCs w:val="22"/>
        </w:rPr>
        <w:t>рограмма по физической культуре учитывает возрастные и индивидуальные особенности обучающихся, что способствует гармоничному формированию двигательных умений и навыков.</w:t>
      </w:r>
    </w:p>
    <w:p w14:paraId="7595F115">
      <w:pPr>
        <w:pStyle w:val="99"/>
        <w:spacing w:line="360" w:lineRule="auto"/>
        <w:ind w:firstLine="709"/>
        <w:contextualSpacing/>
        <w:rPr>
          <w:rFonts w:ascii="Times New Roman" w:hAnsi="Times New Roman" w:cs="Times New Roman"/>
          <w:color w:val="auto"/>
          <w:sz w:val="22"/>
          <w:szCs w:val="22"/>
        </w:rPr>
      </w:pPr>
      <w:r>
        <w:rPr>
          <w:rFonts w:ascii="Times New Roman" w:hAnsi="Times New Roman" w:cs="Times New Roman"/>
          <w:color w:val="auto"/>
          <w:sz w:val="22"/>
          <w:szCs w:val="22"/>
        </w:rPr>
        <w:t>16.2.1.22.4. </w:t>
      </w:r>
      <w:r>
        <w:rPr>
          <w:rStyle w:val="102"/>
          <w:rFonts w:ascii="Times New Roman" w:hAnsi="Times New Roman" w:eastAsia="Georgia" w:cs="Times New Roman"/>
          <w:i w:val="0"/>
          <w:iCs w:val="0"/>
          <w:color w:val="auto"/>
          <w:sz w:val="22"/>
          <w:szCs w:val="22"/>
        </w:rPr>
        <w:t>Принцип наглядности</w:t>
      </w:r>
      <w:r>
        <w:rPr>
          <w:rFonts w:ascii="Times New Roman" w:hAnsi="Times New Roman" w:cs="Times New Roman"/>
          <w:color w:val="auto"/>
          <w:sz w:val="22"/>
          <w:szCs w:val="22"/>
        </w:rPr>
        <w:t xml:space="preserve"> предполагает как широкое использование зрительных ощущений, восприятия образов, так и постоянную опору на свидетельства всех других органов чувств, благодаря которым достигается непосредственный эффект от содержания программы по физической культуре. В процессе физического воспитания наглядность играет особенно важную роль, поскольку деятельность обучающихся носит в основном практический характер и имеет одной из своих специальных задач всестороннее развитие органов чувств.</w:t>
      </w:r>
    </w:p>
    <w:p w14:paraId="7D3DF21A">
      <w:pPr>
        <w:pStyle w:val="99"/>
        <w:spacing w:line="360" w:lineRule="auto"/>
        <w:ind w:firstLine="709"/>
        <w:contextualSpacing/>
        <w:rPr>
          <w:rFonts w:ascii="Times New Roman" w:hAnsi="Times New Roman" w:cs="Times New Roman"/>
          <w:color w:val="auto"/>
          <w:sz w:val="22"/>
          <w:szCs w:val="22"/>
        </w:rPr>
      </w:pPr>
      <w:r>
        <w:rPr>
          <w:rFonts w:ascii="Times New Roman" w:hAnsi="Times New Roman" w:cs="Times New Roman"/>
          <w:color w:val="auto"/>
          <w:sz w:val="22"/>
          <w:szCs w:val="22"/>
        </w:rPr>
        <w:t>16.2.1.22.5. Принцип доступности и индивидуализации означает требование оптимального соответствия задач, средств и методов физического воспитания возможностям обучающихся. При реализации принципа доступности учитывается готовность обучающихся к освоению материала, выполнению той или иной физической нагрузки и определяется мера доступности задания. Готовность к выполнению заданий зависит от уровня физического и интеллектуального развития, а также от их субъективной установки, выражающейся в преднамеренном, целеустремлённом и волевом поведении обучающихся.</w:t>
      </w:r>
    </w:p>
    <w:p w14:paraId="65E3873E">
      <w:pPr>
        <w:pStyle w:val="99"/>
        <w:spacing w:line="360" w:lineRule="auto"/>
        <w:ind w:firstLine="709"/>
        <w:contextualSpacing/>
        <w:rPr>
          <w:rFonts w:ascii="Times New Roman" w:hAnsi="Times New Roman" w:cs="Times New Roman"/>
          <w:color w:val="auto"/>
          <w:sz w:val="22"/>
          <w:szCs w:val="22"/>
        </w:rPr>
      </w:pPr>
      <w:r>
        <w:rPr>
          <w:rFonts w:ascii="Times New Roman" w:hAnsi="Times New Roman" w:cs="Times New Roman"/>
          <w:color w:val="auto"/>
          <w:sz w:val="22"/>
          <w:szCs w:val="22"/>
        </w:rPr>
        <w:t>16.2.1.22.6. </w:t>
      </w:r>
      <w:r>
        <w:rPr>
          <w:rStyle w:val="102"/>
          <w:rFonts w:ascii="Times New Roman" w:hAnsi="Times New Roman" w:eastAsia="Georgia" w:cs="Times New Roman"/>
          <w:i w:val="0"/>
          <w:iCs w:val="0"/>
          <w:color w:val="auto"/>
          <w:sz w:val="22"/>
          <w:szCs w:val="22"/>
        </w:rPr>
        <w:t>Принцип осознанности и активности</w:t>
      </w:r>
      <w:r>
        <w:rPr>
          <w:rFonts w:ascii="Times New Roman" w:hAnsi="Times New Roman" w:cs="Times New Roman"/>
          <w:color w:val="auto"/>
          <w:sz w:val="22"/>
          <w:szCs w:val="22"/>
        </w:rPr>
        <w:t xml:space="preserve"> предполагает осмысленное отношение обучающихся к выполнению физических упражнений, осознание и последовательность техники выполнения упражнений (комплексов упражнений), техники дыхания, дозированности объёма и интенсивности выполнения упражнений в соответствии с возможностями. Осознавая оздоровительное воздействие физических упражнений на организм, обучающиеся учатся самостоятельно и творчески решать двигательные задачи.</w:t>
      </w:r>
    </w:p>
    <w:p w14:paraId="43731F23">
      <w:pPr>
        <w:pStyle w:val="99"/>
        <w:spacing w:line="360" w:lineRule="auto"/>
        <w:ind w:firstLine="709"/>
        <w:contextualSpacing/>
        <w:rPr>
          <w:rFonts w:ascii="Times New Roman" w:hAnsi="Times New Roman" w:cs="Times New Roman"/>
          <w:color w:val="auto"/>
          <w:sz w:val="22"/>
          <w:szCs w:val="22"/>
        </w:rPr>
      </w:pPr>
      <w:r>
        <w:rPr>
          <w:rFonts w:ascii="Times New Roman" w:hAnsi="Times New Roman" w:cs="Times New Roman"/>
          <w:color w:val="auto"/>
          <w:sz w:val="22"/>
          <w:szCs w:val="22"/>
        </w:rPr>
        <w:t>16.2.1.22.7. </w:t>
      </w:r>
      <w:r>
        <w:rPr>
          <w:rStyle w:val="102"/>
          <w:rFonts w:ascii="Times New Roman" w:hAnsi="Times New Roman" w:eastAsia="Georgia" w:cs="Times New Roman"/>
          <w:i w:val="0"/>
          <w:iCs w:val="0"/>
          <w:color w:val="auto"/>
          <w:sz w:val="22"/>
          <w:szCs w:val="22"/>
        </w:rPr>
        <w:t>Принцип динамичности</w:t>
      </w:r>
      <w:r>
        <w:rPr>
          <w:rFonts w:ascii="Times New Roman" w:hAnsi="Times New Roman" w:cs="Times New Roman"/>
          <w:color w:val="auto"/>
          <w:sz w:val="22"/>
          <w:szCs w:val="22"/>
        </w:rPr>
        <w:t xml:space="preserve"> выражает общую тенденцию требований, предъявляемых к обучающимся в соответствии с программой по физической культуре, которая заключается в постановке и выполнении всё более трудных новых заданий, в постепенном нарастании объёма и интенсивности и связанных с ними нагрузок. Программой по физической культуре предусмотрено регулярное обновление заданий с общей тенденцией к росту физических нагрузок.</w:t>
      </w:r>
    </w:p>
    <w:p w14:paraId="47DBB47F">
      <w:pPr>
        <w:pStyle w:val="99"/>
        <w:spacing w:line="360" w:lineRule="auto"/>
        <w:ind w:firstLine="709"/>
        <w:contextualSpacing/>
        <w:rPr>
          <w:rFonts w:ascii="Times New Roman" w:hAnsi="Times New Roman" w:cs="Times New Roman"/>
          <w:color w:val="auto"/>
          <w:sz w:val="22"/>
          <w:szCs w:val="22"/>
        </w:rPr>
      </w:pPr>
      <w:r>
        <w:rPr>
          <w:rFonts w:ascii="Times New Roman" w:hAnsi="Times New Roman" w:cs="Times New Roman"/>
          <w:color w:val="auto"/>
          <w:sz w:val="22"/>
          <w:szCs w:val="22"/>
        </w:rPr>
        <w:t>16.2.1.22.8. </w:t>
      </w:r>
      <w:r>
        <w:rPr>
          <w:rStyle w:val="102"/>
          <w:rFonts w:ascii="Times New Roman" w:hAnsi="Times New Roman" w:eastAsia="Georgia" w:cs="Times New Roman"/>
          <w:i w:val="0"/>
          <w:iCs w:val="0"/>
          <w:color w:val="auto"/>
          <w:sz w:val="22"/>
          <w:szCs w:val="22"/>
        </w:rPr>
        <w:t>Принцип вариативности</w:t>
      </w:r>
      <w:r>
        <w:rPr>
          <w:rFonts w:ascii="Times New Roman" w:hAnsi="Times New Roman" w:cs="Times New Roman"/>
          <w:color w:val="auto"/>
          <w:sz w:val="22"/>
          <w:szCs w:val="22"/>
        </w:rPr>
        <w:t xml:space="preserve"> предполагает многообразие и гибкость используемых в программе по физической культуре форм, средств и методов обучения в зависимости от физического развития, индивидуальных особенностей и функциональных возможностей обучающихся, которые описаны в программе по физической культуре. Соблюдение этих принципов позволит обучающимся достичь наиболее эффективных результатов.</w:t>
      </w:r>
    </w:p>
    <w:p w14:paraId="6ED405EE">
      <w:pPr>
        <w:pStyle w:val="99"/>
        <w:spacing w:line="360" w:lineRule="auto"/>
        <w:ind w:firstLine="709"/>
        <w:contextualSpacing/>
        <w:rPr>
          <w:rFonts w:ascii="Times New Roman" w:hAnsi="Times New Roman" w:cs="Times New Roman"/>
          <w:color w:val="auto"/>
          <w:sz w:val="22"/>
          <w:szCs w:val="22"/>
        </w:rPr>
      </w:pPr>
      <w:r>
        <w:rPr>
          <w:rFonts w:ascii="Times New Roman" w:hAnsi="Times New Roman" w:cs="Times New Roman"/>
          <w:color w:val="auto"/>
          <w:sz w:val="22"/>
          <w:szCs w:val="22"/>
        </w:rPr>
        <w:t>16.2.1.23. Освоение программы по физической культуре предполагает соблюдение главных педагогических правил: от известного к неизвестному, от лёгкого к трудному, от простого к сложному. Планирование учебного материала рекомендуется в соответствии с постепенным освоением теоретических знаний, практических умений и навыков в учебной и самостоятельной физкультурной, оздоровительной деятельности.</w:t>
      </w:r>
    </w:p>
    <w:p w14:paraId="66AAE5BB">
      <w:pPr>
        <w:pStyle w:val="99"/>
        <w:spacing w:line="360" w:lineRule="auto"/>
        <w:ind w:firstLine="709"/>
        <w:contextualSpacing/>
        <w:rPr>
          <w:rFonts w:ascii="Times New Roman" w:hAnsi="Times New Roman" w:cs="Times New Roman"/>
          <w:color w:val="auto"/>
          <w:sz w:val="22"/>
          <w:szCs w:val="22"/>
        </w:rPr>
      </w:pPr>
      <w:r>
        <w:rPr>
          <w:rFonts w:ascii="Times New Roman" w:hAnsi="Times New Roman" w:cs="Times New Roman"/>
          <w:color w:val="auto"/>
          <w:sz w:val="22"/>
          <w:szCs w:val="22"/>
        </w:rPr>
        <w:t>16.2.1.24. В основе программы по физической культуре лежит системно-деятельностный подход, целью которого является формирование у обучающихся полного представления о возможностях физической культуры. В содержании программы по физической культуре учитывается взаимосвязь изучаемых явлений и процессов, что позволит успешно достигнуть планируемых результатов – предметных, метапредметных и личностных.</w:t>
      </w:r>
      <w:bookmarkStart w:id="242" w:name="_Toc101876890"/>
    </w:p>
    <w:bookmarkEnd w:id="242"/>
    <w:p w14:paraId="30E98538">
      <w:pPr>
        <w:pStyle w:val="99"/>
        <w:spacing w:line="360" w:lineRule="auto"/>
        <w:ind w:firstLine="709"/>
        <w:contextualSpacing/>
        <w:rPr>
          <w:rFonts w:ascii="Times New Roman" w:hAnsi="Times New Roman" w:cs="Times New Roman"/>
          <w:color w:val="auto"/>
          <w:sz w:val="22"/>
          <w:szCs w:val="22"/>
        </w:rPr>
      </w:pPr>
      <w:r>
        <w:rPr>
          <w:rFonts w:ascii="Times New Roman" w:hAnsi="Times New Roman" w:cs="Times New Roman"/>
          <w:color w:val="auto"/>
          <w:sz w:val="22"/>
          <w:szCs w:val="22"/>
        </w:rPr>
        <w:t>16.2.1.25. Цели изучения учебного предмета «Физическая культура» – формирование разносторонне физически развитой личности, способной активно использовать ценности физической культуры для укрепления и длительного сохранения собственного здоровья, оптимизации трудовой деятельности и организации активного отдыха.</w:t>
      </w:r>
    </w:p>
    <w:p w14:paraId="28518BAE">
      <w:pPr>
        <w:pStyle w:val="99"/>
        <w:spacing w:line="360" w:lineRule="auto"/>
        <w:ind w:firstLine="709"/>
        <w:contextualSpacing/>
        <w:rPr>
          <w:rFonts w:ascii="Times New Roman" w:hAnsi="Times New Roman" w:cs="Times New Roman"/>
          <w:color w:val="auto"/>
          <w:sz w:val="22"/>
          <w:szCs w:val="22"/>
        </w:rPr>
      </w:pPr>
      <w:r>
        <w:rPr>
          <w:rFonts w:ascii="Times New Roman" w:hAnsi="Times New Roman" w:cs="Times New Roman"/>
          <w:color w:val="auto"/>
          <w:sz w:val="22"/>
          <w:szCs w:val="22"/>
        </w:rPr>
        <w:t>16.2.1.26. Цели и задачи программы по физической культуре обеспечивают результаты освоения основной образовательной программы начального общего образования по учебному предмету «Физическая культура» в соответствии с ФГОС НОО.</w:t>
      </w:r>
    </w:p>
    <w:p w14:paraId="2F2E3C6F">
      <w:pPr>
        <w:pStyle w:val="99"/>
        <w:spacing w:line="360" w:lineRule="auto"/>
        <w:ind w:firstLine="709"/>
        <w:contextualSpacing/>
        <w:rPr>
          <w:rFonts w:ascii="Times New Roman" w:hAnsi="Times New Roman" w:cs="Times New Roman"/>
          <w:color w:val="auto"/>
          <w:sz w:val="22"/>
          <w:szCs w:val="22"/>
        </w:rPr>
      </w:pPr>
      <w:r>
        <w:rPr>
          <w:rFonts w:ascii="Times New Roman" w:hAnsi="Times New Roman" w:cs="Times New Roman"/>
          <w:color w:val="auto"/>
          <w:sz w:val="22"/>
          <w:szCs w:val="22"/>
        </w:rPr>
        <w:t>16.2.1.27. К направлению первостепенной значимости при реализации образовательных функций физической культуры традиционно относят формирование знаний основ физической культуры как науки области знаний о человеке, прикладных умениях и навыках, основанных на физических упражнениях для формирования и укрепления здоровья, физического развития и физического совершенствования, повышения физической и умственной работоспособности, и как одного из основных компонентов общей культуры человека.</w:t>
      </w:r>
    </w:p>
    <w:p w14:paraId="6883D835">
      <w:pPr>
        <w:pStyle w:val="99"/>
        <w:spacing w:line="360" w:lineRule="auto"/>
        <w:ind w:firstLine="709"/>
        <w:contextualSpacing/>
        <w:rPr>
          <w:rFonts w:ascii="Times New Roman" w:hAnsi="Times New Roman" w:cs="Times New Roman"/>
          <w:color w:val="auto"/>
          <w:sz w:val="22"/>
          <w:szCs w:val="22"/>
        </w:rPr>
      </w:pPr>
      <w:r>
        <w:rPr>
          <w:rFonts w:ascii="Times New Roman" w:hAnsi="Times New Roman" w:cs="Times New Roman"/>
          <w:color w:val="auto"/>
          <w:sz w:val="22"/>
          <w:szCs w:val="22"/>
        </w:rPr>
        <w:t>16.2.1.28. Используемые в образовательной деятельности технологии программы по физической культуре позволяют решать преемственно комплекс основных задач физической культуры на всех уровнях общего образования.</w:t>
      </w:r>
    </w:p>
    <w:p w14:paraId="651D46C9">
      <w:pPr>
        <w:pStyle w:val="99"/>
        <w:spacing w:line="360" w:lineRule="auto"/>
        <w:ind w:firstLine="709"/>
        <w:contextualSpacing/>
        <w:rPr>
          <w:rFonts w:ascii="Times New Roman" w:hAnsi="Times New Roman" w:cs="Times New Roman"/>
          <w:color w:val="auto"/>
          <w:sz w:val="22"/>
          <w:szCs w:val="22"/>
        </w:rPr>
      </w:pPr>
      <w:r>
        <w:rPr>
          <w:rFonts w:ascii="Times New Roman" w:hAnsi="Times New Roman" w:cs="Times New Roman"/>
          <w:color w:val="auto"/>
          <w:sz w:val="22"/>
          <w:szCs w:val="22"/>
        </w:rPr>
        <w:t>16.2.1.29. В содержании программы по физической культуре учтены основные направления развития познавательной активности человека, включая знания о природе (медико-биологические основы деятельности), знания о человеке (психолого-педагогические основы деятельности), знания об обществе (историко-социологические основы деятельности).</w:t>
      </w:r>
    </w:p>
    <w:p w14:paraId="668B04D0">
      <w:pPr>
        <w:pStyle w:val="99"/>
        <w:spacing w:line="360" w:lineRule="auto"/>
        <w:ind w:firstLine="709"/>
        <w:contextualSpacing/>
        <w:rPr>
          <w:rFonts w:ascii="Times New Roman" w:hAnsi="Times New Roman" w:cs="Times New Roman"/>
          <w:color w:val="auto"/>
          <w:spacing w:val="-2"/>
          <w:sz w:val="22"/>
          <w:szCs w:val="22"/>
        </w:rPr>
      </w:pPr>
      <w:r>
        <w:rPr>
          <w:rFonts w:ascii="Times New Roman" w:hAnsi="Times New Roman" w:cs="Times New Roman"/>
          <w:color w:val="auto"/>
          <w:sz w:val="22"/>
          <w:szCs w:val="22"/>
        </w:rPr>
        <w:t>16.2.1.30. </w:t>
      </w:r>
      <w:r>
        <w:rPr>
          <w:rFonts w:ascii="Times New Roman" w:hAnsi="Times New Roman" w:cs="Times New Roman"/>
          <w:color w:val="auto"/>
          <w:spacing w:val="-2"/>
          <w:sz w:val="22"/>
          <w:szCs w:val="22"/>
        </w:rPr>
        <w:t>Задача физической культуры состоит в формировании системы физкультурных знаний, жизненно важных прикладных умений и навыков, основанных на физических упражнениях для укрепления здоровья (физического, социального и психологического), освоении упражнений основной гимнастики, плавания как жизненно важных навыков человека, овладение умениями организовывать здоровьесберегающую жизнедеятельность (например, распорядок дня, утренняя гимнастика, гимнастические минутки, подвижные и общеразвивающие игры), умении применять правила безопасности при выполнении физических упражнений и различных форм двигательной деятельности и, как результат, – физическое воспитание, формирование здоровья и здорового образа жизни.</w:t>
      </w:r>
    </w:p>
    <w:p w14:paraId="536F44F8">
      <w:pPr>
        <w:pStyle w:val="99"/>
        <w:spacing w:line="360" w:lineRule="auto"/>
        <w:ind w:firstLine="709"/>
        <w:contextualSpacing/>
        <w:rPr>
          <w:rFonts w:ascii="Times New Roman" w:hAnsi="Times New Roman" w:cs="Times New Roman"/>
          <w:color w:val="auto"/>
          <w:sz w:val="22"/>
          <w:szCs w:val="22"/>
        </w:rPr>
      </w:pPr>
      <w:r>
        <w:rPr>
          <w:rFonts w:ascii="Times New Roman" w:hAnsi="Times New Roman" w:cs="Times New Roman"/>
          <w:color w:val="auto"/>
          <w:sz w:val="22"/>
          <w:szCs w:val="22"/>
        </w:rPr>
        <w:t>Наряду с этим программа по физической культуре обеспечивает:</w:t>
      </w:r>
    </w:p>
    <w:p w14:paraId="47520BAB">
      <w:pPr>
        <w:pStyle w:val="100"/>
        <w:spacing w:line="360" w:lineRule="auto"/>
        <w:ind w:left="0" w:firstLine="709"/>
        <w:contextualSpacing/>
        <w:rPr>
          <w:rFonts w:ascii="Times New Roman" w:hAnsi="Times New Roman" w:cs="Times New Roman"/>
          <w:color w:val="auto"/>
          <w:sz w:val="22"/>
          <w:szCs w:val="22"/>
        </w:rPr>
      </w:pPr>
      <w:r>
        <w:rPr>
          <w:rFonts w:ascii="Times New Roman" w:hAnsi="Times New Roman" w:cs="Times New Roman"/>
          <w:color w:val="auto"/>
          <w:sz w:val="22"/>
          <w:szCs w:val="22"/>
        </w:rPr>
        <w:t>единство образовательного пространства на территории Российской Федерации с целью реализации равных возможностей получения качественного начального общего образования;</w:t>
      </w:r>
    </w:p>
    <w:p w14:paraId="686950E2">
      <w:pPr>
        <w:pStyle w:val="100"/>
        <w:spacing w:line="360" w:lineRule="auto"/>
        <w:ind w:left="0" w:firstLine="709"/>
        <w:contextualSpacing/>
        <w:rPr>
          <w:rFonts w:ascii="Times New Roman" w:hAnsi="Times New Roman" w:cs="Times New Roman"/>
          <w:color w:val="auto"/>
          <w:sz w:val="22"/>
          <w:szCs w:val="22"/>
        </w:rPr>
      </w:pPr>
      <w:r>
        <w:rPr>
          <w:rFonts w:ascii="Times New Roman" w:hAnsi="Times New Roman" w:cs="Times New Roman"/>
          <w:color w:val="auto"/>
          <w:sz w:val="22"/>
          <w:szCs w:val="22"/>
        </w:rPr>
        <w:t>преемственность основных образовательных программ по физической культуре дошкольного, начального общего и основного общего образования;</w:t>
      </w:r>
    </w:p>
    <w:p w14:paraId="770A5C4F">
      <w:pPr>
        <w:pStyle w:val="100"/>
        <w:spacing w:line="360" w:lineRule="auto"/>
        <w:ind w:left="0" w:firstLine="709"/>
        <w:contextualSpacing/>
        <w:rPr>
          <w:rFonts w:ascii="Times New Roman" w:hAnsi="Times New Roman" w:cs="Times New Roman"/>
          <w:color w:val="auto"/>
          <w:sz w:val="22"/>
          <w:szCs w:val="22"/>
        </w:rPr>
      </w:pPr>
      <w:r>
        <w:rPr>
          <w:rFonts w:ascii="Times New Roman" w:hAnsi="Times New Roman" w:cs="Times New Roman"/>
          <w:color w:val="auto"/>
          <w:sz w:val="22"/>
          <w:szCs w:val="22"/>
        </w:rPr>
        <w:t>возможности формирования индивидуального подхода и различного уровня сложности с учётом образовательных потребностей и способностей обучающихся (включая одарённых детей, детей с ограниченными возможностями здоровья);</w:t>
      </w:r>
    </w:p>
    <w:p w14:paraId="7AFC129C">
      <w:pPr>
        <w:pStyle w:val="100"/>
        <w:spacing w:line="360" w:lineRule="auto"/>
        <w:ind w:left="0" w:firstLine="709"/>
        <w:contextualSpacing/>
        <w:rPr>
          <w:rFonts w:ascii="Times New Roman" w:hAnsi="Times New Roman" w:cs="Times New Roman"/>
          <w:color w:val="auto"/>
          <w:sz w:val="22"/>
          <w:szCs w:val="22"/>
        </w:rPr>
      </w:pPr>
      <w:r>
        <w:rPr>
          <w:rFonts w:ascii="Times New Roman" w:hAnsi="Times New Roman" w:cs="Times New Roman"/>
          <w:color w:val="auto"/>
          <w:sz w:val="22"/>
          <w:szCs w:val="22"/>
        </w:rPr>
        <w:t>государственные гарантии качества начального общего образования, личностного развития обучающихся;</w:t>
      </w:r>
    </w:p>
    <w:p w14:paraId="0BF8D86F">
      <w:pPr>
        <w:pStyle w:val="100"/>
        <w:spacing w:line="360" w:lineRule="auto"/>
        <w:ind w:left="0" w:firstLine="709"/>
        <w:contextualSpacing/>
        <w:rPr>
          <w:rFonts w:ascii="Times New Roman" w:hAnsi="Times New Roman" w:cs="Times New Roman"/>
          <w:color w:val="auto"/>
          <w:sz w:val="22"/>
          <w:szCs w:val="22"/>
        </w:rPr>
      </w:pPr>
      <w:r>
        <w:rPr>
          <w:rFonts w:ascii="Times New Roman" w:hAnsi="Times New Roman" w:cs="Times New Roman"/>
          <w:color w:val="auto"/>
          <w:sz w:val="22"/>
          <w:szCs w:val="22"/>
        </w:rPr>
        <w:t>овладение современными технологическими средствами в ходе обучения и в повседневной жизни, освоение цифровых образовательных сред для проверки и приобретения знаний, расширения возможностей личного образовательного маршрута;</w:t>
      </w:r>
    </w:p>
    <w:p w14:paraId="619D7360">
      <w:pPr>
        <w:pStyle w:val="100"/>
        <w:spacing w:line="360" w:lineRule="auto"/>
        <w:ind w:left="0" w:firstLine="709"/>
        <w:contextualSpacing/>
        <w:rPr>
          <w:rFonts w:ascii="Times New Roman" w:hAnsi="Times New Roman" w:cs="Times New Roman"/>
          <w:color w:val="auto"/>
          <w:sz w:val="22"/>
          <w:szCs w:val="22"/>
        </w:rPr>
      </w:pPr>
      <w:r>
        <w:rPr>
          <w:rFonts w:ascii="Times New Roman" w:hAnsi="Times New Roman" w:cs="Times New Roman"/>
          <w:color w:val="auto"/>
          <w:sz w:val="22"/>
          <w:szCs w:val="22"/>
        </w:rPr>
        <w:t>формирование у обучающихся знаний о месте физической культуры и спорта в национальной стратегии развития России, их исторической роли, вкладе спортсменов России в мировое спортивное наследие;</w:t>
      </w:r>
    </w:p>
    <w:p w14:paraId="36A82704">
      <w:pPr>
        <w:pStyle w:val="100"/>
        <w:spacing w:line="360" w:lineRule="auto"/>
        <w:ind w:left="0" w:firstLine="709"/>
        <w:contextualSpacing/>
        <w:rPr>
          <w:rFonts w:ascii="Times New Roman" w:hAnsi="Times New Roman" w:cs="Times New Roman"/>
          <w:color w:val="auto"/>
          <w:sz w:val="22"/>
          <w:szCs w:val="22"/>
        </w:rPr>
      </w:pPr>
      <w:r>
        <w:rPr>
          <w:rFonts w:ascii="Times New Roman" w:hAnsi="Times New Roman" w:cs="Times New Roman"/>
          <w:color w:val="auto"/>
          <w:sz w:val="22"/>
          <w:szCs w:val="22"/>
        </w:rPr>
        <w:t>освоение обучающимися технологий командной работы на основе личного вклада каждого в решение общих задач, осознания личной ответственности, объективной оценки своих и командных возможностей.</w:t>
      </w:r>
    </w:p>
    <w:p w14:paraId="6E0033B8">
      <w:pPr>
        <w:pStyle w:val="99"/>
        <w:spacing w:line="360" w:lineRule="auto"/>
        <w:ind w:firstLine="709"/>
        <w:contextualSpacing/>
        <w:rPr>
          <w:rFonts w:ascii="Times New Roman" w:hAnsi="Times New Roman" w:cs="Times New Roman"/>
          <w:color w:val="auto"/>
          <w:sz w:val="22"/>
          <w:szCs w:val="22"/>
        </w:rPr>
      </w:pPr>
      <w:r>
        <w:rPr>
          <w:rFonts w:ascii="Times New Roman" w:hAnsi="Times New Roman" w:cs="Times New Roman"/>
          <w:color w:val="auto"/>
          <w:sz w:val="22"/>
          <w:szCs w:val="22"/>
        </w:rPr>
        <w:t>16.2.1.31. Приоритет индивидуального подхода в обучении позволяет обучающимся осваивать программу по физической культуре в соответствии с возможностями каждого.</w:t>
      </w:r>
    </w:p>
    <w:p w14:paraId="62742E83">
      <w:pPr>
        <w:pStyle w:val="99"/>
        <w:spacing w:line="360" w:lineRule="auto"/>
        <w:ind w:firstLine="709"/>
        <w:contextualSpacing/>
        <w:rPr>
          <w:rFonts w:ascii="Times New Roman" w:hAnsi="Times New Roman" w:cs="Times New Roman"/>
          <w:color w:val="auto"/>
          <w:sz w:val="22"/>
          <w:szCs w:val="22"/>
        </w:rPr>
      </w:pPr>
      <w:r>
        <w:rPr>
          <w:rFonts w:ascii="Times New Roman" w:hAnsi="Times New Roman" w:cs="Times New Roman"/>
          <w:color w:val="auto"/>
          <w:sz w:val="22"/>
          <w:szCs w:val="22"/>
        </w:rPr>
        <w:t>16.2.1.32. Универсальными компетенциями обучающихся на этапе начального образования по программе по физической культуре являются:</w:t>
      </w:r>
    </w:p>
    <w:p w14:paraId="60168CCF">
      <w:pPr>
        <w:pStyle w:val="104"/>
        <w:spacing w:line="360" w:lineRule="auto"/>
        <w:ind w:left="0" w:firstLine="709"/>
        <w:contextualSpacing/>
        <w:rPr>
          <w:rFonts w:ascii="Times New Roman" w:hAnsi="Times New Roman" w:cs="Times New Roman"/>
          <w:color w:val="auto"/>
          <w:sz w:val="22"/>
          <w:szCs w:val="22"/>
        </w:rPr>
      </w:pPr>
      <w:r>
        <w:rPr>
          <w:rFonts w:ascii="Times New Roman" w:hAnsi="Times New Roman" w:cs="Times New Roman"/>
          <w:color w:val="auto"/>
          <w:sz w:val="22"/>
          <w:szCs w:val="22"/>
        </w:rPr>
        <w:t>умение организовывать собственную деятельность, выбирать и использовать средства физической культуры для достижения цели динамики личного физического развития и физического совершенствования;</w:t>
      </w:r>
    </w:p>
    <w:p w14:paraId="5C42849E">
      <w:pPr>
        <w:pStyle w:val="104"/>
        <w:spacing w:line="360" w:lineRule="auto"/>
        <w:ind w:left="0" w:firstLine="709"/>
        <w:contextualSpacing/>
        <w:rPr>
          <w:rFonts w:ascii="Times New Roman" w:hAnsi="Times New Roman" w:cs="Times New Roman"/>
          <w:color w:val="auto"/>
          <w:sz w:val="22"/>
          <w:szCs w:val="22"/>
        </w:rPr>
      </w:pPr>
      <w:r>
        <w:rPr>
          <w:rFonts w:ascii="Times New Roman" w:hAnsi="Times New Roman" w:cs="Times New Roman"/>
          <w:color w:val="auto"/>
          <w:sz w:val="22"/>
          <w:szCs w:val="22"/>
        </w:rPr>
        <w:t>умение активно включаться в коллективную деятельность, взаимодействовать со сверстниками в достижении общих целей, проявлять лидерские качества в соревновательной деятельности, работоспособность в учебно-тренировочном процессе, взаимопомощь при изучении и выполнении физических упражнений;</w:t>
      </w:r>
    </w:p>
    <w:p w14:paraId="7C7FB0B0">
      <w:pPr>
        <w:pStyle w:val="104"/>
        <w:spacing w:line="360" w:lineRule="auto"/>
        <w:ind w:left="0" w:firstLine="709"/>
        <w:contextualSpacing/>
        <w:rPr>
          <w:rFonts w:ascii="Times New Roman" w:hAnsi="Times New Roman" w:cs="Times New Roman"/>
          <w:color w:val="auto"/>
          <w:sz w:val="22"/>
          <w:szCs w:val="22"/>
        </w:rPr>
      </w:pPr>
      <w:r>
        <w:rPr>
          <w:rFonts w:ascii="Times New Roman" w:hAnsi="Times New Roman" w:cs="Times New Roman"/>
          <w:color w:val="auto"/>
          <w:sz w:val="22"/>
          <w:szCs w:val="22"/>
        </w:rPr>
        <w:t>умение доносить информацию в доступной, яркой, эмоциональной форме в процессе общения и взаимодействия со сверстниками и взрослыми людьми, в том числе при передаче информации на заданную тему, по общим сведениям теории физической культуры, методикам выполнения физических упражнений, правилам проведения общеразвивающих подвижных игр и игровых заданий;</w:t>
      </w:r>
    </w:p>
    <w:p w14:paraId="15F3B34E">
      <w:pPr>
        <w:pStyle w:val="104"/>
        <w:spacing w:line="360" w:lineRule="auto"/>
        <w:ind w:left="0" w:firstLine="709"/>
        <w:contextualSpacing/>
        <w:rPr>
          <w:rFonts w:ascii="Times New Roman" w:hAnsi="Times New Roman" w:cs="Times New Roman"/>
          <w:color w:val="auto"/>
          <w:sz w:val="22"/>
          <w:szCs w:val="22"/>
        </w:rPr>
      </w:pPr>
      <w:r>
        <w:rPr>
          <w:rFonts w:ascii="Times New Roman" w:hAnsi="Times New Roman" w:cs="Times New Roman"/>
          <w:color w:val="auto"/>
          <w:sz w:val="22"/>
          <w:szCs w:val="22"/>
        </w:rPr>
        <w:t>умение работать над ошибками, в том числе при выполнении физических упражнений, слышать замечания и рекомендации педагога, концентрироваться при практическом выполнении заданий, ставить перед собой задачи гармоничного физического развития.</w:t>
      </w:r>
      <w:bookmarkStart w:id="243" w:name="_Toc101876891"/>
    </w:p>
    <w:bookmarkEnd w:id="243"/>
    <w:p w14:paraId="4D0CD1AE">
      <w:pPr>
        <w:pStyle w:val="99"/>
        <w:spacing w:line="360" w:lineRule="auto"/>
        <w:ind w:firstLine="709"/>
        <w:contextualSpacing/>
        <w:rPr>
          <w:rFonts w:ascii="Times New Roman" w:hAnsi="Times New Roman" w:cs="Times New Roman"/>
          <w:color w:val="auto"/>
          <w:sz w:val="22"/>
          <w:szCs w:val="22"/>
        </w:rPr>
      </w:pPr>
      <w:r>
        <w:rPr>
          <w:rFonts w:ascii="Times New Roman" w:hAnsi="Times New Roman" w:cs="Times New Roman"/>
          <w:color w:val="auto"/>
          <w:sz w:val="22"/>
          <w:szCs w:val="22"/>
        </w:rPr>
        <w:t>16.2.1.33. Общее число часов, рекомендованных для изучения физической культуры – 270 часов: в 1 классе – 66 часов (2 часа в неделю), во 2 классе – 68 часа (2 часа в неделю), в 3 классе – 68 часа (2 часа в неделю), в 4 классе – 68 часа (2 часа в неделю).</w:t>
      </w:r>
    </w:p>
    <w:p w14:paraId="35142EFD">
      <w:pPr>
        <w:pStyle w:val="99"/>
        <w:spacing w:line="360" w:lineRule="auto"/>
        <w:ind w:firstLine="709"/>
        <w:contextualSpacing/>
        <w:rPr>
          <w:rFonts w:ascii="Times New Roman" w:hAnsi="Times New Roman" w:cs="Times New Roman"/>
          <w:color w:val="auto"/>
          <w:sz w:val="22"/>
          <w:szCs w:val="22"/>
        </w:rPr>
      </w:pPr>
      <w:r>
        <w:rPr>
          <w:rFonts w:ascii="Times New Roman" w:hAnsi="Times New Roman" w:cs="Times New Roman"/>
          <w:color w:val="auto"/>
          <w:sz w:val="22"/>
          <w:szCs w:val="22"/>
        </w:rPr>
        <w:t>16.2.1.34. При планировании учебного материала по программе по физической культурер рекомендуется реализовывать на уроках физической культуры учебный план: для всех классов начального общего образования в объёме не менее 70% учебных часов должно быть отведено на выполнение физических упражнений.</w:t>
      </w:r>
      <w:bookmarkStart w:id="244" w:name="_Toc101876892"/>
    </w:p>
    <w:p w14:paraId="2B23F28D">
      <w:pPr>
        <w:pStyle w:val="99"/>
        <w:spacing w:line="360" w:lineRule="auto"/>
        <w:ind w:firstLine="709"/>
        <w:contextualSpacing/>
        <w:rPr>
          <w:rFonts w:ascii="Times New Roman" w:hAnsi="Times New Roman" w:cs="Times New Roman"/>
          <w:color w:val="auto"/>
          <w:sz w:val="22"/>
          <w:szCs w:val="22"/>
        </w:rPr>
      </w:pPr>
      <w:r>
        <w:rPr>
          <w:rFonts w:ascii="Times New Roman" w:hAnsi="Times New Roman" w:cs="Times New Roman"/>
          <w:color w:val="auto"/>
          <w:sz w:val="22"/>
          <w:szCs w:val="22"/>
        </w:rPr>
        <w:t>168.2.2. </w:t>
      </w:r>
      <w:bookmarkEnd w:id="244"/>
      <w:r>
        <w:rPr>
          <w:rFonts w:ascii="Times New Roman" w:hAnsi="Times New Roman" w:cs="Times New Roman"/>
          <w:color w:val="auto"/>
          <w:sz w:val="22"/>
          <w:szCs w:val="22"/>
        </w:rPr>
        <w:t>Планируемые результаты освоения программы по физической культуре на уровне начального общего образования.</w:t>
      </w:r>
    </w:p>
    <w:p w14:paraId="4A433B20">
      <w:pPr>
        <w:pStyle w:val="99"/>
        <w:spacing w:line="360" w:lineRule="auto"/>
        <w:ind w:firstLine="709"/>
        <w:contextualSpacing/>
        <w:rPr>
          <w:rFonts w:ascii="Times New Roman" w:hAnsi="Times New Roman" w:cs="Times New Roman"/>
          <w:color w:val="auto"/>
          <w:sz w:val="22"/>
          <w:szCs w:val="22"/>
        </w:rPr>
      </w:pPr>
      <w:r>
        <w:rPr>
          <w:rFonts w:ascii="Times New Roman" w:hAnsi="Times New Roman" w:cs="Times New Roman"/>
          <w:color w:val="auto"/>
          <w:sz w:val="22"/>
          <w:szCs w:val="22"/>
        </w:rPr>
        <w:t>168.2.2.1. Личностные результаты освоения программы по физической культуре на уровне начального общего образования достигаются в единстве учебной и воспитательной деятельности в соответствии с традиционными российскими социокультурными и духовно-нравственными ценностями, принятыми в обществе правилами и нормами поведения и способствуют процессам самопознания, самовоспитания и саморазвития, формирования внутренней позиции личности.</w:t>
      </w:r>
    </w:p>
    <w:p w14:paraId="5C3ABB3C">
      <w:pPr>
        <w:pStyle w:val="99"/>
        <w:spacing w:line="360" w:lineRule="auto"/>
        <w:ind w:firstLine="709"/>
        <w:contextualSpacing/>
        <w:rPr>
          <w:rFonts w:ascii="Times New Roman" w:hAnsi="Times New Roman" w:cs="Times New Roman"/>
          <w:color w:val="auto"/>
          <w:sz w:val="22"/>
          <w:szCs w:val="22"/>
        </w:rPr>
      </w:pPr>
      <w:r>
        <w:rPr>
          <w:rFonts w:ascii="Times New Roman" w:hAnsi="Times New Roman" w:cs="Times New Roman"/>
          <w:color w:val="auto"/>
          <w:sz w:val="22"/>
          <w:szCs w:val="22"/>
        </w:rPr>
        <w:t xml:space="preserve">В результате изучения физической культуры на уровне начального общего образования у обучающегося будут сформированы следующие личностные результаты: </w:t>
      </w:r>
    </w:p>
    <w:p w14:paraId="0A006D87">
      <w:pPr>
        <w:pStyle w:val="99"/>
        <w:spacing w:line="360" w:lineRule="auto"/>
        <w:ind w:firstLine="709"/>
        <w:contextualSpacing/>
        <w:rPr>
          <w:rFonts w:ascii="Times New Roman" w:hAnsi="Times New Roman" w:cs="Times New Roman"/>
          <w:color w:val="auto"/>
          <w:sz w:val="22"/>
          <w:szCs w:val="22"/>
        </w:rPr>
      </w:pPr>
      <w:r>
        <w:rPr>
          <w:rStyle w:val="103"/>
          <w:rFonts w:ascii="Times New Roman" w:hAnsi="Times New Roman" w:cs="Times New Roman"/>
          <w:b w:val="0"/>
          <w:bCs w:val="0"/>
          <w:color w:val="auto"/>
          <w:sz w:val="22"/>
          <w:szCs w:val="22"/>
        </w:rPr>
        <w:t xml:space="preserve">Патриотическое воспитание: </w:t>
      </w:r>
      <w:r>
        <w:rPr>
          <w:rFonts w:ascii="Times New Roman" w:hAnsi="Times New Roman" w:cs="Times New Roman"/>
          <w:color w:val="auto"/>
          <w:sz w:val="22"/>
          <w:szCs w:val="22"/>
        </w:rPr>
        <w:t>ценностное отношение к отечественному спортивному, культурному, историческому и научному наследию, понимание значения физической культуры в жизни современного общества, способность владеть достоверной информацией о спортивных достижениях сборных команд по видам спорта на международной спортивной арене, основных мировых и отечественных тенденциях развития физической культуры для блага человека, заинтересованность в научных знаниях о человеке.</w:t>
      </w:r>
    </w:p>
    <w:p w14:paraId="2158925C">
      <w:pPr>
        <w:pStyle w:val="99"/>
        <w:spacing w:line="360" w:lineRule="auto"/>
        <w:ind w:firstLine="709"/>
        <w:contextualSpacing/>
        <w:rPr>
          <w:rFonts w:ascii="Times New Roman" w:hAnsi="Times New Roman" w:cs="Times New Roman"/>
          <w:color w:val="auto"/>
          <w:spacing w:val="-1"/>
          <w:sz w:val="22"/>
          <w:szCs w:val="22"/>
        </w:rPr>
      </w:pPr>
      <w:r>
        <w:rPr>
          <w:rStyle w:val="103"/>
          <w:rFonts w:ascii="Times New Roman" w:hAnsi="Times New Roman" w:cs="Times New Roman"/>
          <w:b w:val="0"/>
          <w:bCs w:val="0"/>
          <w:color w:val="auto"/>
          <w:sz w:val="22"/>
          <w:szCs w:val="22"/>
        </w:rPr>
        <w:t xml:space="preserve">Гражданское воспитание: </w:t>
      </w:r>
      <w:r>
        <w:rPr>
          <w:rFonts w:ascii="Times New Roman" w:hAnsi="Times New Roman" w:cs="Times New Roman"/>
          <w:color w:val="auto"/>
          <w:spacing w:val="-1"/>
          <w:sz w:val="22"/>
          <w:szCs w:val="22"/>
        </w:rPr>
        <w:t>представление о социальных нормах и правилах межличностных отношений в коллективе, готовность к разнообразной совместной деятельности при выполнении учебных, познавательных задач, освоение и выполнение физических упражнений, создание учебных проектов, стремление к взаимопониманию и взаимопомощи в процессе этой учебной деятельности, готовность оценивать своё поведение и поступки своих товарищей с позиции нравственных и правовых норм с учётом осознания последствий поступков, оказание посильной помощи и моральной поддержки сверстникам при выполнении учебных заданий, доброжелательное и уважительное отношение при объяснении ошибок и способов их устранения.</w:t>
      </w:r>
    </w:p>
    <w:p w14:paraId="2A9E5545">
      <w:pPr>
        <w:pStyle w:val="99"/>
        <w:spacing w:line="360" w:lineRule="auto"/>
        <w:ind w:firstLine="709"/>
        <w:contextualSpacing/>
        <w:rPr>
          <w:rStyle w:val="103"/>
          <w:rFonts w:ascii="Times New Roman" w:hAnsi="Times New Roman" w:cs="Times New Roman"/>
          <w:b w:val="0"/>
          <w:bCs w:val="0"/>
          <w:color w:val="auto"/>
          <w:sz w:val="22"/>
          <w:szCs w:val="22"/>
        </w:rPr>
      </w:pPr>
      <w:r>
        <w:rPr>
          <w:rStyle w:val="103"/>
          <w:rFonts w:ascii="Times New Roman" w:hAnsi="Times New Roman" w:cs="Times New Roman"/>
          <w:b w:val="0"/>
          <w:bCs w:val="0"/>
          <w:color w:val="auto"/>
          <w:sz w:val="22"/>
          <w:szCs w:val="22"/>
        </w:rPr>
        <w:t>Ценности научного познания:</w:t>
      </w:r>
    </w:p>
    <w:p w14:paraId="3FDF806B">
      <w:pPr>
        <w:pStyle w:val="104"/>
        <w:spacing w:line="360" w:lineRule="auto"/>
        <w:ind w:left="0" w:firstLine="709"/>
        <w:contextualSpacing/>
        <w:rPr>
          <w:rFonts w:ascii="Times New Roman" w:hAnsi="Times New Roman" w:cs="Times New Roman"/>
          <w:color w:val="auto"/>
          <w:sz w:val="22"/>
          <w:szCs w:val="22"/>
        </w:rPr>
      </w:pPr>
      <w:r>
        <w:rPr>
          <w:rFonts w:ascii="Times New Roman" w:hAnsi="Times New Roman" w:cs="Times New Roman"/>
          <w:color w:val="auto"/>
          <w:sz w:val="22"/>
          <w:szCs w:val="22"/>
        </w:rPr>
        <w:t>знание истории развития представлений о физическом развитии и воспитании человека в российской культурно-педагогической традиции;</w:t>
      </w:r>
    </w:p>
    <w:p w14:paraId="7325C9DB">
      <w:pPr>
        <w:pStyle w:val="104"/>
        <w:spacing w:line="360" w:lineRule="auto"/>
        <w:ind w:left="0" w:firstLine="709"/>
        <w:contextualSpacing/>
        <w:rPr>
          <w:rFonts w:ascii="Times New Roman" w:hAnsi="Times New Roman" w:cs="Times New Roman"/>
          <w:color w:val="auto"/>
          <w:sz w:val="22"/>
          <w:szCs w:val="22"/>
        </w:rPr>
      </w:pPr>
      <w:r>
        <w:rPr>
          <w:rFonts w:ascii="Times New Roman" w:hAnsi="Times New Roman" w:cs="Times New Roman"/>
          <w:color w:val="auto"/>
          <w:sz w:val="22"/>
          <w:szCs w:val="22"/>
        </w:rPr>
        <w:t>познавательные мотивы, направленные на получение новых знаний по физической культуре, необходимых для формирования здоровья и здоровых привычек, физического развития и физического совершенствования;</w:t>
      </w:r>
    </w:p>
    <w:p w14:paraId="3F84C11D">
      <w:pPr>
        <w:pStyle w:val="104"/>
        <w:spacing w:line="360" w:lineRule="auto"/>
        <w:ind w:left="0" w:firstLine="709"/>
        <w:contextualSpacing/>
        <w:rPr>
          <w:rFonts w:ascii="Times New Roman" w:hAnsi="Times New Roman" w:cs="Times New Roman"/>
          <w:color w:val="auto"/>
          <w:sz w:val="22"/>
          <w:szCs w:val="22"/>
        </w:rPr>
      </w:pPr>
      <w:r>
        <w:rPr>
          <w:rFonts w:ascii="Times New Roman" w:hAnsi="Times New Roman" w:cs="Times New Roman"/>
          <w:color w:val="auto"/>
          <w:sz w:val="22"/>
          <w:szCs w:val="22"/>
        </w:rPr>
        <w:t>познавательная и информационная культура, в том числе навыки самостоятельной работы с учебными текстами, справочной литературой, доступными техническими средствами информационных технологий;</w:t>
      </w:r>
    </w:p>
    <w:p w14:paraId="7077DB87">
      <w:pPr>
        <w:pStyle w:val="104"/>
        <w:spacing w:line="360" w:lineRule="auto"/>
        <w:ind w:left="0" w:firstLine="709"/>
        <w:contextualSpacing/>
        <w:rPr>
          <w:rFonts w:ascii="Times New Roman" w:hAnsi="Times New Roman" w:cs="Times New Roman"/>
          <w:color w:val="auto"/>
          <w:sz w:val="22"/>
          <w:szCs w:val="22"/>
        </w:rPr>
      </w:pPr>
      <w:r>
        <w:rPr>
          <w:rFonts w:ascii="Times New Roman" w:hAnsi="Times New Roman" w:cs="Times New Roman"/>
          <w:color w:val="auto"/>
          <w:sz w:val="22"/>
          <w:szCs w:val="22"/>
        </w:rPr>
        <w:t>интерес к обучению и познанию, любознательность, готовность и способность к самообразованию, исследовательской деятельности, к осознанному выбору направленности и уровня обучения в дальнейшем.</w:t>
      </w:r>
    </w:p>
    <w:p w14:paraId="6D47BACC">
      <w:pPr>
        <w:pStyle w:val="99"/>
        <w:spacing w:line="360" w:lineRule="auto"/>
        <w:ind w:firstLine="709"/>
        <w:contextualSpacing/>
        <w:rPr>
          <w:rStyle w:val="103"/>
          <w:rFonts w:ascii="Times New Roman" w:hAnsi="Times New Roman" w:cs="Times New Roman"/>
          <w:b w:val="0"/>
          <w:bCs w:val="0"/>
          <w:color w:val="auto"/>
          <w:sz w:val="22"/>
          <w:szCs w:val="22"/>
        </w:rPr>
      </w:pPr>
      <w:r>
        <w:rPr>
          <w:rStyle w:val="103"/>
          <w:rFonts w:ascii="Times New Roman" w:hAnsi="Times New Roman" w:cs="Times New Roman"/>
          <w:b w:val="0"/>
          <w:bCs w:val="0"/>
          <w:color w:val="auto"/>
          <w:sz w:val="22"/>
          <w:szCs w:val="22"/>
        </w:rPr>
        <w:t>Формирование культуры здоровья:</w:t>
      </w:r>
    </w:p>
    <w:p w14:paraId="638569E3">
      <w:pPr>
        <w:pStyle w:val="104"/>
        <w:spacing w:line="360" w:lineRule="auto"/>
        <w:ind w:left="0" w:firstLine="709"/>
        <w:contextualSpacing/>
        <w:rPr>
          <w:rFonts w:ascii="Times New Roman" w:hAnsi="Times New Roman" w:cs="Times New Roman"/>
          <w:color w:val="auto"/>
          <w:sz w:val="22"/>
          <w:szCs w:val="22"/>
        </w:rPr>
      </w:pPr>
      <w:r>
        <w:rPr>
          <w:rFonts w:ascii="Times New Roman" w:hAnsi="Times New Roman" w:cs="Times New Roman"/>
          <w:color w:val="auto"/>
          <w:sz w:val="22"/>
          <w:szCs w:val="22"/>
        </w:rPr>
        <w:t>осознание ценности своего здоровья для себя, общества, государства, ответственное отношение к регулярным занятиям физической культурой, в том числе освоению гимнастических упражнений и плавания как важных жизнеобеспечивающих умений, установка на здоровый образ жизни, необходимость соблюдения правил безопасности при занятиях физической культурой и спортом.</w:t>
      </w:r>
    </w:p>
    <w:p w14:paraId="5CC38A7E">
      <w:pPr>
        <w:pStyle w:val="99"/>
        <w:spacing w:line="360" w:lineRule="auto"/>
        <w:ind w:firstLine="709"/>
        <w:contextualSpacing/>
        <w:rPr>
          <w:rStyle w:val="103"/>
          <w:rFonts w:ascii="Times New Roman" w:hAnsi="Times New Roman" w:cs="Times New Roman"/>
          <w:b w:val="0"/>
          <w:bCs w:val="0"/>
          <w:color w:val="auto"/>
          <w:sz w:val="22"/>
          <w:szCs w:val="22"/>
        </w:rPr>
      </w:pPr>
      <w:r>
        <w:rPr>
          <w:rStyle w:val="103"/>
          <w:rFonts w:ascii="Times New Roman" w:hAnsi="Times New Roman" w:cs="Times New Roman"/>
          <w:b w:val="0"/>
          <w:bCs w:val="0"/>
          <w:color w:val="auto"/>
          <w:sz w:val="22"/>
          <w:szCs w:val="22"/>
        </w:rPr>
        <w:t>Экологическое воспитание:</w:t>
      </w:r>
    </w:p>
    <w:p w14:paraId="4E8FAF39">
      <w:pPr>
        <w:pStyle w:val="104"/>
        <w:spacing w:line="360" w:lineRule="auto"/>
        <w:ind w:left="0" w:firstLine="709"/>
        <w:contextualSpacing/>
        <w:rPr>
          <w:rFonts w:ascii="Times New Roman" w:hAnsi="Times New Roman" w:cs="Times New Roman"/>
          <w:color w:val="auto"/>
          <w:sz w:val="22"/>
          <w:szCs w:val="22"/>
        </w:rPr>
      </w:pPr>
      <w:r>
        <w:rPr>
          <w:rFonts w:ascii="Times New Roman" w:hAnsi="Times New Roman" w:cs="Times New Roman"/>
          <w:color w:val="auto"/>
          <w:sz w:val="22"/>
          <w:szCs w:val="22"/>
        </w:rPr>
        <w:t>экологически целесообразное отношение к природе, внимательное отношение к человеку, его потребностям в жизнеобеспечивающих двигательных действиях, ответственное отношение к собственному физическому и психическому здоровью, осознание ценности соблюдения правил безопасного поведения в ситуациях, угрожающих здоровью и жизни людей;</w:t>
      </w:r>
    </w:p>
    <w:p w14:paraId="2C09472E">
      <w:pPr>
        <w:pStyle w:val="104"/>
        <w:spacing w:line="360" w:lineRule="auto"/>
        <w:ind w:left="0" w:firstLine="709"/>
        <w:contextualSpacing/>
        <w:rPr>
          <w:rFonts w:ascii="Times New Roman" w:hAnsi="Times New Roman" w:cs="Times New Roman"/>
          <w:color w:val="auto"/>
          <w:sz w:val="22"/>
          <w:szCs w:val="22"/>
        </w:rPr>
      </w:pPr>
      <w:r>
        <w:rPr>
          <w:rFonts w:ascii="Times New Roman" w:hAnsi="Times New Roman" w:cs="Times New Roman"/>
          <w:color w:val="auto"/>
          <w:sz w:val="22"/>
          <w:szCs w:val="22"/>
        </w:rPr>
        <w:t>экологическое мышление, умение руководствоваться им в познавательной, коммуникативной и социальной практике.</w:t>
      </w:r>
      <w:bookmarkStart w:id="245" w:name="_Toc101876894"/>
    </w:p>
    <w:p w14:paraId="416068C3">
      <w:pPr>
        <w:pStyle w:val="104"/>
        <w:spacing w:line="360" w:lineRule="auto"/>
        <w:ind w:left="0" w:firstLine="709"/>
        <w:contextualSpacing/>
        <w:rPr>
          <w:rFonts w:ascii="Times New Roman" w:hAnsi="Times New Roman" w:cs="Times New Roman"/>
          <w:color w:val="auto"/>
          <w:sz w:val="22"/>
          <w:szCs w:val="22"/>
        </w:rPr>
      </w:pPr>
      <w:r>
        <w:rPr>
          <w:rFonts w:ascii="Times New Roman" w:hAnsi="Times New Roman" w:cs="Times New Roman"/>
          <w:color w:val="auto"/>
          <w:sz w:val="22"/>
          <w:szCs w:val="22"/>
        </w:rPr>
        <w:t>16.2.2.2. </w:t>
      </w:r>
      <w:bookmarkEnd w:id="245"/>
      <w:r>
        <w:rPr>
          <w:rFonts w:ascii="Times New Roman" w:hAnsi="Times New Roman" w:cs="Times New Roman"/>
          <w:color w:val="auto"/>
          <w:sz w:val="22"/>
          <w:szCs w:val="22"/>
        </w:rPr>
        <w:t>В результате изучения физической культуры на уровне начального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деятельность.</w:t>
      </w:r>
    </w:p>
    <w:p w14:paraId="1A03A568">
      <w:pPr>
        <w:pStyle w:val="104"/>
        <w:spacing w:line="360" w:lineRule="auto"/>
        <w:ind w:left="0" w:firstLine="709"/>
        <w:contextualSpacing/>
        <w:rPr>
          <w:rFonts w:ascii="Times New Roman" w:hAnsi="Times New Roman" w:cs="Times New Roman"/>
          <w:color w:val="auto"/>
          <w:sz w:val="22"/>
          <w:szCs w:val="22"/>
        </w:rPr>
      </w:pPr>
      <w:r>
        <w:rPr>
          <w:rFonts w:ascii="Times New Roman" w:hAnsi="Times New Roman" w:cs="Times New Roman"/>
          <w:color w:val="auto"/>
          <w:sz w:val="22"/>
          <w:szCs w:val="22"/>
        </w:rPr>
        <w:t>16.2.2.2.1. </w:t>
      </w:r>
      <w:r>
        <w:rPr>
          <w:rStyle w:val="103"/>
          <w:rFonts w:ascii="Times New Roman" w:hAnsi="Times New Roman" w:cs="Times New Roman"/>
          <w:b w:val="0"/>
          <w:bCs w:val="0"/>
          <w:color w:val="auto"/>
          <w:sz w:val="22"/>
          <w:szCs w:val="22"/>
        </w:rPr>
        <w:t>У обучающегося будут сформированы следующие базовые логические и исследовательские действия, умения работать с информацией как часть познавательных универсальных учебных действий:</w:t>
      </w:r>
    </w:p>
    <w:p w14:paraId="6D4D3222">
      <w:pPr>
        <w:pStyle w:val="104"/>
        <w:spacing w:line="360" w:lineRule="auto"/>
        <w:ind w:left="0" w:firstLine="709"/>
        <w:contextualSpacing/>
        <w:rPr>
          <w:rFonts w:ascii="Times New Roman" w:hAnsi="Times New Roman" w:cs="Times New Roman"/>
          <w:color w:val="auto"/>
          <w:sz w:val="22"/>
          <w:szCs w:val="22"/>
        </w:rPr>
      </w:pPr>
      <w:r>
        <w:rPr>
          <w:rFonts w:ascii="Times New Roman" w:hAnsi="Times New Roman" w:cs="Times New Roman"/>
          <w:color w:val="auto"/>
          <w:sz w:val="22"/>
          <w:szCs w:val="22"/>
        </w:rPr>
        <w:t>ориентироваться в терминах и понятиях, используемых в физической культуре (в пределах изученного), применять изученную терминологию в своих устных и письменных высказываниях;</w:t>
      </w:r>
    </w:p>
    <w:p w14:paraId="06E015D0">
      <w:pPr>
        <w:pStyle w:val="104"/>
        <w:spacing w:line="360" w:lineRule="auto"/>
        <w:ind w:left="0" w:firstLine="709"/>
        <w:contextualSpacing/>
        <w:rPr>
          <w:rFonts w:ascii="Times New Roman" w:hAnsi="Times New Roman" w:cs="Times New Roman"/>
          <w:color w:val="auto"/>
          <w:sz w:val="22"/>
          <w:szCs w:val="22"/>
        </w:rPr>
      </w:pPr>
      <w:r>
        <w:rPr>
          <w:rFonts w:ascii="Times New Roman" w:hAnsi="Times New Roman" w:cs="Times New Roman"/>
          <w:color w:val="auto"/>
          <w:sz w:val="22"/>
          <w:szCs w:val="22"/>
        </w:rPr>
        <w:t>выявлять признаки положительного влияния занятий физической культурой на работу организма, сохранение его здоровья и эмоционального благополучия;</w:t>
      </w:r>
    </w:p>
    <w:p w14:paraId="63E71CA8">
      <w:pPr>
        <w:pStyle w:val="104"/>
        <w:spacing w:line="360" w:lineRule="auto"/>
        <w:ind w:left="0" w:firstLine="709"/>
        <w:contextualSpacing/>
        <w:rPr>
          <w:rFonts w:ascii="Times New Roman" w:hAnsi="Times New Roman" w:cs="Times New Roman"/>
          <w:color w:val="auto"/>
          <w:sz w:val="22"/>
          <w:szCs w:val="22"/>
        </w:rPr>
      </w:pPr>
      <w:r>
        <w:rPr>
          <w:rFonts w:ascii="Times New Roman" w:hAnsi="Times New Roman" w:cs="Times New Roman"/>
          <w:color w:val="auto"/>
          <w:sz w:val="22"/>
          <w:szCs w:val="22"/>
        </w:rPr>
        <w:t>моделировать правила безопасного поведения при освоении физических упражнений, плавании;</w:t>
      </w:r>
    </w:p>
    <w:p w14:paraId="467C3692">
      <w:pPr>
        <w:pStyle w:val="104"/>
        <w:spacing w:line="360" w:lineRule="auto"/>
        <w:ind w:left="0" w:firstLine="709"/>
        <w:contextualSpacing/>
        <w:rPr>
          <w:rFonts w:ascii="Times New Roman" w:hAnsi="Times New Roman" w:cs="Times New Roman"/>
          <w:color w:val="auto"/>
          <w:sz w:val="22"/>
          <w:szCs w:val="22"/>
        </w:rPr>
      </w:pPr>
      <w:r>
        <w:rPr>
          <w:rFonts w:ascii="Times New Roman" w:hAnsi="Times New Roman" w:cs="Times New Roman"/>
          <w:color w:val="auto"/>
          <w:sz w:val="22"/>
          <w:szCs w:val="22"/>
        </w:rPr>
        <w:t>устанавливать связь между физическими упражнениями и их влиянием на развитие физических качеств;</w:t>
      </w:r>
    </w:p>
    <w:p w14:paraId="61CFBDEE">
      <w:pPr>
        <w:pStyle w:val="104"/>
        <w:spacing w:line="360" w:lineRule="auto"/>
        <w:ind w:left="0" w:firstLine="709"/>
        <w:contextualSpacing/>
        <w:rPr>
          <w:rFonts w:ascii="Times New Roman" w:hAnsi="Times New Roman" w:cs="Times New Roman"/>
          <w:color w:val="auto"/>
          <w:sz w:val="22"/>
          <w:szCs w:val="22"/>
        </w:rPr>
      </w:pPr>
      <w:r>
        <w:rPr>
          <w:rFonts w:ascii="Times New Roman" w:hAnsi="Times New Roman" w:cs="Times New Roman"/>
          <w:color w:val="auto"/>
          <w:sz w:val="22"/>
          <w:szCs w:val="22"/>
        </w:rPr>
        <w:t>классифицировать виды физических упражнений в соответствии с определённым классификационным признаком: по признаку исторически сложившихся систем физического воспитания, по преимущественной целевой направленности их использования, преимущественному воздействию на развитие отдельных качеств (способностей) человека;</w:t>
      </w:r>
    </w:p>
    <w:p w14:paraId="7EFE7F40">
      <w:pPr>
        <w:pStyle w:val="104"/>
        <w:spacing w:line="360" w:lineRule="auto"/>
        <w:ind w:left="0" w:firstLine="709"/>
        <w:contextualSpacing/>
        <w:rPr>
          <w:rFonts w:ascii="Times New Roman" w:hAnsi="Times New Roman" w:cs="Times New Roman"/>
          <w:color w:val="auto"/>
          <w:sz w:val="22"/>
          <w:szCs w:val="22"/>
        </w:rPr>
      </w:pPr>
      <w:r>
        <w:rPr>
          <w:rFonts w:ascii="Times New Roman" w:hAnsi="Times New Roman" w:cs="Times New Roman"/>
          <w:color w:val="auto"/>
          <w:sz w:val="22"/>
          <w:szCs w:val="22"/>
        </w:rPr>
        <w:t>приводить примеры и осуществлять демонстрацию гимнастических упражнений, навыков плавания, ходьбы на лыжах (при условии наличия снежного покрова), упражнений начальной подготовки по виду спорта (по выбору), туристических физических упражнений;</w:t>
      </w:r>
    </w:p>
    <w:p w14:paraId="3925ECB0">
      <w:pPr>
        <w:pStyle w:val="104"/>
        <w:spacing w:line="360" w:lineRule="auto"/>
        <w:ind w:left="0" w:firstLine="709"/>
        <w:contextualSpacing/>
        <w:rPr>
          <w:rFonts w:ascii="Times New Roman" w:hAnsi="Times New Roman" w:cs="Times New Roman"/>
          <w:color w:val="auto"/>
          <w:sz w:val="22"/>
          <w:szCs w:val="22"/>
        </w:rPr>
      </w:pPr>
      <w:r>
        <w:rPr>
          <w:rFonts w:ascii="Times New Roman" w:hAnsi="Times New Roman" w:cs="Times New Roman"/>
          <w:color w:val="auto"/>
          <w:sz w:val="22"/>
          <w:szCs w:val="22"/>
        </w:rPr>
        <w:t>самостоятельно (или в совместной деятельности) составлять комбинацию упражнений для утренней гимнастики с индивидуальным дозированием физических упражнений;</w:t>
      </w:r>
    </w:p>
    <w:p w14:paraId="574731B6">
      <w:pPr>
        <w:pStyle w:val="104"/>
        <w:spacing w:line="360" w:lineRule="auto"/>
        <w:ind w:left="0" w:firstLine="709"/>
        <w:contextualSpacing/>
        <w:rPr>
          <w:rFonts w:ascii="Times New Roman" w:hAnsi="Times New Roman" w:cs="Times New Roman"/>
          <w:color w:val="auto"/>
          <w:sz w:val="22"/>
          <w:szCs w:val="22"/>
        </w:rPr>
      </w:pPr>
      <w:r>
        <w:rPr>
          <w:rFonts w:ascii="Times New Roman" w:hAnsi="Times New Roman" w:cs="Times New Roman"/>
          <w:color w:val="auto"/>
          <w:sz w:val="22"/>
          <w:szCs w:val="22"/>
        </w:rPr>
        <w:t>формировать умение понимать причины успеха/неуспеха учебной деятельности, в том числе для целей эффективного развития физических качеств и способностей в соответствии с сенситивными периодами развития, способности конструктивно находить решение и действовать даже в ситуациях неуспеха;</w:t>
      </w:r>
    </w:p>
    <w:p w14:paraId="4813138C">
      <w:pPr>
        <w:pStyle w:val="104"/>
        <w:spacing w:line="360" w:lineRule="auto"/>
        <w:ind w:left="0" w:firstLine="709"/>
        <w:contextualSpacing/>
        <w:rPr>
          <w:rFonts w:ascii="Times New Roman" w:hAnsi="Times New Roman" w:cs="Times New Roman"/>
          <w:color w:val="auto"/>
          <w:sz w:val="22"/>
          <w:szCs w:val="22"/>
        </w:rPr>
      </w:pPr>
      <w:r>
        <w:rPr>
          <w:rFonts w:ascii="Times New Roman" w:hAnsi="Times New Roman" w:cs="Times New Roman"/>
          <w:color w:val="auto"/>
          <w:sz w:val="22"/>
          <w:szCs w:val="22"/>
        </w:rPr>
        <w:t>овладевать базовыми предметными и межпредметными понятиями, отражающими существенные связи и отношения между объектами и процессами, использовать знания и умения в области культуры движения, эстетического восприятия в учебной деятельности иных учебных предметов;</w:t>
      </w:r>
    </w:p>
    <w:p w14:paraId="6B26361A">
      <w:pPr>
        <w:pStyle w:val="104"/>
        <w:spacing w:line="360" w:lineRule="auto"/>
        <w:ind w:left="0" w:firstLine="709"/>
        <w:contextualSpacing/>
        <w:rPr>
          <w:rFonts w:ascii="Times New Roman" w:hAnsi="Times New Roman" w:cs="Times New Roman"/>
          <w:color w:val="auto"/>
          <w:sz w:val="22"/>
          <w:szCs w:val="22"/>
        </w:rPr>
      </w:pPr>
      <w:r>
        <w:rPr>
          <w:rFonts w:ascii="Times New Roman" w:hAnsi="Times New Roman" w:cs="Times New Roman"/>
          <w:color w:val="auto"/>
          <w:sz w:val="22"/>
          <w:szCs w:val="22"/>
        </w:rPr>
        <w:t>использовать информацию, полученную посредством наблюдений, просмотра видеоматериалов, иллюстраций, для эффективного физического развития, в том числе с использованием гимнастических, игровых, спортивных, туристических физических упражнений;</w:t>
      </w:r>
    </w:p>
    <w:p w14:paraId="2E685A01">
      <w:pPr>
        <w:pStyle w:val="104"/>
        <w:spacing w:line="360" w:lineRule="auto"/>
        <w:ind w:left="0" w:firstLine="709"/>
        <w:contextualSpacing/>
        <w:rPr>
          <w:rFonts w:ascii="Times New Roman" w:hAnsi="Times New Roman" w:cs="Times New Roman"/>
          <w:color w:val="auto"/>
          <w:sz w:val="22"/>
          <w:szCs w:val="22"/>
        </w:rPr>
      </w:pPr>
      <w:r>
        <w:rPr>
          <w:rFonts w:ascii="Times New Roman" w:hAnsi="Times New Roman" w:cs="Times New Roman"/>
          <w:color w:val="auto"/>
          <w:sz w:val="22"/>
          <w:szCs w:val="22"/>
        </w:rPr>
        <w:t>использовать средства информационно-коммуникационных технологий для решения учебных и практических задач (в том числе Интернет с контролируемым выходом), оценивать объективность информации и возможности её использования для решения конкретных учебных задач.</w:t>
      </w:r>
    </w:p>
    <w:p w14:paraId="7B7E29E7">
      <w:pPr>
        <w:pStyle w:val="99"/>
        <w:spacing w:line="360" w:lineRule="auto"/>
        <w:ind w:firstLine="709"/>
        <w:contextualSpacing/>
        <w:rPr>
          <w:rFonts w:ascii="Times New Roman" w:hAnsi="Times New Roman" w:cs="Times New Roman"/>
          <w:color w:val="auto"/>
          <w:sz w:val="22"/>
          <w:szCs w:val="22"/>
        </w:rPr>
      </w:pPr>
      <w:r>
        <w:rPr>
          <w:rFonts w:ascii="Times New Roman" w:hAnsi="Times New Roman" w:cs="Times New Roman"/>
          <w:color w:val="auto"/>
          <w:sz w:val="22"/>
          <w:szCs w:val="22"/>
        </w:rPr>
        <w:t>16.2.2.2.2. У обучающегося будут сформированы умения общения как часть коммуникативных универсальных учебных действий:</w:t>
      </w:r>
    </w:p>
    <w:p w14:paraId="47C99555">
      <w:pPr>
        <w:pStyle w:val="104"/>
        <w:spacing w:line="360" w:lineRule="auto"/>
        <w:ind w:left="0" w:firstLine="709"/>
        <w:contextualSpacing/>
        <w:rPr>
          <w:rFonts w:ascii="Times New Roman" w:hAnsi="Times New Roman" w:cs="Times New Roman"/>
          <w:color w:val="auto"/>
          <w:sz w:val="22"/>
          <w:szCs w:val="22"/>
        </w:rPr>
      </w:pPr>
      <w:r>
        <w:rPr>
          <w:rFonts w:ascii="Times New Roman" w:hAnsi="Times New Roman" w:cs="Times New Roman"/>
          <w:color w:val="auto"/>
          <w:sz w:val="22"/>
          <w:szCs w:val="22"/>
        </w:rPr>
        <w:t>вступать в диалог, задавать собеседнику вопросы, использовать реплики-уточнения и дополнения, формулировать собственное мнение и идеи, аргументированно их излагать, выслушивать разные мнения, учитывать их в диалоге;</w:t>
      </w:r>
    </w:p>
    <w:p w14:paraId="1102A050">
      <w:pPr>
        <w:pStyle w:val="104"/>
        <w:spacing w:line="360" w:lineRule="auto"/>
        <w:ind w:left="0" w:firstLine="709"/>
        <w:contextualSpacing/>
        <w:rPr>
          <w:rFonts w:ascii="Times New Roman" w:hAnsi="Times New Roman" w:cs="Times New Roman"/>
          <w:color w:val="auto"/>
          <w:sz w:val="22"/>
          <w:szCs w:val="22"/>
        </w:rPr>
      </w:pPr>
      <w:r>
        <w:rPr>
          <w:rFonts w:ascii="Times New Roman" w:hAnsi="Times New Roman" w:cs="Times New Roman"/>
          <w:color w:val="auto"/>
          <w:sz w:val="22"/>
          <w:szCs w:val="22"/>
        </w:rPr>
        <w:t>описывать влияние физической культуры на здоровье и эмоциональное благополучие человека;</w:t>
      </w:r>
    </w:p>
    <w:p w14:paraId="4B356128">
      <w:pPr>
        <w:pStyle w:val="104"/>
        <w:spacing w:line="360" w:lineRule="auto"/>
        <w:ind w:left="0" w:firstLine="709"/>
        <w:contextualSpacing/>
        <w:rPr>
          <w:rFonts w:ascii="Times New Roman" w:hAnsi="Times New Roman" w:cs="Times New Roman"/>
          <w:color w:val="auto"/>
          <w:sz w:val="22"/>
          <w:szCs w:val="22"/>
        </w:rPr>
      </w:pPr>
      <w:r>
        <w:rPr>
          <w:rFonts w:ascii="Times New Roman" w:hAnsi="Times New Roman" w:cs="Times New Roman"/>
          <w:color w:val="auto"/>
          <w:sz w:val="22"/>
          <w:szCs w:val="22"/>
        </w:rPr>
        <w:t>строить гипотезы о возможных отрицательных последствиях нарушения правил при выполнении физических движений, в играх и игровых заданиях, спортивных эстафетах;</w:t>
      </w:r>
    </w:p>
    <w:p w14:paraId="0C7FF5A6">
      <w:pPr>
        <w:pStyle w:val="104"/>
        <w:spacing w:line="360" w:lineRule="auto"/>
        <w:ind w:left="0" w:firstLine="709"/>
        <w:contextualSpacing/>
        <w:rPr>
          <w:rFonts w:ascii="Times New Roman" w:hAnsi="Times New Roman" w:cs="Times New Roman"/>
          <w:color w:val="auto"/>
          <w:sz w:val="22"/>
          <w:szCs w:val="22"/>
        </w:rPr>
      </w:pPr>
      <w:r>
        <w:rPr>
          <w:rFonts w:ascii="Times New Roman" w:hAnsi="Times New Roman" w:cs="Times New Roman"/>
          <w:color w:val="auto"/>
          <w:sz w:val="22"/>
          <w:szCs w:val="22"/>
        </w:rPr>
        <w:t>организовывать (при содействии взрослого или самостоятельно) игры, спортивные эстафеты, выполнение физических упражнений в коллективе, включая обсуждение цели общей деятельности, распределение ролей, выполнение функциональных обязанностей, осуществление действий для достижения результата;</w:t>
      </w:r>
    </w:p>
    <w:p w14:paraId="6682E32B">
      <w:pPr>
        <w:pStyle w:val="104"/>
        <w:spacing w:line="360" w:lineRule="auto"/>
        <w:ind w:left="0" w:firstLine="709"/>
        <w:contextualSpacing/>
        <w:rPr>
          <w:rFonts w:ascii="Times New Roman" w:hAnsi="Times New Roman" w:cs="Times New Roman"/>
          <w:color w:val="auto"/>
          <w:sz w:val="22"/>
          <w:szCs w:val="22"/>
        </w:rPr>
      </w:pPr>
      <w:r>
        <w:rPr>
          <w:rFonts w:ascii="Times New Roman" w:hAnsi="Times New Roman" w:cs="Times New Roman"/>
          <w:color w:val="auto"/>
          <w:sz w:val="22"/>
          <w:szCs w:val="22"/>
        </w:rPr>
        <w:t>проявлять интерес к работе товарищей, в доброжелательной форме комментировать и оценивать их достижения, высказывать свои предложения и пожелания, оказывать при необходимости помощь;</w:t>
      </w:r>
    </w:p>
    <w:p w14:paraId="51077AD7">
      <w:pPr>
        <w:pStyle w:val="104"/>
        <w:spacing w:line="360" w:lineRule="auto"/>
        <w:ind w:left="0" w:firstLine="709"/>
        <w:contextualSpacing/>
        <w:rPr>
          <w:rFonts w:ascii="Times New Roman" w:hAnsi="Times New Roman" w:cs="Times New Roman"/>
          <w:color w:val="auto"/>
          <w:sz w:val="22"/>
          <w:szCs w:val="22"/>
        </w:rPr>
      </w:pPr>
      <w:r>
        <w:rPr>
          <w:rFonts w:ascii="Times New Roman" w:hAnsi="Times New Roman" w:cs="Times New Roman"/>
          <w:color w:val="auto"/>
          <w:sz w:val="22"/>
          <w:szCs w:val="22"/>
        </w:rPr>
        <w:t>продуктивно сотрудничать (общение, взаимодействие) со сверстниками при решении задач выполнения физических упражнений, игровых заданий и игр на уроках, во внеурочной и внешкольной физкультурной деятельности;</w:t>
      </w:r>
    </w:p>
    <w:p w14:paraId="3AE91ADE">
      <w:pPr>
        <w:pStyle w:val="104"/>
        <w:spacing w:line="360" w:lineRule="auto"/>
        <w:ind w:left="0" w:firstLine="709"/>
        <w:contextualSpacing/>
        <w:rPr>
          <w:rFonts w:ascii="Times New Roman" w:hAnsi="Times New Roman" w:cs="Times New Roman"/>
          <w:color w:val="auto"/>
          <w:sz w:val="22"/>
          <w:szCs w:val="22"/>
        </w:rPr>
      </w:pPr>
      <w:r>
        <w:rPr>
          <w:rFonts w:ascii="Times New Roman" w:hAnsi="Times New Roman" w:cs="Times New Roman"/>
          <w:color w:val="auto"/>
          <w:sz w:val="22"/>
          <w:szCs w:val="22"/>
        </w:rPr>
        <w:t>конструктивно разрешать конфликты посредством учёта интересов сторон и сотрудничества.</w:t>
      </w:r>
    </w:p>
    <w:p w14:paraId="3315326D">
      <w:pPr>
        <w:pStyle w:val="99"/>
        <w:spacing w:line="360" w:lineRule="auto"/>
        <w:ind w:firstLine="709"/>
        <w:contextualSpacing/>
        <w:rPr>
          <w:rFonts w:ascii="Times New Roman" w:hAnsi="Times New Roman" w:cs="Times New Roman"/>
          <w:color w:val="auto"/>
          <w:sz w:val="22"/>
          <w:szCs w:val="22"/>
        </w:rPr>
      </w:pPr>
      <w:r>
        <w:rPr>
          <w:rStyle w:val="103"/>
          <w:rFonts w:ascii="Times New Roman" w:hAnsi="Times New Roman" w:cs="Times New Roman"/>
          <w:b w:val="0"/>
          <w:bCs w:val="0"/>
          <w:color w:val="auto"/>
          <w:sz w:val="22"/>
          <w:szCs w:val="22"/>
        </w:rPr>
        <w:t>16.2.2.2.3.</w:t>
      </w:r>
      <w:r>
        <w:rPr>
          <w:rStyle w:val="103"/>
          <w:rFonts w:ascii="Times New Roman" w:hAnsi="Times New Roman" w:cs="Times New Roman"/>
          <w:color w:val="auto"/>
          <w:sz w:val="22"/>
          <w:szCs w:val="22"/>
        </w:rPr>
        <w:t> </w:t>
      </w:r>
      <w:r>
        <w:rPr>
          <w:rFonts w:ascii="Times New Roman" w:hAnsi="Times New Roman" w:cs="Times New Roman"/>
          <w:color w:val="auto"/>
          <w:sz w:val="22"/>
          <w:szCs w:val="22"/>
        </w:rPr>
        <w:t>У обучающегося будут сформированы умения самоорганизации и самоконтроля как часть регулятивных универсальных учебных действий:</w:t>
      </w:r>
    </w:p>
    <w:p w14:paraId="5C8DED0E">
      <w:pPr>
        <w:pStyle w:val="104"/>
        <w:spacing w:line="360" w:lineRule="auto"/>
        <w:ind w:left="0" w:firstLine="709"/>
        <w:contextualSpacing/>
        <w:rPr>
          <w:rFonts w:ascii="Times New Roman" w:hAnsi="Times New Roman" w:cs="Times New Roman"/>
          <w:color w:val="auto"/>
          <w:spacing w:val="2"/>
          <w:sz w:val="22"/>
          <w:szCs w:val="22"/>
        </w:rPr>
      </w:pPr>
      <w:r>
        <w:rPr>
          <w:rFonts w:ascii="Times New Roman" w:hAnsi="Times New Roman" w:cs="Times New Roman"/>
          <w:color w:val="auto"/>
          <w:spacing w:val="2"/>
          <w:sz w:val="22"/>
          <w:szCs w:val="22"/>
        </w:rPr>
        <w:t>оценивать влияние занятий физической подготовкой на состояние своего организма (снятие утомляемости, улучшение настроения, уменьшение частоты простудных заболеваний);</w:t>
      </w:r>
    </w:p>
    <w:p w14:paraId="651F83DF">
      <w:pPr>
        <w:pStyle w:val="104"/>
        <w:spacing w:line="360" w:lineRule="auto"/>
        <w:ind w:left="0" w:firstLine="709"/>
        <w:contextualSpacing/>
        <w:rPr>
          <w:rFonts w:ascii="Times New Roman" w:hAnsi="Times New Roman" w:cs="Times New Roman"/>
          <w:color w:val="auto"/>
          <w:sz w:val="22"/>
          <w:szCs w:val="22"/>
        </w:rPr>
      </w:pPr>
      <w:r>
        <w:rPr>
          <w:rFonts w:ascii="Times New Roman" w:hAnsi="Times New Roman" w:cs="Times New Roman"/>
          <w:color w:val="auto"/>
          <w:sz w:val="22"/>
          <w:szCs w:val="22"/>
        </w:rPr>
        <w:t>контролировать состояние организма на уроках физической культуры и в самостоятельной повседневной физической деятельности по показателям частоты пульса и самочувствия;</w:t>
      </w:r>
    </w:p>
    <w:p w14:paraId="39D5283C">
      <w:pPr>
        <w:pStyle w:val="104"/>
        <w:spacing w:line="360" w:lineRule="auto"/>
        <w:ind w:left="0" w:firstLine="709"/>
        <w:contextualSpacing/>
        <w:rPr>
          <w:rFonts w:ascii="Times New Roman" w:hAnsi="Times New Roman" w:cs="Times New Roman"/>
          <w:color w:val="auto"/>
          <w:sz w:val="22"/>
          <w:szCs w:val="22"/>
        </w:rPr>
      </w:pPr>
      <w:r>
        <w:rPr>
          <w:rFonts w:ascii="Times New Roman" w:hAnsi="Times New Roman" w:cs="Times New Roman"/>
          <w:color w:val="auto"/>
          <w:sz w:val="22"/>
          <w:szCs w:val="22"/>
        </w:rPr>
        <w:t>предусматривать возникновение возможных ситуаций, опасных для здоровья и жизни;</w:t>
      </w:r>
    </w:p>
    <w:p w14:paraId="1BF063AE">
      <w:pPr>
        <w:pStyle w:val="104"/>
        <w:spacing w:line="360" w:lineRule="auto"/>
        <w:ind w:left="0" w:firstLine="709"/>
        <w:contextualSpacing/>
        <w:rPr>
          <w:rFonts w:ascii="Times New Roman" w:hAnsi="Times New Roman" w:cs="Times New Roman"/>
          <w:color w:val="auto"/>
          <w:sz w:val="22"/>
          <w:szCs w:val="22"/>
        </w:rPr>
      </w:pPr>
      <w:r>
        <w:rPr>
          <w:rFonts w:ascii="Times New Roman" w:hAnsi="Times New Roman" w:cs="Times New Roman"/>
          <w:color w:val="auto"/>
          <w:sz w:val="22"/>
          <w:szCs w:val="22"/>
        </w:rPr>
        <w:t>проявлять волевую саморегуляцию при планировании и выполнении намеченных планов организации своей жизнедеятельности, проявлять стремление к успешной образовательной, в том числе физкультурно-спортивной, деятельности, анализировать свои ошибки;</w:t>
      </w:r>
    </w:p>
    <w:p w14:paraId="0D8F9901">
      <w:pPr>
        <w:pStyle w:val="104"/>
        <w:spacing w:line="360" w:lineRule="auto"/>
        <w:ind w:left="0" w:firstLine="709"/>
        <w:contextualSpacing/>
        <w:rPr>
          <w:rFonts w:ascii="Times New Roman" w:hAnsi="Times New Roman" w:cs="Times New Roman"/>
          <w:color w:val="auto"/>
          <w:sz w:val="22"/>
          <w:szCs w:val="22"/>
        </w:rPr>
      </w:pPr>
      <w:r>
        <w:rPr>
          <w:rFonts w:ascii="Times New Roman" w:hAnsi="Times New Roman" w:cs="Times New Roman"/>
          <w:color w:val="auto"/>
          <w:sz w:val="22"/>
          <w:szCs w:val="22"/>
        </w:rPr>
        <w:t>осуществлять информационную, познавательную и практическую деятельность с использованием различных средств информации и коммуникации.</w:t>
      </w:r>
      <w:bookmarkStart w:id="246" w:name="_Toc101876895"/>
    </w:p>
    <w:bookmarkEnd w:id="246"/>
    <w:p w14:paraId="009532F3">
      <w:pPr>
        <w:pStyle w:val="99"/>
        <w:spacing w:line="360" w:lineRule="auto"/>
        <w:ind w:firstLine="709"/>
        <w:contextualSpacing/>
        <w:rPr>
          <w:rFonts w:ascii="Times New Roman" w:hAnsi="Times New Roman" w:cs="Times New Roman"/>
          <w:color w:val="auto"/>
          <w:sz w:val="22"/>
          <w:szCs w:val="22"/>
        </w:rPr>
      </w:pPr>
      <w:r>
        <w:rPr>
          <w:rFonts w:ascii="Times New Roman" w:hAnsi="Times New Roman" w:cs="Times New Roman"/>
          <w:color w:val="auto"/>
          <w:sz w:val="22"/>
          <w:szCs w:val="22"/>
        </w:rPr>
        <w:t>Предметные результаты изучения учебного предмета «Физическая культура» отражают опыт обучающихся в физкультурной деятельности.</w:t>
      </w:r>
    </w:p>
    <w:p w14:paraId="448B40CA">
      <w:pPr>
        <w:pStyle w:val="99"/>
        <w:spacing w:line="360" w:lineRule="auto"/>
        <w:ind w:firstLine="709"/>
        <w:contextualSpacing/>
        <w:rPr>
          <w:rFonts w:ascii="Times New Roman" w:hAnsi="Times New Roman" w:cs="Times New Roman"/>
          <w:color w:val="auto"/>
          <w:sz w:val="22"/>
          <w:szCs w:val="22"/>
        </w:rPr>
      </w:pPr>
      <w:r>
        <w:rPr>
          <w:rFonts w:ascii="Times New Roman" w:hAnsi="Times New Roman" w:cs="Times New Roman"/>
          <w:color w:val="auto"/>
          <w:sz w:val="22"/>
          <w:szCs w:val="22"/>
        </w:rPr>
        <w:t>В составе предметных результатов по освоению обязательного содержания, установленного программой по физической культуре, выделяются: полученные знания, освоенные обучающимися, умения и способы действий, специфические для предметной области «Физическая культура» периода развития начального общего образования, виды деятельности по получению новых знаний, их интерпретации, преобразованию и применению в различных учебных и новых ситуациях.</w:t>
      </w:r>
    </w:p>
    <w:p w14:paraId="2F440E10">
      <w:pPr>
        <w:pStyle w:val="99"/>
        <w:spacing w:line="360" w:lineRule="auto"/>
        <w:ind w:firstLine="709"/>
        <w:contextualSpacing/>
        <w:rPr>
          <w:rFonts w:ascii="Times New Roman" w:hAnsi="Times New Roman" w:cs="Times New Roman"/>
          <w:color w:val="auto"/>
          <w:sz w:val="22"/>
          <w:szCs w:val="22"/>
        </w:rPr>
      </w:pPr>
      <w:r>
        <w:rPr>
          <w:rFonts w:ascii="Times New Roman" w:hAnsi="Times New Roman" w:cs="Times New Roman"/>
          <w:color w:val="auto"/>
          <w:sz w:val="22"/>
          <w:szCs w:val="22"/>
        </w:rPr>
        <w:t>В состав предметных результатов по освоению обязательного содержания включены физические упражнения:</w:t>
      </w:r>
    </w:p>
    <w:p w14:paraId="6BB7CFF2">
      <w:pPr>
        <w:pStyle w:val="104"/>
        <w:spacing w:line="360" w:lineRule="auto"/>
        <w:ind w:left="0" w:firstLine="709"/>
        <w:contextualSpacing/>
        <w:rPr>
          <w:rFonts w:ascii="Times New Roman" w:hAnsi="Times New Roman" w:cs="Times New Roman"/>
          <w:color w:val="auto"/>
          <w:spacing w:val="1"/>
          <w:sz w:val="22"/>
          <w:szCs w:val="22"/>
        </w:rPr>
      </w:pPr>
      <w:r>
        <w:rPr>
          <w:rFonts w:ascii="Times New Roman" w:hAnsi="Times New Roman" w:cs="Times New Roman"/>
          <w:color w:val="auto"/>
          <w:spacing w:val="1"/>
          <w:sz w:val="22"/>
          <w:szCs w:val="22"/>
        </w:rPr>
        <w:t>гимнастические упражнения, характеризующиеся многообразием искусственно созданных движений и действий, эффективность которых оценивается избирательностью воздействия на строение и функции организма, а также правильностью, красотой и координационной сложностью всех движений;</w:t>
      </w:r>
    </w:p>
    <w:p w14:paraId="3C0B6885">
      <w:pPr>
        <w:pStyle w:val="104"/>
        <w:spacing w:line="360" w:lineRule="auto"/>
        <w:ind w:left="0" w:firstLine="709"/>
        <w:contextualSpacing/>
        <w:rPr>
          <w:rFonts w:ascii="Times New Roman" w:hAnsi="Times New Roman" w:cs="Times New Roman"/>
          <w:color w:val="auto"/>
          <w:sz w:val="22"/>
          <w:szCs w:val="22"/>
        </w:rPr>
      </w:pPr>
      <w:r>
        <w:rPr>
          <w:rFonts w:ascii="Times New Roman" w:hAnsi="Times New Roman" w:cs="Times New Roman"/>
          <w:color w:val="auto"/>
          <w:sz w:val="22"/>
          <w:szCs w:val="22"/>
        </w:rPr>
        <w:t>игровые упражнения, состоящие из естественных видов действий (элементарных движений, бега, бросков и других), которые выполняются в разнообразных вариантах в соответствии с изменяющейся игровой ситуацией и оцениваются по эффективности влияния на организм в целом и по конечному результату действия (например, точнее бросить, быстрее добежать, выполнить в соответствии с предлагаемой техникой выполнения или конечным результатом задания);</w:t>
      </w:r>
    </w:p>
    <w:p w14:paraId="423777BC">
      <w:pPr>
        <w:pStyle w:val="104"/>
        <w:spacing w:line="360" w:lineRule="auto"/>
        <w:ind w:left="0" w:firstLine="709"/>
        <w:contextualSpacing/>
        <w:rPr>
          <w:rFonts w:ascii="Times New Roman" w:hAnsi="Times New Roman" w:cs="Times New Roman"/>
          <w:color w:val="auto"/>
          <w:sz w:val="22"/>
          <w:szCs w:val="22"/>
        </w:rPr>
      </w:pPr>
      <w:r>
        <w:rPr>
          <w:rFonts w:ascii="Times New Roman" w:hAnsi="Times New Roman" w:cs="Times New Roman"/>
          <w:color w:val="auto"/>
          <w:sz w:val="22"/>
          <w:szCs w:val="22"/>
        </w:rPr>
        <w:t>туристические физические упражнения, включающие ходьбу, бег, прыжки, преодоление препятствий, ходьбу на лыжах, езду на велосипеде, эффективность которых оценивается комплексным воздействием на организм и результативностью преодоления расстояния и препятствий на местности;</w:t>
      </w:r>
    </w:p>
    <w:p w14:paraId="75FD6E54">
      <w:pPr>
        <w:pStyle w:val="104"/>
        <w:spacing w:line="360" w:lineRule="auto"/>
        <w:ind w:left="0" w:firstLine="709"/>
        <w:contextualSpacing/>
        <w:rPr>
          <w:rFonts w:ascii="Times New Roman" w:hAnsi="Times New Roman" w:cs="Times New Roman"/>
          <w:color w:val="auto"/>
          <w:sz w:val="22"/>
          <w:szCs w:val="22"/>
        </w:rPr>
      </w:pPr>
      <w:r>
        <w:rPr>
          <w:rFonts w:ascii="Times New Roman" w:hAnsi="Times New Roman" w:cs="Times New Roman"/>
          <w:color w:val="auto"/>
          <w:sz w:val="22"/>
          <w:szCs w:val="22"/>
        </w:rPr>
        <w:t>спортивные упражнения объединяют ту группу действий, исполнение которых искусственно стандартизировано в соответствии с Единой всесоюзной спортивной классификацией и является предметом специализации для достижения максимальных спортивных результатов. К последней группе в программе по физической культуре условно относятся некоторые физические упражнения первых трёх трупп, если им присущи перечисленные признаки (спортивные гимнастические упражнения, спортивные игровые упражнения, спортивные туристические упражнения).</w:t>
      </w:r>
    </w:p>
    <w:p w14:paraId="0429367E">
      <w:pPr>
        <w:pStyle w:val="99"/>
        <w:spacing w:line="360" w:lineRule="auto"/>
        <w:ind w:firstLine="709"/>
        <w:contextualSpacing/>
        <w:rPr>
          <w:rFonts w:ascii="Times New Roman" w:hAnsi="Times New Roman" w:cs="Times New Roman"/>
          <w:color w:val="auto"/>
          <w:sz w:val="22"/>
          <w:szCs w:val="22"/>
        </w:rPr>
      </w:pPr>
      <w:r>
        <w:rPr>
          <w:rStyle w:val="103"/>
          <w:rFonts w:ascii="Times New Roman" w:hAnsi="Times New Roman" w:cs="Times New Roman"/>
          <w:b w:val="0"/>
          <w:bCs w:val="0"/>
          <w:color w:val="auto"/>
          <w:sz w:val="22"/>
          <w:szCs w:val="22"/>
        </w:rPr>
        <w:t>Предметные результаты</w:t>
      </w:r>
      <w:r>
        <w:rPr>
          <w:rFonts w:ascii="Times New Roman" w:hAnsi="Times New Roman" w:cs="Times New Roman"/>
          <w:color w:val="auto"/>
          <w:sz w:val="22"/>
          <w:szCs w:val="22"/>
        </w:rPr>
        <w:t xml:space="preserve"> представлены по годам обучения и отражают сформированность у обучающихся определённых умений.</w:t>
      </w:r>
      <w:bookmarkStart w:id="247" w:name="_Toc101876896"/>
    </w:p>
    <w:p w14:paraId="01D33B03">
      <w:pPr>
        <w:pStyle w:val="99"/>
        <w:spacing w:line="360" w:lineRule="auto"/>
        <w:ind w:firstLine="709"/>
        <w:contextualSpacing/>
        <w:rPr>
          <w:rFonts w:ascii="Times New Roman" w:hAnsi="Times New Roman" w:cs="Times New Roman"/>
          <w:color w:val="auto"/>
          <w:sz w:val="22"/>
          <w:szCs w:val="22"/>
        </w:rPr>
      </w:pPr>
      <w:r>
        <w:rPr>
          <w:rFonts w:ascii="Times New Roman" w:hAnsi="Times New Roman" w:cs="Times New Roman"/>
          <w:color w:val="auto"/>
          <w:sz w:val="22"/>
          <w:szCs w:val="22"/>
        </w:rPr>
        <w:t>16.2.2.3. К концу обучения в 1 классе обучающийся получит следующие предметные результаты по отдельным темам программы по физической культуре:</w:t>
      </w:r>
    </w:p>
    <w:p w14:paraId="5992BF0B">
      <w:pPr>
        <w:pStyle w:val="99"/>
        <w:spacing w:line="360" w:lineRule="auto"/>
        <w:ind w:firstLine="709"/>
        <w:contextualSpacing/>
        <w:rPr>
          <w:rStyle w:val="103"/>
          <w:rFonts w:ascii="Times New Roman" w:hAnsi="Times New Roman" w:cs="Times New Roman"/>
          <w:b w:val="0"/>
          <w:bCs w:val="0"/>
          <w:color w:val="auto"/>
          <w:sz w:val="22"/>
          <w:szCs w:val="22"/>
        </w:rPr>
      </w:pPr>
      <w:r>
        <w:rPr>
          <w:rStyle w:val="103"/>
          <w:rFonts w:ascii="Times New Roman" w:hAnsi="Times New Roman" w:cs="Times New Roman"/>
          <w:b w:val="0"/>
          <w:bCs w:val="0"/>
          <w:color w:val="auto"/>
          <w:sz w:val="22"/>
          <w:szCs w:val="22"/>
        </w:rPr>
        <w:t>Знания о физической культуре:</w:t>
      </w:r>
    </w:p>
    <w:bookmarkEnd w:id="247"/>
    <w:p w14:paraId="51B6822D">
      <w:pPr>
        <w:pStyle w:val="104"/>
        <w:spacing w:line="360" w:lineRule="auto"/>
        <w:ind w:left="0" w:firstLine="709"/>
        <w:contextualSpacing/>
        <w:rPr>
          <w:rFonts w:ascii="Times New Roman" w:hAnsi="Times New Roman" w:cs="Times New Roman"/>
          <w:color w:val="auto"/>
          <w:sz w:val="22"/>
          <w:szCs w:val="22"/>
        </w:rPr>
      </w:pPr>
      <w:r>
        <w:rPr>
          <w:rFonts w:ascii="Times New Roman" w:hAnsi="Times New Roman" w:cs="Times New Roman"/>
          <w:color w:val="auto"/>
          <w:sz w:val="22"/>
          <w:szCs w:val="22"/>
        </w:rPr>
        <w:t>различать основные предметные области физической культуры (гимнастика, игры, туризм, спорт);</w:t>
      </w:r>
    </w:p>
    <w:p w14:paraId="36F91620">
      <w:pPr>
        <w:pStyle w:val="104"/>
        <w:spacing w:line="360" w:lineRule="auto"/>
        <w:ind w:left="0" w:firstLine="709"/>
        <w:contextualSpacing/>
        <w:rPr>
          <w:rFonts w:ascii="Times New Roman" w:hAnsi="Times New Roman" w:cs="Times New Roman"/>
          <w:color w:val="auto"/>
          <w:sz w:val="22"/>
          <w:szCs w:val="22"/>
        </w:rPr>
      </w:pPr>
      <w:r>
        <w:rPr>
          <w:rFonts w:ascii="Times New Roman" w:hAnsi="Times New Roman" w:cs="Times New Roman"/>
          <w:color w:val="auto"/>
          <w:sz w:val="22"/>
          <w:szCs w:val="22"/>
        </w:rPr>
        <w:t>формулировать правила составления распорядка дня с использованием знаний принципов личной гигиены, требований к одежде и обуви для занятий физическими упражнениями в зале и на улице, иметь представление о здоровом образе жизни, о важности ведения активного образа жизни, формулировать основные правила безопасного поведения в местах занятий физическими упражнениями (в спортивном зале, на спортивной площадке, в бассейне);</w:t>
      </w:r>
    </w:p>
    <w:p w14:paraId="4761DD08">
      <w:pPr>
        <w:pStyle w:val="104"/>
        <w:spacing w:line="360" w:lineRule="auto"/>
        <w:ind w:left="0" w:firstLine="709"/>
        <w:contextualSpacing/>
        <w:rPr>
          <w:rFonts w:ascii="Times New Roman" w:hAnsi="Times New Roman" w:cs="Times New Roman"/>
          <w:color w:val="auto"/>
          <w:sz w:val="22"/>
          <w:szCs w:val="22"/>
        </w:rPr>
      </w:pPr>
      <w:r>
        <w:rPr>
          <w:rFonts w:ascii="Times New Roman" w:hAnsi="Times New Roman" w:cs="Times New Roman"/>
          <w:color w:val="auto"/>
          <w:sz w:val="22"/>
          <w:szCs w:val="22"/>
        </w:rPr>
        <w:t>формулировать простейшие правила закаливания и организации самостоятельных занятий физическими упражнениями, применять их в повседневной жизни, понимать и раскрывать значение регулярного выполнения гимнастических упражнений для гармоничного развития, описывать формы наблюдения за динамикой развития гибкости и координационных способностей;</w:t>
      </w:r>
    </w:p>
    <w:p w14:paraId="2CFB786B">
      <w:pPr>
        <w:pStyle w:val="104"/>
        <w:spacing w:line="360" w:lineRule="auto"/>
        <w:ind w:left="0" w:firstLine="709"/>
        <w:contextualSpacing/>
        <w:rPr>
          <w:rFonts w:ascii="Times New Roman" w:hAnsi="Times New Roman" w:cs="Times New Roman"/>
          <w:color w:val="auto"/>
          <w:sz w:val="22"/>
          <w:szCs w:val="22"/>
        </w:rPr>
      </w:pPr>
      <w:r>
        <w:rPr>
          <w:rFonts w:ascii="Times New Roman" w:hAnsi="Times New Roman" w:cs="Times New Roman"/>
          <w:color w:val="auto"/>
          <w:sz w:val="22"/>
          <w:szCs w:val="22"/>
        </w:rPr>
        <w:t>иметь представление об основных видах разминки.</w:t>
      </w:r>
    </w:p>
    <w:p w14:paraId="38F36E2C">
      <w:pPr>
        <w:pStyle w:val="99"/>
        <w:spacing w:line="360" w:lineRule="auto"/>
        <w:ind w:firstLine="709"/>
        <w:contextualSpacing/>
        <w:rPr>
          <w:rStyle w:val="103"/>
          <w:rFonts w:ascii="Times New Roman" w:hAnsi="Times New Roman" w:cs="Times New Roman"/>
          <w:b w:val="0"/>
          <w:bCs w:val="0"/>
          <w:color w:val="auto"/>
          <w:sz w:val="22"/>
          <w:szCs w:val="22"/>
        </w:rPr>
      </w:pPr>
      <w:r>
        <w:rPr>
          <w:rStyle w:val="103"/>
          <w:rFonts w:ascii="Times New Roman" w:hAnsi="Times New Roman" w:cs="Times New Roman"/>
          <w:b w:val="0"/>
          <w:bCs w:val="0"/>
          <w:color w:val="auto"/>
          <w:sz w:val="22"/>
          <w:szCs w:val="22"/>
        </w:rPr>
        <w:t>Способы физкультурной деятельности.</w:t>
      </w:r>
    </w:p>
    <w:p w14:paraId="68C5D12E">
      <w:pPr>
        <w:pStyle w:val="99"/>
        <w:spacing w:line="360" w:lineRule="auto"/>
        <w:ind w:firstLine="709"/>
        <w:contextualSpacing/>
        <w:rPr>
          <w:rStyle w:val="102"/>
          <w:rFonts w:ascii="Times New Roman" w:hAnsi="Times New Roman" w:eastAsia="Georgia" w:cs="Times New Roman"/>
          <w:i w:val="0"/>
          <w:iCs w:val="0"/>
          <w:color w:val="auto"/>
          <w:sz w:val="22"/>
          <w:szCs w:val="22"/>
        </w:rPr>
      </w:pPr>
      <w:r>
        <w:rPr>
          <w:rStyle w:val="102"/>
          <w:rFonts w:ascii="Times New Roman" w:hAnsi="Times New Roman" w:eastAsia="Georgia" w:cs="Times New Roman"/>
          <w:i w:val="0"/>
          <w:iCs w:val="0"/>
          <w:color w:val="auto"/>
          <w:sz w:val="22"/>
          <w:szCs w:val="22"/>
        </w:rPr>
        <w:t>Самостоятельные занятия общеразвивающими и здоровье формирующими физическими упражнениями:</w:t>
      </w:r>
    </w:p>
    <w:p w14:paraId="579DD4C3">
      <w:pPr>
        <w:pStyle w:val="104"/>
        <w:spacing w:line="360" w:lineRule="auto"/>
        <w:ind w:left="0" w:firstLine="709"/>
        <w:contextualSpacing/>
        <w:rPr>
          <w:rFonts w:ascii="Times New Roman" w:hAnsi="Times New Roman" w:cs="Times New Roman"/>
          <w:color w:val="auto"/>
          <w:sz w:val="22"/>
          <w:szCs w:val="22"/>
        </w:rPr>
      </w:pPr>
      <w:r>
        <w:rPr>
          <w:rFonts w:ascii="Times New Roman" w:hAnsi="Times New Roman" w:cs="Times New Roman"/>
          <w:color w:val="auto"/>
          <w:sz w:val="22"/>
          <w:szCs w:val="22"/>
        </w:rPr>
        <w:t>выбирать гимнастические упражнения для формирования стопы, осанки в положении стоя, сидя и при ходьбе, упражнения для развития гибкости и координации;</w:t>
      </w:r>
    </w:p>
    <w:p w14:paraId="6EED74A8">
      <w:pPr>
        <w:pStyle w:val="104"/>
        <w:spacing w:line="360" w:lineRule="auto"/>
        <w:ind w:left="0" w:firstLine="709"/>
        <w:contextualSpacing/>
        <w:rPr>
          <w:rFonts w:ascii="Times New Roman" w:hAnsi="Times New Roman" w:cs="Times New Roman"/>
          <w:color w:val="auto"/>
          <w:sz w:val="22"/>
          <w:szCs w:val="22"/>
        </w:rPr>
      </w:pPr>
      <w:r>
        <w:rPr>
          <w:rFonts w:ascii="Times New Roman" w:hAnsi="Times New Roman" w:cs="Times New Roman"/>
          <w:color w:val="auto"/>
          <w:sz w:val="22"/>
          <w:szCs w:val="22"/>
        </w:rPr>
        <w:t>составлять и выполнять индивидуальный распорядок дня с включением утренней гимнастики, физкультминуток, выполнения упражнений гимнастики, измерять и демонстрировать в записи индивидуальные показатели длины и массы тела, сравнивать их значения с рекомендуемыми для гармоничного развития значениями.</w:t>
      </w:r>
    </w:p>
    <w:p w14:paraId="289221AD">
      <w:pPr>
        <w:pStyle w:val="99"/>
        <w:spacing w:line="360" w:lineRule="auto"/>
        <w:ind w:firstLine="709"/>
        <w:contextualSpacing/>
        <w:rPr>
          <w:rStyle w:val="102"/>
          <w:rFonts w:ascii="Times New Roman" w:hAnsi="Times New Roman" w:eastAsia="Georgia" w:cs="Times New Roman"/>
          <w:i w:val="0"/>
          <w:iCs w:val="0"/>
          <w:color w:val="auto"/>
          <w:sz w:val="22"/>
          <w:szCs w:val="22"/>
        </w:rPr>
      </w:pPr>
      <w:r>
        <w:rPr>
          <w:rStyle w:val="102"/>
          <w:rFonts w:ascii="Times New Roman" w:hAnsi="Times New Roman" w:eastAsia="Georgia" w:cs="Times New Roman"/>
          <w:i w:val="0"/>
          <w:iCs w:val="0"/>
          <w:color w:val="auto"/>
          <w:sz w:val="22"/>
          <w:szCs w:val="22"/>
        </w:rPr>
        <w:t>Самостоятельные развивающие, подвижные игры и спортивные эстафеты, строевые упражнения:</w:t>
      </w:r>
    </w:p>
    <w:p w14:paraId="5BA98EAB">
      <w:pPr>
        <w:pStyle w:val="104"/>
        <w:spacing w:line="360" w:lineRule="auto"/>
        <w:ind w:left="0" w:firstLine="709"/>
        <w:contextualSpacing/>
        <w:rPr>
          <w:rFonts w:ascii="Times New Roman" w:hAnsi="Times New Roman" w:cs="Times New Roman"/>
          <w:color w:val="auto"/>
          <w:sz w:val="22"/>
          <w:szCs w:val="22"/>
        </w:rPr>
      </w:pPr>
      <w:r>
        <w:rPr>
          <w:rFonts w:ascii="Times New Roman" w:hAnsi="Times New Roman" w:cs="Times New Roman"/>
          <w:color w:val="auto"/>
          <w:sz w:val="22"/>
          <w:szCs w:val="22"/>
        </w:rPr>
        <w:t>участвовать в спортивных эстафетах, развивающих подвижных играх, в том числе ролевых, с заданиями на выполнение движений под музыку и с использованием танцевальных шагов, выполнять игровые задания для знакомства с видами спорта, плаванием, основами туристической деятельности, общаться и взаимодействовать в игровой деятельности, выполнять команды и строевые упражнения.</w:t>
      </w:r>
    </w:p>
    <w:p w14:paraId="51F07C7A">
      <w:pPr>
        <w:pStyle w:val="99"/>
        <w:spacing w:line="360" w:lineRule="auto"/>
        <w:ind w:firstLine="709"/>
        <w:contextualSpacing/>
        <w:rPr>
          <w:rStyle w:val="103"/>
          <w:rFonts w:ascii="Times New Roman" w:hAnsi="Times New Roman" w:cs="Times New Roman"/>
          <w:b w:val="0"/>
          <w:bCs w:val="0"/>
          <w:color w:val="auto"/>
          <w:sz w:val="22"/>
          <w:szCs w:val="22"/>
        </w:rPr>
      </w:pPr>
      <w:r>
        <w:rPr>
          <w:rStyle w:val="103"/>
          <w:rFonts w:ascii="Times New Roman" w:hAnsi="Times New Roman" w:cs="Times New Roman"/>
          <w:b w:val="0"/>
          <w:bCs w:val="0"/>
          <w:color w:val="auto"/>
          <w:sz w:val="22"/>
          <w:szCs w:val="22"/>
        </w:rPr>
        <w:t>Физическое совершенствование.</w:t>
      </w:r>
    </w:p>
    <w:p w14:paraId="62AE6358">
      <w:pPr>
        <w:pStyle w:val="99"/>
        <w:spacing w:line="360" w:lineRule="auto"/>
        <w:ind w:firstLine="709"/>
        <w:contextualSpacing/>
        <w:rPr>
          <w:rStyle w:val="102"/>
          <w:rFonts w:ascii="Times New Roman" w:hAnsi="Times New Roman" w:eastAsia="Georgia" w:cs="Times New Roman"/>
          <w:i w:val="0"/>
          <w:iCs w:val="0"/>
          <w:color w:val="auto"/>
          <w:sz w:val="22"/>
          <w:szCs w:val="22"/>
        </w:rPr>
      </w:pPr>
      <w:r>
        <w:rPr>
          <w:rStyle w:val="102"/>
          <w:rFonts w:ascii="Times New Roman" w:hAnsi="Times New Roman" w:eastAsia="Georgia" w:cs="Times New Roman"/>
          <w:i w:val="0"/>
          <w:iCs w:val="0"/>
          <w:color w:val="auto"/>
          <w:sz w:val="22"/>
          <w:szCs w:val="22"/>
        </w:rPr>
        <w:t>Физкультурно-оздоровительная деятельность:</w:t>
      </w:r>
    </w:p>
    <w:p w14:paraId="7F1A71AA">
      <w:pPr>
        <w:pStyle w:val="104"/>
        <w:spacing w:line="360" w:lineRule="auto"/>
        <w:ind w:left="0" w:firstLine="709"/>
        <w:contextualSpacing/>
        <w:rPr>
          <w:rFonts w:ascii="Times New Roman" w:hAnsi="Times New Roman" w:cs="Times New Roman"/>
          <w:color w:val="auto"/>
          <w:sz w:val="22"/>
          <w:szCs w:val="22"/>
        </w:rPr>
      </w:pPr>
      <w:r>
        <w:rPr>
          <w:rFonts w:ascii="Times New Roman" w:hAnsi="Times New Roman" w:cs="Times New Roman"/>
          <w:color w:val="auto"/>
          <w:sz w:val="22"/>
          <w:szCs w:val="22"/>
        </w:rPr>
        <w:t xml:space="preserve">осваивать технику выполнения гимнастических упражнений для формирования опорно-двигательного аппарата, включая гимнастический шаг, мягкий бег; </w:t>
      </w:r>
    </w:p>
    <w:p w14:paraId="1BEBE664">
      <w:pPr>
        <w:pStyle w:val="104"/>
        <w:spacing w:line="360" w:lineRule="auto"/>
        <w:ind w:left="0" w:firstLine="709"/>
        <w:contextualSpacing/>
        <w:rPr>
          <w:rFonts w:ascii="Times New Roman" w:hAnsi="Times New Roman" w:cs="Times New Roman"/>
          <w:color w:val="auto"/>
          <w:sz w:val="22"/>
          <w:szCs w:val="22"/>
        </w:rPr>
      </w:pPr>
      <w:r>
        <w:rPr>
          <w:rFonts w:ascii="Times New Roman" w:hAnsi="Times New Roman" w:cs="Times New Roman"/>
          <w:color w:val="auto"/>
          <w:sz w:val="22"/>
          <w:szCs w:val="22"/>
        </w:rPr>
        <w:t>упражнения основной гимнастики на развитие физических качеств (гибкость, координация), эффективность развития которых приходится на период начального общего образования, и развития силы, основанной на удержании собственного веса;</w:t>
      </w:r>
    </w:p>
    <w:p w14:paraId="42E6D237">
      <w:pPr>
        <w:pStyle w:val="104"/>
        <w:spacing w:line="360" w:lineRule="auto"/>
        <w:ind w:left="0" w:firstLine="709"/>
        <w:contextualSpacing/>
        <w:rPr>
          <w:rFonts w:ascii="Times New Roman" w:hAnsi="Times New Roman" w:cs="Times New Roman"/>
          <w:color w:val="auto"/>
          <w:spacing w:val="2"/>
          <w:sz w:val="22"/>
          <w:szCs w:val="22"/>
        </w:rPr>
      </w:pPr>
      <w:r>
        <w:rPr>
          <w:rFonts w:ascii="Times New Roman" w:hAnsi="Times New Roman" w:cs="Times New Roman"/>
          <w:color w:val="auto"/>
          <w:spacing w:val="2"/>
          <w:sz w:val="22"/>
          <w:szCs w:val="22"/>
        </w:rPr>
        <w:t>осваивать гимнастические упражнения на развитие моторики, координационно-скоростных способностей, в том числе с использованием гимнастических предметов (скакалка, мяч);</w:t>
      </w:r>
    </w:p>
    <w:p w14:paraId="3AAE5AA1">
      <w:pPr>
        <w:pStyle w:val="104"/>
        <w:spacing w:line="360" w:lineRule="auto"/>
        <w:ind w:left="0" w:firstLine="709"/>
        <w:contextualSpacing/>
        <w:rPr>
          <w:rFonts w:ascii="Times New Roman" w:hAnsi="Times New Roman" w:cs="Times New Roman"/>
          <w:color w:val="auto"/>
          <w:sz w:val="22"/>
          <w:szCs w:val="22"/>
        </w:rPr>
      </w:pPr>
      <w:r>
        <w:rPr>
          <w:rFonts w:ascii="Times New Roman" w:hAnsi="Times New Roman" w:cs="Times New Roman"/>
          <w:color w:val="auto"/>
          <w:sz w:val="22"/>
          <w:szCs w:val="22"/>
        </w:rPr>
        <w:t>осваивать гимнастические упражнения, направленные на развитие жизненно важных навыков и умений (группировка, кувырки, повороты в обе стороны, равновесие на каждой ноге попеременно, прыжки толчком с двух ног вперёд, назад, с поворотом в обе стороны;</w:t>
      </w:r>
    </w:p>
    <w:p w14:paraId="5565CD1F">
      <w:pPr>
        <w:pStyle w:val="104"/>
        <w:spacing w:line="360" w:lineRule="auto"/>
        <w:ind w:left="0" w:firstLine="709"/>
        <w:contextualSpacing/>
        <w:rPr>
          <w:rFonts w:ascii="Times New Roman" w:hAnsi="Times New Roman" w:cs="Times New Roman"/>
          <w:color w:val="auto"/>
          <w:sz w:val="22"/>
          <w:szCs w:val="22"/>
        </w:rPr>
      </w:pPr>
      <w:r>
        <w:rPr>
          <w:rFonts w:ascii="Times New Roman" w:hAnsi="Times New Roman" w:cs="Times New Roman"/>
          <w:color w:val="auto"/>
          <w:sz w:val="22"/>
          <w:szCs w:val="22"/>
        </w:rPr>
        <w:t xml:space="preserve">осваивать способы игровой деятельности. </w:t>
      </w:r>
      <w:bookmarkStart w:id="248" w:name="_Toc101876897"/>
    </w:p>
    <w:bookmarkEnd w:id="248"/>
    <w:p w14:paraId="24995C39">
      <w:pPr>
        <w:pStyle w:val="99"/>
        <w:spacing w:line="360" w:lineRule="auto"/>
        <w:ind w:firstLine="709"/>
        <w:contextualSpacing/>
        <w:rPr>
          <w:rFonts w:ascii="Times New Roman" w:hAnsi="Times New Roman" w:cs="Times New Roman"/>
          <w:color w:val="auto"/>
          <w:sz w:val="22"/>
          <w:szCs w:val="22"/>
        </w:rPr>
      </w:pPr>
      <w:r>
        <w:rPr>
          <w:rFonts w:ascii="Times New Roman" w:hAnsi="Times New Roman" w:cs="Times New Roman"/>
          <w:color w:val="auto"/>
          <w:sz w:val="22"/>
          <w:szCs w:val="22"/>
        </w:rPr>
        <w:t>16.2.2.4. К концу обучения во 2 классе обучающийся достигнет следующих предметных результатов по отдельным темам программы по физической культуре:</w:t>
      </w:r>
    </w:p>
    <w:p w14:paraId="123EDA60">
      <w:pPr>
        <w:pStyle w:val="104"/>
        <w:spacing w:line="360" w:lineRule="auto"/>
        <w:ind w:left="0" w:firstLine="709"/>
        <w:contextualSpacing/>
        <w:rPr>
          <w:rFonts w:ascii="Times New Roman" w:hAnsi="Times New Roman" w:cs="Times New Roman"/>
          <w:color w:val="auto"/>
          <w:sz w:val="22"/>
          <w:szCs w:val="22"/>
        </w:rPr>
      </w:pPr>
      <w:r>
        <w:rPr>
          <w:rFonts w:ascii="Times New Roman" w:hAnsi="Times New Roman" w:cs="Times New Roman"/>
          <w:color w:val="auto"/>
          <w:sz w:val="22"/>
          <w:szCs w:val="22"/>
        </w:rPr>
        <w:t>Знания о физической культуре:</w:t>
      </w:r>
    </w:p>
    <w:p w14:paraId="2036F548">
      <w:pPr>
        <w:pStyle w:val="104"/>
        <w:spacing w:line="360" w:lineRule="auto"/>
        <w:ind w:left="0" w:firstLine="709"/>
        <w:contextualSpacing/>
        <w:rPr>
          <w:rFonts w:ascii="Times New Roman" w:hAnsi="Times New Roman" w:cs="Times New Roman"/>
          <w:color w:val="auto"/>
          <w:sz w:val="22"/>
          <w:szCs w:val="22"/>
        </w:rPr>
      </w:pPr>
      <w:r>
        <w:rPr>
          <w:rFonts w:ascii="Times New Roman" w:hAnsi="Times New Roman" w:cs="Times New Roman"/>
          <w:color w:val="auto"/>
          <w:sz w:val="22"/>
          <w:szCs w:val="22"/>
        </w:rPr>
        <w:t>описывать технику выполнения освоенных гимнастических упражнений по видам разминки, отмечать динамику развития личных физических качеств: гибкости, силы, координационно-скоростных способностей;</w:t>
      </w:r>
    </w:p>
    <w:p w14:paraId="0B3B6CCB">
      <w:pPr>
        <w:pStyle w:val="104"/>
        <w:spacing w:line="360" w:lineRule="auto"/>
        <w:ind w:left="0" w:firstLine="709"/>
        <w:contextualSpacing/>
        <w:rPr>
          <w:rFonts w:ascii="Times New Roman" w:hAnsi="Times New Roman" w:cs="Times New Roman"/>
          <w:color w:val="auto"/>
          <w:sz w:val="22"/>
          <w:szCs w:val="22"/>
        </w:rPr>
      </w:pPr>
      <w:r>
        <w:rPr>
          <w:rFonts w:ascii="Times New Roman" w:hAnsi="Times New Roman" w:cs="Times New Roman"/>
          <w:color w:val="auto"/>
          <w:sz w:val="22"/>
          <w:szCs w:val="22"/>
        </w:rPr>
        <w:t>кратко излагать историю физической культуры, гимнастики, олимпийского движения, некоторых видов спорта, излагать и находить информацию о ГТО, его нормативов, описывать технику удержания на воде и основных общеразвивающих гимнастических упражнений как жизненно важных навыков человека, понимать и раскрывать правила поведения на воде, формулировать правила проведения водных процедур, воздушных и солнечных ванн, гигиенические правила при выполнении физических упражнений, во время купания и занятий плаванием, характеризовать умение плавать.</w:t>
      </w:r>
    </w:p>
    <w:p w14:paraId="0048A3B3">
      <w:pPr>
        <w:pStyle w:val="99"/>
        <w:spacing w:line="360" w:lineRule="auto"/>
        <w:ind w:firstLine="709"/>
        <w:contextualSpacing/>
        <w:rPr>
          <w:rStyle w:val="103"/>
          <w:rFonts w:ascii="Times New Roman" w:hAnsi="Times New Roman" w:cs="Times New Roman"/>
          <w:b w:val="0"/>
          <w:bCs w:val="0"/>
          <w:color w:val="auto"/>
          <w:sz w:val="22"/>
          <w:szCs w:val="22"/>
        </w:rPr>
      </w:pPr>
      <w:r>
        <w:rPr>
          <w:rStyle w:val="103"/>
          <w:rFonts w:ascii="Times New Roman" w:hAnsi="Times New Roman" w:cs="Times New Roman"/>
          <w:b w:val="0"/>
          <w:bCs w:val="0"/>
          <w:color w:val="auto"/>
          <w:sz w:val="22"/>
          <w:szCs w:val="22"/>
        </w:rPr>
        <w:t>Способы физкультурной деятельности.</w:t>
      </w:r>
    </w:p>
    <w:p w14:paraId="241855F0">
      <w:pPr>
        <w:pStyle w:val="99"/>
        <w:spacing w:line="360" w:lineRule="auto"/>
        <w:ind w:firstLine="709"/>
        <w:contextualSpacing/>
        <w:rPr>
          <w:rStyle w:val="102"/>
          <w:rFonts w:ascii="Times New Roman" w:hAnsi="Times New Roman" w:eastAsia="Georgia" w:cs="Times New Roman"/>
          <w:i w:val="0"/>
          <w:iCs w:val="0"/>
          <w:color w:val="auto"/>
          <w:sz w:val="22"/>
          <w:szCs w:val="22"/>
        </w:rPr>
      </w:pPr>
      <w:r>
        <w:rPr>
          <w:rStyle w:val="102"/>
          <w:rFonts w:ascii="Times New Roman" w:hAnsi="Times New Roman" w:eastAsia="Georgia" w:cs="Times New Roman"/>
          <w:i w:val="0"/>
          <w:iCs w:val="0"/>
          <w:color w:val="auto"/>
          <w:sz w:val="22"/>
          <w:szCs w:val="22"/>
        </w:rPr>
        <w:t>Самостоятельные занятия общеразвивающими и здоровье формирующими физическими упражнениями:</w:t>
      </w:r>
    </w:p>
    <w:p w14:paraId="5DE16468">
      <w:pPr>
        <w:pStyle w:val="104"/>
        <w:spacing w:line="360" w:lineRule="auto"/>
        <w:ind w:left="0" w:firstLine="709"/>
        <w:contextualSpacing/>
        <w:rPr>
          <w:rFonts w:ascii="Times New Roman" w:hAnsi="Times New Roman" w:cs="Times New Roman"/>
          <w:color w:val="auto"/>
          <w:sz w:val="22"/>
          <w:szCs w:val="22"/>
        </w:rPr>
      </w:pPr>
      <w:r>
        <w:rPr>
          <w:rFonts w:ascii="Times New Roman" w:hAnsi="Times New Roman" w:cs="Times New Roman"/>
          <w:color w:val="auto"/>
          <w:sz w:val="22"/>
          <w:szCs w:val="22"/>
        </w:rPr>
        <w:t>выбирать и составлять комплексы упражнений основной гимнастики для выполнения определённых задач, включая формирование свода стопы, укрепление определённых групп мышц, увеличение подвижности суставов;</w:t>
      </w:r>
    </w:p>
    <w:p w14:paraId="73CCDB1E">
      <w:pPr>
        <w:pStyle w:val="104"/>
        <w:spacing w:line="360" w:lineRule="auto"/>
        <w:ind w:left="0" w:firstLine="709"/>
        <w:contextualSpacing/>
        <w:rPr>
          <w:rFonts w:ascii="Times New Roman" w:hAnsi="Times New Roman" w:cs="Times New Roman"/>
          <w:color w:val="auto"/>
          <w:spacing w:val="-1"/>
          <w:sz w:val="22"/>
          <w:szCs w:val="22"/>
        </w:rPr>
      </w:pPr>
      <w:r>
        <w:rPr>
          <w:rFonts w:ascii="Times New Roman" w:hAnsi="Times New Roman" w:cs="Times New Roman"/>
          <w:color w:val="auto"/>
          <w:spacing w:val="-1"/>
          <w:sz w:val="22"/>
          <w:szCs w:val="22"/>
        </w:rPr>
        <w:t>использовать технику контроля за соблюдением осанки и правильной постановки стопы при ходьбе, характеризовать основные показатели физических качеств и способностей человека (гибкость, сила, выносливость, координационные и скоростные способности) и перечислять возрастной период для их эффективного развития;</w:t>
      </w:r>
    </w:p>
    <w:p w14:paraId="3CBD51ED">
      <w:pPr>
        <w:pStyle w:val="104"/>
        <w:spacing w:line="360" w:lineRule="auto"/>
        <w:ind w:left="0" w:firstLine="709"/>
        <w:contextualSpacing/>
        <w:rPr>
          <w:rFonts w:ascii="Times New Roman" w:hAnsi="Times New Roman" w:cs="Times New Roman"/>
          <w:color w:val="auto"/>
          <w:sz w:val="22"/>
          <w:szCs w:val="22"/>
        </w:rPr>
      </w:pPr>
      <w:r>
        <w:rPr>
          <w:rFonts w:ascii="Times New Roman" w:hAnsi="Times New Roman" w:cs="Times New Roman"/>
          <w:color w:val="auto"/>
          <w:sz w:val="22"/>
          <w:szCs w:val="22"/>
        </w:rPr>
        <w:t>принимать решения в условиях игровой деятельности, оценивать правила безопасности в процессе игры;</w:t>
      </w:r>
    </w:p>
    <w:p w14:paraId="44E66C6E">
      <w:pPr>
        <w:pStyle w:val="104"/>
        <w:spacing w:line="360" w:lineRule="auto"/>
        <w:ind w:left="0" w:firstLine="709"/>
        <w:contextualSpacing/>
        <w:rPr>
          <w:rFonts w:ascii="Times New Roman" w:hAnsi="Times New Roman" w:cs="Times New Roman"/>
          <w:color w:val="auto"/>
          <w:sz w:val="22"/>
          <w:szCs w:val="22"/>
        </w:rPr>
      </w:pPr>
      <w:r>
        <w:rPr>
          <w:rFonts w:ascii="Times New Roman" w:hAnsi="Times New Roman" w:cs="Times New Roman"/>
          <w:color w:val="auto"/>
          <w:sz w:val="22"/>
          <w:szCs w:val="22"/>
        </w:rPr>
        <w:t xml:space="preserve">знать основные строевые команды. </w:t>
      </w:r>
    </w:p>
    <w:p w14:paraId="2E67F371">
      <w:pPr>
        <w:pStyle w:val="99"/>
        <w:spacing w:line="360" w:lineRule="auto"/>
        <w:ind w:firstLine="709"/>
        <w:contextualSpacing/>
        <w:rPr>
          <w:rStyle w:val="102"/>
          <w:rFonts w:ascii="Times New Roman" w:hAnsi="Times New Roman" w:eastAsia="Georgia" w:cs="Times New Roman"/>
          <w:i w:val="0"/>
          <w:iCs w:val="0"/>
          <w:color w:val="auto"/>
          <w:sz w:val="22"/>
          <w:szCs w:val="22"/>
        </w:rPr>
      </w:pPr>
      <w:r>
        <w:rPr>
          <w:rStyle w:val="102"/>
          <w:rFonts w:ascii="Times New Roman" w:hAnsi="Times New Roman" w:eastAsia="Georgia" w:cs="Times New Roman"/>
          <w:i w:val="0"/>
          <w:iCs w:val="0"/>
          <w:color w:val="auto"/>
          <w:sz w:val="22"/>
          <w:szCs w:val="22"/>
        </w:rPr>
        <w:t>Самостоятельные наблюдения за физическим развитием и физической подготовленностью:</w:t>
      </w:r>
    </w:p>
    <w:p w14:paraId="7544F3E4">
      <w:pPr>
        <w:pStyle w:val="104"/>
        <w:spacing w:line="360" w:lineRule="auto"/>
        <w:ind w:left="0" w:firstLine="709"/>
        <w:contextualSpacing/>
        <w:rPr>
          <w:rFonts w:ascii="Times New Roman" w:hAnsi="Times New Roman" w:cs="Times New Roman"/>
          <w:color w:val="auto"/>
          <w:sz w:val="22"/>
          <w:szCs w:val="22"/>
        </w:rPr>
      </w:pPr>
      <w:r>
        <w:rPr>
          <w:rFonts w:ascii="Times New Roman" w:hAnsi="Times New Roman" w:cs="Times New Roman"/>
          <w:color w:val="auto"/>
          <w:sz w:val="22"/>
          <w:szCs w:val="22"/>
        </w:rPr>
        <w:t>составлять письменно и выполнять индивидуальный распорядок дня с включением утренней гимнастики, физкультминуток, регулярных упражнений гимнастики, измерять, сравнивать динамику развития физических качеств и способностей: гибкости, координационных способностей, измерять (пальпаторно) частоту сердечных сокращений при выполнении упражнений с различной нагрузкой;</w:t>
      </w:r>
    </w:p>
    <w:p w14:paraId="7A5B4564">
      <w:pPr>
        <w:pStyle w:val="104"/>
        <w:spacing w:line="360" w:lineRule="auto"/>
        <w:ind w:left="0" w:firstLine="709"/>
        <w:contextualSpacing/>
        <w:rPr>
          <w:rFonts w:ascii="Times New Roman" w:hAnsi="Times New Roman" w:cs="Times New Roman"/>
          <w:color w:val="auto"/>
          <w:sz w:val="22"/>
          <w:szCs w:val="22"/>
        </w:rPr>
      </w:pPr>
      <w:r>
        <w:rPr>
          <w:rFonts w:ascii="Times New Roman" w:hAnsi="Times New Roman" w:cs="Times New Roman"/>
          <w:color w:val="auto"/>
          <w:sz w:val="22"/>
          <w:szCs w:val="22"/>
        </w:rPr>
        <w:t>классифицировать виды физических упражнений в соответствии с определённым классификационным признаком: по признаку исторически сложившихся систем физического воспитания, по преимущественной целевой направленности их использования, по преимущественному воздействию на развитие отдельных качеств (способностей) человека.</w:t>
      </w:r>
    </w:p>
    <w:p w14:paraId="762FC7AA">
      <w:pPr>
        <w:pStyle w:val="99"/>
        <w:spacing w:line="360" w:lineRule="auto"/>
        <w:ind w:firstLine="709"/>
        <w:contextualSpacing/>
        <w:rPr>
          <w:rStyle w:val="102"/>
          <w:rFonts w:ascii="Times New Roman" w:hAnsi="Times New Roman" w:eastAsia="Georgia" w:cs="Times New Roman"/>
          <w:i w:val="0"/>
          <w:iCs w:val="0"/>
          <w:color w:val="auto"/>
          <w:sz w:val="22"/>
          <w:szCs w:val="22"/>
        </w:rPr>
      </w:pPr>
      <w:r>
        <w:rPr>
          <w:rStyle w:val="102"/>
          <w:rFonts w:ascii="Times New Roman" w:hAnsi="Times New Roman" w:eastAsia="Georgia" w:cs="Times New Roman"/>
          <w:i w:val="0"/>
          <w:iCs w:val="0"/>
          <w:color w:val="auto"/>
          <w:sz w:val="22"/>
          <w:szCs w:val="22"/>
        </w:rPr>
        <w:t>Самостоятельные развивающие, подвижные игры и спортивные эстафеты, командные перестроения:</w:t>
      </w:r>
    </w:p>
    <w:p w14:paraId="530CDE2A">
      <w:pPr>
        <w:pStyle w:val="104"/>
        <w:spacing w:line="360" w:lineRule="auto"/>
        <w:ind w:left="0" w:firstLine="709"/>
        <w:contextualSpacing/>
        <w:rPr>
          <w:rFonts w:ascii="Times New Roman" w:hAnsi="Times New Roman" w:cs="Times New Roman"/>
          <w:color w:val="auto"/>
          <w:sz w:val="22"/>
          <w:szCs w:val="22"/>
        </w:rPr>
      </w:pPr>
      <w:r>
        <w:rPr>
          <w:rFonts w:ascii="Times New Roman" w:hAnsi="Times New Roman" w:cs="Times New Roman"/>
          <w:color w:val="auto"/>
          <w:sz w:val="22"/>
          <w:szCs w:val="22"/>
        </w:rPr>
        <w:t>участвовать в играх и игровых заданиях, спортивных эстафетах; устанавливать ролевое участие членов команды; выполнять перестроения.</w:t>
      </w:r>
    </w:p>
    <w:p w14:paraId="652F6B0A">
      <w:pPr>
        <w:pStyle w:val="99"/>
        <w:spacing w:line="360" w:lineRule="auto"/>
        <w:ind w:firstLine="709"/>
        <w:contextualSpacing/>
        <w:rPr>
          <w:rStyle w:val="103"/>
          <w:rFonts w:ascii="Times New Roman" w:hAnsi="Times New Roman" w:cs="Times New Roman"/>
          <w:b w:val="0"/>
          <w:bCs w:val="0"/>
          <w:color w:val="auto"/>
          <w:sz w:val="22"/>
          <w:szCs w:val="22"/>
        </w:rPr>
      </w:pPr>
      <w:r>
        <w:rPr>
          <w:rStyle w:val="103"/>
          <w:rFonts w:ascii="Times New Roman" w:hAnsi="Times New Roman" w:cs="Times New Roman"/>
          <w:b w:val="0"/>
          <w:bCs w:val="0"/>
          <w:color w:val="auto"/>
          <w:sz w:val="22"/>
          <w:szCs w:val="22"/>
        </w:rPr>
        <w:t>Физическое совершенствование.</w:t>
      </w:r>
    </w:p>
    <w:p w14:paraId="6345D46D">
      <w:pPr>
        <w:pStyle w:val="99"/>
        <w:spacing w:line="360" w:lineRule="auto"/>
        <w:ind w:firstLine="709"/>
        <w:contextualSpacing/>
        <w:rPr>
          <w:rStyle w:val="102"/>
          <w:rFonts w:ascii="Times New Roman" w:hAnsi="Times New Roman" w:eastAsia="Georgia" w:cs="Times New Roman"/>
          <w:i w:val="0"/>
          <w:iCs w:val="0"/>
          <w:color w:val="auto"/>
          <w:sz w:val="22"/>
          <w:szCs w:val="22"/>
        </w:rPr>
      </w:pPr>
      <w:r>
        <w:rPr>
          <w:rStyle w:val="102"/>
          <w:rFonts w:ascii="Times New Roman" w:hAnsi="Times New Roman" w:eastAsia="Georgia" w:cs="Times New Roman"/>
          <w:i w:val="0"/>
          <w:iCs w:val="0"/>
          <w:color w:val="auto"/>
          <w:sz w:val="22"/>
          <w:szCs w:val="22"/>
        </w:rPr>
        <w:t>Физкультурно-оздоровительная деятельность:</w:t>
      </w:r>
    </w:p>
    <w:p w14:paraId="609E15B1">
      <w:pPr>
        <w:pStyle w:val="104"/>
        <w:spacing w:line="360" w:lineRule="auto"/>
        <w:ind w:left="0" w:firstLine="709"/>
        <w:contextualSpacing/>
        <w:rPr>
          <w:rFonts w:ascii="Times New Roman" w:hAnsi="Times New Roman" w:cs="Times New Roman"/>
          <w:color w:val="auto"/>
          <w:sz w:val="22"/>
          <w:szCs w:val="22"/>
        </w:rPr>
      </w:pPr>
      <w:r>
        <w:rPr>
          <w:rFonts w:ascii="Times New Roman" w:hAnsi="Times New Roman" w:cs="Times New Roman"/>
          <w:color w:val="auto"/>
          <w:sz w:val="22"/>
          <w:szCs w:val="22"/>
        </w:rPr>
        <w:t>осваивать физические упражнения на развитие гибкости и координационно-скоростных способностей;</w:t>
      </w:r>
    </w:p>
    <w:p w14:paraId="703806A8">
      <w:pPr>
        <w:pStyle w:val="104"/>
        <w:spacing w:line="360" w:lineRule="auto"/>
        <w:ind w:left="0" w:firstLine="709"/>
        <w:contextualSpacing/>
        <w:rPr>
          <w:rFonts w:ascii="Times New Roman" w:hAnsi="Times New Roman" w:cs="Times New Roman"/>
          <w:color w:val="auto"/>
          <w:sz w:val="22"/>
          <w:szCs w:val="22"/>
        </w:rPr>
      </w:pPr>
      <w:r>
        <w:rPr>
          <w:rFonts w:ascii="Times New Roman" w:hAnsi="Times New Roman" w:cs="Times New Roman"/>
          <w:color w:val="auto"/>
          <w:sz w:val="22"/>
          <w:szCs w:val="22"/>
        </w:rPr>
        <w:t>осваивать и демонстрировать технику перемещения гимнастическим шагом, мягким бегом вперёд, назад, прыжками, подскоками, галопом;</w:t>
      </w:r>
    </w:p>
    <w:p w14:paraId="6354292C">
      <w:pPr>
        <w:pStyle w:val="104"/>
        <w:spacing w:line="360" w:lineRule="auto"/>
        <w:ind w:left="0" w:firstLine="709"/>
        <w:contextualSpacing/>
        <w:rPr>
          <w:rFonts w:ascii="Times New Roman" w:hAnsi="Times New Roman" w:cs="Times New Roman"/>
          <w:color w:val="auto"/>
          <w:spacing w:val="2"/>
          <w:sz w:val="22"/>
          <w:szCs w:val="22"/>
        </w:rPr>
      </w:pPr>
      <w:r>
        <w:rPr>
          <w:rFonts w:ascii="Times New Roman" w:hAnsi="Times New Roman" w:cs="Times New Roman"/>
          <w:color w:val="auto"/>
          <w:spacing w:val="2"/>
          <w:sz w:val="22"/>
          <w:szCs w:val="22"/>
        </w:rPr>
        <w:t>осваивать и демонстрировать технику выполнения подводящих, гимнастических и акробатических упражнений, танцевальных шагов, работы с гимнастическими предметами для развития моторики, пространственного воображения, меткости, гибкости, координационно-скоростных способностей;</w:t>
      </w:r>
    </w:p>
    <w:p w14:paraId="33F4851D">
      <w:pPr>
        <w:pStyle w:val="104"/>
        <w:spacing w:line="360" w:lineRule="auto"/>
        <w:ind w:left="0" w:firstLine="709"/>
        <w:contextualSpacing/>
        <w:rPr>
          <w:rFonts w:ascii="Times New Roman" w:hAnsi="Times New Roman" w:cs="Times New Roman"/>
          <w:color w:val="auto"/>
          <w:sz w:val="22"/>
          <w:szCs w:val="22"/>
        </w:rPr>
      </w:pPr>
      <w:r>
        <w:rPr>
          <w:rFonts w:ascii="Times New Roman" w:hAnsi="Times New Roman" w:cs="Times New Roman"/>
          <w:color w:val="auto"/>
          <w:sz w:val="22"/>
          <w:szCs w:val="22"/>
        </w:rPr>
        <w:t>демонстрировать равновесие стоя и в полуприседе на каждой ноге попеременно, прыжки на месте с полуповоротом с прямыми ногами и в группировке (в обе стороны);</w:t>
      </w:r>
    </w:p>
    <w:p w14:paraId="0655BF6E">
      <w:pPr>
        <w:pStyle w:val="104"/>
        <w:spacing w:line="360" w:lineRule="auto"/>
        <w:ind w:left="0" w:firstLine="709"/>
        <w:contextualSpacing/>
        <w:rPr>
          <w:rFonts w:ascii="Times New Roman" w:hAnsi="Times New Roman" w:cs="Times New Roman"/>
          <w:color w:val="auto"/>
          <w:sz w:val="22"/>
          <w:szCs w:val="22"/>
        </w:rPr>
      </w:pPr>
      <w:r>
        <w:rPr>
          <w:rFonts w:ascii="Times New Roman" w:hAnsi="Times New Roman" w:cs="Times New Roman"/>
          <w:color w:val="auto"/>
          <w:sz w:val="22"/>
          <w:szCs w:val="22"/>
        </w:rPr>
        <w:t>осваивать технику плавания одним или несколькими спортивными стилями плавания (при наличии материально-технического обеспечения).</w:t>
      </w:r>
      <w:bookmarkStart w:id="249" w:name="_Toc101876898"/>
    </w:p>
    <w:bookmarkEnd w:id="249"/>
    <w:p w14:paraId="65B38E3D">
      <w:pPr>
        <w:pStyle w:val="99"/>
        <w:spacing w:line="360" w:lineRule="auto"/>
        <w:ind w:firstLine="709"/>
        <w:contextualSpacing/>
        <w:rPr>
          <w:rFonts w:ascii="Times New Roman" w:hAnsi="Times New Roman" w:cs="Times New Roman"/>
          <w:color w:val="auto"/>
          <w:sz w:val="22"/>
          <w:szCs w:val="22"/>
        </w:rPr>
      </w:pPr>
      <w:r>
        <w:rPr>
          <w:rFonts w:ascii="Times New Roman" w:hAnsi="Times New Roman" w:cs="Times New Roman"/>
          <w:color w:val="auto"/>
          <w:sz w:val="22"/>
          <w:szCs w:val="22"/>
        </w:rPr>
        <w:t>16.2.2.5. К концу обучения в 3 классе обучающийся достигнет следующих предметных результатов по отдельным темам программы по физической культуре:</w:t>
      </w:r>
    </w:p>
    <w:p w14:paraId="3569EA58">
      <w:pPr>
        <w:pStyle w:val="99"/>
        <w:spacing w:line="360" w:lineRule="auto"/>
        <w:ind w:firstLine="709"/>
        <w:contextualSpacing/>
        <w:rPr>
          <w:rStyle w:val="103"/>
          <w:rFonts w:ascii="Times New Roman" w:hAnsi="Times New Roman" w:cs="Times New Roman"/>
          <w:b w:val="0"/>
          <w:bCs w:val="0"/>
          <w:color w:val="auto"/>
          <w:sz w:val="22"/>
          <w:szCs w:val="22"/>
        </w:rPr>
      </w:pPr>
      <w:r>
        <w:rPr>
          <w:rStyle w:val="103"/>
          <w:rFonts w:ascii="Times New Roman" w:hAnsi="Times New Roman" w:cs="Times New Roman"/>
          <w:b w:val="0"/>
          <w:bCs w:val="0"/>
          <w:color w:val="auto"/>
          <w:sz w:val="22"/>
          <w:szCs w:val="22"/>
        </w:rPr>
        <w:t>Знания о физической культуре:</w:t>
      </w:r>
    </w:p>
    <w:p w14:paraId="67E7011C">
      <w:pPr>
        <w:pStyle w:val="104"/>
        <w:spacing w:line="360" w:lineRule="auto"/>
        <w:ind w:left="0" w:firstLine="709"/>
        <w:contextualSpacing/>
        <w:rPr>
          <w:rFonts w:ascii="Times New Roman" w:hAnsi="Times New Roman" w:cs="Times New Roman"/>
          <w:color w:val="auto"/>
          <w:sz w:val="22"/>
          <w:szCs w:val="22"/>
        </w:rPr>
      </w:pPr>
      <w:r>
        <w:rPr>
          <w:rFonts w:ascii="Times New Roman" w:hAnsi="Times New Roman" w:cs="Times New Roman"/>
          <w:color w:val="auto"/>
          <w:sz w:val="22"/>
          <w:szCs w:val="22"/>
        </w:rPr>
        <w:t>представлять и описывать структуру спортивного движения в нашей стране, формулировать отличие задач физической культуры от задач спорта;</w:t>
      </w:r>
    </w:p>
    <w:p w14:paraId="7586CA32">
      <w:pPr>
        <w:pStyle w:val="104"/>
        <w:spacing w:line="360" w:lineRule="auto"/>
        <w:ind w:left="0" w:firstLine="709"/>
        <w:contextualSpacing/>
        <w:rPr>
          <w:rFonts w:ascii="Times New Roman" w:hAnsi="Times New Roman" w:cs="Times New Roman"/>
          <w:color w:val="auto"/>
          <w:sz w:val="22"/>
          <w:szCs w:val="22"/>
        </w:rPr>
      </w:pPr>
      <w:r>
        <w:rPr>
          <w:rFonts w:ascii="Times New Roman" w:hAnsi="Times New Roman" w:cs="Times New Roman"/>
          <w:color w:val="auto"/>
          <w:sz w:val="22"/>
          <w:szCs w:val="22"/>
        </w:rPr>
        <w:t>выполнять задания на составление комплексов физических упражнений по преимущественной целевой направленности их использования, находить и представлять материал по заданной теме, объяснять связь физических упражнений для формирования и укрепления здоровья, развития памяти, разговорной речи, мышления;</w:t>
      </w:r>
    </w:p>
    <w:p w14:paraId="104E7A9E">
      <w:pPr>
        <w:pStyle w:val="104"/>
        <w:spacing w:line="360" w:lineRule="auto"/>
        <w:ind w:left="0" w:firstLine="709"/>
        <w:contextualSpacing/>
        <w:rPr>
          <w:rFonts w:ascii="Times New Roman" w:hAnsi="Times New Roman" w:cs="Times New Roman"/>
          <w:color w:val="auto"/>
          <w:sz w:val="22"/>
          <w:szCs w:val="22"/>
        </w:rPr>
      </w:pPr>
      <w:r>
        <w:rPr>
          <w:rFonts w:ascii="Times New Roman" w:hAnsi="Times New Roman" w:cs="Times New Roman"/>
          <w:color w:val="auto"/>
          <w:sz w:val="22"/>
          <w:szCs w:val="22"/>
        </w:rPr>
        <w:t>представлять и описывать общее строение человека, называть основные части костного скелета человека и основные группы мышц;</w:t>
      </w:r>
    </w:p>
    <w:p w14:paraId="09C934B1">
      <w:pPr>
        <w:pStyle w:val="104"/>
        <w:spacing w:line="360" w:lineRule="auto"/>
        <w:ind w:left="0" w:firstLine="709"/>
        <w:contextualSpacing/>
        <w:rPr>
          <w:rFonts w:ascii="Times New Roman" w:hAnsi="Times New Roman" w:cs="Times New Roman"/>
          <w:color w:val="auto"/>
          <w:sz w:val="22"/>
          <w:szCs w:val="22"/>
        </w:rPr>
      </w:pPr>
      <w:r>
        <w:rPr>
          <w:rFonts w:ascii="Times New Roman" w:hAnsi="Times New Roman" w:cs="Times New Roman"/>
          <w:color w:val="auto"/>
          <w:sz w:val="22"/>
          <w:szCs w:val="22"/>
        </w:rPr>
        <w:t>описывать технику выполнения освоенных физических упражнений;</w:t>
      </w:r>
    </w:p>
    <w:p w14:paraId="66DBAA85">
      <w:pPr>
        <w:pStyle w:val="104"/>
        <w:spacing w:line="360" w:lineRule="auto"/>
        <w:ind w:left="0" w:firstLine="709"/>
        <w:contextualSpacing/>
        <w:rPr>
          <w:rFonts w:ascii="Times New Roman" w:hAnsi="Times New Roman" w:cs="Times New Roman"/>
          <w:color w:val="auto"/>
          <w:sz w:val="22"/>
          <w:szCs w:val="22"/>
        </w:rPr>
      </w:pPr>
      <w:r>
        <w:rPr>
          <w:rFonts w:ascii="Times New Roman" w:hAnsi="Times New Roman" w:cs="Times New Roman"/>
          <w:color w:val="auto"/>
          <w:sz w:val="22"/>
          <w:szCs w:val="22"/>
        </w:rPr>
        <w:t>формулировать основные правила безопасного поведения на занятиях по физической культуре;</w:t>
      </w:r>
    </w:p>
    <w:p w14:paraId="1D90CC7F">
      <w:pPr>
        <w:pStyle w:val="104"/>
        <w:spacing w:line="360" w:lineRule="auto"/>
        <w:ind w:left="0" w:firstLine="709"/>
        <w:contextualSpacing/>
        <w:rPr>
          <w:rFonts w:ascii="Times New Roman" w:hAnsi="Times New Roman" w:cs="Times New Roman"/>
          <w:color w:val="auto"/>
          <w:sz w:val="22"/>
          <w:szCs w:val="22"/>
        </w:rPr>
      </w:pPr>
      <w:r>
        <w:rPr>
          <w:rFonts w:ascii="Times New Roman" w:hAnsi="Times New Roman" w:cs="Times New Roman"/>
          <w:color w:val="auto"/>
          <w:sz w:val="22"/>
          <w:szCs w:val="22"/>
        </w:rPr>
        <w:t>находить информацию о возрастных периодах, когда эффективно развивается каждое из следующих физических качеств: гибкость, координация, быстрота, сила, выносливость;</w:t>
      </w:r>
    </w:p>
    <w:p w14:paraId="0E90CA98">
      <w:pPr>
        <w:pStyle w:val="104"/>
        <w:spacing w:line="360" w:lineRule="auto"/>
        <w:ind w:left="0" w:firstLine="709"/>
        <w:contextualSpacing/>
        <w:rPr>
          <w:rFonts w:ascii="Times New Roman" w:hAnsi="Times New Roman" w:cs="Times New Roman"/>
          <w:color w:val="auto"/>
          <w:sz w:val="22"/>
          <w:szCs w:val="22"/>
        </w:rPr>
      </w:pPr>
      <w:r>
        <w:rPr>
          <w:rFonts w:ascii="Times New Roman" w:hAnsi="Times New Roman" w:cs="Times New Roman"/>
          <w:color w:val="auto"/>
          <w:sz w:val="22"/>
          <w:szCs w:val="22"/>
        </w:rPr>
        <w:t>различать упражнения по воздействию на развитие основных физических качеств и способностей человека;</w:t>
      </w:r>
    </w:p>
    <w:p w14:paraId="3D2905F3">
      <w:pPr>
        <w:pStyle w:val="104"/>
        <w:spacing w:line="360" w:lineRule="auto"/>
        <w:ind w:left="0" w:firstLine="709"/>
        <w:contextualSpacing/>
        <w:rPr>
          <w:rFonts w:ascii="Times New Roman" w:hAnsi="Times New Roman" w:cs="Times New Roman"/>
          <w:color w:val="auto"/>
          <w:sz w:val="22"/>
          <w:szCs w:val="22"/>
        </w:rPr>
      </w:pPr>
      <w:r>
        <w:rPr>
          <w:rFonts w:ascii="Times New Roman" w:hAnsi="Times New Roman" w:cs="Times New Roman"/>
          <w:color w:val="auto"/>
          <w:sz w:val="22"/>
          <w:szCs w:val="22"/>
        </w:rPr>
        <w:t xml:space="preserve">различать упражнения на развитие моторики; </w:t>
      </w:r>
    </w:p>
    <w:p w14:paraId="6BCF3C3E">
      <w:pPr>
        <w:pStyle w:val="104"/>
        <w:spacing w:line="360" w:lineRule="auto"/>
        <w:ind w:left="0" w:firstLine="709"/>
        <w:contextualSpacing/>
        <w:rPr>
          <w:rFonts w:ascii="Times New Roman" w:hAnsi="Times New Roman" w:cs="Times New Roman"/>
          <w:color w:val="auto"/>
          <w:sz w:val="22"/>
          <w:szCs w:val="22"/>
        </w:rPr>
      </w:pPr>
      <w:r>
        <w:rPr>
          <w:rFonts w:ascii="Times New Roman" w:hAnsi="Times New Roman" w:cs="Times New Roman"/>
          <w:color w:val="auto"/>
          <w:sz w:val="22"/>
          <w:szCs w:val="22"/>
        </w:rPr>
        <w:t>объяснять технику дыхания под водой, технику удержания тела на воде;</w:t>
      </w:r>
    </w:p>
    <w:p w14:paraId="51A7F484">
      <w:pPr>
        <w:pStyle w:val="104"/>
        <w:spacing w:line="360" w:lineRule="auto"/>
        <w:ind w:left="0" w:firstLine="709"/>
        <w:contextualSpacing/>
        <w:rPr>
          <w:rFonts w:ascii="Times New Roman" w:hAnsi="Times New Roman" w:cs="Times New Roman"/>
          <w:color w:val="auto"/>
          <w:sz w:val="22"/>
          <w:szCs w:val="22"/>
        </w:rPr>
      </w:pPr>
      <w:r>
        <w:rPr>
          <w:rFonts w:ascii="Times New Roman" w:hAnsi="Times New Roman" w:cs="Times New Roman"/>
          <w:color w:val="auto"/>
          <w:sz w:val="22"/>
          <w:szCs w:val="22"/>
        </w:rPr>
        <w:t>формулировать основные правила выполнения спортивных упражнений (по виду спорта на выбор);</w:t>
      </w:r>
    </w:p>
    <w:p w14:paraId="4F42351B">
      <w:pPr>
        <w:pStyle w:val="104"/>
        <w:spacing w:line="360" w:lineRule="auto"/>
        <w:ind w:left="0" w:firstLine="709"/>
        <w:contextualSpacing/>
        <w:rPr>
          <w:rFonts w:ascii="Times New Roman" w:hAnsi="Times New Roman" w:cs="Times New Roman"/>
          <w:color w:val="auto"/>
          <w:sz w:val="22"/>
          <w:szCs w:val="22"/>
        </w:rPr>
      </w:pPr>
      <w:r>
        <w:rPr>
          <w:rFonts w:ascii="Times New Roman" w:hAnsi="Times New Roman" w:cs="Times New Roman"/>
          <w:color w:val="auto"/>
          <w:sz w:val="22"/>
          <w:szCs w:val="22"/>
        </w:rPr>
        <w:t>выявлять характерные ошибки при выполнении физических упражнений.</w:t>
      </w:r>
    </w:p>
    <w:p w14:paraId="2A4B7A71">
      <w:pPr>
        <w:pStyle w:val="99"/>
        <w:spacing w:line="360" w:lineRule="auto"/>
        <w:ind w:firstLine="709"/>
        <w:contextualSpacing/>
        <w:rPr>
          <w:rStyle w:val="103"/>
          <w:rFonts w:ascii="Times New Roman" w:hAnsi="Times New Roman" w:cs="Times New Roman"/>
          <w:b w:val="0"/>
          <w:bCs w:val="0"/>
          <w:color w:val="auto"/>
          <w:sz w:val="22"/>
          <w:szCs w:val="22"/>
        </w:rPr>
      </w:pPr>
      <w:r>
        <w:rPr>
          <w:rStyle w:val="103"/>
          <w:rFonts w:ascii="Times New Roman" w:hAnsi="Times New Roman" w:cs="Times New Roman"/>
          <w:b w:val="0"/>
          <w:bCs w:val="0"/>
          <w:color w:val="auto"/>
          <w:sz w:val="22"/>
          <w:szCs w:val="22"/>
        </w:rPr>
        <w:t>Способы физкультурной деятельности.</w:t>
      </w:r>
    </w:p>
    <w:p w14:paraId="68FF012A">
      <w:pPr>
        <w:pStyle w:val="99"/>
        <w:spacing w:line="360" w:lineRule="auto"/>
        <w:ind w:firstLine="709"/>
        <w:contextualSpacing/>
        <w:rPr>
          <w:rStyle w:val="102"/>
          <w:rFonts w:ascii="Times New Roman" w:hAnsi="Times New Roman" w:eastAsia="Georgia" w:cs="Times New Roman"/>
          <w:i w:val="0"/>
          <w:iCs w:val="0"/>
          <w:color w:val="auto"/>
          <w:sz w:val="22"/>
          <w:szCs w:val="22"/>
        </w:rPr>
      </w:pPr>
      <w:r>
        <w:rPr>
          <w:rStyle w:val="102"/>
          <w:rFonts w:ascii="Times New Roman" w:hAnsi="Times New Roman" w:eastAsia="Georgia" w:cs="Times New Roman"/>
          <w:i w:val="0"/>
          <w:iCs w:val="0"/>
          <w:color w:val="auto"/>
          <w:sz w:val="22"/>
          <w:szCs w:val="22"/>
        </w:rPr>
        <w:t>Самостоятельные занятия общеразвивающими и здоровье формирующими физическими упражнениями:</w:t>
      </w:r>
    </w:p>
    <w:p w14:paraId="4CE2DD21">
      <w:pPr>
        <w:pStyle w:val="104"/>
        <w:spacing w:line="360" w:lineRule="auto"/>
        <w:ind w:left="0" w:firstLine="709"/>
        <w:contextualSpacing/>
        <w:rPr>
          <w:rFonts w:ascii="Times New Roman" w:hAnsi="Times New Roman" w:cs="Times New Roman"/>
          <w:color w:val="auto"/>
          <w:sz w:val="22"/>
          <w:szCs w:val="22"/>
        </w:rPr>
      </w:pPr>
      <w:r>
        <w:rPr>
          <w:rFonts w:ascii="Times New Roman" w:hAnsi="Times New Roman" w:cs="Times New Roman"/>
          <w:color w:val="auto"/>
          <w:sz w:val="22"/>
          <w:szCs w:val="22"/>
        </w:rPr>
        <w:t>самостоятельно проводить разминку по её видам: общую, партерную, разминку у опоры, характеризовать комплексы гимнастических упражнений по целевому назначению;</w:t>
      </w:r>
    </w:p>
    <w:p w14:paraId="01BBC2B9">
      <w:pPr>
        <w:pStyle w:val="104"/>
        <w:spacing w:line="360" w:lineRule="auto"/>
        <w:ind w:left="0" w:firstLine="709"/>
        <w:contextualSpacing/>
        <w:rPr>
          <w:rFonts w:ascii="Times New Roman" w:hAnsi="Times New Roman" w:cs="Times New Roman"/>
          <w:color w:val="auto"/>
          <w:sz w:val="22"/>
          <w:szCs w:val="22"/>
        </w:rPr>
      </w:pPr>
      <w:r>
        <w:rPr>
          <w:rFonts w:ascii="Times New Roman" w:hAnsi="Times New Roman" w:cs="Times New Roman"/>
          <w:color w:val="auto"/>
          <w:sz w:val="22"/>
          <w:szCs w:val="22"/>
        </w:rPr>
        <w:t>организовывать проведение игр, игровых заданий и спортивных эстафет (на выбор).</w:t>
      </w:r>
    </w:p>
    <w:p w14:paraId="4BD4846E">
      <w:pPr>
        <w:pStyle w:val="99"/>
        <w:spacing w:line="360" w:lineRule="auto"/>
        <w:ind w:firstLine="709"/>
        <w:contextualSpacing/>
        <w:rPr>
          <w:rStyle w:val="102"/>
          <w:rFonts w:ascii="Times New Roman" w:hAnsi="Times New Roman" w:eastAsia="Georgia" w:cs="Times New Roman"/>
          <w:i w:val="0"/>
          <w:iCs w:val="0"/>
          <w:color w:val="auto"/>
          <w:sz w:val="22"/>
          <w:szCs w:val="22"/>
        </w:rPr>
      </w:pPr>
      <w:r>
        <w:rPr>
          <w:rStyle w:val="102"/>
          <w:rFonts w:ascii="Times New Roman" w:hAnsi="Times New Roman" w:eastAsia="Georgia" w:cs="Times New Roman"/>
          <w:i w:val="0"/>
          <w:iCs w:val="0"/>
          <w:color w:val="auto"/>
          <w:sz w:val="22"/>
          <w:szCs w:val="22"/>
        </w:rPr>
        <w:t>Самостоятельные наблюдения за физическим развитием и физической подготовленностью:</w:t>
      </w:r>
    </w:p>
    <w:p w14:paraId="454C8A52">
      <w:pPr>
        <w:pStyle w:val="104"/>
        <w:spacing w:line="360" w:lineRule="auto"/>
        <w:ind w:left="0" w:firstLine="709"/>
        <w:contextualSpacing/>
        <w:rPr>
          <w:rFonts w:ascii="Times New Roman" w:hAnsi="Times New Roman" w:cs="Times New Roman"/>
          <w:color w:val="auto"/>
          <w:sz w:val="22"/>
          <w:szCs w:val="22"/>
        </w:rPr>
      </w:pPr>
      <w:r>
        <w:rPr>
          <w:rFonts w:ascii="Times New Roman" w:hAnsi="Times New Roman" w:cs="Times New Roman"/>
          <w:color w:val="auto"/>
          <w:sz w:val="22"/>
          <w:szCs w:val="22"/>
        </w:rPr>
        <w:t>определять максимально допустимую для себя нагрузку (амплитуду движения) при выполнении физического упражнения, оценивать и объяснять меру воздействия того или иного упражнения (по заданию) на основные физические качества и способности;</w:t>
      </w:r>
    </w:p>
    <w:p w14:paraId="49916843">
      <w:pPr>
        <w:pStyle w:val="104"/>
        <w:spacing w:line="360" w:lineRule="auto"/>
        <w:ind w:left="0" w:firstLine="709"/>
        <w:contextualSpacing/>
        <w:rPr>
          <w:rFonts w:ascii="Times New Roman" w:hAnsi="Times New Roman" w:cs="Times New Roman"/>
          <w:color w:val="auto"/>
          <w:sz w:val="22"/>
          <w:szCs w:val="22"/>
        </w:rPr>
      </w:pPr>
      <w:r>
        <w:rPr>
          <w:rFonts w:ascii="Times New Roman" w:hAnsi="Times New Roman" w:cs="Times New Roman"/>
          <w:color w:val="auto"/>
          <w:sz w:val="22"/>
          <w:szCs w:val="22"/>
        </w:rPr>
        <w:t>проводить наблюдения за своим дыханием при выполнении упражнений основной гимнастики.</w:t>
      </w:r>
    </w:p>
    <w:p w14:paraId="4A99A3AA">
      <w:pPr>
        <w:pStyle w:val="99"/>
        <w:spacing w:line="360" w:lineRule="auto"/>
        <w:ind w:firstLine="709"/>
        <w:contextualSpacing/>
        <w:rPr>
          <w:rStyle w:val="102"/>
          <w:rFonts w:ascii="Times New Roman" w:hAnsi="Times New Roman" w:eastAsia="Georgia" w:cs="Times New Roman"/>
          <w:i w:val="0"/>
          <w:iCs w:val="0"/>
          <w:color w:val="auto"/>
          <w:sz w:val="22"/>
          <w:szCs w:val="22"/>
        </w:rPr>
      </w:pPr>
      <w:r>
        <w:rPr>
          <w:rStyle w:val="102"/>
          <w:rFonts w:ascii="Times New Roman" w:hAnsi="Times New Roman" w:eastAsia="Georgia" w:cs="Times New Roman"/>
          <w:i w:val="0"/>
          <w:iCs w:val="0"/>
          <w:color w:val="auto"/>
          <w:sz w:val="22"/>
          <w:szCs w:val="22"/>
        </w:rPr>
        <w:t>Самостоятельные развивающие, подвижные игры и спортивные эстафеты:</w:t>
      </w:r>
    </w:p>
    <w:p w14:paraId="041B5336">
      <w:pPr>
        <w:pStyle w:val="104"/>
        <w:spacing w:line="360" w:lineRule="auto"/>
        <w:ind w:left="0" w:firstLine="709"/>
        <w:contextualSpacing/>
        <w:rPr>
          <w:rFonts w:ascii="Times New Roman" w:hAnsi="Times New Roman" w:cs="Times New Roman"/>
          <w:color w:val="auto"/>
          <w:sz w:val="22"/>
          <w:szCs w:val="22"/>
        </w:rPr>
      </w:pPr>
      <w:r>
        <w:rPr>
          <w:rFonts w:ascii="Times New Roman" w:hAnsi="Times New Roman" w:cs="Times New Roman"/>
          <w:color w:val="auto"/>
          <w:sz w:val="22"/>
          <w:szCs w:val="22"/>
        </w:rPr>
        <w:t>составлять, организовывать и проводить игры и игровые задания;</w:t>
      </w:r>
    </w:p>
    <w:p w14:paraId="1483B1E9">
      <w:pPr>
        <w:pStyle w:val="104"/>
        <w:spacing w:line="360" w:lineRule="auto"/>
        <w:ind w:left="0" w:firstLine="709"/>
        <w:contextualSpacing/>
        <w:rPr>
          <w:rFonts w:ascii="Times New Roman" w:hAnsi="Times New Roman" w:cs="Times New Roman"/>
          <w:color w:val="auto"/>
          <w:sz w:val="22"/>
          <w:szCs w:val="22"/>
        </w:rPr>
      </w:pPr>
      <w:r>
        <w:rPr>
          <w:rFonts w:ascii="Times New Roman" w:hAnsi="Times New Roman" w:cs="Times New Roman"/>
          <w:color w:val="auto"/>
          <w:sz w:val="22"/>
          <w:szCs w:val="22"/>
        </w:rPr>
        <w:t>выполнять ролевые задания при проведении спортивных эстафет с гимнастическим предметом/без гимнастического предмета (организатор эстафеты, главный судья, капитан, член команды).</w:t>
      </w:r>
    </w:p>
    <w:p w14:paraId="1F1681FA">
      <w:pPr>
        <w:pStyle w:val="99"/>
        <w:spacing w:line="360" w:lineRule="auto"/>
        <w:ind w:firstLine="709"/>
        <w:contextualSpacing/>
        <w:rPr>
          <w:rStyle w:val="103"/>
          <w:rFonts w:ascii="Times New Roman" w:hAnsi="Times New Roman" w:cs="Times New Roman"/>
          <w:b w:val="0"/>
          <w:bCs w:val="0"/>
          <w:color w:val="auto"/>
          <w:sz w:val="22"/>
          <w:szCs w:val="22"/>
        </w:rPr>
      </w:pPr>
      <w:r>
        <w:rPr>
          <w:rStyle w:val="103"/>
          <w:rFonts w:ascii="Times New Roman" w:hAnsi="Times New Roman" w:cs="Times New Roman"/>
          <w:b w:val="0"/>
          <w:bCs w:val="0"/>
          <w:color w:val="auto"/>
          <w:sz w:val="22"/>
          <w:szCs w:val="22"/>
        </w:rPr>
        <w:t>Физическое совершенствование.</w:t>
      </w:r>
    </w:p>
    <w:p w14:paraId="09153481">
      <w:pPr>
        <w:pStyle w:val="99"/>
        <w:spacing w:line="360" w:lineRule="auto"/>
        <w:ind w:firstLine="709"/>
        <w:contextualSpacing/>
        <w:rPr>
          <w:rStyle w:val="102"/>
          <w:rFonts w:ascii="Times New Roman" w:hAnsi="Times New Roman" w:eastAsia="Georgia" w:cs="Times New Roman"/>
          <w:i w:val="0"/>
          <w:iCs w:val="0"/>
          <w:color w:val="auto"/>
          <w:sz w:val="22"/>
          <w:szCs w:val="22"/>
        </w:rPr>
      </w:pPr>
      <w:r>
        <w:rPr>
          <w:rStyle w:val="102"/>
          <w:rFonts w:ascii="Times New Roman" w:hAnsi="Times New Roman" w:eastAsia="Georgia" w:cs="Times New Roman"/>
          <w:i w:val="0"/>
          <w:iCs w:val="0"/>
          <w:color w:val="auto"/>
          <w:sz w:val="22"/>
          <w:szCs w:val="22"/>
        </w:rPr>
        <w:t>Физкультурно-оздоровительная деятельность:</w:t>
      </w:r>
    </w:p>
    <w:p w14:paraId="1303177F">
      <w:pPr>
        <w:pStyle w:val="104"/>
        <w:spacing w:line="360" w:lineRule="auto"/>
        <w:ind w:left="0" w:firstLine="709"/>
        <w:contextualSpacing/>
        <w:rPr>
          <w:rFonts w:ascii="Times New Roman" w:hAnsi="Times New Roman" w:cs="Times New Roman"/>
          <w:color w:val="auto"/>
          <w:sz w:val="22"/>
          <w:szCs w:val="22"/>
        </w:rPr>
      </w:pPr>
      <w:r>
        <w:rPr>
          <w:rFonts w:ascii="Times New Roman" w:hAnsi="Times New Roman" w:cs="Times New Roman"/>
          <w:color w:val="auto"/>
          <w:sz w:val="22"/>
          <w:szCs w:val="22"/>
        </w:rPr>
        <w:t>осваивать и выполнять технику разучиваемых физических упражнений и комбинаций гимнастических упражнений с использованием в том числе танцевальных шагов, поворотов, прыжков;</w:t>
      </w:r>
    </w:p>
    <w:p w14:paraId="05ED2471">
      <w:pPr>
        <w:pStyle w:val="104"/>
        <w:spacing w:line="360" w:lineRule="auto"/>
        <w:ind w:left="0" w:firstLine="709"/>
        <w:contextualSpacing/>
        <w:rPr>
          <w:rFonts w:ascii="Times New Roman" w:hAnsi="Times New Roman" w:cs="Times New Roman"/>
          <w:color w:val="auto"/>
          <w:sz w:val="22"/>
          <w:szCs w:val="22"/>
        </w:rPr>
      </w:pPr>
      <w:r>
        <w:rPr>
          <w:rFonts w:ascii="Times New Roman" w:hAnsi="Times New Roman" w:cs="Times New Roman"/>
          <w:color w:val="auto"/>
          <w:sz w:val="22"/>
          <w:szCs w:val="22"/>
        </w:rPr>
        <w:t>осваивать и выполнять технику спортивного плавания стилями (на выбор): брасс, кроль на спине, кроль;</w:t>
      </w:r>
    </w:p>
    <w:p w14:paraId="741EE1B3">
      <w:pPr>
        <w:pStyle w:val="104"/>
        <w:spacing w:line="360" w:lineRule="auto"/>
        <w:ind w:left="0" w:firstLine="709"/>
        <w:contextualSpacing/>
        <w:rPr>
          <w:rFonts w:ascii="Times New Roman" w:hAnsi="Times New Roman" w:cs="Times New Roman"/>
          <w:color w:val="auto"/>
          <w:sz w:val="22"/>
          <w:szCs w:val="22"/>
        </w:rPr>
      </w:pPr>
      <w:r>
        <w:rPr>
          <w:rFonts w:ascii="Times New Roman" w:hAnsi="Times New Roman" w:cs="Times New Roman"/>
          <w:color w:val="auto"/>
          <w:sz w:val="22"/>
          <w:szCs w:val="22"/>
        </w:rPr>
        <w:t>осваивать технику выполнения комплексов гимнастических упражнений для развития гибкости, координационно-скоростных способностей;</w:t>
      </w:r>
    </w:p>
    <w:p w14:paraId="2197AF0D">
      <w:pPr>
        <w:pStyle w:val="104"/>
        <w:spacing w:line="360" w:lineRule="auto"/>
        <w:ind w:left="0" w:firstLine="709"/>
        <w:contextualSpacing/>
        <w:rPr>
          <w:rFonts w:ascii="Times New Roman" w:hAnsi="Times New Roman" w:cs="Times New Roman"/>
          <w:color w:val="auto"/>
          <w:spacing w:val="1"/>
          <w:sz w:val="22"/>
          <w:szCs w:val="22"/>
        </w:rPr>
      </w:pPr>
      <w:r>
        <w:rPr>
          <w:rFonts w:ascii="Times New Roman" w:hAnsi="Times New Roman" w:cs="Times New Roman"/>
          <w:color w:val="auto"/>
          <w:spacing w:val="1"/>
          <w:sz w:val="22"/>
          <w:szCs w:val="22"/>
        </w:rPr>
        <w:t>осваивать универсальные умения при выполнении организующих упражнений и жизненно важных навыков двигательной деятельности человека, такие как: построение и перестроение, перемещения различными способами передвижения, группировка, перекаты, повороты, прыжки, удержание на воде, дыхание под водой и другие;</w:t>
      </w:r>
    </w:p>
    <w:p w14:paraId="7DB0016D">
      <w:pPr>
        <w:pStyle w:val="104"/>
        <w:spacing w:line="360" w:lineRule="auto"/>
        <w:ind w:left="0" w:firstLine="709"/>
        <w:contextualSpacing/>
        <w:rPr>
          <w:rFonts w:ascii="Times New Roman" w:hAnsi="Times New Roman" w:cs="Times New Roman"/>
          <w:color w:val="auto"/>
          <w:sz w:val="22"/>
          <w:szCs w:val="22"/>
        </w:rPr>
      </w:pPr>
      <w:r>
        <w:rPr>
          <w:rFonts w:ascii="Times New Roman" w:hAnsi="Times New Roman" w:cs="Times New Roman"/>
          <w:color w:val="auto"/>
          <w:sz w:val="22"/>
          <w:szCs w:val="22"/>
        </w:rPr>
        <w:t>проявлять физические качества: гибкость, координацию – и демонстрировать динамику их развития;</w:t>
      </w:r>
    </w:p>
    <w:p w14:paraId="70CBD151">
      <w:pPr>
        <w:pStyle w:val="104"/>
        <w:spacing w:line="360" w:lineRule="auto"/>
        <w:ind w:left="0" w:firstLine="709"/>
        <w:contextualSpacing/>
        <w:rPr>
          <w:rFonts w:ascii="Times New Roman" w:hAnsi="Times New Roman" w:cs="Times New Roman"/>
          <w:color w:val="auto"/>
          <w:sz w:val="22"/>
          <w:szCs w:val="22"/>
        </w:rPr>
      </w:pPr>
      <w:r>
        <w:rPr>
          <w:rFonts w:ascii="Times New Roman" w:hAnsi="Times New Roman" w:cs="Times New Roman"/>
          <w:color w:val="auto"/>
          <w:sz w:val="22"/>
          <w:szCs w:val="22"/>
        </w:rPr>
        <w:t>осваивать универсальные умения по самостоятельному выполнению упражнений в оздоровительных формах занятий;</w:t>
      </w:r>
    </w:p>
    <w:p w14:paraId="04BD108E">
      <w:pPr>
        <w:pStyle w:val="104"/>
        <w:spacing w:line="360" w:lineRule="auto"/>
        <w:ind w:left="0" w:firstLine="709"/>
        <w:contextualSpacing/>
        <w:rPr>
          <w:rFonts w:ascii="Times New Roman" w:hAnsi="Times New Roman" w:cs="Times New Roman"/>
          <w:color w:val="auto"/>
          <w:sz w:val="22"/>
          <w:szCs w:val="22"/>
        </w:rPr>
      </w:pPr>
      <w:r>
        <w:rPr>
          <w:rFonts w:ascii="Times New Roman" w:hAnsi="Times New Roman" w:cs="Times New Roman"/>
          <w:color w:val="auto"/>
          <w:sz w:val="22"/>
          <w:szCs w:val="22"/>
        </w:rPr>
        <w:t>осваивать строевой и походный шаг.</w:t>
      </w:r>
    </w:p>
    <w:p w14:paraId="50161BDE">
      <w:pPr>
        <w:pStyle w:val="99"/>
        <w:spacing w:line="360" w:lineRule="auto"/>
        <w:ind w:firstLine="709"/>
        <w:contextualSpacing/>
        <w:rPr>
          <w:rStyle w:val="102"/>
          <w:rFonts w:ascii="Times New Roman" w:hAnsi="Times New Roman" w:eastAsia="Georgia" w:cs="Times New Roman"/>
          <w:i w:val="0"/>
          <w:iCs w:val="0"/>
          <w:color w:val="auto"/>
          <w:sz w:val="22"/>
          <w:szCs w:val="22"/>
        </w:rPr>
      </w:pPr>
      <w:r>
        <w:rPr>
          <w:rStyle w:val="102"/>
          <w:rFonts w:ascii="Times New Roman" w:hAnsi="Times New Roman" w:eastAsia="Georgia" w:cs="Times New Roman"/>
          <w:i w:val="0"/>
          <w:iCs w:val="0"/>
          <w:color w:val="auto"/>
          <w:sz w:val="22"/>
          <w:szCs w:val="22"/>
        </w:rPr>
        <w:t>Спортивно-оздоровительная деятельность:</w:t>
      </w:r>
    </w:p>
    <w:p w14:paraId="76F7719D">
      <w:pPr>
        <w:pStyle w:val="104"/>
        <w:spacing w:line="360" w:lineRule="auto"/>
        <w:ind w:left="0" w:firstLine="709"/>
        <w:contextualSpacing/>
        <w:rPr>
          <w:rFonts w:ascii="Times New Roman" w:hAnsi="Times New Roman" w:cs="Times New Roman"/>
          <w:color w:val="auto"/>
          <w:sz w:val="22"/>
          <w:szCs w:val="22"/>
        </w:rPr>
      </w:pPr>
      <w:r>
        <w:rPr>
          <w:rFonts w:ascii="Times New Roman" w:hAnsi="Times New Roman" w:cs="Times New Roman"/>
          <w:color w:val="auto"/>
          <w:sz w:val="22"/>
          <w:szCs w:val="22"/>
        </w:rPr>
        <w:t>осваивать и демонстрировать технику стилей спортивного плавания (брасс, кроль) с динамикой улучшения показателей скорости при плавании на определённое расстояние;</w:t>
      </w:r>
    </w:p>
    <w:p w14:paraId="7DBCBE6B">
      <w:pPr>
        <w:pStyle w:val="104"/>
        <w:spacing w:line="360" w:lineRule="auto"/>
        <w:ind w:left="0" w:firstLine="709"/>
        <w:contextualSpacing/>
        <w:rPr>
          <w:rFonts w:ascii="Times New Roman" w:hAnsi="Times New Roman" w:cs="Times New Roman"/>
          <w:color w:val="auto"/>
          <w:sz w:val="22"/>
          <w:szCs w:val="22"/>
        </w:rPr>
      </w:pPr>
      <w:r>
        <w:rPr>
          <w:rFonts w:ascii="Times New Roman" w:hAnsi="Times New Roman" w:cs="Times New Roman"/>
          <w:color w:val="auto"/>
          <w:sz w:val="22"/>
          <w:szCs w:val="22"/>
        </w:rPr>
        <w:t>осваивать комплексы гимнастических упражнений и упражнений акробатики с использованием и без использования гимнастических предметов (мяч, скакалка);</w:t>
      </w:r>
    </w:p>
    <w:p w14:paraId="43AB0D77">
      <w:pPr>
        <w:pStyle w:val="104"/>
        <w:spacing w:line="360" w:lineRule="auto"/>
        <w:ind w:left="0" w:firstLine="709"/>
        <w:contextualSpacing/>
        <w:rPr>
          <w:rFonts w:ascii="Times New Roman" w:hAnsi="Times New Roman" w:cs="Times New Roman"/>
          <w:color w:val="auto"/>
          <w:sz w:val="22"/>
          <w:szCs w:val="22"/>
        </w:rPr>
      </w:pPr>
      <w:r>
        <w:rPr>
          <w:rFonts w:ascii="Times New Roman" w:hAnsi="Times New Roman" w:cs="Times New Roman"/>
          <w:color w:val="auto"/>
          <w:sz w:val="22"/>
          <w:szCs w:val="22"/>
        </w:rPr>
        <w:t>осваивать универсальные умения прыжков, поворотов, равновесий, включая: серию поворотов и прыжков на девяносто и сто восемьдесят градусов, прыжки с толчком одной ногой, обеими ногами с прямыми и согнутыми коленями, прямо и с полуповоротом, с места и с разбега, прыжки и подскоки через вращающуюся скакалку;</w:t>
      </w:r>
    </w:p>
    <w:p w14:paraId="4F93FE94">
      <w:pPr>
        <w:pStyle w:val="104"/>
        <w:spacing w:line="360" w:lineRule="auto"/>
        <w:ind w:left="0" w:firstLine="709"/>
        <w:contextualSpacing/>
        <w:rPr>
          <w:rFonts w:ascii="Times New Roman" w:hAnsi="Times New Roman" w:cs="Times New Roman"/>
          <w:color w:val="auto"/>
          <w:sz w:val="22"/>
          <w:szCs w:val="22"/>
        </w:rPr>
      </w:pPr>
      <w:r>
        <w:rPr>
          <w:rFonts w:ascii="Times New Roman" w:hAnsi="Times New Roman" w:cs="Times New Roman"/>
          <w:color w:val="auto"/>
          <w:sz w:val="22"/>
          <w:szCs w:val="22"/>
        </w:rPr>
        <w:t>осваивать универсальные умения ходьбы на лыжах (при возможных погодных условиях), бега на скорость, метания теннисного мяча в заданную цель, прыжков в высоту через планку, прыжков в длину и иное;</w:t>
      </w:r>
    </w:p>
    <w:p w14:paraId="688182A1">
      <w:pPr>
        <w:pStyle w:val="104"/>
        <w:spacing w:line="360" w:lineRule="auto"/>
        <w:ind w:left="0" w:firstLine="709"/>
        <w:contextualSpacing/>
        <w:rPr>
          <w:rFonts w:ascii="Times New Roman" w:hAnsi="Times New Roman" w:cs="Times New Roman"/>
          <w:color w:val="auto"/>
          <w:sz w:val="22"/>
          <w:szCs w:val="22"/>
        </w:rPr>
      </w:pPr>
      <w:r>
        <w:rPr>
          <w:rFonts w:ascii="Times New Roman" w:hAnsi="Times New Roman" w:cs="Times New Roman"/>
          <w:color w:val="auto"/>
          <w:sz w:val="22"/>
          <w:szCs w:val="22"/>
        </w:rPr>
        <w:t>осваивать универсальные умения при выполнении специальных физических упражнений, входящих в программу начальной подготовки по виду спорта (по выбору).</w:t>
      </w:r>
      <w:bookmarkStart w:id="250" w:name="_Toc101876899"/>
    </w:p>
    <w:bookmarkEnd w:id="250"/>
    <w:p w14:paraId="2753E989">
      <w:pPr>
        <w:pStyle w:val="99"/>
        <w:spacing w:line="360" w:lineRule="auto"/>
        <w:ind w:firstLine="709"/>
        <w:contextualSpacing/>
        <w:rPr>
          <w:rFonts w:ascii="Times New Roman" w:hAnsi="Times New Roman" w:cs="Times New Roman"/>
          <w:color w:val="auto"/>
          <w:sz w:val="22"/>
          <w:szCs w:val="22"/>
        </w:rPr>
      </w:pPr>
      <w:r>
        <w:rPr>
          <w:rFonts w:ascii="Times New Roman" w:hAnsi="Times New Roman" w:cs="Times New Roman"/>
          <w:color w:val="auto"/>
          <w:sz w:val="22"/>
          <w:szCs w:val="22"/>
        </w:rPr>
        <w:t>16.2.2.6. К концу обучения в 4 классе обучающийся достигнет следующих предметных результатов по отдельным темам программы по физической культуре:</w:t>
      </w:r>
    </w:p>
    <w:p w14:paraId="24EDB969">
      <w:pPr>
        <w:pStyle w:val="99"/>
        <w:spacing w:line="360" w:lineRule="auto"/>
        <w:ind w:firstLine="709"/>
        <w:contextualSpacing/>
        <w:rPr>
          <w:rStyle w:val="103"/>
          <w:rFonts w:ascii="Times New Roman" w:hAnsi="Times New Roman" w:cs="Times New Roman"/>
          <w:b w:val="0"/>
          <w:bCs w:val="0"/>
          <w:color w:val="auto"/>
          <w:sz w:val="22"/>
          <w:szCs w:val="22"/>
        </w:rPr>
      </w:pPr>
      <w:r>
        <w:rPr>
          <w:rStyle w:val="103"/>
          <w:rFonts w:ascii="Times New Roman" w:hAnsi="Times New Roman" w:cs="Times New Roman"/>
          <w:b w:val="0"/>
          <w:bCs w:val="0"/>
          <w:color w:val="auto"/>
          <w:sz w:val="22"/>
          <w:szCs w:val="22"/>
        </w:rPr>
        <w:t>Знания о физической культуре:</w:t>
      </w:r>
    </w:p>
    <w:p w14:paraId="5068C8B5">
      <w:pPr>
        <w:pStyle w:val="104"/>
        <w:spacing w:line="360" w:lineRule="auto"/>
        <w:ind w:left="0" w:firstLine="709"/>
        <w:contextualSpacing/>
        <w:rPr>
          <w:rFonts w:ascii="Times New Roman" w:hAnsi="Times New Roman" w:cs="Times New Roman"/>
          <w:color w:val="auto"/>
          <w:sz w:val="22"/>
          <w:szCs w:val="22"/>
        </w:rPr>
      </w:pPr>
      <w:r>
        <w:rPr>
          <w:rFonts w:ascii="Times New Roman" w:hAnsi="Times New Roman" w:cs="Times New Roman"/>
          <w:color w:val="auto"/>
          <w:sz w:val="22"/>
          <w:szCs w:val="22"/>
        </w:rPr>
        <w:t>определять и кратко характеризовать физическую культуру, её роль в общей культуре человека, пересказывать тексты по истории физической культуры, олимпизма, понимать и раскрывать связь физической культуры с трудовой и военной деятельностью;</w:t>
      </w:r>
    </w:p>
    <w:p w14:paraId="10927914">
      <w:pPr>
        <w:pStyle w:val="104"/>
        <w:spacing w:line="360" w:lineRule="auto"/>
        <w:ind w:left="0" w:firstLine="709"/>
        <w:contextualSpacing/>
        <w:rPr>
          <w:rFonts w:ascii="Times New Roman" w:hAnsi="Times New Roman" w:cs="Times New Roman"/>
          <w:color w:val="auto"/>
          <w:sz w:val="22"/>
          <w:szCs w:val="22"/>
        </w:rPr>
      </w:pPr>
      <w:r>
        <w:rPr>
          <w:rFonts w:ascii="Times New Roman" w:hAnsi="Times New Roman" w:cs="Times New Roman"/>
          <w:color w:val="auto"/>
          <w:sz w:val="22"/>
          <w:szCs w:val="22"/>
        </w:rPr>
        <w:t>называть направления физической культуры в классификации физических упражнений по признаку исторически сложившихся систем физического воспитания;</w:t>
      </w:r>
    </w:p>
    <w:p w14:paraId="28FF62B0">
      <w:pPr>
        <w:pStyle w:val="104"/>
        <w:spacing w:line="360" w:lineRule="auto"/>
        <w:ind w:left="0" w:firstLine="709"/>
        <w:contextualSpacing/>
        <w:rPr>
          <w:rFonts w:ascii="Times New Roman" w:hAnsi="Times New Roman" w:cs="Times New Roman"/>
          <w:color w:val="auto"/>
          <w:sz w:val="22"/>
          <w:szCs w:val="22"/>
        </w:rPr>
      </w:pPr>
      <w:r>
        <w:rPr>
          <w:rFonts w:ascii="Times New Roman" w:hAnsi="Times New Roman" w:cs="Times New Roman"/>
          <w:color w:val="auto"/>
          <w:sz w:val="22"/>
          <w:szCs w:val="22"/>
        </w:rPr>
        <w:t>понимать и перечислять физические упражнения в классификации по преимущественной целевой направленности;</w:t>
      </w:r>
    </w:p>
    <w:p w14:paraId="054F8F91">
      <w:pPr>
        <w:pStyle w:val="104"/>
        <w:spacing w:line="360" w:lineRule="auto"/>
        <w:ind w:left="0" w:firstLine="709"/>
        <w:contextualSpacing/>
        <w:rPr>
          <w:rFonts w:ascii="Times New Roman" w:hAnsi="Times New Roman" w:cs="Times New Roman"/>
          <w:color w:val="auto"/>
          <w:sz w:val="22"/>
          <w:szCs w:val="22"/>
        </w:rPr>
      </w:pPr>
      <w:r>
        <w:rPr>
          <w:rFonts w:ascii="Times New Roman" w:hAnsi="Times New Roman" w:cs="Times New Roman"/>
          <w:color w:val="auto"/>
          <w:sz w:val="22"/>
          <w:szCs w:val="22"/>
        </w:rPr>
        <w:t>формулировать основные задачи физической культуры, объяснять отличия задач физической культуры от задач спорта;</w:t>
      </w:r>
    </w:p>
    <w:p w14:paraId="77ED06EA">
      <w:pPr>
        <w:pStyle w:val="104"/>
        <w:spacing w:line="360" w:lineRule="auto"/>
        <w:ind w:left="0" w:firstLine="709"/>
        <w:contextualSpacing/>
        <w:rPr>
          <w:rFonts w:ascii="Times New Roman" w:hAnsi="Times New Roman" w:cs="Times New Roman"/>
          <w:color w:val="auto"/>
          <w:sz w:val="22"/>
          <w:szCs w:val="22"/>
        </w:rPr>
      </w:pPr>
      <w:r>
        <w:rPr>
          <w:rFonts w:ascii="Times New Roman" w:hAnsi="Times New Roman" w:cs="Times New Roman"/>
          <w:color w:val="auto"/>
          <w:sz w:val="22"/>
          <w:szCs w:val="22"/>
        </w:rPr>
        <w:t>характеризовать туристическую деятельность, её место в классификации физических упражнений по признаку исторически сложившихся систем физического воспитания и отмечать роль туристической деятельности в ориентировании на местности и жизнеобеспечении в трудных ситуациях;</w:t>
      </w:r>
    </w:p>
    <w:p w14:paraId="1C6478D0">
      <w:pPr>
        <w:pStyle w:val="104"/>
        <w:spacing w:line="360" w:lineRule="auto"/>
        <w:ind w:left="0" w:firstLine="709"/>
        <w:contextualSpacing/>
        <w:rPr>
          <w:rFonts w:ascii="Times New Roman" w:hAnsi="Times New Roman" w:cs="Times New Roman"/>
          <w:color w:val="auto"/>
          <w:sz w:val="22"/>
          <w:szCs w:val="22"/>
        </w:rPr>
      </w:pPr>
      <w:r>
        <w:rPr>
          <w:rFonts w:ascii="Times New Roman" w:hAnsi="Times New Roman" w:cs="Times New Roman"/>
          <w:color w:val="auto"/>
          <w:sz w:val="22"/>
          <w:szCs w:val="22"/>
        </w:rPr>
        <w:t>давать основные определения по организации строевых упражнений: строй, фланг, фронт, интервал, дистанция, направляющий, замыкающий, шеренга, колонна;</w:t>
      </w:r>
    </w:p>
    <w:p w14:paraId="3FEA423A">
      <w:pPr>
        <w:pStyle w:val="104"/>
        <w:spacing w:line="360" w:lineRule="auto"/>
        <w:ind w:left="0" w:firstLine="709"/>
        <w:contextualSpacing/>
        <w:rPr>
          <w:rFonts w:ascii="Times New Roman" w:hAnsi="Times New Roman" w:cs="Times New Roman"/>
          <w:color w:val="auto"/>
          <w:sz w:val="22"/>
          <w:szCs w:val="22"/>
        </w:rPr>
      </w:pPr>
      <w:r>
        <w:rPr>
          <w:rFonts w:ascii="Times New Roman" w:hAnsi="Times New Roman" w:cs="Times New Roman"/>
          <w:color w:val="auto"/>
          <w:sz w:val="22"/>
          <w:szCs w:val="22"/>
        </w:rPr>
        <w:t>знать строевые команды;</w:t>
      </w:r>
    </w:p>
    <w:p w14:paraId="332A88BB">
      <w:pPr>
        <w:pStyle w:val="104"/>
        <w:spacing w:line="360" w:lineRule="auto"/>
        <w:ind w:left="0" w:firstLine="709"/>
        <w:contextualSpacing/>
        <w:rPr>
          <w:rFonts w:ascii="Times New Roman" w:hAnsi="Times New Roman" w:cs="Times New Roman"/>
          <w:color w:val="auto"/>
          <w:sz w:val="22"/>
          <w:szCs w:val="22"/>
        </w:rPr>
      </w:pPr>
      <w:r>
        <w:rPr>
          <w:rFonts w:ascii="Times New Roman" w:hAnsi="Times New Roman" w:cs="Times New Roman"/>
          <w:color w:val="auto"/>
          <w:sz w:val="22"/>
          <w:szCs w:val="22"/>
        </w:rPr>
        <w:t>знать и применять методику определения результатов развития физических качеств и способностей: гибкости, координационно-скоростных способностей;</w:t>
      </w:r>
    </w:p>
    <w:p w14:paraId="755E6523">
      <w:pPr>
        <w:pStyle w:val="104"/>
        <w:spacing w:line="360" w:lineRule="auto"/>
        <w:ind w:left="0" w:firstLine="709"/>
        <w:contextualSpacing/>
        <w:rPr>
          <w:rFonts w:ascii="Times New Roman" w:hAnsi="Times New Roman" w:cs="Times New Roman"/>
          <w:color w:val="auto"/>
          <w:sz w:val="22"/>
          <w:szCs w:val="22"/>
        </w:rPr>
      </w:pPr>
      <w:r>
        <w:rPr>
          <w:rFonts w:ascii="Times New Roman" w:hAnsi="Times New Roman" w:cs="Times New Roman"/>
          <w:color w:val="auto"/>
          <w:sz w:val="22"/>
          <w:szCs w:val="22"/>
        </w:rPr>
        <w:t>определять ситуации, требующие применения правил предупреждения травматизма;</w:t>
      </w:r>
    </w:p>
    <w:p w14:paraId="3CB4137F">
      <w:pPr>
        <w:pStyle w:val="104"/>
        <w:spacing w:line="360" w:lineRule="auto"/>
        <w:ind w:left="0" w:firstLine="709"/>
        <w:contextualSpacing/>
        <w:rPr>
          <w:rFonts w:ascii="Times New Roman" w:hAnsi="Times New Roman" w:cs="Times New Roman"/>
          <w:color w:val="auto"/>
          <w:sz w:val="22"/>
          <w:szCs w:val="22"/>
        </w:rPr>
      </w:pPr>
      <w:r>
        <w:rPr>
          <w:rFonts w:ascii="Times New Roman" w:hAnsi="Times New Roman" w:cs="Times New Roman"/>
          <w:color w:val="auto"/>
          <w:sz w:val="22"/>
          <w:szCs w:val="22"/>
        </w:rPr>
        <w:t>определять состав спортивной одежды в зависимости от погодных условий и условий занятий;</w:t>
      </w:r>
    </w:p>
    <w:p w14:paraId="2D99EBCD">
      <w:pPr>
        <w:pStyle w:val="104"/>
        <w:spacing w:line="360" w:lineRule="auto"/>
        <w:ind w:left="0" w:firstLine="709"/>
        <w:contextualSpacing/>
        <w:rPr>
          <w:rFonts w:ascii="Times New Roman" w:hAnsi="Times New Roman" w:cs="Times New Roman"/>
          <w:color w:val="auto"/>
          <w:sz w:val="22"/>
          <w:szCs w:val="22"/>
        </w:rPr>
      </w:pPr>
      <w:r>
        <w:rPr>
          <w:rFonts w:ascii="Times New Roman" w:hAnsi="Times New Roman" w:cs="Times New Roman"/>
          <w:color w:val="auto"/>
          <w:sz w:val="22"/>
          <w:szCs w:val="22"/>
        </w:rPr>
        <w:t>различать гимнастические упражнения по воздействию на развитие физических качеств (сила, быстрота, координация, гибкость).</w:t>
      </w:r>
    </w:p>
    <w:p w14:paraId="19DB8A7D">
      <w:pPr>
        <w:pStyle w:val="99"/>
        <w:spacing w:line="360" w:lineRule="auto"/>
        <w:ind w:firstLine="709"/>
        <w:contextualSpacing/>
        <w:rPr>
          <w:rStyle w:val="103"/>
          <w:rFonts w:ascii="Times New Roman" w:hAnsi="Times New Roman" w:cs="Times New Roman"/>
          <w:b w:val="0"/>
          <w:bCs w:val="0"/>
          <w:color w:val="auto"/>
          <w:sz w:val="22"/>
          <w:szCs w:val="22"/>
        </w:rPr>
      </w:pPr>
      <w:r>
        <w:rPr>
          <w:rStyle w:val="103"/>
          <w:rFonts w:ascii="Times New Roman" w:hAnsi="Times New Roman" w:cs="Times New Roman"/>
          <w:b w:val="0"/>
          <w:bCs w:val="0"/>
          <w:color w:val="auto"/>
          <w:sz w:val="22"/>
          <w:szCs w:val="22"/>
        </w:rPr>
        <w:t>Способы физкультурной деятельности:</w:t>
      </w:r>
    </w:p>
    <w:p w14:paraId="7591E93B">
      <w:pPr>
        <w:pStyle w:val="104"/>
        <w:spacing w:line="360" w:lineRule="auto"/>
        <w:ind w:left="0" w:firstLine="709"/>
        <w:contextualSpacing/>
        <w:rPr>
          <w:rFonts w:ascii="Times New Roman" w:hAnsi="Times New Roman" w:cs="Times New Roman"/>
          <w:color w:val="auto"/>
          <w:sz w:val="22"/>
          <w:szCs w:val="22"/>
        </w:rPr>
      </w:pPr>
      <w:r>
        <w:rPr>
          <w:rFonts w:ascii="Times New Roman" w:hAnsi="Times New Roman" w:cs="Times New Roman"/>
          <w:color w:val="auto"/>
          <w:sz w:val="22"/>
          <w:szCs w:val="22"/>
        </w:rPr>
        <w:t>составлять индивидуальный режим дня, вести дневник наблюдений за своим физическим развитием, в том числе оценивая своё состояние после закаливающих процедур;</w:t>
      </w:r>
    </w:p>
    <w:p w14:paraId="7D23FED4">
      <w:pPr>
        <w:pStyle w:val="104"/>
        <w:spacing w:line="360" w:lineRule="auto"/>
        <w:ind w:left="0" w:firstLine="709"/>
        <w:contextualSpacing/>
        <w:rPr>
          <w:rFonts w:ascii="Times New Roman" w:hAnsi="Times New Roman" w:cs="Times New Roman"/>
          <w:color w:val="auto"/>
          <w:sz w:val="22"/>
          <w:szCs w:val="22"/>
        </w:rPr>
      </w:pPr>
      <w:r>
        <w:rPr>
          <w:rFonts w:ascii="Times New Roman" w:hAnsi="Times New Roman" w:cs="Times New Roman"/>
          <w:color w:val="auto"/>
          <w:sz w:val="22"/>
          <w:szCs w:val="22"/>
        </w:rPr>
        <w:t>измерять показатели развития физических качеств и способностей по методикам программы по физической культуре (гибкость, координационно-скоростные способности);</w:t>
      </w:r>
    </w:p>
    <w:p w14:paraId="3362077A">
      <w:pPr>
        <w:pStyle w:val="104"/>
        <w:spacing w:line="360" w:lineRule="auto"/>
        <w:ind w:left="0" w:firstLine="709"/>
        <w:contextualSpacing/>
        <w:rPr>
          <w:rFonts w:ascii="Times New Roman" w:hAnsi="Times New Roman" w:cs="Times New Roman"/>
          <w:color w:val="auto"/>
          <w:sz w:val="22"/>
          <w:szCs w:val="22"/>
        </w:rPr>
      </w:pPr>
      <w:r>
        <w:rPr>
          <w:rFonts w:ascii="Times New Roman" w:hAnsi="Times New Roman" w:cs="Times New Roman"/>
          <w:color w:val="auto"/>
          <w:sz w:val="22"/>
          <w:szCs w:val="22"/>
        </w:rPr>
        <w:t>объяснять технику разученных гимнастических упражнений и специальных физических упражнений по виду спорта (по выбору);</w:t>
      </w:r>
    </w:p>
    <w:p w14:paraId="5A2B36F5">
      <w:pPr>
        <w:pStyle w:val="104"/>
        <w:spacing w:line="360" w:lineRule="auto"/>
        <w:ind w:left="0" w:firstLine="709"/>
        <w:contextualSpacing/>
        <w:rPr>
          <w:rFonts w:ascii="Times New Roman" w:hAnsi="Times New Roman" w:cs="Times New Roman"/>
          <w:color w:val="auto"/>
          <w:sz w:val="22"/>
          <w:szCs w:val="22"/>
        </w:rPr>
      </w:pPr>
      <w:r>
        <w:rPr>
          <w:rFonts w:ascii="Times New Roman" w:hAnsi="Times New Roman" w:cs="Times New Roman"/>
          <w:color w:val="auto"/>
          <w:sz w:val="22"/>
          <w:szCs w:val="22"/>
        </w:rPr>
        <w:t>общаться и взаимодействовать в игровой деятельности;</w:t>
      </w:r>
    </w:p>
    <w:p w14:paraId="3D9B2325">
      <w:pPr>
        <w:pStyle w:val="104"/>
        <w:spacing w:line="360" w:lineRule="auto"/>
        <w:ind w:left="0" w:firstLine="709"/>
        <w:contextualSpacing/>
        <w:rPr>
          <w:rFonts w:ascii="Times New Roman" w:hAnsi="Times New Roman" w:cs="Times New Roman"/>
          <w:color w:val="auto"/>
          <w:sz w:val="22"/>
          <w:szCs w:val="22"/>
        </w:rPr>
      </w:pPr>
      <w:r>
        <w:rPr>
          <w:rFonts w:ascii="Times New Roman" w:hAnsi="Times New Roman" w:cs="Times New Roman"/>
          <w:color w:val="auto"/>
          <w:sz w:val="22"/>
          <w:szCs w:val="22"/>
        </w:rPr>
        <w:t>моделировать комплексы упражнений по заданной цели: на развитие гибкости, координации, быстроты, моторики, улучшение подвижности суставов, увеличение эластичности мышц, формирование стопы и осанки, развитие меткости и другие;</w:t>
      </w:r>
    </w:p>
    <w:p w14:paraId="6435A178">
      <w:pPr>
        <w:pStyle w:val="104"/>
        <w:spacing w:line="360" w:lineRule="auto"/>
        <w:ind w:left="0" w:firstLine="709"/>
        <w:contextualSpacing/>
        <w:rPr>
          <w:rFonts w:ascii="Times New Roman" w:hAnsi="Times New Roman" w:cs="Times New Roman"/>
          <w:color w:val="auto"/>
          <w:sz w:val="22"/>
          <w:szCs w:val="22"/>
        </w:rPr>
      </w:pPr>
      <w:r>
        <w:rPr>
          <w:rFonts w:ascii="Times New Roman" w:hAnsi="Times New Roman" w:cs="Times New Roman"/>
          <w:color w:val="auto"/>
          <w:sz w:val="22"/>
          <w:szCs w:val="22"/>
        </w:rPr>
        <w:t>составлять, организовывать и проводить подвижные игры с элементами соревновательной деятельности.</w:t>
      </w:r>
    </w:p>
    <w:p w14:paraId="61FDF169">
      <w:pPr>
        <w:pStyle w:val="99"/>
        <w:spacing w:line="360" w:lineRule="auto"/>
        <w:ind w:firstLine="709"/>
        <w:contextualSpacing/>
        <w:rPr>
          <w:rStyle w:val="103"/>
          <w:rFonts w:ascii="Times New Roman" w:hAnsi="Times New Roman" w:cs="Times New Roman"/>
          <w:b w:val="0"/>
          <w:bCs w:val="0"/>
          <w:color w:val="auto"/>
          <w:sz w:val="22"/>
          <w:szCs w:val="22"/>
        </w:rPr>
      </w:pPr>
      <w:r>
        <w:rPr>
          <w:rStyle w:val="103"/>
          <w:rFonts w:ascii="Times New Roman" w:hAnsi="Times New Roman" w:cs="Times New Roman"/>
          <w:b w:val="0"/>
          <w:bCs w:val="0"/>
          <w:color w:val="auto"/>
          <w:sz w:val="22"/>
          <w:szCs w:val="22"/>
        </w:rPr>
        <w:t>Физическое совершенствование</w:t>
      </w:r>
    </w:p>
    <w:p w14:paraId="0194ED9A">
      <w:pPr>
        <w:pStyle w:val="99"/>
        <w:spacing w:line="360" w:lineRule="auto"/>
        <w:ind w:firstLine="709"/>
        <w:contextualSpacing/>
        <w:rPr>
          <w:rStyle w:val="102"/>
          <w:rFonts w:ascii="Times New Roman" w:hAnsi="Times New Roman" w:eastAsia="Georgia" w:cs="Times New Roman"/>
          <w:i w:val="0"/>
          <w:iCs w:val="0"/>
          <w:color w:val="auto"/>
          <w:sz w:val="22"/>
          <w:szCs w:val="22"/>
        </w:rPr>
      </w:pPr>
      <w:r>
        <w:rPr>
          <w:rStyle w:val="102"/>
          <w:rFonts w:ascii="Times New Roman" w:hAnsi="Times New Roman" w:eastAsia="Georgia" w:cs="Times New Roman"/>
          <w:i w:val="0"/>
          <w:iCs w:val="0"/>
          <w:color w:val="auto"/>
          <w:sz w:val="22"/>
          <w:szCs w:val="22"/>
        </w:rPr>
        <w:t>Физкультурно-оздоровительная деятельность:</w:t>
      </w:r>
    </w:p>
    <w:p w14:paraId="25F410B9">
      <w:pPr>
        <w:pStyle w:val="104"/>
        <w:spacing w:line="360" w:lineRule="auto"/>
        <w:ind w:left="0" w:firstLine="709"/>
        <w:contextualSpacing/>
        <w:rPr>
          <w:rFonts w:ascii="Times New Roman" w:hAnsi="Times New Roman" w:cs="Times New Roman"/>
          <w:color w:val="auto"/>
          <w:sz w:val="22"/>
          <w:szCs w:val="22"/>
        </w:rPr>
      </w:pPr>
      <w:r>
        <w:rPr>
          <w:rFonts w:ascii="Times New Roman" w:hAnsi="Times New Roman" w:cs="Times New Roman"/>
          <w:color w:val="auto"/>
          <w:sz w:val="22"/>
          <w:szCs w:val="22"/>
        </w:rPr>
        <w:t>осваивать универсальные умения по самостоятельному выполнению упражнений в оздоровительных формах занятий (гимнастические минутки, утренняя гимнастика, учебно-тренировочный процесс);</w:t>
      </w:r>
    </w:p>
    <w:p w14:paraId="3159E602">
      <w:pPr>
        <w:pStyle w:val="104"/>
        <w:spacing w:line="360" w:lineRule="auto"/>
        <w:ind w:left="0" w:firstLine="709"/>
        <w:contextualSpacing/>
        <w:rPr>
          <w:rFonts w:ascii="Times New Roman" w:hAnsi="Times New Roman" w:cs="Times New Roman"/>
          <w:color w:val="auto"/>
          <w:sz w:val="22"/>
          <w:szCs w:val="22"/>
        </w:rPr>
      </w:pPr>
      <w:r>
        <w:rPr>
          <w:rFonts w:ascii="Times New Roman" w:hAnsi="Times New Roman" w:cs="Times New Roman"/>
          <w:color w:val="auto"/>
          <w:sz w:val="22"/>
          <w:szCs w:val="22"/>
        </w:rPr>
        <w:t>моделировать физические нагрузки для развития основных физических качеств и способностей в зависимости от уровня физической подготовленности и эффективности динамики развития физических качеств и способностей;</w:t>
      </w:r>
    </w:p>
    <w:p w14:paraId="05E2A74D">
      <w:pPr>
        <w:pStyle w:val="104"/>
        <w:spacing w:line="360" w:lineRule="auto"/>
        <w:ind w:left="0" w:firstLine="709"/>
        <w:contextualSpacing/>
        <w:rPr>
          <w:rFonts w:ascii="Times New Roman" w:hAnsi="Times New Roman" w:cs="Times New Roman"/>
          <w:color w:val="auto"/>
          <w:sz w:val="22"/>
          <w:szCs w:val="22"/>
        </w:rPr>
      </w:pPr>
      <w:r>
        <w:rPr>
          <w:rFonts w:ascii="Times New Roman" w:hAnsi="Times New Roman" w:cs="Times New Roman"/>
          <w:color w:val="auto"/>
          <w:sz w:val="22"/>
          <w:szCs w:val="22"/>
        </w:rPr>
        <w:t>осваивать универсальные умения по контролю за величиной физической нагрузки при выполнении упражнений на развитие физических качеств по частоте сердечных сокращений;</w:t>
      </w:r>
    </w:p>
    <w:p w14:paraId="56DAADE8">
      <w:pPr>
        <w:pStyle w:val="104"/>
        <w:spacing w:line="360" w:lineRule="auto"/>
        <w:ind w:left="0" w:firstLine="709"/>
        <w:contextualSpacing/>
        <w:rPr>
          <w:rFonts w:ascii="Times New Roman" w:hAnsi="Times New Roman" w:cs="Times New Roman"/>
          <w:color w:val="auto"/>
          <w:sz w:val="22"/>
          <w:szCs w:val="22"/>
        </w:rPr>
      </w:pPr>
      <w:r>
        <w:rPr>
          <w:rFonts w:ascii="Times New Roman" w:hAnsi="Times New Roman" w:cs="Times New Roman"/>
          <w:color w:val="auto"/>
          <w:sz w:val="22"/>
          <w:szCs w:val="22"/>
        </w:rPr>
        <w:t>осваивать навыки по самостоятельному выполнению гимнастических упражнений при различных видах разминки: общей, партерной, разминки у опоры – в целях обеспечения нагрузки на группы мышц в различных положениях (в движении, лёжа, сидя, стоя);</w:t>
      </w:r>
    </w:p>
    <w:p w14:paraId="49307909">
      <w:pPr>
        <w:pStyle w:val="104"/>
        <w:spacing w:line="360" w:lineRule="auto"/>
        <w:ind w:left="0" w:firstLine="709"/>
        <w:contextualSpacing/>
        <w:rPr>
          <w:rFonts w:ascii="Times New Roman" w:hAnsi="Times New Roman" w:cs="Times New Roman"/>
          <w:color w:val="auto"/>
          <w:sz w:val="22"/>
          <w:szCs w:val="22"/>
        </w:rPr>
      </w:pPr>
      <w:r>
        <w:rPr>
          <w:rFonts w:ascii="Times New Roman" w:hAnsi="Times New Roman" w:cs="Times New Roman"/>
          <w:color w:val="auto"/>
          <w:sz w:val="22"/>
          <w:szCs w:val="22"/>
        </w:rPr>
        <w:t>принимать на себя ответственность за результаты эффективного развития собственных физических качеств.</w:t>
      </w:r>
    </w:p>
    <w:p w14:paraId="0C281EAC">
      <w:pPr>
        <w:pStyle w:val="99"/>
        <w:spacing w:line="360" w:lineRule="auto"/>
        <w:ind w:firstLine="709"/>
        <w:contextualSpacing/>
        <w:rPr>
          <w:rStyle w:val="102"/>
          <w:rFonts w:ascii="Times New Roman" w:hAnsi="Times New Roman" w:eastAsia="Georgia" w:cs="Times New Roman"/>
          <w:i w:val="0"/>
          <w:iCs w:val="0"/>
          <w:color w:val="auto"/>
          <w:sz w:val="22"/>
          <w:szCs w:val="22"/>
        </w:rPr>
      </w:pPr>
      <w:r>
        <w:rPr>
          <w:rStyle w:val="102"/>
          <w:rFonts w:ascii="Times New Roman" w:hAnsi="Times New Roman" w:eastAsia="Georgia" w:cs="Times New Roman"/>
          <w:i w:val="0"/>
          <w:iCs w:val="0"/>
          <w:color w:val="auto"/>
          <w:sz w:val="22"/>
          <w:szCs w:val="22"/>
        </w:rPr>
        <w:t>Спортивно-оздоровительная деятельность:</w:t>
      </w:r>
    </w:p>
    <w:p w14:paraId="0F6E864D">
      <w:pPr>
        <w:pStyle w:val="104"/>
        <w:spacing w:line="360" w:lineRule="auto"/>
        <w:ind w:left="0" w:firstLine="709"/>
        <w:contextualSpacing/>
        <w:rPr>
          <w:rFonts w:ascii="Times New Roman" w:hAnsi="Times New Roman" w:cs="Times New Roman"/>
          <w:color w:val="auto"/>
          <w:sz w:val="22"/>
          <w:szCs w:val="22"/>
        </w:rPr>
      </w:pPr>
      <w:r>
        <w:rPr>
          <w:rFonts w:ascii="Times New Roman" w:hAnsi="Times New Roman" w:cs="Times New Roman"/>
          <w:color w:val="auto"/>
          <w:sz w:val="22"/>
          <w:szCs w:val="22"/>
        </w:rPr>
        <w:t>осваивать и показывать универсальные умения при выполнении организующих упражнений;</w:t>
      </w:r>
    </w:p>
    <w:p w14:paraId="46EAFB20">
      <w:pPr>
        <w:pStyle w:val="104"/>
        <w:spacing w:line="360" w:lineRule="auto"/>
        <w:ind w:left="0" w:firstLine="709"/>
        <w:contextualSpacing/>
        <w:rPr>
          <w:rFonts w:ascii="Times New Roman" w:hAnsi="Times New Roman" w:cs="Times New Roman"/>
          <w:color w:val="auto"/>
          <w:sz w:val="22"/>
          <w:szCs w:val="22"/>
        </w:rPr>
      </w:pPr>
      <w:r>
        <w:rPr>
          <w:rFonts w:ascii="Times New Roman" w:hAnsi="Times New Roman" w:cs="Times New Roman"/>
          <w:color w:val="auto"/>
          <w:sz w:val="22"/>
          <w:szCs w:val="22"/>
        </w:rPr>
        <w:t>осваивать технику выполнения спортивных упражнений;</w:t>
      </w:r>
    </w:p>
    <w:p w14:paraId="0F7CFAAD">
      <w:pPr>
        <w:pStyle w:val="104"/>
        <w:spacing w:line="360" w:lineRule="auto"/>
        <w:ind w:left="0" w:firstLine="709"/>
        <w:contextualSpacing/>
        <w:rPr>
          <w:rFonts w:ascii="Times New Roman" w:hAnsi="Times New Roman" w:cs="Times New Roman"/>
          <w:color w:val="auto"/>
          <w:sz w:val="22"/>
          <w:szCs w:val="22"/>
        </w:rPr>
      </w:pPr>
      <w:r>
        <w:rPr>
          <w:rFonts w:ascii="Times New Roman" w:hAnsi="Times New Roman" w:cs="Times New Roman"/>
          <w:color w:val="auto"/>
          <w:sz w:val="22"/>
          <w:szCs w:val="22"/>
        </w:rPr>
        <w:t>осваивать универсальные умения по взаимодействию в парах и группах при разучивании специальных физических упражнений;</w:t>
      </w:r>
    </w:p>
    <w:p w14:paraId="523E8177">
      <w:pPr>
        <w:pStyle w:val="104"/>
        <w:spacing w:line="360" w:lineRule="auto"/>
        <w:ind w:left="0" w:firstLine="709"/>
        <w:contextualSpacing/>
        <w:rPr>
          <w:rFonts w:ascii="Times New Roman" w:hAnsi="Times New Roman" w:cs="Times New Roman"/>
          <w:color w:val="auto"/>
          <w:sz w:val="22"/>
          <w:szCs w:val="22"/>
        </w:rPr>
      </w:pPr>
      <w:r>
        <w:rPr>
          <w:rFonts w:ascii="Times New Roman" w:hAnsi="Times New Roman" w:cs="Times New Roman"/>
          <w:color w:val="auto"/>
          <w:sz w:val="22"/>
          <w:szCs w:val="22"/>
        </w:rPr>
        <w:t>проявлять физические качества гибкости, координации и быстроты при выполнении специальных физических упражнений и упражнений основной гимнастики;</w:t>
      </w:r>
    </w:p>
    <w:p w14:paraId="16F8BA04">
      <w:pPr>
        <w:pStyle w:val="104"/>
        <w:spacing w:line="360" w:lineRule="auto"/>
        <w:ind w:left="0" w:firstLine="709"/>
        <w:contextualSpacing/>
        <w:rPr>
          <w:rFonts w:ascii="Times New Roman" w:hAnsi="Times New Roman" w:cs="Times New Roman"/>
          <w:color w:val="auto"/>
          <w:sz w:val="22"/>
          <w:szCs w:val="22"/>
        </w:rPr>
      </w:pPr>
      <w:r>
        <w:rPr>
          <w:rFonts w:ascii="Times New Roman" w:hAnsi="Times New Roman" w:cs="Times New Roman"/>
          <w:color w:val="auto"/>
          <w:sz w:val="22"/>
          <w:szCs w:val="22"/>
        </w:rPr>
        <w:t>выявлять характерные ошибки при выполнении гимнастических упражнений и техники плавания;</w:t>
      </w:r>
    </w:p>
    <w:p w14:paraId="4B6E34EB">
      <w:pPr>
        <w:pStyle w:val="104"/>
        <w:spacing w:line="360" w:lineRule="auto"/>
        <w:ind w:left="0" w:firstLine="709"/>
        <w:contextualSpacing/>
        <w:rPr>
          <w:rFonts w:ascii="Times New Roman" w:hAnsi="Times New Roman" w:cs="Times New Roman"/>
          <w:color w:val="auto"/>
          <w:sz w:val="22"/>
          <w:szCs w:val="22"/>
        </w:rPr>
      </w:pPr>
      <w:r>
        <w:rPr>
          <w:rFonts w:ascii="Times New Roman" w:hAnsi="Times New Roman" w:cs="Times New Roman"/>
          <w:color w:val="auto"/>
          <w:sz w:val="22"/>
          <w:szCs w:val="22"/>
        </w:rPr>
        <w:t>различать, выполнять и озвучивать строевые команды;</w:t>
      </w:r>
    </w:p>
    <w:p w14:paraId="5A78F08D">
      <w:pPr>
        <w:pStyle w:val="104"/>
        <w:spacing w:line="360" w:lineRule="auto"/>
        <w:ind w:left="0" w:firstLine="709"/>
        <w:contextualSpacing/>
        <w:rPr>
          <w:rFonts w:ascii="Times New Roman" w:hAnsi="Times New Roman" w:cs="Times New Roman"/>
          <w:color w:val="auto"/>
          <w:spacing w:val="-1"/>
          <w:sz w:val="22"/>
          <w:szCs w:val="22"/>
        </w:rPr>
      </w:pPr>
      <w:r>
        <w:rPr>
          <w:rFonts w:ascii="Times New Roman" w:hAnsi="Times New Roman" w:cs="Times New Roman"/>
          <w:color w:val="auto"/>
          <w:spacing w:val="-1"/>
          <w:sz w:val="22"/>
          <w:szCs w:val="22"/>
        </w:rPr>
        <w:t>осваивать универсальные умения по взаимодействию в группах при разучивании и выполнении физических упражнений;</w:t>
      </w:r>
    </w:p>
    <w:p w14:paraId="1ED61867">
      <w:pPr>
        <w:pStyle w:val="104"/>
        <w:spacing w:line="360" w:lineRule="auto"/>
        <w:ind w:left="0" w:firstLine="709"/>
        <w:contextualSpacing/>
        <w:rPr>
          <w:rFonts w:ascii="Times New Roman" w:hAnsi="Times New Roman" w:cs="Times New Roman"/>
          <w:color w:val="auto"/>
          <w:sz w:val="22"/>
          <w:szCs w:val="22"/>
        </w:rPr>
      </w:pPr>
      <w:r>
        <w:rPr>
          <w:rFonts w:ascii="Times New Roman" w:hAnsi="Times New Roman" w:cs="Times New Roman"/>
          <w:color w:val="auto"/>
          <w:sz w:val="22"/>
          <w:szCs w:val="22"/>
        </w:rPr>
        <w:t>осваивать и демонстрировать технику различных стилей плавания (на выбор), выполнять плавание на скорость;</w:t>
      </w:r>
    </w:p>
    <w:p w14:paraId="1B179BBC">
      <w:pPr>
        <w:pStyle w:val="104"/>
        <w:spacing w:line="360" w:lineRule="auto"/>
        <w:ind w:left="0" w:firstLine="709"/>
        <w:contextualSpacing/>
        <w:rPr>
          <w:rFonts w:ascii="Times New Roman" w:hAnsi="Times New Roman" w:cs="Times New Roman"/>
          <w:color w:val="auto"/>
          <w:sz w:val="22"/>
          <w:szCs w:val="22"/>
        </w:rPr>
      </w:pPr>
      <w:r>
        <w:rPr>
          <w:rFonts w:ascii="Times New Roman" w:hAnsi="Times New Roman" w:cs="Times New Roman"/>
          <w:color w:val="auto"/>
          <w:sz w:val="22"/>
          <w:szCs w:val="22"/>
        </w:rPr>
        <w:t>описывать и демонстрировать правила соревновательной деятельности по виду спорта (на выбор);</w:t>
      </w:r>
    </w:p>
    <w:p w14:paraId="7EA2E2BD">
      <w:pPr>
        <w:pStyle w:val="104"/>
        <w:spacing w:line="360" w:lineRule="auto"/>
        <w:ind w:left="0" w:firstLine="709"/>
        <w:contextualSpacing/>
        <w:rPr>
          <w:rFonts w:ascii="Times New Roman" w:hAnsi="Times New Roman" w:cs="Times New Roman"/>
          <w:color w:val="auto"/>
          <w:sz w:val="22"/>
          <w:szCs w:val="22"/>
        </w:rPr>
      </w:pPr>
      <w:r>
        <w:rPr>
          <w:rFonts w:ascii="Times New Roman" w:hAnsi="Times New Roman" w:cs="Times New Roman"/>
          <w:color w:val="auto"/>
          <w:sz w:val="22"/>
          <w:szCs w:val="22"/>
        </w:rPr>
        <w:t>соблюдать правила техники безопасности при занятиях физической культурой и спортом;</w:t>
      </w:r>
    </w:p>
    <w:p w14:paraId="21B09B0A">
      <w:pPr>
        <w:pStyle w:val="104"/>
        <w:spacing w:line="360" w:lineRule="auto"/>
        <w:ind w:left="0" w:firstLine="709"/>
        <w:contextualSpacing/>
        <w:rPr>
          <w:rFonts w:ascii="Times New Roman" w:hAnsi="Times New Roman" w:cs="Times New Roman"/>
          <w:color w:val="auto"/>
          <w:sz w:val="22"/>
          <w:szCs w:val="22"/>
        </w:rPr>
      </w:pPr>
      <w:r>
        <w:rPr>
          <w:rFonts w:ascii="Times New Roman" w:hAnsi="Times New Roman" w:cs="Times New Roman"/>
          <w:color w:val="auto"/>
          <w:sz w:val="22"/>
          <w:szCs w:val="22"/>
        </w:rPr>
        <w:t>демонстрировать технику удержания гимнастических предметов (мяч, скакалка) при передаче, броске, ловле, вращении, перекатах;</w:t>
      </w:r>
    </w:p>
    <w:p w14:paraId="3D91F0D1">
      <w:pPr>
        <w:pStyle w:val="104"/>
        <w:spacing w:line="360" w:lineRule="auto"/>
        <w:ind w:left="0" w:firstLine="709"/>
        <w:contextualSpacing/>
        <w:rPr>
          <w:rFonts w:ascii="Times New Roman" w:hAnsi="Times New Roman" w:cs="Times New Roman"/>
          <w:color w:val="auto"/>
          <w:sz w:val="22"/>
          <w:szCs w:val="22"/>
        </w:rPr>
      </w:pPr>
      <w:r>
        <w:rPr>
          <w:rFonts w:ascii="Times New Roman" w:hAnsi="Times New Roman" w:cs="Times New Roman"/>
          <w:color w:val="auto"/>
          <w:sz w:val="22"/>
          <w:szCs w:val="22"/>
        </w:rPr>
        <w:t>демонстрировать технику выполнения равновесий, поворотов, прыжков толчком с одной ноги (попеременно), на месте и с разбега;</w:t>
      </w:r>
    </w:p>
    <w:p w14:paraId="2E59EBB8">
      <w:pPr>
        <w:pStyle w:val="104"/>
        <w:spacing w:line="360" w:lineRule="auto"/>
        <w:ind w:left="0" w:firstLine="709"/>
        <w:contextualSpacing/>
        <w:rPr>
          <w:rFonts w:ascii="Times New Roman" w:hAnsi="Times New Roman" w:cs="Times New Roman"/>
          <w:color w:val="auto"/>
          <w:sz w:val="22"/>
          <w:szCs w:val="22"/>
        </w:rPr>
      </w:pPr>
      <w:r>
        <w:rPr>
          <w:rFonts w:ascii="Times New Roman" w:hAnsi="Times New Roman" w:cs="Times New Roman"/>
          <w:color w:val="auto"/>
          <w:sz w:val="22"/>
          <w:szCs w:val="22"/>
        </w:rPr>
        <w:t>осваивать технику выполнения акробатических упражнений (кувырок, колесо, шпагат/полушпагат, мост из различных положений по выбору, стойка на руках);</w:t>
      </w:r>
    </w:p>
    <w:p w14:paraId="7C949601">
      <w:pPr>
        <w:pStyle w:val="104"/>
        <w:spacing w:line="360" w:lineRule="auto"/>
        <w:ind w:left="0" w:firstLine="709"/>
        <w:contextualSpacing/>
        <w:rPr>
          <w:rFonts w:ascii="Times New Roman" w:hAnsi="Times New Roman" w:cs="Times New Roman"/>
          <w:color w:val="auto"/>
          <w:sz w:val="22"/>
          <w:szCs w:val="22"/>
        </w:rPr>
      </w:pPr>
      <w:r>
        <w:rPr>
          <w:rFonts w:ascii="Times New Roman" w:hAnsi="Times New Roman" w:cs="Times New Roman"/>
          <w:color w:val="auto"/>
          <w:sz w:val="22"/>
          <w:szCs w:val="22"/>
        </w:rPr>
        <w:t>осваивать технику танцевальных шагов, выполняемых индивидуально, парами, в группах;</w:t>
      </w:r>
    </w:p>
    <w:p w14:paraId="210B8F89">
      <w:pPr>
        <w:pStyle w:val="104"/>
        <w:spacing w:line="360" w:lineRule="auto"/>
        <w:ind w:left="0" w:firstLine="709"/>
        <w:contextualSpacing/>
        <w:rPr>
          <w:rFonts w:ascii="Times New Roman" w:hAnsi="Times New Roman" w:cs="Times New Roman"/>
          <w:color w:val="auto"/>
          <w:sz w:val="22"/>
          <w:szCs w:val="22"/>
        </w:rPr>
      </w:pPr>
      <w:r>
        <w:rPr>
          <w:rFonts w:ascii="Times New Roman" w:hAnsi="Times New Roman" w:cs="Times New Roman"/>
          <w:color w:val="auto"/>
          <w:sz w:val="22"/>
          <w:szCs w:val="22"/>
        </w:rPr>
        <w:t>моделировать комплексы упражнений общей гимнастики по видам разминки (общая, партерная, у опоры);</w:t>
      </w:r>
    </w:p>
    <w:p w14:paraId="0FC3602B">
      <w:pPr>
        <w:pStyle w:val="104"/>
        <w:spacing w:line="360" w:lineRule="auto"/>
        <w:ind w:left="0" w:firstLine="709"/>
        <w:contextualSpacing/>
        <w:rPr>
          <w:rFonts w:ascii="Times New Roman" w:hAnsi="Times New Roman" w:cs="Times New Roman"/>
          <w:color w:val="auto"/>
          <w:sz w:val="22"/>
          <w:szCs w:val="22"/>
        </w:rPr>
      </w:pPr>
      <w:r>
        <w:rPr>
          <w:rFonts w:ascii="Times New Roman" w:hAnsi="Times New Roman" w:cs="Times New Roman"/>
          <w:color w:val="auto"/>
          <w:sz w:val="22"/>
          <w:szCs w:val="22"/>
        </w:rPr>
        <w:t>осваивать универсальные умения в самостоятельной организации и проведении подвижных игр, игровых заданий, спортивных эстафет;</w:t>
      </w:r>
    </w:p>
    <w:p w14:paraId="008472F5">
      <w:pPr>
        <w:pStyle w:val="104"/>
        <w:spacing w:line="360" w:lineRule="auto"/>
        <w:ind w:left="0" w:firstLine="709"/>
        <w:contextualSpacing/>
        <w:rPr>
          <w:rFonts w:ascii="Times New Roman" w:hAnsi="Times New Roman" w:cs="Times New Roman"/>
          <w:color w:val="auto"/>
          <w:sz w:val="22"/>
          <w:szCs w:val="22"/>
        </w:rPr>
      </w:pPr>
      <w:r>
        <w:rPr>
          <w:rFonts w:ascii="Times New Roman" w:hAnsi="Times New Roman" w:cs="Times New Roman"/>
          <w:color w:val="auto"/>
          <w:sz w:val="22"/>
          <w:szCs w:val="22"/>
        </w:rPr>
        <w:t>осваивать универсальные умения управлять эмоциями в процессе учебной и игровой деятельности;</w:t>
      </w:r>
    </w:p>
    <w:p w14:paraId="2221BE75">
      <w:pPr>
        <w:pStyle w:val="104"/>
        <w:spacing w:line="360" w:lineRule="auto"/>
        <w:ind w:left="0" w:firstLine="709"/>
        <w:contextualSpacing/>
        <w:rPr>
          <w:rFonts w:ascii="Times New Roman" w:hAnsi="Times New Roman" w:cs="Times New Roman"/>
          <w:color w:val="auto"/>
          <w:sz w:val="22"/>
          <w:szCs w:val="22"/>
        </w:rPr>
      </w:pPr>
      <w:r>
        <w:rPr>
          <w:rFonts w:ascii="Times New Roman" w:hAnsi="Times New Roman" w:cs="Times New Roman"/>
          <w:color w:val="auto"/>
          <w:sz w:val="22"/>
          <w:szCs w:val="22"/>
        </w:rPr>
        <w:t>осваивать технические действия из спортивных игр.</w:t>
      </w:r>
      <w:bookmarkStart w:id="251" w:name="_Toc101876900"/>
    </w:p>
    <w:bookmarkEnd w:id="251"/>
    <w:p w14:paraId="107E674A">
      <w:pPr>
        <w:pStyle w:val="104"/>
        <w:spacing w:line="360" w:lineRule="auto"/>
        <w:ind w:left="0" w:firstLine="709"/>
        <w:contextualSpacing/>
        <w:rPr>
          <w:rFonts w:ascii="Times New Roman" w:hAnsi="Times New Roman" w:cs="Times New Roman"/>
          <w:color w:val="auto"/>
          <w:sz w:val="22"/>
          <w:szCs w:val="22"/>
        </w:rPr>
      </w:pPr>
      <w:r>
        <w:rPr>
          <w:rStyle w:val="103"/>
          <w:rFonts w:ascii="Times New Roman" w:hAnsi="Times New Roman" w:cs="Times New Roman"/>
          <w:b w:val="0"/>
          <w:bCs w:val="0"/>
          <w:color w:val="auto"/>
          <w:sz w:val="22"/>
          <w:szCs w:val="22"/>
        </w:rPr>
        <w:t>16.2.3. </w:t>
      </w:r>
      <w:r>
        <w:rPr>
          <w:rFonts w:ascii="Times New Roman" w:hAnsi="Times New Roman" w:cs="Times New Roman"/>
          <w:color w:val="auto"/>
          <w:sz w:val="22"/>
          <w:szCs w:val="22"/>
        </w:rPr>
        <w:t>Содержание обучения в 1 классе.</w:t>
      </w:r>
    </w:p>
    <w:p w14:paraId="6635D5EC">
      <w:pPr>
        <w:pStyle w:val="99"/>
        <w:spacing w:line="360" w:lineRule="auto"/>
        <w:ind w:firstLine="709"/>
        <w:contextualSpacing/>
        <w:rPr>
          <w:rFonts w:ascii="Times New Roman" w:hAnsi="Times New Roman" w:cs="Times New Roman"/>
          <w:color w:val="auto"/>
          <w:sz w:val="22"/>
          <w:szCs w:val="22"/>
        </w:rPr>
      </w:pPr>
      <w:r>
        <w:rPr>
          <w:rFonts w:ascii="Times New Roman" w:hAnsi="Times New Roman" w:cs="Times New Roman"/>
          <w:color w:val="auto"/>
          <w:sz w:val="22"/>
          <w:szCs w:val="22"/>
        </w:rPr>
        <w:t>Физическая культура. Культура движения. Гимнастика. Регулярные занятия физической культурой в рамках учебной и внеурочной деятельности. Основные разделы урока.</w:t>
      </w:r>
    </w:p>
    <w:p w14:paraId="730EEDC2">
      <w:pPr>
        <w:pStyle w:val="99"/>
        <w:spacing w:line="360" w:lineRule="auto"/>
        <w:ind w:firstLine="709"/>
        <w:contextualSpacing/>
        <w:rPr>
          <w:rFonts w:ascii="Times New Roman" w:hAnsi="Times New Roman" w:cs="Times New Roman"/>
          <w:color w:val="auto"/>
          <w:sz w:val="22"/>
          <w:szCs w:val="22"/>
        </w:rPr>
      </w:pPr>
      <w:r>
        <w:rPr>
          <w:rFonts w:ascii="Times New Roman" w:hAnsi="Times New Roman" w:cs="Times New Roman"/>
          <w:color w:val="auto"/>
          <w:sz w:val="22"/>
          <w:szCs w:val="22"/>
        </w:rPr>
        <w:t>Исходные положения в физических упражнениях: стойки, упоры, седы, положения лёжа, сидя, у опоры.</w:t>
      </w:r>
    </w:p>
    <w:p w14:paraId="773B42B4">
      <w:pPr>
        <w:pStyle w:val="99"/>
        <w:spacing w:line="360" w:lineRule="auto"/>
        <w:ind w:firstLine="709"/>
        <w:contextualSpacing/>
        <w:rPr>
          <w:rFonts w:ascii="Times New Roman" w:hAnsi="Times New Roman" w:cs="Times New Roman"/>
          <w:color w:val="auto"/>
          <w:sz w:val="22"/>
          <w:szCs w:val="22"/>
        </w:rPr>
      </w:pPr>
      <w:r>
        <w:rPr>
          <w:rFonts w:ascii="Times New Roman" w:hAnsi="Times New Roman" w:cs="Times New Roman"/>
          <w:color w:val="auto"/>
          <w:sz w:val="22"/>
          <w:szCs w:val="22"/>
        </w:rPr>
        <w:t>Правила поведения на уроках физической культуры. Общие принципы выполнения гимнастических упражнений. Гимнастический шаг. Гимнастический (мягкий) бег. Основные хореографические позиции.</w:t>
      </w:r>
    </w:p>
    <w:p w14:paraId="682D52D5">
      <w:pPr>
        <w:pStyle w:val="99"/>
        <w:spacing w:line="360" w:lineRule="auto"/>
        <w:ind w:firstLine="709"/>
        <w:contextualSpacing/>
        <w:rPr>
          <w:rFonts w:ascii="Times New Roman" w:hAnsi="Times New Roman" w:cs="Times New Roman"/>
          <w:color w:val="auto"/>
          <w:spacing w:val="3"/>
          <w:sz w:val="22"/>
          <w:szCs w:val="22"/>
        </w:rPr>
      </w:pPr>
      <w:r>
        <w:rPr>
          <w:rFonts w:ascii="Times New Roman" w:hAnsi="Times New Roman" w:cs="Times New Roman"/>
          <w:color w:val="auto"/>
          <w:spacing w:val="3"/>
          <w:sz w:val="22"/>
          <w:szCs w:val="22"/>
        </w:rPr>
        <w:t>Место для занятий физическими упражнениями. Спортивное оборудование и инвентарь. Одежда для занятий физическими упражнениями. Техника безопасности при выполнении физических упражнений, проведении игр и спортивных эстафет.</w:t>
      </w:r>
    </w:p>
    <w:p w14:paraId="59EC2130">
      <w:pPr>
        <w:pStyle w:val="99"/>
        <w:spacing w:line="360" w:lineRule="auto"/>
        <w:ind w:firstLine="709"/>
        <w:contextualSpacing/>
        <w:rPr>
          <w:rFonts w:ascii="Times New Roman" w:hAnsi="Times New Roman" w:cs="Times New Roman"/>
          <w:color w:val="auto"/>
          <w:sz w:val="22"/>
          <w:szCs w:val="22"/>
        </w:rPr>
      </w:pPr>
      <w:r>
        <w:rPr>
          <w:rFonts w:ascii="Times New Roman" w:hAnsi="Times New Roman" w:cs="Times New Roman"/>
          <w:color w:val="auto"/>
          <w:sz w:val="22"/>
          <w:szCs w:val="22"/>
        </w:rPr>
        <w:t>Распорядок дня. Личная гигиена. Основные правила личной гигиены.</w:t>
      </w:r>
    </w:p>
    <w:p w14:paraId="15221821">
      <w:pPr>
        <w:pStyle w:val="99"/>
        <w:spacing w:line="360" w:lineRule="auto"/>
        <w:ind w:firstLine="709"/>
        <w:contextualSpacing/>
        <w:rPr>
          <w:rFonts w:ascii="Times New Roman" w:hAnsi="Times New Roman" w:cs="Times New Roman"/>
          <w:color w:val="auto"/>
          <w:sz w:val="22"/>
          <w:szCs w:val="22"/>
        </w:rPr>
      </w:pPr>
      <w:r>
        <w:rPr>
          <w:rFonts w:ascii="Times New Roman" w:hAnsi="Times New Roman" w:cs="Times New Roman"/>
          <w:color w:val="auto"/>
          <w:sz w:val="22"/>
          <w:szCs w:val="22"/>
        </w:rPr>
        <w:t>Самоконтроль. Строевые команды, построение, расчёт.</w:t>
      </w:r>
    </w:p>
    <w:p w14:paraId="4F3E7478">
      <w:pPr>
        <w:pStyle w:val="99"/>
        <w:spacing w:line="360" w:lineRule="auto"/>
        <w:ind w:firstLine="709"/>
        <w:contextualSpacing/>
        <w:rPr>
          <w:rStyle w:val="103"/>
          <w:rFonts w:ascii="Times New Roman" w:hAnsi="Times New Roman" w:cs="Times New Roman"/>
          <w:b w:val="0"/>
          <w:bCs w:val="0"/>
          <w:color w:val="auto"/>
          <w:sz w:val="22"/>
          <w:szCs w:val="22"/>
        </w:rPr>
      </w:pPr>
      <w:r>
        <w:rPr>
          <w:rStyle w:val="103"/>
          <w:rFonts w:ascii="Times New Roman" w:hAnsi="Times New Roman" w:cs="Times New Roman"/>
          <w:b w:val="0"/>
          <w:bCs w:val="0"/>
          <w:color w:val="auto"/>
          <w:sz w:val="22"/>
          <w:szCs w:val="22"/>
        </w:rPr>
        <w:t>Физические упражнения.</w:t>
      </w:r>
    </w:p>
    <w:p w14:paraId="30879324">
      <w:pPr>
        <w:pStyle w:val="99"/>
        <w:spacing w:line="360" w:lineRule="auto"/>
        <w:ind w:firstLine="709"/>
        <w:contextualSpacing/>
        <w:rPr>
          <w:rStyle w:val="101"/>
          <w:rFonts w:ascii="Times New Roman" w:hAnsi="Times New Roman" w:eastAsia="Calibri" w:cs="Times New Roman"/>
          <w:b w:val="0"/>
          <w:bCs w:val="0"/>
          <w:i w:val="0"/>
          <w:iCs w:val="0"/>
          <w:color w:val="auto"/>
          <w:sz w:val="22"/>
          <w:szCs w:val="22"/>
        </w:rPr>
      </w:pPr>
      <w:r>
        <w:rPr>
          <w:rStyle w:val="101"/>
          <w:rFonts w:ascii="Times New Roman" w:hAnsi="Times New Roman" w:eastAsia="Calibri" w:cs="Times New Roman"/>
          <w:b w:val="0"/>
          <w:bCs w:val="0"/>
          <w:i w:val="0"/>
          <w:iCs w:val="0"/>
          <w:color w:val="auto"/>
          <w:sz w:val="22"/>
          <w:szCs w:val="22"/>
        </w:rPr>
        <w:t>Упражнения по видам разминки.</w:t>
      </w:r>
    </w:p>
    <w:p w14:paraId="6473E447">
      <w:pPr>
        <w:pStyle w:val="99"/>
        <w:spacing w:line="360" w:lineRule="auto"/>
        <w:ind w:firstLine="709"/>
        <w:contextualSpacing/>
        <w:rPr>
          <w:rFonts w:ascii="Times New Roman" w:hAnsi="Times New Roman" w:cs="Times New Roman"/>
          <w:color w:val="auto"/>
          <w:sz w:val="22"/>
          <w:szCs w:val="22"/>
        </w:rPr>
      </w:pPr>
      <w:r>
        <w:rPr>
          <w:rStyle w:val="103"/>
          <w:rFonts w:ascii="Times New Roman" w:hAnsi="Times New Roman" w:cs="Times New Roman"/>
          <w:b w:val="0"/>
          <w:bCs w:val="0"/>
          <w:color w:val="auto"/>
          <w:sz w:val="22"/>
          <w:szCs w:val="22"/>
        </w:rPr>
        <w:t>Общая разминка.</w:t>
      </w:r>
      <w:r>
        <w:rPr>
          <w:rFonts w:ascii="Times New Roman" w:hAnsi="Times New Roman" w:cs="Times New Roman"/>
          <w:color w:val="auto"/>
          <w:sz w:val="22"/>
          <w:szCs w:val="22"/>
        </w:rPr>
        <w:t xml:space="preserve"> Упражнения общей разминки. Влияние выполнения упражнений общей разминки на подготовку мышц тела к выполнению физических упражнений. Освоение техники выполнения упражнений общей разминки с контролем дыхания: приставные шаги вперёд на полной стопе (гимнастический шаг), шаги с продвижением вперёд на полупальцах и пятках («казачок»), шаги с продвижением вперёд на полупальцах с выпрямленными коленями и в полуприседе («жираф»), шаги с продвижением вперёд, сочетаемые с отведением рук назад на горизонтальном уровне («конькобежец»). Освоение танцевальных позиций у опоры.</w:t>
      </w:r>
    </w:p>
    <w:p w14:paraId="5969C8B2">
      <w:pPr>
        <w:pStyle w:val="99"/>
        <w:spacing w:line="360" w:lineRule="auto"/>
        <w:ind w:firstLine="709"/>
        <w:contextualSpacing/>
        <w:rPr>
          <w:rFonts w:ascii="Times New Roman" w:hAnsi="Times New Roman" w:cs="Times New Roman"/>
          <w:color w:val="auto"/>
          <w:sz w:val="22"/>
          <w:szCs w:val="22"/>
        </w:rPr>
      </w:pPr>
      <w:r>
        <w:rPr>
          <w:rStyle w:val="103"/>
          <w:rFonts w:ascii="Times New Roman" w:hAnsi="Times New Roman" w:cs="Times New Roman"/>
          <w:b w:val="0"/>
          <w:bCs w:val="0"/>
          <w:color w:val="auto"/>
          <w:sz w:val="22"/>
          <w:szCs w:val="22"/>
        </w:rPr>
        <w:t>Партерная разминка.</w:t>
      </w:r>
      <w:r>
        <w:rPr>
          <w:rFonts w:ascii="Times New Roman" w:hAnsi="Times New Roman" w:cs="Times New Roman"/>
          <w:color w:val="auto"/>
          <w:sz w:val="22"/>
          <w:szCs w:val="22"/>
        </w:rPr>
        <w:t xml:space="preserve"> Освоение техники выполнения упражнений для формирования и развития опорно-двигательного аппарата: упражнения для формирования стопы, укрепления мышц стопы, развития гибкости и подвижности суставов («лягушонок»), упражнения для растяжки задней поверхности мышц бедра и формирования выворотности стоп («крестик»), упражнения для укрепления мышц ног, увеличения подвижности тазобедренных, коленных и голеностопных суставов («велосипед»).</w:t>
      </w:r>
    </w:p>
    <w:p w14:paraId="1814269D">
      <w:pPr>
        <w:pStyle w:val="99"/>
        <w:spacing w:line="360" w:lineRule="auto"/>
        <w:ind w:firstLine="709"/>
        <w:contextualSpacing/>
        <w:rPr>
          <w:rFonts w:ascii="Times New Roman" w:hAnsi="Times New Roman" w:cs="Times New Roman"/>
          <w:color w:val="auto"/>
          <w:sz w:val="22"/>
          <w:szCs w:val="22"/>
        </w:rPr>
      </w:pPr>
      <w:r>
        <w:rPr>
          <w:rFonts w:ascii="Times New Roman" w:hAnsi="Times New Roman" w:cs="Times New Roman"/>
          <w:color w:val="auto"/>
          <w:sz w:val="22"/>
          <w:szCs w:val="22"/>
        </w:rPr>
        <w:t>Упражнения для укрепления мышц тела и развития гибкости позвоночника, упражнения для разогревания методом скручивания мышц спины («верёвочка»), упражнения для укрепления мышц спины и увеличения их эластичности («рыбка»), упражнения для развития гибкости позвоночника и плечевого пояса («мост») из положения лёжа.</w:t>
      </w:r>
    </w:p>
    <w:p w14:paraId="2E00E4B5">
      <w:pPr>
        <w:pStyle w:val="99"/>
        <w:spacing w:line="360" w:lineRule="auto"/>
        <w:ind w:firstLine="709"/>
        <w:contextualSpacing/>
        <w:rPr>
          <w:rStyle w:val="101"/>
          <w:rFonts w:ascii="Times New Roman" w:hAnsi="Times New Roman" w:eastAsia="Calibri" w:cs="Times New Roman"/>
          <w:b w:val="0"/>
          <w:bCs w:val="0"/>
          <w:i w:val="0"/>
          <w:iCs w:val="0"/>
          <w:color w:val="auto"/>
          <w:sz w:val="22"/>
          <w:szCs w:val="22"/>
        </w:rPr>
      </w:pPr>
      <w:r>
        <w:rPr>
          <w:rStyle w:val="101"/>
          <w:rFonts w:ascii="Times New Roman" w:hAnsi="Times New Roman" w:eastAsia="Calibri" w:cs="Times New Roman"/>
          <w:b w:val="0"/>
          <w:bCs w:val="0"/>
          <w:i w:val="0"/>
          <w:iCs w:val="0"/>
          <w:color w:val="auto"/>
          <w:sz w:val="22"/>
          <w:szCs w:val="22"/>
        </w:rPr>
        <w:t>Подводящие упражнения</w:t>
      </w:r>
    </w:p>
    <w:p w14:paraId="6E53A881">
      <w:pPr>
        <w:pStyle w:val="99"/>
        <w:spacing w:line="360" w:lineRule="auto"/>
        <w:ind w:firstLine="709"/>
        <w:contextualSpacing/>
        <w:rPr>
          <w:rFonts w:ascii="Times New Roman" w:hAnsi="Times New Roman" w:cs="Times New Roman"/>
          <w:color w:val="auto"/>
          <w:sz w:val="22"/>
          <w:szCs w:val="22"/>
        </w:rPr>
      </w:pPr>
      <w:r>
        <w:rPr>
          <w:rFonts w:ascii="Times New Roman" w:hAnsi="Times New Roman" w:cs="Times New Roman"/>
          <w:color w:val="auto"/>
          <w:sz w:val="22"/>
          <w:szCs w:val="22"/>
        </w:rPr>
        <w:t>Группировка, кувырок в сторону, освоение подводящих упражнений к выполнению продольных и поперечных шпагатов («ящерка»).</w:t>
      </w:r>
    </w:p>
    <w:p w14:paraId="4B423C71">
      <w:pPr>
        <w:pStyle w:val="99"/>
        <w:spacing w:line="360" w:lineRule="auto"/>
        <w:ind w:firstLine="709"/>
        <w:contextualSpacing/>
        <w:rPr>
          <w:rStyle w:val="101"/>
          <w:rFonts w:ascii="Times New Roman" w:hAnsi="Times New Roman" w:eastAsia="Calibri" w:cs="Times New Roman"/>
          <w:b w:val="0"/>
          <w:bCs w:val="0"/>
          <w:i w:val="0"/>
          <w:iCs w:val="0"/>
          <w:color w:val="auto"/>
          <w:sz w:val="22"/>
          <w:szCs w:val="22"/>
        </w:rPr>
      </w:pPr>
      <w:r>
        <w:rPr>
          <w:rStyle w:val="101"/>
          <w:rFonts w:ascii="Times New Roman" w:hAnsi="Times New Roman" w:eastAsia="Calibri" w:cs="Times New Roman"/>
          <w:b w:val="0"/>
          <w:bCs w:val="0"/>
          <w:i w:val="0"/>
          <w:iCs w:val="0"/>
          <w:color w:val="auto"/>
          <w:sz w:val="22"/>
          <w:szCs w:val="22"/>
        </w:rPr>
        <w:t>Упражнения для развития моторики и координации с гимнастическим предметом.</w:t>
      </w:r>
    </w:p>
    <w:p w14:paraId="613CC08A">
      <w:pPr>
        <w:pStyle w:val="99"/>
        <w:spacing w:line="360" w:lineRule="auto"/>
        <w:ind w:firstLine="709"/>
        <w:contextualSpacing/>
        <w:rPr>
          <w:rFonts w:ascii="Times New Roman" w:hAnsi="Times New Roman" w:cs="Times New Roman"/>
          <w:color w:val="auto"/>
          <w:sz w:val="22"/>
          <w:szCs w:val="22"/>
        </w:rPr>
      </w:pPr>
      <w:r>
        <w:rPr>
          <w:rFonts w:ascii="Times New Roman" w:hAnsi="Times New Roman" w:cs="Times New Roman"/>
          <w:color w:val="auto"/>
          <w:sz w:val="22"/>
          <w:szCs w:val="22"/>
        </w:rPr>
        <w:t>Удержание скакалки. Вращение кистью руки скакалки, сложенной вчетверо, – перед собой, сложенной вдвое – поочерёдно в лицевой, боковой плоскостях. Подскоки через скакалку вперёд, назад. Прыжки через скакалку вперёд, назад. Игровые задания со скакалкой.</w:t>
      </w:r>
    </w:p>
    <w:p w14:paraId="52D2EDA2">
      <w:pPr>
        <w:pStyle w:val="99"/>
        <w:spacing w:line="360" w:lineRule="auto"/>
        <w:ind w:firstLine="709"/>
        <w:contextualSpacing/>
        <w:rPr>
          <w:rFonts w:ascii="Times New Roman" w:hAnsi="Times New Roman" w:cs="Times New Roman"/>
          <w:color w:val="auto"/>
          <w:sz w:val="22"/>
          <w:szCs w:val="22"/>
        </w:rPr>
      </w:pPr>
      <w:r>
        <w:rPr>
          <w:rFonts w:ascii="Times New Roman" w:hAnsi="Times New Roman" w:cs="Times New Roman"/>
          <w:color w:val="auto"/>
          <w:sz w:val="22"/>
          <w:szCs w:val="22"/>
        </w:rPr>
        <w:t>Удержание гимнастического мяча. Баланс мяча на ладони, передача мяча из руки в руку. Одиночный отбив мяча от пола. Переброска мяча с ладони на тыльную сторону руки и обратно. Перекат мяча по полу, по рукам. Бросок и ловля мяча. Игровые задания с мячом.</w:t>
      </w:r>
    </w:p>
    <w:p w14:paraId="2B1C76A2">
      <w:pPr>
        <w:pStyle w:val="99"/>
        <w:spacing w:line="360" w:lineRule="auto"/>
        <w:ind w:firstLine="709"/>
        <w:contextualSpacing/>
        <w:rPr>
          <w:rStyle w:val="101"/>
          <w:rFonts w:ascii="Times New Roman" w:hAnsi="Times New Roman" w:eastAsia="Calibri" w:cs="Times New Roman"/>
          <w:b w:val="0"/>
          <w:bCs w:val="0"/>
          <w:i w:val="0"/>
          <w:iCs w:val="0"/>
          <w:color w:val="auto"/>
          <w:sz w:val="22"/>
          <w:szCs w:val="22"/>
        </w:rPr>
      </w:pPr>
      <w:r>
        <w:rPr>
          <w:rStyle w:val="101"/>
          <w:rFonts w:ascii="Times New Roman" w:hAnsi="Times New Roman" w:eastAsia="Calibri" w:cs="Times New Roman"/>
          <w:b w:val="0"/>
          <w:bCs w:val="0"/>
          <w:i w:val="0"/>
          <w:iCs w:val="0"/>
          <w:color w:val="auto"/>
          <w:sz w:val="22"/>
          <w:szCs w:val="22"/>
        </w:rPr>
        <w:t>Упражнения для развития координации и развития жизненно важных навыков и умений.</w:t>
      </w:r>
    </w:p>
    <w:p w14:paraId="51A4EF6E">
      <w:pPr>
        <w:pStyle w:val="99"/>
        <w:spacing w:line="360" w:lineRule="auto"/>
        <w:ind w:firstLine="709"/>
        <w:contextualSpacing/>
        <w:rPr>
          <w:rFonts w:ascii="Times New Roman" w:hAnsi="Times New Roman" w:cs="Times New Roman"/>
          <w:color w:val="auto"/>
          <w:sz w:val="22"/>
          <w:szCs w:val="22"/>
        </w:rPr>
      </w:pPr>
      <w:r>
        <w:rPr>
          <w:rFonts w:ascii="Times New Roman" w:hAnsi="Times New Roman" w:cs="Times New Roman"/>
          <w:color w:val="auto"/>
          <w:sz w:val="22"/>
          <w:szCs w:val="22"/>
        </w:rPr>
        <w:t>Равновесие – колено вперёд попеременно каждой ногой. Равновесие («арабеск») попеременно каждой ногой. Повороты в обе стороны на сорок пять и девяносто градусов. Прыжки толчком с двух ног вперёд, назад, с поворотом на сорок пять и девяносто градусов в обе стороны.</w:t>
      </w:r>
    </w:p>
    <w:p w14:paraId="12630029">
      <w:pPr>
        <w:pStyle w:val="99"/>
        <w:spacing w:line="360" w:lineRule="auto"/>
        <w:ind w:firstLine="709"/>
        <w:contextualSpacing/>
        <w:rPr>
          <w:rFonts w:ascii="Times New Roman" w:hAnsi="Times New Roman" w:cs="Times New Roman"/>
          <w:color w:val="auto"/>
          <w:sz w:val="22"/>
          <w:szCs w:val="22"/>
        </w:rPr>
      </w:pPr>
      <w:r>
        <w:rPr>
          <w:rFonts w:ascii="Times New Roman" w:hAnsi="Times New Roman" w:cs="Times New Roman"/>
          <w:color w:val="auto"/>
          <w:sz w:val="22"/>
          <w:szCs w:val="22"/>
        </w:rPr>
        <w:t>Освоение танцевальных шагов: «буратино», «ковырялочка», «верёвочка».</w:t>
      </w:r>
    </w:p>
    <w:p w14:paraId="0D83CD4B">
      <w:pPr>
        <w:pStyle w:val="99"/>
        <w:spacing w:line="360" w:lineRule="auto"/>
        <w:ind w:firstLine="709"/>
        <w:contextualSpacing/>
        <w:rPr>
          <w:rFonts w:ascii="Times New Roman" w:hAnsi="Times New Roman" w:cs="Times New Roman"/>
          <w:color w:val="auto"/>
          <w:sz w:val="22"/>
          <w:szCs w:val="22"/>
        </w:rPr>
      </w:pPr>
      <w:r>
        <w:rPr>
          <w:rFonts w:ascii="Times New Roman" w:hAnsi="Times New Roman" w:cs="Times New Roman"/>
          <w:color w:val="auto"/>
          <w:sz w:val="22"/>
          <w:szCs w:val="22"/>
        </w:rPr>
        <w:t>Бег, сочетаемый с круговыми движениями руками.</w:t>
      </w:r>
    </w:p>
    <w:p w14:paraId="3244B6CE">
      <w:pPr>
        <w:pStyle w:val="99"/>
        <w:spacing w:line="360" w:lineRule="auto"/>
        <w:ind w:firstLine="709"/>
        <w:contextualSpacing/>
        <w:rPr>
          <w:rStyle w:val="101"/>
          <w:rFonts w:ascii="Times New Roman" w:hAnsi="Times New Roman" w:eastAsia="Calibri" w:cs="Times New Roman"/>
          <w:b w:val="0"/>
          <w:bCs w:val="0"/>
          <w:i w:val="0"/>
          <w:iCs w:val="0"/>
          <w:color w:val="auto"/>
          <w:sz w:val="22"/>
          <w:szCs w:val="22"/>
        </w:rPr>
      </w:pPr>
      <w:r>
        <w:rPr>
          <w:rStyle w:val="101"/>
          <w:rFonts w:ascii="Times New Roman" w:hAnsi="Times New Roman" w:eastAsia="Calibri" w:cs="Times New Roman"/>
          <w:b w:val="0"/>
          <w:bCs w:val="0"/>
          <w:i w:val="0"/>
          <w:iCs w:val="0"/>
          <w:color w:val="auto"/>
          <w:sz w:val="22"/>
          <w:szCs w:val="22"/>
        </w:rPr>
        <w:t>Игры и игровые задания, спортивные эстафеты.</w:t>
      </w:r>
    </w:p>
    <w:p w14:paraId="58D00759">
      <w:pPr>
        <w:pStyle w:val="99"/>
        <w:spacing w:line="360" w:lineRule="auto"/>
        <w:ind w:firstLine="709"/>
        <w:contextualSpacing/>
        <w:rPr>
          <w:rFonts w:ascii="Times New Roman" w:hAnsi="Times New Roman" w:cs="Times New Roman"/>
          <w:color w:val="auto"/>
          <w:sz w:val="22"/>
          <w:szCs w:val="22"/>
        </w:rPr>
      </w:pPr>
      <w:r>
        <w:rPr>
          <w:rFonts w:ascii="Times New Roman" w:hAnsi="Times New Roman" w:cs="Times New Roman"/>
          <w:color w:val="auto"/>
          <w:sz w:val="22"/>
          <w:szCs w:val="22"/>
        </w:rPr>
        <w:t xml:space="preserve">Музыкально-сценические игры. Игровые задания. Спортивные эстафеты с мячом, со скакалкой. Спортивные игры с элементами единоборства. </w:t>
      </w:r>
    </w:p>
    <w:p w14:paraId="132649CE">
      <w:pPr>
        <w:pStyle w:val="99"/>
        <w:spacing w:line="360" w:lineRule="auto"/>
        <w:ind w:firstLine="709"/>
        <w:contextualSpacing/>
        <w:rPr>
          <w:rStyle w:val="101"/>
          <w:rFonts w:ascii="Times New Roman" w:hAnsi="Times New Roman" w:eastAsia="Calibri" w:cs="Times New Roman"/>
          <w:b w:val="0"/>
          <w:bCs w:val="0"/>
          <w:i w:val="0"/>
          <w:iCs w:val="0"/>
          <w:color w:val="auto"/>
          <w:sz w:val="22"/>
          <w:szCs w:val="22"/>
        </w:rPr>
      </w:pPr>
      <w:r>
        <w:rPr>
          <w:rStyle w:val="101"/>
          <w:rFonts w:ascii="Times New Roman" w:hAnsi="Times New Roman" w:eastAsia="Calibri" w:cs="Times New Roman"/>
          <w:b w:val="0"/>
          <w:bCs w:val="0"/>
          <w:i w:val="0"/>
          <w:iCs w:val="0"/>
          <w:color w:val="auto"/>
          <w:sz w:val="22"/>
          <w:szCs w:val="22"/>
        </w:rPr>
        <w:t>Организующие команды и приёмы.</w:t>
      </w:r>
    </w:p>
    <w:p w14:paraId="37A9BF6C">
      <w:pPr>
        <w:pStyle w:val="99"/>
        <w:spacing w:line="360" w:lineRule="auto"/>
        <w:ind w:firstLine="709"/>
        <w:contextualSpacing/>
        <w:rPr>
          <w:rFonts w:ascii="Times New Roman" w:hAnsi="Times New Roman" w:cs="Times New Roman"/>
          <w:color w:val="auto"/>
          <w:sz w:val="22"/>
          <w:szCs w:val="22"/>
        </w:rPr>
      </w:pPr>
      <w:r>
        <w:rPr>
          <w:rFonts w:ascii="Times New Roman" w:hAnsi="Times New Roman" w:cs="Times New Roman"/>
          <w:color w:val="auto"/>
          <w:sz w:val="22"/>
          <w:szCs w:val="22"/>
        </w:rPr>
        <w:t>Освоение универсальных умений при выполнении организующих команд.</w:t>
      </w:r>
      <w:bookmarkStart w:id="252" w:name="_Toc101876902"/>
    </w:p>
    <w:bookmarkEnd w:id="252"/>
    <w:p w14:paraId="7EC0DEAA">
      <w:pPr>
        <w:pStyle w:val="104"/>
        <w:spacing w:line="360" w:lineRule="auto"/>
        <w:ind w:left="0" w:firstLine="709"/>
        <w:contextualSpacing/>
        <w:rPr>
          <w:rFonts w:ascii="Times New Roman" w:hAnsi="Times New Roman" w:cs="Times New Roman"/>
          <w:color w:val="auto"/>
          <w:sz w:val="22"/>
          <w:szCs w:val="22"/>
        </w:rPr>
      </w:pPr>
      <w:r>
        <w:rPr>
          <w:rStyle w:val="103"/>
          <w:rFonts w:ascii="Times New Roman" w:hAnsi="Times New Roman" w:cs="Times New Roman"/>
          <w:b w:val="0"/>
          <w:bCs w:val="0"/>
          <w:color w:val="auto"/>
          <w:sz w:val="22"/>
          <w:szCs w:val="22"/>
        </w:rPr>
        <w:t>16.2.4. </w:t>
      </w:r>
      <w:r>
        <w:rPr>
          <w:rFonts w:ascii="Times New Roman" w:hAnsi="Times New Roman" w:cs="Times New Roman"/>
          <w:color w:val="auto"/>
          <w:sz w:val="22"/>
          <w:szCs w:val="22"/>
        </w:rPr>
        <w:t>Содержание обучения во 2 классе.</w:t>
      </w:r>
    </w:p>
    <w:p w14:paraId="0416631D">
      <w:pPr>
        <w:pStyle w:val="99"/>
        <w:spacing w:line="360" w:lineRule="auto"/>
        <w:ind w:firstLine="709"/>
        <w:contextualSpacing/>
        <w:rPr>
          <w:rFonts w:ascii="Times New Roman" w:hAnsi="Times New Roman" w:cs="Times New Roman"/>
          <w:color w:val="auto"/>
          <w:sz w:val="22"/>
          <w:szCs w:val="22"/>
        </w:rPr>
      </w:pPr>
      <w:r>
        <w:rPr>
          <w:rFonts w:ascii="Times New Roman" w:hAnsi="Times New Roman" w:cs="Times New Roman"/>
          <w:color w:val="auto"/>
          <w:sz w:val="22"/>
          <w:szCs w:val="22"/>
        </w:rPr>
        <w:t>Гармоничное физическое развитие. Контрольные измерения массы и длины своего тела. Осанка. Занятия гимнастикой в Древней Греции. Древние Олимпийские игры. Символ победы на Олимпийских играх. Возрождение Олимпийских игр. Современная история Олимпийских игр. Виды гимнастики в спорте и олимпийские гимнастические виды спорта. Всероссийские и международные соревнования. Календарные соревнования.</w:t>
      </w:r>
    </w:p>
    <w:p w14:paraId="0D5225FF">
      <w:pPr>
        <w:pStyle w:val="99"/>
        <w:spacing w:line="360" w:lineRule="auto"/>
        <w:ind w:firstLine="709"/>
        <w:contextualSpacing/>
        <w:rPr>
          <w:rStyle w:val="101"/>
          <w:rFonts w:ascii="Times New Roman" w:hAnsi="Times New Roman" w:eastAsia="Calibri" w:cs="Times New Roman"/>
          <w:b w:val="0"/>
          <w:bCs w:val="0"/>
          <w:i w:val="0"/>
          <w:iCs w:val="0"/>
          <w:color w:val="auto"/>
          <w:sz w:val="22"/>
          <w:szCs w:val="22"/>
        </w:rPr>
      </w:pPr>
      <w:r>
        <w:rPr>
          <w:rStyle w:val="101"/>
          <w:rFonts w:ascii="Times New Roman" w:hAnsi="Times New Roman" w:eastAsia="Calibri" w:cs="Times New Roman"/>
          <w:b w:val="0"/>
          <w:bCs w:val="0"/>
          <w:i w:val="0"/>
          <w:iCs w:val="0"/>
          <w:color w:val="auto"/>
          <w:sz w:val="22"/>
          <w:szCs w:val="22"/>
        </w:rPr>
        <w:t>Упражнения по видам разминки.</w:t>
      </w:r>
    </w:p>
    <w:p w14:paraId="3D8A8A2E">
      <w:pPr>
        <w:pStyle w:val="99"/>
        <w:spacing w:line="360" w:lineRule="auto"/>
        <w:ind w:firstLine="709"/>
        <w:contextualSpacing/>
        <w:rPr>
          <w:rFonts w:ascii="Times New Roman" w:hAnsi="Times New Roman" w:cs="Times New Roman"/>
          <w:color w:val="auto"/>
          <w:sz w:val="22"/>
          <w:szCs w:val="22"/>
        </w:rPr>
      </w:pPr>
      <w:r>
        <w:rPr>
          <w:rStyle w:val="103"/>
          <w:rFonts w:ascii="Times New Roman" w:hAnsi="Times New Roman" w:cs="Times New Roman"/>
          <w:b w:val="0"/>
          <w:bCs w:val="0"/>
          <w:color w:val="auto"/>
          <w:sz w:val="22"/>
          <w:szCs w:val="22"/>
        </w:rPr>
        <w:t>Общая разминка.</w:t>
      </w:r>
      <w:r>
        <w:rPr>
          <w:rFonts w:ascii="Times New Roman" w:hAnsi="Times New Roman" w:cs="Times New Roman"/>
          <w:color w:val="auto"/>
          <w:sz w:val="22"/>
          <w:szCs w:val="22"/>
        </w:rPr>
        <w:t xml:space="preserve"> Упражнения общей разминки. Повторение разученных упражнений. Освоение техники выполнения упражнений общей разминки с контролем дыхания: гимнастический бег вперёд, назад, приставные шаги на полной стопе вперёд с движениями головой в стороны («индюшонок»), шаги в полном приседе («гусиный шаг»), небольшие прыжки в полном приседе («мячик»), шаги с наклоном туловища вперёд до касания грудью бедра («цапля»), приставные шаги в сторону с наклонами («качалка»), наклоны туловища вперёд, попеременно касаясь прямых ног животом, грудью («складочка»).</w:t>
      </w:r>
    </w:p>
    <w:p w14:paraId="1A1A5EB1">
      <w:pPr>
        <w:pStyle w:val="99"/>
        <w:spacing w:line="360" w:lineRule="auto"/>
        <w:ind w:firstLine="709"/>
        <w:contextualSpacing/>
        <w:rPr>
          <w:rFonts w:ascii="Times New Roman" w:hAnsi="Times New Roman" w:cs="Times New Roman"/>
          <w:color w:val="auto"/>
          <w:sz w:val="22"/>
          <w:szCs w:val="22"/>
        </w:rPr>
      </w:pPr>
      <w:r>
        <w:rPr>
          <w:rStyle w:val="103"/>
          <w:rFonts w:ascii="Times New Roman" w:hAnsi="Times New Roman" w:cs="Times New Roman"/>
          <w:b w:val="0"/>
          <w:bCs w:val="0"/>
          <w:color w:val="auto"/>
          <w:sz w:val="22"/>
          <w:szCs w:val="22"/>
        </w:rPr>
        <w:t>Партерная разминка.</w:t>
      </w:r>
      <w:r>
        <w:rPr>
          <w:rFonts w:ascii="Times New Roman" w:hAnsi="Times New Roman" w:cs="Times New Roman"/>
          <w:color w:val="auto"/>
          <w:sz w:val="22"/>
          <w:szCs w:val="22"/>
        </w:rPr>
        <w:t xml:space="preserve"> Повторение и освоение новых упражнений основной гимнастики для формирования и развития опорно-двигательного аппарата, включая: упражнения для формирования стопы, укрепления мышц стопы, развития гибкости и подвижности суставов, упражнения для развития эластичности мышц ног и формирования выворотности стоп, упражнения для укрепления мышц ног, рук, упражнения для увеличения подвижности тазобедренных, коленных и голеностопных суставов.</w:t>
      </w:r>
    </w:p>
    <w:p w14:paraId="2942462A">
      <w:pPr>
        <w:pStyle w:val="99"/>
        <w:spacing w:line="360" w:lineRule="auto"/>
        <w:ind w:firstLine="709"/>
        <w:contextualSpacing/>
        <w:rPr>
          <w:rFonts w:ascii="Times New Roman" w:hAnsi="Times New Roman" w:cs="Times New Roman"/>
          <w:color w:val="auto"/>
          <w:sz w:val="22"/>
          <w:szCs w:val="22"/>
        </w:rPr>
      </w:pPr>
      <w:r>
        <w:rPr>
          <w:rFonts w:ascii="Times New Roman" w:hAnsi="Times New Roman" w:cs="Times New Roman"/>
          <w:color w:val="auto"/>
          <w:sz w:val="22"/>
          <w:szCs w:val="22"/>
        </w:rPr>
        <w:t>Освоение упражнений для укрепления мышц спины и брюшного пресса («берёзка»), упражнения для укрепления мышц спины («рыбка», «коробочка»), упражнения для укрепления брюшного пресса («уголок»), упражнения для укрепления мышц спины и увеличения их эластичности («киска»), упражнения для развития гибкости: отведение ноги назад стоя на колене (махи назад) поочерёдно правой и левой ногой, прямые ноги разведены в стороны, наклоны туловища попеременно к каждой ноге, руки вверх, прижаты к ушам («коромысло»), упражнение для укрепления мышц живота, развития координации, укрепления мышц бедер («неваляшка»).</w:t>
      </w:r>
    </w:p>
    <w:p w14:paraId="7B98FDD5">
      <w:pPr>
        <w:pStyle w:val="99"/>
        <w:spacing w:line="360" w:lineRule="auto"/>
        <w:ind w:firstLine="709"/>
        <w:contextualSpacing/>
        <w:rPr>
          <w:rFonts w:ascii="Times New Roman" w:hAnsi="Times New Roman" w:cs="Times New Roman"/>
          <w:color w:val="auto"/>
          <w:spacing w:val="-1"/>
          <w:sz w:val="22"/>
          <w:szCs w:val="22"/>
        </w:rPr>
      </w:pPr>
      <w:r>
        <w:rPr>
          <w:rStyle w:val="103"/>
          <w:rFonts w:ascii="Times New Roman" w:hAnsi="Times New Roman" w:cs="Times New Roman"/>
          <w:b w:val="0"/>
          <w:bCs w:val="0"/>
          <w:color w:val="auto"/>
          <w:spacing w:val="-1"/>
          <w:sz w:val="22"/>
          <w:szCs w:val="22"/>
        </w:rPr>
        <w:t>Разминка у опоры.</w:t>
      </w:r>
      <w:r>
        <w:rPr>
          <w:rFonts w:ascii="Times New Roman" w:hAnsi="Times New Roman" w:cs="Times New Roman"/>
          <w:color w:val="auto"/>
          <w:spacing w:val="-1"/>
          <w:sz w:val="22"/>
          <w:szCs w:val="22"/>
        </w:rPr>
        <w:t xml:space="preserve"> Освоение упражнений для укрепления голеностопных суставов, развития координации и увеличения эластичности мышц: стоя лицом к гимнастической стенке (колени прямые, туловище и голова прямо, плечи опущены, живот и таз подтянуты, руки в опоре на гимнастической стенке на высоте талии, локти вниз), полуприсед (колени вперёд, вместе) – вытянуть колени – подняться на полупальцы – опустить пятки на пол в исходное положение. Наклоны туловища вперёд, назад и в сторону в опоре на полной стопе и на носках. Равновесие «пассе» (в сторону, затем вперёд) в опоре на стопе и на носках. Равновесие с ногой вперёд (горизонтально) и мах вперёд горизонтально. Приставные шаги в сторону и повороты. Прыжки: ноги вместе (с прямыми и с согнутыми коленями), разножка на сорок пять и девяносто градусов (вперёд и в сторону).</w:t>
      </w:r>
    </w:p>
    <w:p w14:paraId="7C380DBB">
      <w:pPr>
        <w:pStyle w:val="99"/>
        <w:spacing w:line="360" w:lineRule="auto"/>
        <w:ind w:firstLine="709"/>
        <w:contextualSpacing/>
        <w:rPr>
          <w:rStyle w:val="101"/>
          <w:rFonts w:ascii="Times New Roman" w:hAnsi="Times New Roman" w:eastAsia="Calibri" w:cs="Times New Roman"/>
          <w:b w:val="0"/>
          <w:bCs w:val="0"/>
          <w:i w:val="0"/>
          <w:iCs w:val="0"/>
          <w:color w:val="auto"/>
          <w:spacing w:val="-4"/>
          <w:sz w:val="22"/>
          <w:szCs w:val="22"/>
        </w:rPr>
      </w:pPr>
      <w:r>
        <w:rPr>
          <w:rStyle w:val="101"/>
          <w:rFonts w:ascii="Times New Roman" w:hAnsi="Times New Roman" w:eastAsia="Calibri" w:cs="Times New Roman"/>
          <w:b w:val="0"/>
          <w:bCs w:val="0"/>
          <w:i w:val="0"/>
          <w:iCs w:val="0"/>
          <w:color w:val="auto"/>
          <w:spacing w:val="-4"/>
          <w:sz w:val="22"/>
          <w:szCs w:val="22"/>
        </w:rPr>
        <w:t>Подводящие упражнения, акробатические упражнения.</w:t>
      </w:r>
    </w:p>
    <w:p w14:paraId="48A9ED63">
      <w:pPr>
        <w:pStyle w:val="99"/>
        <w:spacing w:line="360" w:lineRule="auto"/>
        <w:ind w:firstLine="709"/>
        <w:contextualSpacing/>
        <w:rPr>
          <w:rFonts w:ascii="Times New Roman" w:hAnsi="Times New Roman" w:cs="Times New Roman"/>
          <w:color w:val="auto"/>
          <w:sz w:val="22"/>
          <w:szCs w:val="22"/>
        </w:rPr>
      </w:pPr>
      <w:r>
        <w:rPr>
          <w:rFonts w:ascii="Times New Roman" w:hAnsi="Times New Roman" w:cs="Times New Roman"/>
          <w:color w:val="auto"/>
          <w:sz w:val="22"/>
          <w:szCs w:val="22"/>
        </w:rPr>
        <w:t>Освоение упражнений: кувырок вперёд, назад, шпагат, колесо, мост из положения сидя, стоя и вставание из положения мост.</w:t>
      </w:r>
    </w:p>
    <w:p w14:paraId="138A8662">
      <w:pPr>
        <w:pStyle w:val="99"/>
        <w:spacing w:line="360" w:lineRule="auto"/>
        <w:ind w:firstLine="709"/>
        <w:contextualSpacing/>
        <w:rPr>
          <w:rStyle w:val="101"/>
          <w:rFonts w:ascii="Times New Roman" w:hAnsi="Times New Roman" w:eastAsia="Calibri" w:cs="Times New Roman"/>
          <w:b w:val="0"/>
          <w:bCs w:val="0"/>
          <w:i w:val="0"/>
          <w:iCs w:val="0"/>
          <w:color w:val="auto"/>
          <w:sz w:val="22"/>
          <w:szCs w:val="22"/>
        </w:rPr>
      </w:pPr>
      <w:r>
        <w:rPr>
          <w:rStyle w:val="101"/>
          <w:rFonts w:ascii="Times New Roman" w:hAnsi="Times New Roman" w:eastAsia="Calibri" w:cs="Times New Roman"/>
          <w:b w:val="0"/>
          <w:bCs w:val="0"/>
          <w:i w:val="0"/>
          <w:iCs w:val="0"/>
          <w:color w:val="auto"/>
          <w:sz w:val="22"/>
          <w:szCs w:val="22"/>
        </w:rPr>
        <w:t>Упражнения для развития моторики и координации с гимнастическим предметом</w:t>
      </w:r>
    </w:p>
    <w:p w14:paraId="155575B7">
      <w:pPr>
        <w:pStyle w:val="99"/>
        <w:spacing w:line="360" w:lineRule="auto"/>
        <w:ind w:firstLine="709"/>
        <w:contextualSpacing/>
        <w:rPr>
          <w:rFonts w:ascii="Times New Roman" w:hAnsi="Times New Roman" w:cs="Times New Roman"/>
          <w:color w:val="auto"/>
          <w:sz w:val="22"/>
          <w:szCs w:val="22"/>
        </w:rPr>
      </w:pPr>
      <w:r>
        <w:rPr>
          <w:rFonts w:ascii="Times New Roman" w:hAnsi="Times New Roman" w:cs="Times New Roman"/>
          <w:color w:val="auto"/>
          <w:sz w:val="22"/>
          <w:szCs w:val="22"/>
        </w:rPr>
        <w:t>Удержание скакалки. Вращение кистью руки скакалки, сложенной вдвое, перед собой, ловля скакалки. Высокие прыжки вперёд через скакалку с двойным махом вперёд. Игровые задания со скакалкой.</w:t>
      </w:r>
    </w:p>
    <w:p w14:paraId="6DD68CC8">
      <w:pPr>
        <w:pStyle w:val="99"/>
        <w:spacing w:line="360" w:lineRule="auto"/>
        <w:ind w:firstLine="709"/>
        <w:contextualSpacing/>
        <w:rPr>
          <w:rFonts w:ascii="Times New Roman" w:hAnsi="Times New Roman" w:cs="Times New Roman"/>
          <w:color w:val="auto"/>
          <w:sz w:val="22"/>
          <w:szCs w:val="22"/>
        </w:rPr>
      </w:pPr>
      <w:r>
        <w:rPr>
          <w:rFonts w:ascii="Times New Roman" w:hAnsi="Times New Roman" w:cs="Times New Roman"/>
          <w:color w:val="auto"/>
          <w:sz w:val="22"/>
          <w:szCs w:val="22"/>
        </w:rPr>
        <w:t>Бросок мяча в заданную плоскость и ловля мяча. Серия отбивов мяча.</w:t>
      </w:r>
    </w:p>
    <w:p w14:paraId="76BCD59C">
      <w:pPr>
        <w:pStyle w:val="99"/>
        <w:spacing w:line="360" w:lineRule="auto"/>
        <w:ind w:firstLine="709"/>
        <w:contextualSpacing/>
        <w:rPr>
          <w:rFonts w:ascii="Times New Roman" w:hAnsi="Times New Roman" w:cs="Times New Roman"/>
          <w:color w:val="auto"/>
          <w:sz w:val="22"/>
          <w:szCs w:val="22"/>
        </w:rPr>
      </w:pPr>
      <w:r>
        <w:rPr>
          <w:rFonts w:ascii="Times New Roman" w:hAnsi="Times New Roman" w:cs="Times New Roman"/>
          <w:color w:val="auto"/>
          <w:sz w:val="22"/>
          <w:szCs w:val="22"/>
        </w:rPr>
        <w:t>Игровые задания, в том числе с мячом и скакалкой. Спортивные эстафеты с гимнастическим предметом. Спортивные и туристические физические игры и игровые задания.</w:t>
      </w:r>
    </w:p>
    <w:p w14:paraId="358DBD00">
      <w:pPr>
        <w:pStyle w:val="99"/>
        <w:spacing w:line="360" w:lineRule="auto"/>
        <w:ind w:firstLine="709"/>
        <w:contextualSpacing/>
        <w:rPr>
          <w:rStyle w:val="101"/>
          <w:rFonts w:ascii="Times New Roman" w:hAnsi="Times New Roman" w:eastAsia="Calibri" w:cs="Times New Roman"/>
          <w:b w:val="0"/>
          <w:bCs w:val="0"/>
          <w:i w:val="0"/>
          <w:iCs w:val="0"/>
          <w:color w:val="auto"/>
          <w:sz w:val="22"/>
          <w:szCs w:val="22"/>
        </w:rPr>
      </w:pPr>
      <w:r>
        <w:rPr>
          <w:rStyle w:val="101"/>
          <w:rFonts w:ascii="Times New Roman" w:hAnsi="Times New Roman" w:eastAsia="Calibri" w:cs="Times New Roman"/>
          <w:b w:val="0"/>
          <w:bCs w:val="0"/>
          <w:i w:val="0"/>
          <w:iCs w:val="0"/>
          <w:color w:val="auto"/>
          <w:sz w:val="22"/>
          <w:szCs w:val="22"/>
        </w:rPr>
        <w:t>Комбинации упражнений. Осваиваем соединение изученных упражнений в комбинации.</w:t>
      </w:r>
    </w:p>
    <w:p w14:paraId="48D441BA">
      <w:pPr>
        <w:pStyle w:val="99"/>
        <w:spacing w:line="360" w:lineRule="auto"/>
        <w:ind w:firstLine="709"/>
        <w:contextualSpacing/>
        <w:rPr>
          <w:rStyle w:val="101"/>
          <w:rFonts w:ascii="Times New Roman" w:hAnsi="Times New Roman" w:eastAsia="Calibri" w:cs="Times New Roman"/>
          <w:b w:val="0"/>
          <w:bCs w:val="0"/>
          <w:i w:val="0"/>
          <w:iCs w:val="0"/>
          <w:color w:val="auto"/>
          <w:sz w:val="22"/>
          <w:szCs w:val="22"/>
        </w:rPr>
      </w:pPr>
      <w:r>
        <w:rPr>
          <w:rStyle w:val="101"/>
          <w:rFonts w:ascii="Times New Roman" w:hAnsi="Times New Roman" w:eastAsia="Calibri" w:cs="Times New Roman"/>
          <w:b w:val="0"/>
          <w:bCs w:val="0"/>
          <w:i w:val="0"/>
          <w:iCs w:val="0"/>
          <w:color w:val="auto"/>
          <w:sz w:val="22"/>
          <w:szCs w:val="22"/>
        </w:rPr>
        <w:t>Пример:</w:t>
      </w:r>
    </w:p>
    <w:p w14:paraId="702CDCF4">
      <w:pPr>
        <w:pStyle w:val="99"/>
        <w:spacing w:line="360" w:lineRule="auto"/>
        <w:ind w:firstLine="709"/>
        <w:contextualSpacing/>
        <w:rPr>
          <w:rFonts w:ascii="Times New Roman" w:hAnsi="Times New Roman" w:cs="Times New Roman"/>
          <w:color w:val="auto"/>
          <w:sz w:val="22"/>
          <w:szCs w:val="22"/>
        </w:rPr>
      </w:pPr>
      <w:r>
        <w:rPr>
          <w:rFonts w:ascii="Times New Roman" w:hAnsi="Times New Roman" w:cs="Times New Roman"/>
          <w:color w:val="auto"/>
          <w:sz w:val="22"/>
          <w:szCs w:val="22"/>
        </w:rPr>
        <w:t>Исходное положение: стоя в VI позиции ног, колени вытянуты, рука с мячом на ладони вперёд (локоть прямой) – бросок мяча в заданную плоскость (на шаг вперёд) – шаг вперёд с поворотом тела на триста шестьдесят градусов – ловля мяча.</w:t>
      </w:r>
    </w:p>
    <w:p w14:paraId="5DAFA572">
      <w:pPr>
        <w:pStyle w:val="99"/>
        <w:spacing w:line="360" w:lineRule="auto"/>
        <w:ind w:firstLine="709"/>
        <w:contextualSpacing/>
        <w:rPr>
          <w:rStyle w:val="101"/>
          <w:rFonts w:ascii="Times New Roman" w:hAnsi="Times New Roman" w:eastAsia="Calibri" w:cs="Times New Roman"/>
          <w:b w:val="0"/>
          <w:bCs w:val="0"/>
          <w:i w:val="0"/>
          <w:iCs w:val="0"/>
          <w:color w:val="auto"/>
          <w:sz w:val="22"/>
          <w:szCs w:val="22"/>
        </w:rPr>
      </w:pPr>
      <w:r>
        <w:rPr>
          <w:rStyle w:val="101"/>
          <w:rFonts w:ascii="Times New Roman" w:hAnsi="Times New Roman" w:eastAsia="Calibri" w:cs="Times New Roman"/>
          <w:b w:val="0"/>
          <w:bCs w:val="0"/>
          <w:i w:val="0"/>
          <w:iCs w:val="0"/>
          <w:color w:val="auto"/>
          <w:sz w:val="22"/>
          <w:szCs w:val="22"/>
        </w:rPr>
        <w:t>Пример:</w:t>
      </w:r>
    </w:p>
    <w:p w14:paraId="12FE23D5">
      <w:pPr>
        <w:pStyle w:val="99"/>
        <w:spacing w:line="360" w:lineRule="auto"/>
        <w:ind w:firstLine="709"/>
        <w:contextualSpacing/>
        <w:rPr>
          <w:rFonts w:ascii="Times New Roman" w:hAnsi="Times New Roman" w:cs="Times New Roman"/>
          <w:color w:val="auto"/>
          <w:sz w:val="22"/>
          <w:szCs w:val="22"/>
        </w:rPr>
      </w:pPr>
      <w:r>
        <w:rPr>
          <w:rFonts w:ascii="Times New Roman" w:hAnsi="Times New Roman" w:cs="Times New Roman"/>
          <w:color w:val="auto"/>
          <w:sz w:val="22"/>
          <w:szCs w:val="22"/>
        </w:rPr>
        <w:t>Исходное положение: сидя в группировке – кувырок вперед-поворот «казак» – подъём – стойка в VI позиции, руки опущены.</w:t>
      </w:r>
    </w:p>
    <w:p w14:paraId="0EFB709E">
      <w:pPr>
        <w:pStyle w:val="99"/>
        <w:spacing w:line="360" w:lineRule="auto"/>
        <w:ind w:firstLine="709"/>
        <w:contextualSpacing/>
        <w:rPr>
          <w:rStyle w:val="101"/>
          <w:rFonts w:ascii="Times New Roman" w:hAnsi="Times New Roman" w:eastAsia="Calibri" w:cs="Times New Roman"/>
          <w:b w:val="0"/>
          <w:bCs w:val="0"/>
          <w:i w:val="0"/>
          <w:iCs w:val="0"/>
          <w:color w:val="auto"/>
          <w:sz w:val="22"/>
          <w:szCs w:val="22"/>
        </w:rPr>
      </w:pPr>
      <w:r>
        <w:rPr>
          <w:rStyle w:val="101"/>
          <w:rFonts w:ascii="Times New Roman" w:hAnsi="Times New Roman" w:eastAsia="Calibri" w:cs="Times New Roman"/>
          <w:b w:val="0"/>
          <w:bCs w:val="0"/>
          <w:i w:val="0"/>
          <w:iCs w:val="0"/>
          <w:color w:val="auto"/>
          <w:sz w:val="22"/>
          <w:szCs w:val="22"/>
        </w:rPr>
        <w:t>Упражнения для развития координации и развития жизненно важных навыков и умений.</w:t>
      </w:r>
    </w:p>
    <w:p w14:paraId="038496A8">
      <w:pPr>
        <w:pStyle w:val="99"/>
        <w:spacing w:line="360" w:lineRule="auto"/>
        <w:ind w:firstLine="709"/>
        <w:contextualSpacing/>
        <w:rPr>
          <w:rStyle w:val="102"/>
          <w:rFonts w:ascii="Times New Roman" w:hAnsi="Times New Roman" w:eastAsia="Georgia" w:cs="Times New Roman"/>
          <w:i w:val="0"/>
          <w:iCs w:val="0"/>
          <w:color w:val="auto"/>
          <w:sz w:val="22"/>
          <w:szCs w:val="22"/>
        </w:rPr>
      </w:pPr>
      <w:r>
        <w:rPr>
          <w:rStyle w:val="102"/>
          <w:rFonts w:ascii="Times New Roman" w:hAnsi="Times New Roman" w:eastAsia="Georgia" w:cs="Times New Roman"/>
          <w:i w:val="0"/>
          <w:iCs w:val="0"/>
          <w:color w:val="auto"/>
          <w:sz w:val="22"/>
          <w:szCs w:val="22"/>
        </w:rPr>
        <w:t>Плавательная подготовка.</w:t>
      </w:r>
    </w:p>
    <w:p w14:paraId="4EBCDE65">
      <w:pPr>
        <w:pStyle w:val="99"/>
        <w:spacing w:line="360" w:lineRule="auto"/>
        <w:ind w:firstLine="709"/>
        <w:contextualSpacing/>
        <w:rPr>
          <w:rFonts w:ascii="Times New Roman" w:hAnsi="Times New Roman" w:cs="Times New Roman"/>
          <w:color w:val="auto"/>
          <w:sz w:val="22"/>
          <w:szCs w:val="22"/>
        </w:rPr>
      </w:pPr>
      <w:r>
        <w:rPr>
          <w:rFonts w:ascii="Times New Roman" w:hAnsi="Times New Roman" w:cs="Times New Roman"/>
          <w:color w:val="auto"/>
          <w:sz w:val="22"/>
          <w:szCs w:val="22"/>
        </w:rPr>
        <w:t>Правила поведения в бассейне. Упражнения ознакомительного плавания: освоение универсальных умений дыхания в воде. Освоение упражнений для формирования навыков плавания: «поплавок», «морская звезда», «лягушонок», «весёлый дельфин». Освоение спортивных стилей плавания.</w:t>
      </w:r>
    </w:p>
    <w:p w14:paraId="6D96A2EA">
      <w:pPr>
        <w:pStyle w:val="99"/>
        <w:spacing w:line="360" w:lineRule="auto"/>
        <w:ind w:firstLine="709"/>
        <w:contextualSpacing/>
        <w:rPr>
          <w:rStyle w:val="102"/>
          <w:rFonts w:ascii="Times New Roman" w:hAnsi="Times New Roman" w:eastAsia="Georgia" w:cs="Times New Roman"/>
          <w:i w:val="0"/>
          <w:iCs w:val="0"/>
          <w:color w:val="auto"/>
          <w:sz w:val="22"/>
          <w:szCs w:val="22"/>
        </w:rPr>
      </w:pPr>
      <w:r>
        <w:rPr>
          <w:rStyle w:val="102"/>
          <w:rFonts w:ascii="Times New Roman" w:hAnsi="Times New Roman" w:eastAsia="Georgia" w:cs="Times New Roman"/>
          <w:i w:val="0"/>
          <w:iCs w:val="0"/>
          <w:color w:val="auto"/>
          <w:sz w:val="22"/>
          <w:szCs w:val="22"/>
        </w:rPr>
        <w:t>Основная гимнастика.</w:t>
      </w:r>
    </w:p>
    <w:p w14:paraId="2E14B700">
      <w:pPr>
        <w:pStyle w:val="99"/>
        <w:spacing w:line="360" w:lineRule="auto"/>
        <w:ind w:firstLine="709"/>
        <w:contextualSpacing/>
        <w:rPr>
          <w:rFonts w:ascii="Times New Roman" w:hAnsi="Times New Roman" w:cs="Times New Roman"/>
          <w:color w:val="auto"/>
          <w:sz w:val="22"/>
          <w:szCs w:val="22"/>
        </w:rPr>
      </w:pPr>
      <w:r>
        <w:rPr>
          <w:rFonts w:ascii="Times New Roman" w:hAnsi="Times New Roman" w:cs="Times New Roman"/>
          <w:color w:val="auto"/>
          <w:sz w:val="22"/>
          <w:szCs w:val="22"/>
        </w:rPr>
        <w:t>Освоение универсальных умений дыхания во время выполнения гимнастических упражнений.</w:t>
      </w:r>
    </w:p>
    <w:p w14:paraId="15BCD2D7">
      <w:pPr>
        <w:pStyle w:val="99"/>
        <w:spacing w:line="360" w:lineRule="auto"/>
        <w:ind w:firstLine="709"/>
        <w:contextualSpacing/>
        <w:rPr>
          <w:rFonts w:ascii="Times New Roman" w:hAnsi="Times New Roman" w:cs="Times New Roman"/>
          <w:color w:val="auto"/>
          <w:sz w:val="22"/>
          <w:szCs w:val="22"/>
        </w:rPr>
      </w:pPr>
      <w:r>
        <w:rPr>
          <w:rFonts w:ascii="Times New Roman" w:hAnsi="Times New Roman" w:cs="Times New Roman"/>
          <w:color w:val="auto"/>
          <w:sz w:val="22"/>
          <w:szCs w:val="22"/>
        </w:rPr>
        <w:t>Освоение техники поворотов в обе стороны на сто восемьдесят и триста шестьдесят градусов на одной ноге (попеременно), техники выполнения серии поворотов колено вперёд, в сторону, поворот «казак», нога вперёд горизонтально. Освоение техники выполнения прыжков толчком с одной ноги вперёд, с поворотом на девяносто и сто восемьдесят градусов в обе стороны.</w:t>
      </w:r>
    </w:p>
    <w:p w14:paraId="3B4022A9">
      <w:pPr>
        <w:pStyle w:val="99"/>
        <w:spacing w:line="360" w:lineRule="auto"/>
        <w:ind w:firstLine="709"/>
        <w:contextualSpacing/>
        <w:rPr>
          <w:rFonts w:ascii="Times New Roman" w:hAnsi="Times New Roman" w:cs="Times New Roman"/>
          <w:color w:val="auto"/>
          <w:sz w:val="22"/>
          <w:szCs w:val="22"/>
        </w:rPr>
      </w:pPr>
      <w:r>
        <w:rPr>
          <w:rFonts w:ascii="Times New Roman" w:hAnsi="Times New Roman" w:cs="Times New Roman"/>
          <w:color w:val="auto"/>
          <w:sz w:val="22"/>
          <w:szCs w:val="22"/>
        </w:rPr>
        <w:t>Освоение танцевальных шагов: шаги с подскоками (вперёд, назад, с поворотом), шаги галопа (в сторону, вперёд), а также в сочетании с различными подскоками, элементы русского танца («припадание»), элементы современного танца.</w:t>
      </w:r>
    </w:p>
    <w:p w14:paraId="136D5A96">
      <w:pPr>
        <w:pStyle w:val="99"/>
        <w:spacing w:line="360" w:lineRule="auto"/>
        <w:ind w:firstLine="709"/>
        <w:contextualSpacing/>
        <w:rPr>
          <w:rFonts w:ascii="Times New Roman" w:hAnsi="Times New Roman" w:cs="Times New Roman"/>
          <w:color w:val="auto"/>
          <w:sz w:val="22"/>
          <w:szCs w:val="22"/>
        </w:rPr>
      </w:pPr>
      <w:r>
        <w:rPr>
          <w:rFonts w:ascii="Times New Roman" w:hAnsi="Times New Roman" w:cs="Times New Roman"/>
          <w:color w:val="auto"/>
          <w:sz w:val="22"/>
          <w:szCs w:val="22"/>
        </w:rPr>
        <w:t>Освоение упражнений на развитие силы: сгибание и разгибание рук в упоре лёжа на полу.</w:t>
      </w:r>
    </w:p>
    <w:p w14:paraId="4687CDA7">
      <w:pPr>
        <w:pStyle w:val="99"/>
        <w:spacing w:line="360" w:lineRule="auto"/>
        <w:ind w:firstLine="709"/>
        <w:contextualSpacing/>
        <w:rPr>
          <w:rStyle w:val="101"/>
          <w:rFonts w:ascii="Times New Roman" w:hAnsi="Times New Roman" w:eastAsia="Calibri" w:cs="Times New Roman"/>
          <w:b w:val="0"/>
          <w:bCs w:val="0"/>
          <w:i w:val="0"/>
          <w:iCs w:val="0"/>
          <w:color w:val="auto"/>
          <w:sz w:val="22"/>
          <w:szCs w:val="22"/>
        </w:rPr>
      </w:pPr>
      <w:r>
        <w:rPr>
          <w:rStyle w:val="101"/>
          <w:rFonts w:ascii="Times New Roman" w:hAnsi="Times New Roman" w:eastAsia="Calibri" w:cs="Times New Roman"/>
          <w:b w:val="0"/>
          <w:bCs w:val="0"/>
          <w:i w:val="0"/>
          <w:iCs w:val="0"/>
          <w:color w:val="auto"/>
          <w:sz w:val="22"/>
          <w:szCs w:val="22"/>
        </w:rPr>
        <w:t>Игры и игровые задания, спортивные эстафеты.</w:t>
      </w:r>
    </w:p>
    <w:p w14:paraId="72C13E2D">
      <w:pPr>
        <w:pStyle w:val="99"/>
        <w:spacing w:line="360" w:lineRule="auto"/>
        <w:ind w:firstLine="709"/>
        <w:contextualSpacing/>
        <w:rPr>
          <w:rFonts w:ascii="Times New Roman" w:hAnsi="Times New Roman" w:cs="Times New Roman"/>
          <w:color w:val="auto"/>
          <w:sz w:val="22"/>
          <w:szCs w:val="22"/>
        </w:rPr>
      </w:pPr>
      <w:r>
        <w:rPr>
          <w:rFonts w:ascii="Times New Roman" w:hAnsi="Times New Roman" w:cs="Times New Roman"/>
          <w:color w:val="auto"/>
          <w:sz w:val="22"/>
          <w:szCs w:val="22"/>
        </w:rPr>
        <w:t>Ролевые игры и игровые задания с использованием освоенных упражнений и танцевальных шагов. Спортивные эстафеты с мячом, со скакалкой. Спортивные игры. Туристические игры и задания.</w:t>
      </w:r>
    </w:p>
    <w:p w14:paraId="36093913">
      <w:pPr>
        <w:pStyle w:val="99"/>
        <w:spacing w:line="360" w:lineRule="auto"/>
        <w:ind w:firstLine="709"/>
        <w:contextualSpacing/>
        <w:rPr>
          <w:rStyle w:val="101"/>
          <w:rFonts w:ascii="Times New Roman" w:hAnsi="Times New Roman" w:eastAsia="Calibri" w:cs="Times New Roman"/>
          <w:b w:val="0"/>
          <w:bCs w:val="0"/>
          <w:i w:val="0"/>
          <w:iCs w:val="0"/>
          <w:color w:val="auto"/>
          <w:sz w:val="22"/>
          <w:szCs w:val="22"/>
        </w:rPr>
      </w:pPr>
      <w:r>
        <w:rPr>
          <w:rStyle w:val="101"/>
          <w:rFonts w:ascii="Times New Roman" w:hAnsi="Times New Roman" w:eastAsia="Calibri" w:cs="Times New Roman"/>
          <w:b w:val="0"/>
          <w:bCs w:val="0"/>
          <w:i w:val="0"/>
          <w:iCs w:val="0"/>
          <w:color w:val="auto"/>
          <w:sz w:val="22"/>
          <w:szCs w:val="22"/>
        </w:rPr>
        <w:t>Организующие команды и приёмы.</w:t>
      </w:r>
    </w:p>
    <w:p w14:paraId="0846886A">
      <w:pPr>
        <w:pStyle w:val="99"/>
        <w:spacing w:line="360" w:lineRule="auto"/>
        <w:ind w:firstLine="709"/>
        <w:contextualSpacing/>
        <w:rPr>
          <w:rFonts w:ascii="Times New Roman" w:hAnsi="Times New Roman" w:cs="Times New Roman"/>
          <w:color w:val="auto"/>
          <w:sz w:val="22"/>
          <w:szCs w:val="22"/>
        </w:rPr>
      </w:pPr>
      <w:r>
        <w:rPr>
          <w:rFonts w:ascii="Times New Roman" w:hAnsi="Times New Roman" w:cs="Times New Roman"/>
          <w:color w:val="auto"/>
          <w:sz w:val="22"/>
          <w:szCs w:val="22"/>
        </w:rPr>
        <w:t>Освоение универсальных умений при выполнении организующих команд и строевых упражнений: построение и перестроение в одну, две шеренги, стоя на месте, повороты направо и налево, передвижение в колонне по</w:t>
      </w:r>
      <w:bookmarkStart w:id="253" w:name="_Toc101876903"/>
      <w:r>
        <w:rPr>
          <w:rFonts w:ascii="Times New Roman" w:hAnsi="Times New Roman" w:cs="Times New Roman"/>
          <w:color w:val="auto"/>
          <w:sz w:val="22"/>
          <w:szCs w:val="22"/>
        </w:rPr>
        <w:t xml:space="preserve"> одному с равномерной скоростью</w:t>
      </w:r>
    </w:p>
    <w:bookmarkEnd w:id="253"/>
    <w:p w14:paraId="7AAA717B">
      <w:pPr>
        <w:pStyle w:val="104"/>
        <w:spacing w:line="360" w:lineRule="auto"/>
        <w:ind w:left="0" w:firstLine="709"/>
        <w:contextualSpacing/>
        <w:rPr>
          <w:rFonts w:ascii="Times New Roman" w:hAnsi="Times New Roman" w:cs="Times New Roman"/>
          <w:color w:val="auto"/>
          <w:sz w:val="22"/>
          <w:szCs w:val="22"/>
        </w:rPr>
      </w:pPr>
      <w:r>
        <w:rPr>
          <w:rStyle w:val="103"/>
          <w:rFonts w:ascii="Times New Roman" w:hAnsi="Times New Roman" w:cs="Times New Roman"/>
          <w:b w:val="0"/>
          <w:bCs w:val="0"/>
          <w:color w:val="auto"/>
          <w:sz w:val="22"/>
          <w:szCs w:val="22"/>
        </w:rPr>
        <w:t>16.2.5. </w:t>
      </w:r>
      <w:r>
        <w:rPr>
          <w:rFonts w:ascii="Times New Roman" w:hAnsi="Times New Roman" w:cs="Times New Roman"/>
          <w:color w:val="auto"/>
          <w:sz w:val="22"/>
          <w:szCs w:val="22"/>
        </w:rPr>
        <w:t>Содержание обучения в 3 классе.</w:t>
      </w:r>
    </w:p>
    <w:p w14:paraId="6D342CDF">
      <w:pPr>
        <w:pStyle w:val="99"/>
        <w:spacing w:line="360" w:lineRule="auto"/>
        <w:ind w:firstLine="709"/>
        <w:contextualSpacing/>
        <w:rPr>
          <w:rFonts w:ascii="Times New Roman" w:hAnsi="Times New Roman" w:cs="Times New Roman"/>
          <w:color w:val="auto"/>
          <w:spacing w:val="-2"/>
          <w:sz w:val="22"/>
          <w:szCs w:val="22"/>
        </w:rPr>
      </w:pPr>
      <w:r>
        <w:rPr>
          <w:rFonts w:ascii="Times New Roman" w:hAnsi="Times New Roman" w:cs="Times New Roman"/>
          <w:color w:val="auto"/>
          <w:spacing w:val="-2"/>
          <w:sz w:val="22"/>
          <w:szCs w:val="22"/>
        </w:rPr>
        <w:t>Нагрузка. Влияние нагрузки на мышцы. Влияние утренней гимнастики и регулярного выполнения физических упражнений на человека. Физические упражнения. Классификация физических упражнений по направлениям. Эффективность развития физических качеств в соответствии с сенситивными периодами развития. Гимнастика и виды гимнастической разминки.</w:t>
      </w:r>
    </w:p>
    <w:p w14:paraId="4DD2A051">
      <w:pPr>
        <w:pStyle w:val="99"/>
        <w:spacing w:line="360" w:lineRule="auto"/>
        <w:ind w:firstLine="709"/>
        <w:contextualSpacing/>
        <w:rPr>
          <w:rFonts w:ascii="Times New Roman" w:hAnsi="Times New Roman" w:cs="Times New Roman"/>
          <w:color w:val="auto"/>
          <w:sz w:val="22"/>
          <w:szCs w:val="22"/>
        </w:rPr>
      </w:pPr>
      <w:r>
        <w:rPr>
          <w:rFonts w:ascii="Times New Roman" w:hAnsi="Times New Roman" w:cs="Times New Roman"/>
          <w:color w:val="auto"/>
          <w:sz w:val="22"/>
          <w:szCs w:val="22"/>
        </w:rPr>
        <w:t>Основные группы мышц человека. Подводящие упражнения к выполнению акробатических упражнений.</w:t>
      </w:r>
    </w:p>
    <w:p w14:paraId="3995AAEE">
      <w:pPr>
        <w:pStyle w:val="99"/>
        <w:spacing w:line="360" w:lineRule="auto"/>
        <w:ind w:firstLine="709"/>
        <w:contextualSpacing/>
        <w:rPr>
          <w:rFonts w:ascii="Times New Roman" w:hAnsi="Times New Roman" w:cs="Times New Roman"/>
          <w:color w:val="auto"/>
          <w:sz w:val="22"/>
          <w:szCs w:val="22"/>
        </w:rPr>
      </w:pPr>
      <w:r>
        <w:rPr>
          <w:rFonts w:ascii="Times New Roman" w:hAnsi="Times New Roman" w:cs="Times New Roman"/>
          <w:color w:val="auto"/>
          <w:sz w:val="22"/>
          <w:szCs w:val="22"/>
        </w:rPr>
        <w:t>Моделирование физической нагрузки при выполнении гимнастических упражнений для развития основных физических качеств.</w:t>
      </w:r>
    </w:p>
    <w:p w14:paraId="7039C920">
      <w:pPr>
        <w:pStyle w:val="99"/>
        <w:spacing w:line="360" w:lineRule="auto"/>
        <w:ind w:firstLine="709"/>
        <w:contextualSpacing/>
        <w:rPr>
          <w:rFonts w:ascii="Times New Roman" w:hAnsi="Times New Roman" w:cs="Times New Roman"/>
          <w:color w:val="auto"/>
          <w:sz w:val="22"/>
          <w:szCs w:val="22"/>
        </w:rPr>
      </w:pPr>
      <w:r>
        <w:rPr>
          <w:rFonts w:ascii="Times New Roman" w:hAnsi="Times New Roman" w:cs="Times New Roman"/>
          <w:color w:val="auto"/>
          <w:sz w:val="22"/>
          <w:szCs w:val="22"/>
        </w:rPr>
        <w:t>Освоение навыков по самостоятельному ведению общей, партерной разминки и разминки у опоры в группе.</w:t>
      </w:r>
    </w:p>
    <w:p w14:paraId="47005BDB">
      <w:pPr>
        <w:pStyle w:val="99"/>
        <w:spacing w:line="360" w:lineRule="auto"/>
        <w:ind w:firstLine="709"/>
        <w:contextualSpacing/>
        <w:rPr>
          <w:rFonts w:ascii="Times New Roman" w:hAnsi="Times New Roman" w:cs="Times New Roman"/>
          <w:color w:val="auto"/>
          <w:sz w:val="22"/>
          <w:szCs w:val="22"/>
        </w:rPr>
      </w:pPr>
      <w:r>
        <w:rPr>
          <w:rFonts w:ascii="Times New Roman" w:hAnsi="Times New Roman" w:cs="Times New Roman"/>
          <w:color w:val="auto"/>
          <w:sz w:val="22"/>
          <w:szCs w:val="22"/>
        </w:rPr>
        <w:t>Освоение и демонстрация приёмов выполнения различных комбинаций гимнастических упражнений с использованием танцевальных шагов, поворотов, прыжков, гимнастических и акробатических упражнений.</w:t>
      </w:r>
    </w:p>
    <w:p w14:paraId="0EA333C9">
      <w:pPr>
        <w:pStyle w:val="99"/>
        <w:spacing w:line="360" w:lineRule="auto"/>
        <w:ind w:firstLine="709"/>
        <w:contextualSpacing/>
        <w:rPr>
          <w:rFonts w:ascii="Times New Roman" w:hAnsi="Times New Roman" w:cs="Times New Roman"/>
          <w:color w:val="auto"/>
          <w:sz w:val="22"/>
          <w:szCs w:val="22"/>
        </w:rPr>
      </w:pPr>
      <w:r>
        <w:rPr>
          <w:rFonts w:ascii="Times New Roman" w:hAnsi="Times New Roman" w:cs="Times New Roman"/>
          <w:color w:val="auto"/>
          <w:sz w:val="22"/>
          <w:szCs w:val="22"/>
        </w:rPr>
        <w:t>Подбор комплекса и демонстрация техники выполнения гимнастических упражнений по преимущественной целевой направленности их использования.</w:t>
      </w:r>
    </w:p>
    <w:p w14:paraId="0E6DC3BB">
      <w:pPr>
        <w:pStyle w:val="99"/>
        <w:spacing w:line="360" w:lineRule="auto"/>
        <w:ind w:firstLine="709"/>
        <w:contextualSpacing/>
        <w:rPr>
          <w:rFonts w:ascii="Times New Roman" w:hAnsi="Times New Roman" w:cs="Times New Roman"/>
          <w:color w:val="auto"/>
          <w:sz w:val="22"/>
          <w:szCs w:val="22"/>
        </w:rPr>
      </w:pPr>
      <w:r>
        <w:rPr>
          <w:rFonts w:ascii="Times New Roman" w:hAnsi="Times New Roman" w:cs="Times New Roman"/>
          <w:color w:val="auto"/>
          <w:sz w:val="22"/>
          <w:szCs w:val="22"/>
        </w:rPr>
        <w:t>Демонстрация умений построения и перестроения, перемещений различными способами передвижений, включая перекаты, повороты, прыжки, танцевальные шаги.</w:t>
      </w:r>
    </w:p>
    <w:p w14:paraId="477F91E2">
      <w:pPr>
        <w:pStyle w:val="99"/>
        <w:spacing w:line="360" w:lineRule="auto"/>
        <w:ind w:firstLine="709"/>
        <w:contextualSpacing/>
        <w:rPr>
          <w:rStyle w:val="101"/>
          <w:rFonts w:ascii="Times New Roman" w:hAnsi="Times New Roman" w:eastAsia="Calibri" w:cs="Times New Roman"/>
          <w:b w:val="0"/>
          <w:bCs w:val="0"/>
          <w:i w:val="0"/>
          <w:iCs w:val="0"/>
          <w:color w:val="auto"/>
          <w:sz w:val="22"/>
          <w:szCs w:val="22"/>
        </w:rPr>
      </w:pPr>
      <w:r>
        <w:rPr>
          <w:rStyle w:val="101"/>
          <w:rFonts w:ascii="Times New Roman" w:hAnsi="Times New Roman" w:eastAsia="Calibri" w:cs="Times New Roman"/>
          <w:b w:val="0"/>
          <w:bCs w:val="0"/>
          <w:i w:val="0"/>
          <w:iCs w:val="0"/>
          <w:color w:val="auto"/>
          <w:sz w:val="22"/>
          <w:szCs w:val="22"/>
        </w:rPr>
        <w:t>Организующие команды и приёмы.</w:t>
      </w:r>
    </w:p>
    <w:p w14:paraId="500EC1FC">
      <w:pPr>
        <w:pStyle w:val="99"/>
        <w:spacing w:line="360" w:lineRule="auto"/>
        <w:ind w:firstLine="709"/>
        <w:contextualSpacing/>
        <w:rPr>
          <w:rFonts w:ascii="Times New Roman" w:hAnsi="Times New Roman" w:cs="Times New Roman"/>
          <w:color w:val="auto"/>
          <w:sz w:val="22"/>
          <w:szCs w:val="22"/>
        </w:rPr>
      </w:pPr>
      <w:r>
        <w:rPr>
          <w:rFonts w:ascii="Times New Roman" w:hAnsi="Times New Roman" w:cs="Times New Roman"/>
          <w:color w:val="auto"/>
          <w:sz w:val="22"/>
          <w:szCs w:val="22"/>
        </w:rPr>
        <w:t>Выполнение универсальных умений при выполнении организующих команд и строевых упражнений: построение и перестроение в одну, две шеренги, повороты направо и налево, передвижение в колонне по одному с равномерной скоростью.</w:t>
      </w:r>
    </w:p>
    <w:p w14:paraId="62396998">
      <w:pPr>
        <w:pStyle w:val="99"/>
        <w:spacing w:line="360" w:lineRule="auto"/>
        <w:ind w:firstLine="709"/>
        <w:contextualSpacing/>
        <w:rPr>
          <w:rStyle w:val="101"/>
          <w:rFonts w:ascii="Times New Roman" w:hAnsi="Times New Roman" w:eastAsia="Calibri" w:cs="Times New Roman"/>
          <w:b w:val="0"/>
          <w:bCs w:val="0"/>
          <w:i w:val="0"/>
          <w:iCs w:val="0"/>
          <w:color w:val="auto"/>
          <w:sz w:val="22"/>
          <w:szCs w:val="22"/>
        </w:rPr>
      </w:pPr>
      <w:r>
        <w:rPr>
          <w:rStyle w:val="101"/>
          <w:rFonts w:ascii="Times New Roman" w:hAnsi="Times New Roman" w:eastAsia="Calibri" w:cs="Times New Roman"/>
          <w:b w:val="0"/>
          <w:bCs w:val="0"/>
          <w:i w:val="0"/>
          <w:iCs w:val="0"/>
          <w:color w:val="auto"/>
          <w:sz w:val="22"/>
          <w:szCs w:val="22"/>
        </w:rPr>
        <w:t>Спортивно-оздоровительная деятельность.</w:t>
      </w:r>
    </w:p>
    <w:p w14:paraId="32FC9CB2">
      <w:pPr>
        <w:pStyle w:val="99"/>
        <w:spacing w:line="360" w:lineRule="auto"/>
        <w:ind w:firstLine="709"/>
        <w:contextualSpacing/>
        <w:rPr>
          <w:rFonts w:ascii="Times New Roman" w:hAnsi="Times New Roman" w:cs="Times New Roman"/>
          <w:color w:val="auto"/>
          <w:sz w:val="22"/>
          <w:szCs w:val="22"/>
        </w:rPr>
      </w:pPr>
      <w:r>
        <w:rPr>
          <w:rFonts w:ascii="Times New Roman" w:hAnsi="Times New Roman" w:cs="Times New Roman"/>
          <w:color w:val="auto"/>
          <w:sz w:val="22"/>
          <w:szCs w:val="22"/>
        </w:rPr>
        <w:t>Овладение техникой выполнения упражнений основной гимнастики, комплексов гимнастических упражнений, подбор и выполнение комплексов физкультминуток, утренней гимнастики.</w:t>
      </w:r>
    </w:p>
    <w:p w14:paraId="32BCAFEA">
      <w:pPr>
        <w:pStyle w:val="99"/>
        <w:spacing w:line="360" w:lineRule="auto"/>
        <w:ind w:firstLine="709"/>
        <w:contextualSpacing/>
        <w:rPr>
          <w:rFonts w:ascii="Times New Roman" w:hAnsi="Times New Roman" w:cs="Times New Roman"/>
          <w:color w:val="auto"/>
          <w:sz w:val="22"/>
          <w:szCs w:val="22"/>
        </w:rPr>
      </w:pPr>
      <w:r>
        <w:rPr>
          <w:rFonts w:ascii="Times New Roman" w:hAnsi="Times New Roman" w:cs="Times New Roman"/>
          <w:color w:val="auto"/>
          <w:sz w:val="22"/>
          <w:szCs w:val="22"/>
        </w:rPr>
        <w:t>Овладение техникой выполнения упражнений основной гимнастики на развитие отдельных мышечных групп.</w:t>
      </w:r>
    </w:p>
    <w:p w14:paraId="6AC6C8A1">
      <w:pPr>
        <w:pStyle w:val="99"/>
        <w:spacing w:line="360" w:lineRule="auto"/>
        <w:ind w:firstLine="709"/>
        <w:contextualSpacing/>
        <w:rPr>
          <w:rFonts w:ascii="Times New Roman" w:hAnsi="Times New Roman" w:cs="Times New Roman"/>
          <w:color w:val="auto"/>
          <w:sz w:val="22"/>
          <w:szCs w:val="22"/>
        </w:rPr>
      </w:pPr>
      <w:r>
        <w:rPr>
          <w:rFonts w:ascii="Times New Roman" w:hAnsi="Times New Roman" w:cs="Times New Roman"/>
          <w:color w:val="auto"/>
          <w:sz w:val="22"/>
          <w:szCs w:val="22"/>
        </w:rPr>
        <w:t>Овладение техникой выполнения упражнений основной гимнастики с учётом особенностей режима работы мышц (динамичные, статичные).</w:t>
      </w:r>
    </w:p>
    <w:p w14:paraId="5FE1C1F3">
      <w:pPr>
        <w:pStyle w:val="99"/>
        <w:spacing w:line="360" w:lineRule="auto"/>
        <w:ind w:firstLine="709"/>
        <w:contextualSpacing/>
        <w:rPr>
          <w:rFonts w:ascii="Times New Roman" w:hAnsi="Times New Roman" w:cs="Times New Roman"/>
          <w:color w:val="auto"/>
          <w:spacing w:val="3"/>
          <w:sz w:val="22"/>
          <w:szCs w:val="22"/>
        </w:rPr>
      </w:pPr>
      <w:r>
        <w:rPr>
          <w:rFonts w:ascii="Times New Roman" w:hAnsi="Times New Roman" w:cs="Times New Roman"/>
          <w:color w:val="auto"/>
          <w:spacing w:val="3"/>
          <w:sz w:val="22"/>
          <w:szCs w:val="22"/>
        </w:rPr>
        <w:t>Овладение техникой выполнения серии поворотов и прыжков, в том числе с использованием гимнастических предметов.</w:t>
      </w:r>
    </w:p>
    <w:p w14:paraId="1E4662A2">
      <w:pPr>
        <w:pStyle w:val="99"/>
        <w:spacing w:line="360" w:lineRule="auto"/>
        <w:ind w:firstLine="709"/>
        <w:contextualSpacing/>
        <w:rPr>
          <w:rFonts w:ascii="Times New Roman" w:hAnsi="Times New Roman" w:cs="Times New Roman"/>
          <w:color w:val="auto"/>
          <w:sz w:val="22"/>
          <w:szCs w:val="22"/>
        </w:rPr>
      </w:pPr>
      <w:r>
        <w:rPr>
          <w:rFonts w:ascii="Times New Roman" w:hAnsi="Times New Roman" w:cs="Times New Roman"/>
          <w:color w:val="auto"/>
          <w:sz w:val="22"/>
          <w:szCs w:val="22"/>
        </w:rPr>
        <w:t>Демонстрация универсальных умений: выполнение бросков гимнастического мяча в заданную плоскость пространства одной рукой (попеременно), двумя руками, имитация падения в группировке с кувырками, бег (челночный), метание теннисного мяча в заданную цель, прыжки в высоту, в длину, плавание.</w:t>
      </w:r>
    </w:p>
    <w:p w14:paraId="119A2C16">
      <w:pPr>
        <w:pStyle w:val="99"/>
        <w:spacing w:line="360" w:lineRule="auto"/>
        <w:ind w:firstLine="709"/>
        <w:contextualSpacing/>
        <w:rPr>
          <w:rFonts w:ascii="Times New Roman" w:hAnsi="Times New Roman" w:cs="Times New Roman"/>
          <w:color w:val="auto"/>
          <w:sz w:val="22"/>
          <w:szCs w:val="22"/>
        </w:rPr>
      </w:pPr>
      <w:r>
        <w:rPr>
          <w:rFonts w:ascii="Times New Roman" w:hAnsi="Times New Roman" w:cs="Times New Roman"/>
          <w:color w:val="auto"/>
          <w:sz w:val="22"/>
          <w:szCs w:val="22"/>
        </w:rPr>
        <w:t>Овладение техникой плавания на дистанцию не менее 25 метров (при наличии материально-технической базы).</w:t>
      </w:r>
    </w:p>
    <w:p w14:paraId="00FC80D1">
      <w:pPr>
        <w:pStyle w:val="99"/>
        <w:spacing w:line="360" w:lineRule="auto"/>
        <w:ind w:firstLine="709"/>
        <w:contextualSpacing/>
        <w:rPr>
          <w:rFonts w:ascii="Times New Roman" w:hAnsi="Times New Roman" w:cs="Times New Roman"/>
          <w:color w:val="auto"/>
          <w:sz w:val="22"/>
          <w:szCs w:val="22"/>
        </w:rPr>
      </w:pPr>
      <w:r>
        <w:rPr>
          <w:rFonts w:ascii="Times New Roman" w:hAnsi="Times New Roman" w:cs="Times New Roman"/>
          <w:color w:val="auto"/>
          <w:sz w:val="22"/>
          <w:szCs w:val="22"/>
        </w:rPr>
        <w:t>Освоение правил вида спорта (на выбор), освоение физических упражнений для начальной подготовки по данному виду спорта.</w:t>
      </w:r>
    </w:p>
    <w:p w14:paraId="71692634">
      <w:pPr>
        <w:pStyle w:val="99"/>
        <w:spacing w:line="360" w:lineRule="auto"/>
        <w:ind w:firstLine="709"/>
        <w:contextualSpacing/>
        <w:rPr>
          <w:rFonts w:ascii="Times New Roman" w:hAnsi="Times New Roman" w:cs="Times New Roman"/>
          <w:color w:val="auto"/>
          <w:sz w:val="22"/>
          <w:szCs w:val="22"/>
        </w:rPr>
      </w:pPr>
      <w:r>
        <w:rPr>
          <w:rFonts w:ascii="Times New Roman" w:hAnsi="Times New Roman" w:cs="Times New Roman"/>
          <w:color w:val="auto"/>
          <w:sz w:val="22"/>
          <w:szCs w:val="22"/>
        </w:rPr>
        <w:t>Выполнение заданий в ролевых играх и игровых заданий.</w:t>
      </w:r>
    </w:p>
    <w:p w14:paraId="3D712EF0">
      <w:pPr>
        <w:pStyle w:val="99"/>
        <w:spacing w:line="360" w:lineRule="auto"/>
        <w:ind w:firstLine="709"/>
        <w:contextualSpacing/>
        <w:rPr>
          <w:rFonts w:ascii="Times New Roman" w:hAnsi="Times New Roman" w:cs="Times New Roman"/>
          <w:color w:val="auto"/>
          <w:sz w:val="22"/>
          <w:szCs w:val="22"/>
        </w:rPr>
      </w:pPr>
      <w:r>
        <w:rPr>
          <w:rFonts w:ascii="Times New Roman" w:hAnsi="Times New Roman" w:cs="Times New Roman"/>
          <w:color w:val="auto"/>
          <w:sz w:val="22"/>
          <w:szCs w:val="22"/>
        </w:rPr>
        <w:t>Овладение техникой выполнения строевого шага и походного шага. Шеренги, перестроения и движение в шеренгах. Повороты на месте и в движении.</w:t>
      </w:r>
    </w:p>
    <w:p w14:paraId="5969168B">
      <w:pPr>
        <w:pStyle w:val="99"/>
        <w:spacing w:line="360" w:lineRule="auto"/>
        <w:ind w:firstLine="709"/>
        <w:contextualSpacing/>
        <w:rPr>
          <w:rFonts w:ascii="Times New Roman" w:hAnsi="Times New Roman" w:cs="Times New Roman"/>
          <w:color w:val="auto"/>
          <w:sz w:val="22"/>
          <w:szCs w:val="22"/>
        </w:rPr>
      </w:pPr>
      <w:r>
        <w:rPr>
          <w:rFonts w:ascii="Times New Roman" w:hAnsi="Times New Roman" w:cs="Times New Roman"/>
          <w:color w:val="auto"/>
          <w:sz w:val="22"/>
          <w:szCs w:val="22"/>
        </w:rPr>
        <w:t>Различные групповые выступления, в том числе освоение основных условий участия во флешмобах.</w:t>
      </w:r>
      <w:bookmarkStart w:id="254" w:name="_Toc101876904"/>
    </w:p>
    <w:bookmarkEnd w:id="254"/>
    <w:p w14:paraId="4E050370">
      <w:pPr>
        <w:pStyle w:val="104"/>
        <w:spacing w:line="360" w:lineRule="auto"/>
        <w:ind w:left="0" w:firstLine="709"/>
        <w:contextualSpacing/>
        <w:rPr>
          <w:rFonts w:ascii="Times New Roman" w:hAnsi="Times New Roman" w:cs="Times New Roman"/>
          <w:color w:val="auto"/>
          <w:sz w:val="22"/>
          <w:szCs w:val="22"/>
        </w:rPr>
      </w:pPr>
      <w:r>
        <w:rPr>
          <w:rStyle w:val="103"/>
          <w:rFonts w:ascii="Times New Roman" w:hAnsi="Times New Roman" w:cs="Times New Roman"/>
          <w:b w:val="0"/>
          <w:bCs w:val="0"/>
          <w:color w:val="auto"/>
          <w:sz w:val="22"/>
          <w:szCs w:val="22"/>
        </w:rPr>
        <w:t>16.2.6. </w:t>
      </w:r>
      <w:r>
        <w:rPr>
          <w:rFonts w:ascii="Times New Roman" w:hAnsi="Times New Roman" w:cs="Times New Roman"/>
          <w:color w:val="auto"/>
          <w:sz w:val="22"/>
          <w:szCs w:val="22"/>
        </w:rPr>
        <w:t>Содержание обучения в 4 классе.</w:t>
      </w:r>
    </w:p>
    <w:p w14:paraId="6FADB7C2">
      <w:pPr>
        <w:pStyle w:val="99"/>
        <w:spacing w:line="360" w:lineRule="auto"/>
        <w:ind w:firstLine="709"/>
        <w:contextualSpacing/>
        <w:rPr>
          <w:rFonts w:ascii="Times New Roman" w:hAnsi="Times New Roman" w:cs="Times New Roman"/>
          <w:color w:val="auto"/>
          <w:sz w:val="22"/>
          <w:szCs w:val="22"/>
        </w:rPr>
      </w:pPr>
      <w:r>
        <w:rPr>
          <w:rFonts w:ascii="Times New Roman" w:hAnsi="Times New Roman" w:cs="Times New Roman"/>
          <w:color w:val="auto"/>
          <w:sz w:val="22"/>
          <w:szCs w:val="22"/>
        </w:rPr>
        <w:t>Физическое воспитание и физическое совершенствование. Спорт и гимнастические виды спорта. Принципиальные различия спорта и физической культуры. Ознакомление с видами спорта (на выбор) и правилами проведения соревнований по виду спорта (на выбор).</w:t>
      </w:r>
    </w:p>
    <w:p w14:paraId="7154CC7C">
      <w:pPr>
        <w:pStyle w:val="99"/>
        <w:spacing w:line="360" w:lineRule="auto"/>
        <w:ind w:firstLine="709"/>
        <w:contextualSpacing/>
        <w:rPr>
          <w:rFonts w:ascii="Times New Roman" w:hAnsi="Times New Roman" w:cs="Times New Roman"/>
          <w:color w:val="auto"/>
          <w:sz w:val="22"/>
          <w:szCs w:val="22"/>
        </w:rPr>
      </w:pPr>
      <w:r>
        <w:rPr>
          <w:rFonts w:ascii="Times New Roman" w:hAnsi="Times New Roman" w:cs="Times New Roman"/>
          <w:color w:val="auto"/>
          <w:sz w:val="22"/>
          <w:szCs w:val="22"/>
        </w:rPr>
        <w:t>Освоение методов подбора упражнений для физического совершенствования и эффективного развития физических качеств по индивидуальной образовательной траектории, в том числе для утренней гимнастики, увеличения эффективности развития гибкости, координации. Самостоятельное проведение разминки по её видам.</w:t>
      </w:r>
    </w:p>
    <w:p w14:paraId="78B4EF8D">
      <w:pPr>
        <w:pStyle w:val="99"/>
        <w:spacing w:line="360" w:lineRule="auto"/>
        <w:ind w:firstLine="709"/>
        <w:contextualSpacing/>
        <w:rPr>
          <w:rFonts w:ascii="Times New Roman" w:hAnsi="Times New Roman" w:cs="Times New Roman"/>
          <w:color w:val="auto"/>
          <w:spacing w:val="3"/>
          <w:sz w:val="22"/>
          <w:szCs w:val="22"/>
        </w:rPr>
      </w:pPr>
      <w:r>
        <w:rPr>
          <w:rFonts w:ascii="Times New Roman" w:hAnsi="Times New Roman" w:cs="Times New Roman"/>
          <w:color w:val="auto"/>
          <w:spacing w:val="3"/>
          <w:sz w:val="22"/>
          <w:szCs w:val="22"/>
        </w:rPr>
        <w:t>Освоение методов организации и проведения спортивных эстафет, игр и игровых заданий, принципы проведения эстафет при ролевом участии (капитан команды, участник, судья, организатор). Туристическая игровая и спортивная игровая деятельность. Обеспечение индивидуального и коллективного творчества по созданию эстафет, игровых заданий, флешмоба.</w:t>
      </w:r>
    </w:p>
    <w:p w14:paraId="46776243">
      <w:pPr>
        <w:pStyle w:val="99"/>
        <w:spacing w:line="360" w:lineRule="auto"/>
        <w:ind w:firstLine="709"/>
        <w:contextualSpacing/>
        <w:rPr>
          <w:rFonts w:ascii="Times New Roman" w:hAnsi="Times New Roman" w:cs="Times New Roman"/>
          <w:color w:val="auto"/>
          <w:sz w:val="22"/>
          <w:szCs w:val="22"/>
        </w:rPr>
      </w:pPr>
      <w:r>
        <w:rPr>
          <w:rFonts w:ascii="Times New Roman" w:hAnsi="Times New Roman" w:cs="Times New Roman"/>
          <w:color w:val="auto"/>
          <w:sz w:val="22"/>
          <w:szCs w:val="22"/>
        </w:rPr>
        <w:t>Овладение техникой выполнения простейших форм борьбы. Игровые задания в рамках освоения упражнений единоборств и самообороны.</w:t>
      </w:r>
    </w:p>
    <w:p w14:paraId="27CDDF28">
      <w:pPr>
        <w:pStyle w:val="99"/>
        <w:spacing w:line="360" w:lineRule="auto"/>
        <w:ind w:firstLine="709"/>
        <w:contextualSpacing/>
        <w:rPr>
          <w:rFonts w:ascii="Times New Roman" w:hAnsi="Times New Roman" w:cs="Times New Roman"/>
          <w:color w:val="auto"/>
          <w:sz w:val="22"/>
          <w:szCs w:val="22"/>
        </w:rPr>
      </w:pPr>
      <w:r>
        <w:rPr>
          <w:rFonts w:ascii="Times New Roman" w:hAnsi="Times New Roman" w:cs="Times New Roman"/>
          <w:color w:val="auto"/>
          <w:sz w:val="22"/>
          <w:szCs w:val="22"/>
        </w:rPr>
        <w:t>Освоение навыков туристической деятельности, включая сбор базового снаряжения для туристического похода, составление маршрута на карте с использованием компаса.</w:t>
      </w:r>
    </w:p>
    <w:p w14:paraId="216B7AF5">
      <w:pPr>
        <w:pStyle w:val="99"/>
        <w:spacing w:line="360" w:lineRule="auto"/>
        <w:ind w:firstLine="709"/>
        <w:contextualSpacing/>
        <w:rPr>
          <w:rFonts w:ascii="Times New Roman" w:hAnsi="Times New Roman" w:cs="Times New Roman"/>
          <w:color w:val="auto"/>
          <w:sz w:val="22"/>
          <w:szCs w:val="22"/>
        </w:rPr>
      </w:pPr>
      <w:r>
        <w:rPr>
          <w:rFonts w:ascii="Times New Roman" w:hAnsi="Times New Roman" w:cs="Times New Roman"/>
          <w:color w:val="auto"/>
          <w:sz w:val="22"/>
          <w:szCs w:val="22"/>
        </w:rPr>
        <w:t>Освоение принципов определения максимально допустимой для себя нагрузки (амплитуды движения) при выполнении физического упражнения.</w:t>
      </w:r>
    </w:p>
    <w:p w14:paraId="31AE6799">
      <w:pPr>
        <w:pStyle w:val="99"/>
        <w:spacing w:line="360" w:lineRule="auto"/>
        <w:ind w:firstLine="709"/>
        <w:contextualSpacing/>
        <w:rPr>
          <w:rFonts w:ascii="Times New Roman" w:hAnsi="Times New Roman" w:cs="Times New Roman"/>
          <w:color w:val="auto"/>
          <w:sz w:val="22"/>
          <w:szCs w:val="22"/>
        </w:rPr>
      </w:pPr>
      <w:r>
        <w:rPr>
          <w:rFonts w:ascii="Times New Roman" w:hAnsi="Times New Roman" w:cs="Times New Roman"/>
          <w:color w:val="auto"/>
          <w:sz w:val="22"/>
          <w:szCs w:val="22"/>
        </w:rPr>
        <w:t xml:space="preserve">Способы демонстрации результатов освоения программы по физической культуре. </w:t>
      </w:r>
    </w:p>
    <w:p w14:paraId="109E8BF8">
      <w:pPr>
        <w:pStyle w:val="99"/>
        <w:spacing w:line="360" w:lineRule="auto"/>
        <w:ind w:firstLine="709"/>
        <w:contextualSpacing/>
        <w:rPr>
          <w:rStyle w:val="101"/>
          <w:rFonts w:ascii="Times New Roman" w:hAnsi="Times New Roman" w:eastAsia="Calibri" w:cs="Times New Roman"/>
          <w:b w:val="0"/>
          <w:bCs w:val="0"/>
          <w:i w:val="0"/>
          <w:iCs w:val="0"/>
          <w:color w:val="auto"/>
          <w:sz w:val="22"/>
          <w:szCs w:val="22"/>
        </w:rPr>
      </w:pPr>
      <w:r>
        <w:rPr>
          <w:rStyle w:val="101"/>
          <w:rFonts w:ascii="Times New Roman" w:hAnsi="Times New Roman" w:eastAsia="Calibri" w:cs="Times New Roman"/>
          <w:b w:val="0"/>
          <w:bCs w:val="0"/>
          <w:i w:val="0"/>
          <w:iCs w:val="0"/>
          <w:color w:val="auto"/>
          <w:sz w:val="22"/>
          <w:szCs w:val="22"/>
        </w:rPr>
        <w:t>Спортивно-оздоровительная деятельность</w:t>
      </w:r>
    </w:p>
    <w:p w14:paraId="256C819D">
      <w:pPr>
        <w:pStyle w:val="99"/>
        <w:spacing w:line="360" w:lineRule="auto"/>
        <w:ind w:firstLine="709"/>
        <w:contextualSpacing/>
        <w:rPr>
          <w:rFonts w:ascii="Times New Roman" w:hAnsi="Times New Roman" w:cs="Times New Roman"/>
          <w:color w:val="auto"/>
          <w:sz w:val="22"/>
          <w:szCs w:val="22"/>
        </w:rPr>
      </w:pPr>
      <w:r>
        <w:rPr>
          <w:rFonts w:ascii="Times New Roman" w:hAnsi="Times New Roman" w:cs="Times New Roman"/>
          <w:color w:val="auto"/>
          <w:sz w:val="22"/>
          <w:szCs w:val="22"/>
        </w:rPr>
        <w:t>Овладение техникой выполнения комбинаций упражнений основной гимнастики с элементами акробатики и танцевальных шагов.</w:t>
      </w:r>
    </w:p>
    <w:p w14:paraId="5748CF56">
      <w:pPr>
        <w:pStyle w:val="99"/>
        <w:spacing w:line="360" w:lineRule="auto"/>
        <w:ind w:firstLine="709"/>
        <w:contextualSpacing/>
        <w:rPr>
          <w:rFonts w:ascii="Times New Roman" w:hAnsi="Times New Roman" w:cs="Times New Roman"/>
          <w:color w:val="auto"/>
          <w:sz w:val="22"/>
          <w:szCs w:val="22"/>
        </w:rPr>
      </w:pPr>
      <w:r>
        <w:rPr>
          <w:rFonts w:ascii="Times New Roman" w:hAnsi="Times New Roman" w:cs="Times New Roman"/>
          <w:color w:val="auto"/>
          <w:sz w:val="22"/>
          <w:szCs w:val="22"/>
        </w:rPr>
        <w:t xml:space="preserve">Овладение техникой выполнения гимнастических упражнений для развития силы мышц рук (для удержания собственного веса). </w:t>
      </w:r>
    </w:p>
    <w:p w14:paraId="6CF9385A">
      <w:pPr>
        <w:pStyle w:val="99"/>
        <w:spacing w:line="360" w:lineRule="auto"/>
        <w:ind w:firstLine="709"/>
        <w:contextualSpacing/>
        <w:rPr>
          <w:rFonts w:ascii="Times New Roman" w:hAnsi="Times New Roman" w:cs="Times New Roman"/>
          <w:color w:val="auto"/>
          <w:sz w:val="22"/>
          <w:szCs w:val="22"/>
        </w:rPr>
      </w:pPr>
      <w:r>
        <w:rPr>
          <w:rFonts w:ascii="Times New Roman" w:hAnsi="Times New Roman" w:cs="Times New Roman"/>
          <w:color w:val="auto"/>
          <w:sz w:val="22"/>
          <w:szCs w:val="22"/>
        </w:rPr>
        <w:t>Овладение техникой выполнения гимнастических упражнений для сбалансированности веса и роста; эстетических движений.</w:t>
      </w:r>
    </w:p>
    <w:p w14:paraId="5B598D46">
      <w:pPr>
        <w:pStyle w:val="99"/>
        <w:spacing w:line="360" w:lineRule="auto"/>
        <w:ind w:firstLine="709"/>
        <w:contextualSpacing/>
        <w:rPr>
          <w:rFonts w:ascii="Times New Roman" w:hAnsi="Times New Roman" w:cs="Times New Roman"/>
          <w:color w:val="auto"/>
          <w:sz w:val="22"/>
          <w:szCs w:val="22"/>
        </w:rPr>
      </w:pPr>
      <w:r>
        <w:rPr>
          <w:rFonts w:ascii="Times New Roman" w:hAnsi="Times New Roman" w:cs="Times New Roman"/>
          <w:color w:val="auto"/>
          <w:sz w:val="22"/>
          <w:szCs w:val="22"/>
        </w:rPr>
        <w:t xml:space="preserve">Овладение техникой выполнения гимнастических упражнений на укрепление мышц брюшного пресса, спины, мышц груди: «уголок» (усложнённый вариант), упражнение для рук, упражнение «волна» вперёд, назад, упражнение для укрепления мышц спины и увеличения эластичности мышц туловища. </w:t>
      </w:r>
    </w:p>
    <w:p w14:paraId="042BE3DA">
      <w:pPr>
        <w:pStyle w:val="99"/>
        <w:spacing w:line="360" w:lineRule="auto"/>
        <w:ind w:firstLine="709"/>
        <w:contextualSpacing/>
        <w:rPr>
          <w:rFonts w:ascii="Times New Roman" w:hAnsi="Times New Roman" w:cs="Times New Roman"/>
          <w:color w:val="auto"/>
          <w:sz w:val="22"/>
          <w:szCs w:val="22"/>
        </w:rPr>
      </w:pPr>
      <w:r>
        <w:rPr>
          <w:rFonts w:ascii="Times New Roman" w:hAnsi="Times New Roman" w:cs="Times New Roman"/>
          <w:color w:val="auto"/>
          <w:sz w:val="22"/>
          <w:szCs w:val="22"/>
        </w:rPr>
        <w:t>Освоение акробатических упражнений: мост из положения стоя и поднятие из моста, шпагаты: поперечный или продольный, стойка на руках, колесо.</w:t>
      </w:r>
    </w:p>
    <w:p w14:paraId="2A64595D">
      <w:pPr>
        <w:pStyle w:val="99"/>
        <w:spacing w:line="360" w:lineRule="auto"/>
        <w:ind w:firstLine="709"/>
        <w:contextualSpacing/>
        <w:rPr>
          <w:rFonts w:ascii="Times New Roman" w:hAnsi="Times New Roman" w:cs="Times New Roman"/>
          <w:color w:val="auto"/>
          <w:sz w:val="22"/>
          <w:szCs w:val="22"/>
        </w:rPr>
      </w:pPr>
      <w:r>
        <w:rPr>
          <w:rFonts w:ascii="Times New Roman" w:hAnsi="Times New Roman" w:cs="Times New Roman"/>
          <w:color w:val="auto"/>
          <w:sz w:val="22"/>
          <w:szCs w:val="22"/>
        </w:rPr>
        <w:t xml:space="preserve">Овладение техникой выполнения гимнастической, строевой и туристической ходьбы и равномерного бега на 60 и 100 м. </w:t>
      </w:r>
    </w:p>
    <w:p w14:paraId="14389758">
      <w:pPr>
        <w:pStyle w:val="99"/>
        <w:spacing w:line="360" w:lineRule="auto"/>
        <w:ind w:firstLine="709"/>
        <w:contextualSpacing/>
        <w:rPr>
          <w:rFonts w:ascii="Times New Roman" w:hAnsi="Times New Roman" w:cs="Times New Roman"/>
          <w:color w:val="auto"/>
          <w:sz w:val="22"/>
          <w:szCs w:val="22"/>
        </w:rPr>
      </w:pPr>
      <w:r>
        <w:rPr>
          <w:rFonts w:ascii="Times New Roman" w:hAnsi="Times New Roman" w:cs="Times New Roman"/>
          <w:color w:val="auto"/>
          <w:sz w:val="22"/>
          <w:szCs w:val="22"/>
        </w:rPr>
        <w:t>Освоение прыжков в длину и высоту с места толчком двумя ногами, в высоту с разбега (при наличии специального спортивного легкоатлетического оборудования).</w:t>
      </w:r>
    </w:p>
    <w:p w14:paraId="3CB7A497">
      <w:pPr>
        <w:pStyle w:val="99"/>
        <w:spacing w:line="360" w:lineRule="auto"/>
        <w:ind w:firstLine="709"/>
        <w:contextualSpacing/>
        <w:rPr>
          <w:rFonts w:ascii="Times New Roman" w:hAnsi="Times New Roman" w:cs="Times New Roman"/>
          <w:color w:val="auto"/>
          <w:sz w:val="22"/>
          <w:szCs w:val="22"/>
        </w:rPr>
      </w:pPr>
      <w:r>
        <w:rPr>
          <w:rFonts w:ascii="Times New Roman" w:hAnsi="Times New Roman" w:cs="Times New Roman"/>
          <w:color w:val="auto"/>
          <w:sz w:val="22"/>
          <w:szCs w:val="22"/>
        </w:rPr>
        <w:t>Овладение одним или более из спортивных стилей плавания на время и дистанцию (на выбор) при наличии материально-технического обеспечения).</w:t>
      </w:r>
    </w:p>
    <w:p w14:paraId="014F0ED9">
      <w:pPr>
        <w:pStyle w:val="99"/>
        <w:spacing w:line="360" w:lineRule="auto"/>
        <w:ind w:firstLine="709"/>
        <w:contextualSpacing/>
        <w:rPr>
          <w:rFonts w:ascii="Times New Roman" w:hAnsi="Times New Roman" w:cs="Times New Roman"/>
          <w:color w:val="auto"/>
          <w:sz w:val="22"/>
          <w:szCs w:val="22"/>
        </w:rPr>
      </w:pPr>
      <w:r>
        <w:rPr>
          <w:rFonts w:ascii="Times New Roman" w:hAnsi="Times New Roman" w:cs="Times New Roman"/>
          <w:color w:val="auto"/>
          <w:sz w:val="22"/>
          <w:szCs w:val="22"/>
        </w:rPr>
        <w:t>Освоение правил вида спорта (на выбор) и освоение физических упражнений для начальной подготовки по данному виду спорта в соответствии со стандартами спортивной подготовки.</w:t>
      </w:r>
    </w:p>
    <w:p w14:paraId="06D3E8A3">
      <w:pPr>
        <w:pStyle w:val="99"/>
        <w:spacing w:line="360" w:lineRule="auto"/>
        <w:ind w:firstLine="709"/>
        <w:contextualSpacing/>
        <w:rPr>
          <w:rFonts w:ascii="Times New Roman" w:hAnsi="Times New Roman" w:cs="Times New Roman"/>
          <w:color w:val="auto"/>
          <w:sz w:val="22"/>
          <w:szCs w:val="22"/>
        </w:rPr>
      </w:pPr>
      <w:r>
        <w:rPr>
          <w:rFonts w:ascii="Times New Roman" w:hAnsi="Times New Roman" w:cs="Times New Roman"/>
          <w:color w:val="auto"/>
          <w:sz w:val="22"/>
          <w:szCs w:val="22"/>
        </w:rPr>
        <w:t>Демонстрация универсальных умений: выполнение бросков гимнастического мяча в заданную плоскость пространства одной рукой (попеременно), двумя руками, имитация падения в группировке с кувырками, перемещение на лыжах, бег (челночный), метание теннисного мяча в заданную цель, прыжки в высоту, в длину, плавание.</w:t>
      </w:r>
    </w:p>
    <w:p w14:paraId="30FD6F00">
      <w:pPr>
        <w:pStyle w:val="99"/>
        <w:spacing w:line="360" w:lineRule="auto"/>
        <w:ind w:firstLine="709"/>
        <w:contextualSpacing/>
        <w:rPr>
          <w:rFonts w:ascii="Times New Roman" w:hAnsi="Times New Roman" w:cs="Times New Roman"/>
          <w:color w:val="auto"/>
          <w:sz w:val="22"/>
          <w:szCs w:val="22"/>
        </w:rPr>
      </w:pPr>
      <w:r>
        <w:rPr>
          <w:rFonts w:ascii="Times New Roman" w:hAnsi="Times New Roman" w:cs="Times New Roman"/>
          <w:color w:val="auto"/>
          <w:sz w:val="22"/>
          <w:szCs w:val="22"/>
        </w:rPr>
        <w:t>Выполнение заданий в ролевых, туристических, спортивных играх.</w:t>
      </w:r>
    </w:p>
    <w:p w14:paraId="4FF5EE90">
      <w:pPr>
        <w:pStyle w:val="99"/>
        <w:spacing w:line="360" w:lineRule="auto"/>
        <w:ind w:firstLine="709"/>
        <w:contextualSpacing/>
        <w:rPr>
          <w:rFonts w:ascii="Times New Roman" w:hAnsi="Times New Roman" w:cs="Times New Roman"/>
          <w:color w:val="auto"/>
          <w:sz w:val="22"/>
          <w:szCs w:val="22"/>
        </w:rPr>
      </w:pPr>
      <w:r>
        <w:rPr>
          <w:rFonts w:ascii="Times New Roman" w:hAnsi="Times New Roman" w:cs="Times New Roman"/>
          <w:color w:val="auto"/>
          <w:sz w:val="22"/>
          <w:szCs w:val="22"/>
        </w:rPr>
        <w:t>Освоение строевого шага и походного шага. Шеренги, перестроения и движение в шеренгах. Повороты на месте и в движении.</w:t>
      </w:r>
    </w:p>
    <w:p w14:paraId="2C297BC8">
      <w:pPr>
        <w:pStyle w:val="99"/>
        <w:spacing w:line="360" w:lineRule="auto"/>
        <w:ind w:firstLine="709"/>
        <w:contextualSpacing/>
        <w:rPr>
          <w:rFonts w:ascii="Times New Roman" w:hAnsi="Times New Roman" w:cs="Times New Roman"/>
          <w:color w:val="auto"/>
          <w:sz w:val="22"/>
          <w:szCs w:val="22"/>
        </w:rPr>
      </w:pPr>
      <w:r>
        <w:rPr>
          <w:rFonts w:ascii="Times New Roman" w:hAnsi="Times New Roman" w:cs="Times New Roman"/>
          <w:color w:val="auto"/>
          <w:sz w:val="22"/>
          <w:szCs w:val="22"/>
        </w:rPr>
        <w:t xml:space="preserve">Овладение техникой выполнения групповых гимнастических и спортивных упражнений. </w:t>
      </w:r>
    </w:p>
    <w:p w14:paraId="34614590">
      <w:pPr>
        <w:pStyle w:val="99"/>
        <w:spacing w:line="360" w:lineRule="auto"/>
        <w:ind w:firstLine="709"/>
        <w:contextualSpacing/>
        <w:rPr>
          <w:rFonts w:ascii="Times New Roman" w:hAnsi="Times New Roman" w:cs="Times New Roman"/>
          <w:color w:val="auto"/>
          <w:sz w:val="22"/>
          <w:szCs w:val="22"/>
        </w:rPr>
      </w:pPr>
      <w:r>
        <w:rPr>
          <w:rFonts w:ascii="Times New Roman" w:hAnsi="Times New Roman" w:cs="Times New Roman"/>
          <w:color w:val="auto"/>
          <w:sz w:val="22"/>
          <w:szCs w:val="22"/>
        </w:rPr>
        <w:t>Демонстрация результатов освоения программы по физической культуре.</w:t>
      </w:r>
    </w:p>
    <w:p w14:paraId="58712FBC">
      <w:pPr>
        <w:pStyle w:val="99"/>
        <w:spacing w:line="360" w:lineRule="auto"/>
        <w:ind w:firstLine="709"/>
        <w:contextualSpacing/>
        <w:rPr>
          <w:rFonts w:ascii="Times New Roman" w:hAnsi="Times New Roman" w:cs="Times New Roman"/>
          <w:color w:val="auto"/>
          <w:sz w:val="22"/>
          <w:szCs w:val="22"/>
        </w:rPr>
      </w:pPr>
      <w:r>
        <w:rPr>
          <w:rFonts w:ascii="Times New Roman" w:hAnsi="Times New Roman" w:cs="Times New Roman"/>
          <w:color w:val="auto"/>
          <w:sz w:val="22"/>
          <w:szCs w:val="22"/>
        </w:rPr>
        <w:t>16.3. Вариант № 2.</w:t>
      </w:r>
    </w:p>
    <w:p w14:paraId="0E3D2F52">
      <w:pPr>
        <w:pStyle w:val="99"/>
        <w:spacing w:line="360" w:lineRule="auto"/>
        <w:ind w:firstLine="709"/>
        <w:contextualSpacing/>
        <w:rPr>
          <w:rFonts w:ascii="Times New Roman" w:hAnsi="Times New Roman" w:cs="Times New Roman"/>
          <w:color w:val="auto"/>
          <w:sz w:val="22"/>
          <w:szCs w:val="22"/>
        </w:rPr>
      </w:pPr>
      <w:r>
        <w:rPr>
          <w:rFonts w:ascii="Times New Roman" w:hAnsi="Times New Roman" w:cs="Times New Roman"/>
          <w:color w:val="auto"/>
          <w:sz w:val="22"/>
          <w:szCs w:val="22"/>
        </w:rPr>
        <w:t>16.3.1. Пояснительная записка.</w:t>
      </w:r>
    </w:p>
    <w:p w14:paraId="0B8EBC14">
      <w:pPr>
        <w:pStyle w:val="99"/>
        <w:spacing w:line="360" w:lineRule="auto"/>
        <w:ind w:firstLine="709"/>
        <w:contextualSpacing/>
        <w:rPr>
          <w:rFonts w:ascii="Times New Roman" w:hAnsi="Times New Roman" w:cs="Times New Roman"/>
          <w:color w:val="auto"/>
          <w:sz w:val="22"/>
          <w:szCs w:val="22"/>
        </w:rPr>
      </w:pPr>
      <w:r>
        <w:rPr>
          <w:rFonts w:ascii="Times New Roman" w:hAnsi="Times New Roman" w:cs="Times New Roman"/>
          <w:color w:val="auto"/>
          <w:sz w:val="22"/>
          <w:szCs w:val="22"/>
        </w:rPr>
        <w:t xml:space="preserve">16.3.1.1. Программа по физической культуре на уровне начального общего образования составлена на основе требований к результатам освоения программы начального общего образования ФГОС НОО, а также ориентирована на целевые приоритеты духовно-нравственного развития, воспитания и социализации обучающихся, сформулированные в федеральной </w:t>
      </w:r>
      <w:r>
        <w:rPr>
          <w:rFonts w:ascii="Times New Roman" w:hAnsi="Times New Roman" w:eastAsia="SchoolBookSanPin" w:cs="Times New Roman"/>
          <w:color w:val="auto"/>
          <w:sz w:val="22"/>
          <w:szCs w:val="22"/>
        </w:rPr>
        <w:t xml:space="preserve">рабочей </w:t>
      </w:r>
      <w:r>
        <w:rPr>
          <w:rFonts w:ascii="Times New Roman" w:hAnsi="Times New Roman" w:cs="Times New Roman"/>
          <w:color w:val="auto"/>
          <w:sz w:val="22"/>
          <w:szCs w:val="22"/>
        </w:rPr>
        <w:t>программе воспитания.</w:t>
      </w:r>
    </w:p>
    <w:p w14:paraId="742D41DA">
      <w:pPr>
        <w:pStyle w:val="99"/>
        <w:spacing w:line="360" w:lineRule="auto"/>
        <w:ind w:firstLine="709"/>
        <w:contextualSpacing/>
        <w:rPr>
          <w:rFonts w:ascii="Times New Roman" w:hAnsi="Times New Roman" w:cs="Times New Roman"/>
          <w:color w:val="auto"/>
          <w:sz w:val="22"/>
          <w:szCs w:val="22"/>
        </w:rPr>
      </w:pPr>
      <w:r>
        <w:rPr>
          <w:rFonts w:ascii="Times New Roman" w:hAnsi="Times New Roman" w:cs="Times New Roman"/>
          <w:color w:val="auto"/>
          <w:sz w:val="22"/>
          <w:szCs w:val="22"/>
        </w:rPr>
        <w:t xml:space="preserve">16.3.1.2. При создании программы по физической культуре учитывались потребности современного российского общества в физически крепком и деятельном подрастающем поколении, способном активно включаться в разнообразные формы здорового образа жизни, использовать ценности физической культуры для саморазвития, самоопределения и самореализации. </w:t>
      </w:r>
    </w:p>
    <w:p w14:paraId="0B5AC50D">
      <w:pPr>
        <w:pStyle w:val="99"/>
        <w:spacing w:line="360" w:lineRule="auto"/>
        <w:ind w:firstLine="709"/>
        <w:contextualSpacing/>
        <w:rPr>
          <w:rFonts w:ascii="Times New Roman" w:hAnsi="Times New Roman" w:cs="Times New Roman"/>
          <w:color w:val="auto"/>
          <w:sz w:val="22"/>
          <w:szCs w:val="22"/>
        </w:rPr>
      </w:pPr>
      <w:r>
        <w:rPr>
          <w:rFonts w:ascii="Times New Roman" w:hAnsi="Times New Roman" w:cs="Times New Roman"/>
          <w:color w:val="auto"/>
          <w:sz w:val="22"/>
          <w:szCs w:val="22"/>
        </w:rPr>
        <w:t xml:space="preserve">16.3.1.3. В программе по физической культуре нашли своё отражение объективно сложившиеся реалии современного социокультурного развития общества, условия деятельности образовательных организаций, запросы родителей обучающихся, педагогических работников на обновление содержания образовательного процесса, внедрение в его практику современных подходов, новых методик и технологий. </w:t>
      </w:r>
    </w:p>
    <w:p w14:paraId="3D7B2D4F">
      <w:pPr>
        <w:pStyle w:val="99"/>
        <w:spacing w:line="360" w:lineRule="auto"/>
        <w:ind w:firstLine="709"/>
        <w:contextualSpacing/>
        <w:rPr>
          <w:rFonts w:ascii="Times New Roman" w:hAnsi="Times New Roman" w:cs="Times New Roman"/>
          <w:color w:val="auto"/>
          <w:sz w:val="22"/>
          <w:szCs w:val="22"/>
        </w:rPr>
      </w:pPr>
      <w:r>
        <w:rPr>
          <w:rFonts w:ascii="Times New Roman" w:hAnsi="Times New Roman" w:cs="Times New Roman"/>
          <w:color w:val="auto"/>
          <w:sz w:val="22"/>
          <w:szCs w:val="22"/>
        </w:rPr>
        <w:t xml:space="preserve">16.3.1.4. Изучение учебного предмета «Физическая культура» имеет важное значение в онтогенезе обучающихся. Оно активно воздействует на развитие их физической, психической и социальной природы, содействует укреплению здоровья, повышению защитных свойств организма, развитию памяти, внимания и мышления, предметно ориентируется на активное вовлечение обучающихся в самостоятельные занятия физической культурой и спортом. </w:t>
      </w:r>
    </w:p>
    <w:p w14:paraId="314A8F41">
      <w:pPr>
        <w:pStyle w:val="99"/>
        <w:spacing w:line="360" w:lineRule="auto"/>
        <w:ind w:firstLine="709"/>
        <w:contextualSpacing/>
        <w:rPr>
          <w:rFonts w:ascii="Times New Roman" w:hAnsi="Times New Roman" w:cs="Times New Roman"/>
          <w:color w:val="auto"/>
          <w:sz w:val="22"/>
          <w:szCs w:val="22"/>
        </w:rPr>
      </w:pPr>
      <w:r>
        <w:rPr>
          <w:rFonts w:ascii="Times New Roman" w:hAnsi="Times New Roman" w:cs="Times New Roman"/>
          <w:color w:val="auto"/>
          <w:sz w:val="22"/>
          <w:szCs w:val="22"/>
        </w:rPr>
        <w:t xml:space="preserve">16.3.1.5. Целью образования по физической культуре </w:t>
      </w:r>
      <w:r>
        <w:rPr>
          <w:rFonts w:ascii="Times New Roman" w:hAnsi="Times New Roman" w:eastAsia="SchoolBookSanPin" w:cs="Times New Roman"/>
          <w:color w:val="auto"/>
          <w:sz w:val="22"/>
          <w:szCs w:val="22"/>
        </w:rPr>
        <w:t>на уровне начального общего образования</w:t>
      </w:r>
      <w:r>
        <w:rPr>
          <w:rFonts w:ascii="Times New Roman" w:hAnsi="Times New Roman" w:cs="Times New Roman"/>
          <w:color w:val="auto"/>
          <w:sz w:val="22"/>
          <w:szCs w:val="22"/>
        </w:rPr>
        <w:t xml:space="preserve"> является формирование у обучающихся основ здорового образа жизни, активной творческой самостоятельности в проведении разнообразных форм занятий физическими упражнениями. Достижение данной цели обеспечивается ориентацией учебного предмета на укрепление и сохранение здоровья обучающихся, приобретение ими знаний и способов самостоятельной деятельности, развитие физических качеств и освоение физических упражнений оздоровительной, спортивной и прикладно-ориентированной направленности. </w:t>
      </w:r>
    </w:p>
    <w:p w14:paraId="0E8E140D">
      <w:pPr>
        <w:pStyle w:val="99"/>
        <w:spacing w:line="360" w:lineRule="auto"/>
        <w:ind w:firstLine="709"/>
        <w:contextualSpacing/>
        <w:rPr>
          <w:rFonts w:ascii="Times New Roman" w:hAnsi="Times New Roman" w:cs="Times New Roman"/>
          <w:color w:val="auto"/>
          <w:sz w:val="22"/>
          <w:szCs w:val="22"/>
        </w:rPr>
      </w:pPr>
      <w:r>
        <w:rPr>
          <w:rFonts w:ascii="Times New Roman" w:hAnsi="Times New Roman" w:cs="Times New Roman"/>
          <w:color w:val="auto"/>
          <w:sz w:val="22"/>
          <w:szCs w:val="22"/>
        </w:rPr>
        <w:t xml:space="preserve">16.3.1.6. Развивающая ориентация учебного предмета «Физическая культура» заключается в формировании у обучающихся необходимого и достаточного физического здоровья, уровня развития физических качеств и обучения физическим упражнениям разной функциональной направленности. Существенным достижением такой ориентации является постепенное вовлечение обучающихся в здоровый образ жизни за счёт овладения ими знаниями и умениями по организации самостоятельных занятий подвижными играми, коррекционной, дыхательной и зрительной гимнастикой, проведения физкультминуток и утренней зарядки, закаливающих процедур, наблюдений за физическим развитием и физической подготовленностью. </w:t>
      </w:r>
    </w:p>
    <w:p w14:paraId="2F792AAE">
      <w:pPr>
        <w:pStyle w:val="99"/>
        <w:spacing w:line="360" w:lineRule="auto"/>
        <w:ind w:firstLine="709"/>
        <w:contextualSpacing/>
        <w:rPr>
          <w:rFonts w:ascii="Times New Roman" w:hAnsi="Times New Roman" w:cs="Times New Roman"/>
          <w:color w:val="auto"/>
          <w:sz w:val="22"/>
          <w:szCs w:val="22"/>
        </w:rPr>
      </w:pPr>
      <w:r>
        <w:rPr>
          <w:rFonts w:ascii="Times New Roman" w:hAnsi="Times New Roman" w:cs="Times New Roman"/>
          <w:color w:val="auto"/>
          <w:sz w:val="22"/>
          <w:szCs w:val="22"/>
        </w:rPr>
        <w:t xml:space="preserve">16.3.1.7. Воспитывающее значение учебного предмета раскрывается в приобщении обучающихся к истории и традициям физической культуры и спорта народов России, формировании интереса к регулярным занятиям физической культурой и спортом, осознании роли занятий физической культурой в укреплении здоровья, организации активного отдыха и досуга. В процессе обучения у обучающихся активно формируются положительные навыки и способы поведения, общения и взаимодействия со сверстниками и учителями, оценивания своих действий и поступков в процессе совместной коллективной деятельности. </w:t>
      </w:r>
    </w:p>
    <w:p w14:paraId="080377EC">
      <w:pPr>
        <w:pStyle w:val="99"/>
        <w:spacing w:line="360" w:lineRule="auto"/>
        <w:ind w:firstLine="709"/>
        <w:contextualSpacing/>
        <w:rPr>
          <w:rFonts w:ascii="Times New Roman" w:hAnsi="Times New Roman" w:cs="Times New Roman"/>
          <w:color w:val="auto"/>
          <w:sz w:val="22"/>
          <w:szCs w:val="22"/>
        </w:rPr>
      </w:pPr>
      <w:r>
        <w:rPr>
          <w:rFonts w:ascii="Times New Roman" w:hAnsi="Times New Roman" w:cs="Times New Roman"/>
          <w:color w:val="auto"/>
          <w:sz w:val="22"/>
          <w:szCs w:val="22"/>
        </w:rPr>
        <w:t xml:space="preserve">16.3.1.8. Методологической основой структуры и содержания программы по физической культуре для начального общего образования являются базовые положения личностно-деятельностного подхода, ориентирующие педагогический процесс на развитие целостной личности обучающихся. Достижение целостного развития становится возможным благодаря освоению обучающимися двигательной деятельности, представляющей собой основу содержания учебного предмета «Физическая культура». Двигательная деятельность оказывает активное влияние на развитие психической и социальной природы обучающихся. Как и любая деятельность, она включает в себя информационный, операциональный и мотивационно-процессуальный компоненты, которые находят своё отражение в соответствующих дидактических линиях учебного предмета. </w:t>
      </w:r>
    </w:p>
    <w:p w14:paraId="19DB75C5">
      <w:pPr>
        <w:pStyle w:val="99"/>
        <w:spacing w:line="360" w:lineRule="auto"/>
        <w:ind w:firstLine="709"/>
        <w:contextualSpacing/>
        <w:rPr>
          <w:rFonts w:ascii="Times New Roman" w:hAnsi="Times New Roman" w:cs="Times New Roman"/>
          <w:color w:val="auto"/>
          <w:sz w:val="22"/>
          <w:szCs w:val="22"/>
        </w:rPr>
      </w:pPr>
      <w:r>
        <w:rPr>
          <w:rFonts w:ascii="Times New Roman" w:hAnsi="Times New Roman" w:cs="Times New Roman"/>
          <w:color w:val="auto"/>
          <w:sz w:val="22"/>
          <w:szCs w:val="22"/>
        </w:rPr>
        <w:t xml:space="preserve">16.3.1.9. В целях усиления мотивационной составляющей учебного предмета и подготовки обучающихся к выполнению комплекса ГТО в структуру программы по физической культуре в раздел «Физическое совершенствование» вводится образовательный модуль «Прикладно-ориентированная физическая культура». Данный модуль позволит удовлетворить интересы обучающихся в занятиях спортом и активном участии в спортивных соревнованиях, развитии национальных форм соревновательной деятельности и систем физического воспитания. </w:t>
      </w:r>
    </w:p>
    <w:p w14:paraId="4F0B1599">
      <w:pPr>
        <w:pStyle w:val="99"/>
        <w:spacing w:line="360" w:lineRule="auto"/>
        <w:ind w:firstLine="709"/>
        <w:contextualSpacing/>
        <w:rPr>
          <w:rFonts w:ascii="Times New Roman" w:hAnsi="Times New Roman" w:cs="Times New Roman"/>
          <w:color w:val="auto"/>
          <w:sz w:val="22"/>
          <w:szCs w:val="22"/>
        </w:rPr>
      </w:pPr>
      <w:r>
        <w:rPr>
          <w:rFonts w:ascii="Times New Roman" w:hAnsi="Times New Roman" w:cs="Times New Roman"/>
          <w:color w:val="auto"/>
          <w:sz w:val="22"/>
          <w:szCs w:val="22"/>
        </w:rPr>
        <w:t xml:space="preserve">16.3.1.10. Содержание модуля «Прикладно-ориентированная физическая культура» обеспечивается программами по видам спорта, которые могут использоваться образовательными организациями исходя из интересов обучающихся, физкультурно-спортивных традиций, наличия необходимой материально-технической базы, квалификации педагогического состава. Образовательные организации могут разрабатывать своё содержание для модуля «Прикладно-ориентированная физическая культура» и включать в него популярные национальные виды спорта, подвижные игры и развлечения, основывающиеся на этнокультурных, исторических и современных традициях региона и школы. </w:t>
      </w:r>
    </w:p>
    <w:p w14:paraId="7F2E94D7">
      <w:pPr>
        <w:pStyle w:val="99"/>
        <w:spacing w:line="360" w:lineRule="auto"/>
        <w:ind w:firstLine="709"/>
        <w:contextualSpacing/>
        <w:rPr>
          <w:rFonts w:ascii="Times New Roman" w:hAnsi="Times New Roman" w:cs="Times New Roman"/>
          <w:color w:val="auto"/>
          <w:sz w:val="22"/>
          <w:szCs w:val="22"/>
        </w:rPr>
      </w:pPr>
      <w:r>
        <w:rPr>
          <w:rFonts w:ascii="Times New Roman" w:hAnsi="Times New Roman" w:cs="Times New Roman"/>
          <w:color w:val="auto"/>
          <w:sz w:val="22"/>
          <w:szCs w:val="22"/>
        </w:rPr>
        <w:t xml:space="preserve">16.3.1.11. Содержание программы по физической культуре изложено по годам обучения и раскрывает основные её содержательные линии, обязательные для изучения в каждом классе: «Знания о физической культуре», «Способы самостоятельной деятельности» и «Физическое совершенствование». </w:t>
      </w:r>
    </w:p>
    <w:p w14:paraId="3D319779">
      <w:pPr>
        <w:pStyle w:val="99"/>
        <w:spacing w:line="360" w:lineRule="auto"/>
        <w:ind w:firstLine="709"/>
        <w:contextualSpacing/>
        <w:rPr>
          <w:rFonts w:ascii="Times New Roman" w:hAnsi="Times New Roman" w:cs="Times New Roman"/>
          <w:color w:val="auto"/>
          <w:sz w:val="22"/>
          <w:szCs w:val="22"/>
        </w:rPr>
      </w:pPr>
      <w:r>
        <w:rPr>
          <w:rFonts w:ascii="Times New Roman" w:hAnsi="Times New Roman" w:cs="Times New Roman"/>
          <w:color w:val="auto"/>
          <w:sz w:val="22"/>
          <w:szCs w:val="22"/>
        </w:rPr>
        <w:t xml:space="preserve">16.3.1.12. Планируемые результаты включают в себя личностные, метапредметные и предметные результаты. </w:t>
      </w:r>
    </w:p>
    <w:p w14:paraId="43E56A35">
      <w:pPr>
        <w:pStyle w:val="99"/>
        <w:spacing w:line="360" w:lineRule="auto"/>
        <w:ind w:firstLine="709"/>
        <w:contextualSpacing/>
        <w:rPr>
          <w:rFonts w:ascii="Times New Roman" w:hAnsi="Times New Roman" w:cs="Times New Roman"/>
          <w:color w:val="auto"/>
          <w:sz w:val="22"/>
          <w:szCs w:val="22"/>
        </w:rPr>
      </w:pPr>
      <w:r>
        <w:rPr>
          <w:rFonts w:ascii="Times New Roman" w:hAnsi="Times New Roman" w:cs="Times New Roman"/>
          <w:color w:val="auto"/>
          <w:sz w:val="22"/>
          <w:szCs w:val="22"/>
        </w:rPr>
        <w:t xml:space="preserve">16.3.1.13. Результативность освоения учебного предмета обучающимися достигается посредством современных научно-обоснованных инновационных средств, методов и форм обучения, информационно-коммуникативных технологий и передового педагогического опыта. </w:t>
      </w:r>
    </w:p>
    <w:p w14:paraId="344A0775">
      <w:pPr>
        <w:pStyle w:val="99"/>
        <w:spacing w:line="360" w:lineRule="auto"/>
        <w:ind w:firstLine="709"/>
        <w:contextualSpacing/>
        <w:rPr>
          <w:rFonts w:ascii="Times New Roman" w:hAnsi="Times New Roman" w:cs="Times New Roman"/>
          <w:color w:val="auto"/>
          <w:sz w:val="22"/>
          <w:szCs w:val="22"/>
        </w:rPr>
      </w:pPr>
      <w:r>
        <w:rPr>
          <w:rFonts w:ascii="Times New Roman" w:hAnsi="Times New Roman" w:cs="Times New Roman"/>
          <w:color w:val="auto"/>
          <w:sz w:val="22"/>
          <w:szCs w:val="22"/>
        </w:rPr>
        <w:t>16.3.1.14. </w:t>
      </w:r>
      <w:bookmarkStart w:id="255" w:name="_Toc103687208"/>
      <w:r>
        <w:rPr>
          <w:rFonts w:ascii="Times New Roman" w:hAnsi="Times New Roman" w:cs="Times New Roman"/>
          <w:color w:val="auto"/>
          <w:sz w:val="22"/>
          <w:szCs w:val="22"/>
        </w:rPr>
        <w:t>Общее число часов, рекомендованных для изучения физической культуры – 270 часов: в 1 классе – 66 часов (2 часа в неделю), во 2 классе – 68 часа (2 часа в неделю), в 3 классе – 68 часа (2 часа в неделю), в 4 классе – 68 часа (2 часа в неделю).</w:t>
      </w:r>
    </w:p>
    <w:bookmarkEnd w:id="255"/>
    <w:p w14:paraId="0A4A7982">
      <w:pPr>
        <w:pStyle w:val="99"/>
        <w:spacing w:line="360" w:lineRule="auto"/>
        <w:ind w:firstLine="709"/>
        <w:contextualSpacing/>
        <w:rPr>
          <w:rFonts w:ascii="Times New Roman" w:hAnsi="Times New Roman" w:cs="Times New Roman"/>
          <w:color w:val="auto"/>
          <w:sz w:val="22"/>
          <w:szCs w:val="22"/>
        </w:rPr>
      </w:pPr>
      <w:bookmarkStart w:id="256" w:name="_Toc103687209"/>
      <w:r>
        <w:rPr>
          <w:rFonts w:ascii="Times New Roman" w:hAnsi="Times New Roman" w:cs="Times New Roman"/>
          <w:color w:val="auto"/>
          <w:sz w:val="22"/>
          <w:szCs w:val="22"/>
        </w:rPr>
        <w:t>16.3.2. Содержание обучения в 1 класс</w:t>
      </w:r>
      <w:bookmarkEnd w:id="256"/>
      <w:r>
        <w:rPr>
          <w:rFonts w:ascii="Times New Roman" w:hAnsi="Times New Roman" w:cs="Times New Roman"/>
          <w:color w:val="auto"/>
          <w:sz w:val="22"/>
          <w:szCs w:val="22"/>
        </w:rPr>
        <w:t xml:space="preserve">е. </w:t>
      </w:r>
    </w:p>
    <w:p w14:paraId="060387B9">
      <w:pPr>
        <w:pStyle w:val="99"/>
        <w:spacing w:line="360" w:lineRule="auto"/>
        <w:ind w:firstLine="709"/>
        <w:contextualSpacing/>
        <w:rPr>
          <w:rFonts w:ascii="Times New Roman" w:hAnsi="Times New Roman" w:cs="Times New Roman"/>
          <w:color w:val="auto"/>
          <w:sz w:val="22"/>
          <w:szCs w:val="22"/>
        </w:rPr>
      </w:pPr>
      <w:r>
        <w:rPr>
          <w:rFonts w:ascii="Times New Roman" w:hAnsi="Times New Roman" w:cs="Times New Roman"/>
          <w:color w:val="auto"/>
          <w:sz w:val="22"/>
          <w:szCs w:val="22"/>
        </w:rPr>
        <w:t>16.3.2.1. </w:t>
      </w:r>
      <w:r>
        <w:rPr>
          <w:rStyle w:val="101"/>
          <w:rFonts w:ascii="Times New Roman" w:hAnsi="Times New Roman" w:cs="Times New Roman"/>
          <w:b w:val="0"/>
          <w:bCs w:val="0"/>
          <w:i w:val="0"/>
          <w:iCs w:val="0"/>
          <w:color w:val="auto"/>
          <w:sz w:val="22"/>
          <w:szCs w:val="22"/>
        </w:rPr>
        <w:t>Знания о физической культуре.</w:t>
      </w:r>
      <w:r>
        <w:rPr>
          <w:rFonts w:ascii="Times New Roman" w:hAnsi="Times New Roman" w:cs="Times New Roman"/>
          <w:color w:val="auto"/>
          <w:sz w:val="22"/>
          <w:szCs w:val="22"/>
        </w:rPr>
        <w:t xml:space="preserve"> </w:t>
      </w:r>
    </w:p>
    <w:p w14:paraId="643ACA6C">
      <w:pPr>
        <w:pStyle w:val="99"/>
        <w:spacing w:line="360" w:lineRule="auto"/>
        <w:ind w:firstLine="709"/>
        <w:contextualSpacing/>
        <w:rPr>
          <w:rFonts w:ascii="Times New Roman" w:hAnsi="Times New Roman" w:cs="Times New Roman"/>
          <w:color w:val="auto"/>
          <w:sz w:val="22"/>
          <w:szCs w:val="22"/>
        </w:rPr>
      </w:pPr>
      <w:r>
        <w:rPr>
          <w:rFonts w:ascii="Times New Roman" w:hAnsi="Times New Roman" w:cs="Times New Roman"/>
          <w:color w:val="auto"/>
          <w:sz w:val="22"/>
          <w:szCs w:val="22"/>
        </w:rPr>
        <w:t xml:space="preserve">Понятие «физическая культура» как занятия физическими упражнениями и спортом по укреплению здоровья, физическому развитию и физической подготовке. Связь физических упражнений с движениями животных и трудовыми действиями древних людей. </w:t>
      </w:r>
    </w:p>
    <w:p w14:paraId="330CCF2E">
      <w:pPr>
        <w:pStyle w:val="99"/>
        <w:spacing w:line="360" w:lineRule="auto"/>
        <w:ind w:firstLine="709"/>
        <w:contextualSpacing/>
        <w:rPr>
          <w:rFonts w:ascii="Times New Roman" w:hAnsi="Times New Roman" w:cs="Times New Roman"/>
          <w:color w:val="auto"/>
          <w:sz w:val="22"/>
          <w:szCs w:val="22"/>
        </w:rPr>
      </w:pPr>
      <w:r>
        <w:rPr>
          <w:rFonts w:ascii="Times New Roman" w:hAnsi="Times New Roman" w:cs="Times New Roman"/>
          <w:color w:val="auto"/>
          <w:sz w:val="22"/>
          <w:szCs w:val="22"/>
        </w:rPr>
        <w:t>16.3.2.2. </w:t>
      </w:r>
      <w:r>
        <w:rPr>
          <w:rStyle w:val="101"/>
          <w:rFonts w:ascii="Times New Roman" w:hAnsi="Times New Roman" w:cs="Times New Roman"/>
          <w:b w:val="0"/>
          <w:bCs w:val="0"/>
          <w:i w:val="0"/>
          <w:iCs w:val="0"/>
          <w:color w:val="auto"/>
          <w:sz w:val="22"/>
          <w:szCs w:val="22"/>
        </w:rPr>
        <w:t>Способы самостоятельной деятельности.</w:t>
      </w:r>
      <w:r>
        <w:rPr>
          <w:rFonts w:ascii="Times New Roman" w:hAnsi="Times New Roman" w:cs="Times New Roman"/>
          <w:color w:val="auto"/>
          <w:sz w:val="22"/>
          <w:szCs w:val="22"/>
        </w:rPr>
        <w:t xml:space="preserve"> </w:t>
      </w:r>
    </w:p>
    <w:p w14:paraId="1B6DA8A6">
      <w:pPr>
        <w:pStyle w:val="99"/>
        <w:spacing w:line="360" w:lineRule="auto"/>
        <w:ind w:firstLine="709"/>
        <w:contextualSpacing/>
        <w:rPr>
          <w:rFonts w:ascii="Times New Roman" w:hAnsi="Times New Roman" w:cs="Times New Roman"/>
          <w:color w:val="auto"/>
          <w:sz w:val="22"/>
          <w:szCs w:val="22"/>
        </w:rPr>
      </w:pPr>
      <w:r>
        <w:rPr>
          <w:rFonts w:ascii="Times New Roman" w:hAnsi="Times New Roman" w:cs="Times New Roman"/>
          <w:color w:val="auto"/>
          <w:sz w:val="22"/>
          <w:szCs w:val="22"/>
        </w:rPr>
        <w:t xml:space="preserve">Режим дня и правила его составления и соблюдения. </w:t>
      </w:r>
    </w:p>
    <w:p w14:paraId="126BEF90">
      <w:pPr>
        <w:pStyle w:val="99"/>
        <w:spacing w:line="360" w:lineRule="auto"/>
        <w:ind w:firstLine="709"/>
        <w:contextualSpacing/>
        <w:rPr>
          <w:rFonts w:ascii="Times New Roman" w:hAnsi="Times New Roman" w:cs="Times New Roman"/>
          <w:color w:val="auto"/>
          <w:sz w:val="22"/>
          <w:szCs w:val="22"/>
        </w:rPr>
      </w:pPr>
      <w:r>
        <w:rPr>
          <w:rFonts w:ascii="Times New Roman" w:hAnsi="Times New Roman" w:cs="Times New Roman"/>
          <w:color w:val="auto"/>
          <w:sz w:val="22"/>
          <w:szCs w:val="22"/>
        </w:rPr>
        <w:t>16.3.2.3. </w:t>
      </w:r>
      <w:r>
        <w:rPr>
          <w:rStyle w:val="101"/>
          <w:rFonts w:ascii="Times New Roman" w:hAnsi="Times New Roman" w:cs="Times New Roman"/>
          <w:b w:val="0"/>
          <w:bCs w:val="0"/>
          <w:i w:val="0"/>
          <w:iCs w:val="0"/>
          <w:color w:val="auto"/>
          <w:sz w:val="22"/>
          <w:szCs w:val="22"/>
        </w:rPr>
        <w:t>Физическое совершенствование.</w:t>
      </w:r>
      <w:r>
        <w:rPr>
          <w:rFonts w:ascii="Times New Roman" w:hAnsi="Times New Roman" w:cs="Times New Roman"/>
          <w:color w:val="auto"/>
          <w:sz w:val="22"/>
          <w:szCs w:val="22"/>
        </w:rPr>
        <w:t xml:space="preserve"> </w:t>
      </w:r>
    </w:p>
    <w:p w14:paraId="11674A09">
      <w:pPr>
        <w:pStyle w:val="99"/>
        <w:spacing w:line="360" w:lineRule="auto"/>
        <w:ind w:firstLine="709"/>
        <w:contextualSpacing/>
        <w:rPr>
          <w:rStyle w:val="102"/>
          <w:rFonts w:ascii="Times New Roman" w:hAnsi="Times New Roman" w:eastAsia="Calibri" w:cs="Times New Roman"/>
          <w:i w:val="0"/>
          <w:iCs w:val="0"/>
          <w:color w:val="auto"/>
          <w:sz w:val="22"/>
          <w:szCs w:val="22"/>
        </w:rPr>
      </w:pPr>
      <w:r>
        <w:rPr>
          <w:rFonts w:ascii="Times New Roman" w:hAnsi="Times New Roman" w:cs="Times New Roman"/>
          <w:color w:val="auto"/>
          <w:sz w:val="22"/>
          <w:szCs w:val="22"/>
        </w:rPr>
        <w:t>16.3.2.3.1. </w:t>
      </w:r>
      <w:r>
        <w:rPr>
          <w:rStyle w:val="102"/>
          <w:rFonts w:ascii="Times New Roman" w:hAnsi="Times New Roman" w:eastAsia="Calibri" w:cs="Times New Roman"/>
          <w:i w:val="0"/>
          <w:iCs w:val="0"/>
          <w:color w:val="auto"/>
          <w:sz w:val="22"/>
          <w:szCs w:val="22"/>
        </w:rPr>
        <w:t>Оздоровительная физическая культура</w:t>
      </w:r>
      <w:r>
        <w:rPr>
          <w:rFonts w:ascii="Times New Roman" w:hAnsi="Times New Roman" w:cs="Times New Roman"/>
          <w:color w:val="auto"/>
          <w:sz w:val="22"/>
          <w:szCs w:val="22"/>
        </w:rPr>
        <w:t>.</w:t>
      </w:r>
      <w:r>
        <w:rPr>
          <w:rStyle w:val="102"/>
          <w:rFonts w:ascii="Times New Roman" w:hAnsi="Times New Roman" w:eastAsia="Calibri" w:cs="Times New Roman"/>
          <w:i w:val="0"/>
          <w:iCs w:val="0"/>
          <w:color w:val="auto"/>
          <w:sz w:val="22"/>
          <w:szCs w:val="22"/>
        </w:rPr>
        <w:t xml:space="preserve"> </w:t>
      </w:r>
    </w:p>
    <w:p w14:paraId="0E6010BF">
      <w:pPr>
        <w:pStyle w:val="99"/>
        <w:spacing w:line="360" w:lineRule="auto"/>
        <w:ind w:firstLine="709"/>
        <w:contextualSpacing/>
        <w:rPr>
          <w:rFonts w:ascii="Times New Roman" w:hAnsi="Times New Roman" w:cs="Times New Roman"/>
          <w:color w:val="auto"/>
          <w:sz w:val="22"/>
          <w:szCs w:val="22"/>
        </w:rPr>
      </w:pPr>
      <w:r>
        <w:rPr>
          <w:rFonts w:ascii="Times New Roman" w:hAnsi="Times New Roman" w:cs="Times New Roman"/>
          <w:color w:val="auto"/>
          <w:sz w:val="22"/>
          <w:szCs w:val="22"/>
        </w:rPr>
        <w:t>Гигиена человека и требования к проведению гигиенических процедур. Осанка и комплексы упражнений для правильного её развития. Физические упражнения для физкультминуток и утренней зарядки.</w:t>
      </w:r>
    </w:p>
    <w:p w14:paraId="7F08FAA3">
      <w:pPr>
        <w:pStyle w:val="99"/>
        <w:spacing w:line="360" w:lineRule="auto"/>
        <w:ind w:firstLine="709"/>
        <w:contextualSpacing/>
        <w:rPr>
          <w:rFonts w:ascii="Times New Roman" w:hAnsi="Times New Roman" w:cs="Times New Roman"/>
          <w:color w:val="auto"/>
          <w:sz w:val="22"/>
          <w:szCs w:val="22"/>
        </w:rPr>
      </w:pPr>
      <w:r>
        <w:rPr>
          <w:rFonts w:ascii="Times New Roman" w:hAnsi="Times New Roman" w:cs="Times New Roman"/>
          <w:color w:val="auto"/>
          <w:sz w:val="22"/>
          <w:szCs w:val="22"/>
        </w:rPr>
        <w:t>16.3.2.3.2. </w:t>
      </w:r>
      <w:r>
        <w:rPr>
          <w:rStyle w:val="102"/>
          <w:rFonts w:ascii="Times New Roman" w:hAnsi="Times New Roman" w:eastAsia="Calibri" w:cs="Times New Roman"/>
          <w:i w:val="0"/>
          <w:iCs w:val="0"/>
          <w:color w:val="auto"/>
          <w:sz w:val="22"/>
          <w:szCs w:val="22"/>
        </w:rPr>
        <w:t>Спортивно-оздоровительная физическая культура</w:t>
      </w:r>
      <w:r>
        <w:rPr>
          <w:rFonts w:ascii="Times New Roman" w:hAnsi="Times New Roman" w:cs="Times New Roman"/>
          <w:color w:val="auto"/>
          <w:sz w:val="22"/>
          <w:szCs w:val="22"/>
        </w:rPr>
        <w:t xml:space="preserve">. </w:t>
      </w:r>
    </w:p>
    <w:p w14:paraId="37A199D7">
      <w:pPr>
        <w:pStyle w:val="99"/>
        <w:spacing w:line="360" w:lineRule="auto"/>
        <w:ind w:firstLine="709"/>
        <w:contextualSpacing/>
        <w:rPr>
          <w:rStyle w:val="102"/>
          <w:rFonts w:ascii="Times New Roman" w:hAnsi="Times New Roman" w:eastAsia="Calibri" w:cs="Times New Roman"/>
          <w:i w:val="0"/>
          <w:iCs w:val="0"/>
          <w:color w:val="auto"/>
          <w:sz w:val="22"/>
          <w:szCs w:val="22"/>
        </w:rPr>
      </w:pPr>
      <w:r>
        <w:rPr>
          <w:rFonts w:ascii="Times New Roman" w:hAnsi="Times New Roman" w:cs="Times New Roman"/>
          <w:color w:val="auto"/>
          <w:sz w:val="22"/>
          <w:szCs w:val="22"/>
        </w:rPr>
        <w:t>Правила поведения на уроках физической культуры, подбора одежды для занятий в спортивном зале и на открытом воздухе.</w:t>
      </w:r>
      <w:r>
        <w:rPr>
          <w:rStyle w:val="102"/>
          <w:rFonts w:ascii="Times New Roman" w:hAnsi="Times New Roman" w:eastAsia="Calibri" w:cs="Times New Roman"/>
          <w:i w:val="0"/>
          <w:iCs w:val="0"/>
          <w:color w:val="auto"/>
          <w:sz w:val="22"/>
          <w:szCs w:val="22"/>
        </w:rPr>
        <w:t xml:space="preserve"> </w:t>
      </w:r>
    </w:p>
    <w:p w14:paraId="0F1CB108">
      <w:pPr>
        <w:pStyle w:val="99"/>
        <w:spacing w:line="360" w:lineRule="auto"/>
        <w:ind w:firstLine="709"/>
        <w:contextualSpacing/>
        <w:rPr>
          <w:rFonts w:ascii="Times New Roman" w:hAnsi="Times New Roman" w:cs="Times New Roman"/>
          <w:color w:val="auto"/>
          <w:spacing w:val="2"/>
          <w:sz w:val="22"/>
          <w:szCs w:val="22"/>
        </w:rPr>
      </w:pPr>
      <w:r>
        <w:rPr>
          <w:rFonts w:ascii="Times New Roman" w:hAnsi="Times New Roman" w:cs="Times New Roman"/>
          <w:color w:val="auto"/>
          <w:spacing w:val="2"/>
          <w:sz w:val="22"/>
          <w:szCs w:val="22"/>
        </w:rPr>
        <w:t xml:space="preserve">Гимнастика с основами акробатики. </w:t>
      </w:r>
    </w:p>
    <w:p w14:paraId="737F575E">
      <w:pPr>
        <w:pStyle w:val="99"/>
        <w:spacing w:line="360" w:lineRule="auto"/>
        <w:ind w:firstLine="709"/>
        <w:contextualSpacing/>
        <w:rPr>
          <w:rFonts w:ascii="Times New Roman" w:hAnsi="Times New Roman" w:cs="Times New Roman"/>
          <w:color w:val="auto"/>
          <w:spacing w:val="2"/>
          <w:sz w:val="22"/>
          <w:szCs w:val="22"/>
        </w:rPr>
      </w:pPr>
      <w:r>
        <w:rPr>
          <w:rFonts w:ascii="Times New Roman" w:hAnsi="Times New Roman" w:cs="Times New Roman"/>
          <w:color w:val="auto"/>
          <w:spacing w:val="2"/>
          <w:sz w:val="22"/>
          <w:szCs w:val="22"/>
        </w:rPr>
        <w:t xml:space="preserve">Исходные положения в физических упражнениях: стойки, упоры, седы, положения лёжа. Строевые упражнения: построение и перестроение в одну и две шеренги, стоя на месте, повороты направо и налево, передвижение в колонне по одному с равномерной скоростью. </w:t>
      </w:r>
    </w:p>
    <w:p w14:paraId="65360ADD">
      <w:pPr>
        <w:pStyle w:val="99"/>
        <w:spacing w:line="360" w:lineRule="auto"/>
        <w:ind w:firstLine="709"/>
        <w:contextualSpacing/>
        <w:rPr>
          <w:rFonts w:ascii="Times New Roman" w:hAnsi="Times New Roman" w:cs="Times New Roman"/>
          <w:color w:val="auto"/>
          <w:sz w:val="22"/>
          <w:szCs w:val="22"/>
        </w:rPr>
      </w:pPr>
      <w:r>
        <w:rPr>
          <w:rFonts w:ascii="Times New Roman" w:hAnsi="Times New Roman" w:cs="Times New Roman"/>
          <w:color w:val="auto"/>
          <w:sz w:val="22"/>
          <w:szCs w:val="22"/>
        </w:rPr>
        <w:t xml:space="preserve">Гимнастические упражнения: стилизованные способы передвижения ходьбой и бегом, упражнения с гимнастическим мячом и гимнастической скакалкой, стилизованные гимнастические прыжки. </w:t>
      </w:r>
    </w:p>
    <w:p w14:paraId="0CD568B4">
      <w:pPr>
        <w:pStyle w:val="99"/>
        <w:spacing w:line="360" w:lineRule="auto"/>
        <w:ind w:firstLine="709"/>
        <w:contextualSpacing/>
        <w:rPr>
          <w:rFonts w:ascii="Times New Roman" w:hAnsi="Times New Roman" w:cs="Times New Roman"/>
          <w:color w:val="auto"/>
          <w:sz w:val="22"/>
          <w:szCs w:val="22"/>
        </w:rPr>
      </w:pPr>
      <w:r>
        <w:rPr>
          <w:rFonts w:ascii="Times New Roman" w:hAnsi="Times New Roman" w:cs="Times New Roman"/>
          <w:color w:val="auto"/>
          <w:sz w:val="22"/>
          <w:szCs w:val="22"/>
        </w:rPr>
        <w:t xml:space="preserve">Акробатические упражнения: подъём туловища из положения лёжа на спине и животе, подъём ног из положения лёжа на животе, сгибание рук в положении упор лёжа, прыжки в группировке, толчком двумя ногами, прыжки в упоре на руки, толчком двумя ногами. </w:t>
      </w:r>
    </w:p>
    <w:p w14:paraId="27E2B971">
      <w:pPr>
        <w:pStyle w:val="99"/>
        <w:spacing w:line="360" w:lineRule="auto"/>
        <w:ind w:firstLine="709"/>
        <w:contextualSpacing/>
        <w:rPr>
          <w:rFonts w:ascii="Times New Roman" w:hAnsi="Times New Roman" w:cs="Times New Roman"/>
          <w:color w:val="auto"/>
          <w:sz w:val="22"/>
          <w:szCs w:val="22"/>
        </w:rPr>
      </w:pPr>
      <w:r>
        <w:rPr>
          <w:rFonts w:ascii="Times New Roman" w:hAnsi="Times New Roman" w:cs="Times New Roman"/>
          <w:color w:val="auto"/>
          <w:sz w:val="22"/>
          <w:szCs w:val="22"/>
        </w:rPr>
        <w:t>Лыжная подготовка</w:t>
      </w:r>
      <w:r>
        <w:rPr>
          <w:rStyle w:val="102"/>
          <w:rFonts w:ascii="Times New Roman" w:hAnsi="Times New Roman" w:eastAsia="Calibri" w:cs="Times New Roman"/>
          <w:i w:val="0"/>
          <w:iCs w:val="0"/>
          <w:color w:val="auto"/>
          <w:sz w:val="22"/>
          <w:szCs w:val="22"/>
        </w:rPr>
        <w:t>.</w:t>
      </w:r>
      <w:r>
        <w:rPr>
          <w:rFonts w:ascii="Times New Roman" w:hAnsi="Times New Roman" w:cs="Times New Roman"/>
          <w:color w:val="auto"/>
          <w:sz w:val="22"/>
          <w:szCs w:val="22"/>
        </w:rPr>
        <w:t xml:space="preserve"> </w:t>
      </w:r>
    </w:p>
    <w:p w14:paraId="34841F73">
      <w:pPr>
        <w:pStyle w:val="99"/>
        <w:spacing w:line="360" w:lineRule="auto"/>
        <w:ind w:firstLine="709"/>
        <w:contextualSpacing/>
        <w:rPr>
          <w:rFonts w:ascii="Times New Roman" w:hAnsi="Times New Roman" w:cs="Times New Roman"/>
          <w:color w:val="auto"/>
          <w:sz w:val="22"/>
          <w:szCs w:val="22"/>
        </w:rPr>
      </w:pPr>
      <w:r>
        <w:rPr>
          <w:rFonts w:ascii="Times New Roman" w:hAnsi="Times New Roman" w:cs="Times New Roman"/>
          <w:color w:val="auto"/>
          <w:sz w:val="22"/>
          <w:szCs w:val="22"/>
        </w:rPr>
        <w:t xml:space="preserve">Переноска лыж к месту занятия. Основная стойка лыжника. Передвижение на лыжах ступающим шагом (без палок). Передвижение на лыжах скользящим шагом (без палок). </w:t>
      </w:r>
    </w:p>
    <w:p w14:paraId="6C39926F">
      <w:pPr>
        <w:pStyle w:val="99"/>
        <w:spacing w:line="360" w:lineRule="auto"/>
        <w:ind w:firstLine="709"/>
        <w:contextualSpacing/>
        <w:rPr>
          <w:rFonts w:ascii="Times New Roman" w:hAnsi="Times New Roman" w:cs="Times New Roman"/>
          <w:color w:val="auto"/>
          <w:sz w:val="22"/>
          <w:szCs w:val="22"/>
        </w:rPr>
      </w:pPr>
      <w:r>
        <w:rPr>
          <w:rFonts w:ascii="Times New Roman" w:hAnsi="Times New Roman" w:cs="Times New Roman"/>
          <w:color w:val="auto"/>
          <w:sz w:val="22"/>
          <w:szCs w:val="22"/>
        </w:rPr>
        <w:t xml:space="preserve">Лёгкая атлетика. </w:t>
      </w:r>
    </w:p>
    <w:p w14:paraId="40714A4C">
      <w:pPr>
        <w:pStyle w:val="99"/>
        <w:spacing w:line="360" w:lineRule="auto"/>
        <w:ind w:firstLine="709"/>
        <w:contextualSpacing/>
        <w:rPr>
          <w:rFonts w:ascii="Times New Roman" w:hAnsi="Times New Roman" w:cs="Times New Roman"/>
          <w:color w:val="auto"/>
          <w:sz w:val="22"/>
          <w:szCs w:val="22"/>
        </w:rPr>
      </w:pPr>
      <w:r>
        <w:rPr>
          <w:rFonts w:ascii="Times New Roman" w:hAnsi="Times New Roman" w:cs="Times New Roman"/>
          <w:color w:val="auto"/>
          <w:sz w:val="22"/>
          <w:szCs w:val="22"/>
        </w:rPr>
        <w:t xml:space="preserve">Равномерная ходьба и равномерный бег. Прыжки в длину и высоту с места толчком двумя ногами, в высоту с прямого разбега. </w:t>
      </w:r>
    </w:p>
    <w:p w14:paraId="73A9F1D5">
      <w:pPr>
        <w:pStyle w:val="99"/>
        <w:spacing w:line="360" w:lineRule="auto"/>
        <w:ind w:firstLine="709"/>
        <w:contextualSpacing/>
        <w:rPr>
          <w:rFonts w:ascii="Times New Roman" w:hAnsi="Times New Roman" w:cs="Times New Roman"/>
          <w:color w:val="auto"/>
          <w:sz w:val="22"/>
          <w:szCs w:val="22"/>
        </w:rPr>
      </w:pPr>
      <w:r>
        <w:rPr>
          <w:rFonts w:ascii="Times New Roman" w:hAnsi="Times New Roman" w:cs="Times New Roman"/>
          <w:color w:val="auto"/>
          <w:sz w:val="22"/>
          <w:szCs w:val="22"/>
        </w:rPr>
        <w:t xml:space="preserve">Подвижные и спортивные игры. </w:t>
      </w:r>
    </w:p>
    <w:p w14:paraId="2B25B78D">
      <w:pPr>
        <w:pStyle w:val="99"/>
        <w:spacing w:line="360" w:lineRule="auto"/>
        <w:ind w:firstLine="709"/>
        <w:contextualSpacing/>
        <w:rPr>
          <w:rFonts w:ascii="Times New Roman" w:hAnsi="Times New Roman" w:cs="Times New Roman"/>
          <w:color w:val="auto"/>
          <w:sz w:val="22"/>
          <w:szCs w:val="22"/>
        </w:rPr>
      </w:pPr>
      <w:r>
        <w:rPr>
          <w:rFonts w:ascii="Times New Roman" w:hAnsi="Times New Roman" w:cs="Times New Roman"/>
          <w:color w:val="auto"/>
          <w:sz w:val="22"/>
          <w:szCs w:val="22"/>
        </w:rPr>
        <w:t>Считалки для самостоятельной организации подвижных игр.</w:t>
      </w:r>
    </w:p>
    <w:p w14:paraId="578C7F9B">
      <w:pPr>
        <w:pStyle w:val="99"/>
        <w:spacing w:line="360" w:lineRule="auto"/>
        <w:ind w:firstLine="709"/>
        <w:contextualSpacing/>
        <w:rPr>
          <w:rStyle w:val="102"/>
          <w:rFonts w:ascii="Times New Roman" w:hAnsi="Times New Roman" w:eastAsia="Calibri" w:cs="Times New Roman"/>
          <w:i w:val="0"/>
          <w:iCs w:val="0"/>
          <w:color w:val="auto"/>
          <w:sz w:val="22"/>
          <w:szCs w:val="22"/>
        </w:rPr>
      </w:pPr>
      <w:r>
        <w:rPr>
          <w:rFonts w:ascii="Times New Roman" w:hAnsi="Times New Roman" w:cs="Times New Roman"/>
          <w:color w:val="auto"/>
          <w:sz w:val="22"/>
          <w:szCs w:val="22"/>
        </w:rPr>
        <w:t>16.3.2.3.3. </w:t>
      </w:r>
      <w:r>
        <w:rPr>
          <w:rStyle w:val="102"/>
          <w:rFonts w:ascii="Times New Roman" w:hAnsi="Times New Roman" w:eastAsia="Calibri" w:cs="Times New Roman"/>
          <w:i w:val="0"/>
          <w:iCs w:val="0"/>
          <w:color w:val="auto"/>
          <w:sz w:val="22"/>
          <w:szCs w:val="22"/>
        </w:rPr>
        <w:t xml:space="preserve">Прикладно-ориентированная физическая культура. </w:t>
      </w:r>
    </w:p>
    <w:p w14:paraId="12F985F8">
      <w:pPr>
        <w:pStyle w:val="99"/>
        <w:spacing w:line="360" w:lineRule="auto"/>
        <w:ind w:firstLine="709"/>
        <w:contextualSpacing/>
        <w:rPr>
          <w:rFonts w:ascii="Times New Roman" w:hAnsi="Times New Roman" w:cs="Times New Roman"/>
          <w:color w:val="auto"/>
          <w:sz w:val="22"/>
          <w:szCs w:val="22"/>
        </w:rPr>
      </w:pPr>
      <w:r>
        <w:rPr>
          <w:rFonts w:ascii="Times New Roman" w:hAnsi="Times New Roman" w:cs="Times New Roman"/>
          <w:color w:val="auto"/>
          <w:sz w:val="22"/>
          <w:szCs w:val="22"/>
        </w:rPr>
        <w:t>Развитие основных физических качеств средствами спортивных и подвижных игр. Подготовка к выполнению нормативных требований комплекса ГТО.</w:t>
      </w:r>
      <w:bookmarkStart w:id="257" w:name="_Toc103687210"/>
    </w:p>
    <w:p w14:paraId="5C5D68FD">
      <w:pPr>
        <w:pStyle w:val="99"/>
        <w:spacing w:line="360" w:lineRule="auto"/>
        <w:ind w:firstLine="709"/>
        <w:contextualSpacing/>
        <w:rPr>
          <w:rFonts w:ascii="Times New Roman" w:hAnsi="Times New Roman" w:cs="Times New Roman"/>
          <w:color w:val="auto"/>
          <w:sz w:val="22"/>
          <w:szCs w:val="22"/>
        </w:rPr>
      </w:pPr>
      <w:r>
        <w:rPr>
          <w:rFonts w:ascii="Times New Roman" w:hAnsi="Times New Roman" w:cs="Times New Roman"/>
          <w:color w:val="auto"/>
          <w:sz w:val="22"/>
          <w:szCs w:val="22"/>
        </w:rPr>
        <w:t>16.3.3. Содержание обучения во 2 класс</w:t>
      </w:r>
      <w:bookmarkEnd w:id="257"/>
      <w:r>
        <w:rPr>
          <w:rFonts w:ascii="Times New Roman" w:hAnsi="Times New Roman" w:cs="Times New Roman"/>
          <w:color w:val="auto"/>
          <w:sz w:val="22"/>
          <w:szCs w:val="22"/>
        </w:rPr>
        <w:t>е.</w:t>
      </w:r>
    </w:p>
    <w:p w14:paraId="340B64AE">
      <w:pPr>
        <w:pStyle w:val="99"/>
        <w:spacing w:line="360" w:lineRule="auto"/>
        <w:ind w:firstLine="709"/>
        <w:contextualSpacing/>
        <w:rPr>
          <w:rFonts w:ascii="Times New Roman" w:hAnsi="Times New Roman" w:cs="Times New Roman"/>
          <w:color w:val="auto"/>
          <w:sz w:val="22"/>
          <w:szCs w:val="22"/>
        </w:rPr>
      </w:pPr>
      <w:r>
        <w:rPr>
          <w:rFonts w:ascii="Times New Roman" w:hAnsi="Times New Roman" w:cs="Times New Roman"/>
          <w:color w:val="auto"/>
          <w:sz w:val="22"/>
          <w:szCs w:val="22"/>
        </w:rPr>
        <w:t>16.3.3.1. </w:t>
      </w:r>
      <w:r>
        <w:rPr>
          <w:rStyle w:val="101"/>
          <w:rFonts w:ascii="Times New Roman" w:hAnsi="Times New Roman" w:cs="Times New Roman"/>
          <w:b w:val="0"/>
          <w:bCs w:val="0"/>
          <w:i w:val="0"/>
          <w:iCs w:val="0"/>
          <w:color w:val="auto"/>
          <w:sz w:val="22"/>
          <w:szCs w:val="22"/>
        </w:rPr>
        <w:t>Знания о физической культуре</w:t>
      </w:r>
      <w:r>
        <w:rPr>
          <w:rFonts w:ascii="Times New Roman" w:hAnsi="Times New Roman" w:cs="Times New Roman"/>
          <w:color w:val="auto"/>
          <w:sz w:val="22"/>
          <w:szCs w:val="22"/>
        </w:rPr>
        <w:t xml:space="preserve">. </w:t>
      </w:r>
    </w:p>
    <w:p w14:paraId="3C6E2DEA">
      <w:pPr>
        <w:pStyle w:val="99"/>
        <w:spacing w:line="360" w:lineRule="auto"/>
        <w:ind w:firstLine="709"/>
        <w:contextualSpacing/>
        <w:rPr>
          <w:rFonts w:ascii="Times New Roman" w:hAnsi="Times New Roman" w:cs="Times New Roman"/>
          <w:color w:val="auto"/>
          <w:sz w:val="22"/>
          <w:szCs w:val="22"/>
        </w:rPr>
      </w:pPr>
      <w:r>
        <w:rPr>
          <w:rFonts w:ascii="Times New Roman" w:hAnsi="Times New Roman" w:cs="Times New Roman"/>
          <w:color w:val="auto"/>
          <w:sz w:val="22"/>
          <w:szCs w:val="22"/>
        </w:rPr>
        <w:t>Из истории возникновения физических упражнений и первых соревнований. Зарождение Олимпийских игр древности.</w:t>
      </w:r>
    </w:p>
    <w:p w14:paraId="3F815519">
      <w:pPr>
        <w:pStyle w:val="99"/>
        <w:spacing w:line="360" w:lineRule="auto"/>
        <w:ind w:firstLine="709"/>
        <w:contextualSpacing/>
        <w:rPr>
          <w:rStyle w:val="101"/>
          <w:rFonts w:ascii="Times New Roman" w:hAnsi="Times New Roman" w:cs="Times New Roman"/>
          <w:b w:val="0"/>
          <w:bCs w:val="0"/>
          <w:i w:val="0"/>
          <w:iCs w:val="0"/>
          <w:color w:val="auto"/>
          <w:sz w:val="22"/>
          <w:szCs w:val="22"/>
        </w:rPr>
      </w:pPr>
      <w:r>
        <w:rPr>
          <w:rFonts w:ascii="Times New Roman" w:hAnsi="Times New Roman" w:cs="Times New Roman"/>
          <w:color w:val="auto"/>
          <w:sz w:val="22"/>
          <w:szCs w:val="22"/>
        </w:rPr>
        <w:t>16.3.3.2. </w:t>
      </w:r>
      <w:r>
        <w:rPr>
          <w:rStyle w:val="101"/>
          <w:rFonts w:ascii="Times New Roman" w:hAnsi="Times New Roman" w:cs="Times New Roman"/>
          <w:b w:val="0"/>
          <w:bCs w:val="0"/>
          <w:i w:val="0"/>
          <w:iCs w:val="0"/>
          <w:color w:val="auto"/>
          <w:sz w:val="22"/>
          <w:szCs w:val="22"/>
        </w:rPr>
        <w:t xml:space="preserve">Способы самостоятельной деятельности. </w:t>
      </w:r>
    </w:p>
    <w:p w14:paraId="50637EAF">
      <w:pPr>
        <w:pStyle w:val="99"/>
        <w:spacing w:line="360" w:lineRule="auto"/>
        <w:ind w:firstLine="709"/>
        <w:contextualSpacing/>
        <w:rPr>
          <w:rFonts w:ascii="Times New Roman" w:hAnsi="Times New Roman" w:cs="Times New Roman"/>
          <w:color w:val="auto"/>
          <w:sz w:val="22"/>
          <w:szCs w:val="22"/>
        </w:rPr>
      </w:pPr>
      <w:r>
        <w:rPr>
          <w:rFonts w:ascii="Times New Roman" w:hAnsi="Times New Roman" w:cs="Times New Roman"/>
          <w:color w:val="auto"/>
          <w:sz w:val="22"/>
          <w:szCs w:val="22"/>
        </w:rPr>
        <w:t>Физическое развитие и его измерение. Физические качества человека: сила, быстрота, выносливость, гибкость, координация и способы их измерения. Составление дневника наблюдений по физической культуре.</w:t>
      </w:r>
    </w:p>
    <w:p w14:paraId="7DBA3409">
      <w:pPr>
        <w:pStyle w:val="99"/>
        <w:spacing w:line="360" w:lineRule="auto"/>
        <w:ind w:firstLine="709"/>
        <w:contextualSpacing/>
        <w:rPr>
          <w:rFonts w:ascii="Times New Roman" w:hAnsi="Times New Roman" w:cs="Times New Roman"/>
          <w:color w:val="auto"/>
          <w:sz w:val="22"/>
          <w:szCs w:val="22"/>
        </w:rPr>
      </w:pPr>
      <w:r>
        <w:rPr>
          <w:rFonts w:ascii="Times New Roman" w:hAnsi="Times New Roman" w:cs="Times New Roman"/>
          <w:color w:val="auto"/>
          <w:sz w:val="22"/>
          <w:szCs w:val="22"/>
        </w:rPr>
        <w:t>16.3.3.3. </w:t>
      </w:r>
      <w:r>
        <w:rPr>
          <w:rStyle w:val="101"/>
          <w:rFonts w:ascii="Times New Roman" w:hAnsi="Times New Roman" w:cs="Times New Roman"/>
          <w:b w:val="0"/>
          <w:bCs w:val="0"/>
          <w:i w:val="0"/>
          <w:iCs w:val="0"/>
          <w:color w:val="auto"/>
          <w:sz w:val="22"/>
          <w:szCs w:val="22"/>
        </w:rPr>
        <w:t>Физическое совершенствование</w:t>
      </w:r>
      <w:r>
        <w:rPr>
          <w:rFonts w:ascii="Times New Roman" w:hAnsi="Times New Roman" w:cs="Times New Roman"/>
          <w:color w:val="auto"/>
          <w:sz w:val="22"/>
          <w:szCs w:val="22"/>
        </w:rPr>
        <w:t xml:space="preserve">. </w:t>
      </w:r>
    </w:p>
    <w:p w14:paraId="1D9A90B7">
      <w:pPr>
        <w:pStyle w:val="99"/>
        <w:spacing w:line="360" w:lineRule="auto"/>
        <w:ind w:firstLine="709"/>
        <w:contextualSpacing/>
        <w:rPr>
          <w:rFonts w:ascii="Times New Roman" w:hAnsi="Times New Roman" w:cs="Times New Roman"/>
          <w:color w:val="auto"/>
          <w:sz w:val="22"/>
          <w:szCs w:val="22"/>
        </w:rPr>
      </w:pPr>
      <w:r>
        <w:rPr>
          <w:rFonts w:ascii="Times New Roman" w:hAnsi="Times New Roman" w:cs="Times New Roman"/>
          <w:color w:val="auto"/>
          <w:sz w:val="22"/>
          <w:szCs w:val="22"/>
        </w:rPr>
        <w:t>16.3.3.3.1. </w:t>
      </w:r>
      <w:r>
        <w:rPr>
          <w:rStyle w:val="102"/>
          <w:rFonts w:ascii="Times New Roman" w:hAnsi="Times New Roman" w:eastAsia="Calibri" w:cs="Times New Roman"/>
          <w:i w:val="0"/>
          <w:iCs w:val="0"/>
          <w:color w:val="auto"/>
          <w:sz w:val="22"/>
          <w:szCs w:val="22"/>
        </w:rPr>
        <w:t>Оздоровительная физическая культура.</w:t>
      </w:r>
      <w:r>
        <w:rPr>
          <w:rFonts w:ascii="Times New Roman" w:hAnsi="Times New Roman" w:cs="Times New Roman"/>
          <w:color w:val="auto"/>
          <w:sz w:val="22"/>
          <w:szCs w:val="22"/>
        </w:rPr>
        <w:t xml:space="preserve"> </w:t>
      </w:r>
    </w:p>
    <w:p w14:paraId="1967613D">
      <w:pPr>
        <w:pStyle w:val="99"/>
        <w:spacing w:line="360" w:lineRule="auto"/>
        <w:ind w:firstLine="709"/>
        <w:contextualSpacing/>
        <w:rPr>
          <w:rFonts w:ascii="Times New Roman" w:hAnsi="Times New Roman" w:cs="Times New Roman"/>
          <w:color w:val="auto"/>
          <w:sz w:val="22"/>
          <w:szCs w:val="22"/>
        </w:rPr>
      </w:pPr>
      <w:r>
        <w:rPr>
          <w:rFonts w:ascii="Times New Roman" w:hAnsi="Times New Roman" w:cs="Times New Roman"/>
          <w:color w:val="auto"/>
          <w:sz w:val="22"/>
          <w:szCs w:val="22"/>
        </w:rPr>
        <w:t xml:space="preserve">Закаливание организма обтиранием. Составление комплекса утренней зарядки и физкультминутки для занятий в домашних условиях. </w:t>
      </w:r>
    </w:p>
    <w:p w14:paraId="5E2DE840">
      <w:pPr>
        <w:pStyle w:val="99"/>
        <w:spacing w:line="360" w:lineRule="auto"/>
        <w:ind w:firstLine="709"/>
        <w:contextualSpacing/>
        <w:rPr>
          <w:rStyle w:val="102"/>
          <w:rFonts w:ascii="Times New Roman" w:hAnsi="Times New Roman" w:eastAsia="Calibri" w:cs="Times New Roman"/>
          <w:i w:val="0"/>
          <w:iCs w:val="0"/>
          <w:color w:val="auto"/>
          <w:sz w:val="22"/>
          <w:szCs w:val="22"/>
        </w:rPr>
      </w:pPr>
      <w:r>
        <w:rPr>
          <w:rFonts w:ascii="Times New Roman" w:hAnsi="Times New Roman" w:cs="Times New Roman"/>
          <w:color w:val="auto"/>
          <w:sz w:val="22"/>
          <w:szCs w:val="22"/>
        </w:rPr>
        <w:t>16.3.3.3.2. </w:t>
      </w:r>
      <w:r>
        <w:rPr>
          <w:rStyle w:val="102"/>
          <w:rFonts w:ascii="Times New Roman" w:hAnsi="Times New Roman" w:eastAsia="Calibri" w:cs="Times New Roman"/>
          <w:i w:val="0"/>
          <w:iCs w:val="0"/>
          <w:color w:val="auto"/>
          <w:sz w:val="22"/>
          <w:szCs w:val="22"/>
        </w:rPr>
        <w:t xml:space="preserve">Спортивно-оздоровительная физическая культура. </w:t>
      </w:r>
    </w:p>
    <w:p w14:paraId="1390C62A">
      <w:pPr>
        <w:pStyle w:val="99"/>
        <w:spacing w:line="360" w:lineRule="auto"/>
        <w:ind w:firstLine="709"/>
        <w:contextualSpacing/>
        <w:rPr>
          <w:rFonts w:ascii="Times New Roman" w:hAnsi="Times New Roman" w:cs="Times New Roman"/>
          <w:color w:val="auto"/>
          <w:sz w:val="22"/>
          <w:szCs w:val="22"/>
        </w:rPr>
      </w:pPr>
      <w:r>
        <w:rPr>
          <w:rFonts w:ascii="Times New Roman" w:hAnsi="Times New Roman" w:cs="Times New Roman"/>
          <w:color w:val="auto"/>
          <w:sz w:val="22"/>
          <w:szCs w:val="22"/>
        </w:rPr>
        <w:t xml:space="preserve">Гимнастика с основами акробатики. </w:t>
      </w:r>
    </w:p>
    <w:p w14:paraId="63451D97">
      <w:pPr>
        <w:pStyle w:val="99"/>
        <w:spacing w:line="360" w:lineRule="auto"/>
        <w:ind w:firstLine="709"/>
        <w:contextualSpacing/>
        <w:rPr>
          <w:rFonts w:ascii="Times New Roman" w:hAnsi="Times New Roman" w:cs="Times New Roman"/>
          <w:color w:val="auto"/>
          <w:sz w:val="22"/>
          <w:szCs w:val="22"/>
        </w:rPr>
      </w:pPr>
      <w:r>
        <w:rPr>
          <w:rFonts w:ascii="Times New Roman" w:hAnsi="Times New Roman" w:cs="Times New Roman"/>
          <w:color w:val="auto"/>
          <w:sz w:val="22"/>
          <w:szCs w:val="22"/>
        </w:rPr>
        <w:t>Правила поведения на занятиях гимнастикой и акробатикой. Строевые команды в построении и перестроении в одну шеренгу и колонну по одному; при поворотах направо и налево, стоя на месте и в движении. Передвижение в колонне по одному с равномерной и изменяющейся скоростью движения.</w:t>
      </w:r>
    </w:p>
    <w:p w14:paraId="53A31F2E">
      <w:pPr>
        <w:pStyle w:val="99"/>
        <w:spacing w:line="360" w:lineRule="auto"/>
        <w:ind w:firstLine="709"/>
        <w:contextualSpacing/>
        <w:rPr>
          <w:rFonts w:ascii="Times New Roman" w:hAnsi="Times New Roman" w:cs="Times New Roman"/>
          <w:color w:val="auto"/>
          <w:sz w:val="22"/>
          <w:szCs w:val="22"/>
        </w:rPr>
      </w:pPr>
      <w:r>
        <w:rPr>
          <w:rFonts w:ascii="Times New Roman" w:hAnsi="Times New Roman" w:cs="Times New Roman"/>
          <w:color w:val="auto"/>
          <w:sz w:val="22"/>
          <w:szCs w:val="22"/>
        </w:rPr>
        <w:t xml:space="preserve">Упражнения разминки перед выполнением гимнастических упражнений. Прыжки со скакалкой на двух ногах и поочерёдно на правой и левой ноге на месте. Упражнения с гимнастическим мячом: подбрасывание, перекаты и наклоны с мячом в руках. Танцевальный хороводный шаг, танец галоп. </w:t>
      </w:r>
    </w:p>
    <w:p w14:paraId="0B02C81C">
      <w:pPr>
        <w:pStyle w:val="99"/>
        <w:spacing w:line="360" w:lineRule="auto"/>
        <w:ind w:firstLine="709"/>
        <w:contextualSpacing/>
        <w:rPr>
          <w:rFonts w:ascii="Times New Roman" w:hAnsi="Times New Roman" w:cs="Times New Roman"/>
          <w:color w:val="auto"/>
          <w:sz w:val="22"/>
          <w:szCs w:val="22"/>
        </w:rPr>
      </w:pPr>
      <w:r>
        <w:rPr>
          <w:rFonts w:ascii="Times New Roman" w:hAnsi="Times New Roman" w:cs="Times New Roman"/>
          <w:color w:val="auto"/>
          <w:sz w:val="22"/>
          <w:szCs w:val="22"/>
        </w:rPr>
        <w:t xml:space="preserve">Лыжная подготовка. </w:t>
      </w:r>
    </w:p>
    <w:p w14:paraId="0C894397">
      <w:pPr>
        <w:pStyle w:val="99"/>
        <w:spacing w:line="360" w:lineRule="auto"/>
        <w:ind w:firstLine="709"/>
        <w:contextualSpacing/>
        <w:rPr>
          <w:rFonts w:ascii="Times New Roman" w:hAnsi="Times New Roman" w:cs="Times New Roman"/>
          <w:color w:val="auto"/>
          <w:sz w:val="22"/>
          <w:szCs w:val="22"/>
        </w:rPr>
      </w:pPr>
      <w:r>
        <w:rPr>
          <w:rFonts w:ascii="Times New Roman" w:hAnsi="Times New Roman" w:cs="Times New Roman"/>
          <w:color w:val="auto"/>
          <w:sz w:val="22"/>
          <w:szCs w:val="22"/>
        </w:rPr>
        <w:t>Правила поведения на занятиях лыжной подготовкой. Упражнения на лыжах: передвижение двухшажным попеременным ходом, спуск с небольшого склона в основной стойке, торможение лыжными палками на учебной трассе и падением на бок во время спуска.</w:t>
      </w:r>
    </w:p>
    <w:p w14:paraId="25D20A8C">
      <w:pPr>
        <w:pStyle w:val="99"/>
        <w:spacing w:line="360" w:lineRule="auto"/>
        <w:ind w:firstLine="709"/>
        <w:contextualSpacing/>
        <w:rPr>
          <w:rFonts w:ascii="Times New Roman" w:hAnsi="Times New Roman" w:cs="Times New Roman"/>
          <w:color w:val="auto"/>
          <w:sz w:val="22"/>
          <w:szCs w:val="22"/>
        </w:rPr>
      </w:pPr>
      <w:r>
        <w:rPr>
          <w:rFonts w:ascii="Times New Roman" w:hAnsi="Times New Roman" w:cs="Times New Roman"/>
          <w:color w:val="auto"/>
          <w:sz w:val="22"/>
          <w:szCs w:val="22"/>
        </w:rPr>
        <w:t xml:space="preserve">Лёгкая атлетика. </w:t>
      </w:r>
    </w:p>
    <w:p w14:paraId="19AB92B2">
      <w:pPr>
        <w:pStyle w:val="99"/>
        <w:spacing w:line="360" w:lineRule="auto"/>
        <w:ind w:firstLine="709"/>
        <w:contextualSpacing/>
        <w:rPr>
          <w:rFonts w:ascii="Times New Roman" w:hAnsi="Times New Roman" w:cs="Times New Roman"/>
          <w:color w:val="auto"/>
          <w:sz w:val="22"/>
          <w:szCs w:val="22"/>
        </w:rPr>
      </w:pPr>
      <w:r>
        <w:rPr>
          <w:rFonts w:ascii="Times New Roman" w:hAnsi="Times New Roman" w:cs="Times New Roman"/>
          <w:color w:val="auto"/>
          <w:sz w:val="22"/>
          <w:szCs w:val="22"/>
        </w:rPr>
        <w:t>Правила поведения на занятиях лёгкой атлетикой. Броски малого мяча в неподвижную мишень разными способами из положения стоя, сидя и лёжа. Разнообразные сложно-координированные прыжки толчком одной ногой и двумя ногами с места, в движении в разных направлениях, с разной амплитудой и траекторией полёта. Прыжок в высоту с прямого разбега. Ходьба по гимнастической скамейке с изменением скорости и направления движения. Беговые сложно-координационные упражнения: ускорения из разных исходных положений, змейкой, по кругу, обеганием предметов, с преодолением небольших препятствий.</w:t>
      </w:r>
    </w:p>
    <w:p w14:paraId="68020E9C">
      <w:pPr>
        <w:pStyle w:val="99"/>
        <w:spacing w:line="360" w:lineRule="auto"/>
        <w:ind w:firstLine="709"/>
        <w:contextualSpacing/>
        <w:rPr>
          <w:rFonts w:ascii="Times New Roman" w:hAnsi="Times New Roman" w:cs="Times New Roman"/>
          <w:color w:val="auto"/>
          <w:sz w:val="22"/>
          <w:szCs w:val="22"/>
        </w:rPr>
      </w:pPr>
      <w:r>
        <w:rPr>
          <w:rFonts w:ascii="Times New Roman" w:hAnsi="Times New Roman" w:cs="Times New Roman"/>
          <w:color w:val="auto"/>
          <w:sz w:val="22"/>
          <w:szCs w:val="22"/>
        </w:rPr>
        <w:t xml:space="preserve">Подвижные игры. </w:t>
      </w:r>
    </w:p>
    <w:p w14:paraId="5498E59E">
      <w:pPr>
        <w:pStyle w:val="99"/>
        <w:spacing w:line="360" w:lineRule="auto"/>
        <w:ind w:firstLine="709"/>
        <w:contextualSpacing/>
        <w:rPr>
          <w:rFonts w:ascii="Times New Roman" w:hAnsi="Times New Roman" w:cs="Times New Roman"/>
          <w:color w:val="auto"/>
          <w:sz w:val="22"/>
          <w:szCs w:val="22"/>
        </w:rPr>
      </w:pPr>
      <w:r>
        <w:rPr>
          <w:rFonts w:ascii="Times New Roman" w:hAnsi="Times New Roman" w:cs="Times New Roman"/>
          <w:color w:val="auto"/>
          <w:sz w:val="22"/>
          <w:szCs w:val="22"/>
        </w:rPr>
        <w:t xml:space="preserve">Подвижные игры с техническими приёмами спортивных игр (баскетбол, футбол). </w:t>
      </w:r>
    </w:p>
    <w:p w14:paraId="6555BEEE">
      <w:pPr>
        <w:pStyle w:val="99"/>
        <w:spacing w:line="360" w:lineRule="auto"/>
        <w:ind w:firstLine="709"/>
        <w:contextualSpacing/>
        <w:rPr>
          <w:rStyle w:val="102"/>
          <w:rFonts w:ascii="Times New Roman" w:hAnsi="Times New Roman" w:eastAsia="Calibri" w:cs="Times New Roman"/>
          <w:i w:val="0"/>
          <w:iCs w:val="0"/>
          <w:color w:val="auto"/>
          <w:spacing w:val="1"/>
          <w:sz w:val="22"/>
          <w:szCs w:val="22"/>
        </w:rPr>
      </w:pPr>
      <w:r>
        <w:rPr>
          <w:rFonts w:ascii="Times New Roman" w:hAnsi="Times New Roman" w:cs="Times New Roman"/>
          <w:color w:val="auto"/>
          <w:sz w:val="22"/>
          <w:szCs w:val="22"/>
        </w:rPr>
        <w:t>16.3.3.3.3. </w:t>
      </w:r>
      <w:r>
        <w:rPr>
          <w:rStyle w:val="102"/>
          <w:rFonts w:ascii="Times New Roman" w:hAnsi="Times New Roman" w:eastAsia="Calibri" w:cs="Times New Roman"/>
          <w:i w:val="0"/>
          <w:iCs w:val="0"/>
          <w:color w:val="auto"/>
          <w:spacing w:val="1"/>
          <w:sz w:val="22"/>
          <w:szCs w:val="22"/>
        </w:rPr>
        <w:t xml:space="preserve">Прикладно-ориентированная физическая культура. </w:t>
      </w:r>
    </w:p>
    <w:p w14:paraId="67292726">
      <w:pPr>
        <w:pStyle w:val="99"/>
        <w:spacing w:line="360" w:lineRule="auto"/>
        <w:ind w:firstLine="709"/>
        <w:contextualSpacing/>
        <w:rPr>
          <w:rFonts w:ascii="Times New Roman" w:hAnsi="Times New Roman" w:cs="Times New Roman"/>
          <w:color w:val="auto"/>
          <w:spacing w:val="1"/>
          <w:sz w:val="22"/>
          <w:szCs w:val="22"/>
        </w:rPr>
      </w:pPr>
      <w:r>
        <w:rPr>
          <w:rFonts w:ascii="Times New Roman" w:hAnsi="Times New Roman" w:cs="Times New Roman"/>
          <w:color w:val="auto"/>
          <w:spacing w:val="1"/>
          <w:sz w:val="22"/>
          <w:szCs w:val="22"/>
        </w:rPr>
        <w:t>Подготовка к соревнованиям по комплексу ГТО. Развитие основных физических качеств средствами подвижных и спортивных игр.</w:t>
      </w:r>
      <w:bookmarkStart w:id="258" w:name="_Toc103687211"/>
    </w:p>
    <w:p w14:paraId="6CAA993C">
      <w:pPr>
        <w:pStyle w:val="99"/>
        <w:spacing w:line="360" w:lineRule="auto"/>
        <w:ind w:firstLine="709"/>
        <w:contextualSpacing/>
        <w:rPr>
          <w:rFonts w:ascii="Times New Roman" w:hAnsi="Times New Roman" w:cs="Times New Roman"/>
          <w:color w:val="auto"/>
          <w:spacing w:val="1"/>
          <w:sz w:val="22"/>
          <w:szCs w:val="22"/>
        </w:rPr>
      </w:pPr>
      <w:r>
        <w:rPr>
          <w:rFonts w:ascii="Times New Roman" w:hAnsi="Times New Roman" w:cs="Times New Roman"/>
          <w:color w:val="auto"/>
          <w:sz w:val="22"/>
          <w:szCs w:val="22"/>
        </w:rPr>
        <w:t>16.3.4. Содержание обучения в 3 класс</w:t>
      </w:r>
      <w:bookmarkEnd w:id="258"/>
      <w:r>
        <w:rPr>
          <w:rFonts w:ascii="Times New Roman" w:hAnsi="Times New Roman" w:cs="Times New Roman"/>
          <w:color w:val="auto"/>
          <w:sz w:val="22"/>
          <w:szCs w:val="22"/>
        </w:rPr>
        <w:t>е.</w:t>
      </w:r>
    </w:p>
    <w:p w14:paraId="2511F090">
      <w:pPr>
        <w:pStyle w:val="99"/>
        <w:spacing w:line="360" w:lineRule="auto"/>
        <w:ind w:firstLine="709"/>
        <w:contextualSpacing/>
        <w:rPr>
          <w:rFonts w:ascii="Times New Roman" w:hAnsi="Times New Roman" w:cs="Times New Roman"/>
          <w:color w:val="auto"/>
          <w:sz w:val="22"/>
          <w:szCs w:val="22"/>
        </w:rPr>
      </w:pPr>
      <w:r>
        <w:rPr>
          <w:rFonts w:ascii="Times New Roman" w:hAnsi="Times New Roman" w:cs="Times New Roman"/>
          <w:color w:val="auto"/>
          <w:sz w:val="22"/>
          <w:szCs w:val="22"/>
        </w:rPr>
        <w:t>16.3.4.1. </w:t>
      </w:r>
      <w:r>
        <w:rPr>
          <w:rStyle w:val="101"/>
          <w:rFonts w:ascii="Times New Roman" w:hAnsi="Times New Roman" w:cs="Times New Roman"/>
          <w:b w:val="0"/>
          <w:bCs w:val="0"/>
          <w:i w:val="0"/>
          <w:iCs w:val="0"/>
          <w:color w:val="auto"/>
          <w:sz w:val="22"/>
          <w:szCs w:val="22"/>
        </w:rPr>
        <w:t>Знания о физической культуре.</w:t>
      </w:r>
      <w:r>
        <w:rPr>
          <w:rFonts w:ascii="Times New Roman" w:hAnsi="Times New Roman" w:cs="Times New Roman"/>
          <w:color w:val="auto"/>
          <w:sz w:val="22"/>
          <w:szCs w:val="22"/>
        </w:rPr>
        <w:t xml:space="preserve"> </w:t>
      </w:r>
    </w:p>
    <w:p w14:paraId="2822C511">
      <w:pPr>
        <w:pStyle w:val="99"/>
        <w:spacing w:line="360" w:lineRule="auto"/>
        <w:ind w:firstLine="709"/>
        <w:contextualSpacing/>
        <w:rPr>
          <w:rFonts w:ascii="Times New Roman" w:hAnsi="Times New Roman" w:cs="Times New Roman"/>
          <w:color w:val="auto"/>
          <w:sz w:val="22"/>
          <w:szCs w:val="22"/>
        </w:rPr>
      </w:pPr>
      <w:r>
        <w:rPr>
          <w:rFonts w:ascii="Times New Roman" w:hAnsi="Times New Roman" w:cs="Times New Roman"/>
          <w:color w:val="auto"/>
          <w:sz w:val="22"/>
          <w:szCs w:val="22"/>
        </w:rPr>
        <w:t>Из истории развития физической культуры у древних народов, населявших территорию России. История появления современного спорта.</w:t>
      </w:r>
    </w:p>
    <w:p w14:paraId="06752380">
      <w:pPr>
        <w:pStyle w:val="99"/>
        <w:spacing w:line="360" w:lineRule="auto"/>
        <w:ind w:firstLine="709"/>
        <w:contextualSpacing/>
        <w:rPr>
          <w:rStyle w:val="102"/>
          <w:rFonts w:ascii="Times New Roman" w:hAnsi="Times New Roman" w:eastAsia="Calibri" w:cs="Times New Roman"/>
          <w:i w:val="0"/>
          <w:iCs w:val="0"/>
          <w:color w:val="auto"/>
          <w:sz w:val="22"/>
          <w:szCs w:val="22"/>
        </w:rPr>
      </w:pPr>
      <w:r>
        <w:rPr>
          <w:rFonts w:ascii="Times New Roman" w:hAnsi="Times New Roman" w:cs="Times New Roman"/>
          <w:color w:val="auto"/>
          <w:sz w:val="22"/>
          <w:szCs w:val="22"/>
        </w:rPr>
        <w:t>16.3.4.2. </w:t>
      </w:r>
      <w:r>
        <w:rPr>
          <w:rStyle w:val="101"/>
          <w:rFonts w:ascii="Times New Roman" w:hAnsi="Times New Roman" w:cs="Times New Roman"/>
          <w:b w:val="0"/>
          <w:bCs w:val="0"/>
          <w:i w:val="0"/>
          <w:iCs w:val="0"/>
          <w:color w:val="auto"/>
          <w:sz w:val="22"/>
          <w:szCs w:val="22"/>
        </w:rPr>
        <w:t>Способы самостоятельной деятельности.</w:t>
      </w:r>
      <w:r>
        <w:rPr>
          <w:rStyle w:val="102"/>
          <w:rFonts w:ascii="Times New Roman" w:hAnsi="Times New Roman" w:eastAsia="Calibri" w:cs="Times New Roman"/>
          <w:i w:val="0"/>
          <w:iCs w:val="0"/>
          <w:color w:val="auto"/>
          <w:sz w:val="22"/>
          <w:szCs w:val="22"/>
        </w:rPr>
        <w:t xml:space="preserve"> </w:t>
      </w:r>
    </w:p>
    <w:p w14:paraId="5D2E8F13">
      <w:pPr>
        <w:pStyle w:val="99"/>
        <w:spacing w:line="360" w:lineRule="auto"/>
        <w:ind w:firstLine="709"/>
        <w:contextualSpacing/>
        <w:rPr>
          <w:rFonts w:ascii="Times New Roman" w:hAnsi="Times New Roman" w:cs="Times New Roman"/>
          <w:color w:val="auto"/>
          <w:sz w:val="22"/>
          <w:szCs w:val="22"/>
        </w:rPr>
      </w:pPr>
      <w:r>
        <w:rPr>
          <w:rFonts w:ascii="Times New Roman" w:hAnsi="Times New Roman" w:cs="Times New Roman"/>
          <w:color w:val="auto"/>
          <w:sz w:val="22"/>
          <w:szCs w:val="22"/>
        </w:rPr>
        <w:t>Виды физических упражнений, используемых на уроках физической культуры: общеразвивающие, подготовительные, соревновательные, их отличительные признаки и предназначение. Способы измерения пульса на занятиях физической культурой (наложение руки под грудь). Дозировка нагрузки при развитии физических качеств на уроках физической культуры. Дозирование физических упражнений для комплексов физкультминутки и утренней зарядки. Составление графика занятий по развитию физических качеств на учебный год.</w:t>
      </w:r>
    </w:p>
    <w:p w14:paraId="4B77590B">
      <w:pPr>
        <w:pStyle w:val="99"/>
        <w:spacing w:line="360" w:lineRule="auto"/>
        <w:ind w:firstLine="709"/>
        <w:contextualSpacing/>
        <w:rPr>
          <w:rFonts w:ascii="Times New Roman" w:hAnsi="Times New Roman" w:cs="Times New Roman"/>
          <w:color w:val="auto"/>
          <w:sz w:val="22"/>
          <w:szCs w:val="22"/>
        </w:rPr>
      </w:pPr>
      <w:r>
        <w:rPr>
          <w:rFonts w:ascii="Times New Roman" w:hAnsi="Times New Roman" w:cs="Times New Roman"/>
          <w:color w:val="auto"/>
          <w:sz w:val="22"/>
          <w:szCs w:val="22"/>
        </w:rPr>
        <w:t>16.3.4.3. </w:t>
      </w:r>
      <w:r>
        <w:rPr>
          <w:rStyle w:val="101"/>
          <w:rFonts w:ascii="Times New Roman" w:hAnsi="Times New Roman" w:cs="Times New Roman"/>
          <w:b w:val="0"/>
          <w:bCs w:val="0"/>
          <w:i w:val="0"/>
          <w:iCs w:val="0"/>
          <w:color w:val="auto"/>
          <w:sz w:val="22"/>
          <w:szCs w:val="22"/>
        </w:rPr>
        <w:t>Физическое совершенствование.</w:t>
      </w:r>
      <w:r>
        <w:rPr>
          <w:rFonts w:ascii="Times New Roman" w:hAnsi="Times New Roman" w:cs="Times New Roman"/>
          <w:color w:val="auto"/>
          <w:sz w:val="22"/>
          <w:szCs w:val="22"/>
        </w:rPr>
        <w:t xml:space="preserve"> </w:t>
      </w:r>
    </w:p>
    <w:p w14:paraId="4FC083F7">
      <w:pPr>
        <w:pStyle w:val="99"/>
        <w:spacing w:line="360" w:lineRule="auto"/>
        <w:ind w:firstLine="709"/>
        <w:contextualSpacing/>
        <w:rPr>
          <w:rStyle w:val="102"/>
          <w:rFonts w:ascii="Times New Roman" w:hAnsi="Times New Roman" w:eastAsia="Calibri" w:cs="Times New Roman"/>
          <w:i w:val="0"/>
          <w:iCs w:val="0"/>
          <w:color w:val="auto"/>
          <w:sz w:val="22"/>
          <w:szCs w:val="22"/>
        </w:rPr>
      </w:pPr>
      <w:r>
        <w:rPr>
          <w:rFonts w:ascii="Times New Roman" w:hAnsi="Times New Roman" w:cs="Times New Roman"/>
          <w:color w:val="auto"/>
          <w:sz w:val="22"/>
          <w:szCs w:val="22"/>
        </w:rPr>
        <w:t>16.3.4.3.1. </w:t>
      </w:r>
      <w:r>
        <w:rPr>
          <w:rStyle w:val="102"/>
          <w:rFonts w:ascii="Times New Roman" w:hAnsi="Times New Roman" w:eastAsia="Calibri" w:cs="Times New Roman"/>
          <w:i w:val="0"/>
          <w:iCs w:val="0"/>
          <w:color w:val="auto"/>
          <w:sz w:val="22"/>
          <w:szCs w:val="22"/>
        </w:rPr>
        <w:t xml:space="preserve">Оздоровительная физическая культура. </w:t>
      </w:r>
    </w:p>
    <w:p w14:paraId="0F4D2F11">
      <w:pPr>
        <w:pStyle w:val="99"/>
        <w:spacing w:line="360" w:lineRule="auto"/>
        <w:ind w:firstLine="709"/>
        <w:contextualSpacing/>
        <w:rPr>
          <w:rFonts w:ascii="Times New Roman" w:hAnsi="Times New Roman" w:cs="Times New Roman"/>
          <w:color w:val="auto"/>
          <w:sz w:val="22"/>
          <w:szCs w:val="22"/>
        </w:rPr>
      </w:pPr>
      <w:r>
        <w:rPr>
          <w:rFonts w:ascii="Times New Roman" w:hAnsi="Times New Roman" w:cs="Times New Roman"/>
          <w:color w:val="auto"/>
          <w:sz w:val="22"/>
          <w:szCs w:val="22"/>
        </w:rPr>
        <w:t>Закаливание организма при помощи обливания под душем. Упражнения дыхательной и зрительной гимнастики, их влияние на восстановление организма после умственной и физической нагрузки.</w:t>
      </w:r>
    </w:p>
    <w:p w14:paraId="5BA819DE">
      <w:pPr>
        <w:pStyle w:val="99"/>
        <w:spacing w:line="360" w:lineRule="auto"/>
        <w:ind w:firstLine="709"/>
        <w:contextualSpacing/>
        <w:rPr>
          <w:rStyle w:val="102"/>
          <w:rFonts w:ascii="Times New Roman" w:hAnsi="Times New Roman" w:eastAsia="Calibri" w:cs="Times New Roman"/>
          <w:i w:val="0"/>
          <w:iCs w:val="0"/>
          <w:color w:val="auto"/>
          <w:spacing w:val="3"/>
          <w:sz w:val="22"/>
          <w:szCs w:val="22"/>
        </w:rPr>
      </w:pPr>
      <w:r>
        <w:rPr>
          <w:rFonts w:ascii="Times New Roman" w:hAnsi="Times New Roman" w:cs="Times New Roman"/>
          <w:color w:val="auto"/>
          <w:sz w:val="22"/>
          <w:szCs w:val="22"/>
        </w:rPr>
        <w:t>16.3.4.3.2. </w:t>
      </w:r>
      <w:r>
        <w:rPr>
          <w:rStyle w:val="102"/>
          <w:rFonts w:ascii="Times New Roman" w:hAnsi="Times New Roman" w:eastAsia="Calibri" w:cs="Times New Roman"/>
          <w:i w:val="0"/>
          <w:iCs w:val="0"/>
          <w:color w:val="auto"/>
          <w:spacing w:val="3"/>
          <w:sz w:val="22"/>
          <w:szCs w:val="22"/>
        </w:rPr>
        <w:t xml:space="preserve">Спортивно-оздоровительная физическая культура. </w:t>
      </w:r>
    </w:p>
    <w:p w14:paraId="21F4E5D0">
      <w:pPr>
        <w:pStyle w:val="99"/>
        <w:spacing w:line="360" w:lineRule="auto"/>
        <w:ind w:firstLine="709"/>
        <w:contextualSpacing/>
        <w:rPr>
          <w:rFonts w:ascii="Times New Roman" w:hAnsi="Times New Roman" w:cs="Times New Roman"/>
          <w:color w:val="auto"/>
          <w:spacing w:val="3"/>
          <w:sz w:val="22"/>
          <w:szCs w:val="22"/>
        </w:rPr>
      </w:pPr>
      <w:r>
        <w:rPr>
          <w:rFonts w:ascii="Times New Roman" w:hAnsi="Times New Roman" w:cs="Times New Roman"/>
          <w:color w:val="auto"/>
          <w:spacing w:val="3"/>
          <w:sz w:val="22"/>
          <w:szCs w:val="22"/>
        </w:rPr>
        <w:t xml:space="preserve">Гимнастика с основами акробатики. </w:t>
      </w:r>
    </w:p>
    <w:p w14:paraId="1F1278A6">
      <w:pPr>
        <w:pStyle w:val="99"/>
        <w:spacing w:line="360" w:lineRule="auto"/>
        <w:ind w:firstLine="709"/>
        <w:contextualSpacing/>
        <w:rPr>
          <w:rFonts w:ascii="Times New Roman" w:hAnsi="Times New Roman" w:cs="Times New Roman"/>
          <w:color w:val="auto"/>
          <w:spacing w:val="3"/>
          <w:sz w:val="22"/>
          <w:szCs w:val="22"/>
        </w:rPr>
      </w:pPr>
      <w:r>
        <w:rPr>
          <w:rFonts w:ascii="Times New Roman" w:hAnsi="Times New Roman" w:cs="Times New Roman"/>
          <w:color w:val="auto"/>
          <w:spacing w:val="3"/>
          <w:sz w:val="22"/>
          <w:szCs w:val="22"/>
        </w:rPr>
        <w:t xml:space="preserve">Строевые упражнения в движении противоходом, перестроении из колонны по одному в колонну по три, стоя на месте и в движении. Упражнения в лазании по канату в три приёма. Упражнения на гимнастической скамейке в передвижении стилизованными способами ходьбы: вперёд, назад, с высоким подниманием колен и изменением положения рук, приставным шагом правым и левым боком. Передвижения по наклонной гимнастической скамейке: равномерной ходьбой с поворотом в разные стороны и движением руками, приставным шагом правым и левым боком. </w:t>
      </w:r>
    </w:p>
    <w:p w14:paraId="6022C54F">
      <w:pPr>
        <w:pStyle w:val="99"/>
        <w:spacing w:line="360" w:lineRule="auto"/>
        <w:ind w:firstLine="709"/>
        <w:contextualSpacing/>
        <w:rPr>
          <w:rFonts w:ascii="Times New Roman" w:hAnsi="Times New Roman" w:cs="Times New Roman"/>
          <w:color w:val="auto"/>
          <w:spacing w:val="1"/>
          <w:sz w:val="22"/>
          <w:szCs w:val="22"/>
        </w:rPr>
      </w:pPr>
      <w:r>
        <w:rPr>
          <w:rFonts w:ascii="Times New Roman" w:hAnsi="Times New Roman" w:cs="Times New Roman"/>
          <w:color w:val="auto"/>
          <w:spacing w:val="1"/>
          <w:sz w:val="22"/>
          <w:szCs w:val="22"/>
        </w:rPr>
        <w:t xml:space="preserve">Упражнения в передвижении по гимнастической стенке: ходьба приставным шагом правым и левым боком по нижней жерди, лазанье разноимённым способом. Прыжки через скакалку с изменяющейся скоростью вращения на двух ногах и поочерёдно на правой и левой ноге, прыжки через скакалку назад с равномерной скоростью. </w:t>
      </w:r>
    </w:p>
    <w:p w14:paraId="34646D2E">
      <w:pPr>
        <w:pStyle w:val="99"/>
        <w:spacing w:line="360" w:lineRule="auto"/>
        <w:ind w:firstLine="709"/>
        <w:contextualSpacing/>
        <w:rPr>
          <w:rFonts w:ascii="Times New Roman" w:hAnsi="Times New Roman" w:cs="Times New Roman"/>
          <w:color w:val="auto"/>
          <w:spacing w:val="1"/>
          <w:sz w:val="22"/>
          <w:szCs w:val="22"/>
        </w:rPr>
      </w:pPr>
      <w:r>
        <w:rPr>
          <w:rFonts w:ascii="Times New Roman" w:hAnsi="Times New Roman" w:cs="Times New Roman"/>
          <w:color w:val="auto"/>
          <w:spacing w:val="1"/>
          <w:sz w:val="22"/>
          <w:szCs w:val="22"/>
        </w:rPr>
        <w:t>Ритмическая гимнастика: стилизованные наклоны и повороты туловища с изменением положения рук, стилизованные шаги на месте в сочетании с движением рук, ног и туловища. Упражнения в танцах галоп и полька.</w:t>
      </w:r>
    </w:p>
    <w:p w14:paraId="79EB37AB">
      <w:pPr>
        <w:pStyle w:val="99"/>
        <w:spacing w:line="360" w:lineRule="auto"/>
        <w:ind w:firstLine="709"/>
        <w:contextualSpacing/>
        <w:rPr>
          <w:rFonts w:ascii="Times New Roman" w:hAnsi="Times New Roman" w:cs="Times New Roman"/>
          <w:color w:val="auto"/>
          <w:sz w:val="22"/>
          <w:szCs w:val="22"/>
        </w:rPr>
      </w:pPr>
      <w:r>
        <w:rPr>
          <w:rFonts w:ascii="Times New Roman" w:hAnsi="Times New Roman" w:cs="Times New Roman"/>
          <w:color w:val="auto"/>
          <w:sz w:val="22"/>
          <w:szCs w:val="22"/>
        </w:rPr>
        <w:t xml:space="preserve">Лёгкая атлетика. </w:t>
      </w:r>
    </w:p>
    <w:p w14:paraId="650083B1">
      <w:pPr>
        <w:pStyle w:val="99"/>
        <w:spacing w:line="360" w:lineRule="auto"/>
        <w:ind w:firstLine="709"/>
        <w:contextualSpacing/>
        <w:rPr>
          <w:rFonts w:ascii="Times New Roman" w:hAnsi="Times New Roman" w:cs="Times New Roman"/>
          <w:color w:val="auto"/>
          <w:sz w:val="22"/>
          <w:szCs w:val="22"/>
        </w:rPr>
      </w:pPr>
      <w:r>
        <w:rPr>
          <w:rFonts w:ascii="Times New Roman" w:hAnsi="Times New Roman" w:cs="Times New Roman"/>
          <w:color w:val="auto"/>
          <w:sz w:val="22"/>
          <w:szCs w:val="22"/>
        </w:rPr>
        <w:t xml:space="preserve">Прыжок в длину с разбега, способом согнув ноги. Броски набивного мяча из-за головы в положении сидя и стоя на месте. Беговые упражнения скоростной и координационной направленности: челночный бег, бег с преодолением препятствий, с ускорением и торможением, максимальной скоростью на дистанции 30 м. </w:t>
      </w:r>
    </w:p>
    <w:p w14:paraId="76C5A85D">
      <w:pPr>
        <w:pStyle w:val="99"/>
        <w:spacing w:line="360" w:lineRule="auto"/>
        <w:ind w:firstLine="709"/>
        <w:contextualSpacing/>
        <w:rPr>
          <w:rFonts w:ascii="Times New Roman" w:hAnsi="Times New Roman" w:cs="Times New Roman"/>
          <w:color w:val="auto"/>
          <w:sz w:val="22"/>
          <w:szCs w:val="22"/>
        </w:rPr>
      </w:pPr>
      <w:r>
        <w:rPr>
          <w:rFonts w:ascii="Times New Roman" w:hAnsi="Times New Roman" w:cs="Times New Roman"/>
          <w:color w:val="auto"/>
          <w:sz w:val="22"/>
          <w:szCs w:val="22"/>
        </w:rPr>
        <w:t xml:space="preserve">Лыжная подготовка. </w:t>
      </w:r>
    </w:p>
    <w:p w14:paraId="03F94C45">
      <w:pPr>
        <w:pStyle w:val="99"/>
        <w:spacing w:line="360" w:lineRule="auto"/>
        <w:ind w:firstLine="709"/>
        <w:contextualSpacing/>
        <w:rPr>
          <w:rFonts w:ascii="Times New Roman" w:hAnsi="Times New Roman" w:cs="Times New Roman"/>
          <w:color w:val="auto"/>
          <w:sz w:val="22"/>
          <w:szCs w:val="22"/>
        </w:rPr>
      </w:pPr>
      <w:r>
        <w:rPr>
          <w:rFonts w:ascii="Times New Roman" w:hAnsi="Times New Roman" w:cs="Times New Roman"/>
          <w:color w:val="auto"/>
          <w:sz w:val="22"/>
          <w:szCs w:val="22"/>
        </w:rPr>
        <w:t xml:space="preserve">Передвижение одновременным двухшажным ходом. Упражнения в поворотах на лыжах переступанием стоя на месте и в движении. Торможение плугом. </w:t>
      </w:r>
    </w:p>
    <w:p w14:paraId="21692619">
      <w:pPr>
        <w:pStyle w:val="99"/>
        <w:spacing w:line="360" w:lineRule="auto"/>
        <w:ind w:firstLine="709"/>
        <w:contextualSpacing/>
        <w:rPr>
          <w:rFonts w:ascii="Times New Roman" w:hAnsi="Times New Roman" w:cs="Times New Roman"/>
          <w:color w:val="auto"/>
          <w:sz w:val="22"/>
          <w:szCs w:val="22"/>
        </w:rPr>
      </w:pPr>
      <w:r>
        <w:rPr>
          <w:rFonts w:ascii="Times New Roman" w:hAnsi="Times New Roman" w:cs="Times New Roman"/>
          <w:color w:val="auto"/>
          <w:sz w:val="22"/>
          <w:szCs w:val="22"/>
        </w:rPr>
        <w:t xml:space="preserve">Плавательная подготовка. </w:t>
      </w:r>
    </w:p>
    <w:p w14:paraId="6E16BF2A">
      <w:pPr>
        <w:pStyle w:val="99"/>
        <w:spacing w:line="360" w:lineRule="auto"/>
        <w:ind w:firstLine="709"/>
        <w:contextualSpacing/>
        <w:rPr>
          <w:rFonts w:ascii="Times New Roman" w:hAnsi="Times New Roman" w:cs="Times New Roman"/>
          <w:color w:val="auto"/>
          <w:sz w:val="22"/>
          <w:szCs w:val="22"/>
        </w:rPr>
      </w:pPr>
      <w:r>
        <w:rPr>
          <w:rFonts w:ascii="Times New Roman" w:hAnsi="Times New Roman" w:cs="Times New Roman"/>
          <w:color w:val="auto"/>
          <w:sz w:val="22"/>
          <w:szCs w:val="22"/>
        </w:rPr>
        <w:t xml:space="preserve">Правила поведения в бассейне. Виды современного спортивного плавания: кроль на груди и спине, брас. Упражнения ознакомительного плавания: передвижение по дну ходьбой и прыжками, погружение в воду и всплывание, скольжение на воде. Упражнения в плавании кролем на груди. </w:t>
      </w:r>
    </w:p>
    <w:p w14:paraId="3D975335">
      <w:pPr>
        <w:pStyle w:val="99"/>
        <w:spacing w:line="360" w:lineRule="auto"/>
        <w:ind w:firstLine="709"/>
        <w:contextualSpacing/>
        <w:rPr>
          <w:rFonts w:ascii="Times New Roman" w:hAnsi="Times New Roman" w:cs="Times New Roman"/>
          <w:color w:val="auto"/>
          <w:sz w:val="22"/>
          <w:szCs w:val="22"/>
        </w:rPr>
      </w:pPr>
      <w:r>
        <w:rPr>
          <w:rFonts w:ascii="Times New Roman" w:hAnsi="Times New Roman" w:cs="Times New Roman"/>
          <w:color w:val="auto"/>
          <w:sz w:val="22"/>
          <w:szCs w:val="22"/>
        </w:rPr>
        <w:t xml:space="preserve">Подвижные и спортивные игры. </w:t>
      </w:r>
    </w:p>
    <w:p w14:paraId="3931C66C">
      <w:pPr>
        <w:pStyle w:val="99"/>
        <w:spacing w:line="360" w:lineRule="auto"/>
        <w:ind w:firstLine="709"/>
        <w:contextualSpacing/>
        <w:rPr>
          <w:rFonts w:ascii="Times New Roman" w:hAnsi="Times New Roman" w:cs="Times New Roman"/>
          <w:color w:val="auto"/>
          <w:sz w:val="22"/>
          <w:szCs w:val="22"/>
        </w:rPr>
      </w:pPr>
      <w:r>
        <w:rPr>
          <w:rFonts w:ascii="Times New Roman" w:hAnsi="Times New Roman" w:cs="Times New Roman"/>
          <w:color w:val="auto"/>
          <w:sz w:val="22"/>
          <w:szCs w:val="22"/>
        </w:rPr>
        <w:t xml:space="preserve">Подвижные игры на точность движений с приёмами спортивных игр и лыжной подготовки. Баскетбол: ведение баскетбольного мяча, ловля и передача баскетбольного мяча. Волейбол: прямая нижняя подача, приём и передача мяча снизу двумя руками на месте и в движении. Футбол: ведение футбольного мяча, удар по неподвижному футбольному мячу. </w:t>
      </w:r>
    </w:p>
    <w:p w14:paraId="2B16692E">
      <w:pPr>
        <w:pStyle w:val="99"/>
        <w:spacing w:line="360" w:lineRule="auto"/>
        <w:ind w:firstLine="709"/>
        <w:contextualSpacing/>
        <w:rPr>
          <w:rStyle w:val="102"/>
          <w:rFonts w:ascii="Times New Roman" w:hAnsi="Times New Roman" w:eastAsia="Calibri" w:cs="Times New Roman"/>
          <w:i w:val="0"/>
          <w:iCs w:val="0"/>
          <w:color w:val="auto"/>
          <w:sz w:val="22"/>
          <w:szCs w:val="22"/>
        </w:rPr>
      </w:pPr>
      <w:r>
        <w:rPr>
          <w:rFonts w:ascii="Times New Roman" w:hAnsi="Times New Roman" w:cs="Times New Roman"/>
          <w:color w:val="auto"/>
          <w:sz w:val="22"/>
          <w:szCs w:val="22"/>
        </w:rPr>
        <w:t>16.3.4.3.3. </w:t>
      </w:r>
      <w:r>
        <w:rPr>
          <w:rStyle w:val="102"/>
          <w:rFonts w:ascii="Times New Roman" w:hAnsi="Times New Roman" w:eastAsia="Calibri" w:cs="Times New Roman"/>
          <w:i w:val="0"/>
          <w:iCs w:val="0"/>
          <w:color w:val="auto"/>
          <w:sz w:val="22"/>
          <w:szCs w:val="22"/>
        </w:rPr>
        <w:t xml:space="preserve">Прикладно-ориентированная физическая культура. </w:t>
      </w:r>
    </w:p>
    <w:p w14:paraId="0ED9E32E">
      <w:pPr>
        <w:pStyle w:val="99"/>
        <w:spacing w:line="360" w:lineRule="auto"/>
        <w:ind w:firstLine="709"/>
        <w:contextualSpacing/>
        <w:rPr>
          <w:rFonts w:ascii="Times New Roman" w:hAnsi="Times New Roman" w:cs="Times New Roman"/>
          <w:color w:val="auto"/>
          <w:sz w:val="22"/>
          <w:szCs w:val="22"/>
        </w:rPr>
      </w:pPr>
      <w:r>
        <w:rPr>
          <w:rFonts w:ascii="Times New Roman" w:hAnsi="Times New Roman" w:cs="Times New Roman"/>
          <w:color w:val="auto"/>
          <w:sz w:val="22"/>
          <w:szCs w:val="22"/>
        </w:rPr>
        <w:t xml:space="preserve">Развитие основных физических качеств средствами базовых видов спорта. Подготовка к выполнению нормативных требований комплекса ГТО. </w:t>
      </w:r>
      <w:bookmarkStart w:id="259" w:name="_Toc103687212"/>
    </w:p>
    <w:p w14:paraId="60A2EB28">
      <w:pPr>
        <w:pStyle w:val="99"/>
        <w:spacing w:line="360" w:lineRule="auto"/>
        <w:ind w:firstLine="709"/>
        <w:contextualSpacing/>
        <w:rPr>
          <w:rFonts w:ascii="Times New Roman" w:hAnsi="Times New Roman" w:cs="Times New Roman"/>
          <w:color w:val="auto"/>
          <w:sz w:val="22"/>
          <w:szCs w:val="22"/>
        </w:rPr>
      </w:pPr>
      <w:r>
        <w:rPr>
          <w:rFonts w:ascii="Times New Roman" w:hAnsi="Times New Roman" w:cs="Times New Roman"/>
          <w:color w:val="auto"/>
          <w:sz w:val="22"/>
          <w:szCs w:val="22"/>
        </w:rPr>
        <w:t>16.3.5. Содержание обучения в 4 класс</w:t>
      </w:r>
      <w:bookmarkEnd w:id="259"/>
      <w:r>
        <w:rPr>
          <w:rFonts w:ascii="Times New Roman" w:hAnsi="Times New Roman" w:cs="Times New Roman"/>
          <w:color w:val="auto"/>
          <w:sz w:val="22"/>
          <w:szCs w:val="22"/>
        </w:rPr>
        <w:t>е.</w:t>
      </w:r>
    </w:p>
    <w:p w14:paraId="5FCCA472">
      <w:pPr>
        <w:pStyle w:val="99"/>
        <w:spacing w:line="360" w:lineRule="auto"/>
        <w:ind w:firstLine="709"/>
        <w:contextualSpacing/>
        <w:rPr>
          <w:rFonts w:ascii="Times New Roman" w:hAnsi="Times New Roman" w:cs="Times New Roman"/>
          <w:color w:val="auto"/>
          <w:sz w:val="22"/>
          <w:szCs w:val="22"/>
        </w:rPr>
      </w:pPr>
      <w:r>
        <w:rPr>
          <w:rFonts w:ascii="Times New Roman" w:hAnsi="Times New Roman" w:cs="Times New Roman"/>
          <w:color w:val="auto"/>
          <w:sz w:val="22"/>
          <w:szCs w:val="22"/>
        </w:rPr>
        <w:t>16.3.5.1. </w:t>
      </w:r>
      <w:r>
        <w:rPr>
          <w:rStyle w:val="101"/>
          <w:rFonts w:ascii="Times New Roman" w:hAnsi="Times New Roman" w:cs="Times New Roman"/>
          <w:b w:val="0"/>
          <w:bCs w:val="0"/>
          <w:i w:val="0"/>
          <w:iCs w:val="0"/>
          <w:color w:val="auto"/>
          <w:sz w:val="22"/>
          <w:szCs w:val="22"/>
        </w:rPr>
        <w:t>Знания о физической культуре.</w:t>
      </w:r>
      <w:r>
        <w:rPr>
          <w:rFonts w:ascii="Times New Roman" w:hAnsi="Times New Roman" w:cs="Times New Roman"/>
          <w:color w:val="auto"/>
          <w:sz w:val="22"/>
          <w:szCs w:val="22"/>
        </w:rPr>
        <w:t xml:space="preserve"> </w:t>
      </w:r>
    </w:p>
    <w:p w14:paraId="71D10E5C">
      <w:pPr>
        <w:pStyle w:val="99"/>
        <w:spacing w:line="360" w:lineRule="auto"/>
        <w:ind w:firstLine="709"/>
        <w:contextualSpacing/>
        <w:rPr>
          <w:rFonts w:ascii="Times New Roman" w:hAnsi="Times New Roman" w:cs="Times New Roman"/>
          <w:color w:val="auto"/>
          <w:sz w:val="22"/>
          <w:szCs w:val="22"/>
        </w:rPr>
      </w:pPr>
      <w:r>
        <w:rPr>
          <w:rFonts w:ascii="Times New Roman" w:hAnsi="Times New Roman" w:cs="Times New Roman"/>
          <w:color w:val="auto"/>
          <w:sz w:val="22"/>
          <w:szCs w:val="22"/>
        </w:rPr>
        <w:t xml:space="preserve">Из истории развития физической культуры в России. Развитие национальных видов спорта в России. </w:t>
      </w:r>
    </w:p>
    <w:p w14:paraId="60022B7E">
      <w:pPr>
        <w:pStyle w:val="99"/>
        <w:spacing w:line="360" w:lineRule="auto"/>
        <w:ind w:firstLine="709"/>
        <w:contextualSpacing/>
        <w:rPr>
          <w:rStyle w:val="102"/>
          <w:rFonts w:ascii="Times New Roman" w:hAnsi="Times New Roman" w:eastAsia="Calibri" w:cs="Times New Roman"/>
          <w:i w:val="0"/>
          <w:iCs w:val="0"/>
          <w:color w:val="auto"/>
          <w:sz w:val="22"/>
          <w:szCs w:val="22"/>
        </w:rPr>
      </w:pPr>
      <w:r>
        <w:rPr>
          <w:rFonts w:ascii="Times New Roman" w:hAnsi="Times New Roman" w:cs="Times New Roman"/>
          <w:color w:val="auto"/>
          <w:sz w:val="22"/>
          <w:szCs w:val="22"/>
        </w:rPr>
        <w:t>16.3.5.2. </w:t>
      </w:r>
      <w:r>
        <w:rPr>
          <w:rStyle w:val="101"/>
          <w:rFonts w:ascii="Times New Roman" w:hAnsi="Times New Roman" w:cs="Times New Roman"/>
          <w:b w:val="0"/>
          <w:bCs w:val="0"/>
          <w:i w:val="0"/>
          <w:iCs w:val="0"/>
          <w:color w:val="auto"/>
          <w:sz w:val="22"/>
          <w:szCs w:val="22"/>
        </w:rPr>
        <w:t>Способы самостоятельной деятельности.</w:t>
      </w:r>
      <w:r>
        <w:rPr>
          <w:rStyle w:val="102"/>
          <w:rFonts w:ascii="Times New Roman" w:hAnsi="Times New Roman" w:eastAsia="Calibri" w:cs="Times New Roman"/>
          <w:i w:val="0"/>
          <w:iCs w:val="0"/>
          <w:color w:val="auto"/>
          <w:sz w:val="22"/>
          <w:szCs w:val="22"/>
        </w:rPr>
        <w:t xml:space="preserve"> </w:t>
      </w:r>
    </w:p>
    <w:p w14:paraId="4FE0CCA6">
      <w:pPr>
        <w:pStyle w:val="99"/>
        <w:spacing w:line="360" w:lineRule="auto"/>
        <w:ind w:firstLine="709"/>
        <w:contextualSpacing/>
        <w:rPr>
          <w:rFonts w:ascii="Times New Roman" w:hAnsi="Times New Roman" w:cs="Times New Roman"/>
          <w:color w:val="auto"/>
          <w:sz w:val="22"/>
          <w:szCs w:val="22"/>
        </w:rPr>
      </w:pPr>
      <w:r>
        <w:rPr>
          <w:rFonts w:ascii="Times New Roman" w:hAnsi="Times New Roman" w:cs="Times New Roman"/>
          <w:color w:val="auto"/>
          <w:sz w:val="22"/>
          <w:szCs w:val="22"/>
        </w:rPr>
        <w:t>Физическая подготовка. Влияние занятий физической подготовкой на работу организма. Регулирование физической нагрузки по пульсу на самостоятельных занятиях физической подготовкой. Определение тяжести нагрузки на самостоятельных занятиях физической подготовкой по внешним признакам и самочувствию. Определение возрастных особенностей физического развития и физической подготовленности посредством регулярного наблюдения. Оказание первой помощи при травмах во время самостоятельных занятий физической культурой.</w:t>
      </w:r>
    </w:p>
    <w:p w14:paraId="259E587E">
      <w:pPr>
        <w:pStyle w:val="99"/>
        <w:spacing w:line="360" w:lineRule="auto"/>
        <w:ind w:firstLine="709"/>
        <w:contextualSpacing/>
        <w:rPr>
          <w:rFonts w:ascii="Times New Roman" w:hAnsi="Times New Roman" w:cs="Times New Roman"/>
          <w:color w:val="auto"/>
          <w:spacing w:val="1"/>
          <w:sz w:val="22"/>
          <w:szCs w:val="22"/>
        </w:rPr>
      </w:pPr>
      <w:r>
        <w:rPr>
          <w:rFonts w:ascii="Times New Roman" w:hAnsi="Times New Roman" w:cs="Times New Roman"/>
          <w:color w:val="auto"/>
          <w:sz w:val="22"/>
          <w:szCs w:val="22"/>
        </w:rPr>
        <w:t>16.3.5.3. </w:t>
      </w:r>
      <w:r>
        <w:rPr>
          <w:rStyle w:val="101"/>
          <w:rFonts w:ascii="Times New Roman" w:hAnsi="Times New Roman" w:cs="Times New Roman"/>
          <w:b w:val="0"/>
          <w:bCs w:val="0"/>
          <w:i w:val="0"/>
          <w:iCs w:val="0"/>
          <w:color w:val="auto"/>
          <w:spacing w:val="1"/>
          <w:sz w:val="22"/>
          <w:szCs w:val="22"/>
        </w:rPr>
        <w:t>Физическое совершенствование.</w:t>
      </w:r>
      <w:r>
        <w:rPr>
          <w:rFonts w:ascii="Times New Roman" w:hAnsi="Times New Roman" w:cs="Times New Roman"/>
          <w:color w:val="auto"/>
          <w:spacing w:val="1"/>
          <w:sz w:val="22"/>
          <w:szCs w:val="22"/>
        </w:rPr>
        <w:t xml:space="preserve"> </w:t>
      </w:r>
    </w:p>
    <w:p w14:paraId="0099D926">
      <w:pPr>
        <w:pStyle w:val="99"/>
        <w:spacing w:line="360" w:lineRule="auto"/>
        <w:ind w:firstLine="709"/>
        <w:contextualSpacing/>
        <w:rPr>
          <w:rStyle w:val="102"/>
          <w:rFonts w:ascii="Times New Roman" w:hAnsi="Times New Roman" w:eastAsia="Calibri" w:cs="Times New Roman"/>
          <w:i w:val="0"/>
          <w:iCs w:val="0"/>
          <w:color w:val="auto"/>
          <w:spacing w:val="1"/>
          <w:sz w:val="22"/>
          <w:szCs w:val="22"/>
        </w:rPr>
      </w:pPr>
      <w:r>
        <w:rPr>
          <w:rFonts w:ascii="Times New Roman" w:hAnsi="Times New Roman" w:cs="Times New Roman"/>
          <w:color w:val="auto"/>
          <w:sz w:val="22"/>
          <w:szCs w:val="22"/>
        </w:rPr>
        <w:t>16.3.5.3.1. </w:t>
      </w:r>
      <w:r>
        <w:rPr>
          <w:rStyle w:val="102"/>
          <w:rFonts w:ascii="Times New Roman" w:hAnsi="Times New Roman" w:eastAsia="Calibri" w:cs="Times New Roman"/>
          <w:i w:val="0"/>
          <w:iCs w:val="0"/>
          <w:color w:val="auto"/>
          <w:spacing w:val="1"/>
          <w:sz w:val="22"/>
          <w:szCs w:val="22"/>
        </w:rPr>
        <w:t xml:space="preserve">Оздоровительная физическая культура. </w:t>
      </w:r>
    </w:p>
    <w:p w14:paraId="34E56EB4">
      <w:pPr>
        <w:pStyle w:val="99"/>
        <w:spacing w:line="360" w:lineRule="auto"/>
        <w:ind w:firstLine="709"/>
        <w:contextualSpacing/>
        <w:rPr>
          <w:rFonts w:ascii="Times New Roman" w:hAnsi="Times New Roman" w:cs="Times New Roman"/>
          <w:color w:val="auto"/>
          <w:spacing w:val="1"/>
          <w:sz w:val="22"/>
          <w:szCs w:val="22"/>
        </w:rPr>
      </w:pPr>
      <w:r>
        <w:rPr>
          <w:rFonts w:ascii="Times New Roman" w:hAnsi="Times New Roman" w:cs="Times New Roman"/>
          <w:color w:val="auto"/>
          <w:spacing w:val="1"/>
          <w:sz w:val="22"/>
          <w:szCs w:val="22"/>
        </w:rPr>
        <w:t xml:space="preserve">Оценка состояния осанки, упражнения для профилактики её нарушения (на расслабление мышц спины и профилактику сутулости). Упражнения для снижения массы тела за счёт упражнений с высокой активностью работы больших мышечных групп. Закаливающие процедуры: купание в естественных водоёмах, солнечные и воздушные процедуры. </w:t>
      </w:r>
    </w:p>
    <w:p w14:paraId="3980C14F">
      <w:pPr>
        <w:pStyle w:val="99"/>
        <w:spacing w:line="360" w:lineRule="auto"/>
        <w:ind w:firstLine="709"/>
        <w:contextualSpacing/>
        <w:rPr>
          <w:rStyle w:val="102"/>
          <w:rFonts w:ascii="Times New Roman" w:hAnsi="Times New Roman" w:eastAsia="Calibri" w:cs="Times New Roman"/>
          <w:i w:val="0"/>
          <w:iCs w:val="0"/>
          <w:color w:val="auto"/>
          <w:spacing w:val="-1"/>
          <w:sz w:val="22"/>
          <w:szCs w:val="22"/>
        </w:rPr>
      </w:pPr>
      <w:r>
        <w:rPr>
          <w:rFonts w:ascii="Times New Roman" w:hAnsi="Times New Roman" w:cs="Times New Roman"/>
          <w:color w:val="auto"/>
          <w:sz w:val="22"/>
          <w:szCs w:val="22"/>
        </w:rPr>
        <w:t>16.3.5.3.2. </w:t>
      </w:r>
      <w:r>
        <w:rPr>
          <w:rStyle w:val="102"/>
          <w:rFonts w:ascii="Times New Roman" w:hAnsi="Times New Roman" w:eastAsia="Calibri" w:cs="Times New Roman"/>
          <w:i w:val="0"/>
          <w:iCs w:val="0"/>
          <w:color w:val="auto"/>
          <w:spacing w:val="-1"/>
          <w:sz w:val="22"/>
          <w:szCs w:val="22"/>
        </w:rPr>
        <w:t xml:space="preserve">Спортивно-оздоровительная физическая культура. </w:t>
      </w:r>
    </w:p>
    <w:p w14:paraId="004D5007">
      <w:pPr>
        <w:pStyle w:val="99"/>
        <w:spacing w:line="360" w:lineRule="auto"/>
        <w:ind w:firstLine="709"/>
        <w:contextualSpacing/>
        <w:rPr>
          <w:rFonts w:ascii="Times New Roman" w:hAnsi="Times New Roman" w:cs="Times New Roman"/>
          <w:color w:val="auto"/>
          <w:spacing w:val="-1"/>
          <w:sz w:val="22"/>
          <w:szCs w:val="22"/>
        </w:rPr>
      </w:pPr>
      <w:r>
        <w:rPr>
          <w:rFonts w:ascii="Times New Roman" w:hAnsi="Times New Roman" w:cs="Times New Roman"/>
          <w:color w:val="auto"/>
          <w:spacing w:val="-1"/>
          <w:sz w:val="22"/>
          <w:szCs w:val="22"/>
        </w:rPr>
        <w:t>Гимнастика с основами акробатики. Предупреждение травматизма при выполнении гимнастических и акробатических упражнений. Акробатические комбинации из хорошо освоенных упражнений. Опорный прыжок через гимнастического козла с разбега способом напрыгивания. Упражнения на низкой гимнастической перекладине: висы и упоры, подъём переворотом. Упражнения в танце «Летка-енка».</w:t>
      </w:r>
    </w:p>
    <w:p w14:paraId="57AB377A">
      <w:pPr>
        <w:pStyle w:val="99"/>
        <w:spacing w:line="360" w:lineRule="auto"/>
        <w:ind w:firstLine="709"/>
        <w:contextualSpacing/>
        <w:rPr>
          <w:rFonts w:ascii="Times New Roman" w:hAnsi="Times New Roman" w:cs="Times New Roman"/>
          <w:color w:val="auto"/>
          <w:sz w:val="22"/>
          <w:szCs w:val="22"/>
        </w:rPr>
      </w:pPr>
      <w:r>
        <w:rPr>
          <w:rFonts w:ascii="Times New Roman" w:hAnsi="Times New Roman" w:cs="Times New Roman"/>
          <w:color w:val="auto"/>
          <w:sz w:val="22"/>
          <w:szCs w:val="22"/>
        </w:rPr>
        <w:t>Лёгкая атлетика. Предупреждение травматизма во время выполнения легкоатлетических упражнений. Прыжок в высоту с разбега перешагиванием. Технические действия при беге по легкоатлетической дистанции: низкий старт, стартовое ускорение, финиширование. Метание малого мяча на дальность стоя на месте.</w:t>
      </w:r>
    </w:p>
    <w:p w14:paraId="0E72DE8E">
      <w:pPr>
        <w:pStyle w:val="99"/>
        <w:spacing w:line="360" w:lineRule="auto"/>
        <w:ind w:firstLine="709"/>
        <w:contextualSpacing/>
        <w:rPr>
          <w:rFonts w:ascii="Times New Roman" w:hAnsi="Times New Roman" w:cs="Times New Roman"/>
          <w:color w:val="auto"/>
          <w:sz w:val="22"/>
          <w:szCs w:val="22"/>
        </w:rPr>
      </w:pPr>
      <w:r>
        <w:rPr>
          <w:rFonts w:ascii="Times New Roman" w:hAnsi="Times New Roman" w:cs="Times New Roman"/>
          <w:color w:val="auto"/>
          <w:sz w:val="22"/>
          <w:szCs w:val="22"/>
        </w:rPr>
        <w:t xml:space="preserve">Лыжная подготовка. </w:t>
      </w:r>
    </w:p>
    <w:p w14:paraId="5B69C206">
      <w:pPr>
        <w:pStyle w:val="99"/>
        <w:spacing w:line="360" w:lineRule="auto"/>
        <w:ind w:firstLine="709"/>
        <w:contextualSpacing/>
        <w:rPr>
          <w:rFonts w:ascii="Times New Roman" w:hAnsi="Times New Roman" w:cs="Times New Roman"/>
          <w:color w:val="auto"/>
          <w:sz w:val="22"/>
          <w:szCs w:val="22"/>
        </w:rPr>
      </w:pPr>
      <w:r>
        <w:rPr>
          <w:rFonts w:ascii="Times New Roman" w:hAnsi="Times New Roman" w:cs="Times New Roman"/>
          <w:color w:val="auto"/>
          <w:sz w:val="22"/>
          <w:szCs w:val="22"/>
        </w:rPr>
        <w:t xml:space="preserve">Предупреждение травматизма во время занятий лыжной подготовкой. Упражнения в передвижении на лыжах одновременным одношажным ходом. </w:t>
      </w:r>
    </w:p>
    <w:p w14:paraId="4BC18C73">
      <w:pPr>
        <w:pStyle w:val="99"/>
        <w:spacing w:line="360" w:lineRule="auto"/>
        <w:ind w:firstLine="709"/>
        <w:contextualSpacing/>
        <w:rPr>
          <w:rFonts w:ascii="Times New Roman" w:hAnsi="Times New Roman" w:cs="Times New Roman"/>
          <w:color w:val="auto"/>
          <w:sz w:val="22"/>
          <w:szCs w:val="22"/>
        </w:rPr>
      </w:pPr>
      <w:r>
        <w:rPr>
          <w:rFonts w:ascii="Times New Roman" w:hAnsi="Times New Roman" w:cs="Times New Roman"/>
          <w:color w:val="auto"/>
          <w:sz w:val="22"/>
          <w:szCs w:val="22"/>
        </w:rPr>
        <w:t xml:space="preserve">Плавательная подготовка. </w:t>
      </w:r>
    </w:p>
    <w:p w14:paraId="7CE67756">
      <w:pPr>
        <w:pStyle w:val="99"/>
        <w:spacing w:line="360" w:lineRule="auto"/>
        <w:ind w:firstLine="709"/>
        <w:contextualSpacing/>
        <w:rPr>
          <w:rFonts w:ascii="Times New Roman" w:hAnsi="Times New Roman" w:cs="Times New Roman"/>
          <w:color w:val="auto"/>
          <w:sz w:val="22"/>
          <w:szCs w:val="22"/>
        </w:rPr>
      </w:pPr>
      <w:r>
        <w:rPr>
          <w:rFonts w:ascii="Times New Roman" w:hAnsi="Times New Roman" w:cs="Times New Roman"/>
          <w:color w:val="auto"/>
          <w:sz w:val="22"/>
          <w:szCs w:val="22"/>
        </w:rPr>
        <w:t xml:space="preserve">Предупреждение травматизма во время занятий плавательной подготовкой. Упражнения в плавании кролем на груди, ознакомительные упражнения в плавании кролем на спине. </w:t>
      </w:r>
    </w:p>
    <w:p w14:paraId="25D2C224">
      <w:pPr>
        <w:pStyle w:val="99"/>
        <w:spacing w:line="360" w:lineRule="auto"/>
        <w:ind w:firstLine="709"/>
        <w:contextualSpacing/>
        <w:rPr>
          <w:rFonts w:ascii="Times New Roman" w:hAnsi="Times New Roman" w:cs="Times New Roman"/>
          <w:color w:val="auto"/>
          <w:sz w:val="22"/>
          <w:szCs w:val="22"/>
        </w:rPr>
      </w:pPr>
      <w:r>
        <w:rPr>
          <w:rFonts w:ascii="Times New Roman" w:hAnsi="Times New Roman" w:cs="Times New Roman"/>
          <w:color w:val="auto"/>
          <w:sz w:val="22"/>
          <w:szCs w:val="22"/>
        </w:rPr>
        <w:t xml:space="preserve">Подвижные и спортивные игры. </w:t>
      </w:r>
    </w:p>
    <w:p w14:paraId="5C3070B2">
      <w:pPr>
        <w:pStyle w:val="99"/>
        <w:spacing w:line="360" w:lineRule="auto"/>
        <w:ind w:firstLine="709"/>
        <w:contextualSpacing/>
        <w:rPr>
          <w:rFonts w:ascii="Times New Roman" w:hAnsi="Times New Roman" w:cs="Times New Roman"/>
          <w:color w:val="auto"/>
          <w:sz w:val="22"/>
          <w:szCs w:val="22"/>
        </w:rPr>
      </w:pPr>
      <w:r>
        <w:rPr>
          <w:rFonts w:ascii="Times New Roman" w:hAnsi="Times New Roman" w:cs="Times New Roman"/>
          <w:color w:val="auto"/>
          <w:sz w:val="22"/>
          <w:szCs w:val="22"/>
        </w:rPr>
        <w:t>Предупреждение травматизма на занятиях подвижными играми. Подвижные игры общефизической подготовки. Волейбол: нижняя боковая подача, приём и передача мяча сверху, выполнение освоенных технических действий в условиях игровой деятельности. Баскетбол: бросок мяча двумя руками от груди с места, выполнение освоенных технических действий в условиях игровой деятельности. Футбол: остановки катящегося мяча внутренней стороной стопы, выполнение освоенных технических действий в условиях игровой деятельности.</w:t>
      </w:r>
    </w:p>
    <w:p w14:paraId="3C61B52C">
      <w:pPr>
        <w:pStyle w:val="99"/>
        <w:spacing w:line="360" w:lineRule="auto"/>
        <w:ind w:firstLine="709"/>
        <w:contextualSpacing/>
        <w:rPr>
          <w:rStyle w:val="102"/>
          <w:rFonts w:ascii="Times New Roman" w:hAnsi="Times New Roman" w:eastAsia="Calibri" w:cs="Times New Roman"/>
          <w:i w:val="0"/>
          <w:iCs w:val="0"/>
          <w:color w:val="auto"/>
          <w:sz w:val="22"/>
          <w:szCs w:val="22"/>
        </w:rPr>
      </w:pPr>
      <w:r>
        <w:rPr>
          <w:rFonts w:ascii="Times New Roman" w:hAnsi="Times New Roman" w:cs="Times New Roman"/>
          <w:color w:val="auto"/>
          <w:sz w:val="22"/>
          <w:szCs w:val="22"/>
        </w:rPr>
        <w:t>16.3.5.3.3. </w:t>
      </w:r>
      <w:r>
        <w:rPr>
          <w:rStyle w:val="102"/>
          <w:rFonts w:ascii="Times New Roman" w:hAnsi="Times New Roman" w:eastAsia="Calibri" w:cs="Times New Roman"/>
          <w:i w:val="0"/>
          <w:iCs w:val="0"/>
          <w:color w:val="auto"/>
          <w:sz w:val="22"/>
          <w:szCs w:val="22"/>
        </w:rPr>
        <w:t xml:space="preserve">Прикладно-ориентированная физическая культура. </w:t>
      </w:r>
    </w:p>
    <w:p w14:paraId="3D3E16B3">
      <w:pPr>
        <w:pStyle w:val="99"/>
        <w:spacing w:line="360" w:lineRule="auto"/>
        <w:ind w:firstLine="709"/>
        <w:contextualSpacing/>
        <w:rPr>
          <w:rFonts w:ascii="Times New Roman" w:hAnsi="Times New Roman" w:cs="Times New Roman"/>
          <w:color w:val="auto"/>
          <w:sz w:val="22"/>
          <w:szCs w:val="22"/>
        </w:rPr>
      </w:pPr>
      <w:r>
        <w:rPr>
          <w:rFonts w:ascii="Times New Roman" w:hAnsi="Times New Roman" w:cs="Times New Roman"/>
          <w:color w:val="auto"/>
          <w:sz w:val="22"/>
          <w:szCs w:val="22"/>
        </w:rPr>
        <w:t xml:space="preserve">Упражнения физической подготовки на развитие основных физических качеств. Подготовка к выполнению нормативных требований комплекса ГТО. </w:t>
      </w:r>
      <w:bookmarkStart w:id="260" w:name="_Toc103687213"/>
    </w:p>
    <w:p w14:paraId="794EE191">
      <w:pPr>
        <w:pStyle w:val="99"/>
        <w:spacing w:line="360" w:lineRule="auto"/>
        <w:ind w:firstLine="709"/>
        <w:contextualSpacing/>
        <w:rPr>
          <w:rFonts w:ascii="Times New Roman" w:hAnsi="Times New Roman" w:cs="Times New Roman"/>
          <w:color w:val="auto"/>
          <w:sz w:val="22"/>
          <w:szCs w:val="22"/>
        </w:rPr>
      </w:pPr>
      <w:r>
        <w:rPr>
          <w:rFonts w:ascii="Times New Roman" w:hAnsi="Times New Roman" w:cs="Times New Roman"/>
          <w:color w:val="auto"/>
          <w:sz w:val="22"/>
          <w:szCs w:val="22"/>
        </w:rPr>
        <w:t>16.3.6. Планируемые результаты освоения программы по физической культуре на уровне начального общего образования</w:t>
      </w:r>
      <w:bookmarkEnd w:id="260"/>
      <w:bookmarkStart w:id="261" w:name="_Toc103687214"/>
      <w:r>
        <w:rPr>
          <w:rFonts w:ascii="Times New Roman" w:hAnsi="Times New Roman" w:cs="Times New Roman"/>
          <w:color w:val="auto"/>
          <w:sz w:val="22"/>
          <w:szCs w:val="22"/>
        </w:rPr>
        <w:t>.</w:t>
      </w:r>
    </w:p>
    <w:bookmarkEnd w:id="261"/>
    <w:p w14:paraId="62347DA7">
      <w:pPr>
        <w:pStyle w:val="99"/>
        <w:spacing w:line="360" w:lineRule="auto"/>
        <w:ind w:firstLine="709"/>
        <w:contextualSpacing/>
        <w:rPr>
          <w:rFonts w:ascii="Times New Roman" w:hAnsi="Times New Roman" w:cs="Times New Roman"/>
          <w:color w:val="auto"/>
          <w:sz w:val="22"/>
          <w:szCs w:val="22"/>
        </w:rPr>
      </w:pPr>
      <w:r>
        <w:rPr>
          <w:rFonts w:ascii="Times New Roman" w:hAnsi="Times New Roman" w:cs="Times New Roman"/>
          <w:color w:val="auto"/>
          <w:sz w:val="22"/>
          <w:szCs w:val="22"/>
        </w:rPr>
        <w:t>16.3.6.1. Личностные результаты освоения программы по физической культуре на уровне начального общего образования достигаются в единстве учебной и воспитательной деятельности в соответствии с традиционными российскими социокультурными и духовно-нравственными ценностями, принятыми в обществе правилами и нормами поведения и способствуют процессам самопознания, самовоспитания и саморазвития, формирования внутренней позиции личности.</w:t>
      </w:r>
    </w:p>
    <w:p w14:paraId="073FBF15">
      <w:pPr>
        <w:pStyle w:val="99"/>
        <w:spacing w:line="360" w:lineRule="auto"/>
        <w:ind w:firstLine="709"/>
        <w:contextualSpacing/>
        <w:rPr>
          <w:rFonts w:ascii="Times New Roman" w:hAnsi="Times New Roman" w:cs="Times New Roman"/>
          <w:color w:val="auto"/>
          <w:sz w:val="22"/>
          <w:szCs w:val="22"/>
        </w:rPr>
      </w:pPr>
      <w:r>
        <w:rPr>
          <w:rFonts w:ascii="Times New Roman" w:hAnsi="Times New Roman" w:cs="Times New Roman"/>
          <w:color w:val="auto"/>
          <w:sz w:val="22"/>
          <w:szCs w:val="22"/>
        </w:rPr>
        <w:t xml:space="preserve">В результате изучения физической культуры на уровне начального общего образования у обучающегося будут сформированы следующие личностные результаты: </w:t>
      </w:r>
    </w:p>
    <w:p w14:paraId="24068997">
      <w:pPr>
        <w:pStyle w:val="100"/>
        <w:spacing w:line="360" w:lineRule="auto"/>
        <w:ind w:left="0" w:firstLine="709"/>
        <w:contextualSpacing/>
        <w:rPr>
          <w:rFonts w:ascii="Times New Roman" w:hAnsi="Times New Roman" w:cs="Times New Roman"/>
          <w:color w:val="auto"/>
          <w:sz w:val="22"/>
          <w:szCs w:val="22"/>
        </w:rPr>
      </w:pPr>
      <w:r>
        <w:rPr>
          <w:rFonts w:ascii="Times New Roman" w:hAnsi="Times New Roman" w:cs="Times New Roman"/>
          <w:color w:val="auto"/>
          <w:sz w:val="22"/>
          <w:szCs w:val="22"/>
        </w:rPr>
        <w:t xml:space="preserve">становление ценностного отношения к истории и развитию физической культуры народов России, осознание её связи с трудовой деятельностью и укреплением здоровья человека; </w:t>
      </w:r>
    </w:p>
    <w:p w14:paraId="51B1E6B8">
      <w:pPr>
        <w:pStyle w:val="100"/>
        <w:spacing w:line="360" w:lineRule="auto"/>
        <w:ind w:left="0" w:firstLine="709"/>
        <w:contextualSpacing/>
        <w:rPr>
          <w:rFonts w:ascii="Times New Roman" w:hAnsi="Times New Roman" w:cs="Times New Roman"/>
          <w:color w:val="auto"/>
          <w:sz w:val="22"/>
          <w:szCs w:val="22"/>
        </w:rPr>
      </w:pPr>
      <w:r>
        <w:rPr>
          <w:rFonts w:ascii="Times New Roman" w:hAnsi="Times New Roman" w:cs="Times New Roman"/>
          <w:color w:val="auto"/>
          <w:sz w:val="22"/>
          <w:szCs w:val="22"/>
        </w:rPr>
        <w:t>формирование нравственно-этических норм поведения и правил межличностного общения во время подвижных игр и спортивных соревнований, выполнения совместных учебных заданий;</w:t>
      </w:r>
    </w:p>
    <w:p w14:paraId="4B906E88">
      <w:pPr>
        <w:pStyle w:val="100"/>
        <w:spacing w:line="360" w:lineRule="auto"/>
        <w:ind w:left="0" w:firstLine="709"/>
        <w:contextualSpacing/>
        <w:rPr>
          <w:rFonts w:ascii="Times New Roman" w:hAnsi="Times New Roman" w:cs="Times New Roman"/>
          <w:color w:val="auto"/>
          <w:sz w:val="22"/>
          <w:szCs w:val="22"/>
        </w:rPr>
      </w:pPr>
      <w:r>
        <w:rPr>
          <w:rFonts w:ascii="Times New Roman" w:hAnsi="Times New Roman" w:cs="Times New Roman"/>
          <w:color w:val="auto"/>
          <w:sz w:val="22"/>
          <w:szCs w:val="22"/>
        </w:rPr>
        <w:t>проявление уважительного отношения к соперникам во время соревновательной деятельности, стремление оказывать первую помощь при травмах и ушибах;</w:t>
      </w:r>
    </w:p>
    <w:p w14:paraId="10E55F23">
      <w:pPr>
        <w:pStyle w:val="100"/>
        <w:spacing w:line="360" w:lineRule="auto"/>
        <w:ind w:left="0" w:firstLine="709"/>
        <w:contextualSpacing/>
        <w:rPr>
          <w:rFonts w:ascii="Times New Roman" w:hAnsi="Times New Roman" w:cs="Times New Roman"/>
          <w:color w:val="auto"/>
          <w:sz w:val="22"/>
          <w:szCs w:val="22"/>
        </w:rPr>
      </w:pPr>
      <w:r>
        <w:rPr>
          <w:rFonts w:ascii="Times New Roman" w:hAnsi="Times New Roman" w:cs="Times New Roman"/>
          <w:color w:val="auto"/>
          <w:sz w:val="22"/>
          <w:szCs w:val="22"/>
        </w:rPr>
        <w:t xml:space="preserve">уважительное отношение к содержанию национальных подвижных игр, этнокультурным формам и видам соревновательной деятельности; </w:t>
      </w:r>
    </w:p>
    <w:p w14:paraId="1F7943FB">
      <w:pPr>
        <w:pStyle w:val="100"/>
        <w:spacing w:line="360" w:lineRule="auto"/>
        <w:ind w:left="0" w:firstLine="709"/>
        <w:contextualSpacing/>
        <w:rPr>
          <w:rFonts w:ascii="Times New Roman" w:hAnsi="Times New Roman" w:cs="Times New Roman"/>
          <w:color w:val="auto"/>
          <w:sz w:val="22"/>
          <w:szCs w:val="22"/>
        </w:rPr>
      </w:pPr>
      <w:r>
        <w:rPr>
          <w:rFonts w:ascii="Times New Roman" w:hAnsi="Times New Roman" w:cs="Times New Roman"/>
          <w:color w:val="auto"/>
          <w:sz w:val="22"/>
          <w:szCs w:val="22"/>
        </w:rPr>
        <w:t xml:space="preserve">стремление к формированию культуры здоровья, соблюдению правил здорового образа жизни; </w:t>
      </w:r>
    </w:p>
    <w:p w14:paraId="22023AC8">
      <w:pPr>
        <w:pStyle w:val="100"/>
        <w:spacing w:line="360" w:lineRule="auto"/>
        <w:ind w:left="0" w:firstLine="709"/>
        <w:contextualSpacing/>
        <w:rPr>
          <w:rFonts w:ascii="Times New Roman" w:hAnsi="Times New Roman" w:cs="Times New Roman"/>
          <w:color w:val="auto"/>
          <w:sz w:val="22"/>
          <w:szCs w:val="22"/>
        </w:rPr>
      </w:pPr>
      <w:r>
        <w:rPr>
          <w:rFonts w:ascii="Times New Roman" w:hAnsi="Times New Roman" w:cs="Times New Roman"/>
          <w:color w:val="auto"/>
          <w:sz w:val="22"/>
          <w:szCs w:val="22"/>
        </w:rPr>
        <w:t xml:space="preserve">проявление интереса к исследованию индивидуальных особенностей физического развития и физической подготовленности, влияния занятий физической культурой и спортом на их показатели. </w:t>
      </w:r>
      <w:bookmarkStart w:id="262" w:name="_Toc103687215"/>
    </w:p>
    <w:bookmarkEnd w:id="262"/>
    <w:p w14:paraId="5C449F88">
      <w:pPr>
        <w:pStyle w:val="99"/>
        <w:spacing w:line="360" w:lineRule="auto"/>
        <w:ind w:firstLine="709"/>
        <w:contextualSpacing/>
        <w:rPr>
          <w:rFonts w:ascii="Times New Roman" w:hAnsi="Times New Roman" w:cs="Times New Roman"/>
          <w:color w:val="auto"/>
          <w:sz w:val="22"/>
          <w:szCs w:val="22"/>
        </w:rPr>
      </w:pPr>
      <w:r>
        <w:rPr>
          <w:rFonts w:ascii="Times New Roman" w:hAnsi="Times New Roman" w:cs="Times New Roman"/>
          <w:color w:val="auto"/>
          <w:sz w:val="22"/>
          <w:szCs w:val="22"/>
        </w:rPr>
        <w:t>16.3.6.2. В результате изучения физической культуры на уровне начального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деятельность.</w:t>
      </w:r>
    </w:p>
    <w:p w14:paraId="7F2AAA15">
      <w:pPr>
        <w:pStyle w:val="99"/>
        <w:spacing w:line="360" w:lineRule="auto"/>
        <w:ind w:firstLine="709"/>
        <w:contextualSpacing/>
        <w:rPr>
          <w:rFonts w:ascii="Times New Roman" w:hAnsi="Times New Roman" w:cs="Times New Roman"/>
          <w:color w:val="auto"/>
          <w:sz w:val="22"/>
          <w:szCs w:val="22"/>
        </w:rPr>
      </w:pPr>
      <w:r>
        <w:rPr>
          <w:rFonts w:ascii="Times New Roman" w:hAnsi="Times New Roman" w:cs="Times New Roman"/>
          <w:color w:val="auto"/>
          <w:sz w:val="22"/>
          <w:szCs w:val="22"/>
        </w:rPr>
        <w:t>16.3.6.3. По окончании 1 класса у обучающегося будут сформированы следующие</w:t>
      </w:r>
      <w:r>
        <w:rPr>
          <w:rStyle w:val="102"/>
          <w:rFonts w:ascii="Times New Roman" w:hAnsi="Times New Roman" w:eastAsia="Calibri" w:cs="Times New Roman"/>
          <w:i w:val="0"/>
          <w:iCs w:val="0"/>
          <w:color w:val="auto"/>
          <w:sz w:val="22"/>
          <w:szCs w:val="22"/>
        </w:rPr>
        <w:t xml:space="preserve"> универсальные учебные действия:</w:t>
      </w:r>
      <w:r>
        <w:rPr>
          <w:rFonts w:ascii="Times New Roman" w:hAnsi="Times New Roman" w:cs="Times New Roman"/>
          <w:color w:val="auto"/>
          <w:sz w:val="22"/>
          <w:szCs w:val="22"/>
        </w:rPr>
        <w:t xml:space="preserve"> </w:t>
      </w:r>
    </w:p>
    <w:p w14:paraId="26E1D8A4">
      <w:pPr>
        <w:pStyle w:val="100"/>
        <w:spacing w:line="360" w:lineRule="auto"/>
        <w:ind w:left="0" w:firstLine="709"/>
        <w:contextualSpacing/>
        <w:rPr>
          <w:rFonts w:ascii="Times New Roman" w:hAnsi="Times New Roman" w:cs="Times New Roman"/>
          <w:color w:val="auto"/>
          <w:sz w:val="22"/>
          <w:szCs w:val="22"/>
        </w:rPr>
      </w:pPr>
      <w:r>
        <w:rPr>
          <w:rFonts w:ascii="Times New Roman" w:hAnsi="Times New Roman" w:cs="Times New Roman"/>
          <w:color w:val="auto"/>
          <w:sz w:val="22"/>
          <w:szCs w:val="22"/>
        </w:rPr>
        <w:t>16.3.6.3.1. У обучающегося будут сформированы следующие базовые логические и исследовательские действия как часть познавательных универсальных учебных действий:</w:t>
      </w:r>
    </w:p>
    <w:p w14:paraId="7EDD50BF">
      <w:pPr>
        <w:pStyle w:val="100"/>
        <w:spacing w:line="360" w:lineRule="auto"/>
        <w:ind w:left="0" w:firstLine="709"/>
        <w:contextualSpacing/>
        <w:rPr>
          <w:rFonts w:ascii="Times New Roman" w:hAnsi="Times New Roman" w:cs="Times New Roman"/>
          <w:color w:val="auto"/>
          <w:sz w:val="22"/>
          <w:szCs w:val="22"/>
        </w:rPr>
      </w:pPr>
      <w:r>
        <w:rPr>
          <w:rFonts w:ascii="Times New Roman" w:hAnsi="Times New Roman" w:cs="Times New Roman"/>
          <w:color w:val="auto"/>
          <w:sz w:val="22"/>
          <w:szCs w:val="22"/>
        </w:rPr>
        <w:t>находить общие и отличительные признаки в передвижениях человека и животных;</w:t>
      </w:r>
    </w:p>
    <w:p w14:paraId="1C369BF6">
      <w:pPr>
        <w:pStyle w:val="100"/>
        <w:spacing w:line="360" w:lineRule="auto"/>
        <w:ind w:left="0" w:firstLine="709"/>
        <w:contextualSpacing/>
        <w:rPr>
          <w:rFonts w:ascii="Times New Roman" w:hAnsi="Times New Roman" w:cs="Times New Roman"/>
          <w:color w:val="auto"/>
          <w:sz w:val="22"/>
          <w:szCs w:val="22"/>
        </w:rPr>
      </w:pPr>
      <w:r>
        <w:rPr>
          <w:rFonts w:ascii="Times New Roman" w:hAnsi="Times New Roman" w:cs="Times New Roman"/>
          <w:color w:val="auto"/>
          <w:sz w:val="22"/>
          <w:szCs w:val="22"/>
        </w:rPr>
        <w:t xml:space="preserve">устанавливать связь между бытовыми движениями древних людей и физическими упражнениями из современных видов спорта; </w:t>
      </w:r>
    </w:p>
    <w:p w14:paraId="2CF7549D">
      <w:pPr>
        <w:pStyle w:val="100"/>
        <w:spacing w:line="360" w:lineRule="auto"/>
        <w:ind w:left="0" w:firstLine="709"/>
        <w:contextualSpacing/>
        <w:rPr>
          <w:rFonts w:ascii="Times New Roman" w:hAnsi="Times New Roman" w:cs="Times New Roman"/>
          <w:color w:val="auto"/>
          <w:sz w:val="22"/>
          <w:szCs w:val="22"/>
        </w:rPr>
      </w:pPr>
      <w:r>
        <w:rPr>
          <w:rFonts w:ascii="Times New Roman" w:hAnsi="Times New Roman" w:cs="Times New Roman"/>
          <w:color w:val="auto"/>
          <w:sz w:val="22"/>
          <w:szCs w:val="22"/>
        </w:rPr>
        <w:t xml:space="preserve">сравнивать способы передвижения ходьбой и бегом, находить между ними общие и отличительные признаки; </w:t>
      </w:r>
    </w:p>
    <w:p w14:paraId="32104566">
      <w:pPr>
        <w:pStyle w:val="100"/>
        <w:spacing w:line="360" w:lineRule="auto"/>
        <w:ind w:left="0" w:firstLine="709"/>
        <w:contextualSpacing/>
        <w:rPr>
          <w:rFonts w:ascii="Times New Roman" w:hAnsi="Times New Roman" w:cs="Times New Roman"/>
          <w:color w:val="auto"/>
          <w:sz w:val="22"/>
          <w:szCs w:val="22"/>
        </w:rPr>
      </w:pPr>
      <w:r>
        <w:rPr>
          <w:rFonts w:ascii="Times New Roman" w:hAnsi="Times New Roman" w:cs="Times New Roman"/>
          <w:color w:val="auto"/>
          <w:sz w:val="22"/>
          <w:szCs w:val="22"/>
        </w:rPr>
        <w:t>выявлять признаки правильной и неправильной осанки, приводить возможные причины её нарушений.</w:t>
      </w:r>
    </w:p>
    <w:p w14:paraId="3594DDF1">
      <w:pPr>
        <w:pStyle w:val="99"/>
        <w:spacing w:line="360" w:lineRule="auto"/>
        <w:ind w:firstLine="709"/>
        <w:contextualSpacing/>
        <w:rPr>
          <w:rStyle w:val="102"/>
          <w:rFonts w:ascii="Times New Roman" w:hAnsi="Times New Roman" w:eastAsia="Calibri" w:cs="Times New Roman"/>
          <w:i w:val="0"/>
          <w:iCs w:val="0"/>
          <w:color w:val="auto"/>
          <w:sz w:val="22"/>
          <w:szCs w:val="22"/>
        </w:rPr>
      </w:pPr>
      <w:r>
        <w:rPr>
          <w:rFonts w:ascii="Times New Roman" w:hAnsi="Times New Roman" w:cs="Times New Roman"/>
          <w:color w:val="auto"/>
          <w:sz w:val="22"/>
          <w:szCs w:val="22"/>
        </w:rPr>
        <w:t>16.3.6.3.2. У обучающегося будут сформированы умения общения как часть коммуникативных универсальных учебных действий</w:t>
      </w:r>
      <w:r>
        <w:rPr>
          <w:rStyle w:val="102"/>
          <w:rFonts w:ascii="Times New Roman" w:hAnsi="Times New Roman" w:eastAsia="Calibri" w:cs="Times New Roman"/>
          <w:i w:val="0"/>
          <w:iCs w:val="0"/>
          <w:color w:val="auto"/>
          <w:sz w:val="22"/>
          <w:szCs w:val="22"/>
        </w:rPr>
        <w:t xml:space="preserve">: </w:t>
      </w:r>
    </w:p>
    <w:p w14:paraId="3EADFBFC">
      <w:pPr>
        <w:pStyle w:val="100"/>
        <w:spacing w:line="360" w:lineRule="auto"/>
        <w:ind w:left="0" w:firstLine="709"/>
        <w:contextualSpacing/>
        <w:rPr>
          <w:rFonts w:ascii="Times New Roman" w:hAnsi="Times New Roman" w:cs="Times New Roman"/>
          <w:color w:val="auto"/>
          <w:sz w:val="22"/>
          <w:szCs w:val="22"/>
        </w:rPr>
      </w:pPr>
      <w:r>
        <w:rPr>
          <w:rFonts w:ascii="Times New Roman" w:hAnsi="Times New Roman" w:cs="Times New Roman"/>
          <w:color w:val="auto"/>
          <w:sz w:val="22"/>
          <w:szCs w:val="22"/>
        </w:rPr>
        <w:t xml:space="preserve">воспроизводить названия разучиваемых физических упражнений и их исходные положения; </w:t>
      </w:r>
    </w:p>
    <w:p w14:paraId="6038D850">
      <w:pPr>
        <w:pStyle w:val="100"/>
        <w:spacing w:line="360" w:lineRule="auto"/>
        <w:ind w:left="0" w:firstLine="709"/>
        <w:contextualSpacing/>
        <w:rPr>
          <w:rFonts w:ascii="Times New Roman" w:hAnsi="Times New Roman" w:cs="Times New Roman"/>
          <w:color w:val="auto"/>
          <w:sz w:val="22"/>
          <w:szCs w:val="22"/>
        </w:rPr>
      </w:pPr>
      <w:r>
        <w:rPr>
          <w:rFonts w:ascii="Times New Roman" w:hAnsi="Times New Roman" w:cs="Times New Roman"/>
          <w:color w:val="auto"/>
          <w:sz w:val="22"/>
          <w:szCs w:val="22"/>
        </w:rPr>
        <w:t xml:space="preserve">высказывать мнение о положительном влиянии занятий физической культурой, оценивать влияние гигиенических процедур на укрепление здоровья; </w:t>
      </w:r>
    </w:p>
    <w:p w14:paraId="23298E23">
      <w:pPr>
        <w:pStyle w:val="100"/>
        <w:spacing w:line="360" w:lineRule="auto"/>
        <w:ind w:left="0" w:firstLine="709"/>
        <w:contextualSpacing/>
        <w:rPr>
          <w:rFonts w:ascii="Times New Roman" w:hAnsi="Times New Roman" w:cs="Times New Roman"/>
          <w:color w:val="auto"/>
          <w:sz w:val="22"/>
          <w:szCs w:val="22"/>
        </w:rPr>
      </w:pPr>
      <w:r>
        <w:rPr>
          <w:rFonts w:ascii="Times New Roman" w:hAnsi="Times New Roman" w:cs="Times New Roman"/>
          <w:color w:val="auto"/>
          <w:sz w:val="22"/>
          <w:szCs w:val="22"/>
        </w:rPr>
        <w:t xml:space="preserve">управлять эмоциями во время занятий физической культурой и проведения подвижных игр, соблюдать правила поведения и положительно относиться к замечаниям других обучающихся и учителя; </w:t>
      </w:r>
    </w:p>
    <w:p w14:paraId="28678D24">
      <w:pPr>
        <w:pStyle w:val="100"/>
        <w:spacing w:line="360" w:lineRule="auto"/>
        <w:ind w:left="0" w:firstLine="709"/>
        <w:contextualSpacing/>
        <w:rPr>
          <w:rFonts w:ascii="Times New Roman" w:hAnsi="Times New Roman" w:cs="Times New Roman"/>
          <w:color w:val="auto"/>
          <w:sz w:val="22"/>
          <w:szCs w:val="22"/>
        </w:rPr>
      </w:pPr>
      <w:r>
        <w:rPr>
          <w:rFonts w:ascii="Times New Roman" w:hAnsi="Times New Roman" w:cs="Times New Roman"/>
          <w:color w:val="auto"/>
          <w:sz w:val="22"/>
          <w:szCs w:val="22"/>
        </w:rPr>
        <w:t>обсуждать правила проведения подвижных игр, обосновывать объективность определения победителей.</w:t>
      </w:r>
    </w:p>
    <w:p w14:paraId="31199BD1">
      <w:pPr>
        <w:pStyle w:val="99"/>
        <w:spacing w:line="360" w:lineRule="auto"/>
        <w:ind w:firstLine="709"/>
        <w:contextualSpacing/>
        <w:rPr>
          <w:rStyle w:val="102"/>
          <w:rFonts w:ascii="Times New Roman" w:hAnsi="Times New Roman" w:eastAsia="Calibri" w:cs="Times New Roman"/>
          <w:i w:val="0"/>
          <w:iCs w:val="0"/>
          <w:color w:val="auto"/>
          <w:sz w:val="22"/>
          <w:szCs w:val="22"/>
        </w:rPr>
      </w:pPr>
      <w:r>
        <w:rPr>
          <w:rFonts w:ascii="Times New Roman" w:hAnsi="Times New Roman" w:cs="Times New Roman"/>
          <w:color w:val="auto"/>
          <w:sz w:val="22"/>
          <w:szCs w:val="22"/>
        </w:rPr>
        <w:t>16.3.6.3.3. У обучающегося будут сформированы умения самоорганизации и самоконтроля как часть регулятивных универсальных учебных действий</w:t>
      </w:r>
      <w:r>
        <w:rPr>
          <w:rStyle w:val="102"/>
          <w:rFonts w:ascii="Times New Roman" w:hAnsi="Times New Roman" w:eastAsia="Calibri" w:cs="Times New Roman"/>
          <w:i w:val="0"/>
          <w:iCs w:val="0"/>
          <w:color w:val="auto"/>
          <w:sz w:val="22"/>
          <w:szCs w:val="22"/>
        </w:rPr>
        <w:t>:</w:t>
      </w:r>
    </w:p>
    <w:p w14:paraId="017ED01B">
      <w:pPr>
        <w:pStyle w:val="100"/>
        <w:spacing w:line="360" w:lineRule="auto"/>
        <w:ind w:left="0" w:firstLine="709"/>
        <w:contextualSpacing/>
        <w:rPr>
          <w:rFonts w:ascii="Times New Roman" w:hAnsi="Times New Roman" w:cs="Times New Roman"/>
          <w:color w:val="auto"/>
          <w:spacing w:val="1"/>
          <w:sz w:val="22"/>
          <w:szCs w:val="22"/>
        </w:rPr>
      </w:pPr>
      <w:r>
        <w:rPr>
          <w:rFonts w:ascii="Times New Roman" w:hAnsi="Times New Roman" w:cs="Times New Roman"/>
          <w:color w:val="auto"/>
          <w:spacing w:val="1"/>
          <w:sz w:val="22"/>
          <w:szCs w:val="22"/>
        </w:rPr>
        <w:t xml:space="preserve">выполнять комплексы физкультминуток, утренней зарядки, упражнений по профилактике нарушения и коррекции осанки; </w:t>
      </w:r>
    </w:p>
    <w:p w14:paraId="30C69A3B">
      <w:pPr>
        <w:pStyle w:val="100"/>
        <w:spacing w:line="360" w:lineRule="auto"/>
        <w:ind w:left="0" w:firstLine="709"/>
        <w:contextualSpacing/>
        <w:rPr>
          <w:rFonts w:ascii="Times New Roman" w:hAnsi="Times New Roman" w:cs="Times New Roman"/>
          <w:color w:val="auto"/>
          <w:sz w:val="22"/>
          <w:szCs w:val="22"/>
        </w:rPr>
      </w:pPr>
      <w:r>
        <w:rPr>
          <w:rFonts w:ascii="Times New Roman" w:hAnsi="Times New Roman" w:cs="Times New Roman"/>
          <w:color w:val="auto"/>
          <w:sz w:val="22"/>
          <w:szCs w:val="22"/>
        </w:rPr>
        <w:t>выполнять учебные задания по обучению новым физическим упражнениям и развитию физических качеств;</w:t>
      </w:r>
    </w:p>
    <w:p w14:paraId="07073CBE">
      <w:pPr>
        <w:pStyle w:val="100"/>
        <w:spacing w:line="360" w:lineRule="auto"/>
        <w:ind w:left="0" w:firstLine="709"/>
        <w:contextualSpacing/>
        <w:rPr>
          <w:rFonts w:ascii="Times New Roman" w:hAnsi="Times New Roman" w:cs="Times New Roman"/>
          <w:color w:val="auto"/>
          <w:sz w:val="22"/>
          <w:szCs w:val="22"/>
        </w:rPr>
      </w:pPr>
      <w:r>
        <w:rPr>
          <w:rFonts w:ascii="Times New Roman" w:hAnsi="Times New Roman" w:cs="Times New Roman"/>
          <w:color w:val="auto"/>
          <w:sz w:val="22"/>
          <w:szCs w:val="22"/>
        </w:rPr>
        <w:t>проявлять уважительное отношение к участникам совместной игровой и соревновательной деятельности.</w:t>
      </w:r>
    </w:p>
    <w:p w14:paraId="40A4ADAA">
      <w:pPr>
        <w:pStyle w:val="99"/>
        <w:spacing w:line="360" w:lineRule="auto"/>
        <w:ind w:firstLine="709"/>
        <w:contextualSpacing/>
        <w:rPr>
          <w:rFonts w:ascii="Times New Roman" w:hAnsi="Times New Roman" w:cs="Times New Roman"/>
          <w:color w:val="auto"/>
          <w:sz w:val="22"/>
          <w:szCs w:val="22"/>
        </w:rPr>
      </w:pPr>
      <w:r>
        <w:rPr>
          <w:rFonts w:ascii="Times New Roman" w:hAnsi="Times New Roman" w:cs="Times New Roman"/>
          <w:color w:val="auto"/>
          <w:sz w:val="22"/>
          <w:szCs w:val="22"/>
        </w:rPr>
        <w:t>16.3.6.4. По окончании 2 класса у обучающегося будут сформированы следующие</w:t>
      </w:r>
      <w:r>
        <w:rPr>
          <w:rStyle w:val="102"/>
          <w:rFonts w:ascii="Times New Roman" w:hAnsi="Times New Roman" w:eastAsia="Calibri" w:cs="Times New Roman"/>
          <w:i w:val="0"/>
          <w:iCs w:val="0"/>
          <w:color w:val="auto"/>
          <w:sz w:val="22"/>
          <w:szCs w:val="22"/>
        </w:rPr>
        <w:t xml:space="preserve"> универсальные учебные действия:</w:t>
      </w:r>
      <w:r>
        <w:rPr>
          <w:rFonts w:ascii="Times New Roman" w:hAnsi="Times New Roman" w:cs="Times New Roman"/>
          <w:color w:val="auto"/>
          <w:sz w:val="22"/>
          <w:szCs w:val="22"/>
        </w:rPr>
        <w:t xml:space="preserve"> </w:t>
      </w:r>
    </w:p>
    <w:p w14:paraId="4DFBC599">
      <w:pPr>
        <w:pStyle w:val="99"/>
        <w:spacing w:line="360" w:lineRule="auto"/>
        <w:ind w:firstLine="709"/>
        <w:contextualSpacing/>
        <w:rPr>
          <w:rFonts w:ascii="Times New Roman" w:hAnsi="Times New Roman" w:cs="Times New Roman"/>
          <w:color w:val="auto"/>
          <w:sz w:val="22"/>
          <w:szCs w:val="22"/>
        </w:rPr>
      </w:pPr>
      <w:r>
        <w:rPr>
          <w:rFonts w:ascii="Times New Roman" w:hAnsi="Times New Roman" w:cs="Times New Roman"/>
          <w:color w:val="auto"/>
          <w:sz w:val="22"/>
          <w:szCs w:val="22"/>
        </w:rPr>
        <w:t>16.3.6.4.1. У обучающегося будут сформированы следующие базовые логические и исследовательские действия как часть познавательных универсальных учебных действий</w:t>
      </w:r>
      <w:r>
        <w:rPr>
          <w:rStyle w:val="102"/>
          <w:rFonts w:ascii="Times New Roman" w:hAnsi="Times New Roman" w:eastAsia="Calibri" w:cs="Times New Roman"/>
          <w:i w:val="0"/>
          <w:iCs w:val="0"/>
          <w:color w:val="auto"/>
          <w:sz w:val="22"/>
          <w:szCs w:val="22"/>
        </w:rPr>
        <w:t>:</w:t>
      </w:r>
      <w:r>
        <w:rPr>
          <w:rFonts w:ascii="Times New Roman" w:hAnsi="Times New Roman" w:cs="Times New Roman"/>
          <w:color w:val="auto"/>
          <w:sz w:val="22"/>
          <w:szCs w:val="22"/>
        </w:rPr>
        <w:t xml:space="preserve"> </w:t>
      </w:r>
    </w:p>
    <w:p w14:paraId="32780D3A">
      <w:pPr>
        <w:pStyle w:val="100"/>
        <w:spacing w:line="360" w:lineRule="auto"/>
        <w:ind w:left="0" w:firstLine="709"/>
        <w:contextualSpacing/>
        <w:rPr>
          <w:rFonts w:ascii="Times New Roman" w:hAnsi="Times New Roman" w:cs="Times New Roman"/>
          <w:color w:val="auto"/>
          <w:sz w:val="22"/>
          <w:szCs w:val="22"/>
        </w:rPr>
      </w:pPr>
      <w:r>
        <w:rPr>
          <w:rFonts w:ascii="Times New Roman" w:hAnsi="Times New Roman" w:cs="Times New Roman"/>
          <w:color w:val="auto"/>
          <w:sz w:val="22"/>
          <w:szCs w:val="22"/>
        </w:rPr>
        <w:t xml:space="preserve">характеризовать понятие «физические качества», называть физические качества и определять их отличительные признаки; </w:t>
      </w:r>
    </w:p>
    <w:p w14:paraId="1C99D701">
      <w:pPr>
        <w:pStyle w:val="100"/>
        <w:spacing w:line="360" w:lineRule="auto"/>
        <w:ind w:left="0" w:firstLine="709"/>
        <w:contextualSpacing/>
        <w:rPr>
          <w:rFonts w:ascii="Times New Roman" w:hAnsi="Times New Roman" w:cs="Times New Roman"/>
          <w:color w:val="auto"/>
          <w:sz w:val="22"/>
          <w:szCs w:val="22"/>
        </w:rPr>
      </w:pPr>
      <w:r>
        <w:rPr>
          <w:rFonts w:ascii="Times New Roman" w:hAnsi="Times New Roman" w:cs="Times New Roman"/>
          <w:color w:val="auto"/>
          <w:sz w:val="22"/>
          <w:szCs w:val="22"/>
        </w:rPr>
        <w:t>понимать связь между закаливающими процедурами и укреплением здоровья;</w:t>
      </w:r>
    </w:p>
    <w:p w14:paraId="1D6DE657">
      <w:pPr>
        <w:pStyle w:val="100"/>
        <w:spacing w:line="360" w:lineRule="auto"/>
        <w:ind w:left="0" w:firstLine="709"/>
        <w:contextualSpacing/>
        <w:rPr>
          <w:rFonts w:ascii="Times New Roman" w:hAnsi="Times New Roman" w:cs="Times New Roman"/>
          <w:color w:val="auto"/>
          <w:sz w:val="22"/>
          <w:szCs w:val="22"/>
        </w:rPr>
      </w:pPr>
      <w:r>
        <w:rPr>
          <w:rFonts w:ascii="Times New Roman" w:hAnsi="Times New Roman" w:cs="Times New Roman"/>
          <w:color w:val="auto"/>
          <w:sz w:val="22"/>
          <w:szCs w:val="22"/>
        </w:rPr>
        <w:t xml:space="preserve">выявлять отличительные признаки упражнений на развитие разных физических качеств, приводить примеры и демонстрировать их выполнение; </w:t>
      </w:r>
    </w:p>
    <w:p w14:paraId="24C43267">
      <w:pPr>
        <w:pStyle w:val="100"/>
        <w:spacing w:line="360" w:lineRule="auto"/>
        <w:ind w:left="0" w:firstLine="709"/>
        <w:contextualSpacing/>
        <w:rPr>
          <w:rFonts w:ascii="Times New Roman" w:hAnsi="Times New Roman" w:cs="Times New Roman"/>
          <w:color w:val="auto"/>
          <w:sz w:val="22"/>
          <w:szCs w:val="22"/>
        </w:rPr>
      </w:pPr>
      <w:r>
        <w:rPr>
          <w:rFonts w:ascii="Times New Roman" w:hAnsi="Times New Roman" w:cs="Times New Roman"/>
          <w:color w:val="auto"/>
          <w:sz w:val="22"/>
          <w:szCs w:val="22"/>
        </w:rPr>
        <w:t>обобщать знания, полученные в практической деятельности, составлять индивидуальные комплексы упражнений физкультминуток и утренней зарядки, упражнений на профилактику нарушения осанки;</w:t>
      </w:r>
    </w:p>
    <w:p w14:paraId="1A5CF0D6">
      <w:pPr>
        <w:pStyle w:val="100"/>
        <w:spacing w:line="360" w:lineRule="auto"/>
        <w:ind w:left="0" w:firstLine="709"/>
        <w:contextualSpacing/>
        <w:rPr>
          <w:rFonts w:ascii="Times New Roman" w:hAnsi="Times New Roman" w:cs="Times New Roman"/>
          <w:color w:val="auto"/>
          <w:sz w:val="22"/>
          <w:szCs w:val="22"/>
        </w:rPr>
      </w:pPr>
      <w:r>
        <w:rPr>
          <w:rFonts w:ascii="Times New Roman" w:hAnsi="Times New Roman" w:cs="Times New Roman"/>
          <w:color w:val="auto"/>
          <w:sz w:val="22"/>
          <w:szCs w:val="22"/>
        </w:rPr>
        <w:t>вести наблюдения за изменениями показателей физического развития и физических качеств, проводить процедуры их измерения.</w:t>
      </w:r>
    </w:p>
    <w:p w14:paraId="41600211">
      <w:pPr>
        <w:pStyle w:val="99"/>
        <w:spacing w:line="360" w:lineRule="auto"/>
        <w:ind w:firstLine="709"/>
        <w:contextualSpacing/>
        <w:rPr>
          <w:rStyle w:val="102"/>
          <w:rFonts w:ascii="Times New Roman" w:hAnsi="Times New Roman" w:eastAsia="Calibri" w:cs="Times New Roman"/>
          <w:i w:val="0"/>
          <w:iCs w:val="0"/>
          <w:color w:val="auto"/>
          <w:sz w:val="22"/>
          <w:szCs w:val="22"/>
        </w:rPr>
      </w:pPr>
      <w:r>
        <w:rPr>
          <w:rFonts w:ascii="Times New Roman" w:hAnsi="Times New Roman" w:cs="Times New Roman"/>
          <w:color w:val="auto"/>
          <w:sz w:val="22"/>
          <w:szCs w:val="22"/>
        </w:rPr>
        <w:t>16.3.6.4.2. </w:t>
      </w:r>
      <w:r>
        <w:rPr>
          <w:rStyle w:val="102"/>
          <w:rFonts w:ascii="Times New Roman" w:hAnsi="Times New Roman" w:eastAsia="Calibri" w:cs="Times New Roman"/>
          <w:i w:val="0"/>
          <w:iCs w:val="0"/>
          <w:color w:val="auto"/>
          <w:sz w:val="22"/>
          <w:szCs w:val="22"/>
        </w:rPr>
        <w:t xml:space="preserve">У обучающегося будут сформированы умения общения как часть коммуникативных универсальных учебных действий: </w:t>
      </w:r>
    </w:p>
    <w:p w14:paraId="585CC95D">
      <w:pPr>
        <w:pStyle w:val="100"/>
        <w:spacing w:line="360" w:lineRule="auto"/>
        <w:ind w:left="0" w:firstLine="709"/>
        <w:contextualSpacing/>
        <w:rPr>
          <w:rFonts w:ascii="Times New Roman" w:hAnsi="Times New Roman" w:cs="Times New Roman"/>
          <w:color w:val="auto"/>
          <w:sz w:val="22"/>
          <w:szCs w:val="22"/>
        </w:rPr>
      </w:pPr>
      <w:r>
        <w:rPr>
          <w:rFonts w:ascii="Times New Roman" w:hAnsi="Times New Roman" w:cs="Times New Roman"/>
          <w:color w:val="auto"/>
          <w:sz w:val="22"/>
          <w:szCs w:val="22"/>
        </w:rPr>
        <w:t>объяснять назначение упражнений утренней зарядки, приводить соответствующие примеры её положительного влияния на организм обучающихся (в пределах изученного);</w:t>
      </w:r>
    </w:p>
    <w:p w14:paraId="3ADF5A64">
      <w:pPr>
        <w:pStyle w:val="100"/>
        <w:spacing w:line="360" w:lineRule="auto"/>
        <w:ind w:left="0" w:firstLine="709"/>
        <w:contextualSpacing/>
        <w:rPr>
          <w:rFonts w:ascii="Times New Roman" w:hAnsi="Times New Roman" w:cs="Times New Roman"/>
          <w:color w:val="auto"/>
          <w:sz w:val="22"/>
          <w:szCs w:val="22"/>
        </w:rPr>
      </w:pPr>
      <w:r>
        <w:rPr>
          <w:rFonts w:ascii="Times New Roman" w:hAnsi="Times New Roman" w:cs="Times New Roman"/>
          <w:color w:val="auto"/>
          <w:sz w:val="22"/>
          <w:szCs w:val="22"/>
        </w:rPr>
        <w:t xml:space="preserve">исполнять роль капитана и судьи в подвижных играх, аргументированно высказывать суждения о своих действиях и принятых решениях; </w:t>
      </w:r>
    </w:p>
    <w:p w14:paraId="30B7EB6E">
      <w:pPr>
        <w:pStyle w:val="100"/>
        <w:spacing w:line="360" w:lineRule="auto"/>
        <w:ind w:left="0" w:firstLine="709"/>
        <w:contextualSpacing/>
        <w:rPr>
          <w:rFonts w:ascii="Times New Roman" w:hAnsi="Times New Roman" w:cs="Times New Roman"/>
          <w:color w:val="auto"/>
          <w:sz w:val="22"/>
          <w:szCs w:val="22"/>
        </w:rPr>
      </w:pPr>
      <w:r>
        <w:rPr>
          <w:rFonts w:ascii="Times New Roman" w:hAnsi="Times New Roman" w:cs="Times New Roman"/>
          <w:color w:val="auto"/>
          <w:sz w:val="22"/>
          <w:szCs w:val="22"/>
        </w:rPr>
        <w:t>выполнять небольшие сообщения по истории возникновения подвижных игр и спортивных соревнований, планированию режима дня, способам измерения показателей физического развития и физической подготовленности.</w:t>
      </w:r>
    </w:p>
    <w:p w14:paraId="0E99E6F9">
      <w:pPr>
        <w:pStyle w:val="99"/>
        <w:spacing w:line="360" w:lineRule="auto"/>
        <w:ind w:firstLine="709"/>
        <w:contextualSpacing/>
        <w:rPr>
          <w:rStyle w:val="102"/>
          <w:rFonts w:ascii="Times New Roman" w:hAnsi="Times New Roman" w:eastAsia="Calibri" w:cs="Times New Roman"/>
          <w:i w:val="0"/>
          <w:iCs w:val="0"/>
          <w:color w:val="auto"/>
          <w:sz w:val="22"/>
          <w:szCs w:val="22"/>
        </w:rPr>
      </w:pPr>
      <w:r>
        <w:rPr>
          <w:rFonts w:ascii="Times New Roman" w:hAnsi="Times New Roman" w:cs="Times New Roman"/>
          <w:color w:val="auto"/>
          <w:sz w:val="22"/>
          <w:szCs w:val="22"/>
        </w:rPr>
        <w:t>16.3.6.4.3. </w:t>
      </w:r>
      <w:r>
        <w:rPr>
          <w:rStyle w:val="102"/>
          <w:rFonts w:ascii="Times New Roman" w:hAnsi="Times New Roman" w:eastAsia="Calibri" w:cs="Times New Roman"/>
          <w:i w:val="0"/>
          <w:iCs w:val="0"/>
          <w:color w:val="auto"/>
          <w:sz w:val="22"/>
          <w:szCs w:val="22"/>
        </w:rPr>
        <w:t>У обучающегося будут сформированы умения самоорганизации и самоконтроля как часть регулятивных универсальных учебных действий:</w:t>
      </w:r>
    </w:p>
    <w:p w14:paraId="6482C81A">
      <w:pPr>
        <w:pStyle w:val="100"/>
        <w:spacing w:line="360" w:lineRule="auto"/>
        <w:ind w:left="0" w:firstLine="709"/>
        <w:contextualSpacing/>
        <w:rPr>
          <w:rFonts w:ascii="Times New Roman" w:hAnsi="Times New Roman" w:cs="Times New Roman"/>
          <w:color w:val="auto"/>
          <w:sz w:val="22"/>
          <w:szCs w:val="22"/>
        </w:rPr>
      </w:pPr>
      <w:r>
        <w:rPr>
          <w:rFonts w:ascii="Times New Roman" w:hAnsi="Times New Roman" w:cs="Times New Roman"/>
          <w:color w:val="auto"/>
          <w:sz w:val="22"/>
          <w:szCs w:val="22"/>
        </w:rPr>
        <w:t xml:space="preserve">соблюдать правила поведения на уроках физической культуры с учётом их учебного содержания, находить в них различия (легкоатлетические, гимнастические и игровые уроки, занятия лыжной и плавательной подготовкой); </w:t>
      </w:r>
    </w:p>
    <w:p w14:paraId="5B81FD77">
      <w:pPr>
        <w:pStyle w:val="100"/>
        <w:spacing w:line="360" w:lineRule="auto"/>
        <w:ind w:left="0" w:firstLine="709"/>
        <w:contextualSpacing/>
        <w:rPr>
          <w:rFonts w:ascii="Times New Roman" w:hAnsi="Times New Roman" w:cs="Times New Roman"/>
          <w:color w:val="auto"/>
          <w:sz w:val="22"/>
          <w:szCs w:val="22"/>
        </w:rPr>
      </w:pPr>
      <w:r>
        <w:rPr>
          <w:rFonts w:ascii="Times New Roman" w:hAnsi="Times New Roman" w:cs="Times New Roman"/>
          <w:color w:val="auto"/>
          <w:sz w:val="22"/>
          <w:szCs w:val="22"/>
        </w:rPr>
        <w:t xml:space="preserve">выполнять учебные задания по освоению новых физических упражнений и развитию физических качеств в соответствии с указаниями и замечаниями учителя; </w:t>
      </w:r>
    </w:p>
    <w:p w14:paraId="00DDDCC3">
      <w:pPr>
        <w:pStyle w:val="100"/>
        <w:spacing w:line="360" w:lineRule="auto"/>
        <w:ind w:left="0" w:firstLine="709"/>
        <w:contextualSpacing/>
        <w:rPr>
          <w:rFonts w:ascii="Times New Roman" w:hAnsi="Times New Roman" w:cs="Times New Roman"/>
          <w:color w:val="auto"/>
          <w:sz w:val="22"/>
          <w:szCs w:val="22"/>
        </w:rPr>
      </w:pPr>
      <w:r>
        <w:rPr>
          <w:rFonts w:ascii="Times New Roman" w:hAnsi="Times New Roman" w:cs="Times New Roman"/>
          <w:color w:val="auto"/>
          <w:sz w:val="22"/>
          <w:szCs w:val="22"/>
        </w:rPr>
        <w:t>взаимодействовать со сверстниками в процессе выполнения учебных заданий, соблюдать культуру общения и уважительного обращения к другим обучающимся;</w:t>
      </w:r>
    </w:p>
    <w:p w14:paraId="0311ED09">
      <w:pPr>
        <w:pStyle w:val="100"/>
        <w:spacing w:line="360" w:lineRule="auto"/>
        <w:ind w:left="0" w:firstLine="709"/>
        <w:contextualSpacing/>
        <w:rPr>
          <w:rFonts w:ascii="Times New Roman" w:hAnsi="Times New Roman" w:cs="Times New Roman"/>
          <w:color w:val="auto"/>
          <w:sz w:val="22"/>
          <w:szCs w:val="22"/>
        </w:rPr>
      </w:pPr>
      <w:r>
        <w:rPr>
          <w:rFonts w:ascii="Times New Roman" w:hAnsi="Times New Roman" w:cs="Times New Roman"/>
          <w:color w:val="auto"/>
          <w:sz w:val="22"/>
          <w:szCs w:val="22"/>
        </w:rPr>
        <w:t xml:space="preserve">контролировать соответствие двигательных действий правилам подвижных игр, проявлять эмоциональную сдержанность при возникновении ошибок. </w:t>
      </w:r>
    </w:p>
    <w:p w14:paraId="3CAA3F78">
      <w:pPr>
        <w:pStyle w:val="99"/>
        <w:spacing w:line="360" w:lineRule="auto"/>
        <w:ind w:firstLine="709"/>
        <w:contextualSpacing/>
        <w:rPr>
          <w:rFonts w:ascii="Times New Roman" w:hAnsi="Times New Roman" w:cs="Times New Roman"/>
          <w:color w:val="auto"/>
          <w:sz w:val="22"/>
          <w:szCs w:val="22"/>
        </w:rPr>
      </w:pPr>
      <w:r>
        <w:rPr>
          <w:rFonts w:ascii="Times New Roman" w:hAnsi="Times New Roman" w:cs="Times New Roman"/>
          <w:color w:val="auto"/>
          <w:sz w:val="22"/>
          <w:szCs w:val="22"/>
        </w:rPr>
        <w:t>16.3.6.5. По окончании 3 класса у обучающегося будут сформированы следующие</w:t>
      </w:r>
      <w:r>
        <w:rPr>
          <w:rStyle w:val="102"/>
          <w:rFonts w:ascii="Times New Roman" w:hAnsi="Times New Roman" w:eastAsia="Calibri" w:cs="Times New Roman"/>
          <w:i w:val="0"/>
          <w:iCs w:val="0"/>
          <w:color w:val="auto"/>
          <w:sz w:val="22"/>
          <w:szCs w:val="22"/>
        </w:rPr>
        <w:t xml:space="preserve"> УУД:</w:t>
      </w:r>
      <w:r>
        <w:rPr>
          <w:rFonts w:ascii="Times New Roman" w:hAnsi="Times New Roman" w:cs="Times New Roman"/>
          <w:color w:val="auto"/>
          <w:sz w:val="22"/>
          <w:szCs w:val="22"/>
        </w:rPr>
        <w:t xml:space="preserve"> </w:t>
      </w:r>
    </w:p>
    <w:p w14:paraId="3CFE3E6B">
      <w:pPr>
        <w:pStyle w:val="99"/>
        <w:spacing w:line="360" w:lineRule="auto"/>
        <w:ind w:firstLine="709"/>
        <w:contextualSpacing/>
        <w:rPr>
          <w:rFonts w:ascii="Times New Roman" w:hAnsi="Times New Roman" w:cs="Times New Roman"/>
          <w:color w:val="auto"/>
          <w:sz w:val="22"/>
          <w:szCs w:val="22"/>
        </w:rPr>
      </w:pPr>
      <w:r>
        <w:rPr>
          <w:rFonts w:ascii="Times New Roman" w:hAnsi="Times New Roman" w:cs="Times New Roman"/>
          <w:color w:val="auto"/>
          <w:sz w:val="22"/>
          <w:szCs w:val="22"/>
        </w:rPr>
        <w:t>16.3.6.5.1. У обучающегося будут сформированы следующие базовые логические и исследовательские действия как часть познавательных универсальных учебных действий</w:t>
      </w:r>
      <w:r>
        <w:rPr>
          <w:rStyle w:val="102"/>
          <w:rFonts w:ascii="Times New Roman" w:hAnsi="Times New Roman" w:eastAsia="Calibri" w:cs="Times New Roman"/>
          <w:i w:val="0"/>
          <w:iCs w:val="0"/>
          <w:color w:val="auto"/>
          <w:sz w:val="22"/>
          <w:szCs w:val="22"/>
        </w:rPr>
        <w:t>:</w:t>
      </w:r>
      <w:r>
        <w:rPr>
          <w:rFonts w:ascii="Times New Roman" w:hAnsi="Times New Roman" w:cs="Times New Roman"/>
          <w:color w:val="auto"/>
          <w:sz w:val="22"/>
          <w:szCs w:val="22"/>
        </w:rPr>
        <w:t xml:space="preserve"> </w:t>
      </w:r>
    </w:p>
    <w:p w14:paraId="32A5983B">
      <w:pPr>
        <w:pStyle w:val="100"/>
        <w:spacing w:line="360" w:lineRule="auto"/>
        <w:ind w:left="0" w:firstLine="709"/>
        <w:contextualSpacing/>
        <w:rPr>
          <w:rFonts w:ascii="Times New Roman" w:hAnsi="Times New Roman" w:cs="Times New Roman"/>
          <w:color w:val="auto"/>
          <w:sz w:val="22"/>
          <w:szCs w:val="22"/>
        </w:rPr>
      </w:pPr>
      <w:r>
        <w:rPr>
          <w:rFonts w:ascii="Times New Roman" w:hAnsi="Times New Roman" w:cs="Times New Roman"/>
          <w:color w:val="auto"/>
          <w:sz w:val="22"/>
          <w:szCs w:val="22"/>
        </w:rPr>
        <w:t xml:space="preserve">понимать историческую связь развития физических упражнений с трудовыми действиями, приводить примеры упражнений древних людей в современных спортивных соревнованиях; </w:t>
      </w:r>
    </w:p>
    <w:p w14:paraId="4E60BBE3">
      <w:pPr>
        <w:pStyle w:val="100"/>
        <w:spacing w:line="360" w:lineRule="auto"/>
        <w:ind w:left="0" w:firstLine="709"/>
        <w:contextualSpacing/>
        <w:rPr>
          <w:rFonts w:ascii="Times New Roman" w:hAnsi="Times New Roman" w:cs="Times New Roman"/>
          <w:color w:val="auto"/>
          <w:sz w:val="22"/>
          <w:szCs w:val="22"/>
        </w:rPr>
      </w:pPr>
      <w:r>
        <w:rPr>
          <w:rFonts w:ascii="Times New Roman" w:hAnsi="Times New Roman" w:cs="Times New Roman"/>
          <w:color w:val="auto"/>
          <w:sz w:val="22"/>
          <w:szCs w:val="22"/>
        </w:rPr>
        <w:t xml:space="preserve">объяснять понятие «дозировка нагрузки», правильно применять способы её регулирования на занятиях физической культурой; </w:t>
      </w:r>
    </w:p>
    <w:p w14:paraId="79402817">
      <w:pPr>
        <w:pStyle w:val="100"/>
        <w:spacing w:line="360" w:lineRule="auto"/>
        <w:ind w:left="0" w:firstLine="709"/>
        <w:contextualSpacing/>
        <w:rPr>
          <w:rFonts w:ascii="Times New Roman" w:hAnsi="Times New Roman" w:cs="Times New Roman"/>
          <w:color w:val="auto"/>
          <w:sz w:val="22"/>
          <w:szCs w:val="22"/>
        </w:rPr>
      </w:pPr>
      <w:r>
        <w:rPr>
          <w:rFonts w:ascii="Times New Roman" w:hAnsi="Times New Roman" w:cs="Times New Roman"/>
          <w:color w:val="auto"/>
          <w:sz w:val="22"/>
          <w:szCs w:val="22"/>
        </w:rPr>
        <w:t xml:space="preserve">понимать влияние дыхательной и зрительной гимнастики на предупреждение развития утомления при выполнении физических и умственных нагрузок; </w:t>
      </w:r>
    </w:p>
    <w:p w14:paraId="6D39884E">
      <w:pPr>
        <w:pStyle w:val="100"/>
        <w:spacing w:line="360" w:lineRule="auto"/>
        <w:ind w:left="0" w:firstLine="709"/>
        <w:contextualSpacing/>
        <w:rPr>
          <w:rFonts w:ascii="Times New Roman" w:hAnsi="Times New Roman" w:cs="Times New Roman"/>
          <w:color w:val="auto"/>
          <w:sz w:val="22"/>
          <w:szCs w:val="22"/>
        </w:rPr>
      </w:pPr>
      <w:r>
        <w:rPr>
          <w:rFonts w:ascii="Times New Roman" w:hAnsi="Times New Roman" w:cs="Times New Roman"/>
          <w:color w:val="auto"/>
          <w:sz w:val="22"/>
          <w:szCs w:val="22"/>
        </w:rPr>
        <w:t xml:space="preserve">обобщать знания, полученные в практической деятельности, выполнять правила поведения на уроках физической культуры, проводить закаливающие процедуры, занятия по предупреждению нарушения осанки; </w:t>
      </w:r>
    </w:p>
    <w:p w14:paraId="23678988">
      <w:pPr>
        <w:pStyle w:val="100"/>
        <w:spacing w:line="360" w:lineRule="auto"/>
        <w:ind w:left="0" w:firstLine="709"/>
        <w:contextualSpacing/>
        <w:rPr>
          <w:rFonts w:ascii="Times New Roman" w:hAnsi="Times New Roman" w:cs="Times New Roman"/>
          <w:color w:val="auto"/>
          <w:spacing w:val="1"/>
          <w:sz w:val="22"/>
          <w:szCs w:val="22"/>
        </w:rPr>
      </w:pPr>
      <w:r>
        <w:rPr>
          <w:rFonts w:ascii="Times New Roman" w:hAnsi="Times New Roman" w:cs="Times New Roman"/>
          <w:color w:val="auto"/>
          <w:spacing w:val="1"/>
          <w:sz w:val="22"/>
          <w:szCs w:val="22"/>
        </w:rPr>
        <w:t>вести наблюдения за динамикой показателей физического развития и физических качеств в течение учебного года, определять их приросты по учебным четвертям (триместрам).</w:t>
      </w:r>
    </w:p>
    <w:p w14:paraId="0BFFDEB6">
      <w:pPr>
        <w:pStyle w:val="99"/>
        <w:spacing w:line="360" w:lineRule="auto"/>
        <w:ind w:firstLine="709"/>
        <w:contextualSpacing/>
        <w:rPr>
          <w:rStyle w:val="102"/>
          <w:rFonts w:ascii="Times New Roman" w:hAnsi="Times New Roman" w:eastAsia="Calibri" w:cs="Times New Roman"/>
          <w:i w:val="0"/>
          <w:iCs w:val="0"/>
          <w:color w:val="auto"/>
          <w:sz w:val="22"/>
          <w:szCs w:val="22"/>
        </w:rPr>
      </w:pPr>
      <w:r>
        <w:rPr>
          <w:rFonts w:ascii="Times New Roman" w:hAnsi="Times New Roman" w:cs="Times New Roman"/>
          <w:color w:val="auto"/>
          <w:sz w:val="22"/>
          <w:szCs w:val="22"/>
        </w:rPr>
        <w:t>16.3.6.5.2. </w:t>
      </w:r>
      <w:r>
        <w:rPr>
          <w:rStyle w:val="102"/>
          <w:rFonts w:ascii="Times New Roman" w:hAnsi="Times New Roman" w:eastAsia="Calibri" w:cs="Times New Roman"/>
          <w:i w:val="0"/>
          <w:iCs w:val="0"/>
          <w:color w:val="auto"/>
          <w:sz w:val="22"/>
          <w:szCs w:val="22"/>
        </w:rPr>
        <w:t xml:space="preserve">У обучающегося будут сформированы умения общения как часть коммуникативных универсальных учебных действий: </w:t>
      </w:r>
    </w:p>
    <w:p w14:paraId="13E9BE36">
      <w:pPr>
        <w:pStyle w:val="100"/>
        <w:spacing w:line="360" w:lineRule="auto"/>
        <w:ind w:left="0" w:firstLine="709"/>
        <w:contextualSpacing/>
        <w:rPr>
          <w:rFonts w:ascii="Times New Roman" w:hAnsi="Times New Roman" w:cs="Times New Roman"/>
          <w:color w:val="auto"/>
          <w:sz w:val="22"/>
          <w:szCs w:val="22"/>
        </w:rPr>
      </w:pPr>
      <w:r>
        <w:rPr>
          <w:rFonts w:ascii="Times New Roman" w:hAnsi="Times New Roman" w:cs="Times New Roman"/>
          <w:color w:val="auto"/>
          <w:sz w:val="22"/>
          <w:szCs w:val="22"/>
        </w:rPr>
        <w:t xml:space="preserve">организовывать совместные подвижные игры, принимать в них активное участие с соблюдением правил и норм этического поведения; </w:t>
      </w:r>
    </w:p>
    <w:p w14:paraId="2DD4F39C">
      <w:pPr>
        <w:pStyle w:val="100"/>
        <w:spacing w:line="360" w:lineRule="auto"/>
        <w:ind w:left="0" w:firstLine="709"/>
        <w:contextualSpacing/>
        <w:rPr>
          <w:rFonts w:ascii="Times New Roman" w:hAnsi="Times New Roman" w:cs="Times New Roman"/>
          <w:color w:val="auto"/>
          <w:sz w:val="22"/>
          <w:szCs w:val="22"/>
        </w:rPr>
      </w:pPr>
      <w:r>
        <w:rPr>
          <w:rFonts w:ascii="Times New Roman" w:hAnsi="Times New Roman" w:cs="Times New Roman"/>
          <w:color w:val="auto"/>
          <w:sz w:val="22"/>
          <w:szCs w:val="22"/>
        </w:rPr>
        <w:t xml:space="preserve">правильно использовать строевые команды, названия упражнений и способов деятельности во время совместного выполнения учебных заданий; </w:t>
      </w:r>
    </w:p>
    <w:p w14:paraId="59929C16">
      <w:pPr>
        <w:pStyle w:val="100"/>
        <w:spacing w:line="360" w:lineRule="auto"/>
        <w:ind w:left="0" w:firstLine="709"/>
        <w:contextualSpacing/>
        <w:rPr>
          <w:rFonts w:ascii="Times New Roman" w:hAnsi="Times New Roman" w:cs="Times New Roman"/>
          <w:color w:val="auto"/>
          <w:sz w:val="22"/>
          <w:szCs w:val="22"/>
        </w:rPr>
      </w:pPr>
      <w:r>
        <w:rPr>
          <w:rFonts w:ascii="Times New Roman" w:hAnsi="Times New Roman" w:cs="Times New Roman"/>
          <w:color w:val="auto"/>
          <w:sz w:val="22"/>
          <w:szCs w:val="22"/>
        </w:rPr>
        <w:t xml:space="preserve">активно участвовать в обсуждении учебных заданий, анализе выполнения физических упражнений и технических действий из осваиваемых видов спорта; </w:t>
      </w:r>
    </w:p>
    <w:p w14:paraId="0506520C">
      <w:pPr>
        <w:pStyle w:val="100"/>
        <w:spacing w:line="360" w:lineRule="auto"/>
        <w:ind w:left="0" w:firstLine="709"/>
        <w:contextualSpacing/>
        <w:rPr>
          <w:rFonts w:ascii="Times New Roman" w:hAnsi="Times New Roman" w:cs="Times New Roman"/>
          <w:iCs/>
          <w:color w:val="auto"/>
          <w:sz w:val="22"/>
          <w:szCs w:val="22"/>
        </w:rPr>
      </w:pPr>
      <w:r>
        <w:rPr>
          <w:rFonts w:ascii="Times New Roman" w:hAnsi="Times New Roman" w:cs="Times New Roman"/>
          <w:iCs/>
          <w:color w:val="auto"/>
          <w:sz w:val="22"/>
          <w:szCs w:val="22"/>
        </w:rPr>
        <w:t>выполнять38.10.1</w:t>
      </w:r>
    </w:p>
    <w:p w14:paraId="7DB882F9">
      <w:pPr>
        <w:pStyle w:val="100"/>
        <w:spacing w:line="360" w:lineRule="auto"/>
        <w:ind w:left="0" w:firstLine="709"/>
        <w:contextualSpacing/>
        <w:rPr>
          <w:rFonts w:ascii="Times New Roman" w:hAnsi="Times New Roman" w:cs="Times New Roman"/>
          <w:color w:val="auto"/>
          <w:sz w:val="22"/>
          <w:szCs w:val="22"/>
        </w:rPr>
      </w:pPr>
      <w:r>
        <w:rPr>
          <w:rFonts w:ascii="Times New Roman" w:hAnsi="Times New Roman" w:cs="Times New Roman"/>
          <w:color w:val="auto"/>
          <w:sz w:val="22"/>
          <w:szCs w:val="22"/>
        </w:rPr>
        <w:t xml:space="preserve"> небольшие сообщения по результатам выполнения учебных заданий, организации и проведения самостоятельных занятий физической культурой.</w:t>
      </w:r>
    </w:p>
    <w:p w14:paraId="597AF412">
      <w:pPr>
        <w:pStyle w:val="99"/>
        <w:spacing w:line="360" w:lineRule="auto"/>
        <w:ind w:firstLine="709"/>
        <w:contextualSpacing/>
        <w:rPr>
          <w:rStyle w:val="102"/>
          <w:rFonts w:ascii="Times New Roman" w:hAnsi="Times New Roman" w:eastAsia="Calibri" w:cs="Times New Roman"/>
          <w:i w:val="0"/>
          <w:iCs w:val="0"/>
          <w:color w:val="auto"/>
          <w:sz w:val="22"/>
          <w:szCs w:val="22"/>
        </w:rPr>
      </w:pPr>
      <w:r>
        <w:rPr>
          <w:rFonts w:ascii="Times New Roman" w:hAnsi="Times New Roman" w:cs="Times New Roman"/>
          <w:color w:val="auto"/>
          <w:sz w:val="22"/>
          <w:szCs w:val="22"/>
        </w:rPr>
        <w:t>16.3.6.5.3. </w:t>
      </w:r>
      <w:r>
        <w:rPr>
          <w:rStyle w:val="102"/>
          <w:rFonts w:ascii="Times New Roman" w:hAnsi="Times New Roman" w:eastAsia="Calibri" w:cs="Times New Roman"/>
          <w:i w:val="0"/>
          <w:iCs w:val="0"/>
          <w:color w:val="auto"/>
          <w:sz w:val="22"/>
          <w:szCs w:val="22"/>
        </w:rPr>
        <w:t>У обучающегося будут сформированы умения самоорганизации и самоконтроля как часть регулятивных универсальных учебных действий:</w:t>
      </w:r>
    </w:p>
    <w:p w14:paraId="53A446DF">
      <w:pPr>
        <w:pStyle w:val="100"/>
        <w:spacing w:line="360" w:lineRule="auto"/>
        <w:ind w:left="0" w:firstLine="709"/>
        <w:contextualSpacing/>
        <w:rPr>
          <w:rFonts w:ascii="Times New Roman" w:hAnsi="Times New Roman" w:cs="Times New Roman"/>
          <w:color w:val="auto"/>
          <w:spacing w:val="1"/>
          <w:sz w:val="22"/>
          <w:szCs w:val="22"/>
        </w:rPr>
      </w:pPr>
      <w:r>
        <w:rPr>
          <w:rFonts w:ascii="Times New Roman" w:hAnsi="Times New Roman" w:cs="Times New Roman"/>
          <w:color w:val="auto"/>
          <w:spacing w:val="1"/>
          <w:sz w:val="22"/>
          <w:szCs w:val="22"/>
        </w:rPr>
        <w:t xml:space="preserve">контролировать выполнение физических упражнений, корректировать их на основе сравнения с заданными образцами; </w:t>
      </w:r>
    </w:p>
    <w:p w14:paraId="036BE375">
      <w:pPr>
        <w:pStyle w:val="100"/>
        <w:spacing w:line="360" w:lineRule="auto"/>
        <w:ind w:left="0" w:firstLine="709"/>
        <w:contextualSpacing/>
        <w:rPr>
          <w:rFonts w:ascii="Times New Roman" w:hAnsi="Times New Roman" w:cs="Times New Roman"/>
          <w:color w:val="auto"/>
          <w:sz w:val="22"/>
          <w:szCs w:val="22"/>
        </w:rPr>
      </w:pPr>
      <w:r>
        <w:rPr>
          <w:rFonts w:ascii="Times New Roman" w:hAnsi="Times New Roman" w:cs="Times New Roman"/>
          <w:color w:val="auto"/>
          <w:sz w:val="22"/>
          <w:szCs w:val="22"/>
        </w:rPr>
        <w:t xml:space="preserve">взаимодействовать со сверстниками в процессе учебной и игровой деятельности, контролировать соответствие выполнения игровых действий правилам подвижных игр; </w:t>
      </w:r>
    </w:p>
    <w:p w14:paraId="00E684F3">
      <w:pPr>
        <w:pStyle w:val="100"/>
        <w:spacing w:line="360" w:lineRule="auto"/>
        <w:ind w:left="0" w:firstLine="709"/>
        <w:contextualSpacing/>
        <w:rPr>
          <w:rFonts w:ascii="Times New Roman" w:hAnsi="Times New Roman" w:cs="Times New Roman"/>
          <w:color w:val="auto"/>
          <w:sz w:val="22"/>
          <w:szCs w:val="22"/>
        </w:rPr>
      </w:pPr>
      <w:r>
        <w:rPr>
          <w:rFonts w:ascii="Times New Roman" w:hAnsi="Times New Roman" w:cs="Times New Roman"/>
          <w:color w:val="auto"/>
          <w:sz w:val="22"/>
          <w:szCs w:val="22"/>
        </w:rPr>
        <w:t xml:space="preserve">оценивать сложность возникающих игровых задач, предлагать их совместное коллективное решение. </w:t>
      </w:r>
    </w:p>
    <w:p w14:paraId="4BE6C822">
      <w:pPr>
        <w:pStyle w:val="99"/>
        <w:spacing w:line="360" w:lineRule="auto"/>
        <w:ind w:firstLine="709"/>
        <w:contextualSpacing/>
        <w:rPr>
          <w:rFonts w:ascii="Times New Roman" w:hAnsi="Times New Roman" w:cs="Times New Roman"/>
          <w:color w:val="auto"/>
          <w:sz w:val="22"/>
          <w:szCs w:val="22"/>
        </w:rPr>
      </w:pPr>
      <w:r>
        <w:rPr>
          <w:rFonts w:ascii="Times New Roman" w:hAnsi="Times New Roman" w:cs="Times New Roman"/>
          <w:color w:val="auto"/>
          <w:sz w:val="22"/>
          <w:szCs w:val="22"/>
        </w:rPr>
        <w:t>16.3.6.6. По окончании 4 класса у обучающегося будут сформированы следующие</w:t>
      </w:r>
      <w:r>
        <w:rPr>
          <w:rStyle w:val="102"/>
          <w:rFonts w:ascii="Times New Roman" w:hAnsi="Times New Roman" w:eastAsia="Calibri" w:cs="Times New Roman"/>
          <w:i w:val="0"/>
          <w:iCs w:val="0"/>
          <w:color w:val="auto"/>
          <w:sz w:val="22"/>
          <w:szCs w:val="22"/>
        </w:rPr>
        <w:t xml:space="preserve"> УУД:</w:t>
      </w:r>
      <w:r>
        <w:rPr>
          <w:rFonts w:ascii="Times New Roman" w:hAnsi="Times New Roman" w:cs="Times New Roman"/>
          <w:color w:val="auto"/>
          <w:sz w:val="22"/>
          <w:szCs w:val="22"/>
        </w:rPr>
        <w:t xml:space="preserve"> </w:t>
      </w:r>
    </w:p>
    <w:p w14:paraId="722C8569">
      <w:pPr>
        <w:pStyle w:val="99"/>
        <w:spacing w:line="360" w:lineRule="auto"/>
        <w:ind w:firstLine="709"/>
        <w:contextualSpacing/>
        <w:rPr>
          <w:rFonts w:ascii="Times New Roman" w:hAnsi="Times New Roman" w:cs="Times New Roman"/>
          <w:color w:val="auto"/>
          <w:sz w:val="22"/>
          <w:szCs w:val="22"/>
        </w:rPr>
      </w:pPr>
      <w:r>
        <w:rPr>
          <w:rFonts w:ascii="Times New Roman" w:hAnsi="Times New Roman" w:cs="Times New Roman"/>
          <w:color w:val="auto"/>
          <w:sz w:val="22"/>
          <w:szCs w:val="22"/>
        </w:rPr>
        <w:t>16.3.6.6.1. </w:t>
      </w:r>
      <w:r>
        <w:rPr>
          <w:rStyle w:val="102"/>
          <w:rFonts w:ascii="Times New Roman" w:hAnsi="Times New Roman" w:eastAsia="Calibri" w:cs="Times New Roman"/>
          <w:i w:val="0"/>
          <w:iCs w:val="0"/>
          <w:color w:val="auto"/>
          <w:sz w:val="22"/>
          <w:szCs w:val="22"/>
        </w:rPr>
        <w:t>У обучающегося будут сформированы следующие базовые логические и исследовательские действия как часть познавательных универсальных учебных действий:</w:t>
      </w:r>
      <w:r>
        <w:rPr>
          <w:rFonts w:ascii="Times New Roman" w:hAnsi="Times New Roman" w:cs="Times New Roman"/>
          <w:color w:val="auto"/>
          <w:sz w:val="22"/>
          <w:szCs w:val="22"/>
        </w:rPr>
        <w:t xml:space="preserve"> </w:t>
      </w:r>
    </w:p>
    <w:p w14:paraId="6BEA6413">
      <w:pPr>
        <w:pStyle w:val="100"/>
        <w:spacing w:line="360" w:lineRule="auto"/>
        <w:ind w:left="0" w:firstLine="709"/>
        <w:contextualSpacing/>
        <w:rPr>
          <w:rFonts w:ascii="Times New Roman" w:hAnsi="Times New Roman" w:cs="Times New Roman"/>
          <w:color w:val="auto"/>
          <w:sz w:val="22"/>
          <w:szCs w:val="22"/>
        </w:rPr>
      </w:pPr>
      <w:r>
        <w:rPr>
          <w:rFonts w:ascii="Times New Roman" w:hAnsi="Times New Roman" w:cs="Times New Roman"/>
          <w:color w:val="auto"/>
          <w:sz w:val="22"/>
          <w:szCs w:val="22"/>
        </w:rPr>
        <w:t xml:space="preserve">сравнивать показатели индивидуального физического развития и физической подготовленности с возрастными стандартами, находить общие и отличительные особенности; </w:t>
      </w:r>
    </w:p>
    <w:p w14:paraId="791BC0CD">
      <w:pPr>
        <w:pStyle w:val="100"/>
        <w:spacing w:line="360" w:lineRule="auto"/>
        <w:ind w:left="0" w:firstLine="709"/>
        <w:contextualSpacing/>
        <w:rPr>
          <w:rFonts w:ascii="Times New Roman" w:hAnsi="Times New Roman" w:cs="Times New Roman"/>
          <w:color w:val="auto"/>
          <w:sz w:val="22"/>
          <w:szCs w:val="22"/>
        </w:rPr>
      </w:pPr>
      <w:r>
        <w:rPr>
          <w:rFonts w:ascii="Times New Roman" w:hAnsi="Times New Roman" w:cs="Times New Roman"/>
          <w:color w:val="auto"/>
          <w:sz w:val="22"/>
          <w:szCs w:val="22"/>
        </w:rPr>
        <w:t xml:space="preserve">выявлять отставание в развитии физических качеств от возрастных стандартов, приводить примеры физических упражнений по их устранению; </w:t>
      </w:r>
    </w:p>
    <w:p w14:paraId="67CF43B3">
      <w:pPr>
        <w:pStyle w:val="100"/>
        <w:spacing w:line="360" w:lineRule="auto"/>
        <w:ind w:left="0" w:firstLine="709"/>
        <w:contextualSpacing/>
        <w:rPr>
          <w:rFonts w:ascii="Times New Roman" w:hAnsi="Times New Roman" w:cs="Times New Roman"/>
          <w:color w:val="auto"/>
          <w:sz w:val="22"/>
          <w:szCs w:val="22"/>
        </w:rPr>
      </w:pPr>
      <w:r>
        <w:rPr>
          <w:rFonts w:ascii="Times New Roman" w:hAnsi="Times New Roman" w:cs="Times New Roman"/>
          <w:color w:val="auto"/>
          <w:sz w:val="22"/>
          <w:szCs w:val="22"/>
        </w:rPr>
        <w:t>объединять физические упражнения по их целевому предназначению: на профилактику нарушения осанки, развитие силы, быстроты и выносливости.</w:t>
      </w:r>
    </w:p>
    <w:p w14:paraId="31C5B35A">
      <w:pPr>
        <w:pStyle w:val="99"/>
        <w:spacing w:line="360" w:lineRule="auto"/>
        <w:ind w:firstLine="709"/>
        <w:contextualSpacing/>
        <w:rPr>
          <w:rStyle w:val="102"/>
          <w:rFonts w:ascii="Times New Roman" w:hAnsi="Times New Roman" w:eastAsia="Calibri" w:cs="Times New Roman"/>
          <w:i w:val="0"/>
          <w:iCs w:val="0"/>
          <w:color w:val="auto"/>
          <w:sz w:val="22"/>
          <w:szCs w:val="22"/>
        </w:rPr>
      </w:pPr>
      <w:r>
        <w:rPr>
          <w:rFonts w:ascii="Times New Roman" w:hAnsi="Times New Roman" w:cs="Times New Roman"/>
          <w:color w:val="auto"/>
          <w:sz w:val="22"/>
          <w:szCs w:val="22"/>
        </w:rPr>
        <w:t>16.3.6.6.2. </w:t>
      </w:r>
      <w:r>
        <w:rPr>
          <w:rStyle w:val="102"/>
          <w:rFonts w:ascii="Times New Roman" w:hAnsi="Times New Roman" w:eastAsia="Calibri" w:cs="Times New Roman"/>
          <w:i w:val="0"/>
          <w:iCs w:val="0"/>
          <w:color w:val="auto"/>
          <w:sz w:val="22"/>
          <w:szCs w:val="22"/>
        </w:rPr>
        <w:t xml:space="preserve">У обучающегося будут сформированы умения общения как часть коммуникативных универсальных учебных действий: </w:t>
      </w:r>
    </w:p>
    <w:p w14:paraId="6569080A">
      <w:pPr>
        <w:pStyle w:val="100"/>
        <w:spacing w:line="360" w:lineRule="auto"/>
        <w:ind w:left="0" w:firstLine="709"/>
        <w:contextualSpacing/>
        <w:rPr>
          <w:rFonts w:ascii="Times New Roman" w:hAnsi="Times New Roman" w:cs="Times New Roman"/>
          <w:color w:val="auto"/>
          <w:sz w:val="22"/>
          <w:szCs w:val="22"/>
        </w:rPr>
      </w:pPr>
      <w:r>
        <w:rPr>
          <w:rFonts w:ascii="Times New Roman" w:hAnsi="Times New Roman" w:cs="Times New Roman"/>
          <w:color w:val="auto"/>
          <w:sz w:val="22"/>
          <w:szCs w:val="22"/>
        </w:rPr>
        <w:t>взаимодействовать с учителем и обучающимися, воспроизводить ранее изученный материал и отвечать на вопросы в процессе учебного диалога;</w:t>
      </w:r>
    </w:p>
    <w:p w14:paraId="5AD265CE">
      <w:pPr>
        <w:pStyle w:val="100"/>
        <w:spacing w:line="360" w:lineRule="auto"/>
        <w:ind w:left="0" w:firstLine="709"/>
        <w:contextualSpacing/>
        <w:rPr>
          <w:rFonts w:ascii="Times New Roman" w:hAnsi="Times New Roman" w:cs="Times New Roman"/>
          <w:color w:val="auto"/>
          <w:sz w:val="22"/>
          <w:szCs w:val="22"/>
        </w:rPr>
      </w:pPr>
      <w:r>
        <w:rPr>
          <w:rFonts w:ascii="Times New Roman" w:hAnsi="Times New Roman" w:cs="Times New Roman"/>
          <w:color w:val="auto"/>
          <w:sz w:val="22"/>
          <w:szCs w:val="22"/>
        </w:rPr>
        <w:t>использовать специальные термины и понятия в общении с учителем и обучающимися, применять термины при обучении новым физическим упражнениям, развитии физических качеств;</w:t>
      </w:r>
    </w:p>
    <w:p w14:paraId="77EDC556">
      <w:pPr>
        <w:pStyle w:val="100"/>
        <w:spacing w:line="360" w:lineRule="auto"/>
        <w:ind w:left="0" w:firstLine="709"/>
        <w:contextualSpacing/>
        <w:rPr>
          <w:rFonts w:ascii="Times New Roman" w:hAnsi="Times New Roman" w:cs="Times New Roman"/>
          <w:color w:val="auto"/>
          <w:sz w:val="22"/>
          <w:szCs w:val="22"/>
        </w:rPr>
      </w:pPr>
      <w:r>
        <w:rPr>
          <w:rFonts w:ascii="Times New Roman" w:hAnsi="Times New Roman" w:cs="Times New Roman"/>
          <w:color w:val="auto"/>
          <w:sz w:val="22"/>
          <w:szCs w:val="22"/>
        </w:rPr>
        <w:t>оказывать посильную первую помощь во время занятий физической культурой.</w:t>
      </w:r>
    </w:p>
    <w:p w14:paraId="7CBDC00A">
      <w:pPr>
        <w:pStyle w:val="99"/>
        <w:spacing w:line="360" w:lineRule="auto"/>
        <w:ind w:firstLine="709"/>
        <w:contextualSpacing/>
        <w:rPr>
          <w:rStyle w:val="102"/>
          <w:rFonts w:ascii="Times New Roman" w:hAnsi="Times New Roman" w:eastAsia="Calibri" w:cs="Times New Roman"/>
          <w:i w:val="0"/>
          <w:iCs w:val="0"/>
          <w:color w:val="auto"/>
          <w:sz w:val="22"/>
          <w:szCs w:val="22"/>
        </w:rPr>
      </w:pPr>
      <w:r>
        <w:rPr>
          <w:rFonts w:ascii="Times New Roman" w:hAnsi="Times New Roman" w:cs="Times New Roman"/>
          <w:color w:val="auto"/>
          <w:sz w:val="22"/>
          <w:szCs w:val="22"/>
        </w:rPr>
        <w:t>16.3.6.6.3. </w:t>
      </w:r>
      <w:r>
        <w:rPr>
          <w:rStyle w:val="102"/>
          <w:rFonts w:ascii="Times New Roman" w:hAnsi="Times New Roman" w:eastAsia="Calibri" w:cs="Times New Roman"/>
          <w:i w:val="0"/>
          <w:iCs w:val="0"/>
          <w:color w:val="auto"/>
          <w:sz w:val="22"/>
          <w:szCs w:val="22"/>
        </w:rPr>
        <w:t>У обучающегося будут сформированы умения самоорганизации и самоконтроля как часть регулятивных универсальных учебных действий:</w:t>
      </w:r>
    </w:p>
    <w:p w14:paraId="46120BAC">
      <w:pPr>
        <w:pStyle w:val="100"/>
        <w:spacing w:line="360" w:lineRule="auto"/>
        <w:ind w:left="0" w:firstLine="709"/>
        <w:contextualSpacing/>
        <w:rPr>
          <w:rFonts w:ascii="Times New Roman" w:hAnsi="Times New Roman" w:cs="Times New Roman"/>
          <w:color w:val="auto"/>
          <w:sz w:val="22"/>
          <w:szCs w:val="22"/>
        </w:rPr>
      </w:pPr>
      <w:r>
        <w:rPr>
          <w:rFonts w:ascii="Times New Roman" w:hAnsi="Times New Roman" w:cs="Times New Roman"/>
          <w:color w:val="auto"/>
          <w:sz w:val="22"/>
          <w:szCs w:val="22"/>
        </w:rPr>
        <w:t xml:space="preserve">выполнять указания учителя, проявлять активность и самостоятельность при выполнении учебных заданий; </w:t>
      </w:r>
    </w:p>
    <w:p w14:paraId="17CC6CB5">
      <w:pPr>
        <w:pStyle w:val="100"/>
        <w:spacing w:line="360" w:lineRule="auto"/>
        <w:ind w:left="0" w:firstLine="709"/>
        <w:contextualSpacing/>
        <w:rPr>
          <w:rFonts w:ascii="Times New Roman" w:hAnsi="Times New Roman" w:cs="Times New Roman"/>
          <w:color w:val="auto"/>
          <w:sz w:val="22"/>
          <w:szCs w:val="22"/>
        </w:rPr>
      </w:pPr>
      <w:r>
        <w:rPr>
          <w:rFonts w:ascii="Times New Roman" w:hAnsi="Times New Roman" w:cs="Times New Roman"/>
          <w:color w:val="auto"/>
          <w:sz w:val="22"/>
          <w:szCs w:val="22"/>
        </w:rPr>
        <w:t xml:space="preserve">самостоятельно проводить занятия на основе изученного материала и с учётом собственных интересов; </w:t>
      </w:r>
    </w:p>
    <w:p w14:paraId="535A4073">
      <w:pPr>
        <w:pStyle w:val="100"/>
        <w:spacing w:line="360" w:lineRule="auto"/>
        <w:ind w:left="0" w:firstLine="709"/>
        <w:contextualSpacing/>
        <w:rPr>
          <w:rFonts w:ascii="Times New Roman" w:hAnsi="Times New Roman" w:cs="Times New Roman"/>
          <w:color w:val="auto"/>
          <w:sz w:val="22"/>
          <w:szCs w:val="22"/>
        </w:rPr>
      </w:pPr>
      <w:r>
        <w:rPr>
          <w:rFonts w:ascii="Times New Roman" w:hAnsi="Times New Roman" w:cs="Times New Roman"/>
          <w:color w:val="auto"/>
          <w:sz w:val="22"/>
          <w:szCs w:val="22"/>
        </w:rPr>
        <w:t xml:space="preserve">оценивать свои успехи в занятиях физической культурой, проявлять стремление к развитию физических качеств, выполнению нормативных требований комплекса ГТО. </w:t>
      </w:r>
      <w:bookmarkStart w:id="263" w:name="_Toc103687216"/>
    </w:p>
    <w:bookmarkEnd w:id="263"/>
    <w:p w14:paraId="6100934C">
      <w:pPr>
        <w:pStyle w:val="100"/>
        <w:spacing w:line="360" w:lineRule="auto"/>
        <w:ind w:left="0" w:firstLine="709"/>
        <w:contextualSpacing/>
        <w:rPr>
          <w:rFonts w:ascii="Times New Roman" w:hAnsi="Times New Roman" w:cs="Times New Roman"/>
          <w:color w:val="auto"/>
          <w:sz w:val="22"/>
          <w:szCs w:val="22"/>
        </w:rPr>
      </w:pPr>
      <w:r>
        <w:rPr>
          <w:rFonts w:ascii="Times New Roman" w:hAnsi="Times New Roman" w:cs="Times New Roman"/>
          <w:color w:val="auto"/>
          <w:sz w:val="22"/>
          <w:szCs w:val="22"/>
        </w:rPr>
        <w:t>16.3.6.7. К концу обучения в 1 классе обучающийся достигнет следующих предметных результатов по отдельным темам программы по физической культуре:</w:t>
      </w:r>
    </w:p>
    <w:p w14:paraId="52F91003">
      <w:pPr>
        <w:pStyle w:val="100"/>
        <w:spacing w:line="360" w:lineRule="auto"/>
        <w:ind w:left="0" w:firstLine="709"/>
        <w:contextualSpacing/>
        <w:rPr>
          <w:rFonts w:ascii="Times New Roman" w:hAnsi="Times New Roman" w:cs="Times New Roman"/>
          <w:color w:val="auto"/>
          <w:sz w:val="22"/>
          <w:szCs w:val="22"/>
        </w:rPr>
      </w:pPr>
      <w:r>
        <w:rPr>
          <w:rFonts w:ascii="Times New Roman" w:hAnsi="Times New Roman" w:cs="Times New Roman"/>
          <w:color w:val="auto"/>
          <w:sz w:val="22"/>
          <w:szCs w:val="22"/>
        </w:rPr>
        <w:t>приводить примеры основных дневных дел и их распределение в индивидуальном режиме дня;</w:t>
      </w:r>
    </w:p>
    <w:p w14:paraId="05F307D3">
      <w:pPr>
        <w:pStyle w:val="100"/>
        <w:spacing w:line="360" w:lineRule="auto"/>
        <w:ind w:left="0" w:firstLine="709"/>
        <w:contextualSpacing/>
        <w:rPr>
          <w:rFonts w:ascii="Times New Roman" w:hAnsi="Times New Roman" w:cs="Times New Roman"/>
          <w:color w:val="auto"/>
          <w:sz w:val="22"/>
          <w:szCs w:val="22"/>
        </w:rPr>
      </w:pPr>
      <w:r>
        <w:rPr>
          <w:rFonts w:ascii="Times New Roman" w:hAnsi="Times New Roman" w:cs="Times New Roman"/>
          <w:color w:val="auto"/>
          <w:sz w:val="22"/>
          <w:szCs w:val="22"/>
        </w:rPr>
        <w:t>соблюдать правила поведения на уроках физической культурой, приводить примеры подбора одежды для самостоятельных занятий;</w:t>
      </w:r>
    </w:p>
    <w:p w14:paraId="165EEB27">
      <w:pPr>
        <w:pStyle w:val="100"/>
        <w:spacing w:line="360" w:lineRule="auto"/>
        <w:ind w:left="0" w:firstLine="709"/>
        <w:contextualSpacing/>
        <w:rPr>
          <w:rFonts w:ascii="Times New Roman" w:hAnsi="Times New Roman" w:cs="Times New Roman"/>
          <w:color w:val="auto"/>
          <w:sz w:val="22"/>
          <w:szCs w:val="22"/>
        </w:rPr>
      </w:pPr>
      <w:r>
        <w:rPr>
          <w:rFonts w:ascii="Times New Roman" w:hAnsi="Times New Roman" w:cs="Times New Roman"/>
          <w:color w:val="auto"/>
          <w:sz w:val="22"/>
          <w:szCs w:val="22"/>
        </w:rPr>
        <w:t>выполнять упражнения утренней зарядки и физкультминуток;</w:t>
      </w:r>
    </w:p>
    <w:p w14:paraId="33CD9610">
      <w:pPr>
        <w:pStyle w:val="100"/>
        <w:spacing w:line="360" w:lineRule="auto"/>
        <w:ind w:left="0" w:firstLine="709"/>
        <w:contextualSpacing/>
        <w:rPr>
          <w:rFonts w:ascii="Times New Roman" w:hAnsi="Times New Roman" w:cs="Times New Roman"/>
          <w:color w:val="auto"/>
          <w:sz w:val="22"/>
          <w:szCs w:val="22"/>
        </w:rPr>
      </w:pPr>
      <w:r>
        <w:rPr>
          <w:rFonts w:ascii="Times New Roman" w:hAnsi="Times New Roman" w:cs="Times New Roman"/>
          <w:color w:val="auto"/>
          <w:sz w:val="22"/>
          <w:szCs w:val="22"/>
        </w:rPr>
        <w:t>анализировать причины нарушения осанки и демонстрировать упражнения по профилактике её нарушения;</w:t>
      </w:r>
    </w:p>
    <w:p w14:paraId="63396964">
      <w:pPr>
        <w:pStyle w:val="100"/>
        <w:spacing w:line="360" w:lineRule="auto"/>
        <w:ind w:left="0" w:firstLine="709"/>
        <w:contextualSpacing/>
        <w:rPr>
          <w:rFonts w:ascii="Times New Roman" w:hAnsi="Times New Roman" w:cs="Times New Roman"/>
          <w:color w:val="auto"/>
          <w:sz w:val="22"/>
          <w:szCs w:val="22"/>
        </w:rPr>
      </w:pPr>
      <w:r>
        <w:rPr>
          <w:rFonts w:ascii="Times New Roman" w:hAnsi="Times New Roman" w:cs="Times New Roman"/>
          <w:color w:val="auto"/>
          <w:sz w:val="22"/>
          <w:szCs w:val="22"/>
        </w:rPr>
        <w:t>демонстрировать построение и перестроение из одной шеренги в две и в колонну по одному, выполнять ходьбу и бег с равномерной и изменяющейся скоростью передвижения;</w:t>
      </w:r>
    </w:p>
    <w:p w14:paraId="7FCB92B0">
      <w:pPr>
        <w:pStyle w:val="100"/>
        <w:spacing w:line="360" w:lineRule="auto"/>
        <w:ind w:left="0" w:firstLine="709"/>
        <w:contextualSpacing/>
        <w:rPr>
          <w:rFonts w:ascii="Times New Roman" w:hAnsi="Times New Roman" w:cs="Times New Roman"/>
          <w:color w:val="auto"/>
          <w:sz w:val="22"/>
          <w:szCs w:val="22"/>
        </w:rPr>
      </w:pPr>
      <w:r>
        <w:rPr>
          <w:rFonts w:ascii="Times New Roman" w:hAnsi="Times New Roman" w:cs="Times New Roman"/>
          <w:color w:val="auto"/>
          <w:sz w:val="22"/>
          <w:szCs w:val="22"/>
        </w:rPr>
        <w:t xml:space="preserve">демонстрировать передвижения стилизованным гимнастическим шагом и бегом, прыжки на месте с поворотами в разные стороны и в длину толчком двумя ногами; </w:t>
      </w:r>
    </w:p>
    <w:p w14:paraId="13B95FA6">
      <w:pPr>
        <w:pStyle w:val="100"/>
        <w:spacing w:line="360" w:lineRule="auto"/>
        <w:ind w:left="0" w:firstLine="709"/>
        <w:contextualSpacing/>
        <w:rPr>
          <w:rFonts w:ascii="Times New Roman" w:hAnsi="Times New Roman" w:cs="Times New Roman"/>
          <w:color w:val="auto"/>
          <w:sz w:val="22"/>
          <w:szCs w:val="22"/>
        </w:rPr>
      </w:pPr>
      <w:r>
        <w:rPr>
          <w:rFonts w:ascii="Times New Roman" w:hAnsi="Times New Roman" w:cs="Times New Roman"/>
          <w:color w:val="auto"/>
          <w:sz w:val="22"/>
          <w:szCs w:val="22"/>
        </w:rPr>
        <w:t xml:space="preserve">передвигаться на лыжах ступающим и скользящим шагом (без палок); </w:t>
      </w:r>
    </w:p>
    <w:p w14:paraId="4AC16D32">
      <w:pPr>
        <w:pStyle w:val="100"/>
        <w:spacing w:line="360" w:lineRule="auto"/>
        <w:ind w:left="0" w:firstLine="709"/>
        <w:contextualSpacing/>
        <w:rPr>
          <w:rFonts w:ascii="Times New Roman" w:hAnsi="Times New Roman" w:cs="Times New Roman"/>
          <w:color w:val="auto"/>
          <w:sz w:val="22"/>
          <w:szCs w:val="22"/>
        </w:rPr>
      </w:pPr>
      <w:r>
        <w:rPr>
          <w:rFonts w:ascii="Times New Roman" w:hAnsi="Times New Roman" w:cs="Times New Roman"/>
          <w:color w:val="auto"/>
          <w:sz w:val="22"/>
          <w:szCs w:val="22"/>
        </w:rPr>
        <w:t xml:space="preserve">играть в подвижные игры с общеразвивающей направленностью. </w:t>
      </w:r>
      <w:bookmarkStart w:id="264" w:name="_Toc103687218"/>
    </w:p>
    <w:bookmarkEnd w:id="264"/>
    <w:p w14:paraId="6E652AB1">
      <w:pPr>
        <w:pStyle w:val="100"/>
        <w:spacing w:line="360" w:lineRule="auto"/>
        <w:ind w:left="0" w:firstLine="709"/>
        <w:contextualSpacing/>
        <w:rPr>
          <w:rFonts w:ascii="Times New Roman" w:hAnsi="Times New Roman" w:cs="Times New Roman"/>
          <w:color w:val="auto"/>
          <w:sz w:val="22"/>
          <w:szCs w:val="22"/>
        </w:rPr>
      </w:pPr>
      <w:r>
        <w:rPr>
          <w:rFonts w:ascii="Times New Roman" w:hAnsi="Times New Roman" w:cs="Times New Roman"/>
          <w:color w:val="auto"/>
          <w:sz w:val="22"/>
          <w:szCs w:val="22"/>
        </w:rPr>
        <w:t>16.3.6.8. К концу обучения во 2 классе обучающийся достигнет следующих предметных результатов по отдельным темам программы по физической культуре:</w:t>
      </w:r>
    </w:p>
    <w:p w14:paraId="14E84153">
      <w:pPr>
        <w:pStyle w:val="100"/>
        <w:spacing w:line="360" w:lineRule="auto"/>
        <w:ind w:left="0" w:firstLine="709"/>
        <w:contextualSpacing/>
        <w:rPr>
          <w:rFonts w:ascii="Times New Roman" w:hAnsi="Times New Roman" w:cs="Times New Roman"/>
          <w:color w:val="auto"/>
          <w:sz w:val="22"/>
          <w:szCs w:val="22"/>
        </w:rPr>
      </w:pPr>
      <w:r>
        <w:rPr>
          <w:rFonts w:ascii="Times New Roman" w:hAnsi="Times New Roman" w:cs="Times New Roman"/>
          <w:color w:val="auto"/>
          <w:sz w:val="22"/>
          <w:szCs w:val="22"/>
        </w:rPr>
        <w:t xml:space="preserve">демонстрировать примеры основных физических качеств и высказывать своё суждение об их связи с укреплением здоровья и физическим развитием; </w:t>
      </w:r>
    </w:p>
    <w:p w14:paraId="30954176">
      <w:pPr>
        <w:pStyle w:val="100"/>
        <w:spacing w:line="360" w:lineRule="auto"/>
        <w:ind w:left="0" w:firstLine="709"/>
        <w:contextualSpacing/>
        <w:rPr>
          <w:rFonts w:ascii="Times New Roman" w:hAnsi="Times New Roman" w:cs="Times New Roman"/>
          <w:color w:val="auto"/>
          <w:sz w:val="22"/>
          <w:szCs w:val="22"/>
        </w:rPr>
      </w:pPr>
      <w:r>
        <w:rPr>
          <w:rFonts w:ascii="Times New Roman" w:hAnsi="Times New Roman" w:cs="Times New Roman"/>
          <w:color w:val="auto"/>
          <w:sz w:val="22"/>
          <w:szCs w:val="22"/>
        </w:rPr>
        <w:t xml:space="preserve">измерять показатели длины и массы тела, физических качеств с помощью специальных тестовых упражнений, вести наблюдения за их изменениями; </w:t>
      </w:r>
    </w:p>
    <w:p w14:paraId="044FADD1">
      <w:pPr>
        <w:pStyle w:val="100"/>
        <w:spacing w:line="360" w:lineRule="auto"/>
        <w:ind w:left="0" w:firstLine="709"/>
        <w:contextualSpacing/>
        <w:rPr>
          <w:rFonts w:ascii="Times New Roman" w:hAnsi="Times New Roman" w:cs="Times New Roman"/>
          <w:color w:val="auto"/>
          <w:sz w:val="22"/>
          <w:szCs w:val="22"/>
        </w:rPr>
      </w:pPr>
      <w:r>
        <w:rPr>
          <w:rFonts w:ascii="Times New Roman" w:hAnsi="Times New Roman" w:cs="Times New Roman"/>
          <w:color w:val="auto"/>
          <w:sz w:val="22"/>
          <w:szCs w:val="22"/>
        </w:rPr>
        <w:t xml:space="preserve">выполнять броски малого (теннисного) мяча в мишень из разных исходных положений и разными способами, демонстрировать упражнения в подбрасывании гимнастического мяча правой и левой рукой, перебрасывании его с руки на руку, перекатыванию; </w:t>
      </w:r>
    </w:p>
    <w:p w14:paraId="281FA3AC">
      <w:pPr>
        <w:pStyle w:val="100"/>
        <w:spacing w:line="360" w:lineRule="auto"/>
        <w:ind w:left="0" w:firstLine="709"/>
        <w:contextualSpacing/>
        <w:rPr>
          <w:rFonts w:ascii="Times New Roman" w:hAnsi="Times New Roman" w:cs="Times New Roman"/>
          <w:color w:val="auto"/>
          <w:sz w:val="22"/>
          <w:szCs w:val="22"/>
        </w:rPr>
      </w:pPr>
      <w:r>
        <w:rPr>
          <w:rFonts w:ascii="Times New Roman" w:hAnsi="Times New Roman" w:cs="Times New Roman"/>
          <w:color w:val="auto"/>
          <w:sz w:val="22"/>
          <w:szCs w:val="22"/>
        </w:rPr>
        <w:t xml:space="preserve">демонстрировать танцевальный хороводный шаг в совместном передвижении; </w:t>
      </w:r>
    </w:p>
    <w:p w14:paraId="0ACF66C9">
      <w:pPr>
        <w:pStyle w:val="100"/>
        <w:spacing w:line="360" w:lineRule="auto"/>
        <w:ind w:left="0" w:firstLine="709"/>
        <w:contextualSpacing/>
        <w:rPr>
          <w:rFonts w:ascii="Times New Roman" w:hAnsi="Times New Roman" w:cs="Times New Roman"/>
          <w:color w:val="auto"/>
          <w:sz w:val="22"/>
          <w:szCs w:val="22"/>
        </w:rPr>
      </w:pPr>
      <w:r>
        <w:rPr>
          <w:rFonts w:ascii="Times New Roman" w:hAnsi="Times New Roman" w:cs="Times New Roman"/>
          <w:color w:val="auto"/>
          <w:sz w:val="22"/>
          <w:szCs w:val="22"/>
        </w:rPr>
        <w:t xml:space="preserve">выполнять прыжки по разметкам на разное расстояние и с разной амплитудой, в высоту с прямого разбега; </w:t>
      </w:r>
    </w:p>
    <w:p w14:paraId="490BAE7B">
      <w:pPr>
        <w:pStyle w:val="100"/>
        <w:spacing w:line="360" w:lineRule="auto"/>
        <w:ind w:left="0" w:firstLine="709"/>
        <w:contextualSpacing/>
        <w:rPr>
          <w:rFonts w:ascii="Times New Roman" w:hAnsi="Times New Roman" w:cs="Times New Roman"/>
          <w:color w:val="auto"/>
          <w:sz w:val="22"/>
          <w:szCs w:val="22"/>
        </w:rPr>
      </w:pPr>
      <w:r>
        <w:rPr>
          <w:rFonts w:ascii="Times New Roman" w:hAnsi="Times New Roman" w:cs="Times New Roman"/>
          <w:color w:val="auto"/>
          <w:sz w:val="22"/>
          <w:szCs w:val="22"/>
        </w:rPr>
        <w:t xml:space="preserve">передвигаться на лыжах двухшажным переменным ходом, спускаться с пологого склона и тормозить падением; </w:t>
      </w:r>
    </w:p>
    <w:p w14:paraId="4A08B42A">
      <w:pPr>
        <w:pStyle w:val="100"/>
        <w:spacing w:line="360" w:lineRule="auto"/>
        <w:ind w:left="0" w:firstLine="709"/>
        <w:contextualSpacing/>
        <w:rPr>
          <w:rFonts w:ascii="Times New Roman" w:hAnsi="Times New Roman" w:cs="Times New Roman"/>
          <w:color w:val="auto"/>
          <w:sz w:val="22"/>
          <w:szCs w:val="22"/>
        </w:rPr>
      </w:pPr>
      <w:r>
        <w:rPr>
          <w:rFonts w:ascii="Times New Roman" w:hAnsi="Times New Roman" w:cs="Times New Roman"/>
          <w:color w:val="auto"/>
          <w:sz w:val="22"/>
          <w:szCs w:val="22"/>
        </w:rPr>
        <w:t xml:space="preserve">организовывать и играть в подвижные игры на развитие основных физических качеств, с использованием технических приёмов из спортивных игр; </w:t>
      </w:r>
    </w:p>
    <w:p w14:paraId="56433753">
      <w:pPr>
        <w:pStyle w:val="100"/>
        <w:spacing w:line="360" w:lineRule="auto"/>
        <w:ind w:left="0" w:firstLine="709"/>
        <w:contextualSpacing/>
        <w:rPr>
          <w:rFonts w:ascii="Times New Roman" w:hAnsi="Times New Roman" w:cs="Times New Roman"/>
          <w:color w:val="auto"/>
          <w:sz w:val="22"/>
          <w:szCs w:val="22"/>
        </w:rPr>
      </w:pPr>
      <w:r>
        <w:rPr>
          <w:rFonts w:ascii="Times New Roman" w:hAnsi="Times New Roman" w:cs="Times New Roman"/>
          <w:color w:val="auto"/>
          <w:sz w:val="22"/>
          <w:szCs w:val="22"/>
        </w:rPr>
        <w:t xml:space="preserve">выполнять упражнения на развитие физических качеств. </w:t>
      </w:r>
      <w:bookmarkStart w:id="265" w:name="_Toc103687219"/>
    </w:p>
    <w:bookmarkEnd w:id="265"/>
    <w:p w14:paraId="06AB13DB">
      <w:pPr>
        <w:pStyle w:val="100"/>
        <w:spacing w:line="360" w:lineRule="auto"/>
        <w:ind w:left="0" w:firstLine="709"/>
        <w:contextualSpacing/>
        <w:rPr>
          <w:rFonts w:ascii="Times New Roman" w:hAnsi="Times New Roman" w:cs="Times New Roman"/>
          <w:color w:val="auto"/>
          <w:sz w:val="22"/>
          <w:szCs w:val="22"/>
        </w:rPr>
      </w:pPr>
      <w:r>
        <w:rPr>
          <w:rFonts w:ascii="Times New Roman" w:hAnsi="Times New Roman" w:cs="Times New Roman"/>
          <w:color w:val="auto"/>
          <w:sz w:val="22"/>
          <w:szCs w:val="22"/>
        </w:rPr>
        <w:t>16.3.6.9. К концу обучения в 3 классе обучающийся достигнет следующих предметных результатов по отдельным темам программы по физической культуре:</w:t>
      </w:r>
    </w:p>
    <w:p w14:paraId="196A7C2B">
      <w:pPr>
        <w:pStyle w:val="100"/>
        <w:spacing w:line="360" w:lineRule="auto"/>
        <w:ind w:left="0" w:firstLine="709"/>
        <w:contextualSpacing/>
        <w:rPr>
          <w:rFonts w:ascii="Times New Roman" w:hAnsi="Times New Roman" w:cs="Times New Roman"/>
          <w:color w:val="auto"/>
          <w:sz w:val="22"/>
          <w:szCs w:val="22"/>
        </w:rPr>
      </w:pPr>
      <w:r>
        <w:rPr>
          <w:rFonts w:ascii="Times New Roman" w:hAnsi="Times New Roman" w:cs="Times New Roman"/>
          <w:color w:val="auto"/>
          <w:sz w:val="22"/>
          <w:szCs w:val="22"/>
        </w:rPr>
        <w:t xml:space="preserve">соблюдать правила во время выполнения гимнастических и акробатических упражнений, легкоатлетической, лыжной, игровой и плавательной подготовки; </w:t>
      </w:r>
    </w:p>
    <w:p w14:paraId="3730A3E8">
      <w:pPr>
        <w:pStyle w:val="100"/>
        <w:spacing w:line="360" w:lineRule="auto"/>
        <w:ind w:left="0" w:firstLine="709"/>
        <w:contextualSpacing/>
        <w:rPr>
          <w:rFonts w:ascii="Times New Roman" w:hAnsi="Times New Roman" w:cs="Times New Roman"/>
          <w:color w:val="auto"/>
          <w:sz w:val="22"/>
          <w:szCs w:val="22"/>
        </w:rPr>
      </w:pPr>
      <w:r>
        <w:rPr>
          <w:rFonts w:ascii="Times New Roman" w:hAnsi="Times New Roman" w:cs="Times New Roman"/>
          <w:color w:val="auto"/>
          <w:sz w:val="22"/>
          <w:szCs w:val="22"/>
        </w:rPr>
        <w:t xml:space="preserve">демонстрировать примеры упражнений общеразвивающей, подготовительной и соревновательной направленности, раскрывать их целевое предназначение на занятиях физической культурой; </w:t>
      </w:r>
    </w:p>
    <w:p w14:paraId="36D460E7">
      <w:pPr>
        <w:pStyle w:val="100"/>
        <w:spacing w:line="360" w:lineRule="auto"/>
        <w:ind w:left="0" w:firstLine="709"/>
        <w:contextualSpacing/>
        <w:rPr>
          <w:rFonts w:ascii="Times New Roman" w:hAnsi="Times New Roman" w:cs="Times New Roman"/>
          <w:color w:val="auto"/>
          <w:sz w:val="22"/>
          <w:szCs w:val="22"/>
        </w:rPr>
      </w:pPr>
      <w:r>
        <w:rPr>
          <w:rFonts w:ascii="Times New Roman" w:hAnsi="Times New Roman" w:cs="Times New Roman"/>
          <w:color w:val="auto"/>
          <w:sz w:val="22"/>
          <w:szCs w:val="22"/>
        </w:rPr>
        <w:t xml:space="preserve">измерять частоту пульса и определять физическую нагрузку по её значениям с помощью таблицы стандартных нагрузок; </w:t>
      </w:r>
    </w:p>
    <w:p w14:paraId="241F6619">
      <w:pPr>
        <w:pStyle w:val="100"/>
        <w:spacing w:line="360" w:lineRule="auto"/>
        <w:ind w:left="0" w:firstLine="709"/>
        <w:contextualSpacing/>
        <w:rPr>
          <w:rFonts w:ascii="Times New Roman" w:hAnsi="Times New Roman" w:cs="Times New Roman"/>
          <w:color w:val="auto"/>
          <w:sz w:val="22"/>
          <w:szCs w:val="22"/>
        </w:rPr>
      </w:pPr>
      <w:r>
        <w:rPr>
          <w:rFonts w:ascii="Times New Roman" w:hAnsi="Times New Roman" w:cs="Times New Roman"/>
          <w:color w:val="auto"/>
          <w:sz w:val="22"/>
          <w:szCs w:val="22"/>
        </w:rPr>
        <w:t>выполнять упражнения дыхательной и зрительной гимнастики, объяснять их связь с предупреждением появления утомления;</w:t>
      </w:r>
    </w:p>
    <w:p w14:paraId="4C8B7986">
      <w:pPr>
        <w:pStyle w:val="100"/>
        <w:spacing w:line="360" w:lineRule="auto"/>
        <w:ind w:left="0" w:firstLine="709"/>
        <w:contextualSpacing/>
        <w:rPr>
          <w:rFonts w:ascii="Times New Roman" w:hAnsi="Times New Roman" w:cs="Times New Roman"/>
          <w:color w:val="auto"/>
          <w:sz w:val="22"/>
          <w:szCs w:val="22"/>
        </w:rPr>
      </w:pPr>
      <w:r>
        <w:rPr>
          <w:rFonts w:ascii="Times New Roman" w:hAnsi="Times New Roman" w:cs="Times New Roman"/>
          <w:color w:val="auto"/>
          <w:sz w:val="22"/>
          <w:szCs w:val="22"/>
        </w:rPr>
        <w:t>выполнять движение противоходом в колонне по одному, перестраиваться из колонны по одному в колонну по три на месте и в движении;</w:t>
      </w:r>
    </w:p>
    <w:p w14:paraId="4BF31144">
      <w:pPr>
        <w:pStyle w:val="100"/>
        <w:spacing w:line="360" w:lineRule="auto"/>
        <w:ind w:left="0" w:firstLine="709"/>
        <w:contextualSpacing/>
        <w:rPr>
          <w:rFonts w:ascii="Times New Roman" w:hAnsi="Times New Roman" w:cs="Times New Roman"/>
          <w:color w:val="auto"/>
          <w:sz w:val="22"/>
          <w:szCs w:val="22"/>
        </w:rPr>
      </w:pPr>
      <w:r>
        <w:rPr>
          <w:rFonts w:ascii="Times New Roman" w:hAnsi="Times New Roman" w:cs="Times New Roman"/>
          <w:color w:val="auto"/>
          <w:sz w:val="22"/>
          <w:szCs w:val="22"/>
        </w:rPr>
        <w:t xml:space="preserve">выполнять ходьбу по гимнастической скамейке с высоким подниманием колен и изменением положения рук, поворотами в правую и левую сторону, двигаться приставным шагом левым и правым боком, спиной вперёд; </w:t>
      </w:r>
    </w:p>
    <w:p w14:paraId="39611D72">
      <w:pPr>
        <w:pStyle w:val="100"/>
        <w:spacing w:line="360" w:lineRule="auto"/>
        <w:ind w:left="0" w:firstLine="709"/>
        <w:contextualSpacing/>
        <w:rPr>
          <w:rFonts w:ascii="Times New Roman" w:hAnsi="Times New Roman" w:cs="Times New Roman"/>
          <w:color w:val="auto"/>
          <w:sz w:val="22"/>
          <w:szCs w:val="22"/>
        </w:rPr>
      </w:pPr>
      <w:r>
        <w:rPr>
          <w:rFonts w:ascii="Times New Roman" w:hAnsi="Times New Roman" w:cs="Times New Roman"/>
          <w:color w:val="auto"/>
          <w:sz w:val="22"/>
          <w:szCs w:val="22"/>
        </w:rPr>
        <w:t xml:space="preserve">передвигаться по нижней жерди гимнастической стенки приставным шагом в правую и левую сторону, лазать разноимённым способом; </w:t>
      </w:r>
    </w:p>
    <w:p w14:paraId="57259AD9">
      <w:pPr>
        <w:pStyle w:val="100"/>
        <w:spacing w:line="360" w:lineRule="auto"/>
        <w:ind w:left="0" w:firstLine="709"/>
        <w:contextualSpacing/>
        <w:rPr>
          <w:rFonts w:ascii="Times New Roman" w:hAnsi="Times New Roman" w:cs="Times New Roman"/>
          <w:color w:val="auto"/>
          <w:sz w:val="22"/>
          <w:szCs w:val="22"/>
        </w:rPr>
      </w:pPr>
      <w:r>
        <w:rPr>
          <w:rFonts w:ascii="Times New Roman" w:hAnsi="Times New Roman" w:cs="Times New Roman"/>
          <w:color w:val="auto"/>
          <w:sz w:val="22"/>
          <w:szCs w:val="22"/>
        </w:rPr>
        <w:t xml:space="preserve">демонстрировать прыжки через скакалку на двух ногах и попеременно на правой и левой ноге; </w:t>
      </w:r>
    </w:p>
    <w:p w14:paraId="286E6E79">
      <w:pPr>
        <w:pStyle w:val="100"/>
        <w:spacing w:line="360" w:lineRule="auto"/>
        <w:ind w:left="0" w:firstLine="709"/>
        <w:contextualSpacing/>
        <w:rPr>
          <w:rFonts w:ascii="Times New Roman" w:hAnsi="Times New Roman" w:cs="Times New Roman"/>
          <w:color w:val="auto"/>
          <w:sz w:val="22"/>
          <w:szCs w:val="22"/>
        </w:rPr>
      </w:pPr>
      <w:r>
        <w:rPr>
          <w:rFonts w:ascii="Times New Roman" w:hAnsi="Times New Roman" w:cs="Times New Roman"/>
          <w:color w:val="auto"/>
          <w:sz w:val="22"/>
          <w:szCs w:val="22"/>
        </w:rPr>
        <w:t xml:space="preserve">демонстрировать упражнения ритмической гимнастики, движения танцев галоп и полька; </w:t>
      </w:r>
    </w:p>
    <w:p w14:paraId="6B750154">
      <w:pPr>
        <w:pStyle w:val="100"/>
        <w:spacing w:line="360" w:lineRule="auto"/>
        <w:ind w:left="0" w:firstLine="709"/>
        <w:contextualSpacing/>
        <w:rPr>
          <w:rFonts w:ascii="Times New Roman" w:hAnsi="Times New Roman" w:cs="Times New Roman"/>
          <w:color w:val="auto"/>
          <w:sz w:val="22"/>
          <w:szCs w:val="22"/>
        </w:rPr>
      </w:pPr>
      <w:r>
        <w:rPr>
          <w:rFonts w:ascii="Times New Roman" w:hAnsi="Times New Roman" w:cs="Times New Roman"/>
          <w:color w:val="auto"/>
          <w:sz w:val="22"/>
          <w:szCs w:val="22"/>
        </w:rPr>
        <w:t xml:space="preserve">выполнять бег с преодолением небольших препятствий с разной скоростью, прыжки в длину с разбега способом согнув ноги, броски набивного мяча из положения сидя и стоя; </w:t>
      </w:r>
    </w:p>
    <w:p w14:paraId="44AC16A0">
      <w:pPr>
        <w:pStyle w:val="100"/>
        <w:spacing w:line="360" w:lineRule="auto"/>
        <w:ind w:left="0" w:firstLine="709"/>
        <w:contextualSpacing/>
        <w:rPr>
          <w:rFonts w:ascii="Times New Roman" w:hAnsi="Times New Roman" w:cs="Times New Roman"/>
          <w:color w:val="auto"/>
          <w:sz w:val="22"/>
          <w:szCs w:val="22"/>
        </w:rPr>
      </w:pPr>
      <w:r>
        <w:rPr>
          <w:rFonts w:ascii="Times New Roman" w:hAnsi="Times New Roman" w:cs="Times New Roman"/>
          <w:color w:val="auto"/>
          <w:sz w:val="22"/>
          <w:szCs w:val="22"/>
        </w:rPr>
        <w:t xml:space="preserve">передвигаться на лыжах одновременным двухшажным ходом, спускаться с пологого склона в стойке лыжника и тормозить плугом; </w:t>
      </w:r>
    </w:p>
    <w:p w14:paraId="0385EB40">
      <w:pPr>
        <w:pStyle w:val="100"/>
        <w:spacing w:line="360" w:lineRule="auto"/>
        <w:ind w:left="0" w:firstLine="709"/>
        <w:contextualSpacing/>
        <w:rPr>
          <w:rFonts w:ascii="Times New Roman" w:hAnsi="Times New Roman" w:cs="Times New Roman"/>
          <w:color w:val="auto"/>
          <w:sz w:val="22"/>
          <w:szCs w:val="22"/>
        </w:rPr>
      </w:pPr>
      <w:r>
        <w:rPr>
          <w:rFonts w:ascii="Times New Roman" w:hAnsi="Times New Roman" w:cs="Times New Roman"/>
          <w:color w:val="auto"/>
          <w:sz w:val="22"/>
          <w:szCs w:val="22"/>
        </w:rPr>
        <w:t xml:space="preserve">выполнять технические действия спортивных игр: баскетбол (ведение баскетбольного мяча на месте и движении), волейбол (приём мяча снизу и нижняя передача в парах), футбол (ведение футбольного мяча змейкой); </w:t>
      </w:r>
    </w:p>
    <w:p w14:paraId="4BCFD18E">
      <w:pPr>
        <w:pStyle w:val="100"/>
        <w:spacing w:line="360" w:lineRule="auto"/>
        <w:ind w:left="0" w:firstLine="709"/>
        <w:contextualSpacing/>
        <w:rPr>
          <w:rFonts w:ascii="Times New Roman" w:hAnsi="Times New Roman" w:cs="Times New Roman"/>
          <w:color w:val="auto"/>
          <w:sz w:val="22"/>
          <w:szCs w:val="22"/>
        </w:rPr>
      </w:pPr>
      <w:r>
        <w:rPr>
          <w:rFonts w:ascii="Times New Roman" w:hAnsi="Times New Roman" w:cs="Times New Roman"/>
          <w:color w:val="auto"/>
          <w:sz w:val="22"/>
          <w:szCs w:val="22"/>
        </w:rPr>
        <w:t xml:space="preserve">выполнять упражнения на развитие физических качеств, демонстрировать приросты в их показателях. </w:t>
      </w:r>
      <w:bookmarkStart w:id="266" w:name="_Toc103687220"/>
    </w:p>
    <w:bookmarkEnd w:id="266"/>
    <w:p w14:paraId="7B054ACD">
      <w:pPr>
        <w:pStyle w:val="100"/>
        <w:spacing w:line="360" w:lineRule="auto"/>
        <w:ind w:left="0" w:firstLine="709"/>
        <w:contextualSpacing/>
        <w:rPr>
          <w:rFonts w:ascii="Times New Roman" w:hAnsi="Times New Roman" w:cs="Times New Roman"/>
          <w:color w:val="auto"/>
          <w:sz w:val="22"/>
          <w:szCs w:val="22"/>
        </w:rPr>
      </w:pPr>
      <w:r>
        <w:rPr>
          <w:rFonts w:ascii="Times New Roman" w:hAnsi="Times New Roman" w:cs="Times New Roman"/>
          <w:color w:val="auto"/>
          <w:sz w:val="22"/>
          <w:szCs w:val="22"/>
        </w:rPr>
        <w:t>16.3.6.10. К концу обучения в 4 классе обучающийся достигнет следующих предметных результатов по отдельным темам программы по физической культуре:</w:t>
      </w:r>
    </w:p>
    <w:p w14:paraId="0771D148">
      <w:pPr>
        <w:pStyle w:val="100"/>
        <w:spacing w:line="360" w:lineRule="auto"/>
        <w:ind w:left="0" w:firstLine="709"/>
        <w:contextualSpacing/>
        <w:rPr>
          <w:rFonts w:ascii="Times New Roman" w:hAnsi="Times New Roman" w:cs="Times New Roman"/>
          <w:color w:val="auto"/>
          <w:sz w:val="22"/>
          <w:szCs w:val="22"/>
        </w:rPr>
      </w:pPr>
      <w:r>
        <w:rPr>
          <w:rFonts w:ascii="Times New Roman" w:hAnsi="Times New Roman" w:cs="Times New Roman"/>
          <w:color w:val="auto"/>
          <w:sz w:val="22"/>
          <w:szCs w:val="22"/>
        </w:rPr>
        <w:t xml:space="preserve">объяснять назначение комплекса ГТО и выявлять его связь с подготовкой к труду и защите Родины; </w:t>
      </w:r>
    </w:p>
    <w:p w14:paraId="6F91D9B6">
      <w:pPr>
        <w:pStyle w:val="100"/>
        <w:spacing w:line="360" w:lineRule="auto"/>
        <w:ind w:left="0" w:firstLine="709"/>
        <w:contextualSpacing/>
        <w:rPr>
          <w:rFonts w:ascii="Times New Roman" w:hAnsi="Times New Roman" w:cs="Times New Roman"/>
          <w:color w:val="auto"/>
          <w:sz w:val="22"/>
          <w:szCs w:val="22"/>
        </w:rPr>
      </w:pPr>
      <w:r>
        <w:rPr>
          <w:rFonts w:ascii="Times New Roman" w:hAnsi="Times New Roman" w:cs="Times New Roman"/>
          <w:color w:val="auto"/>
          <w:sz w:val="22"/>
          <w:szCs w:val="22"/>
        </w:rPr>
        <w:t xml:space="preserve">осознавать положительное влияние занятий физической подготовкой на укрепление здоровья, развитие сердечно-сосудистой и дыхательной систем; </w:t>
      </w:r>
    </w:p>
    <w:p w14:paraId="441CB494">
      <w:pPr>
        <w:pStyle w:val="100"/>
        <w:spacing w:line="360" w:lineRule="auto"/>
        <w:ind w:left="0" w:firstLine="709"/>
        <w:contextualSpacing/>
        <w:rPr>
          <w:rFonts w:ascii="Times New Roman" w:hAnsi="Times New Roman" w:cs="Times New Roman"/>
          <w:color w:val="auto"/>
          <w:sz w:val="22"/>
          <w:szCs w:val="22"/>
        </w:rPr>
      </w:pPr>
      <w:r>
        <w:rPr>
          <w:rFonts w:ascii="Times New Roman" w:hAnsi="Times New Roman" w:cs="Times New Roman"/>
          <w:color w:val="auto"/>
          <w:sz w:val="22"/>
          <w:szCs w:val="22"/>
        </w:rPr>
        <w:t xml:space="preserve">приводить примеры регулирования физической нагрузки по пульсу при развитии физических качеств: силы, быстроты, выносливости и гибкости; </w:t>
      </w:r>
    </w:p>
    <w:p w14:paraId="29E3F439">
      <w:pPr>
        <w:pStyle w:val="100"/>
        <w:spacing w:line="360" w:lineRule="auto"/>
        <w:ind w:left="0" w:firstLine="709"/>
        <w:contextualSpacing/>
        <w:rPr>
          <w:rFonts w:ascii="Times New Roman" w:hAnsi="Times New Roman" w:cs="Times New Roman"/>
          <w:color w:val="auto"/>
          <w:sz w:val="22"/>
          <w:szCs w:val="22"/>
        </w:rPr>
      </w:pPr>
      <w:r>
        <w:rPr>
          <w:rFonts w:ascii="Times New Roman" w:hAnsi="Times New Roman" w:cs="Times New Roman"/>
          <w:color w:val="auto"/>
          <w:sz w:val="22"/>
          <w:szCs w:val="22"/>
        </w:rPr>
        <w:t xml:space="preserve">приводить примеры оказания первой помощи при травмах во время самостоятельных занятий физической культурой и спортом, характеризовать причины их появления на занятиях гимнастикой и лёгкой атлетикой, лыжной и плавательной подготовкой; </w:t>
      </w:r>
    </w:p>
    <w:p w14:paraId="5D492B6D">
      <w:pPr>
        <w:pStyle w:val="100"/>
        <w:spacing w:line="360" w:lineRule="auto"/>
        <w:ind w:left="0" w:firstLine="709"/>
        <w:contextualSpacing/>
        <w:rPr>
          <w:rFonts w:ascii="Times New Roman" w:hAnsi="Times New Roman" w:cs="Times New Roman"/>
          <w:color w:val="auto"/>
          <w:sz w:val="22"/>
          <w:szCs w:val="22"/>
        </w:rPr>
      </w:pPr>
      <w:r>
        <w:rPr>
          <w:rFonts w:ascii="Times New Roman" w:hAnsi="Times New Roman" w:cs="Times New Roman"/>
          <w:color w:val="auto"/>
          <w:sz w:val="22"/>
          <w:szCs w:val="22"/>
        </w:rPr>
        <w:t>проявлять готовность оказать первую помощь в случае необходимости;</w:t>
      </w:r>
    </w:p>
    <w:p w14:paraId="5980119E">
      <w:pPr>
        <w:pStyle w:val="100"/>
        <w:spacing w:line="360" w:lineRule="auto"/>
        <w:ind w:left="0" w:firstLine="709"/>
        <w:contextualSpacing/>
        <w:rPr>
          <w:rFonts w:ascii="Times New Roman" w:hAnsi="Times New Roman" w:cs="Times New Roman"/>
          <w:color w:val="auto"/>
          <w:sz w:val="22"/>
          <w:szCs w:val="22"/>
        </w:rPr>
      </w:pPr>
      <w:r>
        <w:rPr>
          <w:rFonts w:ascii="Times New Roman" w:hAnsi="Times New Roman" w:cs="Times New Roman"/>
          <w:color w:val="auto"/>
          <w:sz w:val="22"/>
          <w:szCs w:val="22"/>
        </w:rPr>
        <w:t xml:space="preserve">демонстрировать акробатические комбинации из 5–7 хорошо освоенных упражнений (с помощью учителя); </w:t>
      </w:r>
    </w:p>
    <w:p w14:paraId="61F570DE">
      <w:pPr>
        <w:pStyle w:val="100"/>
        <w:spacing w:line="360" w:lineRule="auto"/>
        <w:ind w:left="0" w:firstLine="709"/>
        <w:contextualSpacing/>
        <w:rPr>
          <w:rFonts w:ascii="Times New Roman" w:hAnsi="Times New Roman" w:cs="Times New Roman"/>
          <w:color w:val="auto"/>
          <w:sz w:val="22"/>
          <w:szCs w:val="22"/>
        </w:rPr>
      </w:pPr>
      <w:r>
        <w:rPr>
          <w:rFonts w:ascii="Times New Roman" w:hAnsi="Times New Roman" w:cs="Times New Roman"/>
          <w:color w:val="auto"/>
          <w:sz w:val="22"/>
          <w:szCs w:val="22"/>
        </w:rPr>
        <w:t>демонстрировать опорный прыжок через гимнастического козла с разбега способом напрыгивания;</w:t>
      </w:r>
    </w:p>
    <w:p w14:paraId="3A6119C2">
      <w:pPr>
        <w:pStyle w:val="100"/>
        <w:spacing w:line="360" w:lineRule="auto"/>
        <w:ind w:left="0" w:firstLine="709"/>
        <w:contextualSpacing/>
        <w:rPr>
          <w:rFonts w:ascii="Times New Roman" w:hAnsi="Times New Roman" w:cs="Times New Roman"/>
          <w:color w:val="auto"/>
          <w:sz w:val="22"/>
          <w:szCs w:val="22"/>
        </w:rPr>
      </w:pPr>
      <w:r>
        <w:rPr>
          <w:rFonts w:ascii="Times New Roman" w:hAnsi="Times New Roman" w:cs="Times New Roman"/>
          <w:color w:val="auto"/>
          <w:sz w:val="22"/>
          <w:szCs w:val="22"/>
        </w:rPr>
        <w:t xml:space="preserve">демонстрировать движения танца «Летка-енка» в групповом исполнении под музыкальное сопровождение; </w:t>
      </w:r>
    </w:p>
    <w:p w14:paraId="0EC61AF3">
      <w:pPr>
        <w:pStyle w:val="100"/>
        <w:spacing w:line="360" w:lineRule="auto"/>
        <w:ind w:left="0" w:firstLine="709"/>
        <w:contextualSpacing/>
        <w:rPr>
          <w:rFonts w:ascii="Times New Roman" w:hAnsi="Times New Roman" w:cs="Times New Roman"/>
          <w:color w:val="auto"/>
          <w:sz w:val="22"/>
          <w:szCs w:val="22"/>
        </w:rPr>
      </w:pPr>
      <w:r>
        <w:rPr>
          <w:rFonts w:ascii="Times New Roman" w:hAnsi="Times New Roman" w:cs="Times New Roman"/>
          <w:color w:val="auto"/>
          <w:sz w:val="22"/>
          <w:szCs w:val="22"/>
        </w:rPr>
        <w:t xml:space="preserve">выполнять прыжок в высоту с разбега перешагиванием; </w:t>
      </w:r>
    </w:p>
    <w:p w14:paraId="7D46AFD0">
      <w:pPr>
        <w:pStyle w:val="100"/>
        <w:spacing w:line="360" w:lineRule="auto"/>
        <w:ind w:left="0" w:firstLine="709"/>
        <w:contextualSpacing/>
        <w:rPr>
          <w:rFonts w:ascii="Times New Roman" w:hAnsi="Times New Roman" w:cs="Times New Roman"/>
          <w:color w:val="auto"/>
          <w:sz w:val="22"/>
          <w:szCs w:val="22"/>
        </w:rPr>
      </w:pPr>
      <w:r>
        <w:rPr>
          <w:rFonts w:ascii="Times New Roman" w:hAnsi="Times New Roman" w:cs="Times New Roman"/>
          <w:color w:val="auto"/>
          <w:sz w:val="22"/>
          <w:szCs w:val="22"/>
        </w:rPr>
        <w:t xml:space="preserve">выполнять метание малого (теннисного) мяча на дальность; </w:t>
      </w:r>
    </w:p>
    <w:p w14:paraId="5A3D0766">
      <w:pPr>
        <w:pStyle w:val="100"/>
        <w:spacing w:line="360" w:lineRule="auto"/>
        <w:ind w:left="0" w:firstLine="709"/>
        <w:contextualSpacing/>
        <w:rPr>
          <w:rFonts w:ascii="Times New Roman" w:hAnsi="Times New Roman" w:cs="Times New Roman"/>
          <w:color w:val="auto"/>
          <w:sz w:val="22"/>
          <w:szCs w:val="22"/>
        </w:rPr>
      </w:pPr>
      <w:r>
        <w:rPr>
          <w:rFonts w:ascii="Times New Roman" w:hAnsi="Times New Roman" w:cs="Times New Roman"/>
          <w:color w:val="auto"/>
          <w:sz w:val="22"/>
          <w:szCs w:val="22"/>
        </w:rPr>
        <w:t>демонстрировать проплывание учебной дистанции кролем на груди или кролем на спине (по выбору обучающегося);</w:t>
      </w:r>
    </w:p>
    <w:p w14:paraId="1983D47A">
      <w:pPr>
        <w:pStyle w:val="100"/>
        <w:spacing w:line="360" w:lineRule="auto"/>
        <w:ind w:left="0" w:firstLine="709"/>
        <w:contextualSpacing/>
        <w:rPr>
          <w:rFonts w:ascii="Times New Roman" w:hAnsi="Times New Roman" w:cs="Times New Roman"/>
          <w:color w:val="auto"/>
          <w:sz w:val="22"/>
          <w:szCs w:val="22"/>
        </w:rPr>
      </w:pPr>
      <w:r>
        <w:rPr>
          <w:rFonts w:ascii="Times New Roman" w:hAnsi="Times New Roman" w:cs="Times New Roman"/>
          <w:color w:val="auto"/>
          <w:sz w:val="22"/>
          <w:szCs w:val="22"/>
        </w:rPr>
        <w:t xml:space="preserve">выполнять освоенные технические действия спортивных игр баскетбол, волейбол и футбол в условиях игровой деятельности; </w:t>
      </w:r>
    </w:p>
    <w:p w14:paraId="3378E284">
      <w:pPr>
        <w:pStyle w:val="100"/>
        <w:spacing w:line="360" w:lineRule="auto"/>
        <w:ind w:left="0" w:firstLine="709"/>
        <w:contextualSpacing/>
        <w:rPr>
          <w:rFonts w:ascii="Times New Roman" w:hAnsi="Times New Roman" w:cs="Times New Roman"/>
          <w:color w:val="auto"/>
          <w:sz w:val="22"/>
          <w:szCs w:val="22"/>
        </w:rPr>
      </w:pPr>
      <w:r>
        <w:rPr>
          <w:rFonts w:ascii="Times New Roman" w:hAnsi="Times New Roman" w:cs="Times New Roman"/>
          <w:color w:val="auto"/>
          <w:sz w:val="22"/>
          <w:szCs w:val="22"/>
        </w:rPr>
        <w:t>выполнять упражнения на развитие физических качеств, демонстрировать приросты в их показателях.</w:t>
      </w:r>
    </w:p>
    <w:p w14:paraId="357C7352">
      <w:pPr>
        <w:pStyle w:val="2"/>
        <w:pBdr>
          <w:bottom w:val="none" w:color="auto" w:sz="0" w:space="0"/>
        </w:pBdr>
        <w:spacing w:before="0" w:line="360" w:lineRule="auto"/>
        <w:ind w:firstLine="708"/>
        <w:jc w:val="both"/>
        <w:rPr>
          <w:b w:val="0"/>
          <w:bCs/>
          <w:sz w:val="22"/>
          <w:szCs w:val="22"/>
          <w:lang w:eastAsia="zh-CN"/>
        </w:rPr>
      </w:pPr>
      <w:r>
        <w:rPr>
          <w:b w:val="0"/>
          <w:bCs/>
          <w:sz w:val="22"/>
          <w:szCs w:val="22"/>
          <w:lang w:eastAsia="zh-CN"/>
        </w:rPr>
        <w:t>16.4. Физическая культура. Модули по видам спорта.</w:t>
      </w:r>
    </w:p>
    <w:p w14:paraId="3AEABCF4">
      <w:pPr>
        <w:pBdr>
          <w:top w:val="none" w:color="000000" w:sz="0" w:space="0"/>
          <w:left w:val="none" w:color="000000" w:sz="0" w:space="0"/>
          <w:bottom w:val="none" w:color="000000" w:sz="0" w:space="0"/>
          <w:right w:val="none" w:color="000000" w:sz="0" w:space="0"/>
        </w:pBdr>
        <w:suppressAutoHyphens/>
        <w:spacing w:after="0" w:line="360" w:lineRule="auto"/>
        <w:ind w:firstLine="709"/>
        <w:jc w:val="both"/>
        <w:rPr>
          <w:rFonts w:ascii="Times New Roman" w:hAnsi="Times New Roman"/>
          <w:lang w:eastAsia="zh-CN"/>
        </w:rPr>
      </w:pPr>
      <w:r>
        <w:rPr>
          <w:rFonts w:ascii="Times New Roman" w:hAnsi="Times New Roman" w:eastAsia="Times New Roman"/>
          <w:bCs/>
          <w:lang w:eastAsia="zh-CN"/>
        </w:rPr>
        <w:t>16.4.1. М</w:t>
      </w:r>
      <w:r>
        <w:rPr>
          <w:rFonts w:ascii="Times New Roman" w:hAnsi="Times New Roman"/>
          <w:bCs/>
          <w:lang w:eastAsia="zh-CN"/>
        </w:rPr>
        <w:t>одуль «Самбо».</w:t>
      </w:r>
    </w:p>
    <w:p w14:paraId="65C06624">
      <w:pPr>
        <w:pBdr>
          <w:top w:val="none" w:color="000000" w:sz="0" w:space="0"/>
          <w:left w:val="none" w:color="000000" w:sz="0" w:space="0"/>
          <w:bottom w:val="none" w:color="000000" w:sz="0" w:space="0"/>
          <w:right w:val="none" w:color="000000" w:sz="0" w:space="0"/>
        </w:pBdr>
        <w:suppressAutoHyphens/>
        <w:spacing w:after="0" w:line="360" w:lineRule="auto"/>
        <w:ind w:firstLine="709"/>
        <w:jc w:val="both"/>
        <w:rPr>
          <w:rFonts w:ascii="Times New Roman" w:hAnsi="Times New Roman"/>
          <w:lang w:eastAsia="zh-CN"/>
        </w:rPr>
      </w:pPr>
      <w:r>
        <w:rPr>
          <w:rFonts w:ascii="Times New Roman" w:hAnsi="Times New Roman" w:eastAsia="Times New Roman"/>
          <w:bCs/>
          <w:lang w:eastAsia="zh-CN"/>
        </w:rPr>
        <w:t>16.4.</w:t>
      </w:r>
      <w:r>
        <w:rPr>
          <w:rFonts w:ascii="Times New Roman" w:hAnsi="Times New Roman"/>
          <w:lang w:eastAsia="zh-CN"/>
        </w:rPr>
        <w:t>1.1. Общая характеристика модуля «Самбо».</w:t>
      </w:r>
    </w:p>
    <w:p w14:paraId="65AFC337">
      <w:pPr>
        <w:pBdr>
          <w:top w:val="none" w:color="000000" w:sz="0" w:space="0"/>
          <w:left w:val="none" w:color="000000" w:sz="0" w:space="0"/>
          <w:bottom w:val="none" w:color="000000" w:sz="0" w:space="0"/>
          <w:right w:val="none" w:color="000000" w:sz="0" w:space="0"/>
        </w:pBdr>
        <w:suppressAutoHyphens/>
        <w:spacing w:after="0" w:line="360" w:lineRule="auto"/>
        <w:ind w:firstLine="709"/>
        <w:jc w:val="both"/>
        <w:rPr>
          <w:rFonts w:ascii="Times New Roman" w:hAnsi="Times New Roman"/>
          <w:lang w:eastAsia="zh-CN"/>
        </w:rPr>
      </w:pPr>
      <w:r>
        <w:rPr>
          <w:rFonts w:ascii="Times New Roman" w:hAnsi="Times New Roman"/>
          <w:lang w:eastAsia="zh-CN"/>
        </w:rPr>
        <w:t xml:space="preserve">Модуль «Самбо» </w:t>
      </w:r>
      <w:bookmarkStart w:id="267" w:name="_Hlk125554792"/>
      <w:r>
        <w:rPr>
          <w:rFonts w:ascii="Times New Roman" w:hAnsi="Times New Roman"/>
          <w:lang w:eastAsia="zh-CN"/>
        </w:rPr>
        <w:t>(далее – модуль по самбо, самбо)</w:t>
      </w:r>
      <w:bookmarkEnd w:id="267"/>
      <w:r>
        <w:rPr>
          <w:rFonts w:ascii="Times New Roman" w:hAnsi="Times New Roman"/>
          <w:lang w:eastAsia="zh-CN"/>
        </w:rPr>
        <w:t xml:space="preserve"> на уровне начального общего образования разработан с целью оказания методической помощи учителю физической культуры в создании рабочей программы по учебному предмету «Физическая культура» с учётом современных тенденций в системе образования и использования спортивно-ориентированных форм, средств и методов обучения по различным видам спорта.</w:t>
      </w:r>
    </w:p>
    <w:p w14:paraId="12B716EF">
      <w:pPr>
        <w:pBdr>
          <w:top w:val="none" w:color="000000" w:sz="0" w:space="0"/>
          <w:left w:val="none" w:color="000000" w:sz="0" w:space="0"/>
          <w:bottom w:val="none" w:color="000000" w:sz="0" w:space="0"/>
          <w:right w:val="none" w:color="000000" w:sz="0" w:space="0"/>
        </w:pBdr>
        <w:suppressAutoHyphens/>
        <w:spacing w:after="0" w:line="360" w:lineRule="auto"/>
        <w:ind w:firstLine="709"/>
        <w:jc w:val="both"/>
        <w:rPr>
          <w:rFonts w:ascii="Times New Roman" w:hAnsi="Times New Roman"/>
          <w:b/>
          <w:lang w:eastAsia="ru-RU"/>
        </w:rPr>
      </w:pPr>
      <w:bookmarkStart w:id="268" w:name="_Hlk125619083"/>
      <w:r>
        <w:rPr>
          <w:rFonts w:ascii="Times New Roman" w:hAnsi="Times New Roman"/>
          <w:lang w:eastAsia="zh-CN"/>
        </w:rPr>
        <w:t>Самбо является составной частью национальной культуры нашей страны и одним из универсальных средств физического воспитания. Самбо как вид спорта и система самозащиты имеют большое оздоровительное и прикладное значение, так как отводят важнейшую роль обеспечению подлинной надежной безопасности для здоровья и жизни занимающихся. Самбо, как система, зародившаяся в нашей стране, обладает мощным воспитательным эффектом, которая базируется на истории создания и развитии самбо, героизации наших соотечественников, культуре и традициях нашего народа, его общего духа, сплоченности и стремлении к победе, что будет способствовать их патриотическому и духовному развитию.</w:t>
      </w:r>
    </w:p>
    <w:p w14:paraId="7B24477C">
      <w:pPr>
        <w:pBdr>
          <w:top w:val="none" w:color="000000" w:sz="0" w:space="0"/>
          <w:left w:val="none" w:color="000000" w:sz="0" w:space="0"/>
          <w:bottom w:val="none" w:color="000000" w:sz="0" w:space="0"/>
          <w:right w:val="none" w:color="000000" w:sz="0" w:space="0"/>
        </w:pBdr>
        <w:shd w:val="clear" w:color="auto" w:fill="FFFFFF"/>
        <w:tabs>
          <w:tab w:val="left" w:pos="1620"/>
        </w:tabs>
        <w:suppressAutoHyphens/>
        <w:spacing w:after="0" w:line="360" w:lineRule="auto"/>
        <w:ind w:firstLine="709"/>
        <w:jc w:val="both"/>
        <w:rPr>
          <w:rFonts w:ascii="Times New Roman" w:hAnsi="Times New Roman" w:eastAsia="Times New Roman"/>
          <w:lang w:eastAsia="zh-CN"/>
        </w:rPr>
      </w:pPr>
      <w:r>
        <w:rPr>
          <w:rFonts w:ascii="Times New Roman" w:hAnsi="Times New Roman" w:eastAsia="Arial Unicode MS"/>
          <w:bCs/>
          <w:lang w:eastAsia="zh-CN"/>
        </w:rPr>
        <w:t xml:space="preserve">Средства самбо </w:t>
      </w:r>
      <w:r>
        <w:rPr>
          <w:rFonts w:ascii="Times New Roman" w:hAnsi="Times New Roman" w:eastAsia="Times New Roman"/>
          <w:bCs/>
          <w:lang w:eastAsia="zh-CN"/>
        </w:rPr>
        <w:t>способствуют гармоничному развитию и укреплению здоровья обучающихся</w:t>
      </w:r>
      <w:r>
        <w:rPr>
          <w:rFonts w:ascii="Times New Roman" w:hAnsi="Times New Roman" w:eastAsia="Arial Unicode MS"/>
          <w:bCs/>
          <w:lang w:eastAsia="zh-CN"/>
        </w:rPr>
        <w:t>, комплексно влияют на органы и системы растущего организма, укрепляя и повышая их функциональный уровень</w:t>
      </w:r>
      <w:r>
        <w:rPr>
          <w:rFonts w:ascii="Times New Roman" w:hAnsi="Times New Roman" w:eastAsia="Times New Roman"/>
          <w:bCs/>
          <w:lang w:eastAsia="zh-CN"/>
        </w:rPr>
        <w:t xml:space="preserve">, а также </w:t>
      </w:r>
      <w:r>
        <w:rPr>
          <w:rFonts w:ascii="Times New Roman" w:hAnsi="Times New Roman" w:eastAsia="Times New Roman"/>
          <w:lang w:eastAsia="zh-CN"/>
        </w:rPr>
        <w:t xml:space="preserve">являются важным средством профилактики травматизма. </w:t>
      </w:r>
    </w:p>
    <w:p w14:paraId="779061F0">
      <w:pPr>
        <w:pBdr>
          <w:top w:val="none" w:color="000000" w:sz="0" w:space="0"/>
          <w:left w:val="none" w:color="000000" w:sz="0" w:space="0"/>
          <w:bottom w:val="none" w:color="000000" w:sz="0" w:space="0"/>
          <w:right w:val="none" w:color="000000" w:sz="0" w:space="0"/>
        </w:pBdr>
        <w:shd w:val="clear" w:color="auto" w:fill="FFFFFF"/>
        <w:tabs>
          <w:tab w:val="left" w:pos="0"/>
        </w:tabs>
        <w:suppressAutoHyphens/>
        <w:spacing w:after="0" w:line="360" w:lineRule="auto"/>
        <w:ind w:firstLine="709"/>
        <w:jc w:val="both"/>
        <w:rPr>
          <w:rFonts w:ascii="Times New Roman" w:hAnsi="Times New Roman" w:eastAsia="Times New Roman"/>
          <w:bCs/>
          <w:lang w:eastAsia="zh-CN"/>
        </w:rPr>
      </w:pPr>
      <w:r>
        <w:rPr>
          <w:rFonts w:ascii="Times New Roman" w:hAnsi="Times New Roman" w:eastAsia="Times New Roman"/>
          <w:lang w:eastAsia="zh-CN"/>
        </w:rPr>
        <w:t xml:space="preserve">При реализации модуля «Самбо» владение различными техниками самбо обеспечивает у обучающихся воспитание всех физических качеств и </w:t>
      </w:r>
      <w:r>
        <w:rPr>
          <w:rFonts w:ascii="Times New Roman" w:hAnsi="Times New Roman" w:eastAsia="Times New Roman"/>
          <w:bCs/>
          <w:lang w:eastAsia="zh-CN"/>
        </w:rPr>
        <w:t>развивает такие черты личности, как целеустремленность, настойчивость, самообладание, решительность, смелость, дисциплинированность, самостоятельность, приобретение эмоционального, психологического комфорта и залога безопасности жизни.</w:t>
      </w:r>
    </w:p>
    <w:bookmarkEnd w:id="268"/>
    <w:p w14:paraId="4E65CAF8">
      <w:pPr>
        <w:pBdr>
          <w:top w:val="none" w:color="000000" w:sz="0" w:space="0"/>
          <w:left w:val="none" w:color="000000" w:sz="0" w:space="0"/>
          <w:bottom w:val="none" w:color="000000" w:sz="0" w:space="0"/>
          <w:right w:val="none" w:color="000000" w:sz="0" w:space="0"/>
        </w:pBdr>
        <w:suppressAutoHyphens/>
        <w:spacing w:after="0" w:line="360" w:lineRule="auto"/>
        <w:ind w:firstLine="709"/>
        <w:jc w:val="both"/>
        <w:rPr>
          <w:rFonts w:ascii="Times New Roman" w:hAnsi="Times New Roman"/>
          <w:lang w:eastAsia="zh-CN"/>
        </w:rPr>
      </w:pPr>
      <w:r>
        <w:rPr>
          <w:rFonts w:ascii="Times New Roman" w:hAnsi="Times New Roman" w:eastAsia="Times New Roman"/>
          <w:bCs/>
          <w:lang w:eastAsia="zh-CN"/>
        </w:rPr>
        <w:t>16.4.</w:t>
      </w:r>
      <w:r>
        <w:rPr>
          <w:rFonts w:ascii="Times New Roman" w:hAnsi="Times New Roman"/>
          <w:lang w:eastAsia="zh-CN"/>
        </w:rPr>
        <w:t>1.2. Целью изучения модуля «Самбо» является обучение самбо как базовому жизненно необходимому навыку, формирование у обучающихся общечеловеческой культуры и социального самоопределения, устойчивой мотивации к сохранению и укреплению собственного здоровья, ведению здорового и безопасного образа жизни через занятия физической культурой и спортом с использованием средств самбо.</w:t>
      </w:r>
    </w:p>
    <w:p w14:paraId="6B2B1F04">
      <w:pPr>
        <w:pBdr>
          <w:top w:val="none" w:color="000000" w:sz="0" w:space="0"/>
          <w:left w:val="none" w:color="000000" w:sz="0" w:space="0"/>
          <w:bottom w:val="none" w:color="000000" w:sz="0" w:space="0"/>
          <w:right w:val="none" w:color="000000" w:sz="0" w:space="0"/>
        </w:pBdr>
        <w:suppressAutoHyphens/>
        <w:spacing w:after="0" w:line="360" w:lineRule="auto"/>
        <w:ind w:firstLine="709"/>
        <w:jc w:val="both"/>
        <w:rPr>
          <w:rFonts w:ascii="Times New Roman" w:hAnsi="Times New Roman"/>
          <w:lang w:eastAsia="zh-CN"/>
        </w:rPr>
      </w:pPr>
      <w:r>
        <w:rPr>
          <w:rFonts w:ascii="Times New Roman" w:hAnsi="Times New Roman" w:eastAsia="Times New Roman"/>
          <w:bCs/>
          <w:lang w:eastAsia="zh-CN"/>
        </w:rPr>
        <w:t>16.4.</w:t>
      </w:r>
      <w:r>
        <w:rPr>
          <w:rFonts w:ascii="Times New Roman" w:hAnsi="Times New Roman"/>
          <w:bCs/>
          <w:lang w:eastAsia="zh-CN"/>
        </w:rPr>
        <w:t>1.3. Задачами изучения модуля «Самбо» являются</w:t>
      </w:r>
      <w:r>
        <w:rPr>
          <w:rFonts w:ascii="Times New Roman" w:hAnsi="Times New Roman"/>
          <w:lang w:eastAsia="zh-CN"/>
        </w:rPr>
        <w:t>:</w:t>
      </w:r>
    </w:p>
    <w:p w14:paraId="003EBFB4">
      <w:pPr>
        <w:pBdr>
          <w:top w:val="none" w:color="000000" w:sz="0" w:space="0"/>
          <w:left w:val="none" w:color="000000" w:sz="0" w:space="0"/>
          <w:bottom w:val="none" w:color="000000" w:sz="0" w:space="0"/>
          <w:right w:val="none" w:color="000000" w:sz="0" w:space="0"/>
        </w:pBdr>
        <w:tabs>
          <w:tab w:val="left" w:pos="708"/>
        </w:tabs>
        <w:suppressAutoHyphens/>
        <w:spacing w:after="0" w:line="360" w:lineRule="auto"/>
        <w:ind w:firstLine="709"/>
        <w:jc w:val="both"/>
        <w:rPr>
          <w:rFonts w:ascii="Times New Roman" w:hAnsi="Times New Roman" w:eastAsia="Times New Roman"/>
          <w:bCs/>
          <w:lang w:eastAsia="zh-CN"/>
        </w:rPr>
      </w:pPr>
      <w:r>
        <w:rPr>
          <w:rFonts w:ascii="Times New Roman" w:hAnsi="Times New Roman" w:eastAsia="Times New Roman"/>
          <w:bCs/>
          <w:lang w:eastAsia="zh-CN"/>
        </w:rPr>
        <w:t>всестороннее гармоничное развитие обучающихся, увеличение объёма их двигательной активности;</w:t>
      </w:r>
    </w:p>
    <w:p w14:paraId="59CBC060">
      <w:pPr>
        <w:pBdr>
          <w:top w:val="none" w:color="000000" w:sz="0" w:space="0"/>
          <w:left w:val="none" w:color="000000" w:sz="0" w:space="0"/>
          <w:bottom w:val="none" w:color="000000" w:sz="0" w:space="0"/>
          <w:right w:val="none" w:color="000000" w:sz="0" w:space="0"/>
        </w:pBdr>
        <w:tabs>
          <w:tab w:val="left" w:pos="708"/>
        </w:tabs>
        <w:suppressAutoHyphens/>
        <w:spacing w:after="0" w:line="360" w:lineRule="auto"/>
        <w:ind w:firstLine="709"/>
        <w:jc w:val="both"/>
        <w:rPr>
          <w:rFonts w:ascii="Times New Roman" w:hAnsi="Times New Roman" w:eastAsia="Times New Roman"/>
          <w:bCs/>
          <w:lang w:eastAsia="zh-CN"/>
        </w:rPr>
      </w:pPr>
      <w:r>
        <w:rPr>
          <w:rFonts w:ascii="Times New Roman" w:hAnsi="Times New Roman" w:eastAsia="Times New Roman"/>
          <w:bCs/>
          <w:lang w:eastAsia="zh-CN"/>
        </w:rPr>
        <w:t xml:space="preserve">укрепление </w:t>
      </w:r>
      <w:r>
        <w:rPr>
          <w:rFonts w:ascii="Times New Roman" w:hAnsi="Times New Roman" w:eastAsia="@Arial Unicode MS"/>
          <w:bCs/>
          <w:lang w:eastAsia="zh-CN"/>
        </w:rPr>
        <w:t xml:space="preserve">физического, психологического и социального </w:t>
      </w:r>
      <w:r>
        <w:rPr>
          <w:rFonts w:ascii="Times New Roman" w:hAnsi="Times New Roman" w:eastAsia="Times New Roman"/>
          <w:bCs/>
          <w:lang w:eastAsia="zh-CN"/>
        </w:rPr>
        <w:t xml:space="preserve">здоровья обучающихся, развитие основных физических качеств и повышение функциональных возможностей их организма, </w:t>
      </w:r>
      <w:r>
        <w:rPr>
          <w:rFonts w:ascii="Times New Roman" w:hAnsi="Times New Roman" w:eastAsia="@Arial Unicode MS"/>
          <w:bCs/>
          <w:lang w:eastAsia="zh-CN"/>
        </w:rPr>
        <w:t xml:space="preserve">обеспечение культуры безопасного поведения </w:t>
      </w:r>
      <w:r>
        <w:rPr>
          <w:rFonts w:ascii="Times New Roman" w:hAnsi="Times New Roman" w:eastAsia="Times New Roman"/>
          <w:bCs/>
          <w:lang w:eastAsia="zh-CN"/>
        </w:rPr>
        <w:t>средствами самбо;</w:t>
      </w:r>
    </w:p>
    <w:p w14:paraId="413AF815">
      <w:pPr>
        <w:pBdr>
          <w:top w:val="none" w:color="000000" w:sz="0" w:space="0"/>
          <w:left w:val="none" w:color="000000" w:sz="0" w:space="0"/>
          <w:bottom w:val="none" w:color="000000" w:sz="0" w:space="0"/>
          <w:right w:val="none" w:color="000000" w:sz="0" w:space="0"/>
        </w:pBdr>
        <w:tabs>
          <w:tab w:val="left" w:pos="708"/>
        </w:tabs>
        <w:suppressAutoHyphens/>
        <w:spacing w:after="0" w:line="360" w:lineRule="auto"/>
        <w:ind w:firstLine="709"/>
        <w:jc w:val="both"/>
        <w:rPr>
          <w:rFonts w:ascii="Times New Roman" w:hAnsi="Times New Roman" w:eastAsia="Times New Roman"/>
          <w:bCs/>
          <w:lang w:eastAsia="zh-CN"/>
        </w:rPr>
      </w:pPr>
      <w:r>
        <w:rPr>
          <w:rFonts w:ascii="Times New Roman" w:hAnsi="Times New Roman" w:eastAsia="Times New Roman"/>
          <w:bCs/>
          <w:lang w:eastAsia="zh-CN"/>
        </w:rPr>
        <w:t>формирование жизненно важных</w:t>
      </w:r>
      <w:r>
        <w:rPr>
          <w:rFonts w:ascii="Times New Roman" w:hAnsi="Times New Roman" w:eastAsia="Times New Roman"/>
          <w:b/>
          <w:bCs/>
          <w:shd w:val="clear" w:color="auto" w:fill="FFFFFF"/>
          <w:lang w:eastAsia="zh-CN"/>
        </w:rPr>
        <w:t xml:space="preserve"> </w:t>
      </w:r>
      <w:r>
        <w:rPr>
          <w:rFonts w:ascii="Times New Roman" w:hAnsi="Times New Roman" w:eastAsia="Times New Roman"/>
          <w:shd w:val="clear" w:color="auto" w:fill="FFFFFF"/>
          <w:lang w:eastAsia="zh-CN"/>
        </w:rPr>
        <w:t>навыков</w:t>
      </w:r>
      <w:r>
        <w:rPr>
          <w:rFonts w:ascii="Times New Roman" w:hAnsi="Times New Roman" w:eastAsia="Times New Roman"/>
          <w:bCs/>
          <w:shd w:val="clear" w:color="auto" w:fill="FFFFFF"/>
          <w:lang w:eastAsia="zh-CN"/>
        </w:rPr>
        <w:t xml:space="preserve"> самостраховки и самозащиты</w:t>
      </w:r>
      <w:r>
        <w:rPr>
          <w:rFonts w:ascii="Times New Roman" w:hAnsi="Times New Roman" w:eastAsia="Times New Roman"/>
          <w:bCs/>
          <w:lang w:eastAsia="zh-CN"/>
        </w:rPr>
        <w:t xml:space="preserve"> и умения применять их в различных жизненных ситуациях;</w:t>
      </w:r>
    </w:p>
    <w:p w14:paraId="69645B32">
      <w:pPr>
        <w:pBdr>
          <w:top w:val="none" w:color="000000" w:sz="0" w:space="0"/>
          <w:left w:val="none" w:color="000000" w:sz="0" w:space="0"/>
          <w:bottom w:val="none" w:color="000000" w:sz="0" w:space="0"/>
          <w:right w:val="none" w:color="000000" w:sz="0" w:space="0"/>
        </w:pBdr>
        <w:tabs>
          <w:tab w:val="left" w:pos="708"/>
        </w:tabs>
        <w:suppressAutoHyphens/>
        <w:spacing w:after="0" w:line="360" w:lineRule="auto"/>
        <w:ind w:firstLine="709"/>
        <w:jc w:val="both"/>
        <w:rPr>
          <w:rFonts w:ascii="Times New Roman" w:hAnsi="Times New Roman" w:eastAsia="Times New Roman"/>
          <w:bCs/>
          <w:lang w:eastAsia="zh-CN"/>
        </w:rPr>
      </w:pPr>
      <w:r>
        <w:rPr>
          <w:rFonts w:ascii="Times New Roman" w:hAnsi="Times New Roman" w:eastAsia="Times New Roman"/>
          <w:bCs/>
          <w:lang w:eastAsia="zh-CN"/>
        </w:rPr>
        <w:t>формирование общих представлений о самбо, его возможностях и значении в процессе укрепления здоровья, физическом развитии и физической подготовке обучающихся;</w:t>
      </w:r>
    </w:p>
    <w:p w14:paraId="67EE04AF">
      <w:pPr>
        <w:pBdr>
          <w:top w:val="none" w:color="000000" w:sz="0" w:space="0"/>
          <w:left w:val="none" w:color="000000" w:sz="0" w:space="0"/>
          <w:bottom w:val="none" w:color="000000" w:sz="0" w:space="0"/>
          <w:right w:val="none" w:color="000000" w:sz="0" w:space="0"/>
        </w:pBdr>
        <w:tabs>
          <w:tab w:val="left" w:pos="708"/>
        </w:tabs>
        <w:suppressAutoHyphens/>
        <w:spacing w:after="0" w:line="360" w:lineRule="auto"/>
        <w:ind w:firstLine="709"/>
        <w:jc w:val="both"/>
        <w:rPr>
          <w:rFonts w:ascii="Times New Roman" w:hAnsi="Times New Roman" w:eastAsia="Times New Roman"/>
          <w:bCs/>
          <w:lang w:eastAsia="zh-CN"/>
        </w:rPr>
      </w:pPr>
      <w:r>
        <w:rPr>
          <w:rFonts w:ascii="Times New Roman" w:hAnsi="Times New Roman" w:eastAsia="Times New Roman"/>
          <w:bCs/>
          <w:lang w:eastAsia="zh-CN"/>
        </w:rPr>
        <w:t>обучение основам техники самбо, безопасному поведению на занятиях в спортивном зале, на открытых плоскостных сооружениях, в бытовых условиях и в критических ситуациях;</w:t>
      </w:r>
    </w:p>
    <w:p w14:paraId="440D680E">
      <w:pPr>
        <w:pBdr>
          <w:top w:val="none" w:color="000000" w:sz="0" w:space="0"/>
          <w:left w:val="none" w:color="000000" w:sz="0" w:space="0"/>
          <w:bottom w:val="none" w:color="000000" w:sz="0" w:space="0"/>
          <w:right w:val="none" w:color="000000" w:sz="0" w:space="0"/>
        </w:pBdr>
        <w:tabs>
          <w:tab w:val="left" w:pos="708"/>
        </w:tabs>
        <w:suppressAutoHyphens/>
        <w:spacing w:after="0" w:line="360" w:lineRule="auto"/>
        <w:ind w:firstLine="709"/>
        <w:jc w:val="both"/>
        <w:rPr>
          <w:rFonts w:ascii="Times New Roman" w:hAnsi="Times New Roman" w:eastAsia="Times New Roman"/>
          <w:bCs/>
          <w:lang w:eastAsia="zh-CN"/>
        </w:rPr>
      </w:pPr>
      <w:r>
        <w:rPr>
          <w:rFonts w:ascii="Times New Roman" w:hAnsi="Times New Roman" w:eastAsia="Times New Roman"/>
          <w:bCs/>
          <w:lang w:eastAsia="zh-CN"/>
        </w:rPr>
        <w:t>формирование культуры движений, обогащение двигательного опыта средствами самбо с общеразвивающей и корригирующей направленностью;</w:t>
      </w:r>
    </w:p>
    <w:p w14:paraId="5FDEAF09">
      <w:pPr>
        <w:pBdr>
          <w:top w:val="none" w:color="000000" w:sz="0" w:space="0"/>
          <w:left w:val="none" w:color="000000" w:sz="0" w:space="0"/>
          <w:bottom w:val="none" w:color="000000" w:sz="0" w:space="0"/>
          <w:right w:val="none" w:color="000000" w:sz="0" w:space="0"/>
        </w:pBdr>
        <w:tabs>
          <w:tab w:val="left" w:pos="708"/>
        </w:tabs>
        <w:suppressAutoHyphens/>
        <w:spacing w:after="0" w:line="360" w:lineRule="auto"/>
        <w:ind w:firstLine="709"/>
        <w:jc w:val="both"/>
        <w:rPr>
          <w:rFonts w:ascii="Times New Roman" w:hAnsi="Times New Roman" w:eastAsia="Times New Roman"/>
          <w:bCs/>
          <w:lang w:eastAsia="zh-CN"/>
        </w:rPr>
      </w:pPr>
      <w:r>
        <w:rPr>
          <w:rFonts w:ascii="Times New Roman" w:hAnsi="Times New Roman" w:eastAsia="Times New Roman"/>
          <w:bCs/>
          <w:lang w:eastAsia="zh-CN"/>
        </w:rPr>
        <w:t>воспитание общей культуры развития личности обучающегося средствами самбо, в том числе, для самореализации и самоопределения;</w:t>
      </w:r>
    </w:p>
    <w:p w14:paraId="3F19BE0D">
      <w:pPr>
        <w:pBdr>
          <w:top w:val="none" w:color="000000" w:sz="0" w:space="0"/>
          <w:left w:val="none" w:color="000000" w:sz="0" w:space="0"/>
          <w:bottom w:val="none" w:color="000000" w:sz="0" w:space="0"/>
          <w:right w:val="none" w:color="000000" w:sz="0" w:space="0"/>
        </w:pBdr>
        <w:tabs>
          <w:tab w:val="left" w:pos="708"/>
        </w:tabs>
        <w:suppressAutoHyphens/>
        <w:spacing w:after="0" w:line="360" w:lineRule="auto"/>
        <w:ind w:firstLine="709"/>
        <w:jc w:val="both"/>
        <w:rPr>
          <w:rFonts w:ascii="Times New Roman" w:hAnsi="Times New Roman" w:eastAsia="Times New Roman"/>
          <w:bCs/>
          <w:lang w:eastAsia="zh-CN"/>
        </w:rPr>
      </w:pPr>
      <w:r>
        <w:rPr>
          <w:rFonts w:ascii="Times New Roman" w:hAnsi="Times New Roman" w:eastAsia="Times New Roman"/>
          <w:bCs/>
          <w:lang w:eastAsia="zh-CN"/>
        </w:rPr>
        <w:t xml:space="preserve">развитие положительной мотивации и устойчивого учебно- познавательного интереса к предмету «Физическая культура»; </w:t>
      </w:r>
    </w:p>
    <w:p w14:paraId="3D358E45">
      <w:pPr>
        <w:pBdr>
          <w:top w:val="none" w:color="000000" w:sz="0" w:space="0"/>
          <w:left w:val="none" w:color="000000" w:sz="0" w:space="0"/>
          <w:bottom w:val="none" w:color="000000" w:sz="0" w:space="0"/>
          <w:right w:val="none" w:color="000000" w:sz="0" w:space="0"/>
        </w:pBdr>
        <w:tabs>
          <w:tab w:val="left" w:pos="708"/>
        </w:tabs>
        <w:suppressAutoHyphens/>
        <w:spacing w:after="0" w:line="360" w:lineRule="auto"/>
        <w:ind w:firstLine="709"/>
        <w:jc w:val="both"/>
        <w:rPr>
          <w:rFonts w:ascii="Times New Roman" w:hAnsi="Times New Roman" w:eastAsia="Times New Roman"/>
          <w:bCs/>
          <w:lang w:eastAsia="zh-CN"/>
        </w:rPr>
      </w:pPr>
      <w:r>
        <w:rPr>
          <w:rFonts w:ascii="Times New Roman" w:hAnsi="Times New Roman" w:eastAsia="Times New Roman"/>
          <w:bCs/>
          <w:lang w:eastAsia="zh-CN"/>
        </w:rPr>
        <w:t>удовлетворение индивидуальных потребностей обучающихся в занятиях физической культурой и спортом средствами самбо;</w:t>
      </w:r>
    </w:p>
    <w:p w14:paraId="6B503D96">
      <w:pPr>
        <w:pBdr>
          <w:top w:val="none" w:color="000000" w:sz="0" w:space="0"/>
          <w:left w:val="none" w:color="000000" w:sz="0" w:space="0"/>
          <w:bottom w:val="none" w:color="000000" w:sz="0" w:space="0"/>
          <w:right w:val="none" w:color="000000" w:sz="0" w:space="0"/>
        </w:pBdr>
        <w:tabs>
          <w:tab w:val="left" w:pos="708"/>
        </w:tabs>
        <w:suppressAutoHyphens/>
        <w:spacing w:after="0" w:line="360" w:lineRule="auto"/>
        <w:ind w:firstLine="709"/>
        <w:jc w:val="both"/>
        <w:rPr>
          <w:rFonts w:ascii="Times New Roman" w:hAnsi="Times New Roman" w:eastAsia="Times New Roman"/>
          <w:bCs/>
          <w:lang w:eastAsia="zh-CN"/>
        </w:rPr>
      </w:pPr>
      <w:r>
        <w:rPr>
          <w:rFonts w:ascii="Times New Roman" w:hAnsi="Times New Roman" w:eastAsia="Times New Roman"/>
          <w:bCs/>
          <w:lang w:eastAsia="zh-CN"/>
        </w:rPr>
        <w:t>популяризация самбо, как вид спорта и системы Самозащиты в общеобразовательных организациях, привлечение обучающихся, проявляющих повышенный интерес и способности к занятиям самбо в школьные спортивные клубы, секции, к участию в соревнованиях;</w:t>
      </w:r>
    </w:p>
    <w:p w14:paraId="76A1EB28">
      <w:pPr>
        <w:pBdr>
          <w:top w:val="none" w:color="000000" w:sz="0" w:space="0"/>
          <w:left w:val="none" w:color="000000" w:sz="0" w:space="0"/>
          <w:bottom w:val="none" w:color="000000" w:sz="0" w:space="0"/>
          <w:right w:val="none" w:color="000000" w:sz="0" w:space="0"/>
        </w:pBdr>
        <w:tabs>
          <w:tab w:val="left" w:pos="708"/>
        </w:tabs>
        <w:suppressAutoHyphens/>
        <w:spacing w:after="0" w:line="360" w:lineRule="auto"/>
        <w:ind w:firstLine="709"/>
        <w:jc w:val="both"/>
        <w:rPr>
          <w:rFonts w:ascii="Times New Roman" w:hAnsi="Times New Roman" w:eastAsia="Times New Roman"/>
          <w:bCs/>
          <w:lang w:eastAsia="zh-CN"/>
        </w:rPr>
      </w:pPr>
      <w:r>
        <w:rPr>
          <w:rFonts w:ascii="Times New Roman" w:hAnsi="Times New Roman" w:eastAsia="Times New Roman"/>
          <w:bCs/>
          <w:lang w:eastAsia="zh-CN"/>
        </w:rPr>
        <w:t>выявление, развитие и поддержка одарённых детей в области спорта, в частности самбо.</w:t>
      </w:r>
    </w:p>
    <w:p w14:paraId="70C7E42C">
      <w:pPr>
        <w:pBdr>
          <w:top w:val="none" w:color="000000" w:sz="0" w:space="0"/>
          <w:left w:val="none" w:color="000000" w:sz="0" w:space="0"/>
          <w:bottom w:val="none" w:color="000000" w:sz="0" w:space="0"/>
          <w:right w:val="none" w:color="000000" w:sz="0" w:space="0"/>
        </w:pBdr>
        <w:tabs>
          <w:tab w:val="left" w:pos="708"/>
        </w:tabs>
        <w:suppressAutoHyphens/>
        <w:spacing w:after="0" w:line="360" w:lineRule="auto"/>
        <w:ind w:firstLine="709"/>
        <w:jc w:val="both"/>
        <w:rPr>
          <w:rFonts w:ascii="Times New Roman" w:hAnsi="Times New Roman" w:eastAsia="Times New Roman"/>
          <w:bCs/>
          <w:lang w:eastAsia="zh-CN"/>
        </w:rPr>
      </w:pPr>
      <w:r>
        <w:rPr>
          <w:rFonts w:ascii="Times New Roman" w:hAnsi="Times New Roman" w:eastAsia="Times New Roman"/>
          <w:bCs/>
          <w:lang w:eastAsia="zh-CN"/>
        </w:rPr>
        <w:t>16.4.1.4. Место и роль модуля «Самбо».</w:t>
      </w:r>
    </w:p>
    <w:p w14:paraId="005E203A">
      <w:pPr>
        <w:pBdr>
          <w:top w:val="none" w:color="000000" w:sz="0" w:space="0"/>
          <w:left w:val="none" w:color="000000" w:sz="0" w:space="0"/>
          <w:bottom w:val="none" w:color="000000" w:sz="0" w:space="0"/>
          <w:right w:val="none" w:color="000000" w:sz="0" w:space="0"/>
        </w:pBdr>
        <w:suppressAutoHyphens/>
        <w:autoSpaceDE w:val="0"/>
        <w:spacing w:after="0" w:line="360" w:lineRule="auto"/>
        <w:ind w:firstLine="709"/>
        <w:jc w:val="both"/>
        <w:rPr>
          <w:rFonts w:ascii="Times New Roman" w:hAnsi="Times New Roman"/>
          <w:iCs/>
          <w:u w:color="000000"/>
          <w:lang w:eastAsia="ru-RU"/>
        </w:rPr>
      </w:pPr>
      <w:r>
        <w:rPr>
          <w:rFonts w:ascii="Times New Roman" w:hAnsi="Times New Roman"/>
          <w:iCs/>
          <w:lang w:eastAsia="zh-CN"/>
        </w:rPr>
        <w:t xml:space="preserve">Модуль «Самбо» </w:t>
      </w:r>
      <w:r>
        <w:rPr>
          <w:rFonts w:ascii="Times New Roman" w:hAnsi="Times New Roman"/>
          <w:lang w:eastAsia="zh-CN"/>
        </w:rPr>
        <w:t>доступен для освоения всем обучающимся, независимо от уровня их физического развития и пола и расширяет спектр физкультурно-спортивных направлений в общеобразовательных организациях.</w:t>
      </w:r>
      <w:r>
        <w:rPr>
          <w:rFonts w:ascii="Times New Roman" w:hAnsi="Times New Roman"/>
          <w:iCs/>
          <w:u w:color="000000"/>
          <w:lang w:eastAsia="ru-RU"/>
        </w:rPr>
        <w:t xml:space="preserve"> </w:t>
      </w:r>
    </w:p>
    <w:p w14:paraId="6708D39C">
      <w:pPr>
        <w:spacing w:after="0" w:line="360" w:lineRule="auto"/>
        <w:ind w:firstLine="709"/>
        <w:jc w:val="both"/>
        <w:rPr>
          <w:rFonts w:ascii="Times New Roman" w:hAnsi="Times New Roman"/>
          <w:u w:color="000000"/>
        </w:rPr>
      </w:pPr>
      <w:bookmarkStart w:id="269" w:name="_Hlk125619257"/>
      <w:r>
        <w:rPr>
          <w:rFonts w:ascii="Times New Roman" w:hAnsi="Times New Roman"/>
          <w:u w:color="000000"/>
        </w:rPr>
        <w:t xml:space="preserve">Специфика модуля по самбо сочетается практически со всеми базовыми видами спорта (легкая атлетика, гимнастика, спортивные игры) и </w:t>
      </w:r>
      <w:r>
        <w:rPr>
          <w:rFonts w:ascii="Times New Roman" w:hAnsi="Times New Roman"/>
          <w:iCs/>
          <w:lang w:eastAsia="zh-CN"/>
        </w:rPr>
        <w:t>разделами «Знания о физической культуре», «Способы самостоятельной деятельности», «Физическое совершенствование».</w:t>
      </w:r>
    </w:p>
    <w:bookmarkEnd w:id="269"/>
    <w:p w14:paraId="51395CE4">
      <w:pPr>
        <w:pBdr>
          <w:top w:val="none" w:color="000000" w:sz="0" w:space="0"/>
          <w:left w:val="none" w:color="000000" w:sz="0" w:space="0"/>
          <w:bottom w:val="none" w:color="000000" w:sz="0" w:space="0"/>
          <w:right w:val="none" w:color="000000" w:sz="0" w:space="0"/>
        </w:pBdr>
        <w:suppressAutoHyphens/>
        <w:autoSpaceDE w:val="0"/>
        <w:spacing w:after="0" w:line="360" w:lineRule="auto"/>
        <w:ind w:firstLine="709"/>
        <w:jc w:val="both"/>
        <w:rPr>
          <w:rFonts w:ascii="Times New Roman" w:hAnsi="Times New Roman"/>
          <w:bCs/>
          <w:iCs/>
          <w:lang w:eastAsia="ru-RU"/>
        </w:rPr>
      </w:pPr>
      <w:r>
        <w:rPr>
          <w:rFonts w:ascii="Times New Roman" w:hAnsi="Times New Roman"/>
          <w:iCs/>
          <w:u w:color="000000"/>
          <w:lang w:eastAsia="ru-RU"/>
        </w:rPr>
        <w:t xml:space="preserve">Интеграция модуля по самбо поможет обучающимся в освоении образовательных </w:t>
      </w:r>
      <w:r>
        <w:rPr>
          <w:rFonts w:ascii="Times New Roman" w:hAnsi="Times New Roman"/>
          <w:lang w:eastAsia="ru-RU"/>
        </w:rPr>
        <w:t xml:space="preserve">программ в рамках внеурочной деятельности, </w:t>
      </w:r>
      <w:r>
        <w:rPr>
          <w:rFonts w:ascii="Times New Roman" w:hAnsi="Times New Roman"/>
          <w:lang w:eastAsia="zh-CN"/>
        </w:rPr>
        <w:t xml:space="preserve">дополнительного образования, </w:t>
      </w:r>
      <w:r>
        <w:rPr>
          <w:rFonts w:ascii="Times New Roman" w:hAnsi="Times New Roman"/>
          <w:lang w:eastAsia="ru-RU"/>
        </w:rPr>
        <w:t xml:space="preserve">деятельности школьных спортивных клубов, </w:t>
      </w:r>
      <w:r>
        <w:rPr>
          <w:rFonts w:ascii="Times New Roman" w:hAnsi="Times New Roman"/>
          <w:bCs/>
          <w:iCs/>
          <w:lang w:eastAsia="ru-RU"/>
        </w:rPr>
        <w:t xml:space="preserve">подготовке </w:t>
      </w:r>
      <w:r>
        <w:rPr>
          <w:rFonts w:ascii="Times New Roman" w:hAnsi="Times New Roman"/>
          <w:lang w:eastAsia="zh-CN"/>
        </w:rPr>
        <w:t xml:space="preserve">обучающихся к сдаче норм ГТО </w:t>
      </w:r>
      <w:r>
        <w:rPr>
          <w:rFonts w:ascii="Times New Roman" w:hAnsi="Times New Roman"/>
          <w:bCs/>
          <w:iCs/>
          <w:lang w:eastAsia="ru-RU"/>
        </w:rPr>
        <w:t>и участии в спортивных соревнованиях.</w:t>
      </w:r>
    </w:p>
    <w:p w14:paraId="28183F42">
      <w:pPr>
        <w:pBdr>
          <w:top w:val="none" w:color="000000" w:sz="0" w:space="0"/>
          <w:left w:val="none" w:color="000000" w:sz="0" w:space="0"/>
          <w:bottom w:val="none" w:color="000000" w:sz="0" w:space="0"/>
          <w:right w:val="none" w:color="000000" w:sz="0" w:space="0"/>
        </w:pBdr>
        <w:suppressAutoHyphens/>
        <w:spacing w:after="0" w:line="360" w:lineRule="auto"/>
        <w:ind w:firstLine="709"/>
        <w:jc w:val="both"/>
        <w:rPr>
          <w:rFonts w:ascii="Times New Roman" w:hAnsi="Times New Roman"/>
          <w:lang w:eastAsia="zh-CN"/>
        </w:rPr>
      </w:pPr>
      <w:r>
        <w:rPr>
          <w:rFonts w:ascii="Times New Roman" w:hAnsi="Times New Roman" w:eastAsia="Times New Roman"/>
          <w:bCs/>
          <w:lang w:eastAsia="zh-CN"/>
        </w:rPr>
        <w:t>16.4.</w:t>
      </w:r>
      <w:r>
        <w:rPr>
          <w:rFonts w:ascii="Times New Roman" w:hAnsi="Times New Roman"/>
          <w:lang w:eastAsia="zh-CN"/>
        </w:rPr>
        <w:t>1.5. Модуль «Самбо» может быть реализован в следующих вариантах:</w:t>
      </w:r>
    </w:p>
    <w:p w14:paraId="6FDA7D27">
      <w:pPr>
        <w:pBdr>
          <w:top w:val="none" w:color="000000" w:sz="0" w:space="0"/>
          <w:left w:val="none" w:color="000000" w:sz="0" w:space="0"/>
          <w:bottom w:val="none" w:color="000000" w:sz="0" w:space="0"/>
          <w:right w:val="none" w:color="000000" w:sz="0" w:space="0"/>
        </w:pBdr>
        <w:suppressAutoHyphens/>
        <w:spacing w:after="0" w:line="360" w:lineRule="auto"/>
        <w:ind w:firstLine="709"/>
        <w:jc w:val="both"/>
        <w:rPr>
          <w:rFonts w:ascii="Times New Roman" w:hAnsi="Times New Roman"/>
          <w:lang w:eastAsia="zh-CN"/>
        </w:rPr>
      </w:pPr>
      <w:r>
        <w:rPr>
          <w:rFonts w:ascii="Times New Roman" w:hAnsi="Times New Roman"/>
          <w:lang w:eastAsia="zh-CN"/>
        </w:rPr>
        <w:t>при самостоятельном планировании учителем физической культуры процесса освоения обучающимися учебного материала по самбо с выбором различных технических элементов самбо, с учётом возраста и физической подготовленности обучающихся (с соответствующей дозировкой и интенсивностью);</w:t>
      </w:r>
    </w:p>
    <w:p w14:paraId="552287F1">
      <w:pPr>
        <w:pBdr>
          <w:top w:val="none" w:color="000000" w:sz="0" w:space="0"/>
          <w:left w:val="none" w:color="000000" w:sz="0" w:space="0"/>
          <w:bottom w:val="none" w:color="000000" w:sz="0" w:space="0"/>
          <w:right w:val="none" w:color="000000" w:sz="0" w:space="0"/>
        </w:pBdr>
        <w:suppressAutoHyphens/>
        <w:spacing w:after="0" w:line="360" w:lineRule="auto"/>
        <w:ind w:firstLine="709"/>
        <w:jc w:val="both"/>
        <w:rPr>
          <w:rFonts w:ascii="Times New Roman" w:hAnsi="Times New Roman"/>
          <w:lang w:eastAsia="zh-CN"/>
        </w:rPr>
      </w:pPr>
      <w:r>
        <w:rPr>
          <w:rFonts w:ascii="Times New Roman" w:hAnsi="Times New Roman"/>
          <w:lang w:eastAsia="zh-CN"/>
        </w:rPr>
        <w:t xml:space="preserve">в виде целостного последовательного учебного модуля, изучаемого за счёт части учебного плана, формируемой участниками образовательных отношений из перечня, предлагаемого образовательной организацией, включающей, в частности, учебные модули по выбору обучающихся, родителей (законных представителей) несовершеннолетних обучающихся, в том числе предусматривающие удовлетворение различных интересов обучающихся (рекомендуемый объём </w:t>
      </w:r>
      <w:r>
        <w:rPr>
          <w:rFonts w:ascii="Times New Roman" w:hAnsi="Times New Roman"/>
          <w:bCs/>
          <w:u w:color="000000"/>
          <w:lang w:eastAsia="zh-CN"/>
        </w:rPr>
        <w:t xml:space="preserve">в </w:t>
      </w:r>
      <w:bookmarkStart w:id="270" w:name="_Hlk125549614"/>
      <w:r>
        <w:rPr>
          <w:rFonts w:ascii="Times New Roman" w:hAnsi="Times New Roman"/>
          <w:bCs/>
          <w:u w:color="000000"/>
          <w:lang w:eastAsia="zh-CN"/>
        </w:rPr>
        <w:t>1 классе – 33 часа, во 2, 3, 4 классах – по 34 часа)</w:t>
      </w:r>
      <w:bookmarkEnd w:id="270"/>
      <w:r>
        <w:rPr>
          <w:rFonts w:ascii="Times New Roman" w:hAnsi="Times New Roman"/>
          <w:lang w:eastAsia="zh-CN"/>
        </w:rPr>
        <w:t>;</w:t>
      </w:r>
    </w:p>
    <w:p w14:paraId="42F3ADDD">
      <w:pPr>
        <w:pBdr>
          <w:top w:val="none" w:color="000000" w:sz="0" w:space="0"/>
          <w:left w:val="none" w:color="000000" w:sz="0" w:space="0"/>
          <w:bottom w:val="none" w:color="000000" w:sz="0" w:space="0"/>
          <w:right w:val="none" w:color="000000" w:sz="0" w:space="0"/>
        </w:pBdr>
        <w:suppressAutoHyphens/>
        <w:spacing w:after="0" w:line="360" w:lineRule="auto"/>
        <w:ind w:firstLine="709"/>
        <w:jc w:val="both"/>
        <w:rPr>
          <w:rFonts w:ascii="Times New Roman" w:hAnsi="Times New Roman"/>
          <w:lang w:eastAsia="zh-CN"/>
        </w:rPr>
      </w:pPr>
      <w:r>
        <w:rPr>
          <w:rFonts w:ascii="Times New Roman" w:hAnsi="Times New Roman"/>
          <w:lang w:eastAsia="zh-CN"/>
        </w:rPr>
        <w:t xml:space="preserve">в виде дополнительных часов, выделяемых на спортивно-оздоровительную работу с обучающимися в рамках внеурочной деятельности и (или) за счет посещения обучающимися спортивных секций, школьных спортивных клубов, </w:t>
      </w:r>
      <w:r>
        <w:rPr>
          <w:rFonts w:ascii="Times New Roman" w:hAnsi="Times New Roman"/>
        </w:rPr>
        <w:t>включая использование учебных модулей по видам спорта</w:t>
      </w:r>
      <w:r>
        <w:rPr>
          <w:rFonts w:ascii="Times New Roman" w:hAnsi="Times New Roman"/>
          <w:lang w:eastAsia="zh-CN"/>
        </w:rPr>
        <w:t xml:space="preserve"> (рекомендуемый объём в </w:t>
      </w:r>
      <w:r>
        <w:rPr>
          <w:rFonts w:ascii="Times New Roman" w:hAnsi="Times New Roman"/>
          <w:bCs/>
          <w:u w:color="000000"/>
          <w:lang w:eastAsia="zh-CN"/>
        </w:rPr>
        <w:t>1 классе – 33 часа, во 2, 3, 4 классах – по 34 часа</w:t>
      </w:r>
      <w:r>
        <w:rPr>
          <w:rFonts w:ascii="Times New Roman" w:hAnsi="Times New Roman"/>
          <w:lang w:eastAsia="zh-CN"/>
        </w:rPr>
        <w:t>).</w:t>
      </w:r>
    </w:p>
    <w:p w14:paraId="5EFE75BF">
      <w:pPr>
        <w:pBdr>
          <w:top w:val="none" w:color="000000" w:sz="0" w:space="0"/>
          <w:left w:val="none" w:color="000000" w:sz="0" w:space="0"/>
          <w:bottom w:val="none" w:color="000000" w:sz="0" w:space="0"/>
          <w:right w:val="none" w:color="000000" w:sz="0" w:space="0"/>
        </w:pBdr>
        <w:suppressAutoHyphens/>
        <w:spacing w:after="0" w:line="360" w:lineRule="auto"/>
        <w:ind w:firstLine="709"/>
        <w:jc w:val="both"/>
        <w:rPr>
          <w:rFonts w:ascii="Times New Roman" w:hAnsi="Times New Roman"/>
          <w:iCs/>
          <w:lang w:eastAsia="zh-CN"/>
        </w:rPr>
      </w:pPr>
      <w:bookmarkStart w:id="271" w:name="_Hlk125020853"/>
      <w:r>
        <w:rPr>
          <w:rFonts w:ascii="Times New Roman" w:hAnsi="Times New Roman" w:eastAsia="Times New Roman"/>
          <w:bCs/>
          <w:lang w:eastAsia="zh-CN"/>
        </w:rPr>
        <w:t>168.4.</w:t>
      </w:r>
      <w:r>
        <w:rPr>
          <w:rFonts w:ascii="Times New Roman" w:hAnsi="Times New Roman"/>
          <w:iCs/>
          <w:lang w:eastAsia="zh-CN"/>
        </w:rPr>
        <w:t>1.</w:t>
      </w:r>
      <w:bookmarkEnd w:id="271"/>
      <w:r>
        <w:rPr>
          <w:rFonts w:ascii="Times New Roman" w:hAnsi="Times New Roman"/>
          <w:iCs/>
          <w:lang w:eastAsia="zh-CN"/>
        </w:rPr>
        <w:t>6. Содержание модуля «Самбо».</w:t>
      </w:r>
    </w:p>
    <w:p w14:paraId="51216CF8">
      <w:pPr>
        <w:pBdr>
          <w:top w:val="none" w:color="000000" w:sz="0" w:space="0"/>
          <w:left w:val="none" w:color="000000" w:sz="0" w:space="0"/>
          <w:bottom w:val="none" w:color="000000" w:sz="0" w:space="0"/>
          <w:right w:val="none" w:color="000000" w:sz="0" w:space="0"/>
        </w:pBdr>
        <w:suppressAutoHyphens/>
        <w:spacing w:after="0" w:line="360" w:lineRule="auto"/>
        <w:ind w:firstLine="709"/>
        <w:jc w:val="both"/>
        <w:rPr>
          <w:rFonts w:ascii="Times New Roman" w:hAnsi="Times New Roman"/>
          <w:iCs/>
          <w:lang w:eastAsia="zh-CN"/>
        </w:rPr>
      </w:pPr>
      <w:r>
        <w:rPr>
          <w:rFonts w:ascii="Times New Roman" w:hAnsi="Times New Roman"/>
          <w:iCs/>
          <w:lang w:eastAsia="zh-CN"/>
        </w:rPr>
        <w:t>Знания о самбо.</w:t>
      </w:r>
    </w:p>
    <w:p w14:paraId="788EC25A">
      <w:pPr>
        <w:pBdr>
          <w:top w:val="none" w:color="000000" w:sz="0" w:space="0"/>
          <w:left w:val="none" w:color="000000" w:sz="0" w:space="0"/>
          <w:bottom w:val="none" w:color="000000" w:sz="0" w:space="0"/>
          <w:right w:val="none" w:color="000000" w:sz="0" w:space="0"/>
        </w:pBdr>
        <w:suppressAutoHyphens/>
        <w:spacing w:after="0" w:line="360" w:lineRule="auto"/>
        <w:ind w:firstLine="709"/>
        <w:jc w:val="both"/>
        <w:rPr>
          <w:rFonts w:ascii="Times New Roman" w:hAnsi="Times New Roman"/>
          <w:lang w:eastAsia="zh-CN"/>
        </w:rPr>
      </w:pPr>
      <w:r>
        <w:rPr>
          <w:rFonts w:ascii="Times New Roman" w:hAnsi="Times New Roman"/>
          <w:iCs/>
          <w:lang w:eastAsia="zh-CN"/>
        </w:rPr>
        <w:t>История зарождения самбо в СССР.</w:t>
      </w:r>
    </w:p>
    <w:p w14:paraId="3BC5187A">
      <w:pPr>
        <w:pBdr>
          <w:top w:val="none" w:color="000000" w:sz="0" w:space="0"/>
          <w:left w:val="none" w:color="000000" w:sz="0" w:space="0"/>
          <w:bottom w:val="none" w:color="000000" w:sz="0" w:space="0"/>
          <w:right w:val="none" w:color="000000" w:sz="0" w:space="0"/>
        </w:pBdr>
        <w:suppressAutoHyphens/>
        <w:spacing w:after="0" w:line="360" w:lineRule="auto"/>
        <w:ind w:firstLine="709"/>
        <w:jc w:val="both"/>
        <w:rPr>
          <w:rFonts w:ascii="Times New Roman" w:hAnsi="Times New Roman"/>
          <w:iCs/>
          <w:lang w:eastAsia="zh-CN"/>
        </w:rPr>
      </w:pPr>
      <w:r>
        <w:rPr>
          <w:rFonts w:ascii="Times New Roman" w:hAnsi="Times New Roman"/>
          <w:iCs/>
          <w:lang w:eastAsia="zh-CN"/>
        </w:rPr>
        <w:t>Основоположники самбо и их роль в зарождении самбо.</w:t>
      </w:r>
    </w:p>
    <w:p w14:paraId="4892C8C8">
      <w:pPr>
        <w:pBdr>
          <w:top w:val="none" w:color="000000" w:sz="0" w:space="0"/>
          <w:left w:val="none" w:color="000000" w:sz="0" w:space="0"/>
          <w:bottom w:val="none" w:color="000000" w:sz="0" w:space="0"/>
          <w:right w:val="none" w:color="000000" w:sz="0" w:space="0"/>
        </w:pBdr>
        <w:suppressAutoHyphens/>
        <w:spacing w:after="0" w:line="360" w:lineRule="auto"/>
        <w:ind w:firstLine="709"/>
        <w:jc w:val="both"/>
        <w:rPr>
          <w:rFonts w:ascii="Times New Roman" w:hAnsi="Times New Roman"/>
          <w:lang w:eastAsia="zh-CN"/>
        </w:rPr>
      </w:pPr>
      <w:r>
        <w:rPr>
          <w:rFonts w:ascii="Times New Roman" w:hAnsi="Times New Roman"/>
          <w:iCs/>
          <w:lang w:eastAsia="zh-CN"/>
        </w:rPr>
        <w:t>Самбисты – Герои Великой Отечественной войны 1941</w:t>
      </w:r>
      <w:r>
        <w:rPr>
          <w:rFonts w:ascii="Times New Roman" w:hAnsi="Times New Roman"/>
          <w:lang w:eastAsia="zh-CN"/>
        </w:rPr>
        <w:t>–</w:t>
      </w:r>
      <w:r>
        <w:rPr>
          <w:rFonts w:ascii="Times New Roman" w:hAnsi="Times New Roman"/>
          <w:iCs/>
          <w:lang w:eastAsia="zh-CN"/>
        </w:rPr>
        <w:t>1945 годов.</w:t>
      </w:r>
    </w:p>
    <w:p w14:paraId="2EF4D86E">
      <w:pPr>
        <w:pBdr>
          <w:top w:val="none" w:color="000000" w:sz="0" w:space="0"/>
          <w:left w:val="none" w:color="000000" w:sz="0" w:space="0"/>
          <w:bottom w:val="none" w:color="000000" w:sz="0" w:space="0"/>
          <w:right w:val="none" w:color="000000" w:sz="0" w:space="0"/>
        </w:pBdr>
        <w:suppressAutoHyphens/>
        <w:spacing w:after="0" w:line="360" w:lineRule="auto"/>
        <w:ind w:firstLine="709"/>
        <w:jc w:val="both"/>
        <w:rPr>
          <w:rFonts w:ascii="Times New Roman" w:hAnsi="Times New Roman"/>
          <w:lang w:eastAsia="zh-CN"/>
        </w:rPr>
      </w:pPr>
      <w:r>
        <w:rPr>
          <w:rFonts w:ascii="Times New Roman" w:hAnsi="Times New Roman"/>
          <w:iCs/>
          <w:lang w:eastAsia="zh-CN"/>
        </w:rPr>
        <w:t>Разнообразие направлений самбо и их основные характеристики: спортивное самбо (женское, мужское), боевое самбо, пляжное самбо, прикладное самбо, демо самбо.</w:t>
      </w:r>
    </w:p>
    <w:p w14:paraId="58A9FDC0">
      <w:pPr>
        <w:pBdr>
          <w:top w:val="none" w:color="000000" w:sz="0" w:space="0"/>
          <w:left w:val="none" w:color="000000" w:sz="0" w:space="0"/>
          <w:bottom w:val="none" w:color="000000" w:sz="0" w:space="0"/>
          <w:right w:val="none" w:color="000000" w:sz="0" w:space="0"/>
        </w:pBdr>
        <w:suppressAutoHyphens/>
        <w:spacing w:after="0" w:line="360" w:lineRule="auto"/>
        <w:ind w:firstLine="709"/>
        <w:jc w:val="both"/>
        <w:rPr>
          <w:rFonts w:ascii="Times New Roman" w:hAnsi="Times New Roman"/>
          <w:lang w:eastAsia="zh-CN"/>
        </w:rPr>
      </w:pPr>
      <w:r>
        <w:rPr>
          <w:rFonts w:ascii="Times New Roman" w:hAnsi="Times New Roman"/>
          <w:bCs/>
          <w:lang w:eastAsia="zh-CN"/>
        </w:rPr>
        <w:t>Общие сведения о</w:t>
      </w:r>
      <w:r>
        <w:rPr>
          <w:rFonts w:ascii="Times New Roman" w:hAnsi="Times New Roman"/>
          <w:iCs/>
          <w:lang w:eastAsia="zh-CN"/>
        </w:rPr>
        <w:t xml:space="preserve"> самбо и их исторические особенности (борцовский ковер самбо, экипировка спортсмена, экипировка судьи).</w:t>
      </w:r>
    </w:p>
    <w:p w14:paraId="7E9392BD">
      <w:pPr>
        <w:pBdr>
          <w:top w:val="none" w:color="000000" w:sz="0" w:space="0"/>
          <w:left w:val="none" w:color="000000" w:sz="0" w:space="0"/>
          <w:bottom w:val="none" w:color="000000" w:sz="0" w:space="0"/>
          <w:right w:val="none" w:color="000000" w:sz="0" w:space="0"/>
        </w:pBdr>
        <w:suppressAutoHyphens/>
        <w:spacing w:after="0" w:line="360" w:lineRule="auto"/>
        <w:ind w:firstLine="709"/>
        <w:jc w:val="both"/>
        <w:rPr>
          <w:rFonts w:ascii="Times New Roman" w:hAnsi="Times New Roman"/>
          <w:lang w:eastAsia="zh-CN"/>
        </w:rPr>
      </w:pPr>
      <w:r>
        <w:rPr>
          <w:rFonts w:ascii="Times New Roman" w:hAnsi="Times New Roman"/>
          <w:iCs/>
          <w:lang w:eastAsia="zh-CN"/>
        </w:rPr>
        <w:t>Основные сведения о правилах самбо.</w:t>
      </w:r>
    </w:p>
    <w:p w14:paraId="2DCF8B7E">
      <w:pPr>
        <w:pBdr>
          <w:top w:val="none" w:color="000000" w:sz="0" w:space="0"/>
          <w:left w:val="none" w:color="000000" w:sz="0" w:space="0"/>
          <w:bottom w:val="none" w:color="000000" w:sz="0" w:space="0"/>
          <w:right w:val="none" w:color="000000" w:sz="0" w:space="0"/>
        </w:pBdr>
        <w:suppressAutoHyphens/>
        <w:spacing w:after="0" w:line="360" w:lineRule="auto"/>
        <w:ind w:firstLine="709"/>
        <w:jc w:val="both"/>
        <w:rPr>
          <w:rFonts w:ascii="Times New Roman" w:hAnsi="Times New Roman"/>
          <w:lang w:eastAsia="zh-CN"/>
        </w:rPr>
      </w:pPr>
      <w:r>
        <w:rPr>
          <w:rFonts w:ascii="Times New Roman" w:hAnsi="Times New Roman"/>
          <w:bCs/>
          <w:lang w:eastAsia="zh-CN"/>
        </w:rPr>
        <w:t>Достижения отечественных самбистов на мировом уровне.</w:t>
      </w:r>
    </w:p>
    <w:p w14:paraId="2D922012">
      <w:pPr>
        <w:pBdr>
          <w:top w:val="none" w:color="000000" w:sz="0" w:space="0"/>
          <w:left w:val="none" w:color="000000" w:sz="0" w:space="0"/>
          <w:bottom w:val="none" w:color="000000" w:sz="0" w:space="0"/>
          <w:right w:val="none" w:color="000000" w:sz="0" w:space="0"/>
        </w:pBdr>
        <w:suppressAutoHyphens/>
        <w:spacing w:after="0" w:line="360" w:lineRule="auto"/>
        <w:ind w:firstLine="709"/>
        <w:jc w:val="both"/>
        <w:rPr>
          <w:rFonts w:ascii="Times New Roman" w:hAnsi="Times New Roman"/>
          <w:lang w:eastAsia="zh-CN"/>
        </w:rPr>
      </w:pPr>
      <w:r>
        <w:rPr>
          <w:rFonts w:ascii="Times New Roman" w:hAnsi="Times New Roman"/>
          <w:bCs/>
          <w:lang w:eastAsia="zh-CN"/>
        </w:rPr>
        <w:t>Словарь терминов и определений по самбо.</w:t>
      </w:r>
    </w:p>
    <w:p w14:paraId="499617A6">
      <w:pPr>
        <w:pBdr>
          <w:top w:val="none" w:color="000000" w:sz="0" w:space="0"/>
          <w:left w:val="none" w:color="000000" w:sz="0" w:space="0"/>
          <w:bottom w:val="none" w:color="000000" w:sz="0" w:space="0"/>
          <w:right w:val="none" w:color="000000" w:sz="0" w:space="0"/>
        </w:pBdr>
        <w:suppressAutoHyphens/>
        <w:spacing w:after="0" w:line="360" w:lineRule="auto"/>
        <w:ind w:firstLine="709"/>
        <w:jc w:val="both"/>
        <w:rPr>
          <w:rFonts w:ascii="Times New Roman" w:hAnsi="Times New Roman"/>
          <w:lang w:eastAsia="zh-CN"/>
        </w:rPr>
      </w:pPr>
      <w:r>
        <w:rPr>
          <w:rFonts w:ascii="Times New Roman" w:hAnsi="Times New Roman"/>
          <w:spacing w:val="1"/>
          <w:lang w:eastAsia="zh-CN"/>
        </w:rPr>
        <w:t>Игры и поединки по заданию на занятиях самбо.</w:t>
      </w:r>
    </w:p>
    <w:p w14:paraId="4B7EA832">
      <w:pPr>
        <w:pBdr>
          <w:top w:val="none" w:color="000000" w:sz="0" w:space="0"/>
          <w:left w:val="none" w:color="000000" w:sz="0" w:space="0"/>
          <w:bottom w:val="none" w:color="000000" w:sz="0" w:space="0"/>
          <w:right w:val="none" w:color="000000" w:sz="0" w:space="0"/>
        </w:pBdr>
        <w:suppressAutoHyphens/>
        <w:spacing w:after="0" w:line="360" w:lineRule="auto"/>
        <w:ind w:firstLine="709"/>
        <w:jc w:val="both"/>
        <w:rPr>
          <w:rFonts w:ascii="Times New Roman" w:hAnsi="Times New Roman"/>
          <w:lang w:eastAsia="zh-CN"/>
        </w:rPr>
      </w:pPr>
      <w:r>
        <w:rPr>
          <w:rFonts w:ascii="Times New Roman" w:hAnsi="Times New Roman"/>
          <w:lang w:eastAsia="zh-CN"/>
        </w:rPr>
        <w:t>Занятия самбо как средство укрепления здоровья, закаливания организма человека и развития физических качеств.</w:t>
      </w:r>
    </w:p>
    <w:p w14:paraId="5EE6F182">
      <w:pPr>
        <w:pBdr>
          <w:top w:val="none" w:color="000000" w:sz="0" w:space="0"/>
          <w:left w:val="none" w:color="000000" w:sz="0" w:space="0"/>
          <w:bottom w:val="none" w:color="000000" w:sz="0" w:space="0"/>
          <w:right w:val="none" w:color="000000" w:sz="0" w:space="0"/>
        </w:pBdr>
        <w:suppressAutoHyphens/>
        <w:spacing w:after="0" w:line="360" w:lineRule="auto"/>
        <w:ind w:firstLine="709"/>
        <w:jc w:val="both"/>
        <w:rPr>
          <w:rFonts w:ascii="Times New Roman" w:hAnsi="Times New Roman"/>
          <w:lang w:eastAsia="zh-CN"/>
        </w:rPr>
      </w:pPr>
      <w:r>
        <w:rPr>
          <w:rFonts w:ascii="Times New Roman" w:hAnsi="Times New Roman" w:eastAsia="Times New Roman"/>
          <w:lang w:eastAsia="zh-CN"/>
        </w:rPr>
        <w:t>Режим дня при занятиях самбо. Дневник самонаблюдения самбиста.</w:t>
      </w:r>
    </w:p>
    <w:p w14:paraId="79339BFC">
      <w:pPr>
        <w:suppressAutoHyphens/>
        <w:spacing w:after="0" w:line="360" w:lineRule="auto"/>
        <w:ind w:firstLine="709"/>
        <w:jc w:val="both"/>
        <w:rPr>
          <w:rFonts w:ascii="Times New Roman" w:hAnsi="Times New Roman" w:eastAsia="Times New Roman"/>
          <w:lang w:eastAsia="zh-CN"/>
        </w:rPr>
      </w:pPr>
      <w:r>
        <w:rPr>
          <w:rFonts w:ascii="Times New Roman" w:hAnsi="Times New Roman" w:eastAsia="Times New Roman"/>
          <w:lang w:eastAsia="zh-CN"/>
        </w:rPr>
        <w:t>Правила личной гигиены во время занятий самбо. Правильное питание самбиста.</w:t>
      </w:r>
    </w:p>
    <w:p w14:paraId="6C7C55B5">
      <w:pPr>
        <w:suppressAutoHyphens/>
        <w:spacing w:after="0" w:line="360" w:lineRule="auto"/>
        <w:ind w:firstLine="709"/>
        <w:jc w:val="both"/>
        <w:rPr>
          <w:rFonts w:ascii="Times New Roman" w:hAnsi="Times New Roman" w:eastAsia="Times New Roman"/>
          <w:lang w:eastAsia="zh-CN"/>
        </w:rPr>
      </w:pPr>
      <w:r>
        <w:rPr>
          <w:rFonts w:ascii="Times New Roman" w:hAnsi="Times New Roman"/>
          <w:lang w:eastAsia="zh-CN"/>
        </w:rPr>
        <w:t>Правила безопасного поведения при занятиях самбо</w:t>
      </w:r>
      <w:r>
        <w:rPr>
          <w:rFonts w:ascii="Times New Roman" w:hAnsi="Times New Roman" w:eastAsia="Times New Roman"/>
          <w:lang w:eastAsia="zh-CN"/>
        </w:rPr>
        <w:t xml:space="preserve"> в спортивном зале </w:t>
      </w:r>
      <w:r>
        <w:rPr>
          <w:rFonts w:ascii="Times New Roman" w:hAnsi="Times New Roman"/>
        </w:rPr>
        <w:t xml:space="preserve">(в душе, раздевалке, местах общего пользования), </w:t>
      </w:r>
      <w:r>
        <w:rPr>
          <w:rFonts w:ascii="Times New Roman" w:hAnsi="Times New Roman" w:eastAsia="Times New Roman"/>
          <w:lang w:eastAsia="zh-CN"/>
        </w:rPr>
        <w:t>на открытых площадках. Форма одежды для занятий самбо.</w:t>
      </w:r>
    </w:p>
    <w:p w14:paraId="17406CE9">
      <w:pPr>
        <w:pBdr>
          <w:top w:val="none" w:color="000000" w:sz="0" w:space="0"/>
          <w:left w:val="none" w:color="000000" w:sz="0" w:space="0"/>
          <w:bottom w:val="none" w:color="000000" w:sz="0" w:space="0"/>
          <w:right w:val="none" w:color="000000" w:sz="0" w:space="0"/>
        </w:pBdr>
        <w:suppressAutoHyphens/>
        <w:spacing w:after="0" w:line="360" w:lineRule="auto"/>
        <w:ind w:firstLine="709"/>
        <w:jc w:val="both"/>
        <w:rPr>
          <w:rFonts w:ascii="Times New Roman" w:hAnsi="Times New Roman"/>
          <w:bCs/>
          <w:iCs/>
          <w:lang w:eastAsia="zh-CN"/>
        </w:rPr>
      </w:pPr>
      <w:r>
        <w:rPr>
          <w:rFonts w:ascii="Times New Roman" w:hAnsi="Times New Roman"/>
          <w:bCs/>
          <w:iCs/>
          <w:lang w:eastAsia="zh-CN"/>
        </w:rPr>
        <w:t>Способы самостоятельной деятельности.</w:t>
      </w:r>
    </w:p>
    <w:p w14:paraId="38AAE8F6">
      <w:pPr>
        <w:pBdr>
          <w:top w:val="none" w:color="000000" w:sz="0" w:space="0"/>
          <w:left w:val="none" w:color="000000" w:sz="0" w:space="0"/>
          <w:bottom w:val="none" w:color="000000" w:sz="0" w:space="0"/>
          <w:right w:val="none" w:color="000000" w:sz="0" w:space="0"/>
        </w:pBdr>
        <w:tabs>
          <w:tab w:val="left" w:pos="9532"/>
        </w:tabs>
        <w:suppressAutoHyphens/>
        <w:spacing w:after="0" w:line="360" w:lineRule="auto"/>
        <w:ind w:firstLine="709"/>
        <w:jc w:val="both"/>
        <w:rPr>
          <w:rFonts w:ascii="Times New Roman" w:hAnsi="Times New Roman"/>
          <w:lang w:eastAsia="zh-CN"/>
        </w:rPr>
      </w:pPr>
      <w:r>
        <w:rPr>
          <w:rFonts w:ascii="Times New Roman" w:hAnsi="Times New Roman"/>
          <w:bCs/>
          <w:lang w:eastAsia="zh-CN"/>
        </w:rPr>
        <w:t xml:space="preserve">Первые внешние признаки утомления во время занятий самбо. Способы самоконтроля за физической нагрузкой. </w:t>
      </w:r>
    </w:p>
    <w:p w14:paraId="3B95B27B">
      <w:pPr>
        <w:pBdr>
          <w:top w:val="none" w:color="000000" w:sz="0" w:space="0"/>
          <w:left w:val="none" w:color="000000" w:sz="0" w:space="0"/>
          <w:bottom w:val="none" w:color="000000" w:sz="0" w:space="0"/>
          <w:right w:val="none" w:color="000000" w:sz="0" w:space="0"/>
        </w:pBdr>
        <w:suppressAutoHyphens/>
        <w:spacing w:after="0" w:line="360" w:lineRule="auto"/>
        <w:ind w:firstLine="709"/>
        <w:contextualSpacing/>
        <w:jc w:val="both"/>
        <w:rPr>
          <w:rFonts w:ascii="Times New Roman" w:hAnsi="Times New Roman"/>
          <w:lang w:eastAsia="zh-CN"/>
        </w:rPr>
      </w:pPr>
      <w:r>
        <w:rPr>
          <w:rFonts w:ascii="Times New Roman" w:hAnsi="Times New Roman"/>
          <w:bCs/>
          <w:lang w:eastAsia="zh-CN"/>
        </w:rPr>
        <w:t>Правила личной гигиены, требования к спортивной одежде (экипировке) для занятий самбо. Режим дня юного самбиста.</w:t>
      </w:r>
    </w:p>
    <w:p w14:paraId="14709A39">
      <w:pPr>
        <w:pBdr>
          <w:top w:val="none" w:color="000000" w:sz="0" w:space="0"/>
          <w:left w:val="none" w:color="000000" w:sz="0" w:space="0"/>
          <w:bottom w:val="none" w:color="000000" w:sz="0" w:space="0"/>
          <w:right w:val="none" w:color="000000" w:sz="0" w:space="0"/>
        </w:pBdr>
        <w:suppressAutoHyphens/>
        <w:spacing w:after="0" w:line="360" w:lineRule="auto"/>
        <w:ind w:firstLine="709"/>
        <w:jc w:val="both"/>
        <w:rPr>
          <w:rFonts w:ascii="Times New Roman" w:hAnsi="Times New Roman"/>
          <w:lang w:eastAsia="zh-CN"/>
        </w:rPr>
      </w:pPr>
      <w:r>
        <w:rPr>
          <w:rFonts w:ascii="Times New Roman" w:hAnsi="Times New Roman"/>
          <w:bCs/>
          <w:lang w:eastAsia="zh-CN"/>
        </w:rPr>
        <w:t>Выбор и подготовка места для занятий самбо.</w:t>
      </w:r>
    </w:p>
    <w:p w14:paraId="7F2E5510">
      <w:pPr>
        <w:pBdr>
          <w:top w:val="none" w:color="000000" w:sz="0" w:space="0"/>
          <w:left w:val="none" w:color="000000" w:sz="0" w:space="0"/>
          <w:bottom w:val="none" w:color="000000" w:sz="0" w:space="0"/>
          <w:right w:val="none" w:color="000000" w:sz="0" w:space="0"/>
        </w:pBdr>
        <w:suppressAutoHyphens/>
        <w:spacing w:after="0" w:line="360" w:lineRule="auto"/>
        <w:ind w:firstLine="709"/>
        <w:jc w:val="both"/>
        <w:rPr>
          <w:rFonts w:ascii="Times New Roman" w:hAnsi="Times New Roman"/>
          <w:bCs/>
          <w:lang w:eastAsia="zh-CN"/>
        </w:rPr>
      </w:pPr>
      <w:r>
        <w:rPr>
          <w:rFonts w:ascii="Times New Roman" w:hAnsi="Times New Roman"/>
          <w:bCs/>
          <w:lang w:eastAsia="zh-CN"/>
        </w:rPr>
        <w:t>Правила использования спортивного инвентаря для занятий самбо.</w:t>
      </w:r>
    </w:p>
    <w:p w14:paraId="341017A9">
      <w:pPr>
        <w:pBdr>
          <w:top w:val="none" w:color="000000" w:sz="0" w:space="0"/>
          <w:left w:val="none" w:color="000000" w:sz="0" w:space="0"/>
          <w:bottom w:val="none" w:color="000000" w:sz="0" w:space="0"/>
          <w:right w:val="none" w:color="000000" w:sz="0" w:space="0"/>
        </w:pBdr>
        <w:suppressAutoHyphens/>
        <w:spacing w:after="0" w:line="360" w:lineRule="auto"/>
        <w:ind w:firstLine="709"/>
        <w:jc w:val="both"/>
        <w:rPr>
          <w:rFonts w:ascii="Times New Roman" w:hAnsi="Times New Roman"/>
          <w:lang w:eastAsia="zh-CN"/>
        </w:rPr>
      </w:pPr>
      <w:r>
        <w:rPr>
          <w:rFonts w:ascii="Times New Roman" w:hAnsi="Times New Roman" w:eastAsia="Times New Roman"/>
          <w:lang w:eastAsia="zh-CN"/>
        </w:rPr>
        <w:t xml:space="preserve">Подбор и составление комплексов </w:t>
      </w:r>
      <w:r>
        <w:rPr>
          <w:rFonts w:ascii="Times New Roman" w:hAnsi="Times New Roman"/>
          <w:lang w:eastAsia="zh-CN"/>
        </w:rPr>
        <w:t xml:space="preserve">общеразвивающих, специальных и имитационных </w:t>
      </w:r>
      <w:r>
        <w:rPr>
          <w:rFonts w:ascii="Times New Roman" w:hAnsi="Times New Roman" w:eastAsia="Times New Roman"/>
          <w:lang w:eastAsia="zh-CN"/>
        </w:rPr>
        <w:t xml:space="preserve">упражнений </w:t>
      </w:r>
      <w:r>
        <w:rPr>
          <w:rFonts w:ascii="Times New Roman" w:hAnsi="Times New Roman"/>
          <w:lang w:eastAsia="zh-CN"/>
        </w:rPr>
        <w:t>для занятий самбо.</w:t>
      </w:r>
    </w:p>
    <w:p w14:paraId="64E09159">
      <w:pPr>
        <w:pBdr>
          <w:top w:val="none" w:color="000000" w:sz="0" w:space="0"/>
          <w:left w:val="none" w:color="000000" w:sz="0" w:space="0"/>
          <w:bottom w:val="none" w:color="000000" w:sz="0" w:space="0"/>
          <w:right w:val="none" w:color="000000" w:sz="0" w:space="0"/>
        </w:pBdr>
        <w:suppressAutoHyphens/>
        <w:spacing w:after="0" w:line="360" w:lineRule="auto"/>
        <w:ind w:firstLine="709"/>
        <w:jc w:val="both"/>
        <w:rPr>
          <w:rFonts w:ascii="Times New Roman" w:hAnsi="Times New Roman"/>
          <w:lang w:eastAsia="zh-CN"/>
        </w:rPr>
      </w:pPr>
      <w:r>
        <w:rPr>
          <w:rFonts w:ascii="Times New Roman" w:hAnsi="Times New Roman"/>
          <w:lang w:eastAsia="zh-CN"/>
        </w:rPr>
        <w:t>Организация и проведение подвижных игр с элементами самбо во время занятий и активного отдыха.</w:t>
      </w:r>
    </w:p>
    <w:p w14:paraId="6F8619F2">
      <w:pPr>
        <w:pBdr>
          <w:top w:val="none" w:color="000000" w:sz="0" w:space="0"/>
          <w:left w:val="none" w:color="000000" w:sz="0" w:space="0"/>
          <w:bottom w:val="none" w:color="000000" w:sz="0" w:space="0"/>
          <w:right w:val="none" w:color="000000" w:sz="0" w:space="0"/>
        </w:pBdr>
        <w:suppressAutoHyphens/>
        <w:spacing w:after="0" w:line="360" w:lineRule="auto"/>
        <w:ind w:firstLine="709"/>
        <w:jc w:val="both"/>
        <w:rPr>
          <w:rFonts w:ascii="Times New Roman" w:hAnsi="Times New Roman"/>
          <w:lang w:eastAsia="zh-CN"/>
        </w:rPr>
      </w:pPr>
      <w:r>
        <w:rPr>
          <w:rFonts w:ascii="Times New Roman" w:hAnsi="Times New Roman"/>
          <w:lang w:eastAsia="zh-CN"/>
        </w:rPr>
        <w:t>Тестирование уровня физической подготовленности в самбо.</w:t>
      </w:r>
    </w:p>
    <w:p w14:paraId="48154E68">
      <w:pPr>
        <w:pBdr>
          <w:top w:val="none" w:color="000000" w:sz="0" w:space="0"/>
          <w:left w:val="none" w:color="000000" w:sz="0" w:space="0"/>
          <w:bottom w:val="none" w:color="000000" w:sz="0" w:space="0"/>
          <w:right w:val="none" w:color="000000" w:sz="0" w:space="0"/>
        </w:pBdr>
        <w:suppressAutoHyphens/>
        <w:spacing w:after="0" w:line="360" w:lineRule="auto"/>
        <w:ind w:firstLine="709"/>
        <w:jc w:val="both"/>
        <w:rPr>
          <w:rFonts w:ascii="Times New Roman" w:hAnsi="Times New Roman"/>
          <w:lang w:eastAsia="zh-CN"/>
        </w:rPr>
      </w:pPr>
      <w:r>
        <w:rPr>
          <w:rFonts w:ascii="Times New Roman" w:hAnsi="Times New Roman"/>
          <w:lang w:eastAsia="zh-CN"/>
        </w:rPr>
        <w:t>Физическое совершенствование.</w:t>
      </w:r>
    </w:p>
    <w:p w14:paraId="131EE5CD">
      <w:pPr>
        <w:pBdr>
          <w:top w:val="none" w:color="000000" w:sz="0" w:space="0"/>
          <w:left w:val="none" w:color="000000" w:sz="0" w:space="0"/>
          <w:bottom w:val="none" w:color="000000" w:sz="0" w:space="0"/>
          <w:right w:val="none" w:color="000000" w:sz="0" w:space="0"/>
        </w:pBdr>
        <w:shd w:val="clear" w:color="auto" w:fill="FFFFFF"/>
        <w:tabs>
          <w:tab w:val="left" w:pos="571"/>
        </w:tabs>
        <w:suppressAutoHyphens/>
        <w:autoSpaceDE w:val="0"/>
        <w:spacing w:after="0" w:line="360" w:lineRule="auto"/>
        <w:ind w:firstLine="709"/>
        <w:jc w:val="both"/>
        <w:rPr>
          <w:rFonts w:ascii="Times New Roman" w:hAnsi="Times New Roman"/>
          <w:lang w:eastAsia="zh-CN"/>
        </w:rPr>
      </w:pPr>
      <w:r>
        <w:rPr>
          <w:rFonts w:ascii="Times New Roman" w:hAnsi="Times New Roman"/>
          <w:lang w:eastAsia="zh-CN"/>
        </w:rPr>
        <w:t>Общеразвивающие, специальные и имитационные упражнения на занятиях самбо.</w:t>
      </w:r>
    </w:p>
    <w:p w14:paraId="14B20056">
      <w:pPr>
        <w:pBdr>
          <w:top w:val="none" w:color="000000" w:sz="0" w:space="0"/>
          <w:left w:val="none" w:color="000000" w:sz="0" w:space="0"/>
          <w:bottom w:val="none" w:color="000000" w:sz="0" w:space="0"/>
          <w:right w:val="none" w:color="000000" w:sz="0" w:space="0"/>
        </w:pBdr>
        <w:shd w:val="clear" w:color="auto" w:fill="FFFFFF"/>
        <w:tabs>
          <w:tab w:val="left" w:pos="571"/>
        </w:tabs>
        <w:suppressAutoHyphens/>
        <w:autoSpaceDE w:val="0"/>
        <w:spacing w:after="0" w:line="360" w:lineRule="auto"/>
        <w:ind w:firstLine="709"/>
        <w:jc w:val="both"/>
        <w:rPr>
          <w:rFonts w:ascii="Times New Roman" w:hAnsi="Times New Roman"/>
          <w:lang w:eastAsia="zh-CN"/>
        </w:rPr>
      </w:pPr>
      <w:r>
        <w:rPr>
          <w:rFonts w:ascii="Times New Roman" w:hAnsi="Times New Roman"/>
          <w:spacing w:val="2"/>
          <w:lang w:eastAsia="zh-CN"/>
        </w:rPr>
        <w:t>Упражнения</w:t>
      </w:r>
      <w:r>
        <w:rPr>
          <w:rFonts w:ascii="Times New Roman" w:hAnsi="Times New Roman"/>
          <w:lang w:eastAsia="zh-CN"/>
        </w:rPr>
        <w:t xml:space="preserve"> на развитие физических качеств, характерных для самбо.</w:t>
      </w:r>
    </w:p>
    <w:p w14:paraId="211B7D6F">
      <w:pPr>
        <w:pBdr>
          <w:top w:val="none" w:color="000000" w:sz="0" w:space="0"/>
          <w:left w:val="none" w:color="000000" w:sz="0" w:space="0"/>
          <w:bottom w:val="none" w:color="000000" w:sz="0" w:space="0"/>
          <w:right w:val="none" w:color="000000" w:sz="0" w:space="0"/>
        </w:pBdr>
        <w:suppressAutoHyphens/>
        <w:spacing w:after="0" w:line="360" w:lineRule="auto"/>
        <w:ind w:firstLine="709"/>
        <w:jc w:val="both"/>
        <w:rPr>
          <w:rFonts w:ascii="Times New Roman" w:hAnsi="Times New Roman"/>
          <w:lang w:eastAsia="zh-CN"/>
        </w:rPr>
      </w:pPr>
      <w:r>
        <w:rPr>
          <w:rFonts w:ascii="Times New Roman" w:hAnsi="Times New Roman"/>
          <w:lang w:eastAsia="zh-CN"/>
        </w:rPr>
        <w:t>Комплексы упражнений, формирующие двигательные умения и навыки, а также технико-тактические действия самбиста.</w:t>
      </w:r>
    </w:p>
    <w:p w14:paraId="6460E45F">
      <w:pPr>
        <w:pBdr>
          <w:top w:val="none" w:color="000000" w:sz="0" w:space="0"/>
          <w:left w:val="none" w:color="000000" w:sz="0" w:space="0"/>
          <w:bottom w:val="none" w:color="000000" w:sz="0" w:space="0"/>
          <w:right w:val="none" w:color="000000" w:sz="0" w:space="0"/>
        </w:pBdr>
        <w:suppressAutoHyphens/>
        <w:spacing w:after="0" w:line="360" w:lineRule="auto"/>
        <w:ind w:firstLine="709"/>
        <w:jc w:val="both"/>
        <w:rPr>
          <w:rFonts w:ascii="Times New Roman" w:hAnsi="Times New Roman"/>
          <w:lang w:eastAsia="zh-CN"/>
        </w:rPr>
      </w:pPr>
      <w:r>
        <w:rPr>
          <w:rFonts w:ascii="Times New Roman" w:hAnsi="Times New Roman"/>
          <w:lang w:eastAsia="zh-CN"/>
        </w:rPr>
        <w:t>Специально-подготовительные упражнения самбо.</w:t>
      </w:r>
    </w:p>
    <w:p w14:paraId="03C92407">
      <w:pPr>
        <w:pBdr>
          <w:top w:val="none" w:color="000000" w:sz="0" w:space="0"/>
          <w:left w:val="none" w:color="000000" w:sz="0" w:space="0"/>
          <w:bottom w:val="none" w:color="000000" w:sz="0" w:space="0"/>
          <w:right w:val="none" w:color="000000" w:sz="0" w:space="0"/>
        </w:pBdr>
        <w:suppressAutoHyphens/>
        <w:spacing w:after="0" w:line="360" w:lineRule="auto"/>
        <w:ind w:firstLine="709"/>
        <w:jc w:val="both"/>
        <w:rPr>
          <w:rFonts w:ascii="Times New Roman" w:hAnsi="Times New Roman"/>
          <w:bCs/>
          <w:lang w:eastAsia="zh-CN"/>
        </w:rPr>
      </w:pPr>
      <w:r>
        <w:rPr>
          <w:rFonts w:ascii="Times New Roman" w:hAnsi="Times New Roman"/>
          <w:bCs/>
          <w:lang w:eastAsia="zh-CN"/>
        </w:rPr>
        <w:t>Акробатические элементы: различные виды перекатов, кувырков и переворотов.</w:t>
      </w:r>
    </w:p>
    <w:p w14:paraId="0E2A91BB">
      <w:pPr>
        <w:pBdr>
          <w:top w:val="none" w:color="000000" w:sz="0" w:space="0"/>
          <w:left w:val="none" w:color="000000" w:sz="0" w:space="0"/>
          <w:bottom w:val="none" w:color="000000" w:sz="0" w:space="0"/>
          <w:right w:val="none" w:color="000000" w:sz="0" w:space="0"/>
        </w:pBdr>
        <w:suppressAutoHyphens/>
        <w:spacing w:after="0" w:line="360" w:lineRule="auto"/>
        <w:ind w:firstLine="709"/>
        <w:jc w:val="both"/>
        <w:rPr>
          <w:rFonts w:ascii="Times New Roman" w:hAnsi="Times New Roman"/>
          <w:lang w:eastAsia="zh-CN"/>
        </w:rPr>
      </w:pPr>
      <w:r>
        <w:rPr>
          <w:rFonts w:ascii="Times New Roman" w:hAnsi="Times New Roman"/>
          <w:lang w:eastAsia="zh-CN"/>
        </w:rPr>
        <w:t>Приёмы самостраховки: на спину перекатом, на бок перекатом, при падении вперёд на руки, при падении на спину через мост, на бок кувырком через плечо. Способы страховки падений преподавателем, партнёром.</w:t>
      </w:r>
    </w:p>
    <w:p w14:paraId="51672005">
      <w:pPr>
        <w:pBdr>
          <w:top w:val="none" w:color="000000" w:sz="0" w:space="0"/>
          <w:left w:val="none" w:color="000000" w:sz="0" w:space="0"/>
          <w:bottom w:val="none" w:color="000000" w:sz="0" w:space="0"/>
          <w:right w:val="none" w:color="000000" w:sz="0" w:space="0"/>
        </w:pBdr>
        <w:suppressAutoHyphens/>
        <w:spacing w:after="0" w:line="360" w:lineRule="auto"/>
        <w:ind w:firstLine="709"/>
        <w:jc w:val="both"/>
        <w:rPr>
          <w:rFonts w:ascii="Times New Roman" w:hAnsi="Times New Roman"/>
          <w:lang w:eastAsia="zh-CN"/>
        </w:rPr>
      </w:pPr>
      <w:r>
        <w:rPr>
          <w:rFonts w:ascii="Times New Roman" w:hAnsi="Times New Roman"/>
          <w:lang w:eastAsia="zh-CN"/>
        </w:rPr>
        <w:t>Упражнения для приёмов в положении лёжа: удержания, переворачивания.</w:t>
      </w:r>
    </w:p>
    <w:p w14:paraId="01BC4AB0">
      <w:pPr>
        <w:pBdr>
          <w:top w:val="none" w:color="000000" w:sz="0" w:space="0"/>
          <w:left w:val="none" w:color="000000" w:sz="0" w:space="0"/>
          <w:bottom w:val="none" w:color="000000" w:sz="0" w:space="0"/>
          <w:right w:val="none" w:color="000000" w:sz="0" w:space="0"/>
        </w:pBdr>
        <w:suppressAutoHyphens/>
        <w:spacing w:after="0" w:line="360" w:lineRule="auto"/>
        <w:ind w:firstLine="709"/>
        <w:jc w:val="both"/>
        <w:rPr>
          <w:rFonts w:ascii="Times New Roman" w:hAnsi="Times New Roman"/>
          <w:lang w:eastAsia="zh-CN"/>
        </w:rPr>
      </w:pPr>
      <w:r>
        <w:rPr>
          <w:rFonts w:ascii="Times New Roman" w:hAnsi="Times New Roman"/>
          <w:lang w:eastAsia="zh-CN"/>
        </w:rPr>
        <w:t>Упражнения для бросков: выведения из равновесия, броски захватом ноги (ног), подножки, подсечки, зацепы, через голову, подхваты, броски через бедро, через спину.</w:t>
      </w:r>
    </w:p>
    <w:p w14:paraId="54B132AA">
      <w:pPr>
        <w:pBdr>
          <w:top w:val="none" w:color="000000" w:sz="0" w:space="0"/>
          <w:left w:val="none" w:color="000000" w:sz="0" w:space="0"/>
          <w:bottom w:val="none" w:color="000000" w:sz="0" w:space="0"/>
          <w:right w:val="none" w:color="000000" w:sz="0" w:space="0"/>
        </w:pBdr>
        <w:suppressAutoHyphens/>
        <w:spacing w:after="0" w:line="360" w:lineRule="auto"/>
        <w:ind w:firstLine="709"/>
        <w:jc w:val="both"/>
        <w:rPr>
          <w:rFonts w:ascii="Times New Roman" w:hAnsi="Times New Roman"/>
          <w:lang w:eastAsia="zh-CN"/>
        </w:rPr>
      </w:pPr>
      <w:r>
        <w:rPr>
          <w:rFonts w:ascii="Times New Roman" w:hAnsi="Times New Roman"/>
          <w:lang w:eastAsia="zh-CN"/>
        </w:rPr>
        <w:t>Упражнения для тактики: подвижные игры, игры-задания.</w:t>
      </w:r>
    </w:p>
    <w:p w14:paraId="629051FD">
      <w:pPr>
        <w:pBdr>
          <w:top w:val="none" w:color="000000" w:sz="0" w:space="0"/>
          <w:left w:val="none" w:color="000000" w:sz="0" w:space="0"/>
          <w:bottom w:val="none" w:color="000000" w:sz="0" w:space="0"/>
          <w:right w:val="none" w:color="000000" w:sz="0" w:space="0"/>
        </w:pBdr>
        <w:suppressAutoHyphens/>
        <w:spacing w:after="0" w:line="360" w:lineRule="auto"/>
        <w:ind w:firstLine="709"/>
        <w:jc w:val="both"/>
        <w:rPr>
          <w:rFonts w:ascii="Times New Roman" w:hAnsi="Times New Roman"/>
          <w:lang w:eastAsia="zh-CN"/>
        </w:rPr>
      </w:pPr>
      <w:r>
        <w:rPr>
          <w:rFonts w:ascii="Times New Roman" w:hAnsi="Times New Roman"/>
          <w:lang w:eastAsia="zh-CN"/>
        </w:rPr>
        <w:t>Технико-тактические основы самбо: стойки, дистанции, захваты, перемещения.</w:t>
      </w:r>
    </w:p>
    <w:p w14:paraId="68F672E1">
      <w:pPr>
        <w:pBdr>
          <w:top w:val="none" w:color="000000" w:sz="0" w:space="0"/>
          <w:left w:val="none" w:color="000000" w:sz="0" w:space="0"/>
          <w:bottom w:val="none" w:color="000000" w:sz="0" w:space="0"/>
          <w:right w:val="none" w:color="000000" w:sz="0" w:space="0"/>
        </w:pBdr>
        <w:suppressAutoHyphens/>
        <w:spacing w:after="0" w:line="360" w:lineRule="auto"/>
        <w:ind w:firstLine="709"/>
        <w:jc w:val="both"/>
        <w:rPr>
          <w:rFonts w:ascii="Times New Roman" w:hAnsi="Times New Roman"/>
          <w:lang w:eastAsia="zh-CN"/>
        </w:rPr>
      </w:pPr>
      <w:r>
        <w:rPr>
          <w:rFonts w:ascii="Times New Roman" w:hAnsi="Times New Roman"/>
          <w:bCs/>
          <w:lang w:eastAsia="zh-CN"/>
        </w:rPr>
        <w:t>Технические действия</w:t>
      </w:r>
      <w:r>
        <w:rPr>
          <w:rFonts w:ascii="Times New Roman" w:hAnsi="Times New Roman"/>
          <w:lang w:eastAsia="zh-CN"/>
        </w:rPr>
        <w:t xml:space="preserve"> самбо в положении стоя. Выведение из равновесия: партнёра, стоящего на коленях, скручиванием, партнёра в упоре присев толчком и рывком, партнёра, стоящего на одном колене рывком, скручиванием, толчком. </w:t>
      </w:r>
    </w:p>
    <w:p w14:paraId="7D3417B1">
      <w:pPr>
        <w:pBdr>
          <w:top w:val="none" w:color="000000" w:sz="0" w:space="0"/>
          <w:left w:val="none" w:color="000000" w:sz="0" w:space="0"/>
          <w:bottom w:val="none" w:color="000000" w:sz="0" w:space="0"/>
          <w:right w:val="none" w:color="000000" w:sz="0" w:space="0"/>
        </w:pBdr>
        <w:suppressAutoHyphens/>
        <w:spacing w:after="0" w:line="360" w:lineRule="auto"/>
        <w:ind w:firstLine="709"/>
        <w:jc w:val="both"/>
        <w:rPr>
          <w:rFonts w:ascii="Times New Roman" w:hAnsi="Times New Roman"/>
          <w:lang w:eastAsia="zh-CN"/>
        </w:rPr>
      </w:pPr>
      <w:r>
        <w:rPr>
          <w:rFonts w:ascii="Times New Roman" w:hAnsi="Times New Roman"/>
          <w:bCs/>
          <w:lang w:eastAsia="zh-CN"/>
        </w:rPr>
        <w:t>Технические действия</w:t>
      </w:r>
      <w:r>
        <w:rPr>
          <w:rFonts w:ascii="Times New Roman" w:hAnsi="Times New Roman"/>
          <w:lang w:eastAsia="zh-CN"/>
        </w:rPr>
        <w:t xml:space="preserve"> самбо в положении лёжа. Удержания: сбоку, со стороны головы, поперёк, верхом, со стороны ног. Варианты защит от удержаний. Переворачивания партнёра, стоящего в упоре на коленях и руках: захватом рук сбоку, рычагом, скручиванием захватом руки и ноги (снаружи, изнутри), захватом шеи и руки с упором голенью в живот. Активные и пассивные защиты от переворачиваний. Комбинирование переворачиваний с вариантами удержаний. </w:t>
      </w:r>
    </w:p>
    <w:p w14:paraId="1203B0CA">
      <w:pPr>
        <w:pBdr>
          <w:top w:val="none" w:color="000000" w:sz="0" w:space="0"/>
          <w:left w:val="none" w:color="000000" w:sz="0" w:space="0"/>
          <w:bottom w:val="none" w:color="000000" w:sz="0" w:space="0"/>
          <w:right w:val="none" w:color="000000" w:sz="0" w:space="0"/>
        </w:pBdr>
        <w:suppressAutoHyphens/>
        <w:spacing w:after="0" w:line="360" w:lineRule="auto"/>
        <w:ind w:firstLine="709"/>
        <w:jc w:val="both"/>
        <w:rPr>
          <w:rFonts w:ascii="Times New Roman" w:hAnsi="Times New Roman"/>
          <w:lang w:eastAsia="zh-CN"/>
        </w:rPr>
      </w:pPr>
      <w:r>
        <w:rPr>
          <w:rFonts w:ascii="Times New Roman" w:hAnsi="Times New Roman"/>
          <w:lang w:eastAsia="zh-CN"/>
        </w:rPr>
        <w:t xml:space="preserve">Основные способы тактической подготовки (сковывание, маневрирование, маскировка) отрабатываются в играх-заданиях и подвижных играх. </w:t>
      </w:r>
    </w:p>
    <w:p w14:paraId="61F27EDC">
      <w:pPr>
        <w:pBdr>
          <w:top w:val="none" w:color="000000" w:sz="0" w:space="0"/>
          <w:left w:val="none" w:color="000000" w:sz="0" w:space="0"/>
          <w:bottom w:val="none" w:color="000000" w:sz="0" w:space="0"/>
          <w:right w:val="none" w:color="000000" w:sz="0" w:space="0"/>
        </w:pBdr>
        <w:suppressAutoHyphens/>
        <w:spacing w:after="0" w:line="360" w:lineRule="auto"/>
        <w:ind w:firstLine="709"/>
        <w:jc w:val="both"/>
        <w:rPr>
          <w:rFonts w:ascii="Times New Roman" w:hAnsi="Times New Roman"/>
          <w:lang w:eastAsia="zh-CN"/>
        </w:rPr>
      </w:pPr>
      <w:r>
        <w:rPr>
          <w:rFonts w:ascii="Times New Roman" w:hAnsi="Times New Roman"/>
          <w:lang w:eastAsia="zh-CN"/>
        </w:rPr>
        <w:t>Подвижные игры, в том числе с элементами единоборств (в парах, групповые, командные, с предметами и без них), эстафеты с учетом специализации самбо.</w:t>
      </w:r>
    </w:p>
    <w:p w14:paraId="72F7F275">
      <w:pPr>
        <w:pBdr>
          <w:top w:val="none" w:color="000000" w:sz="0" w:space="0"/>
          <w:left w:val="none" w:color="000000" w:sz="0" w:space="0"/>
          <w:bottom w:val="none" w:color="000000" w:sz="0" w:space="0"/>
          <w:right w:val="none" w:color="000000" w:sz="0" w:space="0"/>
        </w:pBdr>
        <w:suppressAutoHyphens/>
        <w:spacing w:after="0" w:line="360" w:lineRule="auto"/>
        <w:ind w:firstLine="709"/>
        <w:jc w:val="both"/>
        <w:rPr>
          <w:rFonts w:ascii="Times New Roman" w:hAnsi="Times New Roman"/>
          <w:lang w:eastAsia="zh-CN"/>
        </w:rPr>
      </w:pPr>
      <w:r>
        <w:rPr>
          <w:rFonts w:ascii="Times New Roman" w:hAnsi="Times New Roman"/>
          <w:lang w:eastAsia="zh-CN"/>
        </w:rPr>
        <w:t xml:space="preserve">Учебные, тренировочные и контрольные задания, игры с элементами единоборств, игры-задания, учебные схватки на выполнение изученных упражнений, участие в соревновательной деятельности. </w:t>
      </w:r>
    </w:p>
    <w:p w14:paraId="34CE199C">
      <w:pPr>
        <w:pBdr>
          <w:top w:val="none" w:color="000000" w:sz="0" w:space="0"/>
          <w:left w:val="none" w:color="000000" w:sz="0" w:space="0"/>
          <w:bottom w:val="none" w:color="000000" w:sz="0" w:space="0"/>
          <w:right w:val="none" w:color="000000" w:sz="0" w:space="0"/>
        </w:pBdr>
        <w:suppressAutoHyphens/>
        <w:spacing w:after="0" w:line="360" w:lineRule="auto"/>
        <w:ind w:firstLine="709"/>
        <w:jc w:val="both"/>
        <w:rPr>
          <w:rFonts w:ascii="Times New Roman" w:hAnsi="Times New Roman"/>
          <w:u w:color="000000"/>
          <w:lang w:eastAsia="zh-CN"/>
        </w:rPr>
      </w:pPr>
      <w:r>
        <w:rPr>
          <w:rFonts w:ascii="Times New Roman" w:hAnsi="Times New Roman" w:eastAsia="Times New Roman"/>
          <w:bCs/>
          <w:lang w:eastAsia="zh-CN"/>
        </w:rPr>
        <w:t>16.4.</w:t>
      </w:r>
      <w:r>
        <w:rPr>
          <w:rFonts w:ascii="Times New Roman" w:hAnsi="Times New Roman"/>
          <w:iCs/>
          <w:lang w:eastAsia="zh-CN"/>
        </w:rPr>
        <w:t>1.7</w:t>
      </w:r>
      <w:r>
        <w:rPr>
          <w:rFonts w:ascii="Times New Roman" w:hAnsi="Times New Roman"/>
          <w:lang w:eastAsia="zh-CN"/>
        </w:rPr>
        <w:t>. </w:t>
      </w:r>
      <w:r>
        <w:rPr>
          <w:rFonts w:ascii="Times New Roman" w:hAnsi="Times New Roman"/>
          <w:u w:color="000000"/>
          <w:lang w:eastAsia="zh-CN"/>
        </w:rPr>
        <w:t>Содержание модуля «Самбо» направлено на достижение обучающимися личностных, метапредметных и предметных результатов обучения.</w:t>
      </w:r>
    </w:p>
    <w:p w14:paraId="7C83F05A">
      <w:pPr>
        <w:pBdr>
          <w:top w:val="none" w:color="000000" w:sz="0" w:space="0"/>
          <w:left w:val="none" w:color="000000" w:sz="0" w:space="0"/>
          <w:bottom w:val="none" w:color="000000" w:sz="0" w:space="0"/>
          <w:right w:val="none" w:color="000000" w:sz="0" w:space="0"/>
        </w:pBdr>
        <w:suppressAutoHyphens/>
        <w:spacing w:after="0" w:line="360" w:lineRule="auto"/>
        <w:ind w:firstLine="709"/>
        <w:jc w:val="both"/>
        <w:rPr>
          <w:rFonts w:ascii="Times New Roman" w:hAnsi="Times New Roman"/>
          <w:u w:color="000000"/>
          <w:lang w:eastAsia="zh-CN"/>
        </w:rPr>
      </w:pPr>
      <w:r>
        <w:rPr>
          <w:rFonts w:ascii="Times New Roman" w:hAnsi="Times New Roman" w:eastAsia="Times New Roman"/>
          <w:bCs/>
          <w:lang w:eastAsia="zh-CN"/>
        </w:rPr>
        <w:t>16.4.</w:t>
      </w:r>
      <w:r>
        <w:rPr>
          <w:rFonts w:ascii="Times New Roman" w:hAnsi="Times New Roman"/>
          <w:iCs/>
          <w:lang w:eastAsia="zh-CN"/>
        </w:rPr>
        <w:t>1.</w:t>
      </w:r>
      <w:bookmarkStart w:id="272" w:name="_Hlk124950343"/>
      <w:bookmarkStart w:id="273" w:name="_Hlk124958952"/>
      <w:r>
        <w:rPr>
          <w:rFonts w:ascii="Times New Roman" w:hAnsi="Times New Roman"/>
          <w:iCs/>
          <w:lang w:eastAsia="zh-CN"/>
        </w:rPr>
        <w:t>7.1. </w:t>
      </w:r>
      <w:r>
        <w:rPr>
          <w:rFonts w:ascii="Times New Roman" w:hAnsi="Times New Roman"/>
          <w:u w:color="000000"/>
          <w:lang w:eastAsia="zh-CN"/>
        </w:rPr>
        <w:t xml:space="preserve">При изучении модуля «Самбо» на уровне начального общего образования у обучающихся будут сформированы следующие </w:t>
      </w:r>
      <w:bookmarkEnd w:id="272"/>
      <w:r>
        <w:rPr>
          <w:rFonts w:ascii="Times New Roman" w:hAnsi="Times New Roman"/>
          <w:u w:color="000000"/>
          <w:lang w:eastAsia="zh-CN"/>
        </w:rPr>
        <w:t>личностные результаты</w:t>
      </w:r>
      <w:bookmarkEnd w:id="273"/>
      <w:r>
        <w:rPr>
          <w:rFonts w:ascii="Times New Roman" w:hAnsi="Times New Roman"/>
          <w:u w:color="000000"/>
          <w:lang w:eastAsia="zh-CN"/>
        </w:rPr>
        <w:t>:</w:t>
      </w:r>
    </w:p>
    <w:p w14:paraId="39EA8935">
      <w:pPr>
        <w:spacing w:after="0" w:line="360" w:lineRule="auto"/>
        <w:ind w:firstLine="709"/>
        <w:contextualSpacing/>
        <w:jc w:val="both"/>
        <w:rPr>
          <w:rFonts w:ascii="Times New Roman" w:hAnsi="Times New Roman" w:eastAsia="Times New Roman"/>
          <w:u w:color="000000"/>
          <w:lang w:eastAsia="ru-RU"/>
        </w:rPr>
      </w:pPr>
      <w:r>
        <w:rPr>
          <w:rFonts w:ascii="Times New Roman" w:hAnsi="Times New Roman" w:eastAsia="HiddenHorzOCR"/>
          <w:u w:color="000000"/>
          <w:lang w:eastAsia="ru-RU"/>
        </w:rPr>
        <w:t xml:space="preserve">проявление чувства гордости за свою Родину, российский народ и историю России через значимость самбо, подвиги самбистов в период военных действий и </w:t>
      </w:r>
      <w:r>
        <w:rPr>
          <w:rFonts w:ascii="Times New Roman" w:hAnsi="Times New Roman"/>
          <w:bCs/>
          <w:u w:color="000000"/>
          <w:lang w:eastAsia="ru-RU"/>
        </w:rPr>
        <w:t>достижения отечественной сборной команды страны на мировых пространствах спорта;</w:t>
      </w:r>
    </w:p>
    <w:p w14:paraId="262EF0FC">
      <w:pPr>
        <w:spacing w:after="0" w:line="360" w:lineRule="auto"/>
        <w:ind w:firstLine="709"/>
        <w:contextualSpacing/>
        <w:jc w:val="both"/>
        <w:rPr>
          <w:rFonts w:ascii="Times New Roman" w:hAnsi="Times New Roman"/>
          <w:bCs/>
          <w:u w:color="000000"/>
          <w:lang w:eastAsia="ru-RU"/>
        </w:rPr>
      </w:pPr>
      <w:r>
        <w:rPr>
          <w:rFonts w:ascii="Times New Roman" w:hAnsi="Times New Roman"/>
          <w:bCs/>
          <w:u w:color="000000"/>
          <w:lang w:eastAsia="ru-RU"/>
        </w:rPr>
        <w:t>п</w:t>
      </w:r>
      <w:r>
        <w:rPr>
          <w:rFonts w:ascii="Times New Roman" w:hAnsi="Times New Roman"/>
          <w:bCs/>
          <w:iCs/>
          <w:u w:color="000000"/>
          <w:lang w:eastAsia="ru-RU"/>
        </w:rPr>
        <w:t>роявление</w:t>
      </w:r>
      <w:r>
        <w:rPr>
          <w:rFonts w:ascii="Times New Roman" w:hAnsi="Times New Roman"/>
          <w:u w:color="000000"/>
          <w:lang w:eastAsia="ru-RU"/>
        </w:rPr>
        <w:t xml:space="preserve"> уважительного отношения к сверстникам, культуры общения и взаимодействия, </w:t>
      </w:r>
      <w:r>
        <w:rPr>
          <w:rFonts w:ascii="Times New Roman" w:hAnsi="Times New Roman"/>
          <w:lang w:eastAsia="zh-CN"/>
        </w:rPr>
        <w:t>нравственного поведения, проявление положительных качеств личности, осознанного и ответственного отношения к собственным поступкам, решение проблем в процессе занятий самбо;</w:t>
      </w:r>
    </w:p>
    <w:p w14:paraId="7A20BA1A">
      <w:pPr>
        <w:pBdr>
          <w:top w:val="none" w:color="000000" w:sz="0" w:space="0"/>
          <w:left w:val="none" w:color="000000" w:sz="0" w:space="0"/>
          <w:bottom w:val="none" w:color="000000" w:sz="0" w:space="0"/>
          <w:right w:val="none" w:color="000000" w:sz="0" w:space="0"/>
        </w:pBdr>
        <w:suppressAutoHyphens/>
        <w:spacing w:after="0" w:line="360" w:lineRule="auto"/>
        <w:ind w:firstLine="709"/>
        <w:jc w:val="both"/>
        <w:rPr>
          <w:rFonts w:ascii="Times New Roman" w:hAnsi="Times New Roman"/>
          <w:lang w:eastAsia="zh-CN"/>
        </w:rPr>
      </w:pPr>
      <w:r>
        <w:rPr>
          <w:rFonts w:ascii="Times New Roman" w:hAnsi="Times New Roman"/>
          <w:lang w:eastAsia="zh-CN"/>
        </w:rPr>
        <w:t>ценности здорового и безопасного образа жизни, усвоение правил безопасного поведения в учебной, соревновательной, досуговой деятельности и чрезвычайных ситуациях при занятии самбо.</w:t>
      </w:r>
    </w:p>
    <w:p w14:paraId="3703C44F">
      <w:pPr>
        <w:pBdr>
          <w:top w:val="none" w:color="000000" w:sz="0" w:space="0"/>
          <w:left w:val="none" w:color="000000" w:sz="0" w:space="0"/>
          <w:bottom w:val="none" w:color="000000" w:sz="0" w:space="0"/>
          <w:right w:val="none" w:color="000000" w:sz="0" w:space="0"/>
        </w:pBdr>
        <w:suppressAutoHyphens/>
        <w:spacing w:after="0" w:line="360" w:lineRule="auto"/>
        <w:ind w:firstLine="709"/>
        <w:jc w:val="both"/>
        <w:rPr>
          <w:rFonts w:ascii="Times New Roman" w:hAnsi="Times New Roman"/>
          <w:lang w:eastAsia="zh-CN"/>
        </w:rPr>
      </w:pPr>
      <w:r>
        <w:rPr>
          <w:rFonts w:ascii="Times New Roman" w:hAnsi="Times New Roman" w:eastAsia="Times New Roman"/>
          <w:bCs/>
          <w:lang w:eastAsia="zh-CN"/>
        </w:rPr>
        <w:t>16.4.</w:t>
      </w:r>
      <w:r>
        <w:rPr>
          <w:rFonts w:ascii="Times New Roman" w:hAnsi="Times New Roman"/>
          <w:iCs/>
          <w:lang w:eastAsia="zh-CN"/>
        </w:rPr>
        <w:t>1.7.2. </w:t>
      </w:r>
      <w:r>
        <w:rPr>
          <w:rFonts w:ascii="Times New Roman" w:hAnsi="Times New Roman"/>
          <w:u w:color="000000"/>
          <w:lang w:eastAsia="zh-CN"/>
        </w:rPr>
        <w:t>При изучении модуля «Самбо» на уровне начального общего образования у обучающихся будут сформированы следующие</w:t>
      </w:r>
      <w:r>
        <w:rPr>
          <w:rFonts w:ascii="Times New Roman" w:hAnsi="Times New Roman"/>
          <w:lang w:eastAsia="zh-CN"/>
        </w:rPr>
        <w:t xml:space="preserve"> метапредметные результаты:</w:t>
      </w:r>
    </w:p>
    <w:p w14:paraId="7CCC19EF">
      <w:pPr>
        <w:pBdr>
          <w:top w:val="none" w:color="000000" w:sz="0" w:space="0"/>
          <w:left w:val="none" w:color="000000" w:sz="0" w:space="0"/>
          <w:bottom w:val="none" w:color="000000" w:sz="0" w:space="0"/>
          <w:right w:val="none" w:color="000000" w:sz="0" w:space="0"/>
        </w:pBdr>
        <w:suppressAutoHyphens/>
        <w:spacing w:after="0" w:line="360" w:lineRule="auto"/>
        <w:ind w:firstLine="709"/>
        <w:jc w:val="both"/>
        <w:rPr>
          <w:rFonts w:ascii="Times New Roman" w:hAnsi="Times New Roman"/>
          <w:lang w:eastAsia="zh-CN"/>
        </w:rPr>
      </w:pPr>
      <w:r>
        <w:rPr>
          <w:rFonts w:ascii="Times New Roman" w:hAnsi="Times New Roman"/>
          <w:lang w:eastAsia="zh-CN"/>
        </w:rPr>
        <w:t>умение самостоятельно определять цели и задачи своего обучения средствами самбо, развивать мотивы и интересы своей познавательной деятельности в физкультурно-спортивном направлении;</w:t>
      </w:r>
    </w:p>
    <w:p w14:paraId="3BFE5359">
      <w:pPr>
        <w:pBdr>
          <w:top w:val="none" w:color="000000" w:sz="0" w:space="0"/>
          <w:left w:val="none" w:color="000000" w:sz="0" w:space="0"/>
          <w:bottom w:val="none" w:color="000000" w:sz="0" w:space="0"/>
          <w:right w:val="none" w:color="000000" w:sz="0" w:space="0"/>
        </w:pBdr>
        <w:suppressAutoHyphens/>
        <w:spacing w:after="0" w:line="360" w:lineRule="auto"/>
        <w:ind w:firstLine="709"/>
        <w:jc w:val="both"/>
        <w:rPr>
          <w:rFonts w:ascii="Times New Roman" w:hAnsi="Times New Roman"/>
          <w:lang w:eastAsia="zh-CN"/>
        </w:rPr>
      </w:pPr>
      <w:r>
        <w:rPr>
          <w:rFonts w:ascii="Times New Roman" w:hAnsi="Times New Roman"/>
          <w:lang w:eastAsia="zh-CN"/>
        </w:rPr>
        <w:t>умение планировать пути достижения целей с учетом наиболее эффективных способов решения задач средствами самбо в учебной, игровой, соревновательной и досуговой деятельности, соотносить двигательные действия с планируемыми результатами в самбо, определять и корректировать способы действий в рамках предложенных условий;</w:t>
      </w:r>
    </w:p>
    <w:p w14:paraId="3A123F31">
      <w:pPr>
        <w:pBdr>
          <w:top w:val="none" w:color="000000" w:sz="0" w:space="0"/>
          <w:left w:val="none" w:color="000000" w:sz="0" w:space="0"/>
          <w:bottom w:val="none" w:color="000000" w:sz="0" w:space="0"/>
          <w:right w:val="none" w:color="000000" w:sz="0" w:space="0"/>
        </w:pBdr>
        <w:suppressAutoHyphens/>
        <w:spacing w:after="0" w:line="360" w:lineRule="auto"/>
        <w:ind w:firstLine="709"/>
        <w:jc w:val="both"/>
        <w:rPr>
          <w:rFonts w:ascii="Times New Roman" w:hAnsi="Times New Roman"/>
          <w:lang w:eastAsia="zh-CN"/>
        </w:rPr>
      </w:pPr>
      <w:r>
        <w:rPr>
          <w:rFonts w:ascii="Times New Roman" w:hAnsi="Times New Roman"/>
          <w:lang w:eastAsia="zh-CN"/>
        </w:rPr>
        <w:t>умение владеть основами самоконтроля, самооценки, выявлять, анализировать и находить способы устранения ошибок при выполнении технических и тактических действий самбо;</w:t>
      </w:r>
    </w:p>
    <w:p w14:paraId="7176A029">
      <w:pPr>
        <w:pBdr>
          <w:top w:val="none" w:color="000000" w:sz="0" w:space="0"/>
          <w:left w:val="none" w:color="000000" w:sz="0" w:space="0"/>
          <w:bottom w:val="none" w:color="000000" w:sz="0" w:space="0"/>
          <w:right w:val="none" w:color="000000" w:sz="0" w:space="0"/>
        </w:pBdr>
        <w:suppressAutoHyphens/>
        <w:spacing w:after="0" w:line="360" w:lineRule="auto"/>
        <w:ind w:firstLine="709"/>
        <w:jc w:val="both"/>
        <w:rPr>
          <w:rFonts w:ascii="Times New Roman" w:hAnsi="Times New Roman"/>
          <w:lang w:eastAsia="zh-CN"/>
        </w:rPr>
      </w:pPr>
      <w:r>
        <w:rPr>
          <w:rFonts w:ascii="Times New Roman" w:hAnsi="Times New Roman"/>
          <w:lang w:eastAsia="zh-CN"/>
        </w:rPr>
        <w:t>умение организовывать совместную деятельность с учителем и сверстниками, работать индивидуально и в группе, формулировать, аргументировать и отстаивать своё мнение, соблюдать нормы информационной избирательности, этики и этикета.</w:t>
      </w:r>
    </w:p>
    <w:p w14:paraId="7ED9692A">
      <w:pPr>
        <w:pBdr>
          <w:top w:val="none" w:color="000000" w:sz="0" w:space="0"/>
          <w:left w:val="none" w:color="000000" w:sz="0" w:space="0"/>
          <w:bottom w:val="none" w:color="000000" w:sz="0" w:space="0"/>
          <w:right w:val="none" w:color="000000" w:sz="0" w:space="0"/>
        </w:pBdr>
        <w:suppressAutoHyphens/>
        <w:spacing w:after="0" w:line="360" w:lineRule="auto"/>
        <w:ind w:firstLine="709"/>
        <w:jc w:val="both"/>
        <w:rPr>
          <w:rFonts w:ascii="Times New Roman" w:hAnsi="Times New Roman"/>
          <w:lang w:eastAsia="zh-CN"/>
        </w:rPr>
      </w:pPr>
      <w:r>
        <w:rPr>
          <w:rFonts w:ascii="Times New Roman" w:hAnsi="Times New Roman" w:eastAsia="Times New Roman"/>
          <w:bCs/>
          <w:lang w:eastAsia="zh-CN"/>
        </w:rPr>
        <w:t>16.4.</w:t>
      </w:r>
      <w:r>
        <w:rPr>
          <w:rFonts w:ascii="Times New Roman" w:hAnsi="Times New Roman"/>
          <w:lang w:eastAsia="zh-CN"/>
        </w:rPr>
        <w:t>1.7.3.</w:t>
      </w:r>
      <w:r>
        <w:rPr>
          <w:rFonts w:ascii="Times New Roman" w:hAnsi="Times New Roman"/>
          <w:u w:color="000000"/>
          <w:lang w:eastAsia="zh-CN"/>
        </w:rPr>
        <w:t xml:space="preserve"> При изучении модуля «Самбо» на уровне начального общего образования у обучающихся будут сформированы следующие </w:t>
      </w:r>
      <w:r>
        <w:rPr>
          <w:rFonts w:ascii="Times New Roman" w:hAnsi="Times New Roman"/>
          <w:lang w:eastAsia="zh-CN"/>
        </w:rPr>
        <w:t>предметные результаты:</w:t>
      </w:r>
    </w:p>
    <w:p w14:paraId="222F3D37">
      <w:pPr>
        <w:pBdr>
          <w:top w:val="none" w:color="000000" w:sz="0" w:space="0"/>
          <w:left w:val="none" w:color="000000" w:sz="0" w:space="0"/>
          <w:bottom w:val="none" w:color="000000" w:sz="0" w:space="0"/>
          <w:right w:val="none" w:color="000000" w:sz="0" w:space="0"/>
        </w:pBdr>
        <w:suppressAutoHyphens/>
        <w:spacing w:after="0" w:line="360" w:lineRule="auto"/>
        <w:ind w:firstLine="709"/>
        <w:jc w:val="both"/>
        <w:rPr>
          <w:rFonts w:ascii="Times New Roman" w:hAnsi="Times New Roman"/>
          <w:lang w:eastAsia="zh-CN"/>
        </w:rPr>
      </w:pPr>
      <w:r>
        <w:rPr>
          <w:rFonts w:ascii="Times New Roman" w:hAnsi="Times New Roman"/>
          <w:lang w:eastAsia="zh-CN"/>
        </w:rPr>
        <w:t>понимание значения самбо как средства повышения функциональных возможностей основных систем организма и укрепления здоровья человека, а также обеспечения собственной безопасности и безопасности близких;</w:t>
      </w:r>
    </w:p>
    <w:p w14:paraId="6B1C3A1A">
      <w:pPr>
        <w:shd w:val="clear" w:color="auto" w:fill="FFFFFF"/>
        <w:tabs>
          <w:tab w:val="left" w:pos="504"/>
        </w:tabs>
        <w:suppressAutoHyphens/>
        <w:spacing w:after="0" w:line="360" w:lineRule="auto"/>
        <w:ind w:firstLine="709"/>
        <w:jc w:val="both"/>
        <w:rPr>
          <w:rFonts w:ascii="Times New Roman" w:hAnsi="Times New Roman"/>
          <w:iCs/>
          <w:lang w:eastAsia="zh-CN"/>
        </w:rPr>
      </w:pPr>
      <w:r>
        <w:rPr>
          <w:rFonts w:ascii="Times New Roman" w:hAnsi="Times New Roman" w:eastAsia="@Arial Unicode MS"/>
          <w:iCs/>
          <w:lang w:eastAsia="zh-CN"/>
        </w:rPr>
        <w:t>умение преодолевать</w:t>
      </w:r>
      <w:r>
        <w:rPr>
          <w:rFonts w:ascii="Times New Roman" w:hAnsi="Times New Roman"/>
          <w:iCs/>
          <w:spacing w:val="-1"/>
          <w:lang w:eastAsia="zh-CN"/>
        </w:rPr>
        <w:t xml:space="preserve"> чувство страха перед выполнением сложно координационных упражнений из положения «стоя»</w:t>
      </w:r>
      <w:r>
        <w:rPr>
          <w:rFonts w:ascii="Times New Roman" w:hAnsi="Times New Roman"/>
          <w:iCs/>
          <w:spacing w:val="2"/>
          <w:lang w:eastAsia="zh-CN"/>
        </w:rPr>
        <w:t>;</w:t>
      </w:r>
    </w:p>
    <w:p w14:paraId="0296C688">
      <w:pPr>
        <w:pBdr>
          <w:top w:val="none" w:color="000000" w:sz="0" w:space="0"/>
          <w:left w:val="none" w:color="000000" w:sz="0" w:space="0"/>
          <w:bottom w:val="none" w:color="000000" w:sz="0" w:space="0"/>
          <w:right w:val="none" w:color="000000" w:sz="0" w:space="0"/>
        </w:pBdr>
        <w:suppressAutoHyphens/>
        <w:spacing w:after="0" w:line="360" w:lineRule="auto"/>
        <w:ind w:firstLine="709"/>
        <w:jc w:val="both"/>
        <w:rPr>
          <w:rFonts w:ascii="Times New Roman" w:hAnsi="Times New Roman"/>
          <w:lang w:eastAsia="zh-CN"/>
        </w:rPr>
      </w:pPr>
      <w:r>
        <w:rPr>
          <w:rFonts w:ascii="Times New Roman" w:hAnsi="Times New Roman"/>
          <w:lang w:eastAsia="zh-CN"/>
        </w:rPr>
        <w:t xml:space="preserve">умение характеризовать </w:t>
      </w:r>
      <w:r>
        <w:rPr>
          <w:rFonts w:ascii="Times New Roman" w:hAnsi="Times New Roman"/>
        </w:rPr>
        <w:t>позиции, технические и тактические действия, относящиеся к самбо;</w:t>
      </w:r>
    </w:p>
    <w:p w14:paraId="7E37A438">
      <w:pPr>
        <w:pBdr>
          <w:top w:val="none" w:color="000000" w:sz="0" w:space="0"/>
          <w:left w:val="none" w:color="000000" w:sz="0" w:space="0"/>
          <w:bottom w:val="none" w:color="000000" w:sz="0" w:space="0"/>
          <w:right w:val="none" w:color="000000" w:sz="0" w:space="0"/>
        </w:pBdr>
        <w:suppressAutoHyphens/>
        <w:spacing w:after="0" w:line="360" w:lineRule="auto"/>
        <w:ind w:firstLine="709"/>
        <w:jc w:val="both"/>
        <w:rPr>
          <w:rFonts w:ascii="Times New Roman" w:hAnsi="Times New Roman"/>
          <w:i/>
          <w:lang w:eastAsia="zh-CN"/>
        </w:rPr>
      </w:pPr>
      <w:r>
        <w:rPr>
          <w:rFonts w:ascii="Times New Roman" w:hAnsi="Times New Roman"/>
          <w:lang w:eastAsia="zh-CN"/>
        </w:rPr>
        <w:t>знание основных правил вида спорта самбо, правил участия в соревнованиях по самбо в учебной, тренировочной и соревновательной деятельности, этических норм участника соревнований;</w:t>
      </w:r>
      <w:r>
        <w:rPr>
          <w:rFonts w:ascii="Times New Roman" w:hAnsi="Times New Roman"/>
          <w:i/>
          <w:lang w:eastAsia="zh-CN"/>
        </w:rPr>
        <w:t xml:space="preserve"> </w:t>
      </w:r>
    </w:p>
    <w:p w14:paraId="6A9A2B1F">
      <w:pPr>
        <w:pBdr>
          <w:top w:val="none" w:color="000000" w:sz="0" w:space="0"/>
          <w:left w:val="none" w:color="000000" w:sz="0" w:space="0"/>
          <w:bottom w:val="none" w:color="000000" w:sz="0" w:space="0"/>
          <w:right w:val="none" w:color="000000" w:sz="0" w:space="0"/>
        </w:pBdr>
        <w:suppressAutoHyphens/>
        <w:spacing w:after="0" w:line="360" w:lineRule="auto"/>
        <w:ind w:firstLine="709"/>
        <w:jc w:val="both"/>
        <w:rPr>
          <w:rFonts w:ascii="Times New Roman" w:hAnsi="Times New Roman"/>
          <w:lang w:eastAsia="zh-CN"/>
        </w:rPr>
      </w:pPr>
      <w:r>
        <w:rPr>
          <w:rFonts w:ascii="Times New Roman" w:hAnsi="Times New Roman"/>
          <w:lang w:eastAsia="zh-CN"/>
        </w:rPr>
        <w:t>знание и умение правильно выполнять основные технические элементы группировки, приёмы самостраховки в различных вариантах, из различных исходных положений, в любую сторону;</w:t>
      </w:r>
    </w:p>
    <w:p w14:paraId="0F29CCE4">
      <w:pPr>
        <w:pBdr>
          <w:top w:val="none" w:color="000000" w:sz="0" w:space="0"/>
          <w:left w:val="none" w:color="000000" w:sz="0" w:space="0"/>
          <w:bottom w:val="none" w:color="000000" w:sz="0" w:space="0"/>
          <w:right w:val="none" w:color="000000" w:sz="0" w:space="0"/>
        </w:pBdr>
        <w:suppressAutoHyphens/>
        <w:spacing w:after="0" w:line="360" w:lineRule="auto"/>
        <w:ind w:firstLine="709"/>
        <w:jc w:val="both"/>
        <w:rPr>
          <w:rFonts w:ascii="Times New Roman" w:hAnsi="Times New Roman"/>
          <w:lang w:eastAsia="zh-CN"/>
        </w:rPr>
      </w:pPr>
      <w:r>
        <w:rPr>
          <w:rFonts w:ascii="Times New Roman" w:hAnsi="Times New Roman"/>
          <w:lang w:eastAsia="zh-CN"/>
        </w:rPr>
        <w:t>выполнять технические действия самбо по образцу учителя (лучшего обучающегося), анализировать собственные действия, корректировать действия с учётом допущенных ошибок;</w:t>
      </w:r>
    </w:p>
    <w:p w14:paraId="5D63CA5C">
      <w:pPr>
        <w:pBdr>
          <w:top w:val="none" w:color="000000" w:sz="0" w:space="0"/>
          <w:left w:val="none" w:color="000000" w:sz="0" w:space="0"/>
          <w:bottom w:val="none" w:color="000000" w:sz="0" w:space="0"/>
          <w:right w:val="none" w:color="000000" w:sz="0" w:space="0"/>
        </w:pBdr>
        <w:suppressAutoHyphens/>
        <w:spacing w:after="0" w:line="360" w:lineRule="auto"/>
        <w:ind w:firstLine="709"/>
        <w:jc w:val="both"/>
        <w:rPr>
          <w:rFonts w:ascii="Times New Roman" w:hAnsi="Times New Roman"/>
          <w:iCs/>
          <w:lang w:eastAsia="zh-CN"/>
        </w:rPr>
      </w:pPr>
      <w:r>
        <w:rPr>
          <w:rFonts w:ascii="Times New Roman" w:hAnsi="Times New Roman" w:eastAsia="Times New Roman"/>
          <w:iCs/>
          <w:lang w:eastAsia="zh-CN"/>
        </w:rPr>
        <w:t>умение подбирать, составлять и осваивать самостоятельно и при участии и помощи родителей</w:t>
      </w:r>
      <w:r>
        <w:rPr>
          <w:rFonts w:ascii="Times New Roman" w:hAnsi="Times New Roman"/>
          <w:iCs/>
          <w:lang w:eastAsia="zh-CN"/>
        </w:rPr>
        <w:t xml:space="preserve"> простейшие </w:t>
      </w:r>
      <w:r>
        <w:rPr>
          <w:rFonts w:ascii="Times New Roman" w:hAnsi="Times New Roman" w:eastAsia="Times New Roman"/>
          <w:iCs/>
          <w:lang w:eastAsia="zh-CN"/>
        </w:rPr>
        <w:t xml:space="preserve">комплексы </w:t>
      </w:r>
      <w:r>
        <w:rPr>
          <w:rFonts w:ascii="Times New Roman" w:hAnsi="Times New Roman"/>
          <w:iCs/>
          <w:lang w:eastAsia="zh-CN"/>
        </w:rPr>
        <w:t xml:space="preserve">общеразвивающих, специальных и имитационных </w:t>
      </w:r>
      <w:r>
        <w:rPr>
          <w:rFonts w:ascii="Times New Roman" w:hAnsi="Times New Roman" w:eastAsia="Times New Roman"/>
          <w:iCs/>
          <w:lang w:eastAsia="zh-CN"/>
        </w:rPr>
        <w:t xml:space="preserve">упражнений </w:t>
      </w:r>
      <w:r>
        <w:rPr>
          <w:rFonts w:ascii="Times New Roman" w:hAnsi="Times New Roman"/>
          <w:iCs/>
          <w:lang w:eastAsia="zh-CN"/>
        </w:rPr>
        <w:t>для занятий самбо;</w:t>
      </w:r>
    </w:p>
    <w:p w14:paraId="6FD359CF">
      <w:pPr>
        <w:pBdr>
          <w:top w:val="none" w:color="000000" w:sz="0" w:space="0"/>
          <w:left w:val="none" w:color="000000" w:sz="0" w:space="0"/>
          <w:bottom w:val="none" w:color="000000" w:sz="0" w:space="0"/>
          <w:right w:val="none" w:color="000000" w:sz="0" w:space="0"/>
        </w:pBdr>
        <w:suppressAutoHyphens/>
        <w:spacing w:after="0" w:line="360" w:lineRule="auto"/>
        <w:ind w:firstLine="709"/>
        <w:jc w:val="both"/>
        <w:rPr>
          <w:rFonts w:ascii="Times New Roman" w:hAnsi="Times New Roman"/>
          <w:lang w:eastAsia="zh-CN"/>
        </w:rPr>
      </w:pPr>
      <w:r>
        <w:rPr>
          <w:rFonts w:ascii="Times New Roman" w:hAnsi="Times New Roman"/>
          <w:lang w:eastAsia="zh-CN"/>
        </w:rPr>
        <w:t>владение правилами поведения и требованиями безопасности при организации занятий самбо в спортивном зале, на открытых плоскостных сооружениях в различное время года;</w:t>
      </w:r>
    </w:p>
    <w:p w14:paraId="1346EE86">
      <w:pPr>
        <w:pBdr>
          <w:top w:val="none" w:color="000000" w:sz="0" w:space="0"/>
          <w:left w:val="none" w:color="000000" w:sz="0" w:space="0"/>
          <w:bottom w:val="none" w:color="000000" w:sz="0" w:space="0"/>
          <w:right w:val="none" w:color="000000" w:sz="0" w:space="0"/>
        </w:pBdr>
        <w:suppressAutoHyphens/>
        <w:spacing w:after="0" w:line="360" w:lineRule="auto"/>
        <w:ind w:firstLine="709"/>
        <w:jc w:val="both"/>
        <w:rPr>
          <w:rFonts w:ascii="Times New Roman" w:hAnsi="Times New Roman"/>
          <w:lang w:eastAsia="zh-CN"/>
        </w:rPr>
      </w:pPr>
      <w:r>
        <w:rPr>
          <w:rFonts w:ascii="Times New Roman" w:hAnsi="Times New Roman"/>
          <w:lang w:eastAsia="zh-CN"/>
        </w:rPr>
        <w:t>умение осуществлять самоконтроль за физической нагрузкой в процессе занятий самбо, применять средства восстановления организма после физической нагрузки;</w:t>
      </w:r>
    </w:p>
    <w:p w14:paraId="2DEED3D3">
      <w:pPr>
        <w:pBdr>
          <w:top w:val="none" w:color="000000" w:sz="0" w:space="0"/>
          <w:left w:val="none" w:color="000000" w:sz="0" w:space="0"/>
          <w:bottom w:val="none" w:color="000000" w:sz="0" w:space="0"/>
          <w:right w:val="none" w:color="000000" w:sz="0" w:space="0"/>
        </w:pBdr>
        <w:suppressAutoHyphens/>
        <w:spacing w:after="0" w:line="360" w:lineRule="auto"/>
        <w:ind w:firstLine="709"/>
        <w:jc w:val="both"/>
        <w:rPr>
          <w:rFonts w:ascii="Times New Roman" w:hAnsi="Times New Roman"/>
          <w:lang w:eastAsia="zh-CN"/>
        </w:rPr>
      </w:pPr>
      <w:r>
        <w:rPr>
          <w:rFonts w:ascii="Times New Roman" w:hAnsi="Times New Roman"/>
          <w:bCs/>
          <w:lang w:eastAsia="zh-CN"/>
        </w:rPr>
        <w:t>умение демонстрировать</w:t>
      </w:r>
      <w:r>
        <w:rPr>
          <w:rFonts w:ascii="Times New Roman" w:hAnsi="Times New Roman"/>
          <w:bCs/>
          <w:i/>
          <w:iCs/>
          <w:lang w:eastAsia="zh-CN"/>
        </w:rPr>
        <w:t xml:space="preserve"> </w:t>
      </w:r>
      <w:r>
        <w:rPr>
          <w:rFonts w:ascii="Times New Roman" w:hAnsi="Times New Roman" w:eastAsia="Times New Roman"/>
          <w:lang w:eastAsia="zh-CN"/>
        </w:rPr>
        <w:t>общеразвивающие и</w:t>
      </w:r>
      <w:r>
        <w:rPr>
          <w:rFonts w:ascii="Times New Roman" w:hAnsi="Times New Roman"/>
          <w:lang w:eastAsia="zh-CN"/>
        </w:rPr>
        <w:t xml:space="preserve"> имитационные упражнения и элементарные технические действия по самбо для повышения уровня общей физической подготовленности, развития основных физических качеств и предварительной подготовки к освоению базовых технических действий самбо;</w:t>
      </w:r>
    </w:p>
    <w:p w14:paraId="50889105">
      <w:pPr>
        <w:pBdr>
          <w:top w:val="none" w:color="000000" w:sz="0" w:space="0"/>
          <w:left w:val="none" w:color="000000" w:sz="0" w:space="0"/>
          <w:bottom w:val="none" w:color="000000" w:sz="0" w:space="0"/>
          <w:right w:val="none" w:color="000000" w:sz="0" w:space="0"/>
        </w:pBdr>
        <w:suppressAutoHyphens/>
        <w:spacing w:after="0" w:line="360" w:lineRule="auto"/>
        <w:ind w:firstLine="709"/>
        <w:jc w:val="both"/>
        <w:rPr>
          <w:rFonts w:ascii="Times New Roman" w:hAnsi="Times New Roman"/>
          <w:lang w:eastAsia="zh-CN"/>
        </w:rPr>
      </w:pPr>
      <w:r>
        <w:rPr>
          <w:rFonts w:ascii="Times New Roman" w:hAnsi="Times New Roman"/>
          <w:bCs/>
          <w:lang w:eastAsia="zh-CN"/>
        </w:rPr>
        <w:t>умение</w:t>
      </w:r>
      <w:r>
        <w:rPr>
          <w:rFonts w:ascii="Times New Roman" w:hAnsi="Times New Roman"/>
          <w:lang w:eastAsia="zh-CN"/>
        </w:rPr>
        <w:t xml:space="preserve"> демонстрировать </w:t>
      </w:r>
      <w:r>
        <w:rPr>
          <w:rFonts w:ascii="Times New Roman" w:hAnsi="Times New Roman"/>
          <w:bCs/>
          <w:lang w:eastAsia="zh-CN"/>
        </w:rPr>
        <w:t>элементарные</w:t>
      </w:r>
      <w:r>
        <w:rPr>
          <w:rFonts w:ascii="Times New Roman" w:hAnsi="Times New Roman"/>
          <w:lang w:eastAsia="zh-CN"/>
        </w:rPr>
        <w:t xml:space="preserve"> навыки и </w:t>
      </w:r>
      <w:r>
        <w:rPr>
          <w:rFonts w:ascii="Times New Roman" w:hAnsi="Times New Roman"/>
          <w:bCs/>
          <w:lang w:eastAsia="zh-CN"/>
        </w:rPr>
        <w:t>элементы</w:t>
      </w:r>
      <w:r>
        <w:rPr>
          <w:rFonts w:ascii="Times New Roman" w:hAnsi="Times New Roman"/>
          <w:lang w:eastAsia="zh-CN"/>
        </w:rPr>
        <w:t xml:space="preserve"> </w:t>
      </w:r>
      <w:r>
        <w:rPr>
          <w:rFonts w:ascii="Times New Roman" w:hAnsi="Times New Roman"/>
          <w:bCs/>
          <w:lang w:eastAsia="zh-CN"/>
        </w:rPr>
        <w:t>техники</w:t>
      </w:r>
      <w:r>
        <w:rPr>
          <w:rFonts w:ascii="Times New Roman" w:hAnsi="Times New Roman"/>
          <w:lang w:eastAsia="zh-CN"/>
        </w:rPr>
        <w:t xml:space="preserve"> </w:t>
      </w:r>
      <w:r>
        <w:rPr>
          <w:rFonts w:ascii="Times New Roman" w:hAnsi="Times New Roman"/>
          <w:bCs/>
          <w:lang w:eastAsia="zh-CN"/>
        </w:rPr>
        <w:t xml:space="preserve">борьбы </w:t>
      </w:r>
      <w:r>
        <w:rPr>
          <w:rFonts w:ascii="Times New Roman" w:hAnsi="Times New Roman"/>
          <w:lang w:eastAsia="zh-CN"/>
        </w:rPr>
        <w:t xml:space="preserve">лёжа, </w:t>
      </w:r>
      <w:r>
        <w:rPr>
          <w:rFonts w:ascii="Times New Roman" w:hAnsi="Times New Roman"/>
          <w:bCs/>
          <w:lang w:eastAsia="zh-CN"/>
        </w:rPr>
        <w:t>элементы</w:t>
      </w:r>
      <w:r>
        <w:rPr>
          <w:rFonts w:ascii="Times New Roman" w:hAnsi="Times New Roman"/>
          <w:lang w:eastAsia="zh-CN"/>
        </w:rPr>
        <w:t xml:space="preserve"> </w:t>
      </w:r>
      <w:r>
        <w:rPr>
          <w:rFonts w:ascii="Times New Roman" w:hAnsi="Times New Roman"/>
          <w:bCs/>
          <w:lang w:eastAsia="zh-CN"/>
        </w:rPr>
        <w:t xml:space="preserve">техники </w:t>
      </w:r>
      <w:r>
        <w:rPr>
          <w:rFonts w:ascii="Times New Roman" w:hAnsi="Times New Roman"/>
          <w:lang w:eastAsia="zh-CN"/>
        </w:rPr>
        <w:t>способов защиты и уходов от удержаний, активные и пассивные способы защиты;</w:t>
      </w:r>
    </w:p>
    <w:p w14:paraId="51A15499">
      <w:pPr>
        <w:suppressAutoHyphens/>
        <w:spacing w:after="0" w:line="360" w:lineRule="auto"/>
        <w:ind w:firstLine="709"/>
        <w:contextualSpacing/>
        <w:jc w:val="both"/>
        <w:rPr>
          <w:rFonts w:ascii="Times New Roman" w:hAnsi="Times New Roman"/>
          <w:lang w:eastAsia="zh-CN"/>
        </w:rPr>
      </w:pPr>
      <w:r>
        <w:rPr>
          <w:rFonts w:ascii="Times New Roman" w:hAnsi="Times New Roman"/>
          <w:bCs/>
          <w:lang w:eastAsia="zh-CN"/>
        </w:rPr>
        <w:t>участие в соревновательной деятельности внутри школьных этапов различных соревнований, фестивалей, конкурсов по самбо;</w:t>
      </w:r>
    </w:p>
    <w:p w14:paraId="01712FF8">
      <w:pPr>
        <w:pBdr>
          <w:top w:val="none" w:color="000000" w:sz="0" w:space="0"/>
          <w:left w:val="none" w:color="000000" w:sz="0" w:space="0"/>
          <w:bottom w:val="none" w:color="000000" w:sz="0" w:space="0"/>
          <w:right w:val="none" w:color="000000" w:sz="0" w:space="0"/>
        </w:pBdr>
        <w:suppressAutoHyphens/>
        <w:spacing w:after="0" w:line="360" w:lineRule="auto"/>
        <w:ind w:firstLine="709"/>
        <w:jc w:val="both"/>
        <w:rPr>
          <w:rFonts w:ascii="Times New Roman" w:hAnsi="Times New Roman"/>
          <w:lang w:eastAsia="zh-CN"/>
        </w:rPr>
      </w:pPr>
      <w:r>
        <w:rPr>
          <w:rFonts w:ascii="Times New Roman" w:hAnsi="Times New Roman"/>
          <w:lang w:eastAsia="zh-CN"/>
        </w:rPr>
        <w:t>знание и выполнение тестовых упражнений по физической подготовленности в самбо, участие в соревнованиях по самбо.</w:t>
      </w:r>
    </w:p>
    <w:p w14:paraId="585DCAEC">
      <w:pPr>
        <w:pBdr>
          <w:top w:val="none" w:color="000000" w:sz="0" w:space="0"/>
          <w:left w:val="none" w:color="000000" w:sz="0" w:space="0"/>
          <w:bottom w:val="none" w:color="000000" w:sz="0" w:space="0"/>
          <w:right w:val="none" w:color="000000" w:sz="0" w:space="0"/>
        </w:pBdr>
        <w:suppressAutoHyphens/>
        <w:spacing w:after="0" w:line="360" w:lineRule="auto"/>
        <w:ind w:firstLine="709"/>
        <w:jc w:val="both"/>
        <w:rPr>
          <w:rFonts w:ascii="Times New Roman" w:hAnsi="Times New Roman"/>
          <w:lang w:eastAsia="zh-CN"/>
        </w:rPr>
      </w:pPr>
      <w:r>
        <w:rPr>
          <w:rFonts w:ascii="Times New Roman" w:hAnsi="Times New Roman" w:eastAsia="Times New Roman"/>
          <w:bCs/>
          <w:lang w:eastAsia="zh-CN"/>
        </w:rPr>
        <w:t>16.4.</w:t>
      </w:r>
      <w:r>
        <w:rPr>
          <w:rFonts w:ascii="Times New Roman" w:hAnsi="Times New Roman" w:eastAsia="Times New Roman"/>
          <w:lang w:eastAsia="zh-CN"/>
        </w:rPr>
        <w:t>2. М</w:t>
      </w:r>
      <w:r>
        <w:rPr>
          <w:rFonts w:ascii="Times New Roman" w:hAnsi="Times New Roman"/>
          <w:lang w:eastAsia="zh-CN"/>
        </w:rPr>
        <w:t xml:space="preserve">одуль «Гандбол». </w:t>
      </w:r>
    </w:p>
    <w:p w14:paraId="16C76607">
      <w:pPr>
        <w:pBdr>
          <w:top w:val="none" w:color="000000" w:sz="0" w:space="0"/>
          <w:left w:val="none" w:color="000000" w:sz="0" w:space="0"/>
          <w:bottom w:val="none" w:color="000000" w:sz="0" w:space="0"/>
          <w:right w:val="none" w:color="000000" w:sz="0" w:space="0"/>
        </w:pBdr>
        <w:suppressAutoHyphens/>
        <w:spacing w:after="0" w:line="360" w:lineRule="auto"/>
        <w:ind w:firstLine="709"/>
        <w:jc w:val="both"/>
        <w:rPr>
          <w:rFonts w:ascii="Times New Roman" w:hAnsi="Times New Roman"/>
          <w:lang w:eastAsia="zh-CN"/>
        </w:rPr>
      </w:pPr>
      <w:r>
        <w:rPr>
          <w:rFonts w:ascii="Times New Roman" w:hAnsi="Times New Roman" w:eastAsia="Times New Roman"/>
          <w:bCs/>
          <w:lang w:eastAsia="zh-CN"/>
        </w:rPr>
        <w:t>16.4.</w:t>
      </w:r>
      <w:r>
        <w:rPr>
          <w:rFonts w:ascii="Times New Roman" w:hAnsi="Times New Roman"/>
          <w:lang w:eastAsia="zh-CN"/>
        </w:rPr>
        <w:t>2.1. Пояснительная записка модуля «Гандбол».</w:t>
      </w:r>
    </w:p>
    <w:p w14:paraId="29D45FA4">
      <w:pPr>
        <w:pBdr>
          <w:top w:val="none" w:color="000000" w:sz="0" w:space="0"/>
          <w:left w:val="none" w:color="000000" w:sz="0" w:space="0"/>
          <w:bottom w:val="none" w:color="000000" w:sz="0" w:space="0"/>
          <w:right w:val="none" w:color="000000" w:sz="0" w:space="0"/>
        </w:pBdr>
        <w:suppressAutoHyphens/>
        <w:spacing w:after="0" w:line="360" w:lineRule="auto"/>
        <w:ind w:firstLine="709"/>
        <w:jc w:val="both"/>
        <w:rPr>
          <w:rFonts w:ascii="Times New Roman" w:hAnsi="Times New Roman"/>
          <w:u w:color="000000"/>
          <w:lang w:eastAsia="zh-CN"/>
        </w:rPr>
      </w:pPr>
      <w:r>
        <w:rPr>
          <w:rFonts w:ascii="Times New Roman" w:hAnsi="Times New Roman"/>
          <w:lang w:eastAsia="zh-CN"/>
        </w:rPr>
        <w:t xml:space="preserve">Модуль «Гандбол» (далее – модуль по гандболу, гандбол) на уровне начального общего образования разработан с целью оказания методической помощи учителю физической культуры в создании рабочей программы по учебному предмету «Физическая культура» </w:t>
      </w:r>
      <w:r>
        <w:rPr>
          <w:rFonts w:ascii="Times New Roman" w:hAnsi="Times New Roman"/>
          <w:u w:color="000000"/>
          <w:lang w:eastAsia="zh-CN"/>
        </w:rPr>
        <w:t>с учётом современных тенденций в системе образования и использования спортивно-ориентированных форм, средств и методов обучения по различным видам спорта.</w:t>
      </w:r>
    </w:p>
    <w:p w14:paraId="5397156E">
      <w:pPr>
        <w:pBdr>
          <w:top w:val="none" w:color="000000" w:sz="0" w:space="0"/>
          <w:left w:val="none" w:color="000000" w:sz="0" w:space="0"/>
          <w:bottom w:val="none" w:color="000000" w:sz="0" w:space="0"/>
          <w:right w:val="none" w:color="000000" w:sz="0" w:space="0"/>
        </w:pBdr>
        <w:shd w:val="clear" w:color="auto" w:fill="FFFFFF"/>
        <w:tabs>
          <w:tab w:val="left" w:pos="1620"/>
        </w:tabs>
        <w:suppressAutoHyphens/>
        <w:spacing w:after="0" w:line="360" w:lineRule="auto"/>
        <w:ind w:firstLine="709"/>
        <w:jc w:val="both"/>
        <w:rPr>
          <w:rFonts w:ascii="Times New Roman" w:hAnsi="Times New Roman" w:eastAsia="Arial Unicode MS"/>
          <w:lang w:eastAsia="zh-CN"/>
        </w:rPr>
      </w:pPr>
      <w:r>
        <w:rPr>
          <w:rFonts w:ascii="Times New Roman" w:hAnsi="Times New Roman" w:eastAsia="Arial Unicode MS"/>
          <w:lang w:eastAsia="zh-CN"/>
        </w:rPr>
        <w:t xml:space="preserve">Средства гандбола </w:t>
      </w:r>
      <w:r>
        <w:rPr>
          <w:rFonts w:ascii="Times New Roman" w:hAnsi="Times New Roman" w:eastAsia="Times New Roman"/>
          <w:lang w:eastAsia="zh-CN"/>
        </w:rPr>
        <w:t>способствуют гармоничному развитию и укреплению здоровья обучающихся</w:t>
      </w:r>
      <w:r>
        <w:rPr>
          <w:rFonts w:ascii="Times New Roman" w:hAnsi="Times New Roman" w:eastAsia="Arial Unicode MS"/>
          <w:lang w:eastAsia="zh-CN"/>
        </w:rPr>
        <w:t>, комплексно влияют на органы и системы растущего организма, укрепляя и повышая функциональный уровень</w:t>
      </w:r>
      <w:r>
        <w:rPr>
          <w:rFonts w:ascii="Times New Roman" w:hAnsi="Times New Roman" w:eastAsia="Times New Roman"/>
          <w:lang w:eastAsia="zh-CN"/>
        </w:rPr>
        <w:t xml:space="preserve"> всех систем организма человека. </w:t>
      </w:r>
      <w:r>
        <w:rPr>
          <w:rFonts w:ascii="Times New Roman" w:hAnsi="Times New Roman" w:eastAsia="Arial Unicode MS"/>
          <w:lang w:eastAsia="zh-CN"/>
        </w:rPr>
        <w:t>При занятиях гандболом используются самые разнообразные действия с мячом, что обеспечивает необходимую физическую нагрузку на все группы мышц обучающегося и способствует укреплению позвоночника для формирования правильной осанки.</w:t>
      </w:r>
    </w:p>
    <w:p w14:paraId="23F79EDD">
      <w:pPr>
        <w:pBdr>
          <w:top w:val="none" w:color="000000" w:sz="0" w:space="0"/>
          <w:left w:val="none" w:color="000000" w:sz="0" w:space="0"/>
          <w:bottom w:val="none" w:color="000000" w:sz="0" w:space="0"/>
          <w:right w:val="none" w:color="000000" w:sz="0" w:space="0"/>
        </w:pBdr>
        <w:shd w:val="clear" w:color="auto" w:fill="FFFFFF"/>
        <w:tabs>
          <w:tab w:val="left" w:pos="0"/>
        </w:tabs>
        <w:suppressAutoHyphens/>
        <w:spacing w:after="0" w:line="360" w:lineRule="auto"/>
        <w:ind w:firstLine="709"/>
        <w:jc w:val="both"/>
        <w:rPr>
          <w:rFonts w:ascii="Times New Roman" w:hAnsi="Times New Roman" w:eastAsia="Times New Roman"/>
          <w:lang w:eastAsia="zh-CN"/>
        </w:rPr>
      </w:pPr>
      <w:r>
        <w:rPr>
          <w:rFonts w:ascii="Times New Roman" w:hAnsi="Times New Roman" w:eastAsia="Times New Roman"/>
          <w:lang w:eastAsia="zh-CN"/>
        </w:rPr>
        <w:t>Систематические занятия гандболом развивают такие черты личности, как целеустремленность, настойчивость, самообладание, решительность, смелость, дисциплинированность, самостоятельность, приобретение эмоционального, психологического комфорта и залога безопасности жизни.</w:t>
      </w:r>
    </w:p>
    <w:p w14:paraId="75B21F13">
      <w:pPr>
        <w:pBdr>
          <w:top w:val="none" w:color="000000" w:sz="0" w:space="0"/>
          <w:left w:val="none" w:color="000000" w:sz="0" w:space="0"/>
          <w:bottom w:val="none" w:color="000000" w:sz="0" w:space="0"/>
          <w:right w:val="none" w:color="000000" w:sz="0" w:space="0"/>
        </w:pBdr>
        <w:suppressAutoHyphens/>
        <w:spacing w:after="0" w:line="360" w:lineRule="auto"/>
        <w:ind w:firstLine="709"/>
        <w:jc w:val="both"/>
        <w:rPr>
          <w:rFonts w:ascii="Times New Roman" w:hAnsi="Times New Roman"/>
          <w:lang w:eastAsia="zh-CN"/>
        </w:rPr>
      </w:pPr>
      <w:r>
        <w:rPr>
          <w:rFonts w:ascii="Times New Roman" w:hAnsi="Times New Roman" w:eastAsia="Times New Roman"/>
          <w:bCs/>
          <w:lang w:eastAsia="zh-CN"/>
        </w:rPr>
        <w:t>16.4.</w:t>
      </w:r>
      <w:r>
        <w:rPr>
          <w:rFonts w:ascii="Times New Roman" w:hAnsi="Times New Roman"/>
          <w:lang w:eastAsia="zh-CN"/>
        </w:rPr>
        <w:t xml:space="preserve">2.2. Целью изучения модуля «Гандбол» является формирование у обучающихся навыков общечеловеческой культуры и социального самоопределения, устойчивой мотивации к сохранению и укреплению собственного здоровья, ведению здорового образа жизни через занятия физической культурой и спортом с использованием средств вида спорта «гандбол». </w:t>
      </w:r>
    </w:p>
    <w:p w14:paraId="015EBF98">
      <w:pPr>
        <w:pBdr>
          <w:top w:val="none" w:color="000000" w:sz="0" w:space="0"/>
          <w:left w:val="none" w:color="000000" w:sz="0" w:space="0"/>
          <w:bottom w:val="none" w:color="000000" w:sz="0" w:space="0"/>
          <w:right w:val="none" w:color="000000" w:sz="0" w:space="0"/>
        </w:pBdr>
        <w:suppressAutoHyphens/>
        <w:spacing w:after="0" w:line="360" w:lineRule="auto"/>
        <w:ind w:firstLine="709"/>
        <w:jc w:val="both"/>
        <w:rPr>
          <w:rFonts w:ascii="Times New Roman" w:hAnsi="Times New Roman"/>
          <w:lang w:eastAsia="zh-CN"/>
        </w:rPr>
      </w:pPr>
      <w:r>
        <w:rPr>
          <w:rFonts w:ascii="Times New Roman" w:hAnsi="Times New Roman" w:eastAsia="Times New Roman"/>
          <w:bCs/>
          <w:lang w:eastAsia="zh-CN"/>
        </w:rPr>
        <w:t>16.4.</w:t>
      </w:r>
      <w:r>
        <w:rPr>
          <w:rFonts w:ascii="Times New Roman" w:hAnsi="Times New Roman"/>
          <w:lang w:eastAsia="zh-CN"/>
        </w:rPr>
        <w:t>2.3. Задачами изучения модуля «Гандбол» являются:</w:t>
      </w:r>
    </w:p>
    <w:p w14:paraId="6940C54D">
      <w:pPr>
        <w:pBdr>
          <w:top w:val="none" w:color="000000" w:sz="0" w:space="0"/>
          <w:left w:val="none" w:color="000000" w:sz="0" w:space="0"/>
          <w:bottom w:val="none" w:color="000000" w:sz="0" w:space="0"/>
          <w:right w:val="none" w:color="000000" w:sz="0" w:space="0"/>
        </w:pBdr>
        <w:tabs>
          <w:tab w:val="left" w:pos="708"/>
        </w:tabs>
        <w:suppressAutoHyphens/>
        <w:spacing w:after="0" w:line="360" w:lineRule="auto"/>
        <w:ind w:firstLine="709"/>
        <w:jc w:val="both"/>
        <w:rPr>
          <w:rFonts w:ascii="Times New Roman" w:hAnsi="Times New Roman" w:eastAsia="Times New Roman"/>
          <w:lang w:eastAsia="zh-CN"/>
        </w:rPr>
      </w:pPr>
      <w:r>
        <w:rPr>
          <w:rFonts w:ascii="Times New Roman" w:hAnsi="Times New Roman" w:eastAsia="Times New Roman"/>
          <w:lang w:eastAsia="zh-CN"/>
        </w:rPr>
        <w:t>всестороннее гармоничное развитие детей, увеличение объёма их двигательной активности;</w:t>
      </w:r>
    </w:p>
    <w:p w14:paraId="79EBB131">
      <w:pPr>
        <w:pBdr>
          <w:top w:val="none" w:color="000000" w:sz="0" w:space="0"/>
          <w:left w:val="none" w:color="000000" w:sz="0" w:space="0"/>
          <w:bottom w:val="none" w:color="000000" w:sz="0" w:space="0"/>
          <w:right w:val="none" w:color="000000" w:sz="0" w:space="0"/>
        </w:pBdr>
        <w:tabs>
          <w:tab w:val="left" w:pos="708"/>
        </w:tabs>
        <w:suppressAutoHyphens/>
        <w:spacing w:after="0" w:line="360" w:lineRule="auto"/>
        <w:ind w:firstLine="709"/>
        <w:jc w:val="both"/>
        <w:rPr>
          <w:rFonts w:ascii="Times New Roman" w:hAnsi="Times New Roman" w:eastAsia="Times New Roman"/>
          <w:lang w:eastAsia="zh-CN"/>
        </w:rPr>
      </w:pPr>
      <w:r>
        <w:rPr>
          <w:rFonts w:ascii="Times New Roman" w:hAnsi="Times New Roman" w:eastAsia="Times New Roman"/>
          <w:lang w:eastAsia="zh-CN"/>
        </w:rPr>
        <w:t xml:space="preserve">укрепление </w:t>
      </w:r>
      <w:r>
        <w:rPr>
          <w:rFonts w:ascii="Times New Roman" w:hAnsi="Times New Roman" w:eastAsia="@Arial Unicode MS"/>
          <w:lang w:eastAsia="zh-CN"/>
        </w:rPr>
        <w:t xml:space="preserve">физического, психологического и социального </w:t>
      </w:r>
      <w:r>
        <w:rPr>
          <w:rFonts w:ascii="Times New Roman" w:hAnsi="Times New Roman" w:eastAsia="Times New Roman"/>
          <w:lang w:eastAsia="zh-CN"/>
        </w:rPr>
        <w:t xml:space="preserve">здоровья обучающихся, развитие основных физических качеств и повышение функциональных возможностей их организма, </w:t>
      </w:r>
      <w:r>
        <w:rPr>
          <w:rFonts w:ascii="Times New Roman" w:hAnsi="Times New Roman" w:eastAsia="@Arial Unicode MS"/>
          <w:lang w:eastAsia="zh-CN"/>
        </w:rPr>
        <w:t>обеспечение безопасности</w:t>
      </w:r>
      <w:r>
        <w:rPr>
          <w:rFonts w:ascii="Times New Roman" w:hAnsi="Times New Roman" w:eastAsia="Times New Roman"/>
          <w:lang w:eastAsia="zh-CN"/>
        </w:rPr>
        <w:t xml:space="preserve"> средствами;</w:t>
      </w:r>
    </w:p>
    <w:p w14:paraId="17EE91AC">
      <w:pPr>
        <w:pBdr>
          <w:top w:val="none" w:color="000000" w:sz="0" w:space="0"/>
          <w:left w:val="none" w:color="000000" w:sz="0" w:space="0"/>
          <w:bottom w:val="none" w:color="000000" w:sz="0" w:space="0"/>
          <w:right w:val="none" w:color="000000" w:sz="0" w:space="0"/>
        </w:pBdr>
        <w:tabs>
          <w:tab w:val="left" w:pos="708"/>
        </w:tabs>
        <w:suppressAutoHyphens/>
        <w:spacing w:after="0" w:line="360" w:lineRule="auto"/>
        <w:ind w:firstLine="709"/>
        <w:jc w:val="both"/>
        <w:rPr>
          <w:rFonts w:ascii="Times New Roman" w:hAnsi="Times New Roman" w:eastAsia="Times New Roman"/>
          <w:lang w:eastAsia="zh-CN"/>
        </w:rPr>
      </w:pPr>
      <w:r>
        <w:rPr>
          <w:rFonts w:ascii="Times New Roman" w:hAnsi="Times New Roman" w:eastAsia="Times New Roman"/>
          <w:lang w:eastAsia="zh-CN"/>
        </w:rPr>
        <w:t>освоение знаний о физической культуре и спорте в целом, истории развития гандбола в частности;</w:t>
      </w:r>
    </w:p>
    <w:p w14:paraId="1466FB22">
      <w:pPr>
        <w:pBdr>
          <w:top w:val="none" w:color="000000" w:sz="0" w:space="0"/>
          <w:left w:val="none" w:color="000000" w:sz="0" w:space="0"/>
          <w:bottom w:val="none" w:color="000000" w:sz="0" w:space="0"/>
          <w:right w:val="none" w:color="000000" w:sz="0" w:space="0"/>
        </w:pBdr>
        <w:tabs>
          <w:tab w:val="left" w:pos="708"/>
        </w:tabs>
        <w:suppressAutoHyphens/>
        <w:spacing w:after="0" w:line="360" w:lineRule="auto"/>
        <w:ind w:firstLine="709"/>
        <w:jc w:val="both"/>
        <w:rPr>
          <w:rFonts w:ascii="Times New Roman" w:hAnsi="Times New Roman" w:eastAsia="Times New Roman"/>
          <w:lang w:eastAsia="zh-CN"/>
        </w:rPr>
      </w:pPr>
      <w:r>
        <w:rPr>
          <w:rFonts w:ascii="Times New Roman" w:hAnsi="Times New Roman" w:eastAsia="Times New Roman"/>
          <w:lang w:eastAsia="zh-CN"/>
        </w:rPr>
        <w:t>формирование общих представлений о гандболе, о его возможностях и значении в процессе укрепления здоровья, физическом развитии и физической подготовке обучающихся;</w:t>
      </w:r>
    </w:p>
    <w:p w14:paraId="4764F841">
      <w:pPr>
        <w:pBdr>
          <w:top w:val="none" w:color="000000" w:sz="0" w:space="0"/>
          <w:left w:val="none" w:color="000000" w:sz="0" w:space="0"/>
          <w:bottom w:val="none" w:color="000000" w:sz="0" w:space="0"/>
          <w:right w:val="none" w:color="000000" w:sz="0" w:space="0"/>
        </w:pBdr>
        <w:tabs>
          <w:tab w:val="left" w:pos="708"/>
        </w:tabs>
        <w:suppressAutoHyphens/>
        <w:spacing w:after="0" w:line="360" w:lineRule="auto"/>
        <w:ind w:firstLine="709"/>
        <w:jc w:val="both"/>
        <w:rPr>
          <w:rFonts w:ascii="Times New Roman" w:hAnsi="Times New Roman" w:eastAsia="Times New Roman"/>
          <w:lang w:eastAsia="zh-CN"/>
        </w:rPr>
      </w:pPr>
      <w:r>
        <w:rPr>
          <w:rFonts w:ascii="Times New Roman" w:hAnsi="Times New Roman" w:eastAsia="Times New Roman"/>
          <w:lang w:eastAsia="zh-CN"/>
        </w:rPr>
        <w:t>формирование образовательного базиса, основанного как на знаниях и умениях в области физической культуры и спорта, так и на соответствующем культурном уровне развития личности обучающегося, создающем необходимые предпосылки для его самореализации;</w:t>
      </w:r>
    </w:p>
    <w:p w14:paraId="5EF403D4">
      <w:pPr>
        <w:pBdr>
          <w:top w:val="none" w:color="000000" w:sz="0" w:space="0"/>
          <w:left w:val="none" w:color="000000" w:sz="0" w:space="0"/>
          <w:bottom w:val="none" w:color="000000" w:sz="0" w:space="0"/>
          <w:right w:val="none" w:color="000000" w:sz="0" w:space="0"/>
        </w:pBdr>
        <w:tabs>
          <w:tab w:val="left" w:pos="708"/>
        </w:tabs>
        <w:suppressAutoHyphens/>
        <w:spacing w:after="0" w:line="360" w:lineRule="auto"/>
        <w:ind w:firstLine="709"/>
        <w:jc w:val="both"/>
        <w:rPr>
          <w:rFonts w:ascii="Times New Roman" w:hAnsi="Times New Roman" w:eastAsia="Times New Roman"/>
          <w:lang w:eastAsia="ru-RU"/>
        </w:rPr>
      </w:pPr>
      <w:r>
        <w:rPr>
          <w:rFonts w:ascii="Times New Roman" w:hAnsi="Times New Roman" w:eastAsia="Times New Roman"/>
          <w:lang w:eastAsia="ru-RU"/>
        </w:rPr>
        <w:t>формирование культуры движений, обогащение двигательного опыта физическими упражнениями с общеразвивающей и корригирующей направленностью,</w:t>
      </w:r>
      <w:r>
        <w:rPr>
          <w:rFonts w:ascii="Times New Roman" w:hAnsi="Times New Roman" w:eastAsia="Times New Roman"/>
          <w:lang w:eastAsia="zh-CN"/>
        </w:rPr>
        <w:t xml:space="preserve"> </w:t>
      </w:r>
      <w:r>
        <w:rPr>
          <w:rFonts w:ascii="Times New Roman" w:hAnsi="Times New Roman" w:eastAsia="PragmaticaC"/>
          <w:lang w:eastAsia="zh-CN"/>
        </w:rPr>
        <w:t>техническими действиями и приемами вида спорта «гандбол»</w:t>
      </w:r>
      <w:r>
        <w:rPr>
          <w:rFonts w:ascii="Times New Roman" w:hAnsi="Times New Roman" w:eastAsia="Times New Roman"/>
          <w:lang w:eastAsia="ru-RU"/>
        </w:rPr>
        <w:t>;</w:t>
      </w:r>
    </w:p>
    <w:p w14:paraId="7F5FA6B8">
      <w:pPr>
        <w:pBdr>
          <w:top w:val="none" w:color="000000" w:sz="0" w:space="0"/>
          <w:left w:val="none" w:color="000000" w:sz="0" w:space="0"/>
          <w:bottom w:val="none" w:color="000000" w:sz="0" w:space="0"/>
          <w:right w:val="none" w:color="000000" w:sz="0" w:space="0"/>
        </w:pBdr>
        <w:tabs>
          <w:tab w:val="left" w:pos="708"/>
        </w:tabs>
        <w:suppressAutoHyphens/>
        <w:spacing w:after="0" w:line="360" w:lineRule="auto"/>
        <w:ind w:firstLine="709"/>
        <w:jc w:val="both"/>
        <w:rPr>
          <w:rFonts w:ascii="Times New Roman" w:hAnsi="Times New Roman" w:eastAsia="Times New Roman"/>
          <w:lang w:eastAsia="zh-CN"/>
        </w:rPr>
      </w:pPr>
      <w:r>
        <w:rPr>
          <w:rFonts w:ascii="Times New Roman" w:hAnsi="Times New Roman" w:eastAsia="Times New Roman"/>
          <w:lang w:eastAsia="zh-CN"/>
        </w:rPr>
        <w:t>воспитание положительных качеств личности, норм коллективного взаимодействия и сотрудничества;</w:t>
      </w:r>
    </w:p>
    <w:p w14:paraId="70FE9C2F">
      <w:pPr>
        <w:pBdr>
          <w:top w:val="none" w:color="000000" w:sz="0" w:space="0"/>
          <w:left w:val="none" w:color="000000" w:sz="0" w:space="0"/>
          <w:bottom w:val="none" w:color="000000" w:sz="0" w:space="0"/>
          <w:right w:val="none" w:color="000000" w:sz="0" w:space="0"/>
        </w:pBdr>
        <w:tabs>
          <w:tab w:val="left" w:pos="708"/>
        </w:tabs>
        <w:suppressAutoHyphens/>
        <w:spacing w:after="0" w:line="360" w:lineRule="auto"/>
        <w:ind w:firstLine="709"/>
        <w:jc w:val="both"/>
        <w:rPr>
          <w:rFonts w:ascii="Times New Roman" w:hAnsi="Times New Roman" w:eastAsia="Times New Roman"/>
          <w:lang w:eastAsia="zh-CN"/>
        </w:rPr>
      </w:pPr>
      <w:r>
        <w:rPr>
          <w:rFonts w:ascii="Times New Roman" w:hAnsi="Times New Roman" w:eastAsia="Times New Roman"/>
          <w:lang w:eastAsia="zh-CN"/>
        </w:rPr>
        <w:t>развитие положительной мотивации и устойчивого учебно-познавательного интереса к предмету «Физическая культура»;</w:t>
      </w:r>
    </w:p>
    <w:p w14:paraId="04AF6CBB">
      <w:pPr>
        <w:pBdr>
          <w:top w:val="none" w:color="000000" w:sz="0" w:space="0"/>
          <w:left w:val="none" w:color="000000" w:sz="0" w:space="0"/>
          <w:bottom w:val="none" w:color="000000" w:sz="0" w:space="0"/>
          <w:right w:val="none" w:color="000000" w:sz="0" w:space="0"/>
        </w:pBdr>
        <w:tabs>
          <w:tab w:val="left" w:pos="708"/>
        </w:tabs>
        <w:suppressAutoHyphens/>
        <w:spacing w:after="0" w:line="360" w:lineRule="auto"/>
        <w:ind w:firstLine="709"/>
        <w:jc w:val="both"/>
        <w:rPr>
          <w:rFonts w:ascii="Times New Roman" w:hAnsi="Times New Roman" w:eastAsia="Times New Roman"/>
          <w:lang w:eastAsia="zh-CN"/>
        </w:rPr>
      </w:pPr>
      <w:r>
        <w:rPr>
          <w:rFonts w:ascii="Times New Roman" w:hAnsi="Times New Roman" w:eastAsia="Times New Roman"/>
          <w:lang w:eastAsia="zh-CN"/>
        </w:rPr>
        <w:t>выявление, развитие и поддержка одарённых детей в области спорта.</w:t>
      </w:r>
    </w:p>
    <w:p w14:paraId="69A6A080">
      <w:pPr>
        <w:pBdr>
          <w:top w:val="none" w:color="000000" w:sz="0" w:space="0"/>
          <w:left w:val="none" w:color="000000" w:sz="0" w:space="0"/>
          <w:bottom w:val="none" w:color="000000" w:sz="0" w:space="0"/>
          <w:right w:val="none" w:color="000000" w:sz="0" w:space="0"/>
        </w:pBdr>
        <w:tabs>
          <w:tab w:val="left" w:pos="708"/>
        </w:tabs>
        <w:suppressAutoHyphens/>
        <w:spacing w:after="0" w:line="360" w:lineRule="auto"/>
        <w:ind w:firstLine="709"/>
        <w:jc w:val="both"/>
        <w:rPr>
          <w:rFonts w:ascii="Times New Roman" w:hAnsi="Times New Roman" w:eastAsia="Times New Roman"/>
          <w:lang w:eastAsia="zh-CN"/>
        </w:rPr>
      </w:pPr>
      <w:r>
        <w:rPr>
          <w:rFonts w:ascii="Times New Roman" w:hAnsi="Times New Roman" w:eastAsia="Times New Roman"/>
          <w:bCs/>
          <w:lang w:eastAsia="zh-CN"/>
        </w:rPr>
        <w:t>16.4.</w:t>
      </w:r>
      <w:r>
        <w:rPr>
          <w:rFonts w:ascii="Times New Roman" w:hAnsi="Times New Roman" w:eastAsia="Times New Roman"/>
          <w:lang w:eastAsia="zh-CN"/>
        </w:rPr>
        <w:t>2.4. Место и роль модуля «Гандбол».</w:t>
      </w:r>
    </w:p>
    <w:p w14:paraId="77AC9DF4">
      <w:pPr>
        <w:suppressAutoHyphens/>
        <w:autoSpaceDE w:val="0"/>
        <w:spacing w:after="0" w:line="360" w:lineRule="auto"/>
        <w:ind w:firstLine="709"/>
        <w:jc w:val="both"/>
        <w:rPr>
          <w:rFonts w:ascii="Times New Roman" w:hAnsi="Times New Roman"/>
          <w:iCs/>
          <w:lang w:eastAsia="ru-RU"/>
        </w:rPr>
      </w:pPr>
      <w:r>
        <w:rPr>
          <w:rFonts w:ascii="Times New Roman" w:hAnsi="Times New Roman"/>
          <w:lang w:eastAsia="zh-CN"/>
        </w:rPr>
        <w:t>Модуль «Гандбол»</w:t>
      </w:r>
      <w:r>
        <w:rPr>
          <w:rFonts w:ascii="Times New Roman" w:hAnsi="Times New Roman"/>
          <w:lang w:eastAsia="ar-SA"/>
        </w:rPr>
        <w:t xml:space="preserve"> </w:t>
      </w:r>
      <w:r>
        <w:rPr>
          <w:rFonts w:ascii="Times New Roman" w:hAnsi="Times New Roman"/>
          <w:lang w:eastAsia="zh-CN"/>
        </w:rPr>
        <w:t>доступен для освоения всем обучающимся, независимо от уровня их физического развития и гендерных особенностей и расширяет спектр физкультурно-спортивных направлений в общеобразовательных организациях.</w:t>
      </w:r>
    </w:p>
    <w:p w14:paraId="55B86342">
      <w:pPr>
        <w:spacing w:after="0" w:line="360" w:lineRule="auto"/>
        <w:ind w:firstLine="709"/>
        <w:jc w:val="both"/>
        <w:rPr>
          <w:rFonts w:ascii="Times New Roman" w:hAnsi="Times New Roman"/>
        </w:rPr>
      </w:pPr>
      <w:r>
        <w:rPr>
          <w:rFonts w:ascii="Times New Roman" w:hAnsi="Times New Roman"/>
        </w:rPr>
        <w:t>Специфика модуля по гандболу сочетается практически со всеми базовыми видами спорта (легкая атлетика, гимнастика, спортивные игры).</w:t>
      </w:r>
    </w:p>
    <w:p w14:paraId="6BE79DB2">
      <w:pPr>
        <w:pBdr>
          <w:top w:val="none" w:color="000000" w:sz="0" w:space="0"/>
          <w:left w:val="none" w:color="000000" w:sz="0" w:space="0"/>
          <w:bottom w:val="none" w:color="000000" w:sz="0" w:space="0"/>
          <w:right w:val="none" w:color="000000" w:sz="0" w:space="0"/>
        </w:pBdr>
        <w:suppressAutoHyphens/>
        <w:autoSpaceDE w:val="0"/>
        <w:spacing w:after="0" w:line="360" w:lineRule="auto"/>
        <w:ind w:firstLine="567"/>
        <w:jc w:val="both"/>
        <w:rPr>
          <w:rFonts w:ascii="Times New Roman" w:hAnsi="Times New Roman"/>
          <w:lang w:eastAsia="ru-RU"/>
        </w:rPr>
      </w:pPr>
      <w:r>
        <w:rPr>
          <w:rFonts w:ascii="Times New Roman" w:hAnsi="Times New Roman"/>
          <w:iCs/>
          <w:lang w:eastAsia="zh-CN"/>
        </w:rPr>
        <w:t xml:space="preserve">Интеграция модуля по гандболу поможет обучающимся </w:t>
      </w:r>
      <w:r>
        <w:rPr>
          <w:rFonts w:ascii="Times New Roman" w:hAnsi="Times New Roman"/>
          <w:lang w:eastAsia="zh-CN"/>
        </w:rPr>
        <w:t xml:space="preserve">в освоении образовательных программ в рамках внеурочной деятельности, дополнительного образования, деятельности школьных спортивных клубов, </w:t>
      </w:r>
      <w:r>
        <w:rPr>
          <w:rFonts w:ascii="Times New Roman" w:hAnsi="Times New Roman"/>
          <w:bCs/>
          <w:iCs/>
          <w:lang w:eastAsia="zh-CN"/>
        </w:rPr>
        <w:t xml:space="preserve">подготовке </w:t>
      </w:r>
      <w:r>
        <w:rPr>
          <w:rFonts w:ascii="Times New Roman" w:hAnsi="Times New Roman"/>
          <w:lang w:eastAsia="zh-CN"/>
        </w:rPr>
        <w:t xml:space="preserve">обучающихся к сдаче норм ГТО </w:t>
      </w:r>
      <w:r>
        <w:rPr>
          <w:rFonts w:ascii="Times New Roman" w:hAnsi="Times New Roman"/>
          <w:bCs/>
          <w:iCs/>
          <w:lang w:eastAsia="zh-CN"/>
        </w:rPr>
        <w:t xml:space="preserve">и </w:t>
      </w:r>
      <w:r>
        <w:rPr>
          <w:rFonts w:ascii="Times New Roman" w:hAnsi="Times New Roman"/>
          <w:lang w:eastAsia="zh-CN"/>
        </w:rPr>
        <w:t>участии в спортивных соревнованиях.</w:t>
      </w:r>
    </w:p>
    <w:p w14:paraId="51BD371F">
      <w:pPr>
        <w:pBdr>
          <w:top w:val="none" w:color="000000" w:sz="0" w:space="0"/>
          <w:left w:val="none" w:color="000000" w:sz="0" w:space="0"/>
          <w:bottom w:val="none" w:color="000000" w:sz="0" w:space="0"/>
          <w:right w:val="none" w:color="000000" w:sz="0" w:space="0"/>
        </w:pBdr>
        <w:suppressAutoHyphens/>
        <w:spacing w:after="0" w:line="360" w:lineRule="auto"/>
        <w:ind w:firstLine="709"/>
        <w:jc w:val="both"/>
        <w:rPr>
          <w:rFonts w:ascii="Times New Roman" w:hAnsi="Times New Roman"/>
          <w:lang w:eastAsia="zh-CN"/>
        </w:rPr>
      </w:pPr>
      <w:r>
        <w:rPr>
          <w:rFonts w:ascii="Times New Roman" w:hAnsi="Times New Roman" w:eastAsia="Times New Roman"/>
          <w:bCs/>
          <w:lang w:eastAsia="zh-CN"/>
        </w:rPr>
        <w:t>16.4.</w:t>
      </w:r>
      <w:r>
        <w:rPr>
          <w:rFonts w:ascii="Times New Roman" w:hAnsi="Times New Roman"/>
          <w:lang w:eastAsia="zh-CN"/>
        </w:rPr>
        <w:t>2.5. Модуль «Гандбол» может быть реализован в следующих вариантах:</w:t>
      </w:r>
    </w:p>
    <w:p w14:paraId="5553841A">
      <w:pPr>
        <w:pBdr>
          <w:top w:val="none" w:color="000000" w:sz="0" w:space="0"/>
          <w:left w:val="none" w:color="000000" w:sz="0" w:space="0"/>
          <w:bottom w:val="none" w:color="000000" w:sz="0" w:space="0"/>
          <w:right w:val="none" w:color="000000" w:sz="0" w:space="0"/>
        </w:pBdr>
        <w:suppressAutoHyphens/>
        <w:spacing w:after="0" w:line="360" w:lineRule="auto"/>
        <w:ind w:firstLine="709"/>
        <w:jc w:val="both"/>
        <w:rPr>
          <w:rFonts w:ascii="Times New Roman" w:hAnsi="Times New Roman"/>
          <w:lang w:eastAsia="zh-CN"/>
        </w:rPr>
      </w:pPr>
      <w:r>
        <w:rPr>
          <w:rFonts w:ascii="Times New Roman" w:hAnsi="Times New Roman"/>
          <w:lang w:eastAsia="zh-CN"/>
        </w:rPr>
        <w:t>при самостоятельном планировании учителем физической культуры процесса освоения обучающимися учебного материала по гандболу с выбором различных элементов игры в гандбол, с учётом возраста и физической подготовленности обучающихся;</w:t>
      </w:r>
    </w:p>
    <w:p w14:paraId="103C7AB6">
      <w:pPr>
        <w:pBdr>
          <w:top w:val="none" w:color="000000" w:sz="0" w:space="0"/>
          <w:left w:val="none" w:color="000000" w:sz="0" w:space="0"/>
          <w:bottom w:val="none" w:color="000000" w:sz="0" w:space="0"/>
          <w:right w:val="none" w:color="000000" w:sz="0" w:space="0"/>
        </w:pBdr>
        <w:suppressAutoHyphens/>
        <w:spacing w:after="0" w:line="360" w:lineRule="auto"/>
        <w:ind w:firstLine="709"/>
        <w:jc w:val="both"/>
        <w:rPr>
          <w:rFonts w:ascii="Times New Roman" w:hAnsi="Times New Roman"/>
          <w:lang w:eastAsia="zh-CN"/>
        </w:rPr>
      </w:pPr>
      <w:r>
        <w:rPr>
          <w:rFonts w:ascii="Times New Roman" w:hAnsi="Times New Roman"/>
          <w:lang w:eastAsia="zh-CN"/>
        </w:rPr>
        <w:t xml:space="preserve">в виде целостного последовательного учебного модуля, изучаемого за счёт части учебного плана, формируемой участниками образовательных отношений из перечня, предлагаемого образовательной организацией, включающей, в частности, учебные модули по выбору обучающихся, родителей (законных представителей) несовершеннолетних обучающихся, в том числе предусматривающие удовлетворение различных интересов обучающихся </w:t>
      </w:r>
      <w:r>
        <w:rPr>
          <w:rFonts w:ascii="Times New Roman" w:hAnsi="Times New Roman" w:eastAsia="Arial Unicode MS"/>
          <w:u w:color="000000"/>
          <w:lang w:eastAsia="ru-RU"/>
        </w:rPr>
        <w:t>(при организации и проведении уроков физической культуры с 3-х часовой недельной нагрузкой рекомендуемый объём в 1 классе – 33 часа, во 2, 3, 4 классах – по 34 часа</w:t>
      </w:r>
      <w:r>
        <w:rPr>
          <w:rFonts w:ascii="Times New Roman" w:hAnsi="Times New Roman"/>
          <w:lang w:eastAsia="zh-CN"/>
        </w:rPr>
        <w:t>);</w:t>
      </w:r>
    </w:p>
    <w:p w14:paraId="798F2C3B">
      <w:pPr>
        <w:pBdr>
          <w:top w:val="none" w:color="000000" w:sz="0" w:space="0"/>
          <w:left w:val="none" w:color="000000" w:sz="0" w:space="0"/>
          <w:bottom w:val="none" w:color="000000" w:sz="0" w:space="0"/>
          <w:right w:val="none" w:color="000000" w:sz="0" w:space="0"/>
        </w:pBdr>
        <w:suppressAutoHyphens/>
        <w:spacing w:after="0" w:line="360" w:lineRule="auto"/>
        <w:ind w:firstLine="709"/>
        <w:jc w:val="both"/>
        <w:rPr>
          <w:rFonts w:ascii="Times New Roman" w:hAnsi="Times New Roman"/>
          <w:lang w:eastAsia="zh-CN"/>
        </w:rPr>
      </w:pPr>
      <w:r>
        <w:rPr>
          <w:rFonts w:ascii="Times New Roman" w:hAnsi="Times New Roman"/>
          <w:lang w:eastAsia="zh-CN"/>
        </w:rPr>
        <w:t xml:space="preserve">в виде дополнительных часов, выделяемых на спортивно-оздоровительную работу с обучающимися в рамках внеурочной деятельности, деятельности школьных спортивных клубов, </w:t>
      </w:r>
      <w:r>
        <w:rPr>
          <w:rFonts w:ascii="Times New Roman" w:hAnsi="Times New Roman"/>
        </w:rPr>
        <w:t>включая использование учебных модулей по видам спорта (</w:t>
      </w:r>
      <w:r>
        <w:rPr>
          <w:rFonts w:ascii="Times New Roman" w:hAnsi="Times New Roman" w:eastAsia="Arial Unicode MS"/>
          <w:u w:color="000000"/>
          <w:lang w:eastAsia="ru-RU"/>
        </w:rPr>
        <w:t>рекомендуемый объём в 1 классе – 33 часа, во 2, 3, 4 классах – по 34 часа</w:t>
      </w:r>
      <w:r>
        <w:rPr>
          <w:rFonts w:ascii="Times New Roman" w:hAnsi="Times New Roman"/>
          <w:lang w:eastAsia="zh-CN"/>
        </w:rPr>
        <w:t>).</w:t>
      </w:r>
    </w:p>
    <w:p w14:paraId="149ECC0E">
      <w:pPr>
        <w:pBdr>
          <w:top w:val="none" w:color="000000" w:sz="0" w:space="0"/>
          <w:left w:val="none" w:color="000000" w:sz="0" w:space="0"/>
          <w:bottom w:val="none" w:color="000000" w:sz="0" w:space="0"/>
          <w:right w:val="none" w:color="000000" w:sz="0" w:space="0"/>
        </w:pBdr>
        <w:suppressAutoHyphens/>
        <w:spacing w:after="0" w:line="360" w:lineRule="auto"/>
        <w:ind w:firstLine="709"/>
        <w:jc w:val="both"/>
        <w:rPr>
          <w:rFonts w:ascii="Times New Roman" w:hAnsi="Times New Roman"/>
          <w:lang w:eastAsia="zh-CN"/>
        </w:rPr>
      </w:pPr>
      <w:r>
        <w:rPr>
          <w:rFonts w:ascii="Times New Roman" w:hAnsi="Times New Roman" w:eastAsia="Times New Roman"/>
          <w:bCs/>
          <w:lang w:eastAsia="zh-CN"/>
        </w:rPr>
        <w:t>16.4.</w:t>
      </w:r>
      <w:r>
        <w:rPr>
          <w:rFonts w:ascii="Times New Roman" w:hAnsi="Times New Roman"/>
          <w:lang w:eastAsia="zh-CN"/>
        </w:rPr>
        <w:t>2.6. Содержание модуля «Гандбол».</w:t>
      </w:r>
    </w:p>
    <w:p w14:paraId="55A74D77">
      <w:pPr>
        <w:pBdr>
          <w:top w:val="none" w:color="000000" w:sz="0" w:space="0"/>
          <w:left w:val="none" w:color="000000" w:sz="0" w:space="0"/>
          <w:bottom w:val="none" w:color="000000" w:sz="0" w:space="0"/>
          <w:right w:val="none" w:color="000000" w:sz="0" w:space="0"/>
        </w:pBdr>
        <w:suppressAutoHyphens/>
        <w:spacing w:after="0" w:line="360" w:lineRule="auto"/>
        <w:ind w:firstLine="709"/>
        <w:jc w:val="both"/>
        <w:rPr>
          <w:rFonts w:ascii="Times New Roman" w:hAnsi="Times New Roman"/>
          <w:lang w:eastAsia="zh-CN"/>
        </w:rPr>
      </w:pPr>
      <w:r>
        <w:rPr>
          <w:rFonts w:ascii="Times New Roman" w:hAnsi="Times New Roman"/>
          <w:lang w:eastAsia="zh-CN"/>
        </w:rPr>
        <w:t>Знания о гандболе.</w:t>
      </w:r>
    </w:p>
    <w:p w14:paraId="536EC64B">
      <w:pPr>
        <w:pBdr>
          <w:top w:val="none" w:color="000000" w:sz="0" w:space="0"/>
          <w:left w:val="none" w:color="000000" w:sz="0" w:space="0"/>
          <w:bottom w:val="none" w:color="000000" w:sz="0" w:space="0"/>
          <w:right w:val="none" w:color="000000" w:sz="0" w:space="0"/>
        </w:pBdr>
        <w:suppressAutoHyphens/>
        <w:spacing w:after="0" w:line="360" w:lineRule="auto"/>
        <w:ind w:firstLine="709"/>
        <w:jc w:val="both"/>
        <w:rPr>
          <w:rFonts w:ascii="Times New Roman" w:hAnsi="Times New Roman"/>
          <w:lang w:eastAsia="zh-CN"/>
        </w:rPr>
      </w:pPr>
      <w:r>
        <w:rPr>
          <w:rFonts w:ascii="Times New Roman" w:hAnsi="Times New Roman"/>
          <w:lang w:eastAsia="zh-CN"/>
        </w:rPr>
        <w:t>Возникновение физической культуры у древних людей. Олимпийские игры древности.</w:t>
      </w:r>
    </w:p>
    <w:p w14:paraId="1DD89011">
      <w:pPr>
        <w:pBdr>
          <w:top w:val="none" w:color="000000" w:sz="0" w:space="0"/>
          <w:left w:val="none" w:color="000000" w:sz="0" w:space="0"/>
          <w:bottom w:val="none" w:color="000000" w:sz="0" w:space="0"/>
          <w:right w:val="none" w:color="000000" w:sz="0" w:space="0"/>
        </w:pBdr>
        <w:suppressAutoHyphens/>
        <w:spacing w:after="0" w:line="360" w:lineRule="auto"/>
        <w:ind w:firstLine="709"/>
        <w:jc w:val="both"/>
        <w:rPr>
          <w:rFonts w:ascii="Times New Roman" w:hAnsi="Times New Roman"/>
          <w:lang w:eastAsia="zh-CN"/>
        </w:rPr>
      </w:pPr>
      <w:r>
        <w:rPr>
          <w:rFonts w:ascii="Times New Roman" w:hAnsi="Times New Roman"/>
          <w:lang w:eastAsia="zh-CN"/>
        </w:rPr>
        <w:t xml:space="preserve">Развитие олимпизма в России. История возникновения и развития гандбола и мини-гандбола. </w:t>
      </w:r>
    </w:p>
    <w:p w14:paraId="324A17A0">
      <w:pPr>
        <w:pBdr>
          <w:top w:val="none" w:color="000000" w:sz="0" w:space="0"/>
          <w:left w:val="none" w:color="000000" w:sz="0" w:space="0"/>
          <w:bottom w:val="none" w:color="000000" w:sz="0" w:space="0"/>
          <w:right w:val="none" w:color="000000" w:sz="0" w:space="0"/>
        </w:pBdr>
        <w:suppressAutoHyphens/>
        <w:spacing w:after="0" w:line="360" w:lineRule="auto"/>
        <w:ind w:firstLine="709"/>
        <w:jc w:val="both"/>
        <w:rPr>
          <w:rFonts w:ascii="Times New Roman" w:hAnsi="Times New Roman"/>
          <w:lang w:eastAsia="zh-CN"/>
        </w:rPr>
      </w:pPr>
      <w:r>
        <w:rPr>
          <w:rFonts w:ascii="Times New Roman" w:hAnsi="Times New Roman"/>
          <w:lang w:eastAsia="zh-CN"/>
        </w:rPr>
        <w:t>Режим дня обучающегося и его значение. Закаливание и правила проведения закаливающих процедур.</w:t>
      </w:r>
    </w:p>
    <w:p w14:paraId="438C35C9">
      <w:pPr>
        <w:pBdr>
          <w:top w:val="none" w:color="000000" w:sz="0" w:space="0"/>
          <w:left w:val="none" w:color="000000" w:sz="0" w:space="0"/>
          <w:bottom w:val="none" w:color="000000" w:sz="0" w:space="0"/>
          <w:right w:val="none" w:color="000000" w:sz="0" w:space="0"/>
        </w:pBdr>
        <w:suppressAutoHyphens/>
        <w:spacing w:after="0" w:line="360" w:lineRule="auto"/>
        <w:ind w:firstLine="709"/>
        <w:jc w:val="both"/>
        <w:rPr>
          <w:rFonts w:ascii="Times New Roman" w:hAnsi="Times New Roman" w:eastAsia="PragmaticaC"/>
          <w:lang w:eastAsia="zh-CN"/>
        </w:rPr>
      </w:pPr>
      <w:r>
        <w:rPr>
          <w:rFonts w:ascii="Times New Roman" w:hAnsi="Times New Roman" w:eastAsia="PragmaticaC"/>
          <w:lang w:eastAsia="zh-CN"/>
        </w:rPr>
        <w:t>Основы правил безопасности и профилактики травматизма на занятиях гандболом.</w:t>
      </w:r>
      <w:r>
        <w:rPr>
          <w:rFonts w:ascii="Times New Roman" w:hAnsi="Times New Roman"/>
          <w:lang w:eastAsia="zh-CN"/>
        </w:rPr>
        <w:t xml:space="preserve"> Правила безопасности в игровой деятельности.</w:t>
      </w:r>
    </w:p>
    <w:p w14:paraId="4ECFE642">
      <w:pPr>
        <w:pBdr>
          <w:top w:val="none" w:color="000000" w:sz="0" w:space="0"/>
          <w:left w:val="none" w:color="000000" w:sz="0" w:space="0"/>
          <w:bottom w:val="none" w:color="000000" w:sz="0" w:space="0"/>
          <w:right w:val="none" w:color="000000" w:sz="0" w:space="0"/>
        </w:pBdr>
        <w:suppressAutoHyphens/>
        <w:spacing w:after="0" w:line="360" w:lineRule="auto"/>
        <w:ind w:firstLine="709"/>
        <w:jc w:val="both"/>
        <w:rPr>
          <w:rFonts w:ascii="Times New Roman" w:hAnsi="Times New Roman"/>
          <w:lang w:eastAsia="zh-CN"/>
        </w:rPr>
      </w:pPr>
      <w:r>
        <w:rPr>
          <w:rFonts w:ascii="Times New Roman" w:hAnsi="Times New Roman"/>
          <w:lang w:eastAsia="zh-CN"/>
        </w:rPr>
        <w:t>Первое знакомство с базовыми двигательными навыками, элементами и техническими приёмами гандбола.</w:t>
      </w:r>
    </w:p>
    <w:p w14:paraId="7C2C2223">
      <w:pPr>
        <w:pBdr>
          <w:top w:val="none" w:color="000000" w:sz="0" w:space="0"/>
          <w:left w:val="none" w:color="000000" w:sz="0" w:space="0"/>
          <w:bottom w:val="none" w:color="000000" w:sz="0" w:space="0"/>
          <w:right w:val="none" w:color="000000" w:sz="0" w:space="0"/>
        </w:pBdr>
        <w:suppressAutoHyphens/>
        <w:spacing w:after="0" w:line="360" w:lineRule="auto"/>
        <w:ind w:firstLine="709"/>
        <w:jc w:val="both"/>
        <w:rPr>
          <w:rFonts w:ascii="Times New Roman" w:hAnsi="Times New Roman"/>
          <w:lang w:eastAsia="zh-CN"/>
        </w:rPr>
      </w:pPr>
      <w:r>
        <w:rPr>
          <w:rFonts w:ascii="Times New Roman" w:hAnsi="Times New Roman"/>
          <w:lang w:eastAsia="zh-CN"/>
        </w:rPr>
        <w:t>Подводящие игры с элементами гандбола.</w:t>
      </w:r>
    </w:p>
    <w:p w14:paraId="0A11901E">
      <w:pPr>
        <w:pBdr>
          <w:top w:val="none" w:color="000000" w:sz="0" w:space="0"/>
          <w:left w:val="none" w:color="000000" w:sz="0" w:space="0"/>
          <w:bottom w:val="none" w:color="000000" w:sz="0" w:space="0"/>
          <w:right w:val="none" w:color="000000" w:sz="0" w:space="0"/>
        </w:pBdr>
        <w:suppressAutoHyphens/>
        <w:spacing w:after="0" w:line="360" w:lineRule="auto"/>
        <w:ind w:firstLine="709"/>
        <w:jc w:val="both"/>
        <w:rPr>
          <w:rFonts w:ascii="Times New Roman" w:hAnsi="Times New Roman"/>
          <w:lang w:eastAsia="zh-CN"/>
        </w:rPr>
      </w:pPr>
      <w:r>
        <w:rPr>
          <w:rFonts w:ascii="Times New Roman" w:hAnsi="Times New Roman"/>
          <w:lang w:eastAsia="zh-CN"/>
        </w:rPr>
        <w:t>Основные правила игры в гандбол.</w:t>
      </w:r>
    </w:p>
    <w:p w14:paraId="235AFFDE">
      <w:pPr>
        <w:pBdr>
          <w:top w:val="none" w:color="000000" w:sz="0" w:space="0"/>
          <w:left w:val="none" w:color="000000" w:sz="0" w:space="0"/>
          <w:bottom w:val="none" w:color="000000" w:sz="0" w:space="0"/>
          <w:right w:val="none" w:color="000000" w:sz="0" w:space="0"/>
        </w:pBdr>
        <w:suppressAutoHyphens/>
        <w:spacing w:after="0" w:line="360" w:lineRule="auto"/>
        <w:ind w:firstLine="709"/>
        <w:jc w:val="both"/>
        <w:rPr>
          <w:rFonts w:ascii="Times New Roman" w:hAnsi="Times New Roman"/>
          <w:lang w:eastAsia="zh-CN"/>
        </w:rPr>
      </w:pPr>
      <w:r>
        <w:rPr>
          <w:rFonts w:ascii="Times New Roman" w:hAnsi="Times New Roman"/>
          <w:lang w:eastAsia="zh-CN"/>
        </w:rPr>
        <w:t>Организация школьных соревнований по мини-гандболу.</w:t>
      </w:r>
    </w:p>
    <w:p w14:paraId="5389D50C">
      <w:pPr>
        <w:pBdr>
          <w:top w:val="none" w:color="000000" w:sz="0" w:space="0"/>
          <w:left w:val="none" w:color="000000" w:sz="0" w:space="0"/>
          <w:bottom w:val="none" w:color="000000" w:sz="0" w:space="0"/>
          <w:right w:val="none" w:color="000000" w:sz="0" w:space="0"/>
        </w:pBdr>
        <w:suppressAutoHyphens/>
        <w:spacing w:after="0" w:line="360" w:lineRule="auto"/>
        <w:ind w:firstLine="709"/>
        <w:jc w:val="both"/>
        <w:rPr>
          <w:rFonts w:ascii="Times New Roman" w:hAnsi="Times New Roman"/>
          <w:lang w:eastAsia="zh-CN"/>
        </w:rPr>
      </w:pPr>
      <w:r>
        <w:rPr>
          <w:rFonts w:ascii="Times New Roman" w:hAnsi="Times New Roman"/>
          <w:lang w:eastAsia="zh-CN"/>
        </w:rPr>
        <w:t>Способы самостоятельной деятельности.</w:t>
      </w:r>
    </w:p>
    <w:p w14:paraId="666EF367">
      <w:pPr>
        <w:suppressAutoHyphens/>
        <w:spacing w:after="0" w:line="360" w:lineRule="auto"/>
        <w:ind w:firstLine="709"/>
        <w:jc w:val="both"/>
        <w:rPr>
          <w:rFonts w:ascii="Times New Roman" w:hAnsi="Times New Roman"/>
          <w:lang w:eastAsia="zh-CN"/>
        </w:rPr>
      </w:pPr>
      <w:r>
        <w:rPr>
          <w:rFonts w:ascii="Times New Roman" w:hAnsi="Times New Roman"/>
          <w:lang w:eastAsia="zh-CN"/>
        </w:rPr>
        <w:t>Подвижные игры и правила их проведения. Организация и проведение игр специальной направленности с элементами гандбола.</w:t>
      </w:r>
    </w:p>
    <w:p w14:paraId="3AF9F1A6">
      <w:pPr>
        <w:pBdr>
          <w:top w:val="none" w:color="000000" w:sz="0" w:space="0"/>
          <w:left w:val="none" w:color="000000" w:sz="0" w:space="0"/>
          <w:bottom w:val="none" w:color="000000" w:sz="0" w:space="0"/>
          <w:right w:val="none" w:color="000000" w:sz="0" w:space="0"/>
        </w:pBdr>
        <w:tabs>
          <w:tab w:val="left" w:pos="9532"/>
        </w:tabs>
        <w:suppressAutoHyphens/>
        <w:spacing w:after="0" w:line="360" w:lineRule="auto"/>
        <w:ind w:firstLine="709"/>
        <w:jc w:val="both"/>
        <w:rPr>
          <w:rFonts w:ascii="Times New Roman" w:hAnsi="Times New Roman"/>
          <w:lang w:eastAsia="zh-CN"/>
        </w:rPr>
      </w:pPr>
      <w:r>
        <w:rPr>
          <w:rFonts w:ascii="Times New Roman" w:hAnsi="Times New Roman"/>
          <w:lang w:eastAsia="zh-CN"/>
        </w:rPr>
        <w:t xml:space="preserve">Первые внешние признаки утомления во время занятий гандболом. Способы самоконтроля за физической нагрузкой. Роль самоконтроля в учебной и соревновательной деятельности. </w:t>
      </w:r>
    </w:p>
    <w:p w14:paraId="1CC91FBD">
      <w:pPr>
        <w:pBdr>
          <w:top w:val="none" w:color="000000" w:sz="0" w:space="0"/>
          <w:left w:val="none" w:color="000000" w:sz="0" w:space="0"/>
          <w:bottom w:val="none" w:color="000000" w:sz="0" w:space="0"/>
          <w:right w:val="none" w:color="000000" w:sz="0" w:space="0"/>
        </w:pBdr>
        <w:suppressAutoHyphens/>
        <w:spacing w:after="0" w:line="360" w:lineRule="auto"/>
        <w:ind w:firstLine="709"/>
        <w:jc w:val="both"/>
        <w:rPr>
          <w:rFonts w:ascii="Times New Roman" w:hAnsi="Times New Roman"/>
          <w:lang w:eastAsia="zh-CN"/>
        </w:rPr>
      </w:pPr>
      <w:r>
        <w:rPr>
          <w:rFonts w:ascii="Times New Roman" w:hAnsi="Times New Roman"/>
          <w:lang w:eastAsia="zh-CN"/>
        </w:rPr>
        <w:t>Правила личной гигиены, требования к спортивной одежде для занятий гандболом. Правила использования спортивного инвентаря для занятий гандболом.</w:t>
      </w:r>
    </w:p>
    <w:p w14:paraId="731D417C">
      <w:pPr>
        <w:pBdr>
          <w:top w:val="none" w:color="000000" w:sz="0" w:space="0"/>
          <w:left w:val="none" w:color="000000" w:sz="0" w:space="0"/>
          <w:bottom w:val="none" w:color="000000" w:sz="0" w:space="0"/>
          <w:right w:val="none" w:color="000000" w:sz="0" w:space="0"/>
        </w:pBdr>
        <w:suppressAutoHyphens/>
        <w:spacing w:after="0" w:line="360" w:lineRule="auto"/>
        <w:ind w:firstLine="709"/>
        <w:contextualSpacing/>
        <w:jc w:val="both"/>
        <w:rPr>
          <w:rFonts w:ascii="Times New Roman" w:hAnsi="Times New Roman"/>
          <w:lang w:eastAsia="zh-CN"/>
        </w:rPr>
      </w:pPr>
      <w:r>
        <w:rPr>
          <w:rFonts w:ascii="Times New Roman" w:hAnsi="Times New Roman"/>
          <w:lang w:eastAsia="zh-CN"/>
        </w:rPr>
        <w:t xml:space="preserve">Режим дня юного гандболиста. </w:t>
      </w:r>
    </w:p>
    <w:p w14:paraId="64A40EC1">
      <w:pPr>
        <w:pBdr>
          <w:top w:val="none" w:color="000000" w:sz="0" w:space="0"/>
          <w:left w:val="none" w:color="000000" w:sz="0" w:space="0"/>
          <w:bottom w:val="none" w:color="000000" w:sz="0" w:space="0"/>
          <w:right w:val="none" w:color="000000" w:sz="0" w:space="0"/>
        </w:pBdr>
        <w:suppressAutoHyphens/>
        <w:spacing w:after="0" w:line="360" w:lineRule="auto"/>
        <w:ind w:firstLine="709"/>
        <w:jc w:val="both"/>
        <w:rPr>
          <w:rFonts w:ascii="Times New Roman" w:hAnsi="Times New Roman"/>
          <w:lang w:eastAsia="zh-CN"/>
        </w:rPr>
      </w:pPr>
      <w:r>
        <w:rPr>
          <w:rFonts w:ascii="Times New Roman" w:hAnsi="Times New Roman" w:eastAsia="Times New Roman"/>
          <w:lang w:eastAsia="zh-CN"/>
        </w:rPr>
        <w:t xml:space="preserve">Подбор и составление комплексов </w:t>
      </w:r>
      <w:r>
        <w:rPr>
          <w:rFonts w:ascii="Times New Roman" w:hAnsi="Times New Roman"/>
          <w:lang w:eastAsia="zh-CN"/>
        </w:rPr>
        <w:t xml:space="preserve">общеразвивающих, специальных и имитационных </w:t>
      </w:r>
      <w:r>
        <w:rPr>
          <w:rFonts w:ascii="Times New Roman" w:hAnsi="Times New Roman" w:eastAsia="Times New Roman"/>
          <w:lang w:eastAsia="zh-CN"/>
        </w:rPr>
        <w:t xml:space="preserve">упражнений </w:t>
      </w:r>
      <w:r>
        <w:rPr>
          <w:rFonts w:ascii="Times New Roman" w:hAnsi="Times New Roman"/>
          <w:lang w:eastAsia="zh-CN"/>
        </w:rPr>
        <w:t>для занятий гандболом.</w:t>
      </w:r>
    </w:p>
    <w:p w14:paraId="7D38F7E7">
      <w:pPr>
        <w:pBdr>
          <w:top w:val="none" w:color="000000" w:sz="0" w:space="0"/>
          <w:left w:val="none" w:color="000000" w:sz="0" w:space="0"/>
          <w:bottom w:val="none" w:color="000000" w:sz="0" w:space="0"/>
          <w:right w:val="none" w:color="000000" w:sz="0" w:space="0"/>
        </w:pBdr>
        <w:suppressAutoHyphens/>
        <w:spacing w:after="0" w:line="360" w:lineRule="auto"/>
        <w:ind w:firstLine="709"/>
        <w:jc w:val="both"/>
        <w:rPr>
          <w:rFonts w:ascii="Times New Roman" w:hAnsi="Times New Roman"/>
          <w:lang w:eastAsia="zh-CN"/>
        </w:rPr>
      </w:pPr>
      <w:r>
        <w:rPr>
          <w:rFonts w:ascii="Times New Roman" w:hAnsi="Times New Roman"/>
          <w:lang w:eastAsia="zh-CN"/>
        </w:rPr>
        <w:t>Организация и проведение подвижных игр с элементами гандбола во время активного отдыха и каникул.</w:t>
      </w:r>
    </w:p>
    <w:p w14:paraId="784FDA4C">
      <w:pPr>
        <w:pBdr>
          <w:top w:val="none" w:color="000000" w:sz="0" w:space="0"/>
          <w:left w:val="none" w:color="000000" w:sz="0" w:space="0"/>
          <w:bottom w:val="none" w:color="000000" w:sz="0" w:space="0"/>
          <w:right w:val="none" w:color="000000" w:sz="0" w:space="0"/>
        </w:pBdr>
        <w:suppressAutoHyphens/>
        <w:spacing w:after="0" w:line="360" w:lineRule="auto"/>
        <w:ind w:firstLine="709"/>
        <w:jc w:val="both"/>
        <w:rPr>
          <w:rFonts w:ascii="Times New Roman" w:hAnsi="Times New Roman"/>
          <w:lang w:eastAsia="zh-CN"/>
        </w:rPr>
      </w:pPr>
      <w:r>
        <w:rPr>
          <w:rFonts w:ascii="Times New Roman" w:hAnsi="Times New Roman"/>
          <w:lang w:eastAsia="zh-CN"/>
        </w:rPr>
        <w:t>Тестирование уровня физической подготовленности игроков в гандболе.</w:t>
      </w:r>
    </w:p>
    <w:p w14:paraId="56C4F958">
      <w:pPr>
        <w:pBdr>
          <w:top w:val="none" w:color="000000" w:sz="0" w:space="0"/>
          <w:left w:val="none" w:color="000000" w:sz="0" w:space="0"/>
          <w:bottom w:val="none" w:color="000000" w:sz="0" w:space="0"/>
          <w:right w:val="none" w:color="000000" w:sz="0" w:space="0"/>
        </w:pBdr>
        <w:suppressAutoHyphens/>
        <w:spacing w:after="0" w:line="360" w:lineRule="auto"/>
        <w:ind w:firstLine="709"/>
        <w:jc w:val="both"/>
        <w:rPr>
          <w:rFonts w:ascii="Times New Roman" w:hAnsi="Times New Roman"/>
          <w:lang w:eastAsia="zh-CN"/>
        </w:rPr>
      </w:pPr>
      <w:r>
        <w:rPr>
          <w:rFonts w:ascii="Times New Roman" w:hAnsi="Times New Roman"/>
          <w:lang w:eastAsia="zh-CN"/>
        </w:rPr>
        <w:t>Физическое совершенствование.</w:t>
      </w:r>
    </w:p>
    <w:p w14:paraId="5FA69CB3">
      <w:pPr>
        <w:pBdr>
          <w:top w:val="none" w:color="000000" w:sz="0" w:space="0"/>
          <w:left w:val="none" w:color="000000" w:sz="0" w:space="0"/>
          <w:bottom w:val="none" w:color="000000" w:sz="0" w:space="0"/>
          <w:right w:val="none" w:color="000000" w:sz="0" w:space="0"/>
        </w:pBdr>
        <w:shd w:val="clear" w:color="auto" w:fill="FFFFFF"/>
        <w:tabs>
          <w:tab w:val="left" w:pos="571"/>
        </w:tabs>
        <w:suppressAutoHyphens/>
        <w:autoSpaceDE w:val="0"/>
        <w:spacing w:after="0" w:line="360" w:lineRule="auto"/>
        <w:ind w:firstLine="709"/>
        <w:jc w:val="both"/>
        <w:rPr>
          <w:rFonts w:ascii="Times New Roman" w:hAnsi="Times New Roman"/>
          <w:lang w:eastAsia="zh-CN"/>
        </w:rPr>
      </w:pPr>
      <w:r>
        <w:rPr>
          <w:rFonts w:ascii="Times New Roman" w:hAnsi="Times New Roman"/>
          <w:lang w:eastAsia="zh-CN"/>
        </w:rPr>
        <w:t>Простейшие комплексы общих и специальных подготовительных упражнений, необходимых для развития физических качеств, характерных для вида спорта «гандбол» и овладения техникой и тактикой игры в гандбол (мини-гандбол);</w:t>
      </w:r>
    </w:p>
    <w:p w14:paraId="3AF03293">
      <w:pPr>
        <w:pBdr>
          <w:top w:val="none" w:color="000000" w:sz="0" w:space="0"/>
          <w:left w:val="none" w:color="000000" w:sz="0" w:space="0"/>
          <w:bottom w:val="none" w:color="000000" w:sz="0" w:space="0"/>
          <w:right w:val="none" w:color="000000" w:sz="0" w:space="0"/>
        </w:pBdr>
        <w:suppressAutoHyphens/>
        <w:spacing w:after="0" w:line="360" w:lineRule="auto"/>
        <w:ind w:firstLine="709"/>
        <w:jc w:val="both"/>
        <w:rPr>
          <w:rFonts w:ascii="Times New Roman" w:hAnsi="Times New Roman"/>
          <w:lang w:eastAsia="zh-CN"/>
        </w:rPr>
      </w:pPr>
      <w:r>
        <w:rPr>
          <w:rFonts w:ascii="Times New Roman" w:hAnsi="Times New Roman"/>
          <w:lang w:eastAsia="zh-CN"/>
        </w:rPr>
        <w:t>Техника выполнения элементов из базовой подготовки гандбола (мини-гандбола): бег с различной частотой шагов, подбрасывание и ловля мяча в ходьбе, броски мяча в стену (наклонный батут) с последующей ловлей, прыжки вперед и вверх с мячом в руках, метание теннисного и гандбольного мяча в статичную цель.</w:t>
      </w:r>
    </w:p>
    <w:p w14:paraId="4A71CDB1">
      <w:pPr>
        <w:pBdr>
          <w:top w:val="none" w:color="000000" w:sz="0" w:space="0"/>
          <w:left w:val="none" w:color="000000" w:sz="0" w:space="0"/>
          <w:bottom w:val="none" w:color="000000" w:sz="0" w:space="0"/>
          <w:right w:val="none" w:color="000000" w:sz="0" w:space="0"/>
        </w:pBdr>
        <w:suppressAutoHyphens/>
        <w:spacing w:after="0" w:line="360" w:lineRule="auto"/>
        <w:ind w:firstLine="709"/>
        <w:jc w:val="both"/>
        <w:rPr>
          <w:rFonts w:ascii="Times New Roman" w:hAnsi="Times New Roman"/>
          <w:lang w:eastAsia="zh-CN"/>
        </w:rPr>
      </w:pPr>
      <w:r>
        <w:rPr>
          <w:rFonts w:ascii="Times New Roman" w:hAnsi="Times New Roman"/>
          <w:lang w:eastAsia="zh-CN"/>
        </w:rPr>
        <w:t>Основные способы передвижения гандболиста: бег, ходьба, прыжки, повороты, остановки. Основы техники держания мяча при игре в мини-гандбол (гандбол) и простейшие приёмы владения мячом.</w:t>
      </w:r>
    </w:p>
    <w:p w14:paraId="511F5665">
      <w:pPr>
        <w:pBdr>
          <w:top w:val="none" w:color="000000" w:sz="0" w:space="0"/>
          <w:left w:val="none" w:color="000000" w:sz="0" w:space="0"/>
          <w:bottom w:val="none" w:color="000000" w:sz="0" w:space="0"/>
          <w:right w:val="none" w:color="000000" w:sz="0" w:space="0"/>
        </w:pBdr>
        <w:suppressAutoHyphens/>
        <w:spacing w:after="0" w:line="360" w:lineRule="auto"/>
        <w:ind w:firstLine="709"/>
        <w:jc w:val="both"/>
        <w:rPr>
          <w:rFonts w:ascii="Times New Roman" w:hAnsi="Times New Roman"/>
          <w:lang w:eastAsia="zh-CN"/>
        </w:rPr>
      </w:pPr>
      <w:r>
        <w:rPr>
          <w:rFonts w:ascii="Times New Roman" w:hAnsi="Times New Roman"/>
          <w:lang w:eastAsia="zh-CN"/>
        </w:rPr>
        <w:t xml:space="preserve">Упражнения, направленные на обучение технике владения мячом во время игры в мини-гандбол: передача, ловля, броски мяча. </w:t>
      </w:r>
    </w:p>
    <w:p w14:paraId="13E84DB9">
      <w:pPr>
        <w:pBdr>
          <w:top w:val="none" w:color="000000" w:sz="0" w:space="0"/>
          <w:left w:val="none" w:color="000000" w:sz="0" w:space="0"/>
          <w:bottom w:val="none" w:color="000000" w:sz="0" w:space="0"/>
          <w:right w:val="none" w:color="000000" w:sz="0" w:space="0"/>
        </w:pBdr>
        <w:suppressAutoHyphens/>
        <w:spacing w:after="0" w:line="360" w:lineRule="auto"/>
        <w:ind w:firstLine="709"/>
        <w:jc w:val="both"/>
        <w:rPr>
          <w:rFonts w:ascii="Times New Roman" w:hAnsi="Times New Roman"/>
          <w:lang w:eastAsia="zh-CN"/>
        </w:rPr>
      </w:pPr>
      <w:r>
        <w:rPr>
          <w:rFonts w:ascii="Times New Roman" w:hAnsi="Times New Roman"/>
          <w:lang w:eastAsia="zh-CN"/>
        </w:rPr>
        <w:t>Простейшие технические приёмы с мячом из гандбола в условиях игровой деятельности. Подводящие упражнения и элементарные формы техники игры в защите. Понятия: «стойка» и «передвижение», «противодействие нападающему, владеющему мячом».</w:t>
      </w:r>
    </w:p>
    <w:p w14:paraId="09B5D471">
      <w:pPr>
        <w:pBdr>
          <w:top w:val="none" w:color="000000" w:sz="0" w:space="0"/>
          <w:left w:val="none" w:color="000000" w:sz="0" w:space="0"/>
          <w:bottom w:val="none" w:color="000000" w:sz="0" w:space="0"/>
          <w:right w:val="none" w:color="000000" w:sz="0" w:space="0"/>
        </w:pBdr>
        <w:shd w:val="clear" w:color="auto" w:fill="FFFFFF"/>
        <w:tabs>
          <w:tab w:val="left" w:pos="571"/>
        </w:tabs>
        <w:suppressAutoHyphens/>
        <w:autoSpaceDE w:val="0"/>
        <w:spacing w:after="0" w:line="360" w:lineRule="auto"/>
        <w:ind w:firstLine="709"/>
        <w:jc w:val="both"/>
        <w:rPr>
          <w:rFonts w:ascii="Times New Roman" w:hAnsi="Times New Roman"/>
          <w:lang w:eastAsia="zh-CN"/>
        </w:rPr>
      </w:pPr>
      <w:r>
        <w:rPr>
          <w:rFonts w:ascii="Times New Roman" w:hAnsi="Times New Roman"/>
          <w:lang w:eastAsia="zh-CN"/>
        </w:rPr>
        <w:t>Основы техники игры вратаря: стойки, перемещения, ловля, гашение, отражение мячей руками и ногами, падения и броски за мячом, обманные движения. Простейшие упражнения на перемещения, ловлю и гашение.</w:t>
      </w:r>
    </w:p>
    <w:p w14:paraId="02DAC450">
      <w:pPr>
        <w:pBdr>
          <w:top w:val="none" w:color="000000" w:sz="0" w:space="0"/>
          <w:left w:val="none" w:color="000000" w:sz="0" w:space="0"/>
          <w:bottom w:val="none" w:color="000000" w:sz="0" w:space="0"/>
          <w:right w:val="none" w:color="000000" w:sz="0" w:space="0"/>
        </w:pBdr>
        <w:suppressAutoHyphens/>
        <w:autoSpaceDE w:val="0"/>
        <w:spacing w:after="0" w:line="360" w:lineRule="auto"/>
        <w:ind w:firstLine="709"/>
        <w:jc w:val="both"/>
        <w:rPr>
          <w:rFonts w:ascii="Times New Roman" w:hAnsi="Times New Roman"/>
          <w:lang w:eastAsia="zh-CN"/>
        </w:rPr>
      </w:pPr>
      <w:r>
        <w:rPr>
          <w:rFonts w:ascii="Times New Roman" w:hAnsi="Times New Roman"/>
          <w:lang w:eastAsia="zh-CN"/>
        </w:rPr>
        <w:t xml:space="preserve">Подвижные игры с элементами гандбола: </w:t>
      </w:r>
      <w:r>
        <w:rPr>
          <w:rFonts w:ascii="Times New Roman" w:hAnsi="Times New Roman"/>
          <w:spacing w:val="-4"/>
          <w:lang w:eastAsia="zh-CN"/>
        </w:rPr>
        <w:t>игры, включающие элемент соревнования</w:t>
      </w:r>
      <w:r>
        <w:rPr>
          <w:rFonts w:ascii="Times New Roman" w:hAnsi="Times New Roman"/>
          <w:spacing w:val="-2"/>
          <w:lang w:eastAsia="zh-CN"/>
        </w:rPr>
        <w:t xml:space="preserve">, </w:t>
      </w:r>
      <w:r>
        <w:rPr>
          <w:rFonts w:ascii="Times New Roman" w:hAnsi="Times New Roman"/>
          <w:lang w:eastAsia="zh-CN"/>
        </w:rPr>
        <w:t xml:space="preserve">игры сюжетного характера, </w:t>
      </w:r>
      <w:r>
        <w:rPr>
          <w:rFonts w:ascii="Times New Roman" w:hAnsi="Times New Roman"/>
          <w:spacing w:val="2"/>
          <w:lang w:eastAsia="zh-CN"/>
        </w:rPr>
        <w:t>командные игры.</w:t>
      </w:r>
    </w:p>
    <w:p w14:paraId="0B2C2874">
      <w:pPr>
        <w:pBdr>
          <w:top w:val="none" w:color="000000" w:sz="0" w:space="0"/>
          <w:left w:val="none" w:color="000000" w:sz="0" w:space="0"/>
          <w:bottom w:val="none" w:color="000000" w:sz="0" w:space="0"/>
          <w:right w:val="none" w:color="000000" w:sz="0" w:space="0"/>
        </w:pBdr>
        <w:suppressAutoHyphens/>
        <w:autoSpaceDE w:val="0"/>
        <w:spacing w:after="0" w:line="360" w:lineRule="auto"/>
        <w:ind w:firstLine="709"/>
        <w:jc w:val="both"/>
        <w:rPr>
          <w:rFonts w:ascii="Times New Roman" w:hAnsi="Times New Roman"/>
          <w:lang w:eastAsia="zh-CN"/>
        </w:rPr>
      </w:pPr>
      <w:r>
        <w:rPr>
          <w:rFonts w:ascii="Times New Roman" w:hAnsi="Times New Roman"/>
          <w:lang w:eastAsia="zh-CN"/>
        </w:rPr>
        <w:t>Тестовые упражнения по физической подготовленности в гандболе. Участие в соревновательной деятельности по мини-гандболу.</w:t>
      </w:r>
    </w:p>
    <w:p w14:paraId="6DD29AD2">
      <w:pPr>
        <w:pBdr>
          <w:top w:val="none" w:color="000000" w:sz="0" w:space="0"/>
          <w:left w:val="none" w:color="000000" w:sz="0" w:space="0"/>
          <w:bottom w:val="none" w:color="000000" w:sz="0" w:space="0"/>
          <w:right w:val="none" w:color="000000" w:sz="0" w:space="0"/>
        </w:pBdr>
        <w:suppressAutoHyphens/>
        <w:spacing w:after="0" w:line="360" w:lineRule="auto"/>
        <w:ind w:firstLine="709"/>
        <w:jc w:val="both"/>
        <w:rPr>
          <w:rFonts w:ascii="Times New Roman" w:hAnsi="Times New Roman"/>
          <w:u w:color="000000"/>
          <w:lang w:eastAsia="zh-CN"/>
        </w:rPr>
      </w:pPr>
      <w:r>
        <w:rPr>
          <w:rFonts w:ascii="Times New Roman" w:hAnsi="Times New Roman" w:eastAsia="Times New Roman"/>
          <w:bCs/>
          <w:lang w:eastAsia="zh-CN"/>
        </w:rPr>
        <w:t>16.4.</w:t>
      </w:r>
      <w:r>
        <w:rPr>
          <w:rFonts w:ascii="Times New Roman" w:hAnsi="Times New Roman"/>
          <w:lang w:eastAsia="zh-CN"/>
        </w:rPr>
        <w:t>2.7. </w:t>
      </w:r>
      <w:r>
        <w:rPr>
          <w:rFonts w:ascii="Times New Roman" w:hAnsi="Times New Roman"/>
          <w:u w:color="000000"/>
          <w:lang w:eastAsia="zh-CN"/>
        </w:rPr>
        <w:t>Содержание модуля «Гандбол» направлено на достижение обучающимися личностных, метапредметных и предметных результатов обучения.</w:t>
      </w:r>
    </w:p>
    <w:p w14:paraId="3372A9B4">
      <w:pPr>
        <w:pBdr>
          <w:top w:val="none" w:color="000000" w:sz="0" w:space="0"/>
          <w:left w:val="none" w:color="000000" w:sz="0" w:space="0"/>
          <w:bottom w:val="none" w:color="000000" w:sz="0" w:space="0"/>
          <w:right w:val="none" w:color="000000" w:sz="0" w:space="0"/>
        </w:pBdr>
        <w:suppressAutoHyphens/>
        <w:spacing w:after="0" w:line="360" w:lineRule="auto"/>
        <w:ind w:firstLine="709"/>
        <w:jc w:val="both"/>
        <w:rPr>
          <w:rFonts w:ascii="Times New Roman" w:hAnsi="Times New Roman"/>
          <w:u w:color="000000"/>
          <w:lang w:eastAsia="zh-CN"/>
        </w:rPr>
      </w:pPr>
      <w:r>
        <w:rPr>
          <w:rFonts w:ascii="Times New Roman" w:hAnsi="Times New Roman" w:eastAsia="Times New Roman"/>
          <w:bCs/>
          <w:lang w:eastAsia="zh-CN"/>
        </w:rPr>
        <w:t>16.4.</w:t>
      </w:r>
      <w:r>
        <w:rPr>
          <w:rFonts w:ascii="Times New Roman" w:hAnsi="Times New Roman"/>
          <w:lang w:eastAsia="zh-CN"/>
        </w:rPr>
        <w:t>2.7.1. </w:t>
      </w:r>
      <w:r>
        <w:rPr>
          <w:rFonts w:ascii="Times New Roman" w:hAnsi="Times New Roman"/>
          <w:u w:color="000000"/>
          <w:lang w:eastAsia="zh-CN"/>
        </w:rPr>
        <w:t>При изучении модуля «Гандбол» на уровне начального общего образования у обучающихся будут сформированы следующие личностные результаты:</w:t>
      </w:r>
    </w:p>
    <w:p w14:paraId="6DF1D804">
      <w:pPr>
        <w:spacing w:after="0" w:line="360" w:lineRule="auto"/>
        <w:ind w:firstLine="709"/>
        <w:contextualSpacing/>
        <w:jc w:val="both"/>
        <w:rPr>
          <w:rFonts w:ascii="Times New Roman" w:hAnsi="Times New Roman" w:eastAsia="Times New Roman"/>
          <w:u w:color="000000"/>
          <w:lang w:eastAsia="ru-RU"/>
        </w:rPr>
      </w:pPr>
      <w:r>
        <w:rPr>
          <w:rFonts w:ascii="Times New Roman" w:hAnsi="Times New Roman" w:eastAsia="HiddenHorzOCR"/>
          <w:u w:color="000000"/>
          <w:lang w:eastAsia="ru-RU"/>
        </w:rPr>
        <w:t xml:space="preserve">проявление чувства гордости за свою Родину, российский народ и историю России через </w:t>
      </w:r>
      <w:r>
        <w:rPr>
          <w:rFonts w:ascii="Times New Roman" w:hAnsi="Times New Roman"/>
          <w:u w:color="000000"/>
          <w:lang w:eastAsia="ru-RU"/>
        </w:rPr>
        <w:t>достижения отечественной сборной команды страны;</w:t>
      </w:r>
    </w:p>
    <w:p w14:paraId="6C00852A">
      <w:pPr>
        <w:spacing w:after="0" w:line="360" w:lineRule="auto"/>
        <w:ind w:firstLine="709"/>
        <w:contextualSpacing/>
        <w:jc w:val="both"/>
        <w:rPr>
          <w:rFonts w:ascii="Times New Roman" w:hAnsi="Times New Roman"/>
          <w:u w:color="000000"/>
          <w:lang w:eastAsia="ru-RU"/>
        </w:rPr>
      </w:pPr>
      <w:r>
        <w:rPr>
          <w:rFonts w:ascii="Times New Roman" w:hAnsi="Times New Roman"/>
          <w:u w:color="000000"/>
          <w:lang w:eastAsia="ru-RU"/>
        </w:rPr>
        <w:t xml:space="preserve">проявление уважительного отношения к сверстникам, культуры общения и взаимодействия, </w:t>
      </w:r>
      <w:r>
        <w:rPr>
          <w:rFonts w:ascii="Times New Roman" w:hAnsi="Times New Roman"/>
          <w:lang w:eastAsia="zh-CN"/>
        </w:rPr>
        <w:t>нравственного поведения, проявление положительных качеств личности, осознанного и ответственного отношения к собственным поступкам, решение проблем в процессе занятий гандболом;</w:t>
      </w:r>
    </w:p>
    <w:p w14:paraId="602AC375">
      <w:pPr>
        <w:pBdr>
          <w:top w:val="none" w:color="000000" w:sz="0" w:space="0"/>
          <w:left w:val="none" w:color="000000" w:sz="0" w:space="0"/>
          <w:bottom w:val="none" w:color="000000" w:sz="0" w:space="0"/>
          <w:right w:val="none" w:color="000000" w:sz="0" w:space="0"/>
        </w:pBdr>
        <w:suppressAutoHyphens/>
        <w:spacing w:after="0" w:line="360" w:lineRule="auto"/>
        <w:ind w:firstLine="709"/>
        <w:jc w:val="both"/>
        <w:rPr>
          <w:rFonts w:ascii="Times New Roman" w:hAnsi="Times New Roman"/>
          <w:lang w:eastAsia="zh-CN"/>
        </w:rPr>
      </w:pPr>
      <w:r>
        <w:rPr>
          <w:rFonts w:ascii="Times New Roman" w:hAnsi="Times New Roman"/>
          <w:lang w:eastAsia="zh-CN"/>
        </w:rPr>
        <w:t>понимание ценности здорового и безопасного образа жизни, усвоение правил безопасного поведения в учебной, соревновательной, досуговой деятельности и чрезвычайных ситуациях при занятии гандболом.</w:t>
      </w:r>
    </w:p>
    <w:p w14:paraId="228BA4BE">
      <w:pPr>
        <w:pBdr>
          <w:top w:val="none" w:color="000000" w:sz="0" w:space="0"/>
          <w:left w:val="none" w:color="000000" w:sz="0" w:space="0"/>
          <w:bottom w:val="none" w:color="000000" w:sz="0" w:space="0"/>
          <w:right w:val="none" w:color="000000" w:sz="0" w:space="0"/>
        </w:pBdr>
        <w:suppressAutoHyphens/>
        <w:spacing w:after="0" w:line="360" w:lineRule="auto"/>
        <w:ind w:firstLine="709"/>
        <w:jc w:val="both"/>
        <w:rPr>
          <w:rFonts w:ascii="Times New Roman" w:hAnsi="Times New Roman"/>
          <w:lang w:eastAsia="zh-CN"/>
        </w:rPr>
      </w:pPr>
      <w:r>
        <w:rPr>
          <w:rFonts w:ascii="Times New Roman" w:hAnsi="Times New Roman" w:eastAsia="Times New Roman"/>
          <w:bCs/>
          <w:lang w:eastAsia="zh-CN"/>
        </w:rPr>
        <w:t>16.4.</w:t>
      </w:r>
      <w:r>
        <w:rPr>
          <w:rFonts w:ascii="Times New Roman" w:hAnsi="Times New Roman"/>
          <w:lang w:eastAsia="zh-CN"/>
        </w:rPr>
        <w:t>2.7.2. </w:t>
      </w:r>
      <w:r>
        <w:rPr>
          <w:rFonts w:ascii="Times New Roman" w:hAnsi="Times New Roman"/>
          <w:u w:color="000000"/>
          <w:lang w:eastAsia="zh-CN"/>
        </w:rPr>
        <w:t>При изучении модуля «Гандбол» на уровне начального общего образования у обучающихся будут сформированы следующие</w:t>
      </w:r>
      <w:r>
        <w:rPr>
          <w:rFonts w:ascii="Times New Roman" w:hAnsi="Times New Roman"/>
          <w:lang w:eastAsia="zh-CN"/>
        </w:rPr>
        <w:t xml:space="preserve"> метапредметные результаты:</w:t>
      </w:r>
    </w:p>
    <w:p w14:paraId="20280079">
      <w:pPr>
        <w:pBdr>
          <w:top w:val="none" w:color="000000" w:sz="0" w:space="0"/>
          <w:left w:val="none" w:color="000000" w:sz="0" w:space="0"/>
          <w:bottom w:val="none" w:color="000000" w:sz="0" w:space="0"/>
          <w:right w:val="none" w:color="000000" w:sz="0" w:space="0"/>
        </w:pBdr>
        <w:suppressAutoHyphens/>
        <w:spacing w:after="0" w:line="360" w:lineRule="auto"/>
        <w:ind w:firstLine="709"/>
        <w:jc w:val="both"/>
        <w:rPr>
          <w:rFonts w:ascii="Times New Roman" w:hAnsi="Times New Roman"/>
          <w:lang w:eastAsia="zh-CN"/>
        </w:rPr>
      </w:pPr>
      <w:r>
        <w:rPr>
          <w:rFonts w:ascii="Times New Roman" w:hAnsi="Times New Roman"/>
          <w:lang w:eastAsia="zh-CN"/>
        </w:rPr>
        <w:t>умение самостоятельно определять цели и задачи своего обучения средствами гандбола, развивать мотивы и интересы своей познавательной деятельности в физкультурно-спортивном направлении;</w:t>
      </w:r>
    </w:p>
    <w:p w14:paraId="5C1D119A">
      <w:pPr>
        <w:pBdr>
          <w:top w:val="none" w:color="000000" w:sz="0" w:space="0"/>
          <w:left w:val="none" w:color="000000" w:sz="0" w:space="0"/>
          <w:bottom w:val="none" w:color="000000" w:sz="0" w:space="0"/>
          <w:right w:val="none" w:color="000000" w:sz="0" w:space="0"/>
        </w:pBdr>
        <w:suppressAutoHyphens/>
        <w:spacing w:after="0" w:line="360" w:lineRule="auto"/>
        <w:ind w:firstLine="709"/>
        <w:jc w:val="both"/>
        <w:rPr>
          <w:rFonts w:ascii="Times New Roman" w:hAnsi="Times New Roman"/>
          <w:lang w:eastAsia="zh-CN"/>
        </w:rPr>
      </w:pPr>
      <w:r>
        <w:rPr>
          <w:rFonts w:ascii="Times New Roman" w:hAnsi="Times New Roman"/>
          <w:lang w:eastAsia="zh-CN"/>
        </w:rPr>
        <w:t>умение планировать пути достижения целей с учетом наиболее эффективных способов решения задач средствами гандбола в учебной, игровой, соревновательной и досуговой деятельности, оценивать правильность выполнения задач, собственные возможности их решения;</w:t>
      </w:r>
    </w:p>
    <w:p w14:paraId="01500C6A">
      <w:pPr>
        <w:pBdr>
          <w:top w:val="none" w:color="000000" w:sz="0" w:space="0"/>
          <w:left w:val="none" w:color="000000" w:sz="0" w:space="0"/>
          <w:bottom w:val="none" w:color="000000" w:sz="0" w:space="0"/>
          <w:right w:val="none" w:color="000000" w:sz="0" w:space="0"/>
        </w:pBdr>
        <w:suppressAutoHyphens/>
        <w:spacing w:after="0" w:line="360" w:lineRule="auto"/>
        <w:ind w:firstLine="709"/>
        <w:jc w:val="both"/>
        <w:rPr>
          <w:rFonts w:ascii="Times New Roman" w:hAnsi="Times New Roman"/>
          <w:lang w:eastAsia="zh-CN"/>
        </w:rPr>
      </w:pPr>
      <w:r>
        <w:rPr>
          <w:rFonts w:ascii="Times New Roman" w:hAnsi="Times New Roman"/>
          <w:lang w:eastAsia="zh-CN"/>
        </w:rPr>
        <w:t>умение владеть основами самоконтроля, самооценки, принимать решения и осуществлять осознанный выбор в учебной и познавательной деятельности, при выполнении простейших техническо-тактических приёмов;</w:t>
      </w:r>
    </w:p>
    <w:p w14:paraId="60A6F562">
      <w:pPr>
        <w:pBdr>
          <w:top w:val="none" w:color="000000" w:sz="0" w:space="0"/>
          <w:left w:val="none" w:color="000000" w:sz="0" w:space="0"/>
          <w:bottom w:val="none" w:color="000000" w:sz="0" w:space="0"/>
          <w:right w:val="none" w:color="000000" w:sz="0" w:space="0"/>
        </w:pBdr>
        <w:suppressAutoHyphens/>
        <w:spacing w:after="0" w:line="360" w:lineRule="auto"/>
        <w:ind w:firstLine="709"/>
        <w:jc w:val="both"/>
        <w:rPr>
          <w:rFonts w:ascii="Times New Roman" w:hAnsi="Times New Roman"/>
          <w:lang w:eastAsia="zh-CN"/>
        </w:rPr>
      </w:pPr>
      <w:r>
        <w:rPr>
          <w:rFonts w:ascii="Times New Roman" w:hAnsi="Times New Roman"/>
          <w:lang w:eastAsia="zh-CN"/>
        </w:rPr>
        <w:t>умение организовывать совместную деятельность с учителем и сверстниками, работать индивидуально и в группе, формулировать, аргументировать и отстаивать своё мнение, соблюдать нормы информационной избирательности, этики и этикета.</w:t>
      </w:r>
    </w:p>
    <w:p w14:paraId="5F96C70C">
      <w:pPr>
        <w:pBdr>
          <w:top w:val="none" w:color="000000" w:sz="0" w:space="0"/>
          <w:left w:val="none" w:color="000000" w:sz="0" w:space="0"/>
          <w:bottom w:val="none" w:color="000000" w:sz="0" w:space="0"/>
          <w:right w:val="none" w:color="000000" w:sz="0" w:space="0"/>
        </w:pBdr>
        <w:suppressAutoHyphens/>
        <w:spacing w:after="0" w:line="360" w:lineRule="auto"/>
        <w:ind w:firstLine="709"/>
        <w:jc w:val="both"/>
        <w:rPr>
          <w:rFonts w:ascii="Times New Roman" w:hAnsi="Times New Roman"/>
          <w:lang w:eastAsia="zh-CN"/>
        </w:rPr>
      </w:pPr>
      <w:r>
        <w:rPr>
          <w:rFonts w:ascii="Times New Roman" w:hAnsi="Times New Roman" w:eastAsia="Times New Roman"/>
          <w:bCs/>
          <w:lang w:eastAsia="zh-CN"/>
        </w:rPr>
        <w:t>16.4.</w:t>
      </w:r>
      <w:r>
        <w:rPr>
          <w:rFonts w:ascii="Times New Roman" w:hAnsi="Times New Roman"/>
          <w:lang w:eastAsia="zh-CN"/>
        </w:rPr>
        <w:t>2.7.3.</w:t>
      </w:r>
      <w:r>
        <w:rPr>
          <w:rFonts w:ascii="Times New Roman" w:hAnsi="Times New Roman"/>
          <w:u w:color="000000"/>
          <w:lang w:eastAsia="zh-CN"/>
        </w:rPr>
        <w:t xml:space="preserve"> При изучении модуля «Гандбол» на уровне начального общего образования у обучающихся будут сформированы следующие </w:t>
      </w:r>
      <w:r>
        <w:rPr>
          <w:rFonts w:ascii="Times New Roman" w:hAnsi="Times New Roman"/>
          <w:lang w:eastAsia="zh-CN"/>
        </w:rPr>
        <w:t xml:space="preserve">предметные результаты: </w:t>
      </w:r>
    </w:p>
    <w:p w14:paraId="1CE50E21">
      <w:pPr>
        <w:pBdr>
          <w:top w:val="none" w:color="000000" w:sz="0" w:space="0"/>
          <w:left w:val="none" w:color="000000" w:sz="0" w:space="0"/>
          <w:bottom w:val="none" w:color="000000" w:sz="0" w:space="0"/>
          <w:right w:val="none" w:color="000000" w:sz="0" w:space="0"/>
        </w:pBdr>
        <w:suppressAutoHyphens/>
        <w:spacing w:after="0" w:line="360" w:lineRule="auto"/>
        <w:ind w:firstLine="709"/>
        <w:jc w:val="both"/>
        <w:rPr>
          <w:rFonts w:ascii="Times New Roman" w:hAnsi="Times New Roman"/>
          <w:lang w:eastAsia="zh-CN"/>
        </w:rPr>
      </w:pPr>
      <w:r>
        <w:rPr>
          <w:rFonts w:ascii="Times New Roman" w:hAnsi="Times New Roman"/>
          <w:lang w:eastAsia="zh-CN"/>
        </w:rPr>
        <w:t xml:space="preserve">знание исторических фактов возникновения и развития гандбола и мини-гандбола; </w:t>
      </w:r>
    </w:p>
    <w:p w14:paraId="535233AE">
      <w:pPr>
        <w:pBdr>
          <w:top w:val="none" w:color="000000" w:sz="0" w:space="0"/>
          <w:left w:val="none" w:color="000000" w:sz="0" w:space="0"/>
          <w:bottom w:val="none" w:color="000000" w:sz="0" w:space="0"/>
          <w:right w:val="none" w:color="000000" w:sz="0" w:space="0"/>
        </w:pBdr>
        <w:suppressAutoHyphens/>
        <w:spacing w:after="0" w:line="360" w:lineRule="auto"/>
        <w:ind w:firstLine="709"/>
        <w:jc w:val="both"/>
        <w:rPr>
          <w:rFonts w:ascii="Times New Roman" w:hAnsi="Times New Roman"/>
          <w:lang w:eastAsia="zh-CN"/>
        </w:rPr>
      </w:pPr>
      <w:r>
        <w:rPr>
          <w:rFonts w:ascii="Times New Roman" w:hAnsi="Times New Roman"/>
          <w:lang w:eastAsia="zh-CN"/>
        </w:rPr>
        <w:t xml:space="preserve">знание основных правил игры в гандбол, мини-гандбол в учебной, соревновательной и досуговой деятельности; </w:t>
      </w:r>
    </w:p>
    <w:p w14:paraId="2DD7BC17">
      <w:pPr>
        <w:pBdr>
          <w:top w:val="none" w:color="000000" w:sz="0" w:space="0"/>
          <w:left w:val="none" w:color="000000" w:sz="0" w:space="0"/>
          <w:bottom w:val="none" w:color="000000" w:sz="0" w:space="0"/>
          <w:right w:val="none" w:color="000000" w:sz="0" w:space="0"/>
        </w:pBdr>
        <w:suppressAutoHyphens/>
        <w:spacing w:after="0" w:line="360" w:lineRule="auto"/>
        <w:ind w:firstLine="709"/>
        <w:jc w:val="both"/>
        <w:rPr>
          <w:rFonts w:ascii="Times New Roman" w:hAnsi="Times New Roman" w:eastAsia="Times New Roman"/>
          <w:lang w:eastAsia="zh-CN"/>
        </w:rPr>
      </w:pPr>
      <w:r>
        <w:rPr>
          <w:rFonts w:ascii="Times New Roman" w:hAnsi="Times New Roman"/>
          <w:lang w:eastAsia="zh-CN"/>
        </w:rPr>
        <w:t xml:space="preserve">соблюдение правил личной гигиены и ухода за спортивным инвентарем и оборудованием, правил </w:t>
      </w:r>
      <w:r>
        <w:rPr>
          <w:rFonts w:ascii="Times New Roman" w:hAnsi="Times New Roman" w:eastAsia="Times New Roman"/>
          <w:lang w:eastAsia="zh-CN"/>
        </w:rPr>
        <w:t xml:space="preserve">подбора спортивной одежды и обуви для занятий </w:t>
      </w:r>
      <w:r>
        <w:rPr>
          <w:rFonts w:ascii="Times New Roman" w:hAnsi="Times New Roman"/>
          <w:lang w:eastAsia="zh-CN"/>
        </w:rPr>
        <w:t>гандболом</w:t>
      </w:r>
      <w:r>
        <w:rPr>
          <w:rFonts w:ascii="Times New Roman" w:hAnsi="Times New Roman" w:eastAsia="Times New Roman"/>
          <w:lang w:eastAsia="zh-CN"/>
        </w:rPr>
        <w:t>;</w:t>
      </w:r>
    </w:p>
    <w:p w14:paraId="0E99D4DF">
      <w:pPr>
        <w:pBdr>
          <w:top w:val="none" w:color="000000" w:sz="0" w:space="0"/>
          <w:left w:val="none" w:color="000000" w:sz="0" w:space="0"/>
          <w:bottom w:val="none" w:color="000000" w:sz="0" w:space="0"/>
          <w:right w:val="none" w:color="000000" w:sz="0" w:space="0"/>
        </w:pBdr>
        <w:suppressAutoHyphens/>
        <w:spacing w:after="0" w:line="360" w:lineRule="auto"/>
        <w:ind w:firstLine="709"/>
        <w:jc w:val="both"/>
        <w:rPr>
          <w:rFonts w:ascii="Times New Roman" w:hAnsi="Times New Roman" w:eastAsia="PragmaticaC"/>
          <w:lang w:eastAsia="zh-CN"/>
        </w:rPr>
      </w:pPr>
      <w:r>
        <w:rPr>
          <w:rFonts w:ascii="Times New Roman" w:hAnsi="Times New Roman" w:eastAsia="PragmaticaC"/>
          <w:lang w:eastAsia="zh-CN"/>
        </w:rPr>
        <w:t>знание и соблюдение основных правил безопасности на занятиях гандболом;</w:t>
      </w:r>
    </w:p>
    <w:p w14:paraId="71E10808">
      <w:pPr>
        <w:pBdr>
          <w:top w:val="none" w:color="000000" w:sz="0" w:space="0"/>
          <w:left w:val="none" w:color="000000" w:sz="0" w:space="0"/>
          <w:bottom w:val="none" w:color="000000" w:sz="0" w:space="0"/>
          <w:right w:val="none" w:color="000000" w:sz="0" w:space="0"/>
        </w:pBdr>
        <w:suppressAutoHyphens/>
        <w:spacing w:after="0" w:line="360" w:lineRule="auto"/>
        <w:ind w:firstLine="709"/>
        <w:jc w:val="both"/>
        <w:rPr>
          <w:rFonts w:ascii="Times New Roman" w:hAnsi="Times New Roman"/>
          <w:lang w:eastAsia="zh-CN"/>
        </w:rPr>
      </w:pPr>
      <w:r>
        <w:rPr>
          <w:rFonts w:ascii="Times New Roman" w:hAnsi="Times New Roman" w:eastAsia="Times New Roman"/>
          <w:lang w:eastAsia="zh-CN"/>
        </w:rPr>
        <w:t>умение подбирать, составлять и осваивать самостоятельно, при участии и помощи родителей</w:t>
      </w:r>
      <w:r>
        <w:rPr>
          <w:rFonts w:ascii="Times New Roman" w:hAnsi="Times New Roman"/>
          <w:lang w:eastAsia="zh-CN"/>
        </w:rPr>
        <w:t xml:space="preserve"> простейшие </w:t>
      </w:r>
      <w:r>
        <w:rPr>
          <w:rFonts w:ascii="Times New Roman" w:hAnsi="Times New Roman" w:eastAsia="Times New Roman"/>
          <w:lang w:eastAsia="zh-CN"/>
        </w:rPr>
        <w:t xml:space="preserve">комплексы </w:t>
      </w:r>
      <w:r>
        <w:rPr>
          <w:rFonts w:ascii="Times New Roman" w:hAnsi="Times New Roman"/>
          <w:lang w:eastAsia="zh-CN"/>
        </w:rPr>
        <w:t xml:space="preserve">общеразвивающих, специальных и имитационных </w:t>
      </w:r>
      <w:r>
        <w:rPr>
          <w:rFonts w:ascii="Times New Roman" w:hAnsi="Times New Roman" w:eastAsia="Times New Roman"/>
          <w:lang w:eastAsia="zh-CN"/>
        </w:rPr>
        <w:t xml:space="preserve">упражнений </w:t>
      </w:r>
      <w:r>
        <w:rPr>
          <w:rFonts w:ascii="Times New Roman" w:hAnsi="Times New Roman"/>
          <w:lang w:eastAsia="zh-CN"/>
        </w:rPr>
        <w:t>для занятий гандболом;</w:t>
      </w:r>
    </w:p>
    <w:p w14:paraId="42257945">
      <w:pPr>
        <w:pBdr>
          <w:top w:val="none" w:color="000000" w:sz="0" w:space="0"/>
          <w:left w:val="none" w:color="000000" w:sz="0" w:space="0"/>
          <w:bottom w:val="none" w:color="000000" w:sz="0" w:space="0"/>
          <w:right w:val="none" w:color="000000" w:sz="0" w:space="0"/>
        </w:pBdr>
        <w:suppressAutoHyphens/>
        <w:spacing w:after="0" w:line="360" w:lineRule="auto"/>
        <w:ind w:firstLine="709"/>
        <w:jc w:val="both"/>
        <w:rPr>
          <w:rFonts w:ascii="Times New Roman" w:hAnsi="Times New Roman"/>
          <w:lang w:eastAsia="zh-CN"/>
        </w:rPr>
      </w:pPr>
      <w:r>
        <w:rPr>
          <w:rFonts w:ascii="Times New Roman" w:hAnsi="Times New Roman"/>
          <w:lang w:eastAsia="zh-CN"/>
        </w:rPr>
        <w:t xml:space="preserve">умение определять первые внешние признаки утомления и осуществлять самоконтроль за физической нагрузкой в процессе занятий гандболом; </w:t>
      </w:r>
    </w:p>
    <w:p w14:paraId="45878AF2">
      <w:pPr>
        <w:pBdr>
          <w:top w:val="none" w:color="000000" w:sz="0" w:space="0"/>
          <w:left w:val="none" w:color="000000" w:sz="0" w:space="0"/>
          <w:bottom w:val="none" w:color="000000" w:sz="0" w:space="0"/>
          <w:right w:val="none" w:color="000000" w:sz="0" w:space="0"/>
        </w:pBdr>
        <w:suppressAutoHyphens/>
        <w:spacing w:after="0" w:line="360" w:lineRule="auto"/>
        <w:ind w:firstLine="709"/>
        <w:jc w:val="both"/>
        <w:rPr>
          <w:rFonts w:ascii="Times New Roman" w:hAnsi="Times New Roman"/>
          <w:lang w:eastAsia="zh-CN"/>
        </w:rPr>
      </w:pPr>
      <w:r>
        <w:rPr>
          <w:rFonts w:ascii="Times New Roman" w:hAnsi="Times New Roman"/>
          <w:lang w:eastAsia="zh-CN"/>
        </w:rPr>
        <w:t>умение организовывать и проводить подвижные игры с элементами гандбола во время активного отдыха и каникул;</w:t>
      </w:r>
    </w:p>
    <w:p w14:paraId="19086C96">
      <w:pPr>
        <w:pBdr>
          <w:top w:val="none" w:color="000000" w:sz="0" w:space="0"/>
          <w:left w:val="none" w:color="000000" w:sz="0" w:space="0"/>
          <w:bottom w:val="none" w:color="000000" w:sz="0" w:space="0"/>
          <w:right w:val="none" w:color="000000" w:sz="0" w:space="0"/>
        </w:pBdr>
        <w:shd w:val="clear" w:color="auto" w:fill="FFFFFF"/>
        <w:tabs>
          <w:tab w:val="left" w:pos="571"/>
        </w:tabs>
        <w:suppressAutoHyphens/>
        <w:autoSpaceDE w:val="0"/>
        <w:spacing w:after="0" w:line="360" w:lineRule="auto"/>
        <w:ind w:firstLine="709"/>
        <w:jc w:val="both"/>
        <w:rPr>
          <w:rFonts w:ascii="Times New Roman" w:hAnsi="Times New Roman"/>
          <w:lang w:eastAsia="zh-CN"/>
        </w:rPr>
      </w:pPr>
      <w:r>
        <w:rPr>
          <w:rFonts w:ascii="Times New Roman" w:hAnsi="Times New Roman"/>
          <w:lang w:eastAsia="zh-CN"/>
        </w:rPr>
        <w:t>знание и умение демонстрировать простейшие комплексы общих и специальных подготовительных упражнений, необходимых для развития физических качеств, характерных для вида спорта «гандбол»;</w:t>
      </w:r>
    </w:p>
    <w:p w14:paraId="46889B50">
      <w:pPr>
        <w:spacing w:after="0" w:line="360" w:lineRule="auto"/>
        <w:ind w:firstLine="709"/>
        <w:contextualSpacing/>
        <w:jc w:val="both"/>
        <w:rPr>
          <w:rFonts w:ascii="Times New Roman" w:hAnsi="Times New Roman" w:eastAsia="Times New Roman"/>
          <w:lang w:eastAsia="ru-RU"/>
        </w:rPr>
      </w:pPr>
      <w:r>
        <w:rPr>
          <w:rFonts w:ascii="Times New Roman" w:hAnsi="Times New Roman"/>
          <w:lang w:eastAsia="zh-CN"/>
        </w:rPr>
        <w:t>знание и умение демонстрировать</w:t>
      </w:r>
      <w:r>
        <w:rPr>
          <w:rFonts w:ascii="Times New Roman" w:hAnsi="Times New Roman" w:eastAsia="Times New Roman"/>
          <w:lang w:eastAsia="ru-RU"/>
        </w:rPr>
        <w:t xml:space="preserve"> основные виды </w:t>
      </w:r>
      <w:r>
        <w:rPr>
          <w:rFonts w:ascii="Times New Roman" w:hAnsi="Times New Roman"/>
          <w:u w:color="000000"/>
          <w:lang w:eastAsia="ru-RU"/>
        </w:rPr>
        <w:t>передвижений: бег, прыжки, остановки, повороты</w:t>
      </w:r>
      <w:r>
        <w:rPr>
          <w:rFonts w:ascii="Times New Roman" w:hAnsi="Times New Roman" w:eastAsia="Times New Roman"/>
          <w:lang w:eastAsia="ru-RU"/>
        </w:rPr>
        <w:t xml:space="preserve"> по игровому полю, </w:t>
      </w:r>
      <w:r>
        <w:rPr>
          <w:rFonts w:ascii="Times New Roman" w:hAnsi="Times New Roman"/>
          <w:lang w:eastAsia="zh-CN"/>
        </w:rPr>
        <w:t>технику держания мяча при игре в мини-гандбол (гандбол) и простейшие приёмы владения мячом;</w:t>
      </w:r>
    </w:p>
    <w:p w14:paraId="595FC74A">
      <w:pPr>
        <w:pBdr>
          <w:top w:val="none" w:color="000000" w:sz="0" w:space="0"/>
          <w:left w:val="none" w:color="000000" w:sz="0" w:space="0"/>
          <w:bottom w:val="none" w:color="000000" w:sz="0" w:space="0"/>
          <w:right w:val="none" w:color="000000" w:sz="0" w:space="0"/>
        </w:pBdr>
        <w:suppressAutoHyphens/>
        <w:spacing w:after="0" w:line="360" w:lineRule="auto"/>
        <w:ind w:firstLine="709"/>
        <w:jc w:val="both"/>
        <w:rPr>
          <w:rFonts w:ascii="Times New Roman" w:hAnsi="Times New Roman"/>
          <w:lang w:eastAsia="zh-CN"/>
        </w:rPr>
      </w:pPr>
      <w:r>
        <w:rPr>
          <w:rFonts w:ascii="Times New Roman" w:hAnsi="Times New Roman"/>
          <w:lang w:eastAsia="zh-CN"/>
        </w:rPr>
        <w:t>умение демонстрировать подводящие упражнения и элементарные технические приёмы игры в защите, а также основы техники игры вратаря;</w:t>
      </w:r>
      <w:r>
        <w:rPr>
          <w:rFonts w:ascii="Times New Roman" w:hAnsi="Times New Roman" w:eastAsia="Times New Roman"/>
          <w:lang w:eastAsia="ru-RU"/>
        </w:rPr>
        <w:t xml:space="preserve"> </w:t>
      </w:r>
    </w:p>
    <w:p w14:paraId="73921D3B">
      <w:pPr>
        <w:pBdr>
          <w:top w:val="none" w:color="000000" w:sz="0" w:space="0"/>
          <w:left w:val="none" w:color="000000" w:sz="0" w:space="0"/>
          <w:bottom w:val="none" w:color="000000" w:sz="0" w:space="0"/>
          <w:right w:val="none" w:color="000000" w:sz="0" w:space="0"/>
        </w:pBdr>
        <w:suppressAutoHyphens/>
        <w:spacing w:after="0" w:line="360" w:lineRule="auto"/>
        <w:ind w:firstLine="709"/>
        <w:jc w:val="both"/>
        <w:rPr>
          <w:rFonts w:ascii="Times New Roman" w:hAnsi="Times New Roman" w:eastAsia="Times New Roman"/>
          <w:lang w:eastAsia="ru-RU"/>
        </w:rPr>
      </w:pPr>
      <w:r>
        <w:rPr>
          <w:rFonts w:ascii="Times New Roman" w:hAnsi="Times New Roman" w:eastAsia="Times New Roman"/>
          <w:lang w:eastAsia="ru-RU"/>
        </w:rPr>
        <w:t>умение взаимодействовать в парах и группах при выполнении технических действий;</w:t>
      </w:r>
    </w:p>
    <w:p w14:paraId="09D7DDF6">
      <w:pPr>
        <w:pBdr>
          <w:top w:val="none" w:color="000000" w:sz="0" w:space="0"/>
          <w:left w:val="none" w:color="000000" w:sz="0" w:space="0"/>
          <w:bottom w:val="none" w:color="000000" w:sz="0" w:space="0"/>
          <w:right w:val="none" w:color="000000" w:sz="0" w:space="0"/>
        </w:pBdr>
        <w:suppressAutoHyphens/>
        <w:spacing w:after="0" w:line="360" w:lineRule="auto"/>
        <w:ind w:firstLine="709"/>
        <w:jc w:val="both"/>
        <w:rPr>
          <w:rFonts w:ascii="Times New Roman" w:hAnsi="Times New Roman"/>
          <w:lang w:eastAsia="zh-CN"/>
        </w:rPr>
      </w:pPr>
      <w:r>
        <w:rPr>
          <w:rFonts w:ascii="Times New Roman" w:hAnsi="Times New Roman"/>
          <w:lang w:eastAsia="zh-CN"/>
        </w:rPr>
        <w:t>знание и выполнение тестовых упражнений по физической подготовленности в гандболе.</w:t>
      </w:r>
    </w:p>
    <w:p w14:paraId="5FAA0BB4">
      <w:pPr>
        <w:pStyle w:val="85"/>
        <w:spacing w:before="240"/>
        <w:ind w:firstLine="540"/>
        <w:jc w:val="both"/>
        <w:rPr>
          <w:color w:val="auto"/>
          <w:sz w:val="22"/>
          <w:szCs w:val="22"/>
        </w:rPr>
      </w:pPr>
      <w:r>
        <w:rPr>
          <w:color w:val="auto"/>
          <w:sz w:val="22"/>
          <w:szCs w:val="22"/>
        </w:rPr>
        <w:t>16.4.3. Модуль "Дзюдо".</w:t>
      </w:r>
    </w:p>
    <w:p w14:paraId="5D15AF81">
      <w:pPr>
        <w:pStyle w:val="85"/>
        <w:spacing w:before="240"/>
        <w:ind w:firstLine="540"/>
        <w:jc w:val="both"/>
        <w:rPr>
          <w:color w:val="auto"/>
          <w:sz w:val="22"/>
          <w:szCs w:val="22"/>
        </w:rPr>
      </w:pPr>
      <w:r>
        <w:rPr>
          <w:color w:val="auto"/>
          <w:sz w:val="22"/>
          <w:szCs w:val="22"/>
        </w:rPr>
        <w:t>16.4.3.1. Пояснительная записка модуля "Дзюдо".</w:t>
      </w:r>
    </w:p>
    <w:p w14:paraId="0C2D2B3C">
      <w:pPr>
        <w:pStyle w:val="85"/>
        <w:spacing w:before="240"/>
        <w:ind w:firstLine="540"/>
        <w:jc w:val="both"/>
        <w:rPr>
          <w:color w:val="auto"/>
          <w:sz w:val="22"/>
          <w:szCs w:val="22"/>
        </w:rPr>
      </w:pPr>
      <w:r>
        <w:rPr>
          <w:color w:val="auto"/>
          <w:sz w:val="22"/>
          <w:szCs w:val="22"/>
        </w:rPr>
        <w:t>Модуль "Дзюдо" (далее - модуль "Дзюдо", модуль по дзюдо, дзюдо) на уровне начального общего образования разработан с целью оказания методической помощи учителю физической культуры в создании части рабочей программы по учебному предмету "Физическая культура", направленной на формирование общих представлений о физической культуре и спорте, физической активности человека, физических качествах, жизненно важных прикладных умениях и навыках, основных физических упражнениях (игровых и спортивных) с целью достижения результатов ФГОС НОО, с учетом современных тенденций в системе образования и использования спортивно-ориентированных форм, средств и методов обучения по различным видам спорта.</w:t>
      </w:r>
    </w:p>
    <w:p w14:paraId="7848C99A">
      <w:pPr>
        <w:pStyle w:val="85"/>
        <w:spacing w:before="240"/>
        <w:ind w:firstLine="540"/>
        <w:jc w:val="both"/>
        <w:rPr>
          <w:color w:val="auto"/>
          <w:sz w:val="22"/>
          <w:szCs w:val="22"/>
        </w:rPr>
      </w:pPr>
      <w:r>
        <w:rPr>
          <w:color w:val="auto"/>
          <w:sz w:val="22"/>
          <w:szCs w:val="22"/>
        </w:rPr>
        <w:t>Дзюдо является системой, которая включает многообразие двигательных действий с использованием в учебном процессе всего арсенала физических упражнений различной направленности. Занятия дзюдо учат самоконтролю и дисциплине, взаимопониманию и взаимодействию, ответственности, достижению целей и взаимовыручке, развивают коммуникативные навыки и умение владеть собой в стрессовых ситуациях, а также содействуют духовному развитию.</w:t>
      </w:r>
    </w:p>
    <w:p w14:paraId="5B26DB44">
      <w:pPr>
        <w:pStyle w:val="85"/>
        <w:spacing w:before="240"/>
        <w:ind w:firstLine="540"/>
        <w:jc w:val="both"/>
        <w:rPr>
          <w:color w:val="auto"/>
          <w:sz w:val="22"/>
          <w:szCs w:val="22"/>
        </w:rPr>
      </w:pPr>
      <w:r>
        <w:rPr>
          <w:color w:val="auto"/>
          <w:sz w:val="22"/>
          <w:szCs w:val="22"/>
        </w:rPr>
        <w:t>К современным спортивным дисциплинам дзюдо относятся включенные во Всероссийский реестр видов спорта: весовые категории (с номером-кодом, обозначающим пол и возрастную категорию занимающихся), КАТА, КАТА-группа.</w:t>
      </w:r>
    </w:p>
    <w:p w14:paraId="3CE32855">
      <w:pPr>
        <w:pStyle w:val="85"/>
        <w:spacing w:before="240"/>
        <w:ind w:firstLine="540"/>
        <w:jc w:val="both"/>
        <w:rPr>
          <w:color w:val="auto"/>
          <w:sz w:val="22"/>
          <w:szCs w:val="22"/>
        </w:rPr>
      </w:pPr>
      <w:r>
        <w:rPr>
          <w:color w:val="auto"/>
          <w:sz w:val="22"/>
          <w:szCs w:val="22"/>
        </w:rPr>
        <w:t>16.4.3.2. Целью изучения модуля "Дзюдо" является формирование у обучающихся навыков общечеловеческой культуры и социального самоопределения, устойчивой мотивации к сохранению и укреплению собственного здоровья, ведению здорового и безопасного образа жизни через занятия физической культурой и спортом с использованием средств спортивных дисциплин "дзюдо".</w:t>
      </w:r>
    </w:p>
    <w:p w14:paraId="181796FB">
      <w:pPr>
        <w:pStyle w:val="85"/>
        <w:spacing w:before="240"/>
        <w:ind w:firstLine="540"/>
        <w:jc w:val="both"/>
        <w:rPr>
          <w:color w:val="auto"/>
          <w:sz w:val="22"/>
          <w:szCs w:val="22"/>
        </w:rPr>
      </w:pPr>
      <w:r>
        <w:rPr>
          <w:color w:val="auto"/>
          <w:sz w:val="22"/>
          <w:szCs w:val="22"/>
        </w:rPr>
        <w:t>16.4.3.3. Задачами изучения модуля "Дзюдо" являются:</w:t>
      </w:r>
    </w:p>
    <w:p w14:paraId="42E2F886">
      <w:pPr>
        <w:pStyle w:val="85"/>
        <w:spacing w:before="240"/>
        <w:ind w:firstLine="540"/>
        <w:jc w:val="both"/>
        <w:rPr>
          <w:color w:val="auto"/>
          <w:sz w:val="22"/>
          <w:szCs w:val="22"/>
        </w:rPr>
      </w:pPr>
      <w:r>
        <w:rPr>
          <w:color w:val="auto"/>
          <w:sz w:val="22"/>
          <w:szCs w:val="22"/>
        </w:rPr>
        <w:t>всестороннее гармоничное развитие обучающихся, увеличение объема их двигательной активности;</w:t>
      </w:r>
    </w:p>
    <w:p w14:paraId="04FCCB15">
      <w:pPr>
        <w:pStyle w:val="85"/>
        <w:spacing w:before="240"/>
        <w:ind w:firstLine="540"/>
        <w:jc w:val="both"/>
        <w:rPr>
          <w:color w:val="auto"/>
          <w:sz w:val="22"/>
          <w:szCs w:val="22"/>
        </w:rPr>
      </w:pPr>
      <w:r>
        <w:rPr>
          <w:color w:val="auto"/>
          <w:sz w:val="22"/>
          <w:szCs w:val="22"/>
        </w:rPr>
        <w:t>укрепление физического, психологического и социального здоровья обучающихся, развитие основных физических качеств и повышение функциональных возможностей их организма, обеспечение культуры безопасного поведения на занятиях по дзюдо;</w:t>
      </w:r>
    </w:p>
    <w:p w14:paraId="2F4F1D3D">
      <w:pPr>
        <w:pStyle w:val="85"/>
        <w:spacing w:before="240"/>
        <w:ind w:firstLine="540"/>
        <w:jc w:val="both"/>
        <w:rPr>
          <w:color w:val="auto"/>
          <w:sz w:val="22"/>
          <w:szCs w:val="22"/>
        </w:rPr>
      </w:pPr>
      <w:r>
        <w:rPr>
          <w:color w:val="auto"/>
          <w:sz w:val="22"/>
          <w:szCs w:val="22"/>
        </w:rPr>
        <w:t>формирование общих представлений о виде спорта "дзюдо", его истории развития, возможностях и значении в процессе укрепления здоровья, физическом развитии и физической подготовке обучающихся;</w:t>
      </w:r>
    </w:p>
    <w:p w14:paraId="0A9B1C68">
      <w:pPr>
        <w:pStyle w:val="85"/>
        <w:spacing w:before="240"/>
        <w:ind w:firstLine="540"/>
        <w:jc w:val="both"/>
        <w:rPr>
          <w:color w:val="auto"/>
          <w:sz w:val="22"/>
          <w:szCs w:val="22"/>
        </w:rPr>
      </w:pPr>
      <w:r>
        <w:rPr>
          <w:color w:val="auto"/>
          <w:sz w:val="22"/>
          <w:szCs w:val="22"/>
        </w:rPr>
        <w:t>формирование культуры движений, обогащение двигательного опыта физическими упражнениями, имеющими общеразвивающую и корригирующую направленность, техническими и тактическими действиями дзюдо;</w:t>
      </w:r>
    </w:p>
    <w:p w14:paraId="30530A04">
      <w:pPr>
        <w:pStyle w:val="85"/>
        <w:spacing w:before="240"/>
        <w:ind w:firstLine="540"/>
        <w:jc w:val="both"/>
        <w:rPr>
          <w:color w:val="auto"/>
          <w:sz w:val="22"/>
          <w:szCs w:val="22"/>
        </w:rPr>
      </w:pPr>
      <w:r>
        <w:rPr>
          <w:color w:val="auto"/>
          <w:sz w:val="22"/>
          <w:szCs w:val="22"/>
        </w:rPr>
        <w:t>формирование общей культуры развития личности обучающегося средствами дзюдо, в том числе для самореализации и самоопределения;</w:t>
      </w:r>
    </w:p>
    <w:p w14:paraId="622D222E">
      <w:pPr>
        <w:pStyle w:val="85"/>
        <w:spacing w:before="240"/>
        <w:ind w:firstLine="540"/>
        <w:jc w:val="both"/>
        <w:rPr>
          <w:color w:val="auto"/>
          <w:sz w:val="22"/>
          <w:szCs w:val="22"/>
        </w:rPr>
      </w:pPr>
      <w:r>
        <w:rPr>
          <w:color w:val="auto"/>
          <w:sz w:val="22"/>
          <w:szCs w:val="22"/>
        </w:rPr>
        <w:t>воспитание положительных качеств личности, норм коллективного взаимодействия и сотрудничества в образовательной и соревновательной деятельности;</w:t>
      </w:r>
    </w:p>
    <w:p w14:paraId="18C2D42B">
      <w:pPr>
        <w:pStyle w:val="85"/>
        <w:spacing w:before="240"/>
        <w:ind w:firstLine="540"/>
        <w:jc w:val="both"/>
        <w:rPr>
          <w:color w:val="auto"/>
          <w:sz w:val="22"/>
          <w:szCs w:val="22"/>
        </w:rPr>
      </w:pPr>
      <w:r>
        <w:rPr>
          <w:color w:val="auto"/>
          <w:sz w:val="22"/>
          <w:szCs w:val="22"/>
        </w:rPr>
        <w:t>развитие положительной мотивации и устойчивого учебно-познавательного интереса к учебному предмету "Физическая культура", удовлетворение индивидуальных потребностей обучающихся в занятиях физической культурой и спортом средствами дзюдо;</w:t>
      </w:r>
    </w:p>
    <w:p w14:paraId="6936D618">
      <w:pPr>
        <w:pStyle w:val="85"/>
        <w:spacing w:before="240"/>
        <w:ind w:firstLine="540"/>
        <w:jc w:val="both"/>
        <w:rPr>
          <w:color w:val="auto"/>
          <w:sz w:val="22"/>
          <w:szCs w:val="22"/>
        </w:rPr>
      </w:pPr>
      <w:r>
        <w:rPr>
          <w:color w:val="auto"/>
          <w:sz w:val="22"/>
          <w:szCs w:val="22"/>
        </w:rPr>
        <w:t>популяризация дзюдо среди подрастающего поколения, привлечение обучающихся, проявляющих повышенный интерес и способности к занятиям дзюдо, в школьные спортивные клубы, секции, к участию в соревнованиях;</w:t>
      </w:r>
    </w:p>
    <w:p w14:paraId="4A18FEE5">
      <w:pPr>
        <w:pStyle w:val="85"/>
        <w:spacing w:before="240"/>
        <w:ind w:firstLine="540"/>
        <w:jc w:val="both"/>
        <w:rPr>
          <w:color w:val="auto"/>
          <w:sz w:val="22"/>
          <w:szCs w:val="22"/>
        </w:rPr>
      </w:pPr>
      <w:r>
        <w:rPr>
          <w:color w:val="auto"/>
          <w:sz w:val="22"/>
          <w:szCs w:val="22"/>
        </w:rPr>
        <w:t>выявление, развитие и поддержка одаренных детей в области спорта.</w:t>
      </w:r>
    </w:p>
    <w:p w14:paraId="575D51FA">
      <w:pPr>
        <w:pStyle w:val="85"/>
        <w:spacing w:before="240"/>
        <w:ind w:firstLine="540"/>
        <w:jc w:val="both"/>
        <w:rPr>
          <w:color w:val="auto"/>
          <w:sz w:val="22"/>
          <w:szCs w:val="22"/>
        </w:rPr>
      </w:pPr>
      <w:r>
        <w:rPr>
          <w:color w:val="auto"/>
          <w:sz w:val="22"/>
          <w:szCs w:val="22"/>
        </w:rPr>
        <w:t>16.4.3.4. Место и роль модуля "Дзюдо".</w:t>
      </w:r>
    </w:p>
    <w:p w14:paraId="64F99F50">
      <w:pPr>
        <w:pStyle w:val="85"/>
        <w:spacing w:before="240"/>
        <w:ind w:firstLine="540"/>
        <w:jc w:val="both"/>
        <w:rPr>
          <w:color w:val="auto"/>
          <w:sz w:val="22"/>
          <w:szCs w:val="22"/>
        </w:rPr>
      </w:pPr>
      <w:r>
        <w:rPr>
          <w:color w:val="auto"/>
          <w:sz w:val="22"/>
          <w:szCs w:val="22"/>
        </w:rPr>
        <w:t>Модуль "Дзюдо" доступен для освоения всем обучающимся, и обеспечивает достижение следующих результатов ФГОС НОО: сформированность общих представлений о физической культуре и спорте, физической активности человека, физических качествах, жизненно важных прикладных умениях и навыках, основных физических упражнениях (гимнастических, игровых, туристических и спортивных).</w:t>
      </w:r>
    </w:p>
    <w:p w14:paraId="12E61961">
      <w:pPr>
        <w:pStyle w:val="85"/>
        <w:spacing w:before="240"/>
        <w:ind w:firstLine="540"/>
        <w:jc w:val="both"/>
        <w:rPr>
          <w:color w:val="auto"/>
          <w:sz w:val="22"/>
          <w:szCs w:val="22"/>
        </w:rPr>
      </w:pPr>
      <w:r>
        <w:rPr>
          <w:color w:val="auto"/>
          <w:sz w:val="22"/>
          <w:szCs w:val="22"/>
        </w:rPr>
        <w:t>Программное содержание модуля "Дзюдо" может быть использовано в разделах "Знания о физической культуре", "Способы самостоятельной деятельности", "Физическое совершенствование".</w:t>
      </w:r>
    </w:p>
    <w:p w14:paraId="585DF42E">
      <w:pPr>
        <w:pStyle w:val="85"/>
        <w:spacing w:before="240"/>
        <w:ind w:firstLine="540"/>
        <w:jc w:val="both"/>
        <w:rPr>
          <w:color w:val="auto"/>
          <w:sz w:val="22"/>
          <w:szCs w:val="22"/>
        </w:rPr>
      </w:pPr>
      <w:r>
        <w:rPr>
          <w:color w:val="auto"/>
          <w:sz w:val="22"/>
          <w:szCs w:val="22"/>
        </w:rPr>
        <w:t>Интеграция модуля по дзюдо поможет обучающимся в освоении образовательных программ в рамках внеурочной деятельности, дополнительного образования, деятельности школьных спортивных клубов, подготовке обучающихся к сдаче норм ГТО и участии в спортивных соревнованиях.</w:t>
      </w:r>
    </w:p>
    <w:p w14:paraId="23D15976">
      <w:pPr>
        <w:pStyle w:val="85"/>
        <w:spacing w:before="240"/>
        <w:ind w:firstLine="540"/>
        <w:jc w:val="both"/>
        <w:rPr>
          <w:color w:val="auto"/>
          <w:sz w:val="22"/>
          <w:szCs w:val="22"/>
        </w:rPr>
      </w:pPr>
      <w:r>
        <w:rPr>
          <w:color w:val="auto"/>
          <w:sz w:val="22"/>
          <w:szCs w:val="22"/>
        </w:rPr>
        <w:t>16.4.3.5. Модуль "Дзюдо" может быть реализован в следующих вариантах:</w:t>
      </w:r>
    </w:p>
    <w:p w14:paraId="3E8B089F">
      <w:pPr>
        <w:pStyle w:val="85"/>
        <w:spacing w:before="240"/>
        <w:ind w:firstLine="540"/>
        <w:jc w:val="both"/>
        <w:rPr>
          <w:color w:val="auto"/>
          <w:sz w:val="22"/>
          <w:szCs w:val="22"/>
        </w:rPr>
      </w:pPr>
      <w:r>
        <w:rPr>
          <w:color w:val="auto"/>
          <w:sz w:val="22"/>
          <w:szCs w:val="22"/>
        </w:rPr>
        <w:t>при самостоятельном планировании учителем физической культуры процесса освоения обучающимися учебного материала по дзюдо с выбором различных элементов специальных физических упражнений, игр и (или) элементов игры, с учетом возраста и физической подготовленности обучающихся (с соответствующей дозировкой и интенсивностью);</w:t>
      </w:r>
    </w:p>
    <w:p w14:paraId="280CA582">
      <w:pPr>
        <w:pStyle w:val="85"/>
        <w:spacing w:before="240"/>
        <w:ind w:firstLine="540"/>
        <w:jc w:val="both"/>
        <w:rPr>
          <w:color w:val="auto"/>
          <w:sz w:val="22"/>
          <w:szCs w:val="22"/>
        </w:rPr>
      </w:pPr>
      <w:r>
        <w:rPr>
          <w:color w:val="auto"/>
          <w:sz w:val="22"/>
          <w:szCs w:val="22"/>
        </w:rPr>
        <w:t>в виде дополнительных часов, выделяемых на спортивно-оздоровительную работу с обучающимися в рамках внеурочной деятельности и (или) за счет посещения обучающимися спортивных секций школьных спортивных клубов (рекомендуемый объем в 1 классе - 33 часа, во 2 - 4 классах - по 34 часа).</w:t>
      </w:r>
    </w:p>
    <w:p w14:paraId="21287540">
      <w:pPr>
        <w:pStyle w:val="85"/>
        <w:spacing w:before="240"/>
        <w:ind w:firstLine="540"/>
        <w:jc w:val="both"/>
        <w:rPr>
          <w:color w:val="auto"/>
          <w:sz w:val="22"/>
          <w:szCs w:val="22"/>
        </w:rPr>
      </w:pPr>
      <w:r>
        <w:rPr>
          <w:color w:val="auto"/>
          <w:sz w:val="22"/>
          <w:szCs w:val="22"/>
        </w:rPr>
        <w:t>16.4.3.6. Содержание модуля "Дзюдо".</w:t>
      </w:r>
    </w:p>
    <w:p w14:paraId="6B04D4CB">
      <w:pPr>
        <w:pStyle w:val="85"/>
        <w:spacing w:before="240"/>
        <w:ind w:firstLine="540"/>
        <w:jc w:val="both"/>
        <w:rPr>
          <w:color w:val="auto"/>
          <w:sz w:val="22"/>
          <w:szCs w:val="22"/>
        </w:rPr>
      </w:pPr>
      <w:r>
        <w:rPr>
          <w:color w:val="auto"/>
          <w:sz w:val="22"/>
          <w:szCs w:val="22"/>
        </w:rPr>
        <w:t>1) Знания о дзюдо.</w:t>
      </w:r>
    </w:p>
    <w:p w14:paraId="0244671C">
      <w:pPr>
        <w:pStyle w:val="85"/>
        <w:spacing w:before="240"/>
        <w:ind w:firstLine="540"/>
        <w:jc w:val="both"/>
        <w:rPr>
          <w:color w:val="auto"/>
          <w:sz w:val="22"/>
          <w:szCs w:val="22"/>
        </w:rPr>
      </w:pPr>
      <w:r>
        <w:rPr>
          <w:color w:val="auto"/>
          <w:sz w:val="22"/>
          <w:szCs w:val="22"/>
        </w:rPr>
        <w:t>Включение борьбы в программу Олимпийских игр (708 год до н.э.).</w:t>
      </w:r>
    </w:p>
    <w:p w14:paraId="42008C64">
      <w:pPr>
        <w:pStyle w:val="85"/>
        <w:spacing w:before="240"/>
        <w:ind w:firstLine="540"/>
        <w:jc w:val="both"/>
        <w:rPr>
          <w:color w:val="auto"/>
          <w:sz w:val="22"/>
          <w:szCs w:val="22"/>
        </w:rPr>
      </w:pPr>
      <w:r>
        <w:rPr>
          <w:color w:val="auto"/>
          <w:sz w:val="22"/>
          <w:szCs w:val="22"/>
        </w:rPr>
        <w:t>Зарождение и развитие дзюдо в Японии (1882 год), Дзигоро Кано - основатель дзюдо. Василий Ощепков - основоположник развития дзюдо в России.</w:t>
      </w:r>
    </w:p>
    <w:p w14:paraId="75CC9E0C">
      <w:pPr>
        <w:pStyle w:val="85"/>
        <w:spacing w:before="240"/>
        <w:ind w:firstLine="540"/>
        <w:jc w:val="both"/>
        <w:rPr>
          <w:color w:val="auto"/>
          <w:sz w:val="22"/>
          <w:szCs w:val="22"/>
        </w:rPr>
      </w:pPr>
      <w:r>
        <w:rPr>
          <w:color w:val="auto"/>
          <w:sz w:val="22"/>
          <w:szCs w:val="22"/>
        </w:rPr>
        <w:t>Происхождение термина "дзюдо".</w:t>
      </w:r>
    </w:p>
    <w:p w14:paraId="3F03D030">
      <w:pPr>
        <w:pStyle w:val="85"/>
        <w:spacing w:before="240"/>
        <w:ind w:firstLine="540"/>
        <w:jc w:val="both"/>
        <w:rPr>
          <w:color w:val="auto"/>
          <w:sz w:val="22"/>
          <w:szCs w:val="22"/>
        </w:rPr>
      </w:pPr>
      <w:r>
        <w:rPr>
          <w:color w:val="auto"/>
          <w:sz w:val="22"/>
          <w:szCs w:val="22"/>
        </w:rPr>
        <w:t>Воздействие на человека дзюдо как системы гармоничного духовного и физического развития личности; как системы прикладных упражнений для безопасного падения.</w:t>
      </w:r>
    </w:p>
    <w:p w14:paraId="104E65AE">
      <w:pPr>
        <w:pStyle w:val="85"/>
        <w:spacing w:before="240"/>
        <w:ind w:firstLine="540"/>
        <w:jc w:val="both"/>
        <w:rPr>
          <w:color w:val="auto"/>
          <w:sz w:val="22"/>
          <w:szCs w:val="22"/>
        </w:rPr>
      </w:pPr>
      <w:r>
        <w:rPr>
          <w:color w:val="auto"/>
          <w:sz w:val="22"/>
          <w:szCs w:val="22"/>
        </w:rPr>
        <w:t>Спортивные достижения советских и российских олимпийцев, занимавшихся дзюдо.</w:t>
      </w:r>
    </w:p>
    <w:p w14:paraId="529D5302">
      <w:pPr>
        <w:pStyle w:val="85"/>
        <w:spacing w:before="240"/>
        <w:ind w:firstLine="540"/>
        <w:jc w:val="both"/>
        <w:rPr>
          <w:color w:val="auto"/>
          <w:sz w:val="22"/>
          <w:szCs w:val="22"/>
        </w:rPr>
      </w:pPr>
      <w:r>
        <w:rPr>
          <w:color w:val="auto"/>
          <w:sz w:val="22"/>
          <w:szCs w:val="22"/>
        </w:rPr>
        <w:t>Здоровый образ жизни и его составляющие. Режим дня обучающегося. Занятия дзюдо в режиме учебного дня, во внеурочное время.</w:t>
      </w:r>
    </w:p>
    <w:p w14:paraId="5D80BE7E">
      <w:pPr>
        <w:pStyle w:val="85"/>
        <w:spacing w:before="240"/>
        <w:ind w:firstLine="540"/>
        <w:jc w:val="both"/>
        <w:rPr>
          <w:color w:val="auto"/>
          <w:sz w:val="22"/>
          <w:szCs w:val="22"/>
        </w:rPr>
      </w:pPr>
      <w:r>
        <w:rPr>
          <w:color w:val="auto"/>
          <w:sz w:val="22"/>
          <w:szCs w:val="22"/>
        </w:rPr>
        <w:t>Гигиена на занятиях дзюдо. Личная гигиена. Правила гигиены. Важность ухода за телом. Гигиена одежды и обуви.</w:t>
      </w:r>
    </w:p>
    <w:p w14:paraId="501C2470">
      <w:pPr>
        <w:pStyle w:val="85"/>
        <w:spacing w:before="240"/>
        <w:ind w:firstLine="540"/>
        <w:jc w:val="both"/>
        <w:rPr>
          <w:color w:val="auto"/>
          <w:sz w:val="22"/>
          <w:szCs w:val="22"/>
        </w:rPr>
      </w:pPr>
      <w:r>
        <w:rPr>
          <w:color w:val="auto"/>
          <w:sz w:val="22"/>
          <w:szCs w:val="22"/>
        </w:rPr>
        <w:t>Утренняя зарядка в процессе изучения элементов дзюдо.</w:t>
      </w:r>
    </w:p>
    <w:p w14:paraId="39AA9BBC">
      <w:pPr>
        <w:pStyle w:val="85"/>
        <w:spacing w:before="240"/>
        <w:ind w:firstLine="540"/>
        <w:jc w:val="both"/>
        <w:rPr>
          <w:color w:val="auto"/>
          <w:sz w:val="22"/>
          <w:szCs w:val="22"/>
        </w:rPr>
      </w:pPr>
      <w:r>
        <w:rPr>
          <w:color w:val="auto"/>
          <w:sz w:val="22"/>
          <w:szCs w:val="22"/>
        </w:rPr>
        <w:t>Рациональное питание, питьевой режим.</w:t>
      </w:r>
    </w:p>
    <w:p w14:paraId="14FCCC1E">
      <w:pPr>
        <w:pStyle w:val="85"/>
        <w:spacing w:before="240"/>
        <w:ind w:firstLine="540"/>
        <w:jc w:val="both"/>
        <w:rPr>
          <w:color w:val="auto"/>
          <w:sz w:val="22"/>
          <w:szCs w:val="22"/>
        </w:rPr>
      </w:pPr>
      <w:r>
        <w:rPr>
          <w:color w:val="auto"/>
          <w:sz w:val="22"/>
          <w:szCs w:val="22"/>
        </w:rPr>
        <w:t>Дзюдо как вид спорта. Весовые категории участников соревнований.</w:t>
      </w:r>
    </w:p>
    <w:p w14:paraId="10926CC4">
      <w:pPr>
        <w:pStyle w:val="85"/>
        <w:spacing w:before="240"/>
        <w:ind w:firstLine="540"/>
        <w:jc w:val="both"/>
        <w:rPr>
          <w:color w:val="auto"/>
          <w:sz w:val="22"/>
          <w:szCs w:val="22"/>
        </w:rPr>
      </w:pPr>
      <w:r>
        <w:rPr>
          <w:color w:val="auto"/>
          <w:sz w:val="22"/>
          <w:szCs w:val="22"/>
        </w:rPr>
        <w:t>Квалификационные степени КЮ и ДАН в дзюдо.</w:t>
      </w:r>
    </w:p>
    <w:p w14:paraId="490A2517">
      <w:pPr>
        <w:pStyle w:val="85"/>
        <w:spacing w:before="240"/>
        <w:ind w:firstLine="540"/>
        <w:jc w:val="both"/>
        <w:rPr>
          <w:color w:val="auto"/>
          <w:sz w:val="22"/>
          <w:szCs w:val="22"/>
        </w:rPr>
      </w:pPr>
      <w:r>
        <w:rPr>
          <w:color w:val="auto"/>
          <w:sz w:val="22"/>
          <w:szCs w:val="22"/>
        </w:rPr>
        <w:t>Разряды и звания в дзюдо.</w:t>
      </w:r>
    </w:p>
    <w:p w14:paraId="7D29A03B">
      <w:pPr>
        <w:pStyle w:val="85"/>
        <w:spacing w:before="240"/>
        <w:ind w:firstLine="540"/>
        <w:jc w:val="both"/>
        <w:rPr>
          <w:color w:val="auto"/>
          <w:sz w:val="22"/>
          <w:szCs w:val="22"/>
        </w:rPr>
      </w:pPr>
      <w:r>
        <w:rPr>
          <w:color w:val="auto"/>
          <w:sz w:val="22"/>
          <w:szCs w:val="22"/>
        </w:rPr>
        <w:t>Система проведения соревнований в дзюдо.</w:t>
      </w:r>
    </w:p>
    <w:p w14:paraId="0CA0F1F9">
      <w:pPr>
        <w:pStyle w:val="85"/>
        <w:spacing w:before="240"/>
        <w:ind w:firstLine="540"/>
        <w:jc w:val="both"/>
        <w:rPr>
          <w:color w:val="auto"/>
          <w:sz w:val="22"/>
          <w:szCs w:val="22"/>
        </w:rPr>
      </w:pPr>
      <w:r>
        <w:rPr>
          <w:color w:val="auto"/>
          <w:sz w:val="22"/>
          <w:szCs w:val="22"/>
        </w:rPr>
        <w:t>Основы правил проведения соревнований по дзюдо и жесты арбитра.</w:t>
      </w:r>
    </w:p>
    <w:p w14:paraId="793D4CD4">
      <w:pPr>
        <w:pStyle w:val="85"/>
        <w:spacing w:before="240"/>
        <w:ind w:firstLine="540"/>
        <w:jc w:val="both"/>
        <w:rPr>
          <w:color w:val="auto"/>
          <w:sz w:val="22"/>
          <w:szCs w:val="22"/>
        </w:rPr>
      </w:pPr>
      <w:r>
        <w:rPr>
          <w:color w:val="auto"/>
          <w:sz w:val="22"/>
          <w:szCs w:val="22"/>
        </w:rPr>
        <w:t>ГТО для обучающихся начальных классов. Порядок выполнения испытаний (тестов).</w:t>
      </w:r>
    </w:p>
    <w:p w14:paraId="4563CE6A">
      <w:pPr>
        <w:pStyle w:val="85"/>
        <w:spacing w:before="240"/>
        <w:ind w:firstLine="540"/>
        <w:jc w:val="both"/>
        <w:rPr>
          <w:color w:val="auto"/>
          <w:sz w:val="22"/>
          <w:szCs w:val="22"/>
        </w:rPr>
      </w:pPr>
      <w:r>
        <w:rPr>
          <w:color w:val="auto"/>
          <w:sz w:val="22"/>
          <w:szCs w:val="22"/>
        </w:rPr>
        <w:t>Воспитание физической культуры личности средствами дзюдо.</w:t>
      </w:r>
    </w:p>
    <w:p w14:paraId="104D2A58">
      <w:pPr>
        <w:pStyle w:val="85"/>
        <w:spacing w:before="240"/>
        <w:ind w:firstLine="540"/>
        <w:jc w:val="both"/>
        <w:rPr>
          <w:color w:val="auto"/>
          <w:sz w:val="22"/>
          <w:szCs w:val="22"/>
        </w:rPr>
      </w:pPr>
      <w:r>
        <w:rPr>
          <w:color w:val="auto"/>
          <w:sz w:val="22"/>
          <w:szCs w:val="22"/>
        </w:rPr>
        <w:t>Основные термины дзюдо. Название инвентаря и оборудования для занятий дзюдо. Площадка для соревнований в дзюдо (рабочая зона, зона безопасности).</w:t>
      </w:r>
    </w:p>
    <w:p w14:paraId="7E4EF4A1">
      <w:pPr>
        <w:pStyle w:val="85"/>
        <w:spacing w:before="240"/>
        <w:ind w:firstLine="540"/>
        <w:jc w:val="both"/>
        <w:rPr>
          <w:color w:val="auto"/>
          <w:sz w:val="22"/>
          <w:szCs w:val="22"/>
        </w:rPr>
      </w:pPr>
      <w:r>
        <w:rPr>
          <w:color w:val="auto"/>
          <w:sz w:val="22"/>
          <w:szCs w:val="22"/>
        </w:rPr>
        <w:t>Проявление волевых качеств на занятиях с элементами дзюдо. Добродетельное отношение к другим. Добродетельное отношение к себе.</w:t>
      </w:r>
    </w:p>
    <w:p w14:paraId="30F8BC34">
      <w:pPr>
        <w:pStyle w:val="85"/>
        <w:spacing w:before="240"/>
        <w:ind w:firstLine="540"/>
        <w:jc w:val="both"/>
        <w:rPr>
          <w:color w:val="auto"/>
          <w:sz w:val="22"/>
          <w:szCs w:val="22"/>
        </w:rPr>
      </w:pPr>
      <w:r>
        <w:rPr>
          <w:color w:val="auto"/>
          <w:sz w:val="22"/>
          <w:szCs w:val="22"/>
        </w:rPr>
        <w:t>2) Способы самостоятельной деятельности.</w:t>
      </w:r>
    </w:p>
    <w:p w14:paraId="0C317207">
      <w:pPr>
        <w:pStyle w:val="85"/>
        <w:spacing w:before="240"/>
        <w:ind w:firstLine="540"/>
        <w:jc w:val="both"/>
        <w:rPr>
          <w:color w:val="auto"/>
          <w:sz w:val="22"/>
          <w:szCs w:val="22"/>
        </w:rPr>
      </w:pPr>
      <w:r>
        <w:rPr>
          <w:color w:val="auto"/>
          <w:sz w:val="22"/>
          <w:szCs w:val="22"/>
        </w:rPr>
        <w:t>Элементы дзюдо, направленные на профилактику нарушений здоровья, содействующие гармоничному физическому развитию).</w:t>
      </w:r>
    </w:p>
    <w:p w14:paraId="3BFAF929">
      <w:pPr>
        <w:pStyle w:val="85"/>
        <w:spacing w:before="240"/>
        <w:ind w:firstLine="540"/>
        <w:jc w:val="both"/>
        <w:rPr>
          <w:color w:val="auto"/>
          <w:sz w:val="22"/>
          <w:szCs w:val="22"/>
        </w:rPr>
      </w:pPr>
      <w:r>
        <w:rPr>
          <w:color w:val="auto"/>
          <w:sz w:val="22"/>
          <w:szCs w:val="22"/>
        </w:rPr>
        <w:t>Элементы дзюдо, формирующие и улучшающие осанку, укрепляющие "мышечный корсет", нормализующие мышечный тонус.</w:t>
      </w:r>
    </w:p>
    <w:p w14:paraId="0F7FDA29">
      <w:pPr>
        <w:pStyle w:val="85"/>
        <w:spacing w:before="240"/>
        <w:ind w:firstLine="540"/>
        <w:jc w:val="both"/>
        <w:rPr>
          <w:color w:val="auto"/>
          <w:sz w:val="22"/>
          <w:szCs w:val="22"/>
        </w:rPr>
      </w:pPr>
      <w:r>
        <w:rPr>
          <w:color w:val="auto"/>
          <w:sz w:val="22"/>
          <w:szCs w:val="22"/>
        </w:rPr>
        <w:t>Элементы дзюдо, укрепляющие свод стопы, препятствующие изменению формы стопы.</w:t>
      </w:r>
    </w:p>
    <w:p w14:paraId="666B2A0C">
      <w:pPr>
        <w:pStyle w:val="85"/>
        <w:spacing w:before="240"/>
        <w:ind w:firstLine="540"/>
        <w:jc w:val="both"/>
        <w:rPr>
          <w:color w:val="auto"/>
          <w:sz w:val="22"/>
          <w:szCs w:val="22"/>
        </w:rPr>
      </w:pPr>
      <w:r>
        <w:rPr>
          <w:color w:val="auto"/>
          <w:sz w:val="22"/>
          <w:szCs w:val="22"/>
        </w:rPr>
        <w:t>Определение уровня физического развития по показателям длины и массы тела.</w:t>
      </w:r>
    </w:p>
    <w:p w14:paraId="1335E4FB">
      <w:pPr>
        <w:pStyle w:val="85"/>
        <w:spacing w:before="240"/>
        <w:ind w:firstLine="540"/>
        <w:jc w:val="both"/>
        <w:rPr>
          <w:color w:val="auto"/>
          <w:sz w:val="22"/>
          <w:szCs w:val="22"/>
        </w:rPr>
      </w:pPr>
      <w:r>
        <w:rPr>
          <w:color w:val="auto"/>
          <w:sz w:val="22"/>
          <w:szCs w:val="22"/>
        </w:rPr>
        <w:t>3) Физическое совершенствование.</w:t>
      </w:r>
    </w:p>
    <w:p w14:paraId="6CA83041">
      <w:pPr>
        <w:pStyle w:val="85"/>
        <w:spacing w:before="240"/>
        <w:ind w:firstLine="540"/>
        <w:jc w:val="both"/>
        <w:rPr>
          <w:color w:val="auto"/>
          <w:sz w:val="22"/>
          <w:szCs w:val="22"/>
        </w:rPr>
      </w:pPr>
      <w:r>
        <w:rPr>
          <w:color w:val="auto"/>
          <w:sz w:val="22"/>
          <w:szCs w:val="22"/>
        </w:rPr>
        <w:t>Гармоничное социально-личностное развитие и психическое здоровье обучающихся путем общения и изучения разнообразных элементов дзюдо для присвоения обучающимися нравственных общечеловеческих ценностей, национальных традиций, формирование основ гражданственности, уважение к своему коллективу, как основа формирования самосознания.</w:t>
      </w:r>
    </w:p>
    <w:p w14:paraId="47AFCB8C">
      <w:pPr>
        <w:pStyle w:val="85"/>
        <w:spacing w:before="240"/>
        <w:ind w:firstLine="540"/>
        <w:jc w:val="both"/>
        <w:rPr>
          <w:color w:val="auto"/>
          <w:sz w:val="22"/>
          <w:szCs w:val="22"/>
        </w:rPr>
      </w:pPr>
      <w:r>
        <w:rPr>
          <w:color w:val="auto"/>
          <w:sz w:val="22"/>
          <w:szCs w:val="22"/>
        </w:rPr>
        <w:t>Комплексы общеразвивающих упражнений для повышения физической подготовленности к освоению элементов дзюдо.</w:t>
      </w:r>
    </w:p>
    <w:p w14:paraId="527EE447">
      <w:pPr>
        <w:pStyle w:val="85"/>
        <w:spacing w:before="240"/>
        <w:ind w:firstLine="540"/>
        <w:jc w:val="both"/>
        <w:rPr>
          <w:color w:val="auto"/>
          <w:sz w:val="22"/>
          <w:szCs w:val="22"/>
        </w:rPr>
      </w:pPr>
      <w:r>
        <w:rPr>
          <w:color w:val="auto"/>
          <w:sz w:val="22"/>
          <w:szCs w:val="22"/>
        </w:rPr>
        <w:t>Рекомендации к недельному двигательному режиму в соответствии с требованиями 1 - 2 ступени ГТО.</w:t>
      </w:r>
    </w:p>
    <w:p w14:paraId="6CA5E5CE">
      <w:pPr>
        <w:pStyle w:val="85"/>
        <w:spacing w:before="240"/>
        <w:ind w:firstLine="540"/>
        <w:jc w:val="both"/>
        <w:rPr>
          <w:color w:val="auto"/>
          <w:sz w:val="22"/>
          <w:szCs w:val="22"/>
        </w:rPr>
      </w:pPr>
      <w:r>
        <w:rPr>
          <w:color w:val="auto"/>
          <w:sz w:val="22"/>
          <w:szCs w:val="22"/>
        </w:rPr>
        <w:t>Специально-подготовительные упражнения дзюдо.</w:t>
      </w:r>
    </w:p>
    <w:p w14:paraId="727C35F7">
      <w:pPr>
        <w:pStyle w:val="85"/>
        <w:spacing w:before="240"/>
        <w:ind w:firstLine="540"/>
        <w:jc w:val="both"/>
        <w:rPr>
          <w:color w:val="auto"/>
          <w:sz w:val="22"/>
          <w:szCs w:val="22"/>
        </w:rPr>
      </w:pPr>
      <w:r>
        <w:rPr>
          <w:color w:val="auto"/>
          <w:sz w:val="22"/>
          <w:szCs w:val="22"/>
        </w:rPr>
        <w:t>1 класс.</w:t>
      </w:r>
    </w:p>
    <w:p w14:paraId="16A267F8">
      <w:pPr>
        <w:pStyle w:val="85"/>
        <w:spacing w:before="240"/>
        <w:ind w:firstLine="540"/>
        <w:jc w:val="both"/>
        <w:rPr>
          <w:color w:val="auto"/>
          <w:sz w:val="22"/>
          <w:szCs w:val="22"/>
        </w:rPr>
      </w:pPr>
      <w:r>
        <w:rPr>
          <w:color w:val="auto"/>
          <w:sz w:val="22"/>
          <w:szCs w:val="22"/>
        </w:rPr>
        <w:t>Упражнения - движения животных, птиц, насекомых: курица (исходное положение (далее - и.п.) присед, руки за головой, спина прямая), гусеница (исходное положение стоя на коленях, упор на пальцы стопы, ладони вместе, выпрямить руки в локтях, лечь на живот, подтянуть колени к туловищу), паучок (исходное положение упор руками сзади, опора на стопы, движение лицом вперед).</w:t>
      </w:r>
    </w:p>
    <w:p w14:paraId="3545101D">
      <w:pPr>
        <w:pStyle w:val="85"/>
        <w:spacing w:before="240"/>
        <w:ind w:firstLine="540"/>
        <w:jc w:val="both"/>
        <w:rPr>
          <w:color w:val="auto"/>
          <w:sz w:val="22"/>
          <w:szCs w:val="22"/>
        </w:rPr>
      </w:pPr>
      <w:r>
        <w:rPr>
          <w:color w:val="auto"/>
          <w:sz w:val="22"/>
          <w:szCs w:val="22"/>
        </w:rPr>
        <w:t>Ходьба, бег: ходьба на коленях, на коленях с зашагиванием; бег скрестным шагом правым (левым) боком.</w:t>
      </w:r>
    </w:p>
    <w:p w14:paraId="73F6CAFC">
      <w:pPr>
        <w:pStyle w:val="85"/>
        <w:spacing w:before="240"/>
        <w:ind w:firstLine="540"/>
        <w:jc w:val="both"/>
        <w:rPr>
          <w:color w:val="auto"/>
          <w:sz w:val="22"/>
          <w:szCs w:val="22"/>
        </w:rPr>
      </w:pPr>
      <w:r>
        <w:rPr>
          <w:color w:val="auto"/>
          <w:sz w:val="22"/>
          <w:szCs w:val="22"/>
        </w:rPr>
        <w:t>Перемещения: в упоре на кистях и коленях, в упоре на кистях и стопах.</w:t>
      </w:r>
    </w:p>
    <w:p w14:paraId="201180CA">
      <w:pPr>
        <w:pStyle w:val="85"/>
        <w:spacing w:before="240"/>
        <w:ind w:firstLine="540"/>
        <w:jc w:val="both"/>
        <w:rPr>
          <w:color w:val="auto"/>
          <w:sz w:val="22"/>
          <w:szCs w:val="22"/>
        </w:rPr>
      </w:pPr>
      <w:r>
        <w:rPr>
          <w:color w:val="auto"/>
          <w:sz w:val="22"/>
          <w:szCs w:val="22"/>
        </w:rPr>
        <w:t>Перекаты: из упора лежа на локтях, из упора на локтях и коленях, из упора на кистях и коленях, перекат из седа (руки на голенях), перекат из стойки ноги врозь, перекат из седа с фиксацией стоп руками.</w:t>
      </w:r>
    </w:p>
    <w:p w14:paraId="0B802B6F">
      <w:pPr>
        <w:pStyle w:val="85"/>
        <w:spacing w:before="240"/>
        <w:ind w:firstLine="540"/>
        <w:jc w:val="both"/>
        <w:rPr>
          <w:color w:val="auto"/>
          <w:sz w:val="22"/>
          <w:szCs w:val="22"/>
        </w:rPr>
      </w:pPr>
      <w:r>
        <w:rPr>
          <w:color w:val="auto"/>
          <w:sz w:val="22"/>
          <w:szCs w:val="22"/>
        </w:rPr>
        <w:t>Положения: по отношению к татами (упор лежа, высед), по отношению к партнеру в стойке (лицом к лицу, лицом к затылку, боком к груди); по отношению к партнеру в партере (сверху, снизу).</w:t>
      </w:r>
    </w:p>
    <w:p w14:paraId="293C19C5">
      <w:pPr>
        <w:pStyle w:val="85"/>
        <w:spacing w:before="240"/>
        <w:ind w:firstLine="540"/>
        <w:jc w:val="both"/>
        <w:rPr>
          <w:color w:val="auto"/>
          <w:sz w:val="22"/>
          <w:szCs w:val="22"/>
        </w:rPr>
      </w:pPr>
      <w:r>
        <w:rPr>
          <w:color w:val="auto"/>
          <w:sz w:val="22"/>
          <w:szCs w:val="22"/>
        </w:rPr>
        <w:t>Выседы: из седа ноги вместе, из упора на локтях и коленях.</w:t>
      </w:r>
    </w:p>
    <w:p w14:paraId="461087DB">
      <w:pPr>
        <w:pStyle w:val="85"/>
        <w:spacing w:before="240"/>
        <w:ind w:firstLine="540"/>
        <w:jc w:val="both"/>
        <w:rPr>
          <w:color w:val="auto"/>
          <w:sz w:val="22"/>
          <w:szCs w:val="22"/>
        </w:rPr>
      </w:pPr>
      <w:r>
        <w:rPr>
          <w:color w:val="auto"/>
          <w:sz w:val="22"/>
          <w:szCs w:val="22"/>
        </w:rPr>
        <w:t>Группировки из различных исходных положений (сидя, лежа, стоя); перекаты в группировке из седа, из упора присев, из полуприседа, из стойки ноги врозь, из основной стойки.</w:t>
      </w:r>
    </w:p>
    <w:p w14:paraId="7A3D9E55">
      <w:pPr>
        <w:pStyle w:val="85"/>
        <w:spacing w:before="240"/>
        <w:ind w:firstLine="540"/>
        <w:jc w:val="both"/>
        <w:rPr>
          <w:color w:val="auto"/>
          <w:sz w:val="22"/>
          <w:szCs w:val="22"/>
        </w:rPr>
      </w:pPr>
      <w:r>
        <w:rPr>
          <w:color w:val="auto"/>
          <w:sz w:val="22"/>
          <w:szCs w:val="22"/>
        </w:rPr>
        <w:t>Имитация бросков: упражнения для подсечек с раскачивающимся поясом (махи ногами, сопровождающие движения пояса).</w:t>
      </w:r>
    </w:p>
    <w:p w14:paraId="1AFB08FE">
      <w:pPr>
        <w:pStyle w:val="85"/>
        <w:spacing w:before="240"/>
        <w:ind w:firstLine="540"/>
        <w:jc w:val="both"/>
        <w:rPr>
          <w:color w:val="auto"/>
          <w:sz w:val="22"/>
          <w:szCs w:val="22"/>
        </w:rPr>
      </w:pPr>
      <w:r>
        <w:rPr>
          <w:color w:val="auto"/>
          <w:sz w:val="22"/>
          <w:szCs w:val="22"/>
        </w:rPr>
        <w:t>2 класс.</w:t>
      </w:r>
    </w:p>
    <w:p w14:paraId="2CFC1977">
      <w:pPr>
        <w:pStyle w:val="85"/>
        <w:spacing w:before="240"/>
        <w:ind w:firstLine="540"/>
        <w:jc w:val="both"/>
        <w:rPr>
          <w:color w:val="auto"/>
          <w:sz w:val="22"/>
          <w:szCs w:val="22"/>
        </w:rPr>
      </w:pPr>
      <w:r>
        <w:rPr>
          <w:color w:val="auto"/>
          <w:sz w:val="22"/>
          <w:szCs w:val="22"/>
        </w:rPr>
        <w:t>Совершенствование техники ранее изученных упражнений.</w:t>
      </w:r>
    </w:p>
    <w:p w14:paraId="794A4D9E">
      <w:pPr>
        <w:pStyle w:val="85"/>
        <w:spacing w:before="240"/>
        <w:ind w:firstLine="540"/>
        <w:jc w:val="both"/>
        <w:rPr>
          <w:color w:val="auto"/>
          <w:sz w:val="22"/>
          <w:szCs w:val="22"/>
        </w:rPr>
      </w:pPr>
      <w:r>
        <w:rPr>
          <w:color w:val="auto"/>
          <w:sz w:val="22"/>
          <w:szCs w:val="22"/>
        </w:rPr>
        <w:t>Упражнения - движения животных: кенгуру (и. п. присед, руки за голову, туловище ровное, прыжок вперед, приземление на всю стопу); горилла (и. п. упор на кулаки, ноги переставляются перед руками, движение боком); креветка (и. п. лежа на спине, опора на правую стопу, поворот на правый бок, обе руки тянутся к правой голени, то же с опорой на левую стопу).</w:t>
      </w:r>
    </w:p>
    <w:p w14:paraId="19CD4324">
      <w:pPr>
        <w:pStyle w:val="85"/>
        <w:spacing w:before="240"/>
        <w:ind w:firstLine="540"/>
        <w:jc w:val="both"/>
        <w:rPr>
          <w:color w:val="auto"/>
          <w:sz w:val="22"/>
          <w:szCs w:val="22"/>
        </w:rPr>
      </w:pPr>
      <w:r>
        <w:rPr>
          <w:color w:val="auto"/>
          <w:sz w:val="22"/>
          <w:szCs w:val="22"/>
        </w:rPr>
        <w:t>Базовые положения в партере: стойка на одном колене, высокий партер, высед (по кругу; с продвижением вперед).</w:t>
      </w:r>
    </w:p>
    <w:p w14:paraId="5774AED1">
      <w:pPr>
        <w:pStyle w:val="85"/>
        <w:spacing w:before="240"/>
        <w:ind w:firstLine="540"/>
        <w:jc w:val="both"/>
        <w:rPr>
          <w:color w:val="auto"/>
          <w:sz w:val="22"/>
          <w:szCs w:val="22"/>
        </w:rPr>
      </w:pPr>
      <w:r>
        <w:rPr>
          <w:color w:val="auto"/>
          <w:sz w:val="22"/>
          <w:szCs w:val="22"/>
        </w:rPr>
        <w:t>Перевороты партнера в положении лежа: перевороты партнера, стоящего в упоре на кистях и коленях (захватом двух рук, рычагом).</w:t>
      </w:r>
    </w:p>
    <w:p w14:paraId="05238E5C">
      <w:pPr>
        <w:pStyle w:val="85"/>
        <w:spacing w:before="240"/>
        <w:ind w:firstLine="540"/>
        <w:jc w:val="both"/>
        <w:rPr>
          <w:color w:val="auto"/>
          <w:sz w:val="22"/>
          <w:szCs w:val="22"/>
        </w:rPr>
      </w:pPr>
      <w:r>
        <w:rPr>
          <w:color w:val="auto"/>
          <w:sz w:val="22"/>
          <w:szCs w:val="22"/>
        </w:rPr>
        <w:t>Базовые положения в стойке: круглый присед, наклон, выпад, равновесие на одной ноге.</w:t>
      </w:r>
    </w:p>
    <w:p w14:paraId="7281A391">
      <w:pPr>
        <w:pStyle w:val="85"/>
        <w:spacing w:before="240"/>
        <w:ind w:firstLine="540"/>
        <w:jc w:val="both"/>
        <w:rPr>
          <w:color w:val="auto"/>
          <w:sz w:val="22"/>
          <w:szCs w:val="22"/>
        </w:rPr>
      </w:pPr>
      <w:r>
        <w:rPr>
          <w:color w:val="auto"/>
          <w:sz w:val="22"/>
          <w:szCs w:val="22"/>
        </w:rPr>
        <w:t>Имитация бросков: упражнения с поясом для подсечек: со скрученным поясом (махи ногами, толкающие пояс).</w:t>
      </w:r>
    </w:p>
    <w:p w14:paraId="300FBF22">
      <w:pPr>
        <w:pStyle w:val="85"/>
        <w:spacing w:before="240"/>
        <w:ind w:firstLine="540"/>
        <w:jc w:val="both"/>
        <w:rPr>
          <w:color w:val="auto"/>
          <w:sz w:val="22"/>
          <w:szCs w:val="22"/>
        </w:rPr>
      </w:pPr>
      <w:r>
        <w:rPr>
          <w:color w:val="auto"/>
          <w:sz w:val="22"/>
          <w:szCs w:val="22"/>
        </w:rPr>
        <w:t>3 класс.</w:t>
      </w:r>
    </w:p>
    <w:p w14:paraId="5E3D393B">
      <w:pPr>
        <w:pStyle w:val="85"/>
        <w:spacing w:before="240"/>
        <w:ind w:firstLine="540"/>
        <w:jc w:val="both"/>
        <w:rPr>
          <w:color w:val="auto"/>
          <w:sz w:val="22"/>
          <w:szCs w:val="22"/>
        </w:rPr>
      </w:pPr>
      <w:r>
        <w:rPr>
          <w:color w:val="auto"/>
          <w:sz w:val="22"/>
          <w:szCs w:val="22"/>
        </w:rPr>
        <w:t>Совершенствование техники ранее изученных упражнений.</w:t>
      </w:r>
    </w:p>
    <w:p w14:paraId="5310F7B2">
      <w:pPr>
        <w:pStyle w:val="85"/>
        <w:spacing w:before="240"/>
        <w:ind w:firstLine="540"/>
        <w:jc w:val="both"/>
        <w:rPr>
          <w:color w:val="auto"/>
          <w:sz w:val="22"/>
          <w:szCs w:val="22"/>
        </w:rPr>
      </w:pPr>
      <w:r>
        <w:rPr>
          <w:color w:val="auto"/>
          <w:sz w:val="22"/>
          <w:szCs w:val="22"/>
        </w:rPr>
        <w:t>Имитация бросков: упражнения для броска отхват - выпад вперед; мах ногой вперед-вверх; выпад вперед одной ногой, вынос колена другой ноги вперед (на месте, в движении); упражнения для броска скручиванием вокруг бедра - одна нога вперед, другая назад по диагонали; движение рук во время поворота туловища.</w:t>
      </w:r>
    </w:p>
    <w:p w14:paraId="4D9C2E08">
      <w:pPr>
        <w:pStyle w:val="85"/>
        <w:spacing w:before="240"/>
        <w:ind w:firstLine="540"/>
        <w:jc w:val="both"/>
        <w:rPr>
          <w:color w:val="auto"/>
          <w:sz w:val="22"/>
          <w:szCs w:val="22"/>
        </w:rPr>
      </w:pPr>
      <w:r>
        <w:rPr>
          <w:color w:val="auto"/>
          <w:sz w:val="22"/>
          <w:szCs w:val="22"/>
        </w:rPr>
        <w:t>Базовые положения в стойке: наклонный полуприсед, полный присед, подворот.</w:t>
      </w:r>
    </w:p>
    <w:p w14:paraId="49937BC2">
      <w:pPr>
        <w:pStyle w:val="85"/>
        <w:spacing w:before="240"/>
        <w:ind w:firstLine="540"/>
        <w:jc w:val="both"/>
        <w:rPr>
          <w:color w:val="auto"/>
          <w:sz w:val="22"/>
          <w:szCs w:val="22"/>
        </w:rPr>
      </w:pPr>
      <w:r>
        <w:rPr>
          <w:color w:val="auto"/>
          <w:sz w:val="22"/>
          <w:szCs w:val="22"/>
        </w:rPr>
        <w:t>4 класс.</w:t>
      </w:r>
    </w:p>
    <w:p w14:paraId="02347EC1">
      <w:pPr>
        <w:pStyle w:val="85"/>
        <w:spacing w:before="240"/>
        <w:ind w:firstLine="540"/>
        <w:jc w:val="both"/>
        <w:rPr>
          <w:color w:val="auto"/>
          <w:sz w:val="22"/>
          <w:szCs w:val="22"/>
        </w:rPr>
      </w:pPr>
      <w:r>
        <w:rPr>
          <w:color w:val="auto"/>
          <w:sz w:val="22"/>
          <w:szCs w:val="22"/>
        </w:rPr>
        <w:t>Совершенствование техники ранее изученных упражнений.</w:t>
      </w:r>
    </w:p>
    <w:p w14:paraId="20AEE99A">
      <w:pPr>
        <w:pStyle w:val="85"/>
        <w:spacing w:before="240"/>
        <w:ind w:firstLine="540"/>
        <w:jc w:val="both"/>
        <w:rPr>
          <w:color w:val="auto"/>
          <w:sz w:val="22"/>
          <w:szCs w:val="22"/>
        </w:rPr>
      </w:pPr>
      <w:r>
        <w:rPr>
          <w:color w:val="auto"/>
          <w:sz w:val="22"/>
          <w:szCs w:val="22"/>
        </w:rPr>
        <w:t>Имитационные упражнения.</w:t>
      </w:r>
    </w:p>
    <w:p w14:paraId="6FD9C023">
      <w:pPr>
        <w:pStyle w:val="85"/>
        <w:spacing w:before="240"/>
        <w:ind w:firstLine="540"/>
        <w:jc w:val="both"/>
        <w:rPr>
          <w:color w:val="auto"/>
          <w:sz w:val="22"/>
          <w:szCs w:val="22"/>
        </w:rPr>
      </w:pPr>
      <w:r>
        <w:rPr>
          <w:color w:val="auto"/>
          <w:sz w:val="22"/>
          <w:szCs w:val="22"/>
        </w:rPr>
        <w:t>С набивным мячом для освоения: подсечек (перекатывание ногой лежащего мяча; толчок подошвой, подъемом стопы по мячу); отхвата (толчок голенью по мячу).</w:t>
      </w:r>
    </w:p>
    <w:p w14:paraId="10D31D0E">
      <w:pPr>
        <w:pStyle w:val="85"/>
        <w:spacing w:before="240"/>
        <w:ind w:firstLine="540"/>
        <w:jc w:val="both"/>
        <w:rPr>
          <w:color w:val="auto"/>
          <w:sz w:val="22"/>
          <w:szCs w:val="22"/>
        </w:rPr>
      </w:pPr>
      <w:r>
        <w:rPr>
          <w:color w:val="auto"/>
          <w:sz w:val="22"/>
          <w:szCs w:val="22"/>
        </w:rPr>
        <w:t>На гимнастической стенке для освоения отхвата - махи левой, правой ногой с выносом бедра вперед стоя боком к стенке, держась рукой за рейку.</w:t>
      </w:r>
    </w:p>
    <w:p w14:paraId="721EF63D">
      <w:pPr>
        <w:pStyle w:val="85"/>
        <w:spacing w:before="240"/>
        <w:ind w:firstLine="540"/>
        <w:jc w:val="both"/>
        <w:rPr>
          <w:color w:val="auto"/>
          <w:sz w:val="22"/>
          <w:szCs w:val="22"/>
        </w:rPr>
      </w:pPr>
      <w:r>
        <w:rPr>
          <w:color w:val="auto"/>
          <w:sz w:val="22"/>
          <w:szCs w:val="22"/>
        </w:rPr>
        <w:t>Основы техники дзюдо</w:t>
      </w:r>
    </w:p>
    <w:p w14:paraId="7E4C8E50">
      <w:pPr>
        <w:pStyle w:val="85"/>
        <w:spacing w:before="240"/>
        <w:ind w:firstLine="540"/>
        <w:jc w:val="both"/>
        <w:rPr>
          <w:color w:val="auto"/>
          <w:sz w:val="22"/>
          <w:szCs w:val="22"/>
        </w:rPr>
      </w:pPr>
      <w:r>
        <w:rPr>
          <w:color w:val="auto"/>
          <w:sz w:val="22"/>
          <w:szCs w:val="22"/>
        </w:rPr>
        <w:t>1 класс.</w:t>
      </w:r>
    </w:p>
    <w:p w14:paraId="417E425D">
      <w:pPr>
        <w:pStyle w:val="85"/>
        <w:spacing w:before="240"/>
        <w:ind w:firstLine="540"/>
        <w:jc w:val="both"/>
        <w:rPr>
          <w:color w:val="auto"/>
          <w:sz w:val="22"/>
          <w:szCs w:val="22"/>
        </w:rPr>
      </w:pPr>
      <w:r>
        <w:rPr>
          <w:color w:val="auto"/>
          <w:sz w:val="22"/>
          <w:szCs w:val="22"/>
        </w:rPr>
        <w:t>Этикет дзюдо: рэй - приветствие (поклон); тачи-рэй - приветствие стоя; дза-рэй - приветствие на коленях; оби - пояс; завязывание пояса.</w:t>
      </w:r>
    </w:p>
    <w:p w14:paraId="55035469">
      <w:pPr>
        <w:pStyle w:val="85"/>
        <w:spacing w:before="240"/>
        <w:ind w:firstLine="540"/>
        <w:jc w:val="both"/>
        <w:rPr>
          <w:color w:val="auto"/>
          <w:sz w:val="22"/>
          <w:szCs w:val="22"/>
        </w:rPr>
      </w:pPr>
      <w:r>
        <w:rPr>
          <w:color w:val="auto"/>
          <w:sz w:val="22"/>
          <w:szCs w:val="22"/>
        </w:rPr>
        <w:t>Стойки, передвижения, повороты: фронтальная стойка; передвижение обычными шагами; передвижение приставными шагами: вперед-назад, влево-вправо, по диагонали; повороты (перемещения тела): на 90° шагом вперед, на 90° шагом назад.</w:t>
      </w:r>
    </w:p>
    <w:p w14:paraId="0EEB599A">
      <w:pPr>
        <w:pStyle w:val="85"/>
        <w:spacing w:before="240"/>
        <w:ind w:firstLine="540"/>
        <w:jc w:val="both"/>
        <w:rPr>
          <w:color w:val="auto"/>
          <w:sz w:val="22"/>
          <w:szCs w:val="22"/>
        </w:rPr>
      </w:pPr>
      <w:r>
        <w:rPr>
          <w:color w:val="auto"/>
          <w:sz w:val="22"/>
          <w:szCs w:val="22"/>
        </w:rPr>
        <w:t>Выведение из равновесия: упором ладонями в ладони партнера; с захватом за запястья партнера вперед, назад, вправо, влево.</w:t>
      </w:r>
    </w:p>
    <w:p w14:paraId="62B188D7">
      <w:pPr>
        <w:pStyle w:val="85"/>
        <w:spacing w:before="240"/>
        <w:ind w:firstLine="540"/>
        <w:jc w:val="both"/>
        <w:rPr>
          <w:color w:val="auto"/>
          <w:sz w:val="22"/>
          <w:szCs w:val="22"/>
        </w:rPr>
      </w:pPr>
      <w:r>
        <w:rPr>
          <w:color w:val="auto"/>
          <w:sz w:val="22"/>
          <w:szCs w:val="22"/>
        </w:rPr>
        <w:t>Самостраховка (с помощью, самостоятельно): при падении назад - изучение конечного положения; отработка амортизирующего удара руками; падение назад из различных исходных положений (сед; присед; упор присев; полуприсед; стойка ноги врозь; через партнера, стоящего в упоре на кистях и коленях); при падении на бок изучение конечного положения; отработка амортизирующего удара руками; перекат с правого бока на левый, страховка левой рукой, то же в другую сторону; падение на бок из различных исходных положений (сед; присед; полуприсед; стойка ноги врозь; через партнера, стоящего в упоре на кистях и коленях).</w:t>
      </w:r>
    </w:p>
    <w:p w14:paraId="74FC4893">
      <w:pPr>
        <w:pStyle w:val="85"/>
        <w:spacing w:before="240"/>
        <w:ind w:firstLine="540"/>
        <w:jc w:val="both"/>
        <w:rPr>
          <w:color w:val="auto"/>
          <w:sz w:val="22"/>
          <w:szCs w:val="22"/>
        </w:rPr>
      </w:pPr>
      <w:r>
        <w:rPr>
          <w:color w:val="auto"/>
          <w:sz w:val="22"/>
          <w:szCs w:val="22"/>
        </w:rPr>
        <w:t>Захваты (КУМИ-КАТА). Основной захват: за рукав (ХИКИТЭ) и за отворот (ЦУРИТЭ).</w:t>
      </w:r>
    </w:p>
    <w:p w14:paraId="213DA6FE">
      <w:pPr>
        <w:pStyle w:val="85"/>
        <w:spacing w:before="240"/>
        <w:ind w:firstLine="540"/>
        <w:jc w:val="both"/>
        <w:rPr>
          <w:color w:val="auto"/>
          <w:sz w:val="22"/>
          <w:szCs w:val="22"/>
        </w:rPr>
      </w:pPr>
      <w:r>
        <w:rPr>
          <w:color w:val="auto"/>
          <w:sz w:val="22"/>
          <w:szCs w:val="22"/>
        </w:rPr>
        <w:t>Выведение из равновесия (КУДЗШИ): вперед-назад, вправо-влево, вперед-вправо и вперед-влево, назад-вправо и назад-влево.</w:t>
      </w:r>
    </w:p>
    <w:p w14:paraId="4320A644">
      <w:pPr>
        <w:pStyle w:val="85"/>
        <w:spacing w:before="240"/>
        <w:ind w:firstLine="540"/>
        <w:jc w:val="both"/>
        <w:rPr>
          <w:color w:val="auto"/>
          <w:sz w:val="22"/>
          <w:szCs w:val="22"/>
        </w:rPr>
      </w:pPr>
      <w:r>
        <w:rPr>
          <w:color w:val="auto"/>
          <w:sz w:val="22"/>
          <w:szCs w:val="22"/>
        </w:rPr>
        <w:t>Сковывающие действия: ХОН-КЭСА-ГАТАМЭ - удержание сбоку.</w:t>
      </w:r>
    </w:p>
    <w:p w14:paraId="6CD21514">
      <w:pPr>
        <w:pStyle w:val="85"/>
        <w:spacing w:before="240"/>
        <w:ind w:firstLine="540"/>
        <w:jc w:val="both"/>
        <w:rPr>
          <w:color w:val="auto"/>
          <w:sz w:val="22"/>
          <w:szCs w:val="22"/>
        </w:rPr>
      </w:pPr>
      <w:r>
        <w:rPr>
          <w:color w:val="auto"/>
          <w:sz w:val="22"/>
          <w:szCs w:val="22"/>
        </w:rPr>
        <w:t>Техника в стойке: ХИЗА-ГУРУМА - подсечка в колено; УКИ-ГОШИ - бросок через бедро скручиванием.</w:t>
      </w:r>
    </w:p>
    <w:p w14:paraId="4C5D7BC6">
      <w:pPr>
        <w:pStyle w:val="85"/>
        <w:spacing w:before="240"/>
        <w:ind w:firstLine="540"/>
        <w:jc w:val="both"/>
        <w:rPr>
          <w:color w:val="auto"/>
          <w:sz w:val="22"/>
          <w:szCs w:val="22"/>
        </w:rPr>
      </w:pPr>
      <w:r>
        <w:rPr>
          <w:color w:val="auto"/>
          <w:sz w:val="22"/>
          <w:szCs w:val="22"/>
        </w:rPr>
        <w:t>2 класс.</w:t>
      </w:r>
    </w:p>
    <w:p w14:paraId="515AA7CA">
      <w:pPr>
        <w:pStyle w:val="85"/>
        <w:spacing w:before="240"/>
        <w:ind w:firstLine="540"/>
        <w:jc w:val="both"/>
        <w:rPr>
          <w:color w:val="auto"/>
          <w:sz w:val="22"/>
          <w:szCs w:val="22"/>
        </w:rPr>
      </w:pPr>
      <w:r>
        <w:rPr>
          <w:color w:val="auto"/>
          <w:sz w:val="22"/>
          <w:szCs w:val="22"/>
        </w:rPr>
        <w:t>Совершенствование техники ранее изученных упражнений.</w:t>
      </w:r>
    </w:p>
    <w:p w14:paraId="4D2BB71D">
      <w:pPr>
        <w:pStyle w:val="85"/>
        <w:spacing w:before="240"/>
        <w:ind w:firstLine="540"/>
        <w:jc w:val="both"/>
        <w:rPr>
          <w:color w:val="auto"/>
          <w:sz w:val="22"/>
          <w:szCs w:val="22"/>
        </w:rPr>
      </w:pPr>
      <w:r>
        <w:rPr>
          <w:color w:val="auto"/>
          <w:sz w:val="22"/>
          <w:szCs w:val="22"/>
        </w:rPr>
        <w:t>Выведение из равновесия: упором ладонями в ладони партнера; с захватом за запястья партнера вперед-вправо; вперед-влево; назад-вправо; назад-влево.</w:t>
      </w:r>
    </w:p>
    <w:p w14:paraId="6D49B949">
      <w:pPr>
        <w:pStyle w:val="85"/>
        <w:spacing w:before="240"/>
        <w:ind w:firstLine="540"/>
        <w:jc w:val="both"/>
        <w:rPr>
          <w:color w:val="auto"/>
          <w:sz w:val="22"/>
          <w:szCs w:val="22"/>
        </w:rPr>
      </w:pPr>
      <w:r>
        <w:rPr>
          <w:color w:val="auto"/>
          <w:sz w:val="22"/>
          <w:szCs w:val="22"/>
        </w:rPr>
        <w:t>Стойки, передвижения, повороты: правосторонняя, левосторонняя, защитная стойка; передвижения в разных стойках; повороты на 180° скрестными шагами (одна вперед, другая назад по диагонали), на 180° скрестными шагами (одна назад, другая вперед по диагонали), на 180° круговым шагом вперед, на 180° круговым шагом назад; передвижения приставными шагами с поворотами на 90°, 180°; повороты из фронтальной стойки.</w:t>
      </w:r>
    </w:p>
    <w:p w14:paraId="02F0F8EA">
      <w:pPr>
        <w:pStyle w:val="85"/>
        <w:spacing w:before="240"/>
        <w:ind w:firstLine="540"/>
        <w:jc w:val="both"/>
        <w:rPr>
          <w:color w:val="auto"/>
          <w:sz w:val="22"/>
          <w:szCs w:val="22"/>
        </w:rPr>
      </w:pPr>
      <w:r>
        <w:rPr>
          <w:color w:val="auto"/>
          <w:sz w:val="22"/>
          <w:szCs w:val="22"/>
        </w:rPr>
        <w:t>Самостраховка (с помощью, самостоятельно): при падении вперед - изучение конечного положения; отработка амортизирующего движения руками "треугольник" из и. п. стоя на коленях; падение вперед из различных исходных положений (стойка на коленях; полуприсед; стойка ноги врозь); при падении на бок кувырком - изучение конечного положения (как при падении на бок); постановка ладони "опорной" руки; кувырок вперед из и. п. стоя на коленях, стоя на одном колене, кувырок из полуприседа (с касанием лопатками татами или мата); принять конечное положение падения на бок (левый, правый), смягчить удар рукой (левой, правой).</w:t>
      </w:r>
    </w:p>
    <w:p w14:paraId="4C0F46C5">
      <w:pPr>
        <w:pStyle w:val="85"/>
        <w:spacing w:before="240"/>
        <w:ind w:firstLine="540"/>
        <w:jc w:val="both"/>
        <w:rPr>
          <w:color w:val="auto"/>
          <w:sz w:val="22"/>
          <w:szCs w:val="22"/>
        </w:rPr>
      </w:pPr>
      <w:r>
        <w:rPr>
          <w:color w:val="auto"/>
          <w:sz w:val="22"/>
          <w:szCs w:val="22"/>
        </w:rPr>
        <w:t>Сковывающие действия: ЕКО-ШИХО-ГАТАМЭ - удержание поперек; КУЗУРЭ-КЭСА-ГАТАМЭ - удержание сбоку с захватом из-под руки.</w:t>
      </w:r>
    </w:p>
    <w:p w14:paraId="72083149">
      <w:pPr>
        <w:pStyle w:val="85"/>
        <w:spacing w:before="240"/>
        <w:ind w:firstLine="540"/>
        <w:jc w:val="both"/>
        <w:rPr>
          <w:color w:val="auto"/>
          <w:sz w:val="22"/>
          <w:szCs w:val="22"/>
        </w:rPr>
      </w:pPr>
      <w:r>
        <w:rPr>
          <w:color w:val="auto"/>
          <w:sz w:val="22"/>
          <w:szCs w:val="22"/>
        </w:rPr>
        <w:t>Освобождение от сковывающих действий: способы ухода от удержаний сбоку, поперек - захват ноги партнера двумя ногами; поворачиваясь на живот.</w:t>
      </w:r>
    </w:p>
    <w:p w14:paraId="219C56C9">
      <w:pPr>
        <w:pStyle w:val="85"/>
        <w:spacing w:before="240"/>
        <w:ind w:firstLine="540"/>
        <w:jc w:val="both"/>
        <w:rPr>
          <w:color w:val="auto"/>
          <w:sz w:val="22"/>
          <w:szCs w:val="22"/>
        </w:rPr>
      </w:pPr>
      <w:r>
        <w:rPr>
          <w:color w:val="auto"/>
          <w:sz w:val="22"/>
          <w:szCs w:val="22"/>
        </w:rPr>
        <w:t>Техника в стойке: ДЭ-АШИ-БАРАИ - боковая подсечка под выставленную ногу, О-ГОШИ - бросок через бедро с захватом спины, О-УЧИ-ГАРИ - зацеп изнутри разноименной ногой.</w:t>
      </w:r>
    </w:p>
    <w:p w14:paraId="79AC852E">
      <w:pPr>
        <w:pStyle w:val="85"/>
        <w:spacing w:before="240"/>
        <w:ind w:firstLine="540"/>
        <w:jc w:val="both"/>
        <w:rPr>
          <w:color w:val="auto"/>
          <w:sz w:val="22"/>
          <w:szCs w:val="22"/>
        </w:rPr>
      </w:pPr>
      <w:r>
        <w:rPr>
          <w:color w:val="auto"/>
          <w:sz w:val="22"/>
          <w:szCs w:val="22"/>
        </w:rPr>
        <w:t>3 класс.</w:t>
      </w:r>
    </w:p>
    <w:p w14:paraId="7D17D422">
      <w:pPr>
        <w:pStyle w:val="85"/>
        <w:spacing w:before="240"/>
        <w:ind w:firstLine="540"/>
        <w:jc w:val="both"/>
        <w:rPr>
          <w:color w:val="auto"/>
          <w:sz w:val="22"/>
          <w:szCs w:val="22"/>
        </w:rPr>
      </w:pPr>
      <w:r>
        <w:rPr>
          <w:color w:val="auto"/>
          <w:sz w:val="22"/>
          <w:szCs w:val="22"/>
        </w:rPr>
        <w:t>Совершенствование техники ранее изученных упражнений.</w:t>
      </w:r>
    </w:p>
    <w:p w14:paraId="7D79FC63">
      <w:pPr>
        <w:pStyle w:val="85"/>
        <w:spacing w:before="240"/>
        <w:ind w:firstLine="540"/>
        <w:jc w:val="both"/>
        <w:rPr>
          <w:color w:val="auto"/>
          <w:sz w:val="22"/>
          <w:szCs w:val="22"/>
        </w:rPr>
      </w:pPr>
      <w:r>
        <w:rPr>
          <w:color w:val="auto"/>
          <w:sz w:val="22"/>
          <w:szCs w:val="22"/>
        </w:rPr>
        <w:t>Самостраховка: при падении назад, на бок, на бок кувырком, вперед из основной стойки, после небольшого прыжка вперед, вверх, после вращения на 360°.</w:t>
      </w:r>
    </w:p>
    <w:p w14:paraId="10BE77C5">
      <w:pPr>
        <w:pStyle w:val="85"/>
        <w:spacing w:before="240"/>
        <w:ind w:firstLine="540"/>
        <w:jc w:val="both"/>
        <w:rPr>
          <w:color w:val="auto"/>
          <w:sz w:val="22"/>
          <w:szCs w:val="22"/>
        </w:rPr>
      </w:pPr>
      <w:r>
        <w:rPr>
          <w:color w:val="auto"/>
          <w:sz w:val="22"/>
          <w:szCs w:val="22"/>
        </w:rPr>
        <w:t>Сковывающие действия: КАМИ-ШИХО-ГАТАМЭ - удержание со стороны головы, УШИРО-КЭСА-ГАТАМЭ - обратное удержание сбоку.</w:t>
      </w:r>
    </w:p>
    <w:p w14:paraId="21C3B4E0">
      <w:pPr>
        <w:pStyle w:val="85"/>
        <w:spacing w:before="240"/>
        <w:ind w:firstLine="540"/>
        <w:jc w:val="both"/>
        <w:rPr>
          <w:color w:val="auto"/>
          <w:sz w:val="22"/>
          <w:szCs w:val="22"/>
        </w:rPr>
      </w:pPr>
      <w:r>
        <w:rPr>
          <w:color w:val="auto"/>
          <w:sz w:val="22"/>
          <w:szCs w:val="22"/>
        </w:rPr>
        <w:t>Освобождение от сковывающих действий: способы ухода от удержания со стороны головы - поворачиваясь на живот, перекатом вместе с партнером в сторону; способы ухода от обратного удержания сбоку - захватом ноги партнера двумя ногами; поворачиваясь на живот.</w:t>
      </w:r>
    </w:p>
    <w:p w14:paraId="57FA3610">
      <w:pPr>
        <w:pStyle w:val="85"/>
        <w:spacing w:before="240"/>
        <w:ind w:firstLine="540"/>
        <w:jc w:val="both"/>
        <w:rPr>
          <w:color w:val="auto"/>
          <w:sz w:val="22"/>
          <w:szCs w:val="22"/>
        </w:rPr>
      </w:pPr>
      <w:r>
        <w:rPr>
          <w:color w:val="auto"/>
          <w:sz w:val="22"/>
          <w:szCs w:val="22"/>
        </w:rPr>
        <w:t>Комбинации из изученных элементов:</w:t>
      </w:r>
    </w:p>
    <w:p w14:paraId="66810885">
      <w:pPr>
        <w:pStyle w:val="85"/>
        <w:spacing w:before="240"/>
        <w:ind w:firstLine="540"/>
        <w:jc w:val="both"/>
        <w:rPr>
          <w:color w:val="auto"/>
          <w:sz w:val="22"/>
          <w:szCs w:val="22"/>
        </w:rPr>
      </w:pPr>
      <w:r>
        <w:rPr>
          <w:color w:val="auto"/>
          <w:sz w:val="22"/>
          <w:szCs w:val="22"/>
        </w:rPr>
        <w:t>1. И. п. фронтальная стойка, передвижение приставными шагами вправо (2 шага), падение на бок (вправо), и. п.; передвижение приставными шагами влево (2 шага), падение назад, и. п.</w:t>
      </w:r>
    </w:p>
    <w:p w14:paraId="366EE477">
      <w:pPr>
        <w:pStyle w:val="85"/>
        <w:spacing w:before="240"/>
        <w:ind w:firstLine="540"/>
        <w:jc w:val="both"/>
        <w:rPr>
          <w:color w:val="auto"/>
          <w:sz w:val="22"/>
          <w:szCs w:val="22"/>
        </w:rPr>
      </w:pPr>
      <w:r>
        <w:rPr>
          <w:color w:val="auto"/>
          <w:sz w:val="22"/>
          <w:szCs w:val="22"/>
        </w:rPr>
        <w:t>2. И. п. партнер в высоком партере, выполнить переворот рычагом и переход на удержание со стороны головы; и. п.</w:t>
      </w:r>
    </w:p>
    <w:p w14:paraId="30F8274F">
      <w:pPr>
        <w:pStyle w:val="85"/>
        <w:spacing w:before="240"/>
        <w:ind w:firstLine="540"/>
        <w:jc w:val="both"/>
        <w:rPr>
          <w:color w:val="auto"/>
          <w:sz w:val="22"/>
          <w:szCs w:val="22"/>
        </w:rPr>
      </w:pPr>
      <w:r>
        <w:rPr>
          <w:color w:val="auto"/>
          <w:sz w:val="22"/>
          <w:szCs w:val="22"/>
        </w:rPr>
        <w:t>3. И. п. партнер в высоком партере, выполнить переворот захватом двух рук и переход на удержание сбоку с захватом из-под руки.</w:t>
      </w:r>
    </w:p>
    <w:p w14:paraId="5FC2E9B6">
      <w:pPr>
        <w:pStyle w:val="85"/>
        <w:spacing w:before="240"/>
        <w:ind w:firstLine="540"/>
        <w:jc w:val="both"/>
        <w:rPr>
          <w:color w:val="auto"/>
          <w:sz w:val="22"/>
          <w:szCs w:val="22"/>
        </w:rPr>
      </w:pPr>
      <w:r>
        <w:rPr>
          <w:color w:val="auto"/>
          <w:sz w:val="22"/>
          <w:szCs w:val="22"/>
        </w:rPr>
        <w:t>Самостоятельное составление комбинаций из изученных элементов.</w:t>
      </w:r>
    </w:p>
    <w:p w14:paraId="2FE61BD8">
      <w:pPr>
        <w:pStyle w:val="85"/>
        <w:spacing w:before="240"/>
        <w:ind w:firstLine="540"/>
        <w:jc w:val="both"/>
        <w:rPr>
          <w:color w:val="auto"/>
          <w:sz w:val="22"/>
          <w:szCs w:val="22"/>
        </w:rPr>
      </w:pPr>
      <w:r>
        <w:rPr>
          <w:color w:val="auto"/>
          <w:sz w:val="22"/>
          <w:szCs w:val="22"/>
        </w:rPr>
        <w:t>Техника в стойке: КО-УЧИ-ГАРИ - подсечка изнутри, ТАИ-ОТОШИ - передняя подножка, О-СОТО-ГАРИ - бросок отхватом.</w:t>
      </w:r>
    </w:p>
    <w:p w14:paraId="6468DD7B">
      <w:pPr>
        <w:pStyle w:val="85"/>
        <w:spacing w:before="240"/>
        <w:ind w:firstLine="540"/>
        <w:jc w:val="both"/>
        <w:rPr>
          <w:color w:val="auto"/>
          <w:sz w:val="22"/>
          <w:szCs w:val="22"/>
        </w:rPr>
      </w:pPr>
      <w:r>
        <w:rPr>
          <w:color w:val="auto"/>
          <w:sz w:val="22"/>
          <w:szCs w:val="22"/>
        </w:rPr>
        <w:t>4 класс.</w:t>
      </w:r>
    </w:p>
    <w:p w14:paraId="345CBCC6">
      <w:pPr>
        <w:pStyle w:val="85"/>
        <w:spacing w:before="240"/>
        <w:ind w:firstLine="540"/>
        <w:jc w:val="both"/>
        <w:rPr>
          <w:color w:val="auto"/>
          <w:sz w:val="22"/>
          <w:szCs w:val="22"/>
        </w:rPr>
      </w:pPr>
      <w:r>
        <w:rPr>
          <w:color w:val="auto"/>
          <w:sz w:val="22"/>
          <w:szCs w:val="22"/>
        </w:rPr>
        <w:t>Совершенствование техники ранее изученных упражнений.</w:t>
      </w:r>
    </w:p>
    <w:p w14:paraId="5C747381">
      <w:pPr>
        <w:pStyle w:val="85"/>
        <w:spacing w:before="240"/>
        <w:ind w:firstLine="540"/>
        <w:jc w:val="both"/>
        <w:rPr>
          <w:color w:val="auto"/>
          <w:sz w:val="22"/>
          <w:szCs w:val="22"/>
        </w:rPr>
      </w:pPr>
      <w:r>
        <w:rPr>
          <w:color w:val="auto"/>
          <w:sz w:val="22"/>
          <w:szCs w:val="22"/>
        </w:rPr>
        <w:t>Сковывающие действия: ТАТЭ-ШИХО-ГАТАМЭ - удержание верхом; КАТА-ГАТАМЭ - удержания с фиксацией плеча головой.</w:t>
      </w:r>
    </w:p>
    <w:p w14:paraId="4275BB1D">
      <w:pPr>
        <w:pStyle w:val="85"/>
        <w:spacing w:before="240"/>
        <w:ind w:firstLine="540"/>
        <w:jc w:val="both"/>
        <w:rPr>
          <w:color w:val="auto"/>
          <w:sz w:val="22"/>
          <w:szCs w:val="22"/>
        </w:rPr>
      </w:pPr>
      <w:r>
        <w:rPr>
          <w:color w:val="auto"/>
          <w:sz w:val="22"/>
          <w:szCs w:val="22"/>
        </w:rPr>
        <w:t>Освобождение от сковывающих действий: способ ухода от удержания верхом захватом ноги партнера двумя ногами.</w:t>
      </w:r>
    </w:p>
    <w:p w14:paraId="75ABE611">
      <w:pPr>
        <w:pStyle w:val="85"/>
        <w:spacing w:before="240"/>
        <w:ind w:firstLine="540"/>
        <w:jc w:val="both"/>
        <w:rPr>
          <w:color w:val="auto"/>
          <w:sz w:val="22"/>
          <w:szCs w:val="22"/>
        </w:rPr>
      </w:pPr>
      <w:r>
        <w:rPr>
          <w:color w:val="auto"/>
          <w:sz w:val="22"/>
          <w:szCs w:val="22"/>
        </w:rPr>
        <w:t>Комбинации из изученных элементов:</w:t>
      </w:r>
    </w:p>
    <w:p w14:paraId="6A950BDC">
      <w:pPr>
        <w:pStyle w:val="85"/>
        <w:spacing w:before="240"/>
        <w:ind w:firstLine="540"/>
        <w:jc w:val="both"/>
        <w:rPr>
          <w:color w:val="auto"/>
          <w:sz w:val="22"/>
          <w:szCs w:val="22"/>
        </w:rPr>
      </w:pPr>
      <w:r>
        <w:rPr>
          <w:color w:val="auto"/>
          <w:sz w:val="22"/>
          <w:szCs w:val="22"/>
        </w:rPr>
        <w:t>1. И. п. - фронтальная стойка, передвижение приставными шагами (4 шага влево), поворот направо на 90°, круглый присед, 4 шага вперед, равновесие на правой ноге (руки согнуты, прижаты к туловищу), и. п.</w:t>
      </w:r>
    </w:p>
    <w:p w14:paraId="090C245B">
      <w:pPr>
        <w:pStyle w:val="85"/>
        <w:spacing w:before="240"/>
        <w:ind w:firstLine="540"/>
        <w:jc w:val="both"/>
        <w:rPr>
          <w:color w:val="auto"/>
          <w:sz w:val="22"/>
          <w:szCs w:val="22"/>
        </w:rPr>
      </w:pPr>
      <w:r>
        <w:rPr>
          <w:color w:val="auto"/>
          <w:sz w:val="22"/>
          <w:szCs w:val="22"/>
        </w:rPr>
        <w:t>2. И. п. - фронтальная стойка, поворот направо на 180° скрестным шагом, 2 шага назад, выпад вправо, приставить ногу, два шага вперед, поворот на 180° налево, и. п.</w:t>
      </w:r>
    </w:p>
    <w:p w14:paraId="53EE2E20">
      <w:pPr>
        <w:pStyle w:val="85"/>
        <w:spacing w:before="240"/>
        <w:ind w:firstLine="540"/>
        <w:jc w:val="both"/>
        <w:rPr>
          <w:color w:val="auto"/>
          <w:sz w:val="22"/>
          <w:szCs w:val="22"/>
        </w:rPr>
      </w:pPr>
      <w:r>
        <w:rPr>
          <w:color w:val="auto"/>
          <w:sz w:val="22"/>
          <w:szCs w:val="22"/>
        </w:rPr>
        <w:t>3. И.п. - партнер в высоком партере, переворот рычагом переход на удержание сбоку с захватом своей ноги;</w:t>
      </w:r>
    </w:p>
    <w:p w14:paraId="2DA9CEF1">
      <w:pPr>
        <w:pStyle w:val="85"/>
        <w:spacing w:before="240"/>
        <w:ind w:firstLine="540"/>
        <w:jc w:val="both"/>
        <w:rPr>
          <w:color w:val="auto"/>
          <w:sz w:val="22"/>
          <w:szCs w:val="22"/>
        </w:rPr>
      </w:pPr>
      <w:r>
        <w:rPr>
          <w:color w:val="auto"/>
          <w:sz w:val="22"/>
          <w:szCs w:val="22"/>
        </w:rPr>
        <w:t>4. И.п. партнер в высоком партере, переворот захватом двух рук - обратное удержание сбоку. Самостоятельное составление комбинаций из изученных элементов.</w:t>
      </w:r>
    </w:p>
    <w:p w14:paraId="16378767">
      <w:pPr>
        <w:pStyle w:val="85"/>
        <w:spacing w:before="240"/>
        <w:ind w:firstLine="540"/>
        <w:jc w:val="both"/>
        <w:rPr>
          <w:color w:val="auto"/>
          <w:sz w:val="22"/>
          <w:szCs w:val="22"/>
        </w:rPr>
      </w:pPr>
      <w:r>
        <w:rPr>
          <w:color w:val="auto"/>
          <w:sz w:val="22"/>
          <w:szCs w:val="22"/>
        </w:rPr>
        <w:t>Техника в стойке: ЦУРИКОМИ-ГОШИ - бросок через бедро с захватом отворота; ИППОН-СЭОЙ-НАГЭ - бросок через спину с захватом руки под плечо; ОКУРИ-АШИ-БАРАИ - боковая подсечка в темп шагов.</w:t>
      </w:r>
    </w:p>
    <w:p w14:paraId="549EE3E3">
      <w:pPr>
        <w:pStyle w:val="85"/>
        <w:spacing w:before="240"/>
        <w:ind w:firstLine="540"/>
        <w:jc w:val="both"/>
        <w:rPr>
          <w:color w:val="auto"/>
          <w:sz w:val="22"/>
          <w:szCs w:val="22"/>
        </w:rPr>
      </w:pPr>
      <w:r>
        <w:rPr>
          <w:color w:val="auto"/>
          <w:sz w:val="22"/>
          <w:szCs w:val="22"/>
        </w:rPr>
        <w:t>Основы тактики.</w:t>
      </w:r>
    </w:p>
    <w:p w14:paraId="0A527F2A">
      <w:pPr>
        <w:pStyle w:val="85"/>
        <w:spacing w:before="240"/>
        <w:ind w:firstLine="540"/>
        <w:jc w:val="both"/>
        <w:rPr>
          <w:color w:val="auto"/>
          <w:sz w:val="22"/>
          <w:szCs w:val="22"/>
        </w:rPr>
      </w:pPr>
      <w:r>
        <w:rPr>
          <w:color w:val="auto"/>
          <w:sz w:val="22"/>
          <w:szCs w:val="22"/>
        </w:rPr>
        <w:t>1 класс.</w:t>
      </w:r>
    </w:p>
    <w:p w14:paraId="39798CC8">
      <w:pPr>
        <w:pStyle w:val="85"/>
        <w:spacing w:before="240"/>
        <w:ind w:firstLine="540"/>
        <w:jc w:val="both"/>
        <w:rPr>
          <w:color w:val="auto"/>
          <w:sz w:val="22"/>
          <w:szCs w:val="22"/>
        </w:rPr>
      </w:pPr>
      <w:r>
        <w:rPr>
          <w:color w:val="auto"/>
          <w:sz w:val="22"/>
          <w:szCs w:val="22"/>
        </w:rPr>
        <w:t>Взаимодействие с партнером (и. п. фронтальная стойка, захват за запястья партнера; упор ладонями в ладони партнера): сближение с партнером; отдаление от партнера; взаимодействие с партнером в партере (переворот партнера со спины на живот, с живота на спину).</w:t>
      </w:r>
    </w:p>
    <w:p w14:paraId="5E658F4E">
      <w:pPr>
        <w:pStyle w:val="85"/>
        <w:spacing w:before="240"/>
        <w:ind w:firstLine="540"/>
        <w:jc w:val="both"/>
        <w:rPr>
          <w:color w:val="auto"/>
          <w:sz w:val="22"/>
          <w:szCs w:val="22"/>
        </w:rPr>
      </w:pPr>
      <w:r>
        <w:rPr>
          <w:color w:val="auto"/>
          <w:sz w:val="22"/>
          <w:szCs w:val="22"/>
        </w:rPr>
        <w:t>Игровые задания с элементами противоборства в партере: "Черепашка", "Крокодил и броненосец", "Король татами".</w:t>
      </w:r>
    </w:p>
    <w:p w14:paraId="1225C196">
      <w:pPr>
        <w:pStyle w:val="85"/>
        <w:spacing w:before="240"/>
        <w:ind w:firstLine="540"/>
        <w:jc w:val="both"/>
        <w:rPr>
          <w:color w:val="auto"/>
          <w:sz w:val="22"/>
          <w:szCs w:val="22"/>
        </w:rPr>
      </w:pPr>
      <w:r>
        <w:rPr>
          <w:color w:val="auto"/>
          <w:sz w:val="22"/>
          <w:szCs w:val="22"/>
        </w:rPr>
        <w:t>Игровые задания с элементами противоборства в стойке: "Поединок на равновесие", "Поезд", "Два барашка", "Лошадка".</w:t>
      </w:r>
    </w:p>
    <w:p w14:paraId="531A0995">
      <w:pPr>
        <w:pStyle w:val="85"/>
        <w:spacing w:before="240"/>
        <w:ind w:firstLine="540"/>
        <w:jc w:val="both"/>
        <w:rPr>
          <w:color w:val="auto"/>
          <w:sz w:val="22"/>
          <w:szCs w:val="22"/>
        </w:rPr>
      </w:pPr>
      <w:r>
        <w:rPr>
          <w:color w:val="auto"/>
          <w:sz w:val="22"/>
          <w:szCs w:val="22"/>
        </w:rPr>
        <w:t>Поединки. В партере, в стойке по упрощенным правилам.</w:t>
      </w:r>
    </w:p>
    <w:p w14:paraId="1627F379">
      <w:pPr>
        <w:pStyle w:val="85"/>
        <w:spacing w:before="240"/>
        <w:ind w:firstLine="540"/>
        <w:jc w:val="both"/>
        <w:rPr>
          <w:color w:val="auto"/>
          <w:sz w:val="22"/>
          <w:szCs w:val="22"/>
        </w:rPr>
      </w:pPr>
      <w:r>
        <w:rPr>
          <w:color w:val="auto"/>
          <w:sz w:val="22"/>
          <w:szCs w:val="22"/>
        </w:rPr>
        <w:t>2 класс.</w:t>
      </w:r>
    </w:p>
    <w:p w14:paraId="4642A317">
      <w:pPr>
        <w:pStyle w:val="85"/>
        <w:spacing w:before="240"/>
        <w:ind w:firstLine="540"/>
        <w:jc w:val="both"/>
        <w:rPr>
          <w:color w:val="auto"/>
          <w:sz w:val="22"/>
          <w:szCs w:val="22"/>
        </w:rPr>
      </w:pPr>
      <w:r>
        <w:rPr>
          <w:color w:val="auto"/>
          <w:sz w:val="22"/>
          <w:szCs w:val="22"/>
        </w:rPr>
        <w:t>Совершенствование ранее изученных упражнений.</w:t>
      </w:r>
    </w:p>
    <w:p w14:paraId="7D370A08">
      <w:pPr>
        <w:pStyle w:val="85"/>
        <w:spacing w:before="240"/>
        <w:ind w:firstLine="540"/>
        <w:jc w:val="both"/>
        <w:rPr>
          <w:color w:val="auto"/>
          <w:sz w:val="22"/>
          <w:szCs w:val="22"/>
        </w:rPr>
      </w:pPr>
      <w:r>
        <w:rPr>
          <w:color w:val="auto"/>
          <w:sz w:val="22"/>
          <w:szCs w:val="22"/>
        </w:rPr>
        <w:t>Взаимодействие с партнером: усилия дзюдоиста, направленные на нарушение равновесия партнера вперед, из и. п. фронтальная стойка, захват за запястья партнера (тяга двумя руками на себя; тяга левой рукой, толчок правой рукой; тяга правой рукой, толчок левой рукой); усилия дзюдоиста, направленные на нарушение равновесия партнера назад из и. п. фронтальная стойка, упор ладонями в ладони партнера (толчок партнера назад двумя руками на месте; толчок партнера назад двумя руками с подшагиванием).</w:t>
      </w:r>
    </w:p>
    <w:p w14:paraId="1B4BE760">
      <w:pPr>
        <w:pStyle w:val="85"/>
        <w:spacing w:before="240"/>
        <w:ind w:firstLine="540"/>
        <w:jc w:val="both"/>
        <w:rPr>
          <w:color w:val="auto"/>
          <w:sz w:val="22"/>
          <w:szCs w:val="22"/>
        </w:rPr>
      </w:pPr>
      <w:r>
        <w:rPr>
          <w:color w:val="auto"/>
          <w:sz w:val="22"/>
          <w:szCs w:val="22"/>
        </w:rPr>
        <w:t>Игровые задания с элементами противоборства в партере: "Зайцы-силачи"; "Шкатулка с секретом"; "Хвостики"; "Кресло-качалка".</w:t>
      </w:r>
    </w:p>
    <w:p w14:paraId="03ED67DA">
      <w:pPr>
        <w:pStyle w:val="85"/>
        <w:spacing w:before="240"/>
        <w:ind w:firstLine="540"/>
        <w:jc w:val="both"/>
        <w:rPr>
          <w:color w:val="auto"/>
          <w:sz w:val="22"/>
          <w:szCs w:val="22"/>
        </w:rPr>
      </w:pPr>
      <w:r>
        <w:rPr>
          <w:color w:val="auto"/>
          <w:sz w:val="22"/>
          <w:szCs w:val="22"/>
        </w:rPr>
        <w:t>Игровые задания с элементами противоборства в стойке: "Туннель"; "Гром и молния".</w:t>
      </w:r>
    </w:p>
    <w:p w14:paraId="44DC0270">
      <w:pPr>
        <w:pStyle w:val="85"/>
        <w:spacing w:before="240"/>
        <w:ind w:firstLine="540"/>
        <w:jc w:val="both"/>
        <w:rPr>
          <w:color w:val="auto"/>
          <w:sz w:val="22"/>
          <w:szCs w:val="22"/>
        </w:rPr>
      </w:pPr>
      <w:r>
        <w:rPr>
          <w:color w:val="auto"/>
          <w:sz w:val="22"/>
          <w:szCs w:val="22"/>
        </w:rPr>
        <w:t>Поединки с тактической задачей по упрощенным правилам: учебные поединки в партере на выполнение удержания сбоку, удержания поперек с неполным сопротивлением партнера; из различных исходных положений (сидя спина к спине, лежа на спине, лежа на животе; лицом друг к другу); с судейством.</w:t>
      </w:r>
    </w:p>
    <w:p w14:paraId="785EF0D8">
      <w:pPr>
        <w:pStyle w:val="85"/>
        <w:spacing w:before="240"/>
        <w:ind w:firstLine="540"/>
        <w:jc w:val="both"/>
        <w:rPr>
          <w:color w:val="auto"/>
          <w:sz w:val="22"/>
          <w:szCs w:val="22"/>
        </w:rPr>
      </w:pPr>
      <w:r>
        <w:rPr>
          <w:color w:val="auto"/>
          <w:sz w:val="22"/>
          <w:szCs w:val="22"/>
        </w:rPr>
        <w:t>Поединки. В партере, в стойке, с преследованием после бросков по упрощенным правилам.</w:t>
      </w:r>
    </w:p>
    <w:p w14:paraId="5BB26A1B">
      <w:pPr>
        <w:pStyle w:val="85"/>
        <w:spacing w:before="240"/>
        <w:ind w:firstLine="540"/>
        <w:jc w:val="both"/>
        <w:rPr>
          <w:color w:val="auto"/>
          <w:sz w:val="22"/>
          <w:szCs w:val="22"/>
        </w:rPr>
      </w:pPr>
      <w:r>
        <w:rPr>
          <w:color w:val="auto"/>
          <w:sz w:val="22"/>
          <w:szCs w:val="22"/>
        </w:rPr>
        <w:t>3 класс.</w:t>
      </w:r>
    </w:p>
    <w:p w14:paraId="6A6736A0">
      <w:pPr>
        <w:pStyle w:val="85"/>
        <w:spacing w:before="240"/>
        <w:ind w:firstLine="540"/>
        <w:jc w:val="both"/>
        <w:rPr>
          <w:color w:val="auto"/>
          <w:sz w:val="22"/>
          <w:szCs w:val="22"/>
        </w:rPr>
      </w:pPr>
      <w:r>
        <w:rPr>
          <w:color w:val="auto"/>
          <w:sz w:val="22"/>
          <w:szCs w:val="22"/>
        </w:rPr>
        <w:t>Совершенствование ранее изученных упражнений.</w:t>
      </w:r>
    </w:p>
    <w:p w14:paraId="4DCFE39B">
      <w:pPr>
        <w:pStyle w:val="85"/>
        <w:spacing w:before="240"/>
        <w:ind w:firstLine="540"/>
        <w:jc w:val="both"/>
        <w:rPr>
          <w:color w:val="auto"/>
          <w:sz w:val="22"/>
          <w:szCs w:val="22"/>
        </w:rPr>
      </w:pPr>
      <w:r>
        <w:rPr>
          <w:color w:val="auto"/>
          <w:sz w:val="22"/>
          <w:szCs w:val="22"/>
        </w:rPr>
        <w:t>Взаимодействие с партнером: выход на удержания из различных исходных положений (партнер на боку, на спине, на животе); уходы от удержаний сбоку, поперек изученными способами за обусловленное время (с неполным сопротивлением партнера).</w:t>
      </w:r>
    </w:p>
    <w:p w14:paraId="78AE1227">
      <w:pPr>
        <w:pStyle w:val="85"/>
        <w:spacing w:before="240"/>
        <w:ind w:firstLine="540"/>
        <w:jc w:val="both"/>
        <w:rPr>
          <w:color w:val="auto"/>
          <w:sz w:val="22"/>
          <w:szCs w:val="22"/>
        </w:rPr>
      </w:pPr>
      <w:r>
        <w:rPr>
          <w:color w:val="auto"/>
          <w:sz w:val="22"/>
          <w:szCs w:val="22"/>
        </w:rPr>
        <w:t>Игровые задания с элементами противоборства в партере: задания "в теснение" в исходных положениях - партнеры сидят спина к спине; оба партнера на животе, правым плечом к левому плечу партнера; оба партнера лежат на спине, правым (левым) плечом к правому (левому) плечу партнера; оба партнера в упоре на локтях (кистях) и коленях.</w:t>
      </w:r>
    </w:p>
    <w:p w14:paraId="724F00DF">
      <w:pPr>
        <w:pStyle w:val="85"/>
        <w:spacing w:before="240"/>
        <w:ind w:firstLine="540"/>
        <w:jc w:val="both"/>
        <w:rPr>
          <w:color w:val="auto"/>
          <w:sz w:val="22"/>
          <w:szCs w:val="22"/>
        </w:rPr>
      </w:pPr>
      <w:r>
        <w:rPr>
          <w:color w:val="auto"/>
          <w:sz w:val="22"/>
          <w:szCs w:val="22"/>
        </w:rPr>
        <w:t>Игровые задания с элементами противоборства в стойке: задания "в касание" обусловленной части тела партнера (оба партнера выполняют одинаковое задание) с перемещением в "квадрате" 2 x 2 м - коснуться любой рукой обусловленного места на теле партнера - локтя правой руки, левого плеча, спины, правой стороны живота; оба партнера выполняют разные задания - один касается правой рукой обусловленных мест на правой стороне тела партнера - локоть, плечо, лопатка; другой касается левой рукой тех же мест на правой стороне тела партнера.</w:t>
      </w:r>
    </w:p>
    <w:p w14:paraId="1FD94162">
      <w:pPr>
        <w:pStyle w:val="85"/>
        <w:spacing w:before="240"/>
        <w:ind w:firstLine="540"/>
        <w:jc w:val="both"/>
        <w:rPr>
          <w:color w:val="auto"/>
          <w:sz w:val="22"/>
          <w:szCs w:val="22"/>
        </w:rPr>
      </w:pPr>
      <w:r>
        <w:rPr>
          <w:color w:val="auto"/>
          <w:sz w:val="22"/>
          <w:szCs w:val="22"/>
        </w:rPr>
        <w:t>Поединки с тактической задачей по упрощенным правилам: учебные поединки в партере на выполнение удержаний сбоку, поперек, со стороны головы, удержания сбоку с захватом из-под руки с неполным сопротивлением партнера; из различных исходных положений (сидя, лежа); с уходом от удержаний изученными способами.</w:t>
      </w:r>
    </w:p>
    <w:p w14:paraId="63399EBD">
      <w:pPr>
        <w:pStyle w:val="85"/>
        <w:spacing w:before="240"/>
        <w:ind w:firstLine="540"/>
        <w:jc w:val="both"/>
        <w:rPr>
          <w:color w:val="auto"/>
          <w:sz w:val="22"/>
          <w:szCs w:val="22"/>
        </w:rPr>
      </w:pPr>
      <w:r>
        <w:rPr>
          <w:color w:val="auto"/>
          <w:sz w:val="22"/>
          <w:szCs w:val="22"/>
        </w:rPr>
        <w:t>Поединки по упрощенным правилам. Тренировочные, с судейством.</w:t>
      </w:r>
    </w:p>
    <w:p w14:paraId="46A6BDB7">
      <w:pPr>
        <w:pStyle w:val="85"/>
        <w:spacing w:before="240"/>
        <w:ind w:firstLine="540"/>
        <w:jc w:val="both"/>
        <w:rPr>
          <w:color w:val="auto"/>
          <w:sz w:val="22"/>
          <w:szCs w:val="22"/>
        </w:rPr>
      </w:pPr>
      <w:r>
        <w:rPr>
          <w:color w:val="auto"/>
          <w:sz w:val="22"/>
          <w:szCs w:val="22"/>
        </w:rPr>
        <w:t>4 класс.</w:t>
      </w:r>
    </w:p>
    <w:p w14:paraId="244BDBBF">
      <w:pPr>
        <w:pStyle w:val="85"/>
        <w:spacing w:before="240"/>
        <w:ind w:firstLine="540"/>
        <w:jc w:val="both"/>
        <w:rPr>
          <w:color w:val="auto"/>
          <w:sz w:val="22"/>
          <w:szCs w:val="22"/>
        </w:rPr>
      </w:pPr>
      <w:r>
        <w:rPr>
          <w:color w:val="auto"/>
          <w:sz w:val="22"/>
          <w:szCs w:val="22"/>
        </w:rPr>
        <w:t>Совершенствование ранее изученных упражнений.</w:t>
      </w:r>
    </w:p>
    <w:p w14:paraId="07F06289">
      <w:pPr>
        <w:pStyle w:val="85"/>
        <w:spacing w:before="240"/>
        <w:ind w:firstLine="540"/>
        <w:jc w:val="both"/>
        <w:rPr>
          <w:color w:val="auto"/>
          <w:sz w:val="22"/>
          <w:szCs w:val="22"/>
        </w:rPr>
      </w:pPr>
      <w:r>
        <w:rPr>
          <w:color w:val="auto"/>
          <w:sz w:val="22"/>
          <w:szCs w:val="22"/>
        </w:rPr>
        <w:t>Перемещения с партнером: и. п. - фронтальная стойка, захват за запястья партнера в различных направлениях (вперед, назад, вправо, влево, вперед-вправо, вперед-влево, назад-вправо, назад-влево).</w:t>
      </w:r>
    </w:p>
    <w:p w14:paraId="725CAC97">
      <w:pPr>
        <w:pStyle w:val="85"/>
        <w:spacing w:before="240"/>
        <w:ind w:firstLine="540"/>
        <w:jc w:val="both"/>
        <w:rPr>
          <w:color w:val="auto"/>
          <w:sz w:val="22"/>
          <w:szCs w:val="22"/>
        </w:rPr>
      </w:pPr>
      <w:r>
        <w:rPr>
          <w:color w:val="auto"/>
          <w:sz w:val="22"/>
          <w:szCs w:val="22"/>
        </w:rPr>
        <w:t>Игровые задания с элементами противоборства в партере: задания "в касание" партнеры в исходных положениях - на коленях; одна нога на колене, другая нога на стопе; в приседе - коснуться правой рукой правого плеча, правого локтя, правой лопатки партнера, то же левой рукой.</w:t>
      </w:r>
    </w:p>
    <w:p w14:paraId="37F04A44">
      <w:pPr>
        <w:pStyle w:val="85"/>
        <w:spacing w:before="240"/>
        <w:ind w:firstLine="540"/>
        <w:jc w:val="both"/>
        <w:rPr>
          <w:color w:val="auto"/>
          <w:sz w:val="22"/>
          <w:szCs w:val="22"/>
        </w:rPr>
      </w:pPr>
      <w:r>
        <w:rPr>
          <w:color w:val="auto"/>
          <w:sz w:val="22"/>
          <w:szCs w:val="22"/>
        </w:rPr>
        <w:t>Игровые задания с элементами противоборства в стойке: задания "в теснение" в "квадрате" 2 x 2 м двумя руками, одной рукой (ладонь к ладони); теснение из "коридора" 1 м (ладонь к ладони) один игрок - атакующий, другой игрок - защищающийся; обоюдное теснение в сторону, правое плечо рядом с левым плечом партнера (и наоборот).</w:t>
      </w:r>
    </w:p>
    <w:p w14:paraId="2813978A">
      <w:pPr>
        <w:pStyle w:val="85"/>
        <w:spacing w:before="240"/>
        <w:ind w:firstLine="540"/>
        <w:jc w:val="both"/>
        <w:rPr>
          <w:color w:val="auto"/>
          <w:sz w:val="22"/>
          <w:szCs w:val="22"/>
        </w:rPr>
      </w:pPr>
      <w:r>
        <w:rPr>
          <w:color w:val="auto"/>
          <w:sz w:val="22"/>
          <w:szCs w:val="22"/>
        </w:rPr>
        <w:t>Поединки с тактической задачей по упрощенным правилам: учебные поединки в партере на выполнение изученных удержаний: с неполным сопротивлением партнера; с обоюдным сопротивлением; с выполнением заданного удержания; с судейством.</w:t>
      </w:r>
    </w:p>
    <w:p w14:paraId="4D14A7C5">
      <w:pPr>
        <w:pStyle w:val="85"/>
        <w:spacing w:before="240"/>
        <w:ind w:firstLine="540"/>
        <w:jc w:val="both"/>
        <w:rPr>
          <w:color w:val="auto"/>
          <w:sz w:val="22"/>
          <w:szCs w:val="22"/>
        </w:rPr>
      </w:pPr>
      <w:r>
        <w:rPr>
          <w:color w:val="auto"/>
          <w:sz w:val="22"/>
          <w:szCs w:val="22"/>
        </w:rPr>
        <w:t>Поединки по упрощенным правилам. Тренировочные, с судейством.</w:t>
      </w:r>
    </w:p>
    <w:p w14:paraId="579C90F1">
      <w:pPr>
        <w:pStyle w:val="85"/>
        <w:spacing w:before="240"/>
        <w:ind w:firstLine="540"/>
        <w:jc w:val="both"/>
        <w:rPr>
          <w:color w:val="auto"/>
          <w:sz w:val="22"/>
          <w:szCs w:val="22"/>
        </w:rPr>
      </w:pPr>
      <w:r>
        <w:rPr>
          <w:color w:val="auto"/>
          <w:sz w:val="22"/>
          <w:szCs w:val="22"/>
        </w:rPr>
        <w:t>16.4.3.7. Содержание модуля "Дзюдо" направлено на достижение обучающимися личностных, метапредметных и предметных результатов обучения.</w:t>
      </w:r>
    </w:p>
    <w:p w14:paraId="71610A21">
      <w:pPr>
        <w:pStyle w:val="85"/>
        <w:spacing w:before="240"/>
        <w:ind w:firstLine="540"/>
        <w:jc w:val="both"/>
        <w:rPr>
          <w:color w:val="auto"/>
          <w:sz w:val="22"/>
          <w:szCs w:val="22"/>
        </w:rPr>
      </w:pPr>
      <w:r>
        <w:rPr>
          <w:color w:val="auto"/>
          <w:sz w:val="22"/>
          <w:szCs w:val="22"/>
        </w:rPr>
        <w:t>16.4.3.7.1. При изучении модуля "Дзюдо" на уровне начального общего образования у обучающихся будут сформированы следующие личностные результаты:</w:t>
      </w:r>
    </w:p>
    <w:p w14:paraId="0AF2499A">
      <w:pPr>
        <w:pStyle w:val="85"/>
        <w:spacing w:before="240"/>
        <w:ind w:firstLine="540"/>
        <w:jc w:val="both"/>
        <w:rPr>
          <w:color w:val="auto"/>
          <w:sz w:val="22"/>
          <w:szCs w:val="22"/>
        </w:rPr>
      </w:pPr>
      <w:r>
        <w:rPr>
          <w:color w:val="auto"/>
          <w:sz w:val="22"/>
          <w:szCs w:val="22"/>
        </w:rPr>
        <w:t>проявление чувства гордости за свою родину, российский народ и историю России через достижения российских борцов-дзюдоистов и национальной сборной команды страны по дзюдо;</w:t>
      </w:r>
    </w:p>
    <w:p w14:paraId="3B193C65">
      <w:pPr>
        <w:pStyle w:val="85"/>
        <w:spacing w:before="240"/>
        <w:ind w:firstLine="540"/>
        <w:jc w:val="both"/>
        <w:rPr>
          <w:color w:val="auto"/>
          <w:sz w:val="22"/>
          <w:szCs w:val="22"/>
        </w:rPr>
      </w:pPr>
      <w:r>
        <w:rPr>
          <w:color w:val="auto"/>
          <w:sz w:val="22"/>
          <w:szCs w:val="22"/>
        </w:rPr>
        <w:t>проявление уважительного отношения к сверстникам, культуры общения и взаимодействия, терпимости в достижении общих целей при совместной деятельности (учебной, тренировочной, досуговой, игровой и соревновательной) на принципах доброжелательности и взаимопомощи;</w:t>
      </w:r>
    </w:p>
    <w:p w14:paraId="52BFD80A">
      <w:pPr>
        <w:pStyle w:val="85"/>
        <w:spacing w:before="240"/>
        <w:ind w:firstLine="540"/>
        <w:jc w:val="both"/>
        <w:rPr>
          <w:color w:val="auto"/>
          <w:sz w:val="22"/>
          <w:szCs w:val="22"/>
        </w:rPr>
      </w:pPr>
      <w:r>
        <w:rPr>
          <w:color w:val="auto"/>
          <w:sz w:val="22"/>
          <w:szCs w:val="22"/>
        </w:rPr>
        <w:t>проявление готовности к саморазвитию, самообразованию и самовоспитанию, мотивации к осознанному выбору индивидуальной траектории образования средствами дзюдо;</w:t>
      </w:r>
    </w:p>
    <w:p w14:paraId="7C1BDC48">
      <w:pPr>
        <w:pStyle w:val="85"/>
        <w:spacing w:before="240"/>
        <w:ind w:firstLine="540"/>
        <w:jc w:val="both"/>
        <w:rPr>
          <w:color w:val="auto"/>
          <w:sz w:val="22"/>
          <w:szCs w:val="22"/>
        </w:rPr>
      </w:pPr>
      <w:r>
        <w:rPr>
          <w:color w:val="auto"/>
          <w:sz w:val="22"/>
          <w:szCs w:val="22"/>
        </w:rPr>
        <w:t>активное участие в социально значимой деятельности;</w:t>
      </w:r>
    </w:p>
    <w:p w14:paraId="15B0B24F">
      <w:pPr>
        <w:pStyle w:val="85"/>
        <w:spacing w:before="240"/>
        <w:ind w:firstLine="540"/>
        <w:jc w:val="both"/>
        <w:rPr>
          <w:color w:val="auto"/>
          <w:sz w:val="22"/>
          <w:szCs w:val="22"/>
        </w:rPr>
      </w:pPr>
      <w:r>
        <w:rPr>
          <w:color w:val="auto"/>
          <w:sz w:val="22"/>
          <w:szCs w:val="22"/>
        </w:rPr>
        <w:t>реализация ценностей здорового и безопасного образа жизни, потребности в физическом самосовершенствовании, занятиях спортивно-оздоровительной деятельности;</w:t>
      </w:r>
    </w:p>
    <w:p w14:paraId="0D9C39F9">
      <w:pPr>
        <w:pStyle w:val="85"/>
        <w:spacing w:before="240"/>
        <w:ind w:firstLine="540"/>
        <w:jc w:val="both"/>
        <w:rPr>
          <w:color w:val="auto"/>
          <w:sz w:val="22"/>
          <w:szCs w:val="22"/>
        </w:rPr>
      </w:pPr>
      <w:r>
        <w:rPr>
          <w:color w:val="auto"/>
          <w:sz w:val="22"/>
          <w:szCs w:val="22"/>
        </w:rPr>
        <w:t>проявление положительных качеств личности и управление своими эмоциями в различных ситуациях и условиях, способность к самостоятельной, творческой и ответственной деятельности средствами дзюдо.</w:t>
      </w:r>
    </w:p>
    <w:p w14:paraId="0E298CA4">
      <w:pPr>
        <w:pStyle w:val="85"/>
        <w:spacing w:before="240"/>
        <w:ind w:firstLine="540"/>
        <w:jc w:val="both"/>
        <w:rPr>
          <w:color w:val="auto"/>
          <w:sz w:val="22"/>
          <w:szCs w:val="22"/>
        </w:rPr>
      </w:pPr>
      <w:r>
        <w:rPr>
          <w:color w:val="auto"/>
          <w:sz w:val="22"/>
          <w:szCs w:val="22"/>
        </w:rPr>
        <w:t>16.4.3.7.2. При изучении модуля "Дзюдо" на уровне начального общего образования у обучающихся будут сформированы следующие метапредметные результаты:</w:t>
      </w:r>
    </w:p>
    <w:p w14:paraId="629CFF90">
      <w:pPr>
        <w:pStyle w:val="85"/>
        <w:spacing w:before="240"/>
        <w:ind w:firstLine="540"/>
        <w:jc w:val="both"/>
        <w:rPr>
          <w:color w:val="auto"/>
          <w:sz w:val="22"/>
          <w:szCs w:val="22"/>
        </w:rPr>
      </w:pPr>
      <w:r>
        <w:rPr>
          <w:color w:val="auto"/>
          <w:sz w:val="22"/>
          <w:szCs w:val="22"/>
        </w:rPr>
        <w:t>умение определять понятия, создавать обобщения, устанавливать аналогии, классифицировать, самостоятельно выбирать основания и критерии для классификации, устанавливать причинно-следственные связи, строить логическое рассуждение, умозаключение (индуктивное, дедуктивное, по аналогии) и делать выводы;</w:t>
      </w:r>
    </w:p>
    <w:p w14:paraId="24A0ABA8">
      <w:pPr>
        <w:pStyle w:val="85"/>
        <w:spacing w:before="240"/>
        <w:ind w:firstLine="540"/>
        <w:jc w:val="both"/>
        <w:rPr>
          <w:color w:val="auto"/>
          <w:sz w:val="22"/>
          <w:szCs w:val="22"/>
        </w:rPr>
      </w:pPr>
      <w:r>
        <w:rPr>
          <w:color w:val="auto"/>
          <w:sz w:val="22"/>
          <w:szCs w:val="22"/>
        </w:rPr>
        <w:t>умение владеть культурой активного использования информационно-поисковых систем;</w:t>
      </w:r>
    </w:p>
    <w:p w14:paraId="4E6293DA">
      <w:pPr>
        <w:pStyle w:val="85"/>
        <w:spacing w:before="240"/>
        <w:ind w:firstLine="540"/>
        <w:jc w:val="both"/>
        <w:rPr>
          <w:color w:val="auto"/>
          <w:sz w:val="22"/>
          <w:szCs w:val="22"/>
        </w:rPr>
      </w:pPr>
      <w:r>
        <w:rPr>
          <w:color w:val="auto"/>
          <w:sz w:val="22"/>
          <w:szCs w:val="22"/>
        </w:rPr>
        <w:t>умение воспринимать и формулировать суждения, выражать эмоции в соответствии с целями и условиями общения в знакомой среде;</w:t>
      </w:r>
    </w:p>
    <w:p w14:paraId="64DA5BC6">
      <w:pPr>
        <w:pStyle w:val="85"/>
        <w:spacing w:before="240"/>
        <w:ind w:firstLine="540"/>
        <w:jc w:val="both"/>
        <w:rPr>
          <w:color w:val="auto"/>
          <w:sz w:val="22"/>
          <w:szCs w:val="22"/>
        </w:rPr>
      </w:pPr>
      <w:r>
        <w:rPr>
          <w:color w:val="auto"/>
          <w:sz w:val="22"/>
          <w:szCs w:val="22"/>
        </w:rPr>
        <w:t>умение проявлять уважительное отношение к собеседнику, соблюдать правила ведения диалога и дискуссии;</w:t>
      </w:r>
    </w:p>
    <w:p w14:paraId="33F26C02">
      <w:pPr>
        <w:pStyle w:val="85"/>
        <w:spacing w:before="240"/>
        <w:ind w:firstLine="540"/>
        <w:jc w:val="both"/>
        <w:rPr>
          <w:color w:val="auto"/>
          <w:sz w:val="22"/>
          <w:szCs w:val="22"/>
        </w:rPr>
      </w:pPr>
      <w:r>
        <w:rPr>
          <w:color w:val="auto"/>
          <w:sz w:val="22"/>
          <w:szCs w:val="22"/>
        </w:rPr>
        <w:t>умение признавать возможность существования разных точек зрения; корректно и аргументированно высказывать свое мнение;</w:t>
      </w:r>
    </w:p>
    <w:p w14:paraId="71FC135B">
      <w:pPr>
        <w:pStyle w:val="85"/>
        <w:spacing w:before="240"/>
        <w:ind w:firstLine="540"/>
        <w:jc w:val="both"/>
        <w:rPr>
          <w:color w:val="auto"/>
          <w:sz w:val="22"/>
          <w:szCs w:val="22"/>
        </w:rPr>
      </w:pPr>
      <w:r>
        <w:rPr>
          <w:color w:val="auto"/>
          <w:sz w:val="22"/>
          <w:szCs w:val="22"/>
        </w:rPr>
        <w:t>умение планировать пути достижения целей с учетом наиболее эффективных способов решения задач средствами дзюдо в учебной, игровой, соревновательной и досуговой деятельности, соотносить двигательные действия с планируемыми результатами в дзюдо, определять и корректировать способы действий в рамках предложенных условий;</w:t>
      </w:r>
    </w:p>
    <w:p w14:paraId="79FC082F">
      <w:pPr>
        <w:pStyle w:val="85"/>
        <w:spacing w:before="240"/>
        <w:ind w:firstLine="540"/>
        <w:jc w:val="both"/>
        <w:rPr>
          <w:color w:val="auto"/>
          <w:sz w:val="22"/>
          <w:szCs w:val="22"/>
        </w:rPr>
      </w:pPr>
      <w:r>
        <w:rPr>
          <w:color w:val="auto"/>
          <w:sz w:val="22"/>
          <w:szCs w:val="22"/>
        </w:rPr>
        <w:t>умение понимать цель совместной деятельности, коллективно строить действия по ее достижению: распределять роли, договариваться, обсуждать процесс и результат совместной работы;</w:t>
      </w:r>
    </w:p>
    <w:p w14:paraId="36AC0499">
      <w:pPr>
        <w:pStyle w:val="85"/>
        <w:spacing w:before="240"/>
        <w:ind w:firstLine="540"/>
        <w:jc w:val="both"/>
        <w:rPr>
          <w:color w:val="auto"/>
          <w:sz w:val="22"/>
          <w:szCs w:val="22"/>
        </w:rPr>
      </w:pPr>
      <w:r>
        <w:rPr>
          <w:color w:val="auto"/>
          <w:sz w:val="22"/>
          <w:szCs w:val="22"/>
        </w:rPr>
        <w:t>умение организовывать совместную деятельность с учителем и сверстниками, работать индивидуально и в группе, проявлять готовность руководить, выполнять поручения, ответственно выполнять свою часть работы;</w:t>
      </w:r>
    </w:p>
    <w:p w14:paraId="39821F8E">
      <w:pPr>
        <w:pStyle w:val="85"/>
        <w:spacing w:before="240"/>
        <w:ind w:firstLine="540"/>
        <w:jc w:val="both"/>
        <w:rPr>
          <w:color w:val="auto"/>
          <w:sz w:val="22"/>
          <w:szCs w:val="22"/>
        </w:rPr>
      </w:pPr>
      <w:r>
        <w:rPr>
          <w:color w:val="auto"/>
          <w:sz w:val="22"/>
          <w:szCs w:val="22"/>
        </w:rPr>
        <w:t>умение планировать действия по решению учебной задачи для получения результата; выстраивать последовательность выбранных действий;</w:t>
      </w:r>
    </w:p>
    <w:p w14:paraId="330F1DEE">
      <w:pPr>
        <w:pStyle w:val="85"/>
        <w:spacing w:before="240"/>
        <w:ind w:firstLine="540"/>
        <w:jc w:val="both"/>
        <w:rPr>
          <w:color w:val="auto"/>
          <w:sz w:val="22"/>
          <w:szCs w:val="22"/>
        </w:rPr>
      </w:pPr>
      <w:r>
        <w:rPr>
          <w:color w:val="auto"/>
          <w:sz w:val="22"/>
          <w:szCs w:val="22"/>
        </w:rPr>
        <w:t>умение владеть основами самоконтроля, самооценки, выявлять, анализировать и находить способы устранения ошибок при выполнении технических и тактических действий дзюдо.</w:t>
      </w:r>
    </w:p>
    <w:p w14:paraId="59BD0DB3">
      <w:pPr>
        <w:pStyle w:val="85"/>
        <w:spacing w:before="240"/>
        <w:ind w:firstLine="540"/>
        <w:jc w:val="both"/>
        <w:rPr>
          <w:color w:val="auto"/>
          <w:sz w:val="22"/>
          <w:szCs w:val="22"/>
        </w:rPr>
      </w:pPr>
      <w:r>
        <w:rPr>
          <w:color w:val="auto"/>
          <w:sz w:val="22"/>
          <w:szCs w:val="22"/>
        </w:rPr>
        <w:t>16.4.3.7.3. При изучении модуля "Дзюдо" на уровне начального общего образования у обучающихся будут сформированы следующие предметные результаты:</w:t>
      </w:r>
    </w:p>
    <w:p w14:paraId="7F623E05">
      <w:pPr>
        <w:pStyle w:val="85"/>
        <w:spacing w:before="240"/>
        <w:ind w:firstLine="540"/>
        <w:jc w:val="both"/>
        <w:rPr>
          <w:color w:val="auto"/>
          <w:sz w:val="22"/>
          <w:szCs w:val="22"/>
        </w:rPr>
      </w:pPr>
      <w:r>
        <w:rPr>
          <w:color w:val="auto"/>
          <w:sz w:val="22"/>
          <w:szCs w:val="22"/>
        </w:rPr>
        <w:t>сформированность навыков безопасного поведения во время занятий дзюдо, правил личной гигиены, требований к спортивной одежде и обуви, спортивному инвентарю для занятий дзюдо;</w:t>
      </w:r>
    </w:p>
    <w:p w14:paraId="78A0D317">
      <w:pPr>
        <w:pStyle w:val="85"/>
        <w:spacing w:before="240"/>
        <w:ind w:firstLine="540"/>
        <w:jc w:val="both"/>
        <w:rPr>
          <w:color w:val="auto"/>
          <w:sz w:val="22"/>
          <w:szCs w:val="22"/>
        </w:rPr>
      </w:pPr>
      <w:r>
        <w:rPr>
          <w:color w:val="auto"/>
          <w:sz w:val="22"/>
          <w:szCs w:val="22"/>
        </w:rPr>
        <w:t>сформированность знаний по истории возникновения дзюдо, и олимпийском движении, биографические данные первых олимпийских чемпионов по дзюдо и великих спортсменах;</w:t>
      </w:r>
    </w:p>
    <w:p w14:paraId="100DDE3D">
      <w:pPr>
        <w:pStyle w:val="85"/>
        <w:spacing w:before="240"/>
        <w:ind w:firstLine="540"/>
        <w:jc w:val="both"/>
        <w:rPr>
          <w:color w:val="auto"/>
          <w:sz w:val="22"/>
          <w:szCs w:val="22"/>
        </w:rPr>
      </w:pPr>
      <w:r>
        <w:rPr>
          <w:color w:val="auto"/>
          <w:sz w:val="22"/>
          <w:szCs w:val="22"/>
        </w:rPr>
        <w:t>умение ориентироваться в терминах и понятиях, используемых в дзюдо, применять изученную терминологию на практике;</w:t>
      </w:r>
    </w:p>
    <w:p w14:paraId="4467F8EE">
      <w:pPr>
        <w:pStyle w:val="85"/>
        <w:spacing w:before="240"/>
        <w:ind w:firstLine="540"/>
        <w:jc w:val="both"/>
        <w:rPr>
          <w:color w:val="auto"/>
          <w:sz w:val="22"/>
          <w:szCs w:val="22"/>
        </w:rPr>
      </w:pPr>
      <w:r>
        <w:rPr>
          <w:color w:val="auto"/>
          <w:sz w:val="22"/>
          <w:szCs w:val="22"/>
        </w:rPr>
        <w:t>понимание значения занятий дзюдо как средства укрепления здоровья, закаливания и развития физических качеств;</w:t>
      </w:r>
    </w:p>
    <w:p w14:paraId="27A8D5E2">
      <w:pPr>
        <w:pStyle w:val="85"/>
        <w:spacing w:before="240"/>
        <w:ind w:firstLine="540"/>
        <w:jc w:val="both"/>
        <w:rPr>
          <w:color w:val="auto"/>
          <w:sz w:val="22"/>
          <w:szCs w:val="22"/>
        </w:rPr>
      </w:pPr>
      <w:r>
        <w:rPr>
          <w:color w:val="auto"/>
          <w:sz w:val="22"/>
          <w:szCs w:val="22"/>
        </w:rPr>
        <w:t>сформированность основ организации самостоятельных занятий дзюдо со сверстниками, организация и проведение со сверстниками подвижных игр с различными элементами дзюдо;</w:t>
      </w:r>
    </w:p>
    <w:p w14:paraId="3E88837F">
      <w:pPr>
        <w:pStyle w:val="85"/>
        <w:spacing w:before="240"/>
        <w:ind w:firstLine="540"/>
        <w:jc w:val="both"/>
        <w:rPr>
          <w:color w:val="auto"/>
          <w:sz w:val="22"/>
          <w:szCs w:val="22"/>
        </w:rPr>
      </w:pPr>
      <w:r>
        <w:rPr>
          <w:color w:val="auto"/>
          <w:sz w:val="22"/>
          <w:szCs w:val="22"/>
        </w:rPr>
        <w:t>знание правил рационального дыхания в процессе выполнения физических упражнений;</w:t>
      </w:r>
    </w:p>
    <w:p w14:paraId="442361D3">
      <w:pPr>
        <w:pStyle w:val="85"/>
        <w:spacing w:before="240"/>
        <w:ind w:firstLine="540"/>
        <w:jc w:val="both"/>
        <w:rPr>
          <w:color w:val="auto"/>
          <w:sz w:val="22"/>
          <w:szCs w:val="22"/>
        </w:rPr>
      </w:pPr>
      <w:r>
        <w:rPr>
          <w:color w:val="auto"/>
          <w:sz w:val="22"/>
          <w:szCs w:val="22"/>
        </w:rPr>
        <w:t>сформированность навыка систематического наблюдения за своим физическим состоянием, величиной физических нагрузок, показателями физического развития и основных физических качеств;</w:t>
      </w:r>
    </w:p>
    <w:p w14:paraId="0444D026">
      <w:pPr>
        <w:pStyle w:val="85"/>
        <w:spacing w:before="240"/>
        <w:ind w:firstLine="540"/>
        <w:jc w:val="both"/>
        <w:rPr>
          <w:color w:val="auto"/>
          <w:sz w:val="22"/>
          <w:szCs w:val="22"/>
        </w:rPr>
      </w:pPr>
      <w:r>
        <w:rPr>
          <w:color w:val="auto"/>
          <w:sz w:val="22"/>
          <w:szCs w:val="22"/>
        </w:rPr>
        <w:t>умение применять методы контроля и самоконтроля физической подготовленности (с использованием простейших тестов);</w:t>
      </w:r>
    </w:p>
    <w:p w14:paraId="2D96FFC0">
      <w:pPr>
        <w:pStyle w:val="85"/>
        <w:spacing w:before="240"/>
        <w:ind w:firstLine="540"/>
        <w:jc w:val="both"/>
        <w:rPr>
          <w:color w:val="auto"/>
          <w:sz w:val="22"/>
          <w:szCs w:val="22"/>
        </w:rPr>
      </w:pPr>
      <w:r>
        <w:rPr>
          <w:color w:val="auto"/>
          <w:sz w:val="22"/>
          <w:szCs w:val="22"/>
        </w:rPr>
        <w:t>знать организационные команды и приемы, уметь выполнять строевые упражнения (построения, перестроения, повороты, передвижения);</w:t>
      </w:r>
    </w:p>
    <w:p w14:paraId="1BC87E3A">
      <w:pPr>
        <w:pStyle w:val="85"/>
        <w:spacing w:before="240"/>
        <w:ind w:firstLine="540"/>
        <w:jc w:val="both"/>
        <w:rPr>
          <w:color w:val="auto"/>
          <w:sz w:val="22"/>
          <w:szCs w:val="22"/>
        </w:rPr>
      </w:pPr>
      <w:r>
        <w:rPr>
          <w:color w:val="auto"/>
          <w:sz w:val="22"/>
          <w:szCs w:val="22"/>
        </w:rPr>
        <w:t>умение составлять и выполнять комплексы общеразвивающих упражнений с предметами и без предметов, на месте и в движении, упражнений на развитие быстроты, ловкости, гибкости, специальных упражнений для формирования техники и тактики дзюдо;</w:t>
      </w:r>
    </w:p>
    <w:p w14:paraId="3BF5726E">
      <w:pPr>
        <w:pStyle w:val="85"/>
        <w:spacing w:before="240"/>
        <w:ind w:firstLine="540"/>
        <w:jc w:val="both"/>
        <w:rPr>
          <w:color w:val="auto"/>
          <w:sz w:val="22"/>
          <w:szCs w:val="22"/>
        </w:rPr>
      </w:pPr>
      <w:r>
        <w:rPr>
          <w:color w:val="auto"/>
          <w:sz w:val="22"/>
          <w:szCs w:val="22"/>
        </w:rPr>
        <w:t>умение демонстрировать этикет дзюдо;</w:t>
      </w:r>
    </w:p>
    <w:p w14:paraId="3D6D73F9">
      <w:pPr>
        <w:pStyle w:val="85"/>
        <w:spacing w:before="240"/>
        <w:ind w:firstLine="540"/>
        <w:jc w:val="both"/>
        <w:rPr>
          <w:color w:val="auto"/>
          <w:sz w:val="22"/>
          <w:szCs w:val="22"/>
        </w:rPr>
      </w:pPr>
      <w:r>
        <w:rPr>
          <w:color w:val="auto"/>
          <w:sz w:val="22"/>
          <w:szCs w:val="22"/>
        </w:rPr>
        <w:t>способность выполнять различные упражнения из арсенала дзюдо: стойки, передвижения, повороты разными способами; выведение партнера из равновесия в разных направлениях; самостраховка (при падении назад, на бок, на бок кувырком, вперед) в различных условиях; сковывающие действия в партере (удержание верхом; удержания с фиксацией плеча головой); технические действия в стойке (подсечка в колено; бросок через бедро скручиванием; боковая подсечка под выставленную ногу, бросок через бедро с захватом спины, зацеп изнутри разноименной ногой; бросок через бедро с захватом отворота, бросок через спину с захватом руки под плечо, боковая подсечка в темп шагов); стойки, передвижения, повороты разными способами и другие элементы;</w:t>
      </w:r>
    </w:p>
    <w:p w14:paraId="3901AEA7">
      <w:pPr>
        <w:pStyle w:val="85"/>
        <w:spacing w:before="240"/>
        <w:ind w:firstLine="540"/>
        <w:jc w:val="both"/>
        <w:rPr>
          <w:color w:val="auto"/>
          <w:sz w:val="22"/>
          <w:szCs w:val="22"/>
        </w:rPr>
      </w:pPr>
      <w:r>
        <w:rPr>
          <w:color w:val="auto"/>
          <w:sz w:val="22"/>
          <w:szCs w:val="22"/>
        </w:rPr>
        <w:t>способность выполнять тактические элементы дзюдо: перемещения с партнером в различных направлениях; выполнение игровых заданий с элементами противоборства в партере "в касание", в стойке "в теснение"; основы тактики поединков по упрощенным правилам на выполнение изученных удержаний, с неполным сопротивлением партнер, с обоюдным сопротивлением, с выполнением заданного удержания, с судейством;</w:t>
      </w:r>
    </w:p>
    <w:p w14:paraId="5AC04C64">
      <w:pPr>
        <w:pStyle w:val="85"/>
        <w:spacing w:before="240"/>
        <w:ind w:firstLine="540"/>
        <w:jc w:val="both"/>
        <w:rPr>
          <w:color w:val="auto"/>
          <w:sz w:val="22"/>
          <w:szCs w:val="22"/>
        </w:rPr>
      </w:pPr>
      <w:r>
        <w:rPr>
          <w:color w:val="auto"/>
          <w:sz w:val="22"/>
          <w:szCs w:val="22"/>
        </w:rPr>
        <w:t>умение демонстрировать во время учебной и игровой деятельности волевые, социальные качества личности, организованность, ответственность;</w:t>
      </w:r>
    </w:p>
    <w:p w14:paraId="76B0E307">
      <w:pPr>
        <w:pBdr>
          <w:top w:val="none" w:color="000000" w:sz="0" w:space="0"/>
          <w:left w:val="none" w:color="000000" w:sz="0" w:space="0"/>
          <w:bottom w:val="none" w:color="000000" w:sz="0" w:space="0"/>
          <w:right w:val="none" w:color="000000" w:sz="0" w:space="0"/>
        </w:pBdr>
        <w:suppressAutoHyphens/>
        <w:spacing w:after="0" w:line="360" w:lineRule="auto"/>
        <w:ind w:firstLine="709"/>
        <w:jc w:val="both"/>
        <w:rPr>
          <w:rFonts w:ascii="Times New Roman" w:hAnsi="Times New Roman"/>
        </w:rPr>
      </w:pPr>
      <w:r>
        <w:rPr>
          <w:rFonts w:ascii="Times New Roman" w:hAnsi="Times New Roman"/>
        </w:rPr>
        <w:t>умение выполнять контрольно-тестовые упражнения по общей и специальной физической подготовке и оценку показателей физической подготовленности.</w:t>
      </w:r>
    </w:p>
    <w:p w14:paraId="40BF48F4">
      <w:pPr>
        <w:pBdr>
          <w:top w:val="none" w:color="000000" w:sz="0" w:space="0"/>
          <w:left w:val="none" w:color="000000" w:sz="0" w:space="0"/>
          <w:bottom w:val="none" w:color="000000" w:sz="0" w:space="0"/>
          <w:right w:val="none" w:color="000000" w:sz="0" w:space="0"/>
        </w:pBdr>
        <w:suppressAutoHyphens/>
        <w:spacing w:after="0" w:line="360" w:lineRule="auto"/>
        <w:ind w:firstLine="709"/>
        <w:jc w:val="both"/>
        <w:rPr>
          <w:rFonts w:ascii="Times New Roman" w:hAnsi="Times New Roman"/>
          <w:bCs/>
          <w:lang w:eastAsia="zh-CN"/>
        </w:rPr>
      </w:pPr>
      <w:r>
        <w:rPr>
          <w:rFonts w:ascii="Times New Roman" w:hAnsi="Times New Roman" w:eastAsia="Times New Roman"/>
          <w:bCs/>
          <w:lang w:eastAsia="zh-CN"/>
        </w:rPr>
        <w:t>16.4.4. М</w:t>
      </w:r>
      <w:r>
        <w:rPr>
          <w:rFonts w:ascii="Times New Roman" w:hAnsi="Times New Roman"/>
          <w:bCs/>
          <w:lang w:eastAsia="zh-CN"/>
        </w:rPr>
        <w:t xml:space="preserve">одуль </w:t>
      </w:r>
      <w:r>
        <w:rPr>
          <w:rFonts w:ascii="Times New Roman" w:hAnsi="Times New Roman" w:eastAsia="Times New Roman"/>
          <w:bCs/>
          <w:lang w:eastAsia="ar-SA"/>
        </w:rPr>
        <w:t>«Тэг-регби».</w:t>
      </w:r>
    </w:p>
    <w:p w14:paraId="2E3BFC1A">
      <w:pPr>
        <w:pBdr>
          <w:top w:val="none" w:color="000000" w:sz="0" w:space="0"/>
          <w:left w:val="none" w:color="000000" w:sz="0" w:space="0"/>
          <w:bottom w:val="none" w:color="000000" w:sz="0" w:space="0"/>
          <w:right w:val="none" w:color="000000" w:sz="0" w:space="0"/>
        </w:pBdr>
        <w:suppressAutoHyphens/>
        <w:spacing w:after="0" w:line="360" w:lineRule="auto"/>
        <w:ind w:firstLine="709"/>
        <w:jc w:val="both"/>
        <w:rPr>
          <w:rFonts w:ascii="Times New Roman" w:hAnsi="Times New Roman"/>
          <w:bCs/>
          <w:lang w:eastAsia="zh-CN"/>
        </w:rPr>
      </w:pPr>
      <w:r>
        <w:rPr>
          <w:rFonts w:ascii="Times New Roman" w:hAnsi="Times New Roman" w:eastAsia="Times New Roman"/>
          <w:bCs/>
          <w:lang w:eastAsia="zh-CN"/>
        </w:rPr>
        <w:t>16.4.</w:t>
      </w:r>
      <w:r>
        <w:rPr>
          <w:rFonts w:ascii="Times New Roman" w:hAnsi="Times New Roman"/>
          <w:bCs/>
          <w:lang w:eastAsia="zh-CN"/>
        </w:rPr>
        <w:t>4.1. </w:t>
      </w:r>
      <w:r>
        <w:rPr>
          <w:rFonts w:ascii="Times New Roman" w:hAnsi="Times New Roman" w:eastAsia="Times New Roman"/>
          <w:bCs/>
          <w:lang w:eastAsia="ar-SA"/>
        </w:rPr>
        <w:t xml:space="preserve">Пояснительная записка </w:t>
      </w:r>
      <w:r>
        <w:rPr>
          <w:rFonts w:ascii="Times New Roman" w:hAnsi="Times New Roman"/>
          <w:bCs/>
          <w:lang w:eastAsia="zh-CN"/>
        </w:rPr>
        <w:t xml:space="preserve">модуля </w:t>
      </w:r>
      <w:r>
        <w:rPr>
          <w:rFonts w:ascii="Times New Roman" w:hAnsi="Times New Roman" w:eastAsia="Times New Roman"/>
          <w:bCs/>
          <w:lang w:eastAsia="ar-SA"/>
        </w:rPr>
        <w:t>«Тэг-регби».</w:t>
      </w:r>
    </w:p>
    <w:p w14:paraId="1721E6ED">
      <w:pPr>
        <w:pBdr>
          <w:top w:val="none" w:color="000000" w:sz="0" w:space="0"/>
          <w:left w:val="none" w:color="000000" w:sz="0" w:space="0"/>
          <w:bottom w:val="none" w:color="000000" w:sz="0" w:space="0"/>
          <w:right w:val="none" w:color="000000" w:sz="0" w:space="0"/>
        </w:pBdr>
        <w:suppressAutoHyphens/>
        <w:spacing w:after="0" w:line="360" w:lineRule="auto"/>
        <w:ind w:firstLine="709"/>
        <w:jc w:val="both"/>
        <w:rPr>
          <w:rFonts w:ascii="Times New Roman" w:hAnsi="Times New Roman"/>
          <w:bCs/>
          <w:lang w:eastAsia="zh-CN"/>
        </w:rPr>
      </w:pPr>
      <w:r>
        <w:rPr>
          <w:rFonts w:ascii="Times New Roman" w:hAnsi="Times New Roman"/>
          <w:bCs/>
          <w:lang w:eastAsia="zh-CN"/>
        </w:rPr>
        <w:t xml:space="preserve">Модуль </w:t>
      </w:r>
      <w:r>
        <w:rPr>
          <w:rFonts w:ascii="Times New Roman" w:hAnsi="Times New Roman" w:eastAsia="Times New Roman"/>
          <w:bCs/>
          <w:lang w:eastAsia="ar-SA"/>
        </w:rPr>
        <w:t>«Тэг-регби»</w:t>
      </w:r>
      <w:r>
        <w:rPr>
          <w:rFonts w:ascii="Times New Roman" w:hAnsi="Times New Roman" w:eastAsia="Times New Roman"/>
          <w:bCs/>
          <w:lang w:eastAsia="ru-RU"/>
        </w:rPr>
        <w:t xml:space="preserve"> (далее – модуль по тэг-регби, тэг-регби, регби) </w:t>
      </w:r>
      <w:r>
        <w:rPr>
          <w:rFonts w:ascii="Times New Roman" w:hAnsi="Times New Roman"/>
          <w:bCs/>
          <w:lang w:eastAsia="zh-CN"/>
        </w:rPr>
        <w:t>на уровне начального общего образования разработан с целью оказания методической помощи учителю физической культуры в создании рабочей программы по учебному предмету «Физическая культура» с учётом современных тенденций в системе образования и использования спортивно-ориентированных форм, средств и методов обучения.</w:t>
      </w:r>
    </w:p>
    <w:p w14:paraId="6A1F27B7">
      <w:pPr>
        <w:pBdr>
          <w:top w:val="none" w:color="000000" w:sz="0" w:space="0"/>
          <w:left w:val="none" w:color="000000" w:sz="0" w:space="0"/>
          <w:bottom w:val="none" w:color="000000" w:sz="0" w:space="0"/>
          <w:right w:val="none" w:color="000000" w:sz="0" w:space="0"/>
        </w:pBdr>
        <w:suppressAutoHyphens/>
        <w:spacing w:after="0" w:line="360" w:lineRule="auto"/>
        <w:ind w:firstLine="709"/>
        <w:jc w:val="both"/>
        <w:rPr>
          <w:rFonts w:ascii="Times New Roman" w:hAnsi="Times New Roman"/>
          <w:bCs/>
          <w:lang w:eastAsia="zh-CN"/>
        </w:rPr>
      </w:pPr>
      <w:r>
        <w:rPr>
          <w:rFonts w:ascii="Times New Roman" w:hAnsi="Times New Roman"/>
          <w:bCs/>
          <w:shd w:val="clear" w:color="auto" w:fill="FFFFFF"/>
          <w:lang w:eastAsia="zh-CN"/>
        </w:rPr>
        <w:t>Тэг-регби способствует формированию здорового образа жизни обучающихся, знакомит их с новым для многих видом спорта регби в адаптированном бесконтактном и не травмоопасном варианте, дает возможность ребёнку выбрать для себя путь развития в командном виде спорта. Занятия тэг-регби обеспечивают постоянную двигательную активность.</w:t>
      </w:r>
    </w:p>
    <w:p w14:paraId="5E0C8ADC">
      <w:pPr>
        <w:suppressAutoHyphens/>
        <w:spacing w:after="0" w:line="360" w:lineRule="auto"/>
        <w:ind w:firstLine="709"/>
        <w:jc w:val="both"/>
        <w:rPr>
          <w:rFonts w:ascii="Times New Roman" w:hAnsi="Times New Roman"/>
          <w:bCs/>
          <w:lang w:eastAsia="zh-CN"/>
        </w:rPr>
      </w:pPr>
      <w:r>
        <w:rPr>
          <w:rFonts w:ascii="Times New Roman" w:hAnsi="Times New Roman"/>
          <w:bCs/>
          <w:lang w:eastAsia="zh-CN"/>
        </w:rPr>
        <w:t xml:space="preserve">Тэг-регби позволяет избирательно решать задачи обучения: в основе начального обучения лежит игровая деятельность с элементами регби (игровые упражнения, эстафеты, игры), осуществляется общая физическая подготовка обучающихся с включением элементов тэг-регби, физкультурно-оздоровительная и воспитательная работа. </w:t>
      </w:r>
      <w:r>
        <w:rPr>
          <w:rFonts w:ascii="Times New Roman" w:hAnsi="Times New Roman" w:eastAsia="Times New Roman"/>
          <w:bCs/>
          <w:lang w:eastAsia="zh-CN"/>
        </w:rPr>
        <w:t>Алгоритм обучения тэг-регби делает возможным в минимальные сроки научиться играть в тэг-регби, что позволяет комплексно воздействовать на широкий спектр физических, личностных качеств и социальных функций занимающихся.</w:t>
      </w:r>
    </w:p>
    <w:p w14:paraId="2FF39049">
      <w:pPr>
        <w:pBdr>
          <w:top w:val="none" w:color="000000" w:sz="0" w:space="0"/>
          <w:left w:val="none" w:color="000000" w:sz="0" w:space="0"/>
          <w:bottom w:val="none" w:color="000000" w:sz="0" w:space="0"/>
          <w:right w:val="none" w:color="000000" w:sz="0" w:space="0"/>
        </w:pBdr>
        <w:tabs>
          <w:tab w:val="left" w:pos="6015"/>
        </w:tabs>
        <w:suppressAutoHyphens/>
        <w:spacing w:after="0" w:line="360" w:lineRule="auto"/>
        <w:ind w:firstLine="709"/>
        <w:jc w:val="both"/>
        <w:rPr>
          <w:rFonts w:ascii="Times New Roman" w:hAnsi="Times New Roman"/>
          <w:bCs/>
          <w:lang w:eastAsia="zh-CN"/>
        </w:rPr>
      </w:pPr>
      <w:r>
        <w:rPr>
          <w:rFonts w:ascii="Times New Roman" w:hAnsi="Times New Roman" w:eastAsia="Times New Roman"/>
          <w:bCs/>
          <w:lang w:eastAsia="zh-CN"/>
        </w:rPr>
        <w:t>16.4.</w:t>
      </w:r>
      <w:r>
        <w:rPr>
          <w:rFonts w:ascii="Times New Roman" w:hAnsi="Times New Roman"/>
          <w:bCs/>
          <w:lang w:eastAsia="zh-CN"/>
        </w:rPr>
        <w:t xml:space="preserve">4.2. Целью изучения модуля </w:t>
      </w:r>
      <w:r>
        <w:rPr>
          <w:rFonts w:ascii="Times New Roman" w:hAnsi="Times New Roman" w:eastAsia="Times New Roman"/>
          <w:bCs/>
          <w:lang w:eastAsia="ar-SA"/>
        </w:rPr>
        <w:t xml:space="preserve">«Тэг-регби» </w:t>
      </w:r>
      <w:r>
        <w:rPr>
          <w:rFonts w:ascii="Times New Roman" w:hAnsi="Times New Roman"/>
          <w:bCs/>
          <w:lang w:eastAsia="zh-CN"/>
        </w:rPr>
        <w:t>является формирование у обучающихся навыков общечеловеческой культуры и социального самоопределения, устойчивой мотивации к сохранению и укреплению собственного здоровья, ведению здорового и безопасного образа жизни через занятия физической культурой и спортом с использованием средств регби.</w:t>
      </w:r>
    </w:p>
    <w:p w14:paraId="136B4F7D">
      <w:pPr>
        <w:pBdr>
          <w:top w:val="none" w:color="000000" w:sz="0" w:space="0"/>
          <w:left w:val="none" w:color="000000" w:sz="0" w:space="0"/>
          <w:bottom w:val="none" w:color="000000" w:sz="0" w:space="0"/>
          <w:right w:val="none" w:color="000000" w:sz="0" w:space="0"/>
        </w:pBdr>
        <w:suppressAutoHyphens/>
        <w:spacing w:after="0" w:line="360" w:lineRule="auto"/>
        <w:ind w:firstLine="709"/>
        <w:jc w:val="both"/>
        <w:rPr>
          <w:rFonts w:ascii="Times New Roman" w:hAnsi="Times New Roman"/>
          <w:bCs/>
          <w:lang w:eastAsia="zh-CN"/>
        </w:rPr>
      </w:pPr>
      <w:r>
        <w:rPr>
          <w:rFonts w:ascii="Times New Roman" w:hAnsi="Times New Roman" w:eastAsia="Times New Roman"/>
          <w:bCs/>
          <w:lang w:eastAsia="zh-CN"/>
        </w:rPr>
        <w:t>16.4.</w:t>
      </w:r>
      <w:r>
        <w:rPr>
          <w:rFonts w:ascii="Times New Roman" w:hAnsi="Times New Roman"/>
          <w:bCs/>
          <w:lang w:eastAsia="zh-CN"/>
        </w:rPr>
        <w:t xml:space="preserve">4.3. Задачами изучения модуля </w:t>
      </w:r>
      <w:r>
        <w:rPr>
          <w:rFonts w:ascii="Times New Roman" w:hAnsi="Times New Roman" w:eastAsia="Times New Roman"/>
          <w:bCs/>
          <w:lang w:eastAsia="ar-SA"/>
        </w:rPr>
        <w:t xml:space="preserve">«Тэг-регби» </w:t>
      </w:r>
      <w:r>
        <w:rPr>
          <w:rFonts w:ascii="Times New Roman" w:hAnsi="Times New Roman"/>
          <w:bCs/>
          <w:lang w:eastAsia="zh-CN"/>
        </w:rPr>
        <w:t>являются:</w:t>
      </w:r>
    </w:p>
    <w:p w14:paraId="0BF7135C">
      <w:pPr>
        <w:pBdr>
          <w:top w:val="none" w:color="000000" w:sz="0" w:space="0"/>
          <w:left w:val="none" w:color="000000" w:sz="0" w:space="0"/>
          <w:bottom w:val="none" w:color="000000" w:sz="0" w:space="0"/>
          <w:right w:val="none" w:color="000000" w:sz="0" w:space="0"/>
        </w:pBdr>
        <w:suppressAutoHyphens/>
        <w:spacing w:after="0" w:line="360" w:lineRule="auto"/>
        <w:ind w:firstLine="709"/>
        <w:jc w:val="both"/>
        <w:rPr>
          <w:rFonts w:ascii="Times New Roman" w:hAnsi="Times New Roman"/>
          <w:bCs/>
          <w:lang w:eastAsia="zh-CN"/>
        </w:rPr>
      </w:pPr>
      <w:r>
        <w:rPr>
          <w:rFonts w:ascii="Times New Roman" w:hAnsi="Times New Roman"/>
          <w:bCs/>
          <w:lang w:eastAsia="zh-CN"/>
        </w:rPr>
        <w:t>всестороннее гармоничное развитие обучающихся, увеличение объёма их двигательной активности;</w:t>
      </w:r>
    </w:p>
    <w:p w14:paraId="416B1C37">
      <w:pPr>
        <w:pBdr>
          <w:top w:val="none" w:color="000000" w:sz="0" w:space="0"/>
          <w:left w:val="none" w:color="000000" w:sz="0" w:space="0"/>
          <w:bottom w:val="none" w:color="000000" w:sz="0" w:space="0"/>
          <w:right w:val="none" w:color="000000" w:sz="0" w:space="0"/>
        </w:pBdr>
        <w:suppressAutoHyphens/>
        <w:spacing w:after="0" w:line="360" w:lineRule="auto"/>
        <w:ind w:firstLine="709"/>
        <w:jc w:val="both"/>
        <w:rPr>
          <w:rFonts w:ascii="Times New Roman" w:hAnsi="Times New Roman"/>
          <w:bCs/>
          <w:lang w:eastAsia="zh-CN"/>
        </w:rPr>
      </w:pPr>
      <w:r>
        <w:rPr>
          <w:rFonts w:ascii="Times New Roman" w:hAnsi="Times New Roman"/>
          <w:bCs/>
          <w:lang w:eastAsia="zh-CN"/>
        </w:rPr>
        <w:t xml:space="preserve">укрепление </w:t>
      </w:r>
      <w:r>
        <w:rPr>
          <w:rFonts w:ascii="Times New Roman" w:hAnsi="Times New Roman" w:eastAsia="@Arial Unicode MS"/>
          <w:bCs/>
          <w:lang w:eastAsia="zh-CN"/>
        </w:rPr>
        <w:t xml:space="preserve">физического, психологического и социального </w:t>
      </w:r>
      <w:r>
        <w:rPr>
          <w:rFonts w:ascii="Times New Roman" w:hAnsi="Times New Roman"/>
          <w:bCs/>
          <w:lang w:eastAsia="zh-CN"/>
        </w:rPr>
        <w:t xml:space="preserve">здоровья обучающихся, развитие основных физических качеств и повышение функциональных возможностей их организма, </w:t>
      </w:r>
      <w:r>
        <w:rPr>
          <w:rFonts w:ascii="Times New Roman" w:hAnsi="Times New Roman" w:eastAsia="@Arial Unicode MS"/>
          <w:bCs/>
          <w:lang w:eastAsia="zh-CN"/>
        </w:rPr>
        <w:t xml:space="preserve">обеспечение культуры безопасного поведения </w:t>
      </w:r>
      <w:r>
        <w:rPr>
          <w:rFonts w:ascii="Times New Roman" w:hAnsi="Times New Roman"/>
          <w:bCs/>
          <w:lang w:eastAsia="zh-CN"/>
        </w:rPr>
        <w:t xml:space="preserve">на занятиях по </w:t>
      </w:r>
      <w:r>
        <w:rPr>
          <w:rFonts w:ascii="Times New Roman" w:hAnsi="Times New Roman" w:eastAsia="Times New Roman"/>
          <w:bCs/>
          <w:lang w:eastAsia="ar-SA"/>
        </w:rPr>
        <w:t>тэг-регби</w:t>
      </w:r>
      <w:r>
        <w:rPr>
          <w:rFonts w:ascii="Times New Roman" w:hAnsi="Times New Roman"/>
          <w:bCs/>
          <w:lang w:eastAsia="zh-CN"/>
        </w:rPr>
        <w:t>;</w:t>
      </w:r>
    </w:p>
    <w:p w14:paraId="7C259D68">
      <w:pPr>
        <w:pBdr>
          <w:top w:val="none" w:color="000000" w:sz="0" w:space="0"/>
          <w:left w:val="none" w:color="000000" w:sz="0" w:space="0"/>
          <w:bottom w:val="none" w:color="000000" w:sz="0" w:space="0"/>
          <w:right w:val="none" w:color="000000" w:sz="0" w:space="0"/>
        </w:pBdr>
        <w:suppressAutoHyphens/>
        <w:spacing w:after="0" w:line="360" w:lineRule="auto"/>
        <w:ind w:firstLine="709"/>
        <w:jc w:val="both"/>
        <w:rPr>
          <w:rFonts w:ascii="Times New Roman" w:hAnsi="Times New Roman"/>
          <w:bCs/>
          <w:lang w:eastAsia="zh-CN"/>
        </w:rPr>
      </w:pPr>
      <w:r>
        <w:rPr>
          <w:rFonts w:ascii="Times New Roman" w:hAnsi="Times New Roman"/>
          <w:bCs/>
          <w:lang w:eastAsia="zh-CN"/>
        </w:rPr>
        <w:t xml:space="preserve">формирование общих представлений о </w:t>
      </w:r>
      <w:r>
        <w:rPr>
          <w:rFonts w:ascii="Times New Roman" w:hAnsi="Times New Roman" w:eastAsia="Times New Roman"/>
          <w:bCs/>
          <w:lang w:eastAsia="ar-SA"/>
        </w:rPr>
        <w:t>тэг-регби</w:t>
      </w:r>
      <w:r>
        <w:rPr>
          <w:rFonts w:ascii="Times New Roman" w:hAnsi="Times New Roman"/>
          <w:bCs/>
          <w:lang w:eastAsia="zh-CN"/>
        </w:rPr>
        <w:t>, о его истории, возможностях и значении в процессе укрепления здоровья, физическом развитии и физической подготовке обучающихся;</w:t>
      </w:r>
    </w:p>
    <w:p w14:paraId="426309D6">
      <w:pPr>
        <w:pBdr>
          <w:top w:val="none" w:color="000000" w:sz="0" w:space="0"/>
          <w:left w:val="none" w:color="000000" w:sz="0" w:space="0"/>
          <w:bottom w:val="none" w:color="000000" w:sz="0" w:space="0"/>
          <w:right w:val="none" w:color="000000" w:sz="0" w:space="0"/>
        </w:pBdr>
        <w:suppressAutoHyphens/>
        <w:spacing w:after="0" w:line="360" w:lineRule="auto"/>
        <w:ind w:firstLine="709"/>
        <w:jc w:val="both"/>
        <w:rPr>
          <w:rFonts w:ascii="Times New Roman" w:hAnsi="Times New Roman" w:eastAsia="@Arial Unicode MS"/>
          <w:bCs/>
          <w:lang w:eastAsia="zh-CN"/>
        </w:rPr>
      </w:pPr>
      <w:r>
        <w:rPr>
          <w:rFonts w:ascii="Times New Roman" w:hAnsi="Times New Roman"/>
          <w:bCs/>
          <w:lang w:eastAsia="zh-CN"/>
        </w:rPr>
        <w:t xml:space="preserve">формирование образовательного фундамента, культуры движений, обогащение двигательного опыта физическими упражнениями с общеразвивающей и корригирующей направленностью, </w:t>
      </w:r>
      <w:r>
        <w:rPr>
          <w:rFonts w:ascii="Times New Roman" w:hAnsi="Times New Roman" w:eastAsia="PragmaticaC"/>
          <w:bCs/>
          <w:lang w:eastAsia="zh-CN"/>
        </w:rPr>
        <w:t xml:space="preserve">техническими действиями и приемами </w:t>
      </w:r>
      <w:r>
        <w:rPr>
          <w:rFonts w:ascii="Times New Roman" w:hAnsi="Times New Roman" w:eastAsia="Times New Roman"/>
          <w:bCs/>
          <w:lang w:eastAsia="ar-SA"/>
        </w:rPr>
        <w:t>тэг-регби;</w:t>
      </w:r>
    </w:p>
    <w:p w14:paraId="4B52443D">
      <w:pPr>
        <w:pBdr>
          <w:top w:val="none" w:color="000000" w:sz="0" w:space="0"/>
          <w:left w:val="none" w:color="000000" w:sz="0" w:space="0"/>
          <w:bottom w:val="none" w:color="000000" w:sz="0" w:space="0"/>
          <w:right w:val="none" w:color="000000" w:sz="0" w:space="0"/>
        </w:pBdr>
        <w:suppressAutoHyphens/>
        <w:spacing w:after="0" w:line="360" w:lineRule="auto"/>
        <w:ind w:firstLine="709"/>
        <w:jc w:val="both"/>
        <w:rPr>
          <w:rFonts w:ascii="Times New Roman" w:hAnsi="Times New Roman" w:eastAsia="@Arial Unicode MS"/>
          <w:bCs/>
          <w:lang w:eastAsia="zh-CN"/>
        </w:rPr>
      </w:pPr>
      <w:r>
        <w:rPr>
          <w:rFonts w:ascii="Times New Roman" w:hAnsi="Times New Roman"/>
          <w:bCs/>
          <w:lang w:eastAsia="zh-CN"/>
        </w:rPr>
        <w:t>воспитание положительных качеств личности, норм коллективного взаимодействия и сотрудничества в образовательной и соревновательной деятельности;</w:t>
      </w:r>
      <w:r>
        <w:rPr>
          <w:rFonts w:ascii="Times New Roman" w:hAnsi="Times New Roman"/>
          <w:bCs/>
        </w:rPr>
        <w:t xml:space="preserve"> </w:t>
      </w:r>
    </w:p>
    <w:p w14:paraId="488F81AA">
      <w:pPr>
        <w:pBdr>
          <w:top w:val="none" w:color="000000" w:sz="0" w:space="0"/>
          <w:left w:val="none" w:color="000000" w:sz="0" w:space="0"/>
          <w:bottom w:val="none" w:color="000000" w:sz="0" w:space="0"/>
          <w:right w:val="none" w:color="000000" w:sz="0" w:space="0"/>
        </w:pBdr>
        <w:suppressAutoHyphens/>
        <w:spacing w:after="0" w:line="360" w:lineRule="auto"/>
        <w:ind w:firstLine="709"/>
        <w:jc w:val="both"/>
        <w:rPr>
          <w:rFonts w:ascii="Times New Roman" w:hAnsi="Times New Roman" w:eastAsia="Arial Unicode MS"/>
          <w:bCs/>
          <w:lang w:eastAsia="zh-CN"/>
        </w:rPr>
      </w:pPr>
      <w:r>
        <w:rPr>
          <w:rFonts w:ascii="Times New Roman" w:hAnsi="Times New Roman" w:eastAsia="Arial Unicode MS"/>
          <w:bCs/>
          <w:lang w:eastAsia="zh-CN"/>
        </w:rPr>
        <w:t xml:space="preserve">развитие положительной мотивации и устойчивого учебно-познавательного интереса к предмету «Физическая культура» средствами </w:t>
      </w:r>
      <w:r>
        <w:rPr>
          <w:rFonts w:ascii="Times New Roman" w:hAnsi="Times New Roman" w:eastAsia="Times New Roman"/>
          <w:bCs/>
          <w:lang w:eastAsia="ar-SA"/>
        </w:rPr>
        <w:t>тэг-регби;</w:t>
      </w:r>
    </w:p>
    <w:p w14:paraId="134DFD99">
      <w:pPr>
        <w:pBdr>
          <w:top w:val="none" w:color="000000" w:sz="0" w:space="0"/>
          <w:left w:val="none" w:color="000000" w:sz="0" w:space="0"/>
          <w:bottom w:val="none" w:color="000000" w:sz="0" w:space="0"/>
          <w:right w:val="none" w:color="000000" w:sz="0" w:space="0"/>
        </w:pBdr>
        <w:suppressAutoHyphens/>
        <w:spacing w:after="0" w:line="360" w:lineRule="auto"/>
        <w:ind w:firstLine="709"/>
        <w:jc w:val="both"/>
        <w:rPr>
          <w:rFonts w:ascii="Times New Roman" w:hAnsi="Times New Roman" w:eastAsia="Arial Unicode MS"/>
          <w:bCs/>
          <w:lang w:eastAsia="zh-CN"/>
        </w:rPr>
      </w:pPr>
      <w:r>
        <w:rPr>
          <w:rFonts w:ascii="Times New Roman" w:hAnsi="Times New Roman" w:eastAsia="Arial Unicode MS"/>
          <w:bCs/>
          <w:lang w:eastAsia="zh-CN"/>
        </w:rPr>
        <w:t xml:space="preserve">популяризация </w:t>
      </w:r>
      <w:r>
        <w:rPr>
          <w:rFonts w:ascii="Times New Roman" w:hAnsi="Times New Roman" w:eastAsia="Times New Roman"/>
          <w:bCs/>
          <w:lang w:eastAsia="ar-SA"/>
        </w:rPr>
        <w:t>тэг-регби</w:t>
      </w:r>
      <w:r>
        <w:rPr>
          <w:rFonts w:ascii="Times New Roman" w:hAnsi="Times New Roman" w:eastAsia="Arial Unicode MS"/>
          <w:bCs/>
          <w:lang w:eastAsia="zh-CN"/>
        </w:rPr>
        <w:t xml:space="preserve"> среди обучающихся и </w:t>
      </w:r>
      <w:r>
        <w:rPr>
          <w:rFonts w:ascii="Times New Roman" w:hAnsi="Times New Roman" w:eastAsia="Times New Roman"/>
          <w:bCs/>
          <w:lang w:eastAsia="zh-CN"/>
        </w:rPr>
        <w:t xml:space="preserve">привлечение проявляющих повышенный интерес и способности к занятиям </w:t>
      </w:r>
      <w:r>
        <w:rPr>
          <w:rFonts w:ascii="Times New Roman" w:hAnsi="Times New Roman" w:eastAsia="Times New Roman"/>
          <w:bCs/>
          <w:lang w:eastAsia="ar-SA"/>
        </w:rPr>
        <w:t>тэг-регби</w:t>
      </w:r>
      <w:r>
        <w:rPr>
          <w:rFonts w:ascii="Times New Roman" w:hAnsi="Times New Roman" w:eastAsia="Times New Roman"/>
          <w:bCs/>
          <w:lang w:eastAsia="zh-CN"/>
        </w:rPr>
        <w:t>, в школьные спортивные клубы, секции, к участию в спортивных соревнованиях;</w:t>
      </w:r>
    </w:p>
    <w:p w14:paraId="20F276DB">
      <w:pPr>
        <w:pBdr>
          <w:top w:val="none" w:color="000000" w:sz="0" w:space="0"/>
          <w:left w:val="none" w:color="000000" w:sz="0" w:space="0"/>
          <w:bottom w:val="none" w:color="000000" w:sz="0" w:space="0"/>
          <w:right w:val="none" w:color="000000" w:sz="0" w:space="0"/>
        </w:pBdr>
        <w:suppressAutoHyphens/>
        <w:spacing w:after="0" w:line="360" w:lineRule="auto"/>
        <w:ind w:firstLine="709"/>
        <w:jc w:val="both"/>
        <w:rPr>
          <w:rFonts w:ascii="Times New Roman" w:hAnsi="Times New Roman"/>
          <w:bCs/>
          <w:lang w:eastAsia="zh-CN"/>
        </w:rPr>
      </w:pPr>
      <w:r>
        <w:rPr>
          <w:rFonts w:ascii="Times New Roman" w:hAnsi="Times New Roman"/>
          <w:bCs/>
          <w:lang w:eastAsia="zh-CN"/>
        </w:rPr>
        <w:t>выявление, развитие и поддержка одарённых детей в области спорта.</w:t>
      </w:r>
    </w:p>
    <w:p w14:paraId="11C7C5B9">
      <w:pPr>
        <w:pBdr>
          <w:top w:val="none" w:color="000000" w:sz="0" w:space="0"/>
          <w:left w:val="none" w:color="000000" w:sz="0" w:space="0"/>
          <w:bottom w:val="none" w:color="000000" w:sz="0" w:space="0"/>
          <w:right w:val="none" w:color="000000" w:sz="0" w:space="0"/>
        </w:pBdr>
        <w:tabs>
          <w:tab w:val="left" w:pos="708"/>
        </w:tabs>
        <w:suppressAutoHyphens/>
        <w:spacing w:after="0" w:line="360" w:lineRule="auto"/>
        <w:ind w:firstLine="709"/>
        <w:jc w:val="both"/>
        <w:rPr>
          <w:rFonts w:ascii="Times New Roman" w:hAnsi="Times New Roman" w:eastAsia="Times New Roman"/>
          <w:bCs/>
          <w:lang w:eastAsia="zh-CN"/>
        </w:rPr>
      </w:pPr>
      <w:r>
        <w:rPr>
          <w:rFonts w:ascii="Times New Roman" w:hAnsi="Times New Roman" w:eastAsia="Times New Roman"/>
          <w:bCs/>
          <w:lang w:eastAsia="zh-CN"/>
        </w:rPr>
        <w:t xml:space="preserve">16.4.4.4. Место и роль модуля </w:t>
      </w:r>
      <w:r>
        <w:rPr>
          <w:rFonts w:ascii="Times New Roman" w:hAnsi="Times New Roman" w:eastAsia="Times New Roman"/>
          <w:bCs/>
          <w:lang w:eastAsia="ar-SA"/>
        </w:rPr>
        <w:t>«Тэг-регби».</w:t>
      </w:r>
    </w:p>
    <w:p w14:paraId="3C0EEE01">
      <w:pPr>
        <w:pBdr>
          <w:top w:val="none" w:color="000000" w:sz="0" w:space="0"/>
          <w:left w:val="none" w:color="000000" w:sz="0" w:space="0"/>
          <w:bottom w:val="none" w:color="000000" w:sz="0" w:space="0"/>
          <w:right w:val="none" w:color="000000" w:sz="0" w:space="0"/>
        </w:pBdr>
        <w:suppressAutoHyphens/>
        <w:autoSpaceDE w:val="0"/>
        <w:spacing w:after="0" w:line="360" w:lineRule="auto"/>
        <w:ind w:firstLine="709"/>
        <w:jc w:val="both"/>
        <w:rPr>
          <w:rFonts w:ascii="Times New Roman" w:hAnsi="Times New Roman"/>
          <w:bCs/>
          <w:lang w:eastAsia="ru-RU"/>
        </w:rPr>
      </w:pPr>
      <w:r>
        <w:rPr>
          <w:rFonts w:ascii="Times New Roman" w:hAnsi="Times New Roman"/>
          <w:bCs/>
          <w:lang w:eastAsia="zh-CN"/>
        </w:rPr>
        <w:t>Модуль «Т</w:t>
      </w:r>
      <w:r>
        <w:rPr>
          <w:rFonts w:ascii="Times New Roman" w:hAnsi="Times New Roman" w:eastAsia="Times New Roman"/>
          <w:bCs/>
          <w:lang w:eastAsia="ar-SA"/>
        </w:rPr>
        <w:t>эг-регби»</w:t>
      </w:r>
      <w:r>
        <w:rPr>
          <w:rFonts w:ascii="Times New Roman" w:hAnsi="Times New Roman"/>
          <w:bCs/>
          <w:lang w:eastAsia="ar-SA"/>
        </w:rPr>
        <w:t xml:space="preserve"> </w:t>
      </w:r>
      <w:r>
        <w:rPr>
          <w:rFonts w:ascii="Times New Roman" w:hAnsi="Times New Roman"/>
          <w:bCs/>
          <w:lang w:eastAsia="zh-CN"/>
        </w:rPr>
        <w:t>доступен для освоения всеми обучающимся, независимо от уровня их физического развития и пола и расширяет спектр физкультурно-спортивных направлений в общеобразовательных организациях.</w:t>
      </w:r>
      <w:r>
        <w:rPr>
          <w:rFonts w:ascii="Times New Roman" w:hAnsi="Times New Roman"/>
          <w:bCs/>
          <w:lang w:eastAsia="ru-RU"/>
        </w:rPr>
        <w:t xml:space="preserve"> </w:t>
      </w:r>
    </w:p>
    <w:p w14:paraId="5D24C2AA">
      <w:pPr>
        <w:spacing w:after="0" w:line="360" w:lineRule="auto"/>
        <w:ind w:firstLine="709"/>
        <w:jc w:val="both"/>
        <w:rPr>
          <w:rFonts w:ascii="Times New Roman" w:hAnsi="Times New Roman"/>
          <w:bCs/>
        </w:rPr>
      </w:pPr>
      <w:r>
        <w:rPr>
          <w:rFonts w:ascii="Times New Roman" w:hAnsi="Times New Roman"/>
          <w:bCs/>
        </w:rPr>
        <w:t xml:space="preserve">В содержании </w:t>
      </w:r>
      <w:bookmarkStart w:id="274" w:name="_Hlk125540625"/>
      <w:r>
        <w:rPr>
          <w:rFonts w:ascii="Times New Roman" w:hAnsi="Times New Roman"/>
          <w:bCs/>
        </w:rPr>
        <w:t xml:space="preserve">модуля по тэг-регби </w:t>
      </w:r>
      <w:bookmarkEnd w:id="274"/>
      <w:r>
        <w:rPr>
          <w:rFonts w:ascii="Times New Roman" w:hAnsi="Times New Roman"/>
          <w:bCs/>
        </w:rPr>
        <w:t>специфика регби сочетается практически со всеми базовыми видами спорта (легкая атлетика, гимнастика, спортивные игры).</w:t>
      </w:r>
    </w:p>
    <w:p w14:paraId="59EA7F15">
      <w:pPr>
        <w:pBdr>
          <w:top w:val="none" w:color="000000" w:sz="0" w:space="0"/>
          <w:left w:val="none" w:color="000000" w:sz="0" w:space="0"/>
          <w:bottom w:val="none" w:color="000000" w:sz="0" w:space="0"/>
          <w:right w:val="none" w:color="000000" w:sz="0" w:space="0"/>
        </w:pBdr>
        <w:suppressAutoHyphens/>
        <w:spacing w:after="0" w:line="360" w:lineRule="auto"/>
        <w:ind w:firstLine="709"/>
        <w:jc w:val="both"/>
        <w:rPr>
          <w:rFonts w:ascii="Times New Roman" w:hAnsi="Times New Roman"/>
          <w:bCs/>
          <w:lang w:eastAsia="zh-CN"/>
        </w:rPr>
      </w:pPr>
      <w:r>
        <w:rPr>
          <w:rFonts w:ascii="Times New Roman" w:hAnsi="Times New Roman"/>
          <w:bCs/>
          <w:lang w:eastAsia="zh-CN"/>
        </w:rPr>
        <w:t xml:space="preserve">Интеграция модуля </w:t>
      </w:r>
      <w:r>
        <w:rPr>
          <w:rFonts w:ascii="Times New Roman" w:hAnsi="Times New Roman"/>
          <w:bCs/>
          <w:lang w:eastAsia="ar-SA"/>
        </w:rPr>
        <w:t xml:space="preserve">«Тэг-регби» </w:t>
      </w:r>
      <w:r>
        <w:rPr>
          <w:rFonts w:ascii="Times New Roman" w:hAnsi="Times New Roman"/>
          <w:bCs/>
          <w:lang w:eastAsia="zh-CN"/>
        </w:rPr>
        <w:t>поможет обучающимся в освоении образовательных программ в рамках внеурочной деятельности, дополнительного образования физкультурно-спортивной направленности, деятельности школьных спортивных клубов, подготовке обучающихся к сдаче норм ГТО и участии в спортивных соревнованиях.</w:t>
      </w:r>
    </w:p>
    <w:p w14:paraId="7B50C512">
      <w:pPr>
        <w:pBdr>
          <w:top w:val="none" w:color="000000" w:sz="0" w:space="0"/>
          <w:left w:val="none" w:color="000000" w:sz="0" w:space="0"/>
          <w:bottom w:val="none" w:color="000000" w:sz="0" w:space="0"/>
          <w:right w:val="none" w:color="000000" w:sz="0" w:space="0"/>
        </w:pBdr>
        <w:suppressAutoHyphens/>
        <w:spacing w:after="0" w:line="360" w:lineRule="auto"/>
        <w:ind w:firstLine="709"/>
        <w:jc w:val="both"/>
        <w:rPr>
          <w:rFonts w:ascii="Times New Roman" w:hAnsi="Times New Roman"/>
          <w:bCs/>
          <w:lang w:eastAsia="zh-CN"/>
        </w:rPr>
      </w:pPr>
      <w:r>
        <w:rPr>
          <w:rFonts w:ascii="Times New Roman" w:hAnsi="Times New Roman" w:eastAsia="Times New Roman"/>
          <w:bCs/>
          <w:lang w:eastAsia="zh-CN"/>
        </w:rPr>
        <w:t>16.4.</w:t>
      </w:r>
      <w:r>
        <w:rPr>
          <w:rFonts w:ascii="Times New Roman" w:hAnsi="Times New Roman"/>
          <w:bCs/>
          <w:lang w:eastAsia="zh-CN"/>
        </w:rPr>
        <w:t xml:space="preserve">4.5. Модуль </w:t>
      </w:r>
      <w:r>
        <w:rPr>
          <w:rFonts w:ascii="Times New Roman" w:hAnsi="Times New Roman" w:eastAsia="Times New Roman"/>
          <w:bCs/>
          <w:lang w:eastAsia="ar-SA"/>
        </w:rPr>
        <w:t xml:space="preserve">«Тэг-регби» </w:t>
      </w:r>
      <w:r>
        <w:rPr>
          <w:rFonts w:ascii="Times New Roman" w:hAnsi="Times New Roman"/>
          <w:bCs/>
          <w:lang w:eastAsia="zh-CN"/>
        </w:rPr>
        <w:t>может быть реализован в следующих вариантах:</w:t>
      </w:r>
    </w:p>
    <w:p w14:paraId="73406C8C">
      <w:pPr>
        <w:suppressAutoHyphens/>
        <w:spacing w:after="0" w:line="360" w:lineRule="auto"/>
        <w:ind w:firstLine="709"/>
        <w:jc w:val="both"/>
        <w:rPr>
          <w:rFonts w:ascii="Times New Roman" w:hAnsi="Times New Roman"/>
          <w:bCs/>
          <w:lang w:eastAsia="zh-CN"/>
        </w:rPr>
      </w:pPr>
      <w:r>
        <w:rPr>
          <w:rFonts w:ascii="Times New Roman" w:hAnsi="Times New Roman"/>
          <w:bCs/>
          <w:lang w:eastAsia="zh-CN"/>
        </w:rPr>
        <w:t>при самостоятельном планировании учителем физической культуры процесса освоения обучающимися учебного материала по тэг-регби с выбором различных элементов тэг-регби, с учётом возраста и физической подготовленности обучающихся;</w:t>
      </w:r>
    </w:p>
    <w:p w14:paraId="62B2097B">
      <w:pPr>
        <w:suppressAutoHyphens/>
        <w:spacing w:after="0" w:line="360" w:lineRule="auto"/>
        <w:ind w:firstLine="709"/>
        <w:jc w:val="both"/>
        <w:rPr>
          <w:rFonts w:ascii="Times New Roman" w:hAnsi="Times New Roman"/>
          <w:bCs/>
          <w:lang w:eastAsia="zh-CN"/>
        </w:rPr>
      </w:pPr>
      <w:r>
        <w:rPr>
          <w:rFonts w:ascii="Times New Roman" w:hAnsi="Times New Roman"/>
          <w:bCs/>
          <w:lang w:eastAsia="zh-CN"/>
        </w:rPr>
        <w:t>в виде целостного последовательного учебного модуля, изучаемого за счёт части учебного плана, формируемой участниками образовательных отношений из перечня, предлагаемого образовательной организацией, включающей, в частности, учебные модули по выбору обучающихся, родителей (законных представителей) несовершеннолетних обучающихся, в том числе предусматривающие удовлетворение различных интересов обучающихся (при организации и проведении уроков физической культуры с 3-х часовой недельной нагрузкой рекомендуемый объём в 1 классе – 33 часа, во 2, 3, 4 классах – по 34 часа);</w:t>
      </w:r>
    </w:p>
    <w:p w14:paraId="4A99AC65">
      <w:pPr>
        <w:pBdr>
          <w:top w:val="none" w:color="000000" w:sz="0" w:space="0"/>
          <w:left w:val="none" w:color="000000" w:sz="0" w:space="0"/>
          <w:bottom w:val="none" w:color="000000" w:sz="0" w:space="0"/>
          <w:right w:val="none" w:color="000000" w:sz="0" w:space="0"/>
        </w:pBdr>
        <w:suppressAutoHyphens/>
        <w:spacing w:after="0" w:line="360" w:lineRule="auto"/>
        <w:ind w:firstLine="709"/>
        <w:jc w:val="both"/>
        <w:rPr>
          <w:rFonts w:ascii="Times New Roman" w:hAnsi="Times New Roman"/>
          <w:bCs/>
          <w:lang w:eastAsia="zh-CN"/>
        </w:rPr>
      </w:pPr>
      <w:r>
        <w:rPr>
          <w:rFonts w:ascii="Times New Roman" w:hAnsi="Times New Roman"/>
          <w:bCs/>
          <w:lang w:eastAsia="zh-CN"/>
        </w:rPr>
        <w:t xml:space="preserve">в виде дополнительных часов, выделяемых на спортивно-оздоровительную работу с обучающимися в рамках внеурочной деятельности, деятельности школьных спортивных клубов, </w:t>
      </w:r>
      <w:r>
        <w:rPr>
          <w:rFonts w:ascii="Times New Roman" w:hAnsi="Times New Roman"/>
          <w:bCs/>
        </w:rPr>
        <w:t>включая использование учебных модулей по видам спорта</w:t>
      </w:r>
      <w:r>
        <w:rPr>
          <w:rFonts w:ascii="Times New Roman" w:hAnsi="Times New Roman"/>
          <w:bCs/>
          <w:lang w:eastAsia="zh-CN"/>
        </w:rPr>
        <w:t xml:space="preserve"> (рекомендуемый объём в 1 классе – 33 часа, во 2, 3, 4 классах – по 34 часа).</w:t>
      </w:r>
    </w:p>
    <w:p w14:paraId="06EA6130">
      <w:pPr>
        <w:pBdr>
          <w:top w:val="none" w:color="000000" w:sz="0" w:space="0"/>
          <w:left w:val="none" w:color="000000" w:sz="0" w:space="0"/>
          <w:bottom w:val="none" w:color="000000" w:sz="0" w:space="0"/>
          <w:right w:val="none" w:color="000000" w:sz="0" w:space="0"/>
        </w:pBdr>
        <w:suppressAutoHyphens/>
        <w:spacing w:after="0" w:line="360" w:lineRule="auto"/>
        <w:ind w:firstLine="709"/>
        <w:jc w:val="both"/>
        <w:rPr>
          <w:rFonts w:ascii="Times New Roman" w:hAnsi="Times New Roman"/>
          <w:bCs/>
          <w:lang w:eastAsia="zh-CN"/>
        </w:rPr>
      </w:pPr>
      <w:r>
        <w:rPr>
          <w:rFonts w:ascii="Times New Roman" w:hAnsi="Times New Roman" w:eastAsia="Times New Roman"/>
          <w:bCs/>
          <w:lang w:eastAsia="zh-CN"/>
        </w:rPr>
        <w:t>16.4.</w:t>
      </w:r>
      <w:r>
        <w:rPr>
          <w:rFonts w:ascii="Times New Roman" w:hAnsi="Times New Roman"/>
          <w:bCs/>
          <w:lang w:eastAsia="zh-CN"/>
        </w:rPr>
        <w:t>4.6. Содержание модуля «Тэг-регби».</w:t>
      </w:r>
    </w:p>
    <w:p w14:paraId="1AF04C3A">
      <w:pPr>
        <w:pBdr>
          <w:top w:val="none" w:color="000000" w:sz="0" w:space="0"/>
          <w:left w:val="none" w:color="000000" w:sz="0" w:space="0"/>
          <w:bottom w:val="none" w:color="000000" w:sz="0" w:space="0"/>
          <w:right w:val="none" w:color="000000" w:sz="0" w:space="0"/>
        </w:pBdr>
        <w:suppressAutoHyphens/>
        <w:spacing w:after="0" w:line="360" w:lineRule="auto"/>
        <w:ind w:firstLine="709"/>
        <w:jc w:val="both"/>
        <w:rPr>
          <w:rFonts w:ascii="Times New Roman" w:hAnsi="Times New Roman"/>
          <w:bCs/>
          <w:lang w:eastAsia="zh-CN"/>
        </w:rPr>
      </w:pPr>
      <w:r>
        <w:rPr>
          <w:rFonts w:ascii="Times New Roman" w:hAnsi="Times New Roman"/>
          <w:bCs/>
          <w:lang w:eastAsia="zh-CN"/>
        </w:rPr>
        <w:t>Знания о тэг-регби.</w:t>
      </w:r>
    </w:p>
    <w:p w14:paraId="124DAF92">
      <w:pPr>
        <w:spacing w:after="0" w:line="360" w:lineRule="auto"/>
        <w:ind w:firstLine="709"/>
        <w:jc w:val="both"/>
        <w:rPr>
          <w:rFonts w:ascii="Times New Roman" w:hAnsi="Times New Roman"/>
          <w:bCs/>
        </w:rPr>
      </w:pPr>
      <w:r>
        <w:rPr>
          <w:rFonts w:ascii="Times New Roman" w:hAnsi="Times New Roman"/>
          <w:bCs/>
        </w:rPr>
        <w:t>История регби. Правила игры в тэг-регби. Развитие регби в России. Судейская терминология тэг-регби.</w:t>
      </w:r>
    </w:p>
    <w:p w14:paraId="59330090">
      <w:pPr>
        <w:autoSpaceDE w:val="0"/>
        <w:autoSpaceDN w:val="0"/>
        <w:adjustRightInd w:val="0"/>
        <w:spacing w:after="0" w:line="360" w:lineRule="auto"/>
        <w:ind w:firstLine="709"/>
        <w:jc w:val="both"/>
        <w:rPr>
          <w:rFonts w:ascii="Times New Roman" w:hAnsi="Times New Roman"/>
          <w:bCs/>
        </w:rPr>
      </w:pPr>
      <w:r>
        <w:rPr>
          <w:rFonts w:ascii="Times New Roman" w:hAnsi="Times New Roman"/>
          <w:bCs/>
        </w:rPr>
        <w:t xml:space="preserve">Требования безопасности при организации занятий тэг-регби, в том числе самостоятельных. Форма и экипировка занимающегося тэг-регби. </w:t>
      </w:r>
    </w:p>
    <w:p w14:paraId="121D541C">
      <w:pPr>
        <w:autoSpaceDE w:val="0"/>
        <w:autoSpaceDN w:val="0"/>
        <w:adjustRightInd w:val="0"/>
        <w:spacing w:after="0" w:line="360" w:lineRule="auto"/>
        <w:ind w:firstLine="709"/>
        <w:jc w:val="both"/>
        <w:rPr>
          <w:rFonts w:ascii="Times New Roman" w:hAnsi="Times New Roman"/>
          <w:bCs/>
        </w:rPr>
      </w:pPr>
      <w:r>
        <w:rPr>
          <w:rFonts w:ascii="Times New Roman" w:hAnsi="Times New Roman"/>
          <w:bCs/>
        </w:rPr>
        <w:t>Гигиена и самоконтроль при занятиях тэг-регби.</w:t>
      </w:r>
    </w:p>
    <w:p w14:paraId="7B5FE1E0">
      <w:pPr>
        <w:autoSpaceDE w:val="0"/>
        <w:autoSpaceDN w:val="0"/>
        <w:adjustRightInd w:val="0"/>
        <w:spacing w:after="0" w:line="360" w:lineRule="auto"/>
        <w:ind w:firstLine="709"/>
        <w:jc w:val="both"/>
        <w:rPr>
          <w:rFonts w:ascii="Times New Roman" w:hAnsi="Times New Roman"/>
          <w:bCs/>
        </w:rPr>
      </w:pPr>
      <w:r>
        <w:rPr>
          <w:rFonts w:ascii="Times New Roman" w:hAnsi="Times New Roman" w:eastAsia="Times New Roman"/>
          <w:bCs/>
          <w:lang w:eastAsia="ru-RU"/>
        </w:rPr>
        <w:t>Комплексы упражнений для развития различных физических качеств регбиста.</w:t>
      </w:r>
    </w:p>
    <w:p w14:paraId="33077B00">
      <w:pPr>
        <w:pBdr>
          <w:top w:val="none" w:color="000000" w:sz="0" w:space="0"/>
          <w:left w:val="none" w:color="000000" w:sz="0" w:space="0"/>
          <w:bottom w:val="none" w:color="000000" w:sz="0" w:space="0"/>
          <w:right w:val="none" w:color="000000" w:sz="0" w:space="0"/>
        </w:pBdr>
        <w:suppressAutoHyphens/>
        <w:spacing w:after="0" w:line="360" w:lineRule="auto"/>
        <w:ind w:firstLine="709"/>
        <w:jc w:val="both"/>
        <w:rPr>
          <w:rFonts w:ascii="Times New Roman" w:hAnsi="Times New Roman"/>
          <w:bCs/>
          <w:lang w:eastAsia="zh-CN"/>
        </w:rPr>
      </w:pPr>
      <w:r>
        <w:rPr>
          <w:rFonts w:ascii="Times New Roman" w:hAnsi="Times New Roman"/>
          <w:bCs/>
        </w:rPr>
        <w:t xml:space="preserve">Понятие о спортивной этике и взаимоотношениях между обучающимися. Знание игровых амплуа. </w:t>
      </w:r>
      <w:r>
        <w:rPr>
          <w:rFonts w:ascii="Times New Roman" w:hAnsi="Times New Roman"/>
          <w:bCs/>
          <w:lang w:eastAsia="zh-CN"/>
        </w:rPr>
        <w:t>Основные термины тэг-регби.</w:t>
      </w:r>
    </w:p>
    <w:p w14:paraId="79551E24">
      <w:pPr>
        <w:spacing w:after="0" w:line="360" w:lineRule="auto"/>
        <w:ind w:firstLine="709"/>
        <w:jc w:val="both"/>
        <w:rPr>
          <w:rFonts w:ascii="Times New Roman" w:hAnsi="Times New Roman"/>
          <w:bCs/>
        </w:rPr>
      </w:pPr>
      <w:r>
        <w:rPr>
          <w:rFonts w:ascii="Times New Roman" w:hAnsi="Times New Roman"/>
          <w:bCs/>
        </w:rPr>
        <w:t>Воспитание морально-волевых качеств в процессе занятий тэг-регби: сознательность, смелость, выдержка, решительность, настойчивость.</w:t>
      </w:r>
    </w:p>
    <w:p w14:paraId="798ED835">
      <w:pPr>
        <w:pBdr>
          <w:top w:val="none" w:color="000000" w:sz="0" w:space="0"/>
          <w:left w:val="none" w:color="000000" w:sz="0" w:space="0"/>
          <w:bottom w:val="none" w:color="000000" w:sz="0" w:space="0"/>
          <w:right w:val="none" w:color="000000" w:sz="0" w:space="0"/>
        </w:pBdr>
        <w:suppressAutoHyphens/>
        <w:spacing w:after="0" w:line="360" w:lineRule="auto"/>
        <w:ind w:firstLine="709"/>
        <w:jc w:val="both"/>
        <w:rPr>
          <w:rFonts w:ascii="Times New Roman" w:hAnsi="Times New Roman"/>
          <w:bCs/>
          <w:lang w:eastAsia="zh-CN"/>
        </w:rPr>
      </w:pPr>
      <w:r>
        <w:rPr>
          <w:rFonts w:ascii="Times New Roman" w:hAnsi="Times New Roman"/>
          <w:bCs/>
          <w:lang w:eastAsia="zh-CN"/>
        </w:rPr>
        <w:t>Способы самостоятельной деятельности.</w:t>
      </w:r>
    </w:p>
    <w:p w14:paraId="7536818F">
      <w:pPr>
        <w:spacing w:after="0" w:line="360" w:lineRule="auto"/>
        <w:ind w:firstLine="709"/>
        <w:jc w:val="both"/>
        <w:rPr>
          <w:rFonts w:ascii="Times New Roman" w:hAnsi="Times New Roman"/>
          <w:bCs/>
        </w:rPr>
      </w:pPr>
      <w:r>
        <w:rPr>
          <w:rFonts w:ascii="Times New Roman" w:hAnsi="Times New Roman"/>
          <w:bCs/>
        </w:rPr>
        <w:t>Подготовка места занятий, выбор одежды и обуви для занятий тэг-регби.</w:t>
      </w:r>
    </w:p>
    <w:p w14:paraId="5435F9DE">
      <w:pPr>
        <w:spacing w:after="0" w:line="360" w:lineRule="auto"/>
        <w:ind w:firstLine="709"/>
        <w:jc w:val="both"/>
        <w:rPr>
          <w:rFonts w:ascii="Times New Roman" w:hAnsi="Times New Roman"/>
          <w:bCs/>
        </w:rPr>
      </w:pPr>
      <w:r>
        <w:rPr>
          <w:rFonts w:ascii="Times New Roman" w:hAnsi="Times New Roman"/>
          <w:bCs/>
        </w:rPr>
        <w:t xml:space="preserve">Организация и проведение подвижных игр с элементами тэг-регби во время активного отдыха и каникул. </w:t>
      </w:r>
    </w:p>
    <w:p w14:paraId="1528FAA3">
      <w:pPr>
        <w:spacing w:after="0" w:line="360" w:lineRule="auto"/>
        <w:ind w:firstLine="709"/>
        <w:jc w:val="both"/>
        <w:rPr>
          <w:rFonts w:ascii="Times New Roman" w:hAnsi="Times New Roman"/>
          <w:bCs/>
        </w:rPr>
      </w:pPr>
      <w:r>
        <w:rPr>
          <w:rFonts w:ascii="Times New Roman" w:hAnsi="Times New Roman"/>
          <w:bCs/>
        </w:rPr>
        <w:t>Оценка техники осваиваемых упражнений, способы выявления и устранения технических ошибок.</w:t>
      </w:r>
    </w:p>
    <w:p w14:paraId="5816F377">
      <w:pPr>
        <w:spacing w:after="0" w:line="360" w:lineRule="auto"/>
        <w:ind w:firstLine="709"/>
        <w:jc w:val="both"/>
        <w:rPr>
          <w:rFonts w:ascii="Times New Roman" w:hAnsi="Times New Roman"/>
          <w:bCs/>
        </w:rPr>
      </w:pPr>
      <w:r>
        <w:rPr>
          <w:rFonts w:ascii="Times New Roman" w:hAnsi="Times New Roman"/>
          <w:bCs/>
        </w:rPr>
        <w:t>Тестирование уровня физической подготовленности в тэг-регби.</w:t>
      </w:r>
    </w:p>
    <w:p w14:paraId="6BE5C393">
      <w:pPr>
        <w:pBdr>
          <w:top w:val="none" w:color="000000" w:sz="0" w:space="0"/>
          <w:left w:val="none" w:color="000000" w:sz="0" w:space="0"/>
          <w:bottom w:val="none" w:color="000000" w:sz="0" w:space="0"/>
          <w:right w:val="none" w:color="000000" w:sz="0" w:space="0"/>
        </w:pBdr>
        <w:suppressAutoHyphens/>
        <w:spacing w:after="0" w:line="360" w:lineRule="auto"/>
        <w:ind w:firstLine="709"/>
        <w:jc w:val="both"/>
        <w:rPr>
          <w:rFonts w:ascii="Times New Roman" w:hAnsi="Times New Roman"/>
          <w:bCs/>
          <w:lang w:eastAsia="zh-CN"/>
        </w:rPr>
      </w:pPr>
      <w:r>
        <w:rPr>
          <w:rFonts w:ascii="Times New Roman" w:hAnsi="Times New Roman"/>
          <w:bCs/>
          <w:lang w:eastAsia="zh-CN"/>
        </w:rPr>
        <w:t>Физическое совершенствование.</w:t>
      </w:r>
    </w:p>
    <w:p w14:paraId="6EAC7F51">
      <w:pPr>
        <w:spacing w:after="0" w:line="360" w:lineRule="auto"/>
        <w:ind w:firstLine="709"/>
        <w:jc w:val="both"/>
        <w:rPr>
          <w:rFonts w:ascii="Times New Roman" w:hAnsi="Times New Roman"/>
          <w:bCs/>
        </w:rPr>
      </w:pPr>
      <w:r>
        <w:rPr>
          <w:rFonts w:ascii="Times New Roman" w:hAnsi="Times New Roman"/>
          <w:bCs/>
        </w:rPr>
        <w:t>Комплексы подготовительных и специальных упражнений, формирующих двигательные умения и навыки во время занятий тэг-регби.</w:t>
      </w:r>
    </w:p>
    <w:p w14:paraId="17FC74FB">
      <w:pPr>
        <w:spacing w:after="0" w:line="360" w:lineRule="auto"/>
        <w:ind w:firstLine="709"/>
        <w:jc w:val="both"/>
        <w:rPr>
          <w:rFonts w:ascii="Times New Roman" w:hAnsi="Times New Roman"/>
          <w:bCs/>
        </w:rPr>
      </w:pPr>
      <w:r>
        <w:rPr>
          <w:rFonts w:ascii="Times New Roman" w:hAnsi="Times New Roman"/>
          <w:bCs/>
        </w:rPr>
        <w:t>Подвижные игры (без мяча и с мячом): Перестрелка», «Веселые старты», «Регбийные салки», «Салки с передачей мяча между водящими», «Салки вдвоем», «Салки втроем», «Салки в четверках», «Салки-пятнашки», «Пятнашки с городом», «Колдунчики», «Собачки», «Собачки в квадрате», «Собачки 4 против 2» «Осалить конкретного игрока», «Осаль в цепи последнего», «Штандр регбийным мячом», «Закрой игрока и перехвати передачу», «Пионербол двумя регбийными мячами», «Выполни заданное количество передач», «Ботва», «Регбийные рыбаки и рыбки», «Тэг-регби 3х3 по упрощенным правилам», «Атака города», «Атака города по выбору».</w:t>
      </w:r>
    </w:p>
    <w:p w14:paraId="78A79142">
      <w:pPr>
        <w:spacing w:after="0" w:line="360" w:lineRule="auto"/>
        <w:ind w:firstLine="709"/>
        <w:jc w:val="both"/>
        <w:rPr>
          <w:rFonts w:ascii="Times New Roman" w:hAnsi="Times New Roman"/>
          <w:bCs/>
        </w:rPr>
      </w:pPr>
      <w:r>
        <w:rPr>
          <w:rFonts w:ascii="Times New Roman" w:hAnsi="Times New Roman"/>
          <w:bCs/>
        </w:rPr>
        <w:t>Индивидуальные технические действия:</w:t>
      </w:r>
    </w:p>
    <w:p w14:paraId="041DEA91">
      <w:pPr>
        <w:spacing w:after="0" w:line="360" w:lineRule="auto"/>
        <w:ind w:firstLine="709"/>
        <w:jc w:val="both"/>
        <w:rPr>
          <w:rFonts w:ascii="Times New Roman" w:hAnsi="Times New Roman"/>
          <w:bCs/>
        </w:rPr>
      </w:pPr>
      <w:r>
        <w:rPr>
          <w:rFonts w:ascii="Times New Roman" w:hAnsi="Times New Roman"/>
          <w:bCs/>
        </w:rPr>
        <w:t>Техника владения регбийным мячом:</w:t>
      </w:r>
    </w:p>
    <w:p w14:paraId="26620180">
      <w:pPr>
        <w:spacing w:after="0" w:line="360" w:lineRule="auto"/>
        <w:ind w:firstLine="709"/>
        <w:jc w:val="both"/>
        <w:rPr>
          <w:rFonts w:ascii="Times New Roman" w:hAnsi="Times New Roman"/>
          <w:bCs/>
        </w:rPr>
      </w:pPr>
      <w:r>
        <w:rPr>
          <w:rFonts w:ascii="Times New Roman" w:hAnsi="Times New Roman"/>
          <w:bCs/>
        </w:rPr>
        <w:t>стойки и перемещения;</w:t>
      </w:r>
    </w:p>
    <w:p w14:paraId="544F990F">
      <w:pPr>
        <w:spacing w:after="0" w:line="360" w:lineRule="auto"/>
        <w:ind w:firstLine="709"/>
        <w:jc w:val="both"/>
        <w:rPr>
          <w:rFonts w:ascii="Times New Roman" w:hAnsi="Times New Roman"/>
          <w:bCs/>
        </w:rPr>
      </w:pPr>
      <w:r>
        <w:rPr>
          <w:rFonts w:ascii="Times New Roman" w:hAnsi="Times New Roman"/>
          <w:bCs/>
        </w:rPr>
        <w:t xml:space="preserve">держание мяча, бег с мячом, розыгрыш мяча, прием мяча, подбор и приземление мяча; </w:t>
      </w:r>
    </w:p>
    <w:p w14:paraId="438FFE8E">
      <w:pPr>
        <w:spacing w:after="0" w:line="360" w:lineRule="auto"/>
        <w:ind w:firstLine="709"/>
        <w:jc w:val="both"/>
        <w:rPr>
          <w:rFonts w:ascii="Times New Roman" w:hAnsi="Times New Roman"/>
          <w:bCs/>
        </w:rPr>
      </w:pPr>
      <w:r>
        <w:rPr>
          <w:rFonts w:ascii="Times New Roman" w:hAnsi="Times New Roman"/>
          <w:bCs/>
        </w:rPr>
        <w:t xml:space="preserve">финты; </w:t>
      </w:r>
    </w:p>
    <w:p w14:paraId="179842C9">
      <w:pPr>
        <w:spacing w:after="0" w:line="360" w:lineRule="auto"/>
        <w:ind w:firstLine="709"/>
        <w:jc w:val="both"/>
        <w:rPr>
          <w:rFonts w:ascii="Times New Roman" w:hAnsi="Times New Roman"/>
          <w:bCs/>
        </w:rPr>
      </w:pPr>
      <w:r>
        <w:rPr>
          <w:rFonts w:ascii="Times New Roman" w:hAnsi="Times New Roman"/>
          <w:bCs/>
        </w:rPr>
        <w:t>передвижения с мячом по площадке;</w:t>
      </w:r>
    </w:p>
    <w:p w14:paraId="46AEF377">
      <w:pPr>
        <w:spacing w:after="0" w:line="360" w:lineRule="auto"/>
        <w:ind w:firstLine="709"/>
        <w:jc w:val="both"/>
        <w:rPr>
          <w:rFonts w:ascii="Times New Roman" w:hAnsi="Times New Roman"/>
          <w:bCs/>
        </w:rPr>
      </w:pPr>
      <w:r>
        <w:rPr>
          <w:rFonts w:ascii="Times New Roman" w:hAnsi="Times New Roman"/>
          <w:bCs/>
        </w:rPr>
        <w:t>передачи мяча в парах (сбоку, снизу) стоя на месте и в движении;</w:t>
      </w:r>
    </w:p>
    <w:p w14:paraId="00843245">
      <w:pPr>
        <w:spacing w:after="0" w:line="360" w:lineRule="auto"/>
        <w:ind w:firstLine="709"/>
        <w:jc w:val="both"/>
        <w:rPr>
          <w:rFonts w:ascii="Times New Roman" w:hAnsi="Times New Roman"/>
          <w:bCs/>
        </w:rPr>
      </w:pPr>
      <w:r>
        <w:rPr>
          <w:rFonts w:ascii="Times New Roman" w:hAnsi="Times New Roman"/>
          <w:bCs/>
        </w:rPr>
        <w:t>передачи в колоннах с перемещениями;</w:t>
      </w:r>
    </w:p>
    <w:p w14:paraId="4CED36D5">
      <w:pPr>
        <w:spacing w:after="0" w:line="360" w:lineRule="auto"/>
        <w:ind w:firstLine="709"/>
        <w:jc w:val="both"/>
        <w:rPr>
          <w:rFonts w:ascii="Times New Roman" w:hAnsi="Times New Roman"/>
          <w:bCs/>
        </w:rPr>
      </w:pPr>
      <w:r>
        <w:rPr>
          <w:rFonts w:ascii="Times New Roman" w:hAnsi="Times New Roman"/>
          <w:bCs/>
        </w:rPr>
        <w:t>передача и ловля высоко летящего мяча;</w:t>
      </w:r>
    </w:p>
    <w:p w14:paraId="32040C59">
      <w:pPr>
        <w:spacing w:after="0" w:line="360" w:lineRule="auto"/>
        <w:ind w:firstLine="709"/>
        <w:jc w:val="both"/>
        <w:rPr>
          <w:rFonts w:ascii="Times New Roman" w:hAnsi="Times New Roman"/>
          <w:bCs/>
        </w:rPr>
      </w:pPr>
      <w:r>
        <w:rPr>
          <w:rFonts w:ascii="Times New Roman" w:hAnsi="Times New Roman"/>
          <w:bCs/>
        </w:rPr>
        <w:t>подбор неподвижного мяча, катящегося мяча.</w:t>
      </w:r>
    </w:p>
    <w:p w14:paraId="32089533">
      <w:pPr>
        <w:spacing w:after="0" w:line="360" w:lineRule="auto"/>
        <w:ind w:firstLine="709"/>
        <w:jc w:val="both"/>
        <w:rPr>
          <w:rFonts w:ascii="Times New Roman" w:hAnsi="Times New Roman"/>
          <w:bCs/>
        </w:rPr>
      </w:pPr>
      <w:r>
        <w:rPr>
          <w:rFonts w:ascii="Times New Roman" w:hAnsi="Times New Roman"/>
          <w:bCs/>
        </w:rPr>
        <w:t>Тактические взаимодействия:</w:t>
      </w:r>
    </w:p>
    <w:p w14:paraId="7CD6AAC5">
      <w:pPr>
        <w:spacing w:after="0" w:line="360" w:lineRule="auto"/>
        <w:ind w:firstLine="709"/>
        <w:jc w:val="both"/>
        <w:rPr>
          <w:rFonts w:ascii="Times New Roman" w:hAnsi="Times New Roman"/>
          <w:bCs/>
        </w:rPr>
      </w:pPr>
      <w:r>
        <w:rPr>
          <w:rFonts w:ascii="Times New Roman" w:hAnsi="Times New Roman"/>
          <w:bCs/>
        </w:rPr>
        <w:t>в парах, в тройках, кресты, забегания, смещения, линия защиты;</w:t>
      </w:r>
    </w:p>
    <w:p w14:paraId="3C65E79D">
      <w:pPr>
        <w:spacing w:after="0" w:line="360" w:lineRule="auto"/>
        <w:ind w:firstLine="709"/>
        <w:jc w:val="both"/>
        <w:rPr>
          <w:rFonts w:ascii="Times New Roman" w:hAnsi="Times New Roman"/>
          <w:bCs/>
        </w:rPr>
      </w:pPr>
      <w:r>
        <w:rPr>
          <w:rFonts w:ascii="Times New Roman" w:hAnsi="Times New Roman"/>
          <w:bCs/>
        </w:rPr>
        <w:t>тактические действия с учетом игровых амплуа в команде;</w:t>
      </w:r>
    </w:p>
    <w:p w14:paraId="16382230">
      <w:pPr>
        <w:spacing w:after="0" w:line="360" w:lineRule="auto"/>
        <w:ind w:firstLine="709"/>
        <w:jc w:val="both"/>
        <w:rPr>
          <w:rFonts w:ascii="Times New Roman" w:hAnsi="Times New Roman"/>
          <w:bCs/>
        </w:rPr>
      </w:pPr>
      <w:r>
        <w:rPr>
          <w:rFonts w:ascii="Times New Roman" w:hAnsi="Times New Roman"/>
          <w:bCs/>
        </w:rPr>
        <w:t xml:space="preserve">быстрые переключения в действиях – от нападения к защите и от защиты к нападению. </w:t>
      </w:r>
    </w:p>
    <w:p w14:paraId="4A8292BC">
      <w:pPr>
        <w:spacing w:after="0" w:line="360" w:lineRule="auto"/>
        <w:ind w:firstLine="709"/>
        <w:jc w:val="both"/>
        <w:rPr>
          <w:rFonts w:ascii="Times New Roman" w:hAnsi="Times New Roman"/>
          <w:bCs/>
        </w:rPr>
      </w:pPr>
      <w:r>
        <w:rPr>
          <w:rFonts w:ascii="Times New Roman" w:hAnsi="Times New Roman"/>
          <w:bCs/>
        </w:rPr>
        <w:t xml:space="preserve">Учебные игры в тэг-регби </w:t>
      </w:r>
      <w:r>
        <w:rPr>
          <w:rFonts w:ascii="Times New Roman" w:hAnsi="Times New Roman"/>
          <w:bCs/>
          <w:lang w:eastAsia="zh-CN"/>
        </w:rPr>
        <w:t>по упрощенным правилам.</w:t>
      </w:r>
    </w:p>
    <w:p w14:paraId="036A9E08">
      <w:pPr>
        <w:pBdr>
          <w:top w:val="none" w:color="000000" w:sz="0" w:space="0"/>
          <w:left w:val="none" w:color="000000" w:sz="0" w:space="0"/>
          <w:bottom w:val="none" w:color="000000" w:sz="0" w:space="0"/>
          <w:right w:val="none" w:color="000000" w:sz="0" w:space="0"/>
        </w:pBdr>
        <w:suppressAutoHyphens/>
        <w:spacing w:after="0" w:line="360" w:lineRule="auto"/>
        <w:ind w:firstLine="709"/>
        <w:jc w:val="both"/>
        <w:rPr>
          <w:rFonts w:ascii="Times New Roman" w:hAnsi="Times New Roman"/>
          <w:bCs/>
          <w:lang w:eastAsia="zh-CN"/>
        </w:rPr>
      </w:pPr>
      <w:r>
        <w:rPr>
          <w:rFonts w:ascii="Times New Roman" w:hAnsi="Times New Roman" w:eastAsia="Times New Roman"/>
          <w:bCs/>
          <w:lang w:eastAsia="zh-CN"/>
        </w:rPr>
        <w:t>16.4.</w:t>
      </w:r>
      <w:r>
        <w:rPr>
          <w:rFonts w:ascii="Times New Roman" w:hAnsi="Times New Roman"/>
          <w:bCs/>
          <w:lang w:eastAsia="zh-CN"/>
        </w:rPr>
        <w:t>4.7. Содержание модуля «Тэг-регби» направлено на достижение обучающимися личностных, метапредметных и предметных результатов обучения.</w:t>
      </w:r>
    </w:p>
    <w:p w14:paraId="38ED1CC8">
      <w:pPr>
        <w:pBdr>
          <w:top w:val="none" w:color="000000" w:sz="0" w:space="0"/>
          <w:left w:val="none" w:color="000000" w:sz="0" w:space="0"/>
          <w:bottom w:val="none" w:color="000000" w:sz="0" w:space="0"/>
          <w:right w:val="none" w:color="000000" w:sz="0" w:space="0"/>
        </w:pBdr>
        <w:suppressAutoHyphens/>
        <w:spacing w:after="0" w:line="360" w:lineRule="auto"/>
        <w:ind w:firstLine="709"/>
        <w:jc w:val="both"/>
        <w:rPr>
          <w:rFonts w:ascii="Times New Roman" w:hAnsi="Times New Roman"/>
          <w:bCs/>
          <w:lang w:eastAsia="zh-CN"/>
        </w:rPr>
      </w:pPr>
      <w:r>
        <w:rPr>
          <w:rFonts w:ascii="Times New Roman" w:hAnsi="Times New Roman" w:eastAsia="Times New Roman"/>
          <w:bCs/>
          <w:lang w:eastAsia="zh-CN"/>
        </w:rPr>
        <w:t>16.4.</w:t>
      </w:r>
      <w:r>
        <w:rPr>
          <w:rFonts w:ascii="Times New Roman" w:hAnsi="Times New Roman"/>
          <w:bCs/>
          <w:lang w:eastAsia="zh-CN"/>
        </w:rPr>
        <w:t>4.7.1. При изучении модуля «Тэг-регби» на уровне начального общего образования у обучающихся будут сформированы следующие личностные результаты:</w:t>
      </w:r>
    </w:p>
    <w:p w14:paraId="3C257DE9">
      <w:pPr>
        <w:suppressAutoHyphens/>
        <w:spacing w:after="0" w:line="360" w:lineRule="auto"/>
        <w:ind w:firstLine="709"/>
        <w:contextualSpacing/>
        <w:jc w:val="both"/>
        <w:rPr>
          <w:rFonts w:ascii="Times New Roman" w:hAnsi="Times New Roman"/>
          <w:bCs/>
        </w:rPr>
      </w:pPr>
      <w:r>
        <w:rPr>
          <w:rFonts w:ascii="Times New Roman" w:hAnsi="Times New Roman"/>
          <w:bCs/>
          <w:lang w:eastAsia="zh-CN"/>
        </w:rPr>
        <w:t xml:space="preserve">проявление уважительного отношения к сверстникам, культуры общения и взаимодействия в достижении общих целей при совместной деятельности </w:t>
      </w:r>
      <w:r>
        <w:rPr>
          <w:rFonts w:ascii="Times New Roman" w:hAnsi="Times New Roman"/>
          <w:bCs/>
        </w:rPr>
        <w:t xml:space="preserve">в процессе занятий физической культурой, игровой и соревновательной деятельности по тэг-регби </w:t>
      </w:r>
      <w:r>
        <w:rPr>
          <w:rFonts w:ascii="Times New Roman" w:hAnsi="Times New Roman"/>
          <w:bCs/>
          <w:lang w:eastAsia="zh-CN"/>
        </w:rPr>
        <w:t>на принципах доброжелательности и взаимопомощи;</w:t>
      </w:r>
    </w:p>
    <w:p w14:paraId="644B76C1">
      <w:pPr>
        <w:suppressAutoHyphens/>
        <w:autoSpaceDE w:val="0"/>
        <w:autoSpaceDN w:val="0"/>
        <w:adjustRightInd w:val="0"/>
        <w:spacing w:after="0" w:line="360" w:lineRule="auto"/>
        <w:ind w:firstLine="709"/>
        <w:jc w:val="both"/>
        <w:rPr>
          <w:rFonts w:ascii="Times New Roman" w:hAnsi="Times New Roman" w:eastAsia="HiddenHorzOCR"/>
          <w:bCs/>
          <w:lang w:eastAsia="zh-CN"/>
        </w:rPr>
      </w:pPr>
      <w:r>
        <w:rPr>
          <w:rFonts w:ascii="Times New Roman" w:hAnsi="Times New Roman"/>
          <w:bCs/>
          <w:lang w:eastAsia="zh-CN"/>
        </w:rPr>
        <w:t>проявление положительных качеств личности и управление своими эмоциями в различных (нестандартных) ситуациях и условиях,</w:t>
      </w:r>
      <w:r>
        <w:rPr>
          <w:rFonts w:ascii="Times New Roman" w:hAnsi="Times New Roman" w:eastAsia="HiddenHorzOCR"/>
          <w:bCs/>
          <w:lang w:eastAsia="zh-CN"/>
        </w:rPr>
        <w:t xml:space="preserve"> умение не создавать конфликтов и находить выходы из спорных ситуаций;</w:t>
      </w:r>
    </w:p>
    <w:p w14:paraId="11C81B7C">
      <w:pPr>
        <w:suppressAutoHyphens/>
        <w:autoSpaceDE w:val="0"/>
        <w:autoSpaceDN w:val="0"/>
        <w:adjustRightInd w:val="0"/>
        <w:spacing w:after="0" w:line="360" w:lineRule="auto"/>
        <w:ind w:firstLine="709"/>
        <w:jc w:val="both"/>
        <w:rPr>
          <w:rFonts w:ascii="Times New Roman" w:hAnsi="Times New Roman" w:eastAsia="HiddenHorzOCR"/>
          <w:bCs/>
          <w:lang w:eastAsia="zh-CN"/>
        </w:rPr>
      </w:pPr>
      <w:r>
        <w:rPr>
          <w:rFonts w:ascii="Times New Roman" w:hAnsi="Times New Roman"/>
          <w:bCs/>
          <w:lang w:eastAsia="zh-CN"/>
        </w:rPr>
        <w:t>осознание значимости ценностей регби: единство, солидарность, уважение, дисциплина</w:t>
      </w:r>
      <w:r>
        <w:rPr>
          <w:rFonts w:ascii="Times New Roman" w:hAnsi="Times New Roman" w:eastAsia="HiddenHorzOCR"/>
          <w:bCs/>
          <w:lang w:eastAsia="zh-CN"/>
        </w:rPr>
        <w:t xml:space="preserve">, </w:t>
      </w:r>
      <w:r>
        <w:rPr>
          <w:rFonts w:ascii="Times New Roman" w:hAnsi="Times New Roman"/>
          <w:bCs/>
          <w:lang w:eastAsia="zh-CN"/>
        </w:rPr>
        <w:t>трудолюбие и упорство в достижении поставленных целей н</w:t>
      </w:r>
      <w:r>
        <w:rPr>
          <w:rFonts w:ascii="Times New Roman" w:hAnsi="Times New Roman" w:eastAsia="HiddenHorzOCR"/>
          <w:bCs/>
          <w:lang w:eastAsia="zh-CN"/>
        </w:rPr>
        <w:t>а основе представлений о нравственных нормах, социальной справедливости и свободе;</w:t>
      </w:r>
    </w:p>
    <w:p w14:paraId="28C903E6">
      <w:pPr>
        <w:suppressAutoHyphens/>
        <w:autoSpaceDE w:val="0"/>
        <w:autoSpaceDN w:val="0"/>
        <w:adjustRightInd w:val="0"/>
        <w:spacing w:after="0" w:line="360" w:lineRule="auto"/>
        <w:ind w:firstLine="709"/>
        <w:jc w:val="both"/>
        <w:rPr>
          <w:rFonts w:ascii="Times New Roman" w:hAnsi="Times New Roman" w:eastAsia="HiddenHorzOCR"/>
          <w:bCs/>
          <w:lang w:eastAsia="zh-CN"/>
        </w:rPr>
      </w:pPr>
      <w:r>
        <w:rPr>
          <w:rFonts w:ascii="Times New Roman" w:hAnsi="Times New Roman"/>
          <w:bCs/>
          <w:lang w:eastAsia="zh-CN"/>
        </w:rPr>
        <w:t>способность самостоятельного принятия решений и командного игрового взаимодействия;</w:t>
      </w:r>
    </w:p>
    <w:p w14:paraId="7DC17C49">
      <w:pPr>
        <w:suppressAutoHyphens/>
        <w:autoSpaceDE w:val="0"/>
        <w:autoSpaceDN w:val="0"/>
        <w:adjustRightInd w:val="0"/>
        <w:spacing w:after="0" w:line="360" w:lineRule="auto"/>
        <w:ind w:firstLine="709"/>
        <w:jc w:val="both"/>
        <w:rPr>
          <w:rFonts w:ascii="Times New Roman" w:hAnsi="Times New Roman" w:eastAsia="HiddenHorzOCR"/>
          <w:bCs/>
          <w:lang w:eastAsia="zh-CN"/>
        </w:rPr>
      </w:pPr>
      <w:r>
        <w:rPr>
          <w:rFonts w:ascii="Times New Roman" w:hAnsi="Times New Roman"/>
          <w:bCs/>
          <w:lang w:eastAsia="zh-CN"/>
        </w:rPr>
        <w:t>способность</w:t>
      </w:r>
      <w:r>
        <w:rPr>
          <w:rFonts w:ascii="Times New Roman" w:hAnsi="Times New Roman" w:eastAsia="HiddenHorzOCR"/>
          <w:bCs/>
          <w:lang w:eastAsia="zh-CN"/>
        </w:rPr>
        <w:t xml:space="preserve"> принимать и осваивать социальную роль обучающегося, развитие мотивов учебной деятельности, </w:t>
      </w:r>
      <w:r>
        <w:rPr>
          <w:rFonts w:ascii="Times New Roman" w:hAnsi="Times New Roman" w:eastAsia="@Arial Unicode MS"/>
          <w:bCs/>
          <w:lang w:eastAsia="zh-CN"/>
        </w:rPr>
        <w:t xml:space="preserve">стремление к познанию и творчеству, </w:t>
      </w:r>
      <w:r>
        <w:rPr>
          <w:rFonts w:ascii="Times New Roman" w:hAnsi="Times New Roman" w:eastAsia="HiddenHorzOCR"/>
          <w:bCs/>
          <w:lang w:eastAsia="zh-CN"/>
        </w:rPr>
        <w:t>эстетическим потребностям;</w:t>
      </w:r>
    </w:p>
    <w:p w14:paraId="53BAA17A">
      <w:pPr>
        <w:pBdr>
          <w:top w:val="none" w:color="000000" w:sz="0" w:space="0"/>
          <w:left w:val="none" w:color="000000" w:sz="0" w:space="0"/>
          <w:bottom w:val="none" w:color="000000" w:sz="0" w:space="0"/>
          <w:right w:val="none" w:color="000000" w:sz="0" w:space="0"/>
        </w:pBdr>
        <w:suppressAutoHyphens/>
        <w:spacing w:after="0" w:line="360" w:lineRule="auto"/>
        <w:ind w:firstLine="709"/>
        <w:jc w:val="both"/>
        <w:rPr>
          <w:rFonts w:ascii="Times New Roman" w:hAnsi="Times New Roman"/>
          <w:bCs/>
          <w:lang w:eastAsia="zh-CN"/>
        </w:rPr>
      </w:pPr>
      <w:r>
        <w:rPr>
          <w:rFonts w:ascii="Times New Roman" w:hAnsi="Times New Roman"/>
          <w:bCs/>
          <w:lang w:eastAsia="zh-CN"/>
        </w:rPr>
        <w:t>оказание бескорыстной помощи своим сверстникам, нахождение с ними общего языка и общих интересов;</w:t>
      </w:r>
    </w:p>
    <w:p w14:paraId="46750457">
      <w:pPr>
        <w:pBdr>
          <w:top w:val="none" w:color="000000" w:sz="0" w:space="0"/>
          <w:left w:val="none" w:color="000000" w:sz="0" w:space="0"/>
          <w:bottom w:val="none" w:color="000000" w:sz="0" w:space="0"/>
          <w:right w:val="none" w:color="000000" w:sz="0" w:space="0"/>
        </w:pBdr>
        <w:suppressAutoHyphens/>
        <w:spacing w:after="0" w:line="360" w:lineRule="auto"/>
        <w:ind w:firstLine="709"/>
        <w:jc w:val="both"/>
        <w:rPr>
          <w:rFonts w:ascii="Times New Roman" w:hAnsi="Times New Roman"/>
          <w:bCs/>
          <w:lang w:eastAsia="zh-CN"/>
        </w:rPr>
      </w:pPr>
      <w:r>
        <w:rPr>
          <w:rFonts w:ascii="Times New Roman" w:hAnsi="Times New Roman"/>
          <w:bCs/>
          <w:lang w:eastAsia="zh-CN"/>
        </w:rPr>
        <w:t>п</w:t>
      </w:r>
      <w:r>
        <w:rPr>
          <w:rFonts w:ascii="Times New Roman" w:hAnsi="Times New Roman" w:eastAsia="HiddenHorzOCR"/>
          <w:bCs/>
          <w:lang w:eastAsia="zh-CN"/>
        </w:rPr>
        <w:t>онимание установки на безопасный, здоровый образ жизни, наличие мотивации к творческому труду, работе на результат, бережному отношению к материальным и духовным ценностям.</w:t>
      </w:r>
    </w:p>
    <w:p w14:paraId="657069FC">
      <w:pPr>
        <w:pBdr>
          <w:top w:val="none" w:color="000000" w:sz="0" w:space="0"/>
          <w:left w:val="none" w:color="000000" w:sz="0" w:space="0"/>
          <w:bottom w:val="none" w:color="000000" w:sz="0" w:space="0"/>
          <w:right w:val="none" w:color="000000" w:sz="0" w:space="0"/>
        </w:pBdr>
        <w:suppressAutoHyphens/>
        <w:spacing w:after="0" w:line="360" w:lineRule="auto"/>
        <w:ind w:firstLine="709"/>
        <w:jc w:val="both"/>
        <w:rPr>
          <w:rFonts w:ascii="Times New Roman" w:hAnsi="Times New Roman"/>
          <w:bCs/>
          <w:lang w:eastAsia="zh-CN"/>
        </w:rPr>
      </w:pPr>
      <w:r>
        <w:rPr>
          <w:rFonts w:ascii="Times New Roman" w:hAnsi="Times New Roman" w:eastAsia="Times New Roman"/>
          <w:bCs/>
          <w:lang w:eastAsia="zh-CN"/>
        </w:rPr>
        <w:t>16.4.</w:t>
      </w:r>
      <w:r>
        <w:rPr>
          <w:rFonts w:ascii="Times New Roman" w:hAnsi="Times New Roman"/>
          <w:bCs/>
          <w:lang w:eastAsia="zh-CN"/>
        </w:rPr>
        <w:t>4.7.2. При изучении модуля «Тэг-регби» на уровне начального общего образования у обучающихся будут сформированы следующие метапредметные результаты:</w:t>
      </w:r>
    </w:p>
    <w:p w14:paraId="30433711">
      <w:pPr>
        <w:spacing w:after="0" w:line="360" w:lineRule="auto"/>
        <w:ind w:firstLine="709"/>
        <w:jc w:val="both"/>
        <w:rPr>
          <w:rFonts w:ascii="Times New Roman" w:hAnsi="Times New Roman"/>
          <w:bCs/>
        </w:rPr>
      </w:pPr>
      <w:r>
        <w:rPr>
          <w:rFonts w:ascii="Times New Roman" w:hAnsi="Times New Roman"/>
          <w:bCs/>
        </w:rPr>
        <w:t>восприятие тэг-регби как средства организации здорового образа жизни, профилактики вредных привычек и ассоциального поведения;</w:t>
      </w:r>
    </w:p>
    <w:p w14:paraId="144B3F9F">
      <w:pPr>
        <w:spacing w:after="0" w:line="360" w:lineRule="auto"/>
        <w:ind w:firstLine="709"/>
        <w:jc w:val="both"/>
        <w:rPr>
          <w:rFonts w:ascii="Times New Roman" w:hAnsi="Times New Roman"/>
          <w:bCs/>
        </w:rPr>
      </w:pPr>
      <w:r>
        <w:rPr>
          <w:rFonts w:ascii="Times New Roman" w:hAnsi="Times New Roman"/>
          <w:bCs/>
        </w:rPr>
        <w:t>бережное отношение к собственному здоровью и здоровью окружающих, проявление доброжелательности и отзывчивости к людям, имеющим ограниченные возможности и нарушения в состоянии здоровья;</w:t>
      </w:r>
    </w:p>
    <w:p w14:paraId="071171AC">
      <w:pPr>
        <w:spacing w:after="0" w:line="360" w:lineRule="auto"/>
        <w:ind w:firstLine="709"/>
        <w:jc w:val="both"/>
        <w:rPr>
          <w:rFonts w:ascii="Times New Roman" w:hAnsi="Times New Roman"/>
          <w:bCs/>
        </w:rPr>
      </w:pPr>
      <w:r>
        <w:rPr>
          <w:rFonts w:ascii="Times New Roman" w:hAnsi="Times New Roman"/>
          <w:bCs/>
        </w:rPr>
        <w:t>добросовестное выполнение учебных заданий, осознанное стремление к освоению новых знаний и умений, качественно повышающих результативность выполнения заданий по тэг-регби;</w:t>
      </w:r>
    </w:p>
    <w:p w14:paraId="3A6C00F7">
      <w:pPr>
        <w:suppressAutoHyphens/>
        <w:autoSpaceDE w:val="0"/>
        <w:autoSpaceDN w:val="0"/>
        <w:adjustRightInd w:val="0"/>
        <w:spacing w:after="0" w:line="360" w:lineRule="auto"/>
        <w:ind w:firstLine="709"/>
        <w:jc w:val="both"/>
        <w:rPr>
          <w:rFonts w:ascii="Times New Roman" w:hAnsi="Times New Roman" w:eastAsia="HiddenHorzOCR"/>
          <w:bCs/>
          <w:lang w:eastAsia="zh-CN"/>
        </w:rPr>
      </w:pPr>
      <w:r>
        <w:rPr>
          <w:rFonts w:ascii="Times New Roman" w:hAnsi="Times New Roman" w:eastAsia="HiddenHorzOCR"/>
          <w:bCs/>
          <w:lang w:eastAsia="zh-CN"/>
        </w:rPr>
        <w:t>определение общей цели и путей ее достижения, умение договариваться о распределении функций в учебной, игровой и соревновательной деятельности, по тэг-регби;</w:t>
      </w:r>
    </w:p>
    <w:p w14:paraId="4D23B3A1">
      <w:pPr>
        <w:suppressAutoHyphens/>
        <w:autoSpaceDE w:val="0"/>
        <w:autoSpaceDN w:val="0"/>
        <w:adjustRightInd w:val="0"/>
        <w:spacing w:after="0" w:line="360" w:lineRule="auto"/>
        <w:ind w:firstLine="709"/>
        <w:jc w:val="both"/>
        <w:rPr>
          <w:rFonts w:ascii="Times New Roman" w:hAnsi="Times New Roman" w:eastAsia="HiddenHorzOCR"/>
          <w:bCs/>
          <w:lang w:eastAsia="zh-CN"/>
        </w:rPr>
      </w:pPr>
      <w:r>
        <w:rPr>
          <w:rFonts w:ascii="Times New Roman" w:hAnsi="Times New Roman" w:eastAsia="HiddenHorzOCR"/>
          <w:bCs/>
          <w:lang w:eastAsia="zh-CN"/>
        </w:rPr>
        <w:t xml:space="preserve">умение планировать, контролировать и оценивать учебные действия, </w:t>
      </w:r>
      <w:r>
        <w:rPr>
          <w:rFonts w:ascii="Times New Roman" w:hAnsi="Times New Roman"/>
          <w:bCs/>
          <w:lang w:eastAsia="zh-CN"/>
        </w:rPr>
        <w:t xml:space="preserve">собственную деятельность, </w:t>
      </w:r>
      <w:r>
        <w:rPr>
          <w:rFonts w:ascii="Times New Roman" w:hAnsi="Times New Roman" w:eastAsia="HiddenHorzOCR"/>
          <w:bCs/>
          <w:lang w:eastAsia="zh-CN"/>
        </w:rPr>
        <w:t xml:space="preserve">определять наиболее эффективные способы достижения результата </w:t>
      </w:r>
      <w:r>
        <w:rPr>
          <w:rFonts w:ascii="Times New Roman" w:hAnsi="Times New Roman"/>
          <w:bCs/>
        </w:rPr>
        <w:t>в учебной и игровой деятельности</w:t>
      </w:r>
      <w:r>
        <w:rPr>
          <w:rFonts w:ascii="Times New Roman" w:hAnsi="Times New Roman" w:eastAsia="HiddenHorzOCR"/>
          <w:bCs/>
          <w:lang w:eastAsia="zh-CN"/>
        </w:rPr>
        <w:t>;</w:t>
      </w:r>
    </w:p>
    <w:p w14:paraId="4F7703AA">
      <w:pPr>
        <w:suppressAutoHyphens/>
        <w:autoSpaceDE w:val="0"/>
        <w:autoSpaceDN w:val="0"/>
        <w:adjustRightInd w:val="0"/>
        <w:spacing w:after="0" w:line="360" w:lineRule="auto"/>
        <w:ind w:firstLine="709"/>
        <w:jc w:val="both"/>
        <w:rPr>
          <w:rFonts w:ascii="Times New Roman" w:hAnsi="Times New Roman" w:eastAsia="HiddenHorzOCR"/>
          <w:bCs/>
          <w:lang w:eastAsia="zh-CN"/>
        </w:rPr>
      </w:pPr>
      <w:r>
        <w:rPr>
          <w:rFonts w:ascii="Times New Roman" w:hAnsi="Times New Roman"/>
          <w:bCs/>
          <w:lang w:eastAsia="zh-CN"/>
        </w:rPr>
        <w:t>способность организации самостоятельной деятельности с учетом требований ее безопасности, сохранности инвентаря и оборудования, организации места занятий.</w:t>
      </w:r>
    </w:p>
    <w:p w14:paraId="5530C0C3">
      <w:pPr>
        <w:pBdr>
          <w:top w:val="none" w:color="000000" w:sz="0" w:space="0"/>
          <w:left w:val="none" w:color="000000" w:sz="0" w:space="0"/>
          <w:bottom w:val="none" w:color="000000" w:sz="0" w:space="0"/>
          <w:right w:val="none" w:color="000000" w:sz="0" w:space="0"/>
        </w:pBdr>
        <w:suppressAutoHyphens/>
        <w:spacing w:after="0" w:line="360" w:lineRule="auto"/>
        <w:ind w:firstLine="709"/>
        <w:jc w:val="both"/>
        <w:rPr>
          <w:rFonts w:ascii="Times New Roman" w:hAnsi="Times New Roman"/>
          <w:bCs/>
          <w:lang w:eastAsia="zh-CN"/>
        </w:rPr>
      </w:pPr>
      <w:r>
        <w:rPr>
          <w:rFonts w:ascii="Times New Roman" w:hAnsi="Times New Roman" w:eastAsia="Times New Roman"/>
          <w:bCs/>
          <w:lang w:eastAsia="zh-CN"/>
        </w:rPr>
        <w:t>16.4.</w:t>
      </w:r>
      <w:r>
        <w:rPr>
          <w:rFonts w:ascii="Times New Roman" w:hAnsi="Times New Roman"/>
          <w:bCs/>
          <w:lang w:eastAsia="zh-CN"/>
        </w:rPr>
        <w:t>4.7.3. При изучении модуля «Тэг-регби» на уровне начального общего образования у обучающихся будут сформированы следующие предметные результаты:</w:t>
      </w:r>
    </w:p>
    <w:p w14:paraId="68ABECAC">
      <w:pPr>
        <w:spacing w:after="0" w:line="360" w:lineRule="auto"/>
        <w:ind w:firstLine="709"/>
        <w:jc w:val="both"/>
        <w:rPr>
          <w:rFonts w:ascii="Times New Roman" w:hAnsi="Times New Roman"/>
          <w:bCs/>
        </w:rPr>
      </w:pPr>
      <w:r>
        <w:rPr>
          <w:rFonts w:ascii="Times New Roman" w:hAnsi="Times New Roman"/>
          <w:bCs/>
        </w:rPr>
        <w:t>знания истории и развития регби, положительного их влияния на укрепление мира и дружбы между народами;</w:t>
      </w:r>
    </w:p>
    <w:p w14:paraId="6A7A8156">
      <w:pPr>
        <w:suppressAutoHyphens/>
        <w:spacing w:after="0" w:line="360" w:lineRule="auto"/>
        <w:ind w:firstLine="709"/>
        <w:contextualSpacing/>
        <w:jc w:val="both"/>
        <w:rPr>
          <w:rFonts w:ascii="Times New Roman" w:hAnsi="Times New Roman"/>
          <w:bCs/>
        </w:rPr>
      </w:pPr>
      <w:r>
        <w:rPr>
          <w:rFonts w:ascii="Times New Roman" w:hAnsi="Times New Roman"/>
          <w:bCs/>
          <w:lang w:eastAsia="zh-CN"/>
        </w:rPr>
        <w:t xml:space="preserve">понимание значения занятий тэг-регби как средства укрепления здоровья, закаливания, воспитания физических качеств человека </w:t>
      </w:r>
      <w:r>
        <w:rPr>
          <w:rFonts w:ascii="Times New Roman" w:hAnsi="Times New Roman"/>
          <w:bCs/>
        </w:rPr>
        <w:t>и профилактикой вредных привычек;</w:t>
      </w:r>
    </w:p>
    <w:p w14:paraId="2B3CE05C">
      <w:pPr>
        <w:spacing w:after="0" w:line="360" w:lineRule="auto"/>
        <w:ind w:firstLine="709"/>
        <w:jc w:val="both"/>
        <w:rPr>
          <w:rFonts w:ascii="Times New Roman" w:hAnsi="Times New Roman"/>
          <w:bCs/>
          <w:strike/>
        </w:rPr>
      </w:pPr>
      <w:r>
        <w:rPr>
          <w:rFonts w:ascii="Times New Roman" w:hAnsi="Times New Roman"/>
          <w:bCs/>
        </w:rPr>
        <w:t>способность организовывать самостоятельные занятия по формированию культуры движений, подбирать упражнения различной направленности;</w:t>
      </w:r>
    </w:p>
    <w:p w14:paraId="302FAFA7">
      <w:pPr>
        <w:spacing w:after="0" w:line="360" w:lineRule="auto"/>
        <w:ind w:firstLine="709"/>
        <w:jc w:val="both"/>
        <w:rPr>
          <w:rFonts w:ascii="Times New Roman" w:hAnsi="Times New Roman"/>
          <w:bCs/>
        </w:rPr>
      </w:pPr>
      <w:r>
        <w:rPr>
          <w:rFonts w:ascii="Times New Roman" w:hAnsi="Times New Roman"/>
          <w:bCs/>
        </w:rPr>
        <w:t>способность вести наблюдения за динамикой показателей физического развития, объективно оценивать их;</w:t>
      </w:r>
    </w:p>
    <w:p w14:paraId="56A4E0EE">
      <w:pPr>
        <w:spacing w:after="0" w:line="360" w:lineRule="auto"/>
        <w:ind w:firstLine="709"/>
        <w:jc w:val="both"/>
        <w:rPr>
          <w:rFonts w:ascii="Times New Roman" w:hAnsi="Times New Roman"/>
          <w:bCs/>
        </w:rPr>
      </w:pPr>
      <w:r>
        <w:rPr>
          <w:rFonts w:ascii="Times New Roman" w:hAnsi="Times New Roman"/>
          <w:bCs/>
        </w:rPr>
        <w:t>способность интересно и доступно излагать знания о физической культуре и тэг-регби, грамотно пользоваться понятийным аппаратом;</w:t>
      </w:r>
    </w:p>
    <w:p w14:paraId="04509737">
      <w:pPr>
        <w:spacing w:after="0" w:line="360" w:lineRule="auto"/>
        <w:ind w:firstLine="709"/>
        <w:jc w:val="both"/>
        <w:rPr>
          <w:rFonts w:ascii="Times New Roman" w:hAnsi="Times New Roman"/>
          <w:bCs/>
        </w:rPr>
      </w:pPr>
      <w:r>
        <w:rPr>
          <w:rFonts w:ascii="Times New Roman" w:hAnsi="Times New Roman"/>
          <w:bCs/>
        </w:rPr>
        <w:t>способность осуществлять судейство соревнований по тэг-регби, владеть информационными жестами судьи.</w:t>
      </w:r>
    </w:p>
    <w:p w14:paraId="29F3C2CC">
      <w:pPr>
        <w:spacing w:after="0" w:line="360" w:lineRule="auto"/>
        <w:ind w:firstLine="709"/>
        <w:jc w:val="both"/>
        <w:rPr>
          <w:rFonts w:ascii="Times New Roman" w:hAnsi="Times New Roman"/>
          <w:bCs/>
        </w:rPr>
      </w:pPr>
      <w:r>
        <w:rPr>
          <w:rFonts w:ascii="Times New Roman" w:hAnsi="Times New Roman"/>
          <w:bCs/>
        </w:rPr>
        <w:t>способность отбирать физические упражнения по их функциональной направленности, составлять из них индивидуальные комплексы для физической подготовки регбиста;</w:t>
      </w:r>
    </w:p>
    <w:p w14:paraId="4FD0D7D7">
      <w:pPr>
        <w:spacing w:after="0" w:line="360" w:lineRule="auto"/>
        <w:ind w:firstLine="709"/>
        <w:jc w:val="both"/>
        <w:rPr>
          <w:rFonts w:ascii="Times New Roman" w:hAnsi="Times New Roman"/>
          <w:bCs/>
        </w:rPr>
      </w:pPr>
      <w:r>
        <w:rPr>
          <w:rFonts w:ascii="Times New Roman" w:hAnsi="Times New Roman"/>
          <w:bCs/>
        </w:rPr>
        <w:t>умение выполнять физические упражнения для развития физических качеств, освоения технических действий в тэг-регби, применять их в игровой и соревновательной деятельности;</w:t>
      </w:r>
    </w:p>
    <w:p w14:paraId="63E79F93">
      <w:pPr>
        <w:suppressAutoHyphens/>
        <w:spacing w:after="0" w:line="360" w:lineRule="auto"/>
        <w:ind w:firstLine="709"/>
        <w:contextualSpacing/>
        <w:jc w:val="both"/>
        <w:rPr>
          <w:rFonts w:ascii="Times New Roman" w:hAnsi="Times New Roman"/>
          <w:bCs/>
          <w:lang w:eastAsia="zh-CN"/>
        </w:rPr>
      </w:pPr>
      <w:r>
        <w:rPr>
          <w:rFonts w:ascii="Times New Roman" w:hAnsi="Times New Roman" w:eastAsia="Times New Roman"/>
          <w:bCs/>
          <w:lang w:eastAsia="zh-CN"/>
        </w:rPr>
        <w:t>приобретение навыков</w:t>
      </w:r>
      <w:r>
        <w:rPr>
          <w:rFonts w:ascii="Times New Roman" w:hAnsi="Times New Roman"/>
          <w:bCs/>
          <w:lang w:eastAsia="zh-CN"/>
        </w:rPr>
        <w:t xml:space="preserve"> безопасного поведения во время занятий тэг-регби, правил личной гигиены, знание требований к спортивной одежде и обуви, спортивному инвентарю регбиста;</w:t>
      </w:r>
    </w:p>
    <w:p w14:paraId="4045718A">
      <w:pPr>
        <w:spacing w:after="0" w:line="360" w:lineRule="auto"/>
        <w:ind w:firstLine="709"/>
        <w:jc w:val="both"/>
        <w:rPr>
          <w:rFonts w:ascii="Times New Roman" w:hAnsi="Times New Roman"/>
          <w:bCs/>
        </w:rPr>
      </w:pPr>
      <w:r>
        <w:rPr>
          <w:rFonts w:ascii="Times New Roman" w:hAnsi="Times New Roman"/>
          <w:bCs/>
        </w:rPr>
        <w:t>способность проводить самостоятельные занятия по освоению новых двигательных действий и развитию основных физических качеств, контролировать и анализировать эффективность этих занятий.</w:t>
      </w:r>
    </w:p>
    <w:p w14:paraId="5AD43959">
      <w:pPr>
        <w:suppressAutoHyphens/>
        <w:spacing w:after="0" w:line="360" w:lineRule="auto"/>
        <w:ind w:firstLine="709"/>
        <w:contextualSpacing/>
        <w:jc w:val="both"/>
        <w:rPr>
          <w:rFonts w:ascii="Times New Roman" w:hAnsi="Times New Roman"/>
          <w:bCs/>
          <w:lang w:eastAsia="zh-CN"/>
        </w:rPr>
      </w:pPr>
      <w:r>
        <w:rPr>
          <w:rFonts w:ascii="Times New Roman" w:hAnsi="Times New Roman" w:eastAsia="Times New Roman"/>
          <w:bCs/>
          <w:lang w:eastAsia="zh-CN"/>
        </w:rPr>
        <w:t xml:space="preserve">знание основ организации самостоятельных занятий тэг-регби со сверстниками, </w:t>
      </w:r>
      <w:r>
        <w:rPr>
          <w:rFonts w:ascii="Times New Roman" w:hAnsi="Times New Roman"/>
          <w:bCs/>
          <w:lang w:eastAsia="zh-CN"/>
        </w:rPr>
        <w:t>организации и проведения со сверстниками подвижных игр средствами тэг-регби;</w:t>
      </w:r>
    </w:p>
    <w:p w14:paraId="57C6E2C9">
      <w:pPr>
        <w:spacing w:after="0" w:line="360" w:lineRule="auto"/>
        <w:ind w:firstLine="709"/>
        <w:jc w:val="both"/>
        <w:rPr>
          <w:rFonts w:ascii="Times New Roman" w:hAnsi="Times New Roman"/>
          <w:bCs/>
        </w:rPr>
      </w:pPr>
      <w:r>
        <w:rPr>
          <w:rFonts w:ascii="Times New Roman" w:hAnsi="Times New Roman"/>
          <w:bCs/>
        </w:rPr>
        <w:t>умение максимально проявлять физические способности (качества) при выполнении тестовых упражнений уровня физической подготовленности в тэг-регби.</w:t>
      </w:r>
    </w:p>
    <w:p w14:paraId="59D91444">
      <w:pPr>
        <w:pBdr>
          <w:top w:val="none" w:color="000000" w:sz="0" w:space="0"/>
          <w:left w:val="none" w:color="000000" w:sz="0" w:space="0"/>
          <w:bottom w:val="none" w:color="000000" w:sz="0" w:space="0"/>
          <w:right w:val="none" w:color="000000" w:sz="0" w:space="0"/>
        </w:pBdr>
        <w:suppressAutoHyphens/>
        <w:spacing w:after="0" w:line="360" w:lineRule="auto"/>
        <w:ind w:firstLine="709"/>
        <w:jc w:val="both"/>
        <w:rPr>
          <w:rFonts w:ascii="Times New Roman" w:hAnsi="Times New Roman"/>
          <w:lang w:eastAsia="zh-CN"/>
        </w:rPr>
      </w:pPr>
      <w:r>
        <w:rPr>
          <w:rFonts w:ascii="Times New Roman" w:hAnsi="Times New Roman" w:eastAsia="Times New Roman"/>
          <w:bCs/>
          <w:lang w:eastAsia="zh-CN"/>
        </w:rPr>
        <w:t>16.4.</w:t>
      </w:r>
      <w:r>
        <w:rPr>
          <w:rFonts w:ascii="Times New Roman" w:hAnsi="Times New Roman" w:eastAsia="Times New Roman"/>
          <w:lang w:eastAsia="zh-CN"/>
        </w:rPr>
        <w:t>5. М</w:t>
      </w:r>
      <w:r>
        <w:rPr>
          <w:rFonts w:ascii="Times New Roman" w:hAnsi="Times New Roman"/>
          <w:lang w:eastAsia="zh-CN"/>
        </w:rPr>
        <w:t>одуль «Плавание».</w:t>
      </w:r>
    </w:p>
    <w:p w14:paraId="34B83A82">
      <w:pPr>
        <w:pBdr>
          <w:top w:val="none" w:color="000000" w:sz="0" w:space="0"/>
          <w:left w:val="none" w:color="000000" w:sz="0" w:space="0"/>
          <w:bottom w:val="none" w:color="000000" w:sz="0" w:space="0"/>
          <w:right w:val="none" w:color="000000" w:sz="0" w:space="0"/>
        </w:pBdr>
        <w:suppressAutoHyphens/>
        <w:spacing w:after="0" w:line="360" w:lineRule="auto"/>
        <w:ind w:firstLine="709"/>
        <w:jc w:val="both"/>
        <w:rPr>
          <w:rFonts w:ascii="Times New Roman" w:hAnsi="Times New Roman"/>
          <w:lang w:eastAsia="zh-CN"/>
        </w:rPr>
      </w:pPr>
      <w:r>
        <w:rPr>
          <w:rFonts w:ascii="Times New Roman" w:hAnsi="Times New Roman" w:eastAsia="Times New Roman"/>
          <w:bCs/>
          <w:lang w:eastAsia="zh-CN"/>
        </w:rPr>
        <w:t>16.4.</w:t>
      </w:r>
      <w:r>
        <w:rPr>
          <w:rFonts w:ascii="Times New Roman" w:hAnsi="Times New Roman"/>
          <w:lang w:eastAsia="zh-CN"/>
        </w:rPr>
        <w:t>5.1. </w:t>
      </w:r>
      <w:r>
        <w:rPr>
          <w:rFonts w:ascii="Times New Roman" w:hAnsi="Times New Roman" w:eastAsia="Times New Roman"/>
          <w:lang w:eastAsia="ar-SA"/>
        </w:rPr>
        <w:t xml:space="preserve">Пояснительная записка </w:t>
      </w:r>
      <w:r>
        <w:rPr>
          <w:rFonts w:ascii="Times New Roman" w:hAnsi="Times New Roman"/>
          <w:lang w:eastAsia="zh-CN"/>
        </w:rPr>
        <w:t>модуля «Плавание».</w:t>
      </w:r>
    </w:p>
    <w:p w14:paraId="20C73261">
      <w:pPr>
        <w:pBdr>
          <w:top w:val="none" w:color="000000" w:sz="0" w:space="0"/>
          <w:left w:val="none" w:color="000000" w:sz="0" w:space="0"/>
          <w:bottom w:val="none" w:color="000000" w:sz="0" w:space="0"/>
          <w:right w:val="none" w:color="000000" w:sz="0" w:space="0"/>
        </w:pBdr>
        <w:suppressAutoHyphens/>
        <w:spacing w:after="0" w:line="360" w:lineRule="auto"/>
        <w:ind w:firstLine="709"/>
        <w:jc w:val="both"/>
        <w:rPr>
          <w:rFonts w:ascii="Times New Roman" w:hAnsi="Times New Roman"/>
          <w:lang w:eastAsia="zh-CN"/>
        </w:rPr>
      </w:pPr>
      <w:r>
        <w:rPr>
          <w:rFonts w:ascii="Times New Roman" w:hAnsi="Times New Roman"/>
          <w:lang w:eastAsia="zh-CN"/>
        </w:rPr>
        <w:t xml:space="preserve">Модуль «Плавание» </w:t>
      </w:r>
      <w:r>
        <w:rPr>
          <w:rFonts w:ascii="Times New Roman" w:hAnsi="Times New Roman" w:eastAsia="Times New Roman"/>
          <w:lang w:eastAsia="ru-RU"/>
        </w:rPr>
        <w:t xml:space="preserve">(далее – модуль по плаванию, плавание) </w:t>
      </w:r>
      <w:r>
        <w:rPr>
          <w:rFonts w:ascii="Times New Roman" w:hAnsi="Times New Roman"/>
          <w:lang w:eastAsia="zh-CN"/>
        </w:rPr>
        <w:t>на уровне начального общего образования разработан для обучающихся 2 – 4 классов с целью оказания методической помощи учителю физической культуры в создании рабочей программы по учебному предмету «Физическая культура» с учётом современных тенденций в системе образования и использования спортивно-ориентированных форм, средств и методов обучения по различным видам спорта.</w:t>
      </w:r>
    </w:p>
    <w:p w14:paraId="63EDBAE9">
      <w:pPr>
        <w:pBdr>
          <w:top w:val="none" w:color="000000" w:sz="0" w:space="0"/>
          <w:left w:val="none" w:color="000000" w:sz="0" w:space="0"/>
          <w:bottom w:val="none" w:color="000000" w:sz="0" w:space="0"/>
          <w:right w:val="none" w:color="000000" w:sz="0" w:space="0"/>
        </w:pBdr>
        <w:suppressAutoHyphens/>
        <w:spacing w:after="0" w:line="360" w:lineRule="auto"/>
        <w:ind w:firstLine="709"/>
        <w:jc w:val="both"/>
        <w:rPr>
          <w:rFonts w:ascii="Times New Roman" w:hAnsi="Times New Roman"/>
          <w:lang w:eastAsia="zh-CN"/>
        </w:rPr>
      </w:pPr>
      <w:r>
        <w:rPr>
          <w:rFonts w:ascii="Times New Roman" w:hAnsi="Times New Roman"/>
          <w:lang w:eastAsia="zh-CN"/>
        </w:rPr>
        <w:t>Плавание является одним из универсальных средств физического воспитания. Занятия плаванием имеют большое оздоровительное, воспитательное и прикладное значение, так как умение плавать является жизненно необходимым навыком каждого человека и гарантирует сохранение жизни, обеспечивает безопасность и предотвращает несчастные случаи при нахождении его в водной среде.</w:t>
      </w:r>
    </w:p>
    <w:p w14:paraId="2F9440BB">
      <w:pPr>
        <w:pBdr>
          <w:top w:val="none" w:color="000000" w:sz="0" w:space="0"/>
          <w:left w:val="none" w:color="000000" w:sz="0" w:space="0"/>
          <w:bottom w:val="none" w:color="000000" w:sz="0" w:space="0"/>
          <w:right w:val="none" w:color="000000" w:sz="0" w:space="0"/>
        </w:pBdr>
        <w:shd w:val="clear" w:color="auto" w:fill="FFFFFF"/>
        <w:tabs>
          <w:tab w:val="left" w:pos="1620"/>
        </w:tabs>
        <w:suppressAutoHyphens/>
        <w:spacing w:after="0" w:line="360" w:lineRule="auto"/>
        <w:ind w:firstLine="709"/>
        <w:jc w:val="both"/>
        <w:rPr>
          <w:rFonts w:ascii="Times New Roman" w:hAnsi="Times New Roman" w:eastAsia="Times New Roman"/>
          <w:lang w:eastAsia="zh-CN"/>
        </w:rPr>
      </w:pPr>
      <w:r>
        <w:rPr>
          <w:rFonts w:ascii="Times New Roman" w:hAnsi="Times New Roman" w:eastAsia="Arial Unicode MS"/>
          <w:lang w:eastAsia="zh-CN"/>
        </w:rPr>
        <w:t xml:space="preserve">Средства плавания </w:t>
      </w:r>
      <w:r>
        <w:rPr>
          <w:rFonts w:ascii="Times New Roman" w:hAnsi="Times New Roman" w:eastAsia="Times New Roman"/>
          <w:lang w:eastAsia="zh-CN"/>
        </w:rPr>
        <w:t>способствуют гармоничному развитию и укреплению здоровья обучающихся,</w:t>
      </w:r>
      <w:r>
        <w:rPr>
          <w:rFonts w:ascii="Times New Roman" w:hAnsi="Times New Roman" w:eastAsia="Arial Unicode MS"/>
          <w:lang w:eastAsia="zh-CN"/>
        </w:rPr>
        <w:t>, комплексно влияют на органы и системы растущего организма, укрепляя и повышая их функциональный уровень</w:t>
      </w:r>
      <w:r>
        <w:rPr>
          <w:rFonts w:ascii="Times New Roman" w:hAnsi="Times New Roman" w:eastAsia="Times New Roman"/>
          <w:lang w:eastAsia="zh-CN"/>
        </w:rPr>
        <w:t>, а также являются важным средством закаливания.</w:t>
      </w:r>
    </w:p>
    <w:p w14:paraId="5034A8C5">
      <w:pPr>
        <w:pBdr>
          <w:top w:val="none" w:color="000000" w:sz="0" w:space="0"/>
          <w:left w:val="none" w:color="000000" w:sz="0" w:space="0"/>
          <w:bottom w:val="none" w:color="000000" w:sz="0" w:space="0"/>
          <w:right w:val="none" w:color="000000" w:sz="0" w:space="0"/>
        </w:pBdr>
        <w:suppressAutoHyphens/>
        <w:spacing w:after="0" w:line="360" w:lineRule="auto"/>
        <w:ind w:firstLine="709"/>
        <w:jc w:val="both"/>
        <w:rPr>
          <w:rFonts w:ascii="Times New Roman" w:hAnsi="Times New Roman"/>
          <w:lang w:eastAsia="zh-CN"/>
        </w:rPr>
      </w:pPr>
      <w:r>
        <w:rPr>
          <w:rFonts w:ascii="Times New Roman" w:hAnsi="Times New Roman"/>
          <w:lang w:eastAsia="zh-CN"/>
        </w:rPr>
        <w:t xml:space="preserve">При реализации модуля владение различными способами плавания обеспечивает у обучающихся развитие таких физических качеств, как </w:t>
      </w:r>
      <w:r>
        <w:rPr>
          <w:rFonts w:ascii="Times New Roman" w:hAnsi="Times New Roman" w:eastAsia="Arial Unicode MS"/>
          <w:lang w:eastAsia="zh-CN"/>
        </w:rPr>
        <w:t>быстрота, ловкость, гибкость, сила, выносливость.</w:t>
      </w:r>
    </w:p>
    <w:p w14:paraId="6A671486">
      <w:pPr>
        <w:pBdr>
          <w:top w:val="none" w:color="000000" w:sz="0" w:space="0"/>
          <w:left w:val="none" w:color="000000" w:sz="0" w:space="0"/>
          <w:bottom w:val="none" w:color="000000" w:sz="0" w:space="0"/>
          <w:right w:val="none" w:color="000000" w:sz="0" w:space="0"/>
        </w:pBdr>
        <w:shd w:val="clear" w:color="auto" w:fill="FFFFFF"/>
        <w:tabs>
          <w:tab w:val="left" w:pos="0"/>
        </w:tabs>
        <w:suppressAutoHyphens/>
        <w:spacing w:after="0" w:line="360" w:lineRule="auto"/>
        <w:ind w:firstLine="709"/>
        <w:jc w:val="both"/>
        <w:rPr>
          <w:rFonts w:ascii="Times New Roman" w:hAnsi="Times New Roman" w:eastAsia="Times New Roman"/>
          <w:lang w:eastAsia="zh-CN"/>
        </w:rPr>
      </w:pPr>
      <w:r>
        <w:rPr>
          <w:rFonts w:ascii="Times New Roman" w:hAnsi="Times New Roman" w:eastAsia="Times New Roman"/>
          <w:lang w:eastAsia="zh-CN"/>
        </w:rPr>
        <w:t>Систематические занятия плаванием развивают такие черты личности, как целеустремленность, настойчивость, самообладание, решительность, смелость, дисциплинированность, самостоятельность, приобретение эмоционального, психологического комфорта и залога безопасности жизни.</w:t>
      </w:r>
    </w:p>
    <w:p w14:paraId="7D283BF5">
      <w:pPr>
        <w:pBdr>
          <w:top w:val="none" w:color="000000" w:sz="0" w:space="0"/>
          <w:left w:val="none" w:color="000000" w:sz="0" w:space="0"/>
          <w:bottom w:val="none" w:color="000000" w:sz="0" w:space="0"/>
          <w:right w:val="none" w:color="000000" w:sz="0" w:space="0"/>
        </w:pBdr>
        <w:suppressAutoHyphens/>
        <w:spacing w:after="0" w:line="360" w:lineRule="auto"/>
        <w:ind w:firstLine="709"/>
        <w:jc w:val="both"/>
        <w:rPr>
          <w:rFonts w:ascii="Times New Roman" w:hAnsi="Times New Roman"/>
          <w:lang w:eastAsia="zh-CN"/>
        </w:rPr>
      </w:pPr>
      <w:r>
        <w:rPr>
          <w:rFonts w:ascii="Times New Roman" w:hAnsi="Times New Roman" w:eastAsia="Times New Roman"/>
          <w:bCs/>
          <w:lang w:eastAsia="zh-CN"/>
        </w:rPr>
        <w:t>16.4.</w:t>
      </w:r>
      <w:r>
        <w:rPr>
          <w:rFonts w:ascii="Times New Roman" w:hAnsi="Times New Roman"/>
          <w:lang w:eastAsia="zh-CN"/>
        </w:rPr>
        <w:t>5.2. Целью изучения модуля «Плавание» является обучение плаванию как базовому жизненно необходимому навыку, формирование у обучающихся общечеловеческой культуры и социального самоопределения, устойчивой мотивации к сохранению и укреплению собственного здоровья, ведению здорового и безопасного образа жизни через занятия физической культурой и спортом с использованием средств плавания.</w:t>
      </w:r>
    </w:p>
    <w:p w14:paraId="3DF8FA32">
      <w:pPr>
        <w:pBdr>
          <w:top w:val="none" w:color="000000" w:sz="0" w:space="0"/>
          <w:left w:val="none" w:color="000000" w:sz="0" w:space="0"/>
          <w:bottom w:val="none" w:color="000000" w:sz="0" w:space="0"/>
          <w:right w:val="none" w:color="000000" w:sz="0" w:space="0"/>
        </w:pBdr>
        <w:tabs>
          <w:tab w:val="left" w:pos="708"/>
        </w:tabs>
        <w:suppressAutoHyphens/>
        <w:spacing w:after="0" w:line="360" w:lineRule="auto"/>
        <w:ind w:firstLine="709"/>
        <w:jc w:val="both"/>
        <w:rPr>
          <w:rFonts w:ascii="Times New Roman" w:hAnsi="Times New Roman" w:eastAsia="Times New Roman"/>
          <w:lang w:eastAsia="zh-CN"/>
        </w:rPr>
      </w:pPr>
      <w:bookmarkStart w:id="275" w:name="_Hlk125552200"/>
      <w:r>
        <w:rPr>
          <w:rFonts w:ascii="Times New Roman" w:hAnsi="Times New Roman" w:eastAsia="Times New Roman"/>
          <w:bCs/>
          <w:lang w:eastAsia="zh-CN"/>
        </w:rPr>
        <w:t>16.4.</w:t>
      </w:r>
      <w:r>
        <w:rPr>
          <w:rFonts w:ascii="Times New Roman" w:hAnsi="Times New Roman" w:eastAsia="Times New Roman"/>
          <w:lang w:eastAsia="zh-CN"/>
        </w:rPr>
        <w:t xml:space="preserve">5.3. Задачами изучения модуля </w:t>
      </w:r>
      <w:r>
        <w:rPr>
          <w:rFonts w:ascii="Times New Roman" w:hAnsi="Times New Roman" w:eastAsia="Times New Roman"/>
          <w:lang w:eastAsia="ar-SA"/>
        </w:rPr>
        <w:t xml:space="preserve">«Плавание» </w:t>
      </w:r>
      <w:r>
        <w:rPr>
          <w:rFonts w:ascii="Times New Roman" w:hAnsi="Times New Roman" w:eastAsia="Times New Roman"/>
          <w:lang w:eastAsia="zh-CN"/>
        </w:rPr>
        <w:t>являются:</w:t>
      </w:r>
    </w:p>
    <w:bookmarkEnd w:id="275"/>
    <w:p w14:paraId="561AE42D">
      <w:pPr>
        <w:pBdr>
          <w:top w:val="none" w:color="000000" w:sz="0" w:space="0"/>
          <w:left w:val="none" w:color="000000" w:sz="0" w:space="0"/>
          <w:bottom w:val="none" w:color="000000" w:sz="0" w:space="0"/>
          <w:right w:val="none" w:color="000000" w:sz="0" w:space="0"/>
        </w:pBdr>
        <w:tabs>
          <w:tab w:val="left" w:pos="708"/>
        </w:tabs>
        <w:suppressAutoHyphens/>
        <w:spacing w:after="0" w:line="360" w:lineRule="auto"/>
        <w:ind w:firstLine="709"/>
        <w:jc w:val="both"/>
        <w:rPr>
          <w:rFonts w:ascii="Times New Roman" w:hAnsi="Times New Roman" w:eastAsia="Times New Roman"/>
          <w:b/>
          <w:bCs/>
          <w:lang w:eastAsia="zh-CN"/>
        </w:rPr>
      </w:pPr>
      <w:r>
        <w:rPr>
          <w:rFonts w:ascii="Times New Roman" w:hAnsi="Times New Roman" w:eastAsia="Times New Roman"/>
          <w:lang w:eastAsia="zh-CN"/>
        </w:rPr>
        <w:t>всестороннее гармоничное развитие обучающихся, увеличение объёма их двигательной активности;</w:t>
      </w:r>
    </w:p>
    <w:p w14:paraId="51CF1572">
      <w:pPr>
        <w:pBdr>
          <w:top w:val="none" w:color="000000" w:sz="0" w:space="0"/>
          <w:left w:val="none" w:color="000000" w:sz="0" w:space="0"/>
          <w:bottom w:val="none" w:color="000000" w:sz="0" w:space="0"/>
          <w:right w:val="none" w:color="000000" w:sz="0" w:space="0"/>
        </w:pBdr>
        <w:tabs>
          <w:tab w:val="left" w:pos="708"/>
        </w:tabs>
        <w:suppressAutoHyphens/>
        <w:spacing w:after="0" w:line="360" w:lineRule="auto"/>
        <w:ind w:firstLine="709"/>
        <w:jc w:val="both"/>
        <w:rPr>
          <w:rFonts w:ascii="Times New Roman" w:hAnsi="Times New Roman" w:eastAsia="Times New Roman"/>
          <w:lang w:eastAsia="zh-CN"/>
        </w:rPr>
      </w:pPr>
      <w:r>
        <w:rPr>
          <w:rFonts w:ascii="Times New Roman" w:hAnsi="Times New Roman" w:eastAsia="Times New Roman"/>
          <w:lang w:eastAsia="zh-CN"/>
        </w:rPr>
        <w:t xml:space="preserve">укрепление </w:t>
      </w:r>
      <w:r>
        <w:rPr>
          <w:rFonts w:ascii="Times New Roman" w:hAnsi="Times New Roman" w:eastAsia="@Arial Unicode MS"/>
          <w:lang w:eastAsia="zh-CN"/>
        </w:rPr>
        <w:t xml:space="preserve">физического, психологического и социального </w:t>
      </w:r>
      <w:r>
        <w:rPr>
          <w:rFonts w:ascii="Times New Roman" w:hAnsi="Times New Roman" w:eastAsia="Times New Roman"/>
          <w:lang w:eastAsia="zh-CN"/>
        </w:rPr>
        <w:t xml:space="preserve">здоровья обучающихся, развитие основных физических качеств и повышение функциональных возможностей их организма, </w:t>
      </w:r>
      <w:r>
        <w:rPr>
          <w:rFonts w:ascii="Times New Roman" w:hAnsi="Times New Roman" w:eastAsia="@Arial Unicode MS"/>
          <w:lang w:eastAsia="zh-CN"/>
        </w:rPr>
        <w:t xml:space="preserve">обеспечение культуры безопасного поведения </w:t>
      </w:r>
      <w:r>
        <w:rPr>
          <w:rFonts w:ascii="Times New Roman" w:hAnsi="Times New Roman" w:eastAsia="Times New Roman"/>
          <w:lang w:eastAsia="zh-CN"/>
        </w:rPr>
        <w:t>средствами плавания;</w:t>
      </w:r>
    </w:p>
    <w:p w14:paraId="3479B059">
      <w:pPr>
        <w:pBdr>
          <w:top w:val="none" w:color="000000" w:sz="0" w:space="0"/>
          <w:left w:val="none" w:color="000000" w:sz="0" w:space="0"/>
          <w:bottom w:val="none" w:color="000000" w:sz="0" w:space="0"/>
          <w:right w:val="none" w:color="000000" w:sz="0" w:space="0"/>
        </w:pBdr>
        <w:tabs>
          <w:tab w:val="left" w:pos="708"/>
        </w:tabs>
        <w:suppressAutoHyphens/>
        <w:spacing w:after="0" w:line="360" w:lineRule="auto"/>
        <w:ind w:firstLine="709"/>
        <w:jc w:val="both"/>
        <w:rPr>
          <w:rFonts w:ascii="Times New Roman" w:hAnsi="Times New Roman" w:eastAsia="Times New Roman"/>
          <w:lang w:eastAsia="zh-CN"/>
        </w:rPr>
      </w:pPr>
      <w:r>
        <w:rPr>
          <w:rFonts w:ascii="Times New Roman" w:hAnsi="Times New Roman" w:eastAsia="Times New Roman"/>
          <w:lang w:eastAsia="zh-CN"/>
        </w:rPr>
        <w:t>формирование жизненно важного навыка плавания и умения применять его в различных условиях;</w:t>
      </w:r>
    </w:p>
    <w:p w14:paraId="1CF1AFC6">
      <w:pPr>
        <w:pBdr>
          <w:top w:val="none" w:color="000000" w:sz="0" w:space="0"/>
          <w:left w:val="none" w:color="000000" w:sz="0" w:space="0"/>
          <w:bottom w:val="none" w:color="000000" w:sz="0" w:space="0"/>
          <w:right w:val="none" w:color="000000" w:sz="0" w:space="0"/>
        </w:pBdr>
        <w:tabs>
          <w:tab w:val="left" w:pos="708"/>
        </w:tabs>
        <w:suppressAutoHyphens/>
        <w:spacing w:after="0" w:line="360" w:lineRule="auto"/>
        <w:ind w:firstLine="709"/>
        <w:jc w:val="both"/>
        <w:rPr>
          <w:rFonts w:ascii="Times New Roman" w:hAnsi="Times New Roman" w:eastAsia="Times New Roman"/>
          <w:lang w:eastAsia="zh-CN"/>
        </w:rPr>
      </w:pPr>
      <w:r>
        <w:rPr>
          <w:rFonts w:ascii="Times New Roman" w:hAnsi="Times New Roman" w:eastAsia="Times New Roman"/>
          <w:lang w:eastAsia="zh-CN"/>
        </w:rPr>
        <w:t>формирование общих представлений о плавании, его возможностях и значении в процессе укрепления здоровья, физическом развитии и физической подготовке обучающихся;</w:t>
      </w:r>
    </w:p>
    <w:p w14:paraId="047560F5">
      <w:pPr>
        <w:pBdr>
          <w:top w:val="none" w:color="000000" w:sz="0" w:space="0"/>
          <w:left w:val="none" w:color="000000" w:sz="0" w:space="0"/>
          <w:bottom w:val="none" w:color="000000" w:sz="0" w:space="0"/>
          <w:right w:val="none" w:color="000000" w:sz="0" w:space="0"/>
        </w:pBdr>
        <w:tabs>
          <w:tab w:val="left" w:pos="708"/>
        </w:tabs>
        <w:suppressAutoHyphens/>
        <w:spacing w:after="0" w:line="360" w:lineRule="auto"/>
        <w:ind w:firstLine="709"/>
        <w:jc w:val="both"/>
        <w:rPr>
          <w:rFonts w:ascii="Times New Roman" w:hAnsi="Times New Roman" w:eastAsia="Times New Roman"/>
          <w:lang w:eastAsia="zh-CN"/>
        </w:rPr>
      </w:pPr>
      <w:r>
        <w:rPr>
          <w:rFonts w:ascii="Times New Roman" w:hAnsi="Times New Roman" w:eastAsia="Times New Roman"/>
          <w:lang w:eastAsia="zh-CN"/>
        </w:rPr>
        <w:t>обучение основам техники плавания, безопасному поведению на занятиях в бассейне, отдыхе у воды, в критических ситуациях;</w:t>
      </w:r>
    </w:p>
    <w:p w14:paraId="7A1FAC6D">
      <w:pPr>
        <w:pBdr>
          <w:top w:val="none" w:color="000000" w:sz="0" w:space="0"/>
          <w:left w:val="none" w:color="000000" w:sz="0" w:space="0"/>
          <w:bottom w:val="none" w:color="000000" w:sz="0" w:space="0"/>
          <w:right w:val="none" w:color="000000" w:sz="0" w:space="0"/>
        </w:pBdr>
        <w:tabs>
          <w:tab w:val="left" w:pos="708"/>
        </w:tabs>
        <w:suppressAutoHyphens/>
        <w:spacing w:after="0" w:line="360" w:lineRule="auto"/>
        <w:ind w:firstLine="709"/>
        <w:jc w:val="both"/>
        <w:rPr>
          <w:rFonts w:ascii="Times New Roman" w:hAnsi="Times New Roman" w:eastAsia="Times New Roman"/>
          <w:lang w:eastAsia="zh-CN"/>
        </w:rPr>
      </w:pPr>
      <w:r>
        <w:rPr>
          <w:rFonts w:ascii="Times New Roman" w:hAnsi="Times New Roman" w:eastAsia="Times New Roman"/>
          <w:lang w:eastAsia="zh-CN"/>
        </w:rPr>
        <w:t xml:space="preserve">формирование культуры движений, обогащение двигательного опыта средствами плавания с общеразвивающей и корригирующей направленностью; </w:t>
      </w:r>
    </w:p>
    <w:p w14:paraId="3FB8CF11">
      <w:pPr>
        <w:pBdr>
          <w:top w:val="none" w:color="000000" w:sz="0" w:space="0"/>
          <w:left w:val="none" w:color="000000" w:sz="0" w:space="0"/>
          <w:bottom w:val="none" w:color="000000" w:sz="0" w:space="0"/>
          <w:right w:val="none" w:color="000000" w:sz="0" w:space="0"/>
        </w:pBdr>
        <w:tabs>
          <w:tab w:val="left" w:pos="708"/>
        </w:tabs>
        <w:suppressAutoHyphens/>
        <w:spacing w:after="0" w:line="360" w:lineRule="auto"/>
        <w:ind w:firstLine="709"/>
        <w:jc w:val="both"/>
        <w:rPr>
          <w:rFonts w:ascii="Times New Roman" w:hAnsi="Times New Roman" w:eastAsia="Times New Roman"/>
          <w:lang w:eastAsia="zh-CN"/>
        </w:rPr>
      </w:pPr>
      <w:r>
        <w:rPr>
          <w:rFonts w:ascii="Times New Roman" w:hAnsi="Times New Roman" w:eastAsia="Times New Roman"/>
          <w:lang w:eastAsia="zh-CN"/>
        </w:rPr>
        <w:t>воспитание общей культуры развития личности обучающегося средствами плавания, в том числе, для самореализации и самоопределения;</w:t>
      </w:r>
    </w:p>
    <w:p w14:paraId="27469224">
      <w:pPr>
        <w:pBdr>
          <w:top w:val="none" w:color="000000" w:sz="0" w:space="0"/>
          <w:left w:val="none" w:color="000000" w:sz="0" w:space="0"/>
          <w:bottom w:val="none" w:color="000000" w:sz="0" w:space="0"/>
          <w:right w:val="none" w:color="000000" w:sz="0" w:space="0"/>
        </w:pBdr>
        <w:tabs>
          <w:tab w:val="left" w:pos="708"/>
        </w:tabs>
        <w:suppressAutoHyphens/>
        <w:spacing w:after="0" w:line="360" w:lineRule="auto"/>
        <w:ind w:firstLine="709"/>
        <w:jc w:val="both"/>
        <w:rPr>
          <w:rFonts w:ascii="Times New Roman" w:hAnsi="Times New Roman" w:eastAsia="Times New Roman"/>
          <w:lang w:eastAsia="zh-CN"/>
        </w:rPr>
      </w:pPr>
      <w:r>
        <w:rPr>
          <w:rFonts w:ascii="Times New Roman" w:hAnsi="Times New Roman" w:eastAsia="Times New Roman"/>
          <w:lang w:eastAsia="zh-CN"/>
        </w:rPr>
        <w:t>развитие положительной мотивации и устойчивого учебно- познавательного интереса к предмету «Физическая культура», удовлетворение индивидуальных потребностей обучающихся в занятиях физической культурой и спортом средствами плавания;</w:t>
      </w:r>
    </w:p>
    <w:p w14:paraId="2F367148">
      <w:pPr>
        <w:pBdr>
          <w:top w:val="none" w:color="000000" w:sz="0" w:space="0"/>
          <w:left w:val="none" w:color="000000" w:sz="0" w:space="0"/>
          <w:bottom w:val="none" w:color="000000" w:sz="0" w:space="0"/>
          <w:right w:val="none" w:color="000000" w:sz="0" w:space="0"/>
        </w:pBdr>
        <w:tabs>
          <w:tab w:val="left" w:pos="708"/>
        </w:tabs>
        <w:suppressAutoHyphens/>
        <w:spacing w:after="0" w:line="360" w:lineRule="auto"/>
        <w:ind w:firstLine="709"/>
        <w:jc w:val="both"/>
        <w:rPr>
          <w:rFonts w:ascii="Times New Roman" w:hAnsi="Times New Roman" w:eastAsia="Times New Roman"/>
          <w:lang w:eastAsia="zh-CN"/>
        </w:rPr>
      </w:pPr>
      <w:r>
        <w:rPr>
          <w:rFonts w:ascii="Times New Roman" w:hAnsi="Times New Roman" w:eastAsia="Times New Roman"/>
          <w:lang w:eastAsia="zh-CN"/>
        </w:rPr>
        <w:t>популяризация плавания в общеобразовательных организациях, привлечение обучающихся, проявляющих повышенный интерес и способности к занятиям плаванием в школьные спортивные клубы, секции, к участию в соревнованиях;</w:t>
      </w:r>
    </w:p>
    <w:p w14:paraId="08C17317">
      <w:pPr>
        <w:pBdr>
          <w:top w:val="none" w:color="000000" w:sz="0" w:space="0"/>
          <w:left w:val="none" w:color="000000" w:sz="0" w:space="0"/>
          <w:bottom w:val="none" w:color="000000" w:sz="0" w:space="0"/>
          <w:right w:val="none" w:color="000000" w:sz="0" w:space="0"/>
        </w:pBdr>
        <w:tabs>
          <w:tab w:val="left" w:pos="708"/>
        </w:tabs>
        <w:suppressAutoHyphens/>
        <w:spacing w:after="0" w:line="360" w:lineRule="auto"/>
        <w:ind w:firstLine="709"/>
        <w:jc w:val="both"/>
        <w:rPr>
          <w:rFonts w:ascii="Times New Roman" w:hAnsi="Times New Roman" w:eastAsia="Times New Roman"/>
          <w:lang w:eastAsia="zh-CN"/>
        </w:rPr>
      </w:pPr>
      <w:r>
        <w:rPr>
          <w:rFonts w:ascii="Times New Roman" w:hAnsi="Times New Roman" w:eastAsia="Times New Roman"/>
          <w:lang w:eastAsia="zh-CN"/>
        </w:rPr>
        <w:t>выявление, развитие и поддержка одарённых детей в области спорта.</w:t>
      </w:r>
    </w:p>
    <w:p w14:paraId="5F41413D">
      <w:pPr>
        <w:pBdr>
          <w:top w:val="none" w:color="000000" w:sz="0" w:space="0"/>
          <w:left w:val="none" w:color="000000" w:sz="0" w:space="0"/>
          <w:bottom w:val="none" w:color="000000" w:sz="0" w:space="0"/>
          <w:right w:val="none" w:color="000000" w:sz="0" w:space="0"/>
        </w:pBdr>
        <w:tabs>
          <w:tab w:val="left" w:pos="708"/>
        </w:tabs>
        <w:suppressAutoHyphens/>
        <w:spacing w:after="0" w:line="360" w:lineRule="auto"/>
        <w:ind w:firstLine="709"/>
        <w:jc w:val="both"/>
        <w:rPr>
          <w:rFonts w:ascii="Times New Roman" w:hAnsi="Times New Roman" w:eastAsia="Times New Roman"/>
          <w:lang w:eastAsia="zh-CN"/>
        </w:rPr>
      </w:pPr>
      <w:r>
        <w:rPr>
          <w:rFonts w:ascii="Times New Roman" w:hAnsi="Times New Roman" w:eastAsia="Times New Roman"/>
          <w:bCs/>
          <w:lang w:eastAsia="zh-CN"/>
        </w:rPr>
        <w:t>16.4.</w:t>
      </w:r>
      <w:r>
        <w:rPr>
          <w:rFonts w:ascii="Times New Roman" w:hAnsi="Times New Roman" w:eastAsia="Times New Roman"/>
          <w:lang w:eastAsia="zh-CN"/>
        </w:rPr>
        <w:t>5.4. Место и роль модуля «Плавание».</w:t>
      </w:r>
    </w:p>
    <w:p w14:paraId="1A75C2F1">
      <w:pPr>
        <w:pBdr>
          <w:top w:val="none" w:color="000000" w:sz="0" w:space="0"/>
          <w:left w:val="none" w:color="000000" w:sz="0" w:space="0"/>
          <w:bottom w:val="none" w:color="000000" w:sz="0" w:space="0"/>
          <w:right w:val="none" w:color="000000" w:sz="0" w:space="0"/>
        </w:pBdr>
        <w:suppressAutoHyphens/>
        <w:autoSpaceDE w:val="0"/>
        <w:spacing w:after="0" w:line="360" w:lineRule="auto"/>
        <w:ind w:firstLine="709"/>
        <w:jc w:val="both"/>
        <w:rPr>
          <w:rFonts w:ascii="Times New Roman" w:hAnsi="Times New Roman"/>
          <w:lang w:eastAsia="zh-CN"/>
        </w:rPr>
      </w:pPr>
      <w:bookmarkStart w:id="276" w:name="_Hlk125552241"/>
      <w:r>
        <w:rPr>
          <w:rFonts w:ascii="Times New Roman" w:hAnsi="Times New Roman"/>
          <w:lang w:eastAsia="zh-CN"/>
        </w:rPr>
        <w:t>Модуль «Плавание» доступен для освоения всем обучающимся, независимо от уровня их физического развития и гендерных особенностей, и расширяет спектр физкультурно-спортивных направлений в общеобразовательных организациях.</w:t>
      </w:r>
    </w:p>
    <w:p w14:paraId="7EF1D9E8">
      <w:pPr>
        <w:pBdr>
          <w:top w:val="none" w:color="000000" w:sz="0" w:space="0"/>
          <w:left w:val="none" w:color="000000" w:sz="0" w:space="0"/>
          <w:bottom w:val="none" w:color="000000" w:sz="0" w:space="0"/>
          <w:right w:val="none" w:color="000000" w:sz="0" w:space="0"/>
        </w:pBdr>
        <w:suppressAutoHyphens/>
        <w:autoSpaceDE w:val="0"/>
        <w:spacing w:after="0" w:line="360" w:lineRule="auto"/>
        <w:ind w:firstLine="709"/>
        <w:jc w:val="both"/>
        <w:rPr>
          <w:rFonts w:ascii="Times New Roman" w:hAnsi="Times New Roman"/>
          <w:lang w:eastAsia="ru-RU"/>
        </w:rPr>
      </w:pPr>
      <w:r>
        <w:rPr>
          <w:rFonts w:ascii="Times New Roman" w:hAnsi="Times New Roman"/>
          <w:u w:color="000000"/>
          <w:lang w:eastAsia="ru-RU"/>
        </w:rPr>
        <w:t xml:space="preserve">Интеграция модуля по плаванию поможет обучающимся в освоении содержательных компонентов и модулей по легкой атлетике, подвижным и спортивным играм, гимнастике, а также </w:t>
      </w:r>
      <w:r>
        <w:rPr>
          <w:rFonts w:ascii="Times New Roman" w:hAnsi="Times New Roman"/>
          <w:lang w:eastAsia="ru-RU"/>
        </w:rPr>
        <w:t xml:space="preserve">в освоении программ в рамках внеурочной деятельности, </w:t>
      </w:r>
      <w:r>
        <w:rPr>
          <w:rFonts w:ascii="Times New Roman" w:hAnsi="Times New Roman"/>
          <w:lang w:eastAsia="zh-CN"/>
        </w:rPr>
        <w:t xml:space="preserve">дополнительного образования физкультурно-спортивной направленности, </w:t>
      </w:r>
      <w:r>
        <w:rPr>
          <w:rFonts w:ascii="Times New Roman" w:hAnsi="Times New Roman"/>
          <w:lang w:eastAsia="ru-RU"/>
        </w:rPr>
        <w:t xml:space="preserve">деятельности школьных спортивных клубов, подготовке </w:t>
      </w:r>
      <w:r>
        <w:rPr>
          <w:rFonts w:ascii="Times New Roman" w:hAnsi="Times New Roman"/>
          <w:lang w:eastAsia="zh-CN"/>
        </w:rPr>
        <w:t xml:space="preserve">обучающихся к сдаче норм ГТО </w:t>
      </w:r>
      <w:r>
        <w:rPr>
          <w:rFonts w:ascii="Times New Roman" w:hAnsi="Times New Roman"/>
          <w:lang w:eastAsia="ru-RU"/>
        </w:rPr>
        <w:t>и участии в спортивных мероприятиях.</w:t>
      </w:r>
    </w:p>
    <w:bookmarkEnd w:id="276"/>
    <w:p w14:paraId="6BA154B5">
      <w:pPr>
        <w:pBdr>
          <w:top w:val="none" w:color="000000" w:sz="0" w:space="0"/>
          <w:left w:val="none" w:color="000000" w:sz="0" w:space="0"/>
          <w:bottom w:val="none" w:color="000000" w:sz="0" w:space="0"/>
          <w:right w:val="none" w:color="000000" w:sz="0" w:space="0"/>
        </w:pBdr>
        <w:shd w:val="clear" w:color="auto" w:fill="FFFFFF"/>
        <w:suppressAutoHyphens/>
        <w:spacing w:after="0" w:line="360" w:lineRule="auto"/>
        <w:ind w:firstLine="709"/>
        <w:jc w:val="both"/>
        <w:rPr>
          <w:rFonts w:ascii="Times New Roman" w:hAnsi="Times New Roman"/>
          <w:strike/>
          <w:lang w:eastAsia="zh-CN"/>
        </w:rPr>
      </w:pPr>
      <w:r>
        <w:rPr>
          <w:rFonts w:ascii="Times New Roman" w:hAnsi="Times New Roman"/>
          <w:spacing w:val="-2"/>
          <w:lang w:eastAsia="zh-CN"/>
        </w:rPr>
        <w:t xml:space="preserve">По итогам прохождения модуля по плаванию </w:t>
      </w:r>
      <w:r>
        <w:rPr>
          <w:rFonts w:ascii="Times New Roman" w:hAnsi="Times New Roman"/>
          <w:lang w:eastAsia="zh-CN"/>
        </w:rPr>
        <w:t xml:space="preserve">у обучающихся </w:t>
      </w:r>
      <w:r>
        <w:rPr>
          <w:rFonts w:ascii="Times New Roman" w:hAnsi="Times New Roman"/>
          <w:spacing w:val="-2"/>
          <w:lang w:eastAsia="zh-CN"/>
        </w:rPr>
        <w:t>возможно сф</w:t>
      </w:r>
      <w:r>
        <w:rPr>
          <w:rFonts w:ascii="Times New Roman" w:hAnsi="Times New Roman"/>
          <w:lang w:eastAsia="zh-CN"/>
        </w:rPr>
        <w:t xml:space="preserve">ормировать общие представления о плавании, навыки плавания и умения применять их в различных условиях, обучить основам техники различных способов плавания, а также безопасному поведению на занятиях в бассейне, на отдыхе у воды и в критических ситуациях. </w:t>
      </w:r>
    </w:p>
    <w:p w14:paraId="5CD72184">
      <w:pPr>
        <w:pBdr>
          <w:top w:val="none" w:color="000000" w:sz="0" w:space="0"/>
          <w:left w:val="none" w:color="000000" w:sz="0" w:space="0"/>
          <w:bottom w:val="none" w:color="000000" w:sz="0" w:space="0"/>
          <w:right w:val="none" w:color="000000" w:sz="0" w:space="0"/>
        </w:pBdr>
        <w:suppressAutoHyphens/>
        <w:spacing w:after="0" w:line="360" w:lineRule="auto"/>
        <w:ind w:firstLine="709"/>
        <w:jc w:val="both"/>
        <w:rPr>
          <w:rFonts w:ascii="Times New Roman" w:hAnsi="Times New Roman"/>
          <w:lang w:eastAsia="zh-CN"/>
        </w:rPr>
      </w:pPr>
      <w:r>
        <w:rPr>
          <w:rFonts w:ascii="Times New Roman" w:hAnsi="Times New Roman" w:eastAsia="Times New Roman"/>
          <w:bCs/>
          <w:lang w:eastAsia="zh-CN"/>
        </w:rPr>
        <w:t>16.4.</w:t>
      </w:r>
      <w:r>
        <w:rPr>
          <w:rFonts w:ascii="Times New Roman" w:hAnsi="Times New Roman"/>
          <w:lang w:eastAsia="zh-CN"/>
        </w:rPr>
        <w:t>5.5. Модуль «Плавание» может быть реализован в следующих вариантах:</w:t>
      </w:r>
    </w:p>
    <w:p w14:paraId="53C450DE">
      <w:pPr>
        <w:pBdr>
          <w:top w:val="none" w:color="000000" w:sz="0" w:space="0"/>
          <w:left w:val="none" w:color="000000" w:sz="0" w:space="0"/>
          <w:bottom w:val="none" w:color="000000" w:sz="0" w:space="0"/>
          <w:right w:val="none" w:color="000000" w:sz="0" w:space="0"/>
        </w:pBdr>
        <w:suppressAutoHyphens/>
        <w:spacing w:after="0" w:line="360" w:lineRule="auto"/>
        <w:ind w:firstLine="709"/>
        <w:jc w:val="both"/>
        <w:rPr>
          <w:rFonts w:ascii="Times New Roman" w:hAnsi="Times New Roman"/>
          <w:lang w:eastAsia="zh-CN"/>
        </w:rPr>
      </w:pPr>
      <w:r>
        <w:rPr>
          <w:rFonts w:ascii="Times New Roman" w:hAnsi="Times New Roman"/>
          <w:lang w:eastAsia="zh-CN"/>
        </w:rPr>
        <w:t>при самостоятельном планировании учителем физической культуры процесса освоения обучающимися учебного материала по плаванию с выбором различных элементов плавания, с учётом возраста и физической подготовленности обучающихся;</w:t>
      </w:r>
    </w:p>
    <w:p w14:paraId="4AF92C7F">
      <w:pPr>
        <w:suppressAutoHyphens/>
        <w:spacing w:after="0" w:line="360" w:lineRule="auto"/>
        <w:ind w:firstLine="709"/>
        <w:jc w:val="both"/>
        <w:rPr>
          <w:rFonts w:ascii="Times New Roman" w:hAnsi="Times New Roman"/>
          <w:lang w:eastAsia="zh-CN"/>
        </w:rPr>
      </w:pPr>
      <w:r>
        <w:rPr>
          <w:rFonts w:ascii="Times New Roman" w:hAnsi="Times New Roman"/>
          <w:lang w:eastAsia="zh-CN"/>
        </w:rPr>
        <w:t xml:space="preserve">в виде целостного последовательного учебного модуля, изучаемого за счёт части учебного плана, формируемой участниками образовательных отношений из перечня, предлагаемого образовательной организацией, включающей, в частности, учебные модули по выбору обучающихся, родителей (законных представителей) несовершеннолетних обучающихся, в том числе предусматривающие удовлетворение различных интересов обучающихся </w:t>
      </w:r>
      <w:bookmarkStart w:id="277" w:name="_Hlk125545715"/>
      <w:r>
        <w:rPr>
          <w:rFonts w:ascii="Times New Roman" w:hAnsi="Times New Roman"/>
          <w:lang w:eastAsia="zh-CN"/>
        </w:rPr>
        <w:t>(при организации и проведении уроков физической культуры с 3-х часовой недельной нагрузкой рекомендуемый объём во 2, 3, 4 классах – по 34 часа);</w:t>
      </w:r>
      <w:bookmarkEnd w:id="277"/>
    </w:p>
    <w:p w14:paraId="43A2F258">
      <w:pPr>
        <w:pBdr>
          <w:top w:val="none" w:color="auto" w:sz="0" w:space="0"/>
          <w:left w:val="none" w:color="auto" w:sz="0" w:space="0"/>
          <w:bottom w:val="none" w:color="auto" w:sz="0" w:space="0"/>
          <w:right w:val="none" w:color="auto" w:sz="0" w:space="0"/>
          <w:between w:val="none" w:color="auto" w:sz="0" w:space="0"/>
        </w:pBdr>
        <w:spacing w:after="0" w:line="360" w:lineRule="auto"/>
        <w:ind w:firstLine="709"/>
        <w:jc w:val="both"/>
        <w:rPr>
          <w:rFonts w:ascii="Times New Roman" w:hAnsi="Times New Roman"/>
          <w:u w:color="000000"/>
          <w:lang w:eastAsia="ru-RU"/>
        </w:rPr>
      </w:pPr>
      <w:r>
        <w:rPr>
          <w:rFonts w:ascii="Times New Roman" w:hAnsi="Times New Roman"/>
          <w:u w:color="000000"/>
          <w:lang w:eastAsia="zh-CN"/>
        </w:rPr>
        <w:t xml:space="preserve">в виде дополнительных часов, выделяемых на спортивно-оздоровительную работу с обучающимися в рамках внеурочной деятельности </w:t>
      </w:r>
      <w:r>
        <w:rPr>
          <w:rFonts w:ascii="Times New Roman" w:hAnsi="Times New Roman"/>
          <w:u w:color="000000"/>
        </w:rPr>
        <w:t xml:space="preserve">и (или) за счет посещения обучающимися спортивных секций, школьных спортивных клубов, </w:t>
      </w:r>
      <w:bookmarkStart w:id="278" w:name="_Hlk124958362"/>
      <w:r>
        <w:rPr>
          <w:rFonts w:ascii="Times New Roman" w:hAnsi="Times New Roman"/>
          <w:u w:color="000000"/>
        </w:rPr>
        <w:t>включая использование учебных модулей по видам спорта</w:t>
      </w:r>
      <w:bookmarkEnd w:id="278"/>
      <w:r>
        <w:rPr>
          <w:rFonts w:ascii="Times New Roman" w:hAnsi="Times New Roman"/>
          <w:lang w:eastAsia="zh-CN"/>
        </w:rPr>
        <w:t xml:space="preserve"> </w:t>
      </w:r>
      <w:r>
        <w:rPr>
          <w:rFonts w:ascii="Times New Roman" w:hAnsi="Times New Roman"/>
          <w:u w:color="000000"/>
          <w:lang w:eastAsia="zh-CN"/>
        </w:rPr>
        <w:t>(</w:t>
      </w:r>
      <w:r>
        <w:rPr>
          <w:rFonts w:ascii="Times New Roman" w:hAnsi="Times New Roman"/>
          <w:lang w:eastAsia="zh-CN"/>
        </w:rPr>
        <w:t>рекомендуемый объём во 2, 3, 4 классах – по 34 часа).</w:t>
      </w:r>
    </w:p>
    <w:p w14:paraId="2A315689">
      <w:pPr>
        <w:pBdr>
          <w:top w:val="none" w:color="000000" w:sz="0" w:space="0"/>
          <w:left w:val="none" w:color="000000" w:sz="0" w:space="0"/>
          <w:bottom w:val="none" w:color="000000" w:sz="0" w:space="0"/>
          <w:right w:val="none" w:color="000000" w:sz="0" w:space="0"/>
        </w:pBdr>
        <w:suppressAutoHyphens/>
        <w:spacing w:after="0" w:line="360" w:lineRule="auto"/>
        <w:ind w:firstLine="709"/>
        <w:jc w:val="both"/>
        <w:rPr>
          <w:rFonts w:ascii="Times New Roman" w:hAnsi="Times New Roman"/>
          <w:lang w:eastAsia="zh-CN"/>
        </w:rPr>
      </w:pPr>
      <w:r>
        <w:rPr>
          <w:rFonts w:ascii="Times New Roman" w:hAnsi="Times New Roman" w:eastAsia="Times New Roman"/>
          <w:bCs/>
          <w:lang w:eastAsia="zh-CN"/>
        </w:rPr>
        <w:t>16.4.</w:t>
      </w:r>
      <w:r>
        <w:rPr>
          <w:rFonts w:ascii="Times New Roman" w:hAnsi="Times New Roman"/>
          <w:lang w:eastAsia="zh-CN"/>
        </w:rPr>
        <w:t>5.6. Содержание модуля «Плавание».</w:t>
      </w:r>
    </w:p>
    <w:p w14:paraId="2AEECF60">
      <w:pPr>
        <w:pBdr>
          <w:top w:val="none" w:color="000000" w:sz="0" w:space="0"/>
          <w:left w:val="none" w:color="000000" w:sz="0" w:space="0"/>
          <w:bottom w:val="none" w:color="000000" w:sz="0" w:space="0"/>
          <w:right w:val="none" w:color="000000" w:sz="0" w:space="0"/>
        </w:pBdr>
        <w:suppressAutoHyphens/>
        <w:spacing w:after="0" w:line="360" w:lineRule="auto"/>
        <w:ind w:firstLine="709"/>
        <w:jc w:val="both"/>
        <w:rPr>
          <w:rFonts w:ascii="Times New Roman" w:hAnsi="Times New Roman"/>
          <w:lang w:eastAsia="zh-CN"/>
        </w:rPr>
      </w:pPr>
      <w:r>
        <w:rPr>
          <w:rFonts w:ascii="Times New Roman" w:hAnsi="Times New Roman"/>
          <w:lang w:eastAsia="zh-CN"/>
        </w:rPr>
        <w:t>Знания о плавании.</w:t>
      </w:r>
    </w:p>
    <w:p w14:paraId="64A510CE">
      <w:pPr>
        <w:pBdr>
          <w:top w:val="none" w:color="000000" w:sz="0" w:space="0"/>
          <w:left w:val="none" w:color="000000" w:sz="0" w:space="0"/>
          <w:bottom w:val="none" w:color="000000" w:sz="0" w:space="0"/>
          <w:right w:val="none" w:color="000000" w:sz="0" w:space="0"/>
        </w:pBdr>
        <w:shd w:val="clear" w:color="auto" w:fill="FFFFFF"/>
        <w:tabs>
          <w:tab w:val="left" w:pos="571"/>
        </w:tabs>
        <w:suppressAutoHyphens/>
        <w:autoSpaceDE w:val="0"/>
        <w:spacing w:after="0" w:line="360" w:lineRule="auto"/>
        <w:ind w:firstLine="709"/>
        <w:jc w:val="both"/>
        <w:rPr>
          <w:rFonts w:ascii="Times New Roman" w:hAnsi="Times New Roman"/>
          <w:lang w:eastAsia="zh-CN"/>
        </w:rPr>
      </w:pPr>
      <w:r>
        <w:rPr>
          <w:rFonts w:ascii="Times New Roman" w:hAnsi="Times New Roman"/>
          <w:lang w:eastAsia="zh-CN"/>
        </w:rPr>
        <w:t xml:space="preserve">История развития плавания как вида спорта в мире, в Российской Федерации, в регионе. </w:t>
      </w:r>
    </w:p>
    <w:p w14:paraId="4D6AD6A9">
      <w:pPr>
        <w:pBdr>
          <w:top w:val="none" w:color="000000" w:sz="0" w:space="0"/>
          <w:left w:val="none" w:color="000000" w:sz="0" w:space="0"/>
          <w:bottom w:val="none" w:color="000000" w:sz="0" w:space="0"/>
          <w:right w:val="none" w:color="000000" w:sz="0" w:space="0"/>
        </w:pBdr>
        <w:shd w:val="clear" w:color="auto" w:fill="FFFFFF"/>
        <w:tabs>
          <w:tab w:val="left" w:pos="571"/>
        </w:tabs>
        <w:suppressAutoHyphens/>
        <w:autoSpaceDE w:val="0"/>
        <w:spacing w:after="0" w:line="360" w:lineRule="auto"/>
        <w:ind w:firstLine="709"/>
        <w:jc w:val="both"/>
        <w:rPr>
          <w:rFonts w:ascii="Times New Roman" w:hAnsi="Times New Roman"/>
          <w:lang w:eastAsia="zh-CN"/>
        </w:rPr>
      </w:pPr>
      <w:r>
        <w:rPr>
          <w:rFonts w:ascii="Times New Roman" w:hAnsi="Times New Roman"/>
          <w:lang w:eastAsia="zh-CN"/>
        </w:rPr>
        <w:t>Характеристика видов плавания (спортивное плавание, синхронное плавание, водное поло, прыжки в воду).</w:t>
      </w:r>
    </w:p>
    <w:p w14:paraId="343F5037">
      <w:pPr>
        <w:pBdr>
          <w:top w:val="none" w:color="000000" w:sz="0" w:space="0"/>
          <w:left w:val="none" w:color="000000" w:sz="0" w:space="0"/>
          <w:bottom w:val="none" w:color="000000" w:sz="0" w:space="0"/>
          <w:right w:val="none" w:color="000000" w:sz="0" w:space="0"/>
        </w:pBdr>
        <w:shd w:val="clear" w:color="auto" w:fill="FFFFFF"/>
        <w:tabs>
          <w:tab w:val="left" w:pos="571"/>
        </w:tabs>
        <w:suppressAutoHyphens/>
        <w:autoSpaceDE w:val="0"/>
        <w:spacing w:after="0" w:line="360" w:lineRule="auto"/>
        <w:ind w:firstLine="709"/>
        <w:jc w:val="both"/>
        <w:rPr>
          <w:rFonts w:ascii="Times New Roman" w:hAnsi="Times New Roman"/>
          <w:lang w:eastAsia="zh-CN"/>
        </w:rPr>
      </w:pPr>
      <w:r>
        <w:rPr>
          <w:rFonts w:ascii="Times New Roman" w:hAnsi="Times New Roman"/>
          <w:lang w:eastAsia="zh-CN"/>
        </w:rPr>
        <w:t>Характеристика стилей плавания.</w:t>
      </w:r>
    </w:p>
    <w:p w14:paraId="7903D660">
      <w:pPr>
        <w:pBdr>
          <w:top w:val="none" w:color="000000" w:sz="0" w:space="0"/>
          <w:left w:val="none" w:color="000000" w:sz="0" w:space="0"/>
          <w:bottom w:val="none" w:color="000000" w:sz="0" w:space="0"/>
          <w:right w:val="none" w:color="000000" w:sz="0" w:space="0"/>
        </w:pBdr>
        <w:shd w:val="clear" w:color="auto" w:fill="FFFFFF"/>
        <w:tabs>
          <w:tab w:val="left" w:pos="571"/>
        </w:tabs>
        <w:suppressAutoHyphens/>
        <w:autoSpaceDE w:val="0"/>
        <w:spacing w:after="0" w:line="360" w:lineRule="auto"/>
        <w:ind w:firstLine="709"/>
        <w:jc w:val="both"/>
        <w:rPr>
          <w:rFonts w:ascii="Times New Roman" w:hAnsi="Times New Roman"/>
          <w:lang w:eastAsia="zh-CN"/>
        </w:rPr>
      </w:pPr>
      <w:r>
        <w:rPr>
          <w:rFonts w:ascii="Times New Roman" w:hAnsi="Times New Roman"/>
          <w:lang w:eastAsia="zh-CN"/>
        </w:rPr>
        <w:t>Достижения отечественных пловцов на мировых первенствах и Олимпийских играх.</w:t>
      </w:r>
    </w:p>
    <w:p w14:paraId="6F955D7A">
      <w:pPr>
        <w:pBdr>
          <w:top w:val="none" w:color="000000" w:sz="0" w:space="0"/>
          <w:left w:val="none" w:color="000000" w:sz="0" w:space="0"/>
          <w:bottom w:val="none" w:color="000000" w:sz="0" w:space="0"/>
          <w:right w:val="none" w:color="000000" w:sz="0" w:space="0"/>
        </w:pBdr>
        <w:shd w:val="clear" w:color="auto" w:fill="FFFFFF"/>
        <w:tabs>
          <w:tab w:val="left" w:pos="571"/>
        </w:tabs>
        <w:suppressAutoHyphens/>
        <w:autoSpaceDE w:val="0"/>
        <w:spacing w:after="0" w:line="360" w:lineRule="auto"/>
        <w:ind w:firstLine="709"/>
        <w:jc w:val="both"/>
        <w:rPr>
          <w:rFonts w:ascii="Times New Roman" w:hAnsi="Times New Roman"/>
          <w:spacing w:val="1"/>
          <w:lang w:eastAsia="zh-CN"/>
        </w:rPr>
      </w:pPr>
      <w:r>
        <w:rPr>
          <w:rFonts w:ascii="Times New Roman" w:hAnsi="Times New Roman"/>
          <w:spacing w:val="1"/>
          <w:lang w:eastAsia="zh-CN"/>
        </w:rPr>
        <w:t>Игры и развлечения на воде.</w:t>
      </w:r>
    </w:p>
    <w:p w14:paraId="18325365">
      <w:pPr>
        <w:pBdr>
          <w:top w:val="none" w:color="000000" w:sz="0" w:space="0"/>
          <w:left w:val="none" w:color="000000" w:sz="0" w:space="0"/>
          <w:bottom w:val="none" w:color="000000" w:sz="0" w:space="0"/>
          <w:right w:val="none" w:color="000000" w:sz="0" w:space="0"/>
        </w:pBdr>
        <w:shd w:val="clear" w:color="auto" w:fill="FFFFFF"/>
        <w:tabs>
          <w:tab w:val="left" w:pos="571"/>
        </w:tabs>
        <w:suppressAutoHyphens/>
        <w:autoSpaceDE w:val="0"/>
        <w:spacing w:after="0" w:line="360" w:lineRule="auto"/>
        <w:ind w:firstLine="709"/>
        <w:jc w:val="both"/>
        <w:rPr>
          <w:rFonts w:ascii="Times New Roman" w:hAnsi="Times New Roman"/>
          <w:lang w:eastAsia="zh-CN"/>
        </w:rPr>
      </w:pPr>
      <w:r>
        <w:rPr>
          <w:rFonts w:ascii="Times New Roman" w:hAnsi="Times New Roman"/>
          <w:lang w:eastAsia="zh-CN"/>
        </w:rPr>
        <w:t>Словарь терминов и определений по плаванию.</w:t>
      </w:r>
    </w:p>
    <w:p w14:paraId="4748558B">
      <w:pPr>
        <w:pBdr>
          <w:top w:val="none" w:color="000000" w:sz="0" w:space="0"/>
          <w:left w:val="none" w:color="000000" w:sz="0" w:space="0"/>
          <w:bottom w:val="none" w:color="000000" w:sz="0" w:space="0"/>
          <w:right w:val="none" w:color="000000" w:sz="0" w:space="0"/>
        </w:pBdr>
        <w:shd w:val="clear" w:color="auto" w:fill="FFFFFF"/>
        <w:tabs>
          <w:tab w:val="left" w:pos="571"/>
        </w:tabs>
        <w:suppressAutoHyphens/>
        <w:autoSpaceDE w:val="0"/>
        <w:spacing w:after="0" w:line="360" w:lineRule="auto"/>
        <w:ind w:firstLine="709"/>
        <w:jc w:val="both"/>
        <w:rPr>
          <w:rFonts w:ascii="Times New Roman" w:hAnsi="Times New Roman" w:eastAsia="Times New Roman"/>
          <w:lang w:eastAsia="zh-CN"/>
        </w:rPr>
      </w:pPr>
      <w:r>
        <w:rPr>
          <w:rFonts w:ascii="Times New Roman" w:hAnsi="Times New Roman"/>
          <w:lang w:eastAsia="zh-CN"/>
        </w:rPr>
        <w:t xml:space="preserve">Общие сведения о размерах плавательных бассейнов, организованных местах купания на открытых водоемах, </w:t>
      </w:r>
      <w:r>
        <w:rPr>
          <w:rFonts w:ascii="Times New Roman" w:hAnsi="Times New Roman" w:eastAsia="Times New Roman"/>
          <w:lang w:eastAsia="zh-CN"/>
        </w:rPr>
        <w:t>инвентаре и оборудованию для занятий плаванием.</w:t>
      </w:r>
    </w:p>
    <w:p w14:paraId="59ED6AF1">
      <w:pPr>
        <w:pBdr>
          <w:top w:val="none" w:color="000000" w:sz="0" w:space="0"/>
          <w:left w:val="none" w:color="000000" w:sz="0" w:space="0"/>
          <w:bottom w:val="none" w:color="000000" w:sz="0" w:space="0"/>
          <w:right w:val="none" w:color="000000" w:sz="0" w:space="0"/>
        </w:pBdr>
        <w:suppressAutoHyphens/>
        <w:spacing w:after="0" w:line="360" w:lineRule="auto"/>
        <w:ind w:firstLine="709"/>
        <w:jc w:val="both"/>
        <w:rPr>
          <w:rFonts w:ascii="Times New Roman" w:hAnsi="Times New Roman"/>
          <w:lang w:eastAsia="zh-CN"/>
        </w:rPr>
      </w:pPr>
      <w:r>
        <w:rPr>
          <w:rFonts w:ascii="Times New Roman" w:hAnsi="Times New Roman"/>
          <w:lang w:eastAsia="zh-CN"/>
        </w:rPr>
        <w:t>Занятия плаванием как средство укрепления здоровья, закаливания организма человека и развития физических качеств.</w:t>
      </w:r>
    </w:p>
    <w:p w14:paraId="2E0CECE8">
      <w:pPr>
        <w:pBdr>
          <w:top w:val="none" w:color="000000" w:sz="0" w:space="0"/>
          <w:left w:val="none" w:color="000000" w:sz="0" w:space="0"/>
          <w:bottom w:val="none" w:color="000000" w:sz="0" w:space="0"/>
          <w:right w:val="none" w:color="000000" w:sz="0" w:space="0"/>
        </w:pBdr>
        <w:suppressAutoHyphens/>
        <w:autoSpaceDE w:val="0"/>
        <w:spacing w:after="0" w:line="360" w:lineRule="auto"/>
        <w:ind w:firstLine="709"/>
        <w:jc w:val="both"/>
        <w:rPr>
          <w:rFonts w:ascii="Times New Roman" w:hAnsi="Times New Roman"/>
          <w:lang w:eastAsia="zh-CN"/>
        </w:rPr>
      </w:pPr>
      <w:r>
        <w:rPr>
          <w:rFonts w:ascii="Times New Roman" w:hAnsi="Times New Roman" w:eastAsia="Times New Roman"/>
          <w:lang w:eastAsia="zh-CN"/>
        </w:rPr>
        <w:t>Режим дня при занятиях плаванием. Правила личной гигиены во время занятий плаванием.</w:t>
      </w:r>
    </w:p>
    <w:p w14:paraId="077388CC">
      <w:pPr>
        <w:pBdr>
          <w:top w:val="none" w:color="000000" w:sz="0" w:space="0"/>
          <w:left w:val="none" w:color="000000" w:sz="0" w:space="0"/>
          <w:bottom w:val="none" w:color="000000" w:sz="0" w:space="0"/>
          <w:right w:val="none" w:color="000000" w:sz="0" w:space="0"/>
        </w:pBdr>
        <w:shd w:val="clear" w:color="auto" w:fill="FFFFFF"/>
        <w:tabs>
          <w:tab w:val="left" w:pos="571"/>
        </w:tabs>
        <w:suppressAutoHyphens/>
        <w:autoSpaceDE w:val="0"/>
        <w:spacing w:after="0" w:line="360" w:lineRule="auto"/>
        <w:ind w:firstLine="709"/>
        <w:jc w:val="both"/>
        <w:rPr>
          <w:rFonts w:ascii="Times New Roman" w:hAnsi="Times New Roman"/>
          <w:lang w:eastAsia="zh-CN"/>
        </w:rPr>
      </w:pPr>
      <w:r>
        <w:rPr>
          <w:rFonts w:ascii="Times New Roman" w:hAnsi="Times New Roman"/>
          <w:lang w:eastAsia="zh-CN"/>
        </w:rPr>
        <w:t>Правила безопасного поведения при занятиях плаванием</w:t>
      </w:r>
      <w:r>
        <w:rPr>
          <w:rFonts w:ascii="Times New Roman" w:hAnsi="Times New Roman" w:eastAsia="Times New Roman"/>
          <w:lang w:eastAsia="zh-CN"/>
        </w:rPr>
        <w:t xml:space="preserve"> в плавательном бассейне </w:t>
      </w:r>
      <w:r>
        <w:rPr>
          <w:rFonts w:ascii="Times New Roman" w:hAnsi="Times New Roman"/>
        </w:rPr>
        <w:t xml:space="preserve">(в душе, раздевалке, на воде), </w:t>
      </w:r>
      <w:r>
        <w:rPr>
          <w:rFonts w:ascii="Times New Roman" w:hAnsi="Times New Roman" w:eastAsia="Times New Roman"/>
          <w:lang w:eastAsia="zh-CN"/>
        </w:rPr>
        <w:t>на открытых водоемах. Форма одежды для занятий плаванием.</w:t>
      </w:r>
    </w:p>
    <w:p w14:paraId="58A395BC">
      <w:pPr>
        <w:pBdr>
          <w:top w:val="none" w:color="000000" w:sz="0" w:space="0"/>
          <w:left w:val="none" w:color="000000" w:sz="0" w:space="0"/>
          <w:bottom w:val="none" w:color="000000" w:sz="0" w:space="0"/>
          <w:right w:val="none" w:color="000000" w:sz="0" w:space="0"/>
        </w:pBdr>
        <w:suppressAutoHyphens/>
        <w:spacing w:after="0" w:line="360" w:lineRule="auto"/>
        <w:ind w:firstLine="709"/>
        <w:jc w:val="both"/>
        <w:rPr>
          <w:rFonts w:ascii="Times New Roman" w:hAnsi="Times New Roman"/>
          <w:lang w:eastAsia="zh-CN"/>
        </w:rPr>
      </w:pPr>
      <w:r>
        <w:rPr>
          <w:rFonts w:ascii="Times New Roman" w:hAnsi="Times New Roman"/>
          <w:lang w:eastAsia="zh-CN"/>
        </w:rPr>
        <w:t>Способы самостоятельной деятельности.</w:t>
      </w:r>
    </w:p>
    <w:p w14:paraId="12E17A5B">
      <w:pPr>
        <w:pBdr>
          <w:top w:val="none" w:color="000000" w:sz="0" w:space="0"/>
          <w:left w:val="none" w:color="000000" w:sz="0" w:space="0"/>
          <w:bottom w:val="none" w:color="000000" w:sz="0" w:space="0"/>
          <w:right w:val="none" w:color="000000" w:sz="0" w:space="0"/>
        </w:pBdr>
        <w:tabs>
          <w:tab w:val="left" w:pos="9532"/>
        </w:tabs>
        <w:suppressAutoHyphens/>
        <w:spacing w:after="0" w:line="360" w:lineRule="auto"/>
        <w:ind w:firstLine="709"/>
        <w:jc w:val="both"/>
        <w:rPr>
          <w:rFonts w:ascii="Times New Roman" w:hAnsi="Times New Roman"/>
          <w:lang w:eastAsia="zh-CN"/>
        </w:rPr>
      </w:pPr>
      <w:r>
        <w:rPr>
          <w:rFonts w:ascii="Times New Roman" w:hAnsi="Times New Roman"/>
          <w:lang w:eastAsia="zh-CN"/>
        </w:rPr>
        <w:t xml:space="preserve">Первые внешние признаки утомления во время занятий плаванием, купания. Способы самоконтроля за физической нагрузкой. </w:t>
      </w:r>
    </w:p>
    <w:p w14:paraId="3D55AD12">
      <w:pPr>
        <w:pBdr>
          <w:top w:val="none" w:color="000000" w:sz="0" w:space="0"/>
          <w:left w:val="none" w:color="000000" w:sz="0" w:space="0"/>
          <w:bottom w:val="none" w:color="000000" w:sz="0" w:space="0"/>
          <w:right w:val="none" w:color="000000" w:sz="0" w:space="0"/>
        </w:pBdr>
        <w:suppressAutoHyphens/>
        <w:spacing w:after="0" w:line="360" w:lineRule="auto"/>
        <w:ind w:firstLine="709"/>
        <w:contextualSpacing/>
        <w:jc w:val="both"/>
        <w:rPr>
          <w:rFonts w:ascii="Times New Roman" w:hAnsi="Times New Roman"/>
          <w:lang w:eastAsia="zh-CN"/>
        </w:rPr>
      </w:pPr>
      <w:r>
        <w:rPr>
          <w:rFonts w:ascii="Times New Roman" w:hAnsi="Times New Roman"/>
          <w:lang w:eastAsia="zh-CN"/>
        </w:rPr>
        <w:t xml:space="preserve">Правила личной гигиены, требования к спортивной одежде (плавательной экипировке) для занятий плаванием. Режим дня юного пловца. </w:t>
      </w:r>
    </w:p>
    <w:p w14:paraId="1D89ECD9">
      <w:pPr>
        <w:pBdr>
          <w:top w:val="none" w:color="000000" w:sz="0" w:space="0"/>
          <w:left w:val="none" w:color="000000" w:sz="0" w:space="0"/>
          <w:bottom w:val="none" w:color="000000" w:sz="0" w:space="0"/>
          <w:right w:val="none" w:color="000000" w:sz="0" w:space="0"/>
        </w:pBdr>
        <w:suppressAutoHyphens/>
        <w:spacing w:after="0" w:line="360" w:lineRule="auto"/>
        <w:ind w:firstLine="709"/>
        <w:jc w:val="both"/>
        <w:rPr>
          <w:rFonts w:ascii="Times New Roman" w:hAnsi="Times New Roman"/>
          <w:lang w:eastAsia="zh-CN"/>
        </w:rPr>
      </w:pPr>
      <w:r>
        <w:rPr>
          <w:rFonts w:ascii="Times New Roman" w:hAnsi="Times New Roman"/>
          <w:lang w:eastAsia="zh-CN"/>
        </w:rPr>
        <w:t>Выбор и подготовка места для купания в открытом водоеме.</w:t>
      </w:r>
    </w:p>
    <w:p w14:paraId="5B0FB643">
      <w:pPr>
        <w:pBdr>
          <w:top w:val="none" w:color="000000" w:sz="0" w:space="0"/>
          <w:left w:val="none" w:color="000000" w:sz="0" w:space="0"/>
          <w:bottom w:val="none" w:color="000000" w:sz="0" w:space="0"/>
          <w:right w:val="none" w:color="000000" w:sz="0" w:space="0"/>
        </w:pBdr>
        <w:suppressAutoHyphens/>
        <w:spacing w:after="0" w:line="360" w:lineRule="auto"/>
        <w:ind w:firstLine="709"/>
        <w:jc w:val="both"/>
        <w:rPr>
          <w:rFonts w:ascii="Times New Roman" w:hAnsi="Times New Roman"/>
          <w:lang w:eastAsia="zh-CN"/>
        </w:rPr>
      </w:pPr>
      <w:r>
        <w:rPr>
          <w:rFonts w:ascii="Times New Roman" w:hAnsi="Times New Roman"/>
          <w:lang w:eastAsia="zh-CN"/>
        </w:rPr>
        <w:t>Правила использования спортивного инвентаря для занятий плаванием.</w:t>
      </w:r>
    </w:p>
    <w:p w14:paraId="4B963C04">
      <w:pPr>
        <w:pBdr>
          <w:top w:val="none" w:color="000000" w:sz="0" w:space="0"/>
          <w:left w:val="none" w:color="000000" w:sz="0" w:space="0"/>
          <w:bottom w:val="none" w:color="000000" w:sz="0" w:space="0"/>
          <w:right w:val="none" w:color="000000" w:sz="0" w:space="0"/>
        </w:pBdr>
        <w:suppressAutoHyphens/>
        <w:spacing w:after="0" w:line="360" w:lineRule="auto"/>
        <w:ind w:firstLine="709"/>
        <w:jc w:val="both"/>
        <w:rPr>
          <w:rFonts w:ascii="Times New Roman" w:hAnsi="Times New Roman"/>
          <w:lang w:eastAsia="zh-CN"/>
        </w:rPr>
      </w:pPr>
      <w:r>
        <w:rPr>
          <w:rFonts w:ascii="Times New Roman" w:hAnsi="Times New Roman" w:eastAsia="Times New Roman"/>
          <w:lang w:eastAsia="zh-CN"/>
        </w:rPr>
        <w:t xml:space="preserve">Подбор и составление комплексов </w:t>
      </w:r>
      <w:r>
        <w:rPr>
          <w:rFonts w:ascii="Times New Roman" w:hAnsi="Times New Roman"/>
          <w:lang w:eastAsia="zh-CN"/>
        </w:rPr>
        <w:t xml:space="preserve">общеразвивающих, специальных и имитационных </w:t>
      </w:r>
      <w:r>
        <w:rPr>
          <w:rFonts w:ascii="Times New Roman" w:hAnsi="Times New Roman" w:eastAsia="Times New Roman"/>
          <w:lang w:eastAsia="zh-CN"/>
        </w:rPr>
        <w:t xml:space="preserve">упражнений </w:t>
      </w:r>
      <w:r>
        <w:rPr>
          <w:rFonts w:ascii="Times New Roman" w:hAnsi="Times New Roman"/>
          <w:lang w:eastAsia="zh-CN"/>
        </w:rPr>
        <w:t>для занятий плаванием.</w:t>
      </w:r>
    </w:p>
    <w:p w14:paraId="6E7F7223">
      <w:pPr>
        <w:pBdr>
          <w:top w:val="none" w:color="000000" w:sz="0" w:space="0"/>
          <w:left w:val="none" w:color="000000" w:sz="0" w:space="0"/>
          <w:bottom w:val="none" w:color="000000" w:sz="0" w:space="0"/>
          <w:right w:val="none" w:color="000000" w:sz="0" w:space="0"/>
        </w:pBdr>
        <w:suppressAutoHyphens/>
        <w:spacing w:after="0" w:line="360" w:lineRule="auto"/>
        <w:ind w:firstLine="709"/>
        <w:jc w:val="both"/>
        <w:rPr>
          <w:rFonts w:ascii="Times New Roman" w:hAnsi="Times New Roman"/>
          <w:lang w:eastAsia="zh-CN"/>
        </w:rPr>
      </w:pPr>
      <w:r>
        <w:rPr>
          <w:rFonts w:ascii="Times New Roman" w:hAnsi="Times New Roman"/>
          <w:lang w:eastAsia="zh-CN"/>
        </w:rPr>
        <w:t>Организация и проведение подвижных игр с элементами плавания во время активного отдыха и каникул.</w:t>
      </w:r>
    </w:p>
    <w:p w14:paraId="0B2D0D36">
      <w:pPr>
        <w:pBdr>
          <w:top w:val="none" w:color="000000" w:sz="0" w:space="0"/>
          <w:left w:val="none" w:color="000000" w:sz="0" w:space="0"/>
          <w:bottom w:val="none" w:color="000000" w:sz="0" w:space="0"/>
          <w:right w:val="none" w:color="000000" w:sz="0" w:space="0"/>
        </w:pBdr>
        <w:suppressAutoHyphens/>
        <w:spacing w:after="0" w:line="360" w:lineRule="auto"/>
        <w:ind w:firstLine="709"/>
        <w:jc w:val="both"/>
        <w:rPr>
          <w:rFonts w:ascii="Times New Roman" w:hAnsi="Times New Roman"/>
          <w:lang w:eastAsia="zh-CN"/>
        </w:rPr>
      </w:pPr>
      <w:r>
        <w:rPr>
          <w:rFonts w:ascii="Times New Roman" w:hAnsi="Times New Roman"/>
          <w:lang w:eastAsia="zh-CN"/>
        </w:rPr>
        <w:t>Тестирование уровня физической подготовленности в плавании.</w:t>
      </w:r>
    </w:p>
    <w:p w14:paraId="3F974787">
      <w:pPr>
        <w:pBdr>
          <w:top w:val="none" w:color="000000" w:sz="0" w:space="0"/>
          <w:left w:val="none" w:color="000000" w:sz="0" w:space="0"/>
          <w:bottom w:val="none" w:color="000000" w:sz="0" w:space="0"/>
          <w:right w:val="none" w:color="000000" w:sz="0" w:space="0"/>
        </w:pBdr>
        <w:suppressAutoHyphens/>
        <w:spacing w:after="0" w:line="360" w:lineRule="auto"/>
        <w:ind w:firstLine="709"/>
        <w:jc w:val="both"/>
        <w:rPr>
          <w:rFonts w:ascii="Times New Roman" w:hAnsi="Times New Roman"/>
          <w:lang w:eastAsia="zh-CN"/>
        </w:rPr>
      </w:pPr>
      <w:r>
        <w:rPr>
          <w:rFonts w:ascii="Times New Roman" w:hAnsi="Times New Roman"/>
          <w:lang w:eastAsia="zh-CN"/>
        </w:rPr>
        <w:t>Физическое совершенствование.</w:t>
      </w:r>
    </w:p>
    <w:p w14:paraId="051FC435">
      <w:pPr>
        <w:pBdr>
          <w:top w:val="none" w:color="000000" w:sz="0" w:space="0"/>
          <w:left w:val="none" w:color="000000" w:sz="0" w:space="0"/>
          <w:bottom w:val="none" w:color="000000" w:sz="0" w:space="0"/>
          <w:right w:val="none" w:color="000000" w:sz="0" w:space="0"/>
        </w:pBdr>
        <w:shd w:val="clear" w:color="auto" w:fill="FFFFFF"/>
        <w:tabs>
          <w:tab w:val="left" w:pos="571"/>
        </w:tabs>
        <w:suppressAutoHyphens/>
        <w:autoSpaceDE w:val="0"/>
        <w:spacing w:after="0" w:line="360" w:lineRule="auto"/>
        <w:ind w:firstLine="709"/>
        <w:jc w:val="both"/>
        <w:rPr>
          <w:rFonts w:ascii="Times New Roman" w:hAnsi="Times New Roman"/>
          <w:lang w:eastAsia="zh-CN"/>
        </w:rPr>
      </w:pPr>
      <w:r>
        <w:rPr>
          <w:rFonts w:ascii="Times New Roman" w:hAnsi="Times New Roman"/>
          <w:lang w:eastAsia="zh-CN"/>
        </w:rPr>
        <w:t>Общеразвивающие, специальные и имитационные упражне</w:t>
      </w:r>
      <w:r>
        <w:rPr>
          <w:rFonts w:ascii="Times New Roman" w:hAnsi="Times New Roman"/>
          <w:lang w:eastAsia="zh-CN"/>
        </w:rPr>
        <w:softHyphen/>
      </w:r>
      <w:r>
        <w:rPr>
          <w:rFonts w:ascii="Times New Roman" w:hAnsi="Times New Roman"/>
          <w:lang w:eastAsia="zh-CN"/>
        </w:rPr>
        <w:t>ния на суше.</w:t>
      </w:r>
    </w:p>
    <w:p w14:paraId="1C73D04B">
      <w:pPr>
        <w:pBdr>
          <w:top w:val="none" w:color="000000" w:sz="0" w:space="0"/>
          <w:left w:val="none" w:color="000000" w:sz="0" w:space="0"/>
          <w:bottom w:val="none" w:color="000000" w:sz="0" w:space="0"/>
          <w:right w:val="none" w:color="000000" w:sz="0" w:space="0"/>
        </w:pBdr>
        <w:shd w:val="clear" w:color="auto" w:fill="FFFFFF"/>
        <w:tabs>
          <w:tab w:val="left" w:pos="571"/>
        </w:tabs>
        <w:suppressAutoHyphens/>
        <w:autoSpaceDE w:val="0"/>
        <w:spacing w:after="0" w:line="360" w:lineRule="auto"/>
        <w:ind w:firstLine="709"/>
        <w:jc w:val="both"/>
        <w:rPr>
          <w:rFonts w:ascii="Times New Roman" w:hAnsi="Times New Roman"/>
          <w:lang w:eastAsia="zh-CN"/>
        </w:rPr>
      </w:pPr>
      <w:r>
        <w:rPr>
          <w:rFonts w:ascii="Times New Roman" w:hAnsi="Times New Roman"/>
          <w:spacing w:val="2"/>
          <w:lang w:eastAsia="zh-CN"/>
        </w:rPr>
        <w:t>Упражнения</w:t>
      </w:r>
      <w:r>
        <w:rPr>
          <w:rFonts w:ascii="Times New Roman" w:hAnsi="Times New Roman"/>
          <w:lang w:eastAsia="zh-CN"/>
        </w:rPr>
        <w:t xml:space="preserve"> на развитие физических качеств, характерных для плавания.</w:t>
      </w:r>
    </w:p>
    <w:p w14:paraId="13E56BCF">
      <w:pPr>
        <w:pBdr>
          <w:top w:val="none" w:color="000000" w:sz="0" w:space="0"/>
          <w:left w:val="none" w:color="000000" w:sz="0" w:space="0"/>
          <w:bottom w:val="none" w:color="000000" w:sz="0" w:space="0"/>
          <w:right w:val="none" w:color="000000" w:sz="0" w:space="0"/>
        </w:pBdr>
        <w:shd w:val="clear" w:color="auto" w:fill="FFFFFF"/>
        <w:tabs>
          <w:tab w:val="left" w:pos="34"/>
        </w:tabs>
        <w:suppressAutoHyphens/>
        <w:autoSpaceDE w:val="0"/>
        <w:spacing w:after="0" w:line="360" w:lineRule="auto"/>
        <w:ind w:firstLine="709"/>
        <w:jc w:val="both"/>
        <w:rPr>
          <w:rFonts w:ascii="Times New Roman" w:hAnsi="Times New Roman"/>
          <w:spacing w:val="1"/>
          <w:lang w:eastAsia="zh-CN"/>
        </w:rPr>
      </w:pPr>
      <w:r>
        <w:rPr>
          <w:rFonts w:ascii="Times New Roman" w:hAnsi="Times New Roman"/>
          <w:lang w:eastAsia="zh-CN"/>
        </w:rPr>
        <w:t>Подготовительные упражнения для освоения с водой: упражнения для ознакомления с плотностью и сопроти</w:t>
      </w:r>
      <w:r>
        <w:rPr>
          <w:rFonts w:ascii="Times New Roman" w:hAnsi="Times New Roman"/>
          <w:lang w:eastAsia="zh-CN"/>
        </w:rPr>
        <w:softHyphen/>
      </w:r>
      <w:r>
        <w:rPr>
          <w:rFonts w:ascii="Times New Roman" w:hAnsi="Times New Roman"/>
          <w:spacing w:val="1"/>
          <w:lang w:eastAsia="zh-CN"/>
        </w:rPr>
        <w:t>влением воды, погружения в воду с головой, подныривания и от</w:t>
      </w:r>
      <w:r>
        <w:rPr>
          <w:rFonts w:ascii="Times New Roman" w:hAnsi="Times New Roman"/>
          <w:spacing w:val="-1"/>
          <w:lang w:eastAsia="zh-CN"/>
        </w:rPr>
        <w:t>крывание глаз в воде, всплывания и лежания на воде,</w:t>
      </w:r>
      <w:r>
        <w:rPr>
          <w:rFonts w:ascii="Times New Roman" w:hAnsi="Times New Roman"/>
          <w:lang w:eastAsia="zh-CN"/>
        </w:rPr>
        <w:t xml:space="preserve"> </w:t>
      </w:r>
      <w:r>
        <w:rPr>
          <w:rFonts w:ascii="Times New Roman" w:hAnsi="Times New Roman"/>
          <w:spacing w:val="-1"/>
          <w:lang w:eastAsia="zh-CN"/>
        </w:rPr>
        <w:t>выдохи в во</w:t>
      </w:r>
      <w:r>
        <w:rPr>
          <w:rFonts w:ascii="Times New Roman" w:hAnsi="Times New Roman"/>
          <w:spacing w:val="1"/>
          <w:lang w:eastAsia="zh-CN"/>
        </w:rPr>
        <w:t>ду, скольжения.</w:t>
      </w:r>
    </w:p>
    <w:p w14:paraId="00D3F7CB">
      <w:pPr>
        <w:pBdr>
          <w:top w:val="none" w:color="000000" w:sz="0" w:space="0"/>
          <w:left w:val="none" w:color="000000" w:sz="0" w:space="0"/>
          <w:bottom w:val="none" w:color="000000" w:sz="0" w:space="0"/>
          <w:right w:val="none" w:color="000000" w:sz="0" w:space="0"/>
        </w:pBdr>
        <w:suppressAutoHyphens/>
        <w:autoSpaceDE w:val="0"/>
        <w:spacing w:after="0" w:line="360" w:lineRule="auto"/>
        <w:ind w:firstLine="709"/>
        <w:jc w:val="both"/>
        <w:rPr>
          <w:rFonts w:ascii="Times New Roman" w:hAnsi="Times New Roman"/>
          <w:lang w:eastAsia="zh-CN"/>
        </w:rPr>
      </w:pPr>
      <w:r>
        <w:rPr>
          <w:rFonts w:ascii="Times New Roman" w:hAnsi="Times New Roman"/>
          <w:lang w:eastAsia="zh-CN"/>
        </w:rPr>
        <w:t xml:space="preserve">Подвижные игры с элементами плавания и развлечения на воде: </w:t>
      </w:r>
      <w:r>
        <w:rPr>
          <w:rFonts w:ascii="Times New Roman" w:hAnsi="Times New Roman"/>
          <w:spacing w:val="-4"/>
          <w:lang w:eastAsia="zh-CN"/>
        </w:rPr>
        <w:t xml:space="preserve">игры, включающие элемент соревнования и не </w:t>
      </w:r>
      <w:r>
        <w:rPr>
          <w:rFonts w:ascii="Times New Roman" w:hAnsi="Times New Roman"/>
          <w:spacing w:val="-2"/>
          <w:lang w:eastAsia="zh-CN"/>
        </w:rPr>
        <w:t xml:space="preserve">имеющие сюжета, </w:t>
      </w:r>
      <w:r>
        <w:rPr>
          <w:rFonts w:ascii="Times New Roman" w:hAnsi="Times New Roman"/>
          <w:lang w:eastAsia="zh-CN"/>
        </w:rPr>
        <w:t xml:space="preserve">игры сюжетного характера, </w:t>
      </w:r>
      <w:r>
        <w:rPr>
          <w:rFonts w:ascii="Times New Roman" w:hAnsi="Times New Roman"/>
          <w:spacing w:val="2"/>
          <w:lang w:eastAsia="zh-CN"/>
        </w:rPr>
        <w:t>командные игры.</w:t>
      </w:r>
    </w:p>
    <w:p w14:paraId="52DF71EA">
      <w:pPr>
        <w:pBdr>
          <w:top w:val="none" w:color="000000" w:sz="0" w:space="0"/>
          <w:left w:val="none" w:color="000000" w:sz="0" w:space="0"/>
          <w:bottom w:val="none" w:color="000000" w:sz="0" w:space="0"/>
          <w:right w:val="none" w:color="000000" w:sz="0" w:space="0"/>
        </w:pBdr>
        <w:suppressAutoHyphens/>
        <w:autoSpaceDE w:val="0"/>
        <w:spacing w:after="0" w:line="360" w:lineRule="auto"/>
        <w:ind w:firstLine="709"/>
        <w:jc w:val="both"/>
        <w:rPr>
          <w:rFonts w:ascii="Times New Roman" w:hAnsi="Times New Roman"/>
          <w:lang w:eastAsia="zh-CN"/>
        </w:rPr>
      </w:pPr>
      <w:r>
        <w:rPr>
          <w:rFonts w:ascii="Times New Roman" w:hAnsi="Times New Roman"/>
        </w:rPr>
        <w:t>Игры:</w:t>
      </w:r>
      <w:r>
        <w:rPr>
          <w:rFonts w:ascii="Times New Roman" w:hAnsi="Times New Roman"/>
          <w:lang w:eastAsia="zh-CN"/>
        </w:rPr>
        <w:t xml:space="preserve"> на ознакомление с плотностью и сопротивлением воды, с погружением в воду с головой и открыванием глаз в воде, с всплыванием и лежанием на воде, с выдохами в воду, с прыжками в воде, с мячом.</w:t>
      </w:r>
    </w:p>
    <w:p w14:paraId="14E876C6">
      <w:pPr>
        <w:pBdr>
          <w:top w:val="none" w:color="000000" w:sz="0" w:space="0"/>
          <w:left w:val="none" w:color="000000" w:sz="0" w:space="0"/>
          <w:bottom w:val="none" w:color="000000" w:sz="0" w:space="0"/>
          <w:right w:val="none" w:color="000000" w:sz="0" w:space="0"/>
        </w:pBdr>
        <w:suppressAutoHyphens/>
        <w:spacing w:after="0" w:line="360" w:lineRule="auto"/>
        <w:ind w:firstLine="709"/>
        <w:jc w:val="both"/>
        <w:rPr>
          <w:rFonts w:ascii="Times New Roman" w:hAnsi="Times New Roman"/>
          <w:spacing w:val="-10"/>
          <w:lang w:eastAsia="zh-CN"/>
        </w:rPr>
      </w:pPr>
      <w:r>
        <w:rPr>
          <w:rFonts w:ascii="Times New Roman" w:hAnsi="Times New Roman"/>
          <w:spacing w:val="-1"/>
          <w:lang w:eastAsia="zh-CN"/>
        </w:rPr>
        <w:t>Общеразвивающие, специальные и имитационные упражнения для начального обучения технике</w:t>
      </w:r>
      <w:r>
        <w:rPr>
          <w:rFonts w:ascii="Times New Roman" w:hAnsi="Times New Roman"/>
        </w:rPr>
        <w:t xml:space="preserve"> спортивных способов плавания – кроль на груди и кроль на спине, брасс </w:t>
      </w:r>
      <w:r>
        <w:rPr>
          <w:rFonts w:ascii="Times New Roman" w:hAnsi="Times New Roman"/>
          <w:lang w:eastAsia="zh-CN"/>
        </w:rPr>
        <w:t>(</w:t>
      </w:r>
      <w:r>
        <w:rPr>
          <w:rFonts w:ascii="Times New Roman" w:hAnsi="Times New Roman"/>
          <w:spacing w:val="-9"/>
          <w:lang w:eastAsia="zh-CN"/>
        </w:rPr>
        <w:t xml:space="preserve">имитационные упражнения на суше, </w:t>
      </w:r>
      <w:r>
        <w:rPr>
          <w:rFonts w:ascii="Times New Roman" w:hAnsi="Times New Roman"/>
          <w:lang w:eastAsia="zh-CN"/>
        </w:rPr>
        <w:t>у</w:t>
      </w:r>
      <w:r>
        <w:rPr>
          <w:rFonts w:ascii="Times New Roman" w:hAnsi="Times New Roman"/>
          <w:spacing w:val="-10"/>
          <w:lang w:eastAsia="zh-CN"/>
        </w:rPr>
        <w:t>пражнения в воде с неподвижной опорой,</w:t>
      </w:r>
      <w:r>
        <w:rPr>
          <w:rFonts w:ascii="Times New Roman" w:hAnsi="Times New Roman"/>
          <w:lang w:eastAsia="zh-CN"/>
        </w:rPr>
        <w:t xml:space="preserve"> </w:t>
      </w:r>
      <w:r>
        <w:rPr>
          <w:rFonts w:ascii="Times New Roman" w:hAnsi="Times New Roman"/>
          <w:spacing w:val="-10"/>
          <w:lang w:eastAsia="zh-CN"/>
        </w:rPr>
        <w:t>с подвижной опорой</w:t>
      </w:r>
      <w:r>
        <w:rPr>
          <w:rFonts w:ascii="Times New Roman" w:hAnsi="Times New Roman"/>
          <w:lang w:eastAsia="zh-CN"/>
        </w:rPr>
        <w:t xml:space="preserve">, </w:t>
      </w:r>
      <w:r>
        <w:rPr>
          <w:rFonts w:ascii="Times New Roman" w:hAnsi="Times New Roman"/>
          <w:spacing w:val="-10"/>
          <w:lang w:eastAsia="zh-CN"/>
        </w:rPr>
        <w:t>без опоры).</w:t>
      </w:r>
    </w:p>
    <w:p w14:paraId="05F14DD4">
      <w:pPr>
        <w:pBdr>
          <w:top w:val="none" w:color="000000" w:sz="0" w:space="0"/>
          <w:left w:val="none" w:color="000000" w:sz="0" w:space="0"/>
          <w:bottom w:val="none" w:color="000000" w:sz="0" w:space="0"/>
          <w:right w:val="none" w:color="000000" w:sz="0" w:space="0"/>
        </w:pBdr>
        <w:shd w:val="clear" w:color="auto" w:fill="FFFFFF"/>
        <w:suppressAutoHyphens/>
        <w:spacing w:after="0" w:line="360" w:lineRule="auto"/>
        <w:ind w:firstLine="709"/>
        <w:jc w:val="both"/>
        <w:rPr>
          <w:rFonts w:ascii="Times New Roman" w:hAnsi="Times New Roman"/>
          <w:lang w:eastAsia="zh-CN"/>
        </w:rPr>
      </w:pPr>
      <w:r>
        <w:rPr>
          <w:rFonts w:ascii="Times New Roman" w:hAnsi="Times New Roman" w:eastAsia="@Arial Unicode MS"/>
          <w:lang w:eastAsia="zh-CN"/>
        </w:rPr>
        <w:t>Учебные прыжки в воду.</w:t>
      </w:r>
    </w:p>
    <w:p w14:paraId="6EBD1763">
      <w:pPr>
        <w:pBdr>
          <w:top w:val="none" w:color="000000" w:sz="0" w:space="0"/>
          <w:left w:val="none" w:color="000000" w:sz="0" w:space="0"/>
          <w:bottom w:val="none" w:color="000000" w:sz="0" w:space="0"/>
          <w:right w:val="none" w:color="000000" w:sz="0" w:space="0"/>
        </w:pBdr>
        <w:suppressAutoHyphens/>
        <w:spacing w:after="0" w:line="360" w:lineRule="auto"/>
        <w:ind w:firstLine="709"/>
        <w:jc w:val="both"/>
        <w:rPr>
          <w:rFonts w:ascii="Times New Roman" w:hAnsi="Times New Roman"/>
          <w:lang w:eastAsia="zh-CN"/>
        </w:rPr>
      </w:pPr>
      <w:r>
        <w:rPr>
          <w:rFonts w:ascii="Times New Roman" w:hAnsi="Times New Roman"/>
          <w:spacing w:val="2"/>
          <w:lang w:eastAsia="zh-CN"/>
        </w:rPr>
        <w:t xml:space="preserve">Старты и повороты </w:t>
      </w:r>
      <w:r>
        <w:rPr>
          <w:rFonts w:ascii="Times New Roman" w:hAnsi="Times New Roman"/>
          <w:lang w:eastAsia="zh-CN"/>
        </w:rPr>
        <w:t>(и</w:t>
      </w:r>
      <w:r>
        <w:rPr>
          <w:rFonts w:ascii="Times New Roman" w:hAnsi="Times New Roman"/>
          <w:spacing w:val="-9"/>
          <w:lang w:eastAsia="zh-CN"/>
        </w:rPr>
        <w:t>митационные упражнения на суше,</w:t>
      </w:r>
      <w:r>
        <w:rPr>
          <w:rFonts w:ascii="Times New Roman" w:hAnsi="Times New Roman"/>
          <w:lang w:eastAsia="zh-CN"/>
        </w:rPr>
        <w:t xml:space="preserve"> у</w:t>
      </w:r>
      <w:r>
        <w:rPr>
          <w:rFonts w:ascii="Times New Roman" w:hAnsi="Times New Roman"/>
          <w:spacing w:val="-10"/>
          <w:lang w:eastAsia="zh-CN"/>
        </w:rPr>
        <w:t>пражнения в воде)</w:t>
      </w:r>
      <w:r>
        <w:rPr>
          <w:rFonts w:ascii="Times New Roman" w:hAnsi="Times New Roman"/>
          <w:spacing w:val="2"/>
          <w:lang w:eastAsia="zh-CN"/>
        </w:rPr>
        <w:t>:</w:t>
      </w:r>
      <w:r>
        <w:rPr>
          <w:rFonts w:ascii="Times New Roman" w:hAnsi="Times New Roman"/>
          <w:lang w:eastAsia="zh-CN"/>
        </w:rPr>
        <w:t xml:space="preserve"> у</w:t>
      </w:r>
      <w:r>
        <w:rPr>
          <w:rFonts w:ascii="Times New Roman" w:hAnsi="Times New Roman"/>
          <w:spacing w:val="-2"/>
          <w:lang w:eastAsia="zh-CN"/>
        </w:rPr>
        <w:t xml:space="preserve">пражнения для изучения </w:t>
      </w:r>
      <w:r>
        <w:rPr>
          <w:rFonts w:ascii="Times New Roman" w:hAnsi="Times New Roman"/>
          <w:spacing w:val="1"/>
          <w:lang w:eastAsia="zh-CN"/>
        </w:rPr>
        <w:t>старта из воды,</w:t>
      </w:r>
      <w:r>
        <w:rPr>
          <w:rFonts w:ascii="Times New Roman" w:hAnsi="Times New Roman"/>
          <w:lang w:eastAsia="zh-CN"/>
        </w:rPr>
        <w:t xml:space="preserve"> упражнения</w:t>
      </w:r>
      <w:r>
        <w:rPr>
          <w:rFonts w:ascii="Times New Roman" w:hAnsi="Times New Roman"/>
          <w:spacing w:val="-4"/>
          <w:lang w:eastAsia="zh-CN"/>
        </w:rPr>
        <w:t xml:space="preserve"> для изучения открытого плоского поворота в кроле на </w:t>
      </w:r>
      <w:r>
        <w:rPr>
          <w:rFonts w:ascii="Times New Roman" w:hAnsi="Times New Roman"/>
          <w:spacing w:val="-9"/>
          <w:lang w:eastAsia="zh-CN"/>
        </w:rPr>
        <w:t>груди</w:t>
      </w:r>
      <w:r>
        <w:rPr>
          <w:rFonts w:ascii="Times New Roman" w:hAnsi="Times New Roman"/>
          <w:lang w:eastAsia="zh-CN"/>
        </w:rPr>
        <w:t xml:space="preserve">, </w:t>
      </w:r>
      <w:r>
        <w:rPr>
          <w:rFonts w:ascii="Times New Roman" w:hAnsi="Times New Roman"/>
          <w:spacing w:val="-13"/>
          <w:lang w:eastAsia="zh-CN"/>
        </w:rPr>
        <w:t xml:space="preserve">на </w:t>
      </w:r>
      <w:r>
        <w:rPr>
          <w:rFonts w:ascii="Times New Roman" w:hAnsi="Times New Roman"/>
          <w:spacing w:val="-12"/>
          <w:lang w:eastAsia="zh-CN"/>
        </w:rPr>
        <w:t>спине,</w:t>
      </w:r>
      <w:r>
        <w:rPr>
          <w:rFonts w:ascii="Times New Roman" w:hAnsi="Times New Roman"/>
          <w:spacing w:val="4"/>
          <w:lang w:eastAsia="zh-CN"/>
        </w:rPr>
        <w:t xml:space="preserve"> поворота «маятником» в брассе.</w:t>
      </w:r>
    </w:p>
    <w:p w14:paraId="06775599">
      <w:pPr>
        <w:pBdr>
          <w:top w:val="none" w:color="000000" w:sz="0" w:space="0"/>
          <w:left w:val="none" w:color="000000" w:sz="0" w:space="0"/>
          <w:bottom w:val="none" w:color="000000" w:sz="0" w:space="0"/>
          <w:right w:val="none" w:color="000000" w:sz="0" w:space="0"/>
        </w:pBdr>
        <w:suppressAutoHyphens/>
        <w:spacing w:after="0" w:line="360" w:lineRule="auto"/>
        <w:ind w:firstLine="709"/>
        <w:jc w:val="both"/>
        <w:rPr>
          <w:rFonts w:ascii="Times New Roman" w:hAnsi="Times New Roman"/>
          <w:lang w:eastAsia="zh-CN"/>
        </w:rPr>
      </w:pPr>
      <w:r>
        <w:rPr>
          <w:rFonts w:ascii="Times New Roman" w:hAnsi="Times New Roman"/>
          <w:lang w:eastAsia="zh-CN"/>
        </w:rPr>
        <w:t>Тестовые упражнения по физической подготовленности в плавании. Участие в соревновательной деятельности.</w:t>
      </w:r>
    </w:p>
    <w:p w14:paraId="485C761E">
      <w:pPr>
        <w:pBdr>
          <w:top w:val="none" w:color="000000" w:sz="0" w:space="0"/>
          <w:left w:val="none" w:color="000000" w:sz="0" w:space="0"/>
          <w:bottom w:val="none" w:color="000000" w:sz="0" w:space="0"/>
          <w:right w:val="none" w:color="000000" w:sz="0" w:space="0"/>
        </w:pBdr>
        <w:suppressAutoHyphens/>
        <w:spacing w:after="0" w:line="360" w:lineRule="auto"/>
        <w:ind w:firstLine="709"/>
        <w:jc w:val="both"/>
        <w:rPr>
          <w:rFonts w:ascii="Times New Roman" w:hAnsi="Times New Roman"/>
          <w:u w:color="000000"/>
          <w:lang w:eastAsia="zh-CN"/>
        </w:rPr>
      </w:pPr>
      <w:r>
        <w:rPr>
          <w:rFonts w:ascii="Times New Roman" w:hAnsi="Times New Roman" w:eastAsia="Times New Roman"/>
          <w:bCs/>
          <w:lang w:eastAsia="zh-CN"/>
        </w:rPr>
        <w:t>16.4.</w:t>
      </w:r>
      <w:r>
        <w:rPr>
          <w:rFonts w:ascii="Times New Roman" w:hAnsi="Times New Roman"/>
          <w:lang w:eastAsia="zh-CN"/>
        </w:rPr>
        <w:t>5.7. </w:t>
      </w:r>
      <w:r>
        <w:rPr>
          <w:rFonts w:ascii="Times New Roman" w:hAnsi="Times New Roman"/>
          <w:u w:color="000000"/>
          <w:lang w:eastAsia="zh-CN"/>
        </w:rPr>
        <w:t>Содержание модуля «Плавание» направлено на достижение обучающимися личностных, метапредметных и предметных результатов обучения.</w:t>
      </w:r>
    </w:p>
    <w:p w14:paraId="1080287C">
      <w:pPr>
        <w:pBdr>
          <w:top w:val="none" w:color="000000" w:sz="0" w:space="0"/>
          <w:left w:val="none" w:color="000000" w:sz="0" w:space="0"/>
          <w:bottom w:val="none" w:color="000000" w:sz="0" w:space="0"/>
          <w:right w:val="none" w:color="000000" w:sz="0" w:space="0"/>
        </w:pBdr>
        <w:suppressAutoHyphens/>
        <w:spacing w:after="0" w:line="360" w:lineRule="auto"/>
        <w:ind w:firstLine="709"/>
        <w:jc w:val="both"/>
        <w:rPr>
          <w:rFonts w:ascii="Times New Roman" w:hAnsi="Times New Roman"/>
          <w:u w:color="000000"/>
          <w:lang w:eastAsia="zh-CN"/>
        </w:rPr>
      </w:pPr>
      <w:r>
        <w:rPr>
          <w:rFonts w:ascii="Times New Roman" w:hAnsi="Times New Roman" w:eastAsia="Times New Roman"/>
          <w:bCs/>
          <w:lang w:eastAsia="zh-CN"/>
        </w:rPr>
        <w:t>16.4.</w:t>
      </w:r>
      <w:r>
        <w:rPr>
          <w:rFonts w:ascii="Times New Roman" w:hAnsi="Times New Roman"/>
          <w:lang w:eastAsia="zh-CN"/>
        </w:rPr>
        <w:t>5.7.1. </w:t>
      </w:r>
      <w:r>
        <w:rPr>
          <w:rFonts w:ascii="Times New Roman" w:hAnsi="Times New Roman"/>
          <w:u w:color="000000"/>
          <w:lang w:eastAsia="zh-CN"/>
        </w:rPr>
        <w:t>При изучении модуля «Плавание» на уровне начального общего образования у обучающихся будут сформированы следующие личностные результаты:</w:t>
      </w:r>
    </w:p>
    <w:p w14:paraId="59E383C9">
      <w:pPr>
        <w:spacing w:after="0" w:line="360" w:lineRule="auto"/>
        <w:ind w:firstLine="709"/>
        <w:contextualSpacing/>
        <w:jc w:val="both"/>
        <w:rPr>
          <w:rFonts w:ascii="Times New Roman" w:hAnsi="Times New Roman" w:eastAsia="Times New Roman"/>
          <w:u w:color="000000"/>
          <w:lang w:eastAsia="ru-RU"/>
        </w:rPr>
      </w:pPr>
      <w:r>
        <w:rPr>
          <w:rFonts w:ascii="Times New Roman" w:hAnsi="Times New Roman" w:eastAsia="HiddenHorzOCR"/>
          <w:u w:color="000000"/>
          <w:lang w:eastAsia="ru-RU"/>
        </w:rPr>
        <w:t xml:space="preserve">проявление чувства гордости за свою Родину, российский народ и историю России через </w:t>
      </w:r>
      <w:r>
        <w:rPr>
          <w:rFonts w:ascii="Times New Roman" w:hAnsi="Times New Roman"/>
          <w:u w:color="000000"/>
          <w:lang w:eastAsia="ru-RU"/>
        </w:rPr>
        <w:t>достижения отечественной сборной команды страны;</w:t>
      </w:r>
    </w:p>
    <w:p w14:paraId="613439CF">
      <w:pPr>
        <w:spacing w:after="0" w:line="360" w:lineRule="auto"/>
        <w:ind w:firstLine="709"/>
        <w:contextualSpacing/>
        <w:jc w:val="both"/>
        <w:rPr>
          <w:rFonts w:ascii="Times New Roman" w:hAnsi="Times New Roman"/>
          <w:u w:color="000000"/>
          <w:lang w:eastAsia="ru-RU"/>
        </w:rPr>
      </w:pPr>
      <w:r>
        <w:rPr>
          <w:rFonts w:ascii="Times New Roman" w:hAnsi="Times New Roman"/>
          <w:u w:color="000000"/>
          <w:lang w:eastAsia="ru-RU"/>
        </w:rPr>
        <w:t xml:space="preserve">проявление уважительного отношения к сверстникам, культуры общения и взаимодействия, </w:t>
      </w:r>
      <w:r>
        <w:rPr>
          <w:rFonts w:ascii="Times New Roman" w:hAnsi="Times New Roman"/>
          <w:lang w:eastAsia="zh-CN"/>
        </w:rPr>
        <w:t>нравственного поведения, проявление положительных качеств личности, осознанного и ответственного отношения к собственным поступкам, решение проблем в процессе занятий плаванием;</w:t>
      </w:r>
    </w:p>
    <w:p w14:paraId="357E61E1">
      <w:pPr>
        <w:pBdr>
          <w:top w:val="none" w:color="000000" w:sz="0" w:space="0"/>
          <w:left w:val="none" w:color="000000" w:sz="0" w:space="0"/>
          <w:bottom w:val="none" w:color="000000" w:sz="0" w:space="0"/>
          <w:right w:val="none" w:color="000000" w:sz="0" w:space="0"/>
        </w:pBdr>
        <w:suppressAutoHyphens/>
        <w:spacing w:after="0" w:line="360" w:lineRule="auto"/>
        <w:ind w:firstLine="709"/>
        <w:jc w:val="both"/>
        <w:rPr>
          <w:rFonts w:ascii="Times New Roman" w:hAnsi="Times New Roman"/>
          <w:lang w:eastAsia="zh-CN"/>
        </w:rPr>
      </w:pPr>
      <w:r>
        <w:rPr>
          <w:rFonts w:ascii="Times New Roman" w:hAnsi="Times New Roman"/>
          <w:lang w:eastAsia="zh-CN"/>
        </w:rPr>
        <w:t>ценности здорового и безопасного образа жизни, усвоение правил безопасного поведения в учебной, соревновательной, досуговой деятельности и чрезвычайных ситуациях при занятии плаванием.</w:t>
      </w:r>
    </w:p>
    <w:p w14:paraId="4DDC8183">
      <w:pPr>
        <w:pBdr>
          <w:top w:val="none" w:color="000000" w:sz="0" w:space="0"/>
          <w:left w:val="none" w:color="000000" w:sz="0" w:space="0"/>
          <w:bottom w:val="none" w:color="000000" w:sz="0" w:space="0"/>
          <w:right w:val="none" w:color="000000" w:sz="0" w:space="0"/>
        </w:pBdr>
        <w:suppressAutoHyphens/>
        <w:spacing w:after="0" w:line="360" w:lineRule="auto"/>
        <w:ind w:firstLine="709"/>
        <w:jc w:val="both"/>
        <w:rPr>
          <w:rFonts w:ascii="Times New Roman" w:hAnsi="Times New Roman"/>
          <w:lang w:eastAsia="zh-CN"/>
        </w:rPr>
      </w:pPr>
      <w:r>
        <w:rPr>
          <w:rFonts w:ascii="Times New Roman" w:hAnsi="Times New Roman" w:eastAsia="Times New Roman"/>
          <w:bCs/>
          <w:lang w:eastAsia="zh-CN"/>
        </w:rPr>
        <w:t>16.4.</w:t>
      </w:r>
      <w:r>
        <w:rPr>
          <w:rFonts w:ascii="Times New Roman" w:hAnsi="Times New Roman"/>
          <w:lang w:eastAsia="zh-CN"/>
        </w:rPr>
        <w:t>5.7.2. </w:t>
      </w:r>
      <w:r>
        <w:rPr>
          <w:rFonts w:ascii="Times New Roman" w:hAnsi="Times New Roman"/>
          <w:u w:color="000000"/>
          <w:lang w:eastAsia="zh-CN"/>
        </w:rPr>
        <w:t>При изучении модуля «Плавание» на уровне начального общего образования у обучающихся будут сформированы следующие</w:t>
      </w:r>
      <w:r>
        <w:rPr>
          <w:rFonts w:ascii="Times New Roman" w:hAnsi="Times New Roman"/>
          <w:lang w:eastAsia="zh-CN"/>
        </w:rPr>
        <w:t xml:space="preserve"> метапредметные результаты:</w:t>
      </w:r>
    </w:p>
    <w:p w14:paraId="6A4141C6">
      <w:pPr>
        <w:pBdr>
          <w:top w:val="none" w:color="000000" w:sz="0" w:space="0"/>
          <w:left w:val="none" w:color="000000" w:sz="0" w:space="0"/>
          <w:bottom w:val="none" w:color="000000" w:sz="0" w:space="0"/>
          <w:right w:val="none" w:color="000000" w:sz="0" w:space="0"/>
        </w:pBdr>
        <w:suppressAutoHyphens/>
        <w:spacing w:after="0" w:line="360" w:lineRule="auto"/>
        <w:ind w:firstLine="709"/>
        <w:jc w:val="both"/>
        <w:rPr>
          <w:rFonts w:ascii="Times New Roman" w:hAnsi="Times New Roman"/>
          <w:lang w:eastAsia="zh-CN"/>
        </w:rPr>
      </w:pPr>
      <w:r>
        <w:rPr>
          <w:rFonts w:ascii="Times New Roman" w:hAnsi="Times New Roman"/>
          <w:lang w:eastAsia="zh-CN"/>
        </w:rPr>
        <w:t>умение самостоятельно определять цели и задачи своего обучения средствами плавания, развивать мотивы и интересы своей познавательной деятельности в физкультурно-спортивном направлении;</w:t>
      </w:r>
    </w:p>
    <w:p w14:paraId="77286F38">
      <w:pPr>
        <w:pBdr>
          <w:top w:val="none" w:color="000000" w:sz="0" w:space="0"/>
          <w:left w:val="none" w:color="000000" w:sz="0" w:space="0"/>
          <w:bottom w:val="none" w:color="000000" w:sz="0" w:space="0"/>
          <w:right w:val="none" w:color="000000" w:sz="0" w:space="0"/>
        </w:pBdr>
        <w:suppressAutoHyphens/>
        <w:spacing w:after="0" w:line="360" w:lineRule="auto"/>
        <w:ind w:firstLine="709"/>
        <w:jc w:val="both"/>
        <w:rPr>
          <w:rFonts w:ascii="Times New Roman" w:hAnsi="Times New Roman"/>
          <w:lang w:eastAsia="zh-CN"/>
        </w:rPr>
      </w:pPr>
      <w:r>
        <w:rPr>
          <w:rFonts w:ascii="Times New Roman" w:hAnsi="Times New Roman"/>
          <w:lang w:eastAsia="zh-CN"/>
        </w:rPr>
        <w:t>умение планировать пути достижения целей с учетом наиболее эффективных способов решения задач средствами плавания в учебной, игровой, соревновательной и досуговой деятельности, соотносить двигательные действия с планируемыми результатами в плавании, определять и корректировать способы действий в рамках предложенных условий;</w:t>
      </w:r>
    </w:p>
    <w:p w14:paraId="4D67D112">
      <w:pPr>
        <w:pBdr>
          <w:top w:val="none" w:color="000000" w:sz="0" w:space="0"/>
          <w:left w:val="none" w:color="000000" w:sz="0" w:space="0"/>
          <w:bottom w:val="none" w:color="000000" w:sz="0" w:space="0"/>
          <w:right w:val="none" w:color="000000" w:sz="0" w:space="0"/>
        </w:pBdr>
        <w:suppressAutoHyphens/>
        <w:spacing w:after="0" w:line="360" w:lineRule="auto"/>
        <w:ind w:firstLine="709"/>
        <w:jc w:val="both"/>
        <w:rPr>
          <w:rFonts w:ascii="Times New Roman" w:hAnsi="Times New Roman"/>
          <w:lang w:eastAsia="zh-CN"/>
        </w:rPr>
      </w:pPr>
      <w:r>
        <w:rPr>
          <w:rFonts w:ascii="Times New Roman" w:hAnsi="Times New Roman"/>
          <w:lang w:eastAsia="zh-CN"/>
        </w:rPr>
        <w:t>умение владеть основами самоконтроля, самооценки, выявлять, анализировать и находить способы устранения ошибок при выполнении технических приёмов и способов плавания;</w:t>
      </w:r>
    </w:p>
    <w:p w14:paraId="74934F37">
      <w:pPr>
        <w:pBdr>
          <w:top w:val="none" w:color="000000" w:sz="0" w:space="0"/>
          <w:left w:val="none" w:color="000000" w:sz="0" w:space="0"/>
          <w:bottom w:val="none" w:color="000000" w:sz="0" w:space="0"/>
          <w:right w:val="none" w:color="000000" w:sz="0" w:space="0"/>
        </w:pBdr>
        <w:suppressAutoHyphens/>
        <w:spacing w:after="0" w:line="360" w:lineRule="auto"/>
        <w:ind w:firstLine="709"/>
        <w:jc w:val="both"/>
        <w:rPr>
          <w:rFonts w:ascii="Times New Roman" w:hAnsi="Times New Roman"/>
          <w:lang w:eastAsia="zh-CN"/>
        </w:rPr>
      </w:pPr>
      <w:r>
        <w:rPr>
          <w:rFonts w:ascii="Times New Roman" w:hAnsi="Times New Roman"/>
          <w:lang w:eastAsia="zh-CN"/>
        </w:rPr>
        <w:t>умение организовывать совместную деятельность с учителем и сверстниками, работать индивидуально и в группе, формулировать, аргументировать и отстаивать своё мнение, соблюдать нормы информационной избирательности, этики и этикета.</w:t>
      </w:r>
    </w:p>
    <w:p w14:paraId="543C14CC">
      <w:pPr>
        <w:pBdr>
          <w:top w:val="none" w:color="000000" w:sz="0" w:space="0"/>
          <w:left w:val="none" w:color="000000" w:sz="0" w:space="0"/>
          <w:bottom w:val="none" w:color="000000" w:sz="0" w:space="0"/>
          <w:right w:val="none" w:color="000000" w:sz="0" w:space="0"/>
        </w:pBdr>
        <w:suppressAutoHyphens/>
        <w:spacing w:after="0" w:line="360" w:lineRule="auto"/>
        <w:ind w:firstLine="709"/>
        <w:jc w:val="both"/>
        <w:rPr>
          <w:rFonts w:ascii="Times New Roman" w:hAnsi="Times New Roman"/>
          <w:lang w:eastAsia="zh-CN"/>
        </w:rPr>
      </w:pPr>
      <w:r>
        <w:rPr>
          <w:rFonts w:ascii="Times New Roman" w:hAnsi="Times New Roman" w:eastAsia="Times New Roman"/>
          <w:bCs/>
          <w:lang w:eastAsia="zh-CN"/>
        </w:rPr>
        <w:t>16.4.</w:t>
      </w:r>
      <w:r>
        <w:rPr>
          <w:rFonts w:ascii="Times New Roman" w:hAnsi="Times New Roman"/>
          <w:lang w:eastAsia="zh-CN"/>
        </w:rPr>
        <w:t>5.7.3. </w:t>
      </w:r>
      <w:r>
        <w:rPr>
          <w:rFonts w:ascii="Times New Roman" w:hAnsi="Times New Roman"/>
          <w:u w:color="000000"/>
          <w:lang w:eastAsia="zh-CN"/>
        </w:rPr>
        <w:t xml:space="preserve">При изучении модуля «Плавание» на уровне начального общего образования у обучающихся будут сформированы следующие </w:t>
      </w:r>
      <w:r>
        <w:rPr>
          <w:rFonts w:ascii="Times New Roman" w:hAnsi="Times New Roman"/>
          <w:lang w:eastAsia="zh-CN"/>
        </w:rPr>
        <w:t>предметные результаты:</w:t>
      </w:r>
    </w:p>
    <w:p w14:paraId="488FAEB5">
      <w:pPr>
        <w:pBdr>
          <w:top w:val="none" w:color="000000" w:sz="0" w:space="0"/>
          <w:left w:val="none" w:color="000000" w:sz="0" w:space="0"/>
          <w:bottom w:val="none" w:color="000000" w:sz="0" w:space="0"/>
          <w:right w:val="none" w:color="000000" w:sz="0" w:space="0"/>
        </w:pBdr>
        <w:suppressAutoHyphens/>
        <w:spacing w:after="0" w:line="360" w:lineRule="auto"/>
        <w:ind w:firstLine="709"/>
        <w:jc w:val="both"/>
        <w:rPr>
          <w:rFonts w:ascii="Times New Roman" w:hAnsi="Times New Roman"/>
          <w:lang w:eastAsia="zh-CN"/>
        </w:rPr>
      </w:pPr>
      <w:r>
        <w:rPr>
          <w:rFonts w:ascii="Times New Roman" w:hAnsi="Times New Roman"/>
          <w:lang w:eastAsia="zh-CN"/>
        </w:rPr>
        <w:t>понимание значения плавания как средства повышения функциональных возможностей основных систем организма и укрепления здоровья человека;</w:t>
      </w:r>
    </w:p>
    <w:p w14:paraId="0BCF4B0B">
      <w:pPr>
        <w:shd w:val="clear" w:color="auto" w:fill="FFFFFF"/>
        <w:tabs>
          <w:tab w:val="left" w:pos="504"/>
        </w:tabs>
        <w:suppressAutoHyphens/>
        <w:spacing w:after="0" w:line="360" w:lineRule="auto"/>
        <w:ind w:firstLine="709"/>
        <w:jc w:val="both"/>
        <w:rPr>
          <w:rFonts w:ascii="Times New Roman" w:hAnsi="Times New Roman"/>
          <w:lang w:eastAsia="zh-CN"/>
        </w:rPr>
      </w:pPr>
      <w:r>
        <w:rPr>
          <w:rFonts w:ascii="Times New Roman" w:hAnsi="Times New Roman" w:eastAsia="@Arial Unicode MS"/>
          <w:lang w:eastAsia="zh-CN"/>
        </w:rPr>
        <w:t>умение преодолевать</w:t>
      </w:r>
      <w:r>
        <w:rPr>
          <w:rFonts w:ascii="Times New Roman" w:hAnsi="Times New Roman"/>
          <w:spacing w:val="-1"/>
          <w:lang w:eastAsia="zh-CN"/>
        </w:rPr>
        <w:t xml:space="preserve"> чувство страха перед водой и быстро ос</w:t>
      </w:r>
      <w:r>
        <w:rPr>
          <w:rFonts w:ascii="Times New Roman" w:hAnsi="Times New Roman"/>
          <w:spacing w:val="2"/>
          <w:lang w:eastAsia="zh-CN"/>
        </w:rPr>
        <w:t xml:space="preserve">ваиваться в водной среде после прыжка и </w:t>
      </w:r>
      <w:r>
        <w:rPr>
          <w:rFonts w:ascii="Times New Roman" w:hAnsi="Times New Roman"/>
          <w:lang w:eastAsia="zh-CN"/>
        </w:rPr>
        <w:t>длительного</w:t>
      </w:r>
      <w:r>
        <w:rPr>
          <w:rFonts w:ascii="Times New Roman" w:hAnsi="Times New Roman"/>
          <w:spacing w:val="2"/>
          <w:lang w:eastAsia="zh-CN"/>
        </w:rPr>
        <w:t xml:space="preserve"> погружения;</w:t>
      </w:r>
    </w:p>
    <w:p w14:paraId="0054EE6B">
      <w:pPr>
        <w:pBdr>
          <w:top w:val="none" w:color="000000" w:sz="0" w:space="0"/>
          <w:left w:val="none" w:color="000000" w:sz="0" w:space="0"/>
          <w:bottom w:val="none" w:color="000000" w:sz="0" w:space="0"/>
          <w:right w:val="none" w:color="000000" w:sz="0" w:space="0"/>
        </w:pBdr>
        <w:suppressAutoHyphens/>
        <w:spacing w:after="0" w:line="360" w:lineRule="auto"/>
        <w:ind w:firstLine="709"/>
        <w:jc w:val="both"/>
        <w:rPr>
          <w:rFonts w:ascii="Times New Roman" w:hAnsi="Times New Roman"/>
          <w:lang w:eastAsia="zh-CN"/>
        </w:rPr>
      </w:pPr>
      <w:r>
        <w:rPr>
          <w:rFonts w:ascii="Times New Roman" w:hAnsi="Times New Roman"/>
          <w:lang w:eastAsia="zh-CN"/>
        </w:rPr>
        <w:t xml:space="preserve">умение характеризовать </w:t>
      </w:r>
      <w:r>
        <w:rPr>
          <w:rFonts w:ascii="Times New Roman" w:hAnsi="Times New Roman"/>
        </w:rPr>
        <w:t>двигательные действия, относящиеся к стилям плавания: брасс, кроль на груди, кроль на спине;</w:t>
      </w:r>
    </w:p>
    <w:p w14:paraId="15E800DD">
      <w:pPr>
        <w:pBdr>
          <w:top w:val="none" w:color="000000" w:sz="0" w:space="0"/>
          <w:left w:val="none" w:color="000000" w:sz="0" w:space="0"/>
          <w:bottom w:val="none" w:color="000000" w:sz="0" w:space="0"/>
          <w:right w:val="none" w:color="000000" w:sz="0" w:space="0"/>
        </w:pBdr>
        <w:suppressAutoHyphens/>
        <w:spacing w:after="0" w:line="360" w:lineRule="auto"/>
        <w:ind w:firstLine="709"/>
        <w:jc w:val="both"/>
        <w:rPr>
          <w:rFonts w:ascii="Times New Roman" w:hAnsi="Times New Roman"/>
          <w:lang w:eastAsia="zh-CN"/>
        </w:rPr>
      </w:pPr>
      <w:r>
        <w:rPr>
          <w:rFonts w:ascii="Times New Roman" w:hAnsi="Times New Roman"/>
          <w:lang w:eastAsia="zh-CN"/>
        </w:rPr>
        <w:t>знание правил проведения соревнований по плаванию в учебной, соревновательной и досуговой деятельности;</w:t>
      </w:r>
    </w:p>
    <w:p w14:paraId="33B681A0">
      <w:pPr>
        <w:pBdr>
          <w:top w:val="none" w:color="000000" w:sz="0" w:space="0"/>
          <w:left w:val="none" w:color="000000" w:sz="0" w:space="0"/>
          <w:bottom w:val="none" w:color="000000" w:sz="0" w:space="0"/>
          <w:right w:val="none" w:color="000000" w:sz="0" w:space="0"/>
        </w:pBdr>
        <w:suppressAutoHyphens/>
        <w:spacing w:after="0" w:line="360" w:lineRule="auto"/>
        <w:ind w:firstLine="709"/>
        <w:jc w:val="both"/>
        <w:rPr>
          <w:rFonts w:ascii="Times New Roman" w:hAnsi="Times New Roman"/>
          <w:lang w:eastAsia="zh-CN"/>
        </w:rPr>
      </w:pPr>
      <w:r>
        <w:rPr>
          <w:rFonts w:ascii="Times New Roman" w:hAnsi="Times New Roman"/>
          <w:lang w:eastAsia="zh-CN"/>
        </w:rPr>
        <w:t>умение держаться на воде в безопорном положении, лежать на воде в положениях на груди и на спине, правильно дышать, находясь в воде, работать с плавательным инвентарем;</w:t>
      </w:r>
    </w:p>
    <w:p w14:paraId="2DCEC65E">
      <w:pPr>
        <w:pBdr>
          <w:top w:val="none" w:color="000000" w:sz="0" w:space="0"/>
          <w:left w:val="none" w:color="000000" w:sz="0" w:space="0"/>
          <w:bottom w:val="none" w:color="000000" w:sz="0" w:space="0"/>
          <w:right w:val="none" w:color="000000" w:sz="0" w:space="0"/>
        </w:pBdr>
        <w:suppressAutoHyphens/>
        <w:spacing w:after="0" w:line="360" w:lineRule="auto"/>
        <w:ind w:firstLine="709"/>
        <w:jc w:val="both"/>
        <w:rPr>
          <w:rFonts w:ascii="Times New Roman" w:hAnsi="Times New Roman"/>
          <w:lang w:eastAsia="zh-CN"/>
        </w:rPr>
      </w:pPr>
      <w:r>
        <w:rPr>
          <w:rFonts w:ascii="Times New Roman" w:hAnsi="Times New Roman" w:eastAsia="Times New Roman"/>
          <w:lang w:eastAsia="zh-CN"/>
        </w:rPr>
        <w:t>умение подбирать, составлять и осваивать самостоятельно и при участии и помощи родителей</w:t>
      </w:r>
      <w:r>
        <w:rPr>
          <w:rFonts w:ascii="Times New Roman" w:hAnsi="Times New Roman"/>
          <w:lang w:eastAsia="zh-CN"/>
        </w:rPr>
        <w:t xml:space="preserve"> простейшие </w:t>
      </w:r>
      <w:r>
        <w:rPr>
          <w:rFonts w:ascii="Times New Roman" w:hAnsi="Times New Roman" w:eastAsia="Times New Roman"/>
          <w:lang w:eastAsia="zh-CN"/>
        </w:rPr>
        <w:t xml:space="preserve">комплексы </w:t>
      </w:r>
      <w:r>
        <w:rPr>
          <w:rFonts w:ascii="Times New Roman" w:hAnsi="Times New Roman"/>
          <w:lang w:eastAsia="zh-CN"/>
        </w:rPr>
        <w:t xml:space="preserve">общеразвивающих, специальных и имитационных </w:t>
      </w:r>
      <w:r>
        <w:rPr>
          <w:rFonts w:ascii="Times New Roman" w:hAnsi="Times New Roman" w:eastAsia="Times New Roman"/>
          <w:lang w:eastAsia="zh-CN"/>
        </w:rPr>
        <w:t xml:space="preserve">упражнений </w:t>
      </w:r>
      <w:r>
        <w:rPr>
          <w:rFonts w:ascii="Times New Roman" w:hAnsi="Times New Roman"/>
          <w:lang w:eastAsia="zh-CN"/>
        </w:rPr>
        <w:t>для занятий плаванием;</w:t>
      </w:r>
    </w:p>
    <w:p w14:paraId="3840CE22">
      <w:pPr>
        <w:pBdr>
          <w:top w:val="none" w:color="000000" w:sz="0" w:space="0"/>
          <w:left w:val="none" w:color="000000" w:sz="0" w:space="0"/>
          <w:bottom w:val="none" w:color="000000" w:sz="0" w:space="0"/>
          <w:right w:val="none" w:color="000000" w:sz="0" w:space="0"/>
        </w:pBdr>
        <w:suppressAutoHyphens/>
        <w:spacing w:after="0" w:line="360" w:lineRule="auto"/>
        <w:ind w:firstLine="709"/>
        <w:jc w:val="both"/>
        <w:rPr>
          <w:rFonts w:ascii="Times New Roman" w:hAnsi="Times New Roman"/>
          <w:lang w:eastAsia="zh-CN"/>
        </w:rPr>
      </w:pPr>
      <w:r>
        <w:rPr>
          <w:rFonts w:ascii="Times New Roman" w:hAnsi="Times New Roman"/>
          <w:lang w:eastAsia="zh-CN"/>
        </w:rPr>
        <w:t>владение правилами поведения и требованиями безопасности при организации занятий плаванием в плавательном бассейне, на открытых водоемах в различное время года, правилами купания в необорудованных местах;</w:t>
      </w:r>
    </w:p>
    <w:p w14:paraId="6D905570">
      <w:pPr>
        <w:pBdr>
          <w:top w:val="none" w:color="000000" w:sz="0" w:space="0"/>
          <w:left w:val="none" w:color="000000" w:sz="0" w:space="0"/>
          <w:bottom w:val="none" w:color="000000" w:sz="0" w:space="0"/>
          <w:right w:val="none" w:color="000000" w:sz="0" w:space="0"/>
        </w:pBdr>
        <w:suppressAutoHyphens/>
        <w:spacing w:after="0" w:line="360" w:lineRule="auto"/>
        <w:ind w:firstLine="709"/>
        <w:jc w:val="both"/>
        <w:rPr>
          <w:rFonts w:ascii="Times New Roman" w:hAnsi="Times New Roman"/>
          <w:lang w:eastAsia="zh-CN"/>
        </w:rPr>
      </w:pPr>
      <w:r>
        <w:rPr>
          <w:rFonts w:ascii="Times New Roman" w:hAnsi="Times New Roman"/>
          <w:lang w:eastAsia="zh-CN"/>
        </w:rPr>
        <w:t>умение осуществлять самоконтроль за физической нагрузкой в процессе занятий плаванием, применять средства восстановления организма после физической нагрузки;</w:t>
      </w:r>
    </w:p>
    <w:p w14:paraId="2509846E">
      <w:pPr>
        <w:pBdr>
          <w:top w:val="none" w:color="000000" w:sz="0" w:space="0"/>
          <w:left w:val="none" w:color="000000" w:sz="0" w:space="0"/>
          <w:bottom w:val="none" w:color="000000" w:sz="0" w:space="0"/>
          <w:right w:val="none" w:color="000000" w:sz="0" w:space="0"/>
        </w:pBdr>
        <w:suppressAutoHyphens/>
        <w:spacing w:after="0" w:line="360" w:lineRule="auto"/>
        <w:ind w:firstLine="709"/>
        <w:jc w:val="both"/>
        <w:rPr>
          <w:rFonts w:ascii="Times New Roman" w:hAnsi="Times New Roman"/>
          <w:lang w:eastAsia="zh-CN"/>
        </w:rPr>
      </w:pPr>
      <w:r>
        <w:rPr>
          <w:rFonts w:ascii="Times New Roman" w:hAnsi="Times New Roman"/>
          <w:lang w:eastAsia="zh-CN"/>
        </w:rPr>
        <w:t xml:space="preserve">умение демонстрировать </w:t>
      </w:r>
      <w:r>
        <w:rPr>
          <w:rFonts w:ascii="Times New Roman" w:hAnsi="Times New Roman" w:eastAsia="Times New Roman"/>
          <w:lang w:eastAsia="zh-CN"/>
        </w:rPr>
        <w:t>общеразвивающие</w:t>
      </w:r>
      <w:r>
        <w:rPr>
          <w:rFonts w:ascii="Times New Roman" w:hAnsi="Times New Roman"/>
          <w:lang w:eastAsia="zh-CN"/>
        </w:rPr>
        <w:t xml:space="preserve"> специальные и имитационные упражнения на суше для повышения уровня общего физической подготовленности, развития основных физических качеств и предварительной подготовки к освоению упражнений в воде;</w:t>
      </w:r>
    </w:p>
    <w:p w14:paraId="2FD9935E">
      <w:pPr>
        <w:suppressAutoHyphens/>
        <w:spacing w:after="0" w:line="360" w:lineRule="auto"/>
        <w:ind w:firstLine="709"/>
        <w:contextualSpacing/>
        <w:jc w:val="both"/>
        <w:rPr>
          <w:rFonts w:ascii="Times New Roman" w:hAnsi="Times New Roman"/>
          <w:lang w:eastAsia="zh-CN"/>
        </w:rPr>
      </w:pPr>
      <w:r>
        <w:rPr>
          <w:rFonts w:ascii="Times New Roman" w:hAnsi="Times New Roman"/>
          <w:lang w:eastAsia="zh-CN"/>
        </w:rPr>
        <w:t>участие в соревновательной деятельности внутри школьных этапов различных соревнований, фестивалей, конкурсов по плаванию;</w:t>
      </w:r>
    </w:p>
    <w:p w14:paraId="72B6E13B">
      <w:pPr>
        <w:pBdr>
          <w:top w:val="none" w:color="000000" w:sz="0" w:space="0"/>
          <w:left w:val="none" w:color="000000" w:sz="0" w:space="0"/>
          <w:bottom w:val="none" w:color="000000" w:sz="0" w:space="0"/>
          <w:right w:val="none" w:color="000000" w:sz="0" w:space="0"/>
        </w:pBdr>
        <w:suppressAutoHyphens/>
        <w:spacing w:after="0" w:line="360" w:lineRule="auto"/>
        <w:ind w:firstLine="709"/>
        <w:jc w:val="both"/>
        <w:rPr>
          <w:rFonts w:ascii="Times New Roman" w:hAnsi="Times New Roman"/>
          <w:lang w:eastAsia="zh-CN"/>
        </w:rPr>
      </w:pPr>
      <w:r>
        <w:rPr>
          <w:rFonts w:ascii="Times New Roman" w:hAnsi="Times New Roman"/>
          <w:lang w:eastAsia="zh-CN"/>
        </w:rPr>
        <w:t>знание и выполнение тестовых упражнений по физической подготовленности в плавании, участие в соревнованиях по плаванию.</w:t>
      </w:r>
    </w:p>
    <w:p w14:paraId="3B27536A">
      <w:pPr>
        <w:pBdr>
          <w:top w:val="none" w:color="000000" w:sz="0" w:space="0"/>
          <w:left w:val="none" w:color="000000" w:sz="0" w:space="0"/>
          <w:bottom w:val="none" w:color="000000" w:sz="0" w:space="0"/>
          <w:right w:val="none" w:color="000000" w:sz="0" w:space="0"/>
        </w:pBdr>
        <w:suppressAutoHyphens/>
        <w:spacing w:after="0" w:line="360" w:lineRule="auto"/>
        <w:ind w:firstLine="709"/>
        <w:jc w:val="both"/>
        <w:rPr>
          <w:rFonts w:ascii="Times New Roman" w:hAnsi="Times New Roman"/>
          <w:bCs/>
          <w:u w:color="000000"/>
          <w:lang w:eastAsia="zh-CN"/>
        </w:rPr>
      </w:pPr>
      <w:r>
        <w:rPr>
          <w:rFonts w:ascii="Times New Roman" w:hAnsi="Times New Roman" w:eastAsia="Times New Roman"/>
          <w:bCs/>
          <w:lang w:eastAsia="zh-CN"/>
        </w:rPr>
        <w:t>16.4.</w:t>
      </w:r>
      <w:r>
        <w:rPr>
          <w:rFonts w:ascii="Times New Roman" w:hAnsi="Times New Roman" w:eastAsia="Times New Roman"/>
          <w:bCs/>
          <w:u w:color="000000"/>
          <w:lang w:eastAsia="zh-CN"/>
        </w:rPr>
        <w:t>6. М</w:t>
      </w:r>
      <w:r>
        <w:rPr>
          <w:rFonts w:ascii="Times New Roman" w:hAnsi="Times New Roman"/>
          <w:bCs/>
          <w:u w:color="000000"/>
          <w:lang w:eastAsia="zh-CN"/>
        </w:rPr>
        <w:t>одуль «Хоккей».</w:t>
      </w:r>
    </w:p>
    <w:p w14:paraId="64D8285A">
      <w:pPr>
        <w:pBdr>
          <w:top w:val="none" w:color="000000" w:sz="0" w:space="0"/>
          <w:left w:val="none" w:color="000000" w:sz="0" w:space="0"/>
          <w:bottom w:val="none" w:color="000000" w:sz="0" w:space="0"/>
          <w:right w:val="none" w:color="000000" w:sz="0" w:space="0"/>
        </w:pBdr>
        <w:suppressAutoHyphens/>
        <w:spacing w:after="0" w:line="360" w:lineRule="auto"/>
        <w:ind w:firstLine="709"/>
        <w:jc w:val="both"/>
        <w:rPr>
          <w:rFonts w:ascii="Times New Roman" w:hAnsi="Times New Roman"/>
          <w:u w:color="000000"/>
          <w:lang w:eastAsia="zh-CN"/>
        </w:rPr>
      </w:pPr>
      <w:r>
        <w:rPr>
          <w:rFonts w:ascii="Times New Roman" w:hAnsi="Times New Roman" w:eastAsia="Times New Roman"/>
          <w:bCs/>
          <w:lang w:eastAsia="zh-CN"/>
        </w:rPr>
        <w:t>16.4.</w:t>
      </w:r>
      <w:r>
        <w:rPr>
          <w:rFonts w:ascii="Times New Roman" w:hAnsi="Times New Roman" w:eastAsia="Times New Roman"/>
          <w:bCs/>
          <w:u w:color="000000"/>
          <w:lang w:eastAsia="zh-CN"/>
        </w:rPr>
        <w:t>6.1. </w:t>
      </w:r>
      <w:r>
        <w:rPr>
          <w:rFonts w:ascii="Times New Roman" w:hAnsi="Times New Roman"/>
          <w:u w:color="000000"/>
          <w:lang w:eastAsia="zh-CN"/>
        </w:rPr>
        <w:t>Пояснительная записка модуля «Хоккей».</w:t>
      </w:r>
    </w:p>
    <w:p w14:paraId="14DB1CF0">
      <w:pPr>
        <w:pBdr>
          <w:top w:val="none" w:color="000000" w:sz="0" w:space="0"/>
          <w:left w:val="none" w:color="000000" w:sz="0" w:space="0"/>
          <w:bottom w:val="none" w:color="000000" w:sz="0" w:space="0"/>
          <w:right w:val="none" w:color="000000" w:sz="0" w:space="0"/>
        </w:pBdr>
        <w:suppressAutoHyphens/>
        <w:spacing w:after="0" w:line="360" w:lineRule="auto"/>
        <w:ind w:firstLine="709"/>
        <w:jc w:val="both"/>
        <w:rPr>
          <w:rFonts w:ascii="Times New Roman" w:hAnsi="Times New Roman"/>
          <w:u w:color="000000"/>
          <w:lang w:eastAsia="zh-CN"/>
        </w:rPr>
      </w:pPr>
      <w:r>
        <w:rPr>
          <w:rFonts w:ascii="Times New Roman" w:hAnsi="Times New Roman"/>
          <w:u w:color="000000"/>
          <w:lang w:eastAsia="zh-CN"/>
        </w:rPr>
        <w:t xml:space="preserve">Модуль «Хоккей» </w:t>
      </w:r>
      <w:r>
        <w:rPr>
          <w:rFonts w:ascii="Times New Roman" w:hAnsi="Times New Roman" w:eastAsia="Times New Roman"/>
          <w:u w:color="000000"/>
          <w:lang w:eastAsia="ru-RU"/>
        </w:rPr>
        <w:t xml:space="preserve">(далее – модуль по хоккею, хоккей) </w:t>
      </w:r>
      <w:r>
        <w:rPr>
          <w:rFonts w:ascii="Times New Roman" w:hAnsi="Times New Roman"/>
          <w:u w:color="000000"/>
          <w:lang w:eastAsia="zh-CN"/>
        </w:rPr>
        <w:t xml:space="preserve">на уровне начального общего образования разработан с целью оказания методической помощи учителю физической культуры в создании рабочей программы по учебному предмету «Физическая культура» с учётом </w:t>
      </w:r>
      <w:bookmarkStart w:id="279" w:name="_Hlk125118941"/>
      <w:r>
        <w:rPr>
          <w:rFonts w:ascii="Times New Roman" w:hAnsi="Times New Roman"/>
          <w:u w:color="000000"/>
          <w:lang w:eastAsia="zh-CN"/>
        </w:rPr>
        <w:t>современных тенденций в системе образования и использования спортивно-ориентированных форм, средств и методов обучения по различным видам спорта.</w:t>
      </w:r>
    </w:p>
    <w:bookmarkEnd w:id="279"/>
    <w:p w14:paraId="5E99221A">
      <w:pPr>
        <w:pBdr>
          <w:top w:val="none" w:color="auto" w:sz="0" w:space="0"/>
          <w:left w:val="none" w:color="auto" w:sz="0" w:space="0"/>
          <w:bottom w:val="none" w:color="auto" w:sz="0" w:space="0"/>
          <w:right w:val="none" w:color="auto" w:sz="0" w:space="0"/>
          <w:between w:val="none" w:color="auto" w:sz="0" w:space="0"/>
        </w:pBdr>
        <w:spacing w:after="0" w:line="360" w:lineRule="auto"/>
        <w:ind w:firstLine="709"/>
        <w:jc w:val="both"/>
        <w:rPr>
          <w:rFonts w:ascii="Times New Roman" w:hAnsi="Times New Roman" w:eastAsia="Arial Unicode MS"/>
          <w:u w:color="000000"/>
          <w:lang w:eastAsia="ru-RU"/>
        </w:rPr>
      </w:pPr>
      <w:r>
        <w:rPr>
          <w:rFonts w:ascii="Times New Roman" w:hAnsi="Times New Roman" w:eastAsia="Arial Unicode MS"/>
          <w:u w:color="000000"/>
          <w:lang w:eastAsia="ru-RU"/>
        </w:rPr>
        <w:t xml:space="preserve">Хоккей является эффективным средством физического воспитания </w:t>
      </w:r>
      <w:r>
        <w:rPr>
          <w:rFonts w:ascii="Times New Roman" w:hAnsi="Times New Roman"/>
          <w:u w:color="000000"/>
          <w:lang w:eastAsia="ru-RU"/>
        </w:rPr>
        <w:t>и содействует всестороннему физическому, интеллектуальному, нравственному развитию обучающихся, укреплению здоровья, привлечению обучающихся к систематическим занятиям физической культурой и спортом, их личностному и профессиональному самоопределению.</w:t>
      </w:r>
    </w:p>
    <w:p w14:paraId="1473EAD6">
      <w:pPr>
        <w:pBdr>
          <w:top w:val="none" w:color="auto" w:sz="0" w:space="0"/>
          <w:left w:val="none" w:color="auto" w:sz="0" w:space="0"/>
          <w:bottom w:val="none" w:color="auto" w:sz="0" w:space="0"/>
          <w:right w:val="none" w:color="auto" w:sz="0" w:space="0"/>
          <w:between w:val="none" w:color="auto" w:sz="0" w:space="0"/>
        </w:pBdr>
        <w:spacing w:after="0" w:line="360" w:lineRule="auto"/>
        <w:ind w:firstLine="709"/>
        <w:jc w:val="both"/>
        <w:rPr>
          <w:rFonts w:ascii="Times New Roman" w:hAnsi="Times New Roman" w:eastAsia="Arial Unicode MS"/>
          <w:u w:color="000000"/>
          <w:lang w:eastAsia="ru-RU"/>
        </w:rPr>
      </w:pPr>
      <w:r>
        <w:rPr>
          <w:rFonts w:ascii="Times New Roman" w:hAnsi="Times New Roman" w:eastAsia="Arial Unicode MS"/>
          <w:u w:color="000000"/>
          <w:lang w:eastAsia="ru-RU"/>
        </w:rPr>
        <w:t>Выполнение сложнокоординационных, технико-тактических действий в хоккее обеспечивает эффективное развитие физических качеств и двигательных навыков.</w:t>
      </w:r>
    </w:p>
    <w:p w14:paraId="30B9A9EB">
      <w:pPr>
        <w:pBdr>
          <w:top w:val="none" w:color="auto" w:sz="0" w:space="0"/>
          <w:left w:val="none" w:color="auto" w:sz="0" w:space="0"/>
          <w:bottom w:val="none" w:color="auto" w:sz="0" w:space="0"/>
          <w:right w:val="none" w:color="auto" w:sz="0" w:space="0"/>
          <w:between w:val="none" w:color="auto" w:sz="0" w:space="0"/>
        </w:pBdr>
        <w:spacing w:after="0" w:line="360" w:lineRule="auto"/>
        <w:ind w:firstLine="709"/>
        <w:jc w:val="both"/>
        <w:rPr>
          <w:rFonts w:ascii="Times New Roman" w:hAnsi="Times New Roman" w:eastAsia="Arial Unicode MS"/>
          <w:u w:color="000000"/>
          <w:lang w:eastAsia="ru-RU"/>
        </w:rPr>
      </w:pPr>
      <w:r>
        <w:rPr>
          <w:rFonts w:ascii="Times New Roman" w:hAnsi="Times New Roman"/>
          <w:u w:color="000000"/>
          <w:lang w:eastAsia="ru-RU"/>
        </w:rPr>
        <w:t>Средства хоккея формируют у обучающихся чувство патриотизма, нравственные качества (честность, доброжелательность, дисциплинированность, самообладание, терпимость, коллективизм) в сочетании с волевыми качествами (</w:t>
      </w:r>
      <w:r>
        <w:rPr>
          <w:rFonts w:ascii="Times New Roman" w:hAnsi="Times New Roman" w:eastAsia="Arial Unicode MS"/>
          <w:u w:color="000000"/>
          <w:lang w:eastAsia="ru-RU"/>
        </w:rPr>
        <w:t>смелость, решительность, инициатива, трудолюбие, настойчивость и целеустремленность, способность управлять своими эмоциями).</w:t>
      </w:r>
    </w:p>
    <w:p w14:paraId="7B9FC55B">
      <w:pPr>
        <w:pBdr>
          <w:top w:val="none" w:color="000000" w:sz="0" w:space="0"/>
          <w:left w:val="none" w:color="000000" w:sz="0" w:space="0"/>
          <w:bottom w:val="none" w:color="000000" w:sz="0" w:space="0"/>
          <w:right w:val="none" w:color="000000" w:sz="0" w:space="0"/>
        </w:pBdr>
        <w:suppressAutoHyphens/>
        <w:spacing w:after="0" w:line="360" w:lineRule="auto"/>
        <w:ind w:firstLine="709"/>
        <w:jc w:val="both"/>
        <w:rPr>
          <w:rFonts w:ascii="Times New Roman" w:hAnsi="Times New Roman"/>
          <w:u w:color="000000"/>
          <w:lang w:eastAsia="ru-RU"/>
        </w:rPr>
      </w:pPr>
      <w:r>
        <w:rPr>
          <w:rFonts w:ascii="Times New Roman" w:hAnsi="Times New Roman" w:eastAsia="Times New Roman"/>
          <w:bCs/>
          <w:lang w:eastAsia="zh-CN"/>
        </w:rPr>
        <w:t>16.4.</w:t>
      </w:r>
      <w:r>
        <w:rPr>
          <w:rFonts w:ascii="Times New Roman" w:hAnsi="Times New Roman"/>
          <w:u w:color="000000"/>
          <w:lang w:eastAsia="zh-CN"/>
        </w:rPr>
        <w:t xml:space="preserve">6.2. Целью изучения модуля «Хоккей» является </w:t>
      </w:r>
      <w:r>
        <w:rPr>
          <w:rFonts w:ascii="Times New Roman" w:hAnsi="Times New Roman"/>
          <w:u w:color="000000"/>
          <w:lang w:eastAsia="ru-RU"/>
        </w:rPr>
        <w:t>формирование у обучающихся навыков общечеловеческой культуры и социального самоопределения, устойчивой мотивации к сохранению и укреплению собственного здоровья, ведению здорового и безопасного образа жизни через занятия физической культурой и спортом с использованием средств хоккея.</w:t>
      </w:r>
    </w:p>
    <w:p w14:paraId="11D408E3">
      <w:pPr>
        <w:pBdr>
          <w:top w:val="none" w:color="auto" w:sz="0" w:space="0"/>
          <w:left w:val="none" w:color="auto" w:sz="0" w:space="0"/>
          <w:bottom w:val="none" w:color="auto" w:sz="0" w:space="0"/>
          <w:right w:val="none" w:color="auto" w:sz="0" w:space="0"/>
          <w:between w:val="none" w:color="auto" w:sz="0" w:space="0"/>
        </w:pBdr>
        <w:spacing w:after="0" w:line="360" w:lineRule="auto"/>
        <w:ind w:firstLine="709"/>
        <w:jc w:val="both"/>
        <w:rPr>
          <w:rFonts w:ascii="Times New Roman" w:hAnsi="Times New Roman"/>
          <w:u w:color="000000"/>
          <w:lang w:eastAsia="ru-RU"/>
        </w:rPr>
      </w:pPr>
      <w:r>
        <w:rPr>
          <w:rFonts w:ascii="Times New Roman" w:hAnsi="Times New Roman" w:eastAsia="Times New Roman"/>
          <w:bCs/>
          <w:lang w:eastAsia="zh-CN"/>
        </w:rPr>
        <w:t>16.4.</w:t>
      </w:r>
      <w:r>
        <w:rPr>
          <w:rFonts w:ascii="Times New Roman" w:hAnsi="Times New Roman"/>
          <w:u w:color="000000"/>
          <w:lang w:eastAsia="ru-RU"/>
        </w:rPr>
        <w:t xml:space="preserve">6.3. Задачами изучения модуля </w:t>
      </w:r>
      <w:r>
        <w:rPr>
          <w:rFonts w:ascii="Times New Roman" w:hAnsi="Times New Roman" w:eastAsia="Times New Roman"/>
          <w:u w:color="000000"/>
          <w:lang w:eastAsia="ar-SA"/>
        </w:rPr>
        <w:t xml:space="preserve">«Хоккей» </w:t>
      </w:r>
      <w:r>
        <w:rPr>
          <w:rFonts w:ascii="Times New Roman" w:hAnsi="Times New Roman"/>
          <w:u w:color="000000"/>
          <w:lang w:eastAsia="ru-RU"/>
        </w:rPr>
        <w:t>являются:</w:t>
      </w:r>
    </w:p>
    <w:p w14:paraId="42E57CBE">
      <w:pPr>
        <w:pBdr>
          <w:top w:val="none" w:color="auto" w:sz="0" w:space="0"/>
          <w:left w:val="none" w:color="auto" w:sz="0" w:space="0"/>
          <w:bottom w:val="none" w:color="auto" w:sz="0" w:space="0"/>
          <w:right w:val="none" w:color="auto" w:sz="0" w:space="0"/>
          <w:between w:val="none" w:color="auto" w:sz="0" w:space="0"/>
        </w:pBdr>
        <w:spacing w:after="0" w:line="360" w:lineRule="auto"/>
        <w:ind w:firstLine="709"/>
        <w:jc w:val="both"/>
        <w:rPr>
          <w:rFonts w:ascii="Times New Roman" w:hAnsi="Times New Roman"/>
          <w:u w:color="000000"/>
          <w:lang w:eastAsia="ru-RU"/>
        </w:rPr>
      </w:pPr>
      <w:r>
        <w:rPr>
          <w:rFonts w:ascii="Times New Roman" w:hAnsi="Times New Roman"/>
          <w:u w:color="000000"/>
          <w:lang w:eastAsia="ru-RU"/>
        </w:rPr>
        <w:t xml:space="preserve">всестороннее гармоничное развитие </w:t>
      </w:r>
      <w:r>
        <w:rPr>
          <w:rFonts w:ascii="Times New Roman" w:hAnsi="Times New Roman" w:eastAsia="Times New Roman"/>
          <w:lang w:eastAsia="zh-CN"/>
        </w:rPr>
        <w:t>обучающихся,</w:t>
      </w:r>
      <w:r>
        <w:rPr>
          <w:rFonts w:ascii="Times New Roman" w:hAnsi="Times New Roman"/>
          <w:u w:color="000000"/>
          <w:lang w:eastAsia="ru-RU"/>
        </w:rPr>
        <w:t xml:space="preserve"> увеличение объёма их двигательной активности;</w:t>
      </w:r>
    </w:p>
    <w:p w14:paraId="796231E5">
      <w:pPr>
        <w:pBdr>
          <w:top w:val="none" w:color="auto" w:sz="0" w:space="0"/>
          <w:left w:val="none" w:color="auto" w:sz="0" w:space="0"/>
          <w:bottom w:val="none" w:color="auto" w:sz="0" w:space="0"/>
          <w:right w:val="none" w:color="auto" w:sz="0" w:space="0"/>
          <w:between w:val="none" w:color="auto" w:sz="0" w:space="0"/>
        </w:pBdr>
        <w:spacing w:after="0" w:line="360" w:lineRule="auto"/>
        <w:ind w:firstLine="709"/>
        <w:jc w:val="both"/>
        <w:rPr>
          <w:rFonts w:ascii="Times New Roman" w:hAnsi="Times New Roman"/>
          <w:b/>
          <w:u w:color="000000"/>
          <w:lang w:eastAsia="ru-RU"/>
        </w:rPr>
      </w:pPr>
      <w:r>
        <w:rPr>
          <w:rFonts w:ascii="Times New Roman" w:hAnsi="Times New Roman"/>
          <w:u w:color="000000"/>
          <w:lang w:eastAsia="ru-RU"/>
        </w:rPr>
        <w:t xml:space="preserve">укрепление </w:t>
      </w:r>
      <w:r>
        <w:rPr>
          <w:rFonts w:ascii="Times New Roman" w:hAnsi="Times New Roman" w:eastAsia="@Arial Unicode MS"/>
          <w:u w:color="000000"/>
          <w:lang w:eastAsia="ru-RU"/>
        </w:rPr>
        <w:t xml:space="preserve">физического, психологического и социального </w:t>
      </w:r>
      <w:r>
        <w:rPr>
          <w:rFonts w:ascii="Times New Roman" w:hAnsi="Times New Roman"/>
          <w:u w:color="000000"/>
          <w:lang w:eastAsia="ru-RU"/>
        </w:rPr>
        <w:t xml:space="preserve">здоровья обучающихся, развитие основных физических качеств и повышение функциональных возможностей их организма, </w:t>
      </w:r>
      <w:r>
        <w:rPr>
          <w:rFonts w:ascii="Times New Roman" w:hAnsi="Times New Roman" w:eastAsia="@Arial Unicode MS"/>
          <w:u w:color="000000"/>
          <w:lang w:eastAsia="ru-RU"/>
        </w:rPr>
        <w:t xml:space="preserve">обеспечение культуры безопасного поведения </w:t>
      </w:r>
      <w:r>
        <w:rPr>
          <w:rFonts w:ascii="Times New Roman" w:hAnsi="Times New Roman"/>
          <w:u w:color="000000"/>
          <w:lang w:eastAsia="ru-RU"/>
        </w:rPr>
        <w:t>на занятиях по хоккею;</w:t>
      </w:r>
    </w:p>
    <w:p w14:paraId="21284A94">
      <w:pPr>
        <w:pBdr>
          <w:top w:val="none" w:color="auto" w:sz="0" w:space="0"/>
          <w:left w:val="none" w:color="auto" w:sz="0" w:space="0"/>
          <w:bottom w:val="none" w:color="auto" w:sz="0" w:space="0"/>
          <w:right w:val="none" w:color="auto" w:sz="0" w:space="0"/>
          <w:between w:val="none" w:color="auto" w:sz="0" w:space="0"/>
        </w:pBdr>
        <w:spacing w:after="0" w:line="360" w:lineRule="auto"/>
        <w:ind w:firstLine="709"/>
        <w:jc w:val="both"/>
        <w:rPr>
          <w:rFonts w:ascii="Times New Roman" w:hAnsi="Times New Roman"/>
          <w:b/>
          <w:u w:color="000000"/>
          <w:lang w:eastAsia="ru-RU"/>
        </w:rPr>
      </w:pPr>
      <w:r>
        <w:rPr>
          <w:rFonts w:ascii="Times New Roman" w:hAnsi="Times New Roman"/>
          <w:u w:color="000000"/>
          <w:lang w:eastAsia="ru-RU"/>
        </w:rPr>
        <w:t>освоение знаний о физической культуре и спорте в целом, истории развития хоккея в частности;</w:t>
      </w:r>
    </w:p>
    <w:p w14:paraId="544A64A0">
      <w:pPr>
        <w:pBdr>
          <w:top w:val="none" w:color="auto" w:sz="0" w:space="0"/>
          <w:left w:val="none" w:color="auto" w:sz="0" w:space="0"/>
          <w:bottom w:val="none" w:color="auto" w:sz="0" w:space="0"/>
          <w:right w:val="none" w:color="auto" w:sz="0" w:space="0"/>
          <w:between w:val="none" w:color="auto" w:sz="0" w:space="0"/>
        </w:pBdr>
        <w:spacing w:after="0" w:line="360" w:lineRule="auto"/>
        <w:ind w:firstLine="709"/>
        <w:jc w:val="both"/>
        <w:rPr>
          <w:rFonts w:ascii="Times New Roman" w:hAnsi="Times New Roman"/>
          <w:b/>
          <w:u w:color="000000"/>
          <w:lang w:eastAsia="ru-RU"/>
        </w:rPr>
      </w:pPr>
      <w:r>
        <w:rPr>
          <w:rFonts w:ascii="Times New Roman" w:hAnsi="Times New Roman"/>
          <w:u w:color="000000"/>
          <w:lang w:eastAsia="ru-RU"/>
        </w:rPr>
        <w:t>формирование общих представлений о хоккее, его истории, возможностях и значении в процессе укрепления здоровья, физическом развитии и физической подготовке обучающихся;</w:t>
      </w:r>
    </w:p>
    <w:p w14:paraId="6FF9F37C">
      <w:pPr>
        <w:pBdr>
          <w:top w:val="none" w:color="auto" w:sz="0" w:space="0"/>
          <w:left w:val="none" w:color="auto" w:sz="0" w:space="0"/>
          <w:bottom w:val="none" w:color="auto" w:sz="0" w:space="0"/>
          <w:right w:val="none" w:color="auto" w:sz="0" w:space="0"/>
          <w:between w:val="none" w:color="auto" w:sz="0" w:space="0"/>
        </w:pBdr>
        <w:spacing w:after="0" w:line="360" w:lineRule="auto"/>
        <w:ind w:firstLine="709"/>
        <w:jc w:val="both"/>
        <w:rPr>
          <w:rFonts w:ascii="Times New Roman" w:hAnsi="Times New Roman" w:eastAsia="@Arial Unicode MS"/>
          <w:u w:color="000000"/>
          <w:lang w:eastAsia="ru-RU"/>
        </w:rPr>
      </w:pPr>
      <w:r>
        <w:rPr>
          <w:rFonts w:ascii="Times New Roman" w:hAnsi="Times New Roman"/>
          <w:u w:color="000000"/>
          <w:lang w:eastAsia="ru-RU"/>
        </w:rPr>
        <w:t>формирование образовательного фундамента, основанного как на знаниях и умениях в области физической культуры и спорта, так и на соответствующем культурном уровне развития личности обучающегося, создающем необходимые предпосылки для его самореализации;</w:t>
      </w:r>
    </w:p>
    <w:p w14:paraId="44FE37EC">
      <w:pPr>
        <w:pBdr>
          <w:top w:val="none" w:color="auto" w:sz="0" w:space="0"/>
          <w:left w:val="none" w:color="auto" w:sz="0" w:space="0"/>
          <w:bottom w:val="none" w:color="auto" w:sz="0" w:space="0"/>
          <w:right w:val="none" w:color="auto" w:sz="0" w:space="0"/>
          <w:between w:val="none" w:color="auto" w:sz="0" w:space="0"/>
        </w:pBdr>
        <w:spacing w:after="0" w:line="360" w:lineRule="auto"/>
        <w:ind w:firstLine="709"/>
        <w:jc w:val="both"/>
        <w:rPr>
          <w:rFonts w:ascii="Times New Roman" w:hAnsi="Times New Roman"/>
          <w:u w:color="000000"/>
          <w:lang w:eastAsia="ru-RU"/>
        </w:rPr>
      </w:pPr>
      <w:r>
        <w:rPr>
          <w:rFonts w:ascii="Times New Roman" w:hAnsi="Times New Roman"/>
          <w:u w:color="000000"/>
          <w:lang w:eastAsia="ru-RU"/>
        </w:rPr>
        <w:t xml:space="preserve">формирование культуры движений, обогащение двигательного опыта физическими упражнениями с общеразвивающей и корригирующей направленностью, </w:t>
      </w:r>
      <w:r>
        <w:rPr>
          <w:rFonts w:ascii="Times New Roman" w:hAnsi="Times New Roman" w:eastAsia="PragmaticaC"/>
          <w:u w:color="000000"/>
          <w:lang w:eastAsia="ru-RU"/>
        </w:rPr>
        <w:t>техническими действиями и приемами вида спорта «хоккей»</w:t>
      </w:r>
      <w:r>
        <w:rPr>
          <w:rFonts w:ascii="Times New Roman" w:hAnsi="Times New Roman"/>
          <w:u w:color="000000"/>
          <w:lang w:eastAsia="ru-RU"/>
        </w:rPr>
        <w:t>;</w:t>
      </w:r>
    </w:p>
    <w:p w14:paraId="7F039D31">
      <w:pPr>
        <w:pBdr>
          <w:top w:val="none" w:color="auto" w:sz="0" w:space="0"/>
          <w:left w:val="none" w:color="auto" w:sz="0" w:space="0"/>
          <w:bottom w:val="none" w:color="auto" w:sz="0" w:space="0"/>
          <w:right w:val="none" w:color="auto" w:sz="0" w:space="0"/>
          <w:between w:val="none" w:color="auto" w:sz="0" w:space="0"/>
        </w:pBdr>
        <w:spacing w:after="0" w:line="360" w:lineRule="auto"/>
        <w:ind w:firstLine="709"/>
        <w:jc w:val="both"/>
        <w:rPr>
          <w:rFonts w:ascii="Times New Roman" w:hAnsi="Times New Roman" w:eastAsia="@Arial Unicode MS"/>
          <w:u w:color="000000"/>
          <w:lang w:eastAsia="ru-RU"/>
        </w:rPr>
      </w:pPr>
      <w:r>
        <w:rPr>
          <w:rFonts w:ascii="Times New Roman" w:hAnsi="Times New Roman"/>
          <w:u w:color="000000"/>
          <w:lang w:eastAsia="ru-RU"/>
        </w:rPr>
        <w:t>воспитание положительных качеств личности, норм коллективного взаимодействия и сотрудничества в образовательной и соревновательной деятельности;</w:t>
      </w:r>
    </w:p>
    <w:p w14:paraId="0EAD0057">
      <w:pPr>
        <w:pBdr>
          <w:top w:val="none" w:color="auto" w:sz="0" w:space="0"/>
          <w:left w:val="none" w:color="auto" w:sz="0" w:space="0"/>
          <w:bottom w:val="none" w:color="auto" w:sz="0" w:space="0"/>
          <w:right w:val="none" w:color="auto" w:sz="0" w:space="0"/>
          <w:between w:val="none" w:color="auto" w:sz="0" w:space="0"/>
        </w:pBdr>
        <w:spacing w:after="0" w:line="360" w:lineRule="auto"/>
        <w:ind w:firstLine="709"/>
        <w:jc w:val="both"/>
        <w:rPr>
          <w:rFonts w:ascii="Times New Roman" w:hAnsi="Times New Roman" w:eastAsia="Arial Unicode MS"/>
          <w:u w:color="000000"/>
          <w:lang w:eastAsia="ru-RU"/>
        </w:rPr>
      </w:pPr>
      <w:r>
        <w:rPr>
          <w:rFonts w:ascii="Times New Roman" w:hAnsi="Times New Roman" w:eastAsia="Arial Unicode MS"/>
          <w:u w:color="000000"/>
          <w:lang w:eastAsia="ru-RU"/>
        </w:rPr>
        <w:t xml:space="preserve">развитие положительной мотивации и устойчивого учебно-познавательного интереса к предмету «Физическая культура», удовлетворение индивидуальных потребностей, обучающихся в занятиях физической культурой и спортом средствами </w:t>
      </w:r>
      <w:r>
        <w:rPr>
          <w:rFonts w:ascii="Times New Roman" w:hAnsi="Times New Roman" w:eastAsia="PragmaticaC"/>
          <w:u w:color="000000"/>
          <w:lang w:eastAsia="ru-RU"/>
        </w:rPr>
        <w:t>вида спорта «хоккей»</w:t>
      </w:r>
      <w:r>
        <w:rPr>
          <w:rFonts w:ascii="Times New Roman" w:hAnsi="Times New Roman"/>
          <w:u w:color="000000"/>
          <w:lang w:eastAsia="ru-RU"/>
        </w:rPr>
        <w:t>;</w:t>
      </w:r>
    </w:p>
    <w:p w14:paraId="52393649">
      <w:pPr>
        <w:pBdr>
          <w:top w:val="none" w:color="auto" w:sz="0" w:space="0"/>
          <w:left w:val="none" w:color="auto" w:sz="0" w:space="0"/>
          <w:bottom w:val="none" w:color="auto" w:sz="0" w:space="0"/>
          <w:right w:val="none" w:color="auto" w:sz="0" w:space="0"/>
          <w:between w:val="none" w:color="auto" w:sz="0" w:space="0"/>
        </w:pBdr>
        <w:spacing w:after="0" w:line="360" w:lineRule="auto"/>
        <w:ind w:firstLine="709"/>
        <w:jc w:val="both"/>
        <w:rPr>
          <w:rFonts w:ascii="Times New Roman" w:hAnsi="Times New Roman" w:eastAsia="Arial Unicode MS"/>
          <w:u w:color="000000"/>
          <w:lang w:eastAsia="ru-RU"/>
        </w:rPr>
      </w:pPr>
      <w:r>
        <w:rPr>
          <w:rFonts w:ascii="Times New Roman" w:hAnsi="Times New Roman" w:eastAsia="Arial Unicode MS"/>
          <w:u w:color="000000"/>
          <w:lang w:eastAsia="ru-RU"/>
        </w:rPr>
        <w:t xml:space="preserve">популяризация вида спорта «хоккей», </w:t>
      </w:r>
      <w:r>
        <w:rPr>
          <w:rFonts w:ascii="Times New Roman" w:hAnsi="Times New Roman" w:eastAsia="Times New Roman"/>
          <w:u w:color="000000"/>
          <w:lang w:eastAsia="ru-RU"/>
        </w:rPr>
        <w:t xml:space="preserve">привлечение </w:t>
      </w:r>
      <w:r>
        <w:rPr>
          <w:rFonts w:ascii="Times New Roman" w:hAnsi="Times New Roman" w:eastAsia="Arial Unicode MS"/>
          <w:u w:color="000000"/>
          <w:lang w:eastAsia="ru-RU"/>
        </w:rPr>
        <w:t>обучающихся,</w:t>
      </w:r>
      <w:r>
        <w:rPr>
          <w:rFonts w:ascii="Times New Roman" w:hAnsi="Times New Roman" w:eastAsia="Times New Roman"/>
          <w:u w:color="000000"/>
          <w:lang w:eastAsia="ru-RU"/>
        </w:rPr>
        <w:t xml:space="preserve"> проявляющих повышенный интерес и способности к занятиям хоккеем, в школьные спортивные клубы, секции, к участию в соревнованиях;</w:t>
      </w:r>
    </w:p>
    <w:p w14:paraId="7A401C2D">
      <w:pPr>
        <w:pBdr>
          <w:top w:val="none" w:color="auto" w:sz="0" w:space="0"/>
          <w:left w:val="none" w:color="auto" w:sz="0" w:space="0"/>
          <w:bottom w:val="none" w:color="auto" w:sz="0" w:space="0"/>
          <w:right w:val="none" w:color="auto" w:sz="0" w:space="0"/>
          <w:between w:val="none" w:color="auto" w:sz="0" w:space="0"/>
        </w:pBdr>
        <w:spacing w:after="0" w:line="360" w:lineRule="auto"/>
        <w:ind w:firstLine="709"/>
        <w:jc w:val="both"/>
        <w:rPr>
          <w:rFonts w:ascii="Times New Roman" w:hAnsi="Times New Roman"/>
          <w:u w:color="000000"/>
          <w:lang w:eastAsia="ru-RU"/>
        </w:rPr>
      </w:pPr>
      <w:r>
        <w:rPr>
          <w:rFonts w:ascii="Times New Roman" w:hAnsi="Times New Roman"/>
          <w:u w:color="000000"/>
          <w:lang w:eastAsia="ru-RU"/>
        </w:rPr>
        <w:t>выявление, развитие и поддержка одарённых детей в области спорта.</w:t>
      </w:r>
    </w:p>
    <w:p w14:paraId="0CF84239">
      <w:pPr>
        <w:pBdr>
          <w:top w:val="none" w:color="000000" w:sz="0" w:space="0"/>
          <w:left w:val="none" w:color="000000" w:sz="0" w:space="0"/>
          <w:bottom w:val="none" w:color="000000" w:sz="0" w:space="0"/>
          <w:right w:val="none" w:color="000000" w:sz="0" w:space="0"/>
        </w:pBdr>
        <w:tabs>
          <w:tab w:val="left" w:pos="708"/>
        </w:tabs>
        <w:suppressAutoHyphens/>
        <w:spacing w:after="0" w:line="360" w:lineRule="auto"/>
        <w:ind w:firstLine="709"/>
        <w:jc w:val="both"/>
        <w:rPr>
          <w:rFonts w:ascii="Times New Roman" w:hAnsi="Times New Roman" w:eastAsia="Times New Roman"/>
          <w:bCs/>
          <w:u w:color="000000"/>
          <w:lang w:eastAsia="zh-CN"/>
        </w:rPr>
      </w:pPr>
      <w:r>
        <w:rPr>
          <w:rFonts w:ascii="Times New Roman" w:hAnsi="Times New Roman" w:eastAsia="Times New Roman"/>
          <w:bCs/>
          <w:lang w:eastAsia="zh-CN"/>
        </w:rPr>
        <w:t>16.4.</w:t>
      </w:r>
      <w:r>
        <w:rPr>
          <w:rFonts w:ascii="Times New Roman" w:hAnsi="Times New Roman" w:eastAsia="Times New Roman"/>
          <w:bCs/>
          <w:u w:color="000000"/>
          <w:lang w:eastAsia="zh-CN"/>
        </w:rPr>
        <w:t>6.4. Место и роль модуля «Хоккей».</w:t>
      </w:r>
    </w:p>
    <w:p w14:paraId="4FDB175A">
      <w:pPr>
        <w:pBdr>
          <w:top w:val="none" w:color="000000" w:sz="0" w:space="0"/>
          <w:left w:val="none" w:color="000000" w:sz="0" w:space="0"/>
          <w:bottom w:val="none" w:color="000000" w:sz="0" w:space="0"/>
          <w:right w:val="none" w:color="000000" w:sz="0" w:space="0"/>
        </w:pBdr>
        <w:suppressAutoHyphens/>
        <w:spacing w:after="0" w:line="360" w:lineRule="auto"/>
        <w:ind w:firstLine="709"/>
        <w:jc w:val="both"/>
        <w:rPr>
          <w:rFonts w:ascii="Times New Roman" w:hAnsi="Times New Roman"/>
          <w:u w:color="000000"/>
          <w:lang w:eastAsia="zh-CN"/>
        </w:rPr>
      </w:pPr>
      <w:r>
        <w:rPr>
          <w:rFonts w:ascii="Times New Roman" w:hAnsi="Times New Roman"/>
          <w:iCs/>
          <w:u w:color="000000"/>
          <w:lang w:eastAsia="zh-CN"/>
        </w:rPr>
        <w:t xml:space="preserve">Модуль «Хоккей» доступен для </w:t>
      </w:r>
      <w:r>
        <w:rPr>
          <w:rFonts w:ascii="Times New Roman" w:hAnsi="Times New Roman"/>
          <w:u w:color="000000"/>
          <w:lang w:eastAsia="zh-CN"/>
        </w:rPr>
        <w:t>освоения всем обучающимся, независимо от уровня их физического развития и пола, и расширяет спектр физкультурно-спортивных направлений в общеобразовательных организациях.</w:t>
      </w:r>
    </w:p>
    <w:p w14:paraId="6C3F41FF">
      <w:pPr>
        <w:pBdr>
          <w:top w:val="none" w:color="000000" w:sz="0" w:space="0"/>
          <w:left w:val="none" w:color="000000" w:sz="0" w:space="0"/>
          <w:bottom w:val="none" w:color="000000" w:sz="0" w:space="0"/>
          <w:right w:val="none" w:color="000000" w:sz="0" w:space="0"/>
        </w:pBdr>
        <w:suppressAutoHyphens/>
        <w:spacing w:after="0" w:line="360" w:lineRule="auto"/>
        <w:ind w:firstLine="709"/>
        <w:jc w:val="both"/>
        <w:rPr>
          <w:rFonts w:ascii="Times New Roman" w:hAnsi="Times New Roman"/>
          <w:bCs/>
          <w:iCs/>
          <w:u w:color="000000"/>
          <w:lang w:eastAsia="zh-CN"/>
        </w:rPr>
      </w:pPr>
      <w:r>
        <w:rPr>
          <w:rFonts w:ascii="Times New Roman" w:hAnsi="Times New Roman"/>
          <w:iCs/>
          <w:u w:color="000000"/>
          <w:lang w:eastAsia="zh-CN"/>
        </w:rPr>
        <w:t xml:space="preserve">Интеграция модуля по хоккею поможет обучающимся в освоении </w:t>
      </w:r>
      <w:r>
        <w:rPr>
          <w:rFonts w:ascii="Times New Roman" w:hAnsi="Times New Roman"/>
          <w:u w:color="000000"/>
          <w:lang w:eastAsia="zh-CN"/>
        </w:rPr>
        <w:t xml:space="preserve">содержательных компонентов и модулей </w:t>
      </w:r>
      <w:r>
        <w:rPr>
          <w:rFonts w:ascii="Times New Roman" w:hAnsi="Times New Roman"/>
          <w:iCs/>
          <w:u w:color="000000"/>
          <w:lang w:eastAsia="zh-CN"/>
        </w:rPr>
        <w:t xml:space="preserve">по гимнастике, легкой атлетике, </w:t>
      </w:r>
      <w:r>
        <w:rPr>
          <w:rFonts w:ascii="Times New Roman" w:hAnsi="Times New Roman"/>
          <w:iCs/>
          <w:u w:color="000000"/>
          <w:lang w:eastAsia="ru-RU"/>
        </w:rPr>
        <w:t xml:space="preserve">подвижным и спортивным играм, </w:t>
      </w:r>
      <w:r>
        <w:rPr>
          <w:rFonts w:ascii="Times New Roman" w:hAnsi="Times New Roman"/>
          <w:u w:color="000000"/>
          <w:lang w:eastAsia="ru-RU"/>
        </w:rPr>
        <w:t xml:space="preserve">в освоении образовательных программ в рамках внеурочной деятельности, </w:t>
      </w:r>
      <w:r>
        <w:rPr>
          <w:rFonts w:ascii="Times New Roman" w:hAnsi="Times New Roman"/>
          <w:u w:color="000000"/>
          <w:lang w:eastAsia="zh-CN"/>
        </w:rPr>
        <w:t xml:space="preserve">дополнительного образования физкультурно-спортивной направленности, </w:t>
      </w:r>
      <w:r>
        <w:rPr>
          <w:rFonts w:ascii="Times New Roman" w:hAnsi="Times New Roman"/>
          <w:u w:color="000000"/>
          <w:lang w:eastAsia="ru-RU"/>
        </w:rPr>
        <w:t xml:space="preserve">деятельности школьных спортивных клубов, </w:t>
      </w:r>
      <w:r>
        <w:rPr>
          <w:rFonts w:ascii="Times New Roman" w:hAnsi="Times New Roman"/>
          <w:bCs/>
          <w:iCs/>
          <w:u w:color="000000"/>
          <w:lang w:eastAsia="ru-RU"/>
        </w:rPr>
        <w:t xml:space="preserve">подготовке </w:t>
      </w:r>
      <w:r>
        <w:rPr>
          <w:rFonts w:ascii="Times New Roman" w:hAnsi="Times New Roman"/>
          <w:u w:color="000000"/>
          <w:lang w:eastAsia="zh-CN"/>
        </w:rPr>
        <w:t xml:space="preserve">обучающихся к сдаче норм ГТО </w:t>
      </w:r>
      <w:r>
        <w:rPr>
          <w:rFonts w:ascii="Times New Roman" w:hAnsi="Times New Roman"/>
          <w:bCs/>
          <w:iCs/>
          <w:u w:color="000000"/>
          <w:lang w:eastAsia="ru-RU"/>
        </w:rPr>
        <w:t xml:space="preserve">и </w:t>
      </w:r>
      <w:r>
        <w:rPr>
          <w:rFonts w:ascii="Times New Roman" w:hAnsi="Times New Roman"/>
          <w:u w:color="000000"/>
          <w:lang w:eastAsia="ru-RU"/>
        </w:rPr>
        <w:t>участии в спортивных соревнованиях.</w:t>
      </w:r>
    </w:p>
    <w:p w14:paraId="5ED66B40">
      <w:pPr>
        <w:suppressAutoHyphens/>
        <w:spacing w:after="0" w:line="360" w:lineRule="auto"/>
        <w:ind w:firstLine="709"/>
        <w:jc w:val="both"/>
        <w:rPr>
          <w:rFonts w:ascii="Times New Roman" w:hAnsi="Times New Roman"/>
          <w:u w:color="000000"/>
          <w:lang w:eastAsia="zh-CN"/>
        </w:rPr>
      </w:pPr>
      <w:r>
        <w:rPr>
          <w:rFonts w:ascii="Times New Roman" w:hAnsi="Times New Roman" w:eastAsia="Times New Roman"/>
          <w:bCs/>
          <w:lang w:eastAsia="zh-CN"/>
        </w:rPr>
        <w:t>16.4.</w:t>
      </w:r>
      <w:r>
        <w:rPr>
          <w:rFonts w:ascii="Times New Roman" w:hAnsi="Times New Roman" w:eastAsia="Times New Roman"/>
          <w:bCs/>
          <w:u w:color="000000"/>
          <w:lang w:eastAsia="zh-CN"/>
        </w:rPr>
        <w:t>6.5. </w:t>
      </w:r>
      <w:r>
        <w:rPr>
          <w:rFonts w:ascii="Times New Roman" w:hAnsi="Times New Roman"/>
          <w:u w:color="000000"/>
          <w:lang w:eastAsia="zh-CN"/>
        </w:rPr>
        <w:t>Модуль «Хоккей» может быть реализован в следующих вариантах:</w:t>
      </w:r>
    </w:p>
    <w:p w14:paraId="0A7DA631">
      <w:pPr>
        <w:suppressAutoHyphens/>
        <w:spacing w:after="0" w:line="360" w:lineRule="auto"/>
        <w:ind w:firstLine="709"/>
        <w:jc w:val="both"/>
        <w:rPr>
          <w:rFonts w:ascii="Times New Roman" w:hAnsi="Times New Roman"/>
          <w:u w:color="000000"/>
          <w:lang w:eastAsia="zh-CN"/>
        </w:rPr>
      </w:pPr>
      <w:r>
        <w:rPr>
          <w:rFonts w:ascii="Times New Roman" w:hAnsi="Times New Roman"/>
          <w:u w:color="000000"/>
          <w:lang w:eastAsia="zh-CN"/>
        </w:rPr>
        <w:t>при самостоятельном планировании учителем физической культуры процесса освоения обучающимися учебного материала по хоккею с выбором различных элементов хоккея, с учётом возраста и физической подготовленности обучающихся;</w:t>
      </w:r>
    </w:p>
    <w:p w14:paraId="5049E38A">
      <w:pPr>
        <w:pBdr>
          <w:between w:val="none" w:color="auto" w:sz="0" w:space="0"/>
        </w:pBdr>
        <w:spacing w:after="0" w:line="360" w:lineRule="auto"/>
        <w:ind w:firstLine="709"/>
        <w:jc w:val="both"/>
        <w:rPr>
          <w:rFonts w:ascii="Times New Roman" w:hAnsi="Times New Roman"/>
          <w:u w:color="000000"/>
          <w:lang w:eastAsia="ru-RU"/>
        </w:rPr>
      </w:pPr>
      <w:r>
        <w:rPr>
          <w:rFonts w:ascii="Times New Roman" w:hAnsi="Times New Roman"/>
          <w:u w:color="000000"/>
          <w:lang w:eastAsia="zh-CN"/>
        </w:rPr>
        <w:t xml:space="preserve">в виде целостного последовательного учебного модуля, изучаемого за счёт части учебного плана, формируемой участниками образовательных отношений из перечня, предлагаемого образовательной организацией, включающей, в частности, учебные модули по выбору обучающихся, родителей (законных представителей) несовершеннолетних обучающихся, в том числе предусматривающие удовлетворение различных интересов обучающихся </w:t>
      </w:r>
      <w:r>
        <w:rPr>
          <w:rFonts w:ascii="Times New Roman" w:hAnsi="Times New Roman"/>
          <w:u w:color="000000"/>
          <w:lang w:eastAsia="ru-RU"/>
        </w:rPr>
        <w:t>(при организации и проведении уроков физической культуры с 3-х часовой недельной нагрузкой рекомендуемый объём в 1 классе – 33 часа, во 2, 3, 4 классах – по 34 часа);</w:t>
      </w:r>
    </w:p>
    <w:p w14:paraId="272962B6">
      <w:pPr>
        <w:pBdr>
          <w:top w:val="none" w:color="auto" w:sz="0" w:space="0"/>
          <w:left w:val="none" w:color="auto" w:sz="0" w:space="0"/>
          <w:bottom w:val="none" w:color="auto" w:sz="0" w:space="0"/>
          <w:right w:val="none" w:color="auto" w:sz="0" w:space="0"/>
          <w:between w:val="none" w:color="auto" w:sz="0" w:space="0"/>
        </w:pBdr>
        <w:spacing w:after="0" w:line="360" w:lineRule="auto"/>
        <w:ind w:firstLine="709"/>
        <w:jc w:val="both"/>
        <w:rPr>
          <w:rFonts w:ascii="Times New Roman" w:hAnsi="Times New Roman"/>
          <w:iCs/>
          <w:u w:color="000000"/>
          <w:lang w:eastAsia="ru-RU"/>
        </w:rPr>
      </w:pPr>
      <w:bookmarkStart w:id="280" w:name="_Hlk124946235"/>
      <w:r>
        <w:rPr>
          <w:rFonts w:ascii="Times New Roman" w:hAnsi="Times New Roman"/>
          <w:u w:color="000000"/>
          <w:lang w:eastAsia="zh-CN"/>
        </w:rPr>
        <w:t xml:space="preserve">в виде дополнительных часов, выделяемых на спортивно-оздоровительную работу с обучающимися в рамках внеурочной деятельности </w:t>
      </w:r>
      <w:r>
        <w:rPr>
          <w:rFonts w:ascii="Times New Roman" w:hAnsi="Times New Roman"/>
          <w:u w:color="000000"/>
        </w:rPr>
        <w:t xml:space="preserve">и (или) за счет посещения обучающимися спортивных секций, школьных спортивных клубов, включая использование учебных модулей по видам спорта </w:t>
      </w:r>
      <w:r>
        <w:rPr>
          <w:rFonts w:ascii="Times New Roman" w:hAnsi="Times New Roman"/>
          <w:u w:color="000000"/>
          <w:lang w:eastAsia="ru-RU"/>
        </w:rPr>
        <w:t>(рекомендуемый объём в 1 классе – 33 часа, во 2, 3, 4 классах – по 34 часа).</w:t>
      </w:r>
    </w:p>
    <w:bookmarkEnd w:id="280"/>
    <w:p w14:paraId="6A919EF1">
      <w:pPr>
        <w:pBdr>
          <w:top w:val="none" w:color="000000" w:sz="0" w:space="0"/>
          <w:left w:val="none" w:color="000000" w:sz="0" w:space="0"/>
          <w:bottom w:val="none" w:color="000000" w:sz="0" w:space="0"/>
          <w:right w:val="none" w:color="000000" w:sz="0" w:space="0"/>
        </w:pBdr>
        <w:suppressAutoHyphens/>
        <w:spacing w:after="0" w:line="360" w:lineRule="auto"/>
        <w:ind w:firstLine="709"/>
        <w:jc w:val="both"/>
        <w:rPr>
          <w:rFonts w:ascii="Times New Roman" w:hAnsi="Times New Roman"/>
          <w:u w:color="000000"/>
          <w:lang w:eastAsia="zh-CN"/>
        </w:rPr>
      </w:pPr>
      <w:bookmarkStart w:id="281" w:name="_Hlk125028185"/>
      <w:r>
        <w:rPr>
          <w:rFonts w:ascii="Times New Roman" w:hAnsi="Times New Roman" w:eastAsia="Times New Roman"/>
          <w:bCs/>
          <w:lang w:eastAsia="zh-CN"/>
        </w:rPr>
        <w:t>16.4.</w:t>
      </w:r>
      <w:r>
        <w:rPr>
          <w:rFonts w:ascii="Times New Roman" w:hAnsi="Times New Roman" w:eastAsia="Times New Roman"/>
          <w:bCs/>
          <w:u w:color="000000"/>
          <w:lang w:eastAsia="zh-CN"/>
        </w:rPr>
        <w:t>6.6.</w:t>
      </w:r>
      <w:bookmarkEnd w:id="281"/>
      <w:r>
        <w:rPr>
          <w:rFonts w:ascii="Times New Roman" w:hAnsi="Times New Roman" w:eastAsia="Times New Roman"/>
          <w:bCs/>
          <w:u w:color="000000"/>
          <w:lang w:eastAsia="zh-CN"/>
        </w:rPr>
        <w:t> </w:t>
      </w:r>
      <w:r>
        <w:rPr>
          <w:rFonts w:ascii="Times New Roman" w:hAnsi="Times New Roman"/>
          <w:iCs/>
          <w:u w:color="000000"/>
          <w:lang w:eastAsia="zh-CN"/>
        </w:rPr>
        <w:t>Содержание модуля «Хоккей».</w:t>
      </w:r>
    </w:p>
    <w:p w14:paraId="157489FB">
      <w:pPr>
        <w:spacing w:after="0" w:line="360" w:lineRule="auto"/>
        <w:ind w:firstLine="709"/>
        <w:jc w:val="both"/>
        <w:rPr>
          <w:rFonts w:ascii="Times New Roman" w:hAnsi="Times New Roman"/>
          <w:b/>
          <w:bCs/>
          <w:i/>
          <w:u w:color="000000"/>
          <w:lang w:eastAsia="ru-RU"/>
        </w:rPr>
      </w:pPr>
      <w:r>
        <w:rPr>
          <w:rFonts w:ascii="Times New Roman" w:hAnsi="Times New Roman"/>
          <w:iCs/>
          <w:u w:color="000000"/>
          <w:lang w:eastAsia="ru-RU"/>
        </w:rPr>
        <w:t>Знания о хоккее.</w:t>
      </w:r>
    </w:p>
    <w:p w14:paraId="1BA3F935">
      <w:pPr>
        <w:spacing w:after="0" w:line="360" w:lineRule="auto"/>
        <w:ind w:firstLine="709"/>
        <w:jc w:val="both"/>
        <w:rPr>
          <w:rFonts w:ascii="Times New Roman" w:hAnsi="Times New Roman"/>
          <w:bCs/>
          <w:u w:color="000000"/>
          <w:lang w:eastAsia="ru-RU"/>
        </w:rPr>
      </w:pPr>
      <w:r>
        <w:rPr>
          <w:rFonts w:ascii="Times New Roman" w:hAnsi="Times New Roman"/>
          <w:bCs/>
          <w:u w:color="000000"/>
          <w:lang w:eastAsia="ru-RU"/>
        </w:rPr>
        <w:t>История зарождения хоккея. Легендарные отечественные хоккеисты и тренеры.</w:t>
      </w:r>
    </w:p>
    <w:p w14:paraId="78052183">
      <w:pPr>
        <w:pBdr>
          <w:top w:val="none" w:color="auto" w:sz="0" w:space="0"/>
          <w:left w:val="none" w:color="auto" w:sz="0" w:space="0"/>
          <w:bottom w:val="none" w:color="auto" w:sz="0" w:space="0"/>
          <w:right w:val="none" w:color="auto" w:sz="0" w:space="0"/>
          <w:between w:val="none" w:color="auto" w:sz="0" w:space="0"/>
        </w:pBdr>
        <w:spacing w:after="0" w:line="360" w:lineRule="auto"/>
        <w:ind w:firstLine="709"/>
        <w:contextualSpacing/>
        <w:jc w:val="both"/>
        <w:rPr>
          <w:rFonts w:ascii="Times New Roman" w:hAnsi="Times New Roman"/>
          <w:bCs/>
          <w:u w:color="000000"/>
          <w:lang w:eastAsia="ru-RU"/>
        </w:rPr>
      </w:pPr>
      <w:r>
        <w:rPr>
          <w:rFonts w:ascii="Times New Roman" w:hAnsi="Times New Roman"/>
          <w:bCs/>
          <w:u w:color="000000"/>
          <w:lang w:eastAsia="ru-RU"/>
        </w:rPr>
        <w:t xml:space="preserve">Достижения отечественной сборной команды страны </w:t>
      </w:r>
    </w:p>
    <w:p w14:paraId="73BC5D72">
      <w:pPr>
        <w:spacing w:after="0" w:line="360" w:lineRule="auto"/>
        <w:ind w:firstLine="709"/>
        <w:jc w:val="both"/>
        <w:rPr>
          <w:rFonts w:ascii="Times New Roman" w:hAnsi="Times New Roman"/>
          <w:bCs/>
          <w:u w:color="000000"/>
          <w:lang w:eastAsia="ru-RU"/>
        </w:rPr>
      </w:pPr>
      <w:r>
        <w:rPr>
          <w:rFonts w:ascii="Times New Roman" w:hAnsi="Times New Roman"/>
          <w:bCs/>
          <w:u w:color="000000"/>
          <w:lang w:eastAsia="ru-RU"/>
        </w:rPr>
        <w:t>Разновидности хоккея. Правила соревнований по виду спорта «хоккей».</w:t>
      </w:r>
    </w:p>
    <w:p w14:paraId="39A20AA8">
      <w:pPr>
        <w:pBdr>
          <w:top w:val="none" w:color="auto" w:sz="0" w:space="0"/>
          <w:left w:val="none" w:color="auto" w:sz="0" w:space="0"/>
          <w:bottom w:val="none" w:color="auto" w:sz="0" w:space="0"/>
          <w:right w:val="none" w:color="auto" w:sz="0" w:space="0"/>
          <w:between w:val="none" w:color="auto" w:sz="0" w:space="0"/>
        </w:pBdr>
        <w:spacing w:after="0" w:line="360" w:lineRule="auto"/>
        <w:ind w:firstLine="709"/>
        <w:contextualSpacing/>
        <w:jc w:val="both"/>
        <w:rPr>
          <w:rFonts w:ascii="Times New Roman" w:hAnsi="Times New Roman"/>
          <w:bCs/>
          <w:u w:color="000000"/>
          <w:lang w:eastAsia="ru-RU"/>
        </w:rPr>
      </w:pPr>
      <w:r>
        <w:rPr>
          <w:rFonts w:ascii="Times New Roman" w:hAnsi="Times New Roman"/>
          <w:bCs/>
          <w:u w:color="000000"/>
          <w:lang w:eastAsia="ru-RU"/>
        </w:rPr>
        <w:t>Хоккейный словарь терминов и определений.</w:t>
      </w:r>
    </w:p>
    <w:p w14:paraId="7956AE60">
      <w:pPr>
        <w:pBdr>
          <w:top w:val="none" w:color="auto" w:sz="0" w:space="0"/>
          <w:left w:val="none" w:color="auto" w:sz="0" w:space="0"/>
          <w:bottom w:val="none" w:color="auto" w:sz="0" w:space="0"/>
          <w:right w:val="none" w:color="auto" w:sz="0" w:space="0"/>
          <w:between w:val="none" w:color="auto" w:sz="0" w:space="0"/>
        </w:pBdr>
        <w:spacing w:after="0" w:line="360" w:lineRule="auto"/>
        <w:ind w:firstLine="709"/>
        <w:contextualSpacing/>
        <w:jc w:val="both"/>
        <w:rPr>
          <w:rFonts w:ascii="Times New Roman" w:hAnsi="Times New Roman"/>
          <w:bCs/>
          <w:u w:color="000000"/>
          <w:lang w:eastAsia="ru-RU"/>
        </w:rPr>
      </w:pPr>
      <w:r>
        <w:rPr>
          <w:rFonts w:ascii="Times New Roman" w:hAnsi="Times New Roman"/>
          <w:bCs/>
          <w:u w:color="000000"/>
          <w:lang w:eastAsia="ru-RU"/>
        </w:rPr>
        <w:t>Размеры хоккейной ледовой площадки, ее допустимые размеры, инвентарь и оборудование для игры в хоккей.</w:t>
      </w:r>
    </w:p>
    <w:p w14:paraId="797EE0DD">
      <w:pPr>
        <w:pBdr>
          <w:top w:val="none" w:color="auto" w:sz="0" w:space="0"/>
          <w:left w:val="none" w:color="auto" w:sz="0" w:space="0"/>
          <w:bottom w:val="none" w:color="auto" w:sz="0" w:space="0"/>
          <w:right w:val="none" w:color="auto" w:sz="0" w:space="0"/>
          <w:between w:val="none" w:color="auto" w:sz="0" w:space="0"/>
        </w:pBdr>
        <w:spacing w:after="0" w:line="360" w:lineRule="auto"/>
        <w:ind w:firstLine="709"/>
        <w:contextualSpacing/>
        <w:jc w:val="both"/>
        <w:rPr>
          <w:rFonts w:ascii="Times New Roman" w:hAnsi="Times New Roman"/>
          <w:bCs/>
          <w:u w:color="000000"/>
          <w:lang w:eastAsia="ru-RU"/>
        </w:rPr>
      </w:pPr>
      <w:r>
        <w:rPr>
          <w:rFonts w:ascii="Times New Roman" w:hAnsi="Times New Roman"/>
          <w:bCs/>
          <w:u w:color="000000"/>
          <w:lang w:eastAsia="ru-RU"/>
        </w:rPr>
        <w:t>Состав команды. Функции игроков в команде (форвард (нападающий), защитник, голкипер (вратарь). Роль капитана команды.</w:t>
      </w:r>
    </w:p>
    <w:p w14:paraId="2DE8A92C">
      <w:pPr>
        <w:spacing w:after="0" w:line="360" w:lineRule="auto"/>
        <w:ind w:firstLine="709"/>
        <w:jc w:val="both"/>
        <w:rPr>
          <w:rFonts w:ascii="Times New Roman" w:hAnsi="Times New Roman"/>
          <w:u w:color="000000"/>
          <w:lang w:eastAsia="ru-RU"/>
        </w:rPr>
      </w:pPr>
      <w:r>
        <w:rPr>
          <w:rFonts w:ascii="Times New Roman" w:hAnsi="Times New Roman"/>
          <w:u w:color="000000"/>
          <w:lang w:eastAsia="ru-RU"/>
        </w:rPr>
        <w:t>Занятия хоккеем как средство укрепления здоровья, повышения функциональных возможностей основных систем организма и развития физических качеств. Правила подбора физических упражнений хоккеиста.</w:t>
      </w:r>
    </w:p>
    <w:p w14:paraId="69FAE7ED">
      <w:pPr>
        <w:spacing w:after="0" w:line="360" w:lineRule="auto"/>
        <w:ind w:firstLine="709"/>
        <w:jc w:val="both"/>
        <w:rPr>
          <w:rFonts w:ascii="Times New Roman" w:hAnsi="Times New Roman"/>
          <w:bCs/>
          <w:u w:color="000000"/>
          <w:lang w:eastAsia="ru-RU"/>
        </w:rPr>
      </w:pPr>
      <w:r>
        <w:rPr>
          <w:rFonts w:ascii="Times New Roman" w:hAnsi="Times New Roman" w:eastAsia="Times New Roman"/>
          <w:u w:color="000000"/>
          <w:lang w:eastAsia="ru-RU"/>
        </w:rPr>
        <w:t>Комплексы упражнений для воспитания физических качеств хоккеиста.</w:t>
      </w:r>
      <w:r>
        <w:rPr>
          <w:rFonts w:ascii="Times New Roman" w:hAnsi="Times New Roman"/>
          <w:bCs/>
          <w:u w:color="000000"/>
          <w:lang w:eastAsia="ru-RU"/>
        </w:rPr>
        <w:t xml:space="preserve"> Здоровье формирующие факторы и средства.</w:t>
      </w:r>
    </w:p>
    <w:p w14:paraId="589F7C91">
      <w:pPr>
        <w:spacing w:after="0" w:line="360" w:lineRule="auto"/>
        <w:ind w:firstLine="709"/>
        <w:jc w:val="both"/>
        <w:rPr>
          <w:rFonts w:ascii="Times New Roman" w:hAnsi="Times New Roman"/>
          <w:bCs/>
          <w:u w:color="000000"/>
          <w:lang w:eastAsia="ru-RU"/>
        </w:rPr>
      </w:pPr>
      <w:r>
        <w:rPr>
          <w:rFonts w:ascii="Times New Roman" w:hAnsi="Times New Roman"/>
          <w:bCs/>
          <w:u w:color="000000"/>
          <w:lang w:eastAsia="ru-RU"/>
        </w:rPr>
        <w:t>Требования безопасности при организации занятий хоккеем. Характерные травмы хоккеистов и мероприятия по их предупреждению.</w:t>
      </w:r>
    </w:p>
    <w:p w14:paraId="4E5C8E73">
      <w:pPr>
        <w:spacing w:after="0" w:line="360" w:lineRule="auto"/>
        <w:ind w:firstLine="709"/>
        <w:jc w:val="both"/>
        <w:rPr>
          <w:rFonts w:ascii="Times New Roman" w:hAnsi="Times New Roman"/>
          <w:b/>
          <w:i/>
          <w:u w:color="000000"/>
          <w:lang w:eastAsia="ru-RU"/>
        </w:rPr>
      </w:pPr>
      <w:r>
        <w:rPr>
          <w:rFonts w:ascii="Times New Roman" w:hAnsi="Times New Roman"/>
          <w:iCs/>
          <w:u w:color="000000"/>
          <w:lang w:eastAsia="ru-RU"/>
        </w:rPr>
        <w:t>Способы самостоятельной деятельности.</w:t>
      </w:r>
    </w:p>
    <w:p w14:paraId="17E4D9D1">
      <w:pPr>
        <w:pBdr>
          <w:top w:val="none" w:color="auto" w:sz="0" w:space="0"/>
          <w:left w:val="none" w:color="auto" w:sz="0" w:space="0"/>
          <w:bottom w:val="none" w:color="auto" w:sz="0" w:space="0"/>
          <w:right w:val="none" w:color="auto" w:sz="0" w:space="0"/>
          <w:between w:val="none" w:color="auto" w:sz="0" w:space="0"/>
        </w:pBdr>
        <w:tabs>
          <w:tab w:val="left" w:pos="9532"/>
        </w:tabs>
        <w:spacing w:after="0" w:line="360" w:lineRule="auto"/>
        <w:ind w:firstLine="709"/>
        <w:jc w:val="both"/>
        <w:rPr>
          <w:rFonts w:ascii="Times New Roman" w:hAnsi="Times New Roman"/>
          <w:bCs/>
          <w:u w:color="000000"/>
          <w:lang w:eastAsia="ru-RU"/>
        </w:rPr>
      </w:pPr>
      <w:r>
        <w:rPr>
          <w:rFonts w:ascii="Times New Roman" w:hAnsi="Times New Roman"/>
          <w:bCs/>
          <w:u w:color="000000"/>
          <w:lang w:eastAsia="ru-RU"/>
        </w:rPr>
        <w:t>Первые внешние признаки утомления. Способы самоконтроля за физической нагрузкой.</w:t>
      </w:r>
    </w:p>
    <w:p w14:paraId="0988D6C8">
      <w:pPr>
        <w:pBdr>
          <w:top w:val="none" w:color="auto" w:sz="0" w:space="0"/>
          <w:left w:val="none" w:color="auto" w:sz="0" w:space="0"/>
          <w:bottom w:val="none" w:color="auto" w:sz="0" w:space="0"/>
          <w:right w:val="none" w:color="auto" w:sz="0" w:space="0"/>
          <w:between w:val="none" w:color="auto" w:sz="0" w:space="0"/>
        </w:pBdr>
        <w:tabs>
          <w:tab w:val="left" w:pos="9532"/>
        </w:tabs>
        <w:spacing w:after="0" w:line="360" w:lineRule="auto"/>
        <w:ind w:firstLine="709"/>
        <w:jc w:val="both"/>
        <w:rPr>
          <w:rFonts w:ascii="Times New Roman" w:hAnsi="Times New Roman"/>
          <w:bCs/>
          <w:u w:color="000000"/>
          <w:lang w:eastAsia="ru-RU"/>
        </w:rPr>
      </w:pPr>
      <w:r>
        <w:rPr>
          <w:rFonts w:ascii="Times New Roman" w:hAnsi="Times New Roman"/>
          <w:bCs/>
          <w:u w:color="000000"/>
          <w:lang w:eastAsia="ru-RU"/>
        </w:rPr>
        <w:t>Уход за хоккейным спортивным инвентарем и оборудованием.</w:t>
      </w:r>
    </w:p>
    <w:p w14:paraId="746BA7C2">
      <w:pPr>
        <w:pBdr>
          <w:top w:val="none" w:color="auto" w:sz="0" w:space="0"/>
          <w:left w:val="none" w:color="auto" w:sz="0" w:space="0"/>
          <w:bottom w:val="none" w:color="auto" w:sz="0" w:space="0"/>
          <w:right w:val="none" w:color="auto" w:sz="0" w:space="0"/>
          <w:between w:val="none" w:color="auto" w:sz="0" w:space="0"/>
        </w:pBdr>
        <w:tabs>
          <w:tab w:val="left" w:pos="9532"/>
        </w:tabs>
        <w:spacing w:after="0" w:line="360" w:lineRule="auto"/>
        <w:ind w:firstLine="709"/>
        <w:jc w:val="both"/>
        <w:rPr>
          <w:rFonts w:ascii="Times New Roman" w:hAnsi="Times New Roman"/>
          <w:bCs/>
          <w:u w:color="000000"/>
          <w:lang w:eastAsia="ru-RU"/>
        </w:rPr>
      </w:pPr>
      <w:r>
        <w:rPr>
          <w:rFonts w:ascii="Times New Roman" w:hAnsi="Times New Roman"/>
          <w:bCs/>
          <w:u w:color="000000"/>
          <w:lang w:eastAsia="ru-RU"/>
        </w:rPr>
        <w:t>Соблюдение личной гигиены, требований к спортивной одежде и обуви для занятий хоккеем.</w:t>
      </w:r>
    </w:p>
    <w:p w14:paraId="0842D109">
      <w:pPr>
        <w:pBdr>
          <w:top w:val="none" w:color="auto" w:sz="0" w:space="0"/>
          <w:left w:val="none" w:color="auto" w:sz="0" w:space="0"/>
          <w:bottom w:val="none" w:color="auto" w:sz="0" w:space="0"/>
          <w:right w:val="none" w:color="auto" w:sz="0" w:space="0"/>
          <w:between w:val="none" w:color="auto" w:sz="0" w:space="0"/>
        </w:pBdr>
        <w:spacing w:after="0" w:line="360" w:lineRule="auto"/>
        <w:ind w:firstLine="709"/>
        <w:contextualSpacing/>
        <w:jc w:val="both"/>
        <w:rPr>
          <w:rFonts w:ascii="Times New Roman" w:hAnsi="Times New Roman"/>
          <w:bCs/>
          <w:u w:color="000000"/>
          <w:lang w:eastAsia="ru-RU"/>
        </w:rPr>
      </w:pPr>
      <w:r>
        <w:rPr>
          <w:rFonts w:ascii="Times New Roman" w:hAnsi="Times New Roman"/>
          <w:bCs/>
          <w:u w:color="000000"/>
          <w:lang w:eastAsia="ru-RU"/>
        </w:rPr>
        <w:t>Составление комплексов различной направленности: утренней гигиенической гимнастики, корригирующей гимнастики с элементами хоккея, дыхательной гимнастики, упражнений для глаз, упражнений формирования осанки и профилактики плоскостопия, упражнений для развития физических качеств, упражнений для укрепления голеностопных суставов.</w:t>
      </w:r>
    </w:p>
    <w:p w14:paraId="6C24EF72">
      <w:pPr>
        <w:pBdr>
          <w:top w:val="none" w:color="auto" w:sz="0" w:space="0"/>
          <w:left w:val="none" w:color="auto" w:sz="0" w:space="0"/>
          <w:bottom w:val="none" w:color="auto" w:sz="0" w:space="0"/>
          <w:right w:val="none" w:color="auto" w:sz="0" w:space="0"/>
          <w:between w:val="none" w:color="auto" w:sz="0" w:space="0"/>
        </w:pBdr>
        <w:spacing w:after="0" w:line="360" w:lineRule="auto"/>
        <w:ind w:firstLine="709"/>
        <w:contextualSpacing/>
        <w:jc w:val="both"/>
        <w:rPr>
          <w:rFonts w:ascii="Times New Roman" w:hAnsi="Times New Roman"/>
          <w:bCs/>
          <w:u w:color="000000"/>
          <w:lang w:eastAsia="ru-RU"/>
        </w:rPr>
      </w:pPr>
      <w:r>
        <w:rPr>
          <w:rFonts w:ascii="Times New Roman" w:hAnsi="Times New Roman"/>
          <w:bCs/>
          <w:u w:color="000000"/>
          <w:lang w:eastAsia="ru-RU"/>
        </w:rPr>
        <w:t>Составление и проведение комплексов общеразвивающих упражнений.</w:t>
      </w:r>
    </w:p>
    <w:p w14:paraId="64B06B2A">
      <w:pPr>
        <w:pBdr>
          <w:top w:val="none" w:color="auto" w:sz="0" w:space="0"/>
          <w:left w:val="none" w:color="auto" w:sz="0" w:space="0"/>
          <w:bottom w:val="none" w:color="auto" w:sz="0" w:space="0"/>
          <w:right w:val="none" w:color="auto" w:sz="0" w:space="0"/>
          <w:between w:val="none" w:color="auto" w:sz="0" w:space="0"/>
        </w:pBdr>
        <w:spacing w:after="0" w:line="360" w:lineRule="auto"/>
        <w:ind w:firstLine="709"/>
        <w:contextualSpacing/>
        <w:jc w:val="both"/>
        <w:rPr>
          <w:rFonts w:ascii="Times New Roman" w:hAnsi="Times New Roman"/>
          <w:bCs/>
          <w:u w:color="000000"/>
          <w:lang w:eastAsia="ru-RU"/>
        </w:rPr>
      </w:pPr>
      <w:r>
        <w:rPr>
          <w:rFonts w:ascii="Times New Roman" w:hAnsi="Times New Roman"/>
          <w:bCs/>
          <w:u w:color="000000"/>
          <w:lang w:eastAsia="ru-RU"/>
        </w:rPr>
        <w:t>Подвижные игры и правила их проведения.</w:t>
      </w:r>
    </w:p>
    <w:p w14:paraId="64150B8E">
      <w:pPr>
        <w:pBdr>
          <w:top w:val="none" w:color="auto" w:sz="0" w:space="0"/>
          <w:left w:val="none" w:color="auto" w:sz="0" w:space="0"/>
          <w:bottom w:val="none" w:color="auto" w:sz="0" w:space="0"/>
          <w:right w:val="none" w:color="auto" w:sz="0" w:space="0"/>
          <w:between w:val="none" w:color="auto" w:sz="0" w:space="0"/>
        </w:pBdr>
        <w:spacing w:after="0" w:line="360" w:lineRule="auto"/>
        <w:ind w:firstLine="709"/>
        <w:contextualSpacing/>
        <w:jc w:val="both"/>
        <w:rPr>
          <w:rFonts w:ascii="Times New Roman" w:hAnsi="Times New Roman"/>
          <w:bCs/>
          <w:u w:color="000000"/>
          <w:lang w:eastAsia="ru-RU"/>
        </w:rPr>
      </w:pPr>
      <w:r>
        <w:rPr>
          <w:rFonts w:ascii="Times New Roman" w:hAnsi="Times New Roman"/>
          <w:bCs/>
          <w:u w:color="000000"/>
          <w:lang w:eastAsia="ru-RU"/>
        </w:rPr>
        <w:t>Организация и проведение игр специальной направленности с элементами хоккея.</w:t>
      </w:r>
    </w:p>
    <w:p w14:paraId="22BA1B5F">
      <w:pPr>
        <w:pBdr>
          <w:top w:val="none" w:color="auto" w:sz="0" w:space="0"/>
          <w:left w:val="none" w:color="auto" w:sz="0" w:space="0"/>
          <w:bottom w:val="none" w:color="auto" w:sz="0" w:space="0"/>
          <w:right w:val="none" w:color="auto" w:sz="0" w:space="0"/>
          <w:between w:val="none" w:color="auto" w:sz="0" w:space="0"/>
        </w:pBdr>
        <w:spacing w:after="0" w:line="360" w:lineRule="auto"/>
        <w:ind w:firstLine="709"/>
        <w:jc w:val="both"/>
        <w:rPr>
          <w:rFonts w:ascii="Times New Roman" w:hAnsi="Times New Roman" w:eastAsia="Times New Roman"/>
          <w:u w:color="000000"/>
          <w:lang w:eastAsia="ru-RU"/>
        </w:rPr>
      </w:pPr>
      <w:r>
        <w:rPr>
          <w:rFonts w:ascii="Times New Roman" w:hAnsi="Times New Roman" w:eastAsia="Times New Roman"/>
          <w:u w:color="000000"/>
          <w:lang w:eastAsia="ru-RU"/>
        </w:rPr>
        <w:t>Основы организации самостоятельных занятий хоккеем со сверстниками.</w:t>
      </w:r>
    </w:p>
    <w:p w14:paraId="3E3E9FE8">
      <w:pPr>
        <w:pBdr>
          <w:top w:val="none" w:color="auto" w:sz="0" w:space="0"/>
          <w:left w:val="none" w:color="auto" w:sz="0" w:space="0"/>
          <w:bottom w:val="none" w:color="auto" w:sz="0" w:space="0"/>
          <w:right w:val="none" w:color="auto" w:sz="0" w:space="0"/>
          <w:between w:val="none" w:color="auto" w:sz="0" w:space="0"/>
        </w:pBdr>
        <w:spacing w:after="0" w:line="360" w:lineRule="auto"/>
        <w:ind w:firstLine="709"/>
        <w:jc w:val="both"/>
        <w:rPr>
          <w:rFonts w:ascii="Times New Roman" w:hAnsi="Times New Roman" w:eastAsia="Times New Roman"/>
          <w:bCs/>
          <w:u w:color="000000"/>
          <w:lang w:eastAsia="ru-RU"/>
        </w:rPr>
      </w:pPr>
      <w:r>
        <w:rPr>
          <w:rFonts w:ascii="Times New Roman" w:hAnsi="Times New Roman" w:eastAsia="Times New Roman"/>
          <w:u w:color="000000"/>
          <w:lang w:eastAsia="ru-RU"/>
        </w:rPr>
        <w:t>Причины возникновения ошибок при выполнении технических приёмов и способы их устранения.</w:t>
      </w:r>
    </w:p>
    <w:p w14:paraId="4B2B8DB4">
      <w:pPr>
        <w:pBdr>
          <w:top w:val="none" w:color="auto" w:sz="0" w:space="0"/>
          <w:left w:val="none" w:color="auto" w:sz="0" w:space="0"/>
          <w:bottom w:val="none" w:color="auto" w:sz="0" w:space="0"/>
          <w:right w:val="none" w:color="auto" w:sz="0" w:space="0"/>
          <w:between w:val="none" w:color="auto" w:sz="0" w:space="0"/>
        </w:pBdr>
        <w:spacing w:after="0" w:line="360" w:lineRule="auto"/>
        <w:ind w:firstLine="709"/>
        <w:jc w:val="both"/>
        <w:rPr>
          <w:rFonts w:ascii="Times New Roman" w:hAnsi="Times New Roman"/>
          <w:u w:color="000000"/>
          <w:lang w:eastAsia="ru-RU"/>
        </w:rPr>
      </w:pPr>
      <w:r>
        <w:rPr>
          <w:rFonts w:ascii="Times New Roman" w:hAnsi="Times New Roman"/>
          <w:u w:color="000000"/>
          <w:lang w:eastAsia="ru-RU"/>
        </w:rPr>
        <w:t>Тестирование уровня физической подготовленности в хоккее.</w:t>
      </w:r>
    </w:p>
    <w:p w14:paraId="4BD38132">
      <w:pPr>
        <w:spacing w:after="0" w:line="360" w:lineRule="auto"/>
        <w:ind w:firstLine="709"/>
        <w:jc w:val="both"/>
        <w:rPr>
          <w:rFonts w:ascii="Times New Roman" w:hAnsi="Times New Roman"/>
          <w:bCs/>
          <w:iCs/>
          <w:u w:color="000000"/>
          <w:lang w:eastAsia="ru-RU"/>
        </w:rPr>
      </w:pPr>
      <w:r>
        <w:rPr>
          <w:rFonts w:ascii="Times New Roman" w:hAnsi="Times New Roman"/>
          <w:bCs/>
          <w:iCs/>
          <w:u w:color="000000"/>
          <w:lang w:eastAsia="ru-RU"/>
        </w:rPr>
        <w:t>Физическое совершенствование.</w:t>
      </w:r>
    </w:p>
    <w:p w14:paraId="0125E417">
      <w:pPr>
        <w:spacing w:after="0" w:line="360" w:lineRule="auto"/>
        <w:ind w:firstLine="709"/>
        <w:jc w:val="both"/>
        <w:rPr>
          <w:rFonts w:ascii="Times New Roman" w:hAnsi="Times New Roman" w:eastAsia="Times New Roman"/>
          <w:u w:color="000000"/>
          <w:lang w:eastAsia="ru-RU"/>
        </w:rPr>
      </w:pPr>
      <w:r>
        <w:rPr>
          <w:rFonts w:ascii="Times New Roman" w:hAnsi="Times New Roman" w:eastAsia="Times New Roman"/>
          <w:u w:color="000000"/>
          <w:lang w:eastAsia="ru-RU"/>
        </w:rPr>
        <w:t>Комплексы общеразвивающих и корригирующих упражнений.</w:t>
      </w:r>
    </w:p>
    <w:p w14:paraId="22071E3B">
      <w:pPr>
        <w:spacing w:after="0" w:line="360" w:lineRule="auto"/>
        <w:ind w:firstLine="709"/>
        <w:jc w:val="both"/>
        <w:rPr>
          <w:rFonts w:ascii="Times New Roman" w:hAnsi="Times New Roman"/>
          <w:bCs/>
          <w:u w:color="000000"/>
          <w:lang w:eastAsia="ru-RU"/>
        </w:rPr>
      </w:pPr>
      <w:r>
        <w:rPr>
          <w:rFonts w:ascii="Times New Roman" w:hAnsi="Times New Roman"/>
          <w:bCs/>
          <w:u w:color="000000"/>
          <w:lang w:eastAsia="ru-RU"/>
        </w:rPr>
        <w:t>Упражнения, направленные на воспитание физических качеств (быстроты, ловкости, гибкости).</w:t>
      </w:r>
    </w:p>
    <w:p w14:paraId="1EAB7290">
      <w:pPr>
        <w:pBdr>
          <w:top w:val="none" w:color="auto" w:sz="0" w:space="0"/>
          <w:left w:val="none" w:color="auto" w:sz="0" w:space="0"/>
          <w:bottom w:val="none" w:color="auto" w:sz="0" w:space="0"/>
          <w:right w:val="none" w:color="auto" w:sz="0" w:space="0"/>
          <w:between w:val="none" w:color="auto" w:sz="0" w:space="0"/>
        </w:pBdr>
        <w:spacing w:after="0" w:line="360" w:lineRule="auto"/>
        <w:ind w:firstLine="709"/>
        <w:jc w:val="both"/>
        <w:rPr>
          <w:rFonts w:ascii="Times New Roman" w:hAnsi="Times New Roman" w:eastAsia="Times New Roman"/>
          <w:u w:color="000000"/>
          <w:lang w:eastAsia="ru-RU"/>
        </w:rPr>
      </w:pPr>
      <w:r>
        <w:rPr>
          <w:rFonts w:ascii="Times New Roman" w:hAnsi="Times New Roman"/>
          <w:u w:color="000000"/>
          <w:lang w:eastAsia="ru-RU"/>
        </w:rPr>
        <w:t xml:space="preserve">Комплексы специальных упражнений для формирования технических действий хоккеиста, в том числе </w:t>
      </w:r>
      <w:r>
        <w:rPr>
          <w:rFonts w:ascii="Times New Roman" w:hAnsi="Times New Roman" w:eastAsia="Times New Roman"/>
          <w:u w:color="000000"/>
          <w:lang w:eastAsia="ru-RU"/>
        </w:rPr>
        <w:t>имитационные упражнения хоккеиста (в зале, на катке).</w:t>
      </w:r>
    </w:p>
    <w:p w14:paraId="3E90908C">
      <w:pPr>
        <w:pBdr>
          <w:top w:val="none" w:color="auto" w:sz="0" w:space="0"/>
          <w:left w:val="none" w:color="auto" w:sz="0" w:space="0"/>
          <w:bottom w:val="none" w:color="auto" w:sz="0" w:space="0"/>
          <w:right w:val="none" w:color="auto" w:sz="0" w:space="0"/>
          <w:between w:val="none" w:color="auto" w:sz="0" w:space="0"/>
        </w:pBdr>
        <w:spacing w:after="0" w:line="360" w:lineRule="auto"/>
        <w:ind w:firstLine="709"/>
        <w:jc w:val="both"/>
        <w:rPr>
          <w:rFonts w:ascii="Times New Roman" w:hAnsi="Times New Roman"/>
          <w:bCs/>
          <w:u w:color="000000"/>
          <w:lang w:eastAsia="ru-RU"/>
        </w:rPr>
      </w:pPr>
      <w:r>
        <w:rPr>
          <w:rFonts w:ascii="Times New Roman" w:hAnsi="Times New Roman"/>
          <w:bCs/>
          <w:u w:color="000000"/>
          <w:lang w:eastAsia="ru-RU"/>
        </w:rPr>
        <w:t>Разминка, ее роль, назначение, средства. Комплексы специальной разминки перед соревнованиями по хоккею.</w:t>
      </w:r>
    </w:p>
    <w:p w14:paraId="59864A74">
      <w:pPr>
        <w:pBdr>
          <w:top w:val="none" w:color="auto" w:sz="0" w:space="0"/>
          <w:left w:val="none" w:color="auto" w:sz="0" w:space="0"/>
          <w:bottom w:val="none" w:color="auto" w:sz="0" w:space="0"/>
          <w:right w:val="none" w:color="auto" w:sz="0" w:space="0"/>
          <w:between w:val="none" w:color="auto" w:sz="0" w:space="0"/>
        </w:pBdr>
        <w:spacing w:after="0" w:line="360" w:lineRule="auto"/>
        <w:ind w:firstLine="709"/>
        <w:jc w:val="both"/>
        <w:rPr>
          <w:rFonts w:ascii="Times New Roman" w:hAnsi="Times New Roman"/>
          <w:bCs/>
          <w:u w:color="000000"/>
          <w:lang w:eastAsia="ru-RU"/>
        </w:rPr>
      </w:pPr>
      <w:r>
        <w:rPr>
          <w:rFonts w:ascii="Times New Roman" w:hAnsi="Times New Roman"/>
          <w:bCs/>
          <w:u w:color="000000"/>
          <w:lang w:eastAsia="ru-RU"/>
        </w:rPr>
        <w:t>Комплексы корригирующей гимнастики с использованием специальных хоккейных упражнений.</w:t>
      </w:r>
    </w:p>
    <w:p w14:paraId="34C2D72A">
      <w:pPr>
        <w:pBdr>
          <w:top w:val="none" w:color="auto" w:sz="0" w:space="0"/>
          <w:left w:val="none" w:color="auto" w:sz="0" w:space="0"/>
          <w:bottom w:val="none" w:color="auto" w:sz="0" w:space="0"/>
          <w:right w:val="none" w:color="auto" w:sz="0" w:space="0"/>
          <w:between w:val="none" w:color="auto" w:sz="0" w:space="0"/>
        </w:pBdr>
        <w:spacing w:after="0" w:line="360" w:lineRule="auto"/>
        <w:ind w:firstLine="709"/>
        <w:jc w:val="both"/>
        <w:rPr>
          <w:rFonts w:ascii="Times New Roman" w:hAnsi="Times New Roman"/>
          <w:b/>
          <w:u w:color="000000"/>
          <w:lang w:eastAsia="ru-RU"/>
        </w:rPr>
      </w:pPr>
      <w:r>
        <w:rPr>
          <w:rFonts w:ascii="Times New Roman" w:hAnsi="Times New Roman"/>
          <w:bCs/>
          <w:u w:color="000000"/>
          <w:lang w:eastAsia="ru-RU"/>
        </w:rPr>
        <w:t>Внешние признаки утомления. Средства восстановления организма после физической нагрузки.</w:t>
      </w:r>
    </w:p>
    <w:p w14:paraId="3B08A2E2">
      <w:pPr>
        <w:pBdr>
          <w:top w:val="none" w:color="auto" w:sz="0" w:space="0"/>
          <w:left w:val="none" w:color="auto" w:sz="0" w:space="0"/>
          <w:bottom w:val="none" w:color="auto" w:sz="0" w:space="0"/>
          <w:right w:val="none" w:color="auto" w:sz="0" w:space="0"/>
          <w:between w:val="none" w:color="auto" w:sz="0" w:space="0"/>
        </w:pBdr>
        <w:spacing w:after="0" w:line="360" w:lineRule="auto"/>
        <w:ind w:firstLine="709"/>
        <w:jc w:val="both"/>
        <w:rPr>
          <w:rFonts w:ascii="Times New Roman" w:hAnsi="Times New Roman"/>
          <w:bCs/>
          <w:u w:color="000000"/>
          <w:lang w:eastAsia="ru-RU"/>
        </w:rPr>
      </w:pPr>
      <w:r>
        <w:rPr>
          <w:rFonts w:ascii="Times New Roman" w:hAnsi="Times New Roman"/>
          <w:bCs/>
          <w:u w:color="000000"/>
          <w:lang w:eastAsia="ru-RU"/>
        </w:rPr>
        <w:t>Способы индивидуального регулирования физической нагрузки с учетом уровня физического развития и функционального состояния организма.</w:t>
      </w:r>
    </w:p>
    <w:p w14:paraId="2E5A52D8">
      <w:pPr>
        <w:pBdr>
          <w:top w:val="none" w:color="auto" w:sz="0" w:space="0"/>
          <w:left w:val="none" w:color="auto" w:sz="0" w:space="0"/>
          <w:bottom w:val="none" w:color="auto" w:sz="0" w:space="0"/>
          <w:right w:val="none" w:color="auto" w:sz="0" w:space="0"/>
          <w:between w:val="none" w:color="auto" w:sz="0" w:space="0"/>
        </w:pBdr>
        <w:spacing w:after="0" w:line="360" w:lineRule="auto"/>
        <w:ind w:firstLine="709"/>
        <w:jc w:val="both"/>
        <w:rPr>
          <w:rFonts w:ascii="Times New Roman" w:hAnsi="Times New Roman"/>
          <w:u w:color="000000"/>
          <w:lang w:eastAsia="ru-RU"/>
        </w:rPr>
      </w:pPr>
      <w:r>
        <w:rPr>
          <w:rFonts w:ascii="Times New Roman" w:hAnsi="Times New Roman"/>
          <w:u w:color="000000"/>
          <w:lang w:eastAsia="ru-RU"/>
        </w:rPr>
        <w:t>Подвижные игры с предметами и без, эстафеты с элементами хоккея.</w:t>
      </w:r>
    </w:p>
    <w:p w14:paraId="777957C0">
      <w:pPr>
        <w:pBdr>
          <w:top w:val="none" w:color="auto" w:sz="0" w:space="0"/>
          <w:left w:val="none" w:color="auto" w:sz="0" w:space="0"/>
          <w:bottom w:val="none" w:color="auto" w:sz="0" w:space="0"/>
          <w:right w:val="none" w:color="auto" w:sz="0" w:space="0"/>
          <w:between w:val="none" w:color="auto" w:sz="0" w:space="0"/>
        </w:pBdr>
        <w:spacing w:after="0" w:line="360" w:lineRule="auto"/>
        <w:ind w:firstLine="709"/>
        <w:jc w:val="both"/>
        <w:rPr>
          <w:rFonts w:ascii="Times New Roman" w:hAnsi="Times New Roman"/>
          <w:bCs/>
          <w:u w:color="000000"/>
          <w:lang w:eastAsia="ru-RU"/>
        </w:rPr>
      </w:pPr>
      <w:r>
        <w:rPr>
          <w:rFonts w:ascii="Times New Roman" w:hAnsi="Times New Roman"/>
          <w:bCs/>
          <w:u w:color="000000"/>
          <w:lang w:eastAsia="ru-RU"/>
        </w:rPr>
        <w:t>Подвижные игры, игровые задания для формирования умений и навыков игры в хоккей. Эстафеты, направленные на воспитание физических качеств и специальных навыков.</w:t>
      </w:r>
    </w:p>
    <w:p w14:paraId="7AAFE10D">
      <w:pPr>
        <w:pBdr>
          <w:top w:val="none" w:color="auto" w:sz="0" w:space="0"/>
          <w:left w:val="none" w:color="auto" w:sz="0" w:space="0"/>
          <w:bottom w:val="none" w:color="auto" w:sz="0" w:space="0"/>
          <w:right w:val="none" w:color="auto" w:sz="0" w:space="0"/>
          <w:between w:val="none" w:color="auto" w:sz="0" w:space="0"/>
        </w:pBdr>
        <w:spacing w:after="0" w:line="360" w:lineRule="auto"/>
        <w:ind w:firstLine="709"/>
        <w:jc w:val="both"/>
        <w:rPr>
          <w:rFonts w:ascii="Times New Roman" w:hAnsi="Times New Roman"/>
          <w:u w:color="000000"/>
          <w:lang w:eastAsia="ru-RU"/>
        </w:rPr>
      </w:pPr>
      <w:r>
        <w:rPr>
          <w:rFonts w:ascii="Times New Roman" w:hAnsi="Times New Roman"/>
          <w:u w:color="000000"/>
          <w:lang w:eastAsia="ru-RU"/>
        </w:rPr>
        <w:t>Технические элементы хоккея при передвижении на коньках (бег, повороты, торможения и остановки, старты, прыжки):</w:t>
      </w:r>
    </w:p>
    <w:p w14:paraId="271DEEA8">
      <w:pPr>
        <w:pBdr>
          <w:top w:val="none" w:color="auto" w:sz="0" w:space="0"/>
          <w:left w:val="none" w:color="auto" w:sz="0" w:space="0"/>
          <w:bottom w:val="none" w:color="auto" w:sz="0" w:space="0"/>
          <w:right w:val="none" w:color="auto" w:sz="0" w:space="0"/>
          <w:between w:val="none" w:color="auto" w:sz="0" w:space="0"/>
        </w:pBdr>
        <w:spacing w:after="0" w:line="360" w:lineRule="auto"/>
        <w:ind w:firstLine="709"/>
        <w:jc w:val="both"/>
        <w:rPr>
          <w:rFonts w:ascii="Times New Roman" w:hAnsi="Times New Roman"/>
          <w:u w:color="000000"/>
          <w:lang w:eastAsia="ru-RU"/>
        </w:rPr>
      </w:pPr>
      <w:r>
        <w:rPr>
          <w:rFonts w:ascii="Times New Roman" w:hAnsi="Times New Roman"/>
          <w:u w:color="000000"/>
          <w:lang w:eastAsia="ru-RU"/>
        </w:rPr>
        <w:t>передвижение по резиновой и уплотненной снежной дорожке;</w:t>
      </w:r>
    </w:p>
    <w:p w14:paraId="41ED2918">
      <w:pPr>
        <w:pBdr>
          <w:top w:val="none" w:color="auto" w:sz="0" w:space="0"/>
          <w:left w:val="none" w:color="auto" w:sz="0" w:space="0"/>
          <w:bottom w:val="none" w:color="auto" w:sz="0" w:space="0"/>
          <w:right w:val="none" w:color="auto" w:sz="0" w:space="0"/>
          <w:between w:val="none" w:color="auto" w:sz="0" w:space="0"/>
        </w:pBdr>
        <w:spacing w:after="0" w:line="360" w:lineRule="auto"/>
        <w:ind w:firstLine="709"/>
        <w:jc w:val="both"/>
        <w:rPr>
          <w:rFonts w:ascii="Times New Roman" w:hAnsi="Times New Roman"/>
          <w:u w:color="000000"/>
          <w:lang w:eastAsia="ru-RU"/>
        </w:rPr>
      </w:pPr>
      <w:r>
        <w:rPr>
          <w:rFonts w:ascii="Times New Roman" w:hAnsi="Times New Roman"/>
          <w:u w:color="000000"/>
          <w:lang w:eastAsia="ru-RU"/>
        </w:rPr>
        <w:t>основная стойка (посадка) хоккеиста;</w:t>
      </w:r>
    </w:p>
    <w:p w14:paraId="6F642131">
      <w:pPr>
        <w:pBdr>
          <w:top w:val="none" w:color="auto" w:sz="0" w:space="0"/>
          <w:left w:val="none" w:color="auto" w:sz="0" w:space="0"/>
          <w:bottom w:val="none" w:color="auto" w:sz="0" w:space="0"/>
          <w:right w:val="none" w:color="auto" w:sz="0" w:space="0"/>
          <w:between w:val="none" w:color="auto" w:sz="0" w:space="0"/>
        </w:pBdr>
        <w:spacing w:after="0" w:line="360" w:lineRule="auto"/>
        <w:ind w:firstLine="709"/>
        <w:jc w:val="both"/>
        <w:rPr>
          <w:rFonts w:ascii="Times New Roman" w:hAnsi="Times New Roman"/>
          <w:u w:color="000000"/>
          <w:lang w:eastAsia="ru-RU"/>
        </w:rPr>
      </w:pPr>
      <w:r>
        <w:rPr>
          <w:rFonts w:ascii="Times New Roman" w:hAnsi="Times New Roman"/>
          <w:u w:color="000000"/>
          <w:lang w:eastAsia="ru-RU"/>
        </w:rPr>
        <w:t>скольжение на двух коньках с опорой руками на стул;</w:t>
      </w:r>
    </w:p>
    <w:p w14:paraId="471F1456">
      <w:pPr>
        <w:pBdr>
          <w:top w:val="none" w:color="auto" w:sz="0" w:space="0"/>
          <w:left w:val="none" w:color="auto" w:sz="0" w:space="0"/>
          <w:bottom w:val="none" w:color="auto" w:sz="0" w:space="0"/>
          <w:right w:val="none" w:color="auto" w:sz="0" w:space="0"/>
          <w:between w:val="none" w:color="auto" w:sz="0" w:space="0"/>
        </w:pBdr>
        <w:spacing w:after="0" w:line="360" w:lineRule="auto"/>
        <w:ind w:firstLine="709"/>
        <w:jc w:val="both"/>
        <w:rPr>
          <w:rFonts w:ascii="Times New Roman" w:hAnsi="Times New Roman"/>
          <w:u w:color="000000"/>
          <w:lang w:eastAsia="ru-RU"/>
        </w:rPr>
      </w:pPr>
      <w:r>
        <w:rPr>
          <w:rFonts w:ascii="Times New Roman" w:hAnsi="Times New Roman"/>
          <w:u w:color="000000"/>
          <w:lang w:eastAsia="ru-RU"/>
        </w:rPr>
        <w:t>скольжение на двух коньках с попеременным отталкиванием левой и правой ногой;</w:t>
      </w:r>
    </w:p>
    <w:p w14:paraId="4480AE6B">
      <w:pPr>
        <w:pBdr>
          <w:top w:val="none" w:color="auto" w:sz="0" w:space="0"/>
          <w:left w:val="none" w:color="auto" w:sz="0" w:space="0"/>
          <w:bottom w:val="none" w:color="auto" w:sz="0" w:space="0"/>
          <w:right w:val="none" w:color="auto" w:sz="0" w:space="0"/>
          <w:between w:val="none" w:color="auto" w:sz="0" w:space="0"/>
        </w:pBdr>
        <w:spacing w:after="0" w:line="360" w:lineRule="auto"/>
        <w:ind w:firstLine="709"/>
        <w:jc w:val="both"/>
        <w:rPr>
          <w:rFonts w:ascii="Times New Roman" w:hAnsi="Times New Roman"/>
          <w:u w:color="000000"/>
          <w:lang w:eastAsia="ru-RU"/>
        </w:rPr>
      </w:pPr>
      <w:r>
        <w:rPr>
          <w:rFonts w:ascii="Times New Roman" w:hAnsi="Times New Roman"/>
          <w:u w:color="000000"/>
          <w:lang w:eastAsia="ru-RU"/>
        </w:rPr>
        <w:t>скольжение на левом коньке после толчка правой ногой и наоборот;</w:t>
      </w:r>
    </w:p>
    <w:p w14:paraId="0690883A">
      <w:pPr>
        <w:pBdr>
          <w:top w:val="none" w:color="auto" w:sz="0" w:space="0"/>
          <w:left w:val="none" w:color="auto" w:sz="0" w:space="0"/>
          <w:bottom w:val="none" w:color="auto" w:sz="0" w:space="0"/>
          <w:right w:val="none" w:color="auto" w:sz="0" w:space="0"/>
          <w:between w:val="none" w:color="auto" w:sz="0" w:space="0"/>
        </w:pBdr>
        <w:spacing w:after="0" w:line="360" w:lineRule="auto"/>
        <w:ind w:firstLine="709"/>
        <w:jc w:val="both"/>
        <w:rPr>
          <w:rFonts w:ascii="Times New Roman" w:hAnsi="Times New Roman"/>
          <w:u w:color="000000"/>
          <w:lang w:eastAsia="ru-RU"/>
        </w:rPr>
      </w:pPr>
      <w:r>
        <w:rPr>
          <w:rFonts w:ascii="Times New Roman" w:hAnsi="Times New Roman"/>
          <w:u w:color="000000"/>
          <w:lang w:eastAsia="ru-RU"/>
        </w:rPr>
        <w:t>бег скользящими, короткими, шагами, спиной вперед, не отрывая коньков ото льда, спиной вперед переступанием ногами;</w:t>
      </w:r>
    </w:p>
    <w:p w14:paraId="280E8ED5">
      <w:pPr>
        <w:pBdr>
          <w:top w:val="none" w:color="auto" w:sz="0" w:space="0"/>
          <w:left w:val="none" w:color="auto" w:sz="0" w:space="0"/>
          <w:bottom w:val="none" w:color="auto" w:sz="0" w:space="0"/>
          <w:right w:val="none" w:color="auto" w:sz="0" w:space="0"/>
          <w:between w:val="none" w:color="auto" w:sz="0" w:space="0"/>
        </w:pBdr>
        <w:spacing w:after="0" w:line="360" w:lineRule="auto"/>
        <w:ind w:firstLine="709"/>
        <w:jc w:val="both"/>
        <w:rPr>
          <w:rFonts w:ascii="Times New Roman" w:hAnsi="Times New Roman"/>
          <w:u w:color="000000"/>
          <w:lang w:eastAsia="ru-RU"/>
        </w:rPr>
      </w:pPr>
      <w:r>
        <w:rPr>
          <w:rFonts w:ascii="Times New Roman" w:hAnsi="Times New Roman"/>
          <w:u w:color="000000"/>
          <w:lang w:eastAsia="ru-RU"/>
        </w:rPr>
        <w:t>выпады, глубокие приседания на двух ногах;</w:t>
      </w:r>
    </w:p>
    <w:p w14:paraId="1261C3BA">
      <w:pPr>
        <w:pBdr>
          <w:top w:val="none" w:color="auto" w:sz="0" w:space="0"/>
          <w:left w:val="none" w:color="auto" w:sz="0" w:space="0"/>
          <w:bottom w:val="none" w:color="auto" w:sz="0" w:space="0"/>
          <w:right w:val="none" w:color="auto" w:sz="0" w:space="0"/>
          <w:between w:val="none" w:color="auto" w:sz="0" w:space="0"/>
        </w:pBdr>
        <w:spacing w:after="0" w:line="360" w:lineRule="auto"/>
        <w:ind w:firstLine="709"/>
        <w:jc w:val="both"/>
        <w:rPr>
          <w:rFonts w:ascii="Times New Roman" w:hAnsi="Times New Roman"/>
          <w:u w:color="000000"/>
          <w:lang w:eastAsia="ru-RU"/>
        </w:rPr>
      </w:pPr>
      <w:r>
        <w:rPr>
          <w:rFonts w:ascii="Times New Roman" w:hAnsi="Times New Roman"/>
          <w:u w:color="000000"/>
          <w:lang w:eastAsia="ru-RU"/>
        </w:rPr>
        <w:t>падения на колени в движении с последующим быстрым вставанием;</w:t>
      </w:r>
    </w:p>
    <w:p w14:paraId="2E487E2D">
      <w:pPr>
        <w:pBdr>
          <w:top w:val="none" w:color="auto" w:sz="0" w:space="0"/>
          <w:left w:val="none" w:color="auto" w:sz="0" w:space="0"/>
          <w:bottom w:val="none" w:color="auto" w:sz="0" w:space="0"/>
          <w:right w:val="none" w:color="auto" w:sz="0" w:space="0"/>
          <w:between w:val="none" w:color="auto" w:sz="0" w:space="0"/>
        </w:pBdr>
        <w:spacing w:after="0" w:line="360" w:lineRule="auto"/>
        <w:ind w:firstLine="709"/>
        <w:jc w:val="both"/>
        <w:rPr>
          <w:rFonts w:ascii="Times New Roman" w:hAnsi="Times New Roman"/>
          <w:u w:color="000000"/>
          <w:lang w:eastAsia="ru-RU"/>
        </w:rPr>
      </w:pPr>
      <w:r>
        <w:rPr>
          <w:rFonts w:ascii="Times New Roman" w:hAnsi="Times New Roman"/>
          <w:u w:color="000000"/>
          <w:lang w:eastAsia="ru-RU"/>
        </w:rPr>
        <w:t>повороты по дуге влево и вправо не отрывая коньков ото льда, по дуге толчками одной (внешней) ноги (переступанием) по дуге переступанием двух ног;</w:t>
      </w:r>
    </w:p>
    <w:p w14:paraId="023618F0">
      <w:pPr>
        <w:pBdr>
          <w:top w:val="none" w:color="auto" w:sz="0" w:space="0"/>
          <w:left w:val="none" w:color="auto" w:sz="0" w:space="0"/>
          <w:bottom w:val="none" w:color="auto" w:sz="0" w:space="0"/>
          <w:right w:val="none" w:color="auto" w:sz="0" w:space="0"/>
          <w:between w:val="none" w:color="auto" w:sz="0" w:space="0"/>
        </w:pBdr>
        <w:spacing w:after="0" w:line="360" w:lineRule="auto"/>
        <w:ind w:firstLine="709"/>
        <w:jc w:val="both"/>
        <w:rPr>
          <w:rFonts w:ascii="Times New Roman" w:hAnsi="Times New Roman"/>
          <w:u w:color="000000"/>
          <w:lang w:eastAsia="ru-RU"/>
        </w:rPr>
      </w:pPr>
      <w:r>
        <w:rPr>
          <w:rFonts w:ascii="Times New Roman" w:hAnsi="Times New Roman"/>
          <w:u w:color="000000"/>
          <w:lang w:eastAsia="ru-RU"/>
        </w:rPr>
        <w:t>торможение «полуплугом» и «плугом», остановки;</w:t>
      </w:r>
    </w:p>
    <w:p w14:paraId="5DE9EEFD">
      <w:pPr>
        <w:pBdr>
          <w:top w:val="none" w:color="auto" w:sz="0" w:space="0"/>
          <w:left w:val="none" w:color="auto" w:sz="0" w:space="0"/>
          <w:bottom w:val="none" w:color="auto" w:sz="0" w:space="0"/>
          <w:right w:val="none" w:color="auto" w:sz="0" w:space="0"/>
          <w:between w:val="none" w:color="auto" w:sz="0" w:space="0"/>
        </w:pBdr>
        <w:spacing w:after="0" w:line="360" w:lineRule="auto"/>
        <w:ind w:firstLine="709"/>
        <w:jc w:val="both"/>
        <w:rPr>
          <w:rFonts w:ascii="Times New Roman" w:hAnsi="Times New Roman"/>
          <w:u w:color="000000"/>
          <w:lang w:eastAsia="ru-RU"/>
        </w:rPr>
      </w:pPr>
      <w:r>
        <w:rPr>
          <w:rFonts w:ascii="Times New Roman" w:hAnsi="Times New Roman"/>
          <w:u w:color="000000"/>
          <w:lang w:eastAsia="ru-RU"/>
        </w:rPr>
        <w:t xml:space="preserve">старт с места лицом вперед, из различных положений с последующими ускорениями в заданные направления; </w:t>
      </w:r>
    </w:p>
    <w:p w14:paraId="0523F95A">
      <w:pPr>
        <w:pBdr>
          <w:top w:val="none" w:color="auto" w:sz="0" w:space="0"/>
          <w:left w:val="none" w:color="auto" w:sz="0" w:space="0"/>
          <w:bottom w:val="none" w:color="auto" w:sz="0" w:space="0"/>
          <w:right w:val="none" w:color="auto" w:sz="0" w:space="0"/>
          <w:between w:val="none" w:color="auto" w:sz="0" w:space="0"/>
        </w:pBdr>
        <w:spacing w:after="0" w:line="360" w:lineRule="auto"/>
        <w:ind w:firstLine="709"/>
        <w:jc w:val="both"/>
        <w:rPr>
          <w:rFonts w:ascii="Times New Roman" w:hAnsi="Times New Roman"/>
          <w:u w:color="000000"/>
          <w:lang w:eastAsia="ru-RU"/>
        </w:rPr>
      </w:pPr>
      <w:r>
        <w:rPr>
          <w:rFonts w:ascii="Times New Roman" w:hAnsi="Times New Roman"/>
          <w:u w:color="000000"/>
          <w:lang w:eastAsia="ru-RU"/>
        </w:rPr>
        <w:t>прыжки толчком двумя ногами вперед, в сторону.</w:t>
      </w:r>
    </w:p>
    <w:p w14:paraId="6419E4BB">
      <w:pPr>
        <w:pBdr>
          <w:top w:val="none" w:color="auto" w:sz="0" w:space="0"/>
          <w:left w:val="none" w:color="auto" w:sz="0" w:space="0"/>
          <w:bottom w:val="none" w:color="auto" w:sz="0" w:space="0"/>
          <w:right w:val="none" w:color="auto" w:sz="0" w:space="0"/>
          <w:between w:val="none" w:color="auto" w:sz="0" w:space="0"/>
        </w:pBdr>
        <w:spacing w:after="0" w:line="360" w:lineRule="auto"/>
        <w:ind w:firstLine="709"/>
        <w:contextualSpacing/>
        <w:jc w:val="both"/>
        <w:rPr>
          <w:rFonts w:ascii="Times New Roman" w:hAnsi="Times New Roman" w:eastAsia="Times New Roman"/>
          <w:u w:color="000000"/>
          <w:lang w:eastAsia="ru-RU"/>
        </w:rPr>
      </w:pPr>
      <w:r>
        <w:rPr>
          <w:rFonts w:ascii="Times New Roman" w:hAnsi="Times New Roman" w:eastAsia="Times New Roman"/>
          <w:u w:color="000000"/>
          <w:lang w:eastAsia="ru-RU"/>
        </w:rPr>
        <w:t>Технические элементы владения клюшкой и шайбой (ведение, передачи, броски, удары, остановки, прием).</w:t>
      </w:r>
      <w:r>
        <w:rPr>
          <w:rFonts w:ascii="Times New Roman" w:hAnsi="Times New Roman"/>
          <w:u w:color="000000"/>
          <w:lang w:eastAsia="ru-RU"/>
        </w:rPr>
        <w:t xml:space="preserve"> </w:t>
      </w:r>
      <w:r>
        <w:rPr>
          <w:rFonts w:ascii="Times New Roman" w:hAnsi="Times New Roman" w:eastAsia="Times New Roman"/>
          <w:u w:color="000000"/>
          <w:lang w:eastAsia="ru-RU"/>
        </w:rPr>
        <w:t>Броски шайбы.</w:t>
      </w:r>
    </w:p>
    <w:p w14:paraId="08E73E8E">
      <w:pPr>
        <w:pBdr>
          <w:top w:val="none" w:color="auto" w:sz="0" w:space="0"/>
          <w:left w:val="none" w:color="auto" w:sz="0" w:space="0"/>
          <w:bottom w:val="none" w:color="auto" w:sz="0" w:space="0"/>
          <w:right w:val="none" w:color="auto" w:sz="0" w:space="0"/>
          <w:between w:val="none" w:color="auto" w:sz="0" w:space="0"/>
        </w:pBdr>
        <w:spacing w:after="0" w:line="360" w:lineRule="auto"/>
        <w:ind w:firstLine="709"/>
        <w:jc w:val="both"/>
        <w:rPr>
          <w:rFonts w:ascii="Times New Roman" w:hAnsi="Times New Roman"/>
          <w:bCs/>
          <w:u w:color="000000"/>
          <w:lang w:eastAsia="ru-RU"/>
        </w:rPr>
      </w:pPr>
      <w:r>
        <w:rPr>
          <w:rFonts w:ascii="Times New Roman" w:hAnsi="Times New Roman"/>
          <w:bCs/>
          <w:u w:color="000000"/>
          <w:lang w:eastAsia="ru-RU"/>
        </w:rPr>
        <w:t>Технические действия вратаря: основная стойка, передвижение, ловля и отбивание шайбы.</w:t>
      </w:r>
    </w:p>
    <w:p w14:paraId="2209AFDF">
      <w:pPr>
        <w:pBdr>
          <w:top w:val="none" w:color="auto" w:sz="0" w:space="0"/>
          <w:left w:val="none" w:color="auto" w:sz="0" w:space="0"/>
          <w:bottom w:val="none" w:color="auto" w:sz="0" w:space="0"/>
          <w:right w:val="none" w:color="auto" w:sz="0" w:space="0"/>
          <w:between w:val="none" w:color="auto" w:sz="0" w:space="0"/>
        </w:pBdr>
        <w:spacing w:after="0" w:line="360" w:lineRule="auto"/>
        <w:ind w:firstLine="709"/>
        <w:jc w:val="both"/>
        <w:rPr>
          <w:rFonts w:ascii="Times New Roman" w:hAnsi="Times New Roman"/>
          <w:u w:color="000000"/>
          <w:lang w:eastAsia="ru-RU"/>
        </w:rPr>
      </w:pPr>
      <w:r>
        <w:rPr>
          <w:rFonts w:ascii="Times New Roman" w:hAnsi="Times New Roman"/>
          <w:u w:color="000000"/>
          <w:lang w:eastAsia="ru-RU"/>
        </w:rPr>
        <w:t>Участие в соревновательной деятельности.</w:t>
      </w:r>
    </w:p>
    <w:p w14:paraId="2A381033">
      <w:pPr>
        <w:pBdr>
          <w:top w:val="none" w:color="000000" w:sz="0" w:space="0"/>
          <w:left w:val="none" w:color="000000" w:sz="0" w:space="0"/>
          <w:bottom w:val="none" w:color="000000" w:sz="0" w:space="0"/>
          <w:right w:val="none" w:color="000000" w:sz="0" w:space="0"/>
        </w:pBdr>
        <w:suppressAutoHyphens/>
        <w:spacing w:after="0" w:line="360" w:lineRule="auto"/>
        <w:ind w:firstLine="709"/>
        <w:jc w:val="both"/>
        <w:rPr>
          <w:rFonts w:ascii="Times New Roman" w:hAnsi="Times New Roman"/>
          <w:u w:color="000000"/>
          <w:lang w:eastAsia="zh-CN"/>
        </w:rPr>
      </w:pPr>
      <w:r>
        <w:rPr>
          <w:rFonts w:ascii="Times New Roman" w:hAnsi="Times New Roman" w:eastAsia="Times New Roman"/>
          <w:bCs/>
          <w:lang w:eastAsia="zh-CN"/>
        </w:rPr>
        <w:t>16.4.</w:t>
      </w:r>
      <w:r>
        <w:rPr>
          <w:rFonts w:ascii="Times New Roman" w:hAnsi="Times New Roman" w:eastAsia="Times New Roman"/>
          <w:bCs/>
          <w:u w:color="000000"/>
          <w:lang w:eastAsia="zh-CN"/>
        </w:rPr>
        <w:t>6.7.</w:t>
      </w:r>
      <w:r>
        <w:rPr>
          <w:rFonts w:ascii="Times New Roman" w:hAnsi="Times New Roman"/>
          <w:u w:color="000000"/>
          <w:lang w:eastAsia="zh-CN"/>
        </w:rPr>
        <w:t> Содержание модуля «Хоккей» направлено на достижение обучающимися личностных, метапредметных и предметных результатов обучения.</w:t>
      </w:r>
    </w:p>
    <w:p w14:paraId="3FC016AD">
      <w:pPr>
        <w:pBdr>
          <w:top w:val="none" w:color="000000" w:sz="0" w:space="0"/>
          <w:left w:val="none" w:color="000000" w:sz="0" w:space="0"/>
          <w:bottom w:val="none" w:color="000000" w:sz="0" w:space="0"/>
          <w:right w:val="none" w:color="000000" w:sz="0" w:space="0"/>
        </w:pBdr>
        <w:suppressAutoHyphens/>
        <w:spacing w:after="0" w:line="360" w:lineRule="auto"/>
        <w:ind w:firstLine="709"/>
        <w:jc w:val="both"/>
        <w:rPr>
          <w:rFonts w:ascii="Times New Roman" w:hAnsi="Times New Roman"/>
          <w:u w:color="000000"/>
          <w:lang w:eastAsia="zh-CN"/>
        </w:rPr>
      </w:pPr>
      <w:r>
        <w:rPr>
          <w:rFonts w:ascii="Times New Roman" w:hAnsi="Times New Roman" w:eastAsia="Times New Roman"/>
          <w:bCs/>
          <w:lang w:eastAsia="zh-CN"/>
        </w:rPr>
        <w:t>16.4.</w:t>
      </w:r>
      <w:r>
        <w:rPr>
          <w:rFonts w:ascii="Times New Roman" w:hAnsi="Times New Roman" w:eastAsia="Times New Roman"/>
          <w:bCs/>
          <w:u w:color="000000"/>
          <w:lang w:eastAsia="zh-CN"/>
        </w:rPr>
        <w:t>6.7.1.</w:t>
      </w:r>
      <w:bookmarkStart w:id="282" w:name="_Hlk124956772"/>
      <w:r>
        <w:rPr>
          <w:rFonts w:ascii="Times New Roman" w:hAnsi="Times New Roman" w:eastAsia="Times New Roman"/>
          <w:bCs/>
          <w:u w:color="000000"/>
          <w:lang w:eastAsia="zh-CN"/>
        </w:rPr>
        <w:t xml:space="preserve"> При </w:t>
      </w:r>
      <w:r>
        <w:rPr>
          <w:rFonts w:ascii="Times New Roman" w:hAnsi="Times New Roman"/>
          <w:u w:color="000000"/>
          <w:lang w:eastAsia="zh-CN"/>
        </w:rPr>
        <w:t>изучении модуля «Хоккей» на уровне начального общего образования у обучающихся будут сформированы следующие личностные результаты:</w:t>
      </w:r>
      <w:bookmarkEnd w:id="282"/>
    </w:p>
    <w:p w14:paraId="01F52D13">
      <w:pPr>
        <w:spacing w:after="0" w:line="360" w:lineRule="auto"/>
        <w:ind w:firstLine="709"/>
        <w:contextualSpacing/>
        <w:jc w:val="both"/>
        <w:rPr>
          <w:rFonts w:ascii="Times New Roman" w:hAnsi="Times New Roman" w:eastAsia="Times New Roman"/>
          <w:u w:color="000000"/>
          <w:lang w:eastAsia="ru-RU"/>
        </w:rPr>
      </w:pPr>
      <w:r>
        <w:rPr>
          <w:rFonts w:ascii="Times New Roman" w:hAnsi="Times New Roman" w:eastAsia="HiddenHorzOCR"/>
          <w:u w:color="000000"/>
          <w:lang w:eastAsia="ru-RU"/>
        </w:rPr>
        <w:t xml:space="preserve">проявление чувства гордости за свою Родину, российский народ и историю России через </w:t>
      </w:r>
      <w:r>
        <w:rPr>
          <w:rFonts w:ascii="Times New Roman" w:hAnsi="Times New Roman"/>
          <w:bCs/>
          <w:u w:color="000000"/>
          <w:lang w:eastAsia="ru-RU"/>
        </w:rPr>
        <w:t>достижения отечественной сборной команды страны;</w:t>
      </w:r>
    </w:p>
    <w:p w14:paraId="46C86EA6">
      <w:pPr>
        <w:spacing w:after="0" w:line="360" w:lineRule="auto"/>
        <w:ind w:firstLine="709"/>
        <w:contextualSpacing/>
        <w:jc w:val="both"/>
        <w:rPr>
          <w:rFonts w:ascii="Times New Roman" w:hAnsi="Times New Roman"/>
          <w:bCs/>
          <w:u w:color="000000"/>
          <w:lang w:eastAsia="ru-RU"/>
        </w:rPr>
      </w:pPr>
      <w:r>
        <w:rPr>
          <w:rFonts w:ascii="Times New Roman" w:hAnsi="Times New Roman"/>
          <w:bCs/>
          <w:u w:color="000000"/>
          <w:lang w:eastAsia="ru-RU"/>
        </w:rPr>
        <w:t>п</w:t>
      </w:r>
      <w:r>
        <w:rPr>
          <w:rFonts w:ascii="Times New Roman" w:hAnsi="Times New Roman"/>
          <w:bCs/>
          <w:iCs/>
          <w:u w:color="000000"/>
          <w:lang w:eastAsia="ru-RU"/>
        </w:rPr>
        <w:t>роявление</w:t>
      </w:r>
      <w:r>
        <w:rPr>
          <w:rFonts w:ascii="Times New Roman" w:hAnsi="Times New Roman"/>
          <w:u w:color="000000"/>
          <w:lang w:eastAsia="ru-RU"/>
        </w:rPr>
        <w:t xml:space="preserve"> уважительного отношения к сверстникам, культуры общения и взаимодействия, терпимости в достижении общих целей при совместной деятельности на принципах доброжелательности и взаимопомощи;</w:t>
      </w:r>
    </w:p>
    <w:p w14:paraId="31DDE7B7">
      <w:pPr>
        <w:autoSpaceDE w:val="0"/>
        <w:autoSpaceDN w:val="0"/>
        <w:adjustRightInd w:val="0"/>
        <w:spacing w:after="0" w:line="360" w:lineRule="auto"/>
        <w:ind w:firstLine="709"/>
        <w:jc w:val="both"/>
        <w:rPr>
          <w:rFonts w:ascii="Times New Roman" w:hAnsi="Times New Roman" w:eastAsia="HiddenHorzOCR"/>
          <w:u w:color="000000"/>
          <w:lang w:eastAsia="ru-RU"/>
        </w:rPr>
      </w:pPr>
      <w:r>
        <w:rPr>
          <w:rFonts w:ascii="Times New Roman" w:hAnsi="Times New Roman"/>
          <w:u w:color="000000"/>
          <w:lang w:eastAsia="ru-RU"/>
        </w:rPr>
        <w:t>проявление положительных качеств личности и управление своими эмоциями в различных (нестандартных) ситуациях и условиях,</w:t>
      </w:r>
      <w:r>
        <w:rPr>
          <w:rFonts w:ascii="Times New Roman" w:hAnsi="Times New Roman" w:eastAsia="HiddenHorzOCR"/>
          <w:u w:color="000000"/>
          <w:lang w:eastAsia="ru-RU"/>
        </w:rPr>
        <w:t xml:space="preserve"> умение не создавать конфликтов и находить выходы из спорных ситуаций;</w:t>
      </w:r>
    </w:p>
    <w:p w14:paraId="58D855CD">
      <w:pPr>
        <w:autoSpaceDE w:val="0"/>
        <w:autoSpaceDN w:val="0"/>
        <w:adjustRightInd w:val="0"/>
        <w:spacing w:after="0" w:line="360" w:lineRule="auto"/>
        <w:ind w:firstLine="709"/>
        <w:jc w:val="both"/>
        <w:rPr>
          <w:rFonts w:ascii="Times New Roman" w:hAnsi="Times New Roman" w:eastAsia="HiddenHorzOCR"/>
          <w:u w:color="000000"/>
          <w:lang w:eastAsia="ru-RU"/>
        </w:rPr>
      </w:pPr>
      <w:r>
        <w:rPr>
          <w:rFonts w:ascii="Times New Roman" w:hAnsi="Times New Roman"/>
          <w:u w:color="000000"/>
          <w:lang w:eastAsia="ru-RU"/>
        </w:rPr>
        <w:t>проявление дисциплинированности, трудолюбия и упорства в достижении поставленных целей н</w:t>
      </w:r>
      <w:r>
        <w:rPr>
          <w:rFonts w:ascii="Times New Roman" w:hAnsi="Times New Roman" w:eastAsia="HiddenHorzOCR"/>
          <w:u w:color="000000"/>
          <w:lang w:eastAsia="ru-RU"/>
        </w:rPr>
        <w:t>а основе представлений о нравственных нормах, социальной справедливости и свободе;</w:t>
      </w:r>
    </w:p>
    <w:p w14:paraId="7C6E62EC">
      <w:pPr>
        <w:autoSpaceDE w:val="0"/>
        <w:autoSpaceDN w:val="0"/>
        <w:adjustRightInd w:val="0"/>
        <w:spacing w:after="0" w:line="360" w:lineRule="auto"/>
        <w:ind w:firstLine="709"/>
        <w:jc w:val="both"/>
        <w:rPr>
          <w:rFonts w:ascii="Times New Roman" w:hAnsi="Times New Roman" w:eastAsia="HiddenHorzOCR"/>
          <w:u w:color="000000"/>
          <w:lang w:eastAsia="ru-RU"/>
        </w:rPr>
      </w:pPr>
      <w:r>
        <w:rPr>
          <w:rFonts w:ascii="Times New Roman" w:hAnsi="Times New Roman"/>
          <w:iCs/>
          <w:u w:color="000000"/>
          <w:lang w:eastAsia="ru-RU"/>
        </w:rPr>
        <w:t>способность</w:t>
      </w:r>
      <w:r>
        <w:rPr>
          <w:rFonts w:ascii="Times New Roman" w:hAnsi="Times New Roman" w:eastAsia="HiddenHorzOCR"/>
          <w:u w:color="000000"/>
          <w:lang w:eastAsia="ru-RU"/>
        </w:rPr>
        <w:t xml:space="preserve"> принимать и осваивать социальную роль обучающегося, развитие мотивов учебной деятельности, </w:t>
      </w:r>
      <w:r>
        <w:rPr>
          <w:rFonts w:ascii="Times New Roman" w:hAnsi="Times New Roman" w:eastAsia="@Arial Unicode MS"/>
          <w:u w:color="000000"/>
          <w:lang w:eastAsia="ru-RU"/>
        </w:rPr>
        <w:t xml:space="preserve">стремление к познанию и творчеству, </w:t>
      </w:r>
      <w:r>
        <w:rPr>
          <w:rFonts w:ascii="Times New Roman" w:hAnsi="Times New Roman" w:eastAsia="HiddenHorzOCR"/>
          <w:u w:color="000000"/>
          <w:lang w:eastAsia="ru-RU"/>
        </w:rPr>
        <w:t>эстетическим потребностям;</w:t>
      </w:r>
    </w:p>
    <w:p w14:paraId="0E4B37DC">
      <w:pPr>
        <w:pBdr>
          <w:top w:val="none" w:color="auto" w:sz="0" w:space="0"/>
          <w:left w:val="none" w:color="auto" w:sz="0" w:space="0"/>
          <w:bottom w:val="none" w:color="auto" w:sz="0" w:space="0"/>
          <w:right w:val="none" w:color="auto" w:sz="0" w:space="0"/>
          <w:between w:val="none" w:color="auto" w:sz="0" w:space="0"/>
        </w:pBdr>
        <w:spacing w:after="0" w:line="360" w:lineRule="auto"/>
        <w:ind w:firstLine="709"/>
        <w:jc w:val="both"/>
        <w:rPr>
          <w:rFonts w:ascii="Times New Roman" w:hAnsi="Times New Roman"/>
          <w:u w:color="000000"/>
          <w:lang w:eastAsia="ru-RU"/>
        </w:rPr>
      </w:pPr>
      <w:r>
        <w:rPr>
          <w:rFonts w:ascii="Times New Roman" w:hAnsi="Times New Roman"/>
          <w:u w:color="000000"/>
          <w:lang w:eastAsia="ru-RU"/>
        </w:rPr>
        <w:t>оказание бескорыстной помощи своим сверстникам, нахождение с ними общего языка и общих интересов;</w:t>
      </w:r>
    </w:p>
    <w:p w14:paraId="0C8EAC29">
      <w:pPr>
        <w:pBdr>
          <w:top w:val="none" w:color="000000" w:sz="0" w:space="0"/>
          <w:left w:val="none" w:color="000000" w:sz="0" w:space="0"/>
          <w:bottom w:val="none" w:color="000000" w:sz="0" w:space="0"/>
          <w:right w:val="none" w:color="000000" w:sz="0" w:space="0"/>
        </w:pBdr>
        <w:suppressAutoHyphens/>
        <w:spacing w:after="0" w:line="360" w:lineRule="auto"/>
        <w:ind w:firstLine="709"/>
        <w:jc w:val="both"/>
        <w:rPr>
          <w:rFonts w:ascii="Times New Roman" w:hAnsi="Times New Roman"/>
          <w:u w:color="000000"/>
          <w:lang w:eastAsia="ru-RU"/>
        </w:rPr>
      </w:pPr>
      <w:r>
        <w:rPr>
          <w:rFonts w:ascii="Times New Roman" w:hAnsi="Times New Roman"/>
          <w:u w:color="000000"/>
          <w:lang w:eastAsia="ru-RU"/>
        </w:rPr>
        <w:t>п</w:t>
      </w:r>
      <w:r>
        <w:rPr>
          <w:rFonts w:ascii="Times New Roman" w:hAnsi="Times New Roman" w:eastAsia="HiddenHorzOCR"/>
          <w:u w:color="000000"/>
          <w:lang w:eastAsia="ru-RU"/>
        </w:rPr>
        <w:t>онимание установки на безопасный, здоровый образ жизни, наличие мотивации к творческому труду, работе на результат, бережному отношению к материальным и духовным ценностям.</w:t>
      </w:r>
    </w:p>
    <w:p w14:paraId="2D41032E">
      <w:pPr>
        <w:pBdr>
          <w:top w:val="none" w:color="000000" w:sz="0" w:space="0"/>
          <w:left w:val="none" w:color="000000" w:sz="0" w:space="0"/>
          <w:bottom w:val="none" w:color="000000" w:sz="0" w:space="0"/>
          <w:right w:val="none" w:color="000000" w:sz="0" w:space="0"/>
        </w:pBdr>
        <w:suppressAutoHyphens/>
        <w:spacing w:after="0" w:line="360" w:lineRule="auto"/>
        <w:ind w:firstLine="709"/>
        <w:jc w:val="both"/>
        <w:rPr>
          <w:rFonts w:ascii="Times New Roman" w:hAnsi="Times New Roman"/>
          <w:iCs/>
          <w:u w:color="000000"/>
          <w:lang w:eastAsia="ru-RU"/>
        </w:rPr>
      </w:pPr>
      <w:r>
        <w:rPr>
          <w:rFonts w:ascii="Times New Roman" w:hAnsi="Times New Roman" w:eastAsia="Times New Roman"/>
          <w:bCs/>
          <w:lang w:eastAsia="zh-CN"/>
        </w:rPr>
        <w:t>16.4.</w:t>
      </w:r>
      <w:r>
        <w:rPr>
          <w:rFonts w:ascii="Times New Roman" w:hAnsi="Times New Roman" w:eastAsia="Times New Roman"/>
          <w:bCs/>
          <w:u w:color="000000"/>
          <w:lang w:eastAsia="zh-CN"/>
        </w:rPr>
        <w:t>6.7.2. </w:t>
      </w:r>
      <w:r>
        <w:rPr>
          <w:rFonts w:ascii="Times New Roman" w:hAnsi="Times New Roman"/>
          <w:u w:color="000000"/>
          <w:lang w:eastAsia="zh-CN"/>
        </w:rPr>
        <w:t>При изучении модуля «Хоккей» на уровне начального общего образования у обучающихся будут сформированы следующие метапредметные результаты</w:t>
      </w:r>
      <w:r>
        <w:rPr>
          <w:rFonts w:ascii="Times New Roman" w:hAnsi="Times New Roman"/>
          <w:iCs/>
          <w:u w:color="000000"/>
          <w:lang w:eastAsia="ru-RU"/>
        </w:rPr>
        <w:t>:</w:t>
      </w:r>
    </w:p>
    <w:p w14:paraId="74D96F5B">
      <w:pPr>
        <w:pBdr>
          <w:top w:val="none" w:color="auto" w:sz="0" w:space="0"/>
          <w:left w:val="none" w:color="auto" w:sz="0" w:space="0"/>
          <w:bottom w:val="none" w:color="auto" w:sz="0" w:space="0"/>
          <w:right w:val="none" w:color="auto" w:sz="0" w:space="0"/>
          <w:between w:val="none" w:color="auto" w:sz="0" w:space="0"/>
        </w:pBdr>
        <w:shd w:val="clear" w:color="auto" w:fill="FFFFFF"/>
        <w:autoSpaceDE w:val="0"/>
        <w:autoSpaceDN w:val="0"/>
        <w:adjustRightInd w:val="0"/>
        <w:spacing w:after="0" w:line="360" w:lineRule="auto"/>
        <w:ind w:firstLine="709"/>
        <w:jc w:val="both"/>
        <w:rPr>
          <w:rFonts w:ascii="Times New Roman" w:hAnsi="Times New Roman" w:eastAsia="@Arial Unicode MS"/>
          <w:u w:color="000000"/>
          <w:lang w:eastAsia="ru-RU"/>
        </w:rPr>
      </w:pPr>
      <w:r>
        <w:rPr>
          <w:rFonts w:ascii="Times New Roman" w:hAnsi="Times New Roman"/>
          <w:u w:color="000000"/>
          <w:lang w:eastAsia="ru-RU"/>
        </w:rPr>
        <w:t>овладение способностью принимать и сохранять цели и задачи учебной деятельности, поиска средств и способов её осуществления;</w:t>
      </w:r>
    </w:p>
    <w:p w14:paraId="1AF139AC">
      <w:pPr>
        <w:autoSpaceDE w:val="0"/>
        <w:autoSpaceDN w:val="0"/>
        <w:adjustRightInd w:val="0"/>
        <w:spacing w:after="0" w:line="360" w:lineRule="auto"/>
        <w:ind w:firstLine="709"/>
        <w:jc w:val="both"/>
        <w:rPr>
          <w:rFonts w:ascii="Times New Roman" w:hAnsi="Times New Roman" w:eastAsia="HiddenHorzOCR"/>
          <w:u w:color="000000"/>
          <w:lang w:eastAsia="ru-RU"/>
        </w:rPr>
      </w:pPr>
      <w:r>
        <w:rPr>
          <w:rFonts w:ascii="Times New Roman" w:hAnsi="Times New Roman" w:eastAsia="HiddenHorzOCR"/>
          <w:u w:color="000000"/>
          <w:lang w:eastAsia="ru-RU"/>
        </w:rPr>
        <w:t xml:space="preserve">умение планировать, контролировать и оценивать учебные действия, </w:t>
      </w:r>
      <w:r>
        <w:rPr>
          <w:rFonts w:ascii="Times New Roman" w:hAnsi="Times New Roman"/>
          <w:u w:color="000000"/>
          <w:lang w:eastAsia="ru-RU"/>
        </w:rPr>
        <w:t xml:space="preserve">собственную деятельность, распределять нагрузку и отдых в процессе ее выполнения, </w:t>
      </w:r>
      <w:r>
        <w:rPr>
          <w:rFonts w:ascii="Times New Roman" w:hAnsi="Times New Roman" w:eastAsia="HiddenHorzOCR"/>
          <w:u w:color="000000"/>
          <w:lang w:eastAsia="ru-RU"/>
        </w:rPr>
        <w:t>определять наиболее эффективные способы достижения результата;</w:t>
      </w:r>
    </w:p>
    <w:p w14:paraId="7AA020B7">
      <w:pPr>
        <w:autoSpaceDE w:val="0"/>
        <w:autoSpaceDN w:val="0"/>
        <w:adjustRightInd w:val="0"/>
        <w:spacing w:after="0" w:line="360" w:lineRule="auto"/>
        <w:ind w:firstLine="709"/>
        <w:jc w:val="both"/>
        <w:rPr>
          <w:rFonts w:ascii="Times New Roman" w:hAnsi="Times New Roman" w:eastAsia="HiddenHorzOCR"/>
          <w:u w:color="000000"/>
          <w:lang w:eastAsia="ru-RU"/>
        </w:rPr>
      </w:pPr>
      <w:r>
        <w:rPr>
          <w:rFonts w:ascii="Times New Roman" w:hAnsi="Times New Roman" w:eastAsia="HiddenHorzOCR"/>
          <w:u w:color="000000"/>
          <w:lang w:eastAsia="ru-RU"/>
        </w:rPr>
        <w:t xml:space="preserve">умение </w:t>
      </w:r>
      <w:r>
        <w:rPr>
          <w:rFonts w:ascii="Times New Roman" w:hAnsi="Times New Roman"/>
          <w:u w:color="000000"/>
          <w:lang w:eastAsia="ru-RU"/>
        </w:rPr>
        <w:t>характеризовать действия и поступки, давать им анализ и объективную оценку на основе освоенных знаний и имеющегося опыта;</w:t>
      </w:r>
    </w:p>
    <w:p w14:paraId="39E24836">
      <w:pPr>
        <w:autoSpaceDE w:val="0"/>
        <w:autoSpaceDN w:val="0"/>
        <w:adjustRightInd w:val="0"/>
        <w:spacing w:after="0" w:line="360" w:lineRule="auto"/>
        <w:ind w:firstLine="709"/>
        <w:jc w:val="both"/>
        <w:rPr>
          <w:rFonts w:ascii="Times New Roman" w:hAnsi="Times New Roman" w:eastAsia="HiddenHorzOCR"/>
          <w:u w:color="000000"/>
          <w:lang w:eastAsia="ru-RU"/>
        </w:rPr>
      </w:pPr>
      <w:r>
        <w:rPr>
          <w:rFonts w:ascii="Times New Roman" w:hAnsi="Times New Roman" w:eastAsia="HiddenHorzOCR"/>
          <w:u w:color="000000"/>
          <w:lang w:eastAsia="ru-RU"/>
        </w:rPr>
        <w:t>понимание причин успеха или неуспеха учебной деятельности и способность конструктивно действовать даже в ситуациях неуспеха;</w:t>
      </w:r>
    </w:p>
    <w:p w14:paraId="645575C7">
      <w:pPr>
        <w:autoSpaceDE w:val="0"/>
        <w:autoSpaceDN w:val="0"/>
        <w:adjustRightInd w:val="0"/>
        <w:spacing w:after="0" w:line="360" w:lineRule="auto"/>
        <w:ind w:firstLine="709"/>
        <w:jc w:val="both"/>
        <w:rPr>
          <w:rFonts w:ascii="Times New Roman" w:hAnsi="Times New Roman" w:eastAsia="HiddenHorzOCR"/>
          <w:u w:color="000000"/>
          <w:lang w:eastAsia="ru-RU"/>
        </w:rPr>
      </w:pPr>
      <w:r>
        <w:rPr>
          <w:rFonts w:ascii="Times New Roman" w:hAnsi="Times New Roman" w:eastAsia="HiddenHorzOCR"/>
          <w:u w:color="000000"/>
          <w:lang w:eastAsia="ru-RU"/>
        </w:rPr>
        <w:t>определение общей цели и путей ее достижения, умение договариваться о распределении функций в учебной, игровой и соревновательной деятельности, оценка собственного поведения и поведения окружающих;</w:t>
      </w:r>
    </w:p>
    <w:p w14:paraId="19BB0F14">
      <w:pPr>
        <w:autoSpaceDE w:val="0"/>
        <w:autoSpaceDN w:val="0"/>
        <w:adjustRightInd w:val="0"/>
        <w:spacing w:after="0" w:line="360" w:lineRule="auto"/>
        <w:ind w:firstLine="709"/>
        <w:jc w:val="both"/>
        <w:rPr>
          <w:rFonts w:ascii="Times New Roman" w:hAnsi="Times New Roman" w:eastAsia="HiddenHorzOCR"/>
          <w:u w:color="000000"/>
          <w:lang w:eastAsia="ru-RU"/>
        </w:rPr>
      </w:pPr>
      <w:r>
        <w:rPr>
          <w:rFonts w:ascii="Times New Roman" w:hAnsi="Times New Roman"/>
          <w:u w:color="000000"/>
          <w:lang w:eastAsia="ru-RU"/>
        </w:rPr>
        <w:t>обеспечение защиты и сохранности природы во время занятий физической культурой и активного отдыха;</w:t>
      </w:r>
    </w:p>
    <w:p w14:paraId="259A9413">
      <w:pPr>
        <w:autoSpaceDE w:val="0"/>
        <w:autoSpaceDN w:val="0"/>
        <w:adjustRightInd w:val="0"/>
        <w:spacing w:after="0" w:line="360" w:lineRule="auto"/>
        <w:ind w:firstLine="709"/>
        <w:jc w:val="both"/>
        <w:rPr>
          <w:rFonts w:ascii="Times New Roman" w:hAnsi="Times New Roman" w:eastAsia="HiddenHorzOCR"/>
          <w:u w:color="000000"/>
          <w:lang w:eastAsia="ru-RU"/>
        </w:rPr>
      </w:pPr>
      <w:r>
        <w:rPr>
          <w:rFonts w:ascii="Times New Roman" w:hAnsi="Times New Roman"/>
          <w:u w:color="000000"/>
          <w:lang w:eastAsia="ru-RU"/>
        </w:rPr>
        <w:t>способность организации самостоятельной деятельности с учетом требований ее безопасности, сохранности инвентаря и оборудования, организации места занятий;</w:t>
      </w:r>
    </w:p>
    <w:p w14:paraId="6869C01A">
      <w:pPr>
        <w:autoSpaceDE w:val="0"/>
        <w:autoSpaceDN w:val="0"/>
        <w:adjustRightInd w:val="0"/>
        <w:spacing w:after="0" w:line="360" w:lineRule="auto"/>
        <w:ind w:firstLine="709"/>
        <w:jc w:val="both"/>
        <w:rPr>
          <w:rFonts w:ascii="Times New Roman" w:hAnsi="Times New Roman" w:eastAsia="HiddenHorzOCR"/>
          <w:u w:color="000000"/>
          <w:lang w:eastAsia="ru-RU"/>
        </w:rPr>
      </w:pPr>
      <w:r>
        <w:rPr>
          <w:rFonts w:ascii="Times New Roman" w:hAnsi="Times New Roman" w:eastAsia="HiddenHorzOCR"/>
          <w:u w:color="000000"/>
          <w:lang w:eastAsia="ru-RU"/>
        </w:rPr>
        <w:t>с</w:t>
      </w:r>
      <w:r>
        <w:rPr>
          <w:rFonts w:ascii="Times New Roman" w:hAnsi="Times New Roman"/>
          <w:u w:color="000000"/>
          <w:lang w:eastAsia="ru-RU"/>
        </w:rPr>
        <w:t>пособность выделять и обосновывать эстетические признаки в физических упражнениях, двигательных действиях, оценивать красоту телосложения и осанки, сравнивать их с эталонными образцами.</w:t>
      </w:r>
    </w:p>
    <w:p w14:paraId="63B1C19D">
      <w:pPr>
        <w:pBdr>
          <w:top w:val="none" w:color="auto" w:sz="0" w:space="0"/>
          <w:left w:val="none" w:color="auto" w:sz="0" w:space="0"/>
          <w:bottom w:val="none" w:color="auto" w:sz="0" w:space="0"/>
          <w:right w:val="none" w:color="auto" w:sz="0" w:space="0"/>
          <w:between w:val="none" w:color="auto" w:sz="0" w:space="0"/>
        </w:pBdr>
        <w:spacing w:after="0" w:line="360" w:lineRule="auto"/>
        <w:ind w:firstLine="709"/>
        <w:jc w:val="both"/>
        <w:rPr>
          <w:rFonts w:ascii="Times New Roman" w:hAnsi="Times New Roman"/>
          <w:bCs/>
          <w:iCs/>
          <w:u w:color="000000"/>
          <w:lang w:eastAsia="ru-RU"/>
        </w:rPr>
      </w:pPr>
      <w:r>
        <w:rPr>
          <w:rFonts w:ascii="Times New Roman" w:hAnsi="Times New Roman" w:eastAsia="Times New Roman"/>
          <w:bCs/>
          <w:lang w:eastAsia="zh-CN"/>
        </w:rPr>
        <w:t>16.4.</w:t>
      </w:r>
      <w:r>
        <w:rPr>
          <w:rFonts w:ascii="Times New Roman" w:hAnsi="Times New Roman" w:eastAsia="Times New Roman"/>
          <w:bCs/>
          <w:u w:color="000000"/>
          <w:lang w:eastAsia="zh-CN"/>
        </w:rPr>
        <w:t>6.7.3. </w:t>
      </w:r>
      <w:r>
        <w:rPr>
          <w:rFonts w:ascii="Times New Roman" w:hAnsi="Times New Roman"/>
          <w:u w:color="000000"/>
          <w:lang w:eastAsia="zh-CN"/>
        </w:rPr>
        <w:t xml:space="preserve">При изучении модуля «Хоккей» на уровне начального общего образования у обучающихся будут сформированы следующие </w:t>
      </w:r>
      <w:r>
        <w:rPr>
          <w:rFonts w:ascii="Times New Roman" w:hAnsi="Times New Roman"/>
          <w:bCs/>
          <w:u w:color="000000"/>
          <w:lang w:eastAsia="ru-RU"/>
        </w:rPr>
        <w:t>предметные результаты</w:t>
      </w:r>
      <w:r>
        <w:rPr>
          <w:rFonts w:ascii="Times New Roman" w:hAnsi="Times New Roman"/>
          <w:u w:color="000000"/>
          <w:lang w:eastAsia="ru-RU"/>
        </w:rPr>
        <w:t>:</w:t>
      </w:r>
    </w:p>
    <w:p w14:paraId="4E0C1B88">
      <w:pPr>
        <w:spacing w:after="0" w:line="360" w:lineRule="auto"/>
        <w:ind w:firstLine="709"/>
        <w:contextualSpacing/>
        <w:jc w:val="both"/>
        <w:rPr>
          <w:rFonts w:ascii="Times New Roman" w:hAnsi="Times New Roman"/>
          <w:u w:color="000000"/>
          <w:lang w:eastAsia="ru-RU"/>
        </w:rPr>
      </w:pPr>
      <w:r>
        <w:rPr>
          <w:rFonts w:ascii="Times New Roman" w:hAnsi="Times New Roman"/>
          <w:u w:color="000000"/>
          <w:lang w:eastAsia="ru-RU"/>
        </w:rPr>
        <w:t>понимание значения занятий хоккеем как средством укрепления здоровья, закаливания и воспитания физических качеств человека;</w:t>
      </w:r>
    </w:p>
    <w:p w14:paraId="7576B446">
      <w:pPr>
        <w:spacing w:after="0" w:line="360" w:lineRule="auto"/>
        <w:ind w:firstLine="709"/>
        <w:contextualSpacing/>
        <w:jc w:val="both"/>
        <w:rPr>
          <w:rFonts w:ascii="Times New Roman" w:hAnsi="Times New Roman" w:eastAsia="Times New Roman"/>
          <w:u w:color="000000"/>
          <w:lang w:eastAsia="ru-RU"/>
        </w:rPr>
      </w:pPr>
      <w:r>
        <w:rPr>
          <w:rFonts w:ascii="Times New Roman" w:hAnsi="Times New Roman" w:eastAsia="Times New Roman"/>
          <w:u w:color="000000"/>
          <w:lang w:eastAsia="ru-RU"/>
        </w:rPr>
        <w:t xml:space="preserve">знания по истории возникновения игры в хоккей, </w:t>
      </w:r>
      <w:r>
        <w:rPr>
          <w:rFonts w:ascii="Times New Roman" w:hAnsi="Times New Roman"/>
          <w:bCs/>
          <w:u w:color="000000"/>
          <w:lang w:eastAsia="ru-RU"/>
        </w:rPr>
        <w:t>достижениям отечественной сборной команды страны;</w:t>
      </w:r>
    </w:p>
    <w:p w14:paraId="160AA6E3">
      <w:pPr>
        <w:spacing w:after="0" w:line="360" w:lineRule="auto"/>
        <w:ind w:firstLine="709"/>
        <w:contextualSpacing/>
        <w:jc w:val="both"/>
        <w:rPr>
          <w:rFonts w:ascii="Times New Roman" w:hAnsi="Times New Roman" w:eastAsia="Times New Roman"/>
          <w:u w:color="000000"/>
          <w:lang w:eastAsia="ru-RU"/>
        </w:rPr>
      </w:pPr>
      <w:r>
        <w:rPr>
          <w:rFonts w:ascii="Times New Roman" w:hAnsi="Times New Roman"/>
          <w:u w:color="000000"/>
          <w:lang w:eastAsia="ru-RU"/>
        </w:rPr>
        <w:t xml:space="preserve">представление о разновидностях хоккея и </w:t>
      </w:r>
      <w:r>
        <w:rPr>
          <w:rFonts w:ascii="Times New Roman" w:hAnsi="Times New Roman" w:eastAsia="Times New Roman"/>
          <w:u w:color="000000"/>
          <w:lang w:eastAsia="ru-RU"/>
        </w:rPr>
        <w:t>основных правилах игры в хоккей с шайбой</w:t>
      </w:r>
      <w:r>
        <w:rPr>
          <w:rFonts w:ascii="Times New Roman" w:hAnsi="Times New Roman"/>
          <w:bCs/>
          <w:u w:color="000000"/>
          <w:lang w:eastAsia="ru-RU"/>
        </w:rPr>
        <w:t>,</w:t>
      </w:r>
      <w:r>
        <w:rPr>
          <w:rFonts w:ascii="Times New Roman" w:hAnsi="Times New Roman" w:eastAsia="Times New Roman"/>
          <w:u w:color="000000"/>
          <w:lang w:eastAsia="ru-RU"/>
        </w:rPr>
        <w:t xml:space="preserve"> </w:t>
      </w:r>
      <w:r>
        <w:rPr>
          <w:rFonts w:ascii="Times New Roman" w:hAnsi="Times New Roman"/>
          <w:bCs/>
          <w:u w:color="000000"/>
          <w:lang w:eastAsia="ru-RU"/>
        </w:rPr>
        <w:t>составе хоккейной команды, роль капитана команды и функциях игроков в команде (форвард (нападающий), защитник, голкипер (вратарь);</w:t>
      </w:r>
    </w:p>
    <w:p w14:paraId="0531E10C">
      <w:pPr>
        <w:spacing w:after="0" w:line="360" w:lineRule="auto"/>
        <w:ind w:firstLine="709"/>
        <w:contextualSpacing/>
        <w:jc w:val="both"/>
        <w:rPr>
          <w:rFonts w:ascii="Times New Roman" w:hAnsi="Times New Roman"/>
          <w:bCs/>
          <w:u w:color="000000"/>
          <w:lang w:eastAsia="ru-RU"/>
        </w:rPr>
      </w:pPr>
      <w:r>
        <w:rPr>
          <w:rFonts w:ascii="Times New Roman" w:hAnsi="Times New Roman" w:eastAsia="Times New Roman"/>
          <w:u w:color="000000"/>
          <w:lang w:eastAsia="ru-RU"/>
        </w:rPr>
        <w:t xml:space="preserve">умение характеризовать </w:t>
      </w:r>
      <w:r>
        <w:rPr>
          <w:rFonts w:ascii="Times New Roman" w:hAnsi="Times New Roman"/>
          <w:bCs/>
          <w:u w:color="000000"/>
          <w:lang w:eastAsia="ru-RU"/>
        </w:rPr>
        <w:t>упражнения и комплексы упражнений: общефизической, корригирующей направленности, подготовительного, специального воздействия для занятий хоккеем, для воспитания физических качеств и двигательных способностей, индивидуальных технических элементов хоккея, методики их выполнения;</w:t>
      </w:r>
    </w:p>
    <w:p w14:paraId="2416EE4C">
      <w:pPr>
        <w:spacing w:after="0" w:line="360" w:lineRule="auto"/>
        <w:ind w:firstLine="709"/>
        <w:contextualSpacing/>
        <w:jc w:val="both"/>
        <w:rPr>
          <w:rFonts w:ascii="Times New Roman" w:hAnsi="Times New Roman"/>
          <w:bCs/>
          <w:u w:color="000000"/>
          <w:lang w:eastAsia="ru-RU"/>
        </w:rPr>
      </w:pPr>
      <w:r>
        <w:rPr>
          <w:rFonts w:ascii="Times New Roman" w:hAnsi="Times New Roman" w:eastAsia="Times New Roman"/>
          <w:u w:color="000000"/>
          <w:lang w:eastAsia="ru-RU"/>
        </w:rPr>
        <w:t>приобретение навыков</w:t>
      </w:r>
      <w:r>
        <w:rPr>
          <w:rFonts w:ascii="Times New Roman" w:hAnsi="Times New Roman"/>
          <w:bCs/>
          <w:u w:color="000000"/>
          <w:lang w:eastAsia="ru-RU"/>
        </w:rPr>
        <w:t xml:space="preserve"> безопасного поведения во время занятий хоккеем, правил личной гигиены, знание требований к спортивной одежде и обуви, спортивному инвентарю для занятий хоккеем;</w:t>
      </w:r>
    </w:p>
    <w:p w14:paraId="14575419">
      <w:pPr>
        <w:autoSpaceDE w:val="0"/>
        <w:autoSpaceDN w:val="0"/>
        <w:adjustRightInd w:val="0"/>
        <w:spacing w:after="0" w:line="360" w:lineRule="auto"/>
        <w:ind w:firstLine="709"/>
        <w:jc w:val="both"/>
        <w:rPr>
          <w:rFonts w:ascii="Times New Roman" w:hAnsi="Times New Roman" w:eastAsia="HiddenHorzOCR"/>
          <w:u w:color="000000"/>
          <w:lang w:eastAsia="ru-RU"/>
        </w:rPr>
      </w:pPr>
      <w:r>
        <w:rPr>
          <w:rFonts w:ascii="Times New Roman" w:hAnsi="Times New Roman" w:eastAsia="HiddenHorzOCR"/>
          <w:u w:color="000000"/>
          <w:lang w:eastAsia="ru-RU"/>
        </w:rPr>
        <w:t>приобретение навыков систематического наблюдения за своим физическим состоянием, величиной физических нагрузок, показателями физического развития и основных физических качеств;</w:t>
      </w:r>
    </w:p>
    <w:p w14:paraId="3677C914">
      <w:pPr>
        <w:spacing w:after="0" w:line="360" w:lineRule="auto"/>
        <w:ind w:firstLine="709"/>
        <w:contextualSpacing/>
        <w:jc w:val="both"/>
        <w:rPr>
          <w:rFonts w:ascii="Times New Roman" w:hAnsi="Times New Roman"/>
          <w:bCs/>
          <w:u w:color="000000"/>
          <w:lang w:eastAsia="ru-RU"/>
        </w:rPr>
      </w:pPr>
      <w:r>
        <w:rPr>
          <w:rFonts w:ascii="Times New Roman" w:hAnsi="Times New Roman" w:eastAsia="Times New Roman"/>
          <w:u w:color="000000"/>
          <w:lang w:eastAsia="ru-RU"/>
        </w:rPr>
        <w:t xml:space="preserve"> знание основ организации самостоятельных занятий хоккеем со сверстниками, </w:t>
      </w:r>
      <w:r>
        <w:rPr>
          <w:rFonts w:ascii="Times New Roman" w:hAnsi="Times New Roman"/>
          <w:bCs/>
          <w:u w:color="000000"/>
          <w:lang w:eastAsia="ru-RU"/>
        </w:rPr>
        <w:t>организации и проведения со сверстниками подвижных игр с элементами хоккея;</w:t>
      </w:r>
    </w:p>
    <w:p w14:paraId="012CA34A">
      <w:pPr>
        <w:spacing w:after="0" w:line="360" w:lineRule="auto"/>
        <w:ind w:firstLine="709"/>
        <w:contextualSpacing/>
        <w:jc w:val="both"/>
        <w:rPr>
          <w:rFonts w:ascii="Times New Roman" w:hAnsi="Times New Roman"/>
          <w:bCs/>
          <w:u w:color="000000"/>
          <w:lang w:eastAsia="ru-RU"/>
        </w:rPr>
      </w:pPr>
      <w:r>
        <w:rPr>
          <w:rFonts w:ascii="Times New Roman" w:hAnsi="Times New Roman" w:eastAsia="Times New Roman"/>
          <w:u w:color="000000"/>
          <w:lang w:eastAsia="ru-RU"/>
        </w:rPr>
        <w:t xml:space="preserve">выполнение и составление комплексов общеразвивающих и корригирующих упражнений, </w:t>
      </w:r>
      <w:r>
        <w:rPr>
          <w:rFonts w:ascii="Times New Roman" w:hAnsi="Times New Roman"/>
          <w:bCs/>
          <w:u w:color="000000"/>
          <w:lang w:eastAsia="ru-RU"/>
        </w:rPr>
        <w:t>упражнений на воспитание быстроты, ловкости, гибкости, упражнений для укрепления голеностопных суставов;</w:t>
      </w:r>
    </w:p>
    <w:p w14:paraId="486E8103">
      <w:pPr>
        <w:spacing w:after="0" w:line="360" w:lineRule="auto"/>
        <w:ind w:firstLine="709"/>
        <w:contextualSpacing/>
        <w:jc w:val="both"/>
        <w:rPr>
          <w:rFonts w:ascii="Times New Roman" w:hAnsi="Times New Roman"/>
          <w:bCs/>
          <w:u w:color="000000"/>
          <w:lang w:eastAsia="ru-RU"/>
        </w:rPr>
      </w:pPr>
      <w:r>
        <w:rPr>
          <w:rFonts w:ascii="Times New Roman" w:hAnsi="Times New Roman"/>
          <w:bCs/>
          <w:u w:color="000000"/>
          <w:lang w:eastAsia="ru-RU"/>
        </w:rPr>
        <w:t xml:space="preserve">выполнение подготовительных и специальных упражнений хоккеиста </w:t>
      </w:r>
      <w:r>
        <w:rPr>
          <w:rFonts w:ascii="Times New Roman" w:hAnsi="Times New Roman" w:eastAsia="Times New Roman"/>
          <w:u w:color="000000"/>
          <w:lang w:eastAsia="ru-RU"/>
        </w:rPr>
        <w:t>в том числе имитационные упражнения хоккеиста (в зале, на катке), технические элементы хоккея в передвижении на коньках</w:t>
      </w:r>
      <w:r>
        <w:rPr>
          <w:rFonts w:ascii="Times New Roman" w:hAnsi="Times New Roman"/>
          <w:bCs/>
          <w:u w:color="000000"/>
          <w:lang w:eastAsia="ru-RU"/>
        </w:rPr>
        <w:t>:</w:t>
      </w:r>
      <w:r>
        <w:rPr>
          <w:rFonts w:ascii="Times New Roman" w:hAnsi="Times New Roman" w:eastAsia="Times New Roman"/>
          <w:u w:color="000000"/>
          <w:lang w:eastAsia="ru-RU"/>
        </w:rPr>
        <w:t xml:space="preserve"> бег, повороты, торможения и остановки, старты, прыжки</w:t>
      </w:r>
      <w:r>
        <w:rPr>
          <w:rFonts w:ascii="Times New Roman" w:hAnsi="Times New Roman"/>
          <w:bCs/>
          <w:u w:color="000000"/>
          <w:lang w:eastAsia="ru-RU"/>
        </w:rPr>
        <w:t>;</w:t>
      </w:r>
    </w:p>
    <w:p w14:paraId="1476CF08">
      <w:pPr>
        <w:spacing w:after="0" w:line="360" w:lineRule="auto"/>
        <w:ind w:firstLine="709"/>
        <w:contextualSpacing/>
        <w:jc w:val="both"/>
        <w:rPr>
          <w:rFonts w:ascii="Times New Roman" w:hAnsi="Times New Roman"/>
          <w:bCs/>
          <w:u w:color="000000"/>
          <w:lang w:eastAsia="ru-RU"/>
        </w:rPr>
      </w:pPr>
      <w:r>
        <w:rPr>
          <w:rFonts w:ascii="Times New Roman" w:hAnsi="Times New Roman"/>
          <w:bCs/>
          <w:u w:color="000000"/>
          <w:lang w:eastAsia="ru-RU"/>
        </w:rPr>
        <w:t>выполнение свободного передвижения на коньках по площадке с использованием различных видов перемещений;</w:t>
      </w:r>
    </w:p>
    <w:p w14:paraId="4D6D15B1">
      <w:pPr>
        <w:spacing w:after="0" w:line="360" w:lineRule="auto"/>
        <w:ind w:firstLine="709"/>
        <w:contextualSpacing/>
        <w:jc w:val="both"/>
        <w:rPr>
          <w:rFonts w:ascii="Times New Roman" w:hAnsi="Times New Roman"/>
          <w:bCs/>
          <w:u w:color="000000"/>
          <w:lang w:eastAsia="ru-RU"/>
        </w:rPr>
      </w:pPr>
      <w:r>
        <w:rPr>
          <w:rFonts w:ascii="Times New Roman" w:hAnsi="Times New Roman"/>
          <w:bCs/>
          <w:u w:color="000000"/>
          <w:lang w:eastAsia="ru-RU"/>
        </w:rPr>
        <w:t xml:space="preserve">выполнение </w:t>
      </w:r>
      <w:r>
        <w:rPr>
          <w:rFonts w:ascii="Times New Roman" w:hAnsi="Times New Roman" w:eastAsia="Times New Roman"/>
          <w:u w:color="000000"/>
          <w:lang w:eastAsia="ru-RU"/>
        </w:rPr>
        <w:t>технических элементов владения клюшкой и шайбой (ведение, передачи, броски, удары, остановки, прием), о</w:t>
      </w:r>
      <w:r>
        <w:rPr>
          <w:rFonts w:ascii="Times New Roman" w:hAnsi="Times New Roman"/>
          <w:u w:color="000000"/>
          <w:lang w:eastAsia="ru-RU"/>
        </w:rPr>
        <w:t>сновные способы держания клюшки (хваты) и простые т</w:t>
      </w:r>
      <w:r>
        <w:rPr>
          <w:rFonts w:ascii="Times New Roman" w:hAnsi="Times New Roman"/>
          <w:bCs/>
          <w:u w:color="000000"/>
          <w:lang w:eastAsia="ru-RU"/>
        </w:rPr>
        <w:t>актические действия (индивидуальные и групповые), простые технические действия вратаря: основная стойка, передвижение, ловля и отбивание шайбы;</w:t>
      </w:r>
    </w:p>
    <w:p w14:paraId="71E76309">
      <w:pPr>
        <w:spacing w:after="0" w:line="360" w:lineRule="auto"/>
        <w:ind w:firstLine="709"/>
        <w:contextualSpacing/>
        <w:jc w:val="both"/>
        <w:rPr>
          <w:rFonts w:ascii="Times New Roman" w:hAnsi="Times New Roman"/>
          <w:bCs/>
          <w:u w:color="000000"/>
          <w:lang w:eastAsia="ru-RU"/>
        </w:rPr>
      </w:pPr>
      <w:r>
        <w:rPr>
          <w:rFonts w:ascii="Times New Roman" w:hAnsi="Times New Roman"/>
          <w:bCs/>
          <w:u w:color="000000"/>
          <w:lang w:eastAsia="ru-RU"/>
        </w:rPr>
        <w:t xml:space="preserve">выполнение технического действия (приема) и </w:t>
      </w:r>
      <w:r>
        <w:rPr>
          <w:rFonts w:ascii="Times New Roman" w:hAnsi="Times New Roman"/>
          <w:bCs/>
          <w:iCs/>
          <w:u w:color="000000"/>
          <w:lang w:eastAsia="ru-RU"/>
        </w:rPr>
        <w:t xml:space="preserve">находить </w:t>
      </w:r>
      <w:r>
        <w:rPr>
          <w:rFonts w:ascii="Times New Roman" w:hAnsi="Times New Roman"/>
          <w:bCs/>
          <w:u w:color="000000"/>
          <w:lang w:eastAsia="ru-RU"/>
        </w:rPr>
        <w:t>способы устранения ошибок;</w:t>
      </w:r>
    </w:p>
    <w:p w14:paraId="24ADA3D5">
      <w:pPr>
        <w:spacing w:after="0" w:line="360" w:lineRule="auto"/>
        <w:ind w:firstLine="709"/>
        <w:contextualSpacing/>
        <w:jc w:val="both"/>
        <w:rPr>
          <w:rFonts w:ascii="Times New Roman" w:hAnsi="Times New Roman"/>
          <w:bCs/>
          <w:u w:color="000000"/>
          <w:lang w:eastAsia="ru-RU"/>
        </w:rPr>
      </w:pPr>
      <w:r>
        <w:rPr>
          <w:rFonts w:ascii="Times New Roman" w:hAnsi="Times New Roman"/>
          <w:bCs/>
          <w:iCs/>
          <w:u w:color="000000"/>
          <w:lang w:eastAsia="ru-RU"/>
        </w:rPr>
        <w:t>участие</w:t>
      </w:r>
      <w:r>
        <w:rPr>
          <w:rFonts w:ascii="Times New Roman" w:hAnsi="Times New Roman"/>
          <w:bCs/>
          <w:u w:color="000000"/>
          <w:lang w:eastAsia="ru-RU"/>
        </w:rPr>
        <w:t xml:space="preserve"> в учебных играх в уменьшенных составах, на уменьшенной площадке, по упрощенным правилам;</w:t>
      </w:r>
    </w:p>
    <w:p w14:paraId="6F5AEE14">
      <w:pPr>
        <w:spacing w:after="0" w:line="360" w:lineRule="auto"/>
        <w:ind w:firstLine="709"/>
        <w:contextualSpacing/>
        <w:jc w:val="both"/>
        <w:rPr>
          <w:rFonts w:ascii="Times New Roman" w:hAnsi="Times New Roman" w:eastAsia="Times New Roman"/>
          <w:u w:color="000000"/>
          <w:lang w:eastAsia="ru-RU"/>
        </w:rPr>
      </w:pPr>
      <w:r>
        <w:rPr>
          <w:rFonts w:ascii="Times New Roman" w:hAnsi="Times New Roman"/>
          <w:bCs/>
          <w:u w:color="000000"/>
          <w:lang w:eastAsia="ru-RU"/>
        </w:rPr>
        <w:t xml:space="preserve">выполнение контрольно-тестовых упражнений по общей и специальной физической подготовке и </w:t>
      </w:r>
      <w:r>
        <w:rPr>
          <w:rFonts w:ascii="Times New Roman" w:hAnsi="Times New Roman"/>
          <w:bCs/>
          <w:iCs/>
          <w:u w:color="000000"/>
          <w:lang w:eastAsia="ru-RU"/>
        </w:rPr>
        <w:t>оценка</w:t>
      </w:r>
      <w:r>
        <w:rPr>
          <w:rFonts w:ascii="Times New Roman" w:hAnsi="Times New Roman"/>
          <w:bCs/>
          <w:u w:color="000000"/>
          <w:lang w:eastAsia="ru-RU"/>
        </w:rPr>
        <w:t xml:space="preserve"> показателей физической подготовленности;</w:t>
      </w:r>
    </w:p>
    <w:p w14:paraId="397384AF">
      <w:pPr>
        <w:spacing w:after="0" w:line="360" w:lineRule="auto"/>
        <w:ind w:firstLine="709"/>
        <w:contextualSpacing/>
        <w:jc w:val="both"/>
        <w:rPr>
          <w:rFonts w:ascii="Times New Roman" w:hAnsi="Times New Roman"/>
          <w:u w:color="000000"/>
          <w:lang w:eastAsia="ru-RU"/>
        </w:rPr>
      </w:pPr>
      <w:r>
        <w:rPr>
          <w:rFonts w:ascii="Times New Roman" w:hAnsi="Times New Roman"/>
          <w:bCs/>
          <w:u w:color="000000"/>
          <w:lang w:eastAsia="ru-RU"/>
        </w:rPr>
        <w:t>п</w:t>
      </w:r>
      <w:r>
        <w:rPr>
          <w:rFonts w:ascii="Times New Roman" w:hAnsi="Times New Roman"/>
          <w:bCs/>
          <w:iCs/>
          <w:u w:color="000000"/>
          <w:lang w:eastAsia="ru-RU"/>
        </w:rPr>
        <w:t xml:space="preserve">роявление </w:t>
      </w:r>
      <w:r>
        <w:rPr>
          <w:rFonts w:ascii="Times New Roman" w:hAnsi="Times New Roman"/>
          <w:u w:color="000000"/>
          <w:lang w:eastAsia="ru-RU"/>
        </w:rPr>
        <w:t>уважительного отношения к одноклассникам, проявление культуры общения и взаимодействия, терпимости и толерантности в достижении общих целей в учебной и игровой деятельности на занятиях хоккеем.</w:t>
      </w:r>
    </w:p>
    <w:p w14:paraId="4336E18F">
      <w:pPr>
        <w:spacing w:after="0" w:line="360" w:lineRule="auto"/>
        <w:ind w:firstLine="709"/>
        <w:jc w:val="both"/>
        <w:rPr>
          <w:rFonts w:ascii="Times New Roman" w:hAnsi="Times New Roman"/>
        </w:rPr>
      </w:pPr>
      <w:r>
        <w:rPr>
          <w:rFonts w:ascii="Times New Roman" w:hAnsi="Times New Roman" w:eastAsia="Times New Roman"/>
          <w:bCs/>
          <w:lang w:eastAsia="zh-CN"/>
        </w:rPr>
        <w:t>16.4.</w:t>
      </w:r>
      <w:r>
        <w:rPr>
          <w:rFonts w:ascii="Times New Roman" w:hAnsi="Times New Roman"/>
        </w:rPr>
        <w:t>7. Модуль «Футбол».</w:t>
      </w:r>
    </w:p>
    <w:p w14:paraId="4F8C8977">
      <w:pPr>
        <w:spacing w:after="0" w:line="360" w:lineRule="auto"/>
        <w:ind w:firstLine="709"/>
        <w:jc w:val="both"/>
        <w:rPr>
          <w:rFonts w:ascii="Times New Roman" w:hAnsi="Times New Roman"/>
        </w:rPr>
      </w:pPr>
      <w:r>
        <w:rPr>
          <w:rFonts w:ascii="Times New Roman" w:hAnsi="Times New Roman" w:eastAsia="Times New Roman"/>
          <w:bCs/>
          <w:lang w:eastAsia="zh-CN"/>
        </w:rPr>
        <w:t>16.4.</w:t>
      </w:r>
      <w:r>
        <w:rPr>
          <w:rFonts w:ascii="Times New Roman" w:hAnsi="Times New Roman"/>
        </w:rPr>
        <w:t>7.1. Пояснительная записка модуля «Футбол».</w:t>
      </w:r>
    </w:p>
    <w:p w14:paraId="0096725B">
      <w:pPr>
        <w:pBdr>
          <w:top w:val="none" w:color="000000" w:sz="0" w:space="0"/>
          <w:left w:val="none" w:color="000000" w:sz="0" w:space="0"/>
          <w:bottom w:val="none" w:color="000000" w:sz="0" w:space="0"/>
          <w:right w:val="none" w:color="000000" w:sz="0" w:space="0"/>
        </w:pBdr>
        <w:suppressAutoHyphens/>
        <w:spacing w:after="0" w:line="360" w:lineRule="auto"/>
        <w:ind w:firstLine="709"/>
        <w:jc w:val="both"/>
        <w:rPr>
          <w:rFonts w:ascii="Times New Roman" w:hAnsi="Times New Roman"/>
          <w:lang w:eastAsia="zh-CN"/>
        </w:rPr>
      </w:pPr>
      <w:bookmarkStart w:id="283" w:name="_Hlk125213147"/>
      <w:bookmarkStart w:id="284" w:name="_Hlk125131536"/>
      <w:r>
        <w:rPr>
          <w:rFonts w:ascii="Times New Roman" w:hAnsi="Times New Roman"/>
          <w:lang w:eastAsia="zh-CN"/>
        </w:rPr>
        <w:t>Учебный модуль «Футбол» (далее – модуль по футболу, футбол) на уровне начального общего образования разработан с целью оказания методической помощи учителю физической культуры в создании рабочей программы по учебному предмету «Физическая культура» с учётом современных тенденций в системе образования и использования спортивно-ориентированных форм, средств и методов обучения по различным видов спорта.</w:t>
      </w:r>
    </w:p>
    <w:p w14:paraId="3189DA8D">
      <w:pPr>
        <w:spacing w:after="0" w:line="360" w:lineRule="auto"/>
        <w:ind w:firstLine="709"/>
        <w:jc w:val="both"/>
        <w:rPr>
          <w:rFonts w:ascii="Times New Roman" w:hAnsi="Times New Roman"/>
          <w:u w:color="000000"/>
          <w:lang w:eastAsia="ru-RU"/>
        </w:rPr>
      </w:pPr>
      <w:r>
        <w:rPr>
          <w:rFonts w:ascii="Times New Roman" w:hAnsi="Times New Roman" w:eastAsia="Times New Roman"/>
        </w:rPr>
        <w:t xml:space="preserve">Футбол – самая популярная и доступная игра, которая </w:t>
      </w:r>
      <w:r>
        <w:rPr>
          <w:rFonts w:ascii="Times New Roman" w:hAnsi="Times New Roman" w:eastAsia="Arial Unicode MS"/>
          <w:u w:color="000000"/>
          <w:lang w:eastAsia="ru-RU"/>
        </w:rPr>
        <w:t xml:space="preserve">является эффективным средством физического воспитания, </w:t>
      </w:r>
      <w:r>
        <w:rPr>
          <w:rFonts w:ascii="Times New Roman" w:hAnsi="Times New Roman"/>
          <w:u w:color="000000"/>
          <w:lang w:eastAsia="ru-RU"/>
        </w:rPr>
        <w:t xml:space="preserve">содействует всестороннему физическому, интеллектуальному, нравственному развитию обучающихся, укреплению здоровья, привлечению </w:t>
      </w:r>
      <w:r>
        <w:rPr>
          <w:rFonts w:ascii="Times New Roman" w:hAnsi="Times New Roman"/>
        </w:rPr>
        <w:t>обучающихся</w:t>
      </w:r>
      <w:r>
        <w:rPr>
          <w:rFonts w:ascii="Times New Roman" w:hAnsi="Times New Roman" w:eastAsia="Times New Roman"/>
        </w:rPr>
        <w:t xml:space="preserve"> </w:t>
      </w:r>
      <w:r>
        <w:rPr>
          <w:rFonts w:ascii="Times New Roman" w:hAnsi="Times New Roman"/>
          <w:u w:color="000000"/>
          <w:lang w:eastAsia="ru-RU"/>
        </w:rPr>
        <w:t>к систематическим занятиям физической культурой и спортом, их личностному и профессиональному самоопределению.</w:t>
      </w:r>
    </w:p>
    <w:p w14:paraId="7EE2B767">
      <w:pPr>
        <w:autoSpaceDE w:val="0"/>
        <w:autoSpaceDN w:val="0"/>
        <w:spacing w:after="0" w:line="360" w:lineRule="auto"/>
        <w:ind w:firstLine="709"/>
        <w:jc w:val="both"/>
        <w:rPr>
          <w:rFonts w:ascii="Times New Roman" w:hAnsi="Times New Roman" w:eastAsia="Times New Roman"/>
        </w:rPr>
      </w:pPr>
      <w:r>
        <w:rPr>
          <w:rFonts w:ascii="Times New Roman" w:hAnsi="Times New Roman" w:eastAsia="Times New Roman"/>
        </w:rPr>
        <w:t xml:space="preserve">Футбол позволяет обучающимся понимать принципы взаимовыручки, проявлять волю, терпение и развивать чувство ответственности. В процессе игры формируется командный дух, познаются основы взаимодействия друг с другом. Футбол – </w:t>
      </w:r>
      <w:r>
        <w:rPr>
          <w:rFonts w:ascii="Times New Roman" w:hAnsi="Times New Roman" w:eastAsia="Times New Roman"/>
          <w:spacing w:val="-3"/>
        </w:rPr>
        <w:t xml:space="preserve">командная </w:t>
      </w:r>
      <w:r>
        <w:rPr>
          <w:rFonts w:ascii="Times New Roman" w:hAnsi="Times New Roman" w:eastAsia="Times New Roman"/>
        </w:rPr>
        <w:t xml:space="preserve">игра, в которой каждому члену </w:t>
      </w:r>
      <w:r>
        <w:rPr>
          <w:rFonts w:ascii="Times New Roman" w:hAnsi="Times New Roman" w:eastAsia="Times New Roman"/>
          <w:spacing w:val="-3"/>
        </w:rPr>
        <w:t xml:space="preserve">команды </w:t>
      </w:r>
      <w:r>
        <w:rPr>
          <w:rFonts w:ascii="Times New Roman" w:hAnsi="Times New Roman" w:eastAsia="Times New Roman"/>
        </w:rPr>
        <w:t xml:space="preserve">надо научиться выстраивать отношения с другими игроками. Психологический климат в </w:t>
      </w:r>
      <w:r>
        <w:rPr>
          <w:rFonts w:ascii="Times New Roman" w:hAnsi="Times New Roman" w:eastAsia="Times New Roman"/>
          <w:spacing w:val="-3"/>
        </w:rPr>
        <w:t xml:space="preserve">команде </w:t>
      </w:r>
      <w:r>
        <w:rPr>
          <w:rFonts w:ascii="Times New Roman" w:hAnsi="Times New Roman" w:eastAsia="Times New Roman"/>
        </w:rPr>
        <w:t xml:space="preserve">играет определяющую роль и оказывает серьезное влияние на результат. Футбол дает возможность выработать коммуникативные навыки, развить чувство сплочённости и желание </w:t>
      </w:r>
      <w:r>
        <w:rPr>
          <w:rFonts w:ascii="Times New Roman" w:hAnsi="Times New Roman" w:eastAsia="Times New Roman"/>
          <w:spacing w:val="-3"/>
        </w:rPr>
        <w:t xml:space="preserve">находить </w:t>
      </w:r>
      <w:r>
        <w:rPr>
          <w:rFonts w:ascii="Times New Roman" w:hAnsi="Times New Roman" w:eastAsia="Times New Roman"/>
        </w:rPr>
        <w:t xml:space="preserve">общий язык с партнером, а также решать </w:t>
      </w:r>
      <w:r>
        <w:rPr>
          <w:rFonts w:ascii="Times New Roman" w:hAnsi="Times New Roman" w:eastAsia="Times New Roman"/>
          <w:spacing w:val="-3"/>
        </w:rPr>
        <w:t>конфликтные</w:t>
      </w:r>
      <w:r>
        <w:rPr>
          <w:rFonts w:ascii="Times New Roman" w:hAnsi="Times New Roman" w:eastAsia="Times New Roman"/>
          <w:spacing w:val="1"/>
        </w:rPr>
        <w:t xml:space="preserve"> </w:t>
      </w:r>
      <w:r>
        <w:rPr>
          <w:rFonts w:ascii="Times New Roman" w:hAnsi="Times New Roman" w:eastAsia="Times New Roman"/>
        </w:rPr>
        <w:t>ситуации.</w:t>
      </w:r>
    </w:p>
    <w:p w14:paraId="54CECF0D">
      <w:pPr>
        <w:autoSpaceDE w:val="0"/>
        <w:autoSpaceDN w:val="0"/>
        <w:spacing w:after="0" w:line="360" w:lineRule="auto"/>
        <w:ind w:firstLine="709"/>
        <w:jc w:val="both"/>
        <w:rPr>
          <w:rFonts w:ascii="Times New Roman" w:hAnsi="Times New Roman" w:eastAsia="Courier New"/>
          <w:lang w:eastAsia="ru-RU" w:bidi="ru-RU"/>
        </w:rPr>
      </w:pPr>
      <w:r>
        <w:rPr>
          <w:rFonts w:ascii="Times New Roman" w:hAnsi="Times New Roman" w:eastAsia="Courier New"/>
          <w:lang w:eastAsia="ru-RU" w:bidi="ru-RU"/>
        </w:rPr>
        <w:t xml:space="preserve">Систематические занятия футболом оказывают на организм обучающихся всестороннее влияние: повышают общий объём двигательной активности, совершенствуют функциональную деятельность организма, обеспечивая правильное физическое развитие. </w:t>
      </w:r>
    </w:p>
    <w:p w14:paraId="7ED03B69">
      <w:pPr>
        <w:autoSpaceDE w:val="0"/>
        <w:autoSpaceDN w:val="0"/>
        <w:spacing w:after="0" w:line="360" w:lineRule="auto"/>
        <w:ind w:firstLine="709"/>
        <w:jc w:val="both"/>
        <w:rPr>
          <w:rFonts w:ascii="Times New Roman" w:hAnsi="Times New Roman" w:eastAsia="Courier New"/>
          <w:lang w:eastAsia="ru-RU" w:bidi="ru-RU"/>
        </w:rPr>
      </w:pPr>
      <w:r>
        <w:rPr>
          <w:rFonts w:ascii="Times New Roman" w:hAnsi="Times New Roman" w:eastAsia="Courier New"/>
          <w:lang w:eastAsia="ru-RU" w:bidi="ru-RU"/>
        </w:rPr>
        <w:t xml:space="preserve">Модуль «Футбол» рассматривается как средство физической подготовки, освоения технической и тактической стороны игры как для мальчиков, так и для девочек, повышает умственную работоспособность, снижает </w:t>
      </w:r>
      <w:r>
        <w:rPr>
          <w:rFonts w:ascii="Times New Roman" w:hAnsi="Times New Roman" w:eastAsia="Times New Roman"/>
          <w:lang w:eastAsia="ru-RU" w:bidi="ru-RU"/>
        </w:rPr>
        <w:t>заболеваемость</w:t>
      </w:r>
      <w:r>
        <w:rPr>
          <w:rFonts w:ascii="Times New Roman" w:hAnsi="Times New Roman" w:eastAsia="Courier New"/>
          <w:lang w:eastAsia="ru-RU" w:bidi="ru-RU"/>
        </w:rPr>
        <w:t xml:space="preserve"> и утомление у обучающихся, возникающее в ходе учебных занятий.</w:t>
      </w:r>
    </w:p>
    <w:p w14:paraId="437A3ABD">
      <w:pPr>
        <w:spacing w:after="0" w:line="360" w:lineRule="auto"/>
        <w:ind w:firstLine="709"/>
        <w:jc w:val="both"/>
        <w:rPr>
          <w:rFonts w:ascii="Times New Roman" w:hAnsi="Times New Roman" w:eastAsia="Courier New"/>
          <w:lang w:eastAsia="ru-RU" w:bidi="ru-RU"/>
        </w:rPr>
      </w:pPr>
      <w:r>
        <w:rPr>
          <w:rFonts w:ascii="Times New Roman" w:hAnsi="Times New Roman" w:eastAsia="Times New Roman"/>
          <w:bCs/>
          <w:lang w:eastAsia="zh-CN"/>
        </w:rPr>
        <w:t>16.4.</w:t>
      </w:r>
      <w:r>
        <w:rPr>
          <w:rFonts w:ascii="Times New Roman" w:hAnsi="Times New Roman" w:eastAsia="Times New Roman"/>
        </w:rPr>
        <w:t>7.2.</w:t>
      </w:r>
      <w:r>
        <w:rPr>
          <w:rFonts w:ascii="Times New Roman" w:hAnsi="Times New Roman" w:eastAsia="Courier New"/>
          <w:lang w:eastAsia="ru-RU" w:bidi="ru-RU"/>
        </w:rPr>
        <w:t xml:space="preserve"> Целями изучения модуля «Футбол» являются: </w:t>
      </w:r>
      <w:r>
        <w:rPr>
          <w:rFonts w:ascii="Times New Roman" w:hAnsi="Times New Roman" w:eastAsia="Times New Roman"/>
        </w:rPr>
        <w:t>формирование у обучающихся навыков общечеловеческой культуры и социального самоопределения, устойчивой мотивации к сохранению и укреплению собственного здоровья, ведению здорового образа жизни через занятия физической культурой и спортом с использованием средств вида спорта «футбол».</w:t>
      </w:r>
    </w:p>
    <w:p w14:paraId="231262E7">
      <w:pPr>
        <w:spacing w:after="0" w:line="360" w:lineRule="auto"/>
        <w:ind w:firstLine="709"/>
        <w:jc w:val="both"/>
        <w:rPr>
          <w:rFonts w:ascii="Times New Roman" w:hAnsi="Times New Roman"/>
        </w:rPr>
      </w:pPr>
      <w:bookmarkStart w:id="285" w:name="_Hlk125550293"/>
      <w:bookmarkStart w:id="286" w:name="_Hlk125544518"/>
      <w:r>
        <w:rPr>
          <w:rFonts w:ascii="Times New Roman" w:hAnsi="Times New Roman" w:eastAsia="Times New Roman"/>
          <w:bCs/>
          <w:lang w:eastAsia="zh-CN"/>
        </w:rPr>
        <w:t>16.4.</w:t>
      </w:r>
      <w:r>
        <w:rPr>
          <w:rFonts w:ascii="Times New Roman" w:hAnsi="Times New Roman"/>
        </w:rPr>
        <w:t xml:space="preserve">7.3. Задачами изучения модуля </w:t>
      </w:r>
      <w:r>
        <w:rPr>
          <w:rFonts w:ascii="Times New Roman" w:hAnsi="Times New Roman" w:eastAsia="Times New Roman"/>
          <w:lang w:eastAsia="ar-SA"/>
        </w:rPr>
        <w:t xml:space="preserve">«Футбол» </w:t>
      </w:r>
      <w:r>
        <w:rPr>
          <w:rFonts w:ascii="Times New Roman" w:hAnsi="Times New Roman"/>
        </w:rPr>
        <w:t>являются</w:t>
      </w:r>
      <w:bookmarkEnd w:id="285"/>
      <w:r>
        <w:rPr>
          <w:rFonts w:ascii="Times New Roman" w:hAnsi="Times New Roman"/>
        </w:rPr>
        <w:t>:</w:t>
      </w:r>
    </w:p>
    <w:bookmarkEnd w:id="286"/>
    <w:p w14:paraId="02977B12">
      <w:pPr>
        <w:autoSpaceDE w:val="0"/>
        <w:autoSpaceDN w:val="0"/>
        <w:spacing w:after="0" w:line="360" w:lineRule="auto"/>
        <w:ind w:firstLine="709"/>
        <w:jc w:val="both"/>
        <w:rPr>
          <w:rFonts w:ascii="Times New Roman" w:hAnsi="Times New Roman" w:eastAsia="Times New Roman"/>
        </w:rPr>
      </w:pPr>
      <w:r>
        <w:rPr>
          <w:rFonts w:ascii="Times New Roman" w:hAnsi="Times New Roman" w:eastAsia="Times New Roman"/>
        </w:rPr>
        <w:t>всестороннее гармоничное развитие детей, увеличение объёма их двигательной активности;</w:t>
      </w:r>
    </w:p>
    <w:p w14:paraId="3137F792">
      <w:pPr>
        <w:autoSpaceDE w:val="0"/>
        <w:autoSpaceDN w:val="0"/>
        <w:spacing w:after="0" w:line="360" w:lineRule="auto"/>
        <w:ind w:firstLine="709"/>
        <w:jc w:val="both"/>
        <w:rPr>
          <w:rFonts w:ascii="Times New Roman" w:hAnsi="Times New Roman" w:eastAsia="Times New Roman"/>
        </w:rPr>
      </w:pPr>
      <w:r>
        <w:rPr>
          <w:rFonts w:ascii="Times New Roman" w:hAnsi="Times New Roman" w:eastAsia="Arial Unicode MS"/>
        </w:rPr>
        <w:t>формирование общих представлений о виде спорта «футбол», его возможностях и значении в процессе укрепления здоровья, физическом развитии и физической подготовке обучающихся;</w:t>
      </w:r>
    </w:p>
    <w:p w14:paraId="3C96D643">
      <w:pPr>
        <w:autoSpaceDE w:val="0"/>
        <w:autoSpaceDN w:val="0"/>
        <w:spacing w:after="0" w:line="360" w:lineRule="auto"/>
        <w:ind w:firstLine="709"/>
        <w:jc w:val="both"/>
        <w:rPr>
          <w:rFonts w:ascii="Times New Roman" w:hAnsi="Times New Roman" w:eastAsia="Times New Roman"/>
        </w:rPr>
      </w:pPr>
      <w:r>
        <w:rPr>
          <w:rFonts w:ascii="Times New Roman" w:hAnsi="Times New Roman" w:eastAsia="Times New Roman"/>
        </w:rPr>
        <w:t>развитие основных физических качеств и повышение функциональных возможностей организма обучающихся, укрепление их физического, нравственного, психологического и социального здоровья, обеспечение культуры безопасного поведения средствами футбола;</w:t>
      </w:r>
    </w:p>
    <w:p w14:paraId="298DCE68">
      <w:pPr>
        <w:autoSpaceDE w:val="0"/>
        <w:autoSpaceDN w:val="0"/>
        <w:spacing w:after="0" w:line="360" w:lineRule="auto"/>
        <w:ind w:firstLine="709"/>
        <w:jc w:val="both"/>
        <w:rPr>
          <w:rFonts w:ascii="Times New Roman" w:hAnsi="Times New Roman" w:eastAsia="Times New Roman"/>
        </w:rPr>
      </w:pPr>
      <w:r>
        <w:rPr>
          <w:rFonts w:ascii="Times New Roman" w:hAnsi="Times New Roman" w:eastAsia="Times New Roman"/>
        </w:rPr>
        <w:t>ознакомление и обучение физическим упражнениям общеразвивающей и корригирующей направленности посредством освоения технических действий в футболе;</w:t>
      </w:r>
    </w:p>
    <w:p w14:paraId="772DCCFF">
      <w:pPr>
        <w:autoSpaceDE w:val="0"/>
        <w:autoSpaceDN w:val="0"/>
        <w:spacing w:after="0" w:line="360" w:lineRule="auto"/>
        <w:ind w:firstLine="709"/>
        <w:jc w:val="both"/>
        <w:rPr>
          <w:rFonts w:ascii="Times New Roman" w:hAnsi="Times New Roman" w:eastAsia="Times New Roman"/>
        </w:rPr>
      </w:pPr>
      <w:r>
        <w:rPr>
          <w:rFonts w:ascii="Times New Roman" w:hAnsi="Times New Roman" w:eastAsia="Times New Roman"/>
        </w:rPr>
        <w:t>ознакомление и освоение знаний об истории и развитии футбола, основных понятиях и современных представлениях о футболе, его возможностях и значениях в процессе развития и укрепления здоровья, физическом развитии обучающихся;</w:t>
      </w:r>
    </w:p>
    <w:p w14:paraId="780172BC">
      <w:pPr>
        <w:autoSpaceDE w:val="0"/>
        <w:autoSpaceDN w:val="0"/>
        <w:spacing w:after="0" w:line="360" w:lineRule="auto"/>
        <w:ind w:firstLine="709"/>
        <w:jc w:val="both"/>
        <w:rPr>
          <w:rFonts w:ascii="Times New Roman" w:hAnsi="Times New Roman" w:eastAsia="Times New Roman"/>
        </w:rPr>
      </w:pPr>
      <w:r>
        <w:rPr>
          <w:rFonts w:ascii="Times New Roman" w:hAnsi="Times New Roman" w:eastAsia="Times New Roman"/>
        </w:rPr>
        <w:t>обучение двигательным умениям и навыкам, техническим действиям в футболе в образовательной деятельности, физкультурно-оздоровительной деятельности и при организации самостоятельных занятий по футболу;</w:t>
      </w:r>
    </w:p>
    <w:p w14:paraId="7C761687">
      <w:pPr>
        <w:autoSpaceDE w:val="0"/>
        <w:autoSpaceDN w:val="0"/>
        <w:spacing w:after="0" w:line="360" w:lineRule="auto"/>
        <w:ind w:firstLine="709"/>
        <w:jc w:val="both"/>
        <w:rPr>
          <w:rFonts w:ascii="Times New Roman" w:hAnsi="Times New Roman" w:eastAsia="Times New Roman"/>
        </w:rPr>
      </w:pPr>
      <w:r>
        <w:rPr>
          <w:rFonts w:ascii="Times New Roman" w:hAnsi="Times New Roman" w:eastAsia="Times New Roman"/>
        </w:rPr>
        <w:t>воспитание социально значимых качеств личности, норм коллективного взаимодействия и сотрудничества в игровой деятельности средствами футбола;</w:t>
      </w:r>
    </w:p>
    <w:p w14:paraId="13611EA6">
      <w:pPr>
        <w:autoSpaceDE w:val="0"/>
        <w:autoSpaceDN w:val="0"/>
        <w:spacing w:after="0" w:line="360" w:lineRule="auto"/>
        <w:ind w:firstLine="709"/>
        <w:jc w:val="both"/>
        <w:rPr>
          <w:rFonts w:ascii="Times New Roman" w:hAnsi="Times New Roman" w:eastAsia="Times New Roman"/>
          <w:lang w:eastAsia="ru-RU" w:bidi="ru-RU"/>
        </w:rPr>
      </w:pPr>
      <w:r>
        <w:rPr>
          <w:rFonts w:ascii="Times New Roman" w:hAnsi="Times New Roman" w:eastAsia="Times New Roman"/>
          <w:lang w:eastAsia="ru-RU" w:bidi="ru-RU"/>
        </w:rPr>
        <w:t>удовлетворение индивидуальных потребностей обучающихся в занятиях физической культурой и спортом средствами футбола;</w:t>
      </w:r>
    </w:p>
    <w:p w14:paraId="4325E0F9">
      <w:pPr>
        <w:autoSpaceDE w:val="0"/>
        <w:autoSpaceDN w:val="0"/>
        <w:spacing w:after="0" w:line="360" w:lineRule="auto"/>
        <w:ind w:firstLine="709"/>
        <w:jc w:val="both"/>
        <w:rPr>
          <w:rFonts w:ascii="Times New Roman" w:hAnsi="Times New Roman" w:eastAsia="Times New Roman"/>
        </w:rPr>
      </w:pPr>
      <w:r>
        <w:rPr>
          <w:rFonts w:ascii="Times New Roman" w:hAnsi="Times New Roman" w:eastAsia="Times New Roman"/>
        </w:rPr>
        <w:t>популяризация футбола среди подрастающего поколения, привлечение обучающихся, проявляющих повышенный интерес и способность к занятиям футболом, в школьные спортивные клубы, футбольные секции и к участию в</w:t>
      </w:r>
      <w:r>
        <w:rPr>
          <w:rFonts w:ascii="Times New Roman" w:hAnsi="Times New Roman" w:eastAsia="Times New Roman"/>
          <w:spacing w:val="-1"/>
        </w:rPr>
        <w:t xml:space="preserve"> </w:t>
      </w:r>
      <w:r>
        <w:rPr>
          <w:rFonts w:ascii="Times New Roman" w:hAnsi="Times New Roman" w:eastAsia="Times New Roman"/>
        </w:rPr>
        <w:t>соревнованиях;</w:t>
      </w:r>
    </w:p>
    <w:p w14:paraId="622997D9">
      <w:pPr>
        <w:autoSpaceDE w:val="0"/>
        <w:autoSpaceDN w:val="0"/>
        <w:spacing w:after="0" w:line="360" w:lineRule="auto"/>
        <w:ind w:firstLine="709"/>
        <w:jc w:val="both"/>
        <w:rPr>
          <w:rFonts w:ascii="Times New Roman" w:hAnsi="Times New Roman" w:eastAsia="Times New Roman"/>
        </w:rPr>
      </w:pPr>
      <w:r>
        <w:rPr>
          <w:rFonts w:ascii="Times New Roman" w:hAnsi="Times New Roman" w:eastAsia="Times New Roman"/>
        </w:rPr>
        <w:t>выявление, развитие и поддержка одарённых детей в области спорта.</w:t>
      </w:r>
    </w:p>
    <w:p w14:paraId="6D70840F">
      <w:pPr>
        <w:autoSpaceDE w:val="0"/>
        <w:autoSpaceDN w:val="0"/>
        <w:spacing w:after="0" w:line="360" w:lineRule="auto"/>
        <w:ind w:firstLine="709"/>
        <w:jc w:val="both"/>
        <w:rPr>
          <w:rFonts w:ascii="Times New Roman" w:hAnsi="Times New Roman" w:eastAsia="Times New Roman"/>
        </w:rPr>
      </w:pPr>
      <w:r>
        <w:rPr>
          <w:rFonts w:ascii="Times New Roman" w:hAnsi="Times New Roman" w:eastAsia="Times New Roman"/>
          <w:bCs/>
          <w:lang w:eastAsia="zh-CN"/>
        </w:rPr>
        <w:t>16.4.</w:t>
      </w:r>
      <w:r>
        <w:rPr>
          <w:rFonts w:ascii="Times New Roman" w:hAnsi="Times New Roman" w:eastAsia="Times New Roman"/>
        </w:rPr>
        <w:t>7.4. Место и роль модуля «Футбол».</w:t>
      </w:r>
    </w:p>
    <w:p w14:paraId="4F678942">
      <w:pPr>
        <w:pBdr>
          <w:top w:val="none" w:color="000000" w:sz="0" w:space="0"/>
          <w:left w:val="none" w:color="000000" w:sz="0" w:space="0"/>
          <w:bottom w:val="none" w:color="000000" w:sz="0" w:space="0"/>
          <w:right w:val="none" w:color="000000" w:sz="0" w:space="0"/>
        </w:pBdr>
        <w:suppressAutoHyphens/>
        <w:autoSpaceDE w:val="0"/>
        <w:spacing w:after="0" w:line="360" w:lineRule="auto"/>
        <w:ind w:firstLine="709"/>
        <w:jc w:val="both"/>
        <w:rPr>
          <w:rFonts w:ascii="Times New Roman" w:hAnsi="Times New Roman" w:eastAsia="Times New Roman"/>
          <w:u w:color="000000"/>
          <w:lang w:eastAsia="ru-RU"/>
        </w:rPr>
      </w:pPr>
      <w:r>
        <w:rPr>
          <w:rFonts w:ascii="Times New Roman" w:hAnsi="Times New Roman"/>
          <w:lang w:eastAsia="zh-CN"/>
        </w:rPr>
        <w:t xml:space="preserve">Модуль «Футбол» </w:t>
      </w:r>
      <w:bookmarkStart w:id="287" w:name="_Hlk125550350"/>
      <w:r>
        <w:rPr>
          <w:rFonts w:ascii="Times New Roman" w:hAnsi="Times New Roman"/>
        </w:rPr>
        <w:t>доступен для освоения всем обучающимся, независимо от уровня их физического развития и пола, и расширяет спектр физкультурно-спортивных направлений в общеобразовательных организациях.</w:t>
      </w:r>
      <w:r>
        <w:rPr>
          <w:rFonts w:ascii="Times New Roman" w:hAnsi="Times New Roman"/>
          <w:iCs/>
          <w:u w:color="000000"/>
          <w:lang w:eastAsia="ru-RU"/>
        </w:rPr>
        <w:t xml:space="preserve"> </w:t>
      </w:r>
      <w:bookmarkEnd w:id="287"/>
      <w:r>
        <w:rPr>
          <w:rFonts w:ascii="Times New Roman" w:hAnsi="Times New Roman"/>
          <w:u w:color="000000"/>
          <w:lang w:eastAsia="ru-RU"/>
        </w:rPr>
        <w:t>Расширяет и дополняет компетенции обучающихся, полученные в результате обучения и формирования</w:t>
      </w:r>
      <w:r>
        <w:rPr>
          <w:rFonts w:ascii="Times New Roman" w:hAnsi="Times New Roman" w:eastAsia="Times New Roman"/>
          <w:u w:color="000000"/>
          <w:lang w:eastAsia="ru-RU"/>
        </w:rPr>
        <w:t xml:space="preserve"> новых двигательных действий средствами футбола, их использования в прикладных целях для увеличения объёма двигательной активности и оздоровления в повседневной жизни.</w:t>
      </w:r>
    </w:p>
    <w:p w14:paraId="171A24F2">
      <w:pPr>
        <w:spacing w:after="0" w:line="360" w:lineRule="auto"/>
        <w:ind w:firstLine="709"/>
        <w:jc w:val="both"/>
        <w:rPr>
          <w:rFonts w:ascii="Times New Roman" w:hAnsi="Times New Roman" w:eastAsia="Times New Roman"/>
          <w:lang w:eastAsia="ru-RU"/>
        </w:rPr>
      </w:pPr>
      <w:r>
        <w:rPr>
          <w:rFonts w:ascii="Times New Roman" w:hAnsi="Times New Roman"/>
          <w:u w:color="000000"/>
          <w:lang w:eastAsia="ru-RU"/>
        </w:rPr>
        <w:t xml:space="preserve">Интеграция модуля по футболу поможет обучающимся в освоении содержательных компонентов и модулей по легкой атлетике, подвижным и спортивным играм, гимнастике, а также </w:t>
      </w:r>
      <w:r>
        <w:rPr>
          <w:rFonts w:ascii="Times New Roman" w:hAnsi="Times New Roman"/>
          <w:lang w:eastAsia="ru-RU"/>
        </w:rPr>
        <w:t xml:space="preserve">в освоении программ в рамках внеурочной деятельности, </w:t>
      </w:r>
      <w:r>
        <w:rPr>
          <w:rFonts w:ascii="Times New Roman" w:hAnsi="Times New Roman"/>
          <w:lang w:eastAsia="zh-CN"/>
        </w:rPr>
        <w:t xml:space="preserve">дополнительного образования, </w:t>
      </w:r>
      <w:r>
        <w:rPr>
          <w:rFonts w:ascii="Times New Roman" w:hAnsi="Times New Roman"/>
          <w:lang w:eastAsia="ru-RU"/>
        </w:rPr>
        <w:t xml:space="preserve">деятельности школьных спортивных клубов, подготовке </w:t>
      </w:r>
      <w:r>
        <w:rPr>
          <w:rFonts w:ascii="Times New Roman" w:hAnsi="Times New Roman"/>
          <w:lang w:eastAsia="zh-CN"/>
        </w:rPr>
        <w:t xml:space="preserve">обучающихся к выполнению норм ГТО </w:t>
      </w:r>
      <w:r>
        <w:rPr>
          <w:rFonts w:ascii="Times New Roman" w:hAnsi="Times New Roman"/>
          <w:lang w:eastAsia="ru-RU"/>
        </w:rPr>
        <w:t>и участию в спортивных мероприятиях.</w:t>
      </w:r>
      <w:r>
        <w:rPr>
          <w:rFonts w:ascii="Times New Roman" w:hAnsi="Times New Roman" w:eastAsia="Times New Roman"/>
          <w:lang w:eastAsia="ru-RU"/>
        </w:rPr>
        <w:t xml:space="preserve"> </w:t>
      </w:r>
    </w:p>
    <w:bookmarkEnd w:id="283"/>
    <w:p w14:paraId="1FBD992B">
      <w:pPr>
        <w:spacing w:after="0" w:line="360" w:lineRule="auto"/>
        <w:ind w:firstLine="709"/>
        <w:jc w:val="both"/>
        <w:rPr>
          <w:rFonts w:ascii="Times New Roman" w:hAnsi="Times New Roman" w:eastAsia="Times New Roman"/>
        </w:rPr>
      </w:pPr>
      <w:r>
        <w:rPr>
          <w:rFonts w:ascii="Times New Roman" w:hAnsi="Times New Roman" w:eastAsia="Times New Roman"/>
          <w:bCs/>
          <w:lang w:eastAsia="zh-CN"/>
        </w:rPr>
        <w:t>16.4.</w:t>
      </w:r>
      <w:r>
        <w:rPr>
          <w:rFonts w:ascii="Times New Roman" w:hAnsi="Times New Roman" w:eastAsia="Times New Roman"/>
        </w:rPr>
        <w:t>7.5. Учебный модуль «Футбол» может быть реализован в следующих вариантах:</w:t>
      </w:r>
    </w:p>
    <w:p w14:paraId="780D1392">
      <w:pPr>
        <w:pBdr>
          <w:top w:val="none" w:color="000000" w:sz="0" w:space="0"/>
          <w:left w:val="none" w:color="000000" w:sz="0" w:space="0"/>
          <w:bottom w:val="none" w:color="000000" w:sz="0" w:space="0"/>
          <w:right w:val="none" w:color="000000" w:sz="0" w:space="0"/>
        </w:pBdr>
        <w:suppressAutoHyphens/>
        <w:spacing w:after="0" w:line="360" w:lineRule="auto"/>
        <w:ind w:firstLine="709"/>
        <w:jc w:val="both"/>
        <w:rPr>
          <w:rFonts w:ascii="Times New Roman" w:hAnsi="Times New Roman"/>
          <w:lang w:eastAsia="zh-CN"/>
        </w:rPr>
      </w:pPr>
      <w:r>
        <w:rPr>
          <w:rFonts w:ascii="Times New Roman" w:hAnsi="Times New Roman"/>
          <w:lang w:eastAsia="zh-CN"/>
        </w:rPr>
        <w:t>при самостоятельном планировании учителем физической культуры процесса освоения обучающимися учебного материала по футболу с выбором различных элементов футбола, с учётом возраста и физической подготовленности обучающихся (с соответствующей дозировкой и интенсивностью);</w:t>
      </w:r>
    </w:p>
    <w:p w14:paraId="4D9387E0">
      <w:pPr>
        <w:spacing w:after="0" w:line="360" w:lineRule="auto"/>
        <w:ind w:firstLine="709"/>
        <w:jc w:val="both"/>
        <w:rPr>
          <w:rFonts w:ascii="Times New Roman" w:hAnsi="Times New Roman"/>
        </w:rPr>
      </w:pPr>
      <w:r>
        <w:rPr>
          <w:rFonts w:ascii="Times New Roman" w:hAnsi="Times New Roman"/>
          <w:lang w:eastAsia="zh-CN"/>
        </w:rPr>
        <w:t>в виде целостного последовательного учебного модуля, изучаемого за счёт части учебного плана, формируемой участниками образовательных отношений из перечня, предлагаемого образовательной организацией, включающей, в частности, учебные модули по выбору обучающихся, родителей (законных представителей) несовершеннолетних обучающихся, в том числе предусматривающие удовлетворение различных интересов обучающихся</w:t>
      </w:r>
      <w:bookmarkEnd w:id="284"/>
      <w:r>
        <w:rPr>
          <w:rFonts w:ascii="Times New Roman" w:hAnsi="Times New Roman"/>
          <w:lang w:eastAsia="zh-CN"/>
        </w:rPr>
        <w:t xml:space="preserve"> </w:t>
      </w:r>
      <w:r>
        <w:rPr>
          <w:rFonts w:ascii="Times New Roman" w:hAnsi="Times New Roman"/>
        </w:rPr>
        <w:t>(при организации и проведении уроков физической культуры с 3-х часовой недельной нагрузкой рекомендуемый объём в 1 классе – 33 часа, во 2, 3, 4 классах – по 34 часа);</w:t>
      </w:r>
    </w:p>
    <w:p w14:paraId="70D555B6">
      <w:pPr>
        <w:pBdr>
          <w:top w:val="none" w:color="000000" w:sz="0" w:space="0"/>
          <w:left w:val="none" w:color="000000" w:sz="0" w:space="0"/>
          <w:bottom w:val="none" w:color="000000" w:sz="0" w:space="0"/>
          <w:right w:val="none" w:color="000000" w:sz="0" w:space="0"/>
        </w:pBdr>
        <w:suppressAutoHyphens/>
        <w:spacing w:after="0" w:line="360" w:lineRule="auto"/>
        <w:ind w:firstLine="709"/>
        <w:jc w:val="both"/>
        <w:rPr>
          <w:rFonts w:ascii="Times New Roman" w:hAnsi="Times New Roman"/>
          <w:lang w:eastAsia="zh-CN"/>
        </w:rPr>
      </w:pPr>
      <w:r>
        <w:rPr>
          <w:rFonts w:ascii="Times New Roman" w:hAnsi="Times New Roman"/>
          <w:lang w:eastAsia="zh-CN"/>
        </w:rPr>
        <w:t>в виде дополнительных часов, выделяемых на спортивно-оздоровительную работу с обучающимися в рамках внеурочной деятельности,</w:t>
      </w:r>
      <w:r>
        <w:rPr>
          <w:rFonts w:ascii="Times New Roman" w:hAnsi="Times New Roman"/>
        </w:rPr>
        <w:t xml:space="preserve"> деятельности школьных спортивных клубов</w:t>
      </w:r>
      <w:r>
        <w:rPr>
          <w:rFonts w:ascii="Times New Roman" w:hAnsi="Times New Roman"/>
          <w:lang w:eastAsia="zh-CN"/>
        </w:rPr>
        <w:t xml:space="preserve"> </w:t>
      </w:r>
      <w:bookmarkStart w:id="288" w:name="_Hlk125550953"/>
      <w:r>
        <w:rPr>
          <w:rFonts w:ascii="Times New Roman" w:hAnsi="Times New Roman"/>
          <w:u w:color="000000"/>
        </w:rPr>
        <w:t>(</w:t>
      </w:r>
      <w:r>
        <w:rPr>
          <w:rFonts w:ascii="Times New Roman" w:hAnsi="Times New Roman"/>
        </w:rPr>
        <w:t>рекомендуемый объём в 1 классе – 33 часа, во 2, 3, 4 классах – по 34 часа).</w:t>
      </w:r>
      <w:bookmarkEnd w:id="288"/>
    </w:p>
    <w:p w14:paraId="2333C734">
      <w:pPr>
        <w:pBdr>
          <w:top w:val="none" w:color="000000" w:sz="0" w:space="0"/>
          <w:left w:val="none" w:color="000000" w:sz="0" w:space="0"/>
          <w:bottom w:val="none" w:color="000000" w:sz="0" w:space="0"/>
          <w:right w:val="none" w:color="000000" w:sz="0" w:space="0"/>
        </w:pBdr>
        <w:suppressAutoHyphens/>
        <w:spacing w:after="0" w:line="360" w:lineRule="auto"/>
        <w:ind w:firstLine="709"/>
        <w:jc w:val="both"/>
        <w:rPr>
          <w:rFonts w:ascii="Times New Roman" w:hAnsi="Times New Roman"/>
          <w:lang w:eastAsia="zh-CN"/>
        </w:rPr>
      </w:pPr>
      <w:r>
        <w:rPr>
          <w:rFonts w:ascii="Times New Roman" w:hAnsi="Times New Roman" w:eastAsia="Times New Roman"/>
          <w:bCs/>
          <w:lang w:eastAsia="zh-CN"/>
        </w:rPr>
        <w:t>16.4.</w:t>
      </w:r>
      <w:r>
        <w:rPr>
          <w:rFonts w:ascii="Times New Roman" w:hAnsi="Times New Roman"/>
          <w:lang w:eastAsia="zh-CN"/>
        </w:rPr>
        <w:t>7.6. Содержание модуля «Футбол».</w:t>
      </w:r>
    </w:p>
    <w:p w14:paraId="044A345F">
      <w:pPr>
        <w:pBdr>
          <w:top w:val="none" w:color="000000" w:sz="0" w:space="0"/>
          <w:left w:val="none" w:color="000000" w:sz="0" w:space="0"/>
          <w:bottom w:val="none" w:color="000000" w:sz="0" w:space="0"/>
          <w:right w:val="none" w:color="000000" w:sz="0" w:space="0"/>
        </w:pBdr>
        <w:suppressAutoHyphens/>
        <w:spacing w:after="0" w:line="360" w:lineRule="auto"/>
        <w:ind w:firstLine="709"/>
        <w:jc w:val="both"/>
        <w:rPr>
          <w:rFonts w:ascii="Times New Roman" w:hAnsi="Times New Roman"/>
          <w:lang w:eastAsia="zh-CN"/>
        </w:rPr>
      </w:pPr>
      <w:r>
        <w:rPr>
          <w:rFonts w:ascii="Times New Roman" w:hAnsi="Times New Roman"/>
          <w:lang w:eastAsia="zh-CN"/>
        </w:rPr>
        <w:t>Знания о футболе.</w:t>
      </w:r>
    </w:p>
    <w:p w14:paraId="180FCD24">
      <w:pPr>
        <w:pBdr>
          <w:top w:val="none" w:color="000000" w:sz="0" w:space="0"/>
          <w:left w:val="none" w:color="000000" w:sz="0" w:space="0"/>
          <w:bottom w:val="none" w:color="000000" w:sz="0" w:space="0"/>
          <w:right w:val="none" w:color="000000" w:sz="0" w:space="0"/>
        </w:pBdr>
        <w:suppressAutoHyphens/>
        <w:spacing w:after="0" w:line="360" w:lineRule="auto"/>
        <w:ind w:firstLine="709"/>
        <w:jc w:val="both"/>
        <w:rPr>
          <w:rFonts w:ascii="Times New Roman" w:hAnsi="Times New Roman"/>
          <w:lang w:eastAsia="zh-CN"/>
        </w:rPr>
      </w:pPr>
      <w:r>
        <w:rPr>
          <w:rFonts w:ascii="Times New Roman" w:hAnsi="Times New Roman" w:eastAsia="Times New Roman"/>
        </w:rPr>
        <w:t>История зарождения футбола, как вида спорта и в Российской Федерации.</w:t>
      </w:r>
    </w:p>
    <w:p w14:paraId="096D7C29">
      <w:pPr>
        <w:autoSpaceDE w:val="0"/>
        <w:autoSpaceDN w:val="0"/>
        <w:spacing w:after="0" w:line="360" w:lineRule="auto"/>
        <w:ind w:firstLine="709"/>
        <w:jc w:val="both"/>
        <w:rPr>
          <w:rFonts w:ascii="Times New Roman" w:hAnsi="Times New Roman" w:eastAsia="Times New Roman"/>
        </w:rPr>
      </w:pPr>
      <w:r>
        <w:rPr>
          <w:rFonts w:ascii="Times New Roman" w:hAnsi="Times New Roman" w:eastAsia="Times New Roman"/>
        </w:rPr>
        <w:t xml:space="preserve">Легендарные отечественные игроки, тренеры. </w:t>
      </w:r>
    </w:p>
    <w:p w14:paraId="0573F1B5">
      <w:pPr>
        <w:pBdr>
          <w:top w:val="none" w:color="000000" w:sz="0" w:space="0"/>
          <w:left w:val="none" w:color="000000" w:sz="0" w:space="0"/>
          <w:bottom w:val="none" w:color="000000" w:sz="0" w:space="0"/>
          <w:right w:val="none" w:color="000000" w:sz="0" w:space="0"/>
        </w:pBdr>
        <w:suppressAutoHyphens/>
        <w:autoSpaceDE w:val="0"/>
        <w:spacing w:after="0" w:line="360" w:lineRule="auto"/>
        <w:ind w:firstLine="709"/>
        <w:jc w:val="both"/>
        <w:rPr>
          <w:rFonts w:ascii="Times New Roman" w:hAnsi="Times New Roman" w:eastAsia="Times New Roman"/>
        </w:rPr>
      </w:pPr>
      <w:r>
        <w:rPr>
          <w:rFonts w:ascii="Times New Roman" w:hAnsi="Times New Roman" w:eastAsia="Times New Roman"/>
        </w:rPr>
        <w:t>Достижения сборных команд страны по футболу.</w:t>
      </w:r>
    </w:p>
    <w:p w14:paraId="7C739C9E">
      <w:pPr>
        <w:pBdr>
          <w:top w:val="none" w:color="000000" w:sz="0" w:space="0"/>
          <w:left w:val="none" w:color="000000" w:sz="0" w:space="0"/>
          <w:bottom w:val="none" w:color="000000" w:sz="0" w:space="0"/>
          <w:right w:val="none" w:color="000000" w:sz="0" w:space="0"/>
        </w:pBdr>
        <w:suppressAutoHyphens/>
        <w:autoSpaceDE w:val="0"/>
        <w:spacing w:after="0" w:line="360" w:lineRule="auto"/>
        <w:ind w:firstLine="709"/>
        <w:jc w:val="both"/>
        <w:rPr>
          <w:rFonts w:ascii="Times New Roman" w:hAnsi="Times New Roman" w:eastAsia="Times New Roman"/>
        </w:rPr>
      </w:pPr>
      <w:r>
        <w:rPr>
          <w:rFonts w:ascii="Times New Roman" w:hAnsi="Times New Roman" w:eastAsia="Times New Roman"/>
        </w:rPr>
        <w:t>Футбольный словарь терминов и определений. Спортивные дисциплины вида спорта «Футбол».</w:t>
      </w:r>
    </w:p>
    <w:p w14:paraId="2A833CB5">
      <w:pPr>
        <w:pBdr>
          <w:top w:val="none" w:color="000000" w:sz="0" w:space="0"/>
          <w:left w:val="none" w:color="000000" w:sz="0" w:space="0"/>
          <w:bottom w:val="none" w:color="000000" w:sz="0" w:space="0"/>
          <w:right w:val="none" w:color="000000" w:sz="0" w:space="0"/>
        </w:pBdr>
        <w:suppressAutoHyphens/>
        <w:autoSpaceDE w:val="0"/>
        <w:spacing w:after="0" w:line="360" w:lineRule="auto"/>
        <w:ind w:firstLine="709"/>
        <w:jc w:val="both"/>
        <w:rPr>
          <w:rFonts w:ascii="Times New Roman" w:hAnsi="Times New Roman" w:eastAsia="Times New Roman"/>
        </w:rPr>
      </w:pPr>
      <w:r>
        <w:rPr>
          <w:rFonts w:ascii="Times New Roman" w:hAnsi="Times New Roman" w:eastAsia="Times New Roman"/>
        </w:rPr>
        <w:t>Состав футбольной команды, функции игроков в команде, роль капитана</w:t>
      </w:r>
      <w:r>
        <w:rPr>
          <w:rFonts w:ascii="Times New Roman" w:hAnsi="Times New Roman" w:eastAsia="Times New Roman"/>
          <w:spacing w:val="-2"/>
        </w:rPr>
        <w:t xml:space="preserve"> </w:t>
      </w:r>
      <w:r>
        <w:rPr>
          <w:rFonts w:ascii="Times New Roman" w:hAnsi="Times New Roman" w:eastAsia="Times New Roman"/>
        </w:rPr>
        <w:t>команды.</w:t>
      </w:r>
    </w:p>
    <w:p w14:paraId="5A850343">
      <w:pPr>
        <w:pBdr>
          <w:top w:val="none" w:color="000000" w:sz="0" w:space="0"/>
          <w:left w:val="none" w:color="000000" w:sz="0" w:space="0"/>
          <w:bottom w:val="none" w:color="000000" w:sz="0" w:space="0"/>
          <w:right w:val="none" w:color="000000" w:sz="0" w:space="0"/>
        </w:pBdr>
        <w:suppressAutoHyphens/>
        <w:autoSpaceDE w:val="0"/>
        <w:spacing w:after="0" w:line="360" w:lineRule="auto"/>
        <w:ind w:firstLine="709"/>
        <w:jc w:val="both"/>
        <w:rPr>
          <w:rFonts w:ascii="Times New Roman" w:hAnsi="Times New Roman" w:eastAsia="Times New Roman"/>
        </w:rPr>
      </w:pPr>
      <w:r>
        <w:rPr>
          <w:rFonts w:ascii="Times New Roman" w:hAnsi="Times New Roman" w:eastAsia="Times New Roman"/>
        </w:rPr>
        <w:t>Правила безопасности и культура поведения во время посещений соревнований по футболу, правила поведения во время занятий футболом.</w:t>
      </w:r>
    </w:p>
    <w:p w14:paraId="03FA026F">
      <w:pPr>
        <w:autoSpaceDE w:val="0"/>
        <w:autoSpaceDN w:val="0"/>
        <w:spacing w:after="0" w:line="360" w:lineRule="auto"/>
        <w:ind w:firstLine="709"/>
        <w:jc w:val="both"/>
        <w:rPr>
          <w:rFonts w:ascii="Times New Roman" w:hAnsi="Times New Roman" w:eastAsia="Times New Roman"/>
        </w:rPr>
      </w:pPr>
      <w:r>
        <w:rPr>
          <w:rFonts w:ascii="Times New Roman" w:hAnsi="Times New Roman" w:eastAsia="Times New Roman"/>
        </w:rPr>
        <w:t>Футбол, как средство укрепления здоровья, закаливания и развития физических качеств.</w:t>
      </w:r>
    </w:p>
    <w:p w14:paraId="3B77A7AB">
      <w:pPr>
        <w:autoSpaceDE w:val="0"/>
        <w:autoSpaceDN w:val="0"/>
        <w:spacing w:after="0" w:line="360" w:lineRule="auto"/>
        <w:ind w:firstLine="709"/>
        <w:jc w:val="both"/>
        <w:rPr>
          <w:rFonts w:ascii="Times New Roman" w:hAnsi="Times New Roman" w:eastAsia="Times New Roman"/>
        </w:rPr>
      </w:pPr>
      <w:r>
        <w:rPr>
          <w:rFonts w:ascii="Times New Roman" w:hAnsi="Times New Roman" w:eastAsia="Times New Roman"/>
        </w:rPr>
        <w:t xml:space="preserve">Правила личной гигиены во время занятий футболом. Требование к спортивной одежде и обуви, спортивному инвентарю. </w:t>
      </w:r>
    </w:p>
    <w:p w14:paraId="0C9C1B8E">
      <w:pPr>
        <w:autoSpaceDE w:val="0"/>
        <w:autoSpaceDN w:val="0"/>
        <w:spacing w:after="0" w:line="360" w:lineRule="auto"/>
        <w:ind w:firstLine="709"/>
        <w:jc w:val="both"/>
        <w:rPr>
          <w:rFonts w:ascii="Times New Roman" w:hAnsi="Times New Roman" w:eastAsia="Times New Roman"/>
        </w:rPr>
      </w:pPr>
      <w:r>
        <w:rPr>
          <w:rFonts w:ascii="Times New Roman" w:hAnsi="Times New Roman" w:eastAsia="Times New Roman"/>
        </w:rPr>
        <w:t>Способы самостоятельной деятельности.</w:t>
      </w:r>
    </w:p>
    <w:p w14:paraId="6DB449AA">
      <w:pPr>
        <w:autoSpaceDE w:val="0"/>
        <w:autoSpaceDN w:val="0"/>
        <w:spacing w:after="0" w:line="360" w:lineRule="auto"/>
        <w:ind w:firstLine="709"/>
        <w:jc w:val="both"/>
        <w:rPr>
          <w:rFonts w:ascii="Times New Roman" w:hAnsi="Times New Roman" w:eastAsia="Times New Roman"/>
        </w:rPr>
      </w:pPr>
      <w:r>
        <w:rPr>
          <w:rFonts w:ascii="Times New Roman" w:hAnsi="Times New Roman" w:eastAsia="Times New Roman"/>
        </w:rPr>
        <w:t>Соблюдение личной гигиены, требований к спортивной одежде и обуви для занятий футболом.</w:t>
      </w:r>
    </w:p>
    <w:p w14:paraId="6F53F528">
      <w:pPr>
        <w:autoSpaceDE w:val="0"/>
        <w:autoSpaceDN w:val="0"/>
        <w:spacing w:after="0" w:line="360" w:lineRule="auto"/>
        <w:ind w:firstLine="709"/>
        <w:jc w:val="both"/>
        <w:rPr>
          <w:rFonts w:ascii="Times New Roman" w:hAnsi="Times New Roman" w:eastAsia="Times New Roman"/>
        </w:rPr>
      </w:pPr>
      <w:r>
        <w:rPr>
          <w:rFonts w:ascii="Times New Roman" w:hAnsi="Times New Roman" w:eastAsia="Times New Roman"/>
        </w:rPr>
        <w:t>Первые внешние признаки утомления. Способы самоконтроля за физической нагрузкой, соблюдение питьевого режима.</w:t>
      </w:r>
    </w:p>
    <w:p w14:paraId="0EB45436">
      <w:pPr>
        <w:autoSpaceDE w:val="0"/>
        <w:autoSpaceDN w:val="0"/>
        <w:spacing w:after="0" w:line="360" w:lineRule="auto"/>
        <w:ind w:firstLine="709"/>
        <w:jc w:val="both"/>
        <w:rPr>
          <w:rFonts w:ascii="Times New Roman" w:hAnsi="Times New Roman" w:eastAsia="Times New Roman"/>
        </w:rPr>
      </w:pPr>
      <w:r>
        <w:rPr>
          <w:rFonts w:ascii="Times New Roman" w:hAnsi="Times New Roman" w:eastAsia="Times New Roman"/>
        </w:rPr>
        <w:t>Уход за спортивным инвентарем и оборудованием при занятиях футболом. Основы организации самостоятельных занятий футболом.</w:t>
      </w:r>
    </w:p>
    <w:p w14:paraId="2141B099">
      <w:pPr>
        <w:autoSpaceDE w:val="0"/>
        <w:autoSpaceDN w:val="0"/>
        <w:spacing w:after="0" w:line="360" w:lineRule="auto"/>
        <w:ind w:firstLine="709"/>
        <w:jc w:val="both"/>
        <w:rPr>
          <w:rFonts w:ascii="Times New Roman" w:hAnsi="Times New Roman" w:eastAsia="Times New Roman"/>
        </w:rPr>
      </w:pPr>
      <w:r>
        <w:rPr>
          <w:rFonts w:ascii="Times New Roman" w:hAnsi="Times New Roman" w:eastAsia="Times New Roman"/>
        </w:rPr>
        <w:t>Организация и проведение подвижных игр с элементами футбола со сверстниками в активной досуговой деятельности.</w:t>
      </w:r>
    </w:p>
    <w:p w14:paraId="620879BD">
      <w:pPr>
        <w:pBdr>
          <w:top w:val="none" w:color="000000" w:sz="0" w:space="0"/>
          <w:left w:val="none" w:color="000000" w:sz="0" w:space="0"/>
          <w:bottom w:val="none" w:color="000000" w:sz="0" w:space="0"/>
          <w:right w:val="none" w:color="000000" w:sz="0" w:space="0"/>
        </w:pBdr>
        <w:suppressAutoHyphens/>
        <w:autoSpaceDE w:val="0"/>
        <w:spacing w:after="0" w:line="360" w:lineRule="auto"/>
        <w:ind w:firstLine="709"/>
        <w:jc w:val="both"/>
        <w:rPr>
          <w:rFonts w:ascii="Times New Roman" w:hAnsi="Times New Roman"/>
          <w:u w:color="000000"/>
          <w:lang w:eastAsia="ru-RU"/>
        </w:rPr>
      </w:pPr>
      <w:r>
        <w:rPr>
          <w:rFonts w:ascii="Times New Roman" w:hAnsi="Times New Roman" w:eastAsia="Times New Roman"/>
        </w:rPr>
        <w:t>Составление комплексов различной направленности: утренней, корригирующей и дыхательной гимнастики, упражнений для профилактики плоскостопия и развития физических качеств.</w:t>
      </w:r>
    </w:p>
    <w:p w14:paraId="53A97C48">
      <w:pPr>
        <w:pBdr>
          <w:top w:val="none" w:color="000000" w:sz="0" w:space="0"/>
          <w:left w:val="none" w:color="000000" w:sz="0" w:space="0"/>
          <w:bottom w:val="none" w:color="000000" w:sz="0" w:space="0"/>
          <w:right w:val="none" w:color="000000" w:sz="0" w:space="0"/>
        </w:pBdr>
        <w:suppressAutoHyphens/>
        <w:autoSpaceDE w:val="0"/>
        <w:spacing w:after="0" w:line="360" w:lineRule="auto"/>
        <w:ind w:firstLine="709"/>
        <w:jc w:val="both"/>
        <w:rPr>
          <w:rFonts w:ascii="Times New Roman" w:hAnsi="Times New Roman" w:eastAsia="Times New Roman"/>
        </w:rPr>
      </w:pPr>
      <w:r>
        <w:rPr>
          <w:rFonts w:ascii="Times New Roman" w:hAnsi="Times New Roman" w:eastAsia="Times New Roman"/>
        </w:rPr>
        <w:t>Причины возникновения ошибок при выполнении технических приёмов и способы их устранения.</w:t>
      </w:r>
    </w:p>
    <w:p w14:paraId="1F192342">
      <w:pPr>
        <w:pBdr>
          <w:top w:val="none" w:color="000000" w:sz="0" w:space="0"/>
          <w:left w:val="none" w:color="000000" w:sz="0" w:space="0"/>
          <w:bottom w:val="none" w:color="000000" w:sz="0" w:space="0"/>
          <w:right w:val="none" w:color="000000" w:sz="0" w:space="0"/>
        </w:pBdr>
        <w:suppressAutoHyphens/>
        <w:autoSpaceDE w:val="0"/>
        <w:spacing w:after="0" w:line="360" w:lineRule="auto"/>
        <w:ind w:firstLine="709"/>
        <w:jc w:val="both"/>
        <w:rPr>
          <w:rFonts w:ascii="Times New Roman" w:hAnsi="Times New Roman"/>
          <w:u w:color="000000"/>
          <w:lang w:eastAsia="ru-RU"/>
        </w:rPr>
      </w:pPr>
      <w:r>
        <w:rPr>
          <w:rFonts w:ascii="Times New Roman" w:hAnsi="Times New Roman" w:eastAsia="Times New Roman"/>
        </w:rPr>
        <w:t>Тестирование уровня физической и технической подготовленности в футболе.</w:t>
      </w:r>
    </w:p>
    <w:p w14:paraId="7138B980">
      <w:pPr>
        <w:pBdr>
          <w:top w:val="none" w:color="000000" w:sz="0" w:space="0"/>
          <w:left w:val="none" w:color="000000" w:sz="0" w:space="0"/>
          <w:bottom w:val="none" w:color="000000" w:sz="0" w:space="0"/>
          <w:right w:val="none" w:color="000000" w:sz="0" w:space="0"/>
        </w:pBdr>
        <w:suppressAutoHyphens/>
        <w:autoSpaceDE w:val="0"/>
        <w:spacing w:after="0" w:line="360" w:lineRule="auto"/>
        <w:ind w:firstLine="709"/>
        <w:jc w:val="both"/>
        <w:rPr>
          <w:rFonts w:ascii="Times New Roman" w:hAnsi="Times New Roman" w:eastAsia="Times New Roman"/>
        </w:rPr>
      </w:pPr>
      <w:r>
        <w:rPr>
          <w:rFonts w:ascii="Times New Roman" w:hAnsi="Times New Roman" w:eastAsia="Times New Roman"/>
        </w:rPr>
        <w:t>Физическое совершенствование.</w:t>
      </w:r>
    </w:p>
    <w:p w14:paraId="350BD22F">
      <w:pPr>
        <w:pBdr>
          <w:top w:val="none" w:color="000000" w:sz="0" w:space="0"/>
          <w:left w:val="none" w:color="000000" w:sz="0" w:space="0"/>
          <w:bottom w:val="none" w:color="000000" w:sz="0" w:space="0"/>
          <w:right w:val="none" w:color="000000" w:sz="0" w:space="0"/>
        </w:pBdr>
        <w:suppressAutoHyphens/>
        <w:autoSpaceDE w:val="0"/>
        <w:spacing w:after="0" w:line="360" w:lineRule="auto"/>
        <w:ind w:firstLine="709"/>
        <w:jc w:val="both"/>
        <w:rPr>
          <w:rFonts w:ascii="Times New Roman" w:hAnsi="Times New Roman" w:eastAsia="Times New Roman"/>
        </w:rPr>
      </w:pPr>
      <w:r>
        <w:rPr>
          <w:rFonts w:ascii="Times New Roman" w:hAnsi="Times New Roman" w:eastAsia="Times New Roman"/>
        </w:rPr>
        <w:t xml:space="preserve">Комплексы общеразвивающих и корригирующих упражнений с мячом и без мяча. Техника передвижения и специально-беговые упражнения. </w:t>
      </w:r>
    </w:p>
    <w:p w14:paraId="6784044E">
      <w:pPr>
        <w:pBdr>
          <w:top w:val="none" w:color="000000" w:sz="0" w:space="0"/>
          <w:left w:val="none" w:color="000000" w:sz="0" w:space="0"/>
          <w:bottom w:val="none" w:color="000000" w:sz="0" w:space="0"/>
          <w:right w:val="none" w:color="000000" w:sz="0" w:space="0"/>
        </w:pBdr>
        <w:suppressAutoHyphens/>
        <w:autoSpaceDE w:val="0"/>
        <w:spacing w:after="0" w:line="360" w:lineRule="auto"/>
        <w:ind w:firstLine="709"/>
        <w:jc w:val="both"/>
        <w:rPr>
          <w:rFonts w:ascii="Times New Roman" w:hAnsi="Times New Roman" w:eastAsia="Times New Roman"/>
        </w:rPr>
      </w:pPr>
      <w:r>
        <w:rPr>
          <w:rFonts w:ascii="Times New Roman" w:hAnsi="Times New Roman" w:eastAsia="Times New Roman"/>
        </w:rPr>
        <w:t>Комплексы специальных упражнений для развития физических качеств, технических приемов и упражнений на частоту движений ног.</w:t>
      </w:r>
    </w:p>
    <w:p w14:paraId="5179789B">
      <w:pPr>
        <w:pBdr>
          <w:top w:val="none" w:color="000000" w:sz="0" w:space="0"/>
          <w:left w:val="none" w:color="000000" w:sz="0" w:space="0"/>
          <w:bottom w:val="none" w:color="000000" w:sz="0" w:space="0"/>
          <w:right w:val="none" w:color="000000" w:sz="0" w:space="0"/>
        </w:pBdr>
        <w:suppressAutoHyphens/>
        <w:autoSpaceDE w:val="0"/>
        <w:spacing w:after="0" w:line="360" w:lineRule="auto"/>
        <w:ind w:firstLine="709"/>
        <w:jc w:val="both"/>
        <w:rPr>
          <w:rFonts w:ascii="Times New Roman" w:hAnsi="Times New Roman" w:eastAsia="Times New Roman"/>
        </w:rPr>
      </w:pPr>
      <w:r>
        <w:rPr>
          <w:rFonts w:ascii="Times New Roman" w:hAnsi="Times New Roman" w:eastAsia="Times New Roman"/>
        </w:rPr>
        <w:t>Подвижные игры без мячей и с мячами. Подвижные игры и эстафеты специальной направленности с элементами футбола.</w:t>
      </w:r>
    </w:p>
    <w:p w14:paraId="58ED7078">
      <w:pPr>
        <w:spacing w:after="0" w:line="360" w:lineRule="auto"/>
        <w:ind w:firstLine="709"/>
        <w:jc w:val="both"/>
        <w:rPr>
          <w:rFonts w:ascii="Times New Roman" w:hAnsi="Times New Roman" w:eastAsia="Times New Roman"/>
        </w:rPr>
      </w:pPr>
      <w:bookmarkStart w:id="289" w:name="_Hlk125045334"/>
      <w:r>
        <w:rPr>
          <w:rFonts w:ascii="Times New Roman" w:hAnsi="Times New Roman" w:eastAsia="Times New Roman"/>
        </w:rPr>
        <w:t>Индивидуальные технические действия с мячом:</w:t>
      </w:r>
      <w:bookmarkEnd w:id="289"/>
    </w:p>
    <w:p w14:paraId="1EE07784">
      <w:pPr>
        <w:pBdr>
          <w:top w:val="none" w:color="000000" w:sz="0" w:space="0"/>
          <w:left w:val="none" w:color="000000" w:sz="0" w:space="0"/>
          <w:bottom w:val="none" w:color="000000" w:sz="0" w:space="0"/>
          <w:right w:val="none" w:color="000000" w:sz="0" w:space="0"/>
        </w:pBdr>
        <w:suppressAutoHyphens/>
        <w:autoSpaceDE w:val="0"/>
        <w:spacing w:after="0" w:line="360" w:lineRule="auto"/>
        <w:ind w:firstLine="709"/>
        <w:jc w:val="both"/>
        <w:rPr>
          <w:rFonts w:ascii="Times New Roman" w:hAnsi="Times New Roman" w:eastAsia="Times New Roman"/>
        </w:rPr>
      </w:pPr>
      <w:r>
        <w:rPr>
          <w:rFonts w:ascii="Times New Roman" w:hAnsi="Times New Roman" w:eastAsia="Times New Roman"/>
        </w:rPr>
        <w:t xml:space="preserve">ведение мяча ногой </w:t>
      </w:r>
      <w:bookmarkStart w:id="290" w:name="_Hlk125045362"/>
      <w:r>
        <w:rPr>
          <w:rFonts w:ascii="Times New Roman" w:hAnsi="Times New Roman" w:eastAsia="Times New Roman"/>
        </w:rPr>
        <w:t>–</w:t>
      </w:r>
      <w:bookmarkEnd w:id="290"/>
      <w:r>
        <w:rPr>
          <w:rFonts w:ascii="Times New Roman" w:hAnsi="Times New Roman" w:eastAsia="Times New Roman"/>
        </w:rPr>
        <w:t xml:space="preserve"> внутренней частью подъема, внешней частью подъема, средней частью подъема, внутренней стороной стопы;</w:t>
      </w:r>
    </w:p>
    <w:p w14:paraId="250C7834">
      <w:pPr>
        <w:pBdr>
          <w:top w:val="none" w:color="000000" w:sz="0" w:space="0"/>
          <w:left w:val="none" w:color="000000" w:sz="0" w:space="0"/>
          <w:bottom w:val="none" w:color="000000" w:sz="0" w:space="0"/>
          <w:right w:val="none" w:color="000000" w:sz="0" w:space="0"/>
        </w:pBdr>
        <w:suppressAutoHyphens/>
        <w:autoSpaceDE w:val="0"/>
        <w:spacing w:after="0" w:line="360" w:lineRule="auto"/>
        <w:ind w:firstLine="709"/>
        <w:jc w:val="both"/>
        <w:rPr>
          <w:rFonts w:ascii="Times New Roman" w:hAnsi="Times New Roman" w:eastAsia="Times New Roman"/>
        </w:rPr>
      </w:pPr>
      <w:r>
        <w:rPr>
          <w:rFonts w:ascii="Times New Roman" w:hAnsi="Times New Roman" w:eastAsia="Times New Roman"/>
        </w:rPr>
        <w:t>развороты с мячом – подошвой, внешней стороной стопы, внутренней стороной стопы;</w:t>
      </w:r>
    </w:p>
    <w:p w14:paraId="34C6BE78">
      <w:pPr>
        <w:autoSpaceDE w:val="0"/>
        <w:autoSpaceDN w:val="0"/>
        <w:spacing w:after="0" w:line="360" w:lineRule="auto"/>
        <w:ind w:firstLine="709"/>
        <w:jc w:val="both"/>
        <w:rPr>
          <w:rFonts w:ascii="Times New Roman" w:hAnsi="Times New Roman" w:eastAsia="Times New Roman"/>
        </w:rPr>
      </w:pPr>
      <w:r>
        <w:rPr>
          <w:rFonts w:ascii="Times New Roman" w:hAnsi="Times New Roman" w:eastAsia="Times New Roman"/>
        </w:rPr>
        <w:t>удары по мячу ногой – внутренней стороной стопы, средней частью подъема,</w:t>
      </w:r>
    </w:p>
    <w:p w14:paraId="04386E87">
      <w:pPr>
        <w:pBdr>
          <w:top w:val="none" w:color="000000" w:sz="0" w:space="0"/>
          <w:left w:val="none" w:color="000000" w:sz="0" w:space="0"/>
          <w:bottom w:val="none" w:color="000000" w:sz="0" w:space="0"/>
          <w:right w:val="none" w:color="000000" w:sz="0" w:space="0"/>
        </w:pBdr>
        <w:suppressAutoHyphens/>
        <w:autoSpaceDE w:val="0"/>
        <w:spacing w:after="0" w:line="360" w:lineRule="auto"/>
        <w:jc w:val="both"/>
        <w:rPr>
          <w:rFonts w:ascii="Times New Roman" w:hAnsi="Times New Roman" w:eastAsia="Times New Roman"/>
        </w:rPr>
      </w:pPr>
      <w:r>
        <w:rPr>
          <w:rFonts w:ascii="Times New Roman" w:hAnsi="Times New Roman" w:eastAsia="Times New Roman"/>
        </w:rPr>
        <w:t>внутренней частью подъема;</w:t>
      </w:r>
    </w:p>
    <w:p w14:paraId="218DE2B9">
      <w:pPr>
        <w:pBdr>
          <w:top w:val="none" w:color="000000" w:sz="0" w:space="0"/>
          <w:left w:val="none" w:color="000000" w:sz="0" w:space="0"/>
          <w:bottom w:val="none" w:color="000000" w:sz="0" w:space="0"/>
          <w:right w:val="none" w:color="000000" w:sz="0" w:space="0"/>
        </w:pBdr>
        <w:suppressAutoHyphens/>
        <w:autoSpaceDE w:val="0"/>
        <w:spacing w:after="0" w:line="360" w:lineRule="auto"/>
        <w:ind w:firstLine="709"/>
        <w:jc w:val="both"/>
        <w:rPr>
          <w:rFonts w:ascii="Times New Roman" w:hAnsi="Times New Roman" w:eastAsia="Times New Roman"/>
        </w:rPr>
      </w:pPr>
      <w:r>
        <w:rPr>
          <w:rFonts w:ascii="Times New Roman" w:hAnsi="Times New Roman" w:eastAsia="Times New Roman"/>
        </w:rPr>
        <w:t>остановка мяча ногой – подошвой, внутренней стороной стопы;</w:t>
      </w:r>
    </w:p>
    <w:p w14:paraId="3A49C3A1">
      <w:pPr>
        <w:pBdr>
          <w:top w:val="none" w:color="000000" w:sz="0" w:space="0"/>
          <w:left w:val="none" w:color="000000" w:sz="0" w:space="0"/>
          <w:bottom w:val="none" w:color="000000" w:sz="0" w:space="0"/>
          <w:right w:val="none" w:color="000000" w:sz="0" w:space="0"/>
        </w:pBdr>
        <w:suppressAutoHyphens/>
        <w:autoSpaceDE w:val="0"/>
        <w:spacing w:after="0" w:line="360" w:lineRule="auto"/>
        <w:ind w:firstLine="709"/>
        <w:jc w:val="both"/>
        <w:rPr>
          <w:rFonts w:ascii="Times New Roman" w:hAnsi="Times New Roman" w:eastAsia="Times New Roman"/>
        </w:rPr>
      </w:pPr>
      <w:r>
        <w:rPr>
          <w:rFonts w:ascii="Times New Roman" w:hAnsi="Times New Roman" w:eastAsia="Times New Roman"/>
        </w:rPr>
        <w:t>обманные движения («финты») – «остановка» мяча ногой, «уход» в сторону.</w:t>
      </w:r>
    </w:p>
    <w:p w14:paraId="6702E065">
      <w:pPr>
        <w:pBdr>
          <w:top w:val="none" w:color="000000" w:sz="0" w:space="0"/>
          <w:left w:val="none" w:color="000000" w:sz="0" w:space="0"/>
          <w:bottom w:val="none" w:color="000000" w:sz="0" w:space="0"/>
          <w:right w:val="none" w:color="000000" w:sz="0" w:space="0"/>
        </w:pBdr>
        <w:suppressAutoHyphens/>
        <w:autoSpaceDE w:val="0"/>
        <w:spacing w:after="0" w:line="360" w:lineRule="auto"/>
        <w:ind w:firstLine="709"/>
        <w:jc w:val="both"/>
        <w:rPr>
          <w:rFonts w:ascii="Times New Roman" w:hAnsi="Times New Roman" w:eastAsia="Times New Roman"/>
        </w:rPr>
      </w:pPr>
      <w:r>
        <w:rPr>
          <w:rFonts w:ascii="Times New Roman" w:hAnsi="Times New Roman" w:eastAsia="Times New Roman"/>
        </w:rPr>
        <w:t>Игровые упражнения в парах, в</w:t>
      </w:r>
      <w:r>
        <w:rPr>
          <w:rFonts w:ascii="Times New Roman" w:hAnsi="Times New Roman" w:eastAsia="Times New Roman"/>
          <w:spacing w:val="-19"/>
        </w:rPr>
        <w:t xml:space="preserve"> </w:t>
      </w:r>
      <w:r>
        <w:rPr>
          <w:rFonts w:ascii="Times New Roman" w:hAnsi="Times New Roman" w:eastAsia="Times New Roman"/>
        </w:rPr>
        <w:t xml:space="preserve">тройках и тактические действия </w:t>
      </w:r>
      <w:bookmarkStart w:id="291" w:name="_Hlk125112646"/>
      <w:r>
        <w:rPr>
          <w:rFonts w:ascii="Times New Roman" w:hAnsi="Times New Roman" w:eastAsia="Times New Roman"/>
        </w:rPr>
        <w:t>(в процессе учебной игры и соревновательной деятельности).</w:t>
      </w:r>
      <w:bookmarkEnd w:id="291"/>
      <w:r>
        <w:rPr>
          <w:rFonts w:ascii="Times New Roman" w:hAnsi="Times New Roman" w:eastAsia="Times New Roman"/>
        </w:rPr>
        <w:t xml:space="preserve"> Игра в футбол по упрощенным правилам.</w:t>
      </w:r>
    </w:p>
    <w:p w14:paraId="7CB30B6B">
      <w:pPr>
        <w:pBdr>
          <w:top w:val="none" w:color="000000" w:sz="0" w:space="0"/>
          <w:left w:val="none" w:color="000000" w:sz="0" w:space="0"/>
          <w:bottom w:val="none" w:color="000000" w:sz="0" w:space="0"/>
          <w:right w:val="none" w:color="000000" w:sz="0" w:space="0"/>
        </w:pBdr>
        <w:suppressAutoHyphens/>
        <w:autoSpaceDE w:val="0"/>
        <w:spacing w:after="0" w:line="360" w:lineRule="auto"/>
        <w:ind w:firstLine="709"/>
        <w:jc w:val="both"/>
        <w:rPr>
          <w:rFonts w:ascii="Times New Roman" w:hAnsi="Times New Roman" w:eastAsia="Times New Roman"/>
        </w:rPr>
      </w:pPr>
      <w:r>
        <w:rPr>
          <w:rFonts w:ascii="Times New Roman" w:hAnsi="Times New Roman" w:eastAsia="Times New Roman"/>
        </w:rPr>
        <w:t>Учебные игры, участие в фестивалях и соревновательных по футболу.</w:t>
      </w:r>
    </w:p>
    <w:p w14:paraId="45029654">
      <w:pPr>
        <w:pBdr>
          <w:top w:val="none" w:color="000000" w:sz="0" w:space="0"/>
          <w:left w:val="none" w:color="000000" w:sz="0" w:space="0"/>
          <w:bottom w:val="none" w:color="000000" w:sz="0" w:space="0"/>
          <w:right w:val="none" w:color="000000" w:sz="0" w:space="0"/>
        </w:pBdr>
        <w:suppressAutoHyphens/>
        <w:autoSpaceDE w:val="0"/>
        <w:spacing w:after="0" w:line="360" w:lineRule="auto"/>
        <w:ind w:firstLine="709"/>
        <w:jc w:val="both"/>
        <w:rPr>
          <w:rFonts w:ascii="Times New Roman" w:hAnsi="Times New Roman"/>
          <w:lang w:eastAsia="ru-RU"/>
        </w:rPr>
      </w:pPr>
      <w:r>
        <w:rPr>
          <w:rFonts w:ascii="Times New Roman" w:hAnsi="Times New Roman" w:eastAsia="Times New Roman"/>
        </w:rPr>
        <w:t xml:space="preserve">Тестовые упражнения по физической и технической подготовленности обучающихся в футболе. </w:t>
      </w:r>
    </w:p>
    <w:p w14:paraId="172868F7">
      <w:pPr>
        <w:pBdr>
          <w:top w:val="none" w:color="000000" w:sz="0" w:space="0"/>
          <w:left w:val="none" w:color="000000" w:sz="0" w:space="0"/>
          <w:bottom w:val="none" w:color="000000" w:sz="0" w:space="0"/>
          <w:right w:val="none" w:color="000000" w:sz="0" w:space="0"/>
        </w:pBdr>
        <w:suppressAutoHyphens/>
        <w:autoSpaceDE w:val="0"/>
        <w:spacing w:after="0" w:line="360" w:lineRule="auto"/>
        <w:ind w:firstLine="709"/>
        <w:jc w:val="both"/>
        <w:rPr>
          <w:rFonts w:ascii="Times New Roman" w:hAnsi="Times New Roman"/>
          <w:u w:color="000000"/>
          <w:lang w:eastAsia="ru-RU"/>
        </w:rPr>
      </w:pPr>
      <w:r>
        <w:rPr>
          <w:rFonts w:ascii="Times New Roman" w:hAnsi="Times New Roman" w:eastAsia="Times New Roman"/>
          <w:bCs/>
          <w:lang w:eastAsia="zh-CN"/>
        </w:rPr>
        <w:t>16.4.</w:t>
      </w:r>
      <w:r>
        <w:rPr>
          <w:rFonts w:ascii="Times New Roman" w:hAnsi="Times New Roman" w:eastAsia="Times New Roman"/>
        </w:rPr>
        <w:t>7.7. </w:t>
      </w:r>
      <w:r>
        <w:rPr>
          <w:rFonts w:ascii="Times New Roman" w:hAnsi="Times New Roman"/>
          <w:u w:color="000000"/>
          <w:lang w:eastAsia="ru-RU"/>
        </w:rPr>
        <w:t>Содержание учебного модуля «Футбол» направлено на достижение обучающимися личностных, метапредметных и предметных результатов обучения.</w:t>
      </w:r>
    </w:p>
    <w:p w14:paraId="4E8180F7">
      <w:pPr>
        <w:spacing w:after="0" w:line="360" w:lineRule="auto"/>
        <w:ind w:firstLine="709"/>
        <w:jc w:val="both"/>
        <w:rPr>
          <w:rFonts w:ascii="Times New Roman" w:hAnsi="Times New Roman"/>
          <w:u w:color="000000"/>
          <w:lang w:eastAsia="zh-CN"/>
        </w:rPr>
      </w:pPr>
      <w:r>
        <w:rPr>
          <w:rFonts w:ascii="Times New Roman" w:hAnsi="Times New Roman" w:eastAsia="Times New Roman"/>
          <w:bCs/>
          <w:lang w:eastAsia="zh-CN"/>
        </w:rPr>
        <w:t>16.4.</w:t>
      </w:r>
      <w:r>
        <w:rPr>
          <w:rFonts w:ascii="Times New Roman" w:hAnsi="Times New Roman" w:eastAsia="Times New Roman"/>
        </w:rPr>
        <w:t>7.7.1.</w:t>
      </w:r>
      <w:r>
        <w:rPr>
          <w:rFonts w:ascii="Times New Roman" w:hAnsi="Times New Roman"/>
          <w:u w:color="000000"/>
          <w:lang w:eastAsia="zh-CN"/>
        </w:rPr>
        <w:t> При изучении учебного модуля «Футбол» на уровне начального общего образования у обучающихся будут сформированы следующие личностные результаты:</w:t>
      </w:r>
    </w:p>
    <w:p w14:paraId="0D00E730">
      <w:pPr>
        <w:autoSpaceDE w:val="0"/>
        <w:autoSpaceDN w:val="0"/>
        <w:spacing w:after="0" w:line="360" w:lineRule="auto"/>
        <w:ind w:firstLine="709"/>
        <w:jc w:val="both"/>
        <w:rPr>
          <w:rFonts w:ascii="Times New Roman" w:hAnsi="Times New Roman" w:eastAsia="Times New Roman"/>
        </w:rPr>
      </w:pPr>
      <w:r>
        <w:rPr>
          <w:rFonts w:ascii="Times New Roman" w:hAnsi="Times New Roman" w:eastAsia="Times New Roman"/>
        </w:rPr>
        <w:t>проявление патриотизма, чувства гордости, уважения к Отечеству через знания истории о достижениях сборных команд страны по футболу и современного состояния развития футбола в Российской Федерации;</w:t>
      </w:r>
    </w:p>
    <w:p w14:paraId="2DF32419">
      <w:pPr>
        <w:autoSpaceDE w:val="0"/>
        <w:autoSpaceDN w:val="0"/>
        <w:adjustRightInd w:val="0"/>
        <w:spacing w:after="0" w:line="360" w:lineRule="auto"/>
        <w:ind w:firstLine="709"/>
        <w:jc w:val="both"/>
        <w:rPr>
          <w:rFonts w:ascii="Times New Roman" w:hAnsi="Times New Roman" w:eastAsia="HiddenHorzOCR"/>
          <w:u w:color="000000"/>
          <w:lang w:eastAsia="ru-RU"/>
        </w:rPr>
      </w:pPr>
      <w:r>
        <w:rPr>
          <w:rFonts w:ascii="Times New Roman" w:hAnsi="Times New Roman" w:eastAsia="Times New Roman"/>
        </w:rPr>
        <w:t>проявление уважительного отношения к сверстникам, культуры общения и взаимодействия, терпимости в достижении общих целей при совместной деятельности на принципах доброжелательности и</w:t>
      </w:r>
      <w:r>
        <w:rPr>
          <w:rFonts w:ascii="Times New Roman" w:hAnsi="Times New Roman" w:eastAsia="Times New Roman"/>
          <w:spacing w:val="1"/>
        </w:rPr>
        <w:t xml:space="preserve"> </w:t>
      </w:r>
      <w:r>
        <w:rPr>
          <w:rFonts w:ascii="Times New Roman" w:hAnsi="Times New Roman" w:eastAsia="Times New Roman"/>
        </w:rPr>
        <w:t xml:space="preserve">взаимопомощи, </w:t>
      </w:r>
      <w:r>
        <w:rPr>
          <w:rFonts w:ascii="Times New Roman" w:hAnsi="Times New Roman" w:eastAsia="HiddenHorzOCR"/>
          <w:u w:color="000000"/>
          <w:lang w:eastAsia="ru-RU"/>
        </w:rPr>
        <w:t>умение не создавать конфликтов и находить выходы из спорных ситуаций;</w:t>
      </w:r>
    </w:p>
    <w:p w14:paraId="2C3CAF66">
      <w:pPr>
        <w:autoSpaceDE w:val="0"/>
        <w:autoSpaceDN w:val="0"/>
        <w:spacing w:after="0" w:line="360" w:lineRule="auto"/>
        <w:ind w:firstLine="709"/>
        <w:jc w:val="both"/>
        <w:rPr>
          <w:rFonts w:ascii="Times New Roman" w:hAnsi="Times New Roman" w:eastAsia="Times New Roman"/>
        </w:rPr>
      </w:pPr>
      <w:r>
        <w:rPr>
          <w:rFonts w:ascii="Times New Roman" w:hAnsi="Times New Roman" w:eastAsia="Times New Roman"/>
        </w:rPr>
        <w:t>проявление положительных качеств личности и управление своими эмоциями в различных (нестандартных) ситуациях, дисциплинированности, трудолюбия и упорства достижении поставленных целей;</w:t>
      </w:r>
    </w:p>
    <w:p w14:paraId="2F37FBF4">
      <w:pPr>
        <w:autoSpaceDE w:val="0"/>
        <w:autoSpaceDN w:val="0"/>
        <w:spacing w:after="0" w:line="360" w:lineRule="auto"/>
        <w:ind w:firstLine="709"/>
        <w:jc w:val="both"/>
        <w:rPr>
          <w:rFonts w:ascii="Times New Roman" w:hAnsi="Times New Roman" w:eastAsia="Times New Roman"/>
        </w:rPr>
      </w:pPr>
      <w:r>
        <w:rPr>
          <w:rFonts w:ascii="Times New Roman" w:hAnsi="Times New Roman" w:eastAsia="Times New Roman"/>
        </w:rPr>
        <w:t>понимание установки на безопасный, здоровый образ жизни, наличие мотивации к творческому труду, работе на результат, бережному отношению к материальным и духовным ценностям;</w:t>
      </w:r>
    </w:p>
    <w:p w14:paraId="75344AE8">
      <w:pPr>
        <w:pBdr>
          <w:top w:val="none" w:color="auto" w:sz="0" w:space="0"/>
          <w:left w:val="none" w:color="auto" w:sz="0" w:space="0"/>
          <w:bottom w:val="none" w:color="auto" w:sz="0" w:space="0"/>
          <w:right w:val="none" w:color="auto" w:sz="0" w:space="0"/>
          <w:between w:val="none" w:color="auto" w:sz="0" w:space="0"/>
        </w:pBdr>
        <w:spacing w:after="0" w:line="360" w:lineRule="auto"/>
        <w:ind w:firstLine="709"/>
        <w:jc w:val="both"/>
        <w:rPr>
          <w:rFonts w:ascii="Times New Roman" w:hAnsi="Times New Roman"/>
          <w:u w:color="000000"/>
          <w:lang w:eastAsia="ru-RU"/>
        </w:rPr>
      </w:pPr>
      <w:r>
        <w:rPr>
          <w:rFonts w:ascii="Times New Roman" w:hAnsi="Times New Roman"/>
          <w:u w:color="000000"/>
          <w:lang w:eastAsia="ru-RU"/>
        </w:rPr>
        <w:t>проявление осознанного и ответственного отношения к собственным поступкам, моральной компетентности в решении проблем в процессе занятий физической культурой, игровой и соревновательной деятельности по футболу.</w:t>
      </w:r>
    </w:p>
    <w:p w14:paraId="30219F57">
      <w:pPr>
        <w:spacing w:after="0" w:line="360" w:lineRule="auto"/>
        <w:ind w:firstLine="709"/>
        <w:jc w:val="both"/>
        <w:rPr>
          <w:rFonts w:ascii="Times New Roman" w:hAnsi="Times New Roman"/>
          <w:lang w:eastAsia="zh-CN"/>
        </w:rPr>
      </w:pPr>
      <w:r>
        <w:rPr>
          <w:rFonts w:ascii="Times New Roman" w:hAnsi="Times New Roman" w:eastAsia="Times New Roman"/>
          <w:bCs/>
          <w:lang w:eastAsia="zh-CN"/>
        </w:rPr>
        <w:t>16.4.</w:t>
      </w:r>
      <w:r>
        <w:rPr>
          <w:rFonts w:ascii="Times New Roman" w:hAnsi="Times New Roman" w:eastAsia="Times New Roman"/>
        </w:rPr>
        <w:t>7.7.2. </w:t>
      </w:r>
      <w:r>
        <w:rPr>
          <w:rFonts w:ascii="Times New Roman" w:hAnsi="Times New Roman"/>
          <w:u w:color="000000"/>
          <w:lang w:eastAsia="zh-CN"/>
        </w:rPr>
        <w:t>При изучении учебного модуля «Футбол» на уровне начального общего образования у обучающихся будут сформированы следующие</w:t>
      </w:r>
      <w:r>
        <w:rPr>
          <w:rFonts w:ascii="Times New Roman" w:hAnsi="Times New Roman"/>
          <w:lang w:eastAsia="zh-CN"/>
        </w:rPr>
        <w:t xml:space="preserve"> метапредметные результаты:</w:t>
      </w:r>
    </w:p>
    <w:p w14:paraId="63126D7A">
      <w:pPr>
        <w:shd w:val="clear" w:color="auto" w:fill="FFFFFF"/>
        <w:autoSpaceDE w:val="0"/>
        <w:autoSpaceDN w:val="0"/>
        <w:adjustRightInd w:val="0"/>
        <w:spacing w:after="0" w:line="360" w:lineRule="auto"/>
        <w:ind w:firstLine="709"/>
        <w:jc w:val="both"/>
        <w:rPr>
          <w:rFonts w:ascii="Times New Roman" w:hAnsi="Times New Roman" w:eastAsia="@Arial Unicode MS"/>
        </w:rPr>
      </w:pPr>
      <w:r>
        <w:rPr>
          <w:rFonts w:ascii="Times New Roman" w:hAnsi="Times New Roman"/>
        </w:rPr>
        <w:t>формирование способности понимать цели и задачи учебной деятельности, поиска средств и способов её осуществления;</w:t>
      </w:r>
    </w:p>
    <w:p w14:paraId="17285303">
      <w:pPr>
        <w:pBdr>
          <w:top w:val="none" w:color="000000" w:sz="0" w:space="0"/>
          <w:left w:val="none" w:color="000000" w:sz="0" w:space="0"/>
          <w:bottom w:val="none" w:color="000000" w:sz="0" w:space="0"/>
          <w:right w:val="none" w:color="000000" w:sz="0" w:space="0"/>
        </w:pBdr>
        <w:suppressAutoHyphens/>
        <w:spacing w:after="0" w:line="360" w:lineRule="auto"/>
        <w:ind w:firstLine="709"/>
        <w:jc w:val="both"/>
        <w:rPr>
          <w:rFonts w:ascii="Times New Roman" w:hAnsi="Times New Roman"/>
          <w:lang w:eastAsia="zh-CN"/>
        </w:rPr>
      </w:pPr>
      <w:r>
        <w:rPr>
          <w:rFonts w:ascii="Times New Roman" w:hAnsi="Times New Roman"/>
          <w:lang w:eastAsia="zh-CN"/>
        </w:rPr>
        <w:t>умение планировать пути достижения целей с учетом наиболее эффективных способов решения задач средствами футбола в учебной, игровой, соревновательной и досуговой деятельности, соотносить двигательные действия с планируемыми результатами в футболе, определять и корректировать способы действий в рамках предложенных условий;</w:t>
      </w:r>
    </w:p>
    <w:p w14:paraId="2A946FD5">
      <w:pPr>
        <w:pBdr>
          <w:top w:val="none" w:color="000000" w:sz="0" w:space="0"/>
          <w:left w:val="none" w:color="000000" w:sz="0" w:space="0"/>
          <w:bottom w:val="none" w:color="000000" w:sz="0" w:space="0"/>
          <w:right w:val="none" w:color="000000" w:sz="0" w:space="0"/>
        </w:pBdr>
        <w:suppressAutoHyphens/>
        <w:spacing w:after="0" w:line="360" w:lineRule="auto"/>
        <w:ind w:firstLine="709"/>
        <w:jc w:val="both"/>
        <w:rPr>
          <w:rFonts w:ascii="Times New Roman" w:hAnsi="Times New Roman"/>
          <w:lang w:eastAsia="zh-CN"/>
        </w:rPr>
      </w:pPr>
      <w:r>
        <w:rPr>
          <w:rFonts w:ascii="Times New Roman" w:hAnsi="Times New Roman"/>
          <w:lang w:eastAsia="zh-CN"/>
        </w:rPr>
        <w:t>умение владеть основами самоконтроля, самооценки, выявлять, анализировать и находить способы устранения ошибок при выполнении технических приёмов футбола;</w:t>
      </w:r>
    </w:p>
    <w:p w14:paraId="2A35DE76">
      <w:pPr>
        <w:pBdr>
          <w:top w:val="none" w:color="000000" w:sz="0" w:space="0"/>
          <w:left w:val="none" w:color="000000" w:sz="0" w:space="0"/>
          <w:bottom w:val="none" w:color="000000" w:sz="0" w:space="0"/>
          <w:right w:val="none" w:color="000000" w:sz="0" w:space="0"/>
        </w:pBdr>
        <w:suppressAutoHyphens/>
        <w:spacing w:after="0" w:line="360" w:lineRule="auto"/>
        <w:ind w:firstLine="709"/>
        <w:jc w:val="both"/>
        <w:rPr>
          <w:rFonts w:ascii="Times New Roman" w:hAnsi="Times New Roman"/>
          <w:lang w:eastAsia="zh-CN"/>
        </w:rPr>
      </w:pPr>
      <w:r>
        <w:rPr>
          <w:rFonts w:ascii="Times New Roman" w:hAnsi="Times New Roman"/>
          <w:lang w:eastAsia="zh-CN"/>
        </w:rPr>
        <w:t>умение организовывать совместную деятельность с учителем и сверстниками, работать индивидуально и в группе.</w:t>
      </w:r>
    </w:p>
    <w:p w14:paraId="28139816">
      <w:pPr>
        <w:pBdr>
          <w:top w:val="none" w:color="000000" w:sz="0" w:space="0"/>
          <w:left w:val="none" w:color="000000" w:sz="0" w:space="0"/>
          <w:bottom w:val="none" w:color="000000" w:sz="0" w:space="0"/>
          <w:right w:val="none" w:color="000000" w:sz="0" w:space="0"/>
        </w:pBdr>
        <w:suppressAutoHyphens/>
        <w:spacing w:after="0" w:line="360" w:lineRule="auto"/>
        <w:ind w:firstLine="709"/>
        <w:jc w:val="both"/>
        <w:rPr>
          <w:rFonts w:ascii="Times New Roman" w:hAnsi="Times New Roman"/>
          <w:lang w:eastAsia="zh-CN"/>
        </w:rPr>
      </w:pPr>
      <w:r>
        <w:rPr>
          <w:rFonts w:ascii="Times New Roman" w:hAnsi="Times New Roman" w:eastAsia="Times New Roman"/>
          <w:bCs/>
          <w:lang w:eastAsia="zh-CN"/>
        </w:rPr>
        <w:t>16.4.</w:t>
      </w:r>
      <w:r>
        <w:rPr>
          <w:rFonts w:ascii="Times New Roman" w:hAnsi="Times New Roman"/>
          <w:lang w:eastAsia="zh-CN"/>
        </w:rPr>
        <w:t>7.7.3.</w:t>
      </w:r>
      <w:r>
        <w:rPr>
          <w:rFonts w:ascii="Times New Roman" w:hAnsi="Times New Roman"/>
          <w:u w:color="000000"/>
          <w:lang w:eastAsia="zh-CN"/>
        </w:rPr>
        <w:t xml:space="preserve"> При изучении учебного модуля «Футбол» на уровне начального общего образования у обучающихся будут сформированы следующие </w:t>
      </w:r>
      <w:r>
        <w:rPr>
          <w:rFonts w:ascii="Times New Roman" w:hAnsi="Times New Roman"/>
          <w:lang w:eastAsia="zh-CN"/>
        </w:rPr>
        <w:t>предметные результаты:</w:t>
      </w:r>
    </w:p>
    <w:p w14:paraId="19728C59">
      <w:pPr>
        <w:autoSpaceDE w:val="0"/>
        <w:autoSpaceDN w:val="0"/>
        <w:spacing w:after="0" w:line="360" w:lineRule="auto"/>
        <w:ind w:firstLine="709"/>
        <w:jc w:val="both"/>
        <w:rPr>
          <w:rFonts w:ascii="Times New Roman" w:hAnsi="Times New Roman" w:eastAsia="Times New Roman"/>
        </w:rPr>
      </w:pPr>
      <w:r>
        <w:rPr>
          <w:rFonts w:ascii="Times New Roman" w:hAnsi="Times New Roman" w:eastAsia="Times New Roman"/>
        </w:rPr>
        <w:t>понимание о роли и значении занятий футболом, как средством укрепления здоровья, закаливания, развития физических качеств</w:t>
      </w:r>
      <w:r>
        <w:rPr>
          <w:rFonts w:ascii="Times New Roman" w:hAnsi="Times New Roman" w:eastAsia="Times New Roman"/>
          <w:spacing w:val="-1"/>
        </w:rPr>
        <w:t xml:space="preserve"> </w:t>
      </w:r>
      <w:r>
        <w:rPr>
          <w:rFonts w:ascii="Times New Roman" w:hAnsi="Times New Roman" w:eastAsia="Times New Roman"/>
        </w:rPr>
        <w:t xml:space="preserve">человека; </w:t>
      </w:r>
    </w:p>
    <w:p w14:paraId="7ACF1FF8">
      <w:pPr>
        <w:autoSpaceDE w:val="0"/>
        <w:autoSpaceDN w:val="0"/>
        <w:spacing w:after="0" w:line="360" w:lineRule="auto"/>
        <w:ind w:firstLine="709"/>
        <w:jc w:val="both"/>
        <w:rPr>
          <w:rFonts w:ascii="Times New Roman" w:hAnsi="Times New Roman" w:eastAsia="Times New Roman"/>
        </w:rPr>
      </w:pPr>
      <w:r>
        <w:rPr>
          <w:rFonts w:ascii="Times New Roman" w:hAnsi="Times New Roman" w:eastAsia="Times New Roman"/>
        </w:rPr>
        <w:t xml:space="preserve">соблюдение правил личной гигиены, безопасного поведения во время занятий футболом и посещений соревнований по футболу, требования к спортивной одежде и обуви, спортивному инвентарю для занятий футболом; </w:t>
      </w:r>
    </w:p>
    <w:p w14:paraId="425F3846">
      <w:pPr>
        <w:autoSpaceDE w:val="0"/>
        <w:autoSpaceDN w:val="0"/>
        <w:spacing w:after="0" w:line="360" w:lineRule="auto"/>
        <w:ind w:firstLine="709"/>
        <w:jc w:val="both"/>
        <w:rPr>
          <w:rFonts w:ascii="Times New Roman" w:hAnsi="Times New Roman" w:eastAsia="Times New Roman"/>
        </w:rPr>
      </w:pPr>
      <w:r>
        <w:rPr>
          <w:rFonts w:ascii="Times New Roman" w:hAnsi="Times New Roman" w:eastAsia="Times New Roman"/>
        </w:rPr>
        <w:t>формирование навыков систематического наблюдения за своим физическим состоянием, показателями физического развития и основных физических качеств;</w:t>
      </w:r>
    </w:p>
    <w:p w14:paraId="6AE3F5F5">
      <w:pPr>
        <w:autoSpaceDE w:val="0"/>
        <w:autoSpaceDN w:val="0"/>
        <w:spacing w:after="0" w:line="360" w:lineRule="auto"/>
        <w:ind w:firstLine="709"/>
        <w:jc w:val="both"/>
        <w:rPr>
          <w:rFonts w:ascii="Times New Roman" w:hAnsi="Times New Roman" w:eastAsia="Times New Roman"/>
        </w:rPr>
      </w:pPr>
      <w:r>
        <w:rPr>
          <w:rFonts w:ascii="Times New Roman" w:hAnsi="Times New Roman" w:eastAsia="Times New Roman"/>
        </w:rPr>
        <w:t>организация самостоятельных занятий футболом, подвижных игры специальной направленности с элементами футбола со сверстниками;</w:t>
      </w:r>
    </w:p>
    <w:p w14:paraId="1FA7084D">
      <w:pPr>
        <w:autoSpaceDE w:val="0"/>
        <w:autoSpaceDN w:val="0"/>
        <w:spacing w:after="0" w:line="360" w:lineRule="auto"/>
        <w:ind w:firstLine="709"/>
        <w:jc w:val="both"/>
        <w:rPr>
          <w:rFonts w:ascii="Times New Roman" w:hAnsi="Times New Roman" w:eastAsia="Times New Roman"/>
        </w:rPr>
      </w:pPr>
      <w:r>
        <w:rPr>
          <w:rFonts w:ascii="Times New Roman" w:hAnsi="Times New Roman" w:eastAsia="Times New Roman"/>
        </w:rPr>
        <w:t>выполнение комплексов общеразвивающих и корригирующих упражнений, упражнений на развитие быстроты, ловкости, гибкости, специальных упражнений для формирования технических действий футболиста;</w:t>
      </w:r>
    </w:p>
    <w:p w14:paraId="13907003">
      <w:pPr>
        <w:autoSpaceDE w:val="0"/>
        <w:autoSpaceDN w:val="0"/>
        <w:spacing w:after="0" w:line="360" w:lineRule="auto"/>
        <w:ind w:firstLine="709"/>
        <w:jc w:val="both"/>
        <w:rPr>
          <w:rFonts w:ascii="Times New Roman" w:hAnsi="Times New Roman" w:eastAsia="Times New Roman"/>
        </w:rPr>
      </w:pPr>
      <w:r>
        <w:rPr>
          <w:rFonts w:ascii="Times New Roman" w:hAnsi="Times New Roman" w:eastAsia="Times New Roman"/>
        </w:rPr>
        <w:t>выполнение различных видов передвижений: бег, прыжки, остановки, повороты с изменением скорости, темпа и дистанции в учебной, игровой и соревновательной деятельности;</w:t>
      </w:r>
    </w:p>
    <w:p w14:paraId="53E43722">
      <w:pPr>
        <w:autoSpaceDE w:val="0"/>
        <w:autoSpaceDN w:val="0"/>
        <w:spacing w:after="0" w:line="360" w:lineRule="auto"/>
        <w:ind w:firstLine="709"/>
        <w:jc w:val="both"/>
        <w:rPr>
          <w:rFonts w:ascii="Times New Roman" w:hAnsi="Times New Roman" w:eastAsia="Times New Roman"/>
        </w:rPr>
      </w:pPr>
      <w:r>
        <w:rPr>
          <w:rFonts w:ascii="Times New Roman" w:hAnsi="Times New Roman" w:eastAsia="Times New Roman"/>
        </w:rPr>
        <w:t>выполнение индивидуальных технических приемов владения мячом: ведение, развороты, удары по мячу ногой, остановка и (или) прием мяча, обманные движения («финты»);</w:t>
      </w:r>
    </w:p>
    <w:p w14:paraId="49EBE0F8">
      <w:pPr>
        <w:autoSpaceDE w:val="0"/>
        <w:autoSpaceDN w:val="0"/>
        <w:spacing w:after="0" w:line="360" w:lineRule="auto"/>
        <w:ind w:firstLine="709"/>
        <w:jc w:val="both"/>
        <w:rPr>
          <w:rFonts w:ascii="Times New Roman" w:hAnsi="Times New Roman" w:eastAsia="Times New Roman"/>
        </w:rPr>
      </w:pPr>
      <w:r>
        <w:rPr>
          <w:rFonts w:ascii="Times New Roman" w:hAnsi="Times New Roman" w:eastAsia="Times New Roman"/>
        </w:rPr>
        <w:t>выполнение тактических комбинаций: в парах, в тройках и тактических действия (в процессе учебной игры и соревновательной деятельности);</w:t>
      </w:r>
    </w:p>
    <w:p w14:paraId="6062AA7E">
      <w:pPr>
        <w:autoSpaceDE w:val="0"/>
        <w:autoSpaceDN w:val="0"/>
        <w:spacing w:after="0" w:line="360" w:lineRule="auto"/>
        <w:ind w:firstLine="709"/>
        <w:jc w:val="both"/>
        <w:rPr>
          <w:rFonts w:ascii="Times New Roman" w:hAnsi="Times New Roman" w:eastAsia="Times New Roman"/>
        </w:rPr>
      </w:pPr>
      <w:r>
        <w:rPr>
          <w:rFonts w:ascii="Times New Roman" w:hAnsi="Times New Roman" w:eastAsia="Times New Roman"/>
        </w:rPr>
        <w:t>выполнение контрольно-тестовых упражнений по общей и специальной физической подготовленности, технической подготовки обучающихся;</w:t>
      </w:r>
    </w:p>
    <w:p w14:paraId="50BF2AA8">
      <w:pPr>
        <w:autoSpaceDE w:val="0"/>
        <w:autoSpaceDN w:val="0"/>
        <w:spacing w:after="0" w:line="360" w:lineRule="auto"/>
        <w:ind w:firstLine="709"/>
        <w:jc w:val="both"/>
        <w:rPr>
          <w:rFonts w:ascii="Times New Roman" w:hAnsi="Times New Roman" w:eastAsia="Times New Roman"/>
        </w:rPr>
      </w:pPr>
      <w:r>
        <w:rPr>
          <w:rFonts w:ascii="Times New Roman" w:hAnsi="Times New Roman" w:eastAsia="Times New Roman"/>
        </w:rPr>
        <w:t>умение излагать правила и условия подвижных игр, игровых заданий, эстафет;</w:t>
      </w:r>
    </w:p>
    <w:p w14:paraId="25FFDEA9">
      <w:pPr>
        <w:autoSpaceDE w:val="0"/>
        <w:autoSpaceDN w:val="0"/>
        <w:spacing w:after="0" w:line="360" w:lineRule="auto"/>
        <w:ind w:firstLine="709"/>
        <w:jc w:val="both"/>
        <w:rPr>
          <w:rFonts w:ascii="Times New Roman" w:hAnsi="Times New Roman" w:eastAsia="Times New Roman"/>
        </w:rPr>
      </w:pPr>
      <w:r>
        <w:rPr>
          <w:rFonts w:ascii="Times New Roman" w:hAnsi="Times New Roman" w:eastAsia="Times New Roman"/>
        </w:rPr>
        <w:t>участие в учебных играх и фестивалях в уменьшенных составах, на уменьшенной площадке, по упрощенным правилам;</w:t>
      </w:r>
    </w:p>
    <w:p w14:paraId="20A55FFB">
      <w:pPr>
        <w:autoSpaceDE w:val="0"/>
        <w:autoSpaceDN w:val="0"/>
        <w:spacing w:after="0" w:line="360" w:lineRule="auto"/>
        <w:ind w:firstLine="709"/>
        <w:jc w:val="both"/>
        <w:rPr>
          <w:rFonts w:ascii="Times New Roman" w:hAnsi="Times New Roman" w:eastAsia="Times New Roman"/>
        </w:rPr>
      </w:pPr>
      <w:r>
        <w:rPr>
          <w:rFonts w:ascii="Times New Roman" w:hAnsi="Times New Roman" w:eastAsia="Times New Roman"/>
        </w:rPr>
        <w:t>участие в соревновательной деятельности на внутришкольном, районном, муниципальном, городском, региональном, всероссийском уровнях;</w:t>
      </w:r>
    </w:p>
    <w:p w14:paraId="04CB14E3">
      <w:pPr>
        <w:autoSpaceDE w:val="0"/>
        <w:autoSpaceDN w:val="0"/>
        <w:spacing w:after="0" w:line="360" w:lineRule="auto"/>
        <w:ind w:firstLine="709"/>
        <w:jc w:val="both"/>
        <w:rPr>
          <w:rFonts w:ascii="Times New Roman" w:hAnsi="Times New Roman" w:eastAsia="Times New Roman"/>
        </w:rPr>
      </w:pPr>
      <w:r>
        <w:rPr>
          <w:rFonts w:ascii="Times New Roman" w:hAnsi="Times New Roman" w:eastAsia="Times New Roman"/>
        </w:rPr>
        <w:t>проявление волевых, социальных качеств личности, организованности, ответственности в учебной, игровой и соревновательной деятельности;</w:t>
      </w:r>
    </w:p>
    <w:p w14:paraId="0C79BA59">
      <w:pPr>
        <w:autoSpaceDE w:val="0"/>
        <w:autoSpaceDN w:val="0"/>
        <w:spacing w:after="0" w:line="360" w:lineRule="auto"/>
        <w:ind w:firstLine="709"/>
        <w:jc w:val="both"/>
        <w:rPr>
          <w:rFonts w:ascii="Times New Roman" w:hAnsi="Times New Roman" w:eastAsia="Times New Roman"/>
        </w:rPr>
      </w:pPr>
      <w:r>
        <w:rPr>
          <w:rFonts w:ascii="Times New Roman" w:hAnsi="Times New Roman" w:eastAsia="Times New Roman"/>
        </w:rPr>
        <w:t>проявление уважительных отношение к одноклассникам, культуры общения и взаимодействия, терпимости и толерантности в достижении общих целей в учебной и игровой деятельности на занятиях футболом.</w:t>
      </w:r>
    </w:p>
    <w:p w14:paraId="63974064">
      <w:pPr>
        <w:pBdr>
          <w:top w:val="none" w:color="000000" w:sz="0" w:space="0"/>
          <w:left w:val="none" w:color="000000" w:sz="0" w:space="0"/>
          <w:bottom w:val="none" w:color="000000" w:sz="0" w:space="0"/>
          <w:right w:val="none" w:color="000000" w:sz="0" w:space="0"/>
        </w:pBdr>
        <w:suppressAutoHyphens/>
        <w:spacing w:after="0" w:line="360" w:lineRule="auto"/>
        <w:ind w:firstLine="709"/>
        <w:jc w:val="both"/>
        <w:rPr>
          <w:rFonts w:ascii="Times New Roman" w:hAnsi="Times New Roman"/>
          <w:lang w:eastAsia="zh-CN"/>
        </w:rPr>
      </w:pPr>
      <w:r>
        <w:rPr>
          <w:rFonts w:ascii="Times New Roman" w:hAnsi="Times New Roman" w:eastAsia="Times New Roman"/>
          <w:bCs/>
          <w:lang w:eastAsia="zh-CN"/>
        </w:rPr>
        <w:t>16.4.</w:t>
      </w:r>
      <w:r>
        <w:rPr>
          <w:rFonts w:ascii="Times New Roman" w:hAnsi="Times New Roman" w:eastAsia="Times New Roman"/>
          <w:lang w:eastAsia="zh-CN"/>
        </w:rPr>
        <w:t>8. М</w:t>
      </w:r>
      <w:r>
        <w:rPr>
          <w:rFonts w:ascii="Times New Roman" w:hAnsi="Times New Roman"/>
          <w:lang w:eastAsia="zh-CN"/>
        </w:rPr>
        <w:t>одуль «Фитнес-аэробика».</w:t>
      </w:r>
    </w:p>
    <w:p w14:paraId="37756055">
      <w:pPr>
        <w:pBdr>
          <w:top w:val="none" w:color="000000" w:sz="0" w:space="0"/>
          <w:left w:val="none" w:color="000000" w:sz="0" w:space="0"/>
          <w:bottom w:val="none" w:color="000000" w:sz="0" w:space="0"/>
          <w:right w:val="none" w:color="000000" w:sz="0" w:space="0"/>
        </w:pBdr>
        <w:suppressAutoHyphens/>
        <w:spacing w:after="0" w:line="360" w:lineRule="auto"/>
        <w:ind w:firstLine="709"/>
        <w:jc w:val="both"/>
        <w:rPr>
          <w:rFonts w:ascii="Times New Roman" w:hAnsi="Times New Roman" w:eastAsia="Times New Roman"/>
          <w:lang w:eastAsia="ar-SA"/>
        </w:rPr>
      </w:pPr>
      <w:r>
        <w:rPr>
          <w:rFonts w:ascii="Times New Roman" w:hAnsi="Times New Roman" w:eastAsia="Times New Roman"/>
          <w:bCs/>
          <w:lang w:eastAsia="zh-CN"/>
        </w:rPr>
        <w:t>16.4.</w:t>
      </w:r>
      <w:r>
        <w:rPr>
          <w:rFonts w:ascii="Times New Roman" w:hAnsi="Times New Roman"/>
          <w:lang w:eastAsia="zh-CN"/>
        </w:rPr>
        <w:t xml:space="preserve">8.1. Пояснительная записка модуля </w:t>
      </w:r>
      <w:r>
        <w:rPr>
          <w:rFonts w:ascii="Times New Roman" w:hAnsi="Times New Roman" w:eastAsia="Times New Roman"/>
          <w:lang w:eastAsia="ar-SA"/>
        </w:rPr>
        <w:t>«Фитнес-аэробика».</w:t>
      </w:r>
    </w:p>
    <w:p w14:paraId="13628B1E">
      <w:pPr>
        <w:pBdr>
          <w:top w:val="none" w:color="000000" w:sz="0" w:space="0"/>
          <w:left w:val="none" w:color="000000" w:sz="0" w:space="0"/>
          <w:bottom w:val="none" w:color="000000" w:sz="0" w:space="0"/>
          <w:right w:val="none" w:color="000000" w:sz="0" w:space="0"/>
        </w:pBdr>
        <w:suppressAutoHyphens/>
        <w:spacing w:after="0" w:line="360" w:lineRule="auto"/>
        <w:ind w:firstLine="709"/>
        <w:jc w:val="both"/>
        <w:rPr>
          <w:rFonts w:ascii="Times New Roman" w:hAnsi="Times New Roman"/>
          <w:lang w:eastAsia="zh-CN"/>
        </w:rPr>
      </w:pPr>
      <w:r>
        <w:rPr>
          <w:rFonts w:ascii="Times New Roman" w:hAnsi="Times New Roman"/>
          <w:lang w:eastAsia="zh-CN"/>
        </w:rPr>
        <w:t>Модуль «Фитнес-аэробика» (далее – модуль по фитнес-аэробике) на уровне начального общего образования разработан с целью оказания методической помощи учителю физической культуры в создании рабочей программы по учебному предмету «Физическая культура» с учётом современных тенденций в системе образования и использования спортивно-ориентированных форм, средств и методов обучения.</w:t>
      </w:r>
    </w:p>
    <w:p w14:paraId="0CA96781">
      <w:pPr>
        <w:spacing w:after="0" w:line="360" w:lineRule="auto"/>
        <w:ind w:firstLine="709"/>
        <w:jc w:val="both"/>
        <w:rPr>
          <w:rFonts w:ascii="Times New Roman" w:hAnsi="Times New Roman" w:eastAsia="Times New Roman"/>
          <w:lang w:eastAsia="ru-RU"/>
        </w:rPr>
      </w:pPr>
      <w:r>
        <w:rPr>
          <w:rFonts w:ascii="Times New Roman" w:hAnsi="Times New Roman" w:eastAsia="Times New Roman"/>
          <w:lang w:eastAsia="ru-RU"/>
        </w:rPr>
        <w:t xml:space="preserve">Фитнес-аэробика является эффективным средством развития массового спорта и пропаганды здорового образа жизни подрастающего поколения. </w:t>
      </w:r>
      <w:r>
        <w:rPr>
          <w:rFonts w:ascii="Times New Roman" w:hAnsi="Times New Roman"/>
          <w:kern w:val="2"/>
        </w:rPr>
        <w:t xml:space="preserve">В сочетании с другими видами физических упражнений фитнес-аэробика и ее элементы могут эффективно использоваться в различных формах физического воспитания обучающихся, в том числе рекреативной и кондиционной направленности. </w:t>
      </w:r>
      <w:r>
        <w:rPr>
          <w:rFonts w:ascii="Times New Roman" w:hAnsi="Times New Roman" w:eastAsia="Times New Roman"/>
          <w:lang w:eastAsia="ru-RU"/>
        </w:rPr>
        <w:t xml:space="preserve">Занятия фитнесом соединяют элементы хореографии, гимнастики, танцевальных занятий, двигательную активность аэробного характера, оздоровительные виды гимнастики различной направленности. </w:t>
      </w:r>
    </w:p>
    <w:p w14:paraId="77FAC942">
      <w:pPr>
        <w:spacing w:after="0" w:line="360" w:lineRule="auto"/>
        <w:ind w:firstLine="709"/>
        <w:contextualSpacing/>
        <w:jc w:val="both"/>
        <w:rPr>
          <w:rFonts w:ascii="Times New Roman" w:hAnsi="Times New Roman"/>
          <w:kern w:val="2"/>
        </w:rPr>
      </w:pPr>
      <w:r>
        <w:rPr>
          <w:rFonts w:ascii="Times New Roman" w:hAnsi="Times New Roman"/>
          <w:kern w:val="2"/>
        </w:rPr>
        <w:t>Применение в общеобразовательной организации методик фитнес-аэробики гарантирует обучающимся правильное развитие функциональных систем организма, правильную осанку, легкую походку, является отличной профилактикой сколиоза и плоскостопия, формирует у обучающихся коммуникативные навыки, морально-волевые качества, закладывает основы культуры здорового образа жизни.</w:t>
      </w:r>
    </w:p>
    <w:p w14:paraId="527449F1">
      <w:pPr>
        <w:spacing w:after="0" w:line="360" w:lineRule="auto"/>
        <w:ind w:firstLine="709"/>
        <w:contextualSpacing/>
        <w:jc w:val="both"/>
        <w:rPr>
          <w:rFonts w:ascii="Times New Roman" w:hAnsi="Times New Roman"/>
          <w:kern w:val="2"/>
        </w:rPr>
      </w:pPr>
      <w:r>
        <w:rPr>
          <w:rFonts w:ascii="Times New Roman" w:hAnsi="Times New Roman" w:eastAsia="Times New Roman"/>
          <w:bCs/>
          <w:lang w:eastAsia="zh-CN"/>
        </w:rPr>
        <w:t>16.4.</w:t>
      </w:r>
      <w:r>
        <w:rPr>
          <w:rFonts w:ascii="Times New Roman" w:hAnsi="Times New Roman"/>
          <w:kern w:val="2"/>
        </w:rPr>
        <w:t xml:space="preserve">8.2. Целью изучения модуля </w:t>
      </w:r>
      <w:r>
        <w:rPr>
          <w:rFonts w:ascii="Times New Roman" w:hAnsi="Times New Roman" w:eastAsia="Times New Roman"/>
          <w:lang w:eastAsia="ar-SA"/>
        </w:rPr>
        <w:t xml:space="preserve">«Фитнес-аэробика» является </w:t>
      </w:r>
      <w:r>
        <w:rPr>
          <w:rFonts w:ascii="Times New Roman" w:hAnsi="Times New Roman"/>
          <w:kern w:val="2"/>
        </w:rPr>
        <w:t>формирование у обучающихся устойчивой мотивации к сохранению и укреплению собственного здоровья и самоопределения с использованием средств фитнес-аэробики.</w:t>
      </w:r>
    </w:p>
    <w:p w14:paraId="57040259">
      <w:pPr>
        <w:pBdr>
          <w:top w:val="none" w:color="000000" w:sz="0" w:space="0"/>
          <w:left w:val="none" w:color="000000" w:sz="0" w:space="0"/>
          <w:bottom w:val="none" w:color="000000" w:sz="0" w:space="0"/>
          <w:right w:val="none" w:color="000000" w:sz="0" w:space="0"/>
        </w:pBdr>
        <w:suppressAutoHyphens/>
        <w:spacing w:after="0" w:line="360" w:lineRule="auto"/>
        <w:ind w:firstLine="709"/>
        <w:jc w:val="both"/>
        <w:rPr>
          <w:rFonts w:ascii="Times New Roman" w:hAnsi="Times New Roman"/>
          <w:lang w:eastAsia="zh-CN"/>
        </w:rPr>
      </w:pPr>
      <w:r>
        <w:rPr>
          <w:rFonts w:ascii="Times New Roman" w:hAnsi="Times New Roman" w:eastAsia="Times New Roman"/>
          <w:bCs/>
          <w:lang w:eastAsia="zh-CN"/>
        </w:rPr>
        <w:t>16.4.</w:t>
      </w:r>
      <w:r>
        <w:rPr>
          <w:rFonts w:ascii="Times New Roman" w:hAnsi="Times New Roman"/>
          <w:lang w:eastAsia="zh-CN"/>
        </w:rPr>
        <w:t>8.3. Задачами изучения модуля «Фитнес-аэробика» являются:</w:t>
      </w:r>
    </w:p>
    <w:p w14:paraId="6E5E1290">
      <w:pPr>
        <w:autoSpaceDE w:val="0"/>
        <w:autoSpaceDN w:val="0"/>
        <w:spacing w:after="0" w:line="360" w:lineRule="auto"/>
        <w:ind w:firstLine="709"/>
        <w:jc w:val="both"/>
        <w:rPr>
          <w:rFonts w:ascii="Times New Roman" w:hAnsi="Times New Roman" w:eastAsia="Times New Roman"/>
        </w:rPr>
      </w:pPr>
      <w:r>
        <w:rPr>
          <w:rFonts w:ascii="Times New Roman" w:hAnsi="Times New Roman" w:eastAsia="Times New Roman"/>
        </w:rPr>
        <w:t>всестороннее гармоничное развитие детей, увеличение объёма их двигательной активности;</w:t>
      </w:r>
    </w:p>
    <w:p w14:paraId="29F70158">
      <w:pPr>
        <w:autoSpaceDE w:val="0"/>
        <w:autoSpaceDN w:val="0"/>
        <w:spacing w:after="0" w:line="360" w:lineRule="auto"/>
        <w:ind w:firstLine="709"/>
        <w:jc w:val="both"/>
        <w:rPr>
          <w:rFonts w:ascii="Times New Roman" w:hAnsi="Times New Roman" w:eastAsia="Times New Roman"/>
        </w:rPr>
      </w:pPr>
      <w:r>
        <w:rPr>
          <w:rFonts w:ascii="Times New Roman" w:hAnsi="Times New Roman" w:eastAsia="Times New Roman"/>
        </w:rPr>
        <w:t>освоение знаний о физической культуре и спорте в целом, истории развития фитнес-аэробики в частности;</w:t>
      </w:r>
    </w:p>
    <w:p w14:paraId="43DE9C7B">
      <w:pPr>
        <w:spacing w:after="0" w:line="360" w:lineRule="auto"/>
        <w:ind w:firstLine="709"/>
        <w:contextualSpacing/>
        <w:jc w:val="both"/>
        <w:rPr>
          <w:rFonts w:ascii="Times New Roman" w:hAnsi="Times New Roman"/>
          <w:kern w:val="2"/>
        </w:rPr>
      </w:pPr>
      <w:r>
        <w:rPr>
          <w:rFonts w:ascii="Times New Roman" w:hAnsi="Times New Roman"/>
          <w:kern w:val="2"/>
        </w:rPr>
        <w:t>формирование культуры движений, обогащение двигательного опыта физическими упражнениями с общеразвивающей и корригирующей направленностью, техническими действиями и приемами различных видов фитнес-аэробики;</w:t>
      </w:r>
    </w:p>
    <w:p w14:paraId="6F7B0BF0">
      <w:pPr>
        <w:spacing w:after="0" w:line="360" w:lineRule="auto"/>
        <w:ind w:firstLine="709"/>
        <w:contextualSpacing/>
        <w:jc w:val="both"/>
        <w:rPr>
          <w:rFonts w:ascii="Times New Roman" w:hAnsi="Times New Roman"/>
          <w:kern w:val="2"/>
        </w:rPr>
      </w:pPr>
      <w:r>
        <w:rPr>
          <w:rFonts w:ascii="Times New Roman" w:hAnsi="Times New Roman"/>
          <w:kern w:val="2"/>
        </w:rPr>
        <w:t>воспитание положительных качеств личности, норм коллективного взаимодействия и сотрудничества средствами фитнес-аэробики;</w:t>
      </w:r>
    </w:p>
    <w:p w14:paraId="5A6441F3">
      <w:pPr>
        <w:spacing w:after="0" w:line="360" w:lineRule="auto"/>
        <w:ind w:firstLine="709"/>
        <w:contextualSpacing/>
        <w:jc w:val="both"/>
        <w:rPr>
          <w:rFonts w:ascii="Times New Roman" w:hAnsi="Times New Roman"/>
          <w:kern w:val="2"/>
        </w:rPr>
      </w:pPr>
      <w:r>
        <w:rPr>
          <w:rFonts w:ascii="Times New Roman" w:hAnsi="Times New Roman"/>
          <w:kern w:val="2"/>
        </w:rPr>
        <w:t>популяризация вида спорта «фитнес-аэробика» среди детей и вовлечение большого количества обучающихся в занятия фитнес-аэробикой;</w:t>
      </w:r>
    </w:p>
    <w:p w14:paraId="4E00D937">
      <w:pPr>
        <w:spacing w:after="0" w:line="360" w:lineRule="auto"/>
        <w:ind w:firstLine="709"/>
        <w:contextualSpacing/>
        <w:jc w:val="both"/>
        <w:rPr>
          <w:rFonts w:ascii="Times New Roman" w:hAnsi="Times New Roman"/>
          <w:kern w:val="2"/>
        </w:rPr>
      </w:pPr>
      <w:r>
        <w:rPr>
          <w:rFonts w:ascii="Times New Roman" w:hAnsi="Times New Roman"/>
          <w:kern w:val="2"/>
        </w:rPr>
        <w:t>способствование развитию у обучающихся творческих способностей;</w:t>
      </w:r>
    </w:p>
    <w:p w14:paraId="7C02E970">
      <w:pPr>
        <w:autoSpaceDE w:val="0"/>
        <w:autoSpaceDN w:val="0"/>
        <w:spacing w:after="0" w:line="360" w:lineRule="auto"/>
        <w:ind w:firstLine="709"/>
        <w:jc w:val="both"/>
        <w:rPr>
          <w:rFonts w:ascii="Times New Roman" w:hAnsi="Times New Roman" w:eastAsia="Times New Roman"/>
        </w:rPr>
      </w:pPr>
      <w:r>
        <w:rPr>
          <w:rFonts w:ascii="Times New Roman" w:hAnsi="Times New Roman" w:eastAsia="Times New Roman"/>
        </w:rPr>
        <w:t>развитие положительной мотивации и устойчивого учебно-познавательного интереса к предмету «Физическая культура», удовлетворение индивидуальных потребностей обучающихся в занятиях физической культурой и спортом;</w:t>
      </w:r>
    </w:p>
    <w:p w14:paraId="578DC91D">
      <w:pPr>
        <w:autoSpaceDE w:val="0"/>
        <w:autoSpaceDN w:val="0"/>
        <w:spacing w:after="0" w:line="360" w:lineRule="auto"/>
        <w:ind w:firstLine="709"/>
        <w:jc w:val="both"/>
        <w:rPr>
          <w:rFonts w:ascii="Times New Roman" w:hAnsi="Times New Roman" w:eastAsia="Times New Roman"/>
        </w:rPr>
      </w:pPr>
      <w:r>
        <w:rPr>
          <w:rFonts w:ascii="Times New Roman" w:hAnsi="Times New Roman" w:eastAsia="Times New Roman"/>
        </w:rPr>
        <w:t>выявление, развитие и поддержка одарённых детей в области спорта.</w:t>
      </w:r>
    </w:p>
    <w:p w14:paraId="483C64B9">
      <w:pPr>
        <w:pBdr>
          <w:top w:val="none" w:color="000000" w:sz="0" w:space="0"/>
          <w:left w:val="none" w:color="000000" w:sz="0" w:space="0"/>
          <w:bottom w:val="none" w:color="000000" w:sz="0" w:space="0"/>
          <w:right w:val="none" w:color="000000" w:sz="0" w:space="0"/>
        </w:pBdr>
        <w:tabs>
          <w:tab w:val="left" w:pos="708"/>
        </w:tabs>
        <w:suppressAutoHyphens/>
        <w:spacing w:after="0" w:line="360" w:lineRule="auto"/>
        <w:ind w:firstLine="709"/>
        <w:jc w:val="both"/>
        <w:rPr>
          <w:rFonts w:ascii="Times New Roman" w:hAnsi="Times New Roman" w:eastAsia="Times New Roman"/>
          <w:lang w:eastAsia="ar-SA"/>
        </w:rPr>
      </w:pPr>
      <w:r>
        <w:rPr>
          <w:rFonts w:ascii="Times New Roman" w:hAnsi="Times New Roman" w:eastAsia="Times New Roman"/>
          <w:bCs/>
          <w:lang w:eastAsia="zh-CN"/>
        </w:rPr>
        <w:t>16.4.</w:t>
      </w:r>
      <w:r>
        <w:rPr>
          <w:rFonts w:ascii="Times New Roman" w:hAnsi="Times New Roman" w:eastAsia="Times New Roman"/>
          <w:lang w:eastAsia="zh-CN"/>
        </w:rPr>
        <w:t xml:space="preserve">8.4. Место и роль модуля </w:t>
      </w:r>
      <w:r>
        <w:rPr>
          <w:rFonts w:ascii="Times New Roman" w:hAnsi="Times New Roman" w:eastAsia="Times New Roman"/>
          <w:lang w:eastAsia="ar-SA"/>
        </w:rPr>
        <w:t>«Фитнес-аэробика».</w:t>
      </w:r>
    </w:p>
    <w:p w14:paraId="2FDD2FAD">
      <w:pPr>
        <w:pBdr>
          <w:top w:val="none" w:color="auto" w:sz="0" w:space="0"/>
          <w:left w:val="none" w:color="auto" w:sz="0" w:space="0"/>
          <w:bottom w:val="none" w:color="auto" w:sz="0" w:space="0"/>
          <w:right w:val="none" w:color="auto" w:sz="0" w:space="0"/>
          <w:between w:val="none" w:color="auto" w:sz="0" w:space="0"/>
        </w:pBdr>
        <w:spacing w:after="0" w:line="360" w:lineRule="auto"/>
        <w:ind w:firstLine="709"/>
        <w:jc w:val="both"/>
        <w:rPr>
          <w:rFonts w:ascii="Times New Roman" w:hAnsi="Times New Roman" w:eastAsia="Arial Unicode MS"/>
          <w:u w:color="000000"/>
          <w:lang w:eastAsia="ru-RU"/>
        </w:rPr>
      </w:pPr>
      <w:r>
        <w:rPr>
          <w:rFonts w:ascii="Times New Roman" w:hAnsi="Times New Roman" w:eastAsia="Arial Unicode MS"/>
          <w:u w:color="000000"/>
          <w:lang w:eastAsia="ru-RU"/>
        </w:rPr>
        <w:t>Модуль «Фитнес-аэробика» доступен для освоения всем обучающимся, независимо от уровня их физического развития и гендерных особенностей и расширяет спектр физкультурно-спортивных направлений в общеобразовательных организациях.</w:t>
      </w:r>
    </w:p>
    <w:p w14:paraId="6DF67E5D">
      <w:pPr>
        <w:pBdr>
          <w:between w:val="none" w:color="auto" w:sz="0" w:space="0"/>
        </w:pBdr>
        <w:spacing w:after="0" w:line="360" w:lineRule="auto"/>
        <w:ind w:firstLine="709"/>
        <w:jc w:val="both"/>
        <w:rPr>
          <w:rFonts w:ascii="Times New Roman" w:hAnsi="Times New Roman" w:eastAsia="Arial Unicode MS"/>
          <w:u w:color="000000"/>
          <w:lang w:eastAsia="ru-RU"/>
        </w:rPr>
      </w:pPr>
      <w:r>
        <w:rPr>
          <w:rFonts w:ascii="Times New Roman" w:hAnsi="Times New Roman" w:eastAsia="Arial Unicode MS"/>
          <w:u w:color="000000"/>
          <w:lang w:eastAsia="ru-RU"/>
        </w:rPr>
        <w:t>Специфика модуля по фитнес-аэробике сочетается практически со всеми базовыми видами спорта (легкая атлетика, гимнастика, спортивные игры).</w:t>
      </w:r>
    </w:p>
    <w:p w14:paraId="7C66BAF8">
      <w:pPr>
        <w:pBdr>
          <w:top w:val="none" w:color="000000" w:sz="0" w:space="0"/>
          <w:left w:val="none" w:color="000000" w:sz="0" w:space="0"/>
          <w:bottom w:val="none" w:color="000000" w:sz="0" w:space="0"/>
          <w:right w:val="none" w:color="000000" w:sz="0" w:space="0"/>
        </w:pBdr>
        <w:suppressAutoHyphens/>
        <w:spacing w:after="0" w:line="360" w:lineRule="auto"/>
        <w:ind w:firstLine="709"/>
        <w:jc w:val="both"/>
        <w:rPr>
          <w:rFonts w:ascii="Times New Roman" w:hAnsi="Times New Roman"/>
          <w:bCs/>
          <w:iCs/>
          <w:u w:color="000000"/>
          <w:lang w:eastAsia="zh-CN"/>
        </w:rPr>
      </w:pPr>
      <w:r>
        <w:rPr>
          <w:rFonts w:ascii="Times New Roman" w:hAnsi="Times New Roman"/>
          <w:iCs/>
          <w:u w:color="000000"/>
          <w:lang w:eastAsia="zh-CN"/>
        </w:rPr>
        <w:t xml:space="preserve">Интеграция модуля по фитнес-аэробике поможет обучающимся </w:t>
      </w:r>
      <w:r>
        <w:rPr>
          <w:rFonts w:ascii="Times New Roman" w:hAnsi="Times New Roman"/>
          <w:u w:color="000000"/>
          <w:lang w:eastAsia="zh-CN"/>
        </w:rPr>
        <w:t xml:space="preserve">в освоении образовательных программ в рамках внеурочной деятельности, дополнительного образования, деятельности школьных спортивных клубов, </w:t>
      </w:r>
      <w:r>
        <w:rPr>
          <w:rFonts w:ascii="Times New Roman" w:hAnsi="Times New Roman"/>
          <w:bCs/>
          <w:iCs/>
          <w:u w:color="000000"/>
          <w:lang w:eastAsia="zh-CN"/>
        </w:rPr>
        <w:t xml:space="preserve">подготовке </w:t>
      </w:r>
      <w:r>
        <w:rPr>
          <w:rFonts w:ascii="Times New Roman" w:hAnsi="Times New Roman"/>
          <w:u w:color="000000"/>
          <w:lang w:eastAsia="zh-CN"/>
        </w:rPr>
        <w:t xml:space="preserve">обучающихся к сдаче норм ГТО </w:t>
      </w:r>
      <w:r>
        <w:rPr>
          <w:rFonts w:ascii="Times New Roman" w:hAnsi="Times New Roman"/>
          <w:bCs/>
          <w:iCs/>
          <w:u w:color="000000"/>
          <w:lang w:eastAsia="zh-CN"/>
        </w:rPr>
        <w:t xml:space="preserve">и </w:t>
      </w:r>
      <w:r>
        <w:rPr>
          <w:rFonts w:ascii="Times New Roman" w:hAnsi="Times New Roman"/>
          <w:u w:color="000000"/>
          <w:lang w:eastAsia="zh-CN"/>
        </w:rPr>
        <w:t>участии в спортивных соревнованиях.</w:t>
      </w:r>
    </w:p>
    <w:p w14:paraId="042C81C0">
      <w:pPr>
        <w:pBdr>
          <w:top w:val="none" w:color="000000" w:sz="0" w:space="0"/>
          <w:left w:val="none" w:color="000000" w:sz="0" w:space="0"/>
          <w:bottom w:val="none" w:color="000000" w:sz="0" w:space="0"/>
          <w:right w:val="none" w:color="000000" w:sz="0" w:space="0"/>
        </w:pBdr>
        <w:suppressAutoHyphens/>
        <w:spacing w:after="0" w:line="360" w:lineRule="auto"/>
        <w:ind w:firstLine="709"/>
        <w:jc w:val="both"/>
        <w:rPr>
          <w:rFonts w:ascii="Times New Roman" w:hAnsi="Times New Roman"/>
          <w:lang w:eastAsia="zh-CN"/>
        </w:rPr>
      </w:pPr>
      <w:r>
        <w:rPr>
          <w:rFonts w:ascii="Times New Roman" w:hAnsi="Times New Roman" w:eastAsia="Times New Roman"/>
          <w:bCs/>
          <w:lang w:eastAsia="zh-CN"/>
        </w:rPr>
        <w:t>16.4.</w:t>
      </w:r>
      <w:r>
        <w:rPr>
          <w:rFonts w:ascii="Times New Roman" w:hAnsi="Times New Roman"/>
          <w:lang w:eastAsia="zh-CN"/>
        </w:rPr>
        <w:t>8.5. Модуль «Фитнес-аэробика» может быть реализован в следующих вариантах:</w:t>
      </w:r>
    </w:p>
    <w:p w14:paraId="4400CF15">
      <w:pPr>
        <w:pBdr>
          <w:top w:val="none" w:color="000000" w:sz="0" w:space="0"/>
          <w:left w:val="none" w:color="000000" w:sz="0" w:space="0"/>
          <w:bottom w:val="none" w:color="000000" w:sz="0" w:space="0"/>
          <w:right w:val="none" w:color="000000" w:sz="0" w:space="0"/>
        </w:pBdr>
        <w:suppressAutoHyphens/>
        <w:spacing w:after="0" w:line="360" w:lineRule="auto"/>
        <w:ind w:firstLine="709"/>
        <w:jc w:val="both"/>
        <w:rPr>
          <w:rFonts w:ascii="Times New Roman" w:hAnsi="Times New Roman"/>
          <w:lang w:eastAsia="zh-CN"/>
        </w:rPr>
      </w:pPr>
      <w:r>
        <w:rPr>
          <w:rFonts w:ascii="Times New Roman" w:hAnsi="Times New Roman"/>
          <w:lang w:eastAsia="zh-CN"/>
        </w:rPr>
        <w:t>при самостоятельном планировании учителем физической культуры процесса освоения обучающимися учебного материала по фитнес-аэробике с выбором различных элементов в фитнес-аэробике, с учётом возраста и физической подготовленности обучающихся;</w:t>
      </w:r>
    </w:p>
    <w:p w14:paraId="41D69FE2">
      <w:pPr>
        <w:pBdr>
          <w:top w:val="none" w:color="000000" w:sz="0" w:space="0"/>
          <w:left w:val="none" w:color="000000" w:sz="0" w:space="0"/>
          <w:bottom w:val="none" w:color="000000" w:sz="0" w:space="0"/>
          <w:right w:val="none" w:color="000000" w:sz="0" w:space="0"/>
        </w:pBdr>
        <w:suppressAutoHyphens/>
        <w:spacing w:after="0" w:line="360" w:lineRule="auto"/>
        <w:ind w:firstLine="709"/>
        <w:jc w:val="both"/>
        <w:rPr>
          <w:rFonts w:ascii="Times New Roman" w:hAnsi="Times New Roman"/>
          <w:lang w:eastAsia="zh-CN"/>
        </w:rPr>
      </w:pPr>
      <w:r>
        <w:rPr>
          <w:rFonts w:ascii="Times New Roman" w:hAnsi="Times New Roman"/>
          <w:lang w:eastAsia="zh-CN"/>
        </w:rPr>
        <w:t xml:space="preserve">в виде целостного последовательного учебного модуля, изучаемого за счёт части учебного плана, формируемой участниками образовательных отношений из перечня, предлагаемого образовательной организацией, включающей, в частности, учебные модули по выбору обучающихся, родителей (законных представителей) несовершеннолетних обучающихся, в том числе предусматривающие удовлетворение различных интересов обучающихся </w:t>
      </w:r>
      <w:r>
        <w:rPr>
          <w:rFonts w:ascii="Times New Roman" w:hAnsi="Times New Roman" w:eastAsia="Arial Unicode MS"/>
          <w:lang w:eastAsia="ru-RU"/>
        </w:rPr>
        <w:t xml:space="preserve">(при организации и проведении уроков физической культуры </w:t>
      </w:r>
      <w:r>
        <w:rPr>
          <w:rFonts w:ascii="Times New Roman" w:hAnsi="Times New Roman"/>
          <w:u w:color="000000"/>
          <w:lang w:eastAsia="ru-RU"/>
        </w:rPr>
        <w:t xml:space="preserve">с 3-х часовой недельной нагрузкой рекомендуемый объём </w:t>
      </w:r>
      <w:bookmarkStart w:id="292" w:name="_Hlk125542100"/>
      <w:r>
        <w:rPr>
          <w:rFonts w:ascii="Times New Roman" w:hAnsi="Times New Roman"/>
          <w:u w:color="000000"/>
          <w:lang w:eastAsia="ru-RU"/>
        </w:rPr>
        <w:t xml:space="preserve">в </w:t>
      </w:r>
      <w:bookmarkStart w:id="293" w:name="_Hlk125558839"/>
      <w:r>
        <w:rPr>
          <w:rFonts w:ascii="Times New Roman" w:hAnsi="Times New Roman"/>
          <w:u w:color="000000"/>
          <w:lang w:eastAsia="ru-RU"/>
        </w:rPr>
        <w:t>1 классе – 33 часа, во 2, 3, 4 классах – по 34 часа</w:t>
      </w:r>
      <w:bookmarkEnd w:id="292"/>
      <w:bookmarkEnd w:id="293"/>
      <w:r>
        <w:rPr>
          <w:rFonts w:ascii="Times New Roman" w:hAnsi="Times New Roman"/>
          <w:lang w:eastAsia="zh-CN"/>
        </w:rPr>
        <w:t>);</w:t>
      </w:r>
    </w:p>
    <w:p w14:paraId="56E883B4">
      <w:pPr>
        <w:pBdr>
          <w:top w:val="none" w:color="000000" w:sz="0" w:space="0"/>
          <w:left w:val="none" w:color="000000" w:sz="0" w:space="0"/>
          <w:bottom w:val="none" w:color="000000" w:sz="0" w:space="0"/>
          <w:right w:val="none" w:color="000000" w:sz="0" w:space="0"/>
        </w:pBdr>
        <w:suppressAutoHyphens/>
        <w:spacing w:after="0" w:line="360" w:lineRule="auto"/>
        <w:ind w:firstLine="709"/>
        <w:jc w:val="both"/>
        <w:rPr>
          <w:rFonts w:ascii="Times New Roman" w:hAnsi="Times New Roman"/>
          <w:lang w:eastAsia="zh-CN"/>
        </w:rPr>
      </w:pPr>
      <w:r>
        <w:rPr>
          <w:rFonts w:ascii="Times New Roman" w:hAnsi="Times New Roman"/>
          <w:lang w:eastAsia="zh-CN"/>
        </w:rPr>
        <w:t xml:space="preserve">в виде дополнительных часов, выделяемых на спортивно-оздоровительную работу с обучающимися в рамках внеурочной деятельности, деятельности школьных спортивных клубов, </w:t>
      </w:r>
      <w:r>
        <w:rPr>
          <w:rFonts w:ascii="Times New Roman" w:hAnsi="Times New Roman"/>
        </w:rPr>
        <w:t>включая использование учебных модулей по видам спорта (</w:t>
      </w:r>
      <w:r>
        <w:rPr>
          <w:rFonts w:ascii="Times New Roman" w:hAnsi="Times New Roman" w:eastAsia="Arial Unicode MS"/>
          <w:lang w:eastAsia="ru-RU"/>
        </w:rPr>
        <w:t xml:space="preserve">рекомендуемый объём в </w:t>
      </w:r>
      <w:r>
        <w:rPr>
          <w:rFonts w:ascii="Times New Roman" w:hAnsi="Times New Roman"/>
          <w:u w:color="000000"/>
          <w:lang w:eastAsia="ru-RU"/>
        </w:rPr>
        <w:t>1 классе – 33 часа, во 2, 3, 4 классах – по 34 часа</w:t>
      </w:r>
      <w:r>
        <w:rPr>
          <w:rFonts w:ascii="Times New Roman" w:hAnsi="Times New Roman"/>
          <w:lang w:eastAsia="zh-CN"/>
        </w:rPr>
        <w:t>).</w:t>
      </w:r>
    </w:p>
    <w:p w14:paraId="0200CF69">
      <w:pPr>
        <w:pBdr>
          <w:top w:val="none" w:color="000000" w:sz="0" w:space="0"/>
          <w:left w:val="none" w:color="000000" w:sz="0" w:space="0"/>
          <w:bottom w:val="none" w:color="000000" w:sz="0" w:space="0"/>
          <w:right w:val="none" w:color="000000" w:sz="0" w:space="0"/>
        </w:pBdr>
        <w:suppressAutoHyphens/>
        <w:spacing w:after="0" w:line="360" w:lineRule="auto"/>
        <w:ind w:firstLine="709"/>
        <w:jc w:val="both"/>
        <w:rPr>
          <w:rFonts w:ascii="Times New Roman" w:hAnsi="Times New Roman"/>
          <w:lang w:eastAsia="zh-CN"/>
        </w:rPr>
      </w:pPr>
      <w:r>
        <w:rPr>
          <w:rFonts w:ascii="Times New Roman" w:hAnsi="Times New Roman" w:eastAsia="Times New Roman"/>
          <w:bCs/>
          <w:lang w:eastAsia="zh-CN"/>
        </w:rPr>
        <w:t>16.4.</w:t>
      </w:r>
      <w:r>
        <w:rPr>
          <w:rFonts w:ascii="Times New Roman" w:hAnsi="Times New Roman"/>
          <w:lang w:eastAsia="zh-CN"/>
        </w:rPr>
        <w:t>8.6. Содержание модуля «Фитнес-аэробика».</w:t>
      </w:r>
    </w:p>
    <w:p w14:paraId="795FA5D0">
      <w:pPr>
        <w:pBdr>
          <w:top w:val="none" w:color="000000" w:sz="0" w:space="0"/>
          <w:left w:val="none" w:color="000000" w:sz="0" w:space="0"/>
          <w:bottom w:val="none" w:color="000000" w:sz="0" w:space="0"/>
          <w:right w:val="none" w:color="000000" w:sz="0" w:space="0"/>
        </w:pBdr>
        <w:suppressAutoHyphens/>
        <w:spacing w:after="0" w:line="360" w:lineRule="auto"/>
        <w:ind w:firstLine="709"/>
        <w:jc w:val="both"/>
        <w:rPr>
          <w:rFonts w:ascii="Times New Roman" w:hAnsi="Times New Roman"/>
          <w:lang w:eastAsia="zh-CN"/>
        </w:rPr>
      </w:pPr>
      <w:r>
        <w:rPr>
          <w:rFonts w:ascii="Times New Roman" w:hAnsi="Times New Roman"/>
          <w:kern w:val="2"/>
        </w:rPr>
        <w:t>Знания о фитнес-аэробике.</w:t>
      </w:r>
    </w:p>
    <w:p w14:paraId="7A67838E">
      <w:pPr>
        <w:spacing w:after="0" w:line="360" w:lineRule="auto"/>
        <w:ind w:firstLine="709"/>
        <w:contextualSpacing/>
        <w:jc w:val="both"/>
        <w:rPr>
          <w:rFonts w:ascii="Times New Roman" w:hAnsi="Times New Roman"/>
          <w:kern w:val="2"/>
        </w:rPr>
      </w:pPr>
      <w:r>
        <w:rPr>
          <w:rFonts w:ascii="Times New Roman" w:hAnsi="Times New Roman"/>
          <w:kern w:val="2"/>
        </w:rPr>
        <w:t xml:space="preserve">История развития фитнеса и фитнес-аэробики (как молодого вида спорта) в России. </w:t>
      </w:r>
    </w:p>
    <w:p w14:paraId="44BA9650">
      <w:pPr>
        <w:spacing w:after="0" w:line="360" w:lineRule="auto"/>
        <w:ind w:firstLine="709"/>
        <w:contextualSpacing/>
        <w:jc w:val="both"/>
        <w:rPr>
          <w:rFonts w:ascii="Times New Roman" w:hAnsi="Times New Roman"/>
          <w:kern w:val="2"/>
        </w:rPr>
      </w:pPr>
      <w:r>
        <w:rPr>
          <w:rFonts w:ascii="Times New Roman" w:hAnsi="Times New Roman"/>
          <w:kern w:val="2"/>
        </w:rPr>
        <w:t xml:space="preserve">Классификация видов фитнес-аэробики, современные тенденции её развития. </w:t>
      </w:r>
    </w:p>
    <w:p w14:paraId="34FB14B7">
      <w:pPr>
        <w:spacing w:after="0" w:line="360" w:lineRule="auto"/>
        <w:ind w:firstLine="709"/>
        <w:contextualSpacing/>
        <w:jc w:val="both"/>
        <w:rPr>
          <w:rFonts w:ascii="Times New Roman" w:hAnsi="Times New Roman"/>
          <w:kern w:val="2"/>
        </w:rPr>
      </w:pPr>
      <w:r>
        <w:rPr>
          <w:rFonts w:ascii="Times New Roman" w:hAnsi="Times New Roman"/>
          <w:kern w:val="2"/>
        </w:rPr>
        <w:t>Требования безопасности при организации занятий фитнес-аэробикой в хореографическом зале. Воспитание морально-волевых качеств во время занятий фитнес-аэробикой.</w:t>
      </w:r>
    </w:p>
    <w:p w14:paraId="6212FBF0">
      <w:pPr>
        <w:spacing w:after="0" w:line="360" w:lineRule="auto"/>
        <w:ind w:firstLine="709"/>
        <w:contextualSpacing/>
        <w:jc w:val="both"/>
        <w:rPr>
          <w:rFonts w:ascii="Times New Roman" w:hAnsi="Times New Roman"/>
          <w:kern w:val="2"/>
        </w:rPr>
      </w:pPr>
      <w:r>
        <w:rPr>
          <w:rFonts w:ascii="Times New Roman" w:hAnsi="Times New Roman"/>
          <w:kern w:val="2"/>
        </w:rPr>
        <w:t>Способы самостоятельной деятельности.</w:t>
      </w:r>
    </w:p>
    <w:p w14:paraId="4C58783B">
      <w:pPr>
        <w:spacing w:after="0" w:line="360" w:lineRule="auto"/>
        <w:ind w:firstLine="709"/>
        <w:contextualSpacing/>
        <w:jc w:val="both"/>
        <w:rPr>
          <w:rFonts w:ascii="Times New Roman" w:hAnsi="Times New Roman"/>
          <w:kern w:val="2"/>
        </w:rPr>
      </w:pPr>
      <w:r>
        <w:rPr>
          <w:rFonts w:ascii="Times New Roman" w:hAnsi="Times New Roman"/>
          <w:kern w:val="2"/>
        </w:rPr>
        <w:t xml:space="preserve">Выбор одежды и обуви для занятий фитнес-аэробикой. </w:t>
      </w:r>
    </w:p>
    <w:p w14:paraId="3618E543">
      <w:pPr>
        <w:spacing w:after="0" w:line="360" w:lineRule="auto"/>
        <w:ind w:firstLine="709"/>
        <w:contextualSpacing/>
        <w:jc w:val="both"/>
        <w:rPr>
          <w:rFonts w:ascii="Times New Roman" w:hAnsi="Times New Roman"/>
          <w:kern w:val="2"/>
        </w:rPr>
      </w:pPr>
      <w:r>
        <w:rPr>
          <w:rFonts w:ascii="Times New Roman" w:hAnsi="Times New Roman"/>
          <w:kern w:val="2"/>
        </w:rPr>
        <w:t xml:space="preserve">Подбор упражнений фитнес-аэробики, определение последовательности их выполнения. </w:t>
      </w:r>
    </w:p>
    <w:p w14:paraId="072DA813">
      <w:pPr>
        <w:pBdr>
          <w:top w:val="none" w:color="000000" w:sz="0" w:space="0"/>
          <w:left w:val="none" w:color="000000" w:sz="0" w:space="0"/>
          <w:bottom w:val="none" w:color="000000" w:sz="0" w:space="0"/>
          <w:right w:val="none" w:color="000000" w:sz="0" w:space="0"/>
        </w:pBdr>
        <w:suppressAutoHyphens/>
        <w:spacing w:after="0" w:line="360" w:lineRule="auto"/>
        <w:ind w:firstLine="709"/>
        <w:jc w:val="both"/>
        <w:rPr>
          <w:rFonts w:ascii="Times New Roman" w:hAnsi="Times New Roman"/>
          <w:lang w:eastAsia="zh-CN"/>
        </w:rPr>
      </w:pPr>
      <w:r>
        <w:rPr>
          <w:rFonts w:ascii="Times New Roman" w:hAnsi="Times New Roman"/>
          <w:lang w:eastAsia="zh-CN"/>
        </w:rPr>
        <w:t>Правила личной гигиены, требования к спортивной одежде для занятий фитнес-аэробикой. Правила использования спортивного инвентаря для занятий фитнес-аэробикой.</w:t>
      </w:r>
    </w:p>
    <w:p w14:paraId="01324076">
      <w:pPr>
        <w:pBdr>
          <w:top w:val="none" w:color="000000" w:sz="0" w:space="0"/>
          <w:left w:val="none" w:color="000000" w:sz="0" w:space="0"/>
          <w:bottom w:val="none" w:color="000000" w:sz="0" w:space="0"/>
          <w:right w:val="none" w:color="000000" w:sz="0" w:space="0"/>
        </w:pBdr>
        <w:suppressAutoHyphens/>
        <w:spacing w:after="0" w:line="360" w:lineRule="auto"/>
        <w:ind w:firstLine="709"/>
        <w:jc w:val="both"/>
        <w:rPr>
          <w:rFonts w:ascii="Times New Roman" w:hAnsi="Times New Roman"/>
          <w:lang w:eastAsia="zh-CN"/>
        </w:rPr>
      </w:pPr>
      <w:r>
        <w:rPr>
          <w:rFonts w:ascii="Times New Roman" w:hAnsi="Times New Roman"/>
          <w:lang w:eastAsia="zh-CN"/>
        </w:rPr>
        <w:t>Тестирование уровня физической подготовленности обучающихся в фитнес-аэробике.</w:t>
      </w:r>
    </w:p>
    <w:p w14:paraId="6F917651">
      <w:pPr>
        <w:pBdr>
          <w:top w:val="none" w:color="000000" w:sz="0" w:space="0"/>
          <w:left w:val="none" w:color="000000" w:sz="0" w:space="0"/>
          <w:bottom w:val="none" w:color="000000" w:sz="0" w:space="0"/>
          <w:right w:val="none" w:color="000000" w:sz="0" w:space="0"/>
        </w:pBdr>
        <w:suppressAutoHyphens/>
        <w:spacing w:after="0" w:line="360" w:lineRule="auto"/>
        <w:ind w:firstLine="709"/>
        <w:jc w:val="both"/>
        <w:rPr>
          <w:rFonts w:ascii="Times New Roman" w:hAnsi="Times New Roman"/>
          <w:lang w:eastAsia="zh-CN"/>
        </w:rPr>
      </w:pPr>
      <w:r>
        <w:rPr>
          <w:rFonts w:ascii="Times New Roman" w:hAnsi="Times New Roman"/>
          <w:lang w:eastAsia="zh-CN"/>
        </w:rPr>
        <w:t>Физическое совершенствование.</w:t>
      </w:r>
    </w:p>
    <w:p w14:paraId="444B6D95">
      <w:pPr>
        <w:spacing w:after="0" w:line="360" w:lineRule="auto"/>
        <w:ind w:firstLine="709"/>
        <w:jc w:val="both"/>
        <w:rPr>
          <w:rFonts w:ascii="Times New Roman" w:hAnsi="Times New Roman"/>
          <w:lang w:eastAsia="ru-RU"/>
        </w:rPr>
      </w:pPr>
      <w:r>
        <w:rPr>
          <w:rFonts w:ascii="Times New Roman" w:hAnsi="Times New Roman"/>
          <w:lang w:eastAsia="ru-RU"/>
        </w:rPr>
        <w:t>Комплексы общеразвивающих и корригирующих упражнений.</w:t>
      </w:r>
    </w:p>
    <w:p w14:paraId="6AE41BEF">
      <w:pPr>
        <w:spacing w:after="0" w:line="360" w:lineRule="auto"/>
        <w:ind w:firstLine="709"/>
        <w:jc w:val="both"/>
        <w:rPr>
          <w:rFonts w:ascii="Times New Roman" w:hAnsi="Times New Roman"/>
          <w:lang w:eastAsia="ru-RU"/>
        </w:rPr>
      </w:pPr>
      <w:r>
        <w:rPr>
          <w:rFonts w:ascii="Times New Roman" w:hAnsi="Times New Roman"/>
          <w:lang w:eastAsia="ru-RU"/>
        </w:rPr>
        <w:t>Комплексы упражнений для развития физических качеств (гибкости, силы, выносливости, быстроты и скоростных способностей).</w:t>
      </w:r>
    </w:p>
    <w:p w14:paraId="1C04FA40">
      <w:pPr>
        <w:spacing w:after="0" w:line="360" w:lineRule="auto"/>
        <w:ind w:firstLine="709"/>
        <w:jc w:val="both"/>
        <w:rPr>
          <w:rFonts w:ascii="Times New Roman" w:hAnsi="Times New Roman"/>
          <w:lang w:eastAsia="ru-RU"/>
        </w:rPr>
      </w:pPr>
      <w:r>
        <w:rPr>
          <w:rFonts w:ascii="Times New Roman" w:hAnsi="Times New Roman"/>
          <w:lang w:eastAsia="ru-RU"/>
        </w:rPr>
        <w:t xml:space="preserve">Изучение техники двигательных действий (элементов) фитнес-аэробики, акробатических упражнений, изученные на уровне начального общего образования. </w:t>
      </w:r>
    </w:p>
    <w:p w14:paraId="48539737">
      <w:pPr>
        <w:spacing w:after="0" w:line="360" w:lineRule="auto"/>
        <w:ind w:firstLine="709"/>
        <w:contextualSpacing/>
        <w:jc w:val="both"/>
        <w:rPr>
          <w:rFonts w:ascii="Times New Roman" w:hAnsi="Times New Roman"/>
          <w:kern w:val="2"/>
        </w:rPr>
      </w:pPr>
      <w:r>
        <w:rPr>
          <w:rFonts w:ascii="Times New Roman" w:hAnsi="Times New Roman"/>
          <w:kern w:val="2"/>
        </w:rPr>
        <w:t>Классическая аэробика:</w:t>
      </w:r>
    </w:p>
    <w:p w14:paraId="7F906F6E">
      <w:pPr>
        <w:spacing w:after="0" w:line="360" w:lineRule="auto"/>
        <w:ind w:firstLine="709"/>
        <w:contextualSpacing/>
        <w:jc w:val="both"/>
        <w:rPr>
          <w:rFonts w:ascii="Times New Roman" w:hAnsi="Times New Roman"/>
          <w:kern w:val="2"/>
        </w:rPr>
      </w:pPr>
      <w:r>
        <w:rPr>
          <w:rFonts w:ascii="Times New Roman" w:hAnsi="Times New Roman"/>
          <w:kern w:val="2"/>
        </w:rPr>
        <w:t>базовые элементы низкой интенсивности, простейшие шаги и соединения шагов, базовые элементы без смены лидирующей ноги (унилатеральные);</w:t>
      </w:r>
    </w:p>
    <w:p w14:paraId="6E63C7A9">
      <w:pPr>
        <w:spacing w:after="0" w:line="360" w:lineRule="auto"/>
        <w:ind w:firstLine="709"/>
        <w:contextualSpacing/>
        <w:jc w:val="both"/>
        <w:rPr>
          <w:rFonts w:ascii="Times New Roman" w:hAnsi="Times New Roman"/>
          <w:kern w:val="2"/>
        </w:rPr>
      </w:pPr>
      <w:r>
        <w:rPr>
          <w:rFonts w:ascii="Times New Roman" w:hAnsi="Times New Roman"/>
          <w:kern w:val="2"/>
        </w:rPr>
        <w:t>базовые элементы со сменой лидирующей ноги (билатеральные);</w:t>
      </w:r>
    </w:p>
    <w:p w14:paraId="798EAAC0">
      <w:pPr>
        <w:spacing w:after="0" w:line="360" w:lineRule="auto"/>
        <w:ind w:firstLine="709"/>
        <w:contextualSpacing/>
        <w:jc w:val="both"/>
        <w:rPr>
          <w:rFonts w:ascii="Times New Roman" w:hAnsi="Times New Roman"/>
          <w:kern w:val="2"/>
        </w:rPr>
      </w:pPr>
      <w:r>
        <w:rPr>
          <w:rFonts w:ascii="Times New Roman" w:hAnsi="Times New Roman"/>
          <w:kern w:val="2"/>
        </w:rPr>
        <w:t>сочетание маршевых и синкопированных элементов;</w:t>
      </w:r>
    </w:p>
    <w:p w14:paraId="4D6CCBBD">
      <w:pPr>
        <w:spacing w:after="0" w:line="360" w:lineRule="auto"/>
        <w:ind w:firstLine="709"/>
        <w:contextualSpacing/>
        <w:jc w:val="both"/>
        <w:rPr>
          <w:rFonts w:ascii="Times New Roman" w:hAnsi="Times New Roman"/>
          <w:kern w:val="2"/>
        </w:rPr>
      </w:pPr>
      <w:r>
        <w:rPr>
          <w:rFonts w:ascii="Times New Roman" w:hAnsi="Times New Roman"/>
          <w:kern w:val="2"/>
        </w:rPr>
        <w:t>сочетание маршевых и лифтовых элементов;</w:t>
      </w:r>
    </w:p>
    <w:p w14:paraId="3326F3FF">
      <w:pPr>
        <w:spacing w:after="0" w:line="360" w:lineRule="auto"/>
        <w:ind w:firstLine="709"/>
        <w:contextualSpacing/>
        <w:jc w:val="both"/>
        <w:rPr>
          <w:rFonts w:ascii="Times New Roman" w:hAnsi="Times New Roman"/>
          <w:kern w:val="2"/>
        </w:rPr>
      </w:pPr>
      <w:r>
        <w:rPr>
          <w:rFonts w:ascii="Times New Roman" w:hAnsi="Times New Roman"/>
          <w:kern w:val="2"/>
        </w:rPr>
        <w:t>основные движения руками;</w:t>
      </w:r>
    </w:p>
    <w:p w14:paraId="16941CA2">
      <w:pPr>
        <w:spacing w:after="0" w:line="360" w:lineRule="auto"/>
        <w:ind w:firstLine="709"/>
        <w:contextualSpacing/>
        <w:jc w:val="both"/>
        <w:rPr>
          <w:rFonts w:ascii="Times New Roman" w:hAnsi="Times New Roman"/>
          <w:kern w:val="2"/>
        </w:rPr>
      </w:pPr>
      <w:r>
        <w:rPr>
          <w:rFonts w:ascii="Times New Roman" w:hAnsi="Times New Roman"/>
          <w:kern w:val="2"/>
        </w:rPr>
        <w:t>выполнение упражнений без музыкального сопровождения и с ним;</w:t>
      </w:r>
    </w:p>
    <w:p w14:paraId="4554DE29">
      <w:pPr>
        <w:spacing w:after="0" w:line="360" w:lineRule="auto"/>
        <w:ind w:firstLine="709"/>
        <w:contextualSpacing/>
        <w:jc w:val="both"/>
        <w:rPr>
          <w:rFonts w:ascii="Times New Roman" w:hAnsi="Times New Roman"/>
          <w:kern w:val="2"/>
        </w:rPr>
      </w:pPr>
      <w:r>
        <w:rPr>
          <w:rFonts w:ascii="Times New Roman" w:hAnsi="Times New Roman"/>
          <w:kern w:val="2"/>
        </w:rPr>
        <w:t>выполнение комбинации классической аэробики.</w:t>
      </w:r>
    </w:p>
    <w:p w14:paraId="6C792F62">
      <w:pPr>
        <w:spacing w:after="0" w:line="360" w:lineRule="auto"/>
        <w:ind w:firstLine="709"/>
        <w:contextualSpacing/>
        <w:jc w:val="both"/>
        <w:rPr>
          <w:rFonts w:ascii="Times New Roman" w:hAnsi="Times New Roman"/>
          <w:kern w:val="2"/>
        </w:rPr>
      </w:pPr>
      <w:r>
        <w:rPr>
          <w:rFonts w:ascii="Times New Roman" w:hAnsi="Times New Roman"/>
          <w:kern w:val="2"/>
        </w:rPr>
        <w:t>Степ-аэробика:</w:t>
      </w:r>
    </w:p>
    <w:p w14:paraId="3090CEE9">
      <w:pPr>
        <w:spacing w:after="0" w:line="360" w:lineRule="auto"/>
        <w:ind w:firstLine="709"/>
        <w:contextualSpacing/>
        <w:jc w:val="both"/>
        <w:rPr>
          <w:rFonts w:ascii="Times New Roman" w:hAnsi="Times New Roman"/>
          <w:kern w:val="2"/>
        </w:rPr>
      </w:pPr>
      <w:r>
        <w:rPr>
          <w:rFonts w:ascii="Times New Roman" w:hAnsi="Times New Roman"/>
          <w:kern w:val="2"/>
        </w:rPr>
        <w:t>базовые элементы без смены лидирующей ноги (унилатеральные);</w:t>
      </w:r>
    </w:p>
    <w:p w14:paraId="0A96A7B6">
      <w:pPr>
        <w:spacing w:after="0" w:line="360" w:lineRule="auto"/>
        <w:ind w:firstLine="709"/>
        <w:contextualSpacing/>
        <w:jc w:val="both"/>
        <w:rPr>
          <w:rFonts w:ascii="Times New Roman" w:hAnsi="Times New Roman"/>
          <w:kern w:val="2"/>
        </w:rPr>
      </w:pPr>
      <w:r>
        <w:rPr>
          <w:rFonts w:ascii="Times New Roman" w:hAnsi="Times New Roman"/>
          <w:kern w:val="2"/>
        </w:rPr>
        <w:t>сочетание маршевых и синкопированных элементов;</w:t>
      </w:r>
    </w:p>
    <w:p w14:paraId="0553DC7B">
      <w:pPr>
        <w:spacing w:after="0" w:line="360" w:lineRule="auto"/>
        <w:ind w:firstLine="709"/>
        <w:contextualSpacing/>
        <w:jc w:val="both"/>
        <w:rPr>
          <w:rFonts w:ascii="Times New Roman" w:hAnsi="Times New Roman"/>
          <w:kern w:val="2"/>
        </w:rPr>
      </w:pPr>
      <w:r>
        <w:rPr>
          <w:rFonts w:ascii="Times New Roman" w:hAnsi="Times New Roman"/>
          <w:kern w:val="2"/>
        </w:rPr>
        <w:t>сочетание маршевых и лифтовых элементов;</w:t>
      </w:r>
    </w:p>
    <w:p w14:paraId="5DD2E71C">
      <w:pPr>
        <w:spacing w:after="0" w:line="360" w:lineRule="auto"/>
        <w:ind w:firstLine="709"/>
        <w:contextualSpacing/>
        <w:jc w:val="both"/>
        <w:rPr>
          <w:rFonts w:ascii="Times New Roman" w:hAnsi="Times New Roman"/>
          <w:kern w:val="2"/>
        </w:rPr>
      </w:pPr>
      <w:r>
        <w:rPr>
          <w:rFonts w:ascii="Times New Roman" w:hAnsi="Times New Roman"/>
          <w:kern w:val="2"/>
        </w:rPr>
        <w:t>движения руками;</w:t>
      </w:r>
    </w:p>
    <w:p w14:paraId="16994231">
      <w:pPr>
        <w:spacing w:after="0" w:line="360" w:lineRule="auto"/>
        <w:ind w:firstLine="709"/>
        <w:contextualSpacing/>
        <w:jc w:val="both"/>
        <w:rPr>
          <w:rFonts w:ascii="Times New Roman" w:hAnsi="Times New Roman"/>
          <w:kern w:val="2"/>
        </w:rPr>
      </w:pPr>
      <w:r>
        <w:rPr>
          <w:rFonts w:ascii="Times New Roman" w:hAnsi="Times New Roman"/>
          <w:kern w:val="2"/>
        </w:rPr>
        <w:t>выполнение упражнений и комплексов степ-аэробики с музыкальным сопровождением и без него;</w:t>
      </w:r>
    </w:p>
    <w:p w14:paraId="3C1815DE">
      <w:pPr>
        <w:spacing w:after="0" w:line="360" w:lineRule="auto"/>
        <w:ind w:firstLine="709"/>
        <w:contextualSpacing/>
        <w:jc w:val="both"/>
        <w:rPr>
          <w:rFonts w:ascii="Times New Roman" w:hAnsi="Times New Roman"/>
          <w:kern w:val="2"/>
        </w:rPr>
      </w:pPr>
      <w:r>
        <w:rPr>
          <w:rFonts w:ascii="Times New Roman" w:hAnsi="Times New Roman"/>
          <w:kern w:val="2"/>
        </w:rPr>
        <w:t>Хореографическая и музыкальная подготовка.</w:t>
      </w:r>
    </w:p>
    <w:p w14:paraId="03F90774">
      <w:pPr>
        <w:spacing w:after="0" w:line="360" w:lineRule="auto"/>
        <w:ind w:firstLine="709"/>
        <w:contextualSpacing/>
        <w:jc w:val="both"/>
        <w:rPr>
          <w:rFonts w:ascii="Times New Roman" w:hAnsi="Times New Roman"/>
          <w:kern w:val="2"/>
        </w:rPr>
      </w:pPr>
      <w:r>
        <w:rPr>
          <w:rFonts w:ascii="Times New Roman" w:hAnsi="Times New Roman"/>
          <w:kern w:val="2"/>
        </w:rPr>
        <w:t xml:space="preserve">Хореографическая подготовка (базовые упражнения классического экзерсиса), воспитание эмоциональности и красоты движений, воспитание музыкального слуха, чувства ритма, понимания взаимосвязи музыки и движений. Основы музыкальной грамоты. </w:t>
      </w:r>
      <w:r>
        <w:rPr>
          <w:rFonts w:ascii="Times New Roman" w:hAnsi="Times New Roman" w:eastAsia="Times New Roman"/>
          <w:lang w:eastAsia="ru-RU"/>
        </w:rPr>
        <w:t>Музыкальный размер. Понятие «Музыкальный квадрат».</w:t>
      </w:r>
    </w:p>
    <w:p w14:paraId="1C1A1F7E">
      <w:pPr>
        <w:pBdr>
          <w:top w:val="none" w:color="000000" w:sz="0" w:space="0"/>
          <w:left w:val="none" w:color="000000" w:sz="0" w:space="0"/>
          <w:bottom w:val="none" w:color="000000" w:sz="0" w:space="0"/>
          <w:right w:val="none" w:color="000000" w:sz="0" w:space="0"/>
        </w:pBdr>
        <w:suppressAutoHyphens/>
        <w:spacing w:after="0" w:line="360" w:lineRule="auto"/>
        <w:ind w:firstLine="709"/>
        <w:jc w:val="both"/>
        <w:rPr>
          <w:rFonts w:ascii="Times New Roman" w:hAnsi="Times New Roman"/>
          <w:lang w:eastAsia="zh-CN"/>
        </w:rPr>
      </w:pPr>
      <w:r>
        <w:rPr>
          <w:rFonts w:ascii="Times New Roman" w:hAnsi="Times New Roman" w:eastAsia="Times New Roman"/>
          <w:bCs/>
          <w:lang w:eastAsia="zh-CN"/>
        </w:rPr>
        <w:t>16.4.</w:t>
      </w:r>
      <w:r>
        <w:rPr>
          <w:rFonts w:ascii="Times New Roman" w:hAnsi="Times New Roman"/>
          <w:lang w:eastAsia="zh-CN"/>
        </w:rPr>
        <w:t>8.7. Содержание модуля «Фитнес-аэробика» направлено на достижение обучающимися личностных, метапредметных и предметных результатов обучения.</w:t>
      </w:r>
    </w:p>
    <w:p w14:paraId="024F31E4">
      <w:pPr>
        <w:pBdr>
          <w:top w:val="none" w:color="000000" w:sz="0" w:space="0"/>
          <w:left w:val="none" w:color="000000" w:sz="0" w:space="0"/>
          <w:bottom w:val="none" w:color="000000" w:sz="0" w:space="0"/>
          <w:right w:val="none" w:color="000000" w:sz="0" w:space="0"/>
        </w:pBdr>
        <w:suppressAutoHyphens/>
        <w:spacing w:after="0" w:line="360" w:lineRule="auto"/>
        <w:ind w:firstLine="709"/>
        <w:jc w:val="both"/>
        <w:rPr>
          <w:rFonts w:ascii="Times New Roman" w:hAnsi="Times New Roman"/>
          <w:lang w:eastAsia="zh-CN"/>
        </w:rPr>
      </w:pPr>
      <w:r>
        <w:rPr>
          <w:rFonts w:ascii="Times New Roman" w:hAnsi="Times New Roman" w:eastAsia="Times New Roman"/>
          <w:bCs/>
          <w:lang w:eastAsia="zh-CN"/>
        </w:rPr>
        <w:t>16.4.</w:t>
      </w:r>
      <w:r>
        <w:rPr>
          <w:rFonts w:ascii="Times New Roman" w:hAnsi="Times New Roman"/>
          <w:lang w:eastAsia="zh-CN"/>
        </w:rPr>
        <w:t>8.7.1. При изучении модуля «Фитнес-аэробика» на уровне начального общего образования у обучающихся будут сформированы следующие личностные результаты:</w:t>
      </w:r>
    </w:p>
    <w:p w14:paraId="63D519CE">
      <w:pPr>
        <w:autoSpaceDE w:val="0"/>
        <w:autoSpaceDN w:val="0"/>
        <w:spacing w:after="0" w:line="360" w:lineRule="auto"/>
        <w:ind w:firstLine="709"/>
        <w:jc w:val="both"/>
        <w:rPr>
          <w:rFonts w:ascii="Times New Roman" w:hAnsi="Times New Roman" w:eastAsia="Times New Roman"/>
        </w:rPr>
      </w:pPr>
      <w:bookmarkStart w:id="294" w:name="_Hlk97293301"/>
      <w:bookmarkEnd w:id="294"/>
      <w:r>
        <w:rPr>
          <w:rFonts w:ascii="Times New Roman" w:hAnsi="Times New Roman" w:eastAsia="Times New Roman"/>
        </w:rPr>
        <w:t>воспитание патриотизма, уважения к Отечеству через знание истории и современного состояния развития фитнес-аэробики, включая региональный, всероссийский уровни;</w:t>
      </w:r>
    </w:p>
    <w:p w14:paraId="5F8620DC">
      <w:pPr>
        <w:spacing w:after="0" w:line="360" w:lineRule="auto"/>
        <w:ind w:firstLine="709"/>
        <w:contextualSpacing/>
        <w:jc w:val="both"/>
        <w:rPr>
          <w:rFonts w:ascii="Times New Roman" w:hAnsi="Times New Roman"/>
          <w:lang w:eastAsia="ru-RU"/>
        </w:rPr>
      </w:pPr>
      <w:r>
        <w:rPr>
          <w:rFonts w:ascii="Times New Roman" w:hAnsi="Times New Roman"/>
          <w:lang w:eastAsia="ru-RU"/>
        </w:rPr>
        <w:t>проявление уважительного отношения к сверстникам, культуры общения и взаимодействия, терпимости в достижении общих целей при совместной деятельности (учебной, тренировочной, досуговой, игровой и соревновательной) на принципах доброжелательности и взаимопомощи;</w:t>
      </w:r>
    </w:p>
    <w:p w14:paraId="447F124A">
      <w:pPr>
        <w:autoSpaceDE w:val="0"/>
        <w:autoSpaceDN w:val="0"/>
        <w:adjustRightInd w:val="0"/>
        <w:spacing w:after="0" w:line="360" w:lineRule="auto"/>
        <w:ind w:firstLine="709"/>
        <w:jc w:val="both"/>
        <w:rPr>
          <w:rFonts w:ascii="Times New Roman" w:hAnsi="Times New Roman" w:eastAsia="HiddenHorzOCR"/>
          <w:lang w:eastAsia="ru-RU"/>
        </w:rPr>
      </w:pPr>
      <w:r>
        <w:rPr>
          <w:rFonts w:ascii="Times New Roman" w:hAnsi="Times New Roman" w:eastAsia="HiddenHorzOCR"/>
          <w:lang w:eastAsia="ru-RU"/>
        </w:rPr>
        <w:t>проявление готовности к саморазвитию, самообразованию и самовоспитанию, мотивации к осознанному выбору индивидуальной траектории образования средствами фитнес-аэробики;</w:t>
      </w:r>
    </w:p>
    <w:p w14:paraId="2EE568BC">
      <w:pPr>
        <w:autoSpaceDE w:val="0"/>
        <w:autoSpaceDN w:val="0"/>
        <w:adjustRightInd w:val="0"/>
        <w:spacing w:after="0" w:line="360" w:lineRule="auto"/>
        <w:ind w:firstLine="709"/>
        <w:jc w:val="both"/>
        <w:rPr>
          <w:rFonts w:ascii="Times New Roman" w:hAnsi="Times New Roman" w:eastAsia="HiddenHorzOCR"/>
          <w:lang w:eastAsia="ru-RU"/>
        </w:rPr>
      </w:pPr>
      <w:r>
        <w:rPr>
          <w:rFonts w:ascii="Times New Roman" w:hAnsi="Times New Roman"/>
          <w:lang w:eastAsia="ru-RU"/>
        </w:rPr>
        <w:t>проявление положительных качеств личности и управление своими эмоциями в различных (нестандартных) ситуациях и условиях,</w:t>
      </w:r>
      <w:r>
        <w:rPr>
          <w:rFonts w:ascii="Times New Roman" w:hAnsi="Times New Roman" w:eastAsia="HiddenHorzOCR"/>
          <w:lang w:eastAsia="ru-RU"/>
        </w:rPr>
        <w:t xml:space="preserve"> умение не создавать конфликтов и находить выходы из спорных ситуаций;</w:t>
      </w:r>
    </w:p>
    <w:p w14:paraId="125C5B5B">
      <w:pPr>
        <w:pBdr>
          <w:top w:val="none" w:color="auto" w:sz="0" w:space="0"/>
          <w:left w:val="none" w:color="auto" w:sz="0" w:space="0"/>
          <w:bottom w:val="none" w:color="auto" w:sz="0" w:space="0"/>
          <w:right w:val="none" w:color="auto" w:sz="0" w:space="0"/>
          <w:between w:val="none" w:color="auto" w:sz="0" w:space="0"/>
        </w:pBdr>
        <w:spacing w:after="0" w:line="360" w:lineRule="auto"/>
        <w:ind w:firstLine="709"/>
        <w:jc w:val="both"/>
        <w:rPr>
          <w:rFonts w:ascii="Times New Roman" w:hAnsi="Times New Roman"/>
          <w:lang w:eastAsia="ru-RU"/>
        </w:rPr>
      </w:pPr>
      <w:r>
        <w:rPr>
          <w:rFonts w:ascii="Times New Roman" w:hAnsi="Times New Roman"/>
          <w:lang w:eastAsia="ru-RU"/>
        </w:rPr>
        <w:t>реализация ценностей здорового и безопасного образа жизни, потребности в физическом самосовершенствовании, занятиях спортивно-оздоровительной деятельностью;</w:t>
      </w:r>
    </w:p>
    <w:p w14:paraId="0A52E646">
      <w:pPr>
        <w:pBdr>
          <w:top w:val="none" w:color="auto" w:sz="0" w:space="0"/>
          <w:left w:val="none" w:color="auto" w:sz="0" w:space="0"/>
          <w:bottom w:val="none" w:color="auto" w:sz="0" w:space="0"/>
          <w:right w:val="none" w:color="auto" w:sz="0" w:space="0"/>
          <w:between w:val="none" w:color="auto" w:sz="0" w:space="0"/>
        </w:pBdr>
        <w:spacing w:after="0" w:line="360" w:lineRule="auto"/>
        <w:ind w:firstLine="709"/>
        <w:jc w:val="both"/>
        <w:rPr>
          <w:rFonts w:ascii="Times New Roman" w:hAnsi="Times New Roman"/>
          <w:lang w:eastAsia="ru-RU"/>
        </w:rPr>
      </w:pPr>
      <w:r>
        <w:rPr>
          <w:rFonts w:ascii="Times New Roman" w:hAnsi="Times New Roman"/>
          <w:lang w:eastAsia="ru-RU"/>
        </w:rPr>
        <w:t>проявление осознанного и ответственного отношения к собственным поступкам, моральной компетентности в решении проблем в процессе занятий физической культурой, игровой и соревновательной деятельности по фитнес-аэробике;</w:t>
      </w:r>
    </w:p>
    <w:p w14:paraId="53C3A369">
      <w:pPr>
        <w:autoSpaceDE w:val="0"/>
        <w:autoSpaceDN w:val="0"/>
        <w:adjustRightInd w:val="0"/>
        <w:spacing w:after="0" w:line="360" w:lineRule="auto"/>
        <w:ind w:firstLine="709"/>
        <w:jc w:val="both"/>
        <w:rPr>
          <w:rFonts w:ascii="Times New Roman" w:hAnsi="Times New Roman" w:eastAsia="HiddenHorzOCR"/>
          <w:lang w:eastAsia="ru-RU"/>
        </w:rPr>
      </w:pPr>
      <w:r>
        <w:rPr>
          <w:rFonts w:ascii="Times New Roman" w:hAnsi="Times New Roman"/>
          <w:lang w:eastAsia="ru-RU"/>
        </w:rPr>
        <w:t>проявление дисциплинированности, трудолюбия и упорства достижении поставленных целей н</w:t>
      </w:r>
      <w:r>
        <w:rPr>
          <w:rFonts w:ascii="Times New Roman" w:hAnsi="Times New Roman" w:eastAsia="HiddenHorzOCR"/>
          <w:lang w:eastAsia="ru-RU"/>
        </w:rPr>
        <w:t>а основе представлений о нравственных нормах, социальной справедливости и свободе;</w:t>
      </w:r>
    </w:p>
    <w:p w14:paraId="0B4130E7">
      <w:pPr>
        <w:pBdr>
          <w:top w:val="none" w:color="auto" w:sz="0" w:space="0"/>
          <w:left w:val="none" w:color="auto" w:sz="0" w:space="0"/>
          <w:bottom w:val="none" w:color="auto" w:sz="0" w:space="0"/>
          <w:right w:val="none" w:color="auto" w:sz="0" w:space="0"/>
          <w:between w:val="none" w:color="auto" w:sz="0" w:space="0"/>
        </w:pBdr>
        <w:spacing w:after="0" w:line="360" w:lineRule="auto"/>
        <w:ind w:firstLine="709"/>
        <w:jc w:val="both"/>
        <w:rPr>
          <w:rFonts w:ascii="Times New Roman" w:hAnsi="Times New Roman"/>
          <w:lang w:eastAsia="ru-RU"/>
        </w:rPr>
      </w:pPr>
      <w:r>
        <w:rPr>
          <w:rFonts w:ascii="Times New Roman" w:hAnsi="Times New Roman"/>
          <w:lang w:eastAsia="ru-RU"/>
        </w:rPr>
        <w:t>готовность соблюдать правила индивидуального и коллективного безопасного поведения в учебной, соревновательной, досуговой деятельности и чрезвычайных ситуациях;</w:t>
      </w:r>
    </w:p>
    <w:p w14:paraId="0646AEFB">
      <w:pPr>
        <w:autoSpaceDE w:val="0"/>
        <w:autoSpaceDN w:val="0"/>
        <w:adjustRightInd w:val="0"/>
        <w:spacing w:after="0" w:line="360" w:lineRule="auto"/>
        <w:ind w:firstLine="709"/>
        <w:jc w:val="both"/>
        <w:rPr>
          <w:rFonts w:ascii="Times New Roman" w:hAnsi="Times New Roman" w:eastAsia="HiddenHorzOCR"/>
          <w:lang w:eastAsia="ru-RU"/>
        </w:rPr>
      </w:pPr>
      <w:r>
        <w:rPr>
          <w:rFonts w:ascii="Times New Roman" w:hAnsi="Times New Roman"/>
          <w:lang w:eastAsia="ru-RU"/>
        </w:rPr>
        <w:t>проявление положительных качеств личности и управление своими эмоциями в различных ситуациях и условиях, способность к самостоятельной, творческой и ответственной деятельности средствами фитнес-аэробики.</w:t>
      </w:r>
    </w:p>
    <w:p w14:paraId="5E1B2BAB">
      <w:pPr>
        <w:tabs>
          <w:tab w:val="left" w:pos="9072"/>
        </w:tabs>
        <w:autoSpaceDE w:val="0"/>
        <w:autoSpaceDN w:val="0"/>
        <w:spacing w:after="0" w:line="360" w:lineRule="auto"/>
        <w:ind w:firstLine="709"/>
        <w:contextualSpacing/>
        <w:jc w:val="both"/>
        <w:rPr>
          <w:rFonts w:ascii="Times New Roman" w:hAnsi="Times New Roman"/>
          <w:lang w:eastAsia="ru-RU"/>
        </w:rPr>
      </w:pPr>
      <w:r>
        <w:rPr>
          <w:rFonts w:ascii="Times New Roman" w:hAnsi="Times New Roman" w:eastAsia="Times New Roman"/>
          <w:bCs/>
          <w:lang w:eastAsia="zh-CN"/>
        </w:rPr>
        <w:t>16.4.</w:t>
      </w:r>
      <w:r>
        <w:rPr>
          <w:rFonts w:ascii="Times New Roman" w:hAnsi="Times New Roman"/>
          <w:lang w:eastAsia="zh-CN"/>
        </w:rPr>
        <w:t>8.7.2.</w:t>
      </w:r>
      <w:r>
        <w:rPr>
          <w:rFonts w:ascii="Times New Roman" w:hAnsi="Times New Roman" w:eastAsia="Times New Roman"/>
        </w:rPr>
        <w:t> </w:t>
      </w:r>
      <w:r>
        <w:rPr>
          <w:rFonts w:ascii="Times New Roman" w:hAnsi="Times New Roman"/>
          <w:lang w:eastAsia="zh-CN"/>
        </w:rPr>
        <w:t>При изучении модуля «Фитнес-аэробики» на уровне начального общего образования у обучающихся будут сформированы следующие метапредметные результаты</w:t>
      </w:r>
      <w:r>
        <w:rPr>
          <w:rFonts w:ascii="Times New Roman" w:hAnsi="Times New Roman"/>
          <w:lang w:eastAsia="ru-RU"/>
        </w:rPr>
        <w:t>:</w:t>
      </w:r>
    </w:p>
    <w:p w14:paraId="0416FE2A">
      <w:pPr>
        <w:pBdr>
          <w:top w:val="none" w:color="000000" w:sz="0" w:space="0"/>
          <w:left w:val="none" w:color="000000" w:sz="0" w:space="0"/>
          <w:bottom w:val="none" w:color="000000" w:sz="0" w:space="0"/>
          <w:right w:val="none" w:color="000000" w:sz="0" w:space="0"/>
        </w:pBdr>
        <w:suppressAutoHyphens/>
        <w:spacing w:after="0" w:line="360" w:lineRule="auto"/>
        <w:ind w:firstLine="709"/>
        <w:jc w:val="both"/>
        <w:rPr>
          <w:rFonts w:ascii="Times New Roman" w:hAnsi="Times New Roman"/>
          <w:lang w:eastAsia="zh-CN"/>
        </w:rPr>
      </w:pPr>
      <w:r>
        <w:rPr>
          <w:rFonts w:ascii="Times New Roman" w:hAnsi="Times New Roman"/>
          <w:lang w:eastAsia="zh-CN"/>
        </w:rPr>
        <w:t>умение самостоятельно определять цели и задачи своего обучения средствами фитнес-аэробики, развивать мотивы и интересы своей познавательной деятельности в физкультурно-спортивном направлении;</w:t>
      </w:r>
    </w:p>
    <w:p w14:paraId="3C856207">
      <w:pPr>
        <w:tabs>
          <w:tab w:val="left" w:pos="8789"/>
        </w:tabs>
        <w:autoSpaceDE w:val="0"/>
        <w:autoSpaceDN w:val="0"/>
        <w:spacing w:after="0" w:line="360" w:lineRule="auto"/>
        <w:ind w:firstLine="709"/>
        <w:contextualSpacing/>
        <w:jc w:val="both"/>
        <w:rPr>
          <w:rFonts w:ascii="Times New Roman" w:hAnsi="Times New Roman" w:eastAsia="Times New Roman"/>
        </w:rPr>
      </w:pPr>
      <w:r>
        <w:rPr>
          <w:rFonts w:ascii="Times New Roman" w:hAnsi="Times New Roman" w:eastAsia="Times New Roman"/>
        </w:rPr>
        <w:t>умения контролировать и оценивать учебные действия, собственную деятельность, распределять нагрузку и отдых в процессе ее выполнения;</w:t>
      </w:r>
    </w:p>
    <w:p w14:paraId="1EC3A2E5">
      <w:pPr>
        <w:tabs>
          <w:tab w:val="left" w:pos="9072"/>
        </w:tabs>
        <w:spacing w:after="0" w:line="360" w:lineRule="auto"/>
        <w:ind w:firstLine="709"/>
        <w:jc w:val="both"/>
        <w:rPr>
          <w:rFonts w:ascii="Times New Roman" w:hAnsi="Times New Roman"/>
          <w:kern w:val="2"/>
        </w:rPr>
      </w:pPr>
      <w:r>
        <w:rPr>
          <w:rFonts w:ascii="Times New Roman" w:hAnsi="Times New Roman"/>
          <w:kern w:val="2"/>
        </w:rPr>
        <w:t>умение вести дискуссию, обсуждать содержание и результаты совместной деятельности, формулировать, аргументировать и отстаивать своё мнение;</w:t>
      </w:r>
    </w:p>
    <w:p w14:paraId="33863CD3">
      <w:pPr>
        <w:spacing w:after="0" w:line="360" w:lineRule="auto"/>
        <w:ind w:firstLine="709"/>
        <w:contextualSpacing/>
        <w:jc w:val="both"/>
        <w:rPr>
          <w:rFonts w:ascii="Times New Roman" w:hAnsi="Times New Roman"/>
          <w:kern w:val="2"/>
        </w:rPr>
      </w:pPr>
      <w:r>
        <w:rPr>
          <w:rFonts w:ascii="Times New Roman" w:hAnsi="Times New Roman" w:eastAsia="Times New Roman"/>
        </w:rPr>
        <w:t>организация самостоятельной деятельности с учетом требований ее безопасности, сохранности инвентаря и оборудования, организации места занятий по фитнес-аэробике;</w:t>
      </w:r>
    </w:p>
    <w:p w14:paraId="78AFB22F">
      <w:pPr>
        <w:tabs>
          <w:tab w:val="left" w:pos="9072"/>
        </w:tabs>
        <w:autoSpaceDE w:val="0"/>
        <w:autoSpaceDN w:val="0"/>
        <w:spacing w:after="0" w:line="360" w:lineRule="auto"/>
        <w:ind w:firstLine="709"/>
        <w:contextualSpacing/>
        <w:jc w:val="both"/>
        <w:rPr>
          <w:rFonts w:ascii="Times New Roman" w:hAnsi="Times New Roman" w:eastAsia="Times New Roman"/>
        </w:rPr>
      </w:pPr>
      <w:r>
        <w:rPr>
          <w:rFonts w:ascii="Times New Roman" w:hAnsi="Times New Roman" w:eastAsia="Times New Roman"/>
        </w:rPr>
        <w:t>способность выделять и обосновывать эстетические признаки в физических упражнениях, двигательных действиях, оценивать красоту телосложения и осанки.</w:t>
      </w:r>
    </w:p>
    <w:p w14:paraId="532483D4">
      <w:pPr>
        <w:pBdr>
          <w:top w:val="none" w:color="000000" w:sz="0" w:space="0"/>
          <w:left w:val="none" w:color="000000" w:sz="0" w:space="0"/>
          <w:bottom w:val="none" w:color="000000" w:sz="0" w:space="0"/>
          <w:right w:val="none" w:color="000000" w:sz="0" w:space="0"/>
        </w:pBdr>
        <w:suppressAutoHyphens/>
        <w:spacing w:after="0" w:line="360" w:lineRule="auto"/>
        <w:ind w:firstLine="709"/>
        <w:jc w:val="both"/>
        <w:rPr>
          <w:rFonts w:ascii="Times New Roman" w:hAnsi="Times New Roman"/>
          <w:lang w:eastAsia="zh-CN"/>
        </w:rPr>
      </w:pPr>
      <w:r>
        <w:rPr>
          <w:rFonts w:ascii="Times New Roman" w:hAnsi="Times New Roman" w:eastAsia="Times New Roman"/>
          <w:bCs/>
          <w:lang w:eastAsia="zh-CN"/>
        </w:rPr>
        <w:t>16.4.</w:t>
      </w:r>
      <w:r>
        <w:rPr>
          <w:rFonts w:ascii="Times New Roman" w:hAnsi="Times New Roman"/>
          <w:lang w:eastAsia="zh-CN"/>
        </w:rPr>
        <w:t>8.7.3. При изучении модуля «Фитнес-аэробика» на уровне начального общего образования у обучающихся будут сформированы следующие предметные результаты:</w:t>
      </w:r>
    </w:p>
    <w:p w14:paraId="720EA953">
      <w:pPr>
        <w:spacing w:after="0" w:line="360" w:lineRule="auto"/>
        <w:ind w:firstLine="709"/>
        <w:contextualSpacing/>
        <w:jc w:val="both"/>
        <w:rPr>
          <w:rFonts w:ascii="Times New Roman" w:hAnsi="Times New Roman"/>
        </w:rPr>
      </w:pPr>
      <w:r>
        <w:rPr>
          <w:rFonts w:ascii="Times New Roman" w:hAnsi="Times New Roman"/>
        </w:rPr>
        <w:t>знания истории развития фитнес-аэробики в мире и России;</w:t>
      </w:r>
    </w:p>
    <w:p w14:paraId="2E646499">
      <w:pPr>
        <w:autoSpaceDE w:val="0"/>
        <w:autoSpaceDN w:val="0"/>
        <w:spacing w:after="0" w:line="360" w:lineRule="auto"/>
        <w:ind w:firstLine="709"/>
        <w:jc w:val="both"/>
        <w:rPr>
          <w:rFonts w:ascii="Times New Roman" w:hAnsi="Times New Roman" w:eastAsia="Times New Roman"/>
        </w:rPr>
      </w:pPr>
      <w:r>
        <w:rPr>
          <w:rFonts w:ascii="Times New Roman" w:hAnsi="Times New Roman" w:eastAsia="Times New Roman"/>
        </w:rPr>
        <w:t>представления о роли и значении занятий фитнес-аэробикой как средства укрепления здоровья, закаливания и развития физических качеств человека;</w:t>
      </w:r>
    </w:p>
    <w:p w14:paraId="74C46046">
      <w:pPr>
        <w:autoSpaceDE w:val="0"/>
        <w:autoSpaceDN w:val="0"/>
        <w:adjustRightInd w:val="0"/>
        <w:spacing w:after="0" w:line="360" w:lineRule="auto"/>
        <w:ind w:firstLine="709"/>
        <w:contextualSpacing/>
        <w:jc w:val="both"/>
        <w:textAlignment w:val="center"/>
        <w:rPr>
          <w:rFonts w:ascii="Times New Roman" w:hAnsi="Times New Roman"/>
        </w:rPr>
      </w:pPr>
      <w:bookmarkStart w:id="295" w:name="_Hlk97374023"/>
      <w:r>
        <w:rPr>
          <w:rFonts w:ascii="Times New Roman" w:hAnsi="Times New Roman" w:eastAsia="Times New Roman"/>
        </w:rPr>
        <w:t>навыки безопасного поведения во время занятий фитнес-аэробикой, посещений соревнований по фитнес-аэробике, правил личной гигиены, требований к спортивной одежде и обуви, спортивному инвентарю для занятий фитнес-аэробикой;</w:t>
      </w:r>
    </w:p>
    <w:bookmarkEnd w:id="295"/>
    <w:p w14:paraId="48714C02">
      <w:pPr>
        <w:autoSpaceDE w:val="0"/>
        <w:autoSpaceDN w:val="0"/>
        <w:spacing w:after="0" w:line="360" w:lineRule="auto"/>
        <w:ind w:firstLine="709"/>
        <w:jc w:val="both"/>
        <w:rPr>
          <w:rFonts w:ascii="Times New Roman" w:hAnsi="Times New Roman" w:eastAsia="Times New Roman"/>
        </w:rPr>
      </w:pPr>
      <w:r>
        <w:rPr>
          <w:rFonts w:ascii="Times New Roman" w:hAnsi="Times New Roman" w:eastAsia="Times New Roman"/>
        </w:rPr>
        <w:t xml:space="preserve"> навыки систематического наблюдения за своим физическим состоянием, величиной физических нагрузок, показателями физического развития и основных физических качеств;</w:t>
      </w:r>
    </w:p>
    <w:p w14:paraId="1BE3838E">
      <w:pPr>
        <w:autoSpaceDE w:val="0"/>
        <w:autoSpaceDN w:val="0"/>
        <w:spacing w:after="0" w:line="360" w:lineRule="auto"/>
        <w:ind w:firstLine="709"/>
        <w:jc w:val="both"/>
        <w:rPr>
          <w:rFonts w:ascii="Times New Roman" w:hAnsi="Times New Roman" w:eastAsia="Times New Roman"/>
        </w:rPr>
      </w:pPr>
      <w:r>
        <w:rPr>
          <w:rFonts w:ascii="Times New Roman" w:hAnsi="Times New Roman" w:eastAsia="Times New Roman"/>
        </w:rPr>
        <w:t>способность анализировать технику выполнения упражнений фитнес-аэробики и находить способы устранения ошибок;</w:t>
      </w:r>
    </w:p>
    <w:p w14:paraId="27F5555D">
      <w:pPr>
        <w:spacing w:after="0" w:line="360" w:lineRule="auto"/>
        <w:ind w:firstLine="709"/>
        <w:contextualSpacing/>
        <w:jc w:val="both"/>
        <w:rPr>
          <w:rFonts w:ascii="Times New Roman" w:hAnsi="Times New Roman"/>
        </w:rPr>
      </w:pPr>
      <w:r>
        <w:rPr>
          <w:rFonts w:ascii="Times New Roman" w:hAnsi="Times New Roman"/>
        </w:rPr>
        <w:t>выполнение базовых элементов классической и степ-аэробики низкой и высокой интенсивности со сменой (и без смены) лидирующей ноги;</w:t>
      </w:r>
    </w:p>
    <w:p w14:paraId="0564BFEA">
      <w:pPr>
        <w:spacing w:after="0" w:line="360" w:lineRule="auto"/>
        <w:ind w:firstLine="709"/>
        <w:contextualSpacing/>
        <w:jc w:val="both"/>
        <w:rPr>
          <w:rFonts w:ascii="Times New Roman" w:hAnsi="Times New Roman"/>
        </w:rPr>
      </w:pPr>
      <w:r>
        <w:rPr>
          <w:rFonts w:ascii="Times New Roman" w:hAnsi="Times New Roman"/>
        </w:rPr>
        <w:t>знание последовательности выполнения упражнений фитнес-аэробики;</w:t>
      </w:r>
    </w:p>
    <w:p w14:paraId="3561A523">
      <w:pPr>
        <w:spacing w:after="0" w:line="360" w:lineRule="auto"/>
        <w:ind w:firstLine="709"/>
        <w:contextualSpacing/>
        <w:jc w:val="both"/>
        <w:rPr>
          <w:rFonts w:ascii="Times New Roman" w:hAnsi="Times New Roman"/>
        </w:rPr>
      </w:pPr>
      <w:r>
        <w:rPr>
          <w:rFonts w:ascii="Times New Roman" w:hAnsi="Times New Roman"/>
        </w:rPr>
        <w:t>умение сочетать маршевые и лифтовые элементы, основные движения при составлении комплекса фитнес-аэробики;</w:t>
      </w:r>
    </w:p>
    <w:p w14:paraId="48AE3275">
      <w:pPr>
        <w:spacing w:after="0" w:line="360" w:lineRule="auto"/>
        <w:ind w:firstLine="709"/>
        <w:contextualSpacing/>
        <w:jc w:val="both"/>
        <w:rPr>
          <w:rFonts w:ascii="Times New Roman" w:hAnsi="Times New Roman"/>
        </w:rPr>
      </w:pPr>
      <w:r>
        <w:rPr>
          <w:rFonts w:ascii="Times New Roman" w:hAnsi="Times New Roman"/>
        </w:rPr>
        <w:t>умение выполнять комплексы на 8–16–32 счета из различных видов фитнес-аэробики с предметами и без, с музыкальным сопровождением и без него;</w:t>
      </w:r>
    </w:p>
    <w:p w14:paraId="27700675">
      <w:pPr>
        <w:spacing w:after="0" w:line="360" w:lineRule="auto"/>
        <w:ind w:firstLine="709"/>
        <w:contextualSpacing/>
        <w:jc w:val="both"/>
        <w:rPr>
          <w:rFonts w:ascii="Times New Roman" w:hAnsi="Times New Roman"/>
        </w:rPr>
      </w:pPr>
      <w:bookmarkStart w:id="296" w:name="_Hlk97375471"/>
      <w:r>
        <w:rPr>
          <w:rFonts w:ascii="Times New Roman" w:hAnsi="Times New Roman"/>
        </w:rPr>
        <w:t>знание основ музыкальных знаний грамоты (понятия: музыкальный квадрат, музыкальная фраза), формирование чувства ритма, понимание взаимосвязи музыки и движений;</w:t>
      </w:r>
    </w:p>
    <w:bookmarkEnd w:id="296"/>
    <w:p w14:paraId="4F644280">
      <w:pPr>
        <w:spacing w:after="0" w:line="360" w:lineRule="auto"/>
        <w:ind w:firstLine="709"/>
        <w:contextualSpacing/>
        <w:jc w:val="both"/>
        <w:rPr>
          <w:rFonts w:ascii="Times New Roman" w:hAnsi="Times New Roman"/>
        </w:rPr>
      </w:pPr>
      <w:r>
        <w:rPr>
          <w:rFonts w:ascii="Times New Roman" w:hAnsi="Times New Roman"/>
        </w:rPr>
        <w:t>владение терминологией из основных видов фитнес-аэробики и конкретные разучиваемые простые упражнения этих видов, их функциональный смысл и направленность действий.</w:t>
      </w:r>
    </w:p>
    <w:p w14:paraId="293499B6">
      <w:pPr>
        <w:pBdr>
          <w:top w:val="none" w:color="000000" w:sz="0" w:space="0"/>
          <w:left w:val="none" w:color="000000" w:sz="0" w:space="0"/>
          <w:bottom w:val="none" w:color="000000" w:sz="0" w:space="0"/>
          <w:right w:val="none" w:color="000000" w:sz="0" w:space="0"/>
        </w:pBdr>
        <w:suppressAutoHyphens/>
        <w:spacing w:after="0" w:line="360" w:lineRule="auto"/>
        <w:ind w:firstLine="709"/>
        <w:jc w:val="both"/>
        <w:rPr>
          <w:rFonts w:ascii="Times New Roman" w:hAnsi="Times New Roman"/>
          <w:bCs/>
          <w:u w:color="000000"/>
          <w:lang w:eastAsia="zh-CN"/>
        </w:rPr>
      </w:pPr>
      <w:r>
        <w:rPr>
          <w:rFonts w:ascii="Times New Roman" w:hAnsi="Times New Roman" w:eastAsia="Times New Roman"/>
          <w:bCs/>
          <w:lang w:eastAsia="zh-CN"/>
        </w:rPr>
        <w:t>16.4.</w:t>
      </w:r>
      <w:r>
        <w:rPr>
          <w:rFonts w:ascii="Times New Roman" w:hAnsi="Times New Roman" w:eastAsia="Times New Roman"/>
          <w:bCs/>
          <w:u w:color="000000"/>
          <w:lang w:eastAsia="zh-CN"/>
        </w:rPr>
        <w:t>9. М</w:t>
      </w:r>
      <w:r>
        <w:rPr>
          <w:rFonts w:ascii="Times New Roman" w:hAnsi="Times New Roman"/>
          <w:bCs/>
          <w:u w:color="000000"/>
          <w:lang w:eastAsia="zh-CN"/>
        </w:rPr>
        <w:t>одуль «Спортивная борьба».</w:t>
      </w:r>
    </w:p>
    <w:p w14:paraId="599067A6">
      <w:pPr>
        <w:pBdr>
          <w:top w:val="none" w:color="000000" w:sz="0" w:space="0"/>
          <w:left w:val="none" w:color="000000" w:sz="0" w:space="0"/>
          <w:bottom w:val="none" w:color="000000" w:sz="0" w:space="0"/>
          <w:right w:val="none" w:color="000000" w:sz="0" w:space="0"/>
        </w:pBdr>
        <w:suppressAutoHyphens/>
        <w:spacing w:after="0" w:line="360" w:lineRule="auto"/>
        <w:ind w:firstLine="709"/>
        <w:jc w:val="both"/>
        <w:rPr>
          <w:rFonts w:ascii="Times New Roman" w:hAnsi="Times New Roman" w:eastAsia="Times New Roman"/>
          <w:bCs/>
          <w:u w:color="000000"/>
          <w:lang w:eastAsia="zh-CN"/>
        </w:rPr>
      </w:pPr>
      <w:r>
        <w:rPr>
          <w:rFonts w:ascii="Times New Roman" w:hAnsi="Times New Roman" w:eastAsia="Times New Roman"/>
          <w:bCs/>
          <w:lang w:eastAsia="zh-CN"/>
        </w:rPr>
        <w:t>16.4.</w:t>
      </w:r>
      <w:r>
        <w:rPr>
          <w:rFonts w:ascii="Times New Roman" w:hAnsi="Times New Roman" w:eastAsia="Times New Roman"/>
          <w:bCs/>
          <w:u w:color="000000"/>
          <w:lang w:eastAsia="zh-CN"/>
        </w:rPr>
        <w:t>9.1. Пояснительная записка модуля «Спортивная борьба».</w:t>
      </w:r>
    </w:p>
    <w:p w14:paraId="187DF8AB">
      <w:pPr>
        <w:pBdr>
          <w:top w:val="none" w:color="000000" w:sz="0" w:space="0"/>
          <w:left w:val="none" w:color="000000" w:sz="0" w:space="0"/>
          <w:bottom w:val="none" w:color="000000" w:sz="0" w:space="0"/>
          <w:right w:val="none" w:color="000000" w:sz="0" w:space="0"/>
        </w:pBdr>
        <w:suppressAutoHyphens/>
        <w:spacing w:after="0" w:line="360" w:lineRule="auto"/>
        <w:ind w:firstLine="709"/>
        <w:jc w:val="both"/>
        <w:rPr>
          <w:rFonts w:ascii="Times New Roman" w:hAnsi="Times New Roman"/>
          <w:u w:color="000000"/>
          <w:lang w:eastAsia="zh-CN"/>
        </w:rPr>
      </w:pPr>
      <w:r>
        <w:rPr>
          <w:rFonts w:ascii="Times New Roman" w:hAnsi="Times New Roman"/>
          <w:u w:color="000000"/>
          <w:lang w:eastAsia="zh-CN"/>
        </w:rPr>
        <w:t>Модуль «Спортивная борьба» (далее – модуль по спортивной борьбе, спортивная борьба) на уровне начального образования разработан с целью оказания методической помощи учителю физической культуры в создании рабочей программы по учебному предмету «Физическая культура» с учётом современных тенденций в системе образования и использования спортивно-ориентированных форм, средств и методов обучения по различным видам спорта.</w:t>
      </w:r>
    </w:p>
    <w:p w14:paraId="3D7C82B3">
      <w:pPr>
        <w:pBdr>
          <w:top w:val="none" w:color="auto" w:sz="0" w:space="0"/>
          <w:left w:val="none" w:color="auto" w:sz="0" w:space="0"/>
          <w:bottom w:val="none" w:color="auto" w:sz="0" w:space="0"/>
          <w:right w:val="none" w:color="auto" w:sz="0" w:space="0"/>
          <w:between w:val="none" w:color="auto" w:sz="0" w:space="0"/>
        </w:pBdr>
        <w:spacing w:after="0" w:line="360" w:lineRule="auto"/>
        <w:ind w:firstLine="709"/>
        <w:jc w:val="both"/>
        <w:rPr>
          <w:rFonts w:ascii="Times New Roman" w:hAnsi="Times New Roman"/>
          <w:u w:color="000000"/>
          <w:lang w:eastAsia="ru-RU"/>
        </w:rPr>
      </w:pPr>
      <w:r>
        <w:rPr>
          <w:rFonts w:ascii="Times New Roman" w:hAnsi="Times New Roman"/>
          <w:u w:color="000000"/>
          <w:lang w:eastAsia="zh-CN"/>
        </w:rPr>
        <w:t>Спортивная борьба</w:t>
      </w:r>
      <w:r>
        <w:rPr>
          <w:rFonts w:ascii="Times New Roman" w:hAnsi="Times New Roman" w:eastAsia="Arial Unicode MS"/>
          <w:u w:color="000000"/>
          <w:lang w:eastAsia="ru-RU"/>
        </w:rPr>
        <w:t xml:space="preserve"> является эффективным средством физического воспитания </w:t>
      </w:r>
      <w:r>
        <w:rPr>
          <w:rFonts w:ascii="Times New Roman" w:hAnsi="Times New Roman"/>
          <w:u w:color="000000"/>
          <w:lang w:eastAsia="ru-RU"/>
        </w:rPr>
        <w:t xml:space="preserve">и содействует всестороннему физическому, интеллектуальному, нравственному развитию обучающихся, укреплению здоровья, привлечению </w:t>
      </w:r>
      <w:r>
        <w:rPr>
          <w:rFonts w:ascii="Times New Roman" w:hAnsi="Times New Roman"/>
        </w:rPr>
        <w:t>обучающихся</w:t>
      </w:r>
      <w:r>
        <w:rPr>
          <w:rFonts w:ascii="Times New Roman" w:hAnsi="Times New Roman"/>
          <w:u w:color="000000"/>
          <w:lang w:eastAsia="ru-RU"/>
        </w:rPr>
        <w:t xml:space="preserve"> к систематическим занятиям физической культурой и спортом, их личностному и профессиональному самоопределению.</w:t>
      </w:r>
    </w:p>
    <w:p w14:paraId="00DB2AD3">
      <w:pPr>
        <w:pBdr>
          <w:top w:val="none" w:color="auto" w:sz="0" w:space="0"/>
          <w:left w:val="none" w:color="auto" w:sz="0" w:space="0"/>
          <w:bottom w:val="none" w:color="auto" w:sz="0" w:space="0"/>
          <w:right w:val="none" w:color="auto" w:sz="0" w:space="0"/>
          <w:between w:val="none" w:color="auto" w:sz="0" w:space="0"/>
        </w:pBdr>
        <w:spacing w:after="0" w:line="360" w:lineRule="auto"/>
        <w:ind w:firstLine="709"/>
        <w:jc w:val="both"/>
        <w:rPr>
          <w:rFonts w:ascii="Times New Roman" w:hAnsi="Times New Roman" w:eastAsia="Arial Unicode MS"/>
          <w:u w:color="000000"/>
          <w:lang w:eastAsia="ru-RU"/>
        </w:rPr>
      </w:pPr>
      <w:r>
        <w:rPr>
          <w:rFonts w:ascii="Times New Roman" w:hAnsi="Times New Roman"/>
          <w:u w:color="000000"/>
          <w:lang w:eastAsia="ru-RU"/>
        </w:rPr>
        <w:t xml:space="preserve">Спортивная борьба представляет собой целостную систему физического воспитания и включает всё многообразие двигательных действий свойственных биомеханическими возможностям организма человека с использованием в учебном процессе всего арсенала физических упражнений различной направленности, что </w:t>
      </w:r>
      <w:r>
        <w:rPr>
          <w:rFonts w:ascii="Times New Roman" w:hAnsi="Times New Roman" w:eastAsia="Arial Unicode MS"/>
          <w:u w:color="000000"/>
          <w:lang w:eastAsia="ru-RU"/>
        </w:rPr>
        <w:t>обеспечивает эффективное развитие физических качеств и двигательных навыков.</w:t>
      </w:r>
    </w:p>
    <w:p w14:paraId="5C258CCA">
      <w:pPr>
        <w:pBdr>
          <w:top w:val="none" w:color="auto" w:sz="0" w:space="0"/>
          <w:left w:val="none" w:color="auto" w:sz="0" w:space="0"/>
          <w:bottom w:val="none" w:color="auto" w:sz="0" w:space="0"/>
          <w:right w:val="none" w:color="auto" w:sz="0" w:space="0"/>
          <w:between w:val="none" w:color="auto" w:sz="0" w:space="0"/>
        </w:pBdr>
        <w:spacing w:after="0" w:line="360" w:lineRule="auto"/>
        <w:ind w:firstLine="709"/>
        <w:jc w:val="both"/>
        <w:rPr>
          <w:rFonts w:ascii="Times New Roman" w:hAnsi="Times New Roman" w:eastAsia="Arial Unicode MS"/>
          <w:u w:color="000000"/>
          <w:lang w:eastAsia="ru-RU"/>
        </w:rPr>
      </w:pPr>
      <w:r>
        <w:rPr>
          <w:rFonts w:ascii="Times New Roman" w:hAnsi="Times New Roman" w:eastAsia="Times New Roman"/>
          <w:bCs/>
          <w:lang w:eastAsia="zh-CN"/>
        </w:rPr>
        <w:t>16.4.</w:t>
      </w:r>
      <w:r>
        <w:rPr>
          <w:rFonts w:ascii="Times New Roman" w:hAnsi="Times New Roman" w:eastAsia="Arial Unicode MS"/>
          <w:u w:color="000000"/>
          <w:lang w:eastAsia="ru-RU"/>
        </w:rPr>
        <w:t>9.2. Целью изучение модуля «Спортивная борьба» является формирование у обучающихся навыков общечеловеческой культуры и социального самоопределения, устойчивой мотивации к сохранению и укреплению собственного здоровья, ведению здорового и безопасного образа жизни через занятия физической культурой и спортом с использованием средств вида спорта «спортивная борьба».</w:t>
      </w:r>
    </w:p>
    <w:p w14:paraId="466930C6">
      <w:pPr>
        <w:pBdr>
          <w:top w:val="none" w:color="auto" w:sz="0" w:space="0"/>
          <w:left w:val="none" w:color="auto" w:sz="0" w:space="0"/>
          <w:bottom w:val="none" w:color="auto" w:sz="0" w:space="0"/>
          <w:right w:val="none" w:color="auto" w:sz="0" w:space="0"/>
          <w:between w:val="none" w:color="auto" w:sz="0" w:space="0"/>
        </w:pBdr>
        <w:spacing w:after="0" w:line="360" w:lineRule="auto"/>
        <w:ind w:firstLine="709"/>
        <w:jc w:val="both"/>
        <w:rPr>
          <w:rFonts w:ascii="Times New Roman" w:hAnsi="Times New Roman" w:eastAsia="Arial Unicode MS"/>
          <w:u w:color="000000"/>
          <w:lang w:eastAsia="ru-RU"/>
        </w:rPr>
      </w:pPr>
      <w:r>
        <w:rPr>
          <w:rFonts w:ascii="Times New Roman" w:hAnsi="Times New Roman" w:eastAsia="Times New Roman"/>
          <w:bCs/>
          <w:lang w:eastAsia="zh-CN"/>
        </w:rPr>
        <w:t>16.4.</w:t>
      </w:r>
      <w:r>
        <w:rPr>
          <w:rFonts w:ascii="Times New Roman" w:hAnsi="Times New Roman" w:eastAsia="Arial Unicode MS"/>
          <w:u w:color="000000"/>
          <w:lang w:eastAsia="ru-RU"/>
        </w:rPr>
        <w:t>9.3. Задачами изучения модуля «Спортивная борьба» являются:</w:t>
      </w:r>
    </w:p>
    <w:p w14:paraId="399953EE">
      <w:pPr>
        <w:pBdr>
          <w:top w:val="none" w:color="auto" w:sz="0" w:space="0"/>
          <w:left w:val="none" w:color="auto" w:sz="0" w:space="0"/>
          <w:bottom w:val="none" w:color="auto" w:sz="0" w:space="0"/>
          <w:right w:val="none" w:color="auto" w:sz="0" w:space="0"/>
          <w:between w:val="none" w:color="auto" w:sz="0" w:space="0"/>
        </w:pBdr>
        <w:spacing w:after="0" w:line="360" w:lineRule="auto"/>
        <w:ind w:firstLine="709"/>
        <w:jc w:val="both"/>
        <w:rPr>
          <w:rFonts w:ascii="Times New Roman" w:hAnsi="Times New Roman" w:eastAsia="Arial Unicode MS"/>
          <w:u w:color="000000"/>
          <w:lang w:eastAsia="ru-RU"/>
        </w:rPr>
      </w:pPr>
      <w:r>
        <w:rPr>
          <w:rFonts w:ascii="Times New Roman" w:hAnsi="Times New Roman" w:eastAsia="Arial Unicode MS"/>
          <w:u w:color="000000"/>
          <w:lang w:eastAsia="ru-RU"/>
        </w:rPr>
        <w:t>всестороннее гармоничное развитие детей, увеличение объёма их двигательной активности;</w:t>
      </w:r>
    </w:p>
    <w:p w14:paraId="34F8BA3E">
      <w:pPr>
        <w:pBdr>
          <w:top w:val="none" w:color="auto" w:sz="0" w:space="0"/>
          <w:left w:val="none" w:color="auto" w:sz="0" w:space="0"/>
          <w:bottom w:val="none" w:color="auto" w:sz="0" w:space="0"/>
          <w:right w:val="none" w:color="auto" w:sz="0" w:space="0"/>
          <w:between w:val="none" w:color="auto" w:sz="0" w:space="0"/>
        </w:pBdr>
        <w:spacing w:after="0" w:line="360" w:lineRule="auto"/>
        <w:ind w:firstLine="709"/>
        <w:jc w:val="both"/>
        <w:rPr>
          <w:rFonts w:ascii="Times New Roman" w:hAnsi="Times New Roman" w:eastAsia="Arial Unicode MS"/>
          <w:u w:color="000000"/>
          <w:lang w:eastAsia="ru-RU"/>
        </w:rPr>
      </w:pPr>
      <w:r>
        <w:rPr>
          <w:rFonts w:ascii="Times New Roman" w:hAnsi="Times New Roman" w:eastAsia="Arial Unicode MS"/>
          <w:u w:color="000000"/>
          <w:lang w:eastAsia="ru-RU"/>
        </w:rPr>
        <w:t>формирование общих представлений о виде спорта «спортивная борьба», его возможностях и значении в процессе укрепления здоровья, физическом развитии и физической подготовке обучающихся;</w:t>
      </w:r>
    </w:p>
    <w:p w14:paraId="0FF76C01">
      <w:pPr>
        <w:pBdr>
          <w:top w:val="none" w:color="auto" w:sz="0" w:space="0"/>
          <w:left w:val="none" w:color="auto" w:sz="0" w:space="0"/>
          <w:bottom w:val="none" w:color="auto" w:sz="0" w:space="0"/>
          <w:right w:val="none" w:color="auto" w:sz="0" w:space="0"/>
          <w:between w:val="none" w:color="auto" w:sz="0" w:space="0"/>
        </w:pBdr>
        <w:spacing w:after="0" w:line="360" w:lineRule="auto"/>
        <w:ind w:firstLine="709"/>
        <w:jc w:val="both"/>
        <w:rPr>
          <w:rFonts w:ascii="Times New Roman" w:hAnsi="Times New Roman" w:eastAsia="Arial Unicode MS"/>
          <w:u w:color="000000"/>
          <w:lang w:eastAsia="ru-RU"/>
        </w:rPr>
      </w:pPr>
      <w:r>
        <w:rPr>
          <w:rFonts w:ascii="Times New Roman" w:hAnsi="Times New Roman" w:eastAsia="Arial Unicode MS"/>
          <w:u w:color="000000"/>
          <w:lang w:eastAsia="ru-RU"/>
        </w:rPr>
        <w:t>развитие основных физических качеств и повышение функциональных возможностей их организма, обеспечение культуры безопасного поведения на занятиях по спортивной борьбе;</w:t>
      </w:r>
    </w:p>
    <w:p w14:paraId="155871B3">
      <w:pPr>
        <w:pBdr>
          <w:top w:val="none" w:color="auto" w:sz="0" w:space="0"/>
          <w:left w:val="none" w:color="auto" w:sz="0" w:space="0"/>
          <w:bottom w:val="none" w:color="auto" w:sz="0" w:space="0"/>
          <w:right w:val="none" w:color="auto" w:sz="0" w:space="0"/>
          <w:between w:val="none" w:color="auto" w:sz="0" w:space="0"/>
        </w:pBdr>
        <w:spacing w:after="0" w:line="360" w:lineRule="auto"/>
        <w:ind w:firstLine="709"/>
        <w:jc w:val="both"/>
        <w:rPr>
          <w:rFonts w:ascii="Times New Roman" w:hAnsi="Times New Roman" w:eastAsia="Arial Unicode MS"/>
          <w:u w:color="000000"/>
          <w:lang w:eastAsia="ru-RU"/>
        </w:rPr>
      </w:pPr>
      <w:r>
        <w:rPr>
          <w:rFonts w:ascii="Times New Roman" w:hAnsi="Times New Roman" w:eastAsia="Arial Unicode MS"/>
          <w:u w:color="000000"/>
          <w:lang w:eastAsia="ru-RU"/>
        </w:rPr>
        <w:t>формирование образовательного и культурного фундамента у обучающегося средствами спортивной борьбы, и создание необходимых предпосылок для его самореализации;</w:t>
      </w:r>
    </w:p>
    <w:p w14:paraId="77A1A5CC">
      <w:pPr>
        <w:pBdr>
          <w:top w:val="none" w:color="auto" w:sz="0" w:space="0"/>
          <w:left w:val="none" w:color="auto" w:sz="0" w:space="0"/>
          <w:bottom w:val="none" w:color="auto" w:sz="0" w:space="0"/>
          <w:right w:val="none" w:color="auto" w:sz="0" w:space="0"/>
          <w:between w:val="none" w:color="auto" w:sz="0" w:space="0"/>
        </w:pBdr>
        <w:spacing w:after="0" w:line="360" w:lineRule="auto"/>
        <w:ind w:firstLine="709"/>
        <w:jc w:val="both"/>
        <w:rPr>
          <w:rFonts w:ascii="Times New Roman" w:hAnsi="Times New Roman" w:eastAsia="Arial Unicode MS"/>
          <w:u w:color="000000"/>
          <w:lang w:eastAsia="ru-RU"/>
        </w:rPr>
      </w:pPr>
      <w:r>
        <w:rPr>
          <w:rFonts w:ascii="Times New Roman" w:hAnsi="Times New Roman" w:eastAsia="Arial Unicode MS"/>
          <w:u w:color="000000"/>
          <w:lang w:eastAsia="ru-RU"/>
        </w:rPr>
        <w:t>формирование культуры движений, обогащение двигательного опыта физическими упражнениями, имеющими общеразвивающую и корригирующую направленность, техническими действиями и приёмами вида спорта «спортивная борьба»;</w:t>
      </w:r>
    </w:p>
    <w:p w14:paraId="7FCF0DE9">
      <w:pPr>
        <w:pBdr>
          <w:top w:val="none" w:color="auto" w:sz="0" w:space="0"/>
          <w:left w:val="none" w:color="auto" w:sz="0" w:space="0"/>
          <w:bottom w:val="none" w:color="auto" w:sz="0" w:space="0"/>
          <w:right w:val="none" w:color="auto" w:sz="0" w:space="0"/>
          <w:between w:val="none" w:color="auto" w:sz="0" w:space="0"/>
        </w:pBdr>
        <w:spacing w:after="0" w:line="360" w:lineRule="auto"/>
        <w:ind w:firstLine="709"/>
        <w:jc w:val="both"/>
        <w:rPr>
          <w:rFonts w:ascii="Times New Roman" w:hAnsi="Times New Roman" w:eastAsia="Arial Unicode MS"/>
          <w:u w:color="000000"/>
          <w:lang w:eastAsia="ru-RU"/>
        </w:rPr>
      </w:pPr>
      <w:r>
        <w:rPr>
          <w:rFonts w:ascii="Times New Roman" w:hAnsi="Times New Roman" w:eastAsia="Arial Unicode MS"/>
          <w:u w:color="000000"/>
          <w:lang w:eastAsia="ru-RU"/>
        </w:rPr>
        <w:t>воспитание положительных качеств личности, норм коллективного взаимодействия и сотрудничества в образовательной и соревновательной деятельности;</w:t>
      </w:r>
    </w:p>
    <w:p w14:paraId="6174D931">
      <w:pPr>
        <w:pBdr>
          <w:top w:val="none" w:color="auto" w:sz="0" w:space="0"/>
          <w:left w:val="none" w:color="auto" w:sz="0" w:space="0"/>
          <w:bottom w:val="none" w:color="auto" w:sz="0" w:space="0"/>
          <w:right w:val="none" w:color="auto" w:sz="0" w:space="0"/>
          <w:between w:val="none" w:color="auto" w:sz="0" w:space="0"/>
        </w:pBdr>
        <w:spacing w:after="0" w:line="360" w:lineRule="auto"/>
        <w:ind w:firstLine="709"/>
        <w:jc w:val="both"/>
        <w:rPr>
          <w:rFonts w:ascii="Times New Roman" w:hAnsi="Times New Roman" w:eastAsia="Arial Unicode MS"/>
          <w:u w:color="000000"/>
          <w:lang w:eastAsia="ru-RU"/>
        </w:rPr>
      </w:pPr>
      <w:r>
        <w:rPr>
          <w:rFonts w:ascii="Times New Roman" w:hAnsi="Times New Roman" w:eastAsia="Arial Unicode MS"/>
          <w:u w:color="000000"/>
          <w:lang w:eastAsia="ru-RU"/>
        </w:rPr>
        <w:t>развитие положительной мотивации и устойчивого учебно-познавательного интереса к предмету «Физическая культура», удовлетворение индивидуальных потребностей обучающихся в занятиях физической культурой и спортом средствами спортивной борьбы;</w:t>
      </w:r>
    </w:p>
    <w:p w14:paraId="12EE543F">
      <w:pPr>
        <w:pBdr>
          <w:top w:val="none" w:color="auto" w:sz="0" w:space="0"/>
          <w:left w:val="none" w:color="auto" w:sz="0" w:space="0"/>
          <w:bottom w:val="none" w:color="auto" w:sz="0" w:space="0"/>
          <w:right w:val="none" w:color="auto" w:sz="0" w:space="0"/>
          <w:between w:val="none" w:color="auto" w:sz="0" w:space="0"/>
        </w:pBdr>
        <w:spacing w:after="0" w:line="360" w:lineRule="auto"/>
        <w:ind w:firstLine="709"/>
        <w:jc w:val="both"/>
        <w:rPr>
          <w:rFonts w:ascii="Times New Roman" w:hAnsi="Times New Roman" w:eastAsia="Arial Unicode MS"/>
          <w:u w:color="000000"/>
          <w:lang w:eastAsia="ru-RU"/>
        </w:rPr>
      </w:pPr>
      <w:r>
        <w:rPr>
          <w:rFonts w:ascii="Times New Roman" w:hAnsi="Times New Roman" w:eastAsia="Arial Unicode MS"/>
          <w:u w:color="000000"/>
          <w:lang w:eastAsia="ru-RU"/>
        </w:rPr>
        <w:t>популяризация спортивной борьбы среди подрастающего поколения, привлечение обучающихся, проявляющих повышенный интерес и способности к занятиям спортивной борьбой, в школьные спортивные клубы, секции, к участию в соревнованиях;</w:t>
      </w:r>
    </w:p>
    <w:p w14:paraId="490F6664">
      <w:pPr>
        <w:pBdr>
          <w:top w:val="none" w:color="auto" w:sz="0" w:space="0"/>
          <w:left w:val="none" w:color="auto" w:sz="0" w:space="0"/>
          <w:bottom w:val="none" w:color="auto" w:sz="0" w:space="0"/>
          <w:right w:val="none" w:color="auto" w:sz="0" w:space="0"/>
          <w:between w:val="none" w:color="auto" w:sz="0" w:space="0"/>
        </w:pBdr>
        <w:spacing w:after="0" w:line="360" w:lineRule="auto"/>
        <w:ind w:firstLine="709"/>
        <w:jc w:val="both"/>
        <w:rPr>
          <w:rFonts w:ascii="Times New Roman" w:hAnsi="Times New Roman" w:eastAsia="Arial Unicode MS"/>
          <w:u w:color="000000"/>
          <w:lang w:eastAsia="ru-RU"/>
        </w:rPr>
      </w:pPr>
      <w:r>
        <w:rPr>
          <w:rFonts w:ascii="Times New Roman" w:hAnsi="Times New Roman" w:eastAsia="Arial Unicode MS"/>
          <w:u w:color="000000"/>
          <w:lang w:eastAsia="ru-RU"/>
        </w:rPr>
        <w:t>выявление, развитие и поддержка одарённых детей в области спорта.</w:t>
      </w:r>
    </w:p>
    <w:p w14:paraId="45187E41">
      <w:pPr>
        <w:pBdr>
          <w:top w:val="none" w:color="auto" w:sz="0" w:space="0"/>
          <w:left w:val="none" w:color="auto" w:sz="0" w:space="0"/>
          <w:bottom w:val="none" w:color="auto" w:sz="0" w:space="0"/>
          <w:right w:val="none" w:color="auto" w:sz="0" w:space="0"/>
          <w:between w:val="none" w:color="auto" w:sz="0" w:space="0"/>
        </w:pBdr>
        <w:spacing w:after="0" w:line="360" w:lineRule="auto"/>
        <w:ind w:firstLine="709"/>
        <w:jc w:val="both"/>
        <w:rPr>
          <w:rFonts w:ascii="Times New Roman" w:hAnsi="Times New Roman" w:eastAsia="Arial Unicode MS"/>
          <w:u w:color="000000"/>
          <w:lang w:eastAsia="ru-RU"/>
        </w:rPr>
      </w:pPr>
      <w:r>
        <w:rPr>
          <w:rFonts w:ascii="Times New Roman" w:hAnsi="Times New Roman" w:eastAsia="Times New Roman"/>
          <w:bCs/>
          <w:lang w:eastAsia="zh-CN"/>
        </w:rPr>
        <w:t>16.4.</w:t>
      </w:r>
      <w:r>
        <w:rPr>
          <w:rFonts w:ascii="Times New Roman" w:hAnsi="Times New Roman" w:eastAsia="Arial Unicode MS"/>
          <w:u w:color="000000"/>
          <w:lang w:eastAsia="ru-RU"/>
        </w:rPr>
        <w:t>9.4. Место и роль модуля «Спортивная борьба».</w:t>
      </w:r>
    </w:p>
    <w:p w14:paraId="097A592D">
      <w:pPr>
        <w:pBdr>
          <w:top w:val="none" w:color="auto" w:sz="0" w:space="0"/>
          <w:left w:val="none" w:color="auto" w:sz="0" w:space="0"/>
          <w:bottom w:val="none" w:color="auto" w:sz="0" w:space="0"/>
          <w:right w:val="none" w:color="auto" w:sz="0" w:space="0"/>
          <w:between w:val="none" w:color="auto" w:sz="0" w:space="0"/>
        </w:pBdr>
        <w:spacing w:after="0" w:line="360" w:lineRule="auto"/>
        <w:ind w:firstLine="709"/>
        <w:jc w:val="both"/>
        <w:rPr>
          <w:rFonts w:ascii="Times New Roman" w:hAnsi="Times New Roman" w:eastAsia="Arial Unicode MS"/>
          <w:u w:color="000000"/>
          <w:lang w:eastAsia="ru-RU"/>
        </w:rPr>
      </w:pPr>
      <w:r>
        <w:rPr>
          <w:rFonts w:ascii="Times New Roman" w:hAnsi="Times New Roman" w:eastAsia="Arial Unicode MS"/>
          <w:u w:color="000000"/>
          <w:lang w:eastAsia="ru-RU"/>
        </w:rPr>
        <w:t>Модуль «Спортивная борьба» доступен для освоения всем обучающимся, независимо от уровня их физического развития и пола и расширяет спектр физкультурно-спортивных направлений в общеобразовательных организациях.</w:t>
      </w:r>
    </w:p>
    <w:p w14:paraId="5799B1AB">
      <w:pPr>
        <w:pBdr>
          <w:between w:val="none" w:color="auto" w:sz="0" w:space="0"/>
        </w:pBdr>
        <w:spacing w:after="0" w:line="360" w:lineRule="auto"/>
        <w:ind w:firstLine="709"/>
        <w:jc w:val="both"/>
        <w:rPr>
          <w:rFonts w:ascii="Times New Roman" w:hAnsi="Times New Roman" w:eastAsia="Arial Unicode MS"/>
          <w:u w:color="000000"/>
          <w:lang w:eastAsia="ru-RU"/>
        </w:rPr>
      </w:pPr>
      <w:r>
        <w:rPr>
          <w:rFonts w:ascii="Times New Roman" w:hAnsi="Times New Roman" w:eastAsia="Arial Unicode MS"/>
          <w:u w:color="000000"/>
          <w:lang w:eastAsia="ru-RU"/>
        </w:rPr>
        <w:t>Специфика модуля по спортивной борьбе сочетается практически со всеми базовыми видами спорта (легкая атлетика, гимнастика, спортивные игры).</w:t>
      </w:r>
    </w:p>
    <w:p w14:paraId="17ADB32F">
      <w:pPr>
        <w:pBdr>
          <w:top w:val="none" w:color="000000" w:sz="0" w:space="0"/>
          <w:left w:val="none" w:color="000000" w:sz="0" w:space="0"/>
          <w:bottom w:val="none" w:color="000000" w:sz="0" w:space="0"/>
          <w:right w:val="none" w:color="000000" w:sz="0" w:space="0"/>
        </w:pBdr>
        <w:suppressAutoHyphens/>
        <w:spacing w:after="0" w:line="360" w:lineRule="auto"/>
        <w:ind w:firstLine="709"/>
        <w:jc w:val="both"/>
        <w:rPr>
          <w:rFonts w:ascii="Times New Roman" w:hAnsi="Times New Roman"/>
          <w:bCs/>
          <w:iCs/>
          <w:u w:color="000000"/>
          <w:lang w:eastAsia="zh-CN"/>
        </w:rPr>
      </w:pPr>
      <w:r>
        <w:rPr>
          <w:rFonts w:ascii="Times New Roman" w:hAnsi="Times New Roman"/>
          <w:iCs/>
          <w:u w:color="000000"/>
          <w:lang w:eastAsia="zh-CN"/>
        </w:rPr>
        <w:t xml:space="preserve">Интеграция модуля по спортивной борьбе поможет обучающимся </w:t>
      </w:r>
      <w:r>
        <w:rPr>
          <w:rFonts w:ascii="Times New Roman" w:hAnsi="Times New Roman"/>
          <w:u w:color="000000"/>
          <w:lang w:eastAsia="zh-CN"/>
        </w:rPr>
        <w:t xml:space="preserve">в освоении образовательных программ в рамках внеурочной деятельности, дополнительного образования, деятельности школьных спортивных клубов, </w:t>
      </w:r>
      <w:r>
        <w:rPr>
          <w:rFonts w:ascii="Times New Roman" w:hAnsi="Times New Roman"/>
          <w:bCs/>
          <w:iCs/>
          <w:u w:color="000000"/>
          <w:lang w:eastAsia="zh-CN"/>
        </w:rPr>
        <w:t xml:space="preserve">подготовке </w:t>
      </w:r>
      <w:r>
        <w:rPr>
          <w:rFonts w:ascii="Times New Roman" w:hAnsi="Times New Roman"/>
          <w:u w:color="000000"/>
          <w:lang w:eastAsia="zh-CN"/>
        </w:rPr>
        <w:t xml:space="preserve">обучающихся к сдаче норм ГТО </w:t>
      </w:r>
      <w:r>
        <w:rPr>
          <w:rFonts w:ascii="Times New Roman" w:hAnsi="Times New Roman"/>
          <w:bCs/>
          <w:iCs/>
          <w:u w:color="000000"/>
          <w:lang w:eastAsia="zh-CN"/>
        </w:rPr>
        <w:t xml:space="preserve">и </w:t>
      </w:r>
      <w:r>
        <w:rPr>
          <w:rFonts w:ascii="Times New Roman" w:hAnsi="Times New Roman"/>
          <w:u w:color="000000"/>
          <w:lang w:eastAsia="zh-CN"/>
        </w:rPr>
        <w:t>участии в спортивных соревнованиях.</w:t>
      </w:r>
    </w:p>
    <w:p w14:paraId="7462BE8E">
      <w:pPr>
        <w:pBdr>
          <w:top w:val="none" w:color="auto" w:sz="0" w:space="0"/>
          <w:left w:val="none" w:color="auto" w:sz="0" w:space="0"/>
          <w:bottom w:val="none" w:color="auto" w:sz="0" w:space="0"/>
          <w:right w:val="none" w:color="auto" w:sz="0" w:space="0"/>
          <w:between w:val="none" w:color="auto" w:sz="0" w:space="0"/>
        </w:pBdr>
        <w:spacing w:after="0" w:line="360" w:lineRule="auto"/>
        <w:ind w:firstLine="709"/>
        <w:jc w:val="both"/>
        <w:rPr>
          <w:rFonts w:ascii="Times New Roman" w:hAnsi="Times New Roman" w:eastAsia="Arial Unicode MS"/>
          <w:u w:color="000000"/>
          <w:lang w:eastAsia="ru-RU"/>
        </w:rPr>
      </w:pPr>
      <w:r>
        <w:rPr>
          <w:rFonts w:ascii="Times New Roman" w:hAnsi="Times New Roman" w:eastAsia="Times New Roman"/>
          <w:bCs/>
          <w:lang w:eastAsia="zh-CN"/>
        </w:rPr>
        <w:t>16.4.</w:t>
      </w:r>
      <w:r>
        <w:rPr>
          <w:rFonts w:ascii="Times New Roman" w:hAnsi="Times New Roman" w:eastAsia="Arial Unicode MS"/>
          <w:u w:color="000000"/>
          <w:lang w:eastAsia="ru-RU"/>
        </w:rPr>
        <w:t>9.5. Модуль «Спортивная борьба» может быть реализован в следующих вариантах:</w:t>
      </w:r>
    </w:p>
    <w:p w14:paraId="3AB062A2">
      <w:pPr>
        <w:pBdr>
          <w:top w:val="none" w:color="auto" w:sz="0" w:space="0"/>
          <w:left w:val="none" w:color="auto" w:sz="0" w:space="0"/>
          <w:bottom w:val="none" w:color="auto" w:sz="0" w:space="0"/>
          <w:right w:val="none" w:color="auto" w:sz="0" w:space="0"/>
          <w:between w:val="none" w:color="auto" w:sz="0" w:space="0"/>
        </w:pBdr>
        <w:spacing w:after="0" w:line="360" w:lineRule="auto"/>
        <w:ind w:firstLine="709"/>
        <w:jc w:val="both"/>
        <w:rPr>
          <w:rFonts w:ascii="Times New Roman" w:hAnsi="Times New Roman" w:eastAsia="Arial Unicode MS"/>
          <w:u w:color="000000"/>
          <w:lang w:eastAsia="ru-RU"/>
        </w:rPr>
      </w:pPr>
      <w:r>
        <w:rPr>
          <w:rFonts w:ascii="Times New Roman" w:hAnsi="Times New Roman" w:eastAsia="Arial Unicode MS"/>
          <w:u w:color="000000"/>
          <w:lang w:eastAsia="ru-RU"/>
        </w:rPr>
        <w:t>при самостоятельном планировании учителем физической культуры процесса освоения обучающимися учебного материала по спортивной борьбе с выбором различных элементов борьбы, с учётом возраста и физической подготовленности обучающихся;</w:t>
      </w:r>
    </w:p>
    <w:p w14:paraId="22056928">
      <w:pPr>
        <w:suppressAutoHyphens/>
        <w:spacing w:after="0" w:line="360" w:lineRule="auto"/>
        <w:ind w:firstLine="709"/>
        <w:jc w:val="both"/>
        <w:rPr>
          <w:rFonts w:ascii="Times New Roman" w:hAnsi="Times New Roman"/>
          <w:u w:color="000000"/>
          <w:lang w:eastAsia="zh-CN"/>
        </w:rPr>
      </w:pPr>
      <w:r>
        <w:rPr>
          <w:rFonts w:ascii="Times New Roman" w:hAnsi="Times New Roman"/>
          <w:u w:color="000000"/>
          <w:lang w:eastAsia="zh-CN"/>
        </w:rPr>
        <w:t>в виде целостного последовательного учебного модуля, изучаемого за счёт части учебного плана, формируемой участниками образовательных отношений из перечня, предлагаемого образовательной организацией, включающей, в частности, учебные модули по выбору обучающихся, родителей (законных представителей) несовершеннолетних обучающихся, в том числе предусматривающие удовлетворение различных интересов обучающихся (</w:t>
      </w:r>
      <w:r>
        <w:rPr>
          <w:rFonts w:ascii="Times New Roman" w:hAnsi="Times New Roman"/>
          <w:u w:color="000000"/>
          <w:lang w:eastAsia="ru-RU"/>
        </w:rPr>
        <w:t>при организации и проведении уроков физической культуры с 3-х часовой недельной нагрузкой рекомендуемый объём в 1 классе – 33 часа, во 2, 3, 4 классах – по 34 часа)</w:t>
      </w:r>
      <w:r>
        <w:rPr>
          <w:rFonts w:ascii="Times New Roman" w:hAnsi="Times New Roman"/>
          <w:u w:color="000000"/>
          <w:lang w:eastAsia="zh-CN"/>
        </w:rPr>
        <w:t>;</w:t>
      </w:r>
    </w:p>
    <w:p w14:paraId="0A327878">
      <w:pPr>
        <w:pBdr>
          <w:top w:val="none" w:color="auto" w:sz="0" w:space="0"/>
          <w:left w:val="none" w:color="auto" w:sz="0" w:space="0"/>
          <w:bottom w:val="none" w:color="auto" w:sz="0" w:space="0"/>
          <w:right w:val="none" w:color="auto" w:sz="0" w:space="0"/>
          <w:between w:val="none" w:color="auto" w:sz="0" w:space="0"/>
        </w:pBdr>
        <w:spacing w:after="0" w:line="360" w:lineRule="auto"/>
        <w:ind w:firstLine="709"/>
        <w:jc w:val="both"/>
        <w:rPr>
          <w:rFonts w:ascii="Times New Roman" w:hAnsi="Times New Roman" w:eastAsia="Arial Unicode MS"/>
          <w:u w:color="000000"/>
          <w:lang w:eastAsia="ru-RU"/>
        </w:rPr>
      </w:pPr>
      <w:r>
        <w:rPr>
          <w:rFonts w:ascii="Times New Roman" w:hAnsi="Times New Roman" w:eastAsia="Arial Unicode MS"/>
          <w:u w:color="000000"/>
          <w:lang w:eastAsia="ru-RU"/>
        </w:rPr>
        <w:t>в виде дополнительных часов, выделяемых на спортивно-оздоровительную работу с обучающимися в рамках внеурочной деятельности и (или) за счёт посещения обучающимися спортивных секций, школьных спортивных клубов, включая использование учебных модулей по видам спорта (рекомендуемый объём в 1 классе – 33 часа, во 2, 3, 4 классах – по 34 часа).</w:t>
      </w:r>
    </w:p>
    <w:p w14:paraId="406FA242">
      <w:pPr>
        <w:pBdr>
          <w:top w:val="none" w:color="auto" w:sz="0" w:space="0"/>
          <w:left w:val="none" w:color="auto" w:sz="0" w:space="0"/>
          <w:bottom w:val="none" w:color="auto" w:sz="0" w:space="0"/>
          <w:right w:val="none" w:color="auto" w:sz="0" w:space="0"/>
          <w:between w:val="none" w:color="auto" w:sz="0" w:space="0"/>
        </w:pBdr>
        <w:spacing w:after="0" w:line="360" w:lineRule="auto"/>
        <w:ind w:firstLine="709"/>
        <w:jc w:val="both"/>
        <w:rPr>
          <w:rFonts w:ascii="Times New Roman" w:hAnsi="Times New Roman" w:eastAsia="Arial Unicode MS"/>
          <w:u w:color="000000"/>
          <w:lang w:eastAsia="ru-RU"/>
        </w:rPr>
      </w:pPr>
      <w:r>
        <w:rPr>
          <w:rFonts w:ascii="Times New Roman" w:hAnsi="Times New Roman" w:eastAsia="Times New Roman"/>
          <w:bCs/>
          <w:lang w:eastAsia="zh-CN"/>
        </w:rPr>
        <w:t>16.4.</w:t>
      </w:r>
      <w:r>
        <w:rPr>
          <w:rFonts w:ascii="Times New Roman" w:hAnsi="Times New Roman" w:eastAsia="Arial Unicode MS"/>
          <w:u w:color="000000"/>
          <w:lang w:eastAsia="ru-RU"/>
        </w:rPr>
        <w:t>9.6. Содержание модуля «Спортивная борьба».</w:t>
      </w:r>
    </w:p>
    <w:p w14:paraId="1756D8E9">
      <w:pPr>
        <w:pBdr>
          <w:top w:val="none" w:color="auto" w:sz="0" w:space="0"/>
          <w:left w:val="none" w:color="auto" w:sz="0" w:space="0"/>
          <w:bottom w:val="none" w:color="auto" w:sz="0" w:space="0"/>
          <w:right w:val="none" w:color="auto" w:sz="0" w:space="0"/>
          <w:between w:val="none" w:color="auto" w:sz="0" w:space="0"/>
        </w:pBdr>
        <w:spacing w:after="0" w:line="360" w:lineRule="auto"/>
        <w:ind w:firstLine="709"/>
        <w:jc w:val="both"/>
        <w:rPr>
          <w:rFonts w:ascii="Times New Roman" w:hAnsi="Times New Roman" w:eastAsia="Arial Unicode MS"/>
          <w:u w:color="000000"/>
          <w:lang w:eastAsia="ru-RU"/>
        </w:rPr>
      </w:pPr>
      <w:r>
        <w:rPr>
          <w:rFonts w:ascii="Times New Roman" w:hAnsi="Times New Roman" w:eastAsia="Arial Unicode MS"/>
          <w:u w:color="000000"/>
          <w:lang w:eastAsia="ru-RU"/>
        </w:rPr>
        <w:t>Знания о спортивной борьбе.</w:t>
      </w:r>
    </w:p>
    <w:p w14:paraId="2F73AEEA">
      <w:pPr>
        <w:pBdr>
          <w:top w:val="none" w:color="auto" w:sz="0" w:space="0"/>
          <w:left w:val="none" w:color="auto" w:sz="0" w:space="0"/>
          <w:bottom w:val="none" w:color="auto" w:sz="0" w:space="0"/>
          <w:right w:val="none" w:color="auto" w:sz="0" w:space="0"/>
          <w:between w:val="none" w:color="auto" w:sz="0" w:space="0"/>
        </w:pBdr>
        <w:spacing w:after="0" w:line="360" w:lineRule="auto"/>
        <w:ind w:firstLine="709"/>
        <w:jc w:val="both"/>
        <w:rPr>
          <w:rFonts w:ascii="Times New Roman" w:hAnsi="Times New Roman"/>
          <w:b/>
          <w:bCs/>
          <w:iCs/>
          <w:u w:color="000000"/>
          <w:lang w:eastAsia="ru-RU"/>
        </w:rPr>
      </w:pPr>
      <w:r>
        <w:rPr>
          <w:rFonts w:ascii="Times New Roman" w:hAnsi="Times New Roman"/>
          <w:iCs/>
          <w:u w:color="000000"/>
          <w:lang w:eastAsia="ru-RU"/>
        </w:rPr>
        <w:t xml:space="preserve">История зарождения и развития спортивной борьбы. Известные отечественные борцы и тренеры. </w:t>
      </w:r>
      <w:r>
        <w:rPr>
          <w:rFonts w:ascii="Times New Roman" w:hAnsi="Times New Roman"/>
          <w:bCs/>
          <w:u w:color="000000"/>
          <w:lang w:eastAsia="ru-RU"/>
        </w:rPr>
        <w:t>Достижения отечественной сборной команды страны на мировых чемпионатах и первенствах и российских клубов на европейской спортивной арене.</w:t>
      </w:r>
    </w:p>
    <w:p w14:paraId="5DD7FFA7">
      <w:pPr>
        <w:pBdr>
          <w:top w:val="none" w:color="auto" w:sz="0" w:space="0"/>
          <w:left w:val="none" w:color="auto" w:sz="0" w:space="0"/>
          <w:bottom w:val="none" w:color="auto" w:sz="0" w:space="0"/>
          <w:right w:val="none" w:color="auto" w:sz="0" w:space="0"/>
          <w:between w:val="none" w:color="auto" w:sz="0" w:space="0"/>
        </w:pBdr>
        <w:spacing w:after="0" w:line="360" w:lineRule="auto"/>
        <w:ind w:firstLine="709"/>
        <w:jc w:val="both"/>
        <w:rPr>
          <w:rFonts w:ascii="Times New Roman" w:hAnsi="Times New Roman"/>
          <w:b/>
          <w:bCs/>
          <w:iCs/>
          <w:u w:color="000000"/>
          <w:lang w:eastAsia="ru-RU"/>
        </w:rPr>
      </w:pPr>
      <w:r>
        <w:rPr>
          <w:rFonts w:ascii="Times New Roman" w:hAnsi="Times New Roman"/>
          <w:iCs/>
          <w:u w:color="000000"/>
          <w:lang w:eastAsia="ru-RU"/>
        </w:rPr>
        <w:t>Разновидности спортивной борьбы (вольная, греко-римская, женская вольная).</w:t>
      </w:r>
    </w:p>
    <w:p w14:paraId="75DC39A5">
      <w:pPr>
        <w:pBdr>
          <w:top w:val="none" w:color="auto" w:sz="0" w:space="0"/>
          <w:left w:val="none" w:color="auto" w:sz="0" w:space="0"/>
          <w:bottom w:val="none" w:color="auto" w:sz="0" w:space="0"/>
          <w:right w:val="none" w:color="auto" w:sz="0" w:space="0"/>
          <w:between w:val="none" w:color="auto" w:sz="0" w:space="0"/>
        </w:pBdr>
        <w:spacing w:after="0" w:line="360" w:lineRule="auto"/>
        <w:ind w:firstLine="709"/>
        <w:jc w:val="both"/>
        <w:rPr>
          <w:rFonts w:ascii="Times New Roman" w:hAnsi="Times New Roman"/>
          <w:b/>
          <w:bCs/>
          <w:iCs/>
          <w:u w:color="000000"/>
          <w:lang w:eastAsia="ru-RU"/>
        </w:rPr>
      </w:pPr>
      <w:r>
        <w:rPr>
          <w:rFonts w:ascii="Times New Roman" w:hAnsi="Times New Roman"/>
          <w:iCs/>
          <w:u w:color="000000"/>
          <w:lang w:eastAsia="ru-RU"/>
        </w:rPr>
        <w:t>Размеры борцовского ковра, его допустимые размеры, инвентарь и оборудование для занятий спортивной борьбой. Весовые категории.</w:t>
      </w:r>
    </w:p>
    <w:p w14:paraId="3E1EB97A">
      <w:pPr>
        <w:pBdr>
          <w:top w:val="none" w:color="auto" w:sz="0" w:space="0"/>
          <w:left w:val="none" w:color="auto" w:sz="0" w:space="0"/>
          <w:bottom w:val="none" w:color="auto" w:sz="0" w:space="0"/>
          <w:right w:val="none" w:color="auto" w:sz="0" w:space="0"/>
          <w:between w:val="none" w:color="auto" w:sz="0" w:space="0"/>
        </w:pBdr>
        <w:spacing w:after="0" w:line="360" w:lineRule="auto"/>
        <w:ind w:firstLine="709"/>
        <w:jc w:val="both"/>
        <w:rPr>
          <w:rFonts w:ascii="Times New Roman" w:hAnsi="Times New Roman"/>
          <w:b/>
          <w:bCs/>
          <w:iCs/>
          <w:u w:color="000000"/>
          <w:lang w:eastAsia="ru-RU"/>
        </w:rPr>
      </w:pPr>
      <w:r>
        <w:rPr>
          <w:rFonts w:ascii="Times New Roman" w:hAnsi="Times New Roman"/>
          <w:iCs/>
          <w:u w:color="000000"/>
          <w:lang w:eastAsia="ru-RU"/>
        </w:rPr>
        <w:t xml:space="preserve">Основные правила соревнований по спортивной борьбе (вольная, греко-римская). Судейская коллегия, обслуживающая соревнования по спортивной борьбе. Жесты судьи. </w:t>
      </w:r>
    </w:p>
    <w:p w14:paraId="38EEC48E">
      <w:pPr>
        <w:pBdr>
          <w:top w:val="none" w:color="auto" w:sz="0" w:space="0"/>
          <w:left w:val="none" w:color="auto" w:sz="0" w:space="0"/>
          <w:bottom w:val="none" w:color="auto" w:sz="0" w:space="0"/>
          <w:right w:val="none" w:color="auto" w:sz="0" w:space="0"/>
          <w:between w:val="none" w:color="auto" w:sz="0" w:space="0"/>
        </w:pBdr>
        <w:spacing w:after="0" w:line="360" w:lineRule="auto"/>
        <w:ind w:firstLine="709"/>
        <w:jc w:val="both"/>
        <w:rPr>
          <w:rFonts w:ascii="Times New Roman" w:hAnsi="Times New Roman"/>
          <w:b/>
          <w:bCs/>
          <w:iCs/>
          <w:u w:color="000000"/>
          <w:lang w:eastAsia="ru-RU"/>
        </w:rPr>
      </w:pPr>
      <w:r>
        <w:rPr>
          <w:rFonts w:ascii="Times New Roman" w:hAnsi="Times New Roman"/>
          <w:iCs/>
          <w:u w:color="000000"/>
          <w:lang w:eastAsia="ru-RU"/>
        </w:rPr>
        <w:t>Словарь терминов и определений по спортивной борьбе.</w:t>
      </w:r>
    </w:p>
    <w:p w14:paraId="110C3405">
      <w:pPr>
        <w:pBdr>
          <w:top w:val="none" w:color="auto" w:sz="0" w:space="0"/>
          <w:left w:val="none" w:color="auto" w:sz="0" w:space="0"/>
          <w:bottom w:val="none" w:color="auto" w:sz="0" w:space="0"/>
          <w:right w:val="none" w:color="auto" w:sz="0" w:space="0"/>
          <w:between w:val="none" w:color="auto" w:sz="0" w:space="0"/>
        </w:pBdr>
        <w:spacing w:after="0" w:line="360" w:lineRule="auto"/>
        <w:ind w:firstLine="709"/>
        <w:jc w:val="both"/>
        <w:rPr>
          <w:rFonts w:ascii="Times New Roman" w:hAnsi="Times New Roman"/>
          <w:b/>
          <w:bCs/>
          <w:iCs/>
          <w:u w:color="000000"/>
          <w:lang w:eastAsia="ru-RU"/>
        </w:rPr>
      </w:pPr>
      <w:r>
        <w:rPr>
          <w:rFonts w:ascii="Times New Roman" w:hAnsi="Times New Roman" w:eastAsia="Arial Unicode MS"/>
          <w:u w:color="000000"/>
          <w:lang w:eastAsia="ru-RU"/>
        </w:rPr>
        <w:t>Спортивная борьба</w:t>
      </w:r>
      <w:r>
        <w:rPr>
          <w:rFonts w:ascii="Times New Roman" w:hAnsi="Times New Roman"/>
          <w:iCs/>
          <w:u w:color="000000"/>
          <w:lang w:eastAsia="ru-RU"/>
        </w:rPr>
        <w:t xml:space="preserve"> как средство укрепления здоровья, закаливания и развития физических качеств.</w:t>
      </w:r>
    </w:p>
    <w:p w14:paraId="0CFA7CFB">
      <w:pPr>
        <w:pBdr>
          <w:top w:val="none" w:color="auto" w:sz="0" w:space="0"/>
          <w:left w:val="none" w:color="auto" w:sz="0" w:space="0"/>
          <w:bottom w:val="none" w:color="auto" w:sz="0" w:space="0"/>
          <w:right w:val="none" w:color="auto" w:sz="0" w:space="0"/>
          <w:between w:val="none" w:color="auto" w:sz="0" w:space="0"/>
        </w:pBdr>
        <w:spacing w:after="0" w:line="360" w:lineRule="auto"/>
        <w:ind w:firstLine="709"/>
        <w:jc w:val="both"/>
        <w:rPr>
          <w:rFonts w:ascii="Times New Roman" w:hAnsi="Times New Roman"/>
          <w:iCs/>
          <w:u w:color="000000"/>
          <w:lang w:eastAsia="ru-RU"/>
        </w:rPr>
      </w:pPr>
      <w:r>
        <w:rPr>
          <w:rFonts w:ascii="Times New Roman" w:hAnsi="Times New Roman"/>
          <w:iCs/>
          <w:u w:color="000000"/>
          <w:lang w:eastAsia="ru-RU"/>
        </w:rPr>
        <w:t>Правила безопасного поведения во время занятий с</w:t>
      </w:r>
      <w:r>
        <w:rPr>
          <w:rFonts w:ascii="Times New Roman" w:hAnsi="Times New Roman" w:eastAsia="Arial Unicode MS"/>
          <w:u w:color="000000"/>
          <w:lang w:eastAsia="ru-RU"/>
        </w:rPr>
        <w:t>портивной борьбой</w:t>
      </w:r>
      <w:r>
        <w:rPr>
          <w:rFonts w:ascii="Times New Roman" w:hAnsi="Times New Roman"/>
          <w:iCs/>
          <w:u w:color="000000"/>
          <w:lang w:eastAsia="ru-RU"/>
        </w:rPr>
        <w:t>. Режим дня при занятиях борьбой. Правила личной гигиены во время занятий спортивной борьбой.</w:t>
      </w:r>
    </w:p>
    <w:p w14:paraId="192CE9B3">
      <w:pPr>
        <w:pBdr>
          <w:top w:val="none" w:color="auto" w:sz="0" w:space="0"/>
          <w:left w:val="none" w:color="auto" w:sz="0" w:space="0"/>
          <w:bottom w:val="none" w:color="auto" w:sz="0" w:space="0"/>
          <w:right w:val="none" w:color="auto" w:sz="0" w:space="0"/>
          <w:between w:val="none" w:color="auto" w:sz="0" w:space="0"/>
        </w:pBdr>
        <w:spacing w:after="0" w:line="360" w:lineRule="auto"/>
        <w:ind w:firstLine="709"/>
        <w:jc w:val="both"/>
        <w:rPr>
          <w:rFonts w:ascii="Times New Roman" w:hAnsi="Times New Roman" w:eastAsia="Arial Unicode MS"/>
          <w:u w:color="000000"/>
          <w:lang w:eastAsia="ru-RU"/>
        </w:rPr>
      </w:pPr>
      <w:r>
        <w:rPr>
          <w:rFonts w:ascii="Times New Roman" w:hAnsi="Times New Roman" w:eastAsia="Arial Unicode MS"/>
          <w:u w:color="000000"/>
          <w:lang w:eastAsia="ru-RU"/>
        </w:rPr>
        <w:t>Способы самостоятельной деятельности.</w:t>
      </w:r>
    </w:p>
    <w:p w14:paraId="44B0A3A1">
      <w:pPr>
        <w:pBdr>
          <w:top w:val="none" w:color="auto" w:sz="0" w:space="0"/>
          <w:left w:val="none" w:color="auto" w:sz="0" w:space="0"/>
          <w:bottom w:val="none" w:color="auto" w:sz="0" w:space="0"/>
          <w:right w:val="none" w:color="auto" w:sz="0" w:space="0"/>
          <w:between w:val="none" w:color="auto" w:sz="0" w:space="0"/>
        </w:pBdr>
        <w:spacing w:after="0" w:line="360" w:lineRule="auto"/>
        <w:ind w:firstLine="709"/>
        <w:jc w:val="both"/>
        <w:rPr>
          <w:rFonts w:ascii="Times New Roman" w:hAnsi="Times New Roman"/>
          <w:iCs/>
          <w:u w:color="000000"/>
          <w:lang w:eastAsia="ru-RU"/>
        </w:rPr>
      </w:pPr>
      <w:r>
        <w:rPr>
          <w:rFonts w:ascii="Times New Roman" w:hAnsi="Times New Roman"/>
          <w:iCs/>
          <w:u w:color="000000"/>
          <w:lang w:eastAsia="ru-RU"/>
        </w:rPr>
        <w:t>Внешние признаки утомления. Способы самоконтроля за физической нагрузкой.</w:t>
      </w:r>
    </w:p>
    <w:p w14:paraId="1189029A">
      <w:pPr>
        <w:pBdr>
          <w:top w:val="none" w:color="auto" w:sz="0" w:space="0"/>
          <w:left w:val="none" w:color="auto" w:sz="0" w:space="0"/>
          <w:bottom w:val="none" w:color="auto" w:sz="0" w:space="0"/>
          <w:right w:val="none" w:color="auto" w:sz="0" w:space="0"/>
          <w:between w:val="none" w:color="auto" w:sz="0" w:space="0"/>
        </w:pBdr>
        <w:spacing w:after="0" w:line="360" w:lineRule="auto"/>
        <w:ind w:firstLine="709"/>
        <w:jc w:val="both"/>
        <w:rPr>
          <w:rFonts w:ascii="Times New Roman" w:hAnsi="Times New Roman"/>
          <w:iCs/>
          <w:u w:color="000000"/>
          <w:lang w:eastAsia="ru-RU"/>
        </w:rPr>
      </w:pPr>
      <w:r>
        <w:rPr>
          <w:rFonts w:ascii="Times New Roman" w:hAnsi="Times New Roman"/>
          <w:iCs/>
          <w:u w:color="000000"/>
          <w:lang w:eastAsia="ru-RU"/>
        </w:rPr>
        <w:t>Уход за спортивным инвентарем и оборудованием для занятий спортивной борьбой.</w:t>
      </w:r>
    </w:p>
    <w:p w14:paraId="1906F173">
      <w:pPr>
        <w:pBdr>
          <w:top w:val="none" w:color="auto" w:sz="0" w:space="0"/>
          <w:left w:val="none" w:color="auto" w:sz="0" w:space="0"/>
          <w:bottom w:val="none" w:color="auto" w:sz="0" w:space="0"/>
          <w:right w:val="none" w:color="auto" w:sz="0" w:space="0"/>
          <w:between w:val="none" w:color="auto" w:sz="0" w:space="0"/>
        </w:pBdr>
        <w:spacing w:after="0" w:line="360" w:lineRule="auto"/>
        <w:ind w:firstLine="709"/>
        <w:jc w:val="both"/>
        <w:rPr>
          <w:rFonts w:ascii="Times New Roman" w:hAnsi="Times New Roman"/>
          <w:iCs/>
          <w:u w:color="000000"/>
          <w:lang w:eastAsia="ru-RU"/>
        </w:rPr>
      </w:pPr>
      <w:r>
        <w:rPr>
          <w:rFonts w:ascii="Times New Roman" w:hAnsi="Times New Roman"/>
          <w:iCs/>
          <w:u w:color="000000"/>
          <w:lang w:eastAsia="ru-RU"/>
        </w:rPr>
        <w:t>Соблюдение личной гигиены, требований к спортивной одежде и обуви для занятий спортивной борьбой.</w:t>
      </w:r>
    </w:p>
    <w:p w14:paraId="67B6A4CD">
      <w:pPr>
        <w:pBdr>
          <w:top w:val="none" w:color="auto" w:sz="0" w:space="0"/>
          <w:left w:val="none" w:color="auto" w:sz="0" w:space="0"/>
          <w:bottom w:val="none" w:color="auto" w:sz="0" w:space="0"/>
          <w:right w:val="none" w:color="auto" w:sz="0" w:space="0"/>
          <w:between w:val="none" w:color="auto" w:sz="0" w:space="0"/>
        </w:pBdr>
        <w:spacing w:after="0" w:line="360" w:lineRule="auto"/>
        <w:ind w:firstLine="709"/>
        <w:jc w:val="both"/>
        <w:rPr>
          <w:rFonts w:ascii="Times New Roman" w:hAnsi="Times New Roman"/>
          <w:iCs/>
          <w:u w:color="000000"/>
          <w:lang w:eastAsia="ru-RU"/>
        </w:rPr>
      </w:pPr>
      <w:r>
        <w:rPr>
          <w:rFonts w:ascii="Times New Roman" w:hAnsi="Times New Roman"/>
          <w:iCs/>
          <w:u w:color="000000"/>
          <w:lang w:eastAsia="ru-RU"/>
        </w:rPr>
        <w:t>Составление и проведение комплексов общеразвивающих упражнений.</w:t>
      </w:r>
    </w:p>
    <w:p w14:paraId="149A9729">
      <w:pPr>
        <w:pBdr>
          <w:top w:val="none" w:color="auto" w:sz="0" w:space="0"/>
          <w:left w:val="none" w:color="auto" w:sz="0" w:space="0"/>
          <w:bottom w:val="none" w:color="auto" w:sz="0" w:space="0"/>
          <w:right w:val="none" w:color="auto" w:sz="0" w:space="0"/>
          <w:between w:val="none" w:color="auto" w:sz="0" w:space="0"/>
        </w:pBdr>
        <w:spacing w:after="0" w:line="360" w:lineRule="auto"/>
        <w:ind w:firstLine="709"/>
        <w:jc w:val="both"/>
        <w:rPr>
          <w:rFonts w:ascii="Times New Roman" w:hAnsi="Times New Roman"/>
          <w:iCs/>
          <w:u w:color="000000"/>
          <w:lang w:eastAsia="ru-RU"/>
        </w:rPr>
      </w:pPr>
      <w:r>
        <w:rPr>
          <w:rFonts w:ascii="Times New Roman" w:hAnsi="Times New Roman"/>
          <w:iCs/>
          <w:u w:color="000000"/>
          <w:lang w:eastAsia="ru-RU"/>
        </w:rPr>
        <w:t>Подвижные игры, игры с элементами единоборств и правила их проведения.</w:t>
      </w:r>
    </w:p>
    <w:p w14:paraId="2696977F">
      <w:pPr>
        <w:pBdr>
          <w:top w:val="none" w:color="auto" w:sz="0" w:space="0"/>
          <w:left w:val="none" w:color="auto" w:sz="0" w:space="0"/>
          <w:bottom w:val="none" w:color="auto" w:sz="0" w:space="0"/>
          <w:right w:val="none" w:color="auto" w:sz="0" w:space="0"/>
          <w:between w:val="none" w:color="auto" w:sz="0" w:space="0"/>
        </w:pBdr>
        <w:spacing w:after="0" w:line="360" w:lineRule="auto"/>
        <w:ind w:firstLine="709"/>
        <w:jc w:val="both"/>
        <w:rPr>
          <w:rFonts w:ascii="Times New Roman" w:hAnsi="Times New Roman"/>
          <w:iCs/>
          <w:u w:color="000000"/>
          <w:lang w:eastAsia="ru-RU"/>
        </w:rPr>
      </w:pPr>
      <w:r>
        <w:rPr>
          <w:rFonts w:ascii="Times New Roman" w:hAnsi="Times New Roman"/>
          <w:iCs/>
          <w:u w:color="000000"/>
          <w:lang w:eastAsia="ru-RU"/>
        </w:rPr>
        <w:t>Составление комплексов различной направленности: утренней гигиенической гимнастики, корригирующей гимнастики с элементами спортивной борьбы, дыхательной гимнастики, упражнений для глаз, упражнений формирования осанки и профилактики плоскостопия, упражнений для развития физических качеств, упражнений для укрепления голеностопных суставов.</w:t>
      </w:r>
    </w:p>
    <w:p w14:paraId="037FA245">
      <w:pPr>
        <w:pBdr>
          <w:top w:val="none" w:color="auto" w:sz="0" w:space="0"/>
          <w:left w:val="none" w:color="auto" w:sz="0" w:space="0"/>
          <w:bottom w:val="none" w:color="auto" w:sz="0" w:space="0"/>
          <w:right w:val="none" w:color="auto" w:sz="0" w:space="0"/>
          <w:between w:val="none" w:color="auto" w:sz="0" w:space="0"/>
        </w:pBdr>
        <w:spacing w:after="0" w:line="360" w:lineRule="auto"/>
        <w:ind w:firstLine="709"/>
        <w:jc w:val="both"/>
        <w:rPr>
          <w:rFonts w:ascii="Times New Roman" w:hAnsi="Times New Roman"/>
          <w:iCs/>
          <w:u w:color="000000"/>
          <w:lang w:eastAsia="ru-RU"/>
        </w:rPr>
      </w:pPr>
      <w:r>
        <w:rPr>
          <w:rFonts w:ascii="Times New Roman" w:hAnsi="Times New Roman"/>
          <w:iCs/>
          <w:u w:color="000000"/>
          <w:lang w:eastAsia="ru-RU"/>
        </w:rPr>
        <w:t>Основы организации самостоятельных занятий спортивной борьбой со сверстниками.</w:t>
      </w:r>
    </w:p>
    <w:p w14:paraId="558791F5">
      <w:pPr>
        <w:pBdr>
          <w:top w:val="none" w:color="auto" w:sz="0" w:space="0"/>
          <w:left w:val="none" w:color="auto" w:sz="0" w:space="0"/>
          <w:bottom w:val="none" w:color="auto" w:sz="0" w:space="0"/>
          <w:right w:val="none" w:color="auto" w:sz="0" w:space="0"/>
          <w:between w:val="none" w:color="auto" w:sz="0" w:space="0"/>
        </w:pBdr>
        <w:spacing w:after="0" w:line="360" w:lineRule="auto"/>
        <w:ind w:firstLine="709"/>
        <w:jc w:val="both"/>
        <w:rPr>
          <w:rFonts w:ascii="Times New Roman" w:hAnsi="Times New Roman"/>
          <w:iCs/>
          <w:u w:color="000000"/>
          <w:lang w:eastAsia="ru-RU"/>
        </w:rPr>
      </w:pPr>
      <w:r>
        <w:rPr>
          <w:rFonts w:ascii="Times New Roman" w:hAnsi="Times New Roman"/>
          <w:iCs/>
          <w:u w:color="000000"/>
          <w:lang w:eastAsia="ru-RU"/>
        </w:rPr>
        <w:t>Организация и проведение игр специальной направленности с элементами спортивной борьбы.</w:t>
      </w:r>
    </w:p>
    <w:p w14:paraId="2C3C2486">
      <w:pPr>
        <w:pBdr>
          <w:top w:val="none" w:color="auto" w:sz="0" w:space="0"/>
          <w:left w:val="none" w:color="auto" w:sz="0" w:space="0"/>
          <w:bottom w:val="none" w:color="auto" w:sz="0" w:space="0"/>
          <w:right w:val="none" w:color="auto" w:sz="0" w:space="0"/>
          <w:between w:val="none" w:color="auto" w:sz="0" w:space="0"/>
        </w:pBdr>
        <w:spacing w:after="0" w:line="360" w:lineRule="auto"/>
        <w:ind w:firstLine="709"/>
        <w:jc w:val="both"/>
        <w:rPr>
          <w:rFonts w:ascii="Times New Roman" w:hAnsi="Times New Roman"/>
          <w:iCs/>
          <w:u w:color="000000"/>
          <w:lang w:eastAsia="ru-RU"/>
        </w:rPr>
      </w:pPr>
      <w:r>
        <w:rPr>
          <w:rFonts w:ascii="Times New Roman" w:hAnsi="Times New Roman"/>
          <w:iCs/>
          <w:u w:color="000000"/>
          <w:lang w:eastAsia="ru-RU"/>
        </w:rPr>
        <w:t>Причины возникновения ошибок при выполнении технических приёмов и способы их устранения.</w:t>
      </w:r>
    </w:p>
    <w:p w14:paraId="2FF57CCE">
      <w:pPr>
        <w:pBdr>
          <w:top w:val="none" w:color="auto" w:sz="0" w:space="0"/>
          <w:left w:val="none" w:color="auto" w:sz="0" w:space="0"/>
          <w:bottom w:val="none" w:color="auto" w:sz="0" w:space="0"/>
          <w:right w:val="none" w:color="auto" w:sz="0" w:space="0"/>
          <w:between w:val="none" w:color="auto" w:sz="0" w:space="0"/>
        </w:pBdr>
        <w:spacing w:after="0" w:line="360" w:lineRule="auto"/>
        <w:ind w:firstLine="709"/>
        <w:jc w:val="both"/>
        <w:rPr>
          <w:rFonts w:ascii="Times New Roman" w:hAnsi="Times New Roman"/>
          <w:iCs/>
          <w:u w:color="000000"/>
          <w:lang w:eastAsia="ru-RU"/>
        </w:rPr>
      </w:pPr>
      <w:r>
        <w:rPr>
          <w:rFonts w:ascii="Times New Roman" w:hAnsi="Times New Roman"/>
          <w:iCs/>
          <w:u w:color="000000"/>
          <w:lang w:eastAsia="ru-RU"/>
        </w:rPr>
        <w:t>Основы анализа собственной собственных занятий, игр с элементами борьбы, игры своей команды и игры команды соперников.</w:t>
      </w:r>
    </w:p>
    <w:p w14:paraId="1D8D42B3">
      <w:pPr>
        <w:pBdr>
          <w:top w:val="none" w:color="auto" w:sz="0" w:space="0"/>
          <w:left w:val="none" w:color="auto" w:sz="0" w:space="0"/>
          <w:bottom w:val="none" w:color="auto" w:sz="0" w:space="0"/>
          <w:right w:val="none" w:color="auto" w:sz="0" w:space="0"/>
          <w:between w:val="none" w:color="auto" w:sz="0" w:space="0"/>
        </w:pBdr>
        <w:spacing w:after="0" w:line="360" w:lineRule="auto"/>
        <w:ind w:firstLine="709"/>
        <w:jc w:val="both"/>
        <w:rPr>
          <w:rFonts w:ascii="Times New Roman" w:hAnsi="Times New Roman"/>
          <w:iCs/>
          <w:u w:color="000000"/>
          <w:lang w:eastAsia="ru-RU"/>
        </w:rPr>
      </w:pPr>
      <w:r>
        <w:rPr>
          <w:rFonts w:ascii="Times New Roman" w:hAnsi="Times New Roman"/>
          <w:iCs/>
          <w:u w:color="000000"/>
          <w:lang w:eastAsia="ru-RU"/>
        </w:rPr>
        <w:t>Контрольно-тестовые упражнения по общей и специальной физической подготовке.</w:t>
      </w:r>
    </w:p>
    <w:p w14:paraId="4C31B01B">
      <w:pPr>
        <w:pBdr>
          <w:top w:val="none" w:color="auto" w:sz="0" w:space="0"/>
          <w:left w:val="none" w:color="auto" w:sz="0" w:space="0"/>
          <w:bottom w:val="none" w:color="auto" w:sz="0" w:space="0"/>
          <w:right w:val="none" w:color="auto" w:sz="0" w:space="0"/>
          <w:between w:val="none" w:color="auto" w:sz="0" w:space="0"/>
        </w:pBdr>
        <w:spacing w:after="0" w:line="360" w:lineRule="auto"/>
        <w:ind w:firstLine="709"/>
        <w:jc w:val="both"/>
        <w:rPr>
          <w:rFonts w:ascii="Times New Roman" w:hAnsi="Times New Roman" w:eastAsia="Arial Unicode MS"/>
          <w:u w:color="000000"/>
          <w:lang w:eastAsia="ru-RU"/>
        </w:rPr>
      </w:pPr>
      <w:r>
        <w:rPr>
          <w:rFonts w:ascii="Times New Roman" w:hAnsi="Times New Roman" w:eastAsia="Arial Unicode MS"/>
          <w:u w:color="000000"/>
          <w:lang w:eastAsia="ru-RU"/>
        </w:rPr>
        <w:t>Физическое совершенствование.</w:t>
      </w:r>
    </w:p>
    <w:p w14:paraId="025C95AC">
      <w:pPr>
        <w:spacing w:after="0" w:line="360" w:lineRule="auto"/>
        <w:ind w:firstLine="709"/>
        <w:jc w:val="both"/>
        <w:rPr>
          <w:rFonts w:ascii="Times New Roman" w:hAnsi="Times New Roman"/>
          <w:iCs/>
          <w:u w:color="000000"/>
          <w:lang w:eastAsia="ru-RU"/>
        </w:rPr>
      </w:pPr>
      <w:r>
        <w:rPr>
          <w:rFonts w:ascii="Times New Roman" w:hAnsi="Times New Roman"/>
          <w:iCs/>
          <w:u w:color="000000"/>
          <w:lang w:eastAsia="ru-RU"/>
        </w:rPr>
        <w:t>Комплексы общеразвивающих и корригирующих упражнений.</w:t>
      </w:r>
    </w:p>
    <w:p w14:paraId="4D2B5628">
      <w:pPr>
        <w:spacing w:after="0" w:line="360" w:lineRule="auto"/>
        <w:ind w:firstLine="709"/>
        <w:jc w:val="both"/>
        <w:rPr>
          <w:rFonts w:ascii="Times New Roman" w:hAnsi="Times New Roman"/>
          <w:b/>
          <w:bCs/>
          <w:iCs/>
          <w:u w:color="000000"/>
          <w:lang w:eastAsia="ru-RU"/>
        </w:rPr>
      </w:pPr>
      <w:r>
        <w:rPr>
          <w:rFonts w:ascii="Times New Roman" w:hAnsi="Times New Roman"/>
          <w:iCs/>
          <w:u w:color="000000"/>
          <w:lang w:eastAsia="ru-RU"/>
        </w:rPr>
        <w:t>Упражнения на развитие физических качеств (быстроты, ловкости, гибкости).</w:t>
      </w:r>
    </w:p>
    <w:p w14:paraId="35D65011">
      <w:pPr>
        <w:spacing w:after="0" w:line="360" w:lineRule="auto"/>
        <w:ind w:firstLine="709"/>
        <w:jc w:val="both"/>
        <w:rPr>
          <w:rFonts w:ascii="Times New Roman" w:hAnsi="Times New Roman"/>
          <w:b/>
          <w:bCs/>
          <w:iCs/>
          <w:u w:color="000000"/>
          <w:lang w:eastAsia="ru-RU"/>
        </w:rPr>
      </w:pPr>
      <w:r>
        <w:rPr>
          <w:rFonts w:ascii="Times New Roman" w:hAnsi="Times New Roman"/>
          <w:iCs/>
          <w:u w:color="000000"/>
          <w:lang w:eastAsia="ru-RU"/>
        </w:rPr>
        <w:t>Комплексы специальных упражнений для формирования технических действий борца.</w:t>
      </w:r>
    </w:p>
    <w:p w14:paraId="506E7420">
      <w:pPr>
        <w:spacing w:after="0" w:line="360" w:lineRule="auto"/>
        <w:ind w:firstLine="709"/>
        <w:jc w:val="both"/>
        <w:rPr>
          <w:rFonts w:ascii="Times New Roman" w:hAnsi="Times New Roman"/>
          <w:b/>
          <w:bCs/>
          <w:iCs/>
          <w:u w:color="000000"/>
          <w:lang w:eastAsia="ru-RU"/>
        </w:rPr>
      </w:pPr>
      <w:r>
        <w:rPr>
          <w:rFonts w:ascii="Times New Roman" w:hAnsi="Times New Roman"/>
          <w:iCs/>
          <w:u w:color="000000"/>
          <w:lang w:eastAsia="ru-RU"/>
        </w:rPr>
        <w:t>Разминка, её роль, назначение, средства. Комплексы специальной разминки перед соревнованиями по спортивной борьбе. Комплексы корригирующей гимнастики с использованием специальных упражнений из арсенала спортивной борьбы.</w:t>
      </w:r>
    </w:p>
    <w:p w14:paraId="5DF61F87">
      <w:pPr>
        <w:spacing w:after="0" w:line="360" w:lineRule="auto"/>
        <w:ind w:firstLine="709"/>
        <w:jc w:val="both"/>
        <w:rPr>
          <w:rFonts w:ascii="Times New Roman" w:hAnsi="Times New Roman"/>
          <w:b/>
          <w:bCs/>
          <w:iCs/>
          <w:u w:color="000000"/>
          <w:lang w:eastAsia="ru-RU"/>
        </w:rPr>
      </w:pPr>
      <w:r>
        <w:rPr>
          <w:rFonts w:ascii="Times New Roman" w:hAnsi="Times New Roman"/>
          <w:iCs/>
          <w:u w:color="000000"/>
          <w:lang w:eastAsia="ru-RU"/>
        </w:rPr>
        <w:t>Внешние признаки утомления. Средства восстановления организма после физической нагрузки.</w:t>
      </w:r>
    </w:p>
    <w:p w14:paraId="73B142F7">
      <w:pPr>
        <w:spacing w:after="0" w:line="360" w:lineRule="auto"/>
        <w:ind w:firstLine="709"/>
        <w:jc w:val="both"/>
        <w:rPr>
          <w:rFonts w:ascii="Times New Roman" w:hAnsi="Times New Roman"/>
          <w:b/>
          <w:bCs/>
          <w:iCs/>
          <w:u w:color="000000"/>
          <w:lang w:eastAsia="ru-RU"/>
        </w:rPr>
      </w:pPr>
      <w:r>
        <w:rPr>
          <w:rFonts w:ascii="Times New Roman" w:hAnsi="Times New Roman"/>
          <w:iCs/>
          <w:u w:color="000000"/>
          <w:lang w:eastAsia="ru-RU"/>
        </w:rPr>
        <w:t>Способы индивидуального регулирования физической нагрузки.</w:t>
      </w:r>
    </w:p>
    <w:p w14:paraId="33D00C88">
      <w:pPr>
        <w:spacing w:after="0" w:line="360" w:lineRule="auto"/>
        <w:ind w:firstLine="709"/>
        <w:jc w:val="both"/>
        <w:rPr>
          <w:rFonts w:ascii="Times New Roman" w:hAnsi="Times New Roman"/>
          <w:iCs/>
          <w:u w:color="000000"/>
          <w:lang w:eastAsia="ru-RU"/>
        </w:rPr>
      </w:pPr>
      <w:r>
        <w:rPr>
          <w:rFonts w:ascii="Times New Roman" w:hAnsi="Times New Roman"/>
          <w:iCs/>
          <w:u w:color="000000"/>
          <w:lang w:eastAsia="ru-RU"/>
        </w:rPr>
        <w:t>Подвижные игры и игры с элементами борьбы с предметами и без, эстафеты с элементами спортивной борьбы.</w:t>
      </w:r>
      <w:r>
        <w:rPr>
          <w:rFonts w:ascii="Times New Roman" w:hAnsi="Times New Roman"/>
          <w:b/>
          <w:bCs/>
          <w:iCs/>
          <w:u w:color="000000"/>
          <w:lang w:eastAsia="ru-RU"/>
        </w:rPr>
        <w:t xml:space="preserve"> </w:t>
      </w:r>
      <w:r>
        <w:rPr>
          <w:rFonts w:ascii="Times New Roman" w:hAnsi="Times New Roman"/>
          <w:iCs/>
          <w:u w:color="000000"/>
          <w:lang w:eastAsia="ru-RU"/>
        </w:rPr>
        <w:t>Эстафеты на развитие физических и специальных качеств.</w:t>
      </w:r>
    </w:p>
    <w:p w14:paraId="72704C86">
      <w:pPr>
        <w:spacing w:after="0" w:line="360" w:lineRule="auto"/>
        <w:ind w:firstLine="709"/>
        <w:jc w:val="both"/>
        <w:rPr>
          <w:rFonts w:ascii="Times New Roman" w:hAnsi="Times New Roman"/>
          <w:bCs/>
          <w:u w:color="000000"/>
          <w:lang w:eastAsia="ru-RU"/>
        </w:rPr>
      </w:pPr>
      <w:r>
        <w:rPr>
          <w:rFonts w:ascii="Times New Roman" w:hAnsi="Times New Roman"/>
          <w:iCs/>
          <w:u w:color="000000"/>
          <w:lang w:eastAsia="ru-RU"/>
        </w:rPr>
        <w:t>Техника перемещения борца (различные способы перемещения: бег, ходьба, остановки, повороты, прыжки), п</w:t>
      </w:r>
      <w:r>
        <w:rPr>
          <w:rFonts w:ascii="Times New Roman" w:hAnsi="Times New Roman"/>
          <w:bCs/>
          <w:u w:color="000000"/>
          <w:lang w:eastAsia="ru-RU"/>
        </w:rPr>
        <w:t>онятия и характеристика технических действий в стойке и в партере, защит и контрприёмов, их названия и техника выполнения. Характеристика способов тактической подготовки в спортивной борьбе, её компоненты и разновидности.</w:t>
      </w:r>
    </w:p>
    <w:p w14:paraId="1F9717F9">
      <w:pPr>
        <w:spacing w:after="0" w:line="360" w:lineRule="auto"/>
        <w:ind w:firstLine="709"/>
        <w:jc w:val="both"/>
        <w:rPr>
          <w:rFonts w:ascii="Times New Roman" w:hAnsi="Times New Roman"/>
          <w:iCs/>
          <w:u w:color="000000"/>
          <w:lang w:eastAsia="ru-RU"/>
        </w:rPr>
      </w:pPr>
      <w:r>
        <w:rPr>
          <w:rFonts w:ascii="Times New Roman" w:hAnsi="Times New Roman"/>
          <w:u w:color="000000"/>
          <w:lang w:eastAsia="ru-RU"/>
        </w:rPr>
        <w:t>Учебные поединки (борьба лёжа, борьба в партере, борьба на коленях).</w:t>
      </w:r>
    </w:p>
    <w:p w14:paraId="78A708D1">
      <w:pPr>
        <w:spacing w:after="0" w:line="360" w:lineRule="auto"/>
        <w:ind w:firstLine="709"/>
        <w:jc w:val="both"/>
        <w:rPr>
          <w:rFonts w:ascii="Times New Roman" w:hAnsi="Times New Roman"/>
          <w:iCs/>
          <w:u w:color="000000"/>
          <w:lang w:eastAsia="ru-RU"/>
        </w:rPr>
      </w:pPr>
      <w:r>
        <w:rPr>
          <w:rFonts w:ascii="Times New Roman" w:hAnsi="Times New Roman"/>
          <w:iCs/>
          <w:u w:color="000000"/>
          <w:lang w:eastAsia="ru-RU"/>
        </w:rPr>
        <w:t>Игры с элементами единоборств, технико-тактической подготовка борца. Участие в соревновательной деятельности.</w:t>
      </w:r>
    </w:p>
    <w:p w14:paraId="7EA40F1D">
      <w:pPr>
        <w:pBdr>
          <w:top w:val="none" w:color="auto" w:sz="0" w:space="0"/>
          <w:left w:val="none" w:color="auto" w:sz="0" w:space="0"/>
          <w:bottom w:val="none" w:color="auto" w:sz="0" w:space="0"/>
          <w:right w:val="none" w:color="auto" w:sz="0" w:space="0"/>
          <w:between w:val="none" w:color="auto" w:sz="0" w:space="0"/>
        </w:pBdr>
        <w:spacing w:after="0" w:line="360" w:lineRule="auto"/>
        <w:ind w:firstLine="709"/>
        <w:jc w:val="both"/>
        <w:rPr>
          <w:rFonts w:ascii="Times New Roman" w:hAnsi="Times New Roman" w:eastAsia="Arial Unicode MS"/>
          <w:u w:color="000000"/>
          <w:lang w:eastAsia="ru-RU"/>
        </w:rPr>
      </w:pPr>
      <w:r>
        <w:rPr>
          <w:rFonts w:ascii="Times New Roman" w:hAnsi="Times New Roman" w:eastAsia="Times New Roman"/>
          <w:bCs/>
          <w:lang w:eastAsia="zh-CN"/>
        </w:rPr>
        <w:t>16.4.</w:t>
      </w:r>
      <w:r>
        <w:rPr>
          <w:rFonts w:ascii="Times New Roman" w:hAnsi="Times New Roman" w:eastAsia="Arial Unicode MS"/>
          <w:u w:color="000000"/>
          <w:lang w:eastAsia="ru-RU"/>
        </w:rPr>
        <w:t>9.7. Содержание модуля «Спортивная борьба» направлено на достижение обучающимися личностных, метапредметных и предметных результатов обучения.</w:t>
      </w:r>
    </w:p>
    <w:p w14:paraId="74BFCE51">
      <w:pPr>
        <w:pBdr>
          <w:top w:val="none" w:color="auto" w:sz="0" w:space="0"/>
          <w:left w:val="none" w:color="auto" w:sz="0" w:space="0"/>
          <w:bottom w:val="none" w:color="auto" w:sz="0" w:space="0"/>
          <w:right w:val="none" w:color="auto" w:sz="0" w:space="0"/>
          <w:between w:val="none" w:color="auto" w:sz="0" w:space="0"/>
        </w:pBdr>
        <w:spacing w:after="0" w:line="360" w:lineRule="auto"/>
        <w:ind w:firstLine="709"/>
        <w:jc w:val="both"/>
        <w:rPr>
          <w:rFonts w:ascii="Times New Roman" w:hAnsi="Times New Roman" w:eastAsia="HiddenHorzOCR"/>
          <w:u w:color="000000"/>
          <w:lang w:eastAsia="ru-RU"/>
        </w:rPr>
      </w:pPr>
      <w:r>
        <w:rPr>
          <w:rFonts w:ascii="Times New Roman" w:hAnsi="Times New Roman" w:eastAsia="Times New Roman"/>
          <w:bCs/>
          <w:lang w:eastAsia="zh-CN"/>
        </w:rPr>
        <w:t>16.4.</w:t>
      </w:r>
      <w:r>
        <w:rPr>
          <w:rFonts w:ascii="Times New Roman" w:hAnsi="Times New Roman" w:eastAsia="HiddenHorzOCR"/>
          <w:u w:color="000000"/>
          <w:lang w:eastAsia="ru-RU"/>
        </w:rPr>
        <w:t>9.7.1. </w:t>
      </w:r>
      <w:r>
        <w:rPr>
          <w:rFonts w:ascii="Times New Roman" w:hAnsi="Times New Roman" w:eastAsia="Times New Roman"/>
          <w:bCs/>
          <w:u w:color="000000"/>
          <w:lang w:eastAsia="zh-CN"/>
        </w:rPr>
        <w:t xml:space="preserve">При </w:t>
      </w:r>
      <w:r>
        <w:rPr>
          <w:rFonts w:ascii="Times New Roman" w:hAnsi="Times New Roman"/>
          <w:u w:color="000000"/>
          <w:lang w:eastAsia="zh-CN"/>
        </w:rPr>
        <w:t xml:space="preserve">изучении </w:t>
      </w:r>
      <w:r>
        <w:rPr>
          <w:rFonts w:ascii="Times New Roman" w:hAnsi="Times New Roman" w:eastAsia="HiddenHorzOCR"/>
          <w:u w:color="000000"/>
          <w:lang w:eastAsia="ru-RU"/>
        </w:rPr>
        <w:t>модуля «Спортивная борьба» на уровне начального общего образования у обучающихся будут сформированы следующие личностные результаты:</w:t>
      </w:r>
    </w:p>
    <w:p w14:paraId="4056CE6A">
      <w:pPr>
        <w:spacing w:after="0" w:line="360" w:lineRule="auto"/>
        <w:ind w:firstLine="709"/>
        <w:contextualSpacing/>
        <w:jc w:val="both"/>
        <w:rPr>
          <w:rFonts w:ascii="Times New Roman" w:hAnsi="Times New Roman"/>
          <w:bCs/>
          <w:u w:color="000000"/>
          <w:lang w:eastAsia="ru-RU"/>
        </w:rPr>
      </w:pPr>
      <w:r>
        <w:rPr>
          <w:rFonts w:ascii="Times New Roman" w:hAnsi="Times New Roman" w:eastAsia="HiddenHorzOCR"/>
          <w:u w:color="000000"/>
          <w:lang w:eastAsia="ru-RU"/>
        </w:rPr>
        <w:t xml:space="preserve">проявление чувства гордости за свою Родину, российский народ и историю России </w:t>
      </w:r>
      <w:r>
        <w:rPr>
          <w:rFonts w:ascii="Times New Roman" w:hAnsi="Times New Roman"/>
          <w:bCs/>
          <w:iCs/>
          <w:u w:color="000000"/>
          <w:lang w:eastAsia="ru-RU"/>
        </w:rPr>
        <w:t>через достижения российских борцов и национальной сборной команды страны по спортивной борьбе</w:t>
      </w:r>
      <w:r>
        <w:rPr>
          <w:rFonts w:ascii="Times New Roman" w:hAnsi="Times New Roman"/>
          <w:bCs/>
          <w:u w:color="000000"/>
          <w:lang w:eastAsia="ru-RU"/>
        </w:rPr>
        <w:t>;</w:t>
      </w:r>
    </w:p>
    <w:p w14:paraId="059DAF90">
      <w:pPr>
        <w:spacing w:after="0" w:line="360" w:lineRule="auto"/>
        <w:ind w:firstLine="709"/>
        <w:contextualSpacing/>
        <w:jc w:val="both"/>
        <w:rPr>
          <w:rFonts w:ascii="Times New Roman" w:hAnsi="Times New Roman"/>
          <w:bCs/>
          <w:u w:color="000000"/>
          <w:lang w:eastAsia="ru-RU"/>
        </w:rPr>
      </w:pPr>
      <w:r>
        <w:rPr>
          <w:rFonts w:ascii="Times New Roman" w:hAnsi="Times New Roman"/>
          <w:bCs/>
          <w:u w:color="000000"/>
          <w:lang w:eastAsia="ru-RU"/>
        </w:rPr>
        <w:t>п</w:t>
      </w:r>
      <w:r>
        <w:rPr>
          <w:rFonts w:ascii="Times New Roman" w:hAnsi="Times New Roman"/>
          <w:bCs/>
          <w:iCs/>
          <w:u w:color="000000"/>
          <w:lang w:eastAsia="ru-RU"/>
        </w:rPr>
        <w:t>роявление</w:t>
      </w:r>
      <w:r>
        <w:rPr>
          <w:rFonts w:ascii="Times New Roman" w:hAnsi="Times New Roman"/>
          <w:u w:color="000000"/>
          <w:lang w:eastAsia="ru-RU"/>
        </w:rPr>
        <w:t xml:space="preserve"> уважительного отношения к сверстникам, культуры общения и взаимодействия, терпимости и толерантности в достижении общих целей при совместной деятельности (учебной, тренировочной, досуговой, игровой и соревновательной) на принципах доброжелательности и взаимопомощи;</w:t>
      </w:r>
    </w:p>
    <w:p w14:paraId="261D3DE3">
      <w:pPr>
        <w:autoSpaceDE w:val="0"/>
        <w:autoSpaceDN w:val="0"/>
        <w:adjustRightInd w:val="0"/>
        <w:spacing w:after="0" w:line="360" w:lineRule="auto"/>
        <w:ind w:firstLine="709"/>
        <w:jc w:val="both"/>
        <w:rPr>
          <w:rFonts w:ascii="Times New Roman" w:hAnsi="Times New Roman" w:eastAsia="HiddenHorzOCR"/>
          <w:u w:color="000000"/>
          <w:lang w:eastAsia="ru-RU"/>
        </w:rPr>
      </w:pPr>
      <w:r>
        <w:rPr>
          <w:rFonts w:ascii="Times New Roman" w:hAnsi="Times New Roman" w:eastAsia="HiddenHorzOCR"/>
          <w:u w:color="000000"/>
          <w:lang w:eastAsia="ru-RU"/>
        </w:rPr>
        <w:t>проявление готовности к саморазвитию, самообразованию и самовоспитанию, мотивации к осознанному выбору индивидуальной траектории образования средствами спортивной борьбы;</w:t>
      </w:r>
    </w:p>
    <w:p w14:paraId="6668622F">
      <w:pPr>
        <w:autoSpaceDE w:val="0"/>
        <w:autoSpaceDN w:val="0"/>
        <w:adjustRightInd w:val="0"/>
        <w:spacing w:after="0" w:line="360" w:lineRule="auto"/>
        <w:ind w:firstLine="709"/>
        <w:jc w:val="both"/>
        <w:rPr>
          <w:rFonts w:ascii="Times New Roman" w:hAnsi="Times New Roman" w:eastAsia="HiddenHorzOCR"/>
          <w:u w:color="000000"/>
          <w:lang w:eastAsia="ru-RU"/>
        </w:rPr>
      </w:pPr>
      <w:r>
        <w:rPr>
          <w:rFonts w:ascii="Times New Roman" w:hAnsi="Times New Roman"/>
          <w:u w:color="000000"/>
          <w:lang w:eastAsia="ru-RU"/>
        </w:rPr>
        <w:t>проявление положительных качеств личности и управление своими эмоциями в различных (нестандартных) ситуациях и условиях,</w:t>
      </w:r>
      <w:r>
        <w:rPr>
          <w:rFonts w:ascii="Times New Roman" w:hAnsi="Times New Roman" w:eastAsia="HiddenHorzOCR"/>
          <w:u w:color="000000"/>
          <w:lang w:eastAsia="ru-RU"/>
        </w:rPr>
        <w:t xml:space="preserve"> умение не создавать конфликтов и находить выходы из спорных ситуаций;</w:t>
      </w:r>
    </w:p>
    <w:p w14:paraId="1C9CF5B0">
      <w:pPr>
        <w:pBdr>
          <w:top w:val="none" w:color="auto" w:sz="0" w:space="0"/>
          <w:left w:val="none" w:color="auto" w:sz="0" w:space="0"/>
          <w:bottom w:val="none" w:color="auto" w:sz="0" w:space="0"/>
          <w:right w:val="none" w:color="auto" w:sz="0" w:space="0"/>
          <w:between w:val="none" w:color="auto" w:sz="0" w:space="0"/>
        </w:pBdr>
        <w:spacing w:after="0" w:line="360" w:lineRule="auto"/>
        <w:ind w:firstLine="709"/>
        <w:jc w:val="both"/>
        <w:rPr>
          <w:rFonts w:ascii="Times New Roman" w:hAnsi="Times New Roman"/>
          <w:u w:color="000000"/>
          <w:lang w:eastAsia="ru-RU"/>
        </w:rPr>
      </w:pPr>
      <w:r>
        <w:rPr>
          <w:rFonts w:ascii="Times New Roman" w:hAnsi="Times New Roman"/>
          <w:u w:color="000000"/>
          <w:lang w:eastAsia="ru-RU"/>
        </w:rPr>
        <w:t>реализация ценностей здорового и безопасного образа жизни, потребности в физическом самосовершенствовании, занятиях спортивно-оздоровительной деятельностью;</w:t>
      </w:r>
    </w:p>
    <w:p w14:paraId="6278EBAE">
      <w:pPr>
        <w:pBdr>
          <w:top w:val="none" w:color="auto" w:sz="0" w:space="0"/>
          <w:left w:val="none" w:color="auto" w:sz="0" w:space="0"/>
          <w:bottom w:val="none" w:color="auto" w:sz="0" w:space="0"/>
          <w:right w:val="none" w:color="auto" w:sz="0" w:space="0"/>
          <w:between w:val="none" w:color="auto" w:sz="0" w:space="0"/>
        </w:pBdr>
        <w:spacing w:after="0" w:line="360" w:lineRule="auto"/>
        <w:ind w:firstLine="709"/>
        <w:jc w:val="both"/>
        <w:rPr>
          <w:rFonts w:ascii="Times New Roman" w:hAnsi="Times New Roman"/>
          <w:u w:color="000000"/>
          <w:lang w:eastAsia="ru-RU"/>
        </w:rPr>
      </w:pPr>
      <w:r>
        <w:rPr>
          <w:rFonts w:ascii="Times New Roman" w:hAnsi="Times New Roman"/>
          <w:u w:color="000000"/>
          <w:lang w:eastAsia="ru-RU"/>
        </w:rPr>
        <w:t>проявление осознанного и ответственного отношения к собственным поступкам, моральной компетентности в решении проблем в процессе занятий физической культурой, игровой и соревновательной деятельности по спортивной борьбе;</w:t>
      </w:r>
    </w:p>
    <w:p w14:paraId="662A90A8">
      <w:pPr>
        <w:autoSpaceDE w:val="0"/>
        <w:autoSpaceDN w:val="0"/>
        <w:adjustRightInd w:val="0"/>
        <w:spacing w:after="0" w:line="360" w:lineRule="auto"/>
        <w:ind w:firstLine="709"/>
        <w:jc w:val="both"/>
        <w:rPr>
          <w:rFonts w:ascii="Times New Roman" w:hAnsi="Times New Roman" w:eastAsia="HiddenHorzOCR"/>
          <w:u w:color="000000"/>
          <w:lang w:eastAsia="ru-RU"/>
        </w:rPr>
      </w:pPr>
      <w:r>
        <w:rPr>
          <w:rFonts w:ascii="Times New Roman" w:hAnsi="Times New Roman"/>
          <w:u w:color="000000"/>
          <w:lang w:eastAsia="ru-RU"/>
        </w:rPr>
        <w:t>проявление дисциплинированности, трудолюбия и упорства достижении поставленных целей н</w:t>
      </w:r>
      <w:r>
        <w:rPr>
          <w:rFonts w:ascii="Times New Roman" w:hAnsi="Times New Roman" w:eastAsia="HiddenHorzOCR"/>
          <w:u w:color="000000"/>
          <w:lang w:eastAsia="ru-RU"/>
        </w:rPr>
        <w:t>а основе представлений о нравственных нормах, социальной справедливости и свободе;</w:t>
      </w:r>
    </w:p>
    <w:p w14:paraId="79C28EB8">
      <w:pPr>
        <w:pBdr>
          <w:top w:val="none" w:color="auto" w:sz="0" w:space="0"/>
          <w:left w:val="none" w:color="auto" w:sz="0" w:space="0"/>
          <w:bottom w:val="none" w:color="auto" w:sz="0" w:space="0"/>
          <w:right w:val="none" w:color="auto" w:sz="0" w:space="0"/>
          <w:between w:val="none" w:color="auto" w:sz="0" w:space="0"/>
        </w:pBdr>
        <w:spacing w:after="0" w:line="360" w:lineRule="auto"/>
        <w:ind w:firstLine="709"/>
        <w:jc w:val="both"/>
        <w:rPr>
          <w:rFonts w:ascii="Times New Roman" w:hAnsi="Times New Roman"/>
          <w:u w:color="000000"/>
          <w:lang w:eastAsia="ru-RU"/>
        </w:rPr>
      </w:pPr>
      <w:r>
        <w:rPr>
          <w:rFonts w:ascii="Times New Roman" w:hAnsi="Times New Roman"/>
          <w:u w:color="000000"/>
          <w:lang w:eastAsia="ru-RU"/>
        </w:rPr>
        <w:t xml:space="preserve"> соблюдение правил индивидуального и коллективного безопасного поведения в учебной, соревновательной, досуговой деятельности и чрезвычайных ситуациях;</w:t>
      </w:r>
    </w:p>
    <w:p w14:paraId="6308F04D">
      <w:pPr>
        <w:autoSpaceDE w:val="0"/>
        <w:autoSpaceDN w:val="0"/>
        <w:adjustRightInd w:val="0"/>
        <w:spacing w:after="0" w:line="360" w:lineRule="auto"/>
        <w:ind w:firstLine="709"/>
        <w:jc w:val="both"/>
        <w:rPr>
          <w:rFonts w:ascii="Times New Roman" w:hAnsi="Times New Roman" w:eastAsia="HiddenHorzOCR"/>
          <w:u w:color="000000"/>
          <w:lang w:eastAsia="ru-RU"/>
        </w:rPr>
      </w:pPr>
      <w:r>
        <w:rPr>
          <w:rFonts w:ascii="Times New Roman" w:hAnsi="Times New Roman"/>
          <w:u w:color="000000"/>
          <w:lang w:eastAsia="ru-RU"/>
        </w:rPr>
        <w:t>проявление положительных качеств личности и управление своими эмоциями в различных ситуациях и условиях, способность к самостоятельной, творческой и ответственной деятельности средствами спортивной борьбы.</w:t>
      </w:r>
    </w:p>
    <w:p w14:paraId="51B8CFE9">
      <w:pPr>
        <w:pBdr>
          <w:top w:val="none" w:color="auto" w:sz="0" w:space="0"/>
          <w:left w:val="none" w:color="auto" w:sz="0" w:space="0"/>
          <w:bottom w:val="none" w:color="auto" w:sz="0" w:space="0"/>
          <w:right w:val="none" w:color="auto" w:sz="0" w:space="0"/>
          <w:between w:val="none" w:color="auto" w:sz="0" w:space="0"/>
        </w:pBdr>
        <w:spacing w:after="0" w:line="360" w:lineRule="auto"/>
        <w:ind w:firstLine="709"/>
        <w:jc w:val="both"/>
        <w:rPr>
          <w:rFonts w:ascii="Times New Roman" w:hAnsi="Times New Roman" w:eastAsia="HiddenHorzOCR"/>
          <w:u w:color="000000"/>
          <w:lang w:eastAsia="ru-RU"/>
        </w:rPr>
      </w:pPr>
      <w:r>
        <w:rPr>
          <w:rFonts w:ascii="Times New Roman" w:hAnsi="Times New Roman" w:eastAsia="Times New Roman"/>
          <w:bCs/>
          <w:lang w:eastAsia="zh-CN"/>
        </w:rPr>
        <w:t>16.4.</w:t>
      </w:r>
      <w:r>
        <w:rPr>
          <w:rFonts w:ascii="Times New Roman" w:hAnsi="Times New Roman" w:eastAsia="HiddenHorzOCR"/>
          <w:u w:color="000000"/>
          <w:lang w:eastAsia="ru-RU"/>
        </w:rPr>
        <w:t>9.7.2. </w:t>
      </w:r>
      <w:r>
        <w:rPr>
          <w:rFonts w:ascii="Times New Roman" w:hAnsi="Times New Roman" w:eastAsia="Times New Roman"/>
          <w:bCs/>
          <w:u w:color="000000"/>
          <w:lang w:eastAsia="zh-CN"/>
        </w:rPr>
        <w:t xml:space="preserve">При </w:t>
      </w:r>
      <w:r>
        <w:rPr>
          <w:rFonts w:ascii="Times New Roman" w:hAnsi="Times New Roman"/>
          <w:u w:color="000000"/>
          <w:lang w:eastAsia="zh-CN"/>
        </w:rPr>
        <w:t xml:space="preserve">изучении </w:t>
      </w:r>
      <w:r>
        <w:rPr>
          <w:rFonts w:ascii="Times New Roman" w:hAnsi="Times New Roman" w:eastAsia="HiddenHorzOCR"/>
          <w:u w:color="000000"/>
          <w:lang w:eastAsia="ru-RU"/>
        </w:rPr>
        <w:t>модуля «Спортивная борьба» на уровне начального общего образования у обучающихся будут сформированы следующие метапредметные результаты:</w:t>
      </w:r>
    </w:p>
    <w:p w14:paraId="6DB6EAF5">
      <w:pPr>
        <w:pBdr>
          <w:top w:val="none" w:color="auto" w:sz="0" w:space="0"/>
          <w:left w:val="none" w:color="auto" w:sz="0" w:space="0"/>
          <w:bottom w:val="none" w:color="auto" w:sz="0" w:space="0"/>
          <w:right w:val="none" w:color="auto" w:sz="0" w:space="0"/>
          <w:between w:val="none" w:color="auto" w:sz="0" w:space="0"/>
        </w:pBdr>
        <w:shd w:val="clear" w:color="auto" w:fill="FFFFFF"/>
        <w:autoSpaceDE w:val="0"/>
        <w:autoSpaceDN w:val="0"/>
        <w:adjustRightInd w:val="0"/>
        <w:spacing w:after="0" w:line="360" w:lineRule="auto"/>
        <w:ind w:firstLine="709"/>
        <w:jc w:val="both"/>
        <w:rPr>
          <w:rFonts w:ascii="Times New Roman" w:hAnsi="Times New Roman" w:eastAsia="@Arial Unicode MS"/>
          <w:u w:color="000000"/>
          <w:lang w:eastAsia="ru-RU"/>
        </w:rPr>
      </w:pPr>
      <w:r>
        <w:rPr>
          <w:rFonts w:ascii="Times New Roman" w:hAnsi="Times New Roman"/>
          <w:u w:color="000000"/>
          <w:lang w:eastAsia="ru-RU"/>
        </w:rPr>
        <w:t>овладение способностью принимать и сохранять цели и задачи учебной деятельности, поиска средств и способов её осуществления;</w:t>
      </w:r>
    </w:p>
    <w:p w14:paraId="5000DAEA">
      <w:pPr>
        <w:autoSpaceDE w:val="0"/>
        <w:autoSpaceDN w:val="0"/>
        <w:adjustRightInd w:val="0"/>
        <w:spacing w:after="0" w:line="360" w:lineRule="auto"/>
        <w:ind w:firstLine="709"/>
        <w:jc w:val="both"/>
        <w:rPr>
          <w:rFonts w:ascii="Times New Roman" w:hAnsi="Times New Roman" w:eastAsia="HiddenHorzOCR"/>
          <w:u w:color="000000"/>
          <w:lang w:eastAsia="ru-RU"/>
        </w:rPr>
      </w:pPr>
      <w:r>
        <w:rPr>
          <w:rFonts w:ascii="Times New Roman" w:hAnsi="Times New Roman" w:eastAsia="HiddenHorzOCR"/>
          <w:u w:color="000000"/>
          <w:lang w:eastAsia="ru-RU"/>
        </w:rPr>
        <w:t xml:space="preserve">умение планировать, контролировать и оценивать учебные действия, </w:t>
      </w:r>
      <w:r>
        <w:rPr>
          <w:rFonts w:ascii="Times New Roman" w:hAnsi="Times New Roman"/>
          <w:u w:color="000000"/>
          <w:lang w:eastAsia="ru-RU"/>
        </w:rPr>
        <w:t xml:space="preserve">собственную деятельность, распределять нагрузку и отдых в процессе ее выполнения, </w:t>
      </w:r>
      <w:r>
        <w:rPr>
          <w:rFonts w:ascii="Times New Roman" w:hAnsi="Times New Roman" w:eastAsia="HiddenHorzOCR"/>
          <w:u w:color="000000"/>
          <w:lang w:eastAsia="ru-RU"/>
        </w:rPr>
        <w:t>определять наиболее эффективные способы достижения результата;</w:t>
      </w:r>
    </w:p>
    <w:p w14:paraId="531A23AB">
      <w:pPr>
        <w:autoSpaceDE w:val="0"/>
        <w:autoSpaceDN w:val="0"/>
        <w:adjustRightInd w:val="0"/>
        <w:spacing w:after="0" w:line="360" w:lineRule="auto"/>
        <w:ind w:firstLine="709"/>
        <w:jc w:val="both"/>
        <w:rPr>
          <w:rFonts w:ascii="Times New Roman" w:hAnsi="Times New Roman" w:eastAsia="HiddenHorzOCR"/>
          <w:u w:color="000000"/>
          <w:lang w:eastAsia="ru-RU"/>
        </w:rPr>
      </w:pPr>
      <w:r>
        <w:rPr>
          <w:rFonts w:ascii="Times New Roman" w:hAnsi="Times New Roman" w:eastAsia="HiddenHorzOCR"/>
          <w:u w:color="000000"/>
          <w:lang w:eastAsia="ru-RU"/>
        </w:rPr>
        <w:t xml:space="preserve">умение </w:t>
      </w:r>
      <w:r>
        <w:rPr>
          <w:rFonts w:ascii="Times New Roman" w:hAnsi="Times New Roman"/>
          <w:u w:color="000000"/>
          <w:lang w:eastAsia="ru-RU"/>
        </w:rPr>
        <w:t>характеризовать действия и поступки, давать им анализ и объективную оценку на основе освоенных знаний и имеющегося опыта;</w:t>
      </w:r>
    </w:p>
    <w:p w14:paraId="7F104739">
      <w:pPr>
        <w:autoSpaceDE w:val="0"/>
        <w:autoSpaceDN w:val="0"/>
        <w:adjustRightInd w:val="0"/>
        <w:spacing w:after="0" w:line="360" w:lineRule="auto"/>
        <w:ind w:firstLine="709"/>
        <w:jc w:val="both"/>
        <w:rPr>
          <w:rFonts w:ascii="Times New Roman" w:hAnsi="Times New Roman" w:eastAsia="HiddenHorzOCR"/>
          <w:u w:color="000000"/>
          <w:lang w:eastAsia="ru-RU"/>
        </w:rPr>
      </w:pPr>
      <w:r>
        <w:rPr>
          <w:rFonts w:ascii="Times New Roman" w:hAnsi="Times New Roman" w:eastAsia="HiddenHorzOCR"/>
          <w:u w:color="000000"/>
          <w:lang w:eastAsia="ru-RU"/>
        </w:rPr>
        <w:t>понимание причин успеха или неуспеха учебной деятельности и способность конструктивно действовать даже в ситуациях неуспеха;</w:t>
      </w:r>
    </w:p>
    <w:p w14:paraId="2A09C0AF">
      <w:pPr>
        <w:autoSpaceDE w:val="0"/>
        <w:autoSpaceDN w:val="0"/>
        <w:adjustRightInd w:val="0"/>
        <w:spacing w:after="0" w:line="360" w:lineRule="auto"/>
        <w:ind w:firstLine="709"/>
        <w:jc w:val="both"/>
        <w:rPr>
          <w:rFonts w:ascii="Times New Roman" w:hAnsi="Times New Roman" w:eastAsia="HiddenHorzOCR"/>
          <w:u w:color="000000"/>
          <w:lang w:eastAsia="ru-RU"/>
        </w:rPr>
      </w:pPr>
      <w:r>
        <w:rPr>
          <w:rFonts w:ascii="Times New Roman" w:hAnsi="Times New Roman" w:eastAsia="HiddenHorzOCR"/>
          <w:u w:color="000000"/>
          <w:lang w:eastAsia="ru-RU"/>
        </w:rPr>
        <w:t>определение общей цели и путей её достижения, умение договариваться о распределении функций в учебной, игровой и соревновательной деятельности, оценка собственного поведения и поведения окружающих;</w:t>
      </w:r>
    </w:p>
    <w:p w14:paraId="47B1283E">
      <w:pPr>
        <w:autoSpaceDE w:val="0"/>
        <w:autoSpaceDN w:val="0"/>
        <w:adjustRightInd w:val="0"/>
        <w:spacing w:after="0" w:line="360" w:lineRule="auto"/>
        <w:ind w:firstLine="709"/>
        <w:jc w:val="both"/>
        <w:rPr>
          <w:rFonts w:ascii="Times New Roman" w:hAnsi="Times New Roman" w:eastAsia="HiddenHorzOCR"/>
          <w:u w:color="000000"/>
          <w:lang w:eastAsia="ru-RU"/>
        </w:rPr>
      </w:pPr>
      <w:r>
        <w:rPr>
          <w:rFonts w:ascii="Times New Roman" w:hAnsi="Times New Roman"/>
          <w:u w:color="000000"/>
          <w:lang w:eastAsia="ru-RU"/>
        </w:rPr>
        <w:t>обеспечение защиты и сохранности природы во время активного отдыха и занятий физической культурой;</w:t>
      </w:r>
    </w:p>
    <w:p w14:paraId="5683500B">
      <w:pPr>
        <w:autoSpaceDE w:val="0"/>
        <w:autoSpaceDN w:val="0"/>
        <w:adjustRightInd w:val="0"/>
        <w:spacing w:after="0" w:line="360" w:lineRule="auto"/>
        <w:ind w:firstLine="709"/>
        <w:jc w:val="both"/>
        <w:rPr>
          <w:rFonts w:ascii="Times New Roman" w:hAnsi="Times New Roman" w:eastAsia="HiddenHorzOCR"/>
          <w:u w:color="000000"/>
          <w:lang w:eastAsia="ru-RU"/>
        </w:rPr>
      </w:pPr>
      <w:r>
        <w:rPr>
          <w:rFonts w:ascii="Times New Roman" w:hAnsi="Times New Roman"/>
          <w:u w:color="000000"/>
          <w:lang w:eastAsia="ru-RU"/>
        </w:rPr>
        <w:t>организация самостоятельной деятельности с учётом требований её безопасности, сохранности инвентаря и оборудования, организации места занятий;</w:t>
      </w:r>
    </w:p>
    <w:p w14:paraId="7A56B92F">
      <w:pPr>
        <w:autoSpaceDE w:val="0"/>
        <w:autoSpaceDN w:val="0"/>
        <w:adjustRightInd w:val="0"/>
        <w:spacing w:after="0" w:line="360" w:lineRule="auto"/>
        <w:ind w:firstLine="709"/>
        <w:jc w:val="both"/>
        <w:rPr>
          <w:rFonts w:ascii="Times New Roman" w:hAnsi="Times New Roman" w:eastAsia="HiddenHorzOCR"/>
          <w:u w:color="000000"/>
          <w:lang w:eastAsia="ru-RU"/>
        </w:rPr>
      </w:pPr>
      <w:r>
        <w:rPr>
          <w:rFonts w:ascii="Times New Roman" w:hAnsi="Times New Roman" w:eastAsia="HiddenHorzOCR"/>
          <w:u w:color="000000"/>
          <w:lang w:eastAsia="ru-RU"/>
        </w:rPr>
        <w:t>с</w:t>
      </w:r>
      <w:r>
        <w:rPr>
          <w:rFonts w:ascii="Times New Roman" w:hAnsi="Times New Roman"/>
          <w:u w:color="000000"/>
          <w:lang w:eastAsia="ru-RU"/>
        </w:rPr>
        <w:t>пособность выделять и обосновывать эстетические признаки в физических упражнениях, двигательных действиях, оценивать красоту телосложения и осанки, сравнивать их с эталонными образцами;</w:t>
      </w:r>
    </w:p>
    <w:p w14:paraId="71CD10EE">
      <w:pPr>
        <w:autoSpaceDE w:val="0"/>
        <w:autoSpaceDN w:val="0"/>
        <w:adjustRightInd w:val="0"/>
        <w:spacing w:after="0" w:line="360" w:lineRule="auto"/>
        <w:ind w:firstLine="709"/>
        <w:jc w:val="both"/>
        <w:rPr>
          <w:rFonts w:ascii="Times New Roman" w:hAnsi="Times New Roman"/>
          <w:u w:color="000000"/>
          <w:lang w:eastAsia="ru-RU"/>
        </w:rPr>
      </w:pPr>
      <w:r>
        <w:rPr>
          <w:rFonts w:ascii="Times New Roman" w:hAnsi="Times New Roman"/>
          <w:u w:color="000000"/>
          <w:lang w:eastAsia="ru-RU"/>
        </w:rPr>
        <w:t>владение основами самоконтроля, самооценки, принятия решений и осуществления осознанного выбора в учебной и познавательной деятельности.</w:t>
      </w:r>
    </w:p>
    <w:p w14:paraId="494A8D0E">
      <w:pPr>
        <w:autoSpaceDE w:val="0"/>
        <w:autoSpaceDN w:val="0"/>
        <w:adjustRightInd w:val="0"/>
        <w:spacing w:after="0" w:line="360" w:lineRule="auto"/>
        <w:ind w:firstLine="709"/>
        <w:jc w:val="both"/>
        <w:rPr>
          <w:rFonts w:ascii="Times New Roman" w:hAnsi="Times New Roman"/>
          <w:bCs/>
          <w:iCs/>
          <w:u w:color="000000"/>
          <w:lang w:eastAsia="ru-RU"/>
        </w:rPr>
      </w:pPr>
      <w:r>
        <w:rPr>
          <w:rFonts w:ascii="Times New Roman" w:hAnsi="Times New Roman" w:eastAsia="Times New Roman"/>
          <w:bCs/>
          <w:lang w:eastAsia="zh-CN"/>
        </w:rPr>
        <w:t>16.4.</w:t>
      </w:r>
      <w:r>
        <w:rPr>
          <w:rFonts w:ascii="Times New Roman" w:hAnsi="Times New Roman"/>
          <w:bCs/>
          <w:u w:color="000000"/>
          <w:lang w:eastAsia="ru-RU"/>
        </w:rPr>
        <w:t>9.7.3. </w:t>
      </w:r>
      <w:r>
        <w:rPr>
          <w:rFonts w:ascii="Times New Roman" w:hAnsi="Times New Roman" w:eastAsia="Times New Roman"/>
          <w:bCs/>
          <w:u w:color="000000"/>
          <w:lang w:eastAsia="zh-CN"/>
        </w:rPr>
        <w:t xml:space="preserve">При </w:t>
      </w:r>
      <w:r>
        <w:rPr>
          <w:rFonts w:ascii="Times New Roman" w:hAnsi="Times New Roman"/>
          <w:u w:color="000000"/>
          <w:lang w:eastAsia="zh-CN"/>
        </w:rPr>
        <w:t xml:space="preserve">изучении </w:t>
      </w:r>
      <w:r>
        <w:rPr>
          <w:rFonts w:ascii="Times New Roman" w:hAnsi="Times New Roman"/>
          <w:u w:color="000000"/>
          <w:lang w:eastAsia="ru-RU"/>
        </w:rPr>
        <w:t xml:space="preserve">модуля «Спортивная борьба» на уровне начального общего образования у обучающихся будут сформированы следующие </w:t>
      </w:r>
      <w:r>
        <w:rPr>
          <w:rFonts w:ascii="Times New Roman" w:hAnsi="Times New Roman"/>
          <w:bCs/>
          <w:u w:color="000000"/>
          <w:lang w:eastAsia="ru-RU"/>
        </w:rPr>
        <w:t>предметные результаты</w:t>
      </w:r>
      <w:r>
        <w:rPr>
          <w:rFonts w:ascii="Times New Roman" w:hAnsi="Times New Roman"/>
          <w:u w:color="000000"/>
          <w:lang w:eastAsia="ru-RU"/>
        </w:rPr>
        <w:t>:</w:t>
      </w:r>
    </w:p>
    <w:p w14:paraId="457AD6E9">
      <w:pPr>
        <w:spacing w:after="0" w:line="360" w:lineRule="auto"/>
        <w:ind w:firstLine="709"/>
        <w:contextualSpacing/>
        <w:jc w:val="both"/>
        <w:rPr>
          <w:rFonts w:ascii="Times New Roman" w:hAnsi="Times New Roman"/>
          <w:u w:color="000000"/>
          <w:lang w:eastAsia="ru-RU"/>
        </w:rPr>
      </w:pPr>
      <w:r>
        <w:rPr>
          <w:rFonts w:ascii="Times New Roman" w:hAnsi="Times New Roman"/>
          <w:u w:color="000000"/>
          <w:lang w:eastAsia="ru-RU"/>
        </w:rPr>
        <w:t>понимание значения занятий спортивной борьбой как средством укрепления здоровья, закаливания и развития физических качеств человека;</w:t>
      </w:r>
    </w:p>
    <w:p w14:paraId="69231EEB">
      <w:pPr>
        <w:spacing w:after="0" w:line="360" w:lineRule="auto"/>
        <w:ind w:firstLine="709"/>
        <w:contextualSpacing/>
        <w:jc w:val="both"/>
        <w:rPr>
          <w:rFonts w:ascii="Times New Roman" w:hAnsi="Times New Roman" w:eastAsia="Times New Roman"/>
          <w:u w:color="000000"/>
          <w:lang w:eastAsia="ru-RU"/>
        </w:rPr>
      </w:pPr>
      <w:r>
        <w:rPr>
          <w:rFonts w:ascii="Times New Roman" w:hAnsi="Times New Roman" w:eastAsia="Times New Roman"/>
          <w:u w:color="000000"/>
          <w:lang w:eastAsia="ru-RU"/>
        </w:rPr>
        <w:t>сформированность знаний по истории возникновения спортивной борьбы и в Российской Федерации</w:t>
      </w:r>
      <w:r>
        <w:rPr>
          <w:rFonts w:ascii="Times New Roman" w:hAnsi="Times New Roman"/>
          <w:bCs/>
          <w:u w:color="000000"/>
          <w:lang w:eastAsia="ru-RU"/>
        </w:rPr>
        <w:t>;</w:t>
      </w:r>
    </w:p>
    <w:p w14:paraId="4BF83755">
      <w:pPr>
        <w:spacing w:after="0" w:line="360" w:lineRule="auto"/>
        <w:ind w:firstLine="709"/>
        <w:contextualSpacing/>
        <w:jc w:val="both"/>
        <w:rPr>
          <w:rFonts w:ascii="Times New Roman" w:hAnsi="Times New Roman" w:eastAsia="Times New Roman"/>
          <w:u w:color="000000"/>
          <w:lang w:eastAsia="ru-RU"/>
        </w:rPr>
      </w:pPr>
      <w:r>
        <w:rPr>
          <w:rFonts w:ascii="Times New Roman" w:hAnsi="Times New Roman"/>
          <w:u w:color="000000"/>
          <w:lang w:eastAsia="ru-RU"/>
        </w:rPr>
        <w:t xml:space="preserve">представление о разновидностях спортивной борьбы и </w:t>
      </w:r>
      <w:r>
        <w:rPr>
          <w:rFonts w:ascii="Times New Roman" w:hAnsi="Times New Roman" w:eastAsia="Times New Roman"/>
          <w:u w:color="000000"/>
          <w:lang w:eastAsia="ru-RU"/>
        </w:rPr>
        <w:t>основных правилах ведения поединков</w:t>
      </w:r>
      <w:r>
        <w:rPr>
          <w:rFonts w:ascii="Times New Roman" w:hAnsi="Times New Roman"/>
          <w:bCs/>
          <w:u w:color="000000"/>
          <w:lang w:eastAsia="ru-RU"/>
        </w:rPr>
        <w:t>,</w:t>
      </w:r>
      <w:r>
        <w:rPr>
          <w:rFonts w:ascii="Times New Roman" w:hAnsi="Times New Roman" w:eastAsia="Times New Roman"/>
          <w:u w:color="000000"/>
          <w:lang w:eastAsia="ru-RU"/>
        </w:rPr>
        <w:t xml:space="preserve"> борцовской терминологии, весовых категориях;</w:t>
      </w:r>
    </w:p>
    <w:p w14:paraId="1FFF7C9A">
      <w:pPr>
        <w:spacing w:after="0" w:line="360" w:lineRule="auto"/>
        <w:ind w:firstLine="709"/>
        <w:contextualSpacing/>
        <w:jc w:val="both"/>
        <w:rPr>
          <w:rFonts w:ascii="Times New Roman" w:hAnsi="Times New Roman"/>
          <w:bCs/>
          <w:u w:color="000000"/>
          <w:lang w:eastAsia="ru-RU"/>
        </w:rPr>
      </w:pPr>
      <w:r>
        <w:rPr>
          <w:rFonts w:ascii="Times New Roman" w:hAnsi="Times New Roman" w:eastAsia="Times New Roman"/>
          <w:u w:color="000000"/>
          <w:lang w:eastAsia="ru-RU"/>
        </w:rPr>
        <w:t>сформированность навыков</w:t>
      </w:r>
      <w:r>
        <w:rPr>
          <w:rFonts w:ascii="Times New Roman" w:hAnsi="Times New Roman"/>
          <w:bCs/>
          <w:u w:color="000000"/>
          <w:lang w:eastAsia="ru-RU"/>
        </w:rPr>
        <w:t xml:space="preserve"> безопасного поведения во время занятий спортивной борьбой, правил личной гигиены, требований к спортивной одежде и обуви, спортивному инвентарю для занятий борьбой;</w:t>
      </w:r>
    </w:p>
    <w:p w14:paraId="7CCB956F">
      <w:pPr>
        <w:autoSpaceDE w:val="0"/>
        <w:autoSpaceDN w:val="0"/>
        <w:adjustRightInd w:val="0"/>
        <w:spacing w:after="0" w:line="360" w:lineRule="auto"/>
        <w:ind w:firstLine="709"/>
        <w:jc w:val="both"/>
        <w:rPr>
          <w:rFonts w:ascii="Times New Roman" w:hAnsi="Times New Roman" w:eastAsia="HiddenHorzOCR"/>
          <w:u w:color="000000"/>
          <w:lang w:eastAsia="ru-RU"/>
        </w:rPr>
      </w:pPr>
      <w:r>
        <w:rPr>
          <w:rFonts w:ascii="Times New Roman" w:hAnsi="Times New Roman" w:eastAsia="Times New Roman"/>
          <w:u w:color="000000"/>
          <w:lang w:eastAsia="ru-RU"/>
        </w:rPr>
        <w:t>сформированность</w:t>
      </w:r>
      <w:r>
        <w:rPr>
          <w:rFonts w:ascii="Times New Roman" w:hAnsi="Times New Roman" w:eastAsia="HiddenHorzOCR"/>
          <w:u w:color="000000"/>
          <w:lang w:eastAsia="ru-RU"/>
        </w:rPr>
        <w:t xml:space="preserve"> навыка систематического наблюдения за своим физическим состоянием, величиной физических нагрузок, показателями физического развития и основных физических качеств;</w:t>
      </w:r>
    </w:p>
    <w:p w14:paraId="70CF5DDA">
      <w:pPr>
        <w:spacing w:after="0" w:line="360" w:lineRule="auto"/>
        <w:ind w:firstLine="709"/>
        <w:contextualSpacing/>
        <w:jc w:val="both"/>
        <w:rPr>
          <w:rFonts w:ascii="Times New Roman" w:hAnsi="Times New Roman"/>
          <w:bCs/>
          <w:u w:color="000000"/>
          <w:lang w:eastAsia="ru-RU"/>
        </w:rPr>
      </w:pPr>
      <w:r>
        <w:rPr>
          <w:rFonts w:ascii="Times New Roman" w:hAnsi="Times New Roman" w:eastAsia="Times New Roman"/>
          <w:u w:color="000000"/>
          <w:lang w:eastAsia="ru-RU"/>
        </w:rPr>
        <w:t xml:space="preserve">сформированность основ организации самостоятельных занятий спортивной борьбой со сверстниками, </w:t>
      </w:r>
      <w:r>
        <w:rPr>
          <w:rFonts w:ascii="Times New Roman" w:hAnsi="Times New Roman"/>
          <w:bCs/>
          <w:u w:color="000000"/>
          <w:lang w:eastAsia="ru-RU"/>
        </w:rPr>
        <w:t>организация и проведение со сверстниками подвижных игр с элементами единоборств, выполнения упражнений специальной направленности из арсенала спортивной борьбы;</w:t>
      </w:r>
    </w:p>
    <w:p w14:paraId="02D36D13">
      <w:pPr>
        <w:spacing w:after="0" w:line="360" w:lineRule="auto"/>
        <w:ind w:firstLine="709"/>
        <w:contextualSpacing/>
        <w:jc w:val="both"/>
        <w:rPr>
          <w:rFonts w:ascii="Times New Roman" w:hAnsi="Times New Roman"/>
          <w:bCs/>
          <w:u w:color="000000"/>
          <w:lang w:eastAsia="ru-RU"/>
        </w:rPr>
      </w:pPr>
      <w:r>
        <w:rPr>
          <w:rFonts w:ascii="Times New Roman" w:hAnsi="Times New Roman" w:eastAsia="Times New Roman"/>
          <w:u w:color="000000"/>
          <w:lang w:eastAsia="ru-RU"/>
        </w:rPr>
        <w:t xml:space="preserve">умение составлять и выполнять комплексы общеразвивающих и корригирующих упражнений, </w:t>
      </w:r>
      <w:r>
        <w:rPr>
          <w:rFonts w:ascii="Times New Roman" w:hAnsi="Times New Roman"/>
          <w:bCs/>
          <w:u w:color="000000"/>
          <w:lang w:eastAsia="ru-RU"/>
        </w:rPr>
        <w:t>упражнений на развитие быстроты, ловкости, гибкости, специальных упражнений для формирования технических действий борца, методики их выполнения;</w:t>
      </w:r>
    </w:p>
    <w:p w14:paraId="17C5A999">
      <w:pPr>
        <w:spacing w:after="0" w:line="360" w:lineRule="auto"/>
        <w:ind w:firstLine="709"/>
        <w:contextualSpacing/>
        <w:jc w:val="both"/>
        <w:rPr>
          <w:rFonts w:ascii="Times New Roman" w:hAnsi="Times New Roman"/>
          <w:bCs/>
          <w:u w:color="000000"/>
          <w:lang w:eastAsia="ru-RU"/>
        </w:rPr>
      </w:pPr>
      <w:r>
        <w:rPr>
          <w:rFonts w:ascii="Times New Roman" w:hAnsi="Times New Roman"/>
          <w:bCs/>
          <w:u w:color="000000"/>
          <w:lang w:eastAsia="ru-RU"/>
        </w:rPr>
        <w:t>способность выполнять различные виды передвижений и двигательных действий: бег, прыжки, остановки, повороты с изменением скорости, темпа и дистанции, лазания и метания в учебной, игровой и соревновательной деятельности, а также акробатические элементы: перекаты, различные виды кувырков, перевороты боком, перевороты разгибом и другие элементы.</w:t>
      </w:r>
    </w:p>
    <w:p w14:paraId="128C2B17">
      <w:pPr>
        <w:tabs>
          <w:tab w:val="left" w:pos="6663"/>
        </w:tabs>
        <w:spacing w:after="0" w:line="360" w:lineRule="auto"/>
        <w:ind w:firstLine="709"/>
        <w:jc w:val="both"/>
        <w:rPr>
          <w:rFonts w:ascii="Times New Roman" w:hAnsi="Times New Roman"/>
          <w:bCs/>
          <w:u w:color="000000"/>
          <w:lang w:eastAsia="ru-RU"/>
        </w:rPr>
      </w:pPr>
      <w:r>
        <w:rPr>
          <w:rFonts w:ascii="Times New Roman" w:hAnsi="Times New Roman"/>
          <w:bCs/>
          <w:u w:color="000000"/>
          <w:lang w:eastAsia="ru-RU"/>
        </w:rPr>
        <w:t>специальные упражнения из арсенала спортивной борьбы: борцовский и гимнастический мост, передвижения на мосту, забегания на борцовском мосту, перевороты и другие упражнения.</w:t>
      </w:r>
    </w:p>
    <w:p w14:paraId="0D62FF3E">
      <w:pPr>
        <w:spacing w:after="0" w:line="360" w:lineRule="auto"/>
        <w:ind w:firstLine="709"/>
        <w:contextualSpacing/>
        <w:jc w:val="both"/>
        <w:rPr>
          <w:rFonts w:ascii="Times New Roman" w:hAnsi="Times New Roman"/>
          <w:bCs/>
          <w:u w:color="000000"/>
          <w:lang w:eastAsia="ru-RU"/>
        </w:rPr>
      </w:pPr>
      <w:r>
        <w:rPr>
          <w:rFonts w:ascii="Times New Roman" w:hAnsi="Times New Roman"/>
          <w:bCs/>
          <w:u w:color="000000"/>
          <w:lang w:eastAsia="ru-RU"/>
        </w:rPr>
        <w:t>способность выполнять индивидуальные технические элементы (приёмы) базовой техники в партере и полустойке;</w:t>
      </w:r>
    </w:p>
    <w:p w14:paraId="13B2B472">
      <w:pPr>
        <w:spacing w:after="0" w:line="360" w:lineRule="auto"/>
        <w:ind w:firstLine="709"/>
        <w:contextualSpacing/>
        <w:jc w:val="both"/>
        <w:rPr>
          <w:rFonts w:ascii="Times New Roman" w:hAnsi="Times New Roman"/>
          <w:bCs/>
          <w:u w:color="000000"/>
          <w:lang w:eastAsia="ru-RU"/>
        </w:rPr>
      </w:pPr>
      <w:r>
        <w:rPr>
          <w:rFonts w:ascii="Times New Roman" w:hAnsi="Times New Roman"/>
          <w:bCs/>
          <w:iCs/>
          <w:u w:color="000000"/>
          <w:lang w:eastAsia="ru-RU"/>
        </w:rPr>
        <w:t>способность анализироват</w:t>
      </w:r>
      <w:r>
        <w:rPr>
          <w:rFonts w:ascii="Times New Roman" w:hAnsi="Times New Roman"/>
          <w:bCs/>
          <w:u w:color="000000"/>
          <w:lang w:eastAsia="ru-RU"/>
        </w:rPr>
        <w:t>ь</w:t>
      </w:r>
      <w:r>
        <w:rPr>
          <w:rFonts w:ascii="Times New Roman" w:hAnsi="Times New Roman"/>
          <w:bCs/>
          <w:i/>
          <w:iCs/>
          <w:u w:color="000000"/>
          <w:lang w:eastAsia="ru-RU"/>
        </w:rPr>
        <w:t xml:space="preserve"> </w:t>
      </w:r>
      <w:r>
        <w:rPr>
          <w:rFonts w:ascii="Times New Roman" w:hAnsi="Times New Roman"/>
          <w:bCs/>
          <w:u w:color="000000"/>
          <w:lang w:eastAsia="ru-RU"/>
        </w:rPr>
        <w:t xml:space="preserve">выполнение технического действия (приёма) и </w:t>
      </w:r>
      <w:r>
        <w:rPr>
          <w:rFonts w:ascii="Times New Roman" w:hAnsi="Times New Roman"/>
          <w:bCs/>
          <w:iCs/>
          <w:u w:color="000000"/>
          <w:lang w:eastAsia="ru-RU"/>
        </w:rPr>
        <w:t xml:space="preserve">находить </w:t>
      </w:r>
      <w:r>
        <w:rPr>
          <w:rFonts w:ascii="Times New Roman" w:hAnsi="Times New Roman"/>
          <w:bCs/>
          <w:u w:color="000000"/>
          <w:lang w:eastAsia="ru-RU"/>
        </w:rPr>
        <w:t>способы устранения ошибок;</w:t>
      </w:r>
    </w:p>
    <w:p w14:paraId="4D74A594">
      <w:pPr>
        <w:spacing w:after="0" w:line="360" w:lineRule="auto"/>
        <w:ind w:firstLine="709"/>
        <w:contextualSpacing/>
        <w:jc w:val="both"/>
        <w:rPr>
          <w:rFonts w:ascii="Times New Roman" w:hAnsi="Times New Roman"/>
          <w:bCs/>
          <w:u w:color="000000"/>
          <w:lang w:eastAsia="ru-RU"/>
        </w:rPr>
      </w:pPr>
      <w:r>
        <w:rPr>
          <w:rFonts w:ascii="Times New Roman" w:hAnsi="Times New Roman"/>
          <w:bCs/>
          <w:iCs/>
          <w:u w:color="000000"/>
          <w:lang w:eastAsia="ru-RU"/>
        </w:rPr>
        <w:t>участие</w:t>
      </w:r>
      <w:r>
        <w:rPr>
          <w:rFonts w:ascii="Times New Roman" w:hAnsi="Times New Roman"/>
          <w:bCs/>
          <w:u w:color="000000"/>
          <w:lang w:eastAsia="ru-RU"/>
        </w:rPr>
        <w:t xml:space="preserve"> в учебных поединках по упрощенным правилам;</w:t>
      </w:r>
    </w:p>
    <w:p w14:paraId="74811A6D">
      <w:pPr>
        <w:spacing w:after="0" w:line="360" w:lineRule="auto"/>
        <w:ind w:firstLine="709"/>
        <w:contextualSpacing/>
        <w:jc w:val="both"/>
        <w:rPr>
          <w:rFonts w:ascii="Times New Roman" w:hAnsi="Times New Roman" w:eastAsia="Times New Roman"/>
          <w:u w:color="000000"/>
          <w:lang w:eastAsia="ru-RU"/>
        </w:rPr>
      </w:pPr>
      <w:r>
        <w:rPr>
          <w:rFonts w:ascii="Times New Roman" w:hAnsi="Times New Roman"/>
          <w:bCs/>
          <w:u w:color="000000"/>
          <w:lang w:eastAsia="ru-RU"/>
        </w:rPr>
        <w:t xml:space="preserve">умение выполнять контрольно-тестовых упражнений по общей и специальной физической подготовке и </w:t>
      </w:r>
      <w:r>
        <w:rPr>
          <w:rFonts w:ascii="Times New Roman" w:hAnsi="Times New Roman"/>
          <w:bCs/>
          <w:iCs/>
          <w:u w:color="000000"/>
          <w:lang w:eastAsia="ru-RU"/>
        </w:rPr>
        <w:t>оценивать</w:t>
      </w:r>
      <w:r>
        <w:rPr>
          <w:rFonts w:ascii="Times New Roman" w:hAnsi="Times New Roman"/>
          <w:bCs/>
          <w:u w:color="000000"/>
          <w:lang w:eastAsia="ru-RU"/>
        </w:rPr>
        <w:t xml:space="preserve"> показатели физической подготовленности;</w:t>
      </w:r>
    </w:p>
    <w:p w14:paraId="407BAC8E">
      <w:pPr>
        <w:spacing w:after="0" w:line="360" w:lineRule="auto"/>
        <w:ind w:firstLine="709"/>
        <w:contextualSpacing/>
        <w:jc w:val="both"/>
        <w:rPr>
          <w:rFonts w:ascii="Times New Roman" w:hAnsi="Times New Roman"/>
          <w:bCs/>
          <w:u w:color="000000"/>
          <w:lang w:eastAsia="ru-RU"/>
        </w:rPr>
      </w:pPr>
      <w:r>
        <w:rPr>
          <w:rFonts w:ascii="Times New Roman" w:hAnsi="Times New Roman"/>
          <w:bCs/>
          <w:u w:color="000000"/>
          <w:lang w:eastAsia="ru-RU"/>
        </w:rPr>
        <w:t>умение д</w:t>
      </w:r>
      <w:r>
        <w:rPr>
          <w:rFonts w:ascii="Times New Roman" w:hAnsi="Times New Roman"/>
          <w:bCs/>
          <w:iCs/>
          <w:u w:color="000000"/>
          <w:lang w:eastAsia="ru-RU"/>
        </w:rPr>
        <w:t xml:space="preserve">емонстрировать </w:t>
      </w:r>
      <w:r>
        <w:rPr>
          <w:rFonts w:ascii="Times New Roman" w:hAnsi="Times New Roman"/>
          <w:bCs/>
          <w:u w:color="000000"/>
          <w:lang w:eastAsia="ru-RU"/>
        </w:rPr>
        <w:t>во время учебной и игровой деятельности волевые, социальные качества личности, организованность, ответственность;</w:t>
      </w:r>
    </w:p>
    <w:p w14:paraId="64C9A3EB">
      <w:pPr>
        <w:spacing w:after="0" w:line="360" w:lineRule="auto"/>
        <w:ind w:firstLine="709"/>
        <w:contextualSpacing/>
        <w:jc w:val="both"/>
        <w:rPr>
          <w:rFonts w:ascii="Times New Roman" w:hAnsi="Times New Roman"/>
          <w:u w:color="000000"/>
          <w:lang w:eastAsia="ru-RU"/>
        </w:rPr>
      </w:pPr>
      <w:r>
        <w:rPr>
          <w:rFonts w:ascii="Times New Roman" w:hAnsi="Times New Roman"/>
          <w:bCs/>
          <w:u w:color="000000"/>
          <w:lang w:eastAsia="ru-RU"/>
        </w:rPr>
        <w:t>способность п</w:t>
      </w:r>
      <w:r>
        <w:rPr>
          <w:rFonts w:ascii="Times New Roman" w:hAnsi="Times New Roman"/>
          <w:bCs/>
          <w:iCs/>
          <w:u w:color="000000"/>
          <w:lang w:eastAsia="ru-RU"/>
        </w:rPr>
        <w:t xml:space="preserve">роявлять: </w:t>
      </w:r>
      <w:r>
        <w:rPr>
          <w:rFonts w:ascii="Times New Roman" w:hAnsi="Times New Roman"/>
          <w:u w:color="000000"/>
          <w:lang w:eastAsia="ru-RU"/>
        </w:rPr>
        <w:t>уважительное отношение к одноклассникам, культуру общения и взаимодействия, терпимости в достижении общих целей в учебной и игровой деятельности на занятиях по спортивной борьбе.</w:t>
      </w:r>
    </w:p>
    <w:p w14:paraId="514D0238">
      <w:pPr>
        <w:pBdr>
          <w:top w:val="none" w:color="000000" w:sz="0" w:space="0"/>
          <w:left w:val="none" w:color="000000" w:sz="0" w:space="0"/>
          <w:bottom w:val="none" w:color="000000" w:sz="0" w:space="0"/>
          <w:right w:val="none" w:color="000000" w:sz="0" w:space="0"/>
        </w:pBdr>
        <w:suppressAutoHyphens/>
        <w:spacing w:after="0" w:line="360" w:lineRule="auto"/>
        <w:ind w:firstLine="709"/>
        <w:jc w:val="both"/>
        <w:rPr>
          <w:rFonts w:ascii="Times New Roman" w:hAnsi="Times New Roman"/>
          <w:bCs/>
          <w:u w:color="000000"/>
          <w:lang w:eastAsia="zh-CN"/>
        </w:rPr>
      </w:pPr>
      <w:r>
        <w:rPr>
          <w:rFonts w:ascii="Times New Roman" w:hAnsi="Times New Roman" w:eastAsia="Times New Roman"/>
          <w:bCs/>
          <w:lang w:eastAsia="zh-CN"/>
        </w:rPr>
        <w:t>16.4.</w:t>
      </w:r>
      <w:r>
        <w:rPr>
          <w:rFonts w:ascii="Times New Roman" w:hAnsi="Times New Roman" w:eastAsia="Times New Roman"/>
          <w:bCs/>
          <w:u w:color="000000"/>
          <w:lang w:eastAsia="zh-CN"/>
        </w:rPr>
        <w:t>10. М</w:t>
      </w:r>
      <w:r>
        <w:rPr>
          <w:rFonts w:ascii="Times New Roman" w:hAnsi="Times New Roman"/>
          <w:bCs/>
          <w:u w:color="000000"/>
          <w:lang w:eastAsia="zh-CN"/>
        </w:rPr>
        <w:t>одуль «Флорбол».</w:t>
      </w:r>
    </w:p>
    <w:p w14:paraId="751338CF">
      <w:pPr>
        <w:pBdr>
          <w:top w:val="none" w:color="000000" w:sz="0" w:space="0"/>
          <w:left w:val="none" w:color="000000" w:sz="0" w:space="0"/>
          <w:bottom w:val="none" w:color="000000" w:sz="0" w:space="0"/>
          <w:right w:val="none" w:color="000000" w:sz="0" w:space="0"/>
        </w:pBdr>
        <w:suppressAutoHyphens/>
        <w:spacing w:after="0" w:line="360" w:lineRule="auto"/>
        <w:ind w:firstLine="709"/>
        <w:jc w:val="both"/>
        <w:rPr>
          <w:rFonts w:ascii="Times New Roman" w:hAnsi="Times New Roman"/>
          <w:u w:color="000000"/>
          <w:lang w:eastAsia="zh-CN"/>
        </w:rPr>
      </w:pPr>
      <w:r>
        <w:rPr>
          <w:rFonts w:ascii="Times New Roman" w:hAnsi="Times New Roman" w:eastAsia="Times New Roman"/>
          <w:bCs/>
          <w:lang w:eastAsia="zh-CN"/>
        </w:rPr>
        <w:t>16.4.</w:t>
      </w:r>
      <w:r>
        <w:rPr>
          <w:rFonts w:ascii="Times New Roman" w:hAnsi="Times New Roman" w:eastAsia="Times New Roman"/>
          <w:bCs/>
          <w:u w:color="000000"/>
          <w:lang w:eastAsia="zh-CN"/>
        </w:rPr>
        <w:t>10.1.</w:t>
      </w:r>
      <w:r>
        <w:rPr>
          <w:rFonts w:ascii="Times New Roman" w:hAnsi="Times New Roman"/>
          <w:u w:color="000000"/>
          <w:lang w:eastAsia="zh-CN"/>
        </w:rPr>
        <w:t> Пояснительная записка модуля «Флорбол».</w:t>
      </w:r>
    </w:p>
    <w:p w14:paraId="22E1BBE4">
      <w:pPr>
        <w:pBdr>
          <w:top w:val="none" w:color="000000" w:sz="0" w:space="0"/>
          <w:left w:val="none" w:color="000000" w:sz="0" w:space="0"/>
          <w:bottom w:val="none" w:color="000000" w:sz="0" w:space="0"/>
          <w:right w:val="none" w:color="000000" w:sz="0" w:space="0"/>
        </w:pBdr>
        <w:suppressAutoHyphens/>
        <w:spacing w:after="0" w:line="360" w:lineRule="auto"/>
        <w:ind w:firstLine="709"/>
        <w:jc w:val="both"/>
        <w:rPr>
          <w:rFonts w:ascii="Times New Roman" w:hAnsi="Times New Roman"/>
          <w:u w:color="000000"/>
          <w:lang w:eastAsia="zh-CN"/>
        </w:rPr>
      </w:pPr>
      <w:r>
        <w:rPr>
          <w:rFonts w:ascii="Times New Roman" w:hAnsi="Times New Roman"/>
          <w:u w:color="000000"/>
          <w:lang w:eastAsia="zh-CN"/>
        </w:rPr>
        <w:t>Модуль «Флорбол» (далее – модуль по флорболу, флорбол) на уровне начального общего образования разработан с целью оказания методической помощи учителю физической культуры в создании рабочей программы по учебному предмету «Физическая культура» с учётом современных тенденций в системе образования и использования спортивно-ориентированных форм, средств и методов обучения по различным видам спорта.</w:t>
      </w:r>
    </w:p>
    <w:p w14:paraId="2BD891EB">
      <w:pPr>
        <w:pBdr>
          <w:top w:val="none" w:color="000000" w:sz="0" w:space="0"/>
          <w:left w:val="none" w:color="000000" w:sz="0" w:space="0"/>
          <w:bottom w:val="none" w:color="000000" w:sz="0" w:space="0"/>
          <w:right w:val="none" w:color="000000" w:sz="0" w:space="0"/>
        </w:pBdr>
        <w:suppressAutoHyphens/>
        <w:spacing w:after="0" w:line="360" w:lineRule="auto"/>
        <w:ind w:firstLine="709"/>
        <w:jc w:val="both"/>
        <w:rPr>
          <w:rFonts w:ascii="Times New Roman" w:hAnsi="Times New Roman"/>
          <w:u w:color="000000"/>
          <w:lang w:eastAsia="ru-RU"/>
        </w:rPr>
      </w:pPr>
      <w:r>
        <w:rPr>
          <w:rFonts w:ascii="Times New Roman" w:hAnsi="Times New Roman" w:eastAsia="Arial Unicode MS"/>
          <w:u w:color="000000"/>
          <w:lang w:eastAsia="ru-RU"/>
        </w:rPr>
        <w:t xml:space="preserve">Флорбол является эффективным средством физического воспитания </w:t>
      </w:r>
      <w:r>
        <w:rPr>
          <w:rFonts w:ascii="Times New Roman" w:hAnsi="Times New Roman"/>
          <w:u w:color="000000"/>
          <w:lang w:eastAsia="ru-RU"/>
        </w:rPr>
        <w:t xml:space="preserve">и содействует всестороннему физическому, интеллектуальному, нравственному развитию обучающихся, укреплению здоровья, привлечению </w:t>
      </w:r>
      <w:r>
        <w:rPr>
          <w:rFonts w:ascii="Times New Roman" w:hAnsi="Times New Roman"/>
        </w:rPr>
        <w:t>обучающихся</w:t>
      </w:r>
      <w:r>
        <w:rPr>
          <w:rFonts w:ascii="Times New Roman" w:hAnsi="Times New Roman"/>
          <w:u w:color="000000"/>
          <w:lang w:eastAsia="ru-RU"/>
        </w:rPr>
        <w:t xml:space="preserve"> к систематическим занятиям физической культурой и спортом, их личностному и профессиональному самоопределению.</w:t>
      </w:r>
    </w:p>
    <w:p w14:paraId="32FEF03C">
      <w:pPr>
        <w:pBdr>
          <w:top w:val="none" w:color="auto" w:sz="0" w:space="0"/>
          <w:left w:val="none" w:color="auto" w:sz="0" w:space="0"/>
          <w:bottom w:val="none" w:color="auto" w:sz="0" w:space="0"/>
          <w:right w:val="none" w:color="auto" w:sz="0" w:space="0"/>
          <w:between w:val="none" w:color="auto" w:sz="0" w:space="0"/>
        </w:pBdr>
        <w:spacing w:after="0" w:line="360" w:lineRule="auto"/>
        <w:ind w:firstLine="709"/>
        <w:jc w:val="both"/>
        <w:rPr>
          <w:rFonts w:ascii="Times New Roman" w:hAnsi="Times New Roman" w:eastAsia="Arial Unicode MS"/>
          <w:u w:color="000000"/>
          <w:lang w:eastAsia="ru-RU"/>
        </w:rPr>
      </w:pPr>
      <w:r>
        <w:rPr>
          <w:rFonts w:ascii="Times New Roman" w:hAnsi="Times New Roman" w:eastAsia="Arial Unicode MS"/>
          <w:u w:color="000000"/>
          <w:lang w:eastAsia="ru-RU"/>
        </w:rPr>
        <w:t>Выполнение сложнокоординационных, технико-тактических действий во флорболе,</w:t>
      </w:r>
      <w:r>
        <w:rPr>
          <w:rFonts w:ascii="Times New Roman" w:hAnsi="Times New Roman"/>
          <w:u w:color="000000"/>
          <w:lang w:eastAsia="ru-RU"/>
        </w:rPr>
        <w:t xml:space="preserve"> связанных с ходьбой, бегом, борьбой за мяч, прыжками, быстрым стартом и ускорениями, резкими торможениями и остановками, ударами по мячу </w:t>
      </w:r>
      <w:r>
        <w:rPr>
          <w:rFonts w:ascii="Times New Roman" w:hAnsi="Times New Roman" w:eastAsia="Arial Unicode MS"/>
          <w:u w:color="000000"/>
          <w:lang w:eastAsia="ru-RU"/>
        </w:rPr>
        <w:t xml:space="preserve">обеспечивает эффективное развитие физических качеств (быстроты, ловкости, выносливости, силы и гибкости) и двигательных навыков. </w:t>
      </w:r>
      <w:r>
        <w:rPr>
          <w:rFonts w:ascii="Times New Roman" w:hAnsi="Times New Roman"/>
          <w:u w:color="000000"/>
          <w:lang w:eastAsia="ru-RU"/>
        </w:rPr>
        <w:t>Флорбол как средство воспитания, формирует у обучающихся чувство патриотизма, нравственные качества (честность, доброжелательность, дисциплинированность, самообладание, терпимость, коллективизм) в сочетании с волевыми качествами (</w:t>
      </w:r>
      <w:r>
        <w:rPr>
          <w:rFonts w:ascii="Times New Roman" w:hAnsi="Times New Roman" w:eastAsia="Arial Unicode MS"/>
          <w:u w:color="000000"/>
          <w:lang w:eastAsia="ru-RU"/>
        </w:rPr>
        <w:t>смелость, решительность, инициатива, трудолюбие, настойчивость и целеустремленность, способность управлять своими эмоциями).</w:t>
      </w:r>
    </w:p>
    <w:p w14:paraId="1FF08823">
      <w:pPr>
        <w:pBdr>
          <w:top w:val="none" w:color="auto" w:sz="0" w:space="0"/>
          <w:left w:val="none" w:color="auto" w:sz="0" w:space="0"/>
          <w:bottom w:val="none" w:color="auto" w:sz="0" w:space="0"/>
          <w:right w:val="none" w:color="auto" w:sz="0" w:space="0"/>
          <w:between w:val="none" w:color="auto" w:sz="0" w:space="0"/>
        </w:pBdr>
        <w:spacing w:after="0" w:line="360" w:lineRule="auto"/>
        <w:ind w:firstLine="709"/>
        <w:jc w:val="both"/>
        <w:rPr>
          <w:rFonts w:ascii="Times New Roman" w:hAnsi="Times New Roman" w:eastAsia="Arial Unicode MS"/>
          <w:u w:color="000000"/>
          <w:lang w:eastAsia="ru-RU"/>
        </w:rPr>
      </w:pPr>
      <w:r>
        <w:rPr>
          <w:rFonts w:ascii="Times New Roman" w:hAnsi="Times New Roman" w:eastAsia="Times New Roman"/>
          <w:bCs/>
          <w:lang w:eastAsia="zh-CN"/>
        </w:rPr>
        <w:t>16.4.</w:t>
      </w:r>
      <w:r>
        <w:rPr>
          <w:rFonts w:ascii="Times New Roman" w:hAnsi="Times New Roman" w:eastAsia="Arial Unicode MS"/>
          <w:u w:color="000000"/>
          <w:lang w:eastAsia="ru-RU"/>
        </w:rPr>
        <w:t>10.2. Целью изучение модуля «Флорбол» является формирование у обучающихся навыков общечеловеческой культуры и социального самоопределения, устойчивой мотивации к сохранению и укреплению собственного здоровья, ведению здорового и безопасного образа жизни через занятия физической культурой и спортом с использованием средств вида спорта «флорбол».</w:t>
      </w:r>
    </w:p>
    <w:p w14:paraId="61AF13C7">
      <w:pPr>
        <w:pBdr>
          <w:top w:val="none" w:color="auto" w:sz="0" w:space="0"/>
          <w:left w:val="none" w:color="auto" w:sz="0" w:space="0"/>
          <w:bottom w:val="none" w:color="auto" w:sz="0" w:space="0"/>
          <w:right w:val="none" w:color="auto" w:sz="0" w:space="0"/>
          <w:between w:val="none" w:color="auto" w:sz="0" w:space="0"/>
        </w:pBdr>
        <w:spacing w:after="0" w:line="360" w:lineRule="auto"/>
        <w:ind w:firstLine="709"/>
        <w:jc w:val="both"/>
        <w:rPr>
          <w:rFonts w:ascii="Times New Roman" w:hAnsi="Times New Roman" w:eastAsia="Arial Unicode MS"/>
          <w:u w:color="000000"/>
          <w:lang w:eastAsia="ru-RU"/>
        </w:rPr>
      </w:pPr>
      <w:r>
        <w:rPr>
          <w:rFonts w:ascii="Times New Roman" w:hAnsi="Times New Roman" w:eastAsia="Times New Roman"/>
          <w:bCs/>
          <w:lang w:eastAsia="zh-CN"/>
        </w:rPr>
        <w:t>16.4.</w:t>
      </w:r>
      <w:r>
        <w:rPr>
          <w:rFonts w:ascii="Times New Roman" w:hAnsi="Times New Roman" w:eastAsia="Arial Unicode MS"/>
          <w:u w:color="000000"/>
          <w:lang w:eastAsia="ru-RU"/>
        </w:rPr>
        <w:t>10.3.</w:t>
      </w:r>
      <w:r>
        <w:rPr>
          <w:rFonts w:ascii="Times New Roman" w:hAnsi="Times New Roman"/>
          <w:u w:color="000000"/>
          <w:lang w:eastAsia="ru-RU"/>
        </w:rPr>
        <w:t> </w:t>
      </w:r>
      <w:r>
        <w:rPr>
          <w:rFonts w:ascii="Times New Roman" w:hAnsi="Times New Roman" w:eastAsia="Arial Unicode MS"/>
          <w:u w:color="000000"/>
          <w:lang w:eastAsia="ru-RU"/>
        </w:rPr>
        <w:t>Задачами изучения модуля «Флорбол» являются:</w:t>
      </w:r>
    </w:p>
    <w:p w14:paraId="434B1969">
      <w:pPr>
        <w:pBdr>
          <w:top w:val="none" w:color="auto" w:sz="0" w:space="0"/>
          <w:left w:val="none" w:color="auto" w:sz="0" w:space="0"/>
          <w:bottom w:val="none" w:color="auto" w:sz="0" w:space="0"/>
          <w:right w:val="none" w:color="auto" w:sz="0" w:space="0"/>
          <w:between w:val="none" w:color="auto" w:sz="0" w:space="0"/>
        </w:pBdr>
        <w:spacing w:after="0" w:line="360" w:lineRule="auto"/>
        <w:ind w:firstLine="709"/>
        <w:jc w:val="both"/>
        <w:rPr>
          <w:rFonts w:ascii="Times New Roman" w:hAnsi="Times New Roman" w:eastAsia="Arial Unicode MS"/>
          <w:u w:color="000000"/>
          <w:lang w:eastAsia="ru-RU"/>
        </w:rPr>
      </w:pPr>
      <w:r>
        <w:rPr>
          <w:rFonts w:ascii="Times New Roman" w:hAnsi="Times New Roman" w:eastAsia="Arial Unicode MS"/>
          <w:u w:color="000000"/>
          <w:lang w:eastAsia="ru-RU"/>
        </w:rPr>
        <w:t>всестороннее гармоничное развитие детей и подростков, увеличение объёма их двигательной активности;</w:t>
      </w:r>
    </w:p>
    <w:p w14:paraId="27E764E5">
      <w:pPr>
        <w:pBdr>
          <w:top w:val="none" w:color="auto" w:sz="0" w:space="0"/>
          <w:left w:val="none" w:color="auto" w:sz="0" w:space="0"/>
          <w:bottom w:val="none" w:color="auto" w:sz="0" w:space="0"/>
          <w:right w:val="none" w:color="auto" w:sz="0" w:space="0"/>
          <w:between w:val="none" w:color="auto" w:sz="0" w:space="0"/>
        </w:pBdr>
        <w:spacing w:after="0" w:line="360" w:lineRule="auto"/>
        <w:ind w:firstLine="709"/>
        <w:jc w:val="both"/>
        <w:rPr>
          <w:rFonts w:ascii="Times New Roman" w:hAnsi="Times New Roman" w:eastAsia="Arial Unicode MS"/>
          <w:u w:color="000000"/>
          <w:lang w:eastAsia="ru-RU"/>
        </w:rPr>
      </w:pPr>
      <w:r>
        <w:rPr>
          <w:rFonts w:ascii="Times New Roman" w:hAnsi="Times New Roman" w:eastAsia="Arial Unicode MS"/>
          <w:u w:color="000000"/>
          <w:lang w:eastAsia="ru-RU"/>
        </w:rPr>
        <w:t>формирование общих представлений о виде спорта «флорбол», его возможностях и значении в процессе укрепления здоровья, физическом развитии и физической подготовке обучающихся;</w:t>
      </w:r>
    </w:p>
    <w:p w14:paraId="3263FCCC">
      <w:pPr>
        <w:pBdr>
          <w:top w:val="none" w:color="auto" w:sz="0" w:space="0"/>
          <w:left w:val="none" w:color="auto" w:sz="0" w:space="0"/>
          <w:bottom w:val="none" w:color="auto" w:sz="0" w:space="0"/>
          <w:right w:val="none" w:color="auto" w:sz="0" w:space="0"/>
          <w:between w:val="none" w:color="auto" w:sz="0" w:space="0"/>
        </w:pBdr>
        <w:spacing w:after="0" w:line="360" w:lineRule="auto"/>
        <w:ind w:firstLine="709"/>
        <w:jc w:val="both"/>
        <w:rPr>
          <w:rFonts w:ascii="Times New Roman" w:hAnsi="Times New Roman" w:eastAsia="Arial Unicode MS"/>
          <w:u w:color="000000"/>
          <w:lang w:eastAsia="ru-RU"/>
        </w:rPr>
      </w:pPr>
      <w:r>
        <w:rPr>
          <w:rFonts w:ascii="Times New Roman" w:hAnsi="Times New Roman" w:eastAsia="Arial Unicode MS"/>
          <w:u w:color="000000"/>
          <w:lang w:eastAsia="ru-RU"/>
        </w:rPr>
        <w:t>развитие основных физических качеств и повышение функциональных возможностей их организма, обеспечение культуры безопасного поведения на занятиях по флорболу;</w:t>
      </w:r>
    </w:p>
    <w:p w14:paraId="686340EA">
      <w:pPr>
        <w:pBdr>
          <w:top w:val="none" w:color="auto" w:sz="0" w:space="0"/>
          <w:left w:val="none" w:color="auto" w:sz="0" w:space="0"/>
          <w:bottom w:val="none" w:color="auto" w:sz="0" w:space="0"/>
          <w:right w:val="none" w:color="auto" w:sz="0" w:space="0"/>
          <w:between w:val="none" w:color="auto" w:sz="0" w:space="0"/>
        </w:pBdr>
        <w:spacing w:after="0" w:line="360" w:lineRule="auto"/>
        <w:ind w:firstLine="709"/>
        <w:jc w:val="both"/>
        <w:rPr>
          <w:rFonts w:ascii="Times New Roman" w:hAnsi="Times New Roman" w:eastAsia="Arial Unicode MS"/>
          <w:u w:color="000000"/>
          <w:lang w:eastAsia="ru-RU"/>
        </w:rPr>
      </w:pPr>
      <w:r>
        <w:rPr>
          <w:rFonts w:ascii="Times New Roman" w:hAnsi="Times New Roman" w:eastAsia="Arial Unicode MS"/>
          <w:u w:color="000000"/>
          <w:lang w:eastAsia="ru-RU"/>
        </w:rPr>
        <w:t>формирование образовательного и культурного фундамента у обучающегося средствами флорбола, и создание необходимых предпосылок для его самореализации;</w:t>
      </w:r>
    </w:p>
    <w:p w14:paraId="463AADAB">
      <w:pPr>
        <w:pBdr>
          <w:top w:val="none" w:color="auto" w:sz="0" w:space="0"/>
          <w:left w:val="none" w:color="auto" w:sz="0" w:space="0"/>
          <w:bottom w:val="none" w:color="auto" w:sz="0" w:space="0"/>
          <w:right w:val="none" w:color="auto" w:sz="0" w:space="0"/>
          <w:between w:val="none" w:color="auto" w:sz="0" w:space="0"/>
        </w:pBdr>
        <w:spacing w:after="0" w:line="360" w:lineRule="auto"/>
        <w:ind w:firstLine="709"/>
        <w:jc w:val="both"/>
        <w:rPr>
          <w:rFonts w:ascii="Times New Roman" w:hAnsi="Times New Roman" w:eastAsia="Arial Unicode MS"/>
          <w:u w:color="000000"/>
          <w:lang w:eastAsia="ru-RU"/>
        </w:rPr>
      </w:pPr>
      <w:r>
        <w:rPr>
          <w:rFonts w:ascii="Times New Roman" w:hAnsi="Times New Roman" w:eastAsia="Arial Unicode MS"/>
          <w:u w:color="000000"/>
          <w:lang w:eastAsia="ru-RU"/>
        </w:rPr>
        <w:t>формирование культуры движений, обогащение двигательного опыта физическими упражнениями, имеющими общеразвивающую и корригирующую направленность, техническими действиями и приемами вида спорта «флорбол»;</w:t>
      </w:r>
    </w:p>
    <w:p w14:paraId="13AC6277">
      <w:pPr>
        <w:pBdr>
          <w:top w:val="none" w:color="auto" w:sz="0" w:space="0"/>
          <w:left w:val="none" w:color="auto" w:sz="0" w:space="0"/>
          <w:bottom w:val="none" w:color="auto" w:sz="0" w:space="0"/>
          <w:right w:val="none" w:color="auto" w:sz="0" w:space="0"/>
          <w:between w:val="none" w:color="auto" w:sz="0" w:space="0"/>
        </w:pBdr>
        <w:spacing w:after="0" w:line="360" w:lineRule="auto"/>
        <w:ind w:firstLine="709"/>
        <w:jc w:val="both"/>
        <w:rPr>
          <w:rFonts w:ascii="Times New Roman" w:hAnsi="Times New Roman" w:eastAsia="Arial Unicode MS"/>
          <w:u w:color="000000"/>
          <w:lang w:eastAsia="ru-RU"/>
        </w:rPr>
      </w:pPr>
      <w:r>
        <w:rPr>
          <w:rFonts w:ascii="Times New Roman" w:hAnsi="Times New Roman" w:eastAsia="Arial Unicode MS"/>
          <w:u w:color="000000"/>
          <w:lang w:eastAsia="ru-RU"/>
        </w:rPr>
        <w:t>воспитание положительных качеств личности, норм коллективного взаимодействия и сотрудничества в образовательной и соревновательной деятельности;</w:t>
      </w:r>
    </w:p>
    <w:p w14:paraId="6189870A">
      <w:pPr>
        <w:pBdr>
          <w:top w:val="none" w:color="auto" w:sz="0" w:space="0"/>
          <w:left w:val="none" w:color="auto" w:sz="0" w:space="0"/>
          <w:bottom w:val="none" w:color="auto" w:sz="0" w:space="0"/>
          <w:right w:val="none" w:color="auto" w:sz="0" w:space="0"/>
          <w:between w:val="none" w:color="auto" w:sz="0" w:space="0"/>
        </w:pBdr>
        <w:spacing w:after="0" w:line="360" w:lineRule="auto"/>
        <w:ind w:firstLine="709"/>
        <w:jc w:val="both"/>
        <w:rPr>
          <w:rFonts w:ascii="Times New Roman" w:hAnsi="Times New Roman" w:eastAsia="Arial Unicode MS"/>
          <w:u w:color="000000"/>
          <w:lang w:eastAsia="ru-RU"/>
        </w:rPr>
      </w:pPr>
      <w:r>
        <w:rPr>
          <w:rFonts w:ascii="Times New Roman" w:hAnsi="Times New Roman" w:eastAsia="Arial Unicode MS"/>
          <w:u w:color="000000"/>
          <w:lang w:eastAsia="ru-RU"/>
        </w:rPr>
        <w:t>развитие положительной мотивации и устойчивого учебно-познавательного интереса к предмету «Физическая культура», удовлетворение индивидуальных потребностей обучающихся в занятиях физической культурой и спортом средствами флорбола;</w:t>
      </w:r>
    </w:p>
    <w:p w14:paraId="463A7ECB">
      <w:pPr>
        <w:pBdr>
          <w:top w:val="none" w:color="auto" w:sz="0" w:space="0"/>
          <w:left w:val="none" w:color="auto" w:sz="0" w:space="0"/>
          <w:bottom w:val="none" w:color="auto" w:sz="0" w:space="0"/>
          <w:right w:val="none" w:color="auto" w:sz="0" w:space="0"/>
          <w:between w:val="none" w:color="auto" w:sz="0" w:space="0"/>
        </w:pBdr>
        <w:spacing w:after="0" w:line="360" w:lineRule="auto"/>
        <w:ind w:firstLine="709"/>
        <w:jc w:val="both"/>
        <w:rPr>
          <w:rFonts w:ascii="Times New Roman" w:hAnsi="Times New Roman" w:eastAsia="Arial Unicode MS"/>
          <w:u w:color="000000"/>
          <w:lang w:eastAsia="ru-RU"/>
        </w:rPr>
      </w:pPr>
      <w:r>
        <w:rPr>
          <w:rFonts w:ascii="Times New Roman" w:hAnsi="Times New Roman" w:eastAsia="Arial Unicode MS"/>
          <w:u w:color="000000"/>
          <w:lang w:eastAsia="ru-RU"/>
        </w:rPr>
        <w:t>популяризация флорбола среди подрастающего поколения, привлечение обучающихся, проявляющих повышенный интерес и способности к занятиям флорболом, в школьные спортивные клубы, секции, к участию в соревнованиях;</w:t>
      </w:r>
    </w:p>
    <w:p w14:paraId="4ECA153D">
      <w:pPr>
        <w:pBdr>
          <w:top w:val="none" w:color="auto" w:sz="0" w:space="0"/>
          <w:left w:val="none" w:color="auto" w:sz="0" w:space="0"/>
          <w:bottom w:val="none" w:color="auto" w:sz="0" w:space="0"/>
          <w:right w:val="none" w:color="auto" w:sz="0" w:space="0"/>
          <w:between w:val="none" w:color="auto" w:sz="0" w:space="0"/>
        </w:pBdr>
        <w:spacing w:after="0" w:line="360" w:lineRule="auto"/>
        <w:ind w:firstLine="709"/>
        <w:jc w:val="both"/>
        <w:rPr>
          <w:rFonts w:ascii="Times New Roman" w:hAnsi="Times New Roman" w:eastAsia="Arial Unicode MS"/>
          <w:u w:color="000000"/>
          <w:lang w:eastAsia="ru-RU"/>
        </w:rPr>
      </w:pPr>
      <w:r>
        <w:rPr>
          <w:rFonts w:ascii="Times New Roman" w:hAnsi="Times New Roman" w:eastAsia="Arial Unicode MS"/>
          <w:u w:color="000000"/>
          <w:lang w:eastAsia="ru-RU"/>
        </w:rPr>
        <w:t>выявление, развитие и поддержка одарённых детей в области спорта.</w:t>
      </w:r>
    </w:p>
    <w:p w14:paraId="11CCE031">
      <w:pPr>
        <w:pBdr>
          <w:top w:val="none" w:color="auto" w:sz="0" w:space="0"/>
          <w:left w:val="none" w:color="auto" w:sz="0" w:space="0"/>
          <w:bottom w:val="none" w:color="auto" w:sz="0" w:space="0"/>
          <w:right w:val="none" w:color="auto" w:sz="0" w:space="0"/>
          <w:between w:val="none" w:color="auto" w:sz="0" w:space="0"/>
        </w:pBdr>
        <w:spacing w:after="0" w:line="360" w:lineRule="auto"/>
        <w:ind w:firstLine="709"/>
        <w:jc w:val="both"/>
        <w:rPr>
          <w:rFonts w:ascii="Times New Roman" w:hAnsi="Times New Roman" w:eastAsia="Arial Unicode MS"/>
          <w:u w:color="000000"/>
          <w:lang w:eastAsia="ru-RU"/>
        </w:rPr>
      </w:pPr>
      <w:r>
        <w:rPr>
          <w:rFonts w:ascii="Times New Roman" w:hAnsi="Times New Roman" w:eastAsia="Times New Roman"/>
          <w:bCs/>
          <w:lang w:eastAsia="zh-CN"/>
        </w:rPr>
        <w:t>16.4.</w:t>
      </w:r>
      <w:r>
        <w:rPr>
          <w:rFonts w:ascii="Times New Roman" w:hAnsi="Times New Roman" w:eastAsia="Arial Unicode MS"/>
          <w:u w:color="000000"/>
          <w:lang w:eastAsia="ru-RU"/>
        </w:rPr>
        <w:t>10.4. Место и роль модуля «Флорбол».</w:t>
      </w:r>
    </w:p>
    <w:p w14:paraId="419F7290">
      <w:pPr>
        <w:pBdr>
          <w:top w:val="none" w:color="000000" w:sz="0" w:space="0"/>
          <w:left w:val="none" w:color="000000" w:sz="0" w:space="0"/>
          <w:bottom w:val="none" w:color="000000" w:sz="0" w:space="0"/>
          <w:right w:val="none" w:color="000000" w:sz="0" w:space="0"/>
        </w:pBdr>
        <w:suppressAutoHyphens/>
        <w:autoSpaceDE w:val="0"/>
        <w:spacing w:after="0" w:line="360" w:lineRule="auto"/>
        <w:ind w:firstLine="709"/>
        <w:jc w:val="both"/>
        <w:rPr>
          <w:rFonts w:ascii="Times New Roman" w:hAnsi="Times New Roman"/>
          <w:iCs/>
          <w:u w:color="000000"/>
          <w:lang w:eastAsia="ru-RU"/>
        </w:rPr>
      </w:pPr>
      <w:r>
        <w:rPr>
          <w:rFonts w:ascii="Times New Roman" w:hAnsi="Times New Roman"/>
          <w:u w:color="000000"/>
          <w:lang w:eastAsia="zh-CN"/>
        </w:rPr>
        <w:t>Модуль «Флорбол»</w:t>
      </w:r>
      <w:r>
        <w:rPr>
          <w:rFonts w:ascii="Times New Roman" w:hAnsi="Times New Roman"/>
          <w:u w:color="000000"/>
          <w:lang w:eastAsia="ar-SA"/>
        </w:rPr>
        <w:t xml:space="preserve"> </w:t>
      </w:r>
      <w:r>
        <w:rPr>
          <w:rFonts w:ascii="Times New Roman" w:hAnsi="Times New Roman"/>
          <w:u w:color="000000"/>
          <w:lang w:eastAsia="zh-CN"/>
        </w:rPr>
        <w:t>доступен для освоения всем обучающимся, независимо от уровня их физического развития и гендерных особенностей и расширяет спектр физкультурно-спортивных направлений в общеобразовательных организациях.</w:t>
      </w:r>
      <w:r>
        <w:rPr>
          <w:rFonts w:ascii="Times New Roman" w:hAnsi="Times New Roman"/>
          <w:iCs/>
          <w:u w:color="000000"/>
          <w:lang w:eastAsia="ru-RU"/>
        </w:rPr>
        <w:t xml:space="preserve"> </w:t>
      </w:r>
    </w:p>
    <w:p w14:paraId="346A080F">
      <w:pPr>
        <w:pBdr>
          <w:top w:val="none" w:color="auto" w:sz="0" w:space="0"/>
          <w:left w:val="none" w:color="auto" w:sz="0" w:space="0"/>
          <w:bottom w:val="none" w:color="auto" w:sz="0" w:space="0"/>
          <w:right w:val="none" w:color="auto" w:sz="0" w:space="0"/>
          <w:between w:val="none" w:color="auto" w:sz="0" w:space="0"/>
        </w:pBdr>
        <w:spacing w:after="0" w:line="360" w:lineRule="auto"/>
        <w:ind w:firstLine="709"/>
        <w:jc w:val="both"/>
        <w:rPr>
          <w:rFonts w:ascii="Times New Roman" w:hAnsi="Times New Roman" w:eastAsia="Arial Unicode MS"/>
          <w:u w:color="000000"/>
          <w:lang w:eastAsia="ru-RU"/>
        </w:rPr>
      </w:pPr>
      <w:r>
        <w:rPr>
          <w:rFonts w:ascii="Times New Roman" w:hAnsi="Times New Roman" w:eastAsia="Arial Unicode MS"/>
          <w:u w:color="000000"/>
          <w:lang w:eastAsia="ru-RU"/>
        </w:rPr>
        <w:t>Интеграция модуля «Флорбол» поможет обучающимся в освоении содержательных компонентов и модулей по гимнастике, легкой атлетике, спортивным играм, подготовке и проведении спортивных мероприятий, а также в освоении программ в рамках внеурочной деятельности, дополнительного образования, деятельности школьных спортивных клубов, подготовке обучающихся к сдаче норм ГТО и участии в спортивных соревнованиях.</w:t>
      </w:r>
    </w:p>
    <w:p w14:paraId="02EE5961">
      <w:pPr>
        <w:pBdr>
          <w:top w:val="none" w:color="auto" w:sz="0" w:space="0"/>
          <w:left w:val="none" w:color="auto" w:sz="0" w:space="0"/>
          <w:bottom w:val="none" w:color="auto" w:sz="0" w:space="0"/>
          <w:right w:val="none" w:color="auto" w:sz="0" w:space="0"/>
          <w:between w:val="none" w:color="auto" w:sz="0" w:space="0"/>
        </w:pBdr>
        <w:spacing w:after="0" w:line="360" w:lineRule="auto"/>
        <w:ind w:firstLine="709"/>
        <w:jc w:val="both"/>
        <w:rPr>
          <w:rFonts w:ascii="Times New Roman" w:hAnsi="Times New Roman" w:eastAsia="Arial Unicode MS"/>
          <w:u w:color="000000"/>
          <w:lang w:eastAsia="ru-RU"/>
        </w:rPr>
      </w:pPr>
      <w:r>
        <w:rPr>
          <w:rFonts w:ascii="Times New Roman" w:hAnsi="Times New Roman" w:eastAsia="Times New Roman"/>
          <w:bCs/>
          <w:lang w:eastAsia="zh-CN"/>
        </w:rPr>
        <w:t>16.4.</w:t>
      </w:r>
      <w:r>
        <w:rPr>
          <w:rFonts w:ascii="Times New Roman" w:hAnsi="Times New Roman" w:eastAsia="Arial Unicode MS"/>
          <w:u w:color="000000"/>
          <w:lang w:eastAsia="ru-RU"/>
        </w:rPr>
        <w:t>10.5. Модуль «Флорбол» может быть реализован в следующих вариантах:</w:t>
      </w:r>
    </w:p>
    <w:p w14:paraId="1023A7E9">
      <w:pPr>
        <w:pBdr>
          <w:top w:val="none" w:color="auto" w:sz="0" w:space="0"/>
          <w:left w:val="none" w:color="auto" w:sz="0" w:space="0"/>
          <w:bottom w:val="none" w:color="auto" w:sz="0" w:space="0"/>
          <w:right w:val="none" w:color="auto" w:sz="0" w:space="0"/>
          <w:between w:val="none" w:color="auto" w:sz="0" w:space="0"/>
        </w:pBdr>
        <w:spacing w:after="0" w:line="360" w:lineRule="auto"/>
        <w:ind w:firstLine="709"/>
        <w:jc w:val="both"/>
        <w:rPr>
          <w:rFonts w:ascii="Times New Roman" w:hAnsi="Times New Roman" w:eastAsia="Arial Unicode MS"/>
          <w:u w:color="000000"/>
          <w:lang w:eastAsia="ru-RU"/>
        </w:rPr>
      </w:pPr>
      <w:r>
        <w:rPr>
          <w:rFonts w:ascii="Times New Roman" w:hAnsi="Times New Roman" w:eastAsia="Arial Unicode MS"/>
          <w:u w:color="000000"/>
          <w:lang w:eastAsia="ru-RU"/>
        </w:rPr>
        <w:t xml:space="preserve">при самостоятельном планировании учителем физической культуры процесса освоения обучающимися учебного материала по флорболу с выбором различных элементов флорбола, с учётом возраста и физической подготовленности обучающихся; </w:t>
      </w:r>
    </w:p>
    <w:p w14:paraId="1D2E4C1F">
      <w:pPr>
        <w:pBdr>
          <w:top w:val="none" w:color="auto" w:sz="0" w:space="0"/>
          <w:left w:val="none" w:color="auto" w:sz="0" w:space="0"/>
          <w:bottom w:val="none" w:color="auto" w:sz="0" w:space="0"/>
          <w:right w:val="none" w:color="auto" w:sz="0" w:space="0"/>
          <w:between w:val="none" w:color="auto" w:sz="0" w:space="0"/>
        </w:pBdr>
        <w:spacing w:after="0" w:line="360" w:lineRule="auto"/>
        <w:ind w:firstLine="709"/>
        <w:jc w:val="both"/>
        <w:rPr>
          <w:rFonts w:ascii="Times New Roman" w:hAnsi="Times New Roman" w:eastAsia="Arial Unicode MS"/>
          <w:u w:color="000000"/>
          <w:lang w:eastAsia="ru-RU"/>
        </w:rPr>
      </w:pPr>
      <w:r>
        <w:rPr>
          <w:rFonts w:ascii="Times New Roman" w:hAnsi="Times New Roman"/>
          <w:u w:color="000000"/>
          <w:lang w:eastAsia="ru-RU"/>
        </w:rPr>
        <w:t>в виде целостного последовательного учебного модуля, изучаемого за счёт части учебного плана, формируемой участниками образовательных отношений из перечня, предлагаемого образовательной организацией, включающей, в частности, учебные модули по выбору обучающихся, родителей (законных представителей) несовершеннолетних обучающихся, в том числе предусматривающие удовлетворение различных интересов обучающихся</w:t>
      </w:r>
      <w:r>
        <w:rPr>
          <w:rFonts w:ascii="Times New Roman" w:hAnsi="Times New Roman" w:eastAsia="Arial Unicode MS"/>
          <w:u w:color="000000"/>
          <w:lang w:eastAsia="ru-RU"/>
        </w:rPr>
        <w:t xml:space="preserve"> (при организации и проведении уроков физической культуры с 3-х часовой недельной нагрузкой рекомендуемый объём </w:t>
      </w:r>
      <w:r>
        <w:rPr>
          <w:rFonts w:ascii="Times New Roman" w:hAnsi="Times New Roman"/>
          <w:u w:color="000000"/>
          <w:lang w:eastAsia="zh-CN"/>
        </w:rPr>
        <w:t>в 1 классе – 33 часа, во 2, 3, 4 классах – по 34 часа)</w:t>
      </w:r>
      <w:r>
        <w:rPr>
          <w:rFonts w:ascii="Times New Roman" w:hAnsi="Times New Roman" w:eastAsia="Arial Unicode MS"/>
          <w:u w:color="000000"/>
          <w:lang w:eastAsia="ru-RU"/>
        </w:rPr>
        <w:t>;</w:t>
      </w:r>
    </w:p>
    <w:p w14:paraId="66387136">
      <w:pPr>
        <w:pBdr>
          <w:top w:val="none" w:color="auto" w:sz="0" w:space="0"/>
          <w:left w:val="none" w:color="auto" w:sz="0" w:space="0"/>
          <w:bottom w:val="none" w:color="auto" w:sz="0" w:space="0"/>
          <w:right w:val="none" w:color="auto" w:sz="0" w:space="0"/>
          <w:between w:val="none" w:color="auto" w:sz="0" w:space="0"/>
        </w:pBdr>
        <w:spacing w:after="0" w:line="360" w:lineRule="auto"/>
        <w:ind w:firstLine="709"/>
        <w:jc w:val="both"/>
        <w:rPr>
          <w:rFonts w:ascii="Times New Roman" w:hAnsi="Times New Roman" w:eastAsia="Arial Unicode MS"/>
          <w:u w:color="000000"/>
          <w:lang w:eastAsia="ru-RU"/>
        </w:rPr>
      </w:pPr>
      <w:r>
        <w:rPr>
          <w:rFonts w:ascii="Times New Roman" w:hAnsi="Times New Roman" w:eastAsia="Arial Unicode MS"/>
          <w:u w:color="000000"/>
          <w:lang w:eastAsia="ru-RU"/>
        </w:rPr>
        <w:t xml:space="preserve">в виде дополнительных часов, выделяемых на спортивно-оздоровительную работу с обучающимися в рамках внеурочной деятельности и (или) за счет посещения обучающимися спортивных секций, школьных спортивных клубов, включая использование учебных модулей по видам спорта (рекомендуемый объём </w:t>
      </w:r>
      <w:r>
        <w:rPr>
          <w:rFonts w:ascii="Times New Roman" w:hAnsi="Times New Roman"/>
          <w:u w:color="000000"/>
          <w:lang w:eastAsia="zh-CN"/>
        </w:rPr>
        <w:t>в 1 классе – 33 часа, во 2, 3, 4 классах – по 34 часа</w:t>
      </w:r>
      <w:r>
        <w:rPr>
          <w:rFonts w:ascii="Times New Roman" w:hAnsi="Times New Roman" w:eastAsia="Arial Unicode MS"/>
          <w:u w:color="000000"/>
          <w:lang w:eastAsia="ru-RU"/>
        </w:rPr>
        <w:t>).</w:t>
      </w:r>
    </w:p>
    <w:p w14:paraId="1D3D1414">
      <w:pPr>
        <w:pBdr>
          <w:top w:val="none" w:color="auto" w:sz="0" w:space="0"/>
          <w:left w:val="none" w:color="auto" w:sz="0" w:space="0"/>
          <w:bottom w:val="none" w:color="auto" w:sz="0" w:space="0"/>
          <w:right w:val="none" w:color="auto" w:sz="0" w:space="0"/>
          <w:between w:val="none" w:color="auto" w:sz="0" w:space="0"/>
        </w:pBdr>
        <w:spacing w:after="0" w:line="360" w:lineRule="auto"/>
        <w:ind w:firstLine="709"/>
        <w:jc w:val="both"/>
        <w:rPr>
          <w:rFonts w:ascii="Times New Roman" w:hAnsi="Times New Roman" w:eastAsia="Arial Unicode MS"/>
          <w:u w:color="000000"/>
          <w:lang w:eastAsia="ru-RU"/>
        </w:rPr>
      </w:pPr>
      <w:r>
        <w:rPr>
          <w:rFonts w:ascii="Times New Roman" w:hAnsi="Times New Roman" w:eastAsia="Times New Roman"/>
          <w:bCs/>
          <w:lang w:eastAsia="zh-CN"/>
        </w:rPr>
        <w:t>16.4.</w:t>
      </w:r>
      <w:r>
        <w:rPr>
          <w:rFonts w:ascii="Times New Roman" w:hAnsi="Times New Roman" w:eastAsia="Arial Unicode MS"/>
          <w:u w:color="000000"/>
          <w:lang w:eastAsia="ru-RU"/>
        </w:rPr>
        <w:t>10.6. Содержание модуля «Флорбол».</w:t>
      </w:r>
    </w:p>
    <w:p w14:paraId="2C9E980B">
      <w:pPr>
        <w:pBdr>
          <w:top w:val="none" w:color="auto" w:sz="0" w:space="0"/>
          <w:left w:val="none" w:color="auto" w:sz="0" w:space="0"/>
          <w:bottom w:val="none" w:color="auto" w:sz="0" w:space="0"/>
          <w:right w:val="none" w:color="auto" w:sz="0" w:space="0"/>
          <w:between w:val="none" w:color="auto" w:sz="0" w:space="0"/>
        </w:pBdr>
        <w:spacing w:after="0" w:line="360" w:lineRule="auto"/>
        <w:ind w:firstLine="709"/>
        <w:jc w:val="both"/>
        <w:rPr>
          <w:rFonts w:ascii="Times New Roman" w:hAnsi="Times New Roman" w:eastAsia="Arial Unicode MS"/>
          <w:u w:color="000000"/>
          <w:lang w:eastAsia="ru-RU"/>
        </w:rPr>
      </w:pPr>
      <w:r>
        <w:rPr>
          <w:rFonts w:ascii="Times New Roman" w:hAnsi="Times New Roman" w:eastAsia="Arial Unicode MS"/>
          <w:u w:color="000000"/>
          <w:lang w:eastAsia="ru-RU"/>
        </w:rPr>
        <w:t>Знания о флорболе.</w:t>
      </w:r>
    </w:p>
    <w:p w14:paraId="2E7C6834">
      <w:pPr>
        <w:pBdr>
          <w:top w:val="none" w:color="auto" w:sz="0" w:space="0"/>
          <w:left w:val="none" w:color="auto" w:sz="0" w:space="0"/>
          <w:bottom w:val="none" w:color="auto" w:sz="0" w:space="0"/>
          <w:right w:val="none" w:color="auto" w:sz="0" w:space="0"/>
          <w:between w:val="none" w:color="auto" w:sz="0" w:space="0"/>
        </w:pBdr>
        <w:spacing w:after="0" w:line="360" w:lineRule="auto"/>
        <w:ind w:firstLine="709"/>
        <w:jc w:val="both"/>
        <w:rPr>
          <w:rFonts w:ascii="Times New Roman" w:hAnsi="Times New Roman"/>
          <w:b/>
          <w:bCs/>
          <w:iCs/>
          <w:u w:color="000000"/>
          <w:lang w:eastAsia="ru-RU"/>
        </w:rPr>
      </w:pPr>
      <w:r>
        <w:rPr>
          <w:rFonts w:ascii="Times New Roman" w:hAnsi="Times New Roman"/>
          <w:iCs/>
          <w:u w:color="000000"/>
          <w:lang w:eastAsia="ru-RU"/>
        </w:rPr>
        <w:t>История зарождения флорбола.</w:t>
      </w:r>
      <w:r>
        <w:rPr>
          <w:rFonts w:ascii="Times New Roman" w:hAnsi="Times New Roman"/>
          <w:b/>
          <w:bCs/>
          <w:iCs/>
          <w:u w:color="000000"/>
          <w:lang w:eastAsia="ru-RU"/>
        </w:rPr>
        <w:t xml:space="preserve"> </w:t>
      </w:r>
      <w:r>
        <w:rPr>
          <w:rFonts w:ascii="Times New Roman" w:hAnsi="Times New Roman"/>
          <w:iCs/>
          <w:u w:color="000000"/>
          <w:lang w:eastAsia="ru-RU"/>
        </w:rPr>
        <w:t xml:space="preserve">Известные отечественные флорболисты и тренеры. </w:t>
      </w:r>
      <w:r>
        <w:rPr>
          <w:rFonts w:ascii="Times New Roman" w:hAnsi="Times New Roman"/>
          <w:bCs/>
          <w:u w:color="000000"/>
          <w:lang w:eastAsia="ru-RU"/>
        </w:rPr>
        <w:t>Достижения отечественной сборной команды страны на мировых первенствах и российских клубов на европейской спортивной арене.</w:t>
      </w:r>
    </w:p>
    <w:p w14:paraId="1E65704F">
      <w:pPr>
        <w:pBdr>
          <w:top w:val="none" w:color="auto" w:sz="0" w:space="0"/>
          <w:left w:val="none" w:color="auto" w:sz="0" w:space="0"/>
          <w:bottom w:val="none" w:color="auto" w:sz="0" w:space="0"/>
          <w:right w:val="none" w:color="auto" w:sz="0" w:space="0"/>
          <w:between w:val="none" w:color="auto" w:sz="0" w:space="0"/>
        </w:pBdr>
        <w:spacing w:after="0" w:line="360" w:lineRule="auto"/>
        <w:ind w:firstLine="709"/>
        <w:jc w:val="both"/>
        <w:rPr>
          <w:rFonts w:ascii="Times New Roman" w:hAnsi="Times New Roman"/>
          <w:b/>
          <w:bCs/>
          <w:iCs/>
          <w:u w:color="000000"/>
          <w:lang w:eastAsia="ru-RU"/>
        </w:rPr>
      </w:pPr>
      <w:r>
        <w:rPr>
          <w:rFonts w:ascii="Times New Roman" w:hAnsi="Times New Roman"/>
          <w:iCs/>
          <w:u w:color="000000"/>
          <w:lang w:eastAsia="ru-RU"/>
        </w:rPr>
        <w:t>Разновидности флорбола (малый флорбол – 3 на 3, классический флорбол – 5 на 5 полевых игроков).</w:t>
      </w:r>
    </w:p>
    <w:p w14:paraId="6C143F0D">
      <w:pPr>
        <w:pBdr>
          <w:top w:val="none" w:color="auto" w:sz="0" w:space="0"/>
          <w:left w:val="none" w:color="auto" w:sz="0" w:space="0"/>
          <w:bottom w:val="none" w:color="auto" w:sz="0" w:space="0"/>
          <w:right w:val="none" w:color="auto" w:sz="0" w:space="0"/>
          <w:between w:val="none" w:color="auto" w:sz="0" w:space="0"/>
        </w:pBdr>
        <w:spacing w:after="0" w:line="360" w:lineRule="auto"/>
        <w:ind w:firstLine="709"/>
        <w:jc w:val="both"/>
        <w:rPr>
          <w:rFonts w:ascii="Times New Roman" w:hAnsi="Times New Roman"/>
          <w:b/>
          <w:bCs/>
          <w:iCs/>
          <w:u w:color="000000"/>
          <w:lang w:eastAsia="ru-RU"/>
        </w:rPr>
      </w:pPr>
      <w:r>
        <w:rPr>
          <w:rFonts w:ascii="Times New Roman" w:hAnsi="Times New Roman"/>
          <w:iCs/>
          <w:u w:color="000000"/>
          <w:lang w:eastAsia="ru-RU"/>
        </w:rPr>
        <w:t>Размеры флорбольной площадки, ее допустимые размеры, инвентарь и оборудование для игры во флорбол.</w:t>
      </w:r>
    </w:p>
    <w:p w14:paraId="5543BD62">
      <w:pPr>
        <w:pBdr>
          <w:top w:val="none" w:color="auto" w:sz="0" w:space="0"/>
          <w:left w:val="none" w:color="auto" w:sz="0" w:space="0"/>
          <w:bottom w:val="none" w:color="auto" w:sz="0" w:space="0"/>
          <w:right w:val="none" w:color="auto" w:sz="0" w:space="0"/>
          <w:between w:val="none" w:color="auto" w:sz="0" w:space="0"/>
        </w:pBdr>
        <w:spacing w:after="0" w:line="360" w:lineRule="auto"/>
        <w:ind w:firstLine="709"/>
        <w:jc w:val="both"/>
        <w:rPr>
          <w:rFonts w:ascii="Times New Roman" w:hAnsi="Times New Roman"/>
          <w:b/>
          <w:bCs/>
          <w:iCs/>
          <w:u w:color="000000"/>
          <w:lang w:eastAsia="ru-RU"/>
        </w:rPr>
      </w:pPr>
      <w:r>
        <w:rPr>
          <w:rFonts w:ascii="Times New Roman" w:hAnsi="Times New Roman"/>
          <w:iCs/>
          <w:u w:color="000000"/>
          <w:lang w:eastAsia="ru-RU"/>
        </w:rPr>
        <w:t xml:space="preserve">Основные правила соревнований игры во флорбол. Судейская коллегия. обслуживающая соревнования по флорболу. Жесты судьи. </w:t>
      </w:r>
    </w:p>
    <w:p w14:paraId="74406591">
      <w:pPr>
        <w:pBdr>
          <w:top w:val="none" w:color="auto" w:sz="0" w:space="0"/>
          <w:left w:val="none" w:color="auto" w:sz="0" w:space="0"/>
          <w:bottom w:val="none" w:color="auto" w:sz="0" w:space="0"/>
          <w:right w:val="none" w:color="auto" w:sz="0" w:space="0"/>
          <w:between w:val="none" w:color="auto" w:sz="0" w:space="0"/>
        </w:pBdr>
        <w:spacing w:after="0" w:line="360" w:lineRule="auto"/>
        <w:ind w:firstLine="709"/>
        <w:jc w:val="both"/>
        <w:rPr>
          <w:rFonts w:ascii="Times New Roman" w:hAnsi="Times New Roman"/>
          <w:b/>
          <w:bCs/>
          <w:iCs/>
          <w:u w:color="000000"/>
          <w:lang w:eastAsia="ru-RU"/>
        </w:rPr>
      </w:pPr>
      <w:r>
        <w:rPr>
          <w:rFonts w:ascii="Times New Roman" w:hAnsi="Times New Roman"/>
          <w:iCs/>
          <w:u w:color="000000"/>
          <w:lang w:eastAsia="ru-RU"/>
        </w:rPr>
        <w:t>Флорбольный словарь терминов и определений.</w:t>
      </w:r>
    </w:p>
    <w:p w14:paraId="5B34F16C">
      <w:pPr>
        <w:pBdr>
          <w:top w:val="none" w:color="auto" w:sz="0" w:space="0"/>
          <w:left w:val="none" w:color="auto" w:sz="0" w:space="0"/>
          <w:bottom w:val="none" w:color="auto" w:sz="0" w:space="0"/>
          <w:right w:val="none" w:color="auto" w:sz="0" w:space="0"/>
          <w:between w:val="none" w:color="auto" w:sz="0" w:space="0"/>
        </w:pBdr>
        <w:spacing w:after="0" w:line="360" w:lineRule="auto"/>
        <w:ind w:firstLine="709"/>
        <w:jc w:val="both"/>
        <w:rPr>
          <w:rFonts w:ascii="Times New Roman" w:hAnsi="Times New Roman"/>
          <w:b/>
          <w:bCs/>
          <w:iCs/>
          <w:u w:color="000000"/>
          <w:lang w:eastAsia="ru-RU"/>
        </w:rPr>
      </w:pPr>
      <w:r>
        <w:rPr>
          <w:rFonts w:ascii="Times New Roman" w:hAnsi="Times New Roman"/>
          <w:iCs/>
          <w:u w:color="000000"/>
          <w:lang w:eastAsia="ru-RU"/>
        </w:rPr>
        <w:t>Флорбол как средство укрепления здоровья, закаливания и развития физических качеств.</w:t>
      </w:r>
    </w:p>
    <w:p w14:paraId="413D49A0">
      <w:pPr>
        <w:pBdr>
          <w:top w:val="none" w:color="auto" w:sz="0" w:space="0"/>
          <w:left w:val="none" w:color="auto" w:sz="0" w:space="0"/>
          <w:bottom w:val="none" w:color="auto" w:sz="0" w:space="0"/>
          <w:right w:val="none" w:color="auto" w:sz="0" w:space="0"/>
          <w:between w:val="none" w:color="auto" w:sz="0" w:space="0"/>
        </w:pBdr>
        <w:spacing w:after="0" w:line="360" w:lineRule="auto"/>
        <w:ind w:firstLine="709"/>
        <w:jc w:val="both"/>
        <w:rPr>
          <w:rFonts w:ascii="Times New Roman" w:hAnsi="Times New Roman"/>
          <w:iCs/>
          <w:u w:color="000000"/>
          <w:lang w:eastAsia="ru-RU"/>
        </w:rPr>
      </w:pPr>
      <w:r>
        <w:rPr>
          <w:rFonts w:ascii="Times New Roman" w:hAnsi="Times New Roman"/>
          <w:iCs/>
          <w:u w:color="000000"/>
          <w:lang w:eastAsia="ru-RU"/>
        </w:rPr>
        <w:t>Правила безопасного поведения во время занятий флорболом.</w:t>
      </w:r>
      <w:r>
        <w:rPr>
          <w:rFonts w:ascii="Times New Roman" w:hAnsi="Times New Roman"/>
          <w:b/>
          <w:bCs/>
          <w:iCs/>
          <w:u w:color="000000"/>
          <w:lang w:eastAsia="ru-RU"/>
        </w:rPr>
        <w:t xml:space="preserve"> </w:t>
      </w:r>
      <w:r>
        <w:rPr>
          <w:rFonts w:ascii="Times New Roman" w:hAnsi="Times New Roman"/>
          <w:iCs/>
          <w:u w:color="000000"/>
          <w:lang w:eastAsia="ru-RU"/>
        </w:rPr>
        <w:t>Режим дня при занятиях флорболом. Правила личной гигиены во время занятий флорболом.</w:t>
      </w:r>
    </w:p>
    <w:p w14:paraId="02332752">
      <w:pPr>
        <w:pBdr>
          <w:top w:val="none" w:color="auto" w:sz="0" w:space="0"/>
          <w:left w:val="none" w:color="auto" w:sz="0" w:space="0"/>
          <w:bottom w:val="none" w:color="auto" w:sz="0" w:space="0"/>
          <w:right w:val="none" w:color="auto" w:sz="0" w:space="0"/>
          <w:between w:val="none" w:color="auto" w:sz="0" w:space="0"/>
        </w:pBdr>
        <w:spacing w:after="0" w:line="360" w:lineRule="auto"/>
        <w:ind w:firstLine="709"/>
        <w:jc w:val="both"/>
        <w:rPr>
          <w:rFonts w:ascii="Times New Roman" w:hAnsi="Times New Roman" w:eastAsia="Arial Unicode MS"/>
          <w:u w:color="000000"/>
          <w:lang w:eastAsia="ru-RU"/>
        </w:rPr>
      </w:pPr>
      <w:r>
        <w:rPr>
          <w:rFonts w:ascii="Times New Roman" w:hAnsi="Times New Roman" w:eastAsia="Arial Unicode MS"/>
          <w:u w:color="000000"/>
          <w:lang w:eastAsia="ru-RU"/>
        </w:rPr>
        <w:t>Способы самостоятельной деятельности.</w:t>
      </w:r>
    </w:p>
    <w:p w14:paraId="4EC5BEF7">
      <w:pPr>
        <w:pBdr>
          <w:top w:val="none" w:color="auto" w:sz="0" w:space="0"/>
          <w:left w:val="none" w:color="auto" w:sz="0" w:space="0"/>
          <w:bottom w:val="none" w:color="auto" w:sz="0" w:space="0"/>
          <w:right w:val="none" w:color="auto" w:sz="0" w:space="0"/>
          <w:between w:val="none" w:color="auto" w:sz="0" w:space="0"/>
        </w:pBdr>
        <w:spacing w:after="0" w:line="360" w:lineRule="auto"/>
        <w:ind w:firstLine="709"/>
        <w:jc w:val="both"/>
        <w:rPr>
          <w:rFonts w:ascii="Times New Roman" w:hAnsi="Times New Roman"/>
          <w:iCs/>
          <w:u w:color="000000"/>
          <w:lang w:eastAsia="ru-RU"/>
        </w:rPr>
      </w:pPr>
      <w:r>
        <w:rPr>
          <w:rFonts w:ascii="Times New Roman" w:hAnsi="Times New Roman"/>
          <w:iCs/>
          <w:u w:color="000000"/>
          <w:lang w:eastAsia="ru-RU"/>
        </w:rPr>
        <w:t>Внешние признаки утомления. Способы самоконтроля за физической нагрузкой.</w:t>
      </w:r>
    </w:p>
    <w:p w14:paraId="4315A3EE">
      <w:pPr>
        <w:pBdr>
          <w:top w:val="none" w:color="auto" w:sz="0" w:space="0"/>
          <w:left w:val="none" w:color="auto" w:sz="0" w:space="0"/>
          <w:bottom w:val="none" w:color="auto" w:sz="0" w:space="0"/>
          <w:right w:val="none" w:color="auto" w:sz="0" w:space="0"/>
          <w:between w:val="none" w:color="auto" w:sz="0" w:space="0"/>
        </w:pBdr>
        <w:spacing w:after="0" w:line="360" w:lineRule="auto"/>
        <w:ind w:firstLine="709"/>
        <w:jc w:val="both"/>
        <w:rPr>
          <w:rFonts w:ascii="Times New Roman" w:hAnsi="Times New Roman"/>
          <w:iCs/>
          <w:u w:color="000000"/>
          <w:lang w:eastAsia="ru-RU"/>
        </w:rPr>
      </w:pPr>
      <w:r>
        <w:rPr>
          <w:rFonts w:ascii="Times New Roman" w:hAnsi="Times New Roman"/>
          <w:iCs/>
          <w:u w:color="000000"/>
          <w:lang w:eastAsia="ru-RU"/>
        </w:rPr>
        <w:t>Уход за флорбольным спортивным инвентарем и оборудованием.</w:t>
      </w:r>
    </w:p>
    <w:p w14:paraId="0423A0F0">
      <w:pPr>
        <w:pBdr>
          <w:top w:val="none" w:color="auto" w:sz="0" w:space="0"/>
          <w:left w:val="none" w:color="auto" w:sz="0" w:space="0"/>
          <w:bottom w:val="none" w:color="auto" w:sz="0" w:space="0"/>
          <w:right w:val="none" w:color="auto" w:sz="0" w:space="0"/>
          <w:between w:val="none" w:color="auto" w:sz="0" w:space="0"/>
        </w:pBdr>
        <w:spacing w:after="0" w:line="360" w:lineRule="auto"/>
        <w:ind w:firstLine="709"/>
        <w:jc w:val="both"/>
        <w:rPr>
          <w:rFonts w:ascii="Times New Roman" w:hAnsi="Times New Roman"/>
          <w:iCs/>
          <w:u w:color="000000"/>
          <w:lang w:eastAsia="ru-RU"/>
        </w:rPr>
      </w:pPr>
      <w:r>
        <w:rPr>
          <w:rFonts w:ascii="Times New Roman" w:hAnsi="Times New Roman"/>
          <w:iCs/>
          <w:u w:color="000000"/>
          <w:lang w:eastAsia="ru-RU"/>
        </w:rPr>
        <w:t>Соблюдение личной гигиены, требований к спортивной одежде и обуви для занятий флорболом.</w:t>
      </w:r>
    </w:p>
    <w:p w14:paraId="1C0CC347">
      <w:pPr>
        <w:pBdr>
          <w:top w:val="none" w:color="auto" w:sz="0" w:space="0"/>
          <w:left w:val="none" w:color="auto" w:sz="0" w:space="0"/>
          <w:bottom w:val="none" w:color="auto" w:sz="0" w:space="0"/>
          <w:right w:val="none" w:color="auto" w:sz="0" w:space="0"/>
          <w:between w:val="none" w:color="auto" w:sz="0" w:space="0"/>
        </w:pBdr>
        <w:spacing w:after="0" w:line="360" w:lineRule="auto"/>
        <w:ind w:firstLine="709"/>
        <w:jc w:val="both"/>
        <w:rPr>
          <w:rFonts w:ascii="Times New Roman" w:hAnsi="Times New Roman"/>
          <w:iCs/>
          <w:u w:color="000000"/>
          <w:lang w:eastAsia="ru-RU"/>
        </w:rPr>
      </w:pPr>
      <w:r>
        <w:rPr>
          <w:rFonts w:ascii="Times New Roman" w:hAnsi="Times New Roman"/>
          <w:iCs/>
          <w:u w:color="000000"/>
          <w:lang w:eastAsia="ru-RU"/>
        </w:rPr>
        <w:t>Составление и проведение комплексов общеразвивающих упражнений.</w:t>
      </w:r>
    </w:p>
    <w:p w14:paraId="72B29696">
      <w:pPr>
        <w:pBdr>
          <w:top w:val="none" w:color="auto" w:sz="0" w:space="0"/>
          <w:left w:val="none" w:color="auto" w:sz="0" w:space="0"/>
          <w:bottom w:val="none" w:color="auto" w:sz="0" w:space="0"/>
          <w:right w:val="none" w:color="auto" w:sz="0" w:space="0"/>
          <w:between w:val="none" w:color="auto" w:sz="0" w:space="0"/>
        </w:pBdr>
        <w:spacing w:after="0" w:line="360" w:lineRule="auto"/>
        <w:ind w:firstLine="709"/>
        <w:jc w:val="both"/>
        <w:rPr>
          <w:rFonts w:ascii="Times New Roman" w:hAnsi="Times New Roman"/>
          <w:iCs/>
          <w:u w:color="000000"/>
          <w:lang w:eastAsia="ru-RU"/>
        </w:rPr>
      </w:pPr>
      <w:r>
        <w:rPr>
          <w:rFonts w:ascii="Times New Roman" w:hAnsi="Times New Roman"/>
          <w:iCs/>
          <w:u w:color="000000"/>
          <w:lang w:eastAsia="ru-RU"/>
        </w:rPr>
        <w:t>Подвижные игры и правила их проведения.</w:t>
      </w:r>
    </w:p>
    <w:p w14:paraId="21224A35">
      <w:pPr>
        <w:pBdr>
          <w:top w:val="none" w:color="auto" w:sz="0" w:space="0"/>
          <w:left w:val="none" w:color="auto" w:sz="0" w:space="0"/>
          <w:bottom w:val="none" w:color="auto" w:sz="0" w:space="0"/>
          <w:right w:val="none" w:color="auto" w:sz="0" w:space="0"/>
          <w:between w:val="none" w:color="auto" w:sz="0" w:space="0"/>
        </w:pBdr>
        <w:spacing w:after="0" w:line="360" w:lineRule="auto"/>
        <w:ind w:firstLine="709"/>
        <w:jc w:val="both"/>
        <w:rPr>
          <w:rFonts w:ascii="Times New Roman" w:hAnsi="Times New Roman"/>
          <w:iCs/>
          <w:u w:color="000000"/>
          <w:lang w:eastAsia="ru-RU"/>
        </w:rPr>
      </w:pPr>
      <w:r>
        <w:rPr>
          <w:rFonts w:ascii="Times New Roman" w:hAnsi="Times New Roman"/>
          <w:iCs/>
          <w:u w:color="000000"/>
          <w:lang w:eastAsia="ru-RU"/>
        </w:rPr>
        <w:t>Составление комплексов различной направленности: утренней гигиенической гимнастики, корригирующей гимнастики с элементами флорбола, дыхательной гимнастики, упражнений для глаз, упражнений формирования осанки и профилактики плоскостопия, упражнений для развития физических качеств, упражнений для укрепления голеностопных суставов.</w:t>
      </w:r>
    </w:p>
    <w:p w14:paraId="040AB583">
      <w:pPr>
        <w:pBdr>
          <w:top w:val="none" w:color="auto" w:sz="0" w:space="0"/>
          <w:left w:val="none" w:color="auto" w:sz="0" w:space="0"/>
          <w:bottom w:val="none" w:color="auto" w:sz="0" w:space="0"/>
          <w:right w:val="none" w:color="auto" w:sz="0" w:space="0"/>
          <w:between w:val="none" w:color="auto" w:sz="0" w:space="0"/>
        </w:pBdr>
        <w:spacing w:after="0" w:line="360" w:lineRule="auto"/>
        <w:ind w:firstLine="709"/>
        <w:jc w:val="both"/>
        <w:rPr>
          <w:rFonts w:ascii="Times New Roman" w:hAnsi="Times New Roman"/>
          <w:iCs/>
          <w:u w:color="000000"/>
          <w:lang w:eastAsia="ru-RU"/>
        </w:rPr>
      </w:pPr>
      <w:r>
        <w:rPr>
          <w:rFonts w:ascii="Times New Roman" w:hAnsi="Times New Roman"/>
          <w:iCs/>
          <w:u w:color="000000"/>
          <w:lang w:eastAsia="ru-RU"/>
        </w:rPr>
        <w:t>Основы организации самостоятельных занятий флорболом со сверстниками.</w:t>
      </w:r>
    </w:p>
    <w:p w14:paraId="051E5CD3">
      <w:pPr>
        <w:pBdr>
          <w:top w:val="none" w:color="auto" w:sz="0" w:space="0"/>
          <w:left w:val="none" w:color="auto" w:sz="0" w:space="0"/>
          <w:bottom w:val="none" w:color="auto" w:sz="0" w:space="0"/>
          <w:right w:val="none" w:color="auto" w:sz="0" w:space="0"/>
          <w:between w:val="none" w:color="auto" w:sz="0" w:space="0"/>
        </w:pBdr>
        <w:spacing w:after="0" w:line="360" w:lineRule="auto"/>
        <w:ind w:firstLine="709"/>
        <w:jc w:val="both"/>
        <w:rPr>
          <w:rFonts w:ascii="Times New Roman" w:hAnsi="Times New Roman"/>
          <w:iCs/>
          <w:u w:color="000000"/>
          <w:lang w:eastAsia="ru-RU"/>
        </w:rPr>
      </w:pPr>
      <w:r>
        <w:rPr>
          <w:rFonts w:ascii="Times New Roman" w:hAnsi="Times New Roman"/>
          <w:iCs/>
          <w:u w:color="000000"/>
          <w:lang w:eastAsia="ru-RU"/>
        </w:rPr>
        <w:t>Организация и проведение игр специальной направленности с элементами флорбола.</w:t>
      </w:r>
    </w:p>
    <w:p w14:paraId="6E4F312A">
      <w:pPr>
        <w:pBdr>
          <w:top w:val="none" w:color="auto" w:sz="0" w:space="0"/>
          <w:left w:val="none" w:color="auto" w:sz="0" w:space="0"/>
          <w:bottom w:val="none" w:color="auto" w:sz="0" w:space="0"/>
          <w:right w:val="none" w:color="auto" w:sz="0" w:space="0"/>
          <w:between w:val="none" w:color="auto" w:sz="0" w:space="0"/>
        </w:pBdr>
        <w:spacing w:after="0" w:line="360" w:lineRule="auto"/>
        <w:ind w:firstLine="709"/>
        <w:jc w:val="both"/>
        <w:rPr>
          <w:rFonts w:ascii="Times New Roman" w:hAnsi="Times New Roman"/>
          <w:iCs/>
          <w:u w:color="000000"/>
          <w:lang w:eastAsia="ru-RU"/>
        </w:rPr>
      </w:pPr>
      <w:r>
        <w:rPr>
          <w:rFonts w:ascii="Times New Roman" w:hAnsi="Times New Roman"/>
          <w:iCs/>
          <w:u w:color="000000"/>
          <w:lang w:eastAsia="ru-RU"/>
        </w:rPr>
        <w:t>Причины возникновения ошибок при выполнении технических приёмов и способы их устранения.</w:t>
      </w:r>
    </w:p>
    <w:p w14:paraId="25934588">
      <w:pPr>
        <w:pBdr>
          <w:top w:val="none" w:color="auto" w:sz="0" w:space="0"/>
          <w:left w:val="none" w:color="auto" w:sz="0" w:space="0"/>
          <w:bottom w:val="none" w:color="auto" w:sz="0" w:space="0"/>
          <w:right w:val="none" w:color="auto" w:sz="0" w:space="0"/>
          <w:between w:val="none" w:color="auto" w:sz="0" w:space="0"/>
        </w:pBdr>
        <w:spacing w:after="0" w:line="360" w:lineRule="auto"/>
        <w:ind w:firstLine="709"/>
        <w:jc w:val="both"/>
        <w:rPr>
          <w:rFonts w:ascii="Times New Roman" w:hAnsi="Times New Roman"/>
          <w:iCs/>
          <w:u w:color="000000"/>
          <w:lang w:eastAsia="ru-RU"/>
        </w:rPr>
      </w:pPr>
      <w:r>
        <w:rPr>
          <w:rFonts w:ascii="Times New Roman" w:hAnsi="Times New Roman"/>
          <w:iCs/>
          <w:u w:color="000000"/>
          <w:lang w:eastAsia="ru-RU"/>
        </w:rPr>
        <w:t>Основы анализа собственной игры, игры своей команды и игры команды соперников.</w:t>
      </w:r>
    </w:p>
    <w:p w14:paraId="026D48EF">
      <w:pPr>
        <w:pBdr>
          <w:top w:val="none" w:color="auto" w:sz="0" w:space="0"/>
          <w:left w:val="none" w:color="auto" w:sz="0" w:space="0"/>
          <w:bottom w:val="none" w:color="auto" w:sz="0" w:space="0"/>
          <w:right w:val="none" w:color="auto" w:sz="0" w:space="0"/>
          <w:between w:val="none" w:color="auto" w:sz="0" w:space="0"/>
        </w:pBdr>
        <w:spacing w:after="0" w:line="360" w:lineRule="auto"/>
        <w:ind w:firstLine="709"/>
        <w:jc w:val="both"/>
        <w:rPr>
          <w:rFonts w:ascii="Times New Roman" w:hAnsi="Times New Roman"/>
          <w:iCs/>
          <w:u w:color="000000"/>
          <w:lang w:eastAsia="ru-RU"/>
        </w:rPr>
      </w:pPr>
      <w:r>
        <w:rPr>
          <w:rFonts w:ascii="Times New Roman" w:hAnsi="Times New Roman"/>
          <w:iCs/>
          <w:u w:color="000000"/>
          <w:lang w:eastAsia="ru-RU"/>
        </w:rPr>
        <w:t>Контрольно-тестовые упражнения по общей и специальной физической подготовке.</w:t>
      </w:r>
    </w:p>
    <w:p w14:paraId="0647ABFA">
      <w:pPr>
        <w:pBdr>
          <w:top w:val="none" w:color="auto" w:sz="0" w:space="0"/>
          <w:left w:val="none" w:color="auto" w:sz="0" w:space="0"/>
          <w:bottom w:val="none" w:color="auto" w:sz="0" w:space="0"/>
          <w:right w:val="none" w:color="auto" w:sz="0" w:space="0"/>
          <w:between w:val="none" w:color="auto" w:sz="0" w:space="0"/>
        </w:pBdr>
        <w:spacing w:after="0" w:line="360" w:lineRule="auto"/>
        <w:ind w:firstLine="709"/>
        <w:jc w:val="both"/>
        <w:rPr>
          <w:rFonts w:ascii="Times New Roman" w:hAnsi="Times New Roman" w:eastAsia="Arial Unicode MS"/>
          <w:u w:color="000000"/>
          <w:lang w:eastAsia="ru-RU"/>
        </w:rPr>
      </w:pPr>
      <w:r>
        <w:rPr>
          <w:rFonts w:ascii="Times New Roman" w:hAnsi="Times New Roman" w:eastAsia="Arial Unicode MS"/>
          <w:u w:color="000000"/>
          <w:lang w:eastAsia="ru-RU"/>
        </w:rPr>
        <w:t>Физическое совершенствование.</w:t>
      </w:r>
    </w:p>
    <w:p w14:paraId="7F60F79A">
      <w:pPr>
        <w:spacing w:after="0" w:line="360" w:lineRule="auto"/>
        <w:ind w:firstLine="709"/>
        <w:jc w:val="both"/>
        <w:rPr>
          <w:rFonts w:ascii="Times New Roman" w:hAnsi="Times New Roman"/>
          <w:iCs/>
          <w:u w:color="000000"/>
          <w:lang w:eastAsia="ru-RU"/>
        </w:rPr>
      </w:pPr>
      <w:r>
        <w:rPr>
          <w:rFonts w:ascii="Times New Roman" w:hAnsi="Times New Roman"/>
          <w:iCs/>
          <w:u w:color="000000"/>
          <w:lang w:eastAsia="ru-RU"/>
        </w:rPr>
        <w:t>Комплексы общеразвивающих и корригирующих упражнений.</w:t>
      </w:r>
    </w:p>
    <w:p w14:paraId="0DEDC7C8">
      <w:pPr>
        <w:spacing w:after="0" w:line="360" w:lineRule="auto"/>
        <w:ind w:firstLine="709"/>
        <w:jc w:val="both"/>
        <w:rPr>
          <w:rFonts w:ascii="Times New Roman" w:hAnsi="Times New Roman"/>
          <w:b/>
          <w:bCs/>
          <w:iCs/>
          <w:u w:color="000000"/>
          <w:lang w:eastAsia="ru-RU"/>
        </w:rPr>
      </w:pPr>
      <w:r>
        <w:rPr>
          <w:rFonts w:ascii="Times New Roman" w:hAnsi="Times New Roman"/>
          <w:iCs/>
          <w:u w:color="000000"/>
          <w:lang w:eastAsia="ru-RU"/>
        </w:rPr>
        <w:t>Упражнения на развитие физических качеств (быстроты, ловкости, гибкости).</w:t>
      </w:r>
    </w:p>
    <w:p w14:paraId="5C08C71C">
      <w:pPr>
        <w:spacing w:after="0" w:line="360" w:lineRule="auto"/>
        <w:ind w:firstLine="709"/>
        <w:jc w:val="both"/>
        <w:rPr>
          <w:rFonts w:ascii="Times New Roman" w:hAnsi="Times New Roman"/>
          <w:b/>
          <w:bCs/>
          <w:iCs/>
          <w:u w:color="000000"/>
          <w:lang w:eastAsia="ru-RU"/>
        </w:rPr>
      </w:pPr>
      <w:r>
        <w:rPr>
          <w:rFonts w:ascii="Times New Roman" w:hAnsi="Times New Roman"/>
          <w:iCs/>
          <w:u w:color="000000"/>
          <w:lang w:eastAsia="ru-RU"/>
        </w:rPr>
        <w:t>Комплексы специальных упражнений для формирования технических действий флорболиста.</w:t>
      </w:r>
    </w:p>
    <w:p w14:paraId="0EA7DC07">
      <w:pPr>
        <w:spacing w:after="0" w:line="360" w:lineRule="auto"/>
        <w:ind w:firstLine="709"/>
        <w:jc w:val="both"/>
        <w:rPr>
          <w:rFonts w:ascii="Times New Roman" w:hAnsi="Times New Roman"/>
          <w:b/>
          <w:bCs/>
          <w:iCs/>
          <w:u w:color="000000"/>
          <w:lang w:eastAsia="ru-RU"/>
        </w:rPr>
      </w:pPr>
      <w:r>
        <w:rPr>
          <w:rFonts w:ascii="Times New Roman" w:hAnsi="Times New Roman"/>
          <w:iCs/>
          <w:u w:color="000000"/>
          <w:lang w:eastAsia="ru-RU"/>
        </w:rPr>
        <w:t>Разминка, ее роль, назначение, средства. Комплексы специальной разминки перед соревнованиями по флорболу.</w:t>
      </w:r>
      <w:r>
        <w:rPr>
          <w:rFonts w:ascii="Times New Roman" w:hAnsi="Times New Roman"/>
          <w:b/>
          <w:bCs/>
          <w:iCs/>
          <w:u w:color="000000"/>
          <w:lang w:eastAsia="ru-RU"/>
        </w:rPr>
        <w:t xml:space="preserve"> </w:t>
      </w:r>
      <w:r>
        <w:rPr>
          <w:rFonts w:ascii="Times New Roman" w:hAnsi="Times New Roman"/>
          <w:iCs/>
          <w:u w:color="000000"/>
          <w:lang w:eastAsia="ru-RU"/>
        </w:rPr>
        <w:t>Комплексы корригирующей гимнастики с использованием специальных флорбольных упражнений.</w:t>
      </w:r>
    </w:p>
    <w:p w14:paraId="7F006BA4">
      <w:pPr>
        <w:spacing w:after="0" w:line="360" w:lineRule="auto"/>
        <w:ind w:firstLine="709"/>
        <w:jc w:val="both"/>
        <w:rPr>
          <w:rFonts w:ascii="Times New Roman" w:hAnsi="Times New Roman"/>
          <w:b/>
          <w:bCs/>
          <w:iCs/>
          <w:u w:color="000000"/>
          <w:lang w:eastAsia="ru-RU"/>
        </w:rPr>
      </w:pPr>
      <w:r>
        <w:rPr>
          <w:rFonts w:ascii="Times New Roman" w:hAnsi="Times New Roman"/>
          <w:iCs/>
          <w:u w:color="000000"/>
          <w:lang w:eastAsia="ru-RU"/>
        </w:rPr>
        <w:t>Внешние признаки утомления. Средства восстановления организма после физической нагрузки.</w:t>
      </w:r>
    </w:p>
    <w:p w14:paraId="27CF69AB">
      <w:pPr>
        <w:spacing w:after="0" w:line="360" w:lineRule="auto"/>
        <w:ind w:firstLine="709"/>
        <w:jc w:val="both"/>
        <w:rPr>
          <w:rFonts w:ascii="Times New Roman" w:hAnsi="Times New Roman"/>
          <w:b/>
          <w:bCs/>
          <w:iCs/>
          <w:u w:color="000000"/>
          <w:lang w:eastAsia="ru-RU"/>
        </w:rPr>
      </w:pPr>
      <w:r>
        <w:rPr>
          <w:rFonts w:ascii="Times New Roman" w:hAnsi="Times New Roman"/>
          <w:iCs/>
          <w:u w:color="000000"/>
          <w:lang w:eastAsia="ru-RU"/>
        </w:rPr>
        <w:t>Способы индивидуального регулирования физической нагрузки.</w:t>
      </w:r>
    </w:p>
    <w:p w14:paraId="0F947ACE">
      <w:pPr>
        <w:spacing w:after="0" w:line="360" w:lineRule="auto"/>
        <w:ind w:firstLine="709"/>
        <w:jc w:val="both"/>
        <w:rPr>
          <w:rFonts w:ascii="Times New Roman" w:hAnsi="Times New Roman"/>
          <w:b/>
          <w:bCs/>
          <w:iCs/>
          <w:u w:color="000000"/>
          <w:lang w:eastAsia="ru-RU"/>
        </w:rPr>
      </w:pPr>
      <w:r>
        <w:rPr>
          <w:rFonts w:ascii="Times New Roman" w:hAnsi="Times New Roman"/>
          <w:iCs/>
          <w:u w:color="000000"/>
          <w:lang w:eastAsia="ru-RU"/>
        </w:rPr>
        <w:t>Подвижные игры с предметами и без, эстафеты с элементами флорбола.</w:t>
      </w:r>
      <w:r>
        <w:rPr>
          <w:rFonts w:ascii="Times New Roman" w:hAnsi="Times New Roman"/>
          <w:b/>
          <w:bCs/>
          <w:iCs/>
          <w:u w:color="000000"/>
          <w:lang w:eastAsia="ru-RU"/>
        </w:rPr>
        <w:t xml:space="preserve"> </w:t>
      </w:r>
      <w:r>
        <w:rPr>
          <w:rFonts w:ascii="Times New Roman" w:hAnsi="Times New Roman"/>
          <w:iCs/>
          <w:u w:color="000000"/>
          <w:lang w:eastAsia="ru-RU"/>
        </w:rPr>
        <w:t>Эстафеты на развитие физических и специальных качеств.</w:t>
      </w:r>
    </w:p>
    <w:p w14:paraId="2110D378">
      <w:pPr>
        <w:spacing w:after="0" w:line="360" w:lineRule="auto"/>
        <w:ind w:firstLine="709"/>
        <w:jc w:val="both"/>
        <w:rPr>
          <w:rFonts w:ascii="Times New Roman" w:hAnsi="Times New Roman"/>
          <w:b/>
          <w:bCs/>
          <w:iCs/>
          <w:u w:color="000000"/>
          <w:lang w:eastAsia="ru-RU"/>
        </w:rPr>
      </w:pPr>
      <w:r>
        <w:rPr>
          <w:rFonts w:ascii="Times New Roman" w:hAnsi="Times New Roman"/>
          <w:iCs/>
          <w:u w:color="000000"/>
          <w:lang w:eastAsia="ru-RU"/>
        </w:rPr>
        <w:t>Техника перемещения флорболиста (различные способы перемещения: бег, ходьба, остановки, повороты, прыжки) и индивидуальные технические приемы владения клюшкой и мячом полевого игрока: ведение, удар, бросок, передача, прием, обводка и обыгрывание, отбор и перехват, розыгрыш спорного мяча.</w:t>
      </w:r>
    </w:p>
    <w:p w14:paraId="234926BE">
      <w:pPr>
        <w:spacing w:after="0" w:line="360" w:lineRule="auto"/>
        <w:ind w:firstLine="709"/>
        <w:jc w:val="both"/>
        <w:rPr>
          <w:rFonts w:ascii="Times New Roman" w:hAnsi="Times New Roman"/>
          <w:b/>
          <w:bCs/>
          <w:iCs/>
          <w:u w:color="000000"/>
          <w:lang w:eastAsia="ru-RU"/>
        </w:rPr>
      </w:pPr>
      <w:r>
        <w:rPr>
          <w:rFonts w:ascii="Times New Roman" w:hAnsi="Times New Roman"/>
          <w:iCs/>
          <w:u w:color="000000"/>
          <w:lang w:eastAsia="ru-RU"/>
        </w:rPr>
        <w:t>Ведение мяча: различными способами дриблинга (с перекладыванием, способом «пятка-носок»), без отрыва мяча от крюка клюшки, ведение мяча толками (ударами), ведение, прикрывая мяч корпусом, смешанный способ ведения мяча. Передача мяча: броском и ударов, низом и верхом, с неудобной стороной.</w:t>
      </w:r>
      <w:r>
        <w:rPr>
          <w:rFonts w:ascii="Times New Roman" w:hAnsi="Times New Roman"/>
          <w:b/>
          <w:bCs/>
          <w:iCs/>
          <w:u w:color="000000"/>
          <w:lang w:eastAsia="ru-RU"/>
        </w:rPr>
        <w:t xml:space="preserve"> </w:t>
      </w:r>
      <w:r>
        <w:rPr>
          <w:rFonts w:ascii="Times New Roman" w:hAnsi="Times New Roman"/>
          <w:iCs/>
          <w:u w:color="000000"/>
          <w:lang w:eastAsia="ru-RU"/>
        </w:rPr>
        <w:t>Прием мяча: прием мяча с уступающим движением крюка клюшки (в захват), прием без уступающего движения крюка клюшки (подставка клюшки), с удобной или неудобной стороны, прием мяча корпусом и ногой, прием летного мяча клюшкой. Бросок мяча: заметающий, кистевой, с дуги, с неудобной стороны. Удар по мячу: заметающий, удар-щелчок, прямой удар, удар с неудобной стороны, удар по летному мячу.</w:t>
      </w:r>
      <w:r>
        <w:rPr>
          <w:rFonts w:ascii="Times New Roman" w:hAnsi="Times New Roman"/>
          <w:b/>
          <w:bCs/>
          <w:iCs/>
          <w:u w:color="000000"/>
          <w:lang w:eastAsia="ru-RU"/>
        </w:rPr>
        <w:t xml:space="preserve"> </w:t>
      </w:r>
      <w:r>
        <w:rPr>
          <w:rFonts w:ascii="Times New Roman" w:hAnsi="Times New Roman"/>
          <w:iCs/>
          <w:u w:color="000000"/>
          <w:lang w:eastAsia="ru-RU"/>
        </w:rPr>
        <w:t>Обводка и обыгрывание: обеганием соперника, прокидкой или пробросом мяча, с помощью элементов дриблинга, при помощи обманных движений (финтов).</w:t>
      </w:r>
      <w:r>
        <w:rPr>
          <w:rFonts w:ascii="Times New Roman" w:hAnsi="Times New Roman"/>
          <w:b/>
          <w:bCs/>
          <w:iCs/>
          <w:u w:color="000000"/>
          <w:lang w:eastAsia="ru-RU"/>
        </w:rPr>
        <w:t xml:space="preserve"> </w:t>
      </w:r>
      <w:r>
        <w:rPr>
          <w:rFonts w:ascii="Times New Roman" w:hAnsi="Times New Roman"/>
          <w:iCs/>
          <w:u w:color="000000"/>
          <w:lang w:eastAsia="ru-RU"/>
        </w:rPr>
        <w:t>Отбор мяча (в момент приема и во время ведения): выбивание или вытаскивание. Перехват мяча: клюшкой, ногой, корпусом. Розыгрыш спорного мяча: выигрыш носком пера клюшки на себя, выбивание, продавливание.</w:t>
      </w:r>
    </w:p>
    <w:p w14:paraId="4E990910">
      <w:pPr>
        <w:spacing w:after="0" w:line="360" w:lineRule="auto"/>
        <w:ind w:firstLine="709"/>
        <w:jc w:val="both"/>
        <w:rPr>
          <w:rFonts w:ascii="Times New Roman" w:hAnsi="Times New Roman"/>
          <w:iCs/>
          <w:u w:color="000000"/>
          <w:lang w:eastAsia="ru-RU"/>
        </w:rPr>
      </w:pPr>
      <w:r>
        <w:rPr>
          <w:rFonts w:ascii="Times New Roman" w:hAnsi="Times New Roman"/>
          <w:iCs/>
          <w:u w:color="000000"/>
          <w:lang w:eastAsia="ru-RU"/>
        </w:rPr>
        <w:t>Техника игры вратаря:</w:t>
      </w:r>
    </w:p>
    <w:p w14:paraId="7D0B3CB8">
      <w:pPr>
        <w:spacing w:after="0" w:line="360" w:lineRule="auto"/>
        <w:ind w:firstLine="709"/>
        <w:jc w:val="both"/>
        <w:rPr>
          <w:rFonts w:ascii="Times New Roman" w:hAnsi="Times New Roman"/>
          <w:iCs/>
          <w:u w:color="000000"/>
          <w:lang w:eastAsia="ru-RU"/>
        </w:rPr>
      </w:pPr>
      <w:r>
        <w:rPr>
          <w:rFonts w:ascii="Times New Roman" w:hAnsi="Times New Roman"/>
          <w:iCs/>
          <w:u w:color="000000"/>
          <w:lang w:eastAsia="ru-RU"/>
        </w:rPr>
        <w:t>стойка (высокая, средняя, низкая);</w:t>
      </w:r>
    </w:p>
    <w:p w14:paraId="24140785">
      <w:pPr>
        <w:spacing w:after="0" w:line="360" w:lineRule="auto"/>
        <w:ind w:firstLine="709"/>
        <w:jc w:val="both"/>
        <w:rPr>
          <w:rFonts w:ascii="Times New Roman" w:hAnsi="Times New Roman"/>
          <w:iCs/>
          <w:u w:color="000000"/>
          <w:lang w:eastAsia="ru-RU"/>
        </w:rPr>
      </w:pPr>
      <w:r>
        <w:rPr>
          <w:rFonts w:ascii="Times New Roman" w:hAnsi="Times New Roman"/>
          <w:iCs/>
          <w:u w:color="000000"/>
          <w:lang w:eastAsia="ru-RU"/>
        </w:rPr>
        <w:t>элементы техники перемещения (приставными шагами, стоя на коленях, на коленях толчком одной или двумя руками от пола, отталкиванием ногой от пола со стойки на колене, смешанный тип);</w:t>
      </w:r>
    </w:p>
    <w:p w14:paraId="2208FD6F">
      <w:pPr>
        <w:spacing w:after="0" w:line="360" w:lineRule="auto"/>
        <w:ind w:firstLine="709"/>
        <w:jc w:val="both"/>
        <w:rPr>
          <w:rFonts w:ascii="Times New Roman" w:hAnsi="Times New Roman"/>
          <w:iCs/>
          <w:u w:color="000000"/>
          <w:lang w:eastAsia="ru-RU"/>
        </w:rPr>
      </w:pPr>
      <w:r>
        <w:rPr>
          <w:rFonts w:ascii="Times New Roman" w:hAnsi="Times New Roman"/>
          <w:iCs/>
          <w:u w:color="000000"/>
          <w:lang w:eastAsia="ru-RU"/>
        </w:rPr>
        <w:t>элементы техники противодействия и овладения мячом (парирование – отбивание мяча ногой, рукой, туловищем, головой, ловля – одной или двумя руками, накрывание);</w:t>
      </w:r>
    </w:p>
    <w:p w14:paraId="6689190A">
      <w:pPr>
        <w:spacing w:after="0" w:line="360" w:lineRule="auto"/>
        <w:ind w:firstLine="709"/>
        <w:jc w:val="both"/>
        <w:rPr>
          <w:rFonts w:ascii="Times New Roman" w:hAnsi="Times New Roman"/>
          <w:iCs/>
          <w:u w:color="000000"/>
          <w:lang w:eastAsia="ru-RU"/>
        </w:rPr>
      </w:pPr>
      <w:r>
        <w:rPr>
          <w:rFonts w:ascii="Times New Roman" w:hAnsi="Times New Roman"/>
          <w:iCs/>
          <w:u w:color="000000"/>
          <w:lang w:eastAsia="ru-RU"/>
        </w:rPr>
        <w:t>элементы техники нападения (передача мяча рукой).</w:t>
      </w:r>
    </w:p>
    <w:p w14:paraId="0815D22F">
      <w:pPr>
        <w:spacing w:after="0" w:line="360" w:lineRule="auto"/>
        <w:ind w:firstLine="709"/>
        <w:jc w:val="both"/>
        <w:rPr>
          <w:rFonts w:ascii="Times New Roman" w:hAnsi="Times New Roman"/>
          <w:iCs/>
          <w:u w:color="000000"/>
          <w:lang w:eastAsia="ru-RU"/>
        </w:rPr>
      </w:pPr>
      <w:r>
        <w:rPr>
          <w:rFonts w:ascii="Times New Roman" w:hAnsi="Times New Roman"/>
          <w:iCs/>
          <w:u w:color="000000"/>
          <w:lang w:eastAsia="ru-RU"/>
        </w:rPr>
        <w:t>Тактические действия (индивидуальные и групповые): тактические комбинации и различные взаимодействия в парах, тройках, группах, тактические действия с учетом игровых амплуа в команде, быстрые переключения в действиях – от нападения к защите и от защиты к нападению.</w:t>
      </w:r>
    </w:p>
    <w:p w14:paraId="57082F9B">
      <w:pPr>
        <w:spacing w:after="0" w:line="360" w:lineRule="auto"/>
        <w:ind w:firstLine="709"/>
        <w:jc w:val="both"/>
        <w:rPr>
          <w:rFonts w:ascii="Times New Roman" w:hAnsi="Times New Roman"/>
          <w:iCs/>
          <w:u w:color="000000"/>
          <w:lang w:eastAsia="ru-RU"/>
        </w:rPr>
      </w:pPr>
      <w:r>
        <w:rPr>
          <w:rFonts w:ascii="Times New Roman" w:hAnsi="Times New Roman"/>
          <w:iCs/>
          <w:u w:color="000000"/>
          <w:lang w:eastAsia="ru-RU"/>
        </w:rPr>
        <w:t>Учебные игры во флорбол. Упрощенные игры в технико-тактической подготовке флорболистов. Участие в соревновательной деятельности.</w:t>
      </w:r>
    </w:p>
    <w:p w14:paraId="26B812B5">
      <w:pPr>
        <w:pBdr>
          <w:top w:val="none" w:color="auto" w:sz="0" w:space="0"/>
          <w:left w:val="none" w:color="auto" w:sz="0" w:space="0"/>
          <w:bottom w:val="none" w:color="auto" w:sz="0" w:space="0"/>
          <w:right w:val="none" w:color="auto" w:sz="0" w:space="0"/>
          <w:between w:val="none" w:color="auto" w:sz="0" w:space="0"/>
        </w:pBdr>
        <w:spacing w:after="0" w:line="360" w:lineRule="auto"/>
        <w:ind w:firstLine="709"/>
        <w:jc w:val="both"/>
        <w:rPr>
          <w:rFonts w:ascii="Times New Roman" w:hAnsi="Times New Roman" w:eastAsia="Arial Unicode MS"/>
          <w:u w:color="000000"/>
          <w:lang w:eastAsia="ru-RU"/>
        </w:rPr>
      </w:pPr>
      <w:r>
        <w:rPr>
          <w:rFonts w:ascii="Times New Roman" w:hAnsi="Times New Roman" w:eastAsia="Times New Roman"/>
          <w:bCs/>
          <w:lang w:eastAsia="zh-CN"/>
        </w:rPr>
        <w:t>16.4.</w:t>
      </w:r>
      <w:r>
        <w:rPr>
          <w:rFonts w:ascii="Times New Roman" w:hAnsi="Times New Roman" w:eastAsia="Arial Unicode MS"/>
          <w:u w:color="000000"/>
          <w:lang w:eastAsia="ru-RU"/>
        </w:rPr>
        <w:t>10.7. Содержание модуля «Флорбол» направлено на достижение обучающимися личностных, метапредметных и предметных результатов обучения.</w:t>
      </w:r>
    </w:p>
    <w:p w14:paraId="0D564784">
      <w:pPr>
        <w:pBdr>
          <w:top w:val="none" w:color="auto" w:sz="0" w:space="0"/>
          <w:left w:val="none" w:color="auto" w:sz="0" w:space="0"/>
          <w:bottom w:val="none" w:color="auto" w:sz="0" w:space="0"/>
          <w:right w:val="none" w:color="auto" w:sz="0" w:space="0"/>
          <w:between w:val="none" w:color="auto" w:sz="0" w:space="0"/>
        </w:pBdr>
        <w:spacing w:after="0" w:line="360" w:lineRule="auto"/>
        <w:ind w:firstLine="709"/>
        <w:jc w:val="both"/>
        <w:rPr>
          <w:rFonts w:ascii="Times New Roman" w:hAnsi="Times New Roman" w:eastAsia="HiddenHorzOCR"/>
          <w:u w:color="000000"/>
          <w:lang w:eastAsia="ru-RU"/>
        </w:rPr>
      </w:pPr>
      <w:r>
        <w:rPr>
          <w:rFonts w:ascii="Times New Roman" w:hAnsi="Times New Roman" w:eastAsia="Times New Roman"/>
          <w:bCs/>
          <w:lang w:eastAsia="zh-CN"/>
        </w:rPr>
        <w:t>16.4.</w:t>
      </w:r>
      <w:r>
        <w:rPr>
          <w:rFonts w:ascii="Times New Roman" w:hAnsi="Times New Roman" w:eastAsia="HiddenHorzOCR"/>
          <w:u w:color="000000"/>
          <w:lang w:eastAsia="ru-RU"/>
        </w:rPr>
        <w:t>10.7.1. </w:t>
      </w:r>
      <w:r>
        <w:rPr>
          <w:rFonts w:ascii="Times New Roman" w:hAnsi="Times New Roman" w:eastAsia="Times New Roman"/>
          <w:bCs/>
          <w:u w:color="000000"/>
          <w:lang w:eastAsia="zh-CN"/>
        </w:rPr>
        <w:t xml:space="preserve">При </w:t>
      </w:r>
      <w:r>
        <w:rPr>
          <w:rFonts w:ascii="Times New Roman" w:hAnsi="Times New Roman"/>
          <w:u w:color="000000"/>
          <w:lang w:eastAsia="zh-CN"/>
        </w:rPr>
        <w:t xml:space="preserve">изучении </w:t>
      </w:r>
      <w:r>
        <w:rPr>
          <w:rFonts w:ascii="Times New Roman" w:hAnsi="Times New Roman" w:eastAsia="HiddenHorzOCR"/>
          <w:u w:color="000000"/>
          <w:lang w:eastAsia="ru-RU"/>
        </w:rPr>
        <w:t>модуля «Флорбол» на уровне начального общего образования у обучающихся будут сформированы следующие личностные результаты:</w:t>
      </w:r>
    </w:p>
    <w:p w14:paraId="0FDE13E9">
      <w:pPr>
        <w:spacing w:after="0" w:line="360" w:lineRule="auto"/>
        <w:ind w:firstLine="709"/>
        <w:contextualSpacing/>
        <w:jc w:val="both"/>
        <w:rPr>
          <w:rFonts w:ascii="Times New Roman" w:hAnsi="Times New Roman"/>
          <w:bCs/>
          <w:u w:color="000000"/>
          <w:lang w:eastAsia="ru-RU"/>
        </w:rPr>
      </w:pPr>
      <w:r>
        <w:rPr>
          <w:rFonts w:ascii="Times New Roman" w:hAnsi="Times New Roman" w:eastAsia="HiddenHorzOCR"/>
          <w:u w:color="000000"/>
          <w:lang w:eastAsia="ru-RU"/>
        </w:rPr>
        <w:t xml:space="preserve">проявление чувства гордости за свою Родину, российский народ и историю России </w:t>
      </w:r>
      <w:r>
        <w:rPr>
          <w:rFonts w:ascii="Times New Roman" w:hAnsi="Times New Roman"/>
          <w:bCs/>
          <w:iCs/>
          <w:u w:color="000000"/>
          <w:lang w:eastAsia="ru-RU"/>
        </w:rPr>
        <w:t>через достижения национальной сборной команды страны по флорболу</w:t>
      </w:r>
      <w:r>
        <w:rPr>
          <w:rFonts w:ascii="Times New Roman" w:hAnsi="Times New Roman"/>
          <w:bCs/>
          <w:u w:color="000000"/>
          <w:lang w:eastAsia="ru-RU"/>
        </w:rPr>
        <w:t>;</w:t>
      </w:r>
    </w:p>
    <w:p w14:paraId="2CCF5BB6">
      <w:pPr>
        <w:spacing w:after="0" w:line="360" w:lineRule="auto"/>
        <w:ind w:firstLine="709"/>
        <w:contextualSpacing/>
        <w:jc w:val="both"/>
        <w:rPr>
          <w:rFonts w:ascii="Times New Roman" w:hAnsi="Times New Roman"/>
          <w:bCs/>
          <w:u w:color="000000"/>
          <w:lang w:eastAsia="ru-RU"/>
        </w:rPr>
      </w:pPr>
      <w:r>
        <w:rPr>
          <w:rFonts w:ascii="Times New Roman" w:hAnsi="Times New Roman"/>
          <w:bCs/>
          <w:u w:color="000000"/>
          <w:lang w:eastAsia="ru-RU"/>
        </w:rPr>
        <w:t>п</w:t>
      </w:r>
      <w:r>
        <w:rPr>
          <w:rFonts w:ascii="Times New Roman" w:hAnsi="Times New Roman"/>
          <w:bCs/>
          <w:iCs/>
          <w:u w:color="000000"/>
          <w:lang w:eastAsia="ru-RU"/>
        </w:rPr>
        <w:t>роявление</w:t>
      </w:r>
      <w:r>
        <w:rPr>
          <w:rFonts w:ascii="Times New Roman" w:hAnsi="Times New Roman"/>
          <w:u w:color="000000"/>
          <w:lang w:eastAsia="ru-RU"/>
        </w:rPr>
        <w:t xml:space="preserve"> уважительного отношения к сверстникам, культуры общения и взаимодействия, терпимости и толерантности в достижении общих целей при совместной деятельности (учебной, тренировочной, досуговой, игровой и соревновательной) на принципах доброжелательности и взаимопомощи;</w:t>
      </w:r>
    </w:p>
    <w:p w14:paraId="773B6A97">
      <w:pPr>
        <w:autoSpaceDE w:val="0"/>
        <w:autoSpaceDN w:val="0"/>
        <w:adjustRightInd w:val="0"/>
        <w:spacing w:after="0" w:line="360" w:lineRule="auto"/>
        <w:ind w:firstLine="709"/>
        <w:jc w:val="both"/>
        <w:rPr>
          <w:rFonts w:ascii="Times New Roman" w:hAnsi="Times New Roman" w:eastAsia="HiddenHorzOCR"/>
          <w:u w:color="000000"/>
          <w:lang w:eastAsia="ru-RU"/>
        </w:rPr>
      </w:pPr>
      <w:r>
        <w:rPr>
          <w:rFonts w:ascii="Times New Roman" w:hAnsi="Times New Roman" w:eastAsia="HiddenHorzOCR"/>
          <w:u w:color="000000"/>
          <w:lang w:eastAsia="ru-RU"/>
        </w:rPr>
        <w:t>проявление готовности к саморазвитию, самообразованию и самовоспитанию, мотивации к осознанному выбору индивидуальной траектории образования средствами флорбола;</w:t>
      </w:r>
    </w:p>
    <w:p w14:paraId="06B5E4EC">
      <w:pPr>
        <w:autoSpaceDE w:val="0"/>
        <w:autoSpaceDN w:val="0"/>
        <w:adjustRightInd w:val="0"/>
        <w:spacing w:after="0" w:line="360" w:lineRule="auto"/>
        <w:ind w:firstLine="709"/>
        <w:jc w:val="both"/>
        <w:rPr>
          <w:rFonts w:ascii="Times New Roman" w:hAnsi="Times New Roman" w:eastAsia="HiddenHorzOCR"/>
          <w:u w:color="000000"/>
          <w:lang w:eastAsia="ru-RU"/>
        </w:rPr>
      </w:pPr>
      <w:r>
        <w:rPr>
          <w:rFonts w:ascii="Times New Roman" w:hAnsi="Times New Roman"/>
          <w:u w:color="000000"/>
          <w:lang w:eastAsia="ru-RU"/>
        </w:rPr>
        <w:t>проявление положительных качеств личности и управление своими эмоциями в различных (нестандартных) ситуациях и условиях,</w:t>
      </w:r>
      <w:r>
        <w:rPr>
          <w:rFonts w:ascii="Times New Roman" w:hAnsi="Times New Roman" w:eastAsia="HiddenHorzOCR"/>
          <w:u w:color="000000"/>
          <w:lang w:eastAsia="ru-RU"/>
        </w:rPr>
        <w:t xml:space="preserve"> умение не создавать конфликтов и находить выходы из спорных ситуаций;</w:t>
      </w:r>
    </w:p>
    <w:p w14:paraId="389BFA9F">
      <w:pPr>
        <w:pBdr>
          <w:top w:val="none" w:color="auto" w:sz="0" w:space="0"/>
          <w:left w:val="none" w:color="auto" w:sz="0" w:space="0"/>
          <w:bottom w:val="none" w:color="auto" w:sz="0" w:space="0"/>
          <w:right w:val="none" w:color="auto" w:sz="0" w:space="0"/>
          <w:between w:val="none" w:color="auto" w:sz="0" w:space="0"/>
        </w:pBdr>
        <w:spacing w:after="0" w:line="360" w:lineRule="auto"/>
        <w:ind w:firstLine="709"/>
        <w:jc w:val="both"/>
        <w:rPr>
          <w:rFonts w:ascii="Times New Roman" w:hAnsi="Times New Roman"/>
          <w:u w:color="000000"/>
          <w:lang w:eastAsia="ru-RU"/>
        </w:rPr>
      </w:pPr>
      <w:r>
        <w:rPr>
          <w:rFonts w:ascii="Times New Roman" w:hAnsi="Times New Roman"/>
          <w:u w:color="000000"/>
          <w:lang w:eastAsia="ru-RU"/>
        </w:rPr>
        <w:t>реализация ценностей здорового и безопасного образа жизни, потребности в физическом самосовершенствовании, занятиях спортивно-оздоровительной деятельностью;</w:t>
      </w:r>
    </w:p>
    <w:p w14:paraId="4710D030">
      <w:pPr>
        <w:pBdr>
          <w:top w:val="none" w:color="auto" w:sz="0" w:space="0"/>
          <w:left w:val="none" w:color="auto" w:sz="0" w:space="0"/>
          <w:bottom w:val="none" w:color="auto" w:sz="0" w:space="0"/>
          <w:right w:val="none" w:color="auto" w:sz="0" w:space="0"/>
          <w:between w:val="none" w:color="auto" w:sz="0" w:space="0"/>
        </w:pBdr>
        <w:spacing w:after="0" w:line="360" w:lineRule="auto"/>
        <w:ind w:firstLine="709"/>
        <w:jc w:val="both"/>
        <w:rPr>
          <w:rFonts w:ascii="Times New Roman" w:hAnsi="Times New Roman"/>
          <w:u w:color="000000"/>
          <w:lang w:eastAsia="ru-RU"/>
        </w:rPr>
      </w:pPr>
      <w:r>
        <w:rPr>
          <w:rFonts w:ascii="Times New Roman" w:hAnsi="Times New Roman"/>
          <w:u w:color="000000"/>
          <w:lang w:eastAsia="ru-RU"/>
        </w:rPr>
        <w:t>проявление осознанного и ответственного отношения к собственным поступкам, моральной компетентности в решении проблем в процессе занятий физической культурой, игровой и соревновательной деятельности по флорболу;</w:t>
      </w:r>
    </w:p>
    <w:p w14:paraId="6DCEB821">
      <w:pPr>
        <w:autoSpaceDE w:val="0"/>
        <w:autoSpaceDN w:val="0"/>
        <w:adjustRightInd w:val="0"/>
        <w:spacing w:after="0" w:line="360" w:lineRule="auto"/>
        <w:ind w:firstLine="709"/>
        <w:jc w:val="both"/>
        <w:rPr>
          <w:rFonts w:ascii="Times New Roman" w:hAnsi="Times New Roman" w:eastAsia="HiddenHorzOCR"/>
          <w:u w:color="000000"/>
          <w:lang w:eastAsia="ru-RU"/>
        </w:rPr>
      </w:pPr>
      <w:r>
        <w:rPr>
          <w:rFonts w:ascii="Times New Roman" w:hAnsi="Times New Roman"/>
          <w:u w:color="000000"/>
          <w:lang w:eastAsia="ru-RU"/>
        </w:rPr>
        <w:t>проявление дисциплинированности, трудолюбия и упорства достижении поставленных целей н</w:t>
      </w:r>
      <w:r>
        <w:rPr>
          <w:rFonts w:ascii="Times New Roman" w:hAnsi="Times New Roman" w:eastAsia="HiddenHorzOCR"/>
          <w:u w:color="000000"/>
          <w:lang w:eastAsia="ru-RU"/>
        </w:rPr>
        <w:t>а основе представлений о нравственных нормах, социальной справедливости и свободе;</w:t>
      </w:r>
    </w:p>
    <w:p w14:paraId="35A3BCAF">
      <w:pPr>
        <w:pBdr>
          <w:top w:val="none" w:color="auto" w:sz="0" w:space="0"/>
          <w:left w:val="none" w:color="auto" w:sz="0" w:space="0"/>
          <w:bottom w:val="none" w:color="auto" w:sz="0" w:space="0"/>
          <w:right w:val="none" w:color="auto" w:sz="0" w:space="0"/>
          <w:between w:val="none" w:color="auto" w:sz="0" w:space="0"/>
        </w:pBdr>
        <w:spacing w:after="0" w:line="360" w:lineRule="auto"/>
        <w:ind w:firstLine="709"/>
        <w:jc w:val="both"/>
        <w:rPr>
          <w:rFonts w:ascii="Times New Roman" w:hAnsi="Times New Roman"/>
          <w:u w:color="000000"/>
          <w:lang w:eastAsia="ru-RU"/>
        </w:rPr>
      </w:pPr>
      <w:r>
        <w:rPr>
          <w:rFonts w:ascii="Times New Roman" w:hAnsi="Times New Roman"/>
          <w:u w:color="000000"/>
          <w:lang w:eastAsia="ru-RU"/>
        </w:rPr>
        <w:t>готовность соблюдать правила индивидуального и коллективного безопасного поведения в учебной, соревновательной, досуговой деятельности и чрезвычайных ситуациях;</w:t>
      </w:r>
    </w:p>
    <w:p w14:paraId="13A49113">
      <w:pPr>
        <w:autoSpaceDE w:val="0"/>
        <w:autoSpaceDN w:val="0"/>
        <w:adjustRightInd w:val="0"/>
        <w:spacing w:after="0" w:line="360" w:lineRule="auto"/>
        <w:ind w:firstLine="709"/>
        <w:jc w:val="both"/>
        <w:rPr>
          <w:rFonts w:ascii="Times New Roman" w:hAnsi="Times New Roman" w:eastAsia="HiddenHorzOCR"/>
          <w:u w:color="000000"/>
          <w:lang w:eastAsia="ru-RU"/>
        </w:rPr>
      </w:pPr>
      <w:r>
        <w:rPr>
          <w:rFonts w:ascii="Times New Roman" w:hAnsi="Times New Roman"/>
          <w:u w:color="000000"/>
          <w:lang w:eastAsia="ru-RU"/>
        </w:rPr>
        <w:t>проявление положительных качеств личности и управление своими эмоциями в различных ситуациях и условиях, способность к самостоятельной, творческой и ответственной деятельности средствами флорбола.</w:t>
      </w:r>
    </w:p>
    <w:p w14:paraId="42A8DB42">
      <w:pPr>
        <w:pBdr>
          <w:top w:val="none" w:color="auto" w:sz="0" w:space="0"/>
          <w:left w:val="none" w:color="auto" w:sz="0" w:space="0"/>
          <w:bottom w:val="none" w:color="auto" w:sz="0" w:space="0"/>
          <w:right w:val="none" w:color="auto" w:sz="0" w:space="0"/>
          <w:between w:val="none" w:color="auto" w:sz="0" w:space="0"/>
        </w:pBdr>
        <w:spacing w:after="0" w:line="360" w:lineRule="auto"/>
        <w:ind w:firstLine="709"/>
        <w:jc w:val="both"/>
        <w:rPr>
          <w:rFonts w:ascii="Times New Roman" w:hAnsi="Times New Roman" w:eastAsia="HiddenHorzOCR"/>
          <w:u w:color="000000"/>
          <w:lang w:eastAsia="ru-RU"/>
        </w:rPr>
      </w:pPr>
      <w:r>
        <w:rPr>
          <w:rFonts w:ascii="Times New Roman" w:hAnsi="Times New Roman" w:eastAsia="Times New Roman"/>
          <w:bCs/>
          <w:lang w:eastAsia="zh-CN"/>
        </w:rPr>
        <w:t>16.4.</w:t>
      </w:r>
      <w:r>
        <w:rPr>
          <w:rFonts w:ascii="Times New Roman" w:hAnsi="Times New Roman" w:eastAsia="HiddenHorzOCR"/>
          <w:u w:color="000000"/>
          <w:lang w:eastAsia="ru-RU"/>
        </w:rPr>
        <w:t>10.7.2. </w:t>
      </w:r>
      <w:r>
        <w:rPr>
          <w:rFonts w:ascii="Times New Roman" w:hAnsi="Times New Roman" w:eastAsia="Times New Roman"/>
          <w:bCs/>
          <w:u w:color="000000"/>
          <w:lang w:eastAsia="zh-CN"/>
        </w:rPr>
        <w:t xml:space="preserve">При </w:t>
      </w:r>
      <w:r>
        <w:rPr>
          <w:rFonts w:ascii="Times New Roman" w:hAnsi="Times New Roman"/>
          <w:u w:color="000000"/>
          <w:lang w:eastAsia="zh-CN"/>
        </w:rPr>
        <w:t xml:space="preserve">изучении </w:t>
      </w:r>
      <w:r>
        <w:rPr>
          <w:rFonts w:ascii="Times New Roman" w:hAnsi="Times New Roman" w:eastAsia="HiddenHorzOCR"/>
          <w:u w:color="000000"/>
          <w:lang w:eastAsia="ru-RU"/>
        </w:rPr>
        <w:t>модуля «Флорбол» на уровне начального общего образования у обучающихся будут сформированы следующие метапредметные результаты:</w:t>
      </w:r>
    </w:p>
    <w:p w14:paraId="5B2AEADD">
      <w:pPr>
        <w:pBdr>
          <w:top w:val="none" w:color="auto" w:sz="0" w:space="0"/>
          <w:left w:val="none" w:color="auto" w:sz="0" w:space="0"/>
          <w:bottom w:val="none" w:color="auto" w:sz="0" w:space="0"/>
          <w:right w:val="none" w:color="auto" w:sz="0" w:space="0"/>
          <w:between w:val="none" w:color="auto" w:sz="0" w:space="0"/>
        </w:pBdr>
        <w:shd w:val="clear" w:color="auto" w:fill="FFFFFF"/>
        <w:autoSpaceDE w:val="0"/>
        <w:autoSpaceDN w:val="0"/>
        <w:adjustRightInd w:val="0"/>
        <w:spacing w:after="0" w:line="360" w:lineRule="auto"/>
        <w:ind w:firstLine="709"/>
        <w:jc w:val="both"/>
        <w:rPr>
          <w:rFonts w:ascii="Times New Roman" w:hAnsi="Times New Roman" w:eastAsia="@Arial Unicode MS"/>
          <w:u w:color="000000"/>
          <w:lang w:eastAsia="ru-RU"/>
        </w:rPr>
      </w:pPr>
      <w:r>
        <w:rPr>
          <w:rFonts w:ascii="Times New Roman" w:hAnsi="Times New Roman"/>
          <w:u w:color="000000"/>
          <w:lang w:eastAsia="ru-RU"/>
        </w:rPr>
        <w:t>овладение способностью принимать и сохранять цели и задачи учебной деятельности, поиска средств и способов её осуществления;</w:t>
      </w:r>
    </w:p>
    <w:p w14:paraId="7597809A">
      <w:pPr>
        <w:autoSpaceDE w:val="0"/>
        <w:autoSpaceDN w:val="0"/>
        <w:adjustRightInd w:val="0"/>
        <w:spacing w:after="0" w:line="360" w:lineRule="auto"/>
        <w:ind w:firstLine="709"/>
        <w:jc w:val="both"/>
        <w:rPr>
          <w:rFonts w:ascii="Times New Roman" w:hAnsi="Times New Roman" w:eastAsia="HiddenHorzOCR"/>
          <w:u w:color="000000"/>
          <w:lang w:eastAsia="ru-RU"/>
        </w:rPr>
      </w:pPr>
      <w:r>
        <w:rPr>
          <w:rFonts w:ascii="Times New Roman" w:hAnsi="Times New Roman" w:eastAsia="HiddenHorzOCR"/>
          <w:u w:color="000000"/>
          <w:lang w:eastAsia="ru-RU"/>
        </w:rPr>
        <w:t xml:space="preserve">умение планировать, контролировать и оценивать учебные действия, </w:t>
      </w:r>
      <w:r>
        <w:rPr>
          <w:rFonts w:ascii="Times New Roman" w:hAnsi="Times New Roman"/>
          <w:u w:color="000000"/>
          <w:lang w:eastAsia="ru-RU"/>
        </w:rPr>
        <w:t xml:space="preserve">собственную деятельность, распределять нагрузку и отдых в процессе ее выполнения, </w:t>
      </w:r>
      <w:r>
        <w:rPr>
          <w:rFonts w:ascii="Times New Roman" w:hAnsi="Times New Roman" w:eastAsia="HiddenHorzOCR"/>
          <w:u w:color="000000"/>
          <w:lang w:eastAsia="ru-RU"/>
        </w:rPr>
        <w:t>определять наиболее эффективные способы достижения результата;</w:t>
      </w:r>
    </w:p>
    <w:p w14:paraId="5BA0C623">
      <w:pPr>
        <w:autoSpaceDE w:val="0"/>
        <w:autoSpaceDN w:val="0"/>
        <w:adjustRightInd w:val="0"/>
        <w:spacing w:after="0" w:line="360" w:lineRule="auto"/>
        <w:ind w:firstLine="709"/>
        <w:jc w:val="both"/>
        <w:rPr>
          <w:rFonts w:ascii="Times New Roman" w:hAnsi="Times New Roman" w:eastAsia="HiddenHorzOCR"/>
          <w:u w:color="000000"/>
          <w:lang w:eastAsia="ru-RU"/>
        </w:rPr>
      </w:pPr>
      <w:r>
        <w:rPr>
          <w:rFonts w:ascii="Times New Roman" w:hAnsi="Times New Roman" w:eastAsia="HiddenHorzOCR"/>
          <w:u w:color="000000"/>
          <w:lang w:eastAsia="ru-RU"/>
        </w:rPr>
        <w:t xml:space="preserve">умение </w:t>
      </w:r>
      <w:r>
        <w:rPr>
          <w:rFonts w:ascii="Times New Roman" w:hAnsi="Times New Roman"/>
          <w:u w:color="000000"/>
          <w:lang w:eastAsia="ru-RU"/>
        </w:rPr>
        <w:t>характеризовать действия и поступки, давать им анализ и объективную оценку на основе освоенных знаний и имеющегося опыта;</w:t>
      </w:r>
    </w:p>
    <w:p w14:paraId="225535B9">
      <w:pPr>
        <w:autoSpaceDE w:val="0"/>
        <w:autoSpaceDN w:val="0"/>
        <w:adjustRightInd w:val="0"/>
        <w:spacing w:after="0" w:line="360" w:lineRule="auto"/>
        <w:ind w:firstLine="709"/>
        <w:jc w:val="both"/>
        <w:rPr>
          <w:rFonts w:ascii="Times New Roman" w:hAnsi="Times New Roman" w:eastAsia="HiddenHorzOCR"/>
          <w:u w:color="000000"/>
          <w:lang w:eastAsia="ru-RU"/>
        </w:rPr>
      </w:pPr>
      <w:r>
        <w:rPr>
          <w:rFonts w:ascii="Times New Roman" w:hAnsi="Times New Roman" w:eastAsia="HiddenHorzOCR"/>
          <w:u w:color="000000"/>
          <w:lang w:eastAsia="ru-RU"/>
        </w:rPr>
        <w:t>понимание причин успеха или неуспеха учебной деятельности и способность конструктивно действовать даже в ситуациях неуспеха;</w:t>
      </w:r>
    </w:p>
    <w:p w14:paraId="171E23D7">
      <w:pPr>
        <w:autoSpaceDE w:val="0"/>
        <w:autoSpaceDN w:val="0"/>
        <w:adjustRightInd w:val="0"/>
        <w:spacing w:after="0" w:line="360" w:lineRule="auto"/>
        <w:ind w:firstLine="709"/>
        <w:jc w:val="both"/>
        <w:rPr>
          <w:rFonts w:ascii="Times New Roman" w:hAnsi="Times New Roman" w:eastAsia="HiddenHorzOCR"/>
          <w:u w:color="000000"/>
          <w:lang w:eastAsia="ru-RU"/>
        </w:rPr>
      </w:pPr>
      <w:r>
        <w:rPr>
          <w:rFonts w:ascii="Times New Roman" w:hAnsi="Times New Roman" w:eastAsia="HiddenHorzOCR"/>
          <w:u w:color="000000"/>
          <w:lang w:eastAsia="ru-RU"/>
        </w:rPr>
        <w:t>определение общей цели и путей ее достижения, умение договариваться о распределении функций в учебной, игровой и соревновательной деятельности, оценка собственного поведения и поведения окружающих;</w:t>
      </w:r>
    </w:p>
    <w:p w14:paraId="208B3527">
      <w:pPr>
        <w:autoSpaceDE w:val="0"/>
        <w:autoSpaceDN w:val="0"/>
        <w:adjustRightInd w:val="0"/>
        <w:spacing w:after="0" w:line="360" w:lineRule="auto"/>
        <w:ind w:firstLine="709"/>
        <w:jc w:val="both"/>
        <w:rPr>
          <w:rFonts w:ascii="Times New Roman" w:hAnsi="Times New Roman" w:eastAsia="HiddenHorzOCR"/>
          <w:u w:color="000000"/>
          <w:lang w:eastAsia="ru-RU"/>
        </w:rPr>
      </w:pPr>
      <w:r>
        <w:rPr>
          <w:rFonts w:ascii="Times New Roman" w:hAnsi="Times New Roman"/>
          <w:u w:color="000000"/>
          <w:lang w:eastAsia="ru-RU"/>
        </w:rPr>
        <w:t>обеспечение защиты и сохранности природы во время активного отдыха и занятий физической культурой;</w:t>
      </w:r>
    </w:p>
    <w:p w14:paraId="41E909D9">
      <w:pPr>
        <w:autoSpaceDE w:val="0"/>
        <w:autoSpaceDN w:val="0"/>
        <w:adjustRightInd w:val="0"/>
        <w:spacing w:after="0" w:line="360" w:lineRule="auto"/>
        <w:ind w:firstLine="709"/>
        <w:jc w:val="both"/>
        <w:rPr>
          <w:rFonts w:ascii="Times New Roman" w:hAnsi="Times New Roman" w:eastAsia="HiddenHorzOCR"/>
          <w:u w:color="000000"/>
          <w:lang w:eastAsia="ru-RU"/>
        </w:rPr>
      </w:pPr>
      <w:r>
        <w:rPr>
          <w:rFonts w:ascii="Times New Roman" w:hAnsi="Times New Roman"/>
          <w:u w:color="000000"/>
          <w:lang w:eastAsia="ru-RU"/>
        </w:rPr>
        <w:t>организация самостоятельной деятельности с учетом требований ее безопасности, сохранности инвентаря и оборудования, организации места занятий;</w:t>
      </w:r>
    </w:p>
    <w:p w14:paraId="65FCE270">
      <w:pPr>
        <w:autoSpaceDE w:val="0"/>
        <w:autoSpaceDN w:val="0"/>
        <w:adjustRightInd w:val="0"/>
        <w:spacing w:after="0" w:line="360" w:lineRule="auto"/>
        <w:ind w:firstLine="709"/>
        <w:jc w:val="both"/>
        <w:rPr>
          <w:rFonts w:ascii="Times New Roman" w:hAnsi="Times New Roman" w:eastAsia="HiddenHorzOCR"/>
          <w:u w:color="000000"/>
          <w:lang w:eastAsia="ru-RU"/>
        </w:rPr>
      </w:pPr>
      <w:r>
        <w:rPr>
          <w:rFonts w:ascii="Times New Roman" w:hAnsi="Times New Roman" w:eastAsia="HiddenHorzOCR"/>
          <w:u w:color="000000"/>
          <w:lang w:eastAsia="ru-RU"/>
        </w:rPr>
        <w:t>с</w:t>
      </w:r>
      <w:r>
        <w:rPr>
          <w:rFonts w:ascii="Times New Roman" w:hAnsi="Times New Roman"/>
          <w:u w:color="000000"/>
          <w:lang w:eastAsia="ru-RU"/>
        </w:rPr>
        <w:t>пособность выделять и обосновывать эстетические признаки в физических упражнениях, двигательных действиях, оценивать красоту телосложения и осанки, сравнивать их с эталонными образцами;</w:t>
      </w:r>
    </w:p>
    <w:p w14:paraId="42657CE5">
      <w:pPr>
        <w:autoSpaceDE w:val="0"/>
        <w:autoSpaceDN w:val="0"/>
        <w:adjustRightInd w:val="0"/>
        <w:spacing w:after="0" w:line="360" w:lineRule="auto"/>
        <w:ind w:firstLine="709"/>
        <w:jc w:val="both"/>
        <w:rPr>
          <w:rFonts w:ascii="Times New Roman" w:hAnsi="Times New Roman"/>
          <w:u w:color="000000"/>
          <w:lang w:eastAsia="ru-RU"/>
        </w:rPr>
      </w:pPr>
      <w:r>
        <w:rPr>
          <w:rFonts w:ascii="Times New Roman" w:hAnsi="Times New Roman"/>
          <w:u w:color="000000"/>
          <w:lang w:eastAsia="ru-RU"/>
        </w:rPr>
        <w:t>владение основами самоконтроля, самооценки, принятия решений и осуществления осознанного выбора в учебной и познавательной деятельности.</w:t>
      </w:r>
    </w:p>
    <w:p w14:paraId="41C4CBBC">
      <w:pPr>
        <w:autoSpaceDE w:val="0"/>
        <w:autoSpaceDN w:val="0"/>
        <w:adjustRightInd w:val="0"/>
        <w:spacing w:after="0" w:line="360" w:lineRule="auto"/>
        <w:ind w:firstLine="709"/>
        <w:jc w:val="both"/>
        <w:rPr>
          <w:rFonts w:ascii="Times New Roman" w:hAnsi="Times New Roman"/>
          <w:bCs/>
          <w:iCs/>
          <w:u w:color="000000"/>
          <w:lang w:eastAsia="ru-RU"/>
        </w:rPr>
      </w:pPr>
      <w:r>
        <w:rPr>
          <w:rFonts w:ascii="Times New Roman" w:hAnsi="Times New Roman" w:eastAsia="Times New Roman"/>
          <w:bCs/>
          <w:lang w:eastAsia="zh-CN"/>
        </w:rPr>
        <w:t>16.4.</w:t>
      </w:r>
      <w:r>
        <w:rPr>
          <w:rFonts w:ascii="Times New Roman" w:hAnsi="Times New Roman"/>
          <w:bCs/>
          <w:u w:color="000000"/>
          <w:lang w:eastAsia="ru-RU"/>
        </w:rPr>
        <w:t>10.7.3. </w:t>
      </w:r>
      <w:r>
        <w:rPr>
          <w:rFonts w:ascii="Times New Roman" w:hAnsi="Times New Roman" w:eastAsia="Times New Roman"/>
          <w:bCs/>
          <w:u w:color="000000"/>
          <w:lang w:eastAsia="zh-CN"/>
        </w:rPr>
        <w:t xml:space="preserve">При </w:t>
      </w:r>
      <w:r>
        <w:rPr>
          <w:rFonts w:ascii="Times New Roman" w:hAnsi="Times New Roman"/>
          <w:u w:color="000000"/>
          <w:lang w:eastAsia="zh-CN"/>
        </w:rPr>
        <w:t xml:space="preserve">изучении </w:t>
      </w:r>
      <w:r>
        <w:rPr>
          <w:rFonts w:ascii="Times New Roman" w:hAnsi="Times New Roman"/>
          <w:u w:color="000000"/>
          <w:lang w:eastAsia="ru-RU"/>
        </w:rPr>
        <w:t xml:space="preserve">модуля «Флорбол» на уровне начального общего образования у обучающихся будут сформированы следующие </w:t>
      </w:r>
      <w:r>
        <w:rPr>
          <w:rFonts w:ascii="Times New Roman" w:hAnsi="Times New Roman"/>
          <w:bCs/>
          <w:u w:color="000000"/>
          <w:lang w:eastAsia="ru-RU"/>
        </w:rPr>
        <w:t>предметные результаты</w:t>
      </w:r>
      <w:r>
        <w:rPr>
          <w:rFonts w:ascii="Times New Roman" w:hAnsi="Times New Roman"/>
          <w:u w:color="000000"/>
          <w:lang w:eastAsia="ru-RU"/>
        </w:rPr>
        <w:t>:</w:t>
      </w:r>
    </w:p>
    <w:p w14:paraId="020C3C4A">
      <w:pPr>
        <w:spacing w:after="0" w:line="360" w:lineRule="auto"/>
        <w:ind w:firstLine="709"/>
        <w:contextualSpacing/>
        <w:jc w:val="both"/>
        <w:rPr>
          <w:rFonts w:ascii="Times New Roman" w:hAnsi="Times New Roman"/>
          <w:u w:color="000000"/>
          <w:lang w:eastAsia="ru-RU"/>
        </w:rPr>
      </w:pPr>
      <w:r>
        <w:rPr>
          <w:rFonts w:ascii="Times New Roman" w:hAnsi="Times New Roman"/>
          <w:u w:color="000000"/>
          <w:lang w:eastAsia="ru-RU"/>
        </w:rPr>
        <w:t>понимание значения занятий флорболом как средством укрепления здоровья, закаливания и развития физических качеств человека;</w:t>
      </w:r>
    </w:p>
    <w:p w14:paraId="2E74150F">
      <w:pPr>
        <w:spacing w:after="0" w:line="360" w:lineRule="auto"/>
        <w:ind w:firstLine="709"/>
        <w:contextualSpacing/>
        <w:jc w:val="both"/>
        <w:rPr>
          <w:rFonts w:ascii="Times New Roman" w:hAnsi="Times New Roman" w:eastAsia="Times New Roman"/>
          <w:u w:color="000000"/>
          <w:lang w:eastAsia="ru-RU"/>
        </w:rPr>
      </w:pPr>
      <w:r>
        <w:rPr>
          <w:rFonts w:ascii="Times New Roman" w:hAnsi="Times New Roman" w:eastAsia="Times New Roman"/>
          <w:u w:color="000000"/>
          <w:lang w:eastAsia="ru-RU"/>
        </w:rPr>
        <w:t>сформированность знаний по истории возникновения игры во флорбол и в Российской Федерации</w:t>
      </w:r>
      <w:r>
        <w:rPr>
          <w:rFonts w:ascii="Times New Roman" w:hAnsi="Times New Roman"/>
          <w:bCs/>
          <w:u w:color="000000"/>
          <w:lang w:eastAsia="ru-RU"/>
        </w:rPr>
        <w:t>;</w:t>
      </w:r>
    </w:p>
    <w:p w14:paraId="30A9B246">
      <w:pPr>
        <w:spacing w:after="0" w:line="360" w:lineRule="auto"/>
        <w:ind w:firstLine="709"/>
        <w:contextualSpacing/>
        <w:jc w:val="both"/>
        <w:rPr>
          <w:rFonts w:ascii="Times New Roman" w:hAnsi="Times New Roman" w:eastAsia="Times New Roman"/>
          <w:u w:color="000000"/>
          <w:lang w:eastAsia="ru-RU"/>
        </w:rPr>
      </w:pPr>
      <w:r>
        <w:rPr>
          <w:rFonts w:ascii="Times New Roman" w:hAnsi="Times New Roman" w:eastAsia="Times New Roman"/>
          <w:u w:color="000000"/>
          <w:lang w:eastAsia="ru-RU"/>
        </w:rPr>
        <w:t>сформированность</w:t>
      </w:r>
      <w:r>
        <w:rPr>
          <w:rFonts w:ascii="Times New Roman" w:hAnsi="Times New Roman"/>
          <w:u w:color="000000"/>
          <w:lang w:eastAsia="ru-RU"/>
        </w:rPr>
        <w:t xml:space="preserve"> представлений о разновидностях флорбола и </w:t>
      </w:r>
      <w:r>
        <w:rPr>
          <w:rFonts w:ascii="Times New Roman" w:hAnsi="Times New Roman" w:eastAsia="Times New Roman"/>
          <w:u w:color="000000"/>
          <w:lang w:eastAsia="ru-RU"/>
        </w:rPr>
        <w:t>основных правилах вида спорта «флорбол»</w:t>
      </w:r>
      <w:r>
        <w:rPr>
          <w:rFonts w:ascii="Times New Roman" w:hAnsi="Times New Roman"/>
          <w:bCs/>
          <w:u w:color="000000"/>
          <w:lang w:eastAsia="ru-RU"/>
        </w:rPr>
        <w:t>,</w:t>
      </w:r>
      <w:r>
        <w:rPr>
          <w:rFonts w:ascii="Times New Roman" w:hAnsi="Times New Roman" w:eastAsia="Times New Roman"/>
          <w:u w:color="000000"/>
          <w:lang w:eastAsia="ru-RU"/>
        </w:rPr>
        <w:t xml:space="preserve"> флорбольной терминологии, </w:t>
      </w:r>
      <w:r>
        <w:rPr>
          <w:rFonts w:ascii="Times New Roman" w:hAnsi="Times New Roman"/>
          <w:bCs/>
          <w:u w:color="000000"/>
          <w:lang w:eastAsia="ru-RU"/>
        </w:rPr>
        <w:t>составе флорбольной команды, роль капитана команды и функциях игроков в команде (форвард (нападающий), защитник, голкипер (вратарь);</w:t>
      </w:r>
    </w:p>
    <w:p w14:paraId="08F77D6A">
      <w:pPr>
        <w:spacing w:after="0" w:line="360" w:lineRule="auto"/>
        <w:ind w:firstLine="709"/>
        <w:contextualSpacing/>
        <w:jc w:val="both"/>
        <w:rPr>
          <w:rFonts w:ascii="Times New Roman" w:hAnsi="Times New Roman"/>
          <w:bCs/>
          <w:u w:color="000000"/>
          <w:lang w:eastAsia="ru-RU"/>
        </w:rPr>
      </w:pPr>
      <w:r>
        <w:rPr>
          <w:rFonts w:ascii="Times New Roman" w:hAnsi="Times New Roman" w:eastAsia="Times New Roman"/>
          <w:u w:color="000000"/>
          <w:lang w:eastAsia="ru-RU"/>
        </w:rPr>
        <w:t>сформированность навыков</w:t>
      </w:r>
      <w:r>
        <w:rPr>
          <w:rFonts w:ascii="Times New Roman" w:hAnsi="Times New Roman"/>
          <w:bCs/>
          <w:u w:color="000000"/>
          <w:lang w:eastAsia="ru-RU"/>
        </w:rPr>
        <w:t xml:space="preserve"> безопасного поведения во время занятий флорболом, правил личной гигиены, требований к спортивной одежде и обуви, спортивному инвентарю для занятий флорболом;</w:t>
      </w:r>
    </w:p>
    <w:p w14:paraId="5D441759">
      <w:pPr>
        <w:autoSpaceDE w:val="0"/>
        <w:autoSpaceDN w:val="0"/>
        <w:adjustRightInd w:val="0"/>
        <w:spacing w:after="0" w:line="360" w:lineRule="auto"/>
        <w:ind w:firstLine="709"/>
        <w:jc w:val="both"/>
        <w:rPr>
          <w:rFonts w:ascii="Times New Roman" w:hAnsi="Times New Roman" w:eastAsia="HiddenHorzOCR"/>
          <w:u w:color="000000"/>
          <w:lang w:eastAsia="ru-RU"/>
        </w:rPr>
      </w:pPr>
      <w:r>
        <w:rPr>
          <w:rFonts w:ascii="Times New Roman" w:hAnsi="Times New Roman" w:eastAsia="Times New Roman"/>
          <w:u w:color="000000"/>
          <w:lang w:eastAsia="ru-RU"/>
        </w:rPr>
        <w:t>сформированность</w:t>
      </w:r>
      <w:r>
        <w:rPr>
          <w:rFonts w:ascii="Times New Roman" w:hAnsi="Times New Roman" w:eastAsia="HiddenHorzOCR"/>
          <w:u w:color="000000"/>
          <w:lang w:eastAsia="ru-RU"/>
        </w:rPr>
        <w:t xml:space="preserve"> навыка систематического наблюдения за своим физическим состоянием, величиной физических нагрузок, показателями физического развития и основных физических качеств;</w:t>
      </w:r>
    </w:p>
    <w:p w14:paraId="54DDB556">
      <w:pPr>
        <w:spacing w:after="0" w:line="360" w:lineRule="auto"/>
        <w:ind w:firstLine="709"/>
        <w:contextualSpacing/>
        <w:jc w:val="both"/>
        <w:rPr>
          <w:rFonts w:ascii="Times New Roman" w:hAnsi="Times New Roman"/>
          <w:bCs/>
          <w:u w:color="000000"/>
          <w:lang w:eastAsia="ru-RU"/>
        </w:rPr>
      </w:pPr>
      <w:r>
        <w:rPr>
          <w:rFonts w:ascii="Times New Roman" w:hAnsi="Times New Roman" w:eastAsia="Times New Roman"/>
          <w:u w:color="000000"/>
          <w:lang w:eastAsia="ru-RU"/>
        </w:rPr>
        <w:t xml:space="preserve">сформированность основ организации самостоятельных занятий флорболом со сверстниками, </w:t>
      </w:r>
      <w:r>
        <w:rPr>
          <w:rFonts w:ascii="Times New Roman" w:hAnsi="Times New Roman"/>
          <w:bCs/>
          <w:u w:color="000000"/>
          <w:lang w:eastAsia="ru-RU"/>
        </w:rPr>
        <w:t>организация и проведение со сверстниками подвижных игр специальной направленности с элементами флорбола;</w:t>
      </w:r>
    </w:p>
    <w:p w14:paraId="6558B659">
      <w:pPr>
        <w:spacing w:after="0" w:line="360" w:lineRule="auto"/>
        <w:ind w:firstLine="709"/>
        <w:contextualSpacing/>
        <w:jc w:val="both"/>
        <w:rPr>
          <w:rFonts w:ascii="Times New Roman" w:hAnsi="Times New Roman"/>
          <w:bCs/>
          <w:u w:color="000000"/>
          <w:lang w:eastAsia="ru-RU"/>
        </w:rPr>
      </w:pPr>
      <w:r>
        <w:rPr>
          <w:rFonts w:ascii="Times New Roman" w:hAnsi="Times New Roman" w:eastAsia="Times New Roman"/>
          <w:u w:color="000000"/>
          <w:lang w:eastAsia="ru-RU"/>
        </w:rPr>
        <w:t xml:space="preserve">умение составлять и выполнять комплексы общеразвивающих и корригирующих упражнений, </w:t>
      </w:r>
      <w:r>
        <w:rPr>
          <w:rFonts w:ascii="Times New Roman" w:hAnsi="Times New Roman"/>
          <w:bCs/>
          <w:u w:color="000000"/>
          <w:lang w:eastAsia="ru-RU"/>
        </w:rPr>
        <w:t>упражнений на развитие быстроты, ловкости, гибкости, специальных упражнений для формирования технических действий флорболиста, методики их выполнения;</w:t>
      </w:r>
    </w:p>
    <w:p w14:paraId="1F23E54D">
      <w:pPr>
        <w:spacing w:after="0" w:line="360" w:lineRule="auto"/>
        <w:ind w:firstLine="709"/>
        <w:contextualSpacing/>
        <w:jc w:val="both"/>
        <w:rPr>
          <w:rFonts w:ascii="Times New Roman" w:hAnsi="Times New Roman"/>
          <w:bCs/>
          <w:u w:color="000000"/>
          <w:lang w:eastAsia="ru-RU"/>
        </w:rPr>
      </w:pPr>
      <w:r>
        <w:rPr>
          <w:rFonts w:ascii="Times New Roman" w:hAnsi="Times New Roman"/>
          <w:bCs/>
          <w:u w:color="000000"/>
          <w:lang w:eastAsia="ru-RU"/>
        </w:rPr>
        <w:t>способность выполнять различные виды передвижений: бег, прыжки, остановки, повороты с изменением скорости, темпа и дистанции в учебной, игровой и соревновательной деятельности;</w:t>
      </w:r>
    </w:p>
    <w:p w14:paraId="4FC2D549">
      <w:pPr>
        <w:spacing w:after="0" w:line="360" w:lineRule="auto"/>
        <w:ind w:firstLine="709"/>
        <w:contextualSpacing/>
        <w:jc w:val="both"/>
        <w:rPr>
          <w:rFonts w:ascii="Times New Roman" w:hAnsi="Times New Roman"/>
          <w:bCs/>
          <w:u w:color="000000"/>
          <w:lang w:eastAsia="ru-RU"/>
        </w:rPr>
      </w:pPr>
      <w:r>
        <w:rPr>
          <w:rFonts w:ascii="Times New Roman" w:hAnsi="Times New Roman"/>
          <w:bCs/>
          <w:u w:color="000000"/>
          <w:lang w:eastAsia="ru-RU"/>
        </w:rPr>
        <w:t>способность выполнять индивидуальные технические элементы (приемы) владения клюшкой и мячом (ведение, удар, бросок, передача, прием, обводка и обыгрывание, отбор и перехват, розыгрыш спорного мяча), основные способы держания клюшки (хваты), базовые технические элементы (приемы) игры вратаря: стойка, элементы техники перемещения, элементы техники противодействия и овладения мячом, элементы техники нападения;</w:t>
      </w:r>
    </w:p>
    <w:p w14:paraId="41BD8BC7">
      <w:pPr>
        <w:spacing w:after="0" w:line="360" w:lineRule="auto"/>
        <w:ind w:firstLine="709"/>
        <w:contextualSpacing/>
        <w:jc w:val="both"/>
        <w:rPr>
          <w:rFonts w:ascii="Times New Roman" w:hAnsi="Times New Roman"/>
          <w:bCs/>
          <w:u w:color="000000"/>
          <w:lang w:eastAsia="ru-RU"/>
        </w:rPr>
      </w:pPr>
      <w:r>
        <w:rPr>
          <w:rFonts w:ascii="Times New Roman" w:hAnsi="Times New Roman"/>
          <w:bCs/>
          <w:u w:color="000000"/>
          <w:lang w:eastAsia="ru-RU"/>
        </w:rPr>
        <w:t>способность выполнять элементарные тактические комбинации: в парах, в тройках, тактические действия с учетом игровых амплуа в команде;</w:t>
      </w:r>
    </w:p>
    <w:p w14:paraId="50068C96">
      <w:pPr>
        <w:spacing w:after="0" w:line="360" w:lineRule="auto"/>
        <w:ind w:firstLine="709"/>
        <w:contextualSpacing/>
        <w:jc w:val="both"/>
        <w:rPr>
          <w:rFonts w:ascii="Times New Roman" w:hAnsi="Times New Roman"/>
          <w:bCs/>
          <w:u w:color="000000"/>
          <w:lang w:eastAsia="ru-RU"/>
        </w:rPr>
      </w:pPr>
      <w:r>
        <w:rPr>
          <w:rFonts w:ascii="Times New Roman" w:hAnsi="Times New Roman"/>
          <w:bCs/>
          <w:iCs/>
          <w:u w:color="000000"/>
          <w:lang w:eastAsia="ru-RU"/>
        </w:rPr>
        <w:t>способность анализироват</w:t>
      </w:r>
      <w:r>
        <w:rPr>
          <w:rFonts w:ascii="Times New Roman" w:hAnsi="Times New Roman"/>
          <w:bCs/>
          <w:i/>
          <w:iCs/>
          <w:u w:color="000000"/>
          <w:lang w:eastAsia="ru-RU"/>
        </w:rPr>
        <w:t xml:space="preserve">ь </w:t>
      </w:r>
      <w:r>
        <w:rPr>
          <w:rFonts w:ascii="Times New Roman" w:hAnsi="Times New Roman"/>
          <w:bCs/>
          <w:u w:color="000000"/>
          <w:lang w:eastAsia="ru-RU"/>
        </w:rPr>
        <w:t xml:space="preserve">выполнение технического действия (приема) и </w:t>
      </w:r>
      <w:r>
        <w:rPr>
          <w:rFonts w:ascii="Times New Roman" w:hAnsi="Times New Roman"/>
          <w:bCs/>
          <w:iCs/>
          <w:u w:color="000000"/>
          <w:lang w:eastAsia="ru-RU"/>
        </w:rPr>
        <w:t xml:space="preserve">находить </w:t>
      </w:r>
      <w:r>
        <w:rPr>
          <w:rFonts w:ascii="Times New Roman" w:hAnsi="Times New Roman"/>
          <w:bCs/>
          <w:u w:color="000000"/>
          <w:lang w:eastAsia="ru-RU"/>
        </w:rPr>
        <w:t>способы устранения ошибок;</w:t>
      </w:r>
    </w:p>
    <w:p w14:paraId="2EB86923">
      <w:pPr>
        <w:spacing w:after="0" w:line="360" w:lineRule="auto"/>
        <w:ind w:firstLine="709"/>
        <w:contextualSpacing/>
        <w:jc w:val="both"/>
        <w:rPr>
          <w:rFonts w:ascii="Times New Roman" w:hAnsi="Times New Roman"/>
          <w:bCs/>
          <w:u w:color="000000"/>
          <w:lang w:eastAsia="ru-RU"/>
        </w:rPr>
      </w:pPr>
      <w:r>
        <w:rPr>
          <w:rFonts w:ascii="Times New Roman" w:hAnsi="Times New Roman"/>
          <w:bCs/>
          <w:iCs/>
          <w:u w:color="000000"/>
          <w:lang w:eastAsia="ru-RU"/>
        </w:rPr>
        <w:t>участие</w:t>
      </w:r>
      <w:r>
        <w:rPr>
          <w:rFonts w:ascii="Times New Roman" w:hAnsi="Times New Roman"/>
          <w:bCs/>
          <w:u w:color="000000"/>
          <w:lang w:eastAsia="ru-RU"/>
        </w:rPr>
        <w:t xml:space="preserve"> в учебных играх в уменьшенных составах, на уменьшенной площадке, по упрощенным правилам;</w:t>
      </w:r>
    </w:p>
    <w:p w14:paraId="2BFD07C5">
      <w:pPr>
        <w:spacing w:after="0" w:line="360" w:lineRule="auto"/>
        <w:ind w:firstLine="709"/>
        <w:contextualSpacing/>
        <w:jc w:val="both"/>
        <w:rPr>
          <w:rFonts w:ascii="Times New Roman" w:hAnsi="Times New Roman" w:eastAsia="Times New Roman"/>
          <w:u w:color="000000"/>
          <w:lang w:eastAsia="ru-RU"/>
        </w:rPr>
      </w:pPr>
      <w:r>
        <w:rPr>
          <w:rFonts w:ascii="Times New Roman" w:hAnsi="Times New Roman"/>
          <w:bCs/>
          <w:u w:color="000000"/>
          <w:lang w:eastAsia="ru-RU"/>
        </w:rPr>
        <w:t xml:space="preserve">умение выполнять контрольно-тестовых упражнений по общей и специальной физической подготовке и </w:t>
      </w:r>
      <w:r>
        <w:rPr>
          <w:rFonts w:ascii="Times New Roman" w:hAnsi="Times New Roman"/>
          <w:bCs/>
          <w:iCs/>
          <w:u w:color="000000"/>
          <w:lang w:eastAsia="ru-RU"/>
        </w:rPr>
        <w:t>оценивать</w:t>
      </w:r>
      <w:r>
        <w:rPr>
          <w:rFonts w:ascii="Times New Roman" w:hAnsi="Times New Roman"/>
          <w:bCs/>
          <w:u w:color="000000"/>
          <w:lang w:eastAsia="ru-RU"/>
        </w:rPr>
        <w:t xml:space="preserve"> показатели физической подготовленности;</w:t>
      </w:r>
    </w:p>
    <w:p w14:paraId="696F2270">
      <w:pPr>
        <w:spacing w:after="0" w:line="360" w:lineRule="auto"/>
        <w:ind w:firstLine="709"/>
        <w:contextualSpacing/>
        <w:jc w:val="both"/>
        <w:rPr>
          <w:rFonts w:ascii="Times New Roman" w:hAnsi="Times New Roman"/>
          <w:bCs/>
          <w:u w:color="000000"/>
          <w:lang w:eastAsia="ru-RU"/>
        </w:rPr>
      </w:pPr>
      <w:r>
        <w:rPr>
          <w:rFonts w:ascii="Times New Roman" w:hAnsi="Times New Roman"/>
          <w:bCs/>
          <w:u w:color="000000"/>
          <w:lang w:eastAsia="ru-RU"/>
        </w:rPr>
        <w:t>умение д</w:t>
      </w:r>
      <w:r>
        <w:rPr>
          <w:rFonts w:ascii="Times New Roman" w:hAnsi="Times New Roman"/>
          <w:bCs/>
          <w:iCs/>
          <w:u w:color="000000"/>
          <w:lang w:eastAsia="ru-RU"/>
        </w:rPr>
        <w:t xml:space="preserve">емонстрировать </w:t>
      </w:r>
      <w:r>
        <w:rPr>
          <w:rFonts w:ascii="Times New Roman" w:hAnsi="Times New Roman"/>
          <w:bCs/>
          <w:u w:color="000000"/>
          <w:lang w:eastAsia="ru-RU"/>
        </w:rPr>
        <w:t>во время учебной и игровой деятельности волевые, социальные качества личности, организованность, ответственность;</w:t>
      </w:r>
    </w:p>
    <w:p w14:paraId="081435EF">
      <w:pPr>
        <w:spacing w:after="0" w:line="360" w:lineRule="auto"/>
        <w:ind w:firstLine="709"/>
        <w:contextualSpacing/>
        <w:jc w:val="both"/>
        <w:rPr>
          <w:rFonts w:ascii="Times New Roman" w:hAnsi="Times New Roman"/>
          <w:u w:color="000000"/>
          <w:lang w:eastAsia="ru-RU"/>
        </w:rPr>
      </w:pPr>
      <w:r>
        <w:rPr>
          <w:rFonts w:ascii="Times New Roman" w:hAnsi="Times New Roman"/>
          <w:bCs/>
          <w:u w:color="000000"/>
          <w:lang w:eastAsia="ru-RU"/>
        </w:rPr>
        <w:t>способность п</w:t>
      </w:r>
      <w:r>
        <w:rPr>
          <w:rFonts w:ascii="Times New Roman" w:hAnsi="Times New Roman"/>
          <w:bCs/>
          <w:iCs/>
          <w:u w:color="000000"/>
          <w:lang w:eastAsia="ru-RU"/>
        </w:rPr>
        <w:t xml:space="preserve">роявлять: </w:t>
      </w:r>
      <w:r>
        <w:rPr>
          <w:rFonts w:ascii="Times New Roman" w:hAnsi="Times New Roman"/>
          <w:u w:color="000000"/>
          <w:lang w:eastAsia="ru-RU"/>
        </w:rPr>
        <w:t>уважительное отношение к одноклассникам, культуру общения и взаимодействия, терпимости в достижении общих целей в учебной и игровой деятельности на занятиях флорболом.</w:t>
      </w:r>
    </w:p>
    <w:p w14:paraId="7D33CAB8">
      <w:pPr>
        <w:pBdr>
          <w:top w:val="none" w:color="000000" w:sz="0" w:space="0"/>
          <w:left w:val="none" w:color="000000" w:sz="0" w:space="0"/>
          <w:bottom w:val="none" w:color="000000" w:sz="0" w:space="0"/>
          <w:right w:val="none" w:color="000000" w:sz="0" w:space="0"/>
        </w:pBdr>
        <w:suppressAutoHyphens/>
        <w:spacing w:after="0" w:line="360" w:lineRule="auto"/>
        <w:ind w:firstLine="709"/>
        <w:jc w:val="both"/>
        <w:rPr>
          <w:rFonts w:ascii="Times New Roman" w:hAnsi="Times New Roman"/>
          <w:lang w:eastAsia="zh-CN"/>
        </w:rPr>
      </w:pPr>
      <w:r>
        <w:rPr>
          <w:rFonts w:ascii="Times New Roman" w:hAnsi="Times New Roman" w:eastAsia="Times New Roman"/>
          <w:bCs/>
          <w:lang w:eastAsia="zh-CN"/>
        </w:rPr>
        <w:t>16.4.</w:t>
      </w:r>
      <w:r>
        <w:rPr>
          <w:rFonts w:ascii="Times New Roman" w:hAnsi="Times New Roman" w:eastAsia="Times New Roman"/>
          <w:lang w:eastAsia="zh-CN"/>
        </w:rPr>
        <w:t>11. М</w:t>
      </w:r>
      <w:r>
        <w:rPr>
          <w:rFonts w:ascii="Times New Roman" w:hAnsi="Times New Roman"/>
          <w:lang w:eastAsia="zh-CN"/>
        </w:rPr>
        <w:t>одуль «Легкая атлетика».</w:t>
      </w:r>
    </w:p>
    <w:p w14:paraId="67EA6A1E">
      <w:pPr>
        <w:pBdr>
          <w:top w:val="none" w:color="000000" w:sz="0" w:space="0"/>
          <w:left w:val="none" w:color="000000" w:sz="0" w:space="0"/>
          <w:bottom w:val="none" w:color="000000" w:sz="0" w:space="0"/>
          <w:right w:val="none" w:color="000000" w:sz="0" w:space="0"/>
        </w:pBdr>
        <w:suppressAutoHyphens/>
        <w:spacing w:after="0" w:line="360" w:lineRule="auto"/>
        <w:ind w:firstLine="709"/>
        <w:jc w:val="both"/>
        <w:rPr>
          <w:rFonts w:ascii="Times New Roman" w:hAnsi="Times New Roman" w:eastAsia="Arial Unicode MS"/>
          <w:kern w:val="1"/>
          <w:lang w:eastAsia="zh-CN"/>
        </w:rPr>
      </w:pPr>
      <w:r>
        <w:rPr>
          <w:rFonts w:ascii="Times New Roman" w:hAnsi="Times New Roman" w:eastAsia="Times New Roman"/>
          <w:bCs/>
          <w:lang w:eastAsia="zh-CN"/>
        </w:rPr>
        <w:t>16.4.</w:t>
      </w:r>
      <w:r>
        <w:rPr>
          <w:rFonts w:ascii="Times New Roman" w:hAnsi="Times New Roman"/>
          <w:lang w:eastAsia="zh-CN"/>
        </w:rPr>
        <w:t>11.1. Пояснительная записка модуля «Легкая атлетика».</w:t>
      </w:r>
    </w:p>
    <w:p w14:paraId="0FAC80CD">
      <w:pPr>
        <w:pBdr>
          <w:top w:val="none" w:color="000000" w:sz="0" w:space="0"/>
          <w:left w:val="none" w:color="000000" w:sz="0" w:space="0"/>
          <w:bottom w:val="none" w:color="000000" w:sz="0" w:space="0"/>
          <w:right w:val="none" w:color="000000" w:sz="0" w:space="0"/>
        </w:pBdr>
        <w:suppressAutoHyphens/>
        <w:spacing w:after="0" w:line="360" w:lineRule="auto"/>
        <w:ind w:firstLine="709"/>
        <w:jc w:val="both"/>
        <w:rPr>
          <w:rFonts w:ascii="Times New Roman" w:hAnsi="Times New Roman"/>
          <w:lang w:eastAsia="zh-CN"/>
        </w:rPr>
      </w:pPr>
      <w:r>
        <w:rPr>
          <w:rFonts w:ascii="Times New Roman" w:hAnsi="Times New Roman"/>
          <w:lang w:eastAsia="zh-CN"/>
        </w:rPr>
        <w:t>Модуль «Легкая атлетика» (далее – модуль по легкой атлетике, легкая атлетика) на уровне начального общего образования разработан с целью оказания методической помощи учителю физической культуры в создании рабочей программы по учебному предмету «Физическая культура» с учётом современных тенденций в системе образования и использования спортивно-ориентированных форм, средств и методов обучения по различным видам спорта.</w:t>
      </w:r>
    </w:p>
    <w:p w14:paraId="65844A84">
      <w:pPr>
        <w:pBdr>
          <w:top w:val="none" w:color="000000" w:sz="0" w:space="0"/>
          <w:left w:val="none" w:color="000000" w:sz="0" w:space="0"/>
          <w:bottom w:val="none" w:color="000000" w:sz="0" w:space="0"/>
          <w:right w:val="none" w:color="000000" w:sz="0" w:space="0"/>
        </w:pBdr>
        <w:suppressAutoHyphens/>
        <w:spacing w:after="0" w:line="360" w:lineRule="auto"/>
        <w:ind w:firstLine="709"/>
        <w:jc w:val="both"/>
        <w:rPr>
          <w:rFonts w:ascii="Times New Roman" w:hAnsi="Times New Roman"/>
          <w:lang w:eastAsia="zh-CN"/>
        </w:rPr>
      </w:pPr>
      <w:r>
        <w:rPr>
          <w:rFonts w:ascii="Times New Roman" w:hAnsi="Times New Roman"/>
        </w:rPr>
        <w:t>Легкая атлетика</w:t>
      </w:r>
      <w:r>
        <w:rPr>
          <w:rFonts w:ascii="Times New Roman" w:hAnsi="Times New Roman"/>
          <w:lang w:eastAsia="zh-CN"/>
        </w:rPr>
        <w:t xml:space="preserve"> дает возможность развивать все физические (двигательные) качества: быстроту, выносливость, силу, гибкость, координацию, с учетом сенситивных периодов развития детей. Занятия лёгкой атлетикой являются общедоступными благодаря разнообразию видов, огромному количеству легко дозируемых упражнений, которыми можно заниматься практически повсеместно и в любое время года.</w:t>
      </w:r>
    </w:p>
    <w:p w14:paraId="351A80C8">
      <w:pPr>
        <w:pBdr>
          <w:top w:val="none" w:color="000000" w:sz="0" w:space="0"/>
          <w:left w:val="none" w:color="000000" w:sz="0" w:space="0"/>
          <w:bottom w:val="none" w:color="000000" w:sz="0" w:space="0"/>
          <w:right w:val="none" w:color="000000" w:sz="0" w:space="0"/>
        </w:pBdr>
        <w:suppressAutoHyphens/>
        <w:spacing w:after="0" w:line="360" w:lineRule="auto"/>
        <w:ind w:firstLine="709"/>
        <w:jc w:val="both"/>
        <w:rPr>
          <w:rFonts w:ascii="Times New Roman" w:hAnsi="Times New Roman"/>
          <w:lang w:eastAsia="zh-CN"/>
        </w:rPr>
      </w:pPr>
      <w:r>
        <w:rPr>
          <w:rFonts w:ascii="Times New Roman" w:hAnsi="Times New Roman"/>
          <w:lang w:eastAsia="zh-CN"/>
        </w:rPr>
        <w:t xml:space="preserve">Виды легкой атлетики имеют большое оздоровительное, воспитательное и прикладное значение, так как владение основами техники бега, прыжков и метаний является жизненно необходимыми навыками каждого человека. Легкоатлетические дисциплины играют важную роль в общефизической подготовке спортсменов практически во всех видах спорта. Беговые виды легкой атлетики, как средство закаливания, оказывают положительное влияние на иммунную систему организма человека, повышают выносливость и устойчивое состояние организма к воздействию низких температур, простудным заболеваниям. </w:t>
      </w:r>
    </w:p>
    <w:p w14:paraId="7F412051">
      <w:pPr>
        <w:pBdr>
          <w:top w:val="none" w:color="000000" w:sz="0" w:space="0"/>
          <w:left w:val="none" w:color="000000" w:sz="0" w:space="0"/>
          <w:bottom w:val="none" w:color="000000" w:sz="0" w:space="0"/>
          <w:right w:val="none" w:color="000000" w:sz="0" w:space="0"/>
        </w:pBdr>
        <w:shd w:val="clear" w:color="auto" w:fill="FFFFFF"/>
        <w:tabs>
          <w:tab w:val="left" w:pos="1620"/>
        </w:tabs>
        <w:suppressAutoHyphens/>
        <w:spacing w:after="0" w:line="360" w:lineRule="auto"/>
        <w:ind w:firstLine="709"/>
        <w:jc w:val="both"/>
        <w:rPr>
          <w:rFonts w:ascii="Times New Roman" w:hAnsi="Times New Roman" w:eastAsia="Times New Roman"/>
          <w:lang w:eastAsia="zh-CN"/>
        </w:rPr>
      </w:pPr>
      <w:r>
        <w:rPr>
          <w:rFonts w:ascii="Times New Roman" w:hAnsi="Times New Roman" w:eastAsia="Times New Roman"/>
          <w:bCs/>
          <w:lang w:eastAsia="zh-CN"/>
        </w:rPr>
        <w:t>16.4.</w:t>
      </w:r>
      <w:r>
        <w:rPr>
          <w:rFonts w:ascii="Times New Roman" w:hAnsi="Times New Roman" w:eastAsia="Times New Roman"/>
          <w:lang w:eastAsia="zh-CN"/>
        </w:rPr>
        <w:t>11.2. Целью изучения модуля «Легкая атлетика» является обучение основам легкоатлетических дисциплин (бега, прыжков и метаний) как базовому жизненно необходимому навыку, формирование у обучающихся общечеловеческой культуры и социального самоопределения, устойчивой мотивации к сохранению и укреплению собственного здоровья, ведению здорового и безопасного образа жизни через занятия физической культурой и спортом с использованием средств легкой атлетики.</w:t>
      </w:r>
    </w:p>
    <w:p w14:paraId="50B3252D">
      <w:pPr>
        <w:pBdr>
          <w:top w:val="none" w:color="000000" w:sz="0" w:space="0"/>
          <w:left w:val="none" w:color="000000" w:sz="0" w:space="0"/>
          <w:bottom w:val="none" w:color="000000" w:sz="0" w:space="0"/>
          <w:right w:val="none" w:color="000000" w:sz="0" w:space="0"/>
        </w:pBdr>
        <w:suppressAutoHyphens/>
        <w:spacing w:after="0" w:line="360" w:lineRule="auto"/>
        <w:ind w:firstLine="709"/>
        <w:jc w:val="both"/>
        <w:rPr>
          <w:rFonts w:ascii="Times New Roman" w:hAnsi="Times New Roman"/>
          <w:lang w:eastAsia="zh-CN"/>
        </w:rPr>
      </w:pPr>
      <w:r>
        <w:rPr>
          <w:rFonts w:ascii="Times New Roman" w:hAnsi="Times New Roman" w:eastAsia="Times New Roman"/>
          <w:bCs/>
          <w:lang w:eastAsia="zh-CN"/>
        </w:rPr>
        <w:t>16.4.</w:t>
      </w:r>
      <w:r>
        <w:rPr>
          <w:rFonts w:ascii="Times New Roman" w:hAnsi="Times New Roman"/>
          <w:lang w:eastAsia="zh-CN"/>
        </w:rPr>
        <w:t>11.3. Задачами изучения модуля «Легкая атлетика» являются:</w:t>
      </w:r>
    </w:p>
    <w:p w14:paraId="792EC51F">
      <w:pPr>
        <w:pBdr>
          <w:top w:val="none" w:color="000000" w:sz="0" w:space="0"/>
          <w:left w:val="none" w:color="000000" w:sz="0" w:space="0"/>
          <w:bottom w:val="none" w:color="000000" w:sz="0" w:space="0"/>
          <w:right w:val="none" w:color="000000" w:sz="0" w:space="0"/>
        </w:pBdr>
        <w:tabs>
          <w:tab w:val="left" w:pos="708"/>
        </w:tabs>
        <w:suppressAutoHyphens/>
        <w:spacing w:after="0" w:line="360" w:lineRule="auto"/>
        <w:ind w:firstLine="709"/>
        <w:jc w:val="both"/>
        <w:rPr>
          <w:rFonts w:ascii="Times New Roman" w:hAnsi="Times New Roman" w:eastAsia="Times New Roman"/>
          <w:lang w:eastAsia="zh-CN"/>
        </w:rPr>
      </w:pPr>
      <w:r>
        <w:rPr>
          <w:rFonts w:ascii="Times New Roman" w:hAnsi="Times New Roman" w:eastAsia="Times New Roman"/>
          <w:lang w:eastAsia="zh-CN"/>
        </w:rPr>
        <w:t>всестороннее гармоничное развитие детей и подростков, увеличение объёма их двигательной активности;</w:t>
      </w:r>
    </w:p>
    <w:p w14:paraId="7DCD81A6">
      <w:pPr>
        <w:pBdr>
          <w:top w:val="none" w:color="000000" w:sz="0" w:space="0"/>
          <w:left w:val="none" w:color="000000" w:sz="0" w:space="0"/>
          <w:bottom w:val="none" w:color="000000" w:sz="0" w:space="0"/>
          <w:right w:val="none" w:color="000000" w:sz="0" w:space="0"/>
        </w:pBdr>
        <w:tabs>
          <w:tab w:val="left" w:pos="708"/>
        </w:tabs>
        <w:suppressAutoHyphens/>
        <w:spacing w:after="0" w:line="360" w:lineRule="auto"/>
        <w:ind w:firstLine="709"/>
        <w:jc w:val="both"/>
        <w:rPr>
          <w:rFonts w:ascii="Times New Roman" w:hAnsi="Times New Roman" w:eastAsia="Times New Roman"/>
          <w:lang w:eastAsia="zh-CN"/>
        </w:rPr>
      </w:pPr>
      <w:r>
        <w:rPr>
          <w:rFonts w:ascii="Times New Roman" w:hAnsi="Times New Roman" w:eastAsia="Times New Roman"/>
          <w:lang w:eastAsia="zh-CN"/>
        </w:rPr>
        <w:t xml:space="preserve">укрепление </w:t>
      </w:r>
      <w:r>
        <w:rPr>
          <w:rFonts w:ascii="Times New Roman" w:hAnsi="Times New Roman" w:eastAsia="@Arial Unicode MS"/>
          <w:lang w:eastAsia="zh-CN"/>
        </w:rPr>
        <w:t xml:space="preserve">физического, психологического и социального </w:t>
      </w:r>
      <w:r>
        <w:rPr>
          <w:rFonts w:ascii="Times New Roman" w:hAnsi="Times New Roman" w:eastAsia="Times New Roman"/>
          <w:lang w:eastAsia="zh-CN"/>
        </w:rPr>
        <w:t xml:space="preserve">здоровья обучающихся, развитие основных физических качеств и повышение функциональных возможностей их организма, </w:t>
      </w:r>
      <w:r>
        <w:rPr>
          <w:rFonts w:ascii="Times New Roman" w:hAnsi="Times New Roman" w:eastAsia="@Arial Unicode MS"/>
          <w:lang w:eastAsia="zh-CN"/>
        </w:rPr>
        <w:t xml:space="preserve">обеспечение культуры безопасного поведения </w:t>
      </w:r>
      <w:r>
        <w:rPr>
          <w:rFonts w:ascii="Times New Roman" w:hAnsi="Times New Roman" w:eastAsia="Times New Roman"/>
          <w:lang w:eastAsia="zh-CN"/>
        </w:rPr>
        <w:t>средствами легкой атлетики;</w:t>
      </w:r>
    </w:p>
    <w:p w14:paraId="44EAD9FC">
      <w:pPr>
        <w:pBdr>
          <w:top w:val="none" w:color="000000" w:sz="0" w:space="0"/>
          <w:left w:val="none" w:color="000000" w:sz="0" w:space="0"/>
          <w:bottom w:val="none" w:color="000000" w:sz="0" w:space="0"/>
          <w:right w:val="none" w:color="000000" w:sz="0" w:space="0"/>
        </w:pBdr>
        <w:tabs>
          <w:tab w:val="left" w:pos="708"/>
        </w:tabs>
        <w:suppressAutoHyphens/>
        <w:spacing w:after="0" w:line="360" w:lineRule="auto"/>
        <w:ind w:firstLine="709"/>
        <w:jc w:val="both"/>
        <w:rPr>
          <w:rFonts w:ascii="Times New Roman" w:hAnsi="Times New Roman" w:eastAsia="Times New Roman"/>
          <w:lang w:eastAsia="zh-CN"/>
        </w:rPr>
      </w:pPr>
      <w:r>
        <w:rPr>
          <w:rFonts w:ascii="Times New Roman" w:hAnsi="Times New Roman" w:eastAsia="Times New Roman"/>
          <w:lang w:eastAsia="zh-CN"/>
        </w:rPr>
        <w:t>формирование технических навыков бега, прыжков, метаний и умения применять их в различных условиях;</w:t>
      </w:r>
    </w:p>
    <w:p w14:paraId="7B71D96F">
      <w:pPr>
        <w:pBdr>
          <w:top w:val="none" w:color="000000" w:sz="0" w:space="0"/>
          <w:left w:val="none" w:color="000000" w:sz="0" w:space="0"/>
          <w:bottom w:val="none" w:color="000000" w:sz="0" w:space="0"/>
          <w:right w:val="none" w:color="000000" w:sz="0" w:space="0"/>
        </w:pBdr>
        <w:tabs>
          <w:tab w:val="left" w:pos="708"/>
        </w:tabs>
        <w:suppressAutoHyphens/>
        <w:spacing w:after="0" w:line="360" w:lineRule="auto"/>
        <w:ind w:firstLine="709"/>
        <w:jc w:val="both"/>
        <w:rPr>
          <w:rFonts w:ascii="Times New Roman" w:hAnsi="Times New Roman" w:eastAsia="Times New Roman"/>
          <w:lang w:eastAsia="zh-CN"/>
        </w:rPr>
      </w:pPr>
      <w:r>
        <w:rPr>
          <w:rFonts w:ascii="Times New Roman" w:hAnsi="Times New Roman" w:eastAsia="Times New Roman"/>
          <w:lang w:eastAsia="zh-CN"/>
        </w:rPr>
        <w:t>формирование общих представлений о различных видах легкой атлетики, их возможностях и значении в процессе укрепления здоровья, физическом развитии и физической подготовке обучающихся;</w:t>
      </w:r>
    </w:p>
    <w:p w14:paraId="252F12A7">
      <w:pPr>
        <w:pBdr>
          <w:top w:val="none" w:color="000000" w:sz="0" w:space="0"/>
          <w:left w:val="none" w:color="000000" w:sz="0" w:space="0"/>
          <w:bottom w:val="none" w:color="000000" w:sz="0" w:space="0"/>
          <w:right w:val="none" w:color="000000" w:sz="0" w:space="0"/>
        </w:pBdr>
        <w:tabs>
          <w:tab w:val="left" w:pos="708"/>
        </w:tabs>
        <w:suppressAutoHyphens/>
        <w:spacing w:after="0" w:line="360" w:lineRule="auto"/>
        <w:ind w:firstLine="709"/>
        <w:jc w:val="both"/>
        <w:rPr>
          <w:rFonts w:ascii="Times New Roman" w:hAnsi="Times New Roman" w:eastAsia="Times New Roman"/>
          <w:lang w:eastAsia="zh-CN"/>
        </w:rPr>
      </w:pPr>
      <w:r>
        <w:rPr>
          <w:rFonts w:ascii="Times New Roman" w:hAnsi="Times New Roman" w:eastAsia="Times New Roman"/>
          <w:lang w:eastAsia="zh-CN"/>
        </w:rPr>
        <w:t>обучение основам техники бега, прыжков и метаний, безопасному поведению на занятиях на стадионе (спортивной площадке), в легкоатлетическом манеже, в спортивном зале, при проведении соревнований по кроссу и различным эстафетам, отдыхе на природе, в критических ситуациях;</w:t>
      </w:r>
    </w:p>
    <w:p w14:paraId="432C43EB">
      <w:pPr>
        <w:pBdr>
          <w:top w:val="none" w:color="000000" w:sz="0" w:space="0"/>
          <w:left w:val="none" w:color="000000" w:sz="0" w:space="0"/>
          <w:bottom w:val="none" w:color="000000" w:sz="0" w:space="0"/>
          <w:right w:val="none" w:color="000000" w:sz="0" w:space="0"/>
        </w:pBdr>
        <w:tabs>
          <w:tab w:val="left" w:pos="708"/>
        </w:tabs>
        <w:suppressAutoHyphens/>
        <w:spacing w:after="0" w:line="360" w:lineRule="auto"/>
        <w:ind w:firstLine="709"/>
        <w:jc w:val="both"/>
        <w:rPr>
          <w:rFonts w:ascii="Times New Roman" w:hAnsi="Times New Roman" w:eastAsia="Times New Roman"/>
          <w:lang w:eastAsia="zh-CN"/>
        </w:rPr>
      </w:pPr>
      <w:r>
        <w:rPr>
          <w:rFonts w:ascii="Times New Roman" w:hAnsi="Times New Roman" w:eastAsia="Times New Roman"/>
          <w:lang w:eastAsia="zh-CN"/>
        </w:rPr>
        <w:t>формирование культуры движений, обогащение двигательного опыта средствами различных видов легкой атлетики с общеразвивающей и корригирующей направленностью;</w:t>
      </w:r>
    </w:p>
    <w:p w14:paraId="6D088835">
      <w:pPr>
        <w:pBdr>
          <w:top w:val="none" w:color="000000" w:sz="0" w:space="0"/>
          <w:left w:val="none" w:color="000000" w:sz="0" w:space="0"/>
          <w:bottom w:val="none" w:color="000000" w:sz="0" w:space="0"/>
          <w:right w:val="none" w:color="000000" w:sz="0" w:space="0"/>
        </w:pBdr>
        <w:tabs>
          <w:tab w:val="left" w:pos="708"/>
        </w:tabs>
        <w:suppressAutoHyphens/>
        <w:spacing w:after="0" w:line="360" w:lineRule="auto"/>
        <w:ind w:firstLine="709"/>
        <w:jc w:val="both"/>
        <w:rPr>
          <w:rFonts w:ascii="Times New Roman" w:hAnsi="Times New Roman" w:eastAsia="Times New Roman"/>
          <w:lang w:eastAsia="zh-CN"/>
        </w:rPr>
      </w:pPr>
      <w:r>
        <w:rPr>
          <w:rFonts w:ascii="Times New Roman" w:hAnsi="Times New Roman" w:eastAsia="Times New Roman"/>
          <w:lang w:eastAsia="zh-CN"/>
        </w:rPr>
        <w:t>воспитание общей культуры развития личности обучающегося средствами легкой атлетики, в том числе, для самореализации и самоопределения;</w:t>
      </w:r>
    </w:p>
    <w:p w14:paraId="5A888DE9">
      <w:pPr>
        <w:pBdr>
          <w:top w:val="none" w:color="000000" w:sz="0" w:space="0"/>
          <w:left w:val="none" w:color="000000" w:sz="0" w:space="0"/>
          <w:bottom w:val="none" w:color="000000" w:sz="0" w:space="0"/>
          <w:right w:val="none" w:color="000000" w:sz="0" w:space="0"/>
        </w:pBdr>
        <w:tabs>
          <w:tab w:val="left" w:pos="708"/>
        </w:tabs>
        <w:suppressAutoHyphens/>
        <w:spacing w:after="0" w:line="360" w:lineRule="auto"/>
        <w:ind w:firstLine="709"/>
        <w:jc w:val="both"/>
        <w:rPr>
          <w:rFonts w:ascii="Times New Roman" w:hAnsi="Times New Roman" w:eastAsia="Times New Roman"/>
          <w:lang w:eastAsia="zh-CN"/>
        </w:rPr>
      </w:pPr>
      <w:r>
        <w:rPr>
          <w:rFonts w:ascii="Times New Roman" w:hAnsi="Times New Roman" w:eastAsia="Times New Roman"/>
          <w:lang w:eastAsia="zh-CN"/>
        </w:rPr>
        <w:t>развитие положительной мотивации и устойчивого учебно-познавательного интереса к предмету «Физическая культура», удовлетворение индивидуальных потребностей, обучающихся в занятиях физической культурой и спортом средствами различных видов легкой атлетики;</w:t>
      </w:r>
    </w:p>
    <w:p w14:paraId="307A5405">
      <w:pPr>
        <w:pBdr>
          <w:top w:val="none" w:color="000000" w:sz="0" w:space="0"/>
          <w:left w:val="none" w:color="000000" w:sz="0" w:space="0"/>
          <w:bottom w:val="none" w:color="000000" w:sz="0" w:space="0"/>
          <w:right w:val="none" w:color="000000" w:sz="0" w:space="0"/>
        </w:pBdr>
        <w:tabs>
          <w:tab w:val="left" w:pos="708"/>
        </w:tabs>
        <w:suppressAutoHyphens/>
        <w:spacing w:after="0" w:line="360" w:lineRule="auto"/>
        <w:ind w:firstLine="709"/>
        <w:jc w:val="both"/>
        <w:rPr>
          <w:rFonts w:ascii="Times New Roman" w:hAnsi="Times New Roman" w:eastAsia="Times New Roman"/>
          <w:lang w:eastAsia="zh-CN"/>
        </w:rPr>
      </w:pPr>
      <w:r>
        <w:rPr>
          <w:rFonts w:ascii="Times New Roman" w:hAnsi="Times New Roman" w:eastAsia="Times New Roman"/>
          <w:lang w:eastAsia="zh-CN"/>
        </w:rPr>
        <w:t>популяризация легкой атлетики в общеобразовательных организациях, привлечение обучающихся, проявляющих повышенный интерес и способности к занятиям различными видами легкой атлетики в школьные спортивные клубы, секции, к участию в соревнованиях;</w:t>
      </w:r>
    </w:p>
    <w:p w14:paraId="205E8220">
      <w:pPr>
        <w:pBdr>
          <w:top w:val="none" w:color="000000" w:sz="0" w:space="0"/>
          <w:left w:val="none" w:color="000000" w:sz="0" w:space="0"/>
          <w:bottom w:val="none" w:color="000000" w:sz="0" w:space="0"/>
          <w:right w:val="none" w:color="000000" w:sz="0" w:space="0"/>
        </w:pBdr>
        <w:tabs>
          <w:tab w:val="left" w:pos="708"/>
        </w:tabs>
        <w:suppressAutoHyphens/>
        <w:spacing w:after="0" w:line="360" w:lineRule="auto"/>
        <w:ind w:firstLine="709"/>
        <w:jc w:val="both"/>
        <w:rPr>
          <w:rFonts w:ascii="Times New Roman" w:hAnsi="Times New Roman" w:eastAsia="Times New Roman"/>
          <w:lang w:eastAsia="zh-CN"/>
        </w:rPr>
      </w:pPr>
      <w:r>
        <w:rPr>
          <w:rFonts w:ascii="Times New Roman" w:hAnsi="Times New Roman" w:eastAsia="Times New Roman"/>
          <w:lang w:eastAsia="zh-CN"/>
        </w:rPr>
        <w:t>выявление, развитие и поддержка одаренных детей в области спорта.</w:t>
      </w:r>
    </w:p>
    <w:p w14:paraId="77B57430">
      <w:pPr>
        <w:pStyle w:val="36"/>
        <w:spacing w:line="360" w:lineRule="auto"/>
        <w:ind w:firstLine="552"/>
        <w:rPr>
          <w:rFonts w:ascii="Times New Roman" w:hAnsi="Times New Roman"/>
          <w:sz w:val="22"/>
          <w:szCs w:val="22"/>
        </w:rPr>
      </w:pPr>
      <w:r>
        <w:rPr>
          <w:rFonts w:ascii="Times New Roman" w:hAnsi="Times New Roman" w:eastAsia="Times New Roman"/>
          <w:bCs/>
          <w:sz w:val="22"/>
          <w:szCs w:val="22"/>
          <w:lang w:eastAsia="zh-CN"/>
        </w:rPr>
        <w:t>16.4.</w:t>
      </w:r>
      <w:r>
        <w:rPr>
          <w:rFonts w:ascii="Times New Roman" w:hAnsi="Times New Roman"/>
          <w:sz w:val="22"/>
          <w:szCs w:val="22"/>
        </w:rPr>
        <w:t>11.4. Место и роль модуля «Легкая атлетика».</w:t>
      </w:r>
    </w:p>
    <w:p w14:paraId="7C2A6A70">
      <w:pPr>
        <w:pBdr>
          <w:top w:val="none" w:color="000000" w:sz="0" w:space="0"/>
          <w:left w:val="none" w:color="000000" w:sz="0" w:space="0"/>
          <w:bottom w:val="none" w:color="000000" w:sz="0" w:space="0"/>
          <w:right w:val="none" w:color="000000" w:sz="0" w:space="0"/>
        </w:pBdr>
        <w:suppressAutoHyphens/>
        <w:autoSpaceDE w:val="0"/>
        <w:spacing w:after="0" w:line="360" w:lineRule="auto"/>
        <w:ind w:firstLine="709"/>
        <w:jc w:val="both"/>
        <w:rPr>
          <w:rFonts w:ascii="Times New Roman" w:hAnsi="Times New Roman"/>
          <w:iCs/>
          <w:u w:color="000000"/>
          <w:lang w:eastAsia="ru-RU"/>
        </w:rPr>
      </w:pPr>
      <w:r>
        <w:rPr>
          <w:rFonts w:ascii="Times New Roman" w:hAnsi="Times New Roman"/>
          <w:lang w:eastAsia="zh-CN"/>
        </w:rPr>
        <w:t>Модуль «Легкая атлетика»</w:t>
      </w:r>
      <w:r>
        <w:rPr>
          <w:rFonts w:ascii="Times New Roman" w:hAnsi="Times New Roman"/>
          <w:lang w:eastAsia="ar-SA"/>
        </w:rPr>
        <w:t xml:space="preserve"> </w:t>
      </w:r>
      <w:r>
        <w:rPr>
          <w:rFonts w:ascii="Times New Roman" w:hAnsi="Times New Roman"/>
          <w:lang w:eastAsia="zh-CN"/>
        </w:rPr>
        <w:t>доступен для освоения всем обучающимся, независимо от уровня их физического развития и пола и расширяет спектр физкультурно-спортивных направлений в общеобразовательных организациях.</w:t>
      </w:r>
      <w:r>
        <w:rPr>
          <w:rFonts w:ascii="Times New Roman" w:hAnsi="Times New Roman"/>
          <w:iCs/>
          <w:u w:color="000000"/>
          <w:lang w:eastAsia="ru-RU"/>
        </w:rPr>
        <w:t xml:space="preserve"> </w:t>
      </w:r>
    </w:p>
    <w:p w14:paraId="06A910DF">
      <w:pPr>
        <w:pBdr>
          <w:top w:val="none" w:color="000000" w:sz="0" w:space="0"/>
          <w:left w:val="none" w:color="000000" w:sz="0" w:space="0"/>
          <w:bottom w:val="none" w:color="000000" w:sz="0" w:space="0"/>
          <w:right w:val="none" w:color="000000" w:sz="0" w:space="0"/>
        </w:pBdr>
        <w:suppressAutoHyphens/>
        <w:spacing w:after="0" w:line="360" w:lineRule="auto"/>
        <w:ind w:firstLine="709"/>
        <w:jc w:val="both"/>
        <w:rPr>
          <w:rFonts w:ascii="Times New Roman" w:hAnsi="Times New Roman"/>
          <w:lang w:eastAsia="zh-CN"/>
        </w:rPr>
      </w:pPr>
      <w:r>
        <w:rPr>
          <w:rFonts w:ascii="Times New Roman" w:hAnsi="Times New Roman"/>
          <w:lang w:eastAsia="zh-CN"/>
        </w:rPr>
        <w:t xml:space="preserve">Интеграция модуля по легкой атлетике поможет обучающимся в освоении содержательных компонентов и модулей по гимнастике, самбо, плаванию, подвижным и спортивным играм, а также </w:t>
      </w:r>
      <w:r>
        <w:rPr>
          <w:rFonts w:ascii="Times New Roman" w:hAnsi="Times New Roman"/>
          <w:u w:color="000000"/>
          <w:lang w:eastAsia="ru-RU"/>
        </w:rPr>
        <w:t>в освоении программ в рамках внеурочной деятельности, дополнительного образования, деятельности школьных спортивных клубов, подготовке обучающихся к сдаче норм Всероссийского физкультурно-спортивного комплекса «Готов к труду и обороне» (ГТО) и участию в спортивных соревнованиях.</w:t>
      </w:r>
    </w:p>
    <w:p w14:paraId="103B9E99">
      <w:pPr>
        <w:pBdr>
          <w:top w:val="none" w:color="000000" w:sz="0" w:space="0"/>
          <w:left w:val="none" w:color="000000" w:sz="0" w:space="0"/>
          <w:bottom w:val="none" w:color="000000" w:sz="0" w:space="0"/>
          <w:right w:val="none" w:color="000000" w:sz="0" w:space="0"/>
        </w:pBdr>
        <w:suppressAutoHyphens/>
        <w:spacing w:after="0" w:line="360" w:lineRule="auto"/>
        <w:ind w:firstLine="709"/>
        <w:jc w:val="both"/>
        <w:rPr>
          <w:rFonts w:ascii="Times New Roman" w:hAnsi="Times New Roman" w:eastAsia="Times New Roman"/>
          <w:lang w:eastAsia="zh-CN"/>
        </w:rPr>
      </w:pPr>
      <w:r>
        <w:rPr>
          <w:rFonts w:ascii="Times New Roman" w:hAnsi="Times New Roman" w:eastAsia="Times New Roman"/>
          <w:bCs/>
          <w:lang w:eastAsia="zh-CN"/>
        </w:rPr>
        <w:t>16.4.</w:t>
      </w:r>
      <w:r>
        <w:rPr>
          <w:rFonts w:ascii="Times New Roman" w:hAnsi="Times New Roman" w:eastAsia="Times New Roman"/>
          <w:lang w:eastAsia="zh-CN"/>
        </w:rPr>
        <w:t>11.5. Модуль «Легкая атлетика» может быть реализован в следующих вариантах:</w:t>
      </w:r>
    </w:p>
    <w:p w14:paraId="4CF69B88">
      <w:pPr>
        <w:spacing w:after="0" w:line="360" w:lineRule="auto"/>
        <w:ind w:firstLine="709"/>
        <w:jc w:val="both"/>
        <w:rPr>
          <w:rFonts w:ascii="Times New Roman" w:hAnsi="Times New Roman"/>
          <w:lang w:eastAsia="zh-CN"/>
        </w:rPr>
      </w:pPr>
      <w:r>
        <w:rPr>
          <w:rFonts w:ascii="Times New Roman" w:hAnsi="Times New Roman"/>
          <w:u w:color="000000"/>
          <w:lang w:eastAsia="ru-RU"/>
        </w:rPr>
        <w:t>при самостоятельном планировании учителем физической культуры процесса освоения обучающимися учебного материала по легкой атлетике, с учётом возраста и физической подготовленности обучающихся (с соответствующей дозировкой и интенсивностью);</w:t>
      </w:r>
    </w:p>
    <w:p w14:paraId="60BD4B53">
      <w:pPr>
        <w:spacing w:after="0" w:line="360" w:lineRule="auto"/>
        <w:ind w:firstLine="709"/>
        <w:jc w:val="both"/>
        <w:rPr>
          <w:rFonts w:ascii="Times New Roman" w:hAnsi="Times New Roman"/>
        </w:rPr>
      </w:pPr>
      <w:r>
        <w:rPr>
          <w:rFonts w:ascii="Times New Roman" w:hAnsi="Times New Roman"/>
        </w:rPr>
        <w:t>в виде целостного последовательного учебного модуля, изучаемого за счёт части учебного плана, формируемой участниками образовательных отношений из перечня, предлагаемого образовательной организацией, включающей, в частности, учебные модули по выбору обучающихся, родителей (законных представителей) несовершеннолетних обучающихся, в том числе предусматривающие удовлетворение различных интересов обучающихся (при организации и проведении уроков физической культуры с 3-х часовой недельной нагрузкой рекомендуемый объём в 1 классе – 33 часа, во 2, 3, 4 классах – по 34 часа);</w:t>
      </w:r>
    </w:p>
    <w:p w14:paraId="2A437CEC">
      <w:pPr>
        <w:spacing w:after="0" w:line="360" w:lineRule="auto"/>
        <w:ind w:firstLine="709"/>
        <w:jc w:val="both"/>
        <w:rPr>
          <w:rFonts w:ascii="Times New Roman" w:hAnsi="Times New Roman"/>
          <w:lang w:eastAsia="zh-CN"/>
        </w:rPr>
      </w:pPr>
      <w:r>
        <w:rPr>
          <w:rFonts w:ascii="Times New Roman" w:hAnsi="Times New Roman"/>
          <w:u w:color="000000"/>
          <w:lang w:eastAsia="zh-CN"/>
        </w:rPr>
        <w:t xml:space="preserve">в виде дополнительных часов, выделяемых на спортивно-оздоровительную работу с обучающимися в рамках внеурочной деятельности </w:t>
      </w:r>
      <w:r>
        <w:rPr>
          <w:rFonts w:ascii="Times New Roman" w:hAnsi="Times New Roman"/>
          <w:u w:color="000000"/>
        </w:rPr>
        <w:t>и (или) за счет посещения обучающимися спортивных секций, школьных спортивных клубов, включая использование учебных модулей по видам спорта</w:t>
      </w:r>
      <w:r>
        <w:rPr>
          <w:rFonts w:ascii="Times New Roman" w:hAnsi="Times New Roman"/>
          <w:u w:color="000000"/>
          <w:lang w:eastAsia="ru-RU"/>
        </w:rPr>
        <w:t xml:space="preserve"> </w:t>
      </w:r>
      <w:r>
        <w:rPr>
          <w:rFonts w:ascii="Times New Roman" w:hAnsi="Times New Roman"/>
          <w:lang w:eastAsia="zh-CN"/>
        </w:rPr>
        <w:t xml:space="preserve">(рекомендуемый объём </w:t>
      </w:r>
      <w:r>
        <w:rPr>
          <w:rFonts w:ascii="Times New Roman" w:hAnsi="Times New Roman"/>
        </w:rPr>
        <w:t>в 1 классе – 33 часа, во 2, 3, 4 классах – по 34 часа</w:t>
      </w:r>
      <w:r>
        <w:rPr>
          <w:rFonts w:ascii="Times New Roman" w:hAnsi="Times New Roman"/>
          <w:lang w:eastAsia="zh-CN"/>
        </w:rPr>
        <w:t>).</w:t>
      </w:r>
    </w:p>
    <w:p w14:paraId="469FFCEC">
      <w:pPr>
        <w:pBdr>
          <w:top w:val="none" w:color="000000" w:sz="0" w:space="0"/>
          <w:left w:val="none" w:color="000000" w:sz="0" w:space="0"/>
          <w:bottom w:val="none" w:color="000000" w:sz="0" w:space="0"/>
          <w:right w:val="none" w:color="000000" w:sz="0" w:space="0"/>
        </w:pBdr>
        <w:suppressAutoHyphens/>
        <w:spacing w:after="0" w:line="360" w:lineRule="auto"/>
        <w:ind w:firstLine="709"/>
        <w:jc w:val="both"/>
        <w:rPr>
          <w:rFonts w:ascii="Times New Roman" w:hAnsi="Times New Roman" w:eastAsia="Times New Roman"/>
          <w:lang w:eastAsia="zh-CN"/>
        </w:rPr>
      </w:pPr>
      <w:r>
        <w:rPr>
          <w:rFonts w:ascii="Times New Roman" w:hAnsi="Times New Roman" w:eastAsia="Times New Roman"/>
          <w:bCs/>
          <w:lang w:eastAsia="zh-CN"/>
        </w:rPr>
        <w:t>16.4.</w:t>
      </w:r>
      <w:r>
        <w:rPr>
          <w:rFonts w:ascii="Times New Roman" w:hAnsi="Times New Roman" w:eastAsia="Times New Roman"/>
          <w:lang w:eastAsia="zh-CN"/>
        </w:rPr>
        <w:t>11.6. Содержание модуля «Легкая атлетика».</w:t>
      </w:r>
    </w:p>
    <w:p w14:paraId="1CA92E0D">
      <w:pPr>
        <w:pBdr>
          <w:top w:val="none" w:color="000000" w:sz="0" w:space="0"/>
          <w:left w:val="none" w:color="000000" w:sz="0" w:space="0"/>
          <w:bottom w:val="none" w:color="000000" w:sz="0" w:space="0"/>
          <w:right w:val="none" w:color="000000" w:sz="0" w:space="0"/>
        </w:pBdr>
        <w:suppressAutoHyphens/>
        <w:spacing w:after="0" w:line="360" w:lineRule="auto"/>
        <w:ind w:firstLine="709"/>
        <w:jc w:val="both"/>
        <w:rPr>
          <w:rFonts w:ascii="Times New Roman" w:hAnsi="Times New Roman" w:eastAsia="Times New Roman"/>
          <w:lang w:eastAsia="zh-CN"/>
        </w:rPr>
      </w:pPr>
      <w:r>
        <w:rPr>
          <w:rFonts w:ascii="Times New Roman" w:hAnsi="Times New Roman" w:eastAsia="Times New Roman"/>
          <w:lang w:eastAsia="zh-CN"/>
        </w:rPr>
        <w:t>Знания о легкой атлетике.</w:t>
      </w:r>
    </w:p>
    <w:p w14:paraId="7790D94D">
      <w:pPr>
        <w:pBdr>
          <w:top w:val="none" w:color="000000" w:sz="0" w:space="0"/>
          <w:left w:val="none" w:color="000000" w:sz="0" w:space="0"/>
          <w:bottom w:val="none" w:color="000000" w:sz="0" w:space="0"/>
          <w:right w:val="none" w:color="000000" w:sz="0" w:space="0"/>
        </w:pBdr>
        <w:suppressAutoHyphens/>
        <w:autoSpaceDE w:val="0"/>
        <w:spacing w:after="0" w:line="360" w:lineRule="auto"/>
        <w:ind w:firstLine="709"/>
        <w:jc w:val="both"/>
        <w:rPr>
          <w:rFonts w:ascii="Times New Roman" w:hAnsi="Times New Roman"/>
          <w:lang w:eastAsia="zh-CN"/>
        </w:rPr>
      </w:pPr>
      <w:r>
        <w:rPr>
          <w:rFonts w:ascii="Times New Roman" w:hAnsi="Times New Roman"/>
        </w:rPr>
        <w:t xml:space="preserve">Простейшие сведения из истории </w:t>
      </w:r>
      <w:r>
        <w:rPr>
          <w:rFonts w:ascii="Times New Roman" w:hAnsi="Times New Roman"/>
          <w:lang w:eastAsia="zh-CN"/>
        </w:rPr>
        <w:t>возникновения и развития легкой атлетики.</w:t>
      </w:r>
    </w:p>
    <w:p w14:paraId="3B3E5052">
      <w:pPr>
        <w:pBdr>
          <w:top w:val="none" w:color="000000" w:sz="0" w:space="0"/>
          <w:left w:val="none" w:color="000000" w:sz="0" w:space="0"/>
          <w:bottom w:val="none" w:color="000000" w:sz="0" w:space="0"/>
          <w:right w:val="none" w:color="000000" w:sz="0" w:space="0"/>
        </w:pBdr>
        <w:suppressAutoHyphens/>
        <w:spacing w:after="0" w:line="360" w:lineRule="auto"/>
        <w:ind w:firstLine="709"/>
        <w:jc w:val="both"/>
        <w:rPr>
          <w:rFonts w:ascii="Times New Roman" w:hAnsi="Times New Roman" w:eastAsia="Times New Roman"/>
          <w:lang w:eastAsia="zh-CN"/>
        </w:rPr>
      </w:pPr>
      <w:r>
        <w:rPr>
          <w:rFonts w:ascii="Times New Roman" w:hAnsi="Times New Roman" w:eastAsia="Times New Roman"/>
          <w:lang w:eastAsia="zh-CN"/>
        </w:rPr>
        <w:t>Виды легкой атлетики (бег, прыжки, метания, спортивная ходьба).</w:t>
      </w:r>
    </w:p>
    <w:p w14:paraId="7CBD1E73">
      <w:pPr>
        <w:pBdr>
          <w:top w:val="none" w:color="000000" w:sz="0" w:space="0"/>
          <w:left w:val="none" w:color="000000" w:sz="0" w:space="0"/>
          <w:bottom w:val="none" w:color="000000" w:sz="0" w:space="0"/>
          <w:right w:val="none" w:color="000000" w:sz="0" w:space="0"/>
        </w:pBdr>
        <w:suppressAutoHyphens/>
        <w:spacing w:after="0" w:line="360" w:lineRule="auto"/>
        <w:ind w:firstLine="709"/>
        <w:jc w:val="both"/>
        <w:rPr>
          <w:rFonts w:ascii="Times New Roman" w:hAnsi="Times New Roman"/>
          <w:lang w:eastAsia="zh-CN"/>
        </w:rPr>
      </w:pPr>
      <w:r>
        <w:rPr>
          <w:rFonts w:ascii="Times New Roman" w:hAnsi="Times New Roman"/>
          <w:lang w:eastAsia="zh-CN"/>
        </w:rPr>
        <w:t>Простейшие правила проведения соревнований по легкой атлетике (бег, прыжки, метания).</w:t>
      </w:r>
    </w:p>
    <w:p w14:paraId="22BB1401">
      <w:pPr>
        <w:pBdr>
          <w:top w:val="none" w:color="000000" w:sz="0" w:space="0"/>
          <w:left w:val="none" w:color="000000" w:sz="0" w:space="0"/>
          <w:bottom w:val="none" w:color="000000" w:sz="0" w:space="0"/>
          <w:right w:val="none" w:color="000000" w:sz="0" w:space="0"/>
        </w:pBdr>
        <w:shd w:val="clear" w:color="auto" w:fill="FFFFFF"/>
        <w:tabs>
          <w:tab w:val="left" w:pos="571"/>
        </w:tabs>
        <w:suppressAutoHyphens/>
        <w:autoSpaceDE w:val="0"/>
        <w:spacing w:after="0" w:line="360" w:lineRule="auto"/>
        <w:ind w:firstLine="709"/>
        <w:jc w:val="both"/>
        <w:rPr>
          <w:rFonts w:ascii="Times New Roman" w:hAnsi="Times New Roman"/>
          <w:spacing w:val="1"/>
          <w:lang w:eastAsia="zh-CN"/>
        </w:rPr>
      </w:pPr>
      <w:r>
        <w:rPr>
          <w:rFonts w:ascii="Times New Roman" w:hAnsi="Times New Roman"/>
          <w:spacing w:val="1"/>
          <w:lang w:eastAsia="zh-CN"/>
        </w:rPr>
        <w:t>Игры и развлечения при проведении занятий по легкой атлетике.</w:t>
      </w:r>
    </w:p>
    <w:p w14:paraId="74B0247C">
      <w:pPr>
        <w:pBdr>
          <w:top w:val="none" w:color="000000" w:sz="0" w:space="0"/>
          <w:left w:val="none" w:color="000000" w:sz="0" w:space="0"/>
          <w:bottom w:val="none" w:color="000000" w:sz="0" w:space="0"/>
          <w:right w:val="none" w:color="000000" w:sz="0" w:space="0"/>
        </w:pBdr>
        <w:shd w:val="clear" w:color="auto" w:fill="FFFFFF"/>
        <w:tabs>
          <w:tab w:val="left" w:pos="571"/>
        </w:tabs>
        <w:suppressAutoHyphens/>
        <w:autoSpaceDE w:val="0"/>
        <w:spacing w:after="0" w:line="360" w:lineRule="auto"/>
        <w:ind w:firstLine="709"/>
        <w:jc w:val="both"/>
        <w:rPr>
          <w:rFonts w:ascii="Times New Roman" w:hAnsi="Times New Roman"/>
          <w:lang w:eastAsia="zh-CN"/>
        </w:rPr>
      </w:pPr>
      <w:r>
        <w:rPr>
          <w:rFonts w:ascii="Times New Roman" w:hAnsi="Times New Roman"/>
          <w:lang w:eastAsia="zh-CN"/>
        </w:rPr>
        <w:t>Словарь терминов и определений по легкой атлетике.</w:t>
      </w:r>
    </w:p>
    <w:p w14:paraId="2AE9519F">
      <w:pPr>
        <w:pBdr>
          <w:top w:val="none" w:color="000000" w:sz="0" w:space="0"/>
          <w:left w:val="none" w:color="000000" w:sz="0" w:space="0"/>
          <w:bottom w:val="none" w:color="000000" w:sz="0" w:space="0"/>
          <w:right w:val="none" w:color="000000" w:sz="0" w:space="0"/>
        </w:pBdr>
        <w:suppressAutoHyphens/>
        <w:spacing w:after="0" w:line="360" w:lineRule="auto"/>
        <w:ind w:firstLine="709"/>
        <w:jc w:val="both"/>
        <w:rPr>
          <w:rFonts w:ascii="Times New Roman" w:hAnsi="Times New Roman"/>
          <w:lang w:eastAsia="zh-CN"/>
        </w:rPr>
      </w:pPr>
      <w:r>
        <w:rPr>
          <w:rFonts w:ascii="Times New Roman" w:hAnsi="Times New Roman"/>
          <w:lang w:eastAsia="zh-CN"/>
        </w:rPr>
        <w:t xml:space="preserve">Общие сведения о размерах стадиона и легкоатлетического манежа. </w:t>
      </w:r>
    </w:p>
    <w:p w14:paraId="59135FC7">
      <w:pPr>
        <w:pBdr>
          <w:top w:val="none" w:color="000000" w:sz="0" w:space="0"/>
          <w:left w:val="none" w:color="000000" w:sz="0" w:space="0"/>
          <w:bottom w:val="none" w:color="000000" w:sz="0" w:space="0"/>
          <w:right w:val="none" w:color="000000" w:sz="0" w:space="0"/>
        </w:pBdr>
        <w:suppressAutoHyphens/>
        <w:spacing w:after="0" w:line="360" w:lineRule="auto"/>
        <w:ind w:firstLine="709"/>
        <w:jc w:val="both"/>
        <w:rPr>
          <w:rFonts w:ascii="Times New Roman" w:hAnsi="Times New Roman"/>
          <w:lang w:eastAsia="zh-CN"/>
        </w:rPr>
      </w:pPr>
      <w:r>
        <w:rPr>
          <w:rFonts w:ascii="Times New Roman" w:hAnsi="Times New Roman"/>
          <w:lang w:eastAsia="zh-CN"/>
        </w:rPr>
        <w:t>Занятия легкой атлетикой (бегом) как средство укрепления здоровья, закаливания организма человека и развития физических качеств.</w:t>
      </w:r>
    </w:p>
    <w:p w14:paraId="5ADEFFC9">
      <w:pPr>
        <w:pBdr>
          <w:top w:val="none" w:color="000000" w:sz="0" w:space="0"/>
          <w:left w:val="none" w:color="000000" w:sz="0" w:space="0"/>
          <w:bottom w:val="none" w:color="000000" w:sz="0" w:space="0"/>
          <w:right w:val="none" w:color="000000" w:sz="0" w:space="0"/>
        </w:pBdr>
        <w:suppressAutoHyphens/>
        <w:autoSpaceDE w:val="0"/>
        <w:spacing w:after="0" w:line="360" w:lineRule="auto"/>
        <w:ind w:firstLine="709"/>
        <w:jc w:val="both"/>
        <w:rPr>
          <w:rFonts w:ascii="Times New Roman" w:hAnsi="Times New Roman"/>
          <w:lang w:eastAsia="zh-CN"/>
        </w:rPr>
      </w:pPr>
      <w:r>
        <w:rPr>
          <w:rFonts w:ascii="Times New Roman" w:hAnsi="Times New Roman" w:eastAsia="Times New Roman"/>
          <w:lang w:eastAsia="zh-CN"/>
        </w:rPr>
        <w:t>Режим дня при занятиях легкой атлетикой.</w:t>
      </w:r>
    </w:p>
    <w:p w14:paraId="519AC725">
      <w:pPr>
        <w:pBdr>
          <w:top w:val="none" w:color="000000" w:sz="0" w:space="0"/>
          <w:left w:val="none" w:color="000000" w:sz="0" w:space="0"/>
          <w:bottom w:val="none" w:color="000000" w:sz="0" w:space="0"/>
          <w:right w:val="none" w:color="000000" w:sz="0" w:space="0"/>
        </w:pBdr>
        <w:suppressAutoHyphens/>
        <w:spacing w:after="0" w:line="360" w:lineRule="auto"/>
        <w:ind w:firstLine="709"/>
        <w:jc w:val="both"/>
        <w:rPr>
          <w:rFonts w:ascii="Times New Roman" w:hAnsi="Times New Roman"/>
          <w:lang w:eastAsia="zh-CN"/>
        </w:rPr>
      </w:pPr>
      <w:r>
        <w:rPr>
          <w:rFonts w:ascii="Times New Roman" w:hAnsi="Times New Roman" w:eastAsia="Times New Roman"/>
          <w:lang w:eastAsia="zh-CN"/>
        </w:rPr>
        <w:t>Правила личной гигиены во время занятий легкой атлетикой.</w:t>
      </w:r>
    </w:p>
    <w:p w14:paraId="1F938093">
      <w:pPr>
        <w:pBdr>
          <w:top w:val="none" w:color="000000" w:sz="0" w:space="0"/>
          <w:left w:val="none" w:color="000000" w:sz="0" w:space="0"/>
          <w:bottom w:val="none" w:color="000000" w:sz="0" w:space="0"/>
          <w:right w:val="none" w:color="000000" w:sz="0" w:space="0"/>
        </w:pBdr>
        <w:suppressAutoHyphens/>
        <w:autoSpaceDE w:val="0"/>
        <w:spacing w:after="0" w:line="360" w:lineRule="auto"/>
        <w:ind w:firstLine="709"/>
        <w:jc w:val="both"/>
        <w:rPr>
          <w:rFonts w:ascii="Times New Roman" w:hAnsi="Times New Roman"/>
          <w:lang w:eastAsia="zh-CN"/>
        </w:rPr>
      </w:pPr>
      <w:r>
        <w:rPr>
          <w:rFonts w:ascii="Times New Roman" w:hAnsi="Times New Roman"/>
          <w:lang w:eastAsia="zh-CN"/>
        </w:rPr>
        <w:t>Правила безопасного поведения при занятиях легкой атлетикой на стадионе, в легкоатлетическом манеже (спортивном зале) и на местности.</w:t>
      </w:r>
    </w:p>
    <w:p w14:paraId="147F5BD6">
      <w:pPr>
        <w:pBdr>
          <w:top w:val="none" w:color="000000" w:sz="0" w:space="0"/>
          <w:left w:val="none" w:color="000000" w:sz="0" w:space="0"/>
          <w:bottom w:val="none" w:color="000000" w:sz="0" w:space="0"/>
          <w:right w:val="none" w:color="000000" w:sz="0" w:space="0"/>
        </w:pBdr>
        <w:shd w:val="clear" w:color="auto" w:fill="FFFFFF"/>
        <w:tabs>
          <w:tab w:val="left" w:pos="571"/>
        </w:tabs>
        <w:suppressAutoHyphens/>
        <w:autoSpaceDE w:val="0"/>
        <w:spacing w:after="0" w:line="360" w:lineRule="auto"/>
        <w:ind w:firstLine="709"/>
        <w:jc w:val="both"/>
        <w:rPr>
          <w:rFonts w:ascii="Times New Roman" w:hAnsi="Times New Roman"/>
          <w:lang w:eastAsia="zh-CN"/>
        </w:rPr>
      </w:pPr>
      <w:r>
        <w:rPr>
          <w:rFonts w:ascii="Times New Roman" w:hAnsi="Times New Roman" w:eastAsia="Times New Roman"/>
          <w:lang w:eastAsia="zh-CN"/>
        </w:rPr>
        <w:t>Форма одежды для занятий различными видами легкой атлетики.</w:t>
      </w:r>
    </w:p>
    <w:p w14:paraId="154513B2">
      <w:pPr>
        <w:pBdr>
          <w:top w:val="none" w:color="000000" w:sz="0" w:space="0"/>
          <w:left w:val="none" w:color="000000" w:sz="0" w:space="0"/>
          <w:bottom w:val="none" w:color="000000" w:sz="0" w:space="0"/>
          <w:right w:val="none" w:color="000000" w:sz="0" w:space="0"/>
        </w:pBdr>
        <w:suppressAutoHyphens/>
        <w:spacing w:after="0" w:line="360" w:lineRule="auto"/>
        <w:ind w:firstLine="709"/>
        <w:jc w:val="both"/>
        <w:rPr>
          <w:rFonts w:ascii="Times New Roman" w:hAnsi="Times New Roman" w:eastAsia="Times New Roman"/>
          <w:lang w:eastAsia="zh-CN"/>
        </w:rPr>
      </w:pPr>
      <w:r>
        <w:rPr>
          <w:rFonts w:ascii="Times New Roman" w:hAnsi="Times New Roman" w:eastAsia="Times New Roman"/>
          <w:lang w:eastAsia="zh-CN"/>
        </w:rPr>
        <w:t>Способы самостоятельной деятельности.</w:t>
      </w:r>
    </w:p>
    <w:p w14:paraId="6E069980">
      <w:pPr>
        <w:pBdr>
          <w:top w:val="none" w:color="000000" w:sz="0" w:space="0"/>
          <w:left w:val="none" w:color="000000" w:sz="0" w:space="0"/>
          <w:bottom w:val="none" w:color="000000" w:sz="0" w:space="0"/>
          <w:right w:val="none" w:color="000000" w:sz="0" w:space="0"/>
        </w:pBdr>
        <w:tabs>
          <w:tab w:val="left" w:pos="9532"/>
        </w:tabs>
        <w:suppressAutoHyphens/>
        <w:spacing w:after="0" w:line="360" w:lineRule="auto"/>
        <w:ind w:firstLine="709"/>
        <w:jc w:val="both"/>
        <w:rPr>
          <w:rFonts w:ascii="Times New Roman" w:hAnsi="Times New Roman"/>
          <w:lang w:eastAsia="zh-CN"/>
        </w:rPr>
      </w:pPr>
      <w:r>
        <w:rPr>
          <w:rFonts w:ascii="Times New Roman" w:hAnsi="Times New Roman"/>
          <w:lang w:eastAsia="zh-CN"/>
        </w:rPr>
        <w:t>Первые внешние признаки утомления во время занятий легкой атлетикой. Способы самоконтроля за физической нагрузкой.</w:t>
      </w:r>
    </w:p>
    <w:p w14:paraId="4C319784">
      <w:pPr>
        <w:pBdr>
          <w:top w:val="none" w:color="000000" w:sz="0" w:space="0"/>
          <w:left w:val="none" w:color="000000" w:sz="0" w:space="0"/>
          <w:bottom w:val="none" w:color="000000" w:sz="0" w:space="0"/>
          <w:right w:val="none" w:color="000000" w:sz="0" w:space="0"/>
        </w:pBdr>
        <w:suppressAutoHyphens/>
        <w:spacing w:after="0" w:line="360" w:lineRule="auto"/>
        <w:ind w:firstLine="709"/>
        <w:contextualSpacing/>
        <w:jc w:val="both"/>
        <w:rPr>
          <w:rFonts w:ascii="Times New Roman" w:hAnsi="Times New Roman"/>
          <w:lang w:eastAsia="zh-CN"/>
        </w:rPr>
      </w:pPr>
      <w:r>
        <w:rPr>
          <w:rFonts w:ascii="Times New Roman" w:hAnsi="Times New Roman"/>
          <w:lang w:eastAsia="zh-CN"/>
        </w:rPr>
        <w:t>Правила личной гигиены, требования к спортивной одежде (легкоатлетической экипировки) для занятий различными видами легкой атлетики.</w:t>
      </w:r>
    </w:p>
    <w:p w14:paraId="2ACBA9CD">
      <w:pPr>
        <w:pBdr>
          <w:top w:val="none" w:color="000000" w:sz="0" w:space="0"/>
          <w:left w:val="none" w:color="000000" w:sz="0" w:space="0"/>
          <w:bottom w:val="none" w:color="000000" w:sz="0" w:space="0"/>
          <w:right w:val="none" w:color="000000" w:sz="0" w:space="0"/>
        </w:pBdr>
        <w:suppressAutoHyphens/>
        <w:spacing w:after="0" w:line="360" w:lineRule="auto"/>
        <w:ind w:firstLine="709"/>
        <w:contextualSpacing/>
        <w:jc w:val="both"/>
        <w:rPr>
          <w:rFonts w:ascii="Times New Roman" w:hAnsi="Times New Roman"/>
          <w:lang w:eastAsia="zh-CN"/>
        </w:rPr>
      </w:pPr>
      <w:r>
        <w:rPr>
          <w:rFonts w:ascii="Times New Roman" w:hAnsi="Times New Roman"/>
          <w:lang w:eastAsia="zh-CN"/>
        </w:rPr>
        <w:t>Режим дня юного легкоатлета.</w:t>
      </w:r>
    </w:p>
    <w:p w14:paraId="248D3046">
      <w:pPr>
        <w:pBdr>
          <w:top w:val="none" w:color="000000" w:sz="0" w:space="0"/>
          <w:left w:val="none" w:color="000000" w:sz="0" w:space="0"/>
          <w:bottom w:val="none" w:color="000000" w:sz="0" w:space="0"/>
          <w:right w:val="none" w:color="000000" w:sz="0" w:space="0"/>
        </w:pBdr>
        <w:suppressAutoHyphens/>
        <w:spacing w:after="0" w:line="360" w:lineRule="auto"/>
        <w:ind w:firstLine="709"/>
        <w:jc w:val="both"/>
        <w:rPr>
          <w:rFonts w:ascii="Times New Roman" w:hAnsi="Times New Roman"/>
          <w:lang w:eastAsia="zh-CN"/>
        </w:rPr>
      </w:pPr>
      <w:r>
        <w:rPr>
          <w:rFonts w:ascii="Times New Roman" w:hAnsi="Times New Roman"/>
          <w:lang w:eastAsia="zh-CN"/>
        </w:rPr>
        <w:t>Выбор и подготовка места для занятий легкой атлетикой на стадионе, вне стадиона, в легкоатлетическом манеже (спортивном зале).</w:t>
      </w:r>
    </w:p>
    <w:p w14:paraId="27C7A106">
      <w:pPr>
        <w:pBdr>
          <w:top w:val="none" w:color="000000" w:sz="0" w:space="0"/>
          <w:left w:val="none" w:color="000000" w:sz="0" w:space="0"/>
          <w:bottom w:val="none" w:color="000000" w:sz="0" w:space="0"/>
          <w:right w:val="none" w:color="000000" w:sz="0" w:space="0"/>
        </w:pBdr>
        <w:suppressAutoHyphens/>
        <w:spacing w:after="0" w:line="360" w:lineRule="auto"/>
        <w:ind w:firstLine="709"/>
        <w:jc w:val="both"/>
        <w:rPr>
          <w:rFonts w:ascii="Times New Roman" w:hAnsi="Times New Roman"/>
          <w:lang w:eastAsia="zh-CN"/>
        </w:rPr>
      </w:pPr>
      <w:r>
        <w:rPr>
          <w:rFonts w:ascii="Times New Roman" w:hAnsi="Times New Roman"/>
          <w:lang w:eastAsia="zh-CN"/>
        </w:rPr>
        <w:t>Правила использования спортивного инвентаря для занятий различными видами легкой атлетики.</w:t>
      </w:r>
    </w:p>
    <w:p w14:paraId="47FCC251">
      <w:pPr>
        <w:pBdr>
          <w:top w:val="none" w:color="000000" w:sz="0" w:space="0"/>
          <w:left w:val="none" w:color="000000" w:sz="0" w:space="0"/>
          <w:bottom w:val="none" w:color="000000" w:sz="0" w:space="0"/>
          <w:right w:val="none" w:color="000000" w:sz="0" w:space="0"/>
        </w:pBdr>
        <w:suppressAutoHyphens/>
        <w:spacing w:after="0" w:line="360" w:lineRule="auto"/>
        <w:ind w:firstLine="709"/>
        <w:jc w:val="both"/>
        <w:rPr>
          <w:rFonts w:ascii="Times New Roman" w:hAnsi="Times New Roman"/>
          <w:lang w:eastAsia="zh-CN"/>
        </w:rPr>
      </w:pPr>
      <w:r>
        <w:rPr>
          <w:rFonts w:ascii="Times New Roman" w:hAnsi="Times New Roman" w:eastAsia="Times New Roman"/>
          <w:lang w:eastAsia="zh-CN"/>
        </w:rPr>
        <w:t xml:space="preserve">Подбор и составление комплексов </w:t>
      </w:r>
      <w:r>
        <w:rPr>
          <w:rFonts w:ascii="Times New Roman" w:hAnsi="Times New Roman"/>
          <w:lang w:eastAsia="zh-CN"/>
        </w:rPr>
        <w:t xml:space="preserve">общеразвивающих, специальных и имитационных </w:t>
      </w:r>
      <w:r>
        <w:rPr>
          <w:rFonts w:ascii="Times New Roman" w:hAnsi="Times New Roman" w:eastAsia="Times New Roman"/>
          <w:lang w:eastAsia="zh-CN"/>
        </w:rPr>
        <w:t xml:space="preserve">упражнений </w:t>
      </w:r>
      <w:r>
        <w:rPr>
          <w:rFonts w:ascii="Times New Roman" w:hAnsi="Times New Roman"/>
          <w:lang w:eastAsia="zh-CN"/>
        </w:rPr>
        <w:t>для занятий различными видами легкой атлетики.</w:t>
      </w:r>
    </w:p>
    <w:p w14:paraId="2A7BA9C5">
      <w:pPr>
        <w:pBdr>
          <w:top w:val="none" w:color="000000" w:sz="0" w:space="0"/>
          <w:left w:val="none" w:color="000000" w:sz="0" w:space="0"/>
          <w:bottom w:val="none" w:color="000000" w:sz="0" w:space="0"/>
          <w:right w:val="none" w:color="000000" w:sz="0" w:space="0"/>
        </w:pBdr>
        <w:suppressAutoHyphens/>
        <w:spacing w:after="0" w:line="360" w:lineRule="auto"/>
        <w:ind w:firstLine="709"/>
        <w:jc w:val="both"/>
        <w:rPr>
          <w:rFonts w:ascii="Times New Roman" w:hAnsi="Times New Roman"/>
          <w:lang w:eastAsia="zh-CN"/>
        </w:rPr>
      </w:pPr>
      <w:r>
        <w:rPr>
          <w:rFonts w:ascii="Times New Roman" w:hAnsi="Times New Roman"/>
          <w:lang w:eastAsia="zh-CN"/>
        </w:rPr>
        <w:t>Организация и проведение подвижных игр с элементами бега, прыжков и метаний во время активного отдыха и каникул.</w:t>
      </w:r>
    </w:p>
    <w:p w14:paraId="536C8D74">
      <w:pPr>
        <w:pBdr>
          <w:top w:val="none" w:color="000000" w:sz="0" w:space="0"/>
          <w:left w:val="none" w:color="000000" w:sz="0" w:space="0"/>
          <w:bottom w:val="none" w:color="000000" w:sz="0" w:space="0"/>
          <w:right w:val="none" w:color="000000" w:sz="0" w:space="0"/>
        </w:pBdr>
        <w:suppressAutoHyphens/>
        <w:spacing w:after="0" w:line="360" w:lineRule="auto"/>
        <w:ind w:firstLine="709"/>
        <w:jc w:val="both"/>
        <w:rPr>
          <w:rFonts w:ascii="Times New Roman" w:hAnsi="Times New Roman"/>
          <w:lang w:eastAsia="zh-CN"/>
        </w:rPr>
      </w:pPr>
      <w:r>
        <w:rPr>
          <w:rFonts w:ascii="Times New Roman" w:hAnsi="Times New Roman"/>
          <w:lang w:eastAsia="zh-CN"/>
        </w:rPr>
        <w:t>Тестирование уровня физической подготовленности в беге, прыжках и метаниях.</w:t>
      </w:r>
    </w:p>
    <w:p w14:paraId="5D5708E8">
      <w:pPr>
        <w:pBdr>
          <w:top w:val="none" w:color="000000" w:sz="0" w:space="0"/>
          <w:left w:val="none" w:color="000000" w:sz="0" w:space="0"/>
          <w:bottom w:val="none" w:color="000000" w:sz="0" w:space="0"/>
          <w:right w:val="none" w:color="000000" w:sz="0" w:space="0"/>
        </w:pBdr>
        <w:suppressAutoHyphens/>
        <w:spacing w:after="0" w:line="360" w:lineRule="auto"/>
        <w:ind w:firstLine="709"/>
        <w:jc w:val="both"/>
        <w:rPr>
          <w:rFonts w:ascii="Times New Roman" w:hAnsi="Times New Roman" w:eastAsia="Times New Roman"/>
          <w:lang w:eastAsia="zh-CN"/>
        </w:rPr>
      </w:pPr>
      <w:r>
        <w:rPr>
          <w:rFonts w:ascii="Times New Roman" w:hAnsi="Times New Roman" w:eastAsia="Times New Roman"/>
          <w:lang w:eastAsia="zh-CN"/>
        </w:rPr>
        <w:t>Физическое совершенствование.</w:t>
      </w:r>
    </w:p>
    <w:p w14:paraId="1F48607E">
      <w:pPr>
        <w:pBdr>
          <w:top w:val="none" w:color="000000" w:sz="0" w:space="0"/>
          <w:left w:val="none" w:color="000000" w:sz="0" w:space="0"/>
          <w:bottom w:val="none" w:color="000000" w:sz="0" w:space="0"/>
          <w:right w:val="none" w:color="000000" w:sz="0" w:space="0"/>
        </w:pBdr>
        <w:shd w:val="clear" w:color="auto" w:fill="FFFFFF"/>
        <w:tabs>
          <w:tab w:val="left" w:pos="571"/>
        </w:tabs>
        <w:suppressAutoHyphens/>
        <w:autoSpaceDE w:val="0"/>
        <w:spacing w:after="0" w:line="360" w:lineRule="auto"/>
        <w:ind w:firstLine="709"/>
        <w:jc w:val="both"/>
        <w:rPr>
          <w:rFonts w:ascii="Times New Roman" w:hAnsi="Times New Roman"/>
          <w:lang w:eastAsia="zh-CN"/>
        </w:rPr>
      </w:pPr>
      <w:r>
        <w:rPr>
          <w:rFonts w:ascii="Times New Roman" w:hAnsi="Times New Roman"/>
          <w:lang w:eastAsia="zh-CN"/>
        </w:rPr>
        <w:t>Общеразвивающие, специальные и имитационные упражнения в различных видах легкой атлетики.</w:t>
      </w:r>
    </w:p>
    <w:p w14:paraId="3D4A32B8">
      <w:pPr>
        <w:pBdr>
          <w:top w:val="none" w:color="000000" w:sz="0" w:space="0"/>
          <w:left w:val="none" w:color="000000" w:sz="0" w:space="0"/>
          <w:bottom w:val="none" w:color="000000" w:sz="0" w:space="0"/>
          <w:right w:val="none" w:color="000000" w:sz="0" w:space="0"/>
        </w:pBdr>
        <w:suppressAutoHyphens/>
        <w:spacing w:after="0" w:line="360" w:lineRule="auto"/>
        <w:ind w:firstLine="709"/>
        <w:jc w:val="both"/>
        <w:rPr>
          <w:rFonts w:ascii="Times New Roman" w:hAnsi="Times New Roman"/>
          <w:lang w:eastAsia="zh-CN"/>
        </w:rPr>
      </w:pPr>
      <w:r>
        <w:rPr>
          <w:rFonts w:ascii="Times New Roman" w:hAnsi="Times New Roman"/>
          <w:spacing w:val="2"/>
          <w:lang w:eastAsia="zh-CN"/>
        </w:rPr>
        <w:t>Упражнения</w:t>
      </w:r>
      <w:r>
        <w:rPr>
          <w:rFonts w:ascii="Times New Roman" w:hAnsi="Times New Roman"/>
          <w:lang w:eastAsia="zh-CN"/>
        </w:rPr>
        <w:t xml:space="preserve"> на развитие физических качеств, характерных для различных видов легкой атлетики.</w:t>
      </w:r>
    </w:p>
    <w:p w14:paraId="15C22B2A">
      <w:pPr>
        <w:pBdr>
          <w:top w:val="none" w:color="000000" w:sz="0" w:space="0"/>
          <w:left w:val="none" w:color="000000" w:sz="0" w:space="0"/>
          <w:bottom w:val="none" w:color="000000" w:sz="0" w:space="0"/>
          <w:right w:val="none" w:color="000000" w:sz="0" w:space="0"/>
        </w:pBdr>
        <w:suppressAutoHyphens/>
        <w:spacing w:after="0" w:line="360" w:lineRule="auto"/>
        <w:ind w:firstLine="709"/>
        <w:jc w:val="both"/>
        <w:rPr>
          <w:rFonts w:ascii="Times New Roman" w:hAnsi="Times New Roman" w:eastAsia="Times New Roman"/>
          <w:lang w:eastAsia="zh-CN"/>
        </w:rPr>
      </w:pPr>
      <w:r>
        <w:rPr>
          <w:rFonts w:ascii="Times New Roman" w:hAnsi="Times New Roman" w:eastAsia="Times New Roman"/>
          <w:lang w:eastAsia="zh-CN"/>
        </w:rPr>
        <w:t>Подвижные игры с элементами различных видов легкой атлетики (на стадионе, в легкоатлетическом манеже (спортивном зале):</w:t>
      </w:r>
    </w:p>
    <w:p w14:paraId="576E4B35">
      <w:pPr>
        <w:pBdr>
          <w:top w:val="none" w:color="000000" w:sz="0" w:space="0"/>
          <w:left w:val="none" w:color="000000" w:sz="0" w:space="0"/>
          <w:bottom w:val="none" w:color="000000" w:sz="0" w:space="0"/>
          <w:right w:val="none" w:color="000000" w:sz="0" w:space="0"/>
        </w:pBdr>
        <w:suppressAutoHyphens/>
        <w:spacing w:after="0" w:line="360" w:lineRule="auto"/>
        <w:ind w:firstLine="709"/>
        <w:jc w:val="both"/>
        <w:rPr>
          <w:rFonts w:ascii="Times New Roman" w:hAnsi="Times New Roman" w:eastAsia="Times New Roman"/>
          <w:lang w:eastAsia="zh-CN"/>
        </w:rPr>
      </w:pPr>
      <w:r>
        <w:rPr>
          <w:rFonts w:ascii="Times New Roman" w:hAnsi="Times New Roman" w:eastAsia="Times New Roman"/>
          <w:lang w:eastAsia="zh-CN"/>
        </w:rPr>
        <w:t>игры, включающие элемент соревнования и не имеющие сюжета;</w:t>
      </w:r>
    </w:p>
    <w:p w14:paraId="5AA44CBF">
      <w:pPr>
        <w:pBdr>
          <w:top w:val="none" w:color="000000" w:sz="0" w:space="0"/>
          <w:left w:val="none" w:color="000000" w:sz="0" w:space="0"/>
          <w:bottom w:val="none" w:color="000000" w:sz="0" w:space="0"/>
          <w:right w:val="none" w:color="000000" w:sz="0" w:space="0"/>
        </w:pBdr>
        <w:suppressAutoHyphens/>
        <w:spacing w:after="0" w:line="360" w:lineRule="auto"/>
        <w:ind w:firstLine="709"/>
        <w:jc w:val="both"/>
        <w:rPr>
          <w:rFonts w:ascii="Times New Roman" w:hAnsi="Times New Roman" w:eastAsia="Times New Roman"/>
          <w:lang w:eastAsia="zh-CN"/>
        </w:rPr>
      </w:pPr>
      <w:r>
        <w:rPr>
          <w:rFonts w:ascii="Times New Roman" w:hAnsi="Times New Roman" w:eastAsia="Times New Roman"/>
          <w:lang w:eastAsia="zh-CN"/>
        </w:rPr>
        <w:t>игры сюжетного характера;</w:t>
      </w:r>
    </w:p>
    <w:p w14:paraId="3F229E3B">
      <w:pPr>
        <w:pBdr>
          <w:top w:val="none" w:color="000000" w:sz="0" w:space="0"/>
          <w:left w:val="none" w:color="000000" w:sz="0" w:space="0"/>
          <w:bottom w:val="none" w:color="000000" w:sz="0" w:space="0"/>
          <w:right w:val="none" w:color="000000" w:sz="0" w:space="0"/>
        </w:pBdr>
        <w:suppressAutoHyphens/>
        <w:spacing w:after="0" w:line="360" w:lineRule="auto"/>
        <w:ind w:firstLine="709"/>
        <w:jc w:val="both"/>
        <w:rPr>
          <w:rFonts w:ascii="Times New Roman" w:hAnsi="Times New Roman" w:eastAsia="Times New Roman"/>
          <w:lang w:eastAsia="zh-CN"/>
        </w:rPr>
      </w:pPr>
      <w:r>
        <w:rPr>
          <w:rFonts w:ascii="Times New Roman" w:hAnsi="Times New Roman" w:eastAsia="Times New Roman"/>
          <w:lang w:eastAsia="zh-CN"/>
        </w:rPr>
        <w:t>командные игры;</w:t>
      </w:r>
    </w:p>
    <w:p w14:paraId="1DDDD760">
      <w:pPr>
        <w:pBdr>
          <w:top w:val="none" w:color="000000" w:sz="0" w:space="0"/>
          <w:left w:val="none" w:color="000000" w:sz="0" w:space="0"/>
          <w:bottom w:val="none" w:color="000000" w:sz="0" w:space="0"/>
          <w:right w:val="none" w:color="000000" w:sz="0" w:space="0"/>
        </w:pBdr>
        <w:suppressAutoHyphens/>
        <w:spacing w:after="0" w:line="360" w:lineRule="auto"/>
        <w:ind w:firstLine="709"/>
        <w:jc w:val="both"/>
        <w:rPr>
          <w:rFonts w:ascii="Times New Roman" w:hAnsi="Times New Roman" w:eastAsia="Times New Roman"/>
          <w:lang w:eastAsia="zh-CN"/>
        </w:rPr>
      </w:pPr>
      <w:r>
        <w:rPr>
          <w:rFonts w:ascii="Times New Roman" w:hAnsi="Times New Roman" w:eastAsia="Times New Roman"/>
          <w:lang w:eastAsia="zh-CN"/>
        </w:rPr>
        <w:t>беговые эстафеты;</w:t>
      </w:r>
    </w:p>
    <w:p w14:paraId="2CE39774">
      <w:pPr>
        <w:pBdr>
          <w:top w:val="none" w:color="000000" w:sz="0" w:space="0"/>
          <w:left w:val="none" w:color="000000" w:sz="0" w:space="0"/>
          <w:bottom w:val="none" w:color="000000" w:sz="0" w:space="0"/>
          <w:right w:val="none" w:color="000000" w:sz="0" w:space="0"/>
        </w:pBdr>
        <w:suppressAutoHyphens/>
        <w:spacing w:after="0" w:line="360" w:lineRule="auto"/>
        <w:ind w:firstLine="709"/>
        <w:jc w:val="both"/>
        <w:rPr>
          <w:rFonts w:ascii="Times New Roman" w:hAnsi="Times New Roman" w:eastAsia="Times New Roman"/>
          <w:lang w:eastAsia="zh-CN"/>
        </w:rPr>
      </w:pPr>
      <w:r>
        <w:rPr>
          <w:rFonts w:ascii="Times New Roman" w:hAnsi="Times New Roman" w:eastAsia="Times New Roman"/>
          <w:lang w:eastAsia="zh-CN"/>
        </w:rPr>
        <w:t>сочетание беговых и прыжковых дисциплин;</w:t>
      </w:r>
    </w:p>
    <w:p w14:paraId="2C92B001">
      <w:pPr>
        <w:pBdr>
          <w:top w:val="none" w:color="000000" w:sz="0" w:space="0"/>
          <w:left w:val="none" w:color="000000" w:sz="0" w:space="0"/>
          <w:bottom w:val="none" w:color="000000" w:sz="0" w:space="0"/>
          <w:right w:val="none" w:color="000000" w:sz="0" w:space="0"/>
        </w:pBdr>
        <w:suppressAutoHyphens/>
        <w:spacing w:after="0" w:line="360" w:lineRule="auto"/>
        <w:ind w:firstLine="709"/>
        <w:jc w:val="both"/>
        <w:rPr>
          <w:rFonts w:ascii="Times New Roman" w:hAnsi="Times New Roman" w:eastAsia="Times New Roman"/>
          <w:lang w:eastAsia="zh-CN"/>
        </w:rPr>
      </w:pPr>
      <w:r>
        <w:rPr>
          <w:rFonts w:ascii="Times New Roman" w:hAnsi="Times New Roman" w:eastAsia="Times New Roman"/>
          <w:lang w:eastAsia="zh-CN"/>
        </w:rPr>
        <w:t>сочетание беговых видов и видов метаний;</w:t>
      </w:r>
    </w:p>
    <w:p w14:paraId="27A2B331">
      <w:pPr>
        <w:pBdr>
          <w:top w:val="none" w:color="000000" w:sz="0" w:space="0"/>
          <w:left w:val="none" w:color="000000" w:sz="0" w:space="0"/>
          <w:bottom w:val="none" w:color="000000" w:sz="0" w:space="0"/>
          <w:right w:val="none" w:color="000000" w:sz="0" w:space="0"/>
        </w:pBdr>
        <w:suppressAutoHyphens/>
        <w:spacing w:after="0" w:line="360" w:lineRule="auto"/>
        <w:ind w:firstLine="709"/>
        <w:jc w:val="both"/>
        <w:rPr>
          <w:rFonts w:ascii="Times New Roman" w:hAnsi="Times New Roman" w:eastAsia="Times New Roman"/>
          <w:lang w:eastAsia="zh-CN"/>
        </w:rPr>
      </w:pPr>
      <w:r>
        <w:rPr>
          <w:rFonts w:ascii="Times New Roman" w:hAnsi="Times New Roman" w:eastAsia="Times New Roman"/>
          <w:lang w:eastAsia="zh-CN"/>
        </w:rPr>
        <w:t>сочетание прыжков и метаний;</w:t>
      </w:r>
    </w:p>
    <w:p w14:paraId="2275B4CA">
      <w:pPr>
        <w:pBdr>
          <w:top w:val="none" w:color="000000" w:sz="0" w:space="0"/>
          <w:left w:val="none" w:color="000000" w:sz="0" w:space="0"/>
          <w:bottom w:val="none" w:color="000000" w:sz="0" w:space="0"/>
          <w:right w:val="none" w:color="000000" w:sz="0" w:space="0"/>
        </w:pBdr>
        <w:suppressAutoHyphens/>
        <w:spacing w:after="0" w:line="360" w:lineRule="auto"/>
        <w:ind w:firstLine="709"/>
        <w:jc w:val="both"/>
        <w:rPr>
          <w:rFonts w:ascii="Times New Roman" w:hAnsi="Times New Roman" w:eastAsia="Times New Roman"/>
          <w:lang w:eastAsia="zh-CN"/>
        </w:rPr>
      </w:pPr>
      <w:r>
        <w:rPr>
          <w:rFonts w:ascii="Times New Roman" w:hAnsi="Times New Roman" w:eastAsia="Times New Roman"/>
          <w:lang w:eastAsia="zh-CN"/>
        </w:rPr>
        <w:t>сочетание бега, прыжков и метаний.</w:t>
      </w:r>
    </w:p>
    <w:p w14:paraId="0DF364CE">
      <w:pPr>
        <w:pBdr>
          <w:top w:val="none" w:color="000000" w:sz="0" w:space="0"/>
          <w:left w:val="none" w:color="000000" w:sz="0" w:space="0"/>
          <w:bottom w:val="none" w:color="000000" w:sz="0" w:space="0"/>
          <w:right w:val="none" w:color="000000" w:sz="0" w:space="0"/>
        </w:pBdr>
        <w:suppressAutoHyphens/>
        <w:spacing w:after="0" w:line="360" w:lineRule="auto"/>
        <w:ind w:firstLine="709"/>
        <w:jc w:val="both"/>
        <w:rPr>
          <w:rFonts w:ascii="Times New Roman" w:hAnsi="Times New Roman" w:eastAsia="Times New Roman"/>
          <w:lang w:eastAsia="zh-CN"/>
        </w:rPr>
      </w:pPr>
      <w:r>
        <w:rPr>
          <w:rFonts w:ascii="Times New Roman" w:hAnsi="Times New Roman"/>
          <w:spacing w:val="-1"/>
          <w:lang w:eastAsia="zh-CN"/>
        </w:rPr>
        <w:t>Общеразвивающие, специальные и имитационные упражнения для начального обучения основам техники</w:t>
      </w:r>
      <w:r>
        <w:rPr>
          <w:rFonts w:ascii="Times New Roman" w:hAnsi="Times New Roman"/>
        </w:rPr>
        <w:t xml:space="preserve"> бега, прыжков и метаний.</w:t>
      </w:r>
    </w:p>
    <w:p w14:paraId="63AA706E">
      <w:pPr>
        <w:pBdr>
          <w:top w:val="none" w:color="000000" w:sz="0" w:space="0"/>
          <w:left w:val="none" w:color="000000" w:sz="0" w:space="0"/>
          <w:bottom w:val="none" w:color="000000" w:sz="0" w:space="0"/>
          <w:right w:val="none" w:color="000000" w:sz="0" w:space="0"/>
        </w:pBdr>
        <w:shd w:val="clear" w:color="auto" w:fill="FFFFFF"/>
        <w:suppressAutoHyphens/>
        <w:spacing w:after="0" w:line="360" w:lineRule="auto"/>
        <w:ind w:firstLine="709"/>
        <w:jc w:val="both"/>
        <w:rPr>
          <w:rFonts w:ascii="Times New Roman" w:hAnsi="Times New Roman" w:eastAsia="@Arial Unicode MS"/>
          <w:lang w:eastAsia="zh-CN"/>
        </w:rPr>
      </w:pPr>
      <w:r>
        <w:rPr>
          <w:rFonts w:ascii="Times New Roman" w:hAnsi="Times New Roman" w:eastAsia="@Arial Unicode MS"/>
          <w:lang w:eastAsia="zh-CN"/>
        </w:rPr>
        <w:t>Основы соревновательной деятельности в различных видах легкой атлетики, построенной по принципу эстафет в различных видах легкой атлетики с сочетанием элементов бега, прыжков и метаний.</w:t>
      </w:r>
    </w:p>
    <w:p w14:paraId="51683409">
      <w:pPr>
        <w:pBdr>
          <w:top w:val="none" w:color="000000" w:sz="0" w:space="0"/>
          <w:left w:val="none" w:color="000000" w:sz="0" w:space="0"/>
          <w:bottom w:val="none" w:color="000000" w:sz="0" w:space="0"/>
          <w:right w:val="none" w:color="000000" w:sz="0" w:space="0"/>
        </w:pBdr>
        <w:suppressAutoHyphens/>
        <w:spacing w:after="0" w:line="360" w:lineRule="auto"/>
        <w:ind w:firstLine="709"/>
        <w:jc w:val="both"/>
        <w:rPr>
          <w:rFonts w:ascii="Times New Roman" w:hAnsi="Times New Roman"/>
          <w:lang w:eastAsia="zh-CN"/>
        </w:rPr>
      </w:pPr>
      <w:r>
        <w:rPr>
          <w:rFonts w:ascii="Times New Roman" w:hAnsi="Times New Roman"/>
          <w:lang w:eastAsia="zh-CN"/>
        </w:rPr>
        <w:t>Тестовые упражнения по оценке физической подготовленности в легкой атлетике. Участие в соревновательной деятельности.</w:t>
      </w:r>
    </w:p>
    <w:p w14:paraId="0AFD74DF">
      <w:pPr>
        <w:pBdr>
          <w:top w:val="none" w:color="000000" w:sz="0" w:space="0"/>
          <w:left w:val="none" w:color="000000" w:sz="0" w:space="0"/>
          <w:bottom w:val="none" w:color="000000" w:sz="0" w:space="0"/>
          <w:right w:val="none" w:color="000000" w:sz="0" w:space="0"/>
        </w:pBdr>
        <w:suppressAutoHyphens/>
        <w:spacing w:after="0" w:line="360" w:lineRule="auto"/>
        <w:ind w:firstLine="709"/>
        <w:jc w:val="both"/>
        <w:rPr>
          <w:rFonts w:ascii="Times New Roman" w:hAnsi="Times New Roman"/>
          <w:u w:color="000000"/>
          <w:lang w:eastAsia="zh-CN"/>
        </w:rPr>
      </w:pPr>
      <w:bookmarkStart w:id="297" w:name="_Hlk125018542"/>
      <w:r>
        <w:rPr>
          <w:rFonts w:ascii="Times New Roman" w:hAnsi="Times New Roman" w:eastAsia="Times New Roman"/>
          <w:bCs/>
          <w:lang w:eastAsia="zh-CN"/>
        </w:rPr>
        <w:t>16.4.</w:t>
      </w:r>
      <w:r>
        <w:rPr>
          <w:rFonts w:ascii="Times New Roman" w:hAnsi="Times New Roman" w:eastAsia="Times New Roman"/>
          <w:lang w:eastAsia="zh-CN"/>
        </w:rPr>
        <w:t>11.7. </w:t>
      </w:r>
      <w:bookmarkEnd w:id="297"/>
      <w:r>
        <w:rPr>
          <w:rFonts w:ascii="Times New Roman" w:hAnsi="Times New Roman"/>
          <w:u w:color="000000"/>
          <w:lang w:eastAsia="zh-CN"/>
        </w:rPr>
        <w:t>Содержание модуля «Легкая атлетика» направлено на достижение обучающимися личностных, метапредметных и предметных результатов обучения.</w:t>
      </w:r>
    </w:p>
    <w:p w14:paraId="5CF15B10">
      <w:pPr>
        <w:pBdr>
          <w:top w:val="none" w:color="000000" w:sz="0" w:space="0"/>
          <w:left w:val="none" w:color="000000" w:sz="0" w:space="0"/>
          <w:bottom w:val="none" w:color="000000" w:sz="0" w:space="0"/>
          <w:right w:val="none" w:color="000000" w:sz="0" w:space="0"/>
        </w:pBdr>
        <w:suppressAutoHyphens/>
        <w:spacing w:after="0" w:line="360" w:lineRule="auto"/>
        <w:ind w:firstLine="709"/>
        <w:jc w:val="both"/>
        <w:rPr>
          <w:rFonts w:ascii="Times New Roman" w:hAnsi="Times New Roman"/>
          <w:lang w:eastAsia="zh-CN"/>
        </w:rPr>
      </w:pPr>
      <w:bookmarkStart w:id="298" w:name="_Hlk125018671"/>
      <w:r>
        <w:rPr>
          <w:rFonts w:ascii="Times New Roman" w:hAnsi="Times New Roman" w:eastAsia="Times New Roman"/>
          <w:bCs/>
          <w:lang w:eastAsia="zh-CN"/>
        </w:rPr>
        <w:t>16.4.</w:t>
      </w:r>
      <w:r>
        <w:rPr>
          <w:rFonts w:ascii="Times New Roman" w:hAnsi="Times New Roman" w:eastAsia="Times New Roman"/>
          <w:lang w:eastAsia="zh-CN"/>
        </w:rPr>
        <w:t>11.7.1. </w:t>
      </w:r>
      <w:bookmarkEnd w:id="298"/>
      <w:r>
        <w:rPr>
          <w:rFonts w:ascii="Times New Roman" w:hAnsi="Times New Roman" w:eastAsia="Times New Roman"/>
          <w:lang w:eastAsia="zh-CN"/>
        </w:rPr>
        <w:t>При изучении модуля «Легкая атлетика» на уровне начального общего образования у обучающихся будут сформированы следующие личностные результаты:</w:t>
      </w:r>
    </w:p>
    <w:p w14:paraId="7193FDCF">
      <w:pPr>
        <w:pBdr>
          <w:top w:val="none" w:color="000000" w:sz="0" w:space="0"/>
          <w:left w:val="none" w:color="000000" w:sz="0" w:space="0"/>
          <w:bottom w:val="none" w:color="000000" w:sz="0" w:space="0"/>
          <w:right w:val="none" w:color="000000" w:sz="0" w:space="0"/>
        </w:pBdr>
        <w:suppressAutoHyphens/>
        <w:spacing w:after="0" w:line="360" w:lineRule="auto"/>
        <w:ind w:firstLine="709"/>
        <w:jc w:val="both"/>
        <w:rPr>
          <w:rFonts w:ascii="Times New Roman" w:hAnsi="Times New Roman"/>
        </w:rPr>
      </w:pPr>
      <w:r>
        <w:rPr>
          <w:rFonts w:ascii="Times New Roman" w:hAnsi="Times New Roman" w:eastAsia="HiddenHorzOCR"/>
        </w:rPr>
        <w:t xml:space="preserve">проявление чувства гордости за свою Родину, российский народ и историю России через </w:t>
      </w:r>
      <w:r>
        <w:rPr>
          <w:rFonts w:ascii="Times New Roman" w:hAnsi="Times New Roman" w:eastAsia="Times New Roman"/>
        </w:rPr>
        <w:t xml:space="preserve">достижения российских спортсменов </w:t>
      </w:r>
      <w:r>
        <w:rPr>
          <w:rFonts w:ascii="Times New Roman" w:hAnsi="Times New Roman" w:eastAsia="HiddenHorzOCR"/>
        </w:rPr>
        <w:t xml:space="preserve">через достижения </w:t>
      </w:r>
      <w:r>
        <w:rPr>
          <w:rFonts w:ascii="Times New Roman" w:hAnsi="Times New Roman"/>
          <w:lang w:eastAsia="zh-CN"/>
        </w:rPr>
        <w:t>отечественных легкоатлетов</w:t>
      </w:r>
      <w:r>
        <w:rPr>
          <w:rFonts w:ascii="Times New Roman" w:hAnsi="Times New Roman"/>
        </w:rPr>
        <w:t>;</w:t>
      </w:r>
    </w:p>
    <w:p w14:paraId="6F654CCA">
      <w:pPr>
        <w:spacing w:after="0" w:line="360" w:lineRule="auto"/>
        <w:ind w:firstLine="709"/>
        <w:contextualSpacing/>
        <w:jc w:val="both"/>
        <w:rPr>
          <w:rFonts w:ascii="Times New Roman" w:hAnsi="Times New Roman"/>
        </w:rPr>
      </w:pPr>
      <w:r>
        <w:rPr>
          <w:rFonts w:ascii="Times New Roman" w:hAnsi="Times New Roman"/>
        </w:rPr>
        <w:t>проявление уважительного отношения к сверстникам, культуры общения и взаимодействия в достижении общих целей при совместной деятельности на принципах доброжелательности и взаимопомощи;</w:t>
      </w:r>
    </w:p>
    <w:p w14:paraId="104A4999">
      <w:pPr>
        <w:autoSpaceDE w:val="0"/>
        <w:autoSpaceDN w:val="0"/>
        <w:adjustRightInd w:val="0"/>
        <w:spacing w:after="0" w:line="360" w:lineRule="auto"/>
        <w:ind w:firstLine="709"/>
        <w:jc w:val="both"/>
        <w:rPr>
          <w:rFonts w:ascii="Times New Roman" w:hAnsi="Times New Roman" w:eastAsia="HiddenHorzOCR"/>
        </w:rPr>
      </w:pPr>
      <w:r>
        <w:rPr>
          <w:rFonts w:ascii="Times New Roman" w:hAnsi="Times New Roman"/>
        </w:rPr>
        <w:t>проявление дисциплинированности, трудолюбия и упорства достижении поставленных целей н</w:t>
      </w:r>
      <w:r>
        <w:rPr>
          <w:rFonts w:ascii="Times New Roman" w:hAnsi="Times New Roman" w:eastAsia="HiddenHorzOCR"/>
        </w:rPr>
        <w:t>а основе представлений о нравственных нормах, социальной справедливости и свободе;</w:t>
      </w:r>
    </w:p>
    <w:p w14:paraId="402A7882">
      <w:pPr>
        <w:spacing w:after="0" w:line="360" w:lineRule="auto"/>
        <w:ind w:firstLine="709"/>
        <w:jc w:val="both"/>
        <w:rPr>
          <w:rFonts w:ascii="Times New Roman" w:hAnsi="Times New Roman"/>
        </w:rPr>
      </w:pPr>
      <w:r>
        <w:rPr>
          <w:rFonts w:ascii="Times New Roman" w:hAnsi="Times New Roman"/>
        </w:rPr>
        <w:t>проявление осознанного и ответственного отношения к собственным поступкам в решении проблем в процессе занятий физической культурой, игровой и соревновательной деятельности по легкой атлетике;</w:t>
      </w:r>
    </w:p>
    <w:p w14:paraId="1346858B">
      <w:pPr>
        <w:autoSpaceDE w:val="0"/>
        <w:autoSpaceDN w:val="0"/>
        <w:adjustRightInd w:val="0"/>
        <w:spacing w:after="0" w:line="360" w:lineRule="auto"/>
        <w:ind w:firstLine="709"/>
        <w:jc w:val="both"/>
        <w:rPr>
          <w:rFonts w:ascii="Times New Roman" w:hAnsi="Times New Roman"/>
          <w:lang w:eastAsia="zh-CN"/>
        </w:rPr>
      </w:pPr>
      <w:r>
        <w:rPr>
          <w:rFonts w:ascii="Times New Roman" w:hAnsi="Times New Roman"/>
        </w:rPr>
        <w:t>проявление готовности соблюдать правила индивидуального и коллективного безопасного поведения в учебной, соревновательной, досуговой деятельности и чрезвычайных ситуациях</w:t>
      </w:r>
      <w:r>
        <w:rPr>
          <w:rFonts w:ascii="Times New Roman" w:hAnsi="Times New Roman"/>
          <w:lang w:eastAsia="zh-CN"/>
        </w:rPr>
        <w:t xml:space="preserve"> при занятии легкой атлетикой; </w:t>
      </w:r>
    </w:p>
    <w:p w14:paraId="763DB876">
      <w:pPr>
        <w:autoSpaceDE w:val="0"/>
        <w:autoSpaceDN w:val="0"/>
        <w:adjustRightInd w:val="0"/>
        <w:spacing w:after="0" w:line="360" w:lineRule="auto"/>
        <w:ind w:firstLine="709"/>
        <w:jc w:val="both"/>
        <w:rPr>
          <w:rFonts w:ascii="Times New Roman" w:hAnsi="Times New Roman"/>
        </w:rPr>
      </w:pPr>
      <w:r>
        <w:rPr>
          <w:rFonts w:ascii="Times New Roman" w:hAnsi="Times New Roman"/>
        </w:rPr>
        <w:t>проявление положительных качеств личности и управление своими эмоциями в различных ситуациях и условиях, способность к самостоятельной, творческой и ответственной деятельности средствами легкой атлетики;</w:t>
      </w:r>
    </w:p>
    <w:p w14:paraId="01106324">
      <w:pPr>
        <w:autoSpaceDE w:val="0"/>
        <w:autoSpaceDN w:val="0"/>
        <w:adjustRightInd w:val="0"/>
        <w:spacing w:after="0" w:line="360" w:lineRule="auto"/>
        <w:ind w:firstLine="709"/>
        <w:jc w:val="both"/>
        <w:rPr>
          <w:rFonts w:ascii="Times New Roman" w:hAnsi="Times New Roman" w:eastAsia="Times New Roman"/>
        </w:rPr>
      </w:pPr>
      <w:r>
        <w:rPr>
          <w:rFonts w:ascii="Times New Roman" w:hAnsi="Times New Roman"/>
        </w:rPr>
        <w:t>п</w:t>
      </w:r>
      <w:r>
        <w:rPr>
          <w:rFonts w:ascii="Times New Roman" w:hAnsi="Times New Roman" w:eastAsia="HiddenHorzOCR"/>
        </w:rPr>
        <w:t>онимание установки на безопасный, здоровый образ жизни, наличие мотивации к творческому труду, работе на результат, бережному отношению к материальным и духовным ценностям.</w:t>
      </w:r>
    </w:p>
    <w:p w14:paraId="7FC111ED">
      <w:pPr>
        <w:pBdr>
          <w:top w:val="none" w:color="000000" w:sz="0" w:space="0"/>
          <w:left w:val="none" w:color="000000" w:sz="0" w:space="0"/>
          <w:bottom w:val="none" w:color="000000" w:sz="0" w:space="0"/>
          <w:right w:val="none" w:color="000000" w:sz="0" w:space="0"/>
        </w:pBdr>
        <w:suppressAutoHyphens/>
        <w:spacing w:after="0" w:line="360" w:lineRule="auto"/>
        <w:ind w:firstLine="709"/>
        <w:jc w:val="both"/>
        <w:rPr>
          <w:rFonts w:ascii="Times New Roman" w:hAnsi="Times New Roman"/>
          <w:lang w:eastAsia="zh-CN"/>
        </w:rPr>
      </w:pPr>
      <w:r>
        <w:rPr>
          <w:rFonts w:ascii="Times New Roman" w:hAnsi="Times New Roman" w:eastAsia="Times New Roman"/>
          <w:bCs/>
          <w:lang w:eastAsia="zh-CN"/>
        </w:rPr>
        <w:t>16.4.</w:t>
      </w:r>
      <w:r>
        <w:rPr>
          <w:rFonts w:ascii="Times New Roman" w:hAnsi="Times New Roman" w:eastAsia="Times New Roman"/>
          <w:lang w:eastAsia="zh-CN"/>
        </w:rPr>
        <w:t>11.7.2. </w:t>
      </w:r>
      <w:r>
        <w:rPr>
          <w:rFonts w:ascii="Times New Roman" w:hAnsi="Times New Roman"/>
          <w:u w:color="000000"/>
          <w:lang w:eastAsia="zh-CN"/>
        </w:rPr>
        <w:t>При изучении модуля «Легкая атлетика» на уровне начального общего образования у обучающихся будут сформированы следующие метапредметные результаты</w:t>
      </w:r>
      <w:r>
        <w:rPr>
          <w:rFonts w:ascii="Times New Roman" w:hAnsi="Times New Roman"/>
          <w:u w:color="000000"/>
          <w:lang w:eastAsia="ru-RU"/>
        </w:rPr>
        <w:t>:</w:t>
      </w:r>
    </w:p>
    <w:p w14:paraId="3646F336">
      <w:pPr>
        <w:shd w:val="clear" w:color="auto" w:fill="FFFFFF"/>
        <w:autoSpaceDE w:val="0"/>
        <w:autoSpaceDN w:val="0"/>
        <w:adjustRightInd w:val="0"/>
        <w:spacing w:after="0" w:line="360" w:lineRule="auto"/>
        <w:ind w:firstLine="709"/>
        <w:jc w:val="both"/>
        <w:rPr>
          <w:rFonts w:ascii="Times New Roman" w:hAnsi="Times New Roman" w:eastAsia="@Arial Unicode MS"/>
        </w:rPr>
      </w:pPr>
      <w:r>
        <w:rPr>
          <w:rFonts w:ascii="Times New Roman" w:hAnsi="Times New Roman"/>
        </w:rPr>
        <w:t>овладение способностью принимать и сохранять цели и задачи учебной деятельности, поиска средств и способов её осуществления;</w:t>
      </w:r>
    </w:p>
    <w:p w14:paraId="349AC167">
      <w:pPr>
        <w:autoSpaceDE w:val="0"/>
        <w:autoSpaceDN w:val="0"/>
        <w:adjustRightInd w:val="0"/>
        <w:spacing w:after="0" w:line="360" w:lineRule="auto"/>
        <w:ind w:firstLine="709"/>
        <w:jc w:val="both"/>
        <w:rPr>
          <w:rFonts w:ascii="Times New Roman" w:hAnsi="Times New Roman" w:eastAsia="HiddenHorzOCR"/>
        </w:rPr>
      </w:pPr>
      <w:r>
        <w:rPr>
          <w:rFonts w:ascii="Times New Roman" w:hAnsi="Times New Roman" w:eastAsia="HiddenHorzOCR"/>
        </w:rPr>
        <w:t xml:space="preserve">умение планировать, контролировать и оценивать учебные действия, </w:t>
      </w:r>
      <w:r>
        <w:rPr>
          <w:rFonts w:ascii="Times New Roman" w:hAnsi="Times New Roman"/>
        </w:rPr>
        <w:t xml:space="preserve">собственную деятельность, распределять нагрузку и отдых в процессе ее выполнения, </w:t>
      </w:r>
      <w:r>
        <w:rPr>
          <w:rFonts w:ascii="Times New Roman" w:hAnsi="Times New Roman" w:eastAsia="HiddenHorzOCR"/>
        </w:rPr>
        <w:t>определять наиболее эффективные способы достижения результата;</w:t>
      </w:r>
    </w:p>
    <w:p w14:paraId="1A3AD86D">
      <w:pPr>
        <w:autoSpaceDE w:val="0"/>
        <w:autoSpaceDN w:val="0"/>
        <w:adjustRightInd w:val="0"/>
        <w:spacing w:after="0" w:line="360" w:lineRule="auto"/>
        <w:ind w:firstLine="709"/>
        <w:jc w:val="both"/>
        <w:rPr>
          <w:rFonts w:ascii="Times New Roman" w:hAnsi="Times New Roman" w:eastAsia="HiddenHorzOCR"/>
        </w:rPr>
      </w:pPr>
      <w:r>
        <w:rPr>
          <w:rFonts w:ascii="Times New Roman" w:hAnsi="Times New Roman" w:eastAsia="HiddenHorzOCR"/>
        </w:rPr>
        <w:t xml:space="preserve">умение </w:t>
      </w:r>
      <w:r>
        <w:rPr>
          <w:rFonts w:ascii="Times New Roman" w:hAnsi="Times New Roman"/>
        </w:rPr>
        <w:t>характеризовать действия и поступки, давать им анализ и объективную оценку на основе освоенных знаний и имеющегося опыта;</w:t>
      </w:r>
    </w:p>
    <w:p w14:paraId="57E21A13">
      <w:pPr>
        <w:autoSpaceDE w:val="0"/>
        <w:autoSpaceDN w:val="0"/>
        <w:adjustRightInd w:val="0"/>
        <w:spacing w:after="0" w:line="360" w:lineRule="auto"/>
        <w:ind w:firstLine="709"/>
        <w:jc w:val="both"/>
        <w:rPr>
          <w:rFonts w:ascii="Times New Roman" w:hAnsi="Times New Roman" w:eastAsia="HiddenHorzOCR"/>
        </w:rPr>
      </w:pPr>
      <w:r>
        <w:rPr>
          <w:rFonts w:ascii="Times New Roman" w:hAnsi="Times New Roman" w:eastAsia="HiddenHorzOCR"/>
        </w:rPr>
        <w:t>понимание причин успеха или неуспеха учебной деятельности и способность конструктивно действовать даже в ситуациях неуспеха;</w:t>
      </w:r>
    </w:p>
    <w:p w14:paraId="0A26AB5D">
      <w:pPr>
        <w:autoSpaceDE w:val="0"/>
        <w:autoSpaceDN w:val="0"/>
        <w:adjustRightInd w:val="0"/>
        <w:spacing w:after="0" w:line="360" w:lineRule="auto"/>
        <w:ind w:firstLine="709"/>
        <w:jc w:val="both"/>
        <w:rPr>
          <w:rFonts w:ascii="Times New Roman" w:hAnsi="Times New Roman" w:eastAsia="HiddenHorzOCR"/>
        </w:rPr>
      </w:pPr>
      <w:r>
        <w:rPr>
          <w:rFonts w:ascii="Times New Roman" w:hAnsi="Times New Roman" w:eastAsia="HiddenHorzOCR"/>
        </w:rPr>
        <w:t>определение общей цели и путей её достижения, умение договариваться о распределении функций в учебной, игровой и соревновательной деятельности, оценка собственного поведения и поведения окружающих;</w:t>
      </w:r>
    </w:p>
    <w:p w14:paraId="32EABA7A">
      <w:pPr>
        <w:autoSpaceDE w:val="0"/>
        <w:autoSpaceDN w:val="0"/>
        <w:adjustRightInd w:val="0"/>
        <w:spacing w:after="0" w:line="360" w:lineRule="auto"/>
        <w:ind w:firstLine="709"/>
        <w:jc w:val="both"/>
        <w:rPr>
          <w:rFonts w:ascii="Times New Roman" w:hAnsi="Times New Roman" w:eastAsia="HiddenHorzOCR"/>
        </w:rPr>
      </w:pPr>
      <w:r>
        <w:rPr>
          <w:rFonts w:ascii="Times New Roman" w:hAnsi="Times New Roman"/>
        </w:rPr>
        <w:t>обеспечение защиты и сохранности природы во время активного отдыха и занятий физической культурой;</w:t>
      </w:r>
    </w:p>
    <w:p w14:paraId="04993277">
      <w:pPr>
        <w:autoSpaceDE w:val="0"/>
        <w:autoSpaceDN w:val="0"/>
        <w:adjustRightInd w:val="0"/>
        <w:spacing w:after="0" w:line="360" w:lineRule="auto"/>
        <w:ind w:firstLine="709"/>
        <w:jc w:val="both"/>
        <w:rPr>
          <w:rFonts w:ascii="Times New Roman" w:hAnsi="Times New Roman" w:eastAsia="HiddenHorzOCR"/>
        </w:rPr>
      </w:pPr>
      <w:r>
        <w:rPr>
          <w:rFonts w:ascii="Times New Roman" w:hAnsi="Times New Roman"/>
        </w:rPr>
        <w:t>способность организации самостоятельной деятельности с учётом требований её безопасности, сохранности инвентаря и оборудования, организации места занятий видами лёгкой атлетики;</w:t>
      </w:r>
    </w:p>
    <w:p w14:paraId="1302438C">
      <w:pPr>
        <w:autoSpaceDE w:val="0"/>
        <w:autoSpaceDN w:val="0"/>
        <w:adjustRightInd w:val="0"/>
        <w:spacing w:after="0" w:line="360" w:lineRule="auto"/>
        <w:ind w:firstLine="709"/>
        <w:jc w:val="both"/>
        <w:rPr>
          <w:rFonts w:ascii="Times New Roman" w:hAnsi="Times New Roman" w:eastAsia="HiddenHorzOCR"/>
        </w:rPr>
      </w:pPr>
      <w:r>
        <w:rPr>
          <w:rFonts w:ascii="Times New Roman" w:hAnsi="Times New Roman" w:eastAsia="HiddenHorzOCR"/>
        </w:rPr>
        <w:t>с</w:t>
      </w:r>
      <w:r>
        <w:rPr>
          <w:rFonts w:ascii="Times New Roman" w:hAnsi="Times New Roman"/>
        </w:rPr>
        <w:t>пособность выделять и обосновывать эстетические признаки в физических упражнениях, двигательных действиях, оценивать красоту телосложения и осанки, сравнивать их с эталонными образцами;</w:t>
      </w:r>
    </w:p>
    <w:p w14:paraId="64C40C6E">
      <w:pPr>
        <w:autoSpaceDE w:val="0"/>
        <w:autoSpaceDN w:val="0"/>
        <w:adjustRightInd w:val="0"/>
        <w:spacing w:after="0" w:line="360" w:lineRule="auto"/>
        <w:ind w:firstLine="709"/>
        <w:jc w:val="both"/>
        <w:rPr>
          <w:rFonts w:ascii="Times New Roman" w:hAnsi="Times New Roman"/>
        </w:rPr>
      </w:pPr>
      <w:r>
        <w:rPr>
          <w:rFonts w:ascii="Times New Roman" w:hAnsi="Times New Roman"/>
        </w:rPr>
        <w:t>владение основами самоконтроля, самооценки, принятия решений и осуществления осознанного выбора в учебной и познавательной деятельности.</w:t>
      </w:r>
    </w:p>
    <w:p w14:paraId="2496B5C0">
      <w:pPr>
        <w:pBdr>
          <w:top w:val="none" w:color="000000" w:sz="0" w:space="0"/>
          <w:left w:val="none" w:color="000000" w:sz="0" w:space="0"/>
          <w:bottom w:val="none" w:color="000000" w:sz="0" w:space="0"/>
          <w:right w:val="none" w:color="000000" w:sz="0" w:space="0"/>
        </w:pBdr>
        <w:suppressAutoHyphens/>
        <w:spacing w:after="0" w:line="360" w:lineRule="auto"/>
        <w:ind w:firstLine="709"/>
        <w:jc w:val="both"/>
        <w:rPr>
          <w:rFonts w:ascii="Times New Roman" w:hAnsi="Times New Roman"/>
          <w:lang w:eastAsia="zh-CN"/>
        </w:rPr>
      </w:pPr>
      <w:r>
        <w:rPr>
          <w:rFonts w:ascii="Times New Roman" w:hAnsi="Times New Roman" w:eastAsia="Times New Roman"/>
          <w:bCs/>
          <w:lang w:eastAsia="zh-CN"/>
        </w:rPr>
        <w:t>16.4.</w:t>
      </w:r>
      <w:r>
        <w:rPr>
          <w:rFonts w:ascii="Times New Roman" w:hAnsi="Times New Roman" w:eastAsia="Times New Roman"/>
          <w:lang w:eastAsia="zh-CN"/>
        </w:rPr>
        <w:t>11.7.3. </w:t>
      </w:r>
      <w:r>
        <w:rPr>
          <w:rFonts w:ascii="Times New Roman" w:hAnsi="Times New Roman"/>
          <w:u w:color="000000"/>
          <w:lang w:eastAsia="zh-CN"/>
        </w:rPr>
        <w:t xml:space="preserve">При изучении модуля «Легкая атлетика» на уровне начального общего образования у обучающихся будут сформированы следующие </w:t>
      </w:r>
      <w:r>
        <w:rPr>
          <w:rFonts w:ascii="Times New Roman" w:hAnsi="Times New Roman"/>
          <w:u w:color="000000"/>
          <w:lang w:eastAsia="ru-RU"/>
        </w:rPr>
        <w:t>предметные результаты:</w:t>
      </w:r>
    </w:p>
    <w:p w14:paraId="2AF6D1F9">
      <w:pPr>
        <w:pBdr>
          <w:top w:val="none" w:color="000000" w:sz="0" w:space="0"/>
          <w:left w:val="none" w:color="000000" w:sz="0" w:space="0"/>
          <w:bottom w:val="none" w:color="000000" w:sz="0" w:space="0"/>
          <w:right w:val="none" w:color="000000" w:sz="0" w:space="0"/>
        </w:pBdr>
        <w:suppressAutoHyphens/>
        <w:spacing w:after="0" w:line="360" w:lineRule="auto"/>
        <w:ind w:firstLine="709"/>
        <w:jc w:val="both"/>
        <w:rPr>
          <w:rFonts w:ascii="Times New Roman" w:hAnsi="Times New Roman"/>
          <w:lang w:eastAsia="zh-CN"/>
        </w:rPr>
      </w:pPr>
      <w:r>
        <w:rPr>
          <w:rFonts w:ascii="Times New Roman" w:hAnsi="Times New Roman"/>
        </w:rPr>
        <w:t xml:space="preserve">понимание </w:t>
      </w:r>
      <w:r>
        <w:rPr>
          <w:rFonts w:ascii="Times New Roman" w:hAnsi="Times New Roman"/>
          <w:lang w:eastAsia="zh-CN"/>
        </w:rPr>
        <w:t>роли и значении занятий легкой атлетикой для укрепления здоровья, закаливания и развития физических качеств;</w:t>
      </w:r>
    </w:p>
    <w:p w14:paraId="332B0EFB">
      <w:pPr>
        <w:pBdr>
          <w:top w:val="none" w:color="000000" w:sz="0" w:space="0"/>
          <w:left w:val="none" w:color="000000" w:sz="0" w:space="0"/>
          <w:bottom w:val="none" w:color="000000" w:sz="0" w:space="0"/>
          <w:right w:val="none" w:color="000000" w:sz="0" w:space="0"/>
        </w:pBdr>
        <w:suppressAutoHyphens/>
        <w:spacing w:after="0" w:line="360" w:lineRule="auto"/>
        <w:ind w:firstLine="709"/>
        <w:jc w:val="both"/>
        <w:rPr>
          <w:rFonts w:ascii="Times New Roman" w:hAnsi="Times New Roman"/>
          <w:lang w:eastAsia="zh-CN"/>
        </w:rPr>
      </w:pPr>
      <w:r>
        <w:rPr>
          <w:rFonts w:ascii="Times New Roman" w:hAnsi="Times New Roman"/>
          <w:lang w:eastAsia="zh-CN"/>
        </w:rPr>
        <w:t>сформированность знаний по истории возникновения и развития легкой атлетики;</w:t>
      </w:r>
    </w:p>
    <w:p w14:paraId="16384815">
      <w:pPr>
        <w:pBdr>
          <w:top w:val="none" w:color="000000" w:sz="0" w:space="0"/>
          <w:left w:val="none" w:color="000000" w:sz="0" w:space="0"/>
          <w:bottom w:val="none" w:color="000000" w:sz="0" w:space="0"/>
          <w:right w:val="none" w:color="000000" w:sz="0" w:space="0"/>
        </w:pBdr>
        <w:suppressAutoHyphens/>
        <w:spacing w:after="0" w:line="360" w:lineRule="auto"/>
        <w:ind w:firstLine="709"/>
        <w:jc w:val="both"/>
        <w:rPr>
          <w:rFonts w:ascii="Times New Roman" w:hAnsi="Times New Roman"/>
          <w:lang w:eastAsia="zh-CN"/>
        </w:rPr>
      </w:pPr>
      <w:r>
        <w:rPr>
          <w:rFonts w:ascii="Times New Roman" w:hAnsi="Times New Roman"/>
          <w:lang w:eastAsia="zh-CN"/>
        </w:rPr>
        <w:t>сформированность представлений о различных видах бега, прыжков и метаний, их сходстве и различиях, простейших правилах проведения соревнований по легкой атлетикой;</w:t>
      </w:r>
    </w:p>
    <w:p w14:paraId="1C353BFF">
      <w:pPr>
        <w:pBdr>
          <w:top w:val="none" w:color="000000" w:sz="0" w:space="0"/>
          <w:left w:val="none" w:color="000000" w:sz="0" w:space="0"/>
          <w:bottom w:val="none" w:color="000000" w:sz="0" w:space="0"/>
          <w:right w:val="none" w:color="000000" w:sz="0" w:space="0"/>
        </w:pBdr>
        <w:suppressAutoHyphens/>
        <w:spacing w:after="0" w:line="360" w:lineRule="auto"/>
        <w:ind w:firstLine="709"/>
        <w:jc w:val="both"/>
        <w:rPr>
          <w:rFonts w:ascii="Times New Roman" w:hAnsi="Times New Roman"/>
          <w:lang w:eastAsia="zh-CN"/>
        </w:rPr>
      </w:pPr>
      <w:r>
        <w:rPr>
          <w:rFonts w:ascii="Times New Roman" w:hAnsi="Times New Roman"/>
          <w:lang w:eastAsia="zh-CN"/>
        </w:rPr>
        <w:t>сформированность навыков: безопасного поведения во время тренировок и соревнований по легкой атлетике и в повседневной жизни, личной гигиены при занятиях легкой атлетикой;</w:t>
      </w:r>
    </w:p>
    <w:p w14:paraId="08B04D0A">
      <w:pPr>
        <w:pBdr>
          <w:top w:val="none" w:color="000000" w:sz="0" w:space="0"/>
          <w:left w:val="none" w:color="000000" w:sz="0" w:space="0"/>
          <w:bottom w:val="none" w:color="000000" w:sz="0" w:space="0"/>
          <w:right w:val="none" w:color="000000" w:sz="0" w:space="0"/>
        </w:pBdr>
        <w:suppressAutoHyphens/>
        <w:spacing w:after="0" w:line="360" w:lineRule="auto"/>
        <w:ind w:firstLine="709"/>
        <w:jc w:val="both"/>
        <w:rPr>
          <w:rFonts w:ascii="Times New Roman" w:hAnsi="Times New Roman"/>
          <w:lang w:eastAsia="zh-CN"/>
        </w:rPr>
      </w:pPr>
      <w:r>
        <w:rPr>
          <w:rFonts w:ascii="Times New Roman" w:hAnsi="Times New Roman"/>
          <w:lang w:eastAsia="zh-CN"/>
        </w:rPr>
        <w:t>умение составлять и выполнять самостоятельно простейшие комплексы общеразвивающих, специальных и имитационных упражнений для занятий различными видами легкой атлетики;</w:t>
      </w:r>
    </w:p>
    <w:p w14:paraId="24E086EB">
      <w:pPr>
        <w:pBdr>
          <w:top w:val="none" w:color="000000" w:sz="0" w:space="0"/>
          <w:left w:val="none" w:color="000000" w:sz="0" w:space="0"/>
          <w:bottom w:val="none" w:color="000000" w:sz="0" w:space="0"/>
          <w:right w:val="none" w:color="000000" w:sz="0" w:space="0"/>
        </w:pBdr>
        <w:suppressAutoHyphens/>
        <w:spacing w:after="0" w:line="360" w:lineRule="auto"/>
        <w:ind w:firstLine="709"/>
        <w:jc w:val="both"/>
        <w:rPr>
          <w:rFonts w:ascii="Times New Roman" w:hAnsi="Times New Roman"/>
          <w:lang w:eastAsia="zh-CN"/>
        </w:rPr>
      </w:pPr>
      <w:r>
        <w:rPr>
          <w:rFonts w:ascii="Times New Roman" w:hAnsi="Times New Roman"/>
        </w:rPr>
        <w:t>способность</w:t>
      </w:r>
      <w:r>
        <w:rPr>
          <w:rFonts w:ascii="Times New Roman" w:hAnsi="Times New Roman"/>
          <w:lang w:eastAsia="zh-CN"/>
        </w:rPr>
        <w:t xml:space="preserve"> выполнять технические элементы легкоатлетических упражнений (бег, прыжки, метания);</w:t>
      </w:r>
    </w:p>
    <w:p w14:paraId="07EA2D19">
      <w:pPr>
        <w:pBdr>
          <w:top w:val="none" w:color="000000" w:sz="0" w:space="0"/>
          <w:left w:val="none" w:color="000000" w:sz="0" w:space="0"/>
          <w:bottom w:val="none" w:color="000000" w:sz="0" w:space="0"/>
          <w:right w:val="none" w:color="000000" w:sz="0" w:space="0"/>
        </w:pBdr>
        <w:suppressAutoHyphens/>
        <w:spacing w:after="0" w:line="360" w:lineRule="auto"/>
        <w:ind w:firstLine="709"/>
        <w:jc w:val="both"/>
        <w:rPr>
          <w:rFonts w:ascii="Times New Roman" w:hAnsi="Times New Roman"/>
          <w:lang w:eastAsia="zh-CN"/>
        </w:rPr>
      </w:pPr>
      <w:r>
        <w:rPr>
          <w:rFonts w:ascii="Times New Roman" w:hAnsi="Times New Roman"/>
          <w:lang w:eastAsia="zh-CN"/>
        </w:rPr>
        <w:t>умение организовывать и проводить подвижные игры, эстафеты с элементами легкой атлетики во время активного отдыха и каникул;</w:t>
      </w:r>
    </w:p>
    <w:p w14:paraId="32FC8847">
      <w:pPr>
        <w:pBdr>
          <w:top w:val="none" w:color="000000" w:sz="0" w:space="0"/>
          <w:left w:val="none" w:color="000000" w:sz="0" w:space="0"/>
          <w:bottom w:val="none" w:color="000000" w:sz="0" w:space="0"/>
          <w:right w:val="none" w:color="000000" w:sz="0" w:space="0"/>
        </w:pBdr>
        <w:suppressAutoHyphens/>
        <w:spacing w:after="0" w:line="360" w:lineRule="auto"/>
        <w:ind w:firstLine="709"/>
        <w:jc w:val="both"/>
        <w:rPr>
          <w:rFonts w:ascii="Times New Roman" w:hAnsi="Times New Roman"/>
          <w:lang w:eastAsia="zh-CN"/>
        </w:rPr>
      </w:pPr>
      <w:r>
        <w:rPr>
          <w:rFonts w:ascii="Times New Roman" w:hAnsi="Times New Roman"/>
          <w:lang w:eastAsia="zh-CN"/>
        </w:rPr>
        <w:t>умение определять внешние признаки утомления во время занятий легкой атлеткой, особенно в беговых видах;</w:t>
      </w:r>
    </w:p>
    <w:p w14:paraId="22A6D4AD">
      <w:pPr>
        <w:pBdr>
          <w:top w:val="none" w:color="000000" w:sz="0" w:space="0"/>
          <w:left w:val="none" w:color="000000" w:sz="0" w:space="0"/>
          <w:bottom w:val="none" w:color="000000" w:sz="0" w:space="0"/>
          <w:right w:val="none" w:color="000000" w:sz="0" w:space="0"/>
        </w:pBdr>
        <w:suppressAutoHyphens/>
        <w:spacing w:after="0" w:line="360" w:lineRule="auto"/>
        <w:ind w:firstLine="709"/>
        <w:jc w:val="both"/>
        <w:rPr>
          <w:rFonts w:ascii="Times New Roman" w:hAnsi="Times New Roman"/>
          <w:lang w:eastAsia="zh-CN"/>
        </w:rPr>
      </w:pPr>
      <w:r>
        <w:rPr>
          <w:rFonts w:ascii="Times New Roman" w:hAnsi="Times New Roman"/>
        </w:rPr>
        <w:t>способность</w:t>
      </w:r>
      <w:r>
        <w:rPr>
          <w:rFonts w:ascii="Times New Roman" w:hAnsi="Times New Roman"/>
          <w:lang w:eastAsia="zh-CN"/>
        </w:rPr>
        <w:t xml:space="preserve"> выполнять тестовые упражнения по физической подготовленности в беге, прыжках и метаниях.</w:t>
      </w:r>
    </w:p>
    <w:p w14:paraId="32741138">
      <w:pPr>
        <w:autoSpaceDE w:val="0"/>
        <w:autoSpaceDN w:val="0"/>
        <w:spacing w:after="0" w:line="360" w:lineRule="auto"/>
        <w:ind w:firstLine="709"/>
        <w:jc w:val="both"/>
        <w:rPr>
          <w:rFonts w:ascii="Times New Roman" w:hAnsi="Times New Roman" w:eastAsia="Times New Roman"/>
        </w:rPr>
      </w:pPr>
      <w:r>
        <w:rPr>
          <w:rFonts w:ascii="Times New Roman" w:hAnsi="Times New Roman" w:eastAsia="Times New Roman"/>
          <w:bCs/>
          <w:lang w:eastAsia="zh-CN"/>
        </w:rPr>
        <w:t>16.4.</w:t>
      </w:r>
      <w:r>
        <w:rPr>
          <w:rFonts w:ascii="Times New Roman" w:hAnsi="Times New Roman" w:eastAsia="Times New Roman"/>
        </w:rPr>
        <w:t>12. Модуль «Подвижные шахматы».</w:t>
      </w:r>
    </w:p>
    <w:p w14:paraId="09759208">
      <w:pPr>
        <w:autoSpaceDE w:val="0"/>
        <w:autoSpaceDN w:val="0"/>
        <w:spacing w:after="0" w:line="360" w:lineRule="auto"/>
        <w:ind w:firstLine="709"/>
        <w:jc w:val="both"/>
        <w:rPr>
          <w:rFonts w:ascii="Times New Roman" w:hAnsi="Times New Roman" w:eastAsia="Times New Roman"/>
        </w:rPr>
      </w:pPr>
      <w:r>
        <w:rPr>
          <w:rFonts w:ascii="Times New Roman" w:hAnsi="Times New Roman" w:eastAsia="Times New Roman"/>
          <w:bCs/>
          <w:lang w:eastAsia="zh-CN"/>
        </w:rPr>
        <w:t>16.4.</w:t>
      </w:r>
      <w:r>
        <w:rPr>
          <w:rFonts w:ascii="Times New Roman" w:hAnsi="Times New Roman" w:eastAsia="Times New Roman"/>
        </w:rPr>
        <w:t>12.1. </w:t>
      </w:r>
      <w:bookmarkStart w:id="299" w:name="_Hlk125549813"/>
      <w:r>
        <w:rPr>
          <w:rFonts w:ascii="Times New Roman" w:hAnsi="Times New Roman" w:eastAsia="Times New Roman"/>
          <w:lang w:eastAsia="ar-SA"/>
        </w:rPr>
        <w:t>Пояснительная записка</w:t>
      </w:r>
      <w:bookmarkEnd w:id="299"/>
      <w:r>
        <w:rPr>
          <w:rFonts w:ascii="Times New Roman" w:hAnsi="Times New Roman" w:eastAsia="Times New Roman"/>
          <w:lang w:eastAsia="ar-SA"/>
        </w:rPr>
        <w:t xml:space="preserve"> </w:t>
      </w:r>
      <w:r>
        <w:rPr>
          <w:rFonts w:ascii="Times New Roman" w:hAnsi="Times New Roman" w:eastAsia="Times New Roman"/>
        </w:rPr>
        <w:t>модуля «Подвижные шахматы».</w:t>
      </w:r>
    </w:p>
    <w:p w14:paraId="302E57F6">
      <w:pPr>
        <w:autoSpaceDE w:val="0"/>
        <w:autoSpaceDN w:val="0"/>
        <w:spacing w:after="0" w:line="360" w:lineRule="auto"/>
        <w:ind w:firstLine="709"/>
        <w:jc w:val="both"/>
        <w:rPr>
          <w:rFonts w:ascii="Times New Roman" w:hAnsi="Times New Roman"/>
          <w:lang w:eastAsia="zh-CN"/>
        </w:rPr>
      </w:pPr>
      <w:r>
        <w:rPr>
          <w:rFonts w:ascii="Times New Roman" w:hAnsi="Times New Roman"/>
          <w:lang w:eastAsia="zh-CN"/>
        </w:rPr>
        <w:t xml:space="preserve">Модуль «Подвижные шахматы» </w:t>
      </w:r>
      <w:r>
        <w:rPr>
          <w:rFonts w:ascii="Times New Roman" w:hAnsi="Times New Roman" w:eastAsia="Times New Roman"/>
          <w:lang w:eastAsia="ru-RU"/>
        </w:rPr>
        <w:t xml:space="preserve">(далее – модуль по подвижным шахматам, шахматы) </w:t>
      </w:r>
      <w:r>
        <w:rPr>
          <w:rFonts w:ascii="Times New Roman" w:hAnsi="Times New Roman"/>
          <w:lang w:eastAsia="zh-CN"/>
        </w:rPr>
        <w:t xml:space="preserve">на уровне начального общего образования разработан </w:t>
      </w:r>
      <w:r>
        <w:rPr>
          <w:rFonts w:ascii="Times New Roman" w:hAnsi="Times New Roman" w:eastAsia="Times New Roman"/>
        </w:rPr>
        <w:t xml:space="preserve">для обучающихся 1–2 классов </w:t>
      </w:r>
      <w:r>
        <w:rPr>
          <w:rFonts w:ascii="Times New Roman" w:hAnsi="Times New Roman"/>
          <w:lang w:eastAsia="zh-CN"/>
        </w:rPr>
        <w:t>с целью оказания методической помощи учителю физической культуры в создании рабочей программы по учебному предмету «Физическая культура» с учётом современных тенденций в системе образования и использования спортивно-ориентированных форм, средств и методов обучения по различным видам спорта.</w:t>
      </w:r>
    </w:p>
    <w:p w14:paraId="687F87F4">
      <w:pPr>
        <w:tabs>
          <w:tab w:val="left" w:pos="3589"/>
          <w:tab w:val="left" w:pos="3590"/>
        </w:tabs>
        <w:autoSpaceDE w:val="0"/>
        <w:autoSpaceDN w:val="0"/>
        <w:spacing w:after="0" w:line="360" w:lineRule="auto"/>
        <w:ind w:firstLine="709"/>
        <w:jc w:val="both"/>
        <w:rPr>
          <w:rFonts w:ascii="Times New Roman" w:hAnsi="Times New Roman" w:eastAsia="Times New Roman"/>
        </w:rPr>
      </w:pPr>
      <w:r>
        <w:rPr>
          <w:rFonts w:ascii="Times New Roman" w:hAnsi="Times New Roman" w:eastAsia="Times New Roman"/>
        </w:rPr>
        <w:t>В образовательной деятельности шахматная игра обладает богатейшим образовательным, воспитательным, спортивным, культурным, духовным и коммуникативным потенциалом. Шахматы развивают логику, требуют концентрации внимания, быстроты принятия решений – все эти качества присущи подвижным играм, которые можно использовать для ознакомления детей с основами шахматной игры.</w:t>
      </w:r>
    </w:p>
    <w:p w14:paraId="05199905">
      <w:pPr>
        <w:autoSpaceDE w:val="0"/>
        <w:autoSpaceDN w:val="0"/>
        <w:spacing w:after="0" w:line="360" w:lineRule="auto"/>
        <w:ind w:firstLine="709"/>
        <w:jc w:val="both"/>
        <w:rPr>
          <w:rFonts w:ascii="Times New Roman" w:hAnsi="Times New Roman" w:eastAsia="Times New Roman"/>
        </w:rPr>
      </w:pPr>
      <w:r>
        <w:rPr>
          <w:rFonts w:ascii="Times New Roman" w:hAnsi="Times New Roman" w:eastAsia="Times New Roman"/>
        </w:rPr>
        <w:t xml:space="preserve">Модуль «Подвижные шахматы», разработанный на основе обычных подвижных игр и эстафет, позволяет изучать правила шахматной игры непосредственно на уроках физической культуры в образовательных организациях. Эстафеты и игры с шахматной тематикой могут включаться в стандартные уроки. Этого достаточно, чтобы обучающиеся овладевали базовыми сведениями о шахматах непосредственно на уроках физической культуры, играя в подвижные игры на большой напольной шахматной доске. Правильная организация урока физической культуры с включением шахматных понятий в эстафеты и подвижные игры делает урок увлекательным и запоминающимся. Предусмотрены также дальнейшие занятия шахматами в обычных классах. </w:t>
      </w:r>
    </w:p>
    <w:p w14:paraId="1A8EAC30">
      <w:pPr>
        <w:pBdr>
          <w:top w:val="none" w:color="000000" w:sz="0" w:space="0"/>
          <w:left w:val="none" w:color="000000" w:sz="0" w:space="0"/>
          <w:bottom w:val="none" w:color="000000" w:sz="0" w:space="0"/>
          <w:right w:val="none" w:color="000000" w:sz="0" w:space="0"/>
        </w:pBdr>
        <w:shd w:val="clear" w:color="auto" w:fill="FFFFFF"/>
        <w:tabs>
          <w:tab w:val="left" w:pos="0"/>
        </w:tabs>
        <w:suppressAutoHyphens/>
        <w:spacing w:after="0" w:line="360" w:lineRule="auto"/>
        <w:ind w:firstLine="709"/>
        <w:jc w:val="both"/>
        <w:rPr>
          <w:rFonts w:ascii="Times New Roman" w:hAnsi="Times New Roman" w:eastAsia="Times New Roman"/>
          <w:lang w:eastAsia="zh-CN"/>
        </w:rPr>
      </w:pPr>
      <w:r>
        <w:rPr>
          <w:rFonts w:ascii="Times New Roman" w:hAnsi="Times New Roman" w:eastAsia="Times New Roman"/>
          <w:lang w:eastAsia="zh-CN"/>
        </w:rPr>
        <w:t>Систематические занятия шахматами развивают такие черты личности, как целеустремленность, настойчивость, самообладание, решительность, смелость, дисциплинированность, самостоятельность, приобретение эмоционального, психологического комфорта и залога безопасности жизни.</w:t>
      </w:r>
    </w:p>
    <w:p w14:paraId="00C8CA72">
      <w:pPr>
        <w:autoSpaceDE w:val="0"/>
        <w:autoSpaceDN w:val="0"/>
        <w:spacing w:after="0" w:line="360" w:lineRule="auto"/>
        <w:ind w:firstLine="709"/>
        <w:jc w:val="both"/>
        <w:rPr>
          <w:rFonts w:ascii="Times New Roman" w:hAnsi="Times New Roman" w:eastAsia="Times New Roman"/>
        </w:rPr>
      </w:pPr>
      <w:r>
        <w:rPr>
          <w:rFonts w:ascii="Times New Roman" w:hAnsi="Times New Roman" w:eastAsia="Times New Roman"/>
          <w:bCs/>
          <w:lang w:eastAsia="zh-CN"/>
        </w:rPr>
        <w:t>16.4.</w:t>
      </w:r>
      <w:r>
        <w:rPr>
          <w:rFonts w:ascii="Times New Roman" w:hAnsi="Times New Roman" w:eastAsia="Times New Roman"/>
        </w:rPr>
        <w:t>12.2. Цель изучения модуля «Подвижные шахматы» заключается в овладении обучающимися основами шахматной игры как полезным жизненным навыком, формировании у обучающихся стремления к познанию мировых культурных достижений и социальному самоопределению, ведению здорового образа жизни и интеллектуальному развитию с использованием средств вида спорта «шахматы».</w:t>
      </w:r>
    </w:p>
    <w:p w14:paraId="798FF4F7">
      <w:pPr>
        <w:autoSpaceDE w:val="0"/>
        <w:autoSpaceDN w:val="0"/>
        <w:spacing w:after="0" w:line="360" w:lineRule="auto"/>
        <w:ind w:firstLine="709"/>
        <w:jc w:val="both"/>
        <w:rPr>
          <w:rFonts w:ascii="Times New Roman" w:hAnsi="Times New Roman" w:eastAsia="Times New Roman"/>
        </w:rPr>
      </w:pPr>
      <w:r>
        <w:rPr>
          <w:rFonts w:ascii="Times New Roman" w:hAnsi="Times New Roman" w:eastAsia="Times New Roman"/>
          <w:bCs/>
          <w:lang w:eastAsia="zh-CN"/>
        </w:rPr>
        <w:t>16.4.</w:t>
      </w:r>
      <w:r>
        <w:rPr>
          <w:rFonts w:ascii="Times New Roman" w:hAnsi="Times New Roman" w:eastAsia="Times New Roman"/>
        </w:rPr>
        <w:t>12.3.</w:t>
      </w:r>
      <w:bookmarkStart w:id="300" w:name="_Hlk125560353"/>
      <w:bookmarkStart w:id="301" w:name="_Hlk125557654"/>
      <w:r>
        <w:rPr>
          <w:rFonts w:ascii="Times New Roman" w:hAnsi="Times New Roman" w:eastAsia="Times New Roman"/>
        </w:rPr>
        <w:t> Задачами изучения модуля «Подвижные шахматы» являются:</w:t>
      </w:r>
      <w:bookmarkEnd w:id="300"/>
    </w:p>
    <w:bookmarkEnd w:id="301"/>
    <w:p w14:paraId="4CF2A183">
      <w:pPr>
        <w:autoSpaceDE w:val="0"/>
        <w:autoSpaceDN w:val="0"/>
        <w:spacing w:after="0" w:line="360" w:lineRule="auto"/>
        <w:ind w:firstLine="709"/>
        <w:jc w:val="both"/>
        <w:rPr>
          <w:rFonts w:ascii="Times New Roman" w:hAnsi="Times New Roman" w:eastAsia="Times New Roman"/>
        </w:rPr>
      </w:pPr>
      <w:r>
        <w:rPr>
          <w:rFonts w:ascii="Times New Roman" w:hAnsi="Times New Roman" w:eastAsia="Times New Roman"/>
        </w:rPr>
        <w:t xml:space="preserve">массовое вовлечение </w:t>
      </w:r>
      <w:r>
        <w:rPr>
          <w:rFonts w:ascii="Times New Roman" w:hAnsi="Times New Roman" w:eastAsia="Times New Roman"/>
          <w:lang w:eastAsia="zh-CN"/>
        </w:rPr>
        <w:t xml:space="preserve">обучающихся, </w:t>
      </w:r>
      <w:r>
        <w:rPr>
          <w:rFonts w:ascii="Times New Roman" w:hAnsi="Times New Roman" w:eastAsia="Times New Roman"/>
        </w:rPr>
        <w:t>в шахматную игру и приобщение их к шахматной культуре;</w:t>
      </w:r>
    </w:p>
    <w:p w14:paraId="78B265D9">
      <w:pPr>
        <w:autoSpaceDE w:val="0"/>
        <w:autoSpaceDN w:val="0"/>
        <w:spacing w:after="0" w:line="360" w:lineRule="auto"/>
        <w:ind w:firstLine="709"/>
        <w:jc w:val="both"/>
        <w:rPr>
          <w:rFonts w:ascii="Times New Roman" w:hAnsi="Times New Roman" w:eastAsia="Times New Roman"/>
        </w:rPr>
      </w:pPr>
      <w:r>
        <w:rPr>
          <w:rFonts w:ascii="Times New Roman" w:hAnsi="Times New Roman" w:eastAsia="Times New Roman"/>
        </w:rPr>
        <w:t>всестороннее гармоничное развитие детей, увеличение объёма их двигательной и познавательной активности;</w:t>
      </w:r>
    </w:p>
    <w:p w14:paraId="5B13B9B9">
      <w:pPr>
        <w:autoSpaceDE w:val="0"/>
        <w:autoSpaceDN w:val="0"/>
        <w:spacing w:after="0" w:line="360" w:lineRule="auto"/>
        <w:ind w:firstLine="709"/>
        <w:jc w:val="both"/>
        <w:rPr>
          <w:rFonts w:ascii="Times New Roman" w:hAnsi="Times New Roman" w:eastAsia="Times New Roman"/>
        </w:rPr>
      </w:pPr>
      <w:r>
        <w:rPr>
          <w:rFonts w:ascii="Times New Roman" w:hAnsi="Times New Roman" w:eastAsia="Times New Roman"/>
        </w:rPr>
        <w:t>укрепление физического, психологического и социального здоровья обучающихся, развитие основных физических и умственных качеств, повышение функциональных возможностей их организма;</w:t>
      </w:r>
    </w:p>
    <w:p w14:paraId="7039D953">
      <w:pPr>
        <w:autoSpaceDE w:val="0"/>
        <w:autoSpaceDN w:val="0"/>
        <w:spacing w:after="0" w:line="360" w:lineRule="auto"/>
        <w:ind w:firstLine="709"/>
        <w:jc w:val="both"/>
        <w:rPr>
          <w:rFonts w:ascii="Times New Roman" w:hAnsi="Times New Roman" w:eastAsia="Times New Roman"/>
        </w:rPr>
      </w:pPr>
      <w:r>
        <w:rPr>
          <w:rFonts w:ascii="Times New Roman" w:hAnsi="Times New Roman" w:eastAsia="Times New Roman"/>
        </w:rPr>
        <w:t>приобретению знаний из истории развития шахмат, основ шахматной игры, получению знаний о возможностях шахматных фигур, особенностях их взаимодействия;</w:t>
      </w:r>
    </w:p>
    <w:p w14:paraId="6D3D2DE0">
      <w:pPr>
        <w:autoSpaceDE w:val="0"/>
        <w:autoSpaceDN w:val="0"/>
        <w:spacing w:after="0" w:line="360" w:lineRule="auto"/>
        <w:ind w:firstLine="709"/>
        <w:jc w:val="both"/>
        <w:rPr>
          <w:rFonts w:ascii="Times New Roman" w:hAnsi="Times New Roman" w:eastAsia="Times New Roman"/>
        </w:rPr>
      </w:pPr>
      <w:r>
        <w:rPr>
          <w:rFonts w:ascii="Times New Roman" w:hAnsi="Times New Roman" w:eastAsia="Times New Roman"/>
        </w:rPr>
        <w:t xml:space="preserve">освоение знаний о физической культуре и спорте в целом, вкладе советских и российских спортсменов-шахматистов в мировой спорт; </w:t>
      </w:r>
    </w:p>
    <w:p w14:paraId="744D4873">
      <w:pPr>
        <w:autoSpaceDE w:val="0"/>
        <w:autoSpaceDN w:val="0"/>
        <w:spacing w:after="0" w:line="360" w:lineRule="auto"/>
        <w:ind w:firstLine="709"/>
        <w:jc w:val="both"/>
        <w:rPr>
          <w:rFonts w:ascii="Times New Roman" w:hAnsi="Times New Roman" w:eastAsia="Times New Roman"/>
        </w:rPr>
      </w:pPr>
      <w:r>
        <w:rPr>
          <w:rFonts w:ascii="Times New Roman" w:hAnsi="Times New Roman" w:eastAsia="Times New Roman"/>
        </w:rPr>
        <w:t xml:space="preserve">формирование общих представлений о шахматном спорте, истории шахмат, усвоение правил поведения во время шахматных турниров, включая правила безопасности; </w:t>
      </w:r>
    </w:p>
    <w:p w14:paraId="34754C2A">
      <w:pPr>
        <w:autoSpaceDE w:val="0"/>
        <w:autoSpaceDN w:val="0"/>
        <w:spacing w:after="0" w:line="360" w:lineRule="auto"/>
        <w:ind w:firstLine="709"/>
        <w:jc w:val="both"/>
        <w:rPr>
          <w:rFonts w:ascii="Times New Roman" w:hAnsi="Times New Roman" w:eastAsia="Times New Roman"/>
        </w:rPr>
      </w:pPr>
      <w:r>
        <w:rPr>
          <w:rFonts w:ascii="Times New Roman" w:hAnsi="Times New Roman" w:eastAsia="Times New Roman"/>
        </w:rPr>
        <w:t>формирование потребности повышать свой культурный уровень, в том числе через занятия шахматами для самореализации и самоопределения;</w:t>
      </w:r>
    </w:p>
    <w:p w14:paraId="1BC6B91A">
      <w:pPr>
        <w:autoSpaceDE w:val="0"/>
        <w:autoSpaceDN w:val="0"/>
        <w:spacing w:after="0" w:line="360" w:lineRule="auto"/>
        <w:ind w:firstLine="709"/>
        <w:jc w:val="both"/>
        <w:rPr>
          <w:rFonts w:ascii="Times New Roman" w:hAnsi="Times New Roman" w:eastAsia="Times New Roman"/>
        </w:rPr>
      </w:pPr>
      <w:r>
        <w:rPr>
          <w:rFonts w:ascii="Times New Roman" w:hAnsi="Times New Roman" w:eastAsia="Times New Roman"/>
        </w:rPr>
        <w:t xml:space="preserve">воспитание положительных качеств личности, норм коллективного взаимодействия и сотрудничества; </w:t>
      </w:r>
    </w:p>
    <w:p w14:paraId="47182183">
      <w:pPr>
        <w:autoSpaceDE w:val="0"/>
        <w:autoSpaceDN w:val="0"/>
        <w:spacing w:after="0" w:line="360" w:lineRule="auto"/>
        <w:ind w:firstLine="709"/>
        <w:jc w:val="both"/>
        <w:rPr>
          <w:rFonts w:ascii="Times New Roman" w:hAnsi="Times New Roman" w:eastAsia="Times New Roman"/>
        </w:rPr>
      </w:pPr>
      <w:r>
        <w:rPr>
          <w:rFonts w:ascii="Times New Roman" w:hAnsi="Times New Roman" w:eastAsia="Times New Roman"/>
        </w:rPr>
        <w:t>формирование у обучающихся устойчивой мотивации к интеллектуальным видам спорта;</w:t>
      </w:r>
    </w:p>
    <w:p w14:paraId="403B6380">
      <w:pPr>
        <w:pBdr>
          <w:top w:val="none" w:color="000000" w:sz="0" w:space="0"/>
          <w:left w:val="none" w:color="000000" w:sz="0" w:space="0"/>
          <w:bottom w:val="none" w:color="000000" w:sz="0" w:space="0"/>
          <w:right w:val="none" w:color="000000" w:sz="0" w:space="0"/>
        </w:pBdr>
        <w:tabs>
          <w:tab w:val="left" w:pos="708"/>
        </w:tabs>
        <w:suppressAutoHyphens/>
        <w:spacing w:after="0" w:line="360" w:lineRule="auto"/>
        <w:ind w:firstLine="709"/>
        <w:jc w:val="both"/>
        <w:rPr>
          <w:rFonts w:ascii="Times New Roman" w:hAnsi="Times New Roman" w:eastAsia="Times New Roman"/>
          <w:lang w:eastAsia="zh-CN"/>
        </w:rPr>
      </w:pPr>
      <w:r>
        <w:rPr>
          <w:rFonts w:ascii="Times New Roman" w:hAnsi="Times New Roman" w:eastAsia="Times New Roman"/>
          <w:lang w:eastAsia="zh-CN"/>
        </w:rPr>
        <w:t>развитие положительной мотивации и устойчивого учебно-познавательного интереса к изучению шахмат и учебному предмету «Физическая культура», удовлетворение индивидуальных потребностей, обучающихся в занятиях физической культурой и спортом через изучение шахматной игры;</w:t>
      </w:r>
    </w:p>
    <w:p w14:paraId="3A934A46">
      <w:pPr>
        <w:pBdr>
          <w:top w:val="none" w:color="000000" w:sz="0" w:space="0"/>
          <w:left w:val="none" w:color="000000" w:sz="0" w:space="0"/>
          <w:bottom w:val="none" w:color="000000" w:sz="0" w:space="0"/>
          <w:right w:val="none" w:color="000000" w:sz="0" w:space="0"/>
        </w:pBdr>
        <w:tabs>
          <w:tab w:val="left" w:pos="708"/>
        </w:tabs>
        <w:suppressAutoHyphens/>
        <w:spacing w:after="0" w:line="360" w:lineRule="auto"/>
        <w:ind w:firstLine="709"/>
        <w:jc w:val="both"/>
        <w:rPr>
          <w:rFonts w:ascii="Times New Roman" w:hAnsi="Times New Roman" w:eastAsia="Times New Roman"/>
          <w:lang w:eastAsia="zh-CN"/>
        </w:rPr>
      </w:pPr>
      <w:r>
        <w:rPr>
          <w:rFonts w:ascii="Times New Roman" w:hAnsi="Times New Roman" w:eastAsia="Times New Roman"/>
          <w:lang w:eastAsia="zh-CN"/>
        </w:rPr>
        <w:t>популяризация шахмат в общеобразовательных организациях, привлечение обучающихся, проявляющих повышенный интерес и способности к занятиям шахматами в школьные спортивные клубы, секции, к участию в соревнованиях;</w:t>
      </w:r>
    </w:p>
    <w:p w14:paraId="6960A071">
      <w:pPr>
        <w:pBdr>
          <w:top w:val="none" w:color="000000" w:sz="0" w:space="0"/>
          <w:left w:val="none" w:color="000000" w:sz="0" w:space="0"/>
          <w:bottom w:val="none" w:color="000000" w:sz="0" w:space="0"/>
          <w:right w:val="none" w:color="000000" w:sz="0" w:space="0"/>
        </w:pBdr>
        <w:tabs>
          <w:tab w:val="left" w:pos="708"/>
        </w:tabs>
        <w:suppressAutoHyphens/>
        <w:spacing w:after="0" w:line="360" w:lineRule="auto"/>
        <w:ind w:firstLine="709"/>
        <w:jc w:val="both"/>
        <w:rPr>
          <w:rFonts w:ascii="Times New Roman" w:hAnsi="Times New Roman" w:eastAsia="Times New Roman"/>
          <w:lang w:eastAsia="zh-CN"/>
        </w:rPr>
      </w:pPr>
      <w:r>
        <w:rPr>
          <w:rFonts w:ascii="Times New Roman" w:hAnsi="Times New Roman" w:eastAsia="Times New Roman"/>
          <w:lang w:eastAsia="zh-CN"/>
        </w:rPr>
        <w:t>выявление, развитие и поддержка одарённых детей в области шахматного спорта.</w:t>
      </w:r>
    </w:p>
    <w:p w14:paraId="605B7090">
      <w:pPr>
        <w:pBdr>
          <w:top w:val="none" w:color="000000" w:sz="0" w:space="0"/>
          <w:left w:val="none" w:color="000000" w:sz="0" w:space="0"/>
          <w:bottom w:val="none" w:color="000000" w:sz="0" w:space="0"/>
          <w:right w:val="none" w:color="000000" w:sz="0" w:space="0"/>
        </w:pBdr>
        <w:tabs>
          <w:tab w:val="left" w:pos="708"/>
        </w:tabs>
        <w:suppressAutoHyphens/>
        <w:spacing w:after="0" w:line="360" w:lineRule="auto"/>
        <w:ind w:firstLine="709"/>
        <w:jc w:val="both"/>
        <w:rPr>
          <w:rFonts w:ascii="Times New Roman" w:hAnsi="Times New Roman" w:eastAsia="Times New Roman"/>
          <w:lang w:eastAsia="zh-CN"/>
        </w:rPr>
      </w:pPr>
      <w:r>
        <w:rPr>
          <w:rFonts w:ascii="Times New Roman" w:hAnsi="Times New Roman" w:eastAsia="Times New Roman"/>
          <w:bCs/>
          <w:lang w:eastAsia="zh-CN"/>
        </w:rPr>
        <w:t>16.4.</w:t>
      </w:r>
      <w:r>
        <w:rPr>
          <w:rFonts w:ascii="Times New Roman" w:hAnsi="Times New Roman" w:eastAsia="Times New Roman"/>
          <w:lang w:eastAsia="zh-CN"/>
        </w:rPr>
        <w:t>12.4.</w:t>
      </w:r>
      <w:r>
        <w:rPr>
          <w:rFonts w:ascii="Times New Roman" w:hAnsi="Times New Roman" w:eastAsia="Times New Roman"/>
        </w:rPr>
        <w:t> </w:t>
      </w:r>
      <w:r>
        <w:rPr>
          <w:rFonts w:ascii="Times New Roman" w:hAnsi="Times New Roman" w:eastAsia="Times New Roman"/>
          <w:lang w:eastAsia="zh-CN"/>
        </w:rPr>
        <w:t>Место и роль модуля «Подвижные шахматы».</w:t>
      </w:r>
    </w:p>
    <w:p w14:paraId="4A1D2206">
      <w:pPr>
        <w:pBdr>
          <w:top w:val="none" w:color="000000" w:sz="0" w:space="0"/>
          <w:left w:val="none" w:color="000000" w:sz="0" w:space="0"/>
          <w:bottom w:val="none" w:color="000000" w:sz="0" w:space="0"/>
          <w:right w:val="none" w:color="000000" w:sz="0" w:space="0"/>
        </w:pBdr>
        <w:suppressAutoHyphens/>
        <w:autoSpaceDE w:val="0"/>
        <w:spacing w:after="0" w:line="360" w:lineRule="auto"/>
        <w:ind w:firstLine="709"/>
        <w:jc w:val="both"/>
        <w:rPr>
          <w:rFonts w:ascii="Times New Roman" w:hAnsi="Times New Roman"/>
          <w:u w:color="000000"/>
          <w:lang w:eastAsia="ru-RU"/>
        </w:rPr>
      </w:pPr>
      <w:r>
        <w:rPr>
          <w:rFonts w:ascii="Times New Roman" w:hAnsi="Times New Roman"/>
          <w:lang w:eastAsia="zh-CN"/>
        </w:rPr>
        <w:t>Модуль «Подвижные шахматы» предполагает доступность освоения учебного материала по шахматам всеми обучающихся, независимо от уровня их физического развития и пола и расширяет спектр физкультурно-спортивных направлений в общеобразовательных организациях.</w:t>
      </w:r>
      <w:r>
        <w:rPr>
          <w:rFonts w:ascii="Times New Roman" w:hAnsi="Times New Roman"/>
          <w:u w:color="000000"/>
          <w:lang w:eastAsia="ru-RU"/>
        </w:rPr>
        <w:t xml:space="preserve"> </w:t>
      </w:r>
    </w:p>
    <w:p w14:paraId="5DC202F5">
      <w:pPr>
        <w:pBdr>
          <w:top w:val="none" w:color="000000" w:sz="0" w:space="0"/>
          <w:left w:val="none" w:color="000000" w:sz="0" w:space="0"/>
          <w:bottom w:val="none" w:color="000000" w:sz="0" w:space="0"/>
          <w:right w:val="none" w:color="000000" w:sz="0" w:space="0"/>
        </w:pBdr>
        <w:tabs>
          <w:tab w:val="left" w:pos="708"/>
        </w:tabs>
        <w:suppressAutoHyphens/>
        <w:spacing w:after="0" w:line="360" w:lineRule="auto"/>
        <w:ind w:firstLine="709"/>
        <w:jc w:val="both"/>
        <w:rPr>
          <w:rFonts w:ascii="Times New Roman" w:hAnsi="Times New Roman" w:eastAsia="Times New Roman"/>
          <w:lang w:eastAsia="zh-CN"/>
        </w:rPr>
      </w:pPr>
      <w:r>
        <w:rPr>
          <w:rFonts w:ascii="Times New Roman" w:hAnsi="Times New Roman" w:eastAsia="Times New Roman"/>
          <w:lang w:eastAsia="zh-CN"/>
        </w:rPr>
        <w:t>Модуль по</w:t>
      </w:r>
      <w:r>
        <w:rPr>
          <w:rFonts w:ascii="Times New Roman" w:hAnsi="Times New Roman"/>
          <w:lang w:eastAsia="zh-CN"/>
        </w:rPr>
        <w:t xml:space="preserve"> подвижным шахматам</w:t>
      </w:r>
      <w:r>
        <w:rPr>
          <w:rFonts w:ascii="Times New Roman" w:hAnsi="Times New Roman" w:eastAsia="Times New Roman"/>
          <w:lang w:eastAsia="zh-CN"/>
        </w:rPr>
        <w:t xml:space="preserve"> формирует специальные компетенции обучающихся для получения первоначальных знаний о шахматах как о виде спорта, формирования умений и навыков для ведения борьбы в шахматной партии, овладения техническими приёмами и базовыми сведениями по тактике и стратегии, улучшает возможности по развитию памяти и логики, повышения физической и умственной работоспособности.</w:t>
      </w:r>
    </w:p>
    <w:p w14:paraId="4D116A6F">
      <w:pPr>
        <w:pBdr>
          <w:top w:val="none" w:color="000000" w:sz="0" w:space="0"/>
          <w:left w:val="none" w:color="000000" w:sz="0" w:space="0"/>
          <w:bottom w:val="none" w:color="000000" w:sz="0" w:space="0"/>
          <w:right w:val="none" w:color="000000" w:sz="0" w:space="0"/>
        </w:pBdr>
        <w:suppressAutoHyphens/>
        <w:autoSpaceDE w:val="0"/>
        <w:spacing w:after="0" w:line="360" w:lineRule="auto"/>
        <w:ind w:firstLine="709"/>
        <w:jc w:val="both"/>
        <w:rPr>
          <w:rFonts w:ascii="Times New Roman" w:hAnsi="Times New Roman"/>
          <w:lang w:eastAsia="ru-RU"/>
        </w:rPr>
      </w:pPr>
      <w:r>
        <w:rPr>
          <w:rFonts w:ascii="Times New Roman" w:hAnsi="Times New Roman"/>
          <w:u w:color="000000"/>
          <w:lang w:eastAsia="ru-RU"/>
        </w:rPr>
        <w:t xml:space="preserve">Интеграция модуля по </w:t>
      </w:r>
      <w:r>
        <w:rPr>
          <w:rFonts w:ascii="Times New Roman" w:hAnsi="Times New Roman"/>
          <w:lang w:eastAsia="zh-CN"/>
        </w:rPr>
        <w:t>подвижным шахматам</w:t>
      </w:r>
      <w:r>
        <w:rPr>
          <w:rFonts w:ascii="Times New Roman" w:hAnsi="Times New Roman" w:eastAsia="Times New Roman"/>
          <w:lang w:eastAsia="zh-CN"/>
        </w:rPr>
        <w:t xml:space="preserve"> </w:t>
      </w:r>
      <w:r>
        <w:rPr>
          <w:rFonts w:ascii="Times New Roman" w:hAnsi="Times New Roman"/>
          <w:u w:color="000000"/>
          <w:lang w:eastAsia="ru-RU"/>
        </w:rPr>
        <w:t xml:space="preserve">поможет обучающимся в освоении содержательных компонентов и модулей по легкой атлетике, подвижным и спортивным играм, гимнастике, а также </w:t>
      </w:r>
      <w:r>
        <w:rPr>
          <w:rFonts w:ascii="Times New Roman" w:hAnsi="Times New Roman"/>
          <w:lang w:eastAsia="ru-RU"/>
        </w:rPr>
        <w:t xml:space="preserve">в освоении программ в рамках внеурочной деятельности, </w:t>
      </w:r>
      <w:r>
        <w:rPr>
          <w:rFonts w:ascii="Times New Roman" w:hAnsi="Times New Roman"/>
          <w:lang w:eastAsia="zh-CN"/>
        </w:rPr>
        <w:t xml:space="preserve">дополнительного образования физкультурно-спортивной направленности, </w:t>
      </w:r>
      <w:r>
        <w:rPr>
          <w:rFonts w:ascii="Times New Roman" w:hAnsi="Times New Roman"/>
          <w:lang w:eastAsia="ru-RU"/>
        </w:rPr>
        <w:t>деятельности школьных спортивных клубов и участии в спортивных мероприятиях.</w:t>
      </w:r>
    </w:p>
    <w:p w14:paraId="471D67B7">
      <w:pPr>
        <w:pBdr>
          <w:top w:val="none" w:color="000000" w:sz="0" w:space="0"/>
          <w:left w:val="none" w:color="000000" w:sz="0" w:space="0"/>
          <w:bottom w:val="none" w:color="000000" w:sz="0" w:space="0"/>
          <w:right w:val="none" w:color="000000" w:sz="0" w:space="0"/>
        </w:pBdr>
        <w:tabs>
          <w:tab w:val="left" w:pos="708"/>
        </w:tabs>
        <w:suppressAutoHyphens/>
        <w:spacing w:after="0" w:line="360" w:lineRule="auto"/>
        <w:ind w:firstLine="709"/>
        <w:jc w:val="both"/>
        <w:rPr>
          <w:rFonts w:ascii="Times New Roman" w:hAnsi="Times New Roman" w:eastAsia="Times New Roman"/>
          <w:lang w:eastAsia="zh-CN"/>
        </w:rPr>
      </w:pPr>
      <w:r>
        <w:rPr>
          <w:rFonts w:ascii="Times New Roman" w:hAnsi="Times New Roman" w:eastAsia="Times New Roman"/>
          <w:bCs/>
          <w:lang w:eastAsia="zh-CN"/>
        </w:rPr>
        <w:t>16.4.</w:t>
      </w:r>
      <w:r>
        <w:rPr>
          <w:rFonts w:ascii="Times New Roman" w:hAnsi="Times New Roman" w:eastAsia="Times New Roman"/>
          <w:lang w:eastAsia="zh-CN"/>
        </w:rPr>
        <w:t>12.5. Модуль «Подвижные шахматы» может быть реализован в следующих вариантах:</w:t>
      </w:r>
    </w:p>
    <w:p w14:paraId="6F640C0F">
      <w:pPr>
        <w:autoSpaceDE w:val="0"/>
        <w:autoSpaceDN w:val="0"/>
        <w:spacing w:after="0" w:line="360" w:lineRule="auto"/>
        <w:ind w:firstLine="709"/>
        <w:jc w:val="both"/>
        <w:rPr>
          <w:rFonts w:ascii="Times New Roman" w:hAnsi="Times New Roman" w:eastAsia="Times New Roman"/>
        </w:rPr>
      </w:pPr>
      <w:r>
        <w:rPr>
          <w:rFonts w:ascii="Times New Roman" w:hAnsi="Times New Roman" w:eastAsia="Times New Roman"/>
        </w:rPr>
        <w:t>при самостоятельном планировании учителем физической культуры процесса освоения обучающимися учебного материала по шахматам с выбором различных элементов плавания, с учётом возраста и физической подготовленности обучающихся (с соответствующей дозировкой и интенсивностью);</w:t>
      </w:r>
    </w:p>
    <w:p w14:paraId="70EB4850">
      <w:pPr>
        <w:suppressAutoHyphens/>
        <w:autoSpaceDE w:val="0"/>
        <w:autoSpaceDN w:val="0"/>
        <w:spacing w:after="0" w:line="360" w:lineRule="auto"/>
        <w:ind w:firstLine="709"/>
        <w:jc w:val="both"/>
        <w:rPr>
          <w:rFonts w:ascii="Times New Roman" w:hAnsi="Times New Roman" w:eastAsia="Times New Roman"/>
          <w:lang w:eastAsia="zh-CN"/>
        </w:rPr>
      </w:pPr>
      <w:r>
        <w:rPr>
          <w:rFonts w:ascii="Times New Roman" w:hAnsi="Times New Roman" w:eastAsia="Times New Roman"/>
          <w:lang w:eastAsia="zh-CN"/>
        </w:rPr>
        <w:t xml:space="preserve">в виде целостного последовательного учебного модуля, изучаемого за счёт части учебного плана, формируемой участниками образовательных отношений из перечня, предлагаемого образовательной организацией, включающей, в частности, учебные модули по выбору обучающихся, родителей (законных представителей) несовершеннолетних обучающихся, в том числе предусматривающие удовлетворение различных интересов обучающихся </w:t>
      </w:r>
      <w:r>
        <w:rPr>
          <w:rFonts w:ascii="Times New Roman" w:hAnsi="Times New Roman" w:eastAsia="Times New Roman"/>
          <w:u w:color="000000"/>
        </w:rPr>
        <w:t>(</w:t>
      </w:r>
      <w:r>
        <w:rPr>
          <w:rFonts w:ascii="Times New Roman" w:hAnsi="Times New Roman" w:eastAsia="Times New Roman"/>
        </w:rPr>
        <w:t>рекомендуемый объём в 1 классе – 33 часа, во 2 классе – 34 часа).</w:t>
      </w:r>
    </w:p>
    <w:p w14:paraId="6A61856E">
      <w:pPr>
        <w:suppressAutoHyphens/>
        <w:autoSpaceDE w:val="0"/>
        <w:autoSpaceDN w:val="0"/>
        <w:spacing w:after="0" w:line="360" w:lineRule="auto"/>
        <w:ind w:firstLine="709"/>
        <w:jc w:val="both"/>
        <w:rPr>
          <w:rFonts w:ascii="Times New Roman" w:hAnsi="Times New Roman" w:eastAsia="Times New Roman"/>
          <w:lang w:eastAsia="zh-CN"/>
        </w:rPr>
      </w:pPr>
      <w:r>
        <w:rPr>
          <w:rFonts w:ascii="Times New Roman" w:hAnsi="Times New Roman"/>
          <w:lang w:eastAsia="zh-CN"/>
        </w:rPr>
        <w:t xml:space="preserve">в виде дополнительных часов, выделяемых на спортивно-оздоровительную работу с обучающимися в рамках внеурочной деятельности, деятельности школьных спортивных клубов, </w:t>
      </w:r>
      <w:r>
        <w:rPr>
          <w:rFonts w:ascii="Times New Roman" w:hAnsi="Times New Roman"/>
        </w:rPr>
        <w:t>включая использование учебных модулей по видам спорта</w:t>
      </w:r>
      <w:r>
        <w:rPr>
          <w:rFonts w:ascii="Times New Roman" w:hAnsi="Times New Roman"/>
          <w:lang w:eastAsia="zh-CN"/>
        </w:rPr>
        <w:t xml:space="preserve"> </w:t>
      </w:r>
      <w:r>
        <w:rPr>
          <w:rFonts w:ascii="Times New Roman" w:hAnsi="Times New Roman" w:eastAsia="Times New Roman"/>
          <w:u w:color="000000"/>
        </w:rPr>
        <w:t>(</w:t>
      </w:r>
      <w:r>
        <w:rPr>
          <w:rFonts w:ascii="Times New Roman" w:hAnsi="Times New Roman" w:eastAsia="Times New Roman"/>
        </w:rPr>
        <w:t>рекомендуемый объём в 1 классе – 33 часа, во 2 классе – 34 часа).</w:t>
      </w:r>
    </w:p>
    <w:p w14:paraId="3E2C6188">
      <w:pPr>
        <w:autoSpaceDE w:val="0"/>
        <w:autoSpaceDN w:val="0"/>
        <w:spacing w:after="0" w:line="360" w:lineRule="auto"/>
        <w:ind w:firstLine="709"/>
        <w:jc w:val="both"/>
        <w:rPr>
          <w:rFonts w:ascii="Times New Roman" w:hAnsi="Times New Roman"/>
          <w:lang w:eastAsia="zh-CN"/>
        </w:rPr>
      </w:pPr>
      <w:r>
        <w:rPr>
          <w:rFonts w:ascii="Times New Roman" w:hAnsi="Times New Roman" w:eastAsia="Times New Roman"/>
          <w:bCs/>
          <w:lang w:eastAsia="zh-CN"/>
        </w:rPr>
        <w:t>16.4.</w:t>
      </w:r>
      <w:r>
        <w:rPr>
          <w:rFonts w:ascii="Times New Roman" w:hAnsi="Times New Roman"/>
          <w:lang w:eastAsia="zh-CN"/>
        </w:rPr>
        <w:t>12.6.</w:t>
      </w:r>
      <w:r>
        <w:rPr>
          <w:rFonts w:ascii="Times New Roman" w:hAnsi="Times New Roman"/>
        </w:rPr>
        <w:t> </w:t>
      </w:r>
      <w:r>
        <w:rPr>
          <w:rFonts w:ascii="Times New Roman" w:hAnsi="Times New Roman"/>
          <w:lang w:eastAsia="zh-CN"/>
        </w:rPr>
        <w:t>Содержание модуля «Подвижные шахматы».</w:t>
      </w:r>
    </w:p>
    <w:p w14:paraId="24550326">
      <w:pPr>
        <w:pBdr>
          <w:top w:val="none" w:color="000000" w:sz="0" w:space="0"/>
          <w:left w:val="none" w:color="000000" w:sz="0" w:space="0"/>
          <w:bottom w:val="none" w:color="000000" w:sz="0" w:space="0"/>
          <w:right w:val="none" w:color="000000" w:sz="0" w:space="0"/>
        </w:pBdr>
        <w:suppressAutoHyphens/>
        <w:spacing w:after="0" w:line="360" w:lineRule="auto"/>
        <w:ind w:firstLine="709"/>
        <w:jc w:val="both"/>
        <w:rPr>
          <w:rFonts w:ascii="Times New Roman" w:hAnsi="Times New Roman"/>
          <w:lang w:eastAsia="zh-CN"/>
        </w:rPr>
      </w:pPr>
      <w:r>
        <w:rPr>
          <w:rFonts w:ascii="Times New Roman" w:hAnsi="Times New Roman"/>
          <w:lang w:eastAsia="zh-CN"/>
        </w:rPr>
        <w:t>Знания о шахматах.</w:t>
      </w:r>
    </w:p>
    <w:p w14:paraId="5AB6AC9B">
      <w:pPr>
        <w:pBdr>
          <w:top w:val="none" w:color="000000" w:sz="0" w:space="0"/>
          <w:left w:val="none" w:color="000000" w:sz="0" w:space="0"/>
          <w:bottom w:val="none" w:color="000000" w:sz="0" w:space="0"/>
          <w:right w:val="none" w:color="000000" w:sz="0" w:space="0"/>
        </w:pBdr>
        <w:shd w:val="clear" w:color="auto" w:fill="FFFFFF"/>
        <w:tabs>
          <w:tab w:val="left" w:pos="571"/>
        </w:tabs>
        <w:suppressAutoHyphens/>
        <w:autoSpaceDE w:val="0"/>
        <w:spacing w:after="0" w:line="360" w:lineRule="auto"/>
        <w:ind w:firstLine="709"/>
        <w:jc w:val="both"/>
        <w:rPr>
          <w:rFonts w:ascii="Times New Roman" w:hAnsi="Times New Roman"/>
          <w:lang w:eastAsia="zh-CN"/>
        </w:rPr>
      </w:pPr>
      <w:r>
        <w:rPr>
          <w:rFonts w:ascii="Times New Roman" w:hAnsi="Times New Roman"/>
          <w:lang w:eastAsia="zh-CN"/>
        </w:rPr>
        <w:t xml:space="preserve">История развития шахмат как вида спорта в мире, в Российской Федерации, в регионе. Достижения отечественных шахматистов на мировых первенствах и Всемирных шахматных олимпиадах. </w:t>
      </w:r>
    </w:p>
    <w:p w14:paraId="56E07198">
      <w:pPr>
        <w:pBdr>
          <w:top w:val="none" w:color="000000" w:sz="0" w:space="0"/>
          <w:left w:val="none" w:color="000000" w:sz="0" w:space="0"/>
          <w:bottom w:val="none" w:color="000000" w:sz="0" w:space="0"/>
          <w:right w:val="none" w:color="000000" w:sz="0" w:space="0"/>
        </w:pBdr>
        <w:shd w:val="clear" w:color="auto" w:fill="FFFFFF"/>
        <w:tabs>
          <w:tab w:val="left" w:pos="571"/>
        </w:tabs>
        <w:suppressAutoHyphens/>
        <w:autoSpaceDE w:val="0"/>
        <w:spacing w:after="0" w:line="360" w:lineRule="auto"/>
        <w:ind w:firstLine="709"/>
        <w:jc w:val="both"/>
        <w:rPr>
          <w:rFonts w:ascii="Times New Roman" w:hAnsi="Times New Roman"/>
          <w:lang w:eastAsia="zh-CN"/>
        </w:rPr>
      </w:pPr>
      <w:r>
        <w:rPr>
          <w:rFonts w:ascii="Times New Roman" w:hAnsi="Times New Roman"/>
          <w:lang w:eastAsia="zh-CN"/>
        </w:rPr>
        <w:t xml:space="preserve">Характеристика видов шахмат (классические, быстрые, шахматная композиция, компьютерные шахматы, игра в интернете). </w:t>
      </w:r>
    </w:p>
    <w:p w14:paraId="66EE3B10">
      <w:pPr>
        <w:pBdr>
          <w:top w:val="none" w:color="000000" w:sz="0" w:space="0"/>
          <w:left w:val="none" w:color="000000" w:sz="0" w:space="0"/>
          <w:bottom w:val="none" w:color="000000" w:sz="0" w:space="0"/>
          <w:right w:val="none" w:color="000000" w:sz="0" w:space="0"/>
        </w:pBdr>
        <w:shd w:val="clear" w:color="auto" w:fill="FFFFFF"/>
        <w:tabs>
          <w:tab w:val="left" w:pos="571"/>
        </w:tabs>
        <w:suppressAutoHyphens/>
        <w:autoSpaceDE w:val="0"/>
        <w:spacing w:after="0" w:line="360" w:lineRule="auto"/>
        <w:ind w:firstLine="709"/>
        <w:jc w:val="both"/>
        <w:rPr>
          <w:rFonts w:ascii="Times New Roman" w:hAnsi="Times New Roman"/>
          <w:lang w:eastAsia="zh-CN"/>
        </w:rPr>
      </w:pPr>
      <w:r>
        <w:rPr>
          <w:rFonts w:ascii="Times New Roman" w:hAnsi="Times New Roman"/>
          <w:lang w:eastAsia="zh-CN"/>
        </w:rPr>
        <w:t>Базовые сведения о теории шахмат.</w:t>
      </w:r>
    </w:p>
    <w:p w14:paraId="5A7BF8BE">
      <w:pPr>
        <w:pBdr>
          <w:top w:val="none" w:color="000000" w:sz="0" w:space="0"/>
          <w:left w:val="none" w:color="000000" w:sz="0" w:space="0"/>
          <w:bottom w:val="none" w:color="000000" w:sz="0" w:space="0"/>
          <w:right w:val="none" w:color="000000" w:sz="0" w:space="0"/>
        </w:pBdr>
        <w:shd w:val="clear" w:color="auto" w:fill="FFFFFF"/>
        <w:tabs>
          <w:tab w:val="left" w:pos="571"/>
        </w:tabs>
        <w:suppressAutoHyphens/>
        <w:autoSpaceDE w:val="0"/>
        <w:spacing w:after="0" w:line="360" w:lineRule="auto"/>
        <w:ind w:firstLine="709"/>
        <w:jc w:val="both"/>
        <w:rPr>
          <w:rFonts w:ascii="Times New Roman" w:hAnsi="Times New Roman"/>
          <w:lang w:eastAsia="zh-CN"/>
        </w:rPr>
      </w:pPr>
      <w:r>
        <w:rPr>
          <w:rFonts w:ascii="Times New Roman" w:hAnsi="Times New Roman"/>
          <w:lang w:eastAsia="zh-CN"/>
        </w:rPr>
        <w:t xml:space="preserve">Основные правила проведения соревнований по шахматам. Шахматные часы. Роль судьи соревнований по шахматам. Словарь терминов и определений по шахматам. </w:t>
      </w:r>
    </w:p>
    <w:p w14:paraId="7FB4165D">
      <w:pPr>
        <w:pBdr>
          <w:top w:val="none" w:color="000000" w:sz="0" w:space="0"/>
          <w:left w:val="none" w:color="000000" w:sz="0" w:space="0"/>
          <w:bottom w:val="none" w:color="000000" w:sz="0" w:space="0"/>
          <w:right w:val="none" w:color="000000" w:sz="0" w:space="0"/>
        </w:pBdr>
        <w:shd w:val="clear" w:color="auto" w:fill="FFFFFF"/>
        <w:tabs>
          <w:tab w:val="left" w:pos="571"/>
        </w:tabs>
        <w:suppressAutoHyphens/>
        <w:autoSpaceDE w:val="0"/>
        <w:spacing w:after="0" w:line="360" w:lineRule="auto"/>
        <w:ind w:firstLine="709"/>
        <w:jc w:val="both"/>
        <w:rPr>
          <w:rFonts w:ascii="Times New Roman" w:hAnsi="Times New Roman"/>
          <w:lang w:eastAsia="zh-CN"/>
        </w:rPr>
      </w:pPr>
      <w:r>
        <w:rPr>
          <w:rFonts w:ascii="Times New Roman" w:hAnsi="Times New Roman"/>
          <w:lang w:eastAsia="zh-CN"/>
        </w:rPr>
        <w:t>Занятия шахматами для развития умственных способностей и укрепления здоровья.</w:t>
      </w:r>
      <w:r>
        <w:rPr>
          <w:rFonts w:ascii="Times New Roman" w:hAnsi="Times New Roman" w:eastAsia="Times New Roman"/>
          <w:lang w:eastAsia="zh-CN"/>
        </w:rPr>
        <w:t xml:space="preserve"> Режим дня при занятиях шахматами. Сведения о личностных качествах, необходимых шахматисту и способах их развития.</w:t>
      </w:r>
      <w:r>
        <w:rPr>
          <w:rFonts w:ascii="Times New Roman" w:hAnsi="Times New Roman"/>
          <w:lang w:eastAsia="zh-CN"/>
        </w:rPr>
        <w:t xml:space="preserve"> Значение занятий шахматами для формирования положительных качеств личности человека.</w:t>
      </w:r>
    </w:p>
    <w:p w14:paraId="1F95DE3D">
      <w:pPr>
        <w:pBdr>
          <w:top w:val="none" w:color="000000" w:sz="0" w:space="0"/>
          <w:left w:val="none" w:color="000000" w:sz="0" w:space="0"/>
          <w:bottom w:val="none" w:color="000000" w:sz="0" w:space="0"/>
          <w:right w:val="none" w:color="000000" w:sz="0" w:space="0"/>
        </w:pBdr>
        <w:shd w:val="clear" w:color="auto" w:fill="FFFFFF"/>
        <w:tabs>
          <w:tab w:val="left" w:pos="571"/>
        </w:tabs>
        <w:suppressAutoHyphens/>
        <w:autoSpaceDE w:val="0"/>
        <w:spacing w:after="0" w:line="360" w:lineRule="auto"/>
        <w:ind w:firstLine="709"/>
        <w:jc w:val="both"/>
        <w:rPr>
          <w:rFonts w:ascii="Times New Roman" w:hAnsi="Times New Roman"/>
          <w:lang w:eastAsia="zh-CN"/>
        </w:rPr>
      </w:pPr>
      <w:r>
        <w:rPr>
          <w:rFonts w:ascii="Times New Roman" w:hAnsi="Times New Roman"/>
          <w:lang w:eastAsia="zh-CN"/>
        </w:rPr>
        <w:t>Правила поведения и техники безопасности при занятиях шахматами</w:t>
      </w:r>
      <w:r>
        <w:rPr>
          <w:rFonts w:ascii="Times New Roman" w:hAnsi="Times New Roman" w:eastAsia="Times New Roman"/>
          <w:lang w:eastAsia="zh-CN"/>
        </w:rPr>
        <w:t>.</w:t>
      </w:r>
    </w:p>
    <w:p w14:paraId="3FC47ACB">
      <w:pPr>
        <w:autoSpaceDE w:val="0"/>
        <w:autoSpaceDN w:val="0"/>
        <w:spacing w:after="0" w:line="360" w:lineRule="auto"/>
        <w:ind w:firstLine="709"/>
        <w:jc w:val="both"/>
        <w:rPr>
          <w:rFonts w:ascii="Times New Roman" w:hAnsi="Times New Roman" w:eastAsia="Times New Roman"/>
        </w:rPr>
      </w:pPr>
      <w:r>
        <w:rPr>
          <w:rFonts w:ascii="Times New Roman" w:hAnsi="Times New Roman" w:eastAsia="Times New Roman"/>
        </w:rPr>
        <w:t xml:space="preserve">Способы физкультурной и шахматной деятельности на уроках физической культуры. </w:t>
      </w:r>
    </w:p>
    <w:p w14:paraId="2913AADE">
      <w:pPr>
        <w:autoSpaceDE w:val="0"/>
        <w:autoSpaceDN w:val="0"/>
        <w:adjustRightInd w:val="0"/>
        <w:spacing w:after="0" w:line="360" w:lineRule="auto"/>
        <w:ind w:firstLine="709"/>
        <w:jc w:val="both"/>
        <w:rPr>
          <w:rFonts w:ascii="Times New Roman" w:hAnsi="Times New Roman" w:eastAsia="Times New Roman"/>
        </w:rPr>
      </w:pPr>
      <w:r>
        <w:rPr>
          <w:rFonts w:ascii="Times New Roman" w:hAnsi="Times New Roman" w:eastAsia="Times New Roman"/>
        </w:rPr>
        <w:t xml:space="preserve">Способы физкультурной деятельности: </w:t>
      </w:r>
    </w:p>
    <w:p w14:paraId="6986F271">
      <w:pPr>
        <w:autoSpaceDE w:val="0"/>
        <w:autoSpaceDN w:val="0"/>
        <w:adjustRightInd w:val="0"/>
        <w:spacing w:after="0" w:line="360" w:lineRule="auto"/>
        <w:ind w:firstLine="709"/>
        <w:jc w:val="both"/>
        <w:rPr>
          <w:rFonts w:ascii="Times New Roman" w:hAnsi="Times New Roman"/>
          <w:lang w:eastAsia="zh-CN"/>
        </w:rPr>
      </w:pPr>
      <w:r>
        <w:rPr>
          <w:rFonts w:ascii="Times New Roman" w:hAnsi="Times New Roman" w:eastAsia="OfficinaSansExtraBoldITC-Reg"/>
        </w:rPr>
        <w:t xml:space="preserve">подбор </w:t>
      </w:r>
      <w:r>
        <w:rPr>
          <w:rFonts w:ascii="Times New Roman" w:hAnsi="Times New Roman" w:eastAsia="Times New Roman"/>
          <w:lang w:eastAsia="zh-CN"/>
        </w:rPr>
        <w:t xml:space="preserve">и составление комплексов </w:t>
      </w:r>
      <w:r>
        <w:rPr>
          <w:rFonts w:ascii="Times New Roman" w:hAnsi="Times New Roman"/>
          <w:lang w:eastAsia="zh-CN"/>
        </w:rPr>
        <w:t xml:space="preserve">общеразвивающих, специальных </w:t>
      </w:r>
      <w:r>
        <w:rPr>
          <w:rFonts w:ascii="Times New Roman" w:hAnsi="Times New Roman" w:eastAsia="Times New Roman"/>
          <w:lang w:eastAsia="zh-CN"/>
        </w:rPr>
        <w:t xml:space="preserve">упражнений </w:t>
      </w:r>
      <w:r>
        <w:rPr>
          <w:rFonts w:ascii="Times New Roman" w:hAnsi="Times New Roman"/>
          <w:lang w:eastAsia="zh-CN"/>
        </w:rPr>
        <w:t>для занятий общефизической подготовкой;</w:t>
      </w:r>
    </w:p>
    <w:p w14:paraId="5D0B1C57">
      <w:pPr>
        <w:autoSpaceDE w:val="0"/>
        <w:autoSpaceDN w:val="0"/>
        <w:adjustRightInd w:val="0"/>
        <w:spacing w:after="0" w:line="360" w:lineRule="auto"/>
        <w:ind w:firstLine="709"/>
        <w:jc w:val="both"/>
        <w:rPr>
          <w:rFonts w:ascii="Times New Roman" w:hAnsi="Times New Roman" w:eastAsia="OfficinaSansExtraBoldITC-Reg"/>
        </w:rPr>
      </w:pPr>
      <w:r>
        <w:rPr>
          <w:rFonts w:ascii="Times New Roman" w:hAnsi="Times New Roman" w:eastAsia="OfficinaSansExtraBoldITC-Reg"/>
        </w:rPr>
        <w:t>составление комбинаций упражнений для утренней гимнастики с индивидуальным дозированием физических упражнений;</w:t>
      </w:r>
    </w:p>
    <w:p w14:paraId="23742E17">
      <w:pPr>
        <w:autoSpaceDE w:val="0"/>
        <w:autoSpaceDN w:val="0"/>
        <w:adjustRightInd w:val="0"/>
        <w:spacing w:after="0" w:line="360" w:lineRule="auto"/>
        <w:ind w:firstLine="709"/>
        <w:jc w:val="both"/>
        <w:rPr>
          <w:rFonts w:ascii="Times New Roman" w:hAnsi="Times New Roman" w:eastAsia="OfficinaSansExtraBoldITC-Reg"/>
        </w:rPr>
      </w:pPr>
      <w:r>
        <w:rPr>
          <w:rFonts w:ascii="Times New Roman" w:hAnsi="Times New Roman" w:eastAsia="OfficinaSansExtraBoldITC-Reg"/>
        </w:rPr>
        <w:t>подбор физических упражнений для организации развивающих, подвижных игр и спортивных эстафет с шахматной тематикой;</w:t>
      </w:r>
    </w:p>
    <w:p w14:paraId="2B874EAE">
      <w:pPr>
        <w:pBdr>
          <w:top w:val="none" w:color="000000" w:sz="0" w:space="0"/>
          <w:left w:val="none" w:color="000000" w:sz="0" w:space="0"/>
          <w:bottom w:val="none" w:color="000000" w:sz="0" w:space="0"/>
          <w:right w:val="none" w:color="000000" w:sz="0" w:space="0"/>
        </w:pBdr>
        <w:suppressAutoHyphens/>
        <w:spacing w:after="0" w:line="360" w:lineRule="auto"/>
        <w:ind w:firstLine="709"/>
        <w:jc w:val="both"/>
        <w:rPr>
          <w:rFonts w:ascii="Times New Roman" w:hAnsi="Times New Roman"/>
          <w:lang w:eastAsia="zh-CN"/>
        </w:rPr>
      </w:pPr>
      <w:r>
        <w:rPr>
          <w:rFonts w:ascii="Times New Roman" w:hAnsi="Times New Roman"/>
          <w:lang w:eastAsia="zh-CN"/>
        </w:rPr>
        <w:t>организация и проведение подвижных игр с шахматной тематикой во время активного отдыха и каникул.</w:t>
      </w:r>
    </w:p>
    <w:p w14:paraId="0985F893">
      <w:pPr>
        <w:autoSpaceDE w:val="0"/>
        <w:autoSpaceDN w:val="0"/>
        <w:adjustRightInd w:val="0"/>
        <w:spacing w:after="0" w:line="360" w:lineRule="auto"/>
        <w:ind w:firstLine="709"/>
        <w:jc w:val="both"/>
        <w:rPr>
          <w:rFonts w:ascii="Times New Roman" w:hAnsi="Times New Roman" w:eastAsia="OfficinaSansExtraBoldITC-Reg"/>
        </w:rPr>
      </w:pPr>
      <w:r>
        <w:rPr>
          <w:rFonts w:ascii="Times New Roman" w:hAnsi="Times New Roman" w:eastAsia="OfficinaSansExtraBoldITC-Reg"/>
        </w:rPr>
        <w:t>Способы шахматной деятельности:</w:t>
      </w:r>
    </w:p>
    <w:p w14:paraId="484B4464">
      <w:pPr>
        <w:autoSpaceDE w:val="0"/>
        <w:autoSpaceDN w:val="0"/>
        <w:adjustRightInd w:val="0"/>
        <w:spacing w:after="0" w:line="360" w:lineRule="auto"/>
        <w:ind w:firstLine="709"/>
        <w:jc w:val="both"/>
        <w:rPr>
          <w:rFonts w:ascii="Times New Roman" w:hAnsi="Times New Roman" w:eastAsia="OfficinaSansExtraBoldITC-Reg"/>
        </w:rPr>
      </w:pPr>
      <w:r>
        <w:rPr>
          <w:rFonts w:ascii="Times New Roman" w:hAnsi="Times New Roman" w:eastAsia="OfficinaSansExtraBoldITC-Reg"/>
        </w:rPr>
        <w:t>самостоятельная организация развивающих, подвижных игр и спортивных эстафет с шахматной тематикой, в том числе игр на напольной шахматной доске в спортивном зале;</w:t>
      </w:r>
    </w:p>
    <w:p w14:paraId="2CC7AA6C">
      <w:pPr>
        <w:autoSpaceDE w:val="0"/>
        <w:autoSpaceDN w:val="0"/>
        <w:spacing w:after="0" w:line="360" w:lineRule="auto"/>
        <w:ind w:firstLine="709"/>
        <w:jc w:val="both"/>
        <w:rPr>
          <w:rFonts w:ascii="Times New Roman" w:hAnsi="Times New Roman" w:eastAsia="Times New Roman"/>
        </w:rPr>
      </w:pPr>
      <w:r>
        <w:rPr>
          <w:rFonts w:ascii="Times New Roman" w:hAnsi="Times New Roman" w:eastAsia="Times New Roman"/>
        </w:rPr>
        <w:t>подготовка мест для занятий шахматами в спортзале на напольной шахматной доске.</w:t>
      </w:r>
    </w:p>
    <w:p w14:paraId="65B73374">
      <w:pPr>
        <w:autoSpaceDE w:val="0"/>
        <w:autoSpaceDN w:val="0"/>
        <w:adjustRightInd w:val="0"/>
        <w:spacing w:after="0" w:line="360" w:lineRule="auto"/>
        <w:ind w:firstLine="709"/>
        <w:jc w:val="both"/>
        <w:rPr>
          <w:rFonts w:ascii="Times New Roman" w:hAnsi="Times New Roman" w:eastAsia="OfficinaSansExtraBoldITC-Reg"/>
        </w:rPr>
      </w:pPr>
      <w:r>
        <w:rPr>
          <w:rFonts w:ascii="Times New Roman" w:hAnsi="Times New Roman" w:eastAsia="OfficinaSansExtraBoldITC-Reg"/>
        </w:rPr>
        <w:t>Физическое совершенствование и развитие навыков игры в шахматы.</w:t>
      </w:r>
    </w:p>
    <w:p w14:paraId="344813F3">
      <w:pPr>
        <w:autoSpaceDE w:val="0"/>
        <w:autoSpaceDN w:val="0"/>
        <w:adjustRightInd w:val="0"/>
        <w:spacing w:after="0" w:line="360" w:lineRule="auto"/>
        <w:ind w:firstLine="709"/>
        <w:jc w:val="both"/>
        <w:rPr>
          <w:rFonts w:ascii="Times New Roman" w:hAnsi="Times New Roman" w:eastAsia="OfficinaSansExtraBoldITC-Reg"/>
        </w:rPr>
      </w:pPr>
      <w:r>
        <w:rPr>
          <w:rFonts w:ascii="Times New Roman" w:hAnsi="Times New Roman" w:eastAsia="OfficinaSansExtraBoldITC-Reg"/>
        </w:rPr>
        <w:t>Физкультурно-оздоровительная деятельность:</w:t>
      </w:r>
    </w:p>
    <w:p w14:paraId="316C9D91">
      <w:pPr>
        <w:pBdr>
          <w:top w:val="none" w:color="000000" w:sz="0" w:space="0"/>
          <w:left w:val="none" w:color="000000" w:sz="0" w:space="0"/>
          <w:bottom w:val="none" w:color="000000" w:sz="0" w:space="0"/>
          <w:right w:val="none" w:color="000000" w:sz="0" w:space="0"/>
        </w:pBdr>
        <w:shd w:val="clear" w:color="auto" w:fill="FFFFFF"/>
        <w:tabs>
          <w:tab w:val="left" w:pos="571"/>
        </w:tabs>
        <w:suppressAutoHyphens/>
        <w:autoSpaceDE w:val="0"/>
        <w:spacing w:after="0" w:line="360" w:lineRule="auto"/>
        <w:ind w:firstLine="709"/>
        <w:jc w:val="both"/>
        <w:rPr>
          <w:rFonts w:ascii="Times New Roman" w:hAnsi="Times New Roman"/>
          <w:lang w:eastAsia="zh-CN"/>
        </w:rPr>
      </w:pPr>
      <w:r>
        <w:rPr>
          <w:rFonts w:ascii="Times New Roman" w:hAnsi="Times New Roman"/>
          <w:lang w:eastAsia="zh-CN"/>
        </w:rPr>
        <w:t>общеразвивающие и специальные упражнения на развитие физических качеств.</w:t>
      </w:r>
    </w:p>
    <w:p w14:paraId="66EFC2D6">
      <w:pPr>
        <w:autoSpaceDE w:val="0"/>
        <w:autoSpaceDN w:val="0"/>
        <w:adjustRightInd w:val="0"/>
        <w:spacing w:after="0" w:line="360" w:lineRule="auto"/>
        <w:ind w:firstLine="709"/>
        <w:jc w:val="both"/>
        <w:rPr>
          <w:rFonts w:ascii="Times New Roman" w:hAnsi="Times New Roman" w:eastAsia="OfficinaSansExtraBoldITC-Reg"/>
        </w:rPr>
      </w:pPr>
      <w:r>
        <w:rPr>
          <w:rFonts w:ascii="Times New Roman" w:hAnsi="Times New Roman" w:eastAsia="OfficinaSansExtraBoldITC-Reg"/>
        </w:rPr>
        <w:t>Шахматная деятельность:</w:t>
      </w:r>
    </w:p>
    <w:p w14:paraId="31AE1C6A">
      <w:pPr>
        <w:autoSpaceDE w:val="0"/>
        <w:autoSpaceDN w:val="0"/>
        <w:adjustRightInd w:val="0"/>
        <w:spacing w:after="0" w:line="360" w:lineRule="auto"/>
        <w:ind w:firstLine="709"/>
        <w:jc w:val="both"/>
        <w:rPr>
          <w:rFonts w:ascii="Times New Roman" w:hAnsi="Times New Roman" w:eastAsia="OfficinaSansExtraBoldITC-Reg"/>
        </w:rPr>
      </w:pPr>
      <w:r>
        <w:rPr>
          <w:rFonts w:ascii="Times New Roman" w:hAnsi="Times New Roman" w:eastAsia="OfficinaSansExtraBoldITC-Reg"/>
        </w:rPr>
        <w:t>подвижные игры с шахматной тематикой (правила игры) на напольной шахматной доске;</w:t>
      </w:r>
    </w:p>
    <w:p w14:paraId="63A819E5">
      <w:pPr>
        <w:autoSpaceDE w:val="0"/>
        <w:autoSpaceDN w:val="0"/>
        <w:adjustRightInd w:val="0"/>
        <w:spacing w:after="0" w:line="360" w:lineRule="auto"/>
        <w:ind w:firstLine="709"/>
        <w:jc w:val="both"/>
        <w:rPr>
          <w:rFonts w:ascii="Times New Roman" w:hAnsi="Times New Roman" w:eastAsia="OfficinaSansExtraBoldITC-Reg"/>
        </w:rPr>
      </w:pPr>
      <w:r>
        <w:rPr>
          <w:rFonts w:ascii="Times New Roman" w:hAnsi="Times New Roman" w:eastAsia="OfficinaSansExtraBoldITC-Reg"/>
        </w:rPr>
        <w:t xml:space="preserve">спортивные эстафеты с шахматной тематикой (нахождение шахматных полей с помощью алгебраической нотации), конструировать в ходе спортивных эстафет и подвижных игр различные </w:t>
      </w:r>
      <w:r>
        <w:rPr>
          <w:rFonts w:ascii="Times New Roman" w:hAnsi="Times New Roman" w:eastAsia="Times New Roman"/>
        </w:rPr>
        <w:t>способы ставить мат одинокому королю</w:t>
      </w:r>
      <w:r>
        <w:rPr>
          <w:rFonts w:ascii="Times New Roman" w:hAnsi="Times New Roman" w:eastAsia="OfficinaSansExtraBoldITC-Reg"/>
        </w:rPr>
        <w:t>.</w:t>
      </w:r>
    </w:p>
    <w:p w14:paraId="7984D1FD">
      <w:pPr>
        <w:autoSpaceDE w:val="0"/>
        <w:autoSpaceDN w:val="0"/>
        <w:spacing w:after="0" w:line="360" w:lineRule="auto"/>
        <w:ind w:firstLine="709"/>
        <w:jc w:val="both"/>
        <w:rPr>
          <w:rFonts w:ascii="Times New Roman" w:hAnsi="Times New Roman"/>
          <w:u w:color="000000"/>
          <w:lang w:eastAsia="zh-CN"/>
        </w:rPr>
      </w:pPr>
      <w:r>
        <w:rPr>
          <w:rFonts w:ascii="Times New Roman" w:hAnsi="Times New Roman" w:eastAsia="Times New Roman"/>
          <w:bCs/>
          <w:lang w:eastAsia="zh-CN"/>
        </w:rPr>
        <w:t>16.4.</w:t>
      </w:r>
      <w:r>
        <w:rPr>
          <w:rFonts w:ascii="Times New Roman" w:hAnsi="Times New Roman" w:eastAsia="OfficinaSansMediumITC-Reg"/>
        </w:rPr>
        <w:t>12.7. </w:t>
      </w:r>
      <w:r>
        <w:rPr>
          <w:rFonts w:ascii="Times New Roman" w:hAnsi="Times New Roman"/>
          <w:u w:color="000000"/>
          <w:lang w:eastAsia="zh-CN"/>
        </w:rPr>
        <w:t>Содержание модуля «Подвижные шахматы» направлено на достижение обучающимися личностных, метапредметных и предметных результатов обучения.</w:t>
      </w:r>
    </w:p>
    <w:p w14:paraId="341BCB10">
      <w:pPr>
        <w:autoSpaceDE w:val="0"/>
        <w:autoSpaceDN w:val="0"/>
        <w:spacing w:after="0" w:line="360" w:lineRule="auto"/>
        <w:ind w:firstLine="709"/>
        <w:jc w:val="both"/>
        <w:rPr>
          <w:rFonts w:ascii="Times New Roman" w:hAnsi="Times New Roman"/>
          <w:u w:color="000000"/>
          <w:lang w:eastAsia="zh-CN"/>
        </w:rPr>
      </w:pPr>
      <w:r>
        <w:rPr>
          <w:rFonts w:ascii="Times New Roman" w:hAnsi="Times New Roman" w:eastAsia="Times New Roman"/>
          <w:bCs/>
          <w:lang w:eastAsia="zh-CN"/>
        </w:rPr>
        <w:t>16.4.</w:t>
      </w:r>
      <w:r>
        <w:rPr>
          <w:rFonts w:ascii="Times New Roman" w:hAnsi="Times New Roman" w:eastAsia="OfficinaSansMediumITC-Reg"/>
        </w:rPr>
        <w:t>12.7.1. </w:t>
      </w:r>
      <w:r>
        <w:rPr>
          <w:rFonts w:ascii="Times New Roman" w:hAnsi="Times New Roman"/>
          <w:u w:color="000000"/>
          <w:lang w:eastAsia="zh-CN"/>
        </w:rPr>
        <w:t>При изучении модуля «Подвижные шахматы» на уровне начального общего образования у обучающихся будут сформированы следующие личностные результаты:</w:t>
      </w:r>
    </w:p>
    <w:p w14:paraId="2B454A58">
      <w:pPr>
        <w:spacing w:after="0" w:line="360" w:lineRule="auto"/>
        <w:ind w:firstLine="709"/>
        <w:contextualSpacing/>
        <w:jc w:val="both"/>
        <w:rPr>
          <w:rFonts w:ascii="Times New Roman" w:hAnsi="Times New Roman" w:eastAsia="Times New Roman"/>
          <w:u w:color="000000"/>
          <w:lang w:eastAsia="ru-RU"/>
        </w:rPr>
      </w:pPr>
      <w:r>
        <w:rPr>
          <w:rFonts w:ascii="Times New Roman" w:hAnsi="Times New Roman" w:eastAsia="HiddenHorzOCR"/>
          <w:u w:color="000000"/>
          <w:lang w:eastAsia="ru-RU"/>
        </w:rPr>
        <w:t xml:space="preserve">проявление чувства гордости за свою Родину, российский народ и историю России через </w:t>
      </w:r>
      <w:r>
        <w:rPr>
          <w:rFonts w:ascii="Times New Roman" w:hAnsi="Times New Roman"/>
          <w:u w:color="000000"/>
          <w:lang w:eastAsia="ru-RU"/>
        </w:rPr>
        <w:t>достижения отечественной сборной команды страны;</w:t>
      </w:r>
    </w:p>
    <w:p w14:paraId="0BE84300">
      <w:pPr>
        <w:spacing w:after="0" w:line="360" w:lineRule="auto"/>
        <w:ind w:firstLine="709"/>
        <w:contextualSpacing/>
        <w:jc w:val="both"/>
        <w:rPr>
          <w:rFonts w:ascii="Times New Roman" w:hAnsi="Times New Roman"/>
          <w:u w:color="000000"/>
          <w:lang w:eastAsia="ru-RU"/>
        </w:rPr>
      </w:pPr>
      <w:r>
        <w:rPr>
          <w:rFonts w:ascii="Times New Roman" w:hAnsi="Times New Roman"/>
          <w:u w:color="000000"/>
          <w:lang w:eastAsia="ru-RU"/>
        </w:rPr>
        <w:t xml:space="preserve">проявление уважительного отношения к сверстникам, культуры общения и взаимодействия, </w:t>
      </w:r>
      <w:r>
        <w:rPr>
          <w:rFonts w:ascii="Times New Roman" w:hAnsi="Times New Roman"/>
          <w:lang w:eastAsia="zh-CN"/>
        </w:rPr>
        <w:t>нравственного поведения, проявление положительных качеств личности, осознанного и ответственного отношения к собственным поступкам, решение проблем в процессе занятий шахматами;</w:t>
      </w:r>
    </w:p>
    <w:p w14:paraId="7A3EA13A">
      <w:pPr>
        <w:pBdr>
          <w:top w:val="none" w:color="000000" w:sz="0" w:space="0"/>
          <w:left w:val="none" w:color="000000" w:sz="0" w:space="0"/>
          <w:bottom w:val="none" w:color="000000" w:sz="0" w:space="0"/>
          <w:right w:val="none" w:color="000000" w:sz="0" w:space="0"/>
        </w:pBdr>
        <w:suppressAutoHyphens/>
        <w:spacing w:after="0" w:line="360" w:lineRule="auto"/>
        <w:ind w:firstLine="709"/>
        <w:jc w:val="both"/>
        <w:rPr>
          <w:rFonts w:ascii="Times New Roman" w:hAnsi="Times New Roman"/>
          <w:lang w:eastAsia="zh-CN"/>
        </w:rPr>
      </w:pPr>
      <w:r>
        <w:rPr>
          <w:rFonts w:ascii="Times New Roman" w:hAnsi="Times New Roman"/>
          <w:lang w:eastAsia="zh-CN"/>
        </w:rPr>
        <w:t>ценности здорового и безопасного образа жизни, усвоение правил безопасного поведения в учебной, соревновательной, досуговой деятельности и чрезвычайных ситуациях при занятии шахматами.</w:t>
      </w:r>
    </w:p>
    <w:p w14:paraId="158B667D">
      <w:pPr>
        <w:autoSpaceDE w:val="0"/>
        <w:autoSpaceDN w:val="0"/>
        <w:spacing w:after="0" w:line="360" w:lineRule="auto"/>
        <w:ind w:firstLine="709"/>
        <w:jc w:val="both"/>
        <w:rPr>
          <w:rFonts w:ascii="Times New Roman" w:hAnsi="Times New Roman"/>
          <w:lang w:eastAsia="zh-CN"/>
        </w:rPr>
      </w:pPr>
      <w:r>
        <w:rPr>
          <w:rFonts w:ascii="Times New Roman" w:hAnsi="Times New Roman" w:eastAsia="Times New Roman"/>
          <w:bCs/>
          <w:lang w:eastAsia="zh-CN"/>
        </w:rPr>
        <w:t>16.4.</w:t>
      </w:r>
      <w:r>
        <w:rPr>
          <w:rFonts w:ascii="Times New Roman" w:hAnsi="Times New Roman"/>
          <w:lang w:eastAsia="zh-CN"/>
        </w:rPr>
        <w:t>12.7.2. </w:t>
      </w:r>
      <w:r>
        <w:rPr>
          <w:rFonts w:ascii="Times New Roman" w:hAnsi="Times New Roman"/>
          <w:u w:color="000000"/>
          <w:lang w:eastAsia="zh-CN"/>
        </w:rPr>
        <w:t>При изучении модуля «Подвижные шахматы» на уровне начального общего образования у обучающихся будут сформированы следующие</w:t>
      </w:r>
      <w:r>
        <w:rPr>
          <w:rFonts w:ascii="Times New Roman" w:hAnsi="Times New Roman"/>
          <w:lang w:eastAsia="zh-CN"/>
        </w:rPr>
        <w:t xml:space="preserve"> метапредметные результаты:</w:t>
      </w:r>
    </w:p>
    <w:p w14:paraId="1ACCB601">
      <w:pPr>
        <w:pBdr>
          <w:top w:val="none" w:color="000000" w:sz="0" w:space="0"/>
          <w:left w:val="none" w:color="000000" w:sz="0" w:space="0"/>
          <w:bottom w:val="none" w:color="000000" w:sz="0" w:space="0"/>
          <w:right w:val="none" w:color="000000" w:sz="0" w:space="0"/>
        </w:pBdr>
        <w:suppressAutoHyphens/>
        <w:spacing w:after="0" w:line="360" w:lineRule="auto"/>
        <w:ind w:firstLine="709"/>
        <w:jc w:val="both"/>
        <w:rPr>
          <w:rFonts w:ascii="Times New Roman" w:hAnsi="Times New Roman"/>
          <w:lang w:eastAsia="zh-CN"/>
        </w:rPr>
      </w:pPr>
      <w:r>
        <w:rPr>
          <w:rFonts w:ascii="Times New Roman" w:hAnsi="Times New Roman"/>
          <w:lang w:eastAsia="zh-CN"/>
        </w:rPr>
        <w:t>умение самостоятельно определять цели и задачи своего обучения средствами шахмат, развивать мотивы и интересы своей познавательной деятельности в физкультурно-спортивном направлении;</w:t>
      </w:r>
    </w:p>
    <w:p w14:paraId="1C75E4DA">
      <w:pPr>
        <w:pBdr>
          <w:top w:val="none" w:color="000000" w:sz="0" w:space="0"/>
          <w:left w:val="none" w:color="000000" w:sz="0" w:space="0"/>
          <w:bottom w:val="none" w:color="000000" w:sz="0" w:space="0"/>
          <w:right w:val="none" w:color="000000" w:sz="0" w:space="0"/>
        </w:pBdr>
        <w:suppressAutoHyphens/>
        <w:spacing w:after="0" w:line="360" w:lineRule="auto"/>
        <w:ind w:firstLine="709"/>
        <w:jc w:val="both"/>
        <w:rPr>
          <w:rFonts w:ascii="Times New Roman" w:hAnsi="Times New Roman"/>
          <w:lang w:eastAsia="zh-CN"/>
        </w:rPr>
      </w:pPr>
      <w:r>
        <w:rPr>
          <w:rFonts w:ascii="Times New Roman" w:hAnsi="Times New Roman"/>
          <w:lang w:eastAsia="zh-CN"/>
        </w:rPr>
        <w:t>умение планировать пути достижения целей с учетом наиболее эффективных способов решения задач средствами плавания в учебной, игровой, соревновательной и досуговой деятельности, соотносить свои действия с планируемыми результатами в шахматах, определять и корректировать способы действий в рамках предложенных условий;</w:t>
      </w:r>
    </w:p>
    <w:p w14:paraId="55581477">
      <w:pPr>
        <w:pBdr>
          <w:top w:val="none" w:color="000000" w:sz="0" w:space="0"/>
          <w:left w:val="none" w:color="000000" w:sz="0" w:space="0"/>
          <w:bottom w:val="none" w:color="000000" w:sz="0" w:space="0"/>
          <w:right w:val="none" w:color="000000" w:sz="0" w:space="0"/>
        </w:pBdr>
        <w:suppressAutoHyphens/>
        <w:spacing w:after="0" w:line="360" w:lineRule="auto"/>
        <w:ind w:firstLine="709"/>
        <w:jc w:val="both"/>
        <w:rPr>
          <w:rFonts w:ascii="Times New Roman" w:hAnsi="Times New Roman"/>
          <w:lang w:eastAsia="zh-CN"/>
        </w:rPr>
      </w:pPr>
      <w:r>
        <w:rPr>
          <w:rFonts w:ascii="Times New Roman" w:hAnsi="Times New Roman"/>
          <w:lang w:eastAsia="zh-CN"/>
        </w:rPr>
        <w:t>умение владеть основами самоконтроля, самооценки, выявлять, анализировать и находить способы устранения ошибок при выполнении технических приёмов и соревнований по шахматам;</w:t>
      </w:r>
    </w:p>
    <w:p w14:paraId="49546D48">
      <w:pPr>
        <w:pBdr>
          <w:top w:val="none" w:color="000000" w:sz="0" w:space="0"/>
          <w:left w:val="none" w:color="000000" w:sz="0" w:space="0"/>
          <w:bottom w:val="none" w:color="000000" w:sz="0" w:space="0"/>
          <w:right w:val="none" w:color="000000" w:sz="0" w:space="0"/>
        </w:pBdr>
        <w:suppressAutoHyphens/>
        <w:spacing w:after="0" w:line="360" w:lineRule="auto"/>
        <w:ind w:firstLine="709"/>
        <w:jc w:val="both"/>
        <w:rPr>
          <w:rFonts w:ascii="Times New Roman" w:hAnsi="Times New Roman"/>
          <w:lang w:eastAsia="zh-CN"/>
        </w:rPr>
      </w:pPr>
      <w:r>
        <w:rPr>
          <w:rFonts w:ascii="Times New Roman" w:hAnsi="Times New Roman"/>
          <w:lang w:eastAsia="zh-CN"/>
        </w:rPr>
        <w:t>умение организовывать совместную деятельность с учителем и сверстниками, работать индивидуально и в группе, формулировать, аргументировать и отстаивать своё мнение, соблюдать нормы информационной избирательности, этики и этикета.</w:t>
      </w:r>
    </w:p>
    <w:p w14:paraId="7029D9F4">
      <w:pPr>
        <w:autoSpaceDE w:val="0"/>
        <w:autoSpaceDN w:val="0"/>
        <w:spacing w:after="0" w:line="360" w:lineRule="auto"/>
        <w:ind w:firstLine="709"/>
        <w:jc w:val="both"/>
        <w:rPr>
          <w:rFonts w:ascii="Times New Roman" w:hAnsi="Times New Roman"/>
          <w:lang w:eastAsia="zh-CN"/>
        </w:rPr>
      </w:pPr>
      <w:r>
        <w:rPr>
          <w:rFonts w:ascii="Times New Roman" w:hAnsi="Times New Roman" w:eastAsia="Times New Roman"/>
          <w:bCs/>
          <w:lang w:eastAsia="zh-CN"/>
        </w:rPr>
        <w:t>16.4.</w:t>
      </w:r>
      <w:r>
        <w:rPr>
          <w:rFonts w:ascii="Times New Roman" w:hAnsi="Times New Roman"/>
          <w:lang w:eastAsia="zh-CN"/>
        </w:rPr>
        <w:t>12.7.3. </w:t>
      </w:r>
      <w:r>
        <w:rPr>
          <w:rFonts w:ascii="Times New Roman" w:hAnsi="Times New Roman"/>
          <w:u w:color="000000"/>
          <w:lang w:eastAsia="zh-CN"/>
        </w:rPr>
        <w:t xml:space="preserve">При изучении модуля «Подвижные шахматы» на уровне начального общего образования у обучающихся будут сформированы следующие </w:t>
      </w:r>
      <w:r>
        <w:rPr>
          <w:rFonts w:ascii="Times New Roman" w:hAnsi="Times New Roman"/>
          <w:lang w:eastAsia="zh-CN"/>
        </w:rPr>
        <w:t>предметные результаты:</w:t>
      </w:r>
    </w:p>
    <w:p w14:paraId="71CEF7DA">
      <w:pPr>
        <w:pBdr>
          <w:top w:val="none" w:color="000000" w:sz="0" w:space="0"/>
          <w:left w:val="none" w:color="000000" w:sz="0" w:space="0"/>
          <w:bottom w:val="none" w:color="000000" w:sz="0" w:space="0"/>
          <w:right w:val="none" w:color="000000" w:sz="0" w:space="0"/>
        </w:pBdr>
        <w:suppressAutoHyphens/>
        <w:spacing w:after="0" w:line="360" w:lineRule="auto"/>
        <w:ind w:firstLine="709"/>
        <w:jc w:val="both"/>
        <w:rPr>
          <w:rFonts w:ascii="Times New Roman" w:hAnsi="Times New Roman"/>
          <w:lang w:eastAsia="zh-CN"/>
        </w:rPr>
      </w:pPr>
      <w:r>
        <w:rPr>
          <w:rFonts w:ascii="Times New Roman" w:hAnsi="Times New Roman"/>
          <w:lang w:eastAsia="zh-CN"/>
        </w:rPr>
        <w:t>понимание значения шахмат как средства развития общих способностей и повышения функциональных возможностей основных систем организма и укрепления здоровья человека;</w:t>
      </w:r>
    </w:p>
    <w:p w14:paraId="482AE38D">
      <w:pPr>
        <w:pBdr>
          <w:top w:val="none" w:color="000000" w:sz="0" w:space="0"/>
          <w:left w:val="none" w:color="000000" w:sz="0" w:space="0"/>
          <w:bottom w:val="none" w:color="000000" w:sz="0" w:space="0"/>
          <w:right w:val="none" w:color="000000" w:sz="0" w:space="0"/>
        </w:pBdr>
        <w:suppressAutoHyphens/>
        <w:spacing w:after="0" w:line="360" w:lineRule="auto"/>
        <w:ind w:firstLine="709"/>
        <w:jc w:val="both"/>
        <w:rPr>
          <w:rFonts w:ascii="Times New Roman" w:hAnsi="Times New Roman"/>
          <w:lang w:eastAsia="zh-CN"/>
        </w:rPr>
      </w:pPr>
      <w:r>
        <w:rPr>
          <w:rFonts w:ascii="Times New Roman" w:hAnsi="Times New Roman"/>
          <w:lang w:eastAsia="zh-CN"/>
        </w:rPr>
        <w:t xml:space="preserve">знание правил проведения соревнований по шахматам в учебной, соревновательной и досуговой деятельности; </w:t>
      </w:r>
    </w:p>
    <w:p w14:paraId="70CA46EB">
      <w:pPr>
        <w:pBdr>
          <w:top w:val="none" w:color="000000" w:sz="0" w:space="0"/>
          <w:left w:val="none" w:color="000000" w:sz="0" w:space="0"/>
          <w:bottom w:val="none" w:color="000000" w:sz="0" w:space="0"/>
          <w:right w:val="none" w:color="000000" w:sz="0" w:space="0"/>
        </w:pBdr>
        <w:suppressAutoHyphens/>
        <w:spacing w:after="0" w:line="360" w:lineRule="auto"/>
        <w:ind w:firstLine="709"/>
        <w:jc w:val="both"/>
        <w:rPr>
          <w:rFonts w:ascii="Times New Roman" w:hAnsi="Times New Roman"/>
          <w:lang w:eastAsia="zh-CN"/>
        </w:rPr>
      </w:pPr>
      <w:r>
        <w:rPr>
          <w:rFonts w:ascii="Times New Roman" w:hAnsi="Times New Roman" w:eastAsia="Times New Roman"/>
          <w:lang w:eastAsia="zh-CN"/>
        </w:rPr>
        <w:t>умение подбирать, составлять и осваивать самостоятельно и при участии и помощи родителей</w:t>
      </w:r>
      <w:r>
        <w:rPr>
          <w:rFonts w:ascii="Times New Roman" w:hAnsi="Times New Roman"/>
          <w:lang w:eastAsia="zh-CN"/>
        </w:rPr>
        <w:t xml:space="preserve"> простейшие </w:t>
      </w:r>
      <w:r>
        <w:rPr>
          <w:rFonts w:ascii="Times New Roman" w:hAnsi="Times New Roman" w:eastAsia="Times New Roman"/>
          <w:lang w:eastAsia="zh-CN"/>
        </w:rPr>
        <w:t xml:space="preserve">комплексы </w:t>
      </w:r>
      <w:r>
        <w:rPr>
          <w:rFonts w:ascii="Times New Roman" w:hAnsi="Times New Roman"/>
          <w:lang w:eastAsia="zh-CN"/>
        </w:rPr>
        <w:t xml:space="preserve">общеразвивающих, специальных </w:t>
      </w:r>
      <w:r>
        <w:rPr>
          <w:rFonts w:ascii="Times New Roman" w:hAnsi="Times New Roman" w:eastAsia="Times New Roman"/>
          <w:lang w:eastAsia="zh-CN"/>
        </w:rPr>
        <w:t xml:space="preserve">упражнений </w:t>
      </w:r>
      <w:r>
        <w:rPr>
          <w:rFonts w:ascii="Times New Roman" w:hAnsi="Times New Roman"/>
          <w:lang w:eastAsia="zh-CN"/>
        </w:rPr>
        <w:t>для физического развития;</w:t>
      </w:r>
    </w:p>
    <w:p w14:paraId="787629C3">
      <w:pPr>
        <w:pBdr>
          <w:top w:val="none" w:color="000000" w:sz="0" w:space="0"/>
          <w:left w:val="none" w:color="000000" w:sz="0" w:space="0"/>
          <w:bottom w:val="none" w:color="000000" w:sz="0" w:space="0"/>
          <w:right w:val="none" w:color="000000" w:sz="0" w:space="0"/>
        </w:pBdr>
        <w:suppressAutoHyphens/>
        <w:spacing w:after="0" w:line="360" w:lineRule="auto"/>
        <w:ind w:firstLine="709"/>
        <w:jc w:val="both"/>
        <w:rPr>
          <w:rFonts w:ascii="Times New Roman" w:hAnsi="Times New Roman"/>
          <w:lang w:eastAsia="zh-CN"/>
        </w:rPr>
      </w:pPr>
      <w:r>
        <w:rPr>
          <w:rFonts w:ascii="Times New Roman" w:hAnsi="Times New Roman"/>
          <w:lang w:eastAsia="zh-CN"/>
        </w:rPr>
        <w:t>владение правилами поведения и требованиями безопасности при организации занятий шахматами;</w:t>
      </w:r>
    </w:p>
    <w:p w14:paraId="440C701C">
      <w:pPr>
        <w:pBdr>
          <w:top w:val="none" w:color="000000" w:sz="0" w:space="0"/>
          <w:left w:val="none" w:color="000000" w:sz="0" w:space="0"/>
          <w:bottom w:val="none" w:color="000000" w:sz="0" w:space="0"/>
          <w:right w:val="none" w:color="000000" w:sz="0" w:space="0"/>
        </w:pBdr>
        <w:suppressAutoHyphens/>
        <w:spacing w:after="0" w:line="360" w:lineRule="auto"/>
        <w:ind w:firstLine="709"/>
        <w:jc w:val="both"/>
        <w:rPr>
          <w:rFonts w:ascii="Times New Roman" w:hAnsi="Times New Roman"/>
          <w:lang w:eastAsia="zh-CN"/>
        </w:rPr>
      </w:pPr>
      <w:r>
        <w:rPr>
          <w:rFonts w:ascii="Times New Roman" w:hAnsi="Times New Roman"/>
          <w:lang w:eastAsia="zh-CN"/>
        </w:rPr>
        <w:t>участие в соревновательной деятельности внутри школьных этапов различных соревнований, фестивалей, конкурсов по шахматам;</w:t>
      </w:r>
    </w:p>
    <w:p w14:paraId="6A4B41BA">
      <w:pPr>
        <w:pBdr>
          <w:top w:val="none" w:color="000000" w:sz="0" w:space="0"/>
          <w:left w:val="none" w:color="000000" w:sz="0" w:space="0"/>
          <w:bottom w:val="none" w:color="000000" w:sz="0" w:space="0"/>
          <w:right w:val="none" w:color="000000" w:sz="0" w:space="0"/>
        </w:pBdr>
        <w:suppressAutoHyphens/>
        <w:spacing w:after="0" w:line="360" w:lineRule="auto"/>
        <w:ind w:firstLine="709"/>
        <w:jc w:val="both"/>
        <w:rPr>
          <w:rFonts w:ascii="Times New Roman" w:hAnsi="Times New Roman"/>
          <w:lang w:eastAsia="zh-CN"/>
        </w:rPr>
      </w:pPr>
      <w:r>
        <w:rPr>
          <w:rFonts w:ascii="Times New Roman" w:hAnsi="Times New Roman"/>
          <w:lang w:eastAsia="zh-CN"/>
        </w:rPr>
        <w:t>знание и выполнение тестовых упражнений по шахматной подготовленности для участия в соревнованиях по шахматам.</w:t>
      </w:r>
    </w:p>
    <w:p w14:paraId="0EF16537">
      <w:pPr>
        <w:spacing w:after="0" w:line="360" w:lineRule="auto"/>
        <w:ind w:firstLine="709"/>
        <w:jc w:val="both"/>
        <w:rPr>
          <w:rFonts w:ascii="Times New Roman" w:hAnsi="Times New Roman"/>
        </w:rPr>
      </w:pPr>
      <w:r>
        <w:rPr>
          <w:rFonts w:ascii="Times New Roman" w:hAnsi="Times New Roman" w:eastAsia="Times New Roman"/>
          <w:bCs/>
          <w:lang w:eastAsia="zh-CN"/>
        </w:rPr>
        <w:t>16.4.</w:t>
      </w:r>
      <w:r>
        <w:rPr>
          <w:rFonts w:ascii="Times New Roman" w:hAnsi="Times New Roman"/>
        </w:rPr>
        <w:t>13. Модуль «Бадминтон».</w:t>
      </w:r>
    </w:p>
    <w:p w14:paraId="60ACA29F">
      <w:pPr>
        <w:spacing w:after="0" w:line="360" w:lineRule="auto"/>
        <w:ind w:firstLine="709"/>
        <w:jc w:val="both"/>
        <w:rPr>
          <w:rFonts w:ascii="Times New Roman" w:hAnsi="Times New Roman"/>
        </w:rPr>
      </w:pPr>
      <w:r>
        <w:rPr>
          <w:rFonts w:ascii="Times New Roman" w:hAnsi="Times New Roman" w:eastAsia="Times New Roman"/>
          <w:bCs/>
          <w:lang w:eastAsia="zh-CN"/>
        </w:rPr>
        <w:t>16.4.</w:t>
      </w:r>
      <w:r>
        <w:rPr>
          <w:rFonts w:ascii="Times New Roman" w:hAnsi="Times New Roman"/>
        </w:rPr>
        <w:t>13.1. </w:t>
      </w:r>
      <w:r>
        <w:rPr>
          <w:rFonts w:ascii="Times New Roman" w:hAnsi="Times New Roman" w:eastAsia="Times New Roman"/>
          <w:lang w:eastAsia="ar-SA"/>
        </w:rPr>
        <w:t xml:space="preserve">Пояснительная записка </w:t>
      </w:r>
      <w:r>
        <w:rPr>
          <w:rFonts w:ascii="Times New Roman" w:hAnsi="Times New Roman"/>
        </w:rPr>
        <w:t>модуля «Бадминтон».</w:t>
      </w:r>
    </w:p>
    <w:p w14:paraId="31BB178D">
      <w:pPr>
        <w:spacing w:after="0" w:line="360" w:lineRule="auto"/>
        <w:ind w:firstLine="709"/>
        <w:jc w:val="both"/>
        <w:rPr>
          <w:rFonts w:ascii="Times New Roman" w:hAnsi="Times New Roman"/>
        </w:rPr>
      </w:pPr>
      <w:r>
        <w:rPr>
          <w:rFonts w:ascii="Times New Roman" w:hAnsi="Times New Roman"/>
        </w:rPr>
        <w:t xml:space="preserve">Модуль «Бадминтон» </w:t>
      </w:r>
      <w:bookmarkStart w:id="302" w:name="_Hlk125549853"/>
      <w:r>
        <w:rPr>
          <w:rFonts w:ascii="Times New Roman" w:hAnsi="Times New Roman" w:eastAsia="Times New Roman"/>
          <w:lang w:eastAsia="ru-RU"/>
        </w:rPr>
        <w:t>(далее – модуль по бадминтону,</w:t>
      </w:r>
      <w:bookmarkEnd w:id="302"/>
      <w:r>
        <w:rPr>
          <w:rFonts w:ascii="Times New Roman" w:hAnsi="Times New Roman" w:eastAsia="Times New Roman"/>
          <w:lang w:eastAsia="ru-RU"/>
        </w:rPr>
        <w:t xml:space="preserve"> бадминтон)</w:t>
      </w:r>
      <w:r>
        <w:rPr>
          <w:rFonts w:ascii="Times New Roman" w:hAnsi="Times New Roman"/>
        </w:rPr>
        <w:t xml:space="preserve"> на уровне начального общего образования разработан с целью оказания методической помощи учителю физической культуры в создании рабочей программы по учебному предмету «Физическая культура» с учётом современных тенденций в системе образования и использования спортивно-ориентированных форм, средств и методов обучения по различным видам спорта. </w:t>
      </w:r>
    </w:p>
    <w:p w14:paraId="22DF7A83">
      <w:pPr>
        <w:spacing w:after="0" w:line="360" w:lineRule="auto"/>
        <w:ind w:firstLine="709"/>
        <w:jc w:val="both"/>
        <w:rPr>
          <w:rFonts w:ascii="Times New Roman" w:hAnsi="Times New Roman"/>
        </w:rPr>
      </w:pPr>
      <w:r>
        <w:rPr>
          <w:rFonts w:ascii="Times New Roman" w:hAnsi="Times New Roman"/>
        </w:rPr>
        <w:t>Игра в бадминтон является эффективным средством укрепления здоровья и физического развития обучающихся. Занятия бадминтоном позволяют разносторонне воздействовать на организм человека, развивают быстроту, силу, выносливость, координацию движения, улучшают подвижность в суставах, способствуют приобретению широкого круга двигательных навыков, воспитывают волевые качества. Все движения в бадминтоне носят естественный характер, базирующийся на беге, прыжках, различных перемещениях.</w:t>
      </w:r>
    </w:p>
    <w:p w14:paraId="0D724957">
      <w:pPr>
        <w:spacing w:after="0" w:line="360" w:lineRule="auto"/>
        <w:ind w:firstLine="709"/>
        <w:jc w:val="both"/>
        <w:rPr>
          <w:rFonts w:ascii="Times New Roman" w:hAnsi="Times New Roman"/>
        </w:rPr>
      </w:pPr>
      <w:r>
        <w:rPr>
          <w:rFonts w:ascii="Times New Roman" w:hAnsi="Times New Roman"/>
        </w:rPr>
        <w:t>Широкая возможность вариативности нагрузки позволяет использовать бадминтон, как реабилитационное средство, в группах общей физической подготовки и на занятиях в специальной медицинской группе. Занятия бадминтоном вызывают значительные морфофункциональные изменения в деятельности зрительных анализаторов, в частности, улучшается глубинное и периферическое зрение, повышается способность нервно-мышечного аппарата к быстрому напряжению и расслаблению мышц. Эффективность занятий бадминтоном обоснована для коррекции зрения и осанки ребёнка.</w:t>
      </w:r>
    </w:p>
    <w:p w14:paraId="37872485">
      <w:pPr>
        <w:spacing w:after="0" w:line="360" w:lineRule="auto"/>
        <w:ind w:firstLine="709"/>
        <w:jc w:val="both"/>
        <w:rPr>
          <w:rFonts w:ascii="Times New Roman" w:hAnsi="Times New Roman"/>
        </w:rPr>
      </w:pPr>
      <w:r>
        <w:rPr>
          <w:rFonts w:ascii="Times New Roman" w:hAnsi="Times New Roman"/>
        </w:rPr>
        <w:t>В процессе игры в бадминтон обучающиеся испытывают положительные эмоции: жизнерадостность, бодрость, инициативу, благодаря чему игра представляет собой средство не только физического развития, но и активного отдыха всех детей. Игра в бадминтон на открытом воздухе (в парке, на пляжах вблизи водоёмов или просто во дворе дома) создаёт прекрасные условия для насыщения организма человека кислородом во время выполнения двигательной активности.</w:t>
      </w:r>
    </w:p>
    <w:p w14:paraId="26E098F7">
      <w:pPr>
        <w:spacing w:after="0" w:line="360" w:lineRule="auto"/>
        <w:ind w:firstLine="709"/>
        <w:jc w:val="both"/>
        <w:rPr>
          <w:rFonts w:ascii="Times New Roman" w:hAnsi="Times New Roman"/>
        </w:rPr>
      </w:pPr>
      <w:r>
        <w:rPr>
          <w:rFonts w:ascii="Times New Roman" w:hAnsi="Times New Roman" w:eastAsia="Times New Roman"/>
          <w:bCs/>
          <w:lang w:eastAsia="zh-CN"/>
        </w:rPr>
        <w:t>16.4.</w:t>
      </w:r>
      <w:r>
        <w:rPr>
          <w:rFonts w:ascii="Times New Roman" w:hAnsi="Times New Roman"/>
        </w:rPr>
        <w:t>13.2. Целью изучения модуля «Бадминтон» является формирование у обучающихся основ здорового образа жизни, активной творческой самостоятельности в проведении разнообразных форм занятий физическими упражнениями посредством бадминтона, укрепление и сохранение здоровья обучающихся, приобретение ими знаний и способов самостоятельной деятельности, развитие физических качеств и освоение физических упражнений оздоровительной, спортивной и прикладно-ориентированной направленности.</w:t>
      </w:r>
    </w:p>
    <w:p w14:paraId="6E8B0526">
      <w:pPr>
        <w:spacing w:after="0" w:line="360" w:lineRule="auto"/>
        <w:ind w:firstLine="709"/>
        <w:jc w:val="both"/>
        <w:rPr>
          <w:rFonts w:ascii="Times New Roman" w:hAnsi="Times New Roman"/>
        </w:rPr>
      </w:pPr>
      <w:r>
        <w:rPr>
          <w:rFonts w:ascii="Times New Roman" w:hAnsi="Times New Roman" w:eastAsia="Times New Roman"/>
          <w:bCs/>
          <w:lang w:eastAsia="zh-CN"/>
        </w:rPr>
        <w:t>16.4.</w:t>
      </w:r>
      <w:r>
        <w:rPr>
          <w:rFonts w:ascii="Times New Roman" w:hAnsi="Times New Roman"/>
        </w:rPr>
        <w:t xml:space="preserve">13.3. Задачами изучения модуля </w:t>
      </w:r>
      <w:r>
        <w:rPr>
          <w:rFonts w:ascii="Times New Roman" w:hAnsi="Times New Roman" w:eastAsia="Times New Roman"/>
          <w:lang w:eastAsia="ar-SA"/>
        </w:rPr>
        <w:t xml:space="preserve">«Бадминтон» </w:t>
      </w:r>
      <w:r>
        <w:rPr>
          <w:rFonts w:ascii="Times New Roman" w:hAnsi="Times New Roman"/>
        </w:rPr>
        <w:t>являются:</w:t>
      </w:r>
    </w:p>
    <w:p w14:paraId="6E6E2F89">
      <w:pPr>
        <w:spacing w:after="0" w:line="360" w:lineRule="auto"/>
        <w:ind w:firstLine="709"/>
        <w:jc w:val="both"/>
        <w:rPr>
          <w:rFonts w:ascii="Times New Roman" w:hAnsi="Times New Roman"/>
        </w:rPr>
      </w:pPr>
      <w:r>
        <w:rPr>
          <w:rFonts w:ascii="Times New Roman" w:hAnsi="Times New Roman"/>
        </w:rPr>
        <w:t>всестороннее гармоничное развитие обучающихся, создание условий для воспроизводства необходимого объёма их двигательной активности в режиме учебного дня и досуговой деятельности средствами игры в бадминтон, бадминтонных упражнений и подвижных игр с элементами бадминтона;</w:t>
      </w:r>
    </w:p>
    <w:p w14:paraId="3EB56B64">
      <w:pPr>
        <w:spacing w:after="0" w:line="360" w:lineRule="auto"/>
        <w:ind w:firstLine="709"/>
        <w:jc w:val="both"/>
        <w:rPr>
          <w:rFonts w:ascii="Times New Roman" w:hAnsi="Times New Roman"/>
        </w:rPr>
      </w:pPr>
      <w:r>
        <w:rPr>
          <w:rFonts w:ascii="Times New Roman" w:hAnsi="Times New Roman"/>
        </w:rPr>
        <w:t>формирование физического, нравственного, психологического и социального здоровья обучающихся, повышения уровня развития двигательных способностей в соответствии с сенситивными периодами младшего школьного возраста, повышение функциональных возможностей организма, обеспечение культуры безопасного поведения на занятиях по бадминтону;</w:t>
      </w:r>
    </w:p>
    <w:p w14:paraId="4D653E0F">
      <w:pPr>
        <w:spacing w:after="0" w:line="360" w:lineRule="auto"/>
        <w:ind w:firstLine="709"/>
        <w:jc w:val="both"/>
        <w:rPr>
          <w:rFonts w:ascii="Times New Roman" w:hAnsi="Times New Roman"/>
        </w:rPr>
      </w:pPr>
      <w:r>
        <w:rPr>
          <w:rFonts w:ascii="Times New Roman" w:hAnsi="Times New Roman"/>
        </w:rPr>
        <w:t>обогащение двигательного опыта обучающихся физическими упражнениями с общеразвивающей и корригирующей направленностью посредством освоения технических действий и подвижных игр с элементами бадминтона;</w:t>
      </w:r>
    </w:p>
    <w:p w14:paraId="1866AEA8">
      <w:pPr>
        <w:spacing w:after="0" w:line="360" w:lineRule="auto"/>
        <w:ind w:firstLine="709"/>
        <w:jc w:val="both"/>
        <w:rPr>
          <w:rFonts w:ascii="Times New Roman" w:hAnsi="Times New Roman"/>
        </w:rPr>
      </w:pPr>
      <w:r>
        <w:rPr>
          <w:rFonts w:ascii="Times New Roman" w:hAnsi="Times New Roman"/>
        </w:rPr>
        <w:t>освоение знаний и формирование представлений о бадминтоне как виде спорта, его истории развития, способах формирования здоровья, физического развития и физической подготовки обучающихся;</w:t>
      </w:r>
    </w:p>
    <w:p w14:paraId="6D843715">
      <w:pPr>
        <w:spacing w:after="0" w:line="360" w:lineRule="auto"/>
        <w:ind w:firstLine="709"/>
        <w:jc w:val="both"/>
        <w:rPr>
          <w:rFonts w:ascii="Times New Roman" w:hAnsi="Times New Roman"/>
        </w:rPr>
      </w:pPr>
      <w:r>
        <w:rPr>
          <w:rFonts w:ascii="Times New Roman" w:hAnsi="Times New Roman"/>
        </w:rPr>
        <w:t>обучение двигательным и инструктивным умениям и навыкам, техническим действиям игры в бадминтон, правилам организации самостоятельных занятий бадминтоном;</w:t>
      </w:r>
    </w:p>
    <w:p w14:paraId="3C7D4B94">
      <w:pPr>
        <w:spacing w:after="0" w:line="360" w:lineRule="auto"/>
        <w:ind w:firstLine="709"/>
        <w:jc w:val="both"/>
        <w:rPr>
          <w:rFonts w:ascii="Times New Roman" w:hAnsi="Times New Roman"/>
        </w:rPr>
      </w:pPr>
      <w:r>
        <w:rPr>
          <w:rFonts w:ascii="Times New Roman" w:hAnsi="Times New Roman"/>
        </w:rPr>
        <w:t>воспитание социально значимых качеств личности, норм коллективного взаимодействия и сотрудничества в игровой и соревновательной деятельности средствами бадминтона;</w:t>
      </w:r>
    </w:p>
    <w:p w14:paraId="6426F6F2">
      <w:pPr>
        <w:spacing w:after="0" w:line="360" w:lineRule="auto"/>
        <w:ind w:firstLine="709"/>
        <w:jc w:val="both"/>
        <w:rPr>
          <w:rFonts w:ascii="Times New Roman" w:hAnsi="Times New Roman"/>
        </w:rPr>
      </w:pPr>
      <w:r>
        <w:rPr>
          <w:rFonts w:ascii="Times New Roman" w:hAnsi="Times New Roman"/>
        </w:rPr>
        <w:t>популяризация бадминтона среди детей, привлечение обучающихся, проявляющих повышенный интерес и способности к занятиям бадминтоном, в школьные спортивные клубы, секции, к участию в соревнованиях;</w:t>
      </w:r>
    </w:p>
    <w:p w14:paraId="17614F25">
      <w:pPr>
        <w:spacing w:after="0" w:line="360" w:lineRule="auto"/>
        <w:ind w:firstLine="709"/>
        <w:jc w:val="both"/>
        <w:rPr>
          <w:rFonts w:ascii="Times New Roman" w:hAnsi="Times New Roman"/>
        </w:rPr>
      </w:pPr>
      <w:r>
        <w:rPr>
          <w:rFonts w:ascii="Times New Roman" w:hAnsi="Times New Roman"/>
        </w:rPr>
        <w:t>выявление, развитие и поддержка одарённых детей в области спорта.</w:t>
      </w:r>
    </w:p>
    <w:p w14:paraId="1C7951BD">
      <w:pPr>
        <w:spacing w:after="0" w:line="360" w:lineRule="auto"/>
        <w:ind w:firstLine="709"/>
        <w:jc w:val="both"/>
        <w:rPr>
          <w:rFonts w:ascii="Times New Roman" w:hAnsi="Times New Roman"/>
        </w:rPr>
      </w:pPr>
      <w:r>
        <w:rPr>
          <w:rFonts w:ascii="Times New Roman" w:hAnsi="Times New Roman" w:eastAsia="Times New Roman"/>
          <w:bCs/>
          <w:lang w:eastAsia="zh-CN"/>
        </w:rPr>
        <w:t>16.4.</w:t>
      </w:r>
      <w:r>
        <w:rPr>
          <w:rFonts w:ascii="Times New Roman" w:hAnsi="Times New Roman"/>
        </w:rPr>
        <w:t>13.4. Место и роль модуля «Бадминтон».</w:t>
      </w:r>
    </w:p>
    <w:p w14:paraId="30D6C3DE">
      <w:pPr>
        <w:spacing w:after="0" w:line="360" w:lineRule="auto"/>
        <w:ind w:firstLine="709"/>
        <w:jc w:val="both"/>
        <w:rPr>
          <w:rFonts w:ascii="Times New Roman" w:hAnsi="Times New Roman"/>
        </w:rPr>
      </w:pPr>
      <w:r>
        <w:rPr>
          <w:rFonts w:ascii="Times New Roman" w:hAnsi="Times New Roman"/>
        </w:rPr>
        <w:t>Модуль «Бадминтон» удачно сочетается практически со всеми базовыми видами спорта, входящими в содержание учебного предмета «Физическая культура» (легкая атлетика, гимнастика, спортивные игры), предполагая доступность освоения учебного материала всем возрастным категориям обучающихся, независимо от уровня их физического развития, физической подготовленности, здоровья и пола.</w:t>
      </w:r>
    </w:p>
    <w:p w14:paraId="6A9509C2">
      <w:pPr>
        <w:spacing w:after="0" w:line="360" w:lineRule="auto"/>
        <w:ind w:firstLine="709"/>
        <w:jc w:val="both"/>
        <w:rPr>
          <w:rFonts w:ascii="Times New Roman" w:hAnsi="Times New Roman"/>
        </w:rPr>
      </w:pPr>
      <w:r>
        <w:rPr>
          <w:rFonts w:ascii="Times New Roman" w:hAnsi="Times New Roman"/>
        </w:rPr>
        <w:t xml:space="preserve">Интеграция модуля по бадминтону поможет обучающимся в освоении содержательных </w:t>
      </w:r>
      <w:r>
        <w:rPr>
          <w:rFonts w:ascii="Times New Roman" w:hAnsi="Times New Roman" w:eastAsia="Arial Unicode MS"/>
        </w:rPr>
        <w:t xml:space="preserve">разделов программы учебного предмета «Физическая культура» – «Знания о физической культуре», «Способы самостоятельной деятельности», «Физическое совершенствование» </w:t>
      </w:r>
      <w:r>
        <w:rPr>
          <w:rFonts w:ascii="Times New Roman" w:hAnsi="Times New Roman"/>
        </w:rPr>
        <w:t>в рамках реализации рабочей программы учебного предмета «Физическая культура», при подготовке и проведении спортивных мероприятий, в достижении образовательных результатов внеурочной деятельности и дополнительного образования, деятельности школьных спортивных клубов.</w:t>
      </w:r>
    </w:p>
    <w:p w14:paraId="1B9D6847">
      <w:pPr>
        <w:spacing w:after="0" w:line="360" w:lineRule="auto"/>
        <w:ind w:firstLine="709"/>
        <w:jc w:val="both"/>
        <w:rPr>
          <w:rFonts w:ascii="Times New Roman" w:hAnsi="Times New Roman"/>
        </w:rPr>
      </w:pPr>
      <w:r>
        <w:rPr>
          <w:rFonts w:ascii="Times New Roman" w:hAnsi="Times New Roman" w:eastAsia="Times New Roman"/>
          <w:bCs/>
          <w:lang w:eastAsia="zh-CN"/>
        </w:rPr>
        <w:t>16.4.</w:t>
      </w:r>
      <w:r>
        <w:rPr>
          <w:rFonts w:ascii="Times New Roman" w:hAnsi="Times New Roman"/>
        </w:rPr>
        <w:t>13.5. Модуль «Бадминтон» может быть реализован в следующих вариантах:</w:t>
      </w:r>
    </w:p>
    <w:p w14:paraId="3EC56D0F">
      <w:pPr>
        <w:pBdr>
          <w:top w:val="none" w:color="auto" w:sz="0" w:space="0"/>
          <w:left w:val="none" w:color="auto" w:sz="0" w:space="0"/>
          <w:bottom w:val="none" w:color="auto" w:sz="0" w:space="0"/>
          <w:right w:val="none" w:color="auto" w:sz="0" w:space="0"/>
          <w:between w:val="none" w:color="auto" w:sz="0" w:space="0"/>
        </w:pBdr>
        <w:spacing w:after="0" w:line="360" w:lineRule="auto"/>
        <w:ind w:firstLine="709"/>
        <w:jc w:val="both"/>
        <w:rPr>
          <w:rFonts w:ascii="Times New Roman" w:hAnsi="Times New Roman" w:eastAsia="Arial Unicode MS"/>
          <w:lang w:eastAsia="ru-RU"/>
        </w:rPr>
      </w:pPr>
      <w:r>
        <w:rPr>
          <w:rFonts w:ascii="Times New Roman" w:hAnsi="Times New Roman" w:eastAsia="Arial Unicode MS"/>
          <w:lang w:eastAsia="ru-RU"/>
        </w:rPr>
        <w:t>при самостоятельном планировании учителем физической культуры процесса освоения обучающимися учебного материала по флорболу с выбором различных элементов флорбола, с учётом возраста и физической подготовленности обучающихся;</w:t>
      </w:r>
    </w:p>
    <w:p w14:paraId="6AD30B19">
      <w:pPr>
        <w:spacing w:after="0" w:line="360" w:lineRule="auto"/>
        <w:ind w:firstLine="709"/>
        <w:jc w:val="both"/>
        <w:rPr>
          <w:rFonts w:ascii="Times New Roman" w:hAnsi="Times New Roman"/>
        </w:rPr>
      </w:pPr>
      <w:r>
        <w:rPr>
          <w:rFonts w:ascii="Times New Roman" w:hAnsi="Times New Roman"/>
        </w:rPr>
        <w:t>в виде целостного последовательного учебного модуля, изучаемого за счёт части учебного плана, формируемой участниками образовательных отношений из перечня, предлагаемого образовательной организацией, включающей, в частности, учебные модули по выбору обучающихся, родителей (законных представителей) несовершеннолетних обучающихся, в том числе предусматривающие удовлетворение различных интересов обучающихся</w:t>
      </w:r>
      <w:r>
        <w:rPr>
          <w:rFonts w:ascii="Times New Roman" w:hAnsi="Times New Roman" w:eastAsia="Arial Unicode MS"/>
        </w:rPr>
        <w:t xml:space="preserve"> </w:t>
      </w:r>
      <w:r>
        <w:rPr>
          <w:rFonts w:ascii="Times New Roman" w:hAnsi="Times New Roman"/>
        </w:rPr>
        <w:t>(при организации и проведении уроков физической культуры с 3-х часовой недельной нагрузкой рекомендуемый объём в 1 классе – 33 часа, во 2, 3, 4 классах – по 34 часа);</w:t>
      </w:r>
    </w:p>
    <w:p w14:paraId="7329C716">
      <w:pPr>
        <w:pBdr>
          <w:top w:val="none" w:color="auto" w:sz="0" w:space="0"/>
          <w:left w:val="none" w:color="auto" w:sz="0" w:space="0"/>
          <w:bottom w:val="none" w:color="auto" w:sz="0" w:space="0"/>
          <w:right w:val="none" w:color="auto" w:sz="0" w:space="0"/>
          <w:between w:val="none" w:color="auto" w:sz="0" w:space="0"/>
        </w:pBdr>
        <w:spacing w:after="0" w:line="360" w:lineRule="auto"/>
        <w:ind w:firstLine="709"/>
        <w:jc w:val="both"/>
        <w:rPr>
          <w:rFonts w:ascii="Times New Roman" w:hAnsi="Times New Roman" w:eastAsia="Arial Unicode MS"/>
          <w:lang w:eastAsia="ru-RU"/>
        </w:rPr>
      </w:pPr>
      <w:r>
        <w:rPr>
          <w:rFonts w:ascii="Times New Roman" w:hAnsi="Times New Roman" w:eastAsia="Arial Unicode MS"/>
          <w:lang w:eastAsia="ru-RU"/>
        </w:rPr>
        <w:t xml:space="preserve">в виде дополнительных часов, выделяемых на спортивно-оздоровительную работу с обучающимися в рамках внеурочной деятельности и (или) за счет посещения обучающимися спортивных секций, школьных спортивных клубов, включая использование учебных модулей по видам спорта </w:t>
      </w:r>
      <w:r>
        <w:rPr>
          <w:rFonts w:ascii="Times New Roman" w:hAnsi="Times New Roman"/>
          <w:lang w:eastAsia="ru-RU"/>
        </w:rPr>
        <w:t>(рекомендуемый объём в 1 классе – 33 часа, во 2, 3, 4 классах – по 34 часа).</w:t>
      </w:r>
    </w:p>
    <w:p w14:paraId="36549093">
      <w:pPr>
        <w:spacing w:after="0" w:line="360" w:lineRule="auto"/>
        <w:ind w:firstLine="709"/>
        <w:jc w:val="both"/>
        <w:rPr>
          <w:rFonts w:ascii="Times New Roman" w:hAnsi="Times New Roman"/>
        </w:rPr>
      </w:pPr>
      <w:r>
        <w:rPr>
          <w:rFonts w:ascii="Times New Roman" w:hAnsi="Times New Roman" w:eastAsia="Times New Roman"/>
          <w:bCs/>
          <w:lang w:eastAsia="zh-CN"/>
        </w:rPr>
        <w:t>16.4.</w:t>
      </w:r>
      <w:r>
        <w:rPr>
          <w:rFonts w:ascii="Times New Roman" w:hAnsi="Times New Roman"/>
        </w:rPr>
        <w:t>13.6. Содержание модуля «Бадминтон».</w:t>
      </w:r>
    </w:p>
    <w:p w14:paraId="3EDA6954">
      <w:pPr>
        <w:spacing w:after="0" w:line="360" w:lineRule="auto"/>
        <w:ind w:firstLine="709"/>
        <w:jc w:val="both"/>
        <w:rPr>
          <w:rFonts w:ascii="Times New Roman" w:hAnsi="Times New Roman"/>
        </w:rPr>
      </w:pPr>
      <w:r>
        <w:rPr>
          <w:rFonts w:ascii="Times New Roman" w:hAnsi="Times New Roman"/>
        </w:rPr>
        <w:t>Знания о бадминтоне.</w:t>
      </w:r>
    </w:p>
    <w:p w14:paraId="0CDDCD86">
      <w:pPr>
        <w:spacing w:after="0" w:line="360" w:lineRule="auto"/>
        <w:ind w:firstLine="709"/>
        <w:jc w:val="both"/>
        <w:rPr>
          <w:rFonts w:ascii="Times New Roman" w:hAnsi="Times New Roman"/>
        </w:rPr>
      </w:pPr>
      <w:r>
        <w:rPr>
          <w:rFonts w:ascii="Times New Roman" w:hAnsi="Times New Roman"/>
        </w:rPr>
        <w:t>Бадминтон как вид спорта. Правила безопасного поведения во время занятий бадминтоном. Место для занятий бадминтоном. Спортивное оборудование и инвентарь. Одежда для занятий бадминтоном. Техника безопасности при выполнении физических упражнений бадминтона, проведении игр и спортивных эстафет с элементами бадминтона.</w:t>
      </w:r>
    </w:p>
    <w:p w14:paraId="0FD4B409">
      <w:pPr>
        <w:spacing w:after="0" w:line="360" w:lineRule="auto"/>
        <w:ind w:firstLine="709"/>
        <w:jc w:val="both"/>
        <w:rPr>
          <w:rFonts w:ascii="Times New Roman" w:hAnsi="Times New Roman"/>
        </w:rPr>
      </w:pPr>
      <w:r>
        <w:rPr>
          <w:rFonts w:ascii="Times New Roman" w:hAnsi="Times New Roman"/>
        </w:rPr>
        <w:t>История зарождения бадминтона в мире и России. Выдающиеся достижения отечественных спортсменов – бадминтонистов на международной арене.</w:t>
      </w:r>
    </w:p>
    <w:p w14:paraId="26EFDF80">
      <w:pPr>
        <w:spacing w:after="0" w:line="360" w:lineRule="auto"/>
        <w:ind w:firstLine="709"/>
        <w:jc w:val="both"/>
        <w:rPr>
          <w:rFonts w:ascii="Times New Roman" w:hAnsi="Times New Roman"/>
        </w:rPr>
      </w:pPr>
      <w:r>
        <w:rPr>
          <w:rFonts w:ascii="Times New Roman" w:hAnsi="Times New Roman"/>
        </w:rPr>
        <w:t>Особенности структуры двигательных действий в бадминтоне. Показатели развития физических качеств: гибкости, координации, быстроты.</w:t>
      </w:r>
    </w:p>
    <w:p w14:paraId="2E2DDC36">
      <w:pPr>
        <w:spacing w:after="0" w:line="360" w:lineRule="auto"/>
        <w:ind w:firstLine="709"/>
        <w:jc w:val="both"/>
        <w:rPr>
          <w:rFonts w:ascii="Times New Roman" w:hAnsi="Times New Roman"/>
        </w:rPr>
      </w:pPr>
      <w:r>
        <w:rPr>
          <w:rFonts w:ascii="Times New Roman" w:hAnsi="Times New Roman"/>
        </w:rPr>
        <w:t>Основные группы мышц человека. Эластичность мышц. Развитие подвижности суставов. Первые внешние признаки утомления на занятиях бадминтоном.</w:t>
      </w:r>
    </w:p>
    <w:p w14:paraId="45A5E1F8">
      <w:pPr>
        <w:spacing w:after="0" w:line="360" w:lineRule="auto"/>
        <w:ind w:firstLine="709"/>
        <w:jc w:val="both"/>
        <w:rPr>
          <w:rFonts w:ascii="Times New Roman" w:hAnsi="Times New Roman"/>
        </w:rPr>
      </w:pPr>
      <w:r>
        <w:rPr>
          <w:rFonts w:ascii="Times New Roman" w:hAnsi="Times New Roman"/>
        </w:rPr>
        <w:t>Способы самостоятельной деятельности.</w:t>
      </w:r>
    </w:p>
    <w:p w14:paraId="22700191">
      <w:pPr>
        <w:spacing w:after="0" w:line="360" w:lineRule="auto"/>
        <w:ind w:firstLine="709"/>
        <w:jc w:val="both"/>
        <w:rPr>
          <w:rFonts w:ascii="Times New Roman" w:hAnsi="Times New Roman"/>
        </w:rPr>
      </w:pPr>
      <w:r>
        <w:rPr>
          <w:rFonts w:ascii="Times New Roman" w:hAnsi="Times New Roman"/>
        </w:rPr>
        <w:t xml:space="preserve">Бадминтон как средство укрепления здоровья, профилактики глазных заболеваний и развития физических качеств. Бадминтон как вид двигательной активности в режиме дня. Правила личной гигиены во время занятий бадминтоном. Закаливание организма средствами занятий бадминтоном. </w:t>
      </w:r>
    </w:p>
    <w:p w14:paraId="60AC6339">
      <w:pPr>
        <w:spacing w:after="0" w:line="360" w:lineRule="auto"/>
        <w:ind w:firstLine="709"/>
        <w:jc w:val="both"/>
        <w:rPr>
          <w:rFonts w:ascii="Times New Roman" w:hAnsi="Times New Roman"/>
        </w:rPr>
      </w:pPr>
      <w:r>
        <w:rPr>
          <w:rFonts w:ascii="Times New Roman" w:hAnsi="Times New Roman"/>
        </w:rPr>
        <w:t>Контрольные измерения массы и длины своего тела. Осанка. Упражнения с элементами бадминтона для профилактики миопии. Планирование индивидуального распорядка дня. Соблюдение правил безопасности в игровой деятельности. Способы самоконтроля за физической нагрузкой при выполнении игровых упражнений бадминтона. Самостоятельные развивающие, подвижные игры и спортивные эстафеты, командные перестроения.</w:t>
      </w:r>
    </w:p>
    <w:p w14:paraId="439CB8EF">
      <w:pPr>
        <w:spacing w:after="0" w:line="360" w:lineRule="auto"/>
        <w:ind w:firstLine="709"/>
        <w:jc w:val="both"/>
        <w:rPr>
          <w:rFonts w:ascii="Times New Roman" w:hAnsi="Times New Roman"/>
        </w:rPr>
      </w:pPr>
      <w:r>
        <w:rPr>
          <w:rFonts w:ascii="Times New Roman" w:hAnsi="Times New Roman"/>
        </w:rPr>
        <w:t>Подбор индивидуальных и парных упражнений с разноцветными воланами для профилактики миопии. Подбор и составление комплексов общеразвивающих и специальных упражнений бадминтона. Освоение навыков по самостоятельному ведению общей и специальной разминки.</w:t>
      </w:r>
    </w:p>
    <w:p w14:paraId="0415BF2D">
      <w:pPr>
        <w:spacing w:after="0" w:line="360" w:lineRule="auto"/>
        <w:ind w:firstLine="709"/>
        <w:jc w:val="both"/>
        <w:rPr>
          <w:rFonts w:ascii="Times New Roman" w:hAnsi="Times New Roman"/>
        </w:rPr>
      </w:pPr>
      <w:r>
        <w:rPr>
          <w:rFonts w:ascii="Times New Roman" w:hAnsi="Times New Roman"/>
        </w:rPr>
        <w:t xml:space="preserve">Самостоятельное проведение разминки, организация и проведение спортивных эстафет, игр и игровых заданий, принципы проведения эстафет при ролевом участии (капитан команды, участник, судья, организатор). </w:t>
      </w:r>
    </w:p>
    <w:p w14:paraId="5C1F03F5">
      <w:pPr>
        <w:spacing w:after="0" w:line="360" w:lineRule="auto"/>
        <w:ind w:firstLine="709"/>
        <w:jc w:val="both"/>
        <w:rPr>
          <w:rFonts w:ascii="Times New Roman" w:hAnsi="Times New Roman"/>
        </w:rPr>
      </w:pPr>
      <w:r>
        <w:rPr>
          <w:rFonts w:ascii="Times New Roman" w:hAnsi="Times New Roman"/>
        </w:rPr>
        <w:t>Физическое совершенствование.</w:t>
      </w:r>
    </w:p>
    <w:p w14:paraId="15EA8CCC">
      <w:pPr>
        <w:spacing w:after="0" w:line="360" w:lineRule="auto"/>
        <w:ind w:firstLine="709"/>
        <w:jc w:val="both"/>
        <w:rPr>
          <w:rFonts w:ascii="Times New Roman" w:hAnsi="Times New Roman"/>
        </w:rPr>
      </w:pPr>
      <w:r>
        <w:rPr>
          <w:rFonts w:ascii="Times New Roman" w:hAnsi="Times New Roman"/>
        </w:rPr>
        <w:t>Организующие команды и приёмы. Освоение универсальных умений при выполнении организующих команд: «Стройся», «Смирно», «На первый, рассчитайсь», «Вольно», «Шагом марш», «На месте стой, раз, два», «Равняйсь», «В две шеренги становись».</w:t>
      </w:r>
    </w:p>
    <w:p w14:paraId="619CAD3E">
      <w:pPr>
        <w:spacing w:after="0" w:line="360" w:lineRule="auto"/>
        <w:ind w:firstLine="709"/>
        <w:jc w:val="both"/>
        <w:rPr>
          <w:rFonts w:ascii="Times New Roman" w:hAnsi="Times New Roman"/>
        </w:rPr>
      </w:pPr>
      <w:r>
        <w:rPr>
          <w:rFonts w:ascii="Times New Roman" w:hAnsi="Times New Roman"/>
        </w:rPr>
        <w:t>Освоение универсальных умений при выполнении организующих команд и строевых упражнений: построение и перестроение в одну, две шеренги, стоя на месте, повороты направо и налево, передвижение в колонне по одному с равномерной скоростью. Совершенствование универсальных умений при выполнении организующих команд и строевых упражнений.</w:t>
      </w:r>
    </w:p>
    <w:p w14:paraId="74A78FEC">
      <w:pPr>
        <w:spacing w:after="0" w:line="360" w:lineRule="auto"/>
        <w:ind w:firstLine="709"/>
        <w:jc w:val="both"/>
        <w:rPr>
          <w:rFonts w:ascii="Times New Roman" w:hAnsi="Times New Roman"/>
        </w:rPr>
      </w:pPr>
      <w:r>
        <w:rPr>
          <w:rFonts w:ascii="Times New Roman" w:hAnsi="Times New Roman"/>
        </w:rPr>
        <w:t>Демонстрация умений построения и перестроения, перемещений различными способами передвижений, включая приставные шаги, выпады, прыжки.</w:t>
      </w:r>
    </w:p>
    <w:p w14:paraId="7E58C2B6">
      <w:pPr>
        <w:spacing w:after="0" w:line="360" w:lineRule="auto"/>
        <w:ind w:firstLine="709"/>
        <w:jc w:val="both"/>
        <w:rPr>
          <w:rFonts w:ascii="Times New Roman" w:hAnsi="Times New Roman"/>
        </w:rPr>
      </w:pPr>
      <w:r>
        <w:rPr>
          <w:rFonts w:ascii="Times New Roman" w:hAnsi="Times New Roman"/>
        </w:rPr>
        <w:t xml:space="preserve">Упражнения общей и специальной разминки. Влияние выполнения упражнений общей и специальной разминки на подготовку мышц тела к выполнению физических упражнений бадминтона. Освоение техники выполнения упражнений общей и специальной разминки с контролем дыхания. Самостоятельное проведение разминки по её видам. </w:t>
      </w:r>
    </w:p>
    <w:p w14:paraId="4956EC7F">
      <w:pPr>
        <w:spacing w:after="0" w:line="360" w:lineRule="auto"/>
        <w:ind w:firstLine="709"/>
        <w:jc w:val="both"/>
        <w:rPr>
          <w:rFonts w:ascii="Times New Roman" w:hAnsi="Times New Roman"/>
        </w:rPr>
      </w:pPr>
      <w:r>
        <w:rPr>
          <w:rFonts w:ascii="Times New Roman" w:hAnsi="Times New Roman"/>
        </w:rPr>
        <w:t>Индивидуальные и парные упражнения с разноцветными воланами для профилактики миопии.</w:t>
      </w:r>
    </w:p>
    <w:p w14:paraId="1B94FA7E">
      <w:pPr>
        <w:spacing w:after="0" w:line="360" w:lineRule="auto"/>
        <w:ind w:firstLine="709"/>
        <w:jc w:val="both"/>
        <w:rPr>
          <w:rFonts w:ascii="Times New Roman" w:hAnsi="Times New Roman"/>
        </w:rPr>
      </w:pPr>
      <w:r>
        <w:rPr>
          <w:rFonts w:ascii="Times New Roman" w:hAnsi="Times New Roman"/>
        </w:rPr>
        <w:t>Упражнения для развития моторики и координации с предметами. Жонглирование рукой, гимнастической палкой, ракеткой шарика, волана. Основные хваты ракетки. Перемещения с воланом и ракеткой. Смена хвата и работа ног.</w:t>
      </w:r>
    </w:p>
    <w:p w14:paraId="41529781">
      <w:pPr>
        <w:spacing w:after="0" w:line="360" w:lineRule="auto"/>
        <w:ind w:firstLine="709"/>
        <w:jc w:val="both"/>
        <w:rPr>
          <w:rFonts w:ascii="Times New Roman" w:hAnsi="Times New Roman"/>
        </w:rPr>
      </w:pPr>
      <w:r>
        <w:rPr>
          <w:rFonts w:ascii="Times New Roman" w:hAnsi="Times New Roman"/>
        </w:rPr>
        <w:t>Бадминтонные технические упражнения. Игра у сетки и выпады. Игра у сетки и начало игры.</w:t>
      </w:r>
    </w:p>
    <w:p w14:paraId="188E6B14">
      <w:pPr>
        <w:spacing w:after="0" w:line="360" w:lineRule="auto"/>
        <w:ind w:firstLine="709"/>
        <w:jc w:val="both"/>
        <w:rPr>
          <w:rFonts w:ascii="Times New Roman" w:hAnsi="Times New Roman"/>
        </w:rPr>
      </w:pPr>
      <w:r>
        <w:rPr>
          <w:rFonts w:ascii="Times New Roman" w:hAnsi="Times New Roman"/>
        </w:rPr>
        <w:t xml:space="preserve">Подбор комплекса и демонстрация техники выполнения упражнений с элементами бадминтона: общеразвивающие, спортивные, профилактические. </w:t>
      </w:r>
    </w:p>
    <w:p w14:paraId="6D4B846F">
      <w:pPr>
        <w:spacing w:after="0" w:line="360" w:lineRule="auto"/>
        <w:ind w:firstLine="709"/>
        <w:jc w:val="both"/>
        <w:rPr>
          <w:rFonts w:ascii="Times New Roman" w:hAnsi="Times New Roman"/>
        </w:rPr>
      </w:pPr>
      <w:r>
        <w:rPr>
          <w:rFonts w:ascii="Times New Roman" w:hAnsi="Times New Roman"/>
        </w:rPr>
        <w:t>Подбор и демонстрация комплекса упражнений для развития гибкости, координационно-скоростных способностей.</w:t>
      </w:r>
    </w:p>
    <w:p w14:paraId="49C6183C">
      <w:pPr>
        <w:spacing w:after="0" w:line="360" w:lineRule="auto"/>
        <w:ind w:firstLine="709"/>
        <w:jc w:val="both"/>
        <w:rPr>
          <w:rFonts w:ascii="Times New Roman" w:hAnsi="Times New Roman"/>
        </w:rPr>
      </w:pPr>
      <w:r>
        <w:rPr>
          <w:rFonts w:ascii="Times New Roman" w:hAnsi="Times New Roman"/>
        </w:rPr>
        <w:t>Игры и игровые задания, спортивные эстафеты. Эстафеты с ракеткой, шариком и воланом. Подвижные игры: «Падающий волан», «Убеги от водящего», «Унеси волан», «Четные и нечетные», «Парная гонка волана», «Подбей волан», «Загони волан в круг», «Салки с воланами», «Закинь волан», «Бой с тенью», «Падающий волан с ракеткой».</w:t>
      </w:r>
    </w:p>
    <w:p w14:paraId="6618DB30">
      <w:pPr>
        <w:spacing w:after="0" w:line="360" w:lineRule="auto"/>
        <w:ind w:firstLine="709"/>
        <w:jc w:val="both"/>
        <w:rPr>
          <w:rFonts w:ascii="Times New Roman" w:hAnsi="Times New Roman"/>
        </w:rPr>
      </w:pPr>
      <w:r>
        <w:rPr>
          <w:rFonts w:ascii="Times New Roman" w:hAnsi="Times New Roman"/>
        </w:rPr>
        <w:t xml:space="preserve">Индивидуальное и коллективное творчество по созданию эстафет и игровых заданий. </w:t>
      </w:r>
    </w:p>
    <w:p w14:paraId="6BE76ACB">
      <w:pPr>
        <w:spacing w:after="0" w:line="360" w:lineRule="auto"/>
        <w:ind w:firstLine="709"/>
        <w:jc w:val="both"/>
        <w:rPr>
          <w:rFonts w:ascii="Times New Roman" w:hAnsi="Times New Roman"/>
        </w:rPr>
      </w:pPr>
      <w:r>
        <w:rPr>
          <w:rFonts w:ascii="Times New Roman" w:hAnsi="Times New Roman"/>
        </w:rPr>
        <w:t xml:space="preserve">Выполнение освоенных упражнений с элементами бадминтона. Выполнение упражнений на развитие отдельных мышечных групп (спины, живота, плечевого пояса, плеча, предплечья, кисти, таза, бедра, голени, стопы). Выполнение упражнений с учётом особенностей режима работы мышц (динамичные, статичные). Освоение правил бадминтона. </w:t>
      </w:r>
    </w:p>
    <w:p w14:paraId="66C7A563">
      <w:pPr>
        <w:spacing w:after="0" w:line="360" w:lineRule="auto"/>
        <w:ind w:firstLine="709"/>
        <w:jc w:val="both"/>
        <w:rPr>
          <w:rFonts w:ascii="Times New Roman" w:hAnsi="Times New Roman"/>
        </w:rPr>
      </w:pPr>
      <w:r>
        <w:rPr>
          <w:rFonts w:ascii="Times New Roman" w:hAnsi="Times New Roman"/>
        </w:rPr>
        <w:t>Упражнения для освоения техники бадминтона. Подача и обмен ударами. Отброс слева и справа. Плоские удары в центре корта.</w:t>
      </w:r>
    </w:p>
    <w:p w14:paraId="7E1798BD">
      <w:pPr>
        <w:spacing w:after="0" w:line="360" w:lineRule="auto"/>
        <w:ind w:firstLine="709"/>
        <w:jc w:val="both"/>
        <w:rPr>
          <w:rFonts w:ascii="Times New Roman" w:hAnsi="Times New Roman"/>
        </w:rPr>
      </w:pPr>
      <w:r>
        <w:rPr>
          <w:rFonts w:ascii="Times New Roman" w:hAnsi="Times New Roman"/>
        </w:rPr>
        <w:t xml:space="preserve">Игры и игровые задания, спортивные эстафеты. Эстафеты с ракеткой и воланом. Подвижные игры: «Бой с тенью», «Падающий волан с ракеткой», «Бадминтон левыми руками», «Двурукий бадминтон», «Четные и нечетные». </w:t>
      </w:r>
    </w:p>
    <w:p w14:paraId="049EC419">
      <w:pPr>
        <w:spacing w:after="0" w:line="360" w:lineRule="auto"/>
        <w:ind w:firstLine="709"/>
        <w:jc w:val="both"/>
        <w:rPr>
          <w:rFonts w:ascii="Times New Roman" w:hAnsi="Times New Roman"/>
        </w:rPr>
      </w:pPr>
      <w:r>
        <w:rPr>
          <w:rFonts w:ascii="Times New Roman" w:hAnsi="Times New Roman" w:eastAsia="Times New Roman"/>
          <w:bCs/>
          <w:lang w:eastAsia="zh-CN"/>
        </w:rPr>
        <w:t>16.4.</w:t>
      </w:r>
      <w:r>
        <w:rPr>
          <w:rFonts w:ascii="Times New Roman" w:hAnsi="Times New Roman"/>
        </w:rPr>
        <w:t>13.7. Содержание модуля «Бадминтон» способствует достижению обучающимися личностных, метапредметных и предметных результатов обучения.</w:t>
      </w:r>
    </w:p>
    <w:p w14:paraId="1D5EB80F">
      <w:pPr>
        <w:spacing w:after="0" w:line="360" w:lineRule="auto"/>
        <w:ind w:firstLine="709"/>
        <w:jc w:val="both"/>
        <w:rPr>
          <w:rFonts w:ascii="Times New Roman" w:hAnsi="Times New Roman"/>
        </w:rPr>
      </w:pPr>
      <w:r>
        <w:rPr>
          <w:rFonts w:ascii="Times New Roman" w:hAnsi="Times New Roman" w:eastAsia="Times New Roman"/>
          <w:bCs/>
          <w:lang w:eastAsia="zh-CN"/>
        </w:rPr>
        <w:t>16.4.</w:t>
      </w:r>
      <w:r>
        <w:rPr>
          <w:rFonts w:ascii="Times New Roman" w:hAnsi="Times New Roman"/>
        </w:rPr>
        <w:t>13.7.1. При изучении модуля «Бадминтон» на уровне начального общего образования у обучающихся будут сформированы следующие личностные результаты:</w:t>
      </w:r>
    </w:p>
    <w:p w14:paraId="0F59A041">
      <w:pPr>
        <w:spacing w:after="0" w:line="360" w:lineRule="auto"/>
        <w:ind w:firstLine="709"/>
        <w:jc w:val="both"/>
        <w:rPr>
          <w:rFonts w:ascii="Times New Roman" w:hAnsi="Times New Roman"/>
        </w:rPr>
      </w:pPr>
      <w:r>
        <w:rPr>
          <w:rFonts w:ascii="Times New Roman" w:hAnsi="Times New Roman"/>
        </w:rPr>
        <w:t>проявление чувства гордости за свою Родину, российский народ и историю России через достижения отечественной сборной команды страны;</w:t>
      </w:r>
    </w:p>
    <w:p w14:paraId="18083037">
      <w:pPr>
        <w:spacing w:after="0" w:line="360" w:lineRule="auto"/>
        <w:ind w:firstLine="709"/>
        <w:jc w:val="both"/>
        <w:rPr>
          <w:rFonts w:ascii="Times New Roman" w:hAnsi="Times New Roman"/>
        </w:rPr>
      </w:pPr>
      <w:r>
        <w:rPr>
          <w:rFonts w:ascii="Times New Roman" w:hAnsi="Times New Roman"/>
        </w:rPr>
        <w:t>проявление уважительного отношения к сверстникам, культуры общения и взаимодействия, терпимости в достижении общих целей при совместной деятельности на принципах доброжелательности и взаимопомощи;</w:t>
      </w:r>
    </w:p>
    <w:p w14:paraId="00720226">
      <w:pPr>
        <w:spacing w:after="0" w:line="360" w:lineRule="auto"/>
        <w:ind w:firstLine="709"/>
        <w:jc w:val="both"/>
        <w:rPr>
          <w:rFonts w:ascii="Times New Roman" w:hAnsi="Times New Roman"/>
        </w:rPr>
      </w:pPr>
      <w:r>
        <w:rPr>
          <w:rFonts w:ascii="Times New Roman" w:hAnsi="Times New Roman"/>
        </w:rPr>
        <w:t>проявление положительных качеств личности и управление своими эмоциями в различных (нестандартных) ситуациях и условиях, умение не создавать конфликтов и находить выходы из спорных ситуаций;</w:t>
      </w:r>
    </w:p>
    <w:p w14:paraId="5699002F">
      <w:pPr>
        <w:spacing w:after="0" w:line="360" w:lineRule="auto"/>
        <w:ind w:firstLine="709"/>
        <w:jc w:val="both"/>
        <w:rPr>
          <w:rFonts w:ascii="Times New Roman" w:hAnsi="Times New Roman"/>
        </w:rPr>
      </w:pPr>
      <w:r>
        <w:rPr>
          <w:rFonts w:ascii="Times New Roman" w:hAnsi="Times New Roman"/>
        </w:rPr>
        <w:t>проявление дисциплинированности, трудолюбия и упорства достижении поставленных целей на основе представлений о нравственных нормах, социальной справедливости и свободе;</w:t>
      </w:r>
    </w:p>
    <w:p w14:paraId="38A9321C">
      <w:pPr>
        <w:spacing w:after="0" w:line="360" w:lineRule="auto"/>
        <w:ind w:firstLine="709"/>
        <w:jc w:val="both"/>
        <w:rPr>
          <w:rFonts w:ascii="Times New Roman" w:hAnsi="Times New Roman"/>
        </w:rPr>
      </w:pPr>
      <w:r>
        <w:rPr>
          <w:rFonts w:ascii="Times New Roman" w:hAnsi="Times New Roman"/>
        </w:rPr>
        <w:t>способность принимать и осваивать социальную роль обучающегося, развитие мотивов учебной деятельности, стремление к познанию и творчеству, эстетическим потребностям;</w:t>
      </w:r>
    </w:p>
    <w:p w14:paraId="5B315316">
      <w:pPr>
        <w:spacing w:after="0" w:line="360" w:lineRule="auto"/>
        <w:ind w:firstLine="709"/>
        <w:jc w:val="both"/>
        <w:rPr>
          <w:rFonts w:ascii="Times New Roman" w:hAnsi="Times New Roman"/>
        </w:rPr>
      </w:pPr>
      <w:r>
        <w:rPr>
          <w:rFonts w:ascii="Times New Roman" w:hAnsi="Times New Roman"/>
        </w:rPr>
        <w:t>оказание бескорыстной помощи своим сверстникам, нахождение с ними общего языка и общих интересов;</w:t>
      </w:r>
    </w:p>
    <w:p w14:paraId="67486699">
      <w:pPr>
        <w:spacing w:after="0" w:line="360" w:lineRule="auto"/>
        <w:ind w:firstLine="709"/>
        <w:jc w:val="both"/>
        <w:rPr>
          <w:rFonts w:ascii="Times New Roman" w:hAnsi="Times New Roman"/>
        </w:rPr>
      </w:pPr>
      <w:r>
        <w:rPr>
          <w:rFonts w:ascii="Times New Roman" w:hAnsi="Times New Roman"/>
        </w:rPr>
        <w:t>понимание установки на безопасный, здоровый образ жизни, наличие мотивации к творческому труду, работе на результат, бережному отношению к материальным и духовным ценностям.</w:t>
      </w:r>
    </w:p>
    <w:p w14:paraId="1289FB9D">
      <w:pPr>
        <w:spacing w:after="0" w:line="360" w:lineRule="auto"/>
        <w:ind w:firstLine="709"/>
        <w:jc w:val="both"/>
        <w:rPr>
          <w:rFonts w:ascii="Times New Roman" w:hAnsi="Times New Roman"/>
        </w:rPr>
      </w:pPr>
      <w:r>
        <w:rPr>
          <w:rFonts w:ascii="Times New Roman" w:hAnsi="Times New Roman" w:eastAsia="Times New Roman"/>
          <w:bCs/>
          <w:lang w:eastAsia="zh-CN"/>
        </w:rPr>
        <w:t>16.4.</w:t>
      </w:r>
      <w:r>
        <w:rPr>
          <w:rFonts w:ascii="Times New Roman" w:hAnsi="Times New Roman"/>
        </w:rPr>
        <w:t>13.7.2. При изучении модуля «Бадминтон» на уровне начального общего образования у обучающихся будут сформированы следующие метапредметные результаты:</w:t>
      </w:r>
    </w:p>
    <w:p w14:paraId="6B17AA20">
      <w:pPr>
        <w:spacing w:after="0" w:line="360" w:lineRule="auto"/>
        <w:ind w:firstLine="709"/>
        <w:jc w:val="both"/>
        <w:rPr>
          <w:rFonts w:ascii="Times New Roman" w:hAnsi="Times New Roman"/>
        </w:rPr>
      </w:pPr>
      <w:r>
        <w:rPr>
          <w:rFonts w:ascii="Times New Roman" w:hAnsi="Times New Roman"/>
        </w:rPr>
        <w:t>овладение способностью принимать и сохранять цели и задачи учебной деятельности, поиска средств и способов её осуществления;</w:t>
      </w:r>
    </w:p>
    <w:p w14:paraId="766C51C0">
      <w:pPr>
        <w:spacing w:after="0" w:line="360" w:lineRule="auto"/>
        <w:ind w:firstLine="709"/>
        <w:jc w:val="both"/>
        <w:rPr>
          <w:rFonts w:ascii="Times New Roman" w:hAnsi="Times New Roman"/>
        </w:rPr>
      </w:pPr>
      <w:r>
        <w:rPr>
          <w:rFonts w:ascii="Times New Roman" w:hAnsi="Times New Roman"/>
        </w:rPr>
        <w:t>умение планировать, контролировать и оценивать учебные действия, собственную деятельность, распределять нагрузку и отдых в процессе ее выполнения, определять наиболее эффективные способы достижения результата;</w:t>
      </w:r>
    </w:p>
    <w:p w14:paraId="03B599D2">
      <w:pPr>
        <w:spacing w:after="0" w:line="360" w:lineRule="auto"/>
        <w:ind w:firstLine="709"/>
        <w:jc w:val="both"/>
        <w:rPr>
          <w:rFonts w:ascii="Times New Roman" w:hAnsi="Times New Roman"/>
        </w:rPr>
      </w:pPr>
      <w:r>
        <w:rPr>
          <w:rFonts w:ascii="Times New Roman" w:hAnsi="Times New Roman"/>
        </w:rPr>
        <w:t>умение характеризовать действия и поступки, давать им анализ и объективную оценку на основе освоенных знаний и имеющегося опыта;</w:t>
      </w:r>
    </w:p>
    <w:p w14:paraId="4E393A95">
      <w:pPr>
        <w:spacing w:after="0" w:line="360" w:lineRule="auto"/>
        <w:ind w:firstLine="709"/>
        <w:jc w:val="both"/>
        <w:rPr>
          <w:rFonts w:ascii="Times New Roman" w:hAnsi="Times New Roman"/>
        </w:rPr>
      </w:pPr>
      <w:r>
        <w:rPr>
          <w:rFonts w:ascii="Times New Roman" w:hAnsi="Times New Roman"/>
        </w:rPr>
        <w:t>понимание причин успеха или неуспеха учебной деятельности и способность конструктивно действовать даже в ситуациях неуспеха;</w:t>
      </w:r>
    </w:p>
    <w:p w14:paraId="6BCD5ACB">
      <w:pPr>
        <w:spacing w:after="0" w:line="360" w:lineRule="auto"/>
        <w:ind w:firstLine="709"/>
        <w:jc w:val="both"/>
        <w:rPr>
          <w:rFonts w:ascii="Times New Roman" w:hAnsi="Times New Roman"/>
        </w:rPr>
      </w:pPr>
      <w:r>
        <w:rPr>
          <w:rFonts w:ascii="Times New Roman" w:hAnsi="Times New Roman"/>
        </w:rPr>
        <w:t>определение общей цели и путей ее достижения, умение договариваться о распределении функций в учебной, игровой и соревновательной деятельности, оценка собственного поведения и поведения окружающих;</w:t>
      </w:r>
    </w:p>
    <w:p w14:paraId="0D2283C8">
      <w:pPr>
        <w:spacing w:after="0" w:line="360" w:lineRule="auto"/>
        <w:ind w:firstLine="709"/>
        <w:jc w:val="both"/>
        <w:rPr>
          <w:rFonts w:ascii="Times New Roman" w:hAnsi="Times New Roman"/>
        </w:rPr>
      </w:pPr>
      <w:r>
        <w:rPr>
          <w:rFonts w:ascii="Times New Roman" w:hAnsi="Times New Roman"/>
        </w:rPr>
        <w:t>обеспечение защиты и сохранности природы во время активного отдыха и занятий физической культурой;</w:t>
      </w:r>
    </w:p>
    <w:p w14:paraId="3D53E519">
      <w:pPr>
        <w:spacing w:after="0" w:line="360" w:lineRule="auto"/>
        <w:ind w:firstLine="709"/>
        <w:jc w:val="both"/>
        <w:rPr>
          <w:rFonts w:ascii="Times New Roman" w:hAnsi="Times New Roman"/>
        </w:rPr>
      </w:pPr>
      <w:r>
        <w:rPr>
          <w:rFonts w:ascii="Times New Roman" w:hAnsi="Times New Roman"/>
        </w:rPr>
        <w:t>организация самостоятельной деятельности с учетом требований ее безопасности, сохранности инвентаря и оборудования, организации места занятий;</w:t>
      </w:r>
    </w:p>
    <w:p w14:paraId="1FE3C64D">
      <w:pPr>
        <w:spacing w:after="0" w:line="360" w:lineRule="auto"/>
        <w:ind w:firstLine="709"/>
        <w:jc w:val="both"/>
        <w:rPr>
          <w:rFonts w:ascii="Times New Roman" w:hAnsi="Times New Roman"/>
        </w:rPr>
      </w:pPr>
      <w:r>
        <w:rPr>
          <w:rFonts w:ascii="Times New Roman" w:hAnsi="Times New Roman"/>
        </w:rPr>
        <w:t>способность выделять и обосновывать эстетические признаки в физических упражнениях, двигательных действиях, оценивать красоту телосложения и осанки, сравнивать их с эталонными образцами.</w:t>
      </w:r>
    </w:p>
    <w:p w14:paraId="39C3FE09">
      <w:pPr>
        <w:spacing w:after="0" w:line="360" w:lineRule="auto"/>
        <w:ind w:firstLine="709"/>
        <w:jc w:val="both"/>
        <w:rPr>
          <w:rFonts w:ascii="Times New Roman" w:hAnsi="Times New Roman"/>
        </w:rPr>
      </w:pPr>
      <w:r>
        <w:rPr>
          <w:rFonts w:ascii="Times New Roman" w:hAnsi="Times New Roman" w:eastAsia="Times New Roman"/>
          <w:bCs/>
          <w:lang w:eastAsia="zh-CN"/>
        </w:rPr>
        <w:t>16.4.</w:t>
      </w:r>
      <w:r>
        <w:rPr>
          <w:rFonts w:ascii="Times New Roman" w:hAnsi="Times New Roman"/>
        </w:rPr>
        <w:t>13.7.3. При изучении модуля «Бадминтон» на уровне начального общего образования у обучающихся будут сформированы следующие предметные результаты:</w:t>
      </w:r>
    </w:p>
    <w:p w14:paraId="7C94B5ED">
      <w:pPr>
        <w:spacing w:after="0" w:line="360" w:lineRule="auto"/>
        <w:ind w:firstLine="709"/>
        <w:jc w:val="both"/>
        <w:rPr>
          <w:rFonts w:ascii="Times New Roman" w:hAnsi="Times New Roman"/>
        </w:rPr>
      </w:pPr>
      <w:r>
        <w:rPr>
          <w:rFonts w:ascii="Times New Roman" w:hAnsi="Times New Roman"/>
        </w:rPr>
        <w:t>представления о значении занятий бадминтоном как средством для укрепления здоровья, профилактики глазных заболеваний, организации досуговой деятельности и воспитания физических качеств человека;</w:t>
      </w:r>
    </w:p>
    <w:p w14:paraId="1DB5646A">
      <w:pPr>
        <w:spacing w:after="0" w:line="360" w:lineRule="auto"/>
        <w:ind w:firstLine="709"/>
        <w:jc w:val="both"/>
        <w:rPr>
          <w:rFonts w:ascii="Times New Roman" w:hAnsi="Times New Roman"/>
        </w:rPr>
      </w:pPr>
      <w:r>
        <w:rPr>
          <w:rFonts w:ascii="Times New Roman" w:hAnsi="Times New Roman"/>
        </w:rPr>
        <w:t>знания истории зарождения бадминтона, достижения отечественных спортсменов – бадминтонистов на международной арене;</w:t>
      </w:r>
    </w:p>
    <w:p w14:paraId="719FA711">
      <w:pPr>
        <w:spacing w:after="0" w:line="360" w:lineRule="auto"/>
        <w:ind w:firstLine="709"/>
        <w:jc w:val="both"/>
        <w:rPr>
          <w:rFonts w:ascii="Times New Roman" w:hAnsi="Times New Roman"/>
        </w:rPr>
      </w:pPr>
      <w:r>
        <w:rPr>
          <w:rFonts w:ascii="Times New Roman" w:hAnsi="Times New Roman"/>
        </w:rPr>
        <w:t xml:space="preserve">представление о сущности и основных правилах игры в бадминтон; </w:t>
      </w:r>
    </w:p>
    <w:p w14:paraId="51138EFF">
      <w:pPr>
        <w:spacing w:after="0" w:line="360" w:lineRule="auto"/>
        <w:ind w:firstLine="709"/>
        <w:jc w:val="both"/>
        <w:rPr>
          <w:rFonts w:ascii="Times New Roman" w:hAnsi="Times New Roman"/>
        </w:rPr>
      </w:pPr>
      <w:r>
        <w:rPr>
          <w:rFonts w:ascii="Times New Roman" w:hAnsi="Times New Roman"/>
        </w:rPr>
        <w:t xml:space="preserve">умение характеризовать упражнения и комплексы упражнений: общефизической, корригирующей направленности, подготовительного, специального воздействия для занятий бадминтоном, для развития двигательных способностей, индивидуальных и парных бадминтонных технических элементов, техники их выполнения; </w:t>
      </w:r>
    </w:p>
    <w:p w14:paraId="59F6C3E9">
      <w:pPr>
        <w:spacing w:after="0" w:line="360" w:lineRule="auto"/>
        <w:ind w:firstLine="709"/>
        <w:jc w:val="both"/>
        <w:rPr>
          <w:rFonts w:ascii="Times New Roman" w:hAnsi="Times New Roman"/>
        </w:rPr>
      </w:pPr>
      <w:r>
        <w:rPr>
          <w:rFonts w:ascii="Times New Roman" w:hAnsi="Times New Roman"/>
        </w:rPr>
        <w:t>демонстрация навыков безопасного поведения во время занятий бадминтоном, личной гигиены, выполнения требований к спортивной одежде и обуви, спортивному инвентарю для занятий бадминтоном;</w:t>
      </w:r>
    </w:p>
    <w:p w14:paraId="40FA9E7E">
      <w:pPr>
        <w:spacing w:after="0" w:line="360" w:lineRule="auto"/>
        <w:ind w:firstLine="709"/>
        <w:jc w:val="both"/>
        <w:rPr>
          <w:rFonts w:ascii="Times New Roman" w:hAnsi="Times New Roman"/>
        </w:rPr>
      </w:pPr>
      <w:r>
        <w:rPr>
          <w:rFonts w:ascii="Times New Roman" w:hAnsi="Times New Roman"/>
        </w:rPr>
        <w:t>демонстрация навыков систематического наблюдения за своим физическим состоянием, показателями физического развития и физической подготовленности;</w:t>
      </w:r>
    </w:p>
    <w:p w14:paraId="0721DB32">
      <w:pPr>
        <w:spacing w:after="0" w:line="360" w:lineRule="auto"/>
        <w:ind w:firstLine="709"/>
        <w:jc w:val="both"/>
        <w:rPr>
          <w:rFonts w:ascii="Times New Roman" w:hAnsi="Times New Roman"/>
        </w:rPr>
      </w:pPr>
      <w:r>
        <w:rPr>
          <w:rFonts w:ascii="Times New Roman" w:hAnsi="Times New Roman"/>
        </w:rPr>
        <w:t>демонстрация универсальных умений при выполнении организующих команд и строевых упражнений;</w:t>
      </w:r>
    </w:p>
    <w:p w14:paraId="328501B0">
      <w:pPr>
        <w:spacing w:after="0" w:line="360" w:lineRule="auto"/>
        <w:ind w:firstLine="709"/>
        <w:jc w:val="both"/>
        <w:rPr>
          <w:rFonts w:ascii="Times New Roman" w:hAnsi="Times New Roman"/>
        </w:rPr>
      </w:pPr>
      <w:r>
        <w:rPr>
          <w:rFonts w:ascii="Times New Roman" w:hAnsi="Times New Roman"/>
        </w:rPr>
        <w:t>умение выполнять и составлять комплексы общеразвивающих, специальных и корригирующих упражнений, упражнений на развитие быстроты, координации, гибкости;</w:t>
      </w:r>
    </w:p>
    <w:p w14:paraId="2FDA2D62">
      <w:pPr>
        <w:spacing w:after="0" w:line="360" w:lineRule="auto"/>
        <w:ind w:firstLine="709"/>
        <w:jc w:val="both"/>
        <w:rPr>
          <w:rFonts w:ascii="Times New Roman" w:hAnsi="Times New Roman"/>
        </w:rPr>
      </w:pPr>
      <w:r>
        <w:rPr>
          <w:rFonts w:ascii="Times New Roman" w:hAnsi="Times New Roman"/>
        </w:rPr>
        <w:t>демонстрация техники выполнения общеразвивающих, спортивных, профилактических упражнений с элементами бадминтона;</w:t>
      </w:r>
    </w:p>
    <w:p w14:paraId="667163BE">
      <w:pPr>
        <w:spacing w:after="0" w:line="360" w:lineRule="auto"/>
        <w:ind w:firstLine="709"/>
        <w:jc w:val="both"/>
        <w:rPr>
          <w:rFonts w:ascii="Times New Roman" w:hAnsi="Times New Roman"/>
        </w:rPr>
      </w:pPr>
      <w:r>
        <w:rPr>
          <w:rFonts w:ascii="Times New Roman" w:hAnsi="Times New Roman"/>
        </w:rPr>
        <w:t>умение выполнять бадминтонные технические упражнения: выпады, начало игры, игра у сетки, подача и обмен ударами, отброс слева и справа, плоские удары в центре корта;</w:t>
      </w:r>
    </w:p>
    <w:p w14:paraId="0926D158">
      <w:pPr>
        <w:spacing w:after="0" w:line="360" w:lineRule="auto"/>
        <w:ind w:firstLine="709"/>
        <w:jc w:val="both"/>
        <w:rPr>
          <w:rFonts w:ascii="Times New Roman" w:hAnsi="Times New Roman"/>
        </w:rPr>
      </w:pPr>
      <w:r>
        <w:rPr>
          <w:rFonts w:ascii="Times New Roman" w:hAnsi="Times New Roman"/>
        </w:rPr>
        <w:t>умение организовать самостоятельные занятия бадминтоном со сверстниками, подвижные игры с элементами бадминтоном;</w:t>
      </w:r>
    </w:p>
    <w:p w14:paraId="7FC126FC">
      <w:pPr>
        <w:spacing w:after="0" w:line="360" w:lineRule="auto"/>
        <w:ind w:firstLine="709"/>
        <w:jc w:val="both"/>
        <w:rPr>
          <w:rFonts w:ascii="Times New Roman" w:hAnsi="Times New Roman"/>
        </w:rPr>
      </w:pPr>
      <w:r>
        <w:rPr>
          <w:rFonts w:ascii="Times New Roman" w:hAnsi="Times New Roman"/>
        </w:rPr>
        <w:t>выполнение контрольно-тестовых упражнений по общей и специальной физической подготовке и умение оценивать по показателям индивидуальный уровень физической подготовленности;</w:t>
      </w:r>
    </w:p>
    <w:p w14:paraId="21FFA649">
      <w:pPr>
        <w:spacing w:after="0" w:line="360" w:lineRule="auto"/>
        <w:ind w:firstLine="709"/>
        <w:jc w:val="both"/>
        <w:rPr>
          <w:rFonts w:ascii="Times New Roman" w:hAnsi="Times New Roman"/>
        </w:rPr>
      </w:pPr>
      <w:r>
        <w:rPr>
          <w:rFonts w:ascii="Times New Roman" w:hAnsi="Times New Roman"/>
        </w:rPr>
        <w:t>проявление уважительного отношения к одноклассникам, культуры общения и взаимодействия, терпимости и толерантности в достижении общих целей в учебной и игровой деятельности на занятиях бадминтоном.</w:t>
      </w:r>
    </w:p>
    <w:p w14:paraId="1DF80202">
      <w:pPr>
        <w:pBdr>
          <w:top w:val="none" w:color="000000" w:sz="0" w:space="0"/>
          <w:left w:val="none" w:color="000000" w:sz="0" w:space="0"/>
          <w:bottom w:val="none" w:color="000000" w:sz="0" w:space="0"/>
          <w:right w:val="none" w:color="000000" w:sz="0" w:space="0"/>
        </w:pBdr>
        <w:suppressAutoHyphens/>
        <w:spacing w:after="0" w:line="360" w:lineRule="auto"/>
        <w:ind w:firstLine="709"/>
        <w:jc w:val="both"/>
        <w:rPr>
          <w:rFonts w:ascii="Times New Roman" w:hAnsi="Times New Roman"/>
          <w:bCs/>
          <w:u w:color="000000"/>
          <w:lang w:eastAsia="zh-CN"/>
        </w:rPr>
      </w:pPr>
      <w:r>
        <w:rPr>
          <w:rFonts w:ascii="Times New Roman" w:hAnsi="Times New Roman" w:eastAsia="Times New Roman"/>
          <w:bCs/>
          <w:lang w:eastAsia="zh-CN"/>
        </w:rPr>
        <w:t>16.4.</w:t>
      </w:r>
      <w:r>
        <w:rPr>
          <w:rFonts w:ascii="Times New Roman" w:hAnsi="Times New Roman" w:eastAsia="Times New Roman"/>
          <w:bCs/>
          <w:u w:color="000000"/>
          <w:lang w:eastAsia="zh-CN"/>
        </w:rPr>
        <w:t>14. М</w:t>
      </w:r>
      <w:r>
        <w:rPr>
          <w:rFonts w:ascii="Times New Roman" w:hAnsi="Times New Roman"/>
          <w:bCs/>
          <w:u w:color="000000"/>
          <w:lang w:eastAsia="zh-CN"/>
        </w:rPr>
        <w:t>одуль «Триатлон».</w:t>
      </w:r>
    </w:p>
    <w:p w14:paraId="797C0EBC">
      <w:pPr>
        <w:pBdr>
          <w:top w:val="none" w:color="000000" w:sz="0" w:space="0"/>
          <w:left w:val="none" w:color="000000" w:sz="0" w:space="0"/>
          <w:bottom w:val="none" w:color="000000" w:sz="0" w:space="0"/>
          <w:right w:val="none" w:color="000000" w:sz="0" w:space="0"/>
        </w:pBdr>
        <w:suppressAutoHyphens/>
        <w:spacing w:after="0" w:line="360" w:lineRule="auto"/>
        <w:ind w:firstLine="709"/>
        <w:jc w:val="both"/>
        <w:rPr>
          <w:rFonts w:ascii="Times New Roman" w:hAnsi="Times New Roman"/>
          <w:u w:color="000000"/>
          <w:lang w:eastAsia="zh-CN"/>
        </w:rPr>
      </w:pPr>
      <w:r>
        <w:rPr>
          <w:rFonts w:ascii="Times New Roman" w:hAnsi="Times New Roman" w:eastAsia="Times New Roman"/>
          <w:bCs/>
          <w:lang w:eastAsia="zh-CN"/>
        </w:rPr>
        <w:t>16.4.</w:t>
      </w:r>
      <w:r>
        <w:rPr>
          <w:rFonts w:ascii="Times New Roman" w:hAnsi="Times New Roman" w:eastAsia="Times New Roman"/>
          <w:bCs/>
          <w:u w:color="000000"/>
          <w:lang w:eastAsia="zh-CN"/>
        </w:rPr>
        <w:t>14.1. </w:t>
      </w:r>
      <w:r>
        <w:rPr>
          <w:rFonts w:ascii="Times New Roman" w:hAnsi="Times New Roman"/>
          <w:u w:color="000000"/>
          <w:lang w:eastAsia="zh-CN"/>
        </w:rPr>
        <w:t>Пояснительная записка модуля «Триатлон».</w:t>
      </w:r>
    </w:p>
    <w:p w14:paraId="22DD5D0A">
      <w:pPr>
        <w:pBdr>
          <w:top w:val="none" w:color="000000" w:sz="0" w:space="0"/>
          <w:left w:val="none" w:color="000000" w:sz="0" w:space="0"/>
          <w:bottom w:val="none" w:color="000000" w:sz="0" w:space="0"/>
          <w:right w:val="none" w:color="000000" w:sz="0" w:space="0"/>
        </w:pBdr>
        <w:suppressAutoHyphens/>
        <w:spacing w:after="0" w:line="360" w:lineRule="auto"/>
        <w:ind w:firstLine="709"/>
        <w:jc w:val="both"/>
        <w:rPr>
          <w:rFonts w:ascii="Times New Roman" w:hAnsi="Times New Roman"/>
          <w:u w:color="000000"/>
          <w:lang w:eastAsia="zh-CN"/>
        </w:rPr>
      </w:pPr>
      <w:r>
        <w:rPr>
          <w:rFonts w:ascii="Times New Roman" w:hAnsi="Times New Roman"/>
          <w:u w:color="000000"/>
          <w:lang w:eastAsia="zh-CN"/>
        </w:rPr>
        <w:t>Модуль «Триатлон» (далее – модуль по триатлону, триатлон) на уровне начального образования разработан с целью оказания методической помощи учителю физической культуры в создании рабочей программы по учебному предмету «Физическая культура» с учётом современных тенденций в системе образования и использования спортивно-ориентированных форм, средств и методов обучения по различным видам спорта.</w:t>
      </w:r>
    </w:p>
    <w:p w14:paraId="3E791713">
      <w:pPr>
        <w:pBdr>
          <w:top w:val="none" w:color="000000" w:sz="0" w:space="0"/>
          <w:left w:val="none" w:color="000000" w:sz="0" w:space="0"/>
          <w:bottom w:val="none" w:color="000000" w:sz="0" w:space="0"/>
          <w:right w:val="none" w:color="000000" w:sz="0" w:space="0"/>
        </w:pBdr>
        <w:suppressAutoHyphens/>
        <w:spacing w:after="0" w:line="360" w:lineRule="auto"/>
        <w:ind w:firstLine="709"/>
        <w:jc w:val="both"/>
        <w:rPr>
          <w:rFonts w:ascii="Times New Roman" w:hAnsi="Times New Roman"/>
          <w:u w:color="000000"/>
          <w:lang w:eastAsia="zh-CN"/>
        </w:rPr>
      </w:pPr>
      <w:r>
        <w:rPr>
          <w:rFonts w:ascii="Times New Roman" w:hAnsi="Times New Roman" w:eastAsia="Times New Roman"/>
          <w:u w:color="000000"/>
        </w:rPr>
        <w:t xml:space="preserve">Триатлон, как комплексный вид спорта, </w:t>
      </w:r>
      <w:r>
        <w:rPr>
          <w:rFonts w:ascii="Times New Roman" w:hAnsi="Times New Roman"/>
          <w:u w:color="000000"/>
          <w:lang w:eastAsia="ru-RU"/>
        </w:rPr>
        <w:t>объединяет наиболее популярные циклические спортивные дисциплины – плавание, велогонка, бег и</w:t>
      </w:r>
      <w:r>
        <w:rPr>
          <w:rFonts w:ascii="Times New Roman" w:hAnsi="Times New Roman" w:eastAsia="Arial Unicode MS"/>
          <w:u w:color="000000"/>
          <w:lang w:eastAsia="ru-RU"/>
        </w:rPr>
        <w:t xml:space="preserve"> способствует </w:t>
      </w:r>
      <w:r>
        <w:rPr>
          <w:rFonts w:ascii="Times New Roman" w:hAnsi="Times New Roman"/>
          <w:u w:color="000000"/>
          <w:lang w:eastAsia="ru-RU"/>
        </w:rPr>
        <w:t xml:space="preserve">всестороннему физическому, интеллектуальному, нравственному развитию, патриотическому воспитанию обучающихся и личностному самоопределению. </w:t>
      </w:r>
      <w:r>
        <w:rPr>
          <w:rFonts w:ascii="Times New Roman" w:hAnsi="Times New Roman" w:eastAsia="Times New Roman"/>
          <w:u w:color="000000"/>
        </w:rPr>
        <w:t xml:space="preserve">Занятия триатлоном </w:t>
      </w:r>
      <w:r>
        <w:rPr>
          <w:rFonts w:ascii="Times New Roman" w:hAnsi="Times New Roman" w:eastAsia="Arial Unicode MS"/>
          <w:u w:color="000000"/>
          <w:lang w:eastAsia="ru-RU"/>
        </w:rPr>
        <w:t xml:space="preserve">обеспечивают эффективное развитие физических качеств, </w:t>
      </w:r>
      <w:r>
        <w:rPr>
          <w:rFonts w:ascii="Times New Roman" w:hAnsi="Times New Roman"/>
          <w:u w:color="000000"/>
          <w:lang w:eastAsia="ru-RU"/>
        </w:rPr>
        <w:t xml:space="preserve">имеют оздоровительную направленность, повышают уровень функционирования всех систем организма человека. </w:t>
      </w:r>
    </w:p>
    <w:p w14:paraId="12894792">
      <w:pPr>
        <w:pBdr>
          <w:top w:val="none" w:color="auto" w:sz="0" w:space="0"/>
          <w:left w:val="none" w:color="auto" w:sz="0" w:space="0"/>
          <w:bottom w:val="none" w:color="auto" w:sz="0" w:space="0"/>
          <w:right w:val="none" w:color="auto" w:sz="0" w:space="0"/>
          <w:between w:val="none" w:color="auto" w:sz="0" w:space="0"/>
        </w:pBdr>
        <w:spacing w:after="0" w:line="360" w:lineRule="auto"/>
        <w:ind w:firstLine="709"/>
        <w:jc w:val="both"/>
        <w:rPr>
          <w:rFonts w:ascii="Times New Roman" w:hAnsi="Times New Roman" w:eastAsia="Times New Roman"/>
          <w:u w:color="000000"/>
        </w:rPr>
      </w:pPr>
      <w:r>
        <w:rPr>
          <w:rFonts w:ascii="Times New Roman" w:hAnsi="Times New Roman" w:eastAsia="Times New Roman"/>
          <w:u w:color="000000"/>
        </w:rPr>
        <w:t>Использование средств триатлона в образовательной деятельности содействуют формированию у обучающихся важные для жизни навыки и черты характера (целеустремленность, настойчивость, решительность, коммуникабельность, самостоятельность, силу воли и уверенность в своих силах), дают возможность вырабатывать навыки общения,</w:t>
      </w:r>
      <w:r>
        <w:rPr>
          <w:rFonts w:ascii="Times New Roman" w:hAnsi="Times New Roman" w:eastAsia="Times New Roman"/>
          <w:spacing w:val="-2"/>
          <w:u w:color="000000"/>
        </w:rPr>
        <w:t xml:space="preserve"> </w:t>
      </w:r>
      <w:r>
        <w:rPr>
          <w:rFonts w:ascii="Times New Roman" w:hAnsi="Times New Roman"/>
          <w:u w:color="000000"/>
          <w:lang w:eastAsia="ru-RU"/>
        </w:rPr>
        <w:t xml:space="preserve">дисциплинированности, самообладания, терпимости, </w:t>
      </w:r>
      <w:r>
        <w:rPr>
          <w:rFonts w:ascii="Times New Roman" w:hAnsi="Times New Roman" w:eastAsia="Times New Roman"/>
          <w:u w:color="000000"/>
        </w:rPr>
        <w:t>ответственности</w:t>
      </w:r>
      <w:r>
        <w:rPr>
          <w:rFonts w:ascii="Times New Roman" w:hAnsi="Times New Roman" w:eastAsia="Times New Roman"/>
          <w:spacing w:val="-3"/>
          <w:u w:color="000000"/>
        </w:rPr>
        <w:t>.</w:t>
      </w:r>
    </w:p>
    <w:p w14:paraId="25527BA4">
      <w:pPr>
        <w:pBdr>
          <w:top w:val="none" w:color="auto" w:sz="0" w:space="0"/>
          <w:left w:val="none" w:color="auto" w:sz="0" w:space="0"/>
          <w:bottom w:val="none" w:color="auto" w:sz="0" w:space="0"/>
          <w:right w:val="none" w:color="auto" w:sz="0" w:space="0"/>
          <w:between w:val="none" w:color="auto" w:sz="0" w:space="0"/>
        </w:pBdr>
        <w:spacing w:after="0" w:line="360" w:lineRule="auto"/>
        <w:ind w:firstLine="709"/>
        <w:jc w:val="both"/>
        <w:rPr>
          <w:rFonts w:ascii="Times New Roman" w:hAnsi="Times New Roman" w:eastAsia="Arial Unicode MS"/>
          <w:u w:color="000000"/>
          <w:lang w:eastAsia="ru-RU"/>
        </w:rPr>
      </w:pPr>
      <w:r>
        <w:rPr>
          <w:rFonts w:ascii="Times New Roman" w:hAnsi="Times New Roman" w:eastAsia="Times New Roman"/>
          <w:bCs/>
          <w:lang w:eastAsia="zh-CN"/>
        </w:rPr>
        <w:t>16.4.</w:t>
      </w:r>
      <w:r>
        <w:rPr>
          <w:rFonts w:ascii="Times New Roman" w:hAnsi="Times New Roman" w:eastAsia="Arial Unicode MS"/>
          <w:u w:color="000000"/>
          <w:lang w:eastAsia="ru-RU"/>
        </w:rPr>
        <w:t xml:space="preserve">14.2. Целью изучение модуля «Триатлон» </w:t>
      </w:r>
      <w:r>
        <w:rPr>
          <w:rFonts w:ascii="Times New Roman" w:hAnsi="Times New Roman" w:eastAsia="Times New Roman"/>
          <w:u w:color="000000"/>
        </w:rPr>
        <w:t>является формирование у обучающихся навыков общечеловеческой культуры и социального самоопределения, устойчивой мотивации к сохранению и укреплению собственного здоровья, ведению здорового образа жизни через занятия физической культурой и спортом с использованием средств вида спорта «триатлон».</w:t>
      </w:r>
    </w:p>
    <w:p w14:paraId="0808BCA4">
      <w:pPr>
        <w:pBdr>
          <w:top w:val="none" w:color="auto" w:sz="0" w:space="0"/>
          <w:left w:val="none" w:color="auto" w:sz="0" w:space="0"/>
          <w:bottom w:val="none" w:color="auto" w:sz="0" w:space="0"/>
          <w:right w:val="none" w:color="auto" w:sz="0" w:space="0"/>
          <w:between w:val="none" w:color="auto" w:sz="0" w:space="0"/>
        </w:pBdr>
        <w:spacing w:after="0" w:line="360" w:lineRule="auto"/>
        <w:ind w:firstLine="709"/>
        <w:jc w:val="both"/>
        <w:rPr>
          <w:rFonts w:ascii="Times New Roman" w:hAnsi="Times New Roman" w:eastAsia="Arial Unicode MS"/>
          <w:u w:color="000000"/>
          <w:lang w:eastAsia="ru-RU"/>
        </w:rPr>
      </w:pPr>
      <w:r>
        <w:rPr>
          <w:rFonts w:ascii="Times New Roman" w:hAnsi="Times New Roman" w:eastAsia="Times New Roman"/>
          <w:bCs/>
          <w:lang w:eastAsia="zh-CN"/>
        </w:rPr>
        <w:t>16.4.</w:t>
      </w:r>
      <w:r>
        <w:rPr>
          <w:rFonts w:ascii="Times New Roman" w:hAnsi="Times New Roman" w:eastAsia="Arial Unicode MS"/>
          <w:u w:color="000000"/>
          <w:lang w:eastAsia="ru-RU"/>
        </w:rPr>
        <w:t xml:space="preserve">14.3. Задачами изучения модуля «Триатлон» являются: </w:t>
      </w:r>
    </w:p>
    <w:p w14:paraId="6EC8FE65">
      <w:pPr>
        <w:pBdr>
          <w:top w:val="none" w:color="auto" w:sz="0" w:space="0"/>
          <w:left w:val="none" w:color="auto" w:sz="0" w:space="0"/>
          <w:bottom w:val="none" w:color="auto" w:sz="0" w:space="0"/>
          <w:right w:val="none" w:color="auto" w:sz="0" w:space="0"/>
          <w:between w:val="none" w:color="auto" w:sz="0" w:space="0"/>
        </w:pBdr>
        <w:spacing w:after="0" w:line="360" w:lineRule="auto"/>
        <w:ind w:firstLine="709"/>
        <w:jc w:val="both"/>
        <w:rPr>
          <w:rFonts w:ascii="Times New Roman" w:hAnsi="Times New Roman" w:eastAsia="Arial Unicode MS"/>
          <w:u w:color="000000"/>
          <w:lang w:eastAsia="ru-RU"/>
        </w:rPr>
      </w:pPr>
      <w:r>
        <w:rPr>
          <w:rFonts w:ascii="Times New Roman" w:hAnsi="Times New Roman" w:eastAsia="Arial Unicode MS"/>
          <w:u w:color="000000"/>
          <w:lang w:eastAsia="ru-RU"/>
        </w:rPr>
        <w:t>всестороннее гармоничное развитие детей младшего школьного возраста, увеличение объёма их двигательной активности;</w:t>
      </w:r>
    </w:p>
    <w:p w14:paraId="2EC9397F">
      <w:pPr>
        <w:pBdr>
          <w:top w:val="none" w:color="auto" w:sz="0" w:space="0"/>
          <w:left w:val="none" w:color="auto" w:sz="0" w:space="0"/>
          <w:bottom w:val="none" w:color="auto" w:sz="0" w:space="0"/>
          <w:right w:val="none" w:color="auto" w:sz="0" w:space="0"/>
          <w:between w:val="none" w:color="auto" w:sz="0" w:space="0"/>
        </w:pBdr>
        <w:spacing w:after="0" w:line="360" w:lineRule="auto"/>
        <w:ind w:firstLine="709"/>
        <w:jc w:val="both"/>
        <w:rPr>
          <w:rFonts w:ascii="Times New Roman" w:hAnsi="Times New Roman" w:eastAsia="Arial Unicode MS"/>
          <w:u w:color="000000"/>
          <w:lang w:eastAsia="ru-RU"/>
        </w:rPr>
      </w:pPr>
      <w:r>
        <w:rPr>
          <w:rFonts w:ascii="Times New Roman" w:hAnsi="Times New Roman" w:eastAsia="Arial Unicode MS"/>
          <w:u w:color="000000"/>
          <w:lang w:eastAsia="ru-RU"/>
        </w:rPr>
        <w:t>формирование общих представлений о виде спорта «триатлон», его возможностях и значении в процессе укрепления здоровья, физическом развитии и физической подготовке обучающихся;</w:t>
      </w:r>
    </w:p>
    <w:p w14:paraId="6651822A">
      <w:pPr>
        <w:autoSpaceDE w:val="0"/>
        <w:autoSpaceDN w:val="0"/>
        <w:spacing w:after="0" w:line="360" w:lineRule="auto"/>
        <w:ind w:firstLine="709"/>
        <w:jc w:val="both"/>
        <w:rPr>
          <w:rFonts w:ascii="Times New Roman" w:hAnsi="Times New Roman" w:eastAsia="Times New Roman"/>
          <w:u w:color="000000"/>
        </w:rPr>
      </w:pPr>
      <w:r>
        <w:rPr>
          <w:rFonts w:ascii="Times New Roman" w:hAnsi="Times New Roman" w:eastAsia="Times New Roman"/>
          <w:u w:color="000000"/>
        </w:rPr>
        <w:t>укрепление физического, психологического и социального здоровья обучающихся, развитие основных физических качеств и повышение функциональных возможностей их организма средствами триатлона;</w:t>
      </w:r>
    </w:p>
    <w:p w14:paraId="107C5C2C">
      <w:pPr>
        <w:pBdr>
          <w:top w:val="none" w:color="auto" w:sz="0" w:space="0"/>
          <w:left w:val="none" w:color="auto" w:sz="0" w:space="0"/>
          <w:bottom w:val="none" w:color="auto" w:sz="0" w:space="0"/>
          <w:right w:val="none" w:color="auto" w:sz="0" w:space="0"/>
          <w:between w:val="none" w:color="auto" w:sz="0" w:space="0"/>
        </w:pBdr>
        <w:spacing w:after="0" w:line="360" w:lineRule="auto"/>
        <w:ind w:firstLine="709"/>
        <w:jc w:val="both"/>
        <w:rPr>
          <w:rFonts w:ascii="Times New Roman" w:hAnsi="Times New Roman" w:eastAsia="Arial Unicode MS"/>
          <w:u w:color="000000"/>
          <w:lang w:eastAsia="ru-RU"/>
        </w:rPr>
      </w:pPr>
      <w:r>
        <w:rPr>
          <w:rFonts w:ascii="Times New Roman" w:hAnsi="Times New Roman" w:eastAsia="Arial Unicode MS"/>
          <w:u w:color="000000"/>
          <w:lang w:eastAsia="ru-RU"/>
        </w:rPr>
        <w:t>формирование образовательного и культурного фундамента у обучающегося средствами триатлона и создание необходимых предпосылок для его самореализации;</w:t>
      </w:r>
    </w:p>
    <w:p w14:paraId="35D25528">
      <w:pPr>
        <w:autoSpaceDE w:val="0"/>
        <w:autoSpaceDN w:val="0"/>
        <w:spacing w:after="0" w:line="360" w:lineRule="auto"/>
        <w:ind w:firstLine="709"/>
        <w:jc w:val="both"/>
        <w:rPr>
          <w:rFonts w:ascii="Times New Roman" w:hAnsi="Times New Roman" w:eastAsia="Times New Roman"/>
          <w:u w:color="000000"/>
        </w:rPr>
      </w:pPr>
      <w:r>
        <w:rPr>
          <w:rFonts w:ascii="Times New Roman" w:hAnsi="Times New Roman" w:eastAsia="Times New Roman"/>
          <w:u w:color="000000"/>
        </w:rPr>
        <w:t>формирование культуры движений, обогащение двигательного опыта физическими упражнениями с общеразвивающей и корригирующей направленностью, техническими приемами вида спорта «триатлон»;</w:t>
      </w:r>
    </w:p>
    <w:p w14:paraId="0781D5BB">
      <w:pPr>
        <w:autoSpaceDE w:val="0"/>
        <w:autoSpaceDN w:val="0"/>
        <w:spacing w:after="0" w:line="360" w:lineRule="auto"/>
        <w:ind w:firstLine="709"/>
        <w:jc w:val="both"/>
        <w:rPr>
          <w:rFonts w:ascii="Times New Roman" w:hAnsi="Times New Roman" w:eastAsia="Times New Roman"/>
          <w:u w:color="000000"/>
        </w:rPr>
      </w:pPr>
      <w:r>
        <w:rPr>
          <w:rFonts w:ascii="Times New Roman" w:hAnsi="Times New Roman" w:eastAsia="Times New Roman"/>
          <w:u w:color="000000"/>
        </w:rPr>
        <w:t>воспитание положительных качеств личности, норм коллективного взаимодействия и сотрудничества;</w:t>
      </w:r>
    </w:p>
    <w:p w14:paraId="792BC0FD">
      <w:pPr>
        <w:pBdr>
          <w:top w:val="none" w:color="auto" w:sz="0" w:space="0"/>
          <w:left w:val="none" w:color="auto" w:sz="0" w:space="0"/>
          <w:bottom w:val="none" w:color="auto" w:sz="0" w:space="0"/>
          <w:right w:val="none" w:color="auto" w:sz="0" w:space="0"/>
          <w:between w:val="none" w:color="auto" w:sz="0" w:space="0"/>
        </w:pBdr>
        <w:spacing w:after="0" w:line="360" w:lineRule="auto"/>
        <w:ind w:firstLine="709"/>
        <w:jc w:val="both"/>
        <w:rPr>
          <w:rFonts w:ascii="Times New Roman" w:hAnsi="Times New Roman" w:eastAsia="Arial Unicode MS"/>
          <w:u w:color="000000"/>
          <w:lang w:eastAsia="ru-RU"/>
        </w:rPr>
      </w:pPr>
      <w:r>
        <w:rPr>
          <w:rFonts w:ascii="Times New Roman" w:hAnsi="Times New Roman" w:eastAsia="Arial Unicode MS"/>
          <w:u w:color="000000"/>
          <w:lang w:eastAsia="ru-RU"/>
        </w:rPr>
        <w:t>развитие положительной мотивации и устойчивого учебно-познавательного интереса к предмету «Физическая культура» средствами триатлона;</w:t>
      </w:r>
    </w:p>
    <w:p w14:paraId="21E79027">
      <w:pPr>
        <w:pBdr>
          <w:top w:val="none" w:color="auto" w:sz="0" w:space="0"/>
          <w:left w:val="none" w:color="auto" w:sz="0" w:space="0"/>
          <w:bottom w:val="none" w:color="auto" w:sz="0" w:space="0"/>
          <w:right w:val="none" w:color="auto" w:sz="0" w:space="0"/>
          <w:between w:val="none" w:color="auto" w:sz="0" w:space="0"/>
        </w:pBdr>
        <w:spacing w:after="0" w:line="360" w:lineRule="auto"/>
        <w:ind w:firstLine="709"/>
        <w:jc w:val="both"/>
        <w:rPr>
          <w:rFonts w:ascii="Times New Roman" w:hAnsi="Times New Roman" w:eastAsia="Arial Unicode MS"/>
          <w:u w:color="000000"/>
          <w:lang w:eastAsia="ru-RU"/>
        </w:rPr>
      </w:pPr>
      <w:r>
        <w:rPr>
          <w:rFonts w:ascii="Times New Roman" w:hAnsi="Times New Roman" w:eastAsia="Arial Unicode MS"/>
          <w:u w:color="000000"/>
          <w:lang w:eastAsia="ru-RU"/>
        </w:rPr>
        <w:t>популяризация триатлона среди подрастающего поколения, привлечение обучающихся, проявляющих повышенный интерес и способности к занятиям триатлоном в школьные спортивные клубы, секции, к участию в соревнованиях;</w:t>
      </w:r>
    </w:p>
    <w:p w14:paraId="5D279BD6">
      <w:pPr>
        <w:pBdr>
          <w:top w:val="none" w:color="auto" w:sz="0" w:space="0"/>
          <w:left w:val="none" w:color="auto" w:sz="0" w:space="0"/>
          <w:bottom w:val="none" w:color="auto" w:sz="0" w:space="0"/>
          <w:right w:val="none" w:color="auto" w:sz="0" w:space="0"/>
          <w:between w:val="none" w:color="auto" w:sz="0" w:space="0"/>
        </w:pBdr>
        <w:spacing w:after="0" w:line="360" w:lineRule="auto"/>
        <w:ind w:firstLine="709"/>
        <w:jc w:val="both"/>
        <w:rPr>
          <w:rFonts w:ascii="Times New Roman" w:hAnsi="Times New Roman" w:eastAsia="Arial Unicode MS"/>
          <w:u w:color="000000"/>
          <w:lang w:eastAsia="ru-RU"/>
        </w:rPr>
      </w:pPr>
      <w:r>
        <w:rPr>
          <w:rFonts w:ascii="Times New Roman" w:hAnsi="Times New Roman" w:eastAsia="Arial Unicode MS"/>
          <w:u w:color="000000"/>
          <w:lang w:eastAsia="ru-RU"/>
        </w:rPr>
        <w:t>выявление, развитие и поддержка одарённых детей в области спорта.</w:t>
      </w:r>
    </w:p>
    <w:p w14:paraId="66C86970">
      <w:pPr>
        <w:pBdr>
          <w:top w:val="none" w:color="auto" w:sz="0" w:space="0"/>
          <w:left w:val="none" w:color="auto" w:sz="0" w:space="0"/>
          <w:bottom w:val="none" w:color="auto" w:sz="0" w:space="0"/>
          <w:right w:val="none" w:color="auto" w:sz="0" w:space="0"/>
          <w:between w:val="none" w:color="auto" w:sz="0" w:space="0"/>
        </w:pBdr>
        <w:spacing w:after="0" w:line="360" w:lineRule="auto"/>
        <w:ind w:firstLine="709"/>
        <w:jc w:val="both"/>
        <w:rPr>
          <w:rFonts w:ascii="Times New Roman" w:hAnsi="Times New Roman" w:eastAsia="Arial Unicode MS"/>
          <w:u w:color="000000"/>
          <w:lang w:eastAsia="ru-RU"/>
        </w:rPr>
      </w:pPr>
      <w:r>
        <w:rPr>
          <w:rFonts w:ascii="Times New Roman" w:hAnsi="Times New Roman" w:eastAsia="Times New Roman"/>
          <w:bCs/>
          <w:lang w:eastAsia="zh-CN"/>
        </w:rPr>
        <w:t>16.4.</w:t>
      </w:r>
      <w:r>
        <w:rPr>
          <w:rFonts w:ascii="Times New Roman" w:hAnsi="Times New Roman" w:eastAsia="Arial Unicode MS"/>
          <w:u w:color="000000"/>
          <w:lang w:eastAsia="ru-RU"/>
        </w:rPr>
        <w:t>14.4. Место и роль модуля «Триатлон».</w:t>
      </w:r>
    </w:p>
    <w:p w14:paraId="03080DEE">
      <w:pPr>
        <w:pBdr>
          <w:top w:val="none" w:color="000000" w:sz="0" w:space="0"/>
          <w:left w:val="none" w:color="000000" w:sz="0" w:space="0"/>
          <w:bottom w:val="none" w:color="000000" w:sz="0" w:space="0"/>
          <w:right w:val="none" w:color="000000" w:sz="0" w:space="0"/>
        </w:pBdr>
        <w:suppressAutoHyphens/>
        <w:autoSpaceDE w:val="0"/>
        <w:spacing w:after="0" w:line="360" w:lineRule="auto"/>
        <w:ind w:firstLine="709"/>
        <w:jc w:val="both"/>
        <w:rPr>
          <w:rFonts w:ascii="Times New Roman" w:hAnsi="Times New Roman"/>
          <w:iCs/>
          <w:u w:color="000000"/>
          <w:lang w:eastAsia="ru-RU"/>
        </w:rPr>
      </w:pPr>
      <w:r>
        <w:rPr>
          <w:rFonts w:ascii="Times New Roman" w:hAnsi="Times New Roman"/>
          <w:u w:color="000000"/>
          <w:lang w:eastAsia="zh-CN"/>
        </w:rPr>
        <w:t>Модуль «Триатлон» доступен для освоения всем обучающимся, независимо от уровня их физического развития и гендерных особенностей и расширяет спектр физкультурно-спортивных направлений в общеобразовательных организациях.</w:t>
      </w:r>
      <w:r>
        <w:rPr>
          <w:rFonts w:ascii="Times New Roman" w:hAnsi="Times New Roman"/>
          <w:iCs/>
          <w:u w:color="000000"/>
          <w:lang w:eastAsia="ru-RU"/>
        </w:rPr>
        <w:t xml:space="preserve"> </w:t>
      </w:r>
    </w:p>
    <w:p w14:paraId="6A2F8B31">
      <w:pPr>
        <w:spacing w:after="0" w:line="360" w:lineRule="auto"/>
        <w:ind w:firstLine="709"/>
        <w:jc w:val="both"/>
        <w:rPr>
          <w:rFonts w:ascii="Times New Roman" w:hAnsi="Times New Roman"/>
          <w:u w:color="000000"/>
        </w:rPr>
      </w:pPr>
      <w:r>
        <w:rPr>
          <w:rFonts w:ascii="Times New Roman" w:hAnsi="Times New Roman"/>
          <w:u w:color="000000"/>
        </w:rPr>
        <w:t>Специфика модуля по триатлону сочетается практически со всеми базовыми видами спорта (легкая атлетика, гимнастика, спортивные игры и другие), предполагая доступность освоения учебного материала всем возрастным категориям обучающихся, независимо от уровня их физического развития и гендерных особенностей.</w:t>
      </w:r>
    </w:p>
    <w:p w14:paraId="51904A61">
      <w:pPr>
        <w:pBdr>
          <w:top w:val="none" w:color="000000" w:sz="0" w:space="0"/>
          <w:left w:val="none" w:color="000000" w:sz="0" w:space="0"/>
          <w:bottom w:val="none" w:color="000000" w:sz="0" w:space="0"/>
          <w:right w:val="none" w:color="000000" w:sz="0" w:space="0"/>
        </w:pBdr>
        <w:suppressAutoHyphens/>
        <w:spacing w:after="0" w:line="360" w:lineRule="auto"/>
        <w:ind w:firstLine="709"/>
        <w:jc w:val="both"/>
        <w:rPr>
          <w:rFonts w:ascii="Times New Roman" w:hAnsi="Times New Roman"/>
          <w:bCs/>
          <w:iCs/>
          <w:u w:color="000000"/>
          <w:lang w:eastAsia="zh-CN"/>
        </w:rPr>
      </w:pPr>
      <w:r>
        <w:rPr>
          <w:rFonts w:ascii="Times New Roman" w:hAnsi="Times New Roman"/>
          <w:iCs/>
          <w:u w:color="000000"/>
          <w:lang w:eastAsia="zh-CN"/>
        </w:rPr>
        <w:t xml:space="preserve">Интеграция модуля по триатлону поможет обучающимся </w:t>
      </w:r>
      <w:r>
        <w:rPr>
          <w:rFonts w:ascii="Times New Roman" w:hAnsi="Times New Roman"/>
          <w:u w:color="000000"/>
          <w:lang w:eastAsia="zh-CN"/>
        </w:rPr>
        <w:t xml:space="preserve">в освоении образовательных программ в рамках внеурочной деятельности, дополнительного образования, деятельности школьных спортивных клубов, </w:t>
      </w:r>
      <w:r>
        <w:rPr>
          <w:rFonts w:ascii="Times New Roman" w:hAnsi="Times New Roman"/>
          <w:bCs/>
          <w:iCs/>
          <w:u w:color="000000"/>
          <w:lang w:eastAsia="zh-CN"/>
        </w:rPr>
        <w:t xml:space="preserve">подготовке </w:t>
      </w:r>
      <w:r>
        <w:rPr>
          <w:rFonts w:ascii="Times New Roman" w:hAnsi="Times New Roman"/>
          <w:u w:color="000000"/>
          <w:lang w:eastAsia="zh-CN"/>
        </w:rPr>
        <w:t xml:space="preserve">обучающихся к сдаче норм ГТО </w:t>
      </w:r>
      <w:r>
        <w:rPr>
          <w:rFonts w:ascii="Times New Roman" w:hAnsi="Times New Roman"/>
          <w:bCs/>
          <w:iCs/>
          <w:u w:color="000000"/>
          <w:lang w:eastAsia="zh-CN"/>
        </w:rPr>
        <w:t xml:space="preserve">и </w:t>
      </w:r>
      <w:r>
        <w:rPr>
          <w:rFonts w:ascii="Times New Roman" w:hAnsi="Times New Roman"/>
          <w:u w:color="000000"/>
          <w:lang w:eastAsia="zh-CN"/>
        </w:rPr>
        <w:t>участии в спортивных соревнованиях.</w:t>
      </w:r>
    </w:p>
    <w:p w14:paraId="136CE564">
      <w:pPr>
        <w:pBdr>
          <w:top w:val="none" w:color="auto" w:sz="0" w:space="0"/>
          <w:left w:val="none" w:color="auto" w:sz="0" w:space="0"/>
          <w:bottom w:val="none" w:color="auto" w:sz="0" w:space="0"/>
          <w:right w:val="none" w:color="auto" w:sz="0" w:space="0"/>
          <w:between w:val="none" w:color="auto" w:sz="0" w:space="0"/>
        </w:pBdr>
        <w:spacing w:after="0" w:line="360" w:lineRule="auto"/>
        <w:ind w:firstLine="709"/>
        <w:jc w:val="both"/>
        <w:rPr>
          <w:rFonts w:ascii="Times New Roman" w:hAnsi="Times New Roman" w:eastAsia="Arial Unicode MS"/>
          <w:u w:color="000000"/>
          <w:lang w:eastAsia="ru-RU"/>
        </w:rPr>
      </w:pPr>
      <w:r>
        <w:rPr>
          <w:rFonts w:ascii="Times New Roman" w:hAnsi="Times New Roman" w:eastAsia="Times New Roman"/>
          <w:bCs/>
          <w:lang w:eastAsia="zh-CN"/>
        </w:rPr>
        <w:t>16.4.</w:t>
      </w:r>
      <w:r>
        <w:rPr>
          <w:rFonts w:ascii="Times New Roman" w:hAnsi="Times New Roman" w:eastAsia="Arial Unicode MS"/>
          <w:u w:color="000000"/>
          <w:lang w:eastAsia="ru-RU"/>
        </w:rPr>
        <w:t>14.5. Модуль «Триатлон» может быть реализован в следующих вариантах:</w:t>
      </w:r>
    </w:p>
    <w:p w14:paraId="63C8C2DD">
      <w:pPr>
        <w:pBdr>
          <w:top w:val="none" w:color="auto" w:sz="0" w:space="0"/>
          <w:left w:val="none" w:color="auto" w:sz="0" w:space="0"/>
          <w:bottom w:val="none" w:color="auto" w:sz="0" w:space="0"/>
          <w:right w:val="none" w:color="auto" w:sz="0" w:space="0"/>
          <w:between w:val="none" w:color="auto" w:sz="0" w:space="0"/>
        </w:pBdr>
        <w:spacing w:after="0" w:line="360" w:lineRule="auto"/>
        <w:ind w:firstLine="709"/>
        <w:jc w:val="both"/>
        <w:rPr>
          <w:rFonts w:ascii="Times New Roman" w:hAnsi="Times New Roman" w:eastAsia="Arial Unicode MS"/>
          <w:u w:color="000000"/>
          <w:lang w:eastAsia="ru-RU"/>
        </w:rPr>
      </w:pPr>
      <w:r>
        <w:rPr>
          <w:rFonts w:ascii="Times New Roman" w:hAnsi="Times New Roman" w:eastAsia="Arial Unicode MS"/>
          <w:u w:color="000000"/>
          <w:lang w:eastAsia="ru-RU"/>
        </w:rPr>
        <w:t>при самостоятельном планировании учителем физической культуры процесса освоения обучающимися учебного материала по триатлону с выбором различных элементов триатлона, с учётом возраста и физической подготовленности обучающихся;</w:t>
      </w:r>
    </w:p>
    <w:p w14:paraId="4FAB2377">
      <w:pPr>
        <w:suppressAutoHyphens/>
        <w:spacing w:after="0" w:line="360" w:lineRule="auto"/>
        <w:ind w:firstLine="709"/>
        <w:jc w:val="both"/>
        <w:rPr>
          <w:rFonts w:ascii="Times New Roman" w:hAnsi="Times New Roman"/>
          <w:u w:color="000000"/>
          <w:lang w:eastAsia="zh-CN"/>
        </w:rPr>
      </w:pPr>
      <w:r>
        <w:rPr>
          <w:rFonts w:ascii="Times New Roman" w:hAnsi="Times New Roman"/>
          <w:u w:color="000000"/>
          <w:lang w:eastAsia="zh-CN"/>
        </w:rPr>
        <w:t>в виде целостного последовательного учебного модуля, изучаемого за счёт части учебного плана, формируемой участниками образовательных отношений из перечня, предлагаемого образовательной организацией, включающей, в частности, учебные модули по выбору обучающихся, родителей (законных представителей) несовершеннолетних обучающихся, в том числе предусматривающие удовлетворение различных интересов обучающихся (</w:t>
      </w:r>
      <w:r>
        <w:rPr>
          <w:rFonts w:ascii="Times New Roman" w:hAnsi="Times New Roman"/>
          <w:u w:color="000000"/>
          <w:lang w:eastAsia="ru-RU"/>
        </w:rPr>
        <w:t xml:space="preserve">при организации и проведении уроков физической культуры с 3-х часовой недельной нагрузкой рекомендуемый объём </w:t>
      </w:r>
      <w:bookmarkStart w:id="303" w:name="_Hlk125554509"/>
      <w:r>
        <w:rPr>
          <w:rFonts w:ascii="Times New Roman" w:hAnsi="Times New Roman"/>
          <w:u w:color="000000"/>
          <w:lang w:eastAsia="ru-RU"/>
        </w:rPr>
        <w:t>в 1 классе – 33 часа, во 2, 3, 4 классах – по 34 часа</w:t>
      </w:r>
      <w:bookmarkEnd w:id="303"/>
      <w:r>
        <w:rPr>
          <w:rFonts w:ascii="Times New Roman" w:hAnsi="Times New Roman"/>
          <w:u w:color="000000"/>
          <w:lang w:eastAsia="zh-CN"/>
        </w:rPr>
        <w:t>);</w:t>
      </w:r>
    </w:p>
    <w:p w14:paraId="5551D487">
      <w:pPr>
        <w:pBdr>
          <w:top w:val="none" w:color="auto" w:sz="0" w:space="0"/>
          <w:left w:val="none" w:color="auto" w:sz="0" w:space="0"/>
          <w:bottom w:val="none" w:color="auto" w:sz="0" w:space="0"/>
          <w:right w:val="none" w:color="auto" w:sz="0" w:space="0"/>
          <w:between w:val="none" w:color="auto" w:sz="0" w:space="0"/>
        </w:pBdr>
        <w:spacing w:after="0" w:line="360" w:lineRule="auto"/>
        <w:ind w:firstLine="709"/>
        <w:jc w:val="both"/>
        <w:rPr>
          <w:rFonts w:ascii="Times New Roman" w:hAnsi="Times New Roman" w:eastAsia="Arial Unicode MS"/>
          <w:u w:color="000000"/>
          <w:lang w:eastAsia="ru-RU"/>
        </w:rPr>
      </w:pPr>
      <w:r>
        <w:rPr>
          <w:rFonts w:ascii="Times New Roman" w:hAnsi="Times New Roman" w:eastAsia="Arial Unicode MS"/>
          <w:u w:color="000000"/>
          <w:lang w:eastAsia="ru-RU"/>
        </w:rPr>
        <w:t xml:space="preserve">в виде дополнительных часов, выделяемых на спортивно-оздоровительную работу с обучающимися в рамках внеурочной деятельности и (или) за счёт посещения обучающимися спортивных секций, школьных спортивных клубов, включая использование учебных модулей по видам спорта (рекомендуемый объём </w:t>
      </w:r>
      <w:r>
        <w:rPr>
          <w:rFonts w:ascii="Times New Roman" w:hAnsi="Times New Roman"/>
          <w:u w:color="000000"/>
          <w:lang w:eastAsia="ru-RU"/>
        </w:rPr>
        <w:t>в 1 классе – 33 часа, во 2, 3, 4 классах – по 34 часа</w:t>
      </w:r>
      <w:r>
        <w:rPr>
          <w:rFonts w:ascii="Times New Roman" w:hAnsi="Times New Roman" w:eastAsia="Arial Unicode MS"/>
          <w:u w:color="000000"/>
          <w:lang w:eastAsia="ru-RU"/>
        </w:rPr>
        <w:t>).</w:t>
      </w:r>
    </w:p>
    <w:p w14:paraId="0F15C03C">
      <w:pPr>
        <w:pBdr>
          <w:top w:val="none" w:color="auto" w:sz="0" w:space="0"/>
          <w:left w:val="none" w:color="auto" w:sz="0" w:space="0"/>
          <w:bottom w:val="none" w:color="auto" w:sz="0" w:space="0"/>
          <w:right w:val="none" w:color="auto" w:sz="0" w:space="0"/>
          <w:between w:val="none" w:color="auto" w:sz="0" w:space="0"/>
        </w:pBdr>
        <w:spacing w:after="0" w:line="360" w:lineRule="auto"/>
        <w:ind w:firstLine="709"/>
        <w:jc w:val="both"/>
        <w:rPr>
          <w:rFonts w:ascii="Times New Roman" w:hAnsi="Times New Roman" w:eastAsia="Arial Unicode MS"/>
          <w:u w:color="000000"/>
          <w:lang w:eastAsia="ru-RU"/>
        </w:rPr>
      </w:pPr>
      <w:r>
        <w:rPr>
          <w:rFonts w:ascii="Times New Roman" w:hAnsi="Times New Roman" w:eastAsia="Times New Roman"/>
          <w:bCs/>
          <w:lang w:eastAsia="zh-CN"/>
        </w:rPr>
        <w:t>16.4.</w:t>
      </w:r>
      <w:r>
        <w:rPr>
          <w:rFonts w:ascii="Times New Roman" w:hAnsi="Times New Roman" w:eastAsia="Arial Unicode MS"/>
          <w:u w:color="000000"/>
          <w:lang w:eastAsia="ru-RU"/>
        </w:rPr>
        <w:t>14.6. Содержание модуля «Триатлон».</w:t>
      </w:r>
    </w:p>
    <w:p w14:paraId="665326E2">
      <w:pPr>
        <w:pBdr>
          <w:top w:val="none" w:color="auto" w:sz="0" w:space="0"/>
          <w:left w:val="none" w:color="auto" w:sz="0" w:space="0"/>
          <w:bottom w:val="none" w:color="auto" w:sz="0" w:space="0"/>
          <w:right w:val="none" w:color="auto" w:sz="0" w:space="0"/>
          <w:between w:val="none" w:color="auto" w:sz="0" w:space="0"/>
        </w:pBdr>
        <w:spacing w:after="0" w:line="360" w:lineRule="auto"/>
        <w:ind w:firstLine="709"/>
        <w:jc w:val="both"/>
        <w:rPr>
          <w:rFonts w:ascii="Times New Roman" w:hAnsi="Times New Roman" w:eastAsia="Arial Unicode MS"/>
          <w:u w:color="000000"/>
          <w:lang w:eastAsia="ru-RU"/>
        </w:rPr>
      </w:pPr>
      <w:r>
        <w:rPr>
          <w:rFonts w:ascii="Times New Roman" w:hAnsi="Times New Roman" w:eastAsia="Arial Unicode MS"/>
          <w:u w:color="000000"/>
          <w:lang w:eastAsia="ru-RU"/>
        </w:rPr>
        <w:t>Знания о триатлоне.</w:t>
      </w:r>
    </w:p>
    <w:p w14:paraId="54A32A4C">
      <w:pPr>
        <w:pBdr>
          <w:top w:val="none" w:color="auto" w:sz="0" w:space="0"/>
          <w:left w:val="none" w:color="auto" w:sz="0" w:space="0"/>
          <w:bottom w:val="none" w:color="auto" w:sz="0" w:space="0"/>
          <w:right w:val="none" w:color="auto" w:sz="0" w:space="0"/>
          <w:between w:val="none" w:color="auto" w:sz="0" w:space="0"/>
        </w:pBdr>
        <w:spacing w:after="0" w:line="360" w:lineRule="auto"/>
        <w:ind w:firstLine="709"/>
        <w:jc w:val="both"/>
        <w:rPr>
          <w:rFonts w:ascii="Times New Roman" w:hAnsi="Times New Roman"/>
          <w:u w:color="000000"/>
          <w:lang w:eastAsia="ru-RU"/>
        </w:rPr>
      </w:pPr>
      <w:r>
        <w:rPr>
          <w:rFonts w:ascii="Times New Roman" w:hAnsi="Times New Roman"/>
          <w:u w:color="000000"/>
          <w:lang w:eastAsia="ru-RU"/>
        </w:rPr>
        <w:t xml:space="preserve">История зарождения триатлона. Легендарные отечественные и зарубежные триатлонисты и тренеры. Достижения Национальной сборной команды страны по триатлону </w:t>
      </w:r>
      <w:r>
        <w:rPr>
          <w:rFonts w:ascii="Times New Roman" w:hAnsi="Times New Roman"/>
          <w:bCs/>
          <w:u w:color="000000"/>
          <w:lang w:eastAsia="ru-RU"/>
        </w:rPr>
        <w:t>на чемпионатах мира, Европы, Олимпийских играх</w:t>
      </w:r>
      <w:r>
        <w:rPr>
          <w:rFonts w:ascii="Times New Roman" w:hAnsi="Times New Roman"/>
          <w:u w:color="000000"/>
          <w:lang w:eastAsia="ru-RU"/>
        </w:rPr>
        <w:t>.</w:t>
      </w:r>
    </w:p>
    <w:p w14:paraId="6A918D14">
      <w:pPr>
        <w:pBdr>
          <w:top w:val="none" w:color="auto" w:sz="0" w:space="0"/>
          <w:left w:val="none" w:color="auto" w:sz="0" w:space="0"/>
          <w:bottom w:val="none" w:color="auto" w:sz="0" w:space="0"/>
          <w:right w:val="none" w:color="auto" w:sz="0" w:space="0"/>
          <w:between w:val="none" w:color="auto" w:sz="0" w:space="0"/>
        </w:pBdr>
        <w:spacing w:after="0" w:line="360" w:lineRule="auto"/>
        <w:ind w:firstLine="709"/>
        <w:jc w:val="both"/>
        <w:rPr>
          <w:rFonts w:ascii="Times New Roman" w:hAnsi="Times New Roman"/>
          <w:u w:color="000000"/>
          <w:lang w:eastAsia="ru-RU"/>
        </w:rPr>
      </w:pPr>
      <w:r>
        <w:rPr>
          <w:rFonts w:ascii="Times New Roman" w:hAnsi="Times New Roman"/>
          <w:u w:color="000000"/>
          <w:lang w:eastAsia="ru-RU"/>
        </w:rPr>
        <w:t>Словарь терминов и определений по триатлону. Спортивные дисциплины (разновидности) триатлона.</w:t>
      </w:r>
    </w:p>
    <w:p w14:paraId="0BC98897">
      <w:pPr>
        <w:pBdr>
          <w:top w:val="none" w:color="auto" w:sz="0" w:space="0"/>
          <w:left w:val="none" w:color="auto" w:sz="0" w:space="0"/>
          <w:bottom w:val="none" w:color="auto" w:sz="0" w:space="0"/>
          <w:right w:val="none" w:color="auto" w:sz="0" w:space="0"/>
          <w:between w:val="none" w:color="auto" w:sz="0" w:space="0"/>
        </w:pBdr>
        <w:spacing w:after="0" w:line="360" w:lineRule="auto"/>
        <w:ind w:firstLine="709"/>
        <w:jc w:val="both"/>
        <w:rPr>
          <w:rFonts w:ascii="Times New Roman" w:hAnsi="Times New Roman"/>
          <w:u w:color="000000"/>
          <w:lang w:eastAsia="ru-RU"/>
        </w:rPr>
      </w:pPr>
      <w:r>
        <w:rPr>
          <w:rFonts w:ascii="Times New Roman" w:hAnsi="Times New Roman"/>
          <w:u w:color="000000"/>
          <w:lang w:eastAsia="ru-RU"/>
        </w:rPr>
        <w:t>Первые правила соревнований по триатлону. Современные правила соревнований по триатлону.</w:t>
      </w:r>
    </w:p>
    <w:p w14:paraId="005D27B1">
      <w:pPr>
        <w:pBdr>
          <w:top w:val="none" w:color="auto" w:sz="0" w:space="0"/>
          <w:left w:val="none" w:color="auto" w:sz="0" w:space="0"/>
          <w:bottom w:val="none" w:color="auto" w:sz="0" w:space="0"/>
          <w:right w:val="none" w:color="auto" w:sz="0" w:space="0"/>
          <w:between w:val="none" w:color="auto" w:sz="0" w:space="0"/>
        </w:pBdr>
        <w:spacing w:after="0" w:line="360" w:lineRule="auto"/>
        <w:ind w:firstLine="709"/>
        <w:jc w:val="both"/>
        <w:rPr>
          <w:rFonts w:ascii="Times New Roman" w:hAnsi="Times New Roman"/>
          <w:u w:color="000000"/>
          <w:lang w:eastAsia="ru-RU"/>
        </w:rPr>
      </w:pPr>
      <w:r>
        <w:rPr>
          <w:rFonts w:ascii="Times New Roman" w:hAnsi="Times New Roman"/>
          <w:u w:color="000000"/>
          <w:lang w:eastAsia="ru-RU"/>
        </w:rPr>
        <w:t>Состав судейской коллегии, обслуживающей соревнования по триатлону.</w:t>
      </w:r>
    </w:p>
    <w:p w14:paraId="054A21FE">
      <w:pPr>
        <w:autoSpaceDE w:val="0"/>
        <w:autoSpaceDN w:val="0"/>
        <w:spacing w:after="0" w:line="360" w:lineRule="auto"/>
        <w:ind w:firstLine="709"/>
        <w:jc w:val="both"/>
        <w:rPr>
          <w:rFonts w:ascii="Times New Roman" w:hAnsi="Times New Roman" w:eastAsia="Times New Roman"/>
          <w:u w:color="000000"/>
        </w:rPr>
      </w:pPr>
      <w:r>
        <w:rPr>
          <w:rFonts w:ascii="Times New Roman" w:hAnsi="Times New Roman"/>
          <w:u w:color="000000"/>
          <w:lang w:eastAsia="ru-RU"/>
        </w:rPr>
        <w:t xml:space="preserve">Инвентарь и оборудование для занятий триатлоном. </w:t>
      </w:r>
      <w:r>
        <w:rPr>
          <w:rFonts w:ascii="Times New Roman" w:hAnsi="Times New Roman" w:eastAsia="Times New Roman"/>
          <w:u w:color="000000"/>
        </w:rPr>
        <w:t>Основные узлы спортивного велосипеда, основы технического обслуживания велосипеда.</w:t>
      </w:r>
    </w:p>
    <w:p w14:paraId="49059E93">
      <w:pPr>
        <w:pBdr>
          <w:top w:val="none" w:color="auto" w:sz="0" w:space="0"/>
          <w:left w:val="none" w:color="auto" w:sz="0" w:space="0"/>
          <w:bottom w:val="none" w:color="auto" w:sz="0" w:space="0"/>
          <w:right w:val="none" w:color="auto" w:sz="0" w:space="0"/>
          <w:between w:val="none" w:color="auto" w:sz="0" w:space="0"/>
        </w:pBdr>
        <w:spacing w:after="0" w:line="360" w:lineRule="auto"/>
        <w:ind w:firstLine="709"/>
        <w:jc w:val="both"/>
        <w:rPr>
          <w:rFonts w:ascii="Times New Roman" w:hAnsi="Times New Roman"/>
          <w:u w:color="000000"/>
          <w:lang w:eastAsia="ru-RU"/>
        </w:rPr>
      </w:pPr>
      <w:r>
        <w:rPr>
          <w:rFonts w:ascii="Times New Roman" w:hAnsi="Times New Roman"/>
          <w:u w:color="000000"/>
          <w:lang w:eastAsia="ru-RU"/>
        </w:rPr>
        <w:t>Правила безопасного поведения во время занятий триатлоном.</w:t>
      </w:r>
    </w:p>
    <w:p w14:paraId="0D35E7AA">
      <w:pPr>
        <w:pBdr>
          <w:top w:val="none" w:color="auto" w:sz="0" w:space="0"/>
          <w:left w:val="none" w:color="auto" w:sz="0" w:space="0"/>
          <w:bottom w:val="none" w:color="auto" w:sz="0" w:space="0"/>
          <w:right w:val="none" w:color="auto" w:sz="0" w:space="0"/>
          <w:between w:val="none" w:color="auto" w:sz="0" w:space="0"/>
        </w:pBdr>
        <w:spacing w:after="0" w:line="360" w:lineRule="auto"/>
        <w:ind w:firstLine="709"/>
        <w:jc w:val="both"/>
        <w:rPr>
          <w:rFonts w:ascii="Times New Roman" w:hAnsi="Times New Roman"/>
          <w:u w:color="000000"/>
          <w:lang w:eastAsia="ru-RU"/>
        </w:rPr>
      </w:pPr>
      <w:r>
        <w:rPr>
          <w:rFonts w:ascii="Times New Roman" w:hAnsi="Times New Roman"/>
          <w:u w:color="000000"/>
          <w:lang w:eastAsia="ru-RU"/>
        </w:rPr>
        <w:t>Правила по безопасной культуре поведения во время посещений соревнований по триатлону.</w:t>
      </w:r>
    </w:p>
    <w:p w14:paraId="24AD5983">
      <w:pPr>
        <w:autoSpaceDE w:val="0"/>
        <w:autoSpaceDN w:val="0"/>
        <w:spacing w:after="0" w:line="360" w:lineRule="auto"/>
        <w:ind w:firstLine="709"/>
        <w:jc w:val="both"/>
        <w:rPr>
          <w:rFonts w:ascii="Times New Roman" w:hAnsi="Times New Roman" w:eastAsia="Times New Roman"/>
          <w:u w:color="000000"/>
        </w:rPr>
      </w:pPr>
      <w:r>
        <w:rPr>
          <w:rFonts w:ascii="Times New Roman" w:hAnsi="Times New Roman" w:eastAsia="Times New Roman"/>
          <w:u w:color="000000"/>
        </w:rPr>
        <w:t>Триатлон, как средство укрепления здоровья, закаливания и развития физических качеств.</w:t>
      </w:r>
    </w:p>
    <w:p w14:paraId="6D1AF8C3">
      <w:pPr>
        <w:autoSpaceDE w:val="0"/>
        <w:autoSpaceDN w:val="0"/>
        <w:spacing w:after="0" w:line="360" w:lineRule="auto"/>
        <w:ind w:firstLine="709"/>
        <w:jc w:val="both"/>
        <w:rPr>
          <w:rFonts w:ascii="Times New Roman" w:hAnsi="Times New Roman" w:eastAsia="Times New Roman"/>
          <w:u w:color="000000"/>
        </w:rPr>
      </w:pPr>
      <w:r>
        <w:rPr>
          <w:rFonts w:ascii="Times New Roman" w:hAnsi="Times New Roman" w:eastAsia="Times New Roman"/>
          <w:u w:color="000000"/>
        </w:rPr>
        <w:t>Режим дня обучающегося при занятиях триатлоном. Правила личной гигиены во время занятий триатлоном.</w:t>
      </w:r>
    </w:p>
    <w:p w14:paraId="2578933B">
      <w:pPr>
        <w:pBdr>
          <w:top w:val="none" w:color="auto" w:sz="0" w:space="0"/>
          <w:left w:val="none" w:color="auto" w:sz="0" w:space="0"/>
          <w:bottom w:val="none" w:color="auto" w:sz="0" w:space="0"/>
          <w:right w:val="none" w:color="auto" w:sz="0" w:space="0"/>
          <w:between w:val="none" w:color="auto" w:sz="0" w:space="0"/>
        </w:pBdr>
        <w:spacing w:after="0" w:line="360" w:lineRule="auto"/>
        <w:ind w:firstLine="709"/>
        <w:jc w:val="both"/>
        <w:rPr>
          <w:rFonts w:ascii="Times New Roman" w:hAnsi="Times New Roman" w:eastAsia="Arial Unicode MS"/>
          <w:u w:color="000000"/>
          <w:lang w:eastAsia="ru-RU"/>
        </w:rPr>
      </w:pPr>
      <w:r>
        <w:rPr>
          <w:rFonts w:ascii="Times New Roman" w:hAnsi="Times New Roman" w:eastAsia="Arial Unicode MS"/>
          <w:u w:color="000000"/>
          <w:lang w:eastAsia="ru-RU"/>
        </w:rPr>
        <w:t>Способы самостоятельной деятельности.</w:t>
      </w:r>
    </w:p>
    <w:p w14:paraId="640616A7">
      <w:pPr>
        <w:pBdr>
          <w:top w:val="none" w:color="auto" w:sz="0" w:space="0"/>
          <w:left w:val="none" w:color="auto" w:sz="0" w:space="0"/>
          <w:bottom w:val="none" w:color="auto" w:sz="0" w:space="0"/>
          <w:right w:val="none" w:color="auto" w:sz="0" w:space="0"/>
          <w:between w:val="none" w:color="auto" w:sz="0" w:space="0"/>
        </w:pBdr>
        <w:spacing w:after="0" w:line="360" w:lineRule="auto"/>
        <w:ind w:firstLine="709"/>
        <w:jc w:val="both"/>
        <w:rPr>
          <w:rFonts w:ascii="Times New Roman" w:hAnsi="Times New Roman"/>
          <w:u w:color="000000"/>
          <w:lang w:eastAsia="ru-RU"/>
        </w:rPr>
      </w:pPr>
      <w:r>
        <w:rPr>
          <w:rFonts w:ascii="Times New Roman" w:hAnsi="Times New Roman"/>
          <w:u w:color="000000"/>
          <w:lang w:eastAsia="ru-RU"/>
        </w:rPr>
        <w:t>Соблюдение личной гигиены, требований к спортивной одежде и обуви для занятий триатлоном.</w:t>
      </w:r>
    </w:p>
    <w:p w14:paraId="54463BB0">
      <w:pPr>
        <w:autoSpaceDE w:val="0"/>
        <w:autoSpaceDN w:val="0"/>
        <w:spacing w:after="0" w:line="360" w:lineRule="auto"/>
        <w:ind w:firstLine="709"/>
        <w:jc w:val="both"/>
        <w:rPr>
          <w:rFonts w:ascii="Times New Roman" w:hAnsi="Times New Roman" w:eastAsia="Times New Roman"/>
          <w:u w:color="000000"/>
        </w:rPr>
      </w:pPr>
      <w:r>
        <w:rPr>
          <w:rFonts w:ascii="Times New Roman" w:hAnsi="Times New Roman" w:eastAsia="Times New Roman"/>
          <w:u w:color="000000"/>
        </w:rPr>
        <w:t>Первые внешние признаки утомления. Способы самоконтроля за физической нагрузкой.</w:t>
      </w:r>
    </w:p>
    <w:p w14:paraId="010B8268">
      <w:pPr>
        <w:autoSpaceDE w:val="0"/>
        <w:autoSpaceDN w:val="0"/>
        <w:spacing w:after="0" w:line="360" w:lineRule="auto"/>
        <w:ind w:firstLine="709"/>
        <w:jc w:val="both"/>
        <w:rPr>
          <w:rFonts w:ascii="Times New Roman" w:hAnsi="Times New Roman"/>
          <w:u w:color="000000"/>
          <w:lang w:eastAsia="ru-RU"/>
        </w:rPr>
      </w:pPr>
      <w:r>
        <w:rPr>
          <w:rFonts w:ascii="Times New Roman" w:hAnsi="Times New Roman"/>
          <w:u w:color="000000"/>
          <w:lang w:eastAsia="ru-RU"/>
        </w:rPr>
        <w:t>Уход за спортивным инвентарем и оборудованием при занятиях триатлоном. Подбор велосипеда с учетом роста.</w:t>
      </w:r>
    </w:p>
    <w:p w14:paraId="4B12DB5F">
      <w:pPr>
        <w:autoSpaceDE w:val="0"/>
        <w:autoSpaceDN w:val="0"/>
        <w:spacing w:after="0" w:line="360" w:lineRule="auto"/>
        <w:ind w:firstLine="709"/>
        <w:jc w:val="both"/>
        <w:rPr>
          <w:rFonts w:ascii="Times New Roman" w:hAnsi="Times New Roman"/>
          <w:u w:color="000000"/>
          <w:lang w:eastAsia="ru-RU"/>
        </w:rPr>
      </w:pPr>
      <w:r>
        <w:rPr>
          <w:rFonts w:ascii="Times New Roman" w:hAnsi="Times New Roman"/>
          <w:u w:color="000000"/>
          <w:lang w:eastAsia="ru-RU"/>
        </w:rPr>
        <w:t>Основы организации самостоятельных занятий триатлоном.</w:t>
      </w:r>
    </w:p>
    <w:p w14:paraId="1CF79083">
      <w:pPr>
        <w:autoSpaceDE w:val="0"/>
        <w:autoSpaceDN w:val="0"/>
        <w:spacing w:after="0" w:line="360" w:lineRule="auto"/>
        <w:ind w:firstLine="709"/>
        <w:jc w:val="both"/>
        <w:rPr>
          <w:rFonts w:ascii="Times New Roman" w:hAnsi="Times New Roman" w:eastAsia="Times New Roman"/>
          <w:u w:color="000000"/>
        </w:rPr>
      </w:pPr>
      <w:r>
        <w:rPr>
          <w:rFonts w:ascii="Times New Roman" w:hAnsi="Times New Roman" w:eastAsia="Times New Roman"/>
          <w:u w:color="000000"/>
        </w:rPr>
        <w:t>Подвижные игры и правила их проведения. Организация и проведение игр с элементами триатлона со сверстниками в активной досуговой деятельности.</w:t>
      </w:r>
    </w:p>
    <w:p w14:paraId="63749227">
      <w:pPr>
        <w:autoSpaceDE w:val="0"/>
        <w:autoSpaceDN w:val="0"/>
        <w:spacing w:after="0" w:line="360" w:lineRule="auto"/>
        <w:ind w:firstLine="709"/>
        <w:jc w:val="both"/>
        <w:rPr>
          <w:rFonts w:ascii="Times New Roman" w:hAnsi="Times New Roman" w:eastAsia="Times New Roman"/>
          <w:u w:color="000000"/>
        </w:rPr>
      </w:pPr>
      <w:r>
        <w:rPr>
          <w:rFonts w:ascii="Times New Roman" w:hAnsi="Times New Roman" w:eastAsia="Times New Roman"/>
          <w:u w:color="000000"/>
        </w:rPr>
        <w:t>Составление комплексов различной направленности: утренней гигиенической гимнастики, корригирующей гимнастики, дыхательной гимнастики, упражнений для укрепления суставов, упражнений для развития физических качеств, упражнений для глаз, упражнений формирования осанки и профилактики плоскостопия.</w:t>
      </w:r>
    </w:p>
    <w:p w14:paraId="6AE07EC8">
      <w:pPr>
        <w:autoSpaceDE w:val="0"/>
        <w:autoSpaceDN w:val="0"/>
        <w:spacing w:after="0" w:line="360" w:lineRule="auto"/>
        <w:ind w:firstLine="709"/>
        <w:jc w:val="both"/>
        <w:rPr>
          <w:rFonts w:ascii="Times New Roman" w:hAnsi="Times New Roman"/>
          <w:u w:color="000000"/>
          <w:lang w:eastAsia="ru-RU"/>
        </w:rPr>
      </w:pPr>
      <w:r>
        <w:rPr>
          <w:rFonts w:ascii="Times New Roman" w:hAnsi="Times New Roman"/>
          <w:u w:color="000000"/>
          <w:lang w:eastAsia="ru-RU"/>
        </w:rPr>
        <w:t>Подбор и составление комплексов упражнений, направленные на развитие специальных физических качеств триатлониста самостоятельно и при участии и помощи родителей;</w:t>
      </w:r>
    </w:p>
    <w:p w14:paraId="274E5FE6">
      <w:pPr>
        <w:autoSpaceDE w:val="0"/>
        <w:autoSpaceDN w:val="0"/>
        <w:spacing w:after="0" w:line="360" w:lineRule="auto"/>
        <w:ind w:firstLine="709"/>
        <w:jc w:val="both"/>
        <w:rPr>
          <w:rFonts w:ascii="Times New Roman" w:hAnsi="Times New Roman"/>
          <w:u w:color="000000"/>
          <w:lang w:eastAsia="ru-RU"/>
        </w:rPr>
      </w:pPr>
      <w:r>
        <w:rPr>
          <w:rFonts w:ascii="Times New Roman" w:hAnsi="Times New Roman"/>
          <w:u w:color="000000"/>
          <w:lang w:eastAsia="ru-RU"/>
        </w:rPr>
        <w:t>Контрольно-тестовые упражнения по общей физической, специальной и технической подготовке.</w:t>
      </w:r>
    </w:p>
    <w:p w14:paraId="03F354F7">
      <w:pPr>
        <w:pBdr>
          <w:top w:val="none" w:color="auto" w:sz="0" w:space="0"/>
          <w:left w:val="none" w:color="auto" w:sz="0" w:space="0"/>
          <w:bottom w:val="none" w:color="auto" w:sz="0" w:space="0"/>
          <w:right w:val="none" w:color="auto" w:sz="0" w:space="0"/>
          <w:between w:val="none" w:color="auto" w:sz="0" w:space="0"/>
        </w:pBdr>
        <w:spacing w:after="0" w:line="360" w:lineRule="auto"/>
        <w:ind w:firstLine="709"/>
        <w:jc w:val="both"/>
        <w:rPr>
          <w:rFonts w:ascii="Times New Roman" w:hAnsi="Times New Roman" w:eastAsia="Arial Unicode MS"/>
          <w:u w:color="000000"/>
          <w:lang w:eastAsia="ru-RU"/>
        </w:rPr>
      </w:pPr>
      <w:r>
        <w:rPr>
          <w:rFonts w:ascii="Times New Roman" w:hAnsi="Times New Roman" w:eastAsia="Arial Unicode MS"/>
          <w:u w:color="000000"/>
          <w:lang w:eastAsia="ru-RU"/>
        </w:rPr>
        <w:t>Физическое совершенствование.</w:t>
      </w:r>
    </w:p>
    <w:p w14:paraId="3693ABA2">
      <w:pPr>
        <w:autoSpaceDE w:val="0"/>
        <w:autoSpaceDN w:val="0"/>
        <w:spacing w:after="0" w:line="360" w:lineRule="auto"/>
        <w:ind w:firstLine="709"/>
        <w:jc w:val="both"/>
        <w:rPr>
          <w:rFonts w:ascii="Times New Roman" w:hAnsi="Times New Roman"/>
          <w:u w:color="000000"/>
          <w:lang w:eastAsia="ru-RU"/>
        </w:rPr>
      </w:pPr>
      <w:r>
        <w:rPr>
          <w:rFonts w:ascii="Times New Roman" w:hAnsi="Times New Roman"/>
          <w:u w:color="000000"/>
          <w:lang w:eastAsia="ru-RU"/>
        </w:rPr>
        <w:t>Комплексы общеразвивающих упражнений. Комплексы специальной разминки перед соревнованиями.</w:t>
      </w:r>
    </w:p>
    <w:p w14:paraId="5EDDE197">
      <w:pPr>
        <w:autoSpaceDE w:val="0"/>
        <w:autoSpaceDN w:val="0"/>
        <w:spacing w:after="0" w:line="360" w:lineRule="auto"/>
        <w:ind w:firstLine="709"/>
        <w:jc w:val="both"/>
        <w:rPr>
          <w:rFonts w:ascii="Times New Roman" w:hAnsi="Times New Roman"/>
          <w:u w:color="000000"/>
          <w:lang w:eastAsia="ru-RU"/>
        </w:rPr>
      </w:pPr>
      <w:r>
        <w:rPr>
          <w:rFonts w:ascii="Times New Roman" w:hAnsi="Times New Roman"/>
          <w:u w:color="000000"/>
          <w:lang w:eastAsia="ru-RU"/>
        </w:rPr>
        <w:t>Комплексы корригирующей гимнастики с использованием специальных упражнений (в том числе в воде).</w:t>
      </w:r>
    </w:p>
    <w:p w14:paraId="3E249698">
      <w:pPr>
        <w:autoSpaceDE w:val="0"/>
        <w:autoSpaceDN w:val="0"/>
        <w:spacing w:after="0" w:line="360" w:lineRule="auto"/>
        <w:ind w:firstLine="709"/>
        <w:jc w:val="both"/>
        <w:rPr>
          <w:rFonts w:ascii="Times New Roman" w:hAnsi="Times New Roman"/>
          <w:u w:color="000000"/>
          <w:lang w:eastAsia="ru-RU"/>
        </w:rPr>
      </w:pPr>
      <w:r>
        <w:rPr>
          <w:rFonts w:ascii="Times New Roman" w:hAnsi="Times New Roman"/>
          <w:u w:color="000000"/>
          <w:lang w:eastAsia="ru-RU"/>
        </w:rPr>
        <w:t>Комплексы специальных упражнений для формирования техники движений и двигательных навыков, необходимых в триатлоне.</w:t>
      </w:r>
    </w:p>
    <w:p w14:paraId="0C331FF2">
      <w:pPr>
        <w:autoSpaceDE w:val="0"/>
        <w:autoSpaceDN w:val="0"/>
        <w:spacing w:after="0" w:line="360" w:lineRule="auto"/>
        <w:ind w:firstLine="709"/>
        <w:jc w:val="both"/>
        <w:rPr>
          <w:rFonts w:ascii="Times New Roman" w:hAnsi="Times New Roman"/>
          <w:u w:color="000000"/>
          <w:lang w:eastAsia="ru-RU"/>
        </w:rPr>
      </w:pPr>
      <w:r>
        <w:rPr>
          <w:rFonts w:ascii="Times New Roman" w:hAnsi="Times New Roman"/>
          <w:u w:color="000000"/>
          <w:lang w:eastAsia="ru-RU"/>
        </w:rPr>
        <w:t>Способы регулирования физической нагрузки при занятиях триатлоном.</w:t>
      </w:r>
    </w:p>
    <w:p w14:paraId="20C6862E">
      <w:pPr>
        <w:autoSpaceDE w:val="0"/>
        <w:autoSpaceDN w:val="0"/>
        <w:spacing w:after="0" w:line="360" w:lineRule="auto"/>
        <w:ind w:firstLine="709"/>
        <w:jc w:val="both"/>
        <w:rPr>
          <w:rFonts w:ascii="Times New Roman" w:hAnsi="Times New Roman"/>
          <w:u w:color="000000"/>
          <w:lang w:eastAsia="ru-RU"/>
        </w:rPr>
      </w:pPr>
      <w:r>
        <w:rPr>
          <w:rFonts w:ascii="Times New Roman" w:hAnsi="Times New Roman"/>
          <w:u w:color="000000"/>
          <w:lang w:eastAsia="ru-RU"/>
        </w:rPr>
        <w:t>Подвижные игры и эстафеты с элементами триатлона.</w:t>
      </w:r>
    </w:p>
    <w:p w14:paraId="5AFEDDE3">
      <w:pPr>
        <w:autoSpaceDE w:val="0"/>
        <w:autoSpaceDN w:val="0"/>
        <w:spacing w:after="0" w:line="360" w:lineRule="auto"/>
        <w:ind w:firstLine="709"/>
        <w:jc w:val="both"/>
        <w:rPr>
          <w:rFonts w:ascii="Times New Roman" w:hAnsi="Times New Roman" w:eastAsia="Times New Roman"/>
          <w:u w:color="000000"/>
        </w:rPr>
      </w:pPr>
      <w:r>
        <w:rPr>
          <w:rFonts w:ascii="Times New Roman" w:hAnsi="Times New Roman" w:eastAsia="Times New Roman"/>
          <w:u w:color="000000"/>
        </w:rPr>
        <w:t>Подвижные игры в воде: «Поплавок», «Звездочка», «Кто дальше проскользит»,</w:t>
      </w:r>
    </w:p>
    <w:p w14:paraId="54ECA39B">
      <w:pPr>
        <w:autoSpaceDE w:val="0"/>
        <w:autoSpaceDN w:val="0"/>
        <w:spacing w:after="0" w:line="360" w:lineRule="auto"/>
        <w:ind w:firstLine="709"/>
        <w:jc w:val="both"/>
        <w:rPr>
          <w:rFonts w:ascii="Times New Roman" w:hAnsi="Times New Roman" w:eastAsia="Times New Roman"/>
          <w:u w:color="000000"/>
        </w:rPr>
      </w:pPr>
      <w:r>
        <w:rPr>
          <w:rFonts w:ascii="Times New Roman" w:hAnsi="Times New Roman" w:eastAsia="Times New Roman"/>
          <w:u w:color="000000"/>
        </w:rPr>
        <w:t>«Пятнашки», «Караси и щуки», игры с мячом и различными предметами.</w:t>
      </w:r>
    </w:p>
    <w:p w14:paraId="1DE1AA04">
      <w:pPr>
        <w:autoSpaceDE w:val="0"/>
        <w:autoSpaceDN w:val="0"/>
        <w:spacing w:after="0" w:line="360" w:lineRule="auto"/>
        <w:ind w:firstLine="709"/>
        <w:jc w:val="both"/>
        <w:rPr>
          <w:rFonts w:ascii="Times New Roman" w:hAnsi="Times New Roman" w:eastAsia="Times New Roman"/>
          <w:u w:color="000000"/>
        </w:rPr>
      </w:pPr>
      <w:r>
        <w:rPr>
          <w:rFonts w:ascii="Times New Roman" w:hAnsi="Times New Roman" w:eastAsia="Times New Roman"/>
          <w:u w:color="000000"/>
        </w:rPr>
        <w:t>Подвижные игры с использованием велосипеда: «Кто дольше простоит», «Змейка», «Коснись ногой земли», ««Подними предмет», «Собери пирамидку».</w:t>
      </w:r>
    </w:p>
    <w:p w14:paraId="618E8C72">
      <w:pPr>
        <w:autoSpaceDE w:val="0"/>
        <w:autoSpaceDN w:val="0"/>
        <w:spacing w:after="0" w:line="360" w:lineRule="auto"/>
        <w:ind w:firstLine="709"/>
        <w:jc w:val="both"/>
        <w:rPr>
          <w:rFonts w:ascii="Times New Roman" w:hAnsi="Times New Roman" w:eastAsia="Times New Roman"/>
          <w:u w:color="000000"/>
        </w:rPr>
      </w:pPr>
      <w:r>
        <w:rPr>
          <w:rFonts w:ascii="Times New Roman" w:hAnsi="Times New Roman" w:eastAsia="Times New Roman"/>
          <w:u w:color="000000"/>
        </w:rPr>
        <w:t>Подвижные игры на площадке: «Пятнашки», «Чехарда», игры с мячом.</w:t>
      </w:r>
    </w:p>
    <w:p w14:paraId="13A130D6">
      <w:pPr>
        <w:autoSpaceDE w:val="0"/>
        <w:autoSpaceDN w:val="0"/>
        <w:spacing w:after="0" w:line="360" w:lineRule="auto"/>
        <w:ind w:firstLine="709"/>
        <w:jc w:val="both"/>
        <w:rPr>
          <w:rFonts w:ascii="Times New Roman" w:hAnsi="Times New Roman"/>
          <w:u w:color="000000"/>
          <w:lang w:eastAsia="ru-RU"/>
        </w:rPr>
      </w:pPr>
      <w:r>
        <w:rPr>
          <w:rFonts w:ascii="Times New Roman" w:hAnsi="Times New Roman"/>
          <w:u w:color="000000"/>
          <w:lang w:eastAsia="ru-RU"/>
        </w:rPr>
        <w:t>Эстафеты, направленные на развитие физических и специальных качеств.</w:t>
      </w:r>
    </w:p>
    <w:p w14:paraId="7A967A00">
      <w:pPr>
        <w:autoSpaceDE w:val="0"/>
        <w:autoSpaceDN w:val="0"/>
        <w:spacing w:after="0" w:line="360" w:lineRule="auto"/>
        <w:ind w:firstLine="709"/>
        <w:jc w:val="both"/>
        <w:rPr>
          <w:rFonts w:ascii="Times New Roman" w:hAnsi="Times New Roman" w:eastAsia="Times New Roman"/>
          <w:u w:color="000000"/>
        </w:rPr>
      </w:pPr>
      <w:r>
        <w:rPr>
          <w:rFonts w:ascii="Times New Roman" w:hAnsi="Times New Roman" w:eastAsia="Times New Roman"/>
          <w:u w:color="000000"/>
        </w:rPr>
        <w:t>Техника передвижения:</w:t>
      </w:r>
    </w:p>
    <w:p w14:paraId="6C506193">
      <w:pPr>
        <w:autoSpaceDE w:val="0"/>
        <w:autoSpaceDN w:val="0"/>
        <w:spacing w:after="0" w:line="360" w:lineRule="auto"/>
        <w:ind w:firstLine="709"/>
        <w:jc w:val="both"/>
        <w:rPr>
          <w:rFonts w:ascii="Times New Roman" w:hAnsi="Times New Roman"/>
          <w:bCs/>
          <w:spacing w:val="-1"/>
          <w:u w:color="000000"/>
          <w:lang w:eastAsia="ru-RU"/>
        </w:rPr>
      </w:pPr>
      <w:r>
        <w:rPr>
          <w:rFonts w:ascii="Times New Roman" w:hAnsi="Times New Roman" w:eastAsia="Times New Roman"/>
          <w:u w:color="000000"/>
        </w:rPr>
        <w:t xml:space="preserve">в воде: </w:t>
      </w:r>
      <w:r>
        <w:rPr>
          <w:rFonts w:ascii="Times New Roman" w:hAnsi="Times New Roman"/>
          <w:bCs/>
          <w:spacing w:val="-1"/>
          <w:u w:color="000000"/>
          <w:lang w:eastAsia="ru-RU"/>
        </w:rPr>
        <w:t>упражнения для начального обучения технике</w:t>
      </w:r>
      <w:r>
        <w:rPr>
          <w:rFonts w:ascii="Times New Roman" w:hAnsi="Times New Roman"/>
          <w:u w:color="000000"/>
        </w:rPr>
        <w:t xml:space="preserve"> спортивных способов плавания – кроль на груди и кроль на спине </w:t>
      </w:r>
      <w:r>
        <w:rPr>
          <w:rFonts w:ascii="Times New Roman" w:hAnsi="Times New Roman"/>
          <w:bCs/>
          <w:u w:color="000000"/>
          <w:lang w:eastAsia="ru-RU"/>
        </w:rPr>
        <w:t>(</w:t>
      </w:r>
      <w:r>
        <w:rPr>
          <w:rFonts w:ascii="Times New Roman" w:hAnsi="Times New Roman"/>
          <w:bCs/>
          <w:iCs/>
          <w:spacing w:val="-9"/>
          <w:u w:color="000000"/>
          <w:lang w:eastAsia="ru-RU"/>
        </w:rPr>
        <w:t xml:space="preserve">имитационные упражнения на суше, </w:t>
      </w:r>
      <w:r>
        <w:rPr>
          <w:rFonts w:ascii="Times New Roman" w:hAnsi="Times New Roman"/>
          <w:u w:color="000000"/>
          <w:lang w:eastAsia="ru-RU"/>
        </w:rPr>
        <w:t>у</w:t>
      </w:r>
      <w:r>
        <w:rPr>
          <w:rFonts w:ascii="Times New Roman" w:hAnsi="Times New Roman"/>
          <w:bCs/>
          <w:iCs/>
          <w:spacing w:val="-10"/>
          <w:u w:color="000000"/>
          <w:lang w:eastAsia="ru-RU"/>
        </w:rPr>
        <w:t xml:space="preserve">пражнения в воде </w:t>
      </w:r>
      <w:r>
        <w:rPr>
          <w:rFonts w:ascii="Times New Roman" w:hAnsi="Times New Roman"/>
          <w:iCs/>
          <w:spacing w:val="-10"/>
          <w:u w:color="000000"/>
          <w:lang w:eastAsia="ru-RU"/>
        </w:rPr>
        <w:t xml:space="preserve">с </w:t>
      </w:r>
      <w:r>
        <w:rPr>
          <w:rFonts w:ascii="Times New Roman" w:hAnsi="Times New Roman"/>
          <w:bCs/>
          <w:iCs/>
          <w:spacing w:val="-10"/>
          <w:u w:color="000000"/>
          <w:lang w:eastAsia="ru-RU"/>
        </w:rPr>
        <w:t>неподвижной опорой,</w:t>
      </w:r>
      <w:r>
        <w:rPr>
          <w:rFonts w:ascii="Times New Roman" w:hAnsi="Times New Roman"/>
          <w:u w:color="000000"/>
          <w:lang w:eastAsia="ru-RU"/>
        </w:rPr>
        <w:t xml:space="preserve"> </w:t>
      </w:r>
      <w:r>
        <w:rPr>
          <w:rFonts w:ascii="Times New Roman" w:hAnsi="Times New Roman"/>
          <w:bCs/>
          <w:iCs/>
          <w:spacing w:val="-10"/>
          <w:u w:color="000000"/>
          <w:lang w:eastAsia="ru-RU"/>
        </w:rPr>
        <w:t>с подвижной опорой</w:t>
      </w:r>
      <w:r>
        <w:rPr>
          <w:rFonts w:ascii="Times New Roman" w:hAnsi="Times New Roman"/>
          <w:u w:color="000000"/>
          <w:lang w:eastAsia="ru-RU"/>
        </w:rPr>
        <w:t xml:space="preserve">, </w:t>
      </w:r>
      <w:r>
        <w:rPr>
          <w:rFonts w:ascii="Times New Roman" w:hAnsi="Times New Roman"/>
          <w:bCs/>
          <w:iCs/>
          <w:spacing w:val="-10"/>
          <w:u w:color="000000"/>
          <w:lang w:eastAsia="ru-RU"/>
        </w:rPr>
        <w:t>без</w:t>
      </w:r>
      <w:r>
        <w:rPr>
          <w:rFonts w:ascii="Times New Roman" w:hAnsi="Times New Roman"/>
          <w:iCs/>
          <w:spacing w:val="-10"/>
          <w:u w:color="000000"/>
          <w:lang w:eastAsia="ru-RU"/>
        </w:rPr>
        <w:t xml:space="preserve"> </w:t>
      </w:r>
      <w:r>
        <w:rPr>
          <w:rFonts w:ascii="Times New Roman" w:hAnsi="Times New Roman"/>
          <w:bCs/>
          <w:iCs/>
          <w:spacing w:val="-10"/>
          <w:u w:color="000000"/>
          <w:lang w:eastAsia="ru-RU"/>
        </w:rPr>
        <w:t>опоры):</w:t>
      </w:r>
      <w:r>
        <w:rPr>
          <w:rFonts w:ascii="Times New Roman" w:hAnsi="Times New Roman"/>
          <w:bCs/>
          <w:spacing w:val="-1"/>
          <w:u w:color="000000"/>
          <w:lang w:eastAsia="ru-RU"/>
        </w:rPr>
        <w:t xml:space="preserve"> </w:t>
      </w:r>
      <w:r>
        <w:rPr>
          <w:rFonts w:ascii="Times New Roman" w:hAnsi="Times New Roman"/>
          <w:bCs/>
          <w:u w:color="000000"/>
          <w:lang w:eastAsia="ru-RU"/>
        </w:rPr>
        <w:t>упражнения для изучения движений ногами, согласования движений ногами и дыхания движений руками, движений руками и дыха</w:t>
      </w:r>
      <w:r>
        <w:rPr>
          <w:rFonts w:ascii="Times New Roman" w:hAnsi="Times New Roman"/>
          <w:bCs/>
          <w:u w:color="000000"/>
          <w:lang w:eastAsia="ru-RU"/>
        </w:rPr>
        <w:softHyphen/>
      </w:r>
      <w:r>
        <w:rPr>
          <w:rFonts w:ascii="Times New Roman" w:hAnsi="Times New Roman"/>
          <w:bCs/>
          <w:u w:color="000000"/>
          <w:lang w:eastAsia="ru-RU"/>
        </w:rPr>
        <w:t>ния,</w:t>
      </w:r>
      <w:r>
        <w:rPr>
          <w:rFonts w:ascii="Times New Roman" w:hAnsi="Times New Roman"/>
          <w:bCs/>
          <w:spacing w:val="-1"/>
          <w:u w:color="000000"/>
          <w:lang w:eastAsia="ru-RU"/>
        </w:rPr>
        <w:t xml:space="preserve"> </w:t>
      </w:r>
      <w:r>
        <w:rPr>
          <w:rFonts w:ascii="Times New Roman" w:hAnsi="Times New Roman"/>
          <w:bCs/>
          <w:u w:color="000000"/>
          <w:lang w:eastAsia="ru-RU"/>
        </w:rPr>
        <w:t xml:space="preserve">упражнения </w:t>
      </w:r>
      <w:r>
        <w:rPr>
          <w:rFonts w:ascii="Times New Roman" w:hAnsi="Times New Roman"/>
          <w:u w:color="000000"/>
          <w:lang w:eastAsia="ru-RU"/>
        </w:rPr>
        <w:t xml:space="preserve">для </w:t>
      </w:r>
      <w:r>
        <w:rPr>
          <w:rFonts w:ascii="Times New Roman" w:hAnsi="Times New Roman"/>
          <w:bCs/>
          <w:u w:color="000000"/>
          <w:lang w:eastAsia="ru-RU"/>
        </w:rPr>
        <w:t xml:space="preserve">изучения </w:t>
      </w:r>
      <w:r>
        <w:rPr>
          <w:rFonts w:ascii="Times New Roman" w:hAnsi="Times New Roman"/>
          <w:u w:color="000000"/>
          <w:lang w:eastAsia="ru-RU"/>
        </w:rPr>
        <w:t xml:space="preserve">общего </w:t>
      </w:r>
      <w:r>
        <w:rPr>
          <w:rFonts w:ascii="Times New Roman" w:hAnsi="Times New Roman"/>
          <w:bCs/>
          <w:u w:color="000000"/>
          <w:lang w:eastAsia="ru-RU"/>
        </w:rPr>
        <w:t>согласования движений;</w:t>
      </w:r>
    </w:p>
    <w:p w14:paraId="4683C284">
      <w:pPr>
        <w:autoSpaceDE w:val="0"/>
        <w:autoSpaceDN w:val="0"/>
        <w:spacing w:after="0" w:line="360" w:lineRule="auto"/>
        <w:ind w:firstLine="709"/>
        <w:jc w:val="both"/>
        <w:rPr>
          <w:rFonts w:ascii="Times New Roman" w:hAnsi="Times New Roman" w:eastAsia="Times New Roman"/>
          <w:u w:color="000000"/>
        </w:rPr>
      </w:pPr>
      <w:r>
        <w:rPr>
          <w:rFonts w:ascii="Times New Roman" w:hAnsi="Times New Roman" w:eastAsia="Times New Roman"/>
          <w:u w:color="000000"/>
        </w:rPr>
        <w:t xml:space="preserve">на велосипеде: правильная посадка, </w:t>
      </w:r>
      <w:r>
        <w:rPr>
          <w:rFonts w:ascii="Times New Roman" w:hAnsi="Times New Roman"/>
          <w:u w:color="000000"/>
          <w:lang w:eastAsia="ru-RU"/>
        </w:rPr>
        <w:t xml:space="preserve">обучение началу движения, передвижению на велосипеде, торможению и остановке, формирование навыка сохранения равновесия на неустойчивой опоре (велосипеде), </w:t>
      </w:r>
      <w:r>
        <w:rPr>
          <w:rFonts w:ascii="Times New Roman" w:hAnsi="Times New Roman" w:eastAsia="Times New Roman"/>
          <w:u w:color="000000"/>
        </w:rPr>
        <w:t xml:space="preserve">езда в положении сидя в седле или стоя на педалях, с поворотами и разворотами, по кругу, «змейкой»; </w:t>
      </w:r>
    </w:p>
    <w:p w14:paraId="57C0BD09">
      <w:pPr>
        <w:autoSpaceDE w:val="0"/>
        <w:autoSpaceDN w:val="0"/>
        <w:spacing w:after="0" w:line="360" w:lineRule="auto"/>
        <w:ind w:firstLine="709"/>
        <w:jc w:val="both"/>
        <w:rPr>
          <w:rFonts w:ascii="Times New Roman" w:hAnsi="Times New Roman" w:eastAsia="Times New Roman"/>
          <w:u w:color="000000"/>
        </w:rPr>
      </w:pPr>
      <w:r>
        <w:rPr>
          <w:rFonts w:ascii="Times New Roman" w:hAnsi="Times New Roman" w:eastAsia="Times New Roman"/>
          <w:u w:color="000000"/>
        </w:rPr>
        <w:t>бегом: бег обычный, семенящий, с ускорением, приставными и скрестными шагами, спиной вперед, челночный, на различные дистанции и с различной скоростью.</w:t>
      </w:r>
    </w:p>
    <w:p w14:paraId="74275777">
      <w:pPr>
        <w:autoSpaceDE w:val="0"/>
        <w:autoSpaceDN w:val="0"/>
        <w:spacing w:after="0" w:line="360" w:lineRule="auto"/>
        <w:ind w:firstLine="709"/>
        <w:jc w:val="both"/>
        <w:rPr>
          <w:rFonts w:ascii="Times New Roman" w:hAnsi="Times New Roman"/>
          <w:u w:color="000000"/>
          <w:lang w:eastAsia="ru-RU"/>
        </w:rPr>
      </w:pPr>
      <w:r>
        <w:rPr>
          <w:rFonts w:ascii="Times New Roman" w:hAnsi="Times New Roman"/>
          <w:u w:color="000000"/>
          <w:lang w:eastAsia="ru-RU"/>
        </w:rPr>
        <w:t>Учебные соревнования по триатлону. Участие в соревновательной деятельности.</w:t>
      </w:r>
    </w:p>
    <w:p w14:paraId="25EF880C">
      <w:pPr>
        <w:pBdr>
          <w:top w:val="none" w:color="auto" w:sz="0" w:space="0"/>
          <w:left w:val="none" w:color="auto" w:sz="0" w:space="0"/>
          <w:bottom w:val="none" w:color="auto" w:sz="0" w:space="0"/>
          <w:right w:val="none" w:color="auto" w:sz="0" w:space="0"/>
          <w:between w:val="none" w:color="auto" w:sz="0" w:space="0"/>
        </w:pBdr>
        <w:spacing w:after="0" w:line="360" w:lineRule="auto"/>
        <w:ind w:firstLine="709"/>
        <w:jc w:val="both"/>
        <w:rPr>
          <w:rFonts w:ascii="Times New Roman" w:hAnsi="Times New Roman" w:eastAsia="Arial Unicode MS"/>
          <w:u w:color="000000"/>
          <w:lang w:eastAsia="ru-RU"/>
        </w:rPr>
      </w:pPr>
      <w:r>
        <w:rPr>
          <w:rFonts w:ascii="Times New Roman" w:hAnsi="Times New Roman" w:eastAsia="Times New Roman"/>
          <w:bCs/>
          <w:lang w:eastAsia="zh-CN"/>
        </w:rPr>
        <w:t>16.4.</w:t>
      </w:r>
      <w:r>
        <w:rPr>
          <w:rFonts w:ascii="Times New Roman" w:hAnsi="Times New Roman" w:eastAsia="Arial Unicode MS"/>
          <w:u w:color="000000"/>
          <w:lang w:eastAsia="ru-RU"/>
        </w:rPr>
        <w:t>14.7. Содержание модуля «Триатлон» направлено на достижение обучающимися личностных, метапредметных и предметных результатов обучения.</w:t>
      </w:r>
    </w:p>
    <w:p w14:paraId="3A36D18B">
      <w:pPr>
        <w:pBdr>
          <w:top w:val="none" w:color="auto" w:sz="0" w:space="0"/>
          <w:left w:val="none" w:color="auto" w:sz="0" w:space="0"/>
          <w:bottom w:val="none" w:color="auto" w:sz="0" w:space="0"/>
          <w:right w:val="none" w:color="auto" w:sz="0" w:space="0"/>
          <w:between w:val="none" w:color="auto" w:sz="0" w:space="0"/>
        </w:pBdr>
        <w:spacing w:after="0" w:line="360" w:lineRule="auto"/>
        <w:ind w:firstLine="709"/>
        <w:jc w:val="both"/>
        <w:rPr>
          <w:rFonts w:ascii="Times New Roman" w:hAnsi="Times New Roman" w:eastAsia="HiddenHorzOCR"/>
          <w:u w:color="000000"/>
          <w:lang w:eastAsia="ru-RU"/>
        </w:rPr>
      </w:pPr>
      <w:r>
        <w:rPr>
          <w:rFonts w:ascii="Times New Roman" w:hAnsi="Times New Roman" w:eastAsia="Times New Roman"/>
          <w:bCs/>
          <w:lang w:eastAsia="zh-CN"/>
        </w:rPr>
        <w:t>16.4.</w:t>
      </w:r>
      <w:r>
        <w:rPr>
          <w:rFonts w:ascii="Times New Roman" w:hAnsi="Times New Roman" w:eastAsia="HiddenHorzOCR"/>
          <w:u w:color="000000"/>
          <w:lang w:eastAsia="ru-RU"/>
        </w:rPr>
        <w:t>14.7.1. </w:t>
      </w:r>
      <w:r>
        <w:rPr>
          <w:rFonts w:ascii="Times New Roman" w:hAnsi="Times New Roman" w:eastAsia="Times New Roman"/>
          <w:bCs/>
          <w:u w:color="000000"/>
          <w:lang w:eastAsia="zh-CN"/>
        </w:rPr>
        <w:t xml:space="preserve">При </w:t>
      </w:r>
      <w:r>
        <w:rPr>
          <w:rFonts w:ascii="Times New Roman" w:hAnsi="Times New Roman"/>
          <w:u w:color="000000"/>
          <w:lang w:eastAsia="zh-CN"/>
        </w:rPr>
        <w:t xml:space="preserve">изучении </w:t>
      </w:r>
      <w:r>
        <w:rPr>
          <w:rFonts w:ascii="Times New Roman" w:hAnsi="Times New Roman" w:eastAsia="HiddenHorzOCR"/>
          <w:u w:color="000000"/>
          <w:lang w:eastAsia="ru-RU"/>
        </w:rPr>
        <w:t>модуля «Триатлон» на уровне начального общего образования у обучающихся будут сформированы следующие личностные результаты:</w:t>
      </w:r>
    </w:p>
    <w:p w14:paraId="4A7E23B0">
      <w:pPr>
        <w:autoSpaceDE w:val="0"/>
        <w:autoSpaceDN w:val="0"/>
        <w:spacing w:after="0" w:line="360" w:lineRule="auto"/>
        <w:ind w:firstLine="709"/>
        <w:contextualSpacing/>
        <w:jc w:val="both"/>
        <w:rPr>
          <w:rFonts w:ascii="Times New Roman" w:hAnsi="Times New Roman" w:eastAsia="Times New Roman"/>
          <w:bCs/>
          <w:iCs/>
          <w:u w:color="000000"/>
        </w:rPr>
      </w:pPr>
      <w:r>
        <w:rPr>
          <w:rFonts w:ascii="Times New Roman" w:hAnsi="Times New Roman" w:eastAsia="HiddenHorzOCR"/>
          <w:u w:color="000000"/>
        </w:rPr>
        <w:t xml:space="preserve">проявление чувства гордости за свою Родину, российский народ и историю России через </w:t>
      </w:r>
      <w:r>
        <w:rPr>
          <w:rFonts w:ascii="Times New Roman" w:hAnsi="Times New Roman" w:eastAsia="Times New Roman"/>
          <w:u w:color="000000"/>
        </w:rPr>
        <w:t xml:space="preserve">достижения российских спортсменов и Национальной сборной команды страны по триатлону </w:t>
      </w:r>
      <w:r>
        <w:rPr>
          <w:rFonts w:ascii="Times New Roman" w:hAnsi="Times New Roman"/>
          <w:bCs/>
          <w:u w:color="000000"/>
          <w:lang w:eastAsia="ru-RU"/>
        </w:rPr>
        <w:t>на чемпионатах Европы, мира, Олимпийских играх;</w:t>
      </w:r>
    </w:p>
    <w:p w14:paraId="43A7FA2B">
      <w:pPr>
        <w:spacing w:after="0" w:line="360" w:lineRule="auto"/>
        <w:ind w:firstLine="709"/>
        <w:contextualSpacing/>
        <w:jc w:val="both"/>
        <w:rPr>
          <w:rFonts w:ascii="Times New Roman" w:hAnsi="Times New Roman"/>
          <w:bCs/>
          <w:u w:color="000000"/>
          <w:lang w:eastAsia="ru-RU"/>
        </w:rPr>
      </w:pPr>
      <w:r>
        <w:rPr>
          <w:rFonts w:ascii="Times New Roman" w:hAnsi="Times New Roman"/>
          <w:bCs/>
          <w:u w:color="000000"/>
          <w:lang w:eastAsia="ru-RU"/>
        </w:rPr>
        <w:t>п</w:t>
      </w:r>
      <w:r>
        <w:rPr>
          <w:rFonts w:ascii="Times New Roman" w:hAnsi="Times New Roman"/>
          <w:bCs/>
          <w:iCs/>
          <w:u w:color="000000"/>
          <w:lang w:eastAsia="ru-RU"/>
        </w:rPr>
        <w:t>роявление</w:t>
      </w:r>
      <w:r>
        <w:rPr>
          <w:rFonts w:ascii="Times New Roman" w:hAnsi="Times New Roman"/>
          <w:u w:color="000000"/>
          <w:lang w:eastAsia="ru-RU"/>
        </w:rPr>
        <w:t xml:space="preserve"> уважительного отношения к сверстникам, культуры общения и взаимодействия в достижении общих целей при совместной деятельности на принципах доброжелательности и взаимопомощи;</w:t>
      </w:r>
    </w:p>
    <w:p w14:paraId="6F5BF36F">
      <w:pPr>
        <w:autoSpaceDE w:val="0"/>
        <w:autoSpaceDN w:val="0"/>
        <w:adjustRightInd w:val="0"/>
        <w:spacing w:after="0" w:line="360" w:lineRule="auto"/>
        <w:ind w:firstLine="709"/>
        <w:jc w:val="both"/>
        <w:rPr>
          <w:rFonts w:ascii="Times New Roman" w:hAnsi="Times New Roman" w:eastAsia="HiddenHorzOCR"/>
          <w:u w:color="000000"/>
          <w:lang w:eastAsia="ru-RU"/>
        </w:rPr>
      </w:pPr>
      <w:r>
        <w:rPr>
          <w:rFonts w:ascii="Times New Roman" w:hAnsi="Times New Roman"/>
          <w:u w:color="000000"/>
          <w:lang w:eastAsia="ru-RU"/>
        </w:rPr>
        <w:t>проявление дисциплинированности, трудолюбия и упорства достижении поставленных целей н</w:t>
      </w:r>
      <w:r>
        <w:rPr>
          <w:rFonts w:ascii="Times New Roman" w:hAnsi="Times New Roman" w:eastAsia="HiddenHorzOCR"/>
          <w:u w:color="000000"/>
          <w:lang w:eastAsia="ru-RU"/>
        </w:rPr>
        <w:t>а основе представлений о нравственных нормах, социальной справедливости и свободе;</w:t>
      </w:r>
    </w:p>
    <w:p w14:paraId="5D147BAF">
      <w:pPr>
        <w:autoSpaceDE w:val="0"/>
        <w:autoSpaceDN w:val="0"/>
        <w:adjustRightInd w:val="0"/>
        <w:spacing w:after="0" w:line="360" w:lineRule="auto"/>
        <w:ind w:firstLine="709"/>
        <w:jc w:val="both"/>
        <w:rPr>
          <w:rFonts w:ascii="Times New Roman" w:hAnsi="Times New Roman" w:eastAsia="Times New Roman"/>
          <w:u w:color="000000"/>
        </w:rPr>
      </w:pPr>
      <w:r>
        <w:rPr>
          <w:rFonts w:ascii="Times New Roman" w:hAnsi="Times New Roman" w:eastAsia="Times New Roman"/>
          <w:u w:color="000000"/>
        </w:rPr>
        <w:t>проявление положительных качеств личности и управление своими эмоциями в различных ситуациях и условиях; способность к самостоятельной, творческой и ответственной деятельности средствами триатлона;</w:t>
      </w:r>
    </w:p>
    <w:p w14:paraId="0DD13B39">
      <w:pPr>
        <w:autoSpaceDE w:val="0"/>
        <w:autoSpaceDN w:val="0"/>
        <w:adjustRightInd w:val="0"/>
        <w:spacing w:after="0" w:line="360" w:lineRule="auto"/>
        <w:ind w:firstLine="709"/>
        <w:jc w:val="both"/>
        <w:rPr>
          <w:rFonts w:ascii="Times New Roman" w:hAnsi="Times New Roman" w:eastAsia="Times New Roman"/>
          <w:u w:color="000000"/>
        </w:rPr>
      </w:pPr>
      <w:r>
        <w:rPr>
          <w:rFonts w:ascii="Times New Roman" w:hAnsi="Times New Roman"/>
          <w:u w:color="000000"/>
          <w:lang w:eastAsia="ru-RU"/>
        </w:rPr>
        <w:t>п</w:t>
      </w:r>
      <w:r>
        <w:rPr>
          <w:rFonts w:ascii="Times New Roman" w:hAnsi="Times New Roman" w:eastAsia="HiddenHorzOCR"/>
          <w:u w:color="000000"/>
          <w:lang w:eastAsia="ru-RU"/>
        </w:rPr>
        <w:t>онимание установки на безопасный, здоровый образ жизни, наличие мотивации к творческому труду, работе на результат, бережному отношению к материальным и духовным ценностям.</w:t>
      </w:r>
    </w:p>
    <w:p w14:paraId="11CFCFDB">
      <w:pPr>
        <w:pBdr>
          <w:top w:val="none" w:color="auto" w:sz="0" w:space="0"/>
          <w:left w:val="none" w:color="auto" w:sz="0" w:space="0"/>
          <w:bottom w:val="none" w:color="auto" w:sz="0" w:space="0"/>
          <w:right w:val="none" w:color="auto" w:sz="0" w:space="0"/>
          <w:between w:val="none" w:color="auto" w:sz="0" w:space="0"/>
        </w:pBdr>
        <w:spacing w:after="0" w:line="360" w:lineRule="auto"/>
        <w:ind w:firstLine="709"/>
        <w:jc w:val="both"/>
        <w:rPr>
          <w:rFonts w:ascii="Times New Roman" w:hAnsi="Times New Roman" w:eastAsia="HiddenHorzOCR"/>
          <w:u w:color="000000"/>
          <w:lang w:eastAsia="ru-RU"/>
        </w:rPr>
      </w:pPr>
      <w:r>
        <w:rPr>
          <w:rFonts w:ascii="Times New Roman" w:hAnsi="Times New Roman" w:eastAsia="Times New Roman"/>
          <w:bCs/>
          <w:lang w:eastAsia="zh-CN"/>
        </w:rPr>
        <w:t>16.4.</w:t>
      </w:r>
      <w:r>
        <w:rPr>
          <w:rFonts w:ascii="Times New Roman" w:hAnsi="Times New Roman" w:eastAsia="HiddenHorzOCR"/>
          <w:u w:color="000000"/>
          <w:lang w:eastAsia="ru-RU"/>
        </w:rPr>
        <w:t>14.7.2. </w:t>
      </w:r>
      <w:r>
        <w:rPr>
          <w:rFonts w:ascii="Times New Roman" w:hAnsi="Times New Roman" w:eastAsia="Times New Roman"/>
          <w:bCs/>
          <w:u w:color="000000"/>
          <w:lang w:eastAsia="zh-CN"/>
        </w:rPr>
        <w:t xml:space="preserve">При </w:t>
      </w:r>
      <w:r>
        <w:rPr>
          <w:rFonts w:ascii="Times New Roman" w:hAnsi="Times New Roman"/>
          <w:u w:color="000000"/>
          <w:lang w:eastAsia="zh-CN"/>
        </w:rPr>
        <w:t xml:space="preserve">изучении </w:t>
      </w:r>
      <w:r>
        <w:rPr>
          <w:rFonts w:ascii="Times New Roman" w:hAnsi="Times New Roman" w:eastAsia="HiddenHorzOCR"/>
          <w:u w:color="000000"/>
          <w:lang w:eastAsia="ru-RU"/>
        </w:rPr>
        <w:t>модуля «Триатлон» на уровне начального общего образования у обучающихся будут сформированы следующие метапредметные результаты:</w:t>
      </w:r>
    </w:p>
    <w:p w14:paraId="2A789C1E">
      <w:pPr>
        <w:pBdr>
          <w:top w:val="none" w:color="auto" w:sz="0" w:space="0"/>
          <w:left w:val="none" w:color="auto" w:sz="0" w:space="0"/>
          <w:bottom w:val="none" w:color="auto" w:sz="0" w:space="0"/>
          <w:right w:val="none" w:color="auto" w:sz="0" w:space="0"/>
          <w:between w:val="none" w:color="auto" w:sz="0" w:space="0"/>
        </w:pBdr>
        <w:shd w:val="clear" w:color="auto" w:fill="FFFFFF"/>
        <w:autoSpaceDE w:val="0"/>
        <w:autoSpaceDN w:val="0"/>
        <w:adjustRightInd w:val="0"/>
        <w:spacing w:after="0" w:line="360" w:lineRule="auto"/>
        <w:ind w:firstLine="709"/>
        <w:jc w:val="both"/>
        <w:rPr>
          <w:rFonts w:ascii="Times New Roman" w:hAnsi="Times New Roman" w:eastAsia="@Arial Unicode MS"/>
          <w:u w:color="000000"/>
          <w:lang w:eastAsia="ru-RU"/>
        </w:rPr>
      </w:pPr>
      <w:r>
        <w:rPr>
          <w:rFonts w:ascii="Times New Roman" w:hAnsi="Times New Roman"/>
          <w:u w:color="000000"/>
          <w:lang w:eastAsia="ru-RU"/>
        </w:rPr>
        <w:t>овладение способностью принимать и сохранять цели и задачи учебной деятельности, поиска средств и способов её осуществления;</w:t>
      </w:r>
    </w:p>
    <w:p w14:paraId="6A51ABFC">
      <w:pPr>
        <w:autoSpaceDE w:val="0"/>
        <w:autoSpaceDN w:val="0"/>
        <w:adjustRightInd w:val="0"/>
        <w:spacing w:after="0" w:line="360" w:lineRule="auto"/>
        <w:ind w:firstLine="709"/>
        <w:jc w:val="both"/>
        <w:rPr>
          <w:rFonts w:ascii="Times New Roman" w:hAnsi="Times New Roman" w:eastAsia="HiddenHorzOCR"/>
          <w:u w:color="000000"/>
          <w:lang w:eastAsia="ru-RU"/>
        </w:rPr>
      </w:pPr>
      <w:r>
        <w:rPr>
          <w:rFonts w:ascii="Times New Roman" w:hAnsi="Times New Roman" w:eastAsia="HiddenHorzOCR"/>
          <w:u w:color="000000"/>
          <w:lang w:eastAsia="ru-RU"/>
        </w:rPr>
        <w:t xml:space="preserve">умение планировать, контролировать и оценивать учебные действия, </w:t>
      </w:r>
      <w:r>
        <w:rPr>
          <w:rFonts w:ascii="Times New Roman" w:hAnsi="Times New Roman"/>
          <w:u w:color="000000"/>
          <w:lang w:eastAsia="ru-RU"/>
        </w:rPr>
        <w:t xml:space="preserve">собственную деятельность, распределять нагрузку и отдых в процессе ее выполнения, </w:t>
      </w:r>
      <w:r>
        <w:rPr>
          <w:rFonts w:ascii="Times New Roman" w:hAnsi="Times New Roman" w:eastAsia="HiddenHorzOCR"/>
          <w:u w:color="000000"/>
          <w:lang w:eastAsia="ru-RU"/>
        </w:rPr>
        <w:t>определять наиболее эффективные способы достижения результата;</w:t>
      </w:r>
    </w:p>
    <w:p w14:paraId="76BE88DC">
      <w:pPr>
        <w:autoSpaceDE w:val="0"/>
        <w:autoSpaceDN w:val="0"/>
        <w:adjustRightInd w:val="0"/>
        <w:spacing w:after="0" w:line="360" w:lineRule="auto"/>
        <w:ind w:firstLine="709"/>
        <w:jc w:val="both"/>
        <w:rPr>
          <w:rFonts w:ascii="Times New Roman" w:hAnsi="Times New Roman" w:eastAsia="HiddenHorzOCR"/>
          <w:u w:color="000000"/>
          <w:lang w:eastAsia="ru-RU"/>
        </w:rPr>
      </w:pPr>
      <w:r>
        <w:rPr>
          <w:rFonts w:ascii="Times New Roman" w:hAnsi="Times New Roman" w:eastAsia="HiddenHorzOCR"/>
          <w:u w:color="000000"/>
          <w:lang w:eastAsia="ru-RU"/>
        </w:rPr>
        <w:t xml:space="preserve">умение </w:t>
      </w:r>
      <w:r>
        <w:rPr>
          <w:rFonts w:ascii="Times New Roman" w:hAnsi="Times New Roman"/>
          <w:u w:color="000000"/>
          <w:lang w:eastAsia="ru-RU"/>
        </w:rPr>
        <w:t>характеризовать действия и поступки, давать им анализ и объективную оценку на основе освоенных знаний и имеющегося опыта;</w:t>
      </w:r>
    </w:p>
    <w:p w14:paraId="467C4A98">
      <w:pPr>
        <w:autoSpaceDE w:val="0"/>
        <w:autoSpaceDN w:val="0"/>
        <w:adjustRightInd w:val="0"/>
        <w:spacing w:after="0" w:line="360" w:lineRule="auto"/>
        <w:ind w:firstLine="709"/>
        <w:jc w:val="both"/>
        <w:rPr>
          <w:rFonts w:ascii="Times New Roman" w:hAnsi="Times New Roman" w:eastAsia="HiddenHorzOCR"/>
          <w:u w:color="000000"/>
          <w:lang w:eastAsia="ru-RU"/>
        </w:rPr>
      </w:pPr>
      <w:r>
        <w:rPr>
          <w:rFonts w:ascii="Times New Roman" w:hAnsi="Times New Roman" w:eastAsia="HiddenHorzOCR"/>
          <w:u w:color="000000"/>
          <w:lang w:eastAsia="ru-RU"/>
        </w:rPr>
        <w:t>понимание причин успеха или неуспеха учебной деятельности и способность конструктивно действовать даже в ситуациях неуспеха;</w:t>
      </w:r>
    </w:p>
    <w:p w14:paraId="249C4A8B">
      <w:pPr>
        <w:autoSpaceDE w:val="0"/>
        <w:autoSpaceDN w:val="0"/>
        <w:adjustRightInd w:val="0"/>
        <w:spacing w:after="0" w:line="360" w:lineRule="auto"/>
        <w:ind w:firstLine="709"/>
        <w:jc w:val="both"/>
        <w:rPr>
          <w:rFonts w:ascii="Times New Roman" w:hAnsi="Times New Roman" w:eastAsia="HiddenHorzOCR"/>
          <w:u w:color="000000"/>
          <w:lang w:eastAsia="ru-RU"/>
        </w:rPr>
      </w:pPr>
      <w:r>
        <w:rPr>
          <w:rFonts w:ascii="Times New Roman" w:hAnsi="Times New Roman" w:eastAsia="HiddenHorzOCR"/>
          <w:u w:color="000000"/>
          <w:lang w:eastAsia="ru-RU"/>
        </w:rPr>
        <w:t>определение общей цели и путей её достижения, умение договариваться о распределении функций в учебной, игровой и соревновательной деятельности, оценка собственного поведения и поведения окружающих;</w:t>
      </w:r>
    </w:p>
    <w:p w14:paraId="510FCFEB">
      <w:pPr>
        <w:autoSpaceDE w:val="0"/>
        <w:autoSpaceDN w:val="0"/>
        <w:adjustRightInd w:val="0"/>
        <w:spacing w:after="0" w:line="360" w:lineRule="auto"/>
        <w:ind w:firstLine="709"/>
        <w:jc w:val="both"/>
        <w:rPr>
          <w:rFonts w:ascii="Times New Roman" w:hAnsi="Times New Roman" w:eastAsia="HiddenHorzOCR"/>
          <w:u w:color="000000"/>
          <w:lang w:eastAsia="ru-RU"/>
        </w:rPr>
      </w:pPr>
      <w:r>
        <w:rPr>
          <w:rFonts w:ascii="Times New Roman" w:hAnsi="Times New Roman"/>
          <w:u w:color="000000"/>
          <w:lang w:eastAsia="ru-RU"/>
        </w:rPr>
        <w:t>обеспечение защиты и сохранности природы во время активного отдыха и занятий физической культурой;</w:t>
      </w:r>
    </w:p>
    <w:p w14:paraId="377F1561">
      <w:pPr>
        <w:autoSpaceDE w:val="0"/>
        <w:autoSpaceDN w:val="0"/>
        <w:adjustRightInd w:val="0"/>
        <w:spacing w:after="0" w:line="360" w:lineRule="auto"/>
        <w:ind w:firstLine="709"/>
        <w:jc w:val="both"/>
        <w:rPr>
          <w:rFonts w:ascii="Times New Roman" w:hAnsi="Times New Roman" w:eastAsia="HiddenHorzOCR"/>
          <w:u w:color="000000"/>
          <w:lang w:eastAsia="ru-RU"/>
        </w:rPr>
      </w:pPr>
      <w:r>
        <w:rPr>
          <w:rFonts w:ascii="Times New Roman" w:hAnsi="Times New Roman"/>
          <w:u w:color="000000"/>
          <w:lang w:eastAsia="ru-RU"/>
        </w:rPr>
        <w:t>способность организации самостоятельной деятельности с учётом требований её безопасности, сохранности инвентаря и оборудования, организации места занятий;</w:t>
      </w:r>
    </w:p>
    <w:p w14:paraId="6D23104F">
      <w:pPr>
        <w:autoSpaceDE w:val="0"/>
        <w:autoSpaceDN w:val="0"/>
        <w:adjustRightInd w:val="0"/>
        <w:spacing w:after="0" w:line="360" w:lineRule="auto"/>
        <w:ind w:firstLine="709"/>
        <w:jc w:val="both"/>
        <w:rPr>
          <w:rFonts w:ascii="Times New Roman" w:hAnsi="Times New Roman" w:eastAsia="HiddenHorzOCR"/>
          <w:u w:color="000000"/>
          <w:lang w:eastAsia="ru-RU"/>
        </w:rPr>
      </w:pPr>
      <w:r>
        <w:rPr>
          <w:rFonts w:ascii="Times New Roman" w:hAnsi="Times New Roman" w:eastAsia="HiddenHorzOCR"/>
          <w:u w:color="000000"/>
          <w:lang w:eastAsia="ru-RU"/>
        </w:rPr>
        <w:t>с</w:t>
      </w:r>
      <w:r>
        <w:rPr>
          <w:rFonts w:ascii="Times New Roman" w:hAnsi="Times New Roman"/>
          <w:u w:color="000000"/>
          <w:lang w:eastAsia="ru-RU"/>
        </w:rPr>
        <w:t>пособность выделять и обосновывать эстетические признаки в физических упражнениях, двигательных действиях, оценивать красоту телосложения и осанки, сравнивать их с эталонными образцами;</w:t>
      </w:r>
    </w:p>
    <w:p w14:paraId="118FAA6B">
      <w:pPr>
        <w:autoSpaceDE w:val="0"/>
        <w:autoSpaceDN w:val="0"/>
        <w:adjustRightInd w:val="0"/>
        <w:spacing w:after="0" w:line="360" w:lineRule="auto"/>
        <w:ind w:firstLine="709"/>
        <w:jc w:val="both"/>
        <w:rPr>
          <w:rFonts w:ascii="Times New Roman" w:hAnsi="Times New Roman"/>
          <w:u w:color="000000"/>
          <w:lang w:eastAsia="ru-RU"/>
        </w:rPr>
      </w:pPr>
      <w:r>
        <w:rPr>
          <w:rFonts w:ascii="Times New Roman" w:hAnsi="Times New Roman"/>
          <w:u w:color="000000"/>
          <w:lang w:eastAsia="ru-RU"/>
        </w:rPr>
        <w:t>владение основами самоконтроля, самооценки, принятия решений и осуществления осознанного выбора в учебной и познавательной деятельности.</w:t>
      </w:r>
    </w:p>
    <w:p w14:paraId="35B203F1">
      <w:pPr>
        <w:autoSpaceDE w:val="0"/>
        <w:autoSpaceDN w:val="0"/>
        <w:adjustRightInd w:val="0"/>
        <w:spacing w:after="0" w:line="360" w:lineRule="auto"/>
        <w:ind w:firstLine="709"/>
        <w:jc w:val="both"/>
        <w:rPr>
          <w:rFonts w:ascii="Times New Roman" w:hAnsi="Times New Roman"/>
          <w:bCs/>
          <w:iCs/>
          <w:u w:color="000000"/>
          <w:lang w:eastAsia="ru-RU"/>
        </w:rPr>
      </w:pPr>
      <w:r>
        <w:rPr>
          <w:rFonts w:ascii="Times New Roman" w:hAnsi="Times New Roman" w:eastAsia="Times New Roman"/>
          <w:bCs/>
          <w:lang w:eastAsia="zh-CN"/>
        </w:rPr>
        <w:t>16.4.</w:t>
      </w:r>
      <w:r>
        <w:rPr>
          <w:rFonts w:ascii="Times New Roman" w:hAnsi="Times New Roman"/>
          <w:bCs/>
          <w:u w:color="000000"/>
          <w:lang w:eastAsia="ru-RU"/>
        </w:rPr>
        <w:t>14.7.3. </w:t>
      </w:r>
      <w:r>
        <w:rPr>
          <w:rFonts w:ascii="Times New Roman" w:hAnsi="Times New Roman" w:eastAsia="Times New Roman"/>
          <w:bCs/>
          <w:u w:color="000000"/>
          <w:lang w:eastAsia="zh-CN"/>
        </w:rPr>
        <w:t xml:space="preserve">При </w:t>
      </w:r>
      <w:r>
        <w:rPr>
          <w:rFonts w:ascii="Times New Roman" w:hAnsi="Times New Roman"/>
          <w:u w:color="000000"/>
          <w:lang w:eastAsia="zh-CN"/>
        </w:rPr>
        <w:t xml:space="preserve">изучении </w:t>
      </w:r>
      <w:r>
        <w:rPr>
          <w:rFonts w:ascii="Times New Roman" w:hAnsi="Times New Roman"/>
          <w:u w:color="000000"/>
          <w:lang w:eastAsia="ru-RU"/>
        </w:rPr>
        <w:t xml:space="preserve">модуля «Триатлон» на уровне начального общего образования у обучающихся будут сформированы следующие </w:t>
      </w:r>
      <w:r>
        <w:rPr>
          <w:rFonts w:ascii="Times New Roman" w:hAnsi="Times New Roman"/>
          <w:bCs/>
          <w:u w:color="000000"/>
          <w:lang w:eastAsia="ru-RU"/>
        </w:rPr>
        <w:t>предметные результаты</w:t>
      </w:r>
      <w:r>
        <w:rPr>
          <w:rFonts w:ascii="Times New Roman" w:hAnsi="Times New Roman"/>
          <w:u w:color="000000"/>
          <w:lang w:eastAsia="ru-RU"/>
        </w:rPr>
        <w:t>:</w:t>
      </w:r>
    </w:p>
    <w:p w14:paraId="6E0DF450">
      <w:pPr>
        <w:autoSpaceDE w:val="0"/>
        <w:autoSpaceDN w:val="0"/>
        <w:spacing w:after="0" w:line="360" w:lineRule="auto"/>
        <w:ind w:firstLine="709"/>
        <w:jc w:val="both"/>
        <w:rPr>
          <w:rFonts w:ascii="Times New Roman" w:hAnsi="Times New Roman" w:eastAsia="Times New Roman"/>
          <w:u w:color="000000"/>
        </w:rPr>
      </w:pPr>
      <w:r>
        <w:rPr>
          <w:rFonts w:ascii="Times New Roman" w:hAnsi="Times New Roman" w:eastAsia="Times New Roman"/>
          <w:u w:color="000000"/>
        </w:rPr>
        <w:t>представления о роли и значении занятий триатлоном, как средством укрепления здоровья, закаливания и развития физических качеств</w:t>
      </w:r>
      <w:r>
        <w:rPr>
          <w:rFonts w:ascii="Times New Roman" w:hAnsi="Times New Roman" w:eastAsia="Times New Roman"/>
          <w:spacing w:val="-1"/>
          <w:u w:color="000000"/>
        </w:rPr>
        <w:t xml:space="preserve"> </w:t>
      </w:r>
      <w:r>
        <w:rPr>
          <w:rFonts w:ascii="Times New Roman" w:hAnsi="Times New Roman" w:eastAsia="Times New Roman"/>
          <w:u w:color="000000"/>
        </w:rPr>
        <w:t>человека;</w:t>
      </w:r>
    </w:p>
    <w:p w14:paraId="5C0525FA">
      <w:pPr>
        <w:spacing w:after="0" w:line="360" w:lineRule="auto"/>
        <w:ind w:firstLine="709"/>
        <w:contextualSpacing/>
        <w:jc w:val="both"/>
        <w:rPr>
          <w:rFonts w:ascii="Times New Roman" w:hAnsi="Times New Roman" w:eastAsia="Times New Roman"/>
          <w:u w:color="000000"/>
          <w:lang w:eastAsia="ru-RU"/>
        </w:rPr>
      </w:pPr>
      <w:r>
        <w:rPr>
          <w:rFonts w:ascii="Times New Roman" w:hAnsi="Times New Roman" w:eastAsia="Times New Roman"/>
          <w:u w:color="000000"/>
        </w:rPr>
        <w:t xml:space="preserve">знания по истории возникновения триатлона, достижениях Национальной сборной команды страны по триатлону </w:t>
      </w:r>
      <w:r>
        <w:rPr>
          <w:rFonts w:ascii="Times New Roman" w:hAnsi="Times New Roman"/>
          <w:bCs/>
          <w:u w:color="000000"/>
          <w:lang w:eastAsia="ru-RU"/>
        </w:rPr>
        <w:t xml:space="preserve">на чемпионатах мира, Европы, Олимпийских играх; </w:t>
      </w:r>
      <w:r>
        <w:rPr>
          <w:rFonts w:ascii="Times New Roman" w:hAnsi="Times New Roman" w:eastAsia="Times New Roman"/>
          <w:u w:color="000000"/>
        </w:rPr>
        <w:t>о легендарных отечественных и зарубежных триатлонистах и тренерах;</w:t>
      </w:r>
    </w:p>
    <w:p w14:paraId="30E58D0F">
      <w:pPr>
        <w:autoSpaceDE w:val="0"/>
        <w:autoSpaceDN w:val="0"/>
        <w:spacing w:after="0" w:line="360" w:lineRule="auto"/>
        <w:ind w:firstLine="709"/>
        <w:jc w:val="both"/>
        <w:rPr>
          <w:rFonts w:ascii="Times New Roman" w:hAnsi="Times New Roman" w:eastAsia="Times New Roman"/>
          <w:u w:color="000000"/>
        </w:rPr>
      </w:pPr>
      <w:r>
        <w:rPr>
          <w:rFonts w:ascii="Times New Roman" w:hAnsi="Times New Roman" w:eastAsia="Times New Roman"/>
          <w:u w:color="000000"/>
        </w:rPr>
        <w:t>знания о спортивных дисциплинах триатлона и основных правилах соревнований по триатлону;</w:t>
      </w:r>
    </w:p>
    <w:p w14:paraId="589E12A6">
      <w:pPr>
        <w:autoSpaceDE w:val="0"/>
        <w:autoSpaceDN w:val="0"/>
        <w:spacing w:after="0" w:line="360" w:lineRule="auto"/>
        <w:ind w:firstLine="709"/>
        <w:jc w:val="both"/>
        <w:rPr>
          <w:rFonts w:ascii="Times New Roman" w:hAnsi="Times New Roman" w:eastAsia="Times New Roman"/>
          <w:u w:color="000000"/>
        </w:rPr>
      </w:pPr>
      <w:r>
        <w:rPr>
          <w:rFonts w:ascii="Times New Roman" w:hAnsi="Times New Roman" w:eastAsia="Times New Roman"/>
          <w:u w:color="000000"/>
        </w:rPr>
        <w:t>навыки безопасного поведения во время занятий триатлоном и посещений соревнований по триатлону;</w:t>
      </w:r>
    </w:p>
    <w:p w14:paraId="5190727F">
      <w:pPr>
        <w:autoSpaceDE w:val="0"/>
        <w:autoSpaceDN w:val="0"/>
        <w:spacing w:after="0" w:line="360" w:lineRule="auto"/>
        <w:ind w:firstLine="709"/>
        <w:jc w:val="both"/>
        <w:rPr>
          <w:rFonts w:ascii="Times New Roman" w:hAnsi="Times New Roman" w:eastAsia="Times New Roman"/>
          <w:u w:color="000000"/>
        </w:rPr>
      </w:pPr>
      <w:r>
        <w:rPr>
          <w:rFonts w:ascii="Times New Roman" w:hAnsi="Times New Roman" w:eastAsia="Times New Roman"/>
          <w:u w:color="000000"/>
        </w:rPr>
        <w:t>знания и соблюдение базовых правил личной гигиены, требований к спортивной одежде, обуви и спортивному инвентарю для занятий триатлоном;</w:t>
      </w:r>
    </w:p>
    <w:p w14:paraId="504A22A0">
      <w:pPr>
        <w:autoSpaceDE w:val="0"/>
        <w:autoSpaceDN w:val="0"/>
        <w:spacing w:after="0" w:line="360" w:lineRule="auto"/>
        <w:ind w:firstLine="709"/>
        <w:jc w:val="both"/>
        <w:rPr>
          <w:rFonts w:ascii="Times New Roman" w:hAnsi="Times New Roman" w:eastAsia="Times New Roman"/>
          <w:u w:color="000000"/>
        </w:rPr>
      </w:pPr>
      <w:r>
        <w:rPr>
          <w:rFonts w:ascii="Times New Roman" w:hAnsi="Times New Roman" w:eastAsia="Times New Roman"/>
          <w:u w:color="000000"/>
        </w:rPr>
        <w:t>знания о базовых навыках самоконтроля и наблюдения за своим физическим состоянием и величиной физических нагрузок;</w:t>
      </w:r>
    </w:p>
    <w:p w14:paraId="636CA2EF">
      <w:pPr>
        <w:autoSpaceDE w:val="0"/>
        <w:autoSpaceDN w:val="0"/>
        <w:spacing w:after="0" w:line="360" w:lineRule="auto"/>
        <w:ind w:firstLine="709"/>
        <w:jc w:val="both"/>
        <w:rPr>
          <w:rFonts w:ascii="Times New Roman" w:hAnsi="Times New Roman" w:eastAsia="Times New Roman"/>
          <w:u w:color="000000"/>
        </w:rPr>
      </w:pPr>
      <w:r>
        <w:rPr>
          <w:rFonts w:ascii="Times New Roman" w:hAnsi="Times New Roman" w:eastAsia="Times New Roman"/>
          <w:u w:color="000000"/>
        </w:rPr>
        <w:t>знания основ организации самостоятельных занятий физической культурой и спортом со сверстниками, организации и проведения со сверстниками подвижных игр специальной направленности с элементами триатлона;</w:t>
      </w:r>
    </w:p>
    <w:p w14:paraId="518A9A36">
      <w:pPr>
        <w:autoSpaceDE w:val="0"/>
        <w:autoSpaceDN w:val="0"/>
        <w:spacing w:after="0" w:line="360" w:lineRule="auto"/>
        <w:ind w:firstLine="709"/>
        <w:jc w:val="both"/>
        <w:rPr>
          <w:rFonts w:ascii="Times New Roman" w:hAnsi="Times New Roman" w:eastAsia="Times New Roman"/>
          <w:u w:color="000000"/>
        </w:rPr>
      </w:pPr>
      <w:r>
        <w:rPr>
          <w:rFonts w:ascii="Times New Roman" w:hAnsi="Times New Roman" w:eastAsia="Times New Roman"/>
          <w:u w:color="000000"/>
        </w:rPr>
        <w:t>знание, умение составлять и осваивать упражнения и комплексы утренней гигиенической гимнастики, дыхательной гимнастики, упражнений для глаз, для формирования осанки, профилактики плоскостопия;</w:t>
      </w:r>
    </w:p>
    <w:p w14:paraId="56A19890">
      <w:pPr>
        <w:autoSpaceDE w:val="0"/>
        <w:autoSpaceDN w:val="0"/>
        <w:spacing w:after="0" w:line="360" w:lineRule="auto"/>
        <w:ind w:firstLine="709"/>
        <w:jc w:val="both"/>
        <w:rPr>
          <w:rFonts w:ascii="Times New Roman" w:hAnsi="Times New Roman" w:eastAsia="Times New Roman"/>
          <w:u w:color="000000"/>
        </w:rPr>
      </w:pPr>
      <w:r>
        <w:rPr>
          <w:rFonts w:ascii="Times New Roman" w:hAnsi="Times New Roman" w:eastAsia="Times New Roman"/>
          <w:u w:color="000000"/>
        </w:rPr>
        <w:t>умение выполнять комплексы общеразвивающих и корригирующих упражнений, упражнений на развитие быстроты, ловкости, гибкости, упражнений для укрепления голеностопных суставов, специальных упражнений для формирования технических навыков триатлониста;</w:t>
      </w:r>
    </w:p>
    <w:p w14:paraId="25C6F068">
      <w:pPr>
        <w:autoSpaceDE w:val="0"/>
        <w:autoSpaceDN w:val="0"/>
        <w:spacing w:after="0" w:line="360" w:lineRule="auto"/>
        <w:ind w:firstLine="709"/>
        <w:jc w:val="both"/>
        <w:rPr>
          <w:rFonts w:ascii="Times New Roman" w:hAnsi="Times New Roman" w:eastAsia="Times New Roman"/>
          <w:u w:color="000000"/>
        </w:rPr>
      </w:pPr>
      <w:r>
        <w:rPr>
          <w:rFonts w:ascii="Times New Roman" w:hAnsi="Times New Roman" w:eastAsia="Times New Roman"/>
          <w:u w:color="000000"/>
        </w:rPr>
        <w:t>умение выполнять различные виды передвижений характерных для триатлона (плавание, велогонка, бег) в упрощенных условиях естественной среды (оборудованные водоемы, велодорожки, лесопарковая зона) в учебной, игровой и соревновательной деятельности;</w:t>
      </w:r>
    </w:p>
    <w:p w14:paraId="3921EDA9">
      <w:pPr>
        <w:autoSpaceDE w:val="0"/>
        <w:autoSpaceDN w:val="0"/>
        <w:spacing w:after="0" w:line="360" w:lineRule="auto"/>
        <w:ind w:firstLine="709"/>
        <w:jc w:val="both"/>
        <w:rPr>
          <w:rFonts w:ascii="Times New Roman" w:hAnsi="Times New Roman" w:eastAsia="Times New Roman"/>
          <w:u w:color="000000"/>
        </w:rPr>
      </w:pPr>
      <w:r>
        <w:rPr>
          <w:rFonts w:ascii="Times New Roman" w:hAnsi="Times New Roman" w:eastAsia="Times New Roman"/>
          <w:u w:color="000000"/>
        </w:rPr>
        <w:t>умение демонстрировать базовые навыки спортивного плавания включая: прыжки в воду, скольжения, повороты, умение ориентироваться в воде, плавание кролем на груди и на спине;</w:t>
      </w:r>
    </w:p>
    <w:p w14:paraId="00704DC0">
      <w:pPr>
        <w:autoSpaceDE w:val="0"/>
        <w:autoSpaceDN w:val="0"/>
        <w:spacing w:after="0" w:line="360" w:lineRule="auto"/>
        <w:ind w:firstLine="709"/>
        <w:jc w:val="both"/>
        <w:rPr>
          <w:rFonts w:ascii="Times New Roman" w:hAnsi="Times New Roman" w:eastAsia="Times New Roman"/>
          <w:u w:color="000000"/>
        </w:rPr>
      </w:pPr>
      <w:r>
        <w:rPr>
          <w:rFonts w:ascii="Times New Roman" w:hAnsi="Times New Roman" w:eastAsia="Times New Roman"/>
          <w:u w:color="000000"/>
        </w:rPr>
        <w:t>умение выполнять индивидуальные технические приемы на велосипеде включая: быструю и безопасную посадку на велосипед, разгон, остановки, прохождение поворотов и разворотов;</w:t>
      </w:r>
    </w:p>
    <w:p w14:paraId="4DBFEF2E">
      <w:pPr>
        <w:autoSpaceDE w:val="0"/>
        <w:autoSpaceDN w:val="0"/>
        <w:spacing w:after="0" w:line="360" w:lineRule="auto"/>
        <w:ind w:firstLine="709"/>
        <w:jc w:val="both"/>
        <w:rPr>
          <w:rFonts w:ascii="Times New Roman" w:hAnsi="Times New Roman" w:eastAsia="Times New Roman"/>
          <w:u w:color="000000"/>
        </w:rPr>
      </w:pPr>
      <w:r>
        <w:rPr>
          <w:rFonts w:ascii="Times New Roman" w:hAnsi="Times New Roman" w:eastAsia="Times New Roman"/>
          <w:u w:color="000000"/>
        </w:rPr>
        <w:t>знание назначения основных узлов спортивного велосипеда, овладение основными навыками технического обслуживания велосипеда;</w:t>
      </w:r>
    </w:p>
    <w:p w14:paraId="64A55235">
      <w:pPr>
        <w:autoSpaceDE w:val="0"/>
        <w:autoSpaceDN w:val="0"/>
        <w:spacing w:after="0" w:line="360" w:lineRule="auto"/>
        <w:ind w:firstLine="709"/>
        <w:jc w:val="both"/>
        <w:rPr>
          <w:rFonts w:ascii="Times New Roman" w:hAnsi="Times New Roman" w:eastAsia="Times New Roman"/>
          <w:u w:color="000000"/>
        </w:rPr>
      </w:pPr>
      <w:r>
        <w:rPr>
          <w:rFonts w:ascii="Times New Roman" w:hAnsi="Times New Roman" w:eastAsia="Times New Roman"/>
          <w:u w:color="000000"/>
        </w:rPr>
        <w:t>способность концентрировать свое внимание на базовых элементах техники движений в различных сегментах триатлона, устранять ошибки после подсказки учителя;</w:t>
      </w:r>
    </w:p>
    <w:p w14:paraId="7733DB55">
      <w:pPr>
        <w:autoSpaceDE w:val="0"/>
        <w:autoSpaceDN w:val="0"/>
        <w:spacing w:after="0" w:line="360" w:lineRule="auto"/>
        <w:ind w:firstLine="709"/>
        <w:jc w:val="both"/>
        <w:rPr>
          <w:rFonts w:ascii="Times New Roman" w:hAnsi="Times New Roman" w:eastAsia="Times New Roman"/>
          <w:u w:color="000000"/>
        </w:rPr>
      </w:pPr>
      <w:r>
        <w:rPr>
          <w:rFonts w:ascii="Times New Roman" w:hAnsi="Times New Roman" w:eastAsia="Times New Roman"/>
          <w:u w:color="000000"/>
        </w:rPr>
        <w:t>участие в контрольных занятиях и учебных соревнованиях по триатлону (или по входящим в триатлон спортивным дисциплинам) на укороченных дистанциях и по упрощенным правилам;</w:t>
      </w:r>
    </w:p>
    <w:p w14:paraId="5AD0B7DC">
      <w:pPr>
        <w:autoSpaceDE w:val="0"/>
        <w:autoSpaceDN w:val="0"/>
        <w:spacing w:after="0" w:line="360" w:lineRule="auto"/>
        <w:ind w:firstLine="709"/>
        <w:jc w:val="both"/>
        <w:rPr>
          <w:rFonts w:ascii="Times New Roman" w:hAnsi="Times New Roman" w:eastAsia="Times New Roman"/>
          <w:u w:color="000000"/>
        </w:rPr>
      </w:pPr>
      <w:r>
        <w:rPr>
          <w:rFonts w:ascii="Times New Roman" w:hAnsi="Times New Roman" w:eastAsia="Times New Roman"/>
          <w:u w:color="000000"/>
        </w:rPr>
        <w:t>выполнение контрольно-тестовых упражнений по общей и специальной физической подготовке триатлониста.</w:t>
      </w:r>
    </w:p>
    <w:p w14:paraId="284029C9">
      <w:pPr>
        <w:pBdr>
          <w:top w:val="none" w:color="000000" w:sz="0" w:space="0"/>
          <w:left w:val="none" w:color="000000" w:sz="0" w:space="0"/>
          <w:bottom w:val="none" w:color="000000" w:sz="0" w:space="0"/>
          <w:right w:val="none" w:color="000000" w:sz="0" w:space="0"/>
        </w:pBdr>
        <w:suppressAutoHyphens/>
        <w:spacing w:after="0" w:line="360" w:lineRule="auto"/>
        <w:ind w:firstLine="709"/>
        <w:jc w:val="both"/>
        <w:rPr>
          <w:rFonts w:ascii="Times New Roman" w:hAnsi="Times New Roman"/>
          <w:lang w:eastAsia="zh-CN"/>
        </w:rPr>
      </w:pPr>
      <w:r>
        <w:rPr>
          <w:rFonts w:ascii="Times New Roman" w:hAnsi="Times New Roman" w:eastAsia="Times New Roman"/>
          <w:bCs/>
          <w:lang w:eastAsia="zh-CN"/>
        </w:rPr>
        <w:t>16.4.15. М</w:t>
      </w:r>
      <w:r>
        <w:rPr>
          <w:rFonts w:ascii="Times New Roman" w:hAnsi="Times New Roman"/>
          <w:bCs/>
          <w:lang w:eastAsia="zh-CN"/>
        </w:rPr>
        <w:t>одуль «Лапта»</w:t>
      </w:r>
      <w:r>
        <w:rPr>
          <w:rFonts w:ascii="Times New Roman" w:hAnsi="Times New Roman"/>
          <w:lang w:eastAsia="zh-CN"/>
        </w:rPr>
        <w:t>.</w:t>
      </w:r>
    </w:p>
    <w:p w14:paraId="67A50774">
      <w:pPr>
        <w:pBdr>
          <w:top w:val="none" w:color="000000" w:sz="0" w:space="0"/>
          <w:left w:val="none" w:color="000000" w:sz="0" w:space="0"/>
          <w:bottom w:val="none" w:color="000000" w:sz="0" w:space="0"/>
          <w:right w:val="none" w:color="000000" w:sz="0" w:space="0"/>
        </w:pBdr>
        <w:suppressAutoHyphens/>
        <w:spacing w:after="0" w:line="360" w:lineRule="auto"/>
        <w:ind w:firstLine="709"/>
        <w:jc w:val="both"/>
        <w:rPr>
          <w:rFonts w:ascii="Times New Roman" w:hAnsi="Times New Roman"/>
          <w:lang w:eastAsia="zh-CN"/>
        </w:rPr>
      </w:pPr>
      <w:r>
        <w:rPr>
          <w:rFonts w:ascii="Times New Roman" w:hAnsi="Times New Roman" w:eastAsia="Times New Roman"/>
          <w:bCs/>
          <w:lang w:eastAsia="zh-CN"/>
        </w:rPr>
        <w:t>16.4.</w:t>
      </w:r>
      <w:r>
        <w:rPr>
          <w:rFonts w:ascii="Times New Roman" w:hAnsi="Times New Roman"/>
          <w:lang w:eastAsia="zh-CN"/>
        </w:rPr>
        <w:t>15.1. Пояснительная записка модуля «Лапта».</w:t>
      </w:r>
    </w:p>
    <w:p w14:paraId="4865CD0D">
      <w:pPr>
        <w:pBdr>
          <w:top w:val="none" w:color="000000" w:sz="0" w:space="0"/>
          <w:left w:val="none" w:color="000000" w:sz="0" w:space="0"/>
          <w:bottom w:val="none" w:color="000000" w:sz="0" w:space="0"/>
          <w:right w:val="none" w:color="000000" w:sz="0" w:space="0"/>
        </w:pBdr>
        <w:suppressAutoHyphens/>
        <w:spacing w:after="0" w:line="360" w:lineRule="auto"/>
        <w:ind w:firstLine="709"/>
        <w:jc w:val="both"/>
        <w:rPr>
          <w:rFonts w:ascii="Times New Roman" w:hAnsi="Times New Roman"/>
          <w:lang w:eastAsia="zh-CN"/>
        </w:rPr>
      </w:pPr>
      <w:r>
        <w:rPr>
          <w:rFonts w:ascii="Times New Roman" w:hAnsi="Times New Roman"/>
          <w:lang w:eastAsia="zh-CN"/>
        </w:rPr>
        <w:t xml:space="preserve">Модуль «Лапта» </w:t>
      </w:r>
      <w:r>
        <w:rPr>
          <w:rFonts w:ascii="Times New Roman" w:hAnsi="Times New Roman" w:eastAsia="Times New Roman"/>
          <w:lang w:eastAsia="ru-RU"/>
        </w:rPr>
        <w:t xml:space="preserve">(далее – модуль по лапте, лапта) </w:t>
      </w:r>
      <w:r>
        <w:rPr>
          <w:rFonts w:ascii="Times New Roman" w:hAnsi="Times New Roman"/>
          <w:lang w:eastAsia="zh-CN"/>
        </w:rPr>
        <w:t>на уровне начального общего образования разработан с целью оказания методической помощи учителю физической культуры в создании рабочей программы по учебному предмету «Физическая культура» с учётом современных тенденций в системе образования и использования спортивно-ориентированных форм, средств и методов обучения по различным видам спорта.</w:t>
      </w:r>
    </w:p>
    <w:p w14:paraId="5E38253E">
      <w:pPr>
        <w:pBdr>
          <w:top w:val="none" w:color="000000" w:sz="0" w:space="0"/>
          <w:left w:val="none" w:color="000000" w:sz="0" w:space="0"/>
          <w:bottom w:val="none" w:color="000000" w:sz="0" w:space="0"/>
          <w:right w:val="none" w:color="000000" w:sz="0" w:space="0"/>
        </w:pBdr>
        <w:spacing w:after="0" w:line="360" w:lineRule="auto"/>
        <w:ind w:firstLine="709"/>
        <w:jc w:val="both"/>
        <w:rPr>
          <w:rFonts w:ascii="Times New Roman" w:hAnsi="Times New Roman"/>
          <w:shd w:val="clear" w:color="auto" w:fill="FFFFFF"/>
          <w:lang w:eastAsia="zh-CN"/>
        </w:rPr>
      </w:pPr>
      <w:bookmarkStart w:id="304" w:name="_Hlk125558563"/>
      <w:r>
        <w:rPr>
          <w:rFonts w:ascii="Times New Roman" w:hAnsi="Times New Roman"/>
          <w:shd w:val="clear" w:color="auto" w:fill="FFFFFF"/>
          <w:lang w:eastAsia="zh-CN"/>
        </w:rPr>
        <w:t xml:space="preserve">Русская лапта – одна из древнейших национальных спортивных игр. В настоящее время русская лапта является официальным видом спорта. Лаптой можно заниматься с дошкольного возраста и продолжать эту деятельность на протяжении многих лет жизни. </w:t>
      </w:r>
    </w:p>
    <w:p w14:paraId="5FAE4D34">
      <w:pPr>
        <w:pBdr>
          <w:top w:val="none" w:color="000000" w:sz="0" w:space="0"/>
          <w:left w:val="none" w:color="000000" w:sz="0" w:space="0"/>
          <w:bottom w:val="none" w:color="000000" w:sz="0" w:space="0"/>
          <w:right w:val="none" w:color="000000" w:sz="0" w:space="0"/>
        </w:pBdr>
        <w:shd w:val="clear" w:color="auto" w:fill="FFFFFF"/>
        <w:tabs>
          <w:tab w:val="left" w:pos="0"/>
        </w:tabs>
        <w:suppressAutoHyphens/>
        <w:spacing w:after="0" w:line="360" w:lineRule="auto"/>
        <w:ind w:firstLine="709"/>
        <w:jc w:val="both"/>
        <w:rPr>
          <w:rFonts w:ascii="Times New Roman" w:hAnsi="Times New Roman" w:eastAsia="Times New Roman"/>
          <w:bCs/>
          <w:lang w:eastAsia="zh-CN"/>
        </w:rPr>
      </w:pPr>
      <w:r>
        <w:rPr>
          <w:rFonts w:ascii="Times New Roman" w:hAnsi="Times New Roman" w:eastAsia="Times New Roman"/>
          <w:bCs/>
          <w:lang w:eastAsia="zh-CN"/>
        </w:rPr>
        <w:t xml:space="preserve">Лапта является универсальным средством физического воспитания </w:t>
      </w:r>
      <w:r>
        <w:rPr>
          <w:rFonts w:ascii="Times New Roman" w:hAnsi="Times New Roman" w:eastAsia="Arial Unicode MS"/>
          <w:bCs/>
          <w:lang w:eastAsia="zh-CN"/>
        </w:rPr>
        <w:t xml:space="preserve">и </w:t>
      </w:r>
      <w:r>
        <w:rPr>
          <w:rFonts w:ascii="Times New Roman" w:hAnsi="Times New Roman" w:eastAsia="Times New Roman"/>
          <w:bCs/>
          <w:lang w:eastAsia="zh-CN"/>
        </w:rPr>
        <w:t>способствует гармоничному развитию, укреплению здоровья детей. В</w:t>
      </w:r>
      <w:r>
        <w:rPr>
          <w:rFonts w:ascii="Times New Roman" w:hAnsi="Times New Roman" w:eastAsia="Times New Roman"/>
          <w:b/>
          <w:bCs/>
          <w:lang w:eastAsia="zh-CN"/>
        </w:rPr>
        <w:t xml:space="preserve"> </w:t>
      </w:r>
      <w:r>
        <w:rPr>
          <w:rFonts w:ascii="Times New Roman" w:hAnsi="Times New Roman" w:eastAsia="Times New Roman"/>
          <w:lang w:eastAsia="zh-CN"/>
        </w:rPr>
        <w:t xml:space="preserve">образовательном процессе средства лапты содействуют комплексному развитию у обучающихся всех физических качеств, </w:t>
      </w:r>
      <w:r>
        <w:rPr>
          <w:rFonts w:ascii="Times New Roman" w:hAnsi="Times New Roman" w:eastAsia="Arial Unicode MS"/>
          <w:lang w:eastAsia="zh-CN"/>
        </w:rPr>
        <w:t>комплексно влияют на органы и системы растущего организма</w:t>
      </w:r>
      <w:r>
        <w:rPr>
          <w:rFonts w:ascii="Times New Roman" w:hAnsi="Times New Roman" w:eastAsia="Times New Roman"/>
          <w:lang w:eastAsia="zh-CN"/>
        </w:rPr>
        <w:t xml:space="preserve"> ребенка</w:t>
      </w:r>
      <w:r>
        <w:rPr>
          <w:rFonts w:ascii="Times New Roman" w:hAnsi="Times New Roman" w:eastAsia="Arial Unicode MS"/>
          <w:lang w:eastAsia="zh-CN"/>
        </w:rPr>
        <w:t>, укрепляя и повышая их функциональный уровень</w:t>
      </w:r>
      <w:r>
        <w:rPr>
          <w:rFonts w:ascii="Times New Roman" w:hAnsi="Times New Roman" w:eastAsia="Times New Roman"/>
          <w:b/>
          <w:bCs/>
          <w:lang w:eastAsia="zh-CN"/>
        </w:rPr>
        <w:t>.</w:t>
      </w:r>
    </w:p>
    <w:p w14:paraId="3E2C171A">
      <w:pPr>
        <w:pBdr>
          <w:top w:val="none" w:color="000000" w:sz="0" w:space="0"/>
          <w:left w:val="none" w:color="000000" w:sz="0" w:space="0"/>
          <w:bottom w:val="none" w:color="000000" w:sz="0" w:space="0"/>
          <w:right w:val="none" w:color="000000" w:sz="0" w:space="0"/>
        </w:pBdr>
        <w:suppressAutoHyphens/>
        <w:spacing w:after="0" w:line="360" w:lineRule="auto"/>
        <w:ind w:firstLine="709"/>
        <w:jc w:val="both"/>
        <w:rPr>
          <w:rFonts w:ascii="Times New Roman" w:hAnsi="Times New Roman"/>
          <w:lang w:eastAsia="zh-CN"/>
        </w:rPr>
      </w:pPr>
      <w:r>
        <w:rPr>
          <w:rFonts w:ascii="Times New Roman" w:hAnsi="Times New Roman"/>
          <w:lang w:eastAsia="zh-CN"/>
        </w:rPr>
        <w:t>Лапта выделяется среди других игровых видов спорта своей экономической доступностью. При проведении учебной и внеурочной деятельности не требуется больших средств на приобретение соответствующего оборудования и инвентаря. Эту игру можно организовать для мальчиков и девочек, как в зале, так и на открытом воздухе.</w:t>
      </w:r>
    </w:p>
    <w:p w14:paraId="092B2005">
      <w:pPr>
        <w:pBdr>
          <w:top w:val="none" w:color="000000" w:sz="0" w:space="0"/>
          <w:left w:val="none" w:color="000000" w:sz="0" w:space="0"/>
          <w:bottom w:val="none" w:color="000000" w:sz="0" w:space="0"/>
          <w:right w:val="none" w:color="000000" w:sz="0" w:space="0"/>
        </w:pBdr>
        <w:shd w:val="clear" w:color="auto" w:fill="FFFFFF"/>
        <w:tabs>
          <w:tab w:val="left" w:pos="0"/>
        </w:tabs>
        <w:suppressAutoHyphens/>
        <w:spacing w:after="0" w:line="360" w:lineRule="auto"/>
        <w:ind w:firstLine="709"/>
        <w:jc w:val="both"/>
        <w:rPr>
          <w:rFonts w:ascii="Times New Roman" w:hAnsi="Times New Roman" w:eastAsia="Times New Roman"/>
          <w:b/>
          <w:bCs/>
          <w:lang w:eastAsia="zh-CN"/>
        </w:rPr>
      </w:pPr>
      <w:r>
        <w:rPr>
          <w:rFonts w:ascii="Times New Roman" w:hAnsi="Times New Roman" w:eastAsia="Times New Roman"/>
          <w:bCs/>
          <w:lang w:eastAsia="zh-CN"/>
        </w:rPr>
        <w:t xml:space="preserve">Регулярные занятия лаптой содействуют </w:t>
      </w:r>
      <w:r>
        <w:rPr>
          <w:rFonts w:ascii="Times New Roman" w:hAnsi="Times New Roman" w:eastAsia="Times New Roman"/>
          <w:lang w:eastAsia="zh-CN"/>
        </w:rPr>
        <w:t>развитию личностных качеств обучающихся,</w:t>
      </w:r>
      <w:r>
        <w:rPr>
          <w:rFonts w:ascii="Times New Roman" w:hAnsi="Times New Roman" w:eastAsia="Times New Roman"/>
          <w:bCs/>
          <w:lang w:eastAsia="zh-CN"/>
        </w:rPr>
        <w:t xml:space="preserve"> формированию коллективизма, инициативности, решительности, развития морально-волевых качеств, а также способствует формированию комплекса психофизиологических свойств организма</w:t>
      </w:r>
      <w:r>
        <w:rPr>
          <w:rFonts w:ascii="Times New Roman" w:hAnsi="Times New Roman" w:eastAsia="Times New Roman"/>
          <w:lang w:eastAsia="zh-CN"/>
        </w:rPr>
        <w:t xml:space="preserve">. </w:t>
      </w:r>
      <w:r>
        <w:rPr>
          <w:rFonts w:ascii="Times New Roman" w:hAnsi="Times New Roman" w:eastAsia="Times New Roman"/>
          <w:bCs/>
          <w:lang w:eastAsia="zh-CN"/>
        </w:rPr>
        <w:t>Игровой процесс обеспечивает развитие образовательного потенциала личности, ее индивидуальности, творческого отношения к деятельности</w:t>
      </w:r>
      <w:r>
        <w:rPr>
          <w:rFonts w:ascii="Times New Roman" w:hAnsi="Times New Roman" w:eastAsia="Times New Roman"/>
          <w:b/>
          <w:bCs/>
          <w:lang w:eastAsia="zh-CN"/>
        </w:rPr>
        <w:t>.</w:t>
      </w:r>
    </w:p>
    <w:bookmarkEnd w:id="304"/>
    <w:p w14:paraId="46E19E4F">
      <w:pPr>
        <w:pBdr>
          <w:top w:val="none" w:color="000000" w:sz="0" w:space="0"/>
          <w:left w:val="none" w:color="000000" w:sz="0" w:space="0"/>
          <w:bottom w:val="none" w:color="000000" w:sz="0" w:space="0"/>
          <w:right w:val="none" w:color="000000" w:sz="0" w:space="0"/>
        </w:pBdr>
        <w:suppressAutoHyphens/>
        <w:spacing w:after="0" w:line="360" w:lineRule="auto"/>
        <w:ind w:firstLine="709"/>
        <w:jc w:val="both"/>
        <w:rPr>
          <w:rFonts w:ascii="Times New Roman" w:hAnsi="Times New Roman"/>
          <w:lang w:eastAsia="zh-CN"/>
        </w:rPr>
      </w:pPr>
      <w:r>
        <w:rPr>
          <w:rFonts w:ascii="Times New Roman" w:hAnsi="Times New Roman" w:eastAsia="Times New Roman"/>
          <w:bCs/>
          <w:lang w:eastAsia="zh-CN"/>
        </w:rPr>
        <w:t>16.4.</w:t>
      </w:r>
      <w:r>
        <w:rPr>
          <w:rFonts w:ascii="Times New Roman" w:hAnsi="Times New Roman"/>
          <w:lang w:eastAsia="zh-CN"/>
        </w:rPr>
        <w:t>15.2. Целью изучения модуля «Лапта» является формирование у обучающихся навыков общечеловеческой культуры и социального самоопределения, устойчивой мотивации к сохранению и укреплению собственного здоровья, ведению здорового образа жизни через занятия физической культурой и спортом с использованием средств вида спорта «лапта».</w:t>
      </w:r>
    </w:p>
    <w:p w14:paraId="5F3EF38C">
      <w:pPr>
        <w:pBdr>
          <w:top w:val="none" w:color="000000" w:sz="0" w:space="0"/>
          <w:left w:val="none" w:color="000000" w:sz="0" w:space="0"/>
          <w:bottom w:val="none" w:color="000000" w:sz="0" w:space="0"/>
          <w:right w:val="none" w:color="000000" w:sz="0" w:space="0"/>
        </w:pBdr>
        <w:suppressAutoHyphens/>
        <w:spacing w:after="0" w:line="360" w:lineRule="auto"/>
        <w:ind w:firstLine="709"/>
        <w:jc w:val="both"/>
        <w:rPr>
          <w:rFonts w:ascii="Times New Roman" w:hAnsi="Times New Roman"/>
          <w:lang w:eastAsia="zh-CN"/>
        </w:rPr>
      </w:pPr>
      <w:bookmarkStart w:id="305" w:name="_Hlk125558593"/>
      <w:r>
        <w:rPr>
          <w:rFonts w:ascii="Times New Roman" w:hAnsi="Times New Roman" w:eastAsia="Times New Roman"/>
          <w:bCs/>
          <w:lang w:eastAsia="zh-CN"/>
        </w:rPr>
        <w:t>16.4.</w:t>
      </w:r>
      <w:r>
        <w:rPr>
          <w:rFonts w:ascii="Times New Roman" w:hAnsi="Times New Roman"/>
          <w:lang w:eastAsia="zh-CN"/>
        </w:rPr>
        <w:t xml:space="preserve">15.3. Задачами изучения модуля </w:t>
      </w:r>
      <w:r>
        <w:rPr>
          <w:rFonts w:ascii="Times New Roman" w:hAnsi="Times New Roman" w:eastAsia="Times New Roman"/>
          <w:lang w:eastAsia="ar-SA"/>
        </w:rPr>
        <w:t xml:space="preserve">«Лапта» </w:t>
      </w:r>
      <w:r>
        <w:rPr>
          <w:rFonts w:ascii="Times New Roman" w:hAnsi="Times New Roman"/>
          <w:lang w:eastAsia="zh-CN"/>
        </w:rPr>
        <w:t>являются:</w:t>
      </w:r>
    </w:p>
    <w:bookmarkEnd w:id="305"/>
    <w:p w14:paraId="18035139">
      <w:pPr>
        <w:pBdr>
          <w:top w:val="none" w:color="000000" w:sz="0" w:space="0"/>
          <w:left w:val="none" w:color="000000" w:sz="0" w:space="0"/>
          <w:bottom w:val="none" w:color="000000" w:sz="0" w:space="0"/>
          <w:right w:val="none" w:color="000000" w:sz="0" w:space="0"/>
        </w:pBdr>
        <w:suppressAutoHyphens/>
        <w:spacing w:after="0" w:line="360" w:lineRule="auto"/>
        <w:ind w:firstLine="709"/>
        <w:jc w:val="both"/>
        <w:rPr>
          <w:rFonts w:ascii="Times New Roman" w:hAnsi="Times New Roman" w:eastAsia="Arial Unicode MS"/>
          <w:b/>
          <w:lang w:eastAsia="zh-CN"/>
        </w:rPr>
      </w:pPr>
      <w:r>
        <w:rPr>
          <w:rFonts w:ascii="Times New Roman" w:hAnsi="Times New Roman" w:eastAsia="Arial Unicode MS"/>
          <w:lang w:eastAsia="zh-CN"/>
        </w:rPr>
        <w:t>всестороннее гармоничное развитие детей и подростков, увеличение объёма их двигательной активности;</w:t>
      </w:r>
    </w:p>
    <w:p w14:paraId="039D1AFB">
      <w:pPr>
        <w:pBdr>
          <w:top w:val="none" w:color="000000" w:sz="0" w:space="0"/>
          <w:left w:val="none" w:color="000000" w:sz="0" w:space="0"/>
          <w:bottom w:val="none" w:color="000000" w:sz="0" w:space="0"/>
          <w:right w:val="none" w:color="000000" w:sz="0" w:space="0"/>
        </w:pBdr>
        <w:suppressAutoHyphens/>
        <w:spacing w:after="0" w:line="360" w:lineRule="auto"/>
        <w:ind w:firstLine="709"/>
        <w:jc w:val="both"/>
        <w:rPr>
          <w:rFonts w:ascii="Times New Roman" w:hAnsi="Times New Roman" w:eastAsia="Arial Unicode MS"/>
          <w:lang w:eastAsia="zh-CN"/>
        </w:rPr>
      </w:pPr>
      <w:r>
        <w:rPr>
          <w:rFonts w:ascii="Times New Roman" w:hAnsi="Times New Roman" w:eastAsia="Arial Unicode MS"/>
          <w:lang w:eastAsia="zh-CN"/>
        </w:rPr>
        <w:t xml:space="preserve">укрепление </w:t>
      </w:r>
      <w:r>
        <w:rPr>
          <w:rFonts w:ascii="Times New Roman" w:hAnsi="Times New Roman" w:eastAsia="@Arial Unicode MS"/>
          <w:lang w:eastAsia="zh-CN"/>
        </w:rPr>
        <w:t xml:space="preserve">физического, психологического и социального </w:t>
      </w:r>
      <w:r>
        <w:rPr>
          <w:rFonts w:ascii="Times New Roman" w:hAnsi="Times New Roman" w:eastAsia="Arial Unicode MS"/>
          <w:lang w:eastAsia="zh-CN"/>
        </w:rPr>
        <w:t xml:space="preserve">здоровья обучающихся, развитие основных физических качеств и повышение функциональных возможностей их организма, </w:t>
      </w:r>
      <w:r>
        <w:rPr>
          <w:rFonts w:ascii="Times New Roman" w:hAnsi="Times New Roman" w:eastAsia="@Arial Unicode MS"/>
          <w:lang w:eastAsia="zh-CN"/>
        </w:rPr>
        <w:t>обеспечение безопасности</w:t>
      </w:r>
      <w:r>
        <w:rPr>
          <w:rFonts w:ascii="Times New Roman" w:hAnsi="Times New Roman" w:eastAsia="Arial Unicode MS"/>
          <w:lang w:eastAsia="zh-CN"/>
        </w:rPr>
        <w:t xml:space="preserve"> на занятиях по лапте;</w:t>
      </w:r>
    </w:p>
    <w:p w14:paraId="47F52454">
      <w:pPr>
        <w:pBdr>
          <w:top w:val="none" w:color="000000" w:sz="0" w:space="0"/>
          <w:left w:val="none" w:color="000000" w:sz="0" w:space="0"/>
          <w:bottom w:val="none" w:color="000000" w:sz="0" w:space="0"/>
          <w:right w:val="none" w:color="000000" w:sz="0" w:space="0"/>
        </w:pBdr>
        <w:suppressAutoHyphens/>
        <w:spacing w:after="0" w:line="360" w:lineRule="auto"/>
        <w:ind w:firstLine="709"/>
        <w:jc w:val="both"/>
        <w:rPr>
          <w:rFonts w:ascii="Times New Roman" w:hAnsi="Times New Roman" w:eastAsia="Arial Unicode MS"/>
          <w:lang w:eastAsia="zh-CN"/>
        </w:rPr>
      </w:pPr>
      <w:r>
        <w:rPr>
          <w:rFonts w:ascii="Times New Roman" w:hAnsi="Times New Roman" w:eastAsia="Arial Unicode MS"/>
          <w:lang w:eastAsia="zh-CN"/>
        </w:rPr>
        <w:t>формирование общих представлений о лапте, ее истории развития, возможностях и значении в процессе укрепления здоровья, физическом развитии и физической подготовке обучающихся;</w:t>
      </w:r>
    </w:p>
    <w:p w14:paraId="74872DE4">
      <w:pPr>
        <w:pBdr>
          <w:top w:val="none" w:color="000000" w:sz="0" w:space="0"/>
          <w:left w:val="none" w:color="000000" w:sz="0" w:space="0"/>
          <w:bottom w:val="none" w:color="000000" w:sz="0" w:space="0"/>
          <w:right w:val="none" w:color="000000" w:sz="0" w:space="0"/>
        </w:pBdr>
        <w:suppressAutoHyphens/>
        <w:spacing w:after="0" w:line="360" w:lineRule="auto"/>
        <w:ind w:firstLine="709"/>
        <w:jc w:val="both"/>
        <w:rPr>
          <w:rFonts w:ascii="Times New Roman" w:hAnsi="Times New Roman"/>
          <w:lang w:eastAsia="zh-CN"/>
        </w:rPr>
      </w:pPr>
      <w:r>
        <w:rPr>
          <w:rFonts w:ascii="Times New Roman" w:hAnsi="Times New Roman" w:eastAsia="Arial Unicode MS"/>
          <w:lang w:eastAsia="zh-CN"/>
        </w:rPr>
        <w:t xml:space="preserve">формирование культуры движений, обогащение двигательного опыта физическими упражнениями с общеразвивающей и корригирующей направленностью, </w:t>
      </w:r>
      <w:r>
        <w:rPr>
          <w:rFonts w:ascii="Times New Roman" w:hAnsi="Times New Roman" w:eastAsia="PragmaticaC"/>
          <w:lang w:eastAsia="zh-CN"/>
        </w:rPr>
        <w:t>техническими действиями и приемами вида спорта «лапта»</w:t>
      </w:r>
      <w:r>
        <w:rPr>
          <w:rFonts w:ascii="Times New Roman" w:hAnsi="Times New Roman" w:eastAsia="Arial Unicode MS"/>
          <w:lang w:eastAsia="zh-CN"/>
        </w:rPr>
        <w:t>;</w:t>
      </w:r>
    </w:p>
    <w:p w14:paraId="738359BF">
      <w:pPr>
        <w:pBdr>
          <w:top w:val="none" w:color="000000" w:sz="0" w:space="0"/>
          <w:left w:val="none" w:color="000000" w:sz="0" w:space="0"/>
          <w:bottom w:val="none" w:color="000000" w:sz="0" w:space="0"/>
          <w:right w:val="none" w:color="000000" w:sz="0" w:space="0"/>
        </w:pBdr>
        <w:suppressAutoHyphens/>
        <w:spacing w:after="0" w:line="360" w:lineRule="auto"/>
        <w:ind w:firstLine="709"/>
        <w:jc w:val="both"/>
        <w:rPr>
          <w:rFonts w:ascii="Times New Roman" w:hAnsi="Times New Roman" w:eastAsia="Arial Unicode MS"/>
          <w:lang w:eastAsia="zh-CN"/>
        </w:rPr>
      </w:pPr>
      <w:r>
        <w:rPr>
          <w:rFonts w:ascii="Times New Roman" w:hAnsi="Times New Roman" w:eastAsia="Arial Unicode MS"/>
          <w:lang w:eastAsia="zh-CN"/>
        </w:rPr>
        <w:t>воспитание положительных качеств личности, норм коллективного взаимодействия и сотрудничества;</w:t>
      </w:r>
    </w:p>
    <w:p w14:paraId="1BF69BCC">
      <w:pPr>
        <w:pBdr>
          <w:top w:val="none" w:color="000000" w:sz="0" w:space="0"/>
          <w:left w:val="none" w:color="000000" w:sz="0" w:space="0"/>
          <w:bottom w:val="none" w:color="000000" w:sz="0" w:space="0"/>
          <w:right w:val="none" w:color="000000" w:sz="0" w:space="0"/>
        </w:pBdr>
        <w:suppressAutoHyphens/>
        <w:spacing w:after="0" w:line="360" w:lineRule="auto"/>
        <w:ind w:firstLine="709"/>
        <w:jc w:val="both"/>
        <w:rPr>
          <w:rFonts w:ascii="Times New Roman" w:hAnsi="Times New Roman" w:eastAsia="Arial Unicode MS"/>
          <w:lang w:eastAsia="zh-CN"/>
        </w:rPr>
      </w:pPr>
      <w:r>
        <w:rPr>
          <w:rFonts w:ascii="Times New Roman" w:hAnsi="Times New Roman" w:eastAsia="Arial Unicode MS"/>
          <w:lang w:eastAsia="zh-CN"/>
        </w:rPr>
        <w:t>развитие положительной мотивации и устойчивого учебно-познавательного интереса к учебному предмету «Физическая культура» средствами лапты;</w:t>
      </w:r>
    </w:p>
    <w:p w14:paraId="192450D2">
      <w:pPr>
        <w:pBdr>
          <w:top w:val="none" w:color="000000" w:sz="0" w:space="0"/>
          <w:left w:val="none" w:color="000000" w:sz="0" w:space="0"/>
          <w:bottom w:val="none" w:color="000000" w:sz="0" w:space="0"/>
          <w:right w:val="none" w:color="000000" w:sz="0" w:space="0"/>
        </w:pBdr>
        <w:suppressAutoHyphens/>
        <w:spacing w:after="0" w:line="360" w:lineRule="auto"/>
        <w:ind w:firstLine="709"/>
        <w:jc w:val="both"/>
        <w:rPr>
          <w:rFonts w:ascii="Times New Roman" w:hAnsi="Times New Roman" w:eastAsia="Arial Unicode MS"/>
          <w:lang w:eastAsia="zh-CN"/>
        </w:rPr>
      </w:pPr>
      <w:r>
        <w:rPr>
          <w:rFonts w:ascii="Times New Roman" w:hAnsi="Times New Roman" w:eastAsia="Arial Unicode MS"/>
          <w:lang w:eastAsia="zh-CN"/>
        </w:rPr>
        <w:t>выявление, развитие и поддержка одарённых детей в области спорта.</w:t>
      </w:r>
    </w:p>
    <w:p w14:paraId="561CB279">
      <w:pPr>
        <w:pBdr>
          <w:top w:val="none" w:color="000000" w:sz="0" w:space="0"/>
          <w:left w:val="none" w:color="000000" w:sz="0" w:space="0"/>
          <w:bottom w:val="none" w:color="000000" w:sz="0" w:space="0"/>
          <w:right w:val="none" w:color="000000" w:sz="0" w:space="0"/>
        </w:pBdr>
        <w:tabs>
          <w:tab w:val="left" w:pos="708"/>
        </w:tabs>
        <w:suppressAutoHyphens/>
        <w:spacing w:after="0" w:line="360" w:lineRule="auto"/>
        <w:ind w:firstLine="709"/>
        <w:jc w:val="both"/>
        <w:rPr>
          <w:rFonts w:ascii="Times New Roman" w:hAnsi="Times New Roman" w:eastAsia="Times New Roman"/>
          <w:bCs/>
          <w:lang w:eastAsia="zh-CN"/>
        </w:rPr>
      </w:pPr>
      <w:r>
        <w:rPr>
          <w:rFonts w:ascii="Times New Roman" w:hAnsi="Times New Roman" w:eastAsia="Times New Roman"/>
          <w:bCs/>
          <w:lang w:eastAsia="zh-CN"/>
        </w:rPr>
        <w:t>16.4.15.4. Место и роль модуля «Лапта».</w:t>
      </w:r>
    </w:p>
    <w:p w14:paraId="043A664A">
      <w:pPr>
        <w:pBdr>
          <w:top w:val="none" w:color="000000" w:sz="0" w:space="0"/>
          <w:left w:val="none" w:color="000000" w:sz="0" w:space="0"/>
          <w:bottom w:val="none" w:color="000000" w:sz="0" w:space="0"/>
          <w:right w:val="none" w:color="000000" w:sz="0" w:space="0"/>
        </w:pBdr>
        <w:suppressAutoHyphens/>
        <w:autoSpaceDE w:val="0"/>
        <w:spacing w:after="0" w:line="360" w:lineRule="auto"/>
        <w:ind w:firstLine="709"/>
        <w:jc w:val="both"/>
        <w:rPr>
          <w:rFonts w:ascii="Times New Roman" w:hAnsi="Times New Roman"/>
          <w:iCs/>
          <w:u w:color="000000"/>
          <w:lang w:eastAsia="ru-RU"/>
        </w:rPr>
      </w:pPr>
      <w:r>
        <w:rPr>
          <w:rFonts w:ascii="Times New Roman" w:hAnsi="Times New Roman"/>
          <w:iCs/>
          <w:lang w:eastAsia="zh-CN"/>
        </w:rPr>
        <w:t>Модуль «</w:t>
      </w:r>
      <w:r>
        <w:rPr>
          <w:rFonts w:ascii="Times New Roman" w:hAnsi="Times New Roman"/>
          <w:lang w:eastAsia="zh-CN"/>
        </w:rPr>
        <w:t>Лапта</w:t>
      </w:r>
      <w:r>
        <w:rPr>
          <w:rFonts w:ascii="Times New Roman" w:hAnsi="Times New Roman"/>
          <w:iCs/>
          <w:lang w:eastAsia="zh-CN"/>
        </w:rPr>
        <w:t xml:space="preserve">» </w:t>
      </w:r>
      <w:r>
        <w:rPr>
          <w:rFonts w:ascii="Times New Roman" w:hAnsi="Times New Roman"/>
          <w:lang w:eastAsia="zh-CN"/>
        </w:rPr>
        <w:t>доступен для освоения всем обучающимся, независимо от уровня их физического развития и гендерных особенностей, и расширяет спектр физкультурно-спортивных направлений в общеобразовательных организациях.</w:t>
      </w:r>
    </w:p>
    <w:p w14:paraId="109D8A46">
      <w:pPr>
        <w:pBdr>
          <w:top w:val="none" w:color="000000" w:sz="0" w:space="0"/>
          <w:left w:val="none" w:color="000000" w:sz="0" w:space="0"/>
          <w:bottom w:val="none" w:color="000000" w:sz="0" w:space="0"/>
          <w:right w:val="none" w:color="000000" w:sz="0" w:space="0"/>
        </w:pBdr>
        <w:suppressAutoHyphens/>
        <w:spacing w:after="0" w:line="360" w:lineRule="auto"/>
        <w:ind w:firstLine="709"/>
        <w:jc w:val="both"/>
        <w:rPr>
          <w:rFonts w:ascii="Times New Roman" w:hAnsi="Times New Roman"/>
          <w:bCs/>
          <w:iCs/>
          <w:lang w:eastAsia="ru-RU"/>
        </w:rPr>
      </w:pPr>
      <w:r>
        <w:rPr>
          <w:rFonts w:ascii="Times New Roman" w:hAnsi="Times New Roman"/>
          <w:iCs/>
          <w:lang w:eastAsia="zh-CN"/>
        </w:rPr>
        <w:t xml:space="preserve">Интеграция модуля по лапте поможет обучающимся в освоении </w:t>
      </w:r>
      <w:r>
        <w:rPr>
          <w:rFonts w:ascii="Times New Roman" w:hAnsi="Times New Roman"/>
          <w:lang w:eastAsia="zh-CN"/>
        </w:rPr>
        <w:t xml:space="preserve">содержательных компонентов и модулей </w:t>
      </w:r>
      <w:r>
        <w:rPr>
          <w:rFonts w:ascii="Times New Roman" w:hAnsi="Times New Roman"/>
          <w:iCs/>
          <w:lang w:eastAsia="zh-CN"/>
        </w:rPr>
        <w:t xml:space="preserve">по легкой атлетике, подвижным и спортивным играм, гимнастике, а также </w:t>
      </w:r>
      <w:r>
        <w:rPr>
          <w:rFonts w:ascii="Times New Roman" w:hAnsi="Times New Roman"/>
          <w:lang w:eastAsia="zh-CN"/>
        </w:rPr>
        <w:t xml:space="preserve">в освоении программ в рамках внеурочной деятельности, деятельности школьных спортивных клубов, </w:t>
      </w:r>
      <w:r>
        <w:rPr>
          <w:rFonts w:ascii="Times New Roman" w:hAnsi="Times New Roman"/>
          <w:bCs/>
          <w:iCs/>
          <w:lang w:eastAsia="ru-RU"/>
        </w:rPr>
        <w:t xml:space="preserve">подготовке </w:t>
      </w:r>
      <w:r>
        <w:rPr>
          <w:rFonts w:ascii="Times New Roman" w:hAnsi="Times New Roman"/>
          <w:lang w:eastAsia="zh-CN"/>
        </w:rPr>
        <w:t xml:space="preserve">обучающихся к сдаче норм ГТО </w:t>
      </w:r>
      <w:r>
        <w:rPr>
          <w:rFonts w:ascii="Times New Roman" w:hAnsi="Times New Roman"/>
          <w:bCs/>
          <w:iCs/>
          <w:lang w:eastAsia="ru-RU"/>
        </w:rPr>
        <w:t xml:space="preserve">и </w:t>
      </w:r>
      <w:r>
        <w:rPr>
          <w:rFonts w:ascii="Times New Roman" w:hAnsi="Times New Roman"/>
          <w:lang w:eastAsia="zh-CN"/>
        </w:rPr>
        <w:t>участии в спортивных</w:t>
      </w:r>
      <w:r>
        <w:rPr>
          <w:rFonts w:ascii="Times New Roman" w:hAnsi="Times New Roman"/>
          <w:bCs/>
          <w:iCs/>
          <w:lang w:eastAsia="ru-RU"/>
        </w:rPr>
        <w:t xml:space="preserve"> мероприятиях.</w:t>
      </w:r>
    </w:p>
    <w:p w14:paraId="79852419">
      <w:pPr>
        <w:pBdr>
          <w:top w:val="none" w:color="000000" w:sz="0" w:space="0"/>
          <w:left w:val="none" w:color="000000" w:sz="0" w:space="0"/>
          <w:bottom w:val="none" w:color="000000" w:sz="0" w:space="0"/>
          <w:right w:val="none" w:color="000000" w:sz="0" w:space="0"/>
        </w:pBdr>
        <w:suppressAutoHyphens/>
        <w:spacing w:after="0" w:line="360" w:lineRule="auto"/>
        <w:ind w:firstLine="709"/>
        <w:jc w:val="both"/>
        <w:rPr>
          <w:rFonts w:ascii="Times New Roman" w:hAnsi="Times New Roman"/>
          <w:lang w:eastAsia="zh-CN"/>
        </w:rPr>
      </w:pPr>
      <w:r>
        <w:rPr>
          <w:rFonts w:ascii="Times New Roman" w:hAnsi="Times New Roman" w:eastAsia="Times New Roman"/>
          <w:bCs/>
          <w:lang w:eastAsia="zh-CN"/>
        </w:rPr>
        <w:t>16.4.</w:t>
      </w:r>
      <w:r>
        <w:rPr>
          <w:rFonts w:ascii="Times New Roman" w:hAnsi="Times New Roman"/>
          <w:lang w:eastAsia="zh-CN"/>
        </w:rPr>
        <w:t>15.5. Модуль «Лапта» может быть реализован в следующих вариантах:</w:t>
      </w:r>
    </w:p>
    <w:p w14:paraId="6342FDD4">
      <w:pPr>
        <w:pBdr>
          <w:top w:val="none" w:color="000000" w:sz="0" w:space="0"/>
          <w:left w:val="none" w:color="000000" w:sz="0" w:space="0"/>
          <w:bottom w:val="none" w:color="000000" w:sz="0" w:space="0"/>
          <w:right w:val="none" w:color="000000" w:sz="0" w:space="0"/>
        </w:pBdr>
        <w:suppressAutoHyphens/>
        <w:spacing w:after="0" w:line="360" w:lineRule="auto"/>
        <w:ind w:firstLine="709"/>
        <w:jc w:val="both"/>
        <w:rPr>
          <w:rFonts w:ascii="Times New Roman" w:hAnsi="Times New Roman"/>
          <w:lang w:eastAsia="zh-CN"/>
        </w:rPr>
      </w:pPr>
      <w:r>
        <w:rPr>
          <w:rFonts w:ascii="Times New Roman" w:hAnsi="Times New Roman"/>
          <w:lang w:eastAsia="zh-CN"/>
        </w:rPr>
        <w:t>при самостоятельном планировании учителем физической культуры процесса освоения обучающимися учебного материала по лапте с выбором различных элементов лапты, с учётом возраста и физической подготовленности обучающихся;</w:t>
      </w:r>
    </w:p>
    <w:p w14:paraId="6001DBF2">
      <w:pPr>
        <w:suppressAutoHyphens/>
        <w:spacing w:after="0" w:line="360" w:lineRule="auto"/>
        <w:ind w:firstLine="709"/>
        <w:jc w:val="both"/>
        <w:rPr>
          <w:rFonts w:ascii="Times New Roman" w:hAnsi="Times New Roman"/>
          <w:lang w:eastAsia="zh-CN"/>
        </w:rPr>
      </w:pPr>
      <w:r>
        <w:rPr>
          <w:rFonts w:ascii="Times New Roman" w:hAnsi="Times New Roman"/>
          <w:lang w:eastAsia="zh-CN"/>
        </w:rPr>
        <w:t>в виде целостного последовательного учебного модуля, изучаемого за счёт части учебного плана, формируемой участниками образовательных отношений из перечня, предлагаемого образовательной организацией, включающей, в частности, учебные модули по выбору обучающихся, родителей (законных представителей) несовершеннолетних обучающихся, в том числе предусматривающие удовлетворение различных интересов обучающихся (при организации и проведении уроков физической культуры с 3-х часовой недельной нагрузкой рекомендуемый объём в 1 классе – 33 часа, во 2, 3, 4 классах – по 34 часа);</w:t>
      </w:r>
    </w:p>
    <w:p w14:paraId="1761D0CF">
      <w:pPr>
        <w:pBdr>
          <w:top w:val="none" w:color="000000" w:sz="0" w:space="0"/>
          <w:left w:val="none" w:color="000000" w:sz="0" w:space="0"/>
          <w:bottom w:val="none" w:color="000000" w:sz="0" w:space="0"/>
          <w:right w:val="none" w:color="000000" w:sz="0" w:space="0"/>
        </w:pBdr>
        <w:suppressAutoHyphens/>
        <w:spacing w:after="0" w:line="360" w:lineRule="auto"/>
        <w:ind w:firstLine="709"/>
        <w:jc w:val="both"/>
        <w:rPr>
          <w:rFonts w:ascii="Times New Roman" w:hAnsi="Times New Roman"/>
          <w:lang w:eastAsia="zh-CN"/>
        </w:rPr>
      </w:pPr>
      <w:r>
        <w:rPr>
          <w:rFonts w:ascii="Times New Roman" w:hAnsi="Times New Roman"/>
          <w:lang w:eastAsia="zh-CN"/>
        </w:rPr>
        <w:t xml:space="preserve">в виде дополнительных часов, выделяемых на спортивно-оздоровительную работу с обучающимися в рамках внеурочной деятельности </w:t>
      </w:r>
      <w:r>
        <w:rPr>
          <w:rFonts w:ascii="Times New Roman" w:hAnsi="Times New Roman"/>
        </w:rPr>
        <w:t xml:space="preserve">и (или) за счет посещения обучающимися спортивных секций, школьных спортивных клубов, включая использование учебных модулей по видам спорта </w:t>
      </w:r>
      <w:r>
        <w:rPr>
          <w:rFonts w:ascii="Times New Roman" w:hAnsi="Times New Roman"/>
          <w:u w:color="000000"/>
          <w:lang w:eastAsia="zh-CN"/>
        </w:rPr>
        <w:t>(</w:t>
      </w:r>
      <w:r>
        <w:rPr>
          <w:rFonts w:ascii="Times New Roman" w:hAnsi="Times New Roman"/>
          <w:lang w:eastAsia="zh-CN"/>
        </w:rPr>
        <w:t>рекомендуемый объём в 1 классе – 33 часа, во 2, 3, 4 классах – по 34 часа).</w:t>
      </w:r>
    </w:p>
    <w:p w14:paraId="6DFF4A11">
      <w:pPr>
        <w:pBdr>
          <w:top w:val="none" w:color="000000" w:sz="0" w:space="0"/>
          <w:left w:val="none" w:color="000000" w:sz="0" w:space="0"/>
          <w:bottom w:val="none" w:color="000000" w:sz="0" w:space="0"/>
          <w:right w:val="none" w:color="000000" w:sz="0" w:space="0"/>
        </w:pBdr>
        <w:suppressAutoHyphens/>
        <w:spacing w:after="0" w:line="360" w:lineRule="auto"/>
        <w:ind w:firstLine="709"/>
        <w:jc w:val="both"/>
        <w:rPr>
          <w:rFonts w:ascii="Times New Roman" w:hAnsi="Times New Roman"/>
          <w:lang w:eastAsia="zh-CN"/>
        </w:rPr>
      </w:pPr>
      <w:r>
        <w:rPr>
          <w:rFonts w:ascii="Times New Roman" w:hAnsi="Times New Roman" w:eastAsia="Times New Roman"/>
          <w:bCs/>
          <w:lang w:eastAsia="zh-CN"/>
        </w:rPr>
        <w:t>16.4.</w:t>
      </w:r>
      <w:r>
        <w:rPr>
          <w:rFonts w:ascii="Times New Roman" w:hAnsi="Times New Roman"/>
          <w:iCs/>
          <w:lang w:eastAsia="zh-CN"/>
        </w:rPr>
        <w:t>15.6. Содержание модуля «</w:t>
      </w:r>
      <w:r>
        <w:rPr>
          <w:rFonts w:ascii="Times New Roman" w:hAnsi="Times New Roman"/>
          <w:lang w:eastAsia="zh-CN"/>
        </w:rPr>
        <w:t>Лапта</w:t>
      </w:r>
      <w:r>
        <w:rPr>
          <w:rFonts w:ascii="Times New Roman" w:hAnsi="Times New Roman"/>
          <w:iCs/>
          <w:lang w:eastAsia="zh-CN"/>
        </w:rPr>
        <w:t>».</w:t>
      </w:r>
    </w:p>
    <w:p w14:paraId="35D0275E">
      <w:pPr>
        <w:pBdr>
          <w:top w:val="none" w:color="000000" w:sz="0" w:space="0"/>
          <w:left w:val="none" w:color="000000" w:sz="0" w:space="0"/>
          <w:bottom w:val="none" w:color="000000" w:sz="0" w:space="0"/>
          <w:right w:val="none" w:color="000000" w:sz="0" w:space="0"/>
        </w:pBdr>
        <w:suppressAutoHyphens/>
        <w:spacing w:after="0" w:line="360" w:lineRule="auto"/>
        <w:ind w:firstLine="709"/>
        <w:jc w:val="both"/>
        <w:rPr>
          <w:rFonts w:ascii="Times New Roman" w:hAnsi="Times New Roman"/>
          <w:iCs/>
          <w:lang w:eastAsia="zh-CN"/>
        </w:rPr>
      </w:pPr>
      <w:r>
        <w:rPr>
          <w:rFonts w:ascii="Times New Roman" w:hAnsi="Times New Roman"/>
          <w:iCs/>
          <w:lang w:eastAsia="zh-CN"/>
        </w:rPr>
        <w:t>Знания о лапте.</w:t>
      </w:r>
    </w:p>
    <w:p w14:paraId="32AE19CC">
      <w:pPr>
        <w:suppressAutoHyphens/>
        <w:spacing w:after="0" w:line="360" w:lineRule="auto"/>
        <w:ind w:firstLine="709"/>
        <w:jc w:val="both"/>
        <w:rPr>
          <w:rFonts w:ascii="Times New Roman" w:hAnsi="Times New Roman"/>
          <w:spacing w:val="-3"/>
          <w:lang w:eastAsia="zh-CN"/>
        </w:rPr>
      </w:pPr>
      <w:r>
        <w:rPr>
          <w:rFonts w:ascii="Times New Roman" w:hAnsi="Times New Roman"/>
          <w:iCs/>
          <w:lang w:eastAsia="zh-CN"/>
        </w:rPr>
        <w:t>История зарождения лапты.</w:t>
      </w:r>
      <w:r>
        <w:rPr>
          <w:rFonts w:ascii="Times New Roman" w:hAnsi="Times New Roman"/>
          <w:b/>
          <w:bCs/>
          <w:iCs/>
          <w:lang w:eastAsia="zh-CN"/>
        </w:rPr>
        <w:t xml:space="preserve"> </w:t>
      </w:r>
      <w:r>
        <w:rPr>
          <w:rFonts w:ascii="Times New Roman" w:hAnsi="Times New Roman"/>
          <w:spacing w:val="-3"/>
          <w:lang w:eastAsia="zh-CN"/>
        </w:rPr>
        <w:t xml:space="preserve">Современное состояние лапты в </w:t>
      </w:r>
      <w:r>
        <w:rPr>
          <w:rFonts w:ascii="Times New Roman" w:hAnsi="Times New Roman"/>
          <w:bCs/>
          <w:lang w:eastAsia="zh-CN"/>
        </w:rPr>
        <w:t>Российской Федерации</w:t>
      </w:r>
      <w:r>
        <w:rPr>
          <w:rFonts w:ascii="Times New Roman" w:hAnsi="Times New Roman"/>
          <w:spacing w:val="-3"/>
          <w:lang w:eastAsia="zh-CN"/>
        </w:rPr>
        <w:t xml:space="preserve">. </w:t>
      </w:r>
    </w:p>
    <w:p w14:paraId="6B884AEF">
      <w:pPr>
        <w:suppressAutoHyphens/>
        <w:spacing w:after="0" w:line="360" w:lineRule="auto"/>
        <w:ind w:firstLine="709"/>
        <w:jc w:val="both"/>
        <w:rPr>
          <w:rFonts w:ascii="Times New Roman" w:hAnsi="Times New Roman"/>
          <w:lang w:eastAsia="zh-CN"/>
        </w:rPr>
      </w:pPr>
      <w:r>
        <w:rPr>
          <w:rFonts w:ascii="Times New Roman" w:hAnsi="Times New Roman"/>
          <w:lang w:eastAsia="zh-CN"/>
        </w:rPr>
        <w:t xml:space="preserve">Разновидности лапты. Основные понятия о спортивных сооружениях и инвентаре. </w:t>
      </w:r>
    </w:p>
    <w:p w14:paraId="1E25934A">
      <w:pPr>
        <w:suppressAutoHyphens/>
        <w:spacing w:after="0" w:line="360" w:lineRule="auto"/>
        <w:ind w:firstLine="709"/>
        <w:jc w:val="both"/>
        <w:rPr>
          <w:rFonts w:ascii="Times New Roman" w:hAnsi="Times New Roman"/>
          <w:b/>
          <w:bCs/>
          <w:iCs/>
          <w:lang w:eastAsia="zh-CN"/>
        </w:rPr>
      </w:pPr>
      <w:r>
        <w:rPr>
          <w:rFonts w:ascii="Times New Roman" w:hAnsi="Times New Roman"/>
          <w:iCs/>
          <w:lang w:eastAsia="zh-CN"/>
        </w:rPr>
        <w:t>Правила безопасного поведения во время занятий лаптой.</w:t>
      </w:r>
      <w:r>
        <w:rPr>
          <w:rFonts w:ascii="Times New Roman" w:hAnsi="Times New Roman"/>
          <w:b/>
          <w:bCs/>
          <w:iCs/>
          <w:lang w:eastAsia="zh-CN"/>
        </w:rPr>
        <w:t xml:space="preserve"> </w:t>
      </w:r>
    </w:p>
    <w:p w14:paraId="10270177">
      <w:pPr>
        <w:suppressAutoHyphens/>
        <w:spacing w:after="0" w:line="360" w:lineRule="auto"/>
        <w:ind w:firstLine="709"/>
        <w:jc w:val="both"/>
        <w:rPr>
          <w:rFonts w:ascii="Times New Roman" w:hAnsi="Times New Roman"/>
          <w:iCs/>
          <w:lang w:eastAsia="zh-CN"/>
        </w:rPr>
      </w:pPr>
      <w:r>
        <w:rPr>
          <w:rFonts w:ascii="Times New Roman" w:hAnsi="Times New Roman"/>
          <w:iCs/>
          <w:lang w:eastAsia="zh-CN"/>
        </w:rPr>
        <w:t>Режим дня при занятиях лаптой. Правила личной гигиены во время занятий лаптой.</w:t>
      </w:r>
    </w:p>
    <w:p w14:paraId="097F5A37">
      <w:pPr>
        <w:pBdr>
          <w:top w:val="none" w:color="000000" w:sz="0" w:space="0"/>
          <w:left w:val="none" w:color="000000" w:sz="0" w:space="0"/>
          <w:bottom w:val="none" w:color="000000" w:sz="0" w:space="0"/>
          <w:right w:val="none" w:color="000000" w:sz="0" w:space="0"/>
        </w:pBdr>
        <w:suppressAutoHyphens/>
        <w:spacing w:after="0" w:line="360" w:lineRule="auto"/>
        <w:ind w:firstLine="709"/>
        <w:jc w:val="both"/>
        <w:rPr>
          <w:rFonts w:ascii="Times New Roman" w:hAnsi="Times New Roman"/>
          <w:bCs/>
          <w:iCs/>
          <w:lang w:eastAsia="zh-CN"/>
        </w:rPr>
      </w:pPr>
      <w:r>
        <w:rPr>
          <w:rFonts w:ascii="Times New Roman" w:hAnsi="Times New Roman"/>
          <w:lang w:eastAsia="zh-CN"/>
        </w:rPr>
        <w:t>Способы самостоятельной деятельности</w:t>
      </w:r>
      <w:r>
        <w:rPr>
          <w:rFonts w:ascii="Times New Roman" w:hAnsi="Times New Roman"/>
          <w:bCs/>
          <w:iCs/>
          <w:lang w:eastAsia="zh-CN"/>
        </w:rPr>
        <w:t>.</w:t>
      </w:r>
    </w:p>
    <w:p w14:paraId="08D544ED">
      <w:pPr>
        <w:pBdr>
          <w:top w:val="none" w:color="000000" w:sz="0" w:space="0"/>
          <w:left w:val="none" w:color="000000" w:sz="0" w:space="0"/>
          <w:bottom w:val="none" w:color="000000" w:sz="0" w:space="0"/>
          <w:right w:val="none" w:color="000000" w:sz="0" w:space="0"/>
        </w:pBdr>
        <w:suppressAutoHyphens/>
        <w:spacing w:after="0" w:line="360" w:lineRule="auto"/>
        <w:ind w:firstLine="709"/>
        <w:jc w:val="both"/>
        <w:rPr>
          <w:rFonts w:ascii="Times New Roman" w:hAnsi="Times New Roman"/>
          <w:bCs/>
          <w:iCs/>
          <w:lang w:eastAsia="zh-CN"/>
        </w:rPr>
      </w:pPr>
      <w:r>
        <w:rPr>
          <w:rFonts w:ascii="Times New Roman" w:hAnsi="Times New Roman"/>
          <w:iCs/>
          <w:lang w:eastAsia="zh-CN"/>
        </w:rPr>
        <w:t>Подвижные игры и правила их проведения. Организация и проведение игр специальной направленности с элементами лапты.</w:t>
      </w:r>
    </w:p>
    <w:p w14:paraId="3DB79BBA">
      <w:pPr>
        <w:suppressAutoHyphens/>
        <w:spacing w:after="0" w:line="360" w:lineRule="auto"/>
        <w:ind w:firstLine="709"/>
        <w:jc w:val="both"/>
        <w:rPr>
          <w:rFonts w:ascii="Times New Roman" w:hAnsi="Times New Roman"/>
          <w:iCs/>
          <w:lang w:eastAsia="zh-CN"/>
        </w:rPr>
      </w:pPr>
      <w:r>
        <w:rPr>
          <w:rFonts w:ascii="Times New Roman" w:hAnsi="Times New Roman"/>
          <w:iCs/>
          <w:lang w:eastAsia="zh-CN"/>
        </w:rPr>
        <w:t xml:space="preserve">Самоконтроль и его роль в учебной и соревновательной деятельности. Дневник самонаблюдения. </w:t>
      </w:r>
    </w:p>
    <w:p w14:paraId="684684DB">
      <w:pPr>
        <w:suppressAutoHyphens/>
        <w:spacing w:after="0" w:line="360" w:lineRule="auto"/>
        <w:ind w:firstLine="709"/>
        <w:jc w:val="both"/>
        <w:rPr>
          <w:rFonts w:ascii="Times New Roman" w:hAnsi="Times New Roman"/>
          <w:iCs/>
          <w:lang w:eastAsia="zh-CN"/>
        </w:rPr>
      </w:pPr>
      <w:r>
        <w:rPr>
          <w:rFonts w:ascii="Times New Roman" w:hAnsi="Times New Roman"/>
          <w:iCs/>
          <w:lang w:eastAsia="zh-CN"/>
        </w:rPr>
        <w:t xml:space="preserve">Правила безопасного поведения во время соревнований по лапте в качестве зрителя, болельщика. </w:t>
      </w:r>
    </w:p>
    <w:p w14:paraId="05442C6F">
      <w:pPr>
        <w:pBdr>
          <w:top w:val="none" w:color="000000" w:sz="0" w:space="1"/>
          <w:left w:val="none" w:color="000000" w:sz="0" w:space="0"/>
          <w:bottom w:val="none" w:color="000000" w:sz="0" w:space="0"/>
          <w:right w:val="none" w:color="000000" w:sz="0" w:space="0"/>
        </w:pBdr>
        <w:suppressAutoHyphens/>
        <w:spacing w:after="0" w:line="360" w:lineRule="auto"/>
        <w:ind w:firstLine="709"/>
        <w:jc w:val="both"/>
        <w:rPr>
          <w:rFonts w:ascii="Times New Roman" w:hAnsi="Times New Roman"/>
          <w:lang w:eastAsia="zh-CN"/>
        </w:rPr>
      </w:pPr>
      <w:r>
        <w:rPr>
          <w:rFonts w:ascii="Times New Roman" w:hAnsi="Times New Roman" w:eastAsia="Times New Roman"/>
          <w:lang w:eastAsia="zh-CN"/>
        </w:rPr>
        <w:t xml:space="preserve">Подбор и составление комплексов </w:t>
      </w:r>
      <w:r>
        <w:rPr>
          <w:rFonts w:ascii="Times New Roman" w:hAnsi="Times New Roman"/>
          <w:lang w:eastAsia="zh-CN"/>
        </w:rPr>
        <w:t xml:space="preserve">общеразвивающих, специальных и имитационных </w:t>
      </w:r>
      <w:r>
        <w:rPr>
          <w:rFonts w:ascii="Times New Roman" w:hAnsi="Times New Roman" w:eastAsia="Times New Roman"/>
          <w:lang w:eastAsia="zh-CN"/>
        </w:rPr>
        <w:t xml:space="preserve">упражнений </w:t>
      </w:r>
      <w:r>
        <w:rPr>
          <w:rFonts w:ascii="Times New Roman" w:hAnsi="Times New Roman"/>
          <w:lang w:eastAsia="zh-CN"/>
        </w:rPr>
        <w:t>для занятий лаптой.</w:t>
      </w:r>
    </w:p>
    <w:p w14:paraId="0206FBFC">
      <w:pPr>
        <w:pBdr>
          <w:top w:val="none" w:color="000000" w:sz="0" w:space="1"/>
          <w:left w:val="none" w:color="000000" w:sz="0" w:space="0"/>
          <w:bottom w:val="none" w:color="000000" w:sz="0" w:space="0"/>
          <w:right w:val="none" w:color="000000" w:sz="0" w:space="0"/>
        </w:pBdr>
        <w:suppressAutoHyphens/>
        <w:spacing w:after="0" w:line="360" w:lineRule="auto"/>
        <w:ind w:firstLine="709"/>
        <w:jc w:val="both"/>
        <w:rPr>
          <w:rFonts w:ascii="Times New Roman" w:hAnsi="Times New Roman"/>
          <w:lang w:eastAsia="zh-CN"/>
        </w:rPr>
      </w:pPr>
      <w:r>
        <w:rPr>
          <w:rFonts w:ascii="Times New Roman" w:hAnsi="Times New Roman"/>
          <w:lang w:eastAsia="zh-CN"/>
        </w:rPr>
        <w:t>Тестирование уровня физической подготовленности игроков в лапту.</w:t>
      </w:r>
    </w:p>
    <w:p w14:paraId="4D17D03A">
      <w:pPr>
        <w:pBdr>
          <w:top w:val="none" w:color="000000" w:sz="0" w:space="1"/>
          <w:left w:val="none" w:color="000000" w:sz="0" w:space="0"/>
          <w:bottom w:val="none" w:color="000000" w:sz="0" w:space="0"/>
          <w:right w:val="none" w:color="000000" w:sz="0" w:space="0"/>
        </w:pBdr>
        <w:suppressAutoHyphens/>
        <w:spacing w:after="0" w:line="360" w:lineRule="auto"/>
        <w:ind w:firstLine="709"/>
        <w:jc w:val="both"/>
        <w:rPr>
          <w:rFonts w:ascii="Times New Roman" w:hAnsi="Times New Roman"/>
          <w:lang w:eastAsia="zh-CN"/>
        </w:rPr>
      </w:pPr>
      <w:r>
        <w:rPr>
          <w:rFonts w:ascii="Times New Roman" w:hAnsi="Times New Roman"/>
          <w:lang w:eastAsia="zh-CN"/>
        </w:rPr>
        <w:t>Физическое совершенствование.</w:t>
      </w:r>
    </w:p>
    <w:p w14:paraId="079520B0">
      <w:pPr>
        <w:pBdr>
          <w:top w:val="none" w:color="000000" w:sz="0" w:space="1"/>
          <w:left w:val="none" w:color="000000" w:sz="0" w:space="0"/>
          <w:bottom w:val="none" w:color="000000" w:sz="0" w:space="0"/>
          <w:right w:val="none" w:color="000000" w:sz="0" w:space="0"/>
        </w:pBdr>
        <w:suppressAutoHyphens/>
        <w:spacing w:after="0" w:line="360" w:lineRule="auto"/>
        <w:ind w:firstLine="709"/>
        <w:jc w:val="both"/>
        <w:rPr>
          <w:rFonts w:ascii="Times New Roman" w:hAnsi="Times New Roman" w:eastAsia="Arial Unicode MS"/>
          <w:lang w:eastAsia="zh-CN"/>
        </w:rPr>
      </w:pPr>
      <w:r>
        <w:rPr>
          <w:rFonts w:ascii="Times New Roman" w:hAnsi="Times New Roman" w:eastAsia="Arial Unicode MS"/>
          <w:lang w:eastAsia="zh-CN"/>
        </w:rPr>
        <w:t xml:space="preserve">Комплексы общеразвивающих упражнений без предметов и с предметами для развития физических качеств (быстроты, силы, скоростно-силовых качеств, ловкости, выносливости, гибкости). </w:t>
      </w:r>
    </w:p>
    <w:p w14:paraId="6904AAB5">
      <w:pPr>
        <w:pBdr>
          <w:top w:val="none" w:color="000000" w:sz="0" w:space="1"/>
          <w:left w:val="none" w:color="000000" w:sz="0" w:space="0"/>
          <w:bottom w:val="none" w:color="000000" w:sz="0" w:space="0"/>
          <w:right w:val="none" w:color="000000" w:sz="0" w:space="0"/>
        </w:pBdr>
        <w:suppressAutoHyphens/>
        <w:spacing w:after="0" w:line="360" w:lineRule="auto"/>
        <w:ind w:firstLine="709"/>
        <w:jc w:val="both"/>
        <w:rPr>
          <w:rFonts w:ascii="Times New Roman" w:hAnsi="Times New Roman" w:eastAsia="Times New Roman"/>
          <w:lang w:eastAsia="zh-CN"/>
        </w:rPr>
      </w:pPr>
      <w:r>
        <w:rPr>
          <w:rFonts w:ascii="Times New Roman" w:hAnsi="Times New Roman" w:eastAsia="Arial Unicode MS"/>
          <w:lang w:eastAsia="zh-CN"/>
        </w:rPr>
        <w:t>Подвижные игры с элементами лапты: «Поймай лису», «Баскетбол с теннисным мячом», «Перестрелки» и другие.</w:t>
      </w:r>
    </w:p>
    <w:p w14:paraId="4A68C086">
      <w:pPr>
        <w:pBdr>
          <w:top w:val="none" w:color="000000" w:sz="0" w:space="0"/>
          <w:left w:val="none" w:color="000000" w:sz="0" w:space="0"/>
          <w:bottom w:val="none" w:color="000000" w:sz="0" w:space="0"/>
          <w:right w:val="none" w:color="000000" w:sz="0" w:space="0"/>
        </w:pBdr>
        <w:suppressAutoHyphens/>
        <w:spacing w:after="0" w:line="360" w:lineRule="auto"/>
        <w:ind w:firstLine="709"/>
        <w:jc w:val="both"/>
        <w:rPr>
          <w:rFonts w:ascii="Times New Roman" w:hAnsi="Times New Roman" w:eastAsia="Times New Roman"/>
          <w:lang w:eastAsia="zh-CN"/>
        </w:rPr>
      </w:pPr>
      <w:r>
        <w:rPr>
          <w:rFonts w:ascii="Times New Roman" w:hAnsi="Times New Roman"/>
          <w:lang w:eastAsia="zh-CN"/>
        </w:rPr>
        <w:t xml:space="preserve">Специально-подготовительные упражнения </w:t>
      </w:r>
      <w:r>
        <w:rPr>
          <w:rFonts w:ascii="Times New Roman" w:hAnsi="Times New Roman"/>
          <w:bCs/>
          <w:spacing w:val="-1"/>
          <w:lang w:eastAsia="zh-CN"/>
        </w:rPr>
        <w:t>для начального обучения технике</w:t>
      </w:r>
      <w:r>
        <w:rPr>
          <w:rFonts w:ascii="Times New Roman" w:hAnsi="Times New Roman"/>
        </w:rPr>
        <w:t xml:space="preserve"> </w:t>
      </w:r>
      <w:r>
        <w:rPr>
          <w:rFonts w:ascii="Times New Roman" w:hAnsi="Times New Roman"/>
          <w:lang w:eastAsia="zh-CN"/>
        </w:rPr>
        <w:t>игры в лапту.</w:t>
      </w:r>
    </w:p>
    <w:p w14:paraId="61EE4537">
      <w:pPr>
        <w:pBdr>
          <w:top w:val="none" w:color="000000" w:sz="0" w:space="0"/>
          <w:left w:val="none" w:color="000000" w:sz="0" w:space="0"/>
          <w:bottom w:val="none" w:color="000000" w:sz="0" w:space="0"/>
          <w:right w:val="none" w:color="000000" w:sz="0" w:space="0"/>
        </w:pBdr>
        <w:suppressAutoHyphens/>
        <w:spacing w:after="0" w:line="360" w:lineRule="auto"/>
        <w:ind w:firstLine="709"/>
        <w:jc w:val="both"/>
        <w:rPr>
          <w:rFonts w:ascii="Times New Roman" w:hAnsi="Times New Roman" w:eastAsia="Times New Roman"/>
          <w:lang w:eastAsia="zh-CN"/>
        </w:rPr>
      </w:pPr>
      <w:r>
        <w:rPr>
          <w:rFonts w:ascii="Times New Roman" w:hAnsi="Times New Roman"/>
          <w:lang w:eastAsia="zh-CN"/>
        </w:rPr>
        <w:t xml:space="preserve">Учебные игры в лапту. Малые (упрощенные) игры в </w:t>
      </w:r>
      <w:r>
        <w:rPr>
          <w:rFonts w:ascii="Times New Roman" w:hAnsi="Times New Roman" w:eastAsia="Times New Roman"/>
          <w:lang w:eastAsia="zh-CN"/>
        </w:rPr>
        <w:t>лапту</w:t>
      </w:r>
      <w:r>
        <w:rPr>
          <w:rFonts w:ascii="Times New Roman" w:hAnsi="Times New Roman"/>
          <w:lang w:eastAsia="zh-CN"/>
        </w:rPr>
        <w:t>. Участие в соревновательной деятельности.</w:t>
      </w:r>
    </w:p>
    <w:p w14:paraId="26729FDD">
      <w:pPr>
        <w:pBdr>
          <w:top w:val="none" w:color="000000" w:sz="0" w:space="0"/>
          <w:left w:val="none" w:color="000000" w:sz="0" w:space="0"/>
          <w:bottom w:val="none" w:color="000000" w:sz="0" w:space="0"/>
          <w:right w:val="none" w:color="000000" w:sz="0" w:space="0"/>
        </w:pBdr>
        <w:suppressAutoHyphens/>
        <w:spacing w:after="0" w:line="360" w:lineRule="auto"/>
        <w:ind w:firstLine="709"/>
        <w:jc w:val="both"/>
        <w:rPr>
          <w:rFonts w:ascii="Times New Roman" w:hAnsi="Times New Roman"/>
          <w:lang w:eastAsia="zh-CN"/>
        </w:rPr>
      </w:pPr>
      <w:r>
        <w:rPr>
          <w:rFonts w:ascii="Times New Roman" w:hAnsi="Times New Roman" w:eastAsia="Times New Roman"/>
          <w:bCs/>
          <w:lang w:eastAsia="zh-CN"/>
        </w:rPr>
        <w:t>16.4.</w:t>
      </w:r>
      <w:r>
        <w:rPr>
          <w:rFonts w:ascii="Times New Roman" w:hAnsi="Times New Roman"/>
          <w:lang w:eastAsia="zh-CN"/>
        </w:rPr>
        <w:t>15.7. Содержание модуля «Лапта» направлено на достижение обучающимися личностных, метапредметных и предметных результатов обучения.</w:t>
      </w:r>
    </w:p>
    <w:p w14:paraId="55C8D792">
      <w:pPr>
        <w:pBdr>
          <w:top w:val="none" w:color="000000" w:sz="0" w:space="0"/>
          <w:left w:val="none" w:color="000000" w:sz="0" w:space="0"/>
          <w:bottom w:val="none" w:color="000000" w:sz="0" w:space="0"/>
          <w:right w:val="none" w:color="000000" w:sz="0" w:space="0"/>
        </w:pBdr>
        <w:suppressAutoHyphens/>
        <w:spacing w:after="0" w:line="360" w:lineRule="auto"/>
        <w:ind w:firstLine="709"/>
        <w:jc w:val="both"/>
        <w:rPr>
          <w:rFonts w:ascii="Times New Roman" w:hAnsi="Times New Roman"/>
          <w:lang w:eastAsia="zh-CN"/>
        </w:rPr>
      </w:pPr>
      <w:r>
        <w:rPr>
          <w:rFonts w:ascii="Times New Roman" w:hAnsi="Times New Roman" w:eastAsia="Times New Roman"/>
          <w:bCs/>
          <w:lang w:eastAsia="zh-CN"/>
        </w:rPr>
        <w:t>16.4.</w:t>
      </w:r>
      <w:r>
        <w:rPr>
          <w:rFonts w:ascii="Times New Roman" w:hAnsi="Times New Roman"/>
          <w:lang w:eastAsia="zh-CN"/>
        </w:rPr>
        <w:t>15.7.1. В результате изучения модуля «Лапта» на уровне начального общего образования у обучающихся будут сформированы следующие личностные результаты:</w:t>
      </w:r>
    </w:p>
    <w:p w14:paraId="63988349">
      <w:pPr>
        <w:pBdr>
          <w:top w:val="none" w:color="000000" w:sz="0" w:space="0"/>
          <w:left w:val="none" w:color="000000" w:sz="0" w:space="0"/>
          <w:bottom w:val="none" w:color="000000" w:sz="0" w:space="0"/>
          <w:right w:val="none" w:color="000000" w:sz="0" w:space="0"/>
        </w:pBdr>
        <w:suppressAutoHyphens/>
        <w:spacing w:after="0" w:line="360" w:lineRule="auto"/>
        <w:ind w:firstLine="709"/>
        <w:jc w:val="both"/>
        <w:rPr>
          <w:rFonts w:ascii="Times New Roman" w:hAnsi="Times New Roman"/>
          <w:lang w:eastAsia="zh-CN"/>
        </w:rPr>
      </w:pPr>
      <w:r>
        <w:rPr>
          <w:rFonts w:ascii="Times New Roman" w:hAnsi="Times New Roman" w:eastAsia="HiddenHorzOCR"/>
          <w:lang w:eastAsia="zh-CN"/>
        </w:rPr>
        <w:t xml:space="preserve">проявление чувства гордости за свою Родину, российский народ и историю России </w:t>
      </w:r>
      <w:r>
        <w:rPr>
          <w:rFonts w:ascii="Times New Roman" w:hAnsi="Times New Roman"/>
          <w:bCs/>
          <w:iCs/>
          <w:lang w:eastAsia="zh-CN"/>
        </w:rPr>
        <w:t xml:space="preserve">через </w:t>
      </w:r>
      <w:r>
        <w:rPr>
          <w:rFonts w:ascii="Times New Roman" w:hAnsi="Times New Roman"/>
          <w:lang w:eastAsia="zh-CN"/>
        </w:rPr>
        <w:t>знание истории и современного состояния развития лапты;</w:t>
      </w:r>
    </w:p>
    <w:p w14:paraId="6E943501">
      <w:pPr>
        <w:spacing w:after="0" w:line="360" w:lineRule="auto"/>
        <w:ind w:firstLine="709"/>
        <w:contextualSpacing/>
        <w:jc w:val="both"/>
        <w:rPr>
          <w:rFonts w:ascii="Times New Roman" w:hAnsi="Times New Roman"/>
          <w:u w:color="000000"/>
          <w:lang w:eastAsia="ru-RU"/>
        </w:rPr>
      </w:pPr>
      <w:r>
        <w:rPr>
          <w:rFonts w:ascii="Times New Roman" w:hAnsi="Times New Roman"/>
          <w:bCs/>
          <w:u w:color="000000"/>
          <w:lang w:eastAsia="ru-RU"/>
        </w:rPr>
        <w:t>п</w:t>
      </w:r>
      <w:r>
        <w:rPr>
          <w:rFonts w:ascii="Times New Roman" w:hAnsi="Times New Roman"/>
          <w:bCs/>
          <w:iCs/>
          <w:u w:color="000000"/>
          <w:lang w:eastAsia="ru-RU"/>
        </w:rPr>
        <w:t>роявление</w:t>
      </w:r>
      <w:r>
        <w:rPr>
          <w:rFonts w:ascii="Times New Roman" w:hAnsi="Times New Roman"/>
          <w:u w:color="000000"/>
          <w:lang w:eastAsia="ru-RU"/>
        </w:rPr>
        <w:t xml:space="preserve"> уважительного отношения к сверстникам, культуры общения </w:t>
      </w:r>
    </w:p>
    <w:p w14:paraId="52C3252C">
      <w:pPr>
        <w:spacing w:after="0" w:line="360" w:lineRule="auto"/>
        <w:ind w:firstLine="709"/>
        <w:contextualSpacing/>
        <w:jc w:val="both"/>
        <w:rPr>
          <w:rFonts w:ascii="Times New Roman" w:hAnsi="Times New Roman"/>
          <w:bCs/>
          <w:u w:color="000000"/>
          <w:lang w:eastAsia="ru-RU"/>
        </w:rPr>
      </w:pPr>
      <w:r>
        <w:rPr>
          <w:rFonts w:ascii="Times New Roman" w:hAnsi="Times New Roman"/>
          <w:u w:color="000000"/>
          <w:lang w:eastAsia="ru-RU"/>
        </w:rPr>
        <w:t xml:space="preserve">и взаимодействия, </w:t>
      </w:r>
      <w:r>
        <w:rPr>
          <w:rFonts w:ascii="Times New Roman" w:hAnsi="Times New Roman"/>
          <w:lang w:eastAsia="zh-CN"/>
        </w:rPr>
        <w:t>нравственного поведения, проявление положительных качеств личности, осознанного и ответственного отношения к собственным поступкам, решение проблем в процессе занятий лаптой;</w:t>
      </w:r>
    </w:p>
    <w:p w14:paraId="62775C8A">
      <w:pPr>
        <w:pBdr>
          <w:top w:val="none" w:color="000000" w:sz="0" w:space="0"/>
          <w:left w:val="none" w:color="000000" w:sz="0" w:space="0"/>
          <w:bottom w:val="none" w:color="000000" w:sz="0" w:space="0"/>
          <w:right w:val="none" w:color="000000" w:sz="0" w:space="0"/>
        </w:pBdr>
        <w:suppressAutoHyphens/>
        <w:spacing w:after="0" w:line="360" w:lineRule="auto"/>
        <w:ind w:firstLine="709"/>
        <w:jc w:val="both"/>
        <w:rPr>
          <w:rFonts w:ascii="Times New Roman" w:hAnsi="Times New Roman"/>
          <w:lang w:eastAsia="zh-CN"/>
        </w:rPr>
      </w:pPr>
      <w:r>
        <w:rPr>
          <w:rFonts w:ascii="Times New Roman" w:hAnsi="Times New Roman"/>
          <w:lang w:eastAsia="zh-CN"/>
        </w:rPr>
        <w:t>понимание ценности здорового и безопасного образа жизни, усвоение правил безопасного поведения в учебной, соревновательной, досуговой деятельности и чрезвычайных ситуациях при занятии лаптой.</w:t>
      </w:r>
    </w:p>
    <w:p w14:paraId="75D945A1">
      <w:pPr>
        <w:pBdr>
          <w:top w:val="none" w:color="000000" w:sz="0" w:space="0"/>
          <w:left w:val="none" w:color="000000" w:sz="0" w:space="0"/>
          <w:bottom w:val="none" w:color="000000" w:sz="0" w:space="0"/>
          <w:right w:val="none" w:color="000000" w:sz="0" w:space="0"/>
        </w:pBdr>
        <w:suppressAutoHyphens/>
        <w:spacing w:after="0" w:line="360" w:lineRule="auto"/>
        <w:ind w:firstLine="709"/>
        <w:jc w:val="both"/>
        <w:rPr>
          <w:rFonts w:ascii="Times New Roman" w:hAnsi="Times New Roman"/>
          <w:lang w:eastAsia="zh-CN"/>
        </w:rPr>
      </w:pPr>
      <w:r>
        <w:rPr>
          <w:rFonts w:ascii="Times New Roman" w:hAnsi="Times New Roman" w:eastAsia="Times New Roman"/>
          <w:bCs/>
          <w:lang w:eastAsia="zh-CN"/>
        </w:rPr>
        <w:t>16.4.</w:t>
      </w:r>
      <w:r>
        <w:rPr>
          <w:rFonts w:ascii="Times New Roman" w:hAnsi="Times New Roman"/>
          <w:lang w:eastAsia="zh-CN"/>
        </w:rPr>
        <w:t xml:space="preserve">15.7.2. В результате изучения модуля «Лапта» на уровне начального общего образования у обучающихся будут сформированы следующие метапредметные результаты: </w:t>
      </w:r>
    </w:p>
    <w:p w14:paraId="493D13FA">
      <w:pPr>
        <w:pBdr>
          <w:top w:val="none" w:color="000000" w:sz="0" w:space="0"/>
          <w:left w:val="none" w:color="000000" w:sz="0" w:space="0"/>
          <w:bottom w:val="none" w:color="000000" w:sz="0" w:space="0"/>
          <w:right w:val="none" w:color="000000" w:sz="0" w:space="0"/>
        </w:pBdr>
        <w:suppressAutoHyphens/>
        <w:spacing w:after="0" w:line="360" w:lineRule="auto"/>
        <w:ind w:firstLine="709"/>
        <w:jc w:val="both"/>
        <w:rPr>
          <w:rFonts w:ascii="Times New Roman" w:hAnsi="Times New Roman"/>
          <w:lang w:eastAsia="zh-CN"/>
        </w:rPr>
      </w:pPr>
      <w:r>
        <w:rPr>
          <w:rFonts w:ascii="Times New Roman" w:hAnsi="Times New Roman"/>
          <w:lang w:eastAsia="zh-CN"/>
        </w:rPr>
        <w:t xml:space="preserve">умение самостоятельно определять цели своего обучения средствами лапты </w:t>
      </w:r>
    </w:p>
    <w:p w14:paraId="2843798F">
      <w:pPr>
        <w:pBdr>
          <w:top w:val="none" w:color="000000" w:sz="0" w:space="0"/>
          <w:left w:val="none" w:color="000000" w:sz="0" w:space="0"/>
          <w:bottom w:val="none" w:color="000000" w:sz="0" w:space="0"/>
          <w:right w:val="none" w:color="000000" w:sz="0" w:space="0"/>
        </w:pBdr>
        <w:suppressAutoHyphens/>
        <w:spacing w:after="0" w:line="360" w:lineRule="auto"/>
        <w:ind w:firstLine="709"/>
        <w:jc w:val="both"/>
        <w:rPr>
          <w:rFonts w:ascii="Times New Roman" w:hAnsi="Times New Roman"/>
          <w:lang w:eastAsia="zh-CN"/>
        </w:rPr>
      </w:pPr>
      <w:r>
        <w:rPr>
          <w:rFonts w:ascii="Times New Roman" w:hAnsi="Times New Roman"/>
          <w:lang w:eastAsia="zh-CN"/>
        </w:rPr>
        <w:t>и составлять планы в рамках физкультурно-спортивной деятельности, выбирать успешную стратегию и тактику в различных ситуациях;</w:t>
      </w:r>
    </w:p>
    <w:p w14:paraId="0232BB9E">
      <w:pPr>
        <w:pBdr>
          <w:top w:val="none" w:color="000000" w:sz="0" w:space="0"/>
          <w:left w:val="none" w:color="000000" w:sz="0" w:space="0"/>
          <w:bottom w:val="none" w:color="000000" w:sz="0" w:space="0"/>
          <w:right w:val="none" w:color="000000" w:sz="0" w:space="0"/>
        </w:pBdr>
        <w:suppressAutoHyphens/>
        <w:spacing w:after="0" w:line="360" w:lineRule="auto"/>
        <w:ind w:firstLine="709"/>
        <w:jc w:val="both"/>
        <w:rPr>
          <w:rFonts w:ascii="Times New Roman" w:hAnsi="Times New Roman"/>
          <w:lang w:eastAsia="zh-CN"/>
        </w:rPr>
      </w:pPr>
      <w:r>
        <w:rPr>
          <w:rFonts w:ascii="Times New Roman" w:hAnsi="Times New Roman"/>
          <w:lang w:eastAsia="zh-CN"/>
        </w:rPr>
        <w:t xml:space="preserve">умение самостоятельно планировать пути достижения целей, в том числе альтернативные, осознанно выбирать наиболее эффективные способы решения задач в учебной, игровой, соревновательной и досуговой деятельности, оценивать правильность выполнения задач, собственные возможности их решения; </w:t>
      </w:r>
    </w:p>
    <w:p w14:paraId="37ADF654">
      <w:pPr>
        <w:suppressAutoHyphens/>
        <w:autoSpaceDE w:val="0"/>
        <w:autoSpaceDN w:val="0"/>
        <w:adjustRightInd w:val="0"/>
        <w:spacing w:after="0" w:line="360" w:lineRule="auto"/>
        <w:ind w:firstLine="709"/>
        <w:jc w:val="both"/>
        <w:rPr>
          <w:rFonts w:ascii="Times New Roman" w:hAnsi="Times New Roman"/>
          <w:lang w:eastAsia="zh-CN"/>
        </w:rPr>
      </w:pPr>
      <w:r>
        <w:rPr>
          <w:rFonts w:ascii="Times New Roman" w:hAnsi="Times New Roman"/>
          <w:lang w:eastAsia="zh-CN"/>
        </w:rPr>
        <w:t>владение основами самоконтроля, самооценки, принятия решений и осуществления осознанного выбора в учебной и познавательной деятельности;</w:t>
      </w:r>
    </w:p>
    <w:p w14:paraId="4C334D96">
      <w:pPr>
        <w:pBdr>
          <w:top w:val="none" w:color="000000" w:sz="0" w:space="0"/>
          <w:left w:val="none" w:color="000000" w:sz="0" w:space="0"/>
          <w:bottom w:val="none" w:color="000000" w:sz="0" w:space="0"/>
          <w:right w:val="none" w:color="000000" w:sz="0" w:space="0"/>
        </w:pBdr>
        <w:suppressAutoHyphens/>
        <w:spacing w:after="0" w:line="360" w:lineRule="auto"/>
        <w:ind w:firstLine="709"/>
        <w:jc w:val="both"/>
        <w:rPr>
          <w:rFonts w:ascii="Times New Roman" w:hAnsi="Times New Roman"/>
          <w:lang w:eastAsia="zh-CN"/>
        </w:rPr>
      </w:pPr>
      <w:r>
        <w:rPr>
          <w:rFonts w:ascii="Times New Roman" w:hAnsi="Times New Roman"/>
          <w:lang w:eastAsia="zh-CN"/>
        </w:rPr>
        <w:t>умение организовывать совместную деятельность с учителем и сверстниками, работать индивидуально и в группе, формулировать, аргументировать и отстаивать своё мнение, соблюдать нормы информационной избирательности, этики и этикета.</w:t>
      </w:r>
    </w:p>
    <w:p w14:paraId="34729248">
      <w:pPr>
        <w:pBdr>
          <w:top w:val="none" w:color="000000" w:sz="0" w:space="0"/>
          <w:left w:val="none" w:color="000000" w:sz="0" w:space="0"/>
          <w:bottom w:val="none" w:color="000000" w:sz="0" w:space="0"/>
          <w:right w:val="none" w:color="000000" w:sz="0" w:space="0"/>
        </w:pBdr>
        <w:suppressAutoHyphens/>
        <w:spacing w:after="0" w:line="360" w:lineRule="auto"/>
        <w:ind w:firstLine="709"/>
        <w:jc w:val="both"/>
        <w:rPr>
          <w:rFonts w:ascii="Times New Roman" w:hAnsi="Times New Roman"/>
          <w:lang w:eastAsia="zh-CN"/>
        </w:rPr>
      </w:pPr>
      <w:r>
        <w:rPr>
          <w:rFonts w:ascii="Times New Roman" w:hAnsi="Times New Roman" w:eastAsia="Times New Roman"/>
          <w:bCs/>
          <w:lang w:eastAsia="zh-CN"/>
        </w:rPr>
        <w:t>16.4.</w:t>
      </w:r>
      <w:r>
        <w:rPr>
          <w:rFonts w:ascii="Times New Roman" w:hAnsi="Times New Roman"/>
          <w:lang w:eastAsia="zh-CN"/>
        </w:rPr>
        <w:t>15.7.3. В результате изучения модуля «Лапта» на уровне начального общего образования у обучающихся будут сформированы следующие предметные результаты:</w:t>
      </w:r>
    </w:p>
    <w:p w14:paraId="6D703A8A">
      <w:pPr>
        <w:pBdr>
          <w:top w:val="none" w:color="000000" w:sz="0" w:space="0"/>
          <w:left w:val="none" w:color="000000" w:sz="0" w:space="0"/>
          <w:bottom w:val="none" w:color="000000" w:sz="0" w:space="0"/>
          <w:right w:val="none" w:color="000000" w:sz="0" w:space="0"/>
        </w:pBdr>
        <w:suppressAutoHyphens/>
        <w:spacing w:after="0" w:line="360" w:lineRule="auto"/>
        <w:ind w:firstLine="709"/>
        <w:jc w:val="both"/>
        <w:rPr>
          <w:rFonts w:ascii="Times New Roman" w:hAnsi="Times New Roman" w:eastAsia="HiddenHorzOCR"/>
        </w:rPr>
      </w:pPr>
      <w:r>
        <w:rPr>
          <w:rFonts w:ascii="Times New Roman" w:hAnsi="Times New Roman" w:eastAsia="HiddenHorzOCR"/>
        </w:rPr>
        <w:t>понимание роли и значения занятий лаптой в формировании личностных качеств, в активном включении в здоровый образ жизни, укреплении и сохранении индивидуального здоровья;</w:t>
      </w:r>
    </w:p>
    <w:p w14:paraId="4E951AB4">
      <w:pPr>
        <w:pBdr>
          <w:top w:val="none" w:color="000000" w:sz="0" w:space="0"/>
          <w:left w:val="none" w:color="000000" w:sz="0" w:space="0"/>
          <w:bottom w:val="none" w:color="000000" w:sz="0" w:space="0"/>
          <w:right w:val="none" w:color="000000" w:sz="0" w:space="0"/>
        </w:pBdr>
        <w:suppressAutoHyphens/>
        <w:spacing w:after="0" w:line="360" w:lineRule="auto"/>
        <w:ind w:firstLine="709"/>
        <w:jc w:val="both"/>
        <w:rPr>
          <w:rFonts w:ascii="Times New Roman" w:hAnsi="Times New Roman"/>
          <w:i/>
          <w:lang w:eastAsia="zh-CN"/>
        </w:rPr>
      </w:pPr>
      <w:r>
        <w:rPr>
          <w:rFonts w:ascii="Times New Roman" w:hAnsi="Times New Roman"/>
          <w:lang w:eastAsia="zh-CN"/>
        </w:rPr>
        <w:t>знание правил проведения соревнований по лапте в учебной, соревновательной и досуговой деятельности;</w:t>
      </w:r>
      <w:r>
        <w:rPr>
          <w:rFonts w:ascii="Times New Roman" w:hAnsi="Times New Roman"/>
          <w:i/>
          <w:lang w:eastAsia="zh-CN"/>
        </w:rPr>
        <w:t xml:space="preserve"> </w:t>
      </w:r>
    </w:p>
    <w:p w14:paraId="5D780549">
      <w:pPr>
        <w:pBdr>
          <w:top w:val="none" w:color="000000" w:sz="0" w:space="0"/>
          <w:left w:val="none" w:color="000000" w:sz="0" w:space="0"/>
          <w:bottom w:val="none" w:color="000000" w:sz="0" w:space="0"/>
          <w:right w:val="none" w:color="000000" w:sz="0" w:space="0"/>
        </w:pBdr>
        <w:suppressAutoHyphens/>
        <w:spacing w:after="0" w:line="360" w:lineRule="auto"/>
        <w:ind w:firstLine="709"/>
        <w:jc w:val="both"/>
        <w:rPr>
          <w:rFonts w:ascii="Times New Roman" w:hAnsi="Times New Roman" w:eastAsia="HiddenHorzOCR"/>
        </w:rPr>
      </w:pPr>
      <w:r>
        <w:rPr>
          <w:rFonts w:ascii="Times New Roman" w:hAnsi="Times New Roman"/>
          <w:bCs/>
          <w:lang w:eastAsia="zh-CN"/>
        </w:rPr>
        <w:t>освоение и демонстрация основных технических приемов в защите и нападении игры «лапта»;</w:t>
      </w:r>
    </w:p>
    <w:p w14:paraId="154B8D35">
      <w:pPr>
        <w:pBdr>
          <w:top w:val="none" w:color="000000" w:sz="0" w:space="0"/>
          <w:left w:val="none" w:color="000000" w:sz="0" w:space="0"/>
          <w:bottom w:val="none" w:color="000000" w:sz="0" w:space="0"/>
          <w:right w:val="none" w:color="000000" w:sz="0" w:space="0"/>
        </w:pBdr>
        <w:suppressAutoHyphens/>
        <w:spacing w:after="0" w:line="360" w:lineRule="auto"/>
        <w:ind w:firstLine="709"/>
        <w:jc w:val="both"/>
        <w:rPr>
          <w:rFonts w:ascii="Times New Roman" w:hAnsi="Times New Roman"/>
          <w:iCs/>
          <w:lang w:eastAsia="zh-CN"/>
        </w:rPr>
      </w:pPr>
      <w:r>
        <w:rPr>
          <w:rFonts w:ascii="Times New Roman" w:hAnsi="Times New Roman" w:eastAsia="Times New Roman"/>
          <w:iCs/>
          <w:lang w:eastAsia="zh-CN"/>
        </w:rPr>
        <w:t>умение подбирать, составлять и осваивать самостоятельно, при участии и помощи родителей</w:t>
      </w:r>
      <w:r>
        <w:rPr>
          <w:rFonts w:ascii="Times New Roman" w:hAnsi="Times New Roman"/>
          <w:iCs/>
          <w:lang w:eastAsia="zh-CN"/>
        </w:rPr>
        <w:t xml:space="preserve"> простейшие </w:t>
      </w:r>
      <w:r>
        <w:rPr>
          <w:rFonts w:ascii="Times New Roman" w:hAnsi="Times New Roman" w:eastAsia="Times New Roman"/>
          <w:iCs/>
          <w:lang w:eastAsia="zh-CN"/>
        </w:rPr>
        <w:t xml:space="preserve">комплексы </w:t>
      </w:r>
      <w:r>
        <w:rPr>
          <w:rFonts w:ascii="Times New Roman" w:hAnsi="Times New Roman"/>
          <w:iCs/>
          <w:lang w:eastAsia="zh-CN"/>
        </w:rPr>
        <w:t xml:space="preserve">общеразвивающих, специальных и имитационных </w:t>
      </w:r>
      <w:r>
        <w:rPr>
          <w:rFonts w:ascii="Times New Roman" w:hAnsi="Times New Roman" w:eastAsia="Times New Roman"/>
          <w:iCs/>
          <w:lang w:eastAsia="zh-CN"/>
        </w:rPr>
        <w:t xml:space="preserve">упражнений </w:t>
      </w:r>
      <w:r>
        <w:rPr>
          <w:rFonts w:ascii="Times New Roman" w:hAnsi="Times New Roman"/>
          <w:iCs/>
          <w:lang w:eastAsia="zh-CN"/>
        </w:rPr>
        <w:t>для занятий лаптой;</w:t>
      </w:r>
    </w:p>
    <w:p w14:paraId="58F1232B">
      <w:pPr>
        <w:pBdr>
          <w:top w:val="none" w:color="000000" w:sz="0" w:space="0"/>
          <w:left w:val="none" w:color="000000" w:sz="0" w:space="0"/>
          <w:bottom w:val="none" w:color="000000" w:sz="0" w:space="0"/>
          <w:right w:val="none" w:color="000000" w:sz="0" w:space="0"/>
        </w:pBdr>
        <w:suppressAutoHyphens/>
        <w:spacing w:after="0" w:line="360" w:lineRule="auto"/>
        <w:ind w:firstLine="709"/>
        <w:jc w:val="both"/>
        <w:rPr>
          <w:rFonts w:ascii="Times New Roman" w:hAnsi="Times New Roman" w:eastAsia="Times New Roman"/>
          <w:iCs/>
          <w:lang w:eastAsia="zh-CN"/>
        </w:rPr>
      </w:pPr>
      <w:r>
        <w:rPr>
          <w:rFonts w:ascii="Times New Roman" w:hAnsi="Times New Roman"/>
          <w:lang w:eastAsia="zh-CN"/>
        </w:rPr>
        <w:t>соблюдение</w:t>
      </w:r>
      <w:r>
        <w:rPr>
          <w:rFonts w:ascii="Times New Roman" w:hAnsi="Times New Roman"/>
          <w:i/>
          <w:lang w:eastAsia="zh-CN"/>
        </w:rPr>
        <w:t xml:space="preserve"> </w:t>
      </w:r>
      <w:r>
        <w:rPr>
          <w:rFonts w:ascii="Times New Roman" w:hAnsi="Times New Roman"/>
          <w:bCs/>
          <w:lang w:eastAsia="zh-CN"/>
        </w:rPr>
        <w:t>правил личной гигиены и ухода за спортивным инвентарем и оборудованием, правил</w:t>
      </w:r>
      <w:r>
        <w:rPr>
          <w:rFonts w:ascii="Times New Roman" w:hAnsi="Times New Roman"/>
          <w:i/>
          <w:lang w:eastAsia="zh-CN"/>
        </w:rPr>
        <w:t xml:space="preserve"> </w:t>
      </w:r>
      <w:r>
        <w:rPr>
          <w:rFonts w:ascii="Times New Roman" w:hAnsi="Times New Roman" w:eastAsia="Times New Roman"/>
          <w:iCs/>
          <w:lang w:eastAsia="zh-CN"/>
        </w:rPr>
        <w:t xml:space="preserve">подбора спортивной одежды и обуви для занятий </w:t>
      </w:r>
      <w:r>
        <w:rPr>
          <w:rFonts w:ascii="Times New Roman" w:hAnsi="Times New Roman"/>
          <w:bCs/>
          <w:lang w:eastAsia="zh-CN"/>
        </w:rPr>
        <w:t>по лапте</w:t>
      </w:r>
      <w:r>
        <w:rPr>
          <w:rFonts w:ascii="Times New Roman" w:hAnsi="Times New Roman" w:eastAsia="Times New Roman"/>
          <w:iCs/>
          <w:lang w:eastAsia="zh-CN"/>
        </w:rPr>
        <w:t>;</w:t>
      </w:r>
    </w:p>
    <w:p w14:paraId="5B7BD67B">
      <w:pPr>
        <w:pBdr>
          <w:top w:val="none" w:color="000000" w:sz="0" w:space="0"/>
          <w:left w:val="none" w:color="000000" w:sz="0" w:space="0"/>
          <w:bottom w:val="none" w:color="000000" w:sz="0" w:space="0"/>
          <w:right w:val="none" w:color="000000" w:sz="0" w:space="0"/>
        </w:pBdr>
        <w:suppressAutoHyphens/>
        <w:spacing w:after="0" w:line="360" w:lineRule="auto"/>
        <w:ind w:firstLine="709"/>
        <w:jc w:val="both"/>
        <w:rPr>
          <w:rFonts w:ascii="Times New Roman" w:hAnsi="Times New Roman"/>
          <w:lang w:eastAsia="zh-CN"/>
        </w:rPr>
      </w:pPr>
      <w:r>
        <w:rPr>
          <w:rFonts w:ascii="Times New Roman" w:hAnsi="Times New Roman"/>
          <w:lang w:eastAsia="zh-CN"/>
        </w:rPr>
        <w:t>умение осуществлять самоконтроль за физической нагрузкой в процессе занятий лаптой, применять средства восстановления организма после физической нагрузки;</w:t>
      </w:r>
    </w:p>
    <w:p w14:paraId="0199843B">
      <w:pPr>
        <w:pBdr>
          <w:top w:val="none" w:color="000000" w:sz="0" w:space="0"/>
          <w:left w:val="none" w:color="000000" w:sz="0" w:space="0"/>
          <w:bottom w:val="none" w:color="000000" w:sz="0" w:space="0"/>
          <w:right w:val="none" w:color="000000" w:sz="0" w:space="0"/>
        </w:pBdr>
        <w:suppressAutoHyphens/>
        <w:spacing w:after="0" w:line="360" w:lineRule="auto"/>
        <w:ind w:firstLine="709"/>
        <w:jc w:val="both"/>
        <w:rPr>
          <w:rFonts w:ascii="Times New Roman" w:hAnsi="Times New Roman"/>
          <w:lang w:eastAsia="zh-CN"/>
        </w:rPr>
      </w:pPr>
      <w:r>
        <w:rPr>
          <w:rFonts w:ascii="Times New Roman" w:hAnsi="Times New Roman"/>
          <w:bCs/>
          <w:lang w:eastAsia="zh-CN"/>
        </w:rPr>
        <w:t>умение демонстрировать</w:t>
      </w:r>
      <w:r>
        <w:rPr>
          <w:rFonts w:ascii="Times New Roman" w:hAnsi="Times New Roman"/>
          <w:bCs/>
          <w:i/>
          <w:iCs/>
          <w:lang w:eastAsia="zh-CN"/>
        </w:rPr>
        <w:t xml:space="preserve"> </w:t>
      </w:r>
      <w:r>
        <w:rPr>
          <w:rFonts w:ascii="Times New Roman" w:hAnsi="Times New Roman" w:eastAsia="Times New Roman"/>
          <w:lang w:eastAsia="zh-CN"/>
        </w:rPr>
        <w:t>общеразвивающие</w:t>
      </w:r>
      <w:r>
        <w:rPr>
          <w:rFonts w:ascii="Times New Roman" w:hAnsi="Times New Roman"/>
          <w:lang w:eastAsia="zh-CN"/>
        </w:rPr>
        <w:t xml:space="preserve"> специальные и имитационные упражне</w:t>
      </w:r>
      <w:r>
        <w:rPr>
          <w:rFonts w:ascii="Times New Roman" w:hAnsi="Times New Roman"/>
          <w:lang w:eastAsia="zh-CN"/>
        </w:rPr>
        <w:softHyphen/>
      </w:r>
      <w:r>
        <w:rPr>
          <w:rFonts w:ascii="Times New Roman" w:hAnsi="Times New Roman"/>
          <w:lang w:eastAsia="zh-CN"/>
        </w:rPr>
        <w:t>ния для развития физических качеств, базовых технических приемов;</w:t>
      </w:r>
    </w:p>
    <w:p w14:paraId="69995CFA">
      <w:pPr>
        <w:suppressAutoHyphens/>
        <w:spacing w:after="0" w:line="360" w:lineRule="auto"/>
        <w:ind w:firstLine="709"/>
        <w:contextualSpacing/>
        <w:jc w:val="both"/>
        <w:rPr>
          <w:rFonts w:ascii="Times New Roman" w:hAnsi="Times New Roman"/>
          <w:lang w:eastAsia="zh-CN"/>
        </w:rPr>
      </w:pPr>
      <w:r>
        <w:rPr>
          <w:rFonts w:ascii="Times New Roman" w:hAnsi="Times New Roman"/>
          <w:bCs/>
          <w:lang w:eastAsia="zh-CN"/>
        </w:rPr>
        <w:t xml:space="preserve">участие в соревновательной деятельности внутри школьных этапов различных соревнований, </w:t>
      </w:r>
      <w:r>
        <w:rPr>
          <w:rFonts w:ascii="Times New Roman" w:hAnsi="Times New Roman"/>
          <w:lang w:eastAsia="zh-CN"/>
        </w:rPr>
        <w:t>участие в соревнованиях по лапте</w:t>
      </w:r>
      <w:r>
        <w:rPr>
          <w:rFonts w:ascii="Times New Roman" w:hAnsi="Times New Roman"/>
          <w:bCs/>
          <w:lang w:eastAsia="zh-CN"/>
        </w:rPr>
        <w:t>;</w:t>
      </w:r>
    </w:p>
    <w:p w14:paraId="347BFA71">
      <w:pPr>
        <w:pBdr>
          <w:top w:val="none" w:color="000000" w:sz="0" w:space="0"/>
          <w:left w:val="none" w:color="000000" w:sz="0" w:space="0"/>
          <w:bottom w:val="none" w:color="000000" w:sz="0" w:space="0"/>
          <w:right w:val="none" w:color="000000" w:sz="0" w:space="0"/>
        </w:pBdr>
        <w:suppressAutoHyphens/>
        <w:spacing w:after="0" w:line="360" w:lineRule="auto"/>
        <w:ind w:firstLine="709"/>
        <w:jc w:val="both"/>
        <w:rPr>
          <w:rFonts w:ascii="Times New Roman" w:hAnsi="Times New Roman"/>
          <w:lang w:eastAsia="zh-CN"/>
        </w:rPr>
      </w:pPr>
      <w:r>
        <w:rPr>
          <w:rFonts w:ascii="Times New Roman" w:hAnsi="Times New Roman"/>
          <w:lang w:eastAsia="zh-CN"/>
        </w:rPr>
        <w:t>знание и выполнение тестовых упражнений по физической подготовленности игроков в лапту.</w:t>
      </w:r>
    </w:p>
    <w:p w14:paraId="3C0E195F">
      <w:pPr>
        <w:pBdr>
          <w:top w:val="none" w:color="000000" w:sz="0" w:space="0"/>
          <w:left w:val="none" w:color="000000" w:sz="0" w:space="0"/>
          <w:bottom w:val="none" w:color="000000" w:sz="0" w:space="0"/>
          <w:right w:val="none" w:color="000000" w:sz="0" w:space="0"/>
        </w:pBdr>
        <w:suppressAutoHyphens/>
        <w:spacing w:after="0" w:line="360" w:lineRule="auto"/>
        <w:ind w:firstLine="709"/>
        <w:jc w:val="both"/>
        <w:rPr>
          <w:rFonts w:ascii="Times New Roman" w:hAnsi="Times New Roman"/>
          <w:lang w:eastAsia="zh-CN"/>
        </w:rPr>
      </w:pPr>
      <w:r>
        <w:rPr>
          <w:rFonts w:ascii="Times New Roman" w:hAnsi="Times New Roman" w:eastAsia="Times New Roman"/>
          <w:bCs/>
          <w:lang w:eastAsia="zh-CN"/>
        </w:rPr>
        <w:t>16.4.</w:t>
      </w:r>
      <w:r>
        <w:rPr>
          <w:rFonts w:ascii="Times New Roman" w:hAnsi="Times New Roman" w:eastAsia="Times New Roman"/>
          <w:lang w:eastAsia="zh-CN"/>
        </w:rPr>
        <w:t>16. М</w:t>
      </w:r>
      <w:r>
        <w:rPr>
          <w:rFonts w:ascii="Times New Roman" w:hAnsi="Times New Roman"/>
          <w:lang w:eastAsia="zh-CN"/>
        </w:rPr>
        <w:t>одуль «Футбол для всех».</w:t>
      </w:r>
    </w:p>
    <w:p w14:paraId="74437538">
      <w:pPr>
        <w:pBdr>
          <w:top w:val="none" w:color="000000" w:sz="0" w:space="0"/>
          <w:left w:val="none" w:color="000000" w:sz="0" w:space="0"/>
          <w:bottom w:val="none" w:color="000000" w:sz="0" w:space="0"/>
          <w:right w:val="none" w:color="000000" w:sz="0" w:space="0"/>
        </w:pBdr>
        <w:suppressAutoHyphens/>
        <w:spacing w:after="0" w:line="360" w:lineRule="auto"/>
        <w:ind w:firstLine="709"/>
        <w:jc w:val="both"/>
        <w:rPr>
          <w:rFonts w:ascii="Times New Roman" w:hAnsi="Times New Roman"/>
          <w:lang w:eastAsia="zh-CN"/>
        </w:rPr>
      </w:pPr>
      <w:r>
        <w:rPr>
          <w:rFonts w:ascii="Times New Roman" w:hAnsi="Times New Roman" w:eastAsia="Times New Roman"/>
          <w:bCs/>
          <w:lang w:eastAsia="zh-CN"/>
        </w:rPr>
        <w:t>16.4.</w:t>
      </w:r>
      <w:r>
        <w:rPr>
          <w:rFonts w:ascii="Times New Roman" w:hAnsi="Times New Roman"/>
          <w:lang w:eastAsia="zh-CN"/>
        </w:rPr>
        <w:t>16.1. Пояснительная записка модуля «Футбол для всех».</w:t>
      </w:r>
    </w:p>
    <w:p w14:paraId="02BE52B1">
      <w:pPr>
        <w:pBdr>
          <w:top w:val="none" w:color="000000" w:sz="0" w:space="0"/>
          <w:left w:val="none" w:color="000000" w:sz="0" w:space="0"/>
          <w:bottom w:val="none" w:color="000000" w:sz="0" w:space="0"/>
          <w:right w:val="none" w:color="000000" w:sz="0" w:space="0"/>
        </w:pBdr>
        <w:suppressAutoHyphens/>
        <w:spacing w:after="0" w:line="360" w:lineRule="auto"/>
        <w:ind w:firstLine="709"/>
        <w:jc w:val="both"/>
        <w:rPr>
          <w:rFonts w:ascii="Times New Roman" w:hAnsi="Times New Roman"/>
          <w:lang w:eastAsia="zh-CN"/>
        </w:rPr>
      </w:pPr>
      <w:bookmarkStart w:id="306" w:name="_Hlk125022695"/>
      <w:r>
        <w:rPr>
          <w:rFonts w:ascii="Times New Roman" w:hAnsi="Times New Roman"/>
          <w:lang w:eastAsia="zh-CN"/>
        </w:rPr>
        <w:t xml:space="preserve">Учебный модуль «Футбол для всех» (далее – модуль по футболу, футбол) на уровне начального общего образования разработан с целью оказания методической помощи учителю физической культуры в создании рабочей программы по учебному предмету «Физическая культура» с учётом </w:t>
      </w:r>
      <w:bookmarkEnd w:id="306"/>
      <w:r>
        <w:rPr>
          <w:rFonts w:ascii="Times New Roman" w:hAnsi="Times New Roman"/>
          <w:lang w:eastAsia="zh-CN"/>
        </w:rPr>
        <w:t>современных тенденций в системе образования и использования спортивно-ориентированных форм, средств и методов обучения по различным видам спорта.</w:t>
      </w:r>
    </w:p>
    <w:p w14:paraId="426809F6">
      <w:pPr>
        <w:pBdr>
          <w:top w:val="none" w:color="000000" w:sz="0" w:space="0"/>
          <w:left w:val="none" w:color="000000" w:sz="0" w:space="0"/>
          <w:bottom w:val="none" w:color="000000" w:sz="0" w:space="0"/>
          <w:right w:val="none" w:color="000000" w:sz="0" w:space="0"/>
        </w:pBdr>
        <w:suppressAutoHyphens/>
        <w:spacing w:after="0" w:line="360" w:lineRule="auto"/>
        <w:ind w:firstLine="709"/>
        <w:jc w:val="both"/>
        <w:rPr>
          <w:rFonts w:ascii="Times New Roman" w:hAnsi="Times New Roman" w:eastAsia="Times New Roman"/>
          <w:lang w:eastAsia="ru-RU"/>
        </w:rPr>
      </w:pPr>
      <w:r>
        <w:rPr>
          <w:rFonts w:ascii="Times New Roman" w:hAnsi="Times New Roman" w:eastAsia="Times New Roman"/>
          <w:lang w:eastAsia="ru-RU"/>
        </w:rPr>
        <w:t>Футбол – это одно из самых доступных, популярных и массовых средств физического развития и укрепления здоровья широких слоев населения. Игра занимает ведущее место в общей системе физического воспитания подрастающего поколения. Командный характер игры «футбол» воспитывает чувство дружбы, товарищества, взаимопомощи, развивает такие ценные моральные качества, как чувство ответственности, уважение к партнерам и соперникам, дисциплинированность, активность и личные качества – самостоятельность, инициативу, творчество. В процессе игровой деятельности необходимо овладевать сложной техникой и тактикой, развивать физические качества, преодолевать усталость, боль, вырабатывать устойчивость к неблагоприятным условиям внешней среды, строго соблюдать бытовой и спортивный режим. Все это способствует воспитанию волевых черт характера: смелости, стойкости, решительности, выдержки, мужества.</w:t>
      </w:r>
    </w:p>
    <w:p w14:paraId="6A566746">
      <w:pPr>
        <w:pBdr>
          <w:top w:val="none" w:color="000000" w:sz="0" w:space="0"/>
          <w:left w:val="none" w:color="000000" w:sz="0" w:space="0"/>
          <w:bottom w:val="none" w:color="000000" w:sz="0" w:space="0"/>
          <w:right w:val="none" w:color="000000" w:sz="0" w:space="0"/>
        </w:pBdr>
        <w:shd w:val="clear" w:color="auto" w:fill="FFFFFF"/>
        <w:tabs>
          <w:tab w:val="left" w:pos="0"/>
        </w:tabs>
        <w:suppressAutoHyphens/>
        <w:spacing w:after="0" w:line="360" w:lineRule="auto"/>
        <w:ind w:firstLine="709"/>
        <w:jc w:val="both"/>
        <w:rPr>
          <w:rFonts w:ascii="Times New Roman" w:hAnsi="Times New Roman" w:eastAsia="Times New Roman"/>
          <w:lang w:eastAsia="zh-CN"/>
        </w:rPr>
      </w:pPr>
      <w:r>
        <w:rPr>
          <w:rFonts w:ascii="Times New Roman" w:hAnsi="Times New Roman" w:eastAsia="Times New Roman"/>
          <w:lang w:eastAsia="zh-CN"/>
        </w:rPr>
        <w:t>Систематические занятия футболом обеспечивают каждому обучающемуся всестороннее физическое развитие, возможность сохранения здоровья, увеличение продолжительности жизни и работоспособности, приобретение эмоционального, психологического комфорта и залога безопасности жизни.</w:t>
      </w:r>
    </w:p>
    <w:p w14:paraId="7BFC210F">
      <w:pPr>
        <w:pBdr>
          <w:top w:val="none" w:color="000000" w:sz="0" w:space="0"/>
          <w:left w:val="none" w:color="000000" w:sz="0" w:space="0"/>
          <w:bottom w:val="none" w:color="000000" w:sz="0" w:space="0"/>
          <w:right w:val="none" w:color="000000" w:sz="0" w:space="0"/>
        </w:pBdr>
        <w:suppressAutoHyphens/>
        <w:spacing w:after="0" w:line="360" w:lineRule="auto"/>
        <w:ind w:firstLine="709"/>
        <w:jc w:val="both"/>
        <w:rPr>
          <w:rFonts w:ascii="Times New Roman" w:hAnsi="Times New Roman" w:eastAsia="Times New Roman"/>
          <w:lang w:eastAsia="ru-RU"/>
        </w:rPr>
      </w:pPr>
      <w:r>
        <w:rPr>
          <w:rFonts w:ascii="Times New Roman" w:hAnsi="Times New Roman" w:eastAsia="Times New Roman"/>
          <w:bCs/>
          <w:lang w:eastAsia="zh-CN"/>
        </w:rPr>
        <w:t>16.4.</w:t>
      </w:r>
      <w:r>
        <w:rPr>
          <w:rFonts w:ascii="Times New Roman" w:hAnsi="Times New Roman"/>
          <w:lang w:eastAsia="zh-CN"/>
        </w:rPr>
        <w:t>16.2. </w:t>
      </w:r>
      <w:r>
        <w:rPr>
          <w:rFonts w:ascii="Times New Roman" w:hAnsi="Times New Roman"/>
        </w:rPr>
        <w:t xml:space="preserve">Целью изучения модуля </w:t>
      </w:r>
      <w:r>
        <w:rPr>
          <w:rFonts w:ascii="Times New Roman" w:hAnsi="Times New Roman" w:eastAsia="Times New Roman"/>
          <w:lang w:eastAsia="ru-RU"/>
        </w:rPr>
        <w:t>«Футбол для всех»</w:t>
      </w:r>
      <w:r>
        <w:rPr>
          <w:rFonts w:ascii="Times New Roman" w:hAnsi="Times New Roman"/>
        </w:rPr>
        <w:t xml:space="preserve"> является </w:t>
      </w:r>
      <w:r>
        <w:rPr>
          <w:rFonts w:ascii="Times New Roman" w:hAnsi="Times New Roman" w:eastAsia="Times New Roman"/>
          <w:lang w:eastAsia="ru-RU"/>
        </w:rPr>
        <w:t>формирование устойчивых мотивов и потребностей в бережном отношении к своему здоровью, целостном развитии физических и психических качеств, творческом использовании средств физической культуры в организации здорового образа жизни подрастающего поколения с использованием средств игры «футбол».</w:t>
      </w:r>
    </w:p>
    <w:p w14:paraId="39DCB4A0">
      <w:pPr>
        <w:pBdr>
          <w:top w:val="none" w:color="000000" w:sz="0" w:space="0"/>
          <w:left w:val="none" w:color="000000" w:sz="0" w:space="0"/>
          <w:bottom w:val="none" w:color="000000" w:sz="0" w:space="0"/>
          <w:right w:val="none" w:color="000000" w:sz="0" w:space="0"/>
        </w:pBdr>
        <w:suppressAutoHyphens/>
        <w:spacing w:after="0" w:line="360" w:lineRule="auto"/>
        <w:ind w:firstLine="709"/>
        <w:jc w:val="both"/>
        <w:rPr>
          <w:rFonts w:ascii="Times New Roman" w:hAnsi="Times New Roman"/>
          <w:lang w:eastAsia="zh-CN"/>
        </w:rPr>
      </w:pPr>
      <w:r>
        <w:rPr>
          <w:rFonts w:ascii="Times New Roman" w:hAnsi="Times New Roman" w:eastAsia="Times New Roman"/>
          <w:bCs/>
          <w:lang w:eastAsia="zh-CN"/>
        </w:rPr>
        <w:t>16.4.</w:t>
      </w:r>
      <w:r>
        <w:rPr>
          <w:rFonts w:ascii="Times New Roman" w:hAnsi="Times New Roman"/>
          <w:lang w:eastAsia="zh-CN"/>
        </w:rPr>
        <w:t>16.3. Задачами изучения модуля «Футбол» являются:</w:t>
      </w:r>
    </w:p>
    <w:p w14:paraId="205AD37A">
      <w:pPr>
        <w:spacing w:after="0" w:line="360" w:lineRule="auto"/>
        <w:ind w:firstLine="709"/>
        <w:contextualSpacing/>
        <w:jc w:val="both"/>
        <w:rPr>
          <w:rFonts w:ascii="Times New Roman" w:hAnsi="Times New Roman"/>
        </w:rPr>
      </w:pPr>
      <w:r>
        <w:rPr>
          <w:rFonts w:ascii="Times New Roman" w:hAnsi="Times New Roman" w:eastAsia="Times New Roman"/>
          <w:lang w:eastAsia="ru-RU"/>
        </w:rPr>
        <w:t>приобщение обучающихся к здоровому образу жизни и гармонии тела средствами футбола;</w:t>
      </w:r>
    </w:p>
    <w:p w14:paraId="0F1AC45C">
      <w:pPr>
        <w:spacing w:after="0" w:line="360" w:lineRule="auto"/>
        <w:ind w:firstLine="709"/>
        <w:contextualSpacing/>
        <w:jc w:val="both"/>
        <w:rPr>
          <w:rFonts w:ascii="Times New Roman" w:hAnsi="Times New Roman"/>
        </w:rPr>
      </w:pPr>
      <w:r>
        <w:rPr>
          <w:rFonts w:ascii="Times New Roman" w:hAnsi="Times New Roman"/>
        </w:rPr>
        <w:t>формирование культуры движений, обогащение двигательного опыта физическими упражнениями с общеразвивающей и корригирующей направленностью с использованием средств футбола;</w:t>
      </w:r>
    </w:p>
    <w:p w14:paraId="5A0243BF">
      <w:pPr>
        <w:spacing w:after="0" w:line="360" w:lineRule="auto"/>
        <w:ind w:firstLine="709"/>
        <w:contextualSpacing/>
        <w:jc w:val="both"/>
        <w:rPr>
          <w:rFonts w:ascii="Times New Roman" w:hAnsi="Times New Roman"/>
        </w:rPr>
      </w:pPr>
      <w:r>
        <w:rPr>
          <w:rFonts w:ascii="Times New Roman" w:hAnsi="Times New Roman" w:eastAsia="Times New Roman"/>
          <w:lang w:eastAsia="ru-RU"/>
        </w:rPr>
        <w:t>укрепление и сохранения здоровья, развитие основных физических качеств и повышение функциональных способностей организма;</w:t>
      </w:r>
    </w:p>
    <w:p w14:paraId="29E4BD9A">
      <w:pPr>
        <w:spacing w:after="0" w:line="360" w:lineRule="auto"/>
        <w:ind w:firstLine="709"/>
        <w:contextualSpacing/>
        <w:jc w:val="both"/>
        <w:rPr>
          <w:rFonts w:ascii="Times New Roman" w:hAnsi="Times New Roman"/>
        </w:rPr>
      </w:pPr>
      <w:r>
        <w:rPr>
          <w:rFonts w:ascii="Times New Roman" w:hAnsi="Times New Roman" w:eastAsia="Times New Roman"/>
          <w:lang w:eastAsia="ru-RU"/>
        </w:rPr>
        <w:t>воспитание положительных качеств личности, соблюдение норм коллективного взаимодействия и сотрудничества в игровой и соревновательной деятельности в футболе;</w:t>
      </w:r>
    </w:p>
    <w:p w14:paraId="2F8E22D7">
      <w:pPr>
        <w:spacing w:after="0" w:line="360" w:lineRule="auto"/>
        <w:ind w:firstLine="709"/>
        <w:contextualSpacing/>
        <w:jc w:val="both"/>
        <w:rPr>
          <w:rFonts w:ascii="Times New Roman" w:hAnsi="Times New Roman"/>
        </w:rPr>
      </w:pPr>
      <w:r>
        <w:rPr>
          <w:rFonts w:ascii="Times New Roman" w:hAnsi="Times New Roman"/>
        </w:rPr>
        <w:t>популяризация и увеличение числа занимающихся футболом.</w:t>
      </w:r>
    </w:p>
    <w:p w14:paraId="1761E478">
      <w:pPr>
        <w:pBdr>
          <w:top w:val="none" w:color="000000" w:sz="0" w:space="0"/>
          <w:left w:val="none" w:color="000000" w:sz="0" w:space="0"/>
          <w:bottom w:val="none" w:color="000000" w:sz="0" w:space="0"/>
          <w:right w:val="none" w:color="000000" w:sz="0" w:space="0"/>
        </w:pBdr>
        <w:tabs>
          <w:tab w:val="left" w:pos="708"/>
        </w:tabs>
        <w:suppressAutoHyphens/>
        <w:spacing w:after="0" w:line="360" w:lineRule="auto"/>
        <w:ind w:firstLine="709"/>
        <w:jc w:val="both"/>
        <w:rPr>
          <w:rFonts w:ascii="Times New Roman" w:hAnsi="Times New Roman" w:eastAsia="Times New Roman"/>
          <w:lang w:eastAsia="zh-CN"/>
        </w:rPr>
      </w:pPr>
      <w:r>
        <w:rPr>
          <w:rFonts w:ascii="Times New Roman" w:hAnsi="Times New Roman" w:eastAsia="Times New Roman"/>
          <w:bCs/>
          <w:lang w:eastAsia="zh-CN"/>
        </w:rPr>
        <w:t>16.4.</w:t>
      </w:r>
      <w:r>
        <w:rPr>
          <w:rFonts w:ascii="Times New Roman" w:hAnsi="Times New Roman" w:eastAsia="Times New Roman"/>
          <w:lang w:eastAsia="zh-CN"/>
        </w:rPr>
        <w:t>16.4. Место и роль модуля «Футбол для всех».</w:t>
      </w:r>
    </w:p>
    <w:p w14:paraId="48EC9905">
      <w:pPr>
        <w:autoSpaceDE w:val="0"/>
        <w:autoSpaceDN w:val="0"/>
        <w:adjustRightInd w:val="0"/>
        <w:spacing w:after="0" w:line="360" w:lineRule="auto"/>
        <w:ind w:firstLine="709"/>
        <w:jc w:val="both"/>
        <w:textAlignment w:val="center"/>
        <w:rPr>
          <w:rFonts w:ascii="Times New Roman" w:hAnsi="Times New Roman"/>
        </w:rPr>
      </w:pPr>
      <w:r>
        <w:rPr>
          <w:rFonts w:ascii="Times New Roman" w:hAnsi="Times New Roman"/>
          <w:lang w:eastAsia="zh-CN"/>
        </w:rPr>
        <w:t xml:space="preserve">Модуль «Футбол для всех» </w:t>
      </w:r>
      <w:r>
        <w:rPr>
          <w:rFonts w:ascii="Times New Roman" w:hAnsi="Times New Roman"/>
        </w:rPr>
        <w:t xml:space="preserve">расширяет и дополняет знания, полученные в результате освоения </w:t>
      </w:r>
      <w:r>
        <w:rPr>
          <w:rFonts w:ascii="Times New Roman" w:hAnsi="Times New Roman" w:eastAsia="Times New Roman"/>
          <w:lang w:eastAsia="ru-RU"/>
        </w:rPr>
        <w:t xml:space="preserve">рабочей программы учебного предмета «Физическая культура» </w:t>
      </w:r>
      <w:r>
        <w:rPr>
          <w:rFonts w:ascii="Times New Roman" w:hAnsi="Times New Roman" w:eastAsia="Times New Roman"/>
          <w:lang w:eastAsia="ar-SA"/>
        </w:rPr>
        <w:t xml:space="preserve">для образовательных организаций, реализующих образовательные программы начального общего образования, содействует </w:t>
      </w:r>
      <w:r>
        <w:rPr>
          <w:rFonts w:ascii="Times New Roman" w:hAnsi="Times New Roman"/>
        </w:rPr>
        <w:t>интеграции уроков физической культуры, внеурочной деятельности, системы дополнительного образования физкультурно-спортивной направленности и деятельности школьного спортивного клуба.</w:t>
      </w:r>
    </w:p>
    <w:p w14:paraId="41CA0E14">
      <w:pPr>
        <w:spacing w:after="0" w:line="360" w:lineRule="auto"/>
        <w:ind w:firstLine="709"/>
        <w:jc w:val="both"/>
        <w:rPr>
          <w:rFonts w:ascii="Times New Roman" w:hAnsi="Times New Roman"/>
        </w:rPr>
      </w:pPr>
      <w:r>
        <w:rPr>
          <w:rFonts w:ascii="Times New Roman" w:hAnsi="Times New Roman"/>
        </w:rPr>
        <w:t>Педагог имеет возможность вариативно использовать учебный материал в разных частях урока по физической культуре с выбором различных элементов игры в футбол с учётом возраста и физической подготовленности обучающихся.</w:t>
      </w:r>
    </w:p>
    <w:p w14:paraId="6F1B4628">
      <w:pPr>
        <w:pBdr>
          <w:top w:val="none" w:color="000000" w:sz="0" w:space="0"/>
          <w:left w:val="none" w:color="000000" w:sz="0" w:space="0"/>
          <w:bottom w:val="none" w:color="000000" w:sz="0" w:space="0"/>
          <w:right w:val="none" w:color="000000" w:sz="0" w:space="0"/>
        </w:pBdr>
        <w:suppressAutoHyphens/>
        <w:spacing w:after="0" w:line="360" w:lineRule="auto"/>
        <w:ind w:firstLine="709"/>
        <w:jc w:val="both"/>
        <w:rPr>
          <w:rFonts w:ascii="Times New Roman" w:hAnsi="Times New Roman"/>
          <w:lang w:eastAsia="zh-CN"/>
        </w:rPr>
      </w:pPr>
      <w:r>
        <w:rPr>
          <w:rFonts w:ascii="Times New Roman" w:hAnsi="Times New Roman" w:eastAsia="Times New Roman"/>
          <w:bCs/>
          <w:lang w:eastAsia="zh-CN"/>
        </w:rPr>
        <w:t>16.4.</w:t>
      </w:r>
      <w:r>
        <w:rPr>
          <w:rFonts w:ascii="Times New Roman" w:hAnsi="Times New Roman"/>
          <w:lang w:eastAsia="zh-CN"/>
        </w:rPr>
        <w:t>16.5. Модуль «Футбол для всех» может быть реализован в следующих вариантах:</w:t>
      </w:r>
    </w:p>
    <w:p w14:paraId="38E513F7">
      <w:pPr>
        <w:pBdr>
          <w:top w:val="none" w:color="000000" w:sz="0" w:space="0"/>
          <w:left w:val="none" w:color="000000" w:sz="0" w:space="0"/>
          <w:bottom w:val="none" w:color="000000" w:sz="0" w:space="0"/>
          <w:right w:val="none" w:color="000000" w:sz="0" w:space="0"/>
        </w:pBdr>
        <w:suppressAutoHyphens/>
        <w:spacing w:after="0" w:line="360" w:lineRule="auto"/>
        <w:ind w:firstLine="709"/>
        <w:jc w:val="both"/>
        <w:rPr>
          <w:rFonts w:ascii="Times New Roman" w:hAnsi="Times New Roman"/>
          <w:lang w:eastAsia="zh-CN"/>
        </w:rPr>
      </w:pPr>
      <w:r>
        <w:rPr>
          <w:rFonts w:ascii="Times New Roman" w:hAnsi="Times New Roman"/>
          <w:lang w:eastAsia="zh-CN"/>
        </w:rPr>
        <w:t>при самостоятельном планировании учителем физической культуры процесса освоения обучающимися учебного материала по футболу с учётом возраста и физической подготовленности обучающихся;</w:t>
      </w:r>
    </w:p>
    <w:p w14:paraId="1F63094A">
      <w:pPr>
        <w:spacing w:after="0" w:line="360" w:lineRule="auto"/>
        <w:ind w:firstLine="709"/>
        <w:jc w:val="both"/>
        <w:rPr>
          <w:rFonts w:ascii="Times New Roman" w:hAnsi="Times New Roman"/>
          <w:lang w:eastAsia="zh-CN"/>
        </w:rPr>
      </w:pPr>
      <w:r>
        <w:rPr>
          <w:rFonts w:ascii="Times New Roman" w:hAnsi="Times New Roman"/>
          <w:lang w:eastAsia="zh-CN"/>
        </w:rPr>
        <w:t xml:space="preserve">в виде целостного последовательного учебного модуля, изучаемого за счёт части учебного плана, формируемой участниками образовательных отношений из перечня, предлагаемого образовательной организацией, включающей, в частности, учебные модули по выбору обучающихся, родителей (законных представителей) несовершеннолетних обучающихся, в том числе предусматривающие удовлетворение различных интересов обучающихся </w:t>
      </w:r>
      <w:r>
        <w:rPr>
          <w:rFonts w:ascii="Times New Roman" w:hAnsi="Times New Roman" w:eastAsia="Arial Unicode MS"/>
          <w:lang w:eastAsia="ru-RU"/>
        </w:rPr>
        <w:t xml:space="preserve">(при организации и проведении уроков физической культуры с 3-х часовой недельной нагрузкой рекомендуемый объём </w:t>
      </w:r>
      <w:r>
        <w:rPr>
          <w:rFonts w:ascii="Times New Roman" w:hAnsi="Times New Roman"/>
        </w:rPr>
        <w:t>в 1 классе – 33 часа, во 2, 3, 4 классах – по 34 часа</w:t>
      </w:r>
      <w:r>
        <w:rPr>
          <w:rFonts w:ascii="Times New Roman" w:hAnsi="Times New Roman"/>
          <w:lang w:eastAsia="zh-CN"/>
        </w:rPr>
        <w:t>);</w:t>
      </w:r>
    </w:p>
    <w:p w14:paraId="70BE65FD">
      <w:pPr>
        <w:pBdr>
          <w:top w:val="none" w:color="000000" w:sz="0" w:space="0"/>
          <w:left w:val="none" w:color="000000" w:sz="0" w:space="0"/>
          <w:bottom w:val="none" w:color="000000" w:sz="0" w:space="0"/>
          <w:right w:val="none" w:color="000000" w:sz="0" w:space="0"/>
        </w:pBdr>
        <w:suppressAutoHyphens/>
        <w:spacing w:after="0" w:line="360" w:lineRule="auto"/>
        <w:ind w:firstLine="709"/>
        <w:jc w:val="both"/>
        <w:rPr>
          <w:rFonts w:ascii="Times New Roman" w:hAnsi="Times New Roman"/>
          <w:lang w:eastAsia="zh-CN"/>
        </w:rPr>
      </w:pPr>
      <w:r>
        <w:rPr>
          <w:rFonts w:ascii="Times New Roman" w:hAnsi="Times New Roman"/>
          <w:lang w:eastAsia="zh-CN"/>
        </w:rPr>
        <w:t xml:space="preserve">в виде дополнительных часов, выделяемых на спортивно-оздоровительную работу с обучающимися в рамках внеурочной деятельности, деятельности школьных спортивных клубов, </w:t>
      </w:r>
      <w:r>
        <w:rPr>
          <w:rFonts w:ascii="Times New Roman" w:hAnsi="Times New Roman"/>
        </w:rPr>
        <w:t>включая использование учебных модулей по видам спорта</w:t>
      </w:r>
      <w:r>
        <w:rPr>
          <w:rFonts w:ascii="Times New Roman" w:hAnsi="Times New Roman"/>
          <w:lang w:eastAsia="zh-CN"/>
        </w:rPr>
        <w:t xml:space="preserve"> </w:t>
      </w:r>
      <w:r>
        <w:rPr>
          <w:rFonts w:ascii="Times New Roman" w:hAnsi="Times New Roman"/>
        </w:rPr>
        <w:t>(</w:t>
      </w:r>
      <w:r>
        <w:rPr>
          <w:rFonts w:ascii="Times New Roman" w:hAnsi="Times New Roman" w:eastAsia="Arial Unicode MS"/>
          <w:lang w:eastAsia="ru-RU"/>
        </w:rPr>
        <w:t xml:space="preserve">рекомендуемый объём </w:t>
      </w:r>
      <w:r>
        <w:rPr>
          <w:rFonts w:ascii="Times New Roman" w:hAnsi="Times New Roman"/>
        </w:rPr>
        <w:t>в 1 классе – 33 часа, во 2, 3, 4 классах – по 34 часа</w:t>
      </w:r>
      <w:r>
        <w:rPr>
          <w:rFonts w:ascii="Times New Roman" w:hAnsi="Times New Roman"/>
          <w:lang w:eastAsia="zh-CN"/>
        </w:rPr>
        <w:t>).</w:t>
      </w:r>
    </w:p>
    <w:p w14:paraId="7F55B4E0">
      <w:pPr>
        <w:pBdr>
          <w:top w:val="none" w:color="000000" w:sz="0" w:space="0"/>
          <w:left w:val="none" w:color="000000" w:sz="0" w:space="0"/>
          <w:bottom w:val="none" w:color="000000" w:sz="0" w:space="0"/>
          <w:right w:val="none" w:color="000000" w:sz="0" w:space="0"/>
        </w:pBdr>
        <w:suppressAutoHyphens/>
        <w:spacing w:after="0" w:line="360" w:lineRule="auto"/>
        <w:ind w:firstLine="709"/>
        <w:jc w:val="both"/>
        <w:rPr>
          <w:rFonts w:ascii="Times New Roman" w:hAnsi="Times New Roman"/>
          <w:lang w:eastAsia="zh-CN"/>
        </w:rPr>
      </w:pPr>
      <w:r>
        <w:rPr>
          <w:rFonts w:ascii="Times New Roman" w:hAnsi="Times New Roman" w:eastAsia="Times New Roman"/>
          <w:bCs/>
          <w:lang w:eastAsia="zh-CN"/>
        </w:rPr>
        <w:t>16.4.</w:t>
      </w:r>
      <w:r>
        <w:rPr>
          <w:rFonts w:ascii="Times New Roman" w:hAnsi="Times New Roman"/>
          <w:lang w:eastAsia="zh-CN"/>
        </w:rPr>
        <w:t>16.6. Содержание модуля «Футбол для всех».</w:t>
      </w:r>
    </w:p>
    <w:p w14:paraId="2E683124">
      <w:pPr>
        <w:pBdr>
          <w:top w:val="none" w:color="000000" w:sz="0" w:space="0"/>
          <w:left w:val="none" w:color="000000" w:sz="0" w:space="0"/>
          <w:bottom w:val="none" w:color="000000" w:sz="0" w:space="0"/>
          <w:right w:val="none" w:color="000000" w:sz="0" w:space="0"/>
        </w:pBdr>
        <w:suppressAutoHyphens/>
        <w:spacing w:after="0" w:line="360" w:lineRule="auto"/>
        <w:ind w:firstLine="709"/>
        <w:jc w:val="both"/>
        <w:rPr>
          <w:rFonts w:ascii="Times New Roman" w:hAnsi="Times New Roman"/>
          <w:lang w:eastAsia="zh-CN"/>
        </w:rPr>
      </w:pPr>
      <w:r>
        <w:rPr>
          <w:rFonts w:ascii="Times New Roman" w:hAnsi="Times New Roman"/>
          <w:lang w:eastAsia="zh-CN"/>
        </w:rPr>
        <w:t>Знания о футболе.</w:t>
      </w:r>
    </w:p>
    <w:p w14:paraId="51EAA9D4">
      <w:pPr>
        <w:spacing w:after="0" w:line="360" w:lineRule="auto"/>
        <w:ind w:firstLine="709"/>
        <w:jc w:val="both"/>
        <w:rPr>
          <w:rFonts w:ascii="Times New Roman" w:hAnsi="Times New Roman" w:eastAsia="Courier New"/>
          <w:lang w:eastAsia="ru-RU"/>
        </w:rPr>
      </w:pPr>
      <w:r>
        <w:rPr>
          <w:rFonts w:ascii="Times New Roman" w:hAnsi="Times New Roman" w:eastAsia="Courier New"/>
          <w:lang w:eastAsia="ru-RU"/>
        </w:rPr>
        <w:t xml:space="preserve">Техника безопасности во время занятий футболом. Правила игры в футбол. </w:t>
      </w:r>
      <w:r>
        <w:rPr>
          <w:rFonts w:ascii="Times New Roman" w:hAnsi="Times New Roman" w:eastAsia="Times New Roman"/>
          <w:lang w:eastAsia="ru-RU"/>
        </w:rPr>
        <w:t>Физическая культура и спорт в России. Развитие футбола в России и за рубежом.</w:t>
      </w:r>
    </w:p>
    <w:p w14:paraId="3E1A50D6">
      <w:pPr>
        <w:spacing w:after="0" w:line="360" w:lineRule="auto"/>
        <w:ind w:firstLine="709"/>
        <w:jc w:val="both"/>
        <w:rPr>
          <w:rFonts w:ascii="Times New Roman" w:hAnsi="Times New Roman" w:eastAsia="Courier New"/>
          <w:lang w:eastAsia="ru-RU"/>
        </w:rPr>
      </w:pPr>
      <w:r>
        <w:rPr>
          <w:rFonts w:ascii="Times New Roman" w:hAnsi="Times New Roman" w:eastAsia="Times New Roman"/>
          <w:lang w:eastAsia="ru-RU"/>
        </w:rPr>
        <w:t>Общее понятие о гигиене. Личная гигиена. Закаливание. Режим и питание спортсмена. Самоконтроль. Оказание первой медицинской помощи.</w:t>
      </w:r>
    </w:p>
    <w:p w14:paraId="16BE5E25">
      <w:pPr>
        <w:spacing w:after="0" w:line="360" w:lineRule="auto"/>
        <w:ind w:firstLine="709"/>
        <w:jc w:val="both"/>
        <w:rPr>
          <w:rFonts w:ascii="Times New Roman" w:hAnsi="Times New Roman" w:eastAsia="Courier New"/>
          <w:lang w:eastAsia="ru-RU"/>
        </w:rPr>
      </w:pPr>
      <w:r>
        <w:rPr>
          <w:rFonts w:ascii="Times New Roman" w:hAnsi="Times New Roman" w:eastAsia="Times New Roman"/>
          <w:lang w:eastAsia="ru-RU"/>
        </w:rPr>
        <w:t>Комплексы упражнений для развития основных физических качеств футболиста различного амплуа.</w:t>
      </w:r>
    </w:p>
    <w:p w14:paraId="012B0CA4">
      <w:pPr>
        <w:spacing w:after="0" w:line="360" w:lineRule="auto"/>
        <w:ind w:firstLine="709"/>
        <w:jc w:val="both"/>
        <w:rPr>
          <w:rFonts w:ascii="Times New Roman" w:hAnsi="Times New Roman" w:eastAsia="Courier New"/>
          <w:lang w:eastAsia="ru-RU"/>
        </w:rPr>
      </w:pPr>
      <w:r>
        <w:rPr>
          <w:rFonts w:ascii="Times New Roman" w:hAnsi="Times New Roman"/>
        </w:rPr>
        <w:t>Понятие о спортивной этике и взаимоотношениях между обучающимися.</w:t>
      </w:r>
    </w:p>
    <w:p w14:paraId="5C3EF760">
      <w:pPr>
        <w:pBdr>
          <w:top w:val="none" w:color="000000" w:sz="0" w:space="0"/>
          <w:left w:val="none" w:color="000000" w:sz="0" w:space="0"/>
          <w:bottom w:val="none" w:color="000000" w:sz="0" w:space="0"/>
          <w:right w:val="none" w:color="000000" w:sz="0" w:space="0"/>
        </w:pBdr>
        <w:suppressAutoHyphens/>
        <w:spacing w:after="0" w:line="360" w:lineRule="auto"/>
        <w:ind w:firstLine="709"/>
        <w:jc w:val="both"/>
        <w:rPr>
          <w:rFonts w:ascii="Times New Roman" w:hAnsi="Times New Roman"/>
          <w:lang w:eastAsia="zh-CN"/>
        </w:rPr>
      </w:pPr>
      <w:r>
        <w:rPr>
          <w:rFonts w:ascii="Times New Roman" w:hAnsi="Times New Roman"/>
          <w:lang w:eastAsia="zh-CN"/>
        </w:rPr>
        <w:t>Способы самостоятельной деятельности.</w:t>
      </w:r>
    </w:p>
    <w:p w14:paraId="1F3D29BA">
      <w:pPr>
        <w:pBdr>
          <w:top w:val="none" w:color="000000" w:sz="0" w:space="0"/>
          <w:left w:val="none" w:color="000000" w:sz="0" w:space="0"/>
          <w:bottom w:val="none" w:color="000000" w:sz="0" w:space="0"/>
          <w:right w:val="none" w:color="000000" w:sz="0" w:space="0"/>
        </w:pBdr>
        <w:suppressAutoHyphens/>
        <w:spacing w:after="0" w:line="360" w:lineRule="auto"/>
        <w:ind w:firstLine="709"/>
        <w:jc w:val="both"/>
        <w:rPr>
          <w:rFonts w:ascii="Times New Roman" w:hAnsi="Times New Roman"/>
        </w:rPr>
      </w:pPr>
      <w:r>
        <w:rPr>
          <w:rFonts w:ascii="Times New Roman" w:hAnsi="Times New Roman"/>
        </w:rPr>
        <w:t>Подготовка места занятий, выбор одежды и обуви для занятий футболом в зависимости от места проведения занятий. Организация и проведение подвижных игр с элементами футбола во время активного отдыха и каникул.</w:t>
      </w:r>
    </w:p>
    <w:p w14:paraId="1839F4D8">
      <w:pPr>
        <w:pBdr>
          <w:top w:val="none" w:color="000000" w:sz="0" w:space="0"/>
          <w:left w:val="none" w:color="000000" w:sz="0" w:space="0"/>
          <w:bottom w:val="none" w:color="000000" w:sz="0" w:space="0"/>
          <w:right w:val="none" w:color="000000" w:sz="0" w:space="0"/>
        </w:pBdr>
        <w:suppressAutoHyphens/>
        <w:spacing w:after="0" w:line="360" w:lineRule="auto"/>
        <w:ind w:firstLine="709"/>
        <w:jc w:val="both"/>
        <w:rPr>
          <w:rFonts w:ascii="Times New Roman" w:hAnsi="Times New Roman"/>
        </w:rPr>
      </w:pPr>
      <w:r>
        <w:rPr>
          <w:rFonts w:ascii="Times New Roman" w:hAnsi="Times New Roman"/>
        </w:rPr>
        <w:t>Оценка техники осваиваемых основных упражнений с футбольным мячом, способы выявления и устранения ошибок в технике выполнения упражнений.</w:t>
      </w:r>
    </w:p>
    <w:p w14:paraId="6E03C424">
      <w:pPr>
        <w:pBdr>
          <w:top w:val="none" w:color="000000" w:sz="0" w:space="0"/>
          <w:left w:val="none" w:color="000000" w:sz="0" w:space="0"/>
          <w:bottom w:val="none" w:color="000000" w:sz="0" w:space="0"/>
          <w:right w:val="none" w:color="000000" w:sz="0" w:space="0"/>
        </w:pBdr>
        <w:suppressAutoHyphens/>
        <w:spacing w:after="0" w:line="360" w:lineRule="auto"/>
        <w:ind w:firstLine="709"/>
        <w:jc w:val="both"/>
        <w:rPr>
          <w:rFonts w:ascii="Times New Roman" w:hAnsi="Times New Roman"/>
        </w:rPr>
      </w:pPr>
      <w:r>
        <w:rPr>
          <w:rFonts w:ascii="Times New Roman" w:hAnsi="Times New Roman"/>
        </w:rPr>
        <w:t>Тестирование уровня физической подготовленности в футболе.</w:t>
      </w:r>
    </w:p>
    <w:p w14:paraId="53BFD71A">
      <w:pPr>
        <w:pBdr>
          <w:top w:val="none" w:color="000000" w:sz="0" w:space="0"/>
          <w:left w:val="none" w:color="000000" w:sz="0" w:space="0"/>
          <w:bottom w:val="none" w:color="000000" w:sz="0" w:space="0"/>
          <w:right w:val="none" w:color="000000" w:sz="0" w:space="0"/>
        </w:pBdr>
        <w:suppressAutoHyphens/>
        <w:spacing w:after="0" w:line="360" w:lineRule="auto"/>
        <w:ind w:firstLine="709"/>
        <w:jc w:val="both"/>
        <w:rPr>
          <w:rFonts w:ascii="Times New Roman" w:hAnsi="Times New Roman"/>
          <w:lang w:eastAsia="zh-CN"/>
        </w:rPr>
      </w:pPr>
      <w:r>
        <w:rPr>
          <w:rFonts w:ascii="Times New Roman" w:hAnsi="Times New Roman"/>
          <w:lang w:eastAsia="zh-CN"/>
        </w:rPr>
        <w:t>Физическое совершенствование.</w:t>
      </w:r>
    </w:p>
    <w:p w14:paraId="6CADF7CC">
      <w:pPr>
        <w:pBdr>
          <w:top w:val="none" w:color="000000" w:sz="0" w:space="0"/>
          <w:left w:val="none" w:color="000000" w:sz="0" w:space="0"/>
          <w:bottom w:val="none" w:color="000000" w:sz="0" w:space="0"/>
          <w:right w:val="none" w:color="000000" w:sz="0" w:space="0"/>
        </w:pBdr>
        <w:suppressAutoHyphens/>
        <w:spacing w:after="0" w:line="360" w:lineRule="auto"/>
        <w:ind w:firstLine="709"/>
        <w:jc w:val="both"/>
        <w:rPr>
          <w:rFonts w:ascii="Times New Roman" w:hAnsi="Times New Roman"/>
        </w:rPr>
      </w:pPr>
      <w:r>
        <w:rPr>
          <w:rFonts w:ascii="Times New Roman" w:hAnsi="Times New Roman" w:eastAsia="Times New Roman"/>
          <w:lang w:eastAsia="ru-RU"/>
        </w:rPr>
        <w:t>Общеразвивающие физические упражнения</w:t>
      </w:r>
      <w:r>
        <w:rPr>
          <w:rFonts w:ascii="Times New Roman" w:hAnsi="Times New Roman"/>
        </w:rPr>
        <w:t>: комплексы подготовительных и специальных упражнений, формирующих двигательные умения и навыки футболиста.</w:t>
      </w:r>
    </w:p>
    <w:p w14:paraId="2AA52C22">
      <w:pPr>
        <w:spacing w:after="0" w:line="360" w:lineRule="auto"/>
        <w:ind w:firstLine="709"/>
        <w:jc w:val="both"/>
        <w:rPr>
          <w:rFonts w:ascii="Times New Roman" w:hAnsi="Times New Roman"/>
        </w:rPr>
      </w:pPr>
      <w:r>
        <w:rPr>
          <w:rFonts w:ascii="Times New Roman" w:hAnsi="Times New Roman"/>
        </w:rPr>
        <w:t>Основные термины футбола.</w:t>
      </w:r>
    </w:p>
    <w:p w14:paraId="4F5DBF34">
      <w:pPr>
        <w:pBdr>
          <w:top w:val="none" w:color="000000" w:sz="0" w:space="0"/>
          <w:left w:val="none" w:color="000000" w:sz="0" w:space="0"/>
          <w:bottom w:val="none" w:color="000000" w:sz="0" w:space="0"/>
          <w:right w:val="none" w:color="000000" w:sz="0" w:space="0"/>
        </w:pBdr>
        <w:suppressAutoHyphens/>
        <w:spacing w:after="0" w:line="360" w:lineRule="auto"/>
        <w:ind w:firstLine="709"/>
        <w:jc w:val="both"/>
        <w:rPr>
          <w:rFonts w:ascii="Times New Roman" w:hAnsi="Times New Roman"/>
        </w:rPr>
      </w:pPr>
      <w:r>
        <w:rPr>
          <w:rFonts w:ascii="Times New Roman" w:hAnsi="Times New Roman"/>
        </w:rPr>
        <w:t>Приобретение двигательных навыков и технических навыков игры в футбол.</w:t>
      </w:r>
    </w:p>
    <w:p w14:paraId="791C55FA">
      <w:pPr>
        <w:spacing w:after="0" w:line="360" w:lineRule="auto"/>
        <w:ind w:firstLine="709"/>
        <w:jc w:val="both"/>
        <w:rPr>
          <w:rFonts w:ascii="Times New Roman" w:hAnsi="Times New Roman"/>
        </w:rPr>
      </w:pPr>
      <w:r>
        <w:rPr>
          <w:rFonts w:ascii="Times New Roman" w:hAnsi="Times New Roman"/>
        </w:rPr>
        <w:t>Подвижные игры (без мяча и с мячом):</w:t>
      </w:r>
    </w:p>
    <w:p w14:paraId="6035BD17">
      <w:pPr>
        <w:pBdr>
          <w:top w:val="none" w:color="000000" w:sz="0" w:space="0"/>
          <w:left w:val="none" w:color="000000" w:sz="0" w:space="0"/>
          <w:bottom w:val="none" w:color="000000" w:sz="0" w:space="0"/>
          <w:right w:val="none" w:color="000000" w:sz="0" w:space="0"/>
        </w:pBdr>
        <w:suppressAutoHyphens/>
        <w:spacing w:after="0" w:line="360" w:lineRule="auto"/>
        <w:ind w:firstLine="709"/>
        <w:jc w:val="both"/>
        <w:rPr>
          <w:rFonts w:ascii="Times New Roman" w:hAnsi="Times New Roman"/>
        </w:rPr>
      </w:pPr>
      <w:r>
        <w:rPr>
          <w:rFonts w:ascii="Times New Roman" w:hAnsi="Times New Roman" w:eastAsia="Times New Roman"/>
          <w:lang w:eastAsia="ru-RU"/>
        </w:rPr>
        <w:t xml:space="preserve">«Пятнашки» («салки»), </w:t>
      </w:r>
      <w:r>
        <w:rPr>
          <w:rFonts w:ascii="Times New Roman" w:hAnsi="Times New Roman"/>
        </w:rPr>
        <w:t xml:space="preserve">«Спиной к финишу», «Собачки», «Собачки в квадрате», «Бой петухов», </w:t>
      </w:r>
      <w:r>
        <w:rPr>
          <w:rFonts w:ascii="Times New Roman" w:hAnsi="Times New Roman" w:eastAsia="Times New Roman"/>
          <w:lang w:eastAsia="ru-RU"/>
        </w:rPr>
        <w:t>«Мяч в стенку», «Передачи мяча с перебежками», «Передачи мяча капитану», «Точный удар», «Ф</w:t>
      </w:r>
      <w:r>
        <w:rPr>
          <w:rFonts w:ascii="Times New Roman" w:hAnsi="Times New Roman"/>
        </w:rPr>
        <w:t xml:space="preserve">утбольный слалом», </w:t>
      </w:r>
      <w:r>
        <w:rPr>
          <w:rFonts w:ascii="Times New Roman" w:hAnsi="Times New Roman"/>
          <w:bCs/>
        </w:rPr>
        <w:t>«Кто быстрее?», «Нападающие тройки», «Быстрее к флажку», «Самый меткий», «Охотники за мячами», «Ловцы игрока без мяча»,</w:t>
      </w:r>
      <w:r>
        <w:rPr>
          <w:rFonts w:ascii="Times New Roman" w:hAnsi="Times New Roman"/>
          <w:b/>
        </w:rPr>
        <w:t xml:space="preserve"> </w:t>
      </w:r>
      <w:r>
        <w:rPr>
          <w:rFonts w:ascii="Times New Roman" w:hAnsi="Times New Roman"/>
        </w:rPr>
        <w:t>«Всадники», «Квадрат с водящими», «Футбол крабов», «В одни ворота», «Взять крепость», «Быстрый танец», «Бросок мяча ступнями», «Разорви цепь», «Обгони мяч», «Вызов номеров», «Только своему», «Салки в тройках», «Верни мяч головой капитану», «Отбери мяч» и другие.</w:t>
      </w:r>
    </w:p>
    <w:p w14:paraId="3F98B91A">
      <w:pPr>
        <w:spacing w:after="0" w:line="360" w:lineRule="auto"/>
        <w:ind w:firstLine="709"/>
        <w:jc w:val="both"/>
        <w:rPr>
          <w:rFonts w:ascii="Times New Roman" w:hAnsi="Times New Roman"/>
        </w:rPr>
      </w:pPr>
      <w:r>
        <w:rPr>
          <w:rFonts w:ascii="Times New Roman" w:hAnsi="Times New Roman"/>
        </w:rPr>
        <w:t>Базовые двигательные навыки, элементы и технические приёмы футбола.</w:t>
      </w:r>
    </w:p>
    <w:p w14:paraId="0253A2FF">
      <w:pPr>
        <w:spacing w:after="0" w:line="360" w:lineRule="auto"/>
        <w:ind w:firstLine="709"/>
        <w:jc w:val="both"/>
        <w:rPr>
          <w:rFonts w:ascii="Times New Roman" w:hAnsi="Times New Roman"/>
        </w:rPr>
      </w:pPr>
      <w:r>
        <w:rPr>
          <w:rFonts w:ascii="Times New Roman" w:hAnsi="Times New Roman"/>
        </w:rPr>
        <w:t>Общие и специальные подготовительные упражнения, развивающие основные качества, необходимые для овладения техникой и тактикой футбола (сила и быстрота мышц рук и ног, сила и гибкость мышц туловища, быстрота реакции и ориентировки в пространстве).</w:t>
      </w:r>
    </w:p>
    <w:p w14:paraId="50190DE7">
      <w:pPr>
        <w:spacing w:after="0" w:line="360" w:lineRule="auto"/>
        <w:ind w:firstLine="709"/>
        <w:jc w:val="both"/>
        <w:rPr>
          <w:rFonts w:ascii="Times New Roman" w:hAnsi="Times New Roman"/>
        </w:rPr>
      </w:pPr>
      <w:r>
        <w:rPr>
          <w:rFonts w:ascii="Times New Roman" w:hAnsi="Times New Roman"/>
        </w:rPr>
        <w:t>Базовые двигательные навыки, элементы и технические приёмы футбола.</w:t>
      </w:r>
    </w:p>
    <w:p w14:paraId="650D798B">
      <w:pPr>
        <w:spacing w:after="0" w:line="360" w:lineRule="auto"/>
        <w:ind w:firstLine="709"/>
        <w:jc w:val="both"/>
        <w:rPr>
          <w:rFonts w:ascii="Times New Roman" w:hAnsi="Times New Roman"/>
        </w:rPr>
      </w:pPr>
      <w:r>
        <w:rPr>
          <w:rFonts w:ascii="Times New Roman" w:hAnsi="Times New Roman"/>
        </w:rPr>
        <w:t>Общие и специальные подготовительные упражнения, развивающие основные качества, необходимые для овладения техникой и тактикой футбола (сила и быстрота мышц рук и ног, сила и гибкость мышц туловища, быстрота реакции и ориентировки в пространстве).</w:t>
      </w:r>
    </w:p>
    <w:p w14:paraId="55A298D3">
      <w:pPr>
        <w:spacing w:after="0" w:line="360" w:lineRule="auto"/>
        <w:ind w:firstLine="709"/>
        <w:jc w:val="both"/>
        <w:rPr>
          <w:rFonts w:ascii="Times New Roman" w:hAnsi="Times New Roman"/>
        </w:rPr>
      </w:pPr>
      <w:r>
        <w:rPr>
          <w:rFonts w:ascii="Times New Roman" w:hAnsi="Times New Roman"/>
        </w:rPr>
        <w:t>Подводящие упражнения и элементы соревновательного направления.</w:t>
      </w:r>
    </w:p>
    <w:p w14:paraId="20C9D433">
      <w:pPr>
        <w:spacing w:after="0" w:line="360" w:lineRule="auto"/>
        <w:ind w:firstLine="709"/>
        <w:jc w:val="both"/>
        <w:rPr>
          <w:rFonts w:ascii="Times New Roman" w:hAnsi="Times New Roman"/>
        </w:rPr>
      </w:pPr>
      <w:r>
        <w:rPr>
          <w:rFonts w:ascii="Times New Roman" w:hAnsi="Times New Roman"/>
        </w:rPr>
        <w:t>Индивидуальные технические действия.</w:t>
      </w:r>
    </w:p>
    <w:p w14:paraId="16BBA4ED">
      <w:pPr>
        <w:spacing w:after="0" w:line="360" w:lineRule="auto"/>
        <w:ind w:firstLine="709"/>
        <w:jc w:val="both"/>
        <w:rPr>
          <w:rFonts w:ascii="Times New Roman" w:hAnsi="Times New Roman"/>
        </w:rPr>
      </w:pPr>
      <w:r>
        <w:rPr>
          <w:rFonts w:ascii="Times New Roman" w:hAnsi="Times New Roman"/>
        </w:rPr>
        <w:t>Удары по мячу: внутренней стороной стопы, серединой подъема, внутренней частью подъема, внешней частью подъема, носком, резаный удар, удар-бросок стопой, с полулета.</w:t>
      </w:r>
    </w:p>
    <w:p w14:paraId="4D0926B7">
      <w:pPr>
        <w:spacing w:after="0" w:line="360" w:lineRule="auto"/>
        <w:ind w:firstLine="709"/>
        <w:jc w:val="both"/>
        <w:rPr>
          <w:rFonts w:ascii="Times New Roman" w:hAnsi="Times New Roman"/>
        </w:rPr>
      </w:pPr>
      <w:r>
        <w:rPr>
          <w:rFonts w:ascii="Times New Roman" w:hAnsi="Times New Roman"/>
        </w:rPr>
        <w:t>Остановка мяча: внутренней стороной стопы, подошвой, грудью.</w:t>
      </w:r>
    </w:p>
    <w:p w14:paraId="73F3DE80">
      <w:pPr>
        <w:spacing w:after="0" w:line="360" w:lineRule="auto"/>
        <w:ind w:firstLine="709"/>
        <w:jc w:val="both"/>
        <w:rPr>
          <w:rFonts w:ascii="Times New Roman" w:hAnsi="Times New Roman"/>
        </w:rPr>
      </w:pPr>
      <w:r>
        <w:rPr>
          <w:rFonts w:ascii="Times New Roman" w:hAnsi="Times New Roman"/>
        </w:rPr>
        <w:t>Ведение мяча. Понятие о ведении мяча. Преимущества игроков, хорошо владеющих ведением мяча. Упражнения для разучивания ведения мяча.</w:t>
      </w:r>
    </w:p>
    <w:p w14:paraId="3470C4E1">
      <w:pPr>
        <w:spacing w:after="0" w:line="360" w:lineRule="auto"/>
        <w:ind w:firstLine="709"/>
        <w:jc w:val="both"/>
        <w:rPr>
          <w:rFonts w:ascii="Times New Roman" w:hAnsi="Times New Roman"/>
        </w:rPr>
      </w:pPr>
      <w:r>
        <w:rPr>
          <w:rFonts w:ascii="Times New Roman" w:hAnsi="Times New Roman"/>
        </w:rPr>
        <w:t>Обманные движения (финты): «уходом», «уходом с ложным замахом на удар», «проброс мяча мимо соперника».</w:t>
      </w:r>
    </w:p>
    <w:p w14:paraId="386533A9">
      <w:pPr>
        <w:pBdr>
          <w:top w:val="none" w:color="000000" w:sz="0" w:space="0"/>
          <w:left w:val="none" w:color="000000" w:sz="0" w:space="0"/>
          <w:bottom w:val="none" w:color="000000" w:sz="0" w:space="0"/>
          <w:right w:val="none" w:color="000000" w:sz="0" w:space="0"/>
        </w:pBdr>
        <w:suppressAutoHyphens/>
        <w:spacing w:after="0" w:line="360" w:lineRule="auto"/>
        <w:ind w:firstLine="709"/>
        <w:jc w:val="both"/>
        <w:rPr>
          <w:rFonts w:ascii="Times New Roman" w:hAnsi="Times New Roman"/>
        </w:rPr>
      </w:pPr>
      <w:r>
        <w:rPr>
          <w:rFonts w:ascii="Times New Roman" w:hAnsi="Times New Roman"/>
        </w:rPr>
        <w:t>Отбор мяча: запрещенные приемы при отборе мяча. Отбор мяча накладыванием стопы, выбиванием, перехватом.</w:t>
      </w:r>
    </w:p>
    <w:p w14:paraId="50BE6D9A">
      <w:pPr>
        <w:spacing w:after="0" w:line="360" w:lineRule="auto"/>
        <w:ind w:firstLine="709"/>
        <w:jc w:val="both"/>
        <w:rPr>
          <w:rFonts w:ascii="Times New Roman" w:hAnsi="Times New Roman"/>
        </w:rPr>
      </w:pPr>
      <w:r>
        <w:rPr>
          <w:rFonts w:ascii="Times New Roman" w:hAnsi="Times New Roman"/>
        </w:rPr>
        <w:t>Техника игры вратаря. Стойка вратаря. Ловля катящегося и низколетящего мяча, полувысокого мяча, ловля мяча в прыжке. Ловля высоколетящего, полувысокого, летящего в стороне мяча.</w:t>
      </w:r>
    </w:p>
    <w:p w14:paraId="21988356">
      <w:pPr>
        <w:pBdr>
          <w:top w:val="none" w:color="000000" w:sz="0" w:space="0"/>
          <w:left w:val="none" w:color="000000" w:sz="0" w:space="0"/>
          <w:bottom w:val="none" w:color="000000" w:sz="0" w:space="0"/>
          <w:right w:val="none" w:color="000000" w:sz="0" w:space="0"/>
        </w:pBdr>
        <w:suppressAutoHyphens/>
        <w:spacing w:after="0" w:line="360" w:lineRule="auto"/>
        <w:ind w:firstLine="709"/>
        <w:jc w:val="both"/>
        <w:rPr>
          <w:rFonts w:ascii="Times New Roman" w:hAnsi="Times New Roman"/>
        </w:rPr>
      </w:pPr>
      <w:r>
        <w:rPr>
          <w:rFonts w:ascii="Times New Roman" w:hAnsi="Times New Roman"/>
        </w:rPr>
        <w:t>Отбивание катящегося и низколетящего в стороне мяча в выпаде. Отбивание мяча ладонями, кулаком или кулаками. Введение мяча в игру. Вбрасывание мяча из-за плеча, сбоку, снизу. Выбивание мяча ногой с рук.</w:t>
      </w:r>
    </w:p>
    <w:p w14:paraId="044BEFD4">
      <w:pPr>
        <w:pBdr>
          <w:top w:val="none" w:color="000000" w:sz="0" w:space="0"/>
          <w:left w:val="none" w:color="000000" w:sz="0" w:space="0"/>
          <w:bottom w:val="none" w:color="000000" w:sz="0" w:space="0"/>
          <w:right w:val="none" w:color="000000" w:sz="0" w:space="0"/>
        </w:pBdr>
        <w:suppressAutoHyphens/>
        <w:spacing w:after="0" w:line="360" w:lineRule="auto"/>
        <w:ind w:firstLine="709"/>
        <w:jc w:val="both"/>
        <w:rPr>
          <w:rFonts w:ascii="Times New Roman" w:hAnsi="Times New Roman"/>
        </w:rPr>
      </w:pPr>
      <w:r>
        <w:rPr>
          <w:rFonts w:ascii="Times New Roman" w:hAnsi="Times New Roman"/>
        </w:rPr>
        <w:t>Тактика игры и обороны: индивидуальные тактические способы ведения единоборства с соперником. Техника выполнения открывания, отвлечения соперника.</w:t>
      </w:r>
    </w:p>
    <w:p w14:paraId="064AE5D6">
      <w:pPr>
        <w:pBdr>
          <w:top w:val="none" w:color="000000" w:sz="0" w:space="0"/>
          <w:left w:val="none" w:color="000000" w:sz="0" w:space="0"/>
          <w:bottom w:val="none" w:color="000000" w:sz="0" w:space="0"/>
          <w:right w:val="none" w:color="000000" w:sz="0" w:space="0"/>
        </w:pBdr>
        <w:suppressAutoHyphens/>
        <w:spacing w:after="0" w:line="360" w:lineRule="auto"/>
        <w:ind w:firstLine="709"/>
        <w:jc w:val="both"/>
        <w:rPr>
          <w:rFonts w:ascii="Times New Roman" w:hAnsi="Times New Roman"/>
        </w:rPr>
      </w:pPr>
      <w:r>
        <w:rPr>
          <w:rFonts w:ascii="Times New Roman" w:hAnsi="Times New Roman"/>
        </w:rPr>
        <w:t>Техника выполнения приема «маневрирование». Передачи мяча и их предназначение. Способы передачи мяча. Удары по воротам.</w:t>
      </w:r>
    </w:p>
    <w:p w14:paraId="0AC79341">
      <w:pPr>
        <w:pBdr>
          <w:top w:val="none" w:color="000000" w:sz="0" w:space="0"/>
          <w:left w:val="none" w:color="000000" w:sz="0" w:space="0"/>
          <w:bottom w:val="none" w:color="000000" w:sz="0" w:space="0"/>
          <w:right w:val="none" w:color="000000" w:sz="0" w:space="0"/>
        </w:pBdr>
        <w:suppressAutoHyphens/>
        <w:spacing w:after="0" w:line="360" w:lineRule="auto"/>
        <w:ind w:firstLine="709"/>
        <w:jc w:val="both"/>
        <w:rPr>
          <w:rFonts w:ascii="Times New Roman" w:hAnsi="Times New Roman"/>
        </w:rPr>
      </w:pPr>
      <w:r>
        <w:rPr>
          <w:rFonts w:ascii="Times New Roman" w:hAnsi="Times New Roman"/>
        </w:rPr>
        <w:t>Групповые тактические действия в атаке и обороне. Действия против соперника без мяча и с мячом.</w:t>
      </w:r>
    </w:p>
    <w:p w14:paraId="6FEA771F">
      <w:pPr>
        <w:pBdr>
          <w:top w:val="none" w:color="000000" w:sz="0" w:space="0"/>
          <w:left w:val="none" w:color="000000" w:sz="0" w:space="0"/>
          <w:bottom w:val="none" w:color="000000" w:sz="0" w:space="0"/>
          <w:right w:val="none" w:color="000000" w:sz="0" w:space="0"/>
        </w:pBdr>
        <w:suppressAutoHyphens/>
        <w:spacing w:after="0" w:line="360" w:lineRule="auto"/>
        <w:ind w:firstLine="709"/>
        <w:jc w:val="both"/>
        <w:rPr>
          <w:rFonts w:ascii="Times New Roman" w:hAnsi="Times New Roman"/>
        </w:rPr>
      </w:pPr>
      <w:r>
        <w:rPr>
          <w:rFonts w:ascii="Times New Roman" w:hAnsi="Times New Roman"/>
        </w:rPr>
        <w:t>Тактика игры вратаря: выбор места в воротах. Упражнения для разучивания приемов игры на выходах. Введение мяча в игру. Руководство действиями партнеров в обороне. Участие вратаря в атакующих действиях партнеров.</w:t>
      </w:r>
    </w:p>
    <w:p w14:paraId="5AF12C5F">
      <w:pPr>
        <w:pBdr>
          <w:top w:val="none" w:color="000000" w:sz="0" w:space="0"/>
          <w:left w:val="none" w:color="000000" w:sz="0" w:space="0"/>
          <w:bottom w:val="none" w:color="000000" w:sz="0" w:space="0"/>
          <w:right w:val="none" w:color="000000" w:sz="0" w:space="0"/>
        </w:pBdr>
        <w:suppressAutoHyphens/>
        <w:spacing w:after="0" w:line="360" w:lineRule="auto"/>
        <w:ind w:firstLine="709"/>
        <w:jc w:val="both"/>
        <w:rPr>
          <w:rFonts w:ascii="Times New Roman" w:hAnsi="Times New Roman"/>
        </w:rPr>
      </w:pPr>
      <w:r>
        <w:rPr>
          <w:rFonts w:ascii="Times New Roman" w:hAnsi="Times New Roman"/>
        </w:rPr>
        <w:t>Учебные игры в футбол по упрощенным правилам.</w:t>
      </w:r>
    </w:p>
    <w:p w14:paraId="249A4199">
      <w:pPr>
        <w:pBdr>
          <w:top w:val="none" w:color="000000" w:sz="0" w:space="0"/>
          <w:left w:val="none" w:color="000000" w:sz="0" w:space="0"/>
          <w:bottom w:val="none" w:color="000000" w:sz="0" w:space="0"/>
          <w:right w:val="none" w:color="000000" w:sz="0" w:space="0"/>
        </w:pBdr>
        <w:suppressAutoHyphens/>
        <w:spacing w:after="0" w:line="360" w:lineRule="auto"/>
        <w:ind w:firstLine="709"/>
        <w:jc w:val="both"/>
        <w:rPr>
          <w:rFonts w:ascii="Times New Roman" w:hAnsi="Times New Roman"/>
          <w:lang w:eastAsia="zh-CN"/>
        </w:rPr>
      </w:pPr>
      <w:r>
        <w:rPr>
          <w:rFonts w:ascii="Times New Roman" w:hAnsi="Times New Roman" w:eastAsia="Times New Roman"/>
          <w:bCs/>
          <w:lang w:eastAsia="zh-CN"/>
        </w:rPr>
        <w:t>16.4.</w:t>
      </w:r>
      <w:r>
        <w:rPr>
          <w:rFonts w:ascii="Times New Roman" w:hAnsi="Times New Roman"/>
          <w:lang w:eastAsia="zh-CN"/>
        </w:rPr>
        <w:t>16.7. Содержание модуля «Футбол для всех» направлено на достижение обучающимися личностных, метапредметных и предметных результатов обучения.</w:t>
      </w:r>
    </w:p>
    <w:p w14:paraId="390EF73C">
      <w:pPr>
        <w:pBdr>
          <w:top w:val="none" w:color="000000" w:sz="0" w:space="0"/>
          <w:left w:val="none" w:color="000000" w:sz="0" w:space="0"/>
          <w:bottom w:val="none" w:color="000000" w:sz="0" w:space="0"/>
          <w:right w:val="none" w:color="000000" w:sz="0" w:space="0"/>
        </w:pBdr>
        <w:suppressAutoHyphens/>
        <w:spacing w:after="0" w:line="360" w:lineRule="auto"/>
        <w:ind w:firstLine="709"/>
        <w:jc w:val="both"/>
        <w:rPr>
          <w:rFonts w:ascii="Times New Roman" w:hAnsi="Times New Roman"/>
          <w:lang w:eastAsia="zh-CN"/>
        </w:rPr>
      </w:pPr>
      <w:r>
        <w:rPr>
          <w:rFonts w:ascii="Times New Roman" w:hAnsi="Times New Roman" w:eastAsia="Times New Roman"/>
          <w:bCs/>
          <w:lang w:eastAsia="zh-CN"/>
        </w:rPr>
        <w:t>16.4.</w:t>
      </w:r>
      <w:r>
        <w:rPr>
          <w:rFonts w:ascii="Times New Roman" w:hAnsi="Times New Roman"/>
          <w:lang w:eastAsia="zh-CN"/>
        </w:rPr>
        <w:t>16.7.1. При изучении модуля «Футбол для всех» на уровне начального общего образования у обучающихся будут сформированы следующие личностные результаты:</w:t>
      </w:r>
    </w:p>
    <w:p w14:paraId="01AD53A1">
      <w:pPr>
        <w:tabs>
          <w:tab w:val="left" w:pos="466"/>
        </w:tabs>
        <w:spacing w:after="0" w:line="360" w:lineRule="auto"/>
        <w:ind w:firstLine="709"/>
        <w:jc w:val="both"/>
        <w:rPr>
          <w:rFonts w:ascii="Times New Roman" w:hAnsi="Times New Roman"/>
        </w:rPr>
      </w:pPr>
      <w:r>
        <w:rPr>
          <w:rFonts w:ascii="Times New Roman" w:hAnsi="Times New Roman"/>
        </w:rPr>
        <w:t>формирование чувства гордости за отечественных футболистов;</w:t>
      </w:r>
    </w:p>
    <w:p w14:paraId="28D44449">
      <w:pPr>
        <w:tabs>
          <w:tab w:val="left" w:pos="471"/>
        </w:tabs>
        <w:spacing w:after="0" w:line="360" w:lineRule="auto"/>
        <w:ind w:firstLine="709"/>
        <w:jc w:val="both"/>
        <w:rPr>
          <w:rFonts w:ascii="Times New Roman" w:hAnsi="Times New Roman"/>
        </w:rPr>
      </w:pPr>
      <w:r>
        <w:rPr>
          <w:rFonts w:ascii="Times New Roman" w:hAnsi="Times New Roman"/>
        </w:rPr>
        <w:t>развитие мотивов учебной деятельности и личностный смысл учения, принятие и освоение социальной роли обучающего;</w:t>
      </w:r>
    </w:p>
    <w:p w14:paraId="4266F800">
      <w:pPr>
        <w:tabs>
          <w:tab w:val="left" w:pos="466"/>
        </w:tabs>
        <w:spacing w:after="0" w:line="360" w:lineRule="auto"/>
        <w:ind w:firstLine="709"/>
        <w:jc w:val="both"/>
        <w:rPr>
          <w:rFonts w:ascii="Times New Roman" w:hAnsi="Times New Roman"/>
        </w:rPr>
      </w:pPr>
      <w:r>
        <w:rPr>
          <w:rFonts w:ascii="Times New Roman" w:hAnsi="Times New Roman"/>
        </w:rPr>
        <w:t>развитие доброжелательности и эмоционально-нравственной отзывчивости, понимания во время игры в футбол;</w:t>
      </w:r>
    </w:p>
    <w:p w14:paraId="2975BAF6">
      <w:pPr>
        <w:tabs>
          <w:tab w:val="left" w:pos="496"/>
        </w:tabs>
        <w:spacing w:after="0" w:line="360" w:lineRule="auto"/>
        <w:ind w:firstLine="709"/>
        <w:jc w:val="both"/>
        <w:rPr>
          <w:rFonts w:ascii="Times New Roman" w:hAnsi="Times New Roman"/>
        </w:rPr>
      </w:pPr>
      <w:r>
        <w:rPr>
          <w:rFonts w:ascii="Times New Roman" w:hAnsi="Times New Roman"/>
        </w:rPr>
        <w:t>развитие навыков сотрудничества со сверстниками и взрослыми в разных игровых ситуациях, умение не создавать конфликты и находить выходы из спорных ситуаций во время игры в футбол;</w:t>
      </w:r>
    </w:p>
    <w:p w14:paraId="313CF790">
      <w:pPr>
        <w:tabs>
          <w:tab w:val="left" w:pos="486"/>
        </w:tabs>
        <w:spacing w:after="0" w:line="360" w:lineRule="auto"/>
        <w:ind w:firstLine="709"/>
        <w:jc w:val="both"/>
        <w:rPr>
          <w:rFonts w:ascii="Times New Roman" w:hAnsi="Times New Roman"/>
        </w:rPr>
      </w:pPr>
      <w:r>
        <w:rPr>
          <w:rFonts w:ascii="Times New Roman" w:hAnsi="Times New Roman"/>
        </w:rPr>
        <w:t>развитие самостоятельности и личной ответственности за свои поступки на основе представлений о нравственных нормах, социальной справедливости и свободе;</w:t>
      </w:r>
    </w:p>
    <w:p w14:paraId="63B45E53">
      <w:pPr>
        <w:tabs>
          <w:tab w:val="left" w:pos="491"/>
        </w:tabs>
        <w:spacing w:after="0" w:line="360" w:lineRule="auto"/>
        <w:ind w:firstLine="709"/>
        <w:jc w:val="both"/>
        <w:rPr>
          <w:rFonts w:ascii="Times New Roman" w:hAnsi="Times New Roman"/>
        </w:rPr>
      </w:pPr>
      <w:r>
        <w:rPr>
          <w:rFonts w:ascii="Times New Roman" w:hAnsi="Times New Roman"/>
        </w:rPr>
        <w:t>формирование эстетических потребностей, ценностей и чувств;</w:t>
      </w:r>
    </w:p>
    <w:p w14:paraId="527B8C58">
      <w:pPr>
        <w:tabs>
          <w:tab w:val="left" w:pos="486"/>
        </w:tabs>
        <w:spacing w:after="0" w:line="360" w:lineRule="auto"/>
        <w:ind w:firstLine="709"/>
        <w:jc w:val="both"/>
        <w:rPr>
          <w:rFonts w:ascii="Times New Roman" w:hAnsi="Times New Roman"/>
        </w:rPr>
      </w:pPr>
      <w:r>
        <w:rPr>
          <w:rFonts w:ascii="Times New Roman" w:hAnsi="Times New Roman"/>
        </w:rPr>
        <w:t>формирование установки на безопасный, здоровый образ жизни.</w:t>
      </w:r>
    </w:p>
    <w:p w14:paraId="16B97CBE">
      <w:pPr>
        <w:pBdr>
          <w:top w:val="none" w:color="000000" w:sz="0" w:space="0"/>
          <w:left w:val="none" w:color="000000" w:sz="0" w:space="0"/>
          <w:bottom w:val="none" w:color="000000" w:sz="0" w:space="0"/>
          <w:right w:val="none" w:color="000000" w:sz="0" w:space="0"/>
        </w:pBdr>
        <w:suppressAutoHyphens/>
        <w:spacing w:after="0" w:line="360" w:lineRule="auto"/>
        <w:ind w:firstLine="709"/>
        <w:jc w:val="both"/>
        <w:rPr>
          <w:rFonts w:ascii="Times New Roman" w:hAnsi="Times New Roman"/>
          <w:lang w:eastAsia="zh-CN"/>
        </w:rPr>
      </w:pPr>
      <w:r>
        <w:rPr>
          <w:rFonts w:ascii="Times New Roman" w:hAnsi="Times New Roman" w:eastAsia="Times New Roman"/>
          <w:bCs/>
          <w:lang w:eastAsia="zh-CN"/>
        </w:rPr>
        <w:t>16.4.</w:t>
      </w:r>
      <w:r>
        <w:rPr>
          <w:rFonts w:ascii="Times New Roman" w:hAnsi="Times New Roman"/>
          <w:lang w:eastAsia="zh-CN"/>
        </w:rPr>
        <w:t>16.7.2. При изучении модуля «Футбол для всех» на уровне начального общего образования у обучающихся будут сформированы следующие метапредметные результаты:</w:t>
      </w:r>
    </w:p>
    <w:p w14:paraId="4F8597D7">
      <w:pPr>
        <w:tabs>
          <w:tab w:val="left" w:pos="496"/>
        </w:tabs>
        <w:spacing w:after="0" w:line="360" w:lineRule="auto"/>
        <w:ind w:firstLine="709"/>
        <w:jc w:val="both"/>
        <w:rPr>
          <w:rFonts w:ascii="Times New Roman" w:hAnsi="Times New Roman"/>
        </w:rPr>
      </w:pPr>
      <w:r>
        <w:rPr>
          <w:rFonts w:ascii="Times New Roman" w:hAnsi="Times New Roman"/>
        </w:rPr>
        <w:t>овладение способностью принимать и сохранять цели и задачи учебной деятельности, поиска средств её осуществления с использованием игры в футбол;</w:t>
      </w:r>
    </w:p>
    <w:p w14:paraId="7B4F8390">
      <w:pPr>
        <w:tabs>
          <w:tab w:val="left" w:pos="486"/>
        </w:tabs>
        <w:spacing w:after="0" w:line="360" w:lineRule="auto"/>
        <w:ind w:firstLine="709"/>
        <w:jc w:val="both"/>
        <w:rPr>
          <w:rFonts w:ascii="Times New Roman" w:hAnsi="Times New Roman"/>
        </w:rPr>
      </w:pPr>
      <w:r>
        <w:rPr>
          <w:rFonts w:ascii="Times New Roman" w:hAnsi="Times New Roman"/>
        </w:rPr>
        <w:t>формирование умения планировать, контролировать и оценивать учебные действия в соответствии с правилами и условиями игры в футбол, определять наиболее эффективные способы достижения игрового результата;</w:t>
      </w:r>
    </w:p>
    <w:p w14:paraId="0934F730">
      <w:pPr>
        <w:tabs>
          <w:tab w:val="left" w:pos="496"/>
        </w:tabs>
        <w:spacing w:after="0" w:line="360" w:lineRule="auto"/>
        <w:ind w:firstLine="709"/>
        <w:jc w:val="both"/>
        <w:rPr>
          <w:rFonts w:ascii="Times New Roman" w:hAnsi="Times New Roman"/>
        </w:rPr>
      </w:pPr>
      <w:r>
        <w:rPr>
          <w:rFonts w:ascii="Times New Roman" w:hAnsi="Times New Roman"/>
        </w:rPr>
        <w:t>определение общей цели и путей её достижения, умение договариваться о распределении функций и ролей в совместной игровой деятельности;</w:t>
      </w:r>
    </w:p>
    <w:p w14:paraId="3546AB71">
      <w:pPr>
        <w:tabs>
          <w:tab w:val="left" w:pos="491"/>
        </w:tabs>
        <w:spacing w:after="0" w:line="360" w:lineRule="auto"/>
        <w:ind w:firstLine="709"/>
        <w:jc w:val="both"/>
        <w:rPr>
          <w:rFonts w:ascii="Times New Roman" w:hAnsi="Times New Roman"/>
        </w:rPr>
      </w:pPr>
      <w:r>
        <w:rPr>
          <w:rFonts w:ascii="Times New Roman" w:hAnsi="Times New Roman"/>
        </w:rPr>
        <w:t>готовность конструктивно разрешать конфликты посредством учёта интересов сторон и сотрудничества;</w:t>
      </w:r>
    </w:p>
    <w:p w14:paraId="7477F1DF">
      <w:pPr>
        <w:tabs>
          <w:tab w:val="left" w:pos="482"/>
        </w:tabs>
        <w:spacing w:after="0" w:line="360" w:lineRule="auto"/>
        <w:ind w:firstLine="709"/>
        <w:jc w:val="both"/>
        <w:rPr>
          <w:rFonts w:ascii="Times New Roman" w:hAnsi="Times New Roman"/>
        </w:rPr>
      </w:pPr>
      <w:r>
        <w:rPr>
          <w:rFonts w:ascii="Times New Roman" w:hAnsi="Times New Roman"/>
        </w:rPr>
        <w:t>владение двигательными действиями и физическими упражнениями футбола и активное их использование в самостоятельно организованной физкультурно-оздоровительной и спортивно-оздоровительной деятельности.</w:t>
      </w:r>
    </w:p>
    <w:p w14:paraId="4A518E65">
      <w:pPr>
        <w:pBdr>
          <w:top w:val="none" w:color="000000" w:sz="0" w:space="0"/>
          <w:left w:val="none" w:color="000000" w:sz="0" w:space="0"/>
          <w:bottom w:val="none" w:color="000000" w:sz="0" w:space="0"/>
          <w:right w:val="none" w:color="000000" w:sz="0" w:space="0"/>
        </w:pBdr>
        <w:suppressAutoHyphens/>
        <w:spacing w:after="0" w:line="360" w:lineRule="auto"/>
        <w:ind w:firstLine="709"/>
        <w:jc w:val="both"/>
        <w:rPr>
          <w:rFonts w:ascii="Times New Roman" w:hAnsi="Times New Roman"/>
          <w:lang w:eastAsia="zh-CN"/>
        </w:rPr>
      </w:pPr>
      <w:r>
        <w:rPr>
          <w:rFonts w:ascii="Times New Roman" w:hAnsi="Times New Roman" w:eastAsia="Times New Roman"/>
          <w:bCs/>
          <w:lang w:eastAsia="zh-CN"/>
        </w:rPr>
        <w:t>16.4.</w:t>
      </w:r>
      <w:r>
        <w:rPr>
          <w:rFonts w:ascii="Times New Roman" w:hAnsi="Times New Roman"/>
          <w:lang w:eastAsia="zh-CN"/>
        </w:rPr>
        <w:t>16.7.3. При изучении модуля «Футбол для всех» на уровне начального общего образования у обучающихся будут сформированы следующие предметные результаты:</w:t>
      </w:r>
    </w:p>
    <w:p w14:paraId="55FB0C10">
      <w:pPr>
        <w:tabs>
          <w:tab w:val="left" w:pos="486"/>
        </w:tabs>
        <w:spacing w:after="0" w:line="360" w:lineRule="auto"/>
        <w:ind w:firstLine="709"/>
        <w:jc w:val="both"/>
        <w:rPr>
          <w:rFonts w:ascii="Times New Roman" w:hAnsi="Times New Roman"/>
        </w:rPr>
      </w:pPr>
      <w:r>
        <w:rPr>
          <w:rFonts w:ascii="Times New Roman" w:hAnsi="Times New Roman"/>
        </w:rPr>
        <w:t>формирование первоначальных представлений о развитии футбола, олимпийского движения;</w:t>
      </w:r>
    </w:p>
    <w:p w14:paraId="4365CE39">
      <w:pPr>
        <w:tabs>
          <w:tab w:val="left" w:pos="446"/>
        </w:tabs>
        <w:spacing w:after="0" w:line="360" w:lineRule="auto"/>
        <w:ind w:firstLine="709"/>
        <w:jc w:val="both"/>
        <w:rPr>
          <w:rFonts w:ascii="Times New Roman" w:hAnsi="Times New Roman"/>
        </w:rPr>
      </w:pPr>
      <w:r>
        <w:rPr>
          <w:rFonts w:ascii="Times New Roman" w:hAnsi="Times New Roman"/>
        </w:rPr>
        <w:t>овладение умениями самостоятельно организовывать здоровьесберегающую жизнедеятельность (режим дня, утренняя зарядка, оздоровительные мероприятия, подвижные игры на основе игры в футбол и другие);</w:t>
      </w:r>
    </w:p>
    <w:p w14:paraId="45E597D1">
      <w:pPr>
        <w:tabs>
          <w:tab w:val="left" w:pos="451"/>
        </w:tabs>
        <w:spacing w:after="0" w:line="360" w:lineRule="auto"/>
        <w:ind w:firstLine="709"/>
        <w:jc w:val="both"/>
        <w:rPr>
          <w:rFonts w:ascii="Times New Roman" w:hAnsi="Times New Roman"/>
        </w:rPr>
      </w:pPr>
      <w:r>
        <w:rPr>
          <w:rFonts w:ascii="Times New Roman" w:hAnsi="Times New Roman"/>
        </w:rPr>
        <w:t>формирование навыка систематического наблюдения за своим физическим состоянием, величиной физических нагрузок, данными мониторинга здоровья (рост, масса тела и другие), показателями развития основных физических качеств (силы, быстроты, выносливости, координации, гибкости);</w:t>
      </w:r>
    </w:p>
    <w:p w14:paraId="19EDAD4A">
      <w:pPr>
        <w:tabs>
          <w:tab w:val="left" w:pos="451"/>
        </w:tabs>
        <w:spacing w:after="0" w:line="360" w:lineRule="auto"/>
        <w:ind w:firstLine="709"/>
        <w:jc w:val="both"/>
        <w:rPr>
          <w:rFonts w:ascii="Times New Roman" w:hAnsi="Times New Roman"/>
        </w:rPr>
      </w:pPr>
      <w:r>
        <w:rPr>
          <w:rFonts w:ascii="Times New Roman" w:hAnsi="Times New Roman"/>
        </w:rPr>
        <w:t>применение и изложение в доступной форме полученных знаний о физической культуре и футболе, грамотно использование понятийного аппарата;</w:t>
      </w:r>
    </w:p>
    <w:p w14:paraId="3F949491">
      <w:pPr>
        <w:tabs>
          <w:tab w:val="left" w:pos="451"/>
        </w:tabs>
        <w:spacing w:after="0" w:line="360" w:lineRule="auto"/>
        <w:ind w:firstLine="709"/>
        <w:jc w:val="both"/>
        <w:rPr>
          <w:rFonts w:ascii="Times New Roman" w:hAnsi="Times New Roman"/>
        </w:rPr>
      </w:pPr>
      <w:r>
        <w:rPr>
          <w:rFonts w:ascii="Times New Roman" w:hAnsi="Times New Roman"/>
        </w:rPr>
        <w:t>освоение правил поведения и безопасности во время занятий и соревнований по футболу;</w:t>
      </w:r>
    </w:p>
    <w:p w14:paraId="4D982108">
      <w:pPr>
        <w:tabs>
          <w:tab w:val="left" w:pos="451"/>
        </w:tabs>
        <w:spacing w:after="0" w:line="360" w:lineRule="auto"/>
        <w:ind w:firstLine="709"/>
        <w:jc w:val="both"/>
        <w:rPr>
          <w:rFonts w:ascii="Times New Roman" w:hAnsi="Times New Roman"/>
        </w:rPr>
      </w:pPr>
      <w:r>
        <w:rPr>
          <w:rFonts w:ascii="Times New Roman" w:hAnsi="Times New Roman"/>
        </w:rPr>
        <w:t>приобретение навыка правильно подбирать одежду и обувь для занятий и соревнований по футболу;</w:t>
      </w:r>
    </w:p>
    <w:p w14:paraId="1D8774E2">
      <w:pPr>
        <w:tabs>
          <w:tab w:val="left" w:pos="451"/>
        </w:tabs>
        <w:spacing w:after="0" w:line="360" w:lineRule="auto"/>
        <w:ind w:firstLine="709"/>
        <w:jc w:val="both"/>
        <w:rPr>
          <w:rFonts w:ascii="Times New Roman" w:hAnsi="Times New Roman"/>
        </w:rPr>
      </w:pPr>
      <w:r>
        <w:rPr>
          <w:rFonts w:ascii="Times New Roman" w:hAnsi="Times New Roman"/>
        </w:rPr>
        <w:t>приобретение важных двигательных навыков, необходимых для игры в футбол;</w:t>
      </w:r>
    </w:p>
    <w:p w14:paraId="30A38F5F">
      <w:pPr>
        <w:tabs>
          <w:tab w:val="left" w:pos="451"/>
        </w:tabs>
        <w:spacing w:after="0" w:line="360" w:lineRule="auto"/>
        <w:ind w:firstLine="709"/>
        <w:jc w:val="both"/>
        <w:rPr>
          <w:rFonts w:ascii="Times New Roman" w:hAnsi="Times New Roman"/>
        </w:rPr>
      </w:pPr>
      <w:r>
        <w:rPr>
          <w:rFonts w:ascii="Times New Roman" w:hAnsi="Times New Roman"/>
        </w:rPr>
        <w:t>овладение основными терминологическими понятиями спортивной игры;</w:t>
      </w:r>
    </w:p>
    <w:p w14:paraId="661ECAF7">
      <w:pPr>
        <w:tabs>
          <w:tab w:val="left" w:pos="451"/>
        </w:tabs>
        <w:spacing w:after="0" w:line="360" w:lineRule="auto"/>
        <w:ind w:firstLine="709"/>
        <w:jc w:val="both"/>
        <w:rPr>
          <w:rFonts w:ascii="Times New Roman" w:hAnsi="Times New Roman"/>
        </w:rPr>
      </w:pPr>
      <w:r>
        <w:rPr>
          <w:rFonts w:ascii="Times New Roman" w:hAnsi="Times New Roman"/>
        </w:rPr>
        <w:t>освоение некоторых навыков первичной технической подготовки футболиста (выполнение ударов по мячу ногами и головой, остановка мяча, ведение мяча и выполнение финтов, отбор мяча);</w:t>
      </w:r>
    </w:p>
    <w:p w14:paraId="6785EB93">
      <w:pPr>
        <w:tabs>
          <w:tab w:val="left" w:pos="451"/>
        </w:tabs>
        <w:spacing w:after="0" w:line="360" w:lineRule="auto"/>
        <w:ind w:firstLine="709"/>
        <w:jc w:val="both"/>
        <w:rPr>
          <w:rFonts w:ascii="Times New Roman" w:hAnsi="Times New Roman"/>
        </w:rPr>
      </w:pPr>
      <w:r>
        <w:rPr>
          <w:rFonts w:ascii="Times New Roman" w:hAnsi="Times New Roman"/>
        </w:rPr>
        <w:t>знание о некоторых индивидуальных и групповых тактических действиях в атаке и в обороне;</w:t>
      </w:r>
    </w:p>
    <w:p w14:paraId="158ED07F">
      <w:pPr>
        <w:tabs>
          <w:tab w:val="left" w:pos="451"/>
        </w:tabs>
        <w:spacing w:after="0" w:line="360" w:lineRule="auto"/>
        <w:ind w:firstLine="709"/>
        <w:jc w:val="both"/>
        <w:rPr>
          <w:rFonts w:ascii="Times New Roman" w:hAnsi="Times New Roman"/>
        </w:rPr>
      </w:pPr>
      <w:r>
        <w:rPr>
          <w:rFonts w:ascii="Times New Roman" w:hAnsi="Times New Roman"/>
        </w:rPr>
        <w:t>формирование общего представления о технике и тактике игры вратаря;</w:t>
      </w:r>
    </w:p>
    <w:p w14:paraId="34E157CD">
      <w:pPr>
        <w:tabs>
          <w:tab w:val="left" w:pos="451"/>
        </w:tabs>
        <w:spacing w:after="0" w:line="360" w:lineRule="auto"/>
        <w:ind w:firstLine="709"/>
        <w:jc w:val="both"/>
        <w:rPr>
          <w:rFonts w:ascii="Times New Roman" w:hAnsi="Times New Roman"/>
        </w:rPr>
      </w:pPr>
      <w:r>
        <w:rPr>
          <w:rFonts w:ascii="Times New Roman" w:hAnsi="Times New Roman"/>
        </w:rPr>
        <w:t>применение во время игры в футбол всех основных технических элементов (техника перемещения, передача и ловля мяча).</w:t>
      </w:r>
    </w:p>
    <w:p w14:paraId="79E37347">
      <w:pPr>
        <w:pStyle w:val="85"/>
        <w:spacing w:before="240"/>
        <w:ind w:firstLine="540"/>
        <w:jc w:val="both"/>
        <w:rPr>
          <w:color w:val="auto"/>
          <w:sz w:val="22"/>
          <w:szCs w:val="22"/>
        </w:rPr>
      </w:pPr>
      <w:r>
        <w:rPr>
          <w:color w:val="auto"/>
          <w:sz w:val="22"/>
          <w:szCs w:val="22"/>
        </w:rPr>
        <w:t>16.4.13. Модуль "Коньки".</w:t>
      </w:r>
    </w:p>
    <w:p w14:paraId="58E952B5">
      <w:pPr>
        <w:pStyle w:val="85"/>
        <w:spacing w:before="200"/>
        <w:ind w:firstLine="540"/>
        <w:jc w:val="both"/>
        <w:rPr>
          <w:color w:val="auto"/>
          <w:sz w:val="22"/>
          <w:szCs w:val="22"/>
        </w:rPr>
      </w:pPr>
      <w:r>
        <w:rPr>
          <w:color w:val="auto"/>
          <w:sz w:val="22"/>
          <w:szCs w:val="22"/>
        </w:rPr>
        <w:t>Пояснительная записка модуля "Коньки".</w:t>
      </w:r>
    </w:p>
    <w:p w14:paraId="63E5B920">
      <w:pPr>
        <w:pStyle w:val="85"/>
        <w:spacing w:before="200"/>
        <w:ind w:firstLine="540"/>
        <w:jc w:val="both"/>
        <w:rPr>
          <w:color w:val="auto"/>
          <w:sz w:val="22"/>
          <w:szCs w:val="22"/>
        </w:rPr>
      </w:pPr>
      <w:r>
        <w:rPr>
          <w:color w:val="auto"/>
          <w:sz w:val="22"/>
          <w:szCs w:val="22"/>
        </w:rPr>
        <w:t>Модуль "Коньки" (далее - модуль "Коньки", модуль по конькам, коньки) на уровне начального общего образования разработан с целью оказания методической помощи учителю физической культуры в создании части рабочей программы по учебному предмету "Физическая культура", направленной на формирование общих представлений о физической культуре и спорте, физической активности человека, физических качествах, жизненно важных прикладных умениях и навыках, основных физических упражнениях (игровых и спортивных) с целью достижения результатов ФГОС НОО, с учетом современных тенденций в системе образования и использования спортивно-ориентированных форм, средств и методов обучения по различным видам спорта.</w:t>
      </w:r>
    </w:p>
    <w:p w14:paraId="00AEC350">
      <w:pPr>
        <w:pStyle w:val="85"/>
        <w:spacing w:before="200"/>
        <w:ind w:firstLine="540"/>
        <w:jc w:val="both"/>
        <w:rPr>
          <w:color w:val="auto"/>
          <w:sz w:val="22"/>
          <w:szCs w:val="22"/>
        </w:rPr>
      </w:pPr>
      <w:r>
        <w:rPr>
          <w:color w:val="auto"/>
          <w:sz w:val="22"/>
          <w:szCs w:val="22"/>
        </w:rPr>
        <w:t>Занятия катанием и бегом на коньках способствуют гармоничному развитию и укреплению здоровья детей, комплексно влияют на органы и системы растущего организма, укрепляя и повышая функциональный уровень дыхательной, сердечно-сосудистой, костно-мышечной и других систем организма человека, вследствие чего увеличивается жизненная емкость легких и мышечная масса, улучшается кровообращение, активизируется обмен веществ, повышается тонус нервной системы.</w:t>
      </w:r>
    </w:p>
    <w:p w14:paraId="6BBD8023">
      <w:pPr>
        <w:pStyle w:val="85"/>
        <w:spacing w:before="200"/>
        <w:ind w:firstLine="540"/>
        <w:jc w:val="both"/>
        <w:rPr>
          <w:color w:val="auto"/>
          <w:sz w:val="22"/>
          <w:szCs w:val="22"/>
        </w:rPr>
      </w:pPr>
      <w:r>
        <w:rPr>
          <w:color w:val="auto"/>
          <w:sz w:val="22"/>
          <w:szCs w:val="22"/>
        </w:rPr>
        <w:t>Катание и бег на коньках являются основой таких видов спорта, как хоккей с шайбой и мячом, фигурное катание. Владение различными способами бега на коньках обеспечивает у обучающихся развитие таких физических качеств, как быстрота, ловкость, гибкость, сила, выносливость, а также снижает умственное утомление и является хорошим средством активного отдыха на воздухе.</w:t>
      </w:r>
    </w:p>
    <w:p w14:paraId="5272756F">
      <w:pPr>
        <w:pStyle w:val="85"/>
        <w:spacing w:before="200"/>
        <w:ind w:firstLine="540"/>
        <w:jc w:val="both"/>
        <w:rPr>
          <w:color w:val="auto"/>
          <w:sz w:val="22"/>
          <w:szCs w:val="22"/>
        </w:rPr>
      </w:pPr>
      <w:r>
        <w:rPr>
          <w:color w:val="auto"/>
          <w:sz w:val="22"/>
          <w:szCs w:val="22"/>
        </w:rPr>
        <w:t>Систематические занятия катанием и бегом на коньках содействуют развитию личностных качеств, обучающихся - нравственных (честность, доброжелательность, дисциплинированность, самообладание, терпимость, коллективизм) в сочетании с волевыми качествами (смелость, решительность, инициатива, трудолюбие, настойчивость и целеустремленность), а также развитию способности управлять своим эмоциональным состоянием.</w:t>
      </w:r>
    </w:p>
    <w:p w14:paraId="4F7FC1DA">
      <w:pPr>
        <w:pStyle w:val="85"/>
        <w:spacing w:before="200"/>
        <w:ind w:firstLine="540"/>
        <w:jc w:val="both"/>
        <w:rPr>
          <w:color w:val="auto"/>
          <w:sz w:val="22"/>
          <w:szCs w:val="22"/>
        </w:rPr>
      </w:pPr>
      <w:r>
        <w:rPr>
          <w:color w:val="auto"/>
          <w:sz w:val="22"/>
          <w:szCs w:val="22"/>
        </w:rPr>
        <w:t>168(1).4.13.2. Целью изучения модуля "Коньки" является обучение катанию и бегу на коньках как базовому двигательному навыку, формирование у обучающихся общечеловеческой культуры и социального самоопределения, устойчивой мотивации к сохранению и укреплению собственного здоровья, ведению здорового и безопасного образа жизни через занятия физической культурой и спортом с использованием средств катания и бега на коньках.</w:t>
      </w:r>
    </w:p>
    <w:p w14:paraId="17C982D7">
      <w:pPr>
        <w:pStyle w:val="85"/>
        <w:spacing w:before="200"/>
        <w:ind w:firstLine="540"/>
        <w:jc w:val="both"/>
        <w:rPr>
          <w:color w:val="auto"/>
          <w:sz w:val="22"/>
          <w:szCs w:val="22"/>
        </w:rPr>
      </w:pPr>
      <w:r>
        <w:rPr>
          <w:color w:val="auto"/>
          <w:sz w:val="22"/>
          <w:szCs w:val="22"/>
        </w:rPr>
        <w:t>168(1).4.13.3. Задачами изучения модуля "Коньки" являются:</w:t>
      </w:r>
    </w:p>
    <w:p w14:paraId="30A4C994">
      <w:pPr>
        <w:pStyle w:val="85"/>
        <w:spacing w:before="200"/>
        <w:ind w:firstLine="540"/>
        <w:jc w:val="both"/>
        <w:rPr>
          <w:color w:val="auto"/>
          <w:sz w:val="22"/>
          <w:szCs w:val="22"/>
        </w:rPr>
      </w:pPr>
      <w:r>
        <w:rPr>
          <w:color w:val="auto"/>
          <w:sz w:val="22"/>
          <w:szCs w:val="22"/>
        </w:rPr>
        <w:t>всестороннее гармоничное развитие обучающихся, увеличение объема их двигательной активности;</w:t>
      </w:r>
    </w:p>
    <w:p w14:paraId="4AE2E374">
      <w:pPr>
        <w:pStyle w:val="85"/>
        <w:spacing w:before="200"/>
        <w:ind w:firstLine="540"/>
        <w:jc w:val="both"/>
        <w:rPr>
          <w:color w:val="auto"/>
          <w:sz w:val="22"/>
          <w:szCs w:val="22"/>
        </w:rPr>
      </w:pPr>
      <w:r>
        <w:rPr>
          <w:color w:val="auto"/>
          <w:sz w:val="22"/>
          <w:szCs w:val="22"/>
        </w:rPr>
        <w:t>укрепление физического, психологического и социального здоровья обучающихся, развитие основных физических качеств и повышение функциональных возможностей их организма, обеспечение культуры безопасного поведения на объектах массовых занятий ледовыми видами спорта;</w:t>
      </w:r>
    </w:p>
    <w:p w14:paraId="7AF595DF">
      <w:pPr>
        <w:pStyle w:val="85"/>
        <w:spacing w:before="200"/>
        <w:ind w:firstLine="540"/>
        <w:jc w:val="both"/>
        <w:rPr>
          <w:color w:val="auto"/>
          <w:sz w:val="22"/>
          <w:szCs w:val="22"/>
        </w:rPr>
      </w:pPr>
      <w:r>
        <w:rPr>
          <w:color w:val="auto"/>
          <w:sz w:val="22"/>
          <w:szCs w:val="22"/>
        </w:rPr>
        <w:t>формирование общих представлений о катании и беге на коньках, его возможностях и значении в процессе укрепления здоровья, физического развития и физической подготовленности обучающихся;</w:t>
      </w:r>
    </w:p>
    <w:p w14:paraId="0FE08C22">
      <w:pPr>
        <w:pStyle w:val="85"/>
        <w:spacing w:before="200"/>
        <w:ind w:firstLine="540"/>
        <w:jc w:val="both"/>
        <w:rPr>
          <w:color w:val="auto"/>
          <w:sz w:val="22"/>
          <w:szCs w:val="22"/>
        </w:rPr>
      </w:pPr>
      <w:r>
        <w:rPr>
          <w:color w:val="auto"/>
          <w:sz w:val="22"/>
          <w:szCs w:val="22"/>
        </w:rPr>
        <w:t>обучение основам техники всех способов передвижения по льду на коньках, безопасному поведению на занятиях на льду, в играх на льду, в критических ситуациях;</w:t>
      </w:r>
    </w:p>
    <w:p w14:paraId="6B337537">
      <w:pPr>
        <w:pStyle w:val="85"/>
        <w:spacing w:before="200"/>
        <w:ind w:firstLine="540"/>
        <w:jc w:val="both"/>
        <w:rPr>
          <w:color w:val="auto"/>
          <w:sz w:val="22"/>
          <w:szCs w:val="22"/>
        </w:rPr>
      </w:pPr>
      <w:r>
        <w:rPr>
          <w:color w:val="auto"/>
          <w:sz w:val="22"/>
          <w:szCs w:val="22"/>
        </w:rPr>
        <w:t>формирование культуры движений, обогащение двигательного опыта средствами катания на коньках с общеразвивающей и корригирующей направленностью;</w:t>
      </w:r>
    </w:p>
    <w:p w14:paraId="77CE2191">
      <w:pPr>
        <w:pStyle w:val="85"/>
        <w:spacing w:before="200"/>
        <w:ind w:firstLine="540"/>
        <w:jc w:val="both"/>
        <w:rPr>
          <w:color w:val="auto"/>
          <w:sz w:val="22"/>
          <w:szCs w:val="22"/>
        </w:rPr>
      </w:pPr>
      <w:r>
        <w:rPr>
          <w:color w:val="auto"/>
          <w:sz w:val="22"/>
          <w:szCs w:val="22"/>
        </w:rPr>
        <w:t>воспитание общей культуры развития личности обучающегося средствами катания и бега на коньках, в том числе, для самореализации и самоопределения;</w:t>
      </w:r>
    </w:p>
    <w:p w14:paraId="25657021">
      <w:pPr>
        <w:pStyle w:val="85"/>
        <w:spacing w:before="200"/>
        <w:ind w:firstLine="540"/>
        <w:jc w:val="both"/>
        <w:rPr>
          <w:color w:val="auto"/>
          <w:sz w:val="22"/>
          <w:szCs w:val="22"/>
        </w:rPr>
      </w:pPr>
      <w:r>
        <w:rPr>
          <w:color w:val="auto"/>
          <w:sz w:val="22"/>
          <w:szCs w:val="22"/>
        </w:rPr>
        <w:t>развитие положительной мотивации и познавательного интереса к учебному предмету "Физическая культура" через средства катания и бега на коньках;</w:t>
      </w:r>
    </w:p>
    <w:p w14:paraId="7D278933">
      <w:pPr>
        <w:pStyle w:val="85"/>
        <w:spacing w:before="200"/>
        <w:ind w:firstLine="540"/>
        <w:jc w:val="both"/>
        <w:rPr>
          <w:color w:val="auto"/>
          <w:sz w:val="22"/>
          <w:szCs w:val="22"/>
        </w:rPr>
      </w:pPr>
      <w:r>
        <w:rPr>
          <w:color w:val="auto"/>
          <w:sz w:val="22"/>
          <w:szCs w:val="22"/>
        </w:rPr>
        <w:t>воспитание социально значимых качеств личности, норм коллективного взаимодействия и сотрудничества в игровой и соревновательной деятельности средствами катания и бега на коньках;</w:t>
      </w:r>
    </w:p>
    <w:p w14:paraId="051B7712">
      <w:pPr>
        <w:pStyle w:val="85"/>
        <w:spacing w:before="200"/>
        <w:ind w:firstLine="540"/>
        <w:jc w:val="both"/>
        <w:rPr>
          <w:color w:val="auto"/>
          <w:sz w:val="22"/>
          <w:szCs w:val="22"/>
        </w:rPr>
      </w:pPr>
      <w:r>
        <w:rPr>
          <w:color w:val="auto"/>
          <w:sz w:val="22"/>
          <w:szCs w:val="22"/>
        </w:rPr>
        <w:t>популяризация катания и бега на коньках в общеобразовательных организациях, привлечение младших школьников, проявляющих повышенный интерес и способности к занятиям конькобежным спортом, в школьные спортивные клубы, секции, к участию в соревнованиях;</w:t>
      </w:r>
    </w:p>
    <w:p w14:paraId="58401970">
      <w:pPr>
        <w:pStyle w:val="85"/>
        <w:spacing w:before="200"/>
        <w:ind w:firstLine="540"/>
        <w:jc w:val="both"/>
        <w:rPr>
          <w:color w:val="auto"/>
          <w:sz w:val="22"/>
          <w:szCs w:val="22"/>
        </w:rPr>
      </w:pPr>
      <w:r>
        <w:rPr>
          <w:color w:val="auto"/>
          <w:sz w:val="22"/>
          <w:szCs w:val="22"/>
        </w:rPr>
        <w:t>выявление, развитие и поддержка одаренных детей в области спорта.</w:t>
      </w:r>
    </w:p>
    <w:p w14:paraId="1E52C618">
      <w:pPr>
        <w:pStyle w:val="85"/>
        <w:spacing w:before="200"/>
        <w:ind w:firstLine="540"/>
        <w:jc w:val="both"/>
        <w:rPr>
          <w:color w:val="auto"/>
          <w:sz w:val="22"/>
          <w:szCs w:val="22"/>
        </w:rPr>
      </w:pPr>
      <w:r>
        <w:rPr>
          <w:color w:val="auto"/>
          <w:sz w:val="22"/>
          <w:szCs w:val="22"/>
        </w:rPr>
        <w:t>168(1).4.13.4. Место и роль модуля "Коньки".</w:t>
      </w:r>
    </w:p>
    <w:p w14:paraId="18BFC912">
      <w:pPr>
        <w:pStyle w:val="85"/>
        <w:spacing w:before="200"/>
        <w:ind w:firstLine="540"/>
        <w:jc w:val="both"/>
        <w:rPr>
          <w:color w:val="auto"/>
          <w:sz w:val="22"/>
          <w:szCs w:val="22"/>
        </w:rPr>
      </w:pPr>
      <w:r>
        <w:rPr>
          <w:color w:val="auto"/>
          <w:sz w:val="22"/>
          <w:szCs w:val="22"/>
        </w:rPr>
        <w:t>Модуль "Коньки" доступен для освоения всем обучающимся, и обеспечивает достижение следующих результатов ФГОС НОО: сформированность общих представлений о физической культуре и спорте, физической активности человека, физических качествах, жизненно важных прикладных умениях и навыках, основных физических упражнениях (гимнастических, игровых, туристических и спортивных).</w:t>
      </w:r>
    </w:p>
    <w:p w14:paraId="0E749D14">
      <w:pPr>
        <w:pStyle w:val="85"/>
        <w:spacing w:before="200"/>
        <w:ind w:firstLine="540"/>
        <w:jc w:val="both"/>
        <w:rPr>
          <w:color w:val="auto"/>
          <w:sz w:val="22"/>
          <w:szCs w:val="22"/>
        </w:rPr>
      </w:pPr>
      <w:r>
        <w:rPr>
          <w:color w:val="auto"/>
          <w:sz w:val="22"/>
          <w:szCs w:val="22"/>
        </w:rPr>
        <w:t>Программное содержание модуля "Коньки" может быть использовано в разделах "Знания о физической культуре", "Способы самостоятельной деятельности", "Физическое совершенствование".</w:t>
      </w:r>
    </w:p>
    <w:p w14:paraId="63F2B041">
      <w:pPr>
        <w:pStyle w:val="85"/>
        <w:spacing w:before="200"/>
        <w:ind w:firstLine="540"/>
        <w:jc w:val="both"/>
        <w:rPr>
          <w:color w:val="auto"/>
          <w:sz w:val="22"/>
          <w:szCs w:val="22"/>
        </w:rPr>
      </w:pPr>
      <w:r>
        <w:rPr>
          <w:color w:val="auto"/>
          <w:sz w:val="22"/>
          <w:szCs w:val="22"/>
        </w:rPr>
        <w:t>Интеграция модуля по конькам поможет обучающимся в освоении образовательных программ в рамках внеурочной деятельности, дополнительного образования, деятельности школьных спортивных клубов, подготовке обучающихся к сдаче норм ГТО и участии в спортивных соревнованиях.</w:t>
      </w:r>
    </w:p>
    <w:p w14:paraId="71A9CED9">
      <w:pPr>
        <w:pStyle w:val="85"/>
        <w:spacing w:before="200"/>
        <w:ind w:firstLine="540"/>
        <w:jc w:val="both"/>
        <w:rPr>
          <w:color w:val="auto"/>
          <w:sz w:val="22"/>
          <w:szCs w:val="22"/>
        </w:rPr>
      </w:pPr>
      <w:r>
        <w:rPr>
          <w:color w:val="auto"/>
          <w:sz w:val="22"/>
          <w:szCs w:val="22"/>
        </w:rPr>
        <w:t>168(1).4.13.5. Модуль "Коньки" может быть реализован в следующих вариантах:</w:t>
      </w:r>
    </w:p>
    <w:p w14:paraId="5A06B01A">
      <w:pPr>
        <w:pStyle w:val="85"/>
        <w:spacing w:before="200"/>
        <w:ind w:firstLine="540"/>
        <w:jc w:val="both"/>
        <w:rPr>
          <w:color w:val="auto"/>
          <w:sz w:val="22"/>
          <w:szCs w:val="22"/>
        </w:rPr>
      </w:pPr>
      <w:r>
        <w:rPr>
          <w:color w:val="auto"/>
          <w:sz w:val="22"/>
          <w:szCs w:val="22"/>
        </w:rPr>
        <w:t>при самостоятельном планировании учителем физической культуры процесса освоения обучающимися учебного материала по конькам с выбором различных элементов специальных физических упражнений, игр и (или) элементов игры, с учетом возраста и физической подготовленности обучающихся (с соответствующей дозировкой и интенсивностью);</w:t>
      </w:r>
    </w:p>
    <w:p w14:paraId="773BBBC4">
      <w:pPr>
        <w:pStyle w:val="85"/>
        <w:spacing w:before="200"/>
        <w:ind w:firstLine="540"/>
        <w:jc w:val="both"/>
        <w:rPr>
          <w:color w:val="auto"/>
          <w:sz w:val="22"/>
          <w:szCs w:val="22"/>
        </w:rPr>
      </w:pPr>
      <w:r>
        <w:rPr>
          <w:color w:val="auto"/>
          <w:sz w:val="22"/>
          <w:szCs w:val="22"/>
        </w:rPr>
        <w:t>в виде дополнительных часов, выделяемых на спортивно-оздоровительную работу с обучающимися в рамках внеурочной деятельности и (или) за счет посещения обучающимися спортивных секций школьных спортивных клубов (рекомендуемый объем в 1 классе - 33 часа, во 2 - 4 классах - по 34 часа).</w:t>
      </w:r>
    </w:p>
    <w:p w14:paraId="2259D251">
      <w:pPr>
        <w:pStyle w:val="85"/>
        <w:spacing w:before="200"/>
        <w:ind w:firstLine="540"/>
        <w:jc w:val="both"/>
        <w:rPr>
          <w:color w:val="auto"/>
          <w:sz w:val="22"/>
          <w:szCs w:val="22"/>
        </w:rPr>
      </w:pPr>
      <w:r>
        <w:rPr>
          <w:color w:val="auto"/>
          <w:sz w:val="22"/>
          <w:szCs w:val="22"/>
        </w:rPr>
        <w:t>168(1).4.13.6. Содержание модуля "Коньки".</w:t>
      </w:r>
    </w:p>
    <w:p w14:paraId="49027DDD">
      <w:pPr>
        <w:pStyle w:val="85"/>
        <w:spacing w:before="200"/>
        <w:ind w:firstLine="540"/>
        <w:jc w:val="both"/>
        <w:rPr>
          <w:color w:val="auto"/>
          <w:sz w:val="22"/>
          <w:szCs w:val="22"/>
        </w:rPr>
      </w:pPr>
      <w:r>
        <w:rPr>
          <w:color w:val="auto"/>
          <w:sz w:val="22"/>
          <w:szCs w:val="22"/>
        </w:rPr>
        <w:t>1) Знания о катании и беге на коньках.</w:t>
      </w:r>
    </w:p>
    <w:p w14:paraId="65F395A8">
      <w:pPr>
        <w:pStyle w:val="85"/>
        <w:spacing w:before="200"/>
        <w:ind w:firstLine="540"/>
        <w:jc w:val="both"/>
        <w:rPr>
          <w:color w:val="auto"/>
          <w:sz w:val="22"/>
          <w:szCs w:val="22"/>
        </w:rPr>
      </w:pPr>
      <w:r>
        <w:rPr>
          <w:color w:val="auto"/>
          <w:sz w:val="22"/>
          <w:szCs w:val="22"/>
        </w:rPr>
        <w:t>История возникновения и развития катания и бега на коньках как вида спорта. История развития конькобежного спорта как вида спорта в мире, в Российской Федерации, в регионе. Достижения отечественных конькобежцев на мировых первенствах и Олимпийских играх.</w:t>
      </w:r>
    </w:p>
    <w:p w14:paraId="1D4D7967">
      <w:pPr>
        <w:pStyle w:val="85"/>
        <w:spacing w:before="200"/>
        <w:ind w:firstLine="540"/>
        <w:jc w:val="both"/>
        <w:rPr>
          <w:color w:val="auto"/>
          <w:sz w:val="22"/>
          <w:szCs w:val="22"/>
        </w:rPr>
      </w:pPr>
      <w:r>
        <w:rPr>
          <w:color w:val="auto"/>
          <w:sz w:val="22"/>
          <w:szCs w:val="22"/>
        </w:rPr>
        <w:t>Характеристика видов передвижения по льду на коньках (катание, бег на коньках). Дистанции и программа соревнований по конькам. Простейшие правила проведения соревнований по конькам. Общие требования к местам катания и бега на коньках, к допустимому температурному режиму для занятий на свежем воздухе. Словарь терминов и определений.</w:t>
      </w:r>
    </w:p>
    <w:p w14:paraId="74355199">
      <w:pPr>
        <w:pStyle w:val="85"/>
        <w:spacing w:before="200"/>
        <w:ind w:firstLine="540"/>
        <w:jc w:val="both"/>
        <w:rPr>
          <w:color w:val="auto"/>
          <w:sz w:val="22"/>
          <w:szCs w:val="22"/>
        </w:rPr>
      </w:pPr>
      <w:r>
        <w:rPr>
          <w:color w:val="auto"/>
          <w:sz w:val="22"/>
          <w:szCs w:val="22"/>
        </w:rPr>
        <w:t>Занятия коньками как средство укрепления здоровья, повышения функциональных возможностей основных систем организма и закаливания.</w:t>
      </w:r>
    </w:p>
    <w:p w14:paraId="37E76024">
      <w:pPr>
        <w:pStyle w:val="85"/>
        <w:spacing w:before="200"/>
        <w:ind w:firstLine="540"/>
        <w:jc w:val="both"/>
        <w:rPr>
          <w:color w:val="auto"/>
          <w:sz w:val="22"/>
          <w:szCs w:val="22"/>
        </w:rPr>
      </w:pPr>
      <w:r>
        <w:rPr>
          <w:color w:val="auto"/>
          <w:sz w:val="22"/>
          <w:szCs w:val="22"/>
        </w:rPr>
        <w:t>Игры и развлечения на льду.</w:t>
      </w:r>
    </w:p>
    <w:p w14:paraId="2BD6DC40">
      <w:pPr>
        <w:pStyle w:val="85"/>
        <w:spacing w:before="200"/>
        <w:ind w:firstLine="540"/>
        <w:jc w:val="both"/>
        <w:rPr>
          <w:color w:val="auto"/>
          <w:sz w:val="22"/>
          <w:szCs w:val="22"/>
        </w:rPr>
      </w:pPr>
      <w:r>
        <w:rPr>
          <w:color w:val="auto"/>
          <w:sz w:val="22"/>
          <w:szCs w:val="22"/>
        </w:rPr>
        <w:t>Влияние занятий конькобежным спортом на формирование положительных качеств личности человека.</w:t>
      </w:r>
    </w:p>
    <w:p w14:paraId="6415B0B4">
      <w:pPr>
        <w:pStyle w:val="85"/>
        <w:spacing w:before="200"/>
        <w:ind w:firstLine="540"/>
        <w:jc w:val="both"/>
        <w:rPr>
          <w:color w:val="auto"/>
          <w:sz w:val="22"/>
          <w:szCs w:val="22"/>
        </w:rPr>
      </w:pPr>
      <w:r>
        <w:rPr>
          <w:color w:val="auto"/>
          <w:sz w:val="22"/>
          <w:szCs w:val="22"/>
        </w:rPr>
        <w:t>Правила поведения и техники безопасности при занятиях коньками на катках, на замерзших открытых водоемах в различное время года. Способы оказания первой помощи катающимся (бегающим) на льду в случае неудачного падения.</w:t>
      </w:r>
    </w:p>
    <w:p w14:paraId="2FA56D4C">
      <w:pPr>
        <w:pStyle w:val="85"/>
        <w:spacing w:before="200"/>
        <w:ind w:firstLine="540"/>
        <w:jc w:val="both"/>
        <w:rPr>
          <w:color w:val="auto"/>
          <w:sz w:val="22"/>
          <w:szCs w:val="22"/>
        </w:rPr>
      </w:pPr>
      <w:r>
        <w:rPr>
          <w:color w:val="auto"/>
          <w:sz w:val="22"/>
          <w:szCs w:val="22"/>
        </w:rPr>
        <w:t>Личная гигиена во время занятий коньками. Форма одежды (конькобежная экипировка): спортивный костюм, конькобежный костюм, шапочка, перчатки, налокотники и наколенники, каска, чехлы, сопутствующий инвентарь и оборудование для занятий коньками.</w:t>
      </w:r>
    </w:p>
    <w:p w14:paraId="17D21D41">
      <w:pPr>
        <w:pStyle w:val="85"/>
        <w:spacing w:before="200"/>
        <w:ind w:firstLine="540"/>
        <w:jc w:val="both"/>
        <w:rPr>
          <w:color w:val="auto"/>
          <w:sz w:val="22"/>
          <w:szCs w:val="22"/>
        </w:rPr>
      </w:pPr>
      <w:r>
        <w:rPr>
          <w:color w:val="auto"/>
          <w:sz w:val="22"/>
          <w:szCs w:val="22"/>
        </w:rPr>
        <w:t>2) Способы самостоятельной деятельности.</w:t>
      </w:r>
    </w:p>
    <w:p w14:paraId="5FDE8B3E">
      <w:pPr>
        <w:pStyle w:val="85"/>
        <w:spacing w:before="200"/>
        <w:ind w:firstLine="540"/>
        <w:jc w:val="both"/>
        <w:rPr>
          <w:color w:val="auto"/>
          <w:sz w:val="22"/>
          <w:szCs w:val="22"/>
        </w:rPr>
      </w:pPr>
      <w:r>
        <w:rPr>
          <w:color w:val="auto"/>
          <w:sz w:val="22"/>
          <w:szCs w:val="22"/>
        </w:rPr>
        <w:t>Самоконтроль во время занятий бегом на коньках и при катании на замерзших открытых водоемах. Первые внешние признаки утомления. Средства восстановления организма после физической нагрузки.</w:t>
      </w:r>
    </w:p>
    <w:p w14:paraId="52CE485B">
      <w:pPr>
        <w:pStyle w:val="85"/>
        <w:spacing w:before="200"/>
        <w:ind w:firstLine="540"/>
        <w:jc w:val="both"/>
        <w:rPr>
          <w:color w:val="auto"/>
          <w:sz w:val="22"/>
          <w:szCs w:val="22"/>
        </w:rPr>
      </w:pPr>
      <w:r>
        <w:rPr>
          <w:color w:val="auto"/>
          <w:sz w:val="22"/>
          <w:szCs w:val="22"/>
        </w:rPr>
        <w:t>Правила личной гигиены, требования к спортивной одежде (конькобежной экипировке) для занятий коньками. Характерные травмы во время занятий коньками и мероприятия по их предупреждению.</w:t>
      </w:r>
    </w:p>
    <w:p w14:paraId="1B46F6AB">
      <w:pPr>
        <w:pStyle w:val="85"/>
        <w:spacing w:before="200"/>
        <w:ind w:firstLine="540"/>
        <w:jc w:val="both"/>
        <w:rPr>
          <w:color w:val="auto"/>
          <w:sz w:val="22"/>
          <w:szCs w:val="22"/>
        </w:rPr>
      </w:pPr>
      <w:r>
        <w:rPr>
          <w:color w:val="auto"/>
          <w:sz w:val="22"/>
          <w:szCs w:val="22"/>
        </w:rPr>
        <w:t>Выбор и подготовка места для бега на коньках, катания. Правила использования спортивного инвентаря и оборудования для занятий коньками. Организация и проведение подвижных игр с элементами катания и бега на коньках во время активного отдыха и каникул.</w:t>
      </w:r>
    </w:p>
    <w:p w14:paraId="2AC258A2">
      <w:pPr>
        <w:pStyle w:val="85"/>
        <w:spacing w:before="200"/>
        <w:ind w:firstLine="540"/>
        <w:jc w:val="both"/>
        <w:rPr>
          <w:color w:val="auto"/>
          <w:sz w:val="22"/>
          <w:szCs w:val="22"/>
        </w:rPr>
      </w:pPr>
      <w:r>
        <w:rPr>
          <w:color w:val="auto"/>
          <w:sz w:val="22"/>
          <w:szCs w:val="22"/>
        </w:rPr>
        <w:t>Подбор и составление комплексов упражнений, включающих общеразвивающие, специальные и имитационные упражнения. Оценка техники осваиваемых упражнений и движений; способы выявления и исправления ошибок в двигательных действиях. Тестирование уровня физической подготовленности.</w:t>
      </w:r>
    </w:p>
    <w:p w14:paraId="2A6EA916">
      <w:pPr>
        <w:pStyle w:val="85"/>
        <w:spacing w:before="200"/>
        <w:ind w:firstLine="540"/>
        <w:jc w:val="both"/>
        <w:rPr>
          <w:color w:val="auto"/>
          <w:sz w:val="22"/>
          <w:szCs w:val="22"/>
        </w:rPr>
      </w:pPr>
      <w:r>
        <w:rPr>
          <w:color w:val="auto"/>
          <w:sz w:val="22"/>
          <w:szCs w:val="22"/>
        </w:rPr>
        <w:t>3) Физическое совершенствование.</w:t>
      </w:r>
    </w:p>
    <w:p w14:paraId="77C13D1E">
      <w:pPr>
        <w:pStyle w:val="85"/>
        <w:spacing w:before="200"/>
        <w:ind w:firstLine="540"/>
        <w:jc w:val="both"/>
        <w:rPr>
          <w:color w:val="auto"/>
          <w:sz w:val="22"/>
          <w:szCs w:val="22"/>
        </w:rPr>
      </w:pPr>
      <w:r>
        <w:rPr>
          <w:color w:val="auto"/>
          <w:sz w:val="22"/>
          <w:szCs w:val="22"/>
        </w:rPr>
        <w:t>Комплексы упражнений на развитие основных физических качеств (гибкости, ловкости, скоростных способностей, выносливости).</w:t>
      </w:r>
    </w:p>
    <w:p w14:paraId="4F2783E3">
      <w:pPr>
        <w:pStyle w:val="85"/>
        <w:spacing w:before="200"/>
        <w:ind w:firstLine="540"/>
        <w:jc w:val="both"/>
        <w:rPr>
          <w:color w:val="auto"/>
          <w:sz w:val="22"/>
          <w:szCs w:val="22"/>
        </w:rPr>
      </w:pPr>
      <w:r>
        <w:rPr>
          <w:color w:val="auto"/>
          <w:sz w:val="22"/>
          <w:szCs w:val="22"/>
        </w:rPr>
        <w:t>Общеразвивающие, специальные и имитационные упражнения. Подготовительные упражнения для освоения со льдом (упражнения для ознакомления со скользящими свойствами льда и трением-скольжением по поверхности льда). Упражнения с использованием опоры на скользящие приспособления (минимум пластикового стула), с опорой на руки партнера (учителя), с опорой на неподвижные конструкции в районе ледовой площадки (бортики вокруг льда) и других вспомогательных средств.</w:t>
      </w:r>
    </w:p>
    <w:p w14:paraId="65B1439B">
      <w:pPr>
        <w:pStyle w:val="85"/>
        <w:spacing w:before="200"/>
        <w:ind w:firstLine="540"/>
        <w:jc w:val="both"/>
        <w:rPr>
          <w:color w:val="auto"/>
          <w:sz w:val="22"/>
          <w:szCs w:val="22"/>
        </w:rPr>
      </w:pPr>
      <w:r>
        <w:rPr>
          <w:color w:val="auto"/>
          <w:sz w:val="22"/>
          <w:szCs w:val="22"/>
        </w:rPr>
        <w:t>Выполнение различного рода упражнений без скольжения, из положения на 2-х коньках, на одном коньке, с попеременной сменой опоры с ноги на ногу.</w:t>
      </w:r>
    </w:p>
    <w:p w14:paraId="020FB5EF">
      <w:pPr>
        <w:pStyle w:val="85"/>
        <w:spacing w:before="200"/>
        <w:ind w:firstLine="540"/>
        <w:jc w:val="both"/>
        <w:rPr>
          <w:color w:val="auto"/>
          <w:sz w:val="22"/>
          <w:szCs w:val="22"/>
        </w:rPr>
      </w:pPr>
      <w:r>
        <w:rPr>
          <w:color w:val="auto"/>
          <w:sz w:val="22"/>
          <w:szCs w:val="22"/>
        </w:rPr>
        <w:t>Хождение по льду на коньках, развернутых в стороны. Усложнение этого типа передвижения изменениями положения туловища и сгибания ног, с различными положениями рук, с последовательным освоением перемещения туловища в положение равновесия на одной ноге, с попеременной сменой опоры с ноги на ногу. Усложнение этого типа передвижения изменениями положения туловища и сгибания ног, с различными положениями рук.</w:t>
      </w:r>
    </w:p>
    <w:p w14:paraId="75D2A67B">
      <w:pPr>
        <w:pStyle w:val="85"/>
        <w:spacing w:before="200"/>
        <w:ind w:firstLine="540"/>
        <w:jc w:val="both"/>
        <w:rPr>
          <w:color w:val="auto"/>
          <w:sz w:val="22"/>
          <w:szCs w:val="22"/>
        </w:rPr>
      </w:pPr>
      <w:r>
        <w:rPr>
          <w:color w:val="auto"/>
          <w:sz w:val="22"/>
          <w:szCs w:val="22"/>
        </w:rPr>
        <w:t>Скольжения по льду на двух ногах после приобретения начальной скорости (самостоятельно, с помощью партнера, с помощью упора в бортик).</w:t>
      </w:r>
    </w:p>
    <w:p w14:paraId="301D1E20">
      <w:pPr>
        <w:pStyle w:val="85"/>
        <w:spacing w:before="200"/>
        <w:ind w:firstLine="540"/>
        <w:jc w:val="both"/>
        <w:rPr>
          <w:color w:val="auto"/>
          <w:sz w:val="22"/>
          <w:szCs w:val="22"/>
        </w:rPr>
      </w:pPr>
      <w:r>
        <w:rPr>
          <w:color w:val="auto"/>
          <w:sz w:val="22"/>
          <w:szCs w:val="22"/>
        </w:rPr>
        <w:t>Способы бега на коньках (начальный этап) в условиях катка. Упражнения и игры для совершенствования техники бега на коньках.</w:t>
      </w:r>
    </w:p>
    <w:p w14:paraId="6320CCB0">
      <w:pPr>
        <w:pStyle w:val="85"/>
        <w:spacing w:before="200"/>
        <w:ind w:firstLine="540"/>
        <w:jc w:val="both"/>
        <w:rPr>
          <w:color w:val="auto"/>
          <w:sz w:val="22"/>
          <w:szCs w:val="22"/>
        </w:rPr>
      </w:pPr>
      <w:r>
        <w:rPr>
          <w:color w:val="auto"/>
          <w:sz w:val="22"/>
          <w:szCs w:val="22"/>
        </w:rPr>
        <w:t>Бег со старта и бег по повороту (имитационные упражнения на суше, упражнения на льду): упражнения для изучения стартового разгона, старт из положения стоя, старт из положения на согнутых ногах с наклоном туловища, старт из различных предварительных положений учеников на льду - сидя (лицом вперед и назад), лежа (головой вперед и назад), из положения приседа с касанием руками льда; упражнения для изучения прохождения поворота на двух коньках в обе стороны ходом вперед (ходом назад), на наружном ребре на одной ноге в обе стороны (ходом вперед и назад), на внутреннем ребре на одной ноге в обе стороны ходом вперед и назад), со сменой положения конька (переход с наружного ребра на внутреннее) используя ход вперед и назад. Освоение скрестного шага в передвижении, а далее в беге по повороту ходом вперед и назад.</w:t>
      </w:r>
    </w:p>
    <w:p w14:paraId="5D19B6CE">
      <w:pPr>
        <w:pStyle w:val="85"/>
        <w:spacing w:before="200"/>
        <w:ind w:firstLine="540"/>
        <w:jc w:val="both"/>
        <w:rPr>
          <w:color w:val="auto"/>
          <w:sz w:val="22"/>
          <w:szCs w:val="22"/>
        </w:rPr>
      </w:pPr>
      <w:r>
        <w:rPr>
          <w:color w:val="auto"/>
          <w:sz w:val="22"/>
          <w:szCs w:val="22"/>
        </w:rPr>
        <w:t>Пробегание учебных дистанций произвольным способом. Участие в соревновательной деятельности.</w:t>
      </w:r>
    </w:p>
    <w:p w14:paraId="17B9B384">
      <w:pPr>
        <w:pStyle w:val="85"/>
        <w:spacing w:before="200"/>
        <w:ind w:firstLine="540"/>
        <w:jc w:val="both"/>
        <w:rPr>
          <w:color w:val="auto"/>
          <w:sz w:val="22"/>
          <w:szCs w:val="22"/>
        </w:rPr>
      </w:pPr>
      <w:r>
        <w:rPr>
          <w:color w:val="auto"/>
          <w:sz w:val="22"/>
          <w:szCs w:val="22"/>
        </w:rPr>
        <w:t>Игры и развлечения на льду (с элементами соревнования, не имеющие сюжета, игры сюжетного характера, командные игры).</w:t>
      </w:r>
    </w:p>
    <w:p w14:paraId="33007B60">
      <w:pPr>
        <w:pStyle w:val="85"/>
        <w:spacing w:before="200"/>
        <w:ind w:firstLine="540"/>
        <w:jc w:val="both"/>
        <w:rPr>
          <w:color w:val="auto"/>
          <w:sz w:val="22"/>
          <w:szCs w:val="22"/>
        </w:rPr>
      </w:pPr>
      <w:r>
        <w:rPr>
          <w:color w:val="auto"/>
          <w:sz w:val="22"/>
          <w:szCs w:val="22"/>
        </w:rPr>
        <w:t>168.4.13(1).7. Содержание модуля "Коньки" направлено на достижение обучающимися личностных, метапредметных и предметных результатов обучения.</w:t>
      </w:r>
    </w:p>
    <w:p w14:paraId="55879EC5">
      <w:pPr>
        <w:pStyle w:val="85"/>
        <w:spacing w:before="200"/>
        <w:ind w:firstLine="540"/>
        <w:jc w:val="both"/>
        <w:rPr>
          <w:color w:val="auto"/>
          <w:sz w:val="22"/>
          <w:szCs w:val="22"/>
        </w:rPr>
      </w:pPr>
      <w:r>
        <w:rPr>
          <w:color w:val="auto"/>
          <w:sz w:val="22"/>
          <w:szCs w:val="22"/>
        </w:rPr>
        <w:t>168.4.13(1).7.1. При изучении модуля "Коньки" на уровне начального общего образования у обучающихся будут сформированы следующие личностные результаты:</w:t>
      </w:r>
    </w:p>
    <w:p w14:paraId="496CB83A">
      <w:pPr>
        <w:pStyle w:val="85"/>
        <w:spacing w:before="200"/>
        <w:ind w:firstLine="540"/>
        <w:jc w:val="both"/>
        <w:rPr>
          <w:color w:val="auto"/>
          <w:sz w:val="22"/>
          <w:szCs w:val="22"/>
        </w:rPr>
      </w:pPr>
      <w:r>
        <w:rPr>
          <w:color w:val="auto"/>
          <w:sz w:val="22"/>
          <w:szCs w:val="22"/>
        </w:rPr>
        <w:t>проявление чувства гордости за отечественных конькобежцев;</w:t>
      </w:r>
    </w:p>
    <w:p w14:paraId="5D1EEC60">
      <w:pPr>
        <w:pStyle w:val="85"/>
        <w:spacing w:before="200"/>
        <w:ind w:firstLine="540"/>
        <w:jc w:val="both"/>
        <w:rPr>
          <w:color w:val="auto"/>
          <w:sz w:val="22"/>
          <w:szCs w:val="22"/>
        </w:rPr>
      </w:pPr>
      <w:r>
        <w:rPr>
          <w:color w:val="auto"/>
          <w:sz w:val="22"/>
          <w:szCs w:val="22"/>
        </w:rPr>
        <w:t>проявление уважительного отношения к сверстникам, культуры общения и взаимодействия на принципах доброжелательности и взаимопомощи;</w:t>
      </w:r>
    </w:p>
    <w:p w14:paraId="6D45A554">
      <w:pPr>
        <w:pStyle w:val="85"/>
        <w:spacing w:before="200"/>
        <w:ind w:firstLine="540"/>
        <w:jc w:val="both"/>
        <w:rPr>
          <w:color w:val="auto"/>
          <w:sz w:val="22"/>
          <w:szCs w:val="22"/>
        </w:rPr>
      </w:pPr>
      <w:r>
        <w:rPr>
          <w:color w:val="auto"/>
          <w:sz w:val="22"/>
          <w:szCs w:val="22"/>
        </w:rPr>
        <w:t>проявление положительных качеств личности и управление своими эмоциями в различных (нестандартных) ситуациях и условиях;</w:t>
      </w:r>
    </w:p>
    <w:p w14:paraId="6E400C42">
      <w:pPr>
        <w:pStyle w:val="85"/>
        <w:spacing w:before="200"/>
        <w:ind w:firstLine="540"/>
        <w:jc w:val="both"/>
        <w:rPr>
          <w:color w:val="auto"/>
          <w:sz w:val="22"/>
          <w:szCs w:val="22"/>
        </w:rPr>
      </w:pPr>
      <w:r>
        <w:rPr>
          <w:color w:val="auto"/>
          <w:sz w:val="22"/>
          <w:szCs w:val="22"/>
        </w:rPr>
        <w:t>проявление дисциплинированности, трудолюбия и упорства в достижении поставленных целей на основе представлений о нравственных нормах;</w:t>
      </w:r>
    </w:p>
    <w:p w14:paraId="4B8B79DB">
      <w:pPr>
        <w:pStyle w:val="85"/>
        <w:spacing w:before="200"/>
        <w:ind w:firstLine="540"/>
        <w:jc w:val="both"/>
        <w:rPr>
          <w:color w:val="auto"/>
          <w:sz w:val="22"/>
          <w:szCs w:val="22"/>
        </w:rPr>
      </w:pPr>
      <w:r>
        <w:rPr>
          <w:color w:val="auto"/>
          <w:sz w:val="22"/>
          <w:szCs w:val="22"/>
        </w:rPr>
        <w:t>способность принимать и осваивать социальную роль обучающегося, развитие мотивов учебной деятельности, стремление к познанию и творчеству, эстетическим потребностям;</w:t>
      </w:r>
    </w:p>
    <w:p w14:paraId="50DD6393">
      <w:pPr>
        <w:pStyle w:val="85"/>
        <w:spacing w:before="200"/>
        <w:ind w:firstLine="540"/>
        <w:jc w:val="both"/>
        <w:rPr>
          <w:color w:val="auto"/>
          <w:sz w:val="22"/>
          <w:szCs w:val="22"/>
        </w:rPr>
      </w:pPr>
      <w:r>
        <w:rPr>
          <w:color w:val="auto"/>
          <w:sz w:val="22"/>
          <w:szCs w:val="22"/>
        </w:rPr>
        <w:t>понимание установки на безопасный, здоровый образ жизни, бережное отношение к материальным и духовным ценностям, наличие мотивации к работе на результат.</w:t>
      </w:r>
    </w:p>
    <w:p w14:paraId="5072A95B">
      <w:pPr>
        <w:pStyle w:val="85"/>
        <w:spacing w:before="200"/>
        <w:ind w:firstLine="540"/>
        <w:jc w:val="both"/>
        <w:rPr>
          <w:color w:val="auto"/>
          <w:sz w:val="22"/>
          <w:szCs w:val="22"/>
        </w:rPr>
      </w:pPr>
      <w:r>
        <w:rPr>
          <w:color w:val="auto"/>
          <w:sz w:val="22"/>
          <w:szCs w:val="22"/>
        </w:rPr>
        <w:t>168(1).4.13.7.2. При изучении модуля "Коньки" на уровне начального общего образования у обучающихся будут сформированы следующие метапредметные результаты:</w:t>
      </w:r>
    </w:p>
    <w:p w14:paraId="720F5D08">
      <w:pPr>
        <w:pStyle w:val="85"/>
        <w:spacing w:before="200"/>
        <w:ind w:firstLine="540"/>
        <w:jc w:val="both"/>
        <w:rPr>
          <w:color w:val="auto"/>
          <w:sz w:val="22"/>
          <w:szCs w:val="22"/>
        </w:rPr>
      </w:pPr>
      <w:r>
        <w:rPr>
          <w:color w:val="auto"/>
          <w:sz w:val="22"/>
          <w:szCs w:val="22"/>
        </w:rPr>
        <w:t>овладение способностью принимать и сохранять цели и задачи учебной деятельности, поиска средств ее осуществления с использованием средств катания и бега на коньках;</w:t>
      </w:r>
    </w:p>
    <w:p w14:paraId="03F3B198">
      <w:pPr>
        <w:pStyle w:val="85"/>
        <w:spacing w:before="200"/>
        <w:ind w:firstLine="540"/>
        <w:jc w:val="both"/>
        <w:rPr>
          <w:color w:val="auto"/>
          <w:sz w:val="22"/>
          <w:szCs w:val="22"/>
        </w:rPr>
      </w:pPr>
      <w:r>
        <w:rPr>
          <w:color w:val="auto"/>
          <w:sz w:val="22"/>
          <w:szCs w:val="22"/>
        </w:rPr>
        <w:t>умение планировать, контролировать и оценивать учебные действия, собственную деятельность, распределять нагрузку и отдых в процессе ее выполнения, определять наиболее эффективные способы достижения результата;</w:t>
      </w:r>
    </w:p>
    <w:p w14:paraId="3E1CA089">
      <w:pPr>
        <w:pStyle w:val="85"/>
        <w:spacing w:before="200"/>
        <w:ind w:firstLine="540"/>
        <w:jc w:val="both"/>
        <w:rPr>
          <w:color w:val="auto"/>
          <w:sz w:val="22"/>
          <w:szCs w:val="22"/>
        </w:rPr>
      </w:pPr>
      <w:r>
        <w:rPr>
          <w:color w:val="auto"/>
          <w:sz w:val="22"/>
          <w:szCs w:val="22"/>
        </w:rPr>
        <w:t>умение характеризовать действия и поступки, давать им объективную оценку на основе освоенных знаний и имеющегося опыта;</w:t>
      </w:r>
    </w:p>
    <w:p w14:paraId="7B269814">
      <w:pPr>
        <w:pStyle w:val="85"/>
        <w:spacing w:before="200"/>
        <w:ind w:firstLine="540"/>
        <w:jc w:val="both"/>
        <w:rPr>
          <w:color w:val="auto"/>
          <w:sz w:val="22"/>
          <w:szCs w:val="22"/>
        </w:rPr>
      </w:pPr>
      <w:r>
        <w:rPr>
          <w:color w:val="auto"/>
          <w:sz w:val="22"/>
          <w:szCs w:val="22"/>
        </w:rPr>
        <w:t>понимание причин успеха или неуспеха учебной деятельности и способность конструктивно действовать даже в ситуациях неуспеха;</w:t>
      </w:r>
    </w:p>
    <w:p w14:paraId="56D46008">
      <w:pPr>
        <w:pStyle w:val="85"/>
        <w:spacing w:before="200"/>
        <w:ind w:firstLine="540"/>
        <w:jc w:val="both"/>
        <w:rPr>
          <w:color w:val="auto"/>
          <w:sz w:val="22"/>
          <w:szCs w:val="22"/>
        </w:rPr>
      </w:pPr>
      <w:r>
        <w:rPr>
          <w:color w:val="auto"/>
          <w:sz w:val="22"/>
          <w:szCs w:val="22"/>
        </w:rPr>
        <w:t>определение общей цели и путей ее достижения; умение договариваться о распределении функций в учебной, игровой и соревновательной деятельности;</w:t>
      </w:r>
    </w:p>
    <w:p w14:paraId="0A7AFF06">
      <w:pPr>
        <w:pStyle w:val="85"/>
        <w:spacing w:before="200"/>
        <w:ind w:firstLine="540"/>
        <w:jc w:val="both"/>
        <w:rPr>
          <w:color w:val="auto"/>
          <w:sz w:val="22"/>
          <w:szCs w:val="22"/>
        </w:rPr>
      </w:pPr>
      <w:r>
        <w:rPr>
          <w:color w:val="auto"/>
          <w:sz w:val="22"/>
          <w:szCs w:val="22"/>
        </w:rPr>
        <w:t>организация самостоятельной деятельности с учетом требований ее безопасности, сохранности инвентаря и оборудования, организации места занятий (ледовой площадки);</w:t>
      </w:r>
    </w:p>
    <w:p w14:paraId="115AEA25">
      <w:pPr>
        <w:pStyle w:val="85"/>
        <w:spacing w:before="200"/>
        <w:ind w:firstLine="540"/>
        <w:jc w:val="both"/>
        <w:rPr>
          <w:color w:val="auto"/>
          <w:sz w:val="22"/>
          <w:szCs w:val="22"/>
        </w:rPr>
      </w:pPr>
      <w:r>
        <w:rPr>
          <w:color w:val="auto"/>
          <w:sz w:val="22"/>
          <w:szCs w:val="22"/>
        </w:rPr>
        <w:t>способность выделять эстетические признаки в физических упражнениях, двигательных действиях; оценивать красоту телосложения и осанки.</w:t>
      </w:r>
    </w:p>
    <w:p w14:paraId="7D39ED70">
      <w:pPr>
        <w:pStyle w:val="85"/>
        <w:spacing w:before="200"/>
        <w:ind w:firstLine="540"/>
        <w:jc w:val="both"/>
        <w:rPr>
          <w:color w:val="auto"/>
          <w:sz w:val="22"/>
          <w:szCs w:val="22"/>
        </w:rPr>
      </w:pPr>
      <w:r>
        <w:rPr>
          <w:color w:val="auto"/>
          <w:sz w:val="22"/>
          <w:szCs w:val="22"/>
        </w:rPr>
        <w:t>168(1).4.13.7.3. При изучении модуля "Коньки" на уровне начального общего образования у обучающихся будут сформированы следующие предметные результаты:</w:t>
      </w:r>
    </w:p>
    <w:p w14:paraId="7200B151">
      <w:pPr>
        <w:pStyle w:val="85"/>
        <w:spacing w:before="200"/>
        <w:ind w:firstLine="540"/>
        <w:jc w:val="both"/>
        <w:rPr>
          <w:color w:val="auto"/>
          <w:sz w:val="22"/>
          <w:szCs w:val="22"/>
        </w:rPr>
      </w:pPr>
      <w:r>
        <w:rPr>
          <w:color w:val="auto"/>
          <w:sz w:val="22"/>
          <w:szCs w:val="22"/>
        </w:rPr>
        <w:t>сформированность представлений о роли и значении занятий коньками для укрепления здоровья, закаливания и развития физических качеств;</w:t>
      </w:r>
    </w:p>
    <w:p w14:paraId="1271B704">
      <w:pPr>
        <w:pStyle w:val="85"/>
        <w:spacing w:before="200"/>
        <w:ind w:firstLine="540"/>
        <w:jc w:val="both"/>
        <w:rPr>
          <w:color w:val="auto"/>
          <w:sz w:val="22"/>
          <w:szCs w:val="22"/>
        </w:rPr>
      </w:pPr>
      <w:r>
        <w:rPr>
          <w:color w:val="auto"/>
          <w:sz w:val="22"/>
          <w:szCs w:val="22"/>
        </w:rPr>
        <w:t>сформированность знаний по истории возникновения и развития занятий коньками;</w:t>
      </w:r>
    </w:p>
    <w:p w14:paraId="3AC793F3">
      <w:pPr>
        <w:pStyle w:val="85"/>
        <w:spacing w:before="200"/>
        <w:ind w:firstLine="540"/>
        <w:jc w:val="both"/>
        <w:rPr>
          <w:color w:val="auto"/>
          <w:sz w:val="22"/>
          <w:szCs w:val="22"/>
        </w:rPr>
      </w:pPr>
      <w:r>
        <w:rPr>
          <w:color w:val="auto"/>
          <w:sz w:val="22"/>
          <w:szCs w:val="22"/>
        </w:rPr>
        <w:t>сформированность представлений о видах и стилях катания и бега на коньках, их сходстве и различиях; играх и развлечениях на льду; простейших правилах проведения соревнований по конькобежному спорту;</w:t>
      </w:r>
    </w:p>
    <w:p w14:paraId="5F9EA8D0">
      <w:pPr>
        <w:pStyle w:val="85"/>
        <w:spacing w:before="200"/>
        <w:ind w:firstLine="540"/>
        <w:jc w:val="both"/>
        <w:rPr>
          <w:color w:val="auto"/>
          <w:sz w:val="22"/>
          <w:szCs w:val="22"/>
        </w:rPr>
      </w:pPr>
      <w:r>
        <w:rPr>
          <w:color w:val="auto"/>
          <w:sz w:val="22"/>
          <w:szCs w:val="22"/>
        </w:rPr>
        <w:t>сформированность навыков: безопасного поведения во время занятий на льду, катания на замерзших открытых водоемах и в повседневной жизни; личной гигиены при занятиях коньками;</w:t>
      </w:r>
    </w:p>
    <w:p w14:paraId="0CABB870">
      <w:pPr>
        <w:pStyle w:val="85"/>
        <w:spacing w:before="200"/>
        <w:ind w:firstLine="540"/>
        <w:jc w:val="both"/>
        <w:rPr>
          <w:color w:val="auto"/>
          <w:sz w:val="22"/>
          <w:szCs w:val="22"/>
        </w:rPr>
      </w:pPr>
      <w:r>
        <w:rPr>
          <w:color w:val="auto"/>
          <w:sz w:val="22"/>
          <w:szCs w:val="22"/>
        </w:rPr>
        <w:t>умение составлять и выполнять самостоятельно простейшие комплексы общеразвивающих, специальных и имитационных упражнений для занятий коньками;</w:t>
      </w:r>
    </w:p>
    <w:p w14:paraId="0C605075">
      <w:pPr>
        <w:pStyle w:val="85"/>
        <w:spacing w:before="200"/>
        <w:ind w:firstLine="540"/>
        <w:jc w:val="both"/>
        <w:rPr>
          <w:color w:val="auto"/>
          <w:sz w:val="22"/>
          <w:szCs w:val="22"/>
        </w:rPr>
      </w:pPr>
      <w:r>
        <w:rPr>
          <w:color w:val="auto"/>
          <w:sz w:val="22"/>
          <w:szCs w:val="22"/>
        </w:rPr>
        <w:t>владение техническими элементами передвижения по льду на коньках: находиться на льду в безопорном положении, стоять, шагать, скользить по льду в положениях на одной ноге и на двух ногах; сохранять правильное положение туловища и сгибы в суставах нижних конечностей; работать с дополнительным инвентарем, а также с партнером (учителем);</w:t>
      </w:r>
    </w:p>
    <w:p w14:paraId="7040DFD7">
      <w:pPr>
        <w:pStyle w:val="85"/>
        <w:spacing w:before="200"/>
        <w:ind w:firstLine="540"/>
        <w:jc w:val="both"/>
        <w:rPr>
          <w:color w:val="auto"/>
          <w:sz w:val="22"/>
          <w:szCs w:val="22"/>
        </w:rPr>
      </w:pPr>
      <w:r>
        <w:rPr>
          <w:color w:val="auto"/>
          <w:sz w:val="22"/>
          <w:szCs w:val="22"/>
        </w:rPr>
        <w:t>владение техническими действиями стилей бега на коньках: с работой одной рукой, двумя руками, с руками в положении за спиной, с различной величиной сгибания ног в суставах нижних конечностей, бег в направлении вперед-назад, бег по повороту в обе стороны, различные типы остановок, различные типы мгновенного набора скорости бега, безопасные способы падения на лед и подъемов со льда;</w:t>
      </w:r>
    </w:p>
    <w:p w14:paraId="31887789">
      <w:pPr>
        <w:pStyle w:val="85"/>
        <w:spacing w:before="200"/>
        <w:ind w:firstLine="540"/>
        <w:jc w:val="both"/>
        <w:rPr>
          <w:color w:val="auto"/>
          <w:sz w:val="22"/>
          <w:szCs w:val="22"/>
        </w:rPr>
      </w:pPr>
      <w:r>
        <w:rPr>
          <w:color w:val="auto"/>
          <w:sz w:val="22"/>
          <w:szCs w:val="22"/>
        </w:rPr>
        <w:t>умение организовывать и проводить подвижные игры с элементами бега на коньках во время активного отдыха и каникул;</w:t>
      </w:r>
    </w:p>
    <w:p w14:paraId="1B99A745">
      <w:pPr>
        <w:pStyle w:val="85"/>
        <w:spacing w:before="200"/>
        <w:ind w:firstLine="540"/>
        <w:jc w:val="both"/>
        <w:rPr>
          <w:color w:val="auto"/>
          <w:sz w:val="22"/>
          <w:szCs w:val="22"/>
        </w:rPr>
      </w:pPr>
      <w:r>
        <w:rPr>
          <w:color w:val="auto"/>
          <w:sz w:val="22"/>
          <w:szCs w:val="22"/>
        </w:rPr>
        <w:t>умение определять внешние признаки утомления во время занятий бегом на коньках, катанием;</w:t>
      </w:r>
    </w:p>
    <w:p w14:paraId="06F9A362">
      <w:pPr>
        <w:pStyle w:val="85"/>
        <w:spacing w:before="240"/>
        <w:ind w:firstLine="540"/>
        <w:jc w:val="both"/>
        <w:rPr>
          <w:color w:val="auto"/>
          <w:sz w:val="22"/>
          <w:szCs w:val="22"/>
        </w:rPr>
      </w:pPr>
      <w:r>
        <w:rPr>
          <w:color w:val="auto"/>
          <w:sz w:val="22"/>
          <w:szCs w:val="22"/>
        </w:rPr>
        <w:t>умение выполнять тестовые упражнения по физической подготовленности в беге на коньках; пробегание произвольным способом без остановки дистанции до 200 м.</w:t>
      </w:r>
    </w:p>
    <w:p w14:paraId="2ECE317F">
      <w:pPr>
        <w:pStyle w:val="85"/>
        <w:spacing w:before="240"/>
        <w:ind w:firstLine="540"/>
        <w:jc w:val="both"/>
        <w:rPr>
          <w:color w:val="auto"/>
          <w:sz w:val="22"/>
          <w:szCs w:val="22"/>
        </w:rPr>
      </w:pPr>
      <w:r>
        <w:rPr>
          <w:color w:val="auto"/>
          <w:sz w:val="22"/>
          <w:szCs w:val="22"/>
        </w:rPr>
        <w:t>16.4.14. Модуль "Теннис".</w:t>
      </w:r>
    </w:p>
    <w:p w14:paraId="049B69A4">
      <w:pPr>
        <w:pStyle w:val="85"/>
        <w:spacing w:before="240"/>
        <w:ind w:firstLine="540"/>
        <w:jc w:val="both"/>
        <w:rPr>
          <w:color w:val="auto"/>
          <w:sz w:val="22"/>
          <w:szCs w:val="22"/>
        </w:rPr>
      </w:pPr>
      <w:r>
        <w:rPr>
          <w:color w:val="auto"/>
          <w:sz w:val="22"/>
          <w:szCs w:val="22"/>
        </w:rPr>
        <w:t>16.4.14.1. Пояснительная записка модуля "Теннис".</w:t>
      </w:r>
    </w:p>
    <w:p w14:paraId="2CEB0CF3">
      <w:pPr>
        <w:pStyle w:val="85"/>
        <w:spacing w:before="240"/>
        <w:ind w:firstLine="540"/>
        <w:jc w:val="both"/>
        <w:rPr>
          <w:color w:val="auto"/>
          <w:sz w:val="22"/>
          <w:szCs w:val="22"/>
        </w:rPr>
      </w:pPr>
      <w:r>
        <w:rPr>
          <w:color w:val="auto"/>
          <w:sz w:val="22"/>
          <w:szCs w:val="22"/>
        </w:rPr>
        <w:t>Модуль "Теннис" (далее - модуль "Теннис", модуль по теннису, теннис) на уровне начального общего образования разработан с целью оказания методической помощи учителю физической культуры в создании части рабочей программы по учебному предмету "Физическая культура", направленной на формирование общих представлений о физической культуре и спорте, физической активности человека, физических качествах, жизненно важных прикладных умениях и навыках, основных физических упражнениях (игровых и спортивных) с целью достижения результатов ФГОС НОО, с учетом современных тенденций в системе образования и использования спортивно-ориентированных форм, средств и методов обучения по различным видам спорта.</w:t>
      </w:r>
    </w:p>
    <w:p w14:paraId="727F0871">
      <w:pPr>
        <w:pStyle w:val="85"/>
        <w:spacing w:before="240"/>
        <w:ind w:firstLine="540"/>
        <w:jc w:val="both"/>
        <w:rPr>
          <w:color w:val="auto"/>
          <w:sz w:val="22"/>
          <w:szCs w:val="22"/>
        </w:rPr>
      </w:pPr>
      <w:r>
        <w:rPr>
          <w:color w:val="auto"/>
          <w:sz w:val="22"/>
          <w:szCs w:val="22"/>
        </w:rPr>
        <w:t>Игра в теннис является эффективным средством укрепления здоровья и физического развития обучающихся. Занятия теннисом воздействуют практически на все группы мышц, развивают быстроту, силу, выносливость, координацию движения, улучшают подвижность в суставах, способствуют приобретению широкого круга двигательных навыков, воспитывают волевые качества, дисциплинированность, воспитывают умения работать в команде. Все движения в теннисе носят естественный характер, базирующийся на беге, прыжках, различных перемещениях. На занятиях теннисом улучшается острота зрения, скорость реакции и осанка ребенка.</w:t>
      </w:r>
    </w:p>
    <w:p w14:paraId="06B42775">
      <w:pPr>
        <w:pStyle w:val="85"/>
        <w:spacing w:before="240"/>
        <w:ind w:firstLine="540"/>
        <w:jc w:val="both"/>
        <w:rPr>
          <w:color w:val="auto"/>
          <w:sz w:val="22"/>
          <w:szCs w:val="22"/>
        </w:rPr>
      </w:pPr>
      <w:r>
        <w:rPr>
          <w:color w:val="auto"/>
          <w:sz w:val="22"/>
          <w:szCs w:val="22"/>
        </w:rPr>
        <w:t>В процессе игры в теннис обучающиеся испытывают положительные эмоции: жизнерадостность, бодрость, инициативу, благодаря чему игра представляет собой средство не только физического развития, но и активного отдыха всех детей.</w:t>
      </w:r>
    </w:p>
    <w:p w14:paraId="7B6F72E0">
      <w:pPr>
        <w:pStyle w:val="85"/>
        <w:spacing w:before="240"/>
        <w:ind w:firstLine="540"/>
        <w:jc w:val="both"/>
        <w:rPr>
          <w:color w:val="auto"/>
          <w:sz w:val="22"/>
          <w:szCs w:val="22"/>
        </w:rPr>
      </w:pPr>
      <w:r>
        <w:rPr>
          <w:color w:val="auto"/>
          <w:sz w:val="22"/>
          <w:szCs w:val="22"/>
        </w:rPr>
        <w:t>16.4.14.2. Целью изучения модуля "Теннис" является формирование физически развитой личности, готовой к активной творческой самореализации с использованием средств тенниса для укрепления и сохранения собственного здоровья, профессионального самоопределения в соответствии с индивидуальными способностями.</w:t>
      </w:r>
    </w:p>
    <w:p w14:paraId="052AF526">
      <w:pPr>
        <w:pStyle w:val="85"/>
        <w:spacing w:before="240"/>
        <w:ind w:firstLine="540"/>
        <w:jc w:val="both"/>
        <w:rPr>
          <w:color w:val="auto"/>
          <w:sz w:val="22"/>
          <w:szCs w:val="22"/>
        </w:rPr>
      </w:pPr>
      <w:r>
        <w:rPr>
          <w:color w:val="auto"/>
          <w:sz w:val="22"/>
          <w:szCs w:val="22"/>
        </w:rPr>
        <w:t>16.4.14.3. Задачами изучения модуля "Теннис" являются:</w:t>
      </w:r>
    </w:p>
    <w:p w14:paraId="66361DCA">
      <w:pPr>
        <w:pStyle w:val="85"/>
        <w:spacing w:before="240"/>
        <w:ind w:firstLine="540"/>
        <w:jc w:val="both"/>
        <w:rPr>
          <w:color w:val="auto"/>
          <w:sz w:val="22"/>
          <w:szCs w:val="22"/>
        </w:rPr>
      </w:pPr>
      <w:r>
        <w:rPr>
          <w:color w:val="auto"/>
          <w:sz w:val="22"/>
          <w:szCs w:val="22"/>
        </w:rPr>
        <w:t>всестороннее гармоничное развитие обучающихся, создание условий для воспроизводства необходимого объема их двигательной активности в режиме учебного дня и досуговой деятельности средствами игры в теннис, теннисных упражнений и подвижных игр с элементами тенниса;</w:t>
      </w:r>
    </w:p>
    <w:p w14:paraId="27D92CBE">
      <w:pPr>
        <w:pStyle w:val="85"/>
        <w:spacing w:before="240"/>
        <w:ind w:firstLine="540"/>
        <w:jc w:val="both"/>
        <w:rPr>
          <w:color w:val="auto"/>
          <w:sz w:val="22"/>
          <w:szCs w:val="22"/>
        </w:rPr>
      </w:pPr>
      <w:r>
        <w:rPr>
          <w:color w:val="auto"/>
          <w:sz w:val="22"/>
          <w:szCs w:val="22"/>
        </w:rPr>
        <w:t>формирование физического, нравственного, психологического и социального здоровья обучающихся, повышения уровня развития двигательных способностей в соответствии с сенситивными периодами младшего школьного возраста, повышение функциональных возможностей организма, обеспечение культуры безопасного поведения на занятиях по теннису;</w:t>
      </w:r>
    </w:p>
    <w:p w14:paraId="55004F9D">
      <w:pPr>
        <w:pStyle w:val="85"/>
        <w:spacing w:before="240"/>
        <w:ind w:firstLine="540"/>
        <w:jc w:val="both"/>
        <w:rPr>
          <w:color w:val="auto"/>
          <w:sz w:val="22"/>
          <w:szCs w:val="22"/>
        </w:rPr>
      </w:pPr>
      <w:r>
        <w:rPr>
          <w:color w:val="auto"/>
          <w:sz w:val="22"/>
          <w:szCs w:val="22"/>
        </w:rPr>
        <w:t>обогащение двигательного опыта обучающихся физическими упражнениями с общеразвивающей и корригирующей направленностью посредством освоения технических действий и подвижных игр с элементами тенниса;</w:t>
      </w:r>
    </w:p>
    <w:p w14:paraId="480F7AF2">
      <w:pPr>
        <w:pStyle w:val="85"/>
        <w:spacing w:before="240"/>
        <w:ind w:firstLine="540"/>
        <w:jc w:val="both"/>
        <w:rPr>
          <w:color w:val="auto"/>
          <w:sz w:val="22"/>
          <w:szCs w:val="22"/>
        </w:rPr>
      </w:pPr>
      <w:r>
        <w:rPr>
          <w:color w:val="auto"/>
          <w:sz w:val="22"/>
          <w:szCs w:val="22"/>
        </w:rPr>
        <w:t>освоение знаний и формирование представлений о теннисе как виде спорта, его истории развития, способах формирования здоровья, физического развития и физической подготовки обучающихся;</w:t>
      </w:r>
    </w:p>
    <w:p w14:paraId="184076C4">
      <w:pPr>
        <w:pStyle w:val="85"/>
        <w:spacing w:before="240"/>
        <w:ind w:firstLine="540"/>
        <w:jc w:val="both"/>
        <w:rPr>
          <w:color w:val="auto"/>
          <w:sz w:val="22"/>
          <w:szCs w:val="22"/>
        </w:rPr>
      </w:pPr>
      <w:r>
        <w:rPr>
          <w:color w:val="auto"/>
          <w:sz w:val="22"/>
          <w:szCs w:val="22"/>
        </w:rPr>
        <w:t>обучение двигательным и инструктивным умениям и навыкам, техническим действиям игры в теннис, правилам организации самостоятельных занятий теннисом;</w:t>
      </w:r>
    </w:p>
    <w:p w14:paraId="67242749">
      <w:pPr>
        <w:pStyle w:val="85"/>
        <w:spacing w:before="240"/>
        <w:ind w:firstLine="540"/>
        <w:jc w:val="both"/>
        <w:rPr>
          <w:color w:val="auto"/>
          <w:sz w:val="22"/>
          <w:szCs w:val="22"/>
        </w:rPr>
      </w:pPr>
      <w:r>
        <w:rPr>
          <w:color w:val="auto"/>
          <w:sz w:val="22"/>
          <w:szCs w:val="22"/>
        </w:rPr>
        <w:t>воспитание социально значимых качеств личности, норм коллективного взаимодействия и сотрудничества в игровой и соревновательной деятельности средствами тенниса;</w:t>
      </w:r>
    </w:p>
    <w:p w14:paraId="2CDD9B1E">
      <w:pPr>
        <w:pStyle w:val="85"/>
        <w:spacing w:before="240"/>
        <w:ind w:firstLine="540"/>
        <w:jc w:val="both"/>
        <w:rPr>
          <w:color w:val="auto"/>
          <w:sz w:val="22"/>
          <w:szCs w:val="22"/>
        </w:rPr>
      </w:pPr>
      <w:r>
        <w:rPr>
          <w:color w:val="auto"/>
          <w:sz w:val="22"/>
          <w:szCs w:val="22"/>
        </w:rPr>
        <w:t>популяризация тенниса среди детей, привлечение младших школьников, проявляющих повышенный интерес и способности к занятиям теннисом, в школьные спортивные клубы, секции, к участию в соревнованиях;</w:t>
      </w:r>
    </w:p>
    <w:p w14:paraId="0C5670A0">
      <w:pPr>
        <w:pStyle w:val="85"/>
        <w:spacing w:before="240"/>
        <w:ind w:firstLine="540"/>
        <w:jc w:val="both"/>
        <w:rPr>
          <w:color w:val="auto"/>
          <w:sz w:val="22"/>
          <w:szCs w:val="22"/>
        </w:rPr>
      </w:pPr>
      <w:r>
        <w:rPr>
          <w:color w:val="auto"/>
          <w:sz w:val="22"/>
          <w:szCs w:val="22"/>
        </w:rPr>
        <w:t>выявление, развитие и поддержка одаренных детей в области спорта.</w:t>
      </w:r>
    </w:p>
    <w:p w14:paraId="5F2C3D89">
      <w:pPr>
        <w:pStyle w:val="85"/>
        <w:spacing w:before="240"/>
        <w:ind w:firstLine="540"/>
        <w:jc w:val="both"/>
        <w:rPr>
          <w:color w:val="auto"/>
          <w:sz w:val="22"/>
          <w:szCs w:val="22"/>
        </w:rPr>
      </w:pPr>
      <w:r>
        <w:rPr>
          <w:color w:val="auto"/>
          <w:sz w:val="22"/>
          <w:szCs w:val="22"/>
        </w:rPr>
        <w:t>16.4.14.4. Место и роль модуля "Теннис".</w:t>
      </w:r>
    </w:p>
    <w:p w14:paraId="0C5977D8">
      <w:pPr>
        <w:pStyle w:val="85"/>
        <w:spacing w:before="240"/>
        <w:ind w:firstLine="540"/>
        <w:jc w:val="both"/>
        <w:rPr>
          <w:color w:val="auto"/>
          <w:sz w:val="22"/>
          <w:szCs w:val="22"/>
        </w:rPr>
      </w:pPr>
      <w:r>
        <w:rPr>
          <w:color w:val="auto"/>
          <w:sz w:val="22"/>
          <w:szCs w:val="22"/>
        </w:rPr>
        <w:t>Модуль "Теннис" доступен для освоения всем обучающимся, и обеспечивает достижение следующих результатов ФГОС НОО: сформированность общих представлений о физической культуре и спорте, физической активности человека, физических качествах, жизненно важных прикладных умениях и навыках, основных физических упражнениях (гимнастических, игровых, туристических и спортивных).</w:t>
      </w:r>
    </w:p>
    <w:p w14:paraId="22D4ED44">
      <w:pPr>
        <w:pStyle w:val="85"/>
        <w:spacing w:before="240"/>
        <w:ind w:firstLine="540"/>
        <w:jc w:val="both"/>
        <w:rPr>
          <w:color w:val="auto"/>
          <w:sz w:val="22"/>
          <w:szCs w:val="22"/>
        </w:rPr>
      </w:pPr>
      <w:r>
        <w:rPr>
          <w:color w:val="auto"/>
          <w:sz w:val="22"/>
          <w:szCs w:val="22"/>
        </w:rPr>
        <w:t>Программное содержание модуля "Теннис" может быть использовано в разделах "Знания о физической культуре", "Способы самостоятельной деятельности", "Физическое совершенствование".</w:t>
      </w:r>
    </w:p>
    <w:p w14:paraId="6DEFC0A5">
      <w:pPr>
        <w:pStyle w:val="85"/>
        <w:spacing w:before="240"/>
        <w:ind w:firstLine="540"/>
        <w:jc w:val="both"/>
        <w:rPr>
          <w:color w:val="auto"/>
          <w:sz w:val="22"/>
          <w:szCs w:val="22"/>
        </w:rPr>
      </w:pPr>
      <w:r>
        <w:rPr>
          <w:color w:val="auto"/>
          <w:sz w:val="22"/>
          <w:szCs w:val="22"/>
        </w:rPr>
        <w:t>Интеграция модуля по теннису поможет обучающимся в освоении образовательных программ в рамках внеурочной деятельности, дополнительного образования, деятельности школьных спортивных клубов, подготовке обучающихся к сдаче норм ГТО и участии в спортивных соревнованиях.</w:t>
      </w:r>
    </w:p>
    <w:p w14:paraId="0C6318E1">
      <w:pPr>
        <w:pStyle w:val="85"/>
        <w:spacing w:before="240"/>
        <w:ind w:firstLine="540"/>
        <w:jc w:val="both"/>
        <w:rPr>
          <w:color w:val="auto"/>
          <w:sz w:val="22"/>
          <w:szCs w:val="22"/>
        </w:rPr>
      </w:pPr>
      <w:r>
        <w:rPr>
          <w:color w:val="auto"/>
          <w:sz w:val="22"/>
          <w:szCs w:val="22"/>
        </w:rPr>
        <w:t>16.4.14.5. Модуль "Теннис" может быть реализован в следующих вариантах:</w:t>
      </w:r>
    </w:p>
    <w:p w14:paraId="63DA0AB9">
      <w:pPr>
        <w:pStyle w:val="85"/>
        <w:spacing w:before="240"/>
        <w:ind w:firstLine="540"/>
        <w:jc w:val="both"/>
        <w:rPr>
          <w:color w:val="auto"/>
          <w:sz w:val="22"/>
          <w:szCs w:val="22"/>
        </w:rPr>
      </w:pPr>
      <w:r>
        <w:rPr>
          <w:color w:val="auto"/>
          <w:sz w:val="22"/>
          <w:szCs w:val="22"/>
        </w:rPr>
        <w:t>при самостоятельном планировании учителем физической культуры процесса освоения обучающимися учебного материала по теннису с выбором различных элементов специальных физических упражнений, игр и (или) элементов игры, с учетом возраста и физической подготовленности обучающихся (с соответствующей дозировкой и интенсивностью);</w:t>
      </w:r>
    </w:p>
    <w:p w14:paraId="1D89E0E3">
      <w:pPr>
        <w:pStyle w:val="85"/>
        <w:spacing w:before="240"/>
        <w:ind w:firstLine="540"/>
        <w:jc w:val="both"/>
        <w:rPr>
          <w:color w:val="auto"/>
          <w:sz w:val="22"/>
          <w:szCs w:val="22"/>
        </w:rPr>
      </w:pPr>
      <w:r>
        <w:rPr>
          <w:color w:val="auto"/>
          <w:sz w:val="22"/>
          <w:szCs w:val="22"/>
        </w:rPr>
        <w:t>в виде дополнительных часов, выделяемых на спортивно-оздоровительную работу с обучающимися в рамках внеурочной деятельности и (или) за счет посещения обучающимися спортивных секций школьных спортивных клубов (рекомендуемый объем в 1 классе - 33 часа, во 2 - 4 классах - по 34 часа).</w:t>
      </w:r>
    </w:p>
    <w:p w14:paraId="51CA156B">
      <w:pPr>
        <w:pStyle w:val="85"/>
        <w:spacing w:before="240"/>
        <w:ind w:firstLine="540"/>
        <w:jc w:val="both"/>
        <w:rPr>
          <w:color w:val="auto"/>
          <w:sz w:val="22"/>
          <w:szCs w:val="22"/>
        </w:rPr>
      </w:pPr>
      <w:r>
        <w:rPr>
          <w:color w:val="auto"/>
          <w:sz w:val="22"/>
          <w:szCs w:val="22"/>
        </w:rPr>
        <w:t>16.4.14.6. Содержание модуля "Теннис".</w:t>
      </w:r>
    </w:p>
    <w:p w14:paraId="2C8BB471">
      <w:pPr>
        <w:pStyle w:val="85"/>
        <w:spacing w:before="240"/>
        <w:ind w:firstLine="540"/>
        <w:jc w:val="both"/>
        <w:rPr>
          <w:color w:val="auto"/>
          <w:sz w:val="22"/>
          <w:szCs w:val="22"/>
        </w:rPr>
      </w:pPr>
      <w:r>
        <w:rPr>
          <w:color w:val="auto"/>
          <w:sz w:val="22"/>
          <w:szCs w:val="22"/>
        </w:rPr>
        <w:t>1) Знания о теннисе.</w:t>
      </w:r>
    </w:p>
    <w:p w14:paraId="27ECF4C7">
      <w:pPr>
        <w:pStyle w:val="85"/>
        <w:spacing w:before="240"/>
        <w:ind w:firstLine="540"/>
        <w:jc w:val="both"/>
        <w:rPr>
          <w:color w:val="auto"/>
          <w:sz w:val="22"/>
          <w:szCs w:val="22"/>
        </w:rPr>
      </w:pPr>
      <w:r>
        <w:rPr>
          <w:color w:val="auto"/>
          <w:sz w:val="22"/>
          <w:szCs w:val="22"/>
        </w:rPr>
        <w:t>История возникновения и развития тенниса в мире, в России, в регионе. Основные термины, определения и понятия в теннисе. Названия технических базовых элементов тенниса. Классификация ударов в теннисе. Лучшие национальные традиции тенниса, знаменитые теннисисты. Основные теннисные турниры России. Место тенниса в системе. Календарь соревнований по теннису для школьников.</w:t>
      </w:r>
    </w:p>
    <w:p w14:paraId="11DBF298">
      <w:pPr>
        <w:pStyle w:val="85"/>
        <w:spacing w:before="240"/>
        <w:ind w:firstLine="540"/>
        <w:jc w:val="both"/>
        <w:rPr>
          <w:color w:val="auto"/>
          <w:sz w:val="22"/>
          <w:szCs w:val="22"/>
        </w:rPr>
      </w:pPr>
      <w:r>
        <w:rPr>
          <w:color w:val="auto"/>
          <w:sz w:val="22"/>
          <w:szCs w:val="22"/>
        </w:rPr>
        <w:t>Названия линий и размеры площадки для парной и одиночной игры в теннис. Правила безопасного поведения во время занятий теннисом. Правила проведения соревнований различного уровня по теннису, упрощенные правила соревнований. Способ начисления очков.</w:t>
      </w:r>
    </w:p>
    <w:p w14:paraId="01198343">
      <w:pPr>
        <w:pStyle w:val="85"/>
        <w:spacing w:before="240"/>
        <w:ind w:firstLine="540"/>
        <w:jc w:val="both"/>
        <w:rPr>
          <w:color w:val="auto"/>
          <w:sz w:val="22"/>
          <w:szCs w:val="22"/>
        </w:rPr>
      </w:pPr>
      <w:r>
        <w:rPr>
          <w:color w:val="auto"/>
          <w:sz w:val="22"/>
          <w:szCs w:val="22"/>
        </w:rPr>
        <w:t>Профилактический осмотр и мелкий ремонт спортивного инвентаря и оборудования.</w:t>
      </w:r>
    </w:p>
    <w:p w14:paraId="46142B25">
      <w:pPr>
        <w:pStyle w:val="85"/>
        <w:spacing w:before="240"/>
        <w:ind w:firstLine="540"/>
        <w:jc w:val="both"/>
        <w:rPr>
          <w:color w:val="auto"/>
          <w:sz w:val="22"/>
          <w:szCs w:val="22"/>
        </w:rPr>
      </w:pPr>
      <w:r>
        <w:rPr>
          <w:color w:val="auto"/>
          <w:sz w:val="22"/>
          <w:szCs w:val="22"/>
        </w:rPr>
        <w:t>Воспитание морально-волевых качеств в процессе занятий теннисом: сознательность, смелость, выдержка, решительность, настойчивость.</w:t>
      </w:r>
    </w:p>
    <w:p w14:paraId="27C3C333">
      <w:pPr>
        <w:pStyle w:val="85"/>
        <w:spacing w:before="240"/>
        <w:ind w:firstLine="540"/>
        <w:jc w:val="both"/>
        <w:rPr>
          <w:color w:val="auto"/>
          <w:sz w:val="22"/>
          <w:szCs w:val="22"/>
        </w:rPr>
      </w:pPr>
      <w:r>
        <w:rPr>
          <w:color w:val="auto"/>
          <w:sz w:val="22"/>
          <w:szCs w:val="22"/>
        </w:rPr>
        <w:t>2) Способы самостоятельной деятельности.</w:t>
      </w:r>
    </w:p>
    <w:p w14:paraId="68AF5828">
      <w:pPr>
        <w:pStyle w:val="85"/>
        <w:spacing w:before="240"/>
        <w:ind w:firstLine="540"/>
        <w:jc w:val="both"/>
        <w:rPr>
          <w:color w:val="auto"/>
          <w:sz w:val="22"/>
          <w:szCs w:val="22"/>
        </w:rPr>
      </w:pPr>
      <w:r>
        <w:rPr>
          <w:color w:val="auto"/>
          <w:sz w:val="22"/>
          <w:szCs w:val="22"/>
        </w:rPr>
        <w:t>Требования к личной гигиене, спортивной одежде и обуви для занимающихся теннисом. Подготовка места для занятий теннисом, выбор одежды и обуви. Правила ухода за инвентарем и оборудованием для игры в теннис (ракетки, мячи, стойки, сетка).</w:t>
      </w:r>
    </w:p>
    <w:p w14:paraId="2B91C136">
      <w:pPr>
        <w:pStyle w:val="85"/>
        <w:spacing w:before="240"/>
        <w:ind w:firstLine="540"/>
        <w:jc w:val="both"/>
        <w:rPr>
          <w:color w:val="auto"/>
          <w:sz w:val="22"/>
          <w:szCs w:val="22"/>
        </w:rPr>
      </w:pPr>
      <w:r>
        <w:rPr>
          <w:color w:val="auto"/>
          <w:sz w:val="22"/>
          <w:szCs w:val="22"/>
        </w:rPr>
        <w:t>Базовые знания о строении организма человека, влиянии занятий теннисом на укрепление опорно-двигательного и мышечно-связочного аппарата человека. Значение разминки перед учебными занятиями и соревновательной деятельностью.</w:t>
      </w:r>
    </w:p>
    <w:p w14:paraId="369ABFE8">
      <w:pPr>
        <w:pStyle w:val="85"/>
        <w:spacing w:before="240"/>
        <w:ind w:firstLine="540"/>
        <w:jc w:val="both"/>
        <w:rPr>
          <w:color w:val="auto"/>
          <w:sz w:val="22"/>
          <w:szCs w:val="22"/>
        </w:rPr>
      </w:pPr>
      <w:r>
        <w:rPr>
          <w:color w:val="auto"/>
          <w:sz w:val="22"/>
          <w:szCs w:val="22"/>
        </w:rPr>
        <w:t>Организация и проведение самостоятельных занятий по теннису. Принципы индивидуального планирования тренировки. Подвижные игры, способствующие развитию специальных физических качеств теннисиста. Организация и проведение подвижных игр с элементами тенниса во время активного отдыха и каникул.</w:t>
      </w:r>
    </w:p>
    <w:p w14:paraId="6D143FEE">
      <w:pPr>
        <w:pStyle w:val="85"/>
        <w:spacing w:before="240"/>
        <w:ind w:firstLine="540"/>
        <w:jc w:val="both"/>
        <w:rPr>
          <w:color w:val="auto"/>
          <w:sz w:val="22"/>
          <w:szCs w:val="22"/>
        </w:rPr>
      </w:pPr>
      <w:r>
        <w:rPr>
          <w:color w:val="auto"/>
          <w:sz w:val="22"/>
          <w:szCs w:val="22"/>
        </w:rPr>
        <w:t>Правила подвижных игр, развивающих и формирующих двигательные способности для игры в теннис. Комплексы общеразвивающих упражнений теннисиста. Комплексы специальных физических упражнений и корригирующей гимнастики для самостоятельных занятий теннисом.</w:t>
      </w:r>
    </w:p>
    <w:p w14:paraId="72068723">
      <w:pPr>
        <w:pStyle w:val="85"/>
        <w:spacing w:before="240"/>
        <w:ind w:firstLine="540"/>
        <w:jc w:val="both"/>
        <w:rPr>
          <w:color w:val="auto"/>
          <w:sz w:val="22"/>
          <w:szCs w:val="22"/>
        </w:rPr>
      </w:pPr>
      <w:r>
        <w:rPr>
          <w:color w:val="auto"/>
          <w:sz w:val="22"/>
          <w:szCs w:val="22"/>
        </w:rPr>
        <w:t>Режим дня, учебы, занятий спортом и отдыха юного теннисиста. Рацион питания юного теннисиста, витамины. Причины утомления и простые способы восстановления организма после физических нагрузок. Влияние тенниса на развитие физических и физиологических систем растущего организма человека. Признаки утомления и способы восстановления после физических нагрузок.</w:t>
      </w:r>
    </w:p>
    <w:p w14:paraId="0EF8213A">
      <w:pPr>
        <w:pStyle w:val="85"/>
        <w:spacing w:before="240"/>
        <w:ind w:firstLine="540"/>
        <w:jc w:val="both"/>
        <w:rPr>
          <w:color w:val="auto"/>
          <w:sz w:val="22"/>
          <w:szCs w:val="22"/>
        </w:rPr>
      </w:pPr>
      <w:r>
        <w:rPr>
          <w:color w:val="auto"/>
          <w:sz w:val="22"/>
          <w:szCs w:val="22"/>
        </w:rPr>
        <w:t>Правила оказания доврачебной помощи при травмах и повреждениях во время занятий теннисом. Профилактика пагубных привычек, основы здорового образа жизни. Профилактика спортивного травматизма.</w:t>
      </w:r>
    </w:p>
    <w:p w14:paraId="1D26CC91">
      <w:pPr>
        <w:pStyle w:val="85"/>
        <w:spacing w:before="240"/>
        <w:ind w:firstLine="540"/>
        <w:jc w:val="both"/>
        <w:rPr>
          <w:color w:val="auto"/>
          <w:sz w:val="22"/>
          <w:szCs w:val="22"/>
        </w:rPr>
      </w:pPr>
      <w:r>
        <w:rPr>
          <w:color w:val="auto"/>
          <w:sz w:val="22"/>
          <w:szCs w:val="22"/>
        </w:rPr>
        <w:t>Основы самоконтроля за физическим развитием и физической подготовленностью. Оценка техники осваиваемых упражнений, способы выявления и устранения технических ошибок. Тестирование уровня физической и специальной подготовки в теннисе.</w:t>
      </w:r>
    </w:p>
    <w:p w14:paraId="24D18E9A">
      <w:pPr>
        <w:pStyle w:val="85"/>
        <w:spacing w:before="240"/>
        <w:ind w:firstLine="540"/>
        <w:jc w:val="both"/>
        <w:rPr>
          <w:color w:val="auto"/>
          <w:sz w:val="22"/>
          <w:szCs w:val="22"/>
        </w:rPr>
      </w:pPr>
      <w:r>
        <w:rPr>
          <w:color w:val="auto"/>
          <w:sz w:val="22"/>
          <w:szCs w:val="22"/>
        </w:rPr>
        <w:t>3) Физическое совершенствование.</w:t>
      </w:r>
    </w:p>
    <w:p w14:paraId="3E3F8745">
      <w:pPr>
        <w:pStyle w:val="85"/>
        <w:spacing w:before="240"/>
        <w:ind w:firstLine="540"/>
        <w:jc w:val="both"/>
        <w:rPr>
          <w:color w:val="auto"/>
          <w:sz w:val="22"/>
          <w:szCs w:val="22"/>
        </w:rPr>
      </w:pPr>
      <w:r>
        <w:rPr>
          <w:color w:val="auto"/>
          <w:sz w:val="22"/>
          <w:szCs w:val="22"/>
        </w:rPr>
        <w:t>Причины возникновения характерных ошибок во время индивидуальных и парных игр, способы их устранения.</w:t>
      </w:r>
    </w:p>
    <w:p w14:paraId="476F3542">
      <w:pPr>
        <w:pStyle w:val="85"/>
        <w:spacing w:before="240"/>
        <w:ind w:firstLine="540"/>
        <w:jc w:val="both"/>
        <w:rPr>
          <w:color w:val="auto"/>
          <w:sz w:val="22"/>
          <w:szCs w:val="22"/>
        </w:rPr>
      </w:pPr>
      <w:r>
        <w:rPr>
          <w:color w:val="auto"/>
          <w:sz w:val="22"/>
          <w:szCs w:val="22"/>
        </w:rPr>
        <w:t>Классификация общеразвивающих и специальных упражнений. Комплексы подготовительных и специальных упражнений, формирующих двигательные умения и навыки во время занятий теннисом. Простейшие тактические схемы атаки, защиты в индивидуальной и парной игре. Структура тренировочного занятия: части, темы, задания. Формирование моделей игры, с учетом индивидуальных особенностей и передовых тенденции развития тенниса.</w:t>
      </w:r>
    </w:p>
    <w:p w14:paraId="6EBCF1BE">
      <w:pPr>
        <w:pStyle w:val="85"/>
        <w:spacing w:before="240"/>
        <w:ind w:firstLine="540"/>
        <w:jc w:val="both"/>
        <w:rPr>
          <w:color w:val="auto"/>
          <w:sz w:val="22"/>
          <w:szCs w:val="22"/>
        </w:rPr>
      </w:pPr>
      <w:r>
        <w:rPr>
          <w:color w:val="auto"/>
          <w:sz w:val="22"/>
          <w:szCs w:val="22"/>
        </w:rPr>
        <w:t>Стратегия и тактика игры со знакомыми соперниками. Стратегия и тактика с незнакомым соперником. Психологическая подготовка к соревнованиям. Способы психологического воздействия на соперника.</w:t>
      </w:r>
    </w:p>
    <w:p w14:paraId="607DFC14">
      <w:pPr>
        <w:pStyle w:val="85"/>
        <w:spacing w:before="240"/>
        <w:ind w:firstLine="540"/>
        <w:jc w:val="both"/>
        <w:rPr>
          <w:color w:val="auto"/>
          <w:sz w:val="22"/>
          <w:szCs w:val="22"/>
        </w:rPr>
      </w:pPr>
      <w:r>
        <w:rPr>
          <w:color w:val="auto"/>
          <w:sz w:val="22"/>
          <w:szCs w:val="22"/>
        </w:rPr>
        <w:t>Подвижные игры для развития скоростных, скоростно-силовых и координационных способностей: "Невод", "Хитрая лиса", "Хвост догоняет голову", "Заяц без логова", "День и ночь", "Волк во рву", "Удочка командная" "Салки пингвины", "Воробушки", "Перестрелка", "Сбей ракетку", "Попади в мяч", "Земля, воздух, вода, огонь", "Выше ноги от земли", "Догонялки", "Сорви шапку", "Ловишки", "Салки мячом", "Город", "Мяч соседу", "Самые быстрые" "Пустое место", "Охотники и утки", "Перебежка с выручкой", "Теннисные колдунчики", "Флаги", "Не дай мяча водящему", "Эстафета по кругу", "Пятнашки", "Подхвати ракетку", "Третий лишний", "Салки на одной ноге", "Мяч в центр", "Гонка мячей по кругу", "Перемена мест".</w:t>
      </w:r>
    </w:p>
    <w:p w14:paraId="2464DC5F">
      <w:pPr>
        <w:pStyle w:val="85"/>
        <w:spacing w:before="240"/>
        <w:ind w:firstLine="540"/>
        <w:jc w:val="both"/>
        <w:rPr>
          <w:color w:val="auto"/>
          <w:sz w:val="22"/>
          <w:szCs w:val="22"/>
        </w:rPr>
      </w:pPr>
      <w:r>
        <w:rPr>
          <w:color w:val="auto"/>
          <w:sz w:val="22"/>
          <w:szCs w:val="22"/>
        </w:rPr>
        <w:t>Индивидуальные технические действия: стойки и перемещения; хватка ракетки.</w:t>
      </w:r>
    </w:p>
    <w:p w14:paraId="54A2ED00">
      <w:pPr>
        <w:pStyle w:val="85"/>
        <w:spacing w:before="240"/>
        <w:ind w:firstLine="540"/>
        <w:jc w:val="both"/>
        <w:rPr>
          <w:color w:val="auto"/>
          <w:sz w:val="22"/>
          <w:szCs w:val="22"/>
        </w:rPr>
      </w:pPr>
      <w:r>
        <w:rPr>
          <w:color w:val="auto"/>
          <w:sz w:val="22"/>
          <w:szCs w:val="22"/>
        </w:rPr>
        <w:t>Приемы техники: подачи, удары по отскочившему мячу, удары с лета, удар над головой, удар "Свеча", укороченные удары, удары с полулета.</w:t>
      </w:r>
    </w:p>
    <w:p w14:paraId="524F70EC">
      <w:pPr>
        <w:pStyle w:val="85"/>
        <w:spacing w:before="240"/>
        <w:ind w:firstLine="540"/>
        <w:jc w:val="both"/>
        <w:rPr>
          <w:color w:val="auto"/>
          <w:sz w:val="22"/>
          <w:szCs w:val="22"/>
        </w:rPr>
      </w:pPr>
      <w:r>
        <w:rPr>
          <w:color w:val="auto"/>
          <w:sz w:val="22"/>
          <w:szCs w:val="22"/>
        </w:rPr>
        <w:t>Стратегия и тактика: нападающие действия преимущественно у сетки; нападающие и контратакующие действия преимущественно у задней линии; комбинированные действия, сочетающие нападение у сетки и нападение и контратаку у задней линии; защитные и контратакующие действия у задней линии. Игровые действия в одиночной игре. Игровые действия в парной игре.</w:t>
      </w:r>
    </w:p>
    <w:p w14:paraId="2B032A6C">
      <w:pPr>
        <w:pStyle w:val="85"/>
        <w:spacing w:before="240"/>
        <w:ind w:firstLine="540"/>
        <w:jc w:val="both"/>
        <w:rPr>
          <w:color w:val="auto"/>
          <w:sz w:val="22"/>
          <w:szCs w:val="22"/>
        </w:rPr>
      </w:pPr>
      <w:r>
        <w:rPr>
          <w:color w:val="auto"/>
          <w:sz w:val="22"/>
          <w:szCs w:val="22"/>
        </w:rPr>
        <w:t>Учебные игры в теннис.</w:t>
      </w:r>
    </w:p>
    <w:p w14:paraId="183F2C3E">
      <w:pPr>
        <w:pStyle w:val="85"/>
        <w:spacing w:before="240"/>
        <w:ind w:firstLine="540"/>
        <w:jc w:val="both"/>
        <w:rPr>
          <w:color w:val="auto"/>
          <w:sz w:val="22"/>
          <w:szCs w:val="22"/>
        </w:rPr>
      </w:pPr>
      <w:r>
        <w:rPr>
          <w:color w:val="auto"/>
          <w:sz w:val="22"/>
          <w:szCs w:val="22"/>
        </w:rPr>
        <w:t>16.4.14.7. Содержание модуля "Теннис" направлено на достижение обучающимися личностных, метапредметных и предметных результатов обучения.</w:t>
      </w:r>
    </w:p>
    <w:p w14:paraId="605D0CD4">
      <w:pPr>
        <w:pStyle w:val="85"/>
        <w:spacing w:before="240"/>
        <w:ind w:firstLine="540"/>
        <w:jc w:val="both"/>
        <w:rPr>
          <w:color w:val="auto"/>
          <w:sz w:val="22"/>
          <w:szCs w:val="22"/>
        </w:rPr>
      </w:pPr>
      <w:r>
        <w:rPr>
          <w:color w:val="auto"/>
          <w:sz w:val="22"/>
          <w:szCs w:val="22"/>
        </w:rPr>
        <w:t>16.4.14.7.1. При изучении модуля "Теннис" на уровне начального общего образования у обучающихся будут сформированы следующие личностные результаты:</w:t>
      </w:r>
    </w:p>
    <w:p w14:paraId="44D5BAAE">
      <w:pPr>
        <w:pStyle w:val="85"/>
        <w:spacing w:before="240"/>
        <w:ind w:firstLine="540"/>
        <w:jc w:val="both"/>
        <w:rPr>
          <w:color w:val="auto"/>
          <w:sz w:val="22"/>
          <w:szCs w:val="22"/>
        </w:rPr>
      </w:pPr>
      <w:r>
        <w:rPr>
          <w:color w:val="auto"/>
          <w:sz w:val="22"/>
          <w:szCs w:val="22"/>
        </w:rPr>
        <w:t>проявление чувства гордости за свою Родину, российский народ и историю России через знание истории и современного состояния развития тенниса, включая региональный, всероссийский уровни; уважение государственных символов (герб, флаг, гимн), готовность к служению Отечеству, его защите на примере роли традиций и развития тенниса в современном обществе;</w:t>
      </w:r>
    </w:p>
    <w:p w14:paraId="64CBE39E">
      <w:pPr>
        <w:pStyle w:val="85"/>
        <w:spacing w:before="240"/>
        <w:ind w:firstLine="540"/>
        <w:jc w:val="both"/>
        <w:rPr>
          <w:color w:val="auto"/>
          <w:sz w:val="22"/>
          <w:szCs w:val="22"/>
        </w:rPr>
      </w:pPr>
      <w:r>
        <w:rPr>
          <w:color w:val="auto"/>
          <w:sz w:val="22"/>
          <w:szCs w:val="22"/>
        </w:rPr>
        <w:t>умение ориентироваться на основные нормы морали, духовно-нравственной культуры и ценностного отношения к физической культуре, как неотъемлемой части общечеловеческой культуры средствами тенниса;</w:t>
      </w:r>
    </w:p>
    <w:p w14:paraId="219A13E5">
      <w:pPr>
        <w:pStyle w:val="85"/>
        <w:spacing w:before="240"/>
        <w:ind w:firstLine="540"/>
        <w:jc w:val="both"/>
        <w:rPr>
          <w:color w:val="auto"/>
          <w:sz w:val="22"/>
          <w:szCs w:val="22"/>
        </w:rPr>
      </w:pPr>
      <w:r>
        <w:rPr>
          <w:color w:val="auto"/>
          <w:sz w:val="22"/>
          <w:szCs w:val="22"/>
        </w:rPr>
        <w:t>способность принимать и осваивать социальную роль обучающегося, развитие мотивов учебной деятельности, стремление к познанию и творчеству, эстетическим потребностям;</w:t>
      </w:r>
    </w:p>
    <w:p w14:paraId="6EB8397D">
      <w:pPr>
        <w:pStyle w:val="85"/>
        <w:spacing w:before="240"/>
        <w:ind w:firstLine="540"/>
        <w:jc w:val="both"/>
        <w:rPr>
          <w:color w:val="auto"/>
          <w:sz w:val="22"/>
          <w:szCs w:val="22"/>
        </w:rPr>
      </w:pPr>
      <w:r>
        <w:rPr>
          <w:color w:val="auto"/>
          <w:sz w:val="22"/>
          <w:szCs w:val="22"/>
        </w:rPr>
        <w:t>готовность обучающихся к саморазвитию и самообразованию через ценности, традиции и идеалы главных организаций регионального, всероссийского уровней по теннису, мотивации и осознанному выбору индивидуальной траектории образования средствами тенниса профессиональных предпочтений в области физической культуры и спорта, в том числе в рамках деятельности школьных спортивных клубов;</w:t>
      </w:r>
    </w:p>
    <w:p w14:paraId="1D546472">
      <w:pPr>
        <w:pStyle w:val="85"/>
        <w:spacing w:before="240"/>
        <w:ind w:firstLine="540"/>
        <w:jc w:val="both"/>
        <w:rPr>
          <w:color w:val="auto"/>
          <w:sz w:val="22"/>
          <w:szCs w:val="22"/>
        </w:rPr>
      </w:pPr>
      <w:r>
        <w:rPr>
          <w:color w:val="auto"/>
          <w:sz w:val="22"/>
          <w:szCs w:val="22"/>
        </w:rPr>
        <w:t>способность вести диалог с другими людьми (сверстниками, взрослыми, педагогами), достигать в нем взаимопонимания, находить общие цели и сотрудничать для их достижения в учебной, тренировочной, досуговой, игровой и соревновательной деятельности, судейской практики на принципах доброжелательности и взаимопомощи;</w:t>
      </w:r>
    </w:p>
    <w:p w14:paraId="6F8032D7">
      <w:pPr>
        <w:pStyle w:val="85"/>
        <w:spacing w:before="240"/>
        <w:ind w:firstLine="540"/>
        <w:jc w:val="both"/>
        <w:rPr>
          <w:color w:val="auto"/>
          <w:sz w:val="22"/>
          <w:szCs w:val="22"/>
        </w:rPr>
      </w:pPr>
      <w:r>
        <w:rPr>
          <w:color w:val="auto"/>
          <w:sz w:val="22"/>
          <w:szCs w:val="22"/>
        </w:rPr>
        <w:t>реализация ценностей здорового и безопасного образа жизни, потребности в физическом самосовершенствовании, занятиях спортивно-оздоровительной деятельностью;</w:t>
      </w:r>
    </w:p>
    <w:p w14:paraId="1291C709">
      <w:pPr>
        <w:pStyle w:val="85"/>
        <w:spacing w:before="240"/>
        <w:ind w:firstLine="540"/>
        <w:jc w:val="both"/>
        <w:rPr>
          <w:color w:val="auto"/>
          <w:sz w:val="22"/>
          <w:szCs w:val="22"/>
        </w:rPr>
      </w:pPr>
      <w:r>
        <w:rPr>
          <w:color w:val="auto"/>
          <w:sz w:val="22"/>
          <w:szCs w:val="22"/>
        </w:rPr>
        <w:t>проявление осознанного и ответственного отношения к собственным поступкам; моральной компетентности в решении проблем в процессе занятий физической культурой, игровой и соревновательной деятельности по виду спорта "теннис";</w:t>
      </w:r>
    </w:p>
    <w:p w14:paraId="1531BCDE">
      <w:pPr>
        <w:pStyle w:val="85"/>
        <w:spacing w:before="240"/>
        <w:ind w:firstLine="540"/>
        <w:jc w:val="both"/>
        <w:rPr>
          <w:color w:val="auto"/>
          <w:sz w:val="22"/>
          <w:szCs w:val="22"/>
        </w:rPr>
      </w:pPr>
      <w:r>
        <w:rPr>
          <w:color w:val="auto"/>
          <w:sz w:val="22"/>
          <w:szCs w:val="22"/>
        </w:rPr>
        <w:t>готовность соблюдать правила индивидуального и коллективного безопасного поведения в учебной, соревновательной, досуговой деятельности и чрезвычайных ситуациях;</w:t>
      </w:r>
    </w:p>
    <w:p w14:paraId="30C84666">
      <w:pPr>
        <w:pStyle w:val="85"/>
        <w:spacing w:before="240"/>
        <w:ind w:firstLine="540"/>
        <w:jc w:val="both"/>
        <w:rPr>
          <w:color w:val="auto"/>
          <w:sz w:val="22"/>
          <w:szCs w:val="22"/>
        </w:rPr>
      </w:pPr>
      <w:r>
        <w:rPr>
          <w:color w:val="auto"/>
          <w:sz w:val="22"/>
          <w:szCs w:val="22"/>
        </w:rPr>
        <w:t>проявление положительных качеств личности и управление своими эмоциями в различных ситуациях и условиях; способность к самостоятельной, творческой и ответственной деятельности средствами тенниса.</w:t>
      </w:r>
    </w:p>
    <w:p w14:paraId="068215EE">
      <w:pPr>
        <w:pStyle w:val="85"/>
        <w:spacing w:before="240"/>
        <w:ind w:firstLine="540"/>
        <w:jc w:val="both"/>
        <w:rPr>
          <w:color w:val="auto"/>
          <w:sz w:val="22"/>
          <w:szCs w:val="22"/>
        </w:rPr>
      </w:pPr>
      <w:r>
        <w:rPr>
          <w:color w:val="auto"/>
          <w:sz w:val="22"/>
          <w:szCs w:val="22"/>
        </w:rPr>
        <w:t>16.4.14.7.2. При изучении модуля "Теннис" на уровне начального общего образования у обучающихся будут сформированы следующие метапредметные результаты:</w:t>
      </w:r>
    </w:p>
    <w:p w14:paraId="16028369">
      <w:pPr>
        <w:pStyle w:val="85"/>
        <w:spacing w:before="240"/>
        <w:ind w:firstLine="540"/>
        <w:jc w:val="both"/>
        <w:rPr>
          <w:color w:val="auto"/>
          <w:sz w:val="22"/>
          <w:szCs w:val="22"/>
        </w:rPr>
      </w:pPr>
      <w:r>
        <w:rPr>
          <w:color w:val="auto"/>
          <w:sz w:val="22"/>
          <w:szCs w:val="22"/>
        </w:rPr>
        <w:t>умение соотносить свои действия с планируемыми результатами, осуществлять контроль своей деятельности в процессе достижения результатов в учебной, тренировочной, игровой и соревновательной деятельности, определять способы действий в рамках предложенных условий и требований, корректировать свои действия в соответствии с изменяющейся ситуацией;</w:t>
      </w:r>
    </w:p>
    <w:p w14:paraId="4FBBC48C">
      <w:pPr>
        <w:pStyle w:val="85"/>
        <w:spacing w:before="240"/>
        <w:ind w:firstLine="540"/>
        <w:jc w:val="both"/>
        <w:rPr>
          <w:color w:val="auto"/>
          <w:sz w:val="22"/>
          <w:szCs w:val="22"/>
        </w:rPr>
      </w:pPr>
      <w:r>
        <w:rPr>
          <w:color w:val="auto"/>
          <w:sz w:val="22"/>
          <w:szCs w:val="22"/>
        </w:rPr>
        <w:t>умение самостоятельно определять цели своего обучения средствами тенниса и составлять планы в рамках физкультурно-спортивной деятельности; выбирать успешную стратегию и тактику в различных ситуациях;</w:t>
      </w:r>
    </w:p>
    <w:p w14:paraId="63491C45">
      <w:pPr>
        <w:pStyle w:val="85"/>
        <w:spacing w:before="240"/>
        <w:ind w:firstLine="540"/>
        <w:jc w:val="both"/>
        <w:rPr>
          <w:color w:val="auto"/>
          <w:sz w:val="22"/>
          <w:szCs w:val="22"/>
        </w:rPr>
      </w:pPr>
      <w:r>
        <w:rPr>
          <w:color w:val="auto"/>
          <w:sz w:val="22"/>
          <w:szCs w:val="22"/>
        </w:rPr>
        <w:t>умение самостоятельно планировать пути достижения целей, в том числе альтернативные, осознанно выбирать наиболее эффективные способы решения задач в учебной, игровой, соревновательной и досуговой деятельности, оценивать правильность выполнения задач, собственные возможности их решения;</w:t>
      </w:r>
    </w:p>
    <w:p w14:paraId="5E171B8D">
      <w:pPr>
        <w:pStyle w:val="85"/>
        <w:spacing w:before="240"/>
        <w:ind w:firstLine="540"/>
        <w:jc w:val="both"/>
        <w:rPr>
          <w:color w:val="auto"/>
          <w:sz w:val="22"/>
          <w:szCs w:val="22"/>
        </w:rPr>
      </w:pPr>
      <w:r>
        <w:rPr>
          <w:color w:val="auto"/>
          <w:sz w:val="22"/>
          <w:szCs w:val="22"/>
        </w:rPr>
        <w:t>умение самостоятельно оценивать и принимать решения, определяющие стратегию и тактику поведения в учебной, тренировочной, игровой, соревновательной и досуговой деятельности, судейской практике с учетом гражданских и нравственных ценностей;</w:t>
      </w:r>
    </w:p>
    <w:p w14:paraId="69C1FDB3">
      <w:pPr>
        <w:pStyle w:val="85"/>
        <w:spacing w:before="240"/>
        <w:ind w:firstLine="540"/>
        <w:jc w:val="both"/>
        <w:rPr>
          <w:color w:val="auto"/>
          <w:sz w:val="22"/>
          <w:szCs w:val="22"/>
        </w:rPr>
      </w:pPr>
      <w:r>
        <w:rPr>
          <w:color w:val="auto"/>
          <w:sz w:val="22"/>
          <w:szCs w:val="22"/>
        </w:rPr>
        <w:t>умение организовывать учебное сотрудничество и совместную деятельность со сверстниками и взрослыми; работать индивидуально, в парах и в группе, эффективно взаимодействовать и разрешать конфликты в процессе учебной, тренировочной, игровой и соревновательной деятельности, судейской практики, учитывать позиции других участников деятельности;</w:t>
      </w:r>
    </w:p>
    <w:p w14:paraId="4B78C7A5">
      <w:pPr>
        <w:pStyle w:val="85"/>
        <w:spacing w:before="240"/>
        <w:ind w:firstLine="540"/>
        <w:jc w:val="both"/>
        <w:rPr>
          <w:color w:val="auto"/>
          <w:sz w:val="22"/>
          <w:szCs w:val="22"/>
        </w:rPr>
      </w:pPr>
      <w:r>
        <w:rPr>
          <w:color w:val="auto"/>
          <w:sz w:val="22"/>
          <w:szCs w:val="22"/>
        </w:rPr>
        <w:t>владение основами самоконтроля, самооценки, принятия решений и осуществления осознанного выбора в учебной и познавательной деятельности;</w:t>
      </w:r>
    </w:p>
    <w:p w14:paraId="4814B1C6">
      <w:pPr>
        <w:pStyle w:val="85"/>
        <w:spacing w:before="240"/>
        <w:ind w:firstLine="540"/>
        <w:jc w:val="both"/>
        <w:rPr>
          <w:color w:val="auto"/>
          <w:sz w:val="22"/>
          <w:szCs w:val="22"/>
        </w:rPr>
      </w:pPr>
      <w:r>
        <w:rPr>
          <w:color w:val="auto"/>
          <w:sz w:val="22"/>
          <w:szCs w:val="22"/>
        </w:rPr>
        <w:t>умение создавать, применять и преобразовывать графические пиктограммы физических упражнений в двигательные действия и наоборот; схемы для тактических, игровых задач;</w:t>
      </w:r>
    </w:p>
    <w:p w14:paraId="0D86D912">
      <w:pPr>
        <w:pStyle w:val="85"/>
        <w:spacing w:before="240"/>
        <w:ind w:firstLine="540"/>
        <w:jc w:val="both"/>
        <w:rPr>
          <w:color w:val="auto"/>
          <w:sz w:val="22"/>
          <w:szCs w:val="22"/>
        </w:rPr>
      </w:pPr>
      <w:r>
        <w:rPr>
          <w:color w:val="auto"/>
          <w:sz w:val="22"/>
          <w:szCs w:val="22"/>
        </w:rPr>
        <w:t>способность самостоятельно применять различные методы, инструменты и запросы в информационно-познавательной деятельности, умение ориентироваться в различных источниках информации с соблюдением правовых и этических норм, норм информационной безопасности.</w:t>
      </w:r>
    </w:p>
    <w:p w14:paraId="45B5E1F4">
      <w:pPr>
        <w:pStyle w:val="85"/>
        <w:spacing w:before="240"/>
        <w:ind w:firstLine="540"/>
        <w:jc w:val="both"/>
        <w:rPr>
          <w:color w:val="auto"/>
          <w:sz w:val="22"/>
          <w:szCs w:val="22"/>
        </w:rPr>
      </w:pPr>
      <w:r>
        <w:rPr>
          <w:color w:val="auto"/>
          <w:sz w:val="22"/>
          <w:szCs w:val="22"/>
        </w:rPr>
        <w:t>16.4.14.7.3. При изучении модуля "Теннис" на уровне начального общего образования у обучающихся будут сформированы следующие предметные результаты:</w:t>
      </w:r>
    </w:p>
    <w:p w14:paraId="4661AA9D">
      <w:pPr>
        <w:pStyle w:val="85"/>
        <w:spacing w:before="240"/>
        <w:ind w:firstLine="540"/>
        <w:jc w:val="both"/>
        <w:rPr>
          <w:color w:val="auto"/>
          <w:sz w:val="22"/>
          <w:szCs w:val="22"/>
        </w:rPr>
      </w:pPr>
      <w:r>
        <w:rPr>
          <w:color w:val="auto"/>
          <w:sz w:val="22"/>
          <w:szCs w:val="22"/>
        </w:rPr>
        <w:t>представление о значении занятий теннисом как средством для укрепления здоровья, закаливания, организации досуговой деятельности и воспитания физических качеств человека;</w:t>
      </w:r>
    </w:p>
    <w:p w14:paraId="4BBB9443">
      <w:pPr>
        <w:pStyle w:val="85"/>
        <w:spacing w:before="240"/>
        <w:ind w:firstLine="540"/>
        <w:jc w:val="both"/>
        <w:rPr>
          <w:color w:val="auto"/>
          <w:sz w:val="22"/>
          <w:szCs w:val="22"/>
        </w:rPr>
      </w:pPr>
      <w:r>
        <w:rPr>
          <w:color w:val="auto"/>
          <w:sz w:val="22"/>
          <w:szCs w:val="22"/>
        </w:rPr>
        <w:t>знание истории зарождения тенниса, достижений отечественных спортсменов - теннисистов;</w:t>
      </w:r>
    </w:p>
    <w:p w14:paraId="639BD702">
      <w:pPr>
        <w:pStyle w:val="85"/>
        <w:spacing w:before="240"/>
        <w:ind w:firstLine="540"/>
        <w:jc w:val="both"/>
        <w:rPr>
          <w:color w:val="auto"/>
          <w:sz w:val="22"/>
          <w:szCs w:val="22"/>
        </w:rPr>
      </w:pPr>
      <w:r>
        <w:rPr>
          <w:color w:val="auto"/>
          <w:sz w:val="22"/>
          <w:szCs w:val="22"/>
        </w:rPr>
        <w:t>представление о сущности и основных правилах игры в теннис;</w:t>
      </w:r>
    </w:p>
    <w:p w14:paraId="113732D1">
      <w:pPr>
        <w:pStyle w:val="85"/>
        <w:spacing w:before="240"/>
        <w:ind w:firstLine="540"/>
        <w:jc w:val="both"/>
        <w:rPr>
          <w:color w:val="auto"/>
          <w:sz w:val="22"/>
          <w:szCs w:val="22"/>
        </w:rPr>
      </w:pPr>
      <w:r>
        <w:rPr>
          <w:color w:val="auto"/>
          <w:sz w:val="22"/>
          <w:szCs w:val="22"/>
        </w:rPr>
        <w:t>знание основных терминов, определений и понятий в теннисе; названий технических базовых элементов тенниса; классификаций ударов в теннисе;</w:t>
      </w:r>
    </w:p>
    <w:p w14:paraId="52CEC290">
      <w:pPr>
        <w:pStyle w:val="85"/>
        <w:spacing w:before="240"/>
        <w:ind w:firstLine="540"/>
        <w:jc w:val="both"/>
        <w:rPr>
          <w:color w:val="auto"/>
          <w:sz w:val="22"/>
          <w:szCs w:val="22"/>
        </w:rPr>
      </w:pPr>
      <w:r>
        <w:rPr>
          <w:color w:val="auto"/>
          <w:sz w:val="22"/>
          <w:szCs w:val="22"/>
        </w:rPr>
        <w:t>владение навыками безопасного поведения во время занятий теннисом, личной гигиены, выполнение требований к спортивной одежде и обуви, спортивному инвентарю для занятий теннисом;</w:t>
      </w:r>
    </w:p>
    <w:p w14:paraId="5762C336">
      <w:pPr>
        <w:pStyle w:val="85"/>
        <w:spacing w:before="240"/>
        <w:ind w:firstLine="540"/>
        <w:jc w:val="both"/>
        <w:rPr>
          <w:color w:val="auto"/>
          <w:sz w:val="22"/>
          <w:szCs w:val="22"/>
        </w:rPr>
      </w:pPr>
      <w:r>
        <w:rPr>
          <w:color w:val="auto"/>
          <w:sz w:val="22"/>
          <w:szCs w:val="22"/>
        </w:rPr>
        <w:t>владение навыками систематического наблюдения за своим физическим состоянием, показателями физического развития и физической подготовленности;</w:t>
      </w:r>
    </w:p>
    <w:p w14:paraId="537D45E4">
      <w:pPr>
        <w:pStyle w:val="85"/>
        <w:spacing w:before="240"/>
        <w:ind w:firstLine="540"/>
        <w:jc w:val="both"/>
        <w:rPr>
          <w:color w:val="auto"/>
          <w:sz w:val="22"/>
          <w:szCs w:val="22"/>
        </w:rPr>
      </w:pPr>
      <w:r>
        <w:rPr>
          <w:color w:val="auto"/>
          <w:sz w:val="22"/>
          <w:szCs w:val="22"/>
        </w:rPr>
        <w:t>владение универсальными умениями при выполнении организующих команд и строевых упражнений;</w:t>
      </w:r>
    </w:p>
    <w:p w14:paraId="6CAF4A14">
      <w:pPr>
        <w:pStyle w:val="85"/>
        <w:spacing w:before="240"/>
        <w:ind w:firstLine="540"/>
        <w:jc w:val="both"/>
        <w:rPr>
          <w:color w:val="auto"/>
          <w:sz w:val="22"/>
          <w:szCs w:val="22"/>
        </w:rPr>
      </w:pPr>
      <w:r>
        <w:rPr>
          <w:color w:val="auto"/>
          <w:sz w:val="22"/>
          <w:szCs w:val="22"/>
        </w:rPr>
        <w:t>знание основных направлений ударов (линия, диагональ); демонстрация катания мяча по линии и диагонали в паре; выполнение ударов с наброса по заданному направлению в паре;</w:t>
      </w:r>
    </w:p>
    <w:p w14:paraId="683E9485">
      <w:pPr>
        <w:pStyle w:val="85"/>
        <w:spacing w:before="240"/>
        <w:ind w:firstLine="540"/>
        <w:jc w:val="both"/>
        <w:rPr>
          <w:color w:val="auto"/>
          <w:sz w:val="22"/>
          <w:szCs w:val="22"/>
        </w:rPr>
      </w:pPr>
      <w:r>
        <w:rPr>
          <w:color w:val="auto"/>
          <w:sz w:val="22"/>
          <w:szCs w:val="22"/>
        </w:rPr>
        <w:t>уменение удерживать мяч в игре в паре друг с другом; перемещаться вперед-назад; выполнять удары с отскока с передвижением вперед-назад, поочередно;</w:t>
      </w:r>
    </w:p>
    <w:p w14:paraId="4322E1E4">
      <w:pPr>
        <w:pStyle w:val="85"/>
        <w:spacing w:before="240"/>
        <w:ind w:firstLine="540"/>
        <w:jc w:val="both"/>
        <w:rPr>
          <w:color w:val="auto"/>
          <w:sz w:val="22"/>
          <w:szCs w:val="22"/>
        </w:rPr>
      </w:pPr>
      <w:r>
        <w:rPr>
          <w:color w:val="auto"/>
          <w:sz w:val="22"/>
          <w:szCs w:val="22"/>
        </w:rPr>
        <w:t>умение выполнять и составлять комплексы общеразвивающих, специальных, корригирующих упражнений на развитие быстроты, координации, гибкости;</w:t>
      </w:r>
    </w:p>
    <w:p w14:paraId="306A598F">
      <w:pPr>
        <w:pStyle w:val="85"/>
        <w:spacing w:before="240"/>
        <w:ind w:firstLine="540"/>
        <w:jc w:val="both"/>
        <w:rPr>
          <w:color w:val="auto"/>
          <w:sz w:val="22"/>
          <w:szCs w:val="22"/>
        </w:rPr>
      </w:pPr>
      <w:r>
        <w:rPr>
          <w:color w:val="auto"/>
          <w:sz w:val="22"/>
          <w:szCs w:val="22"/>
        </w:rPr>
        <w:t>владение техникой выполнения общеразвивающих, спортивных упражнений с элементами тенниса;</w:t>
      </w:r>
    </w:p>
    <w:p w14:paraId="53E72264">
      <w:pPr>
        <w:pStyle w:val="85"/>
        <w:spacing w:before="240"/>
        <w:ind w:firstLine="540"/>
        <w:jc w:val="both"/>
        <w:rPr>
          <w:color w:val="auto"/>
          <w:sz w:val="22"/>
          <w:szCs w:val="22"/>
        </w:rPr>
      </w:pPr>
      <w:r>
        <w:rPr>
          <w:color w:val="auto"/>
          <w:sz w:val="22"/>
          <w:szCs w:val="22"/>
        </w:rPr>
        <w:t>умение выполнять теннисные технические упражнения: выпады, начало игры, игра у сетки, подача и обмен ударами, отброс слева и справа, плоские удары в центре корта;</w:t>
      </w:r>
    </w:p>
    <w:p w14:paraId="05FE01FD">
      <w:pPr>
        <w:pStyle w:val="85"/>
        <w:spacing w:before="240"/>
        <w:ind w:firstLine="540"/>
        <w:jc w:val="both"/>
        <w:rPr>
          <w:color w:val="auto"/>
          <w:sz w:val="22"/>
          <w:szCs w:val="22"/>
        </w:rPr>
      </w:pPr>
      <w:r>
        <w:rPr>
          <w:color w:val="auto"/>
          <w:sz w:val="22"/>
          <w:szCs w:val="22"/>
        </w:rPr>
        <w:t>умение выполнять простейшие тактические комбинации в атаке и защите во время выполнения игровых упражнений и соревновательной деятельности;</w:t>
      </w:r>
    </w:p>
    <w:p w14:paraId="09432FC8">
      <w:pPr>
        <w:pStyle w:val="85"/>
        <w:spacing w:before="240"/>
        <w:ind w:firstLine="540"/>
        <w:jc w:val="both"/>
        <w:rPr>
          <w:color w:val="auto"/>
          <w:sz w:val="22"/>
          <w:szCs w:val="22"/>
        </w:rPr>
      </w:pPr>
      <w:r>
        <w:rPr>
          <w:color w:val="auto"/>
          <w:sz w:val="22"/>
          <w:szCs w:val="22"/>
        </w:rPr>
        <w:t>умение демонстрировать индивидуальную и парную игру;</w:t>
      </w:r>
    </w:p>
    <w:p w14:paraId="112CECBE">
      <w:pPr>
        <w:pStyle w:val="85"/>
        <w:spacing w:before="240"/>
        <w:ind w:firstLine="540"/>
        <w:jc w:val="both"/>
        <w:rPr>
          <w:color w:val="auto"/>
          <w:sz w:val="22"/>
          <w:szCs w:val="22"/>
        </w:rPr>
      </w:pPr>
      <w:r>
        <w:rPr>
          <w:color w:val="auto"/>
          <w:sz w:val="22"/>
          <w:szCs w:val="22"/>
        </w:rPr>
        <w:t>умение выполнять различные удары по мячу в зависимости от игровой ситуации, удары с лета справа и слева одиночными ударами; серией ударов только справа или только слева; чередованием справа - слева; различные по скорости и траектории полета мяча;</w:t>
      </w:r>
    </w:p>
    <w:p w14:paraId="6FD5967F">
      <w:pPr>
        <w:pStyle w:val="85"/>
        <w:spacing w:before="240"/>
        <w:ind w:firstLine="540"/>
        <w:jc w:val="both"/>
        <w:rPr>
          <w:color w:val="auto"/>
          <w:sz w:val="22"/>
          <w:szCs w:val="22"/>
        </w:rPr>
      </w:pPr>
      <w:r>
        <w:rPr>
          <w:color w:val="auto"/>
          <w:sz w:val="22"/>
          <w:szCs w:val="22"/>
        </w:rPr>
        <w:t>умение анализировать свои игровые действия и действия партнера по игре, находить причины неудач, исправлять ошибки;</w:t>
      </w:r>
    </w:p>
    <w:p w14:paraId="66AD6E19">
      <w:pPr>
        <w:pStyle w:val="85"/>
        <w:spacing w:before="240"/>
        <w:ind w:firstLine="540"/>
        <w:jc w:val="both"/>
        <w:rPr>
          <w:color w:val="auto"/>
          <w:sz w:val="22"/>
          <w:szCs w:val="22"/>
        </w:rPr>
      </w:pPr>
      <w:r>
        <w:rPr>
          <w:color w:val="auto"/>
          <w:sz w:val="22"/>
          <w:szCs w:val="22"/>
        </w:rPr>
        <w:t>сформированность навыка систематического наблюдения за своим физическим состоянием, величиной физических нагрузок, показателями физического развития и основных физических качеств;</w:t>
      </w:r>
    </w:p>
    <w:p w14:paraId="679BC1EA">
      <w:pPr>
        <w:pStyle w:val="85"/>
        <w:spacing w:before="240"/>
        <w:ind w:firstLine="540"/>
        <w:jc w:val="both"/>
        <w:rPr>
          <w:color w:val="auto"/>
          <w:sz w:val="22"/>
          <w:szCs w:val="22"/>
        </w:rPr>
      </w:pPr>
      <w:r>
        <w:rPr>
          <w:color w:val="auto"/>
          <w:sz w:val="22"/>
          <w:szCs w:val="22"/>
        </w:rPr>
        <w:t>умение отбивать мяч центром ракетки над головой движением удара смэш, удерживая ракетку за шейку или за конец ручки;</w:t>
      </w:r>
    </w:p>
    <w:p w14:paraId="78251352">
      <w:pPr>
        <w:pStyle w:val="85"/>
        <w:spacing w:before="240"/>
        <w:ind w:firstLine="540"/>
        <w:jc w:val="both"/>
        <w:rPr>
          <w:color w:val="auto"/>
          <w:sz w:val="22"/>
          <w:szCs w:val="22"/>
        </w:rPr>
      </w:pPr>
      <w:r>
        <w:rPr>
          <w:color w:val="auto"/>
          <w:sz w:val="22"/>
          <w:szCs w:val="22"/>
        </w:rPr>
        <w:t>знание правил проведения соревнований по теннису в учебной, соревновательной и досуговой деятельности;</w:t>
      </w:r>
    </w:p>
    <w:p w14:paraId="3706E31D">
      <w:pPr>
        <w:pStyle w:val="85"/>
        <w:spacing w:before="240"/>
        <w:ind w:firstLine="540"/>
        <w:jc w:val="both"/>
        <w:rPr>
          <w:color w:val="auto"/>
          <w:sz w:val="22"/>
          <w:szCs w:val="22"/>
        </w:rPr>
      </w:pPr>
      <w:r>
        <w:rPr>
          <w:color w:val="auto"/>
          <w:sz w:val="22"/>
          <w:szCs w:val="22"/>
        </w:rPr>
        <w:t>умение организовать самостоятельные занятия теннисом со сверстниками, подвижные игры с элементами тенниса;</w:t>
      </w:r>
    </w:p>
    <w:p w14:paraId="6483D818">
      <w:pPr>
        <w:pStyle w:val="85"/>
        <w:spacing w:before="240"/>
        <w:ind w:firstLine="540"/>
        <w:jc w:val="both"/>
        <w:rPr>
          <w:color w:val="auto"/>
          <w:sz w:val="22"/>
          <w:szCs w:val="22"/>
        </w:rPr>
      </w:pPr>
      <w:r>
        <w:rPr>
          <w:color w:val="auto"/>
          <w:sz w:val="22"/>
          <w:szCs w:val="22"/>
        </w:rPr>
        <w:t>выполнение контрольно-тестовых упражнений по общей и специальной физической подготовке и умение оценивать по показателям индивидуальный уровень физической подготовленности;</w:t>
      </w:r>
    </w:p>
    <w:p w14:paraId="56600232">
      <w:pPr>
        <w:pStyle w:val="85"/>
        <w:spacing w:before="240"/>
        <w:ind w:firstLine="540"/>
        <w:jc w:val="both"/>
        <w:rPr>
          <w:color w:val="auto"/>
          <w:sz w:val="22"/>
          <w:szCs w:val="22"/>
        </w:rPr>
      </w:pPr>
      <w:r>
        <w:rPr>
          <w:color w:val="auto"/>
          <w:sz w:val="22"/>
          <w:szCs w:val="22"/>
        </w:rPr>
        <w:t>умение демонстрировать во время учебной и соревновательной деятельности волевые, социальные качества личности, организованность, ответственность;</w:t>
      </w:r>
    </w:p>
    <w:p w14:paraId="27696F05">
      <w:pPr>
        <w:pStyle w:val="85"/>
        <w:spacing w:before="240"/>
        <w:ind w:firstLine="540"/>
        <w:jc w:val="both"/>
        <w:rPr>
          <w:color w:val="auto"/>
          <w:sz w:val="22"/>
          <w:szCs w:val="22"/>
        </w:rPr>
      </w:pPr>
      <w:r>
        <w:rPr>
          <w:color w:val="auto"/>
          <w:sz w:val="22"/>
          <w:szCs w:val="22"/>
        </w:rPr>
        <w:t>проявление уважительного отношения к одноклассникам, культуры общения и взаимодействия, терпимости в достижении общих целей в учебной и игровой деятельности на занятиях теннисом.</w:t>
      </w:r>
    </w:p>
    <w:p w14:paraId="1920F6A0">
      <w:pPr>
        <w:pStyle w:val="85"/>
        <w:spacing w:before="240"/>
        <w:ind w:firstLine="540"/>
        <w:jc w:val="both"/>
        <w:rPr>
          <w:color w:val="auto"/>
          <w:sz w:val="22"/>
          <w:szCs w:val="22"/>
        </w:rPr>
      </w:pPr>
      <w:r>
        <w:rPr>
          <w:color w:val="auto"/>
          <w:sz w:val="22"/>
          <w:szCs w:val="22"/>
        </w:rPr>
        <w:t>16.4.15. Модуль "Городошный спорт".</w:t>
      </w:r>
    </w:p>
    <w:p w14:paraId="5C4CDB2F">
      <w:pPr>
        <w:pStyle w:val="85"/>
        <w:spacing w:before="240"/>
        <w:ind w:firstLine="540"/>
        <w:jc w:val="both"/>
        <w:rPr>
          <w:color w:val="auto"/>
          <w:sz w:val="22"/>
          <w:szCs w:val="22"/>
        </w:rPr>
      </w:pPr>
      <w:r>
        <w:rPr>
          <w:color w:val="auto"/>
          <w:sz w:val="22"/>
          <w:szCs w:val="22"/>
        </w:rPr>
        <w:t>16.4.15.1. Пояснительная записка модуля "Городошный спорт".</w:t>
      </w:r>
    </w:p>
    <w:p w14:paraId="561B54B9">
      <w:pPr>
        <w:pStyle w:val="85"/>
        <w:spacing w:before="240"/>
        <w:ind w:firstLine="540"/>
        <w:jc w:val="both"/>
        <w:rPr>
          <w:color w:val="auto"/>
          <w:sz w:val="22"/>
          <w:szCs w:val="22"/>
        </w:rPr>
      </w:pPr>
      <w:r>
        <w:rPr>
          <w:color w:val="auto"/>
          <w:sz w:val="22"/>
          <w:szCs w:val="22"/>
        </w:rPr>
        <w:t>Модуль "Городошный спорт" (далее - модуль "Городошный спорт", модуль по городошному спорту, городошный спорт) на уровне начального общего образования разработан с целью оказания методической помощи учителю физической культуры в создании части рабочей программы по учебному предмету "Физическая культура", направленной на формирование общих представлений о физической культуре и спорте, физической активности человека, физических качествах, жизненно важных прикладных умениях и навыках, основных физических упражнениях (игровых и спортивных) с целью достижения результатов ФГОС НОО, с учетом современных тенденций в системе образования и использования спортивно-ориентированных форм, средств и методов обучения по различным видам спорта.</w:t>
      </w:r>
    </w:p>
    <w:p w14:paraId="48F16A08">
      <w:pPr>
        <w:pStyle w:val="85"/>
        <w:spacing w:before="240"/>
        <w:ind w:firstLine="540"/>
        <w:jc w:val="both"/>
        <w:rPr>
          <w:color w:val="auto"/>
          <w:sz w:val="22"/>
          <w:szCs w:val="22"/>
        </w:rPr>
      </w:pPr>
      <w:r>
        <w:rPr>
          <w:color w:val="auto"/>
          <w:sz w:val="22"/>
          <w:szCs w:val="22"/>
        </w:rPr>
        <w:t>Городошный спорт - традиционный для России вид спорта, который способствует всестороннему физическому, интеллектуальному, нравственному развитию обучающихся, укреплению здоровья, привлечению школьников к систематическим занятиям физической культурой и спортом, их личностному и профессиональному самоопределению. Игра в городки связана с ходьбой, наклонами, приседаниями, остановками, ускорениями, метанием биты. Игроку необходимо уметь удерживать равновесие во время выполнения разгона биты и наведения ее на цель, ориентироваться в пространстве, чувствовать ритм движения, сохранять необходимое положение звеньев биомеханической цепи за счет развития силовых качеств, обладать эластичным опорно-двигательным аппаратом, быть координированным и ловким.</w:t>
      </w:r>
    </w:p>
    <w:p w14:paraId="73575ABB">
      <w:pPr>
        <w:pStyle w:val="85"/>
        <w:spacing w:before="240"/>
        <w:ind w:firstLine="540"/>
        <w:jc w:val="both"/>
        <w:rPr>
          <w:color w:val="auto"/>
          <w:sz w:val="22"/>
          <w:szCs w:val="22"/>
        </w:rPr>
      </w:pPr>
      <w:r>
        <w:rPr>
          <w:color w:val="auto"/>
          <w:sz w:val="22"/>
          <w:szCs w:val="22"/>
        </w:rPr>
        <w:t>Городошный спорт - игра, где формируются важные черты характера, развиваются многие навыки: умение общаться, способность выдерживать физическую нагрузку, преодолевать психологические трудности и сомнения в достижении цели, формируется определенный образ мышления, умение быстро и, главное, рационально реагировать на изменение игровой ситуации.</w:t>
      </w:r>
    </w:p>
    <w:p w14:paraId="03AACA5E">
      <w:pPr>
        <w:pStyle w:val="85"/>
        <w:spacing w:before="240"/>
        <w:ind w:firstLine="540"/>
        <w:jc w:val="both"/>
        <w:rPr>
          <w:color w:val="auto"/>
          <w:sz w:val="22"/>
          <w:szCs w:val="22"/>
        </w:rPr>
      </w:pPr>
      <w:r>
        <w:rPr>
          <w:color w:val="auto"/>
          <w:sz w:val="22"/>
          <w:szCs w:val="22"/>
        </w:rPr>
        <w:t>Занятия городошным спортом для детей имеют оздоровительную направленность, повышают уровень функционирования сердечно-сосудистой, дыхательной, костно-мышечной и других систем организма человека, а также предполагают длительное время нахождения занимающихся на свежем воздухе, что в сочетании с физическими упражнениями является формой закаливания и благотворно влияет на укрепление здоровья, снижение заболеваемости, повышение устойчивости организма к меняющимся погодным условиям и повышение уровня работоспособности детей. Оздоровительная направленность занятий городошным спортом выражается в том, что заниматься им могут дети, имеющие ограничения по состоянию здоровья.</w:t>
      </w:r>
    </w:p>
    <w:p w14:paraId="5F904EB3">
      <w:pPr>
        <w:pStyle w:val="85"/>
        <w:spacing w:before="240"/>
        <w:ind w:firstLine="540"/>
        <w:jc w:val="both"/>
        <w:rPr>
          <w:color w:val="auto"/>
          <w:sz w:val="22"/>
          <w:szCs w:val="22"/>
        </w:rPr>
      </w:pPr>
      <w:r>
        <w:rPr>
          <w:color w:val="auto"/>
          <w:sz w:val="22"/>
          <w:szCs w:val="22"/>
        </w:rPr>
        <w:t>16.4.15.2. Целью изучения модуля "Городошный спорт" является формирование у обучающихся навыков общечеловеческой культуры и социального самоопределения, устойчивой мотивации к сохранению и укреплению собственного здоровья, ведению здорового образа жизни через занятия физической культурой и спортом с использованием средств городошного спорта.</w:t>
      </w:r>
    </w:p>
    <w:p w14:paraId="2569B4C3">
      <w:pPr>
        <w:pStyle w:val="85"/>
        <w:spacing w:before="240"/>
        <w:ind w:firstLine="540"/>
        <w:jc w:val="both"/>
        <w:rPr>
          <w:color w:val="auto"/>
          <w:sz w:val="22"/>
          <w:szCs w:val="22"/>
        </w:rPr>
      </w:pPr>
      <w:r>
        <w:rPr>
          <w:color w:val="auto"/>
          <w:sz w:val="22"/>
          <w:szCs w:val="22"/>
        </w:rPr>
        <w:t>16.4.15.3. Задачами изучения модуля "Городошный спорт" являются:</w:t>
      </w:r>
    </w:p>
    <w:p w14:paraId="3FE884A4">
      <w:pPr>
        <w:pStyle w:val="85"/>
        <w:spacing w:before="240"/>
        <w:ind w:firstLine="540"/>
        <w:jc w:val="both"/>
        <w:rPr>
          <w:color w:val="auto"/>
          <w:sz w:val="22"/>
          <w:szCs w:val="22"/>
        </w:rPr>
      </w:pPr>
      <w:r>
        <w:rPr>
          <w:color w:val="auto"/>
          <w:sz w:val="22"/>
          <w:szCs w:val="22"/>
        </w:rPr>
        <w:t>всестороннее гармоничное развитие обучающихся, увеличение объема их двигательной активности;</w:t>
      </w:r>
    </w:p>
    <w:p w14:paraId="661D7190">
      <w:pPr>
        <w:pStyle w:val="85"/>
        <w:spacing w:before="240"/>
        <w:ind w:firstLine="540"/>
        <w:jc w:val="both"/>
        <w:rPr>
          <w:color w:val="auto"/>
          <w:sz w:val="22"/>
          <w:szCs w:val="22"/>
        </w:rPr>
      </w:pPr>
      <w:r>
        <w:rPr>
          <w:color w:val="auto"/>
          <w:sz w:val="22"/>
          <w:szCs w:val="22"/>
        </w:rPr>
        <w:t>укрепление физического, психологического и социального здоровья обучающихся, развитие основных физических качеств и повышение функциональных возможностей их организма, обеспечение культуры безопасного поведения на занятиях городошным спортом;</w:t>
      </w:r>
    </w:p>
    <w:p w14:paraId="51824B6D">
      <w:pPr>
        <w:pStyle w:val="85"/>
        <w:spacing w:before="240"/>
        <w:ind w:firstLine="540"/>
        <w:jc w:val="both"/>
        <w:rPr>
          <w:color w:val="auto"/>
          <w:sz w:val="22"/>
          <w:szCs w:val="22"/>
        </w:rPr>
      </w:pPr>
      <w:r>
        <w:rPr>
          <w:color w:val="auto"/>
          <w:sz w:val="22"/>
          <w:szCs w:val="22"/>
        </w:rPr>
        <w:t>освоение знаний о физической культуре и спорте в целом, истории развития игры в городки и городошного спорта в частности;</w:t>
      </w:r>
    </w:p>
    <w:p w14:paraId="6DF2FA99">
      <w:pPr>
        <w:pStyle w:val="85"/>
        <w:spacing w:before="240"/>
        <w:ind w:firstLine="540"/>
        <w:jc w:val="both"/>
        <w:rPr>
          <w:color w:val="auto"/>
          <w:sz w:val="22"/>
          <w:szCs w:val="22"/>
        </w:rPr>
      </w:pPr>
      <w:r>
        <w:rPr>
          <w:color w:val="auto"/>
          <w:sz w:val="22"/>
          <w:szCs w:val="22"/>
        </w:rPr>
        <w:t>формирование общих представлений о городошном спорте, о его возможностях и значении в процессе укрепления здоровья, физическом развитии и физической подготовки обучающихся;</w:t>
      </w:r>
    </w:p>
    <w:p w14:paraId="6F70A5A3">
      <w:pPr>
        <w:pStyle w:val="85"/>
        <w:spacing w:before="240"/>
        <w:ind w:firstLine="540"/>
        <w:jc w:val="both"/>
        <w:rPr>
          <w:color w:val="auto"/>
          <w:sz w:val="22"/>
          <w:szCs w:val="22"/>
        </w:rPr>
      </w:pPr>
      <w:r>
        <w:rPr>
          <w:color w:val="auto"/>
          <w:sz w:val="22"/>
          <w:szCs w:val="22"/>
        </w:rPr>
        <w:t>формирование образовательного фундамента, основанного как на знаниях и умениях в области физической культуры и спорта, так и на соответствующем культурном уровне развития личности обучающегося, создающего необходимые предпосылки для его самореализации;</w:t>
      </w:r>
    </w:p>
    <w:p w14:paraId="3DD52131">
      <w:pPr>
        <w:pStyle w:val="85"/>
        <w:spacing w:before="240"/>
        <w:ind w:firstLine="540"/>
        <w:jc w:val="both"/>
        <w:rPr>
          <w:color w:val="auto"/>
          <w:sz w:val="22"/>
          <w:szCs w:val="22"/>
        </w:rPr>
      </w:pPr>
      <w:r>
        <w:rPr>
          <w:color w:val="auto"/>
          <w:sz w:val="22"/>
          <w:szCs w:val="22"/>
        </w:rPr>
        <w:t>формирование культуры движений, обогащение двигательного опыта физическими упражнениями с общеразвивающей и корригирующей направленностью, техническими действиями и приемами вида спорта "городошный спорт";</w:t>
      </w:r>
    </w:p>
    <w:p w14:paraId="37F39A63">
      <w:pPr>
        <w:pStyle w:val="85"/>
        <w:spacing w:before="240"/>
        <w:ind w:firstLine="540"/>
        <w:jc w:val="both"/>
        <w:rPr>
          <w:color w:val="auto"/>
          <w:sz w:val="22"/>
          <w:szCs w:val="22"/>
        </w:rPr>
      </w:pPr>
      <w:r>
        <w:rPr>
          <w:color w:val="auto"/>
          <w:sz w:val="22"/>
          <w:szCs w:val="22"/>
        </w:rPr>
        <w:t>воспитание положительных качеств личности, норм коллективного взаимодействия и сотрудничества;</w:t>
      </w:r>
    </w:p>
    <w:p w14:paraId="17E56672">
      <w:pPr>
        <w:pStyle w:val="85"/>
        <w:spacing w:before="240"/>
        <w:ind w:firstLine="540"/>
        <w:jc w:val="both"/>
        <w:rPr>
          <w:color w:val="auto"/>
          <w:sz w:val="22"/>
          <w:szCs w:val="22"/>
        </w:rPr>
      </w:pPr>
      <w:r>
        <w:rPr>
          <w:color w:val="auto"/>
          <w:sz w:val="22"/>
          <w:szCs w:val="22"/>
        </w:rPr>
        <w:t>развитие положительной мотивации и устойчивого учебно-познавательного интереса к учебному предмету "Физическая культура", удовлетворение индивидуальных потребностей обучающихся в занятиях физической культурой и спортом;</w:t>
      </w:r>
    </w:p>
    <w:p w14:paraId="75531292">
      <w:pPr>
        <w:pStyle w:val="85"/>
        <w:spacing w:before="240"/>
        <w:ind w:firstLine="540"/>
        <w:jc w:val="both"/>
        <w:rPr>
          <w:color w:val="auto"/>
          <w:sz w:val="22"/>
          <w:szCs w:val="22"/>
        </w:rPr>
      </w:pPr>
      <w:r>
        <w:rPr>
          <w:color w:val="auto"/>
          <w:sz w:val="22"/>
          <w:szCs w:val="22"/>
        </w:rPr>
        <w:t>популяризация городошного спорта среди подрастающего поколения, привлечение обучающихся, проявляющих повышенный интерес и способности к занятиям городошным спортом, в школьные спортивные клубы, секции, к участию в соревнованиях;</w:t>
      </w:r>
    </w:p>
    <w:p w14:paraId="30257FF1">
      <w:pPr>
        <w:pStyle w:val="85"/>
        <w:spacing w:before="240"/>
        <w:ind w:firstLine="540"/>
        <w:jc w:val="both"/>
        <w:rPr>
          <w:color w:val="auto"/>
          <w:sz w:val="22"/>
          <w:szCs w:val="22"/>
        </w:rPr>
      </w:pPr>
      <w:r>
        <w:rPr>
          <w:color w:val="auto"/>
          <w:sz w:val="22"/>
          <w:szCs w:val="22"/>
        </w:rPr>
        <w:t>выявление, развитие и поддержка одаренных детей в области спорта.</w:t>
      </w:r>
    </w:p>
    <w:p w14:paraId="1ACA66FC">
      <w:pPr>
        <w:pStyle w:val="85"/>
        <w:spacing w:before="240"/>
        <w:ind w:firstLine="540"/>
        <w:jc w:val="both"/>
        <w:rPr>
          <w:color w:val="auto"/>
          <w:sz w:val="22"/>
          <w:szCs w:val="22"/>
        </w:rPr>
      </w:pPr>
      <w:r>
        <w:rPr>
          <w:color w:val="auto"/>
          <w:sz w:val="22"/>
          <w:szCs w:val="22"/>
        </w:rPr>
        <w:t>16.4.15.4. Место и роль модуля "Городошный спорт".</w:t>
      </w:r>
    </w:p>
    <w:p w14:paraId="1DC3BB78">
      <w:pPr>
        <w:pStyle w:val="85"/>
        <w:spacing w:before="240"/>
        <w:ind w:firstLine="540"/>
        <w:jc w:val="both"/>
        <w:rPr>
          <w:color w:val="auto"/>
          <w:sz w:val="22"/>
          <w:szCs w:val="22"/>
        </w:rPr>
      </w:pPr>
      <w:r>
        <w:rPr>
          <w:color w:val="auto"/>
          <w:sz w:val="22"/>
          <w:szCs w:val="22"/>
        </w:rPr>
        <w:t>Модуль "Городошный спорт" доступен для освоения всем обучающимся, и обеспечивает достижение следующих результатов ФГОС НОО: сформированность общих представлений о физической культуре и спорте, физической активности человека, физических качествах, жизненно важных прикладных умениях и навыках, основных физических упражнениях (гимнастических, игровых, туристических и спортивных).</w:t>
      </w:r>
    </w:p>
    <w:p w14:paraId="4BD7A3B1">
      <w:pPr>
        <w:pStyle w:val="85"/>
        <w:spacing w:before="240"/>
        <w:ind w:firstLine="540"/>
        <w:jc w:val="both"/>
        <w:rPr>
          <w:color w:val="auto"/>
          <w:sz w:val="22"/>
          <w:szCs w:val="22"/>
        </w:rPr>
      </w:pPr>
      <w:r>
        <w:rPr>
          <w:color w:val="auto"/>
          <w:sz w:val="22"/>
          <w:szCs w:val="22"/>
        </w:rPr>
        <w:t>Программное содержание модуля "Городошный спорт" может быть использовано в разделах "Знания о физической культуре", "Способы самостоятельной деятельности", "Физическое совершенствование".</w:t>
      </w:r>
    </w:p>
    <w:p w14:paraId="411F2419">
      <w:pPr>
        <w:pStyle w:val="85"/>
        <w:spacing w:before="240"/>
        <w:ind w:firstLine="540"/>
        <w:jc w:val="both"/>
        <w:rPr>
          <w:color w:val="auto"/>
          <w:sz w:val="22"/>
          <w:szCs w:val="22"/>
        </w:rPr>
      </w:pPr>
      <w:r>
        <w:rPr>
          <w:color w:val="auto"/>
          <w:sz w:val="22"/>
          <w:szCs w:val="22"/>
        </w:rPr>
        <w:t>Интеграция модуля по городошному спорту поможет обучающимся в освоении образовательных программ в рамках внеурочной деятельности, дополнительного образования, деятельности школьных спортивных клубов, подготовке обучающихся к сдаче норм ГТО участии в спортивных соревнованиях.</w:t>
      </w:r>
    </w:p>
    <w:p w14:paraId="5349BC04">
      <w:pPr>
        <w:pStyle w:val="85"/>
        <w:spacing w:before="240"/>
        <w:ind w:firstLine="540"/>
        <w:jc w:val="both"/>
        <w:rPr>
          <w:color w:val="auto"/>
          <w:sz w:val="22"/>
          <w:szCs w:val="22"/>
        </w:rPr>
      </w:pPr>
      <w:r>
        <w:rPr>
          <w:color w:val="auto"/>
          <w:sz w:val="22"/>
          <w:szCs w:val="22"/>
        </w:rPr>
        <w:t>16.4.15.5. Модуль "Городошный спорт" может быть реализован в следующих вариантах:</w:t>
      </w:r>
    </w:p>
    <w:p w14:paraId="6A509AAB">
      <w:pPr>
        <w:pStyle w:val="85"/>
        <w:spacing w:before="240"/>
        <w:ind w:firstLine="540"/>
        <w:jc w:val="both"/>
        <w:rPr>
          <w:color w:val="auto"/>
          <w:sz w:val="22"/>
          <w:szCs w:val="22"/>
        </w:rPr>
      </w:pPr>
      <w:r>
        <w:rPr>
          <w:color w:val="auto"/>
          <w:sz w:val="22"/>
          <w:szCs w:val="22"/>
        </w:rPr>
        <w:t>при самостоятельном планировании учителем физической культуры процесса освоения обучающимися учебного материала по городошному спорту с выбором различных элементов специальных физических упражнений, игр и (или) элементов игры, с учетом возраста и физической подготовленности обучающихся (с соответствующей дозировкой и интенсивностью);</w:t>
      </w:r>
    </w:p>
    <w:p w14:paraId="46EBD4DA">
      <w:pPr>
        <w:pStyle w:val="85"/>
        <w:spacing w:before="240"/>
        <w:ind w:firstLine="540"/>
        <w:jc w:val="both"/>
        <w:rPr>
          <w:color w:val="auto"/>
          <w:sz w:val="22"/>
          <w:szCs w:val="22"/>
        </w:rPr>
      </w:pPr>
      <w:r>
        <w:rPr>
          <w:color w:val="auto"/>
          <w:sz w:val="22"/>
          <w:szCs w:val="22"/>
        </w:rPr>
        <w:t>в виде дополнительных часов, выделяемых на спортивно-оздоровительную работу с обучающимися в рамках внеурочной деятельности и (или) за счет посещения обучающимися спортивных секций школьных спортивных клубов (рекомендуемый объем в 1 классе - 33 часа, во 2 - 4 классах - по 34 часа).</w:t>
      </w:r>
    </w:p>
    <w:p w14:paraId="5F34CBD5">
      <w:pPr>
        <w:pStyle w:val="85"/>
        <w:spacing w:before="240"/>
        <w:ind w:firstLine="540"/>
        <w:jc w:val="both"/>
        <w:rPr>
          <w:color w:val="auto"/>
          <w:sz w:val="22"/>
          <w:szCs w:val="22"/>
        </w:rPr>
      </w:pPr>
      <w:r>
        <w:rPr>
          <w:color w:val="auto"/>
          <w:sz w:val="22"/>
          <w:szCs w:val="22"/>
        </w:rPr>
        <w:t>16.4.15.6. Содержание модуля "Городошный спорт".</w:t>
      </w:r>
    </w:p>
    <w:p w14:paraId="769215A7">
      <w:pPr>
        <w:pStyle w:val="85"/>
        <w:spacing w:before="240"/>
        <w:ind w:firstLine="540"/>
        <w:jc w:val="both"/>
        <w:rPr>
          <w:color w:val="auto"/>
          <w:sz w:val="22"/>
          <w:szCs w:val="22"/>
        </w:rPr>
      </w:pPr>
      <w:r>
        <w:rPr>
          <w:color w:val="auto"/>
          <w:sz w:val="22"/>
          <w:szCs w:val="22"/>
        </w:rPr>
        <w:t>1) Знания о городошном спорте.</w:t>
      </w:r>
    </w:p>
    <w:p w14:paraId="73AF1721">
      <w:pPr>
        <w:pStyle w:val="85"/>
        <w:spacing w:before="240"/>
        <w:ind w:firstLine="540"/>
        <w:jc w:val="both"/>
        <w:rPr>
          <w:color w:val="auto"/>
          <w:sz w:val="22"/>
          <w:szCs w:val="22"/>
        </w:rPr>
      </w:pPr>
      <w:r>
        <w:rPr>
          <w:color w:val="auto"/>
          <w:sz w:val="22"/>
          <w:szCs w:val="22"/>
        </w:rPr>
        <w:t>История зарождения игры в городки и городошного спорта.</w:t>
      </w:r>
    </w:p>
    <w:p w14:paraId="77AA2664">
      <w:pPr>
        <w:pStyle w:val="85"/>
        <w:spacing w:before="240"/>
        <w:ind w:firstLine="540"/>
        <w:jc w:val="both"/>
        <w:rPr>
          <w:color w:val="auto"/>
          <w:sz w:val="22"/>
          <w:szCs w:val="22"/>
        </w:rPr>
      </w:pPr>
      <w:r>
        <w:rPr>
          <w:color w:val="auto"/>
          <w:sz w:val="22"/>
          <w:szCs w:val="22"/>
        </w:rPr>
        <w:t>Знаменитые исторические личности, игравшие в городки.</w:t>
      </w:r>
    </w:p>
    <w:p w14:paraId="0B17E24F">
      <w:pPr>
        <w:pStyle w:val="85"/>
        <w:spacing w:before="240"/>
        <w:ind w:firstLine="540"/>
        <w:jc w:val="both"/>
        <w:rPr>
          <w:color w:val="auto"/>
          <w:sz w:val="22"/>
          <w:szCs w:val="22"/>
        </w:rPr>
      </w:pPr>
      <w:r>
        <w:rPr>
          <w:color w:val="auto"/>
          <w:sz w:val="22"/>
          <w:szCs w:val="22"/>
        </w:rPr>
        <w:t>История развития современного городошного спорта в России, в регионе.</w:t>
      </w:r>
    </w:p>
    <w:p w14:paraId="33E53238">
      <w:pPr>
        <w:pStyle w:val="85"/>
        <w:spacing w:before="240"/>
        <w:ind w:firstLine="540"/>
        <w:jc w:val="both"/>
        <w:rPr>
          <w:color w:val="auto"/>
          <w:sz w:val="22"/>
          <w:szCs w:val="22"/>
        </w:rPr>
      </w:pPr>
      <w:r>
        <w:rPr>
          <w:color w:val="auto"/>
          <w:sz w:val="22"/>
          <w:szCs w:val="22"/>
        </w:rPr>
        <w:t>Легендарные отечественные городошники, тренеры.</w:t>
      </w:r>
    </w:p>
    <w:p w14:paraId="6BEB21C2">
      <w:pPr>
        <w:pStyle w:val="85"/>
        <w:spacing w:before="240"/>
        <w:ind w:firstLine="540"/>
        <w:jc w:val="both"/>
        <w:rPr>
          <w:color w:val="auto"/>
          <w:sz w:val="22"/>
          <w:szCs w:val="22"/>
        </w:rPr>
      </w:pPr>
      <w:r>
        <w:rPr>
          <w:color w:val="auto"/>
          <w:sz w:val="22"/>
          <w:szCs w:val="22"/>
        </w:rPr>
        <w:t>Достижения национальной сборной команды страны по городошному спорту.</w:t>
      </w:r>
    </w:p>
    <w:p w14:paraId="5AE65E89">
      <w:pPr>
        <w:pStyle w:val="85"/>
        <w:spacing w:before="240"/>
        <w:ind w:firstLine="540"/>
        <w:jc w:val="both"/>
        <w:rPr>
          <w:color w:val="auto"/>
          <w:sz w:val="22"/>
          <w:szCs w:val="22"/>
        </w:rPr>
      </w:pPr>
      <w:r>
        <w:rPr>
          <w:color w:val="auto"/>
          <w:sz w:val="22"/>
          <w:szCs w:val="22"/>
        </w:rPr>
        <w:t>Спортивные дисциплины (разновидности) городошного спорта.</w:t>
      </w:r>
    </w:p>
    <w:p w14:paraId="0770B9E7">
      <w:pPr>
        <w:pStyle w:val="85"/>
        <w:spacing w:before="240"/>
        <w:ind w:firstLine="540"/>
        <w:jc w:val="both"/>
        <w:rPr>
          <w:color w:val="auto"/>
          <w:sz w:val="22"/>
          <w:szCs w:val="22"/>
        </w:rPr>
      </w:pPr>
      <w:r>
        <w:rPr>
          <w:color w:val="auto"/>
          <w:sz w:val="22"/>
          <w:szCs w:val="22"/>
        </w:rPr>
        <w:t>Размеры городошной площадки, допустимые размеры для игры в городки; инвентарь и оборудование для занятий городошным спортом.</w:t>
      </w:r>
    </w:p>
    <w:p w14:paraId="34F459CA">
      <w:pPr>
        <w:pStyle w:val="85"/>
        <w:spacing w:before="240"/>
        <w:ind w:firstLine="540"/>
        <w:jc w:val="both"/>
        <w:rPr>
          <w:color w:val="auto"/>
          <w:sz w:val="22"/>
          <w:szCs w:val="22"/>
        </w:rPr>
      </w:pPr>
      <w:r>
        <w:rPr>
          <w:color w:val="auto"/>
          <w:sz w:val="22"/>
          <w:szCs w:val="22"/>
        </w:rPr>
        <w:t>Городошные фигуры, их названия, последовательность и способы установки.</w:t>
      </w:r>
    </w:p>
    <w:p w14:paraId="4D5E21CE">
      <w:pPr>
        <w:pStyle w:val="85"/>
        <w:spacing w:before="240"/>
        <w:ind w:firstLine="540"/>
        <w:jc w:val="both"/>
        <w:rPr>
          <w:color w:val="auto"/>
          <w:sz w:val="22"/>
          <w:szCs w:val="22"/>
        </w:rPr>
      </w:pPr>
      <w:r>
        <w:rPr>
          <w:color w:val="auto"/>
          <w:sz w:val="22"/>
          <w:szCs w:val="22"/>
        </w:rPr>
        <w:t>Состав команды по городкам; функции игроков в команде; роль капитана команды.</w:t>
      </w:r>
    </w:p>
    <w:p w14:paraId="589BF493">
      <w:pPr>
        <w:pStyle w:val="85"/>
        <w:spacing w:before="240"/>
        <w:ind w:firstLine="540"/>
        <w:jc w:val="both"/>
        <w:rPr>
          <w:color w:val="auto"/>
          <w:sz w:val="22"/>
          <w:szCs w:val="22"/>
        </w:rPr>
      </w:pPr>
      <w:r>
        <w:rPr>
          <w:color w:val="auto"/>
          <w:sz w:val="22"/>
          <w:szCs w:val="22"/>
        </w:rPr>
        <w:t>Состав судейской коллегии, обслуживающей соревнования по городошному спорту. Команды и сигналы судьи.</w:t>
      </w:r>
    </w:p>
    <w:p w14:paraId="1D74E0D0">
      <w:pPr>
        <w:pStyle w:val="85"/>
        <w:spacing w:before="240"/>
        <w:ind w:firstLine="540"/>
        <w:jc w:val="both"/>
        <w:rPr>
          <w:color w:val="auto"/>
          <w:sz w:val="22"/>
          <w:szCs w:val="22"/>
        </w:rPr>
      </w:pPr>
      <w:r>
        <w:rPr>
          <w:color w:val="auto"/>
          <w:sz w:val="22"/>
          <w:szCs w:val="22"/>
        </w:rPr>
        <w:t>Современные правила соревнований городошного спорта.</w:t>
      </w:r>
    </w:p>
    <w:p w14:paraId="43BDF9DF">
      <w:pPr>
        <w:pStyle w:val="85"/>
        <w:spacing w:before="240"/>
        <w:ind w:firstLine="540"/>
        <w:jc w:val="both"/>
        <w:rPr>
          <w:color w:val="auto"/>
          <w:sz w:val="22"/>
          <w:szCs w:val="22"/>
        </w:rPr>
      </w:pPr>
      <w:r>
        <w:rPr>
          <w:color w:val="auto"/>
          <w:sz w:val="22"/>
          <w:szCs w:val="22"/>
        </w:rPr>
        <w:t>Словарь терминов и определений городошного спорта.</w:t>
      </w:r>
    </w:p>
    <w:p w14:paraId="69165FB4">
      <w:pPr>
        <w:pStyle w:val="85"/>
        <w:spacing w:before="240"/>
        <w:ind w:firstLine="540"/>
        <w:jc w:val="both"/>
        <w:rPr>
          <w:color w:val="auto"/>
          <w:sz w:val="22"/>
          <w:szCs w:val="22"/>
        </w:rPr>
      </w:pPr>
      <w:r>
        <w:rPr>
          <w:color w:val="auto"/>
          <w:sz w:val="22"/>
          <w:szCs w:val="22"/>
        </w:rPr>
        <w:t>Спортивные и физкультурные мероприятия по городошному спорту в школе.</w:t>
      </w:r>
    </w:p>
    <w:p w14:paraId="38A603A5">
      <w:pPr>
        <w:pStyle w:val="85"/>
        <w:spacing w:before="240"/>
        <w:ind w:firstLine="540"/>
        <w:jc w:val="both"/>
        <w:rPr>
          <w:color w:val="auto"/>
          <w:sz w:val="22"/>
          <w:szCs w:val="22"/>
        </w:rPr>
      </w:pPr>
      <w:r>
        <w:rPr>
          <w:color w:val="auto"/>
          <w:sz w:val="22"/>
          <w:szCs w:val="22"/>
        </w:rPr>
        <w:t>Упражнения, техника и тактика городошного спорта.</w:t>
      </w:r>
    </w:p>
    <w:p w14:paraId="1DBA83EC">
      <w:pPr>
        <w:pStyle w:val="85"/>
        <w:spacing w:before="240"/>
        <w:ind w:firstLine="540"/>
        <w:jc w:val="both"/>
        <w:rPr>
          <w:color w:val="auto"/>
          <w:sz w:val="22"/>
          <w:szCs w:val="22"/>
        </w:rPr>
      </w:pPr>
      <w:r>
        <w:rPr>
          <w:color w:val="auto"/>
          <w:sz w:val="22"/>
          <w:szCs w:val="22"/>
        </w:rPr>
        <w:t>Правила безопасного поведения во время занятий городошным спортом.</w:t>
      </w:r>
    </w:p>
    <w:p w14:paraId="09D24DF7">
      <w:pPr>
        <w:pStyle w:val="85"/>
        <w:spacing w:before="240"/>
        <w:ind w:firstLine="540"/>
        <w:jc w:val="both"/>
        <w:rPr>
          <w:color w:val="auto"/>
          <w:sz w:val="22"/>
          <w:szCs w:val="22"/>
        </w:rPr>
      </w:pPr>
      <w:r>
        <w:rPr>
          <w:color w:val="auto"/>
          <w:sz w:val="22"/>
          <w:szCs w:val="22"/>
        </w:rPr>
        <w:t>Правила по безопасной культуре поведения во время посещений соревнований по городошному спорту.</w:t>
      </w:r>
    </w:p>
    <w:p w14:paraId="159E0EB9">
      <w:pPr>
        <w:pStyle w:val="85"/>
        <w:spacing w:before="240"/>
        <w:ind w:firstLine="540"/>
        <w:jc w:val="both"/>
        <w:rPr>
          <w:color w:val="auto"/>
          <w:sz w:val="22"/>
          <w:szCs w:val="22"/>
        </w:rPr>
      </w:pPr>
      <w:r>
        <w:rPr>
          <w:color w:val="auto"/>
          <w:sz w:val="22"/>
          <w:szCs w:val="22"/>
        </w:rPr>
        <w:t>Режим дня при занятиях городошным спортом.</w:t>
      </w:r>
    </w:p>
    <w:p w14:paraId="4F1E3D59">
      <w:pPr>
        <w:pStyle w:val="85"/>
        <w:spacing w:before="240"/>
        <w:ind w:firstLine="540"/>
        <w:jc w:val="both"/>
        <w:rPr>
          <w:color w:val="auto"/>
          <w:sz w:val="22"/>
          <w:szCs w:val="22"/>
        </w:rPr>
      </w:pPr>
      <w:r>
        <w:rPr>
          <w:color w:val="auto"/>
          <w:sz w:val="22"/>
          <w:szCs w:val="22"/>
        </w:rPr>
        <w:t>Правила личной гигиены во время занятий городошным спортом.</w:t>
      </w:r>
    </w:p>
    <w:p w14:paraId="3D3F384B">
      <w:pPr>
        <w:pStyle w:val="85"/>
        <w:spacing w:before="240"/>
        <w:ind w:firstLine="540"/>
        <w:jc w:val="both"/>
        <w:rPr>
          <w:color w:val="auto"/>
          <w:sz w:val="22"/>
          <w:szCs w:val="22"/>
        </w:rPr>
      </w:pPr>
      <w:r>
        <w:rPr>
          <w:color w:val="auto"/>
          <w:sz w:val="22"/>
          <w:szCs w:val="22"/>
        </w:rPr>
        <w:t>Городошный спорт как средство укрепления здоровья, закаливания и развития физических качеств.</w:t>
      </w:r>
    </w:p>
    <w:p w14:paraId="0EA9FC8E">
      <w:pPr>
        <w:pStyle w:val="85"/>
        <w:spacing w:before="240"/>
        <w:ind w:firstLine="540"/>
        <w:jc w:val="both"/>
        <w:rPr>
          <w:color w:val="auto"/>
          <w:sz w:val="22"/>
          <w:szCs w:val="22"/>
        </w:rPr>
      </w:pPr>
      <w:r>
        <w:rPr>
          <w:color w:val="auto"/>
          <w:sz w:val="22"/>
          <w:szCs w:val="22"/>
        </w:rPr>
        <w:t>2) Способы самостоятельной деятельности.</w:t>
      </w:r>
    </w:p>
    <w:p w14:paraId="06CEAD2F">
      <w:pPr>
        <w:pStyle w:val="85"/>
        <w:spacing w:before="240"/>
        <w:ind w:firstLine="540"/>
        <w:jc w:val="both"/>
        <w:rPr>
          <w:color w:val="auto"/>
          <w:sz w:val="22"/>
          <w:szCs w:val="22"/>
        </w:rPr>
      </w:pPr>
      <w:r>
        <w:rPr>
          <w:color w:val="auto"/>
          <w:sz w:val="22"/>
          <w:szCs w:val="22"/>
        </w:rPr>
        <w:t>Основы организации самостоятельных занятий городками.</w:t>
      </w:r>
    </w:p>
    <w:p w14:paraId="10B0618F">
      <w:pPr>
        <w:pStyle w:val="85"/>
        <w:spacing w:before="240"/>
        <w:ind w:firstLine="540"/>
        <w:jc w:val="both"/>
        <w:rPr>
          <w:color w:val="auto"/>
          <w:sz w:val="22"/>
          <w:szCs w:val="22"/>
        </w:rPr>
      </w:pPr>
      <w:r>
        <w:rPr>
          <w:color w:val="auto"/>
          <w:sz w:val="22"/>
          <w:szCs w:val="22"/>
        </w:rPr>
        <w:t>Комплексы для упражнений городошников общеразвивающего, подготовительного и специального воздействия.</w:t>
      </w:r>
    </w:p>
    <w:p w14:paraId="31143635">
      <w:pPr>
        <w:pStyle w:val="85"/>
        <w:spacing w:before="240"/>
        <w:ind w:firstLine="540"/>
        <w:jc w:val="both"/>
        <w:rPr>
          <w:color w:val="auto"/>
          <w:sz w:val="22"/>
          <w:szCs w:val="22"/>
        </w:rPr>
      </w:pPr>
      <w:r>
        <w:rPr>
          <w:color w:val="auto"/>
          <w:sz w:val="22"/>
          <w:szCs w:val="22"/>
        </w:rPr>
        <w:t>Контрольно-тестовые упражнения по общей физической, специальной и технической подготовке.</w:t>
      </w:r>
    </w:p>
    <w:p w14:paraId="51E4731D">
      <w:pPr>
        <w:pStyle w:val="85"/>
        <w:spacing w:before="240"/>
        <w:ind w:firstLine="540"/>
        <w:jc w:val="both"/>
        <w:rPr>
          <w:color w:val="auto"/>
          <w:sz w:val="22"/>
          <w:szCs w:val="22"/>
        </w:rPr>
      </w:pPr>
      <w:r>
        <w:rPr>
          <w:color w:val="auto"/>
          <w:sz w:val="22"/>
          <w:szCs w:val="22"/>
        </w:rPr>
        <w:t>Первые внешние признаки утомления. Способы самоконтроля за физической нагрузкой.</w:t>
      </w:r>
    </w:p>
    <w:p w14:paraId="0FD83193">
      <w:pPr>
        <w:pStyle w:val="85"/>
        <w:spacing w:before="240"/>
        <w:ind w:firstLine="540"/>
        <w:jc w:val="both"/>
        <w:rPr>
          <w:color w:val="auto"/>
          <w:sz w:val="22"/>
          <w:szCs w:val="22"/>
        </w:rPr>
      </w:pPr>
      <w:r>
        <w:rPr>
          <w:color w:val="auto"/>
          <w:sz w:val="22"/>
          <w:szCs w:val="22"/>
        </w:rPr>
        <w:t>Уход за спортивным инвентарем и оборудованием при занятиях городошным спортом.</w:t>
      </w:r>
    </w:p>
    <w:p w14:paraId="5B1760F1">
      <w:pPr>
        <w:pStyle w:val="85"/>
        <w:spacing w:before="240"/>
        <w:ind w:firstLine="540"/>
        <w:jc w:val="both"/>
        <w:rPr>
          <w:color w:val="auto"/>
          <w:sz w:val="22"/>
          <w:szCs w:val="22"/>
        </w:rPr>
      </w:pPr>
      <w:r>
        <w:rPr>
          <w:color w:val="auto"/>
          <w:sz w:val="22"/>
          <w:szCs w:val="22"/>
        </w:rPr>
        <w:t>Подвижные игры и правила их проведения.</w:t>
      </w:r>
    </w:p>
    <w:p w14:paraId="5459B7AF">
      <w:pPr>
        <w:pStyle w:val="85"/>
        <w:spacing w:before="240"/>
        <w:ind w:firstLine="540"/>
        <w:jc w:val="both"/>
        <w:rPr>
          <w:color w:val="auto"/>
          <w:sz w:val="22"/>
          <w:szCs w:val="22"/>
        </w:rPr>
      </w:pPr>
      <w:r>
        <w:rPr>
          <w:color w:val="auto"/>
          <w:sz w:val="22"/>
          <w:szCs w:val="22"/>
        </w:rPr>
        <w:t>Организация и проведение игр, направленных на формирование двигательных умений городошника.</w:t>
      </w:r>
    </w:p>
    <w:p w14:paraId="1C96D307">
      <w:pPr>
        <w:pStyle w:val="85"/>
        <w:spacing w:before="240"/>
        <w:ind w:firstLine="540"/>
        <w:jc w:val="both"/>
        <w:rPr>
          <w:color w:val="auto"/>
          <w:sz w:val="22"/>
          <w:szCs w:val="22"/>
        </w:rPr>
      </w:pPr>
      <w:r>
        <w:rPr>
          <w:color w:val="auto"/>
          <w:sz w:val="22"/>
          <w:szCs w:val="22"/>
        </w:rPr>
        <w:t>Организация подвижных и иных игр с элементами городков со сверстниками в активной досуговой деятельности.</w:t>
      </w:r>
    </w:p>
    <w:p w14:paraId="79CCAE2F">
      <w:pPr>
        <w:pStyle w:val="85"/>
        <w:spacing w:before="240"/>
        <w:ind w:firstLine="540"/>
        <w:jc w:val="both"/>
        <w:rPr>
          <w:color w:val="auto"/>
          <w:sz w:val="22"/>
          <w:szCs w:val="22"/>
        </w:rPr>
      </w:pPr>
      <w:r>
        <w:rPr>
          <w:color w:val="auto"/>
          <w:sz w:val="22"/>
          <w:szCs w:val="22"/>
        </w:rPr>
        <w:t>Подбор общеразвивающих упражнений, составление комплексов и включение их в подготовительную часть урока, занятия.</w:t>
      </w:r>
    </w:p>
    <w:p w14:paraId="7AB4D24A">
      <w:pPr>
        <w:pStyle w:val="85"/>
        <w:spacing w:before="240"/>
        <w:ind w:firstLine="540"/>
        <w:jc w:val="both"/>
        <w:rPr>
          <w:color w:val="auto"/>
          <w:sz w:val="22"/>
          <w:szCs w:val="22"/>
        </w:rPr>
      </w:pPr>
      <w:r>
        <w:rPr>
          <w:color w:val="auto"/>
          <w:sz w:val="22"/>
          <w:szCs w:val="22"/>
        </w:rPr>
        <w:t>Причины возникновения ошибок при выполнении технических приемов и способы их устранения.</w:t>
      </w:r>
    </w:p>
    <w:p w14:paraId="13AFA9E0">
      <w:pPr>
        <w:pStyle w:val="85"/>
        <w:spacing w:before="240"/>
        <w:ind w:firstLine="540"/>
        <w:jc w:val="both"/>
        <w:rPr>
          <w:color w:val="auto"/>
          <w:sz w:val="22"/>
          <w:szCs w:val="22"/>
        </w:rPr>
      </w:pPr>
      <w:r>
        <w:rPr>
          <w:color w:val="auto"/>
          <w:sz w:val="22"/>
          <w:szCs w:val="22"/>
        </w:rPr>
        <w:t>3) Физическое совершенствование.</w:t>
      </w:r>
    </w:p>
    <w:p w14:paraId="7D2E5B09">
      <w:pPr>
        <w:pStyle w:val="85"/>
        <w:spacing w:before="240"/>
        <w:ind w:firstLine="540"/>
        <w:jc w:val="both"/>
        <w:rPr>
          <w:color w:val="auto"/>
          <w:sz w:val="22"/>
          <w:szCs w:val="22"/>
        </w:rPr>
      </w:pPr>
      <w:r>
        <w:rPr>
          <w:color w:val="auto"/>
          <w:sz w:val="22"/>
          <w:szCs w:val="22"/>
        </w:rPr>
        <w:t>Комплексы специальной разминки перед соревнованиями.</w:t>
      </w:r>
    </w:p>
    <w:p w14:paraId="5556E580">
      <w:pPr>
        <w:pStyle w:val="85"/>
        <w:spacing w:before="240"/>
        <w:ind w:firstLine="540"/>
        <w:jc w:val="both"/>
        <w:rPr>
          <w:color w:val="auto"/>
          <w:sz w:val="22"/>
          <w:szCs w:val="22"/>
        </w:rPr>
      </w:pPr>
      <w:r>
        <w:rPr>
          <w:color w:val="auto"/>
          <w:sz w:val="22"/>
          <w:szCs w:val="22"/>
        </w:rPr>
        <w:t>Подвижные игры без предметов и с предметами ("Прыжки по полоскам", "Караси и щуки", "Третий лишний", "Пустое место", "Белые медведи", "Борьба за мяч", "Перетягивание каната", "Вызов", "Гонка мячей по кругу", "Мяч среднему", "Круговая лапта", "Охотники и утки"), эстафеты с элементами городков.</w:t>
      </w:r>
    </w:p>
    <w:p w14:paraId="2549E500">
      <w:pPr>
        <w:pStyle w:val="85"/>
        <w:spacing w:before="240"/>
        <w:ind w:firstLine="540"/>
        <w:jc w:val="both"/>
        <w:rPr>
          <w:color w:val="auto"/>
          <w:sz w:val="22"/>
          <w:szCs w:val="22"/>
        </w:rPr>
      </w:pPr>
      <w:r>
        <w:rPr>
          <w:color w:val="auto"/>
          <w:sz w:val="22"/>
          <w:szCs w:val="22"/>
        </w:rPr>
        <w:t>Эстафеты на развитие физических и специальных качеств.</w:t>
      </w:r>
    </w:p>
    <w:p w14:paraId="2B3418D0">
      <w:pPr>
        <w:pStyle w:val="85"/>
        <w:spacing w:before="240"/>
        <w:ind w:firstLine="540"/>
        <w:jc w:val="both"/>
        <w:rPr>
          <w:color w:val="auto"/>
          <w:sz w:val="22"/>
          <w:szCs w:val="22"/>
        </w:rPr>
      </w:pPr>
      <w:r>
        <w:rPr>
          <w:color w:val="auto"/>
          <w:sz w:val="22"/>
          <w:szCs w:val="22"/>
        </w:rPr>
        <w:t>Комплексы специальных упражнений для формирования техники броска.</w:t>
      </w:r>
    </w:p>
    <w:p w14:paraId="5D02568D">
      <w:pPr>
        <w:pStyle w:val="85"/>
        <w:spacing w:before="240"/>
        <w:ind w:firstLine="540"/>
        <w:jc w:val="both"/>
        <w:rPr>
          <w:color w:val="auto"/>
          <w:sz w:val="22"/>
          <w:szCs w:val="22"/>
        </w:rPr>
      </w:pPr>
      <w:r>
        <w:rPr>
          <w:color w:val="auto"/>
          <w:sz w:val="22"/>
          <w:szCs w:val="22"/>
        </w:rPr>
        <w:t>Способы индивидуального регулирования физической нагрузки с учетом уровня физического развития и функционального состояния.</w:t>
      </w:r>
    </w:p>
    <w:p w14:paraId="61C1CB46">
      <w:pPr>
        <w:pStyle w:val="85"/>
        <w:spacing w:before="240"/>
        <w:ind w:firstLine="540"/>
        <w:jc w:val="both"/>
        <w:rPr>
          <w:color w:val="auto"/>
          <w:sz w:val="22"/>
          <w:szCs w:val="22"/>
        </w:rPr>
      </w:pPr>
      <w:r>
        <w:rPr>
          <w:color w:val="auto"/>
          <w:sz w:val="22"/>
          <w:szCs w:val="22"/>
        </w:rPr>
        <w:t>Подвижные игры специальной направленности: "Техника броска, разгон биты за счет работы ног, туловища и плечевого пояса", "Метание снарядов на дальность с сохранением техники броска", "Метание снарядов на точность".</w:t>
      </w:r>
    </w:p>
    <w:p w14:paraId="21607DCA">
      <w:pPr>
        <w:pStyle w:val="85"/>
        <w:spacing w:before="240"/>
        <w:ind w:firstLine="540"/>
        <w:jc w:val="both"/>
        <w:rPr>
          <w:color w:val="auto"/>
          <w:sz w:val="22"/>
          <w:szCs w:val="22"/>
        </w:rPr>
      </w:pPr>
      <w:r>
        <w:rPr>
          <w:color w:val="auto"/>
          <w:sz w:val="22"/>
          <w:szCs w:val="22"/>
        </w:rPr>
        <w:t>Техника передвижения: шаги с толчковой ноги на опорную, с подъемом на носок, то же с поворотами в сторону опорной ноги. Бег - приставными шагами, скрестными, спиной вперед, обычный, семенящий, с ускорением, челночный, на различные дистанции, и различной скоростью.</w:t>
      </w:r>
    </w:p>
    <w:p w14:paraId="5EECB30A">
      <w:pPr>
        <w:pStyle w:val="85"/>
        <w:spacing w:before="240"/>
        <w:ind w:firstLine="540"/>
        <w:jc w:val="both"/>
        <w:rPr>
          <w:color w:val="auto"/>
          <w:sz w:val="22"/>
          <w:szCs w:val="22"/>
        </w:rPr>
      </w:pPr>
      <w:r>
        <w:rPr>
          <w:color w:val="auto"/>
          <w:sz w:val="22"/>
          <w:szCs w:val="22"/>
        </w:rPr>
        <w:t>Повороты - толчком с правой на левую ногу, одновременным разворотом двух ног на носках, на скорость, на количество повторений с соблюдением равновесия.</w:t>
      </w:r>
    </w:p>
    <w:p w14:paraId="42414721">
      <w:pPr>
        <w:pStyle w:val="85"/>
        <w:spacing w:before="240"/>
        <w:ind w:firstLine="540"/>
        <w:jc w:val="both"/>
        <w:rPr>
          <w:color w:val="auto"/>
          <w:sz w:val="22"/>
          <w:szCs w:val="22"/>
        </w:rPr>
      </w:pPr>
      <w:r>
        <w:rPr>
          <w:color w:val="auto"/>
          <w:sz w:val="22"/>
          <w:szCs w:val="22"/>
        </w:rPr>
        <w:t>Разворот толчком правой ноги на левую, с остановкой после упора правым коленом под левое. Повороты - на двух ногах, прыжком, выпадом, на 90°, 180°.</w:t>
      </w:r>
    </w:p>
    <w:p w14:paraId="65BB5829">
      <w:pPr>
        <w:pStyle w:val="85"/>
        <w:spacing w:before="240"/>
        <w:ind w:firstLine="540"/>
        <w:jc w:val="both"/>
        <w:rPr>
          <w:color w:val="auto"/>
          <w:sz w:val="22"/>
          <w:szCs w:val="22"/>
        </w:rPr>
      </w:pPr>
      <w:r>
        <w:rPr>
          <w:color w:val="auto"/>
          <w:sz w:val="22"/>
          <w:szCs w:val="22"/>
        </w:rPr>
        <w:t>Техника броска биты: хват, замах, разгон, наведение биты на цель, выброс биты.</w:t>
      </w:r>
    </w:p>
    <w:p w14:paraId="36F887DE">
      <w:pPr>
        <w:pStyle w:val="85"/>
        <w:spacing w:before="240"/>
        <w:ind w:firstLine="540"/>
        <w:jc w:val="both"/>
        <w:rPr>
          <w:color w:val="auto"/>
          <w:sz w:val="22"/>
          <w:szCs w:val="22"/>
        </w:rPr>
      </w:pPr>
      <w:r>
        <w:rPr>
          <w:color w:val="auto"/>
          <w:sz w:val="22"/>
          <w:szCs w:val="22"/>
        </w:rPr>
        <w:t>Бросок биты с полукона, в нормальной, горизонтальной плоскости и обратной плоскостях.</w:t>
      </w:r>
    </w:p>
    <w:p w14:paraId="22954C99">
      <w:pPr>
        <w:pStyle w:val="85"/>
        <w:spacing w:before="240"/>
        <w:ind w:firstLine="540"/>
        <w:jc w:val="both"/>
        <w:rPr>
          <w:color w:val="auto"/>
          <w:sz w:val="22"/>
          <w:szCs w:val="22"/>
        </w:rPr>
      </w:pPr>
      <w:r>
        <w:rPr>
          <w:color w:val="auto"/>
          <w:sz w:val="22"/>
          <w:szCs w:val="22"/>
        </w:rPr>
        <w:t>Выбивание одиночных городков на лицевой линии, на углах "города", на "марке" и внутри "города".</w:t>
      </w:r>
    </w:p>
    <w:p w14:paraId="3831E3AE">
      <w:pPr>
        <w:pStyle w:val="85"/>
        <w:spacing w:before="240"/>
        <w:ind w:firstLine="540"/>
        <w:jc w:val="both"/>
        <w:rPr>
          <w:color w:val="auto"/>
          <w:sz w:val="22"/>
          <w:szCs w:val="22"/>
        </w:rPr>
      </w:pPr>
      <w:r>
        <w:rPr>
          <w:color w:val="auto"/>
          <w:sz w:val="22"/>
          <w:szCs w:val="22"/>
        </w:rPr>
        <w:t>Выбивание одиночных городков из пределов "пригорода". Выбивание комбинаций городков в пределах "города".</w:t>
      </w:r>
    </w:p>
    <w:p w14:paraId="37F6FBE2">
      <w:pPr>
        <w:pStyle w:val="85"/>
        <w:spacing w:before="240"/>
        <w:ind w:firstLine="540"/>
        <w:jc w:val="both"/>
        <w:rPr>
          <w:color w:val="auto"/>
          <w:sz w:val="22"/>
          <w:szCs w:val="22"/>
        </w:rPr>
      </w:pPr>
      <w:r>
        <w:rPr>
          <w:color w:val="auto"/>
          <w:sz w:val="22"/>
          <w:szCs w:val="22"/>
        </w:rPr>
        <w:t>Выбивание штрафного городка.</w:t>
      </w:r>
    </w:p>
    <w:p w14:paraId="54F5F992">
      <w:pPr>
        <w:pStyle w:val="85"/>
        <w:spacing w:before="240"/>
        <w:ind w:firstLine="540"/>
        <w:jc w:val="both"/>
        <w:rPr>
          <w:color w:val="auto"/>
          <w:sz w:val="22"/>
          <w:szCs w:val="22"/>
        </w:rPr>
      </w:pPr>
      <w:r>
        <w:rPr>
          <w:color w:val="auto"/>
          <w:sz w:val="22"/>
          <w:szCs w:val="22"/>
        </w:rPr>
        <w:t>Броски в цель с удлиненного и укороченного расстояния.</w:t>
      </w:r>
    </w:p>
    <w:p w14:paraId="5567641D">
      <w:pPr>
        <w:pStyle w:val="85"/>
        <w:spacing w:before="240"/>
        <w:ind w:firstLine="540"/>
        <w:jc w:val="both"/>
        <w:rPr>
          <w:color w:val="auto"/>
          <w:sz w:val="22"/>
          <w:szCs w:val="22"/>
        </w:rPr>
      </w:pPr>
      <w:r>
        <w:rPr>
          <w:color w:val="auto"/>
          <w:sz w:val="22"/>
          <w:szCs w:val="22"/>
        </w:rPr>
        <w:t>Начало разгона биты опережающей работой ног.</w:t>
      </w:r>
    </w:p>
    <w:p w14:paraId="5187AB3C">
      <w:pPr>
        <w:pStyle w:val="85"/>
        <w:spacing w:before="240"/>
        <w:ind w:firstLine="540"/>
        <w:jc w:val="both"/>
        <w:rPr>
          <w:color w:val="auto"/>
          <w:sz w:val="22"/>
          <w:szCs w:val="22"/>
        </w:rPr>
      </w:pPr>
      <w:r>
        <w:rPr>
          <w:color w:val="auto"/>
          <w:sz w:val="22"/>
          <w:szCs w:val="22"/>
        </w:rPr>
        <w:t>Разворот плечевого пояса во время наведения биты на цель.</w:t>
      </w:r>
    </w:p>
    <w:p w14:paraId="765427E0">
      <w:pPr>
        <w:pStyle w:val="85"/>
        <w:spacing w:before="240"/>
        <w:ind w:firstLine="540"/>
        <w:jc w:val="both"/>
        <w:rPr>
          <w:color w:val="auto"/>
          <w:sz w:val="22"/>
          <w:szCs w:val="22"/>
        </w:rPr>
      </w:pPr>
      <w:r>
        <w:rPr>
          <w:color w:val="auto"/>
          <w:sz w:val="22"/>
          <w:szCs w:val="22"/>
        </w:rPr>
        <w:t>Супинация бросающей руки на протяжении всего броска.</w:t>
      </w:r>
    </w:p>
    <w:p w14:paraId="6BD1046B">
      <w:pPr>
        <w:pStyle w:val="85"/>
        <w:spacing w:before="240"/>
        <w:ind w:firstLine="540"/>
        <w:jc w:val="both"/>
        <w:rPr>
          <w:color w:val="auto"/>
          <w:sz w:val="22"/>
          <w:szCs w:val="22"/>
        </w:rPr>
      </w:pPr>
      <w:r>
        <w:rPr>
          <w:color w:val="auto"/>
          <w:sz w:val="22"/>
          <w:szCs w:val="22"/>
        </w:rPr>
        <w:t>Элементарные тактические действия: индивидуальные, групповые и командные, тактические действия с учетом игровых амплуа в команде.</w:t>
      </w:r>
    </w:p>
    <w:p w14:paraId="213610AE">
      <w:pPr>
        <w:pStyle w:val="85"/>
        <w:spacing w:before="240"/>
        <w:ind w:firstLine="540"/>
        <w:jc w:val="both"/>
        <w:rPr>
          <w:color w:val="auto"/>
          <w:sz w:val="22"/>
          <w:szCs w:val="22"/>
        </w:rPr>
      </w:pPr>
      <w:r>
        <w:rPr>
          <w:color w:val="auto"/>
          <w:sz w:val="22"/>
          <w:szCs w:val="22"/>
        </w:rPr>
        <w:t>Коллективное ведение игры в городошном спорте по упрощенным правилам.</w:t>
      </w:r>
    </w:p>
    <w:p w14:paraId="52DBA359">
      <w:pPr>
        <w:pStyle w:val="85"/>
        <w:spacing w:before="240"/>
        <w:ind w:firstLine="540"/>
        <w:jc w:val="both"/>
        <w:rPr>
          <w:color w:val="auto"/>
          <w:sz w:val="22"/>
          <w:szCs w:val="22"/>
        </w:rPr>
      </w:pPr>
      <w:r>
        <w:rPr>
          <w:color w:val="auto"/>
          <w:sz w:val="22"/>
          <w:szCs w:val="22"/>
        </w:rPr>
        <w:t>Учебные игры в городки.</w:t>
      </w:r>
    </w:p>
    <w:p w14:paraId="492CA63D">
      <w:pPr>
        <w:pStyle w:val="85"/>
        <w:spacing w:before="240"/>
        <w:ind w:firstLine="540"/>
        <w:jc w:val="both"/>
        <w:rPr>
          <w:color w:val="auto"/>
          <w:sz w:val="22"/>
          <w:szCs w:val="22"/>
        </w:rPr>
      </w:pPr>
      <w:r>
        <w:rPr>
          <w:color w:val="auto"/>
          <w:sz w:val="22"/>
          <w:szCs w:val="22"/>
        </w:rPr>
        <w:t>Участие в соревновательной деятельности.</w:t>
      </w:r>
    </w:p>
    <w:p w14:paraId="5EA161E9">
      <w:pPr>
        <w:pStyle w:val="85"/>
        <w:spacing w:before="240"/>
        <w:ind w:firstLine="540"/>
        <w:jc w:val="both"/>
        <w:rPr>
          <w:color w:val="auto"/>
          <w:sz w:val="22"/>
          <w:szCs w:val="22"/>
        </w:rPr>
      </w:pPr>
      <w:r>
        <w:rPr>
          <w:color w:val="auto"/>
          <w:sz w:val="22"/>
          <w:szCs w:val="22"/>
        </w:rPr>
        <w:t>16.4.15.7. Содержание модуля "Городошный спорт" направлено на достижение обучающимися личностных, метапредметных и предметных результатов обучения.</w:t>
      </w:r>
    </w:p>
    <w:p w14:paraId="6C6F699E">
      <w:pPr>
        <w:pStyle w:val="85"/>
        <w:spacing w:before="240"/>
        <w:ind w:firstLine="540"/>
        <w:jc w:val="both"/>
        <w:rPr>
          <w:color w:val="auto"/>
          <w:sz w:val="22"/>
          <w:szCs w:val="22"/>
        </w:rPr>
      </w:pPr>
      <w:r>
        <w:rPr>
          <w:color w:val="auto"/>
          <w:sz w:val="22"/>
          <w:szCs w:val="22"/>
        </w:rPr>
        <w:t>16.4.15.7.1. При изучении модуля "Городошный спорт" на уровне начального общего образования у обучающихся будут сформированы следующие личностные результаты:</w:t>
      </w:r>
    </w:p>
    <w:p w14:paraId="351B5B41">
      <w:pPr>
        <w:pStyle w:val="85"/>
        <w:spacing w:before="240"/>
        <w:ind w:firstLine="540"/>
        <w:jc w:val="both"/>
        <w:rPr>
          <w:color w:val="auto"/>
          <w:sz w:val="22"/>
          <w:szCs w:val="22"/>
        </w:rPr>
      </w:pPr>
      <w:r>
        <w:rPr>
          <w:color w:val="auto"/>
          <w:sz w:val="22"/>
          <w:szCs w:val="22"/>
        </w:rPr>
        <w:t>проявление чувства гордости за свою Родину, российский народ и историю России через знание истории и современного состояния развития городошного спорта;</w:t>
      </w:r>
    </w:p>
    <w:p w14:paraId="7B5BA02A">
      <w:pPr>
        <w:pStyle w:val="85"/>
        <w:spacing w:before="240"/>
        <w:ind w:firstLine="540"/>
        <w:jc w:val="both"/>
        <w:rPr>
          <w:color w:val="auto"/>
          <w:sz w:val="22"/>
          <w:szCs w:val="22"/>
        </w:rPr>
      </w:pPr>
      <w:r>
        <w:rPr>
          <w:color w:val="auto"/>
          <w:sz w:val="22"/>
          <w:szCs w:val="22"/>
        </w:rPr>
        <w:t>проявление уважительного отношения к сверстникам, культуры общения и взаимодействия, нравственного поведения, проявление положительных качеств личности, осознанного и ответственного отношения к собственным поступкам, решение проблем в процессе занятий городошным спортом;</w:t>
      </w:r>
    </w:p>
    <w:p w14:paraId="09519287">
      <w:pPr>
        <w:pStyle w:val="85"/>
        <w:spacing w:before="240"/>
        <w:ind w:firstLine="540"/>
        <w:jc w:val="both"/>
        <w:rPr>
          <w:color w:val="auto"/>
          <w:sz w:val="22"/>
          <w:szCs w:val="22"/>
        </w:rPr>
      </w:pPr>
      <w:r>
        <w:rPr>
          <w:color w:val="auto"/>
          <w:sz w:val="22"/>
          <w:szCs w:val="22"/>
        </w:rPr>
        <w:t>понимание ценности здорового и безопасного образа жизни, усвоение правил безопасного поведения в учебной, соревновательной, досуговой деятельности и чрезвычайных ситуациях при занятии городошным спортом.</w:t>
      </w:r>
    </w:p>
    <w:p w14:paraId="52D4543E">
      <w:pPr>
        <w:pStyle w:val="85"/>
        <w:spacing w:before="240"/>
        <w:ind w:firstLine="540"/>
        <w:jc w:val="both"/>
        <w:rPr>
          <w:color w:val="auto"/>
          <w:sz w:val="22"/>
          <w:szCs w:val="22"/>
        </w:rPr>
      </w:pPr>
      <w:r>
        <w:rPr>
          <w:color w:val="auto"/>
          <w:sz w:val="22"/>
          <w:szCs w:val="22"/>
        </w:rPr>
        <w:t>16.4.15.7.2. При изучении модуля "Городошный спорт" на уровне начального общего образования у обучающихся будут сформированы следующие метапредметные результаты:</w:t>
      </w:r>
    </w:p>
    <w:p w14:paraId="3F06DF52">
      <w:pPr>
        <w:pStyle w:val="85"/>
        <w:spacing w:before="240"/>
        <w:ind w:firstLine="540"/>
        <w:jc w:val="both"/>
        <w:rPr>
          <w:color w:val="auto"/>
          <w:sz w:val="22"/>
          <w:szCs w:val="22"/>
        </w:rPr>
      </w:pPr>
      <w:r>
        <w:rPr>
          <w:color w:val="auto"/>
          <w:sz w:val="22"/>
          <w:szCs w:val="22"/>
        </w:rPr>
        <w:t>способность самостоятельно определять цели своего обучения средствами городошного спорта и составлять планы в рамках физкультурно-спортивной деятельности; выбирать успешную стратегию и тактику в различных ситуациях;</w:t>
      </w:r>
    </w:p>
    <w:p w14:paraId="2E5C6090">
      <w:pPr>
        <w:pStyle w:val="85"/>
        <w:spacing w:before="240"/>
        <w:ind w:firstLine="540"/>
        <w:jc w:val="both"/>
        <w:rPr>
          <w:color w:val="auto"/>
          <w:sz w:val="22"/>
          <w:szCs w:val="22"/>
        </w:rPr>
      </w:pPr>
      <w:r>
        <w:rPr>
          <w:color w:val="auto"/>
          <w:sz w:val="22"/>
          <w:szCs w:val="22"/>
        </w:rPr>
        <w:t>умение самостоятельно планировать пути достижения целей, в том числе альтернативные, осознанно выбирать наиболее эффективные способы решения задач в учебной, игровой, соревновательной и досуговой деятельности, оценивать правильность выполнения задач, собственные возможности их решения;</w:t>
      </w:r>
    </w:p>
    <w:p w14:paraId="1FB6586A">
      <w:pPr>
        <w:pStyle w:val="85"/>
        <w:spacing w:before="240"/>
        <w:ind w:firstLine="540"/>
        <w:jc w:val="both"/>
        <w:rPr>
          <w:color w:val="auto"/>
          <w:sz w:val="22"/>
          <w:szCs w:val="22"/>
        </w:rPr>
      </w:pPr>
      <w:r>
        <w:rPr>
          <w:color w:val="auto"/>
          <w:sz w:val="22"/>
          <w:szCs w:val="22"/>
        </w:rPr>
        <w:t>владение основами самоконтроля, самооценки, принятия решений и осуществления осознанного выбора в учебной и познавательной деятельности;</w:t>
      </w:r>
    </w:p>
    <w:p w14:paraId="23D41EA8">
      <w:pPr>
        <w:pStyle w:val="85"/>
        <w:spacing w:before="240"/>
        <w:ind w:firstLine="540"/>
        <w:jc w:val="both"/>
        <w:rPr>
          <w:color w:val="auto"/>
          <w:sz w:val="22"/>
          <w:szCs w:val="22"/>
        </w:rPr>
      </w:pPr>
      <w:r>
        <w:rPr>
          <w:color w:val="auto"/>
          <w:sz w:val="22"/>
          <w:szCs w:val="22"/>
        </w:rPr>
        <w:t>умение организовывать совместную деятельность с учителем и сверстниками, работать индивидуально и в группе, формулировать, аргументировать и отстаивать свое мнение, соблюдать нормы информационной избирательности, этики и этикета.</w:t>
      </w:r>
    </w:p>
    <w:p w14:paraId="299C1E13">
      <w:pPr>
        <w:pStyle w:val="85"/>
        <w:spacing w:before="240"/>
        <w:ind w:firstLine="540"/>
        <w:jc w:val="both"/>
        <w:rPr>
          <w:color w:val="auto"/>
          <w:sz w:val="22"/>
          <w:szCs w:val="22"/>
        </w:rPr>
      </w:pPr>
      <w:r>
        <w:rPr>
          <w:color w:val="auto"/>
          <w:sz w:val="22"/>
          <w:szCs w:val="22"/>
        </w:rPr>
        <w:t>16.4.15.7.3. При изучении модуля "Городошный спорт" на уровне начального общего образования у обучающихся будут сформированы следующие предметные результаты:</w:t>
      </w:r>
    </w:p>
    <w:p w14:paraId="7C202CEF">
      <w:pPr>
        <w:pStyle w:val="85"/>
        <w:spacing w:before="240"/>
        <w:ind w:firstLine="540"/>
        <w:jc w:val="both"/>
        <w:rPr>
          <w:color w:val="auto"/>
          <w:sz w:val="22"/>
          <w:szCs w:val="22"/>
        </w:rPr>
      </w:pPr>
      <w:r>
        <w:rPr>
          <w:color w:val="auto"/>
          <w:sz w:val="22"/>
          <w:szCs w:val="22"/>
        </w:rPr>
        <w:t>формирование представлений о значении занятий городошным спортом как средством укрепления здоровья, закаливания и развития физических качеств человека;</w:t>
      </w:r>
    </w:p>
    <w:p w14:paraId="46CFC6AE">
      <w:pPr>
        <w:pStyle w:val="85"/>
        <w:spacing w:before="240"/>
        <w:ind w:firstLine="540"/>
        <w:jc w:val="both"/>
        <w:rPr>
          <w:color w:val="auto"/>
          <w:sz w:val="22"/>
          <w:szCs w:val="22"/>
        </w:rPr>
      </w:pPr>
      <w:r>
        <w:rPr>
          <w:color w:val="auto"/>
          <w:sz w:val="22"/>
          <w:szCs w:val="22"/>
        </w:rPr>
        <w:t>формирование знаний по истории возникновения игры в городки, городошного спорта в дореволюционной России, СССР, Российской Федерации и мире;</w:t>
      </w:r>
    </w:p>
    <w:p w14:paraId="5F4990D8">
      <w:pPr>
        <w:pStyle w:val="85"/>
        <w:spacing w:before="240"/>
        <w:ind w:firstLine="540"/>
        <w:jc w:val="both"/>
        <w:rPr>
          <w:color w:val="auto"/>
          <w:sz w:val="22"/>
          <w:szCs w:val="22"/>
        </w:rPr>
      </w:pPr>
      <w:r>
        <w:rPr>
          <w:color w:val="auto"/>
          <w:sz w:val="22"/>
          <w:szCs w:val="22"/>
        </w:rPr>
        <w:t>формирование представлений об игре в городки и основных правилах игры, терминологии, составе команды, роли капитана команды и функциях игроков в команде;</w:t>
      </w:r>
    </w:p>
    <w:p w14:paraId="6F18FAB4">
      <w:pPr>
        <w:pStyle w:val="85"/>
        <w:spacing w:before="240"/>
        <w:ind w:firstLine="540"/>
        <w:jc w:val="both"/>
        <w:rPr>
          <w:color w:val="auto"/>
          <w:sz w:val="22"/>
          <w:szCs w:val="22"/>
        </w:rPr>
      </w:pPr>
      <w:r>
        <w:rPr>
          <w:color w:val="auto"/>
          <w:sz w:val="22"/>
          <w:szCs w:val="22"/>
        </w:rPr>
        <w:t>формирование навыков безопасного поведения во время занятий городошным спортом, личной гигиены; соблюдение требований к спортивной одежде и обуви, спортивному инвентарю для занятий городошным спортом;</w:t>
      </w:r>
    </w:p>
    <w:p w14:paraId="01D7287C">
      <w:pPr>
        <w:pStyle w:val="85"/>
        <w:spacing w:before="240"/>
        <w:ind w:firstLine="540"/>
        <w:jc w:val="both"/>
        <w:rPr>
          <w:color w:val="auto"/>
          <w:sz w:val="22"/>
          <w:szCs w:val="22"/>
        </w:rPr>
      </w:pPr>
      <w:r>
        <w:rPr>
          <w:color w:val="auto"/>
          <w:sz w:val="22"/>
          <w:szCs w:val="22"/>
        </w:rPr>
        <w:t>формирование основ организации самостоятельных занятий городошным спортом со сверстниками;</w:t>
      </w:r>
    </w:p>
    <w:p w14:paraId="2B0CAA07">
      <w:pPr>
        <w:pStyle w:val="85"/>
        <w:spacing w:before="240"/>
        <w:ind w:firstLine="540"/>
        <w:jc w:val="both"/>
        <w:rPr>
          <w:color w:val="auto"/>
          <w:sz w:val="22"/>
          <w:szCs w:val="22"/>
        </w:rPr>
      </w:pPr>
      <w:r>
        <w:rPr>
          <w:color w:val="auto"/>
          <w:sz w:val="22"/>
          <w:szCs w:val="22"/>
        </w:rPr>
        <w:t>организация и проведение со сверстниками подвижных игр специальной направленности с элементами городошного спорта;</w:t>
      </w:r>
    </w:p>
    <w:p w14:paraId="1227948E">
      <w:pPr>
        <w:pStyle w:val="85"/>
        <w:spacing w:before="240"/>
        <w:ind w:firstLine="540"/>
        <w:jc w:val="both"/>
        <w:rPr>
          <w:color w:val="auto"/>
          <w:sz w:val="22"/>
          <w:szCs w:val="22"/>
        </w:rPr>
      </w:pPr>
      <w:r>
        <w:rPr>
          <w:color w:val="auto"/>
          <w:sz w:val="22"/>
          <w:szCs w:val="22"/>
        </w:rPr>
        <w:t>формирование способности выполнять технические элементы (приемы): бросок биты в площадь "города" с расстояния 3, 4, 5 метров, метание биты на дальность, попадание битой в вертикально стоящие городки, техника основного броска (основы техники хвата биты, техники выполнения замаха, разгона и наведения биты на цель); подводящие упражнения и упражнения в облегченных условиях как средства ускорения освоения технических действий; подготовительные упражнения, как средства специальной физической подготовки обучающихся; упражнения, направленные на обучение технике броска биты в целом, и упражнения, направленные на изучение элементов техники броска;</w:t>
      </w:r>
    </w:p>
    <w:p w14:paraId="61DF179C">
      <w:pPr>
        <w:pStyle w:val="85"/>
        <w:spacing w:before="240"/>
        <w:ind w:firstLine="540"/>
        <w:jc w:val="both"/>
        <w:rPr>
          <w:color w:val="auto"/>
          <w:sz w:val="22"/>
          <w:szCs w:val="22"/>
        </w:rPr>
      </w:pPr>
      <w:r>
        <w:rPr>
          <w:color w:val="auto"/>
          <w:sz w:val="22"/>
          <w:szCs w:val="22"/>
        </w:rPr>
        <w:t>способность выполнять элементарные тактические комбинации: индивидуально (выбивание одиночных городков в "городе" и "пригороде", комбинаций из двух, трех городков, фигур); тактические действия с учетом игровых амплуа в команде; подводящие игры с элементами игры в городки; основные правила игры в городки; игра в городки малыми составами (игра 2 x 2, 3 x 3); игра полными командами (4 x 4, 5 x 5); организация школьных соревнований по городошному спорту зимой и летом;</w:t>
      </w:r>
    </w:p>
    <w:p w14:paraId="7F86068C">
      <w:pPr>
        <w:pStyle w:val="85"/>
        <w:spacing w:before="240"/>
        <w:ind w:firstLine="540"/>
        <w:jc w:val="both"/>
        <w:rPr>
          <w:color w:val="auto"/>
          <w:sz w:val="22"/>
          <w:szCs w:val="22"/>
        </w:rPr>
      </w:pPr>
      <w:r>
        <w:rPr>
          <w:color w:val="auto"/>
          <w:sz w:val="22"/>
          <w:szCs w:val="22"/>
        </w:rPr>
        <w:t>выполнение приемов подготовительных и ассистентских функций (постановка фигур, уборка бит и городков из ловушки и так далее);</w:t>
      </w:r>
    </w:p>
    <w:p w14:paraId="22D8571B">
      <w:pPr>
        <w:pStyle w:val="85"/>
        <w:spacing w:before="240"/>
        <w:ind w:firstLine="540"/>
        <w:jc w:val="both"/>
        <w:rPr>
          <w:color w:val="auto"/>
          <w:sz w:val="22"/>
          <w:szCs w:val="22"/>
        </w:rPr>
      </w:pPr>
      <w:r>
        <w:rPr>
          <w:color w:val="auto"/>
          <w:sz w:val="22"/>
          <w:szCs w:val="22"/>
        </w:rPr>
        <w:t>участие в учебных играх в уменьшенных составах, на уменьшенной площадке, по упрощенным правилам;</w:t>
      </w:r>
    </w:p>
    <w:p w14:paraId="503706D2">
      <w:pPr>
        <w:pStyle w:val="85"/>
        <w:spacing w:before="240"/>
        <w:ind w:firstLine="540"/>
        <w:jc w:val="both"/>
        <w:rPr>
          <w:color w:val="auto"/>
          <w:sz w:val="22"/>
          <w:szCs w:val="22"/>
        </w:rPr>
      </w:pPr>
      <w:r>
        <w:rPr>
          <w:color w:val="auto"/>
          <w:sz w:val="22"/>
          <w:szCs w:val="22"/>
        </w:rPr>
        <w:t>выполнение контрольно-тестовых упражнений по общей и специальной физической подготовке; формирование умения определять уровень физической подготовленности;</w:t>
      </w:r>
    </w:p>
    <w:p w14:paraId="32AB6A1C">
      <w:pPr>
        <w:pStyle w:val="85"/>
        <w:spacing w:before="240"/>
        <w:ind w:firstLine="540"/>
        <w:jc w:val="both"/>
        <w:rPr>
          <w:color w:val="auto"/>
          <w:sz w:val="22"/>
          <w:szCs w:val="22"/>
        </w:rPr>
      </w:pPr>
      <w:r>
        <w:rPr>
          <w:color w:val="auto"/>
          <w:sz w:val="22"/>
          <w:szCs w:val="22"/>
        </w:rPr>
        <w:t>формирование умения планировать, контролировать и оценивать учебные действия, собственную деятельность, распределять нагрузку и отдых в процессе ее выполнения, определять наиболее эффективные способы достижения результата;</w:t>
      </w:r>
    </w:p>
    <w:p w14:paraId="051A278D">
      <w:pPr>
        <w:pStyle w:val="85"/>
        <w:spacing w:before="240"/>
        <w:ind w:firstLine="540"/>
        <w:jc w:val="both"/>
        <w:rPr>
          <w:color w:val="auto"/>
          <w:sz w:val="22"/>
          <w:szCs w:val="22"/>
        </w:rPr>
      </w:pPr>
      <w:r>
        <w:rPr>
          <w:color w:val="auto"/>
          <w:sz w:val="22"/>
          <w:szCs w:val="22"/>
        </w:rPr>
        <w:t>формирование умения характеризовать действия и поступки, давать им анализ и объективную оценку на основе освоенных знаний и имеющегося опыта;</w:t>
      </w:r>
    </w:p>
    <w:p w14:paraId="432FB7C3">
      <w:pPr>
        <w:pStyle w:val="85"/>
        <w:spacing w:before="240"/>
        <w:ind w:firstLine="540"/>
        <w:jc w:val="both"/>
        <w:rPr>
          <w:color w:val="auto"/>
          <w:sz w:val="22"/>
          <w:szCs w:val="22"/>
        </w:rPr>
      </w:pPr>
      <w:r>
        <w:rPr>
          <w:color w:val="auto"/>
          <w:sz w:val="22"/>
          <w:szCs w:val="22"/>
        </w:rPr>
        <w:t>формирование способности анализировать причины успеха или неуспеха учебной деятельности и способности конструктивно действовать даже в ситуациях неуспеха;</w:t>
      </w:r>
    </w:p>
    <w:p w14:paraId="4CAE2EA6">
      <w:pPr>
        <w:pStyle w:val="85"/>
        <w:spacing w:before="240"/>
        <w:ind w:firstLine="540"/>
        <w:jc w:val="both"/>
        <w:rPr>
          <w:color w:val="auto"/>
          <w:sz w:val="22"/>
          <w:szCs w:val="22"/>
        </w:rPr>
      </w:pPr>
      <w:r>
        <w:rPr>
          <w:color w:val="auto"/>
          <w:sz w:val="22"/>
          <w:szCs w:val="22"/>
        </w:rPr>
        <w:t>проявление уважительного отношения к одноклассникам, проявление культуры общения и взаимодействия в определении общей цели и путей ее достижения; формирование умения договариваться о распределении функций в учебной, игровой и соревновательной деятельности; адекватная оценка собственного поведения и поведения окружающих;</w:t>
      </w:r>
    </w:p>
    <w:p w14:paraId="75EEE363">
      <w:pPr>
        <w:pStyle w:val="85"/>
        <w:spacing w:before="240"/>
        <w:ind w:firstLine="540"/>
        <w:jc w:val="both"/>
        <w:rPr>
          <w:color w:val="auto"/>
          <w:sz w:val="22"/>
          <w:szCs w:val="22"/>
        </w:rPr>
      </w:pPr>
      <w:r>
        <w:rPr>
          <w:color w:val="auto"/>
          <w:sz w:val="22"/>
          <w:szCs w:val="22"/>
        </w:rPr>
        <w:t>обеспечение защиты и сохранности природы во время активного отдыха и занятий физической культурой;</w:t>
      </w:r>
    </w:p>
    <w:p w14:paraId="74C1EE28">
      <w:pPr>
        <w:pStyle w:val="85"/>
        <w:spacing w:before="240"/>
        <w:ind w:firstLine="540"/>
        <w:jc w:val="both"/>
        <w:rPr>
          <w:color w:val="auto"/>
          <w:sz w:val="22"/>
          <w:szCs w:val="22"/>
        </w:rPr>
      </w:pPr>
      <w:r>
        <w:rPr>
          <w:color w:val="auto"/>
          <w:sz w:val="22"/>
          <w:szCs w:val="22"/>
        </w:rPr>
        <w:t>организация самостоятельной деятельности с учетом требований ее безопасности, сохранности инвентаря и оборудования, организации места занятий городошным спортом;</w:t>
      </w:r>
    </w:p>
    <w:p w14:paraId="19981F25">
      <w:pPr>
        <w:pStyle w:val="85"/>
        <w:spacing w:before="240"/>
        <w:ind w:firstLine="540"/>
        <w:jc w:val="both"/>
        <w:rPr>
          <w:color w:val="auto"/>
          <w:sz w:val="22"/>
          <w:szCs w:val="22"/>
        </w:rPr>
      </w:pPr>
      <w:r>
        <w:rPr>
          <w:color w:val="auto"/>
          <w:sz w:val="22"/>
          <w:szCs w:val="22"/>
        </w:rPr>
        <w:t>формирование способности выделять и обосновывать эстетические признаки в физических упражнениях, двигательных действиях; оценивать красоту телосложения и осанки.</w:t>
      </w:r>
    </w:p>
    <w:p w14:paraId="324053B1">
      <w:pPr>
        <w:pStyle w:val="85"/>
        <w:spacing w:before="240"/>
        <w:ind w:firstLine="540"/>
        <w:jc w:val="both"/>
        <w:rPr>
          <w:color w:val="auto"/>
          <w:sz w:val="22"/>
          <w:szCs w:val="22"/>
        </w:rPr>
      </w:pPr>
      <w:r>
        <w:rPr>
          <w:color w:val="auto"/>
          <w:sz w:val="22"/>
          <w:szCs w:val="22"/>
        </w:rPr>
        <w:t>16.4.17. Модуль "Биатлон".</w:t>
      </w:r>
    </w:p>
    <w:p w14:paraId="75831D65">
      <w:pPr>
        <w:pStyle w:val="85"/>
        <w:spacing w:before="240"/>
        <w:ind w:firstLine="540"/>
        <w:jc w:val="both"/>
        <w:rPr>
          <w:color w:val="auto"/>
          <w:sz w:val="22"/>
          <w:szCs w:val="22"/>
        </w:rPr>
      </w:pPr>
      <w:r>
        <w:rPr>
          <w:color w:val="auto"/>
          <w:sz w:val="22"/>
          <w:szCs w:val="22"/>
        </w:rPr>
        <w:t>16.4.17.1. Пояснительная записка модуля "Биатлон".</w:t>
      </w:r>
    </w:p>
    <w:p w14:paraId="418544F2">
      <w:pPr>
        <w:pStyle w:val="85"/>
        <w:spacing w:before="240"/>
        <w:ind w:firstLine="540"/>
        <w:jc w:val="both"/>
        <w:rPr>
          <w:color w:val="auto"/>
          <w:sz w:val="22"/>
          <w:szCs w:val="22"/>
        </w:rPr>
      </w:pPr>
      <w:r>
        <w:rPr>
          <w:color w:val="auto"/>
          <w:sz w:val="22"/>
          <w:szCs w:val="22"/>
        </w:rPr>
        <w:t>Модуль "Биатлон" (далее - модуль "Биатлон", модуль по биатлону, биатлон) на уровне начального общего образования разработан с целью оказания методической помощи учителю физической культуры в создании части рабочей программы по учебному предмету "Физическая культура", направленной на формирование общих представлений о физической культуре и спорте, физической активности человека, физических качествах, жизненно важных прикладных умениях и навыках, основных физических упражнениях (игровых и спортивных) с целью достижения результатов ФГОС НОО, с учетом современных тенденций в системе образования и использования спортивно-ориентированных форм, средств и методов обучения по различным видам спорта.</w:t>
      </w:r>
    </w:p>
    <w:p w14:paraId="0554611D">
      <w:pPr>
        <w:pStyle w:val="85"/>
        <w:spacing w:before="240"/>
        <w:ind w:firstLine="540"/>
        <w:jc w:val="both"/>
        <w:rPr>
          <w:color w:val="auto"/>
          <w:sz w:val="22"/>
          <w:szCs w:val="22"/>
        </w:rPr>
      </w:pPr>
      <w:r>
        <w:rPr>
          <w:color w:val="auto"/>
          <w:sz w:val="22"/>
          <w:szCs w:val="22"/>
        </w:rPr>
        <w:t>Биатлон - вид спорта, который способствует всестороннему физическому, интеллектуальному, нравственному развитию обучающихся, укреплению здоровья, привлечению школьников всех возрастов к систематическим занятиям физической культурой и спортом, их личностному и профессиональному самоопределению. Полифункциональный характер биатлона как спортивной дисциплины ценен тем, что он способен развивать не только физические, но и нравственные качества обучающихся, способствует укреплению навыков внутренней организации, самодисциплины, способствует выработке коммуникативных качеств характера, физической выносливости, а в целом обладает зрелищными свойствами, наполняющими жизнь детей и молодежи позитивным настроем.</w:t>
      </w:r>
    </w:p>
    <w:p w14:paraId="5320E02D">
      <w:pPr>
        <w:pStyle w:val="85"/>
        <w:spacing w:before="240"/>
        <w:ind w:firstLine="540"/>
        <w:jc w:val="both"/>
        <w:rPr>
          <w:color w:val="auto"/>
          <w:sz w:val="22"/>
          <w:szCs w:val="22"/>
        </w:rPr>
      </w:pPr>
      <w:r>
        <w:rPr>
          <w:color w:val="auto"/>
          <w:sz w:val="22"/>
          <w:szCs w:val="22"/>
        </w:rPr>
        <w:t>Модуль по биатлону также направлен на развитие массовости занятий биатлоном как популярным, зрелищным, перспективным видом спорта, созданию условий занятий прикладными видами физической активности - кроссовой подготовкой, плаванием, силовыми упражнениями, лыжными гонками, стрелковой подготовкой, расширение объема селекционной работы, повышение эффективности подготовки олимпийского резерва на основе базовых решений мира биатлона.</w:t>
      </w:r>
    </w:p>
    <w:p w14:paraId="0E58ABB4">
      <w:pPr>
        <w:pStyle w:val="85"/>
        <w:spacing w:before="240"/>
        <w:ind w:firstLine="540"/>
        <w:jc w:val="both"/>
        <w:rPr>
          <w:color w:val="auto"/>
          <w:sz w:val="22"/>
          <w:szCs w:val="22"/>
        </w:rPr>
      </w:pPr>
      <w:r>
        <w:rPr>
          <w:color w:val="auto"/>
          <w:sz w:val="22"/>
          <w:szCs w:val="22"/>
        </w:rPr>
        <w:t>16.4.17.2. Целью изучения модуля "Биатлон" является формирование у обучающихся навыков общечеловеческой культуры и социального самоопределения, устойчивой мотивации к сохранению и укреплению собственного здоровья, ведению здорового образа жизни через занятия физической культурой и спортом с использованием средств биатлона.</w:t>
      </w:r>
    </w:p>
    <w:p w14:paraId="09B6FFFD">
      <w:pPr>
        <w:pStyle w:val="85"/>
        <w:spacing w:before="240"/>
        <w:ind w:firstLine="540"/>
        <w:jc w:val="both"/>
        <w:rPr>
          <w:color w:val="auto"/>
          <w:sz w:val="22"/>
          <w:szCs w:val="22"/>
        </w:rPr>
      </w:pPr>
      <w:r>
        <w:rPr>
          <w:color w:val="auto"/>
          <w:sz w:val="22"/>
          <w:szCs w:val="22"/>
        </w:rPr>
        <w:t>16.4.17.3. Задачами изучения модуля "Биатлон" являются:</w:t>
      </w:r>
    </w:p>
    <w:p w14:paraId="017FDE10">
      <w:pPr>
        <w:pStyle w:val="85"/>
        <w:spacing w:before="240"/>
        <w:ind w:firstLine="540"/>
        <w:jc w:val="both"/>
        <w:rPr>
          <w:color w:val="auto"/>
          <w:sz w:val="22"/>
          <w:szCs w:val="22"/>
        </w:rPr>
      </w:pPr>
      <w:r>
        <w:rPr>
          <w:color w:val="auto"/>
          <w:sz w:val="22"/>
          <w:szCs w:val="22"/>
        </w:rPr>
        <w:t>способствование формированию жизненно важных двигательных умений и навыков;</w:t>
      </w:r>
    </w:p>
    <w:p w14:paraId="5E431E21">
      <w:pPr>
        <w:pStyle w:val="85"/>
        <w:spacing w:before="240"/>
        <w:ind w:firstLine="540"/>
        <w:jc w:val="both"/>
        <w:rPr>
          <w:color w:val="auto"/>
          <w:sz w:val="22"/>
          <w:szCs w:val="22"/>
        </w:rPr>
      </w:pPr>
      <w:r>
        <w:rPr>
          <w:color w:val="auto"/>
          <w:sz w:val="22"/>
          <w:szCs w:val="22"/>
        </w:rPr>
        <w:t>укрепление физического, психологического и социального здоровья обучающихся, развитие основных физических качеств и повышение функциональных возможностей их организма, обеспечение культуры безопасного поведения на занятиях биатлоном;</w:t>
      </w:r>
    </w:p>
    <w:p w14:paraId="75C88C0D">
      <w:pPr>
        <w:pStyle w:val="85"/>
        <w:spacing w:before="240"/>
        <w:ind w:firstLine="540"/>
        <w:jc w:val="both"/>
        <w:rPr>
          <w:color w:val="auto"/>
          <w:sz w:val="22"/>
          <w:szCs w:val="22"/>
        </w:rPr>
      </w:pPr>
      <w:r>
        <w:rPr>
          <w:color w:val="auto"/>
          <w:sz w:val="22"/>
          <w:szCs w:val="22"/>
        </w:rPr>
        <w:t>развитие координации, гибкости, профессиональных и прикладных навыков, общей физической выносливости;</w:t>
      </w:r>
    </w:p>
    <w:p w14:paraId="65CFB36E">
      <w:pPr>
        <w:pStyle w:val="85"/>
        <w:spacing w:before="240"/>
        <w:ind w:firstLine="540"/>
        <w:jc w:val="both"/>
        <w:rPr>
          <w:color w:val="auto"/>
          <w:sz w:val="22"/>
          <w:szCs w:val="22"/>
        </w:rPr>
      </w:pPr>
      <w:r>
        <w:rPr>
          <w:color w:val="auto"/>
          <w:sz w:val="22"/>
          <w:szCs w:val="22"/>
        </w:rPr>
        <w:t>развитие двигательных функций, обогащение двигательного опыта;</w:t>
      </w:r>
    </w:p>
    <w:p w14:paraId="1916372C">
      <w:pPr>
        <w:pStyle w:val="85"/>
        <w:spacing w:before="240"/>
        <w:ind w:firstLine="540"/>
        <w:jc w:val="both"/>
        <w:rPr>
          <w:color w:val="auto"/>
          <w:sz w:val="22"/>
          <w:szCs w:val="22"/>
        </w:rPr>
      </w:pPr>
      <w:r>
        <w:rPr>
          <w:color w:val="auto"/>
          <w:sz w:val="22"/>
          <w:szCs w:val="22"/>
        </w:rPr>
        <w:t>воспитание нравственных качеств по отношению к окружающим: доброжелательность, чувство товарищества, коллективизма, уважения к историческому наследию российского спорта;</w:t>
      </w:r>
    </w:p>
    <w:p w14:paraId="07503067">
      <w:pPr>
        <w:pStyle w:val="85"/>
        <w:spacing w:before="240"/>
        <w:ind w:firstLine="540"/>
        <w:jc w:val="both"/>
        <w:rPr>
          <w:color w:val="auto"/>
          <w:sz w:val="22"/>
          <w:szCs w:val="22"/>
        </w:rPr>
      </w:pPr>
      <w:r>
        <w:rPr>
          <w:color w:val="auto"/>
          <w:sz w:val="22"/>
          <w:szCs w:val="22"/>
        </w:rPr>
        <w:t>формирование стойкого интереса к занятиям спортом и физическим упражнениям;</w:t>
      </w:r>
    </w:p>
    <w:p w14:paraId="7D616623">
      <w:pPr>
        <w:pStyle w:val="85"/>
        <w:spacing w:before="240"/>
        <w:ind w:firstLine="540"/>
        <w:jc w:val="both"/>
        <w:rPr>
          <w:color w:val="auto"/>
          <w:sz w:val="22"/>
          <w:szCs w:val="22"/>
        </w:rPr>
      </w:pPr>
      <w:r>
        <w:rPr>
          <w:color w:val="auto"/>
          <w:sz w:val="22"/>
          <w:szCs w:val="22"/>
        </w:rPr>
        <w:t>выработка потребности в здоровом образе жизни;</w:t>
      </w:r>
    </w:p>
    <w:p w14:paraId="31EEC22A">
      <w:pPr>
        <w:pStyle w:val="85"/>
        <w:spacing w:before="240"/>
        <w:ind w:firstLine="540"/>
        <w:jc w:val="both"/>
        <w:rPr>
          <w:color w:val="auto"/>
          <w:sz w:val="22"/>
          <w:szCs w:val="22"/>
        </w:rPr>
      </w:pPr>
      <w:r>
        <w:rPr>
          <w:color w:val="auto"/>
          <w:sz w:val="22"/>
          <w:szCs w:val="22"/>
        </w:rPr>
        <w:t>понимание важности занятий спортом для полноценной жизни.</w:t>
      </w:r>
    </w:p>
    <w:p w14:paraId="20A9076D">
      <w:pPr>
        <w:pStyle w:val="85"/>
        <w:spacing w:before="240"/>
        <w:ind w:firstLine="540"/>
        <w:jc w:val="both"/>
        <w:rPr>
          <w:color w:val="auto"/>
          <w:sz w:val="22"/>
          <w:szCs w:val="22"/>
        </w:rPr>
      </w:pPr>
      <w:r>
        <w:rPr>
          <w:color w:val="auto"/>
          <w:sz w:val="22"/>
          <w:szCs w:val="22"/>
        </w:rPr>
        <w:t>16.4.17.4. Место и роль модуля "Биатлон".</w:t>
      </w:r>
    </w:p>
    <w:p w14:paraId="5ADA7032">
      <w:pPr>
        <w:pStyle w:val="85"/>
        <w:spacing w:before="240"/>
        <w:ind w:firstLine="540"/>
        <w:jc w:val="both"/>
        <w:rPr>
          <w:color w:val="auto"/>
          <w:sz w:val="22"/>
          <w:szCs w:val="22"/>
        </w:rPr>
      </w:pPr>
      <w:r>
        <w:rPr>
          <w:color w:val="auto"/>
          <w:sz w:val="22"/>
          <w:szCs w:val="22"/>
        </w:rPr>
        <w:t>Модуль "Биатлон" доступен для освоения всем обучающимся, и обеспечивает достижение следующих результатов ФГОС НОО: сформированность общих представлений о физической культуре и спорте, физической активности человека, физических качествах, жизненно важных прикладных умениях и навыках, основных физических упражнениях (гимнастических, игровых, туристических и спортивных).</w:t>
      </w:r>
    </w:p>
    <w:p w14:paraId="0CE1F6EA">
      <w:pPr>
        <w:pStyle w:val="85"/>
        <w:spacing w:before="240"/>
        <w:ind w:firstLine="540"/>
        <w:jc w:val="both"/>
        <w:rPr>
          <w:color w:val="auto"/>
          <w:sz w:val="22"/>
          <w:szCs w:val="22"/>
        </w:rPr>
      </w:pPr>
      <w:r>
        <w:rPr>
          <w:color w:val="auto"/>
          <w:sz w:val="22"/>
          <w:szCs w:val="22"/>
        </w:rPr>
        <w:t>Программное содержание модуля "Биатлон" может быть использовано в разделах "Знания о физической культуре", "Способы самостоятельной деятельности", "Физическое совершенствование".</w:t>
      </w:r>
    </w:p>
    <w:p w14:paraId="6180C8F4">
      <w:pPr>
        <w:pStyle w:val="85"/>
        <w:spacing w:before="240"/>
        <w:ind w:firstLine="540"/>
        <w:jc w:val="both"/>
        <w:rPr>
          <w:color w:val="auto"/>
          <w:sz w:val="22"/>
          <w:szCs w:val="22"/>
        </w:rPr>
      </w:pPr>
      <w:r>
        <w:rPr>
          <w:color w:val="auto"/>
          <w:sz w:val="22"/>
          <w:szCs w:val="22"/>
        </w:rPr>
        <w:t>Интеграция модуля по биатлону поможет обучающимся в освоении образовательных программ в рамках внеурочной деятельности, дополнительного образования, деятельности школьных спортивных клубов, подготовке обучающихся к сдаче норм ГТО и участии в спортивных соревнованиях.</w:t>
      </w:r>
    </w:p>
    <w:p w14:paraId="1E1EF923">
      <w:pPr>
        <w:pStyle w:val="85"/>
        <w:spacing w:before="240"/>
        <w:ind w:firstLine="540"/>
        <w:jc w:val="both"/>
        <w:rPr>
          <w:color w:val="auto"/>
          <w:sz w:val="22"/>
          <w:szCs w:val="22"/>
        </w:rPr>
      </w:pPr>
      <w:r>
        <w:rPr>
          <w:color w:val="auto"/>
          <w:sz w:val="22"/>
          <w:szCs w:val="22"/>
        </w:rPr>
        <w:t>16.4.17.5. Модуль "Биатлон" может быть реализован в следующих вариантах:</w:t>
      </w:r>
    </w:p>
    <w:p w14:paraId="3D89C9C4">
      <w:pPr>
        <w:pStyle w:val="85"/>
        <w:spacing w:before="240"/>
        <w:ind w:firstLine="540"/>
        <w:jc w:val="both"/>
        <w:rPr>
          <w:color w:val="auto"/>
          <w:sz w:val="22"/>
          <w:szCs w:val="22"/>
        </w:rPr>
      </w:pPr>
      <w:r>
        <w:rPr>
          <w:color w:val="auto"/>
          <w:sz w:val="22"/>
          <w:szCs w:val="22"/>
        </w:rPr>
        <w:t>при самостоятельном планировании учителем физической культуры процесса освоения обучающимися учебного материала по биатлону с выбором различных элементов специальных физических упражнений, игр и (или) элементов игры, с учетом возраста и физической подготовленности обучающихся (с соответствующей дозировкой и интенсивностью);</w:t>
      </w:r>
    </w:p>
    <w:p w14:paraId="711F1897">
      <w:pPr>
        <w:pStyle w:val="85"/>
        <w:spacing w:before="240"/>
        <w:ind w:firstLine="540"/>
        <w:jc w:val="both"/>
        <w:rPr>
          <w:color w:val="auto"/>
          <w:sz w:val="22"/>
          <w:szCs w:val="22"/>
        </w:rPr>
      </w:pPr>
      <w:r>
        <w:rPr>
          <w:color w:val="auto"/>
          <w:sz w:val="22"/>
          <w:szCs w:val="22"/>
        </w:rPr>
        <w:t>в виде дополнительных часов, выделяемых на спортивно-оздоровительную работу с обучающимися в рамках внеурочной деятельности и (или) за счет посещения обучающимися спортивных секций школьных спортивных клубов (рекомендуемый объем в 1 классе - 33 часа, во 2 - 4 классах - по 34 часа).</w:t>
      </w:r>
    </w:p>
    <w:p w14:paraId="7F9F2A8A">
      <w:pPr>
        <w:pStyle w:val="85"/>
        <w:spacing w:before="240"/>
        <w:ind w:firstLine="540"/>
        <w:jc w:val="both"/>
        <w:rPr>
          <w:color w:val="auto"/>
          <w:sz w:val="22"/>
          <w:szCs w:val="22"/>
        </w:rPr>
      </w:pPr>
      <w:r>
        <w:rPr>
          <w:color w:val="auto"/>
          <w:sz w:val="22"/>
          <w:szCs w:val="22"/>
        </w:rPr>
        <w:t>16.4.17.6. Содержание модуля "Биатлон".</w:t>
      </w:r>
    </w:p>
    <w:p w14:paraId="7C81A764">
      <w:pPr>
        <w:pStyle w:val="85"/>
        <w:spacing w:before="240"/>
        <w:ind w:firstLine="540"/>
        <w:jc w:val="both"/>
        <w:rPr>
          <w:color w:val="auto"/>
          <w:sz w:val="22"/>
          <w:szCs w:val="22"/>
        </w:rPr>
      </w:pPr>
      <w:r>
        <w:rPr>
          <w:color w:val="auto"/>
          <w:sz w:val="22"/>
          <w:szCs w:val="22"/>
        </w:rPr>
        <w:t>1) Знания о биатлоне.</w:t>
      </w:r>
    </w:p>
    <w:p w14:paraId="1756C8AF">
      <w:pPr>
        <w:pStyle w:val="85"/>
        <w:spacing w:before="240"/>
        <w:ind w:firstLine="540"/>
        <w:jc w:val="both"/>
        <w:rPr>
          <w:color w:val="auto"/>
          <w:sz w:val="22"/>
          <w:szCs w:val="22"/>
        </w:rPr>
      </w:pPr>
      <w:r>
        <w:rPr>
          <w:color w:val="auto"/>
          <w:sz w:val="22"/>
          <w:szCs w:val="22"/>
        </w:rPr>
        <w:t>История зарождения биатлона.</w:t>
      </w:r>
    </w:p>
    <w:p w14:paraId="731FB9E8">
      <w:pPr>
        <w:pStyle w:val="85"/>
        <w:spacing w:before="240"/>
        <w:ind w:firstLine="540"/>
        <w:jc w:val="both"/>
        <w:rPr>
          <w:color w:val="auto"/>
          <w:sz w:val="22"/>
          <w:szCs w:val="22"/>
        </w:rPr>
      </w:pPr>
      <w:r>
        <w:rPr>
          <w:color w:val="auto"/>
          <w:sz w:val="22"/>
          <w:szCs w:val="22"/>
        </w:rPr>
        <w:t>Легендарные отечественные биатлонисты и тренеры.</w:t>
      </w:r>
    </w:p>
    <w:p w14:paraId="2A803F3A">
      <w:pPr>
        <w:pStyle w:val="85"/>
        <w:spacing w:before="240"/>
        <w:ind w:firstLine="540"/>
        <w:jc w:val="both"/>
        <w:rPr>
          <w:color w:val="auto"/>
          <w:sz w:val="22"/>
          <w:szCs w:val="22"/>
        </w:rPr>
      </w:pPr>
      <w:r>
        <w:rPr>
          <w:color w:val="auto"/>
          <w:sz w:val="22"/>
          <w:szCs w:val="22"/>
        </w:rPr>
        <w:t>Достижения национальной сборной команды страны по биатлону.</w:t>
      </w:r>
    </w:p>
    <w:p w14:paraId="3B6B35C6">
      <w:pPr>
        <w:pStyle w:val="85"/>
        <w:spacing w:before="240"/>
        <w:ind w:firstLine="540"/>
        <w:jc w:val="both"/>
        <w:rPr>
          <w:color w:val="auto"/>
          <w:sz w:val="22"/>
          <w:szCs w:val="22"/>
        </w:rPr>
      </w:pPr>
      <w:r>
        <w:rPr>
          <w:color w:val="auto"/>
          <w:sz w:val="22"/>
          <w:szCs w:val="22"/>
        </w:rPr>
        <w:t>Словарь терминов и определений по биатлону.</w:t>
      </w:r>
    </w:p>
    <w:p w14:paraId="4DBB8246">
      <w:pPr>
        <w:pStyle w:val="85"/>
        <w:spacing w:before="240"/>
        <w:ind w:firstLine="540"/>
        <w:jc w:val="both"/>
        <w:rPr>
          <w:color w:val="auto"/>
          <w:sz w:val="22"/>
          <w:szCs w:val="22"/>
        </w:rPr>
      </w:pPr>
      <w:r>
        <w:rPr>
          <w:color w:val="auto"/>
          <w:sz w:val="22"/>
          <w:szCs w:val="22"/>
        </w:rPr>
        <w:t>Спортивные дисциплины (разновидности) биатлона.</w:t>
      </w:r>
    </w:p>
    <w:p w14:paraId="341EC0C3">
      <w:pPr>
        <w:pStyle w:val="85"/>
        <w:spacing w:before="240"/>
        <w:ind w:firstLine="540"/>
        <w:jc w:val="both"/>
        <w:rPr>
          <w:color w:val="auto"/>
          <w:sz w:val="22"/>
          <w:szCs w:val="22"/>
        </w:rPr>
      </w:pPr>
      <w:r>
        <w:rPr>
          <w:color w:val="auto"/>
          <w:sz w:val="22"/>
          <w:szCs w:val="22"/>
        </w:rPr>
        <w:t>Первые правила соревнований по биатлону.</w:t>
      </w:r>
    </w:p>
    <w:p w14:paraId="25DDDDAC">
      <w:pPr>
        <w:pStyle w:val="85"/>
        <w:spacing w:before="240"/>
        <w:ind w:firstLine="540"/>
        <w:jc w:val="both"/>
        <w:rPr>
          <w:color w:val="auto"/>
          <w:sz w:val="22"/>
          <w:szCs w:val="22"/>
        </w:rPr>
      </w:pPr>
      <w:r>
        <w:rPr>
          <w:color w:val="auto"/>
          <w:sz w:val="22"/>
          <w:szCs w:val="22"/>
        </w:rPr>
        <w:t>Современные правила соревнований по биатлону.</w:t>
      </w:r>
    </w:p>
    <w:p w14:paraId="1356CE49">
      <w:pPr>
        <w:pStyle w:val="85"/>
        <w:spacing w:before="240"/>
        <w:ind w:firstLine="540"/>
        <w:jc w:val="both"/>
        <w:rPr>
          <w:color w:val="auto"/>
          <w:sz w:val="22"/>
          <w:szCs w:val="22"/>
        </w:rPr>
      </w:pPr>
      <w:r>
        <w:rPr>
          <w:color w:val="auto"/>
          <w:sz w:val="22"/>
          <w:szCs w:val="22"/>
        </w:rPr>
        <w:t>Состав национальных и региональных команд по биатлону.</w:t>
      </w:r>
    </w:p>
    <w:p w14:paraId="48416AF0">
      <w:pPr>
        <w:pStyle w:val="85"/>
        <w:spacing w:before="240"/>
        <w:ind w:firstLine="540"/>
        <w:jc w:val="both"/>
        <w:rPr>
          <w:color w:val="auto"/>
          <w:sz w:val="22"/>
          <w:szCs w:val="22"/>
        </w:rPr>
      </w:pPr>
      <w:r>
        <w:rPr>
          <w:color w:val="auto"/>
          <w:sz w:val="22"/>
          <w:szCs w:val="22"/>
        </w:rPr>
        <w:t>Состав судейской коллегии, обслуживающей соревнования по биатлону.</w:t>
      </w:r>
    </w:p>
    <w:p w14:paraId="69F5E4D9">
      <w:pPr>
        <w:pStyle w:val="85"/>
        <w:spacing w:before="240"/>
        <w:ind w:firstLine="540"/>
        <w:jc w:val="both"/>
        <w:rPr>
          <w:color w:val="auto"/>
          <w:sz w:val="22"/>
          <w:szCs w:val="22"/>
        </w:rPr>
      </w:pPr>
      <w:r>
        <w:rPr>
          <w:color w:val="auto"/>
          <w:sz w:val="22"/>
          <w:szCs w:val="22"/>
        </w:rPr>
        <w:t>Спортивные сооружения и инфраструктура для занятий биатлоном. Инвентарь и оборудование для занятий биатлоном.</w:t>
      </w:r>
    </w:p>
    <w:p w14:paraId="7AE2AD79">
      <w:pPr>
        <w:pStyle w:val="85"/>
        <w:spacing w:before="240"/>
        <w:ind w:firstLine="540"/>
        <w:jc w:val="both"/>
        <w:rPr>
          <w:color w:val="auto"/>
          <w:sz w:val="22"/>
          <w:szCs w:val="22"/>
        </w:rPr>
      </w:pPr>
      <w:r>
        <w:rPr>
          <w:color w:val="auto"/>
          <w:sz w:val="22"/>
          <w:szCs w:val="22"/>
        </w:rPr>
        <w:t>Правила безопасного поведения во время занятий биатлоном.</w:t>
      </w:r>
    </w:p>
    <w:p w14:paraId="75049059">
      <w:pPr>
        <w:pStyle w:val="85"/>
        <w:spacing w:before="240"/>
        <w:ind w:firstLine="540"/>
        <w:jc w:val="both"/>
        <w:rPr>
          <w:color w:val="auto"/>
          <w:sz w:val="22"/>
          <w:szCs w:val="22"/>
        </w:rPr>
      </w:pPr>
      <w:r>
        <w:rPr>
          <w:color w:val="auto"/>
          <w:sz w:val="22"/>
          <w:szCs w:val="22"/>
        </w:rPr>
        <w:t>Правила по безопасной культуре поведения во время посещений соревнований по биатлону.</w:t>
      </w:r>
    </w:p>
    <w:p w14:paraId="02E8A7A1">
      <w:pPr>
        <w:pStyle w:val="85"/>
        <w:spacing w:before="240"/>
        <w:ind w:firstLine="540"/>
        <w:jc w:val="both"/>
        <w:rPr>
          <w:color w:val="auto"/>
          <w:sz w:val="22"/>
          <w:szCs w:val="22"/>
        </w:rPr>
      </w:pPr>
      <w:r>
        <w:rPr>
          <w:color w:val="auto"/>
          <w:sz w:val="22"/>
          <w:szCs w:val="22"/>
        </w:rPr>
        <w:t>Биатлон, как средство укрепления здоровья, закаливания и развития физических качеств.</w:t>
      </w:r>
    </w:p>
    <w:p w14:paraId="443CB984">
      <w:pPr>
        <w:pStyle w:val="85"/>
        <w:spacing w:before="240"/>
        <w:ind w:firstLine="540"/>
        <w:jc w:val="both"/>
        <w:rPr>
          <w:color w:val="auto"/>
          <w:sz w:val="22"/>
          <w:szCs w:val="22"/>
        </w:rPr>
      </w:pPr>
      <w:r>
        <w:rPr>
          <w:color w:val="auto"/>
          <w:sz w:val="22"/>
          <w:szCs w:val="22"/>
        </w:rPr>
        <w:t>Режим дня при занятиях биатлоном. Правила личной гигиены во время занятий биатлоном.</w:t>
      </w:r>
    </w:p>
    <w:p w14:paraId="4817C79A">
      <w:pPr>
        <w:pStyle w:val="85"/>
        <w:spacing w:before="240"/>
        <w:ind w:firstLine="540"/>
        <w:jc w:val="both"/>
        <w:rPr>
          <w:color w:val="auto"/>
          <w:sz w:val="22"/>
          <w:szCs w:val="22"/>
        </w:rPr>
      </w:pPr>
      <w:r>
        <w:rPr>
          <w:color w:val="auto"/>
          <w:sz w:val="22"/>
          <w:szCs w:val="22"/>
        </w:rPr>
        <w:t>2) Способы самостоятельной деятельности.</w:t>
      </w:r>
    </w:p>
    <w:p w14:paraId="7DB2A1BE">
      <w:pPr>
        <w:pStyle w:val="85"/>
        <w:spacing w:before="240"/>
        <w:ind w:firstLine="540"/>
        <w:jc w:val="both"/>
        <w:rPr>
          <w:color w:val="auto"/>
          <w:sz w:val="22"/>
          <w:szCs w:val="22"/>
        </w:rPr>
      </w:pPr>
      <w:r>
        <w:rPr>
          <w:color w:val="auto"/>
          <w:sz w:val="22"/>
          <w:szCs w:val="22"/>
        </w:rPr>
        <w:t>Первые внешние признаки утомления. Способы самоконтроля за физической нагрузкой.</w:t>
      </w:r>
    </w:p>
    <w:p w14:paraId="27D772CC">
      <w:pPr>
        <w:pStyle w:val="85"/>
        <w:spacing w:before="240"/>
        <w:ind w:firstLine="540"/>
        <w:jc w:val="both"/>
        <w:rPr>
          <w:color w:val="auto"/>
          <w:sz w:val="22"/>
          <w:szCs w:val="22"/>
        </w:rPr>
      </w:pPr>
      <w:r>
        <w:rPr>
          <w:color w:val="auto"/>
          <w:sz w:val="22"/>
          <w:szCs w:val="22"/>
        </w:rPr>
        <w:t>Уход за спортивным инвентарем и оборудованием при занятиях биатлоном.</w:t>
      </w:r>
    </w:p>
    <w:p w14:paraId="71A54862">
      <w:pPr>
        <w:pStyle w:val="85"/>
        <w:spacing w:before="240"/>
        <w:ind w:firstLine="540"/>
        <w:jc w:val="both"/>
        <w:rPr>
          <w:color w:val="auto"/>
          <w:sz w:val="22"/>
          <w:szCs w:val="22"/>
        </w:rPr>
      </w:pPr>
      <w:r>
        <w:rPr>
          <w:color w:val="auto"/>
          <w:sz w:val="22"/>
          <w:szCs w:val="22"/>
        </w:rPr>
        <w:t>Соблюдение личной гигиены, требований к спортивной одежде и обуви для занятий биатлоном.</w:t>
      </w:r>
    </w:p>
    <w:p w14:paraId="71C3998F">
      <w:pPr>
        <w:pStyle w:val="85"/>
        <w:spacing w:before="240"/>
        <w:ind w:firstLine="540"/>
        <w:jc w:val="both"/>
        <w:rPr>
          <w:color w:val="auto"/>
          <w:sz w:val="22"/>
          <w:szCs w:val="22"/>
        </w:rPr>
      </w:pPr>
      <w:r>
        <w:rPr>
          <w:color w:val="auto"/>
          <w:sz w:val="22"/>
          <w:szCs w:val="22"/>
        </w:rPr>
        <w:t>Подвижные игры и правила их проведения.</w:t>
      </w:r>
    </w:p>
    <w:p w14:paraId="17FC75E9">
      <w:pPr>
        <w:pStyle w:val="85"/>
        <w:spacing w:before="240"/>
        <w:ind w:firstLine="540"/>
        <w:jc w:val="both"/>
        <w:rPr>
          <w:color w:val="auto"/>
          <w:sz w:val="22"/>
          <w:szCs w:val="22"/>
        </w:rPr>
      </w:pPr>
      <w:r>
        <w:rPr>
          <w:color w:val="auto"/>
          <w:sz w:val="22"/>
          <w:szCs w:val="22"/>
        </w:rPr>
        <w:t>Организация и проведение игр, направленных на формирование двигательных умений биатлониста.</w:t>
      </w:r>
    </w:p>
    <w:p w14:paraId="2EA37106">
      <w:pPr>
        <w:pStyle w:val="85"/>
        <w:spacing w:before="240"/>
        <w:ind w:firstLine="540"/>
        <w:jc w:val="both"/>
        <w:rPr>
          <w:color w:val="auto"/>
          <w:sz w:val="22"/>
          <w:szCs w:val="22"/>
        </w:rPr>
      </w:pPr>
      <w:r>
        <w:rPr>
          <w:color w:val="auto"/>
          <w:sz w:val="22"/>
          <w:szCs w:val="22"/>
        </w:rPr>
        <w:t>Организация подвижных и иных игр с элементами биатлона со сверстниками в активной досуговой деятельности.</w:t>
      </w:r>
    </w:p>
    <w:p w14:paraId="15FDEA8B">
      <w:pPr>
        <w:pStyle w:val="85"/>
        <w:spacing w:before="240"/>
        <w:ind w:firstLine="540"/>
        <w:jc w:val="both"/>
        <w:rPr>
          <w:color w:val="auto"/>
          <w:sz w:val="22"/>
          <w:szCs w:val="22"/>
        </w:rPr>
      </w:pPr>
      <w:r>
        <w:rPr>
          <w:color w:val="auto"/>
          <w:sz w:val="22"/>
          <w:szCs w:val="22"/>
        </w:rPr>
        <w:t>Основы организации самостоятельных занятий биатлоном.</w:t>
      </w:r>
    </w:p>
    <w:p w14:paraId="5577351C">
      <w:pPr>
        <w:pStyle w:val="85"/>
        <w:spacing w:before="240"/>
        <w:ind w:firstLine="540"/>
        <w:jc w:val="both"/>
        <w:rPr>
          <w:color w:val="auto"/>
          <w:sz w:val="22"/>
          <w:szCs w:val="22"/>
        </w:rPr>
      </w:pPr>
      <w:r>
        <w:rPr>
          <w:color w:val="auto"/>
          <w:sz w:val="22"/>
          <w:szCs w:val="22"/>
        </w:rPr>
        <w:t>Причины возникновения ошибок при выполнении технических приемов и способы их устранения.</w:t>
      </w:r>
    </w:p>
    <w:p w14:paraId="14E5002A">
      <w:pPr>
        <w:pStyle w:val="85"/>
        <w:spacing w:before="240"/>
        <w:ind w:firstLine="540"/>
        <w:jc w:val="both"/>
        <w:rPr>
          <w:color w:val="auto"/>
          <w:sz w:val="22"/>
          <w:szCs w:val="22"/>
        </w:rPr>
      </w:pPr>
      <w:r>
        <w:rPr>
          <w:color w:val="auto"/>
          <w:sz w:val="22"/>
          <w:szCs w:val="22"/>
        </w:rPr>
        <w:t>Составление комплексов различной направленности: утренней гигиенической гимнастики, корригирующей гимнастики, дыхательной гимнастики, упражнений для укрепления суставов, упражнений для развития физических качеств, упражнений для глаз, упражнений формирования осанки и профилактики плоскостопия.</w:t>
      </w:r>
    </w:p>
    <w:p w14:paraId="64AD70B8">
      <w:pPr>
        <w:pStyle w:val="85"/>
        <w:spacing w:before="240"/>
        <w:ind w:firstLine="540"/>
        <w:jc w:val="both"/>
        <w:rPr>
          <w:color w:val="auto"/>
          <w:sz w:val="22"/>
          <w:szCs w:val="22"/>
        </w:rPr>
      </w:pPr>
      <w:r>
        <w:rPr>
          <w:color w:val="auto"/>
          <w:sz w:val="22"/>
          <w:szCs w:val="22"/>
        </w:rPr>
        <w:t>Контрольно-тестовые упражнения по общей и специальной физической подготовке.</w:t>
      </w:r>
    </w:p>
    <w:p w14:paraId="034041B3">
      <w:pPr>
        <w:pStyle w:val="85"/>
        <w:spacing w:before="240"/>
        <w:ind w:firstLine="540"/>
        <w:jc w:val="both"/>
        <w:rPr>
          <w:color w:val="auto"/>
          <w:sz w:val="22"/>
          <w:szCs w:val="22"/>
        </w:rPr>
      </w:pPr>
      <w:r>
        <w:rPr>
          <w:color w:val="auto"/>
          <w:sz w:val="22"/>
          <w:szCs w:val="22"/>
        </w:rPr>
        <w:t>Подбор общеразвивающих упражнений, составление комплексов и включение их в подготовительную часть урока, занятия.</w:t>
      </w:r>
    </w:p>
    <w:p w14:paraId="1867D7EE">
      <w:pPr>
        <w:pStyle w:val="85"/>
        <w:spacing w:before="240"/>
        <w:ind w:firstLine="540"/>
        <w:jc w:val="both"/>
        <w:rPr>
          <w:color w:val="auto"/>
          <w:sz w:val="22"/>
          <w:szCs w:val="22"/>
        </w:rPr>
      </w:pPr>
      <w:r>
        <w:rPr>
          <w:color w:val="auto"/>
          <w:sz w:val="22"/>
          <w:szCs w:val="22"/>
        </w:rPr>
        <w:t>Подбор и составление комплексов упражнений, направленных на развитие специальных физических качеств биатлониста.</w:t>
      </w:r>
    </w:p>
    <w:p w14:paraId="7F585950">
      <w:pPr>
        <w:pStyle w:val="85"/>
        <w:spacing w:before="240"/>
        <w:ind w:firstLine="540"/>
        <w:jc w:val="both"/>
        <w:rPr>
          <w:color w:val="auto"/>
          <w:sz w:val="22"/>
          <w:szCs w:val="22"/>
        </w:rPr>
      </w:pPr>
      <w:r>
        <w:rPr>
          <w:color w:val="auto"/>
          <w:sz w:val="22"/>
          <w:szCs w:val="22"/>
        </w:rPr>
        <w:t>Причины возникновения ошибок при выполнении технических приемов и способы их устранения.</w:t>
      </w:r>
    </w:p>
    <w:p w14:paraId="016D4C3E">
      <w:pPr>
        <w:pStyle w:val="85"/>
        <w:spacing w:before="240"/>
        <w:ind w:firstLine="540"/>
        <w:jc w:val="both"/>
        <w:rPr>
          <w:color w:val="auto"/>
          <w:sz w:val="22"/>
          <w:szCs w:val="22"/>
        </w:rPr>
      </w:pPr>
      <w:r>
        <w:rPr>
          <w:color w:val="auto"/>
          <w:sz w:val="22"/>
          <w:szCs w:val="22"/>
        </w:rPr>
        <w:t>3) Физическое совершенствование.</w:t>
      </w:r>
    </w:p>
    <w:p w14:paraId="4A778FE8">
      <w:pPr>
        <w:pStyle w:val="85"/>
        <w:spacing w:before="240"/>
        <w:ind w:firstLine="540"/>
        <w:jc w:val="both"/>
        <w:rPr>
          <w:color w:val="auto"/>
          <w:sz w:val="22"/>
          <w:szCs w:val="22"/>
        </w:rPr>
      </w:pPr>
      <w:r>
        <w:rPr>
          <w:color w:val="auto"/>
          <w:sz w:val="22"/>
          <w:szCs w:val="22"/>
        </w:rPr>
        <w:t>Комплексы общеразвивающих упражнений без предметов и с предметами на развитие основных физических качеств в биатлоне, в том числе входящих в программу ГТО.</w:t>
      </w:r>
    </w:p>
    <w:p w14:paraId="670B1A7A">
      <w:pPr>
        <w:pStyle w:val="85"/>
        <w:spacing w:before="240"/>
        <w:ind w:firstLine="540"/>
        <w:jc w:val="both"/>
        <w:rPr>
          <w:color w:val="auto"/>
          <w:sz w:val="22"/>
          <w:szCs w:val="22"/>
        </w:rPr>
      </w:pPr>
      <w:r>
        <w:rPr>
          <w:color w:val="auto"/>
          <w:sz w:val="22"/>
          <w:szCs w:val="22"/>
        </w:rPr>
        <w:t>Организующие команды и приемы. Физические упражнения и двигательные действия общеразвивающего характера, в том числе из базовых видов спорта.</w:t>
      </w:r>
    </w:p>
    <w:p w14:paraId="3CD38127">
      <w:pPr>
        <w:pStyle w:val="85"/>
        <w:spacing w:before="240"/>
        <w:ind w:firstLine="540"/>
        <w:jc w:val="both"/>
        <w:rPr>
          <w:color w:val="auto"/>
          <w:sz w:val="22"/>
          <w:szCs w:val="22"/>
        </w:rPr>
      </w:pPr>
      <w:r>
        <w:rPr>
          <w:color w:val="auto"/>
          <w:sz w:val="22"/>
          <w:szCs w:val="22"/>
        </w:rPr>
        <w:t>Подвижные игры и эстафеты с элементами биатлона.</w:t>
      </w:r>
    </w:p>
    <w:p w14:paraId="7A890D73">
      <w:pPr>
        <w:pStyle w:val="85"/>
        <w:spacing w:before="240"/>
        <w:ind w:firstLine="540"/>
        <w:jc w:val="both"/>
        <w:rPr>
          <w:color w:val="auto"/>
          <w:sz w:val="22"/>
          <w:szCs w:val="22"/>
        </w:rPr>
      </w:pPr>
      <w:r>
        <w:rPr>
          <w:color w:val="auto"/>
          <w:sz w:val="22"/>
          <w:szCs w:val="22"/>
        </w:rPr>
        <w:t>Подвижные игры и различные упражнения, развивающие двигательные качества и совершенствующие владение техникой биатлона. Подвижные игры в спортзале и на открытой площадке: "Пятнашки", "Чехарда", "Горелки", "Веревочка под ногами", "Вызов", "Кто дальше прыгнет?", "Кузнечики", "Крути быстрее!", "Попрыгаем вместе", "Мяч в стенку", "Быстро по кругу", "Метко в цель" "Мяч соседу", "Прокати мяч", "Охотники и утки".</w:t>
      </w:r>
    </w:p>
    <w:p w14:paraId="053A7248">
      <w:pPr>
        <w:pStyle w:val="85"/>
        <w:spacing w:before="240"/>
        <w:ind w:firstLine="540"/>
        <w:jc w:val="both"/>
        <w:rPr>
          <w:color w:val="auto"/>
          <w:sz w:val="22"/>
          <w:szCs w:val="22"/>
        </w:rPr>
      </w:pPr>
      <w:r>
        <w:rPr>
          <w:color w:val="auto"/>
          <w:sz w:val="22"/>
          <w:szCs w:val="22"/>
        </w:rPr>
        <w:t>Подвижные игры в воде: "Поплавок", "Звездочка", "Кто дальше проскользит", "Пятнашки", "Караси и щуки", игры с мячом и различными предметами.</w:t>
      </w:r>
    </w:p>
    <w:p w14:paraId="51600130">
      <w:pPr>
        <w:pStyle w:val="85"/>
        <w:spacing w:before="240"/>
        <w:ind w:firstLine="540"/>
        <w:jc w:val="both"/>
        <w:rPr>
          <w:color w:val="auto"/>
          <w:sz w:val="22"/>
          <w:szCs w:val="22"/>
        </w:rPr>
      </w:pPr>
      <w:r>
        <w:rPr>
          <w:color w:val="auto"/>
          <w:sz w:val="22"/>
          <w:szCs w:val="22"/>
        </w:rPr>
        <w:t>Комплексы специальной разминки перед соревнованиями.</w:t>
      </w:r>
    </w:p>
    <w:p w14:paraId="0059561F">
      <w:pPr>
        <w:pStyle w:val="85"/>
        <w:spacing w:before="240"/>
        <w:ind w:firstLine="540"/>
        <w:jc w:val="both"/>
        <w:rPr>
          <w:color w:val="auto"/>
          <w:sz w:val="22"/>
          <w:szCs w:val="22"/>
        </w:rPr>
      </w:pPr>
      <w:r>
        <w:rPr>
          <w:color w:val="auto"/>
          <w:sz w:val="22"/>
          <w:szCs w:val="22"/>
        </w:rPr>
        <w:t>Комплексы корригирующей гимнастики с использованием специальных упражнений (в том числе в воде).</w:t>
      </w:r>
    </w:p>
    <w:p w14:paraId="66A389B4">
      <w:pPr>
        <w:pStyle w:val="85"/>
        <w:spacing w:before="240"/>
        <w:ind w:firstLine="540"/>
        <w:jc w:val="both"/>
        <w:rPr>
          <w:color w:val="auto"/>
          <w:sz w:val="22"/>
          <w:szCs w:val="22"/>
        </w:rPr>
      </w:pPr>
      <w:r>
        <w:rPr>
          <w:color w:val="auto"/>
          <w:sz w:val="22"/>
          <w:szCs w:val="22"/>
        </w:rPr>
        <w:t>Комплексы специальных упражнений для формирования техники движений и двигательных навыков необходимых в биатлоне.</w:t>
      </w:r>
    </w:p>
    <w:p w14:paraId="60DF9B8F">
      <w:pPr>
        <w:pStyle w:val="85"/>
        <w:spacing w:before="240"/>
        <w:ind w:firstLine="540"/>
        <w:jc w:val="both"/>
        <w:rPr>
          <w:color w:val="auto"/>
          <w:sz w:val="22"/>
          <w:szCs w:val="22"/>
        </w:rPr>
      </w:pPr>
      <w:r>
        <w:rPr>
          <w:color w:val="auto"/>
          <w:sz w:val="22"/>
          <w:szCs w:val="22"/>
        </w:rPr>
        <w:t>Упражнения на развитие физических качеств.</w:t>
      </w:r>
    </w:p>
    <w:p w14:paraId="65BE6E5A">
      <w:pPr>
        <w:pStyle w:val="85"/>
        <w:spacing w:before="240"/>
        <w:ind w:firstLine="540"/>
        <w:jc w:val="both"/>
        <w:rPr>
          <w:color w:val="auto"/>
          <w:sz w:val="22"/>
          <w:szCs w:val="22"/>
        </w:rPr>
      </w:pPr>
      <w:r>
        <w:rPr>
          <w:color w:val="auto"/>
          <w:sz w:val="22"/>
          <w:szCs w:val="22"/>
        </w:rPr>
        <w:t>Тестирование уровня общей и специальной физической подготовленности в соответствии с возрастом, гендерной принадлежностью обучающихся.</w:t>
      </w:r>
    </w:p>
    <w:p w14:paraId="59223996">
      <w:pPr>
        <w:pStyle w:val="85"/>
        <w:spacing w:before="240"/>
        <w:ind w:firstLine="540"/>
        <w:jc w:val="both"/>
        <w:rPr>
          <w:color w:val="auto"/>
          <w:sz w:val="22"/>
          <w:szCs w:val="22"/>
        </w:rPr>
      </w:pPr>
      <w:r>
        <w:rPr>
          <w:color w:val="auto"/>
          <w:sz w:val="22"/>
          <w:szCs w:val="22"/>
        </w:rPr>
        <w:t>Правила безопасности во время занятий биатлоном (аква-биатлоном).</w:t>
      </w:r>
    </w:p>
    <w:p w14:paraId="2F176816">
      <w:pPr>
        <w:pStyle w:val="85"/>
        <w:spacing w:before="240"/>
        <w:ind w:firstLine="540"/>
        <w:jc w:val="both"/>
        <w:rPr>
          <w:color w:val="auto"/>
          <w:sz w:val="22"/>
          <w:szCs w:val="22"/>
        </w:rPr>
      </w:pPr>
      <w:r>
        <w:rPr>
          <w:color w:val="auto"/>
          <w:sz w:val="22"/>
          <w:szCs w:val="22"/>
        </w:rPr>
        <w:t>Разминка, ее роль, назначение, средства.</w:t>
      </w:r>
    </w:p>
    <w:p w14:paraId="2C2BF6CE">
      <w:pPr>
        <w:pStyle w:val="85"/>
        <w:spacing w:before="240"/>
        <w:ind w:firstLine="540"/>
        <w:jc w:val="both"/>
        <w:rPr>
          <w:color w:val="auto"/>
          <w:sz w:val="22"/>
          <w:szCs w:val="22"/>
        </w:rPr>
      </w:pPr>
      <w:r>
        <w:rPr>
          <w:color w:val="auto"/>
          <w:sz w:val="22"/>
          <w:szCs w:val="22"/>
        </w:rPr>
        <w:t>Комплексы специальной разминки перед соревнованиями по биатлону (аква-биатлону).</w:t>
      </w:r>
    </w:p>
    <w:p w14:paraId="07E44065">
      <w:pPr>
        <w:pStyle w:val="85"/>
        <w:spacing w:before="240"/>
        <w:ind w:firstLine="540"/>
        <w:jc w:val="both"/>
        <w:rPr>
          <w:color w:val="auto"/>
          <w:sz w:val="22"/>
          <w:szCs w:val="22"/>
        </w:rPr>
      </w:pPr>
      <w:r>
        <w:rPr>
          <w:color w:val="auto"/>
          <w:sz w:val="22"/>
          <w:szCs w:val="22"/>
        </w:rPr>
        <w:t>Внешние признаки утомления. Средства восстановления организма после физической нагрузки.</w:t>
      </w:r>
    </w:p>
    <w:p w14:paraId="56F226D7">
      <w:pPr>
        <w:pStyle w:val="85"/>
        <w:spacing w:before="240"/>
        <w:ind w:firstLine="540"/>
        <w:jc w:val="both"/>
        <w:rPr>
          <w:color w:val="auto"/>
          <w:sz w:val="22"/>
          <w:szCs w:val="22"/>
        </w:rPr>
      </w:pPr>
      <w:r>
        <w:rPr>
          <w:color w:val="auto"/>
          <w:sz w:val="22"/>
          <w:szCs w:val="22"/>
        </w:rPr>
        <w:t>Способы индивидуального регулирования физической нагрузки с учетом уровня физического развития и функционального состояния.</w:t>
      </w:r>
    </w:p>
    <w:p w14:paraId="562206EE">
      <w:pPr>
        <w:pStyle w:val="85"/>
        <w:spacing w:before="240"/>
        <w:ind w:firstLine="540"/>
        <w:jc w:val="both"/>
        <w:rPr>
          <w:color w:val="auto"/>
          <w:sz w:val="22"/>
          <w:szCs w:val="22"/>
        </w:rPr>
      </w:pPr>
      <w:r>
        <w:rPr>
          <w:color w:val="auto"/>
          <w:sz w:val="22"/>
          <w:szCs w:val="22"/>
        </w:rPr>
        <w:t>Эстафеты на развитие физических и специальных качеств.</w:t>
      </w:r>
    </w:p>
    <w:p w14:paraId="08BEFB40">
      <w:pPr>
        <w:pStyle w:val="85"/>
        <w:spacing w:before="240"/>
        <w:ind w:firstLine="540"/>
        <w:jc w:val="both"/>
        <w:rPr>
          <w:color w:val="auto"/>
          <w:sz w:val="22"/>
          <w:szCs w:val="22"/>
        </w:rPr>
      </w:pPr>
      <w:r>
        <w:rPr>
          <w:color w:val="auto"/>
          <w:sz w:val="22"/>
          <w:szCs w:val="22"/>
        </w:rPr>
        <w:t>Технические элементы биатлона. Техника выполнения элементов из базовой подготовки биатлонистов.</w:t>
      </w:r>
    </w:p>
    <w:p w14:paraId="32104A64">
      <w:pPr>
        <w:pStyle w:val="85"/>
        <w:spacing w:before="240"/>
        <w:ind w:firstLine="540"/>
        <w:jc w:val="both"/>
        <w:rPr>
          <w:color w:val="auto"/>
          <w:sz w:val="22"/>
          <w:szCs w:val="22"/>
        </w:rPr>
      </w:pPr>
      <w:r>
        <w:rPr>
          <w:color w:val="auto"/>
          <w:sz w:val="22"/>
          <w:szCs w:val="22"/>
        </w:rPr>
        <w:t>Техника передвижения на лыжах, в том числе кросс по пересеченной местности.</w:t>
      </w:r>
    </w:p>
    <w:p w14:paraId="1342ED0F">
      <w:pPr>
        <w:pStyle w:val="85"/>
        <w:spacing w:before="240"/>
        <w:ind w:firstLine="540"/>
        <w:jc w:val="both"/>
        <w:rPr>
          <w:color w:val="auto"/>
          <w:sz w:val="22"/>
          <w:szCs w:val="22"/>
        </w:rPr>
      </w:pPr>
      <w:r>
        <w:rPr>
          <w:color w:val="auto"/>
          <w:sz w:val="22"/>
          <w:szCs w:val="22"/>
        </w:rPr>
        <w:t>В воде: плавание кролем на груди, на спине, на одной руке, плавание на руках, на ногах.</w:t>
      </w:r>
    </w:p>
    <w:p w14:paraId="6F1779BB">
      <w:pPr>
        <w:pStyle w:val="85"/>
        <w:spacing w:before="240"/>
        <w:ind w:firstLine="540"/>
        <w:jc w:val="both"/>
        <w:rPr>
          <w:color w:val="auto"/>
          <w:sz w:val="22"/>
          <w:szCs w:val="22"/>
        </w:rPr>
      </w:pPr>
      <w:r>
        <w:rPr>
          <w:color w:val="auto"/>
          <w:sz w:val="22"/>
          <w:szCs w:val="22"/>
        </w:rPr>
        <w:t>На лыжах: изучение основных элементов техники лыжных ходов, обучение подседанию, отталкиванию, падению, махам руками и ногами, активной постановке палок; конькового хода: обучение маховому выносу ноги и постановки ее на опору, подседанию на опорной ноге и отталкиванию боковым скользящим упором, ударной постановке палок и финальному усилию при отталкивании руками и формирование целесообразного ритма двигательных действий при передвижении классическими и коньковыми ходами и так далее.</w:t>
      </w:r>
    </w:p>
    <w:p w14:paraId="0B22EF21">
      <w:pPr>
        <w:pStyle w:val="85"/>
        <w:spacing w:before="240"/>
        <w:ind w:firstLine="540"/>
        <w:jc w:val="both"/>
        <w:rPr>
          <w:color w:val="auto"/>
          <w:sz w:val="22"/>
          <w:szCs w:val="22"/>
        </w:rPr>
      </w:pPr>
      <w:r>
        <w:rPr>
          <w:color w:val="auto"/>
          <w:sz w:val="22"/>
          <w:szCs w:val="22"/>
        </w:rPr>
        <w:t>Бег: бег обычный, семенящий, с ускорением, приставными и скрестными шагами, спиной вперед, челночный, на различные дистанции и с различной скоростью.</w:t>
      </w:r>
    </w:p>
    <w:p w14:paraId="21D7AA03">
      <w:pPr>
        <w:pStyle w:val="85"/>
        <w:spacing w:before="240"/>
        <w:ind w:firstLine="540"/>
        <w:jc w:val="both"/>
        <w:rPr>
          <w:color w:val="auto"/>
          <w:sz w:val="22"/>
          <w:szCs w:val="22"/>
        </w:rPr>
      </w:pPr>
      <w:r>
        <w:rPr>
          <w:color w:val="auto"/>
          <w:sz w:val="22"/>
          <w:szCs w:val="22"/>
        </w:rPr>
        <w:t>Техника стрельбы из пневматической винтовки в биатлоне.</w:t>
      </w:r>
    </w:p>
    <w:p w14:paraId="63A8210E">
      <w:pPr>
        <w:pStyle w:val="85"/>
        <w:spacing w:before="240"/>
        <w:ind w:firstLine="540"/>
        <w:jc w:val="both"/>
        <w:rPr>
          <w:color w:val="auto"/>
          <w:sz w:val="22"/>
          <w:szCs w:val="22"/>
        </w:rPr>
      </w:pPr>
      <w:r>
        <w:rPr>
          <w:color w:val="auto"/>
          <w:sz w:val="22"/>
          <w:szCs w:val="22"/>
        </w:rPr>
        <w:t>Основные элементы техники выполнения выстрела: изготовка, постановка дыхания, прицеливание и обработка ударно-спускового механизма. Понятие о темпе и ритме стрельбы в биатлоне. Зависимость темпа стрельбы от степени устойчивости оружия, метеорологических условий и индивидуальных особенностей биатлониста. Способы держания оружия при изготовке для стрельбы.</w:t>
      </w:r>
    </w:p>
    <w:p w14:paraId="67F512A1">
      <w:pPr>
        <w:pStyle w:val="85"/>
        <w:spacing w:before="240"/>
        <w:ind w:firstLine="540"/>
        <w:jc w:val="both"/>
        <w:rPr>
          <w:color w:val="auto"/>
          <w:sz w:val="22"/>
          <w:szCs w:val="22"/>
        </w:rPr>
      </w:pPr>
      <w:r>
        <w:rPr>
          <w:color w:val="auto"/>
          <w:sz w:val="22"/>
          <w:szCs w:val="22"/>
        </w:rPr>
        <w:t>Тактические элементы биатлона. Игровые упражнения с элементами биатлона.</w:t>
      </w:r>
    </w:p>
    <w:p w14:paraId="3489102E">
      <w:pPr>
        <w:pStyle w:val="85"/>
        <w:spacing w:before="240"/>
        <w:ind w:firstLine="540"/>
        <w:jc w:val="both"/>
        <w:rPr>
          <w:color w:val="auto"/>
          <w:sz w:val="22"/>
          <w:szCs w:val="22"/>
        </w:rPr>
      </w:pPr>
      <w:r>
        <w:rPr>
          <w:color w:val="auto"/>
          <w:sz w:val="22"/>
          <w:szCs w:val="22"/>
        </w:rPr>
        <w:t>Подводящие игры с элементами биатлона (аква-биатлона).</w:t>
      </w:r>
    </w:p>
    <w:p w14:paraId="46CEEB4D">
      <w:pPr>
        <w:pStyle w:val="85"/>
        <w:spacing w:before="240"/>
        <w:ind w:firstLine="540"/>
        <w:jc w:val="both"/>
        <w:rPr>
          <w:color w:val="auto"/>
          <w:sz w:val="22"/>
          <w:szCs w:val="22"/>
        </w:rPr>
      </w:pPr>
      <w:r>
        <w:rPr>
          <w:color w:val="auto"/>
          <w:sz w:val="22"/>
          <w:szCs w:val="22"/>
        </w:rPr>
        <w:t>Тактические комбинации и различные взаимодействия в командной эстафете;</w:t>
      </w:r>
    </w:p>
    <w:p w14:paraId="15EC5448">
      <w:pPr>
        <w:pStyle w:val="85"/>
        <w:spacing w:before="240"/>
        <w:ind w:firstLine="540"/>
        <w:jc w:val="both"/>
        <w:rPr>
          <w:color w:val="auto"/>
          <w:sz w:val="22"/>
          <w:szCs w:val="22"/>
        </w:rPr>
      </w:pPr>
      <w:r>
        <w:rPr>
          <w:color w:val="auto"/>
          <w:sz w:val="22"/>
          <w:szCs w:val="22"/>
        </w:rPr>
        <w:t>Организация школьных соревнований по биатлону (аква-биатлону) зимой и летом.</w:t>
      </w:r>
    </w:p>
    <w:p w14:paraId="021D3189">
      <w:pPr>
        <w:pStyle w:val="85"/>
        <w:spacing w:before="240"/>
        <w:ind w:firstLine="540"/>
        <w:jc w:val="both"/>
        <w:rPr>
          <w:color w:val="auto"/>
          <w:sz w:val="22"/>
          <w:szCs w:val="22"/>
        </w:rPr>
      </w:pPr>
      <w:r>
        <w:rPr>
          <w:color w:val="auto"/>
          <w:sz w:val="22"/>
          <w:szCs w:val="22"/>
        </w:rPr>
        <w:t>Учебные соревнования по биатлону.</w:t>
      </w:r>
    </w:p>
    <w:p w14:paraId="70A02FA1">
      <w:pPr>
        <w:pStyle w:val="85"/>
        <w:spacing w:before="240"/>
        <w:ind w:firstLine="540"/>
        <w:jc w:val="both"/>
        <w:rPr>
          <w:color w:val="auto"/>
          <w:sz w:val="22"/>
          <w:szCs w:val="22"/>
        </w:rPr>
      </w:pPr>
      <w:r>
        <w:rPr>
          <w:color w:val="auto"/>
          <w:sz w:val="22"/>
          <w:szCs w:val="22"/>
        </w:rPr>
        <w:t>Участие в соревновательной деятельности.</w:t>
      </w:r>
    </w:p>
    <w:p w14:paraId="37CAA514">
      <w:pPr>
        <w:pStyle w:val="85"/>
        <w:spacing w:before="240"/>
        <w:ind w:firstLine="540"/>
        <w:jc w:val="both"/>
        <w:rPr>
          <w:color w:val="auto"/>
          <w:sz w:val="22"/>
          <w:szCs w:val="22"/>
        </w:rPr>
      </w:pPr>
      <w:r>
        <w:rPr>
          <w:color w:val="auto"/>
          <w:sz w:val="22"/>
          <w:szCs w:val="22"/>
        </w:rPr>
        <w:t>16.4.17.7. Содержание модуля "Биатлон" направлено на достижение обучающимися личностных, метапредметных и предметных результатов обучения.</w:t>
      </w:r>
    </w:p>
    <w:p w14:paraId="4C92905B">
      <w:pPr>
        <w:pStyle w:val="85"/>
        <w:spacing w:before="240"/>
        <w:ind w:firstLine="540"/>
        <w:jc w:val="both"/>
        <w:rPr>
          <w:color w:val="auto"/>
          <w:sz w:val="22"/>
          <w:szCs w:val="22"/>
        </w:rPr>
      </w:pPr>
      <w:r>
        <w:rPr>
          <w:color w:val="auto"/>
          <w:sz w:val="22"/>
          <w:szCs w:val="22"/>
        </w:rPr>
        <w:t>16.4.17.7.1. При изучении модуля "Биатлон" на уровне начального общего образования у обучающихся будут сформированы следующие личностные результаты:</w:t>
      </w:r>
    </w:p>
    <w:p w14:paraId="38647B0C">
      <w:pPr>
        <w:pStyle w:val="85"/>
        <w:spacing w:before="240"/>
        <w:ind w:firstLine="540"/>
        <w:jc w:val="both"/>
        <w:rPr>
          <w:color w:val="auto"/>
          <w:sz w:val="22"/>
          <w:szCs w:val="22"/>
        </w:rPr>
      </w:pPr>
      <w:r>
        <w:rPr>
          <w:color w:val="auto"/>
          <w:sz w:val="22"/>
          <w:szCs w:val="22"/>
        </w:rPr>
        <w:t>проявление чувства гордости за свою Родину, российский народ и историю России через знание истории и современного состояния развития биатлона;</w:t>
      </w:r>
    </w:p>
    <w:p w14:paraId="6F542FD5">
      <w:pPr>
        <w:pStyle w:val="85"/>
        <w:spacing w:before="240"/>
        <w:ind w:firstLine="540"/>
        <w:jc w:val="both"/>
        <w:rPr>
          <w:color w:val="auto"/>
          <w:sz w:val="22"/>
          <w:szCs w:val="22"/>
        </w:rPr>
      </w:pPr>
      <w:r>
        <w:rPr>
          <w:color w:val="auto"/>
          <w:sz w:val="22"/>
          <w:szCs w:val="22"/>
        </w:rPr>
        <w:t>проявление уважительного отношения к сверстникам, культуры общения и взаимодействия, нравственного поведения, проявление положительных качеств личности, осознанного и ответственного отношения к собственным поступкам, решение проблем в процессе занятий биатлоном;</w:t>
      </w:r>
    </w:p>
    <w:p w14:paraId="2E5E0B55">
      <w:pPr>
        <w:pStyle w:val="85"/>
        <w:spacing w:before="240"/>
        <w:ind w:firstLine="540"/>
        <w:jc w:val="both"/>
        <w:rPr>
          <w:color w:val="auto"/>
          <w:sz w:val="22"/>
          <w:szCs w:val="22"/>
        </w:rPr>
      </w:pPr>
      <w:r>
        <w:rPr>
          <w:color w:val="auto"/>
          <w:sz w:val="22"/>
          <w:szCs w:val="22"/>
        </w:rPr>
        <w:t>понимание ценности здорового и безопасного образа жизни, усвоение правил безопасного поведения в учебной, соревновательной, досуговой деятельности и чрезвычайных ситуациях при занятии биатлоном.</w:t>
      </w:r>
    </w:p>
    <w:p w14:paraId="6F7B9FDB">
      <w:pPr>
        <w:pStyle w:val="85"/>
        <w:spacing w:before="240"/>
        <w:ind w:firstLine="540"/>
        <w:jc w:val="both"/>
        <w:rPr>
          <w:color w:val="auto"/>
          <w:sz w:val="22"/>
          <w:szCs w:val="22"/>
        </w:rPr>
      </w:pPr>
      <w:r>
        <w:rPr>
          <w:color w:val="auto"/>
          <w:sz w:val="22"/>
          <w:szCs w:val="22"/>
        </w:rPr>
        <w:t>16.4.17.7.2. При изучении модуля "Биатлон" на уровне начального общего образования у обучающихся будут сформированы следующие метапредметные результаты:</w:t>
      </w:r>
    </w:p>
    <w:p w14:paraId="01E01CF1">
      <w:pPr>
        <w:pStyle w:val="85"/>
        <w:spacing w:before="240"/>
        <w:ind w:firstLine="540"/>
        <w:jc w:val="both"/>
        <w:rPr>
          <w:color w:val="auto"/>
          <w:sz w:val="22"/>
          <w:szCs w:val="22"/>
        </w:rPr>
      </w:pPr>
      <w:r>
        <w:rPr>
          <w:color w:val="auto"/>
          <w:sz w:val="22"/>
          <w:szCs w:val="22"/>
        </w:rPr>
        <w:t>способность самостоятельно определять цели своего обучения средствами биатлона и составлять планы в рамках физкультурно-спортивной деятельности; выбирать успешную стратегию и тактику в различных ситуациях;</w:t>
      </w:r>
    </w:p>
    <w:p w14:paraId="54847859">
      <w:pPr>
        <w:pStyle w:val="85"/>
        <w:spacing w:before="240"/>
        <w:ind w:firstLine="540"/>
        <w:jc w:val="both"/>
        <w:rPr>
          <w:color w:val="auto"/>
          <w:sz w:val="22"/>
          <w:szCs w:val="22"/>
        </w:rPr>
      </w:pPr>
      <w:r>
        <w:rPr>
          <w:color w:val="auto"/>
          <w:sz w:val="22"/>
          <w:szCs w:val="22"/>
        </w:rPr>
        <w:t>умение самостоятельно планировать пути достижения целей, в том числе альтернативные, осознанно выбирать наиболее эффективные способы решения задач в учебной, игровой, соревновательной и досуговой деятельности, оценивать правильность выполнения задач, собственные возможности их решения;</w:t>
      </w:r>
    </w:p>
    <w:p w14:paraId="205AE8FF">
      <w:pPr>
        <w:pStyle w:val="85"/>
        <w:spacing w:before="240"/>
        <w:ind w:firstLine="540"/>
        <w:jc w:val="both"/>
        <w:rPr>
          <w:color w:val="auto"/>
          <w:sz w:val="22"/>
          <w:szCs w:val="22"/>
        </w:rPr>
      </w:pPr>
      <w:r>
        <w:rPr>
          <w:color w:val="auto"/>
          <w:sz w:val="22"/>
          <w:szCs w:val="22"/>
        </w:rPr>
        <w:t>владение основами самоконтроля, самооценки, принятия решений и осуществления осознанного выбора в учебной и познавательной деятельности;</w:t>
      </w:r>
    </w:p>
    <w:p w14:paraId="567BF80F">
      <w:pPr>
        <w:pStyle w:val="85"/>
        <w:spacing w:before="240"/>
        <w:ind w:firstLine="540"/>
        <w:jc w:val="both"/>
        <w:rPr>
          <w:color w:val="auto"/>
          <w:sz w:val="22"/>
          <w:szCs w:val="22"/>
        </w:rPr>
      </w:pPr>
      <w:r>
        <w:rPr>
          <w:color w:val="auto"/>
          <w:sz w:val="22"/>
          <w:szCs w:val="22"/>
        </w:rPr>
        <w:t>умение организовывать совместную деятельность с учителем и сверстниками, работать индивидуально и в группе, формулировать, аргументировать и отстаивать свое мнение, соблюдать нормы информационной избирательности, этики и этикета.</w:t>
      </w:r>
    </w:p>
    <w:p w14:paraId="05D0A312">
      <w:pPr>
        <w:pStyle w:val="85"/>
        <w:spacing w:before="240"/>
        <w:ind w:firstLine="540"/>
        <w:jc w:val="both"/>
        <w:rPr>
          <w:color w:val="auto"/>
          <w:sz w:val="22"/>
          <w:szCs w:val="22"/>
        </w:rPr>
      </w:pPr>
      <w:r>
        <w:rPr>
          <w:color w:val="auto"/>
          <w:sz w:val="22"/>
          <w:szCs w:val="22"/>
        </w:rPr>
        <w:t>16.4.17.7.3. При изучении модуля "Биатлон" на уровне начального общего образования у обучающихся будут сформированы следующие предметные результаты:</w:t>
      </w:r>
    </w:p>
    <w:p w14:paraId="759276F7">
      <w:pPr>
        <w:pStyle w:val="85"/>
        <w:spacing w:before="240"/>
        <w:ind w:firstLine="540"/>
        <w:jc w:val="both"/>
        <w:rPr>
          <w:color w:val="auto"/>
          <w:sz w:val="22"/>
          <w:szCs w:val="22"/>
        </w:rPr>
      </w:pPr>
      <w:r>
        <w:rPr>
          <w:color w:val="auto"/>
          <w:sz w:val="22"/>
          <w:szCs w:val="22"/>
        </w:rPr>
        <w:t>сформированность общих представлений о роли и значении занятий биатлоном, как средством укрепления здоровья, закаливания и развития физических качеств человека;</w:t>
      </w:r>
    </w:p>
    <w:p w14:paraId="53A0142E">
      <w:pPr>
        <w:pStyle w:val="85"/>
        <w:spacing w:before="240"/>
        <w:ind w:firstLine="540"/>
        <w:jc w:val="both"/>
        <w:rPr>
          <w:color w:val="auto"/>
          <w:sz w:val="22"/>
          <w:szCs w:val="22"/>
        </w:rPr>
      </w:pPr>
      <w:r>
        <w:rPr>
          <w:color w:val="auto"/>
          <w:sz w:val="22"/>
          <w:szCs w:val="22"/>
        </w:rPr>
        <w:t>сформированность знаний по истории возникновения биатлона, достижениях национальной сборной команды страны по биатлону, о легендарных отечественных и зарубежных биатлонистах и тренерах;</w:t>
      </w:r>
    </w:p>
    <w:p w14:paraId="0E35EB89">
      <w:pPr>
        <w:pStyle w:val="85"/>
        <w:spacing w:before="240"/>
        <w:ind w:firstLine="540"/>
        <w:jc w:val="both"/>
        <w:rPr>
          <w:color w:val="auto"/>
          <w:sz w:val="22"/>
          <w:szCs w:val="22"/>
        </w:rPr>
      </w:pPr>
      <w:r>
        <w:rPr>
          <w:color w:val="auto"/>
          <w:sz w:val="22"/>
          <w:szCs w:val="22"/>
        </w:rPr>
        <w:t>сформированность общих представлений о спортивных дисциплинах биатлона и основных правилах соревнований по биатлону;</w:t>
      </w:r>
    </w:p>
    <w:p w14:paraId="7357D378">
      <w:pPr>
        <w:pStyle w:val="85"/>
        <w:spacing w:before="240"/>
        <w:ind w:firstLine="540"/>
        <w:jc w:val="both"/>
        <w:rPr>
          <w:color w:val="auto"/>
          <w:sz w:val="22"/>
          <w:szCs w:val="22"/>
        </w:rPr>
      </w:pPr>
      <w:r>
        <w:rPr>
          <w:color w:val="auto"/>
          <w:sz w:val="22"/>
          <w:szCs w:val="22"/>
        </w:rPr>
        <w:t>сформированность навыков безопасного поведения во время занятий биатлоном и посещений соревнований по биатлону;</w:t>
      </w:r>
    </w:p>
    <w:p w14:paraId="2AA51F55">
      <w:pPr>
        <w:pStyle w:val="85"/>
        <w:spacing w:before="240"/>
        <w:ind w:firstLine="540"/>
        <w:jc w:val="both"/>
        <w:rPr>
          <w:color w:val="auto"/>
          <w:sz w:val="22"/>
          <w:szCs w:val="22"/>
        </w:rPr>
      </w:pPr>
      <w:r>
        <w:rPr>
          <w:color w:val="auto"/>
          <w:sz w:val="22"/>
          <w:szCs w:val="22"/>
        </w:rPr>
        <w:t>сформированность знаний и соблюдение базовых правил личной гигиены, требований к спортивной одежде, обуви и спортивному инвентарю для занятий биатлоном;</w:t>
      </w:r>
    </w:p>
    <w:p w14:paraId="4A0FB45A">
      <w:pPr>
        <w:pStyle w:val="85"/>
        <w:spacing w:before="240"/>
        <w:ind w:firstLine="540"/>
        <w:jc w:val="both"/>
        <w:rPr>
          <w:color w:val="auto"/>
          <w:sz w:val="22"/>
          <w:szCs w:val="22"/>
        </w:rPr>
      </w:pPr>
      <w:r>
        <w:rPr>
          <w:color w:val="auto"/>
          <w:sz w:val="22"/>
          <w:szCs w:val="22"/>
        </w:rPr>
        <w:t>сформированность базовых навыков самоконтроля и наблюдения за своим физическим состоянием и величиной физических нагрузок;</w:t>
      </w:r>
    </w:p>
    <w:p w14:paraId="15B456E0">
      <w:pPr>
        <w:pStyle w:val="85"/>
        <w:spacing w:before="240"/>
        <w:ind w:firstLine="540"/>
        <w:jc w:val="both"/>
        <w:rPr>
          <w:color w:val="auto"/>
          <w:sz w:val="22"/>
          <w:szCs w:val="22"/>
        </w:rPr>
      </w:pPr>
      <w:r>
        <w:rPr>
          <w:color w:val="auto"/>
          <w:sz w:val="22"/>
          <w:szCs w:val="22"/>
        </w:rPr>
        <w:t>сформированность основ организации самостоятельных занятий физической культурой и спортом со сверстниками; организация и проведение со сверстниками подвижных игр специальной направленности с элементами биатлона;</w:t>
      </w:r>
    </w:p>
    <w:p w14:paraId="791B9E44">
      <w:pPr>
        <w:pStyle w:val="85"/>
        <w:spacing w:before="240"/>
        <w:ind w:firstLine="540"/>
        <w:jc w:val="both"/>
        <w:rPr>
          <w:color w:val="auto"/>
          <w:sz w:val="22"/>
          <w:szCs w:val="22"/>
        </w:rPr>
      </w:pPr>
      <w:r>
        <w:rPr>
          <w:color w:val="auto"/>
          <w:sz w:val="22"/>
          <w:szCs w:val="22"/>
        </w:rPr>
        <w:t>знание, умение составлять и осваивать упражнения и комплексы утренней гигиенической гимнастики, дыхательной гимнастики, упражнений для глаз, для формирования осанки, профилактики плоскостопия;</w:t>
      </w:r>
    </w:p>
    <w:p w14:paraId="6E4B3B80">
      <w:pPr>
        <w:pStyle w:val="85"/>
        <w:spacing w:before="240"/>
        <w:ind w:firstLine="540"/>
        <w:jc w:val="both"/>
        <w:rPr>
          <w:color w:val="auto"/>
          <w:sz w:val="22"/>
          <w:szCs w:val="22"/>
        </w:rPr>
      </w:pPr>
      <w:r>
        <w:rPr>
          <w:color w:val="auto"/>
          <w:sz w:val="22"/>
          <w:szCs w:val="22"/>
        </w:rPr>
        <w:t>способность выполнять комплексы общеразвивающих и корригирующих упражнений; упражнений на развитие быстроты, ловкости, гибкости; упражнений для укрепления голеностопных суставов; специальных упражнений для формирования технических навыков биатлониста;</w:t>
      </w:r>
    </w:p>
    <w:p w14:paraId="35DC9351">
      <w:pPr>
        <w:pStyle w:val="85"/>
        <w:spacing w:before="240"/>
        <w:ind w:firstLine="540"/>
        <w:jc w:val="both"/>
        <w:rPr>
          <w:color w:val="auto"/>
          <w:sz w:val="22"/>
          <w:szCs w:val="22"/>
        </w:rPr>
      </w:pPr>
      <w:r>
        <w:rPr>
          <w:color w:val="auto"/>
          <w:sz w:val="22"/>
          <w:szCs w:val="22"/>
        </w:rPr>
        <w:t>способность выполнять различные виды передвижений характерных для биатлона, аква-биатлона (плавание, стрельба, бег, лыжи, силовые упражнения) в упрощенных условиях естественной среды (оборудованные водоемы, бассейны, спортивные залы, пришкольные стадионы, лыжероллерные трассы, лесопарковая зона) в учебной, игровой и соревновательной деятельности;</w:t>
      </w:r>
    </w:p>
    <w:p w14:paraId="229A3F14">
      <w:pPr>
        <w:pStyle w:val="85"/>
        <w:spacing w:before="240"/>
        <w:ind w:firstLine="540"/>
        <w:jc w:val="both"/>
        <w:rPr>
          <w:color w:val="auto"/>
          <w:sz w:val="22"/>
          <w:szCs w:val="22"/>
        </w:rPr>
      </w:pPr>
      <w:r>
        <w:rPr>
          <w:color w:val="auto"/>
          <w:sz w:val="22"/>
          <w:szCs w:val="22"/>
        </w:rPr>
        <w:t>способность демонстрировать базовые навыки спортивного плавания включая: прыжки в воду, скольжения, повороты, умение ориентироваться в воде, плавание кролем на груди и на спине;</w:t>
      </w:r>
    </w:p>
    <w:p w14:paraId="2AB325B2">
      <w:pPr>
        <w:pStyle w:val="85"/>
        <w:spacing w:before="240"/>
        <w:ind w:firstLine="540"/>
        <w:jc w:val="both"/>
        <w:rPr>
          <w:color w:val="auto"/>
          <w:sz w:val="22"/>
          <w:szCs w:val="22"/>
        </w:rPr>
      </w:pPr>
      <w:r>
        <w:rPr>
          <w:color w:val="auto"/>
          <w:sz w:val="22"/>
          <w:szCs w:val="22"/>
        </w:rPr>
        <w:t>способность выполнять индивидуальные технические приемы с пневматическим оружием включая: работу над выстрелом и стрельбу под нагрузкой;</w:t>
      </w:r>
    </w:p>
    <w:p w14:paraId="5D2FAB17">
      <w:pPr>
        <w:pStyle w:val="85"/>
        <w:spacing w:before="240"/>
        <w:ind w:firstLine="540"/>
        <w:jc w:val="both"/>
        <w:rPr>
          <w:color w:val="auto"/>
          <w:sz w:val="22"/>
          <w:szCs w:val="22"/>
        </w:rPr>
      </w:pPr>
      <w:r>
        <w:rPr>
          <w:color w:val="auto"/>
          <w:sz w:val="22"/>
          <w:szCs w:val="22"/>
        </w:rPr>
        <w:t>знание назначения основных узлов спортивного пневматического оружия, овладение основными навыками технического обслуживания пневматического оружия и мишенных установок;</w:t>
      </w:r>
    </w:p>
    <w:p w14:paraId="73E24330">
      <w:pPr>
        <w:pStyle w:val="85"/>
        <w:spacing w:before="240"/>
        <w:ind w:firstLine="540"/>
        <w:jc w:val="both"/>
        <w:rPr>
          <w:color w:val="auto"/>
          <w:sz w:val="22"/>
          <w:szCs w:val="22"/>
        </w:rPr>
      </w:pPr>
      <w:r>
        <w:rPr>
          <w:color w:val="auto"/>
          <w:sz w:val="22"/>
          <w:szCs w:val="22"/>
        </w:rPr>
        <w:t>способность концентрировать свое внимание на базовых элементах техники движений в различных сегментах биатлона, уметь устранять ошибки после подсказки учителя, тренера;</w:t>
      </w:r>
    </w:p>
    <w:p w14:paraId="32EA0531">
      <w:pPr>
        <w:pStyle w:val="85"/>
        <w:spacing w:before="240"/>
        <w:ind w:firstLine="540"/>
        <w:jc w:val="both"/>
        <w:rPr>
          <w:color w:val="auto"/>
          <w:sz w:val="22"/>
          <w:szCs w:val="22"/>
        </w:rPr>
      </w:pPr>
      <w:r>
        <w:rPr>
          <w:color w:val="auto"/>
          <w:sz w:val="22"/>
          <w:szCs w:val="22"/>
        </w:rPr>
        <w:t>участие в контрольных занятиях и учебных соревнованиях по биатлону, аква-биатлону (или по входящим в биатлон спортивным дисциплинам) на укороченных дистанциях и по упрощенным правилам;</w:t>
      </w:r>
    </w:p>
    <w:p w14:paraId="2BE8B8C1">
      <w:pPr>
        <w:pStyle w:val="85"/>
        <w:spacing w:before="240"/>
        <w:ind w:firstLine="540"/>
        <w:jc w:val="both"/>
        <w:rPr>
          <w:color w:val="auto"/>
          <w:sz w:val="22"/>
          <w:szCs w:val="22"/>
        </w:rPr>
      </w:pPr>
      <w:r>
        <w:rPr>
          <w:color w:val="auto"/>
          <w:sz w:val="22"/>
          <w:szCs w:val="22"/>
        </w:rPr>
        <w:t>выполнение контрольно-тестовых упражнений по общей и специальной физической подготовке и оценка показателей физической подготовленности биатлониста;</w:t>
      </w:r>
    </w:p>
    <w:p w14:paraId="340F8B2D">
      <w:pPr>
        <w:pStyle w:val="85"/>
        <w:spacing w:before="240"/>
        <w:ind w:firstLine="540"/>
        <w:jc w:val="both"/>
        <w:rPr>
          <w:color w:val="auto"/>
          <w:sz w:val="22"/>
          <w:szCs w:val="22"/>
        </w:rPr>
      </w:pPr>
      <w:r>
        <w:rPr>
          <w:color w:val="auto"/>
          <w:sz w:val="22"/>
          <w:szCs w:val="22"/>
        </w:rPr>
        <w:t>проявление во время учебной и соревновательной деятельности волевых, социальных качеств личности, организованности, ответственности;</w:t>
      </w:r>
    </w:p>
    <w:p w14:paraId="55AB768D">
      <w:pPr>
        <w:pStyle w:val="85"/>
        <w:spacing w:before="240"/>
        <w:ind w:firstLine="540"/>
        <w:jc w:val="both"/>
        <w:rPr>
          <w:color w:val="auto"/>
          <w:sz w:val="22"/>
          <w:szCs w:val="22"/>
        </w:rPr>
      </w:pPr>
      <w:r>
        <w:rPr>
          <w:color w:val="auto"/>
          <w:sz w:val="22"/>
          <w:szCs w:val="22"/>
        </w:rPr>
        <w:t>проявление уважительного отношения к оружию, одноклассникам, проявление культуры общения и взаимодействия, терпимости в достижении общих целей в учебной и игровой деятельности на занятиях биатлоном, аква-биатлоном.</w:t>
      </w:r>
    </w:p>
    <w:p w14:paraId="120D5C9B">
      <w:pPr>
        <w:pStyle w:val="85"/>
        <w:spacing w:before="240"/>
        <w:ind w:firstLine="540"/>
        <w:jc w:val="both"/>
        <w:rPr>
          <w:color w:val="auto"/>
          <w:sz w:val="22"/>
          <w:szCs w:val="22"/>
        </w:rPr>
      </w:pPr>
      <w:r>
        <w:rPr>
          <w:color w:val="auto"/>
          <w:sz w:val="22"/>
          <w:szCs w:val="22"/>
        </w:rPr>
        <w:t>16.4.18. Модуль "Роллер спорт".</w:t>
      </w:r>
    </w:p>
    <w:p w14:paraId="559EE8C5">
      <w:pPr>
        <w:pStyle w:val="85"/>
        <w:spacing w:before="240"/>
        <w:ind w:firstLine="540"/>
        <w:jc w:val="both"/>
        <w:rPr>
          <w:color w:val="auto"/>
          <w:sz w:val="22"/>
          <w:szCs w:val="22"/>
        </w:rPr>
      </w:pPr>
      <w:r>
        <w:rPr>
          <w:color w:val="auto"/>
          <w:sz w:val="22"/>
          <w:szCs w:val="22"/>
        </w:rPr>
        <w:t>16.4.18.1. Пояснительная записка модуля "Роллер спорт".</w:t>
      </w:r>
    </w:p>
    <w:p w14:paraId="2A9D27B5">
      <w:pPr>
        <w:pStyle w:val="85"/>
        <w:spacing w:before="240"/>
        <w:ind w:firstLine="540"/>
        <w:jc w:val="both"/>
        <w:rPr>
          <w:color w:val="auto"/>
          <w:sz w:val="22"/>
          <w:szCs w:val="22"/>
        </w:rPr>
      </w:pPr>
      <w:r>
        <w:rPr>
          <w:color w:val="auto"/>
          <w:sz w:val="22"/>
          <w:szCs w:val="22"/>
        </w:rPr>
        <w:t>Модуль "Роллер спорт" (далее - модуль "Роллер спорт", модуль по роллер спорту, роллер спорт) на уровне начального общего образования разработан с целью оказания методической помощи учителю физической культуры в создании части рабочей программы по учебному предмету "Физическая культура", направленной на формирование общих представлений о физической культуре и спорте, физической активности человека, физических качествах, жизненно важных прикладных умениях и навыках, основных физических упражнениях (игровых и спортивных) с целью достижения результатов ФГОС НОО, с учетом современных тенденций в системе образования и использования спортивно-ориентированных форм, средств и методов обучения по различным видам спорта.</w:t>
      </w:r>
    </w:p>
    <w:p w14:paraId="7EEB6229">
      <w:pPr>
        <w:pStyle w:val="85"/>
        <w:spacing w:before="240"/>
        <w:ind w:firstLine="540"/>
        <w:jc w:val="both"/>
        <w:rPr>
          <w:color w:val="auto"/>
          <w:sz w:val="22"/>
          <w:szCs w:val="22"/>
        </w:rPr>
      </w:pPr>
      <w:r>
        <w:rPr>
          <w:color w:val="auto"/>
          <w:sz w:val="22"/>
          <w:szCs w:val="22"/>
        </w:rPr>
        <w:t>Роллер спорт - это общее название видов спорта, в которых спортсмены используют различные виды роликовых коньков, а также самокаты. Занятия роллер спортом для обучающихся имеют оздоровительную направленность и комплексно воздействуют на органы и системы растущего организма, укрепляя и повышая уровень функционирования сердечно-сосудистой, дыхательной, костно-мышечной и других систем, повышают устойчивость организма к неблагоприятным условиям и уровень работоспособности детей.</w:t>
      </w:r>
    </w:p>
    <w:p w14:paraId="2C7DBC83">
      <w:pPr>
        <w:pStyle w:val="85"/>
        <w:spacing w:before="240"/>
        <w:ind w:firstLine="540"/>
        <w:jc w:val="both"/>
        <w:rPr>
          <w:color w:val="auto"/>
          <w:sz w:val="22"/>
          <w:szCs w:val="22"/>
        </w:rPr>
      </w:pPr>
      <w:r>
        <w:rPr>
          <w:color w:val="auto"/>
          <w:sz w:val="22"/>
          <w:szCs w:val="22"/>
        </w:rPr>
        <w:t>Выполнение сложнокоординационных, технико-тактических действий в роллер спорте, связанных с бегом, скольжением, прыжками, быстрым стартом и ускорениями, резкими торможениями и остановками, ударами по шайбе (хоккей), обеспечивает эффективное развитие физических качеств (быстроты, ловкости, выносливости, силы и гибкости), а также двигательных навыков. Занятия роллер спортом способствуют воспитанию у обучающихся координационных качеств, пространственной и временной ориентировки, распределенного внимания, периферического зрения.</w:t>
      </w:r>
    </w:p>
    <w:p w14:paraId="1015B69F">
      <w:pPr>
        <w:pStyle w:val="85"/>
        <w:spacing w:before="240"/>
        <w:ind w:firstLine="540"/>
        <w:jc w:val="both"/>
        <w:rPr>
          <w:color w:val="auto"/>
          <w:sz w:val="22"/>
          <w:szCs w:val="22"/>
        </w:rPr>
      </w:pPr>
      <w:r>
        <w:rPr>
          <w:color w:val="auto"/>
          <w:sz w:val="22"/>
          <w:szCs w:val="22"/>
        </w:rPr>
        <w:t>Роллер спорт, как средство воспитания, формирует у обучающихся чувство патриотизма, нравственные качества (честность, доброжелательность, дисциплинированность, самообладание, терпимость, коллективизм) в сочетании с волевыми качествами (смелость, решительность, инициатива, трудолюбие, настойчивость и целеустремленность, а также развитие способности управлять своими эмоциями).</w:t>
      </w:r>
    </w:p>
    <w:p w14:paraId="7FE57F5A">
      <w:pPr>
        <w:pStyle w:val="85"/>
        <w:spacing w:before="240"/>
        <w:ind w:firstLine="540"/>
        <w:jc w:val="both"/>
        <w:rPr>
          <w:color w:val="auto"/>
          <w:sz w:val="22"/>
          <w:szCs w:val="22"/>
        </w:rPr>
      </w:pPr>
      <w:r>
        <w:rPr>
          <w:color w:val="auto"/>
          <w:sz w:val="22"/>
          <w:szCs w:val="22"/>
        </w:rPr>
        <w:t>16.4.18.2. Целью изучения модуля "Роллер спорт" является формирование у обучающихся навыков общечеловеческой культуры и социального самоопределения, устойчивой мотивации к сохранению и укреплению собственного здоровья, ведению здорового образа жизни через занятия физической культурой и спортом с использованием средств роллер спорта.</w:t>
      </w:r>
    </w:p>
    <w:p w14:paraId="5765AC63">
      <w:pPr>
        <w:pStyle w:val="85"/>
        <w:spacing w:before="240"/>
        <w:ind w:firstLine="540"/>
        <w:jc w:val="both"/>
        <w:rPr>
          <w:color w:val="auto"/>
          <w:sz w:val="22"/>
          <w:szCs w:val="22"/>
        </w:rPr>
      </w:pPr>
      <w:r>
        <w:rPr>
          <w:color w:val="auto"/>
          <w:sz w:val="22"/>
          <w:szCs w:val="22"/>
        </w:rPr>
        <w:t>16.4.18.3. Задачами изучения модуля "Роллер спорт" являются:</w:t>
      </w:r>
    </w:p>
    <w:p w14:paraId="0804C043">
      <w:pPr>
        <w:pStyle w:val="85"/>
        <w:spacing w:before="240"/>
        <w:ind w:firstLine="540"/>
        <w:jc w:val="both"/>
        <w:rPr>
          <w:color w:val="auto"/>
          <w:sz w:val="22"/>
          <w:szCs w:val="22"/>
        </w:rPr>
      </w:pPr>
      <w:r>
        <w:rPr>
          <w:color w:val="auto"/>
          <w:sz w:val="22"/>
          <w:szCs w:val="22"/>
        </w:rPr>
        <w:t>всестороннее гармоничное развитие обучающихся, увеличение объема их двигательной активности;</w:t>
      </w:r>
    </w:p>
    <w:p w14:paraId="58C1F096">
      <w:pPr>
        <w:pStyle w:val="85"/>
        <w:spacing w:before="240"/>
        <w:ind w:firstLine="540"/>
        <w:jc w:val="both"/>
        <w:rPr>
          <w:color w:val="auto"/>
          <w:sz w:val="22"/>
          <w:szCs w:val="22"/>
        </w:rPr>
      </w:pPr>
      <w:r>
        <w:rPr>
          <w:color w:val="auto"/>
          <w:sz w:val="22"/>
          <w:szCs w:val="22"/>
        </w:rPr>
        <w:t>укрепление физического, психологического и социального здоровья обучающихся, развитие основных физических качеств и повышение функциональных возможностей их организма, обеспечение культуры безопасного поведения на занятиях по роллер спорту;</w:t>
      </w:r>
    </w:p>
    <w:p w14:paraId="4D17E16B">
      <w:pPr>
        <w:pStyle w:val="85"/>
        <w:spacing w:before="240"/>
        <w:ind w:firstLine="540"/>
        <w:jc w:val="both"/>
        <w:rPr>
          <w:color w:val="auto"/>
          <w:sz w:val="22"/>
          <w:szCs w:val="22"/>
        </w:rPr>
      </w:pPr>
      <w:r>
        <w:rPr>
          <w:color w:val="auto"/>
          <w:sz w:val="22"/>
          <w:szCs w:val="22"/>
        </w:rPr>
        <w:t>освоение знаний о физической культуре и спорте в целом, истории развития роллер спорта в частности;</w:t>
      </w:r>
    </w:p>
    <w:p w14:paraId="5192C1CD">
      <w:pPr>
        <w:pStyle w:val="85"/>
        <w:spacing w:before="240"/>
        <w:ind w:firstLine="540"/>
        <w:jc w:val="both"/>
        <w:rPr>
          <w:color w:val="auto"/>
          <w:sz w:val="22"/>
          <w:szCs w:val="22"/>
        </w:rPr>
      </w:pPr>
      <w:r>
        <w:rPr>
          <w:color w:val="auto"/>
          <w:sz w:val="22"/>
          <w:szCs w:val="22"/>
        </w:rPr>
        <w:t>формирование общих представлений о роллер спорте, о его возможностях и значении в процессе укрепления здоровья, физическом развитии и физической подготовке обучающихся;</w:t>
      </w:r>
    </w:p>
    <w:p w14:paraId="465C6A4A">
      <w:pPr>
        <w:pStyle w:val="85"/>
        <w:spacing w:before="240"/>
        <w:ind w:firstLine="540"/>
        <w:jc w:val="both"/>
        <w:rPr>
          <w:color w:val="auto"/>
          <w:sz w:val="22"/>
          <w:szCs w:val="22"/>
        </w:rPr>
      </w:pPr>
      <w:r>
        <w:rPr>
          <w:color w:val="auto"/>
          <w:sz w:val="22"/>
          <w:szCs w:val="22"/>
        </w:rPr>
        <w:t>формирование образовательного фундамента, основанного как на знаниях и умениях в области физической культуры и спорта, так и на соответствующем культурном уровне развития личности обучающегося, создающем необходимые предпосылки для его самореализации;</w:t>
      </w:r>
    </w:p>
    <w:p w14:paraId="6D0682D8">
      <w:pPr>
        <w:pStyle w:val="85"/>
        <w:spacing w:before="240"/>
        <w:ind w:firstLine="540"/>
        <w:jc w:val="both"/>
        <w:rPr>
          <w:color w:val="auto"/>
          <w:sz w:val="22"/>
          <w:szCs w:val="22"/>
        </w:rPr>
      </w:pPr>
      <w:r>
        <w:rPr>
          <w:color w:val="auto"/>
          <w:sz w:val="22"/>
          <w:szCs w:val="22"/>
        </w:rPr>
        <w:t>формирование культуры движений, обогащение двигательного опыта физическими упражнениями, имеющими общеразвивающую и корригирующую направленность, техническими действиями и приемами средствами роллер спорта;</w:t>
      </w:r>
    </w:p>
    <w:p w14:paraId="5185F955">
      <w:pPr>
        <w:pStyle w:val="85"/>
        <w:spacing w:before="240"/>
        <w:ind w:firstLine="540"/>
        <w:jc w:val="both"/>
        <w:rPr>
          <w:color w:val="auto"/>
          <w:sz w:val="22"/>
          <w:szCs w:val="22"/>
        </w:rPr>
      </w:pPr>
      <w:r>
        <w:rPr>
          <w:color w:val="auto"/>
          <w:sz w:val="22"/>
          <w:szCs w:val="22"/>
        </w:rPr>
        <w:t>воспитание положительных качеств личности, норм коллективного взаимодействия и сотрудничества в образовательной и соревновательной деятельности;</w:t>
      </w:r>
    </w:p>
    <w:p w14:paraId="08301D20">
      <w:pPr>
        <w:pStyle w:val="85"/>
        <w:spacing w:before="240"/>
        <w:ind w:firstLine="540"/>
        <w:jc w:val="both"/>
        <w:rPr>
          <w:color w:val="auto"/>
          <w:sz w:val="22"/>
          <w:szCs w:val="22"/>
        </w:rPr>
      </w:pPr>
      <w:r>
        <w:rPr>
          <w:color w:val="auto"/>
          <w:sz w:val="22"/>
          <w:szCs w:val="22"/>
        </w:rPr>
        <w:t>развитие положительной мотивации и устойчивого учебно-познавательного интереса к учебному предмету "Физическая культура"; удовлетворение индивидуальных потребностей, обучающихся в занятиях физической культурой и спортом средствами роллер спорта;</w:t>
      </w:r>
    </w:p>
    <w:p w14:paraId="0A37DFD1">
      <w:pPr>
        <w:pStyle w:val="85"/>
        <w:spacing w:before="240"/>
        <w:ind w:firstLine="540"/>
        <w:jc w:val="both"/>
        <w:rPr>
          <w:color w:val="auto"/>
          <w:sz w:val="22"/>
          <w:szCs w:val="22"/>
        </w:rPr>
      </w:pPr>
      <w:r>
        <w:rPr>
          <w:color w:val="auto"/>
          <w:sz w:val="22"/>
          <w:szCs w:val="22"/>
        </w:rPr>
        <w:t>популяризация роллер спорта среди подрастающего поколения, привлечение обучающихся, проявляющих повышенный интерес и способности к занятиям роллер спортом, в школьные спортивные клубы, секции, к участию в соревнованиях;</w:t>
      </w:r>
    </w:p>
    <w:p w14:paraId="59FF9DD1">
      <w:pPr>
        <w:pStyle w:val="85"/>
        <w:spacing w:before="240"/>
        <w:ind w:firstLine="540"/>
        <w:jc w:val="both"/>
        <w:rPr>
          <w:color w:val="auto"/>
          <w:sz w:val="22"/>
          <w:szCs w:val="22"/>
        </w:rPr>
      </w:pPr>
      <w:r>
        <w:rPr>
          <w:color w:val="auto"/>
          <w:sz w:val="22"/>
          <w:szCs w:val="22"/>
        </w:rPr>
        <w:t>выявление, развитие и поддержка одаренных детей в области спорта.</w:t>
      </w:r>
    </w:p>
    <w:p w14:paraId="100D8A19">
      <w:pPr>
        <w:pStyle w:val="85"/>
        <w:spacing w:before="240"/>
        <w:ind w:firstLine="540"/>
        <w:jc w:val="both"/>
        <w:rPr>
          <w:color w:val="auto"/>
          <w:sz w:val="22"/>
          <w:szCs w:val="22"/>
        </w:rPr>
      </w:pPr>
      <w:r>
        <w:rPr>
          <w:color w:val="auto"/>
          <w:sz w:val="22"/>
          <w:szCs w:val="22"/>
        </w:rPr>
        <w:t>16.4.18.4. Место и роль модуля "Роллер спорт".</w:t>
      </w:r>
    </w:p>
    <w:p w14:paraId="673E5CA3">
      <w:pPr>
        <w:pStyle w:val="85"/>
        <w:spacing w:before="240"/>
        <w:ind w:firstLine="540"/>
        <w:jc w:val="both"/>
        <w:rPr>
          <w:color w:val="auto"/>
          <w:sz w:val="22"/>
          <w:szCs w:val="22"/>
        </w:rPr>
      </w:pPr>
      <w:r>
        <w:rPr>
          <w:color w:val="auto"/>
          <w:sz w:val="22"/>
          <w:szCs w:val="22"/>
        </w:rPr>
        <w:t>Модуль "Роллер спорт" доступен для освоения всем обучающимся, и обеспечивает достижение следующих результатов ФГОС НОО: сформированность общих представлений о физической культуре и спорте, физической активности человека, физических качествах, жизненно важных прикладных умениях и навыках, основных физических упражнениях (гимнастических, игровых, туристических и спортивных).</w:t>
      </w:r>
    </w:p>
    <w:p w14:paraId="3458936A">
      <w:pPr>
        <w:pStyle w:val="85"/>
        <w:spacing w:before="240"/>
        <w:ind w:firstLine="540"/>
        <w:jc w:val="both"/>
        <w:rPr>
          <w:color w:val="auto"/>
          <w:sz w:val="22"/>
          <w:szCs w:val="22"/>
        </w:rPr>
      </w:pPr>
      <w:r>
        <w:rPr>
          <w:color w:val="auto"/>
          <w:sz w:val="22"/>
          <w:szCs w:val="22"/>
        </w:rPr>
        <w:t>Программное содержание модуля "Роллер спорт" может быть использовано в разделах "Знания о физической культуре", "Способы самостоятельной деятельности", "Физическое совершенствование".</w:t>
      </w:r>
    </w:p>
    <w:p w14:paraId="6EFAA186">
      <w:pPr>
        <w:pStyle w:val="85"/>
        <w:spacing w:before="240"/>
        <w:ind w:firstLine="540"/>
        <w:jc w:val="both"/>
        <w:rPr>
          <w:color w:val="auto"/>
          <w:sz w:val="22"/>
          <w:szCs w:val="22"/>
        </w:rPr>
      </w:pPr>
      <w:r>
        <w:rPr>
          <w:color w:val="auto"/>
          <w:sz w:val="22"/>
          <w:szCs w:val="22"/>
        </w:rPr>
        <w:t>Интеграция модуля по роллер спорту поможет обучающимся в освоении образовательных программ в рамках внеурочной деятельности, дополнительного образования, деятельности школьных спортивных клубов, подготовке обучающихся к сдаче норм ГТО и участии в спортивных соревнованиях.</w:t>
      </w:r>
    </w:p>
    <w:p w14:paraId="5ECE6A00">
      <w:pPr>
        <w:pStyle w:val="85"/>
        <w:spacing w:before="240"/>
        <w:ind w:firstLine="540"/>
        <w:jc w:val="both"/>
        <w:rPr>
          <w:color w:val="auto"/>
          <w:sz w:val="22"/>
          <w:szCs w:val="22"/>
        </w:rPr>
      </w:pPr>
      <w:r>
        <w:rPr>
          <w:color w:val="auto"/>
          <w:sz w:val="22"/>
          <w:szCs w:val="22"/>
        </w:rPr>
        <w:t>16.4.18.5. Модуль "Роллер спорт" может быть реализован в следующих вариантах:</w:t>
      </w:r>
    </w:p>
    <w:p w14:paraId="3DB6921F">
      <w:pPr>
        <w:pStyle w:val="85"/>
        <w:spacing w:before="240"/>
        <w:ind w:firstLine="540"/>
        <w:jc w:val="both"/>
        <w:rPr>
          <w:color w:val="auto"/>
          <w:sz w:val="22"/>
          <w:szCs w:val="22"/>
        </w:rPr>
      </w:pPr>
      <w:r>
        <w:rPr>
          <w:color w:val="auto"/>
          <w:sz w:val="22"/>
          <w:szCs w:val="22"/>
        </w:rPr>
        <w:t>при самостоятельном планировании учителем физической культуры процесса освоения обучающимися учебного материала по роллер спорту с выбором различных элементов специальных физических упражнений, игр и (или) элементов игры, с учетом возраста и физической подготовленности обучающихся (с соответствующей дозировкой и интенсивностью);</w:t>
      </w:r>
    </w:p>
    <w:p w14:paraId="7D2705B7">
      <w:pPr>
        <w:pStyle w:val="85"/>
        <w:spacing w:before="240"/>
        <w:ind w:firstLine="540"/>
        <w:jc w:val="both"/>
        <w:rPr>
          <w:color w:val="auto"/>
          <w:sz w:val="22"/>
          <w:szCs w:val="22"/>
        </w:rPr>
      </w:pPr>
      <w:r>
        <w:rPr>
          <w:color w:val="auto"/>
          <w:sz w:val="22"/>
          <w:szCs w:val="22"/>
        </w:rPr>
        <w:t>в виде дополнительных часов, выделяемых на спортивно-оздоровительную работу с обучающимися в рамках внеурочной деятельности и (или) за счет посещения обучающимися спортивных секций школьных спортивных клубов (рекомендуемый объем в 1 классе - 33 часа, во 2 - 4 классах - по 34 часа).</w:t>
      </w:r>
    </w:p>
    <w:p w14:paraId="4343BA28">
      <w:pPr>
        <w:pStyle w:val="85"/>
        <w:spacing w:before="240"/>
        <w:ind w:firstLine="540"/>
        <w:jc w:val="both"/>
        <w:rPr>
          <w:color w:val="auto"/>
          <w:sz w:val="22"/>
          <w:szCs w:val="22"/>
        </w:rPr>
      </w:pPr>
      <w:r>
        <w:rPr>
          <w:color w:val="auto"/>
          <w:sz w:val="22"/>
          <w:szCs w:val="22"/>
        </w:rPr>
        <w:t>16.4.18.6. Содержание модуля "Роллер спорт".</w:t>
      </w:r>
    </w:p>
    <w:p w14:paraId="4FED57C1">
      <w:pPr>
        <w:pStyle w:val="85"/>
        <w:spacing w:before="240"/>
        <w:ind w:firstLine="540"/>
        <w:jc w:val="both"/>
        <w:rPr>
          <w:color w:val="auto"/>
          <w:sz w:val="22"/>
          <w:szCs w:val="22"/>
        </w:rPr>
      </w:pPr>
      <w:r>
        <w:rPr>
          <w:color w:val="auto"/>
          <w:sz w:val="22"/>
          <w:szCs w:val="22"/>
        </w:rPr>
        <w:t>1) Знания о роллер спорте.</w:t>
      </w:r>
    </w:p>
    <w:p w14:paraId="0E27EE86">
      <w:pPr>
        <w:pStyle w:val="85"/>
        <w:spacing w:before="240"/>
        <w:ind w:firstLine="540"/>
        <w:jc w:val="both"/>
        <w:rPr>
          <w:color w:val="auto"/>
          <w:sz w:val="22"/>
          <w:szCs w:val="22"/>
        </w:rPr>
      </w:pPr>
      <w:r>
        <w:rPr>
          <w:color w:val="auto"/>
          <w:sz w:val="22"/>
          <w:szCs w:val="22"/>
        </w:rPr>
        <w:t>История зарождения роллер спорта.</w:t>
      </w:r>
    </w:p>
    <w:p w14:paraId="51B61122">
      <w:pPr>
        <w:pStyle w:val="85"/>
        <w:spacing w:before="240"/>
        <w:ind w:firstLine="540"/>
        <w:jc w:val="both"/>
        <w:rPr>
          <w:color w:val="auto"/>
          <w:sz w:val="22"/>
          <w:szCs w:val="22"/>
        </w:rPr>
      </w:pPr>
      <w:r>
        <w:rPr>
          <w:color w:val="auto"/>
          <w:sz w:val="22"/>
          <w:szCs w:val="22"/>
        </w:rPr>
        <w:t>Известные отечественные роллеры и тренеры.</w:t>
      </w:r>
    </w:p>
    <w:p w14:paraId="40D74881">
      <w:pPr>
        <w:pStyle w:val="85"/>
        <w:spacing w:before="240"/>
        <w:ind w:firstLine="540"/>
        <w:jc w:val="both"/>
        <w:rPr>
          <w:color w:val="auto"/>
          <w:sz w:val="22"/>
          <w:szCs w:val="22"/>
        </w:rPr>
      </w:pPr>
      <w:r>
        <w:rPr>
          <w:color w:val="auto"/>
          <w:sz w:val="22"/>
          <w:szCs w:val="22"/>
        </w:rPr>
        <w:t>Достижения отечественной сборной команды страны на международных соревнованиях и на соревнованиях различного уровня.</w:t>
      </w:r>
    </w:p>
    <w:p w14:paraId="06C03FC7">
      <w:pPr>
        <w:pStyle w:val="85"/>
        <w:spacing w:before="240"/>
        <w:ind w:firstLine="540"/>
        <w:jc w:val="both"/>
        <w:rPr>
          <w:color w:val="auto"/>
          <w:sz w:val="22"/>
          <w:szCs w:val="22"/>
        </w:rPr>
      </w:pPr>
      <w:r>
        <w:rPr>
          <w:color w:val="auto"/>
          <w:sz w:val="22"/>
          <w:szCs w:val="22"/>
        </w:rPr>
        <w:t>Направления роллер спорта.</w:t>
      </w:r>
    </w:p>
    <w:p w14:paraId="483A0342">
      <w:pPr>
        <w:pStyle w:val="85"/>
        <w:spacing w:before="240"/>
        <w:ind w:firstLine="540"/>
        <w:jc w:val="both"/>
        <w:rPr>
          <w:color w:val="auto"/>
          <w:sz w:val="22"/>
          <w:szCs w:val="22"/>
        </w:rPr>
      </w:pPr>
      <w:r>
        <w:rPr>
          <w:color w:val="auto"/>
          <w:sz w:val="22"/>
          <w:szCs w:val="22"/>
        </w:rPr>
        <w:t>Основные правила соревнований по роллер спорту.</w:t>
      </w:r>
    </w:p>
    <w:p w14:paraId="59C5880D">
      <w:pPr>
        <w:pStyle w:val="85"/>
        <w:spacing w:before="240"/>
        <w:ind w:firstLine="540"/>
        <w:jc w:val="both"/>
        <w:rPr>
          <w:color w:val="auto"/>
          <w:sz w:val="22"/>
          <w:szCs w:val="22"/>
        </w:rPr>
      </w:pPr>
      <w:r>
        <w:rPr>
          <w:color w:val="auto"/>
          <w:sz w:val="22"/>
          <w:szCs w:val="22"/>
        </w:rPr>
        <w:t>Словарь терминов и определений по роллер спорту.</w:t>
      </w:r>
    </w:p>
    <w:p w14:paraId="50F6F204">
      <w:pPr>
        <w:pStyle w:val="85"/>
        <w:spacing w:before="240"/>
        <w:ind w:firstLine="540"/>
        <w:jc w:val="both"/>
        <w:rPr>
          <w:color w:val="auto"/>
          <w:sz w:val="22"/>
          <w:szCs w:val="22"/>
        </w:rPr>
      </w:pPr>
      <w:r>
        <w:rPr>
          <w:color w:val="auto"/>
          <w:sz w:val="22"/>
          <w:szCs w:val="22"/>
        </w:rPr>
        <w:t>Функции игроков в команде в хоккее на роликовых коньках (форвард (нападающий), защитник, голкипер (вратарь).</w:t>
      </w:r>
    </w:p>
    <w:p w14:paraId="2CED7D1F">
      <w:pPr>
        <w:pStyle w:val="85"/>
        <w:spacing w:before="240"/>
        <w:ind w:firstLine="540"/>
        <w:jc w:val="both"/>
        <w:rPr>
          <w:color w:val="auto"/>
          <w:sz w:val="22"/>
          <w:szCs w:val="22"/>
        </w:rPr>
      </w:pPr>
      <w:r>
        <w:rPr>
          <w:color w:val="auto"/>
          <w:sz w:val="22"/>
          <w:szCs w:val="22"/>
        </w:rPr>
        <w:t>Роль капитана команды.</w:t>
      </w:r>
    </w:p>
    <w:p w14:paraId="6E7BC28D">
      <w:pPr>
        <w:pStyle w:val="85"/>
        <w:spacing w:before="240"/>
        <w:ind w:firstLine="540"/>
        <w:jc w:val="both"/>
        <w:rPr>
          <w:color w:val="auto"/>
          <w:sz w:val="22"/>
          <w:szCs w:val="22"/>
        </w:rPr>
      </w:pPr>
      <w:r>
        <w:rPr>
          <w:color w:val="auto"/>
          <w:sz w:val="22"/>
          <w:szCs w:val="22"/>
        </w:rPr>
        <w:t>Судейская коллегия, обслуживающая соревнования по роллер спорту. Жесты судьи.</w:t>
      </w:r>
    </w:p>
    <w:p w14:paraId="586A5D01">
      <w:pPr>
        <w:pStyle w:val="85"/>
        <w:spacing w:before="240"/>
        <w:ind w:firstLine="540"/>
        <w:jc w:val="both"/>
        <w:rPr>
          <w:color w:val="auto"/>
          <w:sz w:val="22"/>
          <w:szCs w:val="22"/>
        </w:rPr>
      </w:pPr>
      <w:r>
        <w:rPr>
          <w:color w:val="auto"/>
          <w:sz w:val="22"/>
          <w:szCs w:val="22"/>
        </w:rPr>
        <w:t>Роллер спорт как средство укрепления здоровья, закаливания и развития физических качеств.</w:t>
      </w:r>
    </w:p>
    <w:p w14:paraId="74B36BC2">
      <w:pPr>
        <w:pStyle w:val="85"/>
        <w:spacing w:before="240"/>
        <w:ind w:firstLine="540"/>
        <w:jc w:val="both"/>
        <w:rPr>
          <w:color w:val="auto"/>
          <w:sz w:val="22"/>
          <w:szCs w:val="22"/>
        </w:rPr>
      </w:pPr>
      <w:r>
        <w:rPr>
          <w:color w:val="auto"/>
          <w:sz w:val="22"/>
          <w:szCs w:val="22"/>
        </w:rPr>
        <w:t>Правила безопасного поведения во время занятий роллер спортом.</w:t>
      </w:r>
    </w:p>
    <w:p w14:paraId="0BF11A1C">
      <w:pPr>
        <w:pStyle w:val="85"/>
        <w:spacing w:before="240"/>
        <w:ind w:firstLine="540"/>
        <w:jc w:val="both"/>
        <w:rPr>
          <w:color w:val="auto"/>
          <w:sz w:val="22"/>
          <w:szCs w:val="22"/>
        </w:rPr>
      </w:pPr>
      <w:r>
        <w:rPr>
          <w:color w:val="auto"/>
          <w:sz w:val="22"/>
          <w:szCs w:val="22"/>
        </w:rPr>
        <w:t>Режим дня при занятиях роллер спортом. Правила личной гигиены во время занятий роллер спортом.</w:t>
      </w:r>
    </w:p>
    <w:p w14:paraId="2E65D358">
      <w:pPr>
        <w:pStyle w:val="85"/>
        <w:spacing w:before="240"/>
        <w:ind w:firstLine="540"/>
        <w:jc w:val="both"/>
        <w:rPr>
          <w:color w:val="auto"/>
          <w:sz w:val="22"/>
          <w:szCs w:val="22"/>
        </w:rPr>
      </w:pPr>
      <w:r>
        <w:rPr>
          <w:color w:val="auto"/>
          <w:sz w:val="22"/>
          <w:szCs w:val="22"/>
        </w:rPr>
        <w:t>2) Способы самостоятельной деятельности.</w:t>
      </w:r>
    </w:p>
    <w:p w14:paraId="31D51FB3">
      <w:pPr>
        <w:pStyle w:val="85"/>
        <w:spacing w:before="240"/>
        <w:ind w:firstLine="540"/>
        <w:jc w:val="both"/>
        <w:rPr>
          <w:color w:val="auto"/>
          <w:sz w:val="22"/>
          <w:szCs w:val="22"/>
        </w:rPr>
      </w:pPr>
      <w:r>
        <w:rPr>
          <w:color w:val="auto"/>
          <w:sz w:val="22"/>
          <w:szCs w:val="22"/>
        </w:rPr>
        <w:t>Первые внешние признаки утомления. Способы самоконтроля за физической нагрузкой.</w:t>
      </w:r>
    </w:p>
    <w:p w14:paraId="23BEB1E4">
      <w:pPr>
        <w:pStyle w:val="85"/>
        <w:spacing w:before="240"/>
        <w:ind w:firstLine="540"/>
        <w:jc w:val="both"/>
        <w:rPr>
          <w:color w:val="auto"/>
          <w:sz w:val="22"/>
          <w:szCs w:val="22"/>
        </w:rPr>
      </w:pPr>
      <w:r>
        <w:rPr>
          <w:color w:val="auto"/>
          <w:sz w:val="22"/>
          <w:szCs w:val="22"/>
        </w:rPr>
        <w:t>Уход за спортивным инвентарем и оборудованием для занятий роллер спортом.</w:t>
      </w:r>
    </w:p>
    <w:p w14:paraId="6B7B99CD">
      <w:pPr>
        <w:pStyle w:val="85"/>
        <w:spacing w:before="240"/>
        <w:ind w:firstLine="540"/>
        <w:jc w:val="both"/>
        <w:rPr>
          <w:color w:val="auto"/>
          <w:sz w:val="22"/>
          <w:szCs w:val="22"/>
        </w:rPr>
      </w:pPr>
      <w:r>
        <w:rPr>
          <w:color w:val="auto"/>
          <w:sz w:val="22"/>
          <w:szCs w:val="22"/>
        </w:rPr>
        <w:t>Соблюдение личной гигиены, требований к спортивной одежде и инвентарю для занятий роллер спортом.</w:t>
      </w:r>
    </w:p>
    <w:p w14:paraId="08F42109">
      <w:pPr>
        <w:pStyle w:val="85"/>
        <w:spacing w:before="240"/>
        <w:ind w:firstLine="540"/>
        <w:jc w:val="both"/>
        <w:rPr>
          <w:color w:val="auto"/>
          <w:sz w:val="22"/>
          <w:szCs w:val="22"/>
        </w:rPr>
      </w:pPr>
      <w:r>
        <w:rPr>
          <w:color w:val="auto"/>
          <w:sz w:val="22"/>
          <w:szCs w:val="22"/>
        </w:rPr>
        <w:t>Составление комплексов различной направленности: утренней гигиенической гимнастики, корригирующей гимнастики с элементами роллер спорта, дыхательной гимнастики, упражнений для глаз, упражнений формирования осанки и профилактики плоскостопия, упражнений для развития физических качеств; упражнений для укрепления голеностопных суставов.</w:t>
      </w:r>
    </w:p>
    <w:p w14:paraId="12E2925D">
      <w:pPr>
        <w:pStyle w:val="85"/>
        <w:spacing w:before="240"/>
        <w:ind w:firstLine="540"/>
        <w:jc w:val="both"/>
        <w:rPr>
          <w:color w:val="auto"/>
          <w:sz w:val="22"/>
          <w:szCs w:val="22"/>
        </w:rPr>
      </w:pPr>
      <w:r>
        <w:rPr>
          <w:color w:val="auto"/>
          <w:sz w:val="22"/>
          <w:szCs w:val="22"/>
        </w:rPr>
        <w:t>Составление и проведение комплексов общеразвивающих упражнений.</w:t>
      </w:r>
    </w:p>
    <w:p w14:paraId="65AC983F">
      <w:pPr>
        <w:pStyle w:val="85"/>
        <w:spacing w:before="240"/>
        <w:ind w:firstLine="540"/>
        <w:jc w:val="both"/>
        <w:rPr>
          <w:color w:val="auto"/>
          <w:sz w:val="22"/>
          <w:szCs w:val="22"/>
        </w:rPr>
      </w:pPr>
      <w:r>
        <w:rPr>
          <w:color w:val="auto"/>
          <w:sz w:val="22"/>
          <w:szCs w:val="22"/>
        </w:rPr>
        <w:t>Подвижные игры и правила их проведения.</w:t>
      </w:r>
    </w:p>
    <w:p w14:paraId="02944D33">
      <w:pPr>
        <w:pStyle w:val="85"/>
        <w:spacing w:before="240"/>
        <w:ind w:firstLine="540"/>
        <w:jc w:val="both"/>
        <w:rPr>
          <w:color w:val="auto"/>
          <w:sz w:val="22"/>
          <w:szCs w:val="22"/>
        </w:rPr>
      </w:pPr>
      <w:r>
        <w:rPr>
          <w:color w:val="auto"/>
          <w:sz w:val="22"/>
          <w:szCs w:val="22"/>
        </w:rPr>
        <w:t>Организация и проведение игр специальной направленности с элементами роллер спорта.</w:t>
      </w:r>
    </w:p>
    <w:p w14:paraId="11F874F4">
      <w:pPr>
        <w:pStyle w:val="85"/>
        <w:spacing w:before="240"/>
        <w:ind w:firstLine="540"/>
        <w:jc w:val="both"/>
        <w:rPr>
          <w:color w:val="auto"/>
          <w:sz w:val="22"/>
          <w:szCs w:val="22"/>
        </w:rPr>
      </w:pPr>
      <w:r>
        <w:rPr>
          <w:color w:val="auto"/>
          <w:sz w:val="22"/>
          <w:szCs w:val="22"/>
        </w:rPr>
        <w:t>Основы организации самостоятельных занятий роллер спорта со сверстниками.</w:t>
      </w:r>
    </w:p>
    <w:p w14:paraId="07DB838C">
      <w:pPr>
        <w:pStyle w:val="85"/>
        <w:spacing w:before="240"/>
        <w:ind w:firstLine="540"/>
        <w:jc w:val="both"/>
        <w:rPr>
          <w:color w:val="auto"/>
          <w:sz w:val="22"/>
          <w:szCs w:val="22"/>
        </w:rPr>
      </w:pPr>
      <w:r>
        <w:rPr>
          <w:color w:val="auto"/>
          <w:sz w:val="22"/>
          <w:szCs w:val="22"/>
        </w:rPr>
        <w:t>Контрольно-тестовые упражнения по общей и специальной физической подготовке.</w:t>
      </w:r>
    </w:p>
    <w:p w14:paraId="49078C45">
      <w:pPr>
        <w:pStyle w:val="85"/>
        <w:spacing w:before="240"/>
        <w:ind w:firstLine="540"/>
        <w:jc w:val="both"/>
        <w:rPr>
          <w:color w:val="auto"/>
          <w:sz w:val="22"/>
          <w:szCs w:val="22"/>
        </w:rPr>
      </w:pPr>
      <w:r>
        <w:rPr>
          <w:color w:val="auto"/>
          <w:sz w:val="22"/>
          <w:szCs w:val="22"/>
        </w:rPr>
        <w:t>Причины возникновения ошибок при выполнении технических элементов и способы их устранения.</w:t>
      </w:r>
    </w:p>
    <w:p w14:paraId="649E01C4">
      <w:pPr>
        <w:pStyle w:val="85"/>
        <w:spacing w:before="240"/>
        <w:ind w:firstLine="540"/>
        <w:jc w:val="both"/>
        <w:rPr>
          <w:color w:val="auto"/>
          <w:sz w:val="22"/>
          <w:szCs w:val="22"/>
        </w:rPr>
      </w:pPr>
      <w:r>
        <w:rPr>
          <w:color w:val="auto"/>
          <w:sz w:val="22"/>
          <w:szCs w:val="22"/>
        </w:rPr>
        <w:t>Основы анализа собственной игры, игры своей команды и игры команды соперников.</w:t>
      </w:r>
    </w:p>
    <w:p w14:paraId="69BB5BBD">
      <w:pPr>
        <w:pStyle w:val="85"/>
        <w:spacing w:before="240"/>
        <w:ind w:firstLine="540"/>
        <w:jc w:val="both"/>
        <w:rPr>
          <w:color w:val="auto"/>
          <w:sz w:val="22"/>
          <w:szCs w:val="22"/>
        </w:rPr>
      </w:pPr>
      <w:r>
        <w:rPr>
          <w:color w:val="auto"/>
          <w:sz w:val="22"/>
          <w:szCs w:val="22"/>
        </w:rPr>
        <w:t>3) Физическое совершенствование.</w:t>
      </w:r>
    </w:p>
    <w:p w14:paraId="53899004">
      <w:pPr>
        <w:pStyle w:val="85"/>
        <w:spacing w:before="240"/>
        <w:ind w:firstLine="540"/>
        <w:jc w:val="both"/>
        <w:rPr>
          <w:color w:val="auto"/>
          <w:sz w:val="22"/>
          <w:szCs w:val="22"/>
        </w:rPr>
      </w:pPr>
      <w:r>
        <w:rPr>
          <w:color w:val="auto"/>
          <w:sz w:val="22"/>
          <w:szCs w:val="22"/>
        </w:rPr>
        <w:t>Комплексы общеразвивающих и корригирующих упражнений.</w:t>
      </w:r>
    </w:p>
    <w:p w14:paraId="42E768D8">
      <w:pPr>
        <w:pStyle w:val="85"/>
        <w:spacing w:before="240"/>
        <w:ind w:firstLine="540"/>
        <w:jc w:val="both"/>
        <w:rPr>
          <w:color w:val="auto"/>
          <w:sz w:val="22"/>
          <w:szCs w:val="22"/>
        </w:rPr>
      </w:pPr>
      <w:r>
        <w:rPr>
          <w:color w:val="auto"/>
          <w:sz w:val="22"/>
          <w:szCs w:val="22"/>
        </w:rPr>
        <w:t>Упражнения на развитие физических качеств (быстроты, ловкости, гибкости, координации).</w:t>
      </w:r>
    </w:p>
    <w:p w14:paraId="018C90CD">
      <w:pPr>
        <w:pStyle w:val="85"/>
        <w:spacing w:before="240"/>
        <w:ind w:firstLine="540"/>
        <w:jc w:val="both"/>
        <w:rPr>
          <w:color w:val="auto"/>
          <w:sz w:val="22"/>
          <w:szCs w:val="22"/>
        </w:rPr>
      </w:pPr>
      <w:r>
        <w:rPr>
          <w:color w:val="auto"/>
          <w:sz w:val="22"/>
          <w:szCs w:val="22"/>
        </w:rPr>
        <w:t>Комплексы специальных упражнений для формирования технических элементов роллера.</w:t>
      </w:r>
    </w:p>
    <w:p w14:paraId="697BC4A1">
      <w:pPr>
        <w:pStyle w:val="85"/>
        <w:spacing w:before="240"/>
        <w:ind w:firstLine="540"/>
        <w:jc w:val="both"/>
        <w:rPr>
          <w:color w:val="auto"/>
          <w:sz w:val="22"/>
          <w:szCs w:val="22"/>
        </w:rPr>
      </w:pPr>
      <w:r>
        <w:rPr>
          <w:color w:val="auto"/>
          <w:sz w:val="22"/>
          <w:szCs w:val="22"/>
        </w:rPr>
        <w:t>Разминка, ее роль, назначение, средства.</w:t>
      </w:r>
    </w:p>
    <w:p w14:paraId="4B66F7FD">
      <w:pPr>
        <w:pStyle w:val="85"/>
        <w:spacing w:before="240"/>
        <w:ind w:firstLine="540"/>
        <w:jc w:val="both"/>
        <w:rPr>
          <w:color w:val="auto"/>
          <w:sz w:val="22"/>
          <w:szCs w:val="22"/>
        </w:rPr>
      </w:pPr>
      <w:r>
        <w:rPr>
          <w:color w:val="auto"/>
          <w:sz w:val="22"/>
          <w:szCs w:val="22"/>
        </w:rPr>
        <w:t>Комплексы специальной разминки перед соревнованиями по роллер спорту.</w:t>
      </w:r>
    </w:p>
    <w:p w14:paraId="3C7D86E1">
      <w:pPr>
        <w:pStyle w:val="85"/>
        <w:spacing w:before="240"/>
        <w:ind w:firstLine="540"/>
        <w:jc w:val="both"/>
        <w:rPr>
          <w:color w:val="auto"/>
          <w:sz w:val="22"/>
          <w:szCs w:val="22"/>
        </w:rPr>
      </w:pPr>
      <w:r>
        <w:rPr>
          <w:color w:val="auto"/>
          <w:sz w:val="22"/>
          <w:szCs w:val="22"/>
        </w:rPr>
        <w:t>Комплексы корригирующей гимнастики с использованием специальных упражнений из роллер спорта.</w:t>
      </w:r>
    </w:p>
    <w:p w14:paraId="5F9D18E6">
      <w:pPr>
        <w:pStyle w:val="85"/>
        <w:spacing w:before="240"/>
        <w:ind w:firstLine="540"/>
        <w:jc w:val="both"/>
        <w:rPr>
          <w:color w:val="auto"/>
          <w:sz w:val="22"/>
          <w:szCs w:val="22"/>
        </w:rPr>
      </w:pPr>
      <w:r>
        <w:rPr>
          <w:color w:val="auto"/>
          <w:sz w:val="22"/>
          <w:szCs w:val="22"/>
        </w:rPr>
        <w:t>Внешние признаки утомления. Средства восстановления организма после физической нагрузки.</w:t>
      </w:r>
    </w:p>
    <w:p w14:paraId="1B65024F">
      <w:pPr>
        <w:pStyle w:val="85"/>
        <w:spacing w:before="240"/>
        <w:ind w:firstLine="540"/>
        <w:jc w:val="both"/>
        <w:rPr>
          <w:color w:val="auto"/>
          <w:sz w:val="22"/>
          <w:szCs w:val="22"/>
        </w:rPr>
      </w:pPr>
      <w:r>
        <w:rPr>
          <w:color w:val="auto"/>
          <w:sz w:val="22"/>
          <w:szCs w:val="22"/>
        </w:rPr>
        <w:t>Способы индивидуального регулирования физической нагрузки с учетом уровня физического развития и функционального состояния организма.</w:t>
      </w:r>
    </w:p>
    <w:p w14:paraId="185F13A0">
      <w:pPr>
        <w:pStyle w:val="85"/>
        <w:spacing w:before="240"/>
        <w:ind w:firstLine="540"/>
        <w:jc w:val="both"/>
        <w:rPr>
          <w:color w:val="auto"/>
          <w:sz w:val="22"/>
          <w:szCs w:val="22"/>
        </w:rPr>
      </w:pPr>
      <w:r>
        <w:rPr>
          <w:color w:val="auto"/>
          <w:sz w:val="22"/>
          <w:szCs w:val="22"/>
        </w:rPr>
        <w:t>Подвижные игры с предметами и без, эстафеты с элементами роллер спорта.</w:t>
      </w:r>
    </w:p>
    <w:p w14:paraId="56EBB334">
      <w:pPr>
        <w:pStyle w:val="85"/>
        <w:spacing w:before="240"/>
        <w:ind w:firstLine="540"/>
        <w:jc w:val="both"/>
        <w:rPr>
          <w:color w:val="auto"/>
          <w:sz w:val="22"/>
          <w:szCs w:val="22"/>
        </w:rPr>
      </w:pPr>
      <w:r>
        <w:rPr>
          <w:color w:val="auto"/>
          <w:sz w:val="22"/>
          <w:szCs w:val="22"/>
        </w:rPr>
        <w:t>Подвижные игры: "Кто дальше бросит?", "Попади в цель", "Пятнашки", "Лиса и куры", "Прыжки по полоскам", "Караси и щуки", "Третий лишний", "Пустое место", "Белые медведи", "Борьба за мяч", "Перетягивание каната", "Вызов", "Гонка мячей по кругу", "Мяч среднему", "Круговая лапта", "Охотники и утки".</w:t>
      </w:r>
    </w:p>
    <w:p w14:paraId="3800044D">
      <w:pPr>
        <w:pStyle w:val="85"/>
        <w:spacing w:before="240"/>
        <w:ind w:firstLine="540"/>
        <w:jc w:val="both"/>
        <w:rPr>
          <w:color w:val="auto"/>
          <w:sz w:val="22"/>
          <w:szCs w:val="22"/>
        </w:rPr>
      </w:pPr>
      <w:r>
        <w:rPr>
          <w:color w:val="auto"/>
          <w:sz w:val="22"/>
          <w:szCs w:val="22"/>
        </w:rPr>
        <w:t>Подвижные игры, игровые задания для формирования умений и навыков при занятиях роллер спортом: "Меткая клюшка", "Игра с мячом", "Защита крепости", "Взятие города", "Мяч - "печать", "Салочки", "Салки с мячом", "Двухсторонний бильярд" и другие.</w:t>
      </w:r>
    </w:p>
    <w:p w14:paraId="0D123A3B">
      <w:pPr>
        <w:pStyle w:val="85"/>
        <w:spacing w:before="240"/>
        <w:ind w:firstLine="540"/>
        <w:jc w:val="both"/>
        <w:rPr>
          <w:color w:val="auto"/>
          <w:sz w:val="22"/>
          <w:szCs w:val="22"/>
        </w:rPr>
      </w:pPr>
      <w:r>
        <w:rPr>
          <w:color w:val="auto"/>
          <w:sz w:val="22"/>
          <w:szCs w:val="22"/>
        </w:rPr>
        <w:t>Эстафеты на развитие физических и специальных качеств.</w:t>
      </w:r>
    </w:p>
    <w:p w14:paraId="1CBC8496">
      <w:pPr>
        <w:pStyle w:val="85"/>
        <w:spacing w:before="240"/>
        <w:ind w:firstLine="540"/>
        <w:jc w:val="both"/>
        <w:rPr>
          <w:color w:val="auto"/>
          <w:sz w:val="22"/>
          <w:szCs w:val="22"/>
        </w:rPr>
      </w:pPr>
      <w:r>
        <w:rPr>
          <w:color w:val="auto"/>
          <w:sz w:val="22"/>
          <w:szCs w:val="22"/>
        </w:rPr>
        <w:t>Техника фигуриста: вращения (винт, волчок, либела), прыжки (аксель, риттбергер, сальхов, тулуп, флип, лутц), хореографические элементы, шаги (дуги, перетяжки, тройки, петли), спирали (ласточка, кораблик, пистолетик).</w:t>
      </w:r>
    </w:p>
    <w:p w14:paraId="735E0102">
      <w:pPr>
        <w:pStyle w:val="85"/>
        <w:spacing w:before="240"/>
        <w:ind w:firstLine="540"/>
        <w:jc w:val="both"/>
        <w:rPr>
          <w:color w:val="auto"/>
          <w:sz w:val="22"/>
          <w:szCs w:val="22"/>
        </w:rPr>
      </w:pPr>
      <w:r>
        <w:rPr>
          <w:color w:val="auto"/>
          <w:sz w:val="22"/>
          <w:szCs w:val="22"/>
        </w:rPr>
        <w:t>Техника фристайл-слалома: базовые элементы (змейка, монолайн, восьмерка, на одной ноге вперед и назад, движение вперед и назад на переднем и заднем колесе), силовые, растяжные (кораблик, бабочка), балансовые, вращательные, реверсивные.</w:t>
      </w:r>
    </w:p>
    <w:p w14:paraId="55C1B4C5">
      <w:pPr>
        <w:pStyle w:val="85"/>
        <w:spacing w:before="240"/>
        <w:ind w:firstLine="540"/>
        <w:jc w:val="both"/>
        <w:rPr>
          <w:color w:val="auto"/>
          <w:sz w:val="22"/>
          <w:szCs w:val="22"/>
        </w:rPr>
      </w:pPr>
      <w:r>
        <w:rPr>
          <w:color w:val="auto"/>
          <w:sz w:val="22"/>
          <w:szCs w:val="22"/>
        </w:rPr>
        <w:t>Техника спидскейтинга: базовые элементы (посадка, перекаты, баланс, отталкивание, группировка, прохождение виражей и стартовый отрезок), профессиональные (двойное отталкивание).</w:t>
      </w:r>
    </w:p>
    <w:p w14:paraId="26FC6251">
      <w:pPr>
        <w:pStyle w:val="85"/>
        <w:spacing w:before="240"/>
        <w:ind w:firstLine="540"/>
        <w:jc w:val="both"/>
        <w:rPr>
          <w:color w:val="auto"/>
          <w:sz w:val="22"/>
          <w:szCs w:val="22"/>
        </w:rPr>
      </w:pPr>
      <w:r>
        <w:rPr>
          <w:color w:val="auto"/>
          <w:sz w:val="22"/>
          <w:szCs w:val="22"/>
        </w:rPr>
        <w:t>Техника фристайл - слалома - прыжок в высоту: базовые элементы, прыжок в высоту.</w:t>
      </w:r>
    </w:p>
    <w:p w14:paraId="38679DB1">
      <w:pPr>
        <w:pStyle w:val="85"/>
        <w:spacing w:before="240"/>
        <w:ind w:firstLine="540"/>
        <w:jc w:val="both"/>
        <w:rPr>
          <w:color w:val="auto"/>
          <w:sz w:val="22"/>
          <w:szCs w:val="22"/>
        </w:rPr>
      </w:pPr>
      <w:r>
        <w:rPr>
          <w:color w:val="auto"/>
          <w:sz w:val="22"/>
          <w:szCs w:val="22"/>
        </w:rPr>
        <w:t>Техника слайдов: базовые элементы, слайды опорно-скользящие, просто скользящие, свободно-скользящие.</w:t>
      </w:r>
    </w:p>
    <w:p w14:paraId="4DE786B0">
      <w:pPr>
        <w:pStyle w:val="85"/>
        <w:spacing w:before="240"/>
        <w:ind w:firstLine="540"/>
        <w:jc w:val="both"/>
        <w:rPr>
          <w:color w:val="auto"/>
          <w:sz w:val="22"/>
          <w:szCs w:val="22"/>
        </w:rPr>
      </w:pPr>
      <w:r>
        <w:rPr>
          <w:color w:val="auto"/>
          <w:sz w:val="22"/>
          <w:szCs w:val="22"/>
        </w:rPr>
        <w:t>Техника дисциплины самокат: базовые элементы (стойка, на одной ноге, на двух ногах), базовые движения, повороты, способы торможения.</w:t>
      </w:r>
    </w:p>
    <w:p w14:paraId="2512CC52">
      <w:pPr>
        <w:pStyle w:val="85"/>
        <w:spacing w:before="240"/>
        <w:ind w:firstLine="540"/>
        <w:jc w:val="both"/>
        <w:rPr>
          <w:color w:val="auto"/>
          <w:sz w:val="22"/>
          <w:szCs w:val="22"/>
        </w:rPr>
      </w:pPr>
      <w:r>
        <w:rPr>
          <w:color w:val="auto"/>
          <w:sz w:val="22"/>
          <w:szCs w:val="22"/>
        </w:rPr>
        <w:t>Учебные игры в роллер спорте. Малые (упрощенные) игры в технико-тактической подготовке хоккея на роликовых коньках.</w:t>
      </w:r>
    </w:p>
    <w:p w14:paraId="7C1762FB">
      <w:pPr>
        <w:pStyle w:val="85"/>
        <w:spacing w:before="240"/>
        <w:ind w:firstLine="540"/>
        <w:jc w:val="both"/>
        <w:rPr>
          <w:color w:val="auto"/>
          <w:sz w:val="22"/>
          <w:szCs w:val="22"/>
        </w:rPr>
      </w:pPr>
      <w:r>
        <w:rPr>
          <w:color w:val="auto"/>
          <w:sz w:val="22"/>
          <w:szCs w:val="22"/>
        </w:rPr>
        <w:t>Техника катания роллера и индивидуальные технические приемы в перемещении на роликовых коньках, владения клюшкой и мячом полевого игрока: ведение, удар, бросок, передача, прием, обводка и обыгрывание, отбор и перехват, розыгрыш спорной шайбы.</w:t>
      </w:r>
    </w:p>
    <w:p w14:paraId="1BB2CD2D">
      <w:pPr>
        <w:pStyle w:val="85"/>
        <w:spacing w:before="240"/>
        <w:ind w:firstLine="540"/>
        <w:jc w:val="both"/>
        <w:rPr>
          <w:color w:val="auto"/>
          <w:sz w:val="22"/>
          <w:szCs w:val="22"/>
        </w:rPr>
      </w:pPr>
      <w:r>
        <w:rPr>
          <w:color w:val="auto"/>
          <w:sz w:val="22"/>
          <w:szCs w:val="22"/>
        </w:rPr>
        <w:t>Ведение шайбы: различными способами дриблинга (с перекладыванием, способом "пятка-носок"); без отрыва шайбы от крюка клюшки; ведение шайбы толчками (ударами); ведение, прикрывая шайбу корпусом; смешанный способ ведения шайбы.</w:t>
      </w:r>
    </w:p>
    <w:p w14:paraId="0AF4C71A">
      <w:pPr>
        <w:pStyle w:val="85"/>
        <w:spacing w:before="240"/>
        <w:ind w:firstLine="540"/>
        <w:jc w:val="both"/>
        <w:rPr>
          <w:color w:val="auto"/>
          <w:sz w:val="22"/>
          <w:szCs w:val="22"/>
        </w:rPr>
      </w:pPr>
      <w:r>
        <w:rPr>
          <w:color w:val="auto"/>
          <w:sz w:val="22"/>
          <w:szCs w:val="22"/>
        </w:rPr>
        <w:t>Передача шайбы: броском и ударов, низом и верхом, неудобной стороной.</w:t>
      </w:r>
    </w:p>
    <w:p w14:paraId="73DBDC32">
      <w:pPr>
        <w:pStyle w:val="85"/>
        <w:spacing w:before="240"/>
        <w:ind w:firstLine="540"/>
        <w:jc w:val="both"/>
        <w:rPr>
          <w:color w:val="auto"/>
          <w:sz w:val="22"/>
          <w:szCs w:val="22"/>
        </w:rPr>
      </w:pPr>
      <w:r>
        <w:rPr>
          <w:color w:val="auto"/>
          <w:sz w:val="22"/>
          <w:szCs w:val="22"/>
        </w:rPr>
        <w:t>Прием шайбы: прием мяча с уступающим движением крюка клюшки (в захват), прием без уступающего движения крюка клюшки (подставка клюшки), прием шайбы корпусом и ногой, прием летной шайбы клюшкой.</w:t>
      </w:r>
    </w:p>
    <w:p w14:paraId="56A26462">
      <w:pPr>
        <w:pStyle w:val="85"/>
        <w:spacing w:before="240"/>
        <w:ind w:firstLine="540"/>
        <w:jc w:val="both"/>
        <w:rPr>
          <w:color w:val="auto"/>
          <w:sz w:val="22"/>
          <w:szCs w:val="22"/>
        </w:rPr>
      </w:pPr>
      <w:r>
        <w:rPr>
          <w:color w:val="auto"/>
          <w:sz w:val="22"/>
          <w:szCs w:val="22"/>
        </w:rPr>
        <w:t>Бросок шайбы: заметающий, кистевой, с дуги, с неудобной стороны.</w:t>
      </w:r>
    </w:p>
    <w:p w14:paraId="56E30D31">
      <w:pPr>
        <w:pStyle w:val="85"/>
        <w:spacing w:before="240"/>
        <w:ind w:firstLine="540"/>
        <w:jc w:val="both"/>
        <w:rPr>
          <w:color w:val="auto"/>
          <w:sz w:val="22"/>
          <w:szCs w:val="22"/>
        </w:rPr>
      </w:pPr>
      <w:r>
        <w:rPr>
          <w:color w:val="auto"/>
          <w:sz w:val="22"/>
          <w:szCs w:val="22"/>
        </w:rPr>
        <w:t>Удар по шайбе: заметающий, удар-щелчок, прямой удар, удар с неудобной стороны, удар по летной шайбе.</w:t>
      </w:r>
    </w:p>
    <w:p w14:paraId="122EE7CE">
      <w:pPr>
        <w:pStyle w:val="85"/>
        <w:spacing w:before="240"/>
        <w:ind w:firstLine="540"/>
        <w:jc w:val="both"/>
        <w:rPr>
          <w:color w:val="auto"/>
          <w:sz w:val="22"/>
          <w:szCs w:val="22"/>
        </w:rPr>
      </w:pPr>
      <w:r>
        <w:rPr>
          <w:color w:val="auto"/>
          <w:sz w:val="22"/>
          <w:szCs w:val="22"/>
        </w:rPr>
        <w:t>Обводка и обыгрывание: обеганием соперника, прокидкой или пробросом шайбы, с помощью элементов дриблинга, при помощи обманных движений (финтов).</w:t>
      </w:r>
    </w:p>
    <w:p w14:paraId="4C1569DA">
      <w:pPr>
        <w:pStyle w:val="85"/>
        <w:spacing w:before="240"/>
        <w:ind w:firstLine="540"/>
        <w:jc w:val="both"/>
        <w:rPr>
          <w:color w:val="auto"/>
          <w:sz w:val="22"/>
          <w:szCs w:val="22"/>
        </w:rPr>
      </w:pPr>
      <w:r>
        <w:rPr>
          <w:color w:val="auto"/>
          <w:sz w:val="22"/>
          <w:szCs w:val="22"/>
        </w:rPr>
        <w:t>Отбор шайбы (в момент приема и во время ведения): выбивание или вытаскивание. Перехват шайбы: клюшкой, ногой, корпусом.</w:t>
      </w:r>
    </w:p>
    <w:p w14:paraId="7B1F8F54">
      <w:pPr>
        <w:pStyle w:val="85"/>
        <w:spacing w:before="240"/>
        <w:ind w:firstLine="540"/>
        <w:jc w:val="both"/>
        <w:rPr>
          <w:color w:val="auto"/>
          <w:sz w:val="22"/>
          <w:szCs w:val="22"/>
        </w:rPr>
      </w:pPr>
      <w:r>
        <w:rPr>
          <w:color w:val="auto"/>
          <w:sz w:val="22"/>
          <w:szCs w:val="22"/>
        </w:rPr>
        <w:t>Розыгрыш спорной шайбы: выигрыш носком пера клюшки на себя, выбивание, продавливание.</w:t>
      </w:r>
    </w:p>
    <w:p w14:paraId="4B07E250">
      <w:pPr>
        <w:pStyle w:val="85"/>
        <w:spacing w:before="240"/>
        <w:ind w:firstLine="540"/>
        <w:jc w:val="both"/>
        <w:rPr>
          <w:color w:val="auto"/>
          <w:sz w:val="22"/>
          <w:szCs w:val="22"/>
        </w:rPr>
      </w:pPr>
      <w:r>
        <w:rPr>
          <w:color w:val="auto"/>
          <w:sz w:val="22"/>
          <w:szCs w:val="22"/>
        </w:rPr>
        <w:t>Техника игры вратаря: стойка (высокая, средняя, низкая); элементы техники перемещения (приставными шагами, стоя на коленях; на коленях толчком одной или двумя руками от пола; отталкиванием ногой от пола со стойки на колене, смешанный тип); элементы техники противодействия и овладения шайбой (парирование - отбивание шайбы ногой, рукой, туловищем, головой; ловля - одной или двумя руками, накрывание); элементы техники нападения (передача шайбы рукой).</w:t>
      </w:r>
    </w:p>
    <w:p w14:paraId="2B540A96">
      <w:pPr>
        <w:pStyle w:val="85"/>
        <w:spacing w:before="240"/>
        <w:ind w:firstLine="540"/>
        <w:jc w:val="both"/>
        <w:rPr>
          <w:color w:val="auto"/>
          <w:sz w:val="22"/>
          <w:szCs w:val="22"/>
        </w:rPr>
      </w:pPr>
      <w:r>
        <w:rPr>
          <w:color w:val="auto"/>
          <w:sz w:val="22"/>
          <w:szCs w:val="22"/>
        </w:rPr>
        <w:t>Тактические действия (индивидуальные и групповые): тактические комбинации и различные взаимодействия в парах, тройках, группах; тактические действия с учетом игровых амплуа в команде; быстрые переключения в действиях - от нападения к защите и от защиты к нападению.</w:t>
      </w:r>
    </w:p>
    <w:p w14:paraId="2E9907E1">
      <w:pPr>
        <w:pStyle w:val="85"/>
        <w:spacing w:before="240"/>
        <w:ind w:firstLine="540"/>
        <w:jc w:val="both"/>
        <w:rPr>
          <w:color w:val="auto"/>
          <w:sz w:val="22"/>
          <w:szCs w:val="22"/>
        </w:rPr>
      </w:pPr>
      <w:r>
        <w:rPr>
          <w:color w:val="auto"/>
          <w:sz w:val="22"/>
          <w:szCs w:val="22"/>
        </w:rPr>
        <w:t>Участие в соревновательной деятельности.</w:t>
      </w:r>
    </w:p>
    <w:p w14:paraId="753436DA">
      <w:pPr>
        <w:pStyle w:val="85"/>
        <w:spacing w:before="240"/>
        <w:ind w:firstLine="540"/>
        <w:jc w:val="both"/>
        <w:rPr>
          <w:color w:val="auto"/>
          <w:sz w:val="22"/>
          <w:szCs w:val="22"/>
        </w:rPr>
      </w:pPr>
      <w:r>
        <w:rPr>
          <w:color w:val="auto"/>
          <w:sz w:val="22"/>
          <w:szCs w:val="22"/>
        </w:rPr>
        <w:t>16.4.18.7. Содержание модуля "Роллер спорт" направлено на достижение обучающимися личностных, метапредметных и предметных результатов обучения.</w:t>
      </w:r>
    </w:p>
    <w:p w14:paraId="5E89B23A">
      <w:pPr>
        <w:pStyle w:val="85"/>
        <w:spacing w:before="240"/>
        <w:ind w:firstLine="540"/>
        <w:jc w:val="both"/>
        <w:rPr>
          <w:color w:val="auto"/>
          <w:sz w:val="22"/>
          <w:szCs w:val="22"/>
        </w:rPr>
      </w:pPr>
      <w:r>
        <w:rPr>
          <w:color w:val="auto"/>
          <w:sz w:val="22"/>
          <w:szCs w:val="22"/>
        </w:rPr>
        <w:t>16.4.18.7.1. При изучении модуля "Роллер спорт" на уровне начального общего образования у обучающихся будут сформированы следующие личностные результаты:</w:t>
      </w:r>
    </w:p>
    <w:p w14:paraId="25E2BAB7">
      <w:pPr>
        <w:pStyle w:val="85"/>
        <w:spacing w:before="240"/>
        <w:ind w:firstLine="540"/>
        <w:jc w:val="both"/>
        <w:rPr>
          <w:color w:val="auto"/>
          <w:sz w:val="22"/>
          <w:szCs w:val="22"/>
        </w:rPr>
      </w:pPr>
      <w:r>
        <w:rPr>
          <w:color w:val="auto"/>
          <w:sz w:val="22"/>
          <w:szCs w:val="22"/>
        </w:rPr>
        <w:t>проявление чувства гордости за свою Родину, российский народ и историю России через знание истории и современного состояния развития роллер спорта;</w:t>
      </w:r>
    </w:p>
    <w:p w14:paraId="0889EC77">
      <w:pPr>
        <w:pStyle w:val="85"/>
        <w:spacing w:before="240"/>
        <w:ind w:firstLine="540"/>
        <w:jc w:val="both"/>
        <w:rPr>
          <w:color w:val="auto"/>
          <w:sz w:val="22"/>
          <w:szCs w:val="22"/>
        </w:rPr>
      </w:pPr>
      <w:r>
        <w:rPr>
          <w:color w:val="auto"/>
          <w:sz w:val="22"/>
          <w:szCs w:val="22"/>
        </w:rPr>
        <w:t>проявление уважительного отношения к сверстникам, культуры общения и взаимодействия, нравственного поведения, проявление положительных качеств личности, осознанного и ответственного отношения к собственным поступкам, решение проблем в процессе занятий роллер спортом;</w:t>
      </w:r>
    </w:p>
    <w:p w14:paraId="3FABD7F9">
      <w:pPr>
        <w:pStyle w:val="85"/>
        <w:spacing w:before="240"/>
        <w:ind w:firstLine="540"/>
        <w:jc w:val="both"/>
        <w:rPr>
          <w:color w:val="auto"/>
          <w:sz w:val="22"/>
          <w:szCs w:val="22"/>
        </w:rPr>
      </w:pPr>
      <w:r>
        <w:rPr>
          <w:color w:val="auto"/>
          <w:sz w:val="22"/>
          <w:szCs w:val="22"/>
        </w:rPr>
        <w:t>понимание ценности здорового и безопасного образа жизни, усвоение правил безопасного поведения в учебной, соревновательной, досуговой деятельности и чрезвычайных ситуациях при занятии роллер спортом.</w:t>
      </w:r>
    </w:p>
    <w:p w14:paraId="5AD76186">
      <w:pPr>
        <w:pStyle w:val="85"/>
        <w:spacing w:before="240"/>
        <w:ind w:firstLine="540"/>
        <w:jc w:val="both"/>
        <w:rPr>
          <w:color w:val="auto"/>
          <w:sz w:val="22"/>
          <w:szCs w:val="22"/>
        </w:rPr>
      </w:pPr>
      <w:r>
        <w:rPr>
          <w:color w:val="auto"/>
          <w:sz w:val="22"/>
          <w:szCs w:val="22"/>
        </w:rPr>
        <w:t>16.4.18.7.2. При изучении модуля "Роллер спорт" на уровне начального общего образования у обучающихся будут сформированы следующие метапредметные результаты:</w:t>
      </w:r>
    </w:p>
    <w:p w14:paraId="75B49E38">
      <w:pPr>
        <w:pStyle w:val="85"/>
        <w:spacing w:before="240"/>
        <w:ind w:firstLine="540"/>
        <w:jc w:val="both"/>
        <w:rPr>
          <w:color w:val="auto"/>
          <w:sz w:val="22"/>
          <w:szCs w:val="22"/>
        </w:rPr>
      </w:pPr>
      <w:r>
        <w:rPr>
          <w:color w:val="auto"/>
          <w:sz w:val="22"/>
          <w:szCs w:val="22"/>
        </w:rPr>
        <w:t>способность самостоятельно определять цели своего обучения средствами роллер спорта и составлять планы в рамках физкультурно-спортивной деятельности; выбирать успешную стратегию и тактику в различных ситуациях;</w:t>
      </w:r>
    </w:p>
    <w:p w14:paraId="6C634059">
      <w:pPr>
        <w:pStyle w:val="85"/>
        <w:spacing w:before="240"/>
        <w:ind w:firstLine="540"/>
        <w:jc w:val="both"/>
        <w:rPr>
          <w:color w:val="auto"/>
          <w:sz w:val="22"/>
          <w:szCs w:val="22"/>
        </w:rPr>
      </w:pPr>
      <w:r>
        <w:rPr>
          <w:color w:val="auto"/>
          <w:sz w:val="22"/>
          <w:szCs w:val="22"/>
        </w:rPr>
        <w:t>умение самостоятельно планировать пути достижения целей, в том числе альтернативные, осознанно выбирать наиболее эффективные способы решения задач в учебной, игровой, соревновательной и досуговой деятельности, оценивать правильность выполнения задач, собственные возможности их решения;</w:t>
      </w:r>
    </w:p>
    <w:p w14:paraId="75AA13B0">
      <w:pPr>
        <w:pStyle w:val="85"/>
        <w:spacing w:before="240"/>
        <w:ind w:firstLine="540"/>
        <w:jc w:val="both"/>
        <w:rPr>
          <w:color w:val="auto"/>
          <w:sz w:val="22"/>
          <w:szCs w:val="22"/>
        </w:rPr>
      </w:pPr>
      <w:r>
        <w:rPr>
          <w:color w:val="auto"/>
          <w:sz w:val="22"/>
          <w:szCs w:val="22"/>
        </w:rPr>
        <w:t>владение основами самоконтроля, самооценки, принятия решений и осуществления осознанного выбора в учебной и познавательной деятельности;</w:t>
      </w:r>
    </w:p>
    <w:p w14:paraId="1AA48AC0">
      <w:pPr>
        <w:pStyle w:val="85"/>
        <w:spacing w:before="240"/>
        <w:ind w:firstLine="540"/>
        <w:jc w:val="both"/>
        <w:rPr>
          <w:color w:val="auto"/>
          <w:sz w:val="22"/>
          <w:szCs w:val="22"/>
        </w:rPr>
      </w:pPr>
      <w:r>
        <w:rPr>
          <w:color w:val="auto"/>
          <w:sz w:val="22"/>
          <w:szCs w:val="22"/>
        </w:rPr>
        <w:t>умение организовывать совместную деятельность с учителем и сверстниками, работать индивидуально и в группе, формулировать, аргументировать и отстаивать свое мнение, соблюдать нормы информационной избирательности, этики и этикета.</w:t>
      </w:r>
    </w:p>
    <w:p w14:paraId="06EDF119">
      <w:pPr>
        <w:pStyle w:val="85"/>
        <w:spacing w:before="240"/>
        <w:ind w:firstLine="540"/>
        <w:jc w:val="both"/>
        <w:rPr>
          <w:color w:val="auto"/>
          <w:sz w:val="22"/>
          <w:szCs w:val="22"/>
        </w:rPr>
      </w:pPr>
      <w:r>
        <w:rPr>
          <w:color w:val="auto"/>
          <w:sz w:val="22"/>
          <w:szCs w:val="22"/>
        </w:rPr>
        <w:t>16.4.18.7.3. При изучении модуля "Роллер спорт" на уровне начального общего образования у обучающихся будут сформированы следующие предметные результаты:</w:t>
      </w:r>
    </w:p>
    <w:p w14:paraId="4C8B4F10">
      <w:pPr>
        <w:pStyle w:val="85"/>
        <w:spacing w:before="240"/>
        <w:ind w:firstLine="540"/>
        <w:jc w:val="both"/>
        <w:rPr>
          <w:color w:val="auto"/>
          <w:sz w:val="22"/>
          <w:szCs w:val="22"/>
        </w:rPr>
      </w:pPr>
      <w:r>
        <w:rPr>
          <w:color w:val="auto"/>
          <w:sz w:val="22"/>
          <w:szCs w:val="22"/>
        </w:rPr>
        <w:t>понимание значения занятий роллер спортом как средством укрепления здоровья, закаливания и развития физических качеств человека;</w:t>
      </w:r>
    </w:p>
    <w:p w14:paraId="099B9D4B">
      <w:pPr>
        <w:pStyle w:val="85"/>
        <w:spacing w:before="240"/>
        <w:ind w:firstLine="540"/>
        <w:jc w:val="both"/>
        <w:rPr>
          <w:color w:val="auto"/>
          <w:sz w:val="22"/>
          <w:szCs w:val="22"/>
        </w:rPr>
      </w:pPr>
      <w:r>
        <w:rPr>
          <w:color w:val="auto"/>
          <w:sz w:val="22"/>
          <w:szCs w:val="22"/>
        </w:rPr>
        <w:t>сформированность знаний по истории возникновения роллер спорта и в Российской Федерации;</w:t>
      </w:r>
    </w:p>
    <w:p w14:paraId="124387D9">
      <w:pPr>
        <w:pStyle w:val="85"/>
        <w:spacing w:before="240"/>
        <w:ind w:firstLine="540"/>
        <w:jc w:val="both"/>
        <w:rPr>
          <w:color w:val="auto"/>
          <w:sz w:val="22"/>
          <w:szCs w:val="22"/>
        </w:rPr>
      </w:pPr>
      <w:r>
        <w:rPr>
          <w:color w:val="auto"/>
          <w:sz w:val="22"/>
          <w:szCs w:val="22"/>
        </w:rPr>
        <w:t>сформированность представлений о направлениях роллер спорта и основных правилах данных направлений; терминологии по роллер спорту;</w:t>
      </w:r>
    </w:p>
    <w:p w14:paraId="764A3978">
      <w:pPr>
        <w:pStyle w:val="85"/>
        <w:spacing w:before="240"/>
        <w:ind w:firstLine="540"/>
        <w:jc w:val="both"/>
        <w:rPr>
          <w:color w:val="auto"/>
          <w:sz w:val="22"/>
          <w:szCs w:val="22"/>
        </w:rPr>
      </w:pPr>
      <w:r>
        <w:rPr>
          <w:color w:val="auto"/>
          <w:sz w:val="22"/>
          <w:szCs w:val="22"/>
        </w:rPr>
        <w:t>сформированность навыков безопасного поведения во время занятий роллер спортом; правил личной гигиены, требований к спортивной одежде и обуви, спортивному инвентарю для занятий роллер спортом;</w:t>
      </w:r>
    </w:p>
    <w:p w14:paraId="62F848CA">
      <w:pPr>
        <w:pStyle w:val="85"/>
        <w:spacing w:before="240"/>
        <w:ind w:firstLine="540"/>
        <w:jc w:val="both"/>
        <w:rPr>
          <w:color w:val="auto"/>
          <w:sz w:val="22"/>
          <w:szCs w:val="22"/>
        </w:rPr>
      </w:pPr>
      <w:r>
        <w:rPr>
          <w:color w:val="auto"/>
          <w:sz w:val="22"/>
          <w:szCs w:val="22"/>
        </w:rPr>
        <w:t>сформированность навыка систематического наблюдения за своим физическим состоянием, величиной физических нагрузок, показателями физического развития и основных физических качеств;</w:t>
      </w:r>
    </w:p>
    <w:p w14:paraId="0C4922B3">
      <w:pPr>
        <w:pStyle w:val="85"/>
        <w:spacing w:before="240"/>
        <w:ind w:firstLine="540"/>
        <w:jc w:val="both"/>
        <w:rPr>
          <w:color w:val="auto"/>
          <w:sz w:val="22"/>
          <w:szCs w:val="22"/>
        </w:rPr>
      </w:pPr>
      <w:r>
        <w:rPr>
          <w:color w:val="auto"/>
          <w:sz w:val="22"/>
          <w:szCs w:val="22"/>
        </w:rPr>
        <w:t>сформированность основ организации самостоятельных занятий роллер спортом со сверстниками; организация и проведение со сверстниками подвижных игр специальной направленности с элементами роллер спорта;</w:t>
      </w:r>
    </w:p>
    <w:p w14:paraId="017A6C98">
      <w:pPr>
        <w:pStyle w:val="85"/>
        <w:spacing w:before="240"/>
        <w:ind w:firstLine="540"/>
        <w:jc w:val="both"/>
        <w:rPr>
          <w:color w:val="auto"/>
          <w:sz w:val="22"/>
          <w:szCs w:val="22"/>
        </w:rPr>
      </w:pPr>
      <w:r>
        <w:rPr>
          <w:color w:val="auto"/>
          <w:sz w:val="22"/>
          <w:szCs w:val="22"/>
        </w:rPr>
        <w:t>умение составлять и выполнять комплексы общеразвивающих и корригирующих упражнений; упражнений на развитие быстроты, ловкости, гибкости; специальных упражнений для формирования технических умений и навыков роллера, методики их выполнения;</w:t>
      </w:r>
    </w:p>
    <w:p w14:paraId="2AD9C759">
      <w:pPr>
        <w:pStyle w:val="85"/>
        <w:spacing w:before="240"/>
        <w:ind w:firstLine="540"/>
        <w:jc w:val="both"/>
        <w:rPr>
          <w:color w:val="auto"/>
          <w:sz w:val="22"/>
          <w:szCs w:val="22"/>
        </w:rPr>
      </w:pPr>
      <w:r>
        <w:rPr>
          <w:color w:val="auto"/>
          <w:sz w:val="22"/>
          <w:szCs w:val="22"/>
        </w:rPr>
        <w:t>способность выполнять различные виды передвижений на роликовых коньках и самокате: на двух ногах, на одной ноге, способы торможения, повороты с изменением скорости, темпа и дистанции в учебной, игровой и соревновательной деятельности;</w:t>
      </w:r>
    </w:p>
    <w:p w14:paraId="5C9873DE">
      <w:pPr>
        <w:pStyle w:val="85"/>
        <w:spacing w:before="240"/>
        <w:ind w:firstLine="540"/>
        <w:jc w:val="both"/>
        <w:rPr>
          <w:color w:val="auto"/>
          <w:sz w:val="22"/>
          <w:szCs w:val="22"/>
        </w:rPr>
      </w:pPr>
      <w:r>
        <w:rPr>
          <w:color w:val="auto"/>
          <w:sz w:val="22"/>
          <w:szCs w:val="22"/>
        </w:rPr>
        <w:t>способность выполнять индивидуальные технические элементы (приемы) хоккея на роликах, фигурного катания на роликовых коньках, фристайл-слалома, спидскейтинга, самоката;</w:t>
      </w:r>
    </w:p>
    <w:p w14:paraId="77E911A7">
      <w:pPr>
        <w:pStyle w:val="85"/>
        <w:spacing w:before="240"/>
        <w:ind w:firstLine="540"/>
        <w:jc w:val="both"/>
        <w:rPr>
          <w:color w:val="auto"/>
          <w:sz w:val="22"/>
          <w:szCs w:val="22"/>
        </w:rPr>
      </w:pPr>
      <w:r>
        <w:rPr>
          <w:color w:val="auto"/>
          <w:sz w:val="22"/>
          <w:szCs w:val="22"/>
        </w:rPr>
        <w:t>способность выполнять элементарные тактические комбинации: в парах, в тройках; тактические действия с учетом игровых амплуа в команде (хоккей на роликах), способность выполнять элементы в парах (фигурное катание на роликовых коньках);</w:t>
      </w:r>
    </w:p>
    <w:p w14:paraId="50197B6A">
      <w:pPr>
        <w:pStyle w:val="85"/>
        <w:spacing w:before="240"/>
        <w:ind w:firstLine="540"/>
        <w:jc w:val="both"/>
        <w:rPr>
          <w:color w:val="auto"/>
          <w:sz w:val="22"/>
          <w:szCs w:val="22"/>
        </w:rPr>
      </w:pPr>
      <w:r>
        <w:rPr>
          <w:color w:val="auto"/>
          <w:sz w:val="22"/>
          <w:szCs w:val="22"/>
        </w:rPr>
        <w:t>способность анализировать выполнение технического действия (приема) и находить способы устранения ошибок;</w:t>
      </w:r>
    </w:p>
    <w:p w14:paraId="3AF34849">
      <w:pPr>
        <w:pStyle w:val="85"/>
        <w:spacing w:before="240"/>
        <w:ind w:firstLine="540"/>
        <w:jc w:val="both"/>
        <w:rPr>
          <w:color w:val="auto"/>
          <w:sz w:val="22"/>
          <w:szCs w:val="22"/>
        </w:rPr>
      </w:pPr>
      <w:r>
        <w:rPr>
          <w:color w:val="auto"/>
          <w:sz w:val="22"/>
          <w:szCs w:val="22"/>
        </w:rPr>
        <w:t>умение выполнять контрольно-тестовые упражнения по общей и специальной физической подготовке и оценку показателей физической подготовленности;</w:t>
      </w:r>
    </w:p>
    <w:p w14:paraId="1700E630">
      <w:pPr>
        <w:pStyle w:val="85"/>
        <w:spacing w:before="240"/>
        <w:ind w:firstLine="540"/>
        <w:jc w:val="both"/>
        <w:rPr>
          <w:color w:val="auto"/>
          <w:sz w:val="22"/>
          <w:szCs w:val="22"/>
        </w:rPr>
      </w:pPr>
      <w:r>
        <w:rPr>
          <w:color w:val="auto"/>
          <w:sz w:val="22"/>
          <w:szCs w:val="22"/>
        </w:rPr>
        <w:t>умение демонстрировать во время учебной и игровой деятельности волевые, социальные качества личности, организованность, ответственность;</w:t>
      </w:r>
    </w:p>
    <w:p w14:paraId="160EF7CB">
      <w:pPr>
        <w:pStyle w:val="85"/>
        <w:spacing w:before="240"/>
        <w:ind w:firstLine="540"/>
        <w:jc w:val="both"/>
        <w:rPr>
          <w:color w:val="auto"/>
          <w:sz w:val="22"/>
          <w:szCs w:val="22"/>
        </w:rPr>
      </w:pPr>
      <w:r>
        <w:rPr>
          <w:color w:val="auto"/>
          <w:sz w:val="22"/>
          <w:szCs w:val="22"/>
        </w:rPr>
        <w:t>способность проявлять: уважительное отношение к одноклассникам, культуру общения и взаимодействия, терпимости  в достижении общих целей в учебной и игровой деятельности на занятиях роллер спортом.</w:t>
      </w:r>
    </w:p>
    <w:p w14:paraId="2864FFF8">
      <w:pPr>
        <w:pStyle w:val="85"/>
        <w:spacing w:before="240"/>
        <w:ind w:firstLine="540"/>
        <w:jc w:val="both"/>
        <w:rPr>
          <w:color w:val="auto"/>
          <w:sz w:val="22"/>
          <w:szCs w:val="22"/>
        </w:rPr>
      </w:pPr>
      <w:r>
        <w:rPr>
          <w:color w:val="auto"/>
          <w:sz w:val="22"/>
          <w:szCs w:val="22"/>
        </w:rPr>
        <w:t>16.4.19. Модуль "Скалолазание".</w:t>
      </w:r>
    </w:p>
    <w:p w14:paraId="6F6C8AE4">
      <w:pPr>
        <w:pStyle w:val="85"/>
        <w:spacing w:before="240"/>
        <w:ind w:firstLine="540"/>
        <w:jc w:val="both"/>
        <w:rPr>
          <w:color w:val="auto"/>
          <w:sz w:val="22"/>
          <w:szCs w:val="22"/>
        </w:rPr>
      </w:pPr>
      <w:r>
        <w:rPr>
          <w:color w:val="auto"/>
          <w:sz w:val="22"/>
          <w:szCs w:val="22"/>
        </w:rPr>
        <w:t>16.4.19.1. Пояснительная записка модуля "Скалолазание".</w:t>
      </w:r>
    </w:p>
    <w:p w14:paraId="3EC7D0FB">
      <w:pPr>
        <w:pStyle w:val="85"/>
        <w:spacing w:before="240"/>
        <w:ind w:firstLine="540"/>
        <w:jc w:val="both"/>
        <w:rPr>
          <w:color w:val="auto"/>
          <w:sz w:val="22"/>
          <w:szCs w:val="22"/>
        </w:rPr>
      </w:pPr>
      <w:r>
        <w:rPr>
          <w:color w:val="auto"/>
          <w:sz w:val="22"/>
          <w:szCs w:val="22"/>
        </w:rPr>
        <w:t>Модуль "Скалолазание" (далее - модуль "Скалолазание", модуль по скалолазанию, скалолазание) на уровне начального общего образования разработан с целью оказания методической помощи учителю физической культуры в создании части рабочей программы по учебному предмету "Физическая культура", направленной на формирование общих представлений о физической культуре и спорте, физической активности человека, физических качествах, жизненно важных прикладных умениях и навыках, основных физических упражнениях (игровых и спортивных) с целью достижения результатов ФГОС НОО, с учетом современных тенденций в системе образования и использования спортивно-ориентированных форм, средств и методов обучения по различным видам спорта.</w:t>
      </w:r>
    </w:p>
    <w:p w14:paraId="29E75BE5">
      <w:pPr>
        <w:pStyle w:val="85"/>
        <w:spacing w:before="240"/>
        <w:ind w:firstLine="540"/>
        <w:jc w:val="both"/>
        <w:rPr>
          <w:color w:val="auto"/>
          <w:sz w:val="22"/>
          <w:szCs w:val="22"/>
        </w:rPr>
      </w:pPr>
      <w:r>
        <w:rPr>
          <w:color w:val="auto"/>
          <w:sz w:val="22"/>
          <w:szCs w:val="22"/>
        </w:rPr>
        <w:t>Скалолазание - это вид спорта, где формируется определенный образ мышления и развиваются многие важные для жизни навыки и черты характера: целеустремленность, настойчивость, решительность, ответственность, коммуникабельность, самостоятельность, сила воли и уверенность в своих силах. На занятиях по скалолазанию обучающиеся приобретают разносторонние умения и навыки, развиваются как физические качества (быстрота, сила, выносливость, ловкость, гибкость), так и когнитивные качества (память, воображение, концентрация внимания, скорость мышления и другие качества). Занятия скалолазанием в школьном возрасте проводятся в групповой форме и дают обучающемуся возможность взаимодействовать с другими обучающимися, вырабатывать коммуникативные навыки, учат его ответственности не только за себя, но и за работу коллектива.</w:t>
      </w:r>
    </w:p>
    <w:p w14:paraId="7D04D15E">
      <w:pPr>
        <w:pStyle w:val="85"/>
        <w:spacing w:before="240"/>
        <w:ind w:firstLine="540"/>
        <w:jc w:val="both"/>
        <w:rPr>
          <w:color w:val="auto"/>
          <w:sz w:val="22"/>
          <w:szCs w:val="22"/>
        </w:rPr>
      </w:pPr>
      <w:r>
        <w:rPr>
          <w:color w:val="auto"/>
          <w:sz w:val="22"/>
          <w:szCs w:val="22"/>
        </w:rPr>
        <w:t>Занятия скалолазанием для обучающихся имеют оздоровительную направленность, повышают уровень функционирования сердечно-сосудистой, дыхательной, костно-мышечной и других систем организма человека, а также предполагают длительное время нахождения на свежем воздухе, что в сочетании с физическими упражнениями является наиболее эффективными формами закаливания и благотворно влияет на укрепление здоровья, снижение заболеваемости, повышение устойчивость организма к меняющимся погодным условиям и повышением общего уровня работоспособности детей.</w:t>
      </w:r>
    </w:p>
    <w:p w14:paraId="2BFCE2B1">
      <w:pPr>
        <w:pStyle w:val="85"/>
        <w:spacing w:before="240"/>
        <w:ind w:firstLine="540"/>
        <w:jc w:val="both"/>
        <w:rPr>
          <w:color w:val="auto"/>
          <w:sz w:val="22"/>
          <w:szCs w:val="22"/>
        </w:rPr>
      </w:pPr>
      <w:r>
        <w:rPr>
          <w:color w:val="auto"/>
          <w:sz w:val="22"/>
          <w:szCs w:val="22"/>
        </w:rPr>
        <w:t>16.4.19.2. Целью изучения модуля "Скалолазание" является формирование у обучающихся навыков общечеловеческой культуры и социального самоопределения, устойчивой мотивации к сохранению и укреплению собственного здоровья, ведению здорового образа жизни через занятия физической культурой и спортом с использованием средств скалолазания.</w:t>
      </w:r>
    </w:p>
    <w:p w14:paraId="4C95F11D">
      <w:pPr>
        <w:pStyle w:val="85"/>
        <w:spacing w:before="240"/>
        <w:ind w:firstLine="540"/>
        <w:jc w:val="both"/>
        <w:rPr>
          <w:color w:val="auto"/>
          <w:sz w:val="22"/>
          <w:szCs w:val="22"/>
        </w:rPr>
      </w:pPr>
      <w:r>
        <w:rPr>
          <w:color w:val="auto"/>
          <w:sz w:val="22"/>
          <w:szCs w:val="22"/>
        </w:rPr>
        <w:t>16.4.19.3. Задачами изучения модуля "Скалолазание" являются:</w:t>
      </w:r>
    </w:p>
    <w:p w14:paraId="6A0DE75D">
      <w:pPr>
        <w:pStyle w:val="85"/>
        <w:spacing w:before="240"/>
        <w:ind w:firstLine="540"/>
        <w:jc w:val="both"/>
        <w:rPr>
          <w:color w:val="auto"/>
          <w:sz w:val="22"/>
          <w:szCs w:val="22"/>
        </w:rPr>
      </w:pPr>
      <w:r>
        <w:rPr>
          <w:color w:val="auto"/>
          <w:sz w:val="22"/>
          <w:szCs w:val="22"/>
        </w:rPr>
        <w:t>всестороннее гармоничное развитие обучающихся, увеличение объема их двигательной активности;</w:t>
      </w:r>
    </w:p>
    <w:p w14:paraId="0DD12C20">
      <w:pPr>
        <w:pStyle w:val="85"/>
        <w:spacing w:before="240"/>
        <w:ind w:firstLine="540"/>
        <w:jc w:val="both"/>
        <w:rPr>
          <w:color w:val="auto"/>
          <w:sz w:val="22"/>
          <w:szCs w:val="22"/>
        </w:rPr>
      </w:pPr>
      <w:r>
        <w:rPr>
          <w:color w:val="auto"/>
          <w:sz w:val="22"/>
          <w:szCs w:val="22"/>
        </w:rPr>
        <w:t>укрепление физического, психологического и социального здоровья обучающихся, развитие основных физических качеств и повышение функциональных возможностей их организма, обеспечение культуры безопасного поведения на занятиях по скалолазанию;</w:t>
      </w:r>
    </w:p>
    <w:p w14:paraId="36B62A24">
      <w:pPr>
        <w:pStyle w:val="85"/>
        <w:spacing w:before="240"/>
        <w:ind w:firstLine="540"/>
        <w:jc w:val="both"/>
        <w:rPr>
          <w:color w:val="auto"/>
          <w:sz w:val="22"/>
          <w:szCs w:val="22"/>
        </w:rPr>
      </w:pPr>
      <w:r>
        <w:rPr>
          <w:color w:val="auto"/>
          <w:sz w:val="22"/>
          <w:szCs w:val="22"/>
        </w:rPr>
        <w:t>освоение знаний о физической культуре и спорте в целом, и о скалолазании в частности;</w:t>
      </w:r>
    </w:p>
    <w:p w14:paraId="27061F42">
      <w:pPr>
        <w:pStyle w:val="85"/>
        <w:spacing w:before="240"/>
        <w:ind w:firstLine="540"/>
        <w:jc w:val="both"/>
        <w:rPr>
          <w:color w:val="auto"/>
          <w:sz w:val="22"/>
          <w:szCs w:val="22"/>
        </w:rPr>
      </w:pPr>
      <w:r>
        <w:rPr>
          <w:color w:val="auto"/>
          <w:sz w:val="22"/>
          <w:szCs w:val="22"/>
        </w:rPr>
        <w:t>формирование общих представлений о скалолазании, о его возможностях и значении в процессе укрепления здоровья, физическом развитии и физической подготовке обучающихся;</w:t>
      </w:r>
    </w:p>
    <w:p w14:paraId="6F18E4F6">
      <w:pPr>
        <w:pStyle w:val="85"/>
        <w:spacing w:before="240"/>
        <w:ind w:firstLine="540"/>
        <w:jc w:val="both"/>
        <w:rPr>
          <w:color w:val="auto"/>
          <w:sz w:val="22"/>
          <w:szCs w:val="22"/>
        </w:rPr>
      </w:pPr>
      <w:r>
        <w:rPr>
          <w:color w:val="auto"/>
          <w:sz w:val="22"/>
          <w:szCs w:val="22"/>
        </w:rPr>
        <w:t>формирование культуры движений, обогащение двигательного опыта физическими упражнениями с общеразвивающей и корригирующей направленностью, техническими приемами вида спорта "скалолазание";</w:t>
      </w:r>
    </w:p>
    <w:p w14:paraId="526D75DB">
      <w:pPr>
        <w:pStyle w:val="85"/>
        <w:spacing w:before="240"/>
        <w:ind w:firstLine="540"/>
        <w:jc w:val="both"/>
        <w:rPr>
          <w:color w:val="auto"/>
          <w:sz w:val="22"/>
          <w:szCs w:val="22"/>
        </w:rPr>
      </w:pPr>
      <w:r>
        <w:rPr>
          <w:color w:val="auto"/>
          <w:sz w:val="22"/>
          <w:szCs w:val="22"/>
        </w:rPr>
        <w:t>формирование образовательного фундамента, основанного на знаниях и умениях в области физической культуры и спорта, на соответствующем культурном уровне развития личности обучающегося, создающем необходимые предпосылки для его самореализации;</w:t>
      </w:r>
    </w:p>
    <w:p w14:paraId="016AA981">
      <w:pPr>
        <w:pStyle w:val="85"/>
        <w:spacing w:before="240"/>
        <w:ind w:firstLine="540"/>
        <w:jc w:val="both"/>
        <w:rPr>
          <w:color w:val="auto"/>
          <w:sz w:val="22"/>
          <w:szCs w:val="22"/>
        </w:rPr>
      </w:pPr>
      <w:r>
        <w:rPr>
          <w:color w:val="auto"/>
          <w:sz w:val="22"/>
          <w:szCs w:val="22"/>
        </w:rPr>
        <w:t>воспитание положительных качеств личности, норм коллективного взаимодействия и сотрудничества;</w:t>
      </w:r>
    </w:p>
    <w:p w14:paraId="366B38B8">
      <w:pPr>
        <w:pStyle w:val="85"/>
        <w:spacing w:before="240"/>
        <w:ind w:firstLine="540"/>
        <w:jc w:val="both"/>
        <w:rPr>
          <w:color w:val="auto"/>
          <w:sz w:val="22"/>
          <w:szCs w:val="22"/>
        </w:rPr>
      </w:pPr>
      <w:r>
        <w:rPr>
          <w:color w:val="auto"/>
          <w:sz w:val="22"/>
          <w:szCs w:val="22"/>
        </w:rPr>
        <w:t>развитие положительной мотивации и устойчивого учебно-познавательного интереса к учебному предмету "Физическая культура", удовлетворение индивидуальных потребностей обучающихся в занятиях физической культурой и спортом средствами скалолазания;</w:t>
      </w:r>
    </w:p>
    <w:p w14:paraId="6E31EA57">
      <w:pPr>
        <w:pStyle w:val="85"/>
        <w:spacing w:before="240"/>
        <w:ind w:firstLine="540"/>
        <w:jc w:val="both"/>
        <w:rPr>
          <w:color w:val="auto"/>
          <w:sz w:val="22"/>
          <w:szCs w:val="22"/>
        </w:rPr>
      </w:pPr>
      <w:r>
        <w:rPr>
          <w:color w:val="auto"/>
          <w:sz w:val="22"/>
          <w:szCs w:val="22"/>
        </w:rPr>
        <w:t>популяризация скалолазания среди подрастающего поколения, привлечение обучающихся, проявляющих повышенный интерес и способности к занятиям скалолазанием, в школьные спортивные клубы, секции, к участию в соревнованиях;</w:t>
      </w:r>
    </w:p>
    <w:p w14:paraId="6162E23A">
      <w:pPr>
        <w:pStyle w:val="85"/>
        <w:spacing w:before="240"/>
        <w:ind w:firstLine="540"/>
        <w:jc w:val="both"/>
        <w:rPr>
          <w:color w:val="auto"/>
          <w:sz w:val="22"/>
          <w:szCs w:val="22"/>
        </w:rPr>
      </w:pPr>
      <w:r>
        <w:rPr>
          <w:color w:val="auto"/>
          <w:sz w:val="22"/>
          <w:szCs w:val="22"/>
        </w:rPr>
        <w:t>выявление, развитие и поддержка одаренных детей в области спорта.</w:t>
      </w:r>
    </w:p>
    <w:p w14:paraId="39362870">
      <w:pPr>
        <w:pStyle w:val="85"/>
        <w:spacing w:before="240"/>
        <w:ind w:firstLine="540"/>
        <w:jc w:val="both"/>
        <w:rPr>
          <w:color w:val="auto"/>
          <w:sz w:val="22"/>
          <w:szCs w:val="22"/>
        </w:rPr>
      </w:pPr>
      <w:r>
        <w:rPr>
          <w:color w:val="auto"/>
          <w:sz w:val="22"/>
          <w:szCs w:val="22"/>
        </w:rPr>
        <w:t>16.4.19.4. Место и роль модуля "Скалолазание".</w:t>
      </w:r>
    </w:p>
    <w:p w14:paraId="356FDBF1">
      <w:pPr>
        <w:pStyle w:val="85"/>
        <w:spacing w:before="240"/>
        <w:ind w:firstLine="540"/>
        <w:jc w:val="both"/>
        <w:rPr>
          <w:color w:val="auto"/>
          <w:sz w:val="22"/>
          <w:szCs w:val="22"/>
        </w:rPr>
      </w:pPr>
      <w:r>
        <w:rPr>
          <w:color w:val="auto"/>
          <w:sz w:val="22"/>
          <w:szCs w:val="22"/>
        </w:rPr>
        <w:t>Модуль "Скалолазание" доступен для освоения всем обучающимся, и обеспечивает достижение следующих результатов ФГОС НОО: сформированность общих представлений о физической культуре и спорте, физической активности человека, физических качествах, жизненно важных прикладных умениях и навыках, основных физических упражнениях (гимнастических, игровых, туристических и спортивных).</w:t>
      </w:r>
    </w:p>
    <w:p w14:paraId="6F328CC1">
      <w:pPr>
        <w:pStyle w:val="85"/>
        <w:spacing w:before="240"/>
        <w:ind w:firstLine="540"/>
        <w:jc w:val="both"/>
        <w:rPr>
          <w:color w:val="auto"/>
          <w:sz w:val="22"/>
          <w:szCs w:val="22"/>
        </w:rPr>
      </w:pPr>
      <w:r>
        <w:rPr>
          <w:color w:val="auto"/>
          <w:sz w:val="22"/>
          <w:szCs w:val="22"/>
        </w:rPr>
        <w:t>Программное содержание модуля "Скалолазание" может быть использовано в разделах "Знания о физической культуре", "Способы самостоятельной деятельности", "Физическое совершенствование".</w:t>
      </w:r>
    </w:p>
    <w:p w14:paraId="3A81AF08">
      <w:pPr>
        <w:pStyle w:val="85"/>
        <w:spacing w:before="240"/>
        <w:ind w:firstLine="540"/>
        <w:jc w:val="both"/>
        <w:rPr>
          <w:color w:val="auto"/>
          <w:sz w:val="22"/>
          <w:szCs w:val="22"/>
        </w:rPr>
      </w:pPr>
      <w:r>
        <w:rPr>
          <w:color w:val="auto"/>
          <w:sz w:val="22"/>
          <w:szCs w:val="22"/>
        </w:rPr>
        <w:t>Интеграция модуля по скалолазанию поможет обучающимся в освоении образовательных программ в рамках внеурочной деятельности, дополнительного образования, деятельности школьных спортивных клубов, подготовке обучающихся к сдаче норм ГТО и участии в спортивных соревнованиях.</w:t>
      </w:r>
    </w:p>
    <w:p w14:paraId="6DF94CCC">
      <w:pPr>
        <w:pStyle w:val="85"/>
        <w:spacing w:before="240"/>
        <w:ind w:firstLine="540"/>
        <w:jc w:val="both"/>
        <w:rPr>
          <w:color w:val="auto"/>
          <w:sz w:val="22"/>
          <w:szCs w:val="22"/>
        </w:rPr>
      </w:pPr>
      <w:r>
        <w:rPr>
          <w:color w:val="auto"/>
          <w:sz w:val="22"/>
          <w:szCs w:val="22"/>
        </w:rPr>
        <w:t>16.4.19.5. Модуль может быть реализован в следующих вариантах:</w:t>
      </w:r>
    </w:p>
    <w:p w14:paraId="41E7B1E6">
      <w:pPr>
        <w:pStyle w:val="85"/>
        <w:spacing w:before="240"/>
        <w:ind w:firstLine="540"/>
        <w:jc w:val="both"/>
        <w:rPr>
          <w:color w:val="auto"/>
          <w:sz w:val="22"/>
          <w:szCs w:val="22"/>
        </w:rPr>
      </w:pPr>
      <w:r>
        <w:rPr>
          <w:color w:val="auto"/>
          <w:sz w:val="22"/>
          <w:szCs w:val="22"/>
        </w:rPr>
        <w:t>при самостоятельном планировании учителем физической культуры процесса освоения обучающимися учебного материала по скалолазанию с выбором различных элементов специальных физических упражнений, игр и (или) элементов игры, с учетом возраста и физической подготовленности обучающихся (с соответствующей дозировкой и интенсивностью);</w:t>
      </w:r>
    </w:p>
    <w:p w14:paraId="7A36C7F3">
      <w:pPr>
        <w:pStyle w:val="85"/>
        <w:spacing w:before="240"/>
        <w:ind w:firstLine="540"/>
        <w:jc w:val="both"/>
        <w:rPr>
          <w:color w:val="auto"/>
          <w:sz w:val="22"/>
          <w:szCs w:val="22"/>
        </w:rPr>
      </w:pPr>
      <w:r>
        <w:rPr>
          <w:color w:val="auto"/>
          <w:sz w:val="22"/>
          <w:szCs w:val="22"/>
        </w:rPr>
        <w:t>в виде дополнительных часов, выделяемых на спортивно-оздоровительную работу с обучающимися в рамках внеурочной деятельности и (или) за счет посещения обучающимися спортивных секций школьных спортивных клубов (рекомендуемый объем в 1 классе - 33 часа, во 2 - 4 классах - по 34 часа).</w:t>
      </w:r>
    </w:p>
    <w:p w14:paraId="34FDDF20">
      <w:pPr>
        <w:pStyle w:val="85"/>
        <w:spacing w:before="240"/>
        <w:ind w:firstLine="540"/>
        <w:jc w:val="both"/>
        <w:rPr>
          <w:color w:val="auto"/>
          <w:sz w:val="22"/>
          <w:szCs w:val="22"/>
        </w:rPr>
      </w:pPr>
      <w:r>
        <w:rPr>
          <w:color w:val="auto"/>
          <w:sz w:val="22"/>
          <w:szCs w:val="22"/>
        </w:rPr>
        <w:t>16.4.19.6. Содержание модуля "Скалолазание".</w:t>
      </w:r>
    </w:p>
    <w:p w14:paraId="313DB6CD">
      <w:pPr>
        <w:pStyle w:val="85"/>
        <w:spacing w:before="240"/>
        <w:ind w:firstLine="540"/>
        <w:jc w:val="both"/>
        <w:rPr>
          <w:color w:val="auto"/>
          <w:sz w:val="22"/>
          <w:szCs w:val="22"/>
        </w:rPr>
      </w:pPr>
      <w:r>
        <w:rPr>
          <w:color w:val="auto"/>
          <w:sz w:val="22"/>
          <w:szCs w:val="22"/>
        </w:rPr>
        <w:t>1) Знания о скалолазании.</w:t>
      </w:r>
    </w:p>
    <w:p w14:paraId="6E6AEB56">
      <w:pPr>
        <w:pStyle w:val="85"/>
        <w:spacing w:before="240"/>
        <w:ind w:firstLine="540"/>
        <w:jc w:val="both"/>
        <w:rPr>
          <w:color w:val="auto"/>
          <w:sz w:val="22"/>
          <w:szCs w:val="22"/>
        </w:rPr>
      </w:pPr>
      <w:r>
        <w:rPr>
          <w:color w:val="auto"/>
          <w:sz w:val="22"/>
          <w:szCs w:val="22"/>
        </w:rPr>
        <w:t>История зарождения скалолазания.</w:t>
      </w:r>
    </w:p>
    <w:p w14:paraId="41460A5E">
      <w:pPr>
        <w:pStyle w:val="85"/>
        <w:spacing w:before="240"/>
        <w:ind w:firstLine="540"/>
        <w:jc w:val="both"/>
        <w:rPr>
          <w:color w:val="auto"/>
          <w:sz w:val="22"/>
          <w:szCs w:val="22"/>
        </w:rPr>
      </w:pPr>
      <w:r>
        <w:rPr>
          <w:color w:val="auto"/>
          <w:sz w:val="22"/>
          <w:szCs w:val="22"/>
        </w:rPr>
        <w:t>Легендарные отечественные скалолазы и тренеры.</w:t>
      </w:r>
    </w:p>
    <w:p w14:paraId="3A117EFF">
      <w:pPr>
        <w:pStyle w:val="85"/>
        <w:spacing w:before="240"/>
        <w:ind w:firstLine="540"/>
        <w:jc w:val="both"/>
        <w:rPr>
          <w:color w:val="auto"/>
          <w:sz w:val="22"/>
          <w:szCs w:val="22"/>
        </w:rPr>
      </w:pPr>
      <w:r>
        <w:rPr>
          <w:color w:val="auto"/>
          <w:sz w:val="22"/>
          <w:szCs w:val="22"/>
        </w:rPr>
        <w:t xml:space="preserve">Достижения национальной сборной команды страны по скалолазанию </w:t>
      </w:r>
    </w:p>
    <w:p w14:paraId="7C622681">
      <w:pPr>
        <w:pStyle w:val="85"/>
        <w:spacing w:before="240"/>
        <w:ind w:firstLine="540"/>
        <w:jc w:val="both"/>
        <w:rPr>
          <w:color w:val="auto"/>
          <w:sz w:val="22"/>
          <w:szCs w:val="22"/>
        </w:rPr>
      </w:pPr>
      <w:r>
        <w:rPr>
          <w:color w:val="auto"/>
          <w:sz w:val="22"/>
          <w:szCs w:val="22"/>
        </w:rPr>
        <w:t>Словарь терминов и определений по скалолазанию.</w:t>
      </w:r>
    </w:p>
    <w:p w14:paraId="7B1FC161">
      <w:pPr>
        <w:pStyle w:val="85"/>
        <w:spacing w:before="240"/>
        <w:ind w:firstLine="540"/>
        <w:jc w:val="both"/>
        <w:rPr>
          <w:color w:val="auto"/>
          <w:sz w:val="22"/>
          <w:szCs w:val="22"/>
        </w:rPr>
      </w:pPr>
      <w:r>
        <w:rPr>
          <w:color w:val="auto"/>
          <w:sz w:val="22"/>
          <w:szCs w:val="22"/>
        </w:rPr>
        <w:t>Спортивные дисциплины (виды) скалолазания.</w:t>
      </w:r>
    </w:p>
    <w:p w14:paraId="07BE7BB0">
      <w:pPr>
        <w:pStyle w:val="85"/>
        <w:spacing w:before="240"/>
        <w:ind w:firstLine="540"/>
        <w:jc w:val="both"/>
        <w:rPr>
          <w:color w:val="auto"/>
          <w:sz w:val="22"/>
          <w:szCs w:val="22"/>
        </w:rPr>
      </w:pPr>
      <w:r>
        <w:rPr>
          <w:color w:val="auto"/>
          <w:sz w:val="22"/>
          <w:szCs w:val="22"/>
        </w:rPr>
        <w:t>Первые правила соревнований по скалолазанию.</w:t>
      </w:r>
    </w:p>
    <w:p w14:paraId="5BFFF100">
      <w:pPr>
        <w:pStyle w:val="85"/>
        <w:spacing w:before="240"/>
        <w:ind w:firstLine="540"/>
        <w:jc w:val="both"/>
        <w:rPr>
          <w:color w:val="auto"/>
          <w:sz w:val="22"/>
          <w:szCs w:val="22"/>
        </w:rPr>
      </w:pPr>
      <w:r>
        <w:rPr>
          <w:color w:val="auto"/>
          <w:sz w:val="22"/>
          <w:szCs w:val="22"/>
        </w:rPr>
        <w:t>Современные правила соревнований по скалолазанию.</w:t>
      </w:r>
    </w:p>
    <w:p w14:paraId="4E6898A6">
      <w:pPr>
        <w:pStyle w:val="85"/>
        <w:spacing w:before="240"/>
        <w:ind w:firstLine="540"/>
        <w:jc w:val="both"/>
        <w:rPr>
          <w:color w:val="auto"/>
          <w:sz w:val="22"/>
          <w:szCs w:val="22"/>
        </w:rPr>
      </w:pPr>
      <w:r>
        <w:rPr>
          <w:color w:val="auto"/>
          <w:sz w:val="22"/>
          <w:szCs w:val="22"/>
        </w:rPr>
        <w:t>Состав национальных и региональных команд по скалолазанию.</w:t>
      </w:r>
    </w:p>
    <w:p w14:paraId="413DB7EA">
      <w:pPr>
        <w:pStyle w:val="85"/>
        <w:spacing w:before="240"/>
        <w:ind w:firstLine="540"/>
        <w:jc w:val="both"/>
        <w:rPr>
          <w:color w:val="auto"/>
          <w:sz w:val="22"/>
          <w:szCs w:val="22"/>
        </w:rPr>
      </w:pPr>
      <w:r>
        <w:rPr>
          <w:color w:val="auto"/>
          <w:sz w:val="22"/>
          <w:szCs w:val="22"/>
        </w:rPr>
        <w:t>Состав судейской коллегии, обслуживающей соревнования по скалолазанию.</w:t>
      </w:r>
    </w:p>
    <w:p w14:paraId="40C418C0">
      <w:pPr>
        <w:pStyle w:val="85"/>
        <w:spacing w:before="240"/>
        <w:ind w:firstLine="540"/>
        <w:jc w:val="both"/>
        <w:rPr>
          <w:color w:val="auto"/>
          <w:sz w:val="22"/>
          <w:szCs w:val="22"/>
        </w:rPr>
      </w:pPr>
      <w:r>
        <w:rPr>
          <w:color w:val="auto"/>
          <w:sz w:val="22"/>
          <w:szCs w:val="22"/>
        </w:rPr>
        <w:t>Спортивные сооружения и инфраструктура для занятий скалолазанием. Инвентарь и оборудование для занятий скалолазанием.</w:t>
      </w:r>
    </w:p>
    <w:p w14:paraId="55131CDA">
      <w:pPr>
        <w:pStyle w:val="85"/>
        <w:spacing w:before="240"/>
        <w:ind w:firstLine="540"/>
        <w:jc w:val="both"/>
        <w:rPr>
          <w:color w:val="auto"/>
          <w:sz w:val="22"/>
          <w:szCs w:val="22"/>
        </w:rPr>
      </w:pPr>
      <w:r>
        <w:rPr>
          <w:color w:val="auto"/>
          <w:sz w:val="22"/>
          <w:szCs w:val="22"/>
        </w:rPr>
        <w:t>Правила безопасного поведения во время занятий скалолазанием.</w:t>
      </w:r>
    </w:p>
    <w:p w14:paraId="044EB49E">
      <w:pPr>
        <w:pStyle w:val="85"/>
        <w:spacing w:before="240"/>
        <w:ind w:firstLine="540"/>
        <w:jc w:val="both"/>
        <w:rPr>
          <w:color w:val="auto"/>
          <w:sz w:val="22"/>
          <w:szCs w:val="22"/>
        </w:rPr>
      </w:pPr>
      <w:r>
        <w:rPr>
          <w:color w:val="auto"/>
          <w:sz w:val="22"/>
          <w:szCs w:val="22"/>
        </w:rPr>
        <w:t>Правила по безопасной культуре поведения во время посещений соревнований по скалолазанию.</w:t>
      </w:r>
    </w:p>
    <w:p w14:paraId="5938ACD2">
      <w:pPr>
        <w:pStyle w:val="85"/>
        <w:spacing w:before="240"/>
        <w:ind w:firstLine="540"/>
        <w:jc w:val="both"/>
        <w:rPr>
          <w:color w:val="auto"/>
          <w:sz w:val="22"/>
          <w:szCs w:val="22"/>
        </w:rPr>
      </w:pPr>
      <w:r>
        <w:rPr>
          <w:color w:val="auto"/>
          <w:sz w:val="22"/>
          <w:szCs w:val="22"/>
        </w:rPr>
        <w:t>Скалолазание как средство укрепления здоровья, закаливания и развития физических качеств.</w:t>
      </w:r>
    </w:p>
    <w:p w14:paraId="3B9773E1">
      <w:pPr>
        <w:pStyle w:val="85"/>
        <w:spacing w:before="240"/>
        <w:ind w:firstLine="540"/>
        <w:jc w:val="both"/>
        <w:rPr>
          <w:color w:val="auto"/>
          <w:sz w:val="22"/>
          <w:szCs w:val="22"/>
        </w:rPr>
      </w:pPr>
      <w:r>
        <w:rPr>
          <w:color w:val="auto"/>
          <w:sz w:val="22"/>
          <w:szCs w:val="22"/>
        </w:rPr>
        <w:t>Режим дня при занятиях скалолазанием.</w:t>
      </w:r>
    </w:p>
    <w:p w14:paraId="507754A7">
      <w:pPr>
        <w:pStyle w:val="85"/>
        <w:spacing w:before="240"/>
        <w:ind w:firstLine="540"/>
        <w:jc w:val="both"/>
        <w:rPr>
          <w:color w:val="auto"/>
          <w:sz w:val="22"/>
          <w:szCs w:val="22"/>
        </w:rPr>
      </w:pPr>
      <w:r>
        <w:rPr>
          <w:color w:val="auto"/>
          <w:sz w:val="22"/>
          <w:szCs w:val="22"/>
        </w:rPr>
        <w:t>Правила личной гигиены во время занятий скалолазанием.</w:t>
      </w:r>
    </w:p>
    <w:p w14:paraId="14B8CC00">
      <w:pPr>
        <w:pStyle w:val="85"/>
        <w:spacing w:before="240"/>
        <w:ind w:firstLine="540"/>
        <w:jc w:val="both"/>
        <w:rPr>
          <w:color w:val="auto"/>
          <w:sz w:val="22"/>
          <w:szCs w:val="22"/>
        </w:rPr>
      </w:pPr>
      <w:r>
        <w:rPr>
          <w:color w:val="auto"/>
          <w:sz w:val="22"/>
          <w:szCs w:val="22"/>
        </w:rPr>
        <w:t>2) Способы самостоятельной деятельности.</w:t>
      </w:r>
    </w:p>
    <w:p w14:paraId="5BC0E200">
      <w:pPr>
        <w:pStyle w:val="85"/>
        <w:spacing w:before="240"/>
        <w:ind w:firstLine="540"/>
        <w:jc w:val="both"/>
        <w:rPr>
          <w:color w:val="auto"/>
          <w:sz w:val="22"/>
          <w:szCs w:val="22"/>
        </w:rPr>
      </w:pPr>
      <w:r>
        <w:rPr>
          <w:color w:val="auto"/>
          <w:sz w:val="22"/>
          <w:szCs w:val="22"/>
        </w:rPr>
        <w:t>Соблюдение личной гигиены, требований к спортивной одежде и обуви для занятий скалолазанием.</w:t>
      </w:r>
    </w:p>
    <w:p w14:paraId="040810E2">
      <w:pPr>
        <w:pStyle w:val="85"/>
        <w:spacing w:before="240"/>
        <w:ind w:firstLine="540"/>
        <w:jc w:val="both"/>
        <w:rPr>
          <w:color w:val="auto"/>
          <w:sz w:val="22"/>
          <w:szCs w:val="22"/>
        </w:rPr>
      </w:pPr>
      <w:r>
        <w:rPr>
          <w:color w:val="auto"/>
          <w:sz w:val="22"/>
          <w:szCs w:val="22"/>
        </w:rPr>
        <w:t>Первые внешние признаки утомления.</w:t>
      </w:r>
    </w:p>
    <w:p w14:paraId="5BF2AC8C">
      <w:pPr>
        <w:pStyle w:val="85"/>
        <w:spacing w:before="240"/>
        <w:ind w:firstLine="540"/>
        <w:jc w:val="both"/>
        <w:rPr>
          <w:color w:val="auto"/>
          <w:sz w:val="22"/>
          <w:szCs w:val="22"/>
        </w:rPr>
      </w:pPr>
      <w:r>
        <w:rPr>
          <w:color w:val="auto"/>
          <w:sz w:val="22"/>
          <w:szCs w:val="22"/>
        </w:rPr>
        <w:t>Способы самоконтроля за физической нагрузкой.</w:t>
      </w:r>
    </w:p>
    <w:p w14:paraId="7D95CCD3">
      <w:pPr>
        <w:pStyle w:val="85"/>
        <w:spacing w:before="240"/>
        <w:ind w:firstLine="540"/>
        <w:jc w:val="both"/>
        <w:rPr>
          <w:color w:val="auto"/>
          <w:sz w:val="22"/>
          <w:szCs w:val="22"/>
        </w:rPr>
      </w:pPr>
      <w:r>
        <w:rPr>
          <w:color w:val="auto"/>
          <w:sz w:val="22"/>
          <w:szCs w:val="22"/>
        </w:rPr>
        <w:t>Уход за спортивным инвентарем и оборудованием при занятиях скалолазанием.</w:t>
      </w:r>
    </w:p>
    <w:p w14:paraId="4B136184">
      <w:pPr>
        <w:pStyle w:val="85"/>
        <w:spacing w:before="240"/>
        <w:ind w:firstLine="540"/>
        <w:jc w:val="both"/>
        <w:rPr>
          <w:color w:val="auto"/>
          <w:sz w:val="22"/>
          <w:szCs w:val="22"/>
        </w:rPr>
      </w:pPr>
      <w:r>
        <w:rPr>
          <w:color w:val="auto"/>
          <w:sz w:val="22"/>
          <w:szCs w:val="22"/>
        </w:rPr>
        <w:t>Основы организации самостоятельных занятий скалолазанием.</w:t>
      </w:r>
    </w:p>
    <w:p w14:paraId="1ED52846">
      <w:pPr>
        <w:pStyle w:val="85"/>
        <w:spacing w:before="240"/>
        <w:ind w:firstLine="540"/>
        <w:jc w:val="both"/>
        <w:rPr>
          <w:color w:val="auto"/>
          <w:sz w:val="22"/>
          <w:szCs w:val="22"/>
        </w:rPr>
      </w:pPr>
      <w:r>
        <w:rPr>
          <w:color w:val="auto"/>
          <w:sz w:val="22"/>
          <w:szCs w:val="22"/>
        </w:rPr>
        <w:t>Подвижные игры и правила их проведения.</w:t>
      </w:r>
    </w:p>
    <w:p w14:paraId="43EF3561">
      <w:pPr>
        <w:pStyle w:val="85"/>
        <w:spacing w:before="240"/>
        <w:ind w:firstLine="540"/>
        <w:jc w:val="both"/>
        <w:rPr>
          <w:color w:val="auto"/>
          <w:sz w:val="22"/>
          <w:szCs w:val="22"/>
        </w:rPr>
      </w:pPr>
      <w:r>
        <w:rPr>
          <w:color w:val="auto"/>
          <w:sz w:val="22"/>
          <w:szCs w:val="22"/>
        </w:rPr>
        <w:t>Организация и проведение игр, направленных на формирование двигательных умений скалолаза.</w:t>
      </w:r>
    </w:p>
    <w:p w14:paraId="1E4BB633">
      <w:pPr>
        <w:pStyle w:val="85"/>
        <w:spacing w:before="240"/>
        <w:ind w:firstLine="540"/>
        <w:jc w:val="both"/>
        <w:rPr>
          <w:color w:val="auto"/>
          <w:sz w:val="22"/>
          <w:szCs w:val="22"/>
        </w:rPr>
      </w:pPr>
      <w:r>
        <w:rPr>
          <w:color w:val="auto"/>
          <w:sz w:val="22"/>
          <w:szCs w:val="22"/>
        </w:rPr>
        <w:t>Организации подвижных и иных игр с элементами скалолазания со сверстниками в активной досуговой деятельности.</w:t>
      </w:r>
    </w:p>
    <w:p w14:paraId="0DE9748D">
      <w:pPr>
        <w:pStyle w:val="85"/>
        <w:spacing w:before="240"/>
        <w:ind w:firstLine="540"/>
        <w:jc w:val="both"/>
        <w:rPr>
          <w:color w:val="auto"/>
          <w:sz w:val="22"/>
          <w:szCs w:val="22"/>
        </w:rPr>
      </w:pPr>
      <w:r>
        <w:rPr>
          <w:color w:val="auto"/>
          <w:sz w:val="22"/>
          <w:szCs w:val="22"/>
        </w:rPr>
        <w:t>Составление комплексов различной направленности: утренней гигиенической гимнастики, корригирующей гимнастики, дыхательной гимнастики, упражнений для укрепления суставов, упражнений для развития физических качеств, упражнений для глаз, упражнений для формирования осанки и профилактики плоскостопия.</w:t>
      </w:r>
    </w:p>
    <w:p w14:paraId="20ADA884">
      <w:pPr>
        <w:pStyle w:val="85"/>
        <w:spacing w:before="240"/>
        <w:ind w:firstLine="540"/>
        <w:jc w:val="both"/>
        <w:rPr>
          <w:color w:val="auto"/>
          <w:sz w:val="22"/>
          <w:szCs w:val="22"/>
        </w:rPr>
      </w:pPr>
      <w:r>
        <w:rPr>
          <w:color w:val="auto"/>
          <w:sz w:val="22"/>
          <w:szCs w:val="22"/>
        </w:rPr>
        <w:t>Подбор общеразвивающих упражнений, составление комплексов и включение их в подготовительную часть урока, занятия.</w:t>
      </w:r>
    </w:p>
    <w:p w14:paraId="63A0F00C">
      <w:pPr>
        <w:pStyle w:val="85"/>
        <w:spacing w:before="240"/>
        <w:ind w:firstLine="540"/>
        <w:jc w:val="both"/>
        <w:rPr>
          <w:color w:val="auto"/>
          <w:sz w:val="22"/>
          <w:szCs w:val="22"/>
        </w:rPr>
      </w:pPr>
      <w:r>
        <w:rPr>
          <w:color w:val="auto"/>
          <w:sz w:val="22"/>
          <w:szCs w:val="22"/>
        </w:rPr>
        <w:t>Подбор и составление комплексов упражнений, направленных на развитие специальных физических качеств скалолаза.</w:t>
      </w:r>
    </w:p>
    <w:p w14:paraId="58604C3F">
      <w:pPr>
        <w:pStyle w:val="85"/>
        <w:spacing w:before="240"/>
        <w:ind w:firstLine="540"/>
        <w:jc w:val="both"/>
        <w:rPr>
          <w:color w:val="auto"/>
          <w:sz w:val="22"/>
          <w:szCs w:val="22"/>
        </w:rPr>
      </w:pPr>
      <w:r>
        <w:rPr>
          <w:color w:val="auto"/>
          <w:sz w:val="22"/>
          <w:szCs w:val="22"/>
        </w:rPr>
        <w:t>Контрольно-тестовые упражнения по общей физической, специальной и технической подготовке.</w:t>
      </w:r>
    </w:p>
    <w:p w14:paraId="1CDBE07F">
      <w:pPr>
        <w:pStyle w:val="85"/>
        <w:spacing w:before="240"/>
        <w:ind w:firstLine="540"/>
        <w:jc w:val="both"/>
        <w:rPr>
          <w:color w:val="auto"/>
          <w:sz w:val="22"/>
          <w:szCs w:val="22"/>
        </w:rPr>
      </w:pPr>
      <w:r>
        <w:rPr>
          <w:color w:val="auto"/>
          <w:sz w:val="22"/>
          <w:szCs w:val="22"/>
        </w:rPr>
        <w:t>Причины возникновения ошибок при выполнении технических приемов и способы их устранения.</w:t>
      </w:r>
    </w:p>
    <w:p w14:paraId="69019BAC">
      <w:pPr>
        <w:pStyle w:val="85"/>
        <w:spacing w:before="240"/>
        <w:ind w:firstLine="540"/>
        <w:jc w:val="both"/>
        <w:rPr>
          <w:color w:val="auto"/>
          <w:sz w:val="22"/>
          <w:szCs w:val="22"/>
        </w:rPr>
      </w:pPr>
      <w:r>
        <w:rPr>
          <w:color w:val="auto"/>
          <w:sz w:val="22"/>
          <w:szCs w:val="22"/>
        </w:rPr>
        <w:t>3) Физическое совершенствование.</w:t>
      </w:r>
    </w:p>
    <w:p w14:paraId="66103E79">
      <w:pPr>
        <w:pStyle w:val="85"/>
        <w:spacing w:before="240"/>
        <w:ind w:firstLine="540"/>
        <w:jc w:val="both"/>
        <w:rPr>
          <w:color w:val="auto"/>
          <w:sz w:val="22"/>
          <w:szCs w:val="22"/>
        </w:rPr>
      </w:pPr>
      <w:r>
        <w:rPr>
          <w:color w:val="auto"/>
          <w:sz w:val="22"/>
          <w:szCs w:val="22"/>
        </w:rPr>
        <w:t>Комплексы общеразвивающих упражнений.</w:t>
      </w:r>
    </w:p>
    <w:p w14:paraId="4DD16490">
      <w:pPr>
        <w:pStyle w:val="85"/>
        <w:spacing w:before="240"/>
        <w:ind w:firstLine="540"/>
        <w:jc w:val="both"/>
        <w:rPr>
          <w:color w:val="auto"/>
          <w:sz w:val="22"/>
          <w:szCs w:val="22"/>
        </w:rPr>
      </w:pPr>
      <w:r>
        <w:rPr>
          <w:color w:val="auto"/>
          <w:sz w:val="22"/>
          <w:szCs w:val="22"/>
        </w:rPr>
        <w:t>Комплексы специальной разминки перед соревнованиями.</w:t>
      </w:r>
    </w:p>
    <w:p w14:paraId="6700518B">
      <w:pPr>
        <w:pStyle w:val="85"/>
        <w:spacing w:before="240"/>
        <w:ind w:firstLine="540"/>
        <w:jc w:val="both"/>
        <w:rPr>
          <w:color w:val="auto"/>
          <w:sz w:val="22"/>
          <w:szCs w:val="22"/>
        </w:rPr>
      </w:pPr>
      <w:r>
        <w:rPr>
          <w:color w:val="auto"/>
          <w:sz w:val="22"/>
          <w:szCs w:val="22"/>
        </w:rPr>
        <w:t>Комплексы корригирующей гимнастики с использованием специальных упражнений.</w:t>
      </w:r>
    </w:p>
    <w:p w14:paraId="7891BF6C">
      <w:pPr>
        <w:pStyle w:val="85"/>
        <w:spacing w:before="240"/>
        <w:ind w:firstLine="540"/>
        <w:jc w:val="both"/>
        <w:rPr>
          <w:color w:val="auto"/>
          <w:sz w:val="22"/>
          <w:szCs w:val="22"/>
        </w:rPr>
      </w:pPr>
      <w:r>
        <w:rPr>
          <w:color w:val="auto"/>
          <w:sz w:val="22"/>
          <w:szCs w:val="22"/>
        </w:rPr>
        <w:t>Комплексы специальных упражнений для формирования техники движений и двигательных навыков, необходимых в скалолазании.</w:t>
      </w:r>
    </w:p>
    <w:p w14:paraId="3150A7F5">
      <w:pPr>
        <w:pStyle w:val="85"/>
        <w:spacing w:before="240"/>
        <w:ind w:firstLine="540"/>
        <w:jc w:val="both"/>
        <w:rPr>
          <w:color w:val="auto"/>
          <w:sz w:val="22"/>
          <w:szCs w:val="22"/>
        </w:rPr>
      </w:pPr>
      <w:r>
        <w:rPr>
          <w:color w:val="auto"/>
          <w:sz w:val="22"/>
          <w:szCs w:val="22"/>
        </w:rPr>
        <w:t>Способы индивидуального регулирования физической нагрузки с учетом уровня физического развития и функционального состояния.</w:t>
      </w:r>
    </w:p>
    <w:p w14:paraId="337B1134">
      <w:pPr>
        <w:pStyle w:val="85"/>
        <w:spacing w:before="240"/>
        <w:ind w:firstLine="540"/>
        <w:jc w:val="both"/>
        <w:rPr>
          <w:color w:val="auto"/>
          <w:sz w:val="22"/>
          <w:szCs w:val="22"/>
        </w:rPr>
      </w:pPr>
      <w:r>
        <w:rPr>
          <w:color w:val="auto"/>
          <w:sz w:val="22"/>
          <w:szCs w:val="22"/>
        </w:rPr>
        <w:t>Подвижные игры и эстафеты с элементами скалолазания.</w:t>
      </w:r>
    </w:p>
    <w:p w14:paraId="45EF2D81">
      <w:pPr>
        <w:pStyle w:val="85"/>
        <w:spacing w:before="240"/>
        <w:ind w:firstLine="540"/>
        <w:jc w:val="both"/>
        <w:rPr>
          <w:color w:val="auto"/>
          <w:sz w:val="22"/>
          <w:szCs w:val="22"/>
        </w:rPr>
      </w:pPr>
      <w:r>
        <w:rPr>
          <w:color w:val="auto"/>
          <w:sz w:val="22"/>
          <w:szCs w:val="22"/>
        </w:rPr>
        <w:t>Игры с мячом и различными предметами.</w:t>
      </w:r>
    </w:p>
    <w:p w14:paraId="6368198E">
      <w:pPr>
        <w:pStyle w:val="85"/>
        <w:spacing w:before="240"/>
        <w:ind w:firstLine="540"/>
        <w:jc w:val="both"/>
        <w:rPr>
          <w:color w:val="auto"/>
          <w:sz w:val="22"/>
          <w:szCs w:val="22"/>
        </w:rPr>
      </w:pPr>
      <w:r>
        <w:rPr>
          <w:color w:val="auto"/>
          <w:sz w:val="22"/>
          <w:szCs w:val="22"/>
        </w:rPr>
        <w:t>Подвижные игры на площадке: "Пятнашки", "Чехарда", игры с мячом.</w:t>
      </w:r>
    </w:p>
    <w:p w14:paraId="38D72924">
      <w:pPr>
        <w:pStyle w:val="85"/>
        <w:spacing w:before="240"/>
        <w:ind w:firstLine="540"/>
        <w:jc w:val="both"/>
        <w:rPr>
          <w:color w:val="auto"/>
          <w:sz w:val="22"/>
          <w:szCs w:val="22"/>
        </w:rPr>
      </w:pPr>
      <w:r>
        <w:rPr>
          <w:color w:val="auto"/>
          <w:sz w:val="22"/>
          <w:szCs w:val="22"/>
        </w:rPr>
        <w:t>Эстафеты на развитие физических и специальных качеств.</w:t>
      </w:r>
    </w:p>
    <w:p w14:paraId="69768D6E">
      <w:pPr>
        <w:pStyle w:val="85"/>
        <w:spacing w:before="240"/>
        <w:ind w:firstLine="540"/>
        <w:jc w:val="both"/>
        <w:rPr>
          <w:color w:val="auto"/>
          <w:sz w:val="22"/>
          <w:szCs w:val="22"/>
        </w:rPr>
      </w:pPr>
      <w:r>
        <w:rPr>
          <w:color w:val="auto"/>
          <w:sz w:val="22"/>
          <w:szCs w:val="22"/>
        </w:rPr>
        <w:t>Техника лазания.</w:t>
      </w:r>
    </w:p>
    <w:p w14:paraId="1E3A9938">
      <w:pPr>
        <w:pStyle w:val="85"/>
        <w:spacing w:before="240"/>
        <w:ind w:firstLine="540"/>
        <w:jc w:val="both"/>
        <w:rPr>
          <w:color w:val="auto"/>
          <w:sz w:val="22"/>
          <w:szCs w:val="22"/>
        </w:rPr>
      </w:pPr>
      <w:r>
        <w:rPr>
          <w:color w:val="auto"/>
          <w:sz w:val="22"/>
          <w:szCs w:val="22"/>
        </w:rPr>
        <w:t>Базовые элементы работы ног на различном рельефе, основные типы хватов, базовые технические движения и элементы.</w:t>
      </w:r>
    </w:p>
    <w:p w14:paraId="1A19135C">
      <w:pPr>
        <w:pStyle w:val="85"/>
        <w:spacing w:before="240"/>
        <w:ind w:firstLine="540"/>
        <w:jc w:val="both"/>
        <w:rPr>
          <w:color w:val="auto"/>
          <w:sz w:val="22"/>
          <w:szCs w:val="22"/>
        </w:rPr>
      </w:pPr>
      <w:r>
        <w:rPr>
          <w:color w:val="auto"/>
          <w:sz w:val="22"/>
          <w:szCs w:val="22"/>
        </w:rPr>
        <w:t>Лазание на плоскостях с различным углом наклона (положительные стенки, вертикали, стенки с отрицательным уклоном до 45 градусов).</w:t>
      </w:r>
    </w:p>
    <w:p w14:paraId="42D37557">
      <w:pPr>
        <w:pStyle w:val="85"/>
        <w:spacing w:before="240"/>
        <w:ind w:firstLine="540"/>
        <w:jc w:val="both"/>
        <w:rPr>
          <w:color w:val="auto"/>
          <w:sz w:val="22"/>
          <w:szCs w:val="22"/>
        </w:rPr>
      </w:pPr>
      <w:r>
        <w:rPr>
          <w:color w:val="auto"/>
          <w:sz w:val="22"/>
          <w:szCs w:val="22"/>
        </w:rPr>
        <w:t>Лазание с различным темпом и скоростью перемещения.</w:t>
      </w:r>
    </w:p>
    <w:p w14:paraId="3B21DD7F">
      <w:pPr>
        <w:pStyle w:val="85"/>
        <w:spacing w:before="240"/>
        <w:ind w:firstLine="540"/>
        <w:jc w:val="both"/>
        <w:rPr>
          <w:color w:val="auto"/>
          <w:sz w:val="22"/>
          <w:szCs w:val="22"/>
        </w:rPr>
      </w:pPr>
      <w:r>
        <w:rPr>
          <w:color w:val="auto"/>
          <w:sz w:val="22"/>
          <w:szCs w:val="22"/>
        </w:rPr>
        <w:t>Сложно-координационные технические элементы.</w:t>
      </w:r>
    </w:p>
    <w:p w14:paraId="28C5BD88">
      <w:pPr>
        <w:pStyle w:val="85"/>
        <w:spacing w:before="240"/>
        <w:ind w:firstLine="540"/>
        <w:jc w:val="both"/>
        <w:rPr>
          <w:color w:val="auto"/>
          <w:sz w:val="22"/>
          <w:szCs w:val="22"/>
        </w:rPr>
      </w:pPr>
      <w:r>
        <w:rPr>
          <w:color w:val="auto"/>
          <w:sz w:val="22"/>
          <w:szCs w:val="22"/>
        </w:rPr>
        <w:t>Учебные соревнования по скалолазанию.</w:t>
      </w:r>
    </w:p>
    <w:p w14:paraId="679082FE">
      <w:pPr>
        <w:pStyle w:val="85"/>
        <w:spacing w:before="240"/>
        <w:ind w:firstLine="540"/>
        <w:jc w:val="both"/>
        <w:rPr>
          <w:color w:val="auto"/>
          <w:sz w:val="22"/>
          <w:szCs w:val="22"/>
        </w:rPr>
      </w:pPr>
      <w:r>
        <w:rPr>
          <w:color w:val="auto"/>
          <w:sz w:val="22"/>
          <w:szCs w:val="22"/>
        </w:rPr>
        <w:t>Участие в соревновательной деятельности.</w:t>
      </w:r>
    </w:p>
    <w:p w14:paraId="1F8D5B8A">
      <w:pPr>
        <w:pStyle w:val="85"/>
        <w:spacing w:before="240"/>
        <w:ind w:firstLine="540"/>
        <w:jc w:val="both"/>
        <w:rPr>
          <w:color w:val="auto"/>
          <w:sz w:val="22"/>
          <w:szCs w:val="22"/>
        </w:rPr>
      </w:pPr>
      <w:r>
        <w:rPr>
          <w:color w:val="auto"/>
          <w:sz w:val="22"/>
          <w:szCs w:val="22"/>
        </w:rPr>
        <w:t>16.4.19.7. Содержание модуля "Скалолазание" направлено на достижение обучающимися личностных, метапредметных и предметных результатов обучения.</w:t>
      </w:r>
    </w:p>
    <w:p w14:paraId="6350FDEA">
      <w:pPr>
        <w:pStyle w:val="85"/>
        <w:spacing w:before="240"/>
        <w:ind w:firstLine="540"/>
        <w:jc w:val="both"/>
        <w:rPr>
          <w:color w:val="auto"/>
          <w:sz w:val="22"/>
          <w:szCs w:val="22"/>
        </w:rPr>
      </w:pPr>
      <w:r>
        <w:rPr>
          <w:color w:val="auto"/>
          <w:sz w:val="22"/>
          <w:szCs w:val="22"/>
        </w:rPr>
        <w:t>16.4.19.7.1. При изучении модуля "Скалолазание" на уровне начального общего образования у обучающихся будут сформированы следующие личностные результаты:</w:t>
      </w:r>
    </w:p>
    <w:p w14:paraId="042B7F33">
      <w:pPr>
        <w:pStyle w:val="85"/>
        <w:spacing w:before="240"/>
        <w:ind w:firstLine="540"/>
        <w:jc w:val="both"/>
        <w:rPr>
          <w:color w:val="auto"/>
          <w:sz w:val="22"/>
          <w:szCs w:val="22"/>
        </w:rPr>
      </w:pPr>
      <w:r>
        <w:rPr>
          <w:color w:val="auto"/>
          <w:sz w:val="22"/>
          <w:szCs w:val="22"/>
        </w:rPr>
        <w:t>проявление чувства гордости за свою Родину, российский народ и историю России через достижения национальной сборной команды страны по скалолазанию;</w:t>
      </w:r>
    </w:p>
    <w:p w14:paraId="44EE4B11">
      <w:pPr>
        <w:pStyle w:val="85"/>
        <w:spacing w:before="240"/>
        <w:ind w:firstLine="540"/>
        <w:jc w:val="both"/>
        <w:rPr>
          <w:color w:val="auto"/>
          <w:sz w:val="22"/>
          <w:szCs w:val="22"/>
        </w:rPr>
      </w:pPr>
      <w:r>
        <w:rPr>
          <w:color w:val="auto"/>
          <w:sz w:val="22"/>
          <w:szCs w:val="22"/>
        </w:rPr>
        <w:t>проявление уважительного отношения к сверстникам, культуры общения и взаимодействия, терпимости в достижении общих целей при совместной деятельности (учебной, тренировочной, досуговой, игровой и соревновательной) на принципах доброжелательности и взаимопомощи;</w:t>
      </w:r>
    </w:p>
    <w:p w14:paraId="14DC734F">
      <w:pPr>
        <w:pStyle w:val="85"/>
        <w:spacing w:before="240"/>
        <w:ind w:firstLine="540"/>
        <w:jc w:val="both"/>
        <w:rPr>
          <w:color w:val="auto"/>
          <w:sz w:val="22"/>
          <w:szCs w:val="22"/>
        </w:rPr>
      </w:pPr>
      <w:r>
        <w:rPr>
          <w:color w:val="auto"/>
          <w:sz w:val="22"/>
          <w:szCs w:val="22"/>
        </w:rPr>
        <w:t>проявление готовности к саморазвитию, самообразованию и самовоспитанию, мотивации к осознанному выбору индивидуальной траектории образования средствами скалолазания;</w:t>
      </w:r>
    </w:p>
    <w:p w14:paraId="43915B9D">
      <w:pPr>
        <w:pStyle w:val="85"/>
        <w:spacing w:before="240"/>
        <w:ind w:firstLine="540"/>
        <w:jc w:val="both"/>
        <w:rPr>
          <w:color w:val="auto"/>
          <w:sz w:val="22"/>
          <w:szCs w:val="22"/>
        </w:rPr>
      </w:pPr>
      <w:r>
        <w:rPr>
          <w:color w:val="auto"/>
          <w:sz w:val="22"/>
          <w:szCs w:val="22"/>
        </w:rPr>
        <w:t>проявление положительных качеств личности и управление своими эмоциями в различных (нестандартных) ситуациях и условиях, умение не создавать конфликтов и находить выходы из спорных ситуаций;</w:t>
      </w:r>
    </w:p>
    <w:p w14:paraId="6AA47360">
      <w:pPr>
        <w:pStyle w:val="85"/>
        <w:spacing w:before="240"/>
        <w:ind w:firstLine="540"/>
        <w:jc w:val="both"/>
        <w:rPr>
          <w:color w:val="auto"/>
          <w:sz w:val="22"/>
          <w:szCs w:val="22"/>
        </w:rPr>
      </w:pPr>
      <w:r>
        <w:rPr>
          <w:color w:val="auto"/>
          <w:sz w:val="22"/>
          <w:szCs w:val="22"/>
        </w:rPr>
        <w:t>реализация ценностей здорового и безопасного образа жизни, потребности в физическом самосовершенствовании, занятиях спортивно-оздоровительной деятельностью;</w:t>
      </w:r>
    </w:p>
    <w:p w14:paraId="7AB29F66">
      <w:pPr>
        <w:pStyle w:val="85"/>
        <w:spacing w:before="240"/>
        <w:ind w:firstLine="540"/>
        <w:jc w:val="both"/>
        <w:rPr>
          <w:color w:val="auto"/>
          <w:sz w:val="22"/>
          <w:szCs w:val="22"/>
        </w:rPr>
      </w:pPr>
      <w:r>
        <w:rPr>
          <w:color w:val="auto"/>
          <w:sz w:val="22"/>
          <w:szCs w:val="22"/>
        </w:rPr>
        <w:t>проявление осознанного и ответственного отношения к собственным поступкам, моральной компетентности в решении проблем в процессе занятий физической культурой, игровой и соревновательной деятельности по скалолазанию;</w:t>
      </w:r>
    </w:p>
    <w:p w14:paraId="1DA1F9ED">
      <w:pPr>
        <w:pStyle w:val="85"/>
        <w:spacing w:before="240"/>
        <w:ind w:firstLine="540"/>
        <w:jc w:val="both"/>
        <w:rPr>
          <w:color w:val="auto"/>
          <w:sz w:val="22"/>
          <w:szCs w:val="22"/>
        </w:rPr>
      </w:pPr>
      <w:r>
        <w:rPr>
          <w:color w:val="auto"/>
          <w:sz w:val="22"/>
          <w:szCs w:val="22"/>
        </w:rPr>
        <w:t>проявление дисциплинированности, трудолюбия и упорства в достижении поставленных целей на основе представлений о нравственных нормах, социальной справедливости и свободе;</w:t>
      </w:r>
    </w:p>
    <w:p w14:paraId="60A312AF">
      <w:pPr>
        <w:pStyle w:val="85"/>
        <w:spacing w:before="240"/>
        <w:ind w:firstLine="540"/>
        <w:jc w:val="both"/>
        <w:rPr>
          <w:color w:val="auto"/>
          <w:sz w:val="22"/>
          <w:szCs w:val="22"/>
        </w:rPr>
      </w:pPr>
      <w:r>
        <w:rPr>
          <w:color w:val="auto"/>
          <w:sz w:val="22"/>
          <w:szCs w:val="22"/>
        </w:rPr>
        <w:t>готовность соблюдать правила индивидуального и коллективного безопасного поведения в учебной, соревновательной, досуговой деятельности и чрезвычайных ситуациях;</w:t>
      </w:r>
    </w:p>
    <w:p w14:paraId="0BF1F275">
      <w:pPr>
        <w:pStyle w:val="85"/>
        <w:spacing w:before="240"/>
        <w:ind w:firstLine="540"/>
        <w:jc w:val="both"/>
        <w:rPr>
          <w:color w:val="auto"/>
          <w:sz w:val="22"/>
          <w:szCs w:val="22"/>
        </w:rPr>
      </w:pPr>
      <w:r>
        <w:rPr>
          <w:color w:val="auto"/>
          <w:sz w:val="22"/>
          <w:szCs w:val="22"/>
        </w:rPr>
        <w:t>проявление положительных качеств личности и управление своими эмоциями в различных ситуациях и условиях, способность к самостоятельной, творческой и ответственной деятельности средствами скалолазания.</w:t>
      </w:r>
    </w:p>
    <w:p w14:paraId="72012C14">
      <w:pPr>
        <w:pStyle w:val="85"/>
        <w:spacing w:before="240"/>
        <w:ind w:firstLine="540"/>
        <w:jc w:val="both"/>
        <w:rPr>
          <w:color w:val="auto"/>
          <w:sz w:val="22"/>
          <w:szCs w:val="22"/>
        </w:rPr>
      </w:pPr>
      <w:r>
        <w:rPr>
          <w:color w:val="auto"/>
          <w:sz w:val="22"/>
          <w:szCs w:val="22"/>
        </w:rPr>
        <w:t>16.4.19.7.2. При изучении модуля "Скалолазание" на уровне начального общего образования у обучающихся будут сформированы следующие метапредметные результаты:</w:t>
      </w:r>
    </w:p>
    <w:p w14:paraId="29E129AA">
      <w:pPr>
        <w:pStyle w:val="85"/>
        <w:spacing w:before="240"/>
        <w:ind w:firstLine="540"/>
        <w:jc w:val="both"/>
        <w:rPr>
          <w:color w:val="auto"/>
          <w:sz w:val="22"/>
          <w:szCs w:val="22"/>
        </w:rPr>
      </w:pPr>
      <w:r>
        <w:rPr>
          <w:color w:val="auto"/>
          <w:sz w:val="22"/>
          <w:szCs w:val="22"/>
        </w:rPr>
        <w:t>овладение способностью принимать и сохранять цели и задачи учебной деятельности, поиска средств и способов ее осуществления;</w:t>
      </w:r>
    </w:p>
    <w:p w14:paraId="00498E25">
      <w:pPr>
        <w:pStyle w:val="85"/>
        <w:spacing w:before="240"/>
        <w:ind w:firstLine="540"/>
        <w:jc w:val="both"/>
        <w:rPr>
          <w:color w:val="auto"/>
          <w:sz w:val="22"/>
          <w:szCs w:val="22"/>
        </w:rPr>
      </w:pPr>
      <w:r>
        <w:rPr>
          <w:color w:val="auto"/>
          <w:sz w:val="22"/>
          <w:szCs w:val="22"/>
        </w:rPr>
        <w:t>умение планировать, контролировать и оценивать учебные действия, собственную деятельность, распределять нагрузку и отдых в процессе ее выполнения, определять наиболее эффективные способы достижения результата;</w:t>
      </w:r>
    </w:p>
    <w:p w14:paraId="599A0275">
      <w:pPr>
        <w:pStyle w:val="85"/>
        <w:spacing w:before="240"/>
        <w:ind w:firstLine="540"/>
        <w:jc w:val="both"/>
        <w:rPr>
          <w:color w:val="auto"/>
          <w:sz w:val="22"/>
          <w:szCs w:val="22"/>
        </w:rPr>
      </w:pPr>
      <w:r>
        <w:rPr>
          <w:color w:val="auto"/>
          <w:sz w:val="22"/>
          <w:szCs w:val="22"/>
        </w:rPr>
        <w:t>умение характеризовать действия и поступки, давать им анализ и объективную оценку на основе освоенных знаний и имеющегося опыта;</w:t>
      </w:r>
    </w:p>
    <w:p w14:paraId="243BF4C7">
      <w:pPr>
        <w:pStyle w:val="85"/>
        <w:spacing w:before="240"/>
        <w:ind w:firstLine="540"/>
        <w:jc w:val="both"/>
        <w:rPr>
          <w:color w:val="auto"/>
          <w:sz w:val="22"/>
          <w:szCs w:val="22"/>
        </w:rPr>
      </w:pPr>
      <w:r>
        <w:rPr>
          <w:color w:val="auto"/>
          <w:sz w:val="22"/>
          <w:szCs w:val="22"/>
        </w:rPr>
        <w:t>понимание причин успеха или неуспеха учебной деятельности и способность конструктивно действовать даже в ситуациях неуспеха;</w:t>
      </w:r>
    </w:p>
    <w:p w14:paraId="6A1591BA">
      <w:pPr>
        <w:pStyle w:val="85"/>
        <w:spacing w:before="240"/>
        <w:ind w:firstLine="540"/>
        <w:jc w:val="both"/>
        <w:rPr>
          <w:color w:val="auto"/>
          <w:sz w:val="22"/>
          <w:szCs w:val="22"/>
        </w:rPr>
      </w:pPr>
      <w:r>
        <w:rPr>
          <w:color w:val="auto"/>
          <w:sz w:val="22"/>
          <w:szCs w:val="22"/>
        </w:rPr>
        <w:t>определение общей цели и путей ее достижения, умение договариваться о распределении функций в учебной, игровой и соревновательной деятельности, адекватная оценка собственного поведения и поведения окружающих;</w:t>
      </w:r>
    </w:p>
    <w:p w14:paraId="0F672D32">
      <w:pPr>
        <w:pStyle w:val="85"/>
        <w:spacing w:before="240"/>
        <w:ind w:firstLine="540"/>
        <w:jc w:val="both"/>
        <w:rPr>
          <w:color w:val="auto"/>
          <w:sz w:val="22"/>
          <w:szCs w:val="22"/>
        </w:rPr>
      </w:pPr>
      <w:r>
        <w:rPr>
          <w:color w:val="auto"/>
          <w:sz w:val="22"/>
          <w:szCs w:val="22"/>
        </w:rPr>
        <w:t>обеспечение защиты и сохранности природы во время активного отдыха и занятий физической культурой;</w:t>
      </w:r>
    </w:p>
    <w:p w14:paraId="1E338A7E">
      <w:pPr>
        <w:pStyle w:val="85"/>
        <w:spacing w:before="240"/>
        <w:ind w:firstLine="540"/>
        <w:jc w:val="both"/>
        <w:rPr>
          <w:color w:val="auto"/>
          <w:sz w:val="22"/>
          <w:szCs w:val="22"/>
        </w:rPr>
      </w:pPr>
      <w:r>
        <w:rPr>
          <w:color w:val="auto"/>
          <w:sz w:val="22"/>
          <w:szCs w:val="22"/>
        </w:rPr>
        <w:t>организация самостоятельной деятельности с учетом требований ее безопасности, сохранности инвентаря и оборудования, организации места занятий;</w:t>
      </w:r>
    </w:p>
    <w:p w14:paraId="3B21855B">
      <w:pPr>
        <w:pStyle w:val="85"/>
        <w:spacing w:before="240"/>
        <w:ind w:firstLine="540"/>
        <w:jc w:val="both"/>
        <w:rPr>
          <w:color w:val="auto"/>
          <w:sz w:val="22"/>
          <w:szCs w:val="22"/>
        </w:rPr>
      </w:pPr>
      <w:r>
        <w:rPr>
          <w:color w:val="auto"/>
          <w:sz w:val="22"/>
          <w:szCs w:val="22"/>
        </w:rPr>
        <w:t>владение основами самоконтроля, самооценки, принятия решений и осуществления осознанного выбора в учебной и познавательной деятельности.</w:t>
      </w:r>
    </w:p>
    <w:p w14:paraId="2EED5B15">
      <w:pPr>
        <w:pStyle w:val="85"/>
        <w:spacing w:before="240"/>
        <w:ind w:firstLine="540"/>
        <w:jc w:val="both"/>
        <w:rPr>
          <w:color w:val="auto"/>
          <w:sz w:val="22"/>
          <w:szCs w:val="22"/>
        </w:rPr>
      </w:pPr>
      <w:r>
        <w:rPr>
          <w:color w:val="auto"/>
          <w:sz w:val="22"/>
          <w:szCs w:val="22"/>
        </w:rPr>
        <w:t>16.4.19.7.3. При изучении модуля "Скалолазание" на уровне начального общего образования у обучающихся будут сформированы следующие предметные результаты:</w:t>
      </w:r>
    </w:p>
    <w:p w14:paraId="39B8EFCE">
      <w:pPr>
        <w:pStyle w:val="85"/>
        <w:spacing w:before="240"/>
        <w:ind w:firstLine="540"/>
        <w:jc w:val="both"/>
        <w:rPr>
          <w:color w:val="auto"/>
          <w:sz w:val="22"/>
          <w:szCs w:val="22"/>
        </w:rPr>
      </w:pPr>
      <w:r>
        <w:rPr>
          <w:color w:val="auto"/>
          <w:sz w:val="22"/>
          <w:szCs w:val="22"/>
        </w:rPr>
        <w:t>сформированность представлений о роли и значении занятий скалолазанием как средством укрепления здоровья, закаливания и развития физических качеств человека;</w:t>
      </w:r>
    </w:p>
    <w:p w14:paraId="38A8C38D">
      <w:pPr>
        <w:pStyle w:val="85"/>
        <w:spacing w:before="240"/>
        <w:ind w:firstLine="540"/>
        <w:jc w:val="both"/>
        <w:rPr>
          <w:color w:val="auto"/>
          <w:sz w:val="22"/>
          <w:szCs w:val="22"/>
        </w:rPr>
      </w:pPr>
      <w:r>
        <w:rPr>
          <w:color w:val="auto"/>
          <w:sz w:val="22"/>
          <w:szCs w:val="22"/>
        </w:rPr>
        <w:t>сформированность знаний по истории возникновения скалолазания, достижениях национальной сборной команды страны по скалолазанию о легендарных отечественных и зарубежных скалолазах и тренерах;</w:t>
      </w:r>
    </w:p>
    <w:p w14:paraId="417137F5">
      <w:pPr>
        <w:pStyle w:val="85"/>
        <w:spacing w:before="240"/>
        <w:ind w:firstLine="540"/>
        <w:jc w:val="both"/>
        <w:rPr>
          <w:color w:val="auto"/>
          <w:sz w:val="22"/>
          <w:szCs w:val="22"/>
        </w:rPr>
      </w:pPr>
      <w:r>
        <w:rPr>
          <w:color w:val="auto"/>
          <w:sz w:val="22"/>
          <w:szCs w:val="22"/>
        </w:rPr>
        <w:t>сформированность представлений о спортивных дисциплинах скалолазания и основных правилах соревнований по скалолазанию;</w:t>
      </w:r>
    </w:p>
    <w:p w14:paraId="06E81A6A">
      <w:pPr>
        <w:pStyle w:val="85"/>
        <w:spacing w:before="240"/>
        <w:ind w:firstLine="540"/>
        <w:jc w:val="both"/>
        <w:rPr>
          <w:color w:val="auto"/>
          <w:sz w:val="22"/>
          <w:szCs w:val="22"/>
        </w:rPr>
      </w:pPr>
      <w:r>
        <w:rPr>
          <w:color w:val="auto"/>
          <w:sz w:val="22"/>
          <w:szCs w:val="22"/>
        </w:rPr>
        <w:t>сформированность навыков безопасного поведения во время занятий скалолазанием и посещений соревнований по скалолазанию;</w:t>
      </w:r>
    </w:p>
    <w:p w14:paraId="7E7F3020">
      <w:pPr>
        <w:pStyle w:val="85"/>
        <w:spacing w:before="240"/>
        <w:ind w:firstLine="540"/>
        <w:jc w:val="both"/>
        <w:rPr>
          <w:color w:val="auto"/>
          <w:sz w:val="22"/>
          <w:szCs w:val="22"/>
        </w:rPr>
      </w:pPr>
      <w:r>
        <w:rPr>
          <w:color w:val="auto"/>
          <w:sz w:val="22"/>
          <w:szCs w:val="22"/>
        </w:rPr>
        <w:t>сформированность знаний и соблюдение правил личной гигиены, требований к спортивной одежде, обуви и спортивному инвентарю для занятий скалолазанием;</w:t>
      </w:r>
    </w:p>
    <w:p w14:paraId="1E558AC0">
      <w:pPr>
        <w:pStyle w:val="85"/>
        <w:spacing w:before="240"/>
        <w:ind w:firstLine="540"/>
        <w:jc w:val="both"/>
        <w:rPr>
          <w:color w:val="auto"/>
          <w:sz w:val="22"/>
          <w:szCs w:val="22"/>
        </w:rPr>
      </w:pPr>
      <w:r>
        <w:rPr>
          <w:color w:val="auto"/>
          <w:sz w:val="22"/>
          <w:szCs w:val="22"/>
        </w:rPr>
        <w:t>сформированность базовых навыков самоконтроля и наблюдения за своим физическим состоянием и величиной физических нагрузок;</w:t>
      </w:r>
    </w:p>
    <w:p w14:paraId="7FB9635B">
      <w:pPr>
        <w:pStyle w:val="85"/>
        <w:spacing w:before="240"/>
        <w:ind w:firstLine="540"/>
        <w:jc w:val="both"/>
        <w:rPr>
          <w:color w:val="auto"/>
          <w:sz w:val="22"/>
          <w:szCs w:val="22"/>
        </w:rPr>
      </w:pPr>
      <w:r>
        <w:rPr>
          <w:color w:val="auto"/>
          <w:sz w:val="22"/>
          <w:szCs w:val="22"/>
        </w:rPr>
        <w:t>сформированность основ организации самостоятельных занятий физической культурой и спортом со сверстниками; организация и проведение со сверстниками подвижных игр специальной направленности с элементами скалолазания;</w:t>
      </w:r>
    </w:p>
    <w:p w14:paraId="1C93AC0E">
      <w:pPr>
        <w:pStyle w:val="85"/>
        <w:spacing w:before="240"/>
        <w:ind w:firstLine="540"/>
        <w:jc w:val="both"/>
        <w:rPr>
          <w:color w:val="auto"/>
          <w:sz w:val="22"/>
          <w:szCs w:val="22"/>
        </w:rPr>
      </w:pPr>
      <w:r>
        <w:rPr>
          <w:color w:val="auto"/>
          <w:sz w:val="22"/>
          <w:szCs w:val="22"/>
        </w:rPr>
        <w:t>знание, умение составлять и осваивать упражнения и комплексы утренней гигиенической гимнастики, дыхательной гимнастики, упражнений для глаз, для формирования осанки, профилактики плоскостопия;</w:t>
      </w:r>
    </w:p>
    <w:p w14:paraId="6131A3C7">
      <w:pPr>
        <w:pStyle w:val="85"/>
        <w:spacing w:before="240"/>
        <w:ind w:firstLine="540"/>
        <w:jc w:val="both"/>
        <w:rPr>
          <w:color w:val="auto"/>
          <w:sz w:val="22"/>
          <w:szCs w:val="22"/>
        </w:rPr>
      </w:pPr>
      <w:r>
        <w:rPr>
          <w:color w:val="auto"/>
          <w:sz w:val="22"/>
          <w:szCs w:val="22"/>
        </w:rPr>
        <w:t>способность выполнять комплексы общеразвивающих и корригирующих упражнений; упражнений на развитие быстроты, ловкости, силы, гибкости; упражнений для укрепления суставов; специальных упражнений для формирования технических навыков скалолаза;</w:t>
      </w:r>
    </w:p>
    <w:p w14:paraId="18A25424">
      <w:pPr>
        <w:pStyle w:val="85"/>
        <w:spacing w:before="240"/>
        <w:ind w:firstLine="540"/>
        <w:jc w:val="both"/>
        <w:rPr>
          <w:color w:val="auto"/>
          <w:sz w:val="22"/>
          <w:szCs w:val="22"/>
        </w:rPr>
      </w:pPr>
      <w:r>
        <w:rPr>
          <w:color w:val="auto"/>
          <w:sz w:val="22"/>
          <w:szCs w:val="22"/>
        </w:rPr>
        <w:t>способность демонстрировать базовые навыки спортивного скалолазания включая: лазание с верхней и нижней страховкой, лазание по стенкам с различным рельефом и наклоном, умением перемещаться по скалодрому различным темпом, а также правильно осуществлять приземления при прыжках, срывах и падениях;</w:t>
      </w:r>
    </w:p>
    <w:p w14:paraId="4702F946">
      <w:pPr>
        <w:pStyle w:val="85"/>
        <w:spacing w:before="240"/>
        <w:ind w:firstLine="540"/>
        <w:jc w:val="both"/>
        <w:rPr>
          <w:color w:val="auto"/>
          <w:sz w:val="22"/>
          <w:szCs w:val="22"/>
        </w:rPr>
      </w:pPr>
      <w:r>
        <w:rPr>
          <w:color w:val="auto"/>
          <w:sz w:val="22"/>
          <w:szCs w:val="22"/>
        </w:rPr>
        <w:t>знание, умение работать со снаряжением и оборудованием, необходимым для скалолазания в различных дисциплинах;</w:t>
      </w:r>
    </w:p>
    <w:p w14:paraId="1FAFEF64">
      <w:pPr>
        <w:pStyle w:val="85"/>
        <w:spacing w:before="240"/>
        <w:ind w:firstLine="540"/>
        <w:jc w:val="both"/>
        <w:rPr>
          <w:color w:val="auto"/>
          <w:sz w:val="22"/>
          <w:szCs w:val="22"/>
        </w:rPr>
      </w:pPr>
      <w:r>
        <w:rPr>
          <w:color w:val="auto"/>
          <w:sz w:val="22"/>
          <w:szCs w:val="22"/>
        </w:rPr>
        <w:t>знание техники безопасности при работе на скалодроме во время тренировочного процесса и соревновательной деятельности;</w:t>
      </w:r>
    </w:p>
    <w:p w14:paraId="13A93B91">
      <w:pPr>
        <w:pStyle w:val="85"/>
        <w:spacing w:before="240"/>
        <w:ind w:firstLine="540"/>
        <w:jc w:val="both"/>
        <w:rPr>
          <w:color w:val="auto"/>
          <w:sz w:val="22"/>
          <w:szCs w:val="22"/>
        </w:rPr>
      </w:pPr>
      <w:r>
        <w:rPr>
          <w:color w:val="auto"/>
          <w:sz w:val="22"/>
          <w:szCs w:val="22"/>
        </w:rPr>
        <w:t>способность концентрировать свое внимание на базовых элементах техники движений в различных дисциплинах скалолазания, уметь устранять ошибки после подсказки учителя;</w:t>
      </w:r>
    </w:p>
    <w:p w14:paraId="7297DC5B">
      <w:pPr>
        <w:pStyle w:val="85"/>
        <w:spacing w:before="240"/>
        <w:ind w:firstLine="540"/>
        <w:jc w:val="both"/>
        <w:rPr>
          <w:color w:val="auto"/>
          <w:sz w:val="22"/>
          <w:szCs w:val="22"/>
        </w:rPr>
      </w:pPr>
      <w:r>
        <w:rPr>
          <w:color w:val="auto"/>
          <w:sz w:val="22"/>
          <w:szCs w:val="22"/>
        </w:rPr>
        <w:t>участие в контрольных занятиях и учебных соревнованиях по скалолазанию;</w:t>
      </w:r>
    </w:p>
    <w:p w14:paraId="7307884F">
      <w:pPr>
        <w:pStyle w:val="85"/>
        <w:spacing w:before="240"/>
        <w:ind w:firstLine="540"/>
        <w:jc w:val="both"/>
        <w:rPr>
          <w:color w:val="auto"/>
          <w:sz w:val="22"/>
          <w:szCs w:val="22"/>
        </w:rPr>
      </w:pPr>
      <w:r>
        <w:rPr>
          <w:color w:val="auto"/>
          <w:sz w:val="22"/>
          <w:szCs w:val="22"/>
        </w:rPr>
        <w:t>выполнение контрольно-тестовых упражнений по общей и специальной физической подготовке и оценка показателей физической подготовленности скалолаза;</w:t>
      </w:r>
    </w:p>
    <w:p w14:paraId="722E2559">
      <w:pPr>
        <w:pStyle w:val="85"/>
        <w:spacing w:before="240"/>
        <w:ind w:firstLine="540"/>
        <w:jc w:val="both"/>
        <w:rPr>
          <w:color w:val="auto"/>
          <w:sz w:val="22"/>
          <w:szCs w:val="22"/>
        </w:rPr>
      </w:pPr>
      <w:r>
        <w:rPr>
          <w:color w:val="auto"/>
          <w:sz w:val="22"/>
          <w:szCs w:val="22"/>
        </w:rPr>
        <w:t>умение демонстрировать во время учебной и соревновательной деятельности волевые, социальные качества личности, организованность, ответственность;</w:t>
      </w:r>
    </w:p>
    <w:p w14:paraId="13723BA0">
      <w:pPr>
        <w:pStyle w:val="85"/>
        <w:spacing w:before="240"/>
        <w:ind w:firstLine="540"/>
        <w:jc w:val="both"/>
        <w:rPr>
          <w:color w:val="auto"/>
          <w:sz w:val="22"/>
          <w:szCs w:val="22"/>
        </w:rPr>
      </w:pPr>
      <w:r>
        <w:rPr>
          <w:color w:val="auto"/>
          <w:sz w:val="22"/>
          <w:szCs w:val="22"/>
        </w:rPr>
        <w:t>умение проявлять уважительное отношение к одноклассникам, проявлять культуру общения и взаимодействия, терпимости в достижении общих целей в учебной и игровой деятельности на занятиях скалолазанием.</w:t>
      </w:r>
    </w:p>
    <w:p w14:paraId="37E1C53C">
      <w:pPr>
        <w:pStyle w:val="85"/>
        <w:spacing w:before="240"/>
        <w:ind w:firstLine="540"/>
        <w:jc w:val="both"/>
        <w:rPr>
          <w:color w:val="auto"/>
          <w:sz w:val="22"/>
          <w:szCs w:val="22"/>
        </w:rPr>
      </w:pPr>
      <w:r>
        <w:rPr>
          <w:color w:val="auto"/>
          <w:sz w:val="22"/>
          <w:szCs w:val="22"/>
        </w:rPr>
        <w:t>16.4.20. Модуль "Спортивный Туризм".</w:t>
      </w:r>
    </w:p>
    <w:p w14:paraId="5F861A99">
      <w:pPr>
        <w:pStyle w:val="85"/>
        <w:spacing w:before="240"/>
        <w:ind w:firstLine="540"/>
        <w:jc w:val="both"/>
        <w:rPr>
          <w:color w:val="auto"/>
          <w:sz w:val="22"/>
          <w:szCs w:val="22"/>
        </w:rPr>
      </w:pPr>
      <w:r>
        <w:rPr>
          <w:color w:val="auto"/>
          <w:sz w:val="22"/>
          <w:szCs w:val="22"/>
        </w:rPr>
        <w:t>16.4.20.1. Пояснительная записка модуля "Спортивный Туризм".</w:t>
      </w:r>
    </w:p>
    <w:p w14:paraId="27CCCCDC">
      <w:pPr>
        <w:pStyle w:val="85"/>
        <w:spacing w:before="240"/>
        <w:ind w:firstLine="540"/>
        <w:jc w:val="both"/>
        <w:rPr>
          <w:color w:val="auto"/>
          <w:sz w:val="22"/>
          <w:szCs w:val="22"/>
        </w:rPr>
      </w:pPr>
      <w:r>
        <w:rPr>
          <w:color w:val="auto"/>
          <w:sz w:val="22"/>
          <w:szCs w:val="22"/>
        </w:rPr>
        <w:t>Модуль "Спортивный туризм" (далее - модуль "Спортивный туризм", модуль по спортивному туризму, спортивный туризм) на уровне начального общего образования разработан с целью оказания методической помощи учителю физической культуры в создании части рабочей программы по учебному предмету "Физическая культура", направленной на формирование общих представлений о физической культуре и спорте, физической активности человека, физических качествах, жизненно важных прикладных умениях и навыках, основных физических упражнениях (игровых и спортивных) с целью достижения результатов ФГОС НОО, с учетом современных тенденций в системе образования и использования спортивно-ориентированных форм, средств и методов обучения по различным видам спорта.</w:t>
      </w:r>
    </w:p>
    <w:p w14:paraId="40ADC4ED">
      <w:pPr>
        <w:pStyle w:val="85"/>
        <w:spacing w:before="240"/>
        <w:ind w:firstLine="540"/>
        <w:jc w:val="both"/>
        <w:rPr>
          <w:color w:val="auto"/>
          <w:sz w:val="22"/>
          <w:szCs w:val="22"/>
        </w:rPr>
      </w:pPr>
      <w:r>
        <w:rPr>
          <w:color w:val="auto"/>
          <w:sz w:val="22"/>
          <w:szCs w:val="22"/>
        </w:rPr>
        <w:t>Спортивный туризм является наиболее доступным и универсальным средством физического воспитания и способствует гармоничному развитию, укреплению здоровья и патриотического воспитания детей. В образовательном процессе средства спортивного туризма содействуют практическому закреплению знаний многих изучаемых предметов школьной программы, комплексному развитию у обучающихся всех физических качеств, комплексно влияют на органы и системы растущего организма ребенка, укрепляя и повышая их функциональный уровень.</w:t>
      </w:r>
    </w:p>
    <w:p w14:paraId="1F77DF6C">
      <w:pPr>
        <w:pStyle w:val="85"/>
        <w:spacing w:before="240"/>
        <w:ind w:firstLine="540"/>
        <w:jc w:val="both"/>
        <w:rPr>
          <w:color w:val="auto"/>
          <w:sz w:val="22"/>
          <w:szCs w:val="22"/>
        </w:rPr>
      </w:pPr>
      <w:r>
        <w:rPr>
          <w:color w:val="auto"/>
          <w:sz w:val="22"/>
          <w:szCs w:val="22"/>
        </w:rPr>
        <w:t>Спортивный туризм выделяется среди других командных видов спорта своей доступностью. При проведении учебной и внеурочной деятельности не требуется значительных средств на приобретение соответствующего снаряжения и инвентаря. Занятия спортивным туризмом можно организовать в смешанных группах мальчиков и девочек, как в зале, так и на открытом воздухе в условиях природной среды.</w:t>
      </w:r>
    </w:p>
    <w:p w14:paraId="40440342">
      <w:pPr>
        <w:pStyle w:val="85"/>
        <w:spacing w:before="240"/>
        <w:ind w:firstLine="540"/>
        <w:jc w:val="both"/>
        <w:rPr>
          <w:color w:val="auto"/>
          <w:sz w:val="22"/>
          <w:szCs w:val="22"/>
        </w:rPr>
      </w:pPr>
      <w:r>
        <w:rPr>
          <w:color w:val="auto"/>
          <w:sz w:val="22"/>
          <w:szCs w:val="22"/>
        </w:rPr>
        <w:t>16.4.20.2. Целью изучения модуля "Спортивный туризм" является формирование у обучающихся навыков общечеловеческой культуры и социального самоопределения, устойчивой мотивации к сохранению и укреплению собственного здоровья, ведению здорового образа жизни через занятия физической культурой и спортом с использованием средств спортивного туризма.</w:t>
      </w:r>
    </w:p>
    <w:p w14:paraId="53456F55">
      <w:pPr>
        <w:pStyle w:val="85"/>
        <w:spacing w:before="240"/>
        <w:ind w:firstLine="540"/>
        <w:jc w:val="both"/>
        <w:rPr>
          <w:color w:val="auto"/>
          <w:sz w:val="22"/>
          <w:szCs w:val="22"/>
        </w:rPr>
      </w:pPr>
      <w:r>
        <w:rPr>
          <w:color w:val="auto"/>
          <w:sz w:val="22"/>
          <w:szCs w:val="22"/>
        </w:rPr>
        <w:t>16.4.20.3. Задачами изучения модуля "Спортивный туризм" являются:</w:t>
      </w:r>
    </w:p>
    <w:p w14:paraId="3C33F0F5">
      <w:pPr>
        <w:pStyle w:val="85"/>
        <w:spacing w:before="240"/>
        <w:ind w:firstLine="540"/>
        <w:jc w:val="both"/>
        <w:rPr>
          <w:color w:val="auto"/>
          <w:sz w:val="22"/>
          <w:szCs w:val="22"/>
        </w:rPr>
      </w:pPr>
      <w:r>
        <w:rPr>
          <w:color w:val="auto"/>
          <w:sz w:val="22"/>
          <w:szCs w:val="22"/>
        </w:rPr>
        <w:t>всестороннее гармоничное развитие обучающихся, увеличение объема их двигательной активности;</w:t>
      </w:r>
    </w:p>
    <w:p w14:paraId="6E4ECD13">
      <w:pPr>
        <w:pStyle w:val="85"/>
        <w:spacing w:before="240"/>
        <w:ind w:firstLine="540"/>
        <w:jc w:val="both"/>
        <w:rPr>
          <w:color w:val="auto"/>
          <w:sz w:val="22"/>
          <w:szCs w:val="22"/>
        </w:rPr>
      </w:pPr>
      <w:r>
        <w:rPr>
          <w:color w:val="auto"/>
          <w:sz w:val="22"/>
          <w:szCs w:val="22"/>
        </w:rPr>
        <w:t>укрепление физического, психологического и социального здоровья обучающихся, развитие основных физических качеств и повышение функциональных возможностей организма юных туристов, обеспечение безопасности занятий спортивным туризмом;</w:t>
      </w:r>
    </w:p>
    <w:p w14:paraId="3BA0CBA2">
      <w:pPr>
        <w:pStyle w:val="85"/>
        <w:spacing w:before="240"/>
        <w:ind w:firstLine="540"/>
        <w:jc w:val="both"/>
        <w:rPr>
          <w:color w:val="auto"/>
          <w:sz w:val="22"/>
          <w:szCs w:val="22"/>
        </w:rPr>
      </w:pPr>
      <w:r>
        <w:rPr>
          <w:color w:val="auto"/>
          <w:sz w:val="22"/>
          <w:szCs w:val="22"/>
        </w:rPr>
        <w:t>формирование общих представлений о спортивном туризме, его истории развития, возможностях и значении в процессе укрепления здоровья, физическом развитии и физической подготовке обучающихся;</w:t>
      </w:r>
    </w:p>
    <w:p w14:paraId="329A9EFB">
      <w:pPr>
        <w:pStyle w:val="85"/>
        <w:spacing w:before="240"/>
        <w:ind w:firstLine="540"/>
        <w:jc w:val="both"/>
        <w:rPr>
          <w:color w:val="auto"/>
          <w:sz w:val="22"/>
          <w:szCs w:val="22"/>
        </w:rPr>
      </w:pPr>
      <w:r>
        <w:rPr>
          <w:color w:val="auto"/>
          <w:sz w:val="22"/>
          <w:szCs w:val="22"/>
        </w:rPr>
        <w:t>формирование культуры движений, обогащение двигательного опыта физическими упражнениями с общеразвивающей и корригирующей направленностью, техникой туризма и приемами вида спорта "спортивный туризм";</w:t>
      </w:r>
    </w:p>
    <w:p w14:paraId="7F014229">
      <w:pPr>
        <w:pStyle w:val="85"/>
        <w:spacing w:before="240"/>
        <w:ind w:firstLine="540"/>
        <w:jc w:val="both"/>
        <w:rPr>
          <w:color w:val="auto"/>
          <w:sz w:val="22"/>
          <w:szCs w:val="22"/>
        </w:rPr>
      </w:pPr>
      <w:r>
        <w:rPr>
          <w:color w:val="auto"/>
          <w:sz w:val="22"/>
          <w:szCs w:val="22"/>
        </w:rPr>
        <w:t>воспитание положительных качеств личности, норм коллективной деятельности и сотрудничества;</w:t>
      </w:r>
    </w:p>
    <w:p w14:paraId="7517C1A4">
      <w:pPr>
        <w:pStyle w:val="85"/>
        <w:spacing w:before="240"/>
        <w:ind w:firstLine="540"/>
        <w:jc w:val="both"/>
        <w:rPr>
          <w:color w:val="auto"/>
          <w:sz w:val="22"/>
          <w:szCs w:val="22"/>
        </w:rPr>
      </w:pPr>
      <w:r>
        <w:rPr>
          <w:color w:val="auto"/>
          <w:sz w:val="22"/>
          <w:szCs w:val="22"/>
        </w:rPr>
        <w:t>развитие положительной мотивации и устойчивого учебно-познавательного интереса к учебному предмету "Физическая культура" средствами спортивного туризма;</w:t>
      </w:r>
    </w:p>
    <w:p w14:paraId="0C8A1F9E">
      <w:pPr>
        <w:pStyle w:val="85"/>
        <w:spacing w:before="240"/>
        <w:ind w:firstLine="540"/>
        <w:jc w:val="both"/>
        <w:rPr>
          <w:color w:val="auto"/>
          <w:sz w:val="22"/>
          <w:szCs w:val="22"/>
        </w:rPr>
      </w:pPr>
      <w:r>
        <w:rPr>
          <w:color w:val="auto"/>
          <w:sz w:val="22"/>
          <w:szCs w:val="22"/>
        </w:rPr>
        <w:t>выявление, развитие и поддержка одаренных детей в области спорта.</w:t>
      </w:r>
    </w:p>
    <w:p w14:paraId="20584E36">
      <w:pPr>
        <w:pStyle w:val="85"/>
        <w:spacing w:before="240"/>
        <w:ind w:firstLine="540"/>
        <w:jc w:val="both"/>
        <w:rPr>
          <w:color w:val="auto"/>
          <w:sz w:val="22"/>
          <w:szCs w:val="22"/>
        </w:rPr>
      </w:pPr>
      <w:r>
        <w:rPr>
          <w:color w:val="auto"/>
          <w:sz w:val="22"/>
          <w:szCs w:val="22"/>
        </w:rPr>
        <w:t>16.4.20.4. Место и роль модуля "Спортивный туризм".</w:t>
      </w:r>
    </w:p>
    <w:p w14:paraId="6DDE56B3">
      <w:pPr>
        <w:pStyle w:val="85"/>
        <w:spacing w:before="240"/>
        <w:ind w:firstLine="540"/>
        <w:jc w:val="both"/>
        <w:rPr>
          <w:color w:val="auto"/>
          <w:sz w:val="22"/>
          <w:szCs w:val="22"/>
        </w:rPr>
      </w:pPr>
      <w:r>
        <w:rPr>
          <w:color w:val="auto"/>
          <w:sz w:val="22"/>
          <w:szCs w:val="22"/>
        </w:rPr>
        <w:t>Модуль "Спортивный туризм" доступен для освоения всем обучающимся, и обеспечивает достижение следующих результатов ФГОС НОО: сформированность общих представлений о физической культуре и спорте, физической активности человека, физических качествах, жизненно важных прикладных умениях и навыках, основных физических упражнениях (гимнастических, игровых, туристических и спортивных).</w:t>
      </w:r>
    </w:p>
    <w:p w14:paraId="68D37321">
      <w:pPr>
        <w:pStyle w:val="85"/>
        <w:spacing w:before="240"/>
        <w:ind w:firstLine="540"/>
        <w:jc w:val="both"/>
        <w:rPr>
          <w:color w:val="auto"/>
          <w:sz w:val="22"/>
          <w:szCs w:val="22"/>
        </w:rPr>
      </w:pPr>
      <w:r>
        <w:rPr>
          <w:color w:val="auto"/>
          <w:sz w:val="22"/>
          <w:szCs w:val="22"/>
        </w:rPr>
        <w:t>Программное содержание модуля "Спортивный туризм" может быть использовано в разделах "Знания о физической культуре", "Способы самостоятельной деятельности", "Физическое совершенствование".</w:t>
      </w:r>
    </w:p>
    <w:p w14:paraId="0C9A26FD">
      <w:pPr>
        <w:pStyle w:val="85"/>
        <w:spacing w:before="240"/>
        <w:ind w:firstLine="540"/>
        <w:jc w:val="both"/>
        <w:rPr>
          <w:color w:val="auto"/>
          <w:sz w:val="22"/>
          <w:szCs w:val="22"/>
        </w:rPr>
      </w:pPr>
      <w:r>
        <w:rPr>
          <w:color w:val="auto"/>
          <w:sz w:val="22"/>
          <w:szCs w:val="22"/>
        </w:rPr>
        <w:t>Интеграция модуля по спортивному туризму поможет обучающимся в освоении образовательных программ в рамках внеурочной деятельности, дополнительного образования, деятельности школьных спортивных клубов, подготовке обучающихся к сдаче норм ГТО и участии в спортивных соревнованиях.</w:t>
      </w:r>
    </w:p>
    <w:p w14:paraId="6E6791F0">
      <w:pPr>
        <w:pStyle w:val="85"/>
        <w:spacing w:before="240"/>
        <w:ind w:firstLine="540"/>
        <w:jc w:val="both"/>
        <w:rPr>
          <w:color w:val="auto"/>
          <w:sz w:val="22"/>
          <w:szCs w:val="22"/>
        </w:rPr>
      </w:pPr>
      <w:r>
        <w:rPr>
          <w:color w:val="auto"/>
          <w:sz w:val="22"/>
          <w:szCs w:val="22"/>
        </w:rPr>
        <w:t>16.4.20.5. Модуль "Спортивный туризм" может быть реализован в следующих вариантах:</w:t>
      </w:r>
    </w:p>
    <w:p w14:paraId="503AE796">
      <w:pPr>
        <w:pStyle w:val="85"/>
        <w:spacing w:before="240"/>
        <w:ind w:firstLine="540"/>
        <w:jc w:val="both"/>
        <w:rPr>
          <w:color w:val="auto"/>
          <w:sz w:val="22"/>
          <w:szCs w:val="22"/>
        </w:rPr>
      </w:pPr>
      <w:r>
        <w:rPr>
          <w:color w:val="auto"/>
          <w:sz w:val="22"/>
          <w:szCs w:val="22"/>
        </w:rPr>
        <w:t>при самостоятельном планировании учителем физической культуры процесса освоения обучающимися учебного материала по спортивному туризму с выбором различных элементов специальных физических упражнений, игр и (или) элементов игры, с учетом возраста и физической подготовленности обучающихся (с соответствующей дозировкой и интенсивностью);</w:t>
      </w:r>
    </w:p>
    <w:p w14:paraId="0150E2A5">
      <w:pPr>
        <w:pStyle w:val="85"/>
        <w:spacing w:before="240"/>
        <w:ind w:firstLine="540"/>
        <w:jc w:val="both"/>
        <w:rPr>
          <w:color w:val="auto"/>
          <w:sz w:val="22"/>
          <w:szCs w:val="22"/>
        </w:rPr>
      </w:pPr>
      <w:r>
        <w:rPr>
          <w:color w:val="auto"/>
          <w:sz w:val="22"/>
          <w:szCs w:val="22"/>
        </w:rPr>
        <w:t>в виде дополнительных часов, выделяемых на спортивно-оздоровительную работу с обучающимися в рамках внеурочной деятельности и (или) за счет посещения обучающимися спортивных секций школьных спортивных клубов (рекомендуемый объем в 1 классе - 33 часа, во 2 - 4 классах - по 34 часа).</w:t>
      </w:r>
    </w:p>
    <w:p w14:paraId="0C013E7C">
      <w:pPr>
        <w:pStyle w:val="85"/>
        <w:spacing w:before="240"/>
        <w:ind w:firstLine="540"/>
        <w:jc w:val="both"/>
        <w:rPr>
          <w:color w:val="auto"/>
          <w:sz w:val="22"/>
          <w:szCs w:val="22"/>
        </w:rPr>
      </w:pPr>
      <w:r>
        <w:rPr>
          <w:color w:val="auto"/>
          <w:sz w:val="22"/>
          <w:szCs w:val="22"/>
        </w:rPr>
        <w:t>16.4.20.6. Содержание модуля "Спортивный туризм".</w:t>
      </w:r>
    </w:p>
    <w:p w14:paraId="5166C866">
      <w:pPr>
        <w:pStyle w:val="85"/>
        <w:spacing w:before="240"/>
        <w:ind w:firstLine="540"/>
        <w:jc w:val="both"/>
        <w:rPr>
          <w:color w:val="auto"/>
          <w:sz w:val="22"/>
          <w:szCs w:val="22"/>
        </w:rPr>
      </w:pPr>
      <w:r>
        <w:rPr>
          <w:color w:val="auto"/>
          <w:sz w:val="22"/>
          <w:szCs w:val="22"/>
        </w:rPr>
        <w:t>1) Знания о спортивном туризме.</w:t>
      </w:r>
    </w:p>
    <w:p w14:paraId="5ABBBD92">
      <w:pPr>
        <w:pStyle w:val="85"/>
        <w:spacing w:before="240"/>
        <w:ind w:firstLine="540"/>
        <w:jc w:val="both"/>
        <w:rPr>
          <w:color w:val="auto"/>
          <w:sz w:val="22"/>
          <w:szCs w:val="22"/>
        </w:rPr>
      </w:pPr>
      <w:r>
        <w:rPr>
          <w:color w:val="auto"/>
          <w:sz w:val="22"/>
          <w:szCs w:val="22"/>
        </w:rPr>
        <w:t>История зарождения спортивного туризма. Современное состояние спортивного туризма в Российской Федерации.</w:t>
      </w:r>
    </w:p>
    <w:p w14:paraId="24DA106A">
      <w:pPr>
        <w:pStyle w:val="85"/>
        <w:spacing w:before="240"/>
        <w:ind w:firstLine="540"/>
        <w:jc w:val="both"/>
        <w:rPr>
          <w:color w:val="auto"/>
          <w:sz w:val="22"/>
          <w:szCs w:val="22"/>
        </w:rPr>
      </w:pPr>
      <w:r>
        <w:rPr>
          <w:color w:val="auto"/>
          <w:sz w:val="22"/>
          <w:szCs w:val="22"/>
        </w:rPr>
        <w:t>Виды спортивного туризма. Основные понятия о туристских маршрутах, дистанциях и снаряжении.</w:t>
      </w:r>
    </w:p>
    <w:p w14:paraId="35C7EC6B">
      <w:pPr>
        <w:pStyle w:val="85"/>
        <w:spacing w:before="240"/>
        <w:ind w:firstLine="540"/>
        <w:jc w:val="both"/>
        <w:rPr>
          <w:color w:val="auto"/>
          <w:sz w:val="22"/>
          <w:szCs w:val="22"/>
        </w:rPr>
      </w:pPr>
      <w:r>
        <w:rPr>
          <w:color w:val="auto"/>
          <w:sz w:val="22"/>
          <w:szCs w:val="22"/>
        </w:rPr>
        <w:t>Правила безопасности в спортивном туризме.</w:t>
      </w:r>
    </w:p>
    <w:p w14:paraId="49083676">
      <w:pPr>
        <w:pStyle w:val="85"/>
        <w:spacing w:before="240"/>
        <w:ind w:firstLine="540"/>
        <w:jc w:val="both"/>
        <w:rPr>
          <w:color w:val="auto"/>
          <w:sz w:val="22"/>
          <w:szCs w:val="22"/>
        </w:rPr>
      </w:pPr>
      <w:r>
        <w:rPr>
          <w:color w:val="auto"/>
          <w:sz w:val="22"/>
          <w:szCs w:val="22"/>
        </w:rPr>
        <w:t>Режим дня при занятиях спортивном туризмом. Правила личной гигиены во время занятий спортивным туризмом.</w:t>
      </w:r>
    </w:p>
    <w:p w14:paraId="79D9683D">
      <w:pPr>
        <w:pStyle w:val="85"/>
        <w:spacing w:before="240"/>
        <w:ind w:firstLine="540"/>
        <w:jc w:val="both"/>
        <w:rPr>
          <w:color w:val="auto"/>
          <w:sz w:val="22"/>
          <w:szCs w:val="22"/>
        </w:rPr>
      </w:pPr>
      <w:r>
        <w:rPr>
          <w:color w:val="auto"/>
          <w:sz w:val="22"/>
          <w:szCs w:val="22"/>
        </w:rPr>
        <w:t>2) Способы самостоятельной деятельности.</w:t>
      </w:r>
    </w:p>
    <w:p w14:paraId="01E34EFD">
      <w:pPr>
        <w:pStyle w:val="85"/>
        <w:spacing w:before="240"/>
        <w:ind w:firstLine="540"/>
        <w:jc w:val="both"/>
        <w:rPr>
          <w:color w:val="auto"/>
          <w:sz w:val="22"/>
          <w:szCs w:val="22"/>
        </w:rPr>
      </w:pPr>
      <w:r>
        <w:rPr>
          <w:color w:val="auto"/>
          <w:sz w:val="22"/>
          <w:szCs w:val="22"/>
        </w:rPr>
        <w:t>Подвижные игры и правила их проведения. Организация и проведение игр специальной направленности с элементами спортивного туризма.</w:t>
      </w:r>
    </w:p>
    <w:p w14:paraId="63A09A8A">
      <w:pPr>
        <w:pStyle w:val="85"/>
        <w:spacing w:before="240"/>
        <w:ind w:firstLine="540"/>
        <w:jc w:val="both"/>
        <w:rPr>
          <w:color w:val="auto"/>
          <w:sz w:val="22"/>
          <w:szCs w:val="22"/>
        </w:rPr>
      </w:pPr>
      <w:r>
        <w:rPr>
          <w:color w:val="auto"/>
          <w:sz w:val="22"/>
          <w:szCs w:val="22"/>
        </w:rPr>
        <w:t>Самоконтроль и его роль в учебной и соревновательной деятельности. Дневник самонаблюдения.</w:t>
      </w:r>
    </w:p>
    <w:p w14:paraId="188F9935">
      <w:pPr>
        <w:pStyle w:val="85"/>
        <w:spacing w:before="240"/>
        <w:ind w:firstLine="540"/>
        <w:jc w:val="both"/>
        <w:rPr>
          <w:color w:val="auto"/>
          <w:sz w:val="22"/>
          <w:szCs w:val="22"/>
        </w:rPr>
      </w:pPr>
      <w:r>
        <w:rPr>
          <w:color w:val="auto"/>
          <w:sz w:val="22"/>
          <w:szCs w:val="22"/>
        </w:rPr>
        <w:t>Правила безопасного, правомерного поведения во время походов и соревнований по спортивному туризму в качестве зрителя, болельщика.</w:t>
      </w:r>
    </w:p>
    <w:p w14:paraId="5547876A">
      <w:pPr>
        <w:pStyle w:val="85"/>
        <w:spacing w:before="240"/>
        <w:ind w:firstLine="540"/>
        <w:jc w:val="both"/>
        <w:rPr>
          <w:color w:val="auto"/>
          <w:sz w:val="22"/>
          <w:szCs w:val="22"/>
        </w:rPr>
      </w:pPr>
      <w:r>
        <w:rPr>
          <w:color w:val="auto"/>
          <w:sz w:val="22"/>
          <w:szCs w:val="22"/>
        </w:rPr>
        <w:t>Подбор и составление комплексов общеразвивающих, специальных и имитационных упражнений для занятий спортивным туризмом.</w:t>
      </w:r>
    </w:p>
    <w:p w14:paraId="60B8D3E1">
      <w:pPr>
        <w:pStyle w:val="85"/>
        <w:spacing w:before="240"/>
        <w:ind w:firstLine="540"/>
        <w:jc w:val="both"/>
        <w:rPr>
          <w:color w:val="auto"/>
          <w:sz w:val="22"/>
          <w:szCs w:val="22"/>
        </w:rPr>
      </w:pPr>
      <w:r>
        <w:rPr>
          <w:color w:val="auto"/>
          <w:sz w:val="22"/>
          <w:szCs w:val="22"/>
        </w:rPr>
        <w:t>Тестирование уровня физической подготовленности юных туристов.</w:t>
      </w:r>
    </w:p>
    <w:p w14:paraId="729D9862">
      <w:pPr>
        <w:pStyle w:val="85"/>
        <w:spacing w:before="240"/>
        <w:ind w:firstLine="540"/>
        <w:jc w:val="both"/>
        <w:rPr>
          <w:color w:val="auto"/>
          <w:sz w:val="22"/>
          <w:szCs w:val="22"/>
        </w:rPr>
      </w:pPr>
      <w:r>
        <w:rPr>
          <w:color w:val="auto"/>
          <w:sz w:val="22"/>
          <w:szCs w:val="22"/>
        </w:rPr>
        <w:t>3) Физическое совершенствование.</w:t>
      </w:r>
    </w:p>
    <w:p w14:paraId="440D155C">
      <w:pPr>
        <w:pStyle w:val="85"/>
        <w:spacing w:before="240"/>
        <w:ind w:firstLine="540"/>
        <w:jc w:val="both"/>
        <w:rPr>
          <w:color w:val="auto"/>
          <w:sz w:val="22"/>
          <w:szCs w:val="22"/>
        </w:rPr>
      </w:pPr>
      <w:r>
        <w:rPr>
          <w:color w:val="auto"/>
          <w:sz w:val="22"/>
          <w:szCs w:val="22"/>
        </w:rPr>
        <w:t>Комплексы общеразвивающих упражнений без предметов и с предметами для развития физических качеств (быстроты, силы, скоростно-силовых качеств, ловкости, выносливости, гибкости).</w:t>
      </w:r>
    </w:p>
    <w:p w14:paraId="47EF1692">
      <w:pPr>
        <w:pStyle w:val="85"/>
        <w:spacing w:before="240"/>
        <w:ind w:firstLine="540"/>
        <w:jc w:val="both"/>
        <w:rPr>
          <w:color w:val="auto"/>
          <w:sz w:val="22"/>
          <w:szCs w:val="22"/>
        </w:rPr>
      </w:pPr>
      <w:r>
        <w:rPr>
          <w:color w:val="auto"/>
          <w:sz w:val="22"/>
          <w:szCs w:val="22"/>
        </w:rPr>
        <w:t>Подвижные игры с элементами спортивного туризма: "Поймай лису", "Собери рюкзак", "Эстафеты" и другие.</w:t>
      </w:r>
    </w:p>
    <w:p w14:paraId="6D7BE117">
      <w:pPr>
        <w:pStyle w:val="85"/>
        <w:spacing w:before="240"/>
        <w:ind w:firstLine="540"/>
        <w:jc w:val="both"/>
        <w:rPr>
          <w:color w:val="auto"/>
          <w:sz w:val="22"/>
          <w:szCs w:val="22"/>
        </w:rPr>
      </w:pPr>
      <w:r>
        <w:rPr>
          <w:color w:val="auto"/>
          <w:sz w:val="22"/>
          <w:szCs w:val="22"/>
        </w:rPr>
        <w:t>Специально-подготовительные упражнения для начального обучения технике спортивного туризма.</w:t>
      </w:r>
    </w:p>
    <w:p w14:paraId="377862D0">
      <w:pPr>
        <w:pStyle w:val="85"/>
        <w:spacing w:before="240"/>
        <w:ind w:firstLine="540"/>
        <w:jc w:val="both"/>
        <w:rPr>
          <w:color w:val="auto"/>
          <w:sz w:val="22"/>
          <w:szCs w:val="22"/>
        </w:rPr>
      </w:pPr>
      <w:r>
        <w:rPr>
          <w:color w:val="auto"/>
          <w:sz w:val="22"/>
          <w:szCs w:val="22"/>
        </w:rPr>
        <w:t>Учебные игры по спортивному туризму. Прохождение отдельных этапов дистанции или маршрута. Участие в соревновательной деятельности.</w:t>
      </w:r>
    </w:p>
    <w:p w14:paraId="7A26B141">
      <w:pPr>
        <w:pStyle w:val="85"/>
        <w:spacing w:before="240"/>
        <w:ind w:firstLine="540"/>
        <w:jc w:val="both"/>
        <w:rPr>
          <w:color w:val="auto"/>
          <w:sz w:val="22"/>
          <w:szCs w:val="22"/>
        </w:rPr>
      </w:pPr>
      <w:r>
        <w:rPr>
          <w:color w:val="auto"/>
          <w:sz w:val="22"/>
          <w:szCs w:val="22"/>
        </w:rPr>
        <w:t>16.4.20.7. Содержание модуля "Спортивный туризм" направлено на достижение обучающимися личностных, метапредметных и предметных результатов обучения.</w:t>
      </w:r>
    </w:p>
    <w:p w14:paraId="24F696E1">
      <w:pPr>
        <w:pStyle w:val="85"/>
        <w:spacing w:before="240"/>
        <w:ind w:firstLine="540"/>
        <w:jc w:val="both"/>
        <w:rPr>
          <w:color w:val="auto"/>
          <w:sz w:val="22"/>
          <w:szCs w:val="22"/>
        </w:rPr>
      </w:pPr>
      <w:r>
        <w:rPr>
          <w:color w:val="auto"/>
          <w:sz w:val="22"/>
          <w:szCs w:val="22"/>
        </w:rPr>
        <w:t>16.4.20.7.1. В результате изучения модуля "Спортивный туризм" на уровне начального общего образования у обучающихся будут сформированы следующие личностные результаты:</w:t>
      </w:r>
    </w:p>
    <w:p w14:paraId="012E9B4C">
      <w:pPr>
        <w:pStyle w:val="85"/>
        <w:spacing w:before="240"/>
        <w:ind w:firstLine="540"/>
        <w:jc w:val="both"/>
        <w:rPr>
          <w:color w:val="auto"/>
          <w:sz w:val="22"/>
          <w:szCs w:val="22"/>
        </w:rPr>
      </w:pPr>
      <w:r>
        <w:rPr>
          <w:color w:val="auto"/>
          <w:sz w:val="22"/>
          <w:szCs w:val="22"/>
        </w:rPr>
        <w:t>проявление чувства гордости за свою Родину, российский народ и историю России через знание истории родного края и современного состояния развития спортивного туризма;</w:t>
      </w:r>
    </w:p>
    <w:p w14:paraId="25CFAE0E">
      <w:pPr>
        <w:pStyle w:val="85"/>
        <w:spacing w:before="240"/>
        <w:ind w:firstLine="540"/>
        <w:jc w:val="both"/>
        <w:rPr>
          <w:color w:val="auto"/>
          <w:sz w:val="22"/>
          <w:szCs w:val="22"/>
        </w:rPr>
      </w:pPr>
      <w:r>
        <w:rPr>
          <w:color w:val="auto"/>
          <w:sz w:val="22"/>
          <w:szCs w:val="22"/>
        </w:rPr>
        <w:t>проявление уважительного отношения к сверстникам, культуры общения и взаимодействия, нравственного поведения, проявление положительных качеств личности, осознанного и ответственного отношения к собственным поступкам, решение проблем в процессе занятий спортивным туризмом;</w:t>
      </w:r>
    </w:p>
    <w:p w14:paraId="55710B85">
      <w:pPr>
        <w:pStyle w:val="85"/>
        <w:spacing w:before="240"/>
        <w:ind w:firstLine="540"/>
        <w:jc w:val="both"/>
        <w:rPr>
          <w:color w:val="auto"/>
          <w:sz w:val="22"/>
          <w:szCs w:val="22"/>
        </w:rPr>
      </w:pPr>
      <w:r>
        <w:rPr>
          <w:color w:val="auto"/>
          <w:sz w:val="22"/>
          <w:szCs w:val="22"/>
        </w:rPr>
        <w:t>понимание ценности здорового и безопасного образа жизни, усвоение правил безопасного поведения в учебной, соревновательной, досуговой деятельности и чрезвычайных ситуациях при занятии спортивным туризмом.</w:t>
      </w:r>
    </w:p>
    <w:p w14:paraId="04A56C55">
      <w:pPr>
        <w:pStyle w:val="85"/>
        <w:spacing w:before="240"/>
        <w:ind w:firstLine="540"/>
        <w:jc w:val="both"/>
        <w:rPr>
          <w:color w:val="auto"/>
          <w:sz w:val="22"/>
          <w:szCs w:val="22"/>
        </w:rPr>
      </w:pPr>
      <w:r>
        <w:rPr>
          <w:color w:val="auto"/>
          <w:sz w:val="22"/>
          <w:szCs w:val="22"/>
        </w:rPr>
        <w:t>16.4.20.7.2. В результате изучения модуля "Спортивный туризм" на уровне начального общего образования у обучающихся будут сформированы следующие метапредметные результаты:</w:t>
      </w:r>
    </w:p>
    <w:p w14:paraId="4DA74A03">
      <w:pPr>
        <w:pStyle w:val="85"/>
        <w:spacing w:before="240"/>
        <w:ind w:firstLine="540"/>
        <w:jc w:val="both"/>
        <w:rPr>
          <w:color w:val="auto"/>
          <w:sz w:val="22"/>
          <w:szCs w:val="22"/>
        </w:rPr>
      </w:pPr>
      <w:r>
        <w:rPr>
          <w:color w:val="auto"/>
          <w:sz w:val="22"/>
          <w:szCs w:val="22"/>
        </w:rPr>
        <w:t>умение самостоятельно определять цели своего обучения средствами спортивного туризма и составлять планы в рамках физкультурно-спортивной деятельности, выбирать успешную стратегию и тактику в различных ситуациях;</w:t>
      </w:r>
    </w:p>
    <w:p w14:paraId="0C8FDBEB">
      <w:pPr>
        <w:pStyle w:val="85"/>
        <w:spacing w:before="240"/>
        <w:ind w:firstLine="540"/>
        <w:jc w:val="both"/>
        <w:rPr>
          <w:color w:val="auto"/>
          <w:sz w:val="22"/>
          <w:szCs w:val="22"/>
        </w:rPr>
      </w:pPr>
      <w:r>
        <w:rPr>
          <w:color w:val="auto"/>
          <w:sz w:val="22"/>
          <w:szCs w:val="22"/>
        </w:rPr>
        <w:t>умение самостоятельно планировать пути достижения целей, в том числе альтернативные, осознанно выбирать наиболее эффективные способы решения задач в учебной, игровой, соревновательной и досуговой деятельности, оценивать правильность выполнения задач, собственные возможности их решения;</w:t>
      </w:r>
    </w:p>
    <w:p w14:paraId="1C120515">
      <w:pPr>
        <w:pStyle w:val="85"/>
        <w:spacing w:before="240"/>
        <w:ind w:firstLine="540"/>
        <w:jc w:val="both"/>
        <w:rPr>
          <w:color w:val="auto"/>
          <w:sz w:val="22"/>
          <w:szCs w:val="22"/>
        </w:rPr>
      </w:pPr>
      <w:r>
        <w:rPr>
          <w:color w:val="auto"/>
          <w:sz w:val="22"/>
          <w:szCs w:val="22"/>
        </w:rPr>
        <w:t>владение основами самоконтроля, самооценки, принятия решений и осуществления осознанного выбора в учебной и познавательной деятельности;</w:t>
      </w:r>
    </w:p>
    <w:p w14:paraId="420B7E08">
      <w:pPr>
        <w:pStyle w:val="85"/>
        <w:spacing w:before="240"/>
        <w:ind w:firstLine="540"/>
        <w:jc w:val="both"/>
        <w:rPr>
          <w:color w:val="auto"/>
          <w:sz w:val="22"/>
          <w:szCs w:val="22"/>
        </w:rPr>
      </w:pPr>
      <w:r>
        <w:rPr>
          <w:color w:val="auto"/>
          <w:sz w:val="22"/>
          <w:szCs w:val="22"/>
        </w:rPr>
        <w:t>умение организовывать совместную деятельность с учителем и сверстниками, работать индивидуально и в группе, формулировать, аргументировать и отстаивать свое мнение, соблюдать нормы информационной избирательности, этики и этикета.</w:t>
      </w:r>
    </w:p>
    <w:p w14:paraId="032F80D6">
      <w:pPr>
        <w:pStyle w:val="85"/>
        <w:spacing w:before="240"/>
        <w:ind w:firstLine="540"/>
        <w:jc w:val="both"/>
        <w:rPr>
          <w:color w:val="auto"/>
          <w:sz w:val="22"/>
          <w:szCs w:val="22"/>
        </w:rPr>
      </w:pPr>
      <w:r>
        <w:rPr>
          <w:color w:val="auto"/>
          <w:sz w:val="22"/>
          <w:szCs w:val="22"/>
        </w:rPr>
        <w:t>16.4.20.7.3. В результате изучения модуля "Спортивный туризм" на уровне начального общего образования у обучающихся будут сформированы следующие предметные результаты:</w:t>
      </w:r>
    </w:p>
    <w:p w14:paraId="4B94A492">
      <w:pPr>
        <w:pStyle w:val="85"/>
        <w:spacing w:before="240"/>
        <w:ind w:firstLine="540"/>
        <w:jc w:val="both"/>
        <w:rPr>
          <w:color w:val="auto"/>
          <w:sz w:val="22"/>
          <w:szCs w:val="22"/>
        </w:rPr>
      </w:pPr>
      <w:r>
        <w:rPr>
          <w:color w:val="auto"/>
          <w:sz w:val="22"/>
          <w:szCs w:val="22"/>
        </w:rPr>
        <w:t>понимание роли и значения занятий спортивным туризмом в формировании личностных качеств, в активном включении в здоровый образ жизни, укреплении и сохранении индивидуального здоровья;</w:t>
      </w:r>
    </w:p>
    <w:p w14:paraId="2F04DE5D">
      <w:pPr>
        <w:pStyle w:val="85"/>
        <w:spacing w:before="240"/>
        <w:ind w:firstLine="540"/>
        <w:jc w:val="both"/>
        <w:rPr>
          <w:color w:val="auto"/>
          <w:sz w:val="22"/>
          <w:szCs w:val="22"/>
        </w:rPr>
      </w:pPr>
      <w:r>
        <w:rPr>
          <w:color w:val="auto"/>
          <w:sz w:val="22"/>
          <w:szCs w:val="22"/>
        </w:rPr>
        <w:t>знание правил проведения соревнований по спортивному туризму в учебной, соревновательной и досуговой деятельности;</w:t>
      </w:r>
    </w:p>
    <w:p w14:paraId="7A8674E9">
      <w:pPr>
        <w:pStyle w:val="85"/>
        <w:spacing w:before="240"/>
        <w:ind w:firstLine="540"/>
        <w:jc w:val="both"/>
        <w:rPr>
          <w:color w:val="auto"/>
          <w:sz w:val="22"/>
          <w:szCs w:val="22"/>
        </w:rPr>
      </w:pPr>
      <w:r>
        <w:rPr>
          <w:color w:val="auto"/>
          <w:sz w:val="22"/>
          <w:szCs w:val="22"/>
        </w:rPr>
        <w:t>освоение и демонстрация основных технических приемов в спортивном туризме;</w:t>
      </w:r>
    </w:p>
    <w:p w14:paraId="2E3EA9AA">
      <w:pPr>
        <w:pStyle w:val="85"/>
        <w:spacing w:before="240"/>
        <w:ind w:firstLine="540"/>
        <w:jc w:val="both"/>
        <w:rPr>
          <w:color w:val="auto"/>
          <w:sz w:val="22"/>
          <w:szCs w:val="22"/>
        </w:rPr>
      </w:pPr>
      <w:r>
        <w:rPr>
          <w:color w:val="auto"/>
          <w:sz w:val="22"/>
          <w:szCs w:val="22"/>
        </w:rPr>
        <w:t>умение подбирать, составлять и осваивать самостоятельно, при участии и помощи родителей простейшие комплексы общеразвивающих, специальных и имитационных упражнений для занятий спортивным туризмом;</w:t>
      </w:r>
    </w:p>
    <w:p w14:paraId="1B46C0C9">
      <w:pPr>
        <w:pStyle w:val="85"/>
        <w:spacing w:before="240"/>
        <w:ind w:firstLine="540"/>
        <w:jc w:val="both"/>
        <w:rPr>
          <w:color w:val="auto"/>
          <w:sz w:val="22"/>
          <w:szCs w:val="22"/>
        </w:rPr>
      </w:pPr>
      <w:r>
        <w:rPr>
          <w:color w:val="auto"/>
          <w:sz w:val="22"/>
          <w:szCs w:val="22"/>
        </w:rPr>
        <w:t>соблюдение правил личной гигиены и ухода за туристским снаряжением и оборудованием, правил подбора одежды и обуви для занятий спортивным туризмом;</w:t>
      </w:r>
    </w:p>
    <w:p w14:paraId="44C01AB6">
      <w:pPr>
        <w:pStyle w:val="85"/>
        <w:spacing w:before="240"/>
        <w:ind w:firstLine="540"/>
        <w:jc w:val="both"/>
        <w:rPr>
          <w:color w:val="auto"/>
          <w:sz w:val="22"/>
          <w:szCs w:val="22"/>
        </w:rPr>
      </w:pPr>
      <w:r>
        <w:rPr>
          <w:color w:val="auto"/>
          <w:sz w:val="22"/>
          <w:szCs w:val="22"/>
        </w:rPr>
        <w:t>умение осуществлять самоконтроль за физической нагрузкой в процессе занятий спортивным туризмом, применять средства восстановления организма после физической нагрузки;</w:t>
      </w:r>
    </w:p>
    <w:p w14:paraId="013CEBB5">
      <w:pPr>
        <w:pStyle w:val="85"/>
        <w:spacing w:before="240"/>
        <w:ind w:firstLine="540"/>
        <w:jc w:val="both"/>
        <w:rPr>
          <w:color w:val="auto"/>
          <w:sz w:val="22"/>
          <w:szCs w:val="22"/>
        </w:rPr>
      </w:pPr>
      <w:r>
        <w:rPr>
          <w:color w:val="auto"/>
          <w:sz w:val="22"/>
          <w:szCs w:val="22"/>
        </w:rPr>
        <w:t>умение демонстрировать общеразвивающие специальные и имитационные упражнения для развития физических качеств, базовых технических приемов;</w:t>
      </w:r>
    </w:p>
    <w:p w14:paraId="5C41A3DF">
      <w:pPr>
        <w:pStyle w:val="85"/>
        <w:spacing w:before="240"/>
        <w:ind w:firstLine="540"/>
        <w:jc w:val="both"/>
        <w:rPr>
          <w:color w:val="auto"/>
          <w:sz w:val="22"/>
          <w:szCs w:val="22"/>
        </w:rPr>
      </w:pPr>
      <w:r>
        <w:rPr>
          <w:color w:val="auto"/>
          <w:sz w:val="22"/>
          <w:szCs w:val="22"/>
        </w:rPr>
        <w:t>участие в соревновательной деятельности внутри школьных этапов различных соревнований, участие в соревнованиях по спортивному туризму;</w:t>
      </w:r>
    </w:p>
    <w:p w14:paraId="593805E7">
      <w:pPr>
        <w:pStyle w:val="85"/>
        <w:spacing w:before="240"/>
        <w:ind w:firstLine="540"/>
        <w:jc w:val="both"/>
        <w:rPr>
          <w:color w:val="auto"/>
          <w:sz w:val="22"/>
          <w:szCs w:val="22"/>
        </w:rPr>
      </w:pPr>
      <w:r>
        <w:rPr>
          <w:color w:val="auto"/>
          <w:sz w:val="22"/>
          <w:szCs w:val="22"/>
        </w:rPr>
        <w:t>знание и выполнение тестовых упражнений по физической подготовленности юных туристов.</w:t>
      </w:r>
    </w:p>
    <w:p w14:paraId="7B953C1D">
      <w:pPr>
        <w:pStyle w:val="85"/>
        <w:spacing w:before="240"/>
        <w:ind w:firstLine="540"/>
        <w:jc w:val="both"/>
        <w:rPr>
          <w:color w:val="auto"/>
          <w:sz w:val="22"/>
          <w:szCs w:val="22"/>
        </w:rPr>
      </w:pPr>
      <w:r>
        <w:rPr>
          <w:color w:val="auto"/>
          <w:sz w:val="22"/>
          <w:szCs w:val="22"/>
        </w:rPr>
        <w:t>16.4.21. Модуль "Хоккей на траве".</w:t>
      </w:r>
    </w:p>
    <w:p w14:paraId="51DCC67C">
      <w:pPr>
        <w:pStyle w:val="85"/>
        <w:spacing w:before="240"/>
        <w:ind w:firstLine="540"/>
        <w:jc w:val="both"/>
        <w:rPr>
          <w:color w:val="auto"/>
          <w:sz w:val="22"/>
          <w:szCs w:val="22"/>
        </w:rPr>
      </w:pPr>
      <w:r>
        <w:rPr>
          <w:color w:val="auto"/>
          <w:sz w:val="22"/>
          <w:szCs w:val="22"/>
        </w:rPr>
        <w:t>16.4.21.1. Пояснительная записка модуля "Хоккей на траве".</w:t>
      </w:r>
    </w:p>
    <w:p w14:paraId="129A0796">
      <w:pPr>
        <w:pStyle w:val="85"/>
        <w:spacing w:before="240"/>
        <w:ind w:firstLine="540"/>
        <w:jc w:val="both"/>
        <w:rPr>
          <w:color w:val="auto"/>
          <w:sz w:val="22"/>
          <w:szCs w:val="22"/>
        </w:rPr>
      </w:pPr>
      <w:r>
        <w:rPr>
          <w:color w:val="auto"/>
          <w:sz w:val="22"/>
          <w:szCs w:val="22"/>
        </w:rPr>
        <w:t>Модуль "Хоккей на траве" (далее - модуль "Хоккей на траве", модуль по хоккею на траве, хоккей на траве) на уровне начального общего образования разработан с целью оказания методической помощи учителю физической культуры в создании части рабочей программы по учебному предмету "Физическая культура", направленной на формирование общих представлений о физической культуре и спорте, физической активности человека, физических качествах, жизненно важных прикладных умениях и навыках, основных физических упражнениях (игровых и спортивных) с целью достижения результатов ФГОС НОО, с учетом современных тенденций в системе образования и использования спортивно-ориентированных форм, средств и методов обучения по различным видам спорта.</w:t>
      </w:r>
    </w:p>
    <w:p w14:paraId="1904FCA8">
      <w:pPr>
        <w:pStyle w:val="85"/>
        <w:spacing w:before="240"/>
        <w:ind w:firstLine="540"/>
        <w:jc w:val="both"/>
        <w:rPr>
          <w:color w:val="auto"/>
          <w:sz w:val="22"/>
          <w:szCs w:val="22"/>
        </w:rPr>
      </w:pPr>
      <w:r>
        <w:rPr>
          <w:color w:val="auto"/>
          <w:sz w:val="22"/>
          <w:szCs w:val="22"/>
        </w:rPr>
        <w:t>Хоккей на траве является эффективным средством физического воспитания и содействует всестороннему физическому, интеллектуальному, нравственному развитию обучающихся, укреплению здоровья, привлечению обучающихся к систематическим занятиям физической культурой и спортом, их личностному и профессиональному самоопределению.</w:t>
      </w:r>
    </w:p>
    <w:p w14:paraId="458028DC">
      <w:pPr>
        <w:pStyle w:val="85"/>
        <w:spacing w:before="240"/>
        <w:ind w:firstLine="540"/>
        <w:jc w:val="both"/>
        <w:rPr>
          <w:color w:val="auto"/>
          <w:sz w:val="22"/>
          <w:szCs w:val="22"/>
        </w:rPr>
      </w:pPr>
      <w:r>
        <w:rPr>
          <w:color w:val="auto"/>
          <w:sz w:val="22"/>
          <w:szCs w:val="22"/>
        </w:rPr>
        <w:t>Выполнение сложнокоординационных, технико-тактических действий в хоккее на траве обеспечивает эффективное развитие физических качеств и двигательных навыков. Средства хоккея на траве формируют у обучающихся чувство патриотизма, нравственные качества (честность, доброжелательность, дисциплинированность, самообладание, терпимость, коллективизм) в сочетании с волевыми качествами (смелость, решительность, инициатива, трудолюбие, настойчивость и целеустремленность, способность управлять своими эмоциями).</w:t>
      </w:r>
    </w:p>
    <w:p w14:paraId="5B5AA05B">
      <w:pPr>
        <w:pStyle w:val="85"/>
        <w:spacing w:before="240"/>
        <w:ind w:firstLine="540"/>
        <w:jc w:val="both"/>
        <w:rPr>
          <w:color w:val="auto"/>
          <w:sz w:val="22"/>
          <w:szCs w:val="22"/>
        </w:rPr>
      </w:pPr>
      <w:r>
        <w:rPr>
          <w:color w:val="auto"/>
          <w:sz w:val="22"/>
          <w:szCs w:val="22"/>
        </w:rPr>
        <w:t>16.4.21.2. Целью изучения модуля "Хоккей на траве" является формирование у обучающихся навыков общечеловеческой культуры и социального самоопределения, устойчивой мотивации к сохранению и укреплению собственного здоровья, ведению здорового и безопасного образа жизни через занятия физической культурой и спортом с использованием средств хоккея на траве.</w:t>
      </w:r>
    </w:p>
    <w:p w14:paraId="56B5DB0D">
      <w:pPr>
        <w:pStyle w:val="85"/>
        <w:spacing w:before="240"/>
        <w:ind w:firstLine="540"/>
        <w:jc w:val="both"/>
        <w:rPr>
          <w:color w:val="auto"/>
          <w:sz w:val="22"/>
          <w:szCs w:val="22"/>
        </w:rPr>
      </w:pPr>
      <w:r>
        <w:rPr>
          <w:color w:val="auto"/>
          <w:sz w:val="22"/>
          <w:szCs w:val="22"/>
        </w:rPr>
        <w:t>16.4.21.3. Задачами изучения модуля "Хоккей на траве" являются:</w:t>
      </w:r>
    </w:p>
    <w:p w14:paraId="71EB93FD">
      <w:pPr>
        <w:pStyle w:val="85"/>
        <w:spacing w:before="240"/>
        <w:ind w:firstLine="540"/>
        <w:jc w:val="both"/>
        <w:rPr>
          <w:color w:val="auto"/>
          <w:sz w:val="22"/>
          <w:szCs w:val="22"/>
        </w:rPr>
      </w:pPr>
      <w:r>
        <w:rPr>
          <w:color w:val="auto"/>
          <w:sz w:val="22"/>
          <w:szCs w:val="22"/>
        </w:rPr>
        <w:t>всестороннее гармоничное развитие обучающихся, увеличение объема их двигательной активности;</w:t>
      </w:r>
    </w:p>
    <w:p w14:paraId="1106D188">
      <w:pPr>
        <w:pStyle w:val="85"/>
        <w:spacing w:before="240"/>
        <w:ind w:firstLine="540"/>
        <w:jc w:val="both"/>
        <w:rPr>
          <w:color w:val="auto"/>
          <w:sz w:val="22"/>
          <w:szCs w:val="22"/>
        </w:rPr>
      </w:pPr>
      <w:r>
        <w:rPr>
          <w:color w:val="auto"/>
          <w:sz w:val="22"/>
          <w:szCs w:val="22"/>
        </w:rPr>
        <w:t>укрепление физического, психологического и социального здоровья обучающихся, развитие основных физических качеств и повышение функциональных возможностей их организма, обеспечение культуры безопасного поведения на занятиях по хоккею на траве;</w:t>
      </w:r>
    </w:p>
    <w:p w14:paraId="279D30F0">
      <w:pPr>
        <w:pStyle w:val="85"/>
        <w:spacing w:before="240"/>
        <w:ind w:firstLine="540"/>
        <w:jc w:val="both"/>
        <w:rPr>
          <w:color w:val="auto"/>
          <w:sz w:val="22"/>
          <w:szCs w:val="22"/>
        </w:rPr>
      </w:pPr>
      <w:r>
        <w:rPr>
          <w:color w:val="auto"/>
          <w:sz w:val="22"/>
          <w:szCs w:val="22"/>
        </w:rPr>
        <w:t>освоение знаний о физической культуре и спорте в целом, истории развития хоккея на траве в частности;</w:t>
      </w:r>
    </w:p>
    <w:p w14:paraId="653B4AE7">
      <w:pPr>
        <w:pStyle w:val="85"/>
        <w:spacing w:before="240"/>
        <w:ind w:firstLine="540"/>
        <w:jc w:val="both"/>
        <w:rPr>
          <w:color w:val="auto"/>
          <w:sz w:val="22"/>
          <w:szCs w:val="22"/>
        </w:rPr>
      </w:pPr>
      <w:r>
        <w:rPr>
          <w:color w:val="auto"/>
          <w:sz w:val="22"/>
          <w:szCs w:val="22"/>
        </w:rPr>
        <w:t>формирование общих представлений о хоккее на траве, его истории, возможностях и значении в процессе укрепления здоровья, физическом развитии и физической подготовке обучающихся;</w:t>
      </w:r>
    </w:p>
    <w:p w14:paraId="676CA08F">
      <w:pPr>
        <w:pStyle w:val="85"/>
        <w:spacing w:before="240"/>
        <w:ind w:firstLine="540"/>
        <w:jc w:val="both"/>
        <w:rPr>
          <w:color w:val="auto"/>
          <w:sz w:val="22"/>
          <w:szCs w:val="22"/>
        </w:rPr>
      </w:pPr>
      <w:r>
        <w:rPr>
          <w:color w:val="auto"/>
          <w:sz w:val="22"/>
          <w:szCs w:val="22"/>
        </w:rPr>
        <w:t>формирование образовательного фундамента, основанного как на знаниях и умениях в области физической культуры и спорта, так и на соответствующем культурном уровне развития личности обучающегося, создающего необходимые предпосылки для его самореализации;</w:t>
      </w:r>
    </w:p>
    <w:p w14:paraId="6F206F1C">
      <w:pPr>
        <w:pStyle w:val="85"/>
        <w:spacing w:before="240"/>
        <w:ind w:firstLine="540"/>
        <w:jc w:val="both"/>
        <w:rPr>
          <w:color w:val="auto"/>
          <w:sz w:val="22"/>
          <w:szCs w:val="22"/>
        </w:rPr>
      </w:pPr>
      <w:r>
        <w:rPr>
          <w:color w:val="auto"/>
          <w:sz w:val="22"/>
          <w:szCs w:val="22"/>
        </w:rPr>
        <w:t>формирование культуры движений, обогащение двигательного опыта физическими упражнениями с общеразвивающей и корригирующей направленностью, техническими действиями и приемами хоккея на траве;</w:t>
      </w:r>
    </w:p>
    <w:p w14:paraId="0E507D44">
      <w:pPr>
        <w:pStyle w:val="85"/>
        <w:spacing w:before="240"/>
        <w:ind w:firstLine="540"/>
        <w:jc w:val="both"/>
        <w:rPr>
          <w:color w:val="auto"/>
          <w:sz w:val="22"/>
          <w:szCs w:val="22"/>
        </w:rPr>
      </w:pPr>
      <w:r>
        <w:rPr>
          <w:color w:val="auto"/>
          <w:sz w:val="22"/>
          <w:szCs w:val="22"/>
        </w:rPr>
        <w:t>воспитание положительных качеств личности, норм коллективного взаимодействия и сотрудничества в образовательной и соревновательной деятельности;</w:t>
      </w:r>
    </w:p>
    <w:p w14:paraId="3ACEDD3B">
      <w:pPr>
        <w:pStyle w:val="85"/>
        <w:spacing w:before="240"/>
        <w:ind w:firstLine="540"/>
        <w:jc w:val="both"/>
        <w:rPr>
          <w:color w:val="auto"/>
          <w:sz w:val="22"/>
          <w:szCs w:val="22"/>
        </w:rPr>
      </w:pPr>
      <w:r>
        <w:rPr>
          <w:color w:val="auto"/>
          <w:sz w:val="22"/>
          <w:szCs w:val="22"/>
        </w:rPr>
        <w:t>развитие положительной мотивации и устойчивого учебно-познавательного интереса к учебному предмету "Физическая культура", удовлетворение индивидуальных потребностей, обучающихся в занятиях физической культурой и спортом средствами хоккея на траве;</w:t>
      </w:r>
    </w:p>
    <w:p w14:paraId="6EB13E63">
      <w:pPr>
        <w:pStyle w:val="85"/>
        <w:spacing w:before="240"/>
        <w:ind w:firstLine="540"/>
        <w:jc w:val="both"/>
        <w:rPr>
          <w:color w:val="auto"/>
          <w:sz w:val="22"/>
          <w:szCs w:val="22"/>
        </w:rPr>
      </w:pPr>
      <w:r>
        <w:rPr>
          <w:color w:val="auto"/>
          <w:sz w:val="22"/>
          <w:szCs w:val="22"/>
        </w:rPr>
        <w:t>популяризация хоккея на траве, привлечение обучающихся, проявляющих повышенный интерес и способности к занятиям хоккеем на траве, в школьные спортивные клубы, секции, к участию в соревнованиях;</w:t>
      </w:r>
    </w:p>
    <w:p w14:paraId="49E3FE2F">
      <w:pPr>
        <w:pStyle w:val="85"/>
        <w:spacing w:before="240"/>
        <w:ind w:firstLine="540"/>
        <w:jc w:val="both"/>
        <w:rPr>
          <w:color w:val="auto"/>
          <w:sz w:val="22"/>
          <w:szCs w:val="22"/>
        </w:rPr>
      </w:pPr>
      <w:r>
        <w:rPr>
          <w:color w:val="auto"/>
          <w:sz w:val="22"/>
          <w:szCs w:val="22"/>
        </w:rPr>
        <w:t>выявление, развитие и поддержка одаренных детей в области спорта.</w:t>
      </w:r>
    </w:p>
    <w:p w14:paraId="5A6EB64A">
      <w:pPr>
        <w:pStyle w:val="85"/>
        <w:spacing w:before="240"/>
        <w:ind w:firstLine="540"/>
        <w:jc w:val="both"/>
        <w:rPr>
          <w:color w:val="auto"/>
          <w:sz w:val="22"/>
          <w:szCs w:val="22"/>
        </w:rPr>
      </w:pPr>
      <w:r>
        <w:rPr>
          <w:color w:val="auto"/>
          <w:sz w:val="22"/>
          <w:szCs w:val="22"/>
        </w:rPr>
        <w:t>16.4.21.4. Место и роль модуля "Хоккей на траве".</w:t>
      </w:r>
    </w:p>
    <w:p w14:paraId="7C76ED03">
      <w:pPr>
        <w:pStyle w:val="85"/>
        <w:spacing w:before="240"/>
        <w:ind w:firstLine="540"/>
        <w:jc w:val="both"/>
        <w:rPr>
          <w:color w:val="auto"/>
          <w:sz w:val="22"/>
          <w:szCs w:val="22"/>
        </w:rPr>
      </w:pPr>
      <w:r>
        <w:rPr>
          <w:color w:val="auto"/>
          <w:sz w:val="22"/>
          <w:szCs w:val="22"/>
        </w:rPr>
        <w:t>Модуль "Хоккей на траве" доступен для освоения всем обучающимся, и обеспечивает достижение следующих результатов ФГОС НОО: сформированность общих представлений о физической культуре и спорте, физической активности человека, физических качествах, жизненно важных прикладных умениях и навыках, основных физических упражнениях (гимнастических, игровых, туристических и спортивных).</w:t>
      </w:r>
    </w:p>
    <w:p w14:paraId="5E7D03BB">
      <w:pPr>
        <w:pStyle w:val="85"/>
        <w:spacing w:before="240"/>
        <w:ind w:firstLine="540"/>
        <w:jc w:val="both"/>
        <w:rPr>
          <w:color w:val="auto"/>
          <w:sz w:val="22"/>
          <w:szCs w:val="22"/>
        </w:rPr>
      </w:pPr>
      <w:r>
        <w:rPr>
          <w:color w:val="auto"/>
          <w:sz w:val="22"/>
          <w:szCs w:val="22"/>
        </w:rPr>
        <w:t>Программное содержание модуля "Хоккей на траве" может быть использовано в разделах "Знания о физической культуре", "Способы самостоятельной деятельности", "Физическое совершенствование".</w:t>
      </w:r>
    </w:p>
    <w:p w14:paraId="2078FD68">
      <w:pPr>
        <w:pStyle w:val="85"/>
        <w:spacing w:before="240"/>
        <w:ind w:firstLine="540"/>
        <w:jc w:val="both"/>
        <w:rPr>
          <w:color w:val="auto"/>
          <w:sz w:val="22"/>
          <w:szCs w:val="22"/>
        </w:rPr>
      </w:pPr>
      <w:r>
        <w:rPr>
          <w:color w:val="auto"/>
          <w:sz w:val="22"/>
          <w:szCs w:val="22"/>
        </w:rPr>
        <w:t>Интеграция модуля по хоккею на траве поможет обучающимся в освоении образовательных программ в рамках внеурочной деятельности, дополнительного образования, деятельности школьных спортивных клубов, подготовке обучающихся к сдаче норм ГТО и участии в спортивных соревнованиях.</w:t>
      </w:r>
    </w:p>
    <w:p w14:paraId="1D4F2FB4">
      <w:pPr>
        <w:pStyle w:val="85"/>
        <w:spacing w:before="240"/>
        <w:ind w:firstLine="540"/>
        <w:jc w:val="both"/>
        <w:rPr>
          <w:color w:val="auto"/>
          <w:sz w:val="22"/>
          <w:szCs w:val="22"/>
        </w:rPr>
      </w:pPr>
      <w:r>
        <w:rPr>
          <w:color w:val="auto"/>
          <w:sz w:val="22"/>
          <w:szCs w:val="22"/>
        </w:rPr>
        <w:t>16.4.21.5. Модуль "Хоккей на траве" может быть реализован в следующих вариантах:</w:t>
      </w:r>
    </w:p>
    <w:p w14:paraId="122508F7">
      <w:pPr>
        <w:pStyle w:val="85"/>
        <w:spacing w:before="240"/>
        <w:ind w:firstLine="540"/>
        <w:jc w:val="both"/>
        <w:rPr>
          <w:color w:val="auto"/>
          <w:sz w:val="22"/>
          <w:szCs w:val="22"/>
        </w:rPr>
      </w:pPr>
      <w:r>
        <w:rPr>
          <w:color w:val="auto"/>
          <w:sz w:val="22"/>
          <w:szCs w:val="22"/>
        </w:rPr>
        <w:t>при самостоятельном планировании учителем физической культуры процесса освоения обучающимися учебного материала по хоккею на траве с выбором различных элементов специальных физических упражнений, игр и (или) элементов игры, с учетом возраста и физической подготовленности обучающихся (с соответствующей дозировкой и интенсивностью);</w:t>
      </w:r>
    </w:p>
    <w:p w14:paraId="4EC48E60">
      <w:pPr>
        <w:pStyle w:val="85"/>
        <w:spacing w:before="240"/>
        <w:ind w:firstLine="540"/>
        <w:jc w:val="both"/>
        <w:rPr>
          <w:color w:val="auto"/>
          <w:sz w:val="22"/>
          <w:szCs w:val="22"/>
        </w:rPr>
      </w:pPr>
      <w:r>
        <w:rPr>
          <w:color w:val="auto"/>
          <w:sz w:val="22"/>
          <w:szCs w:val="22"/>
        </w:rPr>
        <w:t>в виде дополнительных часов, выделяемых на спортивно-оздоровительную работу с обучающимися в рамках внеурочной деятельности и (или) за счет посещения обучающимися спортивных секций школьных спортивных клубов (рекомендуемый объем в 1 классе - 33 часа, во 2 - 4 классах - по 34 часа).</w:t>
      </w:r>
    </w:p>
    <w:p w14:paraId="0E105CBB">
      <w:pPr>
        <w:pStyle w:val="85"/>
        <w:spacing w:before="240"/>
        <w:ind w:firstLine="540"/>
        <w:jc w:val="both"/>
        <w:rPr>
          <w:color w:val="auto"/>
          <w:sz w:val="22"/>
          <w:szCs w:val="22"/>
        </w:rPr>
      </w:pPr>
      <w:r>
        <w:rPr>
          <w:color w:val="auto"/>
          <w:sz w:val="22"/>
          <w:szCs w:val="22"/>
        </w:rPr>
        <w:t>16.4.21.6. Содержание модуля "Хоккей на траве".</w:t>
      </w:r>
    </w:p>
    <w:p w14:paraId="151F06F5">
      <w:pPr>
        <w:pStyle w:val="85"/>
        <w:spacing w:before="240"/>
        <w:ind w:firstLine="540"/>
        <w:jc w:val="both"/>
        <w:rPr>
          <w:color w:val="auto"/>
          <w:sz w:val="22"/>
          <w:szCs w:val="22"/>
        </w:rPr>
      </w:pPr>
      <w:r>
        <w:rPr>
          <w:color w:val="auto"/>
          <w:sz w:val="22"/>
          <w:szCs w:val="22"/>
        </w:rPr>
        <w:t>1) Знания о хоккее на траве.</w:t>
      </w:r>
    </w:p>
    <w:p w14:paraId="317150E2">
      <w:pPr>
        <w:pStyle w:val="85"/>
        <w:spacing w:before="240"/>
        <w:ind w:firstLine="540"/>
        <w:jc w:val="both"/>
        <w:rPr>
          <w:color w:val="auto"/>
          <w:sz w:val="22"/>
          <w:szCs w:val="22"/>
        </w:rPr>
      </w:pPr>
      <w:r>
        <w:rPr>
          <w:color w:val="auto"/>
          <w:sz w:val="22"/>
          <w:szCs w:val="22"/>
        </w:rPr>
        <w:t>История зарождения хоккея на траве. Легендарные отечественные хоккеисты и тренеры.</w:t>
      </w:r>
    </w:p>
    <w:p w14:paraId="668194D8">
      <w:pPr>
        <w:pStyle w:val="85"/>
        <w:spacing w:before="240"/>
        <w:ind w:firstLine="540"/>
        <w:jc w:val="both"/>
        <w:rPr>
          <w:color w:val="auto"/>
          <w:sz w:val="22"/>
          <w:szCs w:val="22"/>
        </w:rPr>
      </w:pPr>
      <w:r>
        <w:rPr>
          <w:color w:val="auto"/>
          <w:sz w:val="22"/>
          <w:szCs w:val="22"/>
        </w:rPr>
        <w:t xml:space="preserve">Достижения отечественной сборной команды страны </w:t>
      </w:r>
    </w:p>
    <w:p w14:paraId="0424136B">
      <w:pPr>
        <w:pStyle w:val="85"/>
        <w:spacing w:before="240"/>
        <w:ind w:firstLine="540"/>
        <w:jc w:val="both"/>
        <w:rPr>
          <w:color w:val="auto"/>
          <w:sz w:val="22"/>
          <w:szCs w:val="22"/>
        </w:rPr>
      </w:pPr>
      <w:r>
        <w:rPr>
          <w:color w:val="auto"/>
          <w:sz w:val="22"/>
          <w:szCs w:val="22"/>
        </w:rPr>
        <w:t>Разновидности хоккея на траве. Правила соревнований по хоккею на траве.</w:t>
      </w:r>
    </w:p>
    <w:p w14:paraId="647F0AFC">
      <w:pPr>
        <w:pStyle w:val="85"/>
        <w:spacing w:before="240"/>
        <w:ind w:firstLine="540"/>
        <w:jc w:val="both"/>
        <w:rPr>
          <w:color w:val="auto"/>
          <w:sz w:val="22"/>
          <w:szCs w:val="22"/>
        </w:rPr>
      </w:pPr>
      <w:r>
        <w:rPr>
          <w:color w:val="auto"/>
          <w:sz w:val="22"/>
          <w:szCs w:val="22"/>
        </w:rPr>
        <w:t>Словарь терминов и определений в хоккее на траве.</w:t>
      </w:r>
    </w:p>
    <w:p w14:paraId="2D097636">
      <w:pPr>
        <w:pStyle w:val="85"/>
        <w:spacing w:before="240"/>
        <w:ind w:firstLine="540"/>
        <w:jc w:val="both"/>
        <w:rPr>
          <w:color w:val="auto"/>
          <w:sz w:val="22"/>
          <w:szCs w:val="22"/>
        </w:rPr>
      </w:pPr>
      <w:r>
        <w:rPr>
          <w:color w:val="auto"/>
          <w:sz w:val="22"/>
          <w:szCs w:val="22"/>
        </w:rPr>
        <w:t>Размеры хоккейного поля, его допустимые размеры, инвентарь и оборудование для игры в хоккей на траве.</w:t>
      </w:r>
    </w:p>
    <w:p w14:paraId="4A3125C8">
      <w:pPr>
        <w:pStyle w:val="85"/>
        <w:spacing w:before="240"/>
        <w:ind w:firstLine="540"/>
        <w:jc w:val="both"/>
        <w:rPr>
          <w:color w:val="auto"/>
          <w:sz w:val="22"/>
          <w:szCs w:val="22"/>
        </w:rPr>
      </w:pPr>
      <w:r>
        <w:rPr>
          <w:color w:val="auto"/>
          <w:sz w:val="22"/>
          <w:szCs w:val="22"/>
        </w:rPr>
        <w:t>Состав команды. Функции игроков в команде (форвард (нападающий), защитник, полузащитник, голкипер (вратарь). Роль капитана команды.</w:t>
      </w:r>
    </w:p>
    <w:p w14:paraId="43252FD5">
      <w:pPr>
        <w:pStyle w:val="85"/>
        <w:spacing w:before="240"/>
        <w:ind w:firstLine="540"/>
        <w:jc w:val="both"/>
        <w:rPr>
          <w:color w:val="auto"/>
          <w:sz w:val="22"/>
          <w:szCs w:val="22"/>
        </w:rPr>
      </w:pPr>
      <w:r>
        <w:rPr>
          <w:color w:val="auto"/>
          <w:sz w:val="22"/>
          <w:szCs w:val="22"/>
        </w:rPr>
        <w:t>Занятия хоккеем на траве как средство укрепления здоровья, повышения функциональных возможностей основных систем организма и развития физических качеств. Правила подбора физических упражнений хоккеиста на траве.</w:t>
      </w:r>
    </w:p>
    <w:p w14:paraId="1FECC222">
      <w:pPr>
        <w:pStyle w:val="85"/>
        <w:spacing w:before="240"/>
        <w:ind w:firstLine="540"/>
        <w:jc w:val="both"/>
        <w:rPr>
          <w:color w:val="auto"/>
          <w:sz w:val="22"/>
          <w:szCs w:val="22"/>
        </w:rPr>
      </w:pPr>
      <w:r>
        <w:rPr>
          <w:color w:val="auto"/>
          <w:sz w:val="22"/>
          <w:szCs w:val="22"/>
        </w:rPr>
        <w:t>Комплексы упражнений для воспитания физических качеств хоккеиста. Здоровье формирующие факторы и средства.</w:t>
      </w:r>
    </w:p>
    <w:p w14:paraId="4B5E9747">
      <w:pPr>
        <w:pStyle w:val="85"/>
        <w:spacing w:before="240"/>
        <w:ind w:firstLine="540"/>
        <w:jc w:val="both"/>
        <w:rPr>
          <w:color w:val="auto"/>
          <w:sz w:val="22"/>
          <w:szCs w:val="22"/>
        </w:rPr>
      </w:pPr>
      <w:r>
        <w:rPr>
          <w:color w:val="auto"/>
          <w:sz w:val="22"/>
          <w:szCs w:val="22"/>
        </w:rPr>
        <w:t>Требования безопасности при организации занятий хоккеем на траве. Характерные травмы хоккеистов и мероприятия по их предупреждению.</w:t>
      </w:r>
    </w:p>
    <w:p w14:paraId="642CC96E">
      <w:pPr>
        <w:pStyle w:val="85"/>
        <w:spacing w:before="240"/>
        <w:ind w:firstLine="540"/>
        <w:jc w:val="both"/>
        <w:rPr>
          <w:color w:val="auto"/>
          <w:sz w:val="22"/>
          <w:szCs w:val="22"/>
        </w:rPr>
      </w:pPr>
      <w:r>
        <w:rPr>
          <w:color w:val="auto"/>
          <w:sz w:val="22"/>
          <w:szCs w:val="22"/>
        </w:rPr>
        <w:t>2) Способы самостоятельной деятельности.</w:t>
      </w:r>
    </w:p>
    <w:p w14:paraId="1BB2BCA0">
      <w:pPr>
        <w:pStyle w:val="85"/>
        <w:spacing w:before="240"/>
        <w:ind w:firstLine="540"/>
        <w:jc w:val="both"/>
        <w:rPr>
          <w:color w:val="auto"/>
          <w:sz w:val="22"/>
          <w:szCs w:val="22"/>
        </w:rPr>
      </w:pPr>
      <w:r>
        <w:rPr>
          <w:color w:val="auto"/>
          <w:sz w:val="22"/>
          <w:szCs w:val="22"/>
        </w:rPr>
        <w:t>Первые внешние признаки утомления. Способы самоконтроля за физической нагрузкой.</w:t>
      </w:r>
    </w:p>
    <w:p w14:paraId="791D7D7C">
      <w:pPr>
        <w:pStyle w:val="85"/>
        <w:spacing w:before="240"/>
        <w:ind w:firstLine="540"/>
        <w:jc w:val="both"/>
        <w:rPr>
          <w:color w:val="auto"/>
          <w:sz w:val="22"/>
          <w:szCs w:val="22"/>
        </w:rPr>
      </w:pPr>
      <w:r>
        <w:rPr>
          <w:color w:val="auto"/>
          <w:sz w:val="22"/>
          <w:szCs w:val="22"/>
        </w:rPr>
        <w:t>Уход за хоккейным спортивным инвентарем и оборудованием.</w:t>
      </w:r>
    </w:p>
    <w:p w14:paraId="7E6A698D">
      <w:pPr>
        <w:pStyle w:val="85"/>
        <w:spacing w:before="240"/>
        <w:ind w:firstLine="540"/>
        <w:jc w:val="both"/>
        <w:rPr>
          <w:color w:val="auto"/>
          <w:sz w:val="22"/>
          <w:szCs w:val="22"/>
        </w:rPr>
      </w:pPr>
      <w:r>
        <w:rPr>
          <w:color w:val="auto"/>
          <w:sz w:val="22"/>
          <w:szCs w:val="22"/>
        </w:rPr>
        <w:t>Соблюдение личной гигиены, требований к спортивной одежде и обуви для занятий хоккеем на траве.</w:t>
      </w:r>
    </w:p>
    <w:p w14:paraId="47E6185C">
      <w:pPr>
        <w:pStyle w:val="85"/>
        <w:spacing w:before="240"/>
        <w:ind w:firstLine="540"/>
        <w:jc w:val="both"/>
        <w:rPr>
          <w:color w:val="auto"/>
          <w:sz w:val="22"/>
          <w:szCs w:val="22"/>
        </w:rPr>
      </w:pPr>
      <w:r>
        <w:rPr>
          <w:color w:val="auto"/>
          <w:sz w:val="22"/>
          <w:szCs w:val="22"/>
        </w:rPr>
        <w:t>Составление комплексов различной направленности: утренней гигиенической гимнастики, корригирующей гимнастики с элементами хоккея на траве, дыхательной гимнастики, упражнений для глаз, упражнений формирования осанки и профилактики плоскостопия, упражнений для развития физических качеств, упражнений для укрепления голеностопных суставов.</w:t>
      </w:r>
    </w:p>
    <w:p w14:paraId="2CA39735">
      <w:pPr>
        <w:pStyle w:val="85"/>
        <w:spacing w:before="240"/>
        <w:ind w:firstLine="540"/>
        <w:jc w:val="both"/>
        <w:rPr>
          <w:color w:val="auto"/>
          <w:sz w:val="22"/>
          <w:szCs w:val="22"/>
        </w:rPr>
      </w:pPr>
      <w:r>
        <w:rPr>
          <w:color w:val="auto"/>
          <w:sz w:val="22"/>
          <w:szCs w:val="22"/>
        </w:rPr>
        <w:t>Составление и проведение комплексов общеразвивающих упражнений.</w:t>
      </w:r>
    </w:p>
    <w:p w14:paraId="3E0E4898">
      <w:pPr>
        <w:pStyle w:val="85"/>
        <w:spacing w:before="240"/>
        <w:ind w:firstLine="540"/>
        <w:jc w:val="both"/>
        <w:rPr>
          <w:color w:val="auto"/>
          <w:sz w:val="22"/>
          <w:szCs w:val="22"/>
        </w:rPr>
      </w:pPr>
      <w:r>
        <w:rPr>
          <w:color w:val="auto"/>
          <w:sz w:val="22"/>
          <w:szCs w:val="22"/>
        </w:rPr>
        <w:t>Подвижные игры и правила их проведения.</w:t>
      </w:r>
    </w:p>
    <w:p w14:paraId="2E9BFBF3">
      <w:pPr>
        <w:pStyle w:val="85"/>
        <w:spacing w:before="240"/>
        <w:ind w:firstLine="540"/>
        <w:jc w:val="both"/>
        <w:rPr>
          <w:color w:val="auto"/>
          <w:sz w:val="22"/>
          <w:szCs w:val="22"/>
        </w:rPr>
      </w:pPr>
      <w:r>
        <w:rPr>
          <w:color w:val="auto"/>
          <w:sz w:val="22"/>
          <w:szCs w:val="22"/>
        </w:rPr>
        <w:t>Организация и проведение игр специальной направленности с элементами хоккея на траве.</w:t>
      </w:r>
    </w:p>
    <w:p w14:paraId="6B87F4D6">
      <w:pPr>
        <w:pStyle w:val="85"/>
        <w:spacing w:before="240"/>
        <w:ind w:firstLine="540"/>
        <w:jc w:val="both"/>
        <w:rPr>
          <w:color w:val="auto"/>
          <w:sz w:val="22"/>
          <w:szCs w:val="22"/>
        </w:rPr>
      </w:pPr>
      <w:r>
        <w:rPr>
          <w:color w:val="auto"/>
          <w:sz w:val="22"/>
          <w:szCs w:val="22"/>
        </w:rPr>
        <w:t>Основы организации самостоятельных занятий хоккеем на траве со сверстниками.</w:t>
      </w:r>
    </w:p>
    <w:p w14:paraId="040417A3">
      <w:pPr>
        <w:pStyle w:val="85"/>
        <w:spacing w:before="240"/>
        <w:ind w:firstLine="540"/>
        <w:jc w:val="both"/>
        <w:rPr>
          <w:color w:val="auto"/>
          <w:sz w:val="22"/>
          <w:szCs w:val="22"/>
        </w:rPr>
      </w:pPr>
      <w:r>
        <w:rPr>
          <w:color w:val="auto"/>
          <w:sz w:val="22"/>
          <w:szCs w:val="22"/>
        </w:rPr>
        <w:t>Причины возникновения ошибок при выполнении технических приемов и способы их устранения.</w:t>
      </w:r>
    </w:p>
    <w:p w14:paraId="3C8C5559">
      <w:pPr>
        <w:pStyle w:val="85"/>
        <w:spacing w:before="240"/>
        <w:ind w:firstLine="540"/>
        <w:jc w:val="both"/>
        <w:rPr>
          <w:color w:val="auto"/>
          <w:sz w:val="22"/>
          <w:szCs w:val="22"/>
        </w:rPr>
      </w:pPr>
      <w:r>
        <w:rPr>
          <w:color w:val="auto"/>
          <w:sz w:val="22"/>
          <w:szCs w:val="22"/>
        </w:rPr>
        <w:t>Тестирование уровня физической подготовленности в хоккее на траве.</w:t>
      </w:r>
    </w:p>
    <w:p w14:paraId="2EECE204">
      <w:pPr>
        <w:pStyle w:val="85"/>
        <w:spacing w:before="240"/>
        <w:ind w:firstLine="540"/>
        <w:jc w:val="both"/>
        <w:rPr>
          <w:color w:val="auto"/>
          <w:sz w:val="22"/>
          <w:szCs w:val="22"/>
        </w:rPr>
      </w:pPr>
      <w:r>
        <w:rPr>
          <w:color w:val="auto"/>
          <w:sz w:val="22"/>
          <w:szCs w:val="22"/>
        </w:rPr>
        <w:t>3) Физическое совершенствование.</w:t>
      </w:r>
    </w:p>
    <w:p w14:paraId="0F847258">
      <w:pPr>
        <w:pStyle w:val="85"/>
        <w:spacing w:before="240"/>
        <w:ind w:firstLine="540"/>
        <w:jc w:val="both"/>
        <w:rPr>
          <w:color w:val="auto"/>
          <w:sz w:val="22"/>
          <w:szCs w:val="22"/>
        </w:rPr>
      </w:pPr>
      <w:r>
        <w:rPr>
          <w:color w:val="auto"/>
          <w:sz w:val="22"/>
          <w:szCs w:val="22"/>
        </w:rPr>
        <w:t>Комплексы общеразвивающих и корригирующих упражнений.</w:t>
      </w:r>
    </w:p>
    <w:p w14:paraId="4A320BDC">
      <w:pPr>
        <w:pStyle w:val="85"/>
        <w:spacing w:before="240"/>
        <w:ind w:firstLine="540"/>
        <w:jc w:val="both"/>
        <w:rPr>
          <w:color w:val="auto"/>
          <w:sz w:val="22"/>
          <w:szCs w:val="22"/>
        </w:rPr>
      </w:pPr>
      <w:r>
        <w:rPr>
          <w:color w:val="auto"/>
          <w:sz w:val="22"/>
          <w:szCs w:val="22"/>
        </w:rPr>
        <w:t>Упражнения, направленные на воспитание физических качеств (быстроты, ловкости, гибкости).</w:t>
      </w:r>
    </w:p>
    <w:p w14:paraId="121A29BD">
      <w:pPr>
        <w:pStyle w:val="85"/>
        <w:spacing w:before="240"/>
        <w:ind w:firstLine="540"/>
        <w:jc w:val="both"/>
        <w:rPr>
          <w:color w:val="auto"/>
          <w:sz w:val="22"/>
          <w:szCs w:val="22"/>
        </w:rPr>
      </w:pPr>
      <w:r>
        <w:rPr>
          <w:color w:val="auto"/>
          <w:sz w:val="22"/>
          <w:szCs w:val="22"/>
        </w:rPr>
        <w:t>Комплексы специальных упражнений для формирования технических действий хоккеиста, в том числе имитационные упражнения хоккеиста (в зале, на искусственном поле).</w:t>
      </w:r>
    </w:p>
    <w:p w14:paraId="41E53F7F">
      <w:pPr>
        <w:pStyle w:val="85"/>
        <w:spacing w:before="240"/>
        <w:ind w:firstLine="540"/>
        <w:jc w:val="both"/>
        <w:rPr>
          <w:color w:val="auto"/>
          <w:sz w:val="22"/>
          <w:szCs w:val="22"/>
        </w:rPr>
      </w:pPr>
      <w:r>
        <w:rPr>
          <w:color w:val="auto"/>
          <w:sz w:val="22"/>
          <w:szCs w:val="22"/>
        </w:rPr>
        <w:t>Разминка, ее роль, назначение, средства. Комплексы специальной разминки перед соревнованиями по хоккею на траве.</w:t>
      </w:r>
    </w:p>
    <w:p w14:paraId="4383B828">
      <w:pPr>
        <w:pStyle w:val="85"/>
        <w:spacing w:before="240"/>
        <w:ind w:firstLine="540"/>
        <w:jc w:val="both"/>
        <w:rPr>
          <w:color w:val="auto"/>
          <w:sz w:val="22"/>
          <w:szCs w:val="22"/>
        </w:rPr>
      </w:pPr>
      <w:r>
        <w:rPr>
          <w:color w:val="auto"/>
          <w:sz w:val="22"/>
          <w:szCs w:val="22"/>
        </w:rPr>
        <w:t>Комплексы корригирующей гимнастики с использованием специальных хоккейных упражнений.</w:t>
      </w:r>
    </w:p>
    <w:p w14:paraId="4CEEEFC5">
      <w:pPr>
        <w:pStyle w:val="85"/>
        <w:spacing w:before="240"/>
        <w:ind w:firstLine="540"/>
        <w:jc w:val="both"/>
        <w:rPr>
          <w:color w:val="auto"/>
          <w:sz w:val="22"/>
          <w:szCs w:val="22"/>
        </w:rPr>
      </w:pPr>
      <w:r>
        <w:rPr>
          <w:color w:val="auto"/>
          <w:sz w:val="22"/>
          <w:szCs w:val="22"/>
        </w:rPr>
        <w:t>Внешние признаки утомления. Средства восстановления организма после физической нагрузки.</w:t>
      </w:r>
    </w:p>
    <w:p w14:paraId="7774D34F">
      <w:pPr>
        <w:pStyle w:val="85"/>
        <w:spacing w:before="240"/>
        <w:ind w:firstLine="540"/>
        <w:jc w:val="both"/>
        <w:rPr>
          <w:color w:val="auto"/>
          <w:sz w:val="22"/>
          <w:szCs w:val="22"/>
        </w:rPr>
      </w:pPr>
      <w:r>
        <w:rPr>
          <w:color w:val="auto"/>
          <w:sz w:val="22"/>
          <w:szCs w:val="22"/>
        </w:rPr>
        <w:t>Способы индивидуального регулирования физической нагрузки с учетом уровня физического развития и функционального состояния организма.</w:t>
      </w:r>
    </w:p>
    <w:p w14:paraId="0C370AC1">
      <w:pPr>
        <w:pStyle w:val="85"/>
        <w:spacing w:before="240"/>
        <w:ind w:firstLine="540"/>
        <w:jc w:val="both"/>
        <w:rPr>
          <w:color w:val="auto"/>
          <w:sz w:val="22"/>
          <w:szCs w:val="22"/>
        </w:rPr>
      </w:pPr>
      <w:r>
        <w:rPr>
          <w:color w:val="auto"/>
          <w:sz w:val="22"/>
          <w:szCs w:val="22"/>
        </w:rPr>
        <w:t>Подвижные игры с предметами и без, эстафеты с элементами хоккея на траве.</w:t>
      </w:r>
    </w:p>
    <w:p w14:paraId="44248846">
      <w:pPr>
        <w:pStyle w:val="85"/>
        <w:spacing w:before="240"/>
        <w:ind w:firstLine="540"/>
        <w:jc w:val="both"/>
        <w:rPr>
          <w:color w:val="auto"/>
          <w:sz w:val="22"/>
          <w:szCs w:val="22"/>
        </w:rPr>
      </w:pPr>
      <w:r>
        <w:rPr>
          <w:color w:val="auto"/>
          <w:sz w:val="22"/>
          <w:szCs w:val="22"/>
        </w:rPr>
        <w:t>Подвижные игры, игровые задания для формирования умений и навыков игры в хоккей на траве. Эстафеты, направленные на воспитание физических качеств и специальных навыков.</w:t>
      </w:r>
    </w:p>
    <w:p w14:paraId="68011A21">
      <w:pPr>
        <w:pStyle w:val="85"/>
        <w:spacing w:before="240"/>
        <w:ind w:firstLine="540"/>
        <w:jc w:val="both"/>
        <w:rPr>
          <w:color w:val="auto"/>
          <w:sz w:val="22"/>
          <w:szCs w:val="22"/>
        </w:rPr>
      </w:pPr>
      <w:r>
        <w:rPr>
          <w:color w:val="auto"/>
          <w:sz w:val="22"/>
          <w:szCs w:val="22"/>
        </w:rPr>
        <w:t>Технические элементы хоккея на траве при передвижении (бег, повороты, торможения и остановки, старты, прыжки):</w:t>
      </w:r>
    </w:p>
    <w:p w14:paraId="2B971563">
      <w:pPr>
        <w:pStyle w:val="85"/>
        <w:spacing w:before="240"/>
        <w:ind w:firstLine="540"/>
        <w:jc w:val="both"/>
        <w:rPr>
          <w:color w:val="auto"/>
          <w:sz w:val="22"/>
          <w:szCs w:val="22"/>
        </w:rPr>
      </w:pPr>
      <w:r>
        <w:rPr>
          <w:color w:val="auto"/>
          <w:sz w:val="22"/>
          <w:szCs w:val="22"/>
        </w:rPr>
        <w:t>передвижение по искусственному покрытию (ходьба, бег, прыжки, остановки, повороты, падения);</w:t>
      </w:r>
    </w:p>
    <w:p w14:paraId="033991FD">
      <w:pPr>
        <w:pStyle w:val="85"/>
        <w:spacing w:before="240"/>
        <w:ind w:firstLine="540"/>
        <w:jc w:val="both"/>
        <w:rPr>
          <w:color w:val="auto"/>
          <w:sz w:val="22"/>
          <w:szCs w:val="22"/>
        </w:rPr>
      </w:pPr>
      <w:r>
        <w:rPr>
          <w:color w:val="auto"/>
          <w:sz w:val="22"/>
          <w:szCs w:val="22"/>
        </w:rPr>
        <w:t>основная стойка (посадка) хоккеиста;</w:t>
      </w:r>
    </w:p>
    <w:p w14:paraId="3F649615">
      <w:pPr>
        <w:pStyle w:val="85"/>
        <w:spacing w:before="240"/>
        <w:ind w:firstLine="540"/>
        <w:jc w:val="both"/>
        <w:rPr>
          <w:color w:val="auto"/>
          <w:sz w:val="22"/>
          <w:szCs w:val="22"/>
        </w:rPr>
      </w:pPr>
      <w:r>
        <w:rPr>
          <w:color w:val="auto"/>
          <w:sz w:val="22"/>
          <w:szCs w:val="22"/>
        </w:rPr>
        <w:t>бег с клюшкой короткими шагами, спиной вперед, приставными шагами;</w:t>
      </w:r>
    </w:p>
    <w:p w14:paraId="08E9F26A">
      <w:pPr>
        <w:pStyle w:val="85"/>
        <w:spacing w:before="240"/>
        <w:ind w:firstLine="540"/>
        <w:jc w:val="both"/>
        <w:rPr>
          <w:color w:val="auto"/>
          <w:sz w:val="22"/>
          <w:szCs w:val="22"/>
        </w:rPr>
      </w:pPr>
      <w:r>
        <w:rPr>
          <w:color w:val="auto"/>
          <w:sz w:val="22"/>
          <w:szCs w:val="22"/>
        </w:rPr>
        <w:t>старт с места лицом вперед, из различных положений с последующими ускорениями в заданные направления;</w:t>
      </w:r>
    </w:p>
    <w:p w14:paraId="0BD391A9">
      <w:pPr>
        <w:pStyle w:val="85"/>
        <w:spacing w:before="240"/>
        <w:ind w:firstLine="540"/>
        <w:jc w:val="both"/>
        <w:rPr>
          <w:color w:val="auto"/>
          <w:sz w:val="22"/>
          <w:szCs w:val="22"/>
        </w:rPr>
      </w:pPr>
      <w:r>
        <w:rPr>
          <w:color w:val="auto"/>
          <w:sz w:val="22"/>
          <w:szCs w:val="22"/>
        </w:rPr>
        <w:t>Технические элементы владения клюшкой и мячом (ведение, передачи, броски, удары, остановки, дриблинг, прием мяча).</w:t>
      </w:r>
    </w:p>
    <w:p w14:paraId="21E76595">
      <w:pPr>
        <w:pStyle w:val="85"/>
        <w:spacing w:before="240"/>
        <w:ind w:firstLine="540"/>
        <w:jc w:val="both"/>
        <w:rPr>
          <w:color w:val="auto"/>
          <w:sz w:val="22"/>
          <w:szCs w:val="22"/>
        </w:rPr>
      </w:pPr>
      <w:r>
        <w:rPr>
          <w:color w:val="auto"/>
          <w:sz w:val="22"/>
          <w:szCs w:val="22"/>
        </w:rPr>
        <w:t>Технические действия вратаря: основная стойка, передвижение, ловля и отбивание мяча.</w:t>
      </w:r>
    </w:p>
    <w:p w14:paraId="68B1DBCB">
      <w:pPr>
        <w:pStyle w:val="85"/>
        <w:spacing w:before="240"/>
        <w:ind w:firstLine="540"/>
        <w:jc w:val="both"/>
        <w:rPr>
          <w:color w:val="auto"/>
          <w:sz w:val="22"/>
          <w:szCs w:val="22"/>
        </w:rPr>
      </w:pPr>
      <w:r>
        <w:rPr>
          <w:color w:val="auto"/>
          <w:sz w:val="22"/>
          <w:szCs w:val="22"/>
        </w:rPr>
        <w:t>Участие в соревновательной деятельности.</w:t>
      </w:r>
    </w:p>
    <w:p w14:paraId="102DB3FF">
      <w:pPr>
        <w:pStyle w:val="85"/>
        <w:spacing w:before="240"/>
        <w:ind w:firstLine="540"/>
        <w:jc w:val="both"/>
        <w:rPr>
          <w:color w:val="auto"/>
          <w:sz w:val="22"/>
          <w:szCs w:val="22"/>
        </w:rPr>
      </w:pPr>
      <w:r>
        <w:rPr>
          <w:color w:val="auto"/>
          <w:sz w:val="22"/>
          <w:szCs w:val="22"/>
        </w:rPr>
        <w:t>16.4.21.7. Содержание модуля "Хоккей на траве" направлено на достижение обучающимися личностных, метапредметных и предметных результатов обучения.</w:t>
      </w:r>
    </w:p>
    <w:p w14:paraId="5D437E4F">
      <w:pPr>
        <w:pStyle w:val="85"/>
        <w:spacing w:before="240"/>
        <w:ind w:firstLine="540"/>
        <w:jc w:val="both"/>
        <w:rPr>
          <w:color w:val="auto"/>
          <w:sz w:val="22"/>
          <w:szCs w:val="22"/>
        </w:rPr>
      </w:pPr>
      <w:r>
        <w:rPr>
          <w:color w:val="auto"/>
          <w:sz w:val="22"/>
          <w:szCs w:val="22"/>
        </w:rPr>
        <w:t>16.4.21.7.1. При изучении модуля "Хоккей на траве" на уровне начального общего образования у обучающихся будут сформированы следующие личностные результаты:</w:t>
      </w:r>
    </w:p>
    <w:p w14:paraId="54CF63F6">
      <w:pPr>
        <w:pStyle w:val="85"/>
        <w:spacing w:before="240"/>
        <w:ind w:firstLine="540"/>
        <w:jc w:val="both"/>
        <w:rPr>
          <w:color w:val="auto"/>
          <w:sz w:val="22"/>
          <w:szCs w:val="22"/>
        </w:rPr>
      </w:pPr>
      <w:r>
        <w:rPr>
          <w:color w:val="auto"/>
          <w:sz w:val="22"/>
          <w:szCs w:val="22"/>
        </w:rPr>
        <w:t>проявление чувства гордости за свою Родину, российский народ и историю России через достижения отечественной сборной команды страны;</w:t>
      </w:r>
    </w:p>
    <w:p w14:paraId="77E5C631">
      <w:pPr>
        <w:pStyle w:val="85"/>
        <w:spacing w:before="240"/>
        <w:ind w:firstLine="540"/>
        <w:jc w:val="both"/>
        <w:rPr>
          <w:color w:val="auto"/>
          <w:sz w:val="22"/>
          <w:szCs w:val="22"/>
        </w:rPr>
      </w:pPr>
      <w:r>
        <w:rPr>
          <w:color w:val="auto"/>
          <w:sz w:val="22"/>
          <w:szCs w:val="22"/>
        </w:rPr>
        <w:t>проявление уважительного отношения к сверстникам, культуры общения и взаимодействия, терпимости в достижении общих целей при совместной деятельности на принципах доброжелательности и взаимопомощи;</w:t>
      </w:r>
    </w:p>
    <w:p w14:paraId="41D81B1A">
      <w:pPr>
        <w:pStyle w:val="85"/>
        <w:spacing w:before="240"/>
        <w:ind w:firstLine="540"/>
        <w:jc w:val="both"/>
        <w:rPr>
          <w:color w:val="auto"/>
          <w:sz w:val="22"/>
          <w:szCs w:val="22"/>
        </w:rPr>
      </w:pPr>
      <w:r>
        <w:rPr>
          <w:color w:val="auto"/>
          <w:sz w:val="22"/>
          <w:szCs w:val="22"/>
        </w:rPr>
        <w:t>проявление положительных качеств личности и управление своими эмоциями в различных (нестандартных) ситуациях и условиях, умение не создавать конфликтов и находить выходы из спорных ситуаций;</w:t>
      </w:r>
    </w:p>
    <w:p w14:paraId="6189DC4B">
      <w:pPr>
        <w:pStyle w:val="85"/>
        <w:spacing w:before="240"/>
        <w:ind w:firstLine="540"/>
        <w:jc w:val="both"/>
        <w:rPr>
          <w:color w:val="auto"/>
          <w:sz w:val="22"/>
          <w:szCs w:val="22"/>
        </w:rPr>
      </w:pPr>
      <w:r>
        <w:rPr>
          <w:color w:val="auto"/>
          <w:sz w:val="22"/>
          <w:szCs w:val="22"/>
        </w:rPr>
        <w:t>проявление дисциплинированности, трудолюбия и упорства в достижении поставленных целей на основе представлений о нравственных нормах, социальной справедливости и свободе;</w:t>
      </w:r>
    </w:p>
    <w:p w14:paraId="20C9401B">
      <w:pPr>
        <w:pStyle w:val="85"/>
        <w:spacing w:before="240"/>
        <w:ind w:firstLine="540"/>
        <w:jc w:val="both"/>
        <w:rPr>
          <w:color w:val="auto"/>
          <w:sz w:val="22"/>
          <w:szCs w:val="22"/>
        </w:rPr>
      </w:pPr>
      <w:r>
        <w:rPr>
          <w:color w:val="auto"/>
          <w:sz w:val="22"/>
          <w:szCs w:val="22"/>
        </w:rPr>
        <w:t>понимание социальной роли обучающегося, развитие мотивов учебной деятельности, стремление к познанию и творчеству, эстетическим потребностям;</w:t>
      </w:r>
    </w:p>
    <w:p w14:paraId="70B72E5A">
      <w:pPr>
        <w:pStyle w:val="85"/>
        <w:spacing w:before="240"/>
        <w:ind w:firstLine="540"/>
        <w:jc w:val="both"/>
        <w:rPr>
          <w:color w:val="auto"/>
          <w:sz w:val="22"/>
          <w:szCs w:val="22"/>
        </w:rPr>
      </w:pPr>
      <w:r>
        <w:rPr>
          <w:color w:val="auto"/>
          <w:sz w:val="22"/>
          <w:szCs w:val="22"/>
        </w:rPr>
        <w:t>оказание бескорыстной помощи своим сверстникам, нахождение с ними общего языка и общих интересов;</w:t>
      </w:r>
    </w:p>
    <w:p w14:paraId="791D66CA">
      <w:pPr>
        <w:pStyle w:val="85"/>
        <w:spacing w:before="240"/>
        <w:ind w:firstLine="540"/>
        <w:jc w:val="both"/>
        <w:rPr>
          <w:color w:val="auto"/>
          <w:sz w:val="22"/>
          <w:szCs w:val="22"/>
        </w:rPr>
      </w:pPr>
      <w:r>
        <w:rPr>
          <w:color w:val="auto"/>
          <w:sz w:val="22"/>
          <w:szCs w:val="22"/>
        </w:rPr>
        <w:t>понимание установки на безопасный, здоровый образ жизни, наличие мотивации к творческому труду, работе на результат, бережному отношению к материальным и духовным ценностям.</w:t>
      </w:r>
    </w:p>
    <w:p w14:paraId="3B291FFA">
      <w:pPr>
        <w:pStyle w:val="85"/>
        <w:spacing w:before="240"/>
        <w:ind w:firstLine="540"/>
        <w:jc w:val="both"/>
        <w:rPr>
          <w:color w:val="auto"/>
          <w:sz w:val="22"/>
          <w:szCs w:val="22"/>
        </w:rPr>
      </w:pPr>
      <w:r>
        <w:rPr>
          <w:color w:val="auto"/>
          <w:sz w:val="22"/>
          <w:szCs w:val="22"/>
        </w:rPr>
        <w:t>16.4.21.7.2. При изучении модуля "Хоккей на траве" на уровне начального общего образования у обучающихся будут сформированы следующие метапредметные результаты:</w:t>
      </w:r>
    </w:p>
    <w:p w14:paraId="3950C1D3">
      <w:pPr>
        <w:pStyle w:val="85"/>
        <w:spacing w:before="240"/>
        <w:ind w:firstLine="540"/>
        <w:jc w:val="both"/>
        <w:rPr>
          <w:color w:val="auto"/>
          <w:sz w:val="22"/>
          <w:szCs w:val="22"/>
        </w:rPr>
      </w:pPr>
      <w:r>
        <w:rPr>
          <w:color w:val="auto"/>
          <w:sz w:val="22"/>
          <w:szCs w:val="22"/>
        </w:rPr>
        <w:t>овладение способностью принимать и сохранять цели и задачи учебной деятельности, поиска средств и способов ее осуществления;</w:t>
      </w:r>
    </w:p>
    <w:p w14:paraId="7DABE227">
      <w:pPr>
        <w:pStyle w:val="85"/>
        <w:spacing w:before="240"/>
        <w:ind w:firstLine="540"/>
        <w:jc w:val="both"/>
        <w:rPr>
          <w:color w:val="auto"/>
          <w:sz w:val="22"/>
          <w:szCs w:val="22"/>
        </w:rPr>
      </w:pPr>
      <w:r>
        <w:rPr>
          <w:color w:val="auto"/>
          <w:sz w:val="22"/>
          <w:szCs w:val="22"/>
        </w:rPr>
        <w:t>умение планировать, контролировать и оценивать учебные действия, собственную деятельность, распределять нагрузку и отдых в процессе ее выполнения, определять наиболее эффективные способы достижения результата;</w:t>
      </w:r>
    </w:p>
    <w:p w14:paraId="3208E553">
      <w:pPr>
        <w:pStyle w:val="85"/>
        <w:spacing w:before="240"/>
        <w:ind w:firstLine="540"/>
        <w:jc w:val="both"/>
        <w:rPr>
          <w:color w:val="auto"/>
          <w:sz w:val="22"/>
          <w:szCs w:val="22"/>
        </w:rPr>
      </w:pPr>
      <w:r>
        <w:rPr>
          <w:color w:val="auto"/>
          <w:sz w:val="22"/>
          <w:szCs w:val="22"/>
        </w:rPr>
        <w:t>умение характеризовать действия и поступки, давать им анализ и объективную оценку на основе освоенных знаний и имеющегося опыта;</w:t>
      </w:r>
    </w:p>
    <w:p w14:paraId="20936FDF">
      <w:pPr>
        <w:pStyle w:val="85"/>
        <w:spacing w:before="240"/>
        <w:ind w:firstLine="540"/>
        <w:jc w:val="both"/>
        <w:rPr>
          <w:color w:val="auto"/>
          <w:sz w:val="22"/>
          <w:szCs w:val="22"/>
        </w:rPr>
      </w:pPr>
      <w:r>
        <w:rPr>
          <w:color w:val="auto"/>
          <w:sz w:val="22"/>
          <w:szCs w:val="22"/>
        </w:rPr>
        <w:t>понимание причин успеха или неуспеха учебной деятельности и способность конструктивно действовать даже в ситуациях неуспеха;</w:t>
      </w:r>
    </w:p>
    <w:p w14:paraId="5E33E364">
      <w:pPr>
        <w:pStyle w:val="85"/>
        <w:spacing w:before="240"/>
        <w:ind w:firstLine="540"/>
        <w:jc w:val="both"/>
        <w:rPr>
          <w:color w:val="auto"/>
          <w:sz w:val="22"/>
          <w:szCs w:val="22"/>
        </w:rPr>
      </w:pPr>
      <w:r>
        <w:rPr>
          <w:color w:val="auto"/>
          <w:sz w:val="22"/>
          <w:szCs w:val="22"/>
        </w:rPr>
        <w:t>определение общей цели и путей ее достижения, умение договариваться о распределении функций в учебной, игровой и соревновательной деятельности, адекватная оценка собственного поведения и поведения окружающих;</w:t>
      </w:r>
    </w:p>
    <w:p w14:paraId="77E0283B">
      <w:pPr>
        <w:pStyle w:val="85"/>
        <w:spacing w:before="240"/>
        <w:ind w:firstLine="540"/>
        <w:jc w:val="both"/>
        <w:rPr>
          <w:color w:val="auto"/>
          <w:sz w:val="22"/>
          <w:szCs w:val="22"/>
        </w:rPr>
      </w:pPr>
      <w:r>
        <w:rPr>
          <w:color w:val="auto"/>
          <w:sz w:val="22"/>
          <w:szCs w:val="22"/>
        </w:rPr>
        <w:t>обеспечение защиты и сохранности природы во время занятий физической культурой и активного отдыха;</w:t>
      </w:r>
    </w:p>
    <w:p w14:paraId="28F226D7">
      <w:pPr>
        <w:pStyle w:val="85"/>
        <w:spacing w:before="240"/>
        <w:ind w:firstLine="540"/>
        <w:jc w:val="both"/>
        <w:rPr>
          <w:color w:val="auto"/>
          <w:sz w:val="22"/>
          <w:szCs w:val="22"/>
        </w:rPr>
      </w:pPr>
      <w:r>
        <w:rPr>
          <w:color w:val="auto"/>
          <w:sz w:val="22"/>
          <w:szCs w:val="22"/>
        </w:rPr>
        <w:t>способность организации самостоятельной деятельности с учетом требований ее безопасности, сохранности инвентаря и оборудования, организации места занятий.</w:t>
      </w:r>
    </w:p>
    <w:p w14:paraId="5DC8C1C7">
      <w:pPr>
        <w:pStyle w:val="85"/>
        <w:spacing w:before="240"/>
        <w:ind w:firstLine="540"/>
        <w:jc w:val="both"/>
        <w:rPr>
          <w:color w:val="auto"/>
          <w:sz w:val="22"/>
          <w:szCs w:val="22"/>
        </w:rPr>
      </w:pPr>
      <w:r>
        <w:rPr>
          <w:color w:val="auto"/>
          <w:sz w:val="22"/>
          <w:szCs w:val="22"/>
        </w:rPr>
        <w:t>16.4.21.7.3. При изучении модуля "Хоккей на траве" на уровне начального общего образования у обучающихся будут сформированы следующие предметные результаты:</w:t>
      </w:r>
    </w:p>
    <w:p w14:paraId="168EA1A5">
      <w:pPr>
        <w:pStyle w:val="85"/>
        <w:spacing w:before="240"/>
        <w:ind w:firstLine="540"/>
        <w:jc w:val="both"/>
        <w:rPr>
          <w:color w:val="auto"/>
          <w:sz w:val="22"/>
          <w:szCs w:val="22"/>
        </w:rPr>
      </w:pPr>
      <w:r>
        <w:rPr>
          <w:color w:val="auto"/>
          <w:sz w:val="22"/>
          <w:szCs w:val="22"/>
        </w:rPr>
        <w:t>понимание значения занятий хоккеем на траве как средства укрепления здоровья, закаливания и воспитания физических качеств человека;</w:t>
      </w:r>
    </w:p>
    <w:p w14:paraId="21CF8A26">
      <w:pPr>
        <w:pStyle w:val="85"/>
        <w:spacing w:before="240"/>
        <w:ind w:firstLine="540"/>
        <w:jc w:val="both"/>
        <w:rPr>
          <w:color w:val="auto"/>
          <w:sz w:val="22"/>
          <w:szCs w:val="22"/>
        </w:rPr>
      </w:pPr>
      <w:r>
        <w:rPr>
          <w:color w:val="auto"/>
          <w:sz w:val="22"/>
          <w:szCs w:val="22"/>
        </w:rPr>
        <w:t>знание истории возникновения игры в хоккей на траве, достижений отечественной сборной команды страны;</w:t>
      </w:r>
    </w:p>
    <w:p w14:paraId="78295A6F">
      <w:pPr>
        <w:pStyle w:val="85"/>
        <w:spacing w:before="240"/>
        <w:ind w:firstLine="540"/>
        <w:jc w:val="both"/>
        <w:rPr>
          <w:color w:val="auto"/>
          <w:sz w:val="22"/>
          <w:szCs w:val="22"/>
        </w:rPr>
      </w:pPr>
      <w:r>
        <w:rPr>
          <w:color w:val="auto"/>
          <w:sz w:val="22"/>
          <w:szCs w:val="22"/>
        </w:rPr>
        <w:t>представление о разновидностях хоккея на траве и основных правилах игры в хоккей на траве, составе хоккейной команды, роль капитана команды и функциях игроков в команде (форвард (нападающий), защитник, полузащитник, голкипер (вратарь);</w:t>
      </w:r>
    </w:p>
    <w:p w14:paraId="570C35EA">
      <w:pPr>
        <w:pStyle w:val="85"/>
        <w:spacing w:before="240"/>
        <w:ind w:firstLine="540"/>
        <w:jc w:val="both"/>
        <w:rPr>
          <w:color w:val="auto"/>
          <w:sz w:val="22"/>
          <w:szCs w:val="22"/>
        </w:rPr>
      </w:pPr>
      <w:r>
        <w:rPr>
          <w:color w:val="auto"/>
          <w:sz w:val="22"/>
          <w:szCs w:val="22"/>
        </w:rPr>
        <w:t>умение характеризовать упражнения и комплексы упражнений: общефизической, корригирующей направленности, подготовительного, специального воздействия для занятий хоккеем на траве, для воспитания физических качеств и двигательных способностей, индивидуальных технических элементов хоккея на траве, методики их выполнения;</w:t>
      </w:r>
    </w:p>
    <w:p w14:paraId="7CCF1AC6">
      <w:pPr>
        <w:pStyle w:val="85"/>
        <w:spacing w:before="240"/>
        <w:ind w:firstLine="540"/>
        <w:jc w:val="both"/>
        <w:rPr>
          <w:color w:val="auto"/>
          <w:sz w:val="22"/>
          <w:szCs w:val="22"/>
        </w:rPr>
      </w:pPr>
      <w:r>
        <w:rPr>
          <w:color w:val="auto"/>
          <w:sz w:val="22"/>
          <w:szCs w:val="22"/>
        </w:rPr>
        <w:t>приобретение навыков безопасного поведения во время занятий хоккеем на траве, личной гигиены; знаний требований к спортивной одежде и обуви, спортивному инвентарю для занятий хоккеем на траве;</w:t>
      </w:r>
    </w:p>
    <w:p w14:paraId="52C1D512">
      <w:pPr>
        <w:pStyle w:val="85"/>
        <w:spacing w:before="240"/>
        <w:ind w:firstLine="540"/>
        <w:jc w:val="both"/>
        <w:rPr>
          <w:color w:val="auto"/>
          <w:sz w:val="22"/>
          <w:szCs w:val="22"/>
        </w:rPr>
      </w:pPr>
      <w:r>
        <w:rPr>
          <w:color w:val="auto"/>
          <w:sz w:val="22"/>
          <w:szCs w:val="22"/>
        </w:rPr>
        <w:t>приобретение навыков систематического наблюдения за своим физическим состоянием, величиной физических нагрузок, показателями физического развития и основных физических качеств;</w:t>
      </w:r>
    </w:p>
    <w:p w14:paraId="432DD360">
      <w:pPr>
        <w:pStyle w:val="85"/>
        <w:spacing w:before="240"/>
        <w:ind w:firstLine="540"/>
        <w:jc w:val="both"/>
        <w:rPr>
          <w:color w:val="auto"/>
          <w:sz w:val="22"/>
          <w:szCs w:val="22"/>
        </w:rPr>
      </w:pPr>
      <w:r>
        <w:rPr>
          <w:color w:val="auto"/>
          <w:sz w:val="22"/>
          <w:szCs w:val="22"/>
        </w:rPr>
        <w:t>знание основ организации самостоятельных занятий хоккеем на траве со сверстниками, организации и проведения со сверстниками подвижных игр с элементами хоккея на траве;</w:t>
      </w:r>
    </w:p>
    <w:p w14:paraId="5ADCBCAA">
      <w:pPr>
        <w:pStyle w:val="85"/>
        <w:spacing w:before="240"/>
        <w:ind w:firstLine="540"/>
        <w:jc w:val="both"/>
        <w:rPr>
          <w:color w:val="auto"/>
          <w:sz w:val="22"/>
          <w:szCs w:val="22"/>
        </w:rPr>
      </w:pPr>
      <w:r>
        <w:rPr>
          <w:color w:val="auto"/>
          <w:sz w:val="22"/>
          <w:szCs w:val="22"/>
        </w:rPr>
        <w:t>выполнение и составление комплексов общеразвивающих и корригирующих упражнений, упражнений на воспитание быстроты, ловкости, гибкости, упражнений для укрепления голеностопных суставов;</w:t>
      </w:r>
    </w:p>
    <w:p w14:paraId="74FB825E">
      <w:pPr>
        <w:pStyle w:val="85"/>
        <w:spacing w:before="240"/>
        <w:ind w:firstLine="540"/>
        <w:jc w:val="both"/>
        <w:rPr>
          <w:color w:val="auto"/>
          <w:sz w:val="22"/>
          <w:szCs w:val="22"/>
        </w:rPr>
      </w:pPr>
      <w:r>
        <w:rPr>
          <w:color w:val="auto"/>
          <w:sz w:val="22"/>
          <w:szCs w:val="22"/>
        </w:rPr>
        <w:t>выполнение подготовительных и специальных упражнений хоккеиста, в том числе имитационные упражнения хоккеиста (в зале, на искусственном поле), технические элементы хоккея на траве в передвижениях с клюшкой и мячом: бег, повороты, торможения и остановки, старты, прыжки;</w:t>
      </w:r>
    </w:p>
    <w:p w14:paraId="7094D459">
      <w:pPr>
        <w:pStyle w:val="85"/>
        <w:spacing w:before="240"/>
        <w:ind w:firstLine="540"/>
        <w:jc w:val="both"/>
        <w:rPr>
          <w:color w:val="auto"/>
          <w:sz w:val="22"/>
          <w:szCs w:val="22"/>
        </w:rPr>
      </w:pPr>
      <w:r>
        <w:rPr>
          <w:color w:val="auto"/>
          <w:sz w:val="22"/>
          <w:szCs w:val="22"/>
        </w:rPr>
        <w:t>выполнение свободного передвижения по площадке с использованием различных видов перемещений;</w:t>
      </w:r>
    </w:p>
    <w:p w14:paraId="0FD4222C">
      <w:pPr>
        <w:pStyle w:val="85"/>
        <w:spacing w:before="240"/>
        <w:ind w:firstLine="540"/>
        <w:jc w:val="both"/>
        <w:rPr>
          <w:color w:val="auto"/>
          <w:sz w:val="22"/>
          <w:szCs w:val="22"/>
        </w:rPr>
      </w:pPr>
      <w:r>
        <w:rPr>
          <w:color w:val="auto"/>
          <w:sz w:val="22"/>
          <w:szCs w:val="22"/>
        </w:rPr>
        <w:t>выполнение технических элементов владения клюшкой и мячом (ведение, передачи, броски, удары, остановки, дриблинг, прием), основные способы держания клюшки (хват) и простые тактические действия (индивидуальные и групповые), простые технические действия вратаря: основная стойка, передвижение, ловля и отбивание мяча, игра ногой, игра клюшкой;</w:t>
      </w:r>
    </w:p>
    <w:p w14:paraId="1351881F">
      <w:pPr>
        <w:pStyle w:val="85"/>
        <w:spacing w:before="240"/>
        <w:ind w:firstLine="540"/>
        <w:jc w:val="both"/>
        <w:rPr>
          <w:color w:val="auto"/>
          <w:sz w:val="22"/>
          <w:szCs w:val="22"/>
        </w:rPr>
      </w:pPr>
      <w:r>
        <w:rPr>
          <w:color w:val="auto"/>
          <w:sz w:val="22"/>
          <w:szCs w:val="22"/>
        </w:rPr>
        <w:t>выполнение технического действия (приема) и умение находить способы устранения ошибок;</w:t>
      </w:r>
    </w:p>
    <w:p w14:paraId="2EFB6C1A">
      <w:pPr>
        <w:pStyle w:val="85"/>
        <w:spacing w:before="240"/>
        <w:ind w:firstLine="540"/>
        <w:jc w:val="both"/>
        <w:rPr>
          <w:color w:val="auto"/>
          <w:sz w:val="22"/>
          <w:szCs w:val="22"/>
        </w:rPr>
      </w:pPr>
      <w:r>
        <w:rPr>
          <w:color w:val="auto"/>
          <w:sz w:val="22"/>
          <w:szCs w:val="22"/>
        </w:rPr>
        <w:t>участие в учебных играх в уменьшенных составах, на уменьшенной площадке, по упрощенным правилам;</w:t>
      </w:r>
    </w:p>
    <w:p w14:paraId="62B0FD2D">
      <w:pPr>
        <w:pStyle w:val="85"/>
        <w:spacing w:before="240"/>
        <w:ind w:firstLine="540"/>
        <w:jc w:val="both"/>
        <w:rPr>
          <w:color w:val="auto"/>
          <w:sz w:val="22"/>
          <w:szCs w:val="22"/>
        </w:rPr>
      </w:pPr>
      <w:r>
        <w:rPr>
          <w:color w:val="auto"/>
          <w:sz w:val="22"/>
          <w:szCs w:val="22"/>
        </w:rPr>
        <w:t>выполнение контрольно-тестовых упражнений по общей и специальной физической подготовке и оценка показателей физической подготовленности;</w:t>
      </w:r>
    </w:p>
    <w:p w14:paraId="71E79667">
      <w:pPr>
        <w:pStyle w:val="85"/>
        <w:spacing w:before="240"/>
        <w:ind w:firstLine="540"/>
        <w:jc w:val="both"/>
        <w:rPr>
          <w:color w:val="auto"/>
          <w:sz w:val="22"/>
          <w:szCs w:val="22"/>
        </w:rPr>
      </w:pPr>
      <w:r>
        <w:rPr>
          <w:color w:val="auto"/>
          <w:sz w:val="22"/>
          <w:szCs w:val="22"/>
        </w:rPr>
        <w:t>проявление уважительного отношения к одноклассникам, проявление культуры общения и взаимодействия, терпимости в достижении общих целей в учебной и игровой деятельности на занятиях хоккеем на траве.</w:t>
      </w:r>
    </w:p>
    <w:p w14:paraId="7F57A44E">
      <w:pPr>
        <w:pStyle w:val="85"/>
        <w:spacing w:before="240"/>
        <w:ind w:firstLine="540"/>
        <w:jc w:val="both"/>
        <w:rPr>
          <w:color w:val="auto"/>
          <w:sz w:val="22"/>
          <w:szCs w:val="22"/>
        </w:rPr>
      </w:pPr>
      <w:r>
        <w:rPr>
          <w:color w:val="auto"/>
          <w:sz w:val="22"/>
          <w:szCs w:val="22"/>
        </w:rPr>
        <w:t>16.4.22. Модуль "Ушу".</w:t>
      </w:r>
    </w:p>
    <w:p w14:paraId="7DDD4A5C">
      <w:pPr>
        <w:pStyle w:val="85"/>
        <w:spacing w:before="240"/>
        <w:ind w:firstLine="540"/>
        <w:jc w:val="both"/>
        <w:rPr>
          <w:color w:val="auto"/>
          <w:sz w:val="22"/>
          <w:szCs w:val="22"/>
        </w:rPr>
      </w:pPr>
      <w:r>
        <w:rPr>
          <w:color w:val="auto"/>
          <w:sz w:val="22"/>
          <w:szCs w:val="22"/>
        </w:rPr>
        <w:t>16.4.22.1. Пояснительная записка модуля "Ушу".</w:t>
      </w:r>
    </w:p>
    <w:p w14:paraId="1189EC4A">
      <w:pPr>
        <w:pStyle w:val="85"/>
        <w:spacing w:before="240"/>
        <w:ind w:firstLine="540"/>
        <w:jc w:val="both"/>
        <w:rPr>
          <w:color w:val="auto"/>
          <w:sz w:val="22"/>
          <w:szCs w:val="22"/>
        </w:rPr>
      </w:pPr>
      <w:r>
        <w:rPr>
          <w:color w:val="auto"/>
          <w:sz w:val="22"/>
          <w:szCs w:val="22"/>
        </w:rPr>
        <w:t>Модуль "Ушу" (далее - модуль "Ушу", модуль по ушу, ушу) на уровне начального общего образования разработан с целью оказания методической помощи учителю физической культуры в создании части рабочей программы по учебному предмету "Физическая культура", направленной на формирование общих представлений о физической культуре и спорте, физической активности человека, физических качествах, жизненно важных прикладных умениях и навыках, основных физических упражнениях (игровых и спортивных) с целью достижения результатов ФГОС НОО, с учетом современных тенденций в системе образования и использования спортивно-ориентированных форм, средств и методов обучения по различным видам спорта.</w:t>
      </w:r>
    </w:p>
    <w:p w14:paraId="602B9C4C">
      <w:pPr>
        <w:pStyle w:val="85"/>
        <w:spacing w:before="240"/>
        <w:ind w:firstLine="540"/>
        <w:jc w:val="both"/>
        <w:rPr>
          <w:color w:val="auto"/>
          <w:sz w:val="22"/>
          <w:szCs w:val="22"/>
        </w:rPr>
      </w:pPr>
      <w:r>
        <w:rPr>
          <w:color w:val="auto"/>
          <w:sz w:val="22"/>
          <w:szCs w:val="22"/>
        </w:rPr>
        <w:t>Ушу является системой физического воспитания, поскольку включает в себя все многообразие двигательных действий и физических упражнений различной направленности. Привлекательность и популярность ушу связана с большой зрелищностью и динамизмом поединка, быстрой сменой ситуаций в соревновательных схватках, обилием сложных технико-тактических действий, как в атаке, так и в обороне, умением тактически обыгрывать соперника, мгновенно оценивать складывающую ситуацию и принимать единственно правильное решение в экстремальных условиях.</w:t>
      </w:r>
    </w:p>
    <w:p w14:paraId="52F3367B">
      <w:pPr>
        <w:pStyle w:val="85"/>
        <w:spacing w:before="240"/>
        <w:ind w:firstLine="540"/>
        <w:jc w:val="both"/>
        <w:rPr>
          <w:color w:val="auto"/>
          <w:sz w:val="22"/>
          <w:szCs w:val="22"/>
        </w:rPr>
      </w:pPr>
      <w:r>
        <w:rPr>
          <w:color w:val="auto"/>
          <w:sz w:val="22"/>
          <w:szCs w:val="22"/>
        </w:rPr>
        <w:t>Все виды ушу являются эффективным средством физического воспитания для молодого поколения, они способствуют всестороннему физическому, интеллектуальному, нравственному, морально-волевому развитию обучающихся, укреплению их здоровья, привлечению школьников к систематическим занятиям физической культурой и спортом, их личностному и профессиональному самоопределению.</w:t>
      </w:r>
    </w:p>
    <w:p w14:paraId="4C5F619E">
      <w:pPr>
        <w:pStyle w:val="85"/>
        <w:spacing w:before="240"/>
        <w:ind w:firstLine="540"/>
        <w:jc w:val="both"/>
        <w:rPr>
          <w:color w:val="auto"/>
          <w:sz w:val="22"/>
          <w:szCs w:val="22"/>
        </w:rPr>
      </w:pPr>
      <w:r>
        <w:rPr>
          <w:color w:val="auto"/>
          <w:sz w:val="22"/>
          <w:szCs w:val="22"/>
        </w:rPr>
        <w:t>Для развития личностных качеств обучающихся психологи рекомендуют занятия видами спорта, позволяющие самостоятельно выбирать и принимать решения, основываясь на анализе складывающихся ситуаций. Занятия различными видами ушу как раз отвечает этим требованиям. Ушу, как средство воспитания, располагает и формирует у занимающихся чувство патриотизма, нравственные качества (честность, доброжелательность, дисциплинированность, самообладание, терпимость, упорство, коллективизм) в сочетании с волевыми качествами (смелость, решительность, инициатива, трудолюбие, настойчивость и целеустремленность, а также развитие способности управлять своими эмоциями).</w:t>
      </w:r>
    </w:p>
    <w:p w14:paraId="2EBB0BC3">
      <w:pPr>
        <w:pStyle w:val="85"/>
        <w:spacing w:before="240"/>
        <w:ind w:firstLine="540"/>
        <w:jc w:val="both"/>
        <w:rPr>
          <w:color w:val="auto"/>
          <w:sz w:val="22"/>
          <w:szCs w:val="22"/>
        </w:rPr>
      </w:pPr>
      <w:r>
        <w:rPr>
          <w:color w:val="auto"/>
          <w:sz w:val="22"/>
          <w:szCs w:val="22"/>
        </w:rPr>
        <w:t>16.4.22.2. Целью изучения модуля "Ушу" является формирование у обучающихся навыков общечеловеческой культуры и социального самоопределения, устойчивой мотивации к сохранению и укреплению собственного здоровья, ведению здорового образа жизни через занятия физической культурой и спортом с использованием средств ушу.</w:t>
      </w:r>
    </w:p>
    <w:p w14:paraId="0107E2FE">
      <w:pPr>
        <w:pStyle w:val="85"/>
        <w:spacing w:before="240"/>
        <w:ind w:firstLine="540"/>
        <w:jc w:val="both"/>
        <w:rPr>
          <w:color w:val="auto"/>
          <w:sz w:val="22"/>
          <w:szCs w:val="22"/>
        </w:rPr>
      </w:pPr>
      <w:r>
        <w:rPr>
          <w:color w:val="auto"/>
          <w:sz w:val="22"/>
          <w:szCs w:val="22"/>
        </w:rPr>
        <w:t>16.4.22.3. Задачами изучения модуля "Ушу" являются:</w:t>
      </w:r>
    </w:p>
    <w:p w14:paraId="3C0A8F56">
      <w:pPr>
        <w:pStyle w:val="85"/>
        <w:spacing w:before="240"/>
        <w:ind w:firstLine="540"/>
        <w:jc w:val="both"/>
        <w:rPr>
          <w:color w:val="auto"/>
          <w:sz w:val="22"/>
          <w:szCs w:val="22"/>
        </w:rPr>
      </w:pPr>
      <w:r>
        <w:rPr>
          <w:color w:val="auto"/>
          <w:sz w:val="22"/>
          <w:szCs w:val="22"/>
        </w:rPr>
        <w:t>всестороннее гармоничное развитие обучающихся, увеличение объема их двигательной активности и расширения спектра двигательных действий;</w:t>
      </w:r>
    </w:p>
    <w:p w14:paraId="07BF1216">
      <w:pPr>
        <w:pStyle w:val="85"/>
        <w:spacing w:before="240"/>
        <w:ind w:firstLine="540"/>
        <w:jc w:val="both"/>
        <w:rPr>
          <w:color w:val="auto"/>
          <w:sz w:val="22"/>
          <w:szCs w:val="22"/>
        </w:rPr>
      </w:pPr>
      <w:r>
        <w:rPr>
          <w:color w:val="auto"/>
          <w:sz w:val="22"/>
          <w:szCs w:val="22"/>
        </w:rPr>
        <w:t>укрепление физического, психологического и социального здоровья обучающихся, развитие основных физических качеств и повышение функциональных возможностей их организма, обеспечение культуры безопасного поведения на занятиях и соревнованиях по ушу;</w:t>
      </w:r>
    </w:p>
    <w:p w14:paraId="71543A12">
      <w:pPr>
        <w:pStyle w:val="85"/>
        <w:spacing w:before="240"/>
        <w:ind w:firstLine="540"/>
        <w:jc w:val="both"/>
        <w:rPr>
          <w:color w:val="auto"/>
          <w:sz w:val="22"/>
          <w:szCs w:val="22"/>
        </w:rPr>
      </w:pPr>
      <w:r>
        <w:rPr>
          <w:color w:val="auto"/>
          <w:sz w:val="22"/>
          <w:szCs w:val="22"/>
        </w:rPr>
        <w:t>освоение знаний о физической культуре и спорте в целом, истории становления и развития ушу в частности;</w:t>
      </w:r>
    </w:p>
    <w:p w14:paraId="52A4F481">
      <w:pPr>
        <w:pStyle w:val="85"/>
        <w:spacing w:before="240"/>
        <w:ind w:firstLine="540"/>
        <w:jc w:val="both"/>
        <w:rPr>
          <w:color w:val="auto"/>
          <w:sz w:val="22"/>
          <w:szCs w:val="22"/>
        </w:rPr>
      </w:pPr>
      <w:r>
        <w:rPr>
          <w:color w:val="auto"/>
          <w:sz w:val="22"/>
          <w:szCs w:val="22"/>
        </w:rPr>
        <w:t>формирование общих представлений о видах ушу, их возможностях и значении в процессе укрепления здоровья, физическом развитии и физической и технической подготовке обучающихся;</w:t>
      </w:r>
    </w:p>
    <w:p w14:paraId="2C6F0BE4">
      <w:pPr>
        <w:pStyle w:val="85"/>
        <w:spacing w:before="240"/>
        <w:ind w:firstLine="540"/>
        <w:jc w:val="both"/>
        <w:rPr>
          <w:color w:val="auto"/>
          <w:sz w:val="22"/>
          <w:szCs w:val="22"/>
        </w:rPr>
      </w:pPr>
      <w:r>
        <w:rPr>
          <w:color w:val="auto"/>
          <w:sz w:val="22"/>
          <w:szCs w:val="22"/>
        </w:rPr>
        <w:t>формирование образовательного фундамента, основанного на соответствующем культурном уровне развития личности обучающегося, создающего необходимые предпосылки для его раскрытия и самореализации;</w:t>
      </w:r>
    </w:p>
    <w:p w14:paraId="3BE0A9FE">
      <w:pPr>
        <w:pStyle w:val="85"/>
        <w:spacing w:before="240"/>
        <w:ind w:firstLine="540"/>
        <w:jc w:val="both"/>
        <w:rPr>
          <w:color w:val="auto"/>
          <w:sz w:val="22"/>
          <w:szCs w:val="22"/>
        </w:rPr>
      </w:pPr>
      <w:r>
        <w:rPr>
          <w:color w:val="auto"/>
          <w:sz w:val="22"/>
          <w:szCs w:val="22"/>
        </w:rPr>
        <w:t>формирование культуры движений, обогащение двигательного опыта физическими упражнениями с общеразвивающей и корригирующей направленностью, техническими действиями и приемами вида спорта "ушу";</w:t>
      </w:r>
    </w:p>
    <w:p w14:paraId="6C6C2925">
      <w:pPr>
        <w:pStyle w:val="85"/>
        <w:spacing w:before="240"/>
        <w:ind w:firstLine="540"/>
        <w:jc w:val="both"/>
        <w:rPr>
          <w:color w:val="auto"/>
          <w:sz w:val="22"/>
          <w:szCs w:val="22"/>
        </w:rPr>
      </w:pPr>
      <w:r>
        <w:rPr>
          <w:color w:val="auto"/>
          <w:sz w:val="22"/>
          <w:szCs w:val="22"/>
        </w:rPr>
        <w:t>воспитание положительных качеств личности, норм коллективного взаимодействия и сотрудничества в образовательной и соревновательной деятельности;</w:t>
      </w:r>
    </w:p>
    <w:p w14:paraId="7DF0068B">
      <w:pPr>
        <w:pStyle w:val="85"/>
        <w:spacing w:before="240"/>
        <w:ind w:firstLine="540"/>
        <w:jc w:val="both"/>
        <w:rPr>
          <w:color w:val="auto"/>
          <w:sz w:val="22"/>
          <w:szCs w:val="22"/>
        </w:rPr>
      </w:pPr>
      <w:r>
        <w:rPr>
          <w:color w:val="auto"/>
          <w:sz w:val="22"/>
          <w:szCs w:val="22"/>
        </w:rPr>
        <w:t>развитие положительной мотивации и устойчивого учебно-познавательного интереса к учебному предмету "Физическая культура"; удовлетворение индивидуальных потребностей обучающихся в занятиях физической культурой и спортом средствами ушу;</w:t>
      </w:r>
    </w:p>
    <w:p w14:paraId="61BBCDF1">
      <w:pPr>
        <w:pStyle w:val="85"/>
        <w:spacing w:before="240"/>
        <w:ind w:firstLine="540"/>
        <w:jc w:val="both"/>
        <w:rPr>
          <w:color w:val="auto"/>
          <w:sz w:val="22"/>
          <w:szCs w:val="22"/>
        </w:rPr>
      </w:pPr>
      <w:r>
        <w:rPr>
          <w:color w:val="auto"/>
          <w:sz w:val="22"/>
          <w:szCs w:val="22"/>
        </w:rPr>
        <w:t>популяризация ушу среди подрастающего поколения, привлечение обучающихся, проявляющих повышенный интерес и способности к занятиям ушу в школьных спортивных клубах, секциях, к участию в различных соревнованиях;</w:t>
      </w:r>
    </w:p>
    <w:p w14:paraId="3FD55E11">
      <w:pPr>
        <w:pStyle w:val="85"/>
        <w:spacing w:before="240"/>
        <w:ind w:firstLine="540"/>
        <w:jc w:val="both"/>
        <w:rPr>
          <w:color w:val="auto"/>
          <w:sz w:val="22"/>
          <w:szCs w:val="22"/>
        </w:rPr>
      </w:pPr>
      <w:r>
        <w:rPr>
          <w:color w:val="auto"/>
          <w:sz w:val="22"/>
          <w:szCs w:val="22"/>
        </w:rPr>
        <w:t>выявление, развитие и поддержка одаренных детей в области спорта и ушу, в частности.</w:t>
      </w:r>
    </w:p>
    <w:p w14:paraId="5BED653A">
      <w:pPr>
        <w:pStyle w:val="85"/>
        <w:spacing w:before="240"/>
        <w:ind w:firstLine="540"/>
        <w:jc w:val="both"/>
        <w:rPr>
          <w:color w:val="auto"/>
          <w:sz w:val="22"/>
          <w:szCs w:val="22"/>
        </w:rPr>
      </w:pPr>
      <w:r>
        <w:rPr>
          <w:color w:val="auto"/>
          <w:sz w:val="22"/>
          <w:szCs w:val="22"/>
        </w:rPr>
        <w:t>16.4.22.4. Место и роль модуля "Ушу".</w:t>
      </w:r>
    </w:p>
    <w:p w14:paraId="2ACE34DD">
      <w:pPr>
        <w:pStyle w:val="85"/>
        <w:spacing w:before="240"/>
        <w:ind w:firstLine="540"/>
        <w:jc w:val="both"/>
        <w:rPr>
          <w:color w:val="auto"/>
          <w:sz w:val="22"/>
          <w:szCs w:val="22"/>
        </w:rPr>
      </w:pPr>
      <w:r>
        <w:rPr>
          <w:color w:val="auto"/>
          <w:sz w:val="22"/>
          <w:szCs w:val="22"/>
        </w:rPr>
        <w:t>Модуль "Ушу" доступен для освоения всем обучающимся, и обеспечивает достижение следующих результатов ФГОС НОО: сформированность общих представлений о физической культуре и спорте, физической активности человека, физических качествах, жизненно важных прикладных умениях и навыках, основных физических упражнениях (гимнастических, игровых, туристических и спортивных).</w:t>
      </w:r>
    </w:p>
    <w:p w14:paraId="612DBEF5">
      <w:pPr>
        <w:pStyle w:val="85"/>
        <w:spacing w:before="240"/>
        <w:ind w:firstLine="540"/>
        <w:jc w:val="both"/>
        <w:rPr>
          <w:color w:val="auto"/>
          <w:sz w:val="22"/>
          <w:szCs w:val="22"/>
        </w:rPr>
      </w:pPr>
      <w:r>
        <w:rPr>
          <w:color w:val="auto"/>
          <w:sz w:val="22"/>
          <w:szCs w:val="22"/>
        </w:rPr>
        <w:t>Программное содержание модуля "Ушу" может быть использовано в разделах "Знания о физической культуре", "Способы самостоятельной деятельности", "Физическое совершенствование".</w:t>
      </w:r>
    </w:p>
    <w:p w14:paraId="0E3F806B">
      <w:pPr>
        <w:pStyle w:val="85"/>
        <w:spacing w:before="240"/>
        <w:ind w:firstLine="540"/>
        <w:jc w:val="both"/>
        <w:rPr>
          <w:color w:val="auto"/>
          <w:sz w:val="22"/>
          <w:szCs w:val="22"/>
        </w:rPr>
      </w:pPr>
      <w:r>
        <w:rPr>
          <w:color w:val="auto"/>
          <w:sz w:val="22"/>
          <w:szCs w:val="22"/>
        </w:rPr>
        <w:t>Интеграция модуля по ушу поможет обучающимся в освоении образовательных программ в рамках внеурочной деятельности, дополнительного образования, деятельности школьных спортивных клубов, подготовке обучающихся к сдаче норм ГТО и участии в спортивных соревнованиях.</w:t>
      </w:r>
    </w:p>
    <w:p w14:paraId="7B6361E5">
      <w:pPr>
        <w:pStyle w:val="85"/>
        <w:spacing w:before="240"/>
        <w:ind w:firstLine="540"/>
        <w:jc w:val="both"/>
        <w:rPr>
          <w:color w:val="auto"/>
          <w:sz w:val="22"/>
          <w:szCs w:val="22"/>
        </w:rPr>
      </w:pPr>
      <w:r>
        <w:rPr>
          <w:color w:val="auto"/>
          <w:sz w:val="22"/>
          <w:szCs w:val="22"/>
        </w:rPr>
        <w:t>16.4.22.5. Модуль "Ушу" может быть реализован в следующих вариантах:</w:t>
      </w:r>
    </w:p>
    <w:p w14:paraId="1CE33344">
      <w:pPr>
        <w:pStyle w:val="85"/>
        <w:spacing w:before="240"/>
        <w:ind w:firstLine="540"/>
        <w:jc w:val="both"/>
        <w:rPr>
          <w:color w:val="auto"/>
          <w:sz w:val="22"/>
          <w:szCs w:val="22"/>
        </w:rPr>
      </w:pPr>
      <w:r>
        <w:rPr>
          <w:color w:val="auto"/>
          <w:sz w:val="22"/>
          <w:szCs w:val="22"/>
        </w:rPr>
        <w:t>при самостоятельном планировании учителем физической культуры процесса освоения обучающимися учебного материала по ушу с выбором различных элементов специальных физических упражнений, игр и (или) элементов игры, с учетом возраста и физической подготовленности обучающихся (с соответствующей дозировкой и интенсивностью);</w:t>
      </w:r>
    </w:p>
    <w:p w14:paraId="29487247">
      <w:pPr>
        <w:pStyle w:val="85"/>
        <w:spacing w:before="240"/>
        <w:ind w:firstLine="540"/>
        <w:jc w:val="both"/>
        <w:rPr>
          <w:color w:val="auto"/>
          <w:sz w:val="22"/>
          <w:szCs w:val="22"/>
        </w:rPr>
      </w:pPr>
      <w:r>
        <w:rPr>
          <w:color w:val="auto"/>
          <w:sz w:val="22"/>
          <w:szCs w:val="22"/>
        </w:rPr>
        <w:t>в виде дополнительных часов, выделяемых на спортивно-оздоровительную работу с обучающимися в рамках внеурочной деятельности и (или) за счет посещения обучающимися спортивных секций школьных спортивных клубов (рекомендуемый объем в 1 классе - 33 часа, во 2 - 4 классах - по 34 часа).</w:t>
      </w:r>
    </w:p>
    <w:p w14:paraId="6494E09C">
      <w:pPr>
        <w:pStyle w:val="85"/>
        <w:spacing w:before="240"/>
        <w:ind w:firstLine="540"/>
        <w:jc w:val="both"/>
        <w:rPr>
          <w:color w:val="auto"/>
          <w:sz w:val="22"/>
          <w:szCs w:val="22"/>
        </w:rPr>
      </w:pPr>
      <w:r>
        <w:rPr>
          <w:color w:val="auto"/>
          <w:sz w:val="22"/>
          <w:szCs w:val="22"/>
        </w:rPr>
        <w:t>16.4.22.6. Содержание модуля "Ушу".</w:t>
      </w:r>
    </w:p>
    <w:p w14:paraId="7BBB18D6">
      <w:pPr>
        <w:pStyle w:val="85"/>
        <w:spacing w:before="240"/>
        <w:ind w:firstLine="540"/>
        <w:jc w:val="both"/>
        <w:rPr>
          <w:color w:val="auto"/>
          <w:sz w:val="22"/>
          <w:szCs w:val="22"/>
        </w:rPr>
      </w:pPr>
      <w:r>
        <w:rPr>
          <w:color w:val="auto"/>
          <w:sz w:val="22"/>
          <w:szCs w:val="22"/>
        </w:rPr>
        <w:t>1) Знания об ушу.</w:t>
      </w:r>
    </w:p>
    <w:p w14:paraId="5EB48AB0">
      <w:pPr>
        <w:pStyle w:val="85"/>
        <w:spacing w:before="240"/>
        <w:ind w:firstLine="540"/>
        <w:jc w:val="both"/>
        <w:rPr>
          <w:color w:val="auto"/>
          <w:sz w:val="22"/>
          <w:szCs w:val="22"/>
        </w:rPr>
      </w:pPr>
      <w:r>
        <w:rPr>
          <w:color w:val="auto"/>
          <w:sz w:val="22"/>
          <w:szCs w:val="22"/>
        </w:rPr>
        <w:t>История зарождения ушу.</w:t>
      </w:r>
    </w:p>
    <w:p w14:paraId="4F93BEBC">
      <w:pPr>
        <w:pStyle w:val="85"/>
        <w:spacing w:before="240"/>
        <w:ind w:firstLine="540"/>
        <w:jc w:val="both"/>
        <w:rPr>
          <w:color w:val="auto"/>
          <w:sz w:val="22"/>
          <w:szCs w:val="22"/>
        </w:rPr>
      </w:pPr>
      <w:r>
        <w:rPr>
          <w:color w:val="auto"/>
          <w:sz w:val="22"/>
          <w:szCs w:val="22"/>
        </w:rPr>
        <w:t>Легендарные отечественные спортсмены и тренеры.</w:t>
      </w:r>
    </w:p>
    <w:p w14:paraId="45C0D109">
      <w:pPr>
        <w:pStyle w:val="85"/>
        <w:spacing w:before="240"/>
        <w:ind w:firstLine="540"/>
        <w:jc w:val="both"/>
        <w:rPr>
          <w:color w:val="auto"/>
          <w:sz w:val="22"/>
          <w:szCs w:val="22"/>
        </w:rPr>
      </w:pPr>
      <w:r>
        <w:rPr>
          <w:color w:val="auto"/>
          <w:sz w:val="22"/>
          <w:szCs w:val="22"/>
        </w:rPr>
        <w:t>Достижения отечественных спортсменов и сборной команды страны на чемпионатах мира и других соревнованиях.</w:t>
      </w:r>
    </w:p>
    <w:p w14:paraId="46286A8D">
      <w:pPr>
        <w:pStyle w:val="85"/>
        <w:spacing w:before="240"/>
        <w:ind w:firstLine="540"/>
        <w:jc w:val="both"/>
        <w:rPr>
          <w:color w:val="auto"/>
          <w:sz w:val="22"/>
          <w:szCs w:val="22"/>
        </w:rPr>
      </w:pPr>
      <w:r>
        <w:rPr>
          <w:color w:val="auto"/>
          <w:sz w:val="22"/>
          <w:szCs w:val="22"/>
        </w:rPr>
        <w:t>Разновидности ушу, спортивные дисциплины вида спорта ушу.</w:t>
      </w:r>
    </w:p>
    <w:p w14:paraId="302FB7F4">
      <w:pPr>
        <w:pStyle w:val="85"/>
        <w:spacing w:before="240"/>
        <w:ind w:firstLine="540"/>
        <w:jc w:val="both"/>
        <w:rPr>
          <w:color w:val="auto"/>
          <w:sz w:val="22"/>
          <w:szCs w:val="22"/>
        </w:rPr>
      </w:pPr>
      <w:r>
        <w:rPr>
          <w:color w:val="auto"/>
          <w:sz w:val="22"/>
          <w:szCs w:val="22"/>
        </w:rPr>
        <w:t>Основные правила соревнований по виду спорта ушу.</w:t>
      </w:r>
    </w:p>
    <w:p w14:paraId="31FB7BA9">
      <w:pPr>
        <w:pStyle w:val="85"/>
        <w:spacing w:before="240"/>
        <w:ind w:firstLine="540"/>
        <w:jc w:val="both"/>
        <w:rPr>
          <w:color w:val="auto"/>
          <w:sz w:val="22"/>
          <w:szCs w:val="22"/>
        </w:rPr>
      </w:pPr>
      <w:r>
        <w:rPr>
          <w:color w:val="auto"/>
          <w:sz w:val="22"/>
          <w:szCs w:val="22"/>
        </w:rPr>
        <w:t>Словарь профессиональных терминов по виду спорта ушу.</w:t>
      </w:r>
    </w:p>
    <w:p w14:paraId="5AF67D34">
      <w:pPr>
        <w:pStyle w:val="85"/>
        <w:spacing w:before="240"/>
        <w:ind w:firstLine="540"/>
        <w:jc w:val="both"/>
        <w:rPr>
          <w:color w:val="auto"/>
          <w:sz w:val="22"/>
          <w:szCs w:val="22"/>
        </w:rPr>
      </w:pPr>
      <w:r>
        <w:rPr>
          <w:color w:val="auto"/>
          <w:sz w:val="22"/>
          <w:szCs w:val="22"/>
        </w:rPr>
        <w:t>Размеры соревновательной площадки; инвентарь, оборудование и спортивная форма для занятий и соревнований по виду спорта ушу.</w:t>
      </w:r>
    </w:p>
    <w:p w14:paraId="0E82ECB0">
      <w:pPr>
        <w:pStyle w:val="85"/>
        <w:spacing w:before="240"/>
        <w:ind w:firstLine="540"/>
        <w:jc w:val="both"/>
        <w:rPr>
          <w:color w:val="auto"/>
          <w:sz w:val="22"/>
          <w:szCs w:val="22"/>
        </w:rPr>
      </w:pPr>
      <w:r>
        <w:rPr>
          <w:color w:val="auto"/>
          <w:sz w:val="22"/>
          <w:szCs w:val="22"/>
        </w:rPr>
        <w:t>Судейская коллегия, обслуживающая соревнования по виду спорта ушу. Жесты судей.</w:t>
      </w:r>
    </w:p>
    <w:p w14:paraId="454E6309">
      <w:pPr>
        <w:pStyle w:val="85"/>
        <w:spacing w:before="240"/>
        <w:ind w:firstLine="540"/>
        <w:jc w:val="both"/>
        <w:rPr>
          <w:color w:val="auto"/>
          <w:sz w:val="22"/>
          <w:szCs w:val="22"/>
        </w:rPr>
      </w:pPr>
      <w:r>
        <w:rPr>
          <w:color w:val="auto"/>
          <w:sz w:val="22"/>
          <w:szCs w:val="22"/>
        </w:rPr>
        <w:t>Ушу как средство укрепления здоровья, закаливания и развития физических качеств.</w:t>
      </w:r>
    </w:p>
    <w:p w14:paraId="1459D5B7">
      <w:pPr>
        <w:pStyle w:val="85"/>
        <w:spacing w:before="240"/>
        <w:ind w:firstLine="540"/>
        <w:jc w:val="both"/>
        <w:rPr>
          <w:color w:val="auto"/>
          <w:sz w:val="22"/>
          <w:szCs w:val="22"/>
        </w:rPr>
      </w:pPr>
      <w:r>
        <w:rPr>
          <w:color w:val="auto"/>
          <w:sz w:val="22"/>
          <w:szCs w:val="22"/>
        </w:rPr>
        <w:t>Соблюдение личной гигиены, требований к спортивной одежде и обуви для занятий ушу.</w:t>
      </w:r>
    </w:p>
    <w:p w14:paraId="5B1F5502">
      <w:pPr>
        <w:pStyle w:val="85"/>
        <w:spacing w:before="240"/>
        <w:ind w:firstLine="540"/>
        <w:jc w:val="both"/>
        <w:rPr>
          <w:color w:val="auto"/>
          <w:sz w:val="22"/>
          <w:szCs w:val="22"/>
        </w:rPr>
      </w:pPr>
      <w:r>
        <w:rPr>
          <w:color w:val="auto"/>
          <w:sz w:val="22"/>
          <w:szCs w:val="22"/>
        </w:rPr>
        <w:t>Правила безопасного поведения во время занятий ушу.</w:t>
      </w:r>
    </w:p>
    <w:p w14:paraId="44CA7461">
      <w:pPr>
        <w:pStyle w:val="85"/>
        <w:spacing w:before="240"/>
        <w:ind w:firstLine="540"/>
        <w:jc w:val="both"/>
        <w:rPr>
          <w:color w:val="auto"/>
          <w:sz w:val="22"/>
          <w:szCs w:val="22"/>
        </w:rPr>
      </w:pPr>
      <w:r>
        <w:rPr>
          <w:color w:val="auto"/>
          <w:sz w:val="22"/>
          <w:szCs w:val="22"/>
        </w:rPr>
        <w:t>2) Способы самостоятельной деятельности.</w:t>
      </w:r>
    </w:p>
    <w:p w14:paraId="60BEE4E1">
      <w:pPr>
        <w:pStyle w:val="85"/>
        <w:spacing w:before="240"/>
        <w:ind w:firstLine="540"/>
        <w:jc w:val="both"/>
        <w:rPr>
          <w:color w:val="auto"/>
          <w:sz w:val="22"/>
          <w:szCs w:val="22"/>
        </w:rPr>
      </w:pPr>
      <w:r>
        <w:rPr>
          <w:color w:val="auto"/>
          <w:sz w:val="22"/>
          <w:szCs w:val="22"/>
        </w:rPr>
        <w:t>Внешние признаки утомления. Способы самоконтроля за физической нагрузкой.</w:t>
      </w:r>
    </w:p>
    <w:p w14:paraId="5CD8082F">
      <w:pPr>
        <w:pStyle w:val="85"/>
        <w:spacing w:before="240"/>
        <w:ind w:firstLine="540"/>
        <w:jc w:val="both"/>
        <w:rPr>
          <w:color w:val="auto"/>
          <w:sz w:val="22"/>
          <w:szCs w:val="22"/>
        </w:rPr>
      </w:pPr>
      <w:r>
        <w:rPr>
          <w:color w:val="auto"/>
          <w:sz w:val="22"/>
          <w:szCs w:val="22"/>
        </w:rPr>
        <w:t>Уход за спортивным инвентарем, оборудованием и формой для занятий ушу.</w:t>
      </w:r>
    </w:p>
    <w:p w14:paraId="65082287">
      <w:pPr>
        <w:pStyle w:val="85"/>
        <w:spacing w:before="240"/>
        <w:ind w:firstLine="540"/>
        <w:jc w:val="both"/>
        <w:rPr>
          <w:color w:val="auto"/>
          <w:sz w:val="22"/>
          <w:szCs w:val="22"/>
        </w:rPr>
      </w:pPr>
      <w:r>
        <w:rPr>
          <w:color w:val="auto"/>
          <w:sz w:val="22"/>
          <w:szCs w:val="22"/>
        </w:rPr>
        <w:t>Составление комплексов различной направленности:</w:t>
      </w:r>
    </w:p>
    <w:p w14:paraId="21B6A2D9">
      <w:pPr>
        <w:pStyle w:val="85"/>
        <w:spacing w:before="240"/>
        <w:ind w:firstLine="540"/>
        <w:jc w:val="both"/>
        <w:rPr>
          <w:color w:val="auto"/>
          <w:sz w:val="22"/>
          <w:szCs w:val="22"/>
        </w:rPr>
      </w:pPr>
      <w:r>
        <w:rPr>
          <w:color w:val="auto"/>
          <w:sz w:val="22"/>
          <w:szCs w:val="22"/>
        </w:rPr>
        <w:t>утренней гимнастики с элементами:</w:t>
      </w:r>
    </w:p>
    <w:p w14:paraId="1FE707FE">
      <w:pPr>
        <w:pStyle w:val="85"/>
        <w:spacing w:before="240"/>
        <w:ind w:firstLine="540"/>
        <w:jc w:val="both"/>
        <w:rPr>
          <w:color w:val="auto"/>
          <w:sz w:val="22"/>
          <w:szCs w:val="22"/>
        </w:rPr>
      </w:pPr>
      <w:r>
        <w:rPr>
          <w:color w:val="auto"/>
          <w:sz w:val="22"/>
          <w:szCs w:val="22"/>
        </w:rPr>
        <w:t>дыхательной гимнастики,</w:t>
      </w:r>
    </w:p>
    <w:p w14:paraId="2150702C">
      <w:pPr>
        <w:pStyle w:val="85"/>
        <w:spacing w:before="240"/>
        <w:ind w:firstLine="540"/>
        <w:jc w:val="both"/>
        <w:rPr>
          <w:color w:val="auto"/>
          <w:sz w:val="22"/>
          <w:szCs w:val="22"/>
        </w:rPr>
      </w:pPr>
      <w:r>
        <w:rPr>
          <w:color w:val="auto"/>
          <w:sz w:val="22"/>
          <w:szCs w:val="22"/>
        </w:rPr>
        <w:t>упражнений для глаз, упражнений формирования осанки и профилактики плоскостопия, упражнений для развития физических качеств.</w:t>
      </w:r>
    </w:p>
    <w:p w14:paraId="15909692">
      <w:pPr>
        <w:pStyle w:val="85"/>
        <w:spacing w:before="240"/>
        <w:ind w:firstLine="540"/>
        <w:jc w:val="both"/>
        <w:rPr>
          <w:color w:val="auto"/>
          <w:sz w:val="22"/>
          <w:szCs w:val="22"/>
        </w:rPr>
      </w:pPr>
      <w:r>
        <w:rPr>
          <w:color w:val="auto"/>
          <w:sz w:val="22"/>
          <w:szCs w:val="22"/>
        </w:rPr>
        <w:t>Составление и проведение комплексов общеразвивающих упражнений.</w:t>
      </w:r>
    </w:p>
    <w:p w14:paraId="19A1C6B3">
      <w:pPr>
        <w:pStyle w:val="85"/>
        <w:spacing w:before="240"/>
        <w:ind w:firstLine="540"/>
        <w:jc w:val="both"/>
        <w:rPr>
          <w:color w:val="auto"/>
          <w:sz w:val="22"/>
          <w:szCs w:val="22"/>
        </w:rPr>
      </w:pPr>
      <w:r>
        <w:rPr>
          <w:color w:val="auto"/>
          <w:sz w:val="22"/>
          <w:szCs w:val="22"/>
        </w:rPr>
        <w:t>Подвижные игры и правила их проведения.</w:t>
      </w:r>
    </w:p>
    <w:p w14:paraId="347C0973">
      <w:pPr>
        <w:pStyle w:val="85"/>
        <w:spacing w:before="240"/>
        <w:ind w:firstLine="540"/>
        <w:jc w:val="both"/>
        <w:rPr>
          <w:color w:val="auto"/>
          <w:sz w:val="22"/>
          <w:szCs w:val="22"/>
        </w:rPr>
      </w:pPr>
      <w:r>
        <w:rPr>
          <w:color w:val="auto"/>
          <w:sz w:val="22"/>
          <w:szCs w:val="22"/>
        </w:rPr>
        <w:t>Игры с элементами ушу и правила их проведения.</w:t>
      </w:r>
    </w:p>
    <w:p w14:paraId="57CE2B38">
      <w:pPr>
        <w:pStyle w:val="85"/>
        <w:spacing w:before="240"/>
        <w:ind w:firstLine="540"/>
        <w:jc w:val="both"/>
        <w:rPr>
          <w:color w:val="auto"/>
          <w:sz w:val="22"/>
          <w:szCs w:val="22"/>
        </w:rPr>
      </w:pPr>
      <w:r>
        <w:rPr>
          <w:color w:val="auto"/>
          <w:sz w:val="22"/>
          <w:szCs w:val="22"/>
        </w:rPr>
        <w:t>Организация и проведение игр с элементами ушу.</w:t>
      </w:r>
    </w:p>
    <w:p w14:paraId="78630E3B">
      <w:pPr>
        <w:pStyle w:val="85"/>
        <w:spacing w:before="240"/>
        <w:ind w:firstLine="540"/>
        <w:jc w:val="both"/>
        <w:rPr>
          <w:color w:val="auto"/>
          <w:sz w:val="22"/>
          <w:szCs w:val="22"/>
        </w:rPr>
      </w:pPr>
      <w:r>
        <w:rPr>
          <w:color w:val="auto"/>
          <w:sz w:val="22"/>
          <w:szCs w:val="22"/>
        </w:rPr>
        <w:t>Основы организации самостоятельных занятий ушу со сверстниками.</w:t>
      </w:r>
    </w:p>
    <w:p w14:paraId="27BB58BE">
      <w:pPr>
        <w:pStyle w:val="85"/>
        <w:spacing w:before="240"/>
        <w:ind w:firstLine="540"/>
        <w:jc w:val="both"/>
        <w:rPr>
          <w:color w:val="auto"/>
          <w:sz w:val="22"/>
          <w:szCs w:val="22"/>
        </w:rPr>
      </w:pPr>
      <w:r>
        <w:rPr>
          <w:color w:val="auto"/>
          <w:sz w:val="22"/>
          <w:szCs w:val="22"/>
        </w:rPr>
        <w:t>Контрольно-тестовые упражнения по общей и специальной физической подготовке.</w:t>
      </w:r>
    </w:p>
    <w:p w14:paraId="08780559">
      <w:pPr>
        <w:pStyle w:val="85"/>
        <w:spacing w:before="240"/>
        <w:ind w:firstLine="540"/>
        <w:jc w:val="both"/>
        <w:rPr>
          <w:color w:val="auto"/>
          <w:sz w:val="22"/>
          <w:szCs w:val="22"/>
        </w:rPr>
      </w:pPr>
      <w:r>
        <w:rPr>
          <w:color w:val="auto"/>
          <w:sz w:val="22"/>
          <w:szCs w:val="22"/>
        </w:rPr>
        <w:t>Причины возникновения ошибок при выполнении технических приемов и способы их устранения.</w:t>
      </w:r>
    </w:p>
    <w:p w14:paraId="30EEFD12">
      <w:pPr>
        <w:pStyle w:val="85"/>
        <w:spacing w:before="240"/>
        <w:ind w:firstLine="540"/>
        <w:jc w:val="both"/>
        <w:rPr>
          <w:color w:val="auto"/>
          <w:sz w:val="22"/>
          <w:szCs w:val="22"/>
        </w:rPr>
      </w:pPr>
      <w:r>
        <w:rPr>
          <w:color w:val="auto"/>
          <w:sz w:val="22"/>
          <w:szCs w:val="22"/>
        </w:rPr>
        <w:t>Основы анализа собственной игры, игры своей команды и игры команды соперников.</w:t>
      </w:r>
    </w:p>
    <w:p w14:paraId="72D0C39F">
      <w:pPr>
        <w:pStyle w:val="85"/>
        <w:spacing w:before="240"/>
        <w:ind w:firstLine="540"/>
        <w:jc w:val="both"/>
        <w:rPr>
          <w:color w:val="auto"/>
          <w:sz w:val="22"/>
          <w:szCs w:val="22"/>
        </w:rPr>
      </w:pPr>
      <w:r>
        <w:rPr>
          <w:color w:val="auto"/>
          <w:sz w:val="22"/>
          <w:szCs w:val="22"/>
        </w:rPr>
        <w:t>3) Физическое совершенствование.</w:t>
      </w:r>
    </w:p>
    <w:p w14:paraId="6A1C46EE">
      <w:pPr>
        <w:pStyle w:val="85"/>
        <w:spacing w:before="240"/>
        <w:ind w:firstLine="540"/>
        <w:jc w:val="both"/>
        <w:rPr>
          <w:color w:val="auto"/>
          <w:sz w:val="22"/>
          <w:szCs w:val="22"/>
        </w:rPr>
      </w:pPr>
      <w:r>
        <w:rPr>
          <w:color w:val="auto"/>
          <w:sz w:val="22"/>
          <w:szCs w:val="22"/>
        </w:rPr>
        <w:t>Комплексы общеразвивающих и корригирующих упражнений.</w:t>
      </w:r>
    </w:p>
    <w:p w14:paraId="17560911">
      <w:pPr>
        <w:pStyle w:val="85"/>
        <w:spacing w:before="240"/>
        <w:ind w:firstLine="540"/>
        <w:jc w:val="both"/>
        <w:rPr>
          <w:color w:val="auto"/>
          <w:sz w:val="22"/>
          <w:szCs w:val="22"/>
        </w:rPr>
      </w:pPr>
      <w:r>
        <w:rPr>
          <w:color w:val="auto"/>
          <w:sz w:val="22"/>
          <w:szCs w:val="22"/>
        </w:rPr>
        <w:t>Упражнения на развитие физических качеств (быстроты, ловкости, гибкости), координационных и скоростных способностей.</w:t>
      </w:r>
    </w:p>
    <w:p w14:paraId="75420389">
      <w:pPr>
        <w:pStyle w:val="85"/>
        <w:spacing w:before="240"/>
        <w:ind w:firstLine="540"/>
        <w:jc w:val="both"/>
        <w:rPr>
          <w:color w:val="auto"/>
          <w:sz w:val="22"/>
          <w:szCs w:val="22"/>
        </w:rPr>
      </w:pPr>
      <w:r>
        <w:rPr>
          <w:color w:val="auto"/>
          <w:sz w:val="22"/>
          <w:szCs w:val="22"/>
        </w:rPr>
        <w:t>Комплексы специальных упражнений для формирования технических действий спортсмена, в том числе имитационные упражнения спортсмена.</w:t>
      </w:r>
    </w:p>
    <w:p w14:paraId="6C0195FC">
      <w:pPr>
        <w:pStyle w:val="85"/>
        <w:spacing w:before="240"/>
        <w:ind w:firstLine="540"/>
        <w:jc w:val="both"/>
        <w:rPr>
          <w:color w:val="auto"/>
          <w:sz w:val="22"/>
          <w:szCs w:val="22"/>
        </w:rPr>
      </w:pPr>
      <w:r>
        <w:rPr>
          <w:color w:val="auto"/>
          <w:sz w:val="22"/>
          <w:szCs w:val="22"/>
        </w:rPr>
        <w:t>Разминка, ее роль, назначение, средства.</w:t>
      </w:r>
    </w:p>
    <w:p w14:paraId="5BF77E0B">
      <w:pPr>
        <w:pStyle w:val="85"/>
        <w:spacing w:before="240"/>
        <w:ind w:firstLine="540"/>
        <w:jc w:val="both"/>
        <w:rPr>
          <w:color w:val="auto"/>
          <w:sz w:val="22"/>
          <w:szCs w:val="22"/>
        </w:rPr>
      </w:pPr>
      <w:r>
        <w:rPr>
          <w:color w:val="auto"/>
          <w:sz w:val="22"/>
          <w:szCs w:val="22"/>
        </w:rPr>
        <w:t>Комплексы специальной разминки перед соревнованиями по виду спорта ушу.</w:t>
      </w:r>
    </w:p>
    <w:p w14:paraId="059BF723">
      <w:pPr>
        <w:pStyle w:val="85"/>
        <w:spacing w:before="240"/>
        <w:ind w:firstLine="540"/>
        <w:jc w:val="both"/>
        <w:rPr>
          <w:color w:val="auto"/>
          <w:sz w:val="22"/>
          <w:szCs w:val="22"/>
        </w:rPr>
      </w:pPr>
      <w:r>
        <w:rPr>
          <w:color w:val="auto"/>
          <w:sz w:val="22"/>
          <w:szCs w:val="22"/>
        </w:rPr>
        <w:t>Комплексы корригирующей гимнастики с использованием специальных упражнений из арсенала ушу.</w:t>
      </w:r>
    </w:p>
    <w:p w14:paraId="61DF628B">
      <w:pPr>
        <w:pStyle w:val="85"/>
        <w:spacing w:before="240"/>
        <w:ind w:firstLine="540"/>
        <w:jc w:val="both"/>
        <w:rPr>
          <w:color w:val="auto"/>
          <w:sz w:val="22"/>
          <w:szCs w:val="22"/>
        </w:rPr>
      </w:pPr>
      <w:r>
        <w:rPr>
          <w:color w:val="auto"/>
          <w:sz w:val="22"/>
          <w:szCs w:val="22"/>
        </w:rPr>
        <w:t>Внешние признаки утомления. Средства восстановления организма после физической нагрузки.</w:t>
      </w:r>
    </w:p>
    <w:p w14:paraId="187FCA96">
      <w:pPr>
        <w:pStyle w:val="85"/>
        <w:spacing w:before="240"/>
        <w:ind w:firstLine="540"/>
        <w:jc w:val="both"/>
        <w:rPr>
          <w:color w:val="auto"/>
          <w:sz w:val="22"/>
          <w:szCs w:val="22"/>
        </w:rPr>
      </w:pPr>
      <w:r>
        <w:rPr>
          <w:color w:val="auto"/>
          <w:sz w:val="22"/>
          <w:szCs w:val="22"/>
        </w:rPr>
        <w:t>Способы индивидуального регулирования физической нагрузки с учетом уровня физического развития и функционального состояния организма.</w:t>
      </w:r>
    </w:p>
    <w:p w14:paraId="27F70FBA">
      <w:pPr>
        <w:pStyle w:val="85"/>
        <w:spacing w:before="240"/>
        <w:ind w:firstLine="540"/>
        <w:jc w:val="both"/>
        <w:rPr>
          <w:color w:val="auto"/>
          <w:sz w:val="22"/>
          <w:szCs w:val="22"/>
        </w:rPr>
      </w:pPr>
      <w:r>
        <w:rPr>
          <w:color w:val="auto"/>
          <w:sz w:val="22"/>
          <w:szCs w:val="22"/>
        </w:rPr>
        <w:t>Подвижные игры с предметами и без, эстафеты с элементами ушу.</w:t>
      </w:r>
    </w:p>
    <w:p w14:paraId="1347235A">
      <w:pPr>
        <w:pStyle w:val="85"/>
        <w:spacing w:before="240"/>
        <w:ind w:firstLine="540"/>
        <w:jc w:val="both"/>
        <w:rPr>
          <w:color w:val="auto"/>
          <w:sz w:val="22"/>
          <w:szCs w:val="22"/>
        </w:rPr>
      </w:pPr>
      <w:r>
        <w:rPr>
          <w:color w:val="auto"/>
          <w:sz w:val="22"/>
          <w:szCs w:val="22"/>
        </w:rPr>
        <w:t>Подвижные игры: "Кто дальше бросит?", "Попади в цель", "Пятнашки", "Лиса и куры", "Прыжки по полоскам", "Караси и щуки", "Третий лишний", "Пустое место", "Белые медведи", "Борьба за мяч", "Перетягивание каната", "Вызов", "Гонка мячей по кругу", "Мяч среднему", "Круговая лапта", "Охотники и утки".</w:t>
      </w:r>
    </w:p>
    <w:p w14:paraId="45FED47B">
      <w:pPr>
        <w:pStyle w:val="85"/>
        <w:spacing w:before="240"/>
        <w:ind w:firstLine="540"/>
        <w:jc w:val="both"/>
        <w:rPr>
          <w:color w:val="auto"/>
          <w:sz w:val="22"/>
          <w:szCs w:val="22"/>
        </w:rPr>
      </w:pPr>
      <w:r>
        <w:rPr>
          <w:color w:val="auto"/>
          <w:sz w:val="22"/>
          <w:szCs w:val="22"/>
        </w:rPr>
        <w:t>Подвижные игры с элементами ушу, игровые задания для формирования умений и навыков при занятиях ушу: "Вытесни соперника из круга", "Лодочка", "Собери кегли", "Коснись коленного сустава", "Зайди сопернику за спину", "Перетяни соперника на свою сторону", "Защити свое плечо", "Царь горы", "Борьба за мяч", "Опереди соперника", "Петушиный бой", "Сохрани равновесие", "Регбол на коленях", "Бой всадников", "Сорви ленточку", "Цепи" и другие.</w:t>
      </w:r>
    </w:p>
    <w:p w14:paraId="4CF90ED2">
      <w:pPr>
        <w:pStyle w:val="85"/>
        <w:spacing w:before="240"/>
        <w:ind w:firstLine="540"/>
        <w:jc w:val="both"/>
        <w:rPr>
          <w:color w:val="auto"/>
          <w:sz w:val="22"/>
          <w:szCs w:val="22"/>
        </w:rPr>
      </w:pPr>
      <w:r>
        <w:rPr>
          <w:color w:val="auto"/>
          <w:sz w:val="22"/>
          <w:szCs w:val="22"/>
        </w:rPr>
        <w:t>Эстафеты на развитие физических и специальных качеств.</w:t>
      </w:r>
    </w:p>
    <w:p w14:paraId="35550DCD">
      <w:pPr>
        <w:pStyle w:val="85"/>
        <w:spacing w:before="240"/>
        <w:ind w:firstLine="540"/>
        <w:jc w:val="both"/>
        <w:rPr>
          <w:color w:val="auto"/>
          <w:sz w:val="22"/>
          <w:szCs w:val="22"/>
        </w:rPr>
      </w:pPr>
      <w:r>
        <w:rPr>
          <w:color w:val="auto"/>
          <w:sz w:val="22"/>
          <w:szCs w:val="22"/>
        </w:rPr>
        <w:t>Базовые элементы техники в различных передвижениях: ходьба обычная, на пятках, на носках, на внутренней и внешней стороне ступни, спиной вперед, ходьба в полуприседе, в приседе, изменение темпов и направлений ходьбы.</w:t>
      </w:r>
    </w:p>
    <w:p w14:paraId="40014845">
      <w:pPr>
        <w:pStyle w:val="85"/>
        <w:spacing w:before="240"/>
        <w:ind w:firstLine="540"/>
        <w:jc w:val="both"/>
        <w:rPr>
          <w:color w:val="auto"/>
          <w:sz w:val="22"/>
          <w:szCs w:val="22"/>
        </w:rPr>
      </w:pPr>
      <w:r>
        <w:rPr>
          <w:color w:val="auto"/>
          <w:sz w:val="22"/>
          <w:szCs w:val="22"/>
        </w:rPr>
        <w:t>Выпады, глубокие приседания на одной и двух ногах.</w:t>
      </w:r>
    </w:p>
    <w:p w14:paraId="0436624C">
      <w:pPr>
        <w:pStyle w:val="85"/>
        <w:spacing w:before="240"/>
        <w:ind w:firstLine="540"/>
        <w:jc w:val="both"/>
        <w:rPr>
          <w:color w:val="auto"/>
          <w:sz w:val="22"/>
          <w:szCs w:val="22"/>
        </w:rPr>
      </w:pPr>
      <w:r>
        <w:rPr>
          <w:color w:val="auto"/>
          <w:sz w:val="22"/>
          <w:szCs w:val="22"/>
        </w:rPr>
        <w:t>Бег, бег с высоким подниманием бедра, с захлестом голени, прямыми ногами вперед, назад, на месте, короткими шагами, спиной вперед, бег в различном темпе, бег на коленях.</w:t>
      </w:r>
    </w:p>
    <w:p w14:paraId="6356B0C6">
      <w:pPr>
        <w:pStyle w:val="85"/>
        <w:spacing w:before="240"/>
        <w:ind w:firstLine="540"/>
        <w:jc w:val="both"/>
        <w:rPr>
          <w:color w:val="auto"/>
          <w:sz w:val="22"/>
          <w:szCs w:val="22"/>
        </w:rPr>
      </w:pPr>
      <w:r>
        <w:rPr>
          <w:color w:val="auto"/>
          <w:sz w:val="22"/>
          <w:szCs w:val="22"/>
        </w:rPr>
        <w:t>Старт с места лицом вперед; из различных положений с последующими рывками в заданные направления;</w:t>
      </w:r>
    </w:p>
    <w:p w14:paraId="7353BD77">
      <w:pPr>
        <w:pStyle w:val="85"/>
        <w:spacing w:before="240"/>
        <w:ind w:firstLine="540"/>
        <w:jc w:val="both"/>
        <w:rPr>
          <w:color w:val="auto"/>
          <w:sz w:val="22"/>
          <w:szCs w:val="22"/>
        </w:rPr>
      </w:pPr>
      <w:r>
        <w:rPr>
          <w:color w:val="auto"/>
          <w:sz w:val="22"/>
          <w:szCs w:val="22"/>
        </w:rPr>
        <w:t>Прыжки, прыжки на одной, двух ногах, перескоки с одной ноги на другую, толчком двумя ногами вперед, в сторону, спиной вперед, с поворотом.</w:t>
      </w:r>
    </w:p>
    <w:p w14:paraId="4931286D">
      <w:pPr>
        <w:pStyle w:val="85"/>
        <w:spacing w:before="240"/>
        <w:ind w:firstLine="540"/>
        <w:jc w:val="both"/>
        <w:rPr>
          <w:color w:val="auto"/>
          <w:sz w:val="22"/>
          <w:szCs w:val="22"/>
        </w:rPr>
      </w:pPr>
      <w:r>
        <w:rPr>
          <w:color w:val="auto"/>
          <w:sz w:val="22"/>
          <w:szCs w:val="22"/>
        </w:rPr>
        <w:t>Базовые элементы акробатической техники ушу, страховки, самостраховки при различных падениях (кувырки вперед, назад, длинный кувырок, полет кувырок, перевороты боком, перекаты, подъем разгибом; падения вперед, на бок, на спину со страховкой и без нее, группировки при падениях).</w:t>
      </w:r>
    </w:p>
    <w:p w14:paraId="6442D180">
      <w:pPr>
        <w:pStyle w:val="85"/>
        <w:spacing w:before="240"/>
        <w:ind w:firstLine="540"/>
        <w:jc w:val="both"/>
        <w:rPr>
          <w:color w:val="auto"/>
          <w:sz w:val="22"/>
          <w:szCs w:val="22"/>
        </w:rPr>
      </w:pPr>
      <w:r>
        <w:rPr>
          <w:color w:val="auto"/>
          <w:sz w:val="22"/>
          <w:szCs w:val="22"/>
        </w:rPr>
        <w:t>Базовые элементы технических действий ушу: боевая позиция (левосторонняя, правосторонняя, фронтальная), дистанции (ближняя, средняя, дальняя), передвижения в поединке.</w:t>
      </w:r>
    </w:p>
    <w:p w14:paraId="4791793B">
      <w:pPr>
        <w:pStyle w:val="85"/>
        <w:spacing w:before="240"/>
        <w:ind w:firstLine="540"/>
        <w:jc w:val="both"/>
        <w:rPr>
          <w:color w:val="auto"/>
          <w:sz w:val="22"/>
          <w:szCs w:val="22"/>
        </w:rPr>
      </w:pPr>
      <w:r>
        <w:rPr>
          <w:color w:val="auto"/>
          <w:sz w:val="22"/>
          <w:szCs w:val="22"/>
        </w:rPr>
        <w:t>Базовые элементы технических действий в боевой позиции.</w:t>
      </w:r>
    </w:p>
    <w:p w14:paraId="2CC896FB">
      <w:pPr>
        <w:pStyle w:val="85"/>
        <w:spacing w:before="240"/>
        <w:ind w:firstLine="540"/>
        <w:jc w:val="both"/>
        <w:rPr>
          <w:color w:val="auto"/>
          <w:sz w:val="22"/>
          <w:szCs w:val="22"/>
        </w:rPr>
      </w:pPr>
      <w:r>
        <w:rPr>
          <w:color w:val="auto"/>
          <w:sz w:val="22"/>
          <w:szCs w:val="22"/>
        </w:rPr>
        <w:t>Тактические действия: тактика атаки, тактика обороны, тактика поединка; выбор тактической способов для ведения учебного, тренировочного и контрольного поединка с конкретным соперником.</w:t>
      </w:r>
    </w:p>
    <w:p w14:paraId="2673DDA8">
      <w:pPr>
        <w:pStyle w:val="85"/>
        <w:spacing w:before="240"/>
        <w:ind w:firstLine="540"/>
        <w:jc w:val="both"/>
        <w:rPr>
          <w:color w:val="auto"/>
          <w:sz w:val="22"/>
          <w:szCs w:val="22"/>
        </w:rPr>
      </w:pPr>
      <w:r>
        <w:rPr>
          <w:color w:val="auto"/>
          <w:sz w:val="22"/>
          <w:szCs w:val="22"/>
        </w:rPr>
        <w:t>Учебные поединки по упрощенным правилам.</w:t>
      </w:r>
    </w:p>
    <w:p w14:paraId="5A68DF49">
      <w:pPr>
        <w:pStyle w:val="85"/>
        <w:spacing w:before="240"/>
        <w:ind w:firstLine="540"/>
        <w:jc w:val="both"/>
        <w:rPr>
          <w:color w:val="auto"/>
          <w:sz w:val="22"/>
          <w:szCs w:val="22"/>
        </w:rPr>
      </w:pPr>
      <w:r>
        <w:rPr>
          <w:color w:val="auto"/>
          <w:sz w:val="22"/>
          <w:szCs w:val="22"/>
        </w:rPr>
        <w:t>Участие в физкультурно-спортивной и соревновательной деятельности.</w:t>
      </w:r>
    </w:p>
    <w:p w14:paraId="3260CA23">
      <w:pPr>
        <w:pStyle w:val="85"/>
        <w:spacing w:before="240"/>
        <w:ind w:firstLine="540"/>
        <w:jc w:val="both"/>
        <w:rPr>
          <w:color w:val="auto"/>
          <w:sz w:val="22"/>
          <w:szCs w:val="22"/>
        </w:rPr>
      </w:pPr>
      <w:r>
        <w:rPr>
          <w:color w:val="auto"/>
          <w:sz w:val="22"/>
          <w:szCs w:val="22"/>
        </w:rPr>
        <w:t>16.4.22.7. Содержание модуля "Ушу" направлено на достижение обучающимися личностных, метапредметных и предметных результатов обучения.</w:t>
      </w:r>
    </w:p>
    <w:p w14:paraId="0402B856">
      <w:pPr>
        <w:pStyle w:val="85"/>
        <w:spacing w:before="240"/>
        <w:ind w:firstLine="540"/>
        <w:jc w:val="both"/>
        <w:rPr>
          <w:color w:val="auto"/>
          <w:sz w:val="22"/>
          <w:szCs w:val="22"/>
        </w:rPr>
      </w:pPr>
      <w:r>
        <w:rPr>
          <w:color w:val="auto"/>
          <w:sz w:val="22"/>
          <w:szCs w:val="22"/>
        </w:rPr>
        <w:t>16.4.22.7.1. При изучении модуля "Ушу" на уровне начального общего образования у обучающихся будут сформированы следующие личностные результаты:</w:t>
      </w:r>
    </w:p>
    <w:p w14:paraId="680CB1D2">
      <w:pPr>
        <w:pStyle w:val="85"/>
        <w:spacing w:before="240"/>
        <w:ind w:firstLine="540"/>
        <w:jc w:val="both"/>
        <w:rPr>
          <w:color w:val="auto"/>
          <w:sz w:val="22"/>
          <w:szCs w:val="22"/>
        </w:rPr>
      </w:pPr>
      <w:r>
        <w:rPr>
          <w:color w:val="auto"/>
          <w:sz w:val="22"/>
          <w:szCs w:val="22"/>
        </w:rPr>
        <w:t>проявление чувства гордости за свою Родину, российский народ и историю России через достижения российских спортсменов и отечественной сборной команды страны на мировых чемпионатах;</w:t>
      </w:r>
    </w:p>
    <w:p w14:paraId="21EF053B">
      <w:pPr>
        <w:pStyle w:val="85"/>
        <w:spacing w:before="240"/>
        <w:ind w:firstLine="540"/>
        <w:jc w:val="both"/>
        <w:rPr>
          <w:color w:val="auto"/>
          <w:sz w:val="22"/>
          <w:szCs w:val="22"/>
        </w:rPr>
      </w:pPr>
      <w:r>
        <w:rPr>
          <w:color w:val="auto"/>
          <w:sz w:val="22"/>
          <w:szCs w:val="22"/>
        </w:rPr>
        <w:t>уважение государственных символов (герб, флаг, гимн);</w:t>
      </w:r>
    </w:p>
    <w:p w14:paraId="6E1AB2F4">
      <w:pPr>
        <w:pStyle w:val="85"/>
        <w:spacing w:before="240"/>
        <w:ind w:firstLine="540"/>
        <w:jc w:val="both"/>
        <w:rPr>
          <w:color w:val="auto"/>
          <w:sz w:val="22"/>
          <w:szCs w:val="22"/>
        </w:rPr>
      </w:pPr>
      <w:r>
        <w:rPr>
          <w:color w:val="auto"/>
          <w:sz w:val="22"/>
          <w:szCs w:val="22"/>
        </w:rPr>
        <w:t>проявление уважительного отношения к сверстникам, культуры общения и взаимодействия, нравственного поведения, проявление положительных качеств личности, осознанного и ответственного отношения к собственным поступкам, решение проблем в процессе занятий ушу;</w:t>
      </w:r>
    </w:p>
    <w:p w14:paraId="1FC870E5">
      <w:pPr>
        <w:pStyle w:val="85"/>
        <w:spacing w:before="240"/>
        <w:ind w:firstLine="540"/>
        <w:jc w:val="both"/>
        <w:rPr>
          <w:color w:val="auto"/>
          <w:sz w:val="22"/>
          <w:szCs w:val="22"/>
        </w:rPr>
      </w:pPr>
      <w:r>
        <w:rPr>
          <w:color w:val="auto"/>
          <w:sz w:val="22"/>
          <w:szCs w:val="22"/>
        </w:rPr>
        <w:t>проявление положительных качеств личности и управление своими эмоциями в различных ситуациях и условиях.</w:t>
      </w:r>
    </w:p>
    <w:p w14:paraId="04C14ECA">
      <w:pPr>
        <w:pStyle w:val="85"/>
        <w:spacing w:before="240"/>
        <w:ind w:firstLine="540"/>
        <w:jc w:val="both"/>
        <w:rPr>
          <w:color w:val="auto"/>
          <w:sz w:val="22"/>
          <w:szCs w:val="22"/>
        </w:rPr>
      </w:pPr>
      <w:r>
        <w:rPr>
          <w:color w:val="auto"/>
          <w:sz w:val="22"/>
          <w:szCs w:val="22"/>
        </w:rPr>
        <w:t>16.4.22.7.2. При изучении модуля "Ушу" на уровне начального общего образования у обучающихся будут сформированы следующие метапредметные результаты:</w:t>
      </w:r>
    </w:p>
    <w:p w14:paraId="0394D9EC">
      <w:pPr>
        <w:pStyle w:val="85"/>
        <w:spacing w:before="240"/>
        <w:ind w:firstLine="540"/>
        <w:jc w:val="both"/>
        <w:rPr>
          <w:color w:val="auto"/>
          <w:sz w:val="22"/>
          <w:szCs w:val="22"/>
        </w:rPr>
      </w:pPr>
      <w:r>
        <w:rPr>
          <w:color w:val="auto"/>
          <w:sz w:val="22"/>
          <w:szCs w:val="22"/>
        </w:rPr>
        <w:t>умение соотносить свои действия с планируемыми результатами, осуществлять контроль своей деятельности в процессе достижения результатов в учебной, тренировочной, игровой и соревновательной деятельности, определять способы действий в рамках предложенных условий и требований, корректировать свои действия в соответствии с изменяющейся ситуацией;</w:t>
      </w:r>
    </w:p>
    <w:p w14:paraId="2613D959">
      <w:pPr>
        <w:pStyle w:val="85"/>
        <w:spacing w:before="240"/>
        <w:ind w:firstLine="540"/>
        <w:jc w:val="both"/>
        <w:rPr>
          <w:color w:val="auto"/>
          <w:sz w:val="22"/>
          <w:szCs w:val="22"/>
        </w:rPr>
      </w:pPr>
      <w:r>
        <w:rPr>
          <w:color w:val="auto"/>
          <w:sz w:val="22"/>
          <w:szCs w:val="22"/>
        </w:rPr>
        <w:t>владение основами самоконтроля, самооценки, принятия решений и осуществления осознанного выбора в учебной и познавательной деятельности;</w:t>
      </w:r>
    </w:p>
    <w:p w14:paraId="2C8AF946">
      <w:pPr>
        <w:pStyle w:val="85"/>
        <w:spacing w:before="240"/>
        <w:ind w:firstLine="540"/>
        <w:jc w:val="both"/>
        <w:rPr>
          <w:color w:val="auto"/>
          <w:sz w:val="22"/>
          <w:szCs w:val="22"/>
        </w:rPr>
      </w:pPr>
      <w:r>
        <w:rPr>
          <w:color w:val="auto"/>
          <w:sz w:val="22"/>
          <w:szCs w:val="22"/>
        </w:rPr>
        <w:t>умение организовывать учебное сотрудничество и совместную деятельность со сверстниками и взрослыми; работать индивидуально, в парах и в группе, эффективно взаимодействовать и разрешать конфликты в процессе учебной, тренировочной, игровой и соревновательной деятельности, судейской практики, учитывать позиции других участников деятельности.</w:t>
      </w:r>
    </w:p>
    <w:p w14:paraId="0B98387F">
      <w:pPr>
        <w:pStyle w:val="85"/>
        <w:spacing w:before="240"/>
        <w:ind w:firstLine="540"/>
        <w:jc w:val="both"/>
        <w:rPr>
          <w:color w:val="auto"/>
          <w:sz w:val="22"/>
          <w:szCs w:val="22"/>
        </w:rPr>
      </w:pPr>
      <w:r>
        <w:rPr>
          <w:color w:val="auto"/>
          <w:sz w:val="22"/>
          <w:szCs w:val="22"/>
        </w:rPr>
        <w:t>16.4.22.7.3. При изучении модуля "Ушу" на уровне начального общего образования у обучающихся будут сформированы следующие предметные результаты:</w:t>
      </w:r>
    </w:p>
    <w:p w14:paraId="0FB11B38">
      <w:pPr>
        <w:pStyle w:val="85"/>
        <w:spacing w:before="240"/>
        <w:ind w:firstLine="540"/>
        <w:jc w:val="both"/>
        <w:rPr>
          <w:color w:val="auto"/>
          <w:sz w:val="22"/>
          <w:szCs w:val="22"/>
        </w:rPr>
      </w:pPr>
      <w:r>
        <w:rPr>
          <w:color w:val="auto"/>
          <w:sz w:val="22"/>
          <w:szCs w:val="22"/>
        </w:rPr>
        <w:t>понимание значения занятий как средства укрепления здоровья, закаливания и развития двигательных и физических качеств человека;</w:t>
      </w:r>
    </w:p>
    <w:p w14:paraId="44347589">
      <w:pPr>
        <w:pStyle w:val="85"/>
        <w:spacing w:before="240"/>
        <w:ind w:firstLine="540"/>
        <w:jc w:val="both"/>
        <w:rPr>
          <w:color w:val="auto"/>
          <w:sz w:val="22"/>
          <w:szCs w:val="22"/>
        </w:rPr>
      </w:pPr>
      <w:r>
        <w:rPr>
          <w:color w:val="auto"/>
          <w:sz w:val="22"/>
          <w:szCs w:val="22"/>
        </w:rPr>
        <w:t>знание истории возникновения и развития ушу, достижений отечественных спортсменов и сборной команды страны на мировых чемпионатах;</w:t>
      </w:r>
    </w:p>
    <w:p w14:paraId="6C63140E">
      <w:pPr>
        <w:pStyle w:val="85"/>
        <w:spacing w:before="240"/>
        <w:ind w:firstLine="540"/>
        <w:jc w:val="both"/>
        <w:rPr>
          <w:color w:val="auto"/>
          <w:sz w:val="22"/>
          <w:szCs w:val="22"/>
        </w:rPr>
      </w:pPr>
      <w:r>
        <w:rPr>
          <w:color w:val="auto"/>
          <w:sz w:val="22"/>
          <w:szCs w:val="22"/>
        </w:rPr>
        <w:t>знание видов ушу, а также основных правил соревнований, разрешенных и запрещенных действий, весовых категорий, технико-тактической подготовки, методов и условий подготовки к соревнованиям;</w:t>
      </w:r>
    </w:p>
    <w:p w14:paraId="2BF7C19B">
      <w:pPr>
        <w:pStyle w:val="85"/>
        <w:spacing w:before="240"/>
        <w:ind w:firstLine="540"/>
        <w:jc w:val="both"/>
        <w:rPr>
          <w:color w:val="auto"/>
          <w:sz w:val="22"/>
          <w:szCs w:val="22"/>
        </w:rPr>
      </w:pPr>
      <w:r>
        <w:rPr>
          <w:color w:val="auto"/>
          <w:sz w:val="22"/>
          <w:szCs w:val="22"/>
        </w:rPr>
        <w:t>умение характеризовать упражнения и комплексы упражнений: общефизической, специальной, корригирующей направленности; подготовительного и специального воздействия для занятий ушу; для развития физических качеств и двигательных способностей; индивидуальных технических элементов и действий в ушу, методики их выполнения;</w:t>
      </w:r>
    </w:p>
    <w:p w14:paraId="3B017DBA">
      <w:pPr>
        <w:pStyle w:val="85"/>
        <w:spacing w:before="240"/>
        <w:ind w:firstLine="540"/>
        <w:jc w:val="both"/>
        <w:rPr>
          <w:color w:val="auto"/>
          <w:sz w:val="22"/>
          <w:szCs w:val="22"/>
        </w:rPr>
      </w:pPr>
      <w:r>
        <w:rPr>
          <w:color w:val="auto"/>
          <w:sz w:val="22"/>
          <w:szCs w:val="22"/>
        </w:rPr>
        <w:t>умение соблюдать правила безопасного поведения во время занятий ушу; правила личной гигиены, требования к спортивной одежде и обуви, спортивному инвентарю для занятий;</w:t>
      </w:r>
    </w:p>
    <w:p w14:paraId="50CD0566">
      <w:pPr>
        <w:pStyle w:val="85"/>
        <w:spacing w:before="240"/>
        <w:ind w:firstLine="540"/>
        <w:jc w:val="both"/>
        <w:rPr>
          <w:color w:val="auto"/>
          <w:sz w:val="22"/>
          <w:szCs w:val="22"/>
        </w:rPr>
      </w:pPr>
      <w:r>
        <w:rPr>
          <w:color w:val="auto"/>
          <w:sz w:val="22"/>
          <w:szCs w:val="22"/>
        </w:rPr>
        <w:t>умение проводить наблюдения за своим физическим состоянием, величиной физических нагрузок, показателями физического развития и основных физических качеств;</w:t>
      </w:r>
    </w:p>
    <w:p w14:paraId="4891C676">
      <w:pPr>
        <w:pStyle w:val="85"/>
        <w:spacing w:before="240"/>
        <w:ind w:firstLine="540"/>
        <w:jc w:val="both"/>
        <w:rPr>
          <w:color w:val="auto"/>
          <w:sz w:val="22"/>
          <w:szCs w:val="22"/>
        </w:rPr>
      </w:pPr>
      <w:r>
        <w:rPr>
          <w:color w:val="auto"/>
          <w:sz w:val="22"/>
          <w:szCs w:val="22"/>
        </w:rPr>
        <w:t>умение организовывать самостоятельные и коллективные занятия с элементами ушу со сверстниками, проведение подвижных игр с элементами ушу;</w:t>
      </w:r>
    </w:p>
    <w:p w14:paraId="2EE73B23">
      <w:pPr>
        <w:pStyle w:val="85"/>
        <w:spacing w:before="240"/>
        <w:ind w:firstLine="540"/>
        <w:jc w:val="both"/>
        <w:rPr>
          <w:color w:val="auto"/>
          <w:sz w:val="22"/>
          <w:szCs w:val="22"/>
        </w:rPr>
      </w:pPr>
      <w:r>
        <w:rPr>
          <w:color w:val="auto"/>
          <w:sz w:val="22"/>
          <w:szCs w:val="22"/>
        </w:rPr>
        <w:t>умение выполнять комплексы общеразвивающих, специальных и корригирующих упражнений; упражнений на развитие быстроты, ловкости, гибкости, силы;</w:t>
      </w:r>
    </w:p>
    <w:p w14:paraId="11C812BE">
      <w:pPr>
        <w:pStyle w:val="85"/>
        <w:spacing w:before="240"/>
        <w:ind w:firstLine="540"/>
        <w:jc w:val="both"/>
        <w:rPr>
          <w:color w:val="auto"/>
          <w:sz w:val="22"/>
          <w:szCs w:val="22"/>
        </w:rPr>
      </w:pPr>
      <w:r>
        <w:rPr>
          <w:color w:val="auto"/>
          <w:sz w:val="22"/>
          <w:szCs w:val="22"/>
        </w:rPr>
        <w:t>умение выполнять базовые элементы технических действий; способы защиты от изученных технических действий, боевая позиция и дистанции, передвижения, использование площади помоста для решения тактических задач;</w:t>
      </w:r>
    </w:p>
    <w:p w14:paraId="32458829">
      <w:pPr>
        <w:pStyle w:val="85"/>
        <w:spacing w:before="240"/>
        <w:ind w:firstLine="540"/>
        <w:jc w:val="both"/>
        <w:rPr>
          <w:color w:val="auto"/>
          <w:sz w:val="22"/>
          <w:szCs w:val="22"/>
        </w:rPr>
      </w:pPr>
      <w:r>
        <w:rPr>
          <w:color w:val="auto"/>
          <w:sz w:val="22"/>
          <w:szCs w:val="22"/>
        </w:rPr>
        <w:t>умение анализировать выполнение технического действия или приема, находить способы устранения ошибок;</w:t>
      </w:r>
    </w:p>
    <w:p w14:paraId="44FC48CB">
      <w:pPr>
        <w:pStyle w:val="85"/>
        <w:spacing w:before="240"/>
        <w:ind w:firstLine="540"/>
        <w:jc w:val="both"/>
        <w:rPr>
          <w:color w:val="auto"/>
          <w:sz w:val="22"/>
          <w:szCs w:val="22"/>
        </w:rPr>
      </w:pPr>
      <w:r>
        <w:rPr>
          <w:color w:val="auto"/>
          <w:sz w:val="22"/>
          <w:szCs w:val="22"/>
        </w:rPr>
        <w:t>умение выполнять технические действия и тактические приемы в учебных поединках по упрощенным правилам или в играх с элементами поединка;</w:t>
      </w:r>
    </w:p>
    <w:p w14:paraId="6EF2708B">
      <w:pPr>
        <w:pStyle w:val="85"/>
        <w:spacing w:before="240"/>
        <w:ind w:firstLine="540"/>
        <w:jc w:val="both"/>
        <w:rPr>
          <w:color w:val="auto"/>
          <w:sz w:val="22"/>
          <w:szCs w:val="22"/>
        </w:rPr>
      </w:pPr>
      <w:r>
        <w:rPr>
          <w:color w:val="auto"/>
          <w:sz w:val="22"/>
          <w:szCs w:val="22"/>
        </w:rPr>
        <w:t>умение выполнять контрольно-тестовые упражнения по общей и специальной физической подготовке и оценивать показатели собственной физической подготовленности.</w:t>
      </w:r>
    </w:p>
    <w:p w14:paraId="74456B78">
      <w:pPr>
        <w:pStyle w:val="85"/>
        <w:spacing w:before="240"/>
        <w:ind w:firstLine="540"/>
        <w:jc w:val="both"/>
        <w:rPr>
          <w:color w:val="auto"/>
          <w:sz w:val="22"/>
          <w:szCs w:val="22"/>
        </w:rPr>
      </w:pPr>
      <w:r>
        <w:rPr>
          <w:color w:val="auto"/>
          <w:sz w:val="22"/>
          <w:szCs w:val="22"/>
        </w:rPr>
        <w:t>16.4.24. Модуль "Перетягивание каната".</w:t>
      </w:r>
    </w:p>
    <w:p w14:paraId="06BC9239">
      <w:pPr>
        <w:pStyle w:val="85"/>
        <w:spacing w:before="240"/>
        <w:ind w:firstLine="540"/>
        <w:jc w:val="both"/>
        <w:rPr>
          <w:color w:val="auto"/>
          <w:sz w:val="22"/>
          <w:szCs w:val="22"/>
        </w:rPr>
      </w:pPr>
      <w:r>
        <w:rPr>
          <w:color w:val="auto"/>
          <w:sz w:val="22"/>
          <w:szCs w:val="22"/>
        </w:rPr>
        <w:t>16.4.24.1. Пояснительная записка модуля "Перетягивание каната".</w:t>
      </w:r>
    </w:p>
    <w:p w14:paraId="7FC935B2">
      <w:pPr>
        <w:pStyle w:val="85"/>
        <w:spacing w:before="240"/>
        <w:ind w:firstLine="540"/>
        <w:jc w:val="both"/>
        <w:rPr>
          <w:color w:val="auto"/>
          <w:sz w:val="22"/>
          <w:szCs w:val="22"/>
        </w:rPr>
      </w:pPr>
      <w:r>
        <w:rPr>
          <w:color w:val="auto"/>
          <w:sz w:val="22"/>
          <w:szCs w:val="22"/>
        </w:rPr>
        <w:t>Модуль "Перетягивание каната" (далее - модуль "Перетягивание каната", модуль по перетягиванию каната, перетягивание каната) на уровне начального общего образования разработан с целью оказания методической помощи учителю физической культуры в создании части рабочей программы по учебному предмету "Физическая культура", направленной на формирование общих представлений о физической культуре и спорте, физической активности человека, физических качествах, жизненно важных прикладных умениях и навыках, основных физических упражнениях (игровых и спортивных) с целью достижения результатов ФГОС НОО, с учетом современных тенденций в системе образования и использования спортивно-ориентированных форм, средств и методов обучения по различным видам спорта.</w:t>
      </w:r>
    </w:p>
    <w:p w14:paraId="454FBCF5">
      <w:pPr>
        <w:pStyle w:val="85"/>
        <w:spacing w:before="240"/>
        <w:ind w:firstLine="540"/>
        <w:jc w:val="both"/>
        <w:rPr>
          <w:color w:val="auto"/>
          <w:sz w:val="22"/>
          <w:szCs w:val="22"/>
        </w:rPr>
      </w:pPr>
      <w:r>
        <w:rPr>
          <w:color w:val="auto"/>
          <w:sz w:val="22"/>
          <w:szCs w:val="22"/>
        </w:rPr>
        <w:t>Перетягивание каната - это современный командный силовой вид спорта, в котором надо уметь выстраивать отношения с ассистентами, судьями, тренерами, товарищами по команде и соперниками. Особым преимуществом для школьного спорта является возможность участвовать в соревновании одновременно мальчикам и девочкам в смешанном составе команд. Занятия перетягиванием каната для обучающихся мальчиков (подростков) и девочек (девушек) имеют оздоровительную направленность, повышают уровень функционирования сердечно-сосудистой, дыхательной, костно-мышечной и других систем организма человека, а при проведении занятий и соревнований на свежем воздухе, является формой закаливания и благотворно влияет на укрепление здоровья и повышение уровня работоспособности детей.</w:t>
      </w:r>
    </w:p>
    <w:p w14:paraId="46856C43">
      <w:pPr>
        <w:pStyle w:val="85"/>
        <w:spacing w:before="240"/>
        <w:ind w:firstLine="540"/>
        <w:jc w:val="both"/>
        <w:rPr>
          <w:color w:val="auto"/>
          <w:sz w:val="22"/>
          <w:szCs w:val="22"/>
        </w:rPr>
      </w:pPr>
      <w:r>
        <w:rPr>
          <w:color w:val="auto"/>
          <w:sz w:val="22"/>
          <w:szCs w:val="22"/>
        </w:rPr>
        <w:t>Одним из преимуществ перетягивания каната является его доступность. При проведении учебной и внеклассной работы не требуется больших средств на приобретение оборудования и инвентаря.</w:t>
      </w:r>
    </w:p>
    <w:p w14:paraId="4C1EAFD6">
      <w:pPr>
        <w:pStyle w:val="85"/>
        <w:spacing w:before="240"/>
        <w:ind w:firstLine="540"/>
        <w:jc w:val="both"/>
        <w:rPr>
          <w:color w:val="auto"/>
          <w:sz w:val="22"/>
          <w:szCs w:val="22"/>
        </w:rPr>
      </w:pPr>
      <w:r>
        <w:rPr>
          <w:color w:val="auto"/>
          <w:sz w:val="22"/>
          <w:szCs w:val="22"/>
        </w:rPr>
        <w:t>16.4.24.2. Целью изучения модуля "Перетягивание каната" является формирование у обучающихся навыков общечеловеческой культуры и социального самоопределения, устойчивой мотивации к сохранению и укреплению собственного здоровья, ведению здорового образа жизни через занятия физической культурой и спортом.</w:t>
      </w:r>
    </w:p>
    <w:p w14:paraId="3750EDBE">
      <w:pPr>
        <w:pStyle w:val="85"/>
        <w:spacing w:before="240"/>
        <w:ind w:firstLine="540"/>
        <w:jc w:val="both"/>
        <w:rPr>
          <w:color w:val="auto"/>
          <w:sz w:val="22"/>
          <w:szCs w:val="22"/>
        </w:rPr>
      </w:pPr>
      <w:r>
        <w:rPr>
          <w:color w:val="auto"/>
          <w:sz w:val="22"/>
          <w:szCs w:val="22"/>
        </w:rPr>
        <w:t>16.4.24.3. Задачами изучения модуля "Перетягивание каната" являются:</w:t>
      </w:r>
    </w:p>
    <w:p w14:paraId="640106B1">
      <w:pPr>
        <w:pStyle w:val="85"/>
        <w:spacing w:before="240"/>
        <w:ind w:firstLine="540"/>
        <w:jc w:val="both"/>
        <w:rPr>
          <w:color w:val="auto"/>
          <w:sz w:val="22"/>
          <w:szCs w:val="22"/>
        </w:rPr>
      </w:pPr>
      <w:r>
        <w:rPr>
          <w:color w:val="auto"/>
          <w:sz w:val="22"/>
          <w:szCs w:val="22"/>
        </w:rPr>
        <w:t>всестороннее гармоничное развитие обучающихся, увеличение объема их двигательной активности;</w:t>
      </w:r>
    </w:p>
    <w:p w14:paraId="2C1ABB5A">
      <w:pPr>
        <w:pStyle w:val="85"/>
        <w:spacing w:before="240"/>
        <w:ind w:firstLine="540"/>
        <w:jc w:val="both"/>
        <w:rPr>
          <w:color w:val="auto"/>
          <w:sz w:val="22"/>
          <w:szCs w:val="22"/>
        </w:rPr>
      </w:pPr>
      <w:r>
        <w:rPr>
          <w:color w:val="auto"/>
          <w:sz w:val="22"/>
          <w:szCs w:val="22"/>
        </w:rPr>
        <w:t>укрепление физического, психологического и социального здоровья обучающихся;</w:t>
      </w:r>
    </w:p>
    <w:p w14:paraId="77456046">
      <w:pPr>
        <w:pStyle w:val="85"/>
        <w:spacing w:before="240"/>
        <w:ind w:firstLine="540"/>
        <w:jc w:val="both"/>
        <w:rPr>
          <w:color w:val="auto"/>
          <w:sz w:val="22"/>
          <w:szCs w:val="22"/>
        </w:rPr>
      </w:pPr>
      <w:r>
        <w:rPr>
          <w:color w:val="auto"/>
          <w:sz w:val="22"/>
          <w:szCs w:val="22"/>
        </w:rPr>
        <w:t>освоение знаний о физической культуре и спорте в целом, истории развития перетягивания каната в частности;</w:t>
      </w:r>
    </w:p>
    <w:p w14:paraId="056E2E00">
      <w:pPr>
        <w:pStyle w:val="85"/>
        <w:spacing w:before="240"/>
        <w:ind w:firstLine="540"/>
        <w:jc w:val="both"/>
        <w:rPr>
          <w:color w:val="auto"/>
          <w:sz w:val="22"/>
          <w:szCs w:val="22"/>
        </w:rPr>
      </w:pPr>
      <w:r>
        <w:rPr>
          <w:color w:val="auto"/>
          <w:sz w:val="22"/>
          <w:szCs w:val="22"/>
        </w:rPr>
        <w:t>формирование общих представлений о перетягивании каната;</w:t>
      </w:r>
    </w:p>
    <w:p w14:paraId="0EBE6FAD">
      <w:pPr>
        <w:pStyle w:val="85"/>
        <w:spacing w:before="240"/>
        <w:ind w:firstLine="540"/>
        <w:jc w:val="both"/>
        <w:rPr>
          <w:color w:val="auto"/>
          <w:sz w:val="22"/>
          <w:szCs w:val="22"/>
        </w:rPr>
      </w:pPr>
      <w:r>
        <w:rPr>
          <w:color w:val="auto"/>
          <w:sz w:val="22"/>
          <w:szCs w:val="22"/>
        </w:rPr>
        <w:t>формирование образовательного фундамента;</w:t>
      </w:r>
    </w:p>
    <w:p w14:paraId="71B9E956">
      <w:pPr>
        <w:pStyle w:val="85"/>
        <w:spacing w:before="240"/>
        <w:ind w:firstLine="540"/>
        <w:jc w:val="both"/>
        <w:rPr>
          <w:color w:val="auto"/>
          <w:sz w:val="22"/>
          <w:szCs w:val="22"/>
        </w:rPr>
      </w:pPr>
      <w:r>
        <w:rPr>
          <w:color w:val="auto"/>
          <w:sz w:val="22"/>
          <w:szCs w:val="22"/>
        </w:rPr>
        <w:t>формирование культуры движений;</w:t>
      </w:r>
    </w:p>
    <w:p w14:paraId="4717CC2C">
      <w:pPr>
        <w:pStyle w:val="85"/>
        <w:spacing w:before="240"/>
        <w:ind w:firstLine="540"/>
        <w:jc w:val="both"/>
        <w:rPr>
          <w:color w:val="auto"/>
          <w:sz w:val="22"/>
          <w:szCs w:val="22"/>
        </w:rPr>
      </w:pPr>
      <w:r>
        <w:rPr>
          <w:color w:val="auto"/>
          <w:sz w:val="22"/>
          <w:szCs w:val="22"/>
        </w:rPr>
        <w:t>воспитание положительных качеств личности, норм коллективного взаимодействия и сотрудничества как с обучающимися своего пола, так и противоположного;</w:t>
      </w:r>
    </w:p>
    <w:p w14:paraId="16EDEF2E">
      <w:pPr>
        <w:pStyle w:val="85"/>
        <w:spacing w:before="240"/>
        <w:ind w:firstLine="540"/>
        <w:jc w:val="both"/>
        <w:rPr>
          <w:color w:val="auto"/>
          <w:sz w:val="22"/>
          <w:szCs w:val="22"/>
        </w:rPr>
      </w:pPr>
      <w:r>
        <w:rPr>
          <w:color w:val="auto"/>
          <w:sz w:val="22"/>
          <w:szCs w:val="22"/>
        </w:rPr>
        <w:t>развитие положительной мотивации и устойчивого учебно-познавательного интереса к учебному предмету "Физическая культура";</w:t>
      </w:r>
    </w:p>
    <w:p w14:paraId="7E249778">
      <w:pPr>
        <w:pStyle w:val="85"/>
        <w:spacing w:before="240"/>
        <w:ind w:firstLine="540"/>
        <w:jc w:val="both"/>
        <w:rPr>
          <w:color w:val="auto"/>
          <w:sz w:val="22"/>
          <w:szCs w:val="22"/>
        </w:rPr>
      </w:pPr>
      <w:r>
        <w:rPr>
          <w:color w:val="auto"/>
          <w:sz w:val="22"/>
          <w:szCs w:val="22"/>
        </w:rPr>
        <w:t>популяризация перетягивания каната среди подрастающего поколения;</w:t>
      </w:r>
    </w:p>
    <w:p w14:paraId="02333535">
      <w:pPr>
        <w:pStyle w:val="85"/>
        <w:spacing w:before="240"/>
        <w:ind w:firstLine="540"/>
        <w:jc w:val="both"/>
        <w:rPr>
          <w:color w:val="auto"/>
          <w:sz w:val="22"/>
          <w:szCs w:val="22"/>
        </w:rPr>
      </w:pPr>
      <w:r>
        <w:rPr>
          <w:color w:val="auto"/>
          <w:sz w:val="22"/>
          <w:szCs w:val="22"/>
        </w:rPr>
        <w:t>выявление, развитие и поддержка одаренных детей в области спорта.</w:t>
      </w:r>
    </w:p>
    <w:p w14:paraId="777458C1">
      <w:pPr>
        <w:pStyle w:val="85"/>
        <w:spacing w:before="240"/>
        <w:ind w:firstLine="540"/>
        <w:jc w:val="both"/>
        <w:rPr>
          <w:color w:val="auto"/>
          <w:sz w:val="22"/>
          <w:szCs w:val="22"/>
        </w:rPr>
      </w:pPr>
      <w:r>
        <w:rPr>
          <w:color w:val="auto"/>
          <w:sz w:val="22"/>
          <w:szCs w:val="22"/>
        </w:rPr>
        <w:t>16.4.24.4. Место и роль модуля "Перетягивание каната".</w:t>
      </w:r>
    </w:p>
    <w:p w14:paraId="0BDD8A3E">
      <w:pPr>
        <w:pStyle w:val="85"/>
        <w:spacing w:before="240"/>
        <w:ind w:firstLine="540"/>
        <w:jc w:val="both"/>
        <w:rPr>
          <w:color w:val="auto"/>
          <w:sz w:val="22"/>
          <w:szCs w:val="22"/>
        </w:rPr>
      </w:pPr>
      <w:r>
        <w:rPr>
          <w:color w:val="auto"/>
          <w:sz w:val="22"/>
          <w:szCs w:val="22"/>
        </w:rPr>
        <w:t>Модуль "Перетягивание каната" доступен для освоения всем обучающимся, и обеспечивает достижение следующих результатов ФГОС НОО: сформированность общих представлений о физической культуре и спорте, физической активности человека, физических качествах, жизненно важных прикладных умениях и навыках, основных физических упражнениях (гимнастических, игровых, туристических и спортивных).</w:t>
      </w:r>
    </w:p>
    <w:p w14:paraId="566751C7">
      <w:pPr>
        <w:pStyle w:val="85"/>
        <w:spacing w:before="240"/>
        <w:ind w:firstLine="540"/>
        <w:jc w:val="both"/>
        <w:rPr>
          <w:color w:val="auto"/>
          <w:sz w:val="22"/>
          <w:szCs w:val="22"/>
        </w:rPr>
      </w:pPr>
      <w:r>
        <w:rPr>
          <w:color w:val="auto"/>
          <w:sz w:val="22"/>
          <w:szCs w:val="22"/>
        </w:rPr>
        <w:t>Программное содержание модуля "Перетягивание каната" может быть использовано в разделах "Знания о физической культуре", "Способы самостоятельной деятельности", "Физическое совершенствование".</w:t>
      </w:r>
    </w:p>
    <w:p w14:paraId="36F06284">
      <w:pPr>
        <w:pStyle w:val="85"/>
        <w:spacing w:before="240"/>
        <w:ind w:firstLine="540"/>
        <w:jc w:val="both"/>
        <w:rPr>
          <w:color w:val="auto"/>
          <w:sz w:val="22"/>
          <w:szCs w:val="22"/>
        </w:rPr>
      </w:pPr>
      <w:r>
        <w:rPr>
          <w:color w:val="auto"/>
          <w:sz w:val="22"/>
          <w:szCs w:val="22"/>
        </w:rPr>
        <w:t>Интеграция модуля по перетягиванию каната поможет обучающимся в освоении образовательных программ в рамках внеурочной деятельности, дополнительного образования, деятельности школьных спортивных клубов, подготовке обучающихся к сдаче норм ГТО и участии в спортивных соревнованиях.</w:t>
      </w:r>
    </w:p>
    <w:p w14:paraId="120FBE23">
      <w:pPr>
        <w:pStyle w:val="85"/>
        <w:spacing w:before="240"/>
        <w:ind w:firstLine="540"/>
        <w:jc w:val="both"/>
        <w:rPr>
          <w:color w:val="auto"/>
          <w:sz w:val="22"/>
          <w:szCs w:val="22"/>
        </w:rPr>
      </w:pPr>
      <w:r>
        <w:rPr>
          <w:color w:val="auto"/>
          <w:sz w:val="22"/>
          <w:szCs w:val="22"/>
        </w:rPr>
        <w:t>Дисциплины в перетягивании каната предусматривают соревнования не только мальчиков (юношей), но и девочки (девушки), также в смешанной команде. Смешанные состязания являются эксклюзивным преимуществом относительно других видов спорта, что особенно важно в школьных образовательных организациях.</w:t>
      </w:r>
    </w:p>
    <w:p w14:paraId="32EB43A5">
      <w:pPr>
        <w:pStyle w:val="85"/>
        <w:spacing w:before="240"/>
        <w:ind w:firstLine="540"/>
        <w:jc w:val="both"/>
        <w:rPr>
          <w:color w:val="auto"/>
          <w:sz w:val="22"/>
          <w:szCs w:val="22"/>
        </w:rPr>
      </w:pPr>
      <w:r>
        <w:rPr>
          <w:color w:val="auto"/>
          <w:sz w:val="22"/>
          <w:szCs w:val="22"/>
        </w:rPr>
        <w:t>16.4.24.5. Модуль "Перетягивание каната" может быть реализован в следующих вариантах:</w:t>
      </w:r>
    </w:p>
    <w:p w14:paraId="7FCE595B">
      <w:pPr>
        <w:pStyle w:val="85"/>
        <w:spacing w:before="240"/>
        <w:ind w:firstLine="540"/>
        <w:jc w:val="both"/>
        <w:rPr>
          <w:color w:val="auto"/>
          <w:sz w:val="22"/>
          <w:szCs w:val="22"/>
        </w:rPr>
      </w:pPr>
      <w:r>
        <w:rPr>
          <w:color w:val="auto"/>
          <w:sz w:val="22"/>
          <w:szCs w:val="22"/>
        </w:rPr>
        <w:t>при самостоятельном планировании учителем физической культуры процесса освоения обучающимися учебного материала по перетягиванию каната с выбором различных элементов специальных физических упражнений, игр и (или) элементов игры, с учетом возраста и физической подготовленности обучающихся (с соответствующей дозировкой и интенсивностью);</w:t>
      </w:r>
    </w:p>
    <w:p w14:paraId="46402F47">
      <w:pPr>
        <w:pStyle w:val="85"/>
        <w:spacing w:before="240"/>
        <w:ind w:firstLine="540"/>
        <w:jc w:val="both"/>
        <w:rPr>
          <w:color w:val="auto"/>
          <w:sz w:val="22"/>
          <w:szCs w:val="22"/>
        </w:rPr>
      </w:pPr>
      <w:r>
        <w:rPr>
          <w:color w:val="auto"/>
          <w:sz w:val="22"/>
          <w:szCs w:val="22"/>
        </w:rPr>
        <w:t>в виде дополнительных часов, выделяемых на спортивно-оздоровительную работу с обучающимися в рамках внеурочной деятельности и (или) за счет посещения обучающимися спортивных секций школьных спортивных клубов (рекомендуемый объем в 1 классе - 33 часа, во 2 - 4 классах - по 34 часа).</w:t>
      </w:r>
    </w:p>
    <w:p w14:paraId="3AF6E2BD">
      <w:pPr>
        <w:pStyle w:val="85"/>
        <w:spacing w:before="240"/>
        <w:ind w:firstLine="540"/>
        <w:jc w:val="both"/>
        <w:rPr>
          <w:color w:val="auto"/>
          <w:sz w:val="22"/>
          <w:szCs w:val="22"/>
        </w:rPr>
      </w:pPr>
      <w:r>
        <w:rPr>
          <w:color w:val="auto"/>
          <w:sz w:val="22"/>
          <w:szCs w:val="22"/>
        </w:rPr>
        <w:t>16.4.24.6. Содержание модуля "Перетягивание каната".</w:t>
      </w:r>
    </w:p>
    <w:p w14:paraId="4D50C13C">
      <w:pPr>
        <w:pStyle w:val="85"/>
        <w:spacing w:before="240"/>
        <w:ind w:firstLine="540"/>
        <w:jc w:val="both"/>
        <w:rPr>
          <w:color w:val="auto"/>
          <w:sz w:val="22"/>
          <w:szCs w:val="22"/>
        </w:rPr>
      </w:pPr>
      <w:r>
        <w:rPr>
          <w:color w:val="auto"/>
          <w:sz w:val="22"/>
          <w:szCs w:val="22"/>
        </w:rPr>
        <w:t>1) Знания о перетягивании каната.</w:t>
      </w:r>
    </w:p>
    <w:p w14:paraId="6E2B784B">
      <w:pPr>
        <w:pStyle w:val="85"/>
        <w:spacing w:before="240"/>
        <w:ind w:firstLine="540"/>
        <w:jc w:val="both"/>
        <w:rPr>
          <w:color w:val="auto"/>
          <w:sz w:val="22"/>
          <w:szCs w:val="22"/>
        </w:rPr>
      </w:pPr>
      <w:r>
        <w:rPr>
          <w:color w:val="auto"/>
          <w:sz w:val="22"/>
          <w:szCs w:val="22"/>
        </w:rPr>
        <w:t>История зарождения перетягивания каната.</w:t>
      </w:r>
    </w:p>
    <w:p w14:paraId="51EC7142">
      <w:pPr>
        <w:pStyle w:val="85"/>
        <w:spacing w:before="240"/>
        <w:ind w:firstLine="540"/>
        <w:jc w:val="both"/>
        <w:rPr>
          <w:color w:val="auto"/>
          <w:sz w:val="22"/>
          <w:szCs w:val="22"/>
        </w:rPr>
      </w:pPr>
      <w:r>
        <w:rPr>
          <w:color w:val="auto"/>
          <w:sz w:val="22"/>
          <w:szCs w:val="22"/>
        </w:rPr>
        <w:t>История развития современного перетягивания в мире, в России, в своем регионе.</w:t>
      </w:r>
    </w:p>
    <w:p w14:paraId="7A63F920">
      <w:pPr>
        <w:pStyle w:val="85"/>
        <w:spacing w:before="240"/>
        <w:ind w:firstLine="540"/>
        <w:jc w:val="both"/>
        <w:rPr>
          <w:color w:val="auto"/>
          <w:sz w:val="22"/>
          <w:szCs w:val="22"/>
        </w:rPr>
      </w:pPr>
      <w:r>
        <w:rPr>
          <w:color w:val="auto"/>
          <w:sz w:val="22"/>
          <w:szCs w:val="22"/>
        </w:rPr>
        <w:t>Достижения национальной сборной команды страны по перетягиванию каната на чемпионатах мира.</w:t>
      </w:r>
    </w:p>
    <w:p w14:paraId="7CB38CAB">
      <w:pPr>
        <w:pStyle w:val="85"/>
        <w:spacing w:before="240"/>
        <w:ind w:firstLine="540"/>
        <w:jc w:val="both"/>
        <w:rPr>
          <w:color w:val="auto"/>
          <w:sz w:val="22"/>
          <w:szCs w:val="22"/>
        </w:rPr>
      </w:pPr>
      <w:r>
        <w:rPr>
          <w:color w:val="auto"/>
          <w:sz w:val="22"/>
          <w:szCs w:val="22"/>
        </w:rPr>
        <w:t>Размеры площадки и оборудование для занятий перетягиванием каната.</w:t>
      </w:r>
    </w:p>
    <w:p w14:paraId="6E727C24">
      <w:pPr>
        <w:pStyle w:val="85"/>
        <w:spacing w:before="240"/>
        <w:ind w:firstLine="540"/>
        <w:jc w:val="both"/>
        <w:rPr>
          <w:color w:val="auto"/>
          <w:sz w:val="22"/>
          <w:szCs w:val="22"/>
        </w:rPr>
      </w:pPr>
      <w:r>
        <w:rPr>
          <w:color w:val="auto"/>
          <w:sz w:val="22"/>
          <w:szCs w:val="22"/>
        </w:rPr>
        <w:t>Состав команды по перетягиванию каната, функции игроков в команде; роль капитана команды.</w:t>
      </w:r>
    </w:p>
    <w:p w14:paraId="27333456">
      <w:pPr>
        <w:pStyle w:val="85"/>
        <w:spacing w:before="240"/>
        <w:ind w:firstLine="540"/>
        <w:jc w:val="both"/>
        <w:rPr>
          <w:color w:val="auto"/>
          <w:sz w:val="22"/>
          <w:szCs w:val="22"/>
        </w:rPr>
      </w:pPr>
      <w:r>
        <w:rPr>
          <w:color w:val="auto"/>
          <w:sz w:val="22"/>
          <w:szCs w:val="22"/>
        </w:rPr>
        <w:t>Команды и сигналы судьи.</w:t>
      </w:r>
    </w:p>
    <w:p w14:paraId="17E4A716">
      <w:pPr>
        <w:pStyle w:val="85"/>
        <w:spacing w:before="240"/>
        <w:ind w:firstLine="540"/>
        <w:jc w:val="both"/>
        <w:rPr>
          <w:color w:val="auto"/>
          <w:sz w:val="22"/>
          <w:szCs w:val="22"/>
        </w:rPr>
      </w:pPr>
      <w:r>
        <w:rPr>
          <w:color w:val="auto"/>
          <w:sz w:val="22"/>
          <w:szCs w:val="22"/>
        </w:rPr>
        <w:t>Современные правила соревнований по перетягиванию каната.</w:t>
      </w:r>
    </w:p>
    <w:p w14:paraId="596940F1">
      <w:pPr>
        <w:pStyle w:val="85"/>
        <w:spacing w:before="240"/>
        <w:ind w:firstLine="540"/>
        <w:jc w:val="both"/>
        <w:rPr>
          <w:color w:val="auto"/>
          <w:sz w:val="22"/>
          <w:szCs w:val="22"/>
        </w:rPr>
      </w:pPr>
      <w:r>
        <w:rPr>
          <w:color w:val="auto"/>
          <w:sz w:val="22"/>
          <w:szCs w:val="22"/>
        </w:rPr>
        <w:t>Упражнения, техника и тактика перетягивания каната.</w:t>
      </w:r>
    </w:p>
    <w:p w14:paraId="6388CE07">
      <w:pPr>
        <w:pStyle w:val="85"/>
        <w:spacing w:before="240"/>
        <w:ind w:firstLine="540"/>
        <w:jc w:val="both"/>
        <w:rPr>
          <w:color w:val="auto"/>
          <w:sz w:val="22"/>
          <w:szCs w:val="22"/>
        </w:rPr>
      </w:pPr>
      <w:r>
        <w:rPr>
          <w:color w:val="auto"/>
          <w:sz w:val="22"/>
          <w:szCs w:val="22"/>
        </w:rPr>
        <w:t>Режим дня при занятиях по перетягиванию каната.</w:t>
      </w:r>
    </w:p>
    <w:p w14:paraId="54C5B1E9">
      <w:pPr>
        <w:pStyle w:val="85"/>
        <w:spacing w:before="240"/>
        <w:ind w:firstLine="540"/>
        <w:jc w:val="both"/>
        <w:rPr>
          <w:color w:val="auto"/>
          <w:sz w:val="22"/>
          <w:szCs w:val="22"/>
        </w:rPr>
      </w:pPr>
      <w:r>
        <w:rPr>
          <w:color w:val="auto"/>
          <w:sz w:val="22"/>
          <w:szCs w:val="22"/>
        </w:rPr>
        <w:t>2) Способы самостоятельной деятельности.</w:t>
      </w:r>
    </w:p>
    <w:p w14:paraId="794A0E59">
      <w:pPr>
        <w:pStyle w:val="85"/>
        <w:spacing w:before="240"/>
        <w:ind w:firstLine="540"/>
        <w:jc w:val="both"/>
        <w:rPr>
          <w:color w:val="auto"/>
          <w:sz w:val="22"/>
          <w:szCs w:val="22"/>
        </w:rPr>
      </w:pPr>
      <w:r>
        <w:rPr>
          <w:color w:val="auto"/>
          <w:sz w:val="22"/>
          <w:szCs w:val="22"/>
        </w:rPr>
        <w:t>Основы организации самостоятельных занятий перетягиванием каната.</w:t>
      </w:r>
    </w:p>
    <w:p w14:paraId="1FD6B335">
      <w:pPr>
        <w:pStyle w:val="85"/>
        <w:spacing w:before="240"/>
        <w:ind w:firstLine="540"/>
        <w:jc w:val="both"/>
        <w:rPr>
          <w:color w:val="auto"/>
          <w:sz w:val="22"/>
          <w:szCs w:val="22"/>
        </w:rPr>
      </w:pPr>
      <w:r>
        <w:rPr>
          <w:color w:val="auto"/>
          <w:sz w:val="22"/>
          <w:szCs w:val="22"/>
        </w:rPr>
        <w:t>Контрольно-тестовые упражнения по общей и специальной физической подготовке.</w:t>
      </w:r>
    </w:p>
    <w:p w14:paraId="6F1E946B">
      <w:pPr>
        <w:pStyle w:val="85"/>
        <w:spacing w:before="240"/>
        <w:ind w:firstLine="540"/>
        <w:jc w:val="both"/>
        <w:rPr>
          <w:color w:val="auto"/>
          <w:sz w:val="22"/>
          <w:szCs w:val="22"/>
        </w:rPr>
      </w:pPr>
      <w:r>
        <w:rPr>
          <w:color w:val="auto"/>
          <w:sz w:val="22"/>
          <w:szCs w:val="22"/>
        </w:rPr>
        <w:t>Уход за спортивным инвентарем и оборудованием при занятиях перетягиванием каната.</w:t>
      </w:r>
    </w:p>
    <w:p w14:paraId="21685A61">
      <w:pPr>
        <w:pStyle w:val="85"/>
        <w:spacing w:before="240"/>
        <w:ind w:firstLine="540"/>
        <w:jc w:val="both"/>
        <w:rPr>
          <w:color w:val="auto"/>
          <w:sz w:val="22"/>
          <w:szCs w:val="22"/>
        </w:rPr>
      </w:pPr>
      <w:r>
        <w:rPr>
          <w:color w:val="auto"/>
          <w:sz w:val="22"/>
          <w:szCs w:val="22"/>
        </w:rPr>
        <w:t>Подбор общеразвивающих упражнений.</w:t>
      </w:r>
    </w:p>
    <w:p w14:paraId="328D53FC">
      <w:pPr>
        <w:pStyle w:val="85"/>
        <w:spacing w:before="240"/>
        <w:ind w:firstLine="540"/>
        <w:jc w:val="both"/>
        <w:rPr>
          <w:color w:val="auto"/>
          <w:sz w:val="22"/>
          <w:szCs w:val="22"/>
        </w:rPr>
      </w:pPr>
      <w:r>
        <w:rPr>
          <w:color w:val="auto"/>
          <w:sz w:val="22"/>
          <w:szCs w:val="22"/>
        </w:rPr>
        <w:t>Причины возникновения ошибок при выполнении технических приемов и способы их устранения.</w:t>
      </w:r>
    </w:p>
    <w:p w14:paraId="081D2355">
      <w:pPr>
        <w:pStyle w:val="85"/>
        <w:spacing w:before="240"/>
        <w:ind w:firstLine="540"/>
        <w:jc w:val="both"/>
        <w:rPr>
          <w:color w:val="auto"/>
          <w:sz w:val="22"/>
          <w:szCs w:val="22"/>
        </w:rPr>
      </w:pPr>
      <w:r>
        <w:rPr>
          <w:color w:val="auto"/>
          <w:sz w:val="22"/>
          <w:szCs w:val="22"/>
        </w:rPr>
        <w:t>3) Физическое совершенствование.</w:t>
      </w:r>
    </w:p>
    <w:p w14:paraId="176519EF">
      <w:pPr>
        <w:pStyle w:val="85"/>
        <w:spacing w:before="240"/>
        <w:ind w:firstLine="540"/>
        <w:jc w:val="both"/>
        <w:rPr>
          <w:color w:val="auto"/>
          <w:sz w:val="22"/>
          <w:szCs w:val="22"/>
        </w:rPr>
      </w:pPr>
      <w:r>
        <w:rPr>
          <w:color w:val="auto"/>
          <w:sz w:val="22"/>
          <w:szCs w:val="22"/>
        </w:rPr>
        <w:t>Комплексы специальной разминки перед соревнованиями.</w:t>
      </w:r>
    </w:p>
    <w:p w14:paraId="19D72859">
      <w:pPr>
        <w:pStyle w:val="85"/>
        <w:spacing w:before="240"/>
        <w:ind w:firstLine="540"/>
        <w:jc w:val="both"/>
        <w:rPr>
          <w:color w:val="auto"/>
          <w:sz w:val="22"/>
          <w:szCs w:val="22"/>
        </w:rPr>
      </w:pPr>
      <w:r>
        <w:rPr>
          <w:color w:val="auto"/>
          <w:sz w:val="22"/>
          <w:szCs w:val="22"/>
        </w:rPr>
        <w:t>Комплексы специальных упражнений для формирования техники схватки.</w:t>
      </w:r>
    </w:p>
    <w:p w14:paraId="19B25A53">
      <w:pPr>
        <w:pStyle w:val="85"/>
        <w:spacing w:before="240"/>
        <w:ind w:firstLine="540"/>
        <w:jc w:val="both"/>
        <w:rPr>
          <w:color w:val="auto"/>
          <w:sz w:val="22"/>
          <w:szCs w:val="22"/>
        </w:rPr>
      </w:pPr>
      <w:r>
        <w:rPr>
          <w:color w:val="auto"/>
          <w:sz w:val="22"/>
          <w:szCs w:val="22"/>
        </w:rPr>
        <w:t>Элементарные тактические действия: индивидуальные, групповые и командные.</w:t>
      </w:r>
    </w:p>
    <w:p w14:paraId="64ED4382">
      <w:pPr>
        <w:pStyle w:val="85"/>
        <w:spacing w:before="240"/>
        <w:ind w:firstLine="540"/>
        <w:jc w:val="both"/>
        <w:rPr>
          <w:color w:val="auto"/>
          <w:sz w:val="22"/>
          <w:szCs w:val="22"/>
        </w:rPr>
      </w:pPr>
      <w:r>
        <w:rPr>
          <w:color w:val="auto"/>
          <w:sz w:val="22"/>
          <w:szCs w:val="22"/>
        </w:rPr>
        <w:t>Учебные схватки в перетягивании каната.</w:t>
      </w:r>
    </w:p>
    <w:p w14:paraId="37E98E47">
      <w:pPr>
        <w:pStyle w:val="85"/>
        <w:spacing w:before="240"/>
        <w:ind w:firstLine="540"/>
        <w:jc w:val="both"/>
        <w:rPr>
          <w:color w:val="auto"/>
          <w:sz w:val="22"/>
          <w:szCs w:val="22"/>
        </w:rPr>
      </w:pPr>
      <w:r>
        <w:rPr>
          <w:color w:val="auto"/>
          <w:sz w:val="22"/>
          <w:szCs w:val="22"/>
        </w:rPr>
        <w:t>Участие в соревновательной деятельности.</w:t>
      </w:r>
    </w:p>
    <w:p w14:paraId="52F6BD13">
      <w:pPr>
        <w:pStyle w:val="85"/>
        <w:spacing w:before="240"/>
        <w:ind w:firstLine="540"/>
        <w:jc w:val="both"/>
        <w:rPr>
          <w:color w:val="auto"/>
          <w:sz w:val="22"/>
          <w:szCs w:val="22"/>
        </w:rPr>
      </w:pPr>
      <w:r>
        <w:rPr>
          <w:color w:val="auto"/>
          <w:sz w:val="22"/>
          <w:szCs w:val="22"/>
        </w:rPr>
        <w:t>16.4.24.7. Содержание модуля "Перетягивание каната" направлено на достижение обучающимися личностных, метапредметных и предметных результатов обучения.</w:t>
      </w:r>
    </w:p>
    <w:p w14:paraId="3FDD5063">
      <w:pPr>
        <w:pStyle w:val="85"/>
        <w:spacing w:before="240"/>
        <w:ind w:firstLine="540"/>
        <w:jc w:val="both"/>
        <w:rPr>
          <w:color w:val="auto"/>
          <w:sz w:val="22"/>
          <w:szCs w:val="22"/>
        </w:rPr>
      </w:pPr>
      <w:r>
        <w:rPr>
          <w:color w:val="auto"/>
          <w:sz w:val="22"/>
          <w:szCs w:val="22"/>
        </w:rPr>
        <w:t>16.4.24.7.1. При изучении модуля "Перетягивание каната" на уровне начального общего образования у обучающихся будут сформированы следующие личностные результаты:</w:t>
      </w:r>
    </w:p>
    <w:p w14:paraId="346EECBB">
      <w:pPr>
        <w:pStyle w:val="85"/>
        <w:spacing w:before="240"/>
        <w:ind w:firstLine="540"/>
        <w:jc w:val="both"/>
        <w:rPr>
          <w:color w:val="auto"/>
          <w:sz w:val="22"/>
          <w:szCs w:val="22"/>
        </w:rPr>
      </w:pPr>
      <w:r>
        <w:rPr>
          <w:color w:val="auto"/>
          <w:sz w:val="22"/>
          <w:szCs w:val="22"/>
        </w:rPr>
        <w:t>проявление чувства гордости за свою Родину, российский народ и историю России через знание истории и современного состояния развития перетягивания каната;</w:t>
      </w:r>
    </w:p>
    <w:p w14:paraId="60C9CFF4">
      <w:pPr>
        <w:pStyle w:val="85"/>
        <w:spacing w:before="240"/>
        <w:ind w:firstLine="540"/>
        <w:jc w:val="both"/>
        <w:rPr>
          <w:color w:val="auto"/>
          <w:sz w:val="22"/>
          <w:szCs w:val="22"/>
        </w:rPr>
      </w:pPr>
      <w:r>
        <w:rPr>
          <w:color w:val="auto"/>
          <w:sz w:val="22"/>
          <w:szCs w:val="22"/>
        </w:rPr>
        <w:t>проявление уважительного отношения к сверстникам, культуры общения и взаимодействия, нравственного поведения, проявление положительных качеств личности, осознанного и ответственного отношения к собственным поступкам, решение проблем в процессе занятий перетягиванием каната;</w:t>
      </w:r>
    </w:p>
    <w:p w14:paraId="6112C2AD">
      <w:pPr>
        <w:pStyle w:val="85"/>
        <w:spacing w:before="240"/>
        <w:ind w:firstLine="540"/>
        <w:jc w:val="both"/>
        <w:rPr>
          <w:color w:val="auto"/>
          <w:sz w:val="22"/>
          <w:szCs w:val="22"/>
        </w:rPr>
      </w:pPr>
      <w:r>
        <w:rPr>
          <w:color w:val="auto"/>
          <w:sz w:val="22"/>
          <w:szCs w:val="22"/>
        </w:rPr>
        <w:t>способность принимать и осваивать социальную роль обучающегося, развитие мотивов учебной деятельности, стремление к познанию и творчеству, эстетическим потребностям;</w:t>
      </w:r>
    </w:p>
    <w:p w14:paraId="73054FD2">
      <w:pPr>
        <w:pStyle w:val="85"/>
        <w:spacing w:before="240"/>
        <w:ind w:firstLine="540"/>
        <w:jc w:val="both"/>
        <w:rPr>
          <w:color w:val="auto"/>
          <w:sz w:val="22"/>
          <w:szCs w:val="22"/>
        </w:rPr>
      </w:pPr>
      <w:r>
        <w:rPr>
          <w:color w:val="auto"/>
          <w:sz w:val="22"/>
          <w:szCs w:val="22"/>
        </w:rPr>
        <w:t>умение оказывать бескорыстную помощь своим сверстникам, находить с ними общий язык и общие интересы;</w:t>
      </w:r>
    </w:p>
    <w:p w14:paraId="0EF80335">
      <w:pPr>
        <w:pStyle w:val="85"/>
        <w:spacing w:before="240"/>
        <w:ind w:firstLine="540"/>
        <w:jc w:val="both"/>
        <w:rPr>
          <w:color w:val="auto"/>
          <w:sz w:val="22"/>
          <w:szCs w:val="22"/>
        </w:rPr>
      </w:pPr>
      <w:r>
        <w:rPr>
          <w:color w:val="auto"/>
          <w:sz w:val="22"/>
          <w:szCs w:val="22"/>
        </w:rPr>
        <w:t>проявление положительных качеств личности и управление своими эмоциями в различных (нестандартных) ситуациях и условиях; умение не создавать конфликтов и находить выходы из спорных ситуаций;</w:t>
      </w:r>
    </w:p>
    <w:p w14:paraId="171FEF10">
      <w:pPr>
        <w:pStyle w:val="85"/>
        <w:spacing w:before="240"/>
        <w:ind w:firstLine="540"/>
        <w:jc w:val="both"/>
        <w:rPr>
          <w:color w:val="auto"/>
          <w:sz w:val="22"/>
          <w:szCs w:val="22"/>
        </w:rPr>
      </w:pPr>
      <w:r>
        <w:rPr>
          <w:color w:val="auto"/>
          <w:sz w:val="22"/>
          <w:szCs w:val="22"/>
        </w:rPr>
        <w:t>понимание ценности здорового и безопасного образа жизни, усвоение правил безопасного поведения в учебной, соревновательной, досуговой деятельности и чрезвычайных ситуациях при занятии перетягиванием каната.</w:t>
      </w:r>
    </w:p>
    <w:p w14:paraId="5C414FF8">
      <w:pPr>
        <w:pStyle w:val="85"/>
        <w:spacing w:before="240"/>
        <w:ind w:firstLine="540"/>
        <w:jc w:val="both"/>
        <w:rPr>
          <w:color w:val="auto"/>
          <w:sz w:val="22"/>
          <w:szCs w:val="22"/>
        </w:rPr>
      </w:pPr>
      <w:r>
        <w:rPr>
          <w:color w:val="auto"/>
          <w:sz w:val="22"/>
          <w:szCs w:val="22"/>
        </w:rPr>
        <w:t>16.4.24.7.2. При изучении модуля "Перетягивание каната" на уровне начального общего образования у обучающихся будут сформированы следующие метапредметные результаты:</w:t>
      </w:r>
    </w:p>
    <w:p w14:paraId="0D5BFCC3">
      <w:pPr>
        <w:pStyle w:val="85"/>
        <w:spacing w:before="240"/>
        <w:ind w:firstLine="540"/>
        <w:jc w:val="both"/>
        <w:rPr>
          <w:color w:val="auto"/>
          <w:sz w:val="22"/>
          <w:szCs w:val="22"/>
        </w:rPr>
      </w:pPr>
      <w:r>
        <w:rPr>
          <w:color w:val="auto"/>
          <w:sz w:val="22"/>
          <w:szCs w:val="22"/>
        </w:rPr>
        <w:t>способность самостоятельно определять цели своего обучения и составлять планы в рамках физкультурно-спортивной деятельности; выбирать успешную стратегию и тактику в различных ситуациях;</w:t>
      </w:r>
    </w:p>
    <w:p w14:paraId="08D34104">
      <w:pPr>
        <w:pStyle w:val="85"/>
        <w:spacing w:before="240"/>
        <w:ind w:firstLine="540"/>
        <w:jc w:val="both"/>
        <w:rPr>
          <w:color w:val="auto"/>
          <w:sz w:val="22"/>
          <w:szCs w:val="22"/>
        </w:rPr>
      </w:pPr>
      <w:r>
        <w:rPr>
          <w:color w:val="auto"/>
          <w:sz w:val="22"/>
          <w:szCs w:val="22"/>
        </w:rPr>
        <w:t>умение самостоятельно планировать пути достижения целей, в том числе альтернативные, осознанно выбирать наиболее эффективные способы решения задач в учебной, игровой, соревновательной и досуговой деятельности, оценивать правильность выполнения задач, собственные возможности их решения;</w:t>
      </w:r>
    </w:p>
    <w:p w14:paraId="52FAF05A">
      <w:pPr>
        <w:pStyle w:val="85"/>
        <w:spacing w:before="240"/>
        <w:ind w:firstLine="540"/>
        <w:jc w:val="both"/>
        <w:rPr>
          <w:color w:val="auto"/>
          <w:sz w:val="22"/>
          <w:szCs w:val="22"/>
        </w:rPr>
      </w:pPr>
      <w:r>
        <w:rPr>
          <w:color w:val="auto"/>
          <w:sz w:val="22"/>
          <w:szCs w:val="22"/>
        </w:rPr>
        <w:t>владение основами самоконтроля, самооценки, принятия решений и осуществления осознанного выбора в учебной и познавательной деятельности;</w:t>
      </w:r>
    </w:p>
    <w:p w14:paraId="253D2F20">
      <w:pPr>
        <w:pStyle w:val="85"/>
        <w:spacing w:before="240"/>
        <w:ind w:firstLine="540"/>
        <w:jc w:val="both"/>
        <w:rPr>
          <w:color w:val="auto"/>
          <w:sz w:val="22"/>
          <w:szCs w:val="22"/>
        </w:rPr>
      </w:pPr>
      <w:r>
        <w:rPr>
          <w:color w:val="auto"/>
          <w:sz w:val="22"/>
          <w:szCs w:val="22"/>
        </w:rPr>
        <w:t>умение организовывать совместную деятельность с учителем и сверстниками, работать индивидуально и в группе, формулировать, аргументировать и отстаивать свое мнение, соблюдать нормы информационной избирательности, этики и этикета.</w:t>
      </w:r>
    </w:p>
    <w:p w14:paraId="4306851D">
      <w:pPr>
        <w:pStyle w:val="85"/>
        <w:spacing w:before="240"/>
        <w:ind w:firstLine="540"/>
        <w:jc w:val="both"/>
        <w:rPr>
          <w:color w:val="auto"/>
          <w:sz w:val="22"/>
          <w:szCs w:val="22"/>
        </w:rPr>
      </w:pPr>
      <w:r>
        <w:rPr>
          <w:color w:val="auto"/>
          <w:sz w:val="22"/>
          <w:szCs w:val="22"/>
        </w:rPr>
        <w:t>16.4.24.7.3. При изучении модуля "Перетягивание каната" на уровне начального общего образования у обучающихся будут сформированы следующие предметные результаты:</w:t>
      </w:r>
    </w:p>
    <w:p w14:paraId="2EF61BC3">
      <w:pPr>
        <w:pStyle w:val="85"/>
        <w:spacing w:before="240"/>
        <w:ind w:firstLine="540"/>
        <w:jc w:val="both"/>
        <w:rPr>
          <w:color w:val="auto"/>
          <w:sz w:val="22"/>
          <w:szCs w:val="22"/>
        </w:rPr>
      </w:pPr>
      <w:r>
        <w:rPr>
          <w:color w:val="auto"/>
          <w:sz w:val="22"/>
          <w:szCs w:val="22"/>
        </w:rPr>
        <w:t>формирование представлений о значении перетягивания каната, как средства укрепления здоровья, закаливания и развития физических качеств человека;</w:t>
      </w:r>
    </w:p>
    <w:p w14:paraId="6316003A">
      <w:pPr>
        <w:pStyle w:val="85"/>
        <w:spacing w:before="240"/>
        <w:ind w:firstLine="540"/>
        <w:jc w:val="both"/>
        <w:rPr>
          <w:color w:val="auto"/>
          <w:sz w:val="22"/>
          <w:szCs w:val="22"/>
        </w:rPr>
      </w:pPr>
      <w:r>
        <w:rPr>
          <w:color w:val="auto"/>
          <w:sz w:val="22"/>
          <w:szCs w:val="22"/>
        </w:rPr>
        <w:t>формирование знаний по истории возникновения перетягивания каната в дореволюционной России, СССР, Российской Федерации и мире;</w:t>
      </w:r>
    </w:p>
    <w:p w14:paraId="6DD65B86">
      <w:pPr>
        <w:pStyle w:val="85"/>
        <w:spacing w:before="240"/>
        <w:ind w:firstLine="540"/>
        <w:jc w:val="both"/>
        <w:rPr>
          <w:color w:val="auto"/>
          <w:sz w:val="22"/>
          <w:szCs w:val="22"/>
        </w:rPr>
      </w:pPr>
      <w:r>
        <w:rPr>
          <w:color w:val="auto"/>
          <w:sz w:val="22"/>
          <w:szCs w:val="22"/>
        </w:rPr>
        <w:t>формирование представлений об перетягивании каната и основных правилах соревнований, терминологии, составе команды, роли капитана команды и функциях членов в команде;</w:t>
      </w:r>
    </w:p>
    <w:p w14:paraId="7AD3878E">
      <w:pPr>
        <w:pStyle w:val="85"/>
        <w:spacing w:before="240"/>
        <w:ind w:firstLine="540"/>
        <w:jc w:val="both"/>
        <w:rPr>
          <w:color w:val="auto"/>
          <w:sz w:val="22"/>
          <w:szCs w:val="22"/>
        </w:rPr>
      </w:pPr>
      <w:r>
        <w:rPr>
          <w:color w:val="auto"/>
          <w:sz w:val="22"/>
          <w:szCs w:val="22"/>
        </w:rPr>
        <w:t>формирование навыков безопасного поведения во время занятий перетягиванием каната; правил личной гигиены, требований к спортивной одежде и обуви, спортивному инвентарю для занятий перетягиванием каната;</w:t>
      </w:r>
    </w:p>
    <w:p w14:paraId="17400BE9">
      <w:pPr>
        <w:pStyle w:val="85"/>
        <w:spacing w:before="240"/>
        <w:ind w:firstLine="540"/>
        <w:jc w:val="both"/>
        <w:rPr>
          <w:color w:val="auto"/>
          <w:sz w:val="22"/>
          <w:szCs w:val="22"/>
        </w:rPr>
      </w:pPr>
      <w:r>
        <w:rPr>
          <w:color w:val="auto"/>
          <w:sz w:val="22"/>
          <w:szCs w:val="22"/>
        </w:rPr>
        <w:t>формирование основ организации самостоятельных занятий перетягиванием каната со сверстниками; организации и проведения соревнований со сверстниками;</w:t>
      </w:r>
    </w:p>
    <w:p w14:paraId="487C938F">
      <w:pPr>
        <w:pStyle w:val="85"/>
        <w:spacing w:before="240"/>
        <w:ind w:firstLine="540"/>
        <w:jc w:val="both"/>
        <w:rPr>
          <w:color w:val="auto"/>
          <w:sz w:val="22"/>
          <w:szCs w:val="22"/>
        </w:rPr>
      </w:pPr>
      <w:r>
        <w:rPr>
          <w:color w:val="auto"/>
          <w:sz w:val="22"/>
          <w:szCs w:val="22"/>
        </w:rPr>
        <w:t>формирование способности выполнять технические элементы (приемы): подъем и захват каната, занятие предстартового и стартового положения, постановка ног при атаке и обороне, техника движения с канатом в атаке и обороне; подводящие упражнения и упражнения в облегченных условиях как средства ускорения освоения технических действий; подготовительные упражнения, как средства специальной физической подготовки обучающихся; упражнения, направленные на обучение технике перетягивания каната в целом, и упражнения, направленные на изучение отдельных элементов техники;</w:t>
      </w:r>
    </w:p>
    <w:p w14:paraId="58A510D8">
      <w:pPr>
        <w:pStyle w:val="85"/>
        <w:spacing w:before="240"/>
        <w:ind w:firstLine="540"/>
        <w:jc w:val="both"/>
        <w:rPr>
          <w:color w:val="auto"/>
          <w:sz w:val="22"/>
          <w:szCs w:val="22"/>
        </w:rPr>
      </w:pPr>
      <w:r>
        <w:rPr>
          <w:color w:val="auto"/>
          <w:sz w:val="22"/>
          <w:szCs w:val="22"/>
        </w:rPr>
        <w:t>способность выполнять элементарные тактические приемы: индивидуально (стартовый рывок, раскачивание каната влево, вправо путем перемещения массы тела с одной ноги на другую); тактические действия в команде; подводящие упражнения; шаг (бег) по прямой спиной вперед с сохранением одинаковой дистанции вдвоем, втроем и так далее прыжки в длину с места, запрыгивание на тумбы различной высоты с места; перетягивание каната по основным правилам малыми составами (2 x 2, 3 x 3, 4 x 4, 5 x 5);</w:t>
      </w:r>
    </w:p>
    <w:p w14:paraId="44984888">
      <w:pPr>
        <w:pStyle w:val="85"/>
        <w:spacing w:before="240"/>
        <w:ind w:firstLine="540"/>
        <w:jc w:val="both"/>
        <w:rPr>
          <w:color w:val="auto"/>
          <w:sz w:val="22"/>
          <w:szCs w:val="22"/>
        </w:rPr>
      </w:pPr>
      <w:r>
        <w:rPr>
          <w:color w:val="auto"/>
          <w:sz w:val="22"/>
          <w:szCs w:val="22"/>
        </w:rPr>
        <w:t>организация школьных соревнований по перетягиванию каната;</w:t>
      </w:r>
    </w:p>
    <w:p w14:paraId="57BA9F1D">
      <w:pPr>
        <w:pStyle w:val="85"/>
        <w:spacing w:before="240"/>
        <w:ind w:firstLine="540"/>
        <w:jc w:val="both"/>
        <w:rPr>
          <w:color w:val="auto"/>
          <w:sz w:val="22"/>
          <w:szCs w:val="22"/>
        </w:rPr>
      </w:pPr>
      <w:r>
        <w:rPr>
          <w:color w:val="auto"/>
          <w:sz w:val="22"/>
          <w:szCs w:val="22"/>
        </w:rPr>
        <w:t>выполнение приемов подготовительных и ассистентских функций;</w:t>
      </w:r>
    </w:p>
    <w:p w14:paraId="3176F85E">
      <w:pPr>
        <w:pStyle w:val="85"/>
        <w:spacing w:before="240"/>
        <w:ind w:firstLine="540"/>
        <w:jc w:val="both"/>
        <w:rPr>
          <w:color w:val="auto"/>
          <w:sz w:val="22"/>
          <w:szCs w:val="22"/>
        </w:rPr>
      </w:pPr>
      <w:r>
        <w:rPr>
          <w:color w:val="auto"/>
          <w:sz w:val="22"/>
          <w:szCs w:val="22"/>
        </w:rPr>
        <w:t>участие в учебных соревнованиях в уменьшенных составах, на уменьшенной площадке, по упрощенным правилам;</w:t>
      </w:r>
    </w:p>
    <w:p w14:paraId="1502A31C">
      <w:pPr>
        <w:pStyle w:val="85"/>
        <w:spacing w:before="240"/>
        <w:ind w:firstLine="540"/>
        <w:jc w:val="both"/>
        <w:rPr>
          <w:color w:val="auto"/>
          <w:sz w:val="22"/>
          <w:szCs w:val="22"/>
        </w:rPr>
      </w:pPr>
      <w:r>
        <w:rPr>
          <w:color w:val="auto"/>
          <w:sz w:val="22"/>
          <w:szCs w:val="22"/>
        </w:rPr>
        <w:t>выполнение контрольно-тестовых упражнений по общей и специальной физической подготовке; формирование умения определять уровень физической подготовленности;</w:t>
      </w:r>
    </w:p>
    <w:p w14:paraId="462127FB">
      <w:pPr>
        <w:pStyle w:val="85"/>
        <w:spacing w:before="240"/>
        <w:ind w:firstLine="540"/>
        <w:jc w:val="both"/>
        <w:rPr>
          <w:color w:val="auto"/>
          <w:sz w:val="22"/>
          <w:szCs w:val="22"/>
        </w:rPr>
      </w:pPr>
      <w:r>
        <w:rPr>
          <w:color w:val="auto"/>
          <w:sz w:val="22"/>
          <w:szCs w:val="22"/>
        </w:rPr>
        <w:t>формирование умения планировать, контролировать и оценивать учебные действия, собственную деятельность, распределять нагрузку и отдых в процессе ее выполнения, определять наиболее эффективные способы достижения результата;</w:t>
      </w:r>
    </w:p>
    <w:p w14:paraId="269C402C">
      <w:pPr>
        <w:pStyle w:val="85"/>
        <w:spacing w:before="240"/>
        <w:ind w:firstLine="540"/>
        <w:jc w:val="both"/>
        <w:rPr>
          <w:color w:val="auto"/>
          <w:sz w:val="22"/>
          <w:szCs w:val="22"/>
        </w:rPr>
      </w:pPr>
      <w:r>
        <w:rPr>
          <w:color w:val="auto"/>
          <w:sz w:val="22"/>
          <w:szCs w:val="22"/>
        </w:rPr>
        <w:t>формирование умения характеризовать действия и поступки, давать им анализ и объективную оценку на основе освоенных знаний и имеющегося опыта;</w:t>
      </w:r>
    </w:p>
    <w:p w14:paraId="74347A25">
      <w:pPr>
        <w:pStyle w:val="85"/>
        <w:spacing w:before="240"/>
        <w:ind w:firstLine="540"/>
        <w:jc w:val="both"/>
        <w:rPr>
          <w:color w:val="auto"/>
          <w:sz w:val="22"/>
          <w:szCs w:val="22"/>
        </w:rPr>
      </w:pPr>
      <w:r>
        <w:rPr>
          <w:color w:val="auto"/>
          <w:sz w:val="22"/>
          <w:szCs w:val="22"/>
        </w:rPr>
        <w:t>формирование способности анализировать причины успеха или неуспеха учебной деятельности и способности конструктивно действовать даже в ситуациях неуспеха;</w:t>
      </w:r>
    </w:p>
    <w:p w14:paraId="05714436">
      <w:pPr>
        <w:pStyle w:val="85"/>
        <w:spacing w:before="240"/>
        <w:ind w:firstLine="540"/>
        <w:jc w:val="both"/>
        <w:rPr>
          <w:color w:val="auto"/>
          <w:sz w:val="22"/>
          <w:szCs w:val="22"/>
        </w:rPr>
      </w:pPr>
      <w:r>
        <w:rPr>
          <w:color w:val="auto"/>
          <w:sz w:val="22"/>
          <w:szCs w:val="22"/>
        </w:rPr>
        <w:t>проявление уважительного отношения к одноклассникам, проявление культуры общения и взаимодействия в определении общей цели и путей ее достижения; формирование умения договариваться о распределении функций в учебной, игровой и соревновательной деятельности; адекватная оценка собственного поведения и поведения окружающих;</w:t>
      </w:r>
    </w:p>
    <w:p w14:paraId="46A39214">
      <w:pPr>
        <w:pStyle w:val="85"/>
        <w:spacing w:before="240"/>
        <w:ind w:firstLine="540"/>
        <w:jc w:val="both"/>
        <w:rPr>
          <w:color w:val="auto"/>
          <w:sz w:val="22"/>
          <w:szCs w:val="22"/>
        </w:rPr>
      </w:pPr>
      <w:r>
        <w:rPr>
          <w:color w:val="auto"/>
          <w:sz w:val="22"/>
          <w:szCs w:val="22"/>
        </w:rPr>
        <w:t>обеспечение защиты и сохранности природы во время активного отдыха и занятий физической культурой;</w:t>
      </w:r>
    </w:p>
    <w:p w14:paraId="4604AFBC">
      <w:pPr>
        <w:pStyle w:val="85"/>
        <w:spacing w:before="240"/>
        <w:ind w:firstLine="540"/>
        <w:jc w:val="both"/>
        <w:rPr>
          <w:color w:val="auto"/>
          <w:sz w:val="22"/>
          <w:szCs w:val="22"/>
        </w:rPr>
      </w:pPr>
      <w:r>
        <w:rPr>
          <w:color w:val="auto"/>
          <w:sz w:val="22"/>
          <w:szCs w:val="22"/>
        </w:rPr>
        <w:t>организация самостоятельной деятельности с учетом требований ее безопасности, сохранности инвентаря и оборудования, организации места занятий перетягиванием каната;</w:t>
      </w:r>
    </w:p>
    <w:p w14:paraId="26C28D21">
      <w:pPr>
        <w:pStyle w:val="85"/>
        <w:spacing w:before="240"/>
        <w:ind w:firstLine="540"/>
        <w:jc w:val="both"/>
        <w:rPr>
          <w:color w:val="auto"/>
          <w:sz w:val="22"/>
          <w:szCs w:val="22"/>
        </w:rPr>
      </w:pPr>
      <w:r>
        <w:rPr>
          <w:color w:val="auto"/>
          <w:sz w:val="22"/>
          <w:szCs w:val="22"/>
        </w:rPr>
        <w:t>формирование способности выделять и обосновывать эстетические признаки в физических упражнениях, двигательных действиях; оценивать красоту телосложения и осанки.</w:t>
      </w:r>
    </w:p>
    <w:p w14:paraId="3C80615F">
      <w:pPr>
        <w:pStyle w:val="85"/>
        <w:spacing w:before="240"/>
        <w:ind w:firstLine="540"/>
        <w:jc w:val="both"/>
        <w:rPr>
          <w:color w:val="auto"/>
          <w:sz w:val="22"/>
          <w:szCs w:val="22"/>
        </w:rPr>
      </w:pPr>
      <w:r>
        <w:rPr>
          <w:color w:val="auto"/>
          <w:sz w:val="22"/>
          <w:szCs w:val="22"/>
        </w:rPr>
        <w:t>16.4.25. Модуль "Бокс".</w:t>
      </w:r>
    </w:p>
    <w:p w14:paraId="43C8EBC0">
      <w:pPr>
        <w:pStyle w:val="85"/>
        <w:spacing w:before="240"/>
        <w:ind w:firstLine="540"/>
        <w:jc w:val="both"/>
        <w:rPr>
          <w:color w:val="auto"/>
          <w:sz w:val="22"/>
          <w:szCs w:val="22"/>
        </w:rPr>
      </w:pPr>
      <w:r>
        <w:rPr>
          <w:color w:val="auto"/>
          <w:sz w:val="22"/>
          <w:szCs w:val="22"/>
        </w:rPr>
        <w:t>16.4.25.1. Пояснительная записка модуля "Бокс".</w:t>
      </w:r>
    </w:p>
    <w:p w14:paraId="0F2F715F">
      <w:pPr>
        <w:pStyle w:val="85"/>
        <w:spacing w:before="240"/>
        <w:ind w:firstLine="540"/>
        <w:jc w:val="both"/>
        <w:rPr>
          <w:color w:val="auto"/>
          <w:sz w:val="22"/>
          <w:szCs w:val="22"/>
        </w:rPr>
      </w:pPr>
      <w:r>
        <w:rPr>
          <w:color w:val="auto"/>
          <w:sz w:val="22"/>
          <w:szCs w:val="22"/>
        </w:rPr>
        <w:t>Модуль "Бокс" (далее - модуль "Бокс", модуль по боксу, бокс) на уровне начального общего образования разработан с целью оказания методической помощи учителю физической культуры в создании части рабочей программы по учебному предмету "Физическая культура", направленной на формирование общих представлений о физической культуре и спорте, физической активности человека, физических качествах, жизненно важных прикладных умениях и навыках, основных физических упражнениях (игровых и спортивных) с целью достижения результатов ФГОС НОО, с учетом современных тенденций в системе образования и использования спортивно-ориентированных форм, средств и методов обучения по различным видам спорта.</w:t>
      </w:r>
    </w:p>
    <w:p w14:paraId="74D292F8">
      <w:pPr>
        <w:pStyle w:val="85"/>
        <w:spacing w:before="240"/>
        <w:ind w:firstLine="540"/>
        <w:jc w:val="both"/>
        <w:rPr>
          <w:color w:val="auto"/>
          <w:sz w:val="22"/>
          <w:szCs w:val="22"/>
        </w:rPr>
      </w:pPr>
      <w:r>
        <w:rPr>
          <w:color w:val="auto"/>
          <w:sz w:val="22"/>
          <w:szCs w:val="22"/>
        </w:rPr>
        <w:t>Бокс - спортивное единоборство, кулачный бой по особым правилам, в специальных мягких перчатках. Бокс в мире - один из наиболее массовых олимпийских видов спорта. Большая популярность бокса объясняется его зрелищностью, высоким эмоциональным накалом спортивной борьбы и разносторонним воздействием на двигательные и волевые качества.</w:t>
      </w:r>
    </w:p>
    <w:p w14:paraId="0B95DC29">
      <w:pPr>
        <w:pStyle w:val="85"/>
        <w:spacing w:before="240"/>
        <w:ind w:firstLine="540"/>
        <w:jc w:val="both"/>
        <w:rPr>
          <w:color w:val="auto"/>
          <w:sz w:val="22"/>
          <w:szCs w:val="22"/>
        </w:rPr>
      </w:pPr>
      <w:r>
        <w:rPr>
          <w:color w:val="auto"/>
          <w:sz w:val="22"/>
          <w:szCs w:val="22"/>
        </w:rPr>
        <w:t>Занятия боксом предусматривают всестороннее гармоничное развитие занимающихся, повышение уровня их физической, технической и морально-волевой подготовленности, формирование жизненно важных двигательных умений и навыков, необходимых как быту, так и в трудовой и оборонной деятельности. Прохождение через систему занятий боксом позволяет сформировать у обучающихся патриотическое сознание и гражданскую позицию личности, чувство ответственности и долга перед Родиной на примере героических подвигов спортсменов - участников Великой Отечественной Войны и результатов упорного труда выдающихся спортсменов СССР и России.</w:t>
      </w:r>
    </w:p>
    <w:p w14:paraId="38D1CB99">
      <w:pPr>
        <w:pStyle w:val="85"/>
        <w:spacing w:before="240"/>
        <w:ind w:firstLine="540"/>
        <w:jc w:val="both"/>
        <w:rPr>
          <w:color w:val="auto"/>
          <w:sz w:val="22"/>
          <w:szCs w:val="22"/>
        </w:rPr>
      </w:pPr>
      <w:r>
        <w:rPr>
          <w:color w:val="auto"/>
          <w:sz w:val="22"/>
          <w:szCs w:val="22"/>
        </w:rPr>
        <w:t>Занятия боксом полезны для укрепления физического, психологического и социального здоровья обучающихся, развития основных физических качеств и повышения основных функциональных возможностей их организма, обеспечения культуры безопасному образа жизни, правомерному поведению и существованию в социуме.</w:t>
      </w:r>
    </w:p>
    <w:p w14:paraId="5375916B">
      <w:pPr>
        <w:pStyle w:val="85"/>
        <w:spacing w:before="240"/>
        <w:ind w:firstLine="540"/>
        <w:jc w:val="both"/>
        <w:rPr>
          <w:color w:val="auto"/>
          <w:sz w:val="22"/>
          <w:szCs w:val="22"/>
        </w:rPr>
      </w:pPr>
      <w:r>
        <w:rPr>
          <w:color w:val="auto"/>
          <w:sz w:val="22"/>
          <w:szCs w:val="22"/>
        </w:rPr>
        <w:t>16.4.25.2. Целью изучения модуля "Бокс" является создание условий для гармоничного развития обучающихся средствами физкультурно-спортивной и оздоровительной деятельности на основе элементов боксерской подготовки.</w:t>
      </w:r>
    </w:p>
    <w:p w14:paraId="6C128078">
      <w:pPr>
        <w:pStyle w:val="85"/>
        <w:spacing w:before="240"/>
        <w:ind w:firstLine="540"/>
        <w:jc w:val="both"/>
        <w:rPr>
          <w:color w:val="auto"/>
          <w:sz w:val="22"/>
          <w:szCs w:val="22"/>
        </w:rPr>
      </w:pPr>
      <w:r>
        <w:rPr>
          <w:color w:val="auto"/>
          <w:sz w:val="22"/>
          <w:szCs w:val="22"/>
        </w:rPr>
        <w:t>16.4.25.3. Задачами изучения модуля "Бокс" являются:</w:t>
      </w:r>
    </w:p>
    <w:p w14:paraId="5D61B17F">
      <w:pPr>
        <w:pStyle w:val="85"/>
        <w:spacing w:before="240"/>
        <w:ind w:firstLine="540"/>
        <w:jc w:val="both"/>
        <w:rPr>
          <w:color w:val="auto"/>
          <w:sz w:val="22"/>
          <w:szCs w:val="22"/>
        </w:rPr>
      </w:pPr>
      <w:r>
        <w:rPr>
          <w:color w:val="auto"/>
          <w:sz w:val="22"/>
          <w:szCs w:val="22"/>
        </w:rPr>
        <w:t>всестороннее гармоничное развитие обучающихся, увеличение объема их двигательной активности;</w:t>
      </w:r>
    </w:p>
    <w:p w14:paraId="3AB00C07">
      <w:pPr>
        <w:pStyle w:val="85"/>
        <w:spacing w:before="240"/>
        <w:ind w:firstLine="540"/>
        <w:jc w:val="both"/>
        <w:rPr>
          <w:color w:val="auto"/>
          <w:sz w:val="22"/>
          <w:szCs w:val="22"/>
        </w:rPr>
      </w:pPr>
      <w:r>
        <w:rPr>
          <w:color w:val="auto"/>
          <w:sz w:val="22"/>
          <w:szCs w:val="22"/>
        </w:rPr>
        <w:t>формирование общих представлений о боксе, его возможностях и значении в процессе укрепления здоровья, физическом развитии и физической подготовке обучающихся;</w:t>
      </w:r>
    </w:p>
    <w:p w14:paraId="2373B73F">
      <w:pPr>
        <w:pStyle w:val="85"/>
        <w:spacing w:before="240"/>
        <w:ind w:firstLine="540"/>
        <w:jc w:val="both"/>
        <w:rPr>
          <w:color w:val="auto"/>
          <w:sz w:val="22"/>
          <w:szCs w:val="22"/>
        </w:rPr>
      </w:pPr>
      <w:r>
        <w:rPr>
          <w:color w:val="auto"/>
          <w:sz w:val="22"/>
          <w:szCs w:val="22"/>
        </w:rPr>
        <w:t>популяризация бокса, как вид спорта и системы самозащиты в общеобразовательных организациях, привлечение обучающихся, проявляющих повышенный интерес и способности к занятиям боксом в школьные спортивные клубы, секции, к участию в соревнованиях;</w:t>
      </w:r>
    </w:p>
    <w:p w14:paraId="4D9349E4">
      <w:pPr>
        <w:pStyle w:val="85"/>
        <w:spacing w:before="240"/>
        <w:ind w:firstLine="540"/>
        <w:jc w:val="both"/>
        <w:rPr>
          <w:color w:val="auto"/>
          <w:sz w:val="22"/>
          <w:szCs w:val="22"/>
        </w:rPr>
      </w:pPr>
      <w:r>
        <w:rPr>
          <w:color w:val="auto"/>
          <w:sz w:val="22"/>
          <w:szCs w:val="22"/>
        </w:rPr>
        <w:t>формирование жизненно важных навыков самостраховки и самозащиты и умения применять их в различных жизненных ситуациях;</w:t>
      </w:r>
    </w:p>
    <w:p w14:paraId="6D6F639D">
      <w:pPr>
        <w:pStyle w:val="85"/>
        <w:spacing w:before="240"/>
        <w:ind w:firstLine="540"/>
        <w:jc w:val="both"/>
        <w:rPr>
          <w:color w:val="auto"/>
          <w:sz w:val="22"/>
          <w:szCs w:val="22"/>
        </w:rPr>
      </w:pPr>
      <w:r>
        <w:rPr>
          <w:color w:val="auto"/>
          <w:sz w:val="22"/>
          <w:szCs w:val="22"/>
        </w:rPr>
        <w:t>овладение элементами технико-тактических навыков в боксе;</w:t>
      </w:r>
    </w:p>
    <w:p w14:paraId="41EAACA9">
      <w:pPr>
        <w:pStyle w:val="85"/>
        <w:spacing w:before="240"/>
        <w:ind w:firstLine="540"/>
        <w:jc w:val="both"/>
        <w:rPr>
          <w:color w:val="auto"/>
          <w:sz w:val="22"/>
          <w:szCs w:val="22"/>
        </w:rPr>
      </w:pPr>
      <w:r>
        <w:rPr>
          <w:color w:val="auto"/>
          <w:sz w:val="22"/>
          <w:szCs w:val="22"/>
        </w:rPr>
        <w:t>воспитание морально-этических качеств;</w:t>
      </w:r>
    </w:p>
    <w:p w14:paraId="32166070">
      <w:pPr>
        <w:pStyle w:val="85"/>
        <w:spacing w:before="240"/>
        <w:ind w:firstLine="540"/>
        <w:jc w:val="both"/>
        <w:rPr>
          <w:color w:val="auto"/>
          <w:sz w:val="22"/>
          <w:szCs w:val="22"/>
        </w:rPr>
      </w:pPr>
      <w:r>
        <w:rPr>
          <w:color w:val="auto"/>
          <w:sz w:val="22"/>
          <w:szCs w:val="22"/>
        </w:rPr>
        <w:t>удовлетворение индивидуальных потребностей обучающихся в занятиях физической культурой и спортом средствами бокса;</w:t>
      </w:r>
    </w:p>
    <w:p w14:paraId="4053E562">
      <w:pPr>
        <w:pStyle w:val="85"/>
        <w:spacing w:before="240"/>
        <w:ind w:firstLine="540"/>
        <w:jc w:val="both"/>
        <w:rPr>
          <w:color w:val="auto"/>
          <w:sz w:val="22"/>
          <w:szCs w:val="22"/>
        </w:rPr>
      </w:pPr>
      <w:r>
        <w:rPr>
          <w:color w:val="auto"/>
          <w:sz w:val="22"/>
          <w:szCs w:val="22"/>
        </w:rPr>
        <w:t>воспитание чувства сопричастности и гордости за свою Родину и ее историю;</w:t>
      </w:r>
    </w:p>
    <w:p w14:paraId="5CF3FC58">
      <w:pPr>
        <w:pStyle w:val="85"/>
        <w:spacing w:before="240"/>
        <w:ind w:firstLine="540"/>
        <w:jc w:val="both"/>
        <w:rPr>
          <w:color w:val="auto"/>
          <w:sz w:val="22"/>
          <w:szCs w:val="22"/>
        </w:rPr>
      </w:pPr>
      <w:r>
        <w:rPr>
          <w:color w:val="auto"/>
          <w:sz w:val="22"/>
          <w:szCs w:val="22"/>
        </w:rPr>
        <w:t>выявление, развитие и поддержка одаренных детей в области спорта.</w:t>
      </w:r>
    </w:p>
    <w:p w14:paraId="3BF90BDA">
      <w:pPr>
        <w:pStyle w:val="85"/>
        <w:spacing w:before="240"/>
        <w:ind w:firstLine="540"/>
        <w:jc w:val="both"/>
        <w:rPr>
          <w:color w:val="auto"/>
          <w:sz w:val="22"/>
          <w:szCs w:val="22"/>
        </w:rPr>
      </w:pPr>
      <w:r>
        <w:rPr>
          <w:color w:val="auto"/>
          <w:sz w:val="22"/>
          <w:szCs w:val="22"/>
        </w:rPr>
        <w:t>16.4.25.4. Место и роль модуля "Бокс".</w:t>
      </w:r>
    </w:p>
    <w:p w14:paraId="58EB1763">
      <w:pPr>
        <w:pStyle w:val="85"/>
        <w:spacing w:before="240"/>
        <w:ind w:firstLine="540"/>
        <w:jc w:val="both"/>
        <w:rPr>
          <w:color w:val="auto"/>
          <w:sz w:val="22"/>
          <w:szCs w:val="22"/>
        </w:rPr>
      </w:pPr>
      <w:r>
        <w:rPr>
          <w:color w:val="auto"/>
          <w:sz w:val="22"/>
          <w:szCs w:val="22"/>
        </w:rPr>
        <w:t>Модуль "Бокс" доступен для освоения всем обучающимся, и обеспечивает достижение следующих результатов ФГОС НОО: сформированность общих представлений о физической культуре и спорте, физической активности человека, физических качествах, жизненно важных прикладных умениях и навыках, основных физических упражнениях (гимнастических, игровых, туристических и спортивных).</w:t>
      </w:r>
    </w:p>
    <w:p w14:paraId="1B0E37CF">
      <w:pPr>
        <w:pStyle w:val="85"/>
        <w:spacing w:before="240"/>
        <w:ind w:firstLine="540"/>
        <w:jc w:val="both"/>
        <w:rPr>
          <w:color w:val="auto"/>
          <w:sz w:val="22"/>
          <w:szCs w:val="22"/>
        </w:rPr>
      </w:pPr>
      <w:r>
        <w:rPr>
          <w:color w:val="auto"/>
          <w:sz w:val="22"/>
          <w:szCs w:val="22"/>
        </w:rPr>
        <w:t>Программное содержание модуля "Бокс" может быть использовано в разделах "Знания о физической культуре", "Способы самостоятельной деятельности", "Физическое совершенствование".</w:t>
      </w:r>
    </w:p>
    <w:p w14:paraId="4430E436">
      <w:pPr>
        <w:pStyle w:val="85"/>
        <w:spacing w:before="240"/>
        <w:ind w:firstLine="540"/>
        <w:jc w:val="both"/>
        <w:rPr>
          <w:color w:val="auto"/>
          <w:sz w:val="22"/>
          <w:szCs w:val="22"/>
        </w:rPr>
      </w:pPr>
      <w:r>
        <w:rPr>
          <w:color w:val="auto"/>
          <w:sz w:val="22"/>
          <w:szCs w:val="22"/>
        </w:rPr>
        <w:t>Интеграция модуля по боксу поможет обучающимся в освоении образовательных программ в рамках внеурочной деятельности, дополнительного образования, деятельности школьных спортивных клубов, подготовке обучающихся к сдаче норм ГТО и участии в спортивных соревнованиях.</w:t>
      </w:r>
    </w:p>
    <w:p w14:paraId="6ACBF474">
      <w:pPr>
        <w:pStyle w:val="85"/>
        <w:spacing w:before="240"/>
        <w:ind w:firstLine="540"/>
        <w:jc w:val="both"/>
        <w:rPr>
          <w:color w:val="auto"/>
          <w:sz w:val="22"/>
          <w:szCs w:val="22"/>
        </w:rPr>
      </w:pPr>
      <w:r>
        <w:rPr>
          <w:color w:val="auto"/>
          <w:sz w:val="22"/>
          <w:szCs w:val="22"/>
        </w:rPr>
        <w:t>16.4.25.5. Модуль "Бокс" может быть реализован в следующих вариантах:</w:t>
      </w:r>
    </w:p>
    <w:p w14:paraId="26192B58">
      <w:pPr>
        <w:pStyle w:val="85"/>
        <w:spacing w:before="240"/>
        <w:ind w:firstLine="540"/>
        <w:jc w:val="both"/>
        <w:rPr>
          <w:color w:val="auto"/>
          <w:sz w:val="22"/>
          <w:szCs w:val="22"/>
        </w:rPr>
      </w:pPr>
      <w:r>
        <w:rPr>
          <w:color w:val="auto"/>
          <w:sz w:val="22"/>
          <w:szCs w:val="22"/>
        </w:rPr>
        <w:t>при самостоятельном планировании учителем физической культуры процесса освоения обучающимися учебного материала по боксу с выбором различных элементов специальных физических упражнений, игр и (или) элементов игры, с учетом возраста и физической подготовленности обучающихся (с соответствующей дозировкой и интенсивностью);</w:t>
      </w:r>
    </w:p>
    <w:p w14:paraId="472A38AD">
      <w:pPr>
        <w:pStyle w:val="85"/>
        <w:spacing w:before="240"/>
        <w:ind w:firstLine="540"/>
        <w:jc w:val="both"/>
        <w:rPr>
          <w:color w:val="auto"/>
          <w:sz w:val="22"/>
          <w:szCs w:val="22"/>
        </w:rPr>
      </w:pPr>
      <w:r>
        <w:rPr>
          <w:color w:val="auto"/>
          <w:sz w:val="22"/>
          <w:szCs w:val="22"/>
        </w:rPr>
        <w:t>в виде дополнительных часов, выделяемых на спортивно-оздоровительную работу с обучающимися в рамках внеурочной деятельности и (или) за счет посещения обучающимися спортивных секций школьных спортивных клубов (рекомендуемый объем в 1 классе - 33 часа, во 2 - 4 классах - по 34 часа).</w:t>
      </w:r>
    </w:p>
    <w:p w14:paraId="688F5A5F">
      <w:pPr>
        <w:pStyle w:val="85"/>
        <w:spacing w:before="240"/>
        <w:ind w:firstLine="540"/>
        <w:jc w:val="both"/>
        <w:rPr>
          <w:color w:val="auto"/>
          <w:sz w:val="22"/>
          <w:szCs w:val="22"/>
        </w:rPr>
      </w:pPr>
      <w:r>
        <w:rPr>
          <w:color w:val="auto"/>
          <w:sz w:val="22"/>
          <w:szCs w:val="22"/>
        </w:rPr>
        <w:t>16.4.25.6. Содержание модуля "Бокс".</w:t>
      </w:r>
    </w:p>
    <w:p w14:paraId="5EC597A7">
      <w:pPr>
        <w:pStyle w:val="85"/>
        <w:spacing w:before="240"/>
        <w:ind w:firstLine="540"/>
        <w:jc w:val="both"/>
        <w:rPr>
          <w:color w:val="auto"/>
          <w:sz w:val="22"/>
          <w:szCs w:val="22"/>
        </w:rPr>
      </w:pPr>
      <w:r>
        <w:rPr>
          <w:color w:val="auto"/>
          <w:sz w:val="22"/>
          <w:szCs w:val="22"/>
        </w:rPr>
        <w:t>1) Знания о боксе.</w:t>
      </w:r>
    </w:p>
    <w:p w14:paraId="20485C8D">
      <w:pPr>
        <w:pStyle w:val="85"/>
        <w:spacing w:before="240"/>
        <w:ind w:firstLine="540"/>
        <w:jc w:val="both"/>
        <w:rPr>
          <w:color w:val="auto"/>
          <w:sz w:val="22"/>
          <w:szCs w:val="22"/>
        </w:rPr>
      </w:pPr>
      <w:r>
        <w:rPr>
          <w:color w:val="auto"/>
          <w:sz w:val="22"/>
          <w:szCs w:val="22"/>
        </w:rPr>
        <w:t>История развития бокса.</w:t>
      </w:r>
    </w:p>
    <w:p w14:paraId="2A4248F9">
      <w:pPr>
        <w:pStyle w:val="85"/>
        <w:spacing w:before="240"/>
        <w:ind w:firstLine="540"/>
        <w:jc w:val="both"/>
        <w:rPr>
          <w:color w:val="auto"/>
          <w:sz w:val="22"/>
          <w:szCs w:val="22"/>
        </w:rPr>
      </w:pPr>
      <w:r>
        <w:rPr>
          <w:color w:val="auto"/>
          <w:sz w:val="22"/>
          <w:szCs w:val="22"/>
        </w:rPr>
        <w:t>Основные правила соревнований вида спорта "бокс".</w:t>
      </w:r>
    </w:p>
    <w:p w14:paraId="7AAF933A">
      <w:pPr>
        <w:pStyle w:val="85"/>
        <w:spacing w:before="240"/>
        <w:ind w:firstLine="540"/>
        <w:jc w:val="both"/>
        <w:rPr>
          <w:color w:val="auto"/>
          <w:sz w:val="22"/>
          <w:szCs w:val="22"/>
        </w:rPr>
      </w:pPr>
      <w:r>
        <w:rPr>
          <w:color w:val="auto"/>
          <w:sz w:val="22"/>
          <w:szCs w:val="22"/>
        </w:rPr>
        <w:t>Олимпийские чемпионы, известные боксеры.</w:t>
      </w:r>
    </w:p>
    <w:p w14:paraId="32C31C36">
      <w:pPr>
        <w:pStyle w:val="85"/>
        <w:spacing w:before="240"/>
        <w:ind w:firstLine="540"/>
        <w:jc w:val="both"/>
        <w:rPr>
          <w:color w:val="auto"/>
          <w:sz w:val="22"/>
          <w:szCs w:val="22"/>
        </w:rPr>
      </w:pPr>
      <w:r>
        <w:rPr>
          <w:color w:val="auto"/>
          <w:sz w:val="22"/>
          <w:szCs w:val="22"/>
        </w:rPr>
        <w:t>Техника безопасности на занятиях боксом.</w:t>
      </w:r>
    </w:p>
    <w:p w14:paraId="69D099AB">
      <w:pPr>
        <w:pStyle w:val="85"/>
        <w:spacing w:before="240"/>
        <w:ind w:firstLine="540"/>
        <w:jc w:val="both"/>
        <w:rPr>
          <w:color w:val="auto"/>
          <w:sz w:val="22"/>
          <w:szCs w:val="22"/>
        </w:rPr>
      </w:pPr>
      <w:r>
        <w:rPr>
          <w:color w:val="auto"/>
          <w:sz w:val="22"/>
          <w:szCs w:val="22"/>
        </w:rPr>
        <w:t>Введение в школу техники бокса. Общая характеристика тактики в бою. Взаимосвязь техники и тактики. Тактические основы боя.</w:t>
      </w:r>
    </w:p>
    <w:p w14:paraId="79AEE62B">
      <w:pPr>
        <w:pStyle w:val="85"/>
        <w:spacing w:before="240"/>
        <w:ind w:firstLine="540"/>
        <w:jc w:val="both"/>
        <w:rPr>
          <w:color w:val="auto"/>
          <w:sz w:val="22"/>
          <w:szCs w:val="22"/>
        </w:rPr>
      </w:pPr>
      <w:r>
        <w:rPr>
          <w:color w:val="auto"/>
          <w:sz w:val="22"/>
          <w:szCs w:val="22"/>
        </w:rPr>
        <w:t>2) Способы самостоятельной деятельности.</w:t>
      </w:r>
    </w:p>
    <w:p w14:paraId="41ED0AC1">
      <w:pPr>
        <w:pStyle w:val="85"/>
        <w:spacing w:before="240"/>
        <w:ind w:firstLine="540"/>
        <w:jc w:val="both"/>
        <w:rPr>
          <w:color w:val="auto"/>
          <w:sz w:val="22"/>
          <w:szCs w:val="22"/>
        </w:rPr>
      </w:pPr>
      <w:r>
        <w:rPr>
          <w:color w:val="auto"/>
          <w:sz w:val="22"/>
          <w:szCs w:val="22"/>
        </w:rPr>
        <w:t>Внешние признаки утомления. Способы самоконтроля за физической нагрузкой.</w:t>
      </w:r>
    </w:p>
    <w:p w14:paraId="0500F8DF">
      <w:pPr>
        <w:pStyle w:val="85"/>
        <w:spacing w:before="240"/>
        <w:ind w:firstLine="540"/>
        <w:jc w:val="both"/>
        <w:rPr>
          <w:color w:val="auto"/>
          <w:sz w:val="22"/>
          <w:szCs w:val="22"/>
        </w:rPr>
      </w:pPr>
      <w:r>
        <w:rPr>
          <w:color w:val="auto"/>
          <w:sz w:val="22"/>
          <w:szCs w:val="22"/>
        </w:rPr>
        <w:t>Уход за спортивным инвентарем, оборудованием и формой для занятий боксом.</w:t>
      </w:r>
    </w:p>
    <w:p w14:paraId="00946BF9">
      <w:pPr>
        <w:pStyle w:val="85"/>
        <w:spacing w:before="240"/>
        <w:ind w:firstLine="540"/>
        <w:jc w:val="both"/>
        <w:rPr>
          <w:color w:val="auto"/>
          <w:sz w:val="22"/>
          <w:szCs w:val="22"/>
        </w:rPr>
      </w:pPr>
      <w:r>
        <w:rPr>
          <w:color w:val="auto"/>
          <w:sz w:val="22"/>
          <w:szCs w:val="22"/>
        </w:rPr>
        <w:t>Подвижные, спортивные игры и правила их проведения.</w:t>
      </w:r>
    </w:p>
    <w:p w14:paraId="6E64C879">
      <w:pPr>
        <w:pStyle w:val="85"/>
        <w:spacing w:before="240"/>
        <w:ind w:firstLine="540"/>
        <w:jc w:val="both"/>
        <w:rPr>
          <w:color w:val="auto"/>
          <w:sz w:val="22"/>
          <w:szCs w:val="22"/>
        </w:rPr>
      </w:pPr>
      <w:r>
        <w:rPr>
          <w:color w:val="auto"/>
          <w:sz w:val="22"/>
          <w:szCs w:val="22"/>
        </w:rPr>
        <w:t>Основы организации самостоятельных занятий видом спорта "бокс".</w:t>
      </w:r>
    </w:p>
    <w:p w14:paraId="5FB34529">
      <w:pPr>
        <w:pStyle w:val="85"/>
        <w:spacing w:before="240"/>
        <w:ind w:firstLine="540"/>
        <w:jc w:val="both"/>
        <w:rPr>
          <w:color w:val="auto"/>
          <w:sz w:val="22"/>
          <w:szCs w:val="22"/>
        </w:rPr>
      </w:pPr>
      <w:r>
        <w:rPr>
          <w:color w:val="auto"/>
          <w:sz w:val="22"/>
          <w:szCs w:val="22"/>
        </w:rPr>
        <w:t>Контрольно-тестовые упражнения по общей и специальной физической подготовке.</w:t>
      </w:r>
    </w:p>
    <w:p w14:paraId="0908BFD9">
      <w:pPr>
        <w:pStyle w:val="85"/>
        <w:spacing w:before="240"/>
        <w:ind w:firstLine="540"/>
        <w:jc w:val="both"/>
        <w:rPr>
          <w:color w:val="auto"/>
          <w:sz w:val="22"/>
          <w:szCs w:val="22"/>
        </w:rPr>
      </w:pPr>
      <w:r>
        <w:rPr>
          <w:color w:val="auto"/>
          <w:sz w:val="22"/>
          <w:szCs w:val="22"/>
        </w:rPr>
        <w:t>Причины возникновения ошибок при выполнении технических приемов и способы их устранения.</w:t>
      </w:r>
    </w:p>
    <w:p w14:paraId="14454C88">
      <w:pPr>
        <w:pStyle w:val="85"/>
        <w:spacing w:before="240"/>
        <w:ind w:firstLine="540"/>
        <w:jc w:val="both"/>
        <w:rPr>
          <w:color w:val="auto"/>
          <w:sz w:val="22"/>
          <w:szCs w:val="22"/>
        </w:rPr>
      </w:pPr>
      <w:r>
        <w:rPr>
          <w:color w:val="auto"/>
          <w:sz w:val="22"/>
          <w:szCs w:val="22"/>
        </w:rPr>
        <w:t>3) Физическое совершенствование.</w:t>
      </w:r>
    </w:p>
    <w:p w14:paraId="485DA9C6">
      <w:pPr>
        <w:pStyle w:val="85"/>
        <w:spacing w:before="240"/>
        <w:ind w:firstLine="540"/>
        <w:jc w:val="both"/>
        <w:rPr>
          <w:color w:val="auto"/>
          <w:sz w:val="22"/>
          <w:szCs w:val="22"/>
        </w:rPr>
      </w:pPr>
      <w:r>
        <w:rPr>
          <w:color w:val="auto"/>
          <w:sz w:val="22"/>
          <w:szCs w:val="22"/>
        </w:rPr>
        <w:t>Комплексы общеразвивающих упражнений.</w:t>
      </w:r>
    </w:p>
    <w:p w14:paraId="3E23E782">
      <w:pPr>
        <w:pStyle w:val="85"/>
        <w:spacing w:before="240"/>
        <w:ind w:firstLine="540"/>
        <w:jc w:val="both"/>
        <w:rPr>
          <w:color w:val="auto"/>
          <w:sz w:val="22"/>
          <w:szCs w:val="22"/>
        </w:rPr>
      </w:pPr>
      <w:r>
        <w:rPr>
          <w:color w:val="auto"/>
          <w:sz w:val="22"/>
          <w:szCs w:val="22"/>
        </w:rPr>
        <w:t>Упражнения на развитие физических качеств (быстроты, ловкости, гибкости), координационных и скоростных способностей:</w:t>
      </w:r>
    </w:p>
    <w:p w14:paraId="118306F1">
      <w:pPr>
        <w:pStyle w:val="85"/>
        <w:spacing w:before="240"/>
        <w:ind w:firstLine="540"/>
        <w:jc w:val="both"/>
        <w:rPr>
          <w:color w:val="auto"/>
          <w:sz w:val="22"/>
          <w:szCs w:val="22"/>
        </w:rPr>
      </w:pPr>
      <w:r>
        <w:rPr>
          <w:color w:val="auto"/>
          <w:sz w:val="22"/>
          <w:szCs w:val="22"/>
        </w:rPr>
        <w:t>ходьба на носках, на пятках, внешнем и внутреннем крае стопы, с высоким подниманием бедра, в полуприседе, с различными положениями рук, широким шагом, с ускорением, с остановкой в приседе;</w:t>
      </w:r>
    </w:p>
    <w:p w14:paraId="5D074538">
      <w:pPr>
        <w:pStyle w:val="85"/>
        <w:spacing w:before="240"/>
        <w:ind w:firstLine="540"/>
        <w:jc w:val="both"/>
        <w:rPr>
          <w:color w:val="auto"/>
          <w:sz w:val="22"/>
          <w:szCs w:val="22"/>
        </w:rPr>
      </w:pPr>
      <w:r>
        <w:rPr>
          <w:color w:val="auto"/>
          <w:sz w:val="22"/>
          <w:szCs w:val="22"/>
        </w:rPr>
        <w:t>бег на носках, с высоким подниманием бедра, в различных направлениях, с остановкой по сигналу, с выбрасыванием прямых ног вперед, в сторону, со скакалкой, эстафеты на скорость, челночный бег 3 x 10 м;</w:t>
      </w:r>
    </w:p>
    <w:p w14:paraId="738F4AF5">
      <w:pPr>
        <w:pStyle w:val="85"/>
        <w:spacing w:before="240"/>
        <w:ind w:firstLine="540"/>
        <w:jc w:val="both"/>
        <w:rPr>
          <w:color w:val="auto"/>
          <w:sz w:val="22"/>
          <w:szCs w:val="22"/>
        </w:rPr>
      </w:pPr>
      <w:r>
        <w:rPr>
          <w:color w:val="auto"/>
          <w:sz w:val="22"/>
          <w:szCs w:val="22"/>
        </w:rPr>
        <w:t>прыжки на месте на одной и двух ногах, с продвижением вперед, из кружка в кружок, вокруг предметов, через линии, на скакалке, в длину, из приседа, со скамейки, с места и с разбега, отталкиваясь одной ногой и приземляясь на обе, короткие прыжки на одной и на другой ноге;</w:t>
      </w:r>
    </w:p>
    <w:p w14:paraId="3DD964C7">
      <w:pPr>
        <w:pStyle w:val="85"/>
        <w:spacing w:before="240"/>
        <w:ind w:firstLine="540"/>
        <w:jc w:val="both"/>
        <w:rPr>
          <w:color w:val="auto"/>
          <w:sz w:val="22"/>
          <w:szCs w:val="22"/>
        </w:rPr>
      </w:pPr>
      <w:r>
        <w:rPr>
          <w:color w:val="auto"/>
          <w:sz w:val="22"/>
          <w:szCs w:val="22"/>
        </w:rPr>
        <w:t>гимнастика в движении, на месте, сидя, лежа в сочетании с упражнениями для развития рук, плечевого пояса, туловища, ног, упражнения с предметами для комплексного развития мышц (с короткой и длинной скакалкой, с гимнастической палкой, теннисными и баскетбольными мячами);</w:t>
      </w:r>
    </w:p>
    <w:p w14:paraId="47D68F47">
      <w:pPr>
        <w:pStyle w:val="85"/>
        <w:spacing w:before="240"/>
        <w:ind w:firstLine="540"/>
        <w:jc w:val="both"/>
        <w:rPr>
          <w:color w:val="auto"/>
          <w:sz w:val="22"/>
          <w:szCs w:val="22"/>
        </w:rPr>
      </w:pPr>
      <w:r>
        <w:rPr>
          <w:color w:val="auto"/>
          <w:sz w:val="22"/>
          <w:szCs w:val="22"/>
        </w:rPr>
        <w:t>висы и упоры: вис на перекладине, вис спиной на гимнастической стенке, упор стоя на коленях, упор сзади на полу, вис на канате на прямых руках, подтягивание в висе лежа (мальчики, девочки), поднимание ног в висе;</w:t>
      </w:r>
    </w:p>
    <w:p w14:paraId="5F01858E">
      <w:pPr>
        <w:pStyle w:val="85"/>
        <w:spacing w:before="240"/>
        <w:ind w:firstLine="540"/>
        <w:jc w:val="both"/>
        <w:rPr>
          <w:color w:val="auto"/>
          <w:sz w:val="22"/>
          <w:szCs w:val="22"/>
        </w:rPr>
      </w:pPr>
      <w:r>
        <w:rPr>
          <w:color w:val="auto"/>
          <w:sz w:val="22"/>
          <w:szCs w:val="22"/>
        </w:rPr>
        <w:t>лазание по канату;</w:t>
      </w:r>
    </w:p>
    <w:p w14:paraId="3AF5B2E1">
      <w:pPr>
        <w:pStyle w:val="85"/>
        <w:spacing w:before="240"/>
        <w:ind w:firstLine="540"/>
        <w:jc w:val="both"/>
        <w:rPr>
          <w:color w:val="auto"/>
          <w:sz w:val="22"/>
          <w:szCs w:val="22"/>
        </w:rPr>
      </w:pPr>
      <w:r>
        <w:rPr>
          <w:color w:val="auto"/>
          <w:sz w:val="22"/>
          <w:szCs w:val="22"/>
        </w:rPr>
        <w:t>равновесие: стойка на носках, на одной ноге (на полу и гимнастической скамейке), ходьба по гимнастической скамейке, по рейке гимнастической скамейки, ходьба по лежащему шнуру.</w:t>
      </w:r>
    </w:p>
    <w:p w14:paraId="40027A9A">
      <w:pPr>
        <w:pStyle w:val="85"/>
        <w:spacing w:before="240"/>
        <w:ind w:firstLine="540"/>
        <w:jc w:val="both"/>
        <w:rPr>
          <w:color w:val="auto"/>
          <w:sz w:val="22"/>
          <w:szCs w:val="22"/>
        </w:rPr>
      </w:pPr>
      <w:r>
        <w:rPr>
          <w:color w:val="auto"/>
          <w:sz w:val="22"/>
          <w:szCs w:val="22"/>
        </w:rPr>
        <w:t>Общая характеристика техники бокса. Основные положения боксера, учебная фронтальная стойка, боевая стойка, передвижения по рингу, боевые дистанции, удары, защиты, контрудары.</w:t>
      </w:r>
    </w:p>
    <w:p w14:paraId="7733944C">
      <w:pPr>
        <w:pStyle w:val="85"/>
        <w:spacing w:before="240"/>
        <w:ind w:firstLine="540"/>
        <w:jc w:val="both"/>
        <w:rPr>
          <w:color w:val="auto"/>
          <w:sz w:val="22"/>
          <w:szCs w:val="22"/>
        </w:rPr>
      </w:pPr>
      <w:r>
        <w:rPr>
          <w:color w:val="auto"/>
          <w:sz w:val="22"/>
          <w:szCs w:val="22"/>
        </w:rPr>
        <w:t>Средства тактики: дистанция боя, боевые стойки, передвижения, перемещения, атака, защита, контратака.</w:t>
      </w:r>
    </w:p>
    <w:p w14:paraId="650BD5AE">
      <w:pPr>
        <w:pStyle w:val="85"/>
        <w:spacing w:before="240"/>
        <w:ind w:firstLine="540"/>
        <w:jc w:val="both"/>
        <w:rPr>
          <w:color w:val="auto"/>
          <w:sz w:val="22"/>
          <w:szCs w:val="22"/>
        </w:rPr>
      </w:pPr>
      <w:r>
        <w:rPr>
          <w:color w:val="auto"/>
          <w:sz w:val="22"/>
          <w:szCs w:val="22"/>
        </w:rPr>
        <w:t>Передвижения в боевой стойке одиночным и двойными приставными шагами вперед-назад, влево-вправо; передвижения по кругу приставными скользящими шагами правым и левым боком вперед; передвижения в боевой стойке по четырехугольнику в слитой последовательности (4-ки) - шаги влево-вперед-вправо-назад и тоже в другую сторону (8-ки); передвижения с поворотами два, три приставных шага; "челночное" передвижение; передвижение в боевой стойке в различных направлениях.</w:t>
      </w:r>
    </w:p>
    <w:p w14:paraId="79A6A75D">
      <w:pPr>
        <w:pStyle w:val="85"/>
        <w:spacing w:before="240"/>
        <w:ind w:firstLine="540"/>
        <w:jc w:val="both"/>
        <w:rPr>
          <w:color w:val="auto"/>
          <w:sz w:val="22"/>
          <w:szCs w:val="22"/>
        </w:rPr>
      </w:pPr>
      <w:r>
        <w:rPr>
          <w:color w:val="auto"/>
          <w:sz w:val="22"/>
          <w:szCs w:val="22"/>
        </w:rPr>
        <w:t>Перемещение веса тела в боевой стойке с ноги на ногу; повороты в боевой стойке с сохранением равновесия; свободное передвижение по рингу в боевой стойке.</w:t>
      </w:r>
    </w:p>
    <w:p w14:paraId="064A5CCF">
      <w:pPr>
        <w:pStyle w:val="85"/>
        <w:spacing w:before="240"/>
        <w:ind w:firstLine="540"/>
        <w:jc w:val="both"/>
        <w:rPr>
          <w:color w:val="auto"/>
          <w:sz w:val="22"/>
          <w:szCs w:val="22"/>
        </w:rPr>
      </w:pPr>
      <w:r>
        <w:rPr>
          <w:color w:val="auto"/>
          <w:sz w:val="22"/>
          <w:szCs w:val="22"/>
        </w:rPr>
        <w:t>Передвижения. Перемещение по рингу может осуществляться либо шагами (обычный, приставной), либо скачками (толчком одной или двумя ногами).</w:t>
      </w:r>
    </w:p>
    <w:p w14:paraId="434A53B2">
      <w:pPr>
        <w:pStyle w:val="85"/>
        <w:spacing w:before="240"/>
        <w:ind w:firstLine="540"/>
        <w:jc w:val="both"/>
        <w:rPr>
          <w:color w:val="auto"/>
          <w:sz w:val="22"/>
          <w:szCs w:val="22"/>
        </w:rPr>
      </w:pPr>
      <w:r>
        <w:rPr>
          <w:color w:val="auto"/>
          <w:sz w:val="22"/>
          <w:szCs w:val="22"/>
        </w:rPr>
        <w:t>Защита руками: контрудары, подставки, отбивы, блоки.</w:t>
      </w:r>
    </w:p>
    <w:p w14:paraId="0582A8B4">
      <w:pPr>
        <w:pStyle w:val="85"/>
        <w:spacing w:before="240"/>
        <w:ind w:firstLine="540"/>
        <w:jc w:val="both"/>
        <w:rPr>
          <w:color w:val="auto"/>
          <w:sz w:val="22"/>
          <w:szCs w:val="22"/>
        </w:rPr>
      </w:pPr>
      <w:r>
        <w:rPr>
          <w:color w:val="auto"/>
          <w:sz w:val="22"/>
          <w:szCs w:val="22"/>
        </w:rPr>
        <w:t>Защита туловищем: уклон, нырок.</w:t>
      </w:r>
    </w:p>
    <w:p w14:paraId="58489D81">
      <w:pPr>
        <w:pStyle w:val="85"/>
        <w:spacing w:before="240"/>
        <w:ind w:firstLine="540"/>
        <w:jc w:val="both"/>
        <w:rPr>
          <w:color w:val="auto"/>
          <w:sz w:val="22"/>
          <w:szCs w:val="22"/>
        </w:rPr>
      </w:pPr>
      <w:r>
        <w:rPr>
          <w:color w:val="auto"/>
          <w:sz w:val="22"/>
          <w:szCs w:val="22"/>
        </w:rPr>
        <w:t>Защита передвижением на ногах (защита с помощью перемещений по рингу).</w:t>
      </w:r>
    </w:p>
    <w:p w14:paraId="36D4F7E6">
      <w:pPr>
        <w:pStyle w:val="85"/>
        <w:spacing w:before="240"/>
        <w:ind w:firstLine="540"/>
        <w:jc w:val="both"/>
        <w:rPr>
          <w:color w:val="auto"/>
          <w:sz w:val="22"/>
          <w:szCs w:val="22"/>
        </w:rPr>
      </w:pPr>
      <w:r>
        <w:rPr>
          <w:color w:val="auto"/>
          <w:sz w:val="22"/>
          <w:szCs w:val="22"/>
        </w:rPr>
        <w:t>Классификация боксерских ударов и их терминология.</w:t>
      </w:r>
    </w:p>
    <w:p w14:paraId="56C8C33F">
      <w:pPr>
        <w:pStyle w:val="85"/>
        <w:spacing w:before="240"/>
        <w:ind w:firstLine="540"/>
        <w:jc w:val="both"/>
        <w:rPr>
          <w:color w:val="auto"/>
          <w:sz w:val="22"/>
          <w:szCs w:val="22"/>
        </w:rPr>
      </w:pPr>
      <w:r>
        <w:rPr>
          <w:color w:val="auto"/>
          <w:sz w:val="22"/>
          <w:szCs w:val="22"/>
        </w:rPr>
        <w:t>Положение кулака при нанесении ударов: давление на мешок или настенную подушку ударной частью кулака; давление ладонью одной руки на головки пястных костей другой руки; нанесение ударов по настенной подушке, мешку или "лапам".</w:t>
      </w:r>
    </w:p>
    <w:p w14:paraId="6FFED35A">
      <w:pPr>
        <w:pStyle w:val="85"/>
        <w:spacing w:before="240"/>
        <w:ind w:firstLine="540"/>
        <w:jc w:val="both"/>
        <w:rPr>
          <w:color w:val="auto"/>
          <w:sz w:val="22"/>
          <w:szCs w:val="22"/>
        </w:rPr>
      </w:pPr>
      <w:r>
        <w:rPr>
          <w:color w:val="auto"/>
          <w:sz w:val="22"/>
          <w:szCs w:val="22"/>
        </w:rPr>
        <w:t>Изучение прямых ударов в туловище (одиночных, двойных и серий) и защит от них.</w:t>
      </w:r>
    </w:p>
    <w:p w14:paraId="2BF6AD91">
      <w:pPr>
        <w:pStyle w:val="85"/>
        <w:spacing w:before="240"/>
        <w:ind w:firstLine="540"/>
        <w:jc w:val="both"/>
        <w:rPr>
          <w:color w:val="auto"/>
          <w:sz w:val="22"/>
          <w:szCs w:val="22"/>
        </w:rPr>
      </w:pPr>
      <w:r>
        <w:rPr>
          <w:color w:val="auto"/>
          <w:sz w:val="22"/>
          <w:szCs w:val="22"/>
        </w:rPr>
        <w:t>Изучение боковых ударов в голову и защита от них.</w:t>
      </w:r>
    </w:p>
    <w:p w14:paraId="26DA3065">
      <w:pPr>
        <w:pStyle w:val="85"/>
        <w:spacing w:before="240"/>
        <w:ind w:firstLine="540"/>
        <w:jc w:val="both"/>
        <w:rPr>
          <w:color w:val="auto"/>
          <w:sz w:val="22"/>
          <w:szCs w:val="22"/>
        </w:rPr>
      </w:pPr>
      <w:r>
        <w:rPr>
          <w:color w:val="auto"/>
          <w:sz w:val="22"/>
          <w:szCs w:val="22"/>
        </w:rPr>
        <w:t>Изучение коротких ударов снизу в туловище.</w:t>
      </w:r>
    </w:p>
    <w:p w14:paraId="39B27389">
      <w:pPr>
        <w:pStyle w:val="85"/>
        <w:spacing w:before="240"/>
        <w:ind w:firstLine="540"/>
        <w:jc w:val="both"/>
        <w:rPr>
          <w:color w:val="auto"/>
          <w:sz w:val="22"/>
          <w:szCs w:val="22"/>
        </w:rPr>
      </w:pPr>
      <w:r>
        <w:rPr>
          <w:color w:val="auto"/>
          <w:sz w:val="22"/>
          <w:szCs w:val="22"/>
        </w:rPr>
        <w:t>Применение коротких ударов на ближней дистанции в условных боях: прямой удар левой с шагом левой; защиты-подставкой правой ладони; отбивом правой рукой влево вниз; уклоном вправо, отходом назад; сайдстепом.</w:t>
      </w:r>
    </w:p>
    <w:p w14:paraId="4E1BA42B">
      <w:pPr>
        <w:pStyle w:val="85"/>
        <w:spacing w:before="240"/>
        <w:ind w:firstLine="540"/>
        <w:jc w:val="both"/>
        <w:rPr>
          <w:color w:val="auto"/>
          <w:sz w:val="22"/>
          <w:szCs w:val="22"/>
        </w:rPr>
      </w:pPr>
      <w:r>
        <w:rPr>
          <w:color w:val="auto"/>
          <w:sz w:val="22"/>
          <w:szCs w:val="22"/>
        </w:rPr>
        <w:t>Прямой удар левой с шагом левой; защиты-подставкой правой ладони; отбивом правой рукой влево вниз; уклоном вправо, отходом назад; сайдстепом.</w:t>
      </w:r>
    </w:p>
    <w:p w14:paraId="4D98180B">
      <w:pPr>
        <w:pStyle w:val="85"/>
        <w:spacing w:before="240"/>
        <w:ind w:firstLine="540"/>
        <w:jc w:val="both"/>
        <w:rPr>
          <w:color w:val="auto"/>
          <w:sz w:val="22"/>
          <w:szCs w:val="22"/>
        </w:rPr>
      </w:pPr>
      <w:r>
        <w:rPr>
          <w:color w:val="auto"/>
          <w:sz w:val="22"/>
          <w:szCs w:val="22"/>
        </w:rPr>
        <w:t>Техника удара снизу правой в туловище и защиты подставкой согнутой левой руки.</w:t>
      </w:r>
    </w:p>
    <w:p w14:paraId="42318F36">
      <w:pPr>
        <w:pStyle w:val="85"/>
        <w:spacing w:before="240"/>
        <w:ind w:firstLine="540"/>
        <w:jc w:val="both"/>
        <w:rPr>
          <w:color w:val="auto"/>
          <w:sz w:val="22"/>
          <w:szCs w:val="22"/>
        </w:rPr>
      </w:pPr>
      <w:r>
        <w:rPr>
          <w:color w:val="auto"/>
          <w:sz w:val="22"/>
          <w:szCs w:val="22"/>
        </w:rPr>
        <w:t>Изучение наступательной позиции ближнего боя.</w:t>
      </w:r>
    </w:p>
    <w:p w14:paraId="504E024A">
      <w:pPr>
        <w:pStyle w:val="85"/>
        <w:spacing w:before="240"/>
        <w:ind w:firstLine="540"/>
        <w:jc w:val="both"/>
        <w:rPr>
          <w:color w:val="auto"/>
          <w:sz w:val="22"/>
          <w:szCs w:val="22"/>
        </w:rPr>
      </w:pPr>
      <w:r>
        <w:rPr>
          <w:color w:val="auto"/>
          <w:sz w:val="22"/>
          <w:szCs w:val="22"/>
        </w:rPr>
        <w:t>Освоение элементов боя на ближней дистанции.</w:t>
      </w:r>
    </w:p>
    <w:p w14:paraId="061D4504">
      <w:pPr>
        <w:pStyle w:val="85"/>
        <w:spacing w:before="240"/>
        <w:ind w:firstLine="540"/>
        <w:jc w:val="both"/>
        <w:rPr>
          <w:color w:val="auto"/>
          <w:sz w:val="22"/>
          <w:szCs w:val="22"/>
        </w:rPr>
      </w:pPr>
      <w:r>
        <w:rPr>
          <w:color w:val="auto"/>
          <w:sz w:val="22"/>
          <w:szCs w:val="22"/>
        </w:rPr>
        <w:t>Контрудары. Тактическое обоснование контрударов. Встречные и ответные контрудары и защиты от них.</w:t>
      </w:r>
    </w:p>
    <w:p w14:paraId="2121CB98">
      <w:pPr>
        <w:pStyle w:val="85"/>
        <w:spacing w:before="240"/>
        <w:ind w:firstLine="540"/>
        <w:jc w:val="both"/>
        <w:rPr>
          <w:color w:val="auto"/>
          <w:sz w:val="22"/>
          <w:szCs w:val="22"/>
        </w:rPr>
      </w:pPr>
      <w:r>
        <w:rPr>
          <w:color w:val="auto"/>
          <w:sz w:val="22"/>
          <w:szCs w:val="22"/>
        </w:rPr>
        <w:t>Боевые дистанции. Дальняя дистанция: боевая стойка; передвижение, удары и защиты на дальней дистанции. Средняя дистанция: боевая стойка, передвижение, удары и защиты на дальней дистанции. Ближняя дистанция: боевая стойка, вход и выход из ближней дистанции, удары и защиты на ближней дистанции.</w:t>
      </w:r>
    </w:p>
    <w:p w14:paraId="6745958F">
      <w:pPr>
        <w:pStyle w:val="85"/>
        <w:spacing w:before="240"/>
        <w:ind w:firstLine="540"/>
        <w:jc w:val="both"/>
        <w:rPr>
          <w:color w:val="auto"/>
          <w:sz w:val="22"/>
          <w:szCs w:val="22"/>
        </w:rPr>
      </w:pPr>
      <w:r>
        <w:rPr>
          <w:color w:val="auto"/>
          <w:sz w:val="22"/>
          <w:szCs w:val="22"/>
        </w:rPr>
        <w:t>Упражнения в парах. Атакующие действия на дальней и средней дистанциях.</w:t>
      </w:r>
    </w:p>
    <w:p w14:paraId="397EF47F">
      <w:pPr>
        <w:pStyle w:val="85"/>
        <w:spacing w:before="240"/>
        <w:ind w:firstLine="540"/>
        <w:jc w:val="both"/>
        <w:rPr>
          <w:color w:val="auto"/>
          <w:sz w:val="22"/>
          <w:szCs w:val="22"/>
        </w:rPr>
      </w:pPr>
      <w:r>
        <w:rPr>
          <w:color w:val="auto"/>
          <w:sz w:val="22"/>
          <w:szCs w:val="22"/>
        </w:rPr>
        <w:t>Применение изученного материала в условных и вольных боях.</w:t>
      </w:r>
    </w:p>
    <w:p w14:paraId="3C88743F">
      <w:pPr>
        <w:pStyle w:val="85"/>
        <w:spacing w:before="240"/>
        <w:ind w:firstLine="540"/>
        <w:jc w:val="both"/>
        <w:rPr>
          <w:color w:val="auto"/>
          <w:sz w:val="22"/>
          <w:szCs w:val="22"/>
        </w:rPr>
      </w:pPr>
      <w:r>
        <w:rPr>
          <w:color w:val="auto"/>
          <w:sz w:val="22"/>
          <w:szCs w:val="22"/>
        </w:rPr>
        <w:t>Подвижные игры: "Тяни в круг", "Перетягивание через черту", "Эстафеты с элементами равновесия", "Погоня", "Сбей кеглю", "Попади в предмет".</w:t>
      </w:r>
    </w:p>
    <w:p w14:paraId="6D1F5FED">
      <w:pPr>
        <w:pStyle w:val="85"/>
        <w:spacing w:before="240"/>
        <w:ind w:firstLine="540"/>
        <w:jc w:val="both"/>
        <w:rPr>
          <w:color w:val="auto"/>
          <w:sz w:val="22"/>
          <w:szCs w:val="22"/>
        </w:rPr>
      </w:pPr>
      <w:r>
        <w:rPr>
          <w:color w:val="auto"/>
          <w:sz w:val="22"/>
          <w:szCs w:val="22"/>
        </w:rPr>
        <w:t>Участие в физкультурно-спортивной и соревновательной деятельности.</w:t>
      </w:r>
    </w:p>
    <w:p w14:paraId="7D3F253D">
      <w:pPr>
        <w:pStyle w:val="85"/>
        <w:spacing w:before="240"/>
        <w:ind w:firstLine="540"/>
        <w:jc w:val="both"/>
        <w:rPr>
          <w:color w:val="auto"/>
          <w:sz w:val="22"/>
          <w:szCs w:val="22"/>
        </w:rPr>
      </w:pPr>
      <w:r>
        <w:rPr>
          <w:color w:val="auto"/>
          <w:sz w:val="22"/>
          <w:szCs w:val="22"/>
        </w:rPr>
        <w:t>16.4.25.7. Содержание модуля "Бокс" направлено на достижение обучающимися личностных, метапредметных и предметных результатов обучения.</w:t>
      </w:r>
    </w:p>
    <w:p w14:paraId="666AC17B">
      <w:pPr>
        <w:pStyle w:val="85"/>
        <w:spacing w:before="240"/>
        <w:ind w:firstLine="540"/>
        <w:jc w:val="both"/>
        <w:rPr>
          <w:color w:val="auto"/>
          <w:sz w:val="22"/>
          <w:szCs w:val="22"/>
        </w:rPr>
      </w:pPr>
      <w:r>
        <w:rPr>
          <w:color w:val="auto"/>
          <w:sz w:val="22"/>
          <w:szCs w:val="22"/>
        </w:rPr>
        <w:t>16.4.25.7.1. При изучении модуля "Бокс" на уровне начального общего образования у обучающихся будут сформированы следующие личностные результаты:</w:t>
      </w:r>
    </w:p>
    <w:p w14:paraId="444C2D72">
      <w:pPr>
        <w:pStyle w:val="85"/>
        <w:spacing w:before="240"/>
        <w:ind w:firstLine="540"/>
        <w:jc w:val="both"/>
        <w:rPr>
          <w:color w:val="auto"/>
          <w:sz w:val="22"/>
          <w:szCs w:val="22"/>
        </w:rPr>
      </w:pPr>
      <w:r>
        <w:rPr>
          <w:color w:val="auto"/>
          <w:sz w:val="22"/>
          <w:szCs w:val="22"/>
        </w:rPr>
        <w:t>уважение к Отечеству, к прошлому и настоящему многонационального народа России; осознанное, уважительное и доброжелательное отношение к истории, культуре, традициям и ценностям Российского народа на примере истории национальных видов спорта и народных игр;</w:t>
      </w:r>
    </w:p>
    <w:p w14:paraId="2D24C1B4">
      <w:pPr>
        <w:pStyle w:val="85"/>
        <w:spacing w:before="240"/>
        <w:ind w:firstLine="540"/>
        <w:jc w:val="both"/>
        <w:rPr>
          <w:color w:val="auto"/>
          <w:sz w:val="22"/>
          <w:szCs w:val="22"/>
        </w:rPr>
      </w:pPr>
      <w:r>
        <w:rPr>
          <w:color w:val="auto"/>
          <w:sz w:val="22"/>
          <w:szCs w:val="22"/>
        </w:rPr>
        <w:t>сформированность патриотического сознания и гражданской позиции личности, чувство ответственности и долга перед Родиной на примере героических подвигов спортсменов - участников Великой Отечественной Войны и результатов упорного труда выдающихся спортсменов СССР и России;</w:t>
      </w:r>
    </w:p>
    <w:p w14:paraId="48D9D6DF">
      <w:pPr>
        <w:pStyle w:val="85"/>
        <w:spacing w:before="240"/>
        <w:ind w:firstLine="540"/>
        <w:jc w:val="both"/>
        <w:rPr>
          <w:color w:val="auto"/>
          <w:sz w:val="22"/>
          <w:szCs w:val="22"/>
        </w:rPr>
      </w:pPr>
      <w:r>
        <w:rPr>
          <w:color w:val="auto"/>
          <w:sz w:val="22"/>
          <w:szCs w:val="22"/>
        </w:rPr>
        <w:t>освоенность социальных норм, правил поведения, ролей и форм социальной жизни в группах и сообществах;</w:t>
      </w:r>
    </w:p>
    <w:p w14:paraId="56E83226">
      <w:pPr>
        <w:pStyle w:val="85"/>
        <w:spacing w:before="240"/>
        <w:ind w:firstLine="540"/>
        <w:jc w:val="both"/>
        <w:rPr>
          <w:color w:val="auto"/>
          <w:sz w:val="22"/>
          <w:szCs w:val="22"/>
        </w:rPr>
      </w:pPr>
      <w:r>
        <w:rPr>
          <w:color w:val="auto"/>
          <w:sz w:val="22"/>
          <w:szCs w:val="22"/>
        </w:rPr>
        <w:t>сформированность положительной мотивации и устойчивого учебно-познавательного интереса к учебному предмету "Физическая культура";</w:t>
      </w:r>
    </w:p>
    <w:p w14:paraId="7A65695D">
      <w:pPr>
        <w:pStyle w:val="85"/>
        <w:spacing w:before="240"/>
        <w:ind w:firstLine="540"/>
        <w:jc w:val="both"/>
        <w:rPr>
          <w:color w:val="auto"/>
          <w:sz w:val="22"/>
          <w:szCs w:val="22"/>
        </w:rPr>
      </w:pPr>
      <w:r>
        <w:rPr>
          <w:color w:val="auto"/>
          <w:sz w:val="22"/>
          <w:szCs w:val="22"/>
        </w:rPr>
        <w:t>сформированность ценности здорового и безопасного образа жизни;</w:t>
      </w:r>
    </w:p>
    <w:p w14:paraId="11A71074">
      <w:pPr>
        <w:pStyle w:val="85"/>
        <w:spacing w:before="240"/>
        <w:ind w:firstLine="540"/>
        <w:jc w:val="both"/>
        <w:rPr>
          <w:color w:val="auto"/>
          <w:sz w:val="22"/>
          <w:szCs w:val="22"/>
        </w:rPr>
      </w:pPr>
      <w:r>
        <w:rPr>
          <w:color w:val="auto"/>
          <w:sz w:val="22"/>
          <w:szCs w:val="22"/>
        </w:rPr>
        <w:t>сформированность духовно-нравственной культуры, чувства уважения и ценностного отношения к физической культуре, как составной и неотъемлемой части общечеловеческой культуры.</w:t>
      </w:r>
    </w:p>
    <w:p w14:paraId="7D04F7DA">
      <w:pPr>
        <w:pStyle w:val="85"/>
        <w:spacing w:before="240"/>
        <w:ind w:firstLine="540"/>
        <w:jc w:val="both"/>
        <w:rPr>
          <w:color w:val="auto"/>
          <w:sz w:val="22"/>
          <w:szCs w:val="22"/>
        </w:rPr>
      </w:pPr>
      <w:r>
        <w:rPr>
          <w:color w:val="auto"/>
          <w:sz w:val="22"/>
          <w:szCs w:val="22"/>
        </w:rPr>
        <w:t>16.4.25.7.2. При изучении модуля "Бокс" на уровне начального общего образования у обучающихся будут сформированы следующие метапредметные результаты:</w:t>
      </w:r>
    </w:p>
    <w:p w14:paraId="2F6C816D">
      <w:pPr>
        <w:pStyle w:val="85"/>
        <w:spacing w:before="240"/>
        <w:ind w:firstLine="540"/>
        <w:jc w:val="both"/>
        <w:rPr>
          <w:color w:val="auto"/>
          <w:sz w:val="22"/>
          <w:szCs w:val="22"/>
        </w:rPr>
      </w:pPr>
      <w:r>
        <w:rPr>
          <w:color w:val="auto"/>
          <w:sz w:val="22"/>
          <w:szCs w:val="22"/>
        </w:rPr>
        <w:t>умение самостоятельно определять цели своего обучения, ставить для себя новые задачи, акцентировать мотивы и развивать интересы своей познавательной деятельности в области вида спорта бокс;</w:t>
      </w:r>
    </w:p>
    <w:p w14:paraId="5A09EF65">
      <w:pPr>
        <w:pStyle w:val="85"/>
        <w:spacing w:before="240"/>
        <w:ind w:firstLine="540"/>
        <w:jc w:val="both"/>
        <w:rPr>
          <w:color w:val="auto"/>
          <w:sz w:val="22"/>
          <w:szCs w:val="22"/>
        </w:rPr>
      </w:pPr>
      <w:r>
        <w:rPr>
          <w:color w:val="auto"/>
          <w:sz w:val="22"/>
          <w:szCs w:val="22"/>
        </w:rPr>
        <w:t>умение планировать, контролировать и объективно оценивать свои физические, учебные и практические действия в соответствии с поставленной задачей и условиями ее реализации;</w:t>
      </w:r>
    </w:p>
    <w:p w14:paraId="5DDB65E3">
      <w:pPr>
        <w:pStyle w:val="85"/>
        <w:spacing w:before="240"/>
        <w:ind w:firstLine="540"/>
        <w:jc w:val="both"/>
        <w:rPr>
          <w:color w:val="auto"/>
          <w:sz w:val="22"/>
          <w:szCs w:val="22"/>
        </w:rPr>
      </w:pPr>
      <w:r>
        <w:rPr>
          <w:color w:val="auto"/>
          <w:sz w:val="22"/>
          <w:szCs w:val="22"/>
        </w:rPr>
        <w:t>умение самостоятельно оценивать уровень сложности заданий (упражнений) во время занятий боксом в соответствии с возможностями своего организма;</w:t>
      </w:r>
    </w:p>
    <w:p w14:paraId="585B7FC8">
      <w:pPr>
        <w:pStyle w:val="85"/>
        <w:spacing w:before="240"/>
        <w:ind w:firstLine="540"/>
        <w:jc w:val="both"/>
        <w:rPr>
          <w:color w:val="auto"/>
          <w:sz w:val="22"/>
          <w:szCs w:val="22"/>
        </w:rPr>
      </w:pPr>
      <w:r>
        <w:rPr>
          <w:color w:val="auto"/>
          <w:sz w:val="22"/>
          <w:szCs w:val="22"/>
        </w:rPr>
        <w:t>умение работать с партнером и в команде во время занятий боксом;</w:t>
      </w:r>
    </w:p>
    <w:p w14:paraId="5382C232">
      <w:pPr>
        <w:pStyle w:val="85"/>
        <w:spacing w:before="240"/>
        <w:ind w:firstLine="540"/>
        <w:jc w:val="both"/>
        <w:rPr>
          <w:color w:val="auto"/>
          <w:sz w:val="22"/>
          <w:szCs w:val="22"/>
        </w:rPr>
      </w:pPr>
      <w:r>
        <w:rPr>
          <w:color w:val="auto"/>
          <w:sz w:val="22"/>
          <w:szCs w:val="22"/>
        </w:rPr>
        <w:t>умение осуществлять действия по образцу и заданному правилу, находить необходимую информацию;</w:t>
      </w:r>
    </w:p>
    <w:p w14:paraId="6A14DBD4">
      <w:pPr>
        <w:pStyle w:val="85"/>
        <w:spacing w:before="240"/>
        <w:ind w:firstLine="540"/>
        <w:jc w:val="both"/>
        <w:rPr>
          <w:color w:val="auto"/>
          <w:sz w:val="22"/>
          <w:szCs w:val="22"/>
        </w:rPr>
      </w:pPr>
      <w:r>
        <w:rPr>
          <w:color w:val="auto"/>
          <w:sz w:val="22"/>
          <w:szCs w:val="22"/>
        </w:rPr>
        <w:t>умение осознавать самого себя, свою способность к преодолению препятствий и самокоррекции;</w:t>
      </w:r>
    </w:p>
    <w:p w14:paraId="4012000A">
      <w:pPr>
        <w:pStyle w:val="85"/>
        <w:spacing w:before="240"/>
        <w:ind w:firstLine="540"/>
        <w:jc w:val="both"/>
        <w:rPr>
          <w:color w:val="auto"/>
          <w:sz w:val="22"/>
          <w:szCs w:val="22"/>
        </w:rPr>
      </w:pPr>
      <w:r>
        <w:rPr>
          <w:color w:val="auto"/>
          <w:sz w:val="22"/>
          <w:szCs w:val="22"/>
        </w:rPr>
        <w:t>умение адекватно оценивать свои действия и действия партнеров;</w:t>
      </w:r>
    </w:p>
    <w:p w14:paraId="4C98EA56">
      <w:pPr>
        <w:pStyle w:val="85"/>
        <w:spacing w:before="240"/>
        <w:ind w:firstLine="540"/>
        <w:jc w:val="both"/>
        <w:rPr>
          <w:color w:val="auto"/>
          <w:sz w:val="22"/>
          <w:szCs w:val="22"/>
        </w:rPr>
      </w:pPr>
      <w:r>
        <w:rPr>
          <w:color w:val="auto"/>
          <w:sz w:val="22"/>
          <w:szCs w:val="22"/>
        </w:rPr>
        <w:t>умение организовывать совместную деятельность с учителем и сверстниками, работать индивидуально и в группе, формулировать, аргументировать и отстаивать свое мнение, соблюдать нормы информационной избирательности, этики и этикета.</w:t>
      </w:r>
    </w:p>
    <w:p w14:paraId="68D3A301">
      <w:pPr>
        <w:pStyle w:val="85"/>
        <w:spacing w:before="240"/>
        <w:ind w:firstLine="540"/>
        <w:jc w:val="both"/>
        <w:rPr>
          <w:color w:val="auto"/>
          <w:sz w:val="22"/>
          <w:szCs w:val="22"/>
        </w:rPr>
      </w:pPr>
      <w:r>
        <w:rPr>
          <w:color w:val="auto"/>
          <w:sz w:val="22"/>
          <w:szCs w:val="22"/>
        </w:rPr>
        <w:t>16.4.25.7.3. При изучении модуля "Бокс" на уровне начального общего образования у обучающихся будут сформированы следующие предметные результаты:</w:t>
      </w:r>
    </w:p>
    <w:p w14:paraId="00A321D6">
      <w:pPr>
        <w:pStyle w:val="85"/>
        <w:spacing w:before="240"/>
        <w:ind w:firstLine="540"/>
        <w:jc w:val="both"/>
        <w:rPr>
          <w:color w:val="auto"/>
          <w:sz w:val="22"/>
          <w:szCs w:val="22"/>
        </w:rPr>
      </w:pPr>
      <w:r>
        <w:rPr>
          <w:color w:val="auto"/>
          <w:sz w:val="22"/>
          <w:szCs w:val="22"/>
        </w:rPr>
        <w:t>знание истории развития бокса; теоретические основы тактики ведения боя; правил соревнований по боксу; правил пользования спортивным оборудованием, инвентарем;</w:t>
      </w:r>
    </w:p>
    <w:p w14:paraId="428D5D54">
      <w:pPr>
        <w:pStyle w:val="85"/>
        <w:spacing w:before="240"/>
        <w:ind w:firstLine="540"/>
        <w:jc w:val="both"/>
        <w:rPr>
          <w:color w:val="auto"/>
          <w:sz w:val="22"/>
          <w:szCs w:val="22"/>
        </w:rPr>
      </w:pPr>
      <w:r>
        <w:rPr>
          <w:color w:val="auto"/>
          <w:sz w:val="22"/>
          <w:szCs w:val="22"/>
        </w:rPr>
        <w:t>понимание значения занятий боксом для физического развития и здоровья; способы развития основных физических качеств боксера; терминология бокса;</w:t>
      </w:r>
    </w:p>
    <w:p w14:paraId="7834B0B1">
      <w:pPr>
        <w:pStyle w:val="85"/>
        <w:spacing w:before="240"/>
        <w:ind w:firstLine="540"/>
        <w:jc w:val="both"/>
        <w:rPr>
          <w:color w:val="auto"/>
          <w:sz w:val="22"/>
          <w:szCs w:val="22"/>
        </w:rPr>
      </w:pPr>
      <w:r>
        <w:rPr>
          <w:color w:val="auto"/>
          <w:sz w:val="22"/>
          <w:szCs w:val="22"/>
        </w:rPr>
        <w:t>умение осуществлять самоконтроль за физической нагрузкой в процессе занятий боксом, применять средства восстановления организма после физической нагрузки;</w:t>
      </w:r>
    </w:p>
    <w:p w14:paraId="296C33CF">
      <w:pPr>
        <w:pStyle w:val="85"/>
        <w:spacing w:before="240"/>
        <w:ind w:firstLine="540"/>
        <w:jc w:val="both"/>
        <w:rPr>
          <w:color w:val="auto"/>
          <w:sz w:val="22"/>
          <w:szCs w:val="22"/>
        </w:rPr>
      </w:pPr>
      <w:r>
        <w:rPr>
          <w:color w:val="auto"/>
          <w:sz w:val="22"/>
          <w:szCs w:val="22"/>
        </w:rPr>
        <w:t>умение подбирать, составлять простейшие комплексы общеразвивающих, специальных упражнений для занятий боксом; умение демонстрировать основы техники и тактики бокса;</w:t>
      </w:r>
    </w:p>
    <w:p w14:paraId="386BB2E8">
      <w:pPr>
        <w:pStyle w:val="85"/>
        <w:spacing w:before="240"/>
        <w:ind w:firstLine="540"/>
        <w:jc w:val="both"/>
        <w:rPr>
          <w:color w:val="auto"/>
          <w:sz w:val="22"/>
          <w:szCs w:val="22"/>
        </w:rPr>
      </w:pPr>
      <w:r>
        <w:rPr>
          <w:color w:val="auto"/>
          <w:sz w:val="22"/>
          <w:szCs w:val="22"/>
        </w:rPr>
        <w:t>умение использовать разнообразные формы и виды физкультурной деятельности для организации здорового образа жизни, в том числе для подготовки к сдаче норм ГТО;</w:t>
      </w:r>
    </w:p>
    <w:p w14:paraId="0D70DD1D">
      <w:pPr>
        <w:pStyle w:val="85"/>
        <w:spacing w:before="240"/>
        <w:ind w:firstLine="540"/>
        <w:jc w:val="both"/>
        <w:rPr>
          <w:color w:val="auto"/>
          <w:sz w:val="22"/>
          <w:szCs w:val="22"/>
        </w:rPr>
      </w:pPr>
      <w:r>
        <w:rPr>
          <w:color w:val="auto"/>
          <w:sz w:val="22"/>
          <w:szCs w:val="22"/>
        </w:rPr>
        <w:t>овладение способами контроля индивидуальных показателей здоровья, умственной и физической работоспособности, общего физического развития и развития физических качеств;</w:t>
      </w:r>
    </w:p>
    <w:p w14:paraId="5AB1E846">
      <w:pPr>
        <w:pStyle w:val="85"/>
        <w:spacing w:before="240"/>
        <w:ind w:firstLine="540"/>
        <w:jc w:val="both"/>
        <w:rPr>
          <w:color w:val="auto"/>
          <w:sz w:val="22"/>
          <w:szCs w:val="22"/>
        </w:rPr>
      </w:pPr>
      <w:r>
        <w:rPr>
          <w:color w:val="auto"/>
          <w:sz w:val="22"/>
          <w:szCs w:val="22"/>
        </w:rPr>
        <w:t>владение физическими упражнениями разной функциональной направленности;</w:t>
      </w:r>
    </w:p>
    <w:p w14:paraId="6EA218F3">
      <w:pPr>
        <w:pStyle w:val="85"/>
        <w:spacing w:before="240"/>
        <w:ind w:firstLine="540"/>
        <w:jc w:val="both"/>
        <w:rPr>
          <w:color w:val="auto"/>
          <w:sz w:val="22"/>
          <w:szCs w:val="22"/>
        </w:rPr>
      </w:pPr>
      <w:r>
        <w:rPr>
          <w:color w:val="auto"/>
          <w:sz w:val="22"/>
          <w:szCs w:val="22"/>
        </w:rPr>
        <w:t>владение техническими приемами и двигательными действиями базовых видов спорта с помощью их активного применения в игровой и соревновательной деятельности;</w:t>
      </w:r>
    </w:p>
    <w:p w14:paraId="1ADEE498">
      <w:pPr>
        <w:pStyle w:val="85"/>
        <w:spacing w:before="240"/>
        <w:ind w:firstLine="540"/>
        <w:jc w:val="both"/>
        <w:rPr>
          <w:color w:val="auto"/>
          <w:sz w:val="22"/>
          <w:szCs w:val="22"/>
        </w:rPr>
      </w:pPr>
      <w:r>
        <w:rPr>
          <w:color w:val="auto"/>
          <w:sz w:val="22"/>
          <w:szCs w:val="22"/>
        </w:rPr>
        <w:t>умение излагать факты истории развития физической культуры, характеризовать ее роль и значение в жизнедеятельности человека;</w:t>
      </w:r>
    </w:p>
    <w:p w14:paraId="4B633AC5">
      <w:pPr>
        <w:pStyle w:val="85"/>
        <w:spacing w:before="240"/>
        <w:ind w:firstLine="540"/>
        <w:jc w:val="both"/>
        <w:rPr>
          <w:color w:val="auto"/>
          <w:sz w:val="22"/>
          <w:szCs w:val="22"/>
        </w:rPr>
      </w:pPr>
      <w:r>
        <w:rPr>
          <w:color w:val="auto"/>
          <w:sz w:val="22"/>
          <w:szCs w:val="22"/>
        </w:rPr>
        <w:t>способность оказывать посильную помощь и моральную поддержку сверстникам при выполнении учебных заданий, доброжелательно и уважительно объяснять ошибки и способы их устранения;</w:t>
      </w:r>
    </w:p>
    <w:p w14:paraId="21B202A9">
      <w:pPr>
        <w:pStyle w:val="85"/>
        <w:spacing w:before="240"/>
        <w:ind w:firstLine="540"/>
        <w:jc w:val="both"/>
        <w:rPr>
          <w:color w:val="auto"/>
          <w:sz w:val="22"/>
          <w:szCs w:val="22"/>
        </w:rPr>
      </w:pPr>
      <w:r>
        <w:rPr>
          <w:color w:val="auto"/>
          <w:sz w:val="22"/>
          <w:szCs w:val="22"/>
        </w:rPr>
        <w:t>умение организовывать и проводить со сверстниками подвижные игры и соревнования;</w:t>
      </w:r>
    </w:p>
    <w:p w14:paraId="29E3963A">
      <w:pPr>
        <w:pStyle w:val="85"/>
        <w:spacing w:before="240"/>
        <w:ind w:firstLine="540"/>
        <w:jc w:val="both"/>
        <w:rPr>
          <w:color w:val="auto"/>
          <w:sz w:val="22"/>
          <w:szCs w:val="22"/>
        </w:rPr>
      </w:pPr>
      <w:r>
        <w:rPr>
          <w:color w:val="auto"/>
          <w:sz w:val="22"/>
          <w:szCs w:val="22"/>
        </w:rPr>
        <w:t>умение бережно обращаться с инвентарем и оборудованием, соблюдать требования техники безопасности;</w:t>
      </w:r>
    </w:p>
    <w:p w14:paraId="4B49BDA8">
      <w:pPr>
        <w:pStyle w:val="85"/>
        <w:spacing w:before="240"/>
        <w:ind w:firstLine="540"/>
        <w:jc w:val="both"/>
        <w:rPr>
          <w:color w:val="auto"/>
          <w:sz w:val="22"/>
          <w:szCs w:val="22"/>
        </w:rPr>
      </w:pPr>
      <w:r>
        <w:rPr>
          <w:color w:val="auto"/>
          <w:sz w:val="22"/>
          <w:szCs w:val="22"/>
        </w:rPr>
        <w:t>развитие навыков взаимодействия со сверстниками по правилам проведения подвижных игр и соревнований;</w:t>
      </w:r>
    </w:p>
    <w:p w14:paraId="615A239D">
      <w:pPr>
        <w:pStyle w:val="85"/>
        <w:spacing w:before="240"/>
        <w:ind w:firstLine="540"/>
        <w:jc w:val="both"/>
        <w:rPr>
          <w:color w:val="auto"/>
          <w:sz w:val="22"/>
          <w:szCs w:val="22"/>
        </w:rPr>
      </w:pPr>
      <w:r>
        <w:rPr>
          <w:color w:val="auto"/>
          <w:sz w:val="22"/>
          <w:szCs w:val="22"/>
        </w:rPr>
        <w:t>умение в доступной форме объяснять правила (технику) выполнения двигательных действий, анализировать и находить ошибки, эффективно их исправлять;</w:t>
      </w:r>
    </w:p>
    <w:p w14:paraId="07144619">
      <w:pPr>
        <w:pStyle w:val="85"/>
        <w:spacing w:before="240"/>
        <w:ind w:firstLine="540"/>
        <w:jc w:val="both"/>
        <w:rPr>
          <w:color w:val="auto"/>
          <w:sz w:val="22"/>
          <w:szCs w:val="22"/>
        </w:rPr>
      </w:pPr>
      <w:r>
        <w:rPr>
          <w:color w:val="auto"/>
          <w:sz w:val="22"/>
          <w:szCs w:val="22"/>
        </w:rPr>
        <w:t>умение подавать строевые команды, вести счет при выполнении общеразвивающих упражнений;</w:t>
      </w:r>
    </w:p>
    <w:p w14:paraId="672C2B30">
      <w:pPr>
        <w:pStyle w:val="85"/>
        <w:spacing w:before="240"/>
        <w:ind w:firstLine="540"/>
        <w:jc w:val="both"/>
        <w:rPr>
          <w:color w:val="auto"/>
          <w:sz w:val="22"/>
          <w:szCs w:val="22"/>
        </w:rPr>
      </w:pPr>
      <w:r>
        <w:rPr>
          <w:color w:val="auto"/>
          <w:sz w:val="22"/>
          <w:szCs w:val="22"/>
        </w:rPr>
        <w:t>умение находить отличительные особенности в выполнении двигательного действия разными учениками, выделять отличительные признаки и элементы;</w:t>
      </w:r>
    </w:p>
    <w:p w14:paraId="29575544">
      <w:pPr>
        <w:pStyle w:val="85"/>
        <w:spacing w:before="240"/>
        <w:ind w:firstLine="540"/>
        <w:jc w:val="both"/>
        <w:rPr>
          <w:color w:val="auto"/>
          <w:sz w:val="22"/>
          <w:szCs w:val="22"/>
        </w:rPr>
      </w:pPr>
      <w:r>
        <w:rPr>
          <w:color w:val="auto"/>
          <w:sz w:val="22"/>
          <w:szCs w:val="22"/>
        </w:rPr>
        <w:t>умение выполнять акробатические и гимнастические элементы; умение выполнять технические действия из базовых видов спорта, применять их в игровой и соревновательной деятельности;</w:t>
      </w:r>
    </w:p>
    <w:p w14:paraId="5FA95799">
      <w:pPr>
        <w:pStyle w:val="85"/>
        <w:spacing w:before="240"/>
        <w:ind w:firstLine="540"/>
        <w:jc w:val="both"/>
        <w:rPr>
          <w:color w:val="auto"/>
          <w:sz w:val="22"/>
          <w:szCs w:val="22"/>
        </w:rPr>
      </w:pPr>
      <w:r>
        <w:rPr>
          <w:color w:val="auto"/>
          <w:sz w:val="22"/>
          <w:szCs w:val="22"/>
        </w:rPr>
        <w:t>умение применять жизненно важные двигательные навыки и умения;</w:t>
      </w:r>
    </w:p>
    <w:p w14:paraId="4961EF90">
      <w:pPr>
        <w:pStyle w:val="85"/>
        <w:spacing w:before="240"/>
        <w:ind w:firstLine="540"/>
        <w:jc w:val="both"/>
        <w:rPr>
          <w:color w:val="auto"/>
          <w:sz w:val="22"/>
          <w:szCs w:val="22"/>
        </w:rPr>
      </w:pPr>
      <w:r>
        <w:rPr>
          <w:color w:val="auto"/>
          <w:sz w:val="22"/>
          <w:szCs w:val="22"/>
        </w:rPr>
        <w:t>знание и выполнение тестовых упражнений по физической подготовленности в боксе.</w:t>
      </w:r>
    </w:p>
    <w:p w14:paraId="3E450549">
      <w:pPr>
        <w:pStyle w:val="85"/>
        <w:spacing w:before="240"/>
        <w:ind w:firstLine="540"/>
        <w:jc w:val="both"/>
        <w:rPr>
          <w:color w:val="auto"/>
          <w:sz w:val="22"/>
          <w:szCs w:val="22"/>
        </w:rPr>
      </w:pPr>
      <w:r>
        <w:rPr>
          <w:color w:val="auto"/>
          <w:sz w:val="22"/>
          <w:szCs w:val="22"/>
        </w:rPr>
        <w:t>16.4.26. Модуль "Танцевальный спорт".</w:t>
      </w:r>
    </w:p>
    <w:p w14:paraId="558E3948">
      <w:pPr>
        <w:pStyle w:val="85"/>
        <w:spacing w:before="240"/>
        <w:ind w:firstLine="540"/>
        <w:jc w:val="both"/>
        <w:rPr>
          <w:color w:val="auto"/>
          <w:sz w:val="22"/>
          <w:szCs w:val="22"/>
        </w:rPr>
      </w:pPr>
      <w:r>
        <w:rPr>
          <w:color w:val="auto"/>
          <w:sz w:val="22"/>
          <w:szCs w:val="22"/>
        </w:rPr>
        <w:t>16.4.26.1. Пояснительная записка модуля "Танцевальный спорт".</w:t>
      </w:r>
    </w:p>
    <w:p w14:paraId="5E5397A7">
      <w:pPr>
        <w:pStyle w:val="85"/>
        <w:spacing w:before="240"/>
        <w:ind w:firstLine="540"/>
        <w:jc w:val="both"/>
        <w:rPr>
          <w:color w:val="auto"/>
          <w:sz w:val="22"/>
          <w:szCs w:val="22"/>
        </w:rPr>
      </w:pPr>
      <w:r>
        <w:rPr>
          <w:color w:val="auto"/>
          <w:sz w:val="22"/>
          <w:szCs w:val="22"/>
        </w:rPr>
        <w:t>Модуль "Танцевальный спорт" (далее - модуль "Танцевальный спорт", модуль по танцевальному спорту, танцевальный спорт) на уровне начального общего образования разработан с целью оказания методической помощи учителю физической культуры в создании части рабочей программы по учебному предмету "Физическая культура", направленной на формирование общих представлений о физической культуре и спорте, физической активности человека, физических качествах, жизненно важных прикладных умениях и навыках, основных физических упражнениях (игровых и спортивных) с целью достижения результатов ФГОС НОО, с учетом современных тенденций в системе образования и использования спортивно-ориентированных форм, средств и методов обучения по различным видам спорта.</w:t>
      </w:r>
    </w:p>
    <w:p w14:paraId="67FBA77F">
      <w:pPr>
        <w:pStyle w:val="85"/>
        <w:spacing w:before="240"/>
        <w:ind w:firstLine="540"/>
        <w:jc w:val="both"/>
        <w:rPr>
          <w:color w:val="auto"/>
          <w:sz w:val="22"/>
          <w:szCs w:val="22"/>
        </w:rPr>
      </w:pPr>
      <w:r>
        <w:rPr>
          <w:color w:val="auto"/>
          <w:sz w:val="22"/>
          <w:szCs w:val="22"/>
        </w:rPr>
        <w:t>Танцевальный спорт является эффективным средством развития массового спорта и пропаганды здорового образа жизни подрастающего поколения. В сочетании с другими видами физических упражнений танцевальный спорт и ее элементы могут эффективно использоваться в различных формах физического воспитания обучающихся, в том числе рекреативной и кондиционной направленности. Занятия танцевальным спортом соединяют элементы хореографии, гимнастики, танцевальных занятий, двигательную активность аэробного характера, оздоровительные виды гимнастики различной направленности.</w:t>
      </w:r>
    </w:p>
    <w:p w14:paraId="2D0B3B20">
      <w:pPr>
        <w:pStyle w:val="85"/>
        <w:spacing w:before="240"/>
        <w:ind w:firstLine="540"/>
        <w:jc w:val="both"/>
        <w:rPr>
          <w:color w:val="auto"/>
          <w:sz w:val="22"/>
          <w:szCs w:val="22"/>
        </w:rPr>
      </w:pPr>
      <w:r>
        <w:rPr>
          <w:color w:val="auto"/>
          <w:sz w:val="22"/>
          <w:szCs w:val="22"/>
        </w:rPr>
        <w:t>Применение в общеобразовательной организации методик танцевального спорта гарантирует обучающимся правильное развитие функциональных систем организма, правильную осанку, легкую походку, является отличной профилактикой сколиоза и плоскостопия, формирует у обучающихся коммуникативные навыки, морально-волевые качества, закладывает основы культуры здорового образа жизни.</w:t>
      </w:r>
    </w:p>
    <w:p w14:paraId="6BF54340">
      <w:pPr>
        <w:pStyle w:val="85"/>
        <w:spacing w:before="240"/>
        <w:ind w:firstLine="540"/>
        <w:jc w:val="both"/>
        <w:rPr>
          <w:color w:val="auto"/>
          <w:sz w:val="22"/>
          <w:szCs w:val="22"/>
        </w:rPr>
      </w:pPr>
      <w:r>
        <w:rPr>
          <w:color w:val="auto"/>
          <w:sz w:val="22"/>
          <w:szCs w:val="22"/>
        </w:rPr>
        <w:t>16.4.26.2. Целью изучения модуля "Танцевальный спорт" является формирование у обучающихся устойчивой мотивации к сохранению и укреплению собственного здоровья и положительных эмоций от занятий физической культурой, ориентация детей и молодежи на самостоятельные занятия физическими упражнениями, использование их в целях отдыха, досуга, самосовершенствования.</w:t>
      </w:r>
    </w:p>
    <w:p w14:paraId="410A5198">
      <w:pPr>
        <w:pStyle w:val="85"/>
        <w:spacing w:before="240"/>
        <w:ind w:firstLine="540"/>
        <w:jc w:val="both"/>
        <w:rPr>
          <w:color w:val="auto"/>
          <w:sz w:val="22"/>
          <w:szCs w:val="22"/>
        </w:rPr>
      </w:pPr>
      <w:r>
        <w:rPr>
          <w:color w:val="auto"/>
          <w:sz w:val="22"/>
          <w:szCs w:val="22"/>
        </w:rPr>
        <w:t>16.4.26.3. Задачами изучения модуля "Танцевальный спорт" являются:</w:t>
      </w:r>
    </w:p>
    <w:p w14:paraId="010566E8">
      <w:pPr>
        <w:pStyle w:val="85"/>
        <w:spacing w:before="240"/>
        <w:ind w:firstLine="540"/>
        <w:jc w:val="both"/>
        <w:rPr>
          <w:color w:val="auto"/>
          <w:sz w:val="22"/>
          <w:szCs w:val="22"/>
        </w:rPr>
      </w:pPr>
      <w:r>
        <w:rPr>
          <w:color w:val="auto"/>
          <w:sz w:val="22"/>
          <w:szCs w:val="22"/>
        </w:rPr>
        <w:t>формировать устойчивый интерес к занятиям физической культурой и, в частности, танцевальным спортом;</w:t>
      </w:r>
    </w:p>
    <w:p w14:paraId="00DB8F8D">
      <w:pPr>
        <w:pStyle w:val="85"/>
        <w:spacing w:before="240"/>
        <w:ind w:firstLine="540"/>
        <w:jc w:val="both"/>
        <w:rPr>
          <w:color w:val="auto"/>
          <w:sz w:val="22"/>
          <w:szCs w:val="22"/>
        </w:rPr>
      </w:pPr>
      <w:r>
        <w:rPr>
          <w:color w:val="auto"/>
          <w:sz w:val="22"/>
          <w:szCs w:val="22"/>
        </w:rPr>
        <w:t>формировать положительный эмоциональный отклик на занятия физической культурой и, в частности, танцевальным спортом; удовлетворить индивидуальные потребности обучающихся в занятиях физической культурой и спортом;</w:t>
      </w:r>
    </w:p>
    <w:p w14:paraId="6AB84228">
      <w:pPr>
        <w:pStyle w:val="85"/>
        <w:spacing w:before="240"/>
        <w:ind w:firstLine="540"/>
        <w:jc w:val="both"/>
        <w:rPr>
          <w:color w:val="auto"/>
          <w:sz w:val="22"/>
          <w:szCs w:val="22"/>
        </w:rPr>
      </w:pPr>
      <w:r>
        <w:rPr>
          <w:color w:val="auto"/>
          <w:sz w:val="22"/>
          <w:szCs w:val="22"/>
        </w:rPr>
        <w:t>получить общие теоретические знания о физической культуре и спорте;</w:t>
      </w:r>
    </w:p>
    <w:p w14:paraId="1148A064">
      <w:pPr>
        <w:pStyle w:val="85"/>
        <w:spacing w:before="240"/>
        <w:ind w:firstLine="540"/>
        <w:jc w:val="both"/>
        <w:rPr>
          <w:color w:val="auto"/>
          <w:sz w:val="22"/>
          <w:szCs w:val="22"/>
        </w:rPr>
      </w:pPr>
      <w:r>
        <w:rPr>
          <w:color w:val="auto"/>
          <w:sz w:val="22"/>
          <w:szCs w:val="22"/>
        </w:rPr>
        <w:t>сформировать двигательные умения и навыки, обогатить двигательный опыт физическими упражнениями, техническими действиями сложнокоординационной направленности и приемами танцевального спорта, закрепить навыки правильной осанки;</w:t>
      </w:r>
    </w:p>
    <w:p w14:paraId="264FC00F">
      <w:pPr>
        <w:pStyle w:val="85"/>
        <w:spacing w:before="240"/>
        <w:ind w:firstLine="540"/>
        <w:jc w:val="both"/>
        <w:rPr>
          <w:color w:val="auto"/>
          <w:sz w:val="22"/>
          <w:szCs w:val="22"/>
        </w:rPr>
      </w:pPr>
      <w:r>
        <w:rPr>
          <w:color w:val="auto"/>
          <w:sz w:val="22"/>
          <w:szCs w:val="22"/>
        </w:rPr>
        <w:t>формировать культуру движений и эстетическое восприятие, раскрыть творческий потенциал у обучающихся;</w:t>
      </w:r>
    </w:p>
    <w:p w14:paraId="6E3475FC">
      <w:pPr>
        <w:pStyle w:val="85"/>
        <w:spacing w:before="240"/>
        <w:ind w:firstLine="540"/>
        <w:jc w:val="both"/>
        <w:rPr>
          <w:color w:val="auto"/>
          <w:sz w:val="22"/>
          <w:szCs w:val="22"/>
        </w:rPr>
      </w:pPr>
      <w:r>
        <w:rPr>
          <w:color w:val="auto"/>
          <w:sz w:val="22"/>
          <w:szCs w:val="22"/>
        </w:rPr>
        <w:t>повысить уровень физической подготовленности и всестороннее гармоничное развитие физических способностей, формирование разносторонней общей и специальной физической подготовленности, соответствующей танцевальному спорту;</w:t>
      </w:r>
    </w:p>
    <w:p w14:paraId="24C91CAA">
      <w:pPr>
        <w:pStyle w:val="85"/>
        <w:spacing w:before="240"/>
        <w:ind w:firstLine="540"/>
        <w:jc w:val="both"/>
        <w:rPr>
          <w:color w:val="auto"/>
          <w:sz w:val="22"/>
          <w:szCs w:val="22"/>
        </w:rPr>
      </w:pPr>
      <w:r>
        <w:rPr>
          <w:color w:val="auto"/>
          <w:sz w:val="22"/>
          <w:szCs w:val="22"/>
        </w:rPr>
        <w:t>укрепить и сохранить здоровье, совершенствовать телосложение, в том числе воспитывать личные потребности и умения самостоятельно заниматься физическими упражнениями, сознательно применять их в целях отдыха, тренировки, повышения работоспособности и укрепления здоровья;</w:t>
      </w:r>
    </w:p>
    <w:p w14:paraId="32CB2B8C">
      <w:pPr>
        <w:pStyle w:val="85"/>
        <w:spacing w:before="240"/>
        <w:ind w:firstLine="540"/>
        <w:jc w:val="both"/>
        <w:rPr>
          <w:color w:val="auto"/>
          <w:sz w:val="22"/>
          <w:szCs w:val="22"/>
        </w:rPr>
      </w:pPr>
      <w:r>
        <w:rPr>
          <w:color w:val="auto"/>
          <w:sz w:val="22"/>
          <w:szCs w:val="22"/>
        </w:rPr>
        <w:t>популяризовать танцевальный спорт среди детей и молодежи и вовлечь большее количество обучающихся в занятия танцевальным спортом;</w:t>
      </w:r>
    </w:p>
    <w:p w14:paraId="4CDA1CEA">
      <w:pPr>
        <w:pStyle w:val="85"/>
        <w:spacing w:before="240"/>
        <w:ind w:firstLine="540"/>
        <w:jc w:val="both"/>
        <w:rPr>
          <w:color w:val="auto"/>
          <w:sz w:val="22"/>
          <w:szCs w:val="22"/>
        </w:rPr>
      </w:pPr>
      <w:r>
        <w:rPr>
          <w:color w:val="auto"/>
          <w:sz w:val="22"/>
          <w:szCs w:val="22"/>
        </w:rPr>
        <w:t>воспитать нравственные и волевые качества личности, нормы коллективного взаимодействия и сотрудничества в паре средствами танцевального спорта.</w:t>
      </w:r>
    </w:p>
    <w:p w14:paraId="7D1A974A">
      <w:pPr>
        <w:pStyle w:val="85"/>
        <w:spacing w:before="240"/>
        <w:ind w:firstLine="540"/>
        <w:jc w:val="both"/>
        <w:rPr>
          <w:color w:val="auto"/>
          <w:sz w:val="22"/>
          <w:szCs w:val="22"/>
        </w:rPr>
      </w:pPr>
      <w:r>
        <w:rPr>
          <w:color w:val="auto"/>
          <w:sz w:val="22"/>
          <w:szCs w:val="22"/>
        </w:rPr>
        <w:t>развить и сохранить положительную мотивацию и познавательный интерес к занятиям физической культурой и танцевальным спортом после обучения в школе, воспитать ценностные ориентации на здоровый образ жизни и многолетнее сохранение высокого уровня общей работоспособности.</w:t>
      </w:r>
    </w:p>
    <w:p w14:paraId="76C1ED35">
      <w:pPr>
        <w:pStyle w:val="85"/>
        <w:spacing w:before="240"/>
        <w:ind w:firstLine="540"/>
        <w:jc w:val="both"/>
        <w:rPr>
          <w:color w:val="auto"/>
          <w:sz w:val="22"/>
          <w:szCs w:val="22"/>
        </w:rPr>
      </w:pPr>
      <w:r>
        <w:rPr>
          <w:color w:val="auto"/>
          <w:sz w:val="22"/>
          <w:szCs w:val="22"/>
        </w:rPr>
        <w:t>16.4.26.4. Место и роль модуля "Танцевальный спорт".</w:t>
      </w:r>
    </w:p>
    <w:p w14:paraId="4A31227C">
      <w:pPr>
        <w:pStyle w:val="85"/>
        <w:spacing w:before="240"/>
        <w:ind w:firstLine="540"/>
        <w:jc w:val="both"/>
        <w:rPr>
          <w:color w:val="auto"/>
          <w:sz w:val="22"/>
          <w:szCs w:val="22"/>
        </w:rPr>
      </w:pPr>
      <w:r>
        <w:rPr>
          <w:color w:val="auto"/>
          <w:sz w:val="22"/>
          <w:szCs w:val="22"/>
        </w:rPr>
        <w:t>Модуль "Танцевальный спорт" доступен для освоения всем обучающимся, и обеспечивает достижение следующих результатов ФГОС НОО: сформированность общих представлений о физической культуре и спорте, физической активности человека, физических качествах, жизненно важных прикладных умениях и навыках, основных физических упражнениях (гимнастических, игровых, туристических и спортивных).</w:t>
      </w:r>
    </w:p>
    <w:p w14:paraId="220A200D">
      <w:pPr>
        <w:pStyle w:val="85"/>
        <w:spacing w:before="240"/>
        <w:ind w:firstLine="540"/>
        <w:jc w:val="both"/>
        <w:rPr>
          <w:color w:val="auto"/>
          <w:sz w:val="22"/>
          <w:szCs w:val="22"/>
        </w:rPr>
      </w:pPr>
      <w:r>
        <w:rPr>
          <w:color w:val="auto"/>
          <w:sz w:val="22"/>
          <w:szCs w:val="22"/>
        </w:rPr>
        <w:t>Программное содержание модуля "Танцевальный спорт" может быть использовано в разделах "Знания о физической культуре", "Способы самостоятельной деятельности", "Физическое совершенствование".</w:t>
      </w:r>
    </w:p>
    <w:p w14:paraId="19233132">
      <w:pPr>
        <w:pStyle w:val="85"/>
        <w:spacing w:before="240"/>
        <w:ind w:firstLine="540"/>
        <w:jc w:val="both"/>
        <w:rPr>
          <w:color w:val="auto"/>
          <w:sz w:val="22"/>
          <w:szCs w:val="22"/>
        </w:rPr>
      </w:pPr>
      <w:r>
        <w:rPr>
          <w:color w:val="auto"/>
          <w:sz w:val="22"/>
          <w:szCs w:val="22"/>
        </w:rPr>
        <w:t>Интеграция модуля по танцевальному спорту поможет обучающимся в освоении образовательных программ в рамках внеурочной деятельности, дополнительного образования, деятельности школьных спортивных клубов, подготовке обучающихся к сдаче норм ГТО и участии в спортивных соревнованиях.</w:t>
      </w:r>
    </w:p>
    <w:p w14:paraId="25E99EF4">
      <w:pPr>
        <w:pStyle w:val="85"/>
        <w:spacing w:before="240"/>
        <w:ind w:firstLine="540"/>
        <w:jc w:val="both"/>
        <w:rPr>
          <w:color w:val="auto"/>
          <w:sz w:val="22"/>
          <w:szCs w:val="22"/>
        </w:rPr>
      </w:pPr>
      <w:r>
        <w:rPr>
          <w:color w:val="auto"/>
          <w:sz w:val="22"/>
          <w:szCs w:val="22"/>
        </w:rPr>
        <w:t>16.4.26.5. Модуль "Танцевальный спорт" может быть реализован в следующих вариантах:</w:t>
      </w:r>
    </w:p>
    <w:p w14:paraId="57FBA733">
      <w:pPr>
        <w:pStyle w:val="85"/>
        <w:spacing w:before="240"/>
        <w:ind w:firstLine="540"/>
        <w:jc w:val="both"/>
        <w:rPr>
          <w:color w:val="auto"/>
          <w:sz w:val="22"/>
          <w:szCs w:val="22"/>
        </w:rPr>
      </w:pPr>
      <w:r>
        <w:rPr>
          <w:color w:val="auto"/>
          <w:sz w:val="22"/>
          <w:szCs w:val="22"/>
        </w:rPr>
        <w:t>при самостоятельном планировании учителем физической культуры процесса освоения обучающимися учебного материала по танцевальному спорту с выбором различных элементов специальных физических упражнений, игр и (или) элементов игры, с учетом возраста и физической подготовленности обучающихся (с соответствующей дозировкой и интенсивностью);</w:t>
      </w:r>
    </w:p>
    <w:p w14:paraId="6C26F01A">
      <w:pPr>
        <w:pStyle w:val="85"/>
        <w:spacing w:before="240"/>
        <w:ind w:firstLine="540"/>
        <w:jc w:val="both"/>
        <w:rPr>
          <w:color w:val="auto"/>
          <w:sz w:val="22"/>
          <w:szCs w:val="22"/>
        </w:rPr>
      </w:pPr>
      <w:r>
        <w:rPr>
          <w:color w:val="auto"/>
          <w:sz w:val="22"/>
          <w:szCs w:val="22"/>
        </w:rPr>
        <w:t>в виде дополнительных часов, выделяемых на спортивно-оздоровительную работу с обучающимися в рамках внеурочной деятельности и (или) за счет посещения обучающимися спортивных секций школьных спортивных клубов (рекомендуемый объем в 1 классе - 33 часа, во 2 - 4 классах - по 34 часа).</w:t>
      </w:r>
    </w:p>
    <w:p w14:paraId="295ADF49">
      <w:pPr>
        <w:pStyle w:val="85"/>
        <w:spacing w:before="240"/>
        <w:ind w:firstLine="540"/>
        <w:jc w:val="both"/>
        <w:rPr>
          <w:color w:val="auto"/>
          <w:sz w:val="22"/>
          <w:szCs w:val="22"/>
        </w:rPr>
      </w:pPr>
      <w:r>
        <w:rPr>
          <w:color w:val="auto"/>
          <w:sz w:val="22"/>
          <w:szCs w:val="22"/>
        </w:rPr>
        <w:t>16.4.26.6. Содержание модуля "Танцевальный спорт".</w:t>
      </w:r>
    </w:p>
    <w:p w14:paraId="0EEF83DD">
      <w:pPr>
        <w:pStyle w:val="85"/>
        <w:spacing w:before="240"/>
        <w:ind w:firstLine="540"/>
        <w:jc w:val="both"/>
        <w:rPr>
          <w:color w:val="auto"/>
          <w:sz w:val="22"/>
          <w:szCs w:val="22"/>
        </w:rPr>
      </w:pPr>
      <w:r>
        <w:rPr>
          <w:color w:val="auto"/>
          <w:sz w:val="22"/>
          <w:szCs w:val="22"/>
        </w:rPr>
        <w:t>1) Знания о танцевальном спорте.</w:t>
      </w:r>
    </w:p>
    <w:p w14:paraId="0FE2D259">
      <w:pPr>
        <w:pStyle w:val="85"/>
        <w:spacing w:before="240"/>
        <w:ind w:firstLine="540"/>
        <w:jc w:val="both"/>
        <w:rPr>
          <w:color w:val="auto"/>
          <w:sz w:val="22"/>
          <w:szCs w:val="22"/>
        </w:rPr>
      </w:pPr>
      <w:r>
        <w:rPr>
          <w:color w:val="auto"/>
          <w:sz w:val="22"/>
          <w:szCs w:val="22"/>
        </w:rPr>
        <w:t>Роль и значение занятий танцевальным спортом как средства укрепления здоровья, закаливания и развития физических качеств человека.</w:t>
      </w:r>
    </w:p>
    <w:p w14:paraId="592A3200">
      <w:pPr>
        <w:pStyle w:val="85"/>
        <w:spacing w:before="240"/>
        <w:ind w:firstLine="540"/>
        <w:jc w:val="both"/>
        <w:rPr>
          <w:color w:val="auto"/>
          <w:sz w:val="22"/>
          <w:szCs w:val="22"/>
        </w:rPr>
      </w:pPr>
      <w:r>
        <w:rPr>
          <w:color w:val="auto"/>
          <w:sz w:val="22"/>
          <w:szCs w:val="22"/>
        </w:rPr>
        <w:t>Требования безопасности при организации занятий танцевальным спортом в хореографическом зале. Воспитание морально-волевых качеств во время занятий танцевальным спортом.</w:t>
      </w:r>
    </w:p>
    <w:p w14:paraId="233CDAC1">
      <w:pPr>
        <w:pStyle w:val="85"/>
        <w:spacing w:before="240"/>
        <w:ind w:firstLine="540"/>
        <w:jc w:val="both"/>
        <w:rPr>
          <w:color w:val="auto"/>
          <w:sz w:val="22"/>
          <w:szCs w:val="22"/>
        </w:rPr>
      </w:pPr>
      <w:r>
        <w:rPr>
          <w:color w:val="auto"/>
          <w:sz w:val="22"/>
          <w:szCs w:val="22"/>
        </w:rPr>
        <w:t>Основные принципы исполнения танцев европейской (медленный вальс, квикстеп) и латиноамериканской (ча-ча-ча, джайв) программ танцевального спорта. Базовые фигуры танцев европейской и латиноамериканской программ.</w:t>
      </w:r>
    </w:p>
    <w:p w14:paraId="36C57462">
      <w:pPr>
        <w:pStyle w:val="85"/>
        <w:spacing w:before="240"/>
        <w:ind w:firstLine="540"/>
        <w:jc w:val="both"/>
        <w:rPr>
          <w:color w:val="auto"/>
          <w:sz w:val="22"/>
          <w:szCs w:val="22"/>
        </w:rPr>
      </w:pPr>
      <w:r>
        <w:rPr>
          <w:color w:val="auto"/>
          <w:sz w:val="22"/>
          <w:szCs w:val="22"/>
        </w:rPr>
        <w:t>Основы знаний музыкальной грамоты (понятия: музыкальный квадрат, музыкальная фраза).</w:t>
      </w:r>
    </w:p>
    <w:p w14:paraId="3F4FA5E0">
      <w:pPr>
        <w:pStyle w:val="85"/>
        <w:spacing w:before="240"/>
        <w:ind w:firstLine="540"/>
        <w:jc w:val="both"/>
        <w:rPr>
          <w:color w:val="auto"/>
          <w:sz w:val="22"/>
          <w:szCs w:val="22"/>
        </w:rPr>
      </w:pPr>
      <w:r>
        <w:rPr>
          <w:color w:val="auto"/>
          <w:sz w:val="22"/>
          <w:szCs w:val="22"/>
        </w:rPr>
        <w:t>2) Способы самостоятельной деятельности.</w:t>
      </w:r>
    </w:p>
    <w:p w14:paraId="2F457284">
      <w:pPr>
        <w:pStyle w:val="85"/>
        <w:spacing w:before="240"/>
        <w:ind w:firstLine="540"/>
        <w:jc w:val="both"/>
        <w:rPr>
          <w:color w:val="auto"/>
          <w:sz w:val="22"/>
          <w:szCs w:val="22"/>
        </w:rPr>
      </w:pPr>
      <w:r>
        <w:rPr>
          <w:color w:val="auto"/>
          <w:sz w:val="22"/>
          <w:szCs w:val="22"/>
        </w:rPr>
        <w:t>Выбор одежды и обуви для занятий танцевальным спортом.</w:t>
      </w:r>
    </w:p>
    <w:p w14:paraId="220C7D56">
      <w:pPr>
        <w:pStyle w:val="85"/>
        <w:spacing w:before="240"/>
        <w:ind w:firstLine="540"/>
        <w:jc w:val="both"/>
        <w:rPr>
          <w:color w:val="auto"/>
          <w:sz w:val="22"/>
          <w:szCs w:val="22"/>
        </w:rPr>
      </w:pPr>
      <w:r>
        <w:rPr>
          <w:color w:val="auto"/>
          <w:sz w:val="22"/>
          <w:szCs w:val="22"/>
        </w:rPr>
        <w:t>Подбор базовых фигур европейской (медленный вальс, квикстеп) и латиноамериканской (ча-ча-ча, джайв) программ танцевального спорта, определение последовательности их выполнения.</w:t>
      </w:r>
    </w:p>
    <w:p w14:paraId="3C2A8205">
      <w:pPr>
        <w:pStyle w:val="85"/>
        <w:spacing w:before="240"/>
        <w:ind w:firstLine="540"/>
        <w:jc w:val="both"/>
        <w:rPr>
          <w:color w:val="auto"/>
          <w:sz w:val="22"/>
          <w:szCs w:val="22"/>
        </w:rPr>
      </w:pPr>
      <w:r>
        <w:rPr>
          <w:color w:val="auto"/>
          <w:sz w:val="22"/>
          <w:szCs w:val="22"/>
        </w:rPr>
        <w:t>3) Физическое совершенствование.</w:t>
      </w:r>
    </w:p>
    <w:p w14:paraId="6878B0E6">
      <w:pPr>
        <w:pStyle w:val="85"/>
        <w:spacing w:before="240"/>
        <w:ind w:firstLine="540"/>
        <w:jc w:val="both"/>
        <w:rPr>
          <w:color w:val="auto"/>
          <w:sz w:val="22"/>
          <w:szCs w:val="22"/>
        </w:rPr>
      </w:pPr>
      <w:r>
        <w:rPr>
          <w:color w:val="auto"/>
          <w:sz w:val="22"/>
          <w:szCs w:val="22"/>
        </w:rPr>
        <w:t>Комплексы общеразвивающих и корригирующих упражнений.</w:t>
      </w:r>
    </w:p>
    <w:p w14:paraId="097CD3F2">
      <w:pPr>
        <w:pStyle w:val="85"/>
        <w:spacing w:before="240"/>
        <w:ind w:firstLine="540"/>
        <w:jc w:val="both"/>
        <w:rPr>
          <w:color w:val="auto"/>
          <w:sz w:val="22"/>
          <w:szCs w:val="22"/>
        </w:rPr>
      </w:pPr>
      <w:r>
        <w:rPr>
          <w:color w:val="auto"/>
          <w:sz w:val="22"/>
          <w:szCs w:val="22"/>
        </w:rPr>
        <w:t>Комплексы упражнений для развития физических качеств (гибкости, силы, выносливости, быстроты и координации).</w:t>
      </w:r>
    </w:p>
    <w:p w14:paraId="6A8CB565">
      <w:pPr>
        <w:pStyle w:val="85"/>
        <w:spacing w:before="240"/>
        <w:ind w:firstLine="540"/>
        <w:jc w:val="both"/>
        <w:rPr>
          <w:color w:val="auto"/>
          <w:sz w:val="22"/>
          <w:szCs w:val="22"/>
        </w:rPr>
      </w:pPr>
      <w:r>
        <w:rPr>
          <w:color w:val="auto"/>
          <w:sz w:val="22"/>
          <w:szCs w:val="22"/>
        </w:rPr>
        <w:t>Изучение техники двигательных действий (элементов) танцевального спорта, акробатических упражнений, изученные на уровне начального общего образования.</w:t>
      </w:r>
    </w:p>
    <w:p w14:paraId="35132E13">
      <w:pPr>
        <w:pStyle w:val="85"/>
        <w:spacing w:before="240"/>
        <w:ind w:firstLine="540"/>
        <w:jc w:val="both"/>
        <w:rPr>
          <w:color w:val="auto"/>
          <w:sz w:val="22"/>
          <w:szCs w:val="22"/>
        </w:rPr>
      </w:pPr>
      <w:r>
        <w:rPr>
          <w:color w:val="auto"/>
          <w:sz w:val="22"/>
          <w:szCs w:val="22"/>
        </w:rPr>
        <w:t>Европейская программа танцевального спорта: базовые фигуры танцев европейской программы (медленный вальс, квикстеп); сочетание элементов и танцевальных фигур без музыкального сопровождения и с ним, индивидуально и в паре; выполнение комбинаций танцев европейской программы.</w:t>
      </w:r>
    </w:p>
    <w:p w14:paraId="386A37D2">
      <w:pPr>
        <w:pStyle w:val="85"/>
        <w:spacing w:before="240"/>
        <w:ind w:firstLine="540"/>
        <w:jc w:val="both"/>
        <w:rPr>
          <w:color w:val="auto"/>
          <w:sz w:val="22"/>
          <w:szCs w:val="22"/>
        </w:rPr>
      </w:pPr>
      <w:r>
        <w:rPr>
          <w:color w:val="auto"/>
          <w:sz w:val="22"/>
          <w:szCs w:val="22"/>
        </w:rPr>
        <w:t>Латиноамериканская программа танцевального спорта: базовые фигуры танцев латиноамериканской программы (ча-ча-ча, джайв); сочетание элементов и танцевальных фигур без музыкального сопровождения и с ним, индивидуально и в паре; выполнение комбинаций танцев латиноамериканской программы.</w:t>
      </w:r>
    </w:p>
    <w:p w14:paraId="408C7E38">
      <w:pPr>
        <w:pStyle w:val="85"/>
        <w:spacing w:before="240"/>
        <w:ind w:firstLine="540"/>
        <w:jc w:val="both"/>
        <w:rPr>
          <w:color w:val="auto"/>
          <w:sz w:val="22"/>
          <w:szCs w:val="22"/>
        </w:rPr>
      </w:pPr>
      <w:r>
        <w:rPr>
          <w:color w:val="auto"/>
          <w:sz w:val="22"/>
          <w:szCs w:val="22"/>
        </w:rPr>
        <w:t>Хореографическая и музыкальная подготовка: базовые упражнения классического экзерсиса; воспитание эмоциональности и красоты движений; воспитание музыкального слуха, чувства ритма, понимания взаимосвязи музыки и движений; основы музыкальной грамоты (музыкальный размер, понятие "Музыкальный квадрат").</w:t>
      </w:r>
    </w:p>
    <w:p w14:paraId="126AEBE6">
      <w:pPr>
        <w:pStyle w:val="85"/>
        <w:spacing w:before="240"/>
        <w:ind w:firstLine="540"/>
        <w:jc w:val="both"/>
        <w:rPr>
          <w:color w:val="auto"/>
          <w:sz w:val="22"/>
          <w:szCs w:val="22"/>
        </w:rPr>
      </w:pPr>
      <w:r>
        <w:rPr>
          <w:color w:val="auto"/>
          <w:sz w:val="22"/>
          <w:szCs w:val="22"/>
        </w:rPr>
        <w:t>16.4.26.7. Содержание модуля "Танцевальный спорт" направлено на достижение обучающимися личностных, метапредметных и предметных результатов обучения.</w:t>
      </w:r>
    </w:p>
    <w:p w14:paraId="38A143EF">
      <w:pPr>
        <w:pStyle w:val="85"/>
        <w:spacing w:before="240"/>
        <w:ind w:firstLine="540"/>
        <w:jc w:val="both"/>
        <w:rPr>
          <w:color w:val="auto"/>
          <w:sz w:val="22"/>
          <w:szCs w:val="22"/>
        </w:rPr>
      </w:pPr>
      <w:r>
        <w:rPr>
          <w:color w:val="auto"/>
          <w:sz w:val="22"/>
          <w:szCs w:val="22"/>
        </w:rPr>
        <w:t>16.4.26.7.1. При изучении модуля "Танцевальный спорт" на уровне начального общего образования у обучающихся будут сформированы следующие личностные результаты:</w:t>
      </w:r>
    </w:p>
    <w:p w14:paraId="5C4A7451">
      <w:pPr>
        <w:pStyle w:val="85"/>
        <w:spacing w:before="240"/>
        <w:ind w:firstLine="540"/>
        <w:jc w:val="both"/>
        <w:rPr>
          <w:color w:val="auto"/>
          <w:sz w:val="22"/>
          <w:szCs w:val="22"/>
        </w:rPr>
      </w:pPr>
      <w:r>
        <w:rPr>
          <w:color w:val="auto"/>
          <w:sz w:val="22"/>
          <w:szCs w:val="22"/>
        </w:rPr>
        <w:t>воспитание патриотизма, уважения к Отечеству через знание современного состояния развития танцевального спорта;</w:t>
      </w:r>
    </w:p>
    <w:p w14:paraId="3BC29DAC">
      <w:pPr>
        <w:pStyle w:val="85"/>
        <w:spacing w:before="240"/>
        <w:ind w:firstLine="540"/>
        <w:jc w:val="both"/>
        <w:rPr>
          <w:color w:val="auto"/>
          <w:sz w:val="22"/>
          <w:szCs w:val="22"/>
        </w:rPr>
      </w:pPr>
      <w:r>
        <w:rPr>
          <w:color w:val="auto"/>
          <w:sz w:val="22"/>
          <w:szCs w:val="22"/>
        </w:rPr>
        <w:t>проявление уважительного отношения к сверстникам, культуры общения и взаимодействия в паре и команде, терпимости в достижении общих целей при совместной деятельности на принципах доброжелательности и взаимопомощи;</w:t>
      </w:r>
    </w:p>
    <w:p w14:paraId="663D1AAE">
      <w:pPr>
        <w:pStyle w:val="85"/>
        <w:spacing w:before="240"/>
        <w:ind w:firstLine="540"/>
        <w:jc w:val="both"/>
        <w:rPr>
          <w:color w:val="auto"/>
          <w:sz w:val="22"/>
          <w:szCs w:val="22"/>
        </w:rPr>
      </w:pPr>
      <w:r>
        <w:rPr>
          <w:color w:val="auto"/>
          <w:sz w:val="22"/>
          <w:szCs w:val="22"/>
        </w:rPr>
        <w:t>умение содержать в порядке спортивный инвентарь и оборудование, спортивную одежду, осуществлять их подготовку к занятиям;</w:t>
      </w:r>
    </w:p>
    <w:p w14:paraId="63F3B76F">
      <w:pPr>
        <w:pStyle w:val="85"/>
        <w:spacing w:before="240"/>
        <w:ind w:firstLine="540"/>
        <w:jc w:val="both"/>
        <w:rPr>
          <w:color w:val="auto"/>
          <w:sz w:val="22"/>
          <w:szCs w:val="22"/>
        </w:rPr>
      </w:pPr>
      <w:r>
        <w:rPr>
          <w:color w:val="auto"/>
          <w:sz w:val="22"/>
          <w:szCs w:val="22"/>
        </w:rPr>
        <w:t>понимание установки на безопасный, здоровый образ жизни;</w:t>
      </w:r>
    </w:p>
    <w:p w14:paraId="4B4F084A">
      <w:pPr>
        <w:pStyle w:val="85"/>
        <w:spacing w:before="240"/>
        <w:ind w:firstLine="540"/>
        <w:jc w:val="both"/>
        <w:rPr>
          <w:color w:val="auto"/>
          <w:sz w:val="22"/>
          <w:szCs w:val="22"/>
        </w:rPr>
      </w:pPr>
      <w:r>
        <w:rPr>
          <w:color w:val="auto"/>
          <w:sz w:val="22"/>
          <w:szCs w:val="22"/>
        </w:rPr>
        <w:t>наличие мотивации к творческому труду.</w:t>
      </w:r>
    </w:p>
    <w:p w14:paraId="3892C104">
      <w:pPr>
        <w:pStyle w:val="85"/>
        <w:spacing w:before="240"/>
        <w:ind w:firstLine="540"/>
        <w:jc w:val="both"/>
        <w:rPr>
          <w:color w:val="auto"/>
          <w:sz w:val="22"/>
          <w:szCs w:val="22"/>
        </w:rPr>
      </w:pPr>
      <w:r>
        <w:rPr>
          <w:color w:val="auto"/>
          <w:sz w:val="22"/>
          <w:szCs w:val="22"/>
        </w:rPr>
        <w:t>16.4.26.7.2. При изучении модуля "Танцевальный спорт" на уровне начального общего образования у обучающихся будут сформированы следующие метапредметные результаты:</w:t>
      </w:r>
    </w:p>
    <w:p w14:paraId="49077D84">
      <w:pPr>
        <w:pStyle w:val="85"/>
        <w:spacing w:before="240"/>
        <w:ind w:firstLine="540"/>
        <w:jc w:val="both"/>
        <w:rPr>
          <w:color w:val="auto"/>
          <w:sz w:val="22"/>
          <w:szCs w:val="22"/>
        </w:rPr>
      </w:pPr>
      <w:r>
        <w:rPr>
          <w:color w:val="auto"/>
          <w:sz w:val="22"/>
          <w:szCs w:val="22"/>
        </w:rPr>
        <w:t>умение вести дискуссию, обсуждать содержание и результаты совместной деятельности, формулировать, аргументировать и отстаивать свое мнение;</w:t>
      </w:r>
    </w:p>
    <w:p w14:paraId="4FDEFB58">
      <w:pPr>
        <w:pStyle w:val="85"/>
        <w:spacing w:before="240"/>
        <w:ind w:firstLine="540"/>
        <w:jc w:val="both"/>
        <w:rPr>
          <w:color w:val="auto"/>
          <w:sz w:val="22"/>
          <w:szCs w:val="22"/>
        </w:rPr>
      </w:pPr>
      <w:r>
        <w:rPr>
          <w:color w:val="auto"/>
          <w:sz w:val="22"/>
          <w:szCs w:val="22"/>
        </w:rPr>
        <w:t>способность выделять и обосновывать эстетические признаки в физических упражнениях, двигательных действиях;</w:t>
      </w:r>
    </w:p>
    <w:p w14:paraId="046DDA2F">
      <w:pPr>
        <w:pStyle w:val="85"/>
        <w:spacing w:before="240"/>
        <w:ind w:firstLine="540"/>
        <w:jc w:val="both"/>
        <w:rPr>
          <w:color w:val="auto"/>
          <w:sz w:val="22"/>
          <w:szCs w:val="22"/>
        </w:rPr>
      </w:pPr>
      <w:r>
        <w:rPr>
          <w:color w:val="auto"/>
          <w:sz w:val="22"/>
          <w:szCs w:val="22"/>
        </w:rPr>
        <w:t>способность оценивать красоту движения и осанки.</w:t>
      </w:r>
    </w:p>
    <w:p w14:paraId="313E32FB">
      <w:pPr>
        <w:pStyle w:val="85"/>
        <w:spacing w:before="240"/>
        <w:ind w:firstLine="540"/>
        <w:jc w:val="both"/>
        <w:rPr>
          <w:color w:val="auto"/>
          <w:sz w:val="22"/>
          <w:szCs w:val="22"/>
        </w:rPr>
      </w:pPr>
      <w:r>
        <w:rPr>
          <w:color w:val="auto"/>
          <w:sz w:val="22"/>
          <w:szCs w:val="22"/>
        </w:rPr>
        <w:t>16.4.26.7.3. При изучении модуля "Танцевальный спорт" на уровне начального общего образования у обучающихся будут сформированы следующие предметные результаты:</w:t>
      </w:r>
    </w:p>
    <w:p w14:paraId="3C9CB68B">
      <w:pPr>
        <w:pStyle w:val="85"/>
        <w:spacing w:before="240"/>
        <w:ind w:firstLine="540"/>
        <w:jc w:val="both"/>
        <w:rPr>
          <w:color w:val="auto"/>
          <w:sz w:val="22"/>
          <w:szCs w:val="22"/>
        </w:rPr>
      </w:pPr>
      <w:r>
        <w:rPr>
          <w:color w:val="auto"/>
          <w:sz w:val="22"/>
          <w:szCs w:val="22"/>
        </w:rPr>
        <w:t>навыки безопасного поведения во время занятий танцевальным спортом, правил личной гигиены, требований к спортивной одежде и обуви, спортивному инвентарю для занятий танцевальным спортом;</w:t>
      </w:r>
    </w:p>
    <w:p w14:paraId="0AD05B7B">
      <w:pPr>
        <w:pStyle w:val="85"/>
        <w:spacing w:before="240"/>
        <w:ind w:firstLine="540"/>
        <w:jc w:val="both"/>
        <w:rPr>
          <w:color w:val="auto"/>
          <w:sz w:val="22"/>
          <w:szCs w:val="22"/>
        </w:rPr>
      </w:pPr>
      <w:r>
        <w:rPr>
          <w:color w:val="auto"/>
          <w:sz w:val="22"/>
          <w:szCs w:val="22"/>
        </w:rPr>
        <w:t>навыки систематического наблюдения за своим физическим состоянием, величиной физических нагрузок, показателями физического развития и основных физических качеств;</w:t>
      </w:r>
    </w:p>
    <w:p w14:paraId="0E5A01C0">
      <w:pPr>
        <w:pStyle w:val="85"/>
        <w:spacing w:before="240"/>
        <w:ind w:firstLine="540"/>
        <w:jc w:val="both"/>
        <w:rPr>
          <w:color w:val="auto"/>
          <w:sz w:val="22"/>
          <w:szCs w:val="22"/>
        </w:rPr>
      </w:pPr>
      <w:r>
        <w:rPr>
          <w:color w:val="auto"/>
          <w:sz w:val="22"/>
          <w:szCs w:val="22"/>
        </w:rPr>
        <w:t>способность анализировать технику выполнения упражнений танцевального спорта и находить способы устранения ошибок;</w:t>
      </w:r>
    </w:p>
    <w:p w14:paraId="0A64E4DA">
      <w:pPr>
        <w:pStyle w:val="85"/>
        <w:spacing w:before="240"/>
        <w:ind w:firstLine="540"/>
        <w:jc w:val="both"/>
        <w:rPr>
          <w:color w:val="auto"/>
          <w:sz w:val="22"/>
          <w:szCs w:val="22"/>
        </w:rPr>
      </w:pPr>
      <w:r>
        <w:rPr>
          <w:color w:val="auto"/>
          <w:sz w:val="22"/>
          <w:szCs w:val="22"/>
        </w:rPr>
        <w:t>знание основных принципов исполнения базовых фигур танцев европейской (медленный вальс, квикстеп) и латиноамериканской (ча-ча-ча, джайв) программ танцевального спорта;</w:t>
      </w:r>
    </w:p>
    <w:p w14:paraId="3AB08A0A">
      <w:pPr>
        <w:pStyle w:val="85"/>
        <w:spacing w:before="240"/>
        <w:ind w:firstLine="540"/>
        <w:jc w:val="both"/>
        <w:rPr>
          <w:color w:val="auto"/>
          <w:sz w:val="22"/>
          <w:szCs w:val="22"/>
        </w:rPr>
      </w:pPr>
      <w:r>
        <w:rPr>
          <w:color w:val="auto"/>
          <w:sz w:val="22"/>
          <w:szCs w:val="22"/>
        </w:rPr>
        <w:t>навык исполнения базовых элементов и фигур танцев европейской и латиноамериканской программ танцевального спорта;</w:t>
      </w:r>
    </w:p>
    <w:p w14:paraId="33854B58">
      <w:pPr>
        <w:pStyle w:val="85"/>
        <w:spacing w:before="240"/>
        <w:ind w:firstLine="540"/>
        <w:jc w:val="both"/>
        <w:rPr>
          <w:color w:val="auto"/>
          <w:sz w:val="22"/>
          <w:szCs w:val="22"/>
        </w:rPr>
      </w:pPr>
      <w:r>
        <w:rPr>
          <w:color w:val="auto"/>
          <w:sz w:val="22"/>
          <w:szCs w:val="22"/>
        </w:rPr>
        <w:t>знание последовательности выполнения упражнений танцевального спорта;</w:t>
      </w:r>
    </w:p>
    <w:p w14:paraId="383484D6">
      <w:pPr>
        <w:pStyle w:val="85"/>
        <w:spacing w:before="240"/>
        <w:ind w:firstLine="540"/>
        <w:jc w:val="both"/>
        <w:rPr>
          <w:color w:val="auto"/>
          <w:sz w:val="22"/>
          <w:szCs w:val="22"/>
        </w:rPr>
      </w:pPr>
      <w:r>
        <w:rPr>
          <w:color w:val="auto"/>
          <w:sz w:val="22"/>
          <w:szCs w:val="22"/>
        </w:rPr>
        <w:t>умение сочетать фигуры и элементы европейской и латиноамериканской программ, основные движения при составлении комплекса танцевального спорта;</w:t>
      </w:r>
    </w:p>
    <w:p w14:paraId="210F18F8">
      <w:pPr>
        <w:pStyle w:val="85"/>
        <w:spacing w:before="240"/>
        <w:ind w:firstLine="540"/>
        <w:jc w:val="both"/>
        <w:rPr>
          <w:color w:val="auto"/>
          <w:sz w:val="22"/>
          <w:szCs w:val="22"/>
        </w:rPr>
      </w:pPr>
      <w:r>
        <w:rPr>
          <w:color w:val="auto"/>
          <w:sz w:val="22"/>
          <w:szCs w:val="22"/>
        </w:rPr>
        <w:t>умение выполнять танцевальные комбинации на 8 - 16 - 32 счета танцевального спорта, с музыкальным сопровождением и без него;</w:t>
      </w:r>
    </w:p>
    <w:p w14:paraId="259F22AA">
      <w:pPr>
        <w:pStyle w:val="85"/>
        <w:spacing w:before="240"/>
        <w:ind w:firstLine="540"/>
        <w:jc w:val="both"/>
        <w:rPr>
          <w:color w:val="auto"/>
          <w:sz w:val="22"/>
          <w:szCs w:val="22"/>
        </w:rPr>
      </w:pPr>
      <w:r>
        <w:rPr>
          <w:color w:val="auto"/>
          <w:sz w:val="22"/>
          <w:szCs w:val="22"/>
        </w:rPr>
        <w:t>знание основ музыкальной грамоты (понятия: музыкальный квадрат, музыкальная фраза), формирование чувства ритма, понимание взаимосвязи музыки и движений;</w:t>
      </w:r>
    </w:p>
    <w:p w14:paraId="71628EC2">
      <w:pPr>
        <w:pStyle w:val="85"/>
        <w:spacing w:before="240"/>
        <w:ind w:firstLine="540"/>
        <w:jc w:val="both"/>
        <w:rPr>
          <w:color w:val="auto"/>
          <w:sz w:val="22"/>
          <w:szCs w:val="22"/>
        </w:rPr>
      </w:pPr>
      <w:r>
        <w:rPr>
          <w:color w:val="auto"/>
          <w:sz w:val="22"/>
          <w:szCs w:val="22"/>
        </w:rPr>
        <w:t>владение терминологией из основных видов танцевального спорта и конкретные разучиваемые простые упражнения этих видов, их функциональный смысл и направленность действий.</w:t>
      </w:r>
    </w:p>
    <w:p w14:paraId="7A716928">
      <w:pPr>
        <w:pStyle w:val="85"/>
        <w:spacing w:before="240"/>
        <w:ind w:firstLine="540"/>
        <w:jc w:val="both"/>
        <w:rPr>
          <w:color w:val="auto"/>
          <w:sz w:val="22"/>
          <w:szCs w:val="22"/>
        </w:rPr>
      </w:pPr>
      <w:r>
        <w:rPr>
          <w:color w:val="auto"/>
          <w:sz w:val="22"/>
          <w:szCs w:val="22"/>
        </w:rPr>
        <w:t>16.4.27. Модуль "Киокусинкай".</w:t>
      </w:r>
    </w:p>
    <w:p w14:paraId="09EDD342">
      <w:pPr>
        <w:pStyle w:val="85"/>
        <w:spacing w:before="240"/>
        <w:ind w:firstLine="540"/>
        <w:jc w:val="both"/>
        <w:rPr>
          <w:color w:val="auto"/>
          <w:sz w:val="22"/>
          <w:szCs w:val="22"/>
        </w:rPr>
      </w:pPr>
      <w:r>
        <w:rPr>
          <w:color w:val="auto"/>
          <w:sz w:val="22"/>
          <w:szCs w:val="22"/>
        </w:rPr>
        <w:t>16.4.27.1. Пояснительная записка модуля "Киокусинкай".</w:t>
      </w:r>
    </w:p>
    <w:p w14:paraId="48C19831">
      <w:pPr>
        <w:pStyle w:val="85"/>
        <w:spacing w:before="240"/>
        <w:ind w:firstLine="540"/>
        <w:jc w:val="both"/>
        <w:rPr>
          <w:color w:val="auto"/>
          <w:sz w:val="22"/>
          <w:szCs w:val="22"/>
        </w:rPr>
      </w:pPr>
      <w:r>
        <w:rPr>
          <w:color w:val="auto"/>
          <w:sz w:val="22"/>
          <w:szCs w:val="22"/>
        </w:rPr>
        <w:t>Модуль "Киокусинкай" (далее - модуль "Киокусинкай", модуль киокусинкай, киокусинкай) на уровне начального общего образования разработан с целью оказания методической помощи учителю физической культуры в создании части рабочей программы по учебному предмету "Физическая культура", направленной на формирование общих представлений о физической культуре и спорте, физической активности человека, физических качествах, жизненно важных прикладных умениях и навыках, основных физических упражнениях (игровых и спортивных) с целью достижения результатов ФГОС НОО, с учетом современных тенденций в системе образования и использования спортивно-ориентированных форм, средств и методов обучения по различным видам спорта.</w:t>
      </w:r>
    </w:p>
    <w:p w14:paraId="2076A98E">
      <w:pPr>
        <w:pStyle w:val="85"/>
        <w:spacing w:before="240"/>
        <w:ind w:firstLine="540"/>
        <w:jc w:val="both"/>
        <w:rPr>
          <w:color w:val="auto"/>
          <w:sz w:val="22"/>
          <w:szCs w:val="22"/>
        </w:rPr>
      </w:pPr>
      <w:r>
        <w:rPr>
          <w:color w:val="auto"/>
          <w:sz w:val="22"/>
          <w:szCs w:val="22"/>
        </w:rPr>
        <w:t>Киокусинкай является одним из наиболее известных и распространенных в мире стилей каратэ. Своеобразие киокусинкай заключается в воспитании целеустремленных, физически здоровых и сильных, духовно развитых людей.</w:t>
      </w:r>
    </w:p>
    <w:p w14:paraId="2A4FEDDF">
      <w:pPr>
        <w:pStyle w:val="85"/>
        <w:spacing w:before="240"/>
        <w:ind w:firstLine="540"/>
        <w:jc w:val="both"/>
        <w:rPr>
          <w:color w:val="auto"/>
          <w:sz w:val="22"/>
          <w:szCs w:val="22"/>
        </w:rPr>
      </w:pPr>
      <w:r>
        <w:rPr>
          <w:color w:val="auto"/>
          <w:sz w:val="22"/>
          <w:szCs w:val="22"/>
        </w:rPr>
        <w:t>Киокусинкай каратэ является системой физического воспитания и включает все многообразие двигательных действий свойственных биомеханическими возможностям организма человека с использованием в учебном процессе всего арсенала физических упражнений различной направленности, что обеспечивает эффективное развитие физических качеств и двигательных навыков.</w:t>
      </w:r>
    </w:p>
    <w:p w14:paraId="7290F564">
      <w:pPr>
        <w:pStyle w:val="85"/>
        <w:spacing w:before="240"/>
        <w:ind w:firstLine="540"/>
        <w:jc w:val="both"/>
        <w:rPr>
          <w:color w:val="auto"/>
          <w:sz w:val="22"/>
          <w:szCs w:val="22"/>
        </w:rPr>
      </w:pPr>
      <w:r>
        <w:rPr>
          <w:color w:val="auto"/>
          <w:sz w:val="22"/>
          <w:szCs w:val="22"/>
        </w:rPr>
        <w:t>16.4.27.2. Целью модуля "Киокусинкай" является формирование у обучающихся устойчивой мотивации к сохранению и укреплению своего собственного здоровья, к ведению здорового образа жизни и самоопределения с использованием средств киокусинкай.</w:t>
      </w:r>
    </w:p>
    <w:p w14:paraId="75BE7702">
      <w:pPr>
        <w:pStyle w:val="85"/>
        <w:spacing w:before="240"/>
        <w:ind w:firstLine="540"/>
        <w:jc w:val="both"/>
        <w:rPr>
          <w:color w:val="auto"/>
          <w:sz w:val="22"/>
          <w:szCs w:val="22"/>
        </w:rPr>
      </w:pPr>
      <w:r>
        <w:rPr>
          <w:color w:val="auto"/>
          <w:sz w:val="22"/>
          <w:szCs w:val="22"/>
        </w:rPr>
        <w:t>16.4.27.3. Задачами изучения модуля "Киокусинкай" являются:</w:t>
      </w:r>
    </w:p>
    <w:p w14:paraId="0751A82C">
      <w:pPr>
        <w:pStyle w:val="85"/>
        <w:spacing w:before="240"/>
        <w:ind w:firstLine="540"/>
        <w:jc w:val="both"/>
        <w:rPr>
          <w:color w:val="auto"/>
          <w:sz w:val="22"/>
          <w:szCs w:val="22"/>
        </w:rPr>
      </w:pPr>
      <w:r>
        <w:rPr>
          <w:color w:val="auto"/>
          <w:sz w:val="22"/>
          <w:szCs w:val="22"/>
        </w:rPr>
        <w:t>всестороннее гармоничное развитие детей и подростков, увеличение объема их двигательной активности; освоение знаний о физической культуре и спорте в целом, истории развития киокусинкай в частности;</w:t>
      </w:r>
    </w:p>
    <w:p w14:paraId="593B8F59">
      <w:pPr>
        <w:pStyle w:val="85"/>
        <w:spacing w:before="240"/>
        <w:ind w:firstLine="540"/>
        <w:jc w:val="both"/>
        <w:rPr>
          <w:color w:val="auto"/>
          <w:sz w:val="22"/>
          <w:szCs w:val="22"/>
        </w:rPr>
      </w:pPr>
      <w:r>
        <w:rPr>
          <w:color w:val="auto"/>
          <w:sz w:val="22"/>
          <w:szCs w:val="22"/>
        </w:rPr>
        <w:t>укрепление физического, психологического и социального здоровья обучающихся, развитие основных физических качеств и повышение функциональных возможностей их организма, обеспечение культуры безопасного поведения на занятиях и соревнованиях по киокусинкай;</w:t>
      </w:r>
    </w:p>
    <w:p w14:paraId="659F1AE0">
      <w:pPr>
        <w:pStyle w:val="85"/>
        <w:spacing w:before="240"/>
        <w:ind w:firstLine="540"/>
        <w:jc w:val="both"/>
        <w:rPr>
          <w:color w:val="auto"/>
          <w:sz w:val="22"/>
          <w:szCs w:val="22"/>
        </w:rPr>
      </w:pPr>
      <w:r>
        <w:rPr>
          <w:color w:val="auto"/>
          <w:sz w:val="22"/>
          <w:szCs w:val="22"/>
        </w:rPr>
        <w:t>воспитание положительных качеств личности, норм коллективного взаимодействия и сотрудничества в образовательной и соревновательной деятельности;</w:t>
      </w:r>
    </w:p>
    <w:p w14:paraId="46747E48">
      <w:pPr>
        <w:pStyle w:val="85"/>
        <w:spacing w:before="240"/>
        <w:ind w:firstLine="540"/>
        <w:jc w:val="both"/>
        <w:rPr>
          <w:color w:val="auto"/>
          <w:sz w:val="22"/>
          <w:szCs w:val="22"/>
        </w:rPr>
      </w:pPr>
      <w:r>
        <w:rPr>
          <w:color w:val="auto"/>
          <w:sz w:val="22"/>
          <w:szCs w:val="22"/>
        </w:rPr>
        <w:t>формирование культуры движений, обогащение двигательного опыта физическими упражнениями с общеразвивающей и корригирующей направленностью, техническими действиями и приемами киокусинкай;</w:t>
      </w:r>
    </w:p>
    <w:p w14:paraId="42A82C1A">
      <w:pPr>
        <w:pStyle w:val="85"/>
        <w:spacing w:before="240"/>
        <w:ind w:firstLine="540"/>
        <w:jc w:val="both"/>
        <w:rPr>
          <w:color w:val="auto"/>
          <w:sz w:val="22"/>
          <w:szCs w:val="22"/>
        </w:rPr>
      </w:pPr>
      <w:r>
        <w:rPr>
          <w:color w:val="auto"/>
          <w:sz w:val="22"/>
          <w:szCs w:val="22"/>
        </w:rPr>
        <w:t>формирование общих представлений о дисциплинах (видах) киокусинкай, их возможностях и значении в процессе укрепления здоровья, физическом развитии и физической и технической подготовке обучающихся;</w:t>
      </w:r>
    </w:p>
    <w:p w14:paraId="7FF91158">
      <w:pPr>
        <w:pStyle w:val="85"/>
        <w:spacing w:before="240"/>
        <w:ind w:firstLine="540"/>
        <w:jc w:val="both"/>
        <w:rPr>
          <w:color w:val="auto"/>
          <w:sz w:val="22"/>
          <w:szCs w:val="22"/>
        </w:rPr>
      </w:pPr>
      <w:r>
        <w:rPr>
          <w:color w:val="auto"/>
          <w:sz w:val="22"/>
          <w:szCs w:val="22"/>
        </w:rPr>
        <w:t>популяризация киокусинкай среди подрастающего поколения, привлечение обучающихся, проявляющих повышенный интерес и способности к занятиям киокусинкай в школьных спортивных клубах, секциях, к участию в различных соревнованиях;</w:t>
      </w:r>
    </w:p>
    <w:p w14:paraId="086385D4">
      <w:pPr>
        <w:pStyle w:val="85"/>
        <w:spacing w:before="240"/>
        <w:ind w:firstLine="540"/>
        <w:jc w:val="both"/>
        <w:rPr>
          <w:color w:val="auto"/>
          <w:sz w:val="22"/>
          <w:szCs w:val="22"/>
        </w:rPr>
      </w:pPr>
      <w:r>
        <w:rPr>
          <w:color w:val="auto"/>
          <w:sz w:val="22"/>
          <w:szCs w:val="22"/>
        </w:rPr>
        <w:t>развитие положительной мотивации и устойчивого учебно-познавательного интереса к учебному предмету "Физическая культура", удовлетворение индивидуальных потребностей обучающихся в занятиях физической культурой и спортом;</w:t>
      </w:r>
    </w:p>
    <w:p w14:paraId="62D34C31">
      <w:pPr>
        <w:pStyle w:val="85"/>
        <w:spacing w:before="240"/>
        <w:ind w:firstLine="540"/>
        <w:jc w:val="both"/>
        <w:rPr>
          <w:color w:val="auto"/>
          <w:sz w:val="22"/>
          <w:szCs w:val="22"/>
        </w:rPr>
      </w:pPr>
      <w:r>
        <w:rPr>
          <w:color w:val="auto"/>
          <w:sz w:val="22"/>
          <w:szCs w:val="22"/>
        </w:rPr>
        <w:t>выявление, развитие и поддержка одаренных детей в области спорта и киокусинкай в частности.</w:t>
      </w:r>
    </w:p>
    <w:p w14:paraId="373EBE99">
      <w:pPr>
        <w:pStyle w:val="85"/>
        <w:spacing w:before="240"/>
        <w:ind w:firstLine="540"/>
        <w:jc w:val="both"/>
        <w:rPr>
          <w:color w:val="auto"/>
          <w:sz w:val="22"/>
          <w:szCs w:val="22"/>
        </w:rPr>
      </w:pPr>
      <w:r>
        <w:rPr>
          <w:color w:val="auto"/>
          <w:sz w:val="22"/>
          <w:szCs w:val="22"/>
        </w:rPr>
        <w:t>16.4.27.4. Место и роль модуля "Киокусинкай".</w:t>
      </w:r>
    </w:p>
    <w:p w14:paraId="3EA2A451">
      <w:pPr>
        <w:pStyle w:val="85"/>
        <w:spacing w:before="240"/>
        <w:ind w:firstLine="540"/>
        <w:jc w:val="both"/>
        <w:rPr>
          <w:color w:val="auto"/>
          <w:sz w:val="22"/>
          <w:szCs w:val="22"/>
        </w:rPr>
      </w:pPr>
      <w:r>
        <w:rPr>
          <w:color w:val="auto"/>
          <w:sz w:val="22"/>
          <w:szCs w:val="22"/>
        </w:rPr>
        <w:t>Модуль "Киокусинкай" доступен для освоения всем обучающимся, и обеспечивает достижение следующих результатов ФГОС НОО: сформированность общих представлений о физической культуре и спорте, физической активности человека, физических качествах, жизненно важных прикладных умениях и навыках, основных физических упражнениях (гимнастических, игровых, туристических и спортивных).</w:t>
      </w:r>
    </w:p>
    <w:p w14:paraId="79AA1A55">
      <w:pPr>
        <w:pStyle w:val="85"/>
        <w:spacing w:before="240"/>
        <w:ind w:firstLine="540"/>
        <w:jc w:val="both"/>
        <w:rPr>
          <w:color w:val="auto"/>
          <w:sz w:val="22"/>
          <w:szCs w:val="22"/>
        </w:rPr>
      </w:pPr>
      <w:r>
        <w:rPr>
          <w:color w:val="auto"/>
          <w:sz w:val="22"/>
          <w:szCs w:val="22"/>
        </w:rPr>
        <w:t>Программное содержание модуля "Киокусинкай" может быть использовано в разделах "Знания о физической культуре", "Способы самостоятельной деятельности", "Физическое совершенствование".</w:t>
      </w:r>
    </w:p>
    <w:p w14:paraId="4A0F3A3C">
      <w:pPr>
        <w:pStyle w:val="85"/>
        <w:spacing w:before="240"/>
        <w:ind w:firstLine="540"/>
        <w:jc w:val="both"/>
        <w:rPr>
          <w:color w:val="auto"/>
          <w:sz w:val="22"/>
          <w:szCs w:val="22"/>
        </w:rPr>
      </w:pPr>
      <w:r>
        <w:rPr>
          <w:color w:val="auto"/>
          <w:sz w:val="22"/>
          <w:szCs w:val="22"/>
        </w:rPr>
        <w:t>В практическом разделе "Способы самостоятельной деятельности" обучающиеся освоят новые двигательные действия, используя средства киокусинкай, научатся вести единоборство, а также способам увеличения двигательной активности и оздоровления организма. Раздел "Физическое совершенствование" позволит сформировать разностороннюю физическую и техническую подготовку.</w:t>
      </w:r>
    </w:p>
    <w:p w14:paraId="3B27330A">
      <w:pPr>
        <w:pStyle w:val="85"/>
        <w:spacing w:before="240"/>
        <w:ind w:firstLine="540"/>
        <w:jc w:val="both"/>
        <w:rPr>
          <w:color w:val="auto"/>
          <w:sz w:val="22"/>
          <w:szCs w:val="22"/>
        </w:rPr>
      </w:pPr>
      <w:r>
        <w:rPr>
          <w:color w:val="auto"/>
          <w:sz w:val="22"/>
          <w:szCs w:val="22"/>
        </w:rPr>
        <w:t>Интеграция модуля "Киокусинкай" поможет обучающимся в освоении образовательных программ в рамках внеурочной деятельности, дополнительного образования, деятельности школьных спортивных клубов, подготовке обучающихся к сдаче норм ГТО и участии в спортивных соревнованиях.</w:t>
      </w:r>
    </w:p>
    <w:p w14:paraId="4FDA6904">
      <w:pPr>
        <w:pStyle w:val="85"/>
        <w:spacing w:before="240"/>
        <w:ind w:firstLine="540"/>
        <w:jc w:val="both"/>
        <w:rPr>
          <w:color w:val="auto"/>
          <w:sz w:val="22"/>
          <w:szCs w:val="22"/>
        </w:rPr>
      </w:pPr>
      <w:r>
        <w:rPr>
          <w:color w:val="auto"/>
          <w:sz w:val="22"/>
          <w:szCs w:val="22"/>
        </w:rPr>
        <w:t>16.4.27.5. Модуль "Киокусинкай" может быть реализован в следующих вариантах:</w:t>
      </w:r>
    </w:p>
    <w:p w14:paraId="234C9934">
      <w:pPr>
        <w:pStyle w:val="85"/>
        <w:spacing w:before="240"/>
        <w:ind w:firstLine="540"/>
        <w:jc w:val="both"/>
        <w:rPr>
          <w:color w:val="auto"/>
          <w:sz w:val="22"/>
          <w:szCs w:val="22"/>
        </w:rPr>
      </w:pPr>
      <w:r>
        <w:rPr>
          <w:color w:val="auto"/>
          <w:sz w:val="22"/>
          <w:szCs w:val="22"/>
        </w:rPr>
        <w:t>при самостоятельном планировании учителем физической культуры процесса освоения обучающимися учебного материала по киокусинкай с выбором различных элементов специальных физических упражнений, игр и (или) элементов игры, с учетом возраста и физической подготовленности обучающихся (с соответствующей дозировкой и интенсивностью);</w:t>
      </w:r>
    </w:p>
    <w:p w14:paraId="78F0A1E6">
      <w:pPr>
        <w:pStyle w:val="85"/>
        <w:spacing w:before="240"/>
        <w:ind w:firstLine="540"/>
        <w:jc w:val="both"/>
        <w:rPr>
          <w:color w:val="auto"/>
          <w:sz w:val="22"/>
          <w:szCs w:val="22"/>
        </w:rPr>
      </w:pPr>
      <w:r>
        <w:rPr>
          <w:color w:val="auto"/>
          <w:sz w:val="22"/>
          <w:szCs w:val="22"/>
        </w:rPr>
        <w:t>в виде дополнительных часов, выделяемых на спортивно-оздоровительную работу с обучающимися в рамках внеурочной деятельности и (или) за счет посещения обучающимися спортивных секций школьных спортивных клубов (рекомендуемый объем в 1 классе - 33 часа, во 2 - 4 классах - по 34 часа).</w:t>
      </w:r>
    </w:p>
    <w:p w14:paraId="22200B8C">
      <w:pPr>
        <w:pStyle w:val="85"/>
        <w:spacing w:before="240"/>
        <w:ind w:firstLine="540"/>
        <w:jc w:val="both"/>
        <w:rPr>
          <w:color w:val="auto"/>
          <w:sz w:val="22"/>
          <w:szCs w:val="22"/>
        </w:rPr>
      </w:pPr>
      <w:r>
        <w:rPr>
          <w:color w:val="auto"/>
          <w:sz w:val="22"/>
          <w:szCs w:val="22"/>
        </w:rPr>
        <w:t>16.4.27.6. Содержание модуля "Киокусинкай".</w:t>
      </w:r>
    </w:p>
    <w:p w14:paraId="753A1762">
      <w:pPr>
        <w:pStyle w:val="85"/>
        <w:spacing w:before="240"/>
        <w:ind w:firstLine="540"/>
        <w:jc w:val="both"/>
        <w:rPr>
          <w:color w:val="auto"/>
          <w:sz w:val="22"/>
          <w:szCs w:val="22"/>
        </w:rPr>
      </w:pPr>
      <w:r>
        <w:rPr>
          <w:color w:val="auto"/>
          <w:sz w:val="22"/>
          <w:szCs w:val="22"/>
        </w:rPr>
        <w:t>1) Знания о киокусинкай.</w:t>
      </w:r>
    </w:p>
    <w:p w14:paraId="30910E2F">
      <w:pPr>
        <w:pStyle w:val="85"/>
        <w:spacing w:before="240"/>
        <w:ind w:firstLine="540"/>
        <w:jc w:val="both"/>
        <w:rPr>
          <w:color w:val="auto"/>
          <w:sz w:val="22"/>
          <w:szCs w:val="22"/>
        </w:rPr>
      </w:pPr>
      <w:r>
        <w:rPr>
          <w:color w:val="auto"/>
          <w:sz w:val="22"/>
          <w:szCs w:val="22"/>
        </w:rPr>
        <w:t>История киокусинкай.</w:t>
      </w:r>
    </w:p>
    <w:p w14:paraId="76738EE6">
      <w:pPr>
        <w:pStyle w:val="85"/>
        <w:spacing w:before="240"/>
        <w:ind w:firstLine="540"/>
        <w:jc w:val="both"/>
        <w:rPr>
          <w:color w:val="auto"/>
          <w:sz w:val="22"/>
          <w:szCs w:val="22"/>
        </w:rPr>
      </w:pPr>
      <w:r>
        <w:rPr>
          <w:color w:val="auto"/>
          <w:sz w:val="22"/>
          <w:szCs w:val="22"/>
        </w:rPr>
        <w:t>Общеразвивающие и специальные упражнения.</w:t>
      </w:r>
    </w:p>
    <w:p w14:paraId="32F94E43">
      <w:pPr>
        <w:pStyle w:val="85"/>
        <w:spacing w:before="240"/>
        <w:ind w:firstLine="540"/>
        <w:jc w:val="both"/>
        <w:rPr>
          <w:color w:val="auto"/>
          <w:sz w:val="22"/>
          <w:szCs w:val="22"/>
        </w:rPr>
      </w:pPr>
      <w:r>
        <w:rPr>
          <w:color w:val="auto"/>
          <w:sz w:val="22"/>
          <w:szCs w:val="22"/>
        </w:rPr>
        <w:t>Легендарные российские каратисты киокусинкай и тренеры.</w:t>
      </w:r>
    </w:p>
    <w:p w14:paraId="1675D0A0">
      <w:pPr>
        <w:pStyle w:val="85"/>
        <w:spacing w:before="240"/>
        <w:ind w:firstLine="540"/>
        <w:jc w:val="both"/>
        <w:rPr>
          <w:color w:val="auto"/>
          <w:sz w:val="22"/>
          <w:szCs w:val="22"/>
        </w:rPr>
      </w:pPr>
      <w:r>
        <w:rPr>
          <w:color w:val="auto"/>
          <w:sz w:val="22"/>
          <w:szCs w:val="22"/>
        </w:rPr>
        <w:t xml:space="preserve">Достижение отечественных каратистов и сборной команды страны </w:t>
      </w:r>
    </w:p>
    <w:p w14:paraId="4D9E87F4">
      <w:pPr>
        <w:pStyle w:val="85"/>
        <w:spacing w:before="240"/>
        <w:ind w:firstLine="540"/>
        <w:jc w:val="both"/>
        <w:rPr>
          <w:color w:val="auto"/>
          <w:sz w:val="22"/>
          <w:szCs w:val="22"/>
        </w:rPr>
      </w:pPr>
      <w:r>
        <w:rPr>
          <w:color w:val="auto"/>
          <w:sz w:val="22"/>
          <w:szCs w:val="22"/>
        </w:rPr>
        <w:t>Разновидности карате, дисциплины киокусинкай.</w:t>
      </w:r>
    </w:p>
    <w:p w14:paraId="67CAE342">
      <w:pPr>
        <w:pStyle w:val="85"/>
        <w:spacing w:before="240"/>
        <w:ind w:firstLine="540"/>
        <w:jc w:val="both"/>
        <w:rPr>
          <w:color w:val="auto"/>
          <w:sz w:val="22"/>
          <w:szCs w:val="22"/>
        </w:rPr>
      </w:pPr>
      <w:r>
        <w:rPr>
          <w:color w:val="auto"/>
          <w:sz w:val="22"/>
          <w:szCs w:val="22"/>
        </w:rPr>
        <w:t>Основные правила киокусинкай.</w:t>
      </w:r>
    </w:p>
    <w:p w14:paraId="28B655E3">
      <w:pPr>
        <w:pStyle w:val="85"/>
        <w:spacing w:before="240"/>
        <w:ind w:firstLine="540"/>
        <w:jc w:val="both"/>
        <w:rPr>
          <w:color w:val="auto"/>
          <w:sz w:val="22"/>
          <w:szCs w:val="22"/>
        </w:rPr>
      </w:pPr>
      <w:r>
        <w:rPr>
          <w:color w:val="auto"/>
          <w:sz w:val="22"/>
          <w:szCs w:val="22"/>
        </w:rPr>
        <w:t>Терминология.</w:t>
      </w:r>
    </w:p>
    <w:p w14:paraId="476C25AE">
      <w:pPr>
        <w:pStyle w:val="85"/>
        <w:spacing w:before="240"/>
        <w:ind w:firstLine="540"/>
        <w:jc w:val="both"/>
        <w:rPr>
          <w:color w:val="auto"/>
          <w:sz w:val="22"/>
          <w:szCs w:val="22"/>
        </w:rPr>
      </w:pPr>
      <w:r>
        <w:rPr>
          <w:color w:val="auto"/>
          <w:sz w:val="22"/>
          <w:szCs w:val="22"/>
        </w:rPr>
        <w:t>Правила безопасного поведения во время занятий киокусинкай.</w:t>
      </w:r>
    </w:p>
    <w:p w14:paraId="5B3F51FC">
      <w:pPr>
        <w:pStyle w:val="85"/>
        <w:spacing w:before="240"/>
        <w:ind w:firstLine="540"/>
        <w:jc w:val="both"/>
        <w:rPr>
          <w:color w:val="auto"/>
          <w:sz w:val="22"/>
          <w:szCs w:val="22"/>
        </w:rPr>
      </w:pPr>
      <w:r>
        <w:rPr>
          <w:color w:val="auto"/>
          <w:sz w:val="22"/>
          <w:szCs w:val="22"/>
        </w:rPr>
        <w:t>Судейская коллегия, обслуживающая соревнования по киокусинкай. Жесты судьи. Правила безопасного поведения во время занятий киокусинкай Киокусинкай, как средств укрепления здоровья, закаливания и развития физических качеств.</w:t>
      </w:r>
    </w:p>
    <w:p w14:paraId="1AFA27CA">
      <w:pPr>
        <w:pStyle w:val="85"/>
        <w:spacing w:before="240"/>
        <w:ind w:firstLine="540"/>
        <w:jc w:val="both"/>
        <w:rPr>
          <w:color w:val="auto"/>
          <w:sz w:val="22"/>
          <w:szCs w:val="22"/>
        </w:rPr>
      </w:pPr>
      <w:r>
        <w:rPr>
          <w:color w:val="auto"/>
          <w:sz w:val="22"/>
          <w:szCs w:val="22"/>
        </w:rPr>
        <w:t>Соблюдение личной гигиены, требований к спортивной одежде и обуви для занятий киокусинкай.</w:t>
      </w:r>
    </w:p>
    <w:p w14:paraId="6739FA12">
      <w:pPr>
        <w:pStyle w:val="85"/>
        <w:spacing w:before="240"/>
        <w:ind w:firstLine="540"/>
        <w:jc w:val="both"/>
        <w:rPr>
          <w:color w:val="auto"/>
          <w:sz w:val="22"/>
          <w:szCs w:val="22"/>
        </w:rPr>
      </w:pPr>
      <w:r>
        <w:rPr>
          <w:color w:val="auto"/>
          <w:sz w:val="22"/>
          <w:szCs w:val="22"/>
        </w:rPr>
        <w:t>2) Способы самостоятельной деятельности.</w:t>
      </w:r>
    </w:p>
    <w:p w14:paraId="4A0FAE08">
      <w:pPr>
        <w:pStyle w:val="85"/>
        <w:spacing w:before="240"/>
        <w:ind w:firstLine="540"/>
        <w:jc w:val="both"/>
        <w:rPr>
          <w:color w:val="auto"/>
          <w:sz w:val="22"/>
          <w:szCs w:val="22"/>
        </w:rPr>
      </w:pPr>
      <w:r>
        <w:rPr>
          <w:color w:val="auto"/>
          <w:sz w:val="22"/>
          <w:szCs w:val="22"/>
        </w:rPr>
        <w:t>Внешние признаки утомления. Способы самоконтроля за физической нагрузкой.</w:t>
      </w:r>
    </w:p>
    <w:p w14:paraId="7C59C171">
      <w:pPr>
        <w:pStyle w:val="85"/>
        <w:spacing w:before="240"/>
        <w:ind w:firstLine="540"/>
        <w:jc w:val="both"/>
        <w:rPr>
          <w:color w:val="auto"/>
          <w:sz w:val="22"/>
          <w:szCs w:val="22"/>
        </w:rPr>
      </w:pPr>
      <w:r>
        <w:rPr>
          <w:color w:val="auto"/>
          <w:sz w:val="22"/>
          <w:szCs w:val="22"/>
        </w:rPr>
        <w:t>Уход за спортивным инвентарем, оборудованием и формой для занятий киокусинкай.</w:t>
      </w:r>
    </w:p>
    <w:p w14:paraId="6E65D499">
      <w:pPr>
        <w:pStyle w:val="85"/>
        <w:spacing w:before="240"/>
        <w:ind w:firstLine="540"/>
        <w:jc w:val="both"/>
        <w:rPr>
          <w:color w:val="auto"/>
          <w:sz w:val="22"/>
          <w:szCs w:val="22"/>
        </w:rPr>
      </w:pPr>
      <w:r>
        <w:rPr>
          <w:color w:val="auto"/>
          <w:sz w:val="22"/>
          <w:szCs w:val="22"/>
        </w:rPr>
        <w:t>Подвижные игры и правила их проведения. Игры с элементами единоборств и правила их проведения. Организация и проведение игр с элементами единоборств.</w:t>
      </w:r>
    </w:p>
    <w:p w14:paraId="709792C0">
      <w:pPr>
        <w:pStyle w:val="85"/>
        <w:spacing w:before="240"/>
        <w:ind w:firstLine="540"/>
        <w:jc w:val="both"/>
        <w:rPr>
          <w:color w:val="auto"/>
          <w:sz w:val="22"/>
          <w:szCs w:val="22"/>
        </w:rPr>
      </w:pPr>
      <w:r>
        <w:rPr>
          <w:color w:val="auto"/>
          <w:sz w:val="22"/>
          <w:szCs w:val="22"/>
        </w:rPr>
        <w:t>Основы анализа собственной игры, игры своей команды и игры команды соперников.</w:t>
      </w:r>
    </w:p>
    <w:p w14:paraId="056B225B">
      <w:pPr>
        <w:pStyle w:val="85"/>
        <w:spacing w:before="240"/>
        <w:ind w:firstLine="540"/>
        <w:jc w:val="both"/>
        <w:rPr>
          <w:color w:val="auto"/>
          <w:sz w:val="22"/>
          <w:szCs w:val="22"/>
        </w:rPr>
      </w:pPr>
      <w:r>
        <w:rPr>
          <w:color w:val="auto"/>
          <w:sz w:val="22"/>
          <w:szCs w:val="22"/>
        </w:rPr>
        <w:t>3) Физическое совершенствование.</w:t>
      </w:r>
    </w:p>
    <w:p w14:paraId="3F556898">
      <w:pPr>
        <w:pStyle w:val="85"/>
        <w:spacing w:before="240"/>
        <w:ind w:firstLine="540"/>
        <w:jc w:val="both"/>
        <w:rPr>
          <w:color w:val="auto"/>
          <w:sz w:val="22"/>
          <w:szCs w:val="22"/>
        </w:rPr>
      </w:pPr>
      <w:r>
        <w:rPr>
          <w:color w:val="auto"/>
          <w:sz w:val="22"/>
          <w:szCs w:val="22"/>
        </w:rPr>
        <w:t>Комплексы общеразвивающих и корригирующих упражнений</w:t>
      </w:r>
    </w:p>
    <w:p w14:paraId="32009394">
      <w:pPr>
        <w:pStyle w:val="85"/>
        <w:spacing w:before="240"/>
        <w:ind w:firstLine="540"/>
        <w:jc w:val="both"/>
        <w:rPr>
          <w:color w:val="auto"/>
          <w:sz w:val="22"/>
          <w:szCs w:val="22"/>
        </w:rPr>
      </w:pPr>
      <w:r>
        <w:rPr>
          <w:color w:val="auto"/>
          <w:sz w:val="22"/>
          <w:szCs w:val="22"/>
        </w:rPr>
        <w:t>Упражнения на развитие физических качеств (быстроты, ловкости, гибкости), координационных и скоростных способностей.</w:t>
      </w:r>
    </w:p>
    <w:p w14:paraId="1B6A12CF">
      <w:pPr>
        <w:pStyle w:val="85"/>
        <w:spacing w:before="240"/>
        <w:ind w:firstLine="540"/>
        <w:jc w:val="both"/>
        <w:rPr>
          <w:color w:val="auto"/>
          <w:sz w:val="22"/>
          <w:szCs w:val="22"/>
        </w:rPr>
      </w:pPr>
      <w:r>
        <w:rPr>
          <w:color w:val="auto"/>
          <w:sz w:val="22"/>
          <w:szCs w:val="22"/>
        </w:rPr>
        <w:t>Комплексы специальных упражнений для формирования технических действий каратиста киокусинкай, в том числе имитационные упражнения (в зале, на татами, на спортивных объектах).</w:t>
      </w:r>
    </w:p>
    <w:p w14:paraId="6E90FC17">
      <w:pPr>
        <w:pStyle w:val="85"/>
        <w:spacing w:before="240"/>
        <w:ind w:firstLine="540"/>
        <w:jc w:val="both"/>
        <w:rPr>
          <w:color w:val="auto"/>
          <w:sz w:val="22"/>
          <w:szCs w:val="22"/>
        </w:rPr>
      </w:pPr>
      <w:r>
        <w:rPr>
          <w:color w:val="auto"/>
          <w:sz w:val="22"/>
          <w:szCs w:val="22"/>
        </w:rPr>
        <w:t>Базовые технические действия (кихон).</w:t>
      </w:r>
    </w:p>
    <w:p w14:paraId="2ECE56F6">
      <w:pPr>
        <w:pStyle w:val="85"/>
        <w:spacing w:before="240"/>
        <w:ind w:firstLine="540"/>
        <w:jc w:val="both"/>
        <w:rPr>
          <w:color w:val="auto"/>
          <w:sz w:val="22"/>
          <w:szCs w:val="22"/>
        </w:rPr>
      </w:pPr>
      <w:r>
        <w:rPr>
          <w:color w:val="auto"/>
          <w:sz w:val="22"/>
          <w:szCs w:val="22"/>
        </w:rPr>
        <w:t>Базовые элементы акробатической техники в киокусинкай.</w:t>
      </w:r>
    </w:p>
    <w:p w14:paraId="549885E2">
      <w:pPr>
        <w:pStyle w:val="85"/>
        <w:spacing w:before="240"/>
        <w:ind w:firstLine="540"/>
        <w:jc w:val="both"/>
        <w:rPr>
          <w:color w:val="auto"/>
          <w:sz w:val="22"/>
          <w:szCs w:val="22"/>
        </w:rPr>
      </w:pPr>
      <w:r>
        <w:rPr>
          <w:color w:val="auto"/>
          <w:sz w:val="22"/>
          <w:szCs w:val="22"/>
        </w:rPr>
        <w:t>Формализованная последовательность движений, связанных принципами ведения поединка с воображаемым противником или группой противников (ката): тайкеку соно ичи, тайкеку соно ни, тайкеку соно сан, сокуги тайкеку соно ичи, пинан соно ичи, сокуги тайкеку соно ни, сокуги тайкеку соно сан, пинан соно ни, санчин, пинан соно сан, пинан соно ен, янцу, цуки-но ката, пинан соно го, тайкеку соно ичи ура, тайкеку соно ни ура, тайкеку соно сан ура, гэкисай дай, тэкки соно ичи, пинан соно го, тайкеку соно ичи ура, тайкеку соно ни ура, тайкеку соно сан ура, гэкисай дай, тэкки соно ичи, пинан соно ичи ура, пинан соно ни ура, пинан соно сан ура, пинан соно ен ура, пинан соно го ура, тэнше, сайфа, гэкисай ше, тэкки соно ни, сэйэнчин, гарю, тэкки соно сан, бассай дай, сэйпай.</w:t>
      </w:r>
    </w:p>
    <w:p w14:paraId="567C9266">
      <w:pPr>
        <w:pStyle w:val="85"/>
        <w:spacing w:before="240"/>
        <w:ind w:firstLine="540"/>
        <w:jc w:val="both"/>
        <w:rPr>
          <w:color w:val="auto"/>
          <w:sz w:val="22"/>
          <w:szCs w:val="22"/>
        </w:rPr>
      </w:pPr>
      <w:r>
        <w:rPr>
          <w:color w:val="auto"/>
          <w:sz w:val="22"/>
          <w:szCs w:val="22"/>
        </w:rPr>
        <w:t>16.4.27.7. Содержание модуля "Киокусинкай" направлено на достижение обучающимися личностных, метапредметных и предметных результатов обучения.</w:t>
      </w:r>
    </w:p>
    <w:p w14:paraId="53AD1F4A">
      <w:pPr>
        <w:pStyle w:val="85"/>
        <w:spacing w:before="240"/>
        <w:ind w:firstLine="540"/>
        <w:jc w:val="both"/>
        <w:rPr>
          <w:color w:val="auto"/>
          <w:sz w:val="22"/>
          <w:szCs w:val="22"/>
        </w:rPr>
      </w:pPr>
      <w:r>
        <w:rPr>
          <w:color w:val="auto"/>
          <w:sz w:val="22"/>
          <w:szCs w:val="22"/>
        </w:rPr>
        <w:t>16.4.27.7.1. При изучении модуля "Киокусинкай" на уровне начального общего образования у обучающихся будут сформированы следующие личностные результаты:</w:t>
      </w:r>
    </w:p>
    <w:p w14:paraId="6E5DEF1E">
      <w:pPr>
        <w:pStyle w:val="85"/>
        <w:spacing w:before="240"/>
        <w:ind w:firstLine="540"/>
        <w:jc w:val="both"/>
        <w:rPr>
          <w:color w:val="auto"/>
          <w:sz w:val="22"/>
          <w:szCs w:val="22"/>
        </w:rPr>
      </w:pPr>
      <w:r>
        <w:rPr>
          <w:color w:val="auto"/>
          <w:sz w:val="22"/>
          <w:szCs w:val="22"/>
        </w:rPr>
        <w:t>проявление чувства гордости за свою Родину, российский народ и историю России через достижения российских каратистов и национальной сборной команды страны по каратэ;</w:t>
      </w:r>
    </w:p>
    <w:p w14:paraId="0594A669">
      <w:pPr>
        <w:pStyle w:val="85"/>
        <w:spacing w:before="240"/>
        <w:ind w:firstLine="540"/>
        <w:jc w:val="both"/>
        <w:rPr>
          <w:color w:val="auto"/>
          <w:sz w:val="22"/>
          <w:szCs w:val="22"/>
        </w:rPr>
      </w:pPr>
      <w:r>
        <w:rPr>
          <w:color w:val="auto"/>
          <w:sz w:val="22"/>
          <w:szCs w:val="22"/>
        </w:rPr>
        <w:t>проявление уважительного отношения к сверстникам, культуры общения и взаимодействия, терпимости в достижении общих целей при совместной деятельности (учебной, тренировочной, досуговой, игровой и соревновательной) на принципах доброжелательности и взаимопомощи;</w:t>
      </w:r>
    </w:p>
    <w:p w14:paraId="7146440E">
      <w:pPr>
        <w:pStyle w:val="85"/>
        <w:spacing w:before="240"/>
        <w:ind w:firstLine="540"/>
        <w:jc w:val="both"/>
        <w:rPr>
          <w:color w:val="auto"/>
          <w:sz w:val="22"/>
          <w:szCs w:val="22"/>
        </w:rPr>
      </w:pPr>
      <w:r>
        <w:rPr>
          <w:color w:val="auto"/>
          <w:sz w:val="22"/>
          <w:szCs w:val="22"/>
        </w:rPr>
        <w:t>проявление готовности обучающихся к саморазвитию и самообразованию, мотивации и осознанному выбору индивидуальной траектории образования средствами киокусинкай;</w:t>
      </w:r>
    </w:p>
    <w:p w14:paraId="7F4BAE1E">
      <w:pPr>
        <w:pStyle w:val="85"/>
        <w:spacing w:before="240"/>
        <w:ind w:firstLine="540"/>
        <w:jc w:val="both"/>
        <w:rPr>
          <w:color w:val="auto"/>
          <w:sz w:val="22"/>
          <w:szCs w:val="22"/>
        </w:rPr>
      </w:pPr>
      <w:r>
        <w:rPr>
          <w:color w:val="auto"/>
          <w:sz w:val="22"/>
          <w:szCs w:val="22"/>
        </w:rPr>
        <w:t>проявление положительных качеств личности и управление своими эмоциями в различных (нестандартных) ситуациях и условиях, умение не создавать конфликтов и находить выходы из спорных ситуаций;</w:t>
      </w:r>
    </w:p>
    <w:p w14:paraId="27088A12">
      <w:pPr>
        <w:pStyle w:val="85"/>
        <w:spacing w:before="240"/>
        <w:ind w:firstLine="540"/>
        <w:jc w:val="both"/>
        <w:rPr>
          <w:color w:val="auto"/>
          <w:sz w:val="22"/>
          <w:szCs w:val="22"/>
        </w:rPr>
      </w:pPr>
      <w:r>
        <w:rPr>
          <w:color w:val="auto"/>
          <w:sz w:val="22"/>
          <w:szCs w:val="22"/>
        </w:rPr>
        <w:t>реализация ценностей здорового и безопасного образа жизни, потребности в физическом самосовершенствовании, занятиях спортивно-оздоровительной деятельностью;</w:t>
      </w:r>
    </w:p>
    <w:p w14:paraId="5FC4FBB8">
      <w:pPr>
        <w:pStyle w:val="85"/>
        <w:spacing w:before="240"/>
        <w:ind w:firstLine="540"/>
        <w:jc w:val="both"/>
        <w:rPr>
          <w:color w:val="auto"/>
          <w:sz w:val="22"/>
          <w:szCs w:val="22"/>
        </w:rPr>
      </w:pPr>
      <w:r>
        <w:rPr>
          <w:color w:val="auto"/>
          <w:sz w:val="22"/>
          <w:szCs w:val="22"/>
        </w:rPr>
        <w:t>проявление осознанного и ответственного отношения к собственным поступкам, моральной компетентности в решении проблем в процессе занятий физической культурой, игровой и соревновательной деятельности по киокусинкай;</w:t>
      </w:r>
    </w:p>
    <w:p w14:paraId="4EF99C6B">
      <w:pPr>
        <w:pStyle w:val="85"/>
        <w:spacing w:before="240"/>
        <w:ind w:firstLine="540"/>
        <w:jc w:val="both"/>
        <w:rPr>
          <w:color w:val="auto"/>
          <w:sz w:val="22"/>
          <w:szCs w:val="22"/>
        </w:rPr>
      </w:pPr>
      <w:r>
        <w:rPr>
          <w:color w:val="auto"/>
          <w:sz w:val="22"/>
          <w:szCs w:val="22"/>
        </w:rPr>
        <w:t>соблюдение правил индивидуального и коллективного безопасного поведения в учебной, соревновательной, досуговой деятельности и чрезвычайных ситуациях;</w:t>
      </w:r>
    </w:p>
    <w:p w14:paraId="0339B917">
      <w:pPr>
        <w:pStyle w:val="85"/>
        <w:spacing w:before="240"/>
        <w:ind w:firstLine="540"/>
        <w:jc w:val="both"/>
        <w:rPr>
          <w:color w:val="auto"/>
          <w:sz w:val="22"/>
          <w:szCs w:val="22"/>
        </w:rPr>
      </w:pPr>
      <w:r>
        <w:rPr>
          <w:color w:val="auto"/>
          <w:sz w:val="22"/>
          <w:szCs w:val="22"/>
        </w:rPr>
        <w:t>проявление положительных качеств личности и управление своими эмоциями в различных ситуациях и условиях.</w:t>
      </w:r>
    </w:p>
    <w:p w14:paraId="7B82C62C">
      <w:pPr>
        <w:pStyle w:val="85"/>
        <w:spacing w:before="240"/>
        <w:ind w:firstLine="540"/>
        <w:jc w:val="both"/>
        <w:rPr>
          <w:color w:val="auto"/>
          <w:sz w:val="22"/>
          <w:szCs w:val="22"/>
        </w:rPr>
      </w:pPr>
      <w:r>
        <w:rPr>
          <w:color w:val="auto"/>
          <w:sz w:val="22"/>
          <w:szCs w:val="22"/>
        </w:rPr>
        <w:t>16.4.27.7.2. При изучении модуля "Киокусинкай" на уровне начального общего образования у обучающихся будут сформированы следующие метапредметные результаты:</w:t>
      </w:r>
    </w:p>
    <w:p w14:paraId="16665BDC">
      <w:pPr>
        <w:pStyle w:val="85"/>
        <w:spacing w:before="240"/>
        <w:ind w:firstLine="540"/>
        <w:jc w:val="both"/>
        <w:rPr>
          <w:color w:val="auto"/>
          <w:sz w:val="22"/>
          <w:szCs w:val="22"/>
        </w:rPr>
      </w:pPr>
      <w:r>
        <w:rPr>
          <w:color w:val="auto"/>
          <w:sz w:val="22"/>
          <w:szCs w:val="22"/>
        </w:rPr>
        <w:t>овладение способностью принимать и сохранять цели и задачи учебной деятельности, поиска средств и способов ее осуществления;</w:t>
      </w:r>
    </w:p>
    <w:p w14:paraId="51D73CAC">
      <w:pPr>
        <w:pStyle w:val="85"/>
        <w:spacing w:before="240"/>
        <w:ind w:firstLine="540"/>
        <w:jc w:val="both"/>
        <w:rPr>
          <w:color w:val="auto"/>
          <w:sz w:val="22"/>
          <w:szCs w:val="22"/>
        </w:rPr>
      </w:pPr>
      <w:r>
        <w:rPr>
          <w:color w:val="auto"/>
          <w:sz w:val="22"/>
          <w:szCs w:val="22"/>
        </w:rPr>
        <w:t>умение планировать, контролировать и оценивать учебные действия, собственную деятельность, распределять нагрузку и отдых в процессе ее выполнения, определять наиболее эффективные способы достижения результата;</w:t>
      </w:r>
    </w:p>
    <w:p w14:paraId="53F99210">
      <w:pPr>
        <w:pStyle w:val="85"/>
        <w:spacing w:before="240"/>
        <w:ind w:firstLine="540"/>
        <w:jc w:val="both"/>
        <w:rPr>
          <w:color w:val="auto"/>
          <w:sz w:val="22"/>
          <w:szCs w:val="22"/>
        </w:rPr>
      </w:pPr>
      <w:r>
        <w:rPr>
          <w:color w:val="auto"/>
          <w:sz w:val="22"/>
          <w:szCs w:val="22"/>
        </w:rPr>
        <w:t>умение характеризовать действия и поступки, давать им анализ и объективную оценку на основе освоенных знаний и имеющегося опыта;</w:t>
      </w:r>
    </w:p>
    <w:p w14:paraId="53B60605">
      <w:pPr>
        <w:pStyle w:val="85"/>
        <w:spacing w:before="240"/>
        <w:ind w:firstLine="540"/>
        <w:jc w:val="both"/>
        <w:rPr>
          <w:color w:val="auto"/>
          <w:sz w:val="22"/>
          <w:szCs w:val="22"/>
        </w:rPr>
      </w:pPr>
      <w:r>
        <w:rPr>
          <w:color w:val="auto"/>
          <w:sz w:val="22"/>
          <w:szCs w:val="22"/>
        </w:rPr>
        <w:t>понимание причин успеха или неуспеха учебной деятельности и способность конструктивно действовать даже в ситуациях неуспеха;</w:t>
      </w:r>
    </w:p>
    <w:p w14:paraId="0A87BF44">
      <w:pPr>
        <w:pStyle w:val="85"/>
        <w:spacing w:before="240"/>
        <w:ind w:firstLine="540"/>
        <w:jc w:val="both"/>
        <w:rPr>
          <w:color w:val="auto"/>
          <w:sz w:val="22"/>
          <w:szCs w:val="22"/>
        </w:rPr>
      </w:pPr>
      <w:r>
        <w:rPr>
          <w:color w:val="auto"/>
          <w:sz w:val="22"/>
          <w:szCs w:val="22"/>
        </w:rPr>
        <w:t>определение общей цели и путей ее достижения, умение договариваться о распределении функций в учебной, игровой и соревновательной деятельности, адекватная оценка собственного поведения и поведения окружающих;</w:t>
      </w:r>
    </w:p>
    <w:p w14:paraId="759CC558">
      <w:pPr>
        <w:pStyle w:val="85"/>
        <w:spacing w:before="240"/>
        <w:ind w:firstLine="540"/>
        <w:jc w:val="both"/>
        <w:rPr>
          <w:color w:val="auto"/>
          <w:sz w:val="22"/>
          <w:szCs w:val="22"/>
        </w:rPr>
      </w:pPr>
      <w:r>
        <w:rPr>
          <w:color w:val="auto"/>
          <w:sz w:val="22"/>
          <w:szCs w:val="22"/>
        </w:rPr>
        <w:t>умение организовывать учебное сотрудничество и совместную деятельность со сверстниками и взрослыми;</w:t>
      </w:r>
    </w:p>
    <w:p w14:paraId="29B1AE85">
      <w:pPr>
        <w:pStyle w:val="85"/>
        <w:spacing w:before="240"/>
        <w:ind w:firstLine="540"/>
        <w:jc w:val="both"/>
        <w:rPr>
          <w:color w:val="auto"/>
          <w:sz w:val="22"/>
          <w:szCs w:val="22"/>
        </w:rPr>
      </w:pPr>
      <w:r>
        <w:rPr>
          <w:color w:val="auto"/>
          <w:sz w:val="22"/>
          <w:szCs w:val="22"/>
        </w:rPr>
        <w:t>организация самостоятельной деятельности с учетом требований ее безопасности, сохранности инвентаря и оборудования, организации места занятий;</w:t>
      </w:r>
    </w:p>
    <w:p w14:paraId="6A0F8A39">
      <w:pPr>
        <w:pStyle w:val="85"/>
        <w:spacing w:before="240"/>
        <w:ind w:firstLine="540"/>
        <w:jc w:val="both"/>
        <w:rPr>
          <w:color w:val="auto"/>
          <w:sz w:val="22"/>
          <w:szCs w:val="22"/>
        </w:rPr>
      </w:pPr>
      <w:r>
        <w:rPr>
          <w:color w:val="auto"/>
          <w:sz w:val="22"/>
          <w:szCs w:val="22"/>
        </w:rPr>
        <w:t>владение основами самоконтроля, самооценки, принятия решений и осуществления осознанного выбора в учебной и познавательной деятельности.</w:t>
      </w:r>
    </w:p>
    <w:p w14:paraId="7E30718B">
      <w:pPr>
        <w:pStyle w:val="85"/>
        <w:spacing w:before="240"/>
        <w:ind w:firstLine="540"/>
        <w:jc w:val="both"/>
        <w:rPr>
          <w:color w:val="auto"/>
          <w:sz w:val="22"/>
          <w:szCs w:val="22"/>
        </w:rPr>
      </w:pPr>
      <w:r>
        <w:rPr>
          <w:color w:val="auto"/>
          <w:sz w:val="22"/>
          <w:szCs w:val="22"/>
        </w:rPr>
        <w:t>16.4.27.7.3. При изучении модуля "Киокусинкай" на уровне начального общего образования у обучающихся будут сформированы следующие предметные результаты:</w:t>
      </w:r>
    </w:p>
    <w:p w14:paraId="3FA1214E">
      <w:pPr>
        <w:pStyle w:val="85"/>
        <w:spacing w:before="240"/>
        <w:ind w:firstLine="540"/>
        <w:jc w:val="both"/>
        <w:rPr>
          <w:color w:val="auto"/>
          <w:sz w:val="22"/>
          <w:szCs w:val="22"/>
        </w:rPr>
      </w:pPr>
      <w:r>
        <w:rPr>
          <w:color w:val="auto"/>
          <w:sz w:val="22"/>
          <w:szCs w:val="22"/>
        </w:rPr>
        <w:t>понимание значения занятий киокусинкай как средства укрепления здоровья, закаливания и развития двигательных и физических качеств человека;</w:t>
      </w:r>
    </w:p>
    <w:p w14:paraId="6B0CF9A3">
      <w:pPr>
        <w:pStyle w:val="85"/>
        <w:spacing w:before="240"/>
        <w:ind w:firstLine="540"/>
        <w:jc w:val="both"/>
        <w:rPr>
          <w:color w:val="auto"/>
          <w:sz w:val="22"/>
          <w:szCs w:val="22"/>
        </w:rPr>
      </w:pPr>
      <w:r>
        <w:rPr>
          <w:color w:val="auto"/>
          <w:sz w:val="22"/>
          <w:szCs w:val="22"/>
        </w:rPr>
        <w:t>знание истории возникновения и развития киокусинкай, достижений каратистов киокусинкай и сборной команды страны на мировых чемпионатах и чемпионатах Европы;</w:t>
      </w:r>
    </w:p>
    <w:p w14:paraId="1F11D41C">
      <w:pPr>
        <w:pStyle w:val="85"/>
        <w:spacing w:before="240"/>
        <w:ind w:firstLine="540"/>
        <w:jc w:val="both"/>
        <w:rPr>
          <w:color w:val="auto"/>
          <w:sz w:val="22"/>
          <w:szCs w:val="22"/>
        </w:rPr>
      </w:pPr>
      <w:r>
        <w:rPr>
          <w:color w:val="auto"/>
          <w:sz w:val="22"/>
          <w:szCs w:val="22"/>
        </w:rPr>
        <w:t>знание дисциплин (видов) киокусинкай, а также разновидностей каратэ, основных правил соревнований, разрешенных и запрещенных действий в киокусинкай, весовых категорий, технико-тактической подготовки, методов и условий подготовки к соревнованиям;</w:t>
      </w:r>
    </w:p>
    <w:p w14:paraId="57ECAB37">
      <w:pPr>
        <w:pStyle w:val="85"/>
        <w:spacing w:before="240"/>
        <w:ind w:firstLine="540"/>
        <w:jc w:val="both"/>
        <w:rPr>
          <w:color w:val="auto"/>
          <w:sz w:val="22"/>
          <w:szCs w:val="22"/>
        </w:rPr>
      </w:pPr>
      <w:r>
        <w:rPr>
          <w:color w:val="auto"/>
          <w:sz w:val="22"/>
          <w:szCs w:val="22"/>
        </w:rPr>
        <w:t>умение характеризовать упражнения и комплексы упражнений общефизической, специальной, корригирующей направленности, подготовительного и специального воздействия для занятий киокусинкай для развития физических качеств и двигательных способностей, индивидуальных технических элементов и действий в киокусинкай, методики их выполнения;</w:t>
      </w:r>
    </w:p>
    <w:p w14:paraId="49E030D5">
      <w:pPr>
        <w:pStyle w:val="85"/>
        <w:spacing w:before="240"/>
        <w:ind w:firstLine="540"/>
        <w:jc w:val="both"/>
        <w:rPr>
          <w:color w:val="auto"/>
          <w:sz w:val="22"/>
          <w:szCs w:val="22"/>
        </w:rPr>
      </w:pPr>
      <w:r>
        <w:rPr>
          <w:color w:val="auto"/>
          <w:sz w:val="22"/>
          <w:szCs w:val="22"/>
        </w:rPr>
        <w:t>умение соблюдать правила безопасного поведения во время занятий по киокусинкай; правила личной гигиены, требования к спортивной одежде и обуви, спортивному инвентарю для занятий киокусинкай;</w:t>
      </w:r>
    </w:p>
    <w:p w14:paraId="4A747DBF">
      <w:pPr>
        <w:pStyle w:val="85"/>
        <w:spacing w:before="240"/>
        <w:ind w:firstLine="540"/>
        <w:jc w:val="both"/>
        <w:rPr>
          <w:color w:val="auto"/>
          <w:sz w:val="22"/>
          <w:szCs w:val="22"/>
        </w:rPr>
      </w:pPr>
      <w:r>
        <w:rPr>
          <w:color w:val="auto"/>
          <w:sz w:val="22"/>
          <w:szCs w:val="22"/>
        </w:rPr>
        <w:t>умение проводить наблюдения за своим физическим состоянием, величиной физических нагрузок, показателями физического развития и основных физических качеств;</w:t>
      </w:r>
    </w:p>
    <w:p w14:paraId="52A3A23B">
      <w:pPr>
        <w:pStyle w:val="85"/>
        <w:spacing w:before="240"/>
        <w:ind w:firstLine="540"/>
        <w:jc w:val="both"/>
        <w:rPr>
          <w:color w:val="auto"/>
          <w:sz w:val="22"/>
          <w:szCs w:val="22"/>
        </w:rPr>
      </w:pPr>
      <w:r>
        <w:rPr>
          <w:color w:val="auto"/>
          <w:sz w:val="22"/>
          <w:szCs w:val="22"/>
        </w:rPr>
        <w:t>умение организовывать самостоятельные и коллективные занятия с элементами киокусинкай со сверстниками - проведение подвижных игр с элементами единоборств;</w:t>
      </w:r>
    </w:p>
    <w:p w14:paraId="582C7954">
      <w:pPr>
        <w:pStyle w:val="85"/>
        <w:spacing w:before="240"/>
        <w:ind w:firstLine="540"/>
        <w:jc w:val="both"/>
        <w:rPr>
          <w:color w:val="auto"/>
          <w:sz w:val="22"/>
          <w:szCs w:val="22"/>
        </w:rPr>
      </w:pPr>
      <w:r>
        <w:rPr>
          <w:color w:val="auto"/>
          <w:sz w:val="22"/>
          <w:szCs w:val="22"/>
        </w:rPr>
        <w:t>умение выполнять комплексы общеразвивающих, специальных и корригирующих упражнений; упражнений на развитие быстроты, ловкости, гибкости; упражнений для укрепления мышц шеи и туловища, ног и рук, голеностопных суставов и формирования правильной осанки;</w:t>
      </w:r>
    </w:p>
    <w:p w14:paraId="0FF60E61">
      <w:pPr>
        <w:pStyle w:val="85"/>
        <w:spacing w:before="240"/>
        <w:ind w:firstLine="540"/>
        <w:jc w:val="both"/>
        <w:rPr>
          <w:color w:val="auto"/>
          <w:sz w:val="22"/>
          <w:szCs w:val="22"/>
        </w:rPr>
      </w:pPr>
      <w:r>
        <w:rPr>
          <w:color w:val="auto"/>
          <w:sz w:val="22"/>
          <w:szCs w:val="22"/>
        </w:rPr>
        <w:t>умение выполнять подготовительные и специальные упражнения каратиста киокусинкай в том числе имитационные упражнения технических приемов; технические действия и базовые приемы ката и в паре;</w:t>
      </w:r>
    </w:p>
    <w:p w14:paraId="3FEC915B">
      <w:pPr>
        <w:pStyle w:val="85"/>
        <w:spacing w:before="240"/>
        <w:ind w:firstLine="540"/>
        <w:jc w:val="both"/>
        <w:rPr>
          <w:color w:val="auto"/>
          <w:sz w:val="22"/>
          <w:szCs w:val="22"/>
        </w:rPr>
      </w:pPr>
      <w:r>
        <w:rPr>
          <w:color w:val="auto"/>
          <w:sz w:val="22"/>
          <w:szCs w:val="22"/>
        </w:rPr>
        <w:t>умение выполнять элементы базовой техники (кихон), в том числе тачиката (стойки): шидзэнтай (сотохачиджи-дачи), дзэнкуцу-дачи, хэйко-дачи, учихачиджи-дачи, кумитэ-дачи (кумитэ-но камаэ), санчин-дачи, кокуцу-дачи, мусуби-дачи; цуки (удары руками): сэйкэн ой-дзуки, сэйкэн гяку-дзуки, моротэ-дзуки, сэйкэн аго-учи, сэйкэн шита-дзуки; укэ (блоки): джедан-укэ, гэдан-барай, чудан сото-укэ, чудан учи-укэ; кэри (удары ногами): хидза-гэри, кин-гэри, маэ-гэри, еко-кэагэ; способы защиты от изученных технических действий, передвижения по татами, использование площади татами для решения тактических задач;</w:t>
      </w:r>
    </w:p>
    <w:p w14:paraId="0016A013">
      <w:pPr>
        <w:pStyle w:val="85"/>
        <w:spacing w:before="240"/>
        <w:ind w:firstLine="540"/>
        <w:jc w:val="both"/>
        <w:rPr>
          <w:color w:val="auto"/>
          <w:sz w:val="22"/>
          <w:szCs w:val="22"/>
        </w:rPr>
      </w:pPr>
      <w:r>
        <w:rPr>
          <w:color w:val="auto"/>
          <w:sz w:val="22"/>
          <w:szCs w:val="22"/>
        </w:rPr>
        <w:t>умение анализировать выполнение технического действия или приема и находить способы устранения ошибок;</w:t>
      </w:r>
    </w:p>
    <w:p w14:paraId="6FFE307C">
      <w:pPr>
        <w:pStyle w:val="85"/>
        <w:spacing w:before="240"/>
        <w:ind w:firstLine="540"/>
        <w:jc w:val="both"/>
        <w:rPr>
          <w:color w:val="auto"/>
          <w:sz w:val="22"/>
          <w:szCs w:val="22"/>
        </w:rPr>
      </w:pPr>
      <w:r>
        <w:rPr>
          <w:color w:val="auto"/>
          <w:sz w:val="22"/>
          <w:szCs w:val="22"/>
        </w:rPr>
        <w:t>умение выполнять технические действия и тактические приемы спортивной борьбы в учебных поединках по упрощенным правилам и играх с элементами единоборств;</w:t>
      </w:r>
    </w:p>
    <w:p w14:paraId="02CBCC16">
      <w:pPr>
        <w:pStyle w:val="85"/>
        <w:spacing w:before="240"/>
        <w:ind w:firstLine="540"/>
        <w:jc w:val="both"/>
        <w:rPr>
          <w:color w:val="auto"/>
          <w:sz w:val="22"/>
          <w:szCs w:val="22"/>
        </w:rPr>
      </w:pPr>
      <w:r>
        <w:rPr>
          <w:color w:val="auto"/>
          <w:sz w:val="22"/>
          <w:szCs w:val="22"/>
        </w:rPr>
        <w:t>умение выполнять контрольно-тестовые упражнения по общей и специальной физической подготовке и оценивать показатели собственной физической подготовленности.</w:t>
      </w:r>
    </w:p>
    <w:p w14:paraId="715B4489">
      <w:pPr>
        <w:pStyle w:val="85"/>
        <w:spacing w:before="240"/>
        <w:ind w:firstLine="540"/>
        <w:jc w:val="both"/>
        <w:rPr>
          <w:color w:val="auto"/>
          <w:sz w:val="22"/>
          <w:szCs w:val="22"/>
        </w:rPr>
      </w:pPr>
      <w:r>
        <w:rPr>
          <w:color w:val="auto"/>
          <w:sz w:val="22"/>
          <w:szCs w:val="22"/>
        </w:rPr>
        <w:t>16.4.28. Модуль "Тяжелая атлетика".</w:t>
      </w:r>
    </w:p>
    <w:p w14:paraId="139934EC">
      <w:pPr>
        <w:pStyle w:val="85"/>
        <w:spacing w:before="240"/>
        <w:ind w:firstLine="540"/>
        <w:jc w:val="both"/>
        <w:rPr>
          <w:color w:val="auto"/>
          <w:sz w:val="22"/>
          <w:szCs w:val="22"/>
        </w:rPr>
      </w:pPr>
      <w:r>
        <w:rPr>
          <w:color w:val="auto"/>
          <w:sz w:val="22"/>
          <w:szCs w:val="22"/>
        </w:rPr>
        <w:t>16.4.28.1. Пояснительная записка модуля "Тяжелая атлетика".</w:t>
      </w:r>
    </w:p>
    <w:p w14:paraId="70E799A1">
      <w:pPr>
        <w:pStyle w:val="85"/>
        <w:spacing w:before="240"/>
        <w:ind w:firstLine="540"/>
        <w:jc w:val="both"/>
        <w:rPr>
          <w:color w:val="auto"/>
          <w:sz w:val="22"/>
          <w:szCs w:val="22"/>
        </w:rPr>
      </w:pPr>
      <w:r>
        <w:rPr>
          <w:color w:val="auto"/>
          <w:sz w:val="22"/>
          <w:szCs w:val="22"/>
        </w:rPr>
        <w:t>Модуль "Тяжелая атлетика" (далее - модуль "Тяжелая атлетика", модуль по тяжелой атлетике, тяжелая атлетика) на уровне начального общего образования разработан с целью оказания методической помощи учителю физической культуры в создании части рабочей программы по учебному предмету "Физическая культура", направленной на формирование общих представлений о физической культуре и спорте, физической активности человека, физических качествах, жизненно важных прикладных умениях и навыках, основных физических упражнениях (игровых и спортивных) с целью достижения результатов ФГОС НОО, с учетом современных тенденций в системе образования и использования спортивно-ориентированных форм, средств и методов обучения по различным видам спорта.</w:t>
      </w:r>
    </w:p>
    <w:p w14:paraId="0FE56888">
      <w:pPr>
        <w:pStyle w:val="85"/>
        <w:spacing w:before="240"/>
        <w:ind w:firstLine="540"/>
        <w:jc w:val="both"/>
        <w:rPr>
          <w:color w:val="auto"/>
          <w:sz w:val="22"/>
          <w:szCs w:val="22"/>
        </w:rPr>
      </w:pPr>
      <w:r>
        <w:rPr>
          <w:color w:val="auto"/>
          <w:sz w:val="22"/>
          <w:szCs w:val="22"/>
        </w:rPr>
        <w:t>Тяжелая атлетика является одним из универсальных средств физического воспитания. Выполнение тяжелоатлетических упражнений, как с применением отягощения, так и без него, имеют большое оздоровительное, воспитательное и прикладное значение, так как включают в себя двигательные действия, необходимые каждому здоровому человеку для полноценной повседневной жизни. Например, приседания, наклоны, выпрыгивания.</w:t>
      </w:r>
    </w:p>
    <w:p w14:paraId="5D4629D2">
      <w:pPr>
        <w:pStyle w:val="85"/>
        <w:spacing w:before="240"/>
        <w:ind w:firstLine="540"/>
        <w:jc w:val="both"/>
        <w:rPr>
          <w:color w:val="auto"/>
          <w:sz w:val="22"/>
          <w:szCs w:val="22"/>
        </w:rPr>
      </w:pPr>
      <w:r>
        <w:rPr>
          <w:color w:val="auto"/>
          <w:sz w:val="22"/>
          <w:szCs w:val="22"/>
        </w:rPr>
        <w:t>Занятия тяжелой атлетикой способствуют гармоничному развитию и укреплению здоровья детей и подростков, комплексно влияют на органы и системы растущего организма, укрепляя и повышая функциональный уровень костно-мышечной, сердечно-сосудистой, дыхательной, нервной и других систем организма человека.</w:t>
      </w:r>
    </w:p>
    <w:p w14:paraId="5D29B426">
      <w:pPr>
        <w:pStyle w:val="85"/>
        <w:spacing w:before="240"/>
        <w:ind w:firstLine="540"/>
        <w:jc w:val="both"/>
        <w:rPr>
          <w:color w:val="auto"/>
          <w:sz w:val="22"/>
          <w:szCs w:val="22"/>
        </w:rPr>
      </w:pPr>
      <w:r>
        <w:rPr>
          <w:color w:val="auto"/>
          <w:sz w:val="22"/>
          <w:szCs w:val="22"/>
        </w:rPr>
        <w:t>Образовательная деятельность средствами тяжелой атлетики способствует формированию у обучающихся чувства патриотизма, а также таких нравственных качеств, как честность, доброжелательность, дисциплинированность и самообладание в сочетании с волевыми качествами: смелость, решительность, инициативность, трудолюбие, настойчивость и целеустремленность, способность управлять своими эмоциями.</w:t>
      </w:r>
    </w:p>
    <w:p w14:paraId="1EAE87BF">
      <w:pPr>
        <w:pStyle w:val="85"/>
        <w:spacing w:before="240"/>
        <w:ind w:firstLine="540"/>
        <w:jc w:val="both"/>
        <w:rPr>
          <w:color w:val="auto"/>
          <w:sz w:val="22"/>
          <w:szCs w:val="22"/>
        </w:rPr>
      </w:pPr>
      <w:r>
        <w:rPr>
          <w:color w:val="auto"/>
          <w:sz w:val="22"/>
          <w:szCs w:val="22"/>
        </w:rPr>
        <w:t>16.4.28.2. Целью изучения модуля "Тяжелая атлетика" является формирование у обучающихся навыков общечеловеческой культуры, социального самоопределения, устойчивой мотивации к сохранению и укреплению собственного здоровья, ведению здорового и безопасного образа жизни через занятия физической культурой и спортом с использованием средств тяжелой атлетики.</w:t>
      </w:r>
    </w:p>
    <w:p w14:paraId="553A96DD">
      <w:pPr>
        <w:pStyle w:val="85"/>
        <w:spacing w:before="240"/>
        <w:ind w:firstLine="540"/>
        <w:jc w:val="both"/>
        <w:rPr>
          <w:color w:val="auto"/>
          <w:sz w:val="22"/>
          <w:szCs w:val="22"/>
        </w:rPr>
      </w:pPr>
      <w:r>
        <w:rPr>
          <w:color w:val="auto"/>
          <w:sz w:val="22"/>
          <w:szCs w:val="22"/>
        </w:rPr>
        <w:t>16.4.28.3. Задачами изучения модуля "Тяжелая атлетика" являются:</w:t>
      </w:r>
    </w:p>
    <w:p w14:paraId="1514F2D8">
      <w:pPr>
        <w:pStyle w:val="85"/>
        <w:spacing w:before="240"/>
        <w:ind w:firstLine="540"/>
        <w:jc w:val="both"/>
        <w:rPr>
          <w:color w:val="auto"/>
          <w:sz w:val="22"/>
          <w:szCs w:val="22"/>
        </w:rPr>
      </w:pPr>
      <w:r>
        <w:rPr>
          <w:color w:val="auto"/>
          <w:sz w:val="22"/>
          <w:szCs w:val="22"/>
        </w:rPr>
        <w:t>всестороннее гармоничное развитие детей и подростков, увеличение объема их двигательной активности;</w:t>
      </w:r>
    </w:p>
    <w:p w14:paraId="09DCE66A">
      <w:pPr>
        <w:pStyle w:val="85"/>
        <w:spacing w:before="240"/>
        <w:ind w:firstLine="540"/>
        <w:jc w:val="both"/>
        <w:rPr>
          <w:color w:val="auto"/>
          <w:sz w:val="22"/>
          <w:szCs w:val="22"/>
        </w:rPr>
      </w:pPr>
      <w:r>
        <w:rPr>
          <w:color w:val="auto"/>
          <w:sz w:val="22"/>
          <w:szCs w:val="22"/>
        </w:rPr>
        <w:t>укрепление физического, психологического и социального здоровья обучающихся, развитие основных физических качеств и повышение функциональных возможностей их организма, обеспечение культуры безопасного поведения на занятиях в тренажерном зале;</w:t>
      </w:r>
    </w:p>
    <w:p w14:paraId="4DF61384">
      <w:pPr>
        <w:pStyle w:val="85"/>
        <w:spacing w:before="240"/>
        <w:ind w:firstLine="540"/>
        <w:jc w:val="both"/>
        <w:rPr>
          <w:color w:val="auto"/>
          <w:sz w:val="22"/>
          <w:szCs w:val="22"/>
        </w:rPr>
      </w:pPr>
      <w:r>
        <w:rPr>
          <w:color w:val="auto"/>
          <w:sz w:val="22"/>
          <w:szCs w:val="22"/>
        </w:rPr>
        <w:t>освоение знаний о физической культуре и спорте в целом, и о тяжелой атлетике и упражнениях с отягощениями в частности;</w:t>
      </w:r>
    </w:p>
    <w:p w14:paraId="61556522">
      <w:pPr>
        <w:pStyle w:val="85"/>
        <w:spacing w:before="240"/>
        <w:ind w:firstLine="540"/>
        <w:jc w:val="both"/>
        <w:rPr>
          <w:color w:val="auto"/>
          <w:sz w:val="22"/>
          <w:szCs w:val="22"/>
        </w:rPr>
      </w:pPr>
      <w:r>
        <w:rPr>
          <w:color w:val="auto"/>
          <w:sz w:val="22"/>
          <w:szCs w:val="22"/>
        </w:rPr>
        <w:t>формирование общих представлений о тяжелой атлетике, о возможностях и значении упражнений с отягощениями в процессе укрепления здоровья, физическом развитии и физической подготовке обучающихся;</w:t>
      </w:r>
    </w:p>
    <w:p w14:paraId="4D251EDB">
      <w:pPr>
        <w:pStyle w:val="85"/>
        <w:spacing w:before="240"/>
        <w:ind w:firstLine="540"/>
        <w:jc w:val="both"/>
        <w:rPr>
          <w:color w:val="auto"/>
          <w:sz w:val="22"/>
          <w:szCs w:val="22"/>
        </w:rPr>
      </w:pPr>
      <w:r>
        <w:rPr>
          <w:color w:val="auto"/>
          <w:sz w:val="22"/>
          <w:szCs w:val="22"/>
        </w:rPr>
        <w:t>формирование культуры движений, обогащение двигательного опыта физическими упражнениями с общеразвивающей и корригирующей направленностью, техническими приемами вида спорта "тяжелая атлетика";</w:t>
      </w:r>
    </w:p>
    <w:p w14:paraId="35321BA3">
      <w:pPr>
        <w:pStyle w:val="85"/>
        <w:spacing w:before="240"/>
        <w:ind w:firstLine="540"/>
        <w:jc w:val="both"/>
        <w:rPr>
          <w:color w:val="auto"/>
          <w:sz w:val="22"/>
          <w:szCs w:val="22"/>
        </w:rPr>
      </w:pPr>
      <w:r>
        <w:rPr>
          <w:color w:val="auto"/>
          <w:sz w:val="22"/>
          <w:szCs w:val="22"/>
        </w:rPr>
        <w:t>формирование образовательного фундамента, основанного на знаниях и умениях в области физической культуры и спорта, на соответствующем культурном уровне развития личности обучающегося, создающем необходимые предпосылки для его самореализации;</w:t>
      </w:r>
    </w:p>
    <w:p w14:paraId="08FBE187">
      <w:pPr>
        <w:pStyle w:val="85"/>
        <w:spacing w:before="240"/>
        <w:ind w:firstLine="540"/>
        <w:jc w:val="both"/>
        <w:rPr>
          <w:color w:val="auto"/>
          <w:sz w:val="22"/>
          <w:szCs w:val="22"/>
        </w:rPr>
      </w:pPr>
      <w:r>
        <w:rPr>
          <w:color w:val="auto"/>
          <w:sz w:val="22"/>
          <w:szCs w:val="22"/>
        </w:rPr>
        <w:t>воспитание положительных качеств личности, норм коллективного взаимодействия и сотрудничества;</w:t>
      </w:r>
    </w:p>
    <w:p w14:paraId="48E83448">
      <w:pPr>
        <w:pStyle w:val="85"/>
        <w:spacing w:before="240"/>
        <w:ind w:firstLine="540"/>
        <w:jc w:val="both"/>
        <w:rPr>
          <w:color w:val="auto"/>
          <w:sz w:val="22"/>
          <w:szCs w:val="22"/>
        </w:rPr>
      </w:pPr>
      <w:r>
        <w:rPr>
          <w:color w:val="auto"/>
          <w:sz w:val="22"/>
          <w:szCs w:val="22"/>
        </w:rPr>
        <w:t>развитие положительной мотивации и устойчивого учебно-познавательного интереса к учебному предмету "Физическая культура", удовлетворение индивидуальных потребностей обучающихся в занятиях физической культурой и спортом средствами тяжелой атлетики;</w:t>
      </w:r>
    </w:p>
    <w:p w14:paraId="00BD0BF4">
      <w:pPr>
        <w:pStyle w:val="85"/>
        <w:spacing w:before="240"/>
        <w:ind w:firstLine="540"/>
        <w:jc w:val="both"/>
        <w:rPr>
          <w:color w:val="auto"/>
          <w:sz w:val="22"/>
          <w:szCs w:val="22"/>
        </w:rPr>
      </w:pPr>
      <w:r>
        <w:rPr>
          <w:color w:val="auto"/>
          <w:sz w:val="22"/>
          <w:szCs w:val="22"/>
        </w:rPr>
        <w:t>популяризация тяжелой атлетики среди подрастающего поколения; привлечение обучающихся проявляющих повышенный интерес и способности к занятиям тяжелой атлетикой в школьные спортивные клубы, секции, к участию в соревнованиях;</w:t>
      </w:r>
    </w:p>
    <w:p w14:paraId="32FB3579">
      <w:pPr>
        <w:pStyle w:val="85"/>
        <w:spacing w:before="240"/>
        <w:ind w:firstLine="540"/>
        <w:jc w:val="both"/>
        <w:rPr>
          <w:color w:val="auto"/>
          <w:sz w:val="22"/>
          <w:szCs w:val="22"/>
        </w:rPr>
      </w:pPr>
      <w:r>
        <w:rPr>
          <w:color w:val="auto"/>
          <w:sz w:val="22"/>
          <w:szCs w:val="22"/>
        </w:rPr>
        <w:t>выявление, развитие и поддержка одаренных детей в области спорта.</w:t>
      </w:r>
    </w:p>
    <w:p w14:paraId="47267690">
      <w:pPr>
        <w:pStyle w:val="85"/>
        <w:spacing w:before="240"/>
        <w:ind w:firstLine="540"/>
        <w:jc w:val="both"/>
        <w:rPr>
          <w:color w:val="auto"/>
          <w:sz w:val="22"/>
          <w:szCs w:val="22"/>
        </w:rPr>
      </w:pPr>
      <w:r>
        <w:rPr>
          <w:color w:val="auto"/>
          <w:sz w:val="22"/>
          <w:szCs w:val="22"/>
        </w:rPr>
        <w:t>16.4.28.4. Место и роль модуля "Тяжелая атлетика".</w:t>
      </w:r>
    </w:p>
    <w:p w14:paraId="21AB8414">
      <w:pPr>
        <w:pStyle w:val="85"/>
        <w:spacing w:before="240"/>
        <w:ind w:firstLine="540"/>
        <w:jc w:val="both"/>
        <w:rPr>
          <w:color w:val="auto"/>
          <w:sz w:val="22"/>
          <w:szCs w:val="22"/>
        </w:rPr>
      </w:pPr>
      <w:r>
        <w:rPr>
          <w:color w:val="auto"/>
          <w:sz w:val="22"/>
          <w:szCs w:val="22"/>
        </w:rPr>
        <w:t>Модуль "Тяжелая атлетика" доступен для освоения всем обучающимся, и обеспечивает достижение следующих результатов ФГОС НОО: сформированность общих представлений о физической культуре и спорте, физической активности человека, физических качествах, жизненно важных прикладных умениях и навыках, основных физических упражнениях (гимнастических, игровых, туристических и спортивных).</w:t>
      </w:r>
    </w:p>
    <w:p w14:paraId="0E001B16">
      <w:pPr>
        <w:pStyle w:val="85"/>
        <w:spacing w:before="240"/>
        <w:ind w:firstLine="540"/>
        <w:jc w:val="both"/>
        <w:rPr>
          <w:color w:val="auto"/>
          <w:sz w:val="22"/>
          <w:szCs w:val="22"/>
        </w:rPr>
      </w:pPr>
      <w:r>
        <w:rPr>
          <w:color w:val="auto"/>
          <w:sz w:val="22"/>
          <w:szCs w:val="22"/>
        </w:rPr>
        <w:t>Программное содержание модуля "Тяжелая атлетика" может быть использовано в разделах "Знания о физической культуре", "Способы самостоятельной деятельности", "Физическое совершенствование".</w:t>
      </w:r>
    </w:p>
    <w:p w14:paraId="5F1D8DF8">
      <w:pPr>
        <w:pStyle w:val="85"/>
        <w:spacing w:before="240"/>
        <w:ind w:firstLine="540"/>
        <w:jc w:val="both"/>
        <w:rPr>
          <w:color w:val="auto"/>
          <w:sz w:val="22"/>
          <w:szCs w:val="22"/>
        </w:rPr>
      </w:pPr>
      <w:r>
        <w:rPr>
          <w:color w:val="auto"/>
          <w:sz w:val="22"/>
          <w:szCs w:val="22"/>
        </w:rPr>
        <w:t>Интеграция модуля "Тяжелая атлетика" поможет обучающимся в освоении образовательных программ в рамках внеурочной деятельности, дополнительного образования, деятельности школьных спортивных клубов, подготовке обучающихся к сдаче норм ГТО и участии в спортивных соревнованиях.</w:t>
      </w:r>
    </w:p>
    <w:p w14:paraId="6EC15CDF">
      <w:pPr>
        <w:pStyle w:val="85"/>
        <w:spacing w:before="240"/>
        <w:ind w:firstLine="540"/>
        <w:jc w:val="both"/>
        <w:rPr>
          <w:color w:val="auto"/>
          <w:sz w:val="22"/>
          <w:szCs w:val="22"/>
        </w:rPr>
      </w:pPr>
      <w:r>
        <w:rPr>
          <w:color w:val="auto"/>
          <w:sz w:val="22"/>
          <w:szCs w:val="22"/>
        </w:rPr>
        <w:t>16.4.28.5. Модуль "Тяжелая атлетика" может быть реализован в следующих вариантах:</w:t>
      </w:r>
    </w:p>
    <w:p w14:paraId="243C9B38">
      <w:pPr>
        <w:pStyle w:val="85"/>
        <w:spacing w:before="240"/>
        <w:ind w:firstLine="540"/>
        <w:jc w:val="both"/>
        <w:rPr>
          <w:color w:val="auto"/>
          <w:sz w:val="22"/>
          <w:szCs w:val="22"/>
        </w:rPr>
      </w:pPr>
      <w:r>
        <w:rPr>
          <w:color w:val="auto"/>
          <w:sz w:val="22"/>
          <w:szCs w:val="22"/>
        </w:rPr>
        <w:t>при самостоятельном планировании учителем физической культуры процесса освоения обучающимися учебного материала по тяжелой атлетике с выбором различных элементов специальных физических упражнений, игр и (или) элементов игры, с учетом возраста и физической подготовленности обучающихся (с соответствующей дозировкой и интенсивностью);</w:t>
      </w:r>
    </w:p>
    <w:p w14:paraId="28840BFE">
      <w:pPr>
        <w:pStyle w:val="85"/>
        <w:spacing w:before="240"/>
        <w:ind w:firstLine="540"/>
        <w:jc w:val="both"/>
        <w:rPr>
          <w:color w:val="auto"/>
          <w:sz w:val="22"/>
          <w:szCs w:val="22"/>
        </w:rPr>
      </w:pPr>
      <w:r>
        <w:rPr>
          <w:color w:val="auto"/>
          <w:sz w:val="22"/>
          <w:szCs w:val="22"/>
        </w:rPr>
        <w:t>в виде дополнительных часов, выделяемых на спортивно-оздоровительную работу с обучающимися в рамках внеурочной деятельности и (или) за счет посещения обучающимися спортивных секций школьных спортивных клубов (рекомендуемый объем в 1 классе - 33 часа, во 2 - 4 классах - по 34 часа).</w:t>
      </w:r>
    </w:p>
    <w:p w14:paraId="56CE327F">
      <w:pPr>
        <w:pStyle w:val="85"/>
        <w:spacing w:before="240"/>
        <w:ind w:firstLine="540"/>
        <w:jc w:val="both"/>
        <w:rPr>
          <w:color w:val="auto"/>
          <w:sz w:val="22"/>
          <w:szCs w:val="22"/>
        </w:rPr>
      </w:pPr>
      <w:r>
        <w:rPr>
          <w:color w:val="auto"/>
          <w:sz w:val="22"/>
          <w:szCs w:val="22"/>
        </w:rPr>
        <w:t>16.4.28.6. Содержание модуля "Тяжелая атлетика".</w:t>
      </w:r>
    </w:p>
    <w:p w14:paraId="78D80DA9">
      <w:pPr>
        <w:pStyle w:val="85"/>
        <w:spacing w:before="240"/>
        <w:ind w:firstLine="540"/>
        <w:jc w:val="both"/>
        <w:rPr>
          <w:color w:val="auto"/>
          <w:sz w:val="22"/>
          <w:szCs w:val="22"/>
        </w:rPr>
      </w:pPr>
      <w:r>
        <w:rPr>
          <w:color w:val="auto"/>
          <w:sz w:val="22"/>
          <w:szCs w:val="22"/>
        </w:rPr>
        <w:t>1) Знания о тяжелой атлетике.</w:t>
      </w:r>
    </w:p>
    <w:p w14:paraId="51B21644">
      <w:pPr>
        <w:pStyle w:val="85"/>
        <w:spacing w:before="240"/>
        <w:ind w:firstLine="540"/>
        <w:jc w:val="both"/>
        <w:rPr>
          <w:color w:val="auto"/>
          <w:sz w:val="22"/>
          <w:szCs w:val="22"/>
        </w:rPr>
      </w:pPr>
      <w:r>
        <w:rPr>
          <w:color w:val="auto"/>
          <w:sz w:val="22"/>
          <w:szCs w:val="22"/>
        </w:rPr>
        <w:t>История зарождения тяжелой атлетики. Легендарные отечественные тяжелоатлеты и тренеры.</w:t>
      </w:r>
    </w:p>
    <w:p w14:paraId="64CB5626">
      <w:pPr>
        <w:pStyle w:val="85"/>
        <w:spacing w:before="240"/>
        <w:ind w:firstLine="540"/>
        <w:jc w:val="both"/>
        <w:rPr>
          <w:color w:val="auto"/>
          <w:sz w:val="22"/>
          <w:szCs w:val="22"/>
        </w:rPr>
      </w:pPr>
      <w:r>
        <w:rPr>
          <w:color w:val="auto"/>
          <w:sz w:val="22"/>
          <w:szCs w:val="22"/>
        </w:rPr>
        <w:t xml:space="preserve">Достижения отечественных спортсменов-тяжелоатлетов </w:t>
      </w:r>
    </w:p>
    <w:p w14:paraId="589670F5">
      <w:pPr>
        <w:pStyle w:val="85"/>
        <w:spacing w:before="240"/>
        <w:ind w:firstLine="540"/>
        <w:jc w:val="both"/>
        <w:rPr>
          <w:color w:val="auto"/>
          <w:sz w:val="22"/>
          <w:szCs w:val="22"/>
        </w:rPr>
      </w:pPr>
      <w:r>
        <w:rPr>
          <w:color w:val="auto"/>
          <w:sz w:val="22"/>
          <w:szCs w:val="22"/>
        </w:rPr>
        <w:t>Соревновательная программа в тяжелой атлетике. Основы правил соревнований по тяжелой атлетике.</w:t>
      </w:r>
    </w:p>
    <w:p w14:paraId="5DAF425F">
      <w:pPr>
        <w:pStyle w:val="85"/>
        <w:spacing w:before="240"/>
        <w:ind w:firstLine="540"/>
        <w:jc w:val="both"/>
        <w:rPr>
          <w:color w:val="auto"/>
          <w:sz w:val="22"/>
          <w:szCs w:val="22"/>
        </w:rPr>
      </w:pPr>
      <w:r>
        <w:rPr>
          <w:color w:val="auto"/>
          <w:sz w:val="22"/>
          <w:szCs w:val="22"/>
        </w:rPr>
        <w:t>Словарь терминов и определений в тяжелой атлетике.</w:t>
      </w:r>
    </w:p>
    <w:p w14:paraId="45FA3270">
      <w:pPr>
        <w:pStyle w:val="85"/>
        <w:spacing w:before="240"/>
        <w:ind w:firstLine="540"/>
        <w:jc w:val="both"/>
        <w:rPr>
          <w:color w:val="auto"/>
          <w:sz w:val="22"/>
          <w:szCs w:val="22"/>
        </w:rPr>
      </w:pPr>
      <w:r>
        <w:rPr>
          <w:color w:val="auto"/>
          <w:sz w:val="22"/>
          <w:szCs w:val="22"/>
        </w:rPr>
        <w:t>Тяжелоатлетический снаряд - штанга. Соревновательная и разминочная зона в тяжелой атлетике. Основной инвентарь и оборудование для занятий тяжелой атлетикой.</w:t>
      </w:r>
    </w:p>
    <w:p w14:paraId="411590F1">
      <w:pPr>
        <w:pStyle w:val="85"/>
        <w:spacing w:before="240"/>
        <w:ind w:firstLine="540"/>
        <w:jc w:val="both"/>
        <w:rPr>
          <w:color w:val="auto"/>
          <w:sz w:val="22"/>
          <w:szCs w:val="22"/>
        </w:rPr>
      </w:pPr>
      <w:r>
        <w:rPr>
          <w:color w:val="auto"/>
          <w:sz w:val="22"/>
          <w:szCs w:val="22"/>
        </w:rPr>
        <w:t>Занятия тяжелой атлетикой как средство укрепления здоровья, повышения функциональных возможностей основных систем организма и развития физических качеств. Правила подбора физических упражнений с отягощениями и без них.</w:t>
      </w:r>
    </w:p>
    <w:p w14:paraId="4A5DFB8A">
      <w:pPr>
        <w:pStyle w:val="85"/>
        <w:spacing w:before="240"/>
        <w:ind w:firstLine="540"/>
        <w:jc w:val="both"/>
        <w:rPr>
          <w:color w:val="auto"/>
          <w:sz w:val="22"/>
          <w:szCs w:val="22"/>
        </w:rPr>
      </w:pPr>
      <w:r>
        <w:rPr>
          <w:color w:val="auto"/>
          <w:sz w:val="22"/>
          <w:szCs w:val="22"/>
        </w:rPr>
        <w:t>Комплексы упражнений для воспитания физических качеств тяжелоатлета. Формирующие факторы и средства здорового образа жизни.</w:t>
      </w:r>
    </w:p>
    <w:p w14:paraId="4BF9974D">
      <w:pPr>
        <w:pStyle w:val="85"/>
        <w:spacing w:before="240"/>
        <w:ind w:firstLine="540"/>
        <w:jc w:val="both"/>
        <w:rPr>
          <w:color w:val="auto"/>
          <w:sz w:val="22"/>
          <w:szCs w:val="22"/>
        </w:rPr>
      </w:pPr>
      <w:r>
        <w:rPr>
          <w:color w:val="auto"/>
          <w:sz w:val="22"/>
          <w:szCs w:val="22"/>
        </w:rPr>
        <w:t>Требования безопасности при организации занятий тяжелой атлетикой с применением отягощений. Характерные травмы тяжелоатлетов и мероприятия по их предупреждению.</w:t>
      </w:r>
    </w:p>
    <w:p w14:paraId="25DEEB4A">
      <w:pPr>
        <w:pStyle w:val="85"/>
        <w:spacing w:before="240"/>
        <w:ind w:firstLine="540"/>
        <w:jc w:val="both"/>
        <w:rPr>
          <w:color w:val="auto"/>
          <w:sz w:val="22"/>
          <w:szCs w:val="22"/>
        </w:rPr>
      </w:pPr>
      <w:r>
        <w:rPr>
          <w:color w:val="auto"/>
          <w:sz w:val="22"/>
          <w:szCs w:val="22"/>
        </w:rPr>
        <w:t>2) Способы самостоятельной деятельности.</w:t>
      </w:r>
    </w:p>
    <w:p w14:paraId="6E99A8BC">
      <w:pPr>
        <w:pStyle w:val="85"/>
        <w:spacing w:before="240"/>
        <w:ind w:firstLine="540"/>
        <w:jc w:val="both"/>
        <w:rPr>
          <w:color w:val="auto"/>
          <w:sz w:val="22"/>
          <w:szCs w:val="22"/>
        </w:rPr>
      </w:pPr>
      <w:r>
        <w:rPr>
          <w:color w:val="auto"/>
          <w:sz w:val="22"/>
          <w:szCs w:val="22"/>
        </w:rPr>
        <w:t>Первые внешние признаки утомления. Способы самоконтроля за физической нагрузкой.</w:t>
      </w:r>
    </w:p>
    <w:p w14:paraId="3A8B82D6">
      <w:pPr>
        <w:pStyle w:val="85"/>
        <w:spacing w:before="240"/>
        <w:ind w:firstLine="540"/>
        <w:jc w:val="both"/>
        <w:rPr>
          <w:color w:val="auto"/>
          <w:sz w:val="22"/>
          <w:szCs w:val="22"/>
        </w:rPr>
      </w:pPr>
      <w:r>
        <w:rPr>
          <w:color w:val="auto"/>
          <w:sz w:val="22"/>
          <w:szCs w:val="22"/>
        </w:rPr>
        <w:t>Уход за тяжелоатлетическим спортивным инвентарем, оборудованием и экипировкой.</w:t>
      </w:r>
    </w:p>
    <w:p w14:paraId="2D0B5C18">
      <w:pPr>
        <w:pStyle w:val="85"/>
        <w:spacing w:before="240"/>
        <w:ind w:firstLine="540"/>
        <w:jc w:val="both"/>
        <w:rPr>
          <w:color w:val="auto"/>
          <w:sz w:val="22"/>
          <w:szCs w:val="22"/>
        </w:rPr>
      </w:pPr>
      <w:r>
        <w:rPr>
          <w:color w:val="auto"/>
          <w:sz w:val="22"/>
          <w:szCs w:val="22"/>
        </w:rPr>
        <w:t>Соблюдение личной гигиены, требований к спортивной одежде и обуви для занятий тяжелой атлетикой.</w:t>
      </w:r>
    </w:p>
    <w:p w14:paraId="12596AD0">
      <w:pPr>
        <w:pStyle w:val="85"/>
        <w:spacing w:before="240"/>
        <w:ind w:firstLine="540"/>
        <w:jc w:val="both"/>
        <w:rPr>
          <w:color w:val="auto"/>
          <w:sz w:val="22"/>
          <w:szCs w:val="22"/>
        </w:rPr>
      </w:pPr>
      <w:r>
        <w:rPr>
          <w:color w:val="auto"/>
          <w:sz w:val="22"/>
          <w:szCs w:val="22"/>
        </w:rPr>
        <w:t>Составление комплексов различной направленности: утренней гигиенической гимнастики, корригирующей гимнастики с элементами тяжелой атлетики, дыхательной гимнастики, упражнений для глаз, упражнений формирования осанки и профилактики плоскостопия, упражнений для развития физических качеств, упражнений для укрепления коленного сустава, поясничного отдела позвоночника и плечевого пояса.</w:t>
      </w:r>
    </w:p>
    <w:p w14:paraId="5A9BD74F">
      <w:pPr>
        <w:pStyle w:val="85"/>
        <w:spacing w:before="240"/>
        <w:ind w:firstLine="540"/>
        <w:jc w:val="both"/>
        <w:rPr>
          <w:color w:val="auto"/>
          <w:sz w:val="22"/>
          <w:szCs w:val="22"/>
        </w:rPr>
      </w:pPr>
      <w:r>
        <w:rPr>
          <w:color w:val="auto"/>
          <w:sz w:val="22"/>
          <w:szCs w:val="22"/>
        </w:rPr>
        <w:t>Составление и проведение комплексов общеразвивающих упражнений.</w:t>
      </w:r>
    </w:p>
    <w:p w14:paraId="6C4E60A0">
      <w:pPr>
        <w:pStyle w:val="85"/>
        <w:spacing w:before="240"/>
        <w:ind w:firstLine="540"/>
        <w:jc w:val="both"/>
        <w:rPr>
          <w:color w:val="auto"/>
          <w:sz w:val="22"/>
          <w:szCs w:val="22"/>
        </w:rPr>
      </w:pPr>
      <w:r>
        <w:rPr>
          <w:color w:val="auto"/>
          <w:sz w:val="22"/>
          <w:szCs w:val="22"/>
        </w:rPr>
        <w:t>Организация и проведение занятий специальной направленности с элементами тяжелой атлетики. Выполнение специфических упражнений с гимнастической палкой для развития гибкости. Прыжковые упражнения.</w:t>
      </w:r>
    </w:p>
    <w:p w14:paraId="6A17F423">
      <w:pPr>
        <w:pStyle w:val="85"/>
        <w:spacing w:before="240"/>
        <w:ind w:firstLine="540"/>
        <w:jc w:val="both"/>
        <w:rPr>
          <w:color w:val="auto"/>
          <w:sz w:val="22"/>
          <w:szCs w:val="22"/>
        </w:rPr>
      </w:pPr>
      <w:r>
        <w:rPr>
          <w:color w:val="auto"/>
          <w:sz w:val="22"/>
          <w:szCs w:val="22"/>
        </w:rPr>
        <w:t>Основы организации самостоятельных занятий тяжелоатлетическим спортом.</w:t>
      </w:r>
    </w:p>
    <w:p w14:paraId="76366953">
      <w:pPr>
        <w:pStyle w:val="85"/>
        <w:spacing w:before="240"/>
        <w:ind w:firstLine="540"/>
        <w:jc w:val="both"/>
        <w:rPr>
          <w:color w:val="auto"/>
          <w:sz w:val="22"/>
          <w:szCs w:val="22"/>
        </w:rPr>
      </w:pPr>
      <w:r>
        <w:rPr>
          <w:color w:val="auto"/>
          <w:sz w:val="22"/>
          <w:szCs w:val="22"/>
        </w:rPr>
        <w:t>Причины возникновения технических ошибок при выполнении упражнений и способы их устранения.</w:t>
      </w:r>
    </w:p>
    <w:p w14:paraId="009AD674">
      <w:pPr>
        <w:pStyle w:val="85"/>
        <w:spacing w:before="240"/>
        <w:ind w:firstLine="540"/>
        <w:jc w:val="both"/>
        <w:rPr>
          <w:color w:val="auto"/>
          <w:sz w:val="22"/>
          <w:szCs w:val="22"/>
        </w:rPr>
      </w:pPr>
      <w:r>
        <w:rPr>
          <w:color w:val="auto"/>
          <w:sz w:val="22"/>
          <w:szCs w:val="22"/>
        </w:rPr>
        <w:t>Тестирование уровня физической подготовленности в тяжелой атлетике.</w:t>
      </w:r>
    </w:p>
    <w:p w14:paraId="52DA63BB">
      <w:pPr>
        <w:pStyle w:val="85"/>
        <w:spacing w:before="240"/>
        <w:ind w:firstLine="540"/>
        <w:jc w:val="both"/>
        <w:rPr>
          <w:color w:val="auto"/>
          <w:sz w:val="22"/>
          <w:szCs w:val="22"/>
        </w:rPr>
      </w:pPr>
      <w:r>
        <w:rPr>
          <w:color w:val="auto"/>
          <w:sz w:val="22"/>
          <w:szCs w:val="22"/>
        </w:rPr>
        <w:t>3) Физическое совершенствование.</w:t>
      </w:r>
    </w:p>
    <w:p w14:paraId="3BF7ED8F">
      <w:pPr>
        <w:pStyle w:val="85"/>
        <w:spacing w:before="240"/>
        <w:ind w:firstLine="540"/>
        <w:jc w:val="both"/>
        <w:rPr>
          <w:color w:val="auto"/>
          <w:sz w:val="22"/>
          <w:szCs w:val="22"/>
        </w:rPr>
      </w:pPr>
      <w:r>
        <w:rPr>
          <w:color w:val="auto"/>
          <w:sz w:val="22"/>
          <w:szCs w:val="22"/>
        </w:rPr>
        <w:t>Комплексы общеразвивающих и корригирующих упражнений.</w:t>
      </w:r>
    </w:p>
    <w:p w14:paraId="2DCBFEF0">
      <w:pPr>
        <w:pStyle w:val="85"/>
        <w:spacing w:before="240"/>
        <w:ind w:firstLine="540"/>
        <w:jc w:val="both"/>
        <w:rPr>
          <w:color w:val="auto"/>
          <w:sz w:val="22"/>
          <w:szCs w:val="22"/>
        </w:rPr>
      </w:pPr>
      <w:r>
        <w:rPr>
          <w:color w:val="auto"/>
          <w:sz w:val="22"/>
          <w:szCs w:val="22"/>
        </w:rPr>
        <w:t>Упражнения, направленные на воспитание физических качеств (быстроты, ловкости, гибкости).</w:t>
      </w:r>
    </w:p>
    <w:p w14:paraId="4D170060">
      <w:pPr>
        <w:pStyle w:val="85"/>
        <w:spacing w:before="240"/>
        <w:ind w:firstLine="540"/>
        <w:jc w:val="both"/>
        <w:rPr>
          <w:color w:val="auto"/>
          <w:sz w:val="22"/>
          <w:szCs w:val="22"/>
        </w:rPr>
      </w:pPr>
      <w:r>
        <w:rPr>
          <w:color w:val="auto"/>
          <w:sz w:val="22"/>
          <w:szCs w:val="22"/>
        </w:rPr>
        <w:t>Комплексы специальных упражнений для формирования технических действий тяжелоатлета, в том числе имитационные упражнения штангиста с гимнастической палкой.</w:t>
      </w:r>
    </w:p>
    <w:p w14:paraId="7E8913B5">
      <w:pPr>
        <w:pStyle w:val="85"/>
        <w:spacing w:before="240"/>
        <w:ind w:firstLine="540"/>
        <w:jc w:val="both"/>
        <w:rPr>
          <w:color w:val="auto"/>
          <w:sz w:val="22"/>
          <w:szCs w:val="22"/>
        </w:rPr>
      </w:pPr>
      <w:r>
        <w:rPr>
          <w:color w:val="auto"/>
          <w:sz w:val="22"/>
          <w:szCs w:val="22"/>
        </w:rPr>
        <w:t>Разминка, ее роль, назначение, средства. Комплексы специальной разминки в первой части тренировки тяжелоатлета и в начале соревнований.</w:t>
      </w:r>
    </w:p>
    <w:p w14:paraId="02AE0040">
      <w:pPr>
        <w:pStyle w:val="85"/>
        <w:spacing w:before="240"/>
        <w:ind w:firstLine="540"/>
        <w:jc w:val="both"/>
        <w:rPr>
          <w:color w:val="auto"/>
          <w:sz w:val="22"/>
          <w:szCs w:val="22"/>
        </w:rPr>
      </w:pPr>
      <w:r>
        <w:rPr>
          <w:color w:val="auto"/>
          <w:sz w:val="22"/>
          <w:szCs w:val="22"/>
        </w:rPr>
        <w:t>Комплексы корригирующей гимнастики с использованием специальных тяжелоатлетических упражнений.</w:t>
      </w:r>
    </w:p>
    <w:p w14:paraId="5E3C695C">
      <w:pPr>
        <w:pStyle w:val="85"/>
        <w:spacing w:before="240"/>
        <w:ind w:firstLine="540"/>
        <w:jc w:val="both"/>
        <w:rPr>
          <w:color w:val="auto"/>
          <w:sz w:val="22"/>
          <w:szCs w:val="22"/>
        </w:rPr>
      </w:pPr>
      <w:r>
        <w:rPr>
          <w:color w:val="auto"/>
          <w:sz w:val="22"/>
          <w:szCs w:val="22"/>
        </w:rPr>
        <w:t>Внешние признаки утомления. Средства восстановления организма после физической нагрузки.</w:t>
      </w:r>
    </w:p>
    <w:p w14:paraId="2679B050">
      <w:pPr>
        <w:pStyle w:val="85"/>
        <w:spacing w:before="240"/>
        <w:ind w:firstLine="540"/>
        <w:jc w:val="both"/>
        <w:rPr>
          <w:color w:val="auto"/>
          <w:sz w:val="22"/>
          <w:szCs w:val="22"/>
        </w:rPr>
      </w:pPr>
      <w:r>
        <w:rPr>
          <w:color w:val="auto"/>
          <w:sz w:val="22"/>
          <w:szCs w:val="22"/>
        </w:rPr>
        <w:t>Способы индивидуального регулирования физической нагрузки с учетом уровня физического развития и функционального состояния организма.</w:t>
      </w:r>
    </w:p>
    <w:p w14:paraId="043F8AF0">
      <w:pPr>
        <w:pStyle w:val="85"/>
        <w:spacing w:before="240"/>
        <w:ind w:firstLine="540"/>
        <w:jc w:val="both"/>
        <w:rPr>
          <w:color w:val="auto"/>
          <w:sz w:val="22"/>
          <w:szCs w:val="22"/>
        </w:rPr>
      </w:pPr>
      <w:r>
        <w:rPr>
          <w:color w:val="auto"/>
          <w:sz w:val="22"/>
          <w:szCs w:val="22"/>
        </w:rPr>
        <w:t>Эстафеты, направленные на воспитание физических качеств и специальных навыков. Эстафеты с применением утяжелителей и набивных мячей.</w:t>
      </w:r>
    </w:p>
    <w:p w14:paraId="39F92753">
      <w:pPr>
        <w:pStyle w:val="85"/>
        <w:spacing w:before="240"/>
        <w:ind w:firstLine="540"/>
        <w:jc w:val="both"/>
        <w:rPr>
          <w:color w:val="auto"/>
          <w:sz w:val="22"/>
          <w:szCs w:val="22"/>
        </w:rPr>
      </w:pPr>
      <w:r>
        <w:rPr>
          <w:color w:val="auto"/>
          <w:sz w:val="22"/>
          <w:szCs w:val="22"/>
        </w:rPr>
        <w:t>Технические элементы тяжелой атлетики с имитацией соревновательного снаряда - штанги путем использования гимнастической палки:</w:t>
      </w:r>
    </w:p>
    <w:p w14:paraId="0120951A">
      <w:pPr>
        <w:pStyle w:val="85"/>
        <w:spacing w:before="240"/>
        <w:ind w:firstLine="540"/>
        <w:jc w:val="both"/>
        <w:rPr>
          <w:color w:val="auto"/>
          <w:sz w:val="22"/>
          <w:szCs w:val="22"/>
        </w:rPr>
      </w:pPr>
      <w:r>
        <w:rPr>
          <w:color w:val="auto"/>
          <w:sz w:val="22"/>
          <w:szCs w:val="22"/>
        </w:rPr>
        <w:t>стартовое положение тяжелоатлета при выполнении подъема снаряда с пола;</w:t>
      </w:r>
    </w:p>
    <w:p w14:paraId="4249BA49">
      <w:pPr>
        <w:pStyle w:val="85"/>
        <w:spacing w:before="240"/>
        <w:ind w:firstLine="540"/>
        <w:jc w:val="both"/>
        <w:rPr>
          <w:color w:val="auto"/>
          <w:sz w:val="22"/>
          <w:szCs w:val="22"/>
        </w:rPr>
      </w:pPr>
      <w:r>
        <w:rPr>
          <w:color w:val="auto"/>
          <w:sz w:val="22"/>
          <w:szCs w:val="22"/>
        </w:rPr>
        <w:t>стартовое положение тяжелоатлета при выполнении подъема снаряда со стоек;</w:t>
      </w:r>
    </w:p>
    <w:p w14:paraId="4CAC2325">
      <w:pPr>
        <w:pStyle w:val="85"/>
        <w:spacing w:before="240"/>
        <w:ind w:firstLine="540"/>
        <w:jc w:val="both"/>
        <w:rPr>
          <w:color w:val="auto"/>
          <w:sz w:val="22"/>
          <w:szCs w:val="22"/>
        </w:rPr>
      </w:pPr>
      <w:r>
        <w:rPr>
          <w:color w:val="auto"/>
          <w:sz w:val="22"/>
          <w:szCs w:val="22"/>
        </w:rPr>
        <w:t>подъем снаряда с пола с фиксацией на груди (хват средний, сверху);</w:t>
      </w:r>
    </w:p>
    <w:p w14:paraId="7BB21441">
      <w:pPr>
        <w:pStyle w:val="85"/>
        <w:spacing w:before="240"/>
        <w:ind w:firstLine="540"/>
        <w:jc w:val="both"/>
        <w:rPr>
          <w:color w:val="auto"/>
          <w:sz w:val="22"/>
          <w:szCs w:val="22"/>
        </w:rPr>
      </w:pPr>
      <w:r>
        <w:rPr>
          <w:color w:val="auto"/>
          <w:sz w:val="22"/>
          <w:szCs w:val="22"/>
        </w:rPr>
        <w:t>подъемы снаряда от груди стоя (хват средний, снизу), с фиксацией над головой на прямых руках;</w:t>
      </w:r>
    </w:p>
    <w:p w14:paraId="3B95CFD0">
      <w:pPr>
        <w:pStyle w:val="85"/>
        <w:spacing w:before="240"/>
        <w:ind w:firstLine="540"/>
        <w:jc w:val="both"/>
        <w:rPr>
          <w:color w:val="auto"/>
          <w:sz w:val="22"/>
          <w:szCs w:val="22"/>
        </w:rPr>
      </w:pPr>
      <w:r>
        <w:rPr>
          <w:color w:val="auto"/>
          <w:sz w:val="22"/>
          <w:szCs w:val="22"/>
        </w:rPr>
        <w:t>подъем снаряда с пола и фиксация над головой на прямых руках (хват широкий, сверху);</w:t>
      </w:r>
    </w:p>
    <w:p w14:paraId="265534E4">
      <w:pPr>
        <w:pStyle w:val="85"/>
        <w:spacing w:before="240"/>
        <w:ind w:firstLine="540"/>
        <w:jc w:val="both"/>
        <w:rPr>
          <w:color w:val="auto"/>
          <w:sz w:val="22"/>
          <w:szCs w:val="22"/>
        </w:rPr>
      </w:pPr>
      <w:r>
        <w:rPr>
          <w:color w:val="auto"/>
          <w:sz w:val="22"/>
          <w:szCs w:val="22"/>
        </w:rPr>
        <w:t>выпады, глубокие приседания со снарядом на плечах;</w:t>
      </w:r>
    </w:p>
    <w:p w14:paraId="171AE055">
      <w:pPr>
        <w:pStyle w:val="85"/>
        <w:spacing w:before="240"/>
        <w:ind w:firstLine="540"/>
        <w:jc w:val="both"/>
        <w:rPr>
          <w:color w:val="auto"/>
          <w:sz w:val="22"/>
          <w:szCs w:val="22"/>
        </w:rPr>
      </w:pPr>
      <w:r>
        <w:rPr>
          <w:color w:val="auto"/>
          <w:sz w:val="22"/>
          <w:szCs w:val="22"/>
        </w:rPr>
        <w:t>выпады, глубокие приседания со снарядом на груди;</w:t>
      </w:r>
    </w:p>
    <w:p w14:paraId="4516C195">
      <w:pPr>
        <w:pStyle w:val="85"/>
        <w:spacing w:before="240"/>
        <w:ind w:firstLine="540"/>
        <w:jc w:val="both"/>
        <w:rPr>
          <w:color w:val="auto"/>
          <w:sz w:val="22"/>
          <w:szCs w:val="22"/>
        </w:rPr>
      </w:pPr>
      <w:r>
        <w:rPr>
          <w:color w:val="auto"/>
          <w:sz w:val="22"/>
          <w:szCs w:val="22"/>
        </w:rPr>
        <w:t>выпады, глубокие приседания со снарядом в руках над головой;</w:t>
      </w:r>
    </w:p>
    <w:p w14:paraId="1B121469">
      <w:pPr>
        <w:pStyle w:val="85"/>
        <w:spacing w:before="240"/>
        <w:ind w:firstLine="540"/>
        <w:jc w:val="both"/>
        <w:rPr>
          <w:color w:val="auto"/>
          <w:sz w:val="22"/>
          <w:szCs w:val="22"/>
        </w:rPr>
      </w:pPr>
      <w:r>
        <w:rPr>
          <w:color w:val="auto"/>
          <w:sz w:val="22"/>
          <w:szCs w:val="22"/>
        </w:rPr>
        <w:t>прыжки толчком двумя ногами в высоту со снарядом в руках;</w:t>
      </w:r>
    </w:p>
    <w:p w14:paraId="45F8A4F4">
      <w:pPr>
        <w:pStyle w:val="85"/>
        <w:spacing w:before="240"/>
        <w:ind w:firstLine="540"/>
        <w:jc w:val="both"/>
        <w:rPr>
          <w:color w:val="auto"/>
          <w:sz w:val="22"/>
          <w:szCs w:val="22"/>
        </w:rPr>
      </w:pPr>
      <w:r>
        <w:rPr>
          <w:color w:val="auto"/>
          <w:sz w:val="22"/>
          <w:szCs w:val="22"/>
        </w:rPr>
        <w:t>прыжки толчком двумя ногами в высоту со снарядом на плечах;</w:t>
      </w:r>
    </w:p>
    <w:p w14:paraId="5F9CD45B">
      <w:pPr>
        <w:pStyle w:val="85"/>
        <w:spacing w:before="240"/>
        <w:ind w:firstLine="540"/>
        <w:jc w:val="both"/>
        <w:rPr>
          <w:color w:val="auto"/>
          <w:sz w:val="22"/>
          <w:szCs w:val="22"/>
        </w:rPr>
      </w:pPr>
      <w:r>
        <w:rPr>
          <w:color w:val="auto"/>
          <w:sz w:val="22"/>
          <w:szCs w:val="22"/>
        </w:rPr>
        <w:t>подъем снаряда от колен над головой (хват широкий) с уходом в глубокий подсед и последующим вставанием (имитация рывка штанги).</w:t>
      </w:r>
    </w:p>
    <w:p w14:paraId="0992F82D">
      <w:pPr>
        <w:pStyle w:val="85"/>
        <w:spacing w:before="240"/>
        <w:ind w:firstLine="540"/>
        <w:jc w:val="both"/>
        <w:rPr>
          <w:color w:val="auto"/>
          <w:sz w:val="22"/>
          <w:szCs w:val="22"/>
        </w:rPr>
      </w:pPr>
      <w:r>
        <w:rPr>
          <w:color w:val="auto"/>
          <w:sz w:val="22"/>
          <w:szCs w:val="22"/>
        </w:rPr>
        <w:t>подъем снаряда от колен с фиксацией на груди (хват средний), уходом в глубокий подсед и последующим вставанием (имитация взятия штанги на грудь).</w:t>
      </w:r>
    </w:p>
    <w:p w14:paraId="1AE168E2">
      <w:pPr>
        <w:pStyle w:val="85"/>
        <w:spacing w:before="240"/>
        <w:ind w:firstLine="540"/>
        <w:jc w:val="both"/>
        <w:rPr>
          <w:color w:val="auto"/>
          <w:sz w:val="22"/>
          <w:szCs w:val="22"/>
        </w:rPr>
      </w:pPr>
      <w:r>
        <w:rPr>
          <w:color w:val="auto"/>
          <w:sz w:val="22"/>
          <w:szCs w:val="22"/>
        </w:rPr>
        <w:t>подсед со снарядом на груди (хват средний, снизу) и последующее его выталкивание с фиксацией в разножке (способ ножницы) на прямых руках над головой, выход из разножки (имитация толчка штанги от груди).</w:t>
      </w:r>
    </w:p>
    <w:p w14:paraId="32179A27">
      <w:pPr>
        <w:pStyle w:val="85"/>
        <w:spacing w:before="240"/>
        <w:ind w:firstLine="540"/>
        <w:jc w:val="both"/>
        <w:rPr>
          <w:color w:val="auto"/>
          <w:sz w:val="22"/>
          <w:szCs w:val="22"/>
        </w:rPr>
      </w:pPr>
      <w:r>
        <w:rPr>
          <w:color w:val="auto"/>
          <w:sz w:val="22"/>
          <w:szCs w:val="22"/>
        </w:rPr>
        <w:t>Участие в соревновательной деятельности с гимнастической палкой (имитация штанги). Выявление наиболее техничных обучающихся.</w:t>
      </w:r>
    </w:p>
    <w:p w14:paraId="0EC89028">
      <w:pPr>
        <w:pStyle w:val="85"/>
        <w:spacing w:before="240"/>
        <w:ind w:firstLine="540"/>
        <w:jc w:val="both"/>
        <w:rPr>
          <w:color w:val="auto"/>
          <w:sz w:val="22"/>
          <w:szCs w:val="22"/>
        </w:rPr>
      </w:pPr>
      <w:r>
        <w:rPr>
          <w:color w:val="auto"/>
          <w:sz w:val="22"/>
          <w:szCs w:val="22"/>
        </w:rPr>
        <w:t>16.4.28.7. Содержание модуля "Тяжелая атлетика" направлено на достижение обучающимися личностных, метапредметных и предметных результатов обучения.</w:t>
      </w:r>
    </w:p>
    <w:p w14:paraId="1874E7B8">
      <w:pPr>
        <w:pStyle w:val="85"/>
        <w:spacing w:before="240"/>
        <w:ind w:firstLine="540"/>
        <w:jc w:val="both"/>
        <w:rPr>
          <w:color w:val="auto"/>
          <w:sz w:val="22"/>
          <w:szCs w:val="22"/>
        </w:rPr>
      </w:pPr>
      <w:r>
        <w:rPr>
          <w:color w:val="auto"/>
          <w:sz w:val="22"/>
          <w:szCs w:val="22"/>
        </w:rPr>
        <w:t>16.4.28.7.1. При изучении модуля "Тяжелая атлетика" на уровне начального общего образования у обучающихся будут сформированы следующие личностные результаты:</w:t>
      </w:r>
    </w:p>
    <w:p w14:paraId="11E6B2A9">
      <w:pPr>
        <w:pStyle w:val="85"/>
        <w:spacing w:before="240"/>
        <w:ind w:firstLine="540"/>
        <w:jc w:val="both"/>
        <w:rPr>
          <w:color w:val="auto"/>
          <w:sz w:val="22"/>
          <w:szCs w:val="22"/>
        </w:rPr>
      </w:pPr>
      <w:r>
        <w:rPr>
          <w:color w:val="auto"/>
          <w:sz w:val="22"/>
          <w:szCs w:val="22"/>
        </w:rPr>
        <w:t>проявление чувства гордости за свою Родину, российский народ и историю России через достижения российских спортсменов и национальной сборной команды страны по тяжелой атлетике на Олимпийских играх, чемпионатах мира и Европы, а также других международных соревнованиях;</w:t>
      </w:r>
    </w:p>
    <w:p w14:paraId="3A4727C5">
      <w:pPr>
        <w:pStyle w:val="85"/>
        <w:spacing w:before="240"/>
        <w:ind w:firstLine="540"/>
        <w:jc w:val="both"/>
        <w:rPr>
          <w:color w:val="auto"/>
          <w:sz w:val="22"/>
          <w:szCs w:val="22"/>
        </w:rPr>
      </w:pPr>
      <w:r>
        <w:rPr>
          <w:color w:val="auto"/>
          <w:sz w:val="22"/>
          <w:szCs w:val="22"/>
        </w:rPr>
        <w:t>проявление уважительного отношения к сверстникам, культуры общения и взаимодействия, терпимости и толерантности в достижении общих целей при совместной деятельности на принципах доброжелательности и взаимопомощи;</w:t>
      </w:r>
    </w:p>
    <w:p w14:paraId="44EF7559">
      <w:pPr>
        <w:pStyle w:val="85"/>
        <w:spacing w:before="240"/>
        <w:ind w:firstLine="540"/>
        <w:jc w:val="both"/>
        <w:rPr>
          <w:color w:val="auto"/>
          <w:sz w:val="22"/>
          <w:szCs w:val="22"/>
        </w:rPr>
      </w:pPr>
      <w:r>
        <w:rPr>
          <w:color w:val="auto"/>
          <w:sz w:val="22"/>
          <w:szCs w:val="22"/>
        </w:rPr>
        <w:t>проявление положительных качеств личности и управление своими эмоциями в различных (нестандартных) ситуациях и условиях, умение не создавать конфликтов и находить выходы из спорных ситуаций;</w:t>
      </w:r>
    </w:p>
    <w:p w14:paraId="1D7FF3FB">
      <w:pPr>
        <w:pStyle w:val="85"/>
        <w:spacing w:before="240"/>
        <w:ind w:firstLine="540"/>
        <w:jc w:val="both"/>
        <w:rPr>
          <w:color w:val="auto"/>
          <w:sz w:val="22"/>
          <w:szCs w:val="22"/>
        </w:rPr>
      </w:pPr>
      <w:r>
        <w:rPr>
          <w:color w:val="auto"/>
          <w:sz w:val="22"/>
          <w:szCs w:val="22"/>
        </w:rPr>
        <w:t>проявление дисциплинированности, трудолюбия и упорства в достижении поставленных целей на основе представлений о нравственных нормах, социальной справедливости и свободе;</w:t>
      </w:r>
    </w:p>
    <w:p w14:paraId="5F5C5C69">
      <w:pPr>
        <w:pStyle w:val="85"/>
        <w:spacing w:before="240"/>
        <w:ind w:firstLine="540"/>
        <w:jc w:val="both"/>
        <w:rPr>
          <w:color w:val="auto"/>
          <w:sz w:val="22"/>
          <w:szCs w:val="22"/>
        </w:rPr>
      </w:pPr>
      <w:r>
        <w:rPr>
          <w:color w:val="auto"/>
          <w:sz w:val="22"/>
          <w:szCs w:val="22"/>
        </w:rPr>
        <w:t>готовность соблюдать правила индивидуального и коллективного безопасного поведения в учебной, соревновательной, досуговой деятельности и чрезвычайных ситуациях;</w:t>
      </w:r>
    </w:p>
    <w:p w14:paraId="146E409E">
      <w:pPr>
        <w:pStyle w:val="85"/>
        <w:spacing w:before="240"/>
        <w:ind w:firstLine="540"/>
        <w:jc w:val="both"/>
        <w:rPr>
          <w:color w:val="auto"/>
          <w:sz w:val="22"/>
          <w:szCs w:val="22"/>
        </w:rPr>
      </w:pPr>
      <w:r>
        <w:rPr>
          <w:color w:val="auto"/>
          <w:sz w:val="22"/>
          <w:szCs w:val="22"/>
        </w:rPr>
        <w:t>оказание бескорыстной помощи своим сверстникам, нахождение с ними общего языка и общих интересов;</w:t>
      </w:r>
    </w:p>
    <w:p w14:paraId="62B69063">
      <w:pPr>
        <w:pStyle w:val="85"/>
        <w:spacing w:before="240"/>
        <w:ind w:firstLine="540"/>
        <w:jc w:val="both"/>
        <w:rPr>
          <w:color w:val="auto"/>
          <w:sz w:val="22"/>
          <w:szCs w:val="22"/>
        </w:rPr>
      </w:pPr>
      <w:r>
        <w:rPr>
          <w:color w:val="auto"/>
          <w:sz w:val="22"/>
          <w:szCs w:val="22"/>
        </w:rPr>
        <w:t>понимание установки на безопасный, здоровый образ жизни, наличие мотивации к творческому труду, работе на результат, бережному отношению к материальным и духовным ценностям.</w:t>
      </w:r>
    </w:p>
    <w:p w14:paraId="0E1F409B">
      <w:pPr>
        <w:pStyle w:val="85"/>
        <w:spacing w:before="240"/>
        <w:ind w:firstLine="540"/>
        <w:jc w:val="both"/>
        <w:rPr>
          <w:color w:val="auto"/>
          <w:sz w:val="22"/>
          <w:szCs w:val="22"/>
        </w:rPr>
      </w:pPr>
      <w:r>
        <w:rPr>
          <w:color w:val="auto"/>
          <w:sz w:val="22"/>
          <w:szCs w:val="22"/>
        </w:rPr>
        <w:t>16.4.28.7.2. При изучении модуля "Тяжелая атлетика" на уровне начального общего образования у обучающихся будут сформированы следующие метапредметные результаты:</w:t>
      </w:r>
    </w:p>
    <w:p w14:paraId="76888FCC">
      <w:pPr>
        <w:pStyle w:val="85"/>
        <w:spacing w:before="240"/>
        <w:ind w:firstLine="540"/>
        <w:jc w:val="both"/>
        <w:rPr>
          <w:color w:val="auto"/>
          <w:sz w:val="22"/>
          <w:szCs w:val="22"/>
        </w:rPr>
      </w:pPr>
      <w:r>
        <w:rPr>
          <w:color w:val="auto"/>
          <w:sz w:val="22"/>
          <w:szCs w:val="22"/>
        </w:rPr>
        <w:t>способность принимать и стремиться к достижению цели и выполнению задач учебной деятельности, вести поиск средств и способов их осуществления;</w:t>
      </w:r>
    </w:p>
    <w:p w14:paraId="18D62801">
      <w:pPr>
        <w:pStyle w:val="85"/>
        <w:spacing w:before="240"/>
        <w:ind w:firstLine="540"/>
        <w:jc w:val="both"/>
        <w:rPr>
          <w:color w:val="auto"/>
          <w:sz w:val="22"/>
          <w:szCs w:val="22"/>
        </w:rPr>
      </w:pPr>
      <w:r>
        <w:rPr>
          <w:color w:val="auto"/>
          <w:sz w:val="22"/>
          <w:szCs w:val="22"/>
        </w:rPr>
        <w:t>владение основами планирования, контроля и оценивания нагрузки в рамках учебных действий и собственной деятельности, способность определять наиболее эффективные способы достижения результата;</w:t>
      </w:r>
    </w:p>
    <w:p w14:paraId="0E6D4CE8">
      <w:pPr>
        <w:pStyle w:val="85"/>
        <w:spacing w:before="240"/>
        <w:ind w:firstLine="540"/>
        <w:jc w:val="both"/>
        <w:rPr>
          <w:color w:val="auto"/>
          <w:sz w:val="22"/>
          <w:szCs w:val="22"/>
        </w:rPr>
      </w:pPr>
      <w:r>
        <w:rPr>
          <w:color w:val="auto"/>
          <w:sz w:val="22"/>
          <w:szCs w:val="22"/>
        </w:rPr>
        <w:t>умение характеризовать действия и поступки, давать им анализ и объективную оценку на основе освоенных знаний и имеющегося опыта;</w:t>
      </w:r>
    </w:p>
    <w:p w14:paraId="3387E9C5">
      <w:pPr>
        <w:pStyle w:val="85"/>
        <w:spacing w:before="240"/>
        <w:ind w:firstLine="540"/>
        <w:jc w:val="both"/>
        <w:rPr>
          <w:color w:val="auto"/>
          <w:sz w:val="22"/>
          <w:szCs w:val="22"/>
        </w:rPr>
      </w:pPr>
      <w:r>
        <w:rPr>
          <w:color w:val="auto"/>
          <w:sz w:val="22"/>
          <w:szCs w:val="22"/>
        </w:rPr>
        <w:t>понимание причин успеха или неуспеха учебной деятельности и способность конструктивно действовать даже в ситуациях неуспеха;</w:t>
      </w:r>
    </w:p>
    <w:p w14:paraId="679E2188">
      <w:pPr>
        <w:pStyle w:val="85"/>
        <w:spacing w:before="240"/>
        <w:ind w:firstLine="540"/>
        <w:jc w:val="both"/>
        <w:rPr>
          <w:color w:val="auto"/>
          <w:sz w:val="22"/>
          <w:szCs w:val="22"/>
        </w:rPr>
      </w:pPr>
      <w:r>
        <w:rPr>
          <w:color w:val="auto"/>
          <w:sz w:val="22"/>
          <w:szCs w:val="22"/>
        </w:rPr>
        <w:t>способность выделять и обосновывать эстетические признаки в физических упражнениях, двигательных действиях, оценивать красоту телосложения и осанки, сравнивать их с эталонными образцами;</w:t>
      </w:r>
    </w:p>
    <w:p w14:paraId="2ACA4F99">
      <w:pPr>
        <w:pStyle w:val="85"/>
        <w:spacing w:before="240"/>
        <w:ind w:firstLine="540"/>
        <w:jc w:val="both"/>
        <w:rPr>
          <w:color w:val="auto"/>
          <w:sz w:val="22"/>
          <w:szCs w:val="22"/>
        </w:rPr>
      </w:pPr>
      <w:r>
        <w:rPr>
          <w:color w:val="auto"/>
          <w:sz w:val="22"/>
          <w:szCs w:val="22"/>
        </w:rPr>
        <w:t>способность определения общей цели и путей ее достижения, умение договариваться о распределении функций в учебной, игровой и соревновательной деятельности, адекватная оценка собственного поведения и поведения окружающих;</w:t>
      </w:r>
    </w:p>
    <w:p w14:paraId="3AF0657E">
      <w:pPr>
        <w:pStyle w:val="85"/>
        <w:spacing w:before="240"/>
        <w:ind w:firstLine="540"/>
        <w:jc w:val="both"/>
        <w:rPr>
          <w:color w:val="auto"/>
          <w:sz w:val="22"/>
          <w:szCs w:val="22"/>
        </w:rPr>
      </w:pPr>
      <w:r>
        <w:rPr>
          <w:color w:val="auto"/>
          <w:sz w:val="22"/>
          <w:szCs w:val="22"/>
        </w:rPr>
        <w:t>понимание важности защиты и сохранности природы во время занятий физической культурой и активного отдыха;</w:t>
      </w:r>
    </w:p>
    <w:p w14:paraId="3CA36B52">
      <w:pPr>
        <w:pStyle w:val="85"/>
        <w:spacing w:before="240"/>
        <w:ind w:firstLine="540"/>
        <w:jc w:val="both"/>
        <w:rPr>
          <w:color w:val="auto"/>
          <w:sz w:val="22"/>
          <w:szCs w:val="22"/>
        </w:rPr>
      </w:pPr>
      <w:r>
        <w:rPr>
          <w:color w:val="auto"/>
          <w:sz w:val="22"/>
          <w:szCs w:val="22"/>
        </w:rPr>
        <w:t>владение основами организации самостоятельной деятельности с учетом требований ее безопасности, сохранности инвентаря и оборудования, организации места занятий.</w:t>
      </w:r>
    </w:p>
    <w:p w14:paraId="42DA4356">
      <w:pPr>
        <w:pStyle w:val="85"/>
        <w:spacing w:before="240"/>
        <w:ind w:firstLine="540"/>
        <w:jc w:val="both"/>
        <w:rPr>
          <w:color w:val="auto"/>
          <w:sz w:val="22"/>
          <w:szCs w:val="22"/>
        </w:rPr>
      </w:pPr>
      <w:r>
        <w:rPr>
          <w:color w:val="auto"/>
          <w:sz w:val="22"/>
          <w:szCs w:val="22"/>
        </w:rPr>
        <w:t>16.4.28.7.3. При изучении модуля "Тяжелая атлетика" на уровне начального общего образования у обучающихся будут сформированы следующие предметные результаты:</w:t>
      </w:r>
    </w:p>
    <w:p w14:paraId="5E252140">
      <w:pPr>
        <w:pStyle w:val="85"/>
        <w:spacing w:before="240"/>
        <w:ind w:firstLine="540"/>
        <w:jc w:val="both"/>
        <w:rPr>
          <w:color w:val="auto"/>
          <w:sz w:val="22"/>
          <w:szCs w:val="22"/>
        </w:rPr>
      </w:pPr>
      <w:r>
        <w:rPr>
          <w:color w:val="auto"/>
          <w:sz w:val="22"/>
          <w:szCs w:val="22"/>
        </w:rPr>
        <w:t>сформированность представлений о роли и значения занятий тяжелоатлетическим спортом в формировании личностных качеств, в активном включении в здоровый образ жизни, укреплении и сохранении индивидуального здоровья;</w:t>
      </w:r>
    </w:p>
    <w:p w14:paraId="7A872A56">
      <w:pPr>
        <w:pStyle w:val="85"/>
        <w:spacing w:before="240"/>
        <w:ind w:firstLine="540"/>
        <w:jc w:val="both"/>
        <w:rPr>
          <w:color w:val="auto"/>
          <w:sz w:val="22"/>
          <w:szCs w:val="22"/>
        </w:rPr>
      </w:pPr>
      <w:r>
        <w:rPr>
          <w:color w:val="auto"/>
          <w:sz w:val="22"/>
          <w:szCs w:val="22"/>
        </w:rPr>
        <w:t>сформированность знаний по истории возникновения тяжелой атлетики в олимпийском движении с конца XIX века, биографические данные первых олимпийских чемпионов по тяжелой атлетике и великих отечественных тяжелоатлетах;</w:t>
      </w:r>
    </w:p>
    <w:p w14:paraId="328BC830">
      <w:pPr>
        <w:pStyle w:val="85"/>
        <w:spacing w:before="240"/>
        <w:ind w:firstLine="540"/>
        <w:jc w:val="both"/>
        <w:rPr>
          <w:color w:val="auto"/>
          <w:sz w:val="22"/>
          <w:szCs w:val="22"/>
        </w:rPr>
      </w:pPr>
      <w:r>
        <w:rPr>
          <w:color w:val="auto"/>
          <w:sz w:val="22"/>
          <w:szCs w:val="22"/>
        </w:rPr>
        <w:t>сформированность представлений о соревновательных движениях и правилах тяжелой атлетики, а также правилах поведения тяжелоатлетов при участии в состязаниях;</w:t>
      </w:r>
    </w:p>
    <w:p w14:paraId="49E11367">
      <w:pPr>
        <w:pStyle w:val="85"/>
        <w:spacing w:before="240"/>
        <w:ind w:firstLine="540"/>
        <w:jc w:val="both"/>
        <w:rPr>
          <w:color w:val="auto"/>
          <w:sz w:val="22"/>
          <w:szCs w:val="22"/>
        </w:rPr>
      </w:pPr>
      <w:r>
        <w:rPr>
          <w:color w:val="auto"/>
          <w:sz w:val="22"/>
          <w:szCs w:val="22"/>
        </w:rPr>
        <w:t>сформированность первичных навыков совершения двигательных действий с тяжелоатлетическим снарядом - штангой и другими отягощениями, расширение и углубление знаний об истории, эволюции и правилах тяжелоатлетического спорта;</w:t>
      </w:r>
    </w:p>
    <w:p w14:paraId="5B56AC54">
      <w:pPr>
        <w:pStyle w:val="85"/>
        <w:spacing w:before="240"/>
        <w:ind w:firstLine="540"/>
        <w:jc w:val="both"/>
        <w:rPr>
          <w:color w:val="auto"/>
          <w:sz w:val="22"/>
          <w:szCs w:val="22"/>
        </w:rPr>
      </w:pPr>
      <w:r>
        <w:rPr>
          <w:color w:val="auto"/>
          <w:sz w:val="22"/>
          <w:szCs w:val="22"/>
        </w:rPr>
        <w:t>сформированность навыков безопасного поведения во время занятий в тренажерном зале с отягощениями и посещений соревнований по тяжелой атлетике;</w:t>
      </w:r>
    </w:p>
    <w:p w14:paraId="25C9DF6F">
      <w:pPr>
        <w:pStyle w:val="85"/>
        <w:spacing w:before="240"/>
        <w:ind w:firstLine="540"/>
        <w:jc w:val="both"/>
        <w:rPr>
          <w:color w:val="auto"/>
          <w:sz w:val="22"/>
          <w:szCs w:val="22"/>
        </w:rPr>
      </w:pPr>
      <w:r>
        <w:rPr>
          <w:color w:val="auto"/>
          <w:sz w:val="22"/>
          <w:szCs w:val="22"/>
        </w:rPr>
        <w:t>сформированность знаний и соблюдение правил личной гигиены, требований к спортивной одежде, обуви и спортивному инвентарю для занятий тяжелой атлетикой;</w:t>
      </w:r>
    </w:p>
    <w:p w14:paraId="2A677328">
      <w:pPr>
        <w:pStyle w:val="85"/>
        <w:spacing w:before="240"/>
        <w:ind w:firstLine="540"/>
        <w:jc w:val="both"/>
        <w:rPr>
          <w:color w:val="auto"/>
          <w:sz w:val="22"/>
          <w:szCs w:val="22"/>
        </w:rPr>
      </w:pPr>
      <w:r>
        <w:rPr>
          <w:color w:val="auto"/>
          <w:sz w:val="22"/>
          <w:szCs w:val="22"/>
        </w:rPr>
        <w:t>сформированность базовых навыков самоконтроля и наблюдения за своим физическим состоянием и величиной физических нагрузок;</w:t>
      </w:r>
    </w:p>
    <w:p w14:paraId="71C7C88C">
      <w:pPr>
        <w:pStyle w:val="85"/>
        <w:spacing w:before="240"/>
        <w:ind w:firstLine="540"/>
        <w:jc w:val="both"/>
        <w:rPr>
          <w:color w:val="auto"/>
          <w:sz w:val="22"/>
          <w:szCs w:val="22"/>
        </w:rPr>
      </w:pPr>
      <w:r>
        <w:rPr>
          <w:color w:val="auto"/>
          <w:sz w:val="22"/>
          <w:szCs w:val="22"/>
        </w:rPr>
        <w:t>сформированность основ организации самостоятельных занятий физической культурой и спортом со сверстниками; организация и проведение со сверстниками занятий специальной направленности с элементами тяжелой атлетики;</w:t>
      </w:r>
    </w:p>
    <w:p w14:paraId="74C754AD">
      <w:pPr>
        <w:pStyle w:val="85"/>
        <w:spacing w:before="240"/>
        <w:ind w:firstLine="540"/>
        <w:jc w:val="both"/>
        <w:rPr>
          <w:color w:val="auto"/>
          <w:sz w:val="22"/>
          <w:szCs w:val="22"/>
        </w:rPr>
      </w:pPr>
      <w:r>
        <w:rPr>
          <w:color w:val="auto"/>
          <w:sz w:val="22"/>
          <w:szCs w:val="22"/>
        </w:rPr>
        <w:t>знание, умение составлять и осваивать упражнения и комплексы утренней гигиенической гимнастики, дыхательной гимнастики, упражнений для глаз, для формирования осанки, профилактики плоскостопия;</w:t>
      </w:r>
    </w:p>
    <w:p w14:paraId="72FCC4A6">
      <w:pPr>
        <w:pStyle w:val="85"/>
        <w:spacing w:before="240"/>
        <w:ind w:firstLine="540"/>
        <w:jc w:val="both"/>
        <w:rPr>
          <w:color w:val="auto"/>
          <w:sz w:val="22"/>
          <w:szCs w:val="22"/>
        </w:rPr>
      </w:pPr>
      <w:r>
        <w:rPr>
          <w:color w:val="auto"/>
          <w:sz w:val="22"/>
          <w:szCs w:val="22"/>
        </w:rPr>
        <w:t>способность выполнять комплексы общеразвивающих и корригирующих упражнений, упражнений на развитие силы, быстроты, ловкости, гибкости, координационных способностей, упражнений для укрепления суставов, специальных упражнений для формирования технических навыков тяжелоатлета;</w:t>
      </w:r>
    </w:p>
    <w:p w14:paraId="143E4192">
      <w:pPr>
        <w:pStyle w:val="85"/>
        <w:spacing w:before="240"/>
        <w:ind w:firstLine="540"/>
        <w:jc w:val="both"/>
        <w:rPr>
          <w:color w:val="auto"/>
          <w:sz w:val="22"/>
          <w:szCs w:val="22"/>
        </w:rPr>
      </w:pPr>
      <w:r>
        <w:rPr>
          <w:color w:val="auto"/>
          <w:sz w:val="22"/>
          <w:szCs w:val="22"/>
        </w:rPr>
        <w:t>знание и умение обращаться с оборудованием, необходимым для занятий тяжелой атлетикой;</w:t>
      </w:r>
    </w:p>
    <w:p w14:paraId="7F535C35">
      <w:pPr>
        <w:pStyle w:val="85"/>
        <w:spacing w:before="240"/>
        <w:ind w:firstLine="540"/>
        <w:jc w:val="both"/>
        <w:rPr>
          <w:color w:val="auto"/>
          <w:sz w:val="22"/>
          <w:szCs w:val="22"/>
        </w:rPr>
      </w:pPr>
      <w:r>
        <w:rPr>
          <w:color w:val="auto"/>
          <w:sz w:val="22"/>
          <w:szCs w:val="22"/>
        </w:rPr>
        <w:t>знание техники безопасности во время тренировочного процесса и соревновательной деятельности;</w:t>
      </w:r>
    </w:p>
    <w:p w14:paraId="32D6B4AA">
      <w:pPr>
        <w:pStyle w:val="85"/>
        <w:spacing w:before="240"/>
        <w:ind w:firstLine="540"/>
        <w:jc w:val="both"/>
        <w:rPr>
          <w:color w:val="auto"/>
          <w:sz w:val="22"/>
          <w:szCs w:val="22"/>
        </w:rPr>
      </w:pPr>
      <w:r>
        <w:rPr>
          <w:color w:val="auto"/>
          <w:sz w:val="22"/>
          <w:szCs w:val="22"/>
        </w:rPr>
        <w:t>способность концентрировать свое внимание на базовых элементах техники тяжелоатлетических упражнений и устранять ошибки после подсказки учителя;</w:t>
      </w:r>
    </w:p>
    <w:p w14:paraId="73AC9CDA">
      <w:pPr>
        <w:pStyle w:val="85"/>
        <w:spacing w:before="240"/>
        <w:ind w:firstLine="540"/>
        <w:jc w:val="both"/>
        <w:rPr>
          <w:color w:val="auto"/>
          <w:sz w:val="22"/>
          <w:szCs w:val="22"/>
        </w:rPr>
      </w:pPr>
      <w:r>
        <w:rPr>
          <w:color w:val="auto"/>
          <w:sz w:val="22"/>
          <w:szCs w:val="22"/>
        </w:rPr>
        <w:t>участие в контрольных тренировочных занятиях и учебных соревнованиях по тяжелой атлетике;</w:t>
      </w:r>
    </w:p>
    <w:p w14:paraId="60939653">
      <w:pPr>
        <w:pStyle w:val="85"/>
        <w:spacing w:before="240"/>
        <w:ind w:firstLine="540"/>
        <w:jc w:val="both"/>
        <w:rPr>
          <w:color w:val="auto"/>
          <w:sz w:val="22"/>
          <w:szCs w:val="22"/>
        </w:rPr>
      </w:pPr>
      <w:r>
        <w:rPr>
          <w:color w:val="auto"/>
          <w:sz w:val="22"/>
          <w:szCs w:val="22"/>
        </w:rPr>
        <w:t>выполнение контрольно-тестовых упражнений по общей и специальной физической подготовке и оценка показателей физической подготовленности тяжелоатлета;</w:t>
      </w:r>
    </w:p>
    <w:p w14:paraId="1F6D4E6B">
      <w:pPr>
        <w:pStyle w:val="85"/>
        <w:spacing w:before="240"/>
        <w:ind w:firstLine="540"/>
        <w:jc w:val="both"/>
        <w:rPr>
          <w:color w:val="auto"/>
          <w:sz w:val="22"/>
          <w:szCs w:val="22"/>
        </w:rPr>
      </w:pPr>
      <w:r>
        <w:rPr>
          <w:color w:val="auto"/>
          <w:sz w:val="22"/>
          <w:szCs w:val="22"/>
        </w:rPr>
        <w:t>умение демонстрировать во время учебной и соревновательной деятельности волевые, социальные качества личности, организованность, ответственность;</w:t>
      </w:r>
    </w:p>
    <w:p w14:paraId="03A1F6EE">
      <w:pPr>
        <w:tabs>
          <w:tab w:val="left" w:pos="451"/>
        </w:tabs>
        <w:spacing w:after="0" w:line="360" w:lineRule="auto"/>
        <w:ind w:firstLine="709"/>
        <w:jc w:val="both"/>
        <w:rPr>
          <w:rFonts w:ascii="Times New Roman" w:hAnsi="Times New Roman"/>
        </w:rPr>
      </w:pPr>
      <w:r>
        <w:rPr>
          <w:rFonts w:ascii="Times New Roman" w:hAnsi="Times New Roman"/>
        </w:rPr>
        <w:t>умение проявлять уважительное отношение к одноклассникам, проявлять культуру общения и взаимодействия, терпимости в достижении общих целей в учебной и соревновательной деятельности на занятиях тяжелой атлетикой.</w:t>
      </w:r>
    </w:p>
    <w:p w14:paraId="6C457CC6">
      <w:pPr>
        <w:spacing w:after="0" w:line="360" w:lineRule="auto"/>
        <w:ind w:firstLine="709"/>
        <w:jc w:val="both"/>
        <w:rPr>
          <w:rFonts w:ascii="Times New Roman" w:hAnsi="Times New Roman"/>
          <w:b/>
          <w:lang w:eastAsia="ru-RU"/>
        </w:rPr>
      </w:pPr>
      <w:r>
        <w:rPr>
          <w:rFonts w:ascii="Times New Roman" w:hAnsi="Times New Roman"/>
        </w:rPr>
        <w:t xml:space="preserve">17. </w:t>
      </w:r>
      <w:r>
        <w:rPr>
          <w:rFonts w:ascii="Times New Roman" w:hAnsi="Times New Roman"/>
          <w:lang w:eastAsia="ru-RU"/>
        </w:rPr>
        <w:t>Программа формирования универсальных учебных действий.</w:t>
      </w:r>
    </w:p>
    <w:p w14:paraId="6682152B">
      <w:pPr>
        <w:spacing w:after="0" w:line="353" w:lineRule="auto"/>
        <w:ind w:firstLine="709"/>
        <w:jc w:val="both"/>
        <w:rPr>
          <w:rFonts w:ascii="Times New Roman" w:hAnsi="Times New Roman" w:eastAsia="SchoolBookSanPin"/>
        </w:rPr>
      </w:pPr>
      <w:r>
        <w:rPr>
          <w:rFonts w:ascii="Times New Roman" w:hAnsi="Times New Roman"/>
        </w:rPr>
        <w:t>17.1. </w:t>
      </w:r>
      <w:r>
        <w:rPr>
          <w:rFonts w:ascii="Times New Roman" w:hAnsi="Times New Roman" w:eastAsia="SchoolBookSanPin"/>
        </w:rPr>
        <w:t>В соответствии с ФГОС НОО программа формирования универсальных (обобщённых) учебных действий (далее ‒ УУД) имеет следующую структуру:</w:t>
      </w:r>
    </w:p>
    <w:p w14:paraId="2BB188F9">
      <w:pPr>
        <w:tabs>
          <w:tab w:val="left" w:pos="851"/>
        </w:tabs>
        <w:spacing w:after="0" w:line="353" w:lineRule="auto"/>
        <w:ind w:firstLine="709"/>
        <w:jc w:val="both"/>
        <w:rPr>
          <w:rFonts w:ascii="Times New Roman" w:hAnsi="Times New Roman" w:eastAsia="SchoolBookSanPin"/>
        </w:rPr>
      </w:pPr>
      <w:r>
        <w:rPr>
          <w:rFonts w:ascii="Times New Roman" w:hAnsi="Times New Roman" w:eastAsia="SchoolBookSanPin"/>
        </w:rPr>
        <w:t>описание взаимосвязи универсальных учебных действий с содержанием учебных предметов;</w:t>
      </w:r>
    </w:p>
    <w:p w14:paraId="51E0CE2E">
      <w:pPr>
        <w:tabs>
          <w:tab w:val="left" w:pos="851"/>
        </w:tabs>
        <w:spacing w:after="0" w:line="353" w:lineRule="auto"/>
        <w:ind w:firstLine="709"/>
        <w:jc w:val="both"/>
        <w:rPr>
          <w:rFonts w:ascii="Times New Roman" w:hAnsi="Times New Roman" w:eastAsia="SchoolBookSanPin"/>
        </w:rPr>
      </w:pPr>
      <w:r>
        <w:rPr>
          <w:rFonts w:ascii="Times New Roman" w:hAnsi="Times New Roman" w:eastAsia="SchoolBookSanPin"/>
        </w:rPr>
        <w:t>характеристика познавательных, коммуникативных и регулятивных универсальных учебных действий.</w:t>
      </w:r>
    </w:p>
    <w:p w14:paraId="76D2CE65">
      <w:pPr>
        <w:spacing w:after="0" w:line="353" w:lineRule="auto"/>
        <w:ind w:firstLine="709"/>
        <w:jc w:val="both"/>
        <w:rPr>
          <w:rFonts w:ascii="Times New Roman" w:hAnsi="Times New Roman" w:eastAsia="SchoolBookSanPin"/>
        </w:rPr>
      </w:pPr>
      <w:r>
        <w:rPr>
          <w:rFonts w:ascii="Times New Roman" w:hAnsi="Times New Roman" w:eastAsia="SchoolBookSanPin"/>
        </w:rPr>
        <w:t>17.2. Цель развития обучающихся на уровне начального общего образования реализуется через установление связи и взаимодействия между освоением предметного содержания обучения и достижениями обучающегося в области метапредметных результатов. Это взаимодействие проявляется в следующем:</w:t>
      </w:r>
    </w:p>
    <w:p w14:paraId="148DDE06">
      <w:pPr>
        <w:spacing w:after="0" w:line="353" w:lineRule="auto"/>
        <w:ind w:firstLine="709"/>
        <w:jc w:val="both"/>
        <w:rPr>
          <w:rFonts w:ascii="Times New Roman" w:hAnsi="Times New Roman" w:eastAsia="SchoolBookSanPin"/>
        </w:rPr>
      </w:pPr>
      <w:r>
        <w:rPr>
          <w:rFonts w:ascii="Times New Roman" w:hAnsi="Times New Roman" w:eastAsia="SchoolBookSanPin"/>
        </w:rPr>
        <w:t>предметные знания, умения и способы деятельности являются содержательной основой становления УУД;</w:t>
      </w:r>
    </w:p>
    <w:p w14:paraId="164557EB">
      <w:pPr>
        <w:spacing w:after="0" w:line="353" w:lineRule="auto"/>
        <w:ind w:firstLine="709"/>
        <w:jc w:val="both"/>
        <w:rPr>
          <w:rFonts w:ascii="Times New Roman" w:hAnsi="Times New Roman" w:eastAsia="SchoolBookSanPin"/>
        </w:rPr>
      </w:pPr>
      <w:r>
        <w:rPr>
          <w:rFonts w:ascii="Times New Roman" w:hAnsi="Times New Roman" w:eastAsia="SchoolBookSanPin"/>
        </w:rPr>
        <w:t>развивающиеся УУД обеспечивают протекание учебного процесса как активной инициативной поисково-исследовательской деятельности на основе применения различных интеллектуальных процессов, прежде всего теоретического мышления, связной речи и воображения, в том числе в условиях дистанционного обучения (в условиях неконтактного информационного взаимодействия с субъектами образовательного процесса);</w:t>
      </w:r>
    </w:p>
    <w:p w14:paraId="3F2CE2DF">
      <w:pPr>
        <w:spacing w:after="0" w:line="353" w:lineRule="auto"/>
        <w:ind w:firstLine="709"/>
        <w:jc w:val="both"/>
        <w:rPr>
          <w:rFonts w:ascii="Times New Roman" w:hAnsi="Times New Roman" w:eastAsia="SchoolBookSanPin"/>
        </w:rPr>
      </w:pPr>
      <w:r>
        <w:rPr>
          <w:rFonts w:ascii="Times New Roman" w:hAnsi="Times New Roman" w:eastAsia="SchoolBookSanPin"/>
        </w:rPr>
        <w:t>под влиянием УУД складывается новый стиль познавательной деятельности: универсальность как качественная характеристика любого учебного действия и составляющих его операций, что позволяет обучающемуся использовать освоенные способы действий на любом предметном содержании, в том числе представленного в виде экранных (виртуальных) моделей изучаемых объектов, сюжетов, процессов, что положительно отражается на качестве изучения учебных предметов;</w:t>
      </w:r>
    </w:p>
    <w:p w14:paraId="19773628">
      <w:pPr>
        <w:spacing w:after="0" w:line="353" w:lineRule="auto"/>
        <w:ind w:firstLine="709"/>
        <w:jc w:val="both"/>
        <w:rPr>
          <w:rFonts w:ascii="Times New Roman" w:hAnsi="Times New Roman"/>
          <w:b/>
        </w:rPr>
      </w:pPr>
      <w:r>
        <w:rPr>
          <w:rFonts w:ascii="Times New Roman" w:hAnsi="Times New Roman" w:eastAsia="SchoolBookSanPin"/>
        </w:rPr>
        <w:t>построение учебного процесса с учётом реализации цели формирования УУД способствует снижению доли репродуктивного обучения, создающего риски, которые нарушают успешность развития обучающегося и формирует способности к вариативному восприятию предметного содержания в условиях реального и виртуального представления экранных (виртуальных) моделей изучаемых объектов, сюжетов, процессов.</w:t>
      </w:r>
    </w:p>
    <w:p w14:paraId="1FD3B4D7">
      <w:pPr>
        <w:spacing w:after="0" w:line="353" w:lineRule="auto"/>
        <w:ind w:firstLine="709"/>
        <w:jc w:val="both"/>
        <w:rPr>
          <w:rFonts w:ascii="Times New Roman" w:hAnsi="Times New Roman" w:eastAsia="SchoolBookSanPin"/>
        </w:rPr>
      </w:pPr>
      <w:r>
        <w:rPr>
          <w:rFonts w:ascii="Times New Roman" w:hAnsi="Times New Roman" w:eastAsia="SchoolBookSanPin"/>
        </w:rPr>
        <w:t>17</w:t>
      </w:r>
      <w:r>
        <w:rPr>
          <w:rFonts w:ascii="Times New Roman" w:hAnsi="Times New Roman" w:eastAsia="SchoolBookSanPin"/>
          <w:bCs/>
        </w:rPr>
        <w:t xml:space="preserve">.3. Познавательные </w:t>
      </w:r>
      <w:r>
        <w:rPr>
          <w:rFonts w:ascii="Times New Roman" w:hAnsi="Times New Roman" w:eastAsia="SchoolBookSanPin"/>
        </w:rPr>
        <w:t>УУД отражают совокупность операций, участвующих в учебно-познавательной деятельности обучающихся и включают:</w:t>
      </w:r>
    </w:p>
    <w:p w14:paraId="1CEDACD3">
      <w:pPr>
        <w:spacing w:after="0" w:line="353" w:lineRule="auto"/>
        <w:ind w:firstLine="709"/>
        <w:jc w:val="both"/>
        <w:rPr>
          <w:rFonts w:ascii="Times New Roman" w:hAnsi="Times New Roman" w:eastAsia="SchoolBookSanPin"/>
        </w:rPr>
      </w:pPr>
      <w:r>
        <w:rPr>
          <w:rFonts w:ascii="Times New Roman" w:hAnsi="Times New Roman" w:eastAsia="SchoolBookSanPin"/>
        </w:rPr>
        <w:t>методы познания окружающего мира, в том числе представленного (на экране) в виде виртуального отображения реальной действительности (наблюдение, элементарные опыты и эксперименты; измерения и другие);</w:t>
      </w:r>
    </w:p>
    <w:p w14:paraId="7916DC1F">
      <w:pPr>
        <w:spacing w:after="0" w:line="353" w:lineRule="auto"/>
        <w:ind w:firstLine="709"/>
        <w:jc w:val="both"/>
        <w:rPr>
          <w:rFonts w:ascii="Times New Roman" w:hAnsi="Times New Roman" w:eastAsia="SchoolBookSanPin"/>
        </w:rPr>
      </w:pPr>
      <w:r>
        <w:rPr>
          <w:rFonts w:ascii="Times New Roman" w:hAnsi="Times New Roman" w:eastAsia="SchoolBookSanPin"/>
        </w:rPr>
        <w:t>базовые логические и базовые исследовательские операции (сравнение, анализ, обобщение, классификация, сериация, выдвижение предположений, проведение опыта, мини-исследования и другие);</w:t>
      </w:r>
    </w:p>
    <w:p w14:paraId="2E75BEC0">
      <w:pPr>
        <w:spacing w:after="0" w:line="353" w:lineRule="auto"/>
        <w:ind w:firstLine="709"/>
        <w:jc w:val="both"/>
        <w:rPr>
          <w:rFonts w:ascii="Times New Roman" w:hAnsi="Times New Roman" w:eastAsia="SchoolBookSanPin"/>
        </w:rPr>
      </w:pPr>
      <w:r>
        <w:rPr>
          <w:rFonts w:ascii="Times New Roman" w:hAnsi="Times New Roman" w:eastAsia="SchoolBookSanPin"/>
        </w:rPr>
        <w:t>работа с информацией, представленной в разном виде и формах, в том числе графических (таблицы, диаграммы, инфограммы, схемы), аудио- и видеоформатах (возможно на экране).</w:t>
      </w:r>
    </w:p>
    <w:p w14:paraId="15453C9D">
      <w:pPr>
        <w:spacing w:after="0" w:line="353" w:lineRule="auto"/>
        <w:ind w:firstLine="709"/>
        <w:jc w:val="both"/>
        <w:rPr>
          <w:rFonts w:ascii="Times New Roman" w:hAnsi="Times New Roman" w:eastAsia="SchoolBookSanPin"/>
        </w:rPr>
      </w:pPr>
      <w:r>
        <w:rPr>
          <w:rFonts w:ascii="Times New Roman" w:hAnsi="Times New Roman" w:eastAsia="SchoolBookSanPin"/>
        </w:rPr>
        <w:t>17</w:t>
      </w:r>
      <w:r>
        <w:rPr>
          <w:rFonts w:ascii="Times New Roman" w:hAnsi="Times New Roman" w:eastAsia="SchoolBookSanPin"/>
          <w:bCs/>
        </w:rPr>
        <w:t>.4. </w:t>
      </w:r>
      <w:r>
        <w:rPr>
          <w:rFonts w:ascii="Times New Roman" w:hAnsi="Times New Roman" w:eastAsia="SchoolBookSanPin"/>
        </w:rPr>
        <w:t>Познавательные УУД становятся предпосылкой формирования способности обучающегося к самообразованию и саморазвитию.</w:t>
      </w:r>
    </w:p>
    <w:p w14:paraId="031109B1">
      <w:pPr>
        <w:spacing w:after="0" w:line="353" w:lineRule="auto"/>
        <w:ind w:firstLine="709"/>
        <w:jc w:val="both"/>
        <w:rPr>
          <w:rFonts w:ascii="Times New Roman" w:hAnsi="Times New Roman" w:eastAsia="SchoolBookSanPin"/>
        </w:rPr>
      </w:pPr>
      <w:r>
        <w:rPr>
          <w:rFonts w:ascii="Times New Roman" w:hAnsi="Times New Roman" w:eastAsia="SchoolBookSanPin"/>
        </w:rPr>
        <w:t>17</w:t>
      </w:r>
      <w:r>
        <w:rPr>
          <w:rFonts w:ascii="Times New Roman" w:hAnsi="Times New Roman" w:eastAsia="SchoolBookSanPin"/>
          <w:bCs/>
        </w:rPr>
        <w:t xml:space="preserve">.5. Коммуникативные </w:t>
      </w:r>
      <w:r>
        <w:rPr>
          <w:rFonts w:ascii="Times New Roman" w:hAnsi="Times New Roman" w:eastAsia="SchoolBookSanPin"/>
        </w:rPr>
        <w:t>УУД являются основанием для формирования готовности обучающегося к информационному взаимодействию с окружающим миром: средой обитания, членами многонационального поликультурного общества разного возраста, представителями разных социальных групп, в том числе представленного (на экране) в виде виртуального отображения реальной действительности, и даже с самим собой.</w:t>
      </w:r>
    </w:p>
    <w:p w14:paraId="09E9D1CF">
      <w:pPr>
        <w:spacing w:after="0" w:line="353" w:lineRule="auto"/>
        <w:ind w:firstLine="709"/>
        <w:jc w:val="both"/>
        <w:rPr>
          <w:rFonts w:ascii="Times New Roman" w:hAnsi="Times New Roman" w:eastAsia="SchoolBookSanPin"/>
        </w:rPr>
      </w:pPr>
      <w:r>
        <w:rPr>
          <w:rFonts w:ascii="Times New Roman" w:hAnsi="Times New Roman" w:eastAsia="SchoolBookSanPin"/>
        </w:rPr>
        <w:t>17</w:t>
      </w:r>
      <w:r>
        <w:rPr>
          <w:rFonts w:ascii="Times New Roman" w:hAnsi="Times New Roman" w:eastAsia="SchoolBookSanPin"/>
          <w:bCs/>
        </w:rPr>
        <w:t>.6. </w:t>
      </w:r>
      <w:r>
        <w:rPr>
          <w:rFonts w:ascii="Times New Roman" w:hAnsi="Times New Roman" w:eastAsia="SchoolBookSanPin"/>
        </w:rPr>
        <w:t xml:space="preserve">Коммуникативные УУД целесообразно формировать, используя цифровую образовательную среду класса, образовательной организации. </w:t>
      </w:r>
    </w:p>
    <w:p w14:paraId="05228B16">
      <w:pPr>
        <w:spacing w:after="0" w:line="353" w:lineRule="auto"/>
        <w:ind w:firstLine="709"/>
        <w:jc w:val="both"/>
        <w:rPr>
          <w:rFonts w:ascii="Times New Roman" w:hAnsi="Times New Roman" w:eastAsia="SchoolBookSanPin"/>
        </w:rPr>
      </w:pPr>
      <w:r>
        <w:rPr>
          <w:rFonts w:ascii="Times New Roman" w:hAnsi="Times New Roman" w:eastAsia="SchoolBookSanPin"/>
        </w:rPr>
        <w:t>17</w:t>
      </w:r>
      <w:r>
        <w:rPr>
          <w:rFonts w:ascii="Times New Roman" w:hAnsi="Times New Roman" w:eastAsia="SchoolBookSanPin"/>
          <w:bCs/>
        </w:rPr>
        <w:t>.7. </w:t>
      </w:r>
      <w:r>
        <w:rPr>
          <w:rFonts w:ascii="Times New Roman" w:hAnsi="Times New Roman" w:eastAsia="SchoolBookSanPin"/>
        </w:rPr>
        <w:t>Коммуникативные УУД характеризуются четырьмя группами учебных операций, обеспечивающих:</w:t>
      </w:r>
    </w:p>
    <w:p w14:paraId="31D238E6">
      <w:pPr>
        <w:spacing w:after="0" w:line="353" w:lineRule="auto"/>
        <w:ind w:firstLine="709"/>
        <w:jc w:val="both"/>
        <w:rPr>
          <w:rFonts w:ascii="Times New Roman" w:hAnsi="Times New Roman" w:eastAsia="SchoolBookSanPin"/>
        </w:rPr>
      </w:pPr>
      <w:r>
        <w:rPr>
          <w:rFonts w:ascii="Times New Roman" w:hAnsi="Times New Roman" w:eastAsia="SchoolBookSanPin"/>
        </w:rPr>
        <w:t>смысловое чтение текстов разных жанров, типов, назначений; аналитическую текстовую деятельность с ними;</w:t>
      </w:r>
    </w:p>
    <w:p w14:paraId="1AB20BC3">
      <w:pPr>
        <w:spacing w:after="0" w:line="353" w:lineRule="auto"/>
        <w:ind w:firstLine="709"/>
        <w:jc w:val="both"/>
        <w:rPr>
          <w:rFonts w:ascii="Times New Roman" w:hAnsi="Times New Roman" w:eastAsia="SchoolBookSanPin"/>
        </w:rPr>
      </w:pPr>
      <w:r>
        <w:rPr>
          <w:rFonts w:ascii="Times New Roman" w:hAnsi="Times New Roman" w:eastAsia="SchoolBookSanPin"/>
        </w:rPr>
        <w:t>успешное участие обучающегося в диалогическом взаимодействии с субъектами образовательных отношений (знание и соблюдение правил учебного диалога), в том числе в условиях использования технологий неконтактного информационного взаимодействия;</w:t>
      </w:r>
    </w:p>
    <w:p w14:paraId="03273BE5">
      <w:pPr>
        <w:spacing w:after="0" w:line="353" w:lineRule="auto"/>
        <w:ind w:firstLine="709"/>
        <w:jc w:val="both"/>
        <w:rPr>
          <w:rFonts w:ascii="Times New Roman" w:hAnsi="Times New Roman" w:eastAsia="SchoolBookSanPin"/>
        </w:rPr>
      </w:pPr>
      <w:r>
        <w:rPr>
          <w:rFonts w:ascii="Times New Roman" w:hAnsi="Times New Roman" w:eastAsia="SchoolBookSanPin"/>
        </w:rPr>
        <w:t>успешную продуктивно-творческую деятельность (самостоятельное создание текстов разного типа – описания, рассуждения, повествования), создание и видоизменение экранных (виртуальных) объектов учебного, художественного, бытового назначения (самостоятельный поиск, реконструкция, динамическое представление);</w:t>
      </w:r>
    </w:p>
    <w:p w14:paraId="2E375A87">
      <w:pPr>
        <w:spacing w:after="0" w:line="353" w:lineRule="auto"/>
        <w:ind w:firstLine="709"/>
        <w:jc w:val="both"/>
        <w:rPr>
          <w:rFonts w:ascii="Times New Roman" w:hAnsi="Times New Roman" w:eastAsia="SchoolBookSanPin"/>
        </w:rPr>
      </w:pPr>
      <w:r>
        <w:rPr>
          <w:rFonts w:ascii="Times New Roman" w:hAnsi="Times New Roman" w:eastAsia="SchoolBookSanPin"/>
        </w:rPr>
        <w:t>результативное взаимодействие с участниками совместной деятельности (высказывание собственного мнения, учёт суждений других собеседников, умение договариваться, уступать, вырабатывать общую точку зрения), в том числе в условиях использования технологий неконтактного информационного взаимодействия.</w:t>
      </w:r>
    </w:p>
    <w:p w14:paraId="3FC8E9C7">
      <w:pPr>
        <w:widowControl/>
        <w:suppressAutoHyphens/>
        <w:spacing w:after="0" w:line="353" w:lineRule="auto"/>
        <w:ind w:firstLine="709"/>
        <w:jc w:val="both"/>
        <w:outlineLvl w:val="1"/>
        <w:rPr>
          <w:rFonts w:ascii="Times New Roman" w:hAnsi="Times New Roman" w:eastAsia="SchoolBookSanPin"/>
        </w:rPr>
      </w:pPr>
      <w:r>
        <w:rPr>
          <w:rFonts w:ascii="Times New Roman" w:hAnsi="Times New Roman" w:eastAsia="SchoolBookSanPin"/>
        </w:rPr>
        <w:t>17</w:t>
      </w:r>
      <w:r>
        <w:rPr>
          <w:rFonts w:ascii="Times New Roman" w:hAnsi="Times New Roman" w:eastAsia="SchoolBookSanPin"/>
          <w:bCs/>
        </w:rPr>
        <w:t xml:space="preserve">.8. Регулятивные </w:t>
      </w:r>
      <w:r>
        <w:rPr>
          <w:rFonts w:ascii="Times New Roman" w:hAnsi="Times New Roman" w:eastAsia="SchoolBookSanPin"/>
        </w:rPr>
        <w:t xml:space="preserve">УУД отражают совокупность учебных операций, обеспечивающих становление рефлексивных качеств обучающегося (на уровне начального общего образования их формирование осуществляется на пропедевтическом уровне). </w:t>
      </w:r>
    </w:p>
    <w:p w14:paraId="402B8CD2">
      <w:pPr>
        <w:widowControl/>
        <w:spacing w:after="0" w:line="353" w:lineRule="auto"/>
        <w:ind w:firstLine="709"/>
        <w:jc w:val="both"/>
        <w:rPr>
          <w:rFonts w:ascii="Times New Roman" w:hAnsi="Times New Roman" w:eastAsia="SchoolBookSanPin"/>
        </w:rPr>
      </w:pPr>
      <w:r>
        <w:rPr>
          <w:rFonts w:ascii="Times New Roman" w:hAnsi="Times New Roman" w:eastAsia="SchoolBookSanPin"/>
        </w:rPr>
        <w:t>17.9. Выделяются шесть групп операций:</w:t>
      </w:r>
    </w:p>
    <w:p w14:paraId="5964D587">
      <w:pPr>
        <w:widowControl/>
        <w:spacing w:after="0" w:line="353" w:lineRule="auto"/>
        <w:ind w:firstLine="709"/>
        <w:jc w:val="both"/>
        <w:rPr>
          <w:rFonts w:ascii="Times New Roman" w:hAnsi="Times New Roman" w:eastAsia="SchoolBookSanPin"/>
        </w:rPr>
      </w:pPr>
      <w:r>
        <w:rPr>
          <w:rFonts w:ascii="Times New Roman" w:hAnsi="Times New Roman" w:eastAsia="SchoolBookSanPin"/>
        </w:rPr>
        <w:t>принимать и удерживать учебную задачу;</w:t>
      </w:r>
    </w:p>
    <w:p w14:paraId="5C8819D5">
      <w:pPr>
        <w:widowControl/>
        <w:spacing w:after="0" w:line="353" w:lineRule="auto"/>
        <w:ind w:firstLine="709"/>
        <w:jc w:val="both"/>
        <w:rPr>
          <w:rFonts w:ascii="Times New Roman" w:hAnsi="Times New Roman" w:eastAsia="SchoolBookSanPin"/>
        </w:rPr>
      </w:pPr>
      <w:r>
        <w:rPr>
          <w:rFonts w:ascii="Times New Roman" w:hAnsi="Times New Roman" w:eastAsia="SchoolBookSanPin"/>
        </w:rPr>
        <w:t>планировать её решение;</w:t>
      </w:r>
    </w:p>
    <w:p w14:paraId="2E0C1789">
      <w:pPr>
        <w:widowControl/>
        <w:spacing w:after="0" w:line="353" w:lineRule="auto"/>
        <w:ind w:firstLine="709"/>
        <w:jc w:val="both"/>
        <w:rPr>
          <w:rFonts w:ascii="Times New Roman" w:hAnsi="Times New Roman" w:eastAsia="SchoolBookSanPin"/>
        </w:rPr>
      </w:pPr>
      <w:r>
        <w:rPr>
          <w:rFonts w:ascii="Times New Roman" w:hAnsi="Times New Roman" w:eastAsia="SchoolBookSanPin"/>
        </w:rPr>
        <w:t>контролировать полученный результат деятельности;</w:t>
      </w:r>
    </w:p>
    <w:p w14:paraId="219F70B4">
      <w:pPr>
        <w:widowControl/>
        <w:spacing w:after="0" w:line="353" w:lineRule="auto"/>
        <w:ind w:firstLine="709"/>
        <w:jc w:val="both"/>
        <w:rPr>
          <w:rFonts w:ascii="Times New Roman" w:hAnsi="Times New Roman" w:eastAsia="SchoolBookSanPin"/>
        </w:rPr>
      </w:pPr>
      <w:r>
        <w:rPr>
          <w:rFonts w:ascii="Times New Roman" w:hAnsi="Times New Roman" w:eastAsia="SchoolBookSanPin"/>
        </w:rPr>
        <w:t>контролировать процесс деятельности, его соответствие выбранному способу;</w:t>
      </w:r>
    </w:p>
    <w:p w14:paraId="05FF2E7B">
      <w:pPr>
        <w:widowControl/>
        <w:spacing w:after="0" w:line="353" w:lineRule="auto"/>
        <w:ind w:firstLine="709"/>
        <w:jc w:val="both"/>
        <w:rPr>
          <w:rFonts w:ascii="Times New Roman" w:hAnsi="Times New Roman" w:eastAsia="SchoolBookSanPin"/>
        </w:rPr>
      </w:pPr>
      <w:r>
        <w:rPr>
          <w:rFonts w:ascii="Times New Roman" w:hAnsi="Times New Roman" w:eastAsia="SchoolBookSanPin"/>
        </w:rPr>
        <w:t>предвидеть (прогнозировать) трудности и ошибки при решении данной учебной задачи;</w:t>
      </w:r>
    </w:p>
    <w:p w14:paraId="4807A7C2">
      <w:pPr>
        <w:widowControl/>
        <w:spacing w:after="0" w:line="353" w:lineRule="auto"/>
        <w:ind w:firstLine="709"/>
        <w:jc w:val="both"/>
        <w:rPr>
          <w:rFonts w:ascii="Times New Roman" w:hAnsi="Times New Roman" w:eastAsia="SchoolBookSanPin"/>
        </w:rPr>
      </w:pPr>
      <w:r>
        <w:rPr>
          <w:rFonts w:ascii="Times New Roman" w:hAnsi="Times New Roman" w:eastAsia="SchoolBookSanPin"/>
        </w:rPr>
        <w:t>корректировать при необходимости процесс деятельности.</w:t>
      </w:r>
    </w:p>
    <w:p w14:paraId="781E21CA">
      <w:pPr>
        <w:widowControl/>
        <w:spacing w:after="0" w:line="353" w:lineRule="auto"/>
        <w:ind w:firstLine="709"/>
        <w:jc w:val="both"/>
        <w:rPr>
          <w:rFonts w:ascii="Times New Roman" w:hAnsi="Times New Roman" w:eastAsia="SchoolBookSanPin"/>
        </w:rPr>
      </w:pPr>
      <w:r>
        <w:rPr>
          <w:rFonts w:ascii="Times New Roman" w:hAnsi="Times New Roman" w:eastAsia="SchoolBookSanPin"/>
        </w:rPr>
        <w:t>17.10. Важной составляющей регулятивных УУД являются операции, определяющие способность обучающегося к волевым усилиям в процессе коллективной и (или) совместной деятельности, к мирному самостоятельному предупреждению и преодолению конфликтов, в том числе в условиях использования технологий неконтактного информационного взаимодействия.</w:t>
      </w:r>
    </w:p>
    <w:p w14:paraId="1BA6F689">
      <w:pPr>
        <w:widowControl/>
        <w:spacing w:after="0" w:line="353" w:lineRule="auto"/>
        <w:ind w:firstLine="709"/>
        <w:jc w:val="both"/>
        <w:rPr>
          <w:rFonts w:ascii="Times New Roman" w:hAnsi="Times New Roman" w:eastAsia="SchoolBookSanPin"/>
        </w:rPr>
      </w:pPr>
      <w:r>
        <w:rPr>
          <w:rFonts w:ascii="Times New Roman" w:hAnsi="Times New Roman" w:eastAsia="SchoolBookSanPin"/>
        </w:rPr>
        <w:t xml:space="preserve">17.11. В рабочих программах учебных предметов требования и планируемые результаты совместной деятельности выделены в специальный раздел, что позволяет учителю осознать, что способность к результативной совместной деятельности строится на двух феноменах, участие которых обеспечивает её успешность: </w:t>
      </w:r>
    </w:p>
    <w:p w14:paraId="789A37BD">
      <w:pPr>
        <w:widowControl/>
        <w:spacing w:after="0" w:line="353" w:lineRule="auto"/>
        <w:ind w:firstLine="709"/>
        <w:jc w:val="both"/>
        <w:rPr>
          <w:rFonts w:ascii="Times New Roman" w:hAnsi="Times New Roman" w:eastAsia="SchoolBookSanPin"/>
        </w:rPr>
      </w:pPr>
      <w:r>
        <w:rPr>
          <w:rFonts w:ascii="Times New Roman" w:hAnsi="Times New Roman" w:eastAsia="SchoolBookSanPin"/>
        </w:rPr>
        <w:t>знание и применение коммуникативных форм взаимодействия (договариваться, рассуждать, находить компромиссные решения), в том числе в условиях использования технологий неконтактного информационного взаимодействия;</w:t>
      </w:r>
    </w:p>
    <w:p w14:paraId="0233116D">
      <w:pPr>
        <w:widowControl/>
        <w:spacing w:after="0" w:line="353" w:lineRule="auto"/>
        <w:ind w:firstLine="709"/>
        <w:jc w:val="both"/>
        <w:rPr>
          <w:rFonts w:ascii="Times New Roman" w:hAnsi="Times New Roman"/>
          <w:b/>
        </w:rPr>
      </w:pPr>
      <w:r>
        <w:rPr>
          <w:rFonts w:ascii="Times New Roman" w:hAnsi="Times New Roman" w:eastAsia="SchoolBookSanPin"/>
        </w:rPr>
        <w:t>волевые регулятивные умения (подчиняться, уступать, объективно оценивать вклад свой и других в результат общего труда и другие).</w:t>
      </w:r>
    </w:p>
    <w:p w14:paraId="5E7E6CFF">
      <w:pPr>
        <w:widowControl/>
        <w:spacing w:after="0" w:line="353" w:lineRule="auto"/>
        <w:ind w:firstLine="709"/>
        <w:jc w:val="both"/>
        <w:rPr>
          <w:rFonts w:ascii="Times New Roman" w:hAnsi="Times New Roman" w:eastAsia="SchoolBookSanPin"/>
        </w:rPr>
      </w:pPr>
      <w:r>
        <w:rPr>
          <w:rFonts w:ascii="Times New Roman" w:hAnsi="Times New Roman" w:eastAsia="SchoolBookSanPin"/>
        </w:rPr>
        <w:t>17.12. Механизмом конструирования образовательного процесса являются следующие методические позиции.</w:t>
      </w:r>
    </w:p>
    <w:p w14:paraId="0BAF314D">
      <w:pPr>
        <w:widowControl/>
        <w:spacing w:after="0" w:line="353" w:lineRule="auto"/>
        <w:ind w:firstLine="709"/>
        <w:jc w:val="both"/>
        <w:rPr>
          <w:rFonts w:ascii="Times New Roman" w:hAnsi="Times New Roman" w:eastAsia="SchoolBookSanPin"/>
        </w:rPr>
      </w:pPr>
      <w:r>
        <w:rPr>
          <w:rFonts w:ascii="Times New Roman" w:hAnsi="Times New Roman" w:eastAsia="SchoolBookSanPin"/>
        </w:rPr>
        <w:t xml:space="preserve">17.12.1. Педагогический работник проводит анализ содержания учебного предмета с точки зрения УУД и устанавливает те содержательные линии, которые в особой мере способствуют формированию разных метапредметных результатов. На уроке по каждому учебному предмету предусматривается включение заданий, выполнение которых требует применения определённого познавательного, коммуникативного или регулятивного универсального действия. Соответствующий вклад в формирование УУД можно выделить в содержании каждого учебного предмета. </w:t>
      </w:r>
    </w:p>
    <w:p w14:paraId="53B13094">
      <w:pPr>
        <w:widowControl/>
        <w:spacing w:after="0" w:line="353" w:lineRule="auto"/>
        <w:ind w:firstLine="709"/>
        <w:jc w:val="both"/>
        <w:rPr>
          <w:rFonts w:ascii="Times New Roman" w:hAnsi="Times New Roman" w:eastAsia="SchoolBookSanPin"/>
        </w:rPr>
      </w:pPr>
      <w:r>
        <w:rPr>
          <w:rFonts w:ascii="Times New Roman" w:hAnsi="Times New Roman" w:eastAsia="SchoolBookSanPin"/>
        </w:rPr>
        <w:t xml:space="preserve">Таким образом, на первом этапе формирования УУД определяются приоритеты учебных предметов для формирования качества универсальности на данном предметном содержании. </w:t>
      </w:r>
    </w:p>
    <w:p w14:paraId="23A17B57">
      <w:pPr>
        <w:widowControl/>
        <w:spacing w:after="0" w:line="353" w:lineRule="auto"/>
        <w:ind w:firstLine="709"/>
        <w:jc w:val="both"/>
        <w:rPr>
          <w:rFonts w:ascii="Times New Roman" w:hAnsi="Times New Roman" w:eastAsia="SchoolBookSanPin"/>
        </w:rPr>
      </w:pPr>
      <w:r>
        <w:rPr>
          <w:rFonts w:ascii="Times New Roman" w:hAnsi="Times New Roman" w:eastAsia="SchoolBookSanPin"/>
        </w:rPr>
        <w:t xml:space="preserve">На втором этапе подключаются другие учебные предметы, педагогический работник предлагает задания, требующие применения учебного действия или операций на разном предметном содержании. </w:t>
      </w:r>
    </w:p>
    <w:p w14:paraId="00F3B45C">
      <w:pPr>
        <w:widowControl/>
        <w:spacing w:after="0" w:line="353" w:lineRule="auto"/>
        <w:ind w:firstLine="709"/>
        <w:jc w:val="both"/>
        <w:rPr>
          <w:rFonts w:ascii="Times New Roman" w:hAnsi="Times New Roman" w:eastAsia="SchoolBookSanPin"/>
        </w:rPr>
      </w:pPr>
      <w:r>
        <w:rPr>
          <w:rFonts w:ascii="Times New Roman" w:hAnsi="Times New Roman" w:eastAsia="SchoolBookSanPin"/>
        </w:rPr>
        <w:t xml:space="preserve">Третий этап характеризуется устойчивостью УУД, то есть использования его независимо от предметного содержания. У обучающегося начинает формироваться обобщённое видение учебного действия, он может охарактеризовать его, не ссылаясь на конкретное содержание. Например, «наблюдать – значит…», «сравнение – это…», «контролировать – значит…» и другие. </w:t>
      </w:r>
    </w:p>
    <w:p w14:paraId="4B77D6D6">
      <w:pPr>
        <w:widowControl/>
        <w:spacing w:after="0" w:line="353" w:lineRule="auto"/>
        <w:ind w:firstLine="709"/>
        <w:jc w:val="both"/>
        <w:rPr>
          <w:rFonts w:ascii="Times New Roman" w:hAnsi="Times New Roman" w:eastAsia="SchoolBookSanPin"/>
        </w:rPr>
      </w:pPr>
      <w:r>
        <w:rPr>
          <w:rFonts w:ascii="Times New Roman" w:hAnsi="Times New Roman" w:eastAsia="SchoolBookSanPin"/>
        </w:rPr>
        <w:t>Педагогический работник делает вывод о том, что универсальность (независимость от конкретного содержания) как свойство учебного действия сформировалась.</w:t>
      </w:r>
    </w:p>
    <w:p w14:paraId="2DED9453">
      <w:pPr>
        <w:widowControl/>
        <w:spacing w:after="0" w:line="353" w:lineRule="auto"/>
        <w:ind w:firstLine="709"/>
        <w:jc w:val="both"/>
        <w:rPr>
          <w:rFonts w:ascii="Times New Roman" w:hAnsi="Times New Roman" w:eastAsia="SchoolBookSanPin"/>
        </w:rPr>
      </w:pPr>
      <w:r>
        <w:rPr>
          <w:rFonts w:ascii="Times New Roman" w:hAnsi="Times New Roman" w:eastAsia="SchoolBookSanPin"/>
        </w:rPr>
        <w:t xml:space="preserve">17.12.2. Педагогический работник использует виды деятельности, которые в особой мере провоцируют применение универсальных действий: поисковая, в том числе с использованием электронных образовательных и информационных ресурсов Интернета, исследовательская, творческая деятельность, в том числе с использованием экранных моделей изучаемых объектов или процессов, что позволяет отказаться от репродуктивного типа организации обучения, при котором главным методом обучения является образец, предъявляемый обучающимся в готовом виде. В этом случае задача обучающегося – запомнить образец и каждый раз вспоминать его при решении учебной задачи. В таких условиях изучения учебных предметов универсальные действия, требующие мыслительных операций, актуальных коммуникативных умений, планирования и контроля своей деятельности, не являются востребованными, так как использование готового образца опирается только на восприятие и память. </w:t>
      </w:r>
    </w:p>
    <w:p w14:paraId="3FC1641B">
      <w:pPr>
        <w:widowControl/>
        <w:spacing w:after="0" w:line="353" w:lineRule="auto"/>
        <w:ind w:firstLine="709"/>
        <w:jc w:val="both"/>
        <w:rPr>
          <w:rFonts w:ascii="Times New Roman" w:hAnsi="Times New Roman" w:eastAsia="SchoolBookSanPin"/>
        </w:rPr>
      </w:pPr>
      <w:r>
        <w:rPr>
          <w:rFonts w:ascii="Times New Roman" w:hAnsi="Times New Roman" w:eastAsia="SchoolBookSanPin"/>
        </w:rPr>
        <w:t>Поисковая и исследовательская деятельность развивают способность обучающегося к диалогу, обсуждению проблем, разрешению возникших противоречий в точках зрения. Поисковая и исследовательская деятельность может осуществляться с использованием информационных банков, содержащих различные экранные (виртуальные) объекты (учебного или игрового, бытового назначения), в том числе в условиях использования технологий неконтактного информационного взаимодействия.</w:t>
      </w:r>
    </w:p>
    <w:p w14:paraId="2500CEA7">
      <w:pPr>
        <w:widowControl/>
        <w:spacing w:after="0" w:line="353" w:lineRule="auto"/>
        <w:ind w:firstLine="709"/>
        <w:jc w:val="both"/>
        <w:rPr>
          <w:rFonts w:ascii="Times New Roman" w:hAnsi="Times New Roman" w:eastAsia="SchoolBookSanPin"/>
        </w:rPr>
      </w:pPr>
      <w:r>
        <w:rPr>
          <w:rFonts w:ascii="Times New Roman" w:hAnsi="Times New Roman" w:eastAsia="SchoolBookSanPin"/>
        </w:rPr>
        <w:t xml:space="preserve">Для формирования наблюдения как метода познания разных объектов действительности на уроках окружающего мира организуются наблюдения в естественных природных условиях. Наблюдения можно организовать в условиях экранного (виртуального) представления разных объектов, сюжетов, процессов, отображающих реальную действительность, которую невозможно предоставить обучающемуся в условиях образовательной организации (объекты природы, художественные визуализации, технологические процессы и другие). </w:t>
      </w:r>
    </w:p>
    <w:p w14:paraId="7E8EC0A2">
      <w:pPr>
        <w:widowControl/>
        <w:spacing w:after="0" w:line="353" w:lineRule="auto"/>
        <w:ind w:firstLine="709"/>
        <w:jc w:val="both"/>
        <w:rPr>
          <w:rFonts w:ascii="Times New Roman" w:hAnsi="Times New Roman" w:eastAsia="SchoolBookSanPin"/>
        </w:rPr>
      </w:pPr>
      <w:r>
        <w:rPr>
          <w:rFonts w:ascii="Times New Roman" w:hAnsi="Times New Roman" w:eastAsia="SchoolBookSanPin"/>
        </w:rPr>
        <w:t xml:space="preserve">Уроки литературного чтения позволяют проводить наблюдения текста, на которых строится аналитическая текстовая деятельность. Учебные диалоги, в том числе с представленным на экране виртуальным собеседником, дают возможность высказывать гипотезы, строить рассуждения, сравнивать доказательства, формулировать обобщения практически на любом предметном содержании. </w:t>
      </w:r>
    </w:p>
    <w:p w14:paraId="29A0D9CF">
      <w:pPr>
        <w:widowControl/>
        <w:spacing w:after="0" w:line="353" w:lineRule="auto"/>
        <w:ind w:firstLine="709"/>
        <w:jc w:val="both"/>
        <w:rPr>
          <w:rFonts w:ascii="Times New Roman" w:hAnsi="Times New Roman" w:eastAsia="SchoolBookSanPin"/>
        </w:rPr>
      </w:pPr>
      <w:r>
        <w:rPr>
          <w:rFonts w:ascii="Times New Roman" w:hAnsi="Times New Roman" w:eastAsia="SchoolBookSanPin"/>
        </w:rPr>
        <w:t>Если эта работа проводится учителем систематически и на уроках по всем учебным предметам, то универсальность учебного действия формируется успешно и быстро.</w:t>
      </w:r>
    </w:p>
    <w:p w14:paraId="6C85A046">
      <w:pPr>
        <w:widowControl/>
        <w:spacing w:after="0" w:line="353" w:lineRule="auto"/>
        <w:ind w:firstLine="709"/>
        <w:jc w:val="both"/>
        <w:rPr>
          <w:rFonts w:ascii="Times New Roman" w:hAnsi="Times New Roman" w:eastAsia="SchoolBookSanPin"/>
        </w:rPr>
      </w:pPr>
      <w:r>
        <w:rPr>
          <w:rFonts w:ascii="Times New Roman" w:hAnsi="Times New Roman" w:eastAsia="SchoolBookSanPin"/>
        </w:rPr>
        <w:t xml:space="preserve">17.12.3. Педагогический работник применяет систему заданий, формирующих операциональный состав учебного действия. Цель таких заданий – создание алгоритма решения учебной задачи, выбор соответствующего способа действия. </w:t>
      </w:r>
    </w:p>
    <w:p w14:paraId="12585B1D">
      <w:pPr>
        <w:widowControl/>
        <w:spacing w:after="0" w:line="353" w:lineRule="auto"/>
        <w:ind w:firstLine="709"/>
        <w:jc w:val="both"/>
        <w:rPr>
          <w:rFonts w:ascii="Times New Roman" w:hAnsi="Times New Roman" w:eastAsia="SchoolBookSanPin"/>
        </w:rPr>
      </w:pPr>
      <w:r>
        <w:rPr>
          <w:rFonts w:ascii="Times New Roman" w:hAnsi="Times New Roman" w:eastAsia="SchoolBookSanPin"/>
        </w:rPr>
        <w:t xml:space="preserve">На первых этапах указанная работа организуется коллективно, выстраиваются пошаговые операции, постепенно обучающиеся учатся выполнять их самостоятельно. При этом очень важно соблюдать последовательность этапов формирования алгоритма: построение последовательности шагов на конкретном предметном содержании; проговаривание их во внешней речи; постепенный переход на новый уровень – построение способа действий на любом предметном содержании и с подключением внутренней речи. </w:t>
      </w:r>
    </w:p>
    <w:p w14:paraId="6DBD0D7B">
      <w:pPr>
        <w:widowControl/>
        <w:spacing w:after="0" w:line="353" w:lineRule="auto"/>
        <w:ind w:firstLine="709"/>
        <w:jc w:val="both"/>
        <w:rPr>
          <w:rFonts w:ascii="Times New Roman" w:hAnsi="Times New Roman" w:eastAsia="SchoolBookSanPin"/>
        </w:rPr>
      </w:pPr>
      <w:r>
        <w:rPr>
          <w:rFonts w:ascii="Times New Roman" w:hAnsi="Times New Roman" w:eastAsia="SchoolBookSanPin"/>
        </w:rPr>
        <w:t>При этом изменяется и процесс контроля:</w:t>
      </w:r>
    </w:p>
    <w:p w14:paraId="2E5A35C2">
      <w:pPr>
        <w:widowControl/>
        <w:spacing w:after="0" w:line="353" w:lineRule="auto"/>
        <w:ind w:firstLine="709"/>
        <w:jc w:val="both"/>
        <w:rPr>
          <w:rFonts w:ascii="Times New Roman" w:hAnsi="Times New Roman" w:eastAsia="SchoolBookSanPin"/>
        </w:rPr>
      </w:pPr>
      <w:r>
        <w:rPr>
          <w:rFonts w:ascii="Times New Roman" w:hAnsi="Times New Roman" w:eastAsia="SchoolBookSanPin"/>
        </w:rPr>
        <w:t xml:space="preserve">от совместных действий с учителем обучающиеся переходят к самостоятельным аналитическим оценкам; </w:t>
      </w:r>
    </w:p>
    <w:p w14:paraId="048289E3">
      <w:pPr>
        <w:widowControl/>
        <w:spacing w:after="0" w:line="353" w:lineRule="auto"/>
        <w:ind w:firstLine="709"/>
        <w:jc w:val="both"/>
        <w:rPr>
          <w:rFonts w:ascii="Times New Roman" w:hAnsi="Times New Roman" w:eastAsia="SchoolBookSanPin"/>
        </w:rPr>
      </w:pPr>
      <w:r>
        <w:rPr>
          <w:rFonts w:ascii="Times New Roman" w:hAnsi="Times New Roman" w:eastAsia="SchoolBookSanPin"/>
        </w:rPr>
        <w:t xml:space="preserve">выполняющий задание осваивает два вида контроля – результата и процесса деятельности; </w:t>
      </w:r>
    </w:p>
    <w:p w14:paraId="59254407">
      <w:pPr>
        <w:widowControl/>
        <w:spacing w:after="0" w:line="353" w:lineRule="auto"/>
        <w:ind w:firstLine="709"/>
        <w:jc w:val="both"/>
        <w:rPr>
          <w:rFonts w:ascii="Times New Roman" w:hAnsi="Times New Roman" w:eastAsia="SchoolBookSanPin"/>
        </w:rPr>
      </w:pPr>
      <w:r>
        <w:rPr>
          <w:rFonts w:ascii="Times New Roman" w:hAnsi="Times New Roman" w:eastAsia="SchoolBookSanPin"/>
        </w:rPr>
        <w:t>развивается способность корректировать процесс выполнения задания, а также предвидеть возможные трудности и ошибки. При этом возможно реализовать автоматизацию контроля с диагностикой ошибок обучающегося и с соответствующей методической поддержкой исправления самим обучающимся своих ошибок.</w:t>
      </w:r>
    </w:p>
    <w:p w14:paraId="1317A953">
      <w:pPr>
        <w:widowControl/>
        <w:spacing w:after="0" w:line="353" w:lineRule="auto"/>
        <w:ind w:firstLine="709"/>
        <w:jc w:val="both"/>
        <w:rPr>
          <w:rFonts w:ascii="Times New Roman" w:hAnsi="Times New Roman" w:eastAsia="SchoolBookSanPin"/>
        </w:rPr>
      </w:pPr>
      <w:r>
        <w:rPr>
          <w:rFonts w:ascii="Times New Roman" w:hAnsi="Times New Roman" w:eastAsia="SchoolBookSanPin"/>
        </w:rPr>
        <w:t xml:space="preserve">Описанная технология обучения в рамках совместно-распределительной деятельности развивает способность обучающихся работать не только в типовых учебных ситуациях, но и в новых нестандартных ситуациях. </w:t>
      </w:r>
    </w:p>
    <w:p w14:paraId="3487DD08">
      <w:pPr>
        <w:widowControl/>
        <w:spacing w:after="0" w:line="353" w:lineRule="auto"/>
        <w:ind w:firstLine="709"/>
        <w:jc w:val="both"/>
        <w:rPr>
          <w:rFonts w:ascii="Times New Roman" w:hAnsi="Times New Roman" w:eastAsia="SchoolBookSanPin"/>
        </w:rPr>
      </w:pPr>
      <w:r>
        <w:rPr>
          <w:rFonts w:ascii="Times New Roman" w:hAnsi="Times New Roman" w:eastAsia="SchoolBookSanPin"/>
        </w:rPr>
        <w:t>17.13. Сравнение как УУД состоит из следующих операций: нахождение различий сравниваемых предметов (объектов, явлений); определение их сходства, тождества, похожести; определение индивидуальности, специфических черт объекта. Для повышения мотивации обучения обучающемуся предлагается новый вид деятельности (возможный только в условиях экранного представления объектов, явлений) – выбирать (из информационного банка) экранные (виртуальные) модели изучаемых предметов (объектов, явлений) и видоизменять их таким образом, чтобы привести их к сходству или похожести с другими.</w:t>
      </w:r>
    </w:p>
    <w:p w14:paraId="5B1D6B06">
      <w:pPr>
        <w:widowControl/>
        <w:spacing w:after="0" w:line="353" w:lineRule="auto"/>
        <w:ind w:firstLine="709"/>
        <w:jc w:val="both"/>
        <w:rPr>
          <w:rFonts w:ascii="Times New Roman" w:hAnsi="Times New Roman" w:eastAsia="SchoolBookSanPin"/>
        </w:rPr>
      </w:pPr>
      <w:r>
        <w:rPr>
          <w:rFonts w:ascii="Times New Roman" w:hAnsi="Times New Roman" w:eastAsia="SchoolBookSanPin"/>
        </w:rPr>
        <w:t>17.14. Классификация как УУД включает: анализ свойств объектов, которые подлежат классификации; сравнение выделенных свойств с целью их дифференциации на внешние (несущественные) и главные (существенные) свойства; выделение общих главных (существенных) признаков всех имеющихся объектов; разбиение объектов на группы (типы) по общему главному (существенному) признаку. Обучающемуся предлагается (в условиях экранного представления моделей объектов) большее их количество в отличие от реальных условий, для анализа свойств объектов, которые подлежат классификации (типизации), для сравнения выделенных свойств экранных (виртуальных) моделей изучаемых объектов с целью их дифференциации. При этом возможна фиксация деятельности обучающегося в электронном формате для рассмотрения учителем итогов работы.</w:t>
      </w:r>
    </w:p>
    <w:p w14:paraId="2683DF1F">
      <w:pPr>
        <w:widowControl/>
        <w:spacing w:after="0" w:line="353" w:lineRule="auto"/>
        <w:ind w:firstLine="709"/>
        <w:jc w:val="both"/>
        <w:rPr>
          <w:rFonts w:ascii="Times New Roman" w:hAnsi="Times New Roman" w:eastAsia="SchoolBookSanPin"/>
        </w:rPr>
      </w:pPr>
      <w:r>
        <w:rPr>
          <w:rFonts w:ascii="Times New Roman" w:hAnsi="Times New Roman" w:eastAsia="SchoolBookSanPin"/>
        </w:rPr>
        <w:t>17.15. Обобщение как УУД включает следующие операции: сравнение предметов (объектов, явлений, понятий) и выделение их общих признаков; анализ выделенных признаков и определение наиболее устойчивых (инвариантных) существенных признаков (свойств); игнорирование индивидуальных и (или) особенных свойств каждого предмета; сокращённая сжатая формулировка общего главного существенного признака всех анализируемых предметов. Обучающемуся предлагается (в условиях экранного представления моделей объектов) большее их количество в отличие от реальных условий, для сравнения предметов (объектов, явлений) и выделения их общих признаков. При этом возможна фиксация деятельности обучающегося в электронном формате для рассмотрения учителем итогов работы.</w:t>
      </w:r>
    </w:p>
    <w:p w14:paraId="136A750F">
      <w:pPr>
        <w:widowControl/>
        <w:spacing w:after="0" w:line="353" w:lineRule="auto"/>
        <w:ind w:firstLine="709"/>
        <w:jc w:val="both"/>
        <w:rPr>
          <w:rFonts w:ascii="Times New Roman" w:hAnsi="Times New Roman" w:eastAsia="SchoolBookSanPin"/>
        </w:rPr>
      </w:pPr>
      <w:r>
        <w:rPr>
          <w:rFonts w:ascii="Times New Roman" w:hAnsi="Times New Roman" w:eastAsia="SchoolBookSanPin"/>
        </w:rPr>
        <w:t>17.16. Систематическая работа обучающегося с заданиями, требующими применения одинаковых способов действий на различном предметном содержании, формирует у обучающихся чёткое представление об их универсальных свойствах, то есть возможность обобщённой характеристики сущности универсального действия.</w:t>
      </w:r>
    </w:p>
    <w:p w14:paraId="745E6736">
      <w:pPr>
        <w:widowControl/>
        <w:spacing w:after="0" w:line="353" w:lineRule="auto"/>
        <w:ind w:firstLine="709"/>
        <w:jc w:val="both"/>
        <w:rPr>
          <w:rFonts w:ascii="Times New Roman" w:hAnsi="Times New Roman" w:eastAsia="SchoolBookSanPin"/>
        </w:rPr>
      </w:pPr>
      <w:r>
        <w:rPr>
          <w:rFonts w:ascii="Times New Roman" w:hAnsi="Times New Roman" w:eastAsia="SchoolBookSanPin"/>
        </w:rPr>
        <w:t xml:space="preserve">17.17. Сформированность УУД у обучающихся определяется на этапе завершения ими освоения программы начального общего образования. Полученные результаты не подлежат балльной оценке, так как в соответствии с закономерностями контрольно-оценочной деятельности балльной оценкой (отметкой) оценивается результат, а не процесс деятельности. В задачу педагогического работника входит проанализировать вместе с обучающимся его достижения, ошибки и встретившиеся трудности. </w:t>
      </w:r>
    </w:p>
    <w:p w14:paraId="3CF44ED0">
      <w:pPr>
        <w:widowControl/>
        <w:spacing w:after="0" w:line="353" w:lineRule="auto"/>
        <w:ind w:firstLine="709"/>
        <w:jc w:val="both"/>
        <w:rPr>
          <w:rFonts w:ascii="Times New Roman" w:hAnsi="Times New Roman" w:eastAsia="SchoolBookSanPin"/>
        </w:rPr>
      </w:pPr>
      <w:r>
        <w:rPr>
          <w:rFonts w:ascii="Times New Roman" w:hAnsi="Times New Roman" w:eastAsia="SchoolBookSanPin"/>
        </w:rPr>
        <w:t>17.18. В рабочих программах учебных предметов содержание метапредметных достижений обучения представлено в разделе «Содержание обучения», которое строится по классам. В каждом классе каждого учебного предмета представлен возможный вариант содержания всех групп УУД по каждому году обучения на уровне начального общего образования. В 1 и 2 классах определён пропедевтический уровень овладения УУД, и только к концу второго года обучения появляются признаки универсальности.</w:t>
      </w:r>
    </w:p>
    <w:p w14:paraId="40173878">
      <w:pPr>
        <w:widowControl/>
        <w:spacing w:after="0" w:line="353" w:lineRule="auto"/>
        <w:ind w:firstLine="709"/>
        <w:jc w:val="both"/>
        <w:rPr>
          <w:rFonts w:ascii="Times New Roman" w:hAnsi="Times New Roman"/>
        </w:rPr>
      </w:pPr>
      <w:r>
        <w:rPr>
          <w:rFonts w:ascii="Times New Roman" w:hAnsi="Times New Roman" w:eastAsia="SchoolBookSanPin"/>
        </w:rPr>
        <w:t>17.19. В рабочих программах учебных предметов содержание УУД представлено также в разделе «Планируемые результаты обучения». Познавательные УУД включают перечень базовых логических действий; базовых исследовательских действий; работу с информацией. Коммуникативные УУД включают перечень действий участника учебного диалога, действия, связанные со смысловым чтением и текстовой деятельностью, а также УУД, обеспечивающие монологические формы речи (описание, рассуждение, повествование). Регулятивные УУД включают перечень действий саморегуляции, самоконтроля и самооценки. Отдельный раздел «Совместная деятельность» интегрирует коммуникативные и регулятивные действия, необходимые для успешной совместной деятельности.</w:t>
      </w:r>
      <w:r>
        <w:rPr>
          <w:rFonts w:ascii="Times New Roman" w:hAnsi="Times New Roman"/>
        </w:rPr>
        <w:t xml:space="preserve"> </w:t>
      </w:r>
    </w:p>
    <w:p w14:paraId="32B2DE3F">
      <w:pPr>
        <w:pStyle w:val="2"/>
        <w:pBdr>
          <w:bottom w:val="none" w:color="auto" w:sz="0" w:space="0"/>
        </w:pBdr>
        <w:spacing w:before="0" w:line="360" w:lineRule="auto"/>
        <w:ind w:firstLine="708"/>
        <w:jc w:val="both"/>
        <w:rPr>
          <w:rFonts w:eastAsia="SchoolBookSanPin"/>
          <w:b w:val="0"/>
          <w:sz w:val="22"/>
          <w:szCs w:val="22"/>
        </w:rPr>
      </w:pPr>
      <w:r>
        <w:rPr>
          <w:rFonts w:eastAsia="SchoolBookSanPin"/>
          <w:sz w:val="22"/>
          <w:szCs w:val="22"/>
        </w:rPr>
        <w:t>18</w:t>
      </w:r>
      <w:r>
        <w:rPr>
          <w:b w:val="0"/>
          <w:sz w:val="22"/>
          <w:szCs w:val="22"/>
        </w:rPr>
        <w:t xml:space="preserve">. </w:t>
      </w:r>
      <w:r>
        <w:rPr>
          <w:rFonts w:eastAsia="SchoolBookSanPin"/>
          <w:b w:val="0"/>
          <w:sz w:val="22"/>
          <w:szCs w:val="22"/>
        </w:rPr>
        <w:t>Рабочая программа воспитания.</w:t>
      </w:r>
    </w:p>
    <w:p w14:paraId="79151658">
      <w:pPr>
        <w:widowControl/>
        <w:spacing w:after="0" w:line="353" w:lineRule="auto"/>
        <w:ind w:firstLine="709"/>
        <w:jc w:val="both"/>
        <w:rPr>
          <w:rFonts w:ascii="Times New Roman" w:hAnsi="Times New Roman" w:eastAsia="SchoolBookSanPin"/>
        </w:rPr>
      </w:pPr>
      <w:r>
        <w:rPr>
          <w:rFonts w:ascii="Times New Roman" w:hAnsi="Times New Roman" w:eastAsia="SchoolBookSanPin"/>
        </w:rPr>
        <w:t>18.1. Пояснительная записка.</w:t>
      </w:r>
    </w:p>
    <w:p w14:paraId="01D2AA83">
      <w:pPr>
        <w:widowControl/>
        <w:spacing w:after="0" w:line="353" w:lineRule="auto"/>
        <w:ind w:firstLine="709"/>
        <w:jc w:val="both"/>
        <w:rPr>
          <w:rFonts w:ascii="Times New Roman" w:hAnsi="Times New Roman" w:eastAsia="SchoolBookSanPin"/>
        </w:rPr>
      </w:pPr>
      <w:r>
        <w:rPr>
          <w:rFonts w:ascii="Times New Roman" w:hAnsi="Times New Roman" w:eastAsia="SchoolBookSanPin"/>
        </w:rPr>
        <w:t>Программа воспитания МБОУ «</w:t>
      </w:r>
      <w:r>
        <w:rPr>
          <w:rFonts w:ascii="Times New Roman" w:hAnsi="Times New Roman" w:eastAsia="SchoolBookSanPin"/>
          <w:lang w:val="ru-RU"/>
        </w:rPr>
        <w:t>Николаевская</w:t>
      </w:r>
      <w:r>
        <w:rPr>
          <w:rFonts w:ascii="Times New Roman" w:hAnsi="Times New Roman" w:eastAsia="SchoolBookSanPin"/>
        </w:rPr>
        <w:t xml:space="preserve"> ООШ»  разработана с учётом Федерального закона от 29 декабря 2012 г. № 273-ФЗ «Об образовании в Российской Федерации», Стратегии развития воспитания в Российской Федерации на период до 2025 года (распоряжение Правительства Российской Федерации от 29 мая 2015 г. № 996-р) и Плана мероприятий по её реализации в 2021 — 2025 гг. (распоряжение Правительства Российской Федерации от 12 ноября 2020 г. № 2945-р), Стратегии национальной безопасности Российской Федерации (Указ Президента Российской Федерации от 2 июля 2021 г. № 400), на основе Федерального закона от 04.09.2022г №371-ФЗ "О внесении изменений в Федеральный закон "Об образовании в Российской Федерации" , Приказ Министерства просвещения Российской Федерации от 18.05.2023 № 372 "Об утверждении федеральной образовательной программы начального общего образования"(Зарегистрирован 13.07.2023 № 74229), приказ Министерства просвещения Российской Федерации от 18.05.2023 № 370 "Об утверждении федеральной образовательной программы основного общего образования"(Зарегистрирован 12.07.2023 № 74223), приказ Министерства просвещения Российской Федерации от 18.05.2023 № 371 "Об утверждении федеральной образовательной программы среднего общего образования" (Зарегистрирован 12.07.2023 № 74228), письма Министерства просвещения Российской Федерации от 18 июля 2022 года № АБ-1951/06 «Об актуализации примерной рабочей программы воспитания», в соответствии с примерной программой воспитания, одобренной решением федерального учебнометодического объединения по общему образованию (протокол от 23.06.2022г. № 3/22).</w:t>
      </w:r>
    </w:p>
    <w:p w14:paraId="7E24D438">
      <w:pPr>
        <w:widowControl/>
        <w:spacing w:after="0" w:line="353" w:lineRule="auto"/>
        <w:ind w:firstLine="709"/>
        <w:jc w:val="both"/>
        <w:rPr>
          <w:rFonts w:ascii="Times New Roman" w:hAnsi="Times New Roman" w:eastAsia="SchoolBookSanPin"/>
        </w:rPr>
      </w:pPr>
      <w:r>
        <w:rPr>
          <w:rFonts w:ascii="Times New Roman" w:hAnsi="Times New Roman" w:eastAsia="SchoolBookSanPin"/>
        </w:rPr>
        <w:t>Рабочая программа воспитания направлена на сохранение и укрепление традиционных российских духовно-нравственных ценностей, к которым относятся жизнь, достоинство, права и свободы человека, патриотизм, гражданственность, служение Отечеству и ответственность за его судьбу, высокие нравственные идеалы, крепкая семья, созидательный труд, приоритет духовного над материальным, гуманизм, милосердие, справедливость, коллективизм, взаимопомощь и взаимоуважение, историческая память и преемственность поколений, единство народов России.</w:t>
      </w:r>
    </w:p>
    <w:p w14:paraId="0BADD873">
      <w:pPr>
        <w:widowControl/>
        <w:spacing w:after="0" w:line="353" w:lineRule="auto"/>
        <w:ind w:firstLine="709"/>
        <w:jc w:val="both"/>
        <w:rPr>
          <w:rFonts w:ascii="Times New Roman" w:hAnsi="Times New Roman" w:eastAsia="SchoolBookSanPin"/>
        </w:rPr>
      </w:pPr>
      <w:r>
        <w:rPr>
          <w:rFonts w:ascii="Times New Roman" w:hAnsi="Times New Roman" w:eastAsia="SchoolBookSanPin"/>
        </w:rPr>
        <w:t>Рабочая программа воспитания направлена на развитие личности обучающихся, в том числе укрепление психического здоровья и физическое воспитание, достижение ими результатов освоения программы основного общего образования.</w:t>
      </w:r>
    </w:p>
    <w:p w14:paraId="22382418">
      <w:pPr>
        <w:widowControl/>
        <w:spacing w:after="0" w:line="353" w:lineRule="auto"/>
        <w:ind w:firstLine="709"/>
        <w:jc w:val="both"/>
        <w:rPr>
          <w:rFonts w:ascii="Times New Roman" w:hAnsi="Times New Roman" w:eastAsia="SchoolBookSanPin"/>
        </w:rPr>
      </w:pPr>
      <w:r>
        <w:rPr>
          <w:rFonts w:ascii="Times New Roman" w:hAnsi="Times New Roman" w:eastAsia="SchoolBookSanPin"/>
        </w:rPr>
        <w:t>Программа воспитания:</w:t>
      </w:r>
    </w:p>
    <w:p w14:paraId="7EA89AC2">
      <w:pPr>
        <w:widowControl/>
        <w:spacing w:after="0" w:line="353" w:lineRule="auto"/>
        <w:ind w:firstLine="709"/>
        <w:jc w:val="both"/>
        <w:rPr>
          <w:rFonts w:ascii="Times New Roman" w:hAnsi="Times New Roman" w:eastAsia="SchoolBookSanPin"/>
        </w:rPr>
      </w:pPr>
      <w:r>
        <w:rPr>
          <w:rFonts w:ascii="Times New Roman" w:hAnsi="Times New Roman" w:eastAsia="SchoolBookSanPin"/>
        </w:rPr>
        <w:t>-   предназначена для планирования и организации системной воспитательной деятельности в образовательной организации;</w:t>
      </w:r>
    </w:p>
    <w:p w14:paraId="10E57DE0">
      <w:pPr>
        <w:widowControl/>
        <w:spacing w:after="0" w:line="353" w:lineRule="auto"/>
        <w:ind w:firstLine="709"/>
        <w:jc w:val="both"/>
        <w:rPr>
          <w:rFonts w:ascii="Times New Roman" w:hAnsi="Times New Roman" w:eastAsia="SchoolBookSanPin"/>
        </w:rPr>
      </w:pPr>
      <w:r>
        <w:rPr>
          <w:rFonts w:ascii="Times New Roman" w:hAnsi="Times New Roman" w:eastAsia="SchoolBookSanPin"/>
        </w:rPr>
        <w:t xml:space="preserve">- разрабатывается и утверждается с участием коллегиальных органов управления образовательной организацией, в том числе советов обучающихся, советов родителей (законных представителей); </w:t>
      </w:r>
    </w:p>
    <w:p w14:paraId="792840B3">
      <w:pPr>
        <w:widowControl/>
        <w:spacing w:after="0" w:line="353" w:lineRule="auto"/>
        <w:ind w:firstLine="709"/>
        <w:jc w:val="both"/>
        <w:rPr>
          <w:rFonts w:ascii="Times New Roman" w:hAnsi="Times New Roman" w:eastAsia="SchoolBookSanPin"/>
        </w:rPr>
      </w:pPr>
      <w:r>
        <w:rPr>
          <w:rFonts w:ascii="Times New Roman" w:hAnsi="Times New Roman" w:eastAsia="SchoolBookSanPin"/>
        </w:rPr>
        <w:t xml:space="preserve">-  реализуется в единстве урочной и внеурочной деятельности, осуществляемой совместно с семьёй и другими участниками образовательных отношений, социальными институтами воспитания; </w:t>
      </w:r>
    </w:p>
    <w:p w14:paraId="10E9109F">
      <w:pPr>
        <w:widowControl/>
        <w:spacing w:after="0" w:line="353" w:lineRule="auto"/>
        <w:ind w:firstLine="709"/>
        <w:jc w:val="both"/>
        <w:rPr>
          <w:rFonts w:ascii="Times New Roman" w:hAnsi="Times New Roman" w:eastAsia="SchoolBookSanPin"/>
        </w:rPr>
      </w:pPr>
      <w:r>
        <w:rPr>
          <w:rFonts w:ascii="Times New Roman" w:hAnsi="Times New Roman" w:eastAsia="SchoolBookSanPin"/>
        </w:rPr>
        <w:t xml:space="preserve">- предусматривает приобщение обучающихся к российским традиционным духовным ценностям, включая ценности своей этнической группы, правилам и нормам поведения, принятым в российском обществе на основе российских базовых конституционных норм и ценностей; </w:t>
      </w:r>
    </w:p>
    <w:p w14:paraId="648B5563">
      <w:pPr>
        <w:widowControl/>
        <w:spacing w:after="0" w:line="353" w:lineRule="auto"/>
        <w:ind w:firstLine="709"/>
        <w:jc w:val="both"/>
        <w:rPr>
          <w:rFonts w:ascii="Times New Roman" w:hAnsi="Times New Roman" w:eastAsia="SchoolBookSanPin"/>
        </w:rPr>
      </w:pPr>
      <w:r>
        <w:rPr>
          <w:rFonts w:ascii="Times New Roman" w:hAnsi="Times New Roman" w:eastAsia="SchoolBookSanPin"/>
        </w:rPr>
        <w:t>- предусматривает историческое просвещение, формирование российской культурной и гражданской идентичности обучающихся.</w:t>
      </w:r>
    </w:p>
    <w:p w14:paraId="1B3BFFBB">
      <w:pPr>
        <w:widowControl/>
        <w:spacing w:after="0" w:line="353" w:lineRule="auto"/>
        <w:ind w:firstLine="709"/>
        <w:jc w:val="both"/>
        <w:rPr>
          <w:rFonts w:ascii="Times New Roman" w:hAnsi="Times New Roman" w:eastAsia="SchoolBookSanPin"/>
        </w:rPr>
      </w:pPr>
      <w:r>
        <w:rPr>
          <w:rFonts w:ascii="Times New Roman" w:hAnsi="Times New Roman" w:eastAsia="SchoolBookSanPin"/>
        </w:rPr>
        <w:t>Программа воспитания включает три раздела: целевой, содержательный, организационный.</w:t>
      </w:r>
    </w:p>
    <w:p w14:paraId="477D2204">
      <w:pPr>
        <w:widowControl/>
        <w:spacing w:after="0" w:line="353" w:lineRule="auto"/>
        <w:ind w:firstLine="709"/>
        <w:jc w:val="both"/>
        <w:rPr>
          <w:rFonts w:ascii="Times New Roman" w:hAnsi="Times New Roman"/>
        </w:rPr>
      </w:pPr>
      <w:r>
        <w:rPr>
          <w:rFonts w:ascii="Times New Roman" w:hAnsi="Times New Roman" w:eastAsia="SchoolBookSanPin"/>
        </w:rPr>
        <w:t>При разработке или обновлении рабочей программы воспитания её содержание, за исключением целевого раздела, может изменяться в соответствии с особенностями образовательной организации: организационно-правовой формой, контингентом обучающихся и их родителей (законных представителей), направленностью образовательной программы, в том числе предусматривающей углублённое изучение отдельных учебных предметов, учитывающей этнокультурные интересы, особые образовательные потребности обучающихся.</w:t>
      </w:r>
      <w:r>
        <w:rPr>
          <w:rFonts w:ascii="Times New Roman" w:hAnsi="Times New Roman"/>
        </w:rPr>
        <w:t xml:space="preserve"> </w:t>
      </w:r>
    </w:p>
    <w:p w14:paraId="1500927F">
      <w:pPr>
        <w:widowControl/>
        <w:spacing w:after="0" w:line="353" w:lineRule="auto"/>
        <w:ind w:firstLine="709"/>
        <w:jc w:val="both"/>
        <w:rPr>
          <w:rFonts w:ascii="Times New Roman" w:hAnsi="Times New Roman" w:eastAsia="SchoolBookSanPin"/>
        </w:rPr>
      </w:pPr>
      <w:r>
        <w:rPr>
          <w:rFonts w:ascii="Times New Roman" w:hAnsi="Times New Roman" w:eastAsia="SchoolBookSanPin"/>
        </w:rPr>
        <w:t>18.2. Целевой раздел</w:t>
      </w:r>
    </w:p>
    <w:p w14:paraId="5674E9E5">
      <w:pPr>
        <w:widowControl/>
        <w:spacing w:after="0" w:line="353" w:lineRule="auto"/>
        <w:ind w:firstLine="709"/>
        <w:jc w:val="both"/>
        <w:rPr>
          <w:rFonts w:ascii="Times New Roman" w:hAnsi="Times New Roman" w:eastAsia="SchoolBookSanPin"/>
        </w:rPr>
      </w:pPr>
      <w:r>
        <w:rPr>
          <w:rFonts w:ascii="Times New Roman" w:hAnsi="Times New Roman" w:eastAsia="SchoolBookSanPin"/>
        </w:rPr>
        <w:t>Участниками образовательных отношений МБОУ «</w:t>
      </w:r>
      <w:r>
        <w:rPr>
          <w:rFonts w:ascii="Times New Roman" w:hAnsi="Times New Roman" w:eastAsia="SchoolBookSanPin"/>
          <w:lang w:val="ru-RU"/>
        </w:rPr>
        <w:t>Николаевская</w:t>
      </w:r>
      <w:r>
        <w:rPr>
          <w:rFonts w:ascii="Times New Roman" w:hAnsi="Times New Roman" w:eastAsia="SchoolBookSanPin"/>
        </w:rPr>
        <w:t xml:space="preserve"> ООШ» являются педагогические и другие работники общеобразовательной организации, обучающиеся, их родители (законные представители), представители иных организаций, участвующие в реализации образовательного процесса в соответствии с законодательством Российской Федерации, локальными актами МБОУ «</w:t>
      </w:r>
      <w:r>
        <w:rPr>
          <w:rFonts w:ascii="Times New Roman" w:hAnsi="Times New Roman" w:eastAsia="SchoolBookSanPin"/>
          <w:lang w:val="ru-RU"/>
        </w:rPr>
        <w:t>Николаевская</w:t>
      </w:r>
      <w:r>
        <w:rPr>
          <w:rFonts w:ascii="Times New Roman" w:hAnsi="Times New Roman" w:eastAsia="SchoolBookSanPin"/>
        </w:rPr>
        <w:t xml:space="preserve"> ООШ». Родители (законные представители) несовершеннолетних обучающихся имеют преимущественное право на воспитание своих детей. </w:t>
      </w:r>
    </w:p>
    <w:p w14:paraId="42D6D3A9">
      <w:pPr>
        <w:widowControl/>
        <w:spacing w:after="0" w:line="353" w:lineRule="auto"/>
        <w:ind w:firstLine="709"/>
        <w:jc w:val="both"/>
        <w:rPr>
          <w:rFonts w:ascii="Times New Roman" w:hAnsi="Times New Roman" w:eastAsia="SchoolBookSanPin"/>
        </w:rPr>
      </w:pPr>
      <w:r>
        <w:rPr>
          <w:rFonts w:ascii="Times New Roman" w:hAnsi="Times New Roman" w:eastAsia="SchoolBookSanPin"/>
        </w:rPr>
        <w:t xml:space="preserve">Содержание воспитания обучающихся определяется содержанием российских базовых (гражданских, национальных) норм и ценностей, которые закреплены в Конституции Российской Федерации. Эти ценности и нормы определяют инвариантное содержание воспитания обучающихся. Вариативный компонент содержания воспитания обучающихся включает духовно-нравственные ценности культуры, традиционных религий народов России. </w:t>
      </w:r>
    </w:p>
    <w:p w14:paraId="6B98A7B8">
      <w:pPr>
        <w:widowControl/>
        <w:spacing w:after="0" w:line="353" w:lineRule="auto"/>
        <w:ind w:firstLine="709"/>
        <w:jc w:val="both"/>
        <w:rPr>
          <w:rFonts w:ascii="Times New Roman" w:hAnsi="Times New Roman" w:eastAsia="SchoolBookSanPin"/>
        </w:rPr>
      </w:pPr>
      <w:r>
        <w:rPr>
          <w:rFonts w:ascii="Times New Roman" w:hAnsi="Times New Roman" w:eastAsia="SchoolBookSanPin"/>
        </w:rPr>
        <w:t>Воспитательная деятельность в МБОУ «</w:t>
      </w:r>
      <w:r>
        <w:rPr>
          <w:rFonts w:ascii="Times New Roman" w:hAnsi="Times New Roman" w:eastAsia="SchoolBookSanPin"/>
          <w:lang w:val="ru-RU"/>
        </w:rPr>
        <w:t>Николаевская</w:t>
      </w:r>
      <w:r>
        <w:rPr>
          <w:rFonts w:ascii="Times New Roman" w:hAnsi="Times New Roman" w:eastAsia="SchoolBookSanPin"/>
        </w:rPr>
        <w:t xml:space="preserve"> ООШ» планируется и осуществляется в соответствии с приоритетами государственной политики в сфере воспитания. Приоритетной задачей Российской Федерации в сфере воспитания детей является развитие высоконравственной личности, разделяющей российские традиционные духовные ценности, обладающей актуальными знаниями и умениями, способной реализовать свой потенциал в условиях современного общества, готовой к мирному созиданию и защите Родины. </w:t>
      </w:r>
      <w:bookmarkStart w:id="307" w:name="_Hlk107041641"/>
      <w:bookmarkEnd w:id="307"/>
    </w:p>
    <w:p w14:paraId="2AE0D7C4">
      <w:pPr>
        <w:widowControl/>
        <w:spacing w:after="0" w:line="353" w:lineRule="auto"/>
        <w:ind w:firstLine="709"/>
        <w:jc w:val="both"/>
        <w:rPr>
          <w:rFonts w:ascii="Times New Roman" w:hAnsi="Times New Roman" w:eastAsia="SchoolBookSanPin"/>
          <w:i/>
        </w:rPr>
      </w:pPr>
      <w:bookmarkStart w:id="308" w:name="__RefHeading___3"/>
      <w:bookmarkEnd w:id="308"/>
      <w:bookmarkStart w:id="309" w:name="bookmark8"/>
      <w:r>
        <w:rPr>
          <w:rFonts w:ascii="Times New Roman" w:hAnsi="Times New Roman" w:eastAsia="SchoolBookSanPin"/>
          <w:i/>
        </w:rPr>
        <w:t>Цель и задачи воспитания обучающихся</w:t>
      </w:r>
    </w:p>
    <w:p w14:paraId="1EE675AB">
      <w:pPr>
        <w:widowControl/>
        <w:spacing w:after="0" w:line="353" w:lineRule="auto"/>
        <w:ind w:firstLine="709"/>
        <w:jc w:val="both"/>
        <w:rPr>
          <w:rFonts w:ascii="Times New Roman" w:hAnsi="Times New Roman" w:eastAsia="SchoolBookSanPin"/>
        </w:rPr>
      </w:pPr>
      <w:r>
        <w:rPr>
          <w:rFonts w:ascii="Times New Roman" w:hAnsi="Times New Roman" w:eastAsia="SchoolBookSanPin"/>
        </w:rPr>
        <w:t xml:space="preserve">Современный российский национальный воспитательный идеал -высоконравственный, творческий, компетентный гражданин России, принимающий судьбу Отечества как свою личную, осознающий ответственность за настоящее и будущее страны, укоренённый в духовных и культурных традициях многонационального народа Российской Федерации. </w:t>
      </w:r>
    </w:p>
    <w:p w14:paraId="288189E6">
      <w:pPr>
        <w:widowControl/>
        <w:spacing w:after="0" w:line="353" w:lineRule="auto"/>
        <w:ind w:firstLine="709"/>
        <w:jc w:val="both"/>
        <w:rPr>
          <w:rFonts w:ascii="Times New Roman" w:hAnsi="Times New Roman" w:eastAsia="SchoolBookSanPin"/>
        </w:rPr>
      </w:pPr>
      <w:r>
        <w:rPr>
          <w:rFonts w:ascii="Times New Roman" w:hAnsi="Times New Roman" w:eastAsia="SchoolBookSanPin"/>
        </w:rPr>
        <w:t xml:space="preserve">В соответствии с этим идеалом и нормативными правовыми актами Российской Федерации в сфере образования </w:t>
      </w:r>
      <w:r>
        <w:rPr>
          <w:rFonts w:ascii="Times New Roman" w:hAnsi="Times New Roman" w:eastAsia="SchoolBookSanPin"/>
          <w:b/>
        </w:rPr>
        <w:t>цель воспитания</w:t>
      </w:r>
      <w:r>
        <w:rPr>
          <w:rFonts w:ascii="Times New Roman" w:hAnsi="Times New Roman" w:eastAsia="SchoolBookSanPin"/>
        </w:rPr>
        <w:t xml:space="preserve"> обучающихся в общеобразовательной организации: </w:t>
      </w:r>
    </w:p>
    <w:p w14:paraId="09253F46">
      <w:pPr>
        <w:widowControl/>
        <w:spacing w:after="0" w:line="353" w:lineRule="auto"/>
        <w:ind w:firstLine="709"/>
        <w:jc w:val="both"/>
        <w:rPr>
          <w:rFonts w:ascii="Times New Roman" w:hAnsi="Times New Roman" w:eastAsia="SchoolBookSanPin"/>
        </w:rPr>
      </w:pPr>
      <w:r>
        <w:rPr>
          <w:rFonts w:ascii="Times New Roman" w:hAnsi="Times New Roman" w:eastAsia="SchoolBookSanPin"/>
        </w:rPr>
        <w:t>развитие личности, создание условий для самоопределения и социализации на основе социокультурных, духовно-нравственных ценностей и принятых в российском обществе правил и норм поведения в интересах человека, семьи, общества и государства;</w:t>
      </w:r>
    </w:p>
    <w:p w14:paraId="3C435441">
      <w:pPr>
        <w:widowControl/>
        <w:spacing w:after="0" w:line="353" w:lineRule="auto"/>
        <w:ind w:firstLine="709"/>
        <w:jc w:val="both"/>
        <w:rPr>
          <w:rFonts w:ascii="Times New Roman" w:hAnsi="Times New Roman" w:eastAsia="SchoolBookSanPin"/>
        </w:rPr>
      </w:pPr>
      <w:r>
        <w:rPr>
          <w:rFonts w:ascii="Times New Roman" w:hAnsi="Times New Roman" w:eastAsia="SchoolBookSanPin"/>
        </w:rPr>
        <w:t xml:space="preserve"> формирование у обучающихся чувства патриотизма, гражданственности, уважения к памяти защитников Отечества и подвигам Героев Отечества, закону и правопорядку, человеку труда и старшему поколению, взаимного уважения, бережного отношения к культурному наследию и традициям многонационального народа Российской Федерации, природе и окружающей среде.</w:t>
      </w:r>
    </w:p>
    <w:p w14:paraId="67AF8686">
      <w:pPr>
        <w:widowControl/>
        <w:spacing w:after="0" w:line="353" w:lineRule="auto"/>
        <w:ind w:firstLine="709"/>
        <w:jc w:val="both"/>
        <w:rPr>
          <w:rFonts w:ascii="Times New Roman" w:hAnsi="Times New Roman" w:eastAsia="SchoolBookSanPin"/>
        </w:rPr>
      </w:pPr>
      <w:r>
        <w:rPr>
          <w:rFonts w:ascii="Times New Roman" w:hAnsi="Times New Roman" w:eastAsia="SchoolBookSanPin"/>
          <w:b/>
        </w:rPr>
        <w:t>Задачи воспитания</w:t>
      </w:r>
      <w:r>
        <w:rPr>
          <w:rFonts w:ascii="Times New Roman" w:hAnsi="Times New Roman" w:eastAsia="SchoolBookSanPin"/>
        </w:rPr>
        <w:t xml:space="preserve"> обучающихся в общеобразовательной организации:</w:t>
      </w:r>
    </w:p>
    <w:p w14:paraId="18471CE6">
      <w:pPr>
        <w:widowControl/>
        <w:spacing w:after="0" w:line="353" w:lineRule="auto"/>
        <w:ind w:firstLine="709"/>
        <w:jc w:val="both"/>
        <w:rPr>
          <w:rFonts w:ascii="Times New Roman" w:hAnsi="Times New Roman" w:eastAsia="SchoolBookSanPin"/>
        </w:rPr>
      </w:pPr>
      <w:r>
        <w:rPr>
          <w:rFonts w:ascii="Times New Roman" w:hAnsi="Times New Roman" w:eastAsia="SchoolBookSanPin"/>
        </w:rPr>
        <w:t xml:space="preserve"> 1) усвоение ими знаний норм, духовно- нравственных ценностей, традиций, которые выработало российское общество (социально - значимых знаний);</w:t>
      </w:r>
    </w:p>
    <w:p w14:paraId="530E6661">
      <w:pPr>
        <w:widowControl/>
        <w:spacing w:after="0" w:line="353" w:lineRule="auto"/>
        <w:ind w:firstLine="709"/>
        <w:jc w:val="both"/>
        <w:rPr>
          <w:rFonts w:ascii="Times New Roman" w:hAnsi="Times New Roman" w:eastAsia="SchoolBookSanPin"/>
        </w:rPr>
      </w:pPr>
      <w:r>
        <w:rPr>
          <w:rFonts w:ascii="Times New Roman" w:hAnsi="Times New Roman" w:eastAsia="SchoolBookSanPin"/>
        </w:rPr>
        <w:t xml:space="preserve"> 2) формирование и развитие личностных отношений к этим нормам, ценностям, традициям (их освоение, принятие); </w:t>
      </w:r>
    </w:p>
    <w:p w14:paraId="69FF1ACC">
      <w:pPr>
        <w:widowControl/>
        <w:spacing w:after="0" w:line="353" w:lineRule="auto"/>
        <w:ind w:firstLine="709"/>
        <w:jc w:val="both"/>
        <w:rPr>
          <w:rFonts w:ascii="Times New Roman" w:hAnsi="Times New Roman" w:eastAsia="SchoolBookSanPin"/>
        </w:rPr>
      </w:pPr>
      <w:r>
        <w:rPr>
          <w:rFonts w:ascii="Times New Roman" w:hAnsi="Times New Roman" w:eastAsia="SchoolBookSanPin"/>
        </w:rPr>
        <w:t>3) приобретение соответствующего этим нормам, ценностям, традициям социокультурного опыта поведения, общения, межличностных и социальных отношений, применения полученных знаний;</w:t>
      </w:r>
    </w:p>
    <w:p w14:paraId="034841A6">
      <w:pPr>
        <w:widowControl/>
        <w:spacing w:after="0" w:line="353" w:lineRule="auto"/>
        <w:ind w:firstLine="709"/>
        <w:jc w:val="both"/>
        <w:rPr>
          <w:rFonts w:ascii="Times New Roman" w:hAnsi="Times New Roman" w:eastAsia="SchoolBookSanPin"/>
        </w:rPr>
      </w:pPr>
      <w:r>
        <w:rPr>
          <w:rFonts w:ascii="Times New Roman" w:hAnsi="Times New Roman" w:eastAsia="SchoolBookSanPin"/>
        </w:rPr>
        <w:t xml:space="preserve">4)  достижение личностных результатов освоения общеобразовательных программ в соответствии с ФГОС. </w:t>
      </w:r>
    </w:p>
    <w:p w14:paraId="32FC17BB">
      <w:pPr>
        <w:widowControl/>
        <w:spacing w:after="0" w:line="353" w:lineRule="auto"/>
        <w:ind w:firstLine="709"/>
        <w:jc w:val="both"/>
        <w:rPr>
          <w:rFonts w:ascii="Times New Roman" w:hAnsi="Times New Roman" w:eastAsia="SchoolBookSanPin"/>
        </w:rPr>
      </w:pPr>
      <w:r>
        <w:rPr>
          <w:rFonts w:ascii="Times New Roman" w:hAnsi="Times New Roman" w:eastAsia="SchoolBookSanPin"/>
        </w:rPr>
        <w:t>Личностные результаты освоения обучающимися общеобразовательных программ включают:</w:t>
      </w:r>
    </w:p>
    <w:p w14:paraId="2CE412C7">
      <w:pPr>
        <w:widowControl/>
        <w:spacing w:after="0" w:line="353" w:lineRule="auto"/>
        <w:ind w:firstLine="709"/>
        <w:jc w:val="both"/>
        <w:rPr>
          <w:rFonts w:ascii="Times New Roman" w:hAnsi="Times New Roman" w:eastAsia="SchoolBookSanPin"/>
        </w:rPr>
      </w:pPr>
      <w:r>
        <w:rPr>
          <w:rFonts w:ascii="Times New Roman" w:hAnsi="Times New Roman" w:eastAsia="SchoolBookSanPin"/>
        </w:rPr>
        <w:t xml:space="preserve"> осознание российской гражданской идентичности, </w:t>
      </w:r>
    </w:p>
    <w:p w14:paraId="31D2AACA">
      <w:pPr>
        <w:widowControl/>
        <w:spacing w:after="0" w:line="353" w:lineRule="auto"/>
        <w:ind w:firstLine="709"/>
        <w:jc w:val="both"/>
        <w:rPr>
          <w:rFonts w:ascii="Times New Roman" w:hAnsi="Times New Roman" w:eastAsia="SchoolBookSanPin"/>
        </w:rPr>
      </w:pPr>
      <w:r>
        <w:rPr>
          <w:rFonts w:ascii="Times New Roman" w:hAnsi="Times New Roman" w:eastAsia="SchoolBookSanPin"/>
        </w:rPr>
        <w:t xml:space="preserve">сформированность ценностей самостоятельности и инициативы, </w:t>
      </w:r>
    </w:p>
    <w:p w14:paraId="74546FB6">
      <w:pPr>
        <w:widowControl/>
        <w:spacing w:after="0" w:line="353" w:lineRule="auto"/>
        <w:ind w:firstLine="709"/>
        <w:jc w:val="both"/>
        <w:rPr>
          <w:rFonts w:ascii="Times New Roman" w:hAnsi="Times New Roman" w:eastAsia="SchoolBookSanPin"/>
        </w:rPr>
      </w:pPr>
      <w:r>
        <w:rPr>
          <w:rFonts w:ascii="Times New Roman" w:hAnsi="Times New Roman" w:eastAsia="SchoolBookSanPin"/>
        </w:rPr>
        <w:t>готовность обучающихся к саморазвитию, самостоятельности и личностному самоопределению,</w:t>
      </w:r>
    </w:p>
    <w:p w14:paraId="43DB3A4C">
      <w:pPr>
        <w:widowControl/>
        <w:spacing w:after="0" w:line="353" w:lineRule="auto"/>
        <w:ind w:firstLine="709"/>
        <w:jc w:val="both"/>
        <w:rPr>
          <w:rFonts w:ascii="Times New Roman" w:hAnsi="Times New Roman" w:eastAsia="SchoolBookSanPin"/>
        </w:rPr>
      </w:pPr>
      <w:r>
        <w:rPr>
          <w:rFonts w:ascii="Times New Roman" w:hAnsi="Times New Roman" w:eastAsia="SchoolBookSanPin"/>
        </w:rPr>
        <w:t xml:space="preserve"> наличие мотивации к целенаправленной социально - значимой деятельности, </w:t>
      </w:r>
    </w:p>
    <w:p w14:paraId="0173C79B">
      <w:pPr>
        <w:widowControl/>
        <w:spacing w:after="0" w:line="353" w:lineRule="auto"/>
        <w:ind w:firstLine="709"/>
        <w:jc w:val="both"/>
        <w:rPr>
          <w:rFonts w:ascii="Times New Roman" w:hAnsi="Times New Roman" w:eastAsia="SchoolBookSanPin"/>
        </w:rPr>
      </w:pPr>
      <w:r>
        <w:rPr>
          <w:rFonts w:ascii="Times New Roman" w:hAnsi="Times New Roman" w:eastAsia="SchoolBookSanPin"/>
        </w:rPr>
        <w:t>сформированность внутренней позиции личности как особого ценностного отношения к себе, окружающим людям и жизни в целом.</w:t>
      </w:r>
    </w:p>
    <w:p w14:paraId="3633A025">
      <w:pPr>
        <w:widowControl/>
        <w:spacing w:after="0" w:line="353" w:lineRule="auto"/>
        <w:ind w:firstLine="709"/>
        <w:jc w:val="both"/>
        <w:rPr>
          <w:rFonts w:ascii="Times New Roman" w:hAnsi="Times New Roman" w:eastAsia="SchoolBookSanPin"/>
        </w:rPr>
      </w:pPr>
      <w:r>
        <w:rPr>
          <w:rFonts w:ascii="Times New Roman" w:hAnsi="Times New Roman" w:eastAsia="SchoolBookSanPin"/>
        </w:rPr>
        <w:t>Воспитательная деятельность в МБОУ «</w:t>
      </w:r>
      <w:r>
        <w:rPr>
          <w:rFonts w:ascii="Times New Roman" w:hAnsi="Times New Roman" w:eastAsia="SchoolBookSanPin"/>
          <w:lang w:val="ru-RU"/>
        </w:rPr>
        <w:t>Николаевская</w:t>
      </w:r>
      <w:r>
        <w:rPr>
          <w:rFonts w:ascii="Times New Roman" w:hAnsi="Times New Roman" w:eastAsia="SchoolBookSanPin"/>
        </w:rPr>
        <w:t xml:space="preserve"> ООШ» планируется и осуществляется на основе аксиологического, антропологического, культурно-исторического, системно-деятельностного, личностно-ориентированного подходов и с учётом </w:t>
      </w:r>
      <w:r>
        <w:rPr>
          <w:rFonts w:ascii="Times New Roman" w:hAnsi="Times New Roman" w:eastAsia="SchoolBookSanPin"/>
          <w:b/>
        </w:rPr>
        <w:t>принципов воспитания</w:t>
      </w:r>
      <w:r>
        <w:rPr>
          <w:rFonts w:ascii="Times New Roman" w:hAnsi="Times New Roman" w:eastAsia="SchoolBookSanPin"/>
        </w:rPr>
        <w:t>:</w:t>
      </w:r>
    </w:p>
    <w:p w14:paraId="09B43F9E">
      <w:pPr>
        <w:widowControl/>
        <w:numPr>
          <w:ilvl w:val="0"/>
          <w:numId w:val="2"/>
        </w:numPr>
        <w:spacing w:after="0" w:line="353" w:lineRule="auto"/>
        <w:jc w:val="both"/>
        <w:rPr>
          <w:rFonts w:ascii="Times New Roman" w:hAnsi="Times New Roman" w:eastAsia="SchoolBookSanPin"/>
          <w:lang w:val="en-US"/>
        </w:rPr>
      </w:pPr>
      <w:r>
        <w:rPr>
          <w:rFonts w:ascii="Times New Roman" w:hAnsi="Times New Roman" w:eastAsia="SchoolBookSanPin"/>
          <w:lang w:val="en-US"/>
        </w:rPr>
        <w:t xml:space="preserve">гуманистической направленности воспитания, </w:t>
      </w:r>
    </w:p>
    <w:p w14:paraId="2E440D27">
      <w:pPr>
        <w:widowControl/>
        <w:numPr>
          <w:ilvl w:val="0"/>
          <w:numId w:val="2"/>
        </w:numPr>
        <w:spacing w:after="0" w:line="353" w:lineRule="auto"/>
        <w:jc w:val="both"/>
        <w:rPr>
          <w:rFonts w:ascii="Times New Roman" w:hAnsi="Times New Roman" w:eastAsia="SchoolBookSanPin"/>
        </w:rPr>
      </w:pPr>
      <w:r>
        <w:rPr>
          <w:rFonts w:ascii="Times New Roman" w:hAnsi="Times New Roman" w:eastAsia="SchoolBookSanPin"/>
        </w:rPr>
        <w:t xml:space="preserve">совместной деятельности детей и взрослых, </w:t>
      </w:r>
    </w:p>
    <w:p w14:paraId="04353C7C">
      <w:pPr>
        <w:widowControl/>
        <w:numPr>
          <w:ilvl w:val="0"/>
          <w:numId w:val="2"/>
        </w:numPr>
        <w:spacing w:after="0" w:line="353" w:lineRule="auto"/>
        <w:jc w:val="both"/>
        <w:rPr>
          <w:rFonts w:ascii="Times New Roman" w:hAnsi="Times New Roman" w:eastAsia="SchoolBookSanPin"/>
          <w:lang w:val="en-US"/>
        </w:rPr>
      </w:pPr>
      <w:r>
        <w:rPr>
          <w:rFonts w:ascii="Times New Roman" w:hAnsi="Times New Roman" w:eastAsia="SchoolBookSanPin"/>
          <w:lang w:val="en-US"/>
        </w:rPr>
        <w:t>следования нравственному примеру,</w:t>
      </w:r>
    </w:p>
    <w:p w14:paraId="5D11182D">
      <w:pPr>
        <w:widowControl/>
        <w:numPr>
          <w:ilvl w:val="0"/>
          <w:numId w:val="2"/>
        </w:numPr>
        <w:spacing w:after="0" w:line="353" w:lineRule="auto"/>
        <w:jc w:val="both"/>
        <w:rPr>
          <w:rFonts w:ascii="Times New Roman" w:hAnsi="Times New Roman" w:eastAsia="SchoolBookSanPin"/>
          <w:lang w:val="en-US"/>
        </w:rPr>
      </w:pPr>
      <w:r>
        <w:rPr>
          <w:rFonts w:ascii="Times New Roman" w:hAnsi="Times New Roman" w:eastAsia="SchoolBookSanPin"/>
          <w:lang w:val="en-US"/>
        </w:rPr>
        <w:t xml:space="preserve"> безопасной жизнедеятельности, </w:t>
      </w:r>
    </w:p>
    <w:p w14:paraId="06984582">
      <w:pPr>
        <w:widowControl/>
        <w:numPr>
          <w:ilvl w:val="0"/>
          <w:numId w:val="2"/>
        </w:numPr>
        <w:spacing w:after="0" w:line="353" w:lineRule="auto"/>
        <w:jc w:val="both"/>
        <w:rPr>
          <w:rFonts w:ascii="Times New Roman" w:hAnsi="Times New Roman" w:eastAsia="SchoolBookSanPin"/>
          <w:lang w:val="en-US"/>
        </w:rPr>
      </w:pPr>
      <w:r>
        <w:rPr>
          <w:rFonts w:ascii="Times New Roman" w:hAnsi="Times New Roman" w:eastAsia="SchoolBookSanPin"/>
          <w:lang w:val="en-US"/>
        </w:rPr>
        <w:t xml:space="preserve">инклюзивности, </w:t>
      </w:r>
    </w:p>
    <w:p w14:paraId="533F0116">
      <w:pPr>
        <w:widowControl/>
        <w:numPr>
          <w:ilvl w:val="0"/>
          <w:numId w:val="2"/>
        </w:numPr>
        <w:spacing w:after="0" w:line="353" w:lineRule="auto"/>
        <w:jc w:val="both"/>
        <w:rPr>
          <w:rFonts w:ascii="Times New Roman" w:hAnsi="Times New Roman" w:eastAsia="SchoolBookSanPin"/>
          <w:lang w:val="en-US"/>
        </w:rPr>
      </w:pPr>
      <w:r>
        <w:rPr>
          <w:rFonts w:ascii="Times New Roman" w:hAnsi="Times New Roman" w:eastAsia="SchoolBookSanPin"/>
          <w:lang w:val="en-US"/>
        </w:rPr>
        <w:t>возрастосообразности.</w:t>
      </w:r>
    </w:p>
    <w:p w14:paraId="79D3E363">
      <w:pPr>
        <w:widowControl/>
        <w:spacing w:after="0" w:line="353" w:lineRule="auto"/>
        <w:ind w:firstLine="709"/>
        <w:jc w:val="both"/>
        <w:rPr>
          <w:rFonts w:ascii="Times New Roman" w:hAnsi="Times New Roman" w:eastAsia="SchoolBookSanPin"/>
          <w:b/>
          <w:i/>
        </w:rPr>
      </w:pPr>
      <w:r>
        <w:rPr>
          <w:rFonts w:ascii="Times New Roman" w:hAnsi="Times New Roman" w:eastAsia="SchoolBookSanPin"/>
          <w:b/>
          <w:i/>
        </w:rPr>
        <w:t xml:space="preserve">Направления воспитания </w:t>
      </w:r>
    </w:p>
    <w:p w14:paraId="3D0DEFC5">
      <w:pPr>
        <w:widowControl/>
        <w:spacing w:after="0" w:line="353" w:lineRule="auto"/>
        <w:ind w:firstLine="709"/>
        <w:jc w:val="both"/>
        <w:rPr>
          <w:rFonts w:ascii="Times New Roman" w:hAnsi="Times New Roman" w:eastAsia="SchoolBookSanPin"/>
        </w:rPr>
      </w:pPr>
      <w:r>
        <w:rPr>
          <w:rFonts w:ascii="Times New Roman" w:hAnsi="Times New Roman" w:eastAsia="SchoolBookSanPin"/>
        </w:rPr>
        <w:t>Программа реализуется в единстве учебной и воспитательной деятельности по основным направлениям воспитания в соответствии с ФГОС и отражает готовность обучающихся руководствоваться ценностями и приобретать первоначальный опыт деятельности на их основе, в том числе в части::</w:t>
      </w:r>
    </w:p>
    <w:p w14:paraId="1562E409">
      <w:pPr>
        <w:widowControl/>
        <w:numPr>
          <w:ilvl w:val="0"/>
          <w:numId w:val="3"/>
        </w:numPr>
        <w:spacing w:after="0" w:line="353" w:lineRule="auto"/>
        <w:jc w:val="both"/>
        <w:rPr>
          <w:rFonts w:ascii="Times New Roman" w:hAnsi="Times New Roman" w:eastAsia="SchoolBookSanPin"/>
        </w:rPr>
      </w:pPr>
      <w:r>
        <w:rPr>
          <w:rFonts w:ascii="Times New Roman" w:hAnsi="Times New Roman" w:eastAsia="SchoolBookSanPin"/>
          <w:b/>
        </w:rPr>
        <w:t xml:space="preserve">гражданского воспитания, </w:t>
      </w:r>
      <w:r>
        <w:rPr>
          <w:rFonts w:ascii="Times New Roman" w:hAnsi="Times New Roman" w:eastAsia="SchoolBookSanPin"/>
        </w:rPr>
        <w:t>способствующего формированию российской гражданской идентичности, принадлежности к общности граждан Российской Федерации, к народу России как источнику власти в Российском государстве и субъекту тысячелетней российской государственности, уважения к правам, свободам и обязанностям гражданина России, правовой и политической культуры;</w:t>
      </w:r>
    </w:p>
    <w:p w14:paraId="604B663E">
      <w:pPr>
        <w:widowControl/>
        <w:numPr>
          <w:ilvl w:val="0"/>
          <w:numId w:val="3"/>
        </w:numPr>
        <w:spacing w:after="0" w:line="353" w:lineRule="auto"/>
        <w:jc w:val="both"/>
        <w:rPr>
          <w:rFonts w:ascii="Times New Roman" w:hAnsi="Times New Roman" w:eastAsia="SchoolBookSanPin"/>
        </w:rPr>
      </w:pPr>
      <w:r>
        <w:rPr>
          <w:rFonts w:ascii="Times New Roman" w:hAnsi="Times New Roman" w:eastAsia="SchoolBookSanPin"/>
          <w:b/>
        </w:rPr>
        <w:t xml:space="preserve">патриотического воспитания, </w:t>
      </w:r>
      <w:r>
        <w:rPr>
          <w:rFonts w:ascii="Times New Roman" w:hAnsi="Times New Roman" w:eastAsia="SchoolBookSanPin"/>
        </w:rPr>
        <w:t>основанного на</w:t>
      </w:r>
      <w:r>
        <w:rPr>
          <w:rFonts w:ascii="Times New Roman" w:hAnsi="Times New Roman" w:eastAsia="SchoolBookSanPin"/>
          <w:b/>
        </w:rPr>
        <w:t xml:space="preserve"> </w:t>
      </w:r>
      <w:r>
        <w:rPr>
          <w:rFonts w:ascii="Times New Roman" w:hAnsi="Times New Roman" w:eastAsia="SchoolBookSanPin"/>
        </w:rPr>
        <w:t>воспитании любви к родному краю, Родине, своему народу, уважения к другим народам России; историческое просвещение, формирование российского национального исторического сознания, российской культурной идентичности;</w:t>
      </w:r>
    </w:p>
    <w:p w14:paraId="4831416D">
      <w:pPr>
        <w:widowControl/>
        <w:numPr>
          <w:ilvl w:val="0"/>
          <w:numId w:val="3"/>
        </w:numPr>
        <w:spacing w:after="0" w:line="353" w:lineRule="auto"/>
        <w:jc w:val="both"/>
        <w:rPr>
          <w:rFonts w:ascii="Times New Roman" w:hAnsi="Times New Roman" w:eastAsia="SchoolBookSanPin"/>
        </w:rPr>
      </w:pPr>
      <w:r>
        <w:rPr>
          <w:rFonts w:ascii="Times New Roman" w:hAnsi="Times New Roman" w:eastAsia="SchoolBookSanPin"/>
          <w:b/>
        </w:rPr>
        <w:t xml:space="preserve">духовно-нравственного воспитания </w:t>
      </w:r>
      <w:r>
        <w:rPr>
          <w:rFonts w:ascii="Times New Roman" w:hAnsi="Times New Roman" w:eastAsia="SchoolBookSanPin"/>
        </w:rPr>
        <w:t>на основе духовно-нравственной культуры народов России, традиционных религий народов России, формирование традиционных российских семейных ценностей; воспитание честности, доброты, милосердия, справедливости, дружелюбия и взаимопомощи, уважения к старшим, к памяти предков;</w:t>
      </w:r>
    </w:p>
    <w:p w14:paraId="514EBEA1">
      <w:pPr>
        <w:widowControl/>
        <w:numPr>
          <w:ilvl w:val="0"/>
          <w:numId w:val="3"/>
        </w:numPr>
        <w:spacing w:after="0" w:line="353" w:lineRule="auto"/>
        <w:jc w:val="both"/>
        <w:rPr>
          <w:rFonts w:ascii="Times New Roman" w:hAnsi="Times New Roman" w:eastAsia="SchoolBookSanPin"/>
        </w:rPr>
      </w:pPr>
      <w:r>
        <w:rPr>
          <w:rFonts w:ascii="Times New Roman" w:hAnsi="Times New Roman" w:eastAsia="SchoolBookSanPin"/>
          <w:b/>
        </w:rPr>
        <w:t>эстетического  воспитания, с</w:t>
      </w:r>
      <w:r>
        <w:rPr>
          <w:rFonts w:ascii="Times New Roman" w:hAnsi="Times New Roman" w:eastAsia="SchoolBookSanPin"/>
        </w:rPr>
        <w:t>пособствующего формирование эстетической культуры на основе российских традиционных духовных ценностей, приобщение к лучшим образцам отечественного и мирового искусства;</w:t>
      </w:r>
    </w:p>
    <w:p w14:paraId="756AE88C">
      <w:pPr>
        <w:widowControl/>
        <w:numPr>
          <w:ilvl w:val="0"/>
          <w:numId w:val="3"/>
        </w:numPr>
        <w:spacing w:after="0" w:line="353" w:lineRule="auto"/>
        <w:jc w:val="both"/>
        <w:rPr>
          <w:rFonts w:ascii="Times New Roman" w:hAnsi="Times New Roman" w:eastAsia="SchoolBookSanPin"/>
        </w:rPr>
      </w:pPr>
      <w:r>
        <w:rPr>
          <w:rFonts w:ascii="Times New Roman" w:hAnsi="Times New Roman" w:eastAsia="SchoolBookSanPin"/>
          <w:b/>
        </w:rPr>
        <w:t>физического воспитания</w:t>
      </w:r>
      <w:r>
        <w:rPr>
          <w:rFonts w:ascii="Times New Roman" w:hAnsi="Times New Roman" w:eastAsia="SchoolBookSanPin"/>
        </w:rPr>
        <w:t>,  ориентированного на формирование культуры здорового образа жизни и эмоционального благополучия</w:t>
      </w:r>
      <w:r>
        <w:rPr>
          <w:rFonts w:ascii="Times New Roman" w:hAnsi="Times New Roman" w:eastAsia="SchoolBookSanPin"/>
          <w:b/>
        </w:rPr>
        <w:t xml:space="preserve"> </w:t>
      </w:r>
      <w:r>
        <w:rPr>
          <w:rFonts w:ascii="Times New Roman" w:hAnsi="Times New Roman" w:eastAsia="SchoolBookSanPin"/>
          <w:bCs/>
        </w:rPr>
        <w:t xml:space="preserve">— </w:t>
      </w:r>
      <w:r>
        <w:rPr>
          <w:rFonts w:ascii="Times New Roman" w:hAnsi="Times New Roman" w:eastAsia="SchoolBookSanPin"/>
        </w:rPr>
        <w:t>развитие физических способностей с учётом возможностей и состояния здоровья, навыков безопасного поведения в природной и социальной среде, чрезвычайных ситуациях;</w:t>
      </w:r>
    </w:p>
    <w:p w14:paraId="6EE075DF">
      <w:pPr>
        <w:widowControl/>
        <w:numPr>
          <w:ilvl w:val="0"/>
          <w:numId w:val="3"/>
        </w:numPr>
        <w:spacing w:after="0" w:line="353" w:lineRule="auto"/>
        <w:jc w:val="both"/>
        <w:rPr>
          <w:rFonts w:ascii="Times New Roman" w:hAnsi="Times New Roman" w:eastAsia="SchoolBookSanPin"/>
        </w:rPr>
      </w:pPr>
      <w:r>
        <w:rPr>
          <w:rFonts w:ascii="Times New Roman" w:hAnsi="Times New Roman" w:eastAsia="SchoolBookSanPin"/>
          <w:b/>
        </w:rPr>
        <w:t>трудового воспитания</w:t>
      </w:r>
      <w:r>
        <w:rPr>
          <w:rFonts w:ascii="Times New Roman" w:hAnsi="Times New Roman" w:eastAsia="SchoolBookSanPin"/>
          <w:bCs/>
        </w:rPr>
        <w:t xml:space="preserve">, основанного на </w:t>
      </w:r>
      <w:r>
        <w:rPr>
          <w:rFonts w:ascii="Times New Roman" w:hAnsi="Times New Roman" w:eastAsia="SchoolBookSanPin"/>
        </w:rPr>
        <w:t>воспитании уважения к труду, трудящимся, результатам труда (своего и других людей), ориентация на трудовую деятельность, получение профессии, личностное самовыражение в продуктивном, нравственно достойном труде в российском обществе, достижение выдающихся результатов в профессиональной деятельности;</w:t>
      </w:r>
    </w:p>
    <w:p w14:paraId="61C01965">
      <w:pPr>
        <w:widowControl/>
        <w:numPr>
          <w:ilvl w:val="0"/>
          <w:numId w:val="3"/>
        </w:numPr>
        <w:spacing w:after="0" w:line="353" w:lineRule="auto"/>
        <w:jc w:val="both"/>
        <w:rPr>
          <w:rFonts w:ascii="Times New Roman" w:hAnsi="Times New Roman" w:eastAsia="SchoolBookSanPin"/>
        </w:rPr>
      </w:pPr>
      <w:r>
        <w:rPr>
          <w:rFonts w:ascii="Times New Roman" w:hAnsi="Times New Roman" w:eastAsia="SchoolBookSanPin"/>
          <w:b/>
        </w:rPr>
        <w:t>экологического воспитания, с</w:t>
      </w:r>
      <w:r>
        <w:rPr>
          <w:rFonts w:ascii="Times New Roman" w:hAnsi="Times New Roman" w:eastAsia="SchoolBookSanPin"/>
        </w:rPr>
        <w:t>пособствующего</w:t>
      </w:r>
      <w:r>
        <w:rPr>
          <w:rFonts w:ascii="Times New Roman" w:hAnsi="Times New Roman" w:eastAsia="SchoolBookSanPin"/>
          <w:bCs/>
        </w:rPr>
        <w:t xml:space="preserve"> </w:t>
      </w:r>
      <w:r>
        <w:rPr>
          <w:rFonts w:ascii="Times New Roman" w:hAnsi="Times New Roman" w:eastAsia="SchoolBookSanPin"/>
        </w:rPr>
        <w:t xml:space="preserve"> формированию экологической культуры, ответственного, бережного отношения к природе, окружающей среде на основе российских традиционных духовных ценностей, навыков охраны, защиты, восстановления природы, окружающей среды;</w:t>
      </w:r>
    </w:p>
    <w:p w14:paraId="5987438A">
      <w:pPr>
        <w:widowControl/>
        <w:numPr>
          <w:ilvl w:val="0"/>
          <w:numId w:val="3"/>
        </w:numPr>
        <w:spacing w:after="0" w:line="353" w:lineRule="auto"/>
        <w:jc w:val="both"/>
        <w:rPr>
          <w:rFonts w:ascii="Times New Roman" w:hAnsi="Times New Roman" w:eastAsia="SchoolBookSanPin"/>
        </w:rPr>
      </w:pPr>
      <w:r>
        <w:rPr>
          <w:rFonts w:ascii="Times New Roman" w:hAnsi="Times New Roman" w:eastAsia="SchoolBookSanPin"/>
          <w:b/>
        </w:rPr>
        <w:t xml:space="preserve">ценности научного познания, </w:t>
      </w:r>
      <w:r>
        <w:rPr>
          <w:rFonts w:ascii="Times New Roman" w:hAnsi="Times New Roman" w:eastAsia="SchoolBookSanPin"/>
        </w:rPr>
        <w:t>ориентированного на</w:t>
      </w:r>
      <w:r>
        <w:rPr>
          <w:rFonts w:ascii="Times New Roman" w:hAnsi="Times New Roman" w:eastAsia="SchoolBookSanPin"/>
          <w:b/>
        </w:rPr>
        <w:t xml:space="preserve"> </w:t>
      </w:r>
      <w:r>
        <w:rPr>
          <w:rFonts w:ascii="Times New Roman" w:hAnsi="Times New Roman" w:eastAsia="SchoolBookSanPin"/>
          <w:bCs/>
        </w:rPr>
        <w:t xml:space="preserve"> </w:t>
      </w:r>
      <w:r>
        <w:rPr>
          <w:rFonts w:ascii="Times New Roman" w:hAnsi="Times New Roman" w:eastAsia="SchoolBookSanPin"/>
        </w:rPr>
        <w:t>воспитание стремления к познанию себя и других людей, природы и общества, к получению знаний, качественного образования с учётом личностных интересов и общественных потребностей.</w:t>
      </w:r>
    </w:p>
    <w:bookmarkEnd w:id="309"/>
    <w:p w14:paraId="7F6D8E9B">
      <w:pPr>
        <w:widowControl/>
        <w:spacing w:after="0" w:line="353" w:lineRule="auto"/>
        <w:ind w:firstLine="709"/>
        <w:jc w:val="both"/>
        <w:rPr>
          <w:rFonts w:ascii="Times New Roman" w:hAnsi="Times New Roman" w:eastAsia="SchoolBookSanPin"/>
          <w:b/>
          <w:i/>
        </w:rPr>
      </w:pPr>
      <w:bookmarkStart w:id="310" w:name="__RefHeading___4"/>
      <w:bookmarkEnd w:id="310"/>
      <w:r>
        <w:rPr>
          <w:rFonts w:ascii="Times New Roman" w:hAnsi="Times New Roman" w:eastAsia="SchoolBookSanPin"/>
          <w:b/>
          <w:i/>
        </w:rPr>
        <w:t xml:space="preserve">Целевые ориентиры результатов воспитания </w:t>
      </w:r>
    </w:p>
    <w:p w14:paraId="3EB3F5C1">
      <w:pPr>
        <w:widowControl/>
        <w:spacing w:after="0" w:line="353" w:lineRule="auto"/>
        <w:ind w:firstLine="709"/>
        <w:jc w:val="both"/>
        <w:rPr>
          <w:rFonts w:ascii="Times New Roman" w:hAnsi="Times New Roman" w:eastAsia="SchoolBookSanPin"/>
        </w:rPr>
      </w:pPr>
      <w:r>
        <w:rPr>
          <w:rFonts w:ascii="Times New Roman" w:hAnsi="Times New Roman" w:eastAsia="SchoolBookSanPin"/>
          <w:lang w:val="en-US"/>
        </w:rPr>
        <w:t> </w:t>
      </w:r>
      <w:r>
        <w:rPr>
          <w:rFonts w:ascii="Times New Roman" w:hAnsi="Times New Roman" w:eastAsia="SchoolBookSanPin"/>
        </w:rPr>
        <w:t xml:space="preserve">Требования к личностным результатам освоения обучающимися ООП </w:t>
      </w:r>
      <w:r>
        <w:rPr>
          <w:rFonts w:ascii="Times New Roman" w:hAnsi="Times New Roman" w:eastAsia="SchoolBookSanPin"/>
          <w:lang w:val="ru-RU"/>
        </w:rPr>
        <w:t>Н</w:t>
      </w:r>
      <w:r>
        <w:rPr>
          <w:rFonts w:ascii="Times New Roman" w:hAnsi="Times New Roman" w:eastAsia="SchoolBookSanPin"/>
        </w:rPr>
        <w:t xml:space="preserve">ОО установлены ФГОС </w:t>
      </w:r>
      <w:r>
        <w:rPr>
          <w:rFonts w:ascii="Times New Roman" w:hAnsi="Times New Roman" w:eastAsia="SchoolBookSanPin"/>
          <w:lang w:val="ru-RU"/>
        </w:rPr>
        <w:t>Н</w:t>
      </w:r>
      <w:r>
        <w:rPr>
          <w:rFonts w:ascii="Times New Roman" w:hAnsi="Times New Roman" w:eastAsia="SchoolBookSanPin"/>
        </w:rPr>
        <w:t>ОО.</w:t>
      </w:r>
    </w:p>
    <w:p w14:paraId="1948A0CF">
      <w:pPr>
        <w:widowControl/>
        <w:spacing w:after="0" w:line="353" w:lineRule="auto"/>
        <w:ind w:firstLine="709"/>
        <w:jc w:val="both"/>
        <w:rPr>
          <w:rFonts w:ascii="Times New Roman" w:hAnsi="Times New Roman" w:eastAsia="SchoolBookSanPin"/>
        </w:rPr>
      </w:pPr>
      <w:r>
        <w:rPr>
          <w:rFonts w:ascii="Times New Roman" w:hAnsi="Times New Roman" w:eastAsia="SchoolBookSanPin"/>
        </w:rPr>
        <w:t xml:space="preserve">На основании этих требований в данном разделе представлены целевые ориентиры результатов в воспитании, развитии личности обучающихся, на достижение которых направлена деятельность педагогического коллектива для выполнения требований ФГОС </w:t>
      </w:r>
      <w:r>
        <w:rPr>
          <w:rFonts w:ascii="Times New Roman" w:hAnsi="Times New Roman" w:eastAsia="SchoolBookSanPin"/>
          <w:lang w:val="ru-RU"/>
        </w:rPr>
        <w:t>Н</w:t>
      </w:r>
      <w:r>
        <w:rPr>
          <w:rFonts w:ascii="Times New Roman" w:hAnsi="Times New Roman" w:eastAsia="SchoolBookSanPin"/>
        </w:rPr>
        <w:t>ОО.</w:t>
      </w:r>
    </w:p>
    <w:p w14:paraId="641714C1">
      <w:pPr>
        <w:widowControl/>
        <w:spacing w:after="0" w:line="353" w:lineRule="auto"/>
        <w:ind w:firstLine="709"/>
        <w:jc w:val="both"/>
        <w:rPr>
          <w:rFonts w:ascii="Times New Roman" w:hAnsi="Times New Roman" w:eastAsia="SchoolBookSanPin"/>
        </w:rPr>
      </w:pPr>
      <w:r>
        <w:rPr>
          <w:rFonts w:ascii="Times New Roman" w:hAnsi="Times New Roman" w:eastAsia="SchoolBookSanPin"/>
        </w:rPr>
        <w:t>Целевые ориентиры определены в соответствии с инвариантным содержанием воспитания обучающихся на основе российских базовых (гражданских, конституциональных) ценностей, обеспечивают единство воспитания, воспитательного пространства.</w:t>
      </w:r>
    </w:p>
    <w:p w14:paraId="5DE52566">
      <w:pPr>
        <w:widowControl/>
        <w:spacing w:after="0" w:line="353" w:lineRule="auto"/>
        <w:ind w:firstLine="709"/>
        <w:jc w:val="both"/>
        <w:rPr>
          <w:rFonts w:ascii="Times New Roman" w:hAnsi="Times New Roman" w:eastAsia="SchoolBookSanPin"/>
          <w:b/>
        </w:rPr>
      </w:pPr>
      <w:bookmarkStart w:id="311" w:name="__RefHeading___5"/>
      <w:bookmarkEnd w:id="311"/>
      <w:r>
        <w:rPr>
          <w:rFonts w:ascii="Times New Roman" w:hAnsi="Times New Roman" w:eastAsia="SchoolBookSanPin"/>
          <w:b/>
        </w:rPr>
        <w:t>Целевые ориентиры результатов воспитания на уровне основного общего образования.</w:t>
      </w:r>
    </w:p>
    <w:tbl>
      <w:tblPr>
        <w:tblStyle w:val="13"/>
        <w:tblW w:w="9752"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9752"/>
      </w:tblGrid>
      <w:tr w14:paraId="0DC617E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9752" w:type="dxa"/>
            <w:tcBorders>
              <w:top w:val="single" w:color="000000" w:sz="4" w:space="0"/>
              <w:left w:val="single" w:color="000000" w:sz="4" w:space="0"/>
              <w:bottom w:val="single" w:color="000000" w:sz="4" w:space="0"/>
              <w:right w:val="single" w:color="000000" w:sz="4" w:space="0"/>
            </w:tcBorders>
          </w:tcPr>
          <w:p w14:paraId="64451D6C">
            <w:pPr>
              <w:widowControl/>
              <w:spacing w:after="0" w:line="353" w:lineRule="auto"/>
              <w:ind w:firstLine="709"/>
              <w:jc w:val="both"/>
              <w:rPr>
                <w:rFonts w:ascii="Times New Roman" w:hAnsi="Times New Roman" w:eastAsia="SchoolBookSanPin"/>
                <w:lang w:val="en-US"/>
              </w:rPr>
            </w:pPr>
            <w:r>
              <w:rPr>
                <w:rFonts w:ascii="Times New Roman" w:hAnsi="Times New Roman" w:eastAsia="SchoolBookSanPin"/>
                <w:b/>
                <w:lang w:val="en-US"/>
              </w:rPr>
              <w:t>Целевые ориентиры</w:t>
            </w:r>
          </w:p>
        </w:tc>
      </w:tr>
      <w:tr w14:paraId="57027C6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9752" w:type="dxa"/>
            <w:tcBorders>
              <w:top w:val="single" w:color="000000" w:sz="4" w:space="0"/>
              <w:left w:val="single" w:color="000000" w:sz="4" w:space="0"/>
              <w:bottom w:val="single" w:color="000000" w:sz="4" w:space="0"/>
              <w:right w:val="single" w:color="000000" w:sz="4" w:space="0"/>
            </w:tcBorders>
          </w:tcPr>
          <w:p w14:paraId="17E009A5">
            <w:pPr>
              <w:widowControl/>
              <w:spacing w:after="0" w:line="353" w:lineRule="auto"/>
              <w:ind w:firstLine="709"/>
              <w:jc w:val="both"/>
              <w:rPr>
                <w:rFonts w:ascii="Times New Roman" w:hAnsi="Times New Roman" w:eastAsia="SchoolBookSanPin"/>
                <w:b/>
                <w:lang w:val="en-US"/>
              </w:rPr>
            </w:pPr>
            <w:r>
              <w:rPr>
                <w:rFonts w:ascii="Times New Roman" w:hAnsi="Times New Roman" w:eastAsia="SchoolBookSanPin"/>
                <w:b/>
                <w:lang w:val="en-US"/>
              </w:rPr>
              <w:t>Гражданское воспитание</w:t>
            </w:r>
          </w:p>
        </w:tc>
      </w:tr>
      <w:tr w14:paraId="423B39E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c>
          <w:tcPr>
            <w:tcW w:w="9752" w:type="dxa"/>
            <w:tcBorders>
              <w:top w:val="single" w:color="000000" w:sz="4" w:space="0"/>
              <w:left w:val="single" w:color="000000" w:sz="4" w:space="0"/>
              <w:bottom w:val="single" w:color="000000" w:sz="4" w:space="0"/>
              <w:right w:val="single" w:color="000000" w:sz="4" w:space="0"/>
            </w:tcBorders>
          </w:tcPr>
          <w:p w14:paraId="0AAC05B7">
            <w:pPr>
              <w:widowControl/>
              <w:spacing w:after="0" w:line="353" w:lineRule="auto"/>
              <w:ind w:firstLine="709"/>
              <w:jc w:val="both"/>
              <w:rPr>
                <w:rFonts w:ascii="Times New Roman" w:hAnsi="Times New Roman" w:eastAsia="SchoolBookSanPin"/>
              </w:rPr>
            </w:pPr>
            <w:bookmarkStart w:id="312" w:name="_Hlk101094428"/>
            <w:r>
              <w:rPr>
                <w:rFonts w:ascii="Times New Roman" w:hAnsi="Times New Roman" w:eastAsia="SchoolBookSanPin"/>
              </w:rPr>
              <w:t>Знающий и принимающий свою российскую гражданскую принадлежность (идентичность) в поликультурном, многонациональном и многоконфессиональном российском обществе, в мировом сообществе.</w:t>
            </w:r>
          </w:p>
          <w:p w14:paraId="68152B63">
            <w:pPr>
              <w:widowControl/>
              <w:spacing w:after="0" w:line="353" w:lineRule="auto"/>
              <w:ind w:firstLine="709"/>
              <w:jc w:val="both"/>
              <w:rPr>
                <w:rFonts w:ascii="Times New Roman" w:hAnsi="Times New Roman" w:eastAsia="SchoolBookSanPin"/>
              </w:rPr>
            </w:pPr>
            <w:r>
              <w:rPr>
                <w:rFonts w:ascii="Times New Roman" w:hAnsi="Times New Roman" w:eastAsia="SchoolBookSanPin"/>
              </w:rPr>
              <w:t>Понимающий сопричастность к прошлому, настоящему и будущему народа России, тысячелетней истории российской государственности на основе исторического просвещения, российского национального исторического сознания.</w:t>
            </w:r>
          </w:p>
          <w:p w14:paraId="5D2A92F0">
            <w:pPr>
              <w:widowControl/>
              <w:spacing w:after="0" w:line="353" w:lineRule="auto"/>
              <w:ind w:firstLine="709"/>
              <w:jc w:val="both"/>
              <w:rPr>
                <w:rFonts w:ascii="Times New Roman" w:hAnsi="Times New Roman" w:eastAsia="SchoolBookSanPin"/>
              </w:rPr>
            </w:pPr>
            <w:r>
              <w:rPr>
                <w:rFonts w:ascii="Times New Roman" w:hAnsi="Times New Roman" w:eastAsia="SchoolBookSanPin"/>
              </w:rPr>
              <w:t>Проявляющий уважение к государственным символам России, праздникам.</w:t>
            </w:r>
          </w:p>
          <w:p w14:paraId="54722B15">
            <w:pPr>
              <w:widowControl/>
              <w:spacing w:after="0" w:line="353" w:lineRule="auto"/>
              <w:ind w:firstLine="709"/>
              <w:jc w:val="both"/>
              <w:rPr>
                <w:rFonts w:ascii="Times New Roman" w:hAnsi="Times New Roman" w:eastAsia="SchoolBookSanPin"/>
              </w:rPr>
            </w:pPr>
            <w:r>
              <w:rPr>
                <w:rFonts w:ascii="Times New Roman" w:hAnsi="Times New Roman" w:eastAsia="SchoolBookSanPin"/>
              </w:rPr>
              <w:t>Проявляющий готовность к выполнению обязанностей гражданина России, реализации своих гражданских прав и свобод при уважении прав и свобод, законных интересов других людей.</w:t>
            </w:r>
          </w:p>
          <w:p w14:paraId="6C265C00">
            <w:pPr>
              <w:widowControl/>
              <w:spacing w:after="0" w:line="353" w:lineRule="auto"/>
              <w:ind w:firstLine="709"/>
              <w:jc w:val="both"/>
              <w:rPr>
                <w:rFonts w:ascii="Times New Roman" w:hAnsi="Times New Roman" w:eastAsia="SchoolBookSanPin"/>
              </w:rPr>
            </w:pPr>
            <w:r>
              <w:rPr>
                <w:rFonts w:ascii="Times New Roman" w:hAnsi="Times New Roman" w:eastAsia="SchoolBookSanPin"/>
              </w:rPr>
              <w:t>Выражающий неприятие любой дискриминации граждан, проявлений экстремизма, терроризма, коррупции в обществе.</w:t>
            </w:r>
          </w:p>
          <w:p w14:paraId="5E58C307">
            <w:pPr>
              <w:widowControl/>
              <w:spacing w:after="0" w:line="353" w:lineRule="auto"/>
              <w:ind w:firstLine="709"/>
              <w:jc w:val="both"/>
              <w:rPr>
                <w:rFonts w:ascii="Times New Roman" w:hAnsi="Times New Roman" w:eastAsia="SchoolBookSanPin"/>
              </w:rPr>
            </w:pPr>
            <w:r>
              <w:rPr>
                <w:rFonts w:ascii="Times New Roman" w:hAnsi="Times New Roman" w:eastAsia="SchoolBookSanPin"/>
              </w:rPr>
              <w:t>Принимающий участие в жизни класса, гимназии, в том числе самоуправлении, ориентированный на участие в социально значимой деятельности.</w:t>
            </w:r>
            <w:bookmarkEnd w:id="312"/>
          </w:p>
        </w:tc>
      </w:tr>
      <w:tr w14:paraId="324F01E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9752" w:type="dxa"/>
            <w:tcBorders>
              <w:top w:val="single" w:color="000000" w:sz="4" w:space="0"/>
              <w:left w:val="single" w:color="000000" w:sz="4" w:space="0"/>
              <w:bottom w:val="single" w:color="000000" w:sz="4" w:space="0"/>
              <w:right w:val="single" w:color="000000" w:sz="4" w:space="0"/>
            </w:tcBorders>
          </w:tcPr>
          <w:p w14:paraId="44B03AC9">
            <w:pPr>
              <w:widowControl/>
              <w:spacing w:after="0" w:line="353" w:lineRule="auto"/>
              <w:ind w:firstLine="709"/>
              <w:jc w:val="both"/>
              <w:rPr>
                <w:rFonts w:ascii="Times New Roman" w:hAnsi="Times New Roman" w:eastAsia="SchoolBookSanPin"/>
                <w:b/>
                <w:lang w:val="en-US"/>
              </w:rPr>
            </w:pPr>
            <w:r>
              <w:rPr>
                <w:rFonts w:ascii="Times New Roman" w:hAnsi="Times New Roman" w:eastAsia="SchoolBookSanPin"/>
                <w:b/>
                <w:lang w:val="en-US"/>
              </w:rPr>
              <w:t>Патриотическое воспитание</w:t>
            </w:r>
          </w:p>
        </w:tc>
      </w:tr>
      <w:tr w14:paraId="3AC255C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9752" w:type="dxa"/>
            <w:tcBorders>
              <w:top w:val="single" w:color="000000" w:sz="4" w:space="0"/>
              <w:left w:val="single" w:color="000000" w:sz="4" w:space="0"/>
              <w:bottom w:val="single" w:color="000000" w:sz="4" w:space="0"/>
              <w:right w:val="single" w:color="000000" w:sz="4" w:space="0"/>
            </w:tcBorders>
          </w:tcPr>
          <w:p w14:paraId="730BBE36">
            <w:pPr>
              <w:widowControl/>
              <w:spacing w:after="0" w:line="353" w:lineRule="auto"/>
              <w:ind w:firstLine="709"/>
              <w:jc w:val="both"/>
              <w:rPr>
                <w:rFonts w:ascii="Times New Roman" w:hAnsi="Times New Roman" w:eastAsia="SchoolBookSanPin"/>
              </w:rPr>
            </w:pPr>
            <w:r>
              <w:rPr>
                <w:rFonts w:ascii="Times New Roman" w:hAnsi="Times New Roman" w:eastAsia="SchoolBookSanPin"/>
              </w:rPr>
              <w:t>Сознающий свою национальную, этническую принадлежность, любящий свой народ, его традиции, культуру.</w:t>
            </w:r>
          </w:p>
          <w:p w14:paraId="242E4F35">
            <w:pPr>
              <w:widowControl/>
              <w:spacing w:after="0" w:line="353" w:lineRule="auto"/>
              <w:ind w:firstLine="709"/>
              <w:jc w:val="both"/>
              <w:rPr>
                <w:rFonts w:ascii="Times New Roman" w:hAnsi="Times New Roman" w:eastAsia="SchoolBookSanPin"/>
              </w:rPr>
            </w:pPr>
            <w:r>
              <w:rPr>
                <w:rFonts w:ascii="Times New Roman" w:hAnsi="Times New Roman" w:eastAsia="SchoolBookSanPin"/>
              </w:rPr>
              <w:t>Проявляющий уважение к историческому и культурному наследию своего и других народов России, символам, праздникам, памятникам, традициям народов, проживающих в родной стране.</w:t>
            </w:r>
          </w:p>
          <w:p w14:paraId="3392E1BD">
            <w:pPr>
              <w:widowControl/>
              <w:spacing w:after="0" w:line="353" w:lineRule="auto"/>
              <w:ind w:firstLine="709"/>
              <w:jc w:val="both"/>
              <w:rPr>
                <w:rFonts w:ascii="Times New Roman" w:hAnsi="Times New Roman" w:eastAsia="SchoolBookSanPin"/>
              </w:rPr>
            </w:pPr>
            <w:r>
              <w:rPr>
                <w:rFonts w:ascii="Times New Roman" w:hAnsi="Times New Roman" w:eastAsia="SchoolBookSanPin"/>
              </w:rPr>
              <w:t xml:space="preserve">Проявляющий интерес к познанию родного языка, истории и культуры своего края, своего народа, других народов России. </w:t>
            </w:r>
          </w:p>
          <w:p w14:paraId="37C0DCE4">
            <w:pPr>
              <w:widowControl/>
              <w:spacing w:after="0" w:line="353" w:lineRule="auto"/>
              <w:ind w:firstLine="709"/>
              <w:jc w:val="both"/>
              <w:rPr>
                <w:rFonts w:ascii="Times New Roman" w:hAnsi="Times New Roman" w:eastAsia="SchoolBookSanPin"/>
              </w:rPr>
            </w:pPr>
            <w:r>
              <w:rPr>
                <w:rFonts w:ascii="Times New Roman" w:hAnsi="Times New Roman" w:eastAsia="SchoolBookSanPin"/>
              </w:rPr>
              <w:t xml:space="preserve">Знающий и уважающий достижения нашей Родины — России в науке, искусстве, спорте, технологиях, боевые подвиги и трудовые достижения, героев и защитников Отечества в прошлом и современности. </w:t>
            </w:r>
          </w:p>
          <w:p w14:paraId="1B6DC08F">
            <w:pPr>
              <w:widowControl/>
              <w:spacing w:after="0" w:line="353" w:lineRule="auto"/>
              <w:ind w:firstLine="709"/>
              <w:jc w:val="both"/>
              <w:rPr>
                <w:rFonts w:ascii="Times New Roman" w:hAnsi="Times New Roman" w:eastAsia="SchoolBookSanPin"/>
              </w:rPr>
            </w:pPr>
            <w:r>
              <w:rPr>
                <w:rFonts w:ascii="Times New Roman" w:hAnsi="Times New Roman" w:eastAsia="SchoolBookSanPin"/>
              </w:rPr>
              <w:t>Принимающий участие в мероприятиях патриотической направленности.</w:t>
            </w:r>
          </w:p>
        </w:tc>
      </w:tr>
      <w:tr w14:paraId="23D1E44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9752" w:type="dxa"/>
            <w:tcBorders>
              <w:top w:val="single" w:color="000000" w:sz="4" w:space="0"/>
              <w:left w:val="single" w:color="000000" w:sz="4" w:space="0"/>
              <w:bottom w:val="single" w:color="000000" w:sz="4" w:space="0"/>
              <w:right w:val="single" w:color="000000" w:sz="4" w:space="0"/>
            </w:tcBorders>
          </w:tcPr>
          <w:p w14:paraId="60D4D1AC">
            <w:pPr>
              <w:widowControl/>
              <w:spacing w:after="0" w:line="353" w:lineRule="auto"/>
              <w:ind w:firstLine="709"/>
              <w:jc w:val="both"/>
              <w:rPr>
                <w:rFonts w:ascii="Times New Roman" w:hAnsi="Times New Roman" w:eastAsia="SchoolBookSanPin"/>
                <w:b/>
                <w:lang w:val="en-US"/>
              </w:rPr>
            </w:pPr>
            <w:r>
              <w:rPr>
                <w:rFonts w:ascii="Times New Roman" w:hAnsi="Times New Roman" w:eastAsia="SchoolBookSanPin"/>
                <w:b/>
                <w:lang w:val="en-US"/>
              </w:rPr>
              <w:t>Духовно-нравственное воспитание</w:t>
            </w:r>
          </w:p>
        </w:tc>
      </w:tr>
      <w:tr w14:paraId="54BD7E8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9752" w:type="dxa"/>
            <w:tcBorders>
              <w:top w:val="single" w:color="000000" w:sz="4" w:space="0"/>
              <w:left w:val="single" w:color="000000" w:sz="4" w:space="0"/>
              <w:bottom w:val="single" w:color="000000" w:sz="4" w:space="0"/>
              <w:right w:val="single" w:color="000000" w:sz="4" w:space="0"/>
            </w:tcBorders>
          </w:tcPr>
          <w:p w14:paraId="61482BFC">
            <w:pPr>
              <w:widowControl/>
              <w:spacing w:after="0" w:line="353" w:lineRule="auto"/>
              <w:ind w:firstLine="709"/>
              <w:jc w:val="both"/>
              <w:rPr>
                <w:rFonts w:ascii="Times New Roman" w:hAnsi="Times New Roman" w:eastAsia="SchoolBookSanPin"/>
              </w:rPr>
            </w:pPr>
            <w:r>
              <w:rPr>
                <w:rFonts w:ascii="Times New Roman" w:hAnsi="Times New Roman" w:eastAsia="SchoolBookSanPin"/>
              </w:rPr>
              <w:t>Знающий и уважающий духовно-нравственную культуру своего народа, ориентированный на духовные ценности и нравственные нормы народов России, российского общества в ситуациях нравственного выбора (с учётом национальной, религиозной принадлежности).</w:t>
            </w:r>
          </w:p>
          <w:p w14:paraId="76F36ED0">
            <w:pPr>
              <w:widowControl/>
              <w:spacing w:after="0" w:line="353" w:lineRule="auto"/>
              <w:ind w:firstLine="709"/>
              <w:jc w:val="both"/>
              <w:rPr>
                <w:rFonts w:ascii="Times New Roman" w:hAnsi="Times New Roman" w:eastAsia="SchoolBookSanPin"/>
              </w:rPr>
            </w:pPr>
            <w:r>
              <w:rPr>
                <w:rFonts w:ascii="Times New Roman" w:hAnsi="Times New Roman" w:eastAsia="SchoolBookSanPin"/>
              </w:rPr>
              <w:t>Выражающий готовность оценивать своё поведение и поступки, поведение и поступки других людей с позиций традиционных российских духовно-нравственных ценностей и норм с учётом осознания последствий поступков.</w:t>
            </w:r>
          </w:p>
          <w:p w14:paraId="312C52A2">
            <w:pPr>
              <w:widowControl/>
              <w:spacing w:after="0" w:line="353" w:lineRule="auto"/>
              <w:ind w:firstLine="709"/>
              <w:jc w:val="both"/>
              <w:rPr>
                <w:rFonts w:ascii="Times New Roman" w:hAnsi="Times New Roman" w:eastAsia="SchoolBookSanPin"/>
              </w:rPr>
            </w:pPr>
            <w:r>
              <w:rPr>
                <w:rFonts w:ascii="Times New Roman" w:hAnsi="Times New Roman" w:eastAsia="SchoolBookSanPin"/>
              </w:rPr>
              <w:t>Выражающий неприятие антигуманных и асоциальных поступков, поведения, противоречащих традиционным в России духовно-нравственным нормам и ценностям.</w:t>
            </w:r>
          </w:p>
          <w:p w14:paraId="467687D4">
            <w:pPr>
              <w:widowControl/>
              <w:spacing w:after="0" w:line="353" w:lineRule="auto"/>
              <w:ind w:firstLine="709"/>
              <w:jc w:val="both"/>
              <w:rPr>
                <w:rFonts w:ascii="Times New Roman" w:hAnsi="Times New Roman" w:eastAsia="SchoolBookSanPin"/>
              </w:rPr>
            </w:pPr>
            <w:r>
              <w:rPr>
                <w:rFonts w:ascii="Times New Roman" w:hAnsi="Times New Roman" w:eastAsia="SchoolBookSanPin"/>
              </w:rPr>
              <w:t>Сознающий соотношение свободы и ответственности личности в условиях индивидуального и общественного пространства, значение и ценность межнационального, межрелигиозного согласия людей, народов в России, умеющий общаться с людьми разных народов, вероисповеданий.</w:t>
            </w:r>
          </w:p>
          <w:p w14:paraId="73597DD0">
            <w:pPr>
              <w:widowControl/>
              <w:spacing w:after="0" w:line="353" w:lineRule="auto"/>
              <w:ind w:firstLine="709"/>
              <w:jc w:val="both"/>
              <w:rPr>
                <w:rFonts w:ascii="Times New Roman" w:hAnsi="Times New Roman" w:eastAsia="SchoolBookSanPin"/>
              </w:rPr>
            </w:pPr>
            <w:r>
              <w:rPr>
                <w:rFonts w:ascii="Times New Roman" w:hAnsi="Times New Roman" w:eastAsia="SchoolBookSanPin"/>
              </w:rPr>
              <w:t>Проявляющий уважение к старшим, к российским традиционным семейным ценностям, институту брака как союзу мужчины и женщины для создания семьи, рождения и воспитания детей.</w:t>
            </w:r>
          </w:p>
          <w:p w14:paraId="698F5D50">
            <w:pPr>
              <w:widowControl/>
              <w:spacing w:after="0" w:line="353" w:lineRule="auto"/>
              <w:ind w:firstLine="709"/>
              <w:jc w:val="both"/>
              <w:rPr>
                <w:rFonts w:ascii="Times New Roman" w:hAnsi="Times New Roman" w:eastAsia="SchoolBookSanPin"/>
              </w:rPr>
            </w:pPr>
            <w:r>
              <w:rPr>
                <w:rFonts w:ascii="Times New Roman" w:hAnsi="Times New Roman" w:eastAsia="SchoolBookSanPin"/>
              </w:rPr>
              <w:t>Проявляющий интерес к чтению, к родному языку, русскому языку и литературе как части духовной культуры своего народа, российского общества.</w:t>
            </w:r>
          </w:p>
        </w:tc>
      </w:tr>
      <w:tr w14:paraId="6EBE433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9752" w:type="dxa"/>
            <w:tcBorders>
              <w:top w:val="single" w:color="000000" w:sz="4" w:space="0"/>
              <w:left w:val="single" w:color="000000" w:sz="4" w:space="0"/>
              <w:bottom w:val="single" w:color="000000" w:sz="4" w:space="0"/>
              <w:right w:val="single" w:color="000000" w:sz="4" w:space="0"/>
            </w:tcBorders>
          </w:tcPr>
          <w:p w14:paraId="38CD4008">
            <w:pPr>
              <w:widowControl/>
              <w:spacing w:after="0" w:line="353" w:lineRule="auto"/>
              <w:ind w:firstLine="709"/>
              <w:jc w:val="both"/>
              <w:rPr>
                <w:rFonts w:ascii="Times New Roman" w:hAnsi="Times New Roman" w:eastAsia="SchoolBookSanPin"/>
                <w:b/>
                <w:lang w:val="en-US"/>
              </w:rPr>
            </w:pPr>
            <w:r>
              <w:rPr>
                <w:rFonts w:ascii="Times New Roman" w:hAnsi="Times New Roman" w:eastAsia="SchoolBookSanPin"/>
                <w:b/>
                <w:lang w:val="en-US"/>
              </w:rPr>
              <w:t>Эстетическое воспитание</w:t>
            </w:r>
          </w:p>
        </w:tc>
      </w:tr>
      <w:tr w14:paraId="38AD470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9752" w:type="dxa"/>
            <w:tcBorders>
              <w:top w:val="single" w:color="000000" w:sz="4" w:space="0"/>
              <w:left w:val="single" w:color="000000" w:sz="4" w:space="0"/>
              <w:bottom w:val="single" w:color="000000" w:sz="4" w:space="0"/>
              <w:right w:val="single" w:color="000000" w:sz="4" w:space="0"/>
            </w:tcBorders>
          </w:tcPr>
          <w:p w14:paraId="1DB4C954">
            <w:pPr>
              <w:widowControl/>
              <w:spacing w:after="0" w:line="353" w:lineRule="auto"/>
              <w:ind w:firstLine="709"/>
              <w:jc w:val="both"/>
              <w:rPr>
                <w:rFonts w:ascii="Times New Roman" w:hAnsi="Times New Roman" w:eastAsia="SchoolBookSanPin"/>
              </w:rPr>
            </w:pPr>
            <w:r>
              <w:rPr>
                <w:rFonts w:ascii="Times New Roman" w:hAnsi="Times New Roman" w:eastAsia="SchoolBookSanPin"/>
              </w:rPr>
              <w:t xml:space="preserve">Выражающий понимание ценности отечественного и мирового искусства, народных традиций и народного творчества в искусстве. </w:t>
            </w:r>
          </w:p>
          <w:p w14:paraId="6A8F038E">
            <w:pPr>
              <w:widowControl/>
              <w:spacing w:after="0" w:line="353" w:lineRule="auto"/>
              <w:ind w:firstLine="709"/>
              <w:jc w:val="both"/>
              <w:rPr>
                <w:rFonts w:ascii="Times New Roman" w:hAnsi="Times New Roman" w:eastAsia="SchoolBookSanPin"/>
              </w:rPr>
            </w:pPr>
            <w:r>
              <w:rPr>
                <w:rFonts w:ascii="Times New Roman" w:hAnsi="Times New Roman" w:eastAsia="SchoolBookSanPin"/>
              </w:rPr>
              <w:t>Проявляющий эмоционально-чувственную восприимчивость к разным видам искусства, традициям и творчеству своего и других народов, понимание их влияния на поведение людей.</w:t>
            </w:r>
          </w:p>
          <w:p w14:paraId="6D6CC2F2">
            <w:pPr>
              <w:widowControl/>
              <w:spacing w:after="0" w:line="353" w:lineRule="auto"/>
              <w:ind w:firstLine="709"/>
              <w:jc w:val="both"/>
              <w:rPr>
                <w:rFonts w:ascii="Times New Roman" w:hAnsi="Times New Roman" w:eastAsia="SchoolBookSanPin"/>
              </w:rPr>
            </w:pPr>
            <w:r>
              <w:rPr>
                <w:rFonts w:ascii="Times New Roman" w:hAnsi="Times New Roman" w:eastAsia="SchoolBookSanPin"/>
              </w:rPr>
              <w:t>Сознающий роль художественной культуры как средства коммуникации и самовыражения в современном обществе, значение нравственных норм, ценностей, традиций в искусстве.</w:t>
            </w:r>
          </w:p>
          <w:p w14:paraId="66A87858">
            <w:pPr>
              <w:widowControl/>
              <w:spacing w:after="0" w:line="353" w:lineRule="auto"/>
              <w:ind w:firstLine="709"/>
              <w:jc w:val="both"/>
              <w:rPr>
                <w:rFonts w:ascii="Times New Roman" w:hAnsi="Times New Roman" w:eastAsia="SchoolBookSanPin"/>
              </w:rPr>
            </w:pPr>
            <w:r>
              <w:rPr>
                <w:rFonts w:ascii="Times New Roman" w:hAnsi="Times New Roman" w:eastAsia="SchoolBookSanPin"/>
              </w:rPr>
              <w:t>Ориентированный на самовыражение в разных видах искусства, в художественном творчестве.</w:t>
            </w:r>
          </w:p>
        </w:tc>
      </w:tr>
      <w:tr w14:paraId="0FBDFE5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9752" w:type="dxa"/>
            <w:tcBorders>
              <w:top w:val="single" w:color="000000" w:sz="4" w:space="0"/>
              <w:left w:val="single" w:color="000000" w:sz="4" w:space="0"/>
              <w:bottom w:val="single" w:color="000000" w:sz="4" w:space="0"/>
              <w:right w:val="single" w:color="000000" w:sz="4" w:space="0"/>
            </w:tcBorders>
          </w:tcPr>
          <w:p w14:paraId="50C58352">
            <w:pPr>
              <w:widowControl/>
              <w:spacing w:after="0" w:line="353" w:lineRule="auto"/>
              <w:ind w:firstLine="709"/>
              <w:jc w:val="both"/>
              <w:rPr>
                <w:rFonts w:ascii="Times New Roman" w:hAnsi="Times New Roman" w:eastAsia="SchoolBookSanPin"/>
                <w:b/>
              </w:rPr>
            </w:pPr>
            <w:r>
              <w:rPr>
                <w:rFonts w:ascii="Times New Roman" w:hAnsi="Times New Roman" w:eastAsia="SchoolBookSanPin"/>
                <w:b/>
              </w:rPr>
              <w:t>Физическое воспитание, формирование культуры здоровья и эмоционального благополучия</w:t>
            </w:r>
          </w:p>
        </w:tc>
      </w:tr>
      <w:tr w14:paraId="6FFC018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9752" w:type="dxa"/>
            <w:tcBorders>
              <w:top w:val="single" w:color="000000" w:sz="4" w:space="0"/>
              <w:left w:val="single" w:color="000000" w:sz="4" w:space="0"/>
              <w:bottom w:val="single" w:color="000000" w:sz="4" w:space="0"/>
              <w:right w:val="single" w:color="000000" w:sz="4" w:space="0"/>
            </w:tcBorders>
          </w:tcPr>
          <w:p w14:paraId="239A6174">
            <w:pPr>
              <w:widowControl/>
              <w:spacing w:after="0" w:line="353" w:lineRule="auto"/>
              <w:ind w:firstLine="709"/>
              <w:jc w:val="both"/>
              <w:rPr>
                <w:rFonts w:ascii="Times New Roman" w:hAnsi="Times New Roman" w:eastAsia="SchoolBookSanPin"/>
              </w:rPr>
            </w:pPr>
            <w:r>
              <w:rPr>
                <w:rFonts w:ascii="Times New Roman" w:hAnsi="Times New Roman" w:eastAsia="SchoolBookSanPin"/>
              </w:rPr>
              <w:t>Понимающий ценность жизни, здоровья и безопасности, значение личных усилий в сохранении здоровья, знающий и соблюдающий правила безопасности, безопасного поведения, в том числе в информационной среде.</w:t>
            </w:r>
          </w:p>
          <w:p w14:paraId="13D6ACAD">
            <w:pPr>
              <w:widowControl/>
              <w:spacing w:after="0" w:line="353" w:lineRule="auto"/>
              <w:ind w:firstLine="709"/>
              <w:jc w:val="both"/>
              <w:rPr>
                <w:rFonts w:ascii="Times New Roman" w:hAnsi="Times New Roman" w:eastAsia="SchoolBookSanPin"/>
              </w:rPr>
            </w:pPr>
            <w:r>
              <w:rPr>
                <w:rFonts w:ascii="Times New Roman" w:hAnsi="Times New Roman" w:eastAsia="SchoolBookSanPin"/>
              </w:rPr>
              <w:t>Выражающий установку на здоровый образ жизни (здоровое питание, соблюдение гигиенических правил, сбалансированный режим занятий и отдыха, регулярную физическую активность).</w:t>
            </w:r>
          </w:p>
          <w:p w14:paraId="4DBBB9C1">
            <w:pPr>
              <w:widowControl/>
              <w:spacing w:after="0" w:line="353" w:lineRule="auto"/>
              <w:ind w:firstLine="709"/>
              <w:jc w:val="both"/>
              <w:rPr>
                <w:rFonts w:ascii="Times New Roman" w:hAnsi="Times New Roman" w:eastAsia="SchoolBookSanPin"/>
              </w:rPr>
            </w:pPr>
            <w:r>
              <w:rPr>
                <w:rFonts w:ascii="Times New Roman" w:hAnsi="Times New Roman" w:eastAsia="SchoolBookSanPin"/>
              </w:rPr>
              <w:t>Проявляющий неприятие вредных привычек (курения, употребления алкоголя, наркотиков, игровой и иных форм зависимостей), понимание их последствий, вреда для физического и психического здоровья.</w:t>
            </w:r>
          </w:p>
          <w:p w14:paraId="0FD88392">
            <w:pPr>
              <w:widowControl/>
              <w:spacing w:after="0" w:line="353" w:lineRule="auto"/>
              <w:ind w:firstLine="709"/>
              <w:jc w:val="both"/>
              <w:rPr>
                <w:rFonts w:ascii="Times New Roman" w:hAnsi="Times New Roman" w:eastAsia="SchoolBookSanPin"/>
              </w:rPr>
            </w:pPr>
            <w:r>
              <w:rPr>
                <w:rFonts w:ascii="Times New Roman" w:hAnsi="Times New Roman" w:eastAsia="SchoolBookSanPin"/>
              </w:rPr>
              <w:t>Умеющий осознавать физическое и эмоциональное состояние (своё и других людей), стремящийся управлять собственным эмоциональным состоянием.</w:t>
            </w:r>
          </w:p>
          <w:p w14:paraId="36E4276B">
            <w:pPr>
              <w:widowControl/>
              <w:spacing w:after="0" w:line="353" w:lineRule="auto"/>
              <w:ind w:firstLine="709"/>
              <w:jc w:val="both"/>
              <w:rPr>
                <w:rFonts w:ascii="Times New Roman" w:hAnsi="Times New Roman" w:eastAsia="SchoolBookSanPin"/>
              </w:rPr>
            </w:pPr>
            <w:r>
              <w:rPr>
                <w:rFonts w:ascii="Times New Roman" w:hAnsi="Times New Roman" w:eastAsia="SchoolBookSanPin"/>
              </w:rPr>
              <w:t xml:space="preserve">Способный адаптироваться к меняющимся социальным, информационным и природным условиям, стрессовым ситуациям. </w:t>
            </w:r>
          </w:p>
        </w:tc>
      </w:tr>
      <w:tr w14:paraId="32BEA05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9752" w:type="dxa"/>
            <w:tcBorders>
              <w:top w:val="single" w:color="000000" w:sz="4" w:space="0"/>
              <w:left w:val="single" w:color="000000" w:sz="4" w:space="0"/>
              <w:bottom w:val="single" w:color="000000" w:sz="4" w:space="0"/>
              <w:right w:val="single" w:color="000000" w:sz="4" w:space="0"/>
            </w:tcBorders>
          </w:tcPr>
          <w:p w14:paraId="40DA0C2F">
            <w:pPr>
              <w:widowControl/>
              <w:spacing w:after="0" w:line="353" w:lineRule="auto"/>
              <w:ind w:firstLine="709"/>
              <w:jc w:val="both"/>
              <w:rPr>
                <w:rFonts w:ascii="Times New Roman" w:hAnsi="Times New Roman" w:eastAsia="SchoolBookSanPin"/>
                <w:b/>
                <w:lang w:val="en-US"/>
              </w:rPr>
            </w:pPr>
            <w:r>
              <w:rPr>
                <w:rFonts w:ascii="Times New Roman" w:hAnsi="Times New Roman" w:eastAsia="SchoolBookSanPin"/>
                <w:b/>
                <w:lang w:val="en-US"/>
              </w:rPr>
              <w:t>Трудовое воспитание</w:t>
            </w:r>
          </w:p>
        </w:tc>
      </w:tr>
      <w:tr w14:paraId="6364329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9752" w:type="dxa"/>
            <w:tcBorders>
              <w:top w:val="single" w:color="000000" w:sz="4" w:space="0"/>
              <w:left w:val="single" w:color="000000" w:sz="4" w:space="0"/>
              <w:bottom w:val="single" w:color="000000" w:sz="4" w:space="0"/>
              <w:right w:val="single" w:color="000000" w:sz="4" w:space="0"/>
            </w:tcBorders>
          </w:tcPr>
          <w:p w14:paraId="3D48C36E">
            <w:pPr>
              <w:widowControl/>
              <w:spacing w:after="0" w:line="353" w:lineRule="auto"/>
              <w:ind w:firstLine="709"/>
              <w:jc w:val="both"/>
              <w:rPr>
                <w:rFonts w:ascii="Times New Roman" w:hAnsi="Times New Roman" w:eastAsia="SchoolBookSanPin"/>
              </w:rPr>
            </w:pPr>
            <w:r>
              <w:rPr>
                <w:rFonts w:ascii="Times New Roman" w:hAnsi="Times New Roman" w:eastAsia="SchoolBookSanPin"/>
              </w:rPr>
              <w:t>Уважающий труд, результаты своего труда, труда других людей.</w:t>
            </w:r>
          </w:p>
          <w:p w14:paraId="60A1307C">
            <w:pPr>
              <w:widowControl/>
              <w:spacing w:after="0" w:line="353" w:lineRule="auto"/>
              <w:ind w:firstLine="709"/>
              <w:jc w:val="both"/>
              <w:rPr>
                <w:rFonts w:ascii="Times New Roman" w:hAnsi="Times New Roman" w:eastAsia="SchoolBookSanPin"/>
              </w:rPr>
            </w:pPr>
            <w:r>
              <w:rPr>
                <w:rFonts w:ascii="Times New Roman" w:hAnsi="Times New Roman" w:eastAsia="SchoolBookSanPin"/>
              </w:rPr>
              <w:t>Проявляющий интерес к практическому изучению профессий и труда различного рода, в том числе на основе применения предметных знаний.</w:t>
            </w:r>
          </w:p>
          <w:p w14:paraId="4C7565B6">
            <w:pPr>
              <w:widowControl/>
              <w:spacing w:after="0" w:line="353" w:lineRule="auto"/>
              <w:ind w:firstLine="709"/>
              <w:jc w:val="both"/>
              <w:rPr>
                <w:rFonts w:ascii="Times New Roman" w:hAnsi="Times New Roman" w:eastAsia="SchoolBookSanPin"/>
              </w:rPr>
            </w:pPr>
            <w:r>
              <w:rPr>
                <w:rFonts w:ascii="Times New Roman" w:hAnsi="Times New Roman" w:eastAsia="SchoolBookSanPin"/>
              </w:rPr>
              <w:t>Сознающий важность трудолюбия, обучения труду, накопления навыков трудовой деятельности на протяжении жизни для успешной профессиональной самореализации в российском обществе.</w:t>
            </w:r>
          </w:p>
          <w:p w14:paraId="02847417">
            <w:pPr>
              <w:widowControl/>
              <w:spacing w:after="0" w:line="353" w:lineRule="auto"/>
              <w:ind w:firstLine="709"/>
              <w:jc w:val="both"/>
              <w:rPr>
                <w:rFonts w:ascii="Times New Roman" w:hAnsi="Times New Roman" w:eastAsia="SchoolBookSanPin"/>
              </w:rPr>
            </w:pPr>
            <w:r>
              <w:rPr>
                <w:rFonts w:ascii="Times New Roman" w:hAnsi="Times New Roman" w:eastAsia="SchoolBookSanPin"/>
              </w:rPr>
              <w:t xml:space="preserve"> Участвующий в решении практических трудовых дел, задач (в семье, общеобразовательной организации, своей местности) технологической и социальной направленности, способный инициировать, планировать и самостоятельно выполнять такого рода деятельность.</w:t>
            </w:r>
          </w:p>
          <w:p w14:paraId="5B446621">
            <w:pPr>
              <w:widowControl/>
              <w:spacing w:after="0" w:line="353" w:lineRule="auto"/>
              <w:ind w:firstLine="709"/>
              <w:jc w:val="both"/>
              <w:rPr>
                <w:rFonts w:ascii="Times New Roman" w:hAnsi="Times New Roman" w:eastAsia="SchoolBookSanPin"/>
              </w:rPr>
            </w:pPr>
            <w:r>
              <w:rPr>
                <w:rFonts w:ascii="Times New Roman" w:hAnsi="Times New Roman" w:eastAsia="SchoolBookSanPin"/>
              </w:rPr>
              <w:t>Выражающий готовность к осознанному выбору и построению индивидуальной траектории образования и жизненных планов с учётом личных и общественных интересов, потребностей.</w:t>
            </w:r>
          </w:p>
        </w:tc>
      </w:tr>
      <w:tr w14:paraId="1D89491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9752" w:type="dxa"/>
            <w:tcBorders>
              <w:top w:val="single" w:color="000000" w:sz="4" w:space="0"/>
              <w:left w:val="single" w:color="000000" w:sz="4" w:space="0"/>
              <w:bottom w:val="single" w:color="000000" w:sz="4" w:space="0"/>
              <w:right w:val="single" w:color="000000" w:sz="4" w:space="0"/>
            </w:tcBorders>
          </w:tcPr>
          <w:p w14:paraId="7547F0C3">
            <w:pPr>
              <w:widowControl/>
              <w:spacing w:after="0" w:line="353" w:lineRule="auto"/>
              <w:ind w:firstLine="709"/>
              <w:jc w:val="both"/>
              <w:rPr>
                <w:rFonts w:ascii="Times New Roman" w:hAnsi="Times New Roman" w:eastAsia="SchoolBookSanPin"/>
                <w:b/>
                <w:lang w:val="en-US"/>
              </w:rPr>
            </w:pPr>
            <w:r>
              <w:rPr>
                <w:rFonts w:ascii="Times New Roman" w:hAnsi="Times New Roman" w:eastAsia="SchoolBookSanPin"/>
                <w:b/>
                <w:lang w:val="en-US"/>
              </w:rPr>
              <w:t>Экологическое воспитание</w:t>
            </w:r>
          </w:p>
        </w:tc>
      </w:tr>
      <w:tr w14:paraId="1CD315A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9752" w:type="dxa"/>
            <w:tcBorders>
              <w:top w:val="single" w:color="000000" w:sz="4" w:space="0"/>
              <w:left w:val="single" w:color="000000" w:sz="4" w:space="0"/>
              <w:bottom w:val="single" w:color="000000" w:sz="4" w:space="0"/>
              <w:right w:val="single" w:color="000000" w:sz="4" w:space="0"/>
            </w:tcBorders>
          </w:tcPr>
          <w:p w14:paraId="32722767">
            <w:pPr>
              <w:widowControl/>
              <w:spacing w:after="0" w:line="353" w:lineRule="auto"/>
              <w:ind w:firstLine="709"/>
              <w:jc w:val="both"/>
              <w:rPr>
                <w:rFonts w:ascii="Times New Roman" w:hAnsi="Times New Roman" w:eastAsia="SchoolBookSanPin"/>
              </w:rPr>
            </w:pPr>
            <w:r>
              <w:rPr>
                <w:rFonts w:ascii="Times New Roman" w:hAnsi="Times New Roman" w:eastAsia="SchoolBookSanPin"/>
              </w:rPr>
              <w:t>Понимающий значение и глобальный характер экологических проблем, путей их решения, значение экологической культуры человека, общества.</w:t>
            </w:r>
          </w:p>
          <w:p w14:paraId="380F3C0B">
            <w:pPr>
              <w:widowControl/>
              <w:spacing w:after="0" w:line="353" w:lineRule="auto"/>
              <w:ind w:firstLine="709"/>
              <w:jc w:val="both"/>
              <w:rPr>
                <w:rFonts w:ascii="Times New Roman" w:hAnsi="Times New Roman" w:eastAsia="SchoolBookSanPin"/>
              </w:rPr>
            </w:pPr>
            <w:r>
              <w:rPr>
                <w:rFonts w:ascii="Times New Roman" w:hAnsi="Times New Roman" w:eastAsia="SchoolBookSanPin"/>
              </w:rPr>
              <w:t>Сознающий свою ответственность как гражданина и потребителя в условиях взаимосвязи природной, технологической и социальной сред.</w:t>
            </w:r>
          </w:p>
          <w:p w14:paraId="13C73F49">
            <w:pPr>
              <w:widowControl/>
              <w:spacing w:after="0" w:line="353" w:lineRule="auto"/>
              <w:ind w:firstLine="709"/>
              <w:jc w:val="both"/>
              <w:rPr>
                <w:rFonts w:ascii="Times New Roman" w:hAnsi="Times New Roman" w:eastAsia="SchoolBookSanPin"/>
              </w:rPr>
            </w:pPr>
            <w:r>
              <w:rPr>
                <w:rFonts w:ascii="Times New Roman" w:hAnsi="Times New Roman" w:eastAsia="SchoolBookSanPin"/>
              </w:rPr>
              <w:t>Выражающий активное неприятие действий, приносящих вред природе.</w:t>
            </w:r>
          </w:p>
          <w:p w14:paraId="7004C8F4">
            <w:pPr>
              <w:widowControl/>
              <w:spacing w:after="0" w:line="353" w:lineRule="auto"/>
              <w:ind w:firstLine="709"/>
              <w:jc w:val="both"/>
              <w:rPr>
                <w:rFonts w:ascii="Times New Roman" w:hAnsi="Times New Roman" w:eastAsia="SchoolBookSanPin"/>
              </w:rPr>
            </w:pPr>
            <w:r>
              <w:rPr>
                <w:rFonts w:ascii="Times New Roman" w:hAnsi="Times New Roman" w:eastAsia="SchoolBookSanPin"/>
              </w:rPr>
              <w:t>Ориентированный на применение знаний естественных и социальных наук для решения задач в области охраны природы, планирования своих поступков и оценки их возможных последствий для окружающей среды.</w:t>
            </w:r>
          </w:p>
          <w:p w14:paraId="789A0B32">
            <w:pPr>
              <w:widowControl/>
              <w:spacing w:after="0" w:line="353" w:lineRule="auto"/>
              <w:ind w:firstLine="709"/>
              <w:jc w:val="both"/>
              <w:rPr>
                <w:rFonts w:ascii="Times New Roman" w:hAnsi="Times New Roman" w:eastAsia="SchoolBookSanPin"/>
              </w:rPr>
            </w:pPr>
            <w:r>
              <w:rPr>
                <w:rFonts w:ascii="Times New Roman" w:hAnsi="Times New Roman" w:eastAsia="SchoolBookSanPin"/>
              </w:rPr>
              <w:t>Участвующий в практической деятельности экологической, природоохранной направленности.</w:t>
            </w:r>
          </w:p>
        </w:tc>
      </w:tr>
      <w:tr w14:paraId="44F4454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9752" w:type="dxa"/>
            <w:tcBorders>
              <w:top w:val="single" w:color="000000" w:sz="4" w:space="0"/>
              <w:left w:val="single" w:color="000000" w:sz="4" w:space="0"/>
              <w:bottom w:val="single" w:color="000000" w:sz="4" w:space="0"/>
              <w:right w:val="single" w:color="000000" w:sz="4" w:space="0"/>
            </w:tcBorders>
          </w:tcPr>
          <w:p w14:paraId="379FEF31">
            <w:pPr>
              <w:widowControl/>
              <w:spacing w:after="0" w:line="353" w:lineRule="auto"/>
              <w:ind w:firstLine="709"/>
              <w:jc w:val="both"/>
              <w:rPr>
                <w:rFonts w:ascii="Times New Roman" w:hAnsi="Times New Roman" w:eastAsia="SchoolBookSanPin"/>
                <w:b/>
                <w:lang w:val="en-US"/>
              </w:rPr>
            </w:pPr>
            <w:r>
              <w:rPr>
                <w:rFonts w:ascii="Times New Roman" w:hAnsi="Times New Roman" w:eastAsia="SchoolBookSanPin"/>
                <w:b/>
                <w:lang w:val="en-US"/>
              </w:rPr>
              <w:t>Ценности научного познания</w:t>
            </w:r>
          </w:p>
        </w:tc>
      </w:tr>
      <w:tr w14:paraId="6BD45FA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85" w:hRule="atLeast"/>
        </w:trPr>
        <w:tc>
          <w:tcPr>
            <w:tcW w:w="9752" w:type="dxa"/>
            <w:tcBorders>
              <w:top w:val="single" w:color="000000" w:sz="4" w:space="0"/>
              <w:left w:val="single" w:color="000000" w:sz="4" w:space="0"/>
              <w:bottom w:val="single" w:color="000000" w:sz="4" w:space="0"/>
              <w:right w:val="single" w:color="000000" w:sz="4" w:space="0"/>
            </w:tcBorders>
          </w:tcPr>
          <w:p w14:paraId="1D762F5D">
            <w:pPr>
              <w:widowControl/>
              <w:spacing w:after="0" w:line="353" w:lineRule="auto"/>
              <w:ind w:firstLine="709"/>
              <w:jc w:val="both"/>
              <w:rPr>
                <w:rFonts w:ascii="Times New Roman" w:hAnsi="Times New Roman" w:eastAsia="SchoolBookSanPin"/>
              </w:rPr>
            </w:pPr>
            <w:r>
              <w:rPr>
                <w:rFonts w:ascii="Times New Roman" w:hAnsi="Times New Roman" w:eastAsia="SchoolBookSanPin"/>
              </w:rPr>
              <w:t>Выражающий познавательные интересы в разных предметных областях с учётом индивидуальных интересов, способностей, достижений.</w:t>
            </w:r>
          </w:p>
          <w:p w14:paraId="25585623">
            <w:pPr>
              <w:widowControl/>
              <w:spacing w:after="0" w:line="353" w:lineRule="auto"/>
              <w:ind w:firstLine="709"/>
              <w:jc w:val="both"/>
              <w:rPr>
                <w:rFonts w:ascii="Times New Roman" w:hAnsi="Times New Roman" w:eastAsia="SchoolBookSanPin"/>
              </w:rPr>
            </w:pPr>
            <w:r>
              <w:rPr>
                <w:rFonts w:ascii="Times New Roman" w:hAnsi="Times New Roman" w:eastAsia="SchoolBookSanPin"/>
              </w:rPr>
              <w:t>Ориентированный в деятельности на научные знания о природе и обществе, взаимосвязях человека с природной и социальной средой.</w:t>
            </w:r>
          </w:p>
          <w:p w14:paraId="1C9CD886">
            <w:pPr>
              <w:widowControl/>
              <w:spacing w:after="0" w:line="353" w:lineRule="auto"/>
              <w:ind w:firstLine="709"/>
              <w:jc w:val="both"/>
              <w:rPr>
                <w:rFonts w:ascii="Times New Roman" w:hAnsi="Times New Roman" w:eastAsia="SchoolBookSanPin"/>
              </w:rPr>
            </w:pPr>
            <w:r>
              <w:rPr>
                <w:rFonts w:ascii="Times New Roman" w:hAnsi="Times New Roman" w:eastAsia="SchoolBookSanPin"/>
              </w:rPr>
              <w:t>Развивающий навыки использования различных средств познания, накопления знаний о мире (языковая, читательская культура, деятельность в информационной, цифровой среде).</w:t>
            </w:r>
          </w:p>
          <w:p w14:paraId="4B0E4035">
            <w:pPr>
              <w:widowControl/>
              <w:spacing w:after="0" w:line="353" w:lineRule="auto"/>
              <w:ind w:firstLine="709"/>
              <w:jc w:val="both"/>
              <w:rPr>
                <w:rFonts w:ascii="Times New Roman" w:hAnsi="Times New Roman" w:eastAsia="SchoolBookSanPin"/>
              </w:rPr>
            </w:pPr>
            <w:r>
              <w:rPr>
                <w:rFonts w:ascii="Times New Roman" w:hAnsi="Times New Roman" w:eastAsia="SchoolBookSanPin"/>
              </w:rPr>
              <w:t>Демонстрирующий навыки наблюдений, накопления фактов, осмысления опыта в естественнонаучной и гуманитарной областях познания, исследовательской деятельности.</w:t>
            </w:r>
          </w:p>
        </w:tc>
      </w:tr>
    </w:tbl>
    <w:p w14:paraId="6C46BDE2">
      <w:pPr>
        <w:widowControl/>
        <w:spacing w:after="0" w:line="353" w:lineRule="auto"/>
        <w:ind w:firstLine="709"/>
        <w:jc w:val="both"/>
        <w:rPr>
          <w:rFonts w:ascii="Times New Roman" w:hAnsi="Times New Roman" w:eastAsia="SchoolBookSanPin"/>
        </w:rPr>
      </w:pPr>
      <w:bookmarkStart w:id="313" w:name="__RefHeading___6"/>
      <w:bookmarkEnd w:id="313"/>
      <w:r>
        <w:rPr>
          <w:rFonts w:ascii="Times New Roman" w:hAnsi="Times New Roman" w:eastAsia="SchoolBookSanPin"/>
        </w:rPr>
        <w:t>18.3. Содержательный раздел</w:t>
      </w:r>
    </w:p>
    <w:p w14:paraId="08596857">
      <w:pPr>
        <w:widowControl/>
        <w:spacing w:after="0" w:line="353" w:lineRule="auto"/>
        <w:ind w:firstLine="709"/>
        <w:jc w:val="both"/>
        <w:rPr>
          <w:rFonts w:ascii="Times New Roman" w:hAnsi="Times New Roman" w:eastAsia="SchoolBookSanPin"/>
        </w:rPr>
      </w:pPr>
      <w:r>
        <w:rPr>
          <w:rFonts w:ascii="Times New Roman" w:hAnsi="Times New Roman" w:eastAsia="SchoolBookSanPin"/>
        </w:rPr>
        <w:t>Воспитательная система «</w:t>
      </w:r>
      <w:r>
        <w:rPr>
          <w:rFonts w:ascii="Times New Roman" w:hAnsi="Times New Roman" w:eastAsia="SchoolBookSanPin"/>
          <w:lang w:val="ru-RU"/>
        </w:rPr>
        <w:t>Николаевская</w:t>
      </w:r>
      <w:r>
        <w:rPr>
          <w:rFonts w:ascii="Times New Roman" w:hAnsi="Times New Roman" w:eastAsia="SchoolBookSanPin"/>
        </w:rPr>
        <w:t xml:space="preserve"> ООШ»  основана на бережном сохранении традиций образовательного учреждения и на внедрении инновационных образовательных технологий и практик. Особенностью организуемого в школе воспитательного процесса также являются следующие составляющие: </w:t>
      </w:r>
    </w:p>
    <w:p w14:paraId="54EBF01D">
      <w:pPr>
        <w:widowControl/>
        <w:spacing w:after="0" w:line="353" w:lineRule="auto"/>
        <w:ind w:firstLine="709"/>
        <w:jc w:val="both"/>
        <w:rPr>
          <w:rFonts w:ascii="Times New Roman" w:hAnsi="Times New Roman" w:eastAsia="SchoolBookSanPin"/>
        </w:rPr>
      </w:pPr>
      <w:r>
        <w:rPr>
          <w:rFonts w:ascii="Times New Roman" w:hAnsi="Times New Roman" w:eastAsia="SchoolBookSanPin"/>
        </w:rPr>
        <w:t>- стержнем годового цикла воспитательной работы школы являются ключевые общешкольные дела, через которые осуществляется интеграция воспитательных усилий педагогов;</w:t>
      </w:r>
    </w:p>
    <w:p w14:paraId="36A04A06">
      <w:pPr>
        <w:widowControl/>
        <w:spacing w:after="0" w:line="353" w:lineRule="auto"/>
        <w:ind w:firstLine="709"/>
        <w:jc w:val="both"/>
        <w:rPr>
          <w:rFonts w:ascii="Times New Roman" w:hAnsi="Times New Roman" w:eastAsia="SchoolBookSanPin"/>
        </w:rPr>
      </w:pPr>
      <w:r>
        <w:rPr>
          <w:rFonts w:ascii="Times New Roman" w:hAnsi="Times New Roman" w:eastAsia="SchoolBookSanPin"/>
        </w:rPr>
        <w:t>- создаются такие условия, при которых по мере взросления ребенка увеличивается и его роль в совместных делах (от пассивного наблюдателя до организатора);</w:t>
      </w:r>
    </w:p>
    <w:p w14:paraId="41914906">
      <w:pPr>
        <w:widowControl/>
        <w:spacing w:after="0" w:line="353" w:lineRule="auto"/>
        <w:ind w:firstLine="709"/>
        <w:jc w:val="both"/>
        <w:rPr>
          <w:rFonts w:ascii="Times New Roman" w:hAnsi="Times New Roman" w:eastAsia="SchoolBookSanPin"/>
        </w:rPr>
      </w:pPr>
      <w:r>
        <w:rPr>
          <w:rFonts w:ascii="Times New Roman" w:hAnsi="Times New Roman" w:eastAsia="SchoolBookSanPin"/>
        </w:rPr>
        <w:t xml:space="preserve">- в проведении общешкольных дел присутствует соревновательность между классами, поощряется социальная активность школьников; </w:t>
      </w:r>
    </w:p>
    <w:p w14:paraId="1266638C">
      <w:pPr>
        <w:widowControl/>
        <w:spacing w:after="0" w:line="353" w:lineRule="auto"/>
        <w:ind w:firstLine="709"/>
        <w:jc w:val="both"/>
        <w:rPr>
          <w:rFonts w:ascii="Times New Roman" w:hAnsi="Times New Roman" w:eastAsia="SchoolBookSanPin"/>
        </w:rPr>
      </w:pPr>
      <w:r>
        <w:rPr>
          <w:rFonts w:ascii="Times New Roman" w:hAnsi="Times New Roman" w:eastAsia="SchoolBookSanPin"/>
        </w:rPr>
        <w:t>- педагоги школы ориентированы на формирование коллективов в рамках школьных классов, кружков, студий, секций и иных детских объединений, на установление в них доброжелательных и товарищеских взаимоотношений;</w:t>
      </w:r>
    </w:p>
    <w:p w14:paraId="04E54C18">
      <w:pPr>
        <w:widowControl/>
        <w:spacing w:after="0" w:line="353" w:lineRule="auto"/>
        <w:ind w:firstLine="709"/>
        <w:jc w:val="both"/>
        <w:rPr>
          <w:rFonts w:ascii="Times New Roman" w:hAnsi="Times New Roman" w:eastAsia="SchoolBookSanPin"/>
        </w:rPr>
      </w:pPr>
      <w:r>
        <w:rPr>
          <w:rFonts w:ascii="Times New Roman" w:hAnsi="Times New Roman" w:eastAsia="SchoolBookSanPin"/>
        </w:rPr>
        <w:t>- ключевой фигурой воспитания является классный руководитель, реализующий по отношению к детям защитную, личностно развивающую, организационную, посредническую (в разрешении конфликтов) функции.</w:t>
      </w:r>
    </w:p>
    <w:p w14:paraId="7EBCDA28">
      <w:pPr>
        <w:widowControl/>
        <w:spacing w:after="0" w:line="353" w:lineRule="auto"/>
        <w:ind w:firstLine="709"/>
        <w:jc w:val="center"/>
        <w:rPr>
          <w:rFonts w:ascii="Times New Roman" w:hAnsi="Times New Roman" w:eastAsia="SchoolBookSanPin"/>
          <w:i/>
        </w:rPr>
      </w:pPr>
      <w:r>
        <w:rPr>
          <w:rFonts w:ascii="Times New Roman" w:hAnsi="Times New Roman" w:eastAsia="SchoolBookSanPin"/>
          <w:i/>
        </w:rPr>
        <w:t>Виды, формы и содержание воспитательной деятельности.</w:t>
      </w:r>
    </w:p>
    <w:p w14:paraId="21BC583B">
      <w:pPr>
        <w:widowControl/>
        <w:spacing w:after="0" w:line="353" w:lineRule="auto"/>
        <w:ind w:firstLine="709"/>
        <w:jc w:val="center"/>
        <w:rPr>
          <w:rFonts w:ascii="Times New Roman" w:hAnsi="Times New Roman" w:eastAsia="SchoolBookSanPin"/>
          <w:bCs/>
          <w:i/>
        </w:rPr>
      </w:pPr>
      <w:r>
        <w:rPr>
          <w:rFonts w:ascii="Times New Roman" w:hAnsi="Times New Roman" w:eastAsia="SchoolBookSanPin"/>
          <w:i/>
        </w:rPr>
        <w:t>Модуль «</w:t>
      </w:r>
      <w:r>
        <w:rPr>
          <w:rFonts w:ascii="Times New Roman" w:hAnsi="Times New Roman" w:eastAsia="SchoolBookSanPin"/>
          <w:bCs/>
          <w:i/>
        </w:rPr>
        <w:t>Урочная деятельность»</w:t>
      </w:r>
    </w:p>
    <w:p w14:paraId="77004AE6">
      <w:pPr>
        <w:spacing w:after="0" w:line="360" w:lineRule="auto"/>
        <w:ind w:firstLine="567"/>
        <w:jc w:val="both"/>
        <w:rPr>
          <w:rFonts w:ascii="Times New Roman" w:hAnsi="Times New Roman" w:eastAsia="№Е"/>
        </w:rPr>
      </w:pPr>
      <w:r>
        <w:rPr>
          <w:rFonts w:ascii="Times New Roman" w:hAnsi="Times New Roman" w:eastAsia="№Е"/>
        </w:rPr>
        <w:t>Реализация школьными педагогами воспитательного потенциала урока предполагает следующее:</w:t>
      </w:r>
    </w:p>
    <w:p w14:paraId="36C9CCB2">
      <w:pPr>
        <w:pStyle w:val="67"/>
        <w:widowControl/>
        <w:numPr>
          <w:ilvl w:val="0"/>
          <w:numId w:val="4"/>
        </w:numPr>
        <w:spacing w:after="0" w:line="360" w:lineRule="auto"/>
        <w:contextualSpacing w:val="0"/>
        <w:jc w:val="both"/>
        <w:rPr>
          <w:rFonts w:ascii="Times New Roman" w:hAnsi="Times New Roman" w:eastAsia="SchoolBookSanPin"/>
        </w:rPr>
      </w:pPr>
      <w:r>
        <w:rPr>
          <w:rFonts w:ascii="Times New Roman" w:hAnsi="Times New Roman" w:eastAsia="SchoolBookSanPin"/>
        </w:rPr>
        <w:t>максимальное использование воспитательных возможностей содержания учебных предметов для формирования у обучающихся российских традиционных духовно-нравственных и социокультурных ценностей, российского исторического сознания на основе исторического просвещения; подбор соответствующего содержания уроков, заданий, вспомогательных материалов, проблемных ситуаций для обсуждений;</w:t>
      </w:r>
    </w:p>
    <w:p w14:paraId="751C80FA">
      <w:pPr>
        <w:pStyle w:val="67"/>
        <w:widowControl/>
        <w:numPr>
          <w:ilvl w:val="0"/>
          <w:numId w:val="4"/>
        </w:numPr>
        <w:spacing w:after="0" w:line="360" w:lineRule="auto"/>
        <w:contextualSpacing w:val="0"/>
        <w:jc w:val="both"/>
        <w:rPr>
          <w:rFonts w:ascii="Times New Roman" w:hAnsi="Times New Roman" w:eastAsia="SchoolBookSanPin"/>
        </w:rPr>
      </w:pPr>
      <w:r>
        <w:rPr>
          <w:rFonts w:ascii="Times New Roman" w:hAnsi="Times New Roman" w:eastAsia="SchoolBookSanPin"/>
        </w:rPr>
        <w:t>включение учителями в рабочие программы по учебным предметам, курсам, модулям целевых ориентиров результатов воспитания, их учёт в определении воспитательных задач уроков, занятий;</w:t>
      </w:r>
    </w:p>
    <w:p w14:paraId="0450BCB1">
      <w:pPr>
        <w:pStyle w:val="67"/>
        <w:widowControl/>
        <w:numPr>
          <w:ilvl w:val="0"/>
          <w:numId w:val="4"/>
        </w:numPr>
        <w:spacing w:after="0" w:line="360" w:lineRule="auto"/>
        <w:contextualSpacing w:val="0"/>
        <w:jc w:val="both"/>
        <w:rPr>
          <w:rFonts w:ascii="Times New Roman" w:hAnsi="Times New Roman" w:eastAsia="SchoolBookSanPin"/>
        </w:rPr>
      </w:pPr>
      <w:r>
        <w:rPr>
          <w:rFonts w:ascii="Times New Roman" w:hAnsi="Times New Roman" w:eastAsia="SchoolBookSanPin"/>
        </w:rPr>
        <w:t>включение учителями в рабочие программы учебных предметов, курсов, модулей тематики в соответствии с календарным планом воспитательной работы;</w:t>
      </w:r>
    </w:p>
    <w:p w14:paraId="5319226A">
      <w:pPr>
        <w:pStyle w:val="67"/>
        <w:widowControl/>
        <w:numPr>
          <w:ilvl w:val="0"/>
          <w:numId w:val="4"/>
        </w:numPr>
        <w:spacing w:after="0" w:line="360" w:lineRule="auto"/>
        <w:contextualSpacing w:val="0"/>
        <w:jc w:val="both"/>
        <w:rPr>
          <w:rFonts w:ascii="Times New Roman" w:hAnsi="Times New Roman" w:eastAsia="SchoolBookSanPin"/>
        </w:rPr>
      </w:pPr>
      <w:r>
        <w:rPr>
          <w:rFonts w:ascii="Times New Roman" w:hAnsi="Times New Roman" w:eastAsia="SchoolBookSanPin"/>
        </w:rPr>
        <w:t>выбор методов, методик, технологий, оказывающих воспитательное воздействие на личность в соответствии с воспитательным идеалом, целью и задачами воспитания, целевыми ориентирами результатов воспитания; реализацию приоритета воспитания в учебной деятельности;</w:t>
      </w:r>
    </w:p>
    <w:p w14:paraId="316FC02D">
      <w:pPr>
        <w:pStyle w:val="67"/>
        <w:widowControl/>
        <w:numPr>
          <w:ilvl w:val="0"/>
          <w:numId w:val="4"/>
        </w:numPr>
        <w:spacing w:after="0" w:line="360" w:lineRule="auto"/>
        <w:contextualSpacing w:val="0"/>
        <w:jc w:val="both"/>
        <w:rPr>
          <w:rFonts w:ascii="Times New Roman" w:hAnsi="Times New Roman" w:eastAsia="SchoolBookSanPin"/>
        </w:rPr>
      </w:pPr>
      <w:r>
        <w:rPr>
          <w:rFonts w:ascii="Times New Roman" w:hAnsi="Times New Roman" w:eastAsia="SchoolBookSanPin"/>
        </w:rPr>
        <w:t>привлечение внимания обучающихся к ценностному аспекту изучаемых на уроках предметов, явлений и событий, инициирование обсуждений, высказываний своего мнения, выработки своего личностного отношения к изучаемым событиям, явлениям, лицам;</w:t>
      </w:r>
    </w:p>
    <w:p w14:paraId="437AB71C">
      <w:pPr>
        <w:pStyle w:val="67"/>
        <w:widowControl/>
        <w:numPr>
          <w:ilvl w:val="0"/>
          <w:numId w:val="4"/>
        </w:numPr>
        <w:spacing w:after="0" w:line="360" w:lineRule="auto"/>
        <w:contextualSpacing w:val="0"/>
        <w:jc w:val="both"/>
        <w:rPr>
          <w:rFonts w:ascii="Times New Roman" w:hAnsi="Times New Roman" w:eastAsia="SchoolBookSanPin"/>
        </w:rPr>
      </w:pPr>
      <w:r>
        <w:rPr>
          <w:rFonts w:ascii="Times New Roman" w:hAnsi="Times New Roman" w:eastAsia="SchoolBookSanPin"/>
        </w:rPr>
        <w:t>применение интерактивных форм учебной работы – интеллектуальных, стимулирующих познавательную мотивацию, игровых методик, дискуссий, дающих возможность приобрести опыт ведения конструктивного диалога; групповой работы, которая учит строить отношения и действовать в команде, способствует развитию критического мышления;</w:t>
      </w:r>
    </w:p>
    <w:p w14:paraId="5C126BD8">
      <w:pPr>
        <w:pStyle w:val="67"/>
        <w:widowControl/>
        <w:numPr>
          <w:ilvl w:val="0"/>
          <w:numId w:val="4"/>
        </w:numPr>
        <w:spacing w:after="0" w:line="360" w:lineRule="auto"/>
        <w:contextualSpacing w:val="0"/>
        <w:jc w:val="both"/>
        <w:rPr>
          <w:rFonts w:ascii="Times New Roman" w:hAnsi="Times New Roman" w:eastAsia="SchoolBookSanPin"/>
        </w:rPr>
      </w:pPr>
      <w:r>
        <w:rPr>
          <w:rFonts w:ascii="Times New Roman" w:hAnsi="Times New Roman" w:eastAsia="SchoolBookSanPin"/>
        </w:rPr>
        <w:t>побуждение обучающихся соблюдать нормы поведения, правила общения со сверстниками и педагогическими работниками, соответствующие укладу гимназии, установление и поддержку доброжелательной атмосферы;</w:t>
      </w:r>
    </w:p>
    <w:p w14:paraId="3E13E4A6">
      <w:pPr>
        <w:pStyle w:val="67"/>
        <w:widowControl/>
        <w:numPr>
          <w:ilvl w:val="0"/>
          <w:numId w:val="4"/>
        </w:numPr>
        <w:spacing w:after="0" w:line="360" w:lineRule="auto"/>
        <w:contextualSpacing w:val="0"/>
        <w:jc w:val="both"/>
        <w:rPr>
          <w:rFonts w:ascii="Times New Roman" w:hAnsi="Times New Roman" w:eastAsia="SchoolBookSanPin"/>
        </w:rPr>
      </w:pPr>
      <w:r>
        <w:rPr>
          <w:rFonts w:ascii="Times New Roman" w:hAnsi="Times New Roman" w:eastAsia="SchoolBookSanPin"/>
        </w:rPr>
        <w:t xml:space="preserve">организацию </w:t>
      </w:r>
      <w:r>
        <w:rPr>
          <w:rFonts w:ascii="Times New Roman" w:hAnsi="Times New Roman"/>
        </w:rPr>
        <w:t>наставничества</w:t>
      </w:r>
      <w:r>
        <w:rPr>
          <w:rFonts w:ascii="Times New Roman" w:hAnsi="Times New Roman" w:eastAsia="SchoolBookSanPin"/>
        </w:rPr>
        <w:t xml:space="preserve"> мотивированных и эрудированных обучающихся над неуспевающими одноклассниками, в том числе с особыми образовательными потребностями, дающего обучающимся социально значимый опыт сотрудничества и взаимной помощи;</w:t>
      </w:r>
    </w:p>
    <w:p w14:paraId="2BCFD537">
      <w:pPr>
        <w:pStyle w:val="67"/>
        <w:widowControl/>
        <w:numPr>
          <w:ilvl w:val="0"/>
          <w:numId w:val="4"/>
        </w:numPr>
        <w:spacing w:after="0" w:line="360" w:lineRule="auto"/>
        <w:contextualSpacing w:val="0"/>
        <w:jc w:val="both"/>
        <w:rPr>
          <w:rFonts w:ascii="Times New Roman" w:hAnsi="Times New Roman" w:eastAsia="SchoolBookSanPin"/>
        </w:rPr>
      </w:pPr>
      <w:r>
        <w:rPr>
          <w:rFonts w:ascii="Times New Roman" w:hAnsi="Times New Roman" w:eastAsia="SchoolBookSanPin"/>
        </w:rPr>
        <w:t>инициирование и поддержку исследовательской деятельности обучающихся, планирование и выполнение индивидуальных и групповых проектов воспитательной направленности;</w:t>
      </w:r>
    </w:p>
    <w:p w14:paraId="5CB7F712">
      <w:pPr>
        <w:pStyle w:val="67"/>
        <w:widowControl/>
        <w:numPr>
          <w:ilvl w:val="0"/>
          <w:numId w:val="4"/>
        </w:numPr>
        <w:spacing w:after="0" w:line="360" w:lineRule="auto"/>
        <w:contextualSpacing w:val="0"/>
        <w:jc w:val="both"/>
        <w:rPr>
          <w:rFonts w:ascii="Times New Roman" w:hAnsi="Times New Roman" w:eastAsia="SchoolBookSanPin"/>
        </w:rPr>
      </w:pPr>
      <w:r>
        <w:rPr>
          <w:rFonts w:ascii="Times New Roman" w:hAnsi="Times New Roman"/>
        </w:rPr>
        <w:t>организация предметных образовательных событий (проведение предметных декад) для обучающихся с целью развития познавательной и творческой активности, инициативности в различных сферах предметной деятельности, раскрытия творческих способностей обучающихся с разными образовательными потребностями и индивидуальными возможностями;</w:t>
      </w:r>
    </w:p>
    <w:p w14:paraId="09896F67">
      <w:pPr>
        <w:pStyle w:val="67"/>
        <w:widowControl/>
        <w:numPr>
          <w:ilvl w:val="0"/>
          <w:numId w:val="4"/>
        </w:numPr>
        <w:spacing w:after="0" w:line="360" w:lineRule="auto"/>
        <w:contextualSpacing w:val="0"/>
        <w:jc w:val="both"/>
        <w:rPr>
          <w:rFonts w:ascii="Times New Roman" w:hAnsi="Times New Roman" w:eastAsia="SchoolBookSanPin"/>
        </w:rPr>
      </w:pPr>
      <w:r>
        <w:rPr>
          <w:rFonts w:ascii="Times New Roman" w:hAnsi="Times New Roman"/>
        </w:rPr>
        <w:t>проведение учебных (олимпиады, занимательные уроки и пятиминутки, урок - деловая игра, урок – путешествие, урок мастер-класс, урок-исследование и др.) и учебно-развлекательных мероприятий (конкурс- игра «Предметный кроссворд», турнир «Своя игра», викторины, литературная композиция, конкурс газет и рисунков, экскурсия и др.)</w:t>
      </w:r>
    </w:p>
    <w:p w14:paraId="7A87BC62">
      <w:pPr>
        <w:pStyle w:val="67"/>
        <w:tabs>
          <w:tab w:val="left" w:pos="993"/>
          <w:tab w:val="left" w:pos="1310"/>
        </w:tabs>
        <w:spacing w:after="0" w:line="360" w:lineRule="auto"/>
        <w:ind w:left="0"/>
        <w:rPr>
          <w:rFonts w:ascii="Times New Roman" w:hAnsi="Times New Roman"/>
        </w:rPr>
      </w:pPr>
      <w:r>
        <w:rPr>
          <w:rFonts w:ascii="Times New Roman" w:hAnsi="Times New Roman"/>
        </w:rPr>
        <w:tab/>
      </w:r>
      <w:r>
        <w:rPr>
          <w:rFonts w:ascii="Times New Roman" w:hAnsi="Times New Roman"/>
        </w:rPr>
        <w:t xml:space="preserve">Непрерывный поиск приемов и форм взаимодействия педагогов и обучающихся на учебном занятии позволяет приобретенным знаниям, отношениям и опыту перейти в социально значимые виды самостоятельной деятельности. Новые знания появляются благодаря совместным усилиям школьника и педагога.   </w:t>
      </w:r>
      <w:r>
        <w:rPr>
          <w:rFonts w:ascii="Times New Roman" w:hAnsi="Times New Roman"/>
          <w:spacing w:val="30"/>
        </w:rPr>
        <w:t xml:space="preserve"> </w:t>
      </w:r>
      <w:r>
        <w:rPr>
          <w:rFonts w:ascii="Times New Roman" w:hAnsi="Times New Roman"/>
        </w:rPr>
        <w:t xml:space="preserve">При   </w:t>
      </w:r>
      <w:r>
        <w:rPr>
          <w:rFonts w:ascii="Times New Roman" w:hAnsi="Times New Roman"/>
          <w:spacing w:val="32"/>
        </w:rPr>
        <w:t xml:space="preserve"> </w:t>
      </w:r>
      <w:r>
        <w:rPr>
          <w:rFonts w:ascii="Times New Roman" w:hAnsi="Times New Roman"/>
        </w:rPr>
        <w:t xml:space="preserve">этом   </w:t>
      </w:r>
      <w:r>
        <w:rPr>
          <w:rFonts w:ascii="Times New Roman" w:hAnsi="Times New Roman"/>
          <w:spacing w:val="32"/>
        </w:rPr>
        <w:t xml:space="preserve"> </w:t>
      </w:r>
      <w:r>
        <w:rPr>
          <w:rFonts w:ascii="Times New Roman" w:hAnsi="Times New Roman"/>
        </w:rPr>
        <w:t xml:space="preserve">важно,   </w:t>
      </w:r>
      <w:r>
        <w:rPr>
          <w:rFonts w:ascii="Times New Roman" w:hAnsi="Times New Roman"/>
          <w:spacing w:val="31"/>
        </w:rPr>
        <w:t xml:space="preserve"> </w:t>
      </w:r>
      <w:r>
        <w:rPr>
          <w:rFonts w:ascii="Times New Roman" w:hAnsi="Times New Roman"/>
        </w:rPr>
        <w:t xml:space="preserve">чтобы   </w:t>
      </w:r>
      <w:r>
        <w:rPr>
          <w:rFonts w:ascii="Times New Roman" w:hAnsi="Times New Roman"/>
          <w:spacing w:val="32"/>
        </w:rPr>
        <w:t xml:space="preserve"> </w:t>
      </w:r>
      <w:r>
        <w:rPr>
          <w:rFonts w:ascii="Times New Roman" w:hAnsi="Times New Roman"/>
        </w:rPr>
        <w:t xml:space="preserve">задаваемые   </w:t>
      </w:r>
      <w:r>
        <w:rPr>
          <w:rFonts w:ascii="Times New Roman" w:hAnsi="Times New Roman"/>
          <w:spacing w:val="32"/>
        </w:rPr>
        <w:t xml:space="preserve"> </w:t>
      </w:r>
      <w:r>
        <w:rPr>
          <w:rFonts w:ascii="Times New Roman" w:hAnsi="Times New Roman"/>
        </w:rPr>
        <w:t xml:space="preserve">учителем   </w:t>
      </w:r>
      <w:r>
        <w:rPr>
          <w:rFonts w:ascii="Times New Roman" w:hAnsi="Times New Roman"/>
          <w:spacing w:val="32"/>
        </w:rPr>
        <w:t xml:space="preserve"> </w:t>
      </w:r>
      <w:r>
        <w:rPr>
          <w:rFonts w:ascii="Times New Roman" w:hAnsi="Times New Roman"/>
        </w:rPr>
        <w:t>вопросы воспринимались</w:t>
      </w:r>
      <w:r>
        <w:rPr>
          <w:rFonts w:ascii="Times New Roman" w:hAnsi="Times New Roman"/>
          <w:spacing w:val="11"/>
        </w:rPr>
        <w:t xml:space="preserve"> </w:t>
      </w:r>
      <w:r>
        <w:rPr>
          <w:rFonts w:ascii="Times New Roman" w:hAnsi="Times New Roman"/>
        </w:rPr>
        <w:t>не</w:t>
      </w:r>
      <w:r>
        <w:rPr>
          <w:rFonts w:ascii="Times New Roman" w:hAnsi="Times New Roman"/>
          <w:spacing w:val="7"/>
        </w:rPr>
        <w:t xml:space="preserve"> </w:t>
      </w:r>
      <w:r>
        <w:rPr>
          <w:rFonts w:ascii="Times New Roman" w:hAnsi="Times New Roman"/>
        </w:rPr>
        <w:t>как</w:t>
      </w:r>
      <w:r>
        <w:rPr>
          <w:rFonts w:ascii="Times New Roman" w:hAnsi="Times New Roman"/>
          <w:spacing w:val="12"/>
        </w:rPr>
        <w:t xml:space="preserve"> </w:t>
      </w:r>
      <w:r>
        <w:rPr>
          <w:rFonts w:ascii="Times New Roman" w:hAnsi="Times New Roman"/>
        </w:rPr>
        <w:t>контроль</w:t>
      </w:r>
      <w:r>
        <w:rPr>
          <w:rFonts w:ascii="Times New Roman" w:hAnsi="Times New Roman"/>
          <w:spacing w:val="10"/>
        </w:rPr>
        <w:t xml:space="preserve"> </w:t>
      </w:r>
      <w:r>
        <w:rPr>
          <w:rFonts w:ascii="Times New Roman" w:hAnsi="Times New Roman"/>
        </w:rPr>
        <w:t>учителя</w:t>
      </w:r>
      <w:r>
        <w:rPr>
          <w:rFonts w:ascii="Times New Roman" w:hAnsi="Times New Roman"/>
          <w:spacing w:val="12"/>
        </w:rPr>
        <w:t xml:space="preserve"> </w:t>
      </w:r>
      <w:r>
        <w:rPr>
          <w:rFonts w:ascii="Times New Roman" w:hAnsi="Times New Roman"/>
        </w:rPr>
        <w:t>за</w:t>
      </w:r>
      <w:r>
        <w:rPr>
          <w:rFonts w:ascii="Times New Roman" w:hAnsi="Times New Roman"/>
          <w:spacing w:val="11"/>
        </w:rPr>
        <w:t xml:space="preserve"> </w:t>
      </w:r>
      <w:r>
        <w:rPr>
          <w:rFonts w:ascii="Times New Roman" w:hAnsi="Times New Roman"/>
        </w:rPr>
        <w:t>усвоением</w:t>
      </w:r>
      <w:r>
        <w:rPr>
          <w:rFonts w:ascii="Times New Roman" w:hAnsi="Times New Roman"/>
          <w:spacing w:val="14"/>
        </w:rPr>
        <w:t xml:space="preserve"> </w:t>
      </w:r>
      <w:r>
        <w:rPr>
          <w:rFonts w:ascii="Times New Roman" w:hAnsi="Times New Roman"/>
        </w:rPr>
        <w:t>знаний</w:t>
      </w:r>
      <w:r>
        <w:rPr>
          <w:rFonts w:ascii="Times New Roman" w:hAnsi="Times New Roman"/>
          <w:spacing w:val="12"/>
        </w:rPr>
        <w:t xml:space="preserve"> </w:t>
      </w:r>
      <w:r>
        <w:rPr>
          <w:rFonts w:ascii="Times New Roman" w:hAnsi="Times New Roman"/>
        </w:rPr>
        <w:t>ученика,</w:t>
      </w:r>
      <w:r>
        <w:rPr>
          <w:rFonts w:ascii="Times New Roman" w:hAnsi="Times New Roman"/>
          <w:spacing w:val="11"/>
        </w:rPr>
        <w:t xml:space="preserve"> </w:t>
      </w:r>
      <w:r>
        <w:rPr>
          <w:rFonts w:ascii="Times New Roman" w:hAnsi="Times New Roman"/>
        </w:rPr>
        <w:t>а</w:t>
      </w:r>
      <w:r>
        <w:rPr>
          <w:rFonts w:ascii="Times New Roman" w:hAnsi="Times New Roman"/>
          <w:spacing w:val="9"/>
        </w:rPr>
        <w:t xml:space="preserve"> </w:t>
      </w:r>
      <w:r>
        <w:rPr>
          <w:rFonts w:ascii="Times New Roman" w:hAnsi="Times New Roman"/>
        </w:rPr>
        <w:t>как диалог личности с личностью, чтобы задания хотелось выполнять, не отдавая этому времени часть жизни, а приобретая через них саму жизнь.</w:t>
      </w:r>
    </w:p>
    <w:p w14:paraId="45A620B3">
      <w:pPr>
        <w:spacing w:after="0" w:line="360" w:lineRule="auto"/>
        <w:jc w:val="both"/>
        <w:rPr>
          <w:rFonts w:ascii="Times New Roman" w:hAnsi="Times New Roman"/>
          <w:b/>
          <w:i/>
          <w:w w:val="0"/>
        </w:rPr>
      </w:pPr>
      <w:r>
        <w:rPr>
          <w:rFonts w:ascii="Times New Roman" w:hAnsi="Times New Roman"/>
        </w:rPr>
        <w:t xml:space="preserve">Воспитание на занятиях курсов внеурочной деятельности осуществляется преимущественно через: </w:t>
      </w:r>
    </w:p>
    <w:p w14:paraId="07A8FA23">
      <w:pPr>
        <w:spacing w:after="0" w:line="360" w:lineRule="auto"/>
        <w:ind w:right="-1" w:firstLine="567"/>
        <w:jc w:val="both"/>
        <w:rPr>
          <w:rFonts w:ascii="Times New Roman" w:hAnsi="Times New Roman"/>
        </w:rPr>
      </w:pPr>
      <w:r>
        <w:rPr>
          <w:rFonts w:ascii="Times New Roman" w:hAnsi="Times New Roman"/>
        </w:rPr>
        <w:t>- вовлечение школьников в интересную и полезную для них деятельность, которая предоставит им возможность самореализоваться в ней, приобрести социально значимые знания, развить в себе важные для своего личностного развития социально значимые отношения, получить опыт участия в социально значимых делах;</w:t>
      </w:r>
    </w:p>
    <w:p w14:paraId="754D5210">
      <w:pPr>
        <w:spacing w:after="0" w:line="360" w:lineRule="auto"/>
        <w:ind w:right="-1" w:firstLine="567"/>
        <w:jc w:val="both"/>
        <w:rPr>
          <w:rStyle w:val="2531"/>
          <w:rFonts w:eastAsia="Batang"/>
          <w:sz w:val="22"/>
        </w:rPr>
      </w:pPr>
      <w:r>
        <w:rPr>
          <w:rStyle w:val="2531"/>
          <w:rFonts w:eastAsia="Batang"/>
          <w:sz w:val="22"/>
        </w:rPr>
        <w:t xml:space="preserve">- формирование в </w:t>
      </w:r>
      <w:r>
        <w:rPr>
          <w:rFonts w:ascii="Times New Roman" w:hAnsi="Times New Roman"/>
        </w:rPr>
        <w:t>кружках, секциях детско-взрослых общностей,</w:t>
      </w:r>
      <w:r>
        <w:rPr>
          <w:rStyle w:val="2530"/>
          <w:rFonts w:hAnsi="Times New Roman" w:eastAsia="Batang"/>
          <w:sz w:val="22"/>
        </w:rPr>
        <w:t xml:space="preserve"> </w:t>
      </w:r>
      <w:r>
        <w:rPr>
          <w:rStyle w:val="2531"/>
          <w:rFonts w:eastAsia="Batang"/>
          <w:sz w:val="22"/>
        </w:rPr>
        <w:t xml:space="preserve">которые </w:t>
      </w:r>
      <w:r>
        <w:rPr>
          <w:rFonts w:ascii="Times New Roman" w:hAnsi="Times New Roman"/>
        </w:rPr>
        <w:t xml:space="preserve">могли бы </w:t>
      </w:r>
      <w:r>
        <w:rPr>
          <w:rStyle w:val="2531"/>
          <w:rFonts w:eastAsia="Batang"/>
          <w:sz w:val="22"/>
        </w:rPr>
        <w:t>объединять детей и педагогов общими позитивными эмоциями и доверительными отношениями друг к другу;</w:t>
      </w:r>
    </w:p>
    <w:p w14:paraId="792999AC">
      <w:pPr>
        <w:tabs>
          <w:tab w:val="left" w:pos="851"/>
        </w:tabs>
        <w:spacing w:after="0" w:line="360" w:lineRule="auto"/>
        <w:ind w:firstLine="567"/>
        <w:jc w:val="both"/>
        <w:rPr>
          <w:rFonts w:ascii="Times New Roman" w:hAnsi="Times New Roman"/>
        </w:rPr>
      </w:pPr>
      <w:r>
        <w:rPr>
          <w:rFonts w:ascii="Times New Roman" w:hAnsi="Times New Roman"/>
        </w:rPr>
        <w:t xml:space="preserve">- </w:t>
      </w:r>
      <w:r>
        <w:rPr>
          <w:rStyle w:val="2531"/>
          <w:rFonts w:eastAsia="Batang"/>
          <w:sz w:val="22"/>
        </w:rPr>
        <w:t>создание в</w:t>
      </w:r>
      <w:r>
        <w:rPr>
          <w:rFonts w:ascii="Times New Roman" w:hAnsi="Times New Roman"/>
        </w:rPr>
        <w:t xml:space="preserve"> детских объединениях традиций, задающих их членам определенные социально значимые формы поведения;</w:t>
      </w:r>
    </w:p>
    <w:p w14:paraId="3933F87D">
      <w:pPr>
        <w:tabs>
          <w:tab w:val="left" w:pos="851"/>
        </w:tabs>
        <w:spacing w:after="0" w:line="360" w:lineRule="auto"/>
        <w:ind w:firstLine="567"/>
        <w:jc w:val="both"/>
        <w:rPr>
          <w:rFonts w:ascii="Times New Roman" w:hAnsi="Times New Roman"/>
        </w:rPr>
      </w:pPr>
      <w:r>
        <w:rPr>
          <w:rFonts w:ascii="Times New Roman" w:hAnsi="Times New Roman"/>
        </w:rPr>
        <w:t xml:space="preserve">- поддержку в детских объединениях школьников с ярко выраженной лидерской позицией и установкой на сохранение и поддержание накопленных социально значимых традиций; </w:t>
      </w:r>
    </w:p>
    <w:p w14:paraId="16C901B2">
      <w:pPr>
        <w:tabs>
          <w:tab w:val="left" w:pos="851"/>
        </w:tabs>
        <w:spacing w:after="0" w:line="360" w:lineRule="auto"/>
        <w:ind w:firstLine="567"/>
        <w:jc w:val="both"/>
        <w:rPr>
          <w:rFonts w:ascii="Times New Roman" w:hAnsi="Times New Roman"/>
        </w:rPr>
      </w:pPr>
      <w:r>
        <w:rPr>
          <w:rFonts w:ascii="Times New Roman" w:hAnsi="Times New Roman"/>
        </w:rPr>
        <w:t xml:space="preserve">- поощрение педагогами детских инициатив и детского самоуправления. </w:t>
      </w:r>
    </w:p>
    <w:p w14:paraId="73F8E8D6">
      <w:pPr>
        <w:tabs>
          <w:tab w:val="left" w:pos="851"/>
        </w:tabs>
        <w:spacing w:after="0" w:line="360" w:lineRule="auto"/>
        <w:ind w:firstLine="709"/>
        <w:rPr>
          <w:rFonts w:ascii="Times New Roman" w:hAnsi="Times New Roman"/>
        </w:rPr>
      </w:pPr>
      <w:r>
        <w:rPr>
          <w:rFonts w:ascii="Times New Roman" w:hAnsi="Times New Roman"/>
        </w:rPr>
        <w:t xml:space="preserve">Реализация воспитательного потенциала внеурочной деятельности в </w:t>
      </w:r>
      <w:r>
        <w:rPr>
          <w:rFonts w:ascii="Times New Roman" w:hAnsi="Times New Roman"/>
          <w:lang w:val="ru-RU"/>
        </w:rPr>
        <w:t>Николаевская</w:t>
      </w:r>
      <w:r>
        <w:rPr>
          <w:rFonts w:ascii="Times New Roman" w:hAnsi="Times New Roman"/>
        </w:rPr>
        <w:t xml:space="preserve"> ООШ в целях обеспечения индивидуальных потребностей обучающихся осуществляется в рамках выбранных ими курсов, занятий:</w:t>
      </w:r>
    </w:p>
    <w:p w14:paraId="3B6E89B4">
      <w:pPr>
        <w:pStyle w:val="67"/>
        <w:widowControl/>
        <w:spacing w:after="0" w:line="360" w:lineRule="auto"/>
        <w:ind w:left="1069"/>
        <w:jc w:val="both"/>
        <w:rPr>
          <w:rFonts w:ascii="Times New Roman" w:hAnsi="Times New Roman"/>
        </w:rPr>
      </w:pPr>
      <w:r>
        <w:rPr>
          <w:rFonts w:ascii="Times New Roman" w:hAnsi="Times New Roman"/>
          <w:i/>
        </w:rPr>
        <w:t>Курсы, занятия познавательной, научной, исследовательской, просветительской направленности</w:t>
      </w:r>
    </w:p>
    <w:p w14:paraId="786E93BF">
      <w:pPr>
        <w:pStyle w:val="67"/>
        <w:widowControl/>
        <w:spacing w:after="0" w:line="360" w:lineRule="auto"/>
        <w:ind w:left="1069"/>
        <w:rPr>
          <w:rStyle w:val="2529"/>
          <w:rFonts w:hAnsi="Times New Roman" w:eastAsia="Calibri"/>
          <w:i w:val="0"/>
          <w:sz w:val="22"/>
        </w:rPr>
      </w:pPr>
    </w:p>
    <w:p w14:paraId="64129782">
      <w:pPr>
        <w:widowControl/>
        <w:spacing w:after="0" w:line="353" w:lineRule="auto"/>
        <w:ind w:firstLine="709"/>
        <w:jc w:val="center"/>
        <w:rPr>
          <w:rFonts w:ascii="Times New Roman" w:hAnsi="Times New Roman" w:eastAsia="SchoolBookSanPin"/>
          <w:i/>
        </w:rPr>
      </w:pPr>
      <w:r>
        <w:rPr>
          <w:rFonts w:ascii="Times New Roman" w:hAnsi="Times New Roman" w:eastAsia="SchoolBookSanPin"/>
          <w:i/>
        </w:rPr>
        <w:t>Модуль «</w:t>
      </w:r>
      <w:r>
        <w:rPr>
          <w:rFonts w:ascii="Times New Roman" w:hAnsi="Times New Roman" w:eastAsia="SchoolBookSanPin"/>
          <w:bCs/>
          <w:i/>
        </w:rPr>
        <w:t>Внеурочная деятельность»</w:t>
      </w:r>
    </w:p>
    <w:p w14:paraId="6EA96DED">
      <w:pPr>
        <w:widowControl/>
        <w:spacing w:after="0" w:line="353" w:lineRule="auto"/>
        <w:ind w:firstLine="709"/>
        <w:jc w:val="both"/>
        <w:rPr>
          <w:rFonts w:ascii="Times New Roman" w:hAnsi="Times New Roman" w:eastAsia="SchoolBookSanPin"/>
        </w:rPr>
      </w:pPr>
      <w:r>
        <w:rPr>
          <w:rFonts w:ascii="Times New Roman" w:hAnsi="Times New Roman" w:eastAsia="SchoolBookSanPin"/>
        </w:rPr>
        <w:t>Реализация воспитательного потенциала внеурочной деятельности в целях обеспечения индивидуальных потребностей обучающихся осуществляется в рамках выбранных ими курсов, занятий :</w:t>
      </w:r>
    </w:p>
    <w:p w14:paraId="581DA67F">
      <w:pPr>
        <w:widowControl/>
        <w:spacing w:after="0" w:line="353" w:lineRule="auto"/>
        <w:ind w:firstLine="709"/>
        <w:jc w:val="both"/>
        <w:rPr>
          <w:rFonts w:ascii="Times New Roman" w:hAnsi="Times New Roman" w:eastAsia="SchoolBookSanPin"/>
        </w:rPr>
      </w:pPr>
      <w:r>
        <w:rPr>
          <w:rFonts w:ascii="Times New Roman" w:hAnsi="Times New Roman" w:eastAsia="SchoolBookSanPin"/>
        </w:rPr>
        <w:t>курсы, занятия патриотической, гражданско-патриотической, военно-патриотической, краеведческой, историко-культурной направленности;</w:t>
      </w:r>
    </w:p>
    <w:p w14:paraId="592A01F8">
      <w:pPr>
        <w:widowControl/>
        <w:spacing w:after="0" w:line="353" w:lineRule="auto"/>
        <w:ind w:firstLine="709"/>
        <w:jc w:val="both"/>
        <w:rPr>
          <w:rFonts w:ascii="Times New Roman" w:hAnsi="Times New Roman" w:eastAsia="SchoolBookSanPin"/>
        </w:rPr>
      </w:pPr>
      <w:r>
        <w:rPr>
          <w:rFonts w:ascii="Times New Roman" w:hAnsi="Times New Roman" w:eastAsia="SchoolBookSanPin"/>
        </w:rPr>
        <w:t>курсы, занятия духовно-нравственной направленности по религиозным культурам народов России, основам духовно-нравственной культуры народов России, духовно-историческому краеведению;</w:t>
      </w:r>
    </w:p>
    <w:p w14:paraId="1D300BCF">
      <w:pPr>
        <w:widowControl/>
        <w:spacing w:after="0" w:line="353" w:lineRule="auto"/>
        <w:ind w:firstLine="709"/>
        <w:jc w:val="both"/>
        <w:rPr>
          <w:rFonts w:ascii="Times New Roman" w:hAnsi="Times New Roman" w:eastAsia="SchoolBookSanPin"/>
        </w:rPr>
      </w:pPr>
      <w:r>
        <w:rPr>
          <w:rFonts w:ascii="Times New Roman" w:hAnsi="Times New Roman" w:eastAsia="SchoolBookSanPin"/>
        </w:rPr>
        <w:t>курсы, занятия познавательной, научной, исследовательской, просветительской направленности;</w:t>
      </w:r>
    </w:p>
    <w:p w14:paraId="2B314900">
      <w:pPr>
        <w:widowControl/>
        <w:spacing w:after="0" w:line="353" w:lineRule="auto"/>
        <w:ind w:firstLine="709"/>
        <w:jc w:val="both"/>
        <w:rPr>
          <w:rFonts w:ascii="Times New Roman" w:hAnsi="Times New Roman" w:eastAsia="SchoolBookSanPin"/>
        </w:rPr>
      </w:pPr>
      <w:r>
        <w:rPr>
          <w:rFonts w:ascii="Times New Roman" w:hAnsi="Times New Roman" w:eastAsia="SchoolBookSanPin"/>
        </w:rPr>
        <w:t>курсы, занятия экологической, природоохранной направленности;</w:t>
      </w:r>
    </w:p>
    <w:p w14:paraId="07F59ABA">
      <w:pPr>
        <w:widowControl/>
        <w:spacing w:after="0" w:line="353" w:lineRule="auto"/>
        <w:ind w:firstLine="709"/>
        <w:jc w:val="both"/>
        <w:rPr>
          <w:rFonts w:ascii="Times New Roman" w:hAnsi="Times New Roman" w:eastAsia="SchoolBookSanPin"/>
        </w:rPr>
      </w:pPr>
      <w:r>
        <w:rPr>
          <w:rFonts w:ascii="Times New Roman" w:hAnsi="Times New Roman" w:eastAsia="SchoolBookSanPin"/>
        </w:rPr>
        <w:t>курсы, занятия в области искусств, художественного творчества разных видов и жанров;</w:t>
      </w:r>
    </w:p>
    <w:p w14:paraId="19E33424">
      <w:pPr>
        <w:widowControl/>
        <w:spacing w:after="0" w:line="353" w:lineRule="auto"/>
        <w:ind w:firstLine="709"/>
        <w:jc w:val="both"/>
        <w:rPr>
          <w:rFonts w:ascii="Times New Roman" w:hAnsi="Times New Roman" w:eastAsia="SchoolBookSanPin"/>
        </w:rPr>
      </w:pPr>
      <w:r>
        <w:rPr>
          <w:rFonts w:ascii="Times New Roman" w:hAnsi="Times New Roman" w:eastAsia="SchoolBookSanPin"/>
        </w:rPr>
        <w:t>курсы, занятия туристско-краеведческой направленности;</w:t>
      </w:r>
    </w:p>
    <w:p w14:paraId="42A9CCD4">
      <w:pPr>
        <w:widowControl/>
        <w:spacing w:after="0" w:line="353" w:lineRule="auto"/>
        <w:ind w:firstLine="709"/>
        <w:jc w:val="both"/>
        <w:rPr>
          <w:rFonts w:ascii="Times New Roman" w:hAnsi="Times New Roman" w:eastAsia="SchoolBookSanPin"/>
        </w:rPr>
      </w:pPr>
      <w:r>
        <w:rPr>
          <w:rFonts w:ascii="Times New Roman" w:hAnsi="Times New Roman" w:eastAsia="SchoolBookSanPin"/>
        </w:rPr>
        <w:t>курсы, занятия оздоровительной и спортивной направленности.</w:t>
      </w:r>
    </w:p>
    <w:p w14:paraId="5977AC98">
      <w:pPr>
        <w:widowControl/>
        <w:spacing w:after="0" w:line="353" w:lineRule="auto"/>
        <w:ind w:firstLine="709"/>
        <w:jc w:val="center"/>
        <w:rPr>
          <w:rFonts w:ascii="Times New Roman" w:hAnsi="Times New Roman" w:eastAsia="SchoolBookSanPin"/>
          <w:i/>
        </w:rPr>
      </w:pPr>
      <w:r>
        <w:rPr>
          <w:rFonts w:ascii="Times New Roman" w:hAnsi="Times New Roman" w:eastAsia="SchoolBookSanPin"/>
          <w:i/>
        </w:rPr>
        <w:t>Модуль «</w:t>
      </w:r>
      <w:r>
        <w:rPr>
          <w:rFonts w:ascii="Times New Roman" w:hAnsi="Times New Roman" w:eastAsia="SchoolBookSanPin"/>
          <w:bCs/>
          <w:i/>
        </w:rPr>
        <w:t>Классное руководство»</w:t>
      </w:r>
    </w:p>
    <w:p w14:paraId="284D04E5">
      <w:pPr>
        <w:widowControl/>
        <w:spacing w:after="0" w:line="353" w:lineRule="auto"/>
        <w:ind w:firstLine="709"/>
        <w:jc w:val="both"/>
        <w:rPr>
          <w:rFonts w:ascii="Times New Roman" w:hAnsi="Times New Roman" w:eastAsia="SchoolBookSanPin"/>
          <w:i/>
        </w:rPr>
      </w:pPr>
      <w:r>
        <w:rPr>
          <w:rFonts w:ascii="Times New Roman" w:hAnsi="Times New Roman" w:eastAsia="SchoolBookSanPin"/>
        </w:rPr>
        <w:t>Осуществляя работу с классом, педагог (классный руководитель) организует работу с коллективом класса; индивидуальную работу с учащимися вверенного ему класса; работу с учителями, преподающими в данном классе; работу с родителями учащихся или их законными представителями.</w:t>
      </w:r>
    </w:p>
    <w:p w14:paraId="5C1ADE75">
      <w:pPr>
        <w:widowControl/>
        <w:spacing w:after="0" w:line="353" w:lineRule="auto"/>
        <w:ind w:firstLine="709"/>
        <w:jc w:val="both"/>
        <w:rPr>
          <w:rFonts w:ascii="Times New Roman" w:hAnsi="Times New Roman" w:eastAsia="SchoolBookSanPin"/>
          <w:b/>
          <w:bCs/>
          <w:i/>
          <w:iCs/>
        </w:rPr>
      </w:pPr>
      <w:r>
        <w:rPr>
          <w:rFonts w:ascii="Times New Roman" w:hAnsi="Times New Roman" w:eastAsia="SchoolBookSanPin"/>
          <w:b/>
          <w:bCs/>
          <w:i/>
          <w:iCs/>
        </w:rPr>
        <w:t>Работа с классным коллективом:</w:t>
      </w:r>
    </w:p>
    <w:p w14:paraId="5E530E6E">
      <w:pPr>
        <w:widowControl/>
        <w:numPr>
          <w:ilvl w:val="0"/>
          <w:numId w:val="5"/>
        </w:numPr>
        <w:spacing w:after="0" w:line="353" w:lineRule="auto"/>
        <w:jc w:val="both"/>
        <w:rPr>
          <w:rFonts w:ascii="Times New Roman" w:hAnsi="Times New Roman" w:eastAsia="SchoolBookSanPin"/>
        </w:rPr>
      </w:pPr>
      <w:r>
        <w:rPr>
          <w:rFonts w:ascii="Times New Roman" w:hAnsi="Times New Roman" w:eastAsia="SchoolBookSanPin"/>
        </w:rPr>
        <w:t>планирование и проведение классных часов целевой воспитательной тематической направленности;</w:t>
      </w:r>
    </w:p>
    <w:p w14:paraId="07E8D9F2">
      <w:pPr>
        <w:widowControl/>
        <w:numPr>
          <w:ilvl w:val="0"/>
          <w:numId w:val="5"/>
        </w:numPr>
        <w:spacing w:after="0" w:line="353" w:lineRule="auto"/>
        <w:jc w:val="both"/>
        <w:rPr>
          <w:rFonts w:ascii="Times New Roman" w:hAnsi="Times New Roman" w:eastAsia="SchoolBookSanPin"/>
        </w:rPr>
      </w:pPr>
      <w:r>
        <w:rPr>
          <w:rFonts w:ascii="Times New Roman" w:hAnsi="Times New Roman" w:eastAsia="SchoolBookSanPin"/>
        </w:rPr>
        <w:t>инициирование и поддержка участия класса в общешкольных делах, мероприятиях, оказание необходимой помощи детям в их подготовке, проведении и анализе;</w:t>
      </w:r>
    </w:p>
    <w:p w14:paraId="23758508">
      <w:pPr>
        <w:widowControl/>
        <w:numPr>
          <w:ilvl w:val="0"/>
          <w:numId w:val="5"/>
        </w:numPr>
        <w:spacing w:after="0" w:line="353" w:lineRule="auto"/>
        <w:jc w:val="both"/>
        <w:rPr>
          <w:rFonts w:ascii="Times New Roman" w:hAnsi="Times New Roman" w:eastAsia="SchoolBookSanPin"/>
        </w:rPr>
      </w:pPr>
      <w:r>
        <w:rPr>
          <w:rFonts w:ascii="Times New Roman" w:hAnsi="Times New Roman" w:eastAsia="SchoolBookSanPin"/>
        </w:rPr>
        <w:t xml:space="preserve">организация интересных и полезных для личностного развития обучающихся совместных дел, позволяющих вовлекать в них детей с разными потребностями, способностями,  давать  возможность для самореализации, устанавливать и укреплять доверительные отношения, стать для них значимым взрослым, задающим образцы поведения в обществе. </w:t>
      </w:r>
    </w:p>
    <w:p w14:paraId="0C7EE13A">
      <w:pPr>
        <w:widowControl/>
        <w:numPr>
          <w:ilvl w:val="0"/>
          <w:numId w:val="5"/>
        </w:numPr>
        <w:spacing w:after="0" w:line="353" w:lineRule="auto"/>
        <w:jc w:val="both"/>
        <w:rPr>
          <w:rFonts w:ascii="Times New Roman" w:hAnsi="Times New Roman" w:eastAsia="SchoolBookSanPin"/>
          <w:u w:val="single"/>
        </w:rPr>
      </w:pPr>
      <w:r>
        <w:rPr>
          <w:rFonts w:ascii="Times New Roman" w:hAnsi="Times New Roman" w:eastAsia="SchoolBookSanPin"/>
        </w:rPr>
        <w:t>сплочение коллектива класса через и</w:t>
      </w:r>
      <w:r>
        <w:rPr>
          <w:rFonts w:ascii="Times New Roman" w:hAnsi="Times New Roman" w:eastAsia="SchoolBookSanPin"/>
          <w:i/>
          <w:u w:val="single"/>
        </w:rPr>
        <w:t xml:space="preserve">гры и тренинги на  командообразование; </w:t>
      </w:r>
      <w:r>
        <w:rPr>
          <w:rFonts w:ascii="Times New Roman" w:hAnsi="Times New Roman" w:eastAsia="SchoolBookSanPin"/>
        </w:rPr>
        <w:t>внеучебные и внешкольные мероприятия, походы, экскурсии, празднования дней рождения обучающихся, классные вечера;</w:t>
      </w:r>
    </w:p>
    <w:p w14:paraId="6E528F41">
      <w:pPr>
        <w:widowControl/>
        <w:numPr>
          <w:ilvl w:val="0"/>
          <w:numId w:val="6"/>
        </w:numPr>
        <w:spacing w:after="0" w:line="353" w:lineRule="auto"/>
        <w:jc w:val="both"/>
        <w:rPr>
          <w:rFonts w:ascii="Times New Roman" w:hAnsi="Times New Roman" w:eastAsia="SchoolBookSanPin"/>
        </w:rPr>
      </w:pPr>
      <w:r>
        <w:rPr>
          <w:rFonts w:ascii="Times New Roman" w:hAnsi="Times New Roman" w:eastAsia="SchoolBookSanPin"/>
        </w:rPr>
        <w:t xml:space="preserve">выработка совместно с обучающимися правил поведения класса, участие в выработке таких правил поведения в школе. </w:t>
      </w:r>
    </w:p>
    <w:p w14:paraId="21A18BFC">
      <w:pPr>
        <w:widowControl/>
        <w:spacing w:after="0" w:line="353" w:lineRule="auto"/>
        <w:ind w:firstLine="709"/>
        <w:jc w:val="both"/>
        <w:rPr>
          <w:rFonts w:ascii="Times New Roman" w:hAnsi="Times New Roman" w:eastAsia="SchoolBookSanPin"/>
          <w:b/>
          <w:bCs/>
          <w:i/>
          <w:iCs/>
        </w:rPr>
      </w:pPr>
      <w:r>
        <w:rPr>
          <w:rFonts w:ascii="Times New Roman" w:hAnsi="Times New Roman" w:eastAsia="SchoolBookSanPin"/>
          <w:b/>
          <w:bCs/>
          <w:i/>
          <w:iCs/>
          <w:lang w:val="zh-CN"/>
        </w:rPr>
        <w:t>Индивидуаль</w:t>
      </w:r>
      <w:r>
        <w:rPr>
          <w:rFonts w:ascii="Times New Roman" w:hAnsi="Times New Roman" w:eastAsia="SchoolBookSanPin"/>
          <w:b/>
          <w:bCs/>
          <w:i/>
          <w:iCs/>
        </w:rPr>
        <w:t>ная</w:t>
      </w:r>
      <w:r>
        <w:rPr>
          <w:rFonts w:ascii="Times New Roman" w:hAnsi="Times New Roman" w:eastAsia="SchoolBookSanPin"/>
          <w:b/>
          <w:bCs/>
          <w:i/>
          <w:iCs/>
          <w:lang w:val="zh-CN"/>
        </w:rPr>
        <w:t xml:space="preserve"> работ</w:t>
      </w:r>
      <w:r>
        <w:rPr>
          <w:rFonts w:ascii="Times New Roman" w:hAnsi="Times New Roman" w:eastAsia="SchoolBookSanPin"/>
          <w:b/>
          <w:bCs/>
          <w:i/>
          <w:iCs/>
        </w:rPr>
        <w:t>а</w:t>
      </w:r>
      <w:r>
        <w:rPr>
          <w:rFonts w:ascii="Times New Roman" w:hAnsi="Times New Roman" w:eastAsia="SchoolBookSanPin"/>
          <w:b/>
          <w:bCs/>
          <w:i/>
          <w:iCs/>
          <w:lang w:val="zh-CN"/>
        </w:rPr>
        <w:t xml:space="preserve"> с учащимися</w:t>
      </w:r>
      <w:r>
        <w:rPr>
          <w:rFonts w:ascii="Times New Roman" w:hAnsi="Times New Roman" w:eastAsia="SchoolBookSanPin"/>
          <w:b/>
          <w:bCs/>
          <w:i/>
          <w:iCs/>
        </w:rPr>
        <w:t>:</w:t>
      </w:r>
    </w:p>
    <w:p w14:paraId="01E5998A">
      <w:pPr>
        <w:widowControl/>
        <w:numPr>
          <w:ilvl w:val="0"/>
          <w:numId w:val="6"/>
        </w:numPr>
        <w:spacing w:after="0" w:line="353" w:lineRule="auto"/>
        <w:jc w:val="both"/>
        <w:rPr>
          <w:rFonts w:ascii="Times New Roman" w:hAnsi="Times New Roman" w:eastAsia="SchoolBookSanPin"/>
        </w:rPr>
      </w:pPr>
      <w:r>
        <w:rPr>
          <w:rFonts w:ascii="Times New Roman" w:hAnsi="Times New Roman" w:eastAsia="SchoolBookSanPin"/>
        </w:rPr>
        <w:t xml:space="preserve">изучение особенностей личностного развития обучающихся путем  наблюдения за их поведением в повседневной жизни, в специально создаваемых педагогических ситуациях, в играх, беседах по нравственным проблемам; результаты наблюдения сверяются с результатами бесед с родителями (законными представителями), с учителями, а также (при необходимости) педагогом- психологом. </w:t>
      </w:r>
    </w:p>
    <w:p w14:paraId="39A199BC">
      <w:pPr>
        <w:widowControl/>
        <w:numPr>
          <w:ilvl w:val="0"/>
          <w:numId w:val="6"/>
        </w:numPr>
        <w:spacing w:after="0" w:line="353" w:lineRule="auto"/>
        <w:jc w:val="both"/>
        <w:rPr>
          <w:rFonts w:ascii="Times New Roman" w:hAnsi="Times New Roman" w:eastAsia="SchoolBookSanPin"/>
        </w:rPr>
      </w:pPr>
      <w:r>
        <w:rPr>
          <w:rFonts w:ascii="Times New Roman" w:hAnsi="Times New Roman" w:eastAsia="SchoolBookSanPin"/>
        </w:rPr>
        <w:t>доверительное общение и поддержку обучающихся в решении проблем (налаживание взаимоотношений с одноклассниками или педагогами, успеваемость и другое), совместный поиск решений проблем, коррекцию поведения обучающихся через частные беседы индивидуально и вместе с их родителями (законными представителями), с другими обучающимися класса;</w:t>
      </w:r>
    </w:p>
    <w:p w14:paraId="7279416B">
      <w:pPr>
        <w:widowControl/>
        <w:numPr>
          <w:ilvl w:val="0"/>
          <w:numId w:val="5"/>
        </w:numPr>
        <w:spacing w:after="0" w:line="353" w:lineRule="auto"/>
        <w:jc w:val="both"/>
        <w:rPr>
          <w:rFonts w:ascii="Times New Roman" w:hAnsi="Times New Roman" w:eastAsia="SchoolBookSanPin"/>
          <w:u w:val="single"/>
        </w:rPr>
      </w:pPr>
      <w:r>
        <w:rPr>
          <w:rFonts w:ascii="Times New Roman" w:hAnsi="Times New Roman" w:eastAsia="SchoolBookSanPin"/>
          <w:i/>
          <w:u w:val="single"/>
        </w:rPr>
        <w:t xml:space="preserve">индивидуальная работа с обучающимися класса по ведению личных портфолио, в которых они фиксируют свои учебные, творческие, спортивные, личностные достижения. </w:t>
      </w:r>
    </w:p>
    <w:p w14:paraId="11283777">
      <w:pPr>
        <w:widowControl/>
        <w:numPr>
          <w:ilvl w:val="0"/>
          <w:numId w:val="5"/>
        </w:numPr>
        <w:spacing w:after="0" w:line="353" w:lineRule="auto"/>
        <w:jc w:val="both"/>
        <w:rPr>
          <w:rFonts w:ascii="Times New Roman" w:hAnsi="Times New Roman" w:eastAsia="SchoolBookSanPin"/>
          <w:u w:val="single"/>
        </w:rPr>
      </w:pPr>
      <w:r>
        <w:rPr>
          <w:rFonts w:ascii="Times New Roman" w:hAnsi="Times New Roman" w:eastAsia="SchoolBookSanPin"/>
        </w:rPr>
        <w:t>коррекция поведения ребенка через частные беседы с ним, его родителями или законными представителями, с другими учащимися класса; через включение в проводимые школьным психологом тренинги общения; через предложение взять на себя ответственность за то или иное поручение в классе.</w:t>
      </w:r>
    </w:p>
    <w:p w14:paraId="18A1E550">
      <w:pPr>
        <w:widowControl/>
        <w:spacing w:after="0" w:line="353" w:lineRule="auto"/>
        <w:ind w:firstLine="709"/>
        <w:jc w:val="both"/>
        <w:rPr>
          <w:rFonts w:ascii="Times New Roman" w:hAnsi="Times New Roman" w:eastAsia="SchoolBookSanPin"/>
          <w:b/>
          <w:bCs/>
          <w:iCs/>
          <w:u w:val="single"/>
        </w:rPr>
      </w:pPr>
      <w:r>
        <w:rPr>
          <w:rFonts w:ascii="Times New Roman" w:hAnsi="Times New Roman" w:eastAsia="SchoolBookSanPin"/>
          <w:b/>
          <w:bCs/>
          <w:i/>
          <w:iCs/>
        </w:rPr>
        <w:t>Работа с учителями, преподающими в классе:</w:t>
      </w:r>
    </w:p>
    <w:p w14:paraId="2EF63438">
      <w:pPr>
        <w:widowControl/>
        <w:numPr>
          <w:ilvl w:val="0"/>
          <w:numId w:val="5"/>
        </w:numPr>
        <w:spacing w:after="0" w:line="353" w:lineRule="auto"/>
        <w:jc w:val="both"/>
        <w:rPr>
          <w:rFonts w:ascii="Times New Roman" w:hAnsi="Times New Roman" w:eastAsia="SchoolBookSanPin"/>
        </w:rPr>
      </w:pPr>
      <w:r>
        <w:rPr>
          <w:rFonts w:ascii="Times New Roman" w:hAnsi="Times New Roman" w:eastAsia="SchoolBookSanPin"/>
        </w:rPr>
        <w:t>регулярные консультации классного руководителя с учителями-предметниками, направленные на формирование единства мнений и требований по вопросам воспитания, на предупреждение и (или) разрешение конфликтов между учителями и учащимися;</w:t>
      </w:r>
    </w:p>
    <w:p w14:paraId="353017BD">
      <w:pPr>
        <w:widowControl/>
        <w:numPr>
          <w:ilvl w:val="0"/>
          <w:numId w:val="5"/>
        </w:numPr>
        <w:spacing w:after="0" w:line="353" w:lineRule="auto"/>
        <w:jc w:val="both"/>
        <w:rPr>
          <w:rFonts w:ascii="Times New Roman" w:hAnsi="Times New Roman" w:eastAsia="SchoolBookSanPin"/>
        </w:rPr>
      </w:pPr>
      <w:r>
        <w:rPr>
          <w:rFonts w:ascii="Times New Roman" w:hAnsi="Times New Roman" w:eastAsia="SchoolBookSanPin"/>
        </w:rPr>
        <w:t>проведение   педагогических советов для  решение конкретных проблем класса и интеграции воспитательных влияний педагогов на обучающихся, привлечение учителей-предметников к участию в классных делах, дающих им возможность лучше узнавать и понимать обучающихся, общаясь и наблюдая их во внеучебной обстановке, участвовать в родительских собраниях класса;</w:t>
      </w:r>
    </w:p>
    <w:p w14:paraId="791FD20D">
      <w:pPr>
        <w:widowControl/>
        <w:numPr>
          <w:ilvl w:val="0"/>
          <w:numId w:val="5"/>
        </w:numPr>
        <w:spacing w:after="0" w:line="353" w:lineRule="auto"/>
        <w:jc w:val="both"/>
        <w:rPr>
          <w:rFonts w:ascii="Times New Roman" w:hAnsi="Times New Roman" w:eastAsia="SchoolBookSanPin"/>
        </w:rPr>
      </w:pPr>
      <w:r>
        <w:rPr>
          <w:rFonts w:ascii="Times New Roman" w:hAnsi="Times New Roman" w:eastAsia="SchoolBookSanPin"/>
        </w:rPr>
        <w:t>привлечение учителей к участию в родительских собраниях класса для объединения усилий в деле обучения и воспитания детей.</w:t>
      </w:r>
    </w:p>
    <w:p w14:paraId="4FF59DBF">
      <w:pPr>
        <w:widowControl/>
        <w:spacing w:after="0" w:line="353" w:lineRule="auto"/>
        <w:ind w:firstLine="709"/>
        <w:jc w:val="both"/>
        <w:rPr>
          <w:rFonts w:ascii="Times New Roman" w:hAnsi="Times New Roman" w:eastAsia="SchoolBookSanPin"/>
          <w:b/>
          <w:bCs/>
          <w:i/>
          <w:iCs/>
        </w:rPr>
      </w:pPr>
      <w:r>
        <w:rPr>
          <w:rFonts w:ascii="Times New Roman" w:hAnsi="Times New Roman" w:eastAsia="SchoolBookSanPin"/>
          <w:b/>
          <w:bCs/>
          <w:i/>
          <w:iCs/>
        </w:rPr>
        <w:t>Работа с родителями учащихся или их законными представителями:</w:t>
      </w:r>
    </w:p>
    <w:p w14:paraId="6C1862B7">
      <w:pPr>
        <w:widowControl/>
        <w:numPr>
          <w:ilvl w:val="0"/>
          <w:numId w:val="5"/>
        </w:numPr>
        <w:spacing w:after="0" w:line="353" w:lineRule="auto"/>
        <w:jc w:val="both"/>
        <w:rPr>
          <w:rFonts w:ascii="Times New Roman" w:hAnsi="Times New Roman" w:eastAsia="SchoolBookSanPin"/>
        </w:rPr>
      </w:pPr>
      <w:r>
        <w:rPr>
          <w:rFonts w:ascii="Times New Roman" w:hAnsi="Times New Roman" w:eastAsia="SchoolBookSanPin"/>
        </w:rPr>
        <w:t>организация и проведение регулярных родительских собраний, информирование родителей об успехах и проблемах обучающихся, их положении в классе, жизни класса в целом, помощь родителям (законными представителями) и иным членам семьи в отношениях с учителями, администрацией;</w:t>
      </w:r>
    </w:p>
    <w:p w14:paraId="7280B67B">
      <w:pPr>
        <w:widowControl/>
        <w:numPr>
          <w:ilvl w:val="0"/>
          <w:numId w:val="5"/>
        </w:numPr>
        <w:spacing w:after="0" w:line="353" w:lineRule="auto"/>
        <w:jc w:val="both"/>
        <w:rPr>
          <w:rFonts w:ascii="Times New Roman" w:hAnsi="Times New Roman" w:eastAsia="SchoolBookSanPin"/>
        </w:rPr>
      </w:pPr>
      <w:r>
        <w:rPr>
          <w:rFonts w:ascii="Times New Roman" w:hAnsi="Times New Roman" w:eastAsia="SchoolBookSanPin"/>
        </w:rPr>
        <w:t>создание и организация работы родительского комитета класса, участвующего в решении вопросов воспитания и обучения в классе, в гимназии;</w:t>
      </w:r>
    </w:p>
    <w:p w14:paraId="72DD166B">
      <w:pPr>
        <w:widowControl/>
        <w:numPr>
          <w:ilvl w:val="0"/>
          <w:numId w:val="5"/>
        </w:numPr>
        <w:spacing w:after="0" w:line="353" w:lineRule="auto"/>
        <w:jc w:val="both"/>
        <w:rPr>
          <w:rFonts w:ascii="Times New Roman" w:hAnsi="Times New Roman" w:eastAsia="SchoolBookSanPin"/>
        </w:rPr>
      </w:pPr>
      <w:r>
        <w:rPr>
          <w:rFonts w:ascii="Times New Roman" w:hAnsi="Times New Roman" w:eastAsia="SchoolBookSanPin"/>
        </w:rPr>
        <w:t>привлечение родителей (законных представителей),  членов семей обучающихся к организации и проведению воспитательных дел, мероприятий в классе и в гимназии;</w:t>
      </w:r>
    </w:p>
    <w:p w14:paraId="3FD63963">
      <w:pPr>
        <w:widowControl/>
        <w:numPr>
          <w:ilvl w:val="0"/>
          <w:numId w:val="5"/>
        </w:numPr>
        <w:spacing w:after="0" w:line="353" w:lineRule="auto"/>
        <w:ind w:firstLine="709"/>
        <w:jc w:val="both"/>
        <w:rPr>
          <w:rFonts w:ascii="Times New Roman" w:hAnsi="Times New Roman" w:eastAsia="SchoolBookSanPin"/>
        </w:rPr>
      </w:pPr>
      <w:r>
        <w:rPr>
          <w:rFonts w:ascii="Times New Roman" w:hAnsi="Times New Roman" w:eastAsia="SchoolBookSanPin"/>
        </w:rPr>
        <w:t>организация и проведение в классе праздников, конкурсов, соревнований и других мероприятий.</w:t>
      </w:r>
    </w:p>
    <w:p w14:paraId="2D7E2A83">
      <w:pPr>
        <w:widowControl/>
        <w:spacing w:after="0" w:line="353" w:lineRule="auto"/>
        <w:ind w:firstLine="709"/>
        <w:jc w:val="center"/>
        <w:rPr>
          <w:rFonts w:ascii="Times New Roman" w:hAnsi="Times New Roman" w:eastAsia="SchoolBookSanPin"/>
          <w:i/>
        </w:rPr>
      </w:pPr>
      <w:r>
        <w:rPr>
          <w:rFonts w:ascii="Times New Roman" w:hAnsi="Times New Roman" w:eastAsia="SchoolBookSanPin"/>
          <w:i/>
        </w:rPr>
        <w:t>Модуль «</w:t>
      </w:r>
      <w:r>
        <w:rPr>
          <w:rFonts w:ascii="Times New Roman" w:hAnsi="Times New Roman" w:eastAsia="SchoolBookSanPin"/>
          <w:bCs/>
          <w:i/>
        </w:rPr>
        <w:t>Основные школьные дела»</w:t>
      </w:r>
    </w:p>
    <w:p w14:paraId="712CE660">
      <w:pPr>
        <w:widowControl/>
        <w:spacing w:after="0" w:line="353" w:lineRule="auto"/>
        <w:ind w:firstLine="709"/>
        <w:jc w:val="both"/>
        <w:rPr>
          <w:rFonts w:ascii="Times New Roman" w:hAnsi="Times New Roman" w:eastAsia="SchoolBookSanPin"/>
        </w:rPr>
      </w:pPr>
      <w:r>
        <w:rPr>
          <w:rFonts w:ascii="Times New Roman" w:hAnsi="Times New Roman" w:eastAsia="SchoolBookSanPin"/>
        </w:rPr>
        <w:t>Реализация воспитательного потенциала основных школьных дел предусматривает :</w:t>
      </w:r>
    </w:p>
    <w:p w14:paraId="039F60D1">
      <w:pPr>
        <w:widowControl/>
        <w:spacing w:after="0" w:line="353" w:lineRule="auto"/>
        <w:ind w:firstLine="709"/>
        <w:jc w:val="both"/>
        <w:rPr>
          <w:rFonts w:ascii="Times New Roman" w:hAnsi="Times New Roman" w:eastAsia="SchoolBookSanPin"/>
        </w:rPr>
      </w:pPr>
      <w:r>
        <w:rPr>
          <w:rFonts w:ascii="Times New Roman" w:hAnsi="Times New Roman" w:eastAsia="SchoolBookSanPin"/>
        </w:rPr>
        <w:t>общешкольные праздники, ежегодные творческие (театрализованные, музыкальные, литературные и другие) мероприятия, связанные с общероссийскими, региональными праздниками, памятными датами, в которых участвуют все классы;</w:t>
      </w:r>
    </w:p>
    <w:p w14:paraId="7FC8AB98">
      <w:pPr>
        <w:widowControl/>
        <w:spacing w:after="0" w:line="353" w:lineRule="auto"/>
        <w:ind w:firstLine="709"/>
        <w:jc w:val="both"/>
        <w:rPr>
          <w:rFonts w:ascii="Times New Roman" w:hAnsi="Times New Roman" w:eastAsia="SchoolBookSanPin"/>
        </w:rPr>
      </w:pPr>
      <w:r>
        <w:rPr>
          <w:rFonts w:ascii="Times New Roman" w:hAnsi="Times New Roman" w:eastAsia="SchoolBookSanPin"/>
        </w:rPr>
        <w:t xml:space="preserve">участие во всероссийских акциях, посвящённых значимым событиям в России, мире; </w:t>
      </w:r>
    </w:p>
    <w:p w14:paraId="258EA23F">
      <w:pPr>
        <w:widowControl/>
        <w:spacing w:after="0" w:line="353" w:lineRule="auto"/>
        <w:ind w:firstLine="709"/>
        <w:jc w:val="both"/>
        <w:rPr>
          <w:rFonts w:ascii="Times New Roman" w:hAnsi="Times New Roman" w:eastAsia="SchoolBookSanPin"/>
        </w:rPr>
      </w:pPr>
      <w:r>
        <w:rPr>
          <w:rFonts w:ascii="Times New Roman" w:hAnsi="Times New Roman" w:eastAsia="SchoolBookSanPin"/>
        </w:rPr>
        <w:t>торжественные мероприятия, связанные с завершением образования, переходом на следующий уровень образования, символизирующие приобретение новых социальных статусов в образовательной организации, обществе;</w:t>
      </w:r>
    </w:p>
    <w:p w14:paraId="2205AF6E">
      <w:pPr>
        <w:widowControl/>
        <w:spacing w:after="0" w:line="353" w:lineRule="auto"/>
        <w:ind w:firstLine="709"/>
        <w:jc w:val="both"/>
        <w:rPr>
          <w:rFonts w:ascii="Times New Roman" w:hAnsi="Times New Roman" w:eastAsia="SchoolBookSanPin"/>
        </w:rPr>
      </w:pPr>
      <w:r>
        <w:rPr>
          <w:rFonts w:ascii="Times New Roman" w:hAnsi="Times New Roman" w:eastAsia="SchoolBookSanPin"/>
        </w:rPr>
        <w:t>церемонии награждения (по итогам учебного периода, года) обучающихся и педагогов за участие в жизни образовательной организации, достижения в конкурсах, соревнованиях, олимпиадах, вклад в развитие образовательной организации, своей местности;</w:t>
      </w:r>
    </w:p>
    <w:p w14:paraId="6597B402">
      <w:pPr>
        <w:widowControl/>
        <w:spacing w:after="0" w:line="353" w:lineRule="auto"/>
        <w:ind w:firstLine="709"/>
        <w:jc w:val="both"/>
        <w:rPr>
          <w:rFonts w:ascii="Times New Roman" w:hAnsi="Times New Roman" w:eastAsia="SchoolBookSanPin"/>
        </w:rPr>
      </w:pPr>
      <w:r>
        <w:rPr>
          <w:rFonts w:ascii="Times New Roman" w:hAnsi="Times New Roman" w:eastAsia="SchoolBookSanPin"/>
        </w:rPr>
        <w:t>социальные проекты в образовательной организации, совместно разрабатываемые и реализуемые обучающимися и педагогическими работниками, в том числе с участием социальных партнёров, комплексы дел благотворительной, экологической, патриотической, трудовой и другой направленности;</w:t>
      </w:r>
    </w:p>
    <w:p w14:paraId="7357C53B">
      <w:pPr>
        <w:widowControl/>
        <w:spacing w:after="0" w:line="353" w:lineRule="auto"/>
        <w:ind w:firstLine="709"/>
        <w:jc w:val="both"/>
        <w:rPr>
          <w:rFonts w:ascii="Times New Roman" w:hAnsi="Times New Roman" w:eastAsia="SchoolBookSanPin"/>
        </w:rPr>
      </w:pPr>
      <w:r>
        <w:rPr>
          <w:rFonts w:ascii="Times New Roman" w:hAnsi="Times New Roman" w:eastAsia="SchoolBookSanPin"/>
        </w:rPr>
        <w:t>праздники, фестивали, представления в связи с памятными датами, значимыми событиями, проводимые для жителей населенного пункта и совместно с семьями обучающихся;</w:t>
      </w:r>
    </w:p>
    <w:p w14:paraId="1F8644B3">
      <w:pPr>
        <w:widowControl/>
        <w:spacing w:after="0" w:line="353" w:lineRule="auto"/>
        <w:ind w:firstLine="709"/>
        <w:jc w:val="both"/>
        <w:rPr>
          <w:rFonts w:ascii="Times New Roman" w:hAnsi="Times New Roman" w:eastAsia="SchoolBookSanPin"/>
        </w:rPr>
      </w:pPr>
      <w:r>
        <w:rPr>
          <w:rFonts w:ascii="Times New Roman" w:hAnsi="Times New Roman" w:eastAsia="SchoolBookSanPin"/>
        </w:rPr>
        <w:t>разновозрастные сборы, многодневные выездные события, включающие в себя комплекс коллективных творческих дел гражданской, патриотической, историко-краеведческой, экологической, трудовой, спортивно-оздоровительной и другой направленности;</w:t>
      </w:r>
    </w:p>
    <w:p w14:paraId="14550E8E">
      <w:pPr>
        <w:widowControl/>
        <w:spacing w:after="0" w:line="353" w:lineRule="auto"/>
        <w:ind w:firstLine="709"/>
        <w:jc w:val="both"/>
        <w:rPr>
          <w:rFonts w:ascii="Times New Roman" w:hAnsi="Times New Roman" w:eastAsia="SchoolBookSanPin"/>
        </w:rPr>
      </w:pPr>
      <w:r>
        <w:rPr>
          <w:rFonts w:ascii="Times New Roman" w:hAnsi="Times New Roman" w:eastAsia="SchoolBookSanPin"/>
        </w:rPr>
        <w:t>вовлечение по возможности каждого обучающегося в школьные дела в разных ролях (сценаристов, постановщиков, исполнителей, корреспондентов, ведущих, декораторов, музыкальных редакторов, ответственных за костюмы и оборудование, за приглашение и встречу гостей и других), помощь обучающимся в освоении навыков подготовки, проведения, анализа общешкольных дел;</w:t>
      </w:r>
    </w:p>
    <w:p w14:paraId="140AE707">
      <w:pPr>
        <w:widowControl/>
        <w:spacing w:after="0" w:line="353" w:lineRule="auto"/>
        <w:ind w:firstLine="709"/>
        <w:jc w:val="both"/>
        <w:rPr>
          <w:rFonts w:ascii="Times New Roman" w:hAnsi="Times New Roman" w:eastAsia="SchoolBookSanPin"/>
        </w:rPr>
      </w:pPr>
      <w:r>
        <w:rPr>
          <w:rFonts w:ascii="Times New Roman" w:hAnsi="Times New Roman" w:eastAsia="SchoolBookSanPin"/>
        </w:rPr>
        <w:t>наблюдение за поведением обучающихся в ситуациях подготовки, проведения, анализа основных школьных дел, мероприятий, их отношениями с обучающимися разных возрастов, с педагогическими работниками и другими взрослыми.</w:t>
      </w:r>
    </w:p>
    <w:p w14:paraId="07BBC214">
      <w:pPr>
        <w:widowControl/>
        <w:spacing w:after="0" w:line="353" w:lineRule="auto"/>
        <w:ind w:firstLine="709"/>
        <w:jc w:val="center"/>
        <w:rPr>
          <w:rFonts w:ascii="Times New Roman" w:hAnsi="Times New Roman" w:eastAsia="SchoolBookSanPin"/>
          <w:i/>
        </w:rPr>
      </w:pPr>
      <w:r>
        <w:rPr>
          <w:rFonts w:ascii="Times New Roman" w:hAnsi="Times New Roman" w:eastAsia="SchoolBookSanPin"/>
          <w:i/>
        </w:rPr>
        <w:t>Модуль «</w:t>
      </w:r>
      <w:r>
        <w:rPr>
          <w:rFonts w:ascii="Times New Roman" w:hAnsi="Times New Roman" w:eastAsia="SchoolBookSanPin"/>
          <w:bCs/>
          <w:i/>
        </w:rPr>
        <w:t>Внешкольные мероприятия»</w:t>
      </w:r>
    </w:p>
    <w:p w14:paraId="0C4DB26B">
      <w:pPr>
        <w:widowControl/>
        <w:spacing w:after="0" w:line="353" w:lineRule="auto"/>
        <w:ind w:firstLine="709"/>
        <w:jc w:val="both"/>
        <w:rPr>
          <w:rFonts w:ascii="Times New Roman" w:hAnsi="Times New Roman" w:eastAsia="SchoolBookSanPin"/>
        </w:rPr>
      </w:pPr>
      <w:r>
        <w:rPr>
          <w:rFonts w:ascii="Times New Roman" w:hAnsi="Times New Roman" w:eastAsia="SchoolBookSanPin"/>
        </w:rPr>
        <w:t>Реализация воспитательного потенциала внешкольных мероприятий предусматривает:</w:t>
      </w:r>
    </w:p>
    <w:p w14:paraId="62F4F45C">
      <w:pPr>
        <w:widowControl/>
        <w:spacing w:after="0" w:line="353" w:lineRule="auto"/>
        <w:ind w:firstLine="709"/>
        <w:jc w:val="both"/>
        <w:rPr>
          <w:rFonts w:ascii="Times New Roman" w:hAnsi="Times New Roman" w:eastAsia="SchoolBookSanPin"/>
        </w:rPr>
      </w:pPr>
      <w:r>
        <w:rPr>
          <w:rFonts w:ascii="Times New Roman" w:hAnsi="Times New Roman" w:eastAsia="SchoolBookSanPin"/>
        </w:rPr>
        <w:t>общие внешкольные мероприятия, в том числе организуемые совместно с социальными партнёрами образовательной организации;</w:t>
      </w:r>
    </w:p>
    <w:p w14:paraId="6EF98FE0">
      <w:pPr>
        <w:widowControl/>
        <w:spacing w:after="0" w:line="353" w:lineRule="auto"/>
        <w:ind w:firstLine="709"/>
        <w:jc w:val="both"/>
        <w:rPr>
          <w:rFonts w:ascii="Times New Roman" w:hAnsi="Times New Roman" w:eastAsia="SchoolBookSanPin"/>
        </w:rPr>
      </w:pPr>
      <w:r>
        <w:rPr>
          <w:rFonts w:ascii="Times New Roman" w:hAnsi="Times New Roman" w:eastAsia="SchoolBookSanPin"/>
        </w:rPr>
        <w:t>внешкольные тематические мероприятия воспитательной направленности, организуемые педагогами по изучаемым в образовательной организации учебным предметам, курсам, модулям;</w:t>
      </w:r>
    </w:p>
    <w:p w14:paraId="019FABE9">
      <w:pPr>
        <w:widowControl/>
        <w:spacing w:after="0" w:line="353" w:lineRule="auto"/>
        <w:ind w:firstLine="709"/>
        <w:jc w:val="both"/>
        <w:rPr>
          <w:rFonts w:ascii="Times New Roman" w:hAnsi="Times New Roman" w:eastAsia="SchoolBookSanPin"/>
        </w:rPr>
      </w:pPr>
      <w:r>
        <w:rPr>
          <w:rFonts w:ascii="Times New Roman" w:hAnsi="Times New Roman" w:eastAsia="SchoolBookSanPin"/>
        </w:rPr>
        <w:t>экскурсии, походы выходного дня (в музей, картинную галерею, технопарк, на предприятие и другие), организуемые в классах классными руководителями, в том числе совместно с родителями (законными представителями) обучающихся с привлечением их к планированию, организации, проведению, оценке мероприятия;</w:t>
      </w:r>
    </w:p>
    <w:p w14:paraId="50EE47D4">
      <w:pPr>
        <w:widowControl/>
        <w:spacing w:after="0" w:line="353" w:lineRule="auto"/>
        <w:ind w:firstLine="709"/>
        <w:jc w:val="both"/>
        <w:rPr>
          <w:rFonts w:ascii="Times New Roman" w:hAnsi="Times New Roman" w:eastAsia="SchoolBookSanPin"/>
        </w:rPr>
      </w:pPr>
      <w:r>
        <w:rPr>
          <w:rFonts w:ascii="Times New Roman" w:hAnsi="Times New Roman" w:eastAsia="SchoolBookSanPin"/>
        </w:rPr>
        <w:t>литературные, исторические, экологические и другие походы, экскурсии, экспедиции, слёты и другие, организуемые педагогическими работниками, в том числе совместно с родителями (законными представителями) обучающихся для изучения историко-культурных мест, событий, биографий проживавших в этой местности российских поэтов и писателей, деятелей науки, природных и историко-культурных ландшафтов, флоры и фауны и другого;</w:t>
      </w:r>
    </w:p>
    <w:p w14:paraId="756AB606">
      <w:pPr>
        <w:widowControl/>
        <w:spacing w:after="0" w:line="353" w:lineRule="auto"/>
        <w:ind w:firstLine="709"/>
        <w:jc w:val="both"/>
        <w:rPr>
          <w:rFonts w:ascii="Times New Roman" w:hAnsi="Times New Roman" w:eastAsia="SchoolBookSanPin"/>
        </w:rPr>
      </w:pPr>
      <w:r>
        <w:rPr>
          <w:rFonts w:ascii="Times New Roman" w:hAnsi="Times New Roman" w:eastAsia="SchoolBookSanPin"/>
        </w:rPr>
        <w:t>выездные события, включающие в себя комплекс коллективных творческих дел, в процессе которых складывается детско-взрослая общность, характеризующаяся доверительными взаимоотношениями, ответственным отношением к делу, атмосферой эмоционально-психологического комфорта.</w:t>
      </w:r>
    </w:p>
    <w:p w14:paraId="64081A5E">
      <w:pPr>
        <w:widowControl/>
        <w:spacing w:after="0" w:line="353" w:lineRule="auto"/>
        <w:ind w:firstLine="709"/>
        <w:jc w:val="center"/>
        <w:rPr>
          <w:rFonts w:ascii="Times New Roman" w:hAnsi="Times New Roman" w:eastAsia="SchoolBookSanPin"/>
          <w:i/>
        </w:rPr>
      </w:pPr>
      <w:r>
        <w:rPr>
          <w:rFonts w:ascii="Times New Roman" w:hAnsi="Times New Roman" w:eastAsia="SchoolBookSanPin"/>
          <w:i/>
        </w:rPr>
        <w:t>Модуль «</w:t>
      </w:r>
      <w:r>
        <w:rPr>
          <w:rFonts w:ascii="Times New Roman" w:hAnsi="Times New Roman" w:eastAsia="SchoolBookSanPin"/>
          <w:bCs/>
          <w:i/>
        </w:rPr>
        <w:t>Организация предметно-пространственной среды»</w:t>
      </w:r>
    </w:p>
    <w:p w14:paraId="179C6F85">
      <w:pPr>
        <w:widowControl/>
        <w:spacing w:after="0" w:line="353" w:lineRule="auto"/>
        <w:ind w:firstLine="709"/>
        <w:jc w:val="both"/>
        <w:rPr>
          <w:rFonts w:ascii="Times New Roman" w:hAnsi="Times New Roman" w:eastAsia="SchoolBookSanPin"/>
        </w:rPr>
      </w:pPr>
      <w:r>
        <w:rPr>
          <w:rFonts w:ascii="Times New Roman" w:hAnsi="Times New Roman" w:eastAsia="SchoolBookSanPin"/>
        </w:rPr>
        <w:t>Реализация воспитательного потенциала предметно-пространственной среды предусматривает совместную деятельность педагогов, обучающихся, других участников образовательных отношений по её созданию, поддержанию, использованию в воспитательном процессе:</w:t>
      </w:r>
    </w:p>
    <w:p w14:paraId="54D4157E">
      <w:pPr>
        <w:widowControl/>
        <w:spacing w:after="0" w:line="353" w:lineRule="auto"/>
        <w:ind w:firstLine="709"/>
        <w:jc w:val="both"/>
        <w:rPr>
          <w:rFonts w:ascii="Times New Roman" w:hAnsi="Times New Roman" w:eastAsia="SchoolBookSanPin"/>
        </w:rPr>
      </w:pPr>
      <w:r>
        <w:rPr>
          <w:rFonts w:ascii="Times New Roman" w:hAnsi="Times New Roman" w:eastAsia="SchoolBookSanPin"/>
        </w:rPr>
        <w:t>оформление внешнего вида здания, фасада, холла при входе в образовательную организацию государственной символикой Российской Федерации, субъекта Российской Федерации, муниципального образования (флаг, герб), изображениями символики Российского государства в разные периоды тысячелетней истории, исторической символики региона;</w:t>
      </w:r>
    </w:p>
    <w:p w14:paraId="13C34E0A">
      <w:pPr>
        <w:widowControl/>
        <w:spacing w:after="0" w:line="353" w:lineRule="auto"/>
        <w:ind w:firstLine="709"/>
        <w:jc w:val="both"/>
        <w:rPr>
          <w:rFonts w:ascii="Times New Roman" w:hAnsi="Times New Roman" w:eastAsia="SchoolBookSanPin"/>
        </w:rPr>
      </w:pPr>
      <w:r>
        <w:rPr>
          <w:rFonts w:ascii="Times New Roman" w:hAnsi="Times New Roman" w:eastAsia="SchoolBookSanPin"/>
        </w:rPr>
        <w:t>организацию и проведение церемоний поднятия (спуска) государственного флага Российской Федерации;</w:t>
      </w:r>
    </w:p>
    <w:p w14:paraId="38653672">
      <w:pPr>
        <w:widowControl/>
        <w:spacing w:after="0" w:line="353" w:lineRule="auto"/>
        <w:ind w:firstLine="709"/>
        <w:jc w:val="both"/>
        <w:rPr>
          <w:rFonts w:ascii="Times New Roman" w:hAnsi="Times New Roman" w:eastAsia="SchoolBookSanPin"/>
        </w:rPr>
      </w:pPr>
      <w:r>
        <w:rPr>
          <w:rFonts w:ascii="Times New Roman" w:hAnsi="Times New Roman" w:eastAsia="SchoolBookSanPin"/>
        </w:rPr>
        <w:t>размещение карт России, регионов, муниципальных образований (современных и исторических, точных и стилизованных, географических, природных, культурологических, художественно оформленных, в том числе материалами, подготовленными обучающимися) с изображениями значимых культурных объектов местности, региона, России, памятных исторических, народных, религиозных мест почитания, портретов выдающихся государственных деятелей России, деятелей культуры, науки, производства, искусства, военных, героев и защитников Отечества;</w:t>
      </w:r>
    </w:p>
    <w:p w14:paraId="60AA0B64">
      <w:pPr>
        <w:widowControl/>
        <w:spacing w:after="0" w:line="353" w:lineRule="auto"/>
        <w:ind w:firstLine="709"/>
        <w:jc w:val="both"/>
        <w:rPr>
          <w:rFonts w:ascii="Times New Roman" w:hAnsi="Times New Roman" w:eastAsia="SchoolBookSanPin"/>
        </w:rPr>
      </w:pPr>
      <w:r>
        <w:rPr>
          <w:rFonts w:ascii="Times New Roman" w:hAnsi="Times New Roman" w:eastAsia="SchoolBookSanPin"/>
        </w:rPr>
        <w:t>изготовление, размещение, обновление художественных изображений (символических, живописных, фотографических, интерактивных аудио и видео) природы России, региона, местности, предметов традиционной культуры и быта, духовной культуры народов России;</w:t>
      </w:r>
    </w:p>
    <w:p w14:paraId="607C6347">
      <w:pPr>
        <w:widowControl/>
        <w:spacing w:after="0" w:line="353" w:lineRule="auto"/>
        <w:ind w:firstLine="709"/>
        <w:jc w:val="both"/>
        <w:rPr>
          <w:rFonts w:ascii="Times New Roman" w:hAnsi="Times New Roman" w:eastAsia="SchoolBookSanPin"/>
        </w:rPr>
      </w:pPr>
      <w:r>
        <w:rPr>
          <w:rFonts w:ascii="Times New Roman" w:hAnsi="Times New Roman" w:eastAsia="SchoolBookSanPin"/>
        </w:rPr>
        <w:t>организацию и поддержание в образовательной организации звукового пространства позитивной духовно-нравственной, гражданско-патриотической воспитательной направленности (звонки-мелодии, музыка, информационные сообщения), исполнение гимна Российской Федерации;</w:t>
      </w:r>
    </w:p>
    <w:p w14:paraId="3CE4FCB8">
      <w:pPr>
        <w:widowControl/>
        <w:tabs>
          <w:tab w:val="left" w:pos="1800"/>
        </w:tabs>
        <w:spacing w:after="0" w:line="353" w:lineRule="auto"/>
        <w:ind w:firstLine="709"/>
        <w:jc w:val="both"/>
        <w:rPr>
          <w:rFonts w:ascii="Times New Roman" w:hAnsi="Times New Roman" w:eastAsia="SchoolBookSanPin"/>
        </w:rPr>
      </w:pPr>
      <w:r>
        <w:rPr>
          <w:rFonts w:ascii="Times New Roman" w:hAnsi="Times New Roman" w:eastAsia="SchoolBookSanPin"/>
        </w:rPr>
        <w:t>оформление и обновление стендов в помещениях, содержащих в доступной, привлекательной форме новостную информацию позитивного гражданско-патриотического, духовно-нравственного содержания, фотоотчёты об интересных событиях, поздравления педагогов и обучающихся и другие;</w:t>
      </w:r>
    </w:p>
    <w:p w14:paraId="134AE51B">
      <w:pPr>
        <w:widowControl/>
        <w:spacing w:after="0" w:line="353" w:lineRule="auto"/>
        <w:ind w:firstLine="709"/>
        <w:jc w:val="both"/>
        <w:rPr>
          <w:rFonts w:ascii="Times New Roman" w:hAnsi="Times New Roman" w:eastAsia="SchoolBookSanPin"/>
        </w:rPr>
      </w:pPr>
      <w:r>
        <w:rPr>
          <w:rFonts w:ascii="Times New Roman" w:hAnsi="Times New Roman" w:eastAsia="SchoolBookSanPin"/>
        </w:rPr>
        <w:t>разработку и популяризацию символики образовательной организации (эмблема, флаг, логотип, элементы костюма обучающихся и другие), используемой как повседневно, так и в торжественные моменты;</w:t>
      </w:r>
    </w:p>
    <w:p w14:paraId="34F9BEC5">
      <w:pPr>
        <w:widowControl/>
        <w:spacing w:after="0" w:line="353" w:lineRule="auto"/>
        <w:ind w:firstLine="709"/>
        <w:jc w:val="both"/>
        <w:rPr>
          <w:rFonts w:ascii="Times New Roman" w:hAnsi="Times New Roman" w:eastAsia="SchoolBookSanPin"/>
        </w:rPr>
      </w:pPr>
      <w:r>
        <w:rPr>
          <w:rFonts w:ascii="Times New Roman" w:hAnsi="Times New Roman" w:eastAsia="SchoolBookSanPin"/>
        </w:rPr>
        <w:t>подготовку и размещение регулярно сменяемых экспозиций творческих работ обучающихся в разных предметных областях, демонстрирующих их способности, знакомящих с работами друг друга;</w:t>
      </w:r>
    </w:p>
    <w:p w14:paraId="6E2AFA96">
      <w:pPr>
        <w:widowControl/>
        <w:spacing w:after="0" w:line="353" w:lineRule="auto"/>
        <w:ind w:firstLine="709"/>
        <w:jc w:val="both"/>
        <w:rPr>
          <w:rFonts w:ascii="Times New Roman" w:hAnsi="Times New Roman" w:eastAsia="SchoolBookSanPin"/>
        </w:rPr>
      </w:pPr>
      <w:r>
        <w:rPr>
          <w:rFonts w:ascii="Times New Roman" w:hAnsi="Times New Roman" w:eastAsia="SchoolBookSanPin"/>
        </w:rPr>
        <w:t>поддержание эстетического вида и благоустройство всех помещений в образовательной организации, доступных и безопасных рекреационных зон, озеленение территории при образовательной организации;</w:t>
      </w:r>
    </w:p>
    <w:p w14:paraId="290F705A">
      <w:pPr>
        <w:widowControl/>
        <w:spacing w:after="0" w:line="353" w:lineRule="auto"/>
        <w:ind w:firstLine="709"/>
        <w:jc w:val="both"/>
        <w:rPr>
          <w:rFonts w:ascii="Times New Roman" w:hAnsi="Times New Roman" w:eastAsia="SchoolBookSanPin"/>
        </w:rPr>
      </w:pPr>
      <w:r>
        <w:rPr>
          <w:rFonts w:ascii="Times New Roman" w:hAnsi="Times New Roman" w:eastAsia="SchoolBookSanPin"/>
        </w:rPr>
        <w:t>разработку, оформление, поддержание и использование игровых пространств, спортивных и игровых площадок, зон активного и тихого отдыха;</w:t>
      </w:r>
    </w:p>
    <w:p w14:paraId="6214C173">
      <w:pPr>
        <w:widowControl/>
        <w:spacing w:after="0" w:line="353" w:lineRule="auto"/>
        <w:ind w:firstLine="709"/>
        <w:jc w:val="both"/>
        <w:rPr>
          <w:rFonts w:ascii="Times New Roman" w:hAnsi="Times New Roman" w:eastAsia="SchoolBookSanPin"/>
        </w:rPr>
      </w:pPr>
      <w:r>
        <w:rPr>
          <w:rFonts w:ascii="Times New Roman" w:hAnsi="Times New Roman" w:eastAsia="SchoolBookSanPin"/>
        </w:rPr>
        <w:t>создание и поддержание в вестибюле или библиотеке стеллажей свободного книгообмена, на которые обучающиеся, родители, педагоги могут выставлять для общего использования свои книги, брать для чтения другие;</w:t>
      </w:r>
    </w:p>
    <w:p w14:paraId="3C74A746">
      <w:pPr>
        <w:widowControl/>
        <w:spacing w:after="0" w:line="353" w:lineRule="auto"/>
        <w:ind w:firstLine="709"/>
        <w:jc w:val="both"/>
        <w:rPr>
          <w:rFonts w:ascii="Times New Roman" w:hAnsi="Times New Roman" w:eastAsia="SchoolBookSanPin"/>
        </w:rPr>
      </w:pPr>
      <w:r>
        <w:rPr>
          <w:rFonts w:ascii="Times New Roman" w:hAnsi="Times New Roman" w:eastAsia="SchoolBookSanPin"/>
        </w:rPr>
        <w:t>деятельность классных руководителей и других педагогов вместе с обучающимися, их родителями по благоустройству, оформлению школьных аудиторий, пришкольной территории;</w:t>
      </w:r>
    </w:p>
    <w:p w14:paraId="0DE656AC">
      <w:pPr>
        <w:widowControl/>
        <w:spacing w:after="0" w:line="353" w:lineRule="auto"/>
        <w:ind w:firstLine="709"/>
        <w:jc w:val="both"/>
        <w:rPr>
          <w:rFonts w:ascii="Times New Roman" w:hAnsi="Times New Roman" w:eastAsia="SchoolBookSanPin"/>
        </w:rPr>
      </w:pPr>
      <w:r>
        <w:rPr>
          <w:rFonts w:ascii="Times New Roman" w:hAnsi="Times New Roman" w:eastAsia="SchoolBookSanPin"/>
        </w:rPr>
        <w:t>разработку и оформление пространств проведения значимых событий, праздников, церемоний, торжественных линеек, творческих вечеров (событийный дизайн);</w:t>
      </w:r>
    </w:p>
    <w:p w14:paraId="2D3AD9C1">
      <w:pPr>
        <w:widowControl/>
        <w:spacing w:after="0" w:line="353" w:lineRule="auto"/>
        <w:ind w:firstLine="709"/>
        <w:jc w:val="both"/>
        <w:rPr>
          <w:rFonts w:ascii="Times New Roman" w:hAnsi="Times New Roman" w:eastAsia="SchoolBookSanPin"/>
        </w:rPr>
      </w:pPr>
      <w:r>
        <w:rPr>
          <w:rFonts w:ascii="Times New Roman" w:hAnsi="Times New Roman" w:eastAsia="SchoolBookSanPin"/>
        </w:rPr>
        <w:t>разработку и обновление материалов (стендов, плакатов, инсталляций и других), акцентирующих внимание обучающихся на важных для воспитания ценностях, правилах, традициях, укладе образовательной организации, актуальных вопросах профилактики и безопасности.</w:t>
      </w:r>
    </w:p>
    <w:p w14:paraId="1251AA1C">
      <w:pPr>
        <w:widowControl/>
        <w:spacing w:after="0" w:line="353" w:lineRule="auto"/>
        <w:ind w:firstLine="709"/>
        <w:jc w:val="both"/>
        <w:rPr>
          <w:rFonts w:ascii="Times New Roman" w:hAnsi="Times New Roman" w:eastAsia="SchoolBookSanPin"/>
        </w:rPr>
      </w:pPr>
      <w:r>
        <w:rPr>
          <w:rFonts w:ascii="Times New Roman" w:hAnsi="Times New Roman" w:eastAsia="SchoolBookSanPin"/>
        </w:rPr>
        <w:t>Предметно-пространственная среда строится как максимально доступная для обучающихся с особыми образовательными потребностями.</w:t>
      </w:r>
    </w:p>
    <w:p w14:paraId="108DAE9D">
      <w:pPr>
        <w:widowControl/>
        <w:spacing w:after="0" w:line="353" w:lineRule="auto"/>
        <w:ind w:firstLine="709"/>
        <w:jc w:val="center"/>
        <w:rPr>
          <w:rFonts w:ascii="Times New Roman" w:hAnsi="Times New Roman" w:eastAsia="SchoolBookSanPin"/>
          <w:bCs/>
          <w:i/>
        </w:rPr>
      </w:pPr>
      <w:r>
        <w:rPr>
          <w:rFonts w:ascii="Times New Roman" w:hAnsi="Times New Roman" w:eastAsia="SchoolBookSanPin"/>
          <w:i/>
        </w:rPr>
        <w:t>Модуль «</w:t>
      </w:r>
      <w:r>
        <w:rPr>
          <w:rFonts w:ascii="Times New Roman" w:hAnsi="Times New Roman" w:eastAsia="SchoolBookSanPin"/>
          <w:bCs/>
          <w:i/>
        </w:rPr>
        <w:t>Взаимодействие с родителями (законными представителями)»</w:t>
      </w:r>
    </w:p>
    <w:p w14:paraId="6518FC5A">
      <w:pPr>
        <w:widowControl/>
        <w:spacing w:after="0" w:line="353" w:lineRule="auto"/>
        <w:ind w:firstLine="709"/>
        <w:jc w:val="both"/>
        <w:rPr>
          <w:rFonts w:ascii="Times New Roman" w:hAnsi="Times New Roman" w:eastAsia="SchoolBookSanPin"/>
          <w:bCs/>
        </w:rPr>
      </w:pPr>
      <w:r>
        <w:rPr>
          <w:rFonts w:ascii="Times New Roman" w:hAnsi="Times New Roman" w:eastAsia="SchoolBookSanPin"/>
          <w:bCs/>
        </w:rPr>
        <w:t>Работа с родителями или законными представителями обучающихся осуществляется для более эффективного достижения цели воспитания, которое обеспечивается согласованием позиций семьи и гимназии в данном вопросе. Эта работа также осуществляется для повышения педагогической компетенции родителей, которые должны правильно организовать процесс воспитания своего ребёнка в семье для того, чтобы он вырос образованным и воспитанным человеком, готовым трудиться в современном обществе на благо своей страны. Система работы с родителями выстраивается на решении следующих задач:</w:t>
      </w:r>
    </w:p>
    <w:p w14:paraId="45C1FC91">
      <w:pPr>
        <w:widowControl/>
        <w:numPr>
          <w:ilvl w:val="0"/>
          <w:numId w:val="7"/>
        </w:numPr>
        <w:spacing w:after="0" w:line="353" w:lineRule="auto"/>
        <w:jc w:val="both"/>
        <w:rPr>
          <w:rFonts w:ascii="Times New Roman" w:hAnsi="Times New Roman" w:eastAsia="SchoolBookSanPin"/>
          <w:bCs/>
        </w:rPr>
      </w:pPr>
      <w:r>
        <w:rPr>
          <w:rFonts w:ascii="Times New Roman" w:hAnsi="Times New Roman" w:eastAsia="SchoolBookSanPin"/>
          <w:bCs/>
        </w:rPr>
        <w:t>создать условия для активного и полезного взаимодействия школы и семьи в образовательном и воспитательном процессе;</w:t>
      </w:r>
    </w:p>
    <w:p w14:paraId="68304F9D">
      <w:pPr>
        <w:widowControl/>
        <w:numPr>
          <w:ilvl w:val="0"/>
          <w:numId w:val="7"/>
        </w:numPr>
        <w:spacing w:after="0" w:line="353" w:lineRule="auto"/>
        <w:jc w:val="both"/>
        <w:rPr>
          <w:rFonts w:ascii="Times New Roman" w:hAnsi="Times New Roman" w:eastAsia="SchoolBookSanPin"/>
          <w:bCs/>
        </w:rPr>
      </w:pPr>
      <w:r>
        <w:rPr>
          <w:rFonts w:ascii="Times New Roman" w:hAnsi="Times New Roman" w:eastAsia="SchoolBookSanPin"/>
          <w:bCs/>
        </w:rPr>
        <w:t>способствовать демонстрации положительного опыта воспитания детей в семье;</w:t>
      </w:r>
    </w:p>
    <w:p w14:paraId="2AAAE016">
      <w:pPr>
        <w:widowControl/>
        <w:numPr>
          <w:ilvl w:val="0"/>
          <w:numId w:val="7"/>
        </w:numPr>
        <w:spacing w:after="0" w:line="353" w:lineRule="auto"/>
        <w:jc w:val="both"/>
        <w:rPr>
          <w:rFonts w:ascii="Times New Roman" w:hAnsi="Times New Roman" w:eastAsia="SchoolBookSanPin"/>
          <w:bCs/>
        </w:rPr>
      </w:pPr>
      <w:r>
        <w:rPr>
          <w:rFonts w:ascii="Times New Roman" w:hAnsi="Times New Roman" w:eastAsia="SchoolBookSanPin"/>
          <w:bCs/>
        </w:rPr>
        <w:t>преодолевать негативные тенденции в воспитании детей в отдельных семьях, привлекать с целью помощи и поддержки соответствующие организации;</w:t>
      </w:r>
    </w:p>
    <w:p w14:paraId="308A4E05">
      <w:pPr>
        <w:widowControl/>
        <w:numPr>
          <w:ilvl w:val="0"/>
          <w:numId w:val="7"/>
        </w:numPr>
        <w:spacing w:after="0" w:line="353" w:lineRule="auto"/>
        <w:jc w:val="both"/>
        <w:rPr>
          <w:rFonts w:ascii="Times New Roman" w:hAnsi="Times New Roman" w:eastAsia="SchoolBookSanPin"/>
          <w:bCs/>
        </w:rPr>
      </w:pPr>
      <w:r>
        <w:rPr>
          <w:rFonts w:ascii="Times New Roman" w:hAnsi="Times New Roman" w:eastAsia="SchoolBookSanPin"/>
          <w:bCs/>
        </w:rPr>
        <w:t>создать систему целенаправленной воспитательной работы для психолого-педагогического просвещения родителей и совместного проведения досуга детей и родителей.</w:t>
      </w:r>
    </w:p>
    <w:p w14:paraId="4E3D6786">
      <w:pPr>
        <w:widowControl/>
        <w:spacing w:after="0" w:line="353" w:lineRule="auto"/>
        <w:ind w:firstLine="709"/>
        <w:jc w:val="both"/>
        <w:rPr>
          <w:rFonts w:ascii="Times New Roman" w:hAnsi="Times New Roman" w:eastAsia="SchoolBookSanPin"/>
          <w:bCs/>
        </w:rPr>
      </w:pPr>
      <w:r>
        <w:rPr>
          <w:rFonts w:ascii="Times New Roman" w:hAnsi="Times New Roman" w:eastAsia="SchoolBookSanPin"/>
          <w:bCs/>
        </w:rPr>
        <w:t xml:space="preserve">Работа с родителями или законными представителями обучающихся осуществляется в рамках следующих видов и форм деятельности. </w:t>
      </w:r>
    </w:p>
    <w:p w14:paraId="190EE98F">
      <w:pPr>
        <w:widowControl/>
        <w:spacing w:after="0" w:line="353" w:lineRule="auto"/>
        <w:ind w:firstLine="709"/>
        <w:jc w:val="both"/>
        <w:rPr>
          <w:rFonts w:ascii="Times New Roman" w:hAnsi="Times New Roman" w:eastAsia="SchoolBookSanPin"/>
          <w:b/>
          <w:bCs/>
          <w:i/>
        </w:rPr>
      </w:pPr>
      <w:r>
        <w:rPr>
          <w:rFonts w:ascii="Times New Roman" w:hAnsi="Times New Roman" w:eastAsia="SchoolBookSanPin"/>
          <w:b/>
          <w:bCs/>
          <w:i/>
        </w:rPr>
        <w:t xml:space="preserve">На групповом уровне: </w:t>
      </w:r>
    </w:p>
    <w:p w14:paraId="0CA7F5AD">
      <w:pPr>
        <w:widowControl/>
        <w:numPr>
          <w:ilvl w:val="0"/>
          <w:numId w:val="5"/>
        </w:numPr>
        <w:spacing w:after="0" w:line="353" w:lineRule="auto"/>
        <w:jc w:val="both"/>
        <w:rPr>
          <w:rFonts w:ascii="Times New Roman" w:hAnsi="Times New Roman" w:eastAsia="SchoolBookSanPin"/>
          <w:bCs/>
        </w:rPr>
      </w:pPr>
      <w:r>
        <w:rPr>
          <w:rFonts w:ascii="Times New Roman" w:hAnsi="Times New Roman" w:eastAsia="SchoolBookSanPin"/>
          <w:bCs/>
        </w:rPr>
        <w:t>родители являются обязательными участниками государственно- общественного управления школой (Школьный родительский комитет), участвуют в решении вопросов воспитания и социализации их детей;</w:t>
      </w:r>
    </w:p>
    <w:p w14:paraId="788F99FB">
      <w:pPr>
        <w:widowControl/>
        <w:numPr>
          <w:ilvl w:val="0"/>
          <w:numId w:val="5"/>
        </w:numPr>
        <w:spacing w:after="0" w:line="353" w:lineRule="auto"/>
        <w:jc w:val="both"/>
        <w:rPr>
          <w:rFonts w:ascii="Times New Roman" w:hAnsi="Times New Roman" w:eastAsia="SchoolBookSanPin"/>
          <w:bCs/>
          <w:i/>
          <w:iCs/>
        </w:rPr>
      </w:pPr>
      <w:r>
        <w:rPr>
          <w:rFonts w:ascii="Times New Roman" w:hAnsi="Times New Roman" w:eastAsia="SchoolBookSanPin"/>
          <w:bCs/>
        </w:rPr>
        <w:t>классные родительские собрания, на которых обсуждаются вопросы возрастных особенностей детей, формы и способы доверительного взаимодействия родителей с детьми, проводятся мастер-классы, семинары, круглые столы с приглашением специалистов;</w:t>
      </w:r>
    </w:p>
    <w:p w14:paraId="2923E8A4">
      <w:pPr>
        <w:widowControl/>
        <w:numPr>
          <w:ilvl w:val="0"/>
          <w:numId w:val="5"/>
        </w:numPr>
        <w:spacing w:after="0" w:line="353" w:lineRule="auto"/>
        <w:jc w:val="both"/>
        <w:rPr>
          <w:rFonts w:ascii="Times New Roman" w:hAnsi="Times New Roman" w:eastAsia="SchoolBookSanPin"/>
          <w:bCs/>
        </w:rPr>
      </w:pPr>
      <w:r>
        <w:rPr>
          <w:rFonts w:ascii="Times New Roman" w:hAnsi="Times New Roman" w:eastAsia="SchoolBookSanPin"/>
          <w:bCs/>
        </w:rPr>
        <w:t>общешкольные родительские собрания, происходящие в режиме обсуждения наиболее острых проблем обучения и воспитания школьников;</w:t>
      </w:r>
    </w:p>
    <w:p w14:paraId="1F963E0A">
      <w:pPr>
        <w:widowControl/>
        <w:numPr>
          <w:ilvl w:val="0"/>
          <w:numId w:val="5"/>
        </w:numPr>
        <w:spacing w:after="0" w:line="353" w:lineRule="auto"/>
        <w:jc w:val="both"/>
        <w:rPr>
          <w:rFonts w:ascii="Times New Roman" w:hAnsi="Times New Roman" w:eastAsia="SchoolBookSanPin"/>
          <w:bCs/>
        </w:rPr>
      </w:pPr>
      <w:r>
        <w:rPr>
          <w:rFonts w:ascii="Times New Roman" w:hAnsi="Times New Roman" w:eastAsia="SchoolBookSanPin"/>
          <w:bCs/>
        </w:rPr>
        <w:t>родительские дни, во время которых родители могут посещать школьные учебные и внеурочные занятия для получения представления о ходе учебно-воспитательного процесса в школе;</w:t>
      </w:r>
    </w:p>
    <w:p w14:paraId="751A62FE">
      <w:pPr>
        <w:widowControl/>
        <w:numPr>
          <w:ilvl w:val="0"/>
          <w:numId w:val="5"/>
        </w:numPr>
        <w:spacing w:after="0" w:line="353" w:lineRule="auto"/>
        <w:jc w:val="both"/>
        <w:rPr>
          <w:rFonts w:ascii="Times New Roman" w:hAnsi="Times New Roman" w:eastAsia="SchoolBookSanPin"/>
          <w:bCs/>
        </w:rPr>
      </w:pPr>
      <w:r>
        <w:rPr>
          <w:rFonts w:ascii="Times New Roman" w:hAnsi="Times New Roman" w:eastAsia="SchoolBookSanPin"/>
          <w:bCs/>
        </w:rPr>
        <w:t>Работа с родителями через официальный сайт МБОУ «</w:t>
      </w:r>
      <w:r>
        <w:rPr>
          <w:rFonts w:ascii="Times New Roman" w:hAnsi="Times New Roman" w:eastAsia="SchoolBookSanPin"/>
          <w:bCs/>
          <w:lang w:val="ru-RU"/>
        </w:rPr>
        <w:t>Николаевская</w:t>
      </w:r>
      <w:r>
        <w:rPr>
          <w:rFonts w:ascii="Times New Roman" w:hAnsi="Times New Roman" w:eastAsia="SchoolBookSanPin"/>
          <w:bCs/>
        </w:rPr>
        <w:t xml:space="preserve"> ООШ»,  через «Сетевой город. Образование», через социальные сети «Вконтакте», через родительские сообщества в мессенджерах  Вайбер, Ватсап, </w:t>
      </w:r>
      <w:r>
        <w:rPr>
          <w:rFonts w:ascii="Times New Roman" w:hAnsi="Times New Roman" w:eastAsia="SchoolBookSanPin"/>
          <w:bCs/>
          <w:lang w:val="en-US"/>
        </w:rPr>
        <w:t>C</w:t>
      </w:r>
      <w:r>
        <w:rPr>
          <w:rFonts w:ascii="Times New Roman" w:hAnsi="Times New Roman" w:eastAsia="SchoolBookSanPin"/>
          <w:bCs/>
        </w:rPr>
        <w:t>ферум на  которых обсуждаются интересующие родителей вопросы, а также осуществляются онлайн - консультации педагогов.</w:t>
      </w:r>
    </w:p>
    <w:p w14:paraId="402D4B1A">
      <w:pPr>
        <w:widowControl/>
        <w:numPr>
          <w:ilvl w:val="0"/>
          <w:numId w:val="5"/>
        </w:numPr>
        <w:spacing w:after="0" w:line="353" w:lineRule="auto"/>
        <w:jc w:val="both"/>
        <w:rPr>
          <w:rFonts w:ascii="Times New Roman" w:hAnsi="Times New Roman" w:eastAsia="SchoolBookSanPin"/>
          <w:bCs/>
        </w:rPr>
      </w:pPr>
      <w:r>
        <w:rPr>
          <w:rFonts w:ascii="Times New Roman" w:hAnsi="Times New Roman" w:eastAsia="SchoolBookSanPin"/>
          <w:bCs/>
        </w:rPr>
        <w:t xml:space="preserve">семейный всеобуч, на котором родители могли бы получать ценные рекомендации и советы от профессиональных психологов, врачей, социальных работников и обмениваться собственным творческим опытом и находками в деле воспитания детей;  </w:t>
      </w:r>
    </w:p>
    <w:p w14:paraId="5B10B300">
      <w:pPr>
        <w:widowControl/>
        <w:numPr>
          <w:ilvl w:val="0"/>
          <w:numId w:val="5"/>
        </w:numPr>
        <w:spacing w:after="0" w:line="353" w:lineRule="auto"/>
        <w:jc w:val="both"/>
        <w:rPr>
          <w:rFonts w:ascii="Times New Roman" w:hAnsi="Times New Roman" w:eastAsia="SchoolBookSanPin"/>
          <w:bCs/>
        </w:rPr>
      </w:pPr>
      <w:r>
        <w:rPr>
          <w:rFonts w:ascii="Times New Roman" w:hAnsi="Times New Roman" w:eastAsia="SchoolBookSanPin"/>
          <w:bCs/>
        </w:rPr>
        <w:t>родительские форумы при школьном интернет-сайте, на которых обсуждаются интересующие родителей вопросы, а также осуществляются виртуальные консультации психологов и педагогов;</w:t>
      </w:r>
    </w:p>
    <w:p w14:paraId="3D8BEC17">
      <w:pPr>
        <w:widowControl/>
        <w:numPr>
          <w:ilvl w:val="0"/>
          <w:numId w:val="5"/>
        </w:numPr>
        <w:spacing w:after="0" w:line="353" w:lineRule="auto"/>
        <w:jc w:val="both"/>
        <w:rPr>
          <w:rFonts w:ascii="Times New Roman" w:hAnsi="Times New Roman" w:eastAsia="SchoolBookSanPin"/>
          <w:bCs/>
        </w:rPr>
      </w:pPr>
      <w:r>
        <w:rPr>
          <w:rFonts w:ascii="Times New Roman" w:hAnsi="Times New Roman" w:eastAsia="SchoolBookSanPin"/>
          <w:bCs/>
        </w:rPr>
        <w:t>комплекс мероприятий по совместному (родители и учащиеся) благоустройству территории школы;</w:t>
      </w:r>
    </w:p>
    <w:p w14:paraId="649B9A3C">
      <w:pPr>
        <w:widowControl/>
        <w:spacing w:after="0" w:line="353" w:lineRule="auto"/>
        <w:ind w:firstLine="709"/>
        <w:jc w:val="both"/>
        <w:rPr>
          <w:rFonts w:ascii="Times New Roman" w:hAnsi="Times New Roman" w:eastAsia="SchoolBookSanPin"/>
          <w:b/>
          <w:bCs/>
          <w:i/>
          <w:lang w:val="en-US"/>
        </w:rPr>
      </w:pPr>
      <w:r>
        <w:rPr>
          <w:rFonts w:ascii="Times New Roman" w:hAnsi="Times New Roman" w:eastAsia="SchoolBookSanPin"/>
          <w:b/>
          <w:bCs/>
          <w:i/>
          <w:lang w:val="en-US"/>
        </w:rPr>
        <w:t>На индивидуальном уровне:</w:t>
      </w:r>
    </w:p>
    <w:p w14:paraId="65DB4389">
      <w:pPr>
        <w:widowControl/>
        <w:numPr>
          <w:ilvl w:val="0"/>
          <w:numId w:val="5"/>
        </w:numPr>
        <w:spacing w:after="0" w:line="353" w:lineRule="auto"/>
        <w:jc w:val="both"/>
        <w:rPr>
          <w:rFonts w:ascii="Times New Roman" w:hAnsi="Times New Roman" w:eastAsia="SchoolBookSanPin"/>
          <w:bCs/>
        </w:rPr>
      </w:pPr>
      <w:r>
        <w:rPr>
          <w:rFonts w:ascii="Times New Roman" w:hAnsi="Times New Roman" w:eastAsia="SchoolBookSanPin"/>
          <w:bCs/>
        </w:rPr>
        <w:t>работа специалистов по запросу родителей для решения острых конфликтных ситуаций;</w:t>
      </w:r>
    </w:p>
    <w:p w14:paraId="1C5DF858">
      <w:pPr>
        <w:widowControl/>
        <w:numPr>
          <w:ilvl w:val="0"/>
          <w:numId w:val="5"/>
        </w:numPr>
        <w:spacing w:after="0" w:line="353" w:lineRule="auto"/>
        <w:jc w:val="both"/>
        <w:rPr>
          <w:rFonts w:ascii="Times New Roman" w:hAnsi="Times New Roman" w:eastAsia="SchoolBookSanPin"/>
          <w:bCs/>
        </w:rPr>
      </w:pPr>
      <w:r>
        <w:rPr>
          <w:rFonts w:ascii="Times New Roman" w:hAnsi="Times New Roman" w:eastAsia="SchoolBookSanPin"/>
          <w:bCs/>
        </w:rPr>
        <w:t>участие родителей в педагогических консилиумах, на заседаниях Совета профилактики, собираемых в случае возникновения острых проблем, связанных с обучением и воспитанием конкретного ребенка;</w:t>
      </w:r>
    </w:p>
    <w:p w14:paraId="58077F17">
      <w:pPr>
        <w:widowControl/>
        <w:numPr>
          <w:ilvl w:val="0"/>
          <w:numId w:val="5"/>
        </w:numPr>
        <w:spacing w:after="0" w:line="353" w:lineRule="auto"/>
        <w:jc w:val="both"/>
        <w:rPr>
          <w:rFonts w:ascii="Times New Roman" w:hAnsi="Times New Roman" w:eastAsia="SchoolBookSanPin"/>
          <w:bCs/>
        </w:rPr>
      </w:pPr>
      <w:r>
        <w:rPr>
          <w:rFonts w:ascii="Times New Roman" w:hAnsi="Times New Roman" w:eastAsia="SchoolBookSanPin"/>
          <w:bCs/>
        </w:rPr>
        <w:t>участие родителей в республиканских и районных конкурсах «Родитель года», «Папа года»;</w:t>
      </w:r>
    </w:p>
    <w:p w14:paraId="5E012576">
      <w:pPr>
        <w:widowControl/>
        <w:numPr>
          <w:ilvl w:val="0"/>
          <w:numId w:val="5"/>
        </w:numPr>
        <w:spacing w:after="0" w:line="353" w:lineRule="auto"/>
        <w:jc w:val="both"/>
        <w:rPr>
          <w:rFonts w:ascii="Times New Roman" w:hAnsi="Times New Roman" w:eastAsia="SchoolBookSanPin"/>
          <w:bCs/>
        </w:rPr>
      </w:pPr>
      <w:r>
        <w:rPr>
          <w:rFonts w:ascii="Times New Roman" w:hAnsi="Times New Roman" w:eastAsia="SchoolBookSanPin"/>
          <w:bCs/>
        </w:rPr>
        <w:t>помощь со стороны родителей в подготовке и проведении общешкольных и внутриклассных мероприятий воспитательной направленности;</w:t>
      </w:r>
    </w:p>
    <w:p w14:paraId="31119D8C">
      <w:pPr>
        <w:widowControl/>
        <w:numPr>
          <w:ilvl w:val="0"/>
          <w:numId w:val="5"/>
        </w:numPr>
        <w:spacing w:after="0" w:line="353" w:lineRule="auto"/>
        <w:jc w:val="both"/>
        <w:rPr>
          <w:rFonts w:ascii="Times New Roman" w:hAnsi="Times New Roman" w:eastAsia="SchoolBookSanPin"/>
          <w:bCs/>
        </w:rPr>
      </w:pPr>
      <w:r>
        <w:rPr>
          <w:rFonts w:ascii="Times New Roman" w:hAnsi="Times New Roman" w:eastAsia="SchoolBookSanPin"/>
          <w:bCs/>
        </w:rPr>
        <w:t xml:space="preserve">индивидуальное консультирование </w:t>
      </w:r>
      <w:r>
        <w:rPr>
          <w:rFonts w:ascii="Times New Roman" w:hAnsi="Times New Roman" w:eastAsia="SchoolBookSanPin"/>
          <w:bCs/>
          <w:lang w:val="en-US"/>
        </w:rPr>
        <w:t>c</w:t>
      </w:r>
      <w:r>
        <w:rPr>
          <w:rFonts w:ascii="Times New Roman" w:hAnsi="Times New Roman" w:eastAsia="SchoolBookSanPin"/>
          <w:bCs/>
        </w:rPr>
        <w:t xml:space="preserve"> целью координации воспитательных усилий педагогов и родителей;</w:t>
      </w:r>
    </w:p>
    <w:p w14:paraId="5C34B62C">
      <w:pPr>
        <w:widowControl/>
        <w:numPr>
          <w:ilvl w:val="0"/>
          <w:numId w:val="5"/>
        </w:numPr>
        <w:spacing w:after="0" w:line="353" w:lineRule="auto"/>
        <w:jc w:val="both"/>
        <w:rPr>
          <w:rFonts w:ascii="Times New Roman" w:hAnsi="Times New Roman" w:eastAsia="SchoolBookSanPin"/>
          <w:bCs/>
        </w:rPr>
      </w:pPr>
      <w:r>
        <w:rPr>
          <w:rFonts w:ascii="Times New Roman" w:hAnsi="Times New Roman" w:eastAsia="SchoolBookSanPin"/>
          <w:bCs/>
        </w:rPr>
        <w:t xml:space="preserve">поощрение родителей, активно участвующих в жизнедеятельности гимназии.  </w:t>
      </w:r>
    </w:p>
    <w:p w14:paraId="68D08C52">
      <w:pPr>
        <w:widowControl/>
        <w:spacing w:after="0" w:line="353" w:lineRule="auto"/>
        <w:ind w:firstLine="709"/>
        <w:jc w:val="both"/>
        <w:rPr>
          <w:rFonts w:ascii="Times New Roman" w:hAnsi="Times New Roman" w:eastAsia="SchoolBookSanPin"/>
        </w:rPr>
      </w:pPr>
    </w:p>
    <w:p w14:paraId="2E8C5445">
      <w:pPr>
        <w:widowControl/>
        <w:spacing w:after="0" w:line="353" w:lineRule="auto"/>
        <w:ind w:firstLine="709"/>
        <w:jc w:val="center"/>
        <w:rPr>
          <w:rFonts w:ascii="Times New Roman" w:hAnsi="Times New Roman" w:eastAsia="SchoolBookSanPin"/>
          <w:i/>
        </w:rPr>
      </w:pPr>
      <w:r>
        <w:rPr>
          <w:rFonts w:ascii="Times New Roman" w:hAnsi="Times New Roman" w:eastAsia="SchoolBookSanPin"/>
          <w:i/>
        </w:rPr>
        <w:t>Модуль «</w:t>
      </w:r>
      <w:r>
        <w:rPr>
          <w:rFonts w:ascii="Times New Roman" w:hAnsi="Times New Roman" w:eastAsia="SchoolBookSanPin"/>
          <w:bCs/>
          <w:i/>
        </w:rPr>
        <w:t>Самоуправление».</w:t>
      </w:r>
    </w:p>
    <w:p w14:paraId="5596B028">
      <w:pPr>
        <w:adjustRightInd w:val="0"/>
        <w:spacing w:after="0" w:line="360" w:lineRule="auto"/>
        <w:ind w:right="-1" w:firstLine="567"/>
        <w:jc w:val="both"/>
        <w:rPr>
          <w:rFonts w:ascii="Times New Roman" w:hAnsi="Times New Roman"/>
        </w:rPr>
      </w:pPr>
      <w:r>
        <w:rPr>
          <w:rStyle w:val="2532"/>
          <w:rFonts w:hAnsi="Times New Roman" w:eastAsia="№Е"/>
          <w:sz w:val="22"/>
        </w:rPr>
        <w:t xml:space="preserve">Поддержка детского </w:t>
      </w:r>
      <w:r>
        <w:rPr>
          <w:rFonts w:ascii="Times New Roman" w:hAnsi="Times New Roman"/>
        </w:rPr>
        <w:t>самоуправления в МБОУ «</w:t>
      </w:r>
      <w:r>
        <w:rPr>
          <w:rFonts w:ascii="Times New Roman" w:hAnsi="Times New Roman"/>
          <w:lang w:val="ru-RU"/>
        </w:rPr>
        <w:t>Николаевская</w:t>
      </w:r>
      <w:r>
        <w:rPr>
          <w:rFonts w:ascii="Times New Roman" w:hAnsi="Times New Roman"/>
        </w:rPr>
        <w:t xml:space="preserve"> ООШ» помогает педагогам воспитывать в детях инициативность, самостоятельность, ответственность, трудолюбие, чувство собственного достоинства, а школьникам – предоставляет широкие возможности для самовыражения и самореализации. Это то,  что готовит их к взрослой жизни. Поскольку учащимся подростковых классов не всегда удается самостоятельно организовать свою деятельность, детское самоуправление иногда и на время может трансформироваться  в детско-взрослое самоуправление. </w:t>
      </w:r>
    </w:p>
    <w:p w14:paraId="6D9898A8">
      <w:pPr>
        <w:adjustRightInd w:val="0"/>
        <w:spacing w:after="0" w:line="360" w:lineRule="auto"/>
        <w:ind w:right="-1" w:firstLine="567"/>
        <w:rPr>
          <w:rFonts w:ascii="Times New Roman" w:hAnsi="Times New Roman"/>
          <w:i/>
        </w:rPr>
      </w:pPr>
      <w:r>
        <w:rPr>
          <w:rFonts w:ascii="Times New Roman" w:hAnsi="Times New Roman"/>
        </w:rPr>
        <w:t>Детское самоуправление в школе осуществляется следующим образом:</w:t>
      </w:r>
    </w:p>
    <w:p w14:paraId="553D7804">
      <w:pPr>
        <w:tabs>
          <w:tab w:val="left" w:pos="851"/>
        </w:tabs>
        <w:spacing w:after="0" w:line="360" w:lineRule="auto"/>
        <w:ind w:firstLine="567"/>
        <w:rPr>
          <w:rFonts w:ascii="Times New Roman" w:hAnsi="Times New Roman"/>
          <w:b/>
          <w:i/>
        </w:rPr>
      </w:pPr>
      <w:r>
        <w:rPr>
          <w:rFonts w:ascii="Times New Roman" w:hAnsi="Times New Roman"/>
          <w:b/>
          <w:i/>
        </w:rPr>
        <w:t>На уровне школы:</w:t>
      </w:r>
    </w:p>
    <w:p w14:paraId="1C28B18A">
      <w:pPr>
        <w:pStyle w:val="67"/>
        <w:widowControl/>
        <w:numPr>
          <w:ilvl w:val="0"/>
          <w:numId w:val="5"/>
        </w:numPr>
        <w:tabs>
          <w:tab w:val="left" w:pos="993"/>
          <w:tab w:val="left" w:pos="1310"/>
        </w:tabs>
        <w:spacing w:after="0" w:line="360" w:lineRule="auto"/>
        <w:ind w:left="0" w:firstLine="567"/>
        <w:contextualSpacing w:val="0"/>
        <w:jc w:val="both"/>
        <w:rPr>
          <w:rFonts w:ascii="Times New Roman" w:hAnsi="Times New Roman"/>
          <w:iCs/>
        </w:rPr>
      </w:pPr>
      <w:r>
        <w:rPr>
          <w:rFonts w:ascii="Times New Roman" w:hAnsi="Times New Roman"/>
          <w:iCs/>
        </w:rPr>
        <w:t>через деятельность Совета старост, объединяющего старост классов для облегчения распространения значимой для школьников информации и получения обратной связи от классных коллективов.  Деятельность  Совета старост осуществляется через реализацию следующих функций:</w:t>
      </w:r>
    </w:p>
    <w:p w14:paraId="12B637D3">
      <w:pPr>
        <w:pStyle w:val="67"/>
        <w:tabs>
          <w:tab w:val="left" w:pos="993"/>
          <w:tab w:val="left" w:pos="1310"/>
        </w:tabs>
        <w:spacing w:after="0" w:line="360" w:lineRule="auto"/>
        <w:ind w:left="567"/>
        <w:rPr>
          <w:rFonts w:ascii="Times New Roman" w:hAnsi="Times New Roman"/>
          <w:iCs/>
        </w:rPr>
      </w:pPr>
      <w:r>
        <w:rPr>
          <w:rFonts w:ascii="Times New Roman" w:hAnsi="Times New Roman"/>
          <w:iCs/>
        </w:rPr>
        <w:t>- участие в планировании работы и анализе проведенных общешкольных дел, акций, соревнований;</w:t>
      </w:r>
    </w:p>
    <w:p w14:paraId="2C7A35B1">
      <w:pPr>
        <w:pStyle w:val="67"/>
        <w:tabs>
          <w:tab w:val="left" w:pos="993"/>
          <w:tab w:val="left" w:pos="1310"/>
        </w:tabs>
        <w:spacing w:after="0" w:line="360" w:lineRule="auto"/>
        <w:ind w:left="567"/>
        <w:rPr>
          <w:rFonts w:ascii="Times New Roman" w:hAnsi="Times New Roman"/>
          <w:iCs/>
        </w:rPr>
      </w:pPr>
      <w:r>
        <w:rPr>
          <w:rFonts w:ascii="Times New Roman" w:hAnsi="Times New Roman"/>
          <w:iCs/>
        </w:rPr>
        <w:t>- организация и проведение общешкольных мероприятий, распределение поручений по их проведению;</w:t>
      </w:r>
    </w:p>
    <w:p w14:paraId="00725C5E">
      <w:pPr>
        <w:pStyle w:val="67"/>
        <w:tabs>
          <w:tab w:val="left" w:pos="993"/>
          <w:tab w:val="left" w:pos="1310"/>
        </w:tabs>
        <w:spacing w:after="0" w:line="360" w:lineRule="auto"/>
        <w:ind w:left="567"/>
        <w:rPr>
          <w:rFonts w:ascii="Times New Roman" w:hAnsi="Times New Roman"/>
          <w:iCs/>
        </w:rPr>
      </w:pPr>
      <w:r>
        <w:rPr>
          <w:rFonts w:ascii="Times New Roman" w:hAnsi="Times New Roman"/>
          <w:iCs/>
        </w:rPr>
        <w:t>- организация и контроль дежурства по школе;</w:t>
      </w:r>
    </w:p>
    <w:p w14:paraId="07726A5E">
      <w:pPr>
        <w:pStyle w:val="67"/>
        <w:tabs>
          <w:tab w:val="left" w:pos="993"/>
          <w:tab w:val="left" w:pos="1310"/>
        </w:tabs>
        <w:spacing w:after="0" w:line="360" w:lineRule="auto"/>
        <w:ind w:left="567"/>
        <w:rPr>
          <w:rFonts w:ascii="Times New Roman" w:hAnsi="Times New Roman"/>
          <w:iCs/>
        </w:rPr>
      </w:pPr>
      <w:r>
        <w:rPr>
          <w:rFonts w:ascii="Times New Roman" w:hAnsi="Times New Roman"/>
          <w:iCs/>
        </w:rPr>
        <w:t>- координация деятельности классных Советов учащихся;</w:t>
      </w:r>
    </w:p>
    <w:p w14:paraId="4009485D">
      <w:pPr>
        <w:pStyle w:val="67"/>
        <w:tabs>
          <w:tab w:val="left" w:pos="993"/>
          <w:tab w:val="left" w:pos="1310"/>
        </w:tabs>
        <w:spacing w:after="0" w:line="360" w:lineRule="auto"/>
        <w:ind w:left="567"/>
        <w:rPr>
          <w:rFonts w:ascii="Times New Roman" w:hAnsi="Times New Roman"/>
          <w:iCs/>
        </w:rPr>
      </w:pPr>
      <w:r>
        <w:rPr>
          <w:rFonts w:ascii="Times New Roman" w:hAnsi="Times New Roman"/>
          <w:iCs/>
        </w:rPr>
        <w:t>- представление интересов обучающихся на заседаниях Совета старост, Управляющего Совета;</w:t>
      </w:r>
    </w:p>
    <w:p w14:paraId="680BE47E">
      <w:pPr>
        <w:pStyle w:val="67"/>
        <w:tabs>
          <w:tab w:val="left" w:pos="993"/>
          <w:tab w:val="left" w:pos="1310"/>
        </w:tabs>
        <w:spacing w:after="0" w:line="360" w:lineRule="auto"/>
        <w:ind w:left="567"/>
        <w:rPr>
          <w:rFonts w:ascii="Times New Roman" w:hAnsi="Times New Roman"/>
          <w:iCs/>
        </w:rPr>
      </w:pPr>
      <w:r>
        <w:rPr>
          <w:rFonts w:ascii="Times New Roman" w:hAnsi="Times New Roman"/>
          <w:iCs/>
        </w:rPr>
        <w:t>- изучение мнения обучающихся по актуальным вопросам школьной жизни;</w:t>
      </w:r>
    </w:p>
    <w:p w14:paraId="608F237E">
      <w:pPr>
        <w:tabs>
          <w:tab w:val="left" w:pos="851"/>
        </w:tabs>
        <w:spacing w:after="0" w:line="360" w:lineRule="auto"/>
        <w:ind w:firstLine="567"/>
        <w:rPr>
          <w:rFonts w:ascii="Times New Roman" w:hAnsi="Times New Roman"/>
          <w:bCs/>
          <w:i/>
        </w:rPr>
      </w:pPr>
      <w:r>
        <w:rPr>
          <w:rFonts w:ascii="Times New Roman" w:hAnsi="Times New Roman"/>
          <w:b/>
          <w:i/>
        </w:rPr>
        <w:t>На уровне классов</w:t>
      </w:r>
      <w:r>
        <w:rPr>
          <w:rFonts w:ascii="Times New Roman" w:hAnsi="Times New Roman"/>
          <w:bCs/>
          <w:i/>
        </w:rPr>
        <w:t>:</w:t>
      </w:r>
    </w:p>
    <w:p w14:paraId="0B72EF68">
      <w:pPr>
        <w:pStyle w:val="67"/>
        <w:widowControl/>
        <w:numPr>
          <w:ilvl w:val="0"/>
          <w:numId w:val="5"/>
        </w:numPr>
        <w:tabs>
          <w:tab w:val="left" w:pos="993"/>
          <w:tab w:val="left" w:pos="1310"/>
        </w:tabs>
        <w:spacing w:after="0" w:line="360" w:lineRule="auto"/>
        <w:ind w:left="0" w:firstLine="567"/>
        <w:contextualSpacing w:val="0"/>
        <w:jc w:val="both"/>
        <w:rPr>
          <w:rFonts w:ascii="Times New Roman" w:hAnsi="Times New Roman"/>
        </w:rPr>
      </w:pPr>
      <w:r>
        <w:rPr>
          <w:rFonts w:ascii="Times New Roman" w:hAnsi="Times New Roman"/>
          <w:iCs/>
        </w:rPr>
        <w:t xml:space="preserve">через </w:t>
      </w:r>
      <w:r>
        <w:rPr>
          <w:rFonts w:ascii="Times New Roman" w:hAnsi="Times New Roman"/>
        </w:rPr>
        <w:t>деятельность выборных по инициативе и предложениям учащихся класса старост, представляющих интересы класса в общешкольных делах и призванных координировать его работу с работой общешкольных органов самоуправления и классных руководителей;</w:t>
      </w:r>
    </w:p>
    <w:p w14:paraId="1C21046A">
      <w:pPr>
        <w:pStyle w:val="67"/>
        <w:widowControl/>
        <w:numPr>
          <w:ilvl w:val="0"/>
          <w:numId w:val="5"/>
        </w:numPr>
        <w:tabs>
          <w:tab w:val="left" w:pos="993"/>
          <w:tab w:val="left" w:pos="1310"/>
        </w:tabs>
        <w:spacing w:after="0" w:line="360" w:lineRule="auto"/>
        <w:ind w:left="0" w:firstLine="567"/>
        <w:contextualSpacing w:val="0"/>
        <w:jc w:val="both"/>
        <w:rPr>
          <w:rFonts w:ascii="Times New Roman" w:hAnsi="Times New Roman"/>
          <w:iCs/>
        </w:rPr>
      </w:pPr>
      <w:r>
        <w:rPr>
          <w:rFonts w:ascii="Times New Roman" w:hAnsi="Times New Roman"/>
          <w:iCs/>
        </w:rPr>
        <w:t>через деятельность выборных Советов классов, отвечающих за различные направления работы класса (например: спортивный сектор, творческий сектор);</w:t>
      </w:r>
    </w:p>
    <w:p w14:paraId="6299F98F">
      <w:pPr>
        <w:spacing w:after="0" w:line="360" w:lineRule="auto"/>
        <w:ind w:firstLine="567"/>
        <w:rPr>
          <w:rStyle w:val="2529"/>
          <w:rFonts w:hAnsi="Times New Roman" w:eastAsia="№Е"/>
          <w:b/>
          <w:bCs/>
          <w:i w:val="0"/>
          <w:iCs/>
          <w:sz w:val="22"/>
        </w:rPr>
      </w:pPr>
      <w:r>
        <w:rPr>
          <w:rFonts w:ascii="Times New Roman" w:hAnsi="Times New Roman"/>
          <w:b/>
          <w:bCs/>
          <w:i/>
          <w:iCs/>
        </w:rPr>
        <w:t>На индивидуальном уровне:</w:t>
      </w:r>
      <w:r>
        <w:rPr>
          <w:rStyle w:val="2529"/>
          <w:rFonts w:hAnsi="Times New Roman" w:eastAsia="№Е"/>
          <w:b/>
          <w:bCs/>
          <w:iCs/>
          <w:sz w:val="22"/>
        </w:rPr>
        <w:t xml:space="preserve"> </w:t>
      </w:r>
    </w:p>
    <w:p w14:paraId="3B2057CB">
      <w:pPr>
        <w:pStyle w:val="67"/>
        <w:widowControl/>
        <w:numPr>
          <w:ilvl w:val="0"/>
          <w:numId w:val="5"/>
        </w:numPr>
        <w:tabs>
          <w:tab w:val="left" w:pos="993"/>
          <w:tab w:val="left" w:pos="1310"/>
        </w:tabs>
        <w:spacing w:after="0" w:line="360" w:lineRule="auto"/>
        <w:ind w:left="0" w:firstLine="567"/>
        <w:contextualSpacing w:val="0"/>
        <w:jc w:val="both"/>
        <w:rPr>
          <w:rFonts w:ascii="Times New Roman" w:hAnsi="Times New Roman"/>
        </w:rPr>
      </w:pPr>
      <w:r>
        <w:rPr>
          <w:rFonts w:ascii="Times New Roman" w:hAnsi="Times New Roman"/>
          <w:iCs/>
        </w:rPr>
        <w:t xml:space="preserve">через </w:t>
      </w:r>
      <w:r>
        <w:rPr>
          <w:rFonts w:ascii="Times New Roman" w:hAnsi="Times New Roman"/>
        </w:rPr>
        <w:t>вовлечение школьников в планирование, организацию, проведение и анализ общешкольных и внутриклассных дел;</w:t>
      </w:r>
    </w:p>
    <w:p w14:paraId="016047BA">
      <w:pPr>
        <w:pStyle w:val="67"/>
        <w:widowControl/>
        <w:numPr>
          <w:ilvl w:val="0"/>
          <w:numId w:val="5"/>
        </w:numPr>
        <w:tabs>
          <w:tab w:val="left" w:pos="993"/>
          <w:tab w:val="left" w:pos="1310"/>
        </w:tabs>
        <w:spacing w:after="0" w:line="360" w:lineRule="auto"/>
        <w:ind w:left="0" w:firstLine="567"/>
        <w:contextualSpacing w:val="0"/>
        <w:jc w:val="both"/>
        <w:rPr>
          <w:rFonts w:ascii="Times New Roman" w:hAnsi="Times New Roman"/>
          <w:iCs/>
        </w:rPr>
      </w:pPr>
      <w:r>
        <w:rPr>
          <w:rFonts w:ascii="Times New Roman" w:hAnsi="Times New Roman"/>
          <w:iCs/>
        </w:rPr>
        <w:t>через реализацию школьниками, взявшими на себя соответствующую роль, функций по контролю за порядком и чистотой в классе, уходом за классной комнатой, комнатными растениями и т.п.</w:t>
      </w:r>
    </w:p>
    <w:p w14:paraId="5B15DB5D">
      <w:pPr>
        <w:numPr>
          <w:ilvl w:val="0"/>
          <w:numId w:val="5"/>
        </w:numPr>
        <w:tabs>
          <w:tab w:val="left" w:pos="993"/>
          <w:tab w:val="left" w:pos="1310"/>
        </w:tabs>
        <w:autoSpaceDE w:val="0"/>
        <w:autoSpaceDN w:val="0"/>
        <w:spacing w:after="0" w:line="360" w:lineRule="auto"/>
        <w:ind w:left="0" w:firstLine="567"/>
        <w:jc w:val="both"/>
        <w:rPr>
          <w:rFonts w:ascii="Times New Roman" w:hAnsi="Times New Roman"/>
        </w:rPr>
      </w:pPr>
      <w:r>
        <w:rPr>
          <w:rFonts w:ascii="Times New Roman" w:hAnsi="Times New Roman"/>
        </w:rPr>
        <w:t xml:space="preserve">организацию общественно полезных дел, дающих детям возможность получить важный для их личностного развития опыт осуществления дел, направленных на помощь другим людям, своей школе, обществу в целом; развить в себе такие качества как внимание, забота, уважение, умение сопереживать, умение общаться, слушать и слышать других; </w:t>
      </w:r>
    </w:p>
    <w:p w14:paraId="33984C2F">
      <w:pPr>
        <w:pStyle w:val="67"/>
        <w:widowControl/>
        <w:numPr>
          <w:ilvl w:val="0"/>
          <w:numId w:val="5"/>
        </w:numPr>
        <w:tabs>
          <w:tab w:val="left" w:pos="993"/>
          <w:tab w:val="left" w:pos="1310"/>
        </w:tabs>
        <w:spacing w:after="0" w:line="360" w:lineRule="auto"/>
        <w:ind w:left="0" w:firstLine="567"/>
        <w:contextualSpacing w:val="0"/>
        <w:jc w:val="both"/>
        <w:rPr>
          <w:rFonts w:ascii="Times New Roman" w:hAnsi="Times New Roman"/>
          <w:lang w:eastAsia="ko-KR"/>
        </w:rPr>
      </w:pPr>
      <w:r>
        <w:rPr>
          <w:rFonts w:ascii="Times New Roman" w:hAnsi="Times New Roman"/>
          <w:lang w:eastAsia="ko-KR"/>
        </w:rPr>
        <w:t>поддержку и развитие в детском объединении его традиций и ритуалов, формирующих у ребенка чувство общности с другими его членами, чувство причастности к тому, что происходит в объединении (реализуется посредством введения особой символики детского объединения, проведения ежегодной церемонии посвящения в члены детского объединения, создания и поддержки интернет-странички детского объединения в соцсетях, организации деятельности пресс-центра детского объединения, проведения традиционных огоньков – формы коллективного анализа проводимых детским объединением дел);</w:t>
      </w:r>
    </w:p>
    <w:p w14:paraId="33704204">
      <w:pPr>
        <w:pStyle w:val="67"/>
        <w:widowControl/>
        <w:numPr>
          <w:ilvl w:val="0"/>
          <w:numId w:val="5"/>
        </w:numPr>
        <w:tabs>
          <w:tab w:val="left" w:pos="993"/>
          <w:tab w:val="left" w:pos="1310"/>
        </w:tabs>
        <w:spacing w:after="0" w:line="353" w:lineRule="auto"/>
        <w:ind w:left="0" w:firstLine="709"/>
        <w:contextualSpacing w:val="0"/>
        <w:jc w:val="center"/>
        <w:rPr>
          <w:rFonts w:ascii="Times New Roman" w:hAnsi="Times New Roman" w:eastAsia="SchoolBookSanPin"/>
          <w:i/>
        </w:rPr>
      </w:pPr>
      <w:r>
        <w:rPr>
          <w:rFonts w:ascii="Times New Roman" w:hAnsi="Times New Roman"/>
          <w:lang w:eastAsia="ko-KR"/>
        </w:rPr>
        <w:t xml:space="preserve">участие членов детского общественного объединения в волонтерских акциях, деятельности на благо конкретных людей и социального окружения в целом. Это может быть как участием школьников в проведении разовых акций, которые часто носят масштабный характер, так и постоянной деятельностью школьников. </w:t>
      </w:r>
    </w:p>
    <w:p w14:paraId="3E268C39">
      <w:pPr>
        <w:widowControl/>
        <w:spacing w:after="0" w:line="353" w:lineRule="auto"/>
        <w:ind w:firstLine="709"/>
        <w:jc w:val="center"/>
        <w:rPr>
          <w:rFonts w:ascii="Times New Roman" w:hAnsi="Times New Roman" w:eastAsia="SchoolBookSanPin"/>
          <w:i/>
        </w:rPr>
      </w:pPr>
      <w:r>
        <w:rPr>
          <w:rFonts w:ascii="Times New Roman" w:hAnsi="Times New Roman" w:eastAsia="SchoolBookSanPin"/>
          <w:i/>
        </w:rPr>
        <w:t>Модуль «</w:t>
      </w:r>
      <w:r>
        <w:rPr>
          <w:rFonts w:ascii="Times New Roman" w:hAnsi="Times New Roman" w:eastAsia="SchoolBookSanPin"/>
          <w:bCs/>
          <w:i/>
        </w:rPr>
        <w:t>Профилактика и безопасность»</w:t>
      </w:r>
    </w:p>
    <w:p w14:paraId="6BBA86ED">
      <w:pPr>
        <w:widowControl/>
        <w:spacing w:after="0" w:line="353" w:lineRule="auto"/>
        <w:ind w:firstLine="709"/>
        <w:jc w:val="both"/>
        <w:rPr>
          <w:rFonts w:ascii="Times New Roman" w:hAnsi="Times New Roman" w:eastAsia="SchoolBookSanPin"/>
        </w:rPr>
      </w:pPr>
      <w:r>
        <w:rPr>
          <w:rFonts w:ascii="Times New Roman" w:hAnsi="Times New Roman" w:eastAsia="SchoolBookSanPin"/>
        </w:rPr>
        <w:t>Реализация воспитательного потенциала профилактической деятельности в целях формирования и поддержки безопасной и комфортной среды в МБОУ «</w:t>
      </w:r>
      <w:r>
        <w:rPr>
          <w:rFonts w:ascii="Times New Roman" w:hAnsi="Times New Roman" w:eastAsia="SchoolBookSanPin"/>
          <w:lang w:val="ru-RU"/>
        </w:rPr>
        <w:t>Николаевская</w:t>
      </w:r>
      <w:r>
        <w:rPr>
          <w:rFonts w:ascii="Times New Roman" w:hAnsi="Times New Roman" w:eastAsia="SchoolBookSanPin"/>
        </w:rPr>
        <w:t xml:space="preserve"> ООШ» предусматривает:</w:t>
      </w:r>
    </w:p>
    <w:p w14:paraId="3FE9AC0E">
      <w:pPr>
        <w:widowControl/>
        <w:spacing w:after="0" w:line="353" w:lineRule="auto"/>
        <w:ind w:firstLine="709"/>
        <w:jc w:val="both"/>
        <w:rPr>
          <w:rFonts w:ascii="Times New Roman" w:hAnsi="Times New Roman" w:eastAsia="SchoolBookSanPin"/>
        </w:rPr>
      </w:pPr>
      <w:r>
        <w:rPr>
          <w:rFonts w:ascii="Times New Roman" w:hAnsi="Times New Roman"/>
        </w:rPr>
        <w:t>организацию деятельности педагогического коллектива по созданию в общеобразовательной организации эффективной профилактической среды с целью обеспечения безопасности жизнедеятельности как условия успешной воспитательной деятельности</w:t>
      </w:r>
      <w:r>
        <w:rPr>
          <w:rFonts w:ascii="Times New Roman" w:hAnsi="Times New Roman" w:eastAsia="SchoolBookSanPin"/>
        </w:rPr>
        <w:t>;</w:t>
      </w:r>
    </w:p>
    <w:p w14:paraId="247E7EA1">
      <w:pPr>
        <w:widowControl/>
        <w:spacing w:after="0" w:line="353" w:lineRule="auto"/>
        <w:ind w:firstLine="709"/>
        <w:jc w:val="both"/>
        <w:rPr>
          <w:rFonts w:ascii="Times New Roman" w:hAnsi="Times New Roman" w:eastAsia="SchoolBookSanPin"/>
        </w:rPr>
      </w:pPr>
      <w:r>
        <w:rPr>
          <w:rFonts w:ascii="Times New Roman" w:hAnsi="Times New Roman" w:eastAsia="SchoolBookSanPin"/>
        </w:rPr>
        <w:t>проведение исследований, мониторинга рисков безопасности и ресурсов повышения безопасности, выделение и психолого-педагогическое сопровождение групп риска обучающихся по разным направлениям (агрессивное поведение, зависимости и другие);</w:t>
      </w:r>
    </w:p>
    <w:p w14:paraId="1A5CBEB6">
      <w:pPr>
        <w:widowControl/>
        <w:spacing w:after="0" w:line="353" w:lineRule="auto"/>
        <w:ind w:firstLine="709"/>
        <w:jc w:val="both"/>
        <w:rPr>
          <w:rFonts w:ascii="Times New Roman" w:hAnsi="Times New Roman" w:eastAsia="SchoolBookSanPin"/>
        </w:rPr>
      </w:pPr>
      <w:r>
        <w:rPr>
          <w:rFonts w:ascii="Times New Roman" w:hAnsi="Times New Roman" w:eastAsia="SchoolBookSanPin"/>
        </w:rPr>
        <w:t>проведение коррекционно-воспитательной работы с обучающимся групп риска силами педагогического коллектива и с привлечением сторонних специалистов (психологов, конфликтологов, коррекционных педагогов, работников социальных служб, правоохранительных органов, опеки и других);</w:t>
      </w:r>
    </w:p>
    <w:p w14:paraId="6125BEED">
      <w:pPr>
        <w:widowControl/>
        <w:spacing w:after="0" w:line="353" w:lineRule="auto"/>
        <w:ind w:firstLine="709"/>
        <w:jc w:val="both"/>
        <w:rPr>
          <w:rFonts w:ascii="Times New Roman" w:hAnsi="Times New Roman" w:eastAsia="SchoolBookSanPin"/>
        </w:rPr>
      </w:pPr>
      <w:r>
        <w:rPr>
          <w:rFonts w:ascii="Times New Roman" w:hAnsi="Times New Roman" w:eastAsia="SchoolBookSanPin"/>
        </w:rPr>
        <w:t>разработку и реализацию профилактических программ, направленных на работу как с девиантными обучающимися, так и с их окружением; организацию межведомственного взаимодействия;</w:t>
      </w:r>
    </w:p>
    <w:p w14:paraId="56D6AF04">
      <w:pPr>
        <w:widowControl/>
        <w:spacing w:after="0" w:line="353" w:lineRule="auto"/>
        <w:ind w:firstLine="709"/>
        <w:jc w:val="both"/>
        <w:rPr>
          <w:rFonts w:ascii="Times New Roman" w:hAnsi="Times New Roman" w:eastAsia="SchoolBookSanPin"/>
        </w:rPr>
      </w:pPr>
      <w:r>
        <w:rPr>
          <w:rFonts w:ascii="Times New Roman" w:hAnsi="Times New Roman" w:eastAsia="SchoolBookSanPin"/>
        </w:rPr>
        <w:t>вовлечение обучающихся в воспитательную деятельность, проекты, программы профилактической направленности социальных и природных рисков в образовательной организации и в социокультурном окружении с педагогами, родителями, социальными партнёрами (антинаркотические, антиалкогольные, против курения, вовлечения в деструктивные детские и молодёжные объединения, культы, субкультуры, группы в социальных сетях; по безопасности в цифровой среде, на транспорте, на воде, безопасности дорожного движения, противопожарной безопасности, антитеррористической и антиэкстремистской безопасности, гражданской обороне и другие);</w:t>
      </w:r>
    </w:p>
    <w:p w14:paraId="6B9F9000">
      <w:pPr>
        <w:widowControl/>
        <w:spacing w:after="0" w:line="353" w:lineRule="auto"/>
        <w:ind w:firstLine="709"/>
        <w:jc w:val="both"/>
        <w:rPr>
          <w:rFonts w:ascii="Times New Roman" w:hAnsi="Times New Roman" w:eastAsia="SchoolBookSanPin"/>
        </w:rPr>
      </w:pPr>
      <w:r>
        <w:rPr>
          <w:rFonts w:ascii="Times New Roman" w:hAnsi="Times New Roman" w:eastAsia="SchoolBookSanPin"/>
        </w:rPr>
        <w:t>организацию превентивной работы с обучающимися со сценариями социально одобряемого поведения, по развитию навыков саморефлексии, самоконтроля, устойчивости к негативным воздействиям, групповому давлению;</w:t>
      </w:r>
    </w:p>
    <w:p w14:paraId="4637A8C7">
      <w:pPr>
        <w:widowControl/>
        <w:spacing w:after="0" w:line="353" w:lineRule="auto"/>
        <w:ind w:firstLine="709"/>
        <w:jc w:val="both"/>
        <w:rPr>
          <w:rFonts w:ascii="Times New Roman" w:hAnsi="Times New Roman" w:eastAsia="SchoolBookSanPin"/>
        </w:rPr>
      </w:pPr>
      <w:r>
        <w:rPr>
          <w:rFonts w:ascii="Times New Roman" w:hAnsi="Times New Roman" w:eastAsia="SchoolBookSanPin"/>
        </w:rPr>
        <w:t>профилактику правонарушений, девиаций посредством организации деятельности, альтернативной девиантному поведению, – познания (путешествия), испытания себя (походы, спорт), значимого общения, творчества, деятельности (в том числе профессиональной, религиозно-духовной, благотворительной, художественной и другой);</w:t>
      </w:r>
    </w:p>
    <w:p w14:paraId="52D37259">
      <w:pPr>
        <w:widowControl/>
        <w:spacing w:after="0" w:line="353" w:lineRule="auto"/>
        <w:ind w:firstLine="709"/>
        <w:jc w:val="both"/>
        <w:rPr>
          <w:rFonts w:ascii="Times New Roman" w:hAnsi="Times New Roman" w:eastAsia="SchoolBookSanPin"/>
        </w:rPr>
      </w:pPr>
      <w:r>
        <w:rPr>
          <w:rFonts w:ascii="Times New Roman" w:hAnsi="Times New Roman" w:eastAsia="SchoolBookSanPin"/>
        </w:rPr>
        <w:t>предупреждение, профилактику и целенаправленную деятельность в случаях появления, расширения, влияния в образовательной организации маргинальных групп обучающихся (оставивших обучение, криминальной направленности, с агрессивным поведением и других);</w:t>
      </w:r>
    </w:p>
    <w:p w14:paraId="3E07BE2E">
      <w:pPr>
        <w:widowControl/>
        <w:spacing w:after="0" w:line="353" w:lineRule="auto"/>
        <w:ind w:firstLine="709"/>
        <w:jc w:val="both"/>
        <w:rPr>
          <w:rFonts w:ascii="Times New Roman" w:hAnsi="Times New Roman" w:eastAsia="SchoolBookSanPin"/>
        </w:rPr>
      </w:pPr>
      <w:r>
        <w:rPr>
          <w:rFonts w:ascii="Times New Roman" w:hAnsi="Times New Roman" w:eastAsia="SchoolBookSanPin"/>
        </w:rPr>
        <w:t>профилактику расширения групп, семей обучающихся, требующих специальной психолого-педагогической поддержки и сопровождения (слабоуспевающие, социально запущенные, социально неадаптированные дети-мигранты, обучающиеся с ОВЗ и другие).</w:t>
      </w:r>
    </w:p>
    <w:p w14:paraId="54626EEA">
      <w:pPr>
        <w:widowControl/>
        <w:spacing w:after="0" w:line="353" w:lineRule="auto"/>
        <w:ind w:firstLine="709"/>
        <w:jc w:val="center"/>
        <w:rPr>
          <w:rFonts w:ascii="Times New Roman" w:hAnsi="Times New Roman" w:eastAsia="SchoolBookSanPin"/>
          <w:i/>
        </w:rPr>
      </w:pPr>
      <w:r>
        <w:rPr>
          <w:rFonts w:ascii="Times New Roman" w:hAnsi="Times New Roman" w:eastAsia="SchoolBookSanPin"/>
          <w:i/>
        </w:rPr>
        <w:t>Модуль «</w:t>
      </w:r>
      <w:r>
        <w:rPr>
          <w:rFonts w:ascii="Times New Roman" w:hAnsi="Times New Roman" w:eastAsia="SchoolBookSanPin"/>
          <w:bCs/>
          <w:i/>
        </w:rPr>
        <w:t>Социальное партнёрство»</w:t>
      </w:r>
    </w:p>
    <w:p w14:paraId="4C33BFAA">
      <w:pPr>
        <w:widowControl/>
        <w:spacing w:after="0" w:line="353" w:lineRule="auto"/>
        <w:ind w:firstLine="709"/>
        <w:jc w:val="both"/>
        <w:rPr>
          <w:rFonts w:ascii="Times New Roman" w:hAnsi="Times New Roman" w:eastAsia="SchoolBookSanPin"/>
        </w:rPr>
      </w:pPr>
      <w:r>
        <w:rPr>
          <w:rFonts w:ascii="Times New Roman" w:hAnsi="Times New Roman" w:eastAsia="SchoolBookSanPin"/>
        </w:rPr>
        <w:t>Реализация воспитательного потенциала социального партнёрства предусматривает:</w:t>
      </w:r>
    </w:p>
    <w:p w14:paraId="447CC3CD">
      <w:pPr>
        <w:widowControl/>
        <w:numPr>
          <w:ilvl w:val="0"/>
          <w:numId w:val="8"/>
        </w:numPr>
        <w:spacing w:after="0" w:line="353" w:lineRule="auto"/>
        <w:jc w:val="both"/>
        <w:rPr>
          <w:rFonts w:ascii="Times New Roman" w:hAnsi="Times New Roman" w:eastAsia="SchoolBookSanPin"/>
        </w:rPr>
      </w:pPr>
      <w:r>
        <w:rPr>
          <w:rFonts w:ascii="Times New Roman" w:hAnsi="Times New Roman" w:eastAsia="SchoolBookSanPin"/>
        </w:rPr>
        <w:t>участие представителей организаций-партнёров, в том числе в соответствии с договорами о сотрудничестве, в проведении отдельных мероприятий в рамках рабочей программы воспитания и календарного плана воспитательной работы (дни открытых дверей, государственные, региональные, школьные праздники, торжественные мероприятия и т.</w:t>
      </w:r>
      <w:r>
        <w:rPr>
          <w:rFonts w:ascii="Times New Roman" w:hAnsi="Times New Roman" w:eastAsia="SchoolBookSanPin"/>
          <w:lang w:val="en-US"/>
        </w:rPr>
        <w:t> </w:t>
      </w:r>
      <w:r>
        <w:rPr>
          <w:rFonts w:ascii="Times New Roman" w:hAnsi="Times New Roman" w:eastAsia="SchoolBookSanPin"/>
        </w:rPr>
        <w:t>п.);</w:t>
      </w:r>
    </w:p>
    <w:p w14:paraId="33613AB7">
      <w:pPr>
        <w:widowControl/>
        <w:numPr>
          <w:ilvl w:val="0"/>
          <w:numId w:val="8"/>
        </w:numPr>
        <w:spacing w:after="0" w:line="353" w:lineRule="auto"/>
        <w:jc w:val="both"/>
        <w:rPr>
          <w:rFonts w:ascii="Times New Roman" w:hAnsi="Times New Roman" w:eastAsia="SchoolBookSanPin"/>
        </w:rPr>
      </w:pPr>
      <w:r>
        <w:rPr>
          <w:rFonts w:ascii="Times New Roman" w:hAnsi="Times New Roman" w:eastAsia="SchoolBookSanPin"/>
        </w:rPr>
        <w:t>участие представителей организаций-партнёров в проведении отдельных уроков, внеурочных занятий, внешкольных мероприятий соответствующей тематической направленности;</w:t>
      </w:r>
    </w:p>
    <w:p w14:paraId="1C931219">
      <w:pPr>
        <w:widowControl/>
        <w:numPr>
          <w:ilvl w:val="0"/>
          <w:numId w:val="8"/>
        </w:numPr>
        <w:spacing w:after="0" w:line="353" w:lineRule="auto"/>
        <w:jc w:val="both"/>
        <w:rPr>
          <w:rFonts w:ascii="Times New Roman" w:hAnsi="Times New Roman" w:eastAsia="SchoolBookSanPin"/>
        </w:rPr>
      </w:pPr>
      <w:r>
        <w:rPr>
          <w:rFonts w:ascii="Times New Roman" w:hAnsi="Times New Roman" w:eastAsia="SchoolBookSanPin"/>
        </w:rPr>
        <w:t>проведение на базе организаций-партнёров отдельных уроков, занятий, внешкольных мероприятий, акций воспитательной направленности;</w:t>
      </w:r>
    </w:p>
    <w:p w14:paraId="6B1AEA81">
      <w:pPr>
        <w:widowControl/>
        <w:numPr>
          <w:ilvl w:val="0"/>
          <w:numId w:val="8"/>
        </w:numPr>
        <w:spacing w:after="0" w:line="353" w:lineRule="auto"/>
        <w:jc w:val="both"/>
        <w:rPr>
          <w:rFonts w:ascii="Times New Roman" w:hAnsi="Times New Roman" w:eastAsia="SchoolBookSanPin"/>
        </w:rPr>
      </w:pPr>
      <w:r>
        <w:rPr>
          <w:rFonts w:ascii="Times New Roman" w:hAnsi="Times New Roman" w:eastAsia="SchoolBookSanPin"/>
        </w:rPr>
        <w:t>проведение открытых дискуссионных площадок (детских, педагогических, родительских) с представителями организаций-партнёров для обсуждений актуальных проблем, касающихся жизни общеобразовательной организации, муниципального образования, региона, страны;</w:t>
      </w:r>
    </w:p>
    <w:p w14:paraId="23890394">
      <w:pPr>
        <w:widowControl/>
        <w:numPr>
          <w:ilvl w:val="0"/>
          <w:numId w:val="8"/>
        </w:numPr>
        <w:spacing w:after="0" w:line="353" w:lineRule="auto"/>
        <w:jc w:val="both"/>
        <w:rPr>
          <w:rFonts w:ascii="Times New Roman" w:hAnsi="Times New Roman" w:eastAsia="SchoolBookSanPin"/>
        </w:rPr>
      </w:pPr>
      <w:r>
        <w:rPr>
          <w:rFonts w:ascii="Times New Roman" w:hAnsi="Times New Roman" w:eastAsia="SchoolBookSanPin"/>
        </w:rPr>
        <w:t>реализация социальных проектов, совместно разрабатываемых обучающимися, педагогами с организациями-партнёрами благотворительной, экологической, патриотической, трудовой и т.</w:t>
      </w:r>
      <w:r>
        <w:rPr>
          <w:rFonts w:ascii="Times New Roman" w:hAnsi="Times New Roman" w:eastAsia="SchoolBookSanPin"/>
          <w:lang w:val="en-US"/>
        </w:rPr>
        <w:t> </w:t>
      </w:r>
      <w:r>
        <w:rPr>
          <w:rFonts w:ascii="Times New Roman" w:hAnsi="Times New Roman" w:eastAsia="SchoolBookSanPin"/>
        </w:rPr>
        <w:t>д. направленности, ориентированных на воспитание обучающихся, преобразование окружающего социума, позитивное воздействие на социальное окружение.</w:t>
      </w:r>
    </w:p>
    <w:p w14:paraId="768867D9">
      <w:pPr>
        <w:widowControl/>
        <w:spacing w:after="0" w:line="353" w:lineRule="auto"/>
        <w:ind w:firstLine="709"/>
        <w:jc w:val="center"/>
        <w:rPr>
          <w:rFonts w:ascii="Times New Roman" w:hAnsi="Times New Roman" w:eastAsia="SchoolBookSanPin"/>
          <w:i/>
        </w:rPr>
      </w:pPr>
      <w:r>
        <w:rPr>
          <w:rFonts w:ascii="Times New Roman" w:hAnsi="Times New Roman" w:eastAsia="SchoolBookSanPin"/>
          <w:i/>
        </w:rPr>
        <w:t>Модуль «</w:t>
      </w:r>
      <w:r>
        <w:rPr>
          <w:rFonts w:ascii="Times New Roman" w:hAnsi="Times New Roman" w:eastAsia="SchoolBookSanPin"/>
          <w:bCs/>
          <w:i/>
        </w:rPr>
        <w:t>Профориентация»</w:t>
      </w:r>
    </w:p>
    <w:p w14:paraId="51C4E63C">
      <w:pPr>
        <w:widowControl/>
        <w:spacing w:after="0" w:line="353" w:lineRule="auto"/>
        <w:ind w:firstLine="709"/>
        <w:jc w:val="both"/>
        <w:rPr>
          <w:rFonts w:ascii="Times New Roman" w:hAnsi="Times New Roman" w:eastAsia="SchoolBookSanPin"/>
        </w:rPr>
      </w:pPr>
      <w:r>
        <w:rPr>
          <w:rFonts w:ascii="Times New Roman" w:hAnsi="Times New Roman" w:eastAsia="SchoolBookSanPin"/>
        </w:rPr>
        <w:t>Совместная деятельность педагогических работников и обучающихся по направлению «профориентация» включает в себя профессиональное просвещение школьников; диагностику и консультирование по проблемам профориентации, организацию профессиональных проб школьников. Задача совместной деятельности педагога и ребенка – подготовить школьника к осознанному выбору своей будущей профессиональной деятельности. Создавая профориентационно - значимые проблемные ситуации, формирующие готовность школьника к выбору, педагог актуализирует его профессиональное самоопределение, позитивный взгляд на труд в постиндустриальном мире, охватывающий не только профессиональную, но и внепрофессиональную составляющие такой деятельности. Эта работа осуществляется через:</w:t>
      </w:r>
    </w:p>
    <w:p w14:paraId="5734EF66">
      <w:pPr>
        <w:widowControl/>
        <w:numPr>
          <w:ilvl w:val="0"/>
          <w:numId w:val="9"/>
        </w:numPr>
        <w:spacing w:after="0" w:line="350" w:lineRule="auto"/>
        <w:jc w:val="both"/>
        <w:rPr>
          <w:rFonts w:ascii="Times New Roman" w:hAnsi="Times New Roman" w:eastAsia="SchoolBookSanPin"/>
        </w:rPr>
      </w:pPr>
      <w:r>
        <w:rPr>
          <w:rFonts w:ascii="Times New Roman" w:hAnsi="Times New Roman" w:eastAsia="SchoolBookSanPin"/>
        </w:rPr>
        <w:t>экскурсии на предприятия города (в том числе - места работы родителей учащихся), дающие школьникам начальные представления о существующих профессиях и условиях работы людей, представляющих эти профессии;</w:t>
      </w:r>
    </w:p>
    <w:p w14:paraId="066F659D">
      <w:pPr>
        <w:widowControl/>
        <w:numPr>
          <w:ilvl w:val="0"/>
          <w:numId w:val="9"/>
        </w:numPr>
        <w:spacing w:after="0" w:line="350" w:lineRule="auto"/>
        <w:ind w:firstLine="709"/>
        <w:jc w:val="both"/>
        <w:rPr>
          <w:rFonts w:ascii="Times New Roman" w:hAnsi="Times New Roman" w:eastAsia="SchoolBookSanPin"/>
        </w:rPr>
      </w:pPr>
      <w:r>
        <w:rPr>
          <w:rFonts w:ascii="Times New Roman" w:hAnsi="Times New Roman" w:eastAsia="SchoolBookSanPin"/>
        </w:rPr>
        <w:t>встречи с профессионалами, с интересными людьми, с депутатами, с ветеранами труда,  с выпускниками школы - успешными профессионалами;</w:t>
      </w:r>
    </w:p>
    <w:p w14:paraId="7CE95964">
      <w:pPr>
        <w:widowControl/>
        <w:spacing w:after="0" w:line="350" w:lineRule="auto"/>
        <w:ind w:firstLine="709"/>
        <w:jc w:val="both"/>
        <w:rPr>
          <w:rFonts w:ascii="Times New Roman" w:hAnsi="Times New Roman" w:eastAsia="SchoolBookSanPin"/>
        </w:rPr>
      </w:pPr>
      <w:r>
        <w:rPr>
          <w:rFonts w:ascii="Times New Roman" w:hAnsi="Times New Roman" w:eastAsia="SchoolBookSanPin"/>
        </w:rPr>
        <w:t>18.4. Организационный раздел.</w:t>
      </w:r>
    </w:p>
    <w:p w14:paraId="67F664D9">
      <w:pPr>
        <w:pStyle w:val="9"/>
        <w:widowControl/>
        <w:spacing w:before="0" w:after="0" w:line="350" w:lineRule="auto"/>
        <w:ind w:firstLine="709"/>
        <w:rPr>
          <w:rFonts w:eastAsia="OfficinaSansBoldITC"/>
          <w:b w:val="0"/>
          <w:sz w:val="22"/>
        </w:rPr>
      </w:pPr>
      <w:r>
        <w:rPr>
          <w:rFonts w:eastAsia="OfficinaSansBoldITC"/>
          <w:b w:val="0"/>
          <w:sz w:val="22"/>
        </w:rPr>
        <w:t>Кадровое обеспечение.</w:t>
      </w:r>
    </w:p>
    <w:p w14:paraId="4EFBE406">
      <w:pPr>
        <w:spacing w:line="360" w:lineRule="auto"/>
        <w:ind w:firstLine="709"/>
        <w:jc w:val="both"/>
        <w:rPr>
          <w:rFonts w:ascii="Times New Roman" w:hAnsi="Times New Roman"/>
        </w:rPr>
      </w:pPr>
      <w:r>
        <w:rPr>
          <w:rFonts w:ascii="Times New Roman" w:hAnsi="Times New Roman"/>
        </w:rPr>
        <w:t xml:space="preserve">Реализацию рабочей программы обеспечивают следующие педагогические работники </w:t>
      </w:r>
    </w:p>
    <w:tbl>
      <w:tblPr>
        <w:tblStyle w:val="1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235"/>
        <w:gridCol w:w="1559"/>
        <w:gridCol w:w="6116"/>
      </w:tblGrid>
      <w:tr w14:paraId="18A0CA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2235" w:type="dxa"/>
            <w:shd w:val="clear" w:color="auto" w:fill="auto"/>
          </w:tcPr>
          <w:p w14:paraId="7C92E5FD">
            <w:pPr>
              <w:spacing w:line="360" w:lineRule="auto"/>
              <w:jc w:val="both"/>
              <w:rPr>
                <w:rFonts w:ascii="Times New Roman" w:hAnsi="Times New Roman"/>
              </w:rPr>
            </w:pPr>
            <w:r>
              <w:rPr>
                <w:rFonts w:ascii="Times New Roman" w:hAnsi="Times New Roman"/>
              </w:rPr>
              <w:t>Должность</w:t>
            </w:r>
          </w:p>
        </w:tc>
        <w:tc>
          <w:tcPr>
            <w:tcW w:w="1559" w:type="dxa"/>
            <w:shd w:val="clear" w:color="auto" w:fill="auto"/>
          </w:tcPr>
          <w:p w14:paraId="534D53AC">
            <w:pPr>
              <w:spacing w:line="360" w:lineRule="auto"/>
              <w:jc w:val="both"/>
              <w:rPr>
                <w:rFonts w:ascii="Times New Roman" w:hAnsi="Times New Roman"/>
              </w:rPr>
            </w:pPr>
            <w:r>
              <w:rPr>
                <w:rFonts w:ascii="Times New Roman" w:hAnsi="Times New Roman"/>
              </w:rPr>
              <w:t>количество</w:t>
            </w:r>
          </w:p>
        </w:tc>
        <w:tc>
          <w:tcPr>
            <w:tcW w:w="6116" w:type="dxa"/>
            <w:shd w:val="clear" w:color="auto" w:fill="auto"/>
          </w:tcPr>
          <w:p w14:paraId="2FBCAD16">
            <w:pPr>
              <w:spacing w:line="360" w:lineRule="auto"/>
              <w:jc w:val="both"/>
              <w:rPr>
                <w:rFonts w:ascii="Times New Roman" w:hAnsi="Times New Roman"/>
              </w:rPr>
            </w:pPr>
            <w:r>
              <w:rPr>
                <w:rFonts w:ascii="Times New Roman" w:hAnsi="Times New Roman"/>
              </w:rPr>
              <w:t>функционал</w:t>
            </w:r>
          </w:p>
        </w:tc>
      </w:tr>
      <w:tr w14:paraId="5116F7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35" w:type="dxa"/>
            <w:shd w:val="clear" w:color="auto" w:fill="auto"/>
          </w:tcPr>
          <w:p w14:paraId="65C3DFF1">
            <w:pPr>
              <w:spacing w:line="360" w:lineRule="auto"/>
              <w:jc w:val="both"/>
              <w:rPr>
                <w:rFonts w:ascii="Times New Roman" w:hAnsi="Times New Roman"/>
              </w:rPr>
            </w:pPr>
            <w:r>
              <w:rPr>
                <w:rFonts w:ascii="Times New Roman" w:hAnsi="Times New Roman"/>
              </w:rPr>
              <w:t>Директор</w:t>
            </w:r>
          </w:p>
        </w:tc>
        <w:tc>
          <w:tcPr>
            <w:tcW w:w="1559" w:type="dxa"/>
            <w:shd w:val="clear" w:color="auto" w:fill="auto"/>
          </w:tcPr>
          <w:p w14:paraId="7A6BAE07">
            <w:pPr>
              <w:spacing w:line="360" w:lineRule="auto"/>
              <w:jc w:val="both"/>
              <w:rPr>
                <w:rFonts w:ascii="Times New Roman" w:hAnsi="Times New Roman"/>
              </w:rPr>
            </w:pPr>
            <w:r>
              <w:rPr>
                <w:rFonts w:ascii="Times New Roman" w:hAnsi="Times New Roman"/>
              </w:rPr>
              <w:t>1</w:t>
            </w:r>
          </w:p>
        </w:tc>
        <w:tc>
          <w:tcPr>
            <w:tcW w:w="6116" w:type="dxa"/>
            <w:shd w:val="clear" w:color="auto" w:fill="auto"/>
          </w:tcPr>
          <w:p w14:paraId="51C50C16">
            <w:pPr>
              <w:spacing w:line="360" w:lineRule="auto"/>
              <w:jc w:val="both"/>
              <w:rPr>
                <w:rFonts w:ascii="Times New Roman" w:hAnsi="Times New Roman"/>
              </w:rPr>
            </w:pPr>
            <w:r>
              <w:rPr>
                <w:rFonts w:ascii="Times New Roman" w:hAnsi="Times New Roman"/>
              </w:rPr>
              <w:t>Осуществляет контроль развития системы организации воспитания обучающихся.</w:t>
            </w:r>
          </w:p>
        </w:tc>
      </w:tr>
      <w:tr w14:paraId="0E6E5A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35" w:type="dxa"/>
            <w:shd w:val="clear" w:color="auto" w:fill="auto"/>
          </w:tcPr>
          <w:p w14:paraId="71B84D0B">
            <w:pPr>
              <w:spacing w:line="360" w:lineRule="auto"/>
              <w:jc w:val="both"/>
              <w:rPr>
                <w:rFonts w:ascii="Times New Roman" w:hAnsi="Times New Roman"/>
              </w:rPr>
            </w:pPr>
            <w:r>
              <w:rPr>
                <w:rFonts w:ascii="Times New Roman" w:hAnsi="Times New Roman"/>
              </w:rPr>
              <w:t>Заместитель директора по УВР</w:t>
            </w:r>
          </w:p>
        </w:tc>
        <w:tc>
          <w:tcPr>
            <w:tcW w:w="1559" w:type="dxa"/>
            <w:shd w:val="clear" w:color="auto" w:fill="auto"/>
          </w:tcPr>
          <w:p w14:paraId="1F8020EF">
            <w:pPr>
              <w:spacing w:line="360" w:lineRule="auto"/>
              <w:jc w:val="both"/>
              <w:rPr>
                <w:rFonts w:ascii="Times New Roman" w:hAnsi="Times New Roman"/>
              </w:rPr>
            </w:pPr>
            <w:r>
              <w:rPr>
                <w:rFonts w:ascii="Times New Roman" w:hAnsi="Times New Roman"/>
              </w:rPr>
              <w:t>1</w:t>
            </w:r>
          </w:p>
        </w:tc>
        <w:tc>
          <w:tcPr>
            <w:tcW w:w="6116" w:type="dxa"/>
            <w:shd w:val="clear" w:color="auto" w:fill="auto"/>
          </w:tcPr>
          <w:p w14:paraId="70CF4123">
            <w:pPr>
              <w:spacing w:line="360" w:lineRule="auto"/>
              <w:jc w:val="both"/>
              <w:rPr>
                <w:rFonts w:ascii="Times New Roman" w:hAnsi="Times New Roman"/>
              </w:rPr>
            </w:pPr>
            <w:r>
              <w:rPr>
                <w:rFonts w:ascii="Times New Roman" w:hAnsi="Times New Roman"/>
              </w:rPr>
              <w:t>Осуществляет контроль реализации воспитательного потенциала урочной и внеурочной деятельности, организует работу с неуспевающими и слабоуспевающими учащимися и их родителями (законными представителями), учителями-предметниками. Организует методическое сопровождение и контроль учителей-предметников по организации индивидуальной работы с неуспевающими и слабоуспевающими обучающимися, одаренными учащимися, учащимися с ОВЗ, из семей «группы риска»</w:t>
            </w:r>
          </w:p>
        </w:tc>
      </w:tr>
      <w:tr w14:paraId="67FE35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35" w:type="dxa"/>
            <w:shd w:val="clear" w:color="auto" w:fill="auto"/>
          </w:tcPr>
          <w:p w14:paraId="46ACA1EB">
            <w:pPr>
              <w:spacing w:line="360" w:lineRule="auto"/>
              <w:jc w:val="both"/>
              <w:rPr>
                <w:rFonts w:ascii="Times New Roman" w:hAnsi="Times New Roman"/>
              </w:rPr>
            </w:pPr>
            <w:r>
              <w:rPr>
                <w:rFonts w:ascii="Times New Roman" w:hAnsi="Times New Roman"/>
              </w:rPr>
              <w:t>Советник директора по воспитанию и  по взаимодействию с детскими общественными объединениями</w:t>
            </w:r>
          </w:p>
        </w:tc>
        <w:tc>
          <w:tcPr>
            <w:tcW w:w="1559" w:type="dxa"/>
            <w:shd w:val="clear" w:color="auto" w:fill="auto"/>
          </w:tcPr>
          <w:p w14:paraId="411D6A51">
            <w:pPr>
              <w:spacing w:line="360" w:lineRule="auto"/>
              <w:jc w:val="both"/>
              <w:rPr>
                <w:rFonts w:ascii="Times New Roman" w:hAnsi="Times New Roman"/>
              </w:rPr>
            </w:pPr>
            <w:r>
              <w:rPr>
                <w:rFonts w:ascii="Times New Roman" w:hAnsi="Times New Roman"/>
              </w:rPr>
              <w:t>1</w:t>
            </w:r>
          </w:p>
        </w:tc>
        <w:tc>
          <w:tcPr>
            <w:tcW w:w="6116" w:type="dxa"/>
            <w:shd w:val="clear" w:color="auto" w:fill="auto"/>
          </w:tcPr>
          <w:p w14:paraId="1238D336">
            <w:pPr>
              <w:spacing w:line="360" w:lineRule="auto"/>
              <w:jc w:val="both"/>
              <w:rPr>
                <w:rFonts w:ascii="Times New Roman" w:hAnsi="Times New Roman"/>
              </w:rPr>
            </w:pPr>
            <w:r>
              <w:rPr>
                <w:rFonts w:ascii="Times New Roman" w:hAnsi="Times New Roman"/>
              </w:rPr>
              <w:t>Организует взаимодействие с детскими общественными объединениями. Курирует деятельность штаба первичного отделения РДДМ «Движение первых», волонтёрского объединения,</w:t>
            </w:r>
          </w:p>
        </w:tc>
      </w:tr>
      <w:tr w14:paraId="66928C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35" w:type="dxa"/>
            <w:shd w:val="clear" w:color="auto" w:fill="auto"/>
          </w:tcPr>
          <w:p w14:paraId="38CBC5AE">
            <w:pPr>
              <w:spacing w:line="360" w:lineRule="auto"/>
              <w:jc w:val="both"/>
              <w:rPr>
                <w:rFonts w:ascii="Times New Roman" w:hAnsi="Times New Roman"/>
              </w:rPr>
            </w:pPr>
            <w:r>
              <w:rPr>
                <w:rFonts w:ascii="Times New Roman" w:hAnsi="Times New Roman"/>
              </w:rPr>
              <w:t>Социальный педагог</w:t>
            </w:r>
          </w:p>
        </w:tc>
        <w:tc>
          <w:tcPr>
            <w:tcW w:w="1559" w:type="dxa"/>
            <w:shd w:val="clear" w:color="auto" w:fill="auto"/>
          </w:tcPr>
          <w:p w14:paraId="1E3A3340">
            <w:pPr>
              <w:spacing w:line="360" w:lineRule="auto"/>
              <w:jc w:val="both"/>
              <w:rPr>
                <w:rFonts w:ascii="Times New Roman" w:hAnsi="Times New Roman"/>
              </w:rPr>
            </w:pPr>
            <w:r>
              <w:rPr>
                <w:rFonts w:ascii="Times New Roman" w:hAnsi="Times New Roman"/>
              </w:rPr>
              <w:t>1</w:t>
            </w:r>
          </w:p>
        </w:tc>
        <w:tc>
          <w:tcPr>
            <w:tcW w:w="6116" w:type="dxa"/>
            <w:shd w:val="clear" w:color="auto" w:fill="auto"/>
          </w:tcPr>
          <w:p w14:paraId="500C8277">
            <w:pPr>
              <w:spacing w:line="360" w:lineRule="auto"/>
              <w:jc w:val="both"/>
              <w:rPr>
                <w:rFonts w:ascii="Times New Roman" w:hAnsi="Times New Roman"/>
              </w:rPr>
            </w:pPr>
            <w:r>
              <w:rPr>
                <w:rFonts w:ascii="Times New Roman" w:hAnsi="Times New Roman"/>
              </w:rPr>
              <w:t xml:space="preserve">Организует работу с обучающимися, родителями (законными представителями), классными руководителями, учителями-предметниками по профилактике правонарушений и безнадзорности несовершеннолетних, в том числе в рамках межведомственного взаимодействия. Проводит в рамках своей компетентности коррекционно-развивающую работу с учащимися «группы риска» и их родителями (законными представителями). </w:t>
            </w:r>
          </w:p>
        </w:tc>
      </w:tr>
      <w:tr w14:paraId="77C8D3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35" w:type="dxa"/>
            <w:shd w:val="clear" w:color="auto" w:fill="auto"/>
          </w:tcPr>
          <w:p w14:paraId="04990F38">
            <w:pPr>
              <w:spacing w:line="360" w:lineRule="auto"/>
              <w:jc w:val="both"/>
              <w:rPr>
                <w:rFonts w:ascii="Times New Roman" w:hAnsi="Times New Roman"/>
              </w:rPr>
            </w:pPr>
            <w:r>
              <w:rPr>
                <w:rFonts w:ascii="Times New Roman" w:hAnsi="Times New Roman"/>
              </w:rPr>
              <w:t>Классные руководители</w:t>
            </w:r>
          </w:p>
        </w:tc>
        <w:tc>
          <w:tcPr>
            <w:tcW w:w="1559" w:type="dxa"/>
            <w:shd w:val="clear" w:color="auto" w:fill="auto"/>
          </w:tcPr>
          <w:p w14:paraId="2460EB1F">
            <w:pPr>
              <w:spacing w:line="360" w:lineRule="auto"/>
              <w:jc w:val="both"/>
              <w:rPr>
                <w:rFonts w:hint="default" w:ascii="Times New Roman" w:hAnsi="Times New Roman"/>
                <w:lang w:val="ru-RU"/>
              </w:rPr>
            </w:pPr>
            <w:r>
              <w:rPr>
                <w:rFonts w:hint="default" w:ascii="Times New Roman" w:hAnsi="Times New Roman"/>
                <w:lang w:val="ru-RU"/>
              </w:rPr>
              <w:t>6</w:t>
            </w:r>
          </w:p>
        </w:tc>
        <w:tc>
          <w:tcPr>
            <w:tcW w:w="6116" w:type="dxa"/>
            <w:shd w:val="clear" w:color="auto" w:fill="auto"/>
          </w:tcPr>
          <w:p w14:paraId="152E4EFF">
            <w:pPr>
              <w:spacing w:line="360" w:lineRule="auto"/>
              <w:jc w:val="both"/>
              <w:rPr>
                <w:rFonts w:ascii="Times New Roman" w:hAnsi="Times New Roman"/>
              </w:rPr>
            </w:pPr>
            <w:r>
              <w:rPr>
                <w:rFonts w:ascii="Times New Roman" w:hAnsi="Times New Roman"/>
              </w:rPr>
              <w:t>Организует воспитательную работу с обучающимися и родителями на уровне классного коллектива.</w:t>
            </w:r>
          </w:p>
        </w:tc>
      </w:tr>
      <w:tr w14:paraId="2EB922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35" w:type="dxa"/>
            <w:shd w:val="clear" w:color="auto" w:fill="auto"/>
          </w:tcPr>
          <w:p w14:paraId="291A5DF0">
            <w:pPr>
              <w:spacing w:line="360" w:lineRule="auto"/>
              <w:jc w:val="both"/>
              <w:rPr>
                <w:rFonts w:ascii="Times New Roman" w:hAnsi="Times New Roman"/>
              </w:rPr>
            </w:pPr>
            <w:r>
              <w:rPr>
                <w:rFonts w:ascii="Times New Roman" w:hAnsi="Times New Roman"/>
              </w:rPr>
              <w:t>Учителя- предметники</w:t>
            </w:r>
          </w:p>
        </w:tc>
        <w:tc>
          <w:tcPr>
            <w:tcW w:w="1559" w:type="dxa"/>
            <w:shd w:val="clear" w:color="auto" w:fill="auto"/>
          </w:tcPr>
          <w:p w14:paraId="21B3FBD4">
            <w:pPr>
              <w:spacing w:line="360" w:lineRule="auto"/>
              <w:jc w:val="both"/>
              <w:rPr>
                <w:rFonts w:ascii="Times New Roman" w:hAnsi="Times New Roman"/>
              </w:rPr>
            </w:pPr>
            <w:r>
              <w:rPr>
                <w:rFonts w:ascii="Times New Roman" w:hAnsi="Times New Roman"/>
              </w:rPr>
              <w:t>10</w:t>
            </w:r>
          </w:p>
        </w:tc>
        <w:tc>
          <w:tcPr>
            <w:tcW w:w="6116" w:type="dxa"/>
            <w:shd w:val="clear" w:color="auto" w:fill="auto"/>
          </w:tcPr>
          <w:p w14:paraId="3BCD1F00">
            <w:pPr>
              <w:spacing w:line="360" w:lineRule="auto"/>
              <w:jc w:val="both"/>
              <w:rPr>
                <w:rFonts w:ascii="Times New Roman" w:hAnsi="Times New Roman"/>
              </w:rPr>
            </w:pPr>
            <w:r>
              <w:rPr>
                <w:rFonts w:ascii="Times New Roman" w:hAnsi="Times New Roman"/>
              </w:rPr>
              <w:t>Реализует воспитательный потенциал урока.</w:t>
            </w:r>
          </w:p>
        </w:tc>
      </w:tr>
    </w:tbl>
    <w:p w14:paraId="27B53B93">
      <w:pPr>
        <w:spacing w:line="360" w:lineRule="auto"/>
        <w:rPr>
          <w:rFonts w:ascii="Times New Roman" w:hAnsi="Times New Roman"/>
        </w:rPr>
      </w:pPr>
    </w:p>
    <w:p w14:paraId="5BCC1993">
      <w:pPr>
        <w:spacing w:line="360" w:lineRule="auto"/>
        <w:rPr>
          <w:rFonts w:ascii="Times New Roman" w:hAnsi="Times New Roman"/>
          <w:i/>
        </w:rPr>
      </w:pPr>
      <w:bookmarkStart w:id="314" w:name="__RefHeading___10"/>
      <w:bookmarkEnd w:id="314"/>
      <w:r>
        <w:rPr>
          <w:rFonts w:ascii="Times New Roman" w:hAnsi="Times New Roman"/>
          <w:i/>
        </w:rPr>
        <w:t>Нормативно-методическое обеспечение</w:t>
      </w:r>
    </w:p>
    <w:p w14:paraId="734590CF">
      <w:pPr>
        <w:tabs>
          <w:tab w:val="left" w:pos="851"/>
        </w:tabs>
        <w:spacing w:after="0" w:line="360" w:lineRule="auto"/>
        <w:jc w:val="both"/>
        <w:outlineLvl w:val="0"/>
        <w:rPr>
          <w:rFonts w:ascii="Times New Roman" w:hAnsi="Times New Roman"/>
        </w:rPr>
      </w:pPr>
      <w:r>
        <w:rPr>
          <w:rFonts w:ascii="Times New Roman" w:hAnsi="Times New Roman"/>
        </w:rPr>
        <w:t xml:space="preserve">Воспитательная деятельность регламентируется следующими локальными актами: </w:t>
      </w:r>
    </w:p>
    <w:p w14:paraId="48EBD685">
      <w:pPr>
        <w:tabs>
          <w:tab w:val="left" w:pos="851"/>
        </w:tabs>
        <w:spacing w:after="0" w:line="360" w:lineRule="auto"/>
        <w:outlineLvl w:val="0"/>
        <w:rPr>
          <w:rFonts w:ascii="Times New Roman" w:hAnsi="Times New Roman"/>
        </w:rPr>
      </w:pPr>
      <w:r>
        <w:rPr>
          <w:rFonts w:ascii="Times New Roman" w:hAnsi="Times New Roman"/>
        </w:rPr>
        <w:t>– Положение о классном руководстве.</w:t>
      </w:r>
    </w:p>
    <w:p w14:paraId="4C9C1FA3">
      <w:pPr>
        <w:tabs>
          <w:tab w:val="left" w:pos="851"/>
        </w:tabs>
        <w:spacing w:after="0" w:line="360" w:lineRule="auto"/>
        <w:outlineLvl w:val="0"/>
        <w:rPr>
          <w:rFonts w:ascii="Times New Roman" w:hAnsi="Times New Roman"/>
        </w:rPr>
      </w:pPr>
      <w:r>
        <w:rPr>
          <w:rFonts w:ascii="Times New Roman" w:hAnsi="Times New Roman"/>
        </w:rPr>
        <w:t>– Положение о социально-психологической службе.</w:t>
      </w:r>
    </w:p>
    <w:p w14:paraId="219A82B9">
      <w:pPr>
        <w:tabs>
          <w:tab w:val="left" w:pos="851"/>
        </w:tabs>
        <w:spacing w:after="0" w:line="360" w:lineRule="auto"/>
        <w:jc w:val="both"/>
        <w:outlineLvl w:val="0"/>
        <w:rPr>
          <w:rFonts w:ascii="Times New Roman" w:hAnsi="Times New Roman"/>
        </w:rPr>
      </w:pPr>
      <w:r>
        <w:rPr>
          <w:rFonts w:ascii="Times New Roman" w:hAnsi="Times New Roman"/>
        </w:rPr>
        <w:t xml:space="preserve"> – Положение о совете профилактики безнадзорности и правонарушений несовершеннолетних. </w:t>
      </w:r>
    </w:p>
    <w:p w14:paraId="1C146613">
      <w:pPr>
        <w:tabs>
          <w:tab w:val="left" w:pos="851"/>
        </w:tabs>
        <w:spacing w:after="0" w:line="360" w:lineRule="auto"/>
        <w:outlineLvl w:val="0"/>
        <w:rPr>
          <w:rFonts w:ascii="Times New Roman" w:hAnsi="Times New Roman"/>
        </w:rPr>
      </w:pPr>
      <w:r>
        <w:rPr>
          <w:rFonts w:ascii="Times New Roman" w:hAnsi="Times New Roman"/>
        </w:rPr>
        <w:t>– Положение о Родительском совете.</w:t>
      </w:r>
    </w:p>
    <w:p w14:paraId="7D438D15">
      <w:pPr>
        <w:tabs>
          <w:tab w:val="left" w:pos="851"/>
        </w:tabs>
        <w:spacing w:after="0" w:line="360" w:lineRule="auto"/>
        <w:outlineLvl w:val="0"/>
        <w:rPr>
          <w:rFonts w:ascii="Times New Roman" w:hAnsi="Times New Roman"/>
        </w:rPr>
      </w:pPr>
      <w:r>
        <w:rPr>
          <w:rFonts w:ascii="Times New Roman" w:hAnsi="Times New Roman"/>
        </w:rPr>
        <w:t xml:space="preserve"> – Положение о совете отцов</w:t>
      </w:r>
    </w:p>
    <w:p w14:paraId="5EB4D1A3">
      <w:pPr>
        <w:tabs>
          <w:tab w:val="left" w:pos="851"/>
        </w:tabs>
        <w:spacing w:after="0" w:line="360" w:lineRule="auto"/>
        <w:outlineLvl w:val="0"/>
        <w:rPr>
          <w:rFonts w:ascii="Times New Roman" w:hAnsi="Times New Roman"/>
        </w:rPr>
      </w:pPr>
      <w:r>
        <w:rPr>
          <w:rFonts w:ascii="Times New Roman" w:hAnsi="Times New Roman"/>
        </w:rPr>
        <w:t xml:space="preserve">– Положение о мерах социальной поддержки обучающихся. </w:t>
      </w:r>
    </w:p>
    <w:p w14:paraId="08D72F1D">
      <w:pPr>
        <w:tabs>
          <w:tab w:val="left" w:pos="851"/>
        </w:tabs>
        <w:spacing w:after="0" w:line="360" w:lineRule="auto"/>
        <w:outlineLvl w:val="0"/>
        <w:rPr>
          <w:rFonts w:ascii="Times New Roman" w:hAnsi="Times New Roman"/>
        </w:rPr>
      </w:pPr>
      <w:r>
        <w:rPr>
          <w:rFonts w:ascii="Times New Roman" w:hAnsi="Times New Roman"/>
        </w:rPr>
        <w:t>– Положение о портфолио</w:t>
      </w:r>
    </w:p>
    <w:p w14:paraId="1660765B">
      <w:pPr>
        <w:tabs>
          <w:tab w:val="left" w:pos="851"/>
        </w:tabs>
        <w:spacing w:after="0" w:line="360" w:lineRule="auto"/>
        <w:outlineLvl w:val="0"/>
        <w:rPr>
          <w:rFonts w:ascii="Times New Roman" w:hAnsi="Times New Roman"/>
        </w:rPr>
      </w:pPr>
      <w:r>
        <w:rPr>
          <w:rFonts w:ascii="Times New Roman" w:hAnsi="Times New Roman"/>
        </w:rPr>
        <w:t>– Положение о спортивном клубе.</w:t>
      </w:r>
    </w:p>
    <w:p w14:paraId="0F9EA9C4">
      <w:pPr>
        <w:tabs>
          <w:tab w:val="left" w:pos="851"/>
        </w:tabs>
        <w:spacing w:after="0" w:line="360" w:lineRule="auto"/>
        <w:outlineLvl w:val="0"/>
        <w:rPr>
          <w:rFonts w:ascii="Times New Roman" w:hAnsi="Times New Roman"/>
        </w:rPr>
      </w:pPr>
      <w:r>
        <w:rPr>
          <w:rFonts w:ascii="Times New Roman" w:hAnsi="Times New Roman"/>
        </w:rPr>
        <w:t xml:space="preserve"> – Положение о школьной форме и внешнем виде учащихся. </w:t>
      </w:r>
    </w:p>
    <w:p w14:paraId="39007B35">
      <w:pPr>
        <w:tabs>
          <w:tab w:val="left" w:pos="851"/>
        </w:tabs>
        <w:spacing w:after="0" w:line="360" w:lineRule="auto"/>
        <w:outlineLvl w:val="0"/>
        <w:rPr>
          <w:rFonts w:ascii="Times New Roman" w:hAnsi="Times New Roman"/>
        </w:rPr>
      </w:pPr>
      <w:r>
        <w:rPr>
          <w:rFonts w:ascii="Times New Roman" w:hAnsi="Times New Roman"/>
        </w:rPr>
        <w:t xml:space="preserve">– Положение о постановке детей и семей на ВШУ. </w:t>
      </w:r>
    </w:p>
    <w:p w14:paraId="097F3C12">
      <w:pPr>
        <w:tabs>
          <w:tab w:val="left" w:pos="851"/>
        </w:tabs>
        <w:spacing w:after="0" w:line="360" w:lineRule="auto"/>
        <w:outlineLvl w:val="0"/>
        <w:rPr>
          <w:rFonts w:ascii="Times New Roman" w:hAnsi="Times New Roman"/>
        </w:rPr>
      </w:pPr>
      <w:r>
        <w:rPr>
          <w:rFonts w:ascii="Times New Roman" w:hAnsi="Times New Roman"/>
        </w:rPr>
        <w:t xml:space="preserve">– Положение о Школьной службе медиации. </w:t>
      </w:r>
    </w:p>
    <w:p w14:paraId="3054624F">
      <w:pPr>
        <w:tabs>
          <w:tab w:val="left" w:pos="851"/>
        </w:tabs>
        <w:spacing w:after="0" w:line="360" w:lineRule="auto"/>
        <w:outlineLvl w:val="0"/>
        <w:rPr>
          <w:rFonts w:ascii="Times New Roman" w:hAnsi="Times New Roman"/>
        </w:rPr>
      </w:pPr>
      <w:r>
        <w:rPr>
          <w:rFonts w:ascii="Times New Roman" w:hAnsi="Times New Roman"/>
        </w:rPr>
        <w:t>- Положение о программе внеурочной деятельности</w:t>
      </w:r>
    </w:p>
    <w:p w14:paraId="2B62D208">
      <w:pPr>
        <w:tabs>
          <w:tab w:val="left" w:pos="851"/>
        </w:tabs>
        <w:spacing w:after="0" w:line="360" w:lineRule="auto"/>
        <w:outlineLvl w:val="0"/>
        <w:rPr>
          <w:rFonts w:ascii="Times New Roman" w:hAnsi="Times New Roman"/>
        </w:rPr>
      </w:pPr>
      <w:r>
        <w:rPr>
          <w:rFonts w:ascii="Times New Roman" w:hAnsi="Times New Roman"/>
        </w:rPr>
        <w:t>– Календарные планы воспитательной работы по уровням образования.</w:t>
      </w:r>
    </w:p>
    <w:p w14:paraId="59B33B3E">
      <w:pPr>
        <w:tabs>
          <w:tab w:val="left" w:pos="851"/>
        </w:tabs>
        <w:spacing w:after="0" w:line="360" w:lineRule="auto"/>
        <w:outlineLvl w:val="0"/>
        <w:rPr>
          <w:rFonts w:ascii="Times New Roman" w:hAnsi="Times New Roman"/>
        </w:rPr>
      </w:pPr>
      <w:r>
        <w:rPr>
          <w:rFonts w:ascii="Times New Roman" w:hAnsi="Times New Roman"/>
        </w:rPr>
        <w:t xml:space="preserve"> – Планы воспитательной работы классных руководителей. </w:t>
      </w:r>
    </w:p>
    <w:p w14:paraId="2F805F11">
      <w:pPr>
        <w:tabs>
          <w:tab w:val="left" w:pos="851"/>
        </w:tabs>
        <w:spacing w:after="0" w:line="360" w:lineRule="auto"/>
        <w:outlineLvl w:val="0"/>
        <w:rPr>
          <w:rFonts w:ascii="Times New Roman" w:hAnsi="Times New Roman"/>
        </w:rPr>
      </w:pPr>
      <w:r>
        <w:rPr>
          <w:rFonts w:ascii="Times New Roman" w:hAnsi="Times New Roman"/>
        </w:rPr>
        <w:t>– План работы социально-психологической службы.</w:t>
      </w:r>
    </w:p>
    <w:p w14:paraId="20C5BE54">
      <w:pPr>
        <w:tabs>
          <w:tab w:val="left" w:pos="851"/>
        </w:tabs>
        <w:spacing w:after="0" w:line="360" w:lineRule="auto"/>
        <w:jc w:val="both"/>
        <w:outlineLvl w:val="0"/>
        <w:rPr>
          <w:rFonts w:ascii="Times New Roman" w:hAnsi="Times New Roman"/>
          <w:b/>
          <w:i/>
        </w:rPr>
      </w:pPr>
      <w:bookmarkStart w:id="315" w:name="__RefHeading___11"/>
      <w:bookmarkEnd w:id="315"/>
      <w:r>
        <w:rPr>
          <w:rFonts w:ascii="Times New Roman" w:hAnsi="Times New Roman"/>
          <w:b/>
          <w:i/>
        </w:rPr>
        <w:t>Требования к условиям работы с обучающимися с особыми образовательными потребностями</w:t>
      </w:r>
    </w:p>
    <w:p w14:paraId="66C20B2B">
      <w:pPr>
        <w:tabs>
          <w:tab w:val="left" w:pos="851"/>
        </w:tabs>
        <w:spacing w:after="0" w:line="360" w:lineRule="auto"/>
        <w:ind w:firstLine="709"/>
        <w:jc w:val="both"/>
        <w:rPr>
          <w:rFonts w:ascii="Times New Roman" w:hAnsi="Times New Roman"/>
        </w:rPr>
      </w:pPr>
      <w:r>
        <w:rPr>
          <w:rFonts w:ascii="Times New Roman" w:hAnsi="Times New Roman"/>
        </w:rPr>
        <w:t xml:space="preserve">В воспитательной работе с категориями обучающихся, имеющих особые образовательные потребности: </w:t>
      </w:r>
      <w:r>
        <w:rPr>
          <w:rFonts w:ascii="Times New Roman" w:hAnsi="Times New Roman"/>
          <w:iCs/>
        </w:rPr>
        <w:t>обучающихся с</w:t>
      </w:r>
      <w:r>
        <w:rPr>
          <w:rFonts w:ascii="Times New Roman" w:hAnsi="Times New Roman"/>
        </w:rPr>
        <w:t xml:space="preserve"> инвалидностью, с ОВЗ, из социально- уязвимых групп, одарённых, с отклоняющимся поведением, — создаются особые условия.  </w:t>
      </w:r>
    </w:p>
    <w:p w14:paraId="3F3A0E16">
      <w:pPr>
        <w:widowControl/>
        <w:shd w:val="clear" w:color="auto" w:fill="FFFFFF"/>
        <w:spacing w:after="0" w:line="360" w:lineRule="auto"/>
        <w:ind w:right="11" w:firstLine="698"/>
        <w:jc w:val="both"/>
        <w:rPr>
          <w:rFonts w:ascii="Times New Roman" w:hAnsi="Times New Roman"/>
        </w:rPr>
      </w:pPr>
      <w:r>
        <w:rPr>
          <w:rFonts w:ascii="Times New Roman" w:hAnsi="Times New Roman"/>
        </w:rPr>
        <w:t>Одним из главных условий успешного развития одаренных школьников является овладение учителем должными знаниями, как то:</w:t>
      </w:r>
    </w:p>
    <w:p w14:paraId="5043B52F">
      <w:pPr>
        <w:widowControl/>
        <w:shd w:val="clear" w:color="auto" w:fill="FFFFFF"/>
        <w:spacing w:after="0" w:line="360" w:lineRule="auto"/>
        <w:ind w:left="720" w:right="13"/>
        <w:jc w:val="both"/>
        <w:rPr>
          <w:rFonts w:ascii="Times New Roman" w:hAnsi="Times New Roman"/>
        </w:rPr>
      </w:pPr>
      <w:r>
        <w:rPr>
          <w:rFonts w:ascii="Times New Roman" w:hAnsi="Times New Roman"/>
        </w:rPr>
        <w:t>• знать общие особенности и личностные проблемы одарённых детей;</w:t>
      </w:r>
    </w:p>
    <w:p w14:paraId="2326692D">
      <w:pPr>
        <w:widowControl/>
        <w:shd w:val="clear" w:color="auto" w:fill="FFFFFF"/>
        <w:spacing w:after="0" w:line="360" w:lineRule="auto"/>
        <w:ind w:left="720" w:right="13"/>
        <w:jc w:val="both"/>
        <w:rPr>
          <w:rFonts w:ascii="Times New Roman" w:hAnsi="Times New Roman"/>
        </w:rPr>
      </w:pPr>
      <w:r>
        <w:rPr>
          <w:rFonts w:ascii="Times New Roman" w:hAnsi="Times New Roman"/>
        </w:rPr>
        <w:t>• знать причины психологической дезадаптации одарённых детей; </w:t>
      </w:r>
      <w:r>
        <w:rPr>
          <w:rFonts w:ascii="Times New Roman" w:hAnsi="Times New Roman"/>
          <w:b/>
          <w:bCs/>
          <w:i/>
          <w:iCs/>
        </w:rPr>
        <w:t> </w:t>
      </w:r>
    </w:p>
    <w:p w14:paraId="676DB291">
      <w:pPr>
        <w:widowControl/>
        <w:shd w:val="clear" w:color="auto" w:fill="FFFFFF"/>
        <w:spacing w:after="0" w:line="360" w:lineRule="auto"/>
        <w:ind w:left="720" w:right="13"/>
        <w:jc w:val="both"/>
        <w:rPr>
          <w:rFonts w:ascii="Times New Roman" w:hAnsi="Times New Roman"/>
        </w:rPr>
      </w:pPr>
      <w:r>
        <w:rPr>
          <w:rFonts w:ascii="Times New Roman" w:hAnsi="Times New Roman"/>
        </w:rPr>
        <w:t>• определять основные направления работы с одаренными детьми в сфере общего образования;</w:t>
      </w:r>
    </w:p>
    <w:p w14:paraId="2869A090">
      <w:pPr>
        <w:widowControl/>
        <w:shd w:val="clear" w:color="auto" w:fill="FFFFFF"/>
        <w:spacing w:after="0" w:line="360" w:lineRule="auto"/>
        <w:ind w:left="720" w:right="13"/>
        <w:jc w:val="both"/>
        <w:rPr>
          <w:rFonts w:ascii="Times New Roman" w:hAnsi="Times New Roman"/>
        </w:rPr>
      </w:pPr>
      <w:r>
        <w:rPr>
          <w:rFonts w:ascii="Times New Roman" w:hAnsi="Times New Roman"/>
        </w:rPr>
        <w:t>• определять психологическое обеспечение системы работы по выявлению, обучению и развитию одарённых детей;</w:t>
      </w:r>
    </w:p>
    <w:p w14:paraId="41BAB137">
      <w:pPr>
        <w:widowControl/>
        <w:shd w:val="clear" w:color="auto" w:fill="FFFFFF"/>
        <w:spacing w:after="0" w:line="360" w:lineRule="auto"/>
        <w:ind w:left="720" w:right="13"/>
        <w:jc w:val="both"/>
        <w:rPr>
          <w:rFonts w:ascii="Times New Roman" w:hAnsi="Times New Roman"/>
        </w:rPr>
      </w:pPr>
      <w:r>
        <w:rPr>
          <w:rFonts w:ascii="Times New Roman" w:hAnsi="Times New Roman"/>
        </w:rPr>
        <w:t>• определять эффективные пути выявления потенциальной и скрытой одаренности ребенка;</w:t>
      </w:r>
    </w:p>
    <w:p w14:paraId="64FE0235">
      <w:pPr>
        <w:widowControl/>
        <w:shd w:val="clear" w:color="auto" w:fill="FFFFFF"/>
        <w:spacing w:after="0" w:line="360" w:lineRule="auto"/>
        <w:ind w:left="720" w:right="13"/>
        <w:jc w:val="both"/>
        <w:rPr>
          <w:rFonts w:ascii="Times New Roman" w:hAnsi="Times New Roman"/>
        </w:rPr>
      </w:pPr>
      <w:r>
        <w:rPr>
          <w:rFonts w:ascii="Times New Roman" w:hAnsi="Times New Roman"/>
        </w:rPr>
        <w:t>• определять оптимальные условия для развития детской одарённости в образовательном учреждении, учреждений дополнительного образования и семье. </w:t>
      </w:r>
    </w:p>
    <w:p w14:paraId="2C936FA1">
      <w:pPr>
        <w:widowControl/>
        <w:shd w:val="clear" w:color="auto" w:fill="FFFFFF"/>
        <w:spacing w:after="0" w:line="360" w:lineRule="auto"/>
        <w:ind w:left="720" w:right="13"/>
        <w:jc w:val="both"/>
        <w:rPr>
          <w:rFonts w:ascii="Times New Roman" w:hAnsi="Times New Roman"/>
        </w:rPr>
      </w:pPr>
    </w:p>
    <w:tbl>
      <w:tblPr>
        <w:tblStyle w:val="1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955"/>
        <w:gridCol w:w="4955"/>
      </w:tblGrid>
      <w:tr w14:paraId="75A307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955" w:type="dxa"/>
            <w:shd w:val="clear" w:color="auto" w:fill="auto"/>
          </w:tcPr>
          <w:p w14:paraId="3D2484D9">
            <w:pPr>
              <w:tabs>
                <w:tab w:val="left" w:pos="851"/>
              </w:tabs>
              <w:spacing w:after="0" w:line="360" w:lineRule="auto"/>
              <w:jc w:val="center"/>
              <w:rPr>
                <w:rFonts w:ascii="Times New Roman" w:hAnsi="Times New Roman"/>
                <w:b/>
              </w:rPr>
            </w:pPr>
            <w:r>
              <w:rPr>
                <w:rFonts w:ascii="Times New Roman" w:hAnsi="Times New Roman"/>
                <w:b/>
              </w:rPr>
              <w:t>Категория</w:t>
            </w:r>
          </w:p>
        </w:tc>
        <w:tc>
          <w:tcPr>
            <w:tcW w:w="4955" w:type="dxa"/>
            <w:shd w:val="clear" w:color="auto" w:fill="auto"/>
          </w:tcPr>
          <w:p w14:paraId="77581554">
            <w:pPr>
              <w:tabs>
                <w:tab w:val="left" w:pos="851"/>
              </w:tabs>
              <w:spacing w:after="0" w:line="360" w:lineRule="auto"/>
              <w:jc w:val="center"/>
              <w:rPr>
                <w:rFonts w:ascii="Times New Roman" w:hAnsi="Times New Roman"/>
                <w:b/>
              </w:rPr>
            </w:pPr>
            <w:r>
              <w:rPr>
                <w:rFonts w:ascii="Times New Roman" w:hAnsi="Times New Roman"/>
                <w:b/>
              </w:rPr>
              <w:t>Условия</w:t>
            </w:r>
          </w:p>
        </w:tc>
      </w:tr>
      <w:tr w14:paraId="26FFB7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955" w:type="dxa"/>
            <w:shd w:val="clear" w:color="auto" w:fill="auto"/>
          </w:tcPr>
          <w:p w14:paraId="5E49C897">
            <w:pPr>
              <w:tabs>
                <w:tab w:val="left" w:pos="851"/>
              </w:tabs>
              <w:spacing w:after="0" w:line="360" w:lineRule="auto"/>
              <w:rPr>
                <w:rFonts w:ascii="Times New Roman" w:hAnsi="Times New Roman"/>
              </w:rPr>
            </w:pPr>
          </w:p>
          <w:p w14:paraId="2FCA764C">
            <w:pPr>
              <w:tabs>
                <w:tab w:val="left" w:pos="851"/>
              </w:tabs>
              <w:spacing w:after="0" w:line="360" w:lineRule="auto"/>
              <w:rPr>
                <w:rFonts w:ascii="Times New Roman" w:hAnsi="Times New Roman"/>
              </w:rPr>
            </w:pPr>
            <w:r>
              <w:rPr>
                <w:rFonts w:ascii="Times New Roman" w:hAnsi="Times New Roman"/>
              </w:rPr>
              <w:t xml:space="preserve">       Одаренные дети</w:t>
            </w:r>
          </w:p>
        </w:tc>
        <w:tc>
          <w:tcPr>
            <w:tcW w:w="4955" w:type="dxa"/>
            <w:shd w:val="clear" w:color="auto" w:fill="auto"/>
          </w:tcPr>
          <w:p w14:paraId="0BBA77D9">
            <w:pPr>
              <w:tabs>
                <w:tab w:val="left" w:pos="851"/>
              </w:tabs>
              <w:spacing w:after="0" w:line="360" w:lineRule="auto"/>
              <w:jc w:val="both"/>
              <w:rPr>
                <w:rFonts w:ascii="Times New Roman" w:hAnsi="Times New Roman"/>
              </w:rPr>
            </w:pPr>
            <w:r>
              <w:rPr>
                <w:rFonts w:ascii="Times New Roman" w:hAnsi="Times New Roman"/>
              </w:rPr>
              <w:t>1) Психолого-педагогическое сопровождение</w:t>
            </w:r>
          </w:p>
          <w:p w14:paraId="1E715058">
            <w:pPr>
              <w:widowControl/>
              <w:shd w:val="clear" w:color="auto" w:fill="FFFFFF"/>
              <w:spacing w:after="0" w:line="360" w:lineRule="auto"/>
              <w:ind w:right="13"/>
              <w:jc w:val="both"/>
              <w:rPr>
                <w:rFonts w:ascii="Times New Roman" w:hAnsi="Times New Roman"/>
              </w:rPr>
            </w:pPr>
            <w:r>
              <w:rPr>
                <w:rFonts w:ascii="Times New Roman" w:hAnsi="Times New Roman"/>
              </w:rPr>
              <w:t>2) разработка и использование комплексных диагностических методик выявления, сопровождения одаренных детей.</w:t>
            </w:r>
          </w:p>
          <w:p w14:paraId="253EA3E3">
            <w:pPr>
              <w:tabs>
                <w:tab w:val="left" w:pos="851"/>
              </w:tabs>
              <w:spacing w:after="0" w:line="360" w:lineRule="auto"/>
              <w:jc w:val="both"/>
              <w:rPr>
                <w:rFonts w:ascii="Times New Roman" w:hAnsi="Times New Roman"/>
              </w:rPr>
            </w:pPr>
            <w:r>
              <w:rPr>
                <w:rFonts w:ascii="Times New Roman" w:hAnsi="Times New Roman"/>
              </w:rPr>
              <w:t>3) Создание условий для участия во всероссийской олимпиаде школьников, творческих конкурсах, научно- практических конференциях, спортивных соревнованиях.</w:t>
            </w:r>
          </w:p>
        </w:tc>
      </w:tr>
    </w:tbl>
    <w:p w14:paraId="1765DA38">
      <w:pPr>
        <w:tabs>
          <w:tab w:val="left" w:pos="851"/>
        </w:tabs>
        <w:spacing w:after="0" w:line="360" w:lineRule="auto"/>
        <w:ind w:firstLine="709"/>
        <w:rPr>
          <w:rFonts w:ascii="Times New Roman" w:hAnsi="Times New Roman"/>
        </w:rPr>
      </w:pPr>
    </w:p>
    <w:p w14:paraId="4705606A">
      <w:pPr>
        <w:tabs>
          <w:tab w:val="left" w:pos="851"/>
        </w:tabs>
        <w:spacing w:after="0" w:line="360" w:lineRule="auto"/>
        <w:ind w:firstLine="709"/>
        <w:rPr>
          <w:rFonts w:ascii="Times New Roman" w:hAnsi="Times New Roman"/>
        </w:rPr>
      </w:pPr>
      <w:r>
        <w:rPr>
          <w:rFonts w:ascii="Times New Roman" w:hAnsi="Times New Roman"/>
        </w:rPr>
        <w:t>Особыми задачами воспитания одаренных детей являются:</w:t>
      </w:r>
    </w:p>
    <w:p w14:paraId="533903F8">
      <w:pPr>
        <w:numPr>
          <w:ilvl w:val="0"/>
          <w:numId w:val="10"/>
        </w:numPr>
        <w:tabs>
          <w:tab w:val="left" w:pos="993"/>
        </w:tabs>
        <w:spacing w:after="0" w:line="360" w:lineRule="auto"/>
        <w:ind w:left="0" w:firstLine="709"/>
        <w:jc w:val="both"/>
        <w:rPr>
          <w:rFonts w:ascii="Times New Roman" w:hAnsi="Times New Roman"/>
        </w:rPr>
      </w:pPr>
      <w:r>
        <w:rPr>
          <w:rFonts w:ascii="Times New Roman" w:hAnsi="Times New Roman"/>
        </w:rPr>
        <w:t>налаживание эмоционально-положительного взаимодействия с окружающими для их успешной социальной адаптации и интеграции в общеобразовательной организации;</w:t>
      </w:r>
    </w:p>
    <w:p w14:paraId="63B78BDD">
      <w:pPr>
        <w:numPr>
          <w:ilvl w:val="0"/>
          <w:numId w:val="10"/>
        </w:numPr>
        <w:tabs>
          <w:tab w:val="left" w:pos="993"/>
        </w:tabs>
        <w:spacing w:after="0" w:line="360" w:lineRule="auto"/>
        <w:ind w:left="0" w:firstLine="709"/>
        <w:jc w:val="both"/>
        <w:rPr>
          <w:rFonts w:ascii="Times New Roman" w:hAnsi="Times New Roman"/>
        </w:rPr>
      </w:pPr>
      <w:r>
        <w:rPr>
          <w:rFonts w:ascii="Times New Roman" w:hAnsi="Times New Roman"/>
        </w:rPr>
        <w:t>формирование доброжелательного отношения к обучающимся и их семьям со стороны всех участников образовательных отношений;</w:t>
      </w:r>
    </w:p>
    <w:p w14:paraId="0958B51A">
      <w:pPr>
        <w:numPr>
          <w:ilvl w:val="0"/>
          <w:numId w:val="10"/>
        </w:numPr>
        <w:tabs>
          <w:tab w:val="left" w:pos="993"/>
        </w:tabs>
        <w:spacing w:after="0" w:line="360" w:lineRule="auto"/>
        <w:ind w:left="0" w:firstLine="709"/>
        <w:jc w:val="both"/>
        <w:rPr>
          <w:rFonts w:ascii="Times New Roman" w:hAnsi="Times New Roman"/>
        </w:rPr>
      </w:pPr>
      <w:r>
        <w:rPr>
          <w:rFonts w:ascii="Times New Roman" w:hAnsi="Times New Roman"/>
        </w:rPr>
        <w:t>построение воспитательной деятельности с учётом индивидуальных особенностей и возможностей каждого обучающегося;</w:t>
      </w:r>
    </w:p>
    <w:p w14:paraId="3F916132">
      <w:pPr>
        <w:numPr>
          <w:ilvl w:val="0"/>
          <w:numId w:val="10"/>
        </w:numPr>
        <w:tabs>
          <w:tab w:val="left" w:pos="993"/>
        </w:tabs>
        <w:spacing w:after="0" w:line="360" w:lineRule="auto"/>
        <w:ind w:left="0" w:firstLine="709"/>
        <w:jc w:val="both"/>
        <w:rPr>
          <w:rFonts w:ascii="Times New Roman" w:hAnsi="Times New Roman"/>
        </w:rPr>
      </w:pPr>
      <w:r>
        <w:rPr>
          <w:rFonts w:ascii="Times New Roman" w:hAnsi="Times New Roman"/>
        </w:rPr>
        <w:t>обеспечение психолого-педагогической поддержки семей обучающихся, содействие повышению уровня их педагогической, психологической, медико-социальной компетентности.</w:t>
      </w:r>
    </w:p>
    <w:p w14:paraId="0F16AB16">
      <w:pPr>
        <w:spacing w:after="0" w:line="360" w:lineRule="auto"/>
        <w:ind w:firstLine="709"/>
        <w:jc w:val="both"/>
        <w:rPr>
          <w:rFonts w:ascii="Times New Roman" w:hAnsi="Times New Roman"/>
        </w:rPr>
      </w:pPr>
      <w:r>
        <w:rPr>
          <w:rFonts w:ascii="Times New Roman" w:hAnsi="Times New Roman"/>
        </w:rPr>
        <w:t>При организации воспитания одаренных детей ориентируемся на:</w:t>
      </w:r>
    </w:p>
    <w:p w14:paraId="710CE6B3">
      <w:pPr>
        <w:spacing w:after="0" w:line="360" w:lineRule="auto"/>
        <w:ind w:firstLine="709"/>
        <w:jc w:val="both"/>
        <w:rPr>
          <w:rFonts w:ascii="Times New Roman" w:hAnsi="Times New Roman"/>
        </w:rPr>
      </w:pPr>
      <w:r>
        <w:rPr>
          <w:rFonts w:ascii="Times New Roman" w:hAnsi="Times New Roman"/>
        </w:rPr>
        <w:t>– формирование личности ребёнка с особыми образовательными потребностями с использованием адекватных возрасту и физическому и (или) психическому состоянию методов воспитания;</w:t>
      </w:r>
    </w:p>
    <w:p w14:paraId="220DD2C0">
      <w:pPr>
        <w:spacing w:after="0" w:line="360" w:lineRule="auto"/>
        <w:ind w:firstLine="709"/>
        <w:jc w:val="both"/>
        <w:rPr>
          <w:rFonts w:ascii="Times New Roman" w:hAnsi="Times New Roman"/>
        </w:rPr>
      </w:pPr>
      <w:r>
        <w:rPr>
          <w:rFonts w:ascii="Times New Roman" w:hAnsi="Times New Roman"/>
        </w:rPr>
        <w:t>– создание оптимальных условий совместного воспитания и обучения обучающихся с особыми образовательными потребностями и их сверстников, с использованием адекватных вспомогательных средств и педагогических приёмов, организацией совместных форм работы воспитателей, педагогов-психологов, учителей-логопедов, учителей-дефектологов;</w:t>
      </w:r>
    </w:p>
    <w:p w14:paraId="37D439A0">
      <w:pPr>
        <w:spacing w:after="0" w:line="360" w:lineRule="auto"/>
        <w:ind w:firstLine="709"/>
        <w:jc w:val="both"/>
        <w:rPr>
          <w:rFonts w:ascii="Times New Roman" w:hAnsi="Times New Roman"/>
        </w:rPr>
      </w:pPr>
      <w:r>
        <w:rPr>
          <w:rFonts w:ascii="Times New Roman" w:hAnsi="Times New Roman"/>
        </w:rPr>
        <w:t>– личностно-ориентированный подход в организации всех видов деятельности</w:t>
      </w:r>
      <w:r>
        <w:rPr>
          <w:rFonts w:ascii="Times New Roman" w:hAnsi="Times New Roman"/>
          <w:i/>
        </w:rPr>
        <w:t xml:space="preserve"> </w:t>
      </w:r>
      <w:r>
        <w:rPr>
          <w:rFonts w:ascii="Times New Roman" w:hAnsi="Times New Roman"/>
          <w:iCs/>
        </w:rPr>
        <w:t>обучающихся с</w:t>
      </w:r>
      <w:r>
        <w:rPr>
          <w:rFonts w:ascii="Times New Roman" w:hAnsi="Times New Roman"/>
        </w:rPr>
        <w:t xml:space="preserve"> особыми образовательными потребностями.</w:t>
      </w:r>
    </w:p>
    <w:p w14:paraId="0EA2DF0D">
      <w:pPr>
        <w:spacing w:after="0" w:line="360" w:lineRule="auto"/>
        <w:ind w:firstLine="709"/>
        <w:jc w:val="both"/>
        <w:rPr>
          <w:rFonts w:ascii="Times New Roman" w:hAnsi="Times New Roman"/>
        </w:rPr>
      </w:pPr>
    </w:p>
    <w:p w14:paraId="1859AFB1">
      <w:pPr>
        <w:spacing w:line="360" w:lineRule="auto"/>
        <w:jc w:val="both"/>
        <w:rPr>
          <w:rFonts w:ascii="Times New Roman" w:hAnsi="Times New Roman"/>
          <w:b/>
        </w:rPr>
      </w:pPr>
      <w:bookmarkStart w:id="316" w:name="__RefHeading___12"/>
      <w:bookmarkEnd w:id="316"/>
      <w:r>
        <w:rPr>
          <w:rFonts w:ascii="Times New Roman" w:hAnsi="Times New Roman"/>
          <w:b/>
        </w:rPr>
        <w:t>18.5 Система поощрения социальной успешности и проявлений активной жизненной позиции обучающихся</w:t>
      </w:r>
    </w:p>
    <w:p w14:paraId="30252C7F">
      <w:pPr>
        <w:widowControl/>
        <w:spacing w:after="0" w:line="360" w:lineRule="auto"/>
        <w:ind w:firstLine="709"/>
        <w:jc w:val="both"/>
        <w:rPr>
          <w:rFonts w:ascii="Times New Roman" w:hAnsi="Times New Roman"/>
        </w:rPr>
      </w:pPr>
      <w:r>
        <w:rPr>
          <w:rFonts w:ascii="Times New Roman" w:hAnsi="Times New Roman"/>
        </w:rPr>
        <w:t xml:space="preserve">Система поощрения проявлений активной жизненной позиции и социальной успешности обучающихся призвана способствовать формированию у обучающихся ориентации на активную жизненную позицию, инициативность, максимально вовлекать их в совместную деятельность в воспитательных целях. </w:t>
      </w:r>
    </w:p>
    <w:p w14:paraId="686A1D95">
      <w:pPr>
        <w:widowControl/>
        <w:spacing w:after="0" w:line="360" w:lineRule="auto"/>
        <w:ind w:firstLine="709"/>
        <w:jc w:val="both"/>
        <w:rPr>
          <w:rFonts w:ascii="Times New Roman" w:hAnsi="Times New Roman"/>
        </w:rPr>
      </w:pPr>
      <w:r>
        <w:rPr>
          <w:rFonts w:ascii="Times New Roman" w:hAnsi="Times New Roman"/>
        </w:rPr>
        <w:t>Система проявлений активной жизненной позиции и поощрения социальной успешности обучающихся строится на принципах:</w:t>
      </w:r>
    </w:p>
    <w:p w14:paraId="0DB4FBDE">
      <w:pPr>
        <w:widowControl/>
        <w:numPr>
          <w:ilvl w:val="0"/>
          <w:numId w:val="11"/>
        </w:numPr>
        <w:tabs>
          <w:tab w:val="left" w:pos="851"/>
          <w:tab w:val="left" w:pos="993"/>
        </w:tabs>
        <w:spacing w:after="0" w:line="360" w:lineRule="auto"/>
        <w:ind w:left="0" w:firstLine="567"/>
        <w:jc w:val="both"/>
        <w:rPr>
          <w:rFonts w:ascii="Times New Roman" w:hAnsi="Times New Roman"/>
        </w:rPr>
      </w:pPr>
      <w:r>
        <w:rPr>
          <w:rFonts w:ascii="Times New Roman" w:hAnsi="Times New Roman"/>
        </w:rPr>
        <w:t>публичности, открытости поощрений (информирование всех обучающихся о награждении, проведение награждений  на общешкольных линейках);</w:t>
      </w:r>
    </w:p>
    <w:p w14:paraId="30024626">
      <w:pPr>
        <w:widowControl/>
        <w:numPr>
          <w:ilvl w:val="0"/>
          <w:numId w:val="11"/>
        </w:numPr>
        <w:tabs>
          <w:tab w:val="left" w:pos="851"/>
          <w:tab w:val="left" w:pos="993"/>
        </w:tabs>
        <w:spacing w:after="0" w:line="360" w:lineRule="auto"/>
        <w:ind w:left="0" w:firstLine="567"/>
        <w:jc w:val="both"/>
        <w:rPr>
          <w:rFonts w:ascii="Times New Roman" w:hAnsi="Times New Roman"/>
        </w:rPr>
      </w:pPr>
      <w:r>
        <w:rPr>
          <w:rFonts w:ascii="Times New Roman" w:hAnsi="Times New Roman"/>
        </w:rPr>
        <w:t>соответствия процедур награждения укладу школы, качеству воспитывающей среды, символике общеобразовательной организации;</w:t>
      </w:r>
    </w:p>
    <w:p w14:paraId="5AA951AE">
      <w:pPr>
        <w:widowControl/>
        <w:numPr>
          <w:ilvl w:val="0"/>
          <w:numId w:val="11"/>
        </w:numPr>
        <w:tabs>
          <w:tab w:val="left" w:pos="851"/>
          <w:tab w:val="left" w:pos="993"/>
        </w:tabs>
        <w:spacing w:after="0" w:line="360" w:lineRule="auto"/>
        <w:ind w:left="0" w:firstLine="567"/>
        <w:jc w:val="both"/>
        <w:rPr>
          <w:rFonts w:ascii="Times New Roman" w:hAnsi="Times New Roman"/>
        </w:rPr>
      </w:pPr>
      <w:r>
        <w:rPr>
          <w:rFonts w:ascii="Times New Roman" w:hAnsi="Times New Roman"/>
        </w:rPr>
        <w:t>прозрачности правил поощрения (наличие положения о награждениях, неукоснительное следование порядку, зафиксированному в этом документе, соблюдение справедливости при выдвижении кандидатур);</w:t>
      </w:r>
    </w:p>
    <w:p w14:paraId="17C7698F">
      <w:pPr>
        <w:widowControl/>
        <w:numPr>
          <w:ilvl w:val="0"/>
          <w:numId w:val="11"/>
        </w:numPr>
        <w:tabs>
          <w:tab w:val="left" w:pos="851"/>
          <w:tab w:val="left" w:pos="993"/>
        </w:tabs>
        <w:spacing w:after="0" w:line="360" w:lineRule="auto"/>
        <w:ind w:left="0" w:firstLine="567"/>
        <w:jc w:val="both"/>
        <w:rPr>
          <w:rFonts w:ascii="Times New Roman" w:hAnsi="Times New Roman"/>
        </w:rPr>
      </w:pPr>
      <w:r>
        <w:rPr>
          <w:rFonts w:ascii="Times New Roman" w:hAnsi="Times New Roman"/>
        </w:rPr>
        <w:t>регулирования частоты награждений (недопущение избыточности в поощрениях, чрезмерно больших групп поощряемых и т. п.);</w:t>
      </w:r>
    </w:p>
    <w:p w14:paraId="4E5F9A0F">
      <w:pPr>
        <w:widowControl/>
        <w:numPr>
          <w:ilvl w:val="0"/>
          <w:numId w:val="11"/>
        </w:numPr>
        <w:tabs>
          <w:tab w:val="left" w:pos="851"/>
          <w:tab w:val="left" w:pos="993"/>
        </w:tabs>
        <w:spacing w:after="0" w:line="360" w:lineRule="auto"/>
        <w:ind w:left="0" w:firstLine="567"/>
        <w:jc w:val="both"/>
        <w:rPr>
          <w:rFonts w:ascii="Times New Roman" w:hAnsi="Times New Roman"/>
        </w:rPr>
      </w:pPr>
      <w:r>
        <w:rPr>
          <w:rFonts w:ascii="Times New Roman" w:hAnsi="Times New Roman"/>
        </w:rPr>
        <w:t>сочетания индивидуального и коллективного поощрения (использование индивидуальных и коллективных наград даёт возможность стимулировать индивидуальную и коллективную активность обучающихся, преодолевать межличностные противоречия между обучающимися, получившими и не получившими награды);</w:t>
      </w:r>
    </w:p>
    <w:p w14:paraId="3BAD4835">
      <w:pPr>
        <w:widowControl/>
        <w:numPr>
          <w:ilvl w:val="0"/>
          <w:numId w:val="11"/>
        </w:numPr>
        <w:tabs>
          <w:tab w:val="left" w:pos="851"/>
          <w:tab w:val="left" w:pos="993"/>
        </w:tabs>
        <w:spacing w:after="0" w:line="360" w:lineRule="auto"/>
        <w:ind w:left="0" w:firstLine="567"/>
        <w:jc w:val="both"/>
        <w:rPr>
          <w:rFonts w:ascii="Times New Roman" w:hAnsi="Times New Roman"/>
        </w:rPr>
      </w:pPr>
      <w:r>
        <w:rPr>
          <w:rFonts w:ascii="Times New Roman" w:hAnsi="Times New Roman"/>
        </w:rPr>
        <w:t>привлечения к участию в системе поощрений на всех стадиях родителей (законных представителей) обучающихся, представителей родительского сообщества, самих обучающихся, их представителей (с учётом наличия ученического самоуправления), сторонних организаций;</w:t>
      </w:r>
    </w:p>
    <w:p w14:paraId="1BD04757">
      <w:pPr>
        <w:widowControl/>
        <w:numPr>
          <w:ilvl w:val="0"/>
          <w:numId w:val="11"/>
        </w:numPr>
        <w:tabs>
          <w:tab w:val="left" w:pos="851"/>
          <w:tab w:val="left" w:pos="993"/>
        </w:tabs>
        <w:spacing w:after="0" w:line="360" w:lineRule="auto"/>
        <w:ind w:left="0" w:firstLine="567"/>
        <w:jc w:val="both"/>
        <w:rPr>
          <w:rFonts w:ascii="Times New Roman" w:hAnsi="Times New Roman"/>
        </w:rPr>
      </w:pPr>
      <w:r>
        <w:rPr>
          <w:rFonts w:ascii="Times New Roman" w:hAnsi="Times New Roman"/>
        </w:rPr>
        <w:t>дифференцированности поощрений (наличие уровней и типов наград позволяет продлить стимулирующее действие системы поощрения).</w:t>
      </w:r>
    </w:p>
    <w:p w14:paraId="39A9D3AE">
      <w:pPr>
        <w:widowControl/>
        <w:spacing w:after="0" w:line="360" w:lineRule="auto"/>
        <w:ind w:firstLine="709"/>
        <w:jc w:val="both"/>
        <w:rPr>
          <w:rFonts w:ascii="Times New Roman" w:hAnsi="Times New Roman"/>
        </w:rPr>
      </w:pPr>
      <w:r>
        <w:rPr>
          <w:rFonts w:ascii="Times New Roman" w:hAnsi="Times New Roman"/>
          <w:b/>
        </w:rPr>
        <w:t>Формы поощрения</w:t>
      </w:r>
      <w:r>
        <w:rPr>
          <w:rFonts w:ascii="Times New Roman" w:hAnsi="Times New Roman"/>
        </w:rPr>
        <w:t xml:space="preserve"> проявлений активной жизненной позиции обучающихся и социальной успешности: индивидуальные и групповые портфолио, рейтинги, благотворительная поддержка.</w:t>
      </w:r>
    </w:p>
    <w:p w14:paraId="142EE737">
      <w:pPr>
        <w:widowControl/>
        <w:spacing w:after="0" w:line="360" w:lineRule="auto"/>
        <w:ind w:firstLine="709"/>
        <w:jc w:val="both"/>
        <w:rPr>
          <w:rFonts w:ascii="Times New Roman" w:hAnsi="Times New Roman"/>
        </w:rPr>
      </w:pPr>
      <w:r>
        <w:rPr>
          <w:rFonts w:ascii="Times New Roman" w:hAnsi="Times New Roman"/>
          <w:b/>
        </w:rPr>
        <w:t>Ведение портфолио</w:t>
      </w:r>
      <w:r>
        <w:rPr>
          <w:rFonts w:ascii="Times New Roman" w:hAnsi="Times New Roman"/>
        </w:rPr>
        <w:t xml:space="preserve"> — деятельность обучающихся при её организации и регулярном поощрении классными руководителями, поддержке родителями (законными представителями), фиксирующих достижения обучающегося. </w:t>
      </w:r>
    </w:p>
    <w:p w14:paraId="3D402271">
      <w:pPr>
        <w:widowControl/>
        <w:spacing w:after="0" w:line="360" w:lineRule="auto"/>
        <w:ind w:firstLine="709"/>
        <w:jc w:val="both"/>
        <w:rPr>
          <w:rFonts w:ascii="Times New Roman" w:hAnsi="Times New Roman"/>
        </w:rPr>
      </w:pPr>
      <w:r>
        <w:rPr>
          <w:rFonts w:ascii="Times New Roman" w:hAnsi="Times New Roman"/>
        </w:rPr>
        <w:t>Портфолио может включать признания личностных достижений, достижений в группе, участия в деятельности (грамоты, поощрительные письма, фотографии призов, фото изделий, работ и др., участвовавших в конкурсах и т. д.). Кроме индивидуального портфолио, возможно ведение портфолио класса.</w:t>
      </w:r>
    </w:p>
    <w:p w14:paraId="043B2954">
      <w:pPr>
        <w:widowControl/>
        <w:spacing w:after="0" w:line="360" w:lineRule="auto"/>
        <w:ind w:firstLine="709"/>
        <w:jc w:val="both"/>
        <w:rPr>
          <w:rFonts w:ascii="Times New Roman" w:hAnsi="Times New Roman"/>
        </w:rPr>
      </w:pPr>
      <w:r>
        <w:rPr>
          <w:rFonts w:ascii="Times New Roman" w:hAnsi="Times New Roman"/>
          <w:b/>
        </w:rPr>
        <w:t>Рейтинги</w:t>
      </w:r>
      <w:r>
        <w:rPr>
          <w:rFonts w:ascii="Times New Roman" w:hAnsi="Times New Roman"/>
        </w:rPr>
        <w:t xml:space="preserve"> формируются через размещение имен (фамилий) обучающихся или номеров классов в последовательности, определяемой их успешностью, достижениями.</w:t>
      </w:r>
    </w:p>
    <w:p w14:paraId="38B7A0BE">
      <w:pPr>
        <w:widowControl/>
        <w:spacing w:after="0" w:line="360" w:lineRule="auto"/>
        <w:ind w:firstLine="709"/>
        <w:jc w:val="both"/>
        <w:rPr>
          <w:rFonts w:ascii="Times New Roman" w:hAnsi="Times New Roman"/>
        </w:rPr>
      </w:pPr>
      <w:r>
        <w:rPr>
          <w:rFonts w:ascii="Times New Roman" w:hAnsi="Times New Roman"/>
          <w:b/>
        </w:rPr>
        <w:t>Благотворительная поддержка</w:t>
      </w:r>
      <w:r>
        <w:rPr>
          <w:rFonts w:ascii="Times New Roman" w:hAnsi="Times New Roman"/>
        </w:rPr>
        <w:t xml:space="preserve"> обучающихся, классов может заключаться в материальной поддержке проведения в гимназии воспитательных мероприятий, проведения внешкольных мероприятий, различных форм совместной деятельности воспитательной направленности, в индивидуальной поддержке нуждающихся в помощи обучающихся, семей, педагогических работников. </w:t>
      </w:r>
    </w:p>
    <w:p w14:paraId="0876B06B">
      <w:pPr>
        <w:widowControl/>
        <w:spacing w:after="0" w:line="360" w:lineRule="auto"/>
        <w:ind w:firstLine="709"/>
        <w:jc w:val="both"/>
        <w:rPr>
          <w:rFonts w:ascii="Times New Roman" w:hAnsi="Times New Roman"/>
        </w:rPr>
      </w:pPr>
      <w:r>
        <w:rPr>
          <w:rFonts w:ascii="Times New Roman" w:hAnsi="Times New Roman"/>
        </w:rPr>
        <w:t>Благотворительность предусматривает публичную презентацию благотворителей и их деятельности.</w:t>
      </w:r>
    </w:p>
    <w:p w14:paraId="18FAA06C">
      <w:pPr>
        <w:widowControl/>
        <w:spacing w:after="0" w:line="360" w:lineRule="auto"/>
        <w:ind w:firstLine="709"/>
        <w:jc w:val="both"/>
        <w:rPr>
          <w:rFonts w:ascii="Times New Roman" w:hAnsi="Times New Roman" w:eastAsia="SchoolBookSanPin"/>
        </w:rPr>
      </w:pPr>
      <w:r>
        <w:rPr>
          <w:rFonts w:ascii="Times New Roman" w:hAnsi="Times New Roman" w:eastAsia="SchoolBookSanPin"/>
        </w:rPr>
        <w:t>Использование рейтингов, их форма, публичность, привлечение благотворителей, в том числе из социальных партнёров, их статус, акции, деятельность соответствует укладу гимназии, целям, задачам, традициям воспитания, согласовываться с представителями родительского сообщества во избежание деструктивного воздействия на взаимоотношения в образовательной организации.</w:t>
      </w:r>
    </w:p>
    <w:p w14:paraId="1B704E2D">
      <w:pPr>
        <w:spacing w:after="0" w:line="350" w:lineRule="auto"/>
        <w:jc w:val="both"/>
        <w:rPr>
          <w:rFonts w:ascii="Times New Roman" w:hAnsi="Times New Roman"/>
          <w:b/>
        </w:rPr>
      </w:pPr>
      <w:r>
        <w:rPr>
          <w:rFonts w:ascii="Times New Roman" w:hAnsi="Times New Roman"/>
          <w:b/>
        </w:rPr>
        <w:t>18.6  Анализ воспитательной работы</w:t>
      </w:r>
    </w:p>
    <w:p w14:paraId="51222736">
      <w:pPr>
        <w:spacing w:after="0" w:line="350" w:lineRule="auto"/>
        <w:jc w:val="both"/>
        <w:rPr>
          <w:rFonts w:ascii="Times New Roman" w:hAnsi="Times New Roman"/>
        </w:rPr>
      </w:pPr>
      <w:r>
        <w:rPr>
          <w:rFonts w:ascii="Times New Roman" w:hAnsi="Times New Roman"/>
        </w:rPr>
        <w:tab/>
      </w:r>
      <w:r>
        <w:rPr>
          <w:rFonts w:ascii="Times New Roman" w:hAnsi="Times New Roman"/>
        </w:rPr>
        <w:t xml:space="preserve">Самоанализ осуществляется ежегодно силами коллектива школы. </w:t>
      </w:r>
      <w:r>
        <w:rPr>
          <w:rFonts w:ascii="Times New Roman" w:hAnsi="Times New Roman"/>
          <w:b/>
        </w:rPr>
        <w:t>Оценка качества воспитания школьников</w:t>
      </w:r>
      <w:r>
        <w:rPr>
          <w:rFonts w:ascii="Times New Roman" w:hAnsi="Times New Roman"/>
        </w:rPr>
        <w:t xml:space="preserve"> – это внутренняя оценка, производимая самим педагогическим коллективом в своих профессиональных целях и производится на основе неперсонифицированных диагностических методик. </w:t>
      </w:r>
      <w:r>
        <w:rPr>
          <w:rFonts w:ascii="Times New Roman" w:hAnsi="Times New Roman"/>
          <w:b/>
        </w:rPr>
        <w:t>Основанием для оценки качества воспитания школьников</w:t>
      </w:r>
      <w:r>
        <w:rPr>
          <w:rFonts w:ascii="Times New Roman" w:hAnsi="Times New Roman"/>
        </w:rPr>
        <w:t xml:space="preserve"> являются результаты педагогических наблюдений и применения иных методик изучения личностного роста школьников. </w:t>
      </w:r>
    </w:p>
    <w:p w14:paraId="4A751489">
      <w:pPr>
        <w:spacing w:after="0" w:line="350" w:lineRule="auto"/>
        <w:jc w:val="both"/>
        <w:rPr>
          <w:rFonts w:ascii="Times New Roman" w:hAnsi="Times New Roman"/>
        </w:rPr>
      </w:pPr>
      <w:r>
        <w:rPr>
          <w:rFonts w:ascii="Times New Roman" w:hAnsi="Times New Roman"/>
        </w:rPr>
        <w:tab/>
      </w:r>
      <w:r>
        <w:rPr>
          <w:rFonts w:ascii="Times New Roman" w:hAnsi="Times New Roman"/>
        </w:rPr>
        <w:t>В школе чаще используются опросники, но их результаты обязательно сверяются с результатами педагогических наблюдений. В качестве возможного варианта используется опросник «Личностный рост» и «Анкета для самоанализа организуемой в школе совместной деятельности детей и взрослых». Особенностью опросника является то, что он предполагает не сравнение детей с неким универсальным стандартом воспитанности, а отслеживает динамику личностных изменений школьника (какими они были – какими стали).</w:t>
      </w:r>
    </w:p>
    <w:p w14:paraId="1D33F0BE">
      <w:pPr>
        <w:spacing w:after="0" w:line="350" w:lineRule="auto"/>
        <w:jc w:val="both"/>
        <w:rPr>
          <w:rFonts w:ascii="Times New Roman" w:hAnsi="Times New Roman"/>
        </w:rPr>
      </w:pPr>
    </w:p>
    <w:tbl>
      <w:tblPr>
        <w:tblStyle w:val="59"/>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49"/>
        <w:gridCol w:w="2140"/>
        <w:gridCol w:w="1844"/>
        <w:gridCol w:w="1837"/>
        <w:gridCol w:w="1951"/>
        <w:gridCol w:w="2001"/>
      </w:tblGrid>
      <w:tr w14:paraId="1A2CC5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tcPr>
          <w:p w14:paraId="288D82DB">
            <w:pPr>
              <w:spacing w:after="0" w:line="350" w:lineRule="auto"/>
              <w:jc w:val="center"/>
              <w:rPr>
                <w:rFonts w:ascii="Times New Roman" w:hAnsi="Times New Roman"/>
                <w:b/>
              </w:rPr>
            </w:pPr>
            <w:r>
              <w:rPr>
                <w:rFonts w:ascii="Times New Roman" w:hAnsi="Times New Roman"/>
                <w:b/>
              </w:rPr>
              <w:t>№ п/п</w:t>
            </w:r>
          </w:p>
        </w:tc>
        <w:tc>
          <w:tcPr>
            <w:tcW w:w="2268" w:type="dxa"/>
          </w:tcPr>
          <w:p w14:paraId="6FFF0527">
            <w:pPr>
              <w:spacing w:after="0" w:line="350" w:lineRule="auto"/>
              <w:jc w:val="center"/>
              <w:rPr>
                <w:rFonts w:ascii="Times New Roman" w:hAnsi="Times New Roman"/>
                <w:b/>
              </w:rPr>
            </w:pPr>
            <w:r>
              <w:rPr>
                <w:rFonts w:ascii="Times New Roman" w:hAnsi="Times New Roman"/>
                <w:b/>
              </w:rPr>
              <w:t>Направление</w:t>
            </w:r>
          </w:p>
        </w:tc>
        <w:tc>
          <w:tcPr>
            <w:tcW w:w="1951" w:type="dxa"/>
          </w:tcPr>
          <w:p w14:paraId="2ECC7C08">
            <w:pPr>
              <w:spacing w:after="0" w:line="350" w:lineRule="auto"/>
              <w:jc w:val="center"/>
              <w:rPr>
                <w:rFonts w:ascii="Times New Roman" w:hAnsi="Times New Roman"/>
                <w:b/>
              </w:rPr>
            </w:pPr>
            <w:r>
              <w:rPr>
                <w:rFonts w:ascii="Times New Roman" w:hAnsi="Times New Roman"/>
                <w:b/>
              </w:rPr>
              <w:t>Критерии</w:t>
            </w:r>
          </w:p>
        </w:tc>
        <w:tc>
          <w:tcPr>
            <w:tcW w:w="1713" w:type="dxa"/>
          </w:tcPr>
          <w:p w14:paraId="5E4FFD25">
            <w:pPr>
              <w:spacing w:after="0" w:line="350" w:lineRule="auto"/>
              <w:jc w:val="center"/>
              <w:rPr>
                <w:rFonts w:ascii="Times New Roman" w:hAnsi="Times New Roman"/>
                <w:b/>
              </w:rPr>
            </w:pPr>
            <w:r>
              <w:rPr>
                <w:rFonts w:ascii="Times New Roman" w:hAnsi="Times New Roman"/>
                <w:b/>
              </w:rPr>
              <w:t>Способ получения информации</w:t>
            </w:r>
          </w:p>
        </w:tc>
        <w:tc>
          <w:tcPr>
            <w:tcW w:w="1788" w:type="dxa"/>
          </w:tcPr>
          <w:p w14:paraId="4B612D3A">
            <w:pPr>
              <w:spacing w:after="0" w:line="350" w:lineRule="auto"/>
              <w:jc w:val="center"/>
              <w:rPr>
                <w:rFonts w:ascii="Times New Roman" w:hAnsi="Times New Roman"/>
                <w:b/>
              </w:rPr>
            </w:pPr>
            <w:r>
              <w:rPr>
                <w:rFonts w:ascii="Times New Roman" w:hAnsi="Times New Roman"/>
                <w:b/>
              </w:rPr>
              <w:t>Отвественные</w:t>
            </w:r>
          </w:p>
        </w:tc>
        <w:tc>
          <w:tcPr>
            <w:tcW w:w="2027" w:type="dxa"/>
          </w:tcPr>
          <w:p w14:paraId="7658C158">
            <w:pPr>
              <w:spacing w:after="0" w:line="350" w:lineRule="auto"/>
              <w:jc w:val="center"/>
              <w:rPr>
                <w:rFonts w:ascii="Times New Roman" w:hAnsi="Times New Roman"/>
                <w:b/>
              </w:rPr>
            </w:pPr>
            <w:r>
              <w:rPr>
                <w:rFonts w:ascii="Times New Roman" w:hAnsi="Times New Roman"/>
                <w:b/>
              </w:rPr>
              <w:t>Оценочный инструментарий</w:t>
            </w:r>
          </w:p>
        </w:tc>
      </w:tr>
      <w:tr w14:paraId="2DD2DC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tcPr>
          <w:p w14:paraId="5EA02BB8">
            <w:pPr>
              <w:spacing w:after="0" w:line="350" w:lineRule="auto"/>
              <w:jc w:val="center"/>
              <w:rPr>
                <w:rFonts w:ascii="Times New Roman" w:hAnsi="Times New Roman"/>
                <w:b/>
              </w:rPr>
            </w:pPr>
            <w:r>
              <w:rPr>
                <w:rFonts w:ascii="Times New Roman" w:hAnsi="Times New Roman"/>
                <w:b/>
              </w:rPr>
              <w:t>1.</w:t>
            </w:r>
          </w:p>
        </w:tc>
        <w:tc>
          <w:tcPr>
            <w:tcW w:w="2268" w:type="dxa"/>
          </w:tcPr>
          <w:p w14:paraId="14FD47D7">
            <w:pPr>
              <w:spacing w:after="0" w:line="350" w:lineRule="auto"/>
              <w:rPr>
                <w:rFonts w:ascii="Times New Roman" w:hAnsi="Times New Roman"/>
              </w:rPr>
            </w:pPr>
            <w:r>
              <w:rPr>
                <w:rFonts w:ascii="Times New Roman" w:hAnsi="Times New Roman"/>
              </w:rPr>
              <w:t>Результаты воспитания, социализации и саморазвития обучающихся</w:t>
            </w:r>
          </w:p>
        </w:tc>
        <w:tc>
          <w:tcPr>
            <w:tcW w:w="1951" w:type="dxa"/>
          </w:tcPr>
          <w:p w14:paraId="331DC387">
            <w:pPr>
              <w:spacing w:after="0" w:line="350" w:lineRule="auto"/>
              <w:rPr>
                <w:rFonts w:ascii="Times New Roman" w:hAnsi="Times New Roman"/>
              </w:rPr>
            </w:pPr>
            <w:r>
              <w:rPr>
                <w:rFonts w:ascii="Times New Roman" w:hAnsi="Times New Roman"/>
              </w:rPr>
              <w:t>Динамика личностного развития обучающихся каждого класса</w:t>
            </w:r>
          </w:p>
        </w:tc>
        <w:tc>
          <w:tcPr>
            <w:tcW w:w="1713" w:type="dxa"/>
          </w:tcPr>
          <w:p w14:paraId="26D89BCB">
            <w:pPr>
              <w:spacing w:after="0" w:line="350" w:lineRule="auto"/>
              <w:rPr>
                <w:rFonts w:ascii="Times New Roman" w:hAnsi="Times New Roman"/>
              </w:rPr>
            </w:pPr>
            <w:r>
              <w:rPr>
                <w:rFonts w:ascii="Times New Roman" w:hAnsi="Times New Roman"/>
              </w:rPr>
              <w:t>Педагогическое наблюдение</w:t>
            </w:r>
          </w:p>
          <w:p w14:paraId="5F07235A">
            <w:pPr>
              <w:spacing w:after="0" w:line="350" w:lineRule="auto"/>
              <w:rPr>
                <w:rFonts w:ascii="Times New Roman" w:hAnsi="Times New Roman"/>
              </w:rPr>
            </w:pPr>
            <w:r>
              <w:rPr>
                <w:rFonts w:ascii="Times New Roman" w:hAnsi="Times New Roman"/>
              </w:rPr>
              <w:t>Анкетирование Тестирование Ресурсный круг</w:t>
            </w:r>
          </w:p>
        </w:tc>
        <w:tc>
          <w:tcPr>
            <w:tcW w:w="1788" w:type="dxa"/>
          </w:tcPr>
          <w:p w14:paraId="51759C7A">
            <w:pPr>
              <w:spacing w:after="0" w:line="350" w:lineRule="auto"/>
              <w:rPr>
                <w:rFonts w:ascii="Times New Roman" w:hAnsi="Times New Roman"/>
              </w:rPr>
            </w:pPr>
            <w:r>
              <w:rPr>
                <w:rFonts w:ascii="Times New Roman" w:hAnsi="Times New Roman"/>
              </w:rPr>
              <w:t>Классные руководители, заместитель директора по УВР</w:t>
            </w:r>
          </w:p>
        </w:tc>
        <w:tc>
          <w:tcPr>
            <w:tcW w:w="2027" w:type="dxa"/>
          </w:tcPr>
          <w:p w14:paraId="4468E47C">
            <w:pPr>
              <w:spacing w:after="0" w:line="350" w:lineRule="auto"/>
              <w:rPr>
                <w:rFonts w:ascii="Times New Roman" w:hAnsi="Times New Roman"/>
              </w:rPr>
            </w:pPr>
            <w:r>
              <w:rPr>
                <w:rFonts w:ascii="Times New Roman" w:hAnsi="Times New Roman"/>
              </w:rPr>
              <w:t>Методика Н. П. Капустина Опросник «Личностный рост»</w:t>
            </w:r>
          </w:p>
        </w:tc>
      </w:tr>
      <w:tr w14:paraId="6B9986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tcPr>
          <w:p w14:paraId="4D81C47D">
            <w:pPr>
              <w:spacing w:after="0" w:line="350" w:lineRule="auto"/>
              <w:jc w:val="center"/>
              <w:rPr>
                <w:rFonts w:ascii="Times New Roman" w:hAnsi="Times New Roman"/>
                <w:b/>
              </w:rPr>
            </w:pPr>
            <w:r>
              <w:rPr>
                <w:rFonts w:ascii="Times New Roman" w:hAnsi="Times New Roman"/>
                <w:b/>
              </w:rPr>
              <w:t>2.</w:t>
            </w:r>
          </w:p>
        </w:tc>
        <w:tc>
          <w:tcPr>
            <w:tcW w:w="2268" w:type="dxa"/>
          </w:tcPr>
          <w:p w14:paraId="60B175D9">
            <w:pPr>
              <w:spacing w:after="0" w:line="350" w:lineRule="auto"/>
              <w:rPr>
                <w:rFonts w:ascii="Times New Roman" w:hAnsi="Times New Roman"/>
              </w:rPr>
            </w:pPr>
            <w:r>
              <w:rPr>
                <w:rFonts w:ascii="Times New Roman" w:hAnsi="Times New Roman"/>
              </w:rPr>
              <w:t>Состояние совместной деятельности обучающихся и взрослых</w:t>
            </w:r>
          </w:p>
        </w:tc>
        <w:tc>
          <w:tcPr>
            <w:tcW w:w="1951" w:type="dxa"/>
          </w:tcPr>
          <w:p w14:paraId="17368219">
            <w:pPr>
              <w:spacing w:after="0" w:line="350" w:lineRule="auto"/>
              <w:rPr>
                <w:rFonts w:ascii="Times New Roman" w:hAnsi="Times New Roman"/>
              </w:rPr>
            </w:pPr>
            <w:r>
              <w:rPr>
                <w:rFonts w:ascii="Times New Roman" w:hAnsi="Times New Roman"/>
              </w:rPr>
              <w:t>Наличие интересной, событийно насыщенной и личностно-развивающей совместной деятельности обучающихся и взрослых</w:t>
            </w:r>
          </w:p>
        </w:tc>
        <w:tc>
          <w:tcPr>
            <w:tcW w:w="1713" w:type="dxa"/>
          </w:tcPr>
          <w:p w14:paraId="1D971CEF">
            <w:pPr>
              <w:spacing w:after="0" w:line="350" w:lineRule="auto"/>
              <w:rPr>
                <w:rFonts w:ascii="Times New Roman" w:hAnsi="Times New Roman"/>
              </w:rPr>
            </w:pPr>
            <w:r>
              <w:rPr>
                <w:rFonts w:ascii="Times New Roman" w:hAnsi="Times New Roman"/>
              </w:rPr>
              <w:t>Беседы с</w:t>
            </w:r>
          </w:p>
          <w:p w14:paraId="16152D4C">
            <w:pPr>
              <w:spacing w:after="0" w:line="350" w:lineRule="auto"/>
              <w:rPr>
                <w:rFonts w:ascii="Times New Roman" w:hAnsi="Times New Roman"/>
              </w:rPr>
            </w:pPr>
            <w:r>
              <w:rPr>
                <w:rFonts w:ascii="Times New Roman" w:hAnsi="Times New Roman"/>
              </w:rPr>
              <w:t>обучающимися</w:t>
            </w:r>
          </w:p>
          <w:p w14:paraId="529DB96E">
            <w:pPr>
              <w:spacing w:after="0" w:line="350" w:lineRule="auto"/>
              <w:rPr>
                <w:rFonts w:ascii="Times New Roman" w:hAnsi="Times New Roman"/>
              </w:rPr>
            </w:pPr>
            <w:r>
              <w:rPr>
                <w:rFonts w:ascii="Times New Roman" w:hAnsi="Times New Roman"/>
              </w:rPr>
              <w:t>и их родителями,</w:t>
            </w:r>
          </w:p>
          <w:p w14:paraId="30D91917">
            <w:pPr>
              <w:spacing w:after="0" w:line="350" w:lineRule="auto"/>
              <w:rPr>
                <w:rFonts w:ascii="Times New Roman" w:hAnsi="Times New Roman"/>
              </w:rPr>
            </w:pPr>
            <w:r>
              <w:rPr>
                <w:rFonts w:ascii="Times New Roman" w:hAnsi="Times New Roman"/>
              </w:rPr>
              <w:t>педагогическими</w:t>
            </w:r>
          </w:p>
          <w:p w14:paraId="00257AED">
            <w:pPr>
              <w:spacing w:after="0" w:line="350" w:lineRule="auto"/>
              <w:rPr>
                <w:rFonts w:ascii="Times New Roman" w:hAnsi="Times New Roman"/>
              </w:rPr>
            </w:pPr>
            <w:r>
              <w:rPr>
                <w:rFonts w:ascii="Times New Roman" w:hAnsi="Times New Roman"/>
              </w:rPr>
              <w:t>работниками,</w:t>
            </w:r>
          </w:p>
          <w:p w14:paraId="168E9776">
            <w:pPr>
              <w:spacing w:after="0" w:line="350" w:lineRule="auto"/>
              <w:rPr>
                <w:rFonts w:ascii="Times New Roman" w:hAnsi="Times New Roman"/>
              </w:rPr>
            </w:pPr>
            <w:r>
              <w:rPr>
                <w:rFonts w:ascii="Times New Roman" w:hAnsi="Times New Roman"/>
              </w:rPr>
              <w:t xml:space="preserve">лидерами </w:t>
            </w:r>
          </w:p>
          <w:p w14:paraId="2BB00CAA">
            <w:pPr>
              <w:spacing w:after="0" w:line="350" w:lineRule="auto"/>
              <w:rPr>
                <w:rFonts w:ascii="Times New Roman" w:hAnsi="Times New Roman"/>
              </w:rPr>
            </w:pPr>
            <w:r>
              <w:rPr>
                <w:rFonts w:ascii="Times New Roman" w:hAnsi="Times New Roman"/>
              </w:rPr>
              <w:t>класса и школы.</w:t>
            </w:r>
          </w:p>
          <w:p w14:paraId="15C5A40E">
            <w:pPr>
              <w:spacing w:after="0" w:line="350" w:lineRule="auto"/>
              <w:rPr>
                <w:rFonts w:ascii="Times New Roman" w:hAnsi="Times New Roman"/>
              </w:rPr>
            </w:pPr>
            <w:r>
              <w:rPr>
                <w:rFonts w:ascii="Times New Roman" w:hAnsi="Times New Roman"/>
              </w:rPr>
              <w:t>Анкетирование</w:t>
            </w:r>
          </w:p>
          <w:p w14:paraId="366F7E04">
            <w:pPr>
              <w:spacing w:after="0" w:line="350" w:lineRule="auto"/>
              <w:rPr>
                <w:rFonts w:ascii="Times New Roman" w:hAnsi="Times New Roman"/>
              </w:rPr>
            </w:pPr>
            <w:r>
              <w:rPr>
                <w:rFonts w:ascii="Times New Roman" w:hAnsi="Times New Roman"/>
              </w:rPr>
              <w:t>Тестирование</w:t>
            </w:r>
          </w:p>
          <w:p w14:paraId="1F90A16C">
            <w:pPr>
              <w:spacing w:after="0" w:line="350" w:lineRule="auto"/>
              <w:rPr>
                <w:rFonts w:ascii="Times New Roman" w:hAnsi="Times New Roman"/>
              </w:rPr>
            </w:pPr>
            <w:r>
              <w:rPr>
                <w:rFonts w:ascii="Times New Roman" w:hAnsi="Times New Roman"/>
              </w:rPr>
              <w:t>Ресурсный круг</w:t>
            </w:r>
          </w:p>
        </w:tc>
        <w:tc>
          <w:tcPr>
            <w:tcW w:w="1788" w:type="dxa"/>
          </w:tcPr>
          <w:p w14:paraId="6BD9872F">
            <w:pPr>
              <w:spacing w:after="0" w:line="350" w:lineRule="auto"/>
              <w:rPr>
                <w:rFonts w:ascii="Times New Roman" w:hAnsi="Times New Roman"/>
              </w:rPr>
            </w:pPr>
            <w:r>
              <w:rPr>
                <w:rFonts w:ascii="Times New Roman" w:hAnsi="Times New Roman"/>
              </w:rPr>
              <w:t xml:space="preserve">Заместитель директора по </w:t>
            </w:r>
          </w:p>
          <w:p w14:paraId="4296CC04">
            <w:pPr>
              <w:spacing w:after="0" w:line="350" w:lineRule="auto"/>
              <w:rPr>
                <w:rFonts w:ascii="Times New Roman" w:hAnsi="Times New Roman"/>
              </w:rPr>
            </w:pPr>
            <w:r>
              <w:rPr>
                <w:rFonts w:ascii="Times New Roman" w:hAnsi="Times New Roman"/>
              </w:rPr>
              <w:t>УВР, классные</w:t>
            </w:r>
          </w:p>
          <w:p w14:paraId="5E7C79DE">
            <w:pPr>
              <w:spacing w:after="0" w:line="350" w:lineRule="auto"/>
              <w:rPr>
                <w:rFonts w:ascii="Times New Roman" w:hAnsi="Times New Roman"/>
              </w:rPr>
            </w:pPr>
            <w:r>
              <w:rPr>
                <w:rFonts w:ascii="Times New Roman" w:hAnsi="Times New Roman"/>
              </w:rPr>
              <w:t>руководители, активные родители,</w:t>
            </w:r>
          </w:p>
          <w:p w14:paraId="1B2B1AC4">
            <w:pPr>
              <w:spacing w:after="0" w:line="350" w:lineRule="auto"/>
              <w:rPr>
                <w:rFonts w:ascii="Times New Roman" w:hAnsi="Times New Roman"/>
              </w:rPr>
            </w:pPr>
            <w:r>
              <w:rPr>
                <w:rFonts w:ascii="Times New Roman" w:hAnsi="Times New Roman"/>
              </w:rPr>
              <w:t>актив</w:t>
            </w:r>
          </w:p>
          <w:p w14:paraId="2D764E6C">
            <w:pPr>
              <w:spacing w:after="0" w:line="350" w:lineRule="auto"/>
              <w:rPr>
                <w:rFonts w:ascii="Times New Roman" w:hAnsi="Times New Roman"/>
              </w:rPr>
            </w:pPr>
            <w:r>
              <w:rPr>
                <w:rFonts w:ascii="Times New Roman" w:hAnsi="Times New Roman"/>
              </w:rPr>
              <w:t>старшеклассников</w:t>
            </w:r>
          </w:p>
        </w:tc>
        <w:tc>
          <w:tcPr>
            <w:tcW w:w="2027" w:type="dxa"/>
          </w:tcPr>
          <w:p w14:paraId="0278B7F2">
            <w:pPr>
              <w:spacing w:after="0" w:line="350" w:lineRule="auto"/>
              <w:rPr>
                <w:rFonts w:ascii="Times New Roman" w:hAnsi="Times New Roman"/>
              </w:rPr>
            </w:pPr>
            <w:r>
              <w:rPr>
                <w:rFonts w:ascii="Times New Roman" w:hAnsi="Times New Roman"/>
              </w:rPr>
              <w:t>Анкета для самоанализа организуемой в школе совместной деятельности детей и взрослых</w:t>
            </w:r>
          </w:p>
        </w:tc>
      </w:tr>
    </w:tbl>
    <w:p w14:paraId="5CEA599F">
      <w:pPr>
        <w:spacing w:after="0" w:line="350" w:lineRule="auto"/>
        <w:jc w:val="both"/>
        <w:rPr>
          <w:rFonts w:ascii="Times New Roman" w:hAnsi="Times New Roman"/>
          <w:b/>
        </w:rPr>
      </w:pPr>
    </w:p>
    <w:p w14:paraId="4C69A3C5">
      <w:pPr>
        <w:spacing w:after="0" w:line="350" w:lineRule="auto"/>
        <w:jc w:val="both"/>
        <w:rPr>
          <w:rFonts w:ascii="Times New Roman" w:hAnsi="Times New Roman"/>
          <w:b/>
        </w:rPr>
      </w:pPr>
      <w:r>
        <w:rPr>
          <w:rFonts w:ascii="Times New Roman" w:hAnsi="Times New Roman"/>
          <w:b/>
        </w:rPr>
        <w:tab/>
      </w:r>
      <w:r>
        <w:rPr>
          <w:rFonts w:ascii="Times New Roman" w:hAnsi="Times New Roman"/>
        </w:rPr>
        <w:t>Для самоанализа воспитательной работы школы используется инструментарий Положения о внутренней системе оценки качества образования (ВСОКО) в МБОУ «</w:t>
      </w:r>
      <w:r>
        <w:rPr>
          <w:rFonts w:ascii="Times New Roman" w:hAnsi="Times New Roman"/>
          <w:lang w:val="ru-RU"/>
        </w:rPr>
        <w:t>Николаевская</w:t>
      </w:r>
      <w:r>
        <w:rPr>
          <w:rFonts w:ascii="Times New Roman" w:hAnsi="Times New Roman"/>
        </w:rPr>
        <w:t xml:space="preserve"> ООШ» по модулям воспитательной работы. </w:t>
      </w:r>
    </w:p>
    <w:p w14:paraId="7856D4F8">
      <w:pPr>
        <w:spacing w:after="0" w:line="350" w:lineRule="auto"/>
        <w:jc w:val="both"/>
        <w:rPr>
          <w:rFonts w:ascii="Times New Roman" w:hAnsi="Times New Roman"/>
        </w:rPr>
      </w:pPr>
      <w:r>
        <w:rPr>
          <w:rFonts w:ascii="Times New Roman" w:hAnsi="Times New Roman"/>
        </w:rPr>
        <w:tab/>
      </w:r>
      <w:r>
        <w:rPr>
          <w:rFonts w:ascii="Times New Roman" w:hAnsi="Times New Roman"/>
        </w:rPr>
        <w:t>Самоанализ воспитательной работы осуществляется и по модулям воспитательной программы.</w:t>
      </w:r>
    </w:p>
    <w:tbl>
      <w:tblPr>
        <w:tblStyle w:val="59"/>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17"/>
        <w:gridCol w:w="2693"/>
        <w:gridCol w:w="2742"/>
        <w:gridCol w:w="2085"/>
        <w:gridCol w:w="2085"/>
      </w:tblGrid>
      <w:tr w14:paraId="7256B0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7" w:type="dxa"/>
          </w:tcPr>
          <w:p w14:paraId="591DEA1D">
            <w:pPr>
              <w:spacing w:after="0" w:line="350" w:lineRule="auto"/>
              <w:jc w:val="both"/>
              <w:rPr>
                <w:rFonts w:ascii="Times New Roman" w:hAnsi="Times New Roman"/>
              </w:rPr>
            </w:pPr>
            <w:r>
              <w:rPr>
                <w:rFonts w:ascii="Times New Roman" w:hAnsi="Times New Roman"/>
              </w:rPr>
              <w:t>№ п/п</w:t>
            </w:r>
          </w:p>
        </w:tc>
        <w:tc>
          <w:tcPr>
            <w:tcW w:w="2693" w:type="dxa"/>
          </w:tcPr>
          <w:p w14:paraId="175063B1">
            <w:pPr>
              <w:spacing w:after="0" w:line="350" w:lineRule="auto"/>
              <w:jc w:val="both"/>
              <w:rPr>
                <w:rFonts w:ascii="Times New Roman" w:hAnsi="Times New Roman"/>
              </w:rPr>
            </w:pPr>
            <w:r>
              <w:rPr>
                <w:rFonts w:ascii="Times New Roman" w:hAnsi="Times New Roman"/>
              </w:rPr>
              <w:t>Критерии</w:t>
            </w:r>
          </w:p>
        </w:tc>
        <w:tc>
          <w:tcPr>
            <w:tcW w:w="2742" w:type="dxa"/>
          </w:tcPr>
          <w:p w14:paraId="22277498">
            <w:pPr>
              <w:spacing w:after="0" w:line="350" w:lineRule="auto"/>
              <w:jc w:val="both"/>
              <w:rPr>
                <w:rFonts w:ascii="Times New Roman" w:hAnsi="Times New Roman"/>
              </w:rPr>
            </w:pPr>
            <w:r>
              <w:rPr>
                <w:rFonts w:ascii="Times New Roman" w:hAnsi="Times New Roman"/>
              </w:rPr>
              <w:t>Показатели</w:t>
            </w:r>
          </w:p>
        </w:tc>
        <w:tc>
          <w:tcPr>
            <w:tcW w:w="2085" w:type="dxa"/>
          </w:tcPr>
          <w:p w14:paraId="39B27907">
            <w:pPr>
              <w:spacing w:after="0" w:line="350" w:lineRule="auto"/>
              <w:jc w:val="both"/>
              <w:rPr>
                <w:rFonts w:ascii="Times New Roman" w:hAnsi="Times New Roman"/>
              </w:rPr>
            </w:pPr>
            <w:r>
              <w:rPr>
                <w:rFonts w:ascii="Times New Roman" w:hAnsi="Times New Roman"/>
              </w:rPr>
              <w:t>Инструментарий</w:t>
            </w:r>
          </w:p>
        </w:tc>
        <w:tc>
          <w:tcPr>
            <w:tcW w:w="2085" w:type="dxa"/>
          </w:tcPr>
          <w:p w14:paraId="3487A1B5">
            <w:pPr>
              <w:spacing w:after="0" w:line="350" w:lineRule="auto"/>
              <w:jc w:val="both"/>
              <w:rPr>
                <w:rFonts w:ascii="Times New Roman" w:hAnsi="Times New Roman"/>
              </w:rPr>
            </w:pPr>
            <w:r>
              <w:rPr>
                <w:rFonts w:ascii="Times New Roman" w:hAnsi="Times New Roman"/>
              </w:rPr>
              <w:t>Ответственные</w:t>
            </w:r>
          </w:p>
        </w:tc>
      </w:tr>
      <w:tr w14:paraId="0A61DC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7" w:type="dxa"/>
          </w:tcPr>
          <w:p w14:paraId="799FA786">
            <w:pPr>
              <w:spacing w:after="0" w:line="350" w:lineRule="auto"/>
              <w:jc w:val="both"/>
              <w:rPr>
                <w:rFonts w:ascii="Times New Roman" w:hAnsi="Times New Roman"/>
              </w:rPr>
            </w:pPr>
            <w:r>
              <w:rPr>
                <w:rFonts w:ascii="Times New Roman" w:hAnsi="Times New Roman"/>
              </w:rPr>
              <w:t>1.</w:t>
            </w:r>
          </w:p>
        </w:tc>
        <w:tc>
          <w:tcPr>
            <w:tcW w:w="2693" w:type="dxa"/>
          </w:tcPr>
          <w:p w14:paraId="36F06919">
            <w:pPr>
              <w:spacing w:after="0" w:line="350" w:lineRule="auto"/>
              <w:rPr>
                <w:rFonts w:ascii="Times New Roman" w:hAnsi="Times New Roman"/>
              </w:rPr>
            </w:pPr>
            <w:r>
              <w:rPr>
                <w:rFonts w:ascii="Times New Roman" w:hAnsi="Times New Roman"/>
              </w:rPr>
              <w:t>Качество воспитательной</w:t>
            </w:r>
          </w:p>
          <w:p w14:paraId="24FA0B66">
            <w:pPr>
              <w:spacing w:after="0" w:line="350" w:lineRule="auto"/>
              <w:rPr>
                <w:rFonts w:ascii="Times New Roman" w:hAnsi="Times New Roman"/>
              </w:rPr>
            </w:pPr>
            <w:r>
              <w:rPr>
                <w:rFonts w:ascii="Times New Roman" w:hAnsi="Times New Roman"/>
              </w:rPr>
              <w:t>работы классных руководителей</w:t>
            </w:r>
          </w:p>
        </w:tc>
        <w:tc>
          <w:tcPr>
            <w:tcW w:w="2742" w:type="dxa"/>
          </w:tcPr>
          <w:p w14:paraId="78CD5070">
            <w:pPr>
              <w:spacing w:after="0" w:line="350" w:lineRule="auto"/>
              <w:jc w:val="both"/>
              <w:rPr>
                <w:rFonts w:ascii="Times New Roman" w:hAnsi="Times New Roman"/>
              </w:rPr>
            </w:pPr>
            <w:r>
              <w:rPr>
                <w:rFonts w:ascii="Times New Roman" w:hAnsi="Times New Roman"/>
              </w:rPr>
              <w:t>Динамика результатов участия</w:t>
            </w:r>
          </w:p>
          <w:p w14:paraId="4F098300">
            <w:pPr>
              <w:spacing w:after="0" w:line="350" w:lineRule="auto"/>
              <w:jc w:val="both"/>
              <w:rPr>
                <w:rFonts w:ascii="Times New Roman" w:hAnsi="Times New Roman"/>
              </w:rPr>
            </w:pPr>
            <w:r>
              <w:rPr>
                <w:rFonts w:ascii="Times New Roman" w:hAnsi="Times New Roman"/>
              </w:rPr>
              <w:t>обучающихся в</w:t>
            </w:r>
          </w:p>
          <w:p w14:paraId="12F8BB70">
            <w:pPr>
              <w:spacing w:after="0" w:line="350" w:lineRule="auto"/>
              <w:jc w:val="both"/>
              <w:rPr>
                <w:rFonts w:ascii="Times New Roman" w:hAnsi="Times New Roman"/>
              </w:rPr>
            </w:pPr>
            <w:r>
              <w:rPr>
                <w:rFonts w:ascii="Times New Roman" w:hAnsi="Times New Roman"/>
              </w:rPr>
              <w:t>творческих конкурсах,</w:t>
            </w:r>
          </w:p>
          <w:p w14:paraId="7B4A3AF2">
            <w:pPr>
              <w:spacing w:after="0" w:line="350" w:lineRule="auto"/>
              <w:jc w:val="both"/>
              <w:rPr>
                <w:rFonts w:ascii="Times New Roman" w:hAnsi="Times New Roman"/>
              </w:rPr>
            </w:pPr>
            <w:r>
              <w:rPr>
                <w:rFonts w:ascii="Times New Roman" w:hAnsi="Times New Roman"/>
              </w:rPr>
              <w:t>социальных проектах.</w:t>
            </w:r>
          </w:p>
        </w:tc>
        <w:tc>
          <w:tcPr>
            <w:tcW w:w="2085" w:type="dxa"/>
          </w:tcPr>
          <w:p w14:paraId="25F3A8C7">
            <w:pPr>
              <w:spacing w:after="0" w:line="350" w:lineRule="auto"/>
              <w:jc w:val="both"/>
              <w:rPr>
                <w:rFonts w:ascii="Times New Roman" w:hAnsi="Times New Roman"/>
              </w:rPr>
            </w:pPr>
            <w:r>
              <w:rPr>
                <w:rFonts w:ascii="Times New Roman" w:hAnsi="Times New Roman"/>
              </w:rPr>
              <w:t>Отчет классного</w:t>
            </w:r>
          </w:p>
          <w:p w14:paraId="45BC0650">
            <w:pPr>
              <w:spacing w:after="0" w:line="350" w:lineRule="auto"/>
              <w:jc w:val="both"/>
              <w:rPr>
                <w:rFonts w:ascii="Times New Roman" w:hAnsi="Times New Roman"/>
              </w:rPr>
            </w:pPr>
            <w:r>
              <w:rPr>
                <w:rFonts w:ascii="Times New Roman" w:hAnsi="Times New Roman"/>
              </w:rPr>
              <w:t>руководителя.</w:t>
            </w:r>
          </w:p>
          <w:p w14:paraId="273C6CEC">
            <w:pPr>
              <w:spacing w:after="0" w:line="350" w:lineRule="auto"/>
              <w:jc w:val="both"/>
              <w:rPr>
                <w:rFonts w:ascii="Times New Roman" w:hAnsi="Times New Roman"/>
              </w:rPr>
            </w:pPr>
            <w:r>
              <w:rPr>
                <w:rFonts w:ascii="Times New Roman" w:hAnsi="Times New Roman"/>
              </w:rPr>
              <w:t>ВШК и</w:t>
            </w:r>
          </w:p>
          <w:p w14:paraId="1F43D73E">
            <w:pPr>
              <w:spacing w:after="0" w:line="350" w:lineRule="auto"/>
              <w:jc w:val="both"/>
              <w:rPr>
                <w:rFonts w:ascii="Times New Roman" w:hAnsi="Times New Roman"/>
              </w:rPr>
            </w:pPr>
            <w:r>
              <w:rPr>
                <w:rFonts w:ascii="Times New Roman" w:hAnsi="Times New Roman"/>
              </w:rPr>
              <w:t>Мониторинг,</w:t>
            </w:r>
          </w:p>
          <w:p w14:paraId="3B9FEF73">
            <w:pPr>
              <w:spacing w:after="0" w:line="350" w:lineRule="auto"/>
              <w:jc w:val="both"/>
              <w:rPr>
                <w:rFonts w:ascii="Times New Roman" w:hAnsi="Times New Roman"/>
              </w:rPr>
            </w:pPr>
            <w:r>
              <w:rPr>
                <w:rFonts w:ascii="Times New Roman" w:hAnsi="Times New Roman"/>
              </w:rPr>
              <w:t>Социометрия,</w:t>
            </w:r>
          </w:p>
          <w:p w14:paraId="4312982C">
            <w:pPr>
              <w:spacing w:after="0" w:line="350" w:lineRule="auto"/>
              <w:jc w:val="both"/>
              <w:rPr>
                <w:rFonts w:ascii="Times New Roman" w:hAnsi="Times New Roman"/>
              </w:rPr>
            </w:pPr>
            <w:r>
              <w:rPr>
                <w:rFonts w:ascii="Times New Roman" w:hAnsi="Times New Roman"/>
              </w:rPr>
              <w:t>Опросник</w:t>
            </w:r>
          </w:p>
          <w:p w14:paraId="6E4144E4">
            <w:pPr>
              <w:spacing w:after="0" w:line="350" w:lineRule="auto"/>
              <w:jc w:val="both"/>
              <w:rPr>
                <w:rFonts w:ascii="Times New Roman" w:hAnsi="Times New Roman"/>
              </w:rPr>
            </w:pPr>
            <w:r>
              <w:rPr>
                <w:rFonts w:ascii="Times New Roman" w:hAnsi="Times New Roman"/>
              </w:rPr>
              <w:t>«Личностный</w:t>
            </w:r>
          </w:p>
          <w:p w14:paraId="42EE6BC6">
            <w:pPr>
              <w:spacing w:after="0" w:line="350" w:lineRule="auto"/>
              <w:jc w:val="both"/>
              <w:rPr>
                <w:rFonts w:ascii="Times New Roman" w:hAnsi="Times New Roman"/>
              </w:rPr>
            </w:pPr>
            <w:r>
              <w:rPr>
                <w:rFonts w:ascii="Times New Roman" w:hAnsi="Times New Roman"/>
              </w:rPr>
              <w:t>рост»</w:t>
            </w:r>
          </w:p>
        </w:tc>
        <w:tc>
          <w:tcPr>
            <w:tcW w:w="2085" w:type="dxa"/>
          </w:tcPr>
          <w:p w14:paraId="2C7DC458">
            <w:pPr>
              <w:spacing w:after="0" w:line="350" w:lineRule="auto"/>
              <w:jc w:val="both"/>
              <w:rPr>
                <w:rFonts w:ascii="Times New Roman" w:hAnsi="Times New Roman"/>
              </w:rPr>
            </w:pPr>
            <w:r>
              <w:rPr>
                <w:rFonts w:ascii="Times New Roman" w:hAnsi="Times New Roman"/>
              </w:rPr>
              <w:t>Заместитель директора по УВР, классные руководители</w:t>
            </w:r>
          </w:p>
        </w:tc>
      </w:tr>
      <w:tr w14:paraId="55C98A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7" w:type="dxa"/>
          </w:tcPr>
          <w:p w14:paraId="0A5102F5">
            <w:pPr>
              <w:spacing w:after="0" w:line="350" w:lineRule="auto"/>
              <w:jc w:val="both"/>
              <w:rPr>
                <w:rFonts w:ascii="Times New Roman" w:hAnsi="Times New Roman"/>
              </w:rPr>
            </w:pPr>
            <w:r>
              <w:rPr>
                <w:rFonts w:ascii="Times New Roman" w:hAnsi="Times New Roman"/>
              </w:rPr>
              <w:t>2.</w:t>
            </w:r>
          </w:p>
        </w:tc>
        <w:tc>
          <w:tcPr>
            <w:tcW w:w="2693" w:type="dxa"/>
          </w:tcPr>
          <w:p w14:paraId="6750B671">
            <w:pPr>
              <w:spacing w:after="0" w:line="350" w:lineRule="auto"/>
              <w:jc w:val="both"/>
              <w:rPr>
                <w:rFonts w:ascii="Times New Roman" w:hAnsi="Times New Roman"/>
              </w:rPr>
            </w:pPr>
            <w:r>
              <w:rPr>
                <w:rFonts w:ascii="Times New Roman" w:hAnsi="Times New Roman"/>
              </w:rPr>
              <w:t>Качество реализации</w:t>
            </w:r>
          </w:p>
          <w:p w14:paraId="1DA0E92F">
            <w:pPr>
              <w:spacing w:after="0" w:line="350" w:lineRule="auto"/>
              <w:jc w:val="both"/>
              <w:rPr>
                <w:rFonts w:ascii="Times New Roman" w:hAnsi="Times New Roman"/>
              </w:rPr>
            </w:pPr>
            <w:r>
              <w:rPr>
                <w:rFonts w:ascii="Times New Roman" w:hAnsi="Times New Roman"/>
              </w:rPr>
              <w:t>личностно - развивающего</w:t>
            </w:r>
          </w:p>
          <w:p w14:paraId="5D84343A">
            <w:pPr>
              <w:spacing w:after="0" w:line="350" w:lineRule="auto"/>
              <w:jc w:val="both"/>
              <w:rPr>
                <w:rFonts w:ascii="Times New Roman" w:hAnsi="Times New Roman"/>
              </w:rPr>
            </w:pPr>
            <w:r>
              <w:rPr>
                <w:rFonts w:ascii="Times New Roman" w:hAnsi="Times New Roman"/>
              </w:rPr>
              <w:t>потенциала школьных</w:t>
            </w:r>
          </w:p>
          <w:p w14:paraId="0E816CB7">
            <w:pPr>
              <w:spacing w:after="0" w:line="350" w:lineRule="auto"/>
              <w:jc w:val="both"/>
              <w:rPr>
                <w:rFonts w:ascii="Times New Roman" w:hAnsi="Times New Roman"/>
              </w:rPr>
            </w:pPr>
            <w:r>
              <w:rPr>
                <w:rFonts w:ascii="Times New Roman" w:hAnsi="Times New Roman"/>
              </w:rPr>
              <w:t>уроков.</w:t>
            </w:r>
          </w:p>
        </w:tc>
        <w:tc>
          <w:tcPr>
            <w:tcW w:w="2742" w:type="dxa"/>
          </w:tcPr>
          <w:p w14:paraId="3D0B2F29">
            <w:pPr>
              <w:spacing w:after="0" w:line="350" w:lineRule="auto"/>
              <w:jc w:val="both"/>
              <w:rPr>
                <w:rFonts w:ascii="Times New Roman" w:hAnsi="Times New Roman"/>
              </w:rPr>
            </w:pPr>
            <w:r>
              <w:rPr>
                <w:rFonts w:ascii="Times New Roman" w:hAnsi="Times New Roman"/>
              </w:rPr>
              <w:t>Динамика успеваемости учащихся. Накопление</w:t>
            </w:r>
          </w:p>
          <w:p w14:paraId="54B75539">
            <w:pPr>
              <w:spacing w:after="0" w:line="350" w:lineRule="auto"/>
              <w:jc w:val="both"/>
              <w:rPr>
                <w:rFonts w:ascii="Times New Roman" w:hAnsi="Times New Roman"/>
              </w:rPr>
            </w:pPr>
            <w:r>
              <w:rPr>
                <w:rFonts w:ascii="Times New Roman" w:hAnsi="Times New Roman"/>
              </w:rPr>
              <w:t>школьниками</w:t>
            </w:r>
          </w:p>
          <w:p w14:paraId="3B1428C2">
            <w:pPr>
              <w:spacing w:after="0" w:line="350" w:lineRule="auto"/>
              <w:jc w:val="both"/>
              <w:rPr>
                <w:rFonts w:ascii="Times New Roman" w:hAnsi="Times New Roman"/>
              </w:rPr>
            </w:pPr>
            <w:r>
              <w:rPr>
                <w:rFonts w:ascii="Times New Roman" w:hAnsi="Times New Roman"/>
              </w:rPr>
              <w:t>основных</w:t>
            </w:r>
          </w:p>
          <w:p w14:paraId="7736F95A">
            <w:pPr>
              <w:spacing w:after="0" w:line="350" w:lineRule="auto"/>
              <w:jc w:val="both"/>
              <w:rPr>
                <w:rFonts w:ascii="Times New Roman" w:hAnsi="Times New Roman"/>
              </w:rPr>
            </w:pPr>
            <w:r>
              <w:rPr>
                <w:rFonts w:ascii="Times New Roman" w:hAnsi="Times New Roman"/>
              </w:rPr>
              <w:t>социальных знаний</w:t>
            </w:r>
          </w:p>
        </w:tc>
        <w:tc>
          <w:tcPr>
            <w:tcW w:w="2085" w:type="dxa"/>
          </w:tcPr>
          <w:p w14:paraId="7D43F514">
            <w:pPr>
              <w:spacing w:after="0" w:line="350" w:lineRule="auto"/>
              <w:jc w:val="both"/>
              <w:rPr>
                <w:rFonts w:ascii="Times New Roman" w:hAnsi="Times New Roman"/>
              </w:rPr>
            </w:pPr>
            <w:r>
              <w:rPr>
                <w:rFonts w:ascii="Times New Roman" w:hAnsi="Times New Roman"/>
              </w:rPr>
              <w:t>ВСОКО</w:t>
            </w:r>
          </w:p>
          <w:p w14:paraId="58B07F1F">
            <w:pPr>
              <w:spacing w:after="0" w:line="350" w:lineRule="auto"/>
              <w:jc w:val="both"/>
              <w:rPr>
                <w:rFonts w:ascii="Times New Roman" w:hAnsi="Times New Roman"/>
              </w:rPr>
            </w:pPr>
            <w:r>
              <w:rPr>
                <w:rFonts w:ascii="Times New Roman" w:hAnsi="Times New Roman"/>
              </w:rPr>
              <w:t>ВШК и</w:t>
            </w:r>
          </w:p>
          <w:p w14:paraId="5E3FAF3A">
            <w:pPr>
              <w:spacing w:after="0" w:line="350" w:lineRule="auto"/>
              <w:jc w:val="both"/>
              <w:rPr>
                <w:rFonts w:ascii="Times New Roman" w:hAnsi="Times New Roman"/>
              </w:rPr>
            </w:pPr>
            <w:r>
              <w:rPr>
                <w:rFonts w:ascii="Times New Roman" w:hAnsi="Times New Roman"/>
              </w:rPr>
              <w:t>Мониторинг,</w:t>
            </w:r>
          </w:p>
          <w:p w14:paraId="4E0E5852">
            <w:pPr>
              <w:spacing w:after="0" w:line="350" w:lineRule="auto"/>
              <w:jc w:val="both"/>
              <w:rPr>
                <w:rFonts w:ascii="Times New Roman" w:hAnsi="Times New Roman"/>
              </w:rPr>
            </w:pPr>
            <w:r>
              <w:rPr>
                <w:rFonts w:ascii="Times New Roman" w:hAnsi="Times New Roman"/>
              </w:rPr>
              <w:t>Опросник</w:t>
            </w:r>
          </w:p>
          <w:p w14:paraId="30FBDB2A">
            <w:pPr>
              <w:spacing w:after="0" w:line="350" w:lineRule="auto"/>
              <w:jc w:val="both"/>
              <w:rPr>
                <w:rFonts w:ascii="Times New Roman" w:hAnsi="Times New Roman"/>
              </w:rPr>
            </w:pPr>
            <w:r>
              <w:rPr>
                <w:rFonts w:ascii="Times New Roman" w:hAnsi="Times New Roman"/>
              </w:rPr>
              <w:t>«Личностный</w:t>
            </w:r>
          </w:p>
          <w:p w14:paraId="40EBE66F">
            <w:pPr>
              <w:spacing w:after="0" w:line="350" w:lineRule="auto"/>
              <w:jc w:val="both"/>
              <w:rPr>
                <w:rFonts w:ascii="Times New Roman" w:hAnsi="Times New Roman"/>
              </w:rPr>
            </w:pPr>
            <w:r>
              <w:rPr>
                <w:rFonts w:ascii="Times New Roman" w:hAnsi="Times New Roman"/>
              </w:rPr>
              <w:t>рост»</w:t>
            </w:r>
          </w:p>
        </w:tc>
        <w:tc>
          <w:tcPr>
            <w:tcW w:w="2085" w:type="dxa"/>
          </w:tcPr>
          <w:p w14:paraId="37BD2391">
            <w:pPr>
              <w:spacing w:after="0" w:line="350" w:lineRule="auto"/>
              <w:jc w:val="both"/>
              <w:rPr>
                <w:rFonts w:ascii="Times New Roman" w:hAnsi="Times New Roman"/>
              </w:rPr>
            </w:pPr>
            <w:r>
              <w:rPr>
                <w:rFonts w:ascii="Times New Roman" w:hAnsi="Times New Roman"/>
              </w:rPr>
              <w:t>Заместитель директора по УВР, классные руководители</w:t>
            </w:r>
          </w:p>
        </w:tc>
      </w:tr>
      <w:tr w14:paraId="7B3B77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7" w:type="dxa"/>
          </w:tcPr>
          <w:p w14:paraId="1B54F54B">
            <w:pPr>
              <w:spacing w:after="0" w:line="350" w:lineRule="auto"/>
              <w:jc w:val="both"/>
              <w:rPr>
                <w:rFonts w:ascii="Times New Roman" w:hAnsi="Times New Roman"/>
              </w:rPr>
            </w:pPr>
            <w:r>
              <w:rPr>
                <w:rFonts w:ascii="Times New Roman" w:hAnsi="Times New Roman"/>
              </w:rPr>
              <w:t>3.</w:t>
            </w:r>
          </w:p>
        </w:tc>
        <w:tc>
          <w:tcPr>
            <w:tcW w:w="2693" w:type="dxa"/>
          </w:tcPr>
          <w:p w14:paraId="0AF35AFE">
            <w:pPr>
              <w:spacing w:after="0" w:line="350" w:lineRule="auto"/>
              <w:jc w:val="both"/>
              <w:rPr>
                <w:rFonts w:ascii="Times New Roman" w:hAnsi="Times New Roman"/>
              </w:rPr>
            </w:pPr>
            <w:r>
              <w:rPr>
                <w:rFonts w:ascii="Times New Roman" w:hAnsi="Times New Roman"/>
              </w:rPr>
              <w:t>Качество организуемой в</w:t>
            </w:r>
          </w:p>
          <w:p w14:paraId="35014514">
            <w:pPr>
              <w:spacing w:after="0" w:line="350" w:lineRule="auto"/>
              <w:jc w:val="both"/>
              <w:rPr>
                <w:rFonts w:ascii="Times New Roman" w:hAnsi="Times New Roman"/>
              </w:rPr>
            </w:pPr>
            <w:r>
              <w:rPr>
                <w:rFonts w:ascii="Times New Roman" w:hAnsi="Times New Roman"/>
              </w:rPr>
              <w:t>школе внеурочной</w:t>
            </w:r>
          </w:p>
          <w:p w14:paraId="7B4FDB91">
            <w:pPr>
              <w:spacing w:after="0" w:line="350" w:lineRule="auto"/>
              <w:jc w:val="both"/>
              <w:rPr>
                <w:rFonts w:ascii="Times New Roman" w:hAnsi="Times New Roman"/>
              </w:rPr>
            </w:pPr>
            <w:r>
              <w:rPr>
                <w:rFonts w:ascii="Times New Roman" w:hAnsi="Times New Roman"/>
              </w:rPr>
              <w:t>деятельности</w:t>
            </w:r>
          </w:p>
        </w:tc>
        <w:tc>
          <w:tcPr>
            <w:tcW w:w="2742" w:type="dxa"/>
          </w:tcPr>
          <w:p w14:paraId="59B792E9">
            <w:pPr>
              <w:spacing w:after="0" w:line="350" w:lineRule="auto"/>
              <w:jc w:val="both"/>
              <w:rPr>
                <w:rFonts w:ascii="Times New Roman" w:hAnsi="Times New Roman"/>
              </w:rPr>
            </w:pPr>
            <w:r>
              <w:rPr>
                <w:rFonts w:ascii="Times New Roman" w:hAnsi="Times New Roman"/>
              </w:rPr>
              <w:t>Динамика</w:t>
            </w:r>
          </w:p>
          <w:p w14:paraId="712FE3F8">
            <w:pPr>
              <w:spacing w:after="0" w:line="350" w:lineRule="auto"/>
              <w:jc w:val="both"/>
              <w:rPr>
                <w:rFonts w:ascii="Times New Roman" w:hAnsi="Times New Roman"/>
              </w:rPr>
            </w:pPr>
            <w:r>
              <w:rPr>
                <w:rFonts w:ascii="Times New Roman" w:hAnsi="Times New Roman"/>
              </w:rPr>
              <w:t>охвата  обучающихся</w:t>
            </w:r>
          </w:p>
          <w:p w14:paraId="0BE31C11">
            <w:pPr>
              <w:spacing w:after="0" w:line="350" w:lineRule="auto"/>
              <w:jc w:val="both"/>
              <w:rPr>
                <w:rFonts w:ascii="Times New Roman" w:hAnsi="Times New Roman"/>
              </w:rPr>
            </w:pPr>
            <w:r>
              <w:rPr>
                <w:rFonts w:ascii="Times New Roman" w:hAnsi="Times New Roman"/>
              </w:rPr>
              <w:t>работой секций</w:t>
            </w:r>
          </w:p>
          <w:p w14:paraId="41FEA1CE">
            <w:pPr>
              <w:spacing w:after="0" w:line="350" w:lineRule="auto"/>
              <w:jc w:val="both"/>
              <w:rPr>
                <w:rFonts w:ascii="Times New Roman" w:hAnsi="Times New Roman"/>
              </w:rPr>
            </w:pPr>
            <w:r>
              <w:rPr>
                <w:rFonts w:ascii="Times New Roman" w:hAnsi="Times New Roman"/>
              </w:rPr>
              <w:t>дополнительного</w:t>
            </w:r>
          </w:p>
          <w:p w14:paraId="0FEE2722">
            <w:pPr>
              <w:spacing w:after="0" w:line="350" w:lineRule="auto"/>
              <w:jc w:val="both"/>
              <w:rPr>
                <w:rFonts w:ascii="Times New Roman" w:hAnsi="Times New Roman"/>
              </w:rPr>
            </w:pPr>
            <w:r>
              <w:rPr>
                <w:rFonts w:ascii="Times New Roman" w:hAnsi="Times New Roman"/>
              </w:rPr>
              <w:t>образования</w:t>
            </w:r>
          </w:p>
        </w:tc>
        <w:tc>
          <w:tcPr>
            <w:tcW w:w="2085" w:type="dxa"/>
          </w:tcPr>
          <w:p w14:paraId="5CE2AE12">
            <w:pPr>
              <w:spacing w:after="0" w:line="350" w:lineRule="auto"/>
              <w:jc w:val="both"/>
              <w:rPr>
                <w:rFonts w:ascii="Times New Roman" w:hAnsi="Times New Roman"/>
              </w:rPr>
            </w:pPr>
            <w:r>
              <w:rPr>
                <w:rFonts w:ascii="Times New Roman" w:hAnsi="Times New Roman"/>
              </w:rPr>
              <w:t>ВСОКО</w:t>
            </w:r>
          </w:p>
          <w:p w14:paraId="5AC516AA">
            <w:pPr>
              <w:spacing w:after="0" w:line="350" w:lineRule="auto"/>
              <w:jc w:val="both"/>
              <w:rPr>
                <w:rFonts w:ascii="Times New Roman" w:hAnsi="Times New Roman"/>
              </w:rPr>
            </w:pPr>
            <w:r>
              <w:rPr>
                <w:rFonts w:ascii="Times New Roman" w:hAnsi="Times New Roman"/>
              </w:rPr>
              <w:t>Творческие</w:t>
            </w:r>
          </w:p>
          <w:p w14:paraId="7394898B">
            <w:pPr>
              <w:spacing w:after="0" w:line="350" w:lineRule="auto"/>
              <w:jc w:val="both"/>
              <w:rPr>
                <w:rFonts w:ascii="Times New Roman" w:hAnsi="Times New Roman"/>
              </w:rPr>
            </w:pPr>
            <w:r>
              <w:rPr>
                <w:rFonts w:ascii="Times New Roman" w:hAnsi="Times New Roman"/>
              </w:rPr>
              <w:t>отчеты</w:t>
            </w:r>
          </w:p>
        </w:tc>
        <w:tc>
          <w:tcPr>
            <w:tcW w:w="2085" w:type="dxa"/>
          </w:tcPr>
          <w:p w14:paraId="7306B539">
            <w:pPr>
              <w:spacing w:after="0" w:line="350" w:lineRule="auto"/>
              <w:jc w:val="both"/>
              <w:rPr>
                <w:rFonts w:ascii="Times New Roman" w:hAnsi="Times New Roman"/>
              </w:rPr>
            </w:pPr>
            <w:r>
              <w:rPr>
                <w:rFonts w:ascii="Times New Roman" w:hAnsi="Times New Roman"/>
              </w:rPr>
              <w:t>Заместитель</w:t>
            </w:r>
          </w:p>
          <w:p w14:paraId="2D079C7D">
            <w:pPr>
              <w:spacing w:after="0" w:line="350" w:lineRule="auto"/>
              <w:jc w:val="both"/>
              <w:rPr>
                <w:rFonts w:ascii="Times New Roman" w:hAnsi="Times New Roman"/>
              </w:rPr>
            </w:pPr>
            <w:r>
              <w:rPr>
                <w:rFonts w:ascii="Times New Roman" w:hAnsi="Times New Roman"/>
              </w:rPr>
              <w:t>директора по УВР, Ст. вожатая,</w:t>
            </w:r>
          </w:p>
          <w:p w14:paraId="7D733E87">
            <w:pPr>
              <w:spacing w:after="0" w:line="350" w:lineRule="auto"/>
              <w:jc w:val="both"/>
              <w:rPr>
                <w:rFonts w:ascii="Times New Roman" w:hAnsi="Times New Roman"/>
              </w:rPr>
            </w:pPr>
            <w:r>
              <w:rPr>
                <w:rFonts w:ascii="Times New Roman" w:hAnsi="Times New Roman"/>
              </w:rPr>
              <w:t>Социальный педагог</w:t>
            </w:r>
          </w:p>
        </w:tc>
      </w:tr>
      <w:tr w14:paraId="0565C8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7" w:type="dxa"/>
          </w:tcPr>
          <w:p w14:paraId="5E36F33D">
            <w:pPr>
              <w:spacing w:after="0" w:line="350" w:lineRule="auto"/>
              <w:jc w:val="both"/>
              <w:rPr>
                <w:rFonts w:ascii="Times New Roman" w:hAnsi="Times New Roman"/>
              </w:rPr>
            </w:pPr>
            <w:r>
              <w:rPr>
                <w:rFonts w:ascii="Times New Roman" w:hAnsi="Times New Roman"/>
              </w:rPr>
              <w:t>4.</w:t>
            </w:r>
          </w:p>
        </w:tc>
        <w:tc>
          <w:tcPr>
            <w:tcW w:w="2693" w:type="dxa"/>
          </w:tcPr>
          <w:p w14:paraId="6DD87E45">
            <w:pPr>
              <w:spacing w:after="0" w:line="350" w:lineRule="auto"/>
              <w:jc w:val="both"/>
              <w:rPr>
                <w:rFonts w:ascii="Times New Roman" w:hAnsi="Times New Roman"/>
              </w:rPr>
            </w:pPr>
            <w:r>
              <w:rPr>
                <w:rFonts w:ascii="Times New Roman" w:hAnsi="Times New Roman"/>
              </w:rPr>
              <w:t>Качество взаимодействия</w:t>
            </w:r>
          </w:p>
          <w:p w14:paraId="6E5525D6">
            <w:pPr>
              <w:spacing w:after="0" w:line="350" w:lineRule="auto"/>
              <w:jc w:val="both"/>
              <w:rPr>
                <w:rFonts w:ascii="Times New Roman" w:hAnsi="Times New Roman"/>
              </w:rPr>
            </w:pPr>
            <w:r>
              <w:rPr>
                <w:rFonts w:ascii="Times New Roman" w:hAnsi="Times New Roman"/>
              </w:rPr>
              <w:t>школы и семей обучающихся</w:t>
            </w:r>
          </w:p>
        </w:tc>
        <w:tc>
          <w:tcPr>
            <w:tcW w:w="2742" w:type="dxa"/>
          </w:tcPr>
          <w:p w14:paraId="3907AD26">
            <w:pPr>
              <w:spacing w:after="0" w:line="350" w:lineRule="auto"/>
              <w:jc w:val="both"/>
              <w:rPr>
                <w:rFonts w:ascii="Times New Roman" w:hAnsi="Times New Roman"/>
              </w:rPr>
            </w:pPr>
            <w:r>
              <w:rPr>
                <w:rFonts w:ascii="Times New Roman" w:hAnsi="Times New Roman"/>
              </w:rPr>
              <w:t>Динамики охвата</w:t>
            </w:r>
          </w:p>
          <w:p w14:paraId="1DA9F9D5">
            <w:pPr>
              <w:spacing w:after="0" w:line="350" w:lineRule="auto"/>
              <w:jc w:val="both"/>
              <w:rPr>
                <w:rFonts w:ascii="Times New Roman" w:hAnsi="Times New Roman"/>
              </w:rPr>
            </w:pPr>
            <w:r>
              <w:rPr>
                <w:rFonts w:ascii="Times New Roman" w:hAnsi="Times New Roman"/>
              </w:rPr>
              <w:t>детей/родителей,</w:t>
            </w:r>
          </w:p>
          <w:p w14:paraId="309A59DF">
            <w:pPr>
              <w:spacing w:after="0" w:line="350" w:lineRule="auto"/>
              <w:jc w:val="both"/>
              <w:rPr>
                <w:rFonts w:ascii="Times New Roman" w:hAnsi="Times New Roman"/>
              </w:rPr>
            </w:pPr>
            <w:r>
              <w:rPr>
                <w:rFonts w:ascii="Times New Roman" w:hAnsi="Times New Roman"/>
              </w:rPr>
              <w:t>проведенных</w:t>
            </w:r>
          </w:p>
          <w:p w14:paraId="0360F6A0">
            <w:pPr>
              <w:spacing w:after="0" w:line="350" w:lineRule="auto"/>
              <w:jc w:val="both"/>
              <w:rPr>
                <w:rFonts w:ascii="Times New Roman" w:hAnsi="Times New Roman"/>
              </w:rPr>
            </w:pPr>
            <w:r>
              <w:rPr>
                <w:rFonts w:ascii="Times New Roman" w:hAnsi="Times New Roman"/>
              </w:rPr>
              <w:t>совместных КТД.</w:t>
            </w:r>
          </w:p>
          <w:p w14:paraId="346FAB6F">
            <w:pPr>
              <w:spacing w:after="0" w:line="350" w:lineRule="auto"/>
              <w:jc w:val="both"/>
              <w:rPr>
                <w:rFonts w:ascii="Times New Roman" w:hAnsi="Times New Roman"/>
              </w:rPr>
            </w:pPr>
            <w:r>
              <w:rPr>
                <w:rFonts w:ascii="Times New Roman" w:hAnsi="Times New Roman"/>
              </w:rPr>
              <w:t>Динамика посещаемости</w:t>
            </w:r>
          </w:p>
          <w:p w14:paraId="453A9551">
            <w:pPr>
              <w:spacing w:after="0" w:line="350" w:lineRule="auto"/>
              <w:jc w:val="both"/>
              <w:rPr>
                <w:rFonts w:ascii="Times New Roman" w:hAnsi="Times New Roman"/>
              </w:rPr>
            </w:pPr>
            <w:r>
              <w:rPr>
                <w:rFonts w:ascii="Times New Roman" w:hAnsi="Times New Roman"/>
              </w:rPr>
              <w:t>Родителей обучающихся</w:t>
            </w:r>
          </w:p>
          <w:p w14:paraId="0161DE0A">
            <w:pPr>
              <w:spacing w:after="0" w:line="350" w:lineRule="auto"/>
              <w:jc w:val="both"/>
              <w:rPr>
                <w:rFonts w:ascii="Times New Roman" w:hAnsi="Times New Roman"/>
              </w:rPr>
            </w:pPr>
            <w:r>
              <w:rPr>
                <w:rFonts w:ascii="Times New Roman" w:hAnsi="Times New Roman"/>
              </w:rPr>
              <w:t>общешкольных мероприятий и классных родительских собраний.</w:t>
            </w:r>
          </w:p>
          <w:p w14:paraId="24B146A5">
            <w:pPr>
              <w:spacing w:after="0" w:line="350" w:lineRule="auto"/>
              <w:jc w:val="both"/>
              <w:rPr>
                <w:rFonts w:ascii="Times New Roman" w:hAnsi="Times New Roman"/>
              </w:rPr>
            </w:pPr>
            <w:r>
              <w:rPr>
                <w:rFonts w:ascii="Times New Roman" w:hAnsi="Times New Roman"/>
              </w:rPr>
              <w:t>Наличие жалоб со</w:t>
            </w:r>
          </w:p>
          <w:p w14:paraId="40D36F2B">
            <w:pPr>
              <w:spacing w:after="0" w:line="350" w:lineRule="auto"/>
              <w:jc w:val="both"/>
              <w:rPr>
                <w:rFonts w:ascii="Times New Roman" w:hAnsi="Times New Roman"/>
              </w:rPr>
            </w:pPr>
            <w:r>
              <w:rPr>
                <w:rFonts w:ascii="Times New Roman" w:hAnsi="Times New Roman"/>
              </w:rPr>
              <w:t>стороны родителей.</w:t>
            </w:r>
          </w:p>
        </w:tc>
        <w:tc>
          <w:tcPr>
            <w:tcW w:w="2085" w:type="dxa"/>
          </w:tcPr>
          <w:p w14:paraId="4F891D04">
            <w:pPr>
              <w:spacing w:after="0" w:line="350" w:lineRule="auto"/>
              <w:jc w:val="both"/>
              <w:rPr>
                <w:rFonts w:ascii="Times New Roman" w:hAnsi="Times New Roman"/>
              </w:rPr>
            </w:pPr>
            <w:r>
              <w:rPr>
                <w:rFonts w:ascii="Times New Roman" w:hAnsi="Times New Roman"/>
              </w:rPr>
              <w:t>Беседы</w:t>
            </w:r>
          </w:p>
          <w:p w14:paraId="5B8C406F">
            <w:pPr>
              <w:spacing w:after="0" w:line="350" w:lineRule="auto"/>
              <w:jc w:val="both"/>
              <w:rPr>
                <w:rFonts w:ascii="Times New Roman" w:hAnsi="Times New Roman"/>
              </w:rPr>
            </w:pPr>
            <w:r>
              <w:rPr>
                <w:rFonts w:ascii="Times New Roman" w:hAnsi="Times New Roman"/>
              </w:rPr>
              <w:t>Анкетирование</w:t>
            </w:r>
          </w:p>
        </w:tc>
        <w:tc>
          <w:tcPr>
            <w:tcW w:w="2085" w:type="dxa"/>
          </w:tcPr>
          <w:p w14:paraId="1604E7E6">
            <w:pPr>
              <w:spacing w:after="0" w:line="350" w:lineRule="auto"/>
              <w:jc w:val="both"/>
              <w:rPr>
                <w:rFonts w:ascii="Times New Roman" w:hAnsi="Times New Roman"/>
              </w:rPr>
            </w:pPr>
            <w:r>
              <w:rPr>
                <w:rFonts w:ascii="Times New Roman" w:hAnsi="Times New Roman"/>
              </w:rPr>
              <w:t>Заместитель директора по УВР, классные руководители, социальный педагог</w:t>
            </w:r>
          </w:p>
        </w:tc>
      </w:tr>
      <w:tr w14:paraId="3BFBC4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7" w:type="dxa"/>
          </w:tcPr>
          <w:p w14:paraId="2738796C">
            <w:pPr>
              <w:spacing w:after="0" w:line="350" w:lineRule="auto"/>
              <w:jc w:val="both"/>
              <w:rPr>
                <w:rFonts w:ascii="Times New Roman" w:hAnsi="Times New Roman"/>
              </w:rPr>
            </w:pPr>
            <w:r>
              <w:rPr>
                <w:rFonts w:ascii="Times New Roman" w:hAnsi="Times New Roman"/>
              </w:rPr>
              <w:t>5.</w:t>
            </w:r>
          </w:p>
        </w:tc>
        <w:tc>
          <w:tcPr>
            <w:tcW w:w="2693" w:type="dxa"/>
          </w:tcPr>
          <w:p w14:paraId="6C16C2D8">
            <w:pPr>
              <w:spacing w:after="0" w:line="350" w:lineRule="auto"/>
              <w:jc w:val="both"/>
              <w:rPr>
                <w:rFonts w:ascii="Times New Roman" w:hAnsi="Times New Roman"/>
              </w:rPr>
            </w:pPr>
            <w:r>
              <w:rPr>
                <w:rFonts w:ascii="Times New Roman" w:hAnsi="Times New Roman"/>
              </w:rPr>
              <w:t>Качество</w:t>
            </w:r>
          </w:p>
          <w:p w14:paraId="04E8FF14">
            <w:pPr>
              <w:spacing w:after="0" w:line="350" w:lineRule="auto"/>
              <w:jc w:val="both"/>
              <w:rPr>
                <w:rFonts w:ascii="Times New Roman" w:hAnsi="Times New Roman"/>
              </w:rPr>
            </w:pPr>
            <w:r>
              <w:rPr>
                <w:rFonts w:ascii="Times New Roman" w:hAnsi="Times New Roman"/>
              </w:rPr>
              <w:t>существующего в школе детского самоуправления</w:t>
            </w:r>
          </w:p>
        </w:tc>
        <w:tc>
          <w:tcPr>
            <w:tcW w:w="2742" w:type="dxa"/>
          </w:tcPr>
          <w:p w14:paraId="0ECA42B7">
            <w:pPr>
              <w:spacing w:after="0" w:line="350" w:lineRule="auto"/>
              <w:jc w:val="both"/>
              <w:rPr>
                <w:rFonts w:ascii="Times New Roman" w:hAnsi="Times New Roman"/>
              </w:rPr>
            </w:pPr>
            <w:r>
              <w:rPr>
                <w:rFonts w:ascii="Times New Roman" w:hAnsi="Times New Roman"/>
              </w:rPr>
              <w:t>Динамика продуктивной</w:t>
            </w:r>
          </w:p>
          <w:p w14:paraId="1C5BE711">
            <w:pPr>
              <w:spacing w:after="0" w:line="350" w:lineRule="auto"/>
              <w:jc w:val="both"/>
              <w:rPr>
                <w:rFonts w:ascii="Times New Roman" w:hAnsi="Times New Roman"/>
              </w:rPr>
            </w:pPr>
            <w:r>
              <w:rPr>
                <w:rFonts w:ascii="Times New Roman" w:hAnsi="Times New Roman"/>
              </w:rPr>
              <w:t>активности обучающихся в</w:t>
            </w:r>
          </w:p>
          <w:p w14:paraId="7F3ED121">
            <w:pPr>
              <w:spacing w:after="0" w:line="350" w:lineRule="auto"/>
              <w:jc w:val="both"/>
              <w:rPr>
                <w:rFonts w:ascii="Times New Roman" w:hAnsi="Times New Roman"/>
              </w:rPr>
            </w:pPr>
            <w:r>
              <w:rPr>
                <w:rFonts w:ascii="Times New Roman" w:hAnsi="Times New Roman"/>
              </w:rPr>
              <w:t>жизнедеятельности класса, школы. Приобретение</w:t>
            </w:r>
          </w:p>
          <w:p w14:paraId="4EA34C39">
            <w:pPr>
              <w:spacing w:after="0" w:line="350" w:lineRule="auto"/>
              <w:jc w:val="both"/>
              <w:rPr>
                <w:rFonts w:ascii="Times New Roman" w:hAnsi="Times New Roman"/>
              </w:rPr>
            </w:pPr>
            <w:r>
              <w:rPr>
                <w:rFonts w:ascii="Times New Roman" w:hAnsi="Times New Roman"/>
              </w:rPr>
              <w:t>школьниками опыта</w:t>
            </w:r>
          </w:p>
          <w:p w14:paraId="4318769E">
            <w:pPr>
              <w:spacing w:after="0" w:line="350" w:lineRule="auto"/>
              <w:jc w:val="both"/>
              <w:rPr>
                <w:rFonts w:ascii="Times New Roman" w:hAnsi="Times New Roman"/>
              </w:rPr>
            </w:pPr>
            <w:r>
              <w:rPr>
                <w:rFonts w:ascii="Times New Roman" w:hAnsi="Times New Roman"/>
              </w:rPr>
              <w:t>самостоятельного ценностно-ориентированого социального</w:t>
            </w:r>
          </w:p>
          <w:p w14:paraId="0B05B323">
            <w:pPr>
              <w:spacing w:after="0" w:line="350" w:lineRule="auto"/>
              <w:jc w:val="both"/>
              <w:rPr>
                <w:rFonts w:ascii="Times New Roman" w:hAnsi="Times New Roman"/>
              </w:rPr>
            </w:pPr>
            <w:r>
              <w:rPr>
                <w:rFonts w:ascii="Times New Roman" w:hAnsi="Times New Roman"/>
              </w:rPr>
              <w:t>действия.</w:t>
            </w:r>
          </w:p>
        </w:tc>
        <w:tc>
          <w:tcPr>
            <w:tcW w:w="2085" w:type="dxa"/>
          </w:tcPr>
          <w:p w14:paraId="7E470347">
            <w:pPr>
              <w:spacing w:after="0" w:line="350" w:lineRule="auto"/>
              <w:jc w:val="both"/>
              <w:rPr>
                <w:rFonts w:ascii="Times New Roman" w:hAnsi="Times New Roman"/>
              </w:rPr>
            </w:pPr>
            <w:r>
              <w:rPr>
                <w:rFonts w:ascii="Times New Roman" w:hAnsi="Times New Roman"/>
              </w:rPr>
              <w:t>Беседы</w:t>
            </w:r>
          </w:p>
          <w:p w14:paraId="69AF33AF">
            <w:pPr>
              <w:spacing w:after="0" w:line="350" w:lineRule="auto"/>
              <w:jc w:val="both"/>
              <w:rPr>
                <w:rFonts w:ascii="Times New Roman" w:hAnsi="Times New Roman"/>
              </w:rPr>
            </w:pPr>
            <w:r>
              <w:rPr>
                <w:rFonts w:ascii="Times New Roman" w:hAnsi="Times New Roman"/>
              </w:rPr>
              <w:t>Анкетирование</w:t>
            </w:r>
          </w:p>
          <w:p w14:paraId="356EFBDE">
            <w:pPr>
              <w:spacing w:after="0" w:line="350" w:lineRule="auto"/>
              <w:jc w:val="both"/>
              <w:rPr>
                <w:rFonts w:ascii="Times New Roman" w:hAnsi="Times New Roman"/>
              </w:rPr>
            </w:pPr>
            <w:r>
              <w:rPr>
                <w:rFonts w:ascii="Times New Roman" w:hAnsi="Times New Roman"/>
              </w:rPr>
              <w:t>Наблюдение</w:t>
            </w:r>
          </w:p>
        </w:tc>
        <w:tc>
          <w:tcPr>
            <w:tcW w:w="2085" w:type="dxa"/>
          </w:tcPr>
          <w:p w14:paraId="0418D469">
            <w:pPr>
              <w:spacing w:after="0" w:line="350" w:lineRule="auto"/>
              <w:jc w:val="both"/>
              <w:rPr>
                <w:rFonts w:ascii="Times New Roman" w:hAnsi="Times New Roman"/>
              </w:rPr>
            </w:pPr>
            <w:r>
              <w:rPr>
                <w:rFonts w:ascii="Times New Roman" w:hAnsi="Times New Roman"/>
              </w:rPr>
              <w:t>Заместитель директора по УВР, Ст. вожатая</w:t>
            </w:r>
          </w:p>
        </w:tc>
      </w:tr>
      <w:tr w14:paraId="2B62D9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7" w:type="dxa"/>
          </w:tcPr>
          <w:p w14:paraId="1F3E1040">
            <w:pPr>
              <w:spacing w:after="0" w:line="350" w:lineRule="auto"/>
              <w:jc w:val="both"/>
              <w:rPr>
                <w:rFonts w:ascii="Times New Roman" w:hAnsi="Times New Roman"/>
              </w:rPr>
            </w:pPr>
            <w:r>
              <w:rPr>
                <w:rFonts w:ascii="Times New Roman" w:hAnsi="Times New Roman"/>
              </w:rPr>
              <w:t>6.</w:t>
            </w:r>
          </w:p>
        </w:tc>
        <w:tc>
          <w:tcPr>
            <w:tcW w:w="2693" w:type="dxa"/>
          </w:tcPr>
          <w:p w14:paraId="318D01C5">
            <w:pPr>
              <w:spacing w:after="0" w:line="350" w:lineRule="auto"/>
              <w:jc w:val="both"/>
              <w:rPr>
                <w:rFonts w:ascii="Times New Roman" w:hAnsi="Times New Roman"/>
              </w:rPr>
            </w:pPr>
            <w:r>
              <w:rPr>
                <w:rFonts w:ascii="Times New Roman" w:hAnsi="Times New Roman"/>
              </w:rPr>
              <w:t>Качество</w:t>
            </w:r>
          </w:p>
          <w:p w14:paraId="5B926FD1">
            <w:pPr>
              <w:spacing w:after="0" w:line="350" w:lineRule="auto"/>
              <w:jc w:val="both"/>
              <w:rPr>
                <w:rFonts w:ascii="Times New Roman" w:hAnsi="Times New Roman"/>
              </w:rPr>
            </w:pPr>
            <w:r>
              <w:rPr>
                <w:rFonts w:ascii="Times New Roman" w:hAnsi="Times New Roman"/>
              </w:rPr>
              <w:t>профориентационной</w:t>
            </w:r>
          </w:p>
          <w:p w14:paraId="642CD244">
            <w:pPr>
              <w:spacing w:after="0" w:line="350" w:lineRule="auto"/>
              <w:jc w:val="both"/>
              <w:rPr>
                <w:rFonts w:ascii="Times New Roman" w:hAnsi="Times New Roman"/>
              </w:rPr>
            </w:pPr>
            <w:r>
              <w:rPr>
                <w:rFonts w:ascii="Times New Roman" w:hAnsi="Times New Roman"/>
              </w:rPr>
              <w:t>работы</w:t>
            </w:r>
          </w:p>
        </w:tc>
        <w:tc>
          <w:tcPr>
            <w:tcW w:w="2742" w:type="dxa"/>
          </w:tcPr>
          <w:p w14:paraId="0BBD08E3">
            <w:pPr>
              <w:spacing w:after="0" w:line="350" w:lineRule="auto"/>
              <w:jc w:val="both"/>
              <w:rPr>
                <w:rFonts w:ascii="Times New Roman" w:hAnsi="Times New Roman"/>
              </w:rPr>
            </w:pPr>
            <w:r>
              <w:rPr>
                <w:rFonts w:ascii="Times New Roman" w:hAnsi="Times New Roman"/>
              </w:rPr>
              <w:t>Уровень</w:t>
            </w:r>
          </w:p>
          <w:p w14:paraId="3E13092B">
            <w:pPr>
              <w:spacing w:after="0" w:line="350" w:lineRule="auto"/>
              <w:jc w:val="both"/>
              <w:rPr>
                <w:rFonts w:ascii="Times New Roman" w:hAnsi="Times New Roman"/>
              </w:rPr>
            </w:pPr>
            <w:r>
              <w:rPr>
                <w:rFonts w:ascii="Times New Roman" w:hAnsi="Times New Roman"/>
              </w:rPr>
              <w:t>сформированности компонентов готовности</w:t>
            </w:r>
          </w:p>
          <w:p w14:paraId="4D6643EE">
            <w:pPr>
              <w:spacing w:after="0" w:line="350" w:lineRule="auto"/>
              <w:jc w:val="both"/>
              <w:rPr>
                <w:rFonts w:ascii="Times New Roman" w:hAnsi="Times New Roman"/>
              </w:rPr>
            </w:pPr>
            <w:r>
              <w:rPr>
                <w:rFonts w:ascii="Times New Roman" w:hAnsi="Times New Roman"/>
              </w:rPr>
              <w:t>школьников к профессиональному самоопределению. Динамика показателей поступления выпускников по профилям обучения ииндивидуальным программам развития.</w:t>
            </w:r>
          </w:p>
        </w:tc>
        <w:tc>
          <w:tcPr>
            <w:tcW w:w="2085" w:type="dxa"/>
          </w:tcPr>
          <w:p w14:paraId="604F44CB">
            <w:pPr>
              <w:spacing w:after="0" w:line="350" w:lineRule="auto"/>
              <w:jc w:val="both"/>
              <w:rPr>
                <w:rFonts w:ascii="Times New Roman" w:hAnsi="Times New Roman"/>
              </w:rPr>
            </w:pPr>
            <w:r>
              <w:rPr>
                <w:rFonts w:ascii="Times New Roman" w:hAnsi="Times New Roman"/>
              </w:rPr>
              <w:t>Методика</w:t>
            </w:r>
          </w:p>
          <w:p w14:paraId="33FE2336">
            <w:pPr>
              <w:spacing w:after="0" w:line="350" w:lineRule="auto"/>
              <w:jc w:val="both"/>
              <w:rPr>
                <w:rFonts w:ascii="Times New Roman" w:hAnsi="Times New Roman"/>
              </w:rPr>
            </w:pPr>
            <w:r>
              <w:rPr>
                <w:rFonts w:ascii="Times New Roman" w:hAnsi="Times New Roman"/>
              </w:rPr>
              <w:t>С.Н.Чистяковой</w:t>
            </w:r>
          </w:p>
          <w:p w14:paraId="5AE469A6">
            <w:pPr>
              <w:spacing w:after="0" w:line="350" w:lineRule="auto"/>
              <w:jc w:val="both"/>
              <w:rPr>
                <w:rFonts w:ascii="Times New Roman" w:hAnsi="Times New Roman"/>
              </w:rPr>
            </w:pPr>
            <w:r>
              <w:rPr>
                <w:rFonts w:ascii="Times New Roman" w:hAnsi="Times New Roman"/>
              </w:rPr>
              <w:t>Отчет классного</w:t>
            </w:r>
          </w:p>
          <w:p w14:paraId="3C9D57E3">
            <w:pPr>
              <w:spacing w:after="0" w:line="350" w:lineRule="auto"/>
              <w:jc w:val="both"/>
              <w:rPr>
                <w:rFonts w:ascii="Times New Roman" w:hAnsi="Times New Roman"/>
              </w:rPr>
            </w:pPr>
            <w:r>
              <w:rPr>
                <w:rFonts w:ascii="Times New Roman" w:hAnsi="Times New Roman"/>
              </w:rPr>
              <w:t>руководителя</w:t>
            </w:r>
          </w:p>
        </w:tc>
        <w:tc>
          <w:tcPr>
            <w:tcW w:w="2085" w:type="dxa"/>
          </w:tcPr>
          <w:p w14:paraId="067983A3">
            <w:pPr>
              <w:spacing w:after="0" w:line="350" w:lineRule="auto"/>
              <w:jc w:val="both"/>
              <w:rPr>
                <w:rFonts w:ascii="Times New Roman" w:hAnsi="Times New Roman"/>
              </w:rPr>
            </w:pPr>
            <w:r>
              <w:rPr>
                <w:rFonts w:ascii="Times New Roman" w:hAnsi="Times New Roman"/>
              </w:rPr>
              <w:t>Классные</w:t>
            </w:r>
          </w:p>
          <w:p w14:paraId="72028B00">
            <w:pPr>
              <w:spacing w:after="0" w:line="350" w:lineRule="auto"/>
              <w:jc w:val="both"/>
              <w:rPr>
                <w:rFonts w:ascii="Times New Roman" w:hAnsi="Times New Roman"/>
              </w:rPr>
            </w:pPr>
            <w:r>
              <w:rPr>
                <w:rFonts w:ascii="Times New Roman" w:hAnsi="Times New Roman"/>
              </w:rPr>
              <w:t>руководители</w:t>
            </w:r>
          </w:p>
          <w:p w14:paraId="150DBF13">
            <w:pPr>
              <w:spacing w:after="0" w:line="350" w:lineRule="auto"/>
              <w:jc w:val="both"/>
              <w:rPr>
                <w:rFonts w:ascii="Times New Roman" w:hAnsi="Times New Roman"/>
              </w:rPr>
            </w:pPr>
            <w:r>
              <w:rPr>
                <w:rFonts w:ascii="Times New Roman" w:hAnsi="Times New Roman"/>
              </w:rPr>
              <w:t>Социальный педагог</w:t>
            </w:r>
          </w:p>
        </w:tc>
      </w:tr>
      <w:tr w14:paraId="3E87B3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7" w:type="dxa"/>
          </w:tcPr>
          <w:p w14:paraId="4F403C91">
            <w:pPr>
              <w:spacing w:after="0" w:line="350" w:lineRule="auto"/>
              <w:jc w:val="both"/>
              <w:rPr>
                <w:rFonts w:ascii="Times New Roman" w:hAnsi="Times New Roman"/>
              </w:rPr>
            </w:pPr>
            <w:r>
              <w:rPr>
                <w:rFonts w:ascii="Times New Roman" w:hAnsi="Times New Roman"/>
              </w:rPr>
              <w:t>7.</w:t>
            </w:r>
          </w:p>
        </w:tc>
        <w:tc>
          <w:tcPr>
            <w:tcW w:w="2693" w:type="dxa"/>
          </w:tcPr>
          <w:p w14:paraId="0F338271">
            <w:pPr>
              <w:spacing w:after="0" w:line="350" w:lineRule="auto"/>
              <w:jc w:val="both"/>
              <w:rPr>
                <w:rFonts w:ascii="Times New Roman" w:hAnsi="Times New Roman"/>
              </w:rPr>
            </w:pPr>
            <w:r>
              <w:rPr>
                <w:rFonts w:ascii="Times New Roman" w:hAnsi="Times New Roman"/>
              </w:rPr>
              <w:t>Качество проводимых</w:t>
            </w:r>
          </w:p>
          <w:p w14:paraId="05D021D4">
            <w:pPr>
              <w:spacing w:after="0" w:line="350" w:lineRule="auto"/>
              <w:jc w:val="both"/>
              <w:rPr>
                <w:rFonts w:ascii="Times New Roman" w:hAnsi="Times New Roman"/>
              </w:rPr>
            </w:pPr>
            <w:r>
              <w:rPr>
                <w:rFonts w:ascii="Times New Roman" w:hAnsi="Times New Roman"/>
              </w:rPr>
              <w:t>общешкольных ключевых дел</w:t>
            </w:r>
          </w:p>
        </w:tc>
        <w:tc>
          <w:tcPr>
            <w:tcW w:w="2742" w:type="dxa"/>
          </w:tcPr>
          <w:p w14:paraId="2F8A38F0">
            <w:pPr>
              <w:spacing w:after="0" w:line="350" w:lineRule="auto"/>
              <w:jc w:val="both"/>
              <w:rPr>
                <w:rFonts w:ascii="Times New Roman" w:hAnsi="Times New Roman"/>
              </w:rPr>
            </w:pPr>
            <w:r>
              <w:rPr>
                <w:rFonts w:ascii="Times New Roman" w:hAnsi="Times New Roman"/>
              </w:rPr>
              <w:t>Положительные отзывы</w:t>
            </w:r>
          </w:p>
          <w:p w14:paraId="68C4873B">
            <w:pPr>
              <w:spacing w:after="0" w:line="350" w:lineRule="auto"/>
              <w:jc w:val="both"/>
              <w:rPr>
                <w:rFonts w:ascii="Times New Roman" w:hAnsi="Times New Roman"/>
              </w:rPr>
            </w:pPr>
            <w:r>
              <w:rPr>
                <w:rFonts w:ascii="Times New Roman" w:hAnsi="Times New Roman"/>
              </w:rPr>
              <w:t>участников КТД</w:t>
            </w:r>
          </w:p>
        </w:tc>
        <w:tc>
          <w:tcPr>
            <w:tcW w:w="2085" w:type="dxa"/>
          </w:tcPr>
          <w:p w14:paraId="5CED3691">
            <w:pPr>
              <w:spacing w:after="0" w:line="350" w:lineRule="auto"/>
              <w:jc w:val="both"/>
              <w:rPr>
                <w:rFonts w:ascii="Times New Roman" w:hAnsi="Times New Roman"/>
              </w:rPr>
            </w:pPr>
            <w:r>
              <w:rPr>
                <w:rFonts w:ascii="Times New Roman" w:hAnsi="Times New Roman"/>
              </w:rPr>
              <w:t>Ресурсный круг социального окружения. Динамика результатов анкетирования участников</w:t>
            </w:r>
          </w:p>
        </w:tc>
        <w:tc>
          <w:tcPr>
            <w:tcW w:w="2085" w:type="dxa"/>
          </w:tcPr>
          <w:p w14:paraId="66CEE47E">
            <w:pPr>
              <w:spacing w:after="0" w:line="350" w:lineRule="auto"/>
              <w:jc w:val="both"/>
              <w:rPr>
                <w:rFonts w:ascii="Times New Roman" w:hAnsi="Times New Roman"/>
              </w:rPr>
            </w:pPr>
            <w:r>
              <w:rPr>
                <w:rFonts w:ascii="Times New Roman" w:hAnsi="Times New Roman"/>
              </w:rPr>
              <w:t>Заместитель</w:t>
            </w:r>
          </w:p>
          <w:p w14:paraId="4E7FBADD">
            <w:pPr>
              <w:spacing w:after="0" w:line="350" w:lineRule="auto"/>
              <w:jc w:val="both"/>
              <w:rPr>
                <w:rFonts w:ascii="Times New Roman" w:hAnsi="Times New Roman"/>
              </w:rPr>
            </w:pPr>
            <w:r>
              <w:rPr>
                <w:rFonts w:ascii="Times New Roman" w:hAnsi="Times New Roman"/>
              </w:rPr>
              <w:t xml:space="preserve">директора по УВР, </w:t>
            </w:r>
          </w:p>
          <w:p w14:paraId="70778332">
            <w:pPr>
              <w:spacing w:after="0" w:line="350" w:lineRule="auto"/>
              <w:jc w:val="both"/>
              <w:rPr>
                <w:rFonts w:ascii="Times New Roman" w:hAnsi="Times New Roman"/>
              </w:rPr>
            </w:pPr>
            <w:r>
              <w:rPr>
                <w:rFonts w:ascii="Times New Roman" w:hAnsi="Times New Roman"/>
              </w:rPr>
              <w:t>Классные</w:t>
            </w:r>
          </w:p>
          <w:p w14:paraId="4AF5D750">
            <w:pPr>
              <w:spacing w:after="0" w:line="350" w:lineRule="auto"/>
              <w:jc w:val="both"/>
              <w:rPr>
                <w:rFonts w:ascii="Times New Roman" w:hAnsi="Times New Roman"/>
              </w:rPr>
            </w:pPr>
            <w:r>
              <w:rPr>
                <w:rFonts w:ascii="Times New Roman" w:hAnsi="Times New Roman"/>
              </w:rPr>
              <w:t>руководители</w:t>
            </w:r>
          </w:p>
        </w:tc>
      </w:tr>
      <w:tr w14:paraId="684B98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7" w:type="dxa"/>
          </w:tcPr>
          <w:p w14:paraId="17797EF0">
            <w:pPr>
              <w:spacing w:after="0" w:line="350" w:lineRule="auto"/>
              <w:jc w:val="both"/>
              <w:rPr>
                <w:rFonts w:ascii="Times New Roman" w:hAnsi="Times New Roman"/>
              </w:rPr>
            </w:pPr>
            <w:r>
              <w:rPr>
                <w:rFonts w:ascii="Times New Roman" w:hAnsi="Times New Roman"/>
              </w:rPr>
              <w:t>8.</w:t>
            </w:r>
          </w:p>
        </w:tc>
        <w:tc>
          <w:tcPr>
            <w:tcW w:w="2693" w:type="dxa"/>
          </w:tcPr>
          <w:p w14:paraId="372248AD">
            <w:pPr>
              <w:spacing w:after="0" w:line="350" w:lineRule="auto"/>
              <w:jc w:val="both"/>
              <w:rPr>
                <w:rFonts w:ascii="Times New Roman" w:hAnsi="Times New Roman"/>
              </w:rPr>
            </w:pPr>
            <w:r>
              <w:rPr>
                <w:rFonts w:ascii="Times New Roman" w:hAnsi="Times New Roman"/>
              </w:rPr>
              <w:t>Качество и</w:t>
            </w:r>
          </w:p>
          <w:p w14:paraId="5D26D528">
            <w:pPr>
              <w:spacing w:after="0" w:line="350" w:lineRule="auto"/>
              <w:jc w:val="both"/>
              <w:rPr>
                <w:rFonts w:ascii="Times New Roman" w:hAnsi="Times New Roman"/>
              </w:rPr>
            </w:pPr>
            <w:r>
              <w:rPr>
                <w:rFonts w:ascii="Times New Roman" w:hAnsi="Times New Roman"/>
              </w:rPr>
              <w:t>результативность</w:t>
            </w:r>
          </w:p>
          <w:p w14:paraId="552722B6">
            <w:pPr>
              <w:spacing w:after="0" w:line="350" w:lineRule="auto"/>
              <w:jc w:val="both"/>
              <w:rPr>
                <w:rFonts w:ascii="Times New Roman" w:hAnsi="Times New Roman"/>
              </w:rPr>
            </w:pPr>
            <w:r>
              <w:rPr>
                <w:rFonts w:ascii="Times New Roman" w:hAnsi="Times New Roman"/>
              </w:rPr>
              <w:t>деятельности детских</w:t>
            </w:r>
          </w:p>
          <w:p w14:paraId="5A022705">
            <w:pPr>
              <w:spacing w:after="0" w:line="350" w:lineRule="auto"/>
              <w:jc w:val="both"/>
              <w:rPr>
                <w:rFonts w:ascii="Times New Roman" w:hAnsi="Times New Roman"/>
              </w:rPr>
            </w:pPr>
            <w:r>
              <w:rPr>
                <w:rFonts w:ascii="Times New Roman" w:hAnsi="Times New Roman"/>
              </w:rPr>
              <w:t>общественных объединений</w:t>
            </w:r>
          </w:p>
        </w:tc>
        <w:tc>
          <w:tcPr>
            <w:tcW w:w="2742" w:type="dxa"/>
          </w:tcPr>
          <w:p w14:paraId="461409E0">
            <w:pPr>
              <w:spacing w:after="0" w:line="350" w:lineRule="auto"/>
              <w:jc w:val="both"/>
              <w:rPr>
                <w:rFonts w:ascii="Times New Roman" w:hAnsi="Times New Roman"/>
              </w:rPr>
            </w:pPr>
            <w:r>
              <w:rPr>
                <w:rFonts w:ascii="Times New Roman" w:hAnsi="Times New Roman"/>
              </w:rPr>
              <w:t>Динамика охвата</w:t>
            </w:r>
          </w:p>
          <w:p w14:paraId="162EA2A1">
            <w:pPr>
              <w:spacing w:after="0" w:line="350" w:lineRule="auto"/>
              <w:jc w:val="both"/>
              <w:rPr>
                <w:rFonts w:ascii="Times New Roman" w:hAnsi="Times New Roman"/>
              </w:rPr>
            </w:pPr>
            <w:r>
              <w:rPr>
                <w:rFonts w:ascii="Times New Roman" w:hAnsi="Times New Roman"/>
              </w:rPr>
              <w:t>детей и результативность</w:t>
            </w:r>
          </w:p>
          <w:p w14:paraId="51D71033">
            <w:pPr>
              <w:spacing w:after="0" w:line="350" w:lineRule="auto"/>
              <w:jc w:val="both"/>
              <w:rPr>
                <w:rFonts w:ascii="Times New Roman" w:hAnsi="Times New Roman"/>
              </w:rPr>
            </w:pPr>
            <w:r>
              <w:rPr>
                <w:rFonts w:ascii="Times New Roman" w:hAnsi="Times New Roman"/>
              </w:rPr>
              <w:t>участия в конкурсах, акциях, проектах</w:t>
            </w:r>
          </w:p>
        </w:tc>
        <w:tc>
          <w:tcPr>
            <w:tcW w:w="2085" w:type="dxa"/>
          </w:tcPr>
          <w:p w14:paraId="77256617">
            <w:pPr>
              <w:spacing w:after="0" w:line="350" w:lineRule="auto"/>
              <w:jc w:val="both"/>
              <w:rPr>
                <w:rFonts w:ascii="Times New Roman" w:hAnsi="Times New Roman"/>
              </w:rPr>
            </w:pPr>
            <w:r>
              <w:rPr>
                <w:rFonts w:ascii="Times New Roman" w:hAnsi="Times New Roman"/>
              </w:rPr>
              <w:t>Статистика охвата</w:t>
            </w:r>
          </w:p>
          <w:p w14:paraId="2FB0A1A1">
            <w:pPr>
              <w:spacing w:after="0" w:line="350" w:lineRule="auto"/>
              <w:jc w:val="both"/>
              <w:rPr>
                <w:rFonts w:ascii="Times New Roman" w:hAnsi="Times New Roman"/>
              </w:rPr>
            </w:pPr>
            <w:r>
              <w:rPr>
                <w:rFonts w:ascii="Times New Roman" w:hAnsi="Times New Roman"/>
              </w:rPr>
              <w:t>участников и</w:t>
            </w:r>
          </w:p>
          <w:p w14:paraId="0B6B931D">
            <w:pPr>
              <w:spacing w:after="0" w:line="350" w:lineRule="auto"/>
              <w:jc w:val="both"/>
              <w:rPr>
                <w:rFonts w:ascii="Times New Roman" w:hAnsi="Times New Roman"/>
              </w:rPr>
            </w:pPr>
            <w:r>
              <w:rPr>
                <w:rFonts w:ascii="Times New Roman" w:hAnsi="Times New Roman"/>
              </w:rPr>
              <w:t>результатов</w:t>
            </w:r>
          </w:p>
          <w:p w14:paraId="2150302B">
            <w:pPr>
              <w:spacing w:after="0" w:line="350" w:lineRule="auto"/>
              <w:jc w:val="both"/>
              <w:rPr>
                <w:rFonts w:ascii="Times New Roman" w:hAnsi="Times New Roman"/>
              </w:rPr>
            </w:pPr>
            <w:r>
              <w:rPr>
                <w:rFonts w:ascii="Times New Roman" w:hAnsi="Times New Roman"/>
              </w:rPr>
              <w:t>деятельности</w:t>
            </w:r>
          </w:p>
        </w:tc>
        <w:tc>
          <w:tcPr>
            <w:tcW w:w="2085" w:type="dxa"/>
          </w:tcPr>
          <w:p w14:paraId="008C193E">
            <w:pPr>
              <w:spacing w:after="0" w:line="350" w:lineRule="auto"/>
              <w:jc w:val="both"/>
              <w:rPr>
                <w:rFonts w:ascii="Times New Roman" w:hAnsi="Times New Roman"/>
              </w:rPr>
            </w:pPr>
            <w:r>
              <w:rPr>
                <w:rFonts w:ascii="Times New Roman" w:hAnsi="Times New Roman"/>
              </w:rPr>
              <w:t>Заместитель</w:t>
            </w:r>
          </w:p>
          <w:p w14:paraId="7502B8E0">
            <w:pPr>
              <w:spacing w:after="0" w:line="350" w:lineRule="auto"/>
              <w:jc w:val="both"/>
              <w:rPr>
                <w:rFonts w:ascii="Times New Roman" w:hAnsi="Times New Roman"/>
              </w:rPr>
            </w:pPr>
            <w:r>
              <w:rPr>
                <w:rFonts w:ascii="Times New Roman" w:hAnsi="Times New Roman"/>
              </w:rPr>
              <w:t>директора по УВР, ст. вожатая</w:t>
            </w:r>
          </w:p>
        </w:tc>
      </w:tr>
      <w:tr w14:paraId="19CCA6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7" w:type="dxa"/>
          </w:tcPr>
          <w:p w14:paraId="0CB90187">
            <w:pPr>
              <w:spacing w:after="0" w:line="350" w:lineRule="auto"/>
              <w:jc w:val="both"/>
              <w:rPr>
                <w:rFonts w:ascii="Times New Roman" w:hAnsi="Times New Roman"/>
              </w:rPr>
            </w:pPr>
            <w:r>
              <w:rPr>
                <w:rFonts w:ascii="Times New Roman" w:hAnsi="Times New Roman"/>
              </w:rPr>
              <w:t>9.</w:t>
            </w:r>
          </w:p>
        </w:tc>
        <w:tc>
          <w:tcPr>
            <w:tcW w:w="2693" w:type="dxa"/>
          </w:tcPr>
          <w:p w14:paraId="30E768C0">
            <w:pPr>
              <w:spacing w:after="0" w:line="350" w:lineRule="auto"/>
              <w:jc w:val="both"/>
              <w:rPr>
                <w:rFonts w:ascii="Times New Roman" w:hAnsi="Times New Roman"/>
              </w:rPr>
            </w:pPr>
            <w:r>
              <w:rPr>
                <w:rFonts w:ascii="Times New Roman" w:hAnsi="Times New Roman"/>
              </w:rPr>
              <w:t>Качество проводимых в</w:t>
            </w:r>
          </w:p>
          <w:p w14:paraId="708E384B">
            <w:pPr>
              <w:spacing w:after="0" w:line="350" w:lineRule="auto"/>
              <w:jc w:val="both"/>
              <w:rPr>
                <w:rFonts w:ascii="Times New Roman" w:hAnsi="Times New Roman"/>
              </w:rPr>
            </w:pPr>
            <w:r>
              <w:rPr>
                <w:rFonts w:ascii="Times New Roman" w:hAnsi="Times New Roman"/>
              </w:rPr>
              <w:t>школе экскурсий, походов</w:t>
            </w:r>
          </w:p>
        </w:tc>
        <w:tc>
          <w:tcPr>
            <w:tcW w:w="2742" w:type="dxa"/>
          </w:tcPr>
          <w:p w14:paraId="09E51FF7">
            <w:pPr>
              <w:spacing w:after="0" w:line="350" w:lineRule="auto"/>
              <w:jc w:val="both"/>
              <w:rPr>
                <w:rFonts w:ascii="Times New Roman" w:hAnsi="Times New Roman"/>
              </w:rPr>
            </w:pPr>
            <w:r>
              <w:rPr>
                <w:rFonts w:ascii="Times New Roman" w:hAnsi="Times New Roman"/>
              </w:rPr>
              <w:t>Динамика охвата</w:t>
            </w:r>
          </w:p>
          <w:p w14:paraId="609C41C3">
            <w:pPr>
              <w:spacing w:after="0" w:line="350" w:lineRule="auto"/>
              <w:jc w:val="both"/>
              <w:rPr>
                <w:rFonts w:ascii="Times New Roman" w:hAnsi="Times New Roman"/>
              </w:rPr>
            </w:pPr>
            <w:r>
              <w:rPr>
                <w:rFonts w:ascii="Times New Roman" w:hAnsi="Times New Roman"/>
              </w:rPr>
              <w:t>детей и</w:t>
            </w:r>
          </w:p>
          <w:p w14:paraId="4941A338">
            <w:pPr>
              <w:spacing w:after="0" w:line="350" w:lineRule="auto"/>
              <w:jc w:val="both"/>
              <w:rPr>
                <w:rFonts w:ascii="Times New Roman" w:hAnsi="Times New Roman"/>
              </w:rPr>
            </w:pPr>
            <w:r>
              <w:rPr>
                <w:rFonts w:ascii="Times New Roman" w:hAnsi="Times New Roman"/>
              </w:rPr>
              <w:t>результативности</w:t>
            </w:r>
          </w:p>
          <w:p w14:paraId="59A911B1">
            <w:pPr>
              <w:spacing w:after="0" w:line="350" w:lineRule="auto"/>
              <w:jc w:val="both"/>
              <w:rPr>
                <w:rFonts w:ascii="Times New Roman" w:hAnsi="Times New Roman"/>
              </w:rPr>
            </w:pPr>
            <w:r>
              <w:rPr>
                <w:rFonts w:ascii="Times New Roman" w:hAnsi="Times New Roman"/>
              </w:rPr>
              <w:t>проведенных</w:t>
            </w:r>
          </w:p>
          <w:p w14:paraId="3034A1F5">
            <w:pPr>
              <w:spacing w:after="0" w:line="350" w:lineRule="auto"/>
              <w:jc w:val="both"/>
              <w:rPr>
                <w:rFonts w:ascii="Times New Roman" w:hAnsi="Times New Roman"/>
              </w:rPr>
            </w:pPr>
            <w:r>
              <w:rPr>
                <w:rFonts w:ascii="Times New Roman" w:hAnsi="Times New Roman"/>
              </w:rPr>
              <w:t>экскурсий, походов</w:t>
            </w:r>
          </w:p>
        </w:tc>
        <w:tc>
          <w:tcPr>
            <w:tcW w:w="2085" w:type="dxa"/>
          </w:tcPr>
          <w:p w14:paraId="191BFCA9">
            <w:pPr>
              <w:spacing w:after="0" w:line="350" w:lineRule="auto"/>
              <w:jc w:val="both"/>
              <w:rPr>
                <w:rFonts w:ascii="Times New Roman" w:hAnsi="Times New Roman"/>
              </w:rPr>
            </w:pPr>
            <w:r>
              <w:rPr>
                <w:rFonts w:ascii="Times New Roman" w:hAnsi="Times New Roman"/>
              </w:rPr>
              <w:t>Отчет классного</w:t>
            </w:r>
          </w:p>
          <w:p w14:paraId="2BBEBAF1">
            <w:pPr>
              <w:spacing w:after="0" w:line="350" w:lineRule="auto"/>
              <w:jc w:val="both"/>
              <w:rPr>
                <w:rFonts w:ascii="Times New Roman" w:hAnsi="Times New Roman"/>
              </w:rPr>
            </w:pPr>
            <w:r>
              <w:rPr>
                <w:rFonts w:ascii="Times New Roman" w:hAnsi="Times New Roman"/>
              </w:rPr>
              <w:t>руководителя</w:t>
            </w:r>
          </w:p>
          <w:p w14:paraId="629454D4">
            <w:pPr>
              <w:spacing w:after="0" w:line="350" w:lineRule="auto"/>
              <w:jc w:val="both"/>
              <w:rPr>
                <w:rFonts w:ascii="Times New Roman" w:hAnsi="Times New Roman"/>
              </w:rPr>
            </w:pPr>
            <w:r>
              <w:rPr>
                <w:rFonts w:ascii="Times New Roman" w:hAnsi="Times New Roman"/>
              </w:rPr>
              <w:t>Ресурсный круг</w:t>
            </w:r>
          </w:p>
        </w:tc>
        <w:tc>
          <w:tcPr>
            <w:tcW w:w="2085" w:type="dxa"/>
          </w:tcPr>
          <w:p w14:paraId="007904AD">
            <w:pPr>
              <w:spacing w:after="0" w:line="350" w:lineRule="auto"/>
              <w:jc w:val="both"/>
              <w:rPr>
                <w:rFonts w:ascii="Times New Roman" w:hAnsi="Times New Roman"/>
              </w:rPr>
            </w:pPr>
            <w:r>
              <w:rPr>
                <w:rFonts w:ascii="Times New Roman" w:hAnsi="Times New Roman"/>
              </w:rPr>
              <w:t>Заместитель</w:t>
            </w:r>
          </w:p>
          <w:p w14:paraId="38DC443C">
            <w:pPr>
              <w:spacing w:after="0" w:line="350" w:lineRule="auto"/>
              <w:jc w:val="both"/>
              <w:rPr>
                <w:rFonts w:ascii="Times New Roman" w:hAnsi="Times New Roman"/>
              </w:rPr>
            </w:pPr>
            <w:r>
              <w:rPr>
                <w:rFonts w:ascii="Times New Roman" w:hAnsi="Times New Roman"/>
              </w:rPr>
              <w:t xml:space="preserve">Директора по УВР, </w:t>
            </w:r>
          </w:p>
          <w:p w14:paraId="424635C4">
            <w:pPr>
              <w:spacing w:after="0" w:line="350" w:lineRule="auto"/>
              <w:jc w:val="both"/>
              <w:rPr>
                <w:rFonts w:ascii="Times New Roman" w:hAnsi="Times New Roman"/>
              </w:rPr>
            </w:pPr>
            <w:r>
              <w:rPr>
                <w:rFonts w:ascii="Times New Roman" w:hAnsi="Times New Roman"/>
              </w:rPr>
              <w:t>Классные</w:t>
            </w:r>
          </w:p>
          <w:p w14:paraId="033C2A9C">
            <w:pPr>
              <w:spacing w:after="0" w:line="350" w:lineRule="auto"/>
              <w:jc w:val="both"/>
              <w:rPr>
                <w:rFonts w:ascii="Times New Roman" w:hAnsi="Times New Roman"/>
              </w:rPr>
            </w:pPr>
            <w:r>
              <w:rPr>
                <w:rFonts w:ascii="Times New Roman" w:hAnsi="Times New Roman"/>
              </w:rPr>
              <w:t>руководители</w:t>
            </w:r>
          </w:p>
        </w:tc>
      </w:tr>
      <w:tr w14:paraId="7CFAF2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7" w:type="dxa"/>
          </w:tcPr>
          <w:p w14:paraId="58876082">
            <w:pPr>
              <w:spacing w:after="0" w:line="350" w:lineRule="auto"/>
              <w:jc w:val="both"/>
              <w:rPr>
                <w:rFonts w:ascii="Times New Roman" w:hAnsi="Times New Roman"/>
              </w:rPr>
            </w:pPr>
            <w:r>
              <w:rPr>
                <w:rFonts w:ascii="Times New Roman" w:hAnsi="Times New Roman"/>
              </w:rPr>
              <w:t>10.</w:t>
            </w:r>
          </w:p>
        </w:tc>
        <w:tc>
          <w:tcPr>
            <w:tcW w:w="2693" w:type="dxa"/>
          </w:tcPr>
          <w:p w14:paraId="79AFABD7">
            <w:pPr>
              <w:spacing w:after="0" w:line="350" w:lineRule="auto"/>
              <w:jc w:val="both"/>
              <w:rPr>
                <w:rFonts w:ascii="Times New Roman" w:hAnsi="Times New Roman"/>
              </w:rPr>
            </w:pPr>
            <w:r>
              <w:rPr>
                <w:rFonts w:ascii="Times New Roman" w:hAnsi="Times New Roman"/>
              </w:rPr>
              <w:t>Качество организации</w:t>
            </w:r>
          </w:p>
          <w:p w14:paraId="6C74F4AB">
            <w:pPr>
              <w:spacing w:after="0" w:line="350" w:lineRule="auto"/>
              <w:jc w:val="both"/>
              <w:rPr>
                <w:rFonts w:ascii="Times New Roman" w:hAnsi="Times New Roman"/>
              </w:rPr>
            </w:pPr>
            <w:r>
              <w:rPr>
                <w:rFonts w:ascii="Times New Roman" w:hAnsi="Times New Roman"/>
              </w:rPr>
              <w:t>предметно-эстетической среды</w:t>
            </w:r>
          </w:p>
        </w:tc>
        <w:tc>
          <w:tcPr>
            <w:tcW w:w="2742" w:type="dxa"/>
          </w:tcPr>
          <w:p w14:paraId="5988F5F3">
            <w:pPr>
              <w:spacing w:after="0" w:line="350" w:lineRule="auto"/>
              <w:jc w:val="both"/>
              <w:rPr>
                <w:rFonts w:ascii="Times New Roman" w:hAnsi="Times New Roman"/>
              </w:rPr>
            </w:pPr>
            <w:r>
              <w:rPr>
                <w:rFonts w:ascii="Times New Roman" w:hAnsi="Times New Roman"/>
              </w:rPr>
              <w:t>Положительное восприятие ребенком</w:t>
            </w:r>
          </w:p>
          <w:p w14:paraId="6A1B10B3">
            <w:pPr>
              <w:spacing w:after="0" w:line="350" w:lineRule="auto"/>
              <w:jc w:val="both"/>
              <w:rPr>
                <w:rFonts w:ascii="Times New Roman" w:hAnsi="Times New Roman"/>
              </w:rPr>
            </w:pPr>
            <w:r>
              <w:rPr>
                <w:rFonts w:ascii="Times New Roman" w:hAnsi="Times New Roman"/>
              </w:rPr>
              <w:t>школы и происходящей в ней деятельности.</w:t>
            </w:r>
          </w:p>
          <w:p w14:paraId="4BE3D252">
            <w:pPr>
              <w:spacing w:after="0" w:line="350" w:lineRule="auto"/>
              <w:jc w:val="both"/>
              <w:rPr>
                <w:rFonts w:ascii="Times New Roman" w:hAnsi="Times New Roman"/>
              </w:rPr>
            </w:pPr>
            <w:r>
              <w:rPr>
                <w:rFonts w:ascii="Times New Roman" w:hAnsi="Times New Roman"/>
              </w:rPr>
              <w:t>Динамика</w:t>
            </w:r>
          </w:p>
          <w:p w14:paraId="5F44FC7A">
            <w:pPr>
              <w:spacing w:after="0" w:line="350" w:lineRule="auto"/>
              <w:jc w:val="both"/>
              <w:rPr>
                <w:rFonts w:ascii="Times New Roman" w:hAnsi="Times New Roman"/>
              </w:rPr>
            </w:pPr>
            <w:r>
              <w:rPr>
                <w:rFonts w:ascii="Times New Roman" w:hAnsi="Times New Roman"/>
              </w:rPr>
              <w:t>продуктивной</w:t>
            </w:r>
          </w:p>
          <w:p w14:paraId="6C433455">
            <w:pPr>
              <w:spacing w:after="0" w:line="350" w:lineRule="auto"/>
              <w:jc w:val="both"/>
              <w:rPr>
                <w:rFonts w:ascii="Times New Roman" w:hAnsi="Times New Roman"/>
              </w:rPr>
            </w:pPr>
            <w:r>
              <w:rPr>
                <w:rFonts w:ascii="Times New Roman" w:hAnsi="Times New Roman"/>
              </w:rPr>
              <w:t>активности.</w:t>
            </w:r>
          </w:p>
        </w:tc>
        <w:tc>
          <w:tcPr>
            <w:tcW w:w="2085" w:type="dxa"/>
          </w:tcPr>
          <w:p w14:paraId="6354E55C">
            <w:pPr>
              <w:spacing w:after="0" w:line="350" w:lineRule="auto"/>
              <w:jc w:val="both"/>
              <w:rPr>
                <w:rFonts w:ascii="Times New Roman" w:hAnsi="Times New Roman"/>
              </w:rPr>
            </w:pPr>
            <w:r>
              <w:rPr>
                <w:rFonts w:ascii="Times New Roman" w:hAnsi="Times New Roman"/>
              </w:rPr>
              <w:t>Наблюдение</w:t>
            </w:r>
          </w:p>
          <w:p w14:paraId="58BD70FD">
            <w:pPr>
              <w:spacing w:after="0" w:line="350" w:lineRule="auto"/>
              <w:jc w:val="both"/>
              <w:rPr>
                <w:rFonts w:ascii="Times New Roman" w:hAnsi="Times New Roman"/>
              </w:rPr>
            </w:pPr>
            <w:r>
              <w:rPr>
                <w:rFonts w:ascii="Times New Roman" w:hAnsi="Times New Roman"/>
              </w:rPr>
              <w:t>ВСОКО</w:t>
            </w:r>
          </w:p>
          <w:p w14:paraId="3DC28062">
            <w:pPr>
              <w:spacing w:after="0" w:line="350" w:lineRule="auto"/>
              <w:jc w:val="both"/>
              <w:rPr>
                <w:rFonts w:ascii="Times New Roman" w:hAnsi="Times New Roman"/>
              </w:rPr>
            </w:pPr>
            <w:r>
              <w:rPr>
                <w:rFonts w:ascii="Times New Roman" w:hAnsi="Times New Roman"/>
              </w:rPr>
              <w:t xml:space="preserve">«Методика изучения ценностных ориентаций» </w:t>
            </w:r>
          </w:p>
          <w:p w14:paraId="3733D9AD">
            <w:pPr>
              <w:spacing w:after="0" w:line="350" w:lineRule="auto"/>
              <w:jc w:val="both"/>
              <w:rPr>
                <w:rFonts w:ascii="Times New Roman" w:hAnsi="Times New Roman"/>
              </w:rPr>
            </w:pPr>
            <w:r>
              <w:rPr>
                <w:rFonts w:ascii="Times New Roman" w:hAnsi="Times New Roman"/>
              </w:rPr>
              <w:t>М. Рокича</w:t>
            </w:r>
          </w:p>
        </w:tc>
        <w:tc>
          <w:tcPr>
            <w:tcW w:w="2085" w:type="dxa"/>
          </w:tcPr>
          <w:p w14:paraId="35E442E9">
            <w:pPr>
              <w:spacing w:after="0" w:line="350" w:lineRule="auto"/>
              <w:jc w:val="both"/>
              <w:rPr>
                <w:rFonts w:ascii="Times New Roman" w:hAnsi="Times New Roman"/>
              </w:rPr>
            </w:pPr>
            <w:r>
              <w:rPr>
                <w:rFonts w:ascii="Times New Roman" w:hAnsi="Times New Roman"/>
              </w:rPr>
              <w:t>Заместитель директора по УВР, классные руководители</w:t>
            </w:r>
          </w:p>
        </w:tc>
      </w:tr>
    </w:tbl>
    <w:p w14:paraId="36E60C62">
      <w:pPr>
        <w:spacing w:after="0" w:line="350" w:lineRule="auto"/>
        <w:jc w:val="both"/>
        <w:rPr>
          <w:rFonts w:ascii="Times New Roman" w:hAnsi="Times New Roman"/>
        </w:rPr>
      </w:pPr>
    </w:p>
    <w:p w14:paraId="23B1CF21">
      <w:pPr>
        <w:spacing w:after="0" w:line="350" w:lineRule="auto"/>
        <w:jc w:val="both"/>
        <w:rPr>
          <w:rFonts w:ascii="Times New Roman" w:hAnsi="Times New Roman"/>
        </w:rPr>
      </w:pPr>
      <w:r>
        <w:rPr>
          <w:rFonts w:ascii="Times New Roman" w:hAnsi="Times New Roman"/>
        </w:rPr>
        <w:tab/>
      </w:r>
      <w:r>
        <w:rPr>
          <w:rFonts w:ascii="Times New Roman" w:hAnsi="Times New Roman"/>
        </w:rPr>
        <w:t>Итогом самоанализа организуемой в школе воспитательной работы является перечень выявленных проблем, над которыми предстоит работать педагогическому коллективу, и проект направленных на этоуправленческих решений.</w:t>
      </w:r>
    </w:p>
    <w:p w14:paraId="211DF4A4">
      <w:pPr>
        <w:spacing w:after="0" w:line="350" w:lineRule="auto"/>
        <w:jc w:val="both"/>
        <w:rPr>
          <w:rFonts w:ascii="Times New Roman" w:hAnsi="Times New Roman"/>
        </w:rPr>
      </w:pPr>
      <w:r>
        <w:rPr>
          <w:rFonts w:ascii="Times New Roman" w:hAnsi="Times New Roman"/>
        </w:rPr>
        <w:tab/>
      </w:r>
      <w:r>
        <w:rPr>
          <w:rFonts w:ascii="Times New Roman" w:hAnsi="Times New Roman"/>
        </w:rPr>
        <w:t>Определяющую роль в формировании уклада жизни школы играет общность участников образовательных отношений: обучающихся, ученических коллективов, педагогического коллектива школы, администрации, учредителя образовательной организации, родительского</w:t>
      </w:r>
    </w:p>
    <w:p w14:paraId="424179AE">
      <w:pPr>
        <w:spacing w:after="0" w:line="350" w:lineRule="auto"/>
        <w:jc w:val="both"/>
        <w:rPr>
          <w:rFonts w:ascii="Times New Roman" w:hAnsi="Times New Roman"/>
        </w:rPr>
      </w:pPr>
      <w:r>
        <w:rPr>
          <w:rFonts w:ascii="Times New Roman" w:hAnsi="Times New Roman"/>
        </w:rPr>
        <w:t xml:space="preserve">сообщества, общественности. </w:t>
      </w:r>
    </w:p>
    <w:p w14:paraId="41985431">
      <w:pPr>
        <w:spacing w:after="0" w:line="350" w:lineRule="auto"/>
        <w:jc w:val="both"/>
        <w:rPr>
          <w:rFonts w:ascii="Times New Roman" w:hAnsi="Times New Roman"/>
        </w:rPr>
      </w:pPr>
      <w:r>
        <w:rPr>
          <w:rFonts w:ascii="Times New Roman" w:hAnsi="Times New Roman"/>
        </w:rPr>
        <w:tab/>
      </w:r>
      <w:r>
        <w:rPr>
          <w:rFonts w:ascii="Times New Roman" w:hAnsi="Times New Roman"/>
        </w:rPr>
        <w:t>Важным элементом формирования уклада школьной жизни являются коллективные обсуждения, дискуссии, позволяющие наиболее точно определить специфику ценностных и целевых ориентиров организации, осуществляющей воспитательную и образовательную деятельность; элементов коллективной жизнедеятельности, обеспечивающих реализацию ценностей и целей.</w:t>
      </w:r>
    </w:p>
    <w:p w14:paraId="693B63BD">
      <w:pPr>
        <w:pStyle w:val="2"/>
        <w:widowControl/>
        <w:pBdr>
          <w:bottom w:val="none" w:color="auto" w:sz="0" w:space="0"/>
        </w:pBdr>
        <w:spacing w:before="0" w:line="355" w:lineRule="auto"/>
        <w:jc w:val="center"/>
        <w:rPr>
          <w:rFonts w:eastAsia="OfficinaSansBoldITC"/>
          <w:sz w:val="22"/>
          <w:szCs w:val="22"/>
        </w:rPr>
      </w:pPr>
    </w:p>
    <w:p w14:paraId="32F1CE36">
      <w:pPr>
        <w:pStyle w:val="2"/>
        <w:widowControl/>
        <w:pBdr>
          <w:bottom w:val="none" w:color="auto" w:sz="0" w:space="0"/>
        </w:pBdr>
        <w:spacing w:before="0" w:line="355" w:lineRule="auto"/>
        <w:jc w:val="center"/>
        <w:rPr>
          <w:rFonts w:eastAsia="OfficinaSansBoldITC"/>
          <w:sz w:val="22"/>
          <w:szCs w:val="22"/>
        </w:rPr>
      </w:pPr>
      <w:r>
        <w:rPr>
          <w:rFonts w:eastAsia="OfficinaSansBoldITC"/>
          <w:sz w:val="22"/>
          <w:szCs w:val="22"/>
        </w:rPr>
        <w:t>III. Организационный раздел</w:t>
      </w:r>
    </w:p>
    <w:p w14:paraId="68801042">
      <w:pPr>
        <w:widowControl/>
        <w:spacing w:after="0" w:line="355" w:lineRule="auto"/>
        <w:rPr>
          <w:rFonts w:ascii="Times New Roman" w:hAnsi="Times New Roman"/>
        </w:rPr>
      </w:pPr>
    </w:p>
    <w:p w14:paraId="588D11A4">
      <w:pPr>
        <w:pStyle w:val="4"/>
        <w:rPr>
          <w:b/>
          <w:sz w:val="22"/>
          <w:szCs w:val="22"/>
        </w:rPr>
      </w:pPr>
      <w:r>
        <w:rPr>
          <w:sz w:val="22"/>
          <w:szCs w:val="22"/>
        </w:rPr>
        <w:t>19. Учебный план начального общего образования.</w:t>
      </w:r>
    </w:p>
    <w:p w14:paraId="065E6573">
      <w:pPr>
        <w:pStyle w:val="136"/>
        <w:jc w:val="both"/>
        <w:rPr>
          <w:rFonts w:ascii="Times New Roman" w:hAnsi="Times New Roman"/>
          <w:color w:val="auto"/>
          <w:sz w:val="22"/>
          <w:szCs w:val="22"/>
        </w:rPr>
      </w:pPr>
      <w:r>
        <w:rPr>
          <w:rFonts w:ascii="Times New Roman" w:hAnsi="Times New Roman"/>
          <w:color w:val="auto"/>
          <w:sz w:val="22"/>
          <w:szCs w:val="22"/>
        </w:rPr>
        <w:t xml:space="preserve">      19.1.Пояснительная записка</w:t>
      </w:r>
    </w:p>
    <w:p w14:paraId="431622C2">
      <w:pPr>
        <w:spacing w:after="0" w:line="100" w:lineRule="atLeast"/>
        <w:jc w:val="both"/>
        <w:rPr>
          <w:rFonts w:ascii="Times New Roman" w:hAnsi="Times New Roman"/>
        </w:rPr>
      </w:pPr>
      <w:r>
        <w:rPr>
          <w:rFonts w:ascii="Times New Roman" w:hAnsi="Times New Roman"/>
        </w:rPr>
        <w:t xml:space="preserve">        Учебный план разработан на основе следующих нормативных документов: </w:t>
      </w:r>
    </w:p>
    <w:p w14:paraId="2A15A18B">
      <w:pPr>
        <w:spacing w:after="0" w:line="100" w:lineRule="atLeast"/>
        <w:jc w:val="both"/>
        <w:rPr>
          <w:rFonts w:ascii="Times New Roman" w:hAnsi="Times New Roman"/>
        </w:rPr>
      </w:pPr>
      <w:r>
        <w:rPr>
          <w:rFonts w:ascii="Times New Roman" w:hAnsi="Times New Roman"/>
        </w:rPr>
        <w:t>а) Конституции Российской Федерации (ст. 43);</w:t>
      </w:r>
    </w:p>
    <w:p w14:paraId="45EF21A3">
      <w:pPr>
        <w:spacing w:after="0" w:line="100" w:lineRule="atLeast"/>
        <w:jc w:val="both"/>
        <w:rPr>
          <w:rFonts w:ascii="Times New Roman" w:hAnsi="Times New Roman"/>
        </w:rPr>
      </w:pPr>
      <w:r>
        <w:rPr>
          <w:rFonts w:ascii="Times New Roman" w:hAnsi="Times New Roman"/>
        </w:rPr>
        <w:t xml:space="preserve">б) Федерального закона от 29 декабря 2012 года N 273 - ФЗ «Об образовании в Российской Федерации» (с последующими изменениями)         </w:t>
      </w:r>
    </w:p>
    <w:p w14:paraId="7562A630">
      <w:pPr>
        <w:spacing w:after="0" w:line="100" w:lineRule="atLeast"/>
        <w:jc w:val="both"/>
        <w:rPr>
          <w:rFonts w:ascii="Times New Roman" w:hAnsi="Times New Roman"/>
        </w:rPr>
      </w:pPr>
      <w:r>
        <w:rPr>
          <w:rFonts w:ascii="Times New Roman" w:hAnsi="Times New Roman"/>
        </w:rPr>
        <w:t xml:space="preserve"> в) -</w:t>
      </w:r>
      <w:r>
        <w:fldChar w:fldCharType="begin"/>
      </w:r>
      <w:r>
        <w:instrText xml:space="preserve"> HYPERLINK "https://mini.1obraz.ru/%22%20/l%20%22/document/99/566276706/ZAP1QAG37Q/" \t "_blank" </w:instrText>
      </w:r>
      <w:r>
        <w:fldChar w:fldCharType="separate"/>
      </w:r>
      <w:r>
        <w:rPr>
          <w:rStyle w:val="19"/>
          <w:rFonts w:ascii="Times New Roman" w:hAnsi="Times New Roman"/>
          <w:color w:val="auto"/>
        </w:rPr>
        <w:t>СанПиН 2.3/2.4.3590-20</w:t>
      </w:r>
      <w:r>
        <w:rPr>
          <w:rStyle w:val="19"/>
          <w:rFonts w:ascii="Times New Roman" w:hAnsi="Times New Roman"/>
          <w:color w:val="auto"/>
        </w:rPr>
        <w:fldChar w:fldCharType="end"/>
      </w:r>
      <w:r>
        <w:rPr>
          <w:rFonts w:ascii="Times New Roman" w:hAnsi="Times New Roman"/>
        </w:rPr>
        <w:t> «Санитарно-эпидемиологические требования к организации общественного питания населения», утвержденными </w:t>
      </w:r>
      <w:r>
        <w:fldChar w:fldCharType="begin"/>
      </w:r>
      <w:r>
        <w:instrText xml:space="preserve"> HYPERLINK "https://mini.1obraz.ru/%22%20/l%20%22/document/99/566276706/" \t "_blank" </w:instrText>
      </w:r>
      <w:r>
        <w:fldChar w:fldCharType="separate"/>
      </w:r>
      <w:r>
        <w:rPr>
          <w:rStyle w:val="19"/>
          <w:rFonts w:ascii="Times New Roman" w:hAnsi="Times New Roman"/>
          <w:color w:val="auto"/>
        </w:rPr>
        <w:t>постановлением главного санитарного врача от 27.10.2020 № 32</w:t>
      </w:r>
      <w:r>
        <w:rPr>
          <w:rStyle w:val="19"/>
          <w:rFonts w:ascii="Times New Roman" w:hAnsi="Times New Roman"/>
          <w:color w:val="auto"/>
        </w:rPr>
        <w:fldChar w:fldCharType="end"/>
      </w:r>
      <w:r>
        <w:rPr>
          <w:rFonts w:ascii="Times New Roman" w:hAnsi="Times New Roman"/>
        </w:rPr>
        <w:t>, -</w:t>
      </w:r>
      <w:r>
        <w:fldChar w:fldCharType="begin"/>
      </w:r>
      <w:r>
        <w:instrText xml:space="preserve"> HYPERLINK "https://mini.1obraz.ru/%22%20/l%20%22/document/97/485031/dfaskikh6t/" \t "_blank" </w:instrText>
      </w:r>
      <w:r>
        <w:fldChar w:fldCharType="separate"/>
      </w:r>
      <w:r>
        <w:rPr>
          <w:rStyle w:val="19"/>
          <w:rFonts w:ascii="Times New Roman" w:hAnsi="Times New Roman"/>
          <w:color w:val="auto"/>
        </w:rPr>
        <w:t>СП 2.4.3648-20</w:t>
      </w:r>
      <w:r>
        <w:rPr>
          <w:rStyle w:val="19"/>
          <w:rFonts w:ascii="Times New Roman" w:hAnsi="Times New Roman"/>
          <w:color w:val="auto"/>
        </w:rPr>
        <w:fldChar w:fldCharType="end"/>
      </w:r>
      <w:r>
        <w:rPr>
          <w:rFonts w:ascii="Times New Roman" w:hAnsi="Times New Roman"/>
        </w:rPr>
        <w:t> «Санитарно-эпидемиологические требования к организациям воспитания и обучения, отдыха и оздоровления детей и молодежи», утвержденными </w:t>
      </w:r>
      <w:r>
        <w:fldChar w:fldCharType="begin"/>
      </w:r>
      <w:r>
        <w:instrText xml:space="preserve"> HYPERLINK "https://mini.1obraz.ru/%22%20/l%20%22/document/97/485031/" \t "_blank" </w:instrText>
      </w:r>
      <w:r>
        <w:fldChar w:fldCharType="separate"/>
      </w:r>
      <w:r>
        <w:rPr>
          <w:rStyle w:val="19"/>
          <w:rFonts w:ascii="Times New Roman" w:hAnsi="Times New Roman"/>
          <w:color w:val="auto"/>
        </w:rPr>
        <w:t>постановлением главного санитарного врача от 28.09.2020 № 28</w:t>
      </w:r>
      <w:r>
        <w:rPr>
          <w:rStyle w:val="19"/>
          <w:rFonts w:ascii="Times New Roman" w:hAnsi="Times New Roman"/>
          <w:color w:val="auto"/>
        </w:rPr>
        <w:fldChar w:fldCharType="end"/>
      </w:r>
      <w:r>
        <w:rPr>
          <w:rFonts w:ascii="Times New Roman" w:hAnsi="Times New Roman"/>
        </w:rPr>
        <w:t xml:space="preserve">                                        </w:t>
      </w:r>
      <w:r>
        <w:rPr>
          <w:rFonts w:ascii="Times New Roman" w:hAnsi="Times New Roman"/>
          <w:shd w:val="clear" w:color="auto" w:fill="FFFFFF"/>
        </w:rPr>
        <w:t xml:space="preserve"> - СанПиН 1.2.3685-21 «Гигиенические нормативы и требования к обеспечению безопасности и (или) безвредности для человека факторов среды обитания»</w:t>
      </w:r>
    </w:p>
    <w:p w14:paraId="11E9226D">
      <w:pPr>
        <w:jc w:val="both"/>
        <w:rPr>
          <w:rFonts w:ascii="Times New Roman" w:hAnsi="Times New Roman"/>
        </w:rPr>
      </w:pPr>
      <w:r>
        <w:rPr>
          <w:rFonts w:ascii="Times New Roman" w:hAnsi="Times New Roman"/>
        </w:rPr>
        <w:t xml:space="preserve">Учебный план основной образовательной программы начального общего образования МБОУ « </w:t>
      </w:r>
      <w:r>
        <w:rPr>
          <w:rFonts w:ascii="Times New Roman" w:hAnsi="Times New Roman"/>
          <w:lang w:val="ru-RU"/>
        </w:rPr>
        <w:t>Николаевская</w:t>
      </w:r>
      <w:r>
        <w:rPr>
          <w:rFonts w:ascii="Times New Roman" w:hAnsi="Times New Roman"/>
        </w:rPr>
        <w:t xml:space="preserve"> ООШ» (далее – учебный план) фиксирует общий объем нагрузки, максимальный объем аудиторной нагрузки обучающихся при пятидневной учебной неделе, состав и структуру предметных областей, распределяет учебное время, отводимое на их освоение, по классам и учебным предметам.</w:t>
      </w:r>
    </w:p>
    <w:p w14:paraId="2E848E0E">
      <w:pPr>
        <w:jc w:val="both"/>
        <w:rPr>
          <w:rFonts w:ascii="Times New Roman" w:hAnsi="Times New Roman"/>
        </w:rPr>
      </w:pPr>
      <w:r>
        <w:rPr>
          <w:rFonts w:ascii="Times New Roman" w:hAnsi="Times New Roman"/>
        </w:rPr>
        <w:t>Содержание образования при получении начального общего образования реализуется преимущественно за счет учебных предметов, курсов, обеспечивающих целостное восприятие мира, системно-деятельностный подход и индивидуализацию обучения.</w:t>
      </w:r>
    </w:p>
    <w:p w14:paraId="49ECE844">
      <w:pPr>
        <w:jc w:val="both"/>
        <w:rPr>
          <w:rFonts w:ascii="Times New Roman" w:hAnsi="Times New Roman"/>
        </w:rPr>
      </w:pPr>
      <w:r>
        <w:rPr>
          <w:rFonts w:ascii="Times New Roman" w:hAnsi="Times New Roman"/>
        </w:rPr>
        <w:t>В основу учебного плана положен вариант федерального учебного плана № 3 Федеральной образовательной программы, утвержденной приказом Минпросвещения от 18.05.2023 № 372. Вариант № 3 предназначен для образовательных организаций, в которых обучение ведется на русском языке с изучением родного языка в режиме пятидневной учебной недели.</w:t>
      </w:r>
    </w:p>
    <w:p w14:paraId="4113CD10">
      <w:pPr>
        <w:jc w:val="both"/>
        <w:rPr>
          <w:rFonts w:ascii="Times New Roman" w:hAnsi="Times New Roman"/>
        </w:rPr>
      </w:pPr>
      <w:r>
        <w:rPr>
          <w:rFonts w:ascii="Times New Roman" w:hAnsi="Times New Roman"/>
        </w:rPr>
        <w:t>Учебный план предусматривает четырехлетний нормативный срок освоения образовательных программ начального общего образования. Продолжительность учебного года при получении начального общего образования для 1-х классов составляет 33 недели 693 часа), для 2–4-х классов – 34 недели (782 часа). Соответственно, весь период обучения на уровне НОО составляет 135 учебных недель.</w:t>
      </w:r>
    </w:p>
    <w:p w14:paraId="2AED4CEF">
      <w:pPr>
        <w:jc w:val="both"/>
        <w:rPr>
          <w:rFonts w:ascii="Times New Roman" w:hAnsi="Times New Roman"/>
        </w:rPr>
      </w:pPr>
      <w:r>
        <w:rPr>
          <w:rFonts w:ascii="Times New Roman" w:hAnsi="Times New Roman"/>
        </w:rPr>
        <w:t>Образовательная недельная нагрузка равномерно распределена в течение учебной недели. При распределении часов учтен ступенчатый режим в 1-м классе: в сентябре–декабре уроки длятся по 35 минут, в январе–мае – по 40 минут.</w:t>
      </w:r>
    </w:p>
    <w:p w14:paraId="1CAE404A">
      <w:pPr>
        <w:rPr>
          <w:rFonts w:ascii="Times New Roman" w:hAnsi="Times New Roman"/>
        </w:rPr>
      </w:pPr>
      <w:r>
        <w:rPr>
          <w:rFonts w:ascii="Times New Roman" w:hAnsi="Times New Roman"/>
        </w:rPr>
        <w:t>Объем максимально допустимой нагрузки в течение дня:</w:t>
      </w:r>
    </w:p>
    <w:p w14:paraId="26FC106E">
      <w:pPr>
        <w:widowControl/>
        <w:numPr>
          <w:ilvl w:val="0"/>
          <w:numId w:val="12"/>
        </w:numPr>
        <w:spacing w:before="100" w:beforeAutospacing="1" w:after="100" w:afterAutospacing="1" w:line="240" w:lineRule="auto"/>
        <w:ind w:left="780" w:right="180"/>
        <w:contextualSpacing/>
        <w:rPr>
          <w:rFonts w:ascii="Times New Roman" w:hAnsi="Times New Roman"/>
        </w:rPr>
      </w:pPr>
      <w:r>
        <w:rPr>
          <w:rFonts w:ascii="Times New Roman" w:hAnsi="Times New Roman"/>
        </w:rPr>
        <w:t>для 1-х классов – не более четырех уроков в день и один день в неделю – пять уроков;</w:t>
      </w:r>
    </w:p>
    <w:p w14:paraId="2A78899F">
      <w:pPr>
        <w:widowControl/>
        <w:numPr>
          <w:ilvl w:val="0"/>
          <w:numId w:val="12"/>
        </w:numPr>
        <w:spacing w:before="100" w:beforeAutospacing="1" w:after="100" w:afterAutospacing="1" w:line="240" w:lineRule="auto"/>
        <w:ind w:left="780" w:right="180"/>
        <w:rPr>
          <w:rFonts w:ascii="Times New Roman" w:hAnsi="Times New Roman"/>
        </w:rPr>
      </w:pPr>
      <w:r>
        <w:rPr>
          <w:rFonts w:ascii="Times New Roman" w:hAnsi="Times New Roman"/>
        </w:rPr>
        <w:t>2–4-х классов – не более пяти уроков.</w:t>
      </w:r>
    </w:p>
    <w:p w14:paraId="3910F9D9">
      <w:pPr>
        <w:jc w:val="both"/>
        <w:rPr>
          <w:rFonts w:ascii="Times New Roman" w:hAnsi="Times New Roman"/>
        </w:rPr>
      </w:pPr>
      <w:r>
        <w:rPr>
          <w:rFonts w:ascii="Times New Roman" w:hAnsi="Times New Roman"/>
        </w:rPr>
        <w:t>Количество часов, отведенных на освоение обучающимися учебных предметов, курсов, модулей из обязательной части и части, формируемой участниками образовательного процесса, в совокупности не превышает величину недельной образовательной нагрузки, установленную СанПиН 1.2.3685-21. В учебном плане начального общего образования МБОУ «</w:t>
      </w:r>
      <w:r>
        <w:rPr>
          <w:rFonts w:ascii="Times New Roman" w:hAnsi="Times New Roman"/>
          <w:lang w:val="ru-RU"/>
        </w:rPr>
        <w:t>Николаевская</w:t>
      </w:r>
      <w:r>
        <w:rPr>
          <w:rFonts w:ascii="Times New Roman" w:hAnsi="Times New Roman"/>
        </w:rPr>
        <w:t xml:space="preserve"> ООШ» выделено:</w:t>
      </w:r>
    </w:p>
    <w:p w14:paraId="1ABDB12E">
      <w:pPr>
        <w:widowControl/>
        <w:numPr>
          <w:ilvl w:val="0"/>
          <w:numId w:val="13"/>
        </w:numPr>
        <w:spacing w:before="100" w:beforeAutospacing="1" w:after="100" w:afterAutospacing="1" w:line="240" w:lineRule="auto"/>
        <w:ind w:left="780" w:right="180"/>
        <w:contextualSpacing/>
        <w:rPr>
          <w:rFonts w:ascii="Times New Roman" w:hAnsi="Times New Roman"/>
        </w:rPr>
      </w:pPr>
      <w:r>
        <w:rPr>
          <w:rFonts w:ascii="Times New Roman" w:hAnsi="Times New Roman"/>
        </w:rPr>
        <w:t>в 1-х классах – 21 час в неделю;</w:t>
      </w:r>
    </w:p>
    <w:p w14:paraId="0B0FB4F2">
      <w:pPr>
        <w:widowControl/>
        <w:numPr>
          <w:ilvl w:val="0"/>
          <w:numId w:val="13"/>
        </w:numPr>
        <w:spacing w:before="100" w:beforeAutospacing="1" w:after="100" w:afterAutospacing="1" w:line="240" w:lineRule="auto"/>
        <w:ind w:left="780" w:right="180"/>
        <w:rPr>
          <w:rFonts w:ascii="Times New Roman" w:hAnsi="Times New Roman"/>
        </w:rPr>
      </w:pPr>
      <w:r>
        <w:rPr>
          <w:rFonts w:ascii="Times New Roman" w:hAnsi="Times New Roman"/>
        </w:rPr>
        <w:t>2–4-х классах – 23 часа в неделю.</w:t>
      </w:r>
    </w:p>
    <w:p w14:paraId="511FB4B6">
      <w:pPr>
        <w:rPr>
          <w:rFonts w:ascii="Times New Roman" w:hAnsi="Times New Roman"/>
        </w:rPr>
      </w:pPr>
      <w:r>
        <w:rPr>
          <w:rFonts w:ascii="Times New Roman" w:hAnsi="Times New Roman"/>
        </w:rPr>
        <w:t>Общее количество часов учебных занятий за четыре года составляет 3039 часов.</w:t>
      </w:r>
    </w:p>
    <w:p w14:paraId="5F972FEC">
      <w:pPr>
        <w:jc w:val="both"/>
        <w:rPr>
          <w:rFonts w:ascii="Times New Roman" w:hAnsi="Times New Roman"/>
        </w:rPr>
      </w:pPr>
      <w:r>
        <w:rPr>
          <w:rFonts w:ascii="Times New Roman" w:hAnsi="Times New Roman"/>
        </w:rPr>
        <w:t xml:space="preserve">Учебный план состоит из двух частей – обязательной части и части, формируемой участниками образовательных отношений. </w:t>
      </w:r>
    </w:p>
    <w:p w14:paraId="3D3E87C7">
      <w:pPr>
        <w:jc w:val="both"/>
        <w:rPr>
          <w:rFonts w:ascii="Times New Roman" w:hAnsi="Times New Roman"/>
        </w:rPr>
      </w:pPr>
      <w:r>
        <w:rPr>
          <w:rFonts w:ascii="Times New Roman" w:hAnsi="Times New Roman"/>
        </w:rPr>
        <w:t>В соответствии с требованиями ФГОС-21 НОО внеурочная деятельность организуется во второй половине дня по направлениям развития личности (</w:t>
      </w:r>
      <w:r>
        <w:rPr>
          <w:rFonts w:ascii="Times New Roman" w:hAnsi="Times New Roman"/>
          <w:lang w:eastAsia="ru-RU"/>
        </w:rPr>
        <w:t>духовно-нравственное, физкультурно-спортивное и оздоровительное, социальное, общеинтеллектуальное, общекультурное</w:t>
      </w:r>
      <w:r>
        <w:rPr>
          <w:rFonts w:ascii="Times New Roman" w:hAnsi="Times New Roman"/>
        </w:rPr>
        <w:t>) через участие в работе секций и кружков, организуемых при школе. Используются возможности образовательных учреждений дополнительного образования.</w:t>
      </w:r>
    </w:p>
    <w:p w14:paraId="51DF9C61">
      <w:pPr>
        <w:jc w:val="center"/>
        <w:rPr>
          <w:rFonts w:ascii="Times New Roman" w:hAnsi="Times New Roman"/>
        </w:rPr>
      </w:pPr>
      <w:r>
        <w:rPr>
          <w:rFonts w:ascii="Times New Roman" w:hAnsi="Times New Roman"/>
          <w:b/>
          <w:bCs/>
        </w:rPr>
        <w:t>Обязательная часть учебного плана</w:t>
      </w:r>
    </w:p>
    <w:p w14:paraId="062C3375">
      <w:pPr>
        <w:jc w:val="both"/>
        <w:rPr>
          <w:rFonts w:ascii="Times New Roman" w:hAnsi="Times New Roman"/>
        </w:rPr>
      </w:pPr>
      <w:r>
        <w:rPr>
          <w:rFonts w:ascii="Times New Roman" w:hAnsi="Times New Roman"/>
        </w:rPr>
        <w:t>Обязательная часть учебного плана определяет состав учебных предметов обязательных предметных областей и учебное время, отводимое на их изучение по классам (годам) обучения.</w:t>
      </w:r>
    </w:p>
    <w:p w14:paraId="6D7391BA">
      <w:pPr>
        <w:jc w:val="both"/>
        <w:rPr>
          <w:rFonts w:ascii="Times New Roman" w:hAnsi="Times New Roman"/>
        </w:rPr>
      </w:pPr>
      <w:r>
        <w:rPr>
          <w:rFonts w:ascii="Times New Roman" w:hAnsi="Times New Roman"/>
        </w:rPr>
        <w:t>Урочная деятельность направлена на достижение обучающимися планируемых результатов освоения программы начального общего образования с учетом обязательных для изучения учебных предметов.</w:t>
      </w:r>
    </w:p>
    <w:p w14:paraId="08B58013">
      <w:pPr>
        <w:jc w:val="both"/>
        <w:rPr>
          <w:rFonts w:ascii="Times New Roman" w:hAnsi="Times New Roman"/>
        </w:rPr>
      </w:pPr>
      <w:r>
        <w:rPr>
          <w:rFonts w:ascii="Times New Roman" w:hAnsi="Times New Roman"/>
        </w:rPr>
        <w:t>Обязательная часть учебного плана включает в себя следующие предметные области:</w:t>
      </w:r>
    </w:p>
    <w:p w14:paraId="3D02FE4A">
      <w:pPr>
        <w:widowControl/>
        <w:numPr>
          <w:ilvl w:val="0"/>
          <w:numId w:val="14"/>
        </w:numPr>
        <w:spacing w:before="100" w:beforeAutospacing="1" w:after="100" w:afterAutospacing="1" w:line="240" w:lineRule="auto"/>
        <w:ind w:left="780" w:right="180"/>
        <w:contextualSpacing/>
        <w:rPr>
          <w:rFonts w:ascii="Times New Roman" w:hAnsi="Times New Roman"/>
        </w:rPr>
      </w:pPr>
      <w:r>
        <w:rPr>
          <w:rFonts w:ascii="Times New Roman" w:hAnsi="Times New Roman"/>
        </w:rPr>
        <w:t>«Русский язык и литературное чтение».</w:t>
      </w:r>
    </w:p>
    <w:p w14:paraId="6DC116C2">
      <w:pPr>
        <w:widowControl/>
        <w:numPr>
          <w:ilvl w:val="0"/>
          <w:numId w:val="14"/>
        </w:numPr>
        <w:spacing w:before="100" w:beforeAutospacing="1" w:after="100" w:afterAutospacing="1" w:line="240" w:lineRule="auto"/>
        <w:ind w:left="780" w:right="180"/>
        <w:contextualSpacing/>
        <w:rPr>
          <w:rFonts w:ascii="Times New Roman" w:hAnsi="Times New Roman"/>
        </w:rPr>
      </w:pPr>
      <w:r>
        <w:rPr>
          <w:rFonts w:ascii="Times New Roman" w:hAnsi="Times New Roman"/>
        </w:rPr>
        <w:t>«Иностранный язык».</w:t>
      </w:r>
    </w:p>
    <w:p w14:paraId="04E0AE7F">
      <w:pPr>
        <w:widowControl/>
        <w:numPr>
          <w:ilvl w:val="0"/>
          <w:numId w:val="14"/>
        </w:numPr>
        <w:spacing w:before="100" w:beforeAutospacing="1" w:after="100" w:afterAutospacing="1" w:line="240" w:lineRule="auto"/>
        <w:ind w:left="780" w:right="180"/>
        <w:contextualSpacing/>
        <w:rPr>
          <w:rFonts w:ascii="Times New Roman" w:hAnsi="Times New Roman"/>
        </w:rPr>
      </w:pPr>
      <w:r>
        <w:rPr>
          <w:rFonts w:ascii="Times New Roman" w:hAnsi="Times New Roman"/>
        </w:rPr>
        <w:t>«Математика и информатика».</w:t>
      </w:r>
    </w:p>
    <w:p w14:paraId="3841C629">
      <w:pPr>
        <w:widowControl/>
        <w:numPr>
          <w:ilvl w:val="0"/>
          <w:numId w:val="14"/>
        </w:numPr>
        <w:spacing w:before="100" w:beforeAutospacing="1" w:after="100" w:afterAutospacing="1" w:line="240" w:lineRule="auto"/>
        <w:ind w:left="780" w:right="180"/>
        <w:contextualSpacing/>
        <w:rPr>
          <w:rFonts w:ascii="Times New Roman" w:hAnsi="Times New Roman"/>
        </w:rPr>
      </w:pPr>
      <w:r>
        <w:rPr>
          <w:rFonts w:ascii="Times New Roman" w:hAnsi="Times New Roman"/>
        </w:rPr>
        <w:t>«Обществознание и естествознание ("Окружающий мир")».</w:t>
      </w:r>
    </w:p>
    <w:p w14:paraId="4EF93246">
      <w:pPr>
        <w:widowControl/>
        <w:numPr>
          <w:ilvl w:val="0"/>
          <w:numId w:val="14"/>
        </w:numPr>
        <w:spacing w:before="100" w:beforeAutospacing="1" w:after="100" w:afterAutospacing="1" w:line="240" w:lineRule="auto"/>
        <w:ind w:left="780" w:right="180"/>
        <w:contextualSpacing/>
        <w:rPr>
          <w:rFonts w:ascii="Times New Roman" w:hAnsi="Times New Roman"/>
        </w:rPr>
      </w:pPr>
      <w:r>
        <w:rPr>
          <w:rFonts w:ascii="Times New Roman" w:hAnsi="Times New Roman"/>
        </w:rPr>
        <w:t>«Основы религиозных культур и светской этики».</w:t>
      </w:r>
    </w:p>
    <w:p w14:paraId="4D11C50A">
      <w:pPr>
        <w:widowControl/>
        <w:numPr>
          <w:ilvl w:val="0"/>
          <w:numId w:val="14"/>
        </w:numPr>
        <w:spacing w:before="100" w:beforeAutospacing="1" w:after="100" w:afterAutospacing="1" w:line="240" w:lineRule="auto"/>
        <w:ind w:left="780" w:right="180"/>
        <w:contextualSpacing/>
        <w:rPr>
          <w:rFonts w:ascii="Times New Roman" w:hAnsi="Times New Roman"/>
        </w:rPr>
      </w:pPr>
      <w:r>
        <w:rPr>
          <w:rFonts w:ascii="Times New Roman" w:hAnsi="Times New Roman"/>
        </w:rPr>
        <w:t>«Искусство».</w:t>
      </w:r>
    </w:p>
    <w:p w14:paraId="2EF361C0">
      <w:pPr>
        <w:widowControl/>
        <w:numPr>
          <w:ilvl w:val="0"/>
          <w:numId w:val="14"/>
        </w:numPr>
        <w:spacing w:before="100" w:beforeAutospacing="1" w:after="100" w:afterAutospacing="1" w:line="240" w:lineRule="auto"/>
        <w:ind w:left="780" w:right="180"/>
        <w:contextualSpacing/>
        <w:rPr>
          <w:rFonts w:ascii="Times New Roman" w:hAnsi="Times New Roman"/>
        </w:rPr>
      </w:pPr>
      <w:r>
        <w:rPr>
          <w:rFonts w:ascii="Times New Roman" w:hAnsi="Times New Roman"/>
        </w:rPr>
        <w:t>«Технология».</w:t>
      </w:r>
    </w:p>
    <w:p w14:paraId="2460A461">
      <w:pPr>
        <w:widowControl/>
        <w:numPr>
          <w:ilvl w:val="0"/>
          <w:numId w:val="14"/>
        </w:numPr>
        <w:spacing w:before="100" w:beforeAutospacing="1" w:after="100" w:afterAutospacing="1" w:line="240" w:lineRule="auto"/>
        <w:ind w:left="780" w:right="180"/>
        <w:rPr>
          <w:rFonts w:ascii="Times New Roman" w:hAnsi="Times New Roman"/>
        </w:rPr>
      </w:pPr>
      <w:r>
        <w:rPr>
          <w:rFonts w:ascii="Times New Roman" w:hAnsi="Times New Roman"/>
        </w:rPr>
        <w:t>«Физическая культура»</w:t>
      </w:r>
    </w:p>
    <w:p w14:paraId="369D0539">
      <w:pPr>
        <w:widowControl/>
        <w:numPr>
          <w:ilvl w:val="0"/>
          <w:numId w:val="14"/>
        </w:numPr>
        <w:spacing w:before="100" w:beforeAutospacing="1" w:after="100" w:afterAutospacing="1" w:line="240" w:lineRule="auto"/>
        <w:ind w:left="780" w:right="180"/>
        <w:rPr>
          <w:rFonts w:ascii="Times New Roman" w:hAnsi="Times New Roman"/>
        </w:rPr>
      </w:pPr>
      <w:r>
        <w:rPr>
          <w:rFonts w:ascii="Times New Roman" w:hAnsi="Times New Roman"/>
        </w:rPr>
        <w:t>«Родной язык и литературное чтение на родном языке».</w:t>
      </w:r>
    </w:p>
    <w:p w14:paraId="78B3F43C">
      <w:pPr>
        <w:jc w:val="both"/>
        <w:rPr>
          <w:rFonts w:ascii="Times New Roman" w:hAnsi="Times New Roman"/>
        </w:rPr>
      </w:pPr>
      <w:r>
        <w:rPr>
          <w:rFonts w:ascii="Times New Roman" w:hAnsi="Times New Roman"/>
        </w:rPr>
        <w:t xml:space="preserve">В школе языком образования является русский язык, и в соответствии с пунктом 32.1 ФГОС НОО изучение родного (чувашского) языка и литературного чтения на родном(чувашском) языке из числа языков народов Российской Федерации, государственных языков республик Российской Федерации осуществляется по заявлению родителей (законных представителей) несовершеннолетних. </w:t>
      </w:r>
    </w:p>
    <w:p w14:paraId="6695A18F">
      <w:pPr>
        <w:jc w:val="both"/>
        <w:rPr>
          <w:rFonts w:ascii="Times New Roman" w:hAnsi="Times New Roman"/>
        </w:rPr>
      </w:pPr>
      <w:r>
        <w:rPr>
          <w:rFonts w:ascii="Times New Roman" w:hAnsi="Times New Roman"/>
        </w:rPr>
        <w:t>Время, отведенное на внеурочную деятельность, не учитывается при определении максимально допустимой недельной учебной нагрузки обучающихся.</w:t>
      </w:r>
    </w:p>
    <w:p w14:paraId="2ABDC2AA">
      <w:pPr>
        <w:jc w:val="both"/>
        <w:rPr>
          <w:rFonts w:ascii="Times New Roman" w:hAnsi="Times New Roman"/>
        </w:rPr>
      </w:pPr>
      <w:r>
        <w:rPr>
          <w:rFonts w:ascii="Times New Roman" w:hAnsi="Times New Roman"/>
        </w:rPr>
        <w:t>Формы организации образовательной деятельности, чередование урочной и внеурочной деятельности при реализации основной образовательной программы начального общего образования определяет МБОУ «</w:t>
      </w:r>
      <w:r>
        <w:rPr>
          <w:rFonts w:ascii="Times New Roman" w:hAnsi="Times New Roman"/>
          <w:lang w:val="ru-RU"/>
        </w:rPr>
        <w:t>Николаевская</w:t>
      </w:r>
      <w:r>
        <w:rPr>
          <w:rFonts w:ascii="Times New Roman" w:hAnsi="Times New Roman"/>
        </w:rPr>
        <w:t xml:space="preserve"> ООШ».</w:t>
      </w:r>
    </w:p>
    <w:p w14:paraId="189BA309">
      <w:pPr>
        <w:jc w:val="both"/>
        <w:rPr>
          <w:rFonts w:ascii="Times New Roman" w:hAnsi="Times New Roman"/>
        </w:rPr>
      </w:pPr>
      <w:r>
        <w:rPr>
          <w:rFonts w:ascii="Times New Roman" w:hAnsi="Times New Roman"/>
        </w:rPr>
        <w:t>Формы организации и объем внеурочной деятельности для обучающихся при освоении ими программы начального общего образования определены в плане внеурочной деятельности с учетом образовательных потребностей и интересов обучающихся, запросов родителей (законных представителей) несовершеннолетних обучающихся, возможностей МБОУ «</w:t>
      </w:r>
      <w:r>
        <w:rPr>
          <w:rFonts w:ascii="Times New Roman" w:hAnsi="Times New Roman"/>
          <w:lang w:val="ru-RU"/>
        </w:rPr>
        <w:t>Николаевская</w:t>
      </w:r>
      <w:r>
        <w:rPr>
          <w:rFonts w:ascii="Times New Roman" w:hAnsi="Times New Roman"/>
        </w:rPr>
        <w:t xml:space="preserve"> ООШ».</w:t>
      </w:r>
    </w:p>
    <w:p w14:paraId="2F134C20">
      <w:pPr>
        <w:jc w:val="center"/>
        <w:rPr>
          <w:rFonts w:ascii="Times New Roman" w:hAnsi="Times New Roman"/>
        </w:rPr>
      </w:pPr>
      <w:r>
        <w:rPr>
          <w:rFonts w:ascii="Times New Roman" w:hAnsi="Times New Roman"/>
          <w:b/>
          <w:bCs/>
        </w:rPr>
        <w:t>Формы промежуточной аттестации</w:t>
      </w:r>
    </w:p>
    <w:p w14:paraId="6D34D069">
      <w:pPr>
        <w:jc w:val="both"/>
        <w:rPr>
          <w:rFonts w:ascii="Times New Roman" w:hAnsi="Times New Roman"/>
        </w:rPr>
      </w:pPr>
      <w:r>
        <w:rPr>
          <w:rFonts w:ascii="Times New Roman" w:hAnsi="Times New Roman"/>
        </w:rPr>
        <w:t>Учебный план определяет формы проведения промежуточной аттестации в соответствии с ФОП НОО, утвержденной приказом Минпросвещения от 18.05.2023 № 372, и «Положением о текущем контроле и промежуточной аттестации» МБОУ «</w:t>
      </w:r>
      <w:r>
        <w:rPr>
          <w:rFonts w:ascii="Times New Roman" w:hAnsi="Times New Roman"/>
          <w:lang w:val="ru-RU"/>
        </w:rPr>
        <w:t>Николаевская</w:t>
      </w:r>
      <w:r>
        <w:rPr>
          <w:rFonts w:ascii="Times New Roman" w:hAnsi="Times New Roman"/>
        </w:rPr>
        <w:t xml:space="preserve"> ООШ»</w:t>
      </w:r>
    </w:p>
    <w:p w14:paraId="4195F83E">
      <w:pPr>
        <w:jc w:val="both"/>
        <w:rPr>
          <w:rFonts w:ascii="Times New Roman" w:hAnsi="Times New Roman"/>
        </w:rPr>
      </w:pPr>
      <w:r>
        <w:rPr>
          <w:rFonts w:ascii="Times New Roman" w:hAnsi="Times New Roman"/>
        </w:rPr>
        <w:t>В 1-м классе промежуточная аттестация не проводится. Промежуточная аттестация обучающихся проводится начиная с 2-го класса в конце каждого учебного периода по каждому изучаемому учебному предмету. Промежуточная аттестация обучающихся проводится на основе результатов накопленной оценки и результатов выполнения тематических проверочных работ и фиксируется в электронном журнале.</w:t>
      </w:r>
    </w:p>
    <w:p w14:paraId="389C4034">
      <w:pPr>
        <w:jc w:val="both"/>
        <w:rPr>
          <w:rFonts w:ascii="Times New Roman" w:hAnsi="Times New Roman"/>
        </w:rPr>
      </w:pPr>
      <w:r>
        <w:rPr>
          <w:rFonts w:ascii="Times New Roman" w:hAnsi="Times New Roman"/>
        </w:rPr>
        <w:t>По итогам промежуточной аттестации обучающемуся выставляется промежуточная оценка, которая фиксирует достижение предметных планируемых результатов и универсальных учебных действий. По учебным предметам «Русский язык», «Литературное чтение», «Математика», «Окружающий мир» промежуточная оценка выставляется с учетом степени значимости отметок за тематические проверочные работы.</w:t>
      </w:r>
    </w:p>
    <w:p w14:paraId="2EDA86C9">
      <w:pPr>
        <w:jc w:val="both"/>
        <w:rPr>
          <w:rFonts w:ascii="Times New Roman" w:hAnsi="Times New Roman"/>
        </w:rPr>
      </w:pPr>
      <w:r>
        <w:rPr>
          <w:rFonts w:ascii="Times New Roman" w:hAnsi="Times New Roman"/>
        </w:rPr>
        <w:t>Промежуточная оценка является основанием для перевода обучающихся в следующий класс.</w:t>
      </w:r>
    </w:p>
    <w:p w14:paraId="6072C6D3">
      <w:pPr>
        <w:jc w:val="both"/>
        <w:rPr>
          <w:rFonts w:ascii="Times New Roman" w:hAnsi="Times New Roman"/>
        </w:rPr>
      </w:pPr>
      <w:r>
        <w:rPr>
          <w:rFonts w:ascii="Times New Roman" w:hAnsi="Times New Roman"/>
        </w:rPr>
        <w:t>Формы промежуточной аттестации для учебных предметов, учебных и внеурочных курсов, учебных модулей представлены в таблице:</w:t>
      </w:r>
    </w:p>
    <w:tbl>
      <w:tblPr>
        <w:tblStyle w:val="13"/>
        <w:tblW w:w="0" w:type="auto"/>
        <w:tblInd w:w="0" w:type="dxa"/>
        <w:tblLayout w:type="autofit"/>
        <w:tblCellMar>
          <w:top w:w="15" w:type="dxa"/>
          <w:left w:w="15" w:type="dxa"/>
          <w:bottom w:w="15" w:type="dxa"/>
          <w:right w:w="15" w:type="dxa"/>
        </w:tblCellMar>
      </w:tblPr>
      <w:tblGrid>
        <w:gridCol w:w="3047"/>
        <w:gridCol w:w="791"/>
        <w:gridCol w:w="6398"/>
      </w:tblGrid>
      <w:tr w14:paraId="47008DF2">
        <w:tc>
          <w:tcPr>
            <w:tcW w:w="0" w:type="auto"/>
            <w:tcBorders>
              <w:top w:val="single" w:color="000000" w:sz="6" w:space="0"/>
              <w:left w:val="single" w:color="000000" w:sz="6" w:space="0"/>
              <w:bottom w:val="single" w:color="000000" w:sz="6" w:space="0"/>
              <w:right w:val="single" w:color="000000" w:sz="6" w:space="0"/>
            </w:tcBorders>
            <w:vAlign w:val="center"/>
          </w:tcPr>
          <w:p w14:paraId="2EA8804C">
            <w:pPr>
              <w:jc w:val="center"/>
              <w:rPr>
                <w:rFonts w:ascii="Times New Roman" w:hAnsi="Times New Roman"/>
                <w:b/>
                <w:bCs/>
              </w:rPr>
            </w:pPr>
            <w:r>
              <w:rPr>
                <w:rFonts w:ascii="Times New Roman" w:hAnsi="Times New Roman"/>
                <w:b/>
                <w:bCs/>
              </w:rPr>
              <w:t>Предметы, курсы, модули</w:t>
            </w:r>
          </w:p>
        </w:tc>
        <w:tc>
          <w:tcPr>
            <w:tcW w:w="0" w:type="auto"/>
            <w:tcBorders>
              <w:top w:val="single" w:color="000000" w:sz="6" w:space="0"/>
              <w:left w:val="single" w:color="000000" w:sz="6" w:space="0"/>
              <w:bottom w:val="single" w:color="000000" w:sz="6" w:space="0"/>
              <w:right w:val="single" w:color="000000" w:sz="6" w:space="0"/>
            </w:tcBorders>
            <w:vAlign w:val="center"/>
          </w:tcPr>
          <w:p w14:paraId="5E10270A">
            <w:pPr>
              <w:jc w:val="center"/>
              <w:rPr>
                <w:rFonts w:ascii="Times New Roman" w:hAnsi="Times New Roman"/>
                <w:b/>
                <w:bCs/>
              </w:rPr>
            </w:pPr>
            <w:r>
              <w:rPr>
                <w:rFonts w:ascii="Times New Roman" w:hAnsi="Times New Roman"/>
                <w:b/>
                <w:bCs/>
              </w:rPr>
              <w:t>Классы</w:t>
            </w:r>
          </w:p>
        </w:tc>
        <w:tc>
          <w:tcPr>
            <w:tcW w:w="0" w:type="auto"/>
            <w:tcBorders>
              <w:top w:val="single" w:color="000000" w:sz="6" w:space="0"/>
              <w:left w:val="single" w:color="000000" w:sz="6" w:space="0"/>
              <w:bottom w:val="single" w:color="000000" w:sz="6" w:space="0"/>
              <w:right w:val="single" w:color="000000" w:sz="6" w:space="0"/>
            </w:tcBorders>
            <w:vAlign w:val="center"/>
          </w:tcPr>
          <w:p w14:paraId="160A46E0">
            <w:pPr>
              <w:jc w:val="center"/>
              <w:rPr>
                <w:rFonts w:ascii="Times New Roman" w:hAnsi="Times New Roman"/>
                <w:b/>
                <w:bCs/>
              </w:rPr>
            </w:pPr>
            <w:r>
              <w:rPr>
                <w:rFonts w:ascii="Times New Roman" w:hAnsi="Times New Roman"/>
                <w:b/>
                <w:bCs/>
              </w:rPr>
              <w:t>Формы промежуточной аттестации</w:t>
            </w:r>
          </w:p>
        </w:tc>
      </w:tr>
      <w:tr w14:paraId="0CC0DDDD">
        <w:tblPrEx>
          <w:tblCellMar>
            <w:top w:w="15" w:type="dxa"/>
            <w:left w:w="15" w:type="dxa"/>
            <w:bottom w:w="15" w:type="dxa"/>
            <w:right w:w="15" w:type="dxa"/>
          </w:tblCellMar>
        </w:tblPrEx>
        <w:tc>
          <w:tcPr>
            <w:tcW w:w="0" w:type="auto"/>
            <w:vMerge w:val="restart"/>
            <w:tcBorders>
              <w:top w:val="single" w:color="000000" w:sz="6" w:space="0"/>
              <w:left w:val="single" w:color="000000" w:sz="6" w:space="0"/>
              <w:bottom w:val="single" w:color="000000" w:sz="6" w:space="0"/>
              <w:right w:val="single" w:color="000000" w:sz="6" w:space="0"/>
            </w:tcBorders>
            <w:tcMar>
              <w:top w:w="75" w:type="dxa"/>
              <w:left w:w="75" w:type="dxa"/>
              <w:bottom w:w="75" w:type="dxa"/>
              <w:right w:w="75" w:type="dxa"/>
            </w:tcMar>
          </w:tcPr>
          <w:p w14:paraId="5133228B">
            <w:pPr>
              <w:rPr>
                <w:rFonts w:ascii="Times New Roman" w:hAnsi="Times New Roman"/>
              </w:rPr>
            </w:pPr>
            <w:r>
              <w:rPr>
                <w:rFonts w:ascii="Times New Roman" w:hAnsi="Times New Roman"/>
              </w:rPr>
              <w:t>Русский язык</w:t>
            </w:r>
          </w:p>
        </w:tc>
        <w:tc>
          <w:tcPr>
            <w:tcW w:w="0" w:type="auto"/>
            <w:tcBorders>
              <w:top w:val="single" w:color="000000" w:sz="6" w:space="0"/>
              <w:left w:val="single" w:color="000000" w:sz="6" w:space="0"/>
              <w:bottom w:val="single" w:color="000000" w:sz="6" w:space="0"/>
              <w:right w:val="single" w:color="000000" w:sz="6" w:space="0"/>
            </w:tcBorders>
            <w:tcMar>
              <w:top w:w="75" w:type="dxa"/>
              <w:left w:w="75" w:type="dxa"/>
              <w:bottom w:w="75" w:type="dxa"/>
              <w:right w:w="75" w:type="dxa"/>
            </w:tcMar>
          </w:tcPr>
          <w:p w14:paraId="16878557">
            <w:pPr>
              <w:rPr>
                <w:rFonts w:ascii="Times New Roman" w:hAnsi="Times New Roman"/>
              </w:rPr>
            </w:pPr>
            <w:r>
              <w:rPr>
                <w:rFonts w:ascii="Times New Roman" w:hAnsi="Times New Roman"/>
              </w:rPr>
              <w:t>2–4-й</w:t>
            </w:r>
          </w:p>
        </w:tc>
        <w:tc>
          <w:tcPr>
            <w:tcW w:w="0" w:type="auto"/>
            <w:tcBorders>
              <w:top w:val="single" w:color="000000" w:sz="6" w:space="0"/>
              <w:left w:val="single" w:color="000000" w:sz="6" w:space="0"/>
              <w:bottom w:val="single" w:color="000000" w:sz="6" w:space="0"/>
              <w:right w:val="single" w:color="000000" w:sz="6" w:space="0"/>
            </w:tcBorders>
            <w:tcMar>
              <w:top w:w="75" w:type="dxa"/>
              <w:left w:w="75" w:type="dxa"/>
              <w:bottom w:w="75" w:type="dxa"/>
              <w:right w:w="75" w:type="dxa"/>
            </w:tcMar>
          </w:tcPr>
          <w:p w14:paraId="6862834F">
            <w:pPr>
              <w:rPr>
                <w:rFonts w:ascii="Times New Roman" w:hAnsi="Times New Roman"/>
              </w:rPr>
            </w:pPr>
            <w:r>
              <w:rPr>
                <w:rFonts w:ascii="Times New Roman" w:hAnsi="Times New Roman"/>
              </w:rPr>
              <w:t>Среднее арифметическое накопленных текущих оценок и результатов выполнения тематических проверочных работ</w:t>
            </w:r>
          </w:p>
        </w:tc>
      </w:tr>
      <w:tr w14:paraId="559CFDB5">
        <w:tblPrEx>
          <w:tblCellMar>
            <w:top w:w="15" w:type="dxa"/>
            <w:left w:w="15" w:type="dxa"/>
            <w:bottom w:w="15" w:type="dxa"/>
            <w:right w:w="15" w:type="dxa"/>
          </w:tblCellMar>
        </w:tblPrEx>
        <w:tc>
          <w:tcPr>
            <w:tcW w:w="0" w:type="auto"/>
            <w:vMerge w:val="restart"/>
            <w:tcBorders>
              <w:top w:val="single" w:color="000000" w:sz="6" w:space="0"/>
              <w:left w:val="single" w:color="000000" w:sz="6" w:space="0"/>
              <w:bottom w:val="single" w:color="000000" w:sz="6" w:space="0"/>
              <w:right w:val="single" w:color="000000" w:sz="6" w:space="0"/>
            </w:tcBorders>
            <w:tcMar>
              <w:top w:w="75" w:type="dxa"/>
              <w:left w:w="75" w:type="dxa"/>
              <w:bottom w:w="75" w:type="dxa"/>
              <w:right w:w="75" w:type="dxa"/>
            </w:tcMar>
          </w:tcPr>
          <w:p w14:paraId="451C2AC5">
            <w:pPr>
              <w:rPr>
                <w:rFonts w:ascii="Times New Roman" w:hAnsi="Times New Roman"/>
              </w:rPr>
            </w:pPr>
            <w:r>
              <w:rPr>
                <w:rFonts w:ascii="Times New Roman" w:hAnsi="Times New Roman"/>
              </w:rPr>
              <w:t>Литературное чтение</w:t>
            </w:r>
            <w:r>
              <w:rPr>
                <w:rFonts w:ascii="Times New Roman" w:hAnsi="Times New Roman"/>
              </w:rPr>
              <w:br w:type="textWrapping"/>
            </w:r>
            <w:r>
              <w:rPr>
                <w:rFonts w:ascii="Times New Roman" w:hAnsi="Times New Roman"/>
              </w:rPr>
              <w:t> </w:t>
            </w:r>
          </w:p>
        </w:tc>
        <w:tc>
          <w:tcPr>
            <w:tcW w:w="0" w:type="auto"/>
            <w:tcBorders>
              <w:top w:val="single" w:color="000000" w:sz="6" w:space="0"/>
              <w:left w:val="single" w:color="000000" w:sz="6" w:space="0"/>
              <w:bottom w:val="single" w:color="000000" w:sz="6" w:space="0"/>
              <w:right w:val="single" w:color="000000" w:sz="6" w:space="0"/>
            </w:tcBorders>
            <w:tcMar>
              <w:top w:w="75" w:type="dxa"/>
              <w:left w:w="75" w:type="dxa"/>
              <w:bottom w:w="75" w:type="dxa"/>
              <w:right w:w="75" w:type="dxa"/>
            </w:tcMar>
          </w:tcPr>
          <w:p w14:paraId="4B3861F1">
            <w:pPr>
              <w:rPr>
                <w:rFonts w:ascii="Times New Roman" w:hAnsi="Times New Roman"/>
              </w:rPr>
            </w:pPr>
            <w:r>
              <w:rPr>
                <w:rFonts w:ascii="Times New Roman" w:hAnsi="Times New Roman"/>
              </w:rPr>
              <w:t>2–4-й</w:t>
            </w:r>
          </w:p>
        </w:tc>
        <w:tc>
          <w:tcPr>
            <w:tcW w:w="0" w:type="auto"/>
            <w:tcBorders>
              <w:top w:val="single" w:color="000000" w:sz="6" w:space="0"/>
              <w:left w:val="single" w:color="000000" w:sz="6" w:space="0"/>
              <w:bottom w:val="single" w:color="000000" w:sz="6" w:space="0"/>
              <w:right w:val="single" w:color="000000" w:sz="6" w:space="0"/>
            </w:tcBorders>
            <w:tcMar>
              <w:top w:w="75" w:type="dxa"/>
              <w:left w:w="75" w:type="dxa"/>
              <w:bottom w:w="75" w:type="dxa"/>
              <w:right w:w="75" w:type="dxa"/>
            </w:tcMar>
          </w:tcPr>
          <w:p w14:paraId="4CC43846">
            <w:pPr>
              <w:rPr>
                <w:rFonts w:ascii="Times New Roman" w:hAnsi="Times New Roman"/>
              </w:rPr>
            </w:pPr>
            <w:r>
              <w:rPr>
                <w:rFonts w:ascii="Times New Roman" w:hAnsi="Times New Roman"/>
              </w:rPr>
              <w:t>Среднее арифметическое накопленных текущих оценок и результатов выполнения тематических проверочных работ</w:t>
            </w:r>
          </w:p>
        </w:tc>
      </w:tr>
      <w:tr w14:paraId="512AFA99">
        <w:tblPrEx>
          <w:tblCellMar>
            <w:top w:w="15" w:type="dxa"/>
            <w:left w:w="15" w:type="dxa"/>
            <w:bottom w:w="15" w:type="dxa"/>
            <w:right w:w="15" w:type="dxa"/>
          </w:tblCellMar>
        </w:tblPrEx>
        <w:tc>
          <w:tcPr>
            <w:tcW w:w="0" w:type="auto"/>
            <w:tcBorders>
              <w:top w:val="single" w:color="000000" w:sz="6" w:space="0"/>
              <w:left w:val="single" w:color="000000" w:sz="6" w:space="0"/>
              <w:bottom w:val="single" w:color="000000" w:sz="6" w:space="0"/>
              <w:right w:val="single" w:color="000000" w:sz="6" w:space="0"/>
            </w:tcBorders>
            <w:tcMar>
              <w:top w:w="75" w:type="dxa"/>
              <w:left w:w="75" w:type="dxa"/>
              <w:bottom w:w="75" w:type="dxa"/>
              <w:right w:w="75" w:type="dxa"/>
            </w:tcMar>
            <w:vAlign w:val="center"/>
          </w:tcPr>
          <w:p w14:paraId="0CAA6940">
            <w:pPr>
              <w:rPr>
                <w:rFonts w:ascii="Times New Roman" w:hAnsi="Times New Roman"/>
              </w:rPr>
            </w:pPr>
            <w:r>
              <w:rPr>
                <w:rFonts w:ascii="Times New Roman" w:hAnsi="Times New Roman"/>
              </w:rPr>
              <w:t>Иностранный язык (английский)</w:t>
            </w:r>
          </w:p>
        </w:tc>
        <w:tc>
          <w:tcPr>
            <w:tcW w:w="0" w:type="auto"/>
            <w:tcBorders>
              <w:top w:val="single" w:color="000000" w:sz="6" w:space="0"/>
              <w:left w:val="single" w:color="000000" w:sz="6" w:space="0"/>
              <w:bottom w:val="single" w:color="000000" w:sz="6" w:space="0"/>
              <w:right w:val="single" w:color="000000" w:sz="6" w:space="0"/>
            </w:tcBorders>
            <w:tcMar>
              <w:top w:w="75" w:type="dxa"/>
              <w:left w:w="75" w:type="dxa"/>
              <w:bottom w:w="75" w:type="dxa"/>
              <w:right w:w="75" w:type="dxa"/>
            </w:tcMar>
          </w:tcPr>
          <w:p w14:paraId="114328A6">
            <w:pPr>
              <w:rPr>
                <w:rFonts w:ascii="Times New Roman" w:hAnsi="Times New Roman"/>
              </w:rPr>
            </w:pPr>
            <w:r>
              <w:rPr>
                <w:rFonts w:ascii="Times New Roman" w:hAnsi="Times New Roman"/>
              </w:rPr>
              <w:t>2–4-й</w:t>
            </w:r>
          </w:p>
        </w:tc>
        <w:tc>
          <w:tcPr>
            <w:tcW w:w="0" w:type="auto"/>
            <w:tcBorders>
              <w:top w:val="single" w:color="000000" w:sz="6" w:space="0"/>
              <w:left w:val="single" w:color="000000" w:sz="6" w:space="0"/>
              <w:bottom w:val="single" w:color="000000" w:sz="6" w:space="0"/>
              <w:right w:val="single" w:color="000000" w:sz="6" w:space="0"/>
            </w:tcBorders>
            <w:tcMar>
              <w:top w:w="75" w:type="dxa"/>
              <w:left w:w="75" w:type="dxa"/>
              <w:bottom w:w="75" w:type="dxa"/>
              <w:right w:w="75" w:type="dxa"/>
            </w:tcMar>
          </w:tcPr>
          <w:p w14:paraId="2D999E73">
            <w:pPr>
              <w:rPr>
                <w:rFonts w:ascii="Times New Roman" w:hAnsi="Times New Roman"/>
              </w:rPr>
            </w:pPr>
            <w:r>
              <w:rPr>
                <w:rFonts w:ascii="Times New Roman" w:hAnsi="Times New Roman"/>
              </w:rPr>
              <w:t>Среднее арифметическое накопленных текущих оценок и результатов выполнения тематических проверочных работ</w:t>
            </w:r>
          </w:p>
        </w:tc>
      </w:tr>
      <w:tr w14:paraId="72EC99F9">
        <w:tblPrEx>
          <w:tblCellMar>
            <w:top w:w="15" w:type="dxa"/>
            <w:left w:w="15" w:type="dxa"/>
            <w:bottom w:w="15" w:type="dxa"/>
            <w:right w:w="15" w:type="dxa"/>
          </w:tblCellMar>
        </w:tblPrEx>
        <w:tc>
          <w:tcPr>
            <w:tcW w:w="0" w:type="auto"/>
            <w:vMerge w:val="restart"/>
            <w:tcBorders>
              <w:top w:val="single" w:color="000000" w:sz="6" w:space="0"/>
              <w:left w:val="single" w:color="000000" w:sz="6" w:space="0"/>
              <w:bottom w:val="single" w:color="000000" w:sz="6" w:space="0"/>
              <w:right w:val="single" w:color="000000" w:sz="6" w:space="0"/>
            </w:tcBorders>
            <w:tcMar>
              <w:top w:w="75" w:type="dxa"/>
              <w:left w:w="75" w:type="dxa"/>
              <w:bottom w:w="75" w:type="dxa"/>
              <w:right w:w="75" w:type="dxa"/>
            </w:tcMar>
            <w:vAlign w:val="center"/>
          </w:tcPr>
          <w:p w14:paraId="43368983">
            <w:pPr>
              <w:rPr>
                <w:rFonts w:ascii="Times New Roman" w:hAnsi="Times New Roman"/>
              </w:rPr>
            </w:pPr>
            <w:r>
              <w:rPr>
                <w:rFonts w:ascii="Times New Roman" w:hAnsi="Times New Roman"/>
              </w:rPr>
              <w:t>Математика</w:t>
            </w:r>
          </w:p>
        </w:tc>
        <w:tc>
          <w:tcPr>
            <w:tcW w:w="0" w:type="auto"/>
            <w:tcBorders>
              <w:top w:val="single" w:color="000000" w:sz="6" w:space="0"/>
              <w:left w:val="single" w:color="000000" w:sz="6" w:space="0"/>
              <w:bottom w:val="single" w:color="000000" w:sz="6" w:space="0"/>
              <w:right w:val="single" w:color="000000" w:sz="6" w:space="0"/>
            </w:tcBorders>
            <w:tcMar>
              <w:top w:w="75" w:type="dxa"/>
              <w:left w:w="75" w:type="dxa"/>
              <w:bottom w:w="75" w:type="dxa"/>
              <w:right w:w="75" w:type="dxa"/>
            </w:tcMar>
          </w:tcPr>
          <w:p w14:paraId="34CCB45A">
            <w:pPr>
              <w:rPr>
                <w:rFonts w:ascii="Times New Roman" w:hAnsi="Times New Roman"/>
              </w:rPr>
            </w:pPr>
            <w:r>
              <w:rPr>
                <w:rFonts w:ascii="Times New Roman" w:hAnsi="Times New Roman"/>
              </w:rPr>
              <w:t>2–4-й</w:t>
            </w:r>
          </w:p>
        </w:tc>
        <w:tc>
          <w:tcPr>
            <w:tcW w:w="0" w:type="auto"/>
            <w:tcBorders>
              <w:top w:val="single" w:color="000000" w:sz="6" w:space="0"/>
              <w:left w:val="single" w:color="000000" w:sz="6" w:space="0"/>
              <w:bottom w:val="single" w:color="000000" w:sz="6" w:space="0"/>
              <w:right w:val="single" w:color="000000" w:sz="6" w:space="0"/>
            </w:tcBorders>
            <w:tcMar>
              <w:top w:w="75" w:type="dxa"/>
              <w:left w:w="75" w:type="dxa"/>
              <w:bottom w:w="75" w:type="dxa"/>
              <w:right w:w="75" w:type="dxa"/>
            </w:tcMar>
          </w:tcPr>
          <w:p w14:paraId="2005D10A">
            <w:pPr>
              <w:rPr>
                <w:rFonts w:ascii="Times New Roman" w:hAnsi="Times New Roman"/>
              </w:rPr>
            </w:pPr>
            <w:r>
              <w:rPr>
                <w:rFonts w:ascii="Times New Roman" w:hAnsi="Times New Roman"/>
              </w:rPr>
              <w:t>Среднее арифметическое накопленных текущих оценок и результатов выполнения тематических проверочных работ</w:t>
            </w:r>
          </w:p>
        </w:tc>
      </w:tr>
      <w:tr w14:paraId="0FBCC597">
        <w:tblPrEx>
          <w:tblCellMar>
            <w:top w:w="15" w:type="dxa"/>
            <w:left w:w="15" w:type="dxa"/>
            <w:bottom w:w="15" w:type="dxa"/>
            <w:right w:w="15" w:type="dxa"/>
          </w:tblCellMar>
        </w:tblPrEx>
        <w:tc>
          <w:tcPr>
            <w:tcW w:w="0" w:type="auto"/>
            <w:vMerge w:val="restart"/>
            <w:tcBorders>
              <w:top w:val="single" w:color="000000" w:sz="6" w:space="0"/>
              <w:left w:val="single" w:color="000000" w:sz="6" w:space="0"/>
              <w:bottom w:val="single" w:color="000000" w:sz="6" w:space="0"/>
              <w:right w:val="single" w:color="000000" w:sz="6" w:space="0"/>
            </w:tcBorders>
            <w:tcMar>
              <w:top w:w="75" w:type="dxa"/>
              <w:left w:w="75" w:type="dxa"/>
              <w:bottom w:w="75" w:type="dxa"/>
              <w:right w:w="75" w:type="dxa"/>
            </w:tcMar>
            <w:vAlign w:val="center"/>
          </w:tcPr>
          <w:p w14:paraId="35EE05B4">
            <w:pPr>
              <w:rPr>
                <w:rFonts w:ascii="Times New Roman" w:hAnsi="Times New Roman"/>
              </w:rPr>
            </w:pPr>
            <w:r>
              <w:rPr>
                <w:rFonts w:ascii="Times New Roman" w:hAnsi="Times New Roman"/>
              </w:rPr>
              <w:t>Окружающий мир</w:t>
            </w:r>
          </w:p>
        </w:tc>
        <w:tc>
          <w:tcPr>
            <w:tcW w:w="0" w:type="auto"/>
            <w:tcBorders>
              <w:top w:val="single" w:color="000000" w:sz="6" w:space="0"/>
              <w:left w:val="single" w:color="000000" w:sz="6" w:space="0"/>
              <w:bottom w:val="single" w:color="000000" w:sz="6" w:space="0"/>
              <w:right w:val="single" w:color="000000" w:sz="6" w:space="0"/>
            </w:tcBorders>
            <w:tcMar>
              <w:top w:w="75" w:type="dxa"/>
              <w:left w:w="75" w:type="dxa"/>
              <w:bottom w:w="75" w:type="dxa"/>
              <w:right w:w="75" w:type="dxa"/>
            </w:tcMar>
          </w:tcPr>
          <w:p w14:paraId="24D15CA9">
            <w:pPr>
              <w:rPr>
                <w:rFonts w:ascii="Times New Roman" w:hAnsi="Times New Roman"/>
              </w:rPr>
            </w:pPr>
            <w:r>
              <w:rPr>
                <w:rFonts w:ascii="Times New Roman" w:hAnsi="Times New Roman"/>
              </w:rPr>
              <w:t>2–4-й</w:t>
            </w:r>
          </w:p>
        </w:tc>
        <w:tc>
          <w:tcPr>
            <w:tcW w:w="0" w:type="auto"/>
            <w:tcBorders>
              <w:top w:val="single" w:color="000000" w:sz="6" w:space="0"/>
              <w:left w:val="single" w:color="000000" w:sz="6" w:space="0"/>
              <w:bottom w:val="single" w:color="000000" w:sz="6" w:space="0"/>
              <w:right w:val="single" w:color="000000" w:sz="6" w:space="0"/>
            </w:tcBorders>
            <w:tcMar>
              <w:top w:w="75" w:type="dxa"/>
              <w:left w:w="75" w:type="dxa"/>
              <w:bottom w:w="75" w:type="dxa"/>
              <w:right w:w="75" w:type="dxa"/>
            </w:tcMar>
          </w:tcPr>
          <w:p w14:paraId="38C64F5C">
            <w:pPr>
              <w:rPr>
                <w:rFonts w:ascii="Times New Roman" w:hAnsi="Times New Roman"/>
              </w:rPr>
            </w:pPr>
            <w:r>
              <w:rPr>
                <w:rFonts w:ascii="Times New Roman" w:hAnsi="Times New Roman"/>
              </w:rPr>
              <w:t>Среднее арифметическое накопленных текущих оценок и результатов выполнения тематических проверочных работ</w:t>
            </w:r>
          </w:p>
        </w:tc>
      </w:tr>
      <w:tr w14:paraId="58552DC8">
        <w:tblPrEx>
          <w:tblCellMar>
            <w:top w:w="15" w:type="dxa"/>
            <w:left w:w="15" w:type="dxa"/>
            <w:bottom w:w="15" w:type="dxa"/>
            <w:right w:w="15" w:type="dxa"/>
          </w:tblCellMar>
        </w:tblPrEx>
        <w:tc>
          <w:tcPr>
            <w:tcW w:w="0" w:type="auto"/>
            <w:tcBorders>
              <w:top w:val="single" w:color="000000" w:sz="6" w:space="0"/>
              <w:left w:val="single" w:color="000000" w:sz="6" w:space="0"/>
              <w:bottom w:val="single" w:color="000000" w:sz="6" w:space="0"/>
              <w:right w:val="single" w:color="000000" w:sz="6" w:space="0"/>
            </w:tcBorders>
            <w:tcMar>
              <w:top w:w="75" w:type="dxa"/>
              <w:left w:w="75" w:type="dxa"/>
              <w:bottom w:w="75" w:type="dxa"/>
              <w:right w:w="75" w:type="dxa"/>
            </w:tcMar>
            <w:vAlign w:val="center"/>
          </w:tcPr>
          <w:p w14:paraId="3790A6DD">
            <w:pPr>
              <w:rPr>
                <w:rFonts w:ascii="Times New Roman" w:hAnsi="Times New Roman"/>
              </w:rPr>
            </w:pPr>
            <w:r>
              <w:rPr>
                <w:rFonts w:ascii="Times New Roman" w:hAnsi="Times New Roman"/>
              </w:rPr>
              <w:t>Основы религиозных культур и светской этики</w:t>
            </w:r>
          </w:p>
        </w:tc>
        <w:tc>
          <w:tcPr>
            <w:tcW w:w="0" w:type="auto"/>
            <w:tcBorders>
              <w:top w:val="single" w:color="000000" w:sz="6" w:space="0"/>
              <w:left w:val="single" w:color="000000" w:sz="6" w:space="0"/>
              <w:bottom w:val="single" w:color="000000" w:sz="6" w:space="0"/>
              <w:right w:val="single" w:color="000000" w:sz="6" w:space="0"/>
            </w:tcBorders>
            <w:tcMar>
              <w:top w:w="75" w:type="dxa"/>
              <w:left w:w="75" w:type="dxa"/>
              <w:bottom w:w="75" w:type="dxa"/>
              <w:right w:w="75" w:type="dxa"/>
            </w:tcMar>
          </w:tcPr>
          <w:p w14:paraId="69512200">
            <w:pPr>
              <w:rPr>
                <w:rFonts w:ascii="Times New Roman" w:hAnsi="Times New Roman"/>
              </w:rPr>
            </w:pPr>
            <w:r>
              <w:rPr>
                <w:rFonts w:ascii="Times New Roman" w:hAnsi="Times New Roman"/>
              </w:rPr>
              <w:t>4-й</w:t>
            </w:r>
          </w:p>
        </w:tc>
        <w:tc>
          <w:tcPr>
            <w:tcW w:w="0" w:type="auto"/>
            <w:tcBorders>
              <w:top w:val="single" w:color="000000" w:sz="6" w:space="0"/>
              <w:left w:val="single" w:color="000000" w:sz="6" w:space="0"/>
              <w:bottom w:val="single" w:color="000000" w:sz="6" w:space="0"/>
              <w:right w:val="single" w:color="000000" w:sz="6" w:space="0"/>
            </w:tcBorders>
            <w:tcMar>
              <w:top w:w="75" w:type="dxa"/>
              <w:left w:w="75" w:type="dxa"/>
              <w:bottom w:w="75" w:type="dxa"/>
              <w:right w:w="75" w:type="dxa"/>
            </w:tcMar>
          </w:tcPr>
          <w:p w14:paraId="6E484496">
            <w:pPr>
              <w:rPr>
                <w:rFonts w:ascii="Times New Roman" w:hAnsi="Times New Roman"/>
              </w:rPr>
            </w:pPr>
            <w:r>
              <w:rPr>
                <w:rFonts w:ascii="Times New Roman" w:hAnsi="Times New Roman"/>
              </w:rPr>
              <w:t>Педагогическое наблюдение</w:t>
            </w:r>
          </w:p>
        </w:tc>
      </w:tr>
      <w:tr w14:paraId="08ACBFA7">
        <w:tblPrEx>
          <w:tblCellMar>
            <w:top w:w="15" w:type="dxa"/>
            <w:left w:w="15" w:type="dxa"/>
            <w:bottom w:w="15" w:type="dxa"/>
            <w:right w:w="15" w:type="dxa"/>
          </w:tblCellMar>
        </w:tblPrEx>
        <w:tc>
          <w:tcPr>
            <w:tcW w:w="0" w:type="auto"/>
            <w:vMerge w:val="restart"/>
            <w:tcBorders>
              <w:top w:val="single" w:color="000000" w:sz="6" w:space="0"/>
              <w:left w:val="single" w:color="000000" w:sz="6" w:space="0"/>
              <w:bottom w:val="single" w:color="000000" w:sz="6" w:space="0"/>
              <w:right w:val="single" w:color="000000" w:sz="6" w:space="0"/>
            </w:tcBorders>
            <w:tcMar>
              <w:top w:w="75" w:type="dxa"/>
              <w:left w:w="75" w:type="dxa"/>
              <w:bottom w:w="75" w:type="dxa"/>
              <w:right w:w="75" w:type="dxa"/>
            </w:tcMar>
            <w:vAlign w:val="center"/>
          </w:tcPr>
          <w:p w14:paraId="1419720B">
            <w:pPr>
              <w:rPr>
                <w:rFonts w:ascii="Times New Roman" w:hAnsi="Times New Roman"/>
              </w:rPr>
            </w:pPr>
            <w:r>
              <w:rPr>
                <w:rFonts w:ascii="Times New Roman" w:hAnsi="Times New Roman"/>
              </w:rPr>
              <w:t>Изобразительное искусство</w:t>
            </w:r>
          </w:p>
        </w:tc>
        <w:tc>
          <w:tcPr>
            <w:tcW w:w="0" w:type="auto"/>
            <w:tcBorders>
              <w:top w:val="single" w:color="000000" w:sz="6" w:space="0"/>
              <w:left w:val="single" w:color="000000" w:sz="6" w:space="0"/>
              <w:bottom w:val="single" w:color="000000" w:sz="6" w:space="0"/>
              <w:right w:val="single" w:color="000000" w:sz="6" w:space="0"/>
            </w:tcBorders>
            <w:tcMar>
              <w:top w:w="75" w:type="dxa"/>
              <w:left w:w="75" w:type="dxa"/>
              <w:bottom w:w="75" w:type="dxa"/>
              <w:right w:w="75" w:type="dxa"/>
            </w:tcMar>
          </w:tcPr>
          <w:p w14:paraId="517A8220">
            <w:pPr>
              <w:rPr>
                <w:rFonts w:ascii="Times New Roman" w:hAnsi="Times New Roman"/>
              </w:rPr>
            </w:pPr>
            <w:r>
              <w:rPr>
                <w:rFonts w:ascii="Times New Roman" w:hAnsi="Times New Roman"/>
              </w:rPr>
              <w:t>2–4-й</w:t>
            </w:r>
          </w:p>
        </w:tc>
        <w:tc>
          <w:tcPr>
            <w:tcW w:w="0" w:type="auto"/>
            <w:tcBorders>
              <w:top w:val="single" w:color="000000" w:sz="6" w:space="0"/>
              <w:left w:val="single" w:color="000000" w:sz="6" w:space="0"/>
              <w:bottom w:val="single" w:color="000000" w:sz="6" w:space="0"/>
              <w:right w:val="single" w:color="000000" w:sz="6" w:space="0"/>
            </w:tcBorders>
            <w:tcMar>
              <w:top w:w="75" w:type="dxa"/>
              <w:left w:w="75" w:type="dxa"/>
              <w:bottom w:w="75" w:type="dxa"/>
              <w:right w:w="75" w:type="dxa"/>
            </w:tcMar>
          </w:tcPr>
          <w:p w14:paraId="79EF95D2">
            <w:pPr>
              <w:rPr>
                <w:rFonts w:ascii="Times New Roman" w:hAnsi="Times New Roman"/>
              </w:rPr>
            </w:pPr>
            <w:r>
              <w:rPr>
                <w:rFonts w:ascii="Times New Roman" w:hAnsi="Times New Roman"/>
              </w:rPr>
              <w:t xml:space="preserve">Среднее арифметическое накопленных текущих оценок </w:t>
            </w:r>
          </w:p>
        </w:tc>
      </w:tr>
      <w:tr w14:paraId="038CAC08">
        <w:tblPrEx>
          <w:tblCellMar>
            <w:top w:w="15" w:type="dxa"/>
            <w:left w:w="15" w:type="dxa"/>
            <w:bottom w:w="15" w:type="dxa"/>
            <w:right w:w="15" w:type="dxa"/>
          </w:tblCellMar>
        </w:tblPrEx>
        <w:tc>
          <w:tcPr>
            <w:tcW w:w="0" w:type="auto"/>
            <w:vMerge w:val="restart"/>
            <w:tcBorders>
              <w:top w:val="single" w:color="000000" w:sz="6" w:space="0"/>
              <w:left w:val="single" w:color="000000" w:sz="6" w:space="0"/>
              <w:bottom w:val="single" w:color="000000" w:sz="6" w:space="0"/>
              <w:right w:val="single" w:color="000000" w:sz="6" w:space="0"/>
            </w:tcBorders>
            <w:tcMar>
              <w:top w:w="75" w:type="dxa"/>
              <w:left w:w="75" w:type="dxa"/>
              <w:bottom w:w="75" w:type="dxa"/>
              <w:right w:w="75" w:type="dxa"/>
            </w:tcMar>
            <w:vAlign w:val="center"/>
          </w:tcPr>
          <w:p w14:paraId="3A12CA4F">
            <w:pPr>
              <w:rPr>
                <w:rFonts w:ascii="Times New Roman" w:hAnsi="Times New Roman"/>
              </w:rPr>
            </w:pPr>
            <w:r>
              <w:rPr>
                <w:rFonts w:ascii="Times New Roman" w:hAnsi="Times New Roman"/>
              </w:rPr>
              <w:t>Музыка</w:t>
            </w:r>
          </w:p>
        </w:tc>
        <w:tc>
          <w:tcPr>
            <w:tcW w:w="0" w:type="auto"/>
            <w:tcBorders>
              <w:top w:val="single" w:color="000000" w:sz="6" w:space="0"/>
              <w:left w:val="single" w:color="000000" w:sz="6" w:space="0"/>
              <w:bottom w:val="single" w:color="000000" w:sz="6" w:space="0"/>
              <w:right w:val="single" w:color="000000" w:sz="6" w:space="0"/>
            </w:tcBorders>
            <w:tcMar>
              <w:top w:w="75" w:type="dxa"/>
              <w:left w:w="75" w:type="dxa"/>
              <w:bottom w:w="75" w:type="dxa"/>
              <w:right w:w="75" w:type="dxa"/>
            </w:tcMar>
          </w:tcPr>
          <w:p w14:paraId="2A044BC9">
            <w:pPr>
              <w:rPr>
                <w:rFonts w:ascii="Times New Roman" w:hAnsi="Times New Roman"/>
              </w:rPr>
            </w:pPr>
            <w:r>
              <w:rPr>
                <w:rFonts w:ascii="Times New Roman" w:hAnsi="Times New Roman"/>
              </w:rPr>
              <w:t>2–4-й</w:t>
            </w:r>
          </w:p>
        </w:tc>
        <w:tc>
          <w:tcPr>
            <w:tcW w:w="0" w:type="auto"/>
            <w:tcBorders>
              <w:top w:val="single" w:color="000000" w:sz="6" w:space="0"/>
              <w:left w:val="single" w:color="000000" w:sz="6" w:space="0"/>
              <w:bottom w:val="single" w:color="000000" w:sz="6" w:space="0"/>
              <w:right w:val="single" w:color="000000" w:sz="6" w:space="0"/>
            </w:tcBorders>
            <w:tcMar>
              <w:top w:w="75" w:type="dxa"/>
              <w:left w:w="75" w:type="dxa"/>
              <w:bottom w:w="75" w:type="dxa"/>
              <w:right w:w="75" w:type="dxa"/>
            </w:tcMar>
          </w:tcPr>
          <w:p w14:paraId="0CDE85C7">
            <w:pPr>
              <w:rPr>
                <w:rFonts w:ascii="Times New Roman" w:hAnsi="Times New Roman"/>
              </w:rPr>
            </w:pPr>
            <w:r>
              <w:rPr>
                <w:rFonts w:ascii="Times New Roman" w:hAnsi="Times New Roman"/>
              </w:rPr>
              <w:t xml:space="preserve">Среднее арифметическое накопленных текущих оценок </w:t>
            </w:r>
          </w:p>
        </w:tc>
      </w:tr>
      <w:tr w14:paraId="02F7EAFD">
        <w:tblPrEx>
          <w:tblCellMar>
            <w:top w:w="15" w:type="dxa"/>
            <w:left w:w="15" w:type="dxa"/>
            <w:bottom w:w="15" w:type="dxa"/>
            <w:right w:w="15" w:type="dxa"/>
          </w:tblCellMar>
        </w:tblPrEx>
        <w:tc>
          <w:tcPr>
            <w:tcW w:w="0" w:type="auto"/>
            <w:vMerge w:val="restart"/>
            <w:tcBorders>
              <w:top w:val="single" w:color="000000" w:sz="6" w:space="0"/>
              <w:left w:val="single" w:color="000000" w:sz="6" w:space="0"/>
              <w:bottom w:val="single" w:color="000000" w:sz="6" w:space="0"/>
              <w:right w:val="single" w:color="000000" w:sz="6" w:space="0"/>
            </w:tcBorders>
            <w:tcMar>
              <w:top w:w="75" w:type="dxa"/>
              <w:left w:w="75" w:type="dxa"/>
              <w:bottom w:w="75" w:type="dxa"/>
              <w:right w:w="75" w:type="dxa"/>
            </w:tcMar>
            <w:vAlign w:val="center"/>
          </w:tcPr>
          <w:p w14:paraId="42FB5ECA">
            <w:pPr>
              <w:rPr>
                <w:rFonts w:ascii="Times New Roman" w:hAnsi="Times New Roman"/>
              </w:rPr>
            </w:pPr>
            <w:r>
              <w:rPr>
                <w:rFonts w:ascii="Times New Roman" w:hAnsi="Times New Roman"/>
              </w:rPr>
              <w:t>Технология</w:t>
            </w:r>
          </w:p>
        </w:tc>
        <w:tc>
          <w:tcPr>
            <w:tcW w:w="0" w:type="auto"/>
            <w:tcBorders>
              <w:top w:val="single" w:color="000000" w:sz="6" w:space="0"/>
              <w:left w:val="single" w:color="000000" w:sz="6" w:space="0"/>
              <w:bottom w:val="single" w:color="000000" w:sz="6" w:space="0"/>
              <w:right w:val="single" w:color="000000" w:sz="6" w:space="0"/>
            </w:tcBorders>
            <w:tcMar>
              <w:top w:w="75" w:type="dxa"/>
              <w:left w:w="75" w:type="dxa"/>
              <w:bottom w:w="75" w:type="dxa"/>
              <w:right w:w="75" w:type="dxa"/>
            </w:tcMar>
          </w:tcPr>
          <w:p w14:paraId="4D234C2F">
            <w:pPr>
              <w:rPr>
                <w:rFonts w:ascii="Times New Roman" w:hAnsi="Times New Roman"/>
              </w:rPr>
            </w:pPr>
            <w:r>
              <w:rPr>
                <w:rFonts w:ascii="Times New Roman" w:hAnsi="Times New Roman"/>
              </w:rPr>
              <w:t>2–4-й</w:t>
            </w:r>
          </w:p>
        </w:tc>
        <w:tc>
          <w:tcPr>
            <w:tcW w:w="0" w:type="auto"/>
            <w:tcBorders>
              <w:top w:val="single" w:color="000000" w:sz="6" w:space="0"/>
              <w:left w:val="single" w:color="000000" w:sz="6" w:space="0"/>
              <w:bottom w:val="single" w:color="000000" w:sz="6" w:space="0"/>
              <w:right w:val="single" w:color="000000" w:sz="6" w:space="0"/>
            </w:tcBorders>
            <w:tcMar>
              <w:top w:w="75" w:type="dxa"/>
              <w:left w:w="75" w:type="dxa"/>
              <w:bottom w:w="75" w:type="dxa"/>
              <w:right w:w="75" w:type="dxa"/>
            </w:tcMar>
          </w:tcPr>
          <w:p w14:paraId="4D94BA6E">
            <w:pPr>
              <w:rPr>
                <w:rFonts w:ascii="Times New Roman" w:hAnsi="Times New Roman"/>
              </w:rPr>
            </w:pPr>
            <w:r>
              <w:rPr>
                <w:rFonts w:ascii="Times New Roman" w:hAnsi="Times New Roman"/>
              </w:rPr>
              <w:t xml:space="preserve">Среднее арифметическое накопленных текущих оценок </w:t>
            </w:r>
          </w:p>
        </w:tc>
      </w:tr>
      <w:tr w14:paraId="41C3693A">
        <w:tblPrEx>
          <w:tblCellMar>
            <w:top w:w="15" w:type="dxa"/>
            <w:left w:w="15" w:type="dxa"/>
            <w:bottom w:w="15" w:type="dxa"/>
            <w:right w:w="15" w:type="dxa"/>
          </w:tblCellMar>
        </w:tblPrEx>
        <w:tc>
          <w:tcPr>
            <w:tcW w:w="0" w:type="auto"/>
            <w:vMerge w:val="restart"/>
            <w:tcBorders>
              <w:top w:val="single" w:color="000000" w:sz="6" w:space="0"/>
              <w:left w:val="single" w:color="000000" w:sz="6" w:space="0"/>
              <w:bottom w:val="single" w:color="000000" w:sz="6" w:space="0"/>
              <w:right w:val="single" w:color="000000" w:sz="6" w:space="0"/>
            </w:tcBorders>
            <w:tcMar>
              <w:top w:w="75" w:type="dxa"/>
              <w:left w:w="75" w:type="dxa"/>
              <w:bottom w:w="75" w:type="dxa"/>
              <w:right w:w="75" w:type="dxa"/>
            </w:tcMar>
            <w:vAlign w:val="center"/>
          </w:tcPr>
          <w:p w14:paraId="5C814282">
            <w:pPr>
              <w:rPr>
                <w:rFonts w:ascii="Times New Roman" w:hAnsi="Times New Roman"/>
              </w:rPr>
            </w:pPr>
            <w:r>
              <w:rPr>
                <w:rFonts w:ascii="Times New Roman" w:hAnsi="Times New Roman"/>
              </w:rPr>
              <w:t>Физическая культура</w:t>
            </w:r>
          </w:p>
        </w:tc>
        <w:tc>
          <w:tcPr>
            <w:tcW w:w="0" w:type="auto"/>
            <w:tcBorders>
              <w:top w:val="single" w:color="000000" w:sz="6" w:space="0"/>
              <w:left w:val="single" w:color="000000" w:sz="6" w:space="0"/>
              <w:bottom w:val="single" w:color="000000" w:sz="6" w:space="0"/>
              <w:right w:val="single" w:color="000000" w:sz="6" w:space="0"/>
            </w:tcBorders>
            <w:tcMar>
              <w:top w:w="75" w:type="dxa"/>
              <w:left w:w="75" w:type="dxa"/>
              <w:bottom w:w="75" w:type="dxa"/>
              <w:right w:w="75" w:type="dxa"/>
            </w:tcMar>
          </w:tcPr>
          <w:p w14:paraId="63045E13">
            <w:pPr>
              <w:rPr>
                <w:rFonts w:ascii="Times New Roman" w:hAnsi="Times New Roman"/>
              </w:rPr>
            </w:pPr>
            <w:r>
              <w:rPr>
                <w:rFonts w:ascii="Times New Roman" w:hAnsi="Times New Roman"/>
              </w:rPr>
              <w:t>2–4-й</w:t>
            </w:r>
          </w:p>
        </w:tc>
        <w:tc>
          <w:tcPr>
            <w:tcW w:w="0" w:type="auto"/>
            <w:tcBorders>
              <w:top w:val="single" w:color="000000" w:sz="6" w:space="0"/>
              <w:left w:val="single" w:color="000000" w:sz="6" w:space="0"/>
              <w:bottom w:val="single" w:color="000000" w:sz="6" w:space="0"/>
              <w:right w:val="single" w:color="000000" w:sz="6" w:space="0"/>
            </w:tcBorders>
            <w:tcMar>
              <w:top w:w="75" w:type="dxa"/>
              <w:left w:w="75" w:type="dxa"/>
              <w:bottom w:w="75" w:type="dxa"/>
              <w:right w:w="75" w:type="dxa"/>
            </w:tcMar>
          </w:tcPr>
          <w:p w14:paraId="7F5303AC">
            <w:pPr>
              <w:rPr>
                <w:rFonts w:ascii="Times New Roman" w:hAnsi="Times New Roman"/>
              </w:rPr>
            </w:pPr>
            <w:r>
              <w:rPr>
                <w:rFonts w:ascii="Times New Roman" w:hAnsi="Times New Roman"/>
              </w:rPr>
              <w:t>Среднее арифметическое накопленных текущих оценок и сдача нормативов</w:t>
            </w:r>
          </w:p>
        </w:tc>
      </w:tr>
      <w:tr w14:paraId="73F58012">
        <w:tblPrEx>
          <w:tblCellMar>
            <w:top w:w="15" w:type="dxa"/>
            <w:left w:w="15" w:type="dxa"/>
            <w:bottom w:w="15" w:type="dxa"/>
            <w:right w:w="15" w:type="dxa"/>
          </w:tblCellMar>
        </w:tblPrEx>
        <w:tc>
          <w:tcPr>
            <w:tcW w:w="0" w:type="auto"/>
            <w:tcBorders>
              <w:top w:val="single" w:color="000000" w:sz="6" w:space="0"/>
              <w:left w:val="single" w:color="000000" w:sz="6" w:space="0"/>
              <w:bottom w:val="single" w:color="000000" w:sz="6" w:space="0"/>
              <w:right w:val="single" w:color="000000" w:sz="6" w:space="0"/>
            </w:tcBorders>
            <w:tcMar>
              <w:top w:w="75" w:type="dxa"/>
              <w:left w:w="75" w:type="dxa"/>
              <w:bottom w:w="75" w:type="dxa"/>
              <w:right w:w="75" w:type="dxa"/>
            </w:tcMar>
            <w:vAlign w:val="center"/>
          </w:tcPr>
          <w:p w14:paraId="314A2C46">
            <w:pPr>
              <w:rPr>
                <w:rFonts w:ascii="Times New Roman" w:hAnsi="Times New Roman"/>
              </w:rPr>
            </w:pPr>
            <w:r>
              <w:rPr>
                <w:rFonts w:ascii="Times New Roman" w:hAnsi="Times New Roman"/>
              </w:rPr>
              <w:t>Родной (чувашский язык)</w:t>
            </w:r>
          </w:p>
        </w:tc>
        <w:tc>
          <w:tcPr>
            <w:tcW w:w="0" w:type="auto"/>
            <w:tcBorders>
              <w:top w:val="single" w:color="000000" w:sz="6" w:space="0"/>
              <w:left w:val="single" w:color="000000" w:sz="6" w:space="0"/>
              <w:bottom w:val="single" w:color="000000" w:sz="6" w:space="0"/>
              <w:right w:val="single" w:color="000000" w:sz="6" w:space="0"/>
            </w:tcBorders>
            <w:tcMar>
              <w:top w:w="75" w:type="dxa"/>
              <w:left w:w="75" w:type="dxa"/>
              <w:bottom w:w="75" w:type="dxa"/>
              <w:right w:w="75" w:type="dxa"/>
            </w:tcMar>
          </w:tcPr>
          <w:p w14:paraId="72255A10">
            <w:pPr>
              <w:rPr>
                <w:rFonts w:ascii="Times New Roman" w:hAnsi="Times New Roman"/>
              </w:rPr>
            </w:pPr>
            <w:r>
              <w:rPr>
                <w:rFonts w:ascii="Times New Roman" w:hAnsi="Times New Roman"/>
              </w:rPr>
              <w:t>2–4-й</w:t>
            </w:r>
          </w:p>
        </w:tc>
        <w:tc>
          <w:tcPr>
            <w:tcW w:w="0" w:type="auto"/>
            <w:tcBorders>
              <w:top w:val="single" w:color="000000" w:sz="6" w:space="0"/>
              <w:left w:val="single" w:color="000000" w:sz="6" w:space="0"/>
              <w:bottom w:val="single" w:color="000000" w:sz="6" w:space="0"/>
              <w:right w:val="single" w:color="000000" w:sz="6" w:space="0"/>
            </w:tcBorders>
            <w:tcMar>
              <w:top w:w="75" w:type="dxa"/>
              <w:left w:w="75" w:type="dxa"/>
              <w:bottom w:w="75" w:type="dxa"/>
              <w:right w:w="75" w:type="dxa"/>
            </w:tcMar>
          </w:tcPr>
          <w:p w14:paraId="2E9F9E8D">
            <w:pPr>
              <w:rPr>
                <w:rFonts w:ascii="Times New Roman" w:hAnsi="Times New Roman"/>
              </w:rPr>
            </w:pPr>
            <w:r>
              <w:rPr>
                <w:rFonts w:ascii="Times New Roman" w:hAnsi="Times New Roman"/>
              </w:rPr>
              <w:t xml:space="preserve">Среднее арифметическое накопленных текущих оценок </w:t>
            </w:r>
          </w:p>
        </w:tc>
      </w:tr>
      <w:tr w14:paraId="3AF884F3">
        <w:tblPrEx>
          <w:tblCellMar>
            <w:top w:w="15" w:type="dxa"/>
            <w:left w:w="15" w:type="dxa"/>
            <w:bottom w:w="15" w:type="dxa"/>
            <w:right w:w="15" w:type="dxa"/>
          </w:tblCellMar>
        </w:tblPrEx>
        <w:tc>
          <w:tcPr>
            <w:tcW w:w="0" w:type="auto"/>
            <w:tcBorders>
              <w:top w:val="single" w:color="000000" w:sz="6" w:space="0"/>
              <w:left w:val="single" w:color="000000" w:sz="6" w:space="0"/>
              <w:bottom w:val="single" w:color="000000" w:sz="6" w:space="0"/>
              <w:right w:val="single" w:color="000000" w:sz="6" w:space="0"/>
            </w:tcBorders>
            <w:tcMar>
              <w:top w:w="75" w:type="dxa"/>
              <w:left w:w="75" w:type="dxa"/>
              <w:bottom w:w="75" w:type="dxa"/>
              <w:right w:w="75" w:type="dxa"/>
            </w:tcMar>
            <w:vAlign w:val="center"/>
          </w:tcPr>
          <w:p w14:paraId="6F1891BB">
            <w:pPr>
              <w:rPr>
                <w:rFonts w:ascii="Times New Roman" w:hAnsi="Times New Roman"/>
              </w:rPr>
            </w:pPr>
            <w:r>
              <w:rPr>
                <w:rFonts w:ascii="Times New Roman" w:hAnsi="Times New Roman"/>
              </w:rPr>
              <w:t>Литературное чтение (на чувашском языке)</w:t>
            </w:r>
          </w:p>
        </w:tc>
        <w:tc>
          <w:tcPr>
            <w:tcW w:w="0" w:type="auto"/>
            <w:tcBorders>
              <w:top w:val="single" w:color="000000" w:sz="6" w:space="0"/>
              <w:left w:val="single" w:color="000000" w:sz="6" w:space="0"/>
              <w:bottom w:val="single" w:color="000000" w:sz="6" w:space="0"/>
              <w:right w:val="single" w:color="000000" w:sz="6" w:space="0"/>
            </w:tcBorders>
            <w:tcMar>
              <w:top w:w="75" w:type="dxa"/>
              <w:left w:w="75" w:type="dxa"/>
              <w:bottom w:w="75" w:type="dxa"/>
              <w:right w:w="75" w:type="dxa"/>
            </w:tcMar>
          </w:tcPr>
          <w:p w14:paraId="71F397A2">
            <w:pPr>
              <w:rPr>
                <w:rFonts w:ascii="Times New Roman" w:hAnsi="Times New Roman"/>
              </w:rPr>
            </w:pPr>
            <w:r>
              <w:rPr>
                <w:rFonts w:ascii="Times New Roman" w:hAnsi="Times New Roman"/>
              </w:rPr>
              <w:t>2-4-й</w:t>
            </w:r>
          </w:p>
        </w:tc>
        <w:tc>
          <w:tcPr>
            <w:tcW w:w="0" w:type="auto"/>
            <w:tcBorders>
              <w:top w:val="single" w:color="000000" w:sz="6" w:space="0"/>
              <w:left w:val="single" w:color="000000" w:sz="6" w:space="0"/>
              <w:bottom w:val="single" w:color="000000" w:sz="6" w:space="0"/>
              <w:right w:val="single" w:color="000000" w:sz="6" w:space="0"/>
            </w:tcBorders>
            <w:tcMar>
              <w:top w:w="75" w:type="dxa"/>
              <w:left w:w="75" w:type="dxa"/>
              <w:bottom w:w="75" w:type="dxa"/>
              <w:right w:w="75" w:type="dxa"/>
            </w:tcMar>
          </w:tcPr>
          <w:p w14:paraId="28BEC8EE">
            <w:pPr>
              <w:rPr>
                <w:rFonts w:ascii="Times New Roman" w:hAnsi="Times New Roman"/>
              </w:rPr>
            </w:pPr>
            <w:r>
              <w:rPr>
                <w:rFonts w:ascii="Times New Roman" w:hAnsi="Times New Roman"/>
              </w:rPr>
              <w:t>Среднее арифметическое накопленных текущих оценок</w:t>
            </w:r>
          </w:p>
        </w:tc>
      </w:tr>
    </w:tbl>
    <w:p w14:paraId="73459310">
      <w:pPr>
        <w:rPr>
          <w:rFonts w:ascii="Times New Roman" w:hAnsi="Times New Roman"/>
          <w:b/>
          <w:bCs/>
        </w:rPr>
      </w:pPr>
      <w:r>
        <w:rPr>
          <w:rFonts w:ascii="Times New Roman" w:hAnsi="Times New Roman"/>
          <w:b/>
          <w:bCs/>
        </w:rPr>
        <w:t>Учебный план начального общего образования (пятидневная неделя с изучением родного языка)</w:t>
      </w:r>
    </w:p>
    <w:p w14:paraId="71443395">
      <w:pPr>
        <w:pStyle w:val="85"/>
        <w:jc w:val="both"/>
        <w:rPr>
          <w:color w:val="auto"/>
          <w:sz w:val="22"/>
          <w:szCs w:val="22"/>
        </w:rPr>
      </w:pPr>
      <w:r>
        <w:rPr>
          <w:color w:val="auto"/>
          <w:sz w:val="22"/>
          <w:szCs w:val="22"/>
        </w:rPr>
        <w:t>Вариант 3</w:t>
      </w:r>
    </w:p>
    <w:p w14:paraId="5B007185">
      <w:pPr>
        <w:pStyle w:val="85"/>
        <w:jc w:val="both"/>
        <w:rPr>
          <w:color w:val="auto"/>
          <w:sz w:val="22"/>
          <w:szCs w:val="22"/>
        </w:rPr>
      </w:pPr>
    </w:p>
    <w:tbl>
      <w:tblPr>
        <w:tblStyle w:val="1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02" w:type="dxa"/>
          <w:left w:w="62" w:type="dxa"/>
          <w:bottom w:w="102" w:type="dxa"/>
          <w:right w:w="62" w:type="dxa"/>
        </w:tblCellMar>
      </w:tblPr>
      <w:tblGrid>
        <w:gridCol w:w="2494"/>
        <w:gridCol w:w="2665"/>
        <w:gridCol w:w="1566"/>
        <w:gridCol w:w="708"/>
        <w:gridCol w:w="709"/>
        <w:gridCol w:w="851"/>
        <w:gridCol w:w="992"/>
      </w:tblGrid>
      <w:tr w14:paraId="79C2A7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9985" w:type="dxa"/>
            <w:gridSpan w:val="7"/>
          </w:tcPr>
          <w:p w14:paraId="6F64F513">
            <w:pPr>
              <w:pStyle w:val="85"/>
              <w:jc w:val="center"/>
              <w:rPr>
                <w:color w:val="auto"/>
                <w:sz w:val="22"/>
                <w:szCs w:val="22"/>
              </w:rPr>
            </w:pPr>
            <w:r>
              <w:rPr>
                <w:color w:val="auto"/>
                <w:sz w:val="22"/>
                <w:szCs w:val="22"/>
              </w:rPr>
              <w:t>Федеральный учебный план начального общего образования</w:t>
            </w:r>
          </w:p>
          <w:p w14:paraId="2AFD73AA">
            <w:pPr>
              <w:pStyle w:val="85"/>
              <w:jc w:val="center"/>
              <w:rPr>
                <w:color w:val="auto"/>
                <w:sz w:val="22"/>
                <w:szCs w:val="22"/>
              </w:rPr>
            </w:pPr>
            <w:r>
              <w:rPr>
                <w:color w:val="auto"/>
                <w:sz w:val="22"/>
                <w:szCs w:val="22"/>
              </w:rPr>
              <w:t>(5-дневная учебная неделя с изучением родного языка или обучением</w:t>
            </w:r>
          </w:p>
        </w:tc>
      </w:tr>
      <w:tr w14:paraId="4DFECE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2494" w:type="dxa"/>
            <w:vMerge w:val="restart"/>
          </w:tcPr>
          <w:p w14:paraId="3924F5F8">
            <w:pPr>
              <w:pStyle w:val="85"/>
              <w:jc w:val="center"/>
              <w:rPr>
                <w:color w:val="auto"/>
                <w:sz w:val="22"/>
                <w:szCs w:val="22"/>
              </w:rPr>
            </w:pPr>
            <w:r>
              <w:rPr>
                <w:color w:val="auto"/>
                <w:sz w:val="22"/>
                <w:szCs w:val="22"/>
              </w:rPr>
              <w:t>Предметные области</w:t>
            </w:r>
          </w:p>
        </w:tc>
        <w:tc>
          <w:tcPr>
            <w:tcW w:w="2665" w:type="dxa"/>
            <w:vMerge w:val="restart"/>
          </w:tcPr>
          <w:p w14:paraId="701C8FC1">
            <w:pPr>
              <w:pStyle w:val="85"/>
              <w:jc w:val="center"/>
              <w:rPr>
                <w:color w:val="auto"/>
                <w:sz w:val="22"/>
                <w:szCs w:val="22"/>
              </w:rPr>
            </w:pPr>
            <w:r>
              <w:rPr>
                <w:color w:val="auto"/>
                <w:sz w:val="22"/>
                <w:szCs w:val="22"/>
              </w:rPr>
              <w:t>Учебные предметы/классы</w:t>
            </w:r>
          </w:p>
        </w:tc>
        <w:tc>
          <w:tcPr>
            <w:tcW w:w="3834" w:type="dxa"/>
            <w:gridSpan w:val="4"/>
          </w:tcPr>
          <w:p w14:paraId="43A7BAA5">
            <w:pPr>
              <w:pStyle w:val="85"/>
              <w:jc w:val="center"/>
              <w:rPr>
                <w:color w:val="auto"/>
                <w:sz w:val="22"/>
                <w:szCs w:val="22"/>
              </w:rPr>
            </w:pPr>
            <w:r>
              <w:rPr>
                <w:color w:val="auto"/>
                <w:sz w:val="22"/>
                <w:szCs w:val="22"/>
              </w:rPr>
              <w:t>Количество часов в неделю</w:t>
            </w:r>
          </w:p>
        </w:tc>
        <w:tc>
          <w:tcPr>
            <w:tcW w:w="992" w:type="dxa"/>
            <w:vMerge w:val="restart"/>
          </w:tcPr>
          <w:p w14:paraId="71F352EE">
            <w:pPr>
              <w:pStyle w:val="85"/>
              <w:jc w:val="center"/>
              <w:rPr>
                <w:color w:val="auto"/>
                <w:sz w:val="22"/>
                <w:szCs w:val="22"/>
              </w:rPr>
            </w:pPr>
            <w:r>
              <w:rPr>
                <w:color w:val="auto"/>
                <w:sz w:val="22"/>
                <w:szCs w:val="22"/>
              </w:rPr>
              <w:t>Всего</w:t>
            </w:r>
          </w:p>
        </w:tc>
      </w:tr>
      <w:tr w14:paraId="20B9DE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2494" w:type="dxa"/>
            <w:vMerge w:val="continue"/>
          </w:tcPr>
          <w:p w14:paraId="30590037">
            <w:pPr>
              <w:pStyle w:val="85"/>
              <w:rPr>
                <w:color w:val="auto"/>
                <w:sz w:val="22"/>
                <w:szCs w:val="22"/>
              </w:rPr>
            </w:pPr>
          </w:p>
        </w:tc>
        <w:tc>
          <w:tcPr>
            <w:tcW w:w="2665" w:type="dxa"/>
            <w:vMerge w:val="continue"/>
          </w:tcPr>
          <w:p w14:paraId="5137D937">
            <w:pPr>
              <w:pStyle w:val="85"/>
              <w:rPr>
                <w:color w:val="auto"/>
                <w:sz w:val="22"/>
                <w:szCs w:val="22"/>
              </w:rPr>
            </w:pPr>
          </w:p>
        </w:tc>
        <w:tc>
          <w:tcPr>
            <w:tcW w:w="1566" w:type="dxa"/>
          </w:tcPr>
          <w:p w14:paraId="0DEE3DE0">
            <w:pPr>
              <w:pStyle w:val="85"/>
              <w:jc w:val="center"/>
              <w:rPr>
                <w:color w:val="auto"/>
                <w:sz w:val="22"/>
                <w:szCs w:val="22"/>
              </w:rPr>
            </w:pPr>
            <w:r>
              <w:rPr>
                <w:color w:val="auto"/>
                <w:sz w:val="22"/>
                <w:szCs w:val="22"/>
              </w:rPr>
              <w:t>I</w:t>
            </w:r>
          </w:p>
        </w:tc>
        <w:tc>
          <w:tcPr>
            <w:tcW w:w="708" w:type="dxa"/>
          </w:tcPr>
          <w:p w14:paraId="57B50F42">
            <w:pPr>
              <w:pStyle w:val="85"/>
              <w:jc w:val="center"/>
              <w:rPr>
                <w:color w:val="auto"/>
                <w:sz w:val="22"/>
                <w:szCs w:val="22"/>
              </w:rPr>
            </w:pPr>
            <w:r>
              <w:rPr>
                <w:color w:val="auto"/>
                <w:sz w:val="22"/>
                <w:szCs w:val="22"/>
              </w:rPr>
              <w:t>II</w:t>
            </w:r>
          </w:p>
        </w:tc>
        <w:tc>
          <w:tcPr>
            <w:tcW w:w="709" w:type="dxa"/>
          </w:tcPr>
          <w:p w14:paraId="6B37E1D5">
            <w:pPr>
              <w:pStyle w:val="85"/>
              <w:jc w:val="center"/>
              <w:rPr>
                <w:color w:val="auto"/>
                <w:sz w:val="22"/>
                <w:szCs w:val="22"/>
              </w:rPr>
            </w:pPr>
            <w:r>
              <w:rPr>
                <w:color w:val="auto"/>
                <w:sz w:val="22"/>
                <w:szCs w:val="22"/>
              </w:rPr>
              <w:t>III</w:t>
            </w:r>
          </w:p>
        </w:tc>
        <w:tc>
          <w:tcPr>
            <w:tcW w:w="851" w:type="dxa"/>
          </w:tcPr>
          <w:p w14:paraId="1CCC1DD3">
            <w:pPr>
              <w:pStyle w:val="85"/>
              <w:jc w:val="center"/>
              <w:rPr>
                <w:color w:val="auto"/>
                <w:sz w:val="22"/>
                <w:szCs w:val="22"/>
              </w:rPr>
            </w:pPr>
            <w:r>
              <w:rPr>
                <w:color w:val="auto"/>
                <w:sz w:val="22"/>
                <w:szCs w:val="22"/>
              </w:rPr>
              <w:t>IV</w:t>
            </w:r>
          </w:p>
        </w:tc>
        <w:tc>
          <w:tcPr>
            <w:tcW w:w="992" w:type="dxa"/>
            <w:vMerge w:val="continue"/>
          </w:tcPr>
          <w:p w14:paraId="27B6B2F0">
            <w:pPr>
              <w:pStyle w:val="85"/>
              <w:rPr>
                <w:color w:val="auto"/>
                <w:sz w:val="22"/>
                <w:szCs w:val="22"/>
              </w:rPr>
            </w:pPr>
          </w:p>
        </w:tc>
      </w:tr>
      <w:tr w14:paraId="26B2E6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5159" w:type="dxa"/>
            <w:gridSpan w:val="2"/>
            <w:vAlign w:val="center"/>
          </w:tcPr>
          <w:p w14:paraId="36BA6046">
            <w:pPr>
              <w:pStyle w:val="85"/>
              <w:rPr>
                <w:color w:val="auto"/>
                <w:sz w:val="22"/>
                <w:szCs w:val="22"/>
              </w:rPr>
            </w:pPr>
            <w:r>
              <w:rPr>
                <w:color w:val="auto"/>
                <w:sz w:val="22"/>
                <w:szCs w:val="22"/>
              </w:rPr>
              <w:t>Обязательная часть</w:t>
            </w:r>
          </w:p>
        </w:tc>
        <w:tc>
          <w:tcPr>
            <w:tcW w:w="4826" w:type="dxa"/>
            <w:gridSpan w:val="5"/>
            <w:vAlign w:val="center"/>
          </w:tcPr>
          <w:p w14:paraId="5D16536B">
            <w:pPr>
              <w:pStyle w:val="85"/>
              <w:rPr>
                <w:color w:val="auto"/>
                <w:sz w:val="22"/>
                <w:szCs w:val="22"/>
              </w:rPr>
            </w:pPr>
          </w:p>
        </w:tc>
      </w:tr>
      <w:tr w14:paraId="6CA442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2494" w:type="dxa"/>
            <w:vMerge w:val="restart"/>
            <w:vAlign w:val="center"/>
          </w:tcPr>
          <w:p w14:paraId="4A9D1FBB">
            <w:pPr>
              <w:pStyle w:val="85"/>
              <w:rPr>
                <w:color w:val="auto"/>
                <w:sz w:val="22"/>
                <w:szCs w:val="22"/>
              </w:rPr>
            </w:pPr>
            <w:r>
              <w:rPr>
                <w:color w:val="auto"/>
                <w:sz w:val="22"/>
                <w:szCs w:val="22"/>
              </w:rPr>
              <w:t>Русский язык и литературное чтение</w:t>
            </w:r>
          </w:p>
        </w:tc>
        <w:tc>
          <w:tcPr>
            <w:tcW w:w="2665" w:type="dxa"/>
            <w:vAlign w:val="center"/>
          </w:tcPr>
          <w:p w14:paraId="26FFF98C">
            <w:pPr>
              <w:pStyle w:val="85"/>
              <w:rPr>
                <w:color w:val="auto"/>
                <w:sz w:val="22"/>
                <w:szCs w:val="22"/>
              </w:rPr>
            </w:pPr>
            <w:r>
              <w:rPr>
                <w:color w:val="auto"/>
                <w:sz w:val="22"/>
                <w:szCs w:val="22"/>
              </w:rPr>
              <w:t>Русский язык</w:t>
            </w:r>
          </w:p>
        </w:tc>
        <w:tc>
          <w:tcPr>
            <w:tcW w:w="1566" w:type="dxa"/>
            <w:vAlign w:val="center"/>
          </w:tcPr>
          <w:p w14:paraId="2D5B85C4">
            <w:pPr>
              <w:pStyle w:val="85"/>
              <w:jc w:val="center"/>
              <w:rPr>
                <w:color w:val="auto"/>
                <w:sz w:val="22"/>
                <w:szCs w:val="22"/>
              </w:rPr>
            </w:pPr>
            <w:r>
              <w:rPr>
                <w:color w:val="auto"/>
                <w:sz w:val="22"/>
                <w:szCs w:val="22"/>
              </w:rPr>
              <w:t>5</w:t>
            </w:r>
          </w:p>
        </w:tc>
        <w:tc>
          <w:tcPr>
            <w:tcW w:w="708" w:type="dxa"/>
            <w:vAlign w:val="center"/>
          </w:tcPr>
          <w:p w14:paraId="77BEA7F6">
            <w:pPr>
              <w:pStyle w:val="85"/>
              <w:jc w:val="center"/>
              <w:rPr>
                <w:color w:val="auto"/>
                <w:sz w:val="22"/>
                <w:szCs w:val="22"/>
              </w:rPr>
            </w:pPr>
            <w:r>
              <w:rPr>
                <w:color w:val="auto"/>
                <w:sz w:val="22"/>
                <w:szCs w:val="22"/>
              </w:rPr>
              <w:t>5</w:t>
            </w:r>
          </w:p>
        </w:tc>
        <w:tc>
          <w:tcPr>
            <w:tcW w:w="709" w:type="dxa"/>
            <w:vAlign w:val="center"/>
          </w:tcPr>
          <w:p w14:paraId="378DFE0D">
            <w:pPr>
              <w:pStyle w:val="85"/>
              <w:jc w:val="center"/>
              <w:rPr>
                <w:color w:val="auto"/>
                <w:sz w:val="22"/>
                <w:szCs w:val="22"/>
              </w:rPr>
            </w:pPr>
            <w:r>
              <w:rPr>
                <w:color w:val="auto"/>
                <w:sz w:val="22"/>
                <w:szCs w:val="22"/>
              </w:rPr>
              <w:t>5</w:t>
            </w:r>
          </w:p>
        </w:tc>
        <w:tc>
          <w:tcPr>
            <w:tcW w:w="851" w:type="dxa"/>
            <w:vAlign w:val="center"/>
          </w:tcPr>
          <w:p w14:paraId="031FA4EE">
            <w:pPr>
              <w:pStyle w:val="85"/>
              <w:jc w:val="center"/>
              <w:rPr>
                <w:color w:val="auto"/>
                <w:sz w:val="22"/>
                <w:szCs w:val="22"/>
              </w:rPr>
            </w:pPr>
            <w:r>
              <w:rPr>
                <w:color w:val="auto"/>
                <w:sz w:val="22"/>
                <w:szCs w:val="22"/>
              </w:rPr>
              <w:t>5</w:t>
            </w:r>
          </w:p>
        </w:tc>
        <w:tc>
          <w:tcPr>
            <w:tcW w:w="992" w:type="dxa"/>
            <w:vAlign w:val="center"/>
          </w:tcPr>
          <w:p w14:paraId="0E11A3C5">
            <w:pPr>
              <w:pStyle w:val="85"/>
              <w:jc w:val="center"/>
              <w:rPr>
                <w:color w:val="auto"/>
                <w:sz w:val="22"/>
                <w:szCs w:val="22"/>
              </w:rPr>
            </w:pPr>
            <w:r>
              <w:rPr>
                <w:color w:val="auto"/>
                <w:sz w:val="22"/>
                <w:szCs w:val="22"/>
              </w:rPr>
              <w:t>20</w:t>
            </w:r>
          </w:p>
        </w:tc>
      </w:tr>
      <w:tr w14:paraId="4A68B6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2494" w:type="dxa"/>
            <w:vMerge w:val="continue"/>
          </w:tcPr>
          <w:p w14:paraId="20735F36">
            <w:pPr>
              <w:pStyle w:val="85"/>
              <w:rPr>
                <w:color w:val="auto"/>
                <w:sz w:val="22"/>
                <w:szCs w:val="22"/>
              </w:rPr>
            </w:pPr>
          </w:p>
        </w:tc>
        <w:tc>
          <w:tcPr>
            <w:tcW w:w="2665" w:type="dxa"/>
            <w:vAlign w:val="center"/>
          </w:tcPr>
          <w:p w14:paraId="7629FD12">
            <w:pPr>
              <w:pStyle w:val="85"/>
              <w:rPr>
                <w:color w:val="auto"/>
                <w:sz w:val="22"/>
                <w:szCs w:val="22"/>
              </w:rPr>
            </w:pPr>
            <w:r>
              <w:rPr>
                <w:color w:val="auto"/>
                <w:sz w:val="22"/>
                <w:szCs w:val="22"/>
              </w:rPr>
              <w:t>Литературное чтение</w:t>
            </w:r>
          </w:p>
        </w:tc>
        <w:tc>
          <w:tcPr>
            <w:tcW w:w="1566" w:type="dxa"/>
            <w:vAlign w:val="center"/>
          </w:tcPr>
          <w:p w14:paraId="121E5629">
            <w:pPr>
              <w:pStyle w:val="85"/>
              <w:jc w:val="center"/>
              <w:rPr>
                <w:color w:val="auto"/>
                <w:sz w:val="22"/>
                <w:szCs w:val="22"/>
              </w:rPr>
            </w:pPr>
            <w:r>
              <w:rPr>
                <w:color w:val="auto"/>
                <w:sz w:val="22"/>
                <w:szCs w:val="22"/>
              </w:rPr>
              <w:t>3</w:t>
            </w:r>
          </w:p>
        </w:tc>
        <w:tc>
          <w:tcPr>
            <w:tcW w:w="708" w:type="dxa"/>
            <w:vAlign w:val="center"/>
          </w:tcPr>
          <w:p w14:paraId="159576E5">
            <w:pPr>
              <w:pStyle w:val="85"/>
              <w:jc w:val="center"/>
              <w:rPr>
                <w:color w:val="auto"/>
                <w:sz w:val="22"/>
                <w:szCs w:val="22"/>
              </w:rPr>
            </w:pPr>
            <w:r>
              <w:rPr>
                <w:color w:val="auto"/>
                <w:sz w:val="22"/>
                <w:szCs w:val="22"/>
              </w:rPr>
              <w:t>3</w:t>
            </w:r>
          </w:p>
        </w:tc>
        <w:tc>
          <w:tcPr>
            <w:tcW w:w="709" w:type="dxa"/>
            <w:vAlign w:val="center"/>
          </w:tcPr>
          <w:p w14:paraId="57AD0613">
            <w:pPr>
              <w:pStyle w:val="85"/>
              <w:jc w:val="center"/>
              <w:rPr>
                <w:color w:val="auto"/>
                <w:sz w:val="22"/>
                <w:szCs w:val="22"/>
              </w:rPr>
            </w:pPr>
            <w:r>
              <w:rPr>
                <w:color w:val="auto"/>
                <w:sz w:val="22"/>
                <w:szCs w:val="22"/>
              </w:rPr>
              <w:t>3</w:t>
            </w:r>
          </w:p>
        </w:tc>
        <w:tc>
          <w:tcPr>
            <w:tcW w:w="851" w:type="dxa"/>
            <w:vAlign w:val="center"/>
          </w:tcPr>
          <w:p w14:paraId="69FEDE6F">
            <w:pPr>
              <w:pStyle w:val="85"/>
              <w:jc w:val="center"/>
              <w:rPr>
                <w:color w:val="auto"/>
                <w:sz w:val="22"/>
                <w:szCs w:val="22"/>
              </w:rPr>
            </w:pPr>
            <w:r>
              <w:rPr>
                <w:color w:val="auto"/>
                <w:sz w:val="22"/>
                <w:szCs w:val="22"/>
              </w:rPr>
              <w:t>3</w:t>
            </w:r>
          </w:p>
        </w:tc>
        <w:tc>
          <w:tcPr>
            <w:tcW w:w="992" w:type="dxa"/>
            <w:vAlign w:val="center"/>
          </w:tcPr>
          <w:p w14:paraId="444A6C9F">
            <w:pPr>
              <w:pStyle w:val="85"/>
              <w:jc w:val="center"/>
              <w:rPr>
                <w:color w:val="auto"/>
                <w:sz w:val="22"/>
                <w:szCs w:val="22"/>
              </w:rPr>
            </w:pPr>
            <w:r>
              <w:rPr>
                <w:color w:val="auto"/>
                <w:sz w:val="22"/>
                <w:szCs w:val="22"/>
              </w:rPr>
              <w:t>12</w:t>
            </w:r>
          </w:p>
        </w:tc>
      </w:tr>
      <w:tr w14:paraId="6902BA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2494" w:type="dxa"/>
            <w:vMerge w:val="restart"/>
            <w:vAlign w:val="center"/>
          </w:tcPr>
          <w:p w14:paraId="151901E4">
            <w:pPr>
              <w:pStyle w:val="85"/>
              <w:rPr>
                <w:color w:val="auto"/>
                <w:sz w:val="22"/>
                <w:szCs w:val="22"/>
              </w:rPr>
            </w:pPr>
            <w:r>
              <w:rPr>
                <w:color w:val="auto"/>
                <w:sz w:val="22"/>
                <w:szCs w:val="22"/>
              </w:rPr>
              <w:t>Родной язык и литературное чтение на родном языке</w:t>
            </w:r>
          </w:p>
        </w:tc>
        <w:tc>
          <w:tcPr>
            <w:tcW w:w="2665" w:type="dxa"/>
            <w:vAlign w:val="center"/>
          </w:tcPr>
          <w:p w14:paraId="6714AA3B">
            <w:pPr>
              <w:pStyle w:val="85"/>
              <w:rPr>
                <w:color w:val="auto"/>
                <w:sz w:val="22"/>
                <w:szCs w:val="22"/>
              </w:rPr>
            </w:pPr>
            <w:r>
              <w:rPr>
                <w:color w:val="auto"/>
                <w:sz w:val="22"/>
                <w:szCs w:val="22"/>
              </w:rPr>
              <w:t>Родной (чувашский) язык</w:t>
            </w:r>
          </w:p>
        </w:tc>
        <w:tc>
          <w:tcPr>
            <w:tcW w:w="1566" w:type="dxa"/>
            <w:vMerge w:val="restart"/>
            <w:vAlign w:val="center"/>
          </w:tcPr>
          <w:p w14:paraId="71F0896A">
            <w:pPr>
              <w:pStyle w:val="85"/>
              <w:jc w:val="center"/>
              <w:rPr>
                <w:color w:val="auto"/>
                <w:sz w:val="22"/>
                <w:szCs w:val="22"/>
              </w:rPr>
            </w:pPr>
            <w:r>
              <w:rPr>
                <w:color w:val="auto"/>
                <w:sz w:val="22"/>
                <w:szCs w:val="22"/>
              </w:rPr>
              <w:t>1</w:t>
            </w:r>
          </w:p>
        </w:tc>
        <w:tc>
          <w:tcPr>
            <w:tcW w:w="708" w:type="dxa"/>
            <w:vMerge w:val="restart"/>
            <w:vAlign w:val="center"/>
          </w:tcPr>
          <w:p w14:paraId="52B8EA4C">
            <w:pPr>
              <w:pStyle w:val="85"/>
              <w:jc w:val="center"/>
              <w:rPr>
                <w:color w:val="auto"/>
                <w:sz w:val="22"/>
                <w:szCs w:val="22"/>
              </w:rPr>
            </w:pPr>
            <w:r>
              <w:rPr>
                <w:color w:val="auto"/>
                <w:sz w:val="22"/>
                <w:szCs w:val="22"/>
              </w:rPr>
              <w:t>2</w:t>
            </w:r>
          </w:p>
        </w:tc>
        <w:tc>
          <w:tcPr>
            <w:tcW w:w="709" w:type="dxa"/>
            <w:vMerge w:val="restart"/>
            <w:vAlign w:val="center"/>
          </w:tcPr>
          <w:p w14:paraId="55636E28">
            <w:pPr>
              <w:pStyle w:val="85"/>
              <w:jc w:val="center"/>
              <w:rPr>
                <w:color w:val="auto"/>
                <w:sz w:val="22"/>
                <w:szCs w:val="22"/>
              </w:rPr>
            </w:pPr>
            <w:r>
              <w:rPr>
                <w:color w:val="auto"/>
                <w:sz w:val="22"/>
                <w:szCs w:val="22"/>
              </w:rPr>
              <w:t>2</w:t>
            </w:r>
          </w:p>
        </w:tc>
        <w:tc>
          <w:tcPr>
            <w:tcW w:w="851" w:type="dxa"/>
            <w:vMerge w:val="restart"/>
            <w:vAlign w:val="center"/>
          </w:tcPr>
          <w:p w14:paraId="2427E72E">
            <w:pPr>
              <w:pStyle w:val="85"/>
              <w:jc w:val="center"/>
              <w:rPr>
                <w:color w:val="auto"/>
                <w:sz w:val="22"/>
                <w:szCs w:val="22"/>
              </w:rPr>
            </w:pPr>
            <w:r>
              <w:rPr>
                <w:color w:val="auto"/>
                <w:sz w:val="22"/>
                <w:szCs w:val="22"/>
              </w:rPr>
              <w:t>1</w:t>
            </w:r>
          </w:p>
        </w:tc>
        <w:tc>
          <w:tcPr>
            <w:tcW w:w="992" w:type="dxa"/>
            <w:vMerge w:val="restart"/>
            <w:vAlign w:val="center"/>
          </w:tcPr>
          <w:p w14:paraId="133C3723">
            <w:pPr>
              <w:pStyle w:val="85"/>
              <w:jc w:val="center"/>
              <w:rPr>
                <w:color w:val="auto"/>
                <w:sz w:val="22"/>
                <w:szCs w:val="22"/>
              </w:rPr>
            </w:pPr>
            <w:r>
              <w:rPr>
                <w:color w:val="auto"/>
                <w:sz w:val="22"/>
                <w:szCs w:val="22"/>
              </w:rPr>
              <w:t>6</w:t>
            </w:r>
          </w:p>
        </w:tc>
      </w:tr>
      <w:tr w14:paraId="615B24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2494" w:type="dxa"/>
            <w:vMerge w:val="continue"/>
          </w:tcPr>
          <w:p w14:paraId="58E1D38E">
            <w:pPr>
              <w:pStyle w:val="85"/>
              <w:rPr>
                <w:color w:val="auto"/>
                <w:sz w:val="22"/>
                <w:szCs w:val="22"/>
              </w:rPr>
            </w:pPr>
          </w:p>
        </w:tc>
        <w:tc>
          <w:tcPr>
            <w:tcW w:w="2665" w:type="dxa"/>
            <w:vAlign w:val="center"/>
          </w:tcPr>
          <w:p w14:paraId="187AFA91">
            <w:pPr>
              <w:pStyle w:val="85"/>
              <w:rPr>
                <w:color w:val="auto"/>
                <w:sz w:val="22"/>
                <w:szCs w:val="22"/>
              </w:rPr>
            </w:pPr>
            <w:r>
              <w:rPr>
                <w:color w:val="auto"/>
                <w:sz w:val="22"/>
                <w:szCs w:val="22"/>
              </w:rPr>
              <w:t>Литературное чтение (на чувашском языке)</w:t>
            </w:r>
          </w:p>
        </w:tc>
        <w:tc>
          <w:tcPr>
            <w:tcW w:w="1566" w:type="dxa"/>
            <w:vMerge w:val="continue"/>
          </w:tcPr>
          <w:p w14:paraId="0850EB95">
            <w:pPr>
              <w:pStyle w:val="85"/>
              <w:rPr>
                <w:color w:val="auto"/>
                <w:sz w:val="22"/>
                <w:szCs w:val="22"/>
              </w:rPr>
            </w:pPr>
          </w:p>
        </w:tc>
        <w:tc>
          <w:tcPr>
            <w:tcW w:w="708" w:type="dxa"/>
            <w:vMerge w:val="continue"/>
          </w:tcPr>
          <w:p w14:paraId="5C3F23D1">
            <w:pPr>
              <w:pStyle w:val="85"/>
              <w:rPr>
                <w:color w:val="auto"/>
                <w:sz w:val="22"/>
                <w:szCs w:val="22"/>
              </w:rPr>
            </w:pPr>
          </w:p>
        </w:tc>
        <w:tc>
          <w:tcPr>
            <w:tcW w:w="709" w:type="dxa"/>
            <w:vMerge w:val="continue"/>
          </w:tcPr>
          <w:p w14:paraId="47F7B93A">
            <w:pPr>
              <w:pStyle w:val="85"/>
              <w:rPr>
                <w:color w:val="auto"/>
                <w:sz w:val="22"/>
                <w:szCs w:val="22"/>
              </w:rPr>
            </w:pPr>
          </w:p>
        </w:tc>
        <w:tc>
          <w:tcPr>
            <w:tcW w:w="851" w:type="dxa"/>
            <w:vMerge w:val="continue"/>
          </w:tcPr>
          <w:p w14:paraId="6A1BF718">
            <w:pPr>
              <w:pStyle w:val="85"/>
              <w:rPr>
                <w:color w:val="auto"/>
                <w:sz w:val="22"/>
                <w:szCs w:val="22"/>
              </w:rPr>
            </w:pPr>
          </w:p>
        </w:tc>
        <w:tc>
          <w:tcPr>
            <w:tcW w:w="992" w:type="dxa"/>
            <w:vMerge w:val="continue"/>
          </w:tcPr>
          <w:p w14:paraId="6F417719">
            <w:pPr>
              <w:pStyle w:val="85"/>
              <w:rPr>
                <w:color w:val="auto"/>
                <w:sz w:val="22"/>
                <w:szCs w:val="22"/>
              </w:rPr>
            </w:pPr>
          </w:p>
        </w:tc>
      </w:tr>
      <w:tr w14:paraId="325D49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2494" w:type="dxa"/>
            <w:vAlign w:val="center"/>
          </w:tcPr>
          <w:p w14:paraId="18F4A29B">
            <w:pPr>
              <w:pStyle w:val="85"/>
              <w:rPr>
                <w:color w:val="auto"/>
                <w:sz w:val="22"/>
                <w:szCs w:val="22"/>
              </w:rPr>
            </w:pPr>
            <w:r>
              <w:rPr>
                <w:color w:val="auto"/>
                <w:sz w:val="22"/>
                <w:szCs w:val="22"/>
              </w:rPr>
              <w:t>Иностранный язык</w:t>
            </w:r>
          </w:p>
        </w:tc>
        <w:tc>
          <w:tcPr>
            <w:tcW w:w="2665" w:type="dxa"/>
            <w:vAlign w:val="center"/>
          </w:tcPr>
          <w:p w14:paraId="01A22660">
            <w:pPr>
              <w:pStyle w:val="85"/>
              <w:rPr>
                <w:color w:val="auto"/>
                <w:sz w:val="22"/>
                <w:szCs w:val="22"/>
              </w:rPr>
            </w:pPr>
            <w:r>
              <w:rPr>
                <w:color w:val="auto"/>
                <w:sz w:val="22"/>
                <w:szCs w:val="22"/>
              </w:rPr>
              <w:t>Иностранный язык</w:t>
            </w:r>
          </w:p>
          <w:p w14:paraId="5D08F0BA">
            <w:pPr>
              <w:pStyle w:val="85"/>
              <w:rPr>
                <w:color w:val="auto"/>
                <w:sz w:val="22"/>
                <w:szCs w:val="22"/>
              </w:rPr>
            </w:pPr>
            <w:r>
              <w:rPr>
                <w:color w:val="auto"/>
                <w:sz w:val="22"/>
                <w:szCs w:val="22"/>
              </w:rPr>
              <w:t>(английский)</w:t>
            </w:r>
          </w:p>
        </w:tc>
        <w:tc>
          <w:tcPr>
            <w:tcW w:w="1566" w:type="dxa"/>
            <w:vAlign w:val="center"/>
          </w:tcPr>
          <w:p w14:paraId="1EF675DB">
            <w:pPr>
              <w:pStyle w:val="85"/>
              <w:jc w:val="center"/>
              <w:rPr>
                <w:color w:val="auto"/>
                <w:sz w:val="22"/>
                <w:szCs w:val="22"/>
              </w:rPr>
            </w:pPr>
            <w:r>
              <w:rPr>
                <w:color w:val="auto"/>
                <w:sz w:val="22"/>
                <w:szCs w:val="22"/>
              </w:rPr>
              <w:t>-</w:t>
            </w:r>
          </w:p>
        </w:tc>
        <w:tc>
          <w:tcPr>
            <w:tcW w:w="708" w:type="dxa"/>
            <w:vAlign w:val="center"/>
          </w:tcPr>
          <w:p w14:paraId="57AA155A">
            <w:pPr>
              <w:pStyle w:val="85"/>
              <w:jc w:val="center"/>
              <w:rPr>
                <w:color w:val="auto"/>
                <w:sz w:val="22"/>
                <w:szCs w:val="22"/>
              </w:rPr>
            </w:pPr>
            <w:r>
              <w:rPr>
                <w:color w:val="auto"/>
                <w:sz w:val="22"/>
                <w:szCs w:val="22"/>
              </w:rPr>
              <w:t>2</w:t>
            </w:r>
          </w:p>
        </w:tc>
        <w:tc>
          <w:tcPr>
            <w:tcW w:w="709" w:type="dxa"/>
            <w:vAlign w:val="center"/>
          </w:tcPr>
          <w:p w14:paraId="33275B8D">
            <w:pPr>
              <w:pStyle w:val="85"/>
              <w:jc w:val="center"/>
              <w:rPr>
                <w:color w:val="auto"/>
                <w:sz w:val="22"/>
                <w:szCs w:val="22"/>
              </w:rPr>
            </w:pPr>
            <w:r>
              <w:rPr>
                <w:color w:val="auto"/>
                <w:sz w:val="22"/>
                <w:szCs w:val="22"/>
              </w:rPr>
              <w:t>2</w:t>
            </w:r>
          </w:p>
        </w:tc>
        <w:tc>
          <w:tcPr>
            <w:tcW w:w="851" w:type="dxa"/>
            <w:vAlign w:val="center"/>
          </w:tcPr>
          <w:p w14:paraId="582C754E">
            <w:pPr>
              <w:pStyle w:val="85"/>
              <w:jc w:val="center"/>
              <w:rPr>
                <w:color w:val="auto"/>
                <w:sz w:val="22"/>
                <w:szCs w:val="22"/>
              </w:rPr>
            </w:pPr>
            <w:r>
              <w:rPr>
                <w:color w:val="auto"/>
                <w:sz w:val="22"/>
                <w:szCs w:val="22"/>
              </w:rPr>
              <w:t>2</w:t>
            </w:r>
          </w:p>
        </w:tc>
        <w:tc>
          <w:tcPr>
            <w:tcW w:w="992" w:type="dxa"/>
            <w:vAlign w:val="center"/>
          </w:tcPr>
          <w:p w14:paraId="070AB1B7">
            <w:pPr>
              <w:pStyle w:val="85"/>
              <w:jc w:val="center"/>
              <w:rPr>
                <w:color w:val="auto"/>
                <w:sz w:val="22"/>
                <w:szCs w:val="22"/>
              </w:rPr>
            </w:pPr>
            <w:r>
              <w:rPr>
                <w:color w:val="auto"/>
                <w:sz w:val="22"/>
                <w:szCs w:val="22"/>
              </w:rPr>
              <w:t>6</w:t>
            </w:r>
          </w:p>
        </w:tc>
      </w:tr>
      <w:tr w14:paraId="6FF457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2494" w:type="dxa"/>
            <w:vAlign w:val="center"/>
          </w:tcPr>
          <w:p w14:paraId="5FE630CC">
            <w:pPr>
              <w:pStyle w:val="85"/>
              <w:rPr>
                <w:color w:val="auto"/>
                <w:sz w:val="22"/>
                <w:szCs w:val="22"/>
              </w:rPr>
            </w:pPr>
            <w:r>
              <w:rPr>
                <w:color w:val="auto"/>
                <w:sz w:val="22"/>
                <w:szCs w:val="22"/>
              </w:rPr>
              <w:t>Математика и информатика</w:t>
            </w:r>
          </w:p>
        </w:tc>
        <w:tc>
          <w:tcPr>
            <w:tcW w:w="2665" w:type="dxa"/>
            <w:vAlign w:val="center"/>
          </w:tcPr>
          <w:p w14:paraId="2162574A">
            <w:pPr>
              <w:pStyle w:val="85"/>
              <w:rPr>
                <w:color w:val="auto"/>
                <w:sz w:val="22"/>
                <w:szCs w:val="22"/>
              </w:rPr>
            </w:pPr>
            <w:r>
              <w:rPr>
                <w:color w:val="auto"/>
                <w:sz w:val="22"/>
                <w:szCs w:val="22"/>
              </w:rPr>
              <w:t>Математика</w:t>
            </w:r>
          </w:p>
        </w:tc>
        <w:tc>
          <w:tcPr>
            <w:tcW w:w="1566" w:type="dxa"/>
            <w:vAlign w:val="center"/>
          </w:tcPr>
          <w:p w14:paraId="11CC7F66">
            <w:pPr>
              <w:pStyle w:val="85"/>
              <w:jc w:val="center"/>
              <w:rPr>
                <w:color w:val="auto"/>
                <w:sz w:val="22"/>
                <w:szCs w:val="22"/>
              </w:rPr>
            </w:pPr>
            <w:r>
              <w:rPr>
                <w:color w:val="auto"/>
                <w:sz w:val="22"/>
                <w:szCs w:val="22"/>
              </w:rPr>
              <w:t>4</w:t>
            </w:r>
          </w:p>
        </w:tc>
        <w:tc>
          <w:tcPr>
            <w:tcW w:w="708" w:type="dxa"/>
            <w:vAlign w:val="center"/>
          </w:tcPr>
          <w:p w14:paraId="16B18055">
            <w:pPr>
              <w:pStyle w:val="85"/>
              <w:jc w:val="center"/>
              <w:rPr>
                <w:color w:val="auto"/>
                <w:sz w:val="22"/>
                <w:szCs w:val="22"/>
              </w:rPr>
            </w:pPr>
            <w:r>
              <w:rPr>
                <w:color w:val="auto"/>
                <w:sz w:val="22"/>
                <w:szCs w:val="22"/>
              </w:rPr>
              <w:t>4</w:t>
            </w:r>
          </w:p>
        </w:tc>
        <w:tc>
          <w:tcPr>
            <w:tcW w:w="709" w:type="dxa"/>
            <w:vAlign w:val="center"/>
          </w:tcPr>
          <w:p w14:paraId="0C209826">
            <w:pPr>
              <w:pStyle w:val="85"/>
              <w:jc w:val="center"/>
              <w:rPr>
                <w:color w:val="auto"/>
                <w:sz w:val="22"/>
                <w:szCs w:val="22"/>
              </w:rPr>
            </w:pPr>
            <w:r>
              <w:rPr>
                <w:color w:val="auto"/>
                <w:sz w:val="22"/>
                <w:szCs w:val="22"/>
              </w:rPr>
              <w:t>4</w:t>
            </w:r>
          </w:p>
        </w:tc>
        <w:tc>
          <w:tcPr>
            <w:tcW w:w="851" w:type="dxa"/>
            <w:vAlign w:val="center"/>
          </w:tcPr>
          <w:p w14:paraId="3FA03C6F">
            <w:pPr>
              <w:pStyle w:val="85"/>
              <w:jc w:val="center"/>
              <w:rPr>
                <w:color w:val="auto"/>
                <w:sz w:val="22"/>
                <w:szCs w:val="22"/>
              </w:rPr>
            </w:pPr>
            <w:r>
              <w:rPr>
                <w:color w:val="auto"/>
                <w:sz w:val="22"/>
                <w:szCs w:val="22"/>
              </w:rPr>
              <w:t>4</w:t>
            </w:r>
          </w:p>
        </w:tc>
        <w:tc>
          <w:tcPr>
            <w:tcW w:w="992" w:type="dxa"/>
            <w:vAlign w:val="center"/>
          </w:tcPr>
          <w:p w14:paraId="5AD5D15C">
            <w:pPr>
              <w:pStyle w:val="85"/>
              <w:jc w:val="center"/>
              <w:rPr>
                <w:color w:val="auto"/>
                <w:sz w:val="22"/>
                <w:szCs w:val="22"/>
              </w:rPr>
            </w:pPr>
            <w:r>
              <w:rPr>
                <w:color w:val="auto"/>
                <w:sz w:val="22"/>
                <w:szCs w:val="22"/>
              </w:rPr>
              <w:t>16</w:t>
            </w:r>
          </w:p>
        </w:tc>
      </w:tr>
      <w:tr w14:paraId="3201AD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2494" w:type="dxa"/>
            <w:vAlign w:val="center"/>
          </w:tcPr>
          <w:p w14:paraId="3836574D">
            <w:pPr>
              <w:pStyle w:val="85"/>
              <w:rPr>
                <w:color w:val="auto"/>
                <w:sz w:val="22"/>
                <w:szCs w:val="22"/>
              </w:rPr>
            </w:pPr>
            <w:r>
              <w:rPr>
                <w:color w:val="auto"/>
                <w:sz w:val="22"/>
                <w:szCs w:val="22"/>
              </w:rPr>
              <w:t>Обществознание и естествознание (Окружающий мир)</w:t>
            </w:r>
          </w:p>
        </w:tc>
        <w:tc>
          <w:tcPr>
            <w:tcW w:w="2665" w:type="dxa"/>
            <w:vAlign w:val="center"/>
          </w:tcPr>
          <w:p w14:paraId="07FBEEB9">
            <w:pPr>
              <w:pStyle w:val="85"/>
              <w:rPr>
                <w:color w:val="auto"/>
                <w:sz w:val="22"/>
                <w:szCs w:val="22"/>
              </w:rPr>
            </w:pPr>
            <w:r>
              <w:rPr>
                <w:color w:val="auto"/>
                <w:sz w:val="22"/>
                <w:szCs w:val="22"/>
              </w:rPr>
              <w:t>Окружающий мир</w:t>
            </w:r>
          </w:p>
        </w:tc>
        <w:tc>
          <w:tcPr>
            <w:tcW w:w="1566" w:type="dxa"/>
            <w:vAlign w:val="center"/>
          </w:tcPr>
          <w:p w14:paraId="0274CBA1">
            <w:pPr>
              <w:pStyle w:val="85"/>
              <w:jc w:val="center"/>
              <w:rPr>
                <w:color w:val="auto"/>
                <w:sz w:val="22"/>
                <w:szCs w:val="22"/>
              </w:rPr>
            </w:pPr>
            <w:r>
              <w:rPr>
                <w:color w:val="auto"/>
                <w:sz w:val="22"/>
                <w:szCs w:val="22"/>
              </w:rPr>
              <w:t>2</w:t>
            </w:r>
          </w:p>
        </w:tc>
        <w:tc>
          <w:tcPr>
            <w:tcW w:w="708" w:type="dxa"/>
            <w:vAlign w:val="center"/>
          </w:tcPr>
          <w:p w14:paraId="438C5413">
            <w:pPr>
              <w:pStyle w:val="85"/>
              <w:jc w:val="center"/>
              <w:rPr>
                <w:color w:val="auto"/>
                <w:sz w:val="22"/>
                <w:szCs w:val="22"/>
              </w:rPr>
            </w:pPr>
            <w:r>
              <w:rPr>
                <w:color w:val="auto"/>
                <w:sz w:val="22"/>
                <w:szCs w:val="22"/>
              </w:rPr>
              <w:t>2</w:t>
            </w:r>
          </w:p>
        </w:tc>
        <w:tc>
          <w:tcPr>
            <w:tcW w:w="709" w:type="dxa"/>
            <w:vAlign w:val="center"/>
          </w:tcPr>
          <w:p w14:paraId="6B889F02">
            <w:pPr>
              <w:pStyle w:val="85"/>
              <w:jc w:val="center"/>
              <w:rPr>
                <w:color w:val="auto"/>
                <w:sz w:val="22"/>
                <w:szCs w:val="22"/>
              </w:rPr>
            </w:pPr>
            <w:r>
              <w:rPr>
                <w:color w:val="auto"/>
                <w:sz w:val="22"/>
                <w:szCs w:val="22"/>
              </w:rPr>
              <w:t>2</w:t>
            </w:r>
          </w:p>
        </w:tc>
        <w:tc>
          <w:tcPr>
            <w:tcW w:w="851" w:type="dxa"/>
            <w:vAlign w:val="center"/>
          </w:tcPr>
          <w:p w14:paraId="2D16836C">
            <w:pPr>
              <w:pStyle w:val="85"/>
              <w:jc w:val="center"/>
              <w:rPr>
                <w:color w:val="auto"/>
                <w:sz w:val="22"/>
                <w:szCs w:val="22"/>
              </w:rPr>
            </w:pPr>
            <w:r>
              <w:rPr>
                <w:color w:val="auto"/>
                <w:sz w:val="22"/>
                <w:szCs w:val="22"/>
              </w:rPr>
              <w:t>2</w:t>
            </w:r>
          </w:p>
        </w:tc>
        <w:tc>
          <w:tcPr>
            <w:tcW w:w="992" w:type="dxa"/>
            <w:vAlign w:val="center"/>
          </w:tcPr>
          <w:p w14:paraId="41A17061">
            <w:pPr>
              <w:pStyle w:val="85"/>
              <w:jc w:val="center"/>
              <w:rPr>
                <w:color w:val="auto"/>
                <w:sz w:val="22"/>
                <w:szCs w:val="22"/>
              </w:rPr>
            </w:pPr>
            <w:r>
              <w:rPr>
                <w:color w:val="auto"/>
                <w:sz w:val="22"/>
                <w:szCs w:val="22"/>
              </w:rPr>
              <w:t>8</w:t>
            </w:r>
          </w:p>
        </w:tc>
      </w:tr>
      <w:tr w14:paraId="6DD394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2494" w:type="dxa"/>
            <w:vAlign w:val="center"/>
          </w:tcPr>
          <w:p w14:paraId="7FBAEBBA">
            <w:pPr>
              <w:pStyle w:val="85"/>
              <w:rPr>
                <w:color w:val="auto"/>
                <w:sz w:val="22"/>
                <w:szCs w:val="22"/>
              </w:rPr>
            </w:pPr>
            <w:r>
              <w:rPr>
                <w:color w:val="auto"/>
                <w:sz w:val="22"/>
                <w:szCs w:val="22"/>
              </w:rPr>
              <w:t>Основы религиозных культур и светской этики</w:t>
            </w:r>
          </w:p>
        </w:tc>
        <w:tc>
          <w:tcPr>
            <w:tcW w:w="2665" w:type="dxa"/>
            <w:vAlign w:val="center"/>
          </w:tcPr>
          <w:p w14:paraId="3C71CD5A">
            <w:pPr>
              <w:pStyle w:val="85"/>
              <w:rPr>
                <w:color w:val="auto"/>
                <w:sz w:val="22"/>
                <w:szCs w:val="22"/>
              </w:rPr>
            </w:pPr>
            <w:r>
              <w:rPr>
                <w:color w:val="auto"/>
                <w:sz w:val="22"/>
                <w:szCs w:val="22"/>
              </w:rPr>
              <w:t>Основы религиозных культур и светской этики</w:t>
            </w:r>
          </w:p>
        </w:tc>
        <w:tc>
          <w:tcPr>
            <w:tcW w:w="1566" w:type="dxa"/>
            <w:vAlign w:val="center"/>
          </w:tcPr>
          <w:p w14:paraId="138C897D">
            <w:pPr>
              <w:pStyle w:val="85"/>
              <w:jc w:val="center"/>
              <w:rPr>
                <w:color w:val="auto"/>
                <w:sz w:val="22"/>
                <w:szCs w:val="22"/>
              </w:rPr>
            </w:pPr>
            <w:r>
              <w:rPr>
                <w:color w:val="auto"/>
                <w:sz w:val="22"/>
                <w:szCs w:val="22"/>
              </w:rPr>
              <w:t>-</w:t>
            </w:r>
          </w:p>
        </w:tc>
        <w:tc>
          <w:tcPr>
            <w:tcW w:w="708" w:type="dxa"/>
            <w:vAlign w:val="center"/>
          </w:tcPr>
          <w:p w14:paraId="7A43E521">
            <w:pPr>
              <w:pStyle w:val="85"/>
              <w:jc w:val="center"/>
              <w:rPr>
                <w:color w:val="auto"/>
                <w:sz w:val="22"/>
                <w:szCs w:val="22"/>
              </w:rPr>
            </w:pPr>
            <w:r>
              <w:rPr>
                <w:color w:val="auto"/>
                <w:sz w:val="22"/>
                <w:szCs w:val="22"/>
              </w:rPr>
              <w:t>-</w:t>
            </w:r>
          </w:p>
        </w:tc>
        <w:tc>
          <w:tcPr>
            <w:tcW w:w="709" w:type="dxa"/>
            <w:vAlign w:val="center"/>
          </w:tcPr>
          <w:p w14:paraId="6DE7A016">
            <w:pPr>
              <w:pStyle w:val="85"/>
              <w:jc w:val="center"/>
              <w:rPr>
                <w:color w:val="auto"/>
                <w:sz w:val="22"/>
                <w:szCs w:val="22"/>
              </w:rPr>
            </w:pPr>
            <w:r>
              <w:rPr>
                <w:color w:val="auto"/>
                <w:sz w:val="22"/>
                <w:szCs w:val="22"/>
              </w:rPr>
              <w:t>-</w:t>
            </w:r>
          </w:p>
        </w:tc>
        <w:tc>
          <w:tcPr>
            <w:tcW w:w="851" w:type="dxa"/>
            <w:vAlign w:val="center"/>
          </w:tcPr>
          <w:p w14:paraId="2E96867D">
            <w:pPr>
              <w:pStyle w:val="85"/>
              <w:jc w:val="center"/>
              <w:rPr>
                <w:color w:val="auto"/>
                <w:sz w:val="22"/>
                <w:szCs w:val="22"/>
              </w:rPr>
            </w:pPr>
            <w:r>
              <w:rPr>
                <w:color w:val="auto"/>
                <w:sz w:val="22"/>
                <w:szCs w:val="22"/>
              </w:rPr>
              <w:t>1</w:t>
            </w:r>
          </w:p>
        </w:tc>
        <w:tc>
          <w:tcPr>
            <w:tcW w:w="992" w:type="dxa"/>
            <w:vAlign w:val="center"/>
          </w:tcPr>
          <w:p w14:paraId="3C0113DF">
            <w:pPr>
              <w:pStyle w:val="85"/>
              <w:jc w:val="center"/>
              <w:rPr>
                <w:color w:val="auto"/>
                <w:sz w:val="22"/>
                <w:szCs w:val="22"/>
              </w:rPr>
            </w:pPr>
            <w:r>
              <w:rPr>
                <w:color w:val="auto"/>
                <w:sz w:val="22"/>
                <w:szCs w:val="22"/>
              </w:rPr>
              <w:t>1</w:t>
            </w:r>
          </w:p>
        </w:tc>
      </w:tr>
      <w:tr w14:paraId="12E756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2494" w:type="dxa"/>
            <w:vMerge w:val="restart"/>
            <w:vAlign w:val="center"/>
          </w:tcPr>
          <w:p w14:paraId="7FDECA06">
            <w:pPr>
              <w:pStyle w:val="85"/>
              <w:rPr>
                <w:color w:val="auto"/>
                <w:sz w:val="22"/>
                <w:szCs w:val="22"/>
              </w:rPr>
            </w:pPr>
            <w:r>
              <w:rPr>
                <w:color w:val="auto"/>
                <w:sz w:val="22"/>
                <w:szCs w:val="22"/>
              </w:rPr>
              <w:t>Искусство</w:t>
            </w:r>
          </w:p>
        </w:tc>
        <w:tc>
          <w:tcPr>
            <w:tcW w:w="2665" w:type="dxa"/>
            <w:vAlign w:val="center"/>
          </w:tcPr>
          <w:p w14:paraId="22BBD06E">
            <w:pPr>
              <w:pStyle w:val="85"/>
              <w:rPr>
                <w:color w:val="auto"/>
                <w:sz w:val="22"/>
                <w:szCs w:val="22"/>
              </w:rPr>
            </w:pPr>
            <w:r>
              <w:rPr>
                <w:color w:val="auto"/>
                <w:sz w:val="22"/>
                <w:szCs w:val="22"/>
              </w:rPr>
              <w:t>Изобразительное искусство</w:t>
            </w:r>
          </w:p>
        </w:tc>
        <w:tc>
          <w:tcPr>
            <w:tcW w:w="1566" w:type="dxa"/>
            <w:vAlign w:val="center"/>
          </w:tcPr>
          <w:p w14:paraId="7521AA27">
            <w:pPr>
              <w:pStyle w:val="85"/>
              <w:jc w:val="center"/>
              <w:rPr>
                <w:color w:val="auto"/>
                <w:sz w:val="22"/>
                <w:szCs w:val="22"/>
              </w:rPr>
            </w:pPr>
            <w:r>
              <w:rPr>
                <w:color w:val="auto"/>
                <w:sz w:val="22"/>
                <w:szCs w:val="22"/>
              </w:rPr>
              <w:t>1</w:t>
            </w:r>
          </w:p>
        </w:tc>
        <w:tc>
          <w:tcPr>
            <w:tcW w:w="708" w:type="dxa"/>
            <w:vAlign w:val="center"/>
          </w:tcPr>
          <w:p w14:paraId="37235AD4">
            <w:pPr>
              <w:pStyle w:val="85"/>
              <w:jc w:val="center"/>
              <w:rPr>
                <w:color w:val="auto"/>
                <w:sz w:val="22"/>
                <w:szCs w:val="22"/>
              </w:rPr>
            </w:pPr>
            <w:r>
              <w:rPr>
                <w:color w:val="auto"/>
                <w:sz w:val="22"/>
                <w:szCs w:val="22"/>
              </w:rPr>
              <w:t>1</w:t>
            </w:r>
          </w:p>
        </w:tc>
        <w:tc>
          <w:tcPr>
            <w:tcW w:w="709" w:type="dxa"/>
            <w:vAlign w:val="center"/>
          </w:tcPr>
          <w:p w14:paraId="1D056AF0">
            <w:pPr>
              <w:pStyle w:val="85"/>
              <w:jc w:val="center"/>
              <w:rPr>
                <w:color w:val="auto"/>
                <w:sz w:val="22"/>
                <w:szCs w:val="22"/>
              </w:rPr>
            </w:pPr>
            <w:r>
              <w:rPr>
                <w:color w:val="auto"/>
                <w:sz w:val="22"/>
                <w:szCs w:val="22"/>
              </w:rPr>
              <w:t>1</w:t>
            </w:r>
          </w:p>
        </w:tc>
        <w:tc>
          <w:tcPr>
            <w:tcW w:w="851" w:type="dxa"/>
            <w:vAlign w:val="center"/>
          </w:tcPr>
          <w:p w14:paraId="2A938BE3">
            <w:pPr>
              <w:pStyle w:val="85"/>
              <w:jc w:val="center"/>
              <w:rPr>
                <w:color w:val="auto"/>
                <w:sz w:val="22"/>
                <w:szCs w:val="22"/>
              </w:rPr>
            </w:pPr>
            <w:r>
              <w:rPr>
                <w:color w:val="auto"/>
                <w:sz w:val="22"/>
                <w:szCs w:val="22"/>
              </w:rPr>
              <w:t>1</w:t>
            </w:r>
          </w:p>
        </w:tc>
        <w:tc>
          <w:tcPr>
            <w:tcW w:w="992" w:type="dxa"/>
            <w:vAlign w:val="center"/>
          </w:tcPr>
          <w:p w14:paraId="71A4496B">
            <w:pPr>
              <w:pStyle w:val="85"/>
              <w:jc w:val="center"/>
              <w:rPr>
                <w:color w:val="auto"/>
                <w:sz w:val="22"/>
                <w:szCs w:val="22"/>
              </w:rPr>
            </w:pPr>
            <w:r>
              <w:rPr>
                <w:color w:val="auto"/>
                <w:sz w:val="22"/>
                <w:szCs w:val="22"/>
              </w:rPr>
              <w:t>4</w:t>
            </w:r>
          </w:p>
        </w:tc>
      </w:tr>
      <w:tr w14:paraId="64FF94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2494" w:type="dxa"/>
            <w:vMerge w:val="continue"/>
          </w:tcPr>
          <w:p w14:paraId="219654B8">
            <w:pPr>
              <w:pStyle w:val="85"/>
              <w:rPr>
                <w:color w:val="auto"/>
                <w:sz w:val="22"/>
                <w:szCs w:val="22"/>
              </w:rPr>
            </w:pPr>
          </w:p>
        </w:tc>
        <w:tc>
          <w:tcPr>
            <w:tcW w:w="2665" w:type="dxa"/>
            <w:vAlign w:val="center"/>
          </w:tcPr>
          <w:p w14:paraId="6A07A2C6">
            <w:pPr>
              <w:pStyle w:val="85"/>
              <w:rPr>
                <w:color w:val="auto"/>
                <w:sz w:val="22"/>
                <w:szCs w:val="22"/>
              </w:rPr>
            </w:pPr>
            <w:r>
              <w:rPr>
                <w:color w:val="auto"/>
                <w:sz w:val="22"/>
                <w:szCs w:val="22"/>
              </w:rPr>
              <w:t>Музыка</w:t>
            </w:r>
          </w:p>
        </w:tc>
        <w:tc>
          <w:tcPr>
            <w:tcW w:w="1566" w:type="dxa"/>
            <w:vAlign w:val="center"/>
          </w:tcPr>
          <w:p w14:paraId="255DC41C">
            <w:pPr>
              <w:pStyle w:val="85"/>
              <w:jc w:val="center"/>
              <w:rPr>
                <w:color w:val="auto"/>
                <w:sz w:val="22"/>
                <w:szCs w:val="22"/>
              </w:rPr>
            </w:pPr>
            <w:r>
              <w:rPr>
                <w:color w:val="auto"/>
                <w:sz w:val="22"/>
                <w:szCs w:val="22"/>
              </w:rPr>
              <w:t>1</w:t>
            </w:r>
          </w:p>
        </w:tc>
        <w:tc>
          <w:tcPr>
            <w:tcW w:w="708" w:type="dxa"/>
            <w:vAlign w:val="center"/>
          </w:tcPr>
          <w:p w14:paraId="4C92024A">
            <w:pPr>
              <w:pStyle w:val="85"/>
              <w:jc w:val="center"/>
              <w:rPr>
                <w:color w:val="auto"/>
                <w:sz w:val="22"/>
                <w:szCs w:val="22"/>
              </w:rPr>
            </w:pPr>
            <w:r>
              <w:rPr>
                <w:color w:val="auto"/>
                <w:sz w:val="22"/>
                <w:szCs w:val="22"/>
              </w:rPr>
              <w:t>1</w:t>
            </w:r>
          </w:p>
        </w:tc>
        <w:tc>
          <w:tcPr>
            <w:tcW w:w="709" w:type="dxa"/>
            <w:vAlign w:val="center"/>
          </w:tcPr>
          <w:p w14:paraId="132867EB">
            <w:pPr>
              <w:pStyle w:val="85"/>
              <w:jc w:val="center"/>
              <w:rPr>
                <w:color w:val="auto"/>
                <w:sz w:val="22"/>
                <w:szCs w:val="22"/>
              </w:rPr>
            </w:pPr>
            <w:r>
              <w:rPr>
                <w:color w:val="auto"/>
                <w:sz w:val="22"/>
                <w:szCs w:val="22"/>
              </w:rPr>
              <w:t>1</w:t>
            </w:r>
          </w:p>
        </w:tc>
        <w:tc>
          <w:tcPr>
            <w:tcW w:w="851" w:type="dxa"/>
            <w:vAlign w:val="center"/>
          </w:tcPr>
          <w:p w14:paraId="1CF545E2">
            <w:pPr>
              <w:pStyle w:val="85"/>
              <w:jc w:val="center"/>
              <w:rPr>
                <w:color w:val="auto"/>
                <w:sz w:val="22"/>
                <w:szCs w:val="22"/>
              </w:rPr>
            </w:pPr>
            <w:r>
              <w:rPr>
                <w:color w:val="auto"/>
                <w:sz w:val="22"/>
                <w:szCs w:val="22"/>
              </w:rPr>
              <w:t>1</w:t>
            </w:r>
          </w:p>
        </w:tc>
        <w:tc>
          <w:tcPr>
            <w:tcW w:w="992" w:type="dxa"/>
            <w:vAlign w:val="center"/>
          </w:tcPr>
          <w:p w14:paraId="1EDB1254">
            <w:pPr>
              <w:pStyle w:val="85"/>
              <w:jc w:val="center"/>
              <w:rPr>
                <w:color w:val="auto"/>
                <w:sz w:val="22"/>
                <w:szCs w:val="22"/>
              </w:rPr>
            </w:pPr>
            <w:r>
              <w:rPr>
                <w:color w:val="auto"/>
                <w:sz w:val="22"/>
                <w:szCs w:val="22"/>
              </w:rPr>
              <w:t>4</w:t>
            </w:r>
          </w:p>
        </w:tc>
      </w:tr>
      <w:tr w14:paraId="4F11F9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2494" w:type="dxa"/>
            <w:vAlign w:val="center"/>
          </w:tcPr>
          <w:p w14:paraId="5A272A75">
            <w:pPr>
              <w:pStyle w:val="85"/>
              <w:rPr>
                <w:color w:val="auto"/>
                <w:sz w:val="22"/>
                <w:szCs w:val="22"/>
              </w:rPr>
            </w:pPr>
            <w:r>
              <w:rPr>
                <w:color w:val="auto"/>
                <w:sz w:val="22"/>
                <w:szCs w:val="22"/>
              </w:rPr>
              <w:t>Технология</w:t>
            </w:r>
          </w:p>
        </w:tc>
        <w:tc>
          <w:tcPr>
            <w:tcW w:w="2665" w:type="dxa"/>
            <w:vAlign w:val="center"/>
          </w:tcPr>
          <w:p w14:paraId="41D11D27">
            <w:pPr>
              <w:pStyle w:val="85"/>
              <w:rPr>
                <w:color w:val="auto"/>
                <w:sz w:val="22"/>
                <w:szCs w:val="22"/>
              </w:rPr>
            </w:pPr>
            <w:r>
              <w:rPr>
                <w:color w:val="auto"/>
                <w:sz w:val="22"/>
                <w:szCs w:val="22"/>
              </w:rPr>
              <w:t>Технология</w:t>
            </w:r>
          </w:p>
        </w:tc>
        <w:tc>
          <w:tcPr>
            <w:tcW w:w="1566" w:type="dxa"/>
            <w:vAlign w:val="center"/>
          </w:tcPr>
          <w:p w14:paraId="24BA9D88">
            <w:pPr>
              <w:pStyle w:val="85"/>
              <w:jc w:val="center"/>
              <w:rPr>
                <w:color w:val="auto"/>
                <w:sz w:val="22"/>
                <w:szCs w:val="22"/>
              </w:rPr>
            </w:pPr>
            <w:r>
              <w:rPr>
                <w:color w:val="auto"/>
                <w:sz w:val="22"/>
                <w:szCs w:val="22"/>
              </w:rPr>
              <w:t>1</w:t>
            </w:r>
          </w:p>
        </w:tc>
        <w:tc>
          <w:tcPr>
            <w:tcW w:w="708" w:type="dxa"/>
            <w:vAlign w:val="center"/>
          </w:tcPr>
          <w:p w14:paraId="64369626">
            <w:pPr>
              <w:pStyle w:val="85"/>
              <w:jc w:val="center"/>
              <w:rPr>
                <w:color w:val="auto"/>
                <w:sz w:val="22"/>
                <w:szCs w:val="22"/>
              </w:rPr>
            </w:pPr>
            <w:r>
              <w:rPr>
                <w:color w:val="auto"/>
                <w:sz w:val="22"/>
                <w:szCs w:val="22"/>
              </w:rPr>
              <w:t>1</w:t>
            </w:r>
          </w:p>
        </w:tc>
        <w:tc>
          <w:tcPr>
            <w:tcW w:w="709" w:type="dxa"/>
            <w:vAlign w:val="center"/>
          </w:tcPr>
          <w:p w14:paraId="3DC9F522">
            <w:pPr>
              <w:pStyle w:val="85"/>
              <w:jc w:val="center"/>
              <w:rPr>
                <w:color w:val="auto"/>
                <w:sz w:val="22"/>
                <w:szCs w:val="22"/>
              </w:rPr>
            </w:pPr>
            <w:r>
              <w:rPr>
                <w:color w:val="auto"/>
                <w:sz w:val="22"/>
                <w:szCs w:val="22"/>
              </w:rPr>
              <w:t>1</w:t>
            </w:r>
          </w:p>
        </w:tc>
        <w:tc>
          <w:tcPr>
            <w:tcW w:w="851" w:type="dxa"/>
            <w:vAlign w:val="center"/>
          </w:tcPr>
          <w:p w14:paraId="1FADD680">
            <w:pPr>
              <w:pStyle w:val="85"/>
              <w:jc w:val="center"/>
              <w:rPr>
                <w:color w:val="auto"/>
                <w:sz w:val="22"/>
                <w:szCs w:val="22"/>
              </w:rPr>
            </w:pPr>
            <w:r>
              <w:rPr>
                <w:color w:val="auto"/>
                <w:sz w:val="22"/>
                <w:szCs w:val="22"/>
              </w:rPr>
              <w:t>1</w:t>
            </w:r>
          </w:p>
        </w:tc>
        <w:tc>
          <w:tcPr>
            <w:tcW w:w="992" w:type="dxa"/>
            <w:vAlign w:val="center"/>
          </w:tcPr>
          <w:p w14:paraId="697B9B18">
            <w:pPr>
              <w:pStyle w:val="85"/>
              <w:jc w:val="center"/>
              <w:rPr>
                <w:color w:val="auto"/>
                <w:sz w:val="22"/>
                <w:szCs w:val="22"/>
              </w:rPr>
            </w:pPr>
            <w:r>
              <w:rPr>
                <w:color w:val="auto"/>
                <w:sz w:val="22"/>
                <w:szCs w:val="22"/>
              </w:rPr>
              <w:t>4</w:t>
            </w:r>
          </w:p>
        </w:tc>
      </w:tr>
      <w:tr w14:paraId="110C5A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2494" w:type="dxa"/>
            <w:vAlign w:val="center"/>
          </w:tcPr>
          <w:p w14:paraId="490D1458">
            <w:pPr>
              <w:pStyle w:val="85"/>
              <w:rPr>
                <w:color w:val="auto"/>
                <w:sz w:val="22"/>
                <w:szCs w:val="22"/>
              </w:rPr>
            </w:pPr>
            <w:r>
              <w:rPr>
                <w:color w:val="auto"/>
                <w:sz w:val="22"/>
                <w:szCs w:val="22"/>
              </w:rPr>
              <w:t>Физическая культура</w:t>
            </w:r>
          </w:p>
        </w:tc>
        <w:tc>
          <w:tcPr>
            <w:tcW w:w="2665" w:type="dxa"/>
            <w:vAlign w:val="center"/>
          </w:tcPr>
          <w:p w14:paraId="1119E2F2">
            <w:pPr>
              <w:pStyle w:val="85"/>
              <w:rPr>
                <w:color w:val="auto"/>
                <w:sz w:val="22"/>
                <w:szCs w:val="22"/>
              </w:rPr>
            </w:pPr>
            <w:r>
              <w:rPr>
                <w:color w:val="auto"/>
                <w:sz w:val="22"/>
                <w:szCs w:val="22"/>
              </w:rPr>
              <w:t>Физическая культура</w:t>
            </w:r>
          </w:p>
        </w:tc>
        <w:tc>
          <w:tcPr>
            <w:tcW w:w="1566" w:type="dxa"/>
            <w:vAlign w:val="center"/>
          </w:tcPr>
          <w:p w14:paraId="4A5AB687">
            <w:pPr>
              <w:pStyle w:val="85"/>
              <w:jc w:val="center"/>
              <w:rPr>
                <w:color w:val="auto"/>
                <w:sz w:val="22"/>
                <w:szCs w:val="22"/>
              </w:rPr>
            </w:pPr>
            <w:r>
              <w:rPr>
                <w:color w:val="auto"/>
                <w:sz w:val="22"/>
                <w:szCs w:val="22"/>
              </w:rPr>
              <w:t>2</w:t>
            </w:r>
          </w:p>
        </w:tc>
        <w:tc>
          <w:tcPr>
            <w:tcW w:w="708" w:type="dxa"/>
            <w:vAlign w:val="center"/>
          </w:tcPr>
          <w:p w14:paraId="6C5E1059">
            <w:pPr>
              <w:pStyle w:val="85"/>
              <w:jc w:val="center"/>
              <w:rPr>
                <w:color w:val="auto"/>
                <w:sz w:val="22"/>
                <w:szCs w:val="22"/>
              </w:rPr>
            </w:pPr>
            <w:r>
              <w:rPr>
                <w:color w:val="auto"/>
                <w:sz w:val="22"/>
                <w:szCs w:val="22"/>
              </w:rPr>
              <w:t>2</w:t>
            </w:r>
          </w:p>
        </w:tc>
        <w:tc>
          <w:tcPr>
            <w:tcW w:w="709" w:type="dxa"/>
            <w:vAlign w:val="center"/>
          </w:tcPr>
          <w:p w14:paraId="3BC61806">
            <w:pPr>
              <w:pStyle w:val="85"/>
              <w:jc w:val="center"/>
              <w:rPr>
                <w:color w:val="auto"/>
                <w:sz w:val="22"/>
                <w:szCs w:val="22"/>
              </w:rPr>
            </w:pPr>
            <w:r>
              <w:rPr>
                <w:color w:val="auto"/>
                <w:sz w:val="22"/>
                <w:szCs w:val="22"/>
              </w:rPr>
              <w:t>2</w:t>
            </w:r>
          </w:p>
        </w:tc>
        <w:tc>
          <w:tcPr>
            <w:tcW w:w="851" w:type="dxa"/>
            <w:vAlign w:val="center"/>
          </w:tcPr>
          <w:p w14:paraId="1CABB317">
            <w:pPr>
              <w:pStyle w:val="85"/>
              <w:jc w:val="center"/>
              <w:rPr>
                <w:color w:val="auto"/>
                <w:sz w:val="22"/>
                <w:szCs w:val="22"/>
              </w:rPr>
            </w:pPr>
            <w:r>
              <w:rPr>
                <w:color w:val="auto"/>
                <w:sz w:val="22"/>
                <w:szCs w:val="22"/>
              </w:rPr>
              <w:t>2</w:t>
            </w:r>
          </w:p>
        </w:tc>
        <w:tc>
          <w:tcPr>
            <w:tcW w:w="992" w:type="dxa"/>
            <w:vAlign w:val="center"/>
          </w:tcPr>
          <w:p w14:paraId="338F68BF">
            <w:pPr>
              <w:pStyle w:val="85"/>
              <w:jc w:val="center"/>
              <w:rPr>
                <w:color w:val="auto"/>
                <w:sz w:val="22"/>
                <w:szCs w:val="22"/>
              </w:rPr>
            </w:pPr>
            <w:r>
              <w:rPr>
                <w:color w:val="auto"/>
                <w:sz w:val="22"/>
                <w:szCs w:val="22"/>
              </w:rPr>
              <w:t>8</w:t>
            </w:r>
          </w:p>
        </w:tc>
      </w:tr>
      <w:tr w14:paraId="6B076B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5159" w:type="dxa"/>
            <w:gridSpan w:val="2"/>
            <w:vAlign w:val="center"/>
          </w:tcPr>
          <w:p w14:paraId="35C38F12">
            <w:pPr>
              <w:pStyle w:val="85"/>
              <w:rPr>
                <w:color w:val="auto"/>
                <w:sz w:val="22"/>
                <w:szCs w:val="22"/>
              </w:rPr>
            </w:pPr>
            <w:r>
              <w:rPr>
                <w:color w:val="auto"/>
                <w:sz w:val="22"/>
                <w:szCs w:val="22"/>
              </w:rPr>
              <w:t>Итого:</w:t>
            </w:r>
          </w:p>
        </w:tc>
        <w:tc>
          <w:tcPr>
            <w:tcW w:w="1566" w:type="dxa"/>
            <w:vAlign w:val="center"/>
          </w:tcPr>
          <w:p w14:paraId="70C9EFE3">
            <w:pPr>
              <w:pStyle w:val="85"/>
              <w:jc w:val="center"/>
              <w:rPr>
                <w:color w:val="auto"/>
                <w:sz w:val="22"/>
                <w:szCs w:val="22"/>
              </w:rPr>
            </w:pPr>
            <w:r>
              <w:rPr>
                <w:color w:val="auto"/>
                <w:sz w:val="22"/>
                <w:szCs w:val="22"/>
              </w:rPr>
              <w:t>20</w:t>
            </w:r>
          </w:p>
        </w:tc>
        <w:tc>
          <w:tcPr>
            <w:tcW w:w="708" w:type="dxa"/>
            <w:vAlign w:val="center"/>
          </w:tcPr>
          <w:p w14:paraId="1EBE0196">
            <w:pPr>
              <w:pStyle w:val="85"/>
              <w:jc w:val="center"/>
              <w:rPr>
                <w:color w:val="auto"/>
                <w:sz w:val="22"/>
                <w:szCs w:val="22"/>
              </w:rPr>
            </w:pPr>
            <w:r>
              <w:rPr>
                <w:color w:val="auto"/>
                <w:sz w:val="22"/>
                <w:szCs w:val="22"/>
              </w:rPr>
              <w:t>23</w:t>
            </w:r>
          </w:p>
        </w:tc>
        <w:tc>
          <w:tcPr>
            <w:tcW w:w="709" w:type="dxa"/>
            <w:vAlign w:val="center"/>
          </w:tcPr>
          <w:p w14:paraId="5D589F75">
            <w:pPr>
              <w:pStyle w:val="85"/>
              <w:jc w:val="center"/>
              <w:rPr>
                <w:color w:val="auto"/>
                <w:sz w:val="22"/>
                <w:szCs w:val="22"/>
              </w:rPr>
            </w:pPr>
            <w:r>
              <w:rPr>
                <w:color w:val="auto"/>
                <w:sz w:val="22"/>
                <w:szCs w:val="22"/>
              </w:rPr>
              <w:t>23</w:t>
            </w:r>
          </w:p>
        </w:tc>
        <w:tc>
          <w:tcPr>
            <w:tcW w:w="851" w:type="dxa"/>
            <w:vAlign w:val="center"/>
          </w:tcPr>
          <w:p w14:paraId="31F447B9">
            <w:pPr>
              <w:pStyle w:val="85"/>
              <w:jc w:val="center"/>
              <w:rPr>
                <w:color w:val="auto"/>
                <w:sz w:val="22"/>
                <w:szCs w:val="22"/>
              </w:rPr>
            </w:pPr>
            <w:r>
              <w:rPr>
                <w:color w:val="auto"/>
                <w:sz w:val="22"/>
                <w:szCs w:val="22"/>
              </w:rPr>
              <w:t>23</w:t>
            </w:r>
          </w:p>
        </w:tc>
        <w:tc>
          <w:tcPr>
            <w:tcW w:w="992" w:type="dxa"/>
            <w:vAlign w:val="center"/>
          </w:tcPr>
          <w:p w14:paraId="1C353711">
            <w:pPr>
              <w:pStyle w:val="85"/>
              <w:jc w:val="center"/>
              <w:rPr>
                <w:color w:val="auto"/>
                <w:sz w:val="22"/>
                <w:szCs w:val="22"/>
              </w:rPr>
            </w:pPr>
            <w:r>
              <w:rPr>
                <w:color w:val="auto"/>
                <w:sz w:val="22"/>
                <w:szCs w:val="22"/>
              </w:rPr>
              <w:t>89</w:t>
            </w:r>
          </w:p>
        </w:tc>
      </w:tr>
      <w:tr w14:paraId="59453F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5159" w:type="dxa"/>
            <w:gridSpan w:val="2"/>
            <w:vAlign w:val="center"/>
          </w:tcPr>
          <w:p w14:paraId="3F297512">
            <w:pPr>
              <w:pStyle w:val="85"/>
              <w:rPr>
                <w:color w:val="auto"/>
                <w:sz w:val="22"/>
                <w:szCs w:val="22"/>
              </w:rPr>
            </w:pPr>
            <w:r>
              <w:rPr>
                <w:color w:val="auto"/>
                <w:sz w:val="22"/>
                <w:szCs w:val="22"/>
              </w:rPr>
              <w:t>Часть, формируемая участниками образовательных отношений</w:t>
            </w:r>
          </w:p>
        </w:tc>
        <w:tc>
          <w:tcPr>
            <w:tcW w:w="1566" w:type="dxa"/>
            <w:vAlign w:val="center"/>
          </w:tcPr>
          <w:p w14:paraId="67DB4ECC">
            <w:pPr>
              <w:pStyle w:val="85"/>
              <w:jc w:val="center"/>
              <w:rPr>
                <w:color w:val="auto"/>
                <w:sz w:val="22"/>
                <w:szCs w:val="22"/>
              </w:rPr>
            </w:pPr>
            <w:r>
              <w:rPr>
                <w:color w:val="auto"/>
                <w:sz w:val="22"/>
                <w:szCs w:val="22"/>
              </w:rPr>
              <w:t>0</w:t>
            </w:r>
          </w:p>
        </w:tc>
        <w:tc>
          <w:tcPr>
            <w:tcW w:w="708" w:type="dxa"/>
            <w:vAlign w:val="center"/>
          </w:tcPr>
          <w:p w14:paraId="0A386899">
            <w:pPr>
              <w:pStyle w:val="85"/>
              <w:jc w:val="center"/>
              <w:rPr>
                <w:color w:val="auto"/>
                <w:sz w:val="22"/>
                <w:szCs w:val="22"/>
              </w:rPr>
            </w:pPr>
            <w:r>
              <w:rPr>
                <w:color w:val="auto"/>
                <w:sz w:val="22"/>
                <w:szCs w:val="22"/>
              </w:rPr>
              <w:t>0</w:t>
            </w:r>
          </w:p>
        </w:tc>
        <w:tc>
          <w:tcPr>
            <w:tcW w:w="709" w:type="dxa"/>
            <w:vAlign w:val="center"/>
          </w:tcPr>
          <w:p w14:paraId="31F5A586">
            <w:pPr>
              <w:pStyle w:val="85"/>
              <w:jc w:val="center"/>
              <w:rPr>
                <w:color w:val="auto"/>
                <w:sz w:val="22"/>
                <w:szCs w:val="22"/>
              </w:rPr>
            </w:pPr>
            <w:r>
              <w:rPr>
                <w:color w:val="auto"/>
                <w:sz w:val="22"/>
                <w:szCs w:val="22"/>
              </w:rPr>
              <w:t>0</w:t>
            </w:r>
          </w:p>
        </w:tc>
        <w:tc>
          <w:tcPr>
            <w:tcW w:w="851" w:type="dxa"/>
            <w:vAlign w:val="center"/>
          </w:tcPr>
          <w:p w14:paraId="35331740">
            <w:pPr>
              <w:pStyle w:val="85"/>
              <w:jc w:val="center"/>
              <w:rPr>
                <w:color w:val="auto"/>
                <w:sz w:val="22"/>
                <w:szCs w:val="22"/>
              </w:rPr>
            </w:pPr>
            <w:r>
              <w:rPr>
                <w:color w:val="auto"/>
                <w:sz w:val="22"/>
                <w:szCs w:val="22"/>
              </w:rPr>
              <w:t>0</w:t>
            </w:r>
          </w:p>
        </w:tc>
        <w:tc>
          <w:tcPr>
            <w:tcW w:w="992" w:type="dxa"/>
            <w:vAlign w:val="center"/>
          </w:tcPr>
          <w:p w14:paraId="2A09A812">
            <w:pPr>
              <w:pStyle w:val="85"/>
              <w:jc w:val="center"/>
              <w:rPr>
                <w:color w:val="auto"/>
                <w:sz w:val="22"/>
                <w:szCs w:val="22"/>
              </w:rPr>
            </w:pPr>
            <w:r>
              <w:rPr>
                <w:color w:val="auto"/>
                <w:sz w:val="22"/>
                <w:szCs w:val="22"/>
              </w:rPr>
              <w:t>0</w:t>
            </w:r>
          </w:p>
        </w:tc>
      </w:tr>
      <w:tr w14:paraId="4D55F5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5159" w:type="dxa"/>
            <w:gridSpan w:val="2"/>
            <w:vAlign w:val="center"/>
          </w:tcPr>
          <w:p w14:paraId="79B9D6B5">
            <w:pPr>
              <w:pStyle w:val="85"/>
              <w:rPr>
                <w:color w:val="auto"/>
                <w:sz w:val="22"/>
                <w:szCs w:val="22"/>
              </w:rPr>
            </w:pPr>
            <w:r>
              <w:rPr>
                <w:color w:val="auto"/>
                <w:sz w:val="22"/>
                <w:szCs w:val="22"/>
              </w:rPr>
              <w:t>Учебные недели</w:t>
            </w:r>
          </w:p>
        </w:tc>
        <w:tc>
          <w:tcPr>
            <w:tcW w:w="1566" w:type="dxa"/>
            <w:vAlign w:val="center"/>
          </w:tcPr>
          <w:p w14:paraId="4E6D0430">
            <w:pPr>
              <w:pStyle w:val="85"/>
              <w:jc w:val="center"/>
              <w:rPr>
                <w:color w:val="auto"/>
                <w:sz w:val="22"/>
                <w:szCs w:val="22"/>
              </w:rPr>
            </w:pPr>
            <w:r>
              <w:rPr>
                <w:color w:val="auto"/>
                <w:sz w:val="22"/>
                <w:szCs w:val="22"/>
              </w:rPr>
              <w:t>33</w:t>
            </w:r>
          </w:p>
        </w:tc>
        <w:tc>
          <w:tcPr>
            <w:tcW w:w="708" w:type="dxa"/>
            <w:vAlign w:val="center"/>
          </w:tcPr>
          <w:p w14:paraId="4EC14EAB">
            <w:pPr>
              <w:pStyle w:val="85"/>
              <w:jc w:val="center"/>
              <w:rPr>
                <w:color w:val="auto"/>
                <w:sz w:val="22"/>
                <w:szCs w:val="22"/>
              </w:rPr>
            </w:pPr>
            <w:r>
              <w:rPr>
                <w:color w:val="auto"/>
                <w:sz w:val="22"/>
                <w:szCs w:val="22"/>
              </w:rPr>
              <w:t>34</w:t>
            </w:r>
          </w:p>
        </w:tc>
        <w:tc>
          <w:tcPr>
            <w:tcW w:w="709" w:type="dxa"/>
            <w:vAlign w:val="center"/>
          </w:tcPr>
          <w:p w14:paraId="532A4E6F">
            <w:pPr>
              <w:pStyle w:val="85"/>
              <w:jc w:val="center"/>
              <w:rPr>
                <w:color w:val="auto"/>
                <w:sz w:val="22"/>
                <w:szCs w:val="22"/>
              </w:rPr>
            </w:pPr>
            <w:r>
              <w:rPr>
                <w:color w:val="auto"/>
                <w:sz w:val="22"/>
                <w:szCs w:val="22"/>
              </w:rPr>
              <w:t>34</w:t>
            </w:r>
          </w:p>
        </w:tc>
        <w:tc>
          <w:tcPr>
            <w:tcW w:w="851" w:type="dxa"/>
            <w:vAlign w:val="center"/>
          </w:tcPr>
          <w:p w14:paraId="70561545">
            <w:pPr>
              <w:pStyle w:val="85"/>
              <w:jc w:val="center"/>
              <w:rPr>
                <w:color w:val="auto"/>
                <w:sz w:val="22"/>
                <w:szCs w:val="22"/>
              </w:rPr>
            </w:pPr>
            <w:r>
              <w:rPr>
                <w:color w:val="auto"/>
                <w:sz w:val="22"/>
                <w:szCs w:val="22"/>
              </w:rPr>
              <w:t>34</w:t>
            </w:r>
          </w:p>
        </w:tc>
        <w:tc>
          <w:tcPr>
            <w:tcW w:w="992" w:type="dxa"/>
            <w:vAlign w:val="center"/>
          </w:tcPr>
          <w:p w14:paraId="11DEFDA8">
            <w:pPr>
              <w:pStyle w:val="85"/>
              <w:jc w:val="center"/>
              <w:rPr>
                <w:color w:val="auto"/>
                <w:sz w:val="22"/>
                <w:szCs w:val="22"/>
              </w:rPr>
            </w:pPr>
            <w:r>
              <w:rPr>
                <w:color w:val="auto"/>
                <w:sz w:val="22"/>
                <w:szCs w:val="22"/>
              </w:rPr>
              <w:t>135</w:t>
            </w:r>
          </w:p>
        </w:tc>
      </w:tr>
      <w:tr w14:paraId="2C6820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5159" w:type="dxa"/>
            <w:gridSpan w:val="2"/>
            <w:vAlign w:val="center"/>
          </w:tcPr>
          <w:p w14:paraId="5D5B96F8">
            <w:pPr>
              <w:pStyle w:val="85"/>
              <w:rPr>
                <w:color w:val="auto"/>
                <w:sz w:val="22"/>
                <w:szCs w:val="22"/>
              </w:rPr>
            </w:pPr>
            <w:r>
              <w:rPr>
                <w:color w:val="auto"/>
                <w:sz w:val="22"/>
                <w:szCs w:val="22"/>
              </w:rPr>
              <w:t>Всего часов</w:t>
            </w:r>
          </w:p>
        </w:tc>
        <w:tc>
          <w:tcPr>
            <w:tcW w:w="1566" w:type="dxa"/>
            <w:vAlign w:val="center"/>
          </w:tcPr>
          <w:p w14:paraId="39AA2B24">
            <w:pPr>
              <w:pStyle w:val="85"/>
              <w:jc w:val="center"/>
              <w:rPr>
                <w:color w:val="auto"/>
                <w:sz w:val="22"/>
                <w:szCs w:val="22"/>
              </w:rPr>
            </w:pPr>
            <w:r>
              <w:rPr>
                <w:color w:val="auto"/>
                <w:sz w:val="22"/>
                <w:szCs w:val="22"/>
              </w:rPr>
              <w:t>620</w:t>
            </w:r>
          </w:p>
          <w:p w14:paraId="1D8046B2">
            <w:pPr>
              <w:pStyle w:val="85"/>
              <w:jc w:val="center"/>
              <w:rPr>
                <w:color w:val="auto"/>
                <w:sz w:val="22"/>
                <w:szCs w:val="22"/>
              </w:rPr>
            </w:pPr>
            <w:r>
              <w:rPr>
                <w:color w:val="auto"/>
                <w:sz w:val="22"/>
                <w:szCs w:val="22"/>
              </w:rPr>
              <w:t>(с учетом 15 часов в сентябре - октябре)</w:t>
            </w:r>
          </w:p>
        </w:tc>
        <w:tc>
          <w:tcPr>
            <w:tcW w:w="708" w:type="dxa"/>
            <w:vAlign w:val="center"/>
          </w:tcPr>
          <w:p w14:paraId="4B3A49F0">
            <w:pPr>
              <w:pStyle w:val="85"/>
              <w:jc w:val="center"/>
              <w:rPr>
                <w:color w:val="auto"/>
                <w:sz w:val="22"/>
                <w:szCs w:val="22"/>
              </w:rPr>
            </w:pPr>
            <w:r>
              <w:rPr>
                <w:color w:val="auto"/>
                <w:sz w:val="22"/>
                <w:szCs w:val="22"/>
              </w:rPr>
              <w:t>782</w:t>
            </w:r>
          </w:p>
        </w:tc>
        <w:tc>
          <w:tcPr>
            <w:tcW w:w="709" w:type="dxa"/>
            <w:vAlign w:val="center"/>
          </w:tcPr>
          <w:p w14:paraId="4C28512A">
            <w:pPr>
              <w:pStyle w:val="85"/>
              <w:jc w:val="center"/>
              <w:rPr>
                <w:color w:val="auto"/>
                <w:sz w:val="22"/>
                <w:szCs w:val="22"/>
              </w:rPr>
            </w:pPr>
            <w:r>
              <w:rPr>
                <w:color w:val="auto"/>
                <w:sz w:val="22"/>
                <w:szCs w:val="22"/>
              </w:rPr>
              <w:t>782</w:t>
            </w:r>
          </w:p>
        </w:tc>
        <w:tc>
          <w:tcPr>
            <w:tcW w:w="851" w:type="dxa"/>
            <w:vAlign w:val="center"/>
          </w:tcPr>
          <w:p w14:paraId="5B88493D">
            <w:pPr>
              <w:pStyle w:val="85"/>
              <w:jc w:val="center"/>
              <w:rPr>
                <w:color w:val="auto"/>
                <w:sz w:val="22"/>
                <w:szCs w:val="22"/>
              </w:rPr>
            </w:pPr>
            <w:r>
              <w:rPr>
                <w:color w:val="auto"/>
                <w:sz w:val="22"/>
                <w:szCs w:val="22"/>
              </w:rPr>
              <w:t>782</w:t>
            </w:r>
          </w:p>
        </w:tc>
        <w:tc>
          <w:tcPr>
            <w:tcW w:w="992" w:type="dxa"/>
            <w:vAlign w:val="center"/>
          </w:tcPr>
          <w:p w14:paraId="0B7AFCC5">
            <w:pPr>
              <w:pStyle w:val="85"/>
              <w:jc w:val="center"/>
              <w:rPr>
                <w:color w:val="auto"/>
                <w:sz w:val="22"/>
                <w:szCs w:val="22"/>
              </w:rPr>
            </w:pPr>
            <w:r>
              <w:rPr>
                <w:color w:val="auto"/>
                <w:sz w:val="22"/>
                <w:szCs w:val="22"/>
              </w:rPr>
              <w:t>2966</w:t>
            </w:r>
          </w:p>
          <w:p w14:paraId="4BCF5DFF">
            <w:pPr>
              <w:pStyle w:val="85"/>
              <w:jc w:val="center"/>
              <w:rPr>
                <w:color w:val="auto"/>
                <w:sz w:val="22"/>
                <w:szCs w:val="22"/>
              </w:rPr>
            </w:pPr>
            <w:r>
              <w:rPr>
                <w:color w:val="auto"/>
                <w:sz w:val="22"/>
                <w:szCs w:val="22"/>
              </w:rPr>
              <w:t>(с учетом 15 часов в сентябре - октябре)</w:t>
            </w:r>
          </w:p>
        </w:tc>
      </w:tr>
      <w:tr w14:paraId="7E9668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5159" w:type="dxa"/>
            <w:gridSpan w:val="2"/>
            <w:vAlign w:val="center"/>
          </w:tcPr>
          <w:p w14:paraId="6845EF54">
            <w:pPr>
              <w:pStyle w:val="85"/>
              <w:rPr>
                <w:color w:val="auto"/>
                <w:sz w:val="22"/>
                <w:szCs w:val="22"/>
              </w:rPr>
            </w:pPr>
            <w:r>
              <w:rPr>
                <w:color w:val="auto"/>
                <w:sz w:val="22"/>
                <w:szCs w:val="22"/>
              </w:rPr>
              <w:t>Максимально допустимая недельная нагрузка, предусмотренная санитарными правилами и гигиеническими нормативами</w:t>
            </w:r>
          </w:p>
        </w:tc>
        <w:tc>
          <w:tcPr>
            <w:tcW w:w="1566" w:type="dxa"/>
            <w:vAlign w:val="center"/>
          </w:tcPr>
          <w:p w14:paraId="4FA936D7">
            <w:pPr>
              <w:pStyle w:val="85"/>
              <w:jc w:val="center"/>
              <w:rPr>
                <w:color w:val="auto"/>
                <w:sz w:val="22"/>
                <w:szCs w:val="22"/>
              </w:rPr>
            </w:pPr>
            <w:r>
              <w:rPr>
                <w:color w:val="auto"/>
                <w:sz w:val="22"/>
                <w:szCs w:val="22"/>
              </w:rPr>
              <w:t>20</w:t>
            </w:r>
          </w:p>
          <w:p w14:paraId="1714182C">
            <w:pPr>
              <w:pStyle w:val="85"/>
              <w:jc w:val="center"/>
              <w:rPr>
                <w:color w:val="auto"/>
                <w:sz w:val="22"/>
                <w:szCs w:val="22"/>
              </w:rPr>
            </w:pPr>
            <w:r>
              <w:rPr>
                <w:color w:val="auto"/>
                <w:sz w:val="22"/>
                <w:szCs w:val="22"/>
              </w:rPr>
              <w:t>(15 часов в сентябре - октябре)</w:t>
            </w:r>
          </w:p>
        </w:tc>
        <w:tc>
          <w:tcPr>
            <w:tcW w:w="708" w:type="dxa"/>
            <w:vAlign w:val="center"/>
          </w:tcPr>
          <w:p w14:paraId="4F222E8A">
            <w:pPr>
              <w:pStyle w:val="85"/>
              <w:jc w:val="center"/>
              <w:rPr>
                <w:color w:val="auto"/>
                <w:sz w:val="22"/>
                <w:szCs w:val="22"/>
              </w:rPr>
            </w:pPr>
            <w:r>
              <w:rPr>
                <w:color w:val="auto"/>
                <w:sz w:val="22"/>
                <w:szCs w:val="22"/>
              </w:rPr>
              <w:t>23</w:t>
            </w:r>
          </w:p>
        </w:tc>
        <w:tc>
          <w:tcPr>
            <w:tcW w:w="709" w:type="dxa"/>
            <w:vAlign w:val="center"/>
          </w:tcPr>
          <w:p w14:paraId="31E74B64">
            <w:pPr>
              <w:pStyle w:val="85"/>
              <w:jc w:val="center"/>
              <w:rPr>
                <w:color w:val="auto"/>
                <w:sz w:val="22"/>
                <w:szCs w:val="22"/>
              </w:rPr>
            </w:pPr>
            <w:r>
              <w:rPr>
                <w:color w:val="auto"/>
                <w:sz w:val="22"/>
                <w:szCs w:val="22"/>
              </w:rPr>
              <w:t>23</w:t>
            </w:r>
          </w:p>
        </w:tc>
        <w:tc>
          <w:tcPr>
            <w:tcW w:w="851" w:type="dxa"/>
            <w:vAlign w:val="center"/>
          </w:tcPr>
          <w:p w14:paraId="3CA2CB80">
            <w:pPr>
              <w:pStyle w:val="85"/>
              <w:jc w:val="center"/>
              <w:rPr>
                <w:color w:val="auto"/>
                <w:sz w:val="22"/>
                <w:szCs w:val="22"/>
              </w:rPr>
            </w:pPr>
            <w:r>
              <w:rPr>
                <w:color w:val="auto"/>
                <w:sz w:val="22"/>
                <w:szCs w:val="22"/>
              </w:rPr>
              <w:t>23</w:t>
            </w:r>
          </w:p>
        </w:tc>
        <w:tc>
          <w:tcPr>
            <w:tcW w:w="992" w:type="dxa"/>
            <w:vAlign w:val="center"/>
          </w:tcPr>
          <w:p w14:paraId="1BB72398">
            <w:pPr>
              <w:pStyle w:val="85"/>
              <w:jc w:val="center"/>
              <w:rPr>
                <w:color w:val="auto"/>
                <w:sz w:val="22"/>
                <w:szCs w:val="22"/>
              </w:rPr>
            </w:pPr>
            <w:r>
              <w:rPr>
                <w:color w:val="auto"/>
                <w:sz w:val="22"/>
                <w:szCs w:val="22"/>
              </w:rPr>
              <w:t>89</w:t>
            </w:r>
          </w:p>
        </w:tc>
      </w:tr>
    </w:tbl>
    <w:p w14:paraId="2F080304">
      <w:pPr>
        <w:pStyle w:val="4"/>
        <w:rPr>
          <w:b/>
          <w:sz w:val="22"/>
          <w:szCs w:val="22"/>
        </w:rPr>
      </w:pPr>
      <w:r>
        <w:rPr>
          <w:sz w:val="22"/>
          <w:szCs w:val="22"/>
        </w:rPr>
        <w:t xml:space="preserve">20. Календарный учебный график. </w:t>
      </w:r>
    </w:p>
    <w:p w14:paraId="77664B85">
      <w:pPr>
        <w:widowControl/>
        <w:spacing w:after="0" w:line="353" w:lineRule="auto"/>
        <w:ind w:firstLine="709"/>
        <w:jc w:val="both"/>
        <w:rPr>
          <w:rFonts w:ascii="Times New Roman" w:hAnsi="Times New Roman"/>
        </w:rPr>
      </w:pPr>
      <w:r>
        <w:rPr>
          <w:rFonts w:ascii="Times New Roman" w:hAnsi="Times New Roman" w:eastAsia="SchoolBookSanPin"/>
        </w:rPr>
        <w:t>20.1. Организация образовательной деятельности осуществляется по учебным четвертям.</w:t>
      </w:r>
      <w:r>
        <w:rPr>
          <w:rFonts w:ascii="Times New Roman" w:hAnsi="Times New Roman"/>
        </w:rPr>
        <w:t xml:space="preserve"> В начальных классах 5-дневная учебная неделя с учетом законодательства Российской Федерации.</w:t>
      </w:r>
    </w:p>
    <w:p w14:paraId="2650D4AD">
      <w:pPr>
        <w:widowControl/>
        <w:spacing w:after="0" w:line="353" w:lineRule="auto"/>
        <w:ind w:firstLine="709"/>
        <w:jc w:val="both"/>
        <w:rPr>
          <w:rFonts w:ascii="Times New Roman" w:hAnsi="Times New Roman" w:eastAsia="SchoolBookSanPin"/>
        </w:rPr>
      </w:pPr>
      <w:r>
        <w:rPr>
          <w:rFonts w:ascii="Times New Roman" w:hAnsi="Times New Roman" w:eastAsia="SchoolBookSanPin"/>
        </w:rPr>
        <w:t>20.2. Продолжительность учебного года при получении начального общего образования составляет 34 недели, в 1 классе – 33 недели.</w:t>
      </w:r>
    </w:p>
    <w:p w14:paraId="2F8F951D">
      <w:pPr>
        <w:widowControl/>
        <w:spacing w:after="0" w:line="353" w:lineRule="auto"/>
        <w:ind w:firstLine="709"/>
        <w:jc w:val="both"/>
        <w:rPr>
          <w:rFonts w:ascii="Times New Roman" w:hAnsi="Times New Roman" w:eastAsia="SchoolBookSanPin"/>
        </w:rPr>
      </w:pPr>
      <w:r>
        <w:rPr>
          <w:rFonts w:ascii="Times New Roman" w:hAnsi="Times New Roman" w:eastAsia="SchoolBookSanPin"/>
        </w:rPr>
        <w:t>20.3. Учебный год в образовательной организации начинается 1 сентября. Если этот день приходится на выходной день, то в этом случае учебный год начинается в первый, следующий за ним, рабочий день.</w:t>
      </w:r>
    </w:p>
    <w:p w14:paraId="7228FD78">
      <w:pPr>
        <w:widowControl/>
        <w:spacing w:after="0" w:line="353" w:lineRule="auto"/>
        <w:ind w:firstLine="709"/>
        <w:jc w:val="both"/>
        <w:rPr>
          <w:rFonts w:ascii="Times New Roman" w:hAnsi="Times New Roman" w:eastAsia="SchoolBookSanPin"/>
        </w:rPr>
      </w:pPr>
      <w:r>
        <w:rPr>
          <w:rFonts w:ascii="Times New Roman" w:hAnsi="Times New Roman" w:eastAsia="SchoolBookSanPin"/>
        </w:rPr>
        <w:t xml:space="preserve">20.4. Учебный год в образовательной организации заканчивается 30 мая. Если этот день приходится на выходной день, то в этом случае учебный год заканчивается в предыдущий рабочий день. </w:t>
      </w:r>
    </w:p>
    <w:p w14:paraId="0722677C">
      <w:pPr>
        <w:widowControl/>
        <w:spacing w:after="0" w:line="353" w:lineRule="auto"/>
        <w:ind w:firstLine="709"/>
        <w:jc w:val="both"/>
        <w:rPr>
          <w:rFonts w:ascii="Times New Roman" w:hAnsi="Times New Roman" w:eastAsia="SchoolBookSanPin"/>
        </w:rPr>
      </w:pPr>
      <w:r>
        <w:rPr>
          <w:rFonts w:ascii="Times New Roman" w:hAnsi="Times New Roman" w:eastAsia="SchoolBookSanPin"/>
        </w:rPr>
        <w:t>20.5. С целью профилактики переутомления предусматривается чередование периодов учебного времени и каникул. Продолжительность каникул составляет не менее 7 календарных дней.</w:t>
      </w:r>
    </w:p>
    <w:p w14:paraId="662F5412">
      <w:pPr>
        <w:widowControl/>
        <w:spacing w:after="0" w:line="353" w:lineRule="auto"/>
        <w:ind w:firstLine="709"/>
        <w:jc w:val="both"/>
        <w:rPr>
          <w:rFonts w:ascii="Times New Roman" w:hAnsi="Times New Roman" w:eastAsia="SchoolBookSanPin"/>
        </w:rPr>
      </w:pPr>
      <w:r>
        <w:rPr>
          <w:rFonts w:ascii="Times New Roman" w:hAnsi="Times New Roman" w:eastAsia="SchoolBookSanPin"/>
        </w:rPr>
        <w:t>20.6. Продолжительность учебных четвертей составляет: I четверть – 8 учебных недель (для 1–4 классов); II четверть – 8 учебных недель (для 1–4 классов); III четверть – 11 учебных недель (для 2–4 классов), 10 учебных недель (для 1 классов); IV четверть – 7 учебных недель (для 1–4 классов).</w:t>
      </w:r>
    </w:p>
    <w:p w14:paraId="7442022C">
      <w:pPr>
        <w:widowControl/>
        <w:spacing w:after="0" w:line="353" w:lineRule="auto"/>
        <w:ind w:firstLine="709"/>
        <w:jc w:val="both"/>
        <w:rPr>
          <w:rFonts w:ascii="Times New Roman" w:hAnsi="Times New Roman" w:eastAsia="SchoolBookSanPin"/>
        </w:rPr>
      </w:pPr>
      <w:r>
        <w:rPr>
          <w:rFonts w:ascii="Times New Roman" w:hAnsi="Times New Roman" w:eastAsia="SchoolBookSanPin"/>
        </w:rPr>
        <w:t xml:space="preserve">20.7. Продолжительность каникул составляет: </w:t>
      </w:r>
    </w:p>
    <w:p w14:paraId="2CC723E4">
      <w:pPr>
        <w:widowControl/>
        <w:spacing w:after="0" w:line="353" w:lineRule="auto"/>
        <w:ind w:firstLine="709"/>
        <w:jc w:val="both"/>
        <w:rPr>
          <w:rFonts w:ascii="Times New Roman" w:hAnsi="Times New Roman" w:eastAsia="SchoolBookSanPin"/>
        </w:rPr>
      </w:pPr>
      <w:r>
        <w:rPr>
          <w:rFonts w:ascii="Times New Roman" w:hAnsi="Times New Roman" w:eastAsia="SchoolBookSanPin"/>
        </w:rPr>
        <w:t xml:space="preserve">по окончании I четверти (осенние каникулы) – 9 календарных дней (для 1–4 классов); </w:t>
      </w:r>
    </w:p>
    <w:p w14:paraId="1112C867">
      <w:pPr>
        <w:widowControl/>
        <w:spacing w:after="0" w:line="353" w:lineRule="auto"/>
        <w:ind w:firstLine="709"/>
        <w:jc w:val="both"/>
        <w:rPr>
          <w:rFonts w:ascii="Times New Roman" w:hAnsi="Times New Roman" w:eastAsia="SchoolBookSanPin"/>
        </w:rPr>
      </w:pPr>
      <w:r>
        <w:rPr>
          <w:rFonts w:ascii="Times New Roman" w:hAnsi="Times New Roman" w:eastAsia="SchoolBookSanPin"/>
        </w:rPr>
        <w:t xml:space="preserve">по окончании II четверти (зимние каникулы) – 9 календарных дней (для 1–4 классов); </w:t>
      </w:r>
    </w:p>
    <w:p w14:paraId="2DFC5962">
      <w:pPr>
        <w:widowControl/>
        <w:spacing w:after="0" w:line="353" w:lineRule="auto"/>
        <w:ind w:firstLine="709"/>
        <w:jc w:val="both"/>
        <w:rPr>
          <w:rFonts w:ascii="Times New Roman" w:hAnsi="Times New Roman" w:eastAsia="SchoolBookSanPin"/>
        </w:rPr>
      </w:pPr>
      <w:r>
        <w:rPr>
          <w:rFonts w:ascii="Times New Roman" w:hAnsi="Times New Roman" w:eastAsia="SchoolBookSanPin"/>
        </w:rPr>
        <w:t xml:space="preserve">дополнительные каникулы – 9 календарных дней (для 1 классов); </w:t>
      </w:r>
    </w:p>
    <w:p w14:paraId="130BF5A9">
      <w:pPr>
        <w:widowControl/>
        <w:spacing w:after="0" w:line="353" w:lineRule="auto"/>
        <w:ind w:firstLine="709"/>
        <w:jc w:val="both"/>
        <w:rPr>
          <w:rFonts w:ascii="Times New Roman" w:hAnsi="Times New Roman" w:eastAsia="SchoolBookSanPin"/>
        </w:rPr>
      </w:pPr>
      <w:r>
        <w:rPr>
          <w:rFonts w:ascii="Times New Roman" w:hAnsi="Times New Roman" w:eastAsia="SchoolBookSanPin"/>
        </w:rPr>
        <w:t xml:space="preserve">по окончании III четверти (весенние каникулы) – 9 календарных дней (для 1–4 классов); </w:t>
      </w:r>
    </w:p>
    <w:p w14:paraId="768E84CF">
      <w:pPr>
        <w:widowControl/>
        <w:spacing w:after="0" w:line="353" w:lineRule="auto"/>
        <w:ind w:firstLine="709"/>
        <w:jc w:val="both"/>
        <w:rPr>
          <w:rFonts w:ascii="Times New Roman" w:hAnsi="Times New Roman" w:eastAsia="SchoolBookSanPin"/>
        </w:rPr>
      </w:pPr>
      <w:r>
        <w:rPr>
          <w:rFonts w:ascii="Times New Roman" w:hAnsi="Times New Roman" w:eastAsia="SchoolBookSanPin"/>
        </w:rPr>
        <w:t>по окончании учебного года (летние каникулы) – не менее 8 недель.</w:t>
      </w:r>
    </w:p>
    <w:p w14:paraId="1EA406A0">
      <w:pPr>
        <w:pStyle w:val="85"/>
        <w:spacing w:before="200"/>
        <w:ind w:firstLine="540"/>
        <w:jc w:val="both"/>
        <w:rPr>
          <w:color w:val="auto"/>
          <w:sz w:val="22"/>
          <w:szCs w:val="22"/>
        </w:rPr>
      </w:pPr>
      <w:r>
        <w:rPr>
          <w:color w:val="auto"/>
          <w:sz w:val="22"/>
          <w:szCs w:val="22"/>
        </w:rPr>
        <w:t>по окончании учебного года (летние каникулы) - не менее 8 недель. При возникновении отдельных чрезвычайных ситуаций на отдельных территориях общеобразовательные организации могут вводить дополнительные каникулы в течение учебного года с сентября по май со сдвигом учебного процесса на летние месяцы.</w:t>
      </w:r>
    </w:p>
    <w:p w14:paraId="1D53B533">
      <w:pPr>
        <w:widowControl/>
        <w:spacing w:after="0" w:line="353" w:lineRule="auto"/>
        <w:ind w:firstLine="709"/>
        <w:jc w:val="both"/>
        <w:rPr>
          <w:rFonts w:ascii="Times New Roman" w:hAnsi="Times New Roman" w:eastAsia="SchoolBookSanPin"/>
        </w:rPr>
      </w:pPr>
      <w:r>
        <w:rPr>
          <w:rFonts w:ascii="Times New Roman" w:hAnsi="Times New Roman" w:eastAsia="SchoolBookSanPin"/>
        </w:rPr>
        <w:t xml:space="preserve">20.8. Продолжительность урока не должна превышать 45 минут, за исключением 1 класса 20.9. Продолжительность перемен между уроками составляет не менее 10 минут, большой перемены (после 1 и 3 урока) – 20 минут. </w:t>
      </w:r>
    </w:p>
    <w:p w14:paraId="643A6F73">
      <w:pPr>
        <w:widowControl/>
        <w:spacing w:after="0" w:line="353" w:lineRule="auto"/>
        <w:ind w:firstLine="709"/>
        <w:jc w:val="both"/>
        <w:rPr>
          <w:rFonts w:ascii="Times New Roman" w:hAnsi="Times New Roman" w:eastAsia="SchoolBookSanPin"/>
        </w:rPr>
      </w:pPr>
      <w:r>
        <w:rPr>
          <w:rFonts w:ascii="Times New Roman" w:hAnsi="Times New Roman" w:eastAsia="SchoolBookSanPin"/>
        </w:rPr>
        <w:t>Продолжительность перемены между урочной и внеурочной деятельностью составляет не менее 20–30 минут, за исключением обучающихся с ограниченными возможностями здоровья. 20.10. Расписание уроков составляется с учетом дневной и недельной умственной работоспособности обучающихся и шкалы трудности учебных предметов, определенной Гигиеническими нормативами.</w:t>
      </w:r>
    </w:p>
    <w:p w14:paraId="617F7290">
      <w:pPr>
        <w:widowControl/>
        <w:spacing w:after="0" w:line="353" w:lineRule="auto"/>
        <w:ind w:firstLine="709"/>
        <w:jc w:val="both"/>
        <w:rPr>
          <w:rFonts w:ascii="Times New Roman" w:hAnsi="Times New Roman" w:eastAsia="SchoolBookSanPin"/>
        </w:rPr>
      </w:pPr>
      <w:r>
        <w:rPr>
          <w:rFonts w:ascii="Times New Roman" w:hAnsi="Times New Roman" w:eastAsia="SchoolBookSanPin"/>
        </w:rPr>
        <w:t>20.11. Образовательная недельная нагрузка распределяется равномерно в течение учебной недели, при этом объём максимально допустимой нагрузки в течение дня составляет:</w:t>
      </w:r>
    </w:p>
    <w:p w14:paraId="68DD75B2">
      <w:pPr>
        <w:widowControl/>
        <w:spacing w:after="0" w:line="353" w:lineRule="auto"/>
        <w:ind w:firstLine="709"/>
        <w:jc w:val="both"/>
        <w:rPr>
          <w:rFonts w:ascii="Times New Roman" w:hAnsi="Times New Roman" w:eastAsia="SchoolBookSanPin"/>
        </w:rPr>
      </w:pPr>
      <w:r>
        <w:rPr>
          <w:rFonts w:ascii="Times New Roman" w:hAnsi="Times New Roman" w:eastAsia="SchoolBookSanPin"/>
        </w:rPr>
        <w:t>для обучающихся 1-х классов – не должен превышать 4 уроков и один раз в неделю – 5 уроков, за счет урока физической культуры;</w:t>
      </w:r>
    </w:p>
    <w:p w14:paraId="4AB5E68F">
      <w:pPr>
        <w:widowControl/>
        <w:spacing w:after="0" w:line="353" w:lineRule="auto"/>
        <w:ind w:firstLine="709"/>
        <w:jc w:val="both"/>
        <w:rPr>
          <w:rFonts w:ascii="Times New Roman" w:hAnsi="Times New Roman" w:eastAsia="SchoolBookSanPin"/>
        </w:rPr>
      </w:pPr>
      <w:r>
        <w:rPr>
          <w:rFonts w:ascii="Times New Roman" w:hAnsi="Times New Roman" w:eastAsia="SchoolBookSanPin"/>
        </w:rPr>
        <w:t xml:space="preserve">для обучающихся 2–4 классов – не более 5 уроков </w:t>
      </w:r>
    </w:p>
    <w:p w14:paraId="4DA0C360">
      <w:pPr>
        <w:widowControl/>
        <w:spacing w:after="0" w:line="353" w:lineRule="auto"/>
        <w:ind w:firstLine="709"/>
        <w:jc w:val="both"/>
        <w:rPr>
          <w:rFonts w:ascii="Times New Roman" w:hAnsi="Times New Roman" w:eastAsia="SchoolBookSanPin"/>
        </w:rPr>
      </w:pPr>
      <w:r>
        <w:rPr>
          <w:rFonts w:ascii="Times New Roman" w:hAnsi="Times New Roman" w:eastAsia="SchoolBookSanPin"/>
        </w:rPr>
        <w:t>20.12. Обучение в 1 классе осуществляется с соблюдением следующих требований:</w:t>
      </w:r>
    </w:p>
    <w:p w14:paraId="04B22102">
      <w:pPr>
        <w:widowControl/>
        <w:spacing w:after="0" w:line="353" w:lineRule="auto"/>
        <w:ind w:firstLine="709"/>
        <w:jc w:val="both"/>
        <w:rPr>
          <w:rFonts w:ascii="Times New Roman" w:hAnsi="Times New Roman" w:eastAsia="SchoolBookSanPin"/>
        </w:rPr>
      </w:pPr>
      <w:r>
        <w:rPr>
          <w:rFonts w:ascii="Times New Roman" w:hAnsi="Times New Roman" w:eastAsia="SchoolBookSanPin"/>
        </w:rPr>
        <w:t>учебные занятия проводятся по 5-дневной учебной неделе и только в первую смену, обучение в первом полугодии: в сентябре, октябре – по 3 урока в день по 35 минут каждый, в ноябре – декабре – по 4 урока в день по 35 минут каждый; в январе – мае – по 4 урока в день по 40 минут каждый;</w:t>
      </w:r>
    </w:p>
    <w:p w14:paraId="0A7A17D3">
      <w:pPr>
        <w:widowControl/>
        <w:spacing w:after="0" w:line="353" w:lineRule="auto"/>
        <w:ind w:firstLine="709"/>
        <w:jc w:val="both"/>
        <w:rPr>
          <w:rFonts w:ascii="Times New Roman" w:hAnsi="Times New Roman" w:eastAsia="SchoolBookSanPin"/>
        </w:rPr>
      </w:pPr>
      <w:r>
        <w:rPr>
          <w:rFonts w:ascii="Times New Roman" w:hAnsi="Times New Roman" w:eastAsia="SchoolBookSanPin"/>
        </w:rPr>
        <w:t>в середине учебного дня организуется динамическая пауза продолжительностью не менее 40 минут;</w:t>
      </w:r>
    </w:p>
    <w:p w14:paraId="4FA4A6DD">
      <w:pPr>
        <w:widowControl/>
        <w:spacing w:after="0" w:line="353" w:lineRule="auto"/>
        <w:ind w:firstLine="709"/>
        <w:jc w:val="both"/>
        <w:rPr>
          <w:rFonts w:ascii="Times New Roman" w:hAnsi="Times New Roman" w:eastAsia="SchoolBookSanPin"/>
        </w:rPr>
      </w:pPr>
      <w:r>
        <w:rPr>
          <w:rFonts w:ascii="Times New Roman" w:hAnsi="Times New Roman" w:eastAsia="SchoolBookSanPin"/>
        </w:rPr>
        <w:t>предоставляются дополнительные недельные каникулы в середине третьей четверти. Возможна организация дополнительных каникул независимо от четвертей.</w:t>
      </w:r>
    </w:p>
    <w:p w14:paraId="4FC3FEA6">
      <w:pPr>
        <w:widowControl/>
        <w:spacing w:after="0" w:line="353" w:lineRule="auto"/>
        <w:ind w:firstLine="709"/>
        <w:jc w:val="both"/>
        <w:rPr>
          <w:rFonts w:ascii="Times New Roman" w:hAnsi="Times New Roman" w:eastAsia="SchoolBookSanPin"/>
        </w:rPr>
      </w:pPr>
      <w:r>
        <w:rPr>
          <w:rFonts w:ascii="Times New Roman" w:hAnsi="Times New Roman" w:eastAsia="SchoolBookSanPin"/>
        </w:rPr>
        <w:t xml:space="preserve">20.13. Занятия начинаются не ранее 8 часов утра. </w:t>
      </w:r>
    </w:p>
    <w:p w14:paraId="0586CBCF">
      <w:pPr>
        <w:widowControl/>
        <w:spacing w:after="0" w:line="353" w:lineRule="auto"/>
        <w:ind w:firstLine="709"/>
        <w:jc w:val="both"/>
        <w:rPr>
          <w:rFonts w:ascii="Times New Roman" w:hAnsi="Times New Roman" w:eastAsia="SchoolBookSanPin"/>
        </w:rPr>
      </w:pPr>
      <w:r>
        <w:rPr>
          <w:rFonts w:ascii="Times New Roman" w:hAnsi="Times New Roman" w:eastAsia="SchoolBookSanPin"/>
        </w:rPr>
        <w:t>20.14. Факультативные занятия и занятия по программам дополнительного образования планируют на дни с наименьшим количеством обязательных уроков. Между началом факультативных (дополнительных) занятий и последним уроком необходимо организовывать перерыв продолжительностью не менее 20 минут.</w:t>
      </w:r>
    </w:p>
    <w:p w14:paraId="061B75D0">
      <w:pPr>
        <w:widowControl/>
        <w:spacing w:after="0" w:line="353" w:lineRule="auto"/>
        <w:ind w:firstLine="709"/>
        <w:jc w:val="both"/>
        <w:rPr>
          <w:rFonts w:ascii="Times New Roman" w:hAnsi="Times New Roman" w:eastAsia="SchoolBookSanPin"/>
        </w:rPr>
      </w:pPr>
      <w:r>
        <w:rPr>
          <w:rFonts w:ascii="Times New Roman" w:hAnsi="Times New Roman" w:eastAsia="SchoolBookSanPin"/>
        </w:rPr>
        <w:t>20.15. Календарный учебный график образовательной организации составляется с учётом мнений участников образовательных отношений, региональных и этнокультурных традиций, плановых мероприятий учреждений культуры региона и определяет чередование учебной деятельности (урочной и внеурочной) и плановых перерывов при получении образования для отдыха и иных социальных целей (каникул) по календарным периодам учебного года.</w:t>
      </w:r>
    </w:p>
    <w:p w14:paraId="770ECC16">
      <w:pPr>
        <w:pStyle w:val="85"/>
        <w:spacing w:before="200"/>
        <w:ind w:firstLine="540"/>
        <w:jc w:val="both"/>
        <w:rPr>
          <w:color w:val="auto"/>
          <w:sz w:val="22"/>
          <w:szCs w:val="22"/>
        </w:rPr>
      </w:pPr>
      <w:r>
        <w:rPr>
          <w:rFonts w:eastAsia="SchoolBookSanPin"/>
          <w:color w:val="auto"/>
          <w:sz w:val="22"/>
          <w:szCs w:val="22"/>
        </w:rPr>
        <w:t xml:space="preserve">20.16 </w:t>
      </w:r>
      <w:r>
        <w:rPr>
          <w:color w:val="auto"/>
          <w:sz w:val="22"/>
          <w:szCs w:val="22"/>
        </w:rPr>
        <w:t>Суммарный объем домашнего задания по всем предметам для каждого класса не должен превышать продолжительности выполнения 1 час - для 1 класса, 1,5 часа - для 2 и 3 классов, 2 часа - для 4 класса. Образовательной организацией осуществляется координация и контроль объема домашнего задания обучающихся каждого класса по всем предметам в соответствии с Гигиеническими нормативами.</w:t>
      </w:r>
    </w:p>
    <w:p w14:paraId="1E835FC5">
      <w:pPr>
        <w:pStyle w:val="85"/>
        <w:spacing w:before="200"/>
        <w:ind w:firstLine="540"/>
        <w:jc w:val="both"/>
        <w:rPr>
          <w:color w:val="auto"/>
          <w:sz w:val="22"/>
          <w:szCs w:val="22"/>
        </w:rPr>
      </w:pPr>
      <w:r>
        <w:rPr>
          <w:color w:val="auto"/>
          <w:sz w:val="22"/>
          <w:szCs w:val="22"/>
        </w:rPr>
        <w:t>Домашнее задание на следующий урок рекомендуется задавать на текущем уроке, при наличии электронного журнала дублировать в нем задание не позднее времени окончания учебного дня. Для выполнения задания, требующего длительной подготовки (например, подготовка доклада, реферата, оформление презентации, заучивание стихотворений), рекомендуется предоставлять достаточное количество времени.</w:t>
      </w:r>
    </w:p>
    <w:p w14:paraId="71F93AD9">
      <w:pPr>
        <w:widowControl/>
        <w:spacing w:after="0" w:line="353" w:lineRule="auto"/>
        <w:ind w:firstLine="709"/>
        <w:jc w:val="both"/>
        <w:rPr>
          <w:rFonts w:ascii="Times New Roman" w:hAnsi="Times New Roman"/>
        </w:rPr>
      </w:pPr>
      <w:r>
        <w:rPr>
          <w:rFonts w:ascii="Times New Roman" w:hAnsi="Times New Roman"/>
        </w:rPr>
        <w:t>Использование электронных средств обучения в ходе реализации образовательной деятельности, включая выполнение домашних заданий, внеурочную деятельность, проводится в соответствии с Санитарно-эпидемиологическими требованиями и Гигиеническими нормативами.</w:t>
      </w:r>
    </w:p>
    <w:p w14:paraId="0B9CF8A3">
      <w:pPr>
        <w:widowControl/>
        <w:spacing w:after="0" w:line="353" w:lineRule="auto"/>
        <w:ind w:firstLine="709"/>
        <w:jc w:val="both"/>
        <w:rPr>
          <w:rFonts w:ascii="Times New Roman" w:hAnsi="Times New Roman"/>
        </w:rPr>
      </w:pPr>
      <w:r>
        <w:rPr>
          <w:rFonts w:ascii="Times New Roman" w:hAnsi="Times New Roman"/>
        </w:rPr>
        <w:t>Режим работы и график учебного года устанавливается образовательной организацией самостоятельно с учетом законодательства Российской Федерации и гигиенических нормативов (по четвертям, триместрам, индивидуальному графику).</w:t>
      </w:r>
    </w:p>
    <w:p w14:paraId="655F6163">
      <w:pPr>
        <w:pStyle w:val="85"/>
        <w:spacing w:before="200"/>
        <w:ind w:firstLine="540"/>
        <w:jc w:val="both"/>
        <w:rPr>
          <w:color w:val="auto"/>
          <w:sz w:val="22"/>
          <w:szCs w:val="22"/>
        </w:rPr>
      </w:pPr>
      <w:r>
        <w:rPr>
          <w:color w:val="auto"/>
          <w:sz w:val="22"/>
          <w:szCs w:val="22"/>
        </w:rPr>
        <w:t>С целью профилактики переутомления в федеральном календарном учебном графике предусматривается чередование периодов учебного времени и каникул. Продолжительность каникул должна составлять не менее 7 календарных дней. Суммарная минимальная продолжительность каникул составляет: не менее 133 дней при 19 неделях, 126 дней при 18 неделях.</w:t>
      </w:r>
    </w:p>
    <w:p w14:paraId="58C1FC3B">
      <w:pPr>
        <w:widowControl/>
        <w:spacing w:after="0" w:line="353" w:lineRule="auto"/>
        <w:ind w:firstLine="709"/>
        <w:jc w:val="both"/>
        <w:rPr>
          <w:rFonts w:ascii="Times New Roman" w:hAnsi="Times New Roman" w:eastAsia="SchoolBookSanPin"/>
        </w:rPr>
      </w:pPr>
      <w:r>
        <w:rPr>
          <w:rFonts w:ascii="Times New Roman" w:hAnsi="Times New Roman"/>
        </w:rPr>
        <w:t>Наиболее рациональным графиком является равномерное чередование периодов учебы и каникул в течение учебного года - 5 - 6 недель учебных периодов чередуются с недельными каникулами.</w:t>
      </w:r>
    </w:p>
    <w:p w14:paraId="7675FBCD">
      <w:pPr>
        <w:pStyle w:val="4"/>
        <w:rPr>
          <w:b/>
          <w:sz w:val="22"/>
          <w:szCs w:val="22"/>
        </w:rPr>
      </w:pPr>
      <w:r>
        <w:rPr>
          <w:sz w:val="22"/>
          <w:szCs w:val="22"/>
        </w:rPr>
        <w:t>21. План внеурочной деятельности.</w:t>
      </w:r>
    </w:p>
    <w:p w14:paraId="76BEC109">
      <w:pPr>
        <w:pStyle w:val="718"/>
        <w:shd w:val="clear" w:color="auto" w:fill="auto"/>
        <w:spacing w:line="317" w:lineRule="exact"/>
        <w:ind w:left="100" w:right="100" w:firstLine="580"/>
        <w:rPr>
          <w:sz w:val="22"/>
          <w:szCs w:val="22"/>
        </w:rPr>
      </w:pPr>
      <w:r>
        <w:rPr>
          <w:sz w:val="22"/>
          <w:szCs w:val="22"/>
        </w:rPr>
        <w:t>План внеурочной деятельности определяет формы организации и объем внеурочной деятельности для обучающихся при освоении ими программы начального общего образования (до 1320 академических часов за четыре года обучения) с учетом образовательных потребностей и интересов обучающихся, запросов родителей (законных представителей) несовершеннолетних обучающихся, возможностей организации.</w:t>
      </w:r>
    </w:p>
    <w:p w14:paraId="001C25F8">
      <w:pPr>
        <w:pStyle w:val="718"/>
        <w:shd w:val="clear" w:color="auto" w:fill="auto"/>
        <w:spacing w:line="317" w:lineRule="exact"/>
        <w:ind w:right="100"/>
        <w:rPr>
          <w:sz w:val="22"/>
          <w:szCs w:val="22"/>
        </w:rPr>
      </w:pPr>
    </w:p>
    <w:p w14:paraId="51334214">
      <w:pPr>
        <w:pStyle w:val="718"/>
        <w:shd w:val="clear" w:color="auto" w:fill="auto"/>
        <w:spacing w:line="317" w:lineRule="exact"/>
        <w:ind w:right="100"/>
        <w:rPr>
          <w:sz w:val="22"/>
          <w:szCs w:val="22"/>
        </w:rPr>
      </w:pPr>
    </w:p>
    <w:p w14:paraId="497ABABB">
      <w:pPr>
        <w:rPr>
          <w:rFonts w:ascii="Times New Roman" w:hAnsi="Times New Roman"/>
        </w:rPr>
      </w:pPr>
    </w:p>
    <w:tbl>
      <w:tblPr>
        <w:tblStyle w:val="13"/>
        <w:tblW w:w="10159" w:type="dxa"/>
        <w:tblInd w:w="-123" w:type="dxa"/>
        <w:tblLayout w:type="fixed"/>
        <w:tblCellMar>
          <w:top w:w="0" w:type="dxa"/>
          <w:left w:w="0" w:type="dxa"/>
          <w:bottom w:w="0" w:type="dxa"/>
          <w:right w:w="0" w:type="dxa"/>
        </w:tblCellMar>
      </w:tblPr>
      <w:tblGrid>
        <w:gridCol w:w="2836"/>
        <w:gridCol w:w="2629"/>
        <w:gridCol w:w="757"/>
        <w:gridCol w:w="851"/>
        <w:gridCol w:w="850"/>
        <w:gridCol w:w="1292"/>
        <w:gridCol w:w="944"/>
      </w:tblGrid>
      <w:tr w14:paraId="2E074197">
        <w:tblPrEx>
          <w:tblCellMar>
            <w:top w:w="0" w:type="dxa"/>
            <w:left w:w="0" w:type="dxa"/>
            <w:bottom w:w="0" w:type="dxa"/>
            <w:right w:w="0" w:type="dxa"/>
          </w:tblCellMar>
        </w:tblPrEx>
        <w:trPr>
          <w:trHeight w:val="320" w:hRule="exact"/>
        </w:trPr>
        <w:tc>
          <w:tcPr>
            <w:tcW w:w="2836" w:type="dxa"/>
            <w:vMerge w:val="restart"/>
            <w:tcBorders>
              <w:top w:val="single" w:color="000000" w:sz="4" w:space="0"/>
              <w:left w:val="single" w:color="000000" w:sz="4" w:space="0"/>
              <w:right w:val="single" w:color="000000" w:sz="4" w:space="0"/>
            </w:tcBorders>
            <w:noWrap/>
            <w:vAlign w:val="center"/>
          </w:tcPr>
          <w:p w14:paraId="5AC1616C">
            <w:pPr>
              <w:spacing w:after="0" w:line="240" w:lineRule="auto"/>
              <w:ind w:left="57" w:right="57"/>
              <w:jc w:val="center"/>
              <w:rPr>
                <w:rFonts w:ascii="Times New Roman" w:hAnsi="Times New Roman" w:eastAsia="SchoolBookSanPin"/>
                <w:sz w:val="24"/>
                <w:szCs w:val="24"/>
              </w:rPr>
            </w:pPr>
            <w:r>
              <w:rPr>
                <w:rFonts w:ascii="Times New Roman" w:hAnsi="Times New Roman" w:eastAsia="SchoolBookSanPin"/>
                <w:sz w:val="24"/>
                <w:szCs w:val="24"/>
              </w:rPr>
              <w:t>Направления развития личности</w:t>
            </w:r>
          </w:p>
        </w:tc>
        <w:tc>
          <w:tcPr>
            <w:tcW w:w="2629" w:type="dxa"/>
            <w:vMerge w:val="restart"/>
            <w:tcBorders>
              <w:top w:val="single" w:color="000000" w:sz="4" w:space="0"/>
              <w:left w:val="single" w:color="000000" w:sz="4" w:space="0"/>
              <w:right w:val="single" w:color="000000" w:sz="4" w:space="0"/>
            </w:tcBorders>
            <w:noWrap/>
            <w:vAlign w:val="center"/>
          </w:tcPr>
          <w:p w14:paraId="04A23E88">
            <w:pPr>
              <w:spacing w:after="0" w:line="240" w:lineRule="auto"/>
              <w:ind w:left="57" w:right="57"/>
              <w:jc w:val="center"/>
              <w:rPr>
                <w:rFonts w:ascii="Times New Roman" w:hAnsi="Times New Roman" w:eastAsia="SchoolBookSanPin"/>
                <w:sz w:val="24"/>
                <w:szCs w:val="24"/>
              </w:rPr>
            </w:pPr>
            <w:r>
              <w:rPr>
                <w:rFonts w:ascii="Times New Roman" w:hAnsi="Times New Roman" w:eastAsia="SchoolBookSanPin"/>
                <w:sz w:val="24"/>
                <w:szCs w:val="24"/>
              </w:rPr>
              <w:t>Формы организации и мероприятия</w:t>
            </w:r>
          </w:p>
        </w:tc>
        <w:tc>
          <w:tcPr>
            <w:tcW w:w="3750" w:type="dxa"/>
            <w:gridSpan w:val="4"/>
            <w:tcBorders>
              <w:top w:val="single" w:color="000000" w:sz="4" w:space="0"/>
              <w:left w:val="single" w:color="000000" w:sz="4" w:space="0"/>
              <w:bottom w:val="single" w:color="000000" w:sz="4" w:space="0"/>
              <w:right w:val="single" w:color="000000" w:sz="4" w:space="0"/>
            </w:tcBorders>
            <w:noWrap/>
            <w:vAlign w:val="center"/>
          </w:tcPr>
          <w:p w14:paraId="4BEC194F">
            <w:pPr>
              <w:spacing w:after="0" w:line="240" w:lineRule="auto"/>
              <w:ind w:left="57" w:right="57"/>
              <w:jc w:val="center"/>
              <w:rPr>
                <w:rFonts w:ascii="Times New Roman" w:hAnsi="Times New Roman" w:eastAsia="SchoolBookSanPin"/>
                <w:sz w:val="24"/>
                <w:szCs w:val="24"/>
              </w:rPr>
            </w:pPr>
            <w:r>
              <w:rPr>
                <w:rFonts w:ascii="Times New Roman" w:hAnsi="Times New Roman" w:eastAsia="SchoolBookSanPin"/>
                <w:bCs/>
                <w:sz w:val="24"/>
                <w:szCs w:val="24"/>
              </w:rPr>
              <w:t>Количество часов в неделю/в год</w:t>
            </w:r>
          </w:p>
        </w:tc>
        <w:tc>
          <w:tcPr>
            <w:tcW w:w="944" w:type="dxa"/>
            <w:vMerge w:val="restart"/>
            <w:tcBorders>
              <w:top w:val="single" w:color="000000" w:sz="4" w:space="0"/>
              <w:left w:val="single" w:color="000000" w:sz="4" w:space="0"/>
              <w:right w:val="single" w:color="auto" w:sz="4" w:space="0"/>
            </w:tcBorders>
            <w:noWrap/>
            <w:vAlign w:val="center"/>
          </w:tcPr>
          <w:p w14:paraId="1A17AE54">
            <w:pPr>
              <w:spacing w:after="0" w:line="240" w:lineRule="auto"/>
              <w:ind w:left="57" w:right="57"/>
              <w:jc w:val="center"/>
              <w:rPr>
                <w:rFonts w:ascii="Times New Roman" w:hAnsi="Times New Roman"/>
                <w:sz w:val="24"/>
                <w:szCs w:val="24"/>
              </w:rPr>
            </w:pPr>
          </w:p>
          <w:p w14:paraId="305F1060">
            <w:pPr>
              <w:spacing w:after="0" w:line="240" w:lineRule="auto"/>
              <w:ind w:left="57" w:right="57"/>
              <w:jc w:val="center"/>
              <w:rPr>
                <w:rFonts w:ascii="Times New Roman" w:hAnsi="Times New Roman" w:eastAsia="SchoolBookSanPin"/>
                <w:sz w:val="24"/>
                <w:szCs w:val="24"/>
              </w:rPr>
            </w:pPr>
            <w:r>
              <w:rPr>
                <w:rFonts w:ascii="Times New Roman" w:hAnsi="Times New Roman" w:eastAsia="SchoolBookSanPin"/>
                <w:bCs/>
                <w:sz w:val="24"/>
                <w:szCs w:val="24"/>
              </w:rPr>
              <w:t>Всего</w:t>
            </w:r>
          </w:p>
        </w:tc>
      </w:tr>
      <w:tr w14:paraId="33DCAA3B">
        <w:tblPrEx>
          <w:tblCellMar>
            <w:top w:w="0" w:type="dxa"/>
            <w:left w:w="0" w:type="dxa"/>
            <w:bottom w:w="0" w:type="dxa"/>
            <w:right w:w="0" w:type="dxa"/>
          </w:tblCellMar>
        </w:tblPrEx>
        <w:trPr>
          <w:trHeight w:val="444" w:hRule="exact"/>
        </w:trPr>
        <w:tc>
          <w:tcPr>
            <w:tcW w:w="2836" w:type="dxa"/>
            <w:vMerge w:val="continue"/>
            <w:tcBorders>
              <w:left w:val="single" w:color="000000" w:sz="4" w:space="0"/>
              <w:bottom w:val="single" w:color="000000" w:sz="4" w:space="0"/>
              <w:right w:val="single" w:color="000000" w:sz="4" w:space="0"/>
            </w:tcBorders>
            <w:noWrap/>
            <w:vAlign w:val="center"/>
          </w:tcPr>
          <w:p w14:paraId="272CA4D4">
            <w:pPr>
              <w:spacing w:after="0" w:line="240" w:lineRule="auto"/>
              <w:ind w:left="57" w:right="57"/>
              <w:rPr>
                <w:rFonts w:ascii="Times New Roman" w:hAnsi="Times New Roman"/>
                <w:sz w:val="24"/>
                <w:szCs w:val="24"/>
              </w:rPr>
            </w:pPr>
          </w:p>
        </w:tc>
        <w:tc>
          <w:tcPr>
            <w:tcW w:w="2629" w:type="dxa"/>
            <w:vMerge w:val="continue"/>
            <w:tcBorders>
              <w:left w:val="single" w:color="000000" w:sz="4" w:space="0"/>
              <w:bottom w:val="single" w:color="000000" w:sz="4" w:space="0"/>
              <w:right w:val="single" w:color="000000" w:sz="4" w:space="0"/>
            </w:tcBorders>
            <w:noWrap/>
            <w:vAlign w:val="center"/>
          </w:tcPr>
          <w:p w14:paraId="585DDB15">
            <w:pPr>
              <w:spacing w:after="0" w:line="240" w:lineRule="auto"/>
              <w:ind w:left="57" w:right="57"/>
              <w:rPr>
                <w:rFonts w:ascii="Times New Roman" w:hAnsi="Times New Roman"/>
                <w:sz w:val="24"/>
                <w:szCs w:val="24"/>
              </w:rPr>
            </w:pPr>
          </w:p>
        </w:tc>
        <w:tc>
          <w:tcPr>
            <w:tcW w:w="757" w:type="dxa"/>
            <w:tcBorders>
              <w:top w:val="single" w:color="000000" w:sz="4" w:space="0"/>
              <w:left w:val="single" w:color="000000" w:sz="4" w:space="0"/>
              <w:bottom w:val="single" w:color="000000" w:sz="4" w:space="0"/>
              <w:right w:val="single" w:color="000000" w:sz="4" w:space="0"/>
            </w:tcBorders>
            <w:noWrap/>
          </w:tcPr>
          <w:p w14:paraId="099DEBF2">
            <w:pPr>
              <w:spacing w:after="0" w:line="240" w:lineRule="auto"/>
              <w:ind w:left="57" w:right="57"/>
              <w:jc w:val="center"/>
              <w:rPr>
                <w:rFonts w:ascii="Times New Roman" w:hAnsi="Times New Roman" w:eastAsia="SchoolBookSanPin"/>
                <w:sz w:val="24"/>
                <w:szCs w:val="24"/>
              </w:rPr>
            </w:pPr>
            <w:r>
              <w:rPr>
                <w:rFonts w:ascii="Times New Roman" w:hAnsi="Times New Roman" w:eastAsia="SchoolBookSanPin"/>
                <w:bCs/>
                <w:sz w:val="24"/>
                <w:szCs w:val="24"/>
              </w:rPr>
              <w:t>I</w:t>
            </w:r>
          </w:p>
        </w:tc>
        <w:tc>
          <w:tcPr>
            <w:tcW w:w="851" w:type="dxa"/>
            <w:tcBorders>
              <w:top w:val="single" w:color="000000" w:sz="4" w:space="0"/>
              <w:left w:val="single" w:color="000000" w:sz="4" w:space="0"/>
              <w:bottom w:val="single" w:color="000000" w:sz="4" w:space="0"/>
              <w:right w:val="single" w:color="000000" w:sz="4" w:space="0"/>
            </w:tcBorders>
            <w:noWrap/>
          </w:tcPr>
          <w:p w14:paraId="1FD6B939">
            <w:pPr>
              <w:spacing w:after="0" w:line="240" w:lineRule="auto"/>
              <w:ind w:left="57" w:right="57"/>
              <w:jc w:val="center"/>
              <w:rPr>
                <w:rFonts w:ascii="Times New Roman" w:hAnsi="Times New Roman" w:eastAsia="SchoolBookSanPin"/>
                <w:sz w:val="24"/>
                <w:szCs w:val="24"/>
              </w:rPr>
            </w:pPr>
            <w:r>
              <w:rPr>
                <w:rFonts w:ascii="Times New Roman" w:hAnsi="Times New Roman" w:eastAsia="SchoolBookSanPin"/>
                <w:bCs/>
                <w:sz w:val="24"/>
                <w:szCs w:val="24"/>
              </w:rPr>
              <w:t>II</w:t>
            </w:r>
          </w:p>
        </w:tc>
        <w:tc>
          <w:tcPr>
            <w:tcW w:w="850" w:type="dxa"/>
            <w:tcBorders>
              <w:top w:val="single" w:color="000000" w:sz="4" w:space="0"/>
              <w:left w:val="single" w:color="000000" w:sz="4" w:space="0"/>
              <w:bottom w:val="single" w:color="000000" w:sz="4" w:space="0"/>
              <w:right w:val="single" w:color="000000" w:sz="4" w:space="0"/>
            </w:tcBorders>
            <w:noWrap/>
          </w:tcPr>
          <w:p w14:paraId="2169D0F4">
            <w:pPr>
              <w:spacing w:after="0" w:line="240" w:lineRule="auto"/>
              <w:ind w:left="57" w:right="57"/>
              <w:jc w:val="center"/>
              <w:rPr>
                <w:rFonts w:ascii="Times New Roman" w:hAnsi="Times New Roman" w:eastAsia="SchoolBookSanPin"/>
                <w:sz w:val="24"/>
                <w:szCs w:val="24"/>
              </w:rPr>
            </w:pPr>
            <w:r>
              <w:rPr>
                <w:rFonts w:ascii="Times New Roman" w:hAnsi="Times New Roman" w:eastAsia="SchoolBookSanPin"/>
                <w:bCs/>
                <w:sz w:val="24"/>
                <w:szCs w:val="24"/>
              </w:rPr>
              <w:t>III</w:t>
            </w:r>
          </w:p>
        </w:tc>
        <w:tc>
          <w:tcPr>
            <w:tcW w:w="1292" w:type="dxa"/>
            <w:tcBorders>
              <w:top w:val="single" w:color="000000" w:sz="4" w:space="0"/>
              <w:left w:val="single" w:color="000000" w:sz="4" w:space="0"/>
              <w:bottom w:val="single" w:color="000000" w:sz="4" w:space="0"/>
              <w:right w:val="single" w:color="000000" w:sz="4" w:space="0"/>
            </w:tcBorders>
            <w:noWrap/>
          </w:tcPr>
          <w:p w14:paraId="09BCF214">
            <w:pPr>
              <w:spacing w:after="0" w:line="240" w:lineRule="auto"/>
              <w:ind w:left="57" w:right="57"/>
              <w:jc w:val="center"/>
              <w:rPr>
                <w:rFonts w:ascii="Times New Roman" w:hAnsi="Times New Roman" w:eastAsia="SchoolBookSanPin"/>
                <w:sz w:val="24"/>
                <w:szCs w:val="24"/>
                <w:lang w:val="en-US"/>
              </w:rPr>
            </w:pPr>
            <w:r>
              <w:rPr>
                <w:rFonts w:ascii="Times New Roman" w:hAnsi="Times New Roman" w:eastAsia="SchoolBookSanPin"/>
                <w:sz w:val="24"/>
                <w:szCs w:val="24"/>
                <w:lang w:val="en-US"/>
              </w:rPr>
              <w:t>IV</w:t>
            </w:r>
          </w:p>
        </w:tc>
        <w:tc>
          <w:tcPr>
            <w:tcW w:w="944" w:type="dxa"/>
            <w:vMerge w:val="continue"/>
            <w:tcBorders>
              <w:left w:val="single" w:color="000000" w:sz="4" w:space="0"/>
              <w:bottom w:val="single" w:color="000000" w:sz="4" w:space="0"/>
              <w:right w:val="single" w:color="auto" w:sz="4" w:space="0"/>
            </w:tcBorders>
            <w:noWrap/>
          </w:tcPr>
          <w:p w14:paraId="63652F34">
            <w:pPr>
              <w:spacing w:after="0" w:line="240" w:lineRule="auto"/>
              <w:ind w:left="57" w:right="57"/>
              <w:jc w:val="both"/>
              <w:rPr>
                <w:rFonts w:ascii="Times New Roman" w:hAnsi="Times New Roman"/>
                <w:sz w:val="24"/>
                <w:szCs w:val="24"/>
              </w:rPr>
            </w:pPr>
          </w:p>
        </w:tc>
      </w:tr>
      <w:tr w14:paraId="5212FA7F">
        <w:tblPrEx>
          <w:tblCellMar>
            <w:top w:w="0" w:type="dxa"/>
            <w:left w:w="0" w:type="dxa"/>
            <w:bottom w:w="0" w:type="dxa"/>
            <w:right w:w="0" w:type="dxa"/>
          </w:tblCellMar>
        </w:tblPrEx>
        <w:trPr>
          <w:trHeight w:val="663" w:hRule="exact"/>
        </w:trPr>
        <w:tc>
          <w:tcPr>
            <w:tcW w:w="2836" w:type="dxa"/>
            <w:tcBorders>
              <w:top w:val="single" w:color="000000" w:sz="4" w:space="0"/>
              <w:left w:val="single" w:color="000000" w:sz="4" w:space="0"/>
              <w:bottom w:val="single" w:color="000000" w:sz="4" w:space="0"/>
              <w:right w:val="single" w:color="000000" w:sz="4" w:space="0"/>
            </w:tcBorders>
            <w:noWrap/>
            <w:vAlign w:val="center"/>
          </w:tcPr>
          <w:p w14:paraId="063FA751">
            <w:pPr>
              <w:spacing w:after="0" w:line="240" w:lineRule="auto"/>
              <w:ind w:left="57" w:right="57"/>
              <w:rPr>
                <w:rFonts w:ascii="Times New Roman" w:hAnsi="Times New Roman" w:eastAsia="SchoolBookSanPin"/>
                <w:sz w:val="24"/>
                <w:szCs w:val="24"/>
              </w:rPr>
            </w:pPr>
            <w:r>
              <w:rPr>
                <w:rFonts w:ascii="Times New Roman" w:hAnsi="Times New Roman" w:eastAsia="SchoolBookSanPin"/>
                <w:sz w:val="24"/>
                <w:szCs w:val="24"/>
              </w:rPr>
              <w:t>Духовно-нравственное</w:t>
            </w:r>
          </w:p>
        </w:tc>
        <w:tc>
          <w:tcPr>
            <w:tcW w:w="2629" w:type="dxa"/>
            <w:tcBorders>
              <w:top w:val="single" w:color="000000" w:sz="4" w:space="0"/>
              <w:left w:val="single" w:color="000000" w:sz="4" w:space="0"/>
              <w:bottom w:val="single" w:color="000000" w:sz="4" w:space="0"/>
              <w:right w:val="single" w:color="000000" w:sz="4" w:space="0"/>
            </w:tcBorders>
            <w:noWrap/>
            <w:vAlign w:val="center"/>
          </w:tcPr>
          <w:p w14:paraId="37B02016">
            <w:pPr>
              <w:spacing w:after="0" w:line="240" w:lineRule="auto"/>
              <w:ind w:left="57" w:right="57"/>
              <w:rPr>
                <w:rFonts w:ascii="Times New Roman" w:hAnsi="Times New Roman" w:eastAsia="SchoolBookSanPin"/>
                <w:sz w:val="24"/>
                <w:szCs w:val="24"/>
              </w:rPr>
            </w:pPr>
            <w:r>
              <w:rPr>
                <w:rFonts w:ascii="Times New Roman" w:hAnsi="Times New Roman" w:eastAsia="SchoolBookSanPin"/>
                <w:sz w:val="24"/>
                <w:szCs w:val="24"/>
              </w:rPr>
              <w:t>«Разговоры о важном»</w:t>
            </w:r>
          </w:p>
        </w:tc>
        <w:tc>
          <w:tcPr>
            <w:tcW w:w="757" w:type="dxa"/>
            <w:tcBorders>
              <w:top w:val="single" w:color="000000" w:sz="4" w:space="0"/>
              <w:left w:val="single" w:color="000000" w:sz="4" w:space="0"/>
              <w:bottom w:val="single" w:color="000000" w:sz="4" w:space="0"/>
              <w:right w:val="single" w:color="000000" w:sz="4" w:space="0"/>
            </w:tcBorders>
            <w:noWrap/>
            <w:vAlign w:val="center"/>
          </w:tcPr>
          <w:p w14:paraId="197D7DF2">
            <w:pPr>
              <w:spacing w:after="0" w:line="240" w:lineRule="auto"/>
              <w:ind w:left="57" w:right="57"/>
              <w:jc w:val="center"/>
              <w:rPr>
                <w:rFonts w:ascii="Times New Roman" w:hAnsi="Times New Roman" w:eastAsia="SchoolBookSanPin"/>
                <w:sz w:val="24"/>
                <w:szCs w:val="24"/>
              </w:rPr>
            </w:pPr>
            <w:r>
              <w:rPr>
                <w:rFonts w:ascii="Times New Roman" w:hAnsi="Times New Roman" w:eastAsia="SchoolBookSanPin"/>
                <w:sz w:val="24"/>
                <w:szCs w:val="24"/>
              </w:rPr>
              <w:t>1/33</w:t>
            </w:r>
          </w:p>
        </w:tc>
        <w:tc>
          <w:tcPr>
            <w:tcW w:w="851" w:type="dxa"/>
            <w:tcBorders>
              <w:top w:val="single" w:color="000000" w:sz="4" w:space="0"/>
              <w:left w:val="single" w:color="000000" w:sz="4" w:space="0"/>
              <w:bottom w:val="single" w:color="000000" w:sz="4" w:space="0"/>
              <w:right w:val="single" w:color="000000" w:sz="4" w:space="0"/>
            </w:tcBorders>
            <w:noWrap/>
            <w:vAlign w:val="center"/>
          </w:tcPr>
          <w:p w14:paraId="0859D6E8">
            <w:pPr>
              <w:spacing w:after="0" w:line="240" w:lineRule="auto"/>
              <w:ind w:left="57" w:right="57"/>
              <w:jc w:val="center"/>
              <w:rPr>
                <w:rFonts w:ascii="Times New Roman" w:hAnsi="Times New Roman" w:eastAsia="SchoolBookSanPin"/>
                <w:sz w:val="24"/>
                <w:szCs w:val="24"/>
              </w:rPr>
            </w:pPr>
            <w:r>
              <w:rPr>
                <w:rFonts w:ascii="Times New Roman" w:hAnsi="Times New Roman" w:eastAsia="SchoolBookSanPin"/>
                <w:sz w:val="24"/>
                <w:szCs w:val="24"/>
              </w:rPr>
              <w:t>1/34</w:t>
            </w:r>
          </w:p>
        </w:tc>
        <w:tc>
          <w:tcPr>
            <w:tcW w:w="850" w:type="dxa"/>
            <w:tcBorders>
              <w:top w:val="single" w:color="000000" w:sz="4" w:space="0"/>
              <w:left w:val="single" w:color="000000" w:sz="4" w:space="0"/>
              <w:bottom w:val="single" w:color="000000" w:sz="4" w:space="0"/>
              <w:right w:val="single" w:color="000000" w:sz="4" w:space="0"/>
            </w:tcBorders>
            <w:noWrap/>
            <w:vAlign w:val="center"/>
          </w:tcPr>
          <w:p w14:paraId="754F7676">
            <w:pPr>
              <w:spacing w:after="0" w:line="240" w:lineRule="auto"/>
              <w:ind w:left="57" w:right="57"/>
              <w:jc w:val="center"/>
              <w:rPr>
                <w:rFonts w:ascii="Times New Roman" w:hAnsi="Times New Roman" w:eastAsia="SchoolBookSanPin"/>
                <w:sz w:val="24"/>
                <w:szCs w:val="24"/>
              </w:rPr>
            </w:pPr>
            <w:r>
              <w:rPr>
                <w:rFonts w:ascii="Times New Roman" w:hAnsi="Times New Roman" w:eastAsia="SchoolBookSanPin"/>
                <w:sz w:val="24"/>
                <w:szCs w:val="24"/>
              </w:rPr>
              <w:t>1/34</w:t>
            </w:r>
          </w:p>
        </w:tc>
        <w:tc>
          <w:tcPr>
            <w:tcW w:w="1292" w:type="dxa"/>
            <w:tcBorders>
              <w:top w:val="single" w:color="000000" w:sz="4" w:space="0"/>
              <w:left w:val="single" w:color="000000" w:sz="4" w:space="0"/>
              <w:bottom w:val="single" w:color="000000" w:sz="4" w:space="0"/>
              <w:right w:val="single" w:color="000000" w:sz="4" w:space="0"/>
            </w:tcBorders>
            <w:noWrap/>
            <w:vAlign w:val="center"/>
          </w:tcPr>
          <w:p w14:paraId="4EBB2FB9">
            <w:pPr>
              <w:spacing w:after="0" w:line="240" w:lineRule="auto"/>
              <w:ind w:left="57" w:right="57"/>
              <w:jc w:val="center"/>
              <w:rPr>
                <w:rFonts w:ascii="Times New Roman" w:hAnsi="Times New Roman" w:eastAsia="SchoolBookSanPin"/>
                <w:sz w:val="24"/>
                <w:szCs w:val="24"/>
              </w:rPr>
            </w:pPr>
            <w:r>
              <w:rPr>
                <w:rFonts w:ascii="Times New Roman" w:hAnsi="Times New Roman" w:eastAsia="SchoolBookSanPin"/>
                <w:sz w:val="24"/>
                <w:szCs w:val="24"/>
              </w:rPr>
              <w:t>1/34</w:t>
            </w:r>
          </w:p>
        </w:tc>
        <w:tc>
          <w:tcPr>
            <w:tcW w:w="944" w:type="dxa"/>
            <w:tcBorders>
              <w:top w:val="single" w:color="000000" w:sz="4" w:space="0"/>
              <w:left w:val="single" w:color="000000" w:sz="4" w:space="0"/>
              <w:bottom w:val="single" w:color="000000" w:sz="4" w:space="0"/>
              <w:right w:val="single" w:color="auto" w:sz="4" w:space="0"/>
            </w:tcBorders>
            <w:noWrap/>
            <w:vAlign w:val="center"/>
          </w:tcPr>
          <w:p w14:paraId="70D6FE0F">
            <w:pPr>
              <w:spacing w:after="0" w:line="240" w:lineRule="auto"/>
              <w:ind w:left="57" w:right="57"/>
              <w:jc w:val="center"/>
              <w:rPr>
                <w:rFonts w:ascii="Times New Roman" w:hAnsi="Times New Roman" w:eastAsia="SchoolBookSanPin"/>
                <w:sz w:val="24"/>
                <w:szCs w:val="24"/>
              </w:rPr>
            </w:pPr>
            <w:r>
              <w:rPr>
                <w:rFonts w:ascii="Times New Roman" w:hAnsi="Times New Roman" w:eastAsia="SchoolBookSanPin"/>
                <w:sz w:val="24"/>
                <w:szCs w:val="24"/>
              </w:rPr>
              <w:t>4/135</w:t>
            </w:r>
          </w:p>
        </w:tc>
      </w:tr>
      <w:tr w14:paraId="61289D31">
        <w:tblPrEx>
          <w:tblCellMar>
            <w:top w:w="0" w:type="dxa"/>
            <w:left w:w="0" w:type="dxa"/>
            <w:bottom w:w="0" w:type="dxa"/>
            <w:right w:w="0" w:type="dxa"/>
          </w:tblCellMar>
        </w:tblPrEx>
        <w:trPr>
          <w:trHeight w:val="604" w:hRule="exact"/>
        </w:trPr>
        <w:tc>
          <w:tcPr>
            <w:tcW w:w="2836" w:type="dxa"/>
            <w:tcBorders>
              <w:top w:val="single" w:color="000000" w:sz="4" w:space="0"/>
              <w:left w:val="single" w:color="000000" w:sz="4" w:space="0"/>
              <w:bottom w:val="single" w:color="000000" w:sz="4" w:space="0"/>
              <w:right w:val="single" w:color="000000" w:sz="4" w:space="0"/>
            </w:tcBorders>
            <w:noWrap/>
            <w:vAlign w:val="center"/>
          </w:tcPr>
          <w:p w14:paraId="10A28F61">
            <w:pPr>
              <w:spacing w:after="0" w:line="240" w:lineRule="auto"/>
              <w:ind w:left="57" w:right="57"/>
              <w:rPr>
                <w:rFonts w:ascii="Times New Roman" w:hAnsi="Times New Roman" w:eastAsia="SchoolBookSanPin"/>
                <w:sz w:val="24"/>
                <w:szCs w:val="24"/>
              </w:rPr>
            </w:pPr>
            <w:r>
              <w:rPr>
                <w:rFonts w:ascii="Times New Roman" w:hAnsi="Times New Roman" w:eastAsia="SchoolBookSanPin"/>
                <w:sz w:val="24"/>
                <w:szCs w:val="24"/>
              </w:rPr>
              <w:t>Общеинтеллектуальное</w:t>
            </w:r>
          </w:p>
        </w:tc>
        <w:tc>
          <w:tcPr>
            <w:tcW w:w="2629" w:type="dxa"/>
            <w:tcBorders>
              <w:top w:val="single" w:color="000000" w:sz="4" w:space="0"/>
              <w:left w:val="single" w:color="000000" w:sz="4" w:space="0"/>
              <w:bottom w:val="single" w:color="000000" w:sz="4" w:space="0"/>
              <w:right w:val="single" w:color="000000" w:sz="4" w:space="0"/>
            </w:tcBorders>
            <w:noWrap/>
            <w:vAlign w:val="center"/>
          </w:tcPr>
          <w:p w14:paraId="1B18C847">
            <w:pPr>
              <w:spacing w:after="0" w:line="240" w:lineRule="auto"/>
              <w:ind w:left="57" w:right="57"/>
              <w:rPr>
                <w:rFonts w:ascii="Times New Roman" w:hAnsi="Times New Roman" w:eastAsia="SchoolBookSanPin"/>
                <w:sz w:val="24"/>
                <w:szCs w:val="24"/>
              </w:rPr>
            </w:pPr>
            <w:r>
              <w:rPr>
                <w:rFonts w:ascii="Times New Roman" w:hAnsi="Times New Roman" w:eastAsia="SchoolBookSanPin"/>
                <w:sz w:val="24"/>
                <w:szCs w:val="24"/>
              </w:rPr>
              <w:t>Кружок «Шахматы»</w:t>
            </w:r>
          </w:p>
        </w:tc>
        <w:tc>
          <w:tcPr>
            <w:tcW w:w="757" w:type="dxa"/>
            <w:tcBorders>
              <w:top w:val="single" w:color="000000" w:sz="4" w:space="0"/>
              <w:left w:val="single" w:color="000000" w:sz="4" w:space="0"/>
              <w:bottom w:val="single" w:color="000000" w:sz="4" w:space="0"/>
              <w:right w:val="single" w:color="000000" w:sz="4" w:space="0"/>
            </w:tcBorders>
            <w:noWrap/>
            <w:vAlign w:val="center"/>
          </w:tcPr>
          <w:p w14:paraId="258A9F21">
            <w:pPr>
              <w:spacing w:after="0" w:line="240" w:lineRule="auto"/>
              <w:ind w:left="57" w:right="57"/>
              <w:jc w:val="center"/>
              <w:rPr>
                <w:rFonts w:ascii="Times New Roman" w:hAnsi="Times New Roman" w:eastAsia="SchoolBookSanPin"/>
                <w:sz w:val="24"/>
                <w:szCs w:val="24"/>
              </w:rPr>
            </w:pPr>
            <w:r>
              <w:rPr>
                <w:rFonts w:ascii="Times New Roman" w:hAnsi="Times New Roman" w:eastAsia="SchoolBookSanPin"/>
                <w:sz w:val="24"/>
                <w:szCs w:val="24"/>
              </w:rPr>
              <w:t>1/33</w:t>
            </w:r>
          </w:p>
        </w:tc>
        <w:tc>
          <w:tcPr>
            <w:tcW w:w="851" w:type="dxa"/>
            <w:tcBorders>
              <w:top w:val="single" w:color="000000" w:sz="4" w:space="0"/>
              <w:left w:val="single" w:color="000000" w:sz="4" w:space="0"/>
              <w:bottom w:val="single" w:color="000000" w:sz="4" w:space="0"/>
              <w:right w:val="single" w:color="000000" w:sz="4" w:space="0"/>
            </w:tcBorders>
            <w:noWrap/>
            <w:vAlign w:val="center"/>
          </w:tcPr>
          <w:p w14:paraId="7311CF35">
            <w:pPr>
              <w:spacing w:after="0" w:line="240" w:lineRule="auto"/>
              <w:ind w:left="57" w:right="57"/>
              <w:jc w:val="center"/>
              <w:rPr>
                <w:rFonts w:ascii="Times New Roman" w:hAnsi="Times New Roman" w:eastAsia="SchoolBookSanPin"/>
                <w:sz w:val="24"/>
                <w:szCs w:val="24"/>
              </w:rPr>
            </w:pPr>
            <w:r>
              <w:rPr>
                <w:rFonts w:ascii="Times New Roman" w:hAnsi="Times New Roman" w:eastAsia="SchoolBookSanPin"/>
                <w:sz w:val="24"/>
                <w:szCs w:val="24"/>
              </w:rPr>
              <w:t>1/34</w:t>
            </w:r>
          </w:p>
        </w:tc>
        <w:tc>
          <w:tcPr>
            <w:tcW w:w="850" w:type="dxa"/>
            <w:tcBorders>
              <w:top w:val="single" w:color="000000" w:sz="4" w:space="0"/>
              <w:left w:val="single" w:color="000000" w:sz="4" w:space="0"/>
              <w:bottom w:val="single" w:color="000000" w:sz="4" w:space="0"/>
              <w:right w:val="single" w:color="000000" w:sz="4" w:space="0"/>
            </w:tcBorders>
            <w:noWrap/>
            <w:vAlign w:val="center"/>
          </w:tcPr>
          <w:p w14:paraId="7FB94571">
            <w:pPr>
              <w:spacing w:after="0" w:line="240" w:lineRule="auto"/>
              <w:ind w:left="57" w:right="57"/>
              <w:jc w:val="center"/>
              <w:rPr>
                <w:rFonts w:ascii="Times New Roman" w:hAnsi="Times New Roman" w:eastAsia="SchoolBookSanPin"/>
                <w:sz w:val="24"/>
                <w:szCs w:val="24"/>
              </w:rPr>
            </w:pPr>
            <w:r>
              <w:rPr>
                <w:rFonts w:ascii="Times New Roman" w:hAnsi="Times New Roman" w:eastAsia="SchoolBookSanPin"/>
                <w:sz w:val="24"/>
                <w:szCs w:val="24"/>
              </w:rPr>
              <w:t>1/34</w:t>
            </w:r>
          </w:p>
        </w:tc>
        <w:tc>
          <w:tcPr>
            <w:tcW w:w="1292" w:type="dxa"/>
            <w:tcBorders>
              <w:top w:val="single" w:color="000000" w:sz="4" w:space="0"/>
              <w:left w:val="single" w:color="000000" w:sz="4" w:space="0"/>
              <w:bottom w:val="single" w:color="000000" w:sz="4" w:space="0"/>
              <w:right w:val="single" w:color="000000" w:sz="4" w:space="0"/>
            </w:tcBorders>
            <w:noWrap/>
            <w:vAlign w:val="center"/>
          </w:tcPr>
          <w:p w14:paraId="112E0379">
            <w:pPr>
              <w:spacing w:after="0" w:line="240" w:lineRule="auto"/>
              <w:ind w:left="57" w:right="57"/>
              <w:jc w:val="center"/>
              <w:rPr>
                <w:rFonts w:ascii="Times New Roman" w:hAnsi="Times New Roman" w:eastAsia="SchoolBookSanPin"/>
                <w:sz w:val="24"/>
                <w:szCs w:val="24"/>
              </w:rPr>
            </w:pPr>
            <w:r>
              <w:rPr>
                <w:rFonts w:ascii="Times New Roman" w:hAnsi="Times New Roman" w:eastAsia="SchoolBookSanPin"/>
                <w:sz w:val="24"/>
                <w:szCs w:val="24"/>
              </w:rPr>
              <w:t>1/34</w:t>
            </w:r>
          </w:p>
        </w:tc>
        <w:tc>
          <w:tcPr>
            <w:tcW w:w="944" w:type="dxa"/>
            <w:tcBorders>
              <w:top w:val="single" w:color="000000" w:sz="4" w:space="0"/>
              <w:left w:val="single" w:color="000000" w:sz="4" w:space="0"/>
              <w:bottom w:val="single" w:color="000000" w:sz="4" w:space="0"/>
              <w:right w:val="single" w:color="auto" w:sz="4" w:space="0"/>
            </w:tcBorders>
            <w:noWrap/>
            <w:vAlign w:val="center"/>
          </w:tcPr>
          <w:p w14:paraId="0A001752">
            <w:pPr>
              <w:spacing w:after="0" w:line="240" w:lineRule="auto"/>
              <w:ind w:left="57" w:right="57"/>
              <w:jc w:val="center"/>
              <w:rPr>
                <w:rFonts w:ascii="Times New Roman" w:hAnsi="Times New Roman" w:eastAsia="SchoolBookSanPin"/>
                <w:sz w:val="24"/>
                <w:szCs w:val="24"/>
              </w:rPr>
            </w:pPr>
            <w:r>
              <w:rPr>
                <w:rFonts w:ascii="Times New Roman" w:hAnsi="Times New Roman" w:eastAsia="SchoolBookSanPin"/>
                <w:sz w:val="24"/>
                <w:szCs w:val="24"/>
              </w:rPr>
              <w:t>4/135</w:t>
            </w:r>
          </w:p>
        </w:tc>
      </w:tr>
      <w:tr w14:paraId="40676AF4">
        <w:tblPrEx>
          <w:tblCellMar>
            <w:top w:w="0" w:type="dxa"/>
            <w:left w:w="0" w:type="dxa"/>
            <w:bottom w:w="0" w:type="dxa"/>
            <w:right w:w="0" w:type="dxa"/>
          </w:tblCellMar>
        </w:tblPrEx>
        <w:trPr>
          <w:trHeight w:val="684" w:hRule="exact"/>
        </w:trPr>
        <w:tc>
          <w:tcPr>
            <w:tcW w:w="2836" w:type="dxa"/>
            <w:tcBorders>
              <w:top w:val="single" w:color="000000" w:sz="4" w:space="0"/>
              <w:left w:val="single" w:color="000000" w:sz="4" w:space="0"/>
              <w:bottom w:val="single" w:color="000000" w:sz="4" w:space="0"/>
              <w:right w:val="single" w:color="000000" w:sz="4" w:space="0"/>
            </w:tcBorders>
            <w:noWrap/>
            <w:vAlign w:val="center"/>
          </w:tcPr>
          <w:p w14:paraId="34D0202C">
            <w:pPr>
              <w:spacing w:after="0" w:line="240" w:lineRule="auto"/>
              <w:ind w:left="57" w:right="57"/>
              <w:rPr>
                <w:rFonts w:ascii="Times New Roman" w:hAnsi="Times New Roman" w:eastAsia="SchoolBookSanPin"/>
                <w:sz w:val="24"/>
                <w:szCs w:val="24"/>
              </w:rPr>
            </w:pPr>
            <w:r>
              <w:rPr>
                <w:rFonts w:ascii="Times New Roman" w:hAnsi="Times New Roman" w:eastAsia="SchoolBookSanPin"/>
                <w:sz w:val="24"/>
                <w:szCs w:val="24"/>
              </w:rPr>
              <w:t>Общекультурное</w:t>
            </w:r>
          </w:p>
        </w:tc>
        <w:tc>
          <w:tcPr>
            <w:tcW w:w="2629" w:type="dxa"/>
            <w:tcBorders>
              <w:top w:val="single" w:color="000000" w:sz="4" w:space="0"/>
              <w:left w:val="single" w:color="000000" w:sz="4" w:space="0"/>
              <w:bottom w:val="single" w:color="000000" w:sz="4" w:space="0"/>
              <w:right w:val="single" w:color="000000" w:sz="4" w:space="0"/>
            </w:tcBorders>
            <w:noWrap/>
            <w:vAlign w:val="center"/>
          </w:tcPr>
          <w:p w14:paraId="7A5CCE4A">
            <w:pPr>
              <w:spacing w:after="0" w:line="240" w:lineRule="auto"/>
              <w:ind w:left="57" w:right="57"/>
              <w:rPr>
                <w:rFonts w:ascii="Times New Roman" w:hAnsi="Times New Roman" w:eastAsia="SchoolBookSanPin"/>
                <w:sz w:val="24"/>
                <w:szCs w:val="24"/>
              </w:rPr>
            </w:pPr>
            <w:r>
              <w:rPr>
                <w:rFonts w:ascii="Times New Roman" w:hAnsi="Times New Roman" w:eastAsia="SchoolBookSanPin"/>
                <w:sz w:val="24"/>
                <w:szCs w:val="24"/>
              </w:rPr>
              <w:t>Кружок «Кругозор»</w:t>
            </w:r>
          </w:p>
        </w:tc>
        <w:tc>
          <w:tcPr>
            <w:tcW w:w="757" w:type="dxa"/>
            <w:tcBorders>
              <w:top w:val="single" w:color="000000" w:sz="4" w:space="0"/>
              <w:left w:val="single" w:color="000000" w:sz="4" w:space="0"/>
              <w:bottom w:val="single" w:color="000000" w:sz="4" w:space="0"/>
              <w:right w:val="single" w:color="000000" w:sz="4" w:space="0"/>
            </w:tcBorders>
            <w:noWrap/>
            <w:vAlign w:val="center"/>
          </w:tcPr>
          <w:p w14:paraId="4A8DA8A2">
            <w:pPr>
              <w:spacing w:after="0" w:line="240" w:lineRule="auto"/>
              <w:ind w:left="57" w:right="57"/>
              <w:jc w:val="center"/>
              <w:rPr>
                <w:rFonts w:ascii="Times New Roman" w:hAnsi="Times New Roman" w:eastAsia="SchoolBookSanPin"/>
                <w:sz w:val="24"/>
                <w:szCs w:val="24"/>
              </w:rPr>
            </w:pPr>
            <w:r>
              <w:rPr>
                <w:rFonts w:ascii="Times New Roman" w:hAnsi="Times New Roman" w:eastAsia="SchoolBookSanPin"/>
                <w:sz w:val="24"/>
                <w:szCs w:val="24"/>
              </w:rPr>
              <w:t>1/33</w:t>
            </w:r>
          </w:p>
        </w:tc>
        <w:tc>
          <w:tcPr>
            <w:tcW w:w="851" w:type="dxa"/>
            <w:tcBorders>
              <w:top w:val="single" w:color="000000" w:sz="4" w:space="0"/>
              <w:left w:val="single" w:color="000000" w:sz="4" w:space="0"/>
              <w:bottom w:val="single" w:color="000000" w:sz="4" w:space="0"/>
              <w:right w:val="single" w:color="000000" w:sz="4" w:space="0"/>
            </w:tcBorders>
            <w:noWrap/>
            <w:vAlign w:val="center"/>
          </w:tcPr>
          <w:p w14:paraId="746EAA45">
            <w:pPr>
              <w:spacing w:after="0" w:line="240" w:lineRule="auto"/>
              <w:ind w:left="57" w:right="57"/>
              <w:jc w:val="center"/>
              <w:rPr>
                <w:rFonts w:ascii="Times New Roman" w:hAnsi="Times New Roman" w:eastAsia="SchoolBookSanPin"/>
                <w:sz w:val="24"/>
                <w:szCs w:val="24"/>
              </w:rPr>
            </w:pPr>
            <w:r>
              <w:rPr>
                <w:rFonts w:ascii="Times New Roman" w:hAnsi="Times New Roman" w:eastAsia="SchoolBookSanPin"/>
                <w:sz w:val="24"/>
                <w:szCs w:val="24"/>
              </w:rPr>
              <w:t>1/34</w:t>
            </w:r>
          </w:p>
        </w:tc>
        <w:tc>
          <w:tcPr>
            <w:tcW w:w="850" w:type="dxa"/>
            <w:tcBorders>
              <w:top w:val="single" w:color="000000" w:sz="4" w:space="0"/>
              <w:left w:val="single" w:color="000000" w:sz="4" w:space="0"/>
              <w:bottom w:val="single" w:color="000000" w:sz="4" w:space="0"/>
              <w:right w:val="single" w:color="000000" w:sz="4" w:space="0"/>
            </w:tcBorders>
            <w:noWrap/>
            <w:vAlign w:val="center"/>
          </w:tcPr>
          <w:p w14:paraId="3C4CAFB9">
            <w:pPr>
              <w:spacing w:after="0" w:line="240" w:lineRule="auto"/>
              <w:ind w:left="57" w:right="57"/>
              <w:jc w:val="center"/>
              <w:rPr>
                <w:rFonts w:ascii="Times New Roman" w:hAnsi="Times New Roman" w:eastAsia="SchoolBookSanPin"/>
                <w:sz w:val="24"/>
                <w:szCs w:val="24"/>
              </w:rPr>
            </w:pPr>
            <w:r>
              <w:rPr>
                <w:rFonts w:ascii="Times New Roman" w:hAnsi="Times New Roman" w:eastAsia="SchoolBookSanPin"/>
                <w:sz w:val="24"/>
                <w:szCs w:val="24"/>
              </w:rPr>
              <w:t>1/34</w:t>
            </w:r>
          </w:p>
        </w:tc>
        <w:tc>
          <w:tcPr>
            <w:tcW w:w="1292" w:type="dxa"/>
            <w:tcBorders>
              <w:top w:val="single" w:color="000000" w:sz="4" w:space="0"/>
              <w:left w:val="single" w:color="000000" w:sz="4" w:space="0"/>
              <w:bottom w:val="single" w:color="000000" w:sz="4" w:space="0"/>
              <w:right w:val="single" w:color="000000" w:sz="4" w:space="0"/>
            </w:tcBorders>
            <w:noWrap/>
            <w:vAlign w:val="center"/>
          </w:tcPr>
          <w:p w14:paraId="638ABAA2">
            <w:pPr>
              <w:spacing w:after="0" w:line="240" w:lineRule="auto"/>
              <w:ind w:left="57" w:right="57"/>
              <w:jc w:val="center"/>
              <w:rPr>
                <w:rFonts w:ascii="Times New Roman" w:hAnsi="Times New Roman" w:eastAsia="SchoolBookSanPin"/>
                <w:sz w:val="24"/>
                <w:szCs w:val="24"/>
              </w:rPr>
            </w:pPr>
            <w:r>
              <w:rPr>
                <w:rFonts w:ascii="Times New Roman" w:hAnsi="Times New Roman" w:eastAsia="SchoolBookSanPin"/>
                <w:sz w:val="24"/>
                <w:szCs w:val="24"/>
              </w:rPr>
              <w:t>1/34</w:t>
            </w:r>
          </w:p>
        </w:tc>
        <w:tc>
          <w:tcPr>
            <w:tcW w:w="944" w:type="dxa"/>
            <w:tcBorders>
              <w:top w:val="single" w:color="000000" w:sz="4" w:space="0"/>
              <w:left w:val="single" w:color="000000" w:sz="4" w:space="0"/>
              <w:bottom w:val="single" w:color="000000" w:sz="4" w:space="0"/>
              <w:right w:val="single" w:color="auto" w:sz="4" w:space="0"/>
            </w:tcBorders>
            <w:noWrap/>
            <w:vAlign w:val="center"/>
          </w:tcPr>
          <w:p w14:paraId="5BE830D1">
            <w:pPr>
              <w:spacing w:after="0" w:line="240" w:lineRule="auto"/>
              <w:ind w:left="57" w:right="57"/>
              <w:jc w:val="center"/>
              <w:rPr>
                <w:rFonts w:ascii="Times New Roman" w:hAnsi="Times New Roman" w:eastAsia="SchoolBookSanPin"/>
                <w:sz w:val="24"/>
                <w:szCs w:val="24"/>
              </w:rPr>
            </w:pPr>
            <w:r>
              <w:rPr>
                <w:rFonts w:ascii="Times New Roman" w:hAnsi="Times New Roman" w:eastAsia="SchoolBookSanPin"/>
                <w:sz w:val="24"/>
                <w:szCs w:val="24"/>
              </w:rPr>
              <w:t>4/135</w:t>
            </w:r>
          </w:p>
        </w:tc>
      </w:tr>
      <w:tr w14:paraId="54F9ECB7">
        <w:tblPrEx>
          <w:tblCellMar>
            <w:top w:w="0" w:type="dxa"/>
            <w:left w:w="0" w:type="dxa"/>
            <w:bottom w:w="0" w:type="dxa"/>
            <w:right w:w="0" w:type="dxa"/>
          </w:tblCellMar>
        </w:tblPrEx>
        <w:trPr>
          <w:trHeight w:val="698" w:hRule="exact"/>
        </w:trPr>
        <w:tc>
          <w:tcPr>
            <w:tcW w:w="2836" w:type="dxa"/>
            <w:tcBorders>
              <w:top w:val="single" w:color="000000" w:sz="4" w:space="0"/>
              <w:left w:val="single" w:color="000000" w:sz="4" w:space="0"/>
              <w:bottom w:val="single" w:color="000000" w:sz="4" w:space="0"/>
              <w:right w:val="single" w:color="000000" w:sz="4" w:space="0"/>
            </w:tcBorders>
            <w:noWrap/>
            <w:vAlign w:val="center"/>
          </w:tcPr>
          <w:p w14:paraId="08DFFB82">
            <w:pPr>
              <w:spacing w:after="0" w:line="240" w:lineRule="auto"/>
              <w:ind w:left="57" w:right="57"/>
              <w:rPr>
                <w:rFonts w:ascii="Times New Roman" w:hAnsi="Times New Roman" w:eastAsia="SchoolBookSanPin"/>
                <w:sz w:val="24"/>
                <w:szCs w:val="24"/>
              </w:rPr>
            </w:pPr>
            <w:r>
              <w:rPr>
                <w:rFonts w:ascii="Times New Roman" w:hAnsi="Times New Roman" w:eastAsia="SchoolBookSanPin"/>
                <w:sz w:val="24"/>
                <w:szCs w:val="24"/>
              </w:rPr>
              <w:t>Спортивно-оздоровительное</w:t>
            </w:r>
          </w:p>
        </w:tc>
        <w:tc>
          <w:tcPr>
            <w:tcW w:w="2629" w:type="dxa"/>
            <w:tcBorders>
              <w:top w:val="single" w:color="000000" w:sz="4" w:space="0"/>
              <w:left w:val="single" w:color="000000" w:sz="4" w:space="0"/>
              <w:bottom w:val="single" w:color="000000" w:sz="4" w:space="0"/>
              <w:right w:val="single" w:color="000000" w:sz="4" w:space="0"/>
            </w:tcBorders>
            <w:noWrap/>
            <w:vAlign w:val="center"/>
          </w:tcPr>
          <w:p w14:paraId="0BA0A47A">
            <w:pPr>
              <w:spacing w:after="0" w:line="240" w:lineRule="auto"/>
              <w:ind w:left="57" w:right="57"/>
              <w:rPr>
                <w:rFonts w:ascii="Times New Roman" w:hAnsi="Times New Roman" w:eastAsia="SchoolBookSanPin"/>
                <w:sz w:val="24"/>
                <w:szCs w:val="24"/>
              </w:rPr>
            </w:pPr>
            <w:r>
              <w:rPr>
                <w:rFonts w:ascii="Times New Roman" w:hAnsi="Times New Roman" w:eastAsia="SchoolBookSanPin"/>
                <w:sz w:val="24"/>
                <w:szCs w:val="24"/>
              </w:rPr>
              <w:t>Кружок «Народные игры»</w:t>
            </w:r>
          </w:p>
        </w:tc>
        <w:tc>
          <w:tcPr>
            <w:tcW w:w="757" w:type="dxa"/>
            <w:tcBorders>
              <w:top w:val="single" w:color="000000" w:sz="4" w:space="0"/>
              <w:left w:val="single" w:color="000000" w:sz="4" w:space="0"/>
              <w:bottom w:val="single" w:color="000000" w:sz="4" w:space="0"/>
              <w:right w:val="single" w:color="000000" w:sz="4" w:space="0"/>
            </w:tcBorders>
            <w:noWrap/>
            <w:vAlign w:val="center"/>
          </w:tcPr>
          <w:p w14:paraId="32EF840D">
            <w:pPr>
              <w:spacing w:after="0" w:line="240" w:lineRule="auto"/>
              <w:ind w:left="57" w:right="57"/>
              <w:jc w:val="center"/>
              <w:rPr>
                <w:rFonts w:ascii="Times New Roman" w:hAnsi="Times New Roman" w:eastAsia="SchoolBookSanPin"/>
                <w:sz w:val="24"/>
                <w:szCs w:val="24"/>
              </w:rPr>
            </w:pPr>
            <w:r>
              <w:rPr>
                <w:rFonts w:ascii="Times New Roman" w:hAnsi="Times New Roman" w:eastAsia="SchoolBookSanPin"/>
                <w:sz w:val="24"/>
                <w:szCs w:val="24"/>
              </w:rPr>
              <w:t>1/33</w:t>
            </w:r>
          </w:p>
        </w:tc>
        <w:tc>
          <w:tcPr>
            <w:tcW w:w="851" w:type="dxa"/>
            <w:tcBorders>
              <w:top w:val="single" w:color="000000" w:sz="4" w:space="0"/>
              <w:left w:val="single" w:color="000000" w:sz="4" w:space="0"/>
              <w:bottom w:val="single" w:color="000000" w:sz="4" w:space="0"/>
              <w:right w:val="single" w:color="000000" w:sz="4" w:space="0"/>
            </w:tcBorders>
            <w:noWrap/>
            <w:vAlign w:val="center"/>
          </w:tcPr>
          <w:p w14:paraId="5548A06E">
            <w:pPr>
              <w:spacing w:after="0" w:line="240" w:lineRule="auto"/>
              <w:ind w:left="57" w:right="57"/>
              <w:jc w:val="center"/>
              <w:rPr>
                <w:rFonts w:ascii="Times New Roman" w:hAnsi="Times New Roman" w:eastAsia="SchoolBookSanPin"/>
                <w:sz w:val="24"/>
                <w:szCs w:val="24"/>
              </w:rPr>
            </w:pPr>
            <w:r>
              <w:rPr>
                <w:rFonts w:ascii="Times New Roman" w:hAnsi="Times New Roman" w:eastAsia="SchoolBookSanPin"/>
                <w:sz w:val="24"/>
                <w:szCs w:val="24"/>
              </w:rPr>
              <w:t>1/34</w:t>
            </w:r>
          </w:p>
        </w:tc>
        <w:tc>
          <w:tcPr>
            <w:tcW w:w="850" w:type="dxa"/>
            <w:tcBorders>
              <w:top w:val="single" w:color="000000" w:sz="4" w:space="0"/>
              <w:left w:val="single" w:color="000000" w:sz="4" w:space="0"/>
              <w:bottom w:val="single" w:color="000000" w:sz="4" w:space="0"/>
              <w:right w:val="single" w:color="000000" w:sz="4" w:space="0"/>
            </w:tcBorders>
            <w:noWrap/>
            <w:vAlign w:val="center"/>
          </w:tcPr>
          <w:p w14:paraId="7365F5DC">
            <w:pPr>
              <w:spacing w:after="0" w:line="240" w:lineRule="auto"/>
              <w:ind w:left="57" w:right="57"/>
              <w:jc w:val="center"/>
              <w:rPr>
                <w:rFonts w:ascii="Times New Roman" w:hAnsi="Times New Roman" w:eastAsia="SchoolBookSanPin"/>
                <w:sz w:val="24"/>
                <w:szCs w:val="24"/>
              </w:rPr>
            </w:pPr>
            <w:r>
              <w:rPr>
                <w:rFonts w:ascii="Times New Roman" w:hAnsi="Times New Roman" w:eastAsia="SchoolBookSanPin"/>
                <w:sz w:val="24"/>
                <w:szCs w:val="24"/>
              </w:rPr>
              <w:t>1/34</w:t>
            </w:r>
          </w:p>
        </w:tc>
        <w:tc>
          <w:tcPr>
            <w:tcW w:w="1292" w:type="dxa"/>
            <w:tcBorders>
              <w:top w:val="single" w:color="000000" w:sz="4" w:space="0"/>
              <w:left w:val="single" w:color="000000" w:sz="4" w:space="0"/>
              <w:bottom w:val="single" w:color="000000" w:sz="4" w:space="0"/>
              <w:right w:val="single" w:color="000000" w:sz="4" w:space="0"/>
            </w:tcBorders>
            <w:noWrap/>
            <w:vAlign w:val="center"/>
          </w:tcPr>
          <w:p w14:paraId="7F0F6749">
            <w:pPr>
              <w:spacing w:after="0" w:line="240" w:lineRule="auto"/>
              <w:ind w:left="57" w:right="57"/>
              <w:jc w:val="center"/>
              <w:rPr>
                <w:rFonts w:ascii="Times New Roman" w:hAnsi="Times New Roman" w:eastAsia="SchoolBookSanPin"/>
                <w:sz w:val="24"/>
                <w:szCs w:val="24"/>
              </w:rPr>
            </w:pPr>
            <w:r>
              <w:rPr>
                <w:rFonts w:ascii="Times New Roman" w:hAnsi="Times New Roman" w:eastAsia="SchoolBookSanPin"/>
                <w:sz w:val="24"/>
                <w:szCs w:val="24"/>
              </w:rPr>
              <w:t>1/34</w:t>
            </w:r>
          </w:p>
        </w:tc>
        <w:tc>
          <w:tcPr>
            <w:tcW w:w="944" w:type="dxa"/>
            <w:tcBorders>
              <w:top w:val="single" w:color="000000" w:sz="4" w:space="0"/>
              <w:left w:val="single" w:color="000000" w:sz="4" w:space="0"/>
              <w:bottom w:val="single" w:color="000000" w:sz="4" w:space="0"/>
              <w:right w:val="single" w:color="auto" w:sz="4" w:space="0"/>
            </w:tcBorders>
            <w:noWrap/>
            <w:vAlign w:val="center"/>
          </w:tcPr>
          <w:p w14:paraId="21DBA8FE">
            <w:pPr>
              <w:spacing w:after="0" w:line="240" w:lineRule="auto"/>
              <w:ind w:left="57" w:right="57"/>
              <w:jc w:val="center"/>
              <w:rPr>
                <w:rFonts w:ascii="Times New Roman" w:hAnsi="Times New Roman" w:eastAsia="SchoolBookSanPin"/>
                <w:sz w:val="24"/>
                <w:szCs w:val="24"/>
              </w:rPr>
            </w:pPr>
            <w:r>
              <w:rPr>
                <w:rFonts w:ascii="Times New Roman" w:hAnsi="Times New Roman" w:eastAsia="SchoolBookSanPin"/>
                <w:sz w:val="24"/>
                <w:szCs w:val="24"/>
              </w:rPr>
              <w:t>4/135</w:t>
            </w:r>
          </w:p>
        </w:tc>
      </w:tr>
      <w:tr w14:paraId="4B6FF14D">
        <w:tblPrEx>
          <w:tblCellMar>
            <w:top w:w="0" w:type="dxa"/>
            <w:left w:w="0" w:type="dxa"/>
            <w:bottom w:w="0" w:type="dxa"/>
            <w:right w:w="0" w:type="dxa"/>
          </w:tblCellMar>
        </w:tblPrEx>
        <w:trPr>
          <w:trHeight w:val="713" w:hRule="exact"/>
        </w:trPr>
        <w:tc>
          <w:tcPr>
            <w:tcW w:w="2836" w:type="dxa"/>
            <w:tcBorders>
              <w:top w:val="single" w:color="000000" w:sz="4" w:space="0"/>
              <w:left w:val="single" w:color="000000" w:sz="4" w:space="0"/>
              <w:bottom w:val="single" w:color="000000" w:sz="4" w:space="0"/>
              <w:right w:val="single" w:color="000000" w:sz="4" w:space="0"/>
            </w:tcBorders>
            <w:noWrap/>
            <w:vAlign w:val="center"/>
          </w:tcPr>
          <w:p w14:paraId="5C5CF2B0">
            <w:pPr>
              <w:spacing w:after="0" w:line="240" w:lineRule="auto"/>
              <w:ind w:left="57" w:right="57"/>
              <w:rPr>
                <w:rFonts w:ascii="Times New Roman" w:hAnsi="Times New Roman" w:eastAsia="SchoolBookSanPin"/>
                <w:sz w:val="24"/>
                <w:szCs w:val="24"/>
              </w:rPr>
            </w:pPr>
            <w:r>
              <w:rPr>
                <w:rFonts w:ascii="Times New Roman" w:hAnsi="Times New Roman" w:eastAsia="SchoolBookSanPin"/>
                <w:sz w:val="24"/>
                <w:szCs w:val="24"/>
              </w:rPr>
              <w:t>Социальное</w:t>
            </w:r>
          </w:p>
        </w:tc>
        <w:tc>
          <w:tcPr>
            <w:tcW w:w="2629" w:type="dxa"/>
            <w:tcBorders>
              <w:top w:val="single" w:color="000000" w:sz="4" w:space="0"/>
              <w:left w:val="single" w:color="000000" w:sz="4" w:space="0"/>
              <w:bottom w:val="single" w:color="000000" w:sz="4" w:space="0"/>
              <w:right w:val="single" w:color="000000" w:sz="4" w:space="0"/>
            </w:tcBorders>
            <w:noWrap/>
            <w:vAlign w:val="center"/>
          </w:tcPr>
          <w:p w14:paraId="5F55CFE3">
            <w:pPr>
              <w:spacing w:after="0" w:line="240" w:lineRule="auto"/>
              <w:ind w:left="57" w:right="57"/>
              <w:rPr>
                <w:rFonts w:ascii="Times New Roman" w:hAnsi="Times New Roman" w:eastAsia="SchoolBookSanPin"/>
                <w:sz w:val="24"/>
                <w:szCs w:val="24"/>
              </w:rPr>
            </w:pPr>
            <w:r>
              <w:rPr>
                <w:rFonts w:ascii="Times New Roman" w:hAnsi="Times New Roman" w:eastAsia="SchoolBookSanPin"/>
                <w:sz w:val="24"/>
                <w:szCs w:val="24"/>
              </w:rPr>
              <w:t>«Финансовая грамотность»</w:t>
            </w:r>
          </w:p>
        </w:tc>
        <w:tc>
          <w:tcPr>
            <w:tcW w:w="757" w:type="dxa"/>
            <w:tcBorders>
              <w:top w:val="single" w:color="000000" w:sz="4" w:space="0"/>
              <w:left w:val="single" w:color="000000" w:sz="4" w:space="0"/>
              <w:bottom w:val="single" w:color="000000" w:sz="4" w:space="0"/>
              <w:right w:val="single" w:color="000000" w:sz="4" w:space="0"/>
            </w:tcBorders>
            <w:noWrap/>
            <w:vAlign w:val="center"/>
          </w:tcPr>
          <w:p w14:paraId="79E8048F">
            <w:pPr>
              <w:spacing w:after="0" w:line="240" w:lineRule="auto"/>
              <w:ind w:left="57" w:right="57"/>
              <w:jc w:val="center"/>
              <w:rPr>
                <w:rFonts w:ascii="Times New Roman" w:hAnsi="Times New Roman" w:eastAsia="SchoolBookSanPin"/>
                <w:sz w:val="24"/>
                <w:szCs w:val="24"/>
              </w:rPr>
            </w:pPr>
            <w:r>
              <w:rPr>
                <w:rFonts w:ascii="Times New Roman" w:hAnsi="Times New Roman" w:eastAsia="SchoolBookSanPin"/>
                <w:sz w:val="24"/>
                <w:szCs w:val="24"/>
              </w:rPr>
              <w:t>1/33</w:t>
            </w:r>
          </w:p>
        </w:tc>
        <w:tc>
          <w:tcPr>
            <w:tcW w:w="851" w:type="dxa"/>
            <w:tcBorders>
              <w:top w:val="single" w:color="000000" w:sz="4" w:space="0"/>
              <w:left w:val="single" w:color="000000" w:sz="4" w:space="0"/>
              <w:bottom w:val="single" w:color="000000" w:sz="4" w:space="0"/>
              <w:right w:val="single" w:color="000000" w:sz="4" w:space="0"/>
            </w:tcBorders>
            <w:noWrap/>
            <w:vAlign w:val="center"/>
          </w:tcPr>
          <w:p w14:paraId="0CCD657A">
            <w:pPr>
              <w:spacing w:after="0" w:line="240" w:lineRule="auto"/>
              <w:ind w:left="57" w:right="57"/>
              <w:jc w:val="center"/>
              <w:rPr>
                <w:rFonts w:ascii="Times New Roman" w:hAnsi="Times New Roman" w:eastAsia="SchoolBookSanPin"/>
                <w:sz w:val="24"/>
                <w:szCs w:val="24"/>
              </w:rPr>
            </w:pPr>
            <w:r>
              <w:rPr>
                <w:rFonts w:ascii="Times New Roman" w:hAnsi="Times New Roman" w:eastAsia="SchoolBookSanPin"/>
                <w:sz w:val="24"/>
                <w:szCs w:val="24"/>
              </w:rPr>
              <w:t>1/34</w:t>
            </w:r>
          </w:p>
        </w:tc>
        <w:tc>
          <w:tcPr>
            <w:tcW w:w="850" w:type="dxa"/>
            <w:tcBorders>
              <w:top w:val="single" w:color="000000" w:sz="4" w:space="0"/>
              <w:left w:val="single" w:color="000000" w:sz="4" w:space="0"/>
              <w:bottom w:val="single" w:color="000000" w:sz="4" w:space="0"/>
              <w:right w:val="single" w:color="000000" w:sz="4" w:space="0"/>
            </w:tcBorders>
            <w:noWrap/>
            <w:vAlign w:val="center"/>
          </w:tcPr>
          <w:p w14:paraId="293FFB0E">
            <w:pPr>
              <w:spacing w:after="0" w:line="240" w:lineRule="auto"/>
              <w:ind w:left="57" w:right="57"/>
              <w:jc w:val="center"/>
              <w:rPr>
                <w:rFonts w:ascii="Times New Roman" w:hAnsi="Times New Roman" w:eastAsia="SchoolBookSanPin"/>
                <w:sz w:val="24"/>
                <w:szCs w:val="24"/>
              </w:rPr>
            </w:pPr>
            <w:r>
              <w:rPr>
                <w:rFonts w:ascii="Times New Roman" w:hAnsi="Times New Roman" w:eastAsia="SchoolBookSanPin"/>
                <w:sz w:val="24"/>
                <w:szCs w:val="24"/>
              </w:rPr>
              <w:t>1/34</w:t>
            </w:r>
          </w:p>
        </w:tc>
        <w:tc>
          <w:tcPr>
            <w:tcW w:w="1292" w:type="dxa"/>
            <w:tcBorders>
              <w:top w:val="single" w:color="000000" w:sz="4" w:space="0"/>
              <w:left w:val="single" w:color="000000" w:sz="4" w:space="0"/>
              <w:bottom w:val="single" w:color="000000" w:sz="4" w:space="0"/>
              <w:right w:val="single" w:color="000000" w:sz="4" w:space="0"/>
            </w:tcBorders>
            <w:noWrap/>
            <w:vAlign w:val="center"/>
          </w:tcPr>
          <w:p w14:paraId="518B6797">
            <w:pPr>
              <w:spacing w:after="0" w:line="240" w:lineRule="auto"/>
              <w:ind w:left="57" w:right="57"/>
              <w:jc w:val="center"/>
              <w:rPr>
                <w:rFonts w:ascii="Times New Roman" w:hAnsi="Times New Roman" w:eastAsia="SchoolBookSanPin"/>
                <w:sz w:val="24"/>
                <w:szCs w:val="24"/>
              </w:rPr>
            </w:pPr>
            <w:r>
              <w:rPr>
                <w:rFonts w:ascii="Times New Roman" w:hAnsi="Times New Roman" w:eastAsia="SchoolBookSanPin"/>
                <w:sz w:val="24"/>
                <w:szCs w:val="24"/>
              </w:rPr>
              <w:t>1/34</w:t>
            </w:r>
          </w:p>
        </w:tc>
        <w:tc>
          <w:tcPr>
            <w:tcW w:w="944" w:type="dxa"/>
            <w:tcBorders>
              <w:top w:val="single" w:color="000000" w:sz="4" w:space="0"/>
              <w:left w:val="single" w:color="000000" w:sz="4" w:space="0"/>
              <w:bottom w:val="single" w:color="000000" w:sz="4" w:space="0"/>
              <w:right w:val="single" w:color="auto" w:sz="4" w:space="0"/>
            </w:tcBorders>
            <w:noWrap/>
            <w:vAlign w:val="center"/>
          </w:tcPr>
          <w:p w14:paraId="4B9B0795">
            <w:pPr>
              <w:spacing w:after="0" w:line="240" w:lineRule="auto"/>
              <w:ind w:left="57" w:right="57"/>
              <w:jc w:val="center"/>
              <w:rPr>
                <w:rFonts w:ascii="Times New Roman" w:hAnsi="Times New Roman" w:eastAsia="SchoolBookSanPin"/>
                <w:sz w:val="24"/>
                <w:szCs w:val="24"/>
              </w:rPr>
            </w:pPr>
            <w:r>
              <w:rPr>
                <w:rFonts w:ascii="Times New Roman" w:hAnsi="Times New Roman" w:eastAsia="SchoolBookSanPin"/>
                <w:sz w:val="24"/>
                <w:szCs w:val="24"/>
              </w:rPr>
              <w:t>4/135</w:t>
            </w:r>
          </w:p>
        </w:tc>
      </w:tr>
      <w:tr w14:paraId="2D252AD1">
        <w:tblPrEx>
          <w:tblCellMar>
            <w:top w:w="0" w:type="dxa"/>
            <w:left w:w="0" w:type="dxa"/>
            <w:bottom w:w="0" w:type="dxa"/>
            <w:right w:w="0" w:type="dxa"/>
          </w:tblCellMar>
        </w:tblPrEx>
        <w:trPr>
          <w:trHeight w:val="713" w:hRule="exact"/>
        </w:trPr>
        <w:tc>
          <w:tcPr>
            <w:tcW w:w="2836" w:type="dxa"/>
            <w:tcBorders>
              <w:top w:val="single" w:color="000000" w:sz="4" w:space="0"/>
              <w:left w:val="single" w:color="000000" w:sz="4" w:space="0"/>
              <w:bottom w:val="single" w:color="000000" w:sz="4" w:space="0"/>
              <w:right w:val="single" w:color="000000" w:sz="4" w:space="0"/>
            </w:tcBorders>
            <w:noWrap/>
            <w:vAlign w:val="center"/>
          </w:tcPr>
          <w:p w14:paraId="5E31E6F0">
            <w:pPr>
              <w:spacing w:after="0" w:line="240" w:lineRule="auto"/>
              <w:ind w:left="57" w:right="57"/>
              <w:rPr>
                <w:rFonts w:ascii="Times New Roman" w:hAnsi="Times New Roman" w:eastAsia="SchoolBookSanPin"/>
                <w:sz w:val="24"/>
                <w:szCs w:val="24"/>
              </w:rPr>
            </w:pPr>
            <w:r>
              <w:rPr>
                <w:rFonts w:ascii="Times New Roman" w:hAnsi="Times New Roman" w:eastAsia="SchoolBookSanPin"/>
                <w:sz w:val="24"/>
                <w:szCs w:val="24"/>
              </w:rPr>
              <w:t>Всего часов</w:t>
            </w:r>
          </w:p>
        </w:tc>
        <w:tc>
          <w:tcPr>
            <w:tcW w:w="2629" w:type="dxa"/>
            <w:tcBorders>
              <w:top w:val="single" w:color="000000" w:sz="4" w:space="0"/>
              <w:left w:val="single" w:color="000000" w:sz="4" w:space="0"/>
              <w:bottom w:val="single" w:color="000000" w:sz="4" w:space="0"/>
              <w:right w:val="single" w:color="000000" w:sz="4" w:space="0"/>
            </w:tcBorders>
            <w:noWrap/>
            <w:vAlign w:val="center"/>
          </w:tcPr>
          <w:p w14:paraId="75F8CDD9">
            <w:pPr>
              <w:spacing w:after="0" w:line="240" w:lineRule="auto"/>
              <w:ind w:left="57" w:right="57"/>
              <w:rPr>
                <w:rFonts w:ascii="Times New Roman" w:hAnsi="Times New Roman" w:eastAsia="SchoolBookSanPin"/>
                <w:sz w:val="24"/>
                <w:szCs w:val="24"/>
              </w:rPr>
            </w:pPr>
          </w:p>
        </w:tc>
        <w:tc>
          <w:tcPr>
            <w:tcW w:w="757" w:type="dxa"/>
            <w:tcBorders>
              <w:top w:val="single" w:color="000000" w:sz="4" w:space="0"/>
              <w:left w:val="single" w:color="000000" w:sz="4" w:space="0"/>
              <w:bottom w:val="single" w:color="000000" w:sz="4" w:space="0"/>
              <w:right w:val="single" w:color="000000" w:sz="4" w:space="0"/>
            </w:tcBorders>
            <w:noWrap/>
            <w:vAlign w:val="center"/>
          </w:tcPr>
          <w:p w14:paraId="18F7FA2D">
            <w:pPr>
              <w:spacing w:after="0" w:line="240" w:lineRule="auto"/>
              <w:ind w:left="57" w:right="57"/>
              <w:jc w:val="center"/>
              <w:rPr>
                <w:rFonts w:ascii="Times New Roman" w:hAnsi="Times New Roman" w:eastAsia="SchoolBookSanPin"/>
                <w:sz w:val="24"/>
                <w:szCs w:val="24"/>
              </w:rPr>
            </w:pPr>
            <w:r>
              <w:rPr>
                <w:rFonts w:ascii="Times New Roman" w:hAnsi="Times New Roman" w:eastAsia="SchoolBookSanPin"/>
                <w:sz w:val="24"/>
                <w:szCs w:val="24"/>
              </w:rPr>
              <w:t>5/165</w:t>
            </w:r>
          </w:p>
        </w:tc>
        <w:tc>
          <w:tcPr>
            <w:tcW w:w="851" w:type="dxa"/>
            <w:tcBorders>
              <w:top w:val="single" w:color="000000" w:sz="4" w:space="0"/>
              <w:left w:val="single" w:color="000000" w:sz="4" w:space="0"/>
              <w:bottom w:val="single" w:color="000000" w:sz="4" w:space="0"/>
              <w:right w:val="single" w:color="000000" w:sz="4" w:space="0"/>
            </w:tcBorders>
            <w:noWrap/>
            <w:vAlign w:val="center"/>
          </w:tcPr>
          <w:p w14:paraId="3D3A42F9">
            <w:pPr>
              <w:spacing w:after="0" w:line="240" w:lineRule="auto"/>
              <w:ind w:left="57" w:right="57"/>
              <w:jc w:val="center"/>
              <w:rPr>
                <w:rFonts w:ascii="Times New Roman" w:hAnsi="Times New Roman" w:eastAsia="SchoolBookSanPin"/>
                <w:sz w:val="24"/>
                <w:szCs w:val="24"/>
              </w:rPr>
            </w:pPr>
            <w:r>
              <w:rPr>
                <w:rFonts w:ascii="Times New Roman" w:hAnsi="Times New Roman" w:eastAsia="SchoolBookSanPin"/>
                <w:sz w:val="24"/>
                <w:szCs w:val="24"/>
              </w:rPr>
              <w:t>5/170</w:t>
            </w:r>
          </w:p>
        </w:tc>
        <w:tc>
          <w:tcPr>
            <w:tcW w:w="850" w:type="dxa"/>
            <w:tcBorders>
              <w:top w:val="single" w:color="000000" w:sz="4" w:space="0"/>
              <w:left w:val="single" w:color="000000" w:sz="4" w:space="0"/>
              <w:bottom w:val="single" w:color="000000" w:sz="4" w:space="0"/>
              <w:right w:val="single" w:color="000000" w:sz="4" w:space="0"/>
            </w:tcBorders>
            <w:noWrap/>
            <w:vAlign w:val="center"/>
          </w:tcPr>
          <w:p w14:paraId="46A187D6">
            <w:pPr>
              <w:spacing w:after="0" w:line="240" w:lineRule="auto"/>
              <w:ind w:left="57" w:right="57"/>
              <w:jc w:val="center"/>
              <w:rPr>
                <w:rFonts w:ascii="Times New Roman" w:hAnsi="Times New Roman" w:eastAsia="SchoolBookSanPin"/>
                <w:sz w:val="24"/>
                <w:szCs w:val="24"/>
              </w:rPr>
            </w:pPr>
            <w:r>
              <w:rPr>
                <w:rFonts w:ascii="Times New Roman" w:hAnsi="Times New Roman" w:eastAsia="SchoolBookSanPin"/>
                <w:sz w:val="24"/>
                <w:szCs w:val="24"/>
              </w:rPr>
              <w:t>5/170</w:t>
            </w:r>
          </w:p>
        </w:tc>
        <w:tc>
          <w:tcPr>
            <w:tcW w:w="1292" w:type="dxa"/>
            <w:tcBorders>
              <w:top w:val="single" w:color="000000" w:sz="4" w:space="0"/>
              <w:left w:val="single" w:color="000000" w:sz="4" w:space="0"/>
              <w:bottom w:val="single" w:color="000000" w:sz="4" w:space="0"/>
              <w:right w:val="single" w:color="000000" w:sz="4" w:space="0"/>
            </w:tcBorders>
            <w:noWrap/>
            <w:vAlign w:val="center"/>
          </w:tcPr>
          <w:p w14:paraId="76E8EC52">
            <w:pPr>
              <w:spacing w:after="0" w:line="240" w:lineRule="auto"/>
              <w:ind w:left="57" w:right="57"/>
              <w:jc w:val="center"/>
              <w:rPr>
                <w:rFonts w:ascii="Times New Roman" w:hAnsi="Times New Roman" w:eastAsia="SchoolBookSanPin"/>
                <w:sz w:val="24"/>
                <w:szCs w:val="24"/>
              </w:rPr>
            </w:pPr>
            <w:r>
              <w:rPr>
                <w:rFonts w:ascii="Times New Roman" w:hAnsi="Times New Roman" w:eastAsia="SchoolBookSanPin"/>
                <w:sz w:val="24"/>
                <w:szCs w:val="24"/>
              </w:rPr>
              <w:t>5/170</w:t>
            </w:r>
          </w:p>
        </w:tc>
        <w:tc>
          <w:tcPr>
            <w:tcW w:w="944" w:type="dxa"/>
            <w:tcBorders>
              <w:top w:val="single" w:color="000000" w:sz="4" w:space="0"/>
              <w:left w:val="single" w:color="000000" w:sz="4" w:space="0"/>
              <w:bottom w:val="single" w:color="000000" w:sz="4" w:space="0"/>
              <w:right w:val="single" w:color="auto" w:sz="4" w:space="0"/>
            </w:tcBorders>
            <w:noWrap/>
            <w:vAlign w:val="center"/>
          </w:tcPr>
          <w:p w14:paraId="0793CE7A">
            <w:pPr>
              <w:spacing w:after="0" w:line="240" w:lineRule="auto"/>
              <w:ind w:left="57" w:right="57"/>
              <w:jc w:val="center"/>
              <w:rPr>
                <w:rFonts w:ascii="Times New Roman" w:hAnsi="Times New Roman" w:eastAsia="SchoolBookSanPin"/>
                <w:sz w:val="24"/>
                <w:szCs w:val="24"/>
              </w:rPr>
            </w:pPr>
            <w:r>
              <w:rPr>
                <w:rFonts w:ascii="Times New Roman" w:hAnsi="Times New Roman" w:eastAsia="SchoolBookSanPin"/>
                <w:sz w:val="24"/>
                <w:szCs w:val="24"/>
              </w:rPr>
              <w:t>20/675</w:t>
            </w:r>
          </w:p>
        </w:tc>
      </w:tr>
    </w:tbl>
    <w:p w14:paraId="051061C7">
      <w:pPr>
        <w:rPr>
          <w:rFonts w:ascii="Times New Roman" w:hAnsi="Times New Roman"/>
        </w:rPr>
      </w:pPr>
    </w:p>
    <w:p w14:paraId="4987AA03">
      <w:pPr>
        <w:pStyle w:val="718"/>
        <w:shd w:val="clear" w:color="auto" w:fill="auto"/>
        <w:spacing w:before="224" w:line="230" w:lineRule="exact"/>
        <w:ind w:left="100" w:firstLine="580"/>
        <w:rPr>
          <w:sz w:val="22"/>
          <w:szCs w:val="22"/>
        </w:rPr>
      </w:pPr>
      <w:r>
        <w:rPr>
          <w:sz w:val="22"/>
          <w:szCs w:val="22"/>
        </w:rPr>
        <w:t>1320 - максимальное количество часов внеурочной деятельности за уровень обучения.</w:t>
      </w:r>
    </w:p>
    <w:p w14:paraId="3635B69F">
      <w:pPr>
        <w:pStyle w:val="718"/>
        <w:shd w:val="clear" w:color="auto" w:fill="auto"/>
        <w:spacing w:after="33" w:line="240" w:lineRule="exact"/>
        <w:ind w:left="100" w:right="120" w:firstLine="580"/>
        <w:rPr>
          <w:sz w:val="22"/>
          <w:szCs w:val="22"/>
        </w:rPr>
      </w:pPr>
      <w:r>
        <w:rPr>
          <w:sz w:val="22"/>
          <w:szCs w:val="22"/>
        </w:rPr>
        <w:t xml:space="preserve">*Родители (законные представители) обучающихся с учетом мнения самих обучающихся выбирают курсы внеурочной деятельности из перечня, предложенного организацией в части, формируемой участниками образовательных отношений. </w:t>
      </w:r>
      <w:r>
        <w:rPr>
          <w:rStyle w:val="2528"/>
          <w:sz w:val="22"/>
          <w:szCs w:val="22"/>
        </w:rPr>
        <w:t>Максимальное количество выбранных курсов должно быть не более 1320 часов на одного ребенка.</w:t>
      </w:r>
    </w:p>
    <w:p w14:paraId="00674C93">
      <w:pPr>
        <w:pStyle w:val="718"/>
        <w:shd w:val="clear" w:color="auto" w:fill="auto"/>
        <w:spacing w:after="275"/>
        <w:ind w:left="100" w:right="120" w:firstLine="580"/>
        <w:rPr>
          <w:sz w:val="22"/>
          <w:szCs w:val="22"/>
        </w:rPr>
      </w:pPr>
      <w:r>
        <w:rPr>
          <w:sz w:val="22"/>
          <w:szCs w:val="22"/>
        </w:rPr>
        <w:t>Для обучающихся, посещающих занятия в отделении дополнительного образования образовательной организации, организациях дополнительного образования, спортивных школах, музыкальных школах и других образовательных организациях, возможно сокращение количества часов внеурочной деятельности.</w:t>
      </w:r>
    </w:p>
    <w:p w14:paraId="554D9BEB">
      <w:pPr>
        <w:widowControl/>
        <w:spacing w:after="0" w:line="353" w:lineRule="auto"/>
        <w:ind w:firstLine="709"/>
        <w:jc w:val="both"/>
        <w:rPr>
          <w:rFonts w:ascii="Times New Roman" w:hAnsi="Times New Roman" w:eastAsia="SchoolBookSanPin"/>
        </w:rPr>
      </w:pPr>
      <w:r>
        <w:rPr>
          <w:rFonts w:ascii="Times New Roman" w:hAnsi="Times New Roman" w:eastAsia="SchoolBookSanPin"/>
        </w:rPr>
        <w:t xml:space="preserve">22. Календарный план воспитательной работы. </w:t>
      </w:r>
      <w:r>
        <w:rPr>
          <w:rFonts w:ascii="Times New Roman" w:hAnsi="Times New Roman" w:eastAsia="SchoolBookSanPin"/>
          <w:u w:val="single"/>
        </w:rPr>
        <w:t>(</w:t>
      </w:r>
      <w:r>
        <w:rPr>
          <w:rFonts w:ascii="Times New Roman" w:hAnsi="Times New Roman" w:eastAsia="SchoolBookSanPin"/>
          <w:u w:val="single"/>
          <w:lang w:val="en-US"/>
        </w:rPr>
        <w:t>c</w:t>
      </w:r>
      <w:r>
        <w:rPr>
          <w:rFonts w:ascii="Times New Roman" w:hAnsi="Times New Roman" w:eastAsia="SchoolBookSanPin"/>
          <w:u w:val="single"/>
        </w:rPr>
        <w:t>м. приложение)</w:t>
      </w:r>
    </w:p>
    <w:p w14:paraId="33F14A57">
      <w:pPr>
        <w:widowControl/>
        <w:spacing w:after="0" w:line="353" w:lineRule="auto"/>
        <w:ind w:firstLine="709"/>
        <w:jc w:val="both"/>
        <w:rPr>
          <w:rFonts w:ascii="Times New Roman" w:hAnsi="Times New Roman" w:eastAsia="SchoolBookSanPin"/>
        </w:rPr>
      </w:pPr>
    </w:p>
    <w:sectPr>
      <w:footerReference r:id="rId8" w:type="first"/>
      <w:headerReference r:id="rId5" w:type="default"/>
      <w:footerReference r:id="rId6" w:type="default"/>
      <w:footerReference r:id="rId7" w:type="even"/>
      <w:pgSz w:w="11907" w:h="16840"/>
      <w:pgMar w:top="568" w:right="567" w:bottom="851" w:left="1134" w:header="567" w:footer="567" w:gutter="0"/>
      <w:cols w:space="720" w:num="1"/>
      <w:docGrid w:linePitch="299"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Courier New">
    <w:panose1 w:val="02070309020205020404"/>
    <w:charset w:val="00"/>
    <w:family w:val="modern"/>
    <w:pitch w:val="default"/>
    <w:sig w:usb0="E0002EFF" w:usb1="C0007843" w:usb2="00000009" w:usb3="00000000" w:csb0="400001FF" w:csb1="FFFF0000"/>
  </w:font>
  <w:font w:name="黑体">
    <w:altName w:val="SimSun"/>
    <w:panose1 w:val="02010609060101010101"/>
    <w:charset w:val="86"/>
    <w:family w:val="modern"/>
    <w:pitch w:val="default"/>
    <w:sig w:usb0="800002BF" w:usb1="38CF7CFA" w:usb2="00000016" w:usb3="00000000" w:csb0="00040001" w:csb1="00000000"/>
  </w:font>
  <w:font w:name="Wingdings">
    <w:panose1 w:val="05000000000000000000"/>
    <w:charset w:val="02"/>
    <w:family w:val="auto"/>
    <w:pitch w:val="default"/>
    <w:sig w:usb0="00000000" w:usb1="00000000" w:usb2="00000000" w:usb3="00000000" w:csb0="80000000" w:csb1="00000000"/>
  </w:font>
  <w:font w:name="Calibri">
    <w:panose1 w:val="020F0502020204030204"/>
    <w:charset w:val="86"/>
    <w:family w:val="swiss"/>
    <w:pitch w:val="default"/>
    <w:sig w:usb0="E4002EFF" w:usb1="C000247B" w:usb2="00000009" w:usb3="00000000" w:csb0="200001FF" w:csb1="00000000"/>
  </w:font>
  <w:font w:name="OfficinaSansBoldITC">
    <w:altName w:val="Franklin Gothic Demi Cond"/>
    <w:panose1 w:val="00000000000000000000"/>
    <w:charset w:val="00"/>
    <w:family w:val="swiss"/>
    <w:pitch w:val="default"/>
    <w:sig w:usb0="00000000" w:usb1="00000000" w:usb2="00000000" w:usb3="00000000" w:csb0="00000000" w:csb1="00000000"/>
  </w:font>
  <w:font w:name="Tahoma">
    <w:panose1 w:val="020B0604030504040204"/>
    <w:charset w:val="CC"/>
    <w:family w:val="swiss"/>
    <w:pitch w:val="default"/>
    <w:sig w:usb0="E1002EFF" w:usb1="C000605B" w:usb2="00000029" w:usb3="00000000" w:csb0="200101FF" w:csb1="20280000"/>
  </w:font>
  <w:font w:name="Mangal">
    <w:altName w:val="Segoe Print"/>
    <w:panose1 w:val="00000400000000000000"/>
    <w:charset w:val="01"/>
    <w:family w:val="roman"/>
    <w:pitch w:val="default"/>
    <w:sig w:usb0="00000000" w:usb1="00000000" w:usb2="00000000" w:usb3="00000000" w:csb0="00000000" w:csb1="00000000"/>
  </w:font>
  <w:font w:name="Bookman Old Style">
    <w:panose1 w:val="02050604050505020204"/>
    <w:charset w:val="CC"/>
    <w:family w:val="roman"/>
    <w:pitch w:val="default"/>
    <w:sig w:usb0="00000287" w:usb1="00000000" w:usb2="00000000" w:usb3="00000000" w:csb0="2000009F" w:csb1="DFD70000"/>
  </w:font>
  <w:font w:name="Georgia">
    <w:panose1 w:val="02040502050405020303"/>
    <w:charset w:val="CC"/>
    <w:family w:val="roman"/>
    <w:pitch w:val="default"/>
    <w:sig w:usb0="00000287" w:usb1="00000000" w:usb2="00000000" w:usb3="00000000" w:csb0="2000009F" w:csb1="00000000"/>
  </w:font>
  <w:font w:name="NewtonCSanPin">
    <w:altName w:val="Times New Roman"/>
    <w:panose1 w:val="00000000000000000000"/>
    <w:charset w:val="CC"/>
    <w:family w:val="auto"/>
    <w:pitch w:val="default"/>
    <w:sig w:usb0="00000000" w:usb1="00000000" w:usb2="00000000" w:usb3="00000000" w:csb0="00000005" w:csb1="00000000"/>
  </w:font>
  <w:font w:name="Calibri Light">
    <w:panose1 w:val="020F0302020204030204"/>
    <w:charset w:val="CC"/>
    <w:family w:val="swiss"/>
    <w:pitch w:val="default"/>
    <w:sig w:usb0="E4002EFF" w:usb1="C000247B" w:usb2="00000009" w:usb3="00000000" w:csb0="200001FF" w:csb1="00000000"/>
  </w:font>
  <w:font w:name="Symbol">
    <w:panose1 w:val="05050102010706020507"/>
    <w:charset w:val="02"/>
    <w:family w:val="roman"/>
    <w:pitch w:val="default"/>
    <w:sig w:usb0="00000000" w:usb1="00000000" w:usb2="00000000" w:usb3="00000000" w:csb0="80000000" w:csb1="00000000"/>
  </w:font>
  <w:font w:name="Times New Roman CYR">
    <w:altName w:val="Times New Roman"/>
    <w:panose1 w:val="02020603050405020304"/>
    <w:charset w:val="CC"/>
    <w:family w:val="roman"/>
    <w:pitch w:val="default"/>
    <w:sig w:usb0="00000000" w:usb1="00000000" w:usb2="00000009" w:usb3="00000000" w:csb0="000001FF" w:csb1="00000000"/>
  </w:font>
  <w:font w:name="PragmaticaC">
    <w:altName w:val="Courier New"/>
    <w:panose1 w:val="00000000000000000000"/>
    <w:charset w:val="CC"/>
    <w:family w:val="decorative"/>
    <w:pitch w:val="default"/>
    <w:sig w:usb0="00000000" w:usb1="00000000" w:usb2="00000000" w:usb3="00000000" w:csb0="00000005" w:csb1="00000000"/>
  </w:font>
  <w:font w:name="SchoolBookSanPin">
    <w:altName w:val="Times New Roman"/>
    <w:panose1 w:val="00000000000000000000"/>
    <w:charset w:val="00"/>
    <w:family w:val="roman"/>
    <w:pitch w:val="default"/>
    <w:sig w:usb0="00000000" w:usb1="00000000" w:usb2="00000010" w:usb3="00000000" w:csb0="00020000" w:csb1="00000000"/>
  </w:font>
  <w:font w:name="Cambria">
    <w:panose1 w:val="02040503050406030204"/>
    <w:charset w:val="CC"/>
    <w:family w:val="roman"/>
    <w:pitch w:val="default"/>
    <w:sig w:usb0="E00006FF" w:usb1="420024FF" w:usb2="02000000" w:usb3="00000000" w:csb0="2000019F" w:csb1="00000000"/>
  </w:font>
  <w:font w:name="Arial Unicode MS">
    <w:altName w:val="Arial"/>
    <w:panose1 w:val="020B0604020202020204"/>
    <w:charset w:val="80"/>
    <w:family w:val="swiss"/>
    <w:pitch w:val="default"/>
    <w:sig w:usb0="00000000" w:usb1="00000000" w:usb2="0000003F" w:usb3="00000000" w:csb0="003F01FF" w:csb1="00000000"/>
  </w:font>
  <w:font w:name="Helvetica Neue">
    <w:altName w:val="Times New Roman"/>
    <w:panose1 w:val="00000000000000000000"/>
    <w:charset w:val="00"/>
    <w:family w:val="auto"/>
    <w:pitch w:val="default"/>
    <w:sig w:usb0="00000000" w:usb1="00000000" w:usb2="00000010" w:usb3="00000000" w:csb0="00000001" w:csb1="00000000"/>
  </w:font>
  <w:font w:name="Trebuchet MS">
    <w:panose1 w:val="020B0603020202020204"/>
    <w:charset w:val="CC"/>
    <w:family w:val="swiss"/>
    <w:pitch w:val="default"/>
    <w:sig w:usb0="00000687" w:usb1="00000000" w:usb2="00000000" w:usb3="00000000" w:csb0="2000009F" w:csb1="00000000"/>
  </w:font>
  <w:font w:name="Segoe UI">
    <w:panose1 w:val="020B0502040204020203"/>
    <w:charset w:val="CC"/>
    <w:family w:val="swiss"/>
    <w:pitch w:val="default"/>
    <w:sig w:usb0="E4002EFF" w:usb1="C000E47F" w:usb2="00000009" w:usb3="00000000" w:csb0="200001FF" w:csb1="00000000"/>
  </w:font>
  <w:font w:name="SchoolBookC">
    <w:altName w:val="Courier New"/>
    <w:panose1 w:val="00000000000000000000"/>
    <w:charset w:val="00"/>
    <w:family w:val="decorative"/>
    <w:pitch w:val="default"/>
    <w:sig w:usb0="00000000" w:usb1="00000000" w:usb2="00000000" w:usb3="00000000" w:csb0="00000001" w:csb1="00000000"/>
  </w:font>
  <w:font w:name="Newton">
    <w:altName w:val="Times New Roman"/>
    <w:panose1 w:val="00000000000000000000"/>
    <w:charset w:val="00"/>
    <w:family w:val="roman"/>
    <w:pitch w:val="default"/>
    <w:sig w:usb0="00000000" w:usb1="00000000" w:usb2="00000000" w:usb3="00000000" w:csb0="00000000" w:csb1="00000000"/>
  </w:font>
  <w:font w:name="GHOIB C+ School Book C San Pin">
    <w:altName w:val="Segoe Print"/>
    <w:panose1 w:val="00000000000000000000"/>
    <w:charset w:val="CC"/>
    <w:family w:val="auto"/>
    <w:pitch w:val="default"/>
    <w:sig w:usb0="00000000" w:usb1="00000000" w:usb2="00000000" w:usb3="00000000" w:csb0="00000004" w:csb1="00000000"/>
  </w:font>
  <w:font w:name="Century Schoolbook">
    <w:panose1 w:val="02040604050505020304"/>
    <w:charset w:val="CC"/>
    <w:family w:val="roman"/>
    <w:pitch w:val="default"/>
    <w:sig w:usb0="00000287" w:usb1="00000000" w:usb2="00000000" w:usb3="00000000" w:csb0="2000009F" w:csb1="DFD70000"/>
  </w:font>
  <w:font w:name="Malgun Gothic">
    <w:panose1 w:val="020B0503020000020004"/>
    <w:charset w:val="81"/>
    <w:family w:val="swiss"/>
    <w:pitch w:val="default"/>
    <w:sig w:usb0="9000002F" w:usb1="29D77CFB" w:usb2="00000012" w:usb3="00000000" w:csb0="00080001" w:csb1="00000000"/>
  </w:font>
  <w:font w:name="Newton-Regular">
    <w:altName w:val="MS Gothic"/>
    <w:panose1 w:val="00000000000000000000"/>
    <w:charset w:val="00"/>
    <w:family w:val="auto"/>
    <w:pitch w:val="default"/>
    <w:sig w:usb0="00000000" w:usb1="00000000" w:usb2="00000000" w:usb3="00000000" w:csb0="00000000" w:csb1="00000000"/>
  </w:font>
  <w:font w:name="Microsoft YaHei">
    <w:panose1 w:val="020B0503020204020204"/>
    <w:charset w:val="86"/>
    <w:family w:val="swiss"/>
    <w:pitch w:val="default"/>
    <w:sig w:usb0="80000287" w:usb1="2ACF3C50" w:usb2="00000016" w:usb3="00000000" w:csb0="0004001F" w:csb1="00000000"/>
  </w:font>
  <w:font w:name="NSimSun">
    <w:panose1 w:val="02010609030101010101"/>
    <w:charset w:val="86"/>
    <w:family w:val="modern"/>
    <w:pitch w:val="default"/>
    <w:sig w:usb0="00000203" w:usb1="288F0000" w:usb2="00000006" w:usb3="00000000" w:csb0="00040001" w:csb1="00000000"/>
  </w:font>
  <w:font w:name="Liberation Mono">
    <w:altName w:val="Courier New"/>
    <w:panose1 w:val="00000000000000000000"/>
    <w:charset w:val="CC"/>
    <w:family w:val="modern"/>
    <w:pitch w:val="default"/>
    <w:sig w:usb0="00000000" w:usb1="00000000" w:usb2="00000000" w:usb3="00000000" w:csb0="00000005" w:csb1="00000000"/>
  </w:font>
  <w:font w:name="HA_Chuvash-Bold">
    <w:altName w:val="Times New Roman"/>
    <w:panose1 w:val="00000000000000000000"/>
    <w:charset w:val="00"/>
    <w:family w:val="roman"/>
    <w:pitch w:val="default"/>
    <w:sig w:usb0="00000000" w:usb1="00000000" w:usb2="00000000" w:usb3="00000000" w:csb0="00000001" w:csb1="00000000"/>
  </w:font>
  <w:font w:name="NewtonCSanPin-Regular">
    <w:altName w:val="Times New Roman"/>
    <w:panose1 w:val="00000000000000000000"/>
    <w:charset w:val="00"/>
    <w:family w:val="roman"/>
    <w:pitch w:val="default"/>
    <w:sig w:usb0="00000000" w:usb1="00000000" w:usb2="00000000" w:usb3="00000000" w:csb0="00000001" w:csb1="00000000"/>
  </w:font>
  <w:font w:name="Newton-Bold">
    <w:altName w:val="Cambria"/>
    <w:panose1 w:val="00000000000000000000"/>
    <w:charset w:val="00"/>
    <w:family w:val="roman"/>
    <w:pitch w:val="default"/>
    <w:sig w:usb0="00000000" w:usb1="00000000" w:usb2="00000000" w:usb3="00000000" w:csb0="00000000" w:csb1="00000000"/>
  </w:font>
  <w:font w:name="Minion Pro">
    <w:altName w:val="Cambria Math"/>
    <w:panose1 w:val="00000000000000000000"/>
    <w:charset w:val="00"/>
    <w:family w:val="roman"/>
    <w:pitch w:val="default"/>
    <w:sig w:usb0="00000000" w:usb1="00000000" w:usb2="00000000" w:usb3="00000000" w:csb0="0000019F" w:csb1="00000000"/>
  </w:font>
  <w:font w:name="Noto Sans">
    <w:altName w:val="Segoe Print"/>
    <w:panose1 w:val="00000000000000000000"/>
    <w:charset w:val="00"/>
    <w:family w:val="swiss"/>
    <w:pitch w:val="default"/>
    <w:sig w:usb0="00000000" w:usb1="00000000" w:usb2="00000021" w:usb3="00000000" w:csb0="0000019F" w:csb1="00000000"/>
  </w:font>
  <w:font w:name="Verdana">
    <w:panose1 w:val="020B0604030504040204"/>
    <w:charset w:val="CC"/>
    <w:family w:val="swiss"/>
    <w:pitch w:val="default"/>
    <w:sig w:usb0="A00006FF" w:usb1="4000205B" w:usb2="00000010" w:usb3="00000000" w:csb0="2000019F" w:csb1="00000000"/>
  </w:font>
  <w:font w:name="Times Sakha">
    <w:altName w:val="Courier New"/>
    <w:panose1 w:val="00000000000000000000"/>
    <w:charset w:val="00"/>
    <w:family w:val="swiss"/>
    <w:pitch w:val="default"/>
    <w:sig w:usb0="00000000" w:usb1="00000000" w:usb2="00000000" w:usb3="00000000" w:csb0="00000005" w:csb1="00000000"/>
  </w:font>
  <w:font w:name="Microsoft Sans Serif">
    <w:panose1 w:val="020B0604020202020204"/>
    <w:charset w:val="CC"/>
    <w:family w:val="swiss"/>
    <w:pitch w:val="default"/>
    <w:sig w:usb0="E5002EFF" w:usb1="C000605B" w:usb2="00000029" w:usb3="00000000" w:csb0="200101FF" w:csb1="20280000"/>
  </w:font>
  <w:font w:name="@Arial Unicode MS">
    <w:altName w:val="Malgun Gothic Semilight"/>
    <w:panose1 w:val="020B0604020202020204"/>
    <w:charset w:val="80"/>
    <w:family w:val="swiss"/>
    <w:pitch w:val="default"/>
    <w:sig w:usb0="00000000" w:usb1="00000000" w:usb2="0000003F" w:usb3="00000000" w:csb0="003F01FF" w:csb1="00000000"/>
  </w:font>
  <w:font w:name="GFOGG P+ Pragmatica C">
    <w:altName w:val="Segoe Print"/>
    <w:panose1 w:val="00000000000000000000"/>
    <w:charset w:val="CC"/>
    <w:family w:val="swiss"/>
    <w:pitch w:val="default"/>
    <w:sig w:usb0="00000000" w:usb1="00000000" w:usb2="00000000" w:usb3="00000000" w:csb0="00000004" w:csb1="00000000"/>
  </w:font>
  <w:font w:name="ha_hantinsp">
    <w:altName w:val="Calibri"/>
    <w:panose1 w:val="00000000000000000000"/>
    <w:charset w:val="00"/>
    <w:family w:val="auto"/>
    <w:pitch w:val="default"/>
    <w:sig w:usb0="00000000" w:usb1="00000000" w:usb2="00000000" w:usb3="00000000" w:csb0="00000000" w:csb1="00000000"/>
  </w:font>
  <w:font w:name="h_hantinsp">
    <w:altName w:val="Segoe Print"/>
    <w:panose1 w:val="00000000000000000000"/>
    <w:charset w:val="00"/>
    <w:family w:val="auto"/>
    <w:pitch w:val="default"/>
    <w:sig w:usb0="00000000" w:usb1="00000000" w:usb2="00000000" w:usb3="00000000" w:csb0="00000000" w:csb1="00000000"/>
  </w:font>
  <w:font w:name="MS Mincho">
    <w:altName w:val="MS Gothic"/>
    <w:panose1 w:val="02020609040205080304"/>
    <w:charset w:val="80"/>
    <w:family w:val="roman"/>
    <w:pitch w:val="default"/>
    <w:sig w:usb0="00000000" w:usb1="00000000" w:usb2="00000010" w:usb3="00000000" w:csb0="00020000" w:csb1="00000000"/>
  </w:font>
  <w:font w:name="HiddenHorzOCR">
    <w:altName w:val="Yu Gothic"/>
    <w:panose1 w:val="00000000000000000000"/>
    <w:charset w:val="80"/>
    <w:family w:val="auto"/>
    <w:pitch w:val="default"/>
    <w:sig w:usb0="00000000" w:usb1="00000000" w:usb2="00000010" w:usb3="00000000" w:csb0="00020000" w:csb1="00000000"/>
  </w:font>
  <w:font w:name="OfficinaSansExtraBoldITC-Reg">
    <w:altName w:val="Times New Roman"/>
    <w:panose1 w:val="00000000000000000000"/>
    <w:charset w:val="00"/>
    <w:family w:val="auto"/>
    <w:pitch w:val="default"/>
    <w:sig w:usb0="00000000" w:usb1="00000000" w:usb2="00000000" w:usb3="00000000" w:csb0="00000001" w:csb1="00000000"/>
  </w:font>
  <w:font w:name="OfficinaSansMediumITC-Reg">
    <w:altName w:val="Times New Roman"/>
    <w:panose1 w:val="00000000000000000000"/>
    <w:charset w:val="00"/>
    <w:family w:val="auto"/>
    <w:pitch w:val="default"/>
    <w:sig w:usb0="00000000" w:usb1="00000000" w:usb2="00000000" w:usb3="00000000" w:csb0="00000001" w:csb1="00000000"/>
  </w:font>
  <w:font w:name="№Е">
    <w:altName w:val="Calibri"/>
    <w:panose1 w:val="00000000000000000000"/>
    <w:charset w:val="00"/>
    <w:family w:val="roman"/>
    <w:pitch w:val="default"/>
    <w:sig w:usb0="00000000" w:usb1="00000000" w:usb2="00000010" w:usb3="00000000" w:csb0="00080000" w:csb1="00000000"/>
  </w:font>
  <w:font w:name="Batang">
    <w:altName w:val="Malgun Gothic"/>
    <w:panose1 w:val="02030600000101010101"/>
    <w:charset w:val="81"/>
    <w:family w:val="auto"/>
    <w:pitch w:val="default"/>
    <w:sig w:usb0="00000000" w:usb1="00000000" w:usb2="00000010" w:usb3="00000000" w:csb0="00080000" w:csb1="00000000"/>
  </w:font>
  <w:font w:name="Franklin Gothic Demi Cond">
    <w:panose1 w:val="020B0706030402020204"/>
    <w:charset w:val="00"/>
    <w:family w:val="auto"/>
    <w:pitch w:val="default"/>
    <w:sig w:usb0="00000287" w:usb1="00000000" w:usb2="00000000" w:usb3="00000000" w:csb0="2000009F" w:csb1="DFD70000"/>
  </w:font>
  <w:font w:name="Segoe Print">
    <w:panose1 w:val="02000600000000000000"/>
    <w:charset w:val="00"/>
    <w:family w:val="auto"/>
    <w:pitch w:val="default"/>
    <w:sig w:usb0="0000028F" w:usb1="00000000" w:usb2="00000000" w:usb3="00000000" w:csb0="2000009F" w:csb1="47010000"/>
  </w:font>
  <w:font w:name="MS Gothic">
    <w:panose1 w:val="020B0609070205080204"/>
    <w:charset w:val="80"/>
    <w:family w:val="auto"/>
    <w:pitch w:val="default"/>
    <w:sig w:usb0="E00002FF" w:usb1="6AC7FDFB" w:usb2="08000012" w:usb3="00000000" w:csb0="4002009F" w:csb1="DFD70000"/>
  </w:font>
  <w:font w:name="Cambria Math">
    <w:panose1 w:val="02040503050406030204"/>
    <w:charset w:val="00"/>
    <w:family w:val="auto"/>
    <w:pitch w:val="default"/>
    <w:sig w:usb0="E00006FF" w:usb1="420024FF" w:usb2="02000000" w:usb3="00000000" w:csb0="2000019F" w:csb1="00000000"/>
  </w:font>
  <w:font w:name="Malgun Gothic Semilight">
    <w:panose1 w:val="020B0502040204020203"/>
    <w:charset w:val="86"/>
    <w:family w:val="auto"/>
    <w:pitch w:val="default"/>
    <w:sig w:usb0="900002AF" w:usb1="01D77CFB" w:usb2="00000012" w:usb3="00000000" w:csb0="203E01BD" w:csb1="D7FF0000"/>
  </w:font>
  <w:font w:name="Yu Gothic">
    <w:panose1 w:val="020B0400000000000000"/>
    <w:charset w:val="80"/>
    <w:family w:val="auto"/>
    <w:pitch w:val="default"/>
    <w:sig w:usb0="E00002FF" w:usb1="2AC7FDFF" w:usb2="00000016" w:usb3="00000000" w:csb0="2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58291166"/>
      <w:docPartObj>
        <w:docPartGallery w:val="autotext"/>
      </w:docPartObj>
    </w:sdtPr>
    <w:sdtContent>
      <w:p w14:paraId="3BB35D67">
        <w:pPr>
          <w:pStyle w:val="47"/>
          <w:jc w:val="center"/>
        </w:pPr>
        <w:r>
          <w:fldChar w:fldCharType="begin"/>
        </w:r>
        <w:r>
          <w:instrText xml:space="preserve">PAGE   \* MERGEFORMAT</w:instrText>
        </w:r>
        <w:r>
          <w:fldChar w:fldCharType="separate"/>
        </w:r>
        <w:r>
          <w:t>1</w:t>
        </w:r>
        <w:r>
          <w:fldChar w:fldCharType="end"/>
        </w:r>
      </w:p>
    </w:sdtContent>
  </w:sdt>
  <w:p w14:paraId="273D0454">
    <w:pPr>
      <w:spacing w:after="0" w:line="240" w:lineRule="auto"/>
      <w:rPr>
        <w:rFonts w:ascii="Times New Roman" w:hAnsi="Times New Roman"/>
        <w:sz w:val="16"/>
        <w:szCs w:val="16"/>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44ECAF4">
    <w:pPr>
      <w:spacing w:after="0" w:line="200" w:lineRule="exact"/>
      <w:rPr>
        <w:sz w:val="20"/>
        <w:szCs w:val="20"/>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213506093"/>
      <w:docPartObj>
        <w:docPartGallery w:val="autotext"/>
      </w:docPartObj>
    </w:sdtPr>
    <w:sdtContent>
      <w:p w14:paraId="7E588608">
        <w:pPr>
          <w:pStyle w:val="47"/>
          <w:jc w:val="right"/>
        </w:pPr>
        <w:r>
          <w:fldChar w:fldCharType="begin"/>
        </w:r>
        <w:r>
          <w:instrText xml:space="preserve">PAGE   \* MERGEFORMAT</w:instrText>
        </w:r>
        <w:r>
          <w:fldChar w:fldCharType="separate"/>
        </w:r>
        <w:r>
          <w:t>1</w:t>
        </w:r>
        <w:r>
          <w:fldChar w:fldCharType="end"/>
        </w:r>
      </w:p>
    </w:sdtContent>
  </w:sdt>
  <w:p w14:paraId="16D28E11">
    <w:pPr>
      <w:spacing w:after="0" w:line="200" w:lineRule="exact"/>
      <w:rPr>
        <w:rFonts w:ascii="Times New Roman" w:hAnsi="Times New Roman"/>
        <w:sz w:val="16"/>
        <w:szCs w:val="16"/>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6" w:lineRule="auto"/>
      </w:pPr>
      <w:r>
        <w:separator/>
      </w:r>
    </w:p>
  </w:footnote>
  <w:footnote w:type="continuationSeparator" w:id="1">
    <w:p>
      <w:pPr>
        <w:spacing w:before="0" w:after="0" w:line="276"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2B6C9AD">
    <w:pPr>
      <w:pStyle w:val="33"/>
    </w:pPr>
  </w:p>
  <w:p w14:paraId="67A3C5E4">
    <w:pPr>
      <w:pStyle w:val="33"/>
      <w:jc w:val="center"/>
      <w:rPr>
        <w:rFonts w:ascii="Times New Roman" w:hAnsi="Times New Roman"/>
        <w:sz w:val="24"/>
        <w:szCs w:val="24"/>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FFFFF1D"/>
    <w:multiLevelType w:val="multilevel"/>
    <w:tmpl w:val="FFFFFF1D"/>
    <w:lvl w:ilvl="0" w:tentative="0">
      <w:start w:val="1"/>
      <w:numFmt w:val="bullet"/>
      <w:pStyle w:val="84"/>
      <w:lvlText w:val="–"/>
      <w:lvlJc w:val="left"/>
      <w:pPr>
        <w:ind w:left="0" w:firstLine="680"/>
      </w:pPr>
      <w:rPr>
        <w:rFonts w:hint="default" w:ascii="Times New Roman" w:hAnsi="Times New Roman" w:cs="Times New Roman"/>
      </w:rPr>
    </w:lvl>
    <w:lvl w:ilvl="1" w:tentative="0">
      <w:start w:val="1"/>
      <w:numFmt w:val="bullet"/>
      <w:lvlText w:val=""/>
      <w:lvlJc w:val="left"/>
      <w:pPr>
        <w:tabs>
          <w:tab w:val="left" w:pos="720"/>
        </w:tabs>
        <w:ind w:left="1080" w:hanging="360"/>
      </w:pPr>
      <w:rPr>
        <w:rFonts w:hint="default" w:ascii="Symbol" w:hAnsi="Symbol"/>
      </w:rPr>
    </w:lvl>
    <w:lvl w:ilvl="2" w:tentative="0">
      <w:start w:val="1"/>
      <w:numFmt w:val="bullet"/>
      <w:lvlText w:val="o"/>
      <w:lvlJc w:val="left"/>
      <w:pPr>
        <w:tabs>
          <w:tab w:val="left" w:pos="1440"/>
        </w:tabs>
        <w:ind w:left="1800" w:hanging="360"/>
      </w:pPr>
      <w:rPr>
        <w:rFonts w:hint="default" w:ascii="Courier New" w:hAnsi="Courier New" w:cs="Courier New"/>
      </w:rPr>
    </w:lvl>
    <w:lvl w:ilvl="3" w:tentative="0">
      <w:start w:val="1"/>
      <w:numFmt w:val="bullet"/>
      <w:lvlText w:val=""/>
      <w:lvlJc w:val="left"/>
      <w:pPr>
        <w:tabs>
          <w:tab w:val="left" w:pos="2160"/>
        </w:tabs>
        <w:ind w:left="2520" w:hanging="360"/>
      </w:pPr>
      <w:rPr>
        <w:rFonts w:hint="default" w:ascii="Wingdings" w:hAnsi="Wingdings"/>
      </w:rPr>
    </w:lvl>
    <w:lvl w:ilvl="4" w:tentative="0">
      <w:start w:val="1"/>
      <w:numFmt w:val="bullet"/>
      <w:lvlText w:val=""/>
      <w:lvlJc w:val="left"/>
      <w:pPr>
        <w:tabs>
          <w:tab w:val="left" w:pos="2880"/>
        </w:tabs>
        <w:ind w:left="3240" w:hanging="360"/>
      </w:pPr>
      <w:rPr>
        <w:rFonts w:hint="default" w:ascii="Wingdings" w:hAnsi="Wingdings"/>
      </w:rPr>
    </w:lvl>
    <w:lvl w:ilvl="5" w:tentative="0">
      <w:start w:val="1"/>
      <w:numFmt w:val="bullet"/>
      <w:lvlText w:val=""/>
      <w:lvlJc w:val="left"/>
      <w:pPr>
        <w:tabs>
          <w:tab w:val="left" w:pos="3600"/>
        </w:tabs>
        <w:ind w:left="3960" w:hanging="360"/>
      </w:pPr>
      <w:rPr>
        <w:rFonts w:hint="default" w:ascii="Symbol" w:hAnsi="Symbol"/>
      </w:rPr>
    </w:lvl>
    <w:lvl w:ilvl="6" w:tentative="0">
      <w:start w:val="1"/>
      <w:numFmt w:val="bullet"/>
      <w:lvlText w:val="o"/>
      <w:lvlJc w:val="left"/>
      <w:pPr>
        <w:tabs>
          <w:tab w:val="left" w:pos="4320"/>
        </w:tabs>
        <w:ind w:left="4680" w:hanging="360"/>
      </w:pPr>
      <w:rPr>
        <w:rFonts w:hint="default" w:ascii="Courier New" w:hAnsi="Courier New" w:cs="Courier New"/>
      </w:rPr>
    </w:lvl>
    <w:lvl w:ilvl="7" w:tentative="0">
      <w:start w:val="1"/>
      <w:numFmt w:val="bullet"/>
      <w:lvlText w:val=""/>
      <w:lvlJc w:val="left"/>
      <w:pPr>
        <w:tabs>
          <w:tab w:val="left" w:pos="5040"/>
        </w:tabs>
        <w:ind w:left="5400" w:hanging="360"/>
      </w:pPr>
      <w:rPr>
        <w:rFonts w:hint="default" w:ascii="Wingdings" w:hAnsi="Wingdings"/>
      </w:rPr>
    </w:lvl>
    <w:lvl w:ilvl="8" w:tentative="0">
      <w:start w:val="1"/>
      <w:numFmt w:val="bullet"/>
      <w:lvlText w:val=""/>
      <w:lvlJc w:val="left"/>
      <w:pPr>
        <w:tabs>
          <w:tab w:val="left" w:pos="5760"/>
        </w:tabs>
        <w:ind w:left="6120" w:hanging="360"/>
      </w:pPr>
      <w:rPr>
        <w:rFonts w:hint="default" w:ascii="Wingdings" w:hAnsi="Wingdings"/>
      </w:rPr>
    </w:lvl>
  </w:abstractNum>
  <w:abstractNum w:abstractNumId="1">
    <w:nsid w:val="041A0C40"/>
    <w:multiLevelType w:val="multilevel"/>
    <w:tmpl w:val="041A0C40"/>
    <w:lvl w:ilvl="0" w:tentative="0">
      <w:start w:val="1"/>
      <w:numFmt w:val="bullet"/>
      <w:lvlText w:val=""/>
      <w:lvlJc w:val="left"/>
      <w:pPr>
        <w:tabs>
          <w:tab w:val="left" w:pos="720"/>
        </w:tabs>
        <w:ind w:left="720" w:hanging="360"/>
      </w:pPr>
      <w:rPr>
        <w:rFonts w:hint="default" w:ascii="Symbol" w:hAnsi="Symbol"/>
        <w:sz w:val="20"/>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abstractNum w:abstractNumId="2">
    <w:nsid w:val="148159B0"/>
    <w:multiLevelType w:val="multilevel"/>
    <w:tmpl w:val="148159B0"/>
    <w:lvl w:ilvl="0" w:tentative="0">
      <w:start w:val="1"/>
      <w:numFmt w:val="bullet"/>
      <w:lvlText w:val=""/>
      <w:lvlJc w:val="left"/>
      <w:pPr>
        <w:ind w:left="1287" w:hanging="360"/>
      </w:pPr>
      <w:rPr>
        <w:rFonts w:hint="default" w:ascii="Symbol" w:hAnsi="Symbol"/>
      </w:rPr>
    </w:lvl>
    <w:lvl w:ilvl="1" w:tentative="0">
      <w:start w:val="1"/>
      <w:numFmt w:val="bullet"/>
      <w:lvlText w:val="o"/>
      <w:lvlJc w:val="left"/>
      <w:pPr>
        <w:ind w:left="2007" w:hanging="360"/>
      </w:pPr>
      <w:rPr>
        <w:rFonts w:hint="default" w:ascii="Courier New" w:hAnsi="Courier New" w:cs="Courier New"/>
      </w:rPr>
    </w:lvl>
    <w:lvl w:ilvl="2" w:tentative="0">
      <w:start w:val="1"/>
      <w:numFmt w:val="bullet"/>
      <w:lvlText w:val=""/>
      <w:lvlJc w:val="left"/>
      <w:pPr>
        <w:ind w:left="2727" w:hanging="360"/>
      </w:pPr>
      <w:rPr>
        <w:rFonts w:hint="default" w:ascii="Wingdings" w:hAnsi="Wingdings"/>
      </w:rPr>
    </w:lvl>
    <w:lvl w:ilvl="3" w:tentative="0">
      <w:start w:val="1"/>
      <w:numFmt w:val="bullet"/>
      <w:lvlText w:val=""/>
      <w:lvlJc w:val="left"/>
      <w:pPr>
        <w:ind w:left="3447" w:hanging="360"/>
      </w:pPr>
      <w:rPr>
        <w:rFonts w:hint="default" w:ascii="Symbol" w:hAnsi="Symbol"/>
      </w:rPr>
    </w:lvl>
    <w:lvl w:ilvl="4" w:tentative="0">
      <w:start w:val="1"/>
      <w:numFmt w:val="bullet"/>
      <w:lvlText w:val="o"/>
      <w:lvlJc w:val="left"/>
      <w:pPr>
        <w:ind w:left="4167" w:hanging="360"/>
      </w:pPr>
      <w:rPr>
        <w:rFonts w:hint="default" w:ascii="Courier New" w:hAnsi="Courier New" w:cs="Courier New"/>
      </w:rPr>
    </w:lvl>
    <w:lvl w:ilvl="5" w:tentative="0">
      <w:start w:val="1"/>
      <w:numFmt w:val="bullet"/>
      <w:lvlText w:val=""/>
      <w:lvlJc w:val="left"/>
      <w:pPr>
        <w:ind w:left="4887" w:hanging="360"/>
      </w:pPr>
      <w:rPr>
        <w:rFonts w:hint="default" w:ascii="Wingdings" w:hAnsi="Wingdings"/>
      </w:rPr>
    </w:lvl>
    <w:lvl w:ilvl="6" w:tentative="0">
      <w:start w:val="1"/>
      <w:numFmt w:val="bullet"/>
      <w:lvlText w:val=""/>
      <w:lvlJc w:val="left"/>
      <w:pPr>
        <w:ind w:left="5607" w:hanging="360"/>
      </w:pPr>
      <w:rPr>
        <w:rFonts w:hint="default" w:ascii="Symbol" w:hAnsi="Symbol"/>
      </w:rPr>
    </w:lvl>
    <w:lvl w:ilvl="7" w:tentative="0">
      <w:start w:val="1"/>
      <w:numFmt w:val="bullet"/>
      <w:lvlText w:val="o"/>
      <w:lvlJc w:val="left"/>
      <w:pPr>
        <w:ind w:left="6327" w:hanging="360"/>
      </w:pPr>
      <w:rPr>
        <w:rFonts w:hint="default" w:ascii="Courier New" w:hAnsi="Courier New" w:cs="Courier New"/>
      </w:rPr>
    </w:lvl>
    <w:lvl w:ilvl="8" w:tentative="0">
      <w:start w:val="1"/>
      <w:numFmt w:val="bullet"/>
      <w:lvlText w:val=""/>
      <w:lvlJc w:val="left"/>
      <w:pPr>
        <w:ind w:left="7047" w:hanging="360"/>
      </w:pPr>
      <w:rPr>
        <w:rFonts w:hint="default" w:ascii="Wingdings" w:hAnsi="Wingdings"/>
      </w:rPr>
    </w:lvl>
  </w:abstractNum>
  <w:abstractNum w:abstractNumId="3">
    <w:nsid w:val="1F1C22B1"/>
    <w:multiLevelType w:val="multilevel"/>
    <w:tmpl w:val="1F1C22B1"/>
    <w:lvl w:ilvl="0" w:tentative="0">
      <w:start w:val="1"/>
      <w:numFmt w:val="bullet"/>
      <w:lvlText w:val=""/>
      <w:lvlJc w:val="left"/>
      <w:pPr>
        <w:ind w:left="720" w:hanging="360"/>
      </w:pPr>
      <w:rPr>
        <w:rFonts w:hint="default" w:ascii="Symbol" w:hAnsi="Symbol"/>
        <w:sz w:val="28"/>
      </w:rPr>
    </w:lvl>
    <w:lvl w:ilvl="1" w:tentative="0">
      <w:start w:val="1"/>
      <w:numFmt w:val="bullet"/>
      <w:lvlText w:val=""/>
      <w:lvlJc w:val="left"/>
      <w:pPr>
        <w:ind w:left="720" w:hanging="360"/>
      </w:pPr>
      <w:rPr>
        <w:sz w:val="28"/>
      </w:rPr>
    </w:lvl>
    <w:lvl w:ilvl="2" w:tentative="0">
      <w:start w:val="1"/>
      <w:numFmt w:val="bullet"/>
      <w:lvlText w:val=""/>
      <w:lvlJc w:val="left"/>
      <w:pPr>
        <w:ind w:left="720" w:hanging="360"/>
      </w:pPr>
      <w:rPr>
        <w:sz w:val="28"/>
      </w:rPr>
    </w:lvl>
    <w:lvl w:ilvl="3" w:tentative="0">
      <w:start w:val="1"/>
      <w:numFmt w:val="bullet"/>
      <w:lvlText w:val=""/>
      <w:lvlJc w:val="left"/>
      <w:pPr>
        <w:ind w:left="720" w:hanging="360"/>
      </w:pPr>
      <w:rPr>
        <w:sz w:val="28"/>
      </w:rPr>
    </w:lvl>
    <w:lvl w:ilvl="4" w:tentative="0">
      <w:start w:val="1"/>
      <w:numFmt w:val="bullet"/>
      <w:lvlText w:val=""/>
      <w:lvlJc w:val="left"/>
      <w:pPr>
        <w:ind w:left="720" w:hanging="360"/>
      </w:pPr>
      <w:rPr>
        <w:sz w:val="28"/>
      </w:rPr>
    </w:lvl>
    <w:lvl w:ilvl="5" w:tentative="0">
      <w:start w:val="1"/>
      <w:numFmt w:val="bullet"/>
      <w:lvlText w:val=""/>
      <w:lvlJc w:val="left"/>
      <w:pPr>
        <w:ind w:left="720" w:hanging="360"/>
      </w:pPr>
      <w:rPr>
        <w:sz w:val="28"/>
      </w:rPr>
    </w:lvl>
    <w:lvl w:ilvl="6" w:tentative="0">
      <w:start w:val="1"/>
      <w:numFmt w:val="bullet"/>
      <w:lvlText w:val=""/>
      <w:lvlJc w:val="left"/>
      <w:pPr>
        <w:ind w:left="720" w:hanging="360"/>
      </w:pPr>
      <w:rPr>
        <w:sz w:val="28"/>
      </w:rPr>
    </w:lvl>
    <w:lvl w:ilvl="7" w:tentative="0">
      <w:start w:val="1"/>
      <w:numFmt w:val="bullet"/>
      <w:lvlText w:val=""/>
      <w:lvlJc w:val="left"/>
      <w:pPr>
        <w:ind w:left="720" w:hanging="360"/>
      </w:pPr>
      <w:rPr>
        <w:sz w:val="28"/>
      </w:rPr>
    </w:lvl>
    <w:lvl w:ilvl="8" w:tentative="0">
      <w:start w:val="1"/>
      <w:numFmt w:val="bullet"/>
      <w:lvlText w:val=""/>
      <w:lvlJc w:val="left"/>
      <w:pPr>
        <w:ind w:left="720" w:hanging="360"/>
      </w:pPr>
      <w:rPr>
        <w:sz w:val="28"/>
      </w:rPr>
    </w:lvl>
  </w:abstractNum>
  <w:abstractNum w:abstractNumId="4">
    <w:nsid w:val="221827AE"/>
    <w:multiLevelType w:val="multilevel"/>
    <w:tmpl w:val="221827AE"/>
    <w:lvl w:ilvl="0" w:tentative="0">
      <w:start w:val="1"/>
      <w:numFmt w:val="bullet"/>
      <w:lvlText w:val=""/>
      <w:lvlJc w:val="left"/>
      <w:pPr>
        <w:ind w:left="1429" w:hanging="360"/>
      </w:pPr>
      <w:rPr>
        <w:rFonts w:ascii="Symbol" w:hAnsi="Symbol"/>
      </w:rPr>
    </w:lvl>
    <w:lvl w:ilvl="1" w:tentative="0">
      <w:start w:val="1"/>
      <w:numFmt w:val="bullet"/>
      <w:lvlText w:val="o"/>
      <w:lvlJc w:val="left"/>
      <w:pPr>
        <w:ind w:left="2149" w:hanging="360"/>
      </w:pPr>
      <w:rPr>
        <w:rFonts w:ascii="Courier New" w:hAnsi="Courier New"/>
      </w:rPr>
    </w:lvl>
    <w:lvl w:ilvl="2" w:tentative="0">
      <w:start w:val="1"/>
      <w:numFmt w:val="bullet"/>
      <w:lvlText w:val=""/>
      <w:lvlJc w:val="left"/>
      <w:pPr>
        <w:ind w:left="2869" w:hanging="360"/>
      </w:pPr>
      <w:rPr>
        <w:rFonts w:ascii="Wingdings" w:hAnsi="Wingdings"/>
      </w:rPr>
    </w:lvl>
    <w:lvl w:ilvl="3" w:tentative="0">
      <w:start w:val="1"/>
      <w:numFmt w:val="bullet"/>
      <w:lvlText w:val=""/>
      <w:lvlJc w:val="left"/>
      <w:pPr>
        <w:ind w:left="3589" w:hanging="360"/>
      </w:pPr>
      <w:rPr>
        <w:rFonts w:ascii="Symbol" w:hAnsi="Symbol"/>
      </w:rPr>
    </w:lvl>
    <w:lvl w:ilvl="4" w:tentative="0">
      <w:start w:val="1"/>
      <w:numFmt w:val="bullet"/>
      <w:lvlText w:val="o"/>
      <w:lvlJc w:val="left"/>
      <w:pPr>
        <w:ind w:left="4309" w:hanging="360"/>
      </w:pPr>
      <w:rPr>
        <w:rFonts w:ascii="Courier New" w:hAnsi="Courier New"/>
      </w:rPr>
    </w:lvl>
    <w:lvl w:ilvl="5" w:tentative="0">
      <w:start w:val="1"/>
      <w:numFmt w:val="bullet"/>
      <w:lvlText w:val=""/>
      <w:lvlJc w:val="left"/>
      <w:pPr>
        <w:ind w:left="5029" w:hanging="360"/>
      </w:pPr>
      <w:rPr>
        <w:rFonts w:ascii="Wingdings" w:hAnsi="Wingdings"/>
      </w:rPr>
    </w:lvl>
    <w:lvl w:ilvl="6" w:tentative="0">
      <w:start w:val="1"/>
      <w:numFmt w:val="bullet"/>
      <w:lvlText w:val=""/>
      <w:lvlJc w:val="left"/>
      <w:pPr>
        <w:ind w:left="5749" w:hanging="360"/>
      </w:pPr>
      <w:rPr>
        <w:rFonts w:ascii="Symbol" w:hAnsi="Symbol"/>
      </w:rPr>
    </w:lvl>
    <w:lvl w:ilvl="7" w:tentative="0">
      <w:start w:val="1"/>
      <w:numFmt w:val="bullet"/>
      <w:lvlText w:val="o"/>
      <w:lvlJc w:val="left"/>
      <w:pPr>
        <w:ind w:left="6469" w:hanging="360"/>
      </w:pPr>
      <w:rPr>
        <w:rFonts w:ascii="Courier New" w:hAnsi="Courier New"/>
      </w:rPr>
    </w:lvl>
    <w:lvl w:ilvl="8" w:tentative="0">
      <w:start w:val="1"/>
      <w:numFmt w:val="bullet"/>
      <w:lvlText w:val=""/>
      <w:lvlJc w:val="left"/>
      <w:pPr>
        <w:ind w:left="7189" w:hanging="360"/>
      </w:pPr>
      <w:rPr>
        <w:rFonts w:ascii="Wingdings" w:hAnsi="Wingdings"/>
      </w:rPr>
    </w:lvl>
  </w:abstractNum>
  <w:abstractNum w:abstractNumId="5">
    <w:nsid w:val="33A75A6E"/>
    <w:multiLevelType w:val="multilevel"/>
    <w:tmpl w:val="33A75A6E"/>
    <w:lvl w:ilvl="0" w:tentative="0">
      <w:start w:val="1"/>
      <w:numFmt w:val="bullet"/>
      <w:lvlText w:val=""/>
      <w:lvlJc w:val="left"/>
      <w:pPr>
        <w:ind w:left="1429" w:hanging="360"/>
      </w:pPr>
      <w:rPr>
        <w:rFonts w:hint="default" w:ascii="Symbol" w:hAnsi="Symbol"/>
      </w:rPr>
    </w:lvl>
    <w:lvl w:ilvl="1" w:tentative="0">
      <w:start w:val="1"/>
      <w:numFmt w:val="bullet"/>
      <w:lvlText w:val="o"/>
      <w:lvlJc w:val="left"/>
      <w:pPr>
        <w:ind w:left="2149" w:hanging="360"/>
      </w:pPr>
      <w:rPr>
        <w:rFonts w:hint="default" w:ascii="Courier New" w:hAnsi="Courier New" w:cs="Courier New"/>
      </w:rPr>
    </w:lvl>
    <w:lvl w:ilvl="2" w:tentative="0">
      <w:start w:val="1"/>
      <w:numFmt w:val="bullet"/>
      <w:lvlText w:val=""/>
      <w:lvlJc w:val="left"/>
      <w:pPr>
        <w:ind w:left="2869" w:hanging="360"/>
      </w:pPr>
      <w:rPr>
        <w:rFonts w:hint="default" w:ascii="Wingdings" w:hAnsi="Wingdings"/>
      </w:rPr>
    </w:lvl>
    <w:lvl w:ilvl="3" w:tentative="0">
      <w:start w:val="1"/>
      <w:numFmt w:val="bullet"/>
      <w:lvlText w:val=""/>
      <w:lvlJc w:val="left"/>
      <w:pPr>
        <w:ind w:left="3589" w:hanging="360"/>
      </w:pPr>
      <w:rPr>
        <w:rFonts w:hint="default" w:ascii="Symbol" w:hAnsi="Symbol"/>
      </w:rPr>
    </w:lvl>
    <w:lvl w:ilvl="4" w:tentative="0">
      <w:start w:val="1"/>
      <w:numFmt w:val="bullet"/>
      <w:lvlText w:val="o"/>
      <w:lvlJc w:val="left"/>
      <w:pPr>
        <w:ind w:left="4309" w:hanging="360"/>
      </w:pPr>
      <w:rPr>
        <w:rFonts w:hint="default" w:ascii="Courier New" w:hAnsi="Courier New" w:cs="Courier New"/>
      </w:rPr>
    </w:lvl>
    <w:lvl w:ilvl="5" w:tentative="0">
      <w:start w:val="1"/>
      <w:numFmt w:val="bullet"/>
      <w:lvlText w:val=""/>
      <w:lvlJc w:val="left"/>
      <w:pPr>
        <w:ind w:left="5029" w:hanging="360"/>
      </w:pPr>
      <w:rPr>
        <w:rFonts w:hint="default" w:ascii="Wingdings" w:hAnsi="Wingdings"/>
      </w:rPr>
    </w:lvl>
    <w:lvl w:ilvl="6" w:tentative="0">
      <w:start w:val="1"/>
      <w:numFmt w:val="bullet"/>
      <w:lvlText w:val=""/>
      <w:lvlJc w:val="left"/>
      <w:pPr>
        <w:ind w:left="5749" w:hanging="360"/>
      </w:pPr>
      <w:rPr>
        <w:rFonts w:hint="default" w:ascii="Symbol" w:hAnsi="Symbol"/>
      </w:rPr>
    </w:lvl>
    <w:lvl w:ilvl="7" w:tentative="0">
      <w:start w:val="1"/>
      <w:numFmt w:val="bullet"/>
      <w:lvlText w:val="o"/>
      <w:lvlJc w:val="left"/>
      <w:pPr>
        <w:ind w:left="6469" w:hanging="360"/>
      </w:pPr>
      <w:rPr>
        <w:rFonts w:hint="default" w:ascii="Courier New" w:hAnsi="Courier New" w:cs="Courier New"/>
      </w:rPr>
    </w:lvl>
    <w:lvl w:ilvl="8" w:tentative="0">
      <w:start w:val="1"/>
      <w:numFmt w:val="bullet"/>
      <w:lvlText w:val=""/>
      <w:lvlJc w:val="left"/>
      <w:pPr>
        <w:ind w:left="7189" w:hanging="360"/>
      </w:pPr>
      <w:rPr>
        <w:rFonts w:hint="default" w:ascii="Wingdings" w:hAnsi="Wingdings"/>
      </w:rPr>
    </w:lvl>
  </w:abstractNum>
  <w:abstractNum w:abstractNumId="6">
    <w:nsid w:val="38554A13"/>
    <w:multiLevelType w:val="multilevel"/>
    <w:tmpl w:val="38554A13"/>
    <w:lvl w:ilvl="0" w:tentative="0">
      <w:start w:val="1"/>
      <w:numFmt w:val="bullet"/>
      <w:lvlText w:val=""/>
      <w:lvlJc w:val="left"/>
      <w:pPr>
        <w:tabs>
          <w:tab w:val="left" w:pos="720"/>
        </w:tabs>
        <w:ind w:left="720" w:hanging="360"/>
      </w:pPr>
      <w:rPr>
        <w:rFonts w:hint="default" w:ascii="Symbol" w:hAnsi="Symbol"/>
        <w:sz w:val="20"/>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abstractNum w:abstractNumId="7">
    <w:nsid w:val="4A2C3845"/>
    <w:multiLevelType w:val="multilevel"/>
    <w:tmpl w:val="4A2C3845"/>
    <w:lvl w:ilvl="0" w:tentative="0">
      <w:start w:val="1"/>
      <w:numFmt w:val="decimal"/>
      <w:lvlText w:val="%1."/>
      <w:lvlJc w:val="left"/>
      <w:pPr>
        <w:tabs>
          <w:tab w:val="left" w:pos="720"/>
        </w:tabs>
        <w:ind w:left="720" w:hanging="360"/>
      </w:p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8">
    <w:nsid w:val="519C02A7"/>
    <w:multiLevelType w:val="multilevel"/>
    <w:tmpl w:val="519C02A7"/>
    <w:lvl w:ilvl="0" w:tentative="0">
      <w:start w:val="1"/>
      <w:numFmt w:val="bullet"/>
      <w:lvlText w:val=""/>
      <w:lvlJc w:val="left"/>
      <w:pPr>
        <w:tabs>
          <w:tab w:val="left" w:pos="720"/>
        </w:tabs>
        <w:ind w:left="720" w:hanging="360"/>
      </w:pPr>
      <w:rPr>
        <w:rFonts w:hint="default" w:ascii="Symbol" w:hAnsi="Symbol"/>
        <w:sz w:val="20"/>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abstractNum w:abstractNumId="9">
    <w:nsid w:val="53BE546F"/>
    <w:multiLevelType w:val="multilevel"/>
    <w:tmpl w:val="53BE546F"/>
    <w:lvl w:ilvl="0" w:tentative="0">
      <w:start w:val="1"/>
      <w:numFmt w:val="decimal"/>
      <w:lvlText w:val="%1."/>
      <w:lvlJc w:val="left"/>
      <w:pPr>
        <w:ind w:left="823" w:hanging="816"/>
      </w:pPr>
      <w:rPr>
        <w:rFonts w:hint="default" w:ascii="Times New Roman" w:hAnsi="Times New Roman" w:eastAsia="Times New Roman" w:cs="Times New Roman"/>
        <w:spacing w:val="0"/>
        <w:w w:val="100"/>
        <w:sz w:val="28"/>
        <w:szCs w:val="28"/>
        <w:lang w:val="ru-RU" w:eastAsia="ru-RU" w:bidi="ru-RU"/>
      </w:rPr>
    </w:lvl>
    <w:lvl w:ilvl="1" w:tentative="0">
      <w:start w:val="0"/>
      <w:numFmt w:val="bullet"/>
      <w:lvlText w:val="•"/>
      <w:lvlJc w:val="left"/>
      <w:pPr>
        <w:ind w:left="1671" w:hanging="816"/>
      </w:pPr>
      <w:rPr>
        <w:rFonts w:hint="default"/>
        <w:lang w:val="ru-RU" w:eastAsia="ru-RU" w:bidi="ru-RU"/>
      </w:rPr>
    </w:lvl>
    <w:lvl w:ilvl="2" w:tentative="0">
      <w:start w:val="0"/>
      <w:numFmt w:val="bullet"/>
      <w:lvlText w:val="•"/>
      <w:lvlJc w:val="left"/>
      <w:pPr>
        <w:ind w:left="2523" w:hanging="816"/>
      </w:pPr>
      <w:rPr>
        <w:rFonts w:hint="default"/>
        <w:lang w:val="ru-RU" w:eastAsia="ru-RU" w:bidi="ru-RU"/>
      </w:rPr>
    </w:lvl>
    <w:lvl w:ilvl="3" w:tentative="0">
      <w:start w:val="0"/>
      <w:numFmt w:val="bullet"/>
      <w:lvlText w:val="•"/>
      <w:lvlJc w:val="left"/>
      <w:pPr>
        <w:ind w:left="3375" w:hanging="816"/>
      </w:pPr>
      <w:rPr>
        <w:rFonts w:hint="default"/>
        <w:lang w:val="ru-RU" w:eastAsia="ru-RU" w:bidi="ru-RU"/>
      </w:rPr>
    </w:lvl>
    <w:lvl w:ilvl="4" w:tentative="0">
      <w:start w:val="0"/>
      <w:numFmt w:val="bullet"/>
      <w:lvlText w:val="•"/>
      <w:lvlJc w:val="left"/>
      <w:pPr>
        <w:ind w:left="4227" w:hanging="816"/>
      </w:pPr>
      <w:rPr>
        <w:rFonts w:hint="default"/>
        <w:lang w:val="ru-RU" w:eastAsia="ru-RU" w:bidi="ru-RU"/>
      </w:rPr>
    </w:lvl>
    <w:lvl w:ilvl="5" w:tentative="0">
      <w:start w:val="0"/>
      <w:numFmt w:val="bullet"/>
      <w:lvlText w:val="•"/>
      <w:lvlJc w:val="left"/>
      <w:pPr>
        <w:ind w:left="5079" w:hanging="816"/>
      </w:pPr>
      <w:rPr>
        <w:rFonts w:hint="default"/>
        <w:lang w:val="ru-RU" w:eastAsia="ru-RU" w:bidi="ru-RU"/>
      </w:rPr>
    </w:lvl>
    <w:lvl w:ilvl="6" w:tentative="0">
      <w:start w:val="0"/>
      <w:numFmt w:val="bullet"/>
      <w:lvlText w:val="•"/>
      <w:lvlJc w:val="left"/>
      <w:pPr>
        <w:ind w:left="5930" w:hanging="816"/>
      </w:pPr>
      <w:rPr>
        <w:rFonts w:hint="default"/>
        <w:lang w:val="ru-RU" w:eastAsia="ru-RU" w:bidi="ru-RU"/>
      </w:rPr>
    </w:lvl>
    <w:lvl w:ilvl="7" w:tentative="0">
      <w:start w:val="0"/>
      <w:numFmt w:val="bullet"/>
      <w:lvlText w:val="•"/>
      <w:lvlJc w:val="left"/>
      <w:pPr>
        <w:ind w:left="6782" w:hanging="816"/>
      </w:pPr>
      <w:rPr>
        <w:rFonts w:hint="default"/>
        <w:lang w:val="ru-RU" w:eastAsia="ru-RU" w:bidi="ru-RU"/>
      </w:rPr>
    </w:lvl>
    <w:lvl w:ilvl="8" w:tentative="0">
      <w:start w:val="0"/>
      <w:numFmt w:val="bullet"/>
      <w:lvlText w:val="•"/>
      <w:lvlJc w:val="left"/>
      <w:pPr>
        <w:ind w:left="7634" w:hanging="816"/>
      </w:pPr>
      <w:rPr>
        <w:rFonts w:hint="default"/>
        <w:lang w:val="ru-RU" w:eastAsia="ru-RU" w:bidi="ru-RU"/>
      </w:rPr>
    </w:lvl>
  </w:abstractNum>
  <w:abstractNum w:abstractNumId="10">
    <w:nsid w:val="694836A1"/>
    <w:multiLevelType w:val="multilevel"/>
    <w:tmpl w:val="694836A1"/>
    <w:lvl w:ilvl="0" w:tentative="0">
      <w:start w:val="1"/>
      <w:numFmt w:val="bullet"/>
      <w:lvlText w:val=""/>
      <w:lvlJc w:val="left"/>
      <w:pPr>
        <w:ind w:left="1429" w:hanging="360"/>
      </w:pPr>
      <w:rPr>
        <w:rFonts w:ascii="Symbol" w:hAnsi="Symbol"/>
      </w:rPr>
    </w:lvl>
    <w:lvl w:ilvl="1" w:tentative="0">
      <w:start w:val="1"/>
      <w:numFmt w:val="bullet"/>
      <w:lvlText w:val="o"/>
      <w:lvlJc w:val="left"/>
      <w:pPr>
        <w:ind w:left="2149" w:hanging="360"/>
      </w:pPr>
      <w:rPr>
        <w:rFonts w:ascii="Courier New" w:hAnsi="Courier New"/>
      </w:rPr>
    </w:lvl>
    <w:lvl w:ilvl="2" w:tentative="0">
      <w:start w:val="1"/>
      <w:numFmt w:val="bullet"/>
      <w:lvlText w:val=""/>
      <w:lvlJc w:val="left"/>
      <w:pPr>
        <w:ind w:left="2869" w:hanging="360"/>
      </w:pPr>
      <w:rPr>
        <w:rFonts w:ascii="Wingdings" w:hAnsi="Wingdings"/>
      </w:rPr>
    </w:lvl>
    <w:lvl w:ilvl="3" w:tentative="0">
      <w:start w:val="1"/>
      <w:numFmt w:val="bullet"/>
      <w:lvlText w:val=""/>
      <w:lvlJc w:val="left"/>
      <w:pPr>
        <w:ind w:left="3589" w:hanging="360"/>
      </w:pPr>
      <w:rPr>
        <w:rFonts w:ascii="Symbol" w:hAnsi="Symbol"/>
      </w:rPr>
    </w:lvl>
    <w:lvl w:ilvl="4" w:tentative="0">
      <w:start w:val="1"/>
      <w:numFmt w:val="bullet"/>
      <w:lvlText w:val="o"/>
      <w:lvlJc w:val="left"/>
      <w:pPr>
        <w:ind w:left="4309" w:hanging="360"/>
      </w:pPr>
      <w:rPr>
        <w:rFonts w:ascii="Courier New" w:hAnsi="Courier New"/>
      </w:rPr>
    </w:lvl>
    <w:lvl w:ilvl="5" w:tentative="0">
      <w:start w:val="1"/>
      <w:numFmt w:val="bullet"/>
      <w:lvlText w:val=""/>
      <w:lvlJc w:val="left"/>
      <w:pPr>
        <w:ind w:left="5029" w:hanging="360"/>
      </w:pPr>
      <w:rPr>
        <w:rFonts w:ascii="Wingdings" w:hAnsi="Wingdings"/>
      </w:rPr>
    </w:lvl>
    <w:lvl w:ilvl="6" w:tentative="0">
      <w:start w:val="1"/>
      <w:numFmt w:val="bullet"/>
      <w:lvlText w:val=""/>
      <w:lvlJc w:val="left"/>
      <w:pPr>
        <w:ind w:left="5749" w:hanging="360"/>
      </w:pPr>
      <w:rPr>
        <w:rFonts w:ascii="Symbol" w:hAnsi="Symbol"/>
      </w:rPr>
    </w:lvl>
    <w:lvl w:ilvl="7" w:tentative="0">
      <w:start w:val="1"/>
      <w:numFmt w:val="bullet"/>
      <w:lvlText w:val="o"/>
      <w:lvlJc w:val="left"/>
      <w:pPr>
        <w:ind w:left="6469" w:hanging="360"/>
      </w:pPr>
      <w:rPr>
        <w:rFonts w:ascii="Courier New" w:hAnsi="Courier New"/>
      </w:rPr>
    </w:lvl>
    <w:lvl w:ilvl="8" w:tentative="0">
      <w:start w:val="1"/>
      <w:numFmt w:val="bullet"/>
      <w:lvlText w:val=""/>
      <w:lvlJc w:val="left"/>
      <w:pPr>
        <w:ind w:left="7189" w:hanging="360"/>
      </w:pPr>
      <w:rPr>
        <w:rFonts w:ascii="Wingdings" w:hAnsi="Wingdings"/>
      </w:rPr>
    </w:lvl>
  </w:abstractNum>
  <w:abstractNum w:abstractNumId="11">
    <w:nsid w:val="720333B0"/>
    <w:multiLevelType w:val="multilevel"/>
    <w:tmpl w:val="720333B0"/>
    <w:lvl w:ilvl="0" w:tentative="0">
      <w:start w:val="1"/>
      <w:numFmt w:val="bullet"/>
      <w:lvlText w:val=""/>
      <w:lvlJc w:val="left"/>
      <w:pPr>
        <w:ind w:left="1429" w:hanging="360"/>
      </w:pPr>
      <w:rPr>
        <w:rFonts w:ascii="Symbol" w:hAnsi="Symbol"/>
      </w:rPr>
    </w:lvl>
    <w:lvl w:ilvl="1" w:tentative="0">
      <w:start w:val="1"/>
      <w:numFmt w:val="bullet"/>
      <w:lvlText w:val="o"/>
      <w:lvlJc w:val="left"/>
      <w:pPr>
        <w:ind w:left="2149" w:hanging="360"/>
      </w:pPr>
      <w:rPr>
        <w:rFonts w:ascii="Courier New" w:hAnsi="Courier New"/>
      </w:rPr>
    </w:lvl>
    <w:lvl w:ilvl="2" w:tentative="0">
      <w:start w:val="1"/>
      <w:numFmt w:val="bullet"/>
      <w:lvlText w:val=""/>
      <w:lvlJc w:val="left"/>
      <w:pPr>
        <w:ind w:left="2869" w:hanging="360"/>
      </w:pPr>
      <w:rPr>
        <w:rFonts w:ascii="Wingdings" w:hAnsi="Wingdings"/>
      </w:rPr>
    </w:lvl>
    <w:lvl w:ilvl="3" w:tentative="0">
      <w:start w:val="1"/>
      <w:numFmt w:val="bullet"/>
      <w:lvlText w:val=""/>
      <w:lvlJc w:val="left"/>
      <w:pPr>
        <w:ind w:left="3589" w:hanging="360"/>
      </w:pPr>
      <w:rPr>
        <w:rFonts w:ascii="Symbol" w:hAnsi="Symbol"/>
      </w:rPr>
    </w:lvl>
    <w:lvl w:ilvl="4" w:tentative="0">
      <w:start w:val="1"/>
      <w:numFmt w:val="bullet"/>
      <w:lvlText w:val="o"/>
      <w:lvlJc w:val="left"/>
      <w:pPr>
        <w:ind w:left="4309" w:hanging="360"/>
      </w:pPr>
      <w:rPr>
        <w:rFonts w:ascii="Courier New" w:hAnsi="Courier New"/>
      </w:rPr>
    </w:lvl>
    <w:lvl w:ilvl="5" w:tentative="0">
      <w:start w:val="1"/>
      <w:numFmt w:val="bullet"/>
      <w:lvlText w:val=""/>
      <w:lvlJc w:val="left"/>
      <w:pPr>
        <w:ind w:left="5029" w:hanging="360"/>
      </w:pPr>
      <w:rPr>
        <w:rFonts w:ascii="Wingdings" w:hAnsi="Wingdings"/>
      </w:rPr>
    </w:lvl>
    <w:lvl w:ilvl="6" w:tentative="0">
      <w:start w:val="1"/>
      <w:numFmt w:val="bullet"/>
      <w:lvlText w:val=""/>
      <w:lvlJc w:val="left"/>
      <w:pPr>
        <w:ind w:left="5749" w:hanging="360"/>
      </w:pPr>
      <w:rPr>
        <w:rFonts w:ascii="Symbol" w:hAnsi="Symbol"/>
      </w:rPr>
    </w:lvl>
    <w:lvl w:ilvl="7" w:tentative="0">
      <w:start w:val="1"/>
      <w:numFmt w:val="bullet"/>
      <w:lvlText w:val="o"/>
      <w:lvlJc w:val="left"/>
      <w:pPr>
        <w:ind w:left="6469" w:hanging="360"/>
      </w:pPr>
      <w:rPr>
        <w:rFonts w:ascii="Courier New" w:hAnsi="Courier New"/>
      </w:rPr>
    </w:lvl>
    <w:lvl w:ilvl="8" w:tentative="0">
      <w:start w:val="1"/>
      <w:numFmt w:val="bullet"/>
      <w:lvlText w:val=""/>
      <w:lvlJc w:val="left"/>
      <w:pPr>
        <w:ind w:left="7189" w:hanging="360"/>
      </w:pPr>
      <w:rPr>
        <w:rFonts w:ascii="Wingdings" w:hAnsi="Wingdings"/>
      </w:rPr>
    </w:lvl>
  </w:abstractNum>
  <w:abstractNum w:abstractNumId="12">
    <w:nsid w:val="72EE74A7"/>
    <w:multiLevelType w:val="multilevel"/>
    <w:tmpl w:val="72EE74A7"/>
    <w:lvl w:ilvl="0" w:tentative="0">
      <w:start w:val="1"/>
      <w:numFmt w:val="bullet"/>
      <w:lvlText w:val=""/>
      <w:lvlJc w:val="left"/>
      <w:pPr>
        <w:ind w:left="720" w:hanging="360"/>
      </w:pPr>
      <w:rPr>
        <w:rFonts w:hint="default" w:ascii="Symbol" w:hAnsi="Symbol"/>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abstractNum w:abstractNumId="13">
    <w:nsid w:val="778876E2"/>
    <w:multiLevelType w:val="multilevel"/>
    <w:tmpl w:val="778876E2"/>
    <w:lvl w:ilvl="0" w:tentative="0">
      <w:start w:val="1"/>
      <w:numFmt w:val="bullet"/>
      <w:lvlText w:val=""/>
      <w:lvlJc w:val="left"/>
      <w:pPr>
        <w:ind w:left="1500" w:hanging="360"/>
      </w:pPr>
      <w:rPr>
        <w:rFonts w:hint="default" w:ascii="Symbol" w:hAnsi="Symbol"/>
      </w:rPr>
    </w:lvl>
    <w:lvl w:ilvl="1" w:tentative="0">
      <w:start w:val="1"/>
      <w:numFmt w:val="bullet"/>
      <w:lvlText w:val="o"/>
      <w:lvlJc w:val="left"/>
      <w:pPr>
        <w:ind w:left="2220" w:hanging="360"/>
      </w:pPr>
      <w:rPr>
        <w:rFonts w:hint="default" w:ascii="Courier New" w:hAnsi="Courier New" w:cs="Courier New"/>
      </w:rPr>
    </w:lvl>
    <w:lvl w:ilvl="2" w:tentative="0">
      <w:start w:val="1"/>
      <w:numFmt w:val="bullet"/>
      <w:lvlText w:val=""/>
      <w:lvlJc w:val="left"/>
      <w:pPr>
        <w:ind w:left="2940" w:hanging="360"/>
      </w:pPr>
      <w:rPr>
        <w:rFonts w:hint="default" w:ascii="Wingdings" w:hAnsi="Wingdings"/>
      </w:rPr>
    </w:lvl>
    <w:lvl w:ilvl="3" w:tentative="0">
      <w:start w:val="1"/>
      <w:numFmt w:val="bullet"/>
      <w:lvlText w:val=""/>
      <w:lvlJc w:val="left"/>
      <w:pPr>
        <w:ind w:left="3660" w:hanging="360"/>
      </w:pPr>
      <w:rPr>
        <w:rFonts w:hint="default" w:ascii="Symbol" w:hAnsi="Symbol"/>
      </w:rPr>
    </w:lvl>
    <w:lvl w:ilvl="4" w:tentative="0">
      <w:start w:val="1"/>
      <w:numFmt w:val="bullet"/>
      <w:lvlText w:val="o"/>
      <w:lvlJc w:val="left"/>
      <w:pPr>
        <w:ind w:left="4380" w:hanging="360"/>
      </w:pPr>
      <w:rPr>
        <w:rFonts w:hint="default" w:ascii="Courier New" w:hAnsi="Courier New" w:cs="Courier New"/>
      </w:rPr>
    </w:lvl>
    <w:lvl w:ilvl="5" w:tentative="0">
      <w:start w:val="1"/>
      <w:numFmt w:val="bullet"/>
      <w:lvlText w:val=""/>
      <w:lvlJc w:val="left"/>
      <w:pPr>
        <w:ind w:left="5100" w:hanging="360"/>
      </w:pPr>
      <w:rPr>
        <w:rFonts w:hint="default" w:ascii="Wingdings" w:hAnsi="Wingdings"/>
      </w:rPr>
    </w:lvl>
    <w:lvl w:ilvl="6" w:tentative="0">
      <w:start w:val="1"/>
      <w:numFmt w:val="bullet"/>
      <w:lvlText w:val=""/>
      <w:lvlJc w:val="left"/>
      <w:pPr>
        <w:ind w:left="5820" w:hanging="360"/>
      </w:pPr>
      <w:rPr>
        <w:rFonts w:hint="default" w:ascii="Symbol" w:hAnsi="Symbol"/>
      </w:rPr>
    </w:lvl>
    <w:lvl w:ilvl="7" w:tentative="0">
      <w:start w:val="1"/>
      <w:numFmt w:val="bullet"/>
      <w:lvlText w:val="o"/>
      <w:lvlJc w:val="left"/>
      <w:pPr>
        <w:ind w:left="6540" w:hanging="360"/>
      </w:pPr>
      <w:rPr>
        <w:rFonts w:hint="default" w:ascii="Courier New" w:hAnsi="Courier New" w:cs="Courier New"/>
      </w:rPr>
    </w:lvl>
    <w:lvl w:ilvl="8" w:tentative="0">
      <w:start w:val="1"/>
      <w:numFmt w:val="bullet"/>
      <w:lvlText w:val=""/>
      <w:lvlJc w:val="left"/>
      <w:pPr>
        <w:ind w:left="7260" w:hanging="360"/>
      </w:pPr>
      <w:rPr>
        <w:rFonts w:hint="default" w:ascii="Wingdings" w:hAnsi="Wingdings"/>
      </w:rPr>
    </w:lvl>
  </w:abstractNum>
  <w:num w:numId="1">
    <w:abstractNumId w:val="0"/>
  </w:num>
  <w:num w:numId="2">
    <w:abstractNumId w:val="13"/>
  </w:num>
  <w:num w:numId="3">
    <w:abstractNumId w:val="10"/>
  </w:num>
  <w:num w:numId="4">
    <w:abstractNumId w:val="12"/>
  </w:num>
  <w:num w:numId="5">
    <w:abstractNumId w:val="2"/>
  </w:num>
  <w:num w:numId="6">
    <w:abstractNumId w:val="5"/>
  </w:num>
  <w:num w:numId="7">
    <w:abstractNumId w:val="9"/>
  </w:num>
  <w:num w:numId="8">
    <w:abstractNumId w:val="6"/>
  </w:num>
  <w:num w:numId="9">
    <w:abstractNumId w:val="3"/>
  </w:num>
  <w:num w:numId="10">
    <w:abstractNumId w:val="4"/>
  </w:num>
  <w:num w:numId="11">
    <w:abstractNumId w:val="11"/>
  </w:num>
  <w:num w:numId="12">
    <w:abstractNumId w:val="8"/>
  </w:num>
  <w:num w:numId="13">
    <w:abstractNumId w:val="1"/>
  </w:num>
  <w:num w:numId="14">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hideSpellingErrors/>
  <w:hideGrammaticalErrors/>
  <w:documentProtection w:enforcement="0"/>
  <w:defaultTabStop w:val="708"/>
  <w:characterSpacingControl w:val="doNotCompress"/>
  <w:footnotePr>
    <w:footnote w:id="0"/>
    <w:footnote w:id="1"/>
  </w:footnotePr>
  <w:endnotePr>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509DA"/>
    <w:rsid w:val="00001CF1"/>
    <w:rsid w:val="0000220B"/>
    <w:rsid w:val="00002C14"/>
    <w:rsid w:val="00002DC6"/>
    <w:rsid w:val="000040E2"/>
    <w:rsid w:val="0000576E"/>
    <w:rsid w:val="00005C8B"/>
    <w:rsid w:val="00006828"/>
    <w:rsid w:val="00007F7D"/>
    <w:rsid w:val="00010661"/>
    <w:rsid w:val="0001192A"/>
    <w:rsid w:val="00012D58"/>
    <w:rsid w:val="00013050"/>
    <w:rsid w:val="00013257"/>
    <w:rsid w:val="00015A22"/>
    <w:rsid w:val="00015AF9"/>
    <w:rsid w:val="00016653"/>
    <w:rsid w:val="00016DA2"/>
    <w:rsid w:val="000243D9"/>
    <w:rsid w:val="00024BC4"/>
    <w:rsid w:val="0002502F"/>
    <w:rsid w:val="00026E97"/>
    <w:rsid w:val="00030519"/>
    <w:rsid w:val="0003076F"/>
    <w:rsid w:val="00031D78"/>
    <w:rsid w:val="00032EBE"/>
    <w:rsid w:val="0003437A"/>
    <w:rsid w:val="00034664"/>
    <w:rsid w:val="0003504C"/>
    <w:rsid w:val="000353A1"/>
    <w:rsid w:val="000356FE"/>
    <w:rsid w:val="0003596B"/>
    <w:rsid w:val="0003718E"/>
    <w:rsid w:val="00037878"/>
    <w:rsid w:val="0003792D"/>
    <w:rsid w:val="00040287"/>
    <w:rsid w:val="00040304"/>
    <w:rsid w:val="00040FF2"/>
    <w:rsid w:val="00041ACA"/>
    <w:rsid w:val="00041F7F"/>
    <w:rsid w:val="000430C7"/>
    <w:rsid w:val="000448D0"/>
    <w:rsid w:val="000451F5"/>
    <w:rsid w:val="00045AAA"/>
    <w:rsid w:val="00046AC8"/>
    <w:rsid w:val="000477E8"/>
    <w:rsid w:val="0005004D"/>
    <w:rsid w:val="000507C8"/>
    <w:rsid w:val="00052478"/>
    <w:rsid w:val="00053BE6"/>
    <w:rsid w:val="0005457F"/>
    <w:rsid w:val="000559FC"/>
    <w:rsid w:val="0005600E"/>
    <w:rsid w:val="00057249"/>
    <w:rsid w:val="000573AB"/>
    <w:rsid w:val="00057620"/>
    <w:rsid w:val="00057CBA"/>
    <w:rsid w:val="00057EEB"/>
    <w:rsid w:val="00060A7D"/>
    <w:rsid w:val="00060C29"/>
    <w:rsid w:val="0006113E"/>
    <w:rsid w:val="000646D9"/>
    <w:rsid w:val="00065421"/>
    <w:rsid w:val="00067DCA"/>
    <w:rsid w:val="000707D7"/>
    <w:rsid w:val="000709EF"/>
    <w:rsid w:val="000710A5"/>
    <w:rsid w:val="000715D5"/>
    <w:rsid w:val="0007330C"/>
    <w:rsid w:val="00074174"/>
    <w:rsid w:val="00076C58"/>
    <w:rsid w:val="00077C24"/>
    <w:rsid w:val="000803E1"/>
    <w:rsid w:val="00080DD4"/>
    <w:rsid w:val="00082165"/>
    <w:rsid w:val="000827CE"/>
    <w:rsid w:val="00084D45"/>
    <w:rsid w:val="00084E0D"/>
    <w:rsid w:val="000859A9"/>
    <w:rsid w:val="00087F7D"/>
    <w:rsid w:val="00090C0D"/>
    <w:rsid w:val="00092B04"/>
    <w:rsid w:val="00093E8F"/>
    <w:rsid w:val="00095CFC"/>
    <w:rsid w:val="00095F67"/>
    <w:rsid w:val="00096252"/>
    <w:rsid w:val="000969C2"/>
    <w:rsid w:val="000A0B62"/>
    <w:rsid w:val="000A1CC6"/>
    <w:rsid w:val="000A1F36"/>
    <w:rsid w:val="000A354C"/>
    <w:rsid w:val="000A3579"/>
    <w:rsid w:val="000A3850"/>
    <w:rsid w:val="000A4901"/>
    <w:rsid w:val="000A73E4"/>
    <w:rsid w:val="000A758B"/>
    <w:rsid w:val="000A7B75"/>
    <w:rsid w:val="000B137B"/>
    <w:rsid w:val="000B4A01"/>
    <w:rsid w:val="000B4C6C"/>
    <w:rsid w:val="000B4F34"/>
    <w:rsid w:val="000B57D3"/>
    <w:rsid w:val="000B6727"/>
    <w:rsid w:val="000B678B"/>
    <w:rsid w:val="000B7002"/>
    <w:rsid w:val="000B77A8"/>
    <w:rsid w:val="000C14A5"/>
    <w:rsid w:val="000C3B6B"/>
    <w:rsid w:val="000C3C68"/>
    <w:rsid w:val="000C406B"/>
    <w:rsid w:val="000C4272"/>
    <w:rsid w:val="000C529D"/>
    <w:rsid w:val="000C6718"/>
    <w:rsid w:val="000C763B"/>
    <w:rsid w:val="000D01D9"/>
    <w:rsid w:val="000D1029"/>
    <w:rsid w:val="000D173F"/>
    <w:rsid w:val="000D1BB9"/>
    <w:rsid w:val="000D1C86"/>
    <w:rsid w:val="000D4ED6"/>
    <w:rsid w:val="000D7807"/>
    <w:rsid w:val="000D7DA2"/>
    <w:rsid w:val="000E018D"/>
    <w:rsid w:val="000E1797"/>
    <w:rsid w:val="000E23E2"/>
    <w:rsid w:val="000E3106"/>
    <w:rsid w:val="000E3163"/>
    <w:rsid w:val="000E3BB9"/>
    <w:rsid w:val="000E43B4"/>
    <w:rsid w:val="000E61BB"/>
    <w:rsid w:val="000E7035"/>
    <w:rsid w:val="000E70DF"/>
    <w:rsid w:val="000E7BA5"/>
    <w:rsid w:val="000F040B"/>
    <w:rsid w:val="000F0651"/>
    <w:rsid w:val="000F1B1A"/>
    <w:rsid w:val="000F1FC5"/>
    <w:rsid w:val="000F355A"/>
    <w:rsid w:val="000F365E"/>
    <w:rsid w:val="000F41E6"/>
    <w:rsid w:val="000F41F3"/>
    <w:rsid w:val="000F4BCE"/>
    <w:rsid w:val="000F4DA9"/>
    <w:rsid w:val="000F569B"/>
    <w:rsid w:val="000F5CCE"/>
    <w:rsid w:val="000F5DC2"/>
    <w:rsid w:val="000F6383"/>
    <w:rsid w:val="000F65E2"/>
    <w:rsid w:val="000F6F27"/>
    <w:rsid w:val="00101512"/>
    <w:rsid w:val="00103CE7"/>
    <w:rsid w:val="00104A57"/>
    <w:rsid w:val="00104EF9"/>
    <w:rsid w:val="0010540F"/>
    <w:rsid w:val="00105555"/>
    <w:rsid w:val="001057F5"/>
    <w:rsid w:val="0010621C"/>
    <w:rsid w:val="001067BD"/>
    <w:rsid w:val="00106E02"/>
    <w:rsid w:val="0011202E"/>
    <w:rsid w:val="00113533"/>
    <w:rsid w:val="0011423F"/>
    <w:rsid w:val="00114A9A"/>
    <w:rsid w:val="00115B28"/>
    <w:rsid w:val="00115D6B"/>
    <w:rsid w:val="001218D2"/>
    <w:rsid w:val="00121C74"/>
    <w:rsid w:val="00121C7C"/>
    <w:rsid w:val="00122036"/>
    <w:rsid w:val="00122712"/>
    <w:rsid w:val="00123B22"/>
    <w:rsid w:val="001248A7"/>
    <w:rsid w:val="00124A16"/>
    <w:rsid w:val="0012604D"/>
    <w:rsid w:val="00127E40"/>
    <w:rsid w:val="001301E9"/>
    <w:rsid w:val="001305B9"/>
    <w:rsid w:val="00131A4C"/>
    <w:rsid w:val="00132015"/>
    <w:rsid w:val="00132934"/>
    <w:rsid w:val="00134425"/>
    <w:rsid w:val="00134A06"/>
    <w:rsid w:val="00134CA9"/>
    <w:rsid w:val="00134D39"/>
    <w:rsid w:val="00134E17"/>
    <w:rsid w:val="00135F51"/>
    <w:rsid w:val="001376A4"/>
    <w:rsid w:val="00137E4A"/>
    <w:rsid w:val="0014028A"/>
    <w:rsid w:val="00143BA9"/>
    <w:rsid w:val="001442C3"/>
    <w:rsid w:val="00144307"/>
    <w:rsid w:val="00144E70"/>
    <w:rsid w:val="0014525A"/>
    <w:rsid w:val="001457C2"/>
    <w:rsid w:val="00145D41"/>
    <w:rsid w:val="00147ADC"/>
    <w:rsid w:val="00150148"/>
    <w:rsid w:val="00150A9D"/>
    <w:rsid w:val="00151C1D"/>
    <w:rsid w:val="00152B98"/>
    <w:rsid w:val="00154A6E"/>
    <w:rsid w:val="00154B96"/>
    <w:rsid w:val="00154D5F"/>
    <w:rsid w:val="00156A1A"/>
    <w:rsid w:val="00156A67"/>
    <w:rsid w:val="00156C15"/>
    <w:rsid w:val="00156EC2"/>
    <w:rsid w:val="00157365"/>
    <w:rsid w:val="001575D1"/>
    <w:rsid w:val="00161673"/>
    <w:rsid w:val="001619A0"/>
    <w:rsid w:val="001621FB"/>
    <w:rsid w:val="0016333C"/>
    <w:rsid w:val="00163481"/>
    <w:rsid w:val="00163CFA"/>
    <w:rsid w:val="00165621"/>
    <w:rsid w:val="0016576C"/>
    <w:rsid w:val="00166196"/>
    <w:rsid w:val="001669FA"/>
    <w:rsid w:val="00167337"/>
    <w:rsid w:val="00170406"/>
    <w:rsid w:val="00170CED"/>
    <w:rsid w:val="0017172E"/>
    <w:rsid w:val="00172855"/>
    <w:rsid w:val="00172F75"/>
    <w:rsid w:val="001732F7"/>
    <w:rsid w:val="001747A9"/>
    <w:rsid w:val="00174A21"/>
    <w:rsid w:val="001753CB"/>
    <w:rsid w:val="00175DD0"/>
    <w:rsid w:val="0018066E"/>
    <w:rsid w:val="00180C4D"/>
    <w:rsid w:val="00183384"/>
    <w:rsid w:val="00183B95"/>
    <w:rsid w:val="00186030"/>
    <w:rsid w:val="00186327"/>
    <w:rsid w:val="001878F0"/>
    <w:rsid w:val="001905FC"/>
    <w:rsid w:val="00190EC8"/>
    <w:rsid w:val="00191211"/>
    <w:rsid w:val="001913D0"/>
    <w:rsid w:val="0019558A"/>
    <w:rsid w:val="001955E4"/>
    <w:rsid w:val="001961DA"/>
    <w:rsid w:val="00196DC4"/>
    <w:rsid w:val="00197424"/>
    <w:rsid w:val="00197E5E"/>
    <w:rsid w:val="00197FD6"/>
    <w:rsid w:val="001A0886"/>
    <w:rsid w:val="001A0E89"/>
    <w:rsid w:val="001A1028"/>
    <w:rsid w:val="001A2F26"/>
    <w:rsid w:val="001A2F46"/>
    <w:rsid w:val="001A4F22"/>
    <w:rsid w:val="001A5921"/>
    <w:rsid w:val="001A61D5"/>
    <w:rsid w:val="001A68E8"/>
    <w:rsid w:val="001A6FA8"/>
    <w:rsid w:val="001A6FE3"/>
    <w:rsid w:val="001A78F7"/>
    <w:rsid w:val="001B02BE"/>
    <w:rsid w:val="001B051A"/>
    <w:rsid w:val="001B2EB2"/>
    <w:rsid w:val="001B4518"/>
    <w:rsid w:val="001B45B2"/>
    <w:rsid w:val="001B4685"/>
    <w:rsid w:val="001B53BE"/>
    <w:rsid w:val="001B5FFB"/>
    <w:rsid w:val="001B661D"/>
    <w:rsid w:val="001B7632"/>
    <w:rsid w:val="001C1E92"/>
    <w:rsid w:val="001C1FA6"/>
    <w:rsid w:val="001C243F"/>
    <w:rsid w:val="001C504B"/>
    <w:rsid w:val="001C504F"/>
    <w:rsid w:val="001C520F"/>
    <w:rsid w:val="001C5C71"/>
    <w:rsid w:val="001C6CF3"/>
    <w:rsid w:val="001C71CC"/>
    <w:rsid w:val="001C7EB6"/>
    <w:rsid w:val="001D1566"/>
    <w:rsid w:val="001D26BE"/>
    <w:rsid w:val="001D5400"/>
    <w:rsid w:val="001D6574"/>
    <w:rsid w:val="001D79D1"/>
    <w:rsid w:val="001D7BA2"/>
    <w:rsid w:val="001E000D"/>
    <w:rsid w:val="001E0760"/>
    <w:rsid w:val="001E2480"/>
    <w:rsid w:val="001E2B4E"/>
    <w:rsid w:val="001E2F13"/>
    <w:rsid w:val="001E4D53"/>
    <w:rsid w:val="001E57E3"/>
    <w:rsid w:val="001E7439"/>
    <w:rsid w:val="001F08E9"/>
    <w:rsid w:val="001F0FE0"/>
    <w:rsid w:val="001F1822"/>
    <w:rsid w:val="001F25A8"/>
    <w:rsid w:val="001F3B36"/>
    <w:rsid w:val="001F3B77"/>
    <w:rsid w:val="001F4FFE"/>
    <w:rsid w:val="001F52FD"/>
    <w:rsid w:val="001F7A4C"/>
    <w:rsid w:val="001F7DA4"/>
    <w:rsid w:val="0020049C"/>
    <w:rsid w:val="00201554"/>
    <w:rsid w:val="002059F6"/>
    <w:rsid w:val="002074B0"/>
    <w:rsid w:val="002077D1"/>
    <w:rsid w:val="002104EC"/>
    <w:rsid w:val="00210BF3"/>
    <w:rsid w:val="002127EC"/>
    <w:rsid w:val="0021394B"/>
    <w:rsid w:val="00215425"/>
    <w:rsid w:val="00217D03"/>
    <w:rsid w:val="00220A62"/>
    <w:rsid w:val="00220F94"/>
    <w:rsid w:val="0022198C"/>
    <w:rsid w:val="002222BC"/>
    <w:rsid w:val="002223A7"/>
    <w:rsid w:val="00222782"/>
    <w:rsid w:val="002228AE"/>
    <w:rsid w:val="00222CA8"/>
    <w:rsid w:val="002239CF"/>
    <w:rsid w:val="0022482F"/>
    <w:rsid w:val="00224F93"/>
    <w:rsid w:val="0022505A"/>
    <w:rsid w:val="0022551A"/>
    <w:rsid w:val="00225C84"/>
    <w:rsid w:val="00226F87"/>
    <w:rsid w:val="002273B0"/>
    <w:rsid w:val="00230B8E"/>
    <w:rsid w:val="00231B2F"/>
    <w:rsid w:val="00232CAF"/>
    <w:rsid w:val="00234405"/>
    <w:rsid w:val="00235E7C"/>
    <w:rsid w:val="002368E7"/>
    <w:rsid w:val="0023734E"/>
    <w:rsid w:val="0023742A"/>
    <w:rsid w:val="002375F7"/>
    <w:rsid w:val="00237B46"/>
    <w:rsid w:val="002402C4"/>
    <w:rsid w:val="00242919"/>
    <w:rsid w:val="00242A5E"/>
    <w:rsid w:val="00242C7C"/>
    <w:rsid w:val="002432CF"/>
    <w:rsid w:val="00243836"/>
    <w:rsid w:val="002446A8"/>
    <w:rsid w:val="002457C2"/>
    <w:rsid w:val="0024725E"/>
    <w:rsid w:val="002500A8"/>
    <w:rsid w:val="0025046A"/>
    <w:rsid w:val="00250F61"/>
    <w:rsid w:val="00251A41"/>
    <w:rsid w:val="00251F32"/>
    <w:rsid w:val="002520CD"/>
    <w:rsid w:val="00252239"/>
    <w:rsid w:val="00252860"/>
    <w:rsid w:val="00252B0F"/>
    <w:rsid w:val="00253302"/>
    <w:rsid w:val="00253541"/>
    <w:rsid w:val="00253A00"/>
    <w:rsid w:val="00254300"/>
    <w:rsid w:val="00254E4F"/>
    <w:rsid w:val="00255447"/>
    <w:rsid w:val="0025794F"/>
    <w:rsid w:val="00261238"/>
    <w:rsid w:val="0026177A"/>
    <w:rsid w:val="002618EA"/>
    <w:rsid w:val="00261CC5"/>
    <w:rsid w:val="002624AB"/>
    <w:rsid w:val="0026322B"/>
    <w:rsid w:val="002643DE"/>
    <w:rsid w:val="00264CD1"/>
    <w:rsid w:val="00264E13"/>
    <w:rsid w:val="00266290"/>
    <w:rsid w:val="00266C0F"/>
    <w:rsid w:val="00267097"/>
    <w:rsid w:val="002702B7"/>
    <w:rsid w:val="002702F2"/>
    <w:rsid w:val="002726D1"/>
    <w:rsid w:val="0027470B"/>
    <w:rsid w:val="00274AF4"/>
    <w:rsid w:val="00274CF0"/>
    <w:rsid w:val="002751D3"/>
    <w:rsid w:val="00275B26"/>
    <w:rsid w:val="002769DB"/>
    <w:rsid w:val="00276B18"/>
    <w:rsid w:val="00276D3A"/>
    <w:rsid w:val="00277BE6"/>
    <w:rsid w:val="00280526"/>
    <w:rsid w:val="00280587"/>
    <w:rsid w:val="00280862"/>
    <w:rsid w:val="00281A9F"/>
    <w:rsid w:val="00281EB6"/>
    <w:rsid w:val="002832F3"/>
    <w:rsid w:val="00285B21"/>
    <w:rsid w:val="002866DF"/>
    <w:rsid w:val="00286F07"/>
    <w:rsid w:val="002872E3"/>
    <w:rsid w:val="00287C9B"/>
    <w:rsid w:val="00291AB0"/>
    <w:rsid w:val="00291B32"/>
    <w:rsid w:val="002930A4"/>
    <w:rsid w:val="00294047"/>
    <w:rsid w:val="002952C0"/>
    <w:rsid w:val="0029556E"/>
    <w:rsid w:val="00295F98"/>
    <w:rsid w:val="00296C0C"/>
    <w:rsid w:val="0029733E"/>
    <w:rsid w:val="002976F5"/>
    <w:rsid w:val="002A0916"/>
    <w:rsid w:val="002A0AAF"/>
    <w:rsid w:val="002A0D76"/>
    <w:rsid w:val="002A1349"/>
    <w:rsid w:val="002A1EFB"/>
    <w:rsid w:val="002A22BB"/>
    <w:rsid w:val="002A3B09"/>
    <w:rsid w:val="002A50CA"/>
    <w:rsid w:val="002A77B9"/>
    <w:rsid w:val="002A7E9E"/>
    <w:rsid w:val="002B000C"/>
    <w:rsid w:val="002B056E"/>
    <w:rsid w:val="002B087C"/>
    <w:rsid w:val="002B1F1E"/>
    <w:rsid w:val="002B378B"/>
    <w:rsid w:val="002B4040"/>
    <w:rsid w:val="002B4A61"/>
    <w:rsid w:val="002B5361"/>
    <w:rsid w:val="002B5E95"/>
    <w:rsid w:val="002C02AB"/>
    <w:rsid w:val="002C0425"/>
    <w:rsid w:val="002C08D2"/>
    <w:rsid w:val="002C168F"/>
    <w:rsid w:val="002C3460"/>
    <w:rsid w:val="002C435A"/>
    <w:rsid w:val="002C6E25"/>
    <w:rsid w:val="002C7A24"/>
    <w:rsid w:val="002C7BE4"/>
    <w:rsid w:val="002D07C6"/>
    <w:rsid w:val="002D0D3D"/>
    <w:rsid w:val="002D1393"/>
    <w:rsid w:val="002D26D1"/>
    <w:rsid w:val="002D39DA"/>
    <w:rsid w:val="002D4305"/>
    <w:rsid w:val="002E1C69"/>
    <w:rsid w:val="002E1F2E"/>
    <w:rsid w:val="002E271B"/>
    <w:rsid w:val="002E28BB"/>
    <w:rsid w:val="002E2F94"/>
    <w:rsid w:val="002E3830"/>
    <w:rsid w:val="002E3C7A"/>
    <w:rsid w:val="002E6491"/>
    <w:rsid w:val="002E6EB4"/>
    <w:rsid w:val="002F04F0"/>
    <w:rsid w:val="002F0A79"/>
    <w:rsid w:val="002F1155"/>
    <w:rsid w:val="002F2192"/>
    <w:rsid w:val="002F2DBF"/>
    <w:rsid w:val="002F2EF4"/>
    <w:rsid w:val="002F3C76"/>
    <w:rsid w:val="002F3ED3"/>
    <w:rsid w:val="002F52B4"/>
    <w:rsid w:val="002F5636"/>
    <w:rsid w:val="002F5712"/>
    <w:rsid w:val="002F5E5D"/>
    <w:rsid w:val="002F6A42"/>
    <w:rsid w:val="002F701B"/>
    <w:rsid w:val="002F7486"/>
    <w:rsid w:val="00302086"/>
    <w:rsid w:val="003036B1"/>
    <w:rsid w:val="003041A2"/>
    <w:rsid w:val="00307329"/>
    <w:rsid w:val="00307C4F"/>
    <w:rsid w:val="00307C93"/>
    <w:rsid w:val="00312931"/>
    <w:rsid w:val="003149EA"/>
    <w:rsid w:val="00315131"/>
    <w:rsid w:val="00315529"/>
    <w:rsid w:val="00316DAF"/>
    <w:rsid w:val="00317F7E"/>
    <w:rsid w:val="00321E90"/>
    <w:rsid w:val="003247B1"/>
    <w:rsid w:val="00325C4D"/>
    <w:rsid w:val="00326BA2"/>
    <w:rsid w:val="00327396"/>
    <w:rsid w:val="00330547"/>
    <w:rsid w:val="00331119"/>
    <w:rsid w:val="00331A4B"/>
    <w:rsid w:val="0033211E"/>
    <w:rsid w:val="0033234A"/>
    <w:rsid w:val="00332546"/>
    <w:rsid w:val="003327BD"/>
    <w:rsid w:val="003327CF"/>
    <w:rsid w:val="00336C6C"/>
    <w:rsid w:val="00336D34"/>
    <w:rsid w:val="00337293"/>
    <w:rsid w:val="003377B2"/>
    <w:rsid w:val="003406B1"/>
    <w:rsid w:val="00340973"/>
    <w:rsid w:val="003412BC"/>
    <w:rsid w:val="00343202"/>
    <w:rsid w:val="00343EA2"/>
    <w:rsid w:val="00344C85"/>
    <w:rsid w:val="00344F01"/>
    <w:rsid w:val="003455B6"/>
    <w:rsid w:val="003479CB"/>
    <w:rsid w:val="0035536E"/>
    <w:rsid w:val="003554E4"/>
    <w:rsid w:val="00355DAE"/>
    <w:rsid w:val="00356B48"/>
    <w:rsid w:val="00357124"/>
    <w:rsid w:val="003626F3"/>
    <w:rsid w:val="00364696"/>
    <w:rsid w:val="00364EC6"/>
    <w:rsid w:val="00364F33"/>
    <w:rsid w:val="00366161"/>
    <w:rsid w:val="00366859"/>
    <w:rsid w:val="00367A91"/>
    <w:rsid w:val="00370051"/>
    <w:rsid w:val="0037056B"/>
    <w:rsid w:val="00371E60"/>
    <w:rsid w:val="00371FBD"/>
    <w:rsid w:val="00373732"/>
    <w:rsid w:val="00373CFB"/>
    <w:rsid w:val="0037414B"/>
    <w:rsid w:val="003745CB"/>
    <w:rsid w:val="003749D0"/>
    <w:rsid w:val="00374C91"/>
    <w:rsid w:val="00374E86"/>
    <w:rsid w:val="0037613B"/>
    <w:rsid w:val="00376189"/>
    <w:rsid w:val="0037671A"/>
    <w:rsid w:val="003777FF"/>
    <w:rsid w:val="00377AFE"/>
    <w:rsid w:val="00377F1C"/>
    <w:rsid w:val="003802AD"/>
    <w:rsid w:val="003813CE"/>
    <w:rsid w:val="00381BE3"/>
    <w:rsid w:val="00383F01"/>
    <w:rsid w:val="003850D6"/>
    <w:rsid w:val="00387921"/>
    <w:rsid w:val="00392501"/>
    <w:rsid w:val="003939FD"/>
    <w:rsid w:val="00394E02"/>
    <w:rsid w:val="00395821"/>
    <w:rsid w:val="003964FF"/>
    <w:rsid w:val="00396984"/>
    <w:rsid w:val="003973AA"/>
    <w:rsid w:val="003976B0"/>
    <w:rsid w:val="0039787C"/>
    <w:rsid w:val="00397DDD"/>
    <w:rsid w:val="003A0315"/>
    <w:rsid w:val="003A07A7"/>
    <w:rsid w:val="003A07C5"/>
    <w:rsid w:val="003A261F"/>
    <w:rsid w:val="003A509F"/>
    <w:rsid w:val="003A5335"/>
    <w:rsid w:val="003A5815"/>
    <w:rsid w:val="003B068E"/>
    <w:rsid w:val="003B07B7"/>
    <w:rsid w:val="003B2332"/>
    <w:rsid w:val="003B258E"/>
    <w:rsid w:val="003B4209"/>
    <w:rsid w:val="003B491F"/>
    <w:rsid w:val="003B4D6C"/>
    <w:rsid w:val="003B552F"/>
    <w:rsid w:val="003B6609"/>
    <w:rsid w:val="003B6B5B"/>
    <w:rsid w:val="003B6BBF"/>
    <w:rsid w:val="003B7CCC"/>
    <w:rsid w:val="003C037F"/>
    <w:rsid w:val="003C061A"/>
    <w:rsid w:val="003C1D2C"/>
    <w:rsid w:val="003C234C"/>
    <w:rsid w:val="003C2DFD"/>
    <w:rsid w:val="003C3233"/>
    <w:rsid w:val="003C44FB"/>
    <w:rsid w:val="003C4B1E"/>
    <w:rsid w:val="003C534D"/>
    <w:rsid w:val="003D0603"/>
    <w:rsid w:val="003D125E"/>
    <w:rsid w:val="003D1E7A"/>
    <w:rsid w:val="003D3AF1"/>
    <w:rsid w:val="003D6865"/>
    <w:rsid w:val="003D7707"/>
    <w:rsid w:val="003D797B"/>
    <w:rsid w:val="003D7E70"/>
    <w:rsid w:val="003E052F"/>
    <w:rsid w:val="003E07DA"/>
    <w:rsid w:val="003E0937"/>
    <w:rsid w:val="003E095A"/>
    <w:rsid w:val="003E1380"/>
    <w:rsid w:val="003E19CC"/>
    <w:rsid w:val="003E1DF5"/>
    <w:rsid w:val="003E362A"/>
    <w:rsid w:val="003E4A04"/>
    <w:rsid w:val="003E4EBC"/>
    <w:rsid w:val="003E7348"/>
    <w:rsid w:val="003E74E7"/>
    <w:rsid w:val="003E7B6A"/>
    <w:rsid w:val="003E7FC7"/>
    <w:rsid w:val="003F0D3C"/>
    <w:rsid w:val="003F11B6"/>
    <w:rsid w:val="003F1D80"/>
    <w:rsid w:val="003F2718"/>
    <w:rsid w:val="003F28EF"/>
    <w:rsid w:val="003F4B10"/>
    <w:rsid w:val="003F4F92"/>
    <w:rsid w:val="003F575C"/>
    <w:rsid w:val="003F60C7"/>
    <w:rsid w:val="003F6C46"/>
    <w:rsid w:val="003F7333"/>
    <w:rsid w:val="0040090F"/>
    <w:rsid w:val="004014CD"/>
    <w:rsid w:val="004027A2"/>
    <w:rsid w:val="00403831"/>
    <w:rsid w:val="00403972"/>
    <w:rsid w:val="004045E0"/>
    <w:rsid w:val="00404A47"/>
    <w:rsid w:val="00404C94"/>
    <w:rsid w:val="0040543E"/>
    <w:rsid w:val="00406020"/>
    <w:rsid w:val="00410661"/>
    <w:rsid w:val="00412EA5"/>
    <w:rsid w:val="00413FFB"/>
    <w:rsid w:val="0041535A"/>
    <w:rsid w:val="004202E7"/>
    <w:rsid w:val="00420CD4"/>
    <w:rsid w:val="00420F0E"/>
    <w:rsid w:val="00423310"/>
    <w:rsid w:val="00427263"/>
    <w:rsid w:val="004273BB"/>
    <w:rsid w:val="00430098"/>
    <w:rsid w:val="00430E4D"/>
    <w:rsid w:val="00431CA0"/>
    <w:rsid w:val="00431EFD"/>
    <w:rsid w:val="0043323F"/>
    <w:rsid w:val="004343DD"/>
    <w:rsid w:val="00434F38"/>
    <w:rsid w:val="0043530E"/>
    <w:rsid w:val="00437767"/>
    <w:rsid w:val="0044075D"/>
    <w:rsid w:val="00441CCC"/>
    <w:rsid w:val="00444102"/>
    <w:rsid w:val="00446BF2"/>
    <w:rsid w:val="00446CAA"/>
    <w:rsid w:val="00446E48"/>
    <w:rsid w:val="004476B5"/>
    <w:rsid w:val="004500D9"/>
    <w:rsid w:val="00450219"/>
    <w:rsid w:val="00452EE2"/>
    <w:rsid w:val="0045445B"/>
    <w:rsid w:val="00454C8C"/>
    <w:rsid w:val="004552C0"/>
    <w:rsid w:val="0045590A"/>
    <w:rsid w:val="004566CB"/>
    <w:rsid w:val="00457D33"/>
    <w:rsid w:val="00460248"/>
    <w:rsid w:val="00460CB8"/>
    <w:rsid w:val="00461030"/>
    <w:rsid w:val="00461D3B"/>
    <w:rsid w:val="00461D86"/>
    <w:rsid w:val="00461E4E"/>
    <w:rsid w:val="00463DBA"/>
    <w:rsid w:val="00464701"/>
    <w:rsid w:val="00464C4E"/>
    <w:rsid w:val="00465B49"/>
    <w:rsid w:val="00465CE2"/>
    <w:rsid w:val="0046671C"/>
    <w:rsid w:val="00470DF1"/>
    <w:rsid w:val="004715D8"/>
    <w:rsid w:val="00472B3C"/>
    <w:rsid w:val="0047328C"/>
    <w:rsid w:val="004733C8"/>
    <w:rsid w:val="004744C7"/>
    <w:rsid w:val="00474560"/>
    <w:rsid w:val="0047456A"/>
    <w:rsid w:val="004756FB"/>
    <w:rsid w:val="00476273"/>
    <w:rsid w:val="00477707"/>
    <w:rsid w:val="00480115"/>
    <w:rsid w:val="0048022D"/>
    <w:rsid w:val="004803FE"/>
    <w:rsid w:val="00483094"/>
    <w:rsid w:val="0048320C"/>
    <w:rsid w:val="00484C70"/>
    <w:rsid w:val="00484F8D"/>
    <w:rsid w:val="00484FFE"/>
    <w:rsid w:val="004859A7"/>
    <w:rsid w:val="00486E27"/>
    <w:rsid w:val="00487BF1"/>
    <w:rsid w:val="0049027E"/>
    <w:rsid w:val="0049073E"/>
    <w:rsid w:val="0049077E"/>
    <w:rsid w:val="00490B7D"/>
    <w:rsid w:val="00490E1B"/>
    <w:rsid w:val="0049256B"/>
    <w:rsid w:val="00492ADC"/>
    <w:rsid w:val="00492E29"/>
    <w:rsid w:val="00492F52"/>
    <w:rsid w:val="004945C2"/>
    <w:rsid w:val="0049466A"/>
    <w:rsid w:val="00495118"/>
    <w:rsid w:val="00495745"/>
    <w:rsid w:val="00495E4A"/>
    <w:rsid w:val="0049732B"/>
    <w:rsid w:val="0049745F"/>
    <w:rsid w:val="00497DC3"/>
    <w:rsid w:val="004A05A9"/>
    <w:rsid w:val="004A0E42"/>
    <w:rsid w:val="004A130A"/>
    <w:rsid w:val="004A1BA8"/>
    <w:rsid w:val="004A3658"/>
    <w:rsid w:val="004A383F"/>
    <w:rsid w:val="004A3D44"/>
    <w:rsid w:val="004A536D"/>
    <w:rsid w:val="004A64E0"/>
    <w:rsid w:val="004A6FDB"/>
    <w:rsid w:val="004B0FAC"/>
    <w:rsid w:val="004B1D86"/>
    <w:rsid w:val="004B1E36"/>
    <w:rsid w:val="004B3265"/>
    <w:rsid w:val="004B51A6"/>
    <w:rsid w:val="004B5D5C"/>
    <w:rsid w:val="004C02A8"/>
    <w:rsid w:val="004C4C58"/>
    <w:rsid w:val="004C5075"/>
    <w:rsid w:val="004C51B6"/>
    <w:rsid w:val="004C523F"/>
    <w:rsid w:val="004C5CBE"/>
    <w:rsid w:val="004C6D85"/>
    <w:rsid w:val="004C7EA9"/>
    <w:rsid w:val="004D2297"/>
    <w:rsid w:val="004D23C8"/>
    <w:rsid w:val="004D36AB"/>
    <w:rsid w:val="004D6C16"/>
    <w:rsid w:val="004E0836"/>
    <w:rsid w:val="004E129D"/>
    <w:rsid w:val="004E187E"/>
    <w:rsid w:val="004E268D"/>
    <w:rsid w:val="004E4608"/>
    <w:rsid w:val="004E5590"/>
    <w:rsid w:val="004E690E"/>
    <w:rsid w:val="004E6F3F"/>
    <w:rsid w:val="004F0D53"/>
    <w:rsid w:val="004F107E"/>
    <w:rsid w:val="004F115F"/>
    <w:rsid w:val="004F15B1"/>
    <w:rsid w:val="004F184F"/>
    <w:rsid w:val="004F199A"/>
    <w:rsid w:val="004F1EF2"/>
    <w:rsid w:val="004F2314"/>
    <w:rsid w:val="004F5435"/>
    <w:rsid w:val="004F5899"/>
    <w:rsid w:val="004F5A28"/>
    <w:rsid w:val="004F6797"/>
    <w:rsid w:val="004F6A93"/>
    <w:rsid w:val="004F6E21"/>
    <w:rsid w:val="004F71B8"/>
    <w:rsid w:val="0050019D"/>
    <w:rsid w:val="00500E68"/>
    <w:rsid w:val="0050120F"/>
    <w:rsid w:val="00502D13"/>
    <w:rsid w:val="00503AFD"/>
    <w:rsid w:val="00503D56"/>
    <w:rsid w:val="005049A7"/>
    <w:rsid w:val="00504F84"/>
    <w:rsid w:val="005069C2"/>
    <w:rsid w:val="00506C07"/>
    <w:rsid w:val="00507B34"/>
    <w:rsid w:val="00507DBF"/>
    <w:rsid w:val="00510139"/>
    <w:rsid w:val="005103F7"/>
    <w:rsid w:val="005118CA"/>
    <w:rsid w:val="00513394"/>
    <w:rsid w:val="005138C2"/>
    <w:rsid w:val="005143CB"/>
    <w:rsid w:val="00514695"/>
    <w:rsid w:val="00515077"/>
    <w:rsid w:val="00515919"/>
    <w:rsid w:val="0051618E"/>
    <w:rsid w:val="00516219"/>
    <w:rsid w:val="00516BD8"/>
    <w:rsid w:val="005208E1"/>
    <w:rsid w:val="00521074"/>
    <w:rsid w:val="005215D6"/>
    <w:rsid w:val="00521752"/>
    <w:rsid w:val="00523201"/>
    <w:rsid w:val="005236CD"/>
    <w:rsid w:val="00524E06"/>
    <w:rsid w:val="0052780E"/>
    <w:rsid w:val="005305FF"/>
    <w:rsid w:val="005309E3"/>
    <w:rsid w:val="00530FD2"/>
    <w:rsid w:val="005314A2"/>
    <w:rsid w:val="00533F52"/>
    <w:rsid w:val="00534AD6"/>
    <w:rsid w:val="0053596E"/>
    <w:rsid w:val="00535C10"/>
    <w:rsid w:val="00535E12"/>
    <w:rsid w:val="00535E82"/>
    <w:rsid w:val="005408C4"/>
    <w:rsid w:val="00540DF4"/>
    <w:rsid w:val="00541468"/>
    <w:rsid w:val="00542CD2"/>
    <w:rsid w:val="00544C15"/>
    <w:rsid w:val="00545493"/>
    <w:rsid w:val="00546593"/>
    <w:rsid w:val="00546BBC"/>
    <w:rsid w:val="0054703F"/>
    <w:rsid w:val="00547A61"/>
    <w:rsid w:val="00547EB3"/>
    <w:rsid w:val="005509DA"/>
    <w:rsid w:val="00550BAE"/>
    <w:rsid w:val="00552B86"/>
    <w:rsid w:val="00553077"/>
    <w:rsid w:val="00555E5E"/>
    <w:rsid w:val="005568EB"/>
    <w:rsid w:val="00556F72"/>
    <w:rsid w:val="00557E78"/>
    <w:rsid w:val="0056038A"/>
    <w:rsid w:val="005615C6"/>
    <w:rsid w:val="005618E0"/>
    <w:rsid w:val="00565DFF"/>
    <w:rsid w:val="005666A3"/>
    <w:rsid w:val="00567985"/>
    <w:rsid w:val="00570B07"/>
    <w:rsid w:val="005713E5"/>
    <w:rsid w:val="00571F88"/>
    <w:rsid w:val="00572C3D"/>
    <w:rsid w:val="00572DF7"/>
    <w:rsid w:val="00574D9C"/>
    <w:rsid w:val="00574F7C"/>
    <w:rsid w:val="00576699"/>
    <w:rsid w:val="0057686F"/>
    <w:rsid w:val="0057706E"/>
    <w:rsid w:val="00577B6D"/>
    <w:rsid w:val="00580A58"/>
    <w:rsid w:val="00581FE2"/>
    <w:rsid w:val="005821DA"/>
    <w:rsid w:val="00582B65"/>
    <w:rsid w:val="005832EC"/>
    <w:rsid w:val="00584659"/>
    <w:rsid w:val="00585087"/>
    <w:rsid w:val="00585F4D"/>
    <w:rsid w:val="0058753C"/>
    <w:rsid w:val="00587BB5"/>
    <w:rsid w:val="00591828"/>
    <w:rsid w:val="00591C23"/>
    <w:rsid w:val="00592CA6"/>
    <w:rsid w:val="0059518C"/>
    <w:rsid w:val="00595ED1"/>
    <w:rsid w:val="0059706B"/>
    <w:rsid w:val="0059721B"/>
    <w:rsid w:val="005A1D7F"/>
    <w:rsid w:val="005A2765"/>
    <w:rsid w:val="005A2B33"/>
    <w:rsid w:val="005A2FBC"/>
    <w:rsid w:val="005A303A"/>
    <w:rsid w:val="005A732E"/>
    <w:rsid w:val="005A7D6B"/>
    <w:rsid w:val="005B0863"/>
    <w:rsid w:val="005B190F"/>
    <w:rsid w:val="005B1BCB"/>
    <w:rsid w:val="005B2ACA"/>
    <w:rsid w:val="005B3000"/>
    <w:rsid w:val="005B323B"/>
    <w:rsid w:val="005B4F5F"/>
    <w:rsid w:val="005B5798"/>
    <w:rsid w:val="005B69FB"/>
    <w:rsid w:val="005B7418"/>
    <w:rsid w:val="005B7765"/>
    <w:rsid w:val="005C089A"/>
    <w:rsid w:val="005C0B4D"/>
    <w:rsid w:val="005C15D3"/>
    <w:rsid w:val="005C1DB9"/>
    <w:rsid w:val="005C2BF7"/>
    <w:rsid w:val="005C37A1"/>
    <w:rsid w:val="005C3D85"/>
    <w:rsid w:val="005C5AD6"/>
    <w:rsid w:val="005C5F14"/>
    <w:rsid w:val="005C5F84"/>
    <w:rsid w:val="005C6760"/>
    <w:rsid w:val="005C6810"/>
    <w:rsid w:val="005C69E7"/>
    <w:rsid w:val="005C71CB"/>
    <w:rsid w:val="005D129F"/>
    <w:rsid w:val="005D13C0"/>
    <w:rsid w:val="005D1802"/>
    <w:rsid w:val="005D2989"/>
    <w:rsid w:val="005D2BBA"/>
    <w:rsid w:val="005D4838"/>
    <w:rsid w:val="005D5310"/>
    <w:rsid w:val="005D5CB9"/>
    <w:rsid w:val="005D5EC9"/>
    <w:rsid w:val="005D7C98"/>
    <w:rsid w:val="005D7E58"/>
    <w:rsid w:val="005D7F11"/>
    <w:rsid w:val="005E0396"/>
    <w:rsid w:val="005E03C4"/>
    <w:rsid w:val="005E19F7"/>
    <w:rsid w:val="005E1E45"/>
    <w:rsid w:val="005E3405"/>
    <w:rsid w:val="005E4030"/>
    <w:rsid w:val="005E5ADD"/>
    <w:rsid w:val="005E78D0"/>
    <w:rsid w:val="005E7E23"/>
    <w:rsid w:val="005E7ED8"/>
    <w:rsid w:val="005F01E3"/>
    <w:rsid w:val="005F1CF1"/>
    <w:rsid w:val="005F3364"/>
    <w:rsid w:val="005F346B"/>
    <w:rsid w:val="005F3553"/>
    <w:rsid w:val="005F3BC0"/>
    <w:rsid w:val="005F40AD"/>
    <w:rsid w:val="005F7449"/>
    <w:rsid w:val="00600254"/>
    <w:rsid w:val="0060060B"/>
    <w:rsid w:val="00606178"/>
    <w:rsid w:val="006061FC"/>
    <w:rsid w:val="00606BA7"/>
    <w:rsid w:val="00607261"/>
    <w:rsid w:val="006102A5"/>
    <w:rsid w:val="00611DA2"/>
    <w:rsid w:val="00613823"/>
    <w:rsid w:val="0061642D"/>
    <w:rsid w:val="00620AC8"/>
    <w:rsid w:val="00620AF1"/>
    <w:rsid w:val="00620ECA"/>
    <w:rsid w:val="00621D50"/>
    <w:rsid w:val="006232C9"/>
    <w:rsid w:val="00623788"/>
    <w:rsid w:val="00624222"/>
    <w:rsid w:val="006247C1"/>
    <w:rsid w:val="0062490B"/>
    <w:rsid w:val="00624FFA"/>
    <w:rsid w:val="006257C6"/>
    <w:rsid w:val="00625929"/>
    <w:rsid w:val="00625E88"/>
    <w:rsid w:val="0062758A"/>
    <w:rsid w:val="0062773D"/>
    <w:rsid w:val="0062782D"/>
    <w:rsid w:val="00630ED4"/>
    <w:rsid w:val="00631090"/>
    <w:rsid w:val="00632D91"/>
    <w:rsid w:val="00633ACE"/>
    <w:rsid w:val="00634EE5"/>
    <w:rsid w:val="00635BB4"/>
    <w:rsid w:val="006371F9"/>
    <w:rsid w:val="00637EE4"/>
    <w:rsid w:val="006402E9"/>
    <w:rsid w:val="0064186B"/>
    <w:rsid w:val="00641E93"/>
    <w:rsid w:val="006440B2"/>
    <w:rsid w:val="00644F1E"/>
    <w:rsid w:val="00645BF2"/>
    <w:rsid w:val="00646854"/>
    <w:rsid w:val="00646E31"/>
    <w:rsid w:val="00646EF9"/>
    <w:rsid w:val="00647BA5"/>
    <w:rsid w:val="00651310"/>
    <w:rsid w:val="0065147D"/>
    <w:rsid w:val="00651709"/>
    <w:rsid w:val="00652073"/>
    <w:rsid w:val="006523B0"/>
    <w:rsid w:val="0065357D"/>
    <w:rsid w:val="006535CC"/>
    <w:rsid w:val="00654126"/>
    <w:rsid w:val="0065552A"/>
    <w:rsid w:val="0066370A"/>
    <w:rsid w:val="00663A2A"/>
    <w:rsid w:val="006648CD"/>
    <w:rsid w:val="00665AB0"/>
    <w:rsid w:val="00666C08"/>
    <w:rsid w:val="00667314"/>
    <w:rsid w:val="00670E87"/>
    <w:rsid w:val="006714E3"/>
    <w:rsid w:val="00672400"/>
    <w:rsid w:val="0067330E"/>
    <w:rsid w:val="00673466"/>
    <w:rsid w:val="00673D9A"/>
    <w:rsid w:val="006755D6"/>
    <w:rsid w:val="00675C01"/>
    <w:rsid w:val="00676CF1"/>
    <w:rsid w:val="00677AD0"/>
    <w:rsid w:val="00680235"/>
    <w:rsid w:val="00680DE0"/>
    <w:rsid w:val="00681508"/>
    <w:rsid w:val="006828CD"/>
    <w:rsid w:val="0068374A"/>
    <w:rsid w:val="006840D0"/>
    <w:rsid w:val="006848B1"/>
    <w:rsid w:val="006848EE"/>
    <w:rsid w:val="00685B25"/>
    <w:rsid w:val="00690688"/>
    <w:rsid w:val="00690EB2"/>
    <w:rsid w:val="00691815"/>
    <w:rsid w:val="00691D9A"/>
    <w:rsid w:val="00694DFA"/>
    <w:rsid w:val="00695263"/>
    <w:rsid w:val="006955A2"/>
    <w:rsid w:val="00695C2A"/>
    <w:rsid w:val="006A0017"/>
    <w:rsid w:val="006A0025"/>
    <w:rsid w:val="006A0239"/>
    <w:rsid w:val="006A0A43"/>
    <w:rsid w:val="006A0FA3"/>
    <w:rsid w:val="006A1E0A"/>
    <w:rsid w:val="006A44F6"/>
    <w:rsid w:val="006A51EE"/>
    <w:rsid w:val="006A6BAD"/>
    <w:rsid w:val="006A6C34"/>
    <w:rsid w:val="006B02C9"/>
    <w:rsid w:val="006B19DF"/>
    <w:rsid w:val="006B2477"/>
    <w:rsid w:val="006B2A15"/>
    <w:rsid w:val="006B2A63"/>
    <w:rsid w:val="006B2E5F"/>
    <w:rsid w:val="006B33DE"/>
    <w:rsid w:val="006B3BAA"/>
    <w:rsid w:val="006B52A5"/>
    <w:rsid w:val="006B556C"/>
    <w:rsid w:val="006B6820"/>
    <w:rsid w:val="006B7D17"/>
    <w:rsid w:val="006C0091"/>
    <w:rsid w:val="006C03E5"/>
    <w:rsid w:val="006C12B5"/>
    <w:rsid w:val="006C3142"/>
    <w:rsid w:val="006C3FD5"/>
    <w:rsid w:val="006C4779"/>
    <w:rsid w:val="006C4D2C"/>
    <w:rsid w:val="006C7260"/>
    <w:rsid w:val="006C7DDF"/>
    <w:rsid w:val="006D2EE1"/>
    <w:rsid w:val="006D315D"/>
    <w:rsid w:val="006D3DD6"/>
    <w:rsid w:val="006D4844"/>
    <w:rsid w:val="006D4FF2"/>
    <w:rsid w:val="006D5EC9"/>
    <w:rsid w:val="006D6033"/>
    <w:rsid w:val="006D652E"/>
    <w:rsid w:val="006D7C1D"/>
    <w:rsid w:val="006D7E0A"/>
    <w:rsid w:val="006E08F2"/>
    <w:rsid w:val="006E20A4"/>
    <w:rsid w:val="006E2C0C"/>
    <w:rsid w:val="006E31EC"/>
    <w:rsid w:val="006E431D"/>
    <w:rsid w:val="006E5968"/>
    <w:rsid w:val="006E6107"/>
    <w:rsid w:val="006E6388"/>
    <w:rsid w:val="006E68BA"/>
    <w:rsid w:val="006E7566"/>
    <w:rsid w:val="006E77F6"/>
    <w:rsid w:val="006F0979"/>
    <w:rsid w:val="006F17EA"/>
    <w:rsid w:val="006F4C7B"/>
    <w:rsid w:val="006F53AD"/>
    <w:rsid w:val="006F5522"/>
    <w:rsid w:val="006F62B3"/>
    <w:rsid w:val="006F6696"/>
    <w:rsid w:val="006F70F7"/>
    <w:rsid w:val="006F72E6"/>
    <w:rsid w:val="007012F1"/>
    <w:rsid w:val="00701DE5"/>
    <w:rsid w:val="00701F4D"/>
    <w:rsid w:val="00702604"/>
    <w:rsid w:val="007045EF"/>
    <w:rsid w:val="00704BEF"/>
    <w:rsid w:val="00704DF1"/>
    <w:rsid w:val="00704F4D"/>
    <w:rsid w:val="00705379"/>
    <w:rsid w:val="00705D0D"/>
    <w:rsid w:val="00705E82"/>
    <w:rsid w:val="00707367"/>
    <w:rsid w:val="007076CF"/>
    <w:rsid w:val="00707D43"/>
    <w:rsid w:val="00713017"/>
    <w:rsid w:val="00716045"/>
    <w:rsid w:val="00716F8B"/>
    <w:rsid w:val="00717454"/>
    <w:rsid w:val="007212B3"/>
    <w:rsid w:val="00721C44"/>
    <w:rsid w:val="00721CF5"/>
    <w:rsid w:val="00722DC5"/>
    <w:rsid w:val="0072304C"/>
    <w:rsid w:val="00723274"/>
    <w:rsid w:val="00724350"/>
    <w:rsid w:val="0072527C"/>
    <w:rsid w:val="00725BC3"/>
    <w:rsid w:val="00726705"/>
    <w:rsid w:val="00726E1B"/>
    <w:rsid w:val="007272BC"/>
    <w:rsid w:val="00727397"/>
    <w:rsid w:val="0072751B"/>
    <w:rsid w:val="00730CDE"/>
    <w:rsid w:val="00730E62"/>
    <w:rsid w:val="00731B37"/>
    <w:rsid w:val="00732793"/>
    <w:rsid w:val="00733695"/>
    <w:rsid w:val="00733FF9"/>
    <w:rsid w:val="0073548E"/>
    <w:rsid w:val="00735DFD"/>
    <w:rsid w:val="00736D04"/>
    <w:rsid w:val="007370B7"/>
    <w:rsid w:val="007452B6"/>
    <w:rsid w:val="00745B39"/>
    <w:rsid w:val="00745C5C"/>
    <w:rsid w:val="00750573"/>
    <w:rsid w:val="0075560B"/>
    <w:rsid w:val="007557CF"/>
    <w:rsid w:val="0075593A"/>
    <w:rsid w:val="0075677C"/>
    <w:rsid w:val="00761348"/>
    <w:rsid w:val="007643C1"/>
    <w:rsid w:val="00764573"/>
    <w:rsid w:val="00765C16"/>
    <w:rsid w:val="00770257"/>
    <w:rsid w:val="00771ED9"/>
    <w:rsid w:val="00771F80"/>
    <w:rsid w:val="00772E03"/>
    <w:rsid w:val="007742E3"/>
    <w:rsid w:val="00774C9C"/>
    <w:rsid w:val="00774D1C"/>
    <w:rsid w:val="007751FA"/>
    <w:rsid w:val="00775C61"/>
    <w:rsid w:val="00776757"/>
    <w:rsid w:val="0077702F"/>
    <w:rsid w:val="00777875"/>
    <w:rsid w:val="00777F67"/>
    <w:rsid w:val="00781357"/>
    <w:rsid w:val="00781E5F"/>
    <w:rsid w:val="0078261B"/>
    <w:rsid w:val="00782C86"/>
    <w:rsid w:val="00782FC8"/>
    <w:rsid w:val="007832B0"/>
    <w:rsid w:val="0078411D"/>
    <w:rsid w:val="00784883"/>
    <w:rsid w:val="007904A2"/>
    <w:rsid w:val="007907F9"/>
    <w:rsid w:val="00792E4F"/>
    <w:rsid w:val="007934B9"/>
    <w:rsid w:val="00794362"/>
    <w:rsid w:val="00795725"/>
    <w:rsid w:val="0079624A"/>
    <w:rsid w:val="00796435"/>
    <w:rsid w:val="007966F1"/>
    <w:rsid w:val="00796D57"/>
    <w:rsid w:val="007974A2"/>
    <w:rsid w:val="007A26B2"/>
    <w:rsid w:val="007A3A58"/>
    <w:rsid w:val="007A4153"/>
    <w:rsid w:val="007A4504"/>
    <w:rsid w:val="007A4BCE"/>
    <w:rsid w:val="007A4C54"/>
    <w:rsid w:val="007A5121"/>
    <w:rsid w:val="007A592C"/>
    <w:rsid w:val="007A5FA0"/>
    <w:rsid w:val="007A6402"/>
    <w:rsid w:val="007A7642"/>
    <w:rsid w:val="007A791D"/>
    <w:rsid w:val="007A7A93"/>
    <w:rsid w:val="007A7D90"/>
    <w:rsid w:val="007B1256"/>
    <w:rsid w:val="007B13C9"/>
    <w:rsid w:val="007B2784"/>
    <w:rsid w:val="007B4793"/>
    <w:rsid w:val="007B5853"/>
    <w:rsid w:val="007B6378"/>
    <w:rsid w:val="007B697E"/>
    <w:rsid w:val="007B6F4F"/>
    <w:rsid w:val="007B756C"/>
    <w:rsid w:val="007B792A"/>
    <w:rsid w:val="007B7BC4"/>
    <w:rsid w:val="007C37ED"/>
    <w:rsid w:val="007C5B1D"/>
    <w:rsid w:val="007C75C7"/>
    <w:rsid w:val="007D045E"/>
    <w:rsid w:val="007D051E"/>
    <w:rsid w:val="007D09DB"/>
    <w:rsid w:val="007D15AA"/>
    <w:rsid w:val="007D1A88"/>
    <w:rsid w:val="007D24BF"/>
    <w:rsid w:val="007D250F"/>
    <w:rsid w:val="007D3F96"/>
    <w:rsid w:val="007D409E"/>
    <w:rsid w:val="007D4780"/>
    <w:rsid w:val="007D62CD"/>
    <w:rsid w:val="007D6EB8"/>
    <w:rsid w:val="007D71DC"/>
    <w:rsid w:val="007D7349"/>
    <w:rsid w:val="007D7EB3"/>
    <w:rsid w:val="007E04F3"/>
    <w:rsid w:val="007E225D"/>
    <w:rsid w:val="007E3476"/>
    <w:rsid w:val="007E3A7C"/>
    <w:rsid w:val="007E4225"/>
    <w:rsid w:val="007E509F"/>
    <w:rsid w:val="007E55FC"/>
    <w:rsid w:val="007F07C2"/>
    <w:rsid w:val="007F29F1"/>
    <w:rsid w:val="007F4396"/>
    <w:rsid w:val="007F7DEC"/>
    <w:rsid w:val="00800194"/>
    <w:rsid w:val="00800A7A"/>
    <w:rsid w:val="00800BE5"/>
    <w:rsid w:val="008029A2"/>
    <w:rsid w:val="008029B2"/>
    <w:rsid w:val="00802B70"/>
    <w:rsid w:val="00804180"/>
    <w:rsid w:val="00804EC6"/>
    <w:rsid w:val="00805B1C"/>
    <w:rsid w:val="00805D8C"/>
    <w:rsid w:val="00806C5E"/>
    <w:rsid w:val="00806ECB"/>
    <w:rsid w:val="008073A4"/>
    <w:rsid w:val="0080758C"/>
    <w:rsid w:val="0081098E"/>
    <w:rsid w:val="00810E3C"/>
    <w:rsid w:val="0081144F"/>
    <w:rsid w:val="0081211A"/>
    <w:rsid w:val="00812210"/>
    <w:rsid w:val="0081252D"/>
    <w:rsid w:val="0081310B"/>
    <w:rsid w:val="00813787"/>
    <w:rsid w:val="008145FF"/>
    <w:rsid w:val="008149D8"/>
    <w:rsid w:val="00815742"/>
    <w:rsid w:val="00815CE7"/>
    <w:rsid w:val="00816899"/>
    <w:rsid w:val="00817B32"/>
    <w:rsid w:val="008206C9"/>
    <w:rsid w:val="00822013"/>
    <w:rsid w:val="008221A5"/>
    <w:rsid w:val="008243AC"/>
    <w:rsid w:val="00825A3C"/>
    <w:rsid w:val="00825B20"/>
    <w:rsid w:val="008260BE"/>
    <w:rsid w:val="008264CC"/>
    <w:rsid w:val="0082686F"/>
    <w:rsid w:val="008270BF"/>
    <w:rsid w:val="0083191F"/>
    <w:rsid w:val="008331EF"/>
    <w:rsid w:val="008333BE"/>
    <w:rsid w:val="00833584"/>
    <w:rsid w:val="008337AA"/>
    <w:rsid w:val="00834E89"/>
    <w:rsid w:val="0083558B"/>
    <w:rsid w:val="00836265"/>
    <w:rsid w:val="00837A94"/>
    <w:rsid w:val="00840D49"/>
    <w:rsid w:val="00841431"/>
    <w:rsid w:val="0084210E"/>
    <w:rsid w:val="008445DB"/>
    <w:rsid w:val="0084569F"/>
    <w:rsid w:val="00845B1C"/>
    <w:rsid w:val="00846C30"/>
    <w:rsid w:val="00846F31"/>
    <w:rsid w:val="00847F74"/>
    <w:rsid w:val="008505C5"/>
    <w:rsid w:val="00852313"/>
    <w:rsid w:val="008526CD"/>
    <w:rsid w:val="0085276C"/>
    <w:rsid w:val="00855368"/>
    <w:rsid w:val="0085641D"/>
    <w:rsid w:val="00856FB8"/>
    <w:rsid w:val="00857042"/>
    <w:rsid w:val="008613EB"/>
    <w:rsid w:val="00862B26"/>
    <w:rsid w:val="00863666"/>
    <w:rsid w:val="00864176"/>
    <w:rsid w:val="0086534B"/>
    <w:rsid w:val="00865EAE"/>
    <w:rsid w:val="0086621A"/>
    <w:rsid w:val="00866BC9"/>
    <w:rsid w:val="00870675"/>
    <w:rsid w:val="008708E9"/>
    <w:rsid w:val="00870B72"/>
    <w:rsid w:val="00870D1F"/>
    <w:rsid w:val="0087200A"/>
    <w:rsid w:val="008722F2"/>
    <w:rsid w:val="00872EE8"/>
    <w:rsid w:val="00873114"/>
    <w:rsid w:val="00873197"/>
    <w:rsid w:val="008741A0"/>
    <w:rsid w:val="00874E61"/>
    <w:rsid w:val="0087588B"/>
    <w:rsid w:val="008805C4"/>
    <w:rsid w:val="00880D30"/>
    <w:rsid w:val="00881558"/>
    <w:rsid w:val="008815C9"/>
    <w:rsid w:val="00882DD2"/>
    <w:rsid w:val="00883CA6"/>
    <w:rsid w:val="0088412A"/>
    <w:rsid w:val="0088451F"/>
    <w:rsid w:val="00884937"/>
    <w:rsid w:val="00884C13"/>
    <w:rsid w:val="008851B8"/>
    <w:rsid w:val="008855FA"/>
    <w:rsid w:val="00885E7C"/>
    <w:rsid w:val="008907B9"/>
    <w:rsid w:val="0089109C"/>
    <w:rsid w:val="0089394D"/>
    <w:rsid w:val="00894BE8"/>
    <w:rsid w:val="0089692E"/>
    <w:rsid w:val="0089706E"/>
    <w:rsid w:val="008A0C6C"/>
    <w:rsid w:val="008A2117"/>
    <w:rsid w:val="008A2B85"/>
    <w:rsid w:val="008A387F"/>
    <w:rsid w:val="008A427F"/>
    <w:rsid w:val="008A5F67"/>
    <w:rsid w:val="008A697D"/>
    <w:rsid w:val="008A6D81"/>
    <w:rsid w:val="008A7DE8"/>
    <w:rsid w:val="008B09FF"/>
    <w:rsid w:val="008B14D7"/>
    <w:rsid w:val="008B188B"/>
    <w:rsid w:val="008B1969"/>
    <w:rsid w:val="008B24E0"/>
    <w:rsid w:val="008B26CF"/>
    <w:rsid w:val="008B2829"/>
    <w:rsid w:val="008B4925"/>
    <w:rsid w:val="008B7607"/>
    <w:rsid w:val="008C0417"/>
    <w:rsid w:val="008C05EE"/>
    <w:rsid w:val="008C0B1E"/>
    <w:rsid w:val="008C1669"/>
    <w:rsid w:val="008C3117"/>
    <w:rsid w:val="008C3EFF"/>
    <w:rsid w:val="008C4F46"/>
    <w:rsid w:val="008C55F8"/>
    <w:rsid w:val="008C6725"/>
    <w:rsid w:val="008C7530"/>
    <w:rsid w:val="008C7B40"/>
    <w:rsid w:val="008D20E4"/>
    <w:rsid w:val="008D2CBE"/>
    <w:rsid w:val="008D363F"/>
    <w:rsid w:val="008D3955"/>
    <w:rsid w:val="008D72A6"/>
    <w:rsid w:val="008D7490"/>
    <w:rsid w:val="008E1CA1"/>
    <w:rsid w:val="008E1CBA"/>
    <w:rsid w:val="008E2A2F"/>
    <w:rsid w:val="008E2A79"/>
    <w:rsid w:val="008E32F1"/>
    <w:rsid w:val="008E42A7"/>
    <w:rsid w:val="008E4AD5"/>
    <w:rsid w:val="008E58CF"/>
    <w:rsid w:val="008E6367"/>
    <w:rsid w:val="008E6BD8"/>
    <w:rsid w:val="008E7073"/>
    <w:rsid w:val="008E7DF0"/>
    <w:rsid w:val="008E7F8D"/>
    <w:rsid w:val="008F10CA"/>
    <w:rsid w:val="008F1983"/>
    <w:rsid w:val="008F2FD1"/>
    <w:rsid w:val="008F4695"/>
    <w:rsid w:val="008F4DEA"/>
    <w:rsid w:val="008F659B"/>
    <w:rsid w:val="008F684C"/>
    <w:rsid w:val="008F6853"/>
    <w:rsid w:val="0090303D"/>
    <w:rsid w:val="00903697"/>
    <w:rsid w:val="0090464E"/>
    <w:rsid w:val="0090680D"/>
    <w:rsid w:val="009071F3"/>
    <w:rsid w:val="00907936"/>
    <w:rsid w:val="00907D3C"/>
    <w:rsid w:val="009102FB"/>
    <w:rsid w:val="00910C07"/>
    <w:rsid w:val="009110CC"/>
    <w:rsid w:val="00911BC6"/>
    <w:rsid w:val="00912EC4"/>
    <w:rsid w:val="00913A16"/>
    <w:rsid w:val="009148CA"/>
    <w:rsid w:val="00914E0C"/>
    <w:rsid w:val="009159EA"/>
    <w:rsid w:val="009205B2"/>
    <w:rsid w:val="009212CD"/>
    <w:rsid w:val="00921ABB"/>
    <w:rsid w:val="00921B3B"/>
    <w:rsid w:val="00921D0A"/>
    <w:rsid w:val="00922514"/>
    <w:rsid w:val="00923D18"/>
    <w:rsid w:val="00924615"/>
    <w:rsid w:val="009258E0"/>
    <w:rsid w:val="00926404"/>
    <w:rsid w:val="009270D9"/>
    <w:rsid w:val="00930225"/>
    <w:rsid w:val="00930B6E"/>
    <w:rsid w:val="009316F9"/>
    <w:rsid w:val="00931861"/>
    <w:rsid w:val="009327E7"/>
    <w:rsid w:val="00933CAF"/>
    <w:rsid w:val="00933DCA"/>
    <w:rsid w:val="00934C1F"/>
    <w:rsid w:val="009357C4"/>
    <w:rsid w:val="009357EF"/>
    <w:rsid w:val="00935EEA"/>
    <w:rsid w:val="00936AA3"/>
    <w:rsid w:val="00937B97"/>
    <w:rsid w:val="0094134E"/>
    <w:rsid w:val="00942770"/>
    <w:rsid w:val="009439FD"/>
    <w:rsid w:val="00944B8E"/>
    <w:rsid w:val="00945465"/>
    <w:rsid w:val="00950EDE"/>
    <w:rsid w:val="009516E7"/>
    <w:rsid w:val="00951E56"/>
    <w:rsid w:val="00952847"/>
    <w:rsid w:val="00952BB8"/>
    <w:rsid w:val="00954A61"/>
    <w:rsid w:val="00954DCB"/>
    <w:rsid w:val="009558AC"/>
    <w:rsid w:val="0095692E"/>
    <w:rsid w:val="00956950"/>
    <w:rsid w:val="0096025E"/>
    <w:rsid w:val="0096035B"/>
    <w:rsid w:val="009611A6"/>
    <w:rsid w:val="009619EE"/>
    <w:rsid w:val="009630EE"/>
    <w:rsid w:val="00963181"/>
    <w:rsid w:val="00963240"/>
    <w:rsid w:val="009639E6"/>
    <w:rsid w:val="00963AFD"/>
    <w:rsid w:val="009644EA"/>
    <w:rsid w:val="00964A7B"/>
    <w:rsid w:val="00964BEA"/>
    <w:rsid w:val="00964D9F"/>
    <w:rsid w:val="00966407"/>
    <w:rsid w:val="009666E9"/>
    <w:rsid w:val="00967177"/>
    <w:rsid w:val="00967FD9"/>
    <w:rsid w:val="0097137E"/>
    <w:rsid w:val="00971733"/>
    <w:rsid w:val="00971C6B"/>
    <w:rsid w:val="009733FC"/>
    <w:rsid w:val="009734C2"/>
    <w:rsid w:val="00974F07"/>
    <w:rsid w:val="009757F7"/>
    <w:rsid w:val="00977277"/>
    <w:rsid w:val="00977881"/>
    <w:rsid w:val="009801DF"/>
    <w:rsid w:val="0098058C"/>
    <w:rsid w:val="009814F1"/>
    <w:rsid w:val="009821B9"/>
    <w:rsid w:val="009849D8"/>
    <w:rsid w:val="00985662"/>
    <w:rsid w:val="009868C4"/>
    <w:rsid w:val="00986E14"/>
    <w:rsid w:val="009874B2"/>
    <w:rsid w:val="00987D77"/>
    <w:rsid w:val="00990366"/>
    <w:rsid w:val="00992485"/>
    <w:rsid w:val="00994E4A"/>
    <w:rsid w:val="009962FD"/>
    <w:rsid w:val="009965F3"/>
    <w:rsid w:val="009967A9"/>
    <w:rsid w:val="00996E7F"/>
    <w:rsid w:val="009A0A71"/>
    <w:rsid w:val="009A0D18"/>
    <w:rsid w:val="009A1999"/>
    <w:rsid w:val="009A2E88"/>
    <w:rsid w:val="009A32D2"/>
    <w:rsid w:val="009A4AF0"/>
    <w:rsid w:val="009A6119"/>
    <w:rsid w:val="009A65B0"/>
    <w:rsid w:val="009B0A81"/>
    <w:rsid w:val="009B1106"/>
    <w:rsid w:val="009B1819"/>
    <w:rsid w:val="009B1B4F"/>
    <w:rsid w:val="009B2009"/>
    <w:rsid w:val="009B4095"/>
    <w:rsid w:val="009B485F"/>
    <w:rsid w:val="009B60F9"/>
    <w:rsid w:val="009B62F9"/>
    <w:rsid w:val="009B6490"/>
    <w:rsid w:val="009B6B2F"/>
    <w:rsid w:val="009B70DF"/>
    <w:rsid w:val="009C034E"/>
    <w:rsid w:val="009C0605"/>
    <w:rsid w:val="009C1534"/>
    <w:rsid w:val="009C155C"/>
    <w:rsid w:val="009C352D"/>
    <w:rsid w:val="009C3784"/>
    <w:rsid w:val="009C5AAD"/>
    <w:rsid w:val="009C6AD0"/>
    <w:rsid w:val="009D002E"/>
    <w:rsid w:val="009D0B2F"/>
    <w:rsid w:val="009D3593"/>
    <w:rsid w:val="009D6575"/>
    <w:rsid w:val="009E047E"/>
    <w:rsid w:val="009E0ABE"/>
    <w:rsid w:val="009E18FB"/>
    <w:rsid w:val="009E1A69"/>
    <w:rsid w:val="009E47E7"/>
    <w:rsid w:val="009E7D3D"/>
    <w:rsid w:val="009F01BF"/>
    <w:rsid w:val="009F07F3"/>
    <w:rsid w:val="009F1CBF"/>
    <w:rsid w:val="009F1D86"/>
    <w:rsid w:val="009F2A9C"/>
    <w:rsid w:val="009F49DA"/>
    <w:rsid w:val="009F4BB3"/>
    <w:rsid w:val="009F5BED"/>
    <w:rsid w:val="009F5C78"/>
    <w:rsid w:val="009F6631"/>
    <w:rsid w:val="009F6904"/>
    <w:rsid w:val="00A00C95"/>
    <w:rsid w:val="00A01B3E"/>
    <w:rsid w:val="00A03EC8"/>
    <w:rsid w:val="00A04024"/>
    <w:rsid w:val="00A04E2B"/>
    <w:rsid w:val="00A0514D"/>
    <w:rsid w:val="00A052F3"/>
    <w:rsid w:val="00A05566"/>
    <w:rsid w:val="00A06A1F"/>
    <w:rsid w:val="00A073DA"/>
    <w:rsid w:val="00A079E2"/>
    <w:rsid w:val="00A1028E"/>
    <w:rsid w:val="00A102C6"/>
    <w:rsid w:val="00A1200A"/>
    <w:rsid w:val="00A147A1"/>
    <w:rsid w:val="00A14D1C"/>
    <w:rsid w:val="00A14EA6"/>
    <w:rsid w:val="00A158B5"/>
    <w:rsid w:val="00A16DD0"/>
    <w:rsid w:val="00A20F31"/>
    <w:rsid w:val="00A21711"/>
    <w:rsid w:val="00A225D2"/>
    <w:rsid w:val="00A22655"/>
    <w:rsid w:val="00A234CD"/>
    <w:rsid w:val="00A236A0"/>
    <w:rsid w:val="00A23928"/>
    <w:rsid w:val="00A23F6E"/>
    <w:rsid w:val="00A25188"/>
    <w:rsid w:val="00A25660"/>
    <w:rsid w:val="00A26321"/>
    <w:rsid w:val="00A26F05"/>
    <w:rsid w:val="00A307B8"/>
    <w:rsid w:val="00A313D7"/>
    <w:rsid w:val="00A33F79"/>
    <w:rsid w:val="00A342A6"/>
    <w:rsid w:val="00A34626"/>
    <w:rsid w:val="00A36950"/>
    <w:rsid w:val="00A4063F"/>
    <w:rsid w:val="00A4089D"/>
    <w:rsid w:val="00A409F0"/>
    <w:rsid w:val="00A40C4B"/>
    <w:rsid w:val="00A40E6B"/>
    <w:rsid w:val="00A41F02"/>
    <w:rsid w:val="00A4281E"/>
    <w:rsid w:val="00A428EA"/>
    <w:rsid w:val="00A42FFF"/>
    <w:rsid w:val="00A430EA"/>
    <w:rsid w:val="00A4367B"/>
    <w:rsid w:val="00A44E23"/>
    <w:rsid w:val="00A450CF"/>
    <w:rsid w:val="00A4550E"/>
    <w:rsid w:val="00A46287"/>
    <w:rsid w:val="00A46318"/>
    <w:rsid w:val="00A46804"/>
    <w:rsid w:val="00A47557"/>
    <w:rsid w:val="00A477C5"/>
    <w:rsid w:val="00A47F79"/>
    <w:rsid w:val="00A50BF7"/>
    <w:rsid w:val="00A50FEE"/>
    <w:rsid w:val="00A52F29"/>
    <w:rsid w:val="00A5341E"/>
    <w:rsid w:val="00A54350"/>
    <w:rsid w:val="00A54E9F"/>
    <w:rsid w:val="00A553C5"/>
    <w:rsid w:val="00A55AB3"/>
    <w:rsid w:val="00A56C7B"/>
    <w:rsid w:val="00A56DF0"/>
    <w:rsid w:val="00A57B2C"/>
    <w:rsid w:val="00A60BA3"/>
    <w:rsid w:val="00A60D31"/>
    <w:rsid w:val="00A6298D"/>
    <w:rsid w:val="00A649FD"/>
    <w:rsid w:val="00A64AA4"/>
    <w:rsid w:val="00A64F47"/>
    <w:rsid w:val="00A6670C"/>
    <w:rsid w:val="00A66C7A"/>
    <w:rsid w:val="00A66DCB"/>
    <w:rsid w:val="00A670D7"/>
    <w:rsid w:val="00A67100"/>
    <w:rsid w:val="00A70174"/>
    <w:rsid w:val="00A7074E"/>
    <w:rsid w:val="00A71B81"/>
    <w:rsid w:val="00A74E7E"/>
    <w:rsid w:val="00A7505E"/>
    <w:rsid w:val="00A754AD"/>
    <w:rsid w:val="00A800BC"/>
    <w:rsid w:val="00A82A95"/>
    <w:rsid w:val="00A82A98"/>
    <w:rsid w:val="00A83321"/>
    <w:rsid w:val="00A837F0"/>
    <w:rsid w:val="00A8383F"/>
    <w:rsid w:val="00A844A3"/>
    <w:rsid w:val="00A846F3"/>
    <w:rsid w:val="00A879C4"/>
    <w:rsid w:val="00A901B7"/>
    <w:rsid w:val="00A91541"/>
    <w:rsid w:val="00A9154C"/>
    <w:rsid w:val="00A91858"/>
    <w:rsid w:val="00A92775"/>
    <w:rsid w:val="00A931A9"/>
    <w:rsid w:val="00A96EFC"/>
    <w:rsid w:val="00A97DEE"/>
    <w:rsid w:val="00AA0BA6"/>
    <w:rsid w:val="00AA11F7"/>
    <w:rsid w:val="00AA2311"/>
    <w:rsid w:val="00AA2B36"/>
    <w:rsid w:val="00AA2F84"/>
    <w:rsid w:val="00AA356A"/>
    <w:rsid w:val="00AA426D"/>
    <w:rsid w:val="00AA429C"/>
    <w:rsid w:val="00AA446F"/>
    <w:rsid w:val="00AA4735"/>
    <w:rsid w:val="00AA6A44"/>
    <w:rsid w:val="00AA6C89"/>
    <w:rsid w:val="00AA6DBB"/>
    <w:rsid w:val="00AA7697"/>
    <w:rsid w:val="00AB1669"/>
    <w:rsid w:val="00AB1EAC"/>
    <w:rsid w:val="00AB23F8"/>
    <w:rsid w:val="00AB3DF1"/>
    <w:rsid w:val="00AB45B3"/>
    <w:rsid w:val="00AB49C0"/>
    <w:rsid w:val="00AB4CC7"/>
    <w:rsid w:val="00AB65AE"/>
    <w:rsid w:val="00AC0961"/>
    <w:rsid w:val="00AC09F4"/>
    <w:rsid w:val="00AC0D87"/>
    <w:rsid w:val="00AC1222"/>
    <w:rsid w:val="00AC123B"/>
    <w:rsid w:val="00AC1DC6"/>
    <w:rsid w:val="00AC2A9E"/>
    <w:rsid w:val="00AC50F3"/>
    <w:rsid w:val="00AC517D"/>
    <w:rsid w:val="00AC60A0"/>
    <w:rsid w:val="00AC7190"/>
    <w:rsid w:val="00AC73CF"/>
    <w:rsid w:val="00AD00DF"/>
    <w:rsid w:val="00AD0514"/>
    <w:rsid w:val="00AD2C41"/>
    <w:rsid w:val="00AD31C1"/>
    <w:rsid w:val="00AD3910"/>
    <w:rsid w:val="00AD3F0A"/>
    <w:rsid w:val="00AD45D6"/>
    <w:rsid w:val="00AD4CB0"/>
    <w:rsid w:val="00AD5175"/>
    <w:rsid w:val="00AD6479"/>
    <w:rsid w:val="00AE0123"/>
    <w:rsid w:val="00AE0598"/>
    <w:rsid w:val="00AE0680"/>
    <w:rsid w:val="00AE1A1B"/>
    <w:rsid w:val="00AE27CD"/>
    <w:rsid w:val="00AE5125"/>
    <w:rsid w:val="00AE6AD5"/>
    <w:rsid w:val="00AE6C03"/>
    <w:rsid w:val="00AE7331"/>
    <w:rsid w:val="00AF04B6"/>
    <w:rsid w:val="00AF40D3"/>
    <w:rsid w:val="00AF48AA"/>
    <w:rsid w:val="00AF6895"/>
    <w:rsid w:val="00AF6BEE"/>
    <w:rsid w:val="00B00A35"/>
    <w:rsid w:val="00B00ECE"/>
    <w:rsid w:val="00B00F5A"/>
    <w:rsid w:val="00B02E0B"/>
    <w:rsid w:val="00B04124"/>
    <w:rsid w:val="00B04E6C"/>
    <w:rsid w:val="00B04F2B"/>
    <w:rsid w:val="00B05126"/>
    <w:rsid w:val="00B05912"/>
    <w:rsid w:val="00B060BF"/>
    <w:rsid w:val="00B06190"/>
    <w:rsid w:val="00B061EA"/>
    <w:rsid w:val="00B06575"/>
    <w:rsid w:val="00B065E2"/>
    <w:rsid w:val="00B066E3"/>
    <w:rsid w:val="00B06720"/>
    <w:rsid w:val="00B06D66"/>
    <w:rsid w:val="00B07151"/>
    <w:rsid w:val="00B10427"/>
    <w:rsid w:val="00B12AAB"/>
    <w:rsid w:val="00B12CAF"/>
    <w:rsid w:val="00B15275"/>
    <w:rsid w:val="00B1536A"/>
    <w:rsid w:val="00B155DD"/>
    <w:rsid w:val="00B157AA"/>
    <w:rsid w:val="00B162BD"/>
    <w:rsid w:val="00B165FD"/>
    <w:rsid w:val="00B16A5D"/>
    <w:rsid w:val="00B20E4C"/>
    <w:rsid w:val="00B20FD9"/>
    <w:rsid w:val="00B2127F"/>
    <w:rsid w:val="00B21413"/>
    <w:rsid w:val="00B21431"/>
    <w:rsid w:val="00B22011"/>
    <w:rsid w:val="00B23139"/>
    <w:rsid w:val="00B26D40"/>
    <w:rsid w:val="00B26F55"/>
    <w:rsid w:val="00B277F8"/>
    <w:rsid w:val="00B30967"/>
    <w:rsid w:val="00B30EE9"/>
    <w:rsid w:val="00B314EE"/>
    <w:rsid w:val="00B3181A"/>
    <w:rsid w:val="00B31DD6"/>
    <w:rsid w:val="00B33D8C"/>
    <w:rsid w:val="00B3578F"/>
    <w:rsid w:val="00B3695F"/>
    <w:rsid w:val="00B37552"/>
    <w:rsid w:val="00B37708"/>
    <w:rsid w:val="00B3772A"/>
    <w:rsid w:val="00B421B8"/>
    <w:rsid w:val="00B422A1"/>
    <w:rsid w:val="00B42DE5"/>
    <w:rsid w:val="00B42EA2"/>
    <w:rsid w:val="00B4300F"/>
    <w:rsid w:val="00B44CF1"/>
    <w:rsid w:val="00B451F2"/>
    <w:rsid w:val="00B4728A"/>
    <w:rsid w:val="00B5044A"/>
    <w:rsid w:val="00B50DCC"/>
    <w:rsid w:val="00B524A5"/>
    <w:rsid w:val="00B52DA4"/>
    <w:rsid w:val="00B53F06"/>
    <w:rsid w:val="00B54E6A"/>
    <w:rsid w:val="00B552BF"/>
    <w:rsid w:val="00B55808"/>
    <w:rsid w:val="00B563ED"/>
    <w:rsid w:val="00B565A0"/>
    <w:rsid w:val="00B56FF7"/>
    <w:rsid w:val="00B601E3"/>
    <w:rsid w:val="00B62EE9"/>
    <w:rsid w:val="00B638FC"/>
    <w:rsid w:val="00B63C42"/>
    <w:rsid w:val="00B6415D"/>
    <w:rsid w:val="00B64445"/>
    <w:rsid w:val="00B7035F"/>
    <w:rsid w:val="00B70761"/>
    <w:rsid w:val="00B732A3"/>
    <w:rsid w:val="00B73D34"/>
    <w:rsid w:val="00B758F7"/>
    <w:rsid w:val="00B75D58"/>
    <w:rsid w:val="00B768C3"/>
    <w:rsid w:val="00B7730D"/>
    <w:rsid w:val="00B7745D"/>
    <w:rsid w:val="00B776D5"/>
    <w:rsid w:val="00B80013"/>
    <w:rsid w:val="00B809C6"/>
    <w:rsid w:val="00B82B41"/>
    <w:rsid w:val="00B82B8F"/>
    <w:rsid w:val="00B82D52"/>
    <w:rsid w:val="00B8348B"/>
    <w:rsid w:val="00B85D4D"/>
    <w:rsid w:val="00B86519"/>
    <w:rsid w:val="00B86FC3"/>
    <w:rsid w:val="00B91FC4"/>
    <w:rsid w:val="00B936B0"/>
    <w:rsid w:val="00B944D3"/>
    <w:rsid w:val="00B9575F"/>
    <w:rsid w:val="00B963B6"/>
    <w:rsid w:val="00B967C0"/>
    <w:rsid w:val="00B97C22"/>
    <w:rsid w:val="00B97C86"/>
    <w:rsid w:val="00BA002F"/>
    <w:rsid w:val="00BA02AD"/>
    <w:rsid w:val="00BA034D"/>
    <w:rsid w:val="00BA0472"/>
    <w:rsid w:val="00BA1725"/>
    <w:rsid w:val="00BA1A56"/>
    <w:rsid w:val="00BA229B"/>
    <w:rsid w:val="00BA5FD8"/>
    <w:rsid w:val="00BA733B"/>
    <w:rsid w:val="00BA7374"/>
    <w:rsid w:val="00BA7543"/>
    <w:rsid w:val="00BA7ABB"/>
    <w:rsid w:val="00BA7BF4"/>
    <w:rsid w:val="00BB12D1"/>
    <w:rsid w:val="00BB1313"/>
    <w:rsid w:val="00BB17F2"/>
    <w:rsid w:val="00BB279E"/>
    <w:rsid w:val="00BB34B9"/>
    <w:rsid w:val="00BB651F"/>
    <w:rsid w:val="00BB6918"/>
    <w:rsid w:val="00BB709D"/>
    <w:rsid w:val="00BB722A"/>
    <w:rsid w:val="00BB7D91"/>
    <w:rsid w:val="00BB7E7C"/>
    <w:rsid w:val="00BC1301"/>
    <w:rsid w:val="00BC1E26"/>
    <w:rsid w:val="00BC2097"/>
    <w:rsid w:val="00BC2443"/>
    <w:rsid w:val="00BC29B6"/>
    <w:rsid w:val="00BC3284"/>
    <w:rsid w:val="00BC3A5B"/>
    <w:rsid w:val="00BC56AC"/>
    <w:rsid w:val="00BC5DF1"/>
    <w:rsid w:val="00BC5FCB"/>
    <w:rsid w:val="00BC6059"/>
    <w:rsid w:val="00BD0066"/>
    <w:rsid w:val="00BD15BC"/>
    <w:rsid w:val="00BD1A6B"/>
    <w:rsid w:val="00BD2D10"/>
    <w:rsid w:val="00BD2EF0"/>
    <w:rsid w:val="00BD44B8"/>
    <w:rsid w:val="00BD4751"/>
    <w:rsid w:val="00BD4ED9"/>
    <w:rsid w:val="00BD53E1"/>
    <w:rsid w:val="00BD7028"/>
    <w:rsid w:val="00BD735F"/>
    <w:rsid w:val="00BD7ADE"/>
    <w:rsid w:val="00BE0FDA"/>
    <w:rsid w:val="00BE1F54"/>
    <w:rsid w:val="00BE2026"/>
    <w:rsid w:val="00BE2B8D"/>
    <w:rsid w:val="00BE392F"/>
    <w:rsid w:val="00BE57F1"/>
    <w:rsid w:val="00BE6D3A"/>
    <w:rsid w:val="00BE74D7"/>
    <w:rsid w:val="00BE7A74"/>
    <w:rsid w:val="00BF0BEE"/>
    <w:rsid w:val="00BF0D5C"/>
    <w:rsid w:val="00BF1B40"/>
    <w:rsid w:val="00BF2E97"/>
    <w:rsid w:val="00BF3D60"/>
    <w:rsid w:val="00BF4AFD"/>
    <w:rsid w:val="00BF5BE5"/>
    <w:rsid w:val="00BF729E"/>
    <w:rsid w:val="00BF73F5"/>
    <w:rsid w:val="00BF7A49"/>
    <w:rsid w:val="00C00980"/>
    <w:rsid w:val="00C00C2F"/>
    <w:rsid w:val="00C0147C"/>
    <w:rsid w:val="00C0211D"/>
    <w:rsid w:val="00C02F53"/>
    <w:rsid w:val="00C03316"/>
    <w:rsid w:val="00C0483E"/>
    <w:rsid w:val="00C048E0"/>
    <w:rsid w:val="00C051F6"/>
    <w:rsid w:val="00C0708A"/>
    <w:rsid w:val="00C10450"/>
    <w:rsid w:val="00C10BE8"/>
    <w:rsid w:val="00C11590"/>
    <w:rsid w:val="00C204A4"/>
    <w:rsid w:val="00C227A4"/>
    <w:rsid w:val="00C23AE2"/>
    <w:rsid w:val="00C23D2A"/>
    <w:rsid w:val="00C24B75"/>
    <w:rsid w:val="00C252AF"/>
    <w:rsid w:val="00C25474"/>
    <w:rsid w:val="00C26CF4"/>
    <w:rsid w:val="00C27506"/>
    <w:rsid w:val="00C2768F"/>
    <w:rsid w:val="00C27CCA"/>
    <w:rsid w:val="00C302B1"/>
    <w:rsid w:val="00C309A6"/>
    <w:rsid w:val="00C31B07"/>
    <w:rsid w:val="00C32627"/>
    <w:rsid w:val="00C32634"/>
    <w:rsid w:val="00C3474D"/>
    <w:rsid w:val="00C34DE5"/>
    <w:rsid w:val="00C3518D"/>
    <w:rsid w:val="00C371C5"/>
    <w:rsid w:val="00C3726B"/>
    <w:rsid w:val="00C374AB"/>
    <w:rsid w:val="00C37FEB"/>
    <w:rsid w:val="00C401B6"/>
    <w:rsid w:val="00C40CAD"/>
    <w:rsid w:val="00C431E8"/>
    <w:rsid w:val="00C43A35"/>
    <w:rsid w:val="00C44C47"/>
    <w:rsid w:val="00C46993"/>
    <w:rsid w:val="00C50710"/>
    <w:rsid w:val="00C50CF2"/>
    <w:rsid w:val="00C5214D"/>
    <w:rsid w:val="00C5266C"/>
    <w:rsid w:val="00C52750"/>
    <w:rsid w:val="00C52A8D"/>
    <w:rsid w:val="00C54488"/>
    <w:rsid w:val="00C5719D"/>
    <w:rsid w:val="00C57902"/>
    <w:rsid w:val="00C57A4B"/>
    <w:rsid w:val="00C60A47"/>
    <w:rsid w:val="00C62607"/>
    <w:rsid w:val="00C62DC1"/>
    <w:rsid w:val="00C630B3"/>
    <w:rsid w:val="00C63899"/>
    <w:rsid w:val="00C641B6"/>
    <w:rsid w:val="00C644A3"/>
    <w:rsid w:val="00C648C4"/>
    <w:rsid w:val="00C65895"/>
    <w:rsid w:val="00C65AD1"/>
    <w:rsid w:val="00C67BFF"/>
    <w:rsid w:val="00C71EC7"/>
    <w:rsid w:val="00C72059"/>
    <w:rsid w:val="00C7490C"/>
    <w:rsid w:val="00C7718F"/>
    <w:rsid w:val="00C77D24"/>
    <w:rsid w:val="00C810A2"/>
    <w:rsid w:val="00C832B5"/>
    <w:rsid w:val="00C86182"/>
    <w:rsid w:val="00C86BB0"/>
    <w:rsid w:val="00C8790B"/>
    <w:rsid w:val="00C87AA0"/>
    <w:rsid w:val="00C9052D"/>
    <w:rsid w:val="00C92B94"/>
    <w:rsid w:val="00C93118"/>
    <w:rsid w:val="00C935B3"/>
    <w:rsid w:val="00C9414F"/>
    <w:rsid w:val="00C952BA"/>
    <w:rsid w:val="00C952FE"/>
    <w:rsid w:val="00C95C51"/>
    <w:rsid w:val="00C97EF6"/>
    <w:rsid w:val="00CA06CA"/>
    <w:rsid w:val="00CA1ADF"/>
    <w:rsid w:val="00CA2429"/>
    <w:rsid w:val="00CA24D8"/>
    <w:rsid w:val="00CA2E26"/>
    <w:rsid w:val="00CA42FF"/>
    <w:rsid w:val="00CA46F3"/>
    <w:rsid w:val="00CA495C"/>
    <w:rsid w:val="00CA5077"/>
    <w:rsid w:val="00CA5A63"/>
    <w:rsid w:val="00CA5FCB"/>
    <w:rsid w:val="00CA5FE4"/>
    <w:rsid w:val="00CA6242"/>
    <w:rsid w:val="00CA6A10"/>
    <w:rsid w:val="00CA73AD"/>
    <w:rsid w:val="00CA7E2E"/>
    <w:rsid w:val="00CB0C53"/>
    <w:rsid w:val="00CB10C1"/>
    <w:rsid w:val="00CB1817"/>
    <w:rsid w:val="00CB2BDA"/>
    <w:rsid w:val="00CB34BA"/>
    <w:rsid w:val="00CB37DC"/>
    <w:rsid w:val="00CB3F6D"/>
    <w:rsid w:val="00CB484B"/>
    <w:rsid w:val="00CB5636"/>
    <w:rsid w:val="00CB5917"/>
    <w:rsid w:val="00CB5B5F"/>
    <w:rsid w:val="00CB700A"/>
    <w:rsid w:val="00CB74BE"/>
    <w:rsid w:val="00CB7648"/>
    <w:rsid w:val="00CC093D"/>
    <w:rsid w:val="00CC1102"/>
    <w:rsid w:val="00CC24BB"/>
    <w:rsid w:val="00CC29A1"/>
    <w:rsid w:val="00CC3E9C"/>
    <w:rsid w:val="00CC445A"/>
    <w:rsid w:val="00CC47EE"/>
    <w:rsid w:val="00CC5918"/>
    <w:rsid w:val="00CC6265"/>
    <w:rsid w:val="00CC74B2"/>
    <w:rsid w:val="00CC75D7"/>
    <w:rsid w:val="00CC7C37"/>
    <w:rsid w:val="00CD0A8F"/>
    <w:rsid w:val="00CD0B68"/>
    <w:rsid w:val="00CD0BFF"/>
    <w:rsid w:val="00CD1922"/>
    <w:rsid w:val="00CD26DC"/>
    <w:rsid w:val="00CD2847"/>
    <w:rsid w:val="00CD3163"/>
    <w:rsid w:val="00CD3D54"/>
    <w:rsid w:val="00CD7077"/>
    <w:rsid w:val="00CE06BB"/>
    <w:rsid w:val="00CE06CB"/>
    <w:rsid w:val="00CE0F4B"/>
    <w:rsid w:val="00CE1A19"/>
    <w:rsid w:val="00CE243E"/>
    <w:rsid w:val="00CE339B"/>
    <w:rsid w:val="00CE5637"/>
    <w:rsid w:val="00CE5774"/>
    <w:rsid w:val="00CF0722"/>
    <w:rsid w:val="00CF0FA1"/>
    <w:rsid w:val="00CF11F3"/>
    <w:rsid w:val="00CF1311"/>
    <w:rsid w:val="00CF19CA"/>
    <w:rsid w:val="00CF1A20"/>
    <w:rsid w:val="00CF1E12"/>
    <w:rsid w:val="00CF4224"/>
    <w:rsid w:val="00CF5ED0"/>
    <w:rsid w:val="00CF608B"/>
    <w:rsid w:val="00CF67E3"/>
    <w:rsid w:val="00CF6C89"/>
    <w:rsid w:val="00CF6F4C"/>
    <w:rsid w:val="00CF7A48"/>
    <w:rsid w:val="00D0004F"/>
    <w:rsid w:val="00D00A02"/>
    <w:rsid w:val="00D00D12"/>
    <w:rsid w:val="00D02F63"/>
    <w:rsid w:val="00D030CB"/>
    <w:rsid w:val="00D051E3"/>
    <w:rsid w:val="00D0566A"/>
    <w:rsid w:val="00D05E73"/>
    <w:rsid w:val="00D062B3"/>
    <w:rsid w:val="00D06C0E"/>
    <w:rsid w:val="00D10BED"/>
    <w:rsid w:val="00D10D52"/>
    <w:rsid w:val="00D11313"/>
    <w:rsid w:val="00D11E83"/>
    <w:rsid w:val="00D11FCC"/>
    <w:rsid w:val="00D12471"/>
    <w:rsid w:val="00D14B04"/>
    <w:rsid w:val="00D14DC1"/>
    <w:rsid w:val="00D15CE9"/>
    <w:rsid w:val="00D15E53"/>
    <w:rsid w:val="00D1627C"/>
    <w:rsid w:val="00D1628F"/>
    <w:rsid w:val="00D16696"/>
    <w:rsid w:val="00D173D3"/>
    <w:rsid w:val="00D17C2D"/>
    <w:rsid w:val="00D20BAC"/>
    <w:rsid w:val="00D2126B"/>
    <w:rsid w:val="00D23170"/>
    <w:rsid w:val="00D241E0"/>
    <w:rsid w:val="00D2433C"/>
    <w:rsid w:val="00D24399"/>
    <w:rsid w:val="00D2447A"/>
    <w:rsid w:val="00D24FE0"/>
    <w:rsid w:val="00D25881"/>
    <w:rsid w:val="00D2613F"/>
    <w:rsid w:val="00D2651B"/>
    <w:rsid w:val="00D270B3"/>
    <w:rsid w:val="00D276A7"/>
    <w:rsid w:val="00D2775E"/>
    <w:rsid w:val="00D2794C"/>
    <w:rsid w:val="00D27AFF"/>
    <w:rsid w:val="00D3187A"/>
    <w:rsid w:val="00D31BC5"/>
    <w:rsid w:val="00D32190"/>
    <w:rsid w:val="00D32957"/>
    <w:rsid w:val="00D33072"/>
    <w:rsid w:val="00D3353D"/>
    <w:rsid w:val="00D344C4"/>
    <w:rsid w:val="00D34918"/>
    <w:rsid w:val="00D355B0"/>
    <w:rsid w:val="00D358EA"/>
    <w:rsid w:val="00D35CC9"/>
    <w:rsid w:val="00D35F26"/>
    <w:rsid w:val="00D373B3"/>
    <w:rsid w:val="00D406E7"/>
    <w:rsid w:val="00D41759"/>
    <w:rsid w:val="00D42705"/>
    <w:rsid w:val="00D4518B"/>
    <w:rsid w:val="00D45313"/>
    <w:rsid w:val="00D46B92"/>
    <w:rsid w:val="00D474D2"/>
    <w:rsid w:val="00D47A2D"/>
    <w:rsid w:val="00D5039C"/>
    <w:rsid w:val="00D511D3"/>
    <w:rsid w:val="00D512A3"/>
    <w:rsid w:val="00D547DE"/>
    <w:rsid w:val="00D54EC5"/>
    <w:rsid w:val="00D550B9"/>
    <w:rsid w:val="00D56434"/>
    <w:rsid w:val="00D564CA"/>
    <w:rsid w:val="00D6071A"/>
    <w:rsid w:val="00D60832"/>
    <w:rsid w:val="00D60DE3"/>
    <w:rsid w:val="00D620E2"/>
    <w:rsid w:val="00D62D11"/>
    <w:rsid w:val="00D62DDF"/>
    <w:rsid w:val="00D63D71"/>
    <w:rsid w:val="00D63FBA"/>
    <w:rsid w:val="00D644C3"/>
    <w:rsid w:val="00D64E39"/>
    <w:rsid w:val="00D66CF1"/>
    <w:rsid w:val="00D6704B"/>
    <w:rsid w:val="00D675D5"/>
    <w:rsid w:val="00D70A68"/>
    <w:rsid w:val="00D715DE"/>
    <w:rsid w:val="00D71D0B"/>
    <w:rsid w:val="00D73F32"/>
    <w:rsid w:val="00D7503D"/>
    <w:rsid w:val="00D76024"/>
    <w:rsid w:val="00D77FC6"/>
    <w:rsid w:val="00D80D81"/>
    <w:rsid w:val="00D81DEE"/>
    <w:rsid w:val="00D8201D"/>
    <w:rsid w:val="00D820EE"/>
    <w:rsid w:val="00D82890"/>
    <w:rsid w:val="00D83844"/>
    <w:rsid w:val="00D85042"/>
    <w:rsid w:val="00D8707A"/>
    <w:rsid w:val="00D90439"/>
    <w:rsid w:val="00D9187B"/>
    <w:rsid w:val="00D93BE6"/>
    <w:rsid w:val="00D941FA"/>
    <w:rsid w:val="00D94970"/>
    <w:rsid w:val="00D95125"/>
    <w:rsid w:val="00D95224"/>
    <w:rsid w:val="00D95381"/>
    <w:rsid w:val="00D96619"/>
    <w:rsid w:val="00D96DC7"/>
    <w:rsid w:val="00D974A2"/>
    <w:rsid w:val="00DA25FC"/>
    <w:rsid w:val="00DA2A48"/>
    <w:rsid w:val="00DA4621"/>
    <w:rsid w:val="00DA475F"/>
    <w:rsid w:val="00DA4D5F"/>
    <w:rsid w:val="00DA4DCC"/>
    <w:rsid w:val="00DA5A67"/>
    <w:rsid w:val="00DA798E"/>
    <w:rsid w:val="00DA7BEC"/>
    <w:rsid w:val="00DA7C99"/>
    <w:rsid w:val="00DB04DE"/>
    <w:rsid w:val="00DB0A8E"/>
    <w:rsid w:val="00DB1295"/>
    <w:rsid w:val="00DB13CE"/>
    <w:rsid w:val="00DB16F4"/>
    <w:rsid w:val="00DB2B67"/>
    <w:rsid w:val="00DB574C"/>
    <w:rsid w:val="00DB58F8"/>
    <w:rsid w:val="00DB60CF"/>
    <w:rsid w:val="00DB60F9"/>
    <w:rsid w:val="00DC1546"/>
    <w:rsid w:val="00DC2441"/>
    <w:rsid w:val="00DC2A82"/>
    <w:rsid w:val="00DC2B81"/>
    <w:rsid w:val="00DC2E03"/>
    <w:rsid w:val="00DC3720"/>
    <w:rsid w:val="00DC3FC5"/>
    <w:rsid w:val="00DC48E9"/>
    <w:rsid w:val="00DC5653"/>
    <w:rsid w:val="00DC6977"/>
    <w:rsid w:val="00DC705F"/>
    <w:rsid w:val="00DC78A5"/>
    <w:rsid w:val="00DD2E7B"/>
    <w:rsid w:val="00DD4530"/>
    <w:rsid w:val="00DD583A"/>
    <w:rsid w:val="00DD58A0"/>
    <w:rsid w:val="00DD5FE2"/>
    <w:rsid w:val="00DD7BBD"/>
    <w:rsid w:val="00DE00A2"/>
    <w:rsid w:val="00DE1634"/>
    <w:rsid w:val="00DE1682"/>
    <w:rsid w:val="00DE23C6"/>
    <w:rsid w:val="00DE256C"/>
    <w:rsid w:val="00DE3DB0"/>
    <w:rsid w:val="00DE4AFB"/>
    <w:rsid w:val="00DE5143"/>
    <w:rsid w:val="00DE54BF"/>
    <w:rsid w:val="00DE5B0C"/>
    <w:rsid w:val="00DE5B74"/>
    <w:rsid w:val="00DE69CB"/>
    <w:rsid w:val="00DE751D"/>
    <w:rsid w:val="00DE7A95"/>
    <w:rsid w:val="00DE7B1C"/>
    <w:rsid w:val="00DF0635"/>
    <w:rsid w:val="00DF0F9E"/>
    <w:rsid w:val="00DF1C52"/>
    <w:rsid w:val="00DF2A0E"/>
    <w:rsid w:val="00DF2A35"/>
    <w:rsid w:val="00DF383F"/>
    <w:rsid w:val="00DF3B24"/>
    <w:rsid w:val="00DF6CA8"/>
    <w:rsid w:val="00E007B0"/>
    <w:rsid w:val="00E015AE"/>
    <w:rsid w:val="00E02559"/>
    <w:rsid w:val="00E02E8B"/>
    <w:rsid w:val="00E0414B"/>
    <w:rsid w:val="00E047BA"/>
    <w:rsid w:val="00E05BA2"/>
    <w:rsid w:val="00E05F34"/>
    <w:rsid w:val="00E05F39"/>
    <w:rsid w:val="00E06735"/>
    <w:rsid w:val="00E07C45"/>
    <w:rsid w:val="00E101AC"/>
    <w:rsid w:val="00E1080C"/>
    <w:rsid w:val="00E1080E"/>
    <w:rsid w:val="00E1224E"/>
    <w:rsid w:val="00E132AF"/>
    <w:rsid w:val="00E1349C"/>
    <w:rsid w:val="00E139C6"/>
    <w:rsid w:val="00E13C4A"/>
    <w:rsid w:val="00E13FB7"/>
    <w:rsid w:val="00E14260"/>
    <w:rsid w:val="00E1464A"/>
    <w:rsid w:val="00E146D3"/>
    <w:rsid w:val="00E14A55"/>
    <w:rsid w:val="00E155A7"/>
    <w:rsid w:val="00E15C36"/>
    <w:rsid w:val="00E15DF2"/>
    <w:rsid w:val="00E2028A"/>
    <w:rsid w:val="00E20EFD"/>
    <w:rsid w:val="00E21E0B"/>
    <w:rsid w:val="00E21E7C"/>
    <w:rsid w:val="00E228AA"/>
    <w:rsid w:val="00E22C88"/>
    <w:rsid w:val="00E234E3"/>
    <w:rsid w:val="00E235AA"/>
    <w:rsid w:val="00E23817"/>
    <w:rsid w:val="00E24565"/>
    <w:rsid w:val="00E254E8"/>
    <w:rsid w:val="00E25FC1"/>
    <w:rsid w:val="00E26948"/>
    <w:rsid w:val="00E26D44"/>
    <w:rsid w:val="00E3344C"/>
    <w:rsid w:val="00E33D92"/>
    <w:rsid w:val="00E35931"/>
    <w:rsid w:val="00E35F1F"/>
    <w:rsid w:val="00E363C7"/>
    <w:rsid w:val="00E37168"/>
    <w:rsid w:val="00E40249"/>
    <w:rsid w:val="00E4055F"/>
    <w:rsid w:val="00E4178F"/>
    <w:rsid w:val="00E41A97"/>
    <w:rsid w:val="00E42979"/>
    <w:rsid w:val="00E42F98"/>
    <w:rsid w:val="00E4463E"/>
    <w:rsid w:val="00E44BF2"/>
    <w:rsid w:val="00E45597"/>
    <w:rsid w:val="00E469BE"/>
    <w:rsid w:val="00E46A22"/>
    <w:rsid w:val="00E47939"/>
    <w:rsid w:val="00E51E5A"/>
    <w:rsid w:val="00E52174"/>
    <w:rsid w:val="00E52F99"/>
    <w:rsid w:val="00E5392F"/>
    <w:rsid w:val="00E53BC2"/>
    <w:rsid w:val="00E56443"/>
    <w:rsid w:val="00E5700B"/>
    <w:rsid w:val="00E57710"/>
    <w:rsid w:val="00E60CCC"/>
    <w:rsid w:val="00E61473"/>
    <w:rsid w:val="00E616F8"/>
    <w:rsid w:val="00E61BDC"/>
    <w:rsid w:val="00E62CA1"/>
    <w:rsid w:val="00E64106"/>
    <w:rsid w:val="00E6444A"/>
    <w:rsid w:val="00E64791"/>
    <w:rsid w:val="00E64F29"/>
    <w:rsid w:val="00E66200"/>
    <w:rsid w:val="00E7076B"/>
    <w:rsid w:val="00E70B9C"/>
    <w:rsid w:val="00E70E98"/>
    <w:rsid w:val="00E717B2"/>
    <w:rsid w:val="00E72C24"/>
    <w:rsid w:val="00E72D6C"/>
    <w:rsid w:val="00E734D2"/>
    <w:rsid w:val="00E73AF8"/>
    <w:rsid w:val="00E73B7A"/>
    <w:rsid w:val="00E73DA9"/>
    <w:rsid w:val="00E75B89"/>
    <w:rsid w:val="00E76010"/>
    <w:rsid w:val="00E764A1"/>
    <w:rsid w:val="00E76574"/>
    <w:rsid w:val="00E80F09"/>
    <w:rsid w:val="00E80F8B"/>
    <w:rsid w:val="00E82F36"/>
    <w:rsid w:val="00E83528"/>
    <w:rsid w:val="00E84AC7"/>
    <w:rsid w:val="00E874C3"/>
    <w:rsid w:val="00E875C9"/>
    <w:rsid w:val="00E90479"/>
    <w:rsid w:val="00E9133C"/>
    <w:rsid w:val="00E91A22"/>
    <w:rsid w:val="00E92DD4"/>
    <w:rsid w:val="00E92EE1"/>
    <w:rsid w:val="00E94330"/>
    <w:rsid w:val="00E94D5C"/>
    <w:rsid w:val="00E959AB"/>
    <w:rsid w:val="00E95B0B"/>
    <w:rsid w:val="00E95CCE"/>
    <w:rsid w:val="00E97C6A"/>
    <w:rsid w:val="00EA033C"/>
    <w:rsid w:val="00EA1B6E"/>
    <w:rsid w:val="00EA295E"/>
    <w:rsid w:val="00EA4BCF"/>
    <w:rsid w:val="00EA4E85"/>
    <w:rsid w:val="00EA6B7C"/>
    <w:rsid w:val="00EA7A7D"/>
    <w:rsid w:val="00EA7BA4"/>
    <w:rsid w:val="00EB051B"/>
    <w:rsid w:val="00EB19AE"/>
    <w:rsid w:val="00EB1EEF"/>
    <w:rsid w:val="00EB3BFE"/>
    <w:rsid w:val="00EB460F"/>
    <w:rsid w:val="00EB4B2C"/>
    <w:rsid w:val="00EB4CA8"/>
    <w:rsid w:val="00EB4EDA"/>
    <w:rsid w:val="00EB664F"/>
    <w:rsid w:val="00EB7805"/>
    <w:rsid w:val="00EB7913"/>
    <w:rsid w:val="00EC229F"/>
    <w:rsid w:val="00EC3A56"/>
    <w:rsid w:val="00EC5F87"/>
    <w:rsid w:val="00EC6848"/>
    <w:rsid w:val="00EC70BE"/>
    <w:rsid w:val="00EC7B8E"/>
    <w:rsid w:val="00ED0D66"/>
    <w:rsid w:val="00ED2FB1"/>
    <w:rsid w:val="00ED327A"/>
    <w:rsid w:val="00ED341D"/>
    <w:rsid w:val="00ED42FA"/>
    <w:rsid w:val="00ED4747"/>
    <w:rsid w:val="00ED4A95"/>
    <w:rsid w:val="00ED5126"/>
    <w:rsid w:val="00ED6BF2"/>
    <w:rsid w:val="00ED703E"/>
    <w:rsid w:val="00ED766F"/>
    <w:rsid w:val="00EE0246"/>
    <w:rsid w:val="00EE02AD"/>
    <w:rsid w:val="00EE043E"/>
    <w:rsid w:val="00EE0FD9"/>
    <w:rsid w:val="00EE0FE1"/>
    <w:rsid w:val="00EE1264"/>
    <w:rsid w:val="00EE288E"/>
    <w:rsid w:val="00EE30D9"/>
    <w:rsid w:val="00EE434B"/>
    <w:rsid w:val="00EE495A"/>
    <w:rsid w:val="00EE5FC3"/>
    <w:rsid w:val="00EE6547"/>
    <w:rsid w:val="00EE7214"/>
    <w:rsid w:val="00EF15D4"/>
    <w:rsid w:val="00EF37DB"/>
    <w:rsid w:val="00EF3BEB"/>
    <w:rsid w:val="00EF4BB7"/>
    <w:rsid w:val="00EF50AC"/>
    <w:rsid w:val="00EF59FB"/>
    <w:rsid w:val="00EF621F"/>
    <w:rsid w:val="00EF6D2C"/>
    <w:rsid w:val="00EF716F"/>
    <w:rsid w:val="00EF744D"/>
    <w:rsid w:val="00EF746C"/>
    <w:rsid w:val="00EF754D"/>
    <w:rsid w:val="00EF79EB"/>
    <w:rsid w:val="00F0101B"/>
    <w:rsid w:val="00F01851"/>
    <w:rsid w:val="00F01D1C"/>
    <w:rsid w:val="00F039A7"/>
    <w:rsid w:val="00F044B2"/>
    <w:rsid w:val="00F04AE6"/>
    <w:rsid w:val="00F05072"/>
    <w:rsid w:val="00F0553B"/>
    <w:rsid w:val="00F05FDB"/>
    <w:rsid w:val="00F06C43"/>
    <w:rsid w:val="00F07894"/>
    <w:rsid w:val="00F07C97"/>
    <w:rsid w:val="00F07D74"/>
    <w:rsid w:val="00F107C8"/>
    <w:rsid w:val="00F10EB6"/>
    <w:rsid w:val="00F10FB8"/>
    <w:rsid w:val="00F1167D"/>
    <w:rsid w:val="00F136EC"/>
    <w:rsid w:val="00F14338"/>
    <w:rsid w:val="00F15EF5"/>
    <w:rsid w:val="00F1730B"/>
    <w:rsid w:val="00F178E2"/>
    <w:rsid w:val="00F205BE"/>
    <w:rsid w:val="00F20ABC"/>
    <w:rsid w:val="00F21E9A"/>
    <w:rsid w:val="00F21F4E"/>
    <w:rsid w:val="00F24163"/>
    <w:rsid w:val="00F243B5"/>
    <w:rsid w:val="00F2495C"/>
    <w:rsid w:val="00F25457"/>
    <w:rsid w:val="00F25B5F"/>
    <w:rsid w:val="00F26190"/>
    <w:rsid w:val="00F2777D"/>
    <w:rsid w:val="00F277C1"/>
    <w:rsid w:val="00F27B91"/>
    <w:rsid w:val="00F27F29"/>
    <w:rsid w:val="00F306EC"/>
    <w:rsid w:val="00F3079E"/>
    <w:rsid w:val="00F307DF"/>
    <w:rsid w:val="00F30AE3"/>
    <w:rsid w:val="00F30E9D"/>
    <w:rsid w:val="00F3131D"/>
    <w:rsid w:val="00F3188A"/>
    <w:rsid w:val="00F327E6"/>
    <w:rsid w:val="00F32B5C"/>
    <w:rsid w:val="00F3718F"/>
    <w:rsid w:val="00F4011E"/>
    <w:rsid w:val="00F4153E"/>
    <w:rsid w:val="00F431DD"/>
    <w:rsid w:val="00F44C94"/>
    <w:rsid w:val="00F454C6"/>
    <w:rsid w:val="00F46185"/>
    <w:rsid w:val="00F46D62"/>
    <w:rsid w:val="00F513C5"/>
    <w:rsid w:val="00F51E90"/>
    <w:rsid w:val="00F52F57"/>
    <w:rsid w:val="00F53543"/>
    <w:rsid w:val="00F56922"/>
    <w:rsid w:val="00F5718E"/>
    <w:rsid w:val="00F57D0C"/>
    <w:rsid w:val="00F60EC1"/>
    <w:rsid w:val="00F61F29"/>
    <w:rsid w:val="00F62DEC"/>
    <w:rsid w:val="00F63E3E"/>
    <w:rsid w:val="00F673DF"/>
    <w:rsid w:val="00F70851"/>
    <w:rsid w:val="00F7161C"/>
    <w:rsid w:val="00F72DC7"/>
    <w:rsid w:val="00F7393F"/>
    <w:rsid w:val="00F74DCA"/>
    <w:rsid w:val="00F76624"/>
    <w:rsid w:val="00F802F4"/>
    <w:rsid w:val="00F825AA"/>
    <w:rsid w:val="00F82624"/>
    <w:rsid w:val="00F826B9"/>
    <w:rsid w:val="00F839D5"/>
    <w:rsid w:val="00F84359"/>
    <w:rsid w:val="00F845CB"/>
    <w:rsid w:val="00F8556E"/>
    <w:rsid w:val="00F86965"/>
    <w:rsid w:val="00F874CF"/>
    <w:rsid w:val="00F87F2E"/>
    <w:rsid w:val="00F90107"/>
    <w:rsid w:val="00F905A8"/>
    <w:rsid w:val="00F90F3D"/>
    <w:rsid w:val="00F9137B"/>
    <w:rsid w:val="00F928D8"/>
    <w:rsid w:val="00F95A04"/>
    <w:rsid w:val="00F95C9C"/>
    <w:rsid w:val="00F96EAC"/>
    <w:rsid w:val="00FA0B33"/>
    <w:rsid w:val="00FA1473"/>
    <w:rsid w:val="00FA35A8"/>
    <w:rsid w:val="00FA3A17"/>
    <w:rsid w:val="00FA3F47"/>
    <w:rsid w:val="00FA434A"/>
    <w:rsid w:val="00FA5199"/>
    <w:rsid w:val="00FA5E34"/>
    <w:rsid w:val="00FA6071"/>
    <w:rsid w:val="00FA69C9"/>
    <w:rsid w:val="00FA765B"/>
    <w:rsid w:val="00FA784D"/>
    <w:rsid w:val="00FA7D06"/>
    <w:rsid w:val="00FB0E37"/>
    <w:rsid w:val="00FB2D9F"/>
    <w:rsid w:val="00FB317B"/>
    <w:rsid w:val="00FB3D5E"/>
    <w:rsid w:val="00FB5049"/>
    <w:rsid w:val="00FB5197"/>
    <w:rsid w:val="00FB5329"/>
    <w:rsid w:val="00FB5665"/>
    <w:rsid w:val="00FB5B28"/>
    <w:rsid w:val="00FB69D5"/>
    <w:rsid w:val="00FB716B"/>
    <w:rsid w:val="00FC130D"/>
    <w:rsid w:val="00FC1EFE"/>
    <w:rsid w:val="00FC1F28"/>
    <w:rsid w:val="00FC2220"/>
    <w:rsid w:val="00FC5CFE"/>
    <w:rsid w:val="00FC6900"/>
    <w:rsid w:val="00FD1AA0"/>
    <w:rsid w:val="00FD26D8"/>
    <w:rsid w:val="00FD2D69"/>
    <w:rsid w:val="00FD30AA"/>
    <w:rsid w:val="00FD3656"/>
    <w:rsid w:val="00FD629E"/>
    <w:rsid w:val="00FD7469"/>
    <w:rsid w:val="00FD766F"/>
    <w:rsid w:val="00FE00A1"/>
    <w:rsid w:val="00FE1340"/>
    <w:rsid w:val="00FE1571"/>
    <w:rsid w:val="00FE18A6"/>
    <w:rsid w:val="00FE1CF7"/>
    <w:rsid w:val="00FE20D3"/>
    <w:rsid w:val="00FE4318"/>
    <w:rsid w:val="00FE6766"/>
    <w:rsid w:val="00FE7494"/>
    <w:rsid w:val="00FE7D99"/>
    <w:rsid w:val="00FF00E2"/>
    <w:rsid w:val="00FF146E"/>
    <w:rsid w:val="00FF14A2"/>
    <w:rsid w:val="00FF18A0"/>
    <w:rsid w:val="00FF18D3"/>
    <w:rsid w:val="00FF1BBD"/>
    <w:rsid w:val="00FF2F9D"/>
    <w:rsid w:val="00FF3B7E"/>
    <w:rsid w:val="00FF3CCD"/>
    <w:rsid w:val="00FF59EE"/>
    <w:rsid w:val="00FF5B3D"/>
    <w:rsid w:val="00FF61B8"/>
    <w:rsid w:val="00FF6472"/>
    <w:rsid w:val="00FF6643"/>
    <w:rsid w:val="00FF7C26"/>
    <w:rsid w:val="0F9F1262"/>
    <w:rsid w:val="1AB104C2"/>
    <w:rsid w:val="21481DE8"/>
    <w:rsid w:val="296E4977"/>
    <w:rsid w:val="354E4A53"/>
    <w:rsid w:val="41F43799"/>
    <w:rsid w:val="439356A2"/>
    <w:rsid w:val="49AC0400"/>
    <w:rsid w:val="547D5A8E"/>
    <w:rsid w:val="585F0085"/>
    <w:rsid w:val="77337E4B"/>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Calibri"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semiHidden="0" w:name="heading 2"/>
    <w:lsdException w:qFormat="1" w:uiPriority="9" w:semiHidden="0" w:name="heading 3"/>
    <w:lsdException w:qFormat="1" w:unhideWhenUsed="0" w:uiPriority="0" w:semiHidden="0" w:name="heading 4"/>
    <w:lsdException w:qFormat="1" w:unhideWhenUsed="0" w:uiPriority="9" w:semiHidden="0" w:name="heading 5"/>
    <w:lsdException w:qFormat="1" w:unhideWhenUsed="0" w:uiPriority="9" w:semiHidden="0" w:name="heading 6"/>
    <w:lsdException w:qFormat="1" w:uiPriority="9" w:semiHidden="0" w:name="heading 7"/>
    <w:lsdException w:qFormat="1" w:uiPriority="9" w:semiHidden="0" w:name="heading 8"/>
    <w:lsdException w:qFormat="1" w:uiPriority="9" w:semiHidden="0" w:name="heading 9"/>
    <w:lsdException w:qFormat="1"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qFormat="1" w:uiPriority="39" w:semiHidden="0" w:name="toc 4"/>
    <w:lsdException w:qFormat="1" w:uiPriority="39" w:semiHidden="0" w:name="toc 5"/>
    <w:lsdException w:qFormat="1" w:uiPriority="39" w:semiHidden="0" w:name="toc 6"/>
    <w:lsdException w:qFormat="1" w:uiPriority="39" w:semiHidden="0" w:name="toc 7"/>
    <w:lsdException w:qFormat="1" w:uiPriority="39" w:semiHidden="0" w:name="toc 8"/>
    <w:lsdException w:qFormat="1" w:uiPriority="39" w:semiHidden="0" w:name="toc 9"/>
    <w:lsdException w:uiPriority="99" w:name="Normal Indent"/>
    <w:lsdException w:qFormat="1" w:uiPriority="99" w:semiHidden="0" w:name="footnote text"/>
    <w:lsdException w:qFormat="1" w:uiPriority="99" w:semiHidden="0" w:name="annotation text"/>
    <w:lsdException w:qFormat="1" w:uiPriority="99" w:semiHidden="0" w:name="header"/>
    <w:lsdException w:qFormat="1" w:uiPriority="99" w:semiHidden="0" w:name="footer"/>
    <w:lsdException w:uiPriority="99" w:name="index heading"/>
    <w:lsdException w:qFormat="1" w:unhideWhenUsed="0" w:uiPriority="35" w:semiHidden="0" w:name="caption"/>
    <w:lsdException w:qFormat="1" w:uiPriority="99" w:semiHidden="0" w:name="table of figures"/>
    <w:lsdException w:uiPriority="99" w:name="envelope address"/>
    <w:lsdException w:uiPriority="99" w:name="envelope return"/>
    <w:lsdException w:qFormat="1" w:uiPriority="99" w:semiHidden="0" w:name="footnote reference"/>
    <w:lsdException w:qFormat="1" w:uiPriority="99" w:semiHidden="0" w:name="annotation reference"/>
    <w:lsdException w:uiPriority="99" w:name="line number"/>
    <w:lsdException w:unhideWhenUsed="0" w:uiPriority="0" w:semiHidden="0" w:name="page number"/>
    <w:lsdException w:qFormat="1" w:uiPriority="99" w:name="endnote reference"/>
    <w:lsdException w:qFormat="1" w:uiPriority="99" w:name="endnote text"/>
    <w:lsdException w:uiPriority="99" w:name="table of authorities"/>
    <w:lsdException w:uiPriority="99" w:name="macro"/>
    <w:lsdException w:uiPriority="99" w:name="toa heading"/>
    <w:lsdException w:qFormat="1" w:unhideWhenUsed="0" w:uiPriority="99" w:semiHidden="0" w:name="List"/>
    <w:lsdException w:uiPriority="99" w:name="List Bullet"/>
    <w:lsdException w:uiPriority="99" w:name="List Number"/>
    <w:lsdException w:qFormat="1" w:uiPriority="0" w:name="List 2"/>
    <w:lsdException w:qFormat="1" w:uiPriority="0"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 w:semiHidden="0" w:name="Title"/>
    <w:lsdException w:uiPriority="99" w:name="Closing"/>
    <w:lsdException w:qFormat="1" w:unhideWhenUsed="0" w:uiPriority="0" w:semiHidden="0" w:name="Signature"/>
    <w:lsdException w:qFormat="1" w:uiPriority="1" w:name="Default Paragraph Font"/>
    <w:lsdException w:qFormat="1" w:unhideWhenUsed="0" w:uiPriority="1" w:semiHidden="0" w:name="Body Text"/>
    <w:lsdException w:qFormat="1" w:unhideWhenUsed="0"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qFormat="1" w:unhideWhenUsed="0" w:uiPriority="0" w:semiHidden="0" w:name="Message Header"/>
    <w:lsdException w:qFormat="1" w:unhideWhenUsed="0" w:uiPriority="11" w:semiHidden="0" w:name="Subtitle"/>
    <w:lsdException w:uiPriority="99" w:name="Salutation"/>
    <w:lsdException w:uiPriority="99" w:name="Date"/>
    <w:lsdException w:qFormat="1" w:uiPriority="0" w:name="Body Text First Indent"/>
    <w:lsdException w:uiPriority="99" w:name="Body Text First Indent 2"/>
    <w:lsdException w:uiPriority="99" w:name="Note Heading"/>
    <w:lsdException w:qFormat="1" w:uiPriority="99" w:semiHidden="0" w:name="Body Text 2"/>
    <w:lsdException w:qFormat="1" w:uiPriority="99" w:semiHidden="0" w:name="Body Text 3"/>
    <w:lsdException w:qFormat="1" w:uiPriority="99" w:semiHidden="0" w:name="Body Text Indent 2"/>
    <w:lsdException w:qFormat="1" w:uiPriority="99" w:semiHidden="0" w:name="Body Text Indent 3"/>
    <w:lsdException w:uiPriority="99" w:name="Block Text"/>
    <w:lsdException w:qFormat="1" w:uiPriority="99" w:semiHidden="0" w:name="Hyperlink"/>
    <w:lsdException w:qFormat="1" w:unhideWhenUsed="0" w:uiPriority="99" w:semiHidden="0"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nhideWhenUsed="0" w:uiPriority="0" w:semiHidden="0"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qFormat="1" w:unhideWhenUsed="0" w:uiPriority="59" w:semiHidden="0" w:name="Table Grid"/>
    <w:lsdException w:uiPriority="99" w:name="Table Theme"/>
    <w:lsdException w:unhideWhenUsed="0" w:uiPriority="99" w:name="Placeholder Text"/>
    <w:lsdException w:qFormat="1" w:unhideWhenUsed="0" w:uiPriority="1" w:semiHidden="0" w:name="No Spacing"/>
    <w:lsdException w:qFormat="1" w:unhideWhenUsed="0" w:uiPriority="34" w:semiHidden="0" w:name="List Paragraph"/>
    <w:lsdException w:qFormat="1" w:unhideWhenUsed="0" w:uiPriority="29" w:semiHidden="0" w:name="Quote"/>
    <w:lsdException w:qFormat="1" w:unhideWhenUsed="0" w:uiPriority="30" w:semiHidden="0" w:name="Intense Quote"/>
  </w:latentStyles>
  <w:style w:type="paragraph" w:default="1" w:styleId="1">
    <w:name w:val="Normal"/>
    <w:qFormat/>
    <w:uiPriority w:val="0"/>
    <w:pPr>
      <w:widowControl w:val="0"/>
      <w:spacing w:after="200" w:line="276" w:lineRule="auto"/>
    </w:pPr>
    <w:rPr>
      <w:rFonts w:ascii="Calibri" w:hAnsi="Calibri" w:eastAsia="Calibri" w:cs="Times New Roman"/>
      <w:sz w:val="22"/>
      <w:szCs w:val="22"/>
      <w:lang w:val="ru-RU" w:eastAsia="en-US" w:bidi="ar-SA"/>
    </w:rPr>
  </w:style>
  <w:style w:type="paragraph" w:styleId="2">
    <w:name w:val="heading 1"/>
    <w:basedOn w:val="1"/>
    <w:next w:val="1"/>
    <w:link w:val="60"/>
    <w:qFormat/>
    <w:uiPriority w:val="0"/>
    <w:pPr>
      <w:keepNext/>
      <w:keepLines/>
      <w:pBdr>
        <w:bottom w:val="single" w:color="auto" w:sz="4" w:space="1"/>
      </w:pBdr>
      <w:spacing w:before="240" w:after="0"/>
      <w:outlineLvl w:val="0"/>
    </w:pPr>
    <w:rPr>
      <w:rFonts w:ascii="Times New Roman" w:hAnsi="Times New Roman" w:eastAsia="Times New Roman"/>
      <w:b/>
      <w:sz w:val="28"/>
      <w:szCs w:val="32"/>
    </w:rPr>
  </w:style>
  <w:style w:type="paragraph" w:styleId="3">
    <w:name w:val="heading 2"/>
    <w:basedOn w:val="1"/>
    <w:next w:val="1"/>
    <w:link w:val="61"/>
    <w:autoRedefine/>
    <w:unhideWhenUsed/>
    <w:qFormat/>
    <w:uiPriority w:val="9"/>
    <w:pPr>
      <w:keepNext/>
      <w:keepLines/>
      <w:pBdr>
        <w:bottom w:val="single" w:color="auto" w:sz="4" w:space="1"/>
      </w:pBdr>
      <w:spacing w:before="40" w:after="0"/>
      <w:jc w:val="both"/>
      <w:outlineLvl w:val="1"/>
    </w:pPr>
    <w:rPr>
      <w:rFonts w:ascii="Times New Roman" w:hAnsi="Times New Roman" w:eastAsia="Times New Roman"/>
      <w:b/>
      <w:caps/>
      <w:sz w:val="26"/>
      <w:szCs w:val="26"/>
    </w:rPr>
  </w:style>
  <w:style w:type="paragraph" w:styleId="4">
    <w:name w:val="heading 3"/>
    <w:basedOn w:val="1"/>
    <w:next w:val="1"/>
    <w:link w:val="62"/>
    <w:autoRedefine/>
    <w:unhideWhenUsed/>
    <w:qFormat/>
    <w:uiPriority w:val="9"/>
    <w:pPr>
      <w:keepNext/>
      <w:keepLines/>
      <w:widowControl/>
      <w:spacing w:after="0" w:line="353" w:lineRule="auto"/>
      <w:ind w:firstLine="709"/>
      <w:outlineLvl w:val="2"/>
    </w:pPr>
    <w:rPr>
      <w:rFonts w:ascii="Times New Roman" w:hAnsi="Times New Roman" w:eastAsia="OfficinaSansBoldITC"/>
      <w:sz w:val="24"/>
      <w:szCs w:val="24"/>
    </w:rPr>
  </w:style>
  <w:style w:type="paragraph" w:styleId="5">
    <w:name w:val="heading 4"/>
    <w:basedOn w:val="6"/>
    <w:next w:val="6"/>
    <w:link w:val="63"/>
    <w:qFormat/>
    <w:uiPriority w:val="0"/>
    <w:pPr>
      <w:keepNext/>
      <w:keepLines/>
      <w:spacing w:before="240" w:after="40"/>
      <w:outlineLvl w:val="3"/>
    </w:pPr>
    <w:rPr>
      <w:rFonts w:cs="Times New Roman"/>
      <w:b/>
      <w:sz w:val="24"/>
      <w:szCs w:val="24"/>
    </w:rPr>
  </w:style>
  <w:style w:type="paragraph" w:styleId="7">
    <w:name w:val="heading 5"/>
    <w:basedOn w:val="6"/>
    <w:next w:val="6"/>
    <w:link w:val="64"/>
    <w:qFormat/>
    <w:uiPriority w:val="9"/>
    <w:pPr>
      <w:keepNext/>
      <w:keepLines/>
      <w:spacing w:before="220" w:after="40"/>
      <w:outlineLvl w:val="4"/>
    </w:pPr>
    <w:rPr>
      <w:rFonts w:cs="Times New Roman"/>
      <w:b/>
      <w:sz w:val="20"/>
      <w:szCs w:val="20"/>
    </w:rPr>
  </w:style>
  <w:style w:type="paragraph" w:styleId="8">
    <w:name w:val="heading 6"/>
    <w:basedOn w:val="6"/>
    <w:next w:val="6"/>
    <w:link w:val="65"/>
    <w:qFormat/>
    <w:uiPriority w:val="9"/>
    <w:pPr>
      <w:keepNext/>
      <w:keepLines/>
      <w:spacing w:before="200" w:after="40"/>
      <w:outlineLvl w:val="5"/>
    </w:pPr>
    <w:rPr>
      <w:rFonts w:cs="Times New Roman"/>
      <w:b/>
      <w:sz w:val="20"/>
      <w:szCs w:val="20"/>
    </w:rPr>
  </w:style>
  <w:style w:type="paragraph" w:styleId="9">
    <w:name w:val="heading 7"/>
    <w:basedOn w:val="1"/>
    <w:next w:val="1"/>
    <w:link w:val="66"/>
    <w:unhideWhenUsed/>
    <w:qFormat/>
    <w:uiPriority w:val="9"/>
    <w:pPr>
      <w:keepNext/>
      <w:keepLines/>
      <w:spacing w:before="240" w:after="240" w:line="240" w:lineRule="auto"/>
      <w:outlineLvl w:val="6"/>
    </w:pPr>
    <w:rPr>
      <w:rFonts w:ascii="Times New Roman" w:hAnsi="Times New Roman" w:eastAsia="Times New Roman"/>
      <w:b/>
      <w:iCs/>
      <w:sz w:val="24"/>
    </w:rPr>
  </w:style>
  <w:style w:type="paragraph" w:styleId="10">
    <w:name w:val="heading 8"/>
    <w:basedOn w:val="1"/>
    <w:next w:val="1"/>
    <w:link w:val="351"/>
    <w:unhideWhenUsed/>
    <w:qFormat/>
    <w:uiPriority w:val="9"/>
    <w:pPr>
      <w:keepNext/>
      <w:keepLines/>
      <w:widowControl/>
      <w:spacing w:before="320"/>
      <w:jc w:val="both"/>
      <w:outlineLvl w:val="7"/>
    </w:pPr>
    <w:rPr>
      <w:rFonts w:ascii="Arial" w:hAnsi="Arial" w:eastAsia="Arial"/>
      <w:i/>
      <w:iCs/>
    </w:rPr>
  </w:style>
  <w:style w:type="paragraph" w:styleId="11">
    <w:name w:val="heading 9"/>
    <w:basedOn w:val="1"/>
    <w:next w:val="1"/>
    <w:link w:val="352"/>
    <w:unhideWhenUsed/>
    <w:qFormat/>
    <w:uiPriority w:val="9"/>
    <w:pPr>
      <w:keepNext/>
      <w:keepLines/>
      <w:widowControl/>
      <w:spacing w:before="320"/>
      <w:jc w:val="both"/>
      <w:outlineLvl w:val="8"/>
    </w:pPr>
    <w:rPr>
      <w:rFonts w:ascii="Arial" w:hAnsi="Arial" w:eastAsia="Arial"/>
      <w:i/>
      <w:iCs/>
      <w:sz w:val="21"/>
      <w:szCs w:val="21"/>
    </w:rPr>
  </w:style>
  <w:style w:type="character" w:default="1" w:styleId="12">
    <w:name w:val="Default Paragraph Font"/>
    <w:semiHidden/>
    <w:unhideWhenUsed/>
    <w:qFormat/>
    <w:uiPriority w:val="1"/>
  </w:style>
  <w:style w:type="table" w:default="1" w:styleId="13">
    <w:name w:val="Normal Table"/>
    <w:semiHidden/>
    <w:unhideWhenUsed/>
    <w:qFormat/>
    <w:uiPriority w:val="99"/>
    <w:tblPr>
      <w:tblCellMar>
        <w:top w:w="0" w:type="dxa"/>
        <w:left w:w="108" w:type="dxa"/>
        <w:bottom w:w="0" w:type="dxa"/>
        <w:right w:w="108" w:type="dxa"/>
      </w:tblCellMar>
    </w:tblPr>
  </w:style>
  <w:style w:type="paragraph" w:customStyle="1" w:styleId="6">
    <w:name w:val="Обычный1"/>
    <w:qFormat/>
    <w:uiPriority w:val="0"/>
    <w:pPr>
      <w:widowControl w:val="0"/>
      <w:spacing w:after="200" w:line="276" w:lineRule="auto"/>
    </w:pPr>
    <w:rPr>
      <w:rFonts w:ascii="Calibri" w:hAnsi="Calibri" w:eastAsia="Calibri" w:cs="Calibri"/>
      <w:sz w:val="22"/>
      <w:szCs w:val="22"/>
      <w:lang w:val="ru-RU" w:eastAsia="ru-RU" w:bidi="ar-SA"/>
    </w:rPr>
  </w:style>
  <w:style w:type="character" w:styleId="14">
    <w:name w:val="FollowedHyperlink"/>
    <w:qFormat/>
    <w:uiPriority w:val="99"/>
    <w:rPr>
      <w:color w:val="FF00FF"/>
      <w:u w:val="single"/>
    </w:rPr>
  </w:style>
  <w:style w:type="character" w:styleId="15">
    <w:name w:val="footnote reference"/>
    <w:unhideWhenUsed/>
    <w:qFormat/>
    <w:uiPriority w:val="99"/>
    <w:rPr>
      <w:vertAlign w:val="superscript"/>
    </w:rPr>
  </w:style>
  <w:style w:type="character" w:styleId="16">
    <w:name w:val="annotation reference"/>
    <w:unhideWhenUsed/>
    <w:qFormat/>
    <w:uiPriority w:val="99"/>
    <w:rPr>
      <w:sz w:val="16"/>
      <w:szCs w:val="16"/>
    </w:rPr>
  </w:style>
  <w:style w:type="character" w:styleId="17">
    <w:name w:val="endnote reference"/>
    <w:semiHidden/>
    <w:unhideWhenUsed/>
    <w:qFormat/>
    <w:uiPriority w:val="99"/>
    <w:rPr>
      <w:vertAlign w:val="superscript"/>
    </w:rPr>
  </w:style>
  <w:style w:type="character" w:styleId="18">
    <w:name w:val="Emphasis"/>
    <w:qFormat/>
    <w:uiPriority w:val="20"/>
    <w:rPr>
      <w:i/>
      <w:iCs/>
    </w:rPr>
  </w:style>
  <w:style w:type="character" w:styleId="19">
    <w:name w:val="Hyperlink"/>
    <w:unhideWhenUsed/>
    <w:qFormat/>
    <w:uiPriority w:val="99"/>
    <w:rPr>
      <w:color w:val="0563C1"/>
      <w:u w:val="single"/>
    </w:rPr>
  </w:style>
  <w:style w:type="character" w:styleId="20">
    <w:name w:val="page number"/>
    <w:uiPriority w:val="0"/>
    <w:rPr>
      <w:rFonts w:cs="Times New Roman"/>
    </w:rPr>
  </w:style>
  <w:style w:type="character" w:styleId="21">
    <w:name w:val="Strong"/>
    <w:qFormat/>
    <w:uiPriority w:val="22"/>
    <w:rPr>
      <w:b/>
      <w:bCs/>
    </w:rPr>
  </w:style>
  <w:style w:type="character" w:styleId="22">
    <w:name w:val="HTML Cite"/>
    <w:uiPriority w:val="0"/>
    <w:rPr>
      <w:rFonts w:hint="default" w:ascii="Times New Roman" w:hAnsi="Times New Roman" w:cs="Times New Roman"/>
      <w:i/>
      <w:iCs/>
    </w:rPr>
  </w:style>
  <w:style w:type="paragraph" w:styleId="23">
    <w:name w:val="Balloon Text"/>
    <w:basedOn w:val="1"/>
    <w:link w:val="72"/>
    <w:unhideWhenUsed/>
    <w:qFormat/>
    <w:uiPriority w:val="99"/>
    <w:pPr>
      <w:spacing w:after="0" w:line="240" w:lineRule="auto"/>
    </w:pPr>
    <w:rPr>
      <w:rFonts w:ascii="Tahoma" w:hAnsi="Tahoma"/>
      <w:sz w:val="16"/>
      <w:szCs w:val="16"/>
      <w:lang w:eastAsia="ru-RU"/>
    </w:rPr>
  </w:style>
  <w:style w:type="paragraph" w:styleId="24">
    <w:name w:val="Body Text 2"/>
    <w:basedOn w:val="1"/>
    <w:link w:val="794"/>
    <w:unhideWhenUsed/>
    <w:qFormat/>
    <w:uiPriority w:val="99"/>
    <w:pPr>
      <w:widowControl/>
      <w:spacing w:after="120" w:line="480" w:lineRule="auto"/>
    </w:pPr>
  </w:style>
  <w:style w:type="paragraph" w:styleId="25">
    <w:name w:val="Body Text Indent 3"/>
    <w:basedOn w:val="1"/>
    <w:link w:val="2457"/>
    <w:unhideWhenUsed/>
    <w:qFormat/>
    <w:uiPriority w:val="99"/>
    <w:pPr>
      <w:widowControl/>
      <w:spacing w:after="120" w:line="259" w:lineRule="auto"/>
      <w:ind w:left="283"/>
    </w:pPr>
    <w:rPr>
      <w:sz w:val="16"/>
      <w:szCs w:val="16"/>
    </w:rPr>
  </w:style>
  <w:style w:type="paragraph" w:styleId="26">
    <w:name w:val="endnote text"/>
    <w:basedOn w:val="1"/>
    <w:link w:val="78"/>
    <w:semiHidden/>
    <w:unhideWhenUsed/>
    <w:qFormat/>
    <w:uiPriority w:val="99"/>
    <w:pPr>
      <w:spacing w:after="0" w:line="240" w:lineRule="auto"/>
    </w:pPr>
    <w:rPr>
      <w:sz w:val="20"/>
      <w:szCs w:val="20"/>
      <w:lang w:eastAsia="ru-RU"/>
    </w:rPr>
  </w:style>
  <w:style w:type="paragraph" w:styleId="27">
    <w:name w:val="caption"/>
    <w:basedOn w:val="1"/>
    <w:qFormat/>
    <w:uiPriority w:val="35"/>
    <w:pPr>
      <w:widowControl/>
      <w:suppressLineNumbers/>
      <w:pBdr>
        <w:top w:val="none" w:color="000000" w:sz="0" w:space="0"/>
        <w:left w:val="none" w:color="000000" w:sz="0" w:space="0"/>
        <w:bottom w:val="none" w:color="000000" w:sz="0" w:space="0"/>
        <w:right w:val="none" w:color="000000" w:sz="0" w:space="0"/>
      </w:pBdr>
      <w:suppressAutoHyphens/>
      <w:spacing w:before="120" w:after="120"/>
    </w:pPr>
    <w:rPr>
      <w:rFonts w:cs="Mangal"/>
      <w:i/>
      <w:iCs/>
      <w:color w:val="000000"/>
      <w:sz w:val="24"/>
      <w:szCs w:val="24"/>
      <w:lang w:eastAsia="zh-CN"/>
    </w:rPr>
  </w:style>
  <w:style w:type="paragraph" w:styleId="28">
    <w:name w:val="annotation text"/>
    <w:basedOn w:val="1"/>
    <w:link w:val="73"/>
    <w:unhideWhenUsed/>
    <w:qFormat/>
    <w:uiPriority w:val="99"/>
    <w:pPr>
      <w:spacing w:line="240" w:lineRule="auto"/>
    </w:pPr>
    <w:rPr>
      <w:sz w:val="20"/>
      <w:szCs w:val="20"/>
    </w:rPr>
  </w:style>
  <w:style w:type="paragraph" w:styleId="29">
    <w:name w:val="index 1"/>
    <w:basedOn w:val="1"/>
    <w:next w:val="1"/>
    <w:autoRedefine/>
    <w:semiHidden/>
    <w:unhideWhenUsed/>
    <w:qFormat/>
    <w:uiPriority w:val="99"/>
    <w:pPr>
      <w:ind w:left="220" w:hanging="220"/>
    </w:pPr>
  </w:style>
  <w:style w:type="paragraph" w:styleId="30">
    <w:name w:val="annotation subject"/>
    <w:basedOn w:val="28"/>
    <w:next w:val="28"/>
    <w:link w:val="74"/>
    <w:unhideWhenUsed/>
    <w:qFormat/>
    <w:uiPriority w:val="99"/>
    <w:rPr>
      <w:b/>
      <w:bCs/>
    </w:rPr>
  </w:style>
  <w:style w:type="paragraph" w:styleId="31">
    <w:name w:val="footnote text"/>
    <w:basedOn w:val="1"/>
    <w:link w:val="75"/>
    <w:unhideWhenUsed/>
    <w:qFormat/>
    <w:uiPriority w:val="99"/>
    <w:pPr>
      <w:spacing w:after="0" w:line="240" w:lineRule="auto"/>
    </w:pPr>
    <w:rPr>
      <w:sz w:val="20"/>
      <w:szCs w:val="20"/>
      <w:lang w:eastAsia="ru-RU"/>
    </w:rPr>
  </w:style>
  <w:style w:type="paragraph" w:styleId="32">
    <w:name w:val="toc 8"/>
    <w:basedOn w:val="1"/>
    <w:next w:val="1"/>
    <w:autoRedefine/>
    <w:unhideWhenUsed/>
    <w:qFormat/>
    <w:uiPriority w:val="39"/>
    <w:pPr>
      <w:spacing w:after="0"/>
      <w:ind w:left="1540"/>
    </w:pPr>
    <w:rPr>
      <w:rFonts w:cs="Calibri"/>
      <w:sz w:val="20"/>
      <w:szCs w:val="20"/>
    </w:rPr>
  </w:style>
  <w:style w:type="paragraph" w:styleId="33">
    <w:name w:val="header"/>
    <w:basedOn w:val="1"/>
    <w:link w:val="68"/>
    <w:unhideWhenUsed/>
    <w:qFormat/>
    <w:uiPriority w:val="99"/>
    <w:pPr>
      <w:tabs>
        <w:tab w:val="center" w:pos="4677"/>
        <w:tab w:val="right" w:pos="9355"/>
      </w:tabs>
      <w:spacing w:after="0" w:line="240" w:lineRule="auto"/>
    </w:pPr>
    <w:rPr>
      <w:sz w:val="20"/>
      <w:szCs w:val="20"/>
    </w:rPr>
  </w:style>
  <w:style w:type="paragraph" w:styleId="34">
    <w:name w:val="toc 9"/>
    <w:basedOn w:val="1"/>
    <w:next w:val="1"/>
    <w:autoRedefine/>
    <w:unhideWhenUsed/>
    <w:qFormat/>
    <w:uiPriority w:val="39"/>
    <w:pPr>
      <w:spacing w:after="0"/>
      <w:ind w:left="1760"/>
    </w:pPr>
    <w:rPr>
      <w:rFonts w:cs="Calibri"/>
      <w:sz w:val="20"/>
      <w:szCs w:val="20"/>
    </w:rPr>
  </w:style>
  <w:style w:type="paragraph" w:styleId="35">
    <w:name w:val="toc 7"/>
    <w:basedOn w:val="1"/>
    <w:next w:val="1"/>
    <w:autoRedefine/>
    <w:unhideWhenUsed/>
    <w:qFormat/>
    <w:uiPriority w:val="39"/>
    <w:pPr>
      <w:spacing w:after="0"/>
      <w:ind w:left="1320"/>
    </w:pPr>
    <w:rPr>
      <w:rFonts w:cs="Calibri"/>
      <w:sz w:val="20"/>
      <w:szCs w:val="20"/>
    </w:rPr>
  </w:style>
  <w:style w:type="paragraph" w:styleId="36">
    <w:name w:val="Body Text"/>
    <w:basedOn w:val="1"/>
    <w:link w:val="89"/>
    <w:qFormat/>
    <w:uiPriority w:val="1"/>
    <w:pPr>
      <w:autoSpaceDE w:val="0"/>
      <w:autoSpaceDN w:val="0"/>
      <w:spacing w:after="0" w:line="240" w:lineRule="auto"/>
      <w:ind w:left="157" w:right="155" w:firstLine="226"/>
      <w:jc w:val="both"/>
    </w:pPr>
    <w:rPr>
      <w:rFonts w:ascii="Bookman Old Style" w:hAnsi="Bookman Old Style" w:eastAsia="Bookman Old Style"/>
      <w:sz w:val="20"/>
      <w:szCs w:val="20"/>
    </w:rPr>
  </w:style>
  <w:style w:type="paragraph" w:styleId="37">
    <w:name w:val="toc 1"/>
    <w:basedOn w:val="1"/>
    <w:next w:val="1"/>
    <w:autoRedefine/>
    <w:unhideWhenUsed/>
    <w:qFormat/>
    <w:uiPriority w:val="39"/>
    <w:pPr>
      <w:spacing w:before="120" w:after="0"/>
    </w:pPr>
    <w:rPr>
      <w:rFonts w:cs="Calibri"/>
      <w:b/>
      <w:bCs/>
      <w:i/>
      <w:iCs/>
      <w:sz w:val="24"/>
      <w:szCs w:val="24"/>
    </w:rPr>
  </w:style>
  <w:style w:type="paragraph" w:styleId="38">
    <w:name w:val="toc 6"/>
    <w:basedOn w:val="1"/>
    <w:next w:val="1"/>
    <w:autoRedefine/>
    <w:unhideWhenUsed/>
    <w:qFormat/>
    <w:uiPriority w:val="39"/>
    <w:pPr>
      <w:spacing w:after="0"/>
      <w:ind w:left="1100"/>
    </w:pPr>
    <w:rPr>
      <w:rFonts w:cs="Calibri"/>
      <w:sz w:val="20"/>
      <w:szCs w:val="20"/>
    </w:rPr>
  </w:style>
  <w:style w:type="paragraph" w:styleId="39">
    <w:name w:val="table of figures"/>
    <w:basedOn w:val="1"/>
    <w:next w:val="1"/>
    <w:unhideWhenUsed/>
    <w:qFormat/>
    <w:uiPriority w:val="99"/>
    <w:pPr>
      <w:widowControl/>
      <w:spacing w:after="0"/>
      <w:jc w:val="both"/>
    </w:pPr>
    <w:rPr>
      <w:rFonts w:ascii="Times New Roman" w:hAnsi="Times New Roman"/>
      <w:sz w:val="28"/>
    </w:rPr>
  </w:style>
  <w:style w:type="paragraph" w:styleId="40">
    <w:name w:val="toc 3"/>
    <w:basedOn w:val="1"/>
    <w:next w:val="1"/>
    <w:autoRedefine/>
    <w:unhideWhenUsed/>
    <w:qFormat/>
    <w:uiPriority w:val="39"/>
    <w:pPr>
      <w:tabs>
        <w:tab w:val="left" w:pos="0"/>
        <w:tab w:val="right" w:leader="dot" w:pos="9912"/>
      </w:tabs>
      <w:spacing w:after="0" w:line="240" w:lineRule="auto"/>
      <w:ind w:firstLine="567"/>
      <w:jc w:val="both"/>
    </w:pPr>
    <w:rPr>
      <w:rFonts w:cs="Calibri"/>
      <w:sz w:val="20"/>
      <w:szCs w:val="20"/>
    </w:rPr>
  </w:style>
  <w:style w:type="paragraph" w:styleId="41">
    <w:name w:val="toc 2"/>
    <w:basedOn w:val="1"/>
    <w:next w:val="1"/>
    <w:autoRedefine/>
    <w:unhideWhenUsed/>
    <w:qFormat/>
    <w:uiPriority w:val="39"/>
    <w:pPr>
      <w:spacing w:before="120" w:after="0"/>
      <w:ind w:left="220"/>
    </w:pPr>
    <w:rPr>
      <w:rFonts w:cs="Calibri"/>
      <w:b/>
      <w:bCs/>
    </w:rPr>
  </w:style>
  <w:style w:type="paragraph" w:styleId="42">
    <w:name w:val="toc 4"/>
    <w:basedOn w:val="1"/>
    <w:next w:val="1"/>
    <w:autoRedefine/>
    <w:unhideWhenUsed/>
    <w:qFormat/>
    <w:uiPriority w:val="39"/>
    <w:pPr>
      <w:spacing w:after="0"/>
      <w:ind w:left="660"/>
    </w:pPr>
    <w:rPr>
      <w:rFonts w:cs="Calibri"/>
      <w:sz w:val="20"/>
      <w:szCs w:val="20"/>
    </w:rPr>
  </w:style>
  <w:style w:type="paragraph" w:styleId="43">
    <w:name w:val="toc 5"/>
    <w:basedOn w:val="1"/>
    <w:next w:val="1"/>
    <w:autoRedefine/>
    <w:unhideWhenUsed/>
    <w:qFormat/>
    <w:uiPriority w:val="39"/>
    <w:pPr>
      <w:spacing w:after="0"/>
      <w:ind w:left="880"/>
    </w:pPr>
    <w:rPr>
      <w:rFonts w:cs="Calibri"/>
      <w:sz w:val="20"/>
      <w:szCs w:val="20"/>
    </w:rPr>
  </w:style>
  <w:style w:type="paragraph" w:styleId="44">
    <w:name w:val="Body Text First Indent"/>
    <w:basedOn w:val="36"/>
    <w:link w:val="715"/>
    <w:semiHidden/>
    <w:unhideWhenUsed/>
    <w:qFormat/>
    <w:uiPriority w:val="0"/>
    <w:pPr>
      <w:widowControl/>
      <w:autoSpaceDE/>
      <w:autoSpaceDN/>
      <w:spacing w:after="120"/>
      <w:ind w:left="0" w:right="0" w:firstLine="210"/>
    </w:pPr>
    <w:rPr>
      <w:rFonts w:ascii="Courier New" w:hAnsi="Courier New" w:eastAsia="Times New Roman"/>
      <w:sz w:val="24"/>
      <w:szCs w:val="24"/>
    </w:rPr>
  </w:style>
  <w:style w:type="paragraph" w:styleId="45">
    <w:name w:val="Body Text Indent"/>
    <w:link w:val="329"/>
    <w:qFormat/>
    <w:uiPriority w:val="99"/>
    <w:pPr>
      <w:pBdr>
        <w:top w:val="none" w:color="000000" w:sz="0" w:space="0"/>
        <w:left w:val="none" w:color="000000" w:sz="0" w:space="0"/>
        <w:bottom w:val="none" w:color="000000" w:sz="0" w:space="0"/>
        <w:right w:val="none" w:color="000000" w:sz="0" w:space="0"/>
      </w:pBdr>
      <w:suppressAutoHyphens/>
      <w:spacing w:after="120" w:line="276" w:lineRule="auto"/>
      <w:ind w:left="283"/>
    </w:pPr>
    <w:rPr>
      <w:rFonts w:ascii="Calibri" w:hAnsi="Calibri" w:eastAsia="Calibri" w:cs="Times New Roman"/>
      <w:color w:val="000000"/>
      <w:sz w:val="22"/>
      <w:szCs w:val="22"/>
      <w:lang w:val="ru-RU" w:eastAsia="zh-CN" w:bidi="ar-SA"/>
    </w:rPr>
  </w:style>
  <w:style w:type="paragraph" w:styleId="46">
    <w:name w:val="Title"/>
    <w:basedOn w:val="6"/>
    <w:next w:val="6"/>
    <w:link w:val="70"/>
    <w:qFormat/>
    <w:uiPriority w:val="1"/>
    <w:pPr>
      <w:keepNext/>
      <w:keepLines/>
      <w:spacing w:before="480" w:after="120"/>
    </w:pPr>
    <w:rPr>
      <w:rFonts w:cs="Times New Roman"/>
      <w:b/>
      <w:sz w:val="72"/>
      <w:szCs w:val="72"/>
    </w:rPr>
  </w:style>
  <w:style w:type="paragraph" w:styleId="47">
    <w:name w:val="footer"/>
    <w:basedOn w:val="1"/>
    <w:link w:val="69"/>
    <w:unhideWhenUsed/>
    <w:qFormat/>
    <w:uiPriority w:val="99"/>
    <w:pPr>
      <w:tabs>
        <w:tab w:val="center" w:pos="4677"/>
        <w:tab w:val="right" w:pos="9355"/>
      </w:tabs>
      <w:spacing w:after="0" w:line="240" w:lineRule="auto"/>
    </w:pPr>
    <w:rPr>
      <w:sz w:val="20"/>
      <w:szCs w:val="20"/>
    </w:rPr>
  </w:style>
  <w:style w:type="paragraph" w:styleId="48">
    <w:name w:val="List"/>
    <w:basedOn w:val="36"/>
    <w:qFormat/>
    <w:uiPriority w:val="99"/>
    <w:pPr>
      <w:widowControl/>
      <w:pBdr>
        <w:top w:val="none" w:color="000000" w:sz="0" w:space="0"/>
        <w:left w:val="none" w:color="000000" w:sz="0" w:space="0"/>
        <w:bottom w:val="none" w:color="000000" w:sz="0" w:space="0"/>
        <w:right w:val="none" w:color="000000" w:sz="0" w:space="0"/>
      </w:pBdr>
      <w:suppressAutoHyphens/>
      <w:autoSpaceDE/>
      <w:autoSpaceDN/>
      <w:spacing w:after="120" w:line="276" w:lineRule="auto"/>
      <w:ind w:left="0" w:right="0" w:firstLine="0"/>
      <w:jc w:val="left"/>
    </w:pPr>
    <w:rPr>
      <w:rFonts w:ascii="Calibri" w:hAnsi="Calibri" w:eastAsia="Calibri" w:cs="Mangal"/>
      <w:color w:val="000000"/>
      <w:sz w:val="22"/>
      <w:szCs w:val="22"/>
      <w:lang w:eastAsia="zh-CN"/>
    </w:rPr>
  </w:style>
  <w:style w:type="paragraph" w:styleId="49">
    <w:name w:val="Normal (Web)"/>
    <w:basedOn w:val="1"/>
    <w:link w:val="2052"/>
    <w:unhideWhenUsed/>
    <w:qFormat/>
    <w:uiPriority w:val="99"/>
    <w:pPr>
      <w:widowControl/>
      <w:spacing w:before="100" w:beforeAutospacing="1" w:after="100" w:afterAutospacing="1" w:line="240" w:lineRule="auto"/>
    </w:pPr>
    <w:rPr>
      <w:rFonts w:ascii="Times New Roman" w:hAnsi="Times New Roman" w:eastAsia="Times New Roman"/>
      <w:sz w:val="24"/>
      <w:szCs w:val="24"/>
    </w:rPr>
  </w:style>
  <w:style w:type="paragraph" w:styleId="50">
    <w:name w:val="Body Text 3"/>
    <w:basedOn w:val="1"/>
    <w:link w:val="754"/>
    <w:unhideWhenUsed/>
    <w:qFormat/>
    <w:uiPriority w:val="99"/>
    <w:pPr>
      <w:widowControl/>
      <w:shd w:val="clear" w:color="auto" w:fill="FFFFFF"/>
      <w:spacing w:after="0" w:line="240" w:lineRule="auto"/>
      <w:jc w:val="both"/>
    </w:pPr>
    <w:rPr>
      <w:rFonts w:ascii="Times New Roman" w:hAnsi="Times New Roman" w:eastAsia="Times New Roman"/>
      <w:strike/>
      <w:sz w:val="24"/>
      <w:szCs w:val="24"/>
    </w:rPr>
  </w:style>
  <w:style w:type="paragraph" w:styleId="51">
    <w:name w:val="Body Text Indent 2"/>
    <w:basedOn w:val="1"/>
    <w:link w:val="319"/>
    <w:unhideWhenUsed/>
    <w:qFormat/>
    <w:uiPriority w:val="99"/>
    <w:pPr>
      <w:widowControl/>
      <w:tabs>
        <w:tab w:val="left" w:pos="567"/>
        <w:tab w:val="left" w:pos="851"/>
      </w:tabs>
      <w:spacing w:after="0" w:line="360" w:lineRule="auto"/>
      <w:ind w:firstLine="709"/>
      <w:contextualSpacing/>
      <w:jc w:val="both"/>
    </w:pPr>
    <w:rPr>
      <w:color w:val="000000"/>
    </w:rPr>
  </w:style>
  <w:style w:type="paragraph" w:styleId="52">
    <w:name w:val="Subtitle"/>
    <w:basedOn w:val="6"/>
    <w:next w:val="6"/>
    <w:link w:val="71"/>
    <w:qFormat/>
    <w:uiPriority w:val="11"/>
    <w:pPr>
      <w:keepNext/>
      <w:keepLines/>
      <w:spacing w:before="360" w:after="80"/>
    </w:pPr>
    <w:rPr>
      <w:rFonts w:ascii="Georgia" w:hAnsi="Georgia" w:eastAsia="Georgia" w:cs="Times New Roman"/>
      <w:i/>
      <w:color w:val="666666"/>
      <w:sz w:val="48"/>
      <w:szCs w:val="48"/>
    </w:rPr>
  </w:style>
  <w:style w:type="paragraph" w:styleId="53">
    <w:name w:val="Signature"/>
    <w:basedOn w:val="54"/>
    <w:link w:val="2030"/>
    <w:qFormat/>
    <w:uiPriority w:val="0"/>
    <w:pPr>
      <w:autoSpaceDE/>
      <w:autoSpaceDN/>
      <w:adjustRightInd/>
      <w:spacing w:before="57" w:line="194" w:lineRule="atLeast"/>
      <w:ind w:firstLine="0"/>
      <w:jc w:val="center"/>
    </w:pPr>
    <w:rPr>
      <w:rFonts w:eastAsia="Times New Roman"/>
      <w:sz w:val="19"/>
      <w:szCs w:val="19"/>
    </w:rPr>
  </w:style>
  <w:style w:type="paragraph" w:customStyle="1" w:styleId="54">
    <w:name w:val="Основной"/>
    <w:basedOn w:val="1"/>
    <w:link w:val="81"/>
    <w:qFormat/>
    <w:uiPriority w:val="0"/>
    <w:pPr>
      <w:widowControl/>
      <w:autoSpaceDE w:val="0"/>
      <w:autoSpaceDN w:val="0"/>
      <w:adjustRightInd w:val="0"/>
      <w:spacing w:after="0" w:line="214" w:lineRule="atLeast"/>
      <w:ind w:firstLine="283"/>
      <w:jc w:val="both"/>
    </w:pPr>
    <w:rPr>
      <w:rFonts w:ascii="NewtonCSanPin" w:hAnsi="NewtonCSanPin"/>
      <w:color w:val="000000"/>
      <w:sz w:val="21"/>
      <w:szCs w:val="21"/>
    </w:rPr>
  </w:style>
  <w:style w:type="paragraph" w:styleId="55">
    <w:name w:val="List 2"/>
    <w:basedOn w:val="1"/>
    <w:semiHidden/>
    <w:unhideWhenUsed/>
    <w:qFormat/>
    <w:uiPriority w:val="0"/>
    <w:pPr>
      <w:widowControl/>
      <w:spacing w:after="0" w:line="240" w:lineRule="auto"/>
      <w:ind w:left="566" w:hanging="283"/>
      <w:jc w:val="both"/>
    </w:pPr>
    <w:rPr>
      <w:rFonts w:ascii="Courier New" w:hAnsi="Courier New" w:eastAsia="Times New Roman"/>
      <w:sz w:val="20"/>
      <w:szCs w:val="20"/>
      <w:lang w:eastAsia="ru-RU"/>
    </w:rPr>
  </w:style>
  <w:style w:type="paragraph" w:styleId="56">
    <w:name w:val="List 3"/>
    <w:basedOn w:val="1"/>
    <w:semiHidden/>
    <w:unhideWhenUsed/>
    <w:qFormat/>
    <w:uiPriority w:val="0"/>
    <w:pPr>
      <w:widowControl/>
      <w:spacing w:after="0" w:line="240" w:lineRule="auto"/>
      <w:ind w:left="849" w:hanging="283"/>
    </w:pPr>
    <w:rPr>
      <w:rFonts w:ascii="Times New Roman" w:hAnsi="Times New Roman" w:eastAsia="Times New Roman"/>
      <w:sz w:val="24"/>
      <w:szCs w:val="24"/>
      <w:lang w:eastAsia="ru-RU"/>
    </w:rPr>
  </w:style>
  <w:style w:type="paragraph" w:styleId="57">
    <w:name w:val="Message Header"/>
    <w:basedOn w:val="58"/>
    <w:link w:val="2027"/>
    <w:qFormat/>
    <w:uiPriority w:val="0"/>
    <w:pPr>
      <w:tabs>
        <w:tab w:val="left" w:pos="4500"/>
        <w:tab w:val="left" w:pos="9180"/>
        <w:tab w:val="left" w:pos="9360"/>
      </w:tabs>
      <w:jc w:val="center"/>
    </w:pPr>
    <w:rPr>
      <w:b/>
      <w:bCs/>
    </w:rPr>
  </w:style>
  <w:style w:type="paragraph" w:customStyle="1" w:styleId="58">
    <w:name w:val="Таблица"/>
    <w:basedOn w:val="54"/>
    <w:qFormat/>
    <w:uiPriority w:val="0"/>
    <w:pPr>
      <w:tabs>
        <w:tab w:val="left" w:pos="4500"/>
        <w:tab w:val="left" w:pos="9180"/>
        <w:tab w:val="left" w:pos="9360"/>
      </w:tabs>
      <w:autoSpaceDE/>
      <w:autoSpaceDN/>
      <w:adjustRightInd/>
      <w:spacing w:line="194" w:lineRule="atLeast"/>
      <w:ind w:firstLine="0"/>
      <w:jc w:val="left"/>
    </w:pPr>
    <w:rPr>
      <w:rFonts w:eastAsia="Times New Roman"/>
      <w:sz w:val="19"/>
      <w:szCs w:val="19"/>
      <w:lang w:eastAsia="ru-RU"/>
    </w:rPr>
  </w:style>
  <w:style w:type="table" w:styleId="59">
    <w:name w:val="Table Grid"/>
    <w:basedOn w:val="13"/>
    <w:qFormat/>
    <w:uiPriority w:val="59"/>
    <w:rPr>
      <w:sz w:val="22"/>
      <w:szCs w:val="22"/>
      <w:lang w:eastAsia="en-US"/>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customStyle="1" w:styleId="60">
    <w:name w:val="Заголовок 1 Знак"/>
    <w:link w:val="2"/>
    <w:qFormat/>
    <w:uiPriority w:val="0"/>
    <w:rPr>
      <w:rFonts w:ascii="Times New Roman" w:hAnsi="Times New Roman" w:eastAsia="Times New Roman" w:cs="Times New Roman"/>
      <w:b/>
      <w:sz w:val="28"/>
      <w:szCs w:val="32"/>
    </w:rPr>
  </w:style>
  <w:style w:type="character" w:customStyle="1" w:styleId="61">
    <w:name w:val="Заголовок 2 Знак"/>
    <w:link w:val="3"/>
    <w:qFormat/>
    <w:uiPriority w:val="9"/>
    <w:rPr>
      <w:rFonts w:ascii="Times New Roman" w:hAnsi="Times New Roman" w:eastAsia="Times New Roman" w:cs="Times New Roman"/>
      <w:b/>
      <w:caps/>
      <w:sz w:val="26"/>
      <w:szCs w:val="26"/>
    </w:rPr>
  </w:style>
  <w:style w:type="character" w:customStyle="1" w:styleId="62">
    <w:name w:val="Заголовок 3 Знак"/>
    <w:link w:val="4"/>
    <w:qFormat/>
    <w:uiPriority w:val="9"/>
    <w:rPr>
      <w:rFonts w:ascii="Times New Roman" w:hAnsi="Times New Roman" w:eastAsia="OfficinaSansBoldITC"/>
      <w:sz w:val="24"/>
      <w:szCs w:val="24"/>
      <w:lang w:eastAsia="en-US"/>
    </w:rPr>
  </w:style>
  <w:style w:type="character" w:customStyle="1" w:styleId="63">
    <w:name w:val="Заголовок 4 Знак"/>
    <w:link w:val="5"/>
    <w:qFormat/>
    <w:uiPriority w:val="0"/>
    <w:rPr>
      <w:rFonts w:ascii="Calibri" w:hAnsi="Calibri" w:eastAsia="Calibri" w:cs="Calibri"/>
      <w:b/>
      <w:sz w:val="24"/>
      <w:szCs w:val="24"/>
      <w:lang w:eastAsia="ru-RU"/>
    </w:rPr>
  </w:style>
  <w:style w:type="character" w:customStyle="1" w:styleId="64">
    <w:name w:val="Заголовок 5 Знак"/>
    <w:link w:val="7"/>
    <w:qFormat/>
    <w:uiPriority w:val="9"/>
    <w:rPr>
      <w:rFonts w:ascii="Calibri" w:hAnsi="Calibri" w:eastAsia="Calibri" w:cs="Calibri"/>
      <w:b/>
      <w:lang w:eastAsia="ru-RU"/>
    </w:rPr>
  </w:style>
  <w:style w:type="character" w:customStyle="1" w:styleId="65">
    <w:name w:val="Заголовок 6 Знак"/>
    <w:link w:val="8"/>
    <w:qFormat/>
    <w:uiPriority w:val="9"/>
    <w:rPr>
      <w:rFonts w:ascii="Calibri" w:hAnsi="Calibri" w:eastAsia="Calibri" w:cs="Calibri"/>
      <w:b/>
      <w:sz w:val="20"/>
      <w:szCs w:val="20"/>
      <w:lang w:eastAsia="ru-RU"/>
    </w:rPr>
  </w:style>
  <w:style w:type="character" w:customStyle="1" w:styleId="66">
    <w:name w:val="Заголовок 7 Знак"/>
    <w:link w:val="9"/>
    <w:qFormat/>
    <w:uiPriority w:val="9"/>
    <w:rPr>
      <w:rFonts w:ascii="Times New Roman" w:hAnsi="Times New Roman" w:eastAsia="Times New Roman"/>
      <w:b/>
      <w:iCs/>
      <w:sz w:val="24"/>
      <w:szCs w:val="22"/>
      <w:lang w:val="en-US" w:eastAsia="en-US"/>
    </w:rPr>
  </w:style>
  <w:style w:type="paragraph" w:styleId="67">
    <w:name w:val="List Paragraph"/>
    <w:basedOn w:val="1"/>
    <w:link w:val="88"/>
    <w:qFormat/>
    <w:uiPriority w:val="34"/>
    <w:pPr>
      <w:ind w:left="720"/>
      <w:contextualSpacing/>
    </w:pPr>
  </w:style>
  <w:style w:type="character" w:customStyle="1" w:styleId="68">
    <w:name w:val="Верхний колонтитул Знак"/>
    <w:link w:val="33"/>
    <w:qFormat/>
    <w:uiPriority w:val="99"/>
    <w:rPr>
      <w:lang w:val="en-US"/>
    </w:rPr>
  </w:style>
  <w:style w:type="character" w:customStyle="1" w:styleId="69">
    <w:name w:val="Нижний колонтитул Знак"/>
    <w:link w:val="47"/>
    <w:qFormat/>
    <w:uiPriority w:val="99"/>
    <w:rPr>
      <w:lang w:val="en-US"/>
    </w:rPr>
  </w:style>
  <w:style w:type="character" w:customStyle="1" w:styleId="70">
    <w:name w:val="Название Знак"/>
    <w:link w:val="46"/>
    <w:qFormat/>
    <w:uiPriority w:val="1"/>
    <w:rPr>
      <w:rFonts w:ascii="Calibri" w:hAnsi="Calibri" w:eastAsia="Calibri" w:cs="Calibri"/>
      <w:b/>
      <w:sz w:val="72"/>
      <w:szCs w:val="72"/>
      <w:lang w:eastAsia="ru-RU"/>
    </w:rPr>
  </w:style>
  <w:style w:type="character" w:customStyle="1" w:styleId="71">
    <w:name w:val="Подзаголовок Знак"/>
    <w:link w:val="52"/>
    <w:qFormat/>
    <w:uiPriority w:val="11"/>
    <w:rPr>
      <w:rFonts w:ascii="Georgia" w:hAnsi="Georgia" w:eastAsia="Georgia" w:cs="Georgia"/>
      <w:i/>
      <w:color w:val="666666"/>
      <w:sz w:val="48"/>
      <w:szCs w:val="48"/>
      <w:lang w:eastAsia="ru-RU"/>
    </w:rPr>
  </w:style>
  <w:style w:type="character" w:customStyle="1" w:styleId="72">
    <w:name w:val="Текст выноски Знак"/>
    <w:link w:val="23"/>
    <w:qFormat/>
    <w:uiPriority w:val="99"/>
    <w:rPr>
      <w:rFonts w:ascii="Tahoma" w:hAnsi="Tahoma" w:eastAsia="Calibri" w:cs="Tahoma"/>
      <w:sz w:val="16"/>
      <w:szCs w:val="16"/>
      <w:lang w:eastAsia="ru-RU"/>
    </w:rPr>
  </w:style>
  <w:style w:type="character" w:customStyle="1" w:styleId="73">
    <w:name w:val="Текст примечания Знак"/>
    <w:link w:val="28"/>
    <w:qFormat/>
    <w:uiPriority w:val="99"/>
    <w:rPr>
      <w:sz w:val="20"/>
      <w:szCs w:val="20"/>
      <w:lang w:val="en-US"/>
    </w:rPr>
  </w:style>
  <w:style w:type="character" w:customStyle="1" w:styleId="74">
    <w:name w:val="Тема примечания Знак"/>
    <w:link w:val="30"/>
    <w:qFormat/>
    <w:uiPriority w:val="99"/>
    <w:rPr>
      <w:b/>
      <w:bCs/>
      <w:sz w:val="20"/>
      <w:szCs w:val="20"/>
      <w:lang w:val="en-US"/>
    </w:rPr>
  </w:style>
  <w:style w:type="character" w:customStyle="1" w:styleId="75">
    <w:name w:val="Текст сноски Знак"/>
    <w:link w:val="31"/>
    <w:qFormat/>
    <w:uiPriority w:val="99"/>
    <w:rPr>
      <w:rFonts w:ascii="Calibri" w:hAnsi="Calibri" w:eastAsia="Calibri" w:cs="Calibri"/>
      <w:sz w:val="20"/>
      <w:szCs w:val="20"/>
      <w:lang w:eastAsia="ru-RU"/>
    </w:rPr>
  </w:style>
  <w:style w:type="paragraph" w:customStyle="1" w:styleId="76">
    <w:name w:val="msonormal"/>
    <w:basedOn w:val="1"/>
    <w:qFormat/>
    <w:uiPriority w:val="99"/>
    <w:pPr>
      <w:widowControl/>
      <w:spacing w:before="100" w:beforeAutospacing="1" w:after="100" w:afterAutospacing="1" w:line="240" w:lineRule="auto"/>
    </w:pPr>
    <w:rPr>
      <w:rFonts w:ascii="Times New Roman" w:hAnsi="Times New Roman" w:eastAsia="Times New Roman"/>
      <w:sz w:val="24"/>
      <w:szCs w:val="24"/>
      <w:lang w:eastAsia="ru-RU"/>
    </w:rPr>
  </w:style>
  <w:style w:type="character" w:customStyle="1" w:styleId="77">
    <w:name w:val="apple-tab-span"/>
    <w:basedOn w:val="12"/>
    <w:qFormat/>
    <w:uiPriority w:val="0"/>
  </w:style>
  <w:style w:type="character" w:customStyle="1" w:styleId="78">
    <w:name w:val="Текст концевой сноски Знак"/>
    <w:link w:val="26"/>
    <w:qFormat/>
    <w:uiPriority w:val="99"/>
    <w:rPr>
      <w:rFonts w:ascii="Calibri" w:hAnsi="Calibri" w:eastAsia="Calibri" w:cs="Calibri"/>
      <w:sz w:val="20"/>
      <w:szCs w:val="20"/>
      <w:lang w:eastAsia="ru-RU"/>
    </w:rPr>
  </w:style>
  <w:style w:type="paragraph" w:customStyle="1" w:styleId="79">
    <w:name w:val="TOC Heading"/>
    <w:basedOn w:val="2"/>
    <w:next w:val="1"/>
    <w:unhideWhenUsed/>
    <w:qFormat/>
    <w:uiPriority w:val="39"/>
    <w:pPr>
      <w:widowControl/>
      <w:pBdr>
        <w:bottom w:val="none" w:color="auto" w:sz="0" w:space="0"/>
      </w:pBdr>
      <w:spacing w:before="480"/>
      <w:outlineLvl w:val="9"/>
    </w:pPr>
    <w:rPr>
      <w:rFonts w:ascii="Calibri Light" w:hAnsi="Calibri Light"/>
      <w:bCs/>
      <w:color w:val="2F5496"/>
      <w:szCs w:val="28"/>
      <w:lang w:eastAsia="ru-RU"/>
    </w:rPr>
  </w:style>
  <w:style w:type="paragraph" w:customStyle="1" w:styleId="80">
    <w:name w:val="Default"/>
    <w:qFormat/>
    <w:uiPriority w:val="99"/>
    <w:pPr>
      <w:autoSpaceDE w:val="0"/>
      <w:autoSpaceDN w:val="0"/>
      <w:adjustRightInd w:val="0"/>
    </w:pPr>
    <w:rPr>
      <w:rFonts w:ascii="Arial" w:hAnsi="Arial" w:eastAsia="Calibri" w:cs="Arial"/>
      <w:color w:val="000000"/>
      <w:sz w:val="24"/>
      <w:szCs w:val="24"/>
      <w:lang w:val="ru-RU" w:eastAsia="en-US" w:bidi="ar-SA"/>
    </w:rPr>
  </w:style>
  <w:style w:type="character" w:customStyle="1" w:styleId="81">
    <w:name w:val="Основной Знак"/>
    <w:link w:val="54"/>
    <w:qFormat/>
    <w:locked/>
    <w:uiPriority w:val="0"/>
    <w:rPr>
      <w:rFonts w:ascii="NewtonCSanPin" w:hAnsi="NewtonCSanPin"/>
      <w:color w:val="000000"/>
      <w:sz w:val="21"/>
      <w:szCs w:val="21"/>
    </w:rPr>
  </w:style>
  <w:style w:type="paragraph" w:customStyle="1" w:styleId="82">
    <w:name w:val="Сноска"/>
    <w:basedOn w:val="54"/>
    <w:qFormat/>
    <w:uiPriority w:val="0"/>
    <w:pPr>
      <w:spacing w:line="174" w:lineRule="atLeast"/>
      <w:textAlignment w:val="center"/>
    </w:pPr>
    <w:rPr>
      <w:rFonts w:eastAsia="Times New Roman"/>
      <w:sz w:val="17"/>
      <w:szCs w:val="17"/>
      <w:lang w:eastAsia="ru-RU"/>
    </w:rPr>
  </w:style>
  <w:style w:type="character" w:customStyle="1" w:styleId="83">
    <w:name w:val="Сноска1"/>
    <w:qFormat/>
    <w:uiPriority w:val="0"/>
    <w:rPr>
      <w:rFonts w:ascii="Times New Roman" w:hAnsi="Times New Roman" w:cs="Times New Roman"/>
      <w:vertAlign w:val="superscript"/>
    </w:rPr>
  </w:style>
  <w:style w:type="paragraph" w:customStyle="1" w:styleId="84">
    <w:name w:val="Средняя сетка 21"/>
    <w:basedOn w:val="1"/>
    <w:qFormat/>
    <w:uiPriority w:val="1"/>
    <w:pPr>
      <w:widowControl/>
      <w:numPr>
        <w:ilvl w:val="0"/>
        <w:numId w:val="1"/>
      </w:numPr>
      <w:spacing w:after="0" w:line="360" w:lineRule="auto"/>
      <w:contextualSpacing/>
      <w:jc w:val="both"/>
      <w:outlineLvl w:val="1"/>
    </w:pPr>
    <w:rPr>
      <w:rFonts w:ascii="Times New Roman" w:hAnsi="Times New Roman" w:eastAsia="Times New Roman"/>
      <w:sz w:val="28"/>
      <w:szCs w:val="24"/>
      <w:lang w:eastAsia="ru-RU"/>
    </w:rPr>
  </w:style>
  <w:style w:type="paragraph" w:customStyle="1" w:styleId="85">
    <w:name w:val="ConsPlusNormal"/>
    <w:qFormat/>
    <w:uiPriority w:val="0"/>
    <w:pPr>
      <w:widowControl w:val="0"/>
      <w:pBdr>
        <w:top w:val="none" w:color="auto" w:sz="0" w:space="0"/>
        <w:left w:val="none" w:color="auto" w:sz="0" w:space="0"/>
        <w:bottom w:val="none" w:color="auto" w:sz="0" w:space="0"/>
        <w:right w:val="none" w:color="auto" w:sz="0" w:space="0"/>
        <w:between w:val="none" w:color="auto" w:sz="0" w:space="0"/>
      </w:pBdr>
      <w:spacing w:after="200" w:line="276" w:lineRule="auto"/>
    </w:pPr>
    <w:rPr>
      <w:rFonts w:ascii="Times New Roman" w:hAnsi="Times New Roman" w:eastAsia="Times New Roman" w:cs="Times New Roman"/>
      <w:color w:val="000000"/>
      <w:sz w:val="28"/>
      <w:szCs w:val="28"/>
      <w:u w:color="000000"/>
      <w:lang w:val="ru-RU" w:eastAsia="ru-RU" w:bidi="ar-SA"/>
    </w:rPr>
  </w:style>
  <w:style w:type="character" w:customStyle="1" w:styleId="86">
    <w:name w:val="Основной текст1"/>
    <w:qFormat/>
    <w:uiPriority w:val="0"/>
    <w:rPr>
      <w:shd w:val="clear" w:color="auto" w:fill="FFFFFF"/>
    </w:rPr>
  </w:style>
  <w:style w:type="paragraph" w:customStyle="1" w:styleId="87">
    <w:name w:val="Revision"/>
    <w:hidden/>
    <w:semiHidden/>
    <w:qFormat/>
    <w:uiPriority w:val="99"/>
    <w:rPr>
      <w:rFonts w:ascii="Calibri" w:hAnsi="Calibri" w:eastAsia="Calibri" w:cs="Times New Roman"/>
      <w:sz w:val="22"/>
      <w:szCs w:val="22"/>
      <w:lang w:val="ru-RU" w:eastAsia="en-US" w:bidi="ar-SA"/>
    </w:rPr>
  </w:style>
  <w:style w:type="character" w:customStyle="1" w:styleId="88">
    <w:name w:val="Абзац списка Знак"/>
    <w:link w:val="67"/>
    <w:qFormat/>
    <w:locked/>
    <w:uiPriority w:val="34"/>
    <w:rPr>
      <w:sz w:val="22"/>
      <w:szCs w:val="22"/>
      <w:lang w:val="en-US" w:eastAsia="en-US"/>
    </w:rPr>
  </w:style>
  <w:style w:type="character" w:customStyle="1" w:styleId="89">
    <w:name w:val="Основной текст Знак"/>
    <w:link w:val="36"/>
    <w:qFormat/>
    <w:uiPriority w:val="1"/>
    <w:rPr>
      <w:rFonts w:ascii="Bookman Old Style" w:hAnsi="Bookman Old Style" w:eastAsia="Bookman Old Style" w:cs="Bookman Old Style"/>
      <w:lang w:eastAsia="en-US"/>
    </w:rPr>
  </w:style>
  <w:style w:type="paragraph" w:customStyle="1" w:styleId="90">
    <w:name w:val="Прижатый влево"/>
    <w:basedOn w:val="1"/>
    <w:next w:val="1"/>
    <w:qFormat/>
    <w:uiPriority w:val="99"/>
    <w:pPr>
      <w:autoSpaceDE w:val="0"/>
      <w:autoSpaceDN w:val="0"/>
      <w:adjustRightInd w:val="0"/>
      <w:spacing w:after="0" w:line="240" w:lineRule="auto"/>
    </w:pPr>
    <w:rPr>
      <w:rFonts w:ascii="Times New Roman CYR" w:hAnsi="Times New Roman CYR" w:eastAsia="Times New Roman" w:cs="Times New Roman CYR"/>
      <w:sz w:val="24"/>
      <w:szCs w:val="24"/>
      <w:lang w:eastAsia="ru-RU"/>
    </w:rPr>
  </w:style>
  <w:style w:type="paragraph" w:customStyle="1" w:styleId="91">
    <w:name w:val="p4"/>
    <w:basedOn w:val="1"/>
    <w:qFormat/>
    <w:uiPriority w:val="0"/>
    <w:pPr>
      <w:widowControl/>
      <w:spacing w:before="100" w:beforeAutospacing="1" w:after="100" w:afterAutospacing="1" w:line="240" w:lineRule="auto"/>
    </w:pPr>
    <w:rPr>
      <w:rFonts w:ascii="Times New Roman" w:hAnsi="Times New Roman"/>
      <w:sz w:val="24"/>
      <w:szCs w:val="24"/>
      <w:lang w:eastAsia="ru-RU"/>
    </w:rPr>
  </w:style>
  <w:style w:type="character" w:customStyle="1" w:styleId="92">
    <w:name w:val="s1"/>
    <w:qFormat/>
    <w:uiPriority w:val="0"/>
  </w:style>
  <w:style w:type="paragraph" w:customStyle="1" w:styleId="93">
    <w:name w:val="14TexstOSNOVA_10/12"/>
    <w:basedOn w:val="1"/>
    <w:qFormat/>
    <w:uiPriority w:val="99"/>
    <w:pPr>
      <w:widowControl/>
      <w:autoSpaceDE w:val="0"/>
      <w:autoSpaceDN w:val="0"/>
      <w:adjustRightInd w:val="0"/>
      <w:spacing w:after="0" w:line="240" w:lineRule="atLeast"/>
      <w:ind w:firstLine="340"/>
      <w:jc w:val="both"/>
      <w:textAlignment w:val="center"/>
    </w:pPr>
    <w:rPr>
      <w:rFonts w:ascii="PragmaticaC" w:hAnsi="PragmaticaC" w:eastAsia="Times New Roman" w:cs="PragmaticaC"/>
      <w:color w:val="000000"/>
      <w:sz w:val="20"/>
      <w:szCs w:val="20"/>
      <w:lang w:eastAsia="ru-RU"/>
    </w:rPr>
  </w:style>
  <w:style w:type="paragraph" w:customStyle="1" w:styleId="94">
    <w:name w:val="s_16"/>
    <w:basedOn w:val="1"/>
    <w:qFormat/>
    <w:uiPriority w:val="0"/>
    <w:pPr>
      <w:widowControl/>
      <w:spacing w:before="100" w:beforeAutospacing="1" w:after="100" w:afterAutospacing="1" w:line="240" w:lineRule="auto"/>
    </w:pPr>
    <w:rPr>
      <w:rFonts w:ascii="Times New Roman" w:hAnsi="Times New Roman" w:eastAsia="Times New Roman"/>
      <w:sz w:val="24"/>
      <w:szCs w:val="24"/>
      <w:lang w:eastAsia="ru-RU"/>
    </w:rPr>
  </w:style>
  <w:style w:type="paragraph" w:customStyle="1" w:styleId="95">
    <w:name w:val="228bf8a64b8551e1msonormal"/>
    <w:basedOn w:val="1"/>
    <w:qFormat/>
    <w:uiPriority w:val="0"/>
    <w:pPr>
      <w:widowControl/>
      <w:spacing w:before="100" w:beforeAutospacing="1" w:after="100" w:afterAutospacing="1" w:line="240" w:lineRule="auto"/>
    </w:pPr>
    <w:rPr>
      <w:rFonts w:ascii="Times New Roman" w:hAnsi="Times New Roman" w:eastAsia="Times New Roman"/>
      <w:sz w:val="24"/>
      <w:szCs w:val="24"/>
      <w:lang w:eastAsia="ru-RU"/>
    </w:rPr>
  </w:style>
  <w:style w:type="character" w:customStyle="1" w:styleId="96">
    <w:name w:val="f893cbe1921f927cgmail-msofootnotereference"/>
    <w:basedOn w:val="12"/>
    <w:qFormat/>
    <w:uiPriority w:val="0"/>
  </w:style>
  <w:style w:type="character" w:customStyle="1" w:styleId="97">
    <w:name w:val="Неразрешенное упоминание"/>
    <w:semiHidden/>
    <w:unhideWhenUsed/>
    <w:qFormat/>
    <w:uiPriority w:val="99"/>
    <w:rPr>
      <w:color w:val="605E5C"/>
      <w:shd w:val="clear" w:color="auto" w:fill="E1DFDD"/>
    </w:rPr>
  </w:style>
  <w:style w:type="character" w:customStyle="1" w:styleId="98">
    <w:name w:val="fontstyle01"/>
    <w:qFormat/>
    <w:uiPriority w:val="0"/>
    <w:rPr>
      <w:rFonts w:hint="default" w:ascii="SchoolBookSanPin" w:hAnsi="SchoolBookSanPin"/>
      <w:color w:val="000000"/>
      <w:sz w:val="20"/>
      <w:szCs w:val="20"/>
    </w:rPr>
  </w:style>
  <w:style w:type="paragraph" w:customStyle="1" w:styleId="99">
    <w:name w:val="body"/>
    <w:basedOn w:val="1"/>
    <w:qFormat/>
    <w:uiPriority w:val="99"/>
    <w:pPr>
      <w:tabs>
        <w:tab w:val="left" w:pos="567"/>
      </w:tabs>
      <w:autoSpaceDE w:val="0"/>
      <w:autoSpaceDN w:val="0"/>
      <w:adjustRightInd w:val="0"/>
      <w:spacing w:after="0" w:line="240" w:lineRule="atLeast"/>
      <w:ind w:firstLine="227"/>
      <w:jc w:val="both"/>
      <w:textAlignment w:val="center"/>
    </w:pPr>
    <w:rPr>
      <w:rFonts w:ascii="SchoolBookSanPin" w:hAnsi="SchoolBookSanPin" w:eastAsia="Times New Roman" w:cs="SchoolBookSanPin"/>
      <w:color w:val="000000"/>
      <w:sz w:val="20"/>
      <w:szCs w:val="20"/>
      <w:lang w:eastAsia="ru-RU"/>
    </w:rPr>
  </w:style>
  <w:style w:type="paragraph" w:customStyle="1" w:styleId="100">
    <w:name w:val="list-bullet"/>
    <w:basedOn w:val="99"/>
    <w:qFormat/>
    <w:uiPriority w:val="99"/>
    <w:pPr>
      <w:ind w:left="227" w:hanging="142"/>
    </w:pPr>
  </w:style>
  <w:style w:type="character" w:customStyle="1" w:styleId="101">
    <w:name w:val="Bold_Italic"/>
    <w:qFormat/>
    <w:uiPriority w:val="99"/>
    <w:rPr>
      <w:b/>
      <w:bCs/>
      <w:i/>
      <w:iCs/>
    </w:rPr>
  </w:style>
  <w:style w:type="character" w:customStyle="1" w:styleId="102">
    <w:name w:val="Italic"/>
    <w:qFormat/>
    <w:uiPriority w:val="0"/>
    <w:rPr>
      <w:i/>
      <w:iCs/>
    </w:rPr>
  </w:style>
  <w:style w:type="character" w:customStyle="1" w:styleId="103">
    <w:name w:val="Bold"/>
    <w:qFormat/>
    <w:uiPriority w:val="99"/>
    <w:rPr>
      <w:b/>
      <w:bCs/>
    </w:rPr>
  </w:style>
  <w:style w:type="paragraph" w:customStyle="1" w:styleId="104">
    <w:name w:val="list-dash"/>
    <w:basedOn w:val="100"/>
    <w:qFormat/>
    <w:uiPriority w:val="99"/>
    <w:pPr>
      <w:ind w:hanging="227"/>
    </w:pPr>
  </w:style>
  <w:style w:type="paragraph" w:customStyle="1" w:styleId="105">
    <w:name w:val="3"/>
    <w:basedOn w:val="6"/>
    <w:next w:val="6"/>
    <w:qFormat/>
    <w:uiPriority w:val="0"/>
    <w:pPr>
      <w:keepNext/>
      <w:keepLines/>
      <w:spacing w:before="480" w:after="120"/>
    </w:pPr>
    <w:rPr>
      <w:rFonts w:cs="Times New Roman"/>
      <w:b/>
      <w:sz w:val="72"/>
      <w:szCs w:val="72"/>
    </w:rPr>
  </w:style>
  <w:style w:type="character" w:customStyle="1" w:styleId="106">
    <w:name w:val="Другое_"/>
    <w:link w:val="107"/>
    <w:qFormat/>
    <w:locked/>
    <w:uiPriority w:val="99"/>
    <w:rPr>
      <w:rFonts w:ascii="Georgia" w:hAnsi="Georgia"/>
      <w:sz w:val="19"/>
    </w:rPr>
  </w:style>
  <w:style w:type="paragraph" w:customStyle="1" w:styleId="107">
    <w:name w:val="Другое"/>
    <w:basedOn w:val="1"/>
    <w:link w:val="106"/>
    <w:qFormat/>
    <w:uiPriority w:val="99"/>
    <w:pPr>
      <w:spacing w:after="0" w:line="269" w:lineRule="auto"/>
      <w:ind w:firstLine="240"/>
    </w:pPr>
    <w:rPr>
      <w:rFonts w:ascii="Georgia" w:hAnsi="Georgia"/>
      <w:sz w:val="19"/>
      <w:szCs w:val="20"/>
    </w:rPr>
  </w:style>
  <w:style w:type="character" w:customStyle="1" w:styleId="108">
    <w:name w:val="Заголовок №3_"/>
    <w:link w:val="109"/>
    <w:qFormat/>
    <w:locked/>
    <w:uiPriority w:val="99"/>
    <w:rPr>
      <w:rFonts w:ascii="Times New Roman" w:hAnsi="Times New Roman"/>
      <w:color w:val="808285"/>
      <w:sz w:val="26"/>
    </w:rPr>
  </w:style>
  <w:style w:type="paragraph" w:customStyle="1" w:styleId="109">
    <w:name w:val="Заголовок №3"/>
    <w:basedOn w:val="1"/>
    <w:link w:val="108"/>
    <w:qFormat/>
    <w:uiPriority w:val="99"/>
    <w:pPr>
      <w:spacing w:after="820" w:line="223" w:lineRule="auto"/>
      <w:jc w:val="center"/>
      <w:outlineLvl w:val="2"/>
    </w:pPr>
    <w:rPr>
      <w:rFonts w:ascii="Times New Roman" w:hAnsi="Times New Roman"/>
      <w:color w:val="808285"/>
      <w:sz w:val="26"/>
      <w:szCs w:val="20"/>
    </w:rPr>
  </w:style>
  <w:style w:type="character" w:customStyle="1" w:styleId="110">
    <w:name w:val="Основной текст (4)_"/>
    <w:link w:val="111"/>
    <w:qFormat/>
    <w:locked/>
    <w:uiPriority w:val="0"/>
    <w:rPr>
      <w:rFonts w:ascii="Arial" w:hAnsi="Arial"/>
      <w:sz w:val="17"/>
    </w:rPr>
  </w:style>
  <w:style w:type="paragraph" w:customStyle="1" w:styleId="111">
    <w:name w:val="Основной текст (4)"/>
    <w:basedOn w:val="1"/>
    <w:link w:val="110"/>
    <w:qFormat/>
    <w:uiPriority w:val="0"/>
    <w:pPr>
      <w:spacing w:after="120" w:line="298" w:lineRule="auto"/>
    </w:pPr>
    <w:rPr>
      <w:rFonts w:ascii="Arial" w:hAnsi="Arial"/>
      <w:sz w:val="17"/>
      <w:szCs w:val="20"/>
    </w:rPr>
  </w:style>
  <w:style w:type="character" w:customStyle="1" w:styleId="112">
    <w:name w:val="Заголовок №1_"/>
    <w:link w:val="113"/>
    <w:qFormat/>
    <w:locked/>
    <w:uiPriority w:val="0"/>
    <w:rPr>
      <w:rFonts w:ascii="Arial" w:hAnsi="Arial"/>
      <w:b/>
      <w:color w:val="808285"/>
      <w:sz w:val="66"/>
    </w:rPr>
  </w:style>
  <w:style w:type="paragraph" w:customStyle="1" w:styleId="113">
    <w:name w:val="Заголовок №1"/>
    <w:basedOn w:val="1"/>
    <w:link w:val="112"/>
    <w:qFormat/>
    <w:uiPriority w:val="0"/>
    <w:pPr>
      <w:spacing w:after="380" w:line="262" w:lineRule="auto"/>
      <w:jc w:val="center"/>
      <w:outlineLvl w:val="0"/>
    </w:pPr>
    <w:rPr>
      <w:rFonts w:ascii="Arial" w:hAnsi="Arial"/>
      <w:b/>
      <w:color w:val="808285"/>
      <w:sz w:val="66"/>
      <w:szCs w:val="20"/>
    </w:rPr>
  </w:style>
  <w:style w:type="character" w:customStyle="1" w:styleId="114">
    <w:name w:val="Основной текст (3)_"/>
    <w:link w:val="115"/>
    <w:qFormat/>
    <w:locked/>
    <w:uiPriority w:val="0"/>
    <w:rPr>
      <w:b/>
      <w:sz w:val="22"/>
    </w:rPr>
  </w:style>
  <w:style w:type="paragraph" w:customStyle="1" w:styleId="115">
    <w:name w:val="Основной текст (3)"/>
    <w:basedOn w:val="1"/>
    <w:link w:val="114"/>
    <w:qFormat/>
    <w:uiPriority w:val="0"/>
    <w:pPr>
      <w:spacing w:after="250" w:line="226" w:lineRule="auto"/>
    </w:pPr>
    <w:rPr>
      <w:b/>
      <w:szCs w:val="20"/>
    </w:rPr>
  </w:style>
  <w:style w:type="character" w:customStyle="1" w:styleId="116">
    <w:name w:val="Колонтитул (2)_"/>
    <w:link w:val="117"/>
    <w:qFormat/>
    <w:locked/>
    <w:uiPriority w:val="99"/>
    <w:rPr>
      <w:rFonts w:ascii="Times New Roman" w:hAnsi="Times New Roman"/>
    </w:rPr>
  </w:style>
  <w:style w:type="paragraph" w:customStyle="1" w:styleId="117">
    <w:name w:val="Колонтитул (2)"/>
    <w:basedOn w:val="1"/>
    <w:link w:val="116"/>
    <w:qFormat/>
    <w:uiPriority w:val="99"/>
    <w:pPr>
      <w:spacing w:after="0" w:line="240" w:lineRule="auto"/>
    </w:pPr>
    <w:rPr>
      <w:rFonts w:ascii="Times New Roman" w:hAnsi="Times New Roman"/>
      <w:sz w:val="20"/>
      <w:szCs w:val="20"/>
    </w:rPr>
  </w:style>
  <w:style w:type="character" w:customStyle="1" w:styleId="118">
    <w:name w:val="Оглавление_"/>
    <w:link w:val="119"/>
    <w:qFormat/>
    <w:locked/>
    <w:uiPriority w:val="0"/>
    <w:rPr>
      <w:rFonts w:ascii="Georgia" w:hAnsi="Georgia"/>
      <w:sz w:val="19"/>
    </w:rPr>
  </w:style>
  <w:style w:type="paragraph" w:customStyle="1" w:styleId="119">
    <w:name w:val="Оглавление"/>
    <w:basedOn w:val="1"/>
    <w:link w:val="118"/>
    <w:qFormat/>
    <w:uiPriority w:val="0"/>
    <w:pPr>
      <w:spacing w:after="0" w:line="240" w:lineRule="auto"/>
      <w:ind w:firstLine="350"/>
    </w:pPr>
    <w:rPr>
      <w:rFonts w:ascii="Georgia" w:hAnsi="Georgia"/>
      <w:sz w:val="19"/>
      <w:szCs w:val="20"/>
    </w:rPr>
  </w:style>
  <w:style w:type="character" w:customStyle="1" w:styleId="120">
    <w:name w:val="Основной текст Знак1"/>
    <w:qFormat/>
    <w:locked/>
    <w:uiPriority w:val="99"/>
    <w:rPr>
      <w:rFonts w:ascii="Georgia" w:hAnsi="Georgia"/>
      <w:sz w:val="19"/>
      <w:u w:val="none"/>
    </w:rPr>
  </w:style>
  <w:style w:type="character" w:customStyle="1" w:styleId="121">
    <w:name w:val="Заголовок №4_"/>
    <w:link w:val="122"/>
    <w:qFormat/>
    <w:locked/>
    <w:uiPriority w:val="0"/>
    <w:rPr>
      <w:rFonts w:ascii="Tahoma" w:hAnsi="Tahoma"/>
      <w:b/>
      <w:sz w:val="18"/>
    </w:rPr>
  </w:style>
  <w:style w:type="paragraph" w:customStyle="1" w:styleId="122">
    <w:name w:val="Заголовок №4"/>
    <w:basedOn w:val="1"/>
    <w:link w:val="121"/>
    <w:qFormat/>
    <w:uiPriority w:val="0"/>
    <w:pPr>
      <w:spacing w:after="60" w:line="266" w:lineRule="auto"/>
      <w:outlineLvl w:val="3"/>
    </w:pPr>
    <w:rPr>
      <w:rFonts w:ascii="Tahoma" w:hAnsi="Tahoma"/>
      <w:b/>
      <w:sz w:val="18"/>
      <w:szCs w:val="20"/>
    </w:rPr>
  </w:style>
  <w:style w:type="character" w:customStyle="1" w:styleId="123">
    <w:name w:val="Основной текст (2)_"/>
    <w:link w:val="124"/>
    <w:qFormat/>
    <w:locked/>
    <w:uiPriority w:val="0"/>
    <w:rPr>
      <w:rFonts w:ascii="Tahoma" w:hAnsi="Tahoma"/>
      <w:b/>
      <w:sz w:val="18"/>
    </w:rPr>
  </w:style>
  <w:style w:type="paragraph" w:customStyle="1" w:styleId="124">
    <w:name w:val="Основной текст (2)"/>
    <w:basedOn w:val="1"/>
    <w:link w:val="123"/>
    <w:qFormat/>
    <w:uiPriority w:val="0"/>
    <w:pPr>
      <w:spacing w:after="40" w:line="269" w:lineRule="auto"/>
    </w:pPr>
    <w:rPr>
      <w:rFonts w:ascii="Tahoma" w:hAnsi="Tahoma"/>
      <w:b/>
      <w:sz w:val="18"/>
      <w:szCs w:val="20"/>
    </w:rPr>
  </w:style>
  <w:style w:type="character" w:customStyle="1" w:styleId="125">
    <w:name w:val="Заголовок №2_"/>
    <w:link w:val="126"/>
    <w:qFormat/>
    <w:locked/>
    <w:uiPriority w:val="0"/>
    <w:rPr>
      <w:b/>
      <w:smallCaps/>
      <w:sz w:val="28"/>
    </w:rPr>
  </w:style>
  <w:style w:type="paragraph" w:customStyle="1" w:styleId="126">
    <w:name w:val="Заголовок №2"/>
    <w:basedOn w:val="1"/>
    <w:link w:val="125"/>
    <w:qFormat/>
    <w:uiPriority w:val="0"/>
    <w:pPr>
      <w:spacing w:after="0" w:line="180" w:lineRule="auto"/>
      <w:outlineLvl w:val="1"/>
    </w:pPr>
    <w:rPr>
      <w:b/>
      <w:smallCaps/>
      <w:sz w:val="28"/>
      <w:szCs w:val="20"/>
    </w:rPr>
  </w:style>
  <w:style w:type="character" w:customStyle="1" w:styleId="127">
    <w:name w:val="Основной текст (7)_"/>
    <w:link w:val="128"/>
    <w:qFormat/>
    <w:locked/>
    <w:uiPriority w:val="0"/>
    <w:rPr>
      <w:rFonts w:ascii="Arial" w:hAnsi="Arial"/>
      <w:sz w:val="15"/>
    </w:rPr>
  </w:style>
  <w:style w:type="paragraph" w:customStyle="1" w:styleId="128">
    <w:name w:val="Основной текст (7)"/>
    <w:basedOn w:val="1"/>
    <w:link w:val="127"/>
    <w:qFormat/>
    <w:uiPriority w:val="0"/>
    <w:pPr>
      <w:spacing w:after="0" w:line="240" w:lineRule="auto"/>
    </w:pPr>
    <w:rPr>
      <w:rFonts w:ascii="Arial" w:hAnsi="Arial"/>
      <w:sz w:val="15"/>
      <w:szCs w:val="20"/>
    </w:rPr>
  </w:style>
  <w:style w:type="character" w:customStyle="1" w:styleId="129">
    <w:name w:val="Подпись к таблице_"/>
    <w:link w:val="130"/>
    <w:qFormat/>
    <w:locked/>
    <w:uiPriority w:val="99"/>
    <w:rPr>
      <w:rFonts w:ascii="Arial" w:hAnsi="Arial"/>
      <w:sz w:val="15"/>
    </w:rPr>
  </w:style>
  <w:style w:type="paragraph" w:customStyle="1" w:styleId="130">
    <w:name w:val="Подпись к таблице"/>
    <w:basedOn w:val="1"/>
    <w:link w:val="129"/>
    <w:qFormat/>
    <w:uiPriority w:val="99"/>
    <w:pPr>
      <w:spacing w:after="0" w:line="240" w:lineRule="auto"/>
    </w:pPr>
    <w:rPr>
      <w:rFonts w:ascii="Arial" w:hAnsi="Arial"/>
      <w:sz w:val="15"/>
      <w:szCs w:val="20"/>
    </w:rPr>
  </w:style>
  <w:style w:type="character" w:customStyle="1" w:styleId="131">
    <w:name w:val="Колонтитул_"/>
    <w:link w:val="132"/>
    <w:qFormat/>
    <w:locked/>
    <w:uiPriority w:val="0"/>
    <w:rPr>
      <w:rFonts w:ascii="Arial" w:hAnsi="Arial"/>
      <w:sz w:val="15"/>
    </w:rPr>
  </w:style>
  <w:style w:type="paragraph" w:customStyle="1" w:styleId="132">
    <w:name w:val="Колонтитул"/>
    <w:basedOn w:val="1"/>
    <w:link w:val="131"/>
    <w:qFormat/>
    <w:uiPriority w:val="0"/>
    <w:pPr>
      <w:spacing w:after="0" w:line="240" w:lineRule="auto"/>
    </w:pPr>
    <w:rPr>
      <w:rFonts w:ascii="Arial" w:hAnsi="Arial"/>
      <w:sz w:val="15"/>
      <w:szCs w:val="20"/>
    </w:rPr>
  </w:style>
  <w:style w:type="character" w:customStyle="1" w:styleId="133">
    <w:name w:val="Основной текст (8)_"/>
    <w:link w:val="134"/>
    <w:qFormat/>
    <w:locked/>
    <w:uiPriority w:val="0"/>
    <w:rPr>
      <w:b/>
      <w:sz w:val="11"/>
    </w:rPr>
  </w:style>
  <w:style w:type="paragraph" w:customStyle="1" w:styleId="134">
    <w:name w:val="Основной текст (8)"/>
    <w:basedOn w:val="1"/>
    <w:link w:val="133"/>
    <w:qFormat/>
    <w:uiPriority w:val="0"/>
    <w:pPr>
      <w:spacing w:after="0" w:line="240" w:lineRule="auto"/>
    </w:pPr>
    <w:rPr>
      <w:b/>
      <w:sz w:val="11"/>
      <w:szCs w:val="20"/>
    </w:rPr>
  </w:style>
  <w:style w:type="character" w:customStyle="1" w:styleId="135">
    <w:name w:val="Основной текст Знак2"/>
    <w:semiHidden/>
    <w:qFormat/>
    <w:uiPriority w:val="99"/>
    <w:rPr>
      <w:color w:val="000000"/>
    </w:rPr>
  </w:style>
  <w:style w:type="paragraph" w:styleId="136">
    <w:name w:val="No Spacing"/>
    <w:link w:val="487"/>
    <w:qFormat/>
    <w:uiPriority w:val="1"/>
    <w:pPr>
      <w:widowControl w:val="0"/>
    </w:pPr>
    <w:rPr>
      <w:rFonts w:ascii="Courier New" w:hAnsi="Courier New" w:eastAsia="Times New Roman" w:cs="Times New Roman"/>
      <w:color w:val="000000"/>
      <w:sz w:val="24"/>
      <w:szCs w:val="24"/>
      <w:lang w:val="ru-RU" w:eastAsia="ru-RU" w:bidi="ar-SA"/>
    </w:rPr>
  </w:style>
  <w:style w:type="table" w:customStyle="1" w:styleId="137">
    <w:name w:val="Table Normal"/>
    <w:semiHidden/>
    <w:unhideWhenUsed/>
    <w:qFormat/>
    <w:uiPriority w:val="2"/>
    <w:pPr>
      <w:widowControl w:val="0"/>
      <w:autoSpaceDE w:val="0"/>
      <w:autoSpaceDN w:val="0"/>
    </w:pPr>
    <w:rPr>
      <w:sz w:val="22"/>
      <w:szCs w:val="22"/>
      <w:lang w:val="en-US" w:eastAsia="en-US"/>
    </w:rPr>
    <w:tblPr>
      <w:tblCellMar>
        <w:top w:w="0" w:type="dxa"/>
        <w:left w:w="0" w:type="dxa"/>
        <w:bottom w:w="0" w:type="dxa"/>
        <w:right w:w="0" w:type="dxa"/>
      </w:tblCellMar>
    </w:tblPr>
  </w:style>
  <w:style w:type="paragraph" w:customStyle="1" w:styleId="138">
    <w:name w:val="Table Paragraph"/>
    <w:basedOn w:val="1"/>
    <w:qFormat/>
    <w:uiPriority w:val="1"/>
    <w:pPr>
      <w:autoSpaceDE w:val="0"/>
      <w:autoSpaceDN w:val="0"/>
      <w:spacing w:after="0" w:line="240" w:lineRule="auto"/>
    </w:pPr>
    <w:rPr>
      <w:rFonts w:ascii="Cambria" w:hAnsi="Cambria" w:eastAsia="Cambria" w:cs="Cambria"/>
    </w:rPr>
  </w:style>
  <w:style w:type="paragraph" w:customStyle="1" w:styleId="139">
    <w:name w:val="об"/>
    <w:basedOn w:val="1"/>
    <w:link w:val="140"/>
    <w:qFormat/>
    <w:uiPriority w:val="1"/>
    <w:pPr>
      <w:autoSpaceDE w:val="0"/>
      <w:autoSpaceDN w:val="0"/>
      <w:spacing w:before="120" w:after="120" w:line="360" w:lineRule="auto"/>
    </w:pPr>
    <w:rPr>
      <w:rFonts w:ascii="Times New Roman" w:hAnsi="Times New Roman" w:eastAsia="Cambria"/>
      <w:b/>
      <w:i/>
      <w:w w:val="90"/>
      <w:sz w:val="24"/>
      <w:szCs w:val="24"/>
    </w:rPr>
  </w:style>
  <w:style w:type="character" w:customStyle="1" w:styleId="140">
    <w:name w:val="об Знак"/>
    <w:link w:val="139"/>
    <w:qFormat/>
    <w:uiPriority w:val="1"/>
    <w:rPr>
      <w:rFonts w:ascii="Times New Roman" w:hAnsi="Times New Roman" w:eastAsia="Cambria"/>
      <w:b/>
      <w:i/>
      <w:w w:val="90"/>
      <w:sz w:val="24"/>
      <w:szCs w:val="24"/>
      <w:lang w:eastAsia="en-US"/>
    </w:rPr>
  </w:style>
  <w:style w:type="character" w:customStyle="1" w:styleId="141">
    <w:name w:val="Текст концевой сноски Знак1"/>
    <w:semiHidden/>
    <w:qFormat/>
    <w:uiPriority w:val="99"/>
    <w:rPr>
      <w:lang w:val="en-US" w:eastAsia="en-US"/>
    </w:rPr>
  </w:style>
  <w:style w:type="character" w:customStyle="1" w:styleId="142">
    <w:name w:val="Заголовок Знак"/>
    <w:qFormat/>
    <w:uiPriority w:val="10"/>
    <w:rPr>
      <w:rFonts w:ascii="Calibri Light" w:hAnsi="Calibri Light" w:eastAsia="Times New Roman" w:cs="Times New Roman"/>
      <w:spacing w:val="-10"/>
      <w:kern w:val="28"/>
      <w:sz w:val="56"/>
      <w:szCs w:val="56"/>
      <w:lang w:val="en-US" w:eastAsia="en-US"/>
    </w:rPr>
  </w:style>
  <w:style w:type="character" w:customStyle="1" w:styleId="143">
    <w:name w:val="WW8Num1z0"/>
    <w:qFormat/>
    <w:uiPriority w:val="0"/>
  </w:style>
  <w:style w:type="character" w:customStyle="1" w:styleId="144">
    <w:name w:val="WW8Num1z1"/>
    <w:qFormat/>
    <w:uiPriority w:val="0"/>
  </w:style>
  <w:style w:type="character" w:customStyle="1" w:styleId="145">
    <w:name w:val="WW8Num1z2"/>
    <w:qFormat/>
    <w:uiPriority w:val="0"/>
  </w:style>
  <w:style w:type="character" w:customStyle="1" w:styleId="146">
    <w:name w:val="WW8Num1z3"/>
    <w:qFormat/>
    <w:uiPriority w:val="0"/>
  </w:style>
  <w:style w:type="character" w:customStyle="1" w:styleId="147">
    <w:name w:val="WW8Num1z4"/>
    <w:qFormat/>
    <w:uiPriority w:val="0"/>
  </w:style>
  <w:style w:type="character" w:customStyle="1" w:styleId="148">
    <w:name w:val="WW8Num1z5"/>
    <w:qFormat/>
    <w:uiPriority w:val="0"/>
  </w:style>
  <w:style w:type="character" w:customStyle="1" w:styleId="149">
    <w:name w:val="WW8Num1z6"/>
    <w:qFormat/>
    <w:uiPriority w:val="0"/>
  </w:style>
  <w:style w:type="character" w:customStyle="1" w:styleId="150">
    <w:name w:val="WW8Num1z7"/>
    <w:qFormat/>
    <w:uiPriority w:val="0"/>
  </w:style>
  <w:style w:type="character" w:customStyle="1" w:styleId="151">
    <w:name w:val="WW8Num1z8"/>
    <w:qFormat/>
    <w:uiPriority w:val="0"/>
  </w:style>
  <w:style w:type="character" w:customStyle="1" w:styleId="152">
    <w:name w:val="WW8Num2z0"/>
    <w:qFormat/>
    <w:uiPriority w:val="0"/>
  </w:style>
  <w:style w:type="character" w:customStyle="1" w:styleId="153">
    <w:name w:val="WW8Num3z0"/>
    <w:qFormat/>
    <w:uiPriority w:val="0"/>
    <w:rPr>
      <w:rFonts w:hint="default" w:ascii="Symbol" w:hAnsi="Symbol" w:cs="Symbol"/>
      <w:spacing w:val="1"/>
      <w:sz w:val="28"/>
      <w:szCs w:val="28"/>
    </w:rPr>
  </w:style>
  <w:style w:type="character" w:customStyle="1" w:styleId="154">
    <w:name w:val="WW8Num4z0"/>
    <w:qFormat/>
    <w:uiPriority w:val="0"/>
  </w:style>
  <w:style w:type="character" w:customStyle="1" w:styleId="155">
    <w:name w:val="WW8Num5z0"/>
    <w:qFormat/>
    <w:uiPriority w:val="0"/>
    <w:rPr>
      <w:rFonts w:hint="default" w:ascii="Symbol" w:hAnsi="Symbol" w:cs="Symbol"/>
    </w:rPr>
  </w:style>
  <w:style w:type="character" w:customStyle="1" w:styleId="156">
    <w:name w:val="WW8Num6z0"/>
    <w:qFormat/>
    <w:uiPriority w:val="0"/>
    <w:rPr>
      <w:rFonts w:hint="default" w:eastAsia="Times New Roman" w:cs="Times New Roman"/>
    </w:rPr>
  </w:style>
  <w:style w:type="character" w:customStyle="1" w:styleId="157">
    <w:name w:val="WW8Num7z0"/>
    <w:qFormat/>
    <w:uiPriority w:val="0"/>
    <w:rPr>
      <w:rFonts w:hint="default" w:ascii="Symbol" w:hAnsi="Symbol" w:cs="Symbol"/>
    </w:rPr>
  </w:style>
  <w:style w:type="character" w:customStyle="1" w:styleId="158">
    <w:name w:val="WW8Num8z0"/>
    <w:qFormat/>
    <w:uiPriority w:val="0"/>
  </w:style>
  <w:style w:type="character" w:customStyle="1" w:styleId="159">
    <w:name w:val="WW8Num8z1"/>
    <w:qFormat/>
    <w:uiPriority w:val="0"/>
  </w:style>
  <w:style w:type="character" w:customStyle="1" w:styleId="160">
    <w:name w:val="WW8Num8z2"/>
    <w:qFormat/>
    <w:uiPriority w:val="0"/>
  </w:style>
  <w:style w:type="character" w:customStyle="1" w:styleId="161">
    <w:name w:val="WW8Num8z3"/>
    <w:qFormat/>
    <w:uiPriority w:val="0"/>
  </w:style>
  <w:style w:type="character" w:customStyle="1" w:styleId="162">
    <w:name w:val="WW8Num8z4"/>
    <w:qFormat/>
    <w:uiPriority w:val="0"/>
  </w:style>
  <w:style w:type="character" w:customStyle="1" w:styleId="163">
    <w:name w:val="WW8Num8z5"/>
    <w:qFormat/>
    <w:uiPriority w:val="0"/>
  </w:style>
  <w:style w:type="character" w:customStyle="1" w:styleId="164">
    <w:name w:val="WW8Num8z6"/>
    <w:qFormat/>
    <w:uiPriority w:val="0"/>
  </w:style>
  <w:style w:type="character" w:customStyle="1" w:styleId="165">
    <w:name w:val="WW8Num8z7"/>
    <w:qFormat/>
    <w:uiPriority w:val="0"/>
  </w:style>
  <w:style w:type="character" w:customStyle="1" w:styleId="166">
    <w:name w:val="WW8Num8z8"/>
    <w:qFormat/>
    <w:uiPriority w:val="0"/>
  </w:style>
  <w:style w:type="character" w:customStyle="1" w:styleId="167">
    <w:name w:val="WW8Num9z0"/>
    <w:qFormat/>
    <w:uiPriority w:val="0"/>
  </w:style>
  <w:style w:type="character" w:customStyle="1" w:styleId="168">
    <w:name w:val="WW8Num9z1"/>
    <w:qFormat/>
    <w:uiPriority w:val="0"/>
  </w:style>
  <w:style w:type="character" w:customStyle="1" w:styleId="169">
    <w:name w:val="WW8Num9z2"/>
    <w:qFormat/>
    <w:uiPriority w:val="0"/>
  </w:style>
  <w:style w:type="character" w:customStyle="1" w:styleId="170">
    <w:name w:val="WW8Num9z3"/>
    <w:qFormat/>
    <w:uiPriority w:val="0"/>
  </w:style>
  <w:style w:type="character" w:customStyle="1" w:styleId="171">
    <w:name w:val="WW8Num9z4"/>
    <w:qFormat/>
    <w:uiPriority w:val="0"/>
  </w:style>
  <w:style w:type="character" w:customStyle="1" w:styleId="172">
    <w:name w:val="WW8Num9z5"/>
    <w:qFormat/>
    <w:uiPriority w:val="0"/>
  </w:style>
  <w:style w:type="character" w:customStyle="1" w:styleId="173">
    <w:name w:val="WW8Num9z6"/>
    <w:qFormat/>
    <w:uiPriority w:val="0"/>
  </w:style>
  <w:style w:type="character" w:customStyle="1" w:styleId="174">
    <w:name w:val="WW8Num9z7"/>
    <w:qFormat/>
    <w:uiPriority w:val="0"/>
  </w:style>
  <w:style w:type="character" w:customStyle="1" w:styleId="175">
    <w:name w:val="WW8Num9z8"/>
    <w:qFormat/>
    <w:uiPriority w:val="0"/>
  </w:style>
  <w:style w:type="character" w:customStyle="1" w:styleId="176">
    <w:name w:val="WW8Num10z0"/>
    <w:qFormat/>
    <w:uiPriority w:val="0"/>
  </w:style>
  <w:style w:type="character" w:customStyle="1" w:styleId="177">
    <w:name w:val="WW8Num10z1"/>
    <w:qFormat/>
    <w:uiPriority w:val="0"/>
  </w:style>
  <w:style w:type="character" w:customStyle="1" w:styleId="178">
    <w:name w:val="WW8Num10z2"/>
    <w:qFormat/>
    <w:uiPriority w:val="0"/>
  </w:style>
  <w:style w:type="character" w:customStyle="1" w:styleId="179">
    <w:name w:val="WW8Num10z3"/>
    <w:qFormat/>
    <w:uiPriority w:val="0"/>
  </w:style>
  <w:style w:type="character" w:customStyle="1" w:styleId="180">
    <w:name w:val="WW8Num10z4"/>
    <w:qFormat/>
    <w:uiPriority w:val="0"/>
  </w:style>
  <w:style w:type="character" w:customStyle="1" w:styleId="181">
    <w:name w:val="WW8Num10z5"/>
    <w:qFormat/>
    <w:uiPriority w:val="0"/>
  </w:style>
  <w:style w:type="character" w:customStyle="1" w:styleId="182">
    <w:name w:val="WW8Num10z6"/>
    <w:qFormat/>
    <w:uiPriority w:val="0"/>
  </w:style>
  <w:style w:type="character" w:customStyle="1" w:styleId="183">
    <w:name w:val="WW8Num10z7"/>
    <w:qFormat/>
    <w:uiPriority w:val="0"/>
  </w:style>
  <w:style w:type="character" w:customStyle="1" w:styleId="184">
    <w:name w:val="WW8Num10z8"/>
    <w:qFormat/>
    <w:uiPriority w:val="0"/>
  </w:style>
  <w:style w:type="character" w:customStyle="1" w:styleId="185">
    <w:name w:val="WW8Num11z0"/>
    <w:qFormat/>
    <w:uiPriority w:val="0"/>
    <w:rPr>
      <w:rFonts w:ascii="Times New Roman" w:hAnsi="Times New Roman" w:eastAsia="Times New Roman" w:cs="Times New Roman"/>
      <w:sz w:val="28"/>
      <w:szCs w:val="28"/>
      <w:lang w:eastAsia="ru-RU"/>
    </w:rPr>
  </w:style>
  <w:style w:type="character" w:customStyle="1" w:styleId="186">
    <w:name w:val="WW8Num11z1"/>
    <w:qFormat/>
    <w:uiPriority w:val="0"/>
  </w:style>
  <w:style w:type="character" w:customStyle="1" w:styleId="187">
    <w:name w:val="WW8Num11z2"/>
    <w:qFormat/>
    <w:uiPriority w:val="0"/>
  </w:style>
  <w:style w:type="character" w:customStyle="1" w:styleId="188">
    <w:name w:val="WW8Num11z3"/>
    <w:qFormat/>
    <w:uiPriority w:val="0"/>
  </w:style>
  <w:style w:type="character" w:customStyle="1" w:styleId="189">
    <w:name w:val="WW8Num11z4"/>
    <w:qFormat/>
    <w:uiPriority w:val="0"/>
  </w:style>
  <w:style w:type="character" w:customStyle="1" w:styleId="190">
    <w:name w:val="WW8Num11z5"/>
    <w:qFormat/>
    <w:uiPriority w:val="0"/>
  </w:style>
  <w:style w:type="character" w:customStyle="1" w:styleId="191">
    <w:name w:val="WW8Num11z6"/>
    <w:qFormat/>
    <w:uiPriority w:val="0"/>
  </w:style>
  <w:style w:type="character" w:customStyle="1" w:styleId="192">
    <w:name w:val="WW8Num11z7"/>
    <w:qFormat/>
    <w:uiPriority w:val="0"/>
  </w:style>
  <w:style w:type="character" w:customStyle="1" w:styleId="193">
    <w:name w:val="WW8Num11z8"/>
    <w:qFormat/>
    <w:uiPriority w:val="0"/>
  </w:style>
  <w:style w:type="character" w:customStyle="1" w:styleId="194">
    <w:name w:val="WW8Num12z0"/>
    <w:qFormat/>
    <w:uiPriority w:val="0"/>
  </w:style>
  <w:style w:type="character" w:customStyle="1" w:styleId="195">
    <w:name w:val="WW8Num12z1"/>
    <w:qFormat/>
    <w:uiPriority w:val="0"/>
  </w:style>
  <w:style w:type="character" w:customStyle="1" w:styleId="196">
    <w:name w:val="WW8Num12z2"/>
    <w:qFormat/>
    <w:uiPriority w:val="0"/>
  </w:style>
  <w:style w:type="character" w:customStyle="1" w:styleId="197">
    <w:name w:val="WW8Num12z3"/>
    <w:qFormat/>
    <w:uiPriority w:val="0"/>
  </w:style>
  <w:style w:type="character" w:customStyle="1" w:styleId="198">
    <w:name w:val="WW8Num12z4"/>
    <w:qFormat/>
    <w:uiPriority w:val="0"/>
  </w:style>
  <w:style w:type="character" w:customStyle="1" w:styleId="199">
    <w:name w:val="WW8Num12z5"/>
    <w:qFormat/>
    <w:uiPriority w:val="0"/>
  </w:style>
  <w:style w:type="character" w:customStyle="1" w:styleId="200">
    <w:name w:val="WW8Num12z6"/>
    <w:qFormat/>
    <w:uiPriority w:val="0"/>
  </w:style>
  <w:style w:type="character" w:customStyle="1" w:styleId="201">
    <w:name w:val="WW8Num12z7"/>
    <w:qFormat/>
    <w:uiPriority w:val="0"/>
  </w:style>
  <w:style w:type="character" w:customStyle="1" w:styleId="202">
    <w:name w:val="WW8Num12z8"/>
    <w:qFormat/>
    <w:uiPriority w:val="0"/>
  </w:style>
  <w:style w:type="character" w:customStyle="1" w:styleId="203">
    <w:name w:val="WW8Num13z0"/>
    <w:qFormat/>
    <w:uiPriority w:val="0"/>
  </w:style>
  <w:style w:type="character" w:customStyle="1" w:styleId="204">
    <w:name w:val="WW8Num13z1"/>
    <w:qFormat/>
    <w:uiPriority w:val="0"/>
  </w:style>
  <w:style w:type="character" w:customStyle="1" w:styleId="205">
    <w:name w:val="WW8Num13z2"/>
    <w:qFormat/>
    <w:uiPriority w:val="0"/>
  </w:style>
  <w:style w:type="character" w:customStyle="1" w:styleId="206">
    <w:name w:val="WW8Num13z3"/>
    <w:qFormat/>
    <w:uiPriority w:val="0"/>
  </w:style>
  <w:style w:type="character" w:customStyle="1" w:styleId="207">
    <w:name w:val="WW8Num13z4"/>
    <w:qFormat/>
    <w:uiPriority w:val="0"/>
  </w:style>
  <w:style w:type="character" w:customStyle="1" w:styleId="208">
    <w:name w:val="WW8Num13z5"/>
    <w:qFormat/>
    <w:uiPriority w:val="0"/>
  </w:style>
  <w:style w:type="character" w:customStyle="1" w:styleId="209">
    <w:name w:val="WW8Num13z6"/>
    <w:qFormat/>
    <w:uiPriority w:val="0"/>
  </w:style>
  <w:style w:type="character" w:customStyle="1" w:styleId="210">
    <w:name w:val="WW8Num13z7"/>
    <w:uiPriority w:val="0"/>
  </w:style>
  <w:style w:type="character" w:customStyle="1" w:styleId="211">
    <w:name w:val="WW8Num13z8"/>
    <w:uiPriority w:val="0"/>
  </w:style>
  <w:style w:type="character" w:customStyle="1" w:styleId="212">
    <w:name w:val="WW8Num14z0"/>
    <w:uiPriority w:val="0"/>
  </w:style>
  <w:style w:type="character" w:customStyle="1" w:styleId="213">
    <w:name w:val="WW8Num14z1"/>
    <w:uiPriority w:val="0"/>
  </w:style>
  <w:style w:type="character" w:customStyle="1" w:styleId="214">
    <w:name w:val="WW8Num14z2"/>
    <w:uiPriority w:val="0"/>
  </w:style>
  <w:style w:type="character" w:customStyle="1" w:styleId="215">
    <w:name w:val="WW8Num14z3"/>
    <w:uiPriority w:val="0"/>
  </w:style>
  <w:style w:type="character" w:customStyle="1" w:styleId="216">
    <w:name w:val="WW8Num14z4"/>
    <w:uiPriority w:val="0"/>
  </w:style>
  <w:style w:type="character" w:customStyle="1" w:styleId="217">
    <w:name w:val="WW8Num14z5"/>
    <w:uiPriority w:val="0"/>
  </w:style>
  <w:style w:type="character" w:customStyle="1" w:styleId="218">
    <w:name w:val="WW8Num14z6"/>
    <w:uiPriority w:val="0"/>
  </w:style>
  <w:style w:type="character" w:customStyle="1" w:styleId="219">
    <w:name w:val="WW8Num14z7"/>
    <w:uiPriority w:val="0"/>
  </w:style>
  <w:style w:type="character" w:customStyle="1" w:styleId="220">
    <w:name w:val="WW8Num14z8"/>
    <w:uiPriority w:val="0"/>
  </w:style>
  <w:style w:type="character" w:customStyle="1" w:styleId="221">
    <w:name w:val="WW8Num2z1"/>
    <w:uiPriority w:val="0"/>
  </w:style>
  <w:style w:type="character" w:customStyle="1" w:styleId="222">
    <w:name w:val="WW8Num2z2"/>
    <w:uiPriority w:val="0"/>
  </w:style>
  <w:style w:type="character" w:customStyle="1" w:styleId="223">
    <w:name w:val="WW8Num2z3"/>
    <w:uiPriority w:val="0"/>
  </w:style>
  <w:style w:type="character" w:customStyle="1" w:styleId="224">
    <w:name w:val="WW8Num2z4"/>
    <w:uiPriority w:val="0"/>
  </w:style>
  <w:style w:type="character" w:customStyle="1" w:styleId="225">
    <w:name w:val="WW8Num2z5"/>
    <w:uiPriority w:val="0"/>
  </w:style>
  <w:style w:type="character" w:customStyle="1" w:styleId="226">
    <w:name w:val="WW8Num2z6"/>
    <w:uiPriority w:val="0"/>
  </w:style>
  <w:style w:type="character" w:customStyle="1" w:styleId="227">
    <w:name w:val="WW8Num2z7"/>
    <w:uiPriority w:val="0"/>
  </w:style>
  <w:style w:type="character" w:customStyle="1" w:styleId="228">
    <w:name w:val="WW8Num2z8"/>
    <w:uiPriority w:val="0"/>
  </w:style>
  <w:style w:type="character" w:customStyle="1" w:styleId="229">
    <w:name w:val="WW8Num15z0"/>
    <w:uiPriority w:val="0"/>
  </w:style>
  <w:style w:type="character" w:customStyle="1" w:styleId="230">
    <w:name w:val="WW8Num15z1"/>
    <w:uiPriority w:val="0"/>
  </w:style>
  <w:style w:type="character" w:customStyle="1" w:styleId="231">
    <w:name w:val="WW8Num15z2"/>
    <w:uiPriority w:val="0"/>
  </w:style>
  <w:style w:type="character" w:customStyle="1" w:styleId="232">
    <w:name w:val="WW8Num15z3"/>
    <w:uiPriority w:val="0"/>
  </w:style>
  <w:style w:type="character" w:customStyle="1" w:styleId="233">
    <w:name w:val="WW8Num15z4"/>
    <w:uiPriority w:val="0"/>
  </w:style>
  <w:style w:type="character" w:customStyle="1" w:styleId="234">
    <w:name w:val="WW8Num15z5"/>
    <w:uiPriority w:val="0"/>
  </w:style>
  <w:style w:type="character" w:customStyle="1" w:styleId="235">
    <w:name w:val="WW8Num15z6"/>
    <w:uiPriority w:val="0"/>
  </w:style>
  <w:style w:type="character" w:customStyle="1" w:styleId="236">
    <w:name w:val="WW8Num15z7"/>
    <w:uiPriority w:val="0"/>
  </w:style>
  <w:style w:type="character" w:customStyle="1" w:styleId="237">
    <w:name w:val="WW8Num15z8"/>
    <w:uiPriority w:val="0"/>
  </w:style>
  <w:style w:type="character" w:customStyle="1" w:styleId="238">
    <w:name w:val="Основной шрифт"/>
    <w:uiPriority w:val="0"/>
  </w:style>
  <w:style w:type="character" w:customStyle="1" w:styleId="239">
    <w:name w:val="WW8Num3z1"/>
    <w:uiPriority w:val="0"/>
    <w:rPr>
      <w:rFonts w:hint="default" w:ascii="Courier New" w:hAnsi="Courier New" w:cs="Courier New"/>
    </w:rPr>
  </w:style>
  <w:style w:type="character" w:customStyle="1" w:styleId="240">
    <w:name w:val="WW8Num3z2"/>
    <w:uiPriority w:val="0"/>
    <w:rPr>
      <w:rFonts w:hint="default" w:ascii="Wingdings" w:hAnsi="Wingdings" w:cs="Wingdings"/>
    </w:rPr>
  </w:style>
  <w:style w:type="character" w:customStyle="1" w:styleId="241">
    <w:name w:val="WW8Num4z1"/>
    <w:uiPriority w:val="0"/>
  </w:style>
  <w:style w:type="character" w:customStyle="1" w:styleId="242">
    <w:name w:val="WW8Num4z2"/>
    <w:uiPriority w:val="0"/>
  </w:style>
  <w:style w:type="character" w:customStyle="1" w:styleId="243">
    <w:name w:val="WW8Num4z3"/>
    <w:uiPriority w:val="0"/>
  </w:style>
  <w:style w:type="character" w:customStyle="1" w:styleId="244">
    <w:name w:val="WW8Num4z4"/>
    <w:uiPriority w:val="0"/>
  </w:style>
  <w:style w:type="character" w:customStyle="1" w:styleId="245">
    <w:name w:val="WW8Num4z5"/>
    <w:uiPriority w:val="0"/>
  </w:style>
  <w:style w:type="character" w:customStyle="1" w:styleId="246">
    <w:name w:val="WW8Num4z6"/>
    <w:uiPriority w:val="0"/>
  </w:style>
  <w:style w:type="character" w:customStyle="1" w:styleId="247">
    <w:name w:val="WW8Num4z7"/>
    <w:uiPriority w:val="0"/>
  </w:style>
  <w:style w:type="character" w:customStyle="1" w:styleId="248">
    <w:name w:val="WW8Num4z8"/>
    <w:uiPriority w:val="0"/>
  </w:style>
  <w:style w:type="character" w:customStyle="1" w:styleId="249">
    <w:name w:val="WW8Num7z1"/>
    <w:uiPriority w:val="0"/>
  </w:style>
  <w:style w:type="character" w:customStyle="1" w:styleId="250">
    <w:name w:val="WW8Num7z2"/>
    <w:uiPriority w:val="0"/>
  </w:style>
  <w:style w:type="character" w:customStyle="1" w:styleId="251">
    <w:name w:val="WW8Num7z3"/>
    <w:uiPriority w:val="0"/>
  </w:style>
  <w:style w:type="character" w:customStyle="1" w:styleId="252">
    <w:name w:val="WW8Num7z4"/>
    <w:uiPriority w:val="0"/>
  </w:style>
  <w:style w:type="character" w:customStyle="1" w:styleId="253">
    <w:name w:val="WW8Num7z5"/>
    <w:uiPriority w:val="0"/>
  </w:style>
  <w:style w:type="character" w:customStyle="1" w:styleId="254">
    <w:name w:val="WW8Num7z6"/>
    <w:uiPriority w:val="0"/>
  </w:style>
  <w:style w:type="character" w:customStyle="1" w:styleId="255">
    <w:name w:val="WW8Num7z7"/>
    <w:uiPriority w:val="0"/>
  </w:style>
  <w:style w:type="character" w:customStyle="1" w:styleId="256">
    <w:name w:val="WW8Num7z8"/>
    <w:uiPriority w:val="0"/>
  </w:style>
  <w:style w:type="character" w:customStyle="1" w:styleId="257">
    <w:name w:val="WW8Num16z0"/>
    <w:uiPriority w:val="0"/>
    <w:rPr>
      <w:rFonts w:ascii="Times New Roman" w:hAnsi="Times New Roman" w:eastAsia="Times New Roman" w:cs="Times New Roman"/>
      <w:color w:val="000000"/>
      <w:spacing w:val="0"/>
      <w:w w:val="100"/>
      <w:kern w:val="2"/>
      <w:position w:val="0"/>
      <w:sz w:val="24"/>
      <w:shd w:val="clear" w:color="auto" w:fill="auto"/>
      <w:vertAlign w:val="baseline"/>
    </w:rPr>
  </w:style>
  <w:style w:type="character" w:customStyle="1" w:styleId="258">
    <w:name w:val="WW8Num17z0"/>
    <w:uiPriority w:val="0"/>
  </w:style>
  <w:style w:type="character" w:customStyle="1" w:styleId="259">
    <w:name w:val="WW8Num17z1"/>
    <w:uiPriority w:val="0"/>
  </w:style>
  <w:style w:type="character" w:customStyle="1" w:styleId="260">
    <w:name w:val="WW8Num17z2"/>
    <w:uiPriority w:val="0"/>
  </w:style>
  <w:style w:type="character" w:customStyle="1" w:styleId="261">
    <w:name w:val="WW8Num17z3"/>
    <w:uiPriority w:val="0"/>
  </w:style>
  <w:style w:type="character" w:customStyle="1" w:styleId="262">
    <w:name w:val="WW8Num17z4"/>
    <w:uiPriority w:val="0"/>
  </w:style>
  <w:style w:type="character" w:customStyle="1" w:styleId="263">
    <w:name w:val="WW8Num17z5"/>
    <w:uiPriority w:val="0"/>
  </w:style>
  <w:style w:type="character" w:customStyle="1" w:styleId="264">
    <w:name w:val="WW8Num17z6"/>
    <w:uiPriority w:val="0"/>
  </w:style>
  <w:style w:type="character" w:customStyle="1" w:styleId="265">
    <w:name w:val="WW8Num17z7"/>
    <w:uiPriority w:val="0"/>
  </w:style>
  <w:style w:type="character" w:customStyle="1" w:styleId="266">
    <w:name w:val="WW8Num17z8"/>
    <w:uiPriority w:val="0"/>
  </w:style>
  <w:style w:type="character" w:customStyle="1" w:styleId="267">
    <w:name w:val="WW8Num18z0"/>
    <w:uiPriority w:val="0"/>
    <w:rPr>
      <w:rFonts w:hint="default" w:ascii="Symbol" w:hAnsi="Symbol" w:cs="Symbol"/>
      <w:sz w:val="20"/>
    </w:rPr>
  </w:style>
  <w:style w:type="character" w:customStyle="1" w:styleId="268">
    <w:name w:val="WW8Num19z0"/>
    <w:uiPriority w:val="0"/>
    <w:rPr>
      <w:rFonts w:hint="default" w:ascii="Symbol" w:hAnsi="Symbol" w:cs="Symbol"/>
    </w:rPr>
  </w:style>
  <w:style w:type="character" w:customStyle="1" w:styleId="269">
    <w:name w:val="WW8Num19z1"/>
    <w:uiPriority w:val="0"/>
    <w:rPr>
      <w:rFonts w:hint="default" w:ascii="Courier New" w:hAnsi="Courier New" w:cs="Courier New"/>
    </w:rPr>
  </w:style>
  <w:style w:type="character" w:customStyle="1" w:styleId="270">
    <w:name w:val="WW8Num19z2"/>
    <w:uiPriority w:val="0"/>
    <w:rPr>
      <w:rFonts w:hint="default" w:ascii="Wingdings" w:hAnsi="Wingdings" w:cs="Wingdings"/>
    </w:rPr>
  </w:style>
  <w:style w:type="character" w:customStyle="1" w:styleId="271">
    <w:name w:val="WW8Num20z0"/>
    <w:uiPriority w:val="0"/>
    <w:rPr>
      <w:rFonts w:hint="default" w:ascii="Symbol" w:hAnsi="Symbol" w:cs="Symbol"/>
    </w:rPr>
  </w:style>
  <w:style w:type="character" w:customStyle="1" w:styleId="272">
    <w:name w:val="WW8Num20z1"/>
    <w:uiPriority w:val="0"/>
    <w:rPr>
      <w:rFonts w:hint="default" w:ascii="Courier New" w:hAnsi="Courier New" w:cs="Courier New"/>
    </w:rPr>
  </w:style>
  <w:style w:type="character" w:customStyle="1" w:styleId="273">
    <w:name w:val="WW8Num20z2"/>
    <w:uiPriority w:val="0"/>
    <w:rPr>
      <w:rFonts w:hint="default" w:ascii="Wingdings" w:hAnsi="Wingdings" w:cs="Wingdings"/>
    </w:rPr>
  </w:style>
  <w:style w:type="character" w:customStyle="1" w:styleId="274">
    <w:name w:val="WW8Num21z0"/>
    <w:uiPriority w:val="0"/>
    <w:rPr>
      <w:rFonts w:hint="default" w:ascii="Symbol" w:hAnsi="Symbol" w:cs="Symbol"/>
      <w:sz w:val="20"/>
    </w:rPr>
  </w:style>
  <w:style w:type="character" w:customStyle="1" w:styleId="275">
    <w:name w:val="WW8Num22z0"/>
    <w:uiPriority w:val="0"/>
    <w:rPr>
      <w:rFonts w:cs="Arial Unicode MS"/>
      <w:color w:val="000000"/>
      <w:spacing w:val="0"/>
      <w:w w:val="100"/>
      <w:kern w:val="2"/>
      <w:position w:val="0"/>
      <w:sz w:val="24"/>
      <w:shd w:val="clear" w:color="auto" w:fill="auto"/>
      <w:vertAlign w:val="baseline"/>
    </w:rPr>
  </w:style>
  <w:style w:type="character" w:customStyle="1" w:styleId="276">
    <w:name w:val="WW8Num23z0"/>
    <w:uiPriority w:val="0"/>
    <w:rPr>
      <w:rFonts w:hint="default" w:ascii="Symbol" w:hAnsi="Symbol" w:cs="Symbol"/>
      <w:sz w:val="20"/>
    </w:rPr>
  </w:style>
  <w:style w:type="character" w:customStyle="1" w:styleId="277">
    <w:name w:val="WW8Num24z0"/>
    <w:uiPriority w:val="0"/>
    <w:rPr>
      <w:rFonts w:hint="default" w:ascii="Symbol" w:hAnsi="Symbol" w:cs="Symbol"/>
      <w:sz w:val="20"/>
    </w:rPr>
  </w:style>
  <w:style w:type="character" w:customStyle="1" w:styleId="278">
    <w:name w:val="WW8Num24z1"/>
    <w:uiPriority w:val="0"/>
    <w:rPr>
      <w:rFonts w:hint="default"/>
    </w:rPr>
  </w:style>
  <w:style w:type="character" w:customStyle="1" w:styleId="279">
    <w:name w:val="WW8Num25z0"/>
    <w:uiPriority w:val="0"/>
    <w:rPr>
      <w:rFonts w:hint="default"/>
    </w:rPr>
  </w:style>
  <w:style w:type="character" w:customStyle="1" w:styleId="280">
    <w:name w:val="WW8Num25z1"/>
    <w:uiPriority w:val="0"/>
  </w:style>
  <w:style w:type="character" w:customStyle="1" w:styleId="281">
    <w:name w:val="WW8Num25z2"/>
    <w:uiPriority w:val="0"/>
  </w:style>
  <w:style w:type="character" w:customStyle="1" w:styleId="282">
    <w:name w:val="WW8Num25z3"/>
    <w:uiPriority w:val="0"/>
  </w:style>
  <w:style w:type="character" w:customStyle="1" w:styleId="283">
    <w:name w:val="WW8Num25z4"/>
    <w:uiPriority w:val="0"/>
  </w:style>
  <w:style w:type="character" w:customStyle="1" w:styleId="284">
    <w:name w:val="WW8Num25z5"/>
    <w:uiPriority w:val="0"/>
  </w:style>
  <w:style w:type="character" w:customStyle="1" w:styleId="285">
    <w:name w:val="WW8Num25z6"/>
    <w:uiPriority w:val="0"/>
  </w:style>
  <w:style w:type="character" w:customStyle="1" w:styleId="286">
    <w:name w:val="WW8Num25z7"/>
    <w:uiPriority w:val="0"/>
  </w:style>
  <w:style w:type="character" w:customStyle="1" w:styleId="287">
    <w:name w:val="WW8Num25z8"/>
    <w:uiPriority w:val="0"/>
  </w:style>
  <w:style w:type="character" w:customStyle="1" w:styleId="288">
    <w:name w:val="WW8Num26z0"/>
    <w:uiPriority w:val="0"/>
    <w:rPr>
      <w:rFonts w:cs="Arial Unicode MS"/>
      <w:color w:val="000000"/>
      <w:spacing w:val="0"/>
      <w:w w:val="100"/>
      <w:kern w:val="2"/>
      <w:position w:val="0"/>
      <w:sz w:val="24"/>
      <w:shd w:val="clear" w:color="auto" w:fill="auto"/>
      <w:vertAlign w:val="baseline"/>
    </w:rPr>
  </w:style>
  <w:style w:type="character" w:customStyle="1" w:styleId="289">
    <w:name w:val="WW8Num27z0"/>
    <w:uiPriority w:val="0"/>
    <w:rPr>
      <w:rFonts w:hint="default" w:ascii="Symbol" w:hAnsi="Symbol" w:cs="Symbol"/>
    </w:rPr>
  </w:style>
  <w:style w:type="character" w:customStyle="1" w:styleId="290">
    <w:name w:val="WW8Num27z1"/>
    <w:uiPriority w:val="0"/>
    <w:rPr>
      <w:rFonts w:hint="default" w:ascii="Courier New" w:hAnsi="Courier New" w:cs="Courier New"/>
    </w:rPr>
  </w:style>
  <w:style w:type="character" w:customStyle="1" w:styleId="291">
    <w:name w:val="WW8Num27z2"/>
    <w:uiPriority w:val="0"/>
    <w:rPr>
      <w:rFonts w:hint="default" w:ascii="Wingdings" w:hAnsi="Wingdings" w:cs="Wingdings"/>
    </w:rPr>
  </w:style>
  <w:style w:type="character" w:customStyle="1" w:styleId="292">
    <w:name w:val="WW8Num28z0"/>
    <w:uiPriority w:val="0"/>
    <w:rPr>
      <w:rFonts w:hint="default" w:cs="Times New Roman"/>
    </w:rPr>
  </w:style>
  <w:style w:type="character" w:customStyle="1" w:styleId="293">
    <w:name w:val="WW8Num28z1"/>
    <w:uiPriority w:val="0"/>
  </w:style>
  <w:style w:type="character" w:customStyle="1" w:styleId="294">
    <w:name w:val="WW8Num28z2"/>
    <w:uiPriority w:val="0"/>
  </w:style>
  <w:style w:type="character" w:customStyle="1" w:styleId="295">
    <w:name w:val="WW8Num28z3"/>
    <w:uiPriority w:val="0"/>
  </w:style>
  <w:style w:type="character" w:customStyle="1" w:styleId="296">
    <w:name w:val="WW8Num28z4"/>
    <w:uiPriority w:val="0"/>
  </w:style>
  <w:style w:type="character" w:customStyle="1" w:styleId="297">
    <w:name w:val="WW8Num28z5"/>
    <w:uiPriority w:val="0"/>
  </w:style>
  <w:style w:type="character" w:customStyle="1" w:styleId="298">
    <w:name w:val="WW8Num28z6"/>
    <w:uiPriority w:val="0"/>
  </w:style>
  <w:style w:type="character" w:customStyle="1" w:styleId="299">
    <w:name w:val="WW8Num28z7"/>
    <w:uiPriority w:val="0"/>
  </w:style>
  <w:style w:type="character" w:customStyle="1" w:styleId="300">
    <w:name w:val="WW8Num28z8"/>
    <w:uiPriority w:val="0"/>
  </w:style>
  <w:style w:type="character" w:customStyle="1" w:styleId="301">
    <w:name w:val="WW8Num29z0"/>
    <w:uiPriority w:val="0"/>
    <w:rPr>
      <w:rFonts w:hint="default" w:ascii="Symbol" w:hAnsi="Symbol" w:cs="Symbol"/>
      <w:sz w:val="20"/>
    </w:rPr>
  </w:style>
  <w:style w:type="character" w:customStyle="1" w:styleId="302">
    <w:name w:val="WW8Num30z0"/>
    <w:uiPriority w:val="0"/>
    <w:rPr>
      <w:rFonts w:cs="Arial Unicode MS"/>
      <w:color w:val="000000"/>
      <w:spacing w:val="0"/>
      <w:w w:val="100"/>
      <w:kern w:val="2"/>
      <w:position w:val="0"/>
      <w:sz w:val="24"/>
      <w:shd w:val="clear" w:color="auto" w:fill="auto"/>
      <w:vertAlign w:val="baseline"/>
    </w:rPr>
  </w:style>
  <w:style w:type="character" w:customStyle="1" w:styleId="303">
    <w:name w:val="WW8Num31z0"/>
    <w:uiPriority w:val="0"/>
    <w:rPr>
      <w:rFonts w:cs="Arial Unicode MS"/>
      <w:color w:val="000000"/>
      <w:spacing w:val="0"/>
      <w:w w:val="100"/>
      <w:kern w:val="2"/>
      <w:position w:val="0"/>
      <w:sz w:val="24"/>
      <w:shd w:val="clear" w:color="auto" w:fill="auto"/>
      <w:vertAlign w:val="baseline"/>
    </w:rPr>
  </w:style>
  <w:style w:type="character" w:customStyle="1" w:styleId="304">
    <w:name w:val="WW8Num32z0"/>
    <w:uiPriority w:val="0"/>
    <w:rPr>
      <w:rFonts w:cs="Arial Unicode MS"/>
      <w:color w:val="000000"/>
      <w:spacing w:val="0"/>
      <w:w w:val="100"/>
      <w:kern w:val="2"/>
      <w:position w:val="0"/>
      <w:sz w:val="24"/>
      <w:shd w:val="clear" w:color="auto" w:fill="auto"/>
      <w:vertAlign w:val="baseline"/>
    </w:rPr>
  </w:style>
  <w:style w:type="character" w:customStyle="1" w:styleId="305">
    <w:name w:val="WW8Num33z0"/>
    <w:uiPriority w:val="0"/>
    <w:rPr>
      <w:rFonts w:hint="default" w:ascii="Symbol" w:hAnsi="Symbol" w:cs="Symbol"/>
    </w:rPr>
  </w:style>
  <w:style w:type="character" w:customStyle="1" w:styleId="306">
    <w:name w:val="WW8Num33z1"/>
    <w:uiPriority w:val="0"/>
    <w:rPr>
      <w:rFonts w:hint="default" w:ascii="Courier New" w:hAnsi="Courier New" w:cs="Courier New"/>
    </w:rPr>
  </w:style>
  <w:style w:type="character" w:customStyle="1" w:styleId="307">
    <w:name w:val="WW8Num33z2"/>
    <w:uiPriority w:val="0"/>
    <w:rPr>
      <w:rFonts w:hint="default" w:ascii="Wingdings" w:hAnsi="Wingdings" w:cs="Wingdings"/>
    </w:rPr>
  </w:style>
  <w:style w:type="character" w:customStyle="1" w:styleId="308">
    <w:name w:val="WW8Num34z0"/>
    <w:uiPriority w:val="0"/>
    <w:rPr>
      <w:rFonts w:cs="Arial Unicode MS"/>
      <w:color w:val="000000"/>
      <w:spacing w:val="0"/>
      <w:w w:val="100"/>
      <w:kern w:val="2"/>
      <w:position w:val="0"/>
      <w:sz w:val="24"/>
      <w:shd w:val="clear" w:color="auto" w:fill="auto"/>
      <w:vertAlign w:val="baseline"/>
    </w:rPr>
  </w:style>
  <w:style w:type="character" w:customStyle="1" w:styleId="309">
    <w:name w:val="Основной шрифт абзаца1"/>
    <w:uiPriority w:val="0"/>
  </w:style>
  <w:style w:type="character" w:customStyle="1" w:styleId="310">
    <w:name w:val="Link"/>
    <w:uiPriority w:val="0"/>
    <w:rPr>
      <w:color w:val="0000FF"/>
      <w:u w:val="single" w:color="0000FF"/>
    </w:rPr>
  </w:style>
  <w:style w:type="character" w:customStyle="1" w:styleId="311">
    <w:name w:val="Hyperlink.0"/>
    <w:uiPriority w:val="0"/>
    <w:rPr>
      <w:color w:val="0000FF"/>
      <w:sz w:val="28"/>
      <w:szCs w:val="28"/>
      <w:u w:val="single" w:color="0000FF"/>
    </w:rPr>
  </w:style>
  <w:style w:type="character" w:customStyle="1" w:styleId="312">
    <w:name w:val="Стиль1"/>
    <w:uiPriority w:val="0"/>
    <w:rPr>
      <w:rFonts w:ascii="Times New Roman" w:hAnsi="Times New Roman" w:cs="Times New Roman"/>
      <w:i/>
      <w:sz w:val="24"/>
    </w:rPr>
  </w:style>
  <w:style w:type="character" w:customStyle="1" w:styleId="313">
    <w:name w:val="Обычный (веб) Знак2"/>
    <w:uiPriority w:val="0"/>
    <w:rPr>
      <w:rFonts w:eastAsia="Times New Roman"/>
      <w:b/>
      <w:bCs/>
      <w:color w:val="000000"/>
      <w:sz w:val="28"/>
      <w:szCs w:val="28"/>
      <w:shd w:val="clear" w:color="auto" w:fill="FFFFFF"/>
      <w:lang w:bidi="ar-SA"/>
    </w:rPr>
  </w:style>
  <w:style w:type="character" w:customStyle="1" w:styleId="314">
    <w:name w:val="c23"/>
    <w:uiPriority w:val="0"/>
  </w:style>
  <w:style w:type="character" w:customStyle="1" w:styleId="315">
    <w:name w:val="w"/>
    <w:uiPriority w:val="0"/>
  </w:style>
  <w:style w:type="character" w:customStyle="1" w:styleId="316">
    <w:name w:val="Zag_11"/>
    <w:uiPriority w:val="99"/>
  </w:style>
  <w:style w:type="character" w:customStyle="1" w:styleId="317">
    <w:name w:val="share-counter-common"/>
    <w:uiPriority w:val="0"/>
  </w:style>
  <w:style w:type="character" w:customStyle="1" w:styleId="318">
    <w:name w:val="c0"/>
    <w:uiPriority w:val="0"/>
  </w:style>
  <w:style w:type="character" w:customStyle="1" w:styleId="319">
    <w:name w:val="Основной текст с отступом 2 Знак"/>
    <w:link w:val="51"/>
    <w:uiPriority w:val="99"/>
    <w:rPr>
      <w:rFonts w:ascii="Calibri" w:hAnsi="Calibri" w:eastAsia="Calibri" w:cs="Calibri"/>
      <w:color w:val="000000"/>
      <w:sz w:val="22"/>
      <w:szCs w:val="22"/>
    </w:rPr>
  </w:style>
  <w:style w:type="character" w:customStyle="1" w:styleId="320">
    <w:name w:val="Знак примечания1"/>
    <w:uiPriority w:val="0"/>
    <w:rPr>
      <w:sz w:val="16"/>
      <w:szCs w:val="16"/>
    </w:rPr>
  </w:style>
  <w:style w:type="character" w:customStyle="1" w:styleId="321">
    <w:name w:val="Символ сноски"/>
    <w:uiPriority w:val="0"/>
    <w:rPr>
      <w:vertAlign w:val="superscript"/>
    </w:rPr>
  </w:style>
  <w:style w:type="character" w:customStyle="1" w:styleId="322">
    <w:name w:val="Font Style22"/>
    <w:uiPriority w:val="0"/>
    <w:rPr>
      <w:rFonts w:hint="default" w:ascii="Times New Roman" w:hAnsi="Times New Roman" w:cs="Times New Roman"/>
      <w:sz w:val="26"/>
      <w:szCs w:val="26"/>
    </w:rPr>
  </w:style>
  <w:style w:type="character" w:customStyle="1" w:styleId="323">
    <w:name w:val="c8"/>
    <w:uiPriority w:val="0"/>
  </w:style>
  <w:style w:type="paragraph" w:customStyle="1" w:styleId="324">
    <w:name w:val="Указатель2"/>
    <w:basedOn w:val="1"/>
    <w:uiPriority w:val="0"/>
    <w:pPr>
      <w:widowControl/>
      <w:suppressLineNumbers/>
      <w:pBdr>
        <w:top w:val="none" w:color="000000" w:sz="0" w:space="0"/>
        <w:left w:val="none" w:color="000000" w:sz="0" w:space="0"/>
        <w:bottom w:val="none" w:color="000000" w:sz="0" w:space="0"/>
        <w:right w:val="none" w:color="000000" w:sz="0" w:space="0"/>
      </w:pBdr>
      <w:suppressAutoHyphens/>
    </w:pPr>
    <w:rPr>
      <w:rFonts w:cs="Mangal"/>
      <w:color w:val="000000"/>
      <w:lang w:eastAsia="zh-CN"/>
    </w:rPr>
  </w:style>
  <w:style w:type="paragraph" w:customStyle="1" w:styleId="325">
    <w:name w:val="Надпись"/>
    <w:basedOn w:val="1"/>
    <w:uiPriority w:val="0"/>
    <w:pPr>
      <w:widowControl/>
      <w:suppressLineNumbers/>
      <w:pBdr>
        <w:top w:val="none" w:color="000000" w:sz="0" w:space="0"/>
        <w:left w:val="none" w:color="000000" w:sz="0" w:space="0"/>
        <w:bottom w:val="none" w:color="000000" w:sz="0" w:space="0"/>
        <w:right w:val="none" w:color="000000" w:sz="0" w:space="0"/>
      </w:pBdr>
      <w:suppressAutoHyphens/>
      <w:spacing w:before="120" w:after="120"/>
    </w:pPr>
    <w:rPr>
      <w:rFonts w:cs="Mangal"/>
      <w:i/>
      <w:iCs/>
      <w:color w:val="000000"/>
      <w:sz w:val="24"/>
      <w:szCs w:val="24"/>
      <w:lang w:eastAsia="zh-CN"/>
    </w:rPr>
  </w:style>
  <w:style w:type="paragraph" w:customStyle="1" w:styleId="326">
    <w:name w:val="Указатель1"/>
    <w:basedOn w:val="1"/>
    <w:uiPriority w:val="99"/>
    <w:pPr>
      <w:widowControl/>
      <w:suppressLineNumbers/>
      <w:pBdr>
        <w:top w:val="none" w:color="000000" w:sz="0" w:space="0"/>
        <w:left w:val="none" w:color="000000" w:sz="0" w:space="0"/>
        <w:bottom w:val="none" w:color="000000" w:sz="0" w:space="0"/>
        <w:right w:val="none" w:color="000000" w:sz="0" w:space="0"/>
      </w:pBdr>
      <w:suppressAutoHyphens/>
    </w:pPr>
    <w:rPr>
      <w:rFonts w:cs="Mangal"/>
      <w:color w:val="000000"/>
      <w:lang w:eastAsia="zh-CN"/>
    </w:rPr>
  </w:style>
  <w:style w:type="paragraph" w:customStyle="1" w:styleId="327">
    <w:name w:val="Header &amp; Footer"/>
    <w:uiPriority w:val="0"/>
    <w:pPr>
      <w:pBdr>
        <w:top w:val="none" w:color="000000" w:sz="0" w:space="0"/>
        <w:left w:val="none" w:color="000000" w:sz="0" w:space="0"/>
        <w:bottom w:val="none" w:color="000000" w:sz="0" w:space="0"/>
        <w:right w:val="none" w:color="000000" w:sz="0" w:space="0"/>
      </w:pBdr>
      <w:tabs>
        <w:tab w:val="right" w:pos="9020"/>
      </w:tabs>
      <w:suppressAutoHyphens/>
    </w:pPr>
    <w:rPr>
      <w:rFonts w:ascii="Helvetica Neue" w:hAnsi="Helvetica Neue" w:eastAsia="Arial Unicode MS" w:cs="Arial Unicode MS"/>
      <w:color w:val="000000"/>
      <w:sz w:val="24"/>
      <w:szCs w:val="24"/>
      <w:lang w:val="ru-RU" w:eastAsia="zh-CN" w:bidi="ar-SA"/>
    </w:rPr>
  </w:style>
  <w:style w:type="paragraph" w:customStyle="1" w:styleId="328">
    <w:name w:val="Заголовок таблицы ссылок1"/>
    <w:next w:val="1"/>
    <w:uiPriority w:val="0"/>
    <w:pPr>
      <w:keepNext/>
      <w:keepLines/>
      <w:pBdr>
        <w:top w:val="none" w:color="000000" w:sz="0" w:space="0"/>
        <w:left w:val="none" w:color="000000" w:sz="0" w:space="0"/>
        <w:bottom w:val="none" w:color="000000" w:sz="0" w:space="0"/>
        <w:right w:val="none" w:color="000000" w:sz="0" w:space="0"/>
      </w:pBdr>
      <w:suppressAutoHyphens/>
      <w:spacing w:before="480" w:after="200" w:line="276" w:lineRule="auto"/>
    </w:pPr>
    <w:rPr>
      <w:rFonts w:ascii="Cambria" w:hAnsi="Cambria" w:eastAsia="Cambria" w:cs="Cambria"/>
      <w:b/>
      <w:bCs/>
      <w:color w:val="365F91"/>
      <w:sz w:val="28"/>
      <w:szCs w:val="28"/>
      <w:lang w:val="ru-RU" w:eastAsia="zh-CN" w:bidi="ar-SA"/>
    </w:rPr>
  </w:style>
  <w:style w:type="character" w:customStyle="1" w:styleId="329">
    <w:name w:val="Основной текст с отступом Знак"/>
    <w:link w:val="45"/>
    <w:uiPriority w:val="99"/>
    <w:rPr>
      <w:color w:val="000000"/>
      <w:sz w:val="22"/>
      <w:szCs w:val="22"/>
      <w:lang w:eastAsia="zh-CN" w:bidi="ar-SA"/>
    </w:rPr>
  </w:style>
  <w:style w:type="paragraph" w:customStyle="1" w:styleId="330">
    <w:name w:val="Без интервала1"/>
    <w:link w:val="2465"/>
    <w:qFormat/>
    <w:uiPriority w:val="0"/>
    <w:pPr>
      <w:pBdr>
        <w:top w:val="none" w:color="000000" w:sz="0" w:space="0"/>
        <w:left w:val="none" w:color="000000" w:sz="0" w:space="0"/>
        <w:bottom w:val="none" w:color="000000" w:sz="0" w:space="0"/>
        <w:right w:val="none" w:color="000000" w:sz="0" w:space="0"/>
      </w:pBdr>
      <w:suppressAutoHyphens/>
      <w:spacing w:after="200" w:line="276" w:lineRule="auto"/>
    </w:pPr>
    <w:rPr>
      <w:rFonts w:ascii="Times New Roman" w:hAnsi="Times New Roman" w:eastAsia="Arial Unicode MS" w:cs="Times New Roman"/>
      <w:color w:val="000000"/>
      <w:sz w:val="24"/>
      <w:szCs w:val="24"/>
      <w:lang w:val="ru-RU" w:eastAsia="zh-CN" w:bidi="ar-SA"/>
    </w:rPr>
  </w:style>
  <w:style w:type="paragraph" w:customStyle="1" w:styleId="331">
    <w:name w:val="p1"/>
    <w:uiPriority w:val="0"/>
    <w:pPr>
      <w:pBdr>
        <w:top w:val="none" w:color="000000" w:sz="0" w:space="0"/>
        <w:left w:val="none" w:color="000000" w:sz="0" w:space="0"/>
        <w:bottom w:val="none" w:color="000000" w:sz="0" w:space="0"/>
        <w:right w:val="none" w:color="000000" w:sz="0" w:space="0"/>
      </w:pBdr>
      <w:suppressAutoHyphens/>
      <w:spacing w:line="216" w:lineRule="atLeast"/>
      <w:jc w:val="center"/>
    </w:pPr>
    <w:rPr>
      <w:rFonts w:ascii="Trebuchet MS" w:hAnsi="Trebuchet MS" w:eastAsia="Arial Unicode MS" w:cs="Arial Unicode MS"/>
      <w:color w:val="000000"/>
      <w:sz w:val="18"/>
      <w:szCs w:val="18"/>
      <w:lang w:val="ru-RU" w:eastAsia="zh-CN" w:bidi="ar-SA"/>
    </w:rPr>
  </w:style>
  <w:style w:type="paragraph" w:customStyle="1" w:styleId="332">
    <w:name w:val="p2"/>
    <w:uiPriority w:val="0"/>
    <w:pPr>
      <w:pBdr>
        <w:top w:val="none" w:color="000000" w:sz="0" w:space="0"/>
        <w:left w:val="none" w:color="000000" w:sz="0" w:space="0"/>
        <w:bottom w:val="none" w:color="000000" w:sz="0" w:space="0"/>
        <w:right w:val="none" w:color="000000" w:sz="0" w:space="0"/>
      </w:pBdr>
      <w:suppressAutoHyphens/>
      <w:spacing w:line="216" w:lineRule="atLeast"/>
      <w:jc w:val="center"/>
    </w:pPr>
    <w:rPr>
      <w:rFonts w:ascii="Times New Roman" w:hAnsi="Times New Roman" w:eastAsia="Times New Roman" w:cs="Times New Roman"/>
      <w:color w:val="000000"/>
      <w:sz w:val="18"/>
      <w:szCs w:val="18"/>
      <w:lang w:val="ru-RU" w:eastAsia="zh-CN" w:bidi="ar-SA"/>
    </w:rPr>
  </w:style>
  <w:style w:type="paragraph" w:customStyle="1" w:styleId="333">
    <w:name w:val="p3"/>
    <w:uiPriority w:val="0"/>
    <w:pPr>
      <w:pBdr>
        <w:top w:val="none" w:color="000000" w:sz="0" w:space="0"/>
        <w:left w:val="none" w:color="000000" w:sz="0" w:space="0"/>
        <w:bottom w:val="none" w:color="000000" w:sz="0" w:space="0"/>
        <w:right w:val="none" w:color="000000" w:sz="0" w:space="0"/>
      </w:pBdr>
      <w:suppressAutoHyphens/>
    </w:pPr>
    <w:rPr>
      <w:rFonts w:ascii="Times New Roman" w:hAnsi="Times New Roman" w:eastAsia="Arial Unicode MS" w:cs="Arial Unicode MS"/>
      <w:color w:val="000000"/>
      <w:sz w:val="18"/>
      <w:szCs w:val="18"/>
      <w:lang w:val="ru-RU" w:eastAsia="zh-CN" w:bidi="ar-SA"/>
    </w:rPr>
  </w:style>
  <w:style w:type="paragraph" w:customStyle="1" w:styleId="334">
    <w:name w:val="p5"/>
    <w:uiPriority w:val="0"/>
    <w:pPr>
      <w:pBdr>
        <w:top w:val="none" w:color="000000" w:sz="0" w:space="0"/>
        <w:left w:val="none" w:color="000000" w:sz="0" w:space="0"/>
        <w:bottom w:val="none" w:color="000000" w:sz="0" w:space="0"/>
        <w:right w:val="none" w:color="000000" w:sz="0" w:space="0"/>
      </w:pBdr>
      <w:suppressAutoHyphens/>
      <w:jc w:val="both"/>
    </w:pPr>
    <w:rPr>
      <w:rFonts w:ascii="Times New Roman" w:hAnsi="Times New Roman" w:eastAsia="Arial Unicode MS" w:cs="Arial Unicode MS"/>
      <w:color w:val="000000"/>
      <w:sz w:val="18"/>
      <w:szCs w:val="18"/>
      <w:lang w:val="ru-RU" w:eastAsia="zh-CN" w:bidi="ar-SA"/>
    </w:rPr>
  </w:style>
  <w:style w:type="paragraph" w:customStyle="1" w:styleId="335">
    <w:name w:val="p6"/>
    <w:uiPriority w:val="99"/>
    <w:pPr>
      <w:pBdr>
        <w:top w:val="none" w:color="000000" w:sz="0" w:space="0"/>
        <w:left w:val="none" w:color="000000" w:sz="0" w:space="0"/>
        <w:bottom w:val="none" w:color="000000" w:sz="0" w:space="0"/>
        <w:right w:val="none" w:color="000000" w:sz="0" w:space="0"/>
      </w:pBdr>
      <w:suppressAutoHyphens/>
    </w:pPr>
    <w:rPr>
      <w:rFonts w:ascii="Times New Roman" w:hAnsi="Times New Roman" w:eastAsia="Times New Roman" w:cs="Times New Roman"/>
      <w:color w:val="000000"/>
      <w:sz w:val="18"/>
      <w:szCs w:val="18"/>
      <w:lang w:val="ru-RU" w:eastAsia="zh-CN" w:bidi="ar-SA"/>
    </w:rPr>
  </w:style>
  <w:style w:type="character" w:customStyle="1" w:styleId="336">
    <w:name w:val="Нижний колонтитул Знак1"/>
    <w:uiPriority w:val="99"/>
    <w:rPr>
      <w:rFonts w:ascii="Calibri" w:hAnsi="Calibri" w:eastAsia="Calibri"/>
      <w:color w:val="000000"/>
      <w:sz w:val="22"/>
      <w:szCs w:val="22"/>
      <w:lang w:eastAsia="zh-CN"/>
    </w:rPr>
  </w:style>
  <w:style w:type="paragraph" w:customStyle="1" w:styleId="337">
    <w:name w:val="Основной текст 31"/>
    <w:basedOn w:val="1"/>
    <w:uiPriority w:val="0"/>
    <w:pPr>
      <w:pBdr>
        <w:top w:val="none" w:color="000000" w:sz="0" w:space="0"/>
        <w:left w:val="none" w:color="000000" w:sz="0" w:space="0"/>
        <w:bottom w:val="none" w:color="000000" w:sz="0" w:space="0"/>
        <w:right w:val="none" w:color="000000" w:sz="0" w:space="0"/>
      </w:pBdr>
      <w:suppressAutoHyphens/>
      <w:spacing w:after="120" w:line="240" w:lineRule="auto"/>
    </w:pPr>
    <w:rPr>
      <w:rFonts w:ascii="Times New Roman" w:hAnsi="Times New Roman" w:eastAsia="Arial Unicode MS"/>
      <w:kern w:val="2"/>
      <w:sz w:val="16"/>
      <w:szCs w:val="16"/>
      <w:lang w:eastAsia="zh-CN"/>
    </w:rPr>
  </w:style>
  <w:style w:type="paragraph" w:customStyle="1" w:styleId="338">
    <w:name w:val="Письмо"/>
    <w:basedOn w:val="1"/>
    <w:uiPriority w:val="0"/>
    <w:pPr>
      <w:widowControl/>
      <w:pBdr>
        <w:top w:val="none" w:color="000000" w:sz="0" w:space="0"/>
        <w:left w:val="none" w:color="000000" w:sz="0" w:space="0"/>
        <w:bottom w:val="none" w:color="000000" w:sz="0" w:space="0"/>
        <w:right w:val="none" w:color="000000" w:sz="0" w:space="0"/>
      </w:pBdr>
      <w:suppressAutoHyphens/>
      <w:spacing w:after="0" w:line="320" w:lineRule="exact"/>
      <w:ind w:firstLine="720"/>
      <w:jc w:val="both"/>
    </w:pPr>
    <w:rPr>
      <w:rFonts w:ascii="Times New Roman" w:hAnsi="Times New Roman" w:eastAsia="Times New Roman"/>
      <w:sz w:val="28"/>
      <w:szCs w:val="20"/>
      <w:lang w:eastAsia="zh-CN"/>
    </w:rPr>
  </w:style>
  <w:style w:type="character" w:customStyle="1" w:styleId="339">
    <w:name w:val="Текст выноски Знак1"/>
    <w:uiPriority w:val="99"/>
    <w:rPr>
      <w:rFonts w:ascii="Segoe UI" w:hAnsi="Segoe UI" w:eastAsia="Calibri" w:cs="Times New Roman"/>
      <w:color w:val="000000"/>
      <w:sz w:val="18"/>
      <w:szCs w:val="18"/>
      <w:lang w:eastAsia="zh-CN"/>
    </w:rPr>
  </w:style>
  <w:style w:type="paragraph" w:customStyle="1" w:styleId="340">
    <w:name w:val="c1"/>
    <w:basedOn w:val="1"/>
    <w:uiPriority w:val="0"/>
    <w:pPr>
      <w:widowControl/>
      <w:pBdr>
        <w:top w:val="none" w:color="000000" w:sz="0" w:space="0"/>
        <w:left w:val="none" w:color="000000" w:sz="0" w:space="0"/>
        <w:bottom w:val="none" w:color="000000" w:sz="0" w:space="0"/>
        <w:right w:val="none" w:color="000000" w:sz="0" w:space="0"/>
      </w:pBdr>
      <w:suppressAutoHyphens/>
      <w:spacing w:before="90" w:after="90" w:line="240" w:lineRule="auto"/>
    </w:pPr>
    <w:rPr>
      <w:rFonts w:ascii="Times New Roman" w:hAnsi="Times New Roman" w:eastAsia="Times New Roman"/>
      <w:sz w:val="24"/>
      <w:szCs w:val="24"/>
      <w:lang w:eastAsia="zh-CN"/>
    </w:rPr>
  </w:style>
  <w:style w:type="paragraph" w:customStyle="1" w:styleId="341">
    <w:name w:val="Основной текст с отступом 21"/>
    <w:basedOn w:val="1"/>
    <w:uiPriority w:val="99"/>
    <w:pPr>
      <w:widowControl/>
      <w:pBdr>
        <w:top w:val="none" w:color="000000" w:sz="0" w:space="0"/>
        <w:left w:val="none" w:color="000000" w:sz="0" w:space="0"/>
        <w:bottom w:val="none" w:color="000000" w:sz="0" w:space="0"/>
        <w:right w:val="none" w:color="000000" w:sz="0" w:space="0"/>
      </w:pBdr>
      <w:suppressAutoHyphens/>
      <w:spacing w:after="120" w:line="480" w:lineRule="auto"/>
      <w:ind w:left="283"/>
    </w:pPr>
    <w:rPr>
      <w:color w:val="000000"/>
      <w:lang w:eastAsia="zh-CN"/>
    </w:rPr>
  </w:style>
  <w:style w:type="paragraph" w:customStyle="1" w:styleId="342">
    <w:name w:val="Текст примечания1"/>
    <w:basedOn w:val="1"/>
    <w:uiPriority w:val="99"/>
    <w:pPr>
      <w:widowControl/>
      <w:pBdr>
        <w:top w:val="none" w:color="000000" w:sz="0" w:space="0"/>
        <w:left w:val="none" w:color="000000" w:sz="0" w:space="0"/>
        <w:bottom w:val="none" w:color="000000" w:sz="0" w:space="0"/>
        <w:right w:val="none" w:color="000000" w:sz="0" w:space="0"/>
      </w:pBdr>
      <w:suppressAutoHyphens/>
      <w:spacing w:line="240" w:lineRule="auto"/>
    </w:pPr>
    <w:rPr>
      <w:color w:val="000000"/>
      <w:sz w:val="20"/>
      <w:szCs w:val="20"/>
      <w:lang w:eastAsia="zh-CN"/>
    </w:rPr>
  </w:style>
  <w:style w:type="character" w:customStyle="1" w:styleId="343">
    <w:name w:val="Текст примечания Знак1"/>
    <w:uiPriority w:val="99"/>
    <w:rPr>
      <w:rFonts w:ascii="Calibri" w:hAnsi="Calibri" w:eastAsia="Calibri" w:cs="Calibri"/>
      <w:color w:val="000000"/>
      <w:sz w:val="20"/>
      <w:szCs w:val="20"/>
      <w:lang w:eastAsia="zh-CN"/>
    </w:rPr>
  </w:style>
  <w:style w:type="character" w:customStyle="1" w:styleId="344">
    <w:name w:val="Тема примечания Знак1"/>
    <w:uiPriority w:val="99"/>
    <w:rPr>
      <w:rFonts w:ascii="Calibri" w:hAnsi="Calibri" w:eastAsia="Calibri" w:cs="Times New Roman"/>
      <w:b/>
      <w:bCs/>
      <w:color w:val="000000"/>
      <w:sz w:val="20"/>
      <w:szCs w:val="20"/>
      <w:lang w:eastAsia="zh-CN"/>
    </w:rPr>
  </w:style>
  <w:style w:type="character" w:customStyle="1" w:styleId="345">
    <w:name w:val="Текст сноски Знак1"/>
    <w:uiPriority w:val="99"/>
    <w:rPr>
      <w:rFonts w:ascii="Calibri" w:hAnsi="Calibri" w:eastAsia="Calibri" w:cs="Times New Roman"/>
      <w:color w:val="000000"/>
      <w:sz w:val="20"/>
      <w:szCs w:val="20"/>
      <w:lang w:eastAsia="zh-CN"/>
    </w:rPr>
  </w:style>
  <w:style w:type="paragraph" w:customStyle="1" w:styleId="346">
    <w:name w:val="Абзац списка1"/>
    <w:basedOn w:val="1"/>
    <w:qFormat/>
    <w:uiPriority w:val="0"/>
    <w:pPr>
      <w:widowControl/>
      <w:pBdr>
        <w:top w:val="none" w:color="000000" w:sz="0" w:space="0"/>
        <w:left w:val="none" w:color="000000" w:sz="0" w:space="0"/>
        <w:bottom w:val="none" w:color="000000" w:sz="0" w:space="0"/>
        <w:right w:val="none" w:color="000000" w:sz="0" w:space="0"/>
      </w:pBdr>
      <w:suppressAutoHyphens/>
      <w:spacing w:after="0"/>
      <w:ind w:left="720"/>
      <w:contextualSpacing/>
    </w:pPr>
    <w:rPr>
      <w:rFonts w:eastAsia="Times New Roman" w:cs="Calibri"/>
      <w:lang w:eastAsia="zh-CN"/>
    </w:rPr>
  </w:style>
  <w:style w:type="paragraph" w:customStyle="1" w:styleId="347">
    <w:name w:val="Абзац списка2"/>
    <w:basedOn w:val="1"/>
    <w:uiPriority w:val="99"/>
    <w:pPr>
      <w:widowControl/>
      <w:pBdr>
        <w:top w:val="none" w:color="000000" w:sz="0" w:space="0"/>
        <w:left w:val="none" w:color="000000" w:sz="0" w:space="0"/>
        <w:bottom w:val="none" w:color="000000" w:sz="0" w:space="0"/>
        <w:right w:val="none" w:color="000000" w:sz="0" w:space="0"/>
      </w:pBdr>
      <w:suppressAutoHyphens/>
      <w:spacing w:after="0"/>
      <w:ind w:left="720"/>
      <w:contextualSpacing/>
    </w:pPr>
    <w:rPr>
      <w:rFonts w:eastAsia="Times New Roman" w:cs="Calibri"/>
      <w:lang w:eastAsia="zh-CN"/>
    </w:rPr>
  </w:style>
  <w:style w:type="paragraph" w:customStyle="1" w:styleId="348">
    <w:name w:val="pcenter"/>
    <w:basedOn w:val="1"/>
    <w:uiPriority w:val="0"/>
    <w:pPr>
      <w:widowControl/>
      <w:pBdr>
        <w:top w:val="none" w:color="000000" w:sz="0" w:space="0"/>
        <w:left w:val="none" w:color="000000" w:sz="0" w:space="0"/>
        <w:bottom w:val="none" w:color="000000" w:sz="0" w:space="0"/>
        <w:right w:val="none" w:color="000000" w:sz="0" w:space="0"/>
      </w:pBdr>
      <w:suppressAutoHyphens/>
      <w:spacing w:before="280" w:after="280" w:line="240" w:lineRule="auto"/>
    </w:pPr>
    <w:rPr>
      <w:rFonts w:ascii="Times New Roman" w:hAnsi="Times New Roman" w:eastAsia="Times New Roman"/>
      <w:sz w:val="24"/>
      <w:szCs w:val="24"/>
      <w:lang w:eastAsia="zh-CN"/>
    </w:rPr>
  </w:style>
  <w:style w:type="paragraph" w:customStyle="1" w:styleId="349">
    <w:name w:val="Содержимое таблицы"/>
    <w:basedOn w:val="1"/>
    <w:uiPriority w:val="99"/>
    <w:pPr>
      <w:widowControl/>
      <w:suppressLineNumbers/>
      <w:pBdr>
        <w:top w:val="none" w:color="000000" w:sz="0" w:space="0"/>
        <w:left w:val="none" w:color="000000" w:sz="0" w:space="0"/>
        <w:bottom w:val="none" w:color="000000" w:sz="0" w:space="0"/>
        <w:right w:val="none" w:color="000000" w:sz="0" w:space="0"/>
      </w:pBdr>
      <w:suppressAutoHyphens/>
    </w:pPr>
    <w:rPr>
      <w:rFonts w:cs="Calibri"/>
      <w:color w:val="000000"/>
      <w:lang w:eastAsia="zh-CN"/>
    </w:rPr>
  </w:style>
  <w:style w:type="paragraph" w:customStyle="1" w:styleId="350">
    <w:name w:val="Заголовок таблицы"/>
    <w:basedOn w:val="349"/>
    <w:uiPriority w:val="99"/>
    <w:pPr>
      <w:jc w:val="center"/>
    </w:pPr>
    <w:rPr>
      <w:b/>
      <w:bCs/>
    </w:rPr>
  </w:style>
  <w:style w:type="character" w:customStyle="1" w:styleId="351">
    <w:name w:val="Заголовок 8 Знак"/>
    <w:link w:val="10"/>
    <w:uiPriority w:val="9"/>
    <w:rPr>
      <w:rFonts w:ascii="Arial" w:hAnsi="Arial" w:eastAsia="Arial" w:cs="Arial"/>
      <w:i/>
      <w:iCs/>
      <w:sz w:val="22"/>
      <w:szCs w:val="22"/>
      <w:lang w:eastAsia="en-US"/>
    </w:rPr>
  </w:style>
  <w:style w:type="character" w:customStyle="1" w:styleId="352">
    <w:name w:val="Заголовок 9 Знак"/>
    <w:link w:val="11"/>
    <w:uiPriority w:val="9"/>
    <w:rPr>
      <w:rFonts w:ascii="Arial" w:hAnsi="Arial" w:eastAsia="Arial" w:cs="Arial"/>
      <w:i/>
      <w:iCs/>
      <w:sz w:val="21"/>
      <w:szCs w:val="21"/>
      <w:lang w:eastAsia="en-US"/>
    </w:rPr>
  </w:style>
  <w:style w:type="paragraph" w:styleId="353">
    <w:name w:val="Quote"/>
    <w:basedOn w:val="1"/>
    <w:next w:val="1"/>
    <w:link w:val="354"/>
    <w:qFormat/>
    <w:uiPriority w:val="29"/>
    <w:pPr>
      <w:widowControl/>
      <w:ind w:left="720" w:right="720"/>
      <w:jc w:val="both"/>
    </w:pPr>
    <w:rPr>
      <w:rFonts w:ascii="Times New Roman" w:hAnsi="Times New Roman"/>
      <w:i/>
      <w:sz w:val="28"/>
    </w:rPr>
  </w:style>
  <w:style w:type="character" w:customStyle="1" w:styleId="354">
    <w:name w:val="Цитата 2 Знак"/>
    <w:link w:val="353"/>
    <w:uiPriority w:val="29"/>
    <w:rPr>
      <w:rFonts w:ascii="Times New Roman" w:hAnsi="Times New Roman"/>
      <w:i/>
      <w:sz w:val="28"/>
      <w:szCs w:val="22"/>
      <w:lang w:eastAsia="en-US"/>
    </w:rPr>
  </w:style>
  <w:style w:type="paragraph" w:styleId="355">
    <w:name w:val="Intense Quote"/>
    <w:basedOn w:val="1"/>
    <w:next w:val="1"/>
    <w:link w:val="356"/>
    <w:qFormat/>
    <w:uiPriority w:val="30"/>
    <w:pPr>
      <w:widowControl/>
      <w:pBdr>
        <w:top w:val="single" w:color="FFFFFF" w:sz="4" w:space="5"/>
        <w:left w:val="single" w:color="FFFFFF" w:sz="4" w:space="10"/>
        <w:bottom w:val="single" w:color="FFFFFF" w:sz="4" w:space="5"/>
        <w:right w:val="single" w:color="FFFFFF" w:sz="4" w:space="10"/>
      </w:pBdr>
      <w:shd w:val="clear" w:color="auto" w:fill="F2F2F2"/>
      <w:ind w:left="720" w:right="720"/>
      <w:jc w:val="both"/>
    </w:pPr>
    <w:rPr>
      <w:rFonts w:ascii="Times New Roman" w:hAnsi="Times New Roman"/>
      <w:i/>
      <w:sz w:val="28"/>
    </w:rPr>
  </w:style>
  <w:style w:type="character" w:customStyle="1" w:styleId="356">
    <w:name w:val="Выделенная цитата Знак"/>
    <w:link w:val="355"/>
    <w:uiPriority w:val="30"/>
    <w:rPr>
      <w:rFonts w:ascii="Times New Roman" w:hAnsi="Times New Roman"/>
      <w:i/>
      <w:sz w:val="28"/>
      <w:szCs w:val="22"/>
      <w:shd w:val="clear" w:color="auto" w:fill="F2F2F2"/>
      <w:lang w:eastAsia="en-US"/>
    </w:rPr>
  </w:style>
  <w:style w:type="character" w:customStyle="1" w:styleId="357">
    <w:name w:val="Footer Char"/>
    <w:uiPriority w:val="99"/>
  </w:style>
  <w:style w:type="table" w:customStyle="1" w:styleId="358">
    <w:name w:val="Сетка таблицы1"/>
    <w:basedOn w:val="13"/>
    <w:uiPriority w:val="99"/>
    <w:rPr>
      <w:sz w:val="22"/>
      <w:szCs w:val="22"/>
      <w:lang w:eastAsia="en-US"/>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
  </w:style>
  <w:style w:type="table" w:customStyle="1" w:styleId="359">
    <w:name w:val="Table Grid Light"/>
    <w:basedOn w:val="13"/>
    <w:uiPriority w:val="59"/>
    <w:rPr>
      <w:sz w:val="22"/>
      <w:szCs w:val="22"/>
      <w:lang w:eastAsia="en-US"/>
    </w:rPr>
    <w:tblPr>
      <w:tblBorders>
        <w:top w:val="single" w:color="AFAFAF" w:sz="4" w:space="0"/>
        <w:left w:val="single" w:color="AFAFAF" w:sz="4" w:space="0"/>
        <w:bottom w:val="single" w:color="AFAFAF" w:sz="4" w:space="0"/>
        <w:right w:val="single" w:color="AFAFAF" w:sz="4" w:space="0"/>
        <w:insideH w:val="single" w:color="AFAFAF" w:sz="4" w:space="0"/>
        <w:insideV w:val="single" w:color="AFAFAF" w:sz="4" w:space="0"/>
      </w:tblBorders>
      <w:tblCellMar>
        <w:top w:w="0" w:type="dxa"/>
        <w:left w:w="108" w:type="dxa"/>
        <w:bottom w:w="0" w:type="dxa"/>
        <w:right w:w="108" w:type="dxa"/>
      </w:tblCellMar>
    </w:tblPr>
  </w:style>
  <w:style w:type="table" w:customStyle="1" w:styleId="360">
    <w:name w:val="Таблица простая 11"/>
    <w:basedOn w:val="13"/>
    <w:uiPriority w:val="59"/>
    <w:rPr>
      <w:sz w:val="22"/>
      <w:szCs w:val="22"/>
      <w:lang w:eastAsia="en-US"/>
    </w:rPr>
    <w:tblPr>
      <w:tblBorders>
        <w:top w:val="single" w:color="AFAFAF" w:sz="4" w:space="0"/>
        <w:left w:val="single" w:color="AFAFAF" w:sz="4" w:space="0"/>
        <w:bottom w:val="single" w:color="AFAFAF" w:sz="4" w:space="0"/>
        <w:right w:val="single" w:color="AFAFAF" w:sz="4" w:space="0"/>
        <w:insideH w:val="single" w:color="AFAFAF" w:sz="4" w:space="0"/>
        <w:insideV w:val="single" w:color="AFAFAF" w:sz="4" w:space="0"/>
      </w:tblBorders>
      <w:tblCellMar>
        <w:top w:w="0" w:type="dxa"/>
        <w:left w:w="108" w:type="dxa"/>
        <w:bottom w:w="0" w:type="dxa"/>
        <w:right w:w="108" w:type="dxa"/>
      </w:tblCellMar>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cPr>
        <w:shd w:val="clear" w:color="F2F2F2" w:fill="F2F2F2"/>
      </w:tcPr>
    </w:tblStylePr>
    <w:tblStylePr w:type="band1Horz">
      <w:tcPr>
        <w:shd w:val="clear" w:color="F2F2F2" w:fill="F2F2F2"/>
      </w:tcPr>
    </w:tblStylePr>
  </w:style>
  <w:style w:type="table" w:customStyle="1" w:styleId="361">
    <w:name w:val="Таблица простая 21"/>
    <w:basedOn w:val="13"/>
    <w:uiPriority w:val="59"/>
    <w:rPr>
      <w:sz w:val="22"/>
      <w:szCs w:val="22"/>
      <w:lang w:eastAsia="en-US"/>
    </w:rPr>
    <w:tblPr>
      <w:tblBorders>
        <w:top w:val="single" w:color="000000" w:sz="4" w:space="0"/>
        <w:left w:val="none" w:color="000000" w:sz="4" w:space="0"/>
        <w:bottom w:val="single" w:color="000000" w:sz="4" w:space="0"/>
        <w:right w:val="none" w:color="000000" w:sz="4" w:space="0"/>
      </w:tblBorders>
      <w:tblCellMar>
        <w:top w:w="0" w:type="dxa"/>
        <w:left w:w="108" w:type="dxa"/>
        <w:bottom w:w="0" w:type="dxa"/>
        <w:right w:w="108" w:type="dxa"/>
      </w:tblCellMar>
    </w:tblPr>
    <w:tblStylePr w:type="firstRow">
      <w:rPr>
        <w:rFonts w:ascii="Arial" w:hAnsi="Arial"/>
        <w:b/>
        <w:color w:val="404040"/>
        <w:sz w:val="22"/>
      </w:rPr>
      <w:tcPr>
        <w:tcBorders>
          <w:top w:val="single" w:color="000000" w:sz="4" w:space="0"/>
          <w:bottom w:val="single" w:color="000000" w:sz="4" w:space="0"/>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cPr>
        <w:tcBorders>
          <w:left w:val="single" w:color="000000" w:sz="4" w:space="0"/>
          <w:right w:val="single" w:color="000000" w:sz="4" w:space="0"/>
        </w:tcBorders>
      </w:tcPr>
    </w:tblStylePr>
    <w:tblStylePr w:type="band2Vert">
      <w:tcPr>
        <w:tcBorders>
          <w:left w:val="single" w:color="000000" w:sz="4" w:space="0"/>
          <w:right w:val="single" w:color="000000" w:sz="4" w:space="0"/>
        </w:tcBorders>
      </w:tcPr>
    </w:tblStylePr>
    <w:tblStylePr w:type="band1Horz">
      <w:tcPr>
        <w:tcBorders>
          <w:top w:val="single" w:color="000000" w:sz="4" w:space="0"/>
          <w:bottom w:val="single" w:color="000000" w:sz="4" w:space="0"/>
        </w:tcBorders>
      </w:tcPr>
    </w:tblStylePr>
  </w:style>
  <w:style w:type="table" w:customStyle="1" w:styleId="362">
    <w:name w:val="Таблица простая 31"/>
    <w:basedOn w:val="13"/>
    <w:uiPriority w:val="99"/>
    <w:rPr>
      <w:sz w:val="22"/>
      <w:szCs w:val="22"/>
      <w:lang w:eastAsia="en-US"/>
    </w:rPr>
    <w:tblPr>
      <w:tblCellMar>
        <w:top w:w="0" w:type="dxa"/>
        <w:left w:w="108" w:type="dxa"/>
        <w:bottom w:w="0" w:type="dxa"/>
        <w:right w:w="108" w:type="dxa"/>
      </w:tblCellMar>
    </w:tblPr>
    <w:tblStylePr w:type="firstRow">
      <w:rPr>
        <w:b/>
        <w:caps/>
        <w:color w:val="404040"/>
      </w:rPr>
      <w:tcPr>
        <w:tcBorders>
          <w:top w:val="nil"/>
          <w:left w:val="nil"/>
          <w:bottom w:val="single" w:color="404040" w:sz="4" w:space="0"/>
          <w:right w:val="nil"/>
        </w:tcBorders>
      </w:tcPr>
    </w:tblStylePr>
    <w:tblStylePr w:type="lastRow">
      <w:rPr>
        <w:b/>
        <w:caps/>
        <w:color w:val="404040"/>
      </w:rPr>
    </w:tblStylePr>
    <w:tblStylePr w:type="firstCol">
      <w:rPr>
        <w:b/>
        <w:caps/>
        <w:color w:val="404040"/>
      </w:rPr>
      <w:tcPr>
        <w:tcBorders>
          <w:top w:val="nil"/>
          <w:left w:val="nil"/>
          <w:bottom w:val="nil"/>
          <w:right w:val="single" w:color="404040" w:sz="4" w:space="0"/>
        </w:tcBorders>
      </w:tcPr>
    </w:tblStylePr>
    <w:tblStylePr w:type="lastCol">
      <w:rPr>
        <w:b/>
        <w:caps/>
        <w:color w:val="404040"/>
      </w:rPr>
    </w:tblStylePr>
    <w:tblStylePr w:type="band1Vert">
      <w:rPr>
        <w:rFonts w:ascii="Arial" w:hAnsi="Arial"/>
        <w:color w:val="404040"/>
        <w:sz w:val="22"/>
      </w:rPr>
      <w:tcPr>
        <w:shd w:val="clear" w:color="F2F2F2" w:fill="F2F2F2"/>
      </w:tcPr>
    </w:tblStylePr>
    <w:tblStylePr w:type="band1Horz">
      <w:rPr>
        <w:rFonts w:ascii="Arial" w:hAnsi="Arial"/>
        <w:color w:val="404040"/>
        <w:sz w:val="22"/>
      </w:rPr>
      <w:tcPr>
        <w:shd w:val="clear" w:color="F2F2F2" w:fill="F2F2F2"/>
      </w:tcPr>
    </w:tblStylePr>
  </w:style>
  <w:style w:type="table" w:customStyle="1" w:styleId="363">
    <w:name w:val="Таблица простая 41"/>
    <w:basedOn w:val="13"/>
    <w:qFormat/>
    <w:uiPriority w:val="99"/>
    <w:rPr>
      <w:sz w:val="22"/>
      <w:szCs w:val="22"/>
      <w:lang w:eastAsia="en-US"/>
    </w:rPr>
    <w:tblPr>
      <w:tblCellMar>
        <w:top w:w="0" w:type="dxa"/>
        <w:left w:w="108" w:type="dxa"/>
        <w:bottom w:w="0" w:type="dxa"/>
        <w:right w:w="108" w:type="dxa"/>
      </w:tblCellMar>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F2F2F2" w:fill="F2F2F2"/>
      </w:tcPr>
    </w:tblStylePr>
    <w:tblStylePr w:type="band1Horz">
      <w:rPr>
        <w:rFonts w:ascii="Arial" w:hAnsi="Arial"/>
        <w:color w:val="404040"/>
        <w:sz w:val="22"/>
      </w:rPr>
      <w:tcPr>
        <w:shd w:val="clear" w:color="F2F2F2" w:fill="F2F2F2"/>
      </w:tcPr>
    </w:tblStylePr>
  </w:style>
  <w:style w:type="table" w:customStyle="1" w:styleId="364">
    <w:name w:val="Таблица простая 51"/>
    <w:basedOn w:val="13"/>
    <w:uiPriority w:val="99"/>
    <w:rPr>
      <w:sz w:val="22"/>
      <w:szCs w:val="22"/>
      <w:lang w:eastAsia="en-US"/>
    </w:rPr>
    <w:tblPr>
      <w:tblCellMar>
        <w:top w:w="0" w:type="dxa"/>
        <w:left w:w="108" w:type="dxa"/>
        <w:bottom w:w="0" w:type="dxa"/>
        <w:right w:w="108" w:type="dxa"/>
      </w:tblCellMar>
    </w:tblPr>
    <w:tblStylePr w:type="firstRow">
      <w:rPr>
        <w:i/>
        <w:color w:val="404040"/>
      </w:rPr>
      <w:tcPr>
        <w:tcBorders>
          <w:left w:val="nil"/>
          <w:bottom w:val="single" w:color="404040" w:sz="4" w:space="0"/>
          <w:right w:val="nil"/>
        </w:tcBorders>
        <w:shd w:val="clear" w:color="FFFFFF" w:fill="auto"/>
      </w:tcPr>
    </w:tblStylePr>
    <w:tblStylePr w:type="lastRow">
      <w:rPr>
        <w:i/>
        <w:color w:val="404040"/>
      </w:rPr>
      <w:tcPr>
        <w:tcBorders>
          <w:top w:val="single" w:color="404040" w:sz="4" w:space="0"/>
          <w:left w:val="nil"/>
          <w:right w:val="nil"/>
        </w:tcBorders>
        <w:shd w:val="clear" w:color="FFFFFF" w:fill="auto"/>
      </w:tcPr>
    </w:tblStylePr>
    <w:tblStylePr w:type="firstCol">
      <w:pPr>
        <w:jc w:val="right"/>
      </w:pPr>
      <w:rPr>
        <w:i/>
        <w:color w:val="404040"/>
      </w:rPr>
      <w:tcPr>
        <w:tcBorders>
          <w:right w:val="single" w:color="404040" w:sz="4" w:space="0"/>
        </w:tcBorders>
        <w:shd w:val="clear" w:color="FFFFFF" w:fill="auto"/>
      </w:tcPr>
    </w:tblStylePr>
    <w:tblStylePr w:type="lastCol">
      <w:rPr>
        <w:i/>
        <w:color w:val="404040"/>
      </w:rPr>
      <w:tcPr>
        <w:tcBorders>
          <w:left w:val="single" w:color="404040" w:sz="4" w:space="0"/>
        </w:tcBorders>
        <w:shd w:val="clear" w:color="FFFFFF" w:fill="auto"/>
      </w:tcPr>
    </w:tblStylePr>
    <w:tblStylePr w:type="band1Vert">
      <w:rPr>
        <w:rFonts w:ascii="Arial" w:hAnsi="Arial"/>
        <w:color w:val="404040"/>
        <w:sz w:val="22"/>
      </w:rPr>
      <w:tcPr>
        <w:shd w:val="clear" w:color="F2F2F2" w:fill="F2F2F2"/>
      </w:tcPr>
    </w:tblStylePr>
    <w:tblStylePr w:type="band1Horz">
      <w:rPr>
        <w:rFonts w:ascii="Arial" w:hAnsi="Arial"/>
        <w:color w:val="404040"/>
        <w:sz w:val="22"/>
      </w:rPr>
      <w:tcPr>
        <w:shd w:val="clear" w:color="F2F2F2" w:fill="F2F2F2"/>
      </w:tcPr>
    </w:tblStylePr>
  </w:style>
  <w:style w:type="table" w:customStyle="1" w:styleId="365">
    <w:name w:val="Таблица-сетка 1 светлая1"/>
    <w:basedOn w:val="13"/>
    <w:uiPriority w:val="99"/>
    <w:rPr>
      <w:sz w:val="22"/>
      <w:szCs w:val="22"/>
      <w:lang w:eastAsia="en-US"/>
    </w:rPr>
    <w:tblPr>
      <w:tblBorders>
        <w:top w:val="single" w:color="989898" w:sz="4" w:space="0"/>
        <w:left w:val="single" w:color="989898" w:sz="4" w:space="0"/>
        <w:bottom w:val="single" w:color="989898" w:sz="4" w:space="0"/>
        <w:right w:val="single" w:color="989898" w:sz="4" w:space="0"/>
        <w:insideH w:val="single" w:color="989898" w:sz="4" w:space="0"/>
        <w:insideV w:val="single" w:color="989898" w:sz="4" w:space="0"/>
      </w:tblBorders>
      <w:tblCellMar>
        <w:top w:w="0" w:type="dxa"/>
        <w:left w:w="108" w:type="dxa"/>
        <w:bottom w:w="0" w:type="dxa"/>
        <w:right w:w="108" w:type="dxa"/>
      </w:tblCellMar>
    </w:tblPr>
    <w:tblStylePr w:type="firstRow">
      <w:rPr>
        <w:b/>
        <w:color w:val="404040"/>
      </w:rPr>
      <w:tcPr>
        <w:tcBorders>
          <w:bottom w:val="single" w:color="6A6A6A" w:sz="12" w:space="0"/>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cPr>
        <w:tcBorders>
          <w:top w:val="single" w:color="989898" w:sz="4" w:space="0"/>
          <w:left w:val="single" w:color="989898" w:sz="4" w:space="0"/>
          <w:bottom w:val="single" w:color="989898" w:sz="4" w:space="0"/>
          <w:right w:val="single" w:color="989898" w:sz="4" w:space="0"/>
        </w:tcBorders>
      </w:tcPr>
    </w:tblStylePr>
  </w:style>
  <w:style w:type="table" w:customStyle="1" w:styleId="366">
    <w:name w:val="Grid Table 1 Light - Accent 1"/>
    <w:basedOn w:val="13"/>
    <w:uiPriority w:val="99"/>
    <w:rPr>
      <w:sz w:val="22"/>
      <w:szCs w:val="22"/>
      <w:lang w:eastAsia="en-US"/>
    </w:rPr>
    <w:tblPr>
      <w:tblBorders>
        <w:top w:val="single" w:color="B7CBE4" w:sz="4" w:space="0"/>
        <w:left w:val="single" w:color="B7CBE4" w:sz="4" w:space="0"/>
        <w:bottom w:val="single" w:color="B7CBE4" w:sz="4" w:space="0"/>
        <w:right w:val="single" w:color="B7CBE4" w:sz="4" w:space="0"/>
        <w:insideH w:val="single" w:color="B7CBE4" w:sz="4" w:space="0"/>
        <w:insideV w:val="single" w:color="B7CBE4" w:sz="4" w:space="0"/>
      </w:tblBorders>
      <w:tblCellMar>
        <w:top w:w="0" w:type="dxa"/>
        <w:left w:w="108" w:type="dxa"/>
        <w:bottom w:w="0" w:type="dxa"/>
        <w:right w:w="108" w:type="dxa"/>
      </w:tblCellMar>
    </w:tblPr>
    <w:tblStylePr w:type="firstRow">
      <w:rPr>
        <w:b/>
        <w:color w:val="404040"/>
      </w:rPr>
      <w:tcPr>
        <w:tcBorders>
          <w:bottom w:val="single" w:color="97B4D8" w:sz="12" w:space="0"/>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cPr>
        <w:tcBorders>
          <w:top w:val="single" w:color="B7CBE4" w:sz="4" w:space="0"/>
          <w:left w:val="single" w:color="B7CBE4" w:sz="4" w:space="0"/>
          <w:bottom w:val="single" w:color="B7CBE4" w:sz="4" w:space="0"/>
          <w:right w:val="single" w:color="B7CBE4" w:sz="4" w:space="0"/>
        </w:tcBorders>
      </w:tcPr>
    </w:tblStylePr>
  </w:style>
  <w:style w:type="table" w:customStyle="1" w:styleId="367">
    <w:name w:val="Grid Table 1 Light - Accent 2"/>
    <w:basedOn w:val="13"/>
    <w:uiPriority w:val="99"/>
    <w:rPr>
      <w:sz w:val="22"/>
      <w:szCs w:val="22"/>
      <w:lang w:eastAsia="en-US"/>
    </w:rPr>
    <w:tblPr>
      <w:tblBorders>
        <w:top w:val="single" w:color="E5B7B6" w:sz="4" w:space="0"/>
        <w:left w:val="single" w:color="E5B7B6" w:sz="4" w:space="0"/>
        <w:bottom w:val="single" w:color="E5B7B6" w:sz="4" w:space="0"/>
        <w:right w:val="single" w:color="E5B7B6" w:sz="4" w:space="0"/>
        <w:insideH w:val="single" w:color="E5B7B6" w:sz="4" w:space="0"/>
        <w:insideV w:val="single" w:color="E5B7B6" w:sz="4" w:space="0"/>
      </w:tblBorders>
      <w:tblCellMar>
        <w:top w:w="0" w:type="dxa"/>
        <w:left w:w="108" w:type="dxa"/>
        <w:bottom w:w="0" w:type="dxa"/>
        <w:right w:w="108" w:type="dxa"/>
      </w:tblCellMar>
    </w:tblPr>
    <w:tblStylePr w:type="firstRow">
      <w:rPr>
        <w:b/>
        <w:color w:val="404040"/>
      </w:rPr>
      <w:tcPr>
        <w:tcBorders>
          <w:bottom w:val="single" w:color="DA9896" w:sz="12" w:space="0"/>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cPr>
        <w:tcBorders>
          <w:top w:val="single" w:color="E5B7B6" w:sz="4" w:space="0"/>
          <w:left w:val="single" w:color="E5B7B6" w:sz="4" w:space="0"/>
          <w:bottom w:val="single" w:color="E5B7B6" w:sz="4" w:space="0"/>
          <w:right w:val="single" w:color="E5B7B6" w:sz="4" w:space="0"/>
        </w:tcBorders>
      </w:tcPr>
    </w:tblStylePr>
  </w:style>
  <w:style w:type="table" w:customStyle="1" w:styleId="368">
    <w:name w:val="Grid Table 1 Light - Accent 3"/>
    <w:basedOn w:val="13"/>
    <w:uiPriority w:val="99"/>
    <w:rPr>
      <w:sz w:val="22"/>
      <w:szCs w:val="22"/>
      <w:lang w:eastAsia="en-US"/>
    </w:rPr>
    <w:tblPr>
      <w:tblBorders>
        <w:top w:val="single" w:color="D6E3BB" w:sz="4" w:space="0"/>
        <w:left w:val="single" w:color="D6E3BB" w:sz="4" w:space="0"/>
        <w:bottom w:val="single" w:color="D6E3BB" w:sz="4" w:space="0"/>
        <w:right w:val="single" w:color="D6E3BB" w:sz="4" w:space="0"/>
        <w:insideH w:val="single" w:color="D6E3BB" w:sz="4" w:space="0"/>
        <w:insideV w:val="single" w:color="D6E3BB" w:sz="4" w:space="0"/>
      </w:tblBorders>
      <w:tblCellMar>
        <w:top w:w="0" w:type="dxa"/>
        <w:left w:w="108" w:type="dxa"/>
        <w:bottom w:w="0" w:type="dxa"/>
        <w:right w:w="108" w:type="dxa"/>
      </w:tblCellMar>
    </w:tblPr>
    <w:tblStylePr w:type="firstRow">
      <w:rPr>
        <w:b/>
        <w:color w:val="404040"/>
      </w:rPr>
      <w:tcPr>
        <w:tcBorders>
          <w:bottom w:val="single" w:color="C4D79D" w:sz="12" w:space="0"/>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cPr>
        <w:tcBorders>
          <w:top w:val="single" w:color="D6E3BB" w:sz="4" w:space="0"/>
          <w:left w:val="single" w:color="D6E3BB" w:sz="4" w:space="0"/>
          <w:bottom w:val="single" w:color="D6E3BB" w:sz="4" w:space="0"/>
          <w:right w:val="single" w:color="D6E3BB" w:sz="4" w:space="0"/>
        </w:tcBorders>
      </w:tcPr>
    </w:tblStylePr>
  </w:style>
  <w:style w:type="table" w:customStyle="1" w:styleId="369">
    <w:name w:val="Grid Table 1 Light - Accent 4"/>
    <w:basedOn w:val="13"/>
    <w:uiPriority w:val="99"/>
    <w:rPr>
      <w:sz w:val="22"/>
      <w:szCs w:val="22"/>
      <w:lang w:eastAsia="en-US"/>
    </w:rPr>
    <w:tblPr>
      <w:tblBorders>
        <w:top w:val="single" w:color="CBC0D9" w:sz="4" w:space="0"/>
        <w:left w:val="single" w:color="CBC0D9" w:sz="4" w:space="0"/>
        <w:bottom w:val="single" w:color="CBC0D9" w:sz="4" w:space="0"/>
        <w:right w:val="single" w:color="CBC0D9" w:sz="4" w:space="0"/>
        <w:insideH w:val="single" w:color="CBC0D9" w:sz="4" w:space="0"/>
        <w:insideV w:val="single" w:color="CBC0D9" w:sz="4" w:space="0"/>
      </w:tblBorders>
      <w:tblCellMar>
        <w:top w:w="0" w:type="dxa"/>
        <w:left w:w="108" w:type="dxa"/>
        <w:bottom w:w="0" w:type="dxa"/>
        <w:right w:w="108" w:type="dxa"/>
      </w:tblCellMar>
    </w:tblPr>
    <w:tblStylePr w:type="firstRow">
      <w:rPr>
        <w:b/>
        <w:color w:val="404040"/>
      </w:rPr>
      <w:tcPr>
        <w:tcBorders>
          <w:bottom w:val="single" w:color="B4A4C8" w:sz="12" w:space="0"/>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cPr>
        <w:tcBorders>
          <w:top w:val="single" w:color="CBC0D9" w:sz="4" w:space="0"/>
          <w:left w:val="single" w:color="CBC0D9" w:sz="4" w:space="0"/>
          <w:bottom w:val="single" w:color="CBC0D9" w:sz="4" w:space="0"/>
          <w:right w:val="single" w:color="CBC0D9" w:sz="4" w:space="0"/>
        </w:tcBorders>
      </w:tcPr>
    </w:tblStylePr>
  </w:style>
  <w:style w:type="table" w:customStyle="1" w:styleId="370">
    <w:name w:val="Grid Table 1 Light - Accent 5"/>
    <w:basedOn w:val="13"/>
    <w:uiPriority w:val="99"/>
    <w:rPr>
      <w:sz w:val="22"/>
      <w:szCs w:val="22"/>
      <w:lang w:eastAsia="en-US"/>
    </w:rPr>
    <w:tblPr>
      <w:tblBorders>
        <w:top w:val="single" w:color="B6DDE8" w:sz="4" w:space="0"/>
        <w:left w:val="single" w:color="B6DDE8" w:sz="4" w:space="0"/>
        <w:bottom w:val="single" w:color="B6DDE8" w:sz="4" w:space="0"/>
        <w:right w:val="single" w:color="B6DDE8" w:sz="4" w:space="0"/>
        <w:insideH w:val="single" w:color="B6DDE8" w:sz="4" w:space="0"/>
        <w:insideV w:val="single" w:color="B6DDE8" w:sz="4" w:space="0"/>
      </w:tblBorders>
      <w:tblCellMar>
        <w:top w:w="0" w:type="dxa"/>
        <w:left w:w="108" w:type="dxa"/>
        <w:bottom w:w="0" w:type="dxa"/>
        <w:right w:w="108" w:type="dxa"/>
      </w:tblCellMar>
    </w:tblPr>
    <w:tblStylePr w:type="firstRow">
      <w:rPr>
        <w:b/>
        <w:color w:val="404040"/>
      </w:rPr>
      <w:tcPr>
        <w:tcBorders>
          <w:bottom w:val="single" w:color="95CEDD" w:sz="12" w:space="0"/>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cPr>
        <w:tcBorders>
          <w:top w:val="single" w:color="B6DDE8" w:sz="4" w:space="0"/>
          <w:left w:val="single" w:color="B6DDE8" w:sz="4" w:space="0"/>
          <w:bottom w:val="single" w:color="B6DDE8" w:sz="4" w:space="0"/>
          <w:right w:val="single" w:color="B6DDE8" w:sz="4" w:space="0"/>
        </w:tcBorders>
      </w:tcPr>
    </w:tblStylePr>
  </w:style>
  <w:style w:type="table" w:customStyle="1" w:styleId="371">
    <w:name w:val="Grid Table 1 Light - Accent 6"/>
    <w:basedOn w:val="13"/>
    <w:uiPriority w:val="99"/>
    <w:rPr>
      <w:sz w:val="22"/>
      <w:szCs w:val="22"/>
      <w:lang w:eastAsia="en-US"/>
    </w:rPr>
    <w:tblPr>
      <w:tblBorders>
        <w:top w:val="single" w:color="FBD4B4" w:sz="4" w:space="0"/>
        <w:left w:val="single" w:color="FBD4B4" w:sz="4" w:space="0"/>
        <w:bottom w:val="single" w:color="FBD4B4" w:sz="4" w:space="0"/>
        <w:right w:val="single" w:color="FBD4B4" w:sz="4" w:space="0"/>
        <w:insideH w:val="single" w:color="FBD4B4" w:sz="4" w:space="0"/>
        <w:insideV w:val="single" w:color="FBD4B4" w:sz="4" w:space="0"/>
      </w:tblBorders>
      <w:tblCellMar>
        <w:top w:w="0" w:type="dxa"/>
        <w:left w:w="108" w:type="dxa"/>
        <w:bottom w:w="0" w:type="dxa"/>
        <w:right w:w="108" w:type="dxa"/>
      </w:tblCellMar>
    </w:tblPr>
    <w:tblStylePr w:type="firstRow">
      <w:rPr>
        <w:b/>
        <w:color w:val="404040"/>
      </w:rPr>
      <w:tcPr>
        <w:tcBorders>
          <w:bottom w:val="single" w:color="FAC192" w:sz="12" w:space="0"/>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cPr>
        <w:tcBorders>
          <w:top w:val="single" w:color="FBD4B4" w:sz="4" w:space="0"/>
          <w:left w:val="single" w:color="FBD4B4" w:sz="4" w:space="0"/>
          <w:bottom w:val="single" w:color="FBD4B4" w:sz="4" w:space="0"/>
          <w:right w:val="single" w:color="FBD4B4" w:sz="4" w:space="0"/>
        </w:tcBorders>
      </w:tcPr>
    </w:tblStylePr>
  </w:style>
  <w:style w:type="table" w:customStyle="1" w:styleId="372">
    <w:name w:val="Таблица-сетка 21"/>
    <w:basedOn w:val="13"/>
    <w:uiPriority w:val="99"/>
    <w:rPr>
      <w:sz w:val="22"/>
      <w:szCs w:val="22"/>
      <w:lang w:eastAsia="en-US"/>
    </w:rPr>
    <w:tblPr>
      <w:tblBorders>
        <w:bottom w:val="single" w:color="6A6A6A" w:sz="4" w:space="0"/>
        <w:insideH w:val="single" w:color="6A6A6A" w:sz="4" w:space="0"/>
        <w:insideV w:val="single" w:color="6A6A6A" w:sz="4" w:space="0"/>
      </w:tblBorders>
      <w:tblCellMar>
        <w:top w:w="0" w:type="dxa"/>
        <w:left w:w="108" w:type="dxa"/>
        <w:bottom w:w="0" w:type="dxa"/>
        <w:right w:w="108" w:type="dxa"/>
      </w:tblCellMar>
    </w:tblPr>
    <w:tblStylePr w:type="firstRow">
      <w:rPr>
        <w:b/>
        <w:color w:val="404040"/>
      </w:rPr>
      <w:tcPr>
        <w:tcBorders>
          <w:top w:val="nil"/>
          <w:left w:val="nil"/>
          <w:bottom w:val="single" w:color="6A6A6A" w:sz="12" w:space="0"/>
          <w:right w:val="nil"/>
        </w:tcBorders>
        <w:shd w:val="clear" w:color="FFFFFF" w:fill="auto"/>
      </w:tcPr>
    </w:tblStylePr>
    <w:tblStylePr w:type="lastRow">
      <w:rPr>
        <w:b/>
        <w:color w:val="404040"/>
      </w:rPr>
      <w:tcPr>
        <w:tcBorders>
          <w:top w:val="single" w:color="6A6A6A"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CBCBCB" w:fill="CBCBCB"/>
      </w:tcPr>
    </w:tblStylePr>
    <w:tblStylePr w:type="band1Horz">
      <w:rPr>
        <w:rFonts w:ascii="Arial" w:hAnsi="Arial"/>
        <w:color w:val="404040"/>
        <w:sz w:val="22"/>
      </w:rPr>
      <w:tcPr>
        <w:shd w:val="clear" w:color="CBCBCB" w:fill="CBCBCB"/>
      </w:tcPr>
    </w:tblStylePr>
  </w:style>
  <w:style w:type="table" w:customStyle="1" w:styleId="373">
    <w:name w:val="Grid Table 2 - Accent 1"/>
    <w:basedOn w:val="13"/>
    <w:uiPriority w:val="99"/>
    <w:rPr>
      <w:sz w:val="22"/>
      <w:szCs w:val="22"/>
      <w:lang w:eastAsia="en-US"/>
    </w:rPr>
    <w:tblPr>
      <w:tblBorders>
        <w:bottom w:val="single" w:color="5D8AC2" w:sz="4" w:space="0"/>
        <w:insideH w:val="single" w:color="5D8AC2" w:sz="4" w:space="0"/>
        <w:insideV w:val="single" w:color="5D8AC2" w:sz="4" w:space="0"/>
      </w:tblBorders>
      <w:tblCellMar>
        <w:top w:w="0" w:type="dxa"/>
        <w:left w:w="108" w:type="dxa"/>
        <w:bottom w:w="0" w:type="dxa"/>
        <w:right w:w="108" w:type="dxa"/>
      </w:tblCellMar>
    </w:tblPr>
    <w:tblStylePr w:type="firstRow">
      <w:rPr>
        <w:b/>
        <w:color w:val="404040"/>
      </w:rPr>
      <w:tcPr>
        <w:tcBorders>
          <w:top w:val="nil"/>
          <w:left w:val="nil"/>
          <w:bottom w:val="single" w:color="5D8AC2" w:sz="12" w:space="0"/>
          <w:right w:val="nil"/>
        </w:tcBorders>
        <w:shd w:val="clear" w:color="FFFFFF" w:fill="auto"/>
      </w:tcPr>
    </w:tblStylePr>
    <w:tblStylePr w:type="lastRow">
      <w:rPr>
        <w:b/>
        <w:color w:val="404040"/>
      </w:rPr>
      <w:tcPr>
        <w:tcBorders>
          <w:top w:val="single" w:color="5D8AC2"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DAE5F1" w:fill="DAE5F1"/>
      </w:tcPr>
    </w:tblStylePr>
    <w:tblStylePr w:type="band1Horz">
      <w:rPr>
        <w:rFonts w:ascii="Arial" w:hAnsi="Arial"/>
        <w:color w:val="404040"/>
        <w:sz w:val="22"/>
      </w:rPr>
      <w:tcPr>
        <w:shd w:val="clear" w:color="DAE5F1" w:fill="DAE5F1"/>
      </w:tcPr>
    </w:tblStylePr>
  </w:style>
  <w:style w:type="table" w:customStyle="1" w:styleId="374">
    <w:name w:val="Grid Table 2 - Accent 2"/>
    <w:basedOn w:val="13"/>
    <w:uiPriority w:val="99"/>
    <w:rPr>
      <w:sz w:val="22"/>
      <w:szCs w:val="22"/>
      <w:lang w:eastAsia="en-US"/>
    </w:rPr>
    <w:tblPr>
      <w:tblBorders>
        <w:bottom w:val="single" w:color="D99695" w:sz="4" w:space="0"/>
        <w:insideH w:val="single" w:color="D99695" w:sz="4" w:space="0"/>
        <w:insideV w:val="single" w:color="D99695" w:sz="4" w:space="0"/>
      </w:tblBorders>
      <w:tblCellMar>
        <w:top w:w="0" w:type="dxa"/>
        <w:left w:w="108" w:type="dxa"/>
        <w:bottom w:w="0" w:type="dxa"/>
        <w:right w:w="108" w:type="dxa"/>
      </w:tblCellMar>
    </w:tblPr>
    <w:tblStylePr w:type="firstRow">
      <w:rPr>
        <w:b/>
        <w:color w:val="404040"/>
      </w:rPr>
      <w:tcPr>
        <w:tcBorders>
          <w:top w:val="nil"/>
          <w:left w:val="nil"/>
          <w:bottom w:val="single" w:color="D99695" w:sz="12" w:space="0"/>
          <w:right w:val="nil"/>
        </w:tcBorders>
        <w:shd w:val="clear" w:color="FFFFFF" w:fill="auto"/>
      </w:tcPr>
    </w:tblStylePr>
    <w:tblStylePr w:type="lastRow">
      <w:rPr>
        <w:b/>
        <w:color w:val="404040"/>
      </w:rPr>
      <w:tcPr>
        <w:tcBorders>
          <w:top w:val="single" w:color="D99695"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F2DCDC" w:fill="F2DCDC"/>
      </w:tcPr>
    </w:tblStylePr>
    <w:tblStylePr w:type="band1Horz">
      <w:rPr>
        <w:rFonts w:ascii="Arial" w:hAnsi="Arial"/>
        <w:color w:val="404040"/>
        <w:sz w:val="22"/>
      </w:rPr>
      <w:tcPr>
        <w:shd w:val="clear" w:color="F2DCDC" w:fill="F2DCDC"/>
      </w:tcPr>
    </w:tblStylePr>
  </w:style>
  <w:style w:type="table" w:customStyle="1" w:styleId="375">
    <w:name w:val="Grid Table 2 - Accent 3"/>
    <w:basedOn w:val="13"/>
    <w:uiPriority w:val="99"/>
    <w:rPr>
      <w:sz w:val="22"/>
      <w:szCs w:val="22"/>
      <w:lang w:eastAsia="en-US"/>
    </w:rPr>
    <w:tblPr>
      <w:tblBorders>
        <w:bottom w:val="single" w:color="9ABB59" w:sz="4" w:space="0"/>
        <w:insideH w:val="single" w:color="9ABB59" w:sz="4" w:space="0"/>
        <w:insideV w:val="single" w:color="9ABB59" w:sz="4" w:space="0"/>
      </w:tblBorders>
      <w:tblCellMar>
        <w:top w:w="0" w:type="dxa"/>
        <w:left w:w="108" w:type="dxa"/>
        <w:bottom w:w="0" w:type="dxa"/>
        <w:right w:w="108" w:type="dxa"/>
      </w:tblCellMar>
    </w:tblPr>
    <w:tblStylePr w:type="firstRow">
      <w:rPr>
        <w:b/>
        <w:color w:val="404040"/>
      </w:rPr>
      <w:tcPr>
        <w:tcBorders>
          <w:top w:val="nil"/>
          <w:left w:val="nil"/>
          <w:bottom w:val="single" w:color="9ABB59" w:sz="12" w:space="0"/>
          <w:right w:val="nil"/>
        </w:tcBorders>
        <w:shd w:val="clear" w:color="FFFFFF" w:fill="auto"/>
      </w:tcPr>
    </w:tblStylePr>
    <w:tblStylePr w:type="lastRow">
      <w:rPr>
        <w:b/>
        <w:color w:val="404040"/>
      </w:rPr>
      <w:tcPr>
        <w:tcBorders>
          <w:top w:val="single" w:color="9ABB59"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EAF1DC" w:fill="EAF1DC"/>
      </w:tcPr>
    </w:tblStylePr>
    <w:tblStylePr w:type="band1Horz">
      <w:rPr>
        <w:rFonts w:ascii="Arial" w:hAnsi="Arial"/>
        <w:color w:val="404040"/>
        <w:sz w:val="22"/>
      </w:rPr>
      <w:tcPr>
        <w:shd w:val="clear" w:color="EAF1DC" w:fill="EAF1DC"/>
      </w:tcPr>
    </w:tblStylePr>
  </w:style>
  <w:style w:type="table" w:customStyle="1" w:styleId="376">
    <w:name w:val="Grid Table 2 - Accent 4"/>
    <w:basedOn w:val="13"/>
    <w:uiPriority w:val="99"/>
    <w:rPr>
      <w:sz w:val="22"/>
      <w:szCs w:val="22"/>
      <w:lang w:eastAsia="en-US"/>
    </w:rPr>
    <w:tblPr>
      <w:tblBorders>
        <w:bottom w:val="single" w:color="B2A1C6" w:sz="4" w:space="0"/>
        <w:insideH w:val="single" w:color="B2A1C6" w:sz="4" w:space="0"/>
        <w:insideV w:val="single" w:color="B2A1C6" w:sz="4" w:space="0"/>
      </w:tblBorders>
      <w:tblCellMar>
        <w:top w:w="0" w:type="dxa"/>
        <w:left w:w="108" w:type="dxa"/>
        <w:bottom w:w="0" w:type="dxa"/>
        <w:right w:w="108" w:type="dxa"/>
      </w:tblCellMar>
    </w:tblPr>
    <w:tblStylePr w:type="firstRow">
      <w:rPr>
        <w:b/>
        <w:color w:val="404040"/>
      </w:rPr>
      <w:tcPr>
        <w:tcBorders>
          <w:top w:val="nil"/>
          <w:left w:val="nil"/>
          <w:bottom w:val="single" w:color="B2A1C6" w:sz="12" w:space="0"/>
          <w:right w:val="nil"/>
        </w:tcBorders>
        <w:shd w:val="clear" w:color="FFFFFF" w:fill="auto"/>
      </w:tcPr>
    </w:tblStylePr>
    <w:tblStylePr w:type="lastRow">
      <w:rPr>
        <w:b/>
        <w:color w:val="404040"/>
      </w:rPr>
      <w:tcPr>
        <w:tcBorders>
          <w:top w:val="single" w:color="B2A1C6"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E5DFEC" w:fill="E5DFEC"/>
      </w:tcPr>
    </w:tblStylePr>
    <w:tblStylePr w:type="band1Horz">
      <w:rPr>
        <w:rFonts w:ascii="Arial" w:hAnsi="Arial"/>
        <w:color w:val="404040"/>
        <w:sz w:val="22"/>
      </w:rPr>
      <w:tcPr>
        <w:shd w:val="clear" w:color="E5DFEC" w:fill="E5DFEC"/>
      </w:tcPr>
    </w:tblStylePr>
  </w:style>
  <w:style w:type="table" w:customStyle="1" w:styleId="377">
    <w:name w:val="Grid Table 2 - Accent 5"/>
    <w:basedOn w:val="13"/>
    <w:uiPriority w:val="99"/>
    <w:rPr>
      <w:sz w:val="22"/>
      <w:szCs w:val="22"/>
      <w:lang w:eastAsia="en-US"/>
    </w:rPr>
    <w:tblPr>
      <w:tblBorders>
        <w:bottom w:val="single" w:color="4BACC6" w:sz="4" w:space="0"/>
        <w:insideH w:val="single" w:color="4BACC6" w:sz="4" w:space="0"/>
        <w:insideV w:val="single" w:color="4BACC6" w:sz="4" w:space="0"/>
      </w:tblBorders>
      <w:tblCellMar>
        <w:top w:w="0" w:type="dxa"/>
        <w:left w:w="108" w:type="dxa"/>
        <w:bottom w:w="0" w:type="dxa"/>
        <w:right w:w="108" w:type="dxa"/>
      </w:tblCellMar>
    </w:tblPr>
    <w:tblStylePr w:type="firstRow">
      <w:rPr>
        <w:b/>
        <w:color w:val="404040"/>
      </w:rPr>
      <w:tcPr>
        <w:tcBorders>
          <w:top w:val="nil"/>
          <w:left w:val="nil"/>
          <w:bottom w:val="single" w:color="4BACC6" w:sz="12" w:space="0"/>
          <w:right w:val="nil"/>
        </w:tcBorders>
        <w:shd w:val="clear" w:color="FFFFFF" w:fill="auto"/>
      </w:tcPr>
    </w:tblStylePr>
    <w:tblStylePr w:type="lastRow">
      <w:rPr>
        <w:b/>
        <w:color w:val="404040"/>
      </w:rPr>
      <w:tcPr>
        <w:tcBorders>
          <w:top w:val="single" w:color="4BACC6"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DAEEF3" w:fill="DAEEF3"/>
      </w:tcPr>
    </w:tblStylePr>
    <w:tblStylePr w:type="band1Horz">
      <w:rPr>
        <w:rFonts w:ascii="Arial" w:hAnsi="Arial"/>
        <w:color w:val="404040"/>
        <w:sz w:val="22"/>
      </w:rPr>
      <w:tcPr>
        <w:shd w:val="clear" w:color="DAEEF3" w:fill="DAEEF3"/>
      </w:tcPr>
    </w:tblStylePr>
  </w:style>
  <w:style w:type="table" w:customStyle="1" w:styleId="378">
    <w:name w:val="Grid Table 2 - Accent 6"/>
    <w:basedOn w:val="13"/>
    <w:uiPriority w:val="99"/>
    <w:rPr>
      <w:sz w:val="22"/>
      <w:szCs w:val="22"/>
      <w:lang w:eastAsia="en-US"/>
    </w:rPr>
    <w:tblPr>
      <w:tblBorders>
        <w:bottom w:val="single" w:color="F79646" w:sz="4" w:space="0"/>
        <w:insideH w:val="single" w:color="F79646" w:sz="4" w:space="0"/>
        <w:insideV w:val="single" w:color="F79646" w:sz="4" w:space="0"/>
      </w:tblBorders>
      <w:tblCellMar>
        <w:top w:w="0" w:type="dxa"/>
        <w:left w:w="108" w:type="dxa"/>
        <w:bottom w:w="0" w:type="dxa"/>
        <w:right w:w="108" w:type="dxa"/>
      </w:tblCellMar>
    </w:tblPr>
    <w:tblStylePr w:type="firstRow">
      <w:rPr>
        <w:b/>
        <w:color w:val="404040"/>
      </w:rPr>
      <w:tcPr>
        <w:tcBorders>
          <w:top w:val="nil"/>
          <w:left w:val="nil"/>
          <w:bottom w:val="single" w:color="F79646" w:sz="12" w:space="0"/>
          <w:right w:val="nil"/>
        </w:tcBorders>
        <w:shd w:val="clear" w:color="FFFFFF" w:fill="auto"/>
      </w:tcPr>
    </w:tblStylePr>
    <w:tblStylePr w:type="lastRow">
      <w:rPr>
        <w:b/>
        <w:color w:val="404040"/>
      </w:rPr>
      <w:tcPr>
        <w:tcBorders>
          <w:top w:val="single" w:color="F79646"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FDE9D8" w:fill="FDE9D8"/>
      </w:tcPr>
    </w:tblStylePr>
    <w:tblStylePr w:type="band1Horz">
      <w:rPr>
        <w:rFonts w:ascii="Arial" w:hAnsi="Arial"/>
        <w:color w:val="404040"/>
        <w:sz w:val="22"/>
      </w:rPr>
      <w:tcPr>
        <w:shd w:val="clear" w:color="FDE9D8" w:fill="FDE9D8"/>
      </w:tcPr>
    </w:tblStylePr>
  </w:style>
  <w:style w:type="table" w:customStyle="1" w:styleId="379">
    <w:name w:val="Таблица-сетка 31"/>
    <w:basedOn w:val="13"/>
    <w:uiPriority w:val="99"/>
    <w:rPr>
      <w:sz w:val="22"/>
      <w:szCs w:val="22"/>
      <w:lang w:eastAsia="en-US"/>
    </w:rPr>
    <w:tblPr>
      <w:tblBorders>
        <w:bottom w:val="single" w:color="6A6A6A" w:sz="4" w:space="0"/>
        <w:insideH w:val="single" w:color="6A6A6A" w:sz="4" w:space="0"/>
        <w:insideV w:val="single" w:color="6A6A6A" w:sz="4" w:space="0"/>
      </w:tblBorders>
      <w:tblCellMar>
        <w:top w:w="0" w:type="dxa"/>
        <w:left w:w="108" w:type="dxa"/>
        <w:bottom w:w="0" w:type="dxa"/>
        <w:right w:w="108" w:type="dxa"/>
      </w:tblCellMar>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rFonts w:ascii="Arial" w:hAnsi="Arial"/>
        <w:color w:val="404040"/>
        <w:sz w:val="22"/>
      </w:rPr>
      <w:tcPr>
        <w:shd w:val="clear" w:color="CBCBCB" w:fill="CBCBCB"/>
      </w:tcPr>
    </w:tblStylePr>
    <w:tblStylePr w:type="band1Horz">
      <w:rPr>
        <w:rFonts w:ascii="Arial" w:hAnsi="Arial"/>
        <w:color w:val="404040"/>
        <w:sz w:val="22"/>
      </w:rPr>
      <w:tcPr>
        <w:shd w:val="clear" w:color="CBCBCB" w:fill="CBCBCB"/>
      </w:tcPr>
    </w:tblStylePr>
  </w:style>
  <w:style w:type="table" w:customStyle="1" w:styleId="380">
    <w:name w:val="Grid Table 3 - Accent 1"/>
    <w:basedOn w:val="13"/>
    <w:uiPriority w:val="99"/>
    <w:rPr>
      <w:sz w:val="22"/>
      <w:szCs w:val="22"/>
      <w:lang w:eastAsia="en-US"/>
    </w:rPr>
    <w:tblPr>
      <w:tblBorders>
        <w:bottom w:val="single" w:color="5D8AC2" w:sz="4" w:space="0"/>
        <w:insideH w:val="single" w:color="5D8AC2" w:sz="4" w:space="0"/>
        <w:insideV w:val="single" w:color="5D8AC2" w:sz="4" w:space="0"/>
      </w:tblBorders>
      <w:tblCellMar>
        <w:top w:w="0" w:type="dxa"/>
        <w:left w:w="108" w:type="dxa"/>
        <w:bottom w:w="0" w:type="dxa"/>
        <w:right w:w="108" w:type="dxa"/>
      </w:tblCellMar>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rFonts w:ascii="Arial" w:hAnsi="Arial"/>
        <w:color w:val="404040"/>
        <w:sz w:val="22"/>
      </w:rPr>
      <w:tcPr>
        <w:shd w:val="clear" w:color="DAE5F1" w:fill="DAE5F1"/>
      </w:tcPr>
    </w:tblStylePr>
    <w:tblStylePr w:type="band1Horz">
      <w:rPr>
        <w:rFonts w:ascii="Arial" w:hAnsi="Arial"/>
        <w:color w:val="404040"/>
        <w:sz w:val="22"/>
      </w:rPr>
      <w:tcPr>
        <w:shd w:val="clear" w:color="DAE5F1" w:fill="DAE5F1"/>
      </w:tcPr>
    </w:tblStylePr>
  </w:style>
  <w:style w:type="table" w:customStyle="1" w:styleId="381">
    <w:name w:val="Grid Table 3 - Accent 2"/>
    <w:basedOn w:val="13"/>
    <w:uiPriority w:val="99"/>
    <w:rPr>
      <w:sz w:val="22"/>
      <w:szCs w:val="22"/>
      <w:lang w:eastAsia="en-US"/>
    </w:rPr>
    <w:tblPr>
      <w:tblBorders>
        <w:bottom w:val="single" w:color="D99695" w:sz="4" w:space="0"/>
        <w:insideH w:val="single" w:color="D99695" w:sz="4" w:space="0"/>
        <w:insideV w:val="single" w:color="D99695" w:sz="4" w:space="0"/>
      </w:tblBorders>
      <w:tblCellMar>
        <w:top w:w="0" w:type="dxa"/>
        <w:left w:w="108" w:type="dxa"/>
        <w:bottom w:w="0" w:type="dxa"/>
        <w:right w:w="108" w:type="dxa"/>
      </w:tblCellMar>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rFonts w:ascii="Arial" w:hAnsi="Arial"/>
        <w:color w:val="404040"/>
        <w:sz w:val="22"/>
      </w:rPr>
      <w:tcPr>
        <w:shd w:val="clear" w:color="F2DCDC" w:fill="F2DCDC"/>
      </w:tcPr>
    </w:tblStylePr>
    <w:tblStylePr w:type="band1Horz">
      <w:rPr>
        <w:rFonts w:ascii="Arial" w:hAnsi="Arial"/>
        <w:color w:val="404040"/>
        <w:sz w:val="22"/>
      </w:rPr>
      <w:tcPr>
        <w:shd w:val="clear" w:color="F2DCDC" w:fill="F2DCDC"/>
      </w:tcPr>
    </w:tblStylePr>
  </w:style>
  <w:style w:type="table" w:customStyle="1" w:styleId="382">
    <w:name w:val="Grid Table 3 - Accent 3"/>
    <w:basedOn w:val="13"/>
    <w:uiPriority w:val="99"/>
    <w:rPr>
      <w:sz w:val="22"/>
      <w:szCs w:val="22"/>
      <w:lang w:eastAsia="en-US"/>
    </w:rPr>
    <w:tblPr>
      <w:tblBorders>
        <w:bottom w:val="single" w:color="9ABB59" w:sz="4" w:space="0"/>
        <w:insideH w:val="single" w:color="9ABB59" w:sz="4" w:space="0"/>
        <w:insideV w:val="single" w:color="9ABB59" w:sz="4" w:space="0"/>
      </w:tblBorders>
      <w:tblCellMar>
        <w:top w:w="0" w:type="dxa"/>
        <w:left w:w="108" w:type="dxa"/>
        <w:bottom w:w="0" w:type="dxa"/>
        <w:right w:w="108" w:type="dxa"/>
      </w:tblCellMar>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rFonts w:ascii="Arial" w:hAnsi="Arial"/>
        <w:color w:val="404040"/>
        <w:sz w:val="22"/>
      </w:rPr>
      <w:tcPr>
        <w:shd w:val="clear" w:color="EAF1DC" w:fill="EAF1DC"/>
      </w:tcPr>
    </w:tblStylePr>
    <w:tblStylePr w:type="band1Horz">
      <w:rPr>
        <w:rFonts w:ascii="Arial" w:hAnsi="Arial"/>
        <w:color w:val="404040"/>
        <w:sz w:val="22"/>
      </w:rPr>
      <w:tcPr>
        <w:shd w:val="clear" w:color="EAF1DC" w:fill="EAF1DC"/>
      </w:tcPr>
    </w:tblStylePr>
  </w:style>
  <w:style w:type="table" w:customStyle="1" w:styleId="383">
    <w:name w:val="Grid Table 3 - Accent 4"/>
    <w:basedOn w:val="13"/>
    <w:uiPriority w:val="99"/>
    <w:rPr>
      <w:sz w:val="22"/>
      <w:szCs w:val="22"/>
      <w:lang w:eastAsia="en-US"/>
    </w:rPr>
    <w:tblPr>
      <w:tblBorders>
        <w:bottom w:val="single" w:color="B2A1C6" w:sz="4" w:space="0"/>
        <w:insideH w:val="single" w:color="B2A1C6" w:sz="4" w:space="0"/>
        <w:insideV w:val="single" w:color="B2A1C6" w:sz="4" w:space="0"/>
      </w:tblBorders>
      <w:tblCellMar>
        <w:top w:w="0" w:type="dxa"/>
        <w:left w:w="108" w:type="dxa"/>
        <w:bottom w:w="0" w:type="dxa"/>
        <w:right w:w="108" w:type="dxa"/>
      </w:tblCellMar>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rFonts w:ascii="Arial" w:hAnsi="Arial"/>
        <w:color w:val="404040"/>
        <w:sz w:val="22"/>
      </w:rPr>
      <w:tcPr>
        <w:shd w:val="clear" w:color="E5DFEC" w:fill="E5DFEC"/>
      </w:tcPr>
    </w:tblStylePr>
    <w:tblStylePr w:type="band1Horz">
      <w:rPr>
        <w:rFonts w:ascii="Arial" w:hAnsi="Arial"/>
        <w:color w:val="404040"/>
        <w:sz w:val="22"/>
      </w:rPr>
      <w:tcPr>
        <w:shd w:val="clear" w:color="E5DFEC" w:fill="E5DFEC"/>
      </w:tcPr>
    </w:tblStylePr>
  </w:style>
  <w:style w:type="table" w:customStyle="1" w:styleId="384">
    <w:name w:val="Grid Table 3 - Accent 5"/>
    <w:basedOn w:val="13"/>
    <w:uiPriority w:val="99"/>
    <w:rPr>
      <w:sz w:val="22"/>
      <w:szCs w:val="22"/>
      <w:lang w:eastAsia="en-US"/>
    </w:rPr>
    <w:tblPr>
      <w:tblBorders>
        <w:bottom w:val="single" w:color="4BACC6" w:sz="4" w:space="0"/>
        <w:insideH w:val="single" w:color="4BACC6" w:sz="4" w:space="0"/>
        <w:insideV w:val="single" w:color="4BACC6" w:sz="4" w:space="0"/>
      </w:tblBorders>
      <w:tblCellMar>
        <w:top w:w="0" w:type="dxa"/>
        <w:left w:w="108" w:type="dxa"/>
        <w:bottom w:w="0" w:type="dxa"/>
        <w:right w:w="108" w:type="dxa"/>
      </w:tblCellMar>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rFonts w:ascii="Arial" w:hAnsi="Arial"/>
        <w:color w:val="404040"/>
        <w:sz w:val="22"/>
      </w:rPr>
      <w:tcPr>
        <w:shd w:val="clear" w:color="DAEEF3" w:fill="DAEEF3"/>
      </w:tcPr>
    </w:tblStylePr>
    <w:tblStylePr w:type="band1Horz">
      <w:rPr>
        <w:rFonts w:ascii="Arial" w:hAnsi="Arial"/>
        <w:color w:val="404040"/>
        <w:sz w:val="22"/>
      </w:rPr>
      <w:tcPr>
        <w:shd w:val="clear" w:color="DAEEF3" w:fill="DAEEF3"/>
      </w:tcPr>
    </w:tblStylePr>
  </w:style>
  <w:style w:type="table" w:customStyle="1" w:styleId="385">
    <w:name w:val="Grid Table 3 - Accent 6"/>
    <w:basedOn w:val="13"/>
    <w:uiPriority w:val="99"/>
    <w:rPr>
      <w:sz w:val="22"/>
      <w:szCs w:val="22"/>
      <w:lang w:eastAsia="en-US"/>
    </w:rPr>
    <w:tblPr>
      <w:tblBorders>
        <w:bottom w:val="single" w:color="F79646" w:sz="4" w:space="0"/>
        <w:insideH w:val="single" w:color="F79646" w:sz="4" w:space="0"/>
        <w:insideV w:val="single" w:color="F79646" w:sz="4" w:space="0"/>
      </w:tblBorders>
      <w:tblCellMar>
        <w:top w:w="0" w:type="dxa"/>
        <w:left w:w="108" w:type="dxa"/>
        <w:bottom w:w="0" w:type="dxa"/>
        <w:right w:w="108" w:type="dxa"/>
      </w:tblCellMar>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rFonts w:ascii="Arial" w:hAnsi="Arial"/>
        <w:color w:val="404040"/>
        <w:sz w:val="22"/>
      </w:rPr>
      <w:tcPr>
        <w:shd w:val="clear" w:color="FDE9D8" w:fill="FDE9D8"/>
      </w:tcPr>
    </w:tblStylePr>
    <w:tblStylePr w:type="band1Horz">
      <w:rPr>
        <w:rFonts w:ascii="Arial" w:hAnsi="Arial"/>
        <w:color w:val="404040"/>
        <w:sz w:val="22"/>
      </w:rPr>
      <w:tcPr>
        <w:shd w:val="clear" w:color="FDE9D8" w:fill="FDE9D8"/>
      </w:tcPr>
    </w:tblStylePr>
  </w:style>
  <w:style w:type="table" w:customStyle="1" w:styleId="386">
    <w:name w:val="Таблица-сетка 41"/>
    <w:basedOn w:val="13"/>
    <w:uiPriority w:val="59"/>
    <w:rPr>
      <w:sz w:val="22"/>
      <w:szCs w:val="22"/>
      <w:lang w:eastAsia="en-US"/>
    </w:rPr>
    <w:tblPr>
      <w:tblBorders>
        <w:top w:val="single" w:color="6F6F6F" w:sz="4" w:space="0"/>
        <w:left w:val="single" w:color="6F6F6F" w:sz="4" w:space="0"/>
        <w:bottom w:val="single" w:color="6F6F6F" w:sz="4" w:space="0"/>
        <w:right w:val="single" w:color="6F6F6F" w:sz="4" w:space="0"/>
        <w:insideH w:val="single" w:color="6F6F6F" w:sz="4" w:space="0"/>
        <w:insideV w:val="single" w:color="6F6F6F" w:sz="4" w:space="0"/>
      </w:tblBorders>
      <w:tblCellMar>
        <w:top w:w="0" w:type="dxa"/>
        <w:left w:w="108" w:type="dxa"/>
        <w:bottom w:w="0" w:type="dxa"/>
        <w:right w:w="108" w:type="dxa"/>
      </w:tblCellMar>
    </w:tblPr>
    <w:tblStylePr w:type="firstRow">
      <w:rPr>
        <w:rFonts w:ascii="Arial" w:hAnsi="Arial"/>
        <w:b/>
        <w:color w:val="FFFFFF"/>
        <w:sz w:val="22"/>
      </w:rPr>
      <w:tcPr>
        <w:tcBorders>
          <w:top w:val="single" w:color="000000" w:sz="4" w:space="0"/>
          <w:left w:val="single" w:color="000000" w:sz="4" w:space="0"/>
          <w:bottom w:val="single" w:color="000000" w:sz="4" w:space="0"/>
          <w:right w:val="single" w:color="000000" w:sz="4" w:space="0"/>
        </w:tcBorders>
        <w:shd w:val="clear" w:color="000000" w:fill="000000"/>
      </w:tcPr>
    </w:tblStylePr>
    <w:tblStylePr w:type="lastRow">
      <w:rPr>
        <w:b/>
        <w:color w:val="404040"/>
      </w:rPr>
      <w:tcPr>
        <w:tcBorders>
          <w:top w:val="single" w:color="000000"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CBCBCB" w:fill="CBCBCB"/>
      </w:tcPr>
    </w:tblStylePr>
    <w:tblStylePr w:type="band1Horz">
      <w:rPr>
        <w:rFonts w:ascii="Arial" w:hAnsi="Arial"/>
        <w:color w:val="404040"/>
        <w:sz w:val="22"/>
      </w:rPr>
      <w:tcPr>
        <w:shd w:val="clear" w:color="CBCBCB" w:fill="CBCBCB"/>
      </w:tcPr>
    </w:tblStylePr>
  </w:style>
  <w:style w:type="table" w:customStyle="1" w:styleId="387">
    <w:name w:val="Grid Table 4 - Accent 1"/>
    <w:basedOn w:val="13"/>
    <w:uiPriority w:val="59"/>
    <w:rPr>
      <w:sz w:val="22"/>
      <w:szCs w:val="22"/>
      <w:lang w:eastAsia="en-US"/>
    </w:rPr>
    <w:tblPr>
      <w:tblBorders>
        <w:top w:val="single" w:color="9BB7D9" w:sz="4" w:space="0"/>
        <w:left w:val="single" w:color="9BB7D9" w:sz="4" w:space="0"/>
        <w:bottom w:val="single" w:color="9BB7D9" w:sz="4" w:space="0"/>
        <w:right w:val="single" w:color="9BB7D9" w:sz="4" w:space="0"/>
        <w:insideH w:val="single" w:color="9BB7D9" w:sz="4" w:space="0"/>
        <w:insideV w:val="single" w:color="9BB7D9" w:sz="4" w:space="0"/>
      </w:tblBorders>
      <w:tblCellMar>
        <w:top w:w="0" w:type="dxa"/>
        <w:left w:w="108" w:type="dxa"/>
        <w:bottom w:w="0" w:type="dxa"/>
        <w:right w:w="108" w:type="dxa"/>
      </w:tblCellMar>
    </w:tblPr>
    <w:tblStylePr w:type="firstRow">
      <w:rPr>
        <w:rFonts w:ascii="Arial" w:hAnsi="Arial"/>
        <w:b/>
        <w:color w:val="FFFFFF"/>
        <w:sz w:val="22"/>
      </w:rPr>
      <w:tcPr>
        <w:tcBorders>
          <w:top w:val="single" w:color="5D8AC2" w:sz="4" w:space="0"/>
          <w:left w:val="single" w:color="5D8AC2" w:sz="4" w:space="0"/>
          <w:bottom w:val="single" w:color="5D8AC2" w:sz="4" w:space="0"/>
          <w:right w:val="single" w:color="5D8AC2" w:sz="4" w:space="0"/>
        </w:tcBorders>
        <w:shd w:val="clear" w:color="5D8AC2" w:fill="5D8AC2"/>
      </w:tcPr>
    </w:tblStylePr>
    <w:tblStylePr w:type="lastRow">
      <w:rPr>
        <w:b/>
        <w:color w:val="404040"/>
      </w:rPr>
      <w:tcPr>
        <w:tcBorders>
          <w:top w:val="single" w:color="5D8AC2"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DCE6F2" w:fill="DCE6F2"/>
      </w:tcPr>
    </w:tblStylePr>
    <w:tblStylePr w:type="band1Horz">
      <w:rPr>
        <w:rFonts w:ascii="Arial" w:hAnsi="Arial"/>
        <w:color w:val="404040"/>
        <w:sz w:val="22"/>
      </w:rPr>
      <w:tcPr>
        <w:shd w:val="clear" w:color="DCE6F2" w:fill="DCE6F2"/>
      </w:tcPr>
    </w:tblStylePr>
  </w:style>
  <w:style w:type="table" w:customStyle="1" w:styleId="388">
    <w:name w:val="Grid Table 4 - Accent 2"/>
    <w:basedOn w:val="13"/>
    <w:uiPriority w:val="59"/>
    <w:rPr>
      <w:sz w:val="22"/>
      <w:szCs w:val="22"/>
      <w:lang w:eastAsia="en-US"/>
    </w:rPr>
    <w:tblPr>
      <w:tblBorders>
        <w:top w:val="single" w:color="DB9B9A" w:sz="4" w:space="0"/>
        <w:left w:val="single" w:color="DB9B9A" w:sz="4" w:space="0"/>
        <w:bottom w:val="single" w:color="DB9B9A" w:sz="4" w:space="0"/>
        <w:right w:val="single" w:color="DB9B9A" w:sz="4" w:space="0"/>
        <w:insideH w:val="single" w:color="DB9B9A" w:sz="4" w:space="0"/>
        <w:insideV w:val="single" w:color="DB9B9A" w:sz="4" w:space="0"/>
      </w:tblBorders>
      <w:tblCellMar>
        <w:top w:w="0" w:type="dxa"/>
        <w:left w:w="108" w:type="dxa"/>
        <w:bottom w:w="0" w:type="dxa"/>
        <w:right w:w="108" w:type="dxa"/>
      </w:tblCellMar>
    </w:tblPr>
    <w:tblStylePr w:type="firstRow">
      <w:rPr>
        <w:rFonts w:ascii="Arial" w:hAnsi="Arial"/>
        <w:b/>
        <w:color w:val="FFFFFF"/>
        <w:sz w:val="22"/>
      </w:rPr>
      <w:tcPr>
        <w:tcBorders>
          <w:top w:val="single" w:color="D99695" w:sz="4" w:space="0"/>
          <w:left w:val="single" w:color="D99695" w:sz="4" w:space="0"/>
          <w:bottom w:val="single" w:color="D99695" w:sz="4" w:space="0"/>
          <w:right w:val="single" w:color="D99695" w:sz="4" w:space="0"/>
        </w:tcBorders>
        <w:shd w:val="clear" w:color="D99695" w:fill="D99695"/>
      </w:tcPr>
    </w:tblStylePr>
    <w:tblStylePr w:type="lastRow">
      <w:rPr>
        <w:b/>
        <w:color w:val="404040"/>
      </w:rPr>
      <w:tcPr>
        <w:tcBorders>
          <w:top w:val="single" w:color="D99695"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F2DCDC" w:fill="F2DCDC"/>
      </w:tcPr>
    </w:tblStylePr>
    <w:tblStylePr w:type="band1Horz">
      <w:rPr>
        <w:rFonts w:ascii="Arial" w:hAnsi="Arial"/>
        <w:color w:val="404040"/>
        <w:sz w:val="22"/>
      </w:rPr>
      <w:tcPr>
        <w:shd w:val="clear" w:color="F2DCDC" w:fill="F2DCDC"/>
      </w:tcPr>
    </w:tblStylePr>
  </w:style>
  <w:style w:type="table" w:customStyle="1" w:styleId="389">
    <w:name w:val="Grid Table 4 - Accent 3"/>
    <w:basedOn w:val="13"/>
    <w:uiPriority w:val="59"/>
    <w:rPr>
      <w:sz w:val="22"/>
      <w:szCs w:val="22"/>
      <w:lang w:eastAsia="en-US"/>
    </w:rPr>
    <w:tblPr>
      <w:tblBorders>
        <w:top w:val="single" w:color="C6D8A1" w:sz="4" w:space="0"/>
        <w:left w:val="single" w:color="C6D8A1" w:sz="4" w:space="0"/>
        <w:bottom w:val="single" w:color="C6D8A1" w:sz="4" w:space="0"/>
        <w:right w:val="single" w:color="C6D8A1" w:sz="4" w:space="0"/>
        <w:insideH w:val="single" w:color="C6D8A1" w:sz="4" w:space="0"/>
        <w:insideV w:val="single" w:color="C6D8A1" w:sz="4" w:space="0"/>
      </w:tblBorders>
      <w:tblCellMar>
        <w:top w:w="0" w:type="dxa"/>
        <w:left w:w="108" w:type="dxa"/>
        <w:bottom w:w="0" w:type="dxa"/>
        <w:right w:w="108" w:type="dxa"/>
      </w:tblCellMar>
    </w:tblPr>
    <w:tblStylePr w:type="firstRow">
      <w:rPr>
        <w:rFonts w:ascii="Arial" w:hAnsi="Arial"/>
        <w:b/>
        <w:color w:val="FFFFFF"/>
        <w:sz w:val="22"/>
      </w:rPr>
      <w:tcPr>
        <w:tcBorders>
          <w:top w:val="single" w:color="9ABB59" w:sz="4" w:space="0"/>
          <w:left w:val="single" w:color="9ABB59" w:sz="4" w:space="0"/>
          <w:bottom w:val="single" w:color="9ABB59" w:sz="4" w:space="0"/>
          <w:right w:val="single" w:color="9ABB59" w:sz="4" w:space="0"/>
        </w:tcBorders>
        <w:shd w:val="clear" w:color="9ABB59" w:fill="9ABB59"/>
      </w:tcPr>
    </w:tblStylePr>
    <w:tblStylePr w:type="lastRow">
      <w:rPr>
        <w:b/>
        <w:color w:val="404040"/>
      </w:rPr>
      <w:tcPr>
        <w:tcBorders>
          <w:top w:val="single" w:color="9ABB59"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EAF1DC" w:fill="EAF1DC"/>
      </w:tcPr>
    </w:tblStylePr>
    <w:tblStylePr w:type="band1Horz">
      <w:rPr>
        <w:rFonts w:ascii="Arial" w:hAnsi="Arial"/>
        <w:color w:val="404040"/>
        <w:sz w:val="22"/>
      </w:rPr>
      <w:tcPr>
        <w:shd w:val="clear" w:color="EAF1DC" w:fill="EAF1DC"/>
      </w:tcPr>
    </w:tblStylePr>
  </w:style>
  <w:style w:type="table" w:customStyle="1" w:styleId="390">
    <w:name w:val="Grid Table 4 - Accent 4"/>
    <w:basedOn w:val="13"/>
    <w:uiPriority w:val="59"/>
    <w:rPr>
      <w:sz w:val="22"/>
      <w:szCs w:val="22"/>
      <w:lang w:eastAsia="en-US"/>
    </w:rPr>
    <w:tblPr>
      <w:tblBorders>
        <w:top w:val="single" w:color="B7A7CA" w:sz="4" w:space="0"/>
        <w:left w:val="single" w:color="B7A7CA" w:sz="4" w:space="0"/>
        <w:bottom w:val="single" w:color="B7A7CA" w:sz="4" w:space="0"/>
        <w:right w:val="single" w:color="B7A7CA" w:sz="4" w:space="0"/>
        <w:insideH w:val="single" w:color="B7A7CA" w:sz="4" w:space="0"/>
        <w:insideV w:val="single" w:color="B7A7CA" w:sz="4" w:space="0"/>
      </w:tblBorders>
      <w:tblCellMar>
        <w:top w:w="0" w:type="dxa"/>
        <w:left w:w="108" w:type="dxa"/>
        <w:bottom w:w="0" w:type="dxa"/>
        <w:right w:w="108" w:type="dxa"/>
      </w:tblCellMar>
    </w:tblPr>
    <w:tblStylePr w:type="firstRow">
      <w:rPr>
        <w:rFonts w:ascii="Arial" w:hAnsi="Arial"/>
        <w:b/>
        <w:color w:val="FFFFFF"/>
        <w:sz w:val="22"/>
      </w:rPr>
      <w:tcPr>
        <w:tcBorders>
          <w:top w:val="single" w:color="B2A1C6" w:sz="4" w:space="0"/>
          <w:left w:val="single" w:color="B2A1C6" w:sz="4" w:space="0"/>
          <w:bottom w:val="single" w:color="B2A1C6" w:sz="4" w:space="0"/>
          <w:right w:val="single" w:color="B2A1C6" w:sz="4" w:space="0"/>
        </w:tcBorders>
        <w:shd w:val="clear" w:color="B2A1C6" w:fill="B2A1C6"/>
      </w:tcPr>
    </w:tblStylePr>
    <w:tblStylePr w:type="lastRow">
      <w:rPr>
        <w:b/>
        <w:color w:val="404040"/>
      </w:rPr>
      <w:tcPr>
        <w:tcBorders>
          <w:top w:val="single" w:color="B2A1C6"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E5DFEC" w:fill="E5DFEC"/>
      </w:tcPr>
    </w:tblStylePr>
    <w:tblStylePr w:type="band1Horz">
      <w:rPr>
        <w:rFonts w:ascii="Arial" w:hAnsi="Arial"/>
        <w:color w:val="404040"/>
        <w:sz w:val="22"/>
      </w:rPr>
      <w:tcPr>
        <w:shd w:val="clear" w:color="E5DFEC" w:fill="E5DFEC"/>
      </w:tcPr>
    </w:tblStylePr>
  </w:style>
  <w:style w:type="table" w:customStyle="1" w:styleId="391">
    <w:name w:val="Grid Table 4 - Accent 5"/>
    <w:basedOn w:val="13"/>
    <w:uiPriority w:val="59"/>
    <w:rPr>
      <w:sz w:val="22"/>
      <w:szCs w:val="22"/>
      <w:lang w:eastAsia="en-US"/>
    </w:rPr>
    <w:tblPr>
      <w:tblBorders>
        <w:top w:val="single" w:color="99D0DE" w:sz="4" w:space="0"/>
        <w:left w:val="single" w:color="99D0DE" w:sz="4" w:space="0"/>
        <w:bottom w:val="single" w:color="99D0DE" w:sz="4" w:space="0"/>
        <w:right w:val="single" w:color="99D0DE" w:sz="4" w:space="0"/>
        <w:insideH w:val="single" w:color="99D0DE" w:sz="4" w:space="0"/>
        <w:insideV w:val="single" w:color="99D0DE" w:sz="4" w:space="0"/>
      </w:tblBorders>
      <w:tblCellMar>
        <w:top w:w="0" w:type="dxa"/>
        <w:left w:w="108" w:type="dxa"/>
        <w:bottom w:w="0" w:type="dxa"/>
        <w:right w:w="108" w:type="dxa"/>
      </w:tblCellMar>
    </w:tblPr>
    <w:tblStylePr w:type="firstRow">
      <w:rPr>
        <w:rFonts w:ascii="Arial" w:hAnsi="Arial"/>
        <w:b/>
        <w:color w:val="FFFFFF"/>
        <w:sz w:val="22"/>
      </w:rPr>
      <w:tcPr>
        <w:tcBorders>
          <w:top w:val="single" w:color="4BACC6" w:sz="4" w:space="0"/>
          <w:left w:val="single" w:color="4BACC6" w:sz="4" w:space="0"/>
          <w:bottom w:val="single" w:color="4BACC6" w:sz="4" w:space="0"/>
          <w:right w:val="single" w:color="4BACC6" w:sz="4" w:space="0"/>
        </w:tcBorders>
        <w:shd w:val="clear" w:color="4BACC6" w:fill="4BACC6"/>
      </w:tcPr>
    </w:tblStylePr>
    <w:tblStylePr w:type="lastRow">
      <w:rPr>
        <w:b/>
        <w:color w:val="404040"/>
      </w:rPr>
      <w:tcPr>
        <w:tcBorders>
          <w:top w:val="single" w:color="4BACC6"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DAEEF3" w:fill="DAEEF3"/>
      </w:tcPr>
    </w:tblStylePr>
    <w:tblStylePr w:type="band1Horz">
      <w:rPr>
        <w:rFonts w:ascii="Arial" w:hAnsi="Arial"/>
        <w:color w:val="404040"/>
        <w:sz w:val="22"/>
      </w:rPr>
      <w:tcPr>
        <w:shd w:val="clear" w:color="DAEEF3" w:fill="DAEEF3"/>
      </w:tcPr>
    </w:tblStylePr>
  </w:style>
  <w:style w:type="table" w:customStyle="1" w:styleId="392">
    <w:name w:val="Grid Table 4 - Accent 6"/>
    <w:basedOn w:val="13"/>
    <w:uiPriority w:val="59"/>
    <w:rPr>
      <w:sz w:val="22"/>
      <w:szCs w:val="22"/>
      <w:lang w:eastAsia="en-US"/>
    </w:rPr>
    <w:tblPr>
      <w:tblBorders>
        <w:top w:val="single" w:color="FAC396" w:sz="4" w:space="0"/>
        <w:left w:val="single" w:color="FAC396" w:sz="4" w:space="0"/>
        <w:bottom w:val="single" w:color="FAC396" w:sz="4" w:space="0"/>
        <w:right w:val="single" w:color="FAC396" w:sz="4" w:space="0"/>
        <w:insideH w:val="single" w:color="FAC396" w:sz="4" w:space="0"/>
        <w:insideV w:val="single" w:color="FAC396" w:sz="4" w:space="0"/>
      </w:tblBorders>
      <w:tblCellMar>
        <w:top w:w="0" w:type="dxa"/>
        <w:left w:w="108" w:type="dxa"/>
        <w:bottom w:w="0" w:type="dxa"/>
        <w:right w:w="108" w:type="dxa"/>
      </w:tblCellMar>
    </w:tblPr>
    <w:tblStylePr w:type="firstRow">
      <w:rPr>
        <w:rFonts w:ascii="Arial" w:hAnsi="Arial"/>
        <w:b/>
        <w:color w:val="FFFFFF"/>
        <w:sz w:val="22"/>
      </w:rPr>
      <w:tcPr>
        <w:tcBorders>
          <w:top w:val="single" w:color="F79646" w:sz="4" w:space="0"/>
          <w:left w:val="single" w:color="F79646" w:sz="4" w:space="0"/>
          <w:bottom w:val="single" w:color="F79646" w:sz="4" w:space="0"/>
          <w:right w:val="single" w:color="F79646" w:sz="4" w:space="0"/>
        </w:tcBorders>
        <w:shd w:val="clear" w:color="F79646" w:fill="F79646"/>
      </w:tcPr>
    </w:tblStylePr>
    <w:tblStylePr w:type="lastRow">
      <w:rPr>
        <w:b/>
        <w:color w:val="404040"/>
      </w:rPr>
      <w:tcPr>
        <w:tcBorders>
          <w:top w:val="single" w:color="F79646"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FDE9D8" w:fill="FDE9D8"/>
      </w:tcPr>
    </w:tblStylePr>
    <w:tblStylePr w:type="band1Horz">
      <w:rPr>
        <w:rFonts w:ascii="Arial" w:hAnsi="Arial"/>
        <w:color w:val="404040"/>
        <w:sz w:val="22"/>
      </w:rPr>
      <w:tcPr>
        <w:shd w:val="clear" w:color="FDE9D8" w:fill="FDE9D8"/>
      </w:tcPr>
    </w:tblStylePr>
  </w:style>
  <w:style w:type="table" w:customStyle="1" w:styleId="393">
    <w:name w:val="Таблица-сетка 5 темная1"/>
    <w:basedOn w:val="13"/>
    <w:uiPriority w:val="99"/>
    <w:rPr>
      <w:sz w:val="22"/>
      <w:szCs w:val="22"/>
      <w:lang w:eastAsia="en-US"/>
    </w:rPr>
    <w:tblPr>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CellMar>
        <w:top w:w="0" w:type="dxa"/>
        <w:left w:w="108" w:type="dxa"/>
        <w:bottom w:w="0" w:type="dxa"/>
        <w:right w:w="108" w:type="dxa"/>
      </w:tblCellMar>
    </w:tblPr>
    <w:tblStylePr w:type="firstRow">
      <w:rPr>
        <w:rFonts w:ascii="Arial" w:hAnsi="Arial"/>
        <w:b/>
        <w:color w:val="FFFFFF"/>
        <w:sz w:val="22"/>
      </w:rPr>
      <w:tcPr>
        <w:shd w:val="clear" w:color="000000" w:fill="000000"/>
      </w:tcPr>
    </w:tblStylePr>
    <w:tblStylePr w:type="lastRow">
      <w:rPr>
        <w:rFonts w:ascii="Arial" w:hAnsi="Arial"/>
        <w:b/>
        <w:color w:val="FFFFFF"/>
        <w:sz w:val="22"/>
      </w:rPr>
      <w:tcPr>
        <w:tcBorders>
          <w:top w:val="single" w:color="FFFFFF" w:sz="4" w:space="0"/>
        </w:tcBorders>
        <w:shd w:val="clear" w:color="000000" w:fill="000000"/>
      </w:tcPr>
    </w:tblStylePr>
    <w:tblStylePr w:type="firstCol">
      <w:rPr>
        <w:rFonts w:ascii="Arial" w:hAnsi="Arial"/>
        <w:b/>
        <w:color w:val="FFFFFF"/>
        <w:sz w:val="22"/>
      </w:rPr>
      <w:tcPr>
        <w:shd w:val="clear" w:color="000000" w:fill="000000"/>
      </w:tcPr>
    </w:tblStylePr>
    <w:tblStylePr w:type="lastCol">
      <w:rPr>
        <w:rFonts w:ascii="Arial" w:hAnsi="Arial"/>
        <w:b/>
        <w:color w:val="FFFFFF"/>
        <w:sz w:val="22"/>
      </w:rPr>
      <w:tcPr>
        <w:shd w:val="clear" w:color="000000" w:fill="000000"/>
      </w:tcPr>
    </w:tblStylePr>
    <w:tblStylePr w:type="band1Vert">
      <w:tcPr>
        <w:shd w:val="clear" w:color="8A8A8A" w:fill="8A8A8A"/>
      </w:tcPr>
    </w:tblStylePr>
    <w:tblStylePr w:type="band1Horz">
      <w:tcPr>
        <w:shd w:val="clear" w:color="8A8A8A" w:fill="8A8A8A"/>
      </w:tcPr>
    </w:tblStylePr>
  </w:style>
  <w:style w:type="table" w:customStyle="1" w:styleId="394">
    <w:name w:val="Grid Table 5 Dark- Accent 1"/>
    <w:basedOn w:val="13"/>
    <w:uiPriority w:val="99"/>
    <w:rPr>
      <w:sz w:val="22"/>
      <w:szCs w:val="22"/>
      <w:lang w:eastAsia="en-US"/>
    </w:rPr>
    <w:tblPr>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CellMar>
        <w:top w:w="0" w:type="dxa"/>
        <w:left w:w="108" w:type="dxa"/>
        <w:bottom w:w="0" w:type="dxa"/>
        <w:right w:w="108" w:type="dxa"/>
      </w:tblCellMar>
    </w:tblPr>
    <w:tblStylePr w:type="firstRow">
      <w:rPr>
        <w:rFonts w:ascii="Arial" w:hAnsi="Arial"/>
        <w:b/>
        <w:color w:val="FFFFFF"/>
        <w:sz w:val="22"/>
      </w:rPr>
      <w:tcPr>
        <w:shd w:val="clear" w:color="4F81BD" w:fill="4F81BD"/>
      </w:tcPr>
    </w:tblStylePr>
    <w:tblStylePr w:type="lastRow">
      <w:rPr>
        <w:rFonts w:ascii="Arial" w:hAnsi="Arial"/>
        <w:b/>
        <w:color w:val="FFFFFF"/>
        <w:sz w:val="22"/>
      </w:rPr>
      <w:tcPr>
        <w:tcBorders>
          <w:top w:val="single" w:color="FFFFFF" w:sz="4" w:space="0"/>
        </w:tcBorders>
        <w:shd w:val="clear" w:color="4F81BD" w:fill="4F81BD"/>
      </w:tcPr>
    </w:tblStylePr>
    <w:tblStylePr w:type="firstCol">
      <w:rPr>
        <w:rFonts w:ascii="Arial" w:hAnsi="Arial"/>
        <w:b/>
        <w:color w:val="FFFFFF"/>
        <w:sz w:val="22"/>
      </w:rPr>
      <w:tcPr>
        <w:shd w:val="clear" w:color="4F81BD" w:fill="4F81BD"/>
      </w:tcPr>
    </w:tblStylePr>
    <w:tblStylePr w:type="lastCol">
      <w:rPr>
        <w:rFonts w:ascii="Arial" w:hAnsi="Arial"/>
        <w:b/>
        <w:color w:val="FFFFFF"/>
        <w:sz w:val="22"/>
      </w:rPr>
      <w:tcPr>
        <w:shd w:val="clear" w:color="4F81BD" w:fill="4F81BD"/>
      </w:tcPr>
    </w:tblStylePr>
    <w:tblStylePr w:type="band1Vert">
      <w:tcPr>
        <w:shd w:val="clear" w:color="AEC4E0" w:fill="AEC4E0"/>
      </w:tcPr>
    </w:tblStylePr>
    <w:tblStylePr w:type="band1Horz">
      <w:tcPr>
        <w:shd w:val="clear" w:color="AEC4E0" w:fill="AEC4E0"/>
      </w:tcPr>
    </w:tblStylePr>
  </w:style>
  <w:style w:type="table" w:customStyle="1" w:styleId="395">
    <w:name w:val="Grid Table 5 Dark - Accent 2"/>
    <w:basedOn w:val="13"/>
    <w:uiPriority w:val="99"/>
    <w:rPr>
      <w:sz w:val="22"/>
      <w:szCs w:val="22"/>
      <w:lang w:eastAsia="en-US"/>
    </w:rPr>
    <w:tblPr>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CellMar>
        <w:top w:w="0" w:type="dxa"/>
        <w:left w:w="108" w:type="dxa"/>
        <w:bottom w:w="0" w:type="dxa"/>
        <w:right w:w="108" w:type="dxa"/>
      </w:tblCellMar>
    </w:tblPr>
    <w:tblStylePr w:type="firstRow">
      <w:rPr>
        <w:rFonts w:ascii="Arial" w:hAnsi="Arial"/>
        <w:b/>
        <w:color w:val="FFFFFF"/>
        <w:sz w:val="22"/>
      </w:rPr>
      <w:tcPr>
        <w:shd w:val="clear" w:color="C0504D" w:fill="C0504D"/>
      </w:tcPr>
    </w:tblStylePr>
    <w:tblStylePr w:type="lastRow">
      <w:rPr>
        <w:rFonts w:ascii="Arial" w:hAnsi="Arial"/>
        <w:b/>
        <w:color w:val="FFFFFF"/>
        <w:sz w:val="22"/>
      </w:rPr>
      <w:tcPr>
        <w:tcBorders>
          <w:top w:val="single" w:color="FFFFFF" w:sz="4" w:space="0"/>
        </w:tcBorders>
        <w:shd w:val="clear" w:color="C0504D" w:fill="C0504D"/>
      </w:tcPr>
    </w:tblStylePr>
    <w:tblStylePr w:type="firstCol">
      <w:rPr>
        <w:rFonts w:ascii="Arial" w:hAnsi="Arial"/>
        <w:b/>
        <w:color w:val="FFFFFF"/>
        <w:sz w:val="22"/>
      </w:rPr>
      <w:tcPr>
        <w:shd w:val="clear" w:color="C0504D" w:fill="C0504D"/>
      </w:tcPr>
    </w:tblStylePr>
    <w:tblStylePr w:type="lastCol">
      <w:rPr>
        <w:rFonts w:ascii="Arial" w:hAnsi="Arial"/>
        <w:b/>
        <w:color w:val="FFFFFF"/>
        <w:sz w:val="22"/>
      </w:rPr>
      <w:tcPr>
        <w:shd w:val="clear" w:color="C0504D" w:fill="C0504D"/>
      </w:tcPr>
    </w:tblStylePr>
    <w:tblStylePr w:type="band1Vert">
      <w:tcPr>
        <w:shd w:val="clear" w:color="E2AEAD" w:fill="E2AEAD"/>
      </w:tcPr>
    </w:tblStylePr>
    <w:tblStylePr w:type="band1Horz">
      <w:tcPr>
        <w:shd w:val="clear" w:color="E2AEAD" w:fill="E2AEAD"/>
      </w:tcPr>
    </w:tblStylePr>
  </w:style>
  <w:style w:type="table" w:customStyle="1" w:styleId="396">
    <w:name w:val="Grid Table 5 Dark - Accent 3"/>
    <w:basedOn w:val="13"/>
    <w:uiPriority w:val="99"/>
    <w:rPr>
      <w:sz w:val="22"/>
      <w:szCs w:val="22"/>
      <w:lang w:eastAsia="en-US"/>
    </w:rPr>
    <w:tblPr>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CellMar>
        <w:top w:w="0" w:type="dxa"/>
        <w:left w:w="108" w:type="dxa"/>
        <w:bottom w:w="0" w:type="dxa"/>
        <w:right w:w="108" w:type="dxa"/>
      </w:tblCellMar>
    </w:tblPr>
    <w:tblStylePr w:type="firstRow">
      <w:rPr>
        <w:rFonts w:ascii="Arial" w:hAnsi="Arial"/>
        <w:b/>
        <w:color w:val="FFFFFF"/>
        <w:sz w:val="22"/>
      </w:rPr>
      <w:tcPr>
        <w:shd w:val="clear" w:color="9BBB59" w:fill="9BBB59"/>
      </w:tcPr>
    </w:tblStylePr>
    <w:tblStylePr w:type="lastRow">
      <w:rPr>
        <w:rFonts w:ascii="Arial" w:hAnsi="Arial"/>
        <w:b/>
        <w:color w:val="FFFFFF"/>
        <w:sz w:val="22"/>
      </w:rPr>
      <w:tcPr>
        <w:tcBorders>
          <w:top w:val="single" w:color="FFFFFF" w:sz="4" w:space="0"/>
        </w:tcBorders>
        <w:shd w:val="clear" w:color="9BBB59" w:fill="9BBB59"/>
      </w:tcPr>
    </w:tblStylePr>
    <w:tblStylePr w:type="firstCol">
      <w:rPr>
        <w:rFonts w:ascii="Arial" w:hAnsi="Arial"/>
        <w:b/>
        <w:color w:val="FFFFFF"/>
        <w:sz w:val="22"/>
      </w:rPr>
      <w:tcPr>
        <w:shd w:val="clear" w:color="9BBB59" w:fill="9BBB59"/>
      </w:tcPr>
    </w:tblStylePr>
    <w:tblStylePr w:type="lastCol">
      <w:rPr>
        <w:rFonts w:ascii="Arial" w:hAnsi="Arial"/>
        <w:b/>
        <w:color w:val="FFFFFF"/>
        <w:sz w:val="22"/>
      </w:rPr>
      <w:tcPr>
        <w:shd w:val="clear" w:color="9BBB59" w:fill="9BBB59"/>
      </w:tcPr>
    </w:tblStylePr>
    <w:tblStylePr w:type="band1Vert">
      <w:tcPr>
        <w:shd w:val="clear" w:color="D0DFB2" w:fill="D0DFB2"/>
      </w:tcPr>
    </w:tblStylePr>
    <w:tblStylePr w:type="band1Horz">
      <w:tcPr>
        <w:shd w:val="clear" w:color="D0DFB2" w:fill="D0DFB2"/>
      </w:tcPr>
    </w:tblStylePr>
  </w:style>
  <w:style w:type="table" w:customStyle="1" w:styleId="397">
    <w:name w:val="Grid Table 5 Dark- Accent 4"/>
    <w:basedOn w:val="13"/>
    <w:uiPriority w:val="99"/>
    <w:rPr>
      <w:sz w:val="22"/>
      <w:szCs w:val="22"/>
      <w:lang w:eastAsia="en-US"/>
    </w:rPr>
    <w:tblPr>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CellMar>
        <w:top w:w="0" w:type="dxa"/>
        <w:left w:w="108" w:type="dxa"/>
        <w:bottom w:w="0" w:type="dxa"/>
        <w:right w:w="108" w:type="dxa"/>
      </w:tblCellMar>
    </w:tblPr>
    <w:tblStylePr w:type="firstRow">
      <w:rPr>
        <w:rFonts w:ascii="Arial" w:hAnsi="Arial"/>
        <w:b/>
        <w:color w:val="FFFFFF"/>
        <w:sz w:val="22"/>
      </w:rPr>
      <w:tcPr>
        <w:shd w:val="clear" w:color="8064A2" w:fill="8064A2"/>
      </w:tcPr>
    </w:tblStylePr>
    <w:tblStylePr w:type="lastRow">
      <w:rPr>
        <w:rFonts w:ascii="Arial" w:hAnsi="Arial"/>
        <w:b/>
        <w:color w:val="FFFFFF"/>
        <w:sz w:val="22"/>
      </w:rPr>
      <w:tcPr>
        <w:tcBorders>
          <w:top w:val="single" w:color="FFFFFF" w:sz="4" w:space="0"/>
        </w:tcBorders>
        <w:shd w:val="clear" w:color="8064A2" w:fill="8064A2"/>
      </w:tcPr>
    </w:tblStylePr>
    <w:tblStylePr w:type="firstCol">
      <w:rPr>
        <w:rFonts w:ascii="Arial" w:hAnsi="Arial"/>
        <w:b/>
        <w:color w:val="FFFFFF"/>
        <w:sz w:val="22"/>
      </w:rPr>
      <w:tcPr>
        <w:shd w:val="clear" w:color="8064A2" w:fill="8064A2"/>
      </w:tcPr>
    </w:tblStylePr>
    <w:tblStylePr w:type="lastCol">
      <w:rPr>
        <w:rFonts w:ascii="Arial" w:hAnsi="Arial"/>
        <w:b/>
        <w:color w:val="FFFFFF"/>
        <w:sz w:val="22"/>
      </w:rPr>
      <w:tcPr>
        <w:shd w:val="clear" w:color="8064A2" w:fill="8064A2"/>
      </w:tcPr>
    </w:tblStylePr>
    <w:tblStylePr w:type="band1Vert">
      <w:tcPr>
        <w:shd w:val="clear" w:color="C4B7D4" w:fill="C4B7D4"/>
      </w:tcPr>
    </w:tblStylePr>
    <w:tblStylePr w:type="band1Horz">
      <w:tcPr>
        <w:shd w:val="clear" w:color="C4B7D4" w:fill="C4B7D4"/>
      </w:tcPr>
    </w:tblStylePr>
  </w:style>
  <w:style w:type="table" w:customStyle="1" w:styleId="398">
    <w:name w:val="Grid Table 5 Dark - Accent 5"/>
    <w:basedOn w:val="13"/>
    <w:uiPriority w:val="99"/>
    <w:rPr>
      <w:sz w:val="22"/>
      <w:szCs w:val="22"/>
      <w:lang w:eastAsia="en-US"/>
    </w:rPr>
    <w:tblPr>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CellMar>
        <w:top w:w="0" w:type="dxa"/>
        <w:left w:w="108" w:type="dxa"/>
        <w:bottom w:w="0" w:type="dxa"/>
        <w:right w:w="108" w:type="dxa"/>
      </w:tblCellMar>
    </w:tblPr>
    <w:tblStylePr w:type="firstRow">
      <w:rPr>
        <w:rFonts w:ascii="Arial" w:hAnsi="Arial"/>
        <w:b/>
        <w:color w:val="FFFFFF"/>
        <w:sz w:val="22"/>
      </w:rPr>
      <w:tcPr>
        <w:shd w:val="clear" w:color="4BACC6" w:fill="4BACC6"/>
      </w:tcPr>
    </w:tblStylePr>
    <w:tblStylePr w:type="lastRow">
      <w:rPr>
        <w:rFonts w:ascii="Arial" w:hAnsi="Arial"/>
        <w:b/>
        <w:color w:val="FFFFFF"/>
        <w:sz w:val="22"/>
      </w:rPr>
      <w:tcPr>
        <w:tcBorders>
          <w:top w:val="single" w:color="FFFFFF" w:sz="4" w:space="0"/>
        </w:tcBorders>
        <w:shd w:val="clear" w:color="4BACC6" w:fill="4BACC6"/>
      </w:tcPr>
    </w:tblStylePr>
    <w:tblStylePr w:type="firstCol">
      <w:rPr>
        <w:rFonts w:ascii="Arial" w:hAnsi="Arial"/>
        <w:b/>
        <w:color w:val="FFFFFF"/>
        <w:sz w:val="22"/>
      </w:rPr>
      <w:tcPr>
        <w:shd w:val="clear" w:color="4BACC6" w:fill="4BACC6"/>
      </w:tcPr>
    </w:tblStylePr>
    <w:tblStylePr w:type="lastCol">
      <w:rPr>
        <w:rFonts w:ascii="Arial" w:hAnsi="Arial"/>
        <w:b/>
        <w:color w:val="FFFFFF"/>
        <w:sz w:val="22"/>
      </w:rPr>
      <w:tcPr>
        <w:shd w:val="clear" w:color="4BACC6" w:fill="4BACC6"/>
      </w:tcPr>
    </w:tblStylePr>
    <w:tblStylePr w:type="band1Vert">
      <w:tcPr>
        <w:shd w:val="clear" w:color="ACD8E4" w:fill="ACD8E4"/>
      </w:tcPr>
    </w:tblStylePr>
    <w:tblStylePr w:type="band1Horz">
      <w:tcPr>
        <w:shd w:val="clear" w:color="ACD8E4" w:fill="ACD8E4"/>
      </w:tcPr>
    </w:tblStylePr>
  </w:style>
  <w:style w:type="table" w:customStyle="1" w:styleId="399">
    <w:name w:val="Grid Table 5 Dark - Accent 6"/>
    <w:basedOn w:val="13"/>
    <w:uiPriority w:val="99"/>
    <w:rPr>
      <w:sz w:val="22"/>
      <w:szCs w:val="22"/>
      <w:lang w:eastAsia="en-US"/>
    </w:rPr>
    <w:tblPr>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CellMar>
        <w:top w:w="0" w:type="dxa"/>
        <w:left w:w="108" w:type="dxa"/>
        <w:bottom w:w="0" w:type="dxa"/>
        <w:right w:w="108" w:type="dxa"/>
      </w:tblCellMar>
    </w:tblPr>
    <w:tblStylePr w:type="firstRow">
      <w:rPr>
        <w:rFonts w:ascii="Arial" w:hAnsi="Arial"/>
        <w:b/>
        <w:color w:val="FFFFFF"/>
        <w:sz w:val="22"/>
      </w:rPr>
      <w:tcPr>
        <w:shd w:val="clear" w:color="F79646" w:fill="F79646"/>
      </w:tcPr>
    </w:tblStylePr>
    <w:tblStylePr w:type="lastRow">
      <w:rPr>
        <w:rFonts w:ascii="Arial" w:hAnsi="Arial"/>
        <w:b/>
        <w:color w:val="FFFFFF"/>
        <w:sz w:val="22"/>
      </w:rPr>
      <w:tcPr>
        <w:tcBorders>
          <w:top w:val="single" w:color="FFFFFF" w:sz="4" w:space="0"/>
        </w:tcBorders>
        <w:shd w:val="clear" w:color="F79646" w:fill="F79646"/>
      </w:tcPr>
    </w:tblStylePr>
    <w:tblStylePr w:type="firstCol">
      <w:rPr>
        <w:rFonts w:ascii="Arial" w:hAnsi="Arial"/>
        <w:b/>
        <w:color w:val="FFFFFF"/>
        <w:sz w:val="22"/>
      </w:rPr>
      <w:tcPr>
        <w:shd w:val="clear" w:color="F79646" w:fill="F79646"/>
      </w:tcPr>
    </w:tblStylePr>
    <w:tblStylePr w:type="lastCol">
      <w:rPr>
        <w:rFonts w:ascii="Arial" w:hAnsi="Arial"/>
        <w:b/>
        <w:color w:val="FFFFFF"/>
        <w:sz w:val="22"/>
      </w:rPr>
      <w:tcPr>
        <w:shd w:val="clear" w:color="F79646" w:fill="F79646"/>
      </w:tcPr>
    </w:tblStylePr>
    <w:tblStylePr w:type="band1Vert">
      <w:tcPr>
        <w:shd w:val="clear" w:color="FBCEAA" w:fill="FBCEAA"/>
      </w:tcPr>
    </w:tblStylePr>
    <w:tblStylePr w:type="band1Horz">
      <w:tcPr>
        <w:shd w:val="clear" w:color="FBCEAA" w:fill="FBCEAA"/>
      </w:tcPr>
    </w:tblStylePr>
  </w:style>
  <w:style w:type="table" w:customStyle="1" w:styleId="400">
    <w:name w:val="Таблица-сетка 6 цветная1"/>
    <w:basedOn w:val="13"/>
    <w:uiPriority w:val="99"/>
    <w:rPr>
      <w:sz w:val="22"/>
      <w:szCs w:val="22"/>
      <w:lang w:eastAsia="en-US"/>
    </w:rPr>
    <w:tblPr>
      <w:tblBorders>
        <w:top w:val="single" w:color="7F7F7F" w:sz="4" w:space="0"/>
        <w:left w:val="single" w:color="7F7F7F" w:sz="4" w:space="0"/>
        <w:bottom w:val="single" w:color="7F7F7F" w:sz="4" w:space="0"/>
        <w:right w:val="single" w:color="7F7F7F" w:sz="4" w:space="0"/>
        <w:insideH w:val="single" w:color="7F7F7F" w:sz="4" w:space="0"/>
        <w:insideV w:val="single" w:color="7F7F7F" w:sz="4" w:space="0"/>
      </w:tblBorders>
      <w:tblCellMar>
        <w:top w:w="0" w:type="dxa"/>
        <w:left w:w="108" w:type="dxa"/>
        <w:bottom w:w="0" w:type="dxa"/>
        <w:right w:w="108" w:type="dxa"/>
      </w:tblCellMar>
    </w:tblPr>
    <w:tblStylePr w:type="firstRow">
      <w:rPr>
        <w:b/>
        <w:color w:val="7F7F7F"/>
      </w:rPr>
      <w:tcPr>
        <w:tcBorders>
          <w:bottom w:val="single" w:color="7F7F7F" w:sz="12" w:space="0"/>
        </w:tcBorders>
      </w:tcPr>
    </w:tblStylePr>
    <w:tblStylePr w:type="lastRow">
      <w:rPr>
        <w:b/>
        <w:color w:val="7F7F7F"/>
      </w:rPr>
    </w:tblStylePr>
    <w:tblStylePr w:type="firstCol">
      <w:rPr>
        <w:b/>
        <w:color w:val="7F7F7F"/>
      </w:rPr>
    </w:tblStylePr>
    <w:tblStylePr w:type="lastCol">
      <w:rPr>
        <w:b/>
        <w:color w:val="7F7F7F"/>
      </w:rPr>
    </w:tblStylePr>
    <w:tblStylePr w:type="band1Vert">
      <w:tcPr>
        <w:shd w:val="clear" w:color="CBCBCB" w:fill="CBCBCB"/>
      </w:tcPr>
    </w:tblStylePr>
    <w:tblStylePr w:type="band1Horz">
      <w:rPr>
        <w:rFonts w:ascii="Arial" w:hAnsi="Arial"/>
        <w:color w:val="7F7F7F"/>
        <w:sz w:val="22"/>
      </w:rPr>
      <w:tcPr>
        <w:shd w:val="clear" w:color="CBCBCB" w:fill="CBCBCB"/>
      </w:tcPr>
    </w:tblStylePr>
    <w:tblStylePr w:type="band2Horz">
      <w:rPr>
        <w:rFonts w:ascii="Arial" w:hAnsi="Arial"/>
        <w:color w:val="7F7F7F"/>
        <w:sz w:val="22"/>
      </w:rPr>
    </w:tblStylePr>
  </w:style>
  <w:style w:type="table" w:customStyle="1" w:styleId="401">
    <w:name w:val="Grid Table 6 Colorful - Accent 1"/>
    <w:basedOn w:val="13"/>
    <w:uiPriority w:val="99"/>
    <w:rPr>
      <w:sz w:val="22"/>
      <w:szCs w:val="22"/>
      <w:lang w:eastAsia="en-US"/>
    </w:rPr>
    <w:tblPr>
      <w:tblBorders>
        <w:top w:val="single" w:color="A6BFDD" w:sz="4" w:space="0"/>
        <w:left w:val="single" w:color="A6BFDD" w:sz="4" w:space="0"/>
        <w:bottom w:val="single" w:color="A6BFDD" w:sz="4" w:space="0"/>
        <w:right w:val="single" w:color="A6BFDD" w:sz="4" w:space="0"/>
        <w:insideH w:val="single" w:color="A6BFDD" w:sz="4" w:space="0"/>
        <w:insideV w:val="single" w:color="A6BFDD" w:sz="4" w:space="0"/>
      </w:tblBorders>
      <w:tblCellMar>
        <w:top w:w="0" w:type="dxa"/>
        <w:left w:w="108" w:type="dxa"/>
        <w:bottom w:w="0" w:type="dxa"/>
        <w:right w:w="108" w:type="dxa"/>
      </w:tblCellMar>
    </w:tblPr>
    <w:tblStylePr w:type="firstRow">
      <w:rPr>
        <w:b/>
        <w:color w:val="A6BFDD"/>
      </w:rPr>
      <w:tcPr>
        <w:tcBorders>
          <w:bottom w:val="single" w:color="A6BFDD" w:sz="12" w:space="0"/>
        </w:tcBorders>
      </w:tcPr>
    </w:tblStylePr>
    <w:tblStylePr w:type="lastRow">
      <w:rPr>
        <w:b/>
        <w:color w:val="A6BFDD"/>
      </w:rPr>
    </w:tblStylePr>
    <w:tblStylePr w:type="firstCol">
      <w:rPr>
        <w:b/>
        <w:color w:val="A6BFDD"/>
      </w:rPr>
    </w:tblStylePr>
    <w:tblStylePr w:type="lastCol">
      <w:rPr>
        <w:b/>
        <w:color w:val="A6BFDD"/>
      </w:rPr>
    </w:tblStylePr>
    <w:tblStylePr w:type="band1Vert">
      <w:tcPr>
        <w:shd w:val="clear" w:color="DAE5F1" w:fill="DAE5F1"/>
      </w:tcPr>
    </w:tblStylePr>
    <w:tblStylePr w:type="band1Horz">
      <w:rPr>
        <w:rFonts w:ascii="Arial" w:hAnsi="Arial"/>
        <w:color w:val="A6BFDD"/>
        <w:sz w:val="22"/>
      </w:rPr>
      <w:tcPr>
        <w:shd w:val="clear" w:color="DAE5F1" w:fill="DAE5F1"/>
      </w:tcPr>
    </w:tblStylePr>
    <w:tblStylePr w:type="band2Horz">
      <w:rPr>
        <w:rFonts w:ascii="Arial" w:hAnsi="Arial"/>
        <w:color w:val="A6BFDD"/>
        <w:sz w:val="22"/>
      </w:rPr>
    </w:tblStylePr>
  </w:style>
  <w:style w:type="table" w:customStyle="1" w:styleId="402">
    <w:name w:val="Grid Table 6 Colorful - Accent 2"/>
    <w:basedOn w:val="13"/>
    <w:uiPriority w:val="99"/>
    <w:rPr>
      <w:sz w:val="22"/>
      <w:szCs w:val="22"/>
      <w:lang w:eastAsia="en-US"/>
    </w:rPr>
    <w:tblPr>
      <w:tblBorders>
        <w:top w:val="single" w:color="D99695" w:sz="4" w:space="0"/>
        <w:left w:val="single" w:color="D99695" w:sz="4" w:space="0"/>
        <w:bottom w:val="single" w:color="D99695" w:sz="4" w:space="0"/>
        <w:right w:val="single" w:color="D99695" w:sz="4" w:space="0"/>
        <w:insideH w:val="single" w:color="D99695" w:sz="4" w:space="0"/>
        <w:insideV w:val="single" w:color="D99695" w:sz="4" w:space="0"/>
      </w:tblBorders>
      <w:tblCellMar>
        <w:top w:w="0" w:type="dxa"/>
        <w:left w:w="108" w:type="dxa"/>
        <w:bottom w:w="0" w:type="dxa"/>
        <w:right w:w="108" w:type="dxa"/>
      </w:tblCellMar>
    </w:tblPr>
    <w:tblStylePr w:type="firstRow">
      <w:rPr>
        <w:b/>
        <w:color w:val="D99695"/>
      </w:rPr>
      <w:tcPr>
        <w:tcBorders>
          <w:bottom w:val="single" w:color="D99695" w:sz="12" w:space="0"/>
        </w:tcBorders>
      </w:tcPr>
    </w:tblStylePr>
    <w:tblStylePr w:type="lastRow">
      <w:rPr>
        <w:b/>
        <w:color w:val="D99695"/>
      </w:rPr>
    </w:tblStylePr>
    <w:tblStylePr w:type="firstCol">
      <w:rPr>
        <w:b/>
        <w:color w:val="D99695"/>
      </w:rPr>
    </w:tblStylePr>
    <w:tblStylePr w:type="lastCol">
      <w:rPr>
        <w:b/>
        <w:color w:val="D99695"/>
      </w:rPr>
    </w:tblStylePr>
    <w:tblStylePr w:type="band1Vert">
      <w:tcPr>
        <w:shd w:val="clear" w:color="F2DCDC" w:fill="F2DCDC"/>
      </w:tcPr>
    </w:tblStylePr>
    <w:tblStylePr w:type="band1Horz">
      <w:rPr>
        <w:rFonts w:ascii="Arial" w:hAnsi="Arial"/>
        <w:color w:val="D99695"/>
        <w:sz w:val="22"/>
      </w:rPr>
      <w:tcPr>
        <w:shd w:val="clear" w:color="F2DCDC" w:fill="F2DCDC"/>
      </w:tcPr>
    </w:tblStylePr>
    <w:tblStylePr w:type="band2Horz">
      <w:rPr>
        <w:rFonts w:ascii="Arial" w:hAnsi="Arial"/>
        <w:color w:val="D99695"/>
        <w:sz w:val="22"/>
      </w:rPr>
    </w:tblStylePr>
  </w:style>
  <w:style w:type="table" w:customStyle="1" w:styleId="403">
    <w:name w:val="Grid Table 6 Colorful - Accent 3"/>
    <w:basedOn w:val="13"/>
    <w:uiPriority w:val="99"/>
    <w:rPr>
      <w:sz w:val="22"/>
      <w:szCs w:val="22"/>
      <w:lang w:eastAsia="en-US"/>
    </w:rPr>
    <w:tblPr>
      <w:tblBorders>
        <w:top w:val="single" w:color="9ABB59" w:sz="4" w:space="0"/>
        <w:left w:val="single" w:color="9ABB59" w:sz="4" w:space="0"/>
        <w:bottom w:val="single" w:color="9ABB59" w:sz="4" w:space="0"/>
        <w:right w:val="single" w:color="9ABB59" w:sz="4" w:space="0"/>
        <w:insideH w:val="single" w:color="9ABB59" w:sz="4" w:space="0"/>
        <w:insideV w:val="single" w:color="9ABB59" w:sz="4" w:space="0"/>
      </w:tblBorders>
      <w:tblCellMar>
        <w:top w:w="0" w:type="dxa"/>
        <w:left w:w="108" w:type="dxa"/>
        <w:bottom w:w="0" w:type="dxa"/>
        <w:right w:w="108" w:type="dxa"/>
      </w:tblCellMar>
    </w:tblPr>
    <w:tblStylePr w:type="firstRow">
      <w:rPr>
        <w:b/>
        <w:color w:val="9ABB59"/>
      </w:rPr>
      <w:tcPr>
        <w:tcBorders>
          <w:bottom w:val="single" w:color="9ABB59" w:sz="12" w:space="0"/>
        </w:tcBorders>
      </w:tcPr>
    </w:tblStylePr>
    <w:tblStylePr w:type="lastRow">
      <w:rPr>
        <w:b/>
        <w:color w:val="9ABB59"/>
      </w:rPr>
    </w:tblStylePr>
    <w:tblStylePr w:type="firstCol">
      <w:rPr>
        <w:b/>
        <w:color w:val="9ABB59"/>
      </w:rPr>
    </w:tblStylePr>
    <w:tblStylePr w:type="lastCol">
      <w:rPr>
        <w:b/>
        <w:color w:val="9ABB59"/>
      </w:rPr>
    </w:tblStylePr>
    <w:tblStylePr w:type="band1Vert">
      <w:tcPr>
        <w:shd w:val="clear" w:color="EAF1DC" w:fill="EAF1DC"/>
      </w:tcPr>
    </w:tblStylePr>
    <w:tblStylePr w:type="band1Horz">
      <w:rPr>
        <w:rFonts w:ascii="Arial" w:hAnsi="Arial"/>
        <w:color w:val="9ABB59"/>
        <w:sz w:val="22"/>
      </w:rPr>
      <w:tcPr>
        <w:shd w:val="clear" w:color="EAF1DC" w:fill="EAF1DC"/>
      </w:tcPr>
    </w:tblStylePr>
    <w:tblStylePr w:type="band2Horz">
      <w:rPr>
        <w:rFonts w:ascii="Arial" w:hAnsi="Arial"/>
        <w:color w:val="9ABB59"/>
        <w:sz w:val="22"/>
      </w:rPr>
    </w:tblStylePr>
  </w:style>
  <w:style w:type="table" w:customStyle="1" w:styleId="404">
    <w:name w:val="Grid Table 6 Colorful - Accent 4"/>
    <w:basedOn w:val="13"/>
    <w:uiPriority w:val="99"/>
    <w:rPr>
      <w:sz w:val="22"/>
      <w:szCs w:val="22"/>
      <w:lang w:eastAsia="en-US"/>
    </w:rPr>
    <w:tblPr>
      <w:tblBorders>
        <w:top w:val="single" w:color="B2A1C6" w:sz="4" w:space="0"/>
        <w:left w:val="single" w:color="B2A1C6" w:sz="4" w:space="0"/>
        <w:bottom w:val="single" w:color="B2A1C6" w:sz="4" w:space="0"/>
        <w:right w:val="single" w:color="B2A1C6" w:sz="4" w:space="0"/>
        <w:insideH w:val="single" w:color="B2A1C6" w:sz="4" w:space="0"/>
        <w:insideV w:val="single" w:color="B2A1C6" w:sz="4" w:space="0"/>
      </w:tblBorders>
      <w:tblCellMar>
        <w:top w:w="0" w:type="dxa"/>
        <w:left w:w="108" w:type="dxa"/>
        <w:bottom w:w="0" w:type="dxa"/>
        <w:right w:w="108" w:type="dxa"/>
      </w:tblCellMar>
    </w:tblPr>
    <w:tblStylePr w:type="firstRow">
      <w:rPr>
        <w:b/>
        <w:color w:val="B2A1C6"/>
      </w:rPr>
      <w:tcPr>
        <w:tcBorders>
          <w:bottom w:val="single" w:color="B2A1C6" w:sz="12" w:space="0"/>
        </w:tcBorders>
      </w:tcPr>
    </w:tblStylePr>
    <w:tblStylePr w:type="lastRow">
      <w:rPr>
        <w:b/>
        <w:color w:val="B2A1C6"/>
      </w:rPr>
    </w:tblStylePr>
    <w:tblStylePr w:type="firstCol">
      <w:rPr>
        <w:b/>
        <w:color w:val="B2A1C6"/>
      </w:rPr>
    </w:tblStylePr>
    <w:tblStylePr w:type="lastCol">
      <w:rPr>
        <w:b/>
        <w:color w:val="B2A1C6"/>
      </w:rPr>
    </w:tblStylePr>
    <w:tblStylePr w:type="band1Vert">
      <w:tcPr>
        <w:shd w:val="clear" w:color="E5DFEC" w:fill="E5DFEC"/>
      </w:tcPr>
    </w:tblStylePr>
    <w:tblStylePr w:type="band1Horz">
      <w:rPr>
        <w:rFonts w:ascii="Arial" w:hAnsi="Arial"/>
        <w:color w:val="B2A1C6"/>
        <w:sz w:val="22"/>
      </w:rPr>
      <w:tcPr>
        <w:shd w:val="clear" w:color="E5DFEC" w:fill="E5DFEC"/>
      </w:tcPr>
    </w:tblStylePr>
    <w:tblStylePr w:type="band2Horz">
      <w:rPr>
        <w:rFonts w:ascii="Arial" w:hAnsi="Arial"/>
        <w:color w:val="B2A1C6"/>
        <w:sz w:val="22"/>
      </w:rPr>
    </w:tblStylePr>
  </w:style>
  <w:style w:type="table" w:customStyle="1" w:styleId="405">
    <w:name w:val="Grid Table 6 Colorful - Accent 5"/>
    <w:basedOn w:val="13"/>
    <w:uiPriority w:val="99"/>
    <w:rPr>
      <w:sz w:val="22"/>
      <w:szCs w:val="22"/>
      <w:lang w:eastAsia="en-US"/>
    </w:rPr>
    <w:tblPr>
      <w:tblBorders>
        <w:top w:val="single" w:color="4BACC6" w:sz="4" w:space="0"/>
        <w:left w:val="single" w:color="4BACC6" w:sz="4" w:space="0"/>
        <w:bottom w:val="single" w:color="4BACC6" w:sz="4" w:space="0"/>
        <w:right w:val="single" w:color="4BACC6" w:sz="4" w:space="0"/>
        <w:insideH w:val="single" w:color="4BACC6" w:sz="4" w:space="0"/>
        <w:insideV w:val="single" w:color="4BACC6" w:sz="4" w:space="0"/>
      </w:tblBorders>
      <w:tblCellMar>
        <w:top w:w="0" w:type="dxa"/>
        <w:left w:w="108" w:type="dxa"/>
        <w:bottom w:w="0" w:type="dxa"/>
        <w:right w:w="108" w:type="dxa"/>
      </w:tblCellMar>
    </w:tblPr>
    <w:tblStylePr w:type="firstRow">
      <w:rPr>
        <w:b/>
        <w:color w:val="266779"/>
      </w:rPr>
      <w:tcPr>
        <w:tcBorders>
          <w:bottom w:val="single" w:color="4BACC6" w:sz="12" w:space="0"/>
        </w:tcBorders>
      </w:tcPr>
    </w:tblStylePr>
    <w:tblStylePr w:type="lastRow">
      <w:rPr>
        <w:b/>
        <w:color w:val="266779"/>
      </w:rPr>
    </w:tblStylePr>
    <w:tblStylePr w:type="firstCol">
      <w:rPr>
        <w:b/>
        <w:color w:val="266779"/>
      </w:rPr>
    </w:tblStylePr>
    <w:tblStylePr w:type="lastCol">
      <w:rPr>
        <w:b/>
        <w:color w:val="266779"/>
      </w:rPr>
    </w:tblStylePr>
    <w:tblStylePr w:type="band1Vert">
      <w:tcPr>
        <w:shd w:val="clear" w:color="DAEEF3" w:fill="DAEEF3"/>
      </w:tcPr>
    </w:tblStylePr>
    <w:tblStylePr w:type="band1Horz">
      <w:rPr>
        <w:rFonts w:ascii="Arial" w:hAnsi="Arial"/>
        <w:color w:val="266779"/>
        <w:sz w:val="22"/>
      </w:rPr>
      <w:tcPr>
        <w:shd w:val="clear" w:color="DAEEF3" w:fill="DAEEF3"/>
      </w:tcPr>
    </w:tblStylePr>
    <w:tblStylePr w:type="band2Horz">
      <w:rPr>
        <w:rFonts w:ascii="Arial" w:hAnsi="Arial"/>
        <w:color w:val="266779"/>
        <w:sz w:val="22"/>
      </w:rPr>
    </w:tblStylePr>
  </w:style>
  <w:style w:type="table" w:customStyle="1" w:styleId="406">
    <w:name w:val="Grid Table 6 Colorful - Accent 6"/>
    <w:basedOn w:val="13"/>
    <w:uiPriority w:val="99"/>
    <w:rPr>
      <w:sz w:val="22"/>
      <w:szCs w:val="22"/>
      <w:lang w:eastAsia="en-US"/>
    </w:rPr>
    <w:tblPr>
      <w:tblBorders>
        <w:top w:val="single" w:color="F79646" w:sz="4" w:space="0"/>
        <w:left w:val="single" w:color="F79646" w:sz="4" w:space="0"/>
        <w:bottom w:val="single" w:color="F79646" w:sz="4" w:space="0"/>
        <w:right w:val="single" w:color="F79646" w:sz="4" w:space="0"/>
        <w:insideH w:val="single" w:color="F79646" w:sz="4" w:space="0"/>
        <w:insideV w:val="single" w:color="F79646" w:sz="4" w:space="0"/>
      </w:tblBorders>
      <w:tblCellMar>
        <w:top w:w="0" w:type="dxa"/>
        <w:left w:w="108" w:type="dxa"/>
        <w:bottom w:w="0" w:type="dxa"/>
        <w:right w:w="108" w:type="dxa"/>
      </w:tblCellMar>
    </w:tblPr>
    <w:tblStylePr w:type="firstRow">
      <w:rPr>
        <w:b/>
        <w:color w:val="266779"/>
      </w:rPr>
      <w:tcPr>
        <w:tcBorders>
          <w:bottom w:val="single" w:color="F79646" w:sz="12" w:space="0"/>
        </w:tcBorders>
      </w:tcPr>
    </w:tblStylePr>
    <w:tblStylePr w:type="lastRow">
      <w:rPr>
        <w:b/>
        <w:color w:val="266779"/>
      </w:rPr>
    </w:tblStylePr>
    <w:tblStylePr w:type="firstCol">
      <w:rPr>
        <w:b/>
        <w:color w:val="266779"/>
      </w:rPr>
    </w:tblStylePr>
    <w:tblStylePr w:type="lastCol">
      <w:rPr>
        <w:b/>
        <w:color w:val="266779"/>
      </w:rPr>
    </w:tblStylePr>
    <w:tblStylePr w:type="band1Vert">
      <w:tcPr>
        <w:shd w:val="clear" w:color="FDE9D8" w:fill="FDE9D8"/>
      </w:tcPr>
    </w:tblStylePr>
    <w:tblStylePr w:type="band1Horz">
      <w:rPr>
        <w:rFonts w:ascii="Arial" w:hAnsi="Arial"/>
        <w:color w:val="266779"/>
        <w:sz w:val="22"/>
      </w:rPr>
      <w:tcPr>
        <w:shd w:val="clear" w:color="FDE9D8" w:fill="FDE9D8"/>
      </w:tcPr>
    </w:tblStylePr>
    <w:tblStylePr w:type="band2Horz">
      <w:rPr>
        <w:rFonts w:ascii="Arial" w:hAnsi="Arial"/>
        <w:color w:val="266779"/>
        <w:sz w:val="22"/>
      </w:rPr>
    </w:tblStylePr>
  </w:style>
  <w:style w:type="table" w:customStyle="1" w:styleId="407">
    <w:name w:val="Таблица-сетка 7 цветная1"/>
    <w:basedOn w:val="13"/>
    <w:uiPriority w:val="99"/>
    <w:rPr>
      <w:sz w:val="22"/>
      <w:szCs w:val="22"/>
      <w:lang w:eastAsia="en-US"/>
    </w:rPr>
    <w:tblPr>
      <w:tblBorders>
        <w:bottom w:val="single" w:color="7F7F7F" w:sz="4" w:space="0"/>
        <w:right w:val="single" w:color="7F7F7F" w:sz="4" w:space="0"/>
        <w:insideH w:val="single" w:color="7F7F7F" w:sz="4" w:space="0"/>
        <w:insideV w:val="single" w:color="7F7F7F" w:sz="4" w:space="0"/>
      </w:tblBorders>
      <w:tblCellMar>
        <w:top w:w="0" w:type="dxa"/>
        <w:left w:w="108" w:type="dxa"/>
        <w:bottom w:w="0" w:type="dxa"/>
        <w:right w:w="108" w:type="dxa"/>
      </w:tblCellMar>
    </w:tblPr>
    <w:tblStylePr w:type="firstRow">
      <w:rPr>
        <w:rFonts w:ascii="Arial" w:hAnsi="Arial"/>
        <w:b/>
        <w:color w:val="7F7F7F"/>
        <w:sz w:val="22"/>
      </w:rPr>
      <w:tcPr>
        <w:tcBorders>
          <w:top w:val="nil"/>
          <w:left w:val="nil"/>
          <w:bottom w:val="single" w:color="7F7F7F" w:sz="4" w:space="0"/>
          <w:right w:val="nil"/>
        </w:tcBorders>
        <w:shd w:val="clear" w:color="FFFFFF" w:fill="FFFFFF"/>
      </w:tcPr>
    </w:tblStylePr>
    <w:tblStylePr w:type="lastRow">
      <w:rPr>
        <w:rFonts w:ascii="Arial" w:hAnsi="Arial"/>
        <w:b/>
        <w:color w:val="7F7F7F"/>
        <w:sz w:val="22"/>
      </w:rPr>
      <w:tcPr>
        <w:tcBorders>
          <w:top w:val="single" w:color="7F7F7F" w:sz="4" w:space="0"/>
          <w:left w:val="nil"/>
          <w:bottom w:val="nil"/>
          <w:right w:val="nil"/>
        </w:tcBorders>
        <w:shd w:val="clear" w:color="FFFFFF" w:fill="FFFFFF"/>
      </w:tcPr>
    </w:tblStylePr>
    <w:tblStylePr w:type="firstCol">
      <w:pPr>
        <w:jc w:val="right"/>
      </w:pPr>
      <w:rPr>
        <w:rFonts w:ascii="Arial" w:hAnsi="Arial"/>
        <w:i/>
        <w:color w:val="7F7F7F"/>
        <w:sz w:val="22"/>
      </w:rPr>
      <w:tcPr>
        <w:tcBorders>
          <w:top w:val="nil"/>
          <w:left w:val="nil"/>
          <w:bottom w:val="nil"/>
          <w:right w:val="single" w:color="7F7F7F" w:sz="4" w:space="0"/>
        </w:tcBorders>
        <w:shd w:val="clear" w:color="FFFFFF" w:fill="auto"/>
      </w:tcPr>
    </w:tblStylePr>
    <w:tblStylePr w:type="lastCol">
      <w:rPr>
        <w:rFonts w:ascii="Arial" w:hAnsi="Arial"/>
        <w:i/>
        <w:color w:val="7F7F7F"/>
        <w:sz w:val="22"/>
      </w:rPr>
      <w:tcPr>
        <w:tcBorders>
          <w:top w:val="nil"/>
          <w:left w:val="single" w:color="7F7F7F" w:sz="4" w:space="0"/>
          <w:bottom w:val="nil"/>
          <w:right w:val="nil"/>
        </w:tcBorders>
        <w:shd w:val="clear" w:color="FFFFFF" w:fill="auto"/>
      </w:tcPr>
    </w:tblStylePr>
    <w:tblStylePr w:type="band1Vert">
      <w:tcPr>
        <w:shd w:val="clear" w:color="F2F2F2" w:fill="F2F2F2"/>
      </w:tcPr>
    </w:tblStylePr>
    <w:tblStylePr w:type="band1Horz">
      <w:rPr>
        <w:rFonts w:ascii="Arial" w:hAnsi="Arial"/>
        <w:color w:val="7F7F7F"/>
        <w:sz w:val="22"/>
      </w:rPr>
      <w:tcPr>
        <w:shd w:val="clear" w:color="F2F2F2" w:fill="F2F2F2"/>
      </w:tcPr>
    </w:tblStylePr>
    <w:tblStylePr w:type="band2Horz">
      <w:rPr>
        <w:rFonts w:ascii="Arial" w:hAnsi="Arial"/>
        <w:color w:val="7F7F7F"/>
        <w:sz w:val="22"/>
      </w:rPr>
    </w:tblStylePr>
  </w:style>
  <w:style w:type="table" w:customStyle="1" w:styleId="408">
    <w:name w:val="Grid Table 7 Colorful - Accent 1"/>
    <w:basedOn w:val="13"/>
    <w:uiPriority w:val="99"/>
    <w:rPr>
      <w:sz w:val="22"/>
      <w:szCs w:val="22"/>
      <w:lang w:eastAsia="en-US"/>
    </w:rPr>
    <w:tblPr>
      <w:tblBorders>
        <w:bottom w:val="single" w:color="A6BFDD" w:sz="4" w:space="0"/>
        <w:right w:val="single" w:color="A6BFDD" w:sz="4" w:space="0"/>
        <w:insideH w:val="single" w:color="A6BFDD" w:sz="4" w:space="0"/>
        <w:insideV w:val="single" w:color="A6BFDD" w:sz="4" w:space="0"/>
      </w:tblBorders>
      <w:tblCellMar>
        <w:top w:w="0" w:type="dxa"/>
        <w:left w:w="108" w:type="dxa"/>
        <w:bottom w:w="0" w:type="dxa"/>
        <w:right w:w="108" w:type="dxa"/>
      </w:tblCellMar>
    </w:tblPr>
    <w:tblStylePr w:type="firstRow">
      <w:rPr>
        <w:rFonts w:ascii="Arial" w:hAnsi="Arial"/>
        <w:b/>
        <w:color w:val="A6BFDD"/>
        <w:sz w:val="22"/>
      </w:rPr>
      <w:tcPr>
        <w:tcBorders>
          <w:top w:val="nil"/>
          <w:left w:val="nil"/>
          <w:bottom w:val="single" w:color="A6BFDD" w:sz="4" w:space="0"/>
          <w:right w:val="nil"/>
        </w:tcBorders>
        <w:shd w:val="clear" w:color="FFFFFF" w:fill="FFFFFF"/>
      </w:tcPr>
    </w:tblStylePr>
    <w:tblStylePr w:type="lastRow">
      <w:rPr>
        <w:rFonts w:ascii="Arial" w:hAnsi="Arial"/>
        <w:b/>
        <w:color w:val="A6BFDD"/>
        <w:sz w:val="22"/>
      </w:rPr>
      <w:tcPr>
        <w:tcBorders>
          <w:top w:val="single" w:color="A6BFDD" w:sz="4" w:space="0"/>
          <w:left w:val="nil"/>
          <w:bottom w:val="nil"/>
          <w:right w:val="nil"/>
        </w:tcBorders>
        <w:shd w:val="clear" w:color="FFFFFF" w:fill="FFFFFF"/>
      </w:tcPr>
    </w:tblStylePr>
    <w:tblStylePr w:type="firstCol">
      <w:pPr>
        <w:jc w:val="right"/>
      </w:pPr>
      <w:rPr>
        <w:rFonts w:ascii="Arial" w:hAnsi="Arial"/>
        <w:i/>
        <w:color w:val="A6BFDD"/>
        <w:sz w:val="22"/>
      </w:rPr>
      <w:tcPr>
        <w:tcBorders>
          <w:top w:val="nil"/>
          <w:left w:val="nil"/>
          <w:bottom w:val="nil"/>
          <w:right w:val="single" w:color="A6BFDD" w:sz="4" w:space="0"/>
        </w:tcBorders>
        <w:shd w:val="clear" w:color="FFFFFF" w:fill="auto"/>
      </w:tcPr>
    </w:tblStylePr>
    <w:tblStylePr w:type="lastCol">
      <w:rPr>
        <w:rFonts w:ascii="Arial" w:hAnsi="Arial"/>
        <w:i/>
        <w:color w:val="A6BFDD"/>
        <w:sz w:val="22"/>
      </w:rPr>
      <w:tcPr>
        <w:tcBorders>
          <w:top w:val="nil"/>
          <w:left w:val="single" w:color="A6BFDD" w:sz="4" w:space="0"/>
          <w:bottom w:val="nil"/>
          <w:right w:val="nil"/>
        </w:tcBorders>
        <w:shd w:val="clear" w:color="FFFFFF" w:fill="auto"/>
      </w:tcPr>
    </w:tblStylePr>
    <w:tblStylePr w:type="band1Vert">
      <w:tcPr>
        <w:shd w:val="clear" w:color="DAE5F1" w:fill="DAE5F1"/>
      </w:tcPr>
    </w:tblStylePr>
    <w:tblStylePr w:type="band1Horz">
      <w:rPr>
        <w:rFonts w:ascii="Arial" w:hAnsi="Arial"/>
        <w:color w:val="A6BFDD"/>
        <w:sz w:val="22"/>
      </w:rPr>
      <w:tcPr>
        <w:shd w:val="clear" w:color="DAE5F1" w:fill="DAE5F1"/>
      </w:tcPr>
    </w:tblStylePr>
    <w:tblStylePr w:type="band2Horz">
      <w:rPr>
        <w:rFonts w:ascii="Arial" w:hAnsi="Arial"/>
        <w:color w:val="A6BFDD"/>
        <w:sz w:val="22"/>
      </w:rPr>
    </w:tblStylePr>
  </w:style>
  <w:style w:type="table" w:customStyle="1" w:styleId="409">
    <w:name w:val="Grid Table 7 Colorful - Accent 2"/>
    <w:basedOn w:val="13"/>
    <w:uiPriority w:val="99"/>
    <w:rPr>
      <w:sz w:val="22"/>
      <w:szCs w:val="22"/>
      <w:lang w:eastAsia="en-US"/>
    </w:rPr>
    <w:tblPr>
      <w:tblBorders>
        <w:bottom w:val="single" w:color="D99695" w:sz="4" w:space="0"/>
        <w:right w:val="single" w:color="D99695" w:sz="4" w:space="0"/>
        <w:insideH w:val="single" w:color="D99695" w:sz="4" w:space="0"/>
        <w:insideV w:val="single" w:color="D99695" w:sz="4" w:space="0"/>
      </w:tblBorders>
      <w:tblCellMar>
        <w:top w:w="0" w:type="dxa"/>
        <w:left w:w="108" w:type="dxa"/>
        <w:bottom w:w="0" w:type="dxa"/>
        <w:right w:w="108" w:type="dxa"/>
      </w:tblCellMar>
    </w:tblPr>
    <w:tblStylePr w:type="firstRow">
      <w:rPr>
        <w:rFonts w:ascii="Arial" w:hAnsi="Arial"/>
        <w:b/>
        <w:color w:val="D99695"/>
        <w:sz w:val="22"/>
      </w:rPr>
      <w:tcPr>
        <w:tcBorders>
          <w:top w:val="nil"/>
          <w:left w:val="nil"/>
          <w:bottom w:val="single" w:color="D99695" w:sz="4" w:space="0"/>
          <w:right w:val="nil"/>
        </w:tcBorders>
        <w:shd w:val="clear" w:color="FFFFFF" w:fill="FFFFFF"/>
      </w:tcPr>
    </w:tblStylePr>
    <w:tblStylePr w:type="lastRow">
      <w:rPr>
        <w:rFonts w:ascii="Arial" w:hAnsi="Arial"/>
        <w:b/>
        <w:color w:val="D99695"/>
        <w:sz w:val="22"/>
      </w:rPr>
      <w:tcPr>
        <w:tcBorders>
          <w:top w:val="single" w:color="D99695" w:sz="4" w:space="0"/>
          <w:left w:val="nil"/>
          <w:bottom w:val="nil"/>
          <w:right w:val="nil"/>
        </w:tcBorders>
        <w:shd w:val="clear" w:color="FFFFFF" w:fill="FFFFFF"/>
      </w:tcPr>
    </w:tblStylePr>
    <w:tblStylePr w:type="firstCol">
      <w:pPr>
        <w:jc w:val="right"/>
      </w:pPr>
      <w:rPr>
        <w:rFonts w:ascii="Arial" w:hAnsi="Arial"/>
        <w:i/>
        <w:color w:val="D99695"/>
        <w:sz w:val="22"/>
      </w:rPr>
      <w:tcPr>
        <w:tcBorders>
          <w:top w:val="nil"/>
          <w:left w:val="nil"/>
          <w:bottom w:val="nil"/>
          <w:right w:val="single" w:color="D99695" w:sz="4" w:space="0"/>
        </w:tcBorders>
        <w:shd w:val="clear" w:color="FFFFFF" w:fill="auto"/>
      </w:tcPr>
    </w:tblStylePr>
    <w:tblStylePr w:type="lastCol">
      <w:rPr>
        <w:rFonts w:ascii="Arial" w:hAnsi="Arial"/>
        <w:i/>
        <w:color w:val="D99695"/>
        <w:sz w:val="22"/>
      </w:rPr>
      <w:tcPr>
        <w:tcBorders>
          <w:top w:val="nil"/>
          <w:left w:val="single" w:color="D99695" w:sz="4" w:space="0"/>
          <w:bottom w:val="nil"/>
          <w:right w:val="nil"/>
        </w:tcBorders>
        <w:shd w:val="clear" w:color="FFFFFF" w:fill="auto"/>
      </w:tcPr>
    </w:tblStylePr>
    <w:tblStylePr w:type="band1Vert">
      <w:tcPr>
        <w:shd w:val="clear" w:color="F2DCDC" w:fill="F2DCDC"/>
      </w:tcPr>
    </w:tblStylePr>
    <w:tblStylePr w:type="band1Horz">
      <w:rPr>
        <w:rFonts w:ascii="Arial" w:hAnsi="Arial"/>
        <w:color w:val="D99695"/>
        <w:sz w:val="22"/>
      </w:rPr>
      <w:tcPr>
        <w:shd w:val="clear" w:color="F2DCDC" w:fill="F2DCDC"/>
      </w:tcPr>
    </w:tblStylePr>
    <w:tblStylePr w:type="band2Horz">
      <w:rPr>
        <w:rFonts w:ascii="Arial" w:hAnsi="Arial"/>
        <w:color w:val="D99695"/>
        <w:sz w:val="22"/>
      </w:rPr>
    </w:tblStylePr>
  </w:style>
  <w:style w:type="table" w:customStyle="1" w:styleId="410">
    <w:name w:val="Grid Table 7 Colorful - Accent 3"/>
    <w:basedOn w:val="13"/>
    <w:uiPriority w:val="99"/>
    <w:rPr>
      <w:sz w:val="22"/>
      <w:szCs w:val="22"/>
      <w:lang w:eastAsia="en-US"/>
    </w:rPr>
    <w:tblPr>
      <w:tblBorders>
        <w:bottom w:val="single" w:color="9ABB59" w:sz="4" w:space="0"/>
        <w:right w:val="single" w:color="9ABB59" w:sz="4" w:space="0"/>
        <w:insideH w:val="single" w:color="9ABB59" w:sz="4" w:space="0"/>
        <w:insideV w:val="single" w:color="9ABB59" w:sz="4" w:space="0"/>
      </w:tblBorders>
      <w:tblCellMar>
        <w:top w:w="0" w:type="dxa"/>
        <w:left w:w="108" w:type="dxa"/>
        <w:bottom w:w="0" w:type="dxa"/>
        <w:right w:w="108" w:type="dxa"/>
      </w:tblCellMar>
    </w:tblPr>
    <w:tblStylePr w:type="firstRow">
      <w:rPr>
        <w:rFonts w:ascii="Arial" w:hAnsi="Arial"/>
        <w:b/>
        <w:color w:val="9ABB59"/>
        <w:sz w:val="22"/>
      </w:rPr>
      <w:tcPr>
        <w:tcBorders>
          <w:top w:val="nil"/>
          <w:left w:val="nil"/>
          <w:bottom w:val="single" w:color="9ABB59" w:sz="4" w:space="0"/>
          <w:right w:val="nil"/>
        </w:tcBorders>
        <w:shd w:val="clear" w:color="FFFFFF" w:fill="FFFFFF"/>
      </w:tcPr>
    </w:tblStylePr>
    <w:tblStylePr w:type="lastRow">
      <w:rPr>
        <w:rFonts w:ascii="Arial" w:hAnsi="Arial"/>
        <w:b/>
        <w:color w:val="9ABB59"/>
        <w:sz w:val="22"/>
      </w:rPr>
      <w:tcPr>
        <w:tcBorders>
          <w:top w:val="single" w:color="9ABB59" w:sz="4" w:space="0"/>
          <w:left w:val="nil"/>
          <w:bottom w:val="nil"/>
          <w:right w:val="nil"/>
        </w:tcBorders>
        <w:shd w:val="clear" w:color="FFFFFF" w:fill="FFFFFF"/>
      </w:tcPr>
    </w:tblStylePr>
    <w:tblStylePr w:type="firstCol">
      <w:pPr>
        <w:jc w:val="right"/>
      </w:pPr>
      <w:rPr>
        <w:rFonts w:ascii="Arial" w:hAnsi="Arial"/>
        <w:i/>
        <w:color w:val="9ABB59"/>
        <w:sz w:val="22"/>
      </w:rPr>
      <w:tcPr>
        <w:tcBorders>
          <w:top w:val="nil"/>
          <w:left w:val="nil"/>
          <w:bottom w:val="nil"/>
          <w:right w:val="single" w:color="9ABB59" w:sz="4" w:space="0"/>
        </w:tcBorders>
        <w:shd w:val="clear" w:color="FFFFFF" w:fill="auto"/>
      </w:tcPr>
    </w:tblStylePr>
    <w:tblStylePr w:type="lastCol">
      <w:rPr>
        <w:rFonts w:ascii="Arial" w:hAnsi="Arial"/>
        <w:i/>
        <w:color w:val="9ABB59"/>
        <w:sz w:val="22"/>
      </w:rPr>
      <w:tcPr>
        <w:tcBorders>
          <w:top w:val="nil"/>
          <w:left w:val="single" w:color="9ABB59" w:sz="4" w:space="0"/>
          <w:bottom w:val="nil"/>
          <w:right w:val="nil"/>
        </w:tcBorders>
        <w:shd w:val="clear" w:color="FFFFFF" w:fill="auto"/>
      </w:tcPr>
    </w:tblStylePr>
    <w:tblStylePr w:type="band1Vert">
      <w:tcPr>
        <w:shd w:val="clear" w:color="EAF1DC" w:fill="EAF1DC"/>
      </w:tcPr>
    </w:tblStylePr>
    <w:tblStylePr w:type="band1Horz">
      <w:rPr>
        <w:rFonts w:ascii="Arial" w:hAnsi="Arial"/>
        <w:color w:val="9ABB59"/>
        <w:sz w:val="22"/>
      </w:rPr>
      <w:tcPr>
        <w:shd w:val="clear" w:color="EAF1DC" w:fill="EAF1DC"/>
      </w:tcPr>
    </w:tblStylePr>
    <w:tblStylePr w:type="band2Horz">
      <w:rPr>
        <w:rFonts w:ascii="Arial" w:hAnsi="Arial"/>
        <w:color w:val="9ABB59"/>
        <w:sz w:val="22"/>
      </w:rPr>
    </w:tblStylePr>
  </w:style>
  <w:style w:type="table" w:customStyle="1" w:styleId="411">
    <w:name w:val="Grid Table 7 Colorful - Accent 4"/>
    <w:basedOn w:val="13"/>
    <w:uiPriority w:val="99"/>
    <w:rPr>
      <w:sz w:val="22"/>
      <w:szCs w:val="22"/>
      <w:lang w:eastAsia="en-US"/>
    </w:rPr>
    <w:tblPr>
      <w:tblBorders>
        <w:bottom w:val="single" w:color="B2A1C6" w:sz="4" w:space="0"/>
        <w:right w:val="single" w:color="B2A1C6" w:sz="4" w:space="0"/>
        <w:insideH w:val="single" w:color="B2A1C6" w:sz="4" w:space="0"/>
        <w:insideV w:val="single" w:color="B2A1C6" w:sz="4" w:space="0"/>
      </w:tblBorders>
      <w:tblCellMar>
        <w:top w:w="0" w:type="dxa"/>
        <w:left w:w="108" w:type="dxa"/>
        <w:bottom w:w="0" w:type="dxa"/>
        <w:right w:w="108" w:type="dxa"/>
      </w:tblCellMar>
    </w:tblPr>
    <w:tblStylePr w:type="firstRow">
      <w:rPr>
        <w:rFonts w:ascii="Arial" w:hAnsi="Arial"/>
        <w:b/>
        <w:color w:val="B2A1C6"/>
        <w:sz w:val="22"/>
      </w:rPr>
      <w:tcPr>
        <w:tcBorders>
          <w:top w:val="nil"/>
          <w:left w:val="nil"/>
          <w:bottom w:val="single" w:color="B2A1C6" w:sz="4" w:space="0"/>
          <w:right w:val="nil"/>
        </w:tcBorders>
        <w:shd w:val="clear" w:color="FFFFFF" w:fill="FFFFFF"/>
      </w:tcPr>
    </w:tblStylePr>
    <w:tblStylePr w:type="lastRow">
      <w:rPr>
        <w:rFonts w:ascii="Arial" w:hAnsi="Arial"/>
        <w:b/>
        <w:color w:val="B2A1C6"/>
        <w:sz w:val="22"/>
      </w:rPr>
      <w:tcPr>
        <w:tcBorders>
          <w:top w:val="single" w:color="B2A1C6" w:sz="4" w:space="0"/>
          <w:left w:val="nil"/>
          <w:bottom w:val="nil"/>
          <w:right w:val="nil"/>
        </w:tcBorders>
        <w:shd w:val="clear" w:color="FFFFFF" w:fill="FFFFFF"/>
      </w:tcPr>
    </w:tblStylePr>
    <w:tblStylePr w:type="firstCol">
      <w:pPr>
        <w:jc w:val="right"/>
      </w:pPr>
      <w:rPr>
        <w:rFonts w:ascii="Arial" w:hAnsi="Arial"/>
        <w:i/>
        <w:color w:val="B2A1C6"/>
        <w:sz w:val="22"/>
      </w:rPr>
      <w:tcPr>
        <w:tcBorders>
          <w:top w:val="nil"/>
          <w:left w:val="nil"/>
          <w:bottom w:val="nil"/>
          <w:right w:val="single" w:color="B2A1C6" w:sz="4" w:space="0"/>
        </w:tcBorders>
        <w:shd w:val="clear" w:color="FFFFFF" w:fill="auto"/>
      </w:tcPr>
    </w:tblStylePr>
    <w:tblStylePr w:type="lastCol">
      <w:rPr>
        <w:rFonts w:ascii="Arial" w:hAnsi="Arial"/>
        <w:i/>
        <w:color w:val="B2A1C6"/>
        <w:sz w:val="22"/>
      </w:rPr>
      <w:tcPr>
        <w:tcBorders>
          <w:top w:val="nil"/>
          <w:left w:val="single" w:color="B2A1C6" w:sz="4" w:space="0"/>
          <w:bottom w:val="nil"/>
          <w:right w:val="nil"/>
        </w:tcBorders>
        <w:shd w:val="clear" w:color="FFFFFF" w:fill="auto"/>
      </w:tcPr>
    </w:tblStylePr>
    <w:tblStylePr w:type="band1Vert">
      <w:tcPr>
        <w:shd w:val="clear" w:color="E5DFEC" w:fill="E5DFEC"/>
      </w:tcPr>
    </w:tblStylePr>
    <w:tblStylePr w:type="band1Horz">
      <w:rPr>
        <w:rFonts w:ascii="Arial" w:hAnsi="Arial"/>
        <w:color w:val="B2A1C6"/>
        <w:sz w:val="22"/>
      </w:rPr>
      <w:tcPr>
        <w:shd w:val="clear" w:color="E5DFEC" w:fill="E5DFEC"/>
      </w:tcPr>
    </w:tblStylePr>
    <w:tblStylePr w:type="band2Horz">
      <w:rPr>
        <w:rFonts w:ascii="Arial" w:hAnsi="Arial"/>
        <w:color w:val="B2A1C6"/>
        <w:sz w:val="22"/>
      </w:rPr>
    </w:tblStylePr>
  </w:style>
  <w:style w:type="table" w:customStyle="1" w:styleId="412">
    <w:name w:val="Grid Table 7 Colorful - Accent 5"/>
    <w:basedOn w:val="13"/>
    <w:uiPriority w:val="99"/>
    <w:rPr>
      <w:sz w:val="22"/>
      <w:szCs w:val="22"/>
      <w:lang w:eastAsia="en-US"/>
    </w:rPr>
    <w:tblPr>
      <w:tblBorders>
        <w:bottom w:val="single" w:color="99D0DE" w:sz="4" w:space="0"/>
        <w:right w:val="single" w:color="99D0DE" w:sz="4" w:space="0"/>
        <w:insideH w:val="single" w:color="99D0DE" w:sz="4" w:space="0"/>
        <w:insideV w:val="single" w:color="99D0DE" w:sz="4" w:space="0"/>
      </w:tblBorders>
      <w:tblCellMar>
        <w:top w:w="0" w:type="dxa"/>
        <w:left w:w="108" w:type="dxa"/>
        <w:bottom w:w="0" w:type="dxa"/>
        <w:right w:w="108" w:type="dxa"/>
      </w:tblCellMar>
    </w:tblPr>
    <w:tblStylePr w:type="firstRow">
      <w:rPr>
        <w:rFonts w:ascii="Arial" w:hAnsi="Arial"/>
        <w:b/>
        <w:color w:val="266779"/>
        <w:sz w:val="22"/>
      </w:rPr>
      <w:tcPr>
        <w:tcBorders>
          <w:top w:val="nil"/>
          <w:left w:val="nil"/>
          <w:bottom w:val="single" w:color="99D0DE" w:sz="4" w:space="0"/>
          <w:right w:val="nil"/>
        </w:tcBorders>
        <w:shd w:val="clear" w:color="FFFFFF" w:fill="FFFFFF"/>
      </w:tcPr>
    </w:tblStylePr>
    <w:tblStylePr w:type="lastRow">
      <w:rPr>
        <w:rFonts w:ascii="Arial" w:hAnsi="Arial"/>
        <w:b/>
        <w:color w:val="266779"/>
        <w:sz w:val="22"/>
      </w:rPr>
      <w:tcPr>
        <w:tcBorders>
          <w:top w:val="single" w:color="99D0DE" w:sz="4" w:space="0"/>
          <w:left w:val="nil"/>
          <w:bottom w:val="nil"/>
          <w:right w:val="nil"/>
        </w:tcBorders>
        <w:shd w:val="clear" w:color="FFFFFF" w:fill="FFFFFF"/>
      </w:tcPr>
    </w:tblStylePr>
    <w:tblStylePr w:type="firstCol">
      <w:pPr>
        <w:jc w:val="right"/>
      </w:pPr>
      <w:rPr>
        <w:rFonts w:ascii="Arial" w:hAnsi="Arial"/>
        <w:i/>
        <w:color w:val="266779"/>
        <w:sz w:val="22"/>
      </w:rPr>
      <w:tcPr>
        <w:tcBorders>
          <w:top w:val="nil"/>
          <w:left w:val="nil"/>
          <w:bottom w:val="nil"/>
          <w:right w:val="single" w:color="99D0DE" w:sz="4" w:space="0"/>
        </w:tcBorders>
        <w:shd w:val="clear" w:color="FFFFFF" w:fill="auto"/>
      </w:tcPr>
    </w:tblStylePr>
    <w:tblStylePr w:type="lastCol">
      <w:rPr>
        <w:rFonts w:ascii="Arial" w:hAnsi="Arial"/>
        <w:i/>
        <w:color w:val="266779"/>
        <w:sz w:val="22"/>
      </w:rPr>
      <w:tcPr>
        <w:tcBorders>
          <w:top w:val="nil"/>
          <w:left w:val="single" w:color="99D0DE" w:sz="4" w:space="0"/>
          <w:bottom w:val="nil"/>
          <w:right w:val="nil"/>
        </w:tcBorders>
        <w:shd w:val="clear" w:color="FFFFFF" w:fill="auto"/>
      </w:tcPr>
    </w:tblStylePr>
    <w:tblStylePr w:type="band1Vert">
      <w:tcPr>
        <w:shd w:val="clear" w:color="DAEEF3" w:fill="DAEEF3"/>
      </w:tcPr>
    </w:tblStylePr>
    <w:tblStylePr w:type="band1Horz">
      <w:rPr>
        <w:rFonts w:ascii="Arial" w:hAnsi="Arial"/>
        <w:color w:val="266779"/>
        <w:sz w:val="22"/>
      </w:rPr>
      <w:tcPr>
        <w:shd w:val="clear" w:color="DAEEF3" w:fill="DAEEF3"/>
      </w:tcPr>
    </w:tblStylePr>
    <w:tblStylePr w:type="band2Horz">
      <w:rPr>
        <w:rFonts w:ascii="Arial" w:hAnsi="Arial"/>
        <w:color w:val="266779"/>
        <w:sz w:val="22"/>
      </w:rPr>
    </w:tblStylePr>
  </w:style>
  <w:style w:type="table" w:customStyle="1" w:styleId="413">
    <w:name w:val="Grid Table 7 Colorful - Accent 6"/>
    <w:basedOn w:val="13"/>
    <w:uiPriority w:val="99"/>
    <w:rPr>
      <w:sz w:val="22"/>
      <w:szCs w:val="22"/>
      <w:lang w:eastAsia="en-US"/>
    </w:rPr>
    <w:tblPr>
      <w:tblBorders>
        <w:bottom w:val="single" w:color="FAC396" w:sz="4" w:space="0"/>
        <w:right w:val="single" w:color="FAC396" w:sz="4" w:space="0"/>
        <w:insideH w:val="single" w:color="FAC396" w:sz="4" w:space="0"/>
        <w:insideV w:val="single" w:color="FAC396" w:sz="4" w:space="0"/>
      </w:tblBorders>
      <w:tblCellMar>
        <w:top w:w="0" w:type="dxa"/>
        <w:left w:w="108" w:type="dxa"/>
        <w:bottom w:w="0" w:type="dxa"/>
        <w:right w:w="108" w:type="dxa"/>
      </w:tblCellMar>
    </w:tblPr>
    <w:tblStylePr w:type="firstRow">
      <w:rPr>
        <w:rFonts w:ascii="Arial" w:hAnsi="Arial"/>
        <w:b/>
        <w:color w:val="B15407"/>
        <w:sz w:val="22"/>
      </w:rPr>
      <w:tcPr>
        <w:tcBorders>
          <w:top w:val="nil"/>
          <w:left w:val="nil"/>
          <w:bottom w:val="single" w:color="FAC396" w:sz="4" w:space="0"/>
          <w:right w:val="nil"/>
        </w:tcBorders>
        <w:shd w:val="clear" w:color="FFFFFF" w:fill="FFFFFF"/>
      </w:tcPr>
    </w:tblStylePr>
    <w:tblStylePr w:type="lastRow">
      <w:rPr>
        <w:rFonts w:ascii="Arial" w:hAnsi="Arial"/>
        <w:b/>
        <w:color w:val="B15407"/>
        <w:sz w:val="22"/>
      </w:rPr>
      <w:tcPr>
        <w:tcBorders>
          <w:top w:val="single" w:color="FAC396" w:sz="4" w:space="0"/>
          <w:left w:val="nil"/>
          <w:bottom w:val="nil"/>
          <w:right w:val="nil"/>
        </w:tcBorders>
        <w:shd w:val="clear" w:color="FFFFFF" w:fill="FFFFFF"/>
      </w:tcPr>
    </w:tblStylePr>
    <w:tblStylePr w:type="firstCol">
      <w:pPr>
        <w:jc w:val="right"/>
      </w:pPr>
      <w:rPr>
        <w:rFonts w:ascii="Arial" w:hAnsi="Arial"/>
        <w:i/>
        <w:color w:val="B15407"/>
        <w:sz w:val="22"/>
      </w:rPr>
      <w:tcPr>
        <w:tcBorders>
          <w:top w:val="nil"/>
          <w:left w:val="nil"/>
          <w:bottom w:val="nil"/>
          <w:right w:val="single" w:color="FAC396" w:sz="4" w:space="0"/>
        </w:tcBorders>
        <w:shd w:val="clear" w:color="FFFFFF" w:fill="auto"/>
      </w:tcPr>
    </w:tblStylePr>
    <w:tblStylePr w:type="lastCol">
      <w:rPr>
        <w:rFonts w:ascii="Arial" w:hAnsi="Arial"/>
        <w:i/>
        <w:color w:val="B15407"/>
        <w:sz w:val="22"/>
      </w:rPr>
      <w:tcPr>
        <w:tcBorders>
          <w:top w:val="nil"/>
          <w:left w:val="single" w:color="FAC396" w:sz="4" w:space="0"/>
          <w:bottom w:val="nil"/>
          <w:right w:val="nil"/>
        </w:tcBorders>
        <w:shd w:val="clear" w:color="FFFFFF" w:fill="auto"/>
      </w:tcPr>
    </w:tblStylePr>
    <w:tblStylePr w:type="band1Vert">
      <w:tcPr>
        <w:shd w:val="clear" w:color="FDE9D8" w:fill="FDE9D8"/>
      </w:tcPr>
    </w:tblStylePr>
    <w:tblStylePr w:type="band1Horz">
      <w:rPr>
        <w:rFonts w:ascii="Arial" w:hAnsi="Arial"/>
        <w:color w:val="B15407"/>
        <w:sz w:val="22"/>
      </w:rPr>
      <w:tcPr>
        <w:shd w:val="clear" w:color="FDE9D8" w:fill="FDE9D8"/>
      </w:tcPr>
    </w:tblStylePr>
    <w:tblStylePr w:type="band2Horz">
      <w:rPr>
        <w:rFonts w:ascii="Arial" w:hAnsi="Arial"/>
        <w:color w:val="B15407"/>
        <w:sz w:val="22"/>
      </w:rPr>
    </w:tblStylePr>
  </w:style>
  <w:style w:type="table" w:customStyle="1" w:styleId="414">
    <w:name w:val="Список-таблица 1 светлая1"/>
    <w:basedOn w:val="13"/>
    <w:uiPriority w:val="99"/>
    <w:rPr>
      <w:sz w:val="22"/>
      <w:szCs w:val="22"/>
      <w:lang w:eastAsia="en-US"/>
    </w:rPr>
    <w:tblPr>
      <w:tblCellMar>
        <w:top w:w="0" w:type="dxa"/>
        <w:left w:w="108" w:type="dxa"/>
        <w:bottom w:w="0" w:type="dxa"/>
        <w:right w:w="108" w:type="dxa"/>
      </w:tblCellMar>
    </w:tblPr>
    <w:tblStylePr w:type="firstRow">
      <w:rPr>
        <w:b/>
        <w:color w:val="404040"/>
      </w:rPr>
      <w:tcPr>
        <w:tcBorders>
          <w:top w:val="nil"/>
          <w:left w:val="nil"/>
          <w:bottom w:val="single" w:color="000000" w:sz="4" w:space="0"/>
          <w:right w:val="nil"/>
        </w:tcBorders>
      </w:tcPr>
    </w:tblStylePr>
    <w:tblStylePr w:type="lastRow">
      <w:rPr>
        <w:b/>
        <w:color w:val="404040"/>
      </w:rPr>
      <w:tcPr>
        <w:tcBorders>
          <w:top w:val="single" w:color="000000" w:sz="4" w:space="0"/>
          <w:left w:val="nil"/>
          <w:bottom w:val="nil"/>
          <w:right w:val="nil"/>
        </w:tcBorders>
      </w:tcPr>
    </w:tblStylePr>
    <w:tblStylePr w:type="firstCol">
      <w:rPr>
        <w:b/>
        <w:color w:val="404040"/>
      </w:rPr>
    </w:tblStylePr>
    <w:tblStylePr w:type="lastCol">
      <w:rPr>
        <w:b/>
        <w:color w:val="404040"/>
      </w:rPr>
    </w:tblStylePr>
    <w:tblStylePr w:type="band1Vert">
      <w:tcPr>
        <w:shd w:val="clear" w:color="BFBFBF" w:fill="BFBFBF"/>
      </w:tcPr>
    </w:tblStylePr>
    <w:tblStylePr w:type="band1Horz">
      <w:tcPr>
        <w:shd w:val="clear" w:color="BFBFBF" w:fill="BFBFBF"/>
      </w:tcPr>
    </w:tblStylePr>
  </w:style>
  <w:style w:type="table" w:customStyle="1" w:styleId="415">
    <w:name w:val="List Table 1 Light - Accent 1"/>
    <w:basedOn w:val="13"/>
    <w:uiPriority w:val="99"/>
    <w:rPr>
      <w:sz w:val="22"/>
      <w:szCs w:val="22"/>
      <w:lang w:eastAsia="en-US"/>
    </w:rPr>
    <w:tblPr>
      <w:tblCellMar>
        <w:top w:w="0" w:type="dxa"/>
        <w:left w:w="108" w:type="dxa"/>
        <w:bottom w:w="0" w:type="dxa"/>
        <w:right w:w="108" w:type="dxa"/>
      </w:tblCellMar>
    </w:tblPr>
    <w:tblStylePr w:type="firstRow">
      <w:rPr>
        <w:b/>
        <w:color w:val="404040"/>
      </w:rPr>
      <w:tcPr>
        <w:tcBorders>
          <w:top w:val="nil"/>
          <w:left w:val="nil"/>
          <w:bottom w:val="single" w:color="4F81BD" w:sz="4" w:space="0"/>
          <w:right w:val="nil"/>
        </w:tcBorders>
      </w:tcPr>
    </w:tblStylePr>
    <w:tblStylePr w:type="lastRow">
      <w:rPr>
        <w:b/>
        <w:color w:val="404040"/>
      </w:rPr>
      <w:tcPr>
        <w:tcBorders>
          <w:top w:val="single" w:color="4F81BD" w:sz="4" w:space="0"/>
          <w:left w:val="nil"/>
          <w:bottom w:val="nil"/>
          <w:right w:val="nil"/>
        </w:tcBorders>
      </w:tcPr>
    </w:tblStylePr>
    <w:tblStylePr w:type="firstCol">
      <w:rPr>
        <w:b/>
        <w:color w:val="404040"/>
      </w:rPr>
    </w:tblStylePr>
    <w:tblStylePr w:type="lastCol">
      <w:rPr>
        <w:b/>
        <w:color w:val="404040"/>
      </w:rPr>
    </w:tblStylePr>
    <w:tblStylePr w:type="band1Vert">
      <w:tcPr>
        <w:shd w:val="clear" w:color="D2DFEE" w:fill="D2DFEE"/>
      </w:tcPr>
    </w:tblStylePr>
    <w:tblStylePr w:type="band1Horz">
      <w:tcPr>
        <w:shd w:val="clear" w:color="D2DFEE" w:fill="D2DFEE"/>
      </w:tcPr>
    </w:tblStylePr>
  </w:style>
  <w:style w:type="table" w:customStyle="1" w:styleId="416">
    <w:name w:val="List Table 1 Light - Accent 2"/>
    <w:basedOn w:val="13"/>
    <w:uiPriority w:val="99"/>
    <w:rPr>
      <w:sz w:val="22"/>
      <w:szCs w:val="22"/>
      <w:lang w:eastAsia="en-US"/>
    </w:rPr>
    <w:tblPr>
      <w:tblCellMar>
        <w:top w:w="0" w:type="dxa"/>
        <w:left w:w="108" w:type="dxa"/>
        <w:bottom w:w="0" w:type="dxa"/>
        <w:right w:w="108" w:type="dxa"/>
      </w:tblCellMar>
    </w:tblPr>
    <w:tblStylePr w:type="firstRow">
      <w:rPr>
        <w:b/>
        <w:color w:val="404040"/>
      </w:rPr>
      <w:tcPr>
        <w:tcBorders>
          <w:top w:val="nil"/>
          <w:left w:val="nil"/>
          <w:bottom w:val="single" w:color="C0504D" w:sz="4" w:space="0"/>
          <w:right w:val="nil"/>
        </w:tcBorders>
      </w:tcPr>
    </w:tblStylePr>
    <w:tblStylePr w:type="lastRow">
      <w:rPr>
        <w:b/>
        <w:color w:val="404040"/>
      </w:rPr>
      <w:tcPr>
        <w:tcBorders>
          <w:top w:val="single" w:color="C0504D" w:sz="4" w:space="0"/>
          <w:left w:val="nil"/>
          <w:bottom w:val="nil"/>
          <w:right w:val="nil"/>
        </w:tcBorders>
      </w:tcPr>
    </w:tblStylePr>
    <w:tblStylePr w:type="firstCol">
      <w:rPr>
        <w:b/>
        <w:color w:val="404040"/>
      </w:rPr>
    </w:tblStylePr>
    <w:tblStylePr w:type="lastCol">
      <w:rPr>
        <w:b/>
        <w:color w:val="404040"/>
      </w:rPr>
    </w:tblStylePr>
    <w:tblStylePr w:type="band1Vert">
      <w:tcPr>
        <w:shd w:val="clear" w:color="EFD2D2" w:fill="EFD2D2"/>
      </w:tcPr>
    </w:tblStylePr>
    <w:tblStylePr w:type="band1Horz">
      <w:tcPr>
        <w:shd w:val="clear" w:color="EFD2D2" w:fill="EFD2D2"/>
      </w:tcPr>
    </w:tblStylePr>
  </w:style>
  <w:style w:type="table" w:customStyle="1" w:styleId="417">
    <w:name w:val="List Table 1 Light - Accent 3"/>
    <w:basedOn w:val="13"/>
    <w:uiPriority w:val="99"/>
    <w:rPr>
      <w:sz w:val="22"/>
      <w:szCs w:val="22"/>
      <w:lang w:eastAsia="en-US"/>
    </w:rPr>
    <w:tblPr>
      <w:tblCellMar>
        <w:top w:w="0" w:type="dxa"/>
        <w:left w:w="108" w:type="dxa"/>
        <w:bottom w:w="0" w:type="dxa"/>
        <w:right w:w="108" w:type="dxa"/>
      </w:tblCellMar>
    </w:tblPr>
    <w:tblStylePr w:type="firstRow">
      <w:rPr>
        <w:b/>
        <w:color w:val="404040"/>
      </w:rPr>
      <w:tcPr>
        <w:tcBorders>
          <w:top w:val="nil"/>
          <w:left w:val="nil"/>
          <w:bottom w:val="single" w:color="9BBB59" w:sz="4" w:space="0"/>
          <w:right w:val="nil"/>
        </w:tcBorders>
      </w:tcPr>
    </w:tblStylePr>
    <w:tblStylePr w:type="lastRow">
      <w:rPr>
        <w:b/>
        <w:color w:val="404040"/>
      </w:rPr>
      <w:tcPr>
        <w:tcBorders>
          <w:top w:val="single" w:color="9BBB59" w:sz="4" w:space="0"/>
          <w:left w:val="nil"/>
          <w:bottom w:val="nil"/>
          <w:right w:val="nil"/>
        </w:tcBorders>
      </w:tcPr>
    </w:tblStylePr>
    <w:tblStylePr w:type="firstCol">
      <w:rPr>
        <w:b/>
        <w:color w:val="404040"/>
      </w:rPr>
    </w:tblStylePr>
    <w:tblStylePr w:type="lastCol">
      <w:rPr>
        <w:b/>
        <w:color w:val="404040"/>
      </w:rPr>
    </w:tblStylePr>
    <w:tblStylePr w:type="band1Vert">
      <w:tcPr>
        <w:shd w:val="clear" w:color="E5EED5" w:fill="E5EED5"/>
      </w:tcPr>
    </w:tblStylePr>
    <w:tblStylePr w:type="band1Horz">
      <w:tcPr>
        <w:shd w:val="clear" w:color="E5EED5" w:fill="E5EED5"/>
      </w:tcPr>
    </w:tblStylePr>
  </w:style>
  <w:style w:type="table" w:customStyle="1" w:styleId="418">
    <w:name w:val="List Table 1 Light - Accent 4"/>
    <w:basedOn w:val="13"/>
    <w:uiPriority w:val="99"/>
    <w:rPr>
      <w:sz w:val="22"/>
      <w:szCs w:val="22"/>
      <w:lang w:eastAsia="en-US"/>
    </w:rPr>
    <w:tblPr>
      <w:tblCellMar>
        <w:top w:w="0" w:type="dxa"/>
        <w:left w:w="108" w:type="dxa"/>
        <w:bottom w:w="0" w:type="dxa"/>
        <w:right w:w="108" w:type="dxa"/>
      </w:tblCellMar>
    </w:tblPr>
    <w:tblStylePr w:type="firstRow">
      <w:rPr>
        <w:b/>
        <w:color w:val="404040"/>
      </w:rPr>
      <w:tcPr>
        <w:tcBorders>
          <w:top w:val="nil"/>
          <w:left w:val="nil"/>
          <w:bottom w:val="single" w:color="8064A2" w:sz="4" w:space="0"/>
          <w:right w:val="nil"/>
        </w:tcBorders>
      </w:tcPr>
    </w:tblStylePr>
    <w:tblStylePr w:type="lastRow">
      <w:rPr>
        <w:b/>
        <w:color w:val="404040"/>
      </w:rPr>
      <w:tcPr>
        <w:tcBorders>
          <w:top w:val="single" w:color="8064A2" w:sz="4" w:space="0"/>
          <w:left w:val="nil"/>
          <w:bottom w:val="nil"/>
          <w:right w:val="nil"/>
        </w:tcBorders>
      </w:tcPr>
    </w:tblStylePr>
    <w:tblStylePr w:type="firstCol">
      <w:rPr>
        <w:b/>
        <w:color w:val="404040"/>
      </w:rPr>
    </w:tblStylePr>
    <w:tblStylePr w:type="lastCol">
      <w:rPr>
        <w:b/>
        <w:color w:val="404040"/>
      </w:rPr>
    </w:tblStylePr>
    <w:tblStylePr w:type="band1Vert">
      <w:tcPr>
        <w:shd w:val="clear" w:color="DFD8E7" w:fill="DFD8E7"/>
      </w:tcPr>
    </w:tblStylePr>
    <w:tblStylePr w:type="band1Horz">
      <w:tcPr>
        <w:shd w:val="clear" w:color="DFD8E7" w:fill="DFD8E7"/>
      </w:tcPr>
    </w:tblStylePr>
  </w:style>
  <w:style w:type="table" w:customStyle="1" w:styleId="419">
    <w:name w:val="List Table 1 Light - Accent 5"/>
    <w:basedOn w:val="13"/>
    <w:uiPriority w:val="99"/>
    <w:rPr>
      <w:sz w:val="22"/>
      <w:szCs w:val="22"/>
      <w:lang w:eastAsia="en-US"/>
    </w:rPr>
    <w:tblPr>
      <w:tblCellMar>
        <w:top w:w="0" w:type="dxa"/>
        <w:left w:w="108" w:type="dxa"/>
        <w:bottom w:w="0" w:type="dxa"/>
        <w:right w:w="108" w:type="dxa"/>
      </w:tblCellMar>
    </w:tblPr>
    <w:tblStylePr w:type="firstRow">
      <w:rPr>
        <w:b/>
        <w:color w:val="404040"/>
      </w:rPr>
      <w:tcPr>
        <w:tcBorders>
          <w:top w:val="nil"/>
          <w:left w:val="nil"/>
          <w:bottom w:val="single" w:color="4BACC6" w:sz="4" w:space="0"/>
          <w:right w:val="nil"/>
        </w:tcBorders>
      </w:tcPr>
    </w:tblStylePr>
    <w:tblStylePr w:type="lastRow">
      <w:rPr>
        <w:b/>
        <w:color w:val="404040"/>
      </w:rPr>
      <w:tcPr>
        <w:tcBorders>
          <w:top w:val="single" w:color="4BACC6" w:sz="4" w:space="0"/>
          <w:left w:val="nil"/>
          <w:bottom w:val="nil"/>
          <w:right w:val="nil"/>
        </w:tcBorders>
      </w:tcPr>
    </w:tblStylePr>
    <w:tblStylePr w:type="firstCol">
      <w:rPr>
        <w:b/>
        <w:color w:val="404040"/>
      </w:rPr>
    </w:tblStylePr>
    <w:tblStylePr w:type="lastCol">
      <w:rPr>
        <w:b/>
        <w:color w:val="404040"/>
      </w:rPr>
    </w:tblStylePr>
    <w:tblStylePr w:type="band1Vert">
      <w:tcPr>
        <w:shd w:val="clear" w:color="D1EAF0" w:fill="D1EAF0"/>
      </w:tcPr>
    </w:tblStylePr>
    <w:tblStylePr w:type="band1Horz">
      <w:tcPr>
        <w:shd w:val="clear" w:color="D1EAF0" w:fill="D1EAF0"/>
      </w:tcPr>
    </w:tblStylePr>
  </w:style>
  <w:style w:type="table" w:customStyle="1" w:styleId="420">
    <w:name w:val="List Table 1 Light - Accent 6"/>
    <w:basedOn w:val="13"/>
    <w:uiPriority w:val="99"/>
    <w:rPr>
      <w:sz w:val="22"/>
      <w:szCs w:val="22"/>
      <w:lang w:eastAsia="en-US"/>
    </w:rPr>
    <w:tblPr>
      <w:tblCellMar>
        <w:top w:w="0" w:type="dxa"/>
        <w:left w:w="108" w:type="dxa"/>
        <w:bottom w:w="0" w:type="dxa"/>
        <w:right w:w="108" w:type="dxa"/>
      </w:tblCellMar>
    </w:tblPr>
    <w:tblStylePr w:type="firstRow">
      <w:rPr>
        <w:b/>
        <w:color w:val="404040"/>
      </w:rPr>
      <w:tcPr>
        <w:tcBorders>
          <w:top w:val="nil"/>
          <w:left w:val="nil"/>
          <w:bottom w:val="single" w:color="F79646" w:sz="4" w:space="0"/>
          <w:right w:val="nil"/>
        </w:tcBorders>
      </w:tcPr>
    </w:tblStylePr>
    <w:tblStylePr w:type="lastRow">
      <w:rPr>
        <w:b/>
        <w:color w:val="404040"/>
      </w:rPr>
      <w:tcPr>
        <w:tcBorders>
          <w:top w:val="single" w:color="F79646" w:sz="4" w:space="0"/>
          <w:left w:val="nil"/>
          <w:bottom w:val="nil"/>
          <w:right w:val="nil"/>
        </w:tcBorders>
      </w:tcPr>
    </w:tblStylePr>
    <w:tblStylePr w:type="firstCol">
      <w:rPr>
        <w:b/>
        <w:color w:val="404040"/>
      </w:rPr>
    </w:tblStylePr>
    <w:tblStylePr w:type="lastCol">
      <w:rPr>
        <w:b/>
        <w:color w:val="404040"/>
      </w:rPr>
    </w:tblStylePr>
    <w:tblStylePr w:type="band1Vert">
      <w:tcPr>
        <w:shd w:val="clear" w:color="FDE4D0" w:fill="FDE4D0"/>
      </w:tcPr>
    </w:tblStylePr>
    <w:tblStylePr w:type="band1Horz">
      <w:tcPr>
        <w:shd w:val="clear" w:color="FDE4D0" w:fill="FDE4D0"/>
      </w:tcPr>
    </w:tblStylePr>
  </w:style>
  <w:style w:type="table" w:customStyle="1" w:styleId="421">
    <w:name w:val="Список-таблица 21"/>
    <w:basedOn w:val="13"/>
    <w:uiPriority w:val="99"/>
    <w:rPr>
      <w:sz w:val="22"/>
      <w:szCs w:val="22"/>
      <w:lang w:eastAsia="en-US"/>
    </w:rPr>
    <w:tblPr>
      <w:tblBorders>
        <w:top w:val="single" w:color="6F6F6F" w:sz="4" w:space="0"/>
        <w:bottom w:val="single" w:color="6F6F6F" w:sz="4" w:space="0"/>
        <w:insideH w:val="single" w:color="6F6F6F" w:sz="4" w:space="0"/>
      </w:tblBorders>
      <w:tblCellMar>
        <w:top w:w="0" w:type="dxa"/>
        <w:left w:w="108" w:type="dxa"/>
        <w:bottom w:w="0" w:type="dxa"/>
        <w:right w:w="108" w:type="dxa"/>
      </w:tblCellMar>
    </w:tblPr>
    <w:tblStylePr w:type="firstRow">
      <w:rPr>
        <w:rFonts w:ascii="Arial" w:hAnsi="Arial"/>
        <w:b/>
        <w:color w:val="404040"/>
        <w:sz w:val="22"/>
      </w:rPr>
      <w:tcPr>
        <w:tcBorders>
          <w:top w:val="single" w:color="6F6F6F" w:sz="4" w:space="0"/>
          <w:left w:val="nil"/>
          <w:bottom w:val="single" w:color="6F6F6F" w:sz="4" w:space="0"/>
          <w:right w:val="nil"/>
        </w:tcBorders>
      </w:tcPr>
    </w:tblStylePr>
    <w:tblStylePr w:type="lastRow">
      <w:rPr>
        <w:rFonts w:ascii="Arial" w:hAnsi="Arial"/>
        <w:b/>
        <w:color w:val="404040"/>
        <w:sz w:val="22"/>
      </w:rPr>
      <w:tcPr>
        <w:tcBorders>
          <w:top w:val="single" w:color="6F6F6F" w:sz="4" w:space="0"/>
          <w:left w:val="nil"/>
          <w:bottom w:val="single" w:color="6F6F6F"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BFBFBF" w:fill="BFBFBF"/>
      </w:tcPr>
    </w:tblStylePr>
    <w:tblStylePr w:type="band1Horz">
      <w:rPr>
        <w:rFonts w:ascii="Arial" w:hAnsi="Arial"/>
        <w:color w:val="404040"/>
        <w:sz w:val="22"/>
      </w:rPr>
      <w:tcPr>
        <w:shd w:val="clear" w:color="BFBFBF" w:fill="BFBFBF"/>
      </w:tcPr>
    </w:tblStylePr>
  </w:style>
  <w:style w:type="table" w:customStyle="1" w:styleId="422">
    <w:name w:val="List Table 2 - Accent 1"/>
    <w:basedOn w:val="13"/>
    <w:uiPriority w:val="99"/>
    <w:rPr>
      <w:sz w:val="22"/>
      <w:szCs w:val="22"/>
      <w:lang w:eastAsia="en-US"/>
    </w:rPr>
    <w:tblPr>
      <w:tblBorders>
        <w:top w:val="single" w:color="9BB7D9" w:sz="4" w:space="0"/>
        <w:bottom w:val="single" w:color="9BB7D9" w:sz="4" w:space="0"/>
        <w:insideH w:val="single" w:color="9BB7D9" w:sz="4" w:space="0"/>
      </w:tblBorders>
      <w:tblCellMar>
        <w:top w:w="0" w:type="dxa"/>
        <w:left w:w="108" w:type="dxa"/>
        <w:bottom w:w="0" w:type="dxa"/>
        <w:right w:w="108" w:type="dxa"/>
      </w:tblCellMar>
    </w:tblPr>
    <w:tblStylePr w:type="firstRow">
      <w:rPr>
        <w:rFonts w:ascii="Arial" w:hAnsi="Arial"/>
        <w:b/>
        <w:color w:val="404040"/>
        <w:sz w:val="22"/>
      </w:rPr>
      <w:tcPr>
        <w:tcBorders>
          <w:top w:val="single" w:color="9BB7D9" w:sz="4" w:space="0"/>
          <w:left w:val="nil"/>
          <w:bottom w:val="single" w:color="9BB7D9" w:sz="4" w:space="0"/>
          <w:right w:val="nil"/>
        </w:tcBorders>
      </w:tcPr>
    </w:tblStylePr>
    <w:tblStylePr w:type="lastRow">
      <w:rPr>
        <w:rFonts w:ascii="Arial" w:hAnsi="Arial"/>
        <w:b/>
        <w:color w:val="404040"/>
        <w:sz w:val="22"/>
      </w:rPr>
      <w:tcPr>
        <w:tcBorders>
          <w:top w:val="single" w:color="9BB7D9" w:sz="4" w:space="0"/>
          <w:left w:val="nil"/>
          <w:bottom w:val="single" w:color="9BB7D9"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D2DFEE" w:fill="D2DFEE"/>
      </w:tcPr>
    </w:tblStylePr>
    <w:tblStylePr w:type="band1Horz">
      <w:rPr>
        <w:rFonts w:ascii="Arial" w:hAnsi="Arial"/>
        <w:color w:val="404040"/>
        <w:sz w:val="22"/>
      </w:rPr>
      <w:tcPr>
        <w:shd w:val="clear" w:color="D2DFEE" w:fill="D2DFEE"/>
      </w:tcPr>
    </w:tblStylePr>
  </w:style>
  <w:style w:type="table" w:customStyle="1" w:styleId="423">
    <w:name w:val="List Table 2 - Accent 2"/>
    <w:basedOn w:val="13"/>
    <w:uiPriority w:val="99"/>
    <w:rPr>
      <w:sz w:val="22"/>
      <w:szCs w:val="22"/>
      <w:lang w:eastAsia="en-US"/>
    </w:rPr>
    <w:tblPr>
      <w:tblBorders>
        <w:top w:val="single" w:color="DB9B9A" w:sz="4" w:space="0"/>
        <w:bottom w:val="single" w:color="DB9B9A" w:sz="4" w:space="0"/>
        <w:insideH w:val="single" w:color="DB9B9A" w:sz="4" w:space="0"/>
      </w:tblBorders>
      <w:tblCellMar>
        <w:top w:w="0" w:type="dxa"/>
        <w:left w:w="108" w:type="dxa"/>
        <w:bottom w:w="0" w:type="dxa"/>
        <w:right w:w="108" w:type="dxa"/>
      </w:tblCellMar>
    </w:tblPr>
    <w:tblStylePr w:type="firstRow">
      <w:rPr>
        <w:rFonts w:ascii="Arial" w:hAnsi="Arial"/>
        <w:b/>
        <w:color w:val="404040"/>
        <w:sz w:val="22"/>
      </w:rPr>
      <w:tcPr>
        <w:tcBorders>
          <w:top w:val="single" w:color="DB9B9A" w:sz="4" w:space="0"/>
          <w:left w:val="nil"/>
          <w:bottom w:val="single" w:color="DB9B9A" w:sz="4" w:space="0"/>
          <w:right w:val="nil"/>
        </w:tcBorders>
      </w:tcPr>
    </w:tblStylePr>
    <w:tblStylePr w:type="lastRow">
      <w:rPr>
        <w:rFonts w:ascii="Arial" w:hAnsi="Arial"/>
        <w:b/>
        <w:color w:val="404040"/>
        <w:sz w:val="22"/>
      </w:rPr>
      <w:tcPr>
        <w:tcBorders>
          <w:top w:val="single" w:color="DB9B9A" w:sz="4" w:space="0"/>
          <w:left w:val="nil"/>
          <w:bottom w:val="single" w:color="DB9B9A"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EFD2D2" w:fill="EFD2D2"/>
      </w:tcPr>
    </w:tblStylePr>
    <w:tblStylePr w:type="band1Horz">
      <w:rPr>
        <w:rFonts w:ascii="Arial" w:hAnsi="Arial"/>
        <w:color w:val="404040"/>
        <w:sz w:val="22"/>
      </w:rPr>
      <w:tcPr>
        <w:shd w:val="clear" w:color="EFD2D2" w:fill="EFD2D2"/>
      </w:tcPr>
    </w:tblStylePr>
  </w:style>
  <w:style w:type="table" w:customStyle="1" w:styleId="424">
    <w:name w:val="List Table 2 - Accent 3"/>
    <w:basedOn w:val="13"/>
    <w:uiPriority w:val="99"/>
    <w:rPr>
      <w:sz w:val="22"/>
      <w:szCs w:val="22"/>
      <w:lang w:eastAsia="en-US"/>
    </w:rPr>
    <w:tblPr>
      <w:tblBorders>
        <w:top w:val="single" w:color="C6D8A1" w:sz="4" w:space="0"/>
        <w:bottom w:val="single" w:color="C6D8A1" w:sz="4" w:space="0"/>
        <w:insideH w:val="single" w:color="C6D8A1" w:sz="4" w:space="0"/>
      </w:tblBorders>
      <w:tblCellMar>
        <w:top w:w="0" w:type="dxa"/>
        <w:left w:w="108" w:type="dxa"/>
        <w:bottom w:w="0" w:type="dxa"/>
        <w:right w:w="108" w:type="dxa"/>
      </w:tblCellMar>
    </w:tblPr>
    <w:tblStylePr w:type="firstRow">
      <w:rPr>
        <w:rFonts w:ascii="Arial" w:hAnsi="Arial"/>
        <w:b/>
        <w:color w:val="404040"/>
        <w:sz w:val="22"/>
      </w:rPr>
      <w:tcPr>
        <w:tcBorders>
          <w:top w:val="single" w:color="C6D8A1" w:sz="4" w:space="0"/>
          <w:left w:val="nil"/>
          <w:bottom w:val="single" w:color="C6D8A1" w:sz="4" w:space="0"/>
          <w:right w:val="nil"/>
        </w:tcBorders>
      </w:tcPr>
    </w:tblStylePr>
    <w:tblStylePr w:type="lastRow">
      <w:rPr>
        <w:rFonts w:ascii="Arial" w:hAnsi="Arial"/>
        <w:b/>
        <w:color w:val="404040"/>
        <w:sz w:val="22"/>
      </w:rPr>
      <w:tcPr>
        <w:tcBorders>
          <w:top w:val="single" w:color="C6D8A1" w:sz="4" w:space="0"/>
          <w:left w:val="nil"/>
          <w:bottom w:val="single" w:color="C6D8A1"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E5EED5" w:fill="E5EED5"/>
      </w:tcPr>
    </w:tblStylePr>
    <w:tblStylePr w:type="band1Horz">
      <w:rPr>
        <w:rFonts w:ascii="Arial" w:hAnsi="Arial"/>
        <w:color w:val="404040"/>
        <w:sz w:val="22"/>
      </w:rPr>
      <w:tcPr>
        <w:shd w:val="clear" w:color="E5EED5" w:fill="E5EED5"/>
      </w:tcPr>
    </w:tblStylePr>
  </w:style>
  <w:style w:type="table" w:customStyle="1" w:styleId="425">
    <w:name w:val="List Table 2 - Accent 4"/>
    <w:basedOn w:val="13"/>
    <w:uiPriority w:val="99"/>
    <w:rPr>
      <w:sz w:val="22"/>
      <w:szCs w:val="22"/>
      <w:lang w:eastAsia="en-US"/>
    </w:rPr>
    <w:tblPr>
      <w:tblBorders>
        <w:top w:val="single" w:color="B7A7CA" w:sz="4" w:space="0"/>
        <w:bottom w:val="single" w:color="B7A7CA" w:sz="4" w:space="0"/>
        <w:insideH w:val="single" w:color="B7A7CA" w:sz="4" w:space="0"/>
      </w:tblBorders>
      <w:tblCellMar>
        <w:top w:w="0" w:type="dxa"/>
        <w:left w:w="108" w:type="dxa"/>
        <w:bottom w:w="0" w:type="dxa"/>
        <w:right w:w="108" w:type="dxa"/>
      </w:tblCellMar>
    </w:tblPr>
    <w:tblStylePr w:type="firstRow">
      <w:rPr>
        <w:rFonts w:ascii="Arial" w:hAnsi="Arial"/>
        <w:b/>
        <w:color w:val="404040"/>
        <w:sz w:val="22"/>
      </w:rPr>
      <w:tcPr>
        <w:tcBorders>
          <w:top w:val="single" w:color="B7A7CA" w:sz="4" w:space="0"/>
          <w:left w:val="nil"/>
          <w:bottom w:val="single" w:color="B7A7CA" w:sz="4" w:space="0"/>
          <w:right w:val="nil"/>
        </w:tcBorders>
      </w:tcPr>
    </w:tblStylePr>
    <w:tblStylePr w:type="lastRow">
      <w:rPr>
        <w:rFonts w:ascii="Arial" w:hAnsi="Arial"/>
        <w:b/>
        <w:color w:val="404040"/>
        <w:sz w:val="22"/>
      </w:rPr>
      <w:tcPr>
        <w:tcBorders>
          <w:top w:val="single" w:color="B7A7CA" w:sz="4" w:space="0"/>
          <w:left w:val="nil"/>
          <w:bottom w:val="single" w:color="B7A7CA"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DFD8E7" w:fill="DFD8E7"/>
      </w:tcPr>
    </w:tblStylePr>
    <w:tblStylePr w:type="band1Horz">
      <w:rPr>
        <w:rFonts w:ascii="Arial" w:hAnsi="Arial"/>
        <w:color w:val="404040"/>
        <w:sz w:val="22"/>
      </w:rPr>
      <w:tcPr>
        <w:shd w:val="clear" w:color="DFD8E7" w:fill="DFD8E7"/>
      </w:tcPr>
    </w:tblStylePr>
  </w:style>
  <w:style w:type="table" w:customStyle="1" w:styleId="426">
    <w:name w:val="List Table 2 - Accent 5"/>
    <w:basedOn w:val="13"/>
    <w:uiPriority w:val="99"/>
    <w:rPr>
      <w:sz w:val="22"/>
      <w:szCs w:val="22"/>
      <w:lang w:eastAsia="en-US"/>
    </w:rPr>
    <w:tblPr>
      <w:tblBorders>
        <w:top w:val="single" w:color="99D0DE" w:sz="4" w:space="0"/>
        <w:bottom w:val="single" w:color="99D0DE" w:sz="4" w:space="0"/>
        <w:insideH w:val="single" w:color="99D0DE" w:sz="4" w:space="0"/>
      </w:tblBorders>
      <w:tblCellMar>
        <w:top w:w="0" w:type="dxa"/>
        <w:left w:w="108" w:type="dxa"/>
        <w:bottom w:w="0" w:type="dxa"/>
        <w:right w:w="108" w:type="dxa"/>
      </w:tblCellMar>
    </w:tblPr>
    <w:tblStylePr w:type="firstRow">
      <w:rPr>
        <w:rFonts w:ascii="Arial" w:hAnsi="Arial"/>
        <w:b/>
        <w:color w:val="404040"/>
        <w:sz w:val="22"/>
      </w:rPr>
      <w:tcPr>
        <w:tcBorders>
          <w:top w:val="single" w:color="99D0DE" w:sz="4" w:space="0"/>
          <w:left w:val="nil"/>
          <w:bottom w:val="single" w:color="99D0DE" w:sz="4" w:space="0"/>
          <w:right w:val="nil"/>
        </w:tcBorders>
      </w:tcPr>
    </w:tblStylePr>
    <w:tblStylePr w:type="lastRow">
      <w:rPr>
        <w:rFonts w:ascii="Arial" w:hAnsi="Arial"/>
        <w:b/>
        <w:color w:val="404040"/>
        <w:sz w:val="22"/>
      </w:rPr>
      <w:tcPr>
        <w:tcBorders>
          <w:top w:val="single" w:color="99D0DE" w:sz="4" w:space="0"/>
          <w:left w:val="nil"/>
          <w:bottom w:val="single" w:color="99D0DE"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D1EAF0" w:fill="D1EAF0"/>
      </w:tcPr>
    </w:tblStylePr>
    <w:tblStylePr w:type="band1Horz">
      <w:rPr>
        <w:rFonts w:ascii="Arial" w:hAnsi="Arial"/>
        <w:color w:val="404040"/>
        <w:sz w:val="22"/>
      </w:rPr>
      <w:tcPr>
        <w:shd w:val="clear" w:color="D1EAF0" w:fill="D1EAF0"/>
      </w:tcPr>
    </w:tblStylePr>
  </w:style>
  <w:style w:type="table" w:customStyle="1" w:styleId="427">
    <w:name w:val="List Table 2 - Accent 6"/>
    <w:basedOn w:val="13"/>
    <w:uiPriority w:val="99"/>
    <w:rPr>
      <w:sz w:val="22"/>
      <w:szCs w:val="22"/>
      <w:lang w:eastAsia="en-US"/>
    </w:rPr>
    <w:tblPr>
      <w:tblBorders>
        <w:top w:val="single" w:color="FAC396" w:sz="4" w:space="0"/>
        <w:bottom w:val="single" w:color="FAC396" w:sz="4" w:space="0"/>
        <w:insideH w:val="single" w:color="FAC396" w:sz="4" w:space="0"/>
      </w:tblBorders>
      <w:tblCellMar>
        <w:top w:w="0" w:type="dxa"/>
        <w:left w:w="108" w:type="dxa"/>
        <w:bottom w:w="0" w:type="dxa"/>
        <w:right w:w="108" w:type="dxa"/>
      </w:tblCellMar>
    </w:tblPr>
    <w:tblStylePr w:type="firstRow">
      <w:rPr>
        <w:rFonts w:ascii="Arial" w:hAnsi="Arial"/>
        <w:b/>
        <w:color w:val="404040"/>
        <w:sz w:val="22"/>
      </w:rPr>
      <w:tcPr>
        <w:tcBorders>
          <w:top w:val="single" w:color="FAC396" w:sz="4" w:space="0"/>
          <w:left w:val="nil"/>
          <w:bottom w:val="single" w:color="FAC396" w:sz="4" w:space="0"/>
          <w:right w:val="nil"/>
        </w:tcBorders>
      </w:tcPr>
    </w:tblStylePr>
    <w:tblStylePr w:type="lastRow">
      <w:rPr>
        <w:rFonts w:ascii="Arial" w:hAnsi="Arial"/>
        <w:b/>
        <w:color w:val="404040"/>
        <w:sz w:val="22"/>
      </w:rPr>
      <w:tcPr>
        <w:tcBorders>
          <w:top w:val="single" w:color="FAC396" w:sz="4" w:space="0"/>
          <w:left w:val="nil"/>
          <w:bottom w:val="single" w:color="FAC396"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FDE4D0" w:fill="FDE4D0"/>
      </w:tcPr>
    </w:tblStylePr>
    <w:tblStylePr w:type="band1Horz">
      <w:rPr>
        <w:rFonts w:ascii="Arial" w:hAnsi="Arial"/>
        <w:color w:val="404040"/>
        <w:sz w:val="22"/>
      </w:rPr>
      <w:tcPr>
        <w:shd w:val="clear" w:color="FDE4D0" w:fill="FDE4D0"/>
      </w:tcPr>
    </w:tblStylePr>
  </w:style>
  <w:style w:type="table" w:customStyle="1" w:styleId="428">
    <w:name w:val="Список-таблица 31"/>
    <w:basedOn w:val="13"/>
    <w:uiPriority w:val="99"/>
    <w:rPr>
      <w:sz w:val="22"/>
      <w:szCs w:val="22"/>
      <w:lang w:eastAsia="en-US"/>
    </w:rPr>
    <w:tblPr>
      <w:tblBorders>
        <w:top w:val="single" w:color="000000" w:sz="4" w:space="0"/>
        <w:left w:val="single" w:color="000000" w:sz="4" w:space="0"/>
        <w:bottom w:val="single" w:color="000000" w:sz="4" w:space="0"/>
        <w:right w:val="single" w:color="000000" w:sz="4" w:space="0"/>
      </w:tblBorders>
      <w:tblCellMar>
        <w:top w:w="0" w:type="dxa"/>
        <w:left w:w="108" w:type="dxa"/>
        <w:bottom w:w="0" w:type="dxa"/>
        <w:right w:w="108" w:type="dxa"/>
      </w:tblCellMar>
    </w:tblPr>
    <w:tblStylePr w:type="firstRow">
      <w:rPr>
        <w:rFonts w:ascii="Arial" w:hAnsi="Arial"/>
        <w:b/>
        <w:color w:val="FFFFFF"/>
        <w:sz w:val="22"/>
      </w:r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000000" w:sz="4" w:space="0"/>
          <w:right w:val="single" w:color="000000" w:sz="4" w:space="0"/>
        </w:tcBorders>
      </w:tcPr>
    </w:tblStylePr>
    <w:tblStylePr w:type="band1Horz">
      <w:rPr>
        <w:rFonts w:ascii="Arial" w:hAnsi="Arial"/>
        <w:color w:val="404040"/>
        <w:sz w:val="22"/>
      </w:rPr>
      <w:tcPr>
        <w:tcBorders>
          <w:top w:val="single" w:color="000000" w:sz="4" w:space="0"/>
          <w:bottom w:val="single" w:color="000000" w:sz="4" w:space="0"/>
        </w:tcBorders>
      </w:tcPr>
    </w:tblStylePr>
  </w:style>
  <w:style w:type="table" w:customStyle="1" w:styleId="429">
    <w:name w:val="List Table 3 - Accent 1"/>
    <w:basedOn w:val="13"/>
    <w:uiPriority w:val="99"/>
    <w:rPr>
      <w:sz w:val="22"/>
      <w:szCs w:val="22"/>
      <w:lang w:eastAsia="en-US"/>
    </w:rPr>
    <w:tblPr>
      <w:tblBorders>
        <w:top w:val="single" w:color="4F81BD" w:sz="4" w:space="0"/>
        <w:left w:val="single" w:color="4F81BD" w:sz="4" w:space="0"/>
        <w:bottom w:val="single" w:color="4F81BD" w:sz="4" w:space="0"/>
        <w:right w:val="single" w:color="4F81BD" w:sz="4" w:space="0"/>
      </w:tblBorders>
      <w:tblCellMar>
        <w:top w:w="0" w:type="dxa"/>
        <w:left w:w="108" w:type="dxa"/>
        <w:bottom w:w="0" w:type="dxa"/>
        <w:right w:w="108" w:type="dxa"/>
      </w:tblCellMar>
    </w:tblPr>
    <w:tblStylePr w:type="firstRow">
      <w:rPr>
        <w:rFonts w:ascii="Arial" w:hAnsi="Arial"/>
        <w:b/>
        <w:color w:val="FFFFFF"/>
        <w:sz w:val="22"/>
      </w:rPr>
      <w:tcPr>
        <w:shd w:val="clear" w:color="4F81BD"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4F81BD" w:sz="4" w:space="0"/>
          <w:right w:val="single" w:color="4F81BD" w:sz="4" w:space="0"/>
        </w:tcBorders>
      </w:tcPr>
    </w:tblStylePr>
    <w:tblStylePr w:type="band1Horz">
      <w:rPr>
        <w:rFonts w:ascii="Arial" w:hAnsi="Arial"/>
        <w:color w:val="404040"/>
        <w:sz w:val="22"/>
      </w:rPr>
      <w:tcPr>
        <w:tcBorders>
          <w:top w:val="single" w:color="4F81BD" w:sz="4" w:space="0"/>
          <w:bottom w:val="single" w:color="4F81BD" w:sz="4" w:space="0"/>
        </w:tcBorders>
      </w:tcPr>
    </w:tblStylePr>
  </w:style>
  <w:style w:type="table" w:customStyle="1" w:styleId="430">
    <w:name w:val="List Table 3 - Accent 2"/>
    <w:basedOn w:val="13"/>
    <w:uiPriority w:val="99"/>
    <w:rPr>
      <w:sz w:val="22"/>
      <w:szCs w:val="22"/>
      <w:lang w:eastAsia="en-US"/>
    </w:rPr>
    <w:tblPr>
      <w:tblBorders>
        <w:top w:val="single" w:color="D99695" w:sz="4" w:space="0"/>
        <w:left w:val="single" w:color="D99695" w:sz="4" w:space="0"/>
        <w:bottom w:val="single" w:color="D99695" w:sz="4" w:space="0"/>
        <w:right w:val="single" w:color="D99695" w:sz="4" w:space="0"/>
      </w:tblBorders>
      <w:tblCellMar>
        <w:top w:w="0" w:type="dxa"/>
        <w:left w:w="108" w:type="dxa"/>
        <w:bottom w:w="0" w:type="dxa"/>
        <w:right w:w="108" w:type="dxa"/>
      </w:tblCellMar>
    </w:tblPr>
    <w:tblStylePr w:type="firstRow">
      <w:rPr>
        <w:rFonts w:ascii="Arial" w:hAnsi="Arial"/>
        <w:b/>
        <w:color w:val="FFFFFF"/>
        <w:sz w:val="22"/>
      </w:rPr>
      <w:tcPr>
        <w:shd w:val="clear" w:color="D99695" w:fill="D9969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D99695" w:sz="4" w:space="0"/>
          <w:right w:val="single" w:color="D99695" w:sz="4" w:space="0"/>
        </w:tcBorders>
      </w:tcPr>
    </w:tblStylePr>
    <w:tblStylePr w:type="band1Horz">
      <w:rPr>
        <w:rFonts w:ascii="Arial" w:hAnsi="Arial"/>
        <w:color w:val="404040"/>
        <w:sz w:val="22"/>
      </w:rPr>
      <w:tcPr>
        <w:tcBorders>
          <w:top w:val="single" w:color="D99695" w:sz="4" w:space="0"/>
          <w:bottom w:val="single" w:color="D99695" w:sz="4" w:space="0"/>
        </w:tcBorders>
      </w:tcPr>
    </w:tblStylePr>
  </w:style>
  <w:style w:type="table" w:customStyle="1" w:styleId="431">
    <w:name w:val="List Table 3 - Accent 3"/>
    <w:basedOn w:val="13"/>
    <w:uiPriority w:val="99"/>
    <w:rPr>
      <w:sz w:val="22"/>
      <w:szCs w:val="22"/>
      <w:lang w:eastAsia="en-US"/>
    </w:rPr>
    <w:tblPr>
      <w:tblBorders>
        <w:top w:val="single" w:color="C3D69B" w:sz="4" w:space="0"/>
        <w:left w:val="single" w:color="C3D69B" w:sz="4" w:space="0"/>
        <w:bottom w:val="single" w:color="C3D69B" w:sz="4" w:space="0"/>
        <w:right w:val="single" w:color="C3D69B" w:sz="4" w:space="0"/>
      </w:tblBorders>
      <w:tblCellMar>
        <w:top w:w="0" w:type="dxa"/>
        <w:left w:w="108" w:type="dxa"/>
        <w:bottom w:w="0" w:type="dxa"/>
        <w:right w:w="108" w:type="dxa"/>
      </w:tblCellMar>
    </w:tblPr>
    <w:tblStylePr w:type="firstRow">
      <w:rPr>
        <w:rFonts w:ascii="Arial" w:hAnsi="Arial"/>
        <w:b/>
        <w:color w:val="FFFFFF"/>
        <w:sz w:val="22"/>
      </w:rPr>
      <w:tcPr>
        <w:shd w:val="clear" w:color="C3D69B" w:fill="C3D69B"/>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C3D69B" w:sz="4" w:space="0"/>
          <w:right w:val="single" w:color="C3D69B" w:sz="4" w:space="0"/>
        </w:tcBorders>
      </w:tcPr>
    </w:tblStylePr>
    <w:tblStylePr w:type="band1Horz">
      <w:rPr>
        <w:rFonts w:ascii="Arial" w:hAnsi="Arial"/>
        <w:color w:val="404040"/>
        <w:sz w:val="22"/>
      </w:rPr>
      <w:tcPr>
        <w:tcBorders>
          <w:top w:val="single" w:color="C3D69B" w:sz="4" w:space="0"/>
          <w:bottom w:val="single" w:color="C3D69B" w:sz="4" w:space="0"/>
        </w:tcBorders>
      </w:tcPr>
    </w:tblStylePr>
  </w:style>
  <w:style w:type="table" w:customStyle="1" w:styleId="432">
    <w:name w:val="List Table 3 - Accent 4"/>
    <w:basedOn w:val="13"/>
    <w:uiPriority w:val="99"/>
    <w:rPr>
      <w:sz w:val="22"/>
      <w:szCs w:val="22"/>
      <w:lang w:eastAsia="en-US"/>
    </w:rPr>
    <w:tblPr>
      <w:tblBorders>
        <w:top w:val="single" w:color="B2A1C6" w:sz="4" w:space="0"/>
        <w:left w:val="single" w:color="B2A1C6" w:sz="4" w:space="0"/>
        <w:bottom w:val="single" w:color="B2A1C6" w:sz="4" w:space="0"/>
        <w:right w:val="single" w:color="B2A1C6" w:sz="4" w:space="0"/>
      </w:tblBorders>
      <w:tblCellMar>
        <w:top w:w="0" w:type="dxa"/>
        <w:left w:w="108" w:type="dxa"/>
        <w:bottom w:w="0" w:type="dxa"/>
        <w:right w:w="108" w:type="dxa"/>
      </w:tblCellMar>
    </w:tblPr>
    <w:tblStylePr w:type="firstRow">
      <w:rPr>
        <w:rFonts w:ascii="Arial" w:hAnsi="Arial"/>
        <w:b/>
        <w:color w:val="FFFFFF"/>
        <w:sz w:val="22"/>
      </w:rPr>
      <w:tcPr>
        <w:shd w:val="clear" w:color="B2A1C6" w:fill="B2A1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B2A1C6" w:sz="4" w:space="0"/>
          <w:right w:val="single" w:color="B2A1C6" w:sz="4" w:space="0"/>
        </w:tcBorders>
      </w:tcPr>
    </w:tblStylePr>
    <w:tblStylePr w:type="band1Horz">
      <w:rPr>
        <w:rFonts w:ascii="Arial" w:hAnsi="Arial"/>
        <w:color w:val="404040"/>
        <w:sz w:val="22"/>
      </w:rPr>
      <w:tcPr>
        <w:tcBorders>
          <w:top w:val="single" w:color="B2A1C6" w:sz="4" w:space="0"/>
          <w:bottom w:val="single" w:color="B2A1C6" w:sz="4" w:space="0"/>
        </w:tcBorders>
      </w:tcPr>
    </w:tblStylePr>
  </w:style>
  <w:style w:type="table" w:customStyle="1" w:styleId="433">
    <w:name w:val="List Table 3 - Accent 5"/>
    <w:basedOn w:val="13"/>
    <w:uiPriority w:val="99"/>
    <w:rPr>
      <w:sz w:val="22"/>
      <w:szCs w:val="22"/>
      <w:lang w:eastAsia="en-US"/>
    </w:rPr>
    <w:tblPr>
      <w:tblBorders>
        <w:top w:val="single" w:color="92CCDC" w:sz="4" w:space="0"/>
        <w:left w:val="single" w:color="92CCDC" w:sz="4" w:space="0"/>
        <w:bottom w:val="single" w:color="92CCDC" w:sz="4" w:space="0"/>
        <w:right w:val="single" w:color="92CCDC" w:sz="4" w:space="0"/>
      </w:tblBorders>
      <w:tblCellMar>
        <w:top w:w="0" w:type="dxa"/>
        <w:left w:w="108" w:type="dxa"/>
        <w:bottom w:w="0" w:type="dxa"/>
        <w:right w:w="108" w:type="dxa"/>
      </w:tblCellMar>
    </w:tblPr>
    <w:tblStylePr w:type="firstRow">
      <w:rPr>
        <w:rFonts w:ascii="Arial" w:hAnsi="Arial"/>
        <w:b/>
        <w:color w:val="FFFFFF"/>
        <w:sz w:val="22"/>
      </w:rPr>
      <w:tcPr>
        <w:shd w:val="clear" w:color="92CCDC" w:fill="92CCDC"/>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92CCDC" w:sz="4" w:space="0"/>
          <w:right w:val="single" w:color="92CCDC" w:sz="4" w:space="0"/>
        </w:tcBorders>
      </w:tcPr>
    </w:tblStylePr>
    <w:tblStylePr w:type="band1Horz">
      <w:rPr>
        <w:rFonts w:ascii="Arial" w:hAnsi="Arial"/>
        <w:color w:val="404040"/>
        <w:sz w:val="22"/>
      </w:rPr>
      <w:tcPr>
        <w:tcBorders>
          <w:top w:val="single" w:color="92CCDC" w:sz="4" w:space="0"/>
          <w:bottom w:val="single" w:color="92CCDC" w:sz="4" w:space="0"/>
        </w:tcBorders>
      </w:tcPr>
    </w:tblStylePr>
  </w:style>
  <w:style w:type="table" w:customStyle="1" w:styleId="434">
    <w:name w:val="List Table 3 - Accent 6"/>
    <w:basedOn w:val="13"/>
    <w:uiPriority w:val="99"/>
    <w:rPr>
      <w:sz w:val="22"/>
      <w:szCs w:val="22"/>
      <w:lang w:eastAsia="en-US"/>
    </w:rPr>
    <w:tblPr>
      <w:tblBorders>
        <w:top w:val="single" w:color="FAC090" w:sz="4" w:space="0"/>
        <w:left w:val="single" w:color="FAC090" w:sz="4" w:space="0"/>
        <w:bottom w:val="single" w:color="FAC090" w:sz="4" w:space="0"/>
        <w:right w:val="single" w:color="FAC090" w:sz="4" w:space="0"/>
      </w:tblBorders>
      <w:tblCellMar>
        <w:top w:w="0" w:type="dxa"/>
        <w:left w:w="108" w:type="dxa"/>
        <w:bottom w:w="0" w:type="dxa"/>
        <w:right w:w="108" w:type="dxa"/>
      </w:tblCellMar>
    </w:tblPr>
    <w:tblStylePr w:type="firstRow">
      <w:rPr>
        <w:rFonts w:ascii="Arial" w:hAnsi="Arial"/>
        <w:b/>
        <w:color w:val="FFFFFF"/>
        <w:sz w:val="22"/>
      </w:rPr>
      <w:tcPr>
        <w:shd w:val="clear" w:color="FAC090" w:fill="FAC09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FAC090" w:sz="4" w:space="0"/>
          <w:right w:val="single" w:color="FAC090" w:sz="4" w:space="0"/>
        </w:tcBorders>
      </w:tcPr>
    </w:tblStylePr>
    <w:tblStylePr w:type="band1Horz">
      <w:rPr>
        <w:rFonts w:ascii="Arial" w:hAnsi="Arial"/>
        <w:color w:val="404040"/>
        <w:sz w:val="22"/>
      </w:rPr>
      <w:tcPr>
        <w:tcBorders>
          <w:top w:val="single" w:color="FAC090" w:sz="4" w:space="0"/>
          <w:bottom w:val="single" w:color="FAC090" w:sz="4" w:space="0"/>
        </w:tcBorders>
      </w:tcPr>
    </w:tblStylePr>
  </w:style>
  <w:style w:type="table" w:customStyle="1" w:styleId="435">
    <w:name w:val="Список-таблица 41"/>
    <w:basedOn w:val="13"/>
    <w:uiPriority w:val="99"/>
    <w:rPr>
      <w:sz w:val="22"/>
      <w:szCs w:val="22"/>
      <w:lang w:eastAsia="en-US"/>
    </w:rPr>
    <w:tblPr>
      <w:tblBorders>
        <w:top w:val="single" w:color="000000" w:sz="4" w:space="0"/>
        <w:left w:val="single" w:color="000000" w:sz="4" w:space="0"/>
        <w:bottom w:val="single" w:color="000000" w:sz="4" w:space="0"/>
        <w:right w:val="single" w:color="000000" w:sz="4" w:space="0"/>
        <w:insideH w:val="single" w:color="000000" w:sz="4" w:space="0"/>
      </w:tblBorders>
      <w:tblCellMar>
        <w:top w:w="0" w:type="dxa"/>
        <w:left w:w="108" w:type="dxa"/>
        <w:bottom w:w="0" w:type="dxa"/>
        <w:right w:w="108" w:type="dxa"/>
      </w:tblCellMar>
    </w:tblPr>
    <w:tblStylePr w:type="firstRow">
      <w:rPr>
        <w:rFonts w:ascii="Arial" w:hAnsi="Arial"/>
        <w:b/>
        <w:color w:val="FFFFFF"/>
        <w:sz w:val="22"/>
      </w:r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BFBFBF" w:fill="BFBFBF"/>
      </w:tcPr>
    </w:tblStylePr>
    <w:tblStylePr w:type="band1Horz">
      <w:rPr>
        <w:rFonts w:ascii="Arial" w:hAnsi="Arial"/>
        <w:color w:val="404040"/>
        <w:sz w:val="22"/>
      </w:rPr>
      <w:tcPr>
        <w:shd w:val="clear" w:color="BFBFBF" w:fill="BFBFBF"/>
      </w:tcPr>
    </w:tblStylePr>
  </w:style>
  <w:style w:type="table" w:customStyle="1" w:styleId="436">
    <w:name w:val="List Table 4 - Accent 1"/>
    <w:basedOn w:val="13"/>
    <w:uiPriority w:val="99"/>
    <w:rPr>
      <w:sz w:val="22"/>
      <w:szCs w:val="22"/>
      <w:lang w:eastAsia="en-US"/>
    </w:rPr>
    <w:tblPr>
      <w:tblBorders>
        <w:top w:val="single" w:color="9BB7D9" w:sz="4" w:space="0"/>
        <w:left w:val="single" w:color="9BB7D9" w:sz="4" w:space="0"/>
        <w:bottom w:val="single" w:color="9BB7D9" w:sz="4" w:space="0"/>
        <w:right w:val="single" w:color="9BB7D9" w:sz="4" w:space="0"/>
        <w:insideH w:val="single" w:color="9BB7D9" w:sz="4" w:space="0"/>
      </w:tblBorders>
      <w:tblCellMar>
        <w:top w:w="0" w:type="dxa"/>
        <w:left w:w="108" w:type="dxa"/>
        <w:bottom w:w="0" w:type="dxa"/>
        <w:right w:w="108" w:type="dxa"/>
      </w:tblCellMar>
    </w:tblPr>
    <w:tblStylePr w:type="firstRow">
      <w:rPr>
        <w:rFonts w:ascii="Arial" w:hAnsi="Arial"/>
        <w:b/>
        <w:color w:val="FFFFFF"/>
        <w:sz w:val="22"/>
      </w:rPr>
      <w:tcPr>
        <w:shd w:val="clear" w:color="4F81BD"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D2DFEE" w:fill="D2DFEE"/>
      </w:tcPr>
    </w:tblStylePr>
    <w:tblStylePr w:type="band1Horz">
      <w:rPr>
        <w:rFonts w:ascii="Arial" w:hAnsi="Arial"/>
        <w:color w:val="404040"/>
        <w:sz w:val="22"/>
      </w:rPr>
      <w:tcPr>
        <w:shd w:val="clear" w:color="D2DFEE" w:fill="D2DFEE"/>
      </w:tcPr>
    </w:tblStylePr>
  </w:style>
  <w:style w:type="table" w:customStyle="1" w:styleId="437">
    <w:name w:val="List Table 4 - Accent 2"/>
    <w:basedOn w:val="13"/>
    <w:uiPriority w:val="99"/>
    <w:rPr>
      <w:sz w:val="22"/>
      <w:szCs w:val="22"/>
      <w:lang w:eastAsia="en-US"/>
    </w:rPr>
    <w:tblPr>
      <w:tblBorders>
        <w:top w:val="single" w:color="DB9B9A" w:sz="4" w:space="0"/>
        <w:left w:val="single" w:color="DB9B9A" w:sz="4" w:space="0"/>
        <w:bottom w:val="single" w:color="DB9B9A" w:sz="4" w:space="0"/>
        <w:right w:val="single" w:color="DB9B9A" w:sz="4" w:space="0"/>
        <w:insideH w:val="single" w:color="DB9B9A" w:sz="4" w:space="0"/>
      </w:tblBorders>
      <w:tblCellMar>
        <w:top w:w="0" w:type="dxa"/>
        <w:left w:w="108" w:type="dxa"/>
        <w:bottom w:w="0" w:type="dxa"/>
        <w:right w:w="108" w:type="dxa"/>
      </w:tblCellMar>
    </w:tblPr>
    <w:tblStylePr w:type="firstRow">
      <w:rPr>
        <w:rFonts w:ascii="Arial" w:hAnsi="Arial"/>
        <w:b/>
        <w:color w:val="FFFFFF"/>
        <w:sz w:val="22"/>
      </w:rPr>
      <w:tcPr>
        <w:shd w:val="clear" w:color="C0504D" w:fill="C0504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EFD2D2" w:fill="EFD2D2"/>
      </w:tcPr>
    </w:tblStylePr>
    <w:tblStylePr w:type="band1Horz">
      <w:rPr>
        <w:rFonts w:ascii="Arial" w:hAnsi="Arial"/>
        <w:color w:val="404040"/>
        <w:sz w:val="22"/>
      </w:rPr>
      <w:tcPr>
        <w:shd w:val="clear" w:color="EFD2D2" w:fill="EFD2D2"/>
      </w:tcPr>
    </w:tblStylePr>
  </w:style>
  <w:style w:type="table" w:customStyle="1" w:styleId="438">
    <w:name w:val="List Table 4 - Accent 3"/>
    <w:basedOn w:val="13"/>
    <w:uiPriority w:val="99"/>
    <w:rPr>
      <w:sz w:val="22"/>
      <w:szCs w:val="22"/>
      <w:lang w:eastAsia="en-US"/>
    </w:rPr>
    <w:tblPr>
      <w:tblBorders>
        <w:top w:val="single" w:color="C6D8A1" w:sz="4" w:space="0"/>
        <w:left w:val="single" w:color="C6D8A1" w:sz="4" w:space="0"/>
        <w:bottom w:val="single" w:color="C6D8A1" w:sz="4" w:space="0"/>
        <w:right w:val="single" w:color="C6D8A1" w:sz="4" w:space="0"/>
        <w:insideH w:val="single" w:color="C6D8A1" w:sz="4" w:space="0"/>
      </w:tblBorders>
      <w:tblCellMar>
        <w:top w:w="0" w:type="dxa"/>
        <w:left w:w="108" w:type="dxa"/>
        <w:bottom w:w="0" w:type="dxa"/>
        <w:right w:w="108" w:type="dxa"/>
      </w:tblCellMar>
    </w:tblPr>
    <w:tblStylePr w:type="firstRow">
      <w:rPr>
        <w:rFonts w:ascii="Arial" w:hAnsi="Arial"/>
        <w:b/>
        <w:color w:val="FFFFFF"/>
        <w:sz w:val="22"/>
      </w:rPr>
      <w:tcPr>
        <w:shd w:val="clear" w:color="9BBB59" w:fill="9BBB59"/>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E5EED5" w:fill="E5EED5"/>
      </w:tcPr>
    </w:tblStylePr>
    <w:tblStylePr w:type="band1Horz">
      <w:rPr>
        <w:rFonts w:ascii="Arial" w:hAnsi="Arial"/>
        <w:color w:val="404040"/>
        <w:sz w:val="22"/>
      </w:rPr>
      <w:tcPr>
        <w:shd w:val="clear" w:color="E5EED5" w:fill="E5EED5"/>
      </w:tcPr>
    </w:tblStylePr>
  </w:style>
  <w:style w:type="table" w:customStyle="1" w:styleId="439">
    <w:name w:val="List Table 4 - Accent 4"/>
    <w:basedOn w:val="13"/>
    <w:uiPriority w:val="99"/>
    <w:rPr>
      <w:sz w:val="22"/>
      <w:szCs w:val="22"/>
      <w:lang w:eastAsia="en-US"/>
    </w:rPr>
    <w:tblPr>
      <w:tblBorders>
        <w:top w:val="single" w:color="B7A7CA" w:sz="4" w:space="0"/>
        <w:left w:val="single" w:color="B7A7CA" w:sz="4" w:space="0"/>
        <w:bottom w:val="single" w:color="B7A7CA" w:sz="4" w:space="0"/>
        <w:right w:val="single" w:color="B7A7CA" w:sz="4" w:space="0"/>
        <w:insideH w:val="single" w:color="B7A7CA" w:sz="4" w:space="0"/>
      </w:tblBorders>
      <w:tblCellMar>
        <w:top w:w="0" w:type="dxa"/>
        <w:left w:w="108" w:type="dxa"/>
        <w:bottom w:w="0" w:type="dxa"/>
        <w:right w:w="108" w:type="dxa"/>
      </w:tblCellMar>
    </w:tblPr>
    <w:tblStylePr w:type="firstRow">
      <w:rPr>
        <w:rFonts w:ascii="Arial" w:hAnsi="Arial"/>
        <w:b/>
        <w:color w:val="FFFFFF"/>
        <w:sz w:val="22"/>
      </w:rPr>
      <w:tcPr>
        <w:shd w:val="clear" w:color="8064A2" w:fill="8064A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DFD8E7" w:fill="DFD8E7"/>
      </w:tcPr>
    </w:tblStylePr>
    <w:tblStylePr w:type="band1Horz">
      <w:rPr>
        <w:rFonts w:ascii="Arial" w:hAnsi="Arial"/>
        <w:color w:val="404040"/>
        <w:sz w:val="22"/>
      </w:rPr>
      <w:tcPr>
        <w:shd w:val="clear" w:color="DFD8E7" w:fill="DFD8E7"/>
      </w:tcPr>
    </w:tblStylePr>
  </w:style>
  <w:style w:type="table" w:customStyle="1" w:styleId="440">
    <w:name w:val="List Table 4 - Accent 5"/>
    <w:basedOn w:val="13"/>
    <w:uiPriority w:val="99"/>
    <w:rPr>
      <w:sz w:val="22"/>
      <w:szCs w:val="22"/>
      <w:lang w:eastAsia="en-US"/>
    </w:rPr>
    <w:tblPr>
      <w:tblBorders>
        <w:top w:val="single" w:color="99D0DE" w:sz="4" w:space="0"/>
        <w:left w:val="single" w:color="99D0DE" w:sz="4" w:space="0"/>
        <w:bottom w:val="single" w:color="99D0DE" w:sz="4" w:space="0"/>
        <w:right w:val="single" w:color="99D0DE" w:sz="4" w:space="0"/>
        <w:insideH w:val="single" w:color="99D0DE" w:sz="4" w:space="0"/>
      </w:tblBorders>
      <w:tblCellMar>
        <w:top w:w="0" w:type="dxa"/>
        <w:left w:w="108" w:type="dxa"/>
        <w:bottom w:w="0" w:type="dxa"/>
        <w:right w:w="108" w:type="dxa"/>
      </w:tblCellMar>
    </w:tblPr>
    <w:tblStylePr w:type="firstRow">
      <w:rPr>
        <w:rFonts w:ascii="Arial" w:hAnsi="Arial"/>
        <w:b/>
        <w:color w:val="FFFFFF"/>
        <w:sz w:val="22"/>
      </w:rPr>
      <w:tcPr>
        <w:shd w:val="clear" w:color="4BACC6" w:fill="4BAC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D1EAF0" w:fill="D1EAF0"/>
      </w:tcPr>
    </w:tblStylePr>
    <w:tblStylePr w:type="band1Horz">
      <w:rPr>
        <w:rFonts w:ascii="Arial" w:hAnsi="Arial"/>
        <w:color w:val="404040"/>
        <w:sz w:val="22"/>
      </w:rPr>
      <w:tcPr>
        <w:shd w:val="clear" w:color="D1EAF0" w:fill="D1EAF0"/>
      </w:tcPr>
    </w:tblStylePr>
  </w:style>
  <w:style w:type="table" w:customStyle="1" w:styleId="441">
    <w:name w:val="List Table 4 - Accent 6"/>
    <w:basedOn w:val="13"/>
    <w:uiPriority w:val="99"/>
    <w:rPr>
      <w:sz w:val="22"/>
      <w:szCs w:val="22"/>
      <w:lang w:eastAsia="en-US"/>
    </w:rPr>
    <w:tblPr>
      <w:tblBorders>
        <w:top w:val="single" w:color="FAC396" w:sz="4" w:space="0"/>
        <w:left w:val="single" w:color="FAC396" w:sz="4" w:space="0"/>
        <w:bottom w:val="single" w:color="FAC396" w:sz="4" w:space="0"/>
        <w:right w:val="single" w:color="FAC396" w:sz="4" w:space="0"/>
        <w:insideH w:val="single" w:color="FAC396" w:sz="4" w:space="0"/>
      </w:tblBorders>
      <w:tblCellMar>
        <w:top w:w="0" w:type="dxa"/>
        <w:left w:w="108" w:type="dxa"/>
        <w:bottom w:w="0" w:type="dxa"/>
        <w:right w:w="108" w:type="dxa"/>
      </w:tblCellMar>
    </w:tblPr>
    <w:tblStylePr w:type="firstRow">
      <w:rPr>
        <w:rFonts w:ascii="Arial" w:hAnsi="Arial"/>
        <w:b/>
        <w:color w:val="FFFFFF"/>
        <w:sz w:val="22"/>
      </w:rPr>
      <w:tcPr>
        <w:shd w:val="clear" w:color="F79646" w:fill="F7964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FDE4D0" w:fill="FDE4D0"/>
      </w:tcPr>
    </w:tblStylePr>
    <w:tblStylePr w:type="band1Horz">
      <w:rPr>
        <w:rFonts w:ascii="Arial" w:hAnsi="Arial"/>
        <w:color w:val="404040"/>
        <w:sz w:val="22"/>
      </w:rPr>
      <w:tcPr>
        <w:shd w:val="clear" w:color="FDE4D0" w:fill="FDE4D0"/>
      </w:tcPr>
    </w:tblStylePr>
  </w:style>
  <w:style w:type="table" w:customStyle="1" w:styleId="442">
    <w:name w:val="Список-таблица 5 темная1"/>
    <w:basedOn w:val="13"/>
    <w:uiPriority w:val="99"/>
    <w:rPr>
      <w:sz w:val="22"/>
      <w:szCs w:val="22"/>
      <w:lang w:eastAsia="en-US"/>
    </w:rPr>
    <w:tblPr>
      <w:tblBorders>
        <w:top w:val="single" w:color="7F7F7F" w:sz="32" w:space="0"/>
        <w:left w:val="single" w:color="7F7F7F" w:sz="32" w:space="0"/>
        <w:bottom w:val="single" w:color="7F7F7F" w:sz="32" w:space="0"/>
        <w:right w:val="single" w:color="7F7F7F" w:sz="32" w:space="0"/>
      </w:tblBorders>
      <w:tblCellMar>
        <w:top w:w="0" w:type="dxa"/>
        <w:left w:w="108" w:type="dxa"/>
        <w:bottom w:w="0" w:type="dxa"/>
        <w:right w:w="108" w:type="dxa"/>
      </w:tblCellMar>
    </w:tblPr>
    <w:tblStylePr w:type="firstRow">
      <w:rPr>
        <w:rFonts w:ascii="Arial" w:hAnsi="Arial"/>
        <w:b/>
        <w:color w:val="FFFFFF"/>
        <w:sz w:val="22"/>
      </w:rPr>
      <w:tcPr>
        <w:tcBorders>
          <w:top w:val="single" w:color="7F7F7F" w:sz="32" w:space="0"/>
          <w:bottom w:val="single" w:color="FFFFFF" w:sz="12" w:space="0"/>
        </w:tcBorders>
        <w:shd w:val="clear" w:color="7F7F7F" w:fill="7F7F7F"/>
      </w:tcPr>
    </w:tblStylePr>
    <w:tblStylePr w:type="lastRow">
      <w:rPr>
        <w:rFonts w:ascii="Arial" w:hAnsi="Arial"/>
        <w:b/>
        <w:color w:val="FFFFFF"/>
        <w:sz w:val="22"/>
      </w:rPr>
    </w:tblStylePr>
    <w:tblStylePr w:type="firstCol">
      <w:rPr>
        <w:rFonts w:ascii="Arial" w:hAnsi="Arial"/>
        <w:b/>
        <w:color w:val="FFFFFF"/>
        <w:sz w:val="22"/>
      </w:rPr>
      <w:tcPr>
        <w:tcBorders>
          <w:left w:val="single" w:color="7F7F7F" w:sz="32" w:space="0"/>
          <w:right w:val="single" w:color="FFFFFF" w:sz="4" w:space="0"/>
        </w:tcBorders>
      </w:tcPr>
    </w:tblStylePr>
    <w:tblStylePr w:type="lastCol">
      <w:tcPr>
        <w:tcBorders>
          <w:left w:val="single" w:color="FFFFFF" w:sz="4" w:space="0"/>
          <w:right w:val="single" w:color="7F7F7F" w:sz="32" w:space="0"/>
        </w:tcBorders>
      </w:tcPr>
    </w:tblStylePr>
    <w:tblStylePr w:type="band1Vert">
      <w:tcPr>
        <w:tcBorders>
          <w:left w:val="single" w:color="FFFFFF" w:sz="4" w:space="0"/>
          <w:right w:val="single" w:color="FFFFFF" w:sz="4" w:space="0"/>
        </w:tcBorders>
        <w:shd w:val="clear" w:color="7F7F7F" w:fill="7F7F7F"/>
      </w:tcPr>
    </w:tblStylePr>
    <w:tblStylePr w:type="band2Vert">
      <w:tcPr>
        <w:tcBorders>
          <w:left w:val="single" w:color="FFFFFF" w:sz="4" w:space="0"/>
          <w:right w:val="single" w:color="FFFFFF" w:sz="4" w:space="0"/>
        </w:tcBorders>
      </w:tcPr>
    </w:tblStylePr>
    <w:tblStylePr w:type="band1Horz">
      <w:tcPr>
        <w:tcBorders>
          <w:top w:val="single" w:color="FFFFFF" w:sz="4" w:space="0"/>
          <w:bottom w:val="single" w:color="FFFFFF" w:sz="4" w:space="0"/>
        </w:tcBorders>
        <w:shd w:val="clear" w:color="7F7F7F" w:fill="7F7F7F"/>
      </w:tcPr>
    </w:tblStylePr>
    <w:tblStylePr w:type="band2Horz">
      <w:tcPr>
        <w:tcBorders>
          <w:top w:val="single" w:color="FFFFFF" w:sz="4" w:space="0"/>
          <w:bottom w:val="single" w:color="FFFFFF" w:sz="4" w:space="0"/>
        </w:tcBorders>
        <w:shd w:val="clear" w:color="7F7F7F" w:fill="7F7F7F"/>
      </w:tcPr>
    </w:tblStylePr>
  </w:style>
  <w:style w:type="table" w:customStyle="1" w:styleId="443">
    <w:name w:val="List Table 5 Dark - Accent 1"/>
    <w:basedOn w:val="13"/>
    <w:uiPriority w:val="99"/>
    <w:rPr>
      <w:sz w:val="22"/>
      <w:szCs w:val="22"/>
      <w:lang w:eastAsia="en-US"/>
    </w:rPr>
    <w:tblPr>
      <w:tblBorders>
        <w:top w:val="single" w:color="4F81BD" w:sz="32" w:space="0"/>
        <w:left w:val="single" w:color="4F81BD" w:sz="32" w:space="0"/>
        <w:bottom w:val="single" w:color="4F81BD" w:sz="32" w:space="0"/>
        <w:right w:val="single" w:color="4F81BD" w:sz="32" w:space="0"/>
      </w:tblBorders>
      <w:tblCellMar>
        <w:top w:w="0" w:type="dxa"/>
        <w:left w:w="108" w:type="dxa"/>
        <w:bottom w:w="0" w:type="dxa"/>
        <w:right w:w="108" w:type="dxa"/>
      </w:tblCellMar>
    </w:tblPr>
    <w:tblStylePr w:type="firstRow">
      <w:rPr>
        <w:rFonts w:ascii="Arial" w:hAnsi="Arial"/>
        <w:b/>
        <w:color w:val="FFFFFF"/>
        <w:sz w:val="22"/>
      </w:rPr>
      <w:tcPr>
        <w:tcBorders>
          <w:top w:val="single" w:color="4F81BD" w:sz="32" w:space="0"/>
          <w:bottom w:val="single" w:color="FFFFFF" w:sz="12" w:space="0"/>
        </w:tcBorders>
        <w:shd w:val="clear" w:color="4F81BD" w:fill="4F81BD"/>
      </w:tcPr>
    </w:tblStylePr>
    <w:tblStylePr w:type="lastRow">
      <w:rPr>
        <w:rFonts w:ascii="Arial" w:hAnsi="Arial"/>
        <w:b/>
        <w:color w:val="FFFFFF"/>
        <w:sz w:val="22"/>
      </w:rPr>
    </w:tblStylePr>
    <w:tblStylePr w:type="firstCol">
      <w:rPr>
        <w:rFonts w:ascii="Arial" w:hAnsi="Arial"/>
        <w:b/>
        <w:color w:val="FFFFFF"/>
        <w:sz w:val="22"/>
      </w:rPr>
      <w:tcPr>
        <w:tcBorders>
          <w:left w:val="single" w:color="4F81BD" w:sz="32" w:space="0"/>
          <w:right w:val="single" w:color="FFFFFF" w:sz="4" w:space="0"/>
        </w:tcBorders>
      </w:tcPr>
    </w:tblStylePr>
    <w:tblStylePr w:type="lastCol">
      <w:tcPr>
        <w:tcBorders>
          <w:left w:val="single" w:color="FFFFFF" w:sz="4" w:space="0"/>
          <w:right w:val="single" w:color="4F81BD" w:sz="32" w:space="0"/>
        </w:tcBorders>
      </w:tcPr>
    </w:tblStylePr>
    <w:tblStylePr w:type="band1Vert">
      <w:tcPr>
        <w:tcBorders>
          <w:left w:val="single" w:color="FFFFFF" w:sz="4" w:space="0"/>
          <w:right w:val="single" w:color="FFFFFF" w:sz="4" w:space="0"/>
        </w:tcBorders>
        <w:shd w:val="clear" w:color="4F81BD" w:fill="4F81BD"/>
      </w:tcPr>
    </w:tblStylePr>
    <w:tblStylePr w:type="band2Vert">
      <w:tcPr>
        <w:tcBorders>
          <w:left w:val="single" w:color="FFFFFF" w:sz="4" w:space="0"/>
          <w:right w:val="single" w:color="FFFFFF" w:sz="4" w:space="0"/>
        </w:tcBorders>
      </w:tcPr>
    </w:tblStylePr>
    <w:tblStylePr w:type="band1Horz">
      <w:tcPr>
        <w:tcBorders>
          <w:top w:val="single" w:color="FFFFFF" w:sz="4" w:space="0"/>
          <w:bottom w:val="single" w:color="FFFFFF" w:sz="4" w:space="0"/>
        </w:tcBorders>
        <w:shd w:val="clear" w:color="4F81BD" w:fill="4F81BD"/>
      </w:tcPr>
    </w:tblStylePr>
    <w:tblStylePr w:type="band2Horz">
      <w:tcPr>
        <w:tcBorders>
          <w:top w:val="single" w:color="FFFFFF" w:sz="4" w:space="0"/>
          <w:bottom w:val="single" w:color="FFFFFF" w:sz="4" w:space="0"/>
        </w:tcBorders>
        <w:shd w:val="clear" w:color="4F81BD" w:fill="4F81BD"/>
      </w:tcPr>
    </w:tblStylePr>
  </w:style>
  <w:style w:type="table" w:customStyle="1" w:styleId="444">
    <w:name w:val="List Table 5 Dark - Accent 2"/>
    <w:basedOn w:val="13"/>
    <w:uiPriority w:val="99"/>
    <w:rPr>
      <w:sz w:val="22"/>
      <w:szCs w:val="22"/>
      <w:lang w:eastAsia="en-US"/>
    </w:rPr>
    <w:tblPr>
      <w:tblBorders>
        <w:top w:val="single" w:color="D99695" w:sz="32" w:space="0"/>
        <w:left w:val="single" w:color="D99695" w:sz="32" w:space="0"/>
        <w:bottom w:val="single" w:color="D99695" w:sz="32" w:space="0"/>
        <w:right w:val="single" w:color="D99695" w:sz="32" w:space="0"/>
      </w:tblBorders>
      <w:tblCellMar>
        <w:top w:w="0" w:type="dxa"/>
        <w:left w:w="108" w:type="dxa"/>
        <w:bottom w:w="0" w:type="dxa"/>
        <w:right w:w="108" w:type="dxa"/>
      </w:tblCellMar>
    </w:tblPr>
    <w:tblStylePr w:type="firstRow">
      <w:rPr>
        <w:rFonts w:ascii="Arial" w:hAnsi="Arial"/>
        <w:b/>
        <w:color w:val="FFFFFF"/>
        <w:sz w:val="22"/>
      </w:rPr>
      <w:tcPr>
        <w:tcBorders>
          <w:top w:val="single" w:color="D99695" w:sz="32" w:space="0"/>
          <w:bottom w:val="single" w:color="FFFFFF" w:sz="12" w:space="0"/>
        </w:tcBorders>
        <w:shd w:val="clear" w:color="D99695" w:fill="D99695"/>
      </w:tcPr>
    </w:tblStylePr>
    <w:tblStylePr w:type="lastRow">
      <w:rPr>
        <w:rFonts w:ascii="Arial" w:hAnsi="Arial"/>
        <w:b/>
        <w:color w:val="FFFFFF"/>
        <w:sz w:val="22"/>
      </w:rPr>
    </w:tblStylePr>
    <w:tblStylePr w:type="firstCol">
      <w:rPr>
        <w:rFonts w:ascii="Arial" w:hAnsi="Arial"/>
        <w:b/>
        <w:color w:val="FFFFFF"/>
        <w:sz w:val="22"/>
      </w:rPr>
      <w:tcPr>
        <w:tcBorders>
          <w:left w:val="single" w:color="D99695" w:sz="32" w:space="0"/>
          <w:right w:val="single" w:color="FFFFFF" w:sz="4" w:space="0"/>
        </w:tcBorders>
      </w:tcPr>
    </w:tblStylePr>
    <w:tblStylePr w:type="lastCol">
      <w:tcPr>
        <w:tcBorders>
          <w:left w:val="single" w:color="FFFFFF" w:sz="4" w:space="0"/>
          <w:right w:val="single" w:color="D99695" w:sz="32" w:space="0"/>
        </w:tcBorders>
      </w:tcPr>
    </w:tblStylePr>
    <w:tblStylePr w:type="band1Vert">
      <w:tcPr>
        <w:tcBorders>
          <w:left w:val="single" w:color="FFFFFF" w:sz="4" w:space="0"/>
          <w:right w:val="single" w:color="FFFFFF" w:sz="4" w:space="0"/>
        </w:tcBorders>
        <w:shd w:val="clear" w:color="D99695" w:fill="D99695"/>
      </w:tcPr>
    </w:tblStylePr>
    <w:tblStylePr w:type="band2Vert">
      <w:tcPr>
        <w:tcBorders>
          <w:left w:val="single" w:color="FFFFFF" w:sz="4" w:space="0"/>
          <w:right w:val="single" w:color="FFFFFF" w:sz="4" w:space="0"/>
        </w:tcBorders>
      </w:tcPr>
    </w:tblStylePr>
    <w:tblStylePr w:type="band1Horz">
      <w:tcPr>
        <w:tcBorders>
          <w:top w:val="single" w:color="FFFFFF" w:sz="4" w:space="0"/>
          <w:bottom w:val="single" w:color="FFFFFF" w:sz="4" w:space="0"/>
        </w:tcBorders>
        <w:shd w:val="clear" w:color="D99695" w:fill="D99695"/>
      </w:tcPr>
    </w:tblStylePr>
    <w:tblStylePr w:type="band2Horz">
      <w:tcPr>
        <w:tcBorders>
          <w:top w:val="single" w:color="FFFFFF" w:sz="4" w:space="0"/>
          <w:bottom w:val="single" w:color="FFFFFF" w:sz="4" w:space="0"/>
        </w:tcBorders>
        <w:shd w:val="clear" w:color="D99695" w:fill="D99695"/>
      </w:tcPr>
    </w:tblStylePr>
  </w:style>
  <w:style w:type="table" w:customStyle="1" w:styleId="445">
    <w:name w:val="List Table 5 Dark - Accent 3"/>
    <w:basedOn w:val="13"/>
    <w:uiPriority w:val="99"/>
    <w:rPr>
      <w:sz w:val="22"/>
      <w:szCs w:val="22"/>
      <w:lang w:eastAsia="en-US"/>
    </w:rPr>
    <w:tblPr>
      <w:tblBorders>
        <w:top w:val="single" w:color="C3D69B" w:sz="32" w:space="0"/>
        <w:left w:val="single" w:color="C3D69B" w:sz="32" w:space="0"/>
        <w:bottom w:val="single" w:color="C3D69B" w:sz="32" w:space="0"/>
        <w:right w:val="single" w:color="C3D69B" w:sz="32" w:space="0"/>
      </w:tblBorders>
      <w:tblCellMar>
        <w:top w:w="0" w:type="dxa"/>
        <w:left w:w="108" w:type="dxa"/>
        <w:bottom w:w="0" w:type="dxa"/>
        <w:right w:w="108" w:type="dxa"/>
      </w:tblCellMar>
    </w:tblPr>
    <w:tblStylePr w:type="firstRow">
      <w:rPr>
        <w:rFonts w:ascii="Arial" w:hAnsi="Arial"/>
        <w:b/>
        <w:color w:val="FFFFFF"/>
        <w:sz w:val="22"/>
      </w:rPr>
      <w:tcPr>
        <w:tcBorders>
          <w:top w:val="single" w:color="C3D69B" w:sz="32" w:space="0"/>
          <w:bottom w:val="single" w:color="FFFFFF" w:sz="12" w:space="0"/>
        </w:tcBorders>
        <w:shd w:val="clear" w:color="C3D69B" w:fill="C3D69B"/>
      </w:tcPr>
    </w:tblStylePr>
    <w:tblStylePr w:type="lastRow">
      <w:rPr>
        <w:rFonts w:ascii="Arial" w:hAnsi="Arial"/>
        <w:b/>
        <w:color w:val="FFFFFF"/>
        <w:sz w:val="22"/>
      </w:rPr>
    </w:tblStylePr>
    <w:tblStylePr w:type="firstCol">
      <w:rPr>
        <w:rFonts w:ascii="Arial" w:hAnsi="Arial"/>
        <w:b/>
        <w:color w:val="FFFFFF"/>
        <w:sz w:val="22"/>
      </w:rPr>
      <w:tcPr>
        <w:tcBorders>
          <w:left w:val="single" w:color="C3D69B" w:sz="32" w:space="0"/>
          <w:right w:val="single" w:color="FFFFFF" w:sz="4" w:space="0"/>
        </w:tcBorders>
      </w:tcPr>
    </w:tblStylePr>
    <w:tblStylePr w:type="lastCol">
      <w:tcPr>
        <w:tcBorders>
          <w:left w:val="single" w:color="FFFFFF" w:sz="4" w:space="0"/>
          <w:right w:val="single" w:color="C3D69B" w:sz="32" w:space="0"/>
        </w:tcBorders>
      </w:tcPr>
    </w:tblStylePr>
    <w:tblStylePr w:type="band1Vert">
      <w:tcPr>
        <w:tcBorders>
          <w:left w:val="single" w:color="FFFFFF" w:sz="4" w:space="0"/>
          <w:right w:val="single" w:color="FFFFFF" w:sz="4" w:space="0"/>
        </w:tcBorders>
        <w:shd w:val="clear" w:color="C3D69B" w:fill="C3D69B"/>
      </w:tcPr>
    </w:tblStylePr>
    <w:tblStylePr w:type="band2Vert">
      <w:tcPr>
        <w:tcBorders>
          <w:left w:val="single" w:color="FFFFFF" w:sz="4" w:space="0"/>
          <w:right w:val="single" w:color="FFFFFF" w:sz="4" w:space="0"/>
        </w:tcBorders>
      </w:tcPr>
    </w:tblStylePr>
    <w:tblStylePr w:type="band1Horz">
      <w:tcPr>
        <w:tcBorders>
          <w:top w:val="single" w:color="FFFFFF" w:sz="4" w:space="0"/>
          <w:bottom w:val="single" w:color="FFFFFF" w:sz="4" w:space="0"/>
        </w:tcBorders>
        <w:shd w:val="clear" w:color="C3D69B" w:fill="C3D69B"/>
      </w:tcPr>
    </w:tblStylePr>
    <w:tblStylePr w:type="band2Horz">
      <w:tcPr>
        <w:tcBorders>
          <w:top w:val="single" w:color="FFFFFF" w:sz="4" w:space="0"/>
          <w:bottom w:val="single" w:color="FFFFFF" w:sz="4" w:space="0"/>
        </w:tcBorders>
        <w:shd w:val="clear" w:color="C3D69B" w:fill="C3D69B"/>
      </w:tcPr>
    </w:tblStylePr>
  </w:style>
  <w:style w:type="table" w:customStyle="1" w:styleId="446">
    <w:name w:val="List Table 5 Dark - Accent 4"/>
    <w:basedOn w:val="13"/>
    <w:uiPriority w:val="99"/>
    <w:rPr>
      <w:sz w:val="22"/>
      <w:szCs w:val="22"/>
      <w:lang w:eastAsia="en-US"/>
    </w:rPr>
    <w:tblPr>
      <w:tblBorders>
        <w:top w:val="single" w:color="B2A1C6" w:sz="32" w:space="0"/>
        <w:left w:val="single" w:color="B2A1C6" w:sz="32" w:space="0"/>
        <w:bottom w:val="single" w:color="B2A1C6" w:sz="32" w:space="0"/>
        <w:right w:val="single" w:color="B2A1C6" w:sz="32" w:space="0"/>
      </w:tblBorders>
      <w:tblCellMar>
        <w:top w:w="0" w:type="dxa"/>
        <w:left w:w="108" w:type="dxa"/>
        <w:bottom w:w="0" w:type="dxa"/>
        <w:right w:w="108" w:type="dxa"/>
      </w:tblCellMar>
    </w:tblPr>
    <w:tblStylePr w:type="firstRow">
      <w:rPr>
        <w:rFonts w:ascii="Arial" w:hAnsi="Arial"/>
        <w:b/>
        <w:color w:val="FFFFFF"/>
        <w:sz w:val="22"/>
      </w:rPr>
      <w:tcPr>
        <w:tcBorders>
          <w:top w:val="single" w:color="B2A1C6" w:sz="32" w:space="0"/>
          <w:bottom w:val="single" w:color="FFFFFF" w:sz="12" w:space="0"/>
        </w:tcBorders>
        <w:shd w:val="clear" w:color="B2A1C6" w:fill="B2A1C6"/>
      </w:tcPr>
    </w:tblStylePr>
    <w:tblStylePr w:type="lastRow">
      <w:rPr>
        <w:rFonts w:ascii="Arial" w:hAnsi="Arial"/>
        <w:b/>
        <w:color w:val="FFFFFF"/>
        <w:sz w:val="22"/>
      </w:rPr>
    </w:tblStylePr>
    <w:tblStylePr w:type="firstCol">
      <w:rPr>
        <w:rFonts w:ascii="Arial" w:hAnsi="Arial"/>
        <w:b/>
        <w:color w:val="FFFFFF"/>
        <w:sz w:val="22"/>
      </w:rPr>
      <w:tcPr>
        <w:tcBorders>
          <w:left w:val="single" w:color="B2A1C6" w:sz="32" w:space="0"/>
          <w:right w:val="single" w:color="FFFFFF" w:sz="4" w:space="0"/>
        </w:tcBorders>
      </w:tcPr>
    </w:tblStylePr>
    <w:tblStylePr w:type="lastCol">
      <w:tcPr>
        <w:tcBorders>
          <w:left w:val="single" w:color="FFFFFF" w:sz="4" w:space="0"/>
          <w:right w:val="single" w:color="B2A1C6" w:sz="32" w:space="0"/>
        </w:tcBorders>
      </w:tcPr>
    </w:tblStylePr>
    <w:tblStylePr w:type="band1Vert">
      <w:tcPr>
        <w:tcBorders>
          <w:left w:val="single" w:color="FFFFFF" w:sz="4" w:space="0"/>
          <w:right w:val="single" w:color="FFFFFF" w:sz="4" w:space="0"/>
        </w:tcBorders>
        <w:shd w:val="clear" w:color="B2A1C6" w:fill="B2A1C6"/>
      </w:tcPr>
    </w:tblStylePr>
    <w:tblStylePr w:type="band2Vert">
      <w:tcPr>
        <w:tcBorders>
          <w:left w:val="single" w:color="FFFFFF" w:sz="4" w:space="0"/>
          <w:right w:val="single" w:color="FFFFFF" w:sz="4" w:space="0"/>
        </w:tcBorders>
      </w:tcPr>
    </w:tblStylePr>
    <w:tblStylePr w:type="band1Horz">
      <w:tcPr>
        <w:tcBorders>
          <w:top w:val="single" w:color="FFFFFF" w:sz="4" w:space="0"/>
          <w:bottom w:val="single" w:color="FFFFFF" w:sz="4" w:space="0"/>
        </w:tcBorders>
        <w:shd w:val="clear" w:color="B2A1C6" w:fill="B2A1C6"/>
      </w:tcPr>
    </w:tblStylePr>
    <w:tblStylePr w:type="band2Horz">
      <w:tcPr>
        <w:tcBorders>
          <w:top w:val="single" w:color="FFFFFF" w:sz="4" w:space="0"/>
          <w:bottom w:val="single" w:color="FFFFFF" w:sz="4" w:space="0"/>
        </w:tcBorders>
        <w:shd w:val="clear" w:color="B2A1C6" w:fill="B2A1C6"/>
      </w:tcPr>
    </w:tblStylePr>
  </w:style>
  <w:style w:type="table" w:customStyle="1" w:styleId="447">
    <w:name w:val="List Table 5 Dark - Accent 5"/>
    <w:basedOn w:val="13"/>
    <w:uiPriority w:val="99"/>
    <w:rPr>
      <w:sz w:val="22"/>
      <w:szCs w:val="22"/>
      <w:lang w:eastAsia="en-US"/>
    </w:rPr>
    <w:tblPr>
      <w:tblBorders>
        <w:top w:val="single" w:color="92CCDC" w:sz="32" w:space="0"/>
        <w:left w:val="single" w:color="92CCDC" w:sz="32" w:space="0"/>
        <w:bottom w:val="single" w:color="92CCDC" w:sz="32" w:space="0"/>
        <w:right w:val="single" w:color="92CCDC" w:sz="32" w:space="0"/>
      </w:tblBorders>
      <w:tblCellMar>
        <w:top w:w="0" w:type="dxa"/>
        <w:left w:w="108" w:type="dxa"/>
        <w:bottom w:w="0" w:type="dxa"/>
        <w:right w:w="108" w:type="dxa"/>
      </w:tblCellMar>
    </w:tblPr>
    <w:tblStylePr w:type="firstRow">
      <w:rPr>
        <w:rFonts w:ascii="Arial" w:hAnsi="Arial"/>
        <w:b/>
        <w:color w:val="FFFFFF"/>
        <w:sz w:val="22"/>
      </w:rPr>
      <w:tcPr>
        <w:tcBorders>
          <w:top w:val="single" w:color="92CCDC" w:sz="32" w:space="0"/>
          <w:bottom w:val="single" w:color="FFFFFF" w:sz="12" w:space="0"/>
        </w:tcBorders>
        <w:shd w:val="clear" w:color="92CCDC" w:fill="92CCDC"/>
      </w:tcPr>
    </w:tblStylePr>
    <w:tblStylePr w:type="lastRow">
      <w:rPr>
        <w:rFonts w:ascii="Arial" w:hAnsi="Arial"/>
        <w:b/>
        <w:color w:val="FFFFFF"/>
        <w:sz w:val="22"/>
      </w:rPr>
    </w:tblStylePr>
    <w:tblStylePr w:type="firstCol">
      <w:rPr>
        <w:rFonts w:ascii="Arial" w:hAnsi="Arial"/>
        <w:b/>
        <w:color w:val="FFFFFF"/>
        <w:sz w:val="22"/>
      </w:rPr>
      <w:tcPr>
        <w:tcBorders>
          <w:left w:val="single" w:color="92CCDC" w:sz="32" w:space="0"/>
          <w:right w:val="single" w:color="FFFFFF" w:sz="4" w:space="0"/>
        </w:tcBorders>
      </w:tcPr>
    </w:tblStylePr>
    <w:tblStylePr w:type="lastCol">
      <w:tcPr>
        <w:tcBorders>
          <w:left w:val="single" w:color="FFFFFF" w:sz="4" w:space="0"/>
          <w:right w:val="single" w:color="92CCDC" w:sz="32" w:space="0"/>
        </w:tcBorders>
      </w:tcPr>
    </w:tblStylePr>
    <w:tblStylePr w:type="band1Vert">
      <w:tcPr>
        <w:tcBorders>
          <w:left w:val="single" w:color="FFFFFF" w:sz="4" w:space="0"/>
          <w:right w:val="single" w:color="FFFFFF" w:sz="4" w:space="0"/>
        </w:tcBorders>
        <w:shd w:val="clear" w:color="92CCDC" w:fill="92CCDC"/>
      </w:tcPr>
    </w:tblStylePr>
    <w:tblStylePr w:type="band2Vert">
      <w:tcPr>
        <w:tcBorders>
          <w:left w:val="single" w:color="FFFFFF" w:sz="4" w:space="0"/>
          <w:right w:val="single" w:color="FFFFFF" w:sz="4" w:space="0"/>
        </w:tcBorders>
      </w:tcPr>
    </w:tblStylePr>
    <w:tblStylePr w:type="band1Horz">
      <w:tcPr>
        <w:tcBorders>
          <w:top w:val="single" w:color="FFFFFF" w:sz="4" w:space="0"/>
          <w:bottom w:val="single" w:color="FFFFFF" w:sz="4" w:space="0"/>
        </w:tcBorders>
        <w:shd w:val="clear" w:color="92CCDC" w:fill="92CCDC"/>
      </w:tcPr>
    </w:tblStylePr>
    <w:tblStylePr w:type="band2Horz">
      <w:tcPr>
        <w:tcBorders>
          <w:top w:val="single" w:color="FFFFFF" w:sz="4" w:space="0"/>
          <w:bottom w:val="single" w:color="FFFFFF" w:sz="4" w:space="0"/>
        </w:tcBorders>
        <w:shd w:val="clear" w:color="92CCDC" w:fill="92CCDC"/>
      </w:tcPr>
    </w:tblStylePr>
  </w:style>
  <w:style w:type="table" w:customStyle="1" w:styleId="448">
    <w:name w:val="List Table 5 Dark - Accent 6"/>
    <w:basedOn w:val="13"/>
    <w:uiPriority w:val="99"/>
    <w:rPr>
      <w:sz w:val="22"/>
      <w:szCs w:val="22"/>
      <w:lang w:eastAsia="en-US"/>
    </w:rPr>
    <w:tblPr>
      <w:tblBorders>
        <w:top w:val="single" w:color="FAC090" w:sz="32" w:space="0"/>
        <w:left w:val="single" w:color="FAC090" w:sz="32" w:space="0"/>
        <w:bottom w:val="single" w:color="FAC090" w:sz="32" w:space="0"/>
        <w:right w:val="single" w:color="FAC090" w:sz="32" w:space="0"/>
      </w:tblBorders>
      <w:tblCellMar>
        <w:top w:w="0" w:type="dxa"/>
        <w:left w:w="108" w:type="dxa"/>
        <w:bottom w:w="0" w:type="dxa"/>
        <w:right w:w="108" w:type="dxa"/>
      </w:tblCellMar>
    </w:tblPr>
    <w:tblStylePr w:type="firstRow">
      <w:rPr>
        <w:rFonts w:ascii="Arial" w:hAnsi="Arial"/>
        <w:b/>
        <w:color w:val="FFFFFF"/>
        <w:sz w:val="22"/>
      </w:rPr>
      <w:tcPr>
        <w:tcBorders>
          <w:top w:val="single" w:color="FAC090" w:sz="32" w:space="0"/>
          <w:bottom w:val="single" w:color="FFFFFF" w:sz="12" w:space="0"/>
        </w:tcBorders>
        <w:shd w:val="clear" w:color="FAC090" w:fill="FAC090"/>
      </w:tcPr>
    </w:tblStylePr>
    <w:tblStylePr w:type="lastRow">
      <w:rPr>
        <w:rFonts w:ascii="Arial" w:hAnsi="Arial"/>
        <w:b/>
        <w:color w:val="FFFFFF"/>
        <w:sz w:val="22"/>
      </w:rPr>
    </w:tblStylePr>
    <w:tblStylePr w:type="firstCol">
      <w:rPr>
        <w:rFonts w:ascii="Arial" w:hAnsi="Arial"/>
        <w:b/>
        <w:color w:val="FFFFFF"/>
        <w:sz w:val="22"/>
      </w:rPr>
      <w:tcPr>
        <w:tcBorders>
          <w:left w:val="single" w:color="FAC090" w:sz="32" w:space="0"/>
          <w:right w:val="single" w:color="FFFFFF" w:sz="4" w:space="0"/>
        </w:tcBorders>
      </w:tcPr>
    </w:tblStylePr>
    <w:tblStylePr w:type="lastCol">
      <w:tcPr>
        <w:tcBorders>
          <w:left w:val="single" w:color="FFFFFF" w:sz="4" w:space="0"/>
          <w:right w:val="single" w:color="FAC090" w:sz="32" w:space="0"/>
        </w:tcBorders>
      </w:tcPr>
    </w:tblStylePr>
    <w:tblStylePr w:type="band1Vert">
      <w:tcPr>
        <w:tcBorders>
          <w:left w:val="single" w:color="FFFFFF" w:sz="4" w:space="0"/>
          <w:right w:val="single" w:color="FFFFFF" w:sz="4" w:space="0"/>
        </w:tcBorders>
        <w:shd w:val="clear" w:color="FAC090" w:fill="FAC090"/>
      </w:tcPr>
    </w:tblStylePr>
    <w:tblStylePr w:type="band2Vert">
      <w:tcPr>
        <w:tcBorders>
          <w:left w:val="single" w:color="FFFFFF" w:sz="4" w:space="0"/>
          <w:right w:val="single" w:color="FFFFFF" w:sz="4" w:space="0"/>
        </w:tcBorders>
      </w:tcPr>
    </w:tblStylePr>
    <w:tblStylePr w:type="band1Horz">
      <w:tcPr>
        <w:tcBorders>
          <w:top w:val="single" w:color="FFFFFF" w:sz="4" w:space="0"/>
          <w:bottom w:val="single" w:color="FFFFFF" w:sz="4" w:space="0"/>
        </w:tcBorders>
        <w:shd w:val="clear" w:color="FAC090" w:fill="FAC090"/>
      </w:tcPr>
    </w:tblStylePr>
    <w:tblStylePr w:type="band2Horz">
      <w:tcPr>
        <w:tcBorders>
          <w:top w:val="single" w:color="FFFFFF" w:sz="4" w:space="0"/>
          <w:bottom w:val="single" w:color="FFFFFF" w:sz="4" w:space="0"/>
        </w:tcBorders>
        <w:shd w:val="clear" w:color="FAC090" w:fill="FAC090"/>
      </w:tcPr>
    </w:tblStylePr>
  </w:style>
  <w:style w:type="table" w:customStyle="1" w:styleId="449">
    <w:name w:val="Список-таблица 6 цветная1"/>
    <w:basedOn w:val="13"/>
    <w:uiPriority w:val="99"/>
    <w:rPr>
      <w:sz w:val="22"/>
      <w:szCs w:val="22"/>
      <w:lang w:eastAsia="en-US"/>
    </w:rPr>
    <w:tblPr>
      <w:tblBorders>
        <w:top w:val="single" w:color="7F7F7F" w:sz="4" w:space="0"/>
        <w:bottom w:val="single" w:color="7F7F7F" w:sz="4" w:space="0"/>
      </w:tblBorders>
      <w:tblCellMar>
        <w:top w:w="0" w:type="dxa"/>
        <w:left w:w="108" w:type="dxa"/>
        <w:bottom w:w="0" w:type="dxa"/>
        <w:right w:w="108" w:type="dxa"/>
      </w:tblCellMar>
    </w:tblPr>
    <w:tblStylePr w:type="firstRow">
      <w:rPr>
        <w:b/>
        <w:color w:val="000000"/>
      </w:rPr>
      <w:tcPr>
        <w:tcBorders>
          <w:bottom w:val="single" w:color="7F7F7F" w:sz="4" w:space="0"/>
        </w:tcBorders>
      </w:tcPr>
    </w:tblStylePr>
    <w:tblStylePr w:type="lastRow">
      <w:rPr>
        <w:b/>
        <w:color w:val="000000"/>
      </w:rPr>
      <w:tcPr>
        <w:tcBorders>
          <w:top w:val="single" w:color="7F7F7F" w:sz="4" w:space="0"/>
        </w:tcBorders>
      </w:tcPr>
    </w:tblStylePr>
    <w:tblStylePr w:type="firstCol">
      <w:rPr>
        <w:b/>
        <w:color w:val="000000"/>
      </w:rPr>
    </w:tblStylePr>
    <w:tblStylePr w:type="lastCol">
      <w:rPr>
        <w:b/>
        <w:color w:val="000000"/>
      </w:rPr>
    </w:tblStylePr>
    <w:tblStylePr w:type="band1Vert">
      <w:tcPr>
        <w:shd w:val="clear" w:color="BFBFBF" w:fill="BFBFBF"/>
      </w:tcPr>
    </w:tblStylePr>
    <w:tblStylePr w:type="band1Horz">
      <w:rPr>
        <w:rFonts w:ascii="Arial" w:hAnsi="Arial"/>
        <w:color w:val="000000"/>
        <w:sz w:val="22"/>
      </w:rPr>
      <w:tcPr>
        <w:shd w:val="clear" w:color="BFBFBF" w:fill="BFBFBF"/>
      </w:tcPr>
    </w:tblStylePr>
    <w:tblStylePr w:type="band2Horz">
      <w:rPr>
        <w:rFonts w:ascii="Arial" w:hAnsi="Arial"/>
        <w:color w:val="000000"/>
        <w:sz w:val="22"/>
      </w:rPr>
    </w:tblStylePr>
  </w:style>
  <w:style w:type="table" w:customStyle="1" w:styleId="450">
    <w:name w:val="List Table 6 Colorful - Accent 1"/>
    <w:basedOn w:val="13"/>
    <w:uiPriority w:val="99"/>
    <w:rPr>
      <w:sz w:val="22"/>
      <w:szCs w:val="22"/>
      <w:lang w:eastAsia="en-US"/>
    </w:rPr>
    <w:tblPr>
      <w:tblBorders>
        <w:top w:val="single" w:color="4F81BD" w:sz="4" w:space="0"/>
        <w:bottom w:val="single" w:color="4F81BD" w:sz="4" w:space="0"/>
      </w:tblBorders>
      <w:tblCellMar>
        <w:top w:w="0" w:type="dxa"/>
        <w:left w:w="108" w:type="dxa"/>
        <w:bottom w:w="0" w:type="dxa"/>
        <w:right w:w="108" w:type="dxa"/>
      </w:tblCellMar>
    </w:tblPr>
    <w:tblStylePr w:type="firstRow">
      <w:rPr>
        <w:b/>
        <w:color w:val="2A4A71"/>
      </w:rPr>
      <w:tcPr>
        <w:tcBorders>
          <w:bottom w:val="single" w:color="4F81BD" w:sz="4" w:space="0"/>
        </w:tcBorders>
      </w:tcPr>
    </w:tblStylePr>
    <w:tblStylePr w:type="lastRow">
      <w:rPr>
        <w:b/>
        <w:color w:val="2A4A71"/>
      </w:rPr>
      <w:tcPr>
        <w:tcBorders>
          <w:top w:val="single" w:color="4F81BD" w:sz="4" w:space="0"/>
        </w:tcBorders>
      </w:tcPr>
    </w:tblStylePr>
    <w:tblStylePr w:type="firstCol">
      <w:rPr>
        <w:b/>
        <w:color w:val="2A4A71"/>
      </w:rPr>
    </w:tblStylePr>
    <w:tblStylePr w:type="lastCol">
      <w:rPr>
        <w:b/>
        <w:color w:val="2A4A71"/>
      </w:rPr>
    </w:tblStylePr>
    <w:tblStylePr w:type="band1Vert">
      <w:tcPr>
        <w:shd w:val="clear" w:color="D2DFEE" w:fill="D2DFEE"/>
      </w:tcPr>
    </w:tblStylePr>
    <w:tblStylePr w:type="band1Horz">
      <w:rPr>
        <w:rFonts w:ascii="Arial" w:hAnsi="Arial"/>
        <w:color w:val="2A4A71"/>
        <w:sz w:val="22"/>
      </w:rPr>
      <w:tcPr>
        <w:shd w:val="clear" w:color="D2DFEE" w:fill="D2DFEE"/>
      </w:tcPr>
    </w:tblStylePr>
    <w:tblStylePr w:type="band2Horz">
      <w:rPr>
        <w:rFonts w:ascii="Arial" w:hAnsi="Arial"/>
        <w:color w:val="2A4A71"/>
        <w:sz w:val="22"/>
      </w:rPr>
    </w:tblStylePr>
  </w:style>
  <w:style w:type="table" w:customStyle="1" w:styleId="451">
    <w:name w:val="List Table 6 Colorful - Accent 2"/>
    <w:basedOn w:val="13"/>
    <w:uiPriority w:val="99"/>
    <w:rPr>
      <w:sz w:val="22"/>
      <w:szCs w:val="22"/>
      <w:lang w:eastAsia="en-US"/>
    </w:rPr>
    <w:tblPr>
      <w:tblBorders>
        <w:top w:val="single" w:color="D99695" w:sz="4" w:space="0"/>
        <w:bottom w:val="single" w:color="D99695" w:sz="4" w:space="0"/>
      </w:tblBorders>
      <w:tblCellMar>
        <w:top w:w="0" w:type="dxa"/>
        <w:left w:w="108" w:type="dxa"/>
        <w:bottom w:w="0" w:type="dxa"/>
        <w:right w:w="108" w:type="dxa"/>
      </w:tblCellMar>
    </w:tblPr>
    <w:tblStylePr w:type="firstRow">
      <w:rPr>
        <w:b/>
        <w:color w:val="D99695"/>
      </w:rPr>
      <w:tcPr>
        <w:tcBorders>
          <w:bottom w:val="single" w:color="D99695" w:sz="4" w:space="0"/>
        </w:tcBorders>
      </w:tcPr>
    </w:tblStylePr>
    <w:tblStylePr w:type="lastRow">
      <w:rPr>
        <w:b/>
        <w:color w:val="D99695"/>
      </w:rPr>
      <w:tcPr>
        <w:tcBorders>
          <w:top w:val="single" w:color="D99695" w:sz="4" w:space="0"/>
        </w:tcBorders>
      </w:tcPr>
    </w:tblStylePr>
    <w:tblStylePr w:type="firstCol">
      <w:rPr>
        <w:b/>
        <w:color w:val="D99695"/>
      </w:rPr>
    </w:tblStylePr>
    <w:tblStylePr w:type="lastCol">
      <w:rPr>
        <w:b/>
        <w:color w:val="D99695"/>
      </w:rPr>
    </w:tblStylePr>
    <w:tblStylePr w:type="band1Vert">
      <w:tcPr>
        <w:shd w:val="clear" w:color="EFD2D2" w:fill="EFD2D2"/>
      </w:tcPr>
    </w:tblStylePr>
    <w:tblStylePr w:type="band1Horz">
      <w:rPr>
        <w:rFonts w:ascii="Arial" w:hAnsi="Arial"/>
        <w:color w:val="D99695"/>
        <w:sz w:val="22"/>
      </w:rPr>
      <w:tcPr>
        <w:shd w:val="clear" w:color="EFD2D2" w:fill="EFD2D2"/>
      </w:tcPr>
    </w:tblStylePr>
    <w:tblStylePr w:type="band2Horz">
      <w:rPr>
        <w:rFonts w:ascii="Arial" w:hAnsi="Arial"/>
        <w:color w:val="D99695"/>
        <w:sz w:val="22"/>
      </w:rPr>
    </w:tblStylePr>
  </w:style>
  <w:style w:type="table" w:customStyle="1" w:styleId="452">
    <w:name w:val="List Table 6 Colorful - Accent 3"/>
    <w:basedOn w:val="13"/>
    <w:uiPriority w:val="99"/>
    <w:rPr>
      <w:sz w:val="22"/>
      <w:szCs w:val="22"/>
      <w:lang w:eastAsia="en-US"/>
    </w:rPr>
    <w:tblPr>
      <w:tblBorders>
        <w:top w:val="single" w:color="C3D69B" w:sz="4" w:space="0"/>
        <w:bottom w:val="single" w:color="C3D69B" w:sz="4" w:space="0"/>
      </w:tblBorders>
      <w:tblCellMar>
        <w:top w:w="0" w:type="dxa"/>
        <w:left w:w="108" w:type="dxa"/>
        <w:bottom w:w="0" w:type="dxa"/>
        <w:right w:w="108" w:type="dxa"/>
      </w:tblCellMar>
    </w:tblPr>
    <w:tblStylePr w:type="firstRow">
      <w:rPr>
        <w:b/>
        <w:color w:val="C3D69B"/>
      </w:rPr>
      <w:tcPr>
        <w:tcBorders>
          <w:bottom w:val="single" w:color="C3D69B" w:sz="4" w:space="0"/>
        </w:tcBorders>
      </w:tcPr>
    </w:tblStylePr>
    <w:tblStylePr w:type="lastRow">
      <w:rPr>
        <w:b/>
        <w:color w:val="C3D69B"/>
      </w:rPr>
      <w:tcPr>
        <w:tcBorders>
          <w:top w:val="single" w:color="C3D69B" w:sz="4" w:space="0"/>
        </w:tcBorders>
      </w:tcPr>
    </w:tblStylePr>
    <w:tblStylePr w:type="firstCol">
      <w:rPr>
        <w:b/>
        <w:color w:val="C3D69B"/>
      </w:rPr>
    </w:tblStylePr>
    <w:tblStylePr w:type="lastCol">
      <w:rPr>
        <w:b/>
        <w:color w:val="C3D69B"/>
      </w:rPr>
    </w:tblStylePr>
    <w:tblStylePr w:type="band1Vert">
      <w:tcPr>
        <w:shd w:val="clear" w:color="E5EED5" w:fill="E5EED5"/>
      </w:tcPr>
    </w:tblStylePr>
    <w:tblStylePr w:type="band1Horz">
      <w:rPr>
        <w:rFonts w:ascii="Arial" w:hAnsi="Arial"/>
        <w:color w:val="C3D69B"/>
        <w:sz w:val="22"/>
      </w:rPr>
      <w:tcPr>
        <w:shd w:val="clear" w:color="E5EED5" w:fill="E5EED5"/>
      </w:tcPr>
    </w:tblStylePr>
    <w:tblStylePr w:type="band2Horz">
      <w:rPr>
        <w:rFonts w:ascii="Arial" w:hAnsi="Arial"/>
        <w:color w:val="C3D69B"/>
        <w:sz w:val="22"/>
      </w:rPr>
    </w:tblStylePr>
  </w:style>
  <w:style w:type="table" w:customStyle="1" w:styleId="453">
    <w:name w:val="List Table 6 Colorful - Accent 4"/>
    <w:basedOn w:val="13"/>
    <w:uiPriority w:val="99"/>
    <w:rPr>
      <w:sz w:val="22"/>
      <w:szCs w:val="22"/>
      <w:lang w:eastAsia="en-US"/>
    </w:rPr>
    <w:tblPr>
      <w:tblBorders>
        <w:top w:val="single" w:color="B2A1C6" w:sz="4" w:space="0"/>
        <w:bottom w:val="single" w:color="B2A1C6" w:sz="4" w:space="0"/>
      </w:tblBorders>
      <w:tblCellMar>
        <w:top w:w="0" w:type="dxa"/>
        <w:left w:w="108" w:type="dxa"/>
        <w:bottom w:w="0" w:type="dxa"/>
        <w:right w:w="108" w:type="dxa"/>
      </w:tblCellMar>
    </w:tblPr>
    <w:tblStylePr w:type="firstRow">
      <w:rPr>
        <w:b/>
        <w:color w:val="B2A1C6"/>
      </w:rPr>
      <w:tcPr>
        <w:tcBorders>
          <w:bottom w:val="single" w:color="B2A1C6" w:sz="4" w:space="0"/>
        </w:tcBorders>
      </w:tcPr>
    </w:tblStylePr>
    <w:tblStylePr w:type="lastRow">
      <w:rPr>
        <w:b/>
        <w:color w:val="B2A1C6"/>
      </w:rPr>
      <w:tcPr>
        <w:tcBorders>
          <w:top w:val="single" w:color="B2A1C6" w:sz="4" w:space="0"/>
        </w:tcBorders>
      </w:tcPr>
    </w:tblStylePr>
    <w:tblStylePr w:type="firstCol">
      <w:rPr>
        <w:b/>
        <w:color w:val="B2A1C6"/>
      </w:rPr>
    </w:tblStylePr>
    <w:tblStylePr w:type="lastCol">
      <w:rPr>
        <w:b/>
        <w:color w:val="B2A1C6"/>
      </w:rPr>
    </w:tblStylePr>
    <w:tblStylePr w:type="band1Vert">
      <w:tcPr>
        <w:shd w:val="clear" w:color="DFD8E7" w:fill="DFD8E7"/>
      </w:tcPr>
    </w:tblStylePr>
    <w:tblStylePr w:type="band1Horz">
      <w:rPr>
        <w:rFonts w:ascii="Arial" w:hAnsi="Arial"/>
        <w:color w:val="B2A1C6"/>
        <w:sz w:val="22"/>
      </w:rPr>
      <w:tcPr>
        <w:shd w:val="clear" w:color="DFD8E7" w:fill="DFD8E7"/>
      </w:tcPr>
    </w:tblStylePr>
    <w:tblStylePr w:type="band2Horz">
      <w:rPr>
        <w:rFonts w:ascii="Arial" w:hAnsi="Arial"/>
        <w:color w:val="B2A1C6"/>
        <w:sz w:val="22"/>
      </w:rPr>
    </w:tblStylePr>
  </w:style>
  <w:style w:type="table" w:customStyle="1" w:styleId="454">
    <w:name w:val="List Table 6 Colorful - Accent 5"/>
    <w:basedOn w:val="13"/>
    <w:uiPriority w:val="99"/>
    <w:rPr>
      <w:sz w:val="22"/>
      <w:szCs w:val="22"/>
      <w:lang w:eastAsia="en-US"/>
    </w:rPr>
    <w:tblPr>
      <w:tblBorders>
        <w:top w:val="single" w:color="92CCDC" w:sz="4" w:space="0"/>
        <w:bottom w:val="single" w:color="92CCDC" w:sz="4" w:space="0"/>
      </w:tblBorders>
      <w:tblCellMar>
        <w:top w:w="0" w:type="dxa"/>
        <w:left w:w="108" w:type="dxa"/>
        <w:bottom w:w="0" w:type="dxa"/>
        <w:right w:w="108" w:type="dxa"/>
      </w:tblCellMar>
    </w:tblPr>
    <w:tblStylePr w:type="firstRow">
      <w:rPr>
        <w:b/>
        <w:color w:val="92CCDC"/>
      </w:rPr>
      <w:tcPr>
        <w:tcBorders>
          <w:bottom w:val="single" w:color="92CCDC" w:sz="4" w:space="0"/>
        </w:tcBorders>
      </w:tcPr>
    </w:tblStylePr>
    <w:tblStylePr w:type="lastRow">
      <w:rPr>
        <w:b/>
        <w:color w:val="92CCDC"/>
      </w:rPr>
      <w:tcPr>
        <w:tcBorders>
          <w:top w:val="single" w:color="92CCDC" w:sz="4" w:space="0"/>
        </w:tcBorders>
      </w:tcPr>
    </w:tblStylePr>
    <w:tblStylePr w:type="firstCol">
      <w:rPr>
        <w:b/>
        <w:color w:val="92CCDC"/>
      </w:rPr>
    </w:tblStylePr>
    <w:tblStylePr w:type="lastCol">
      <w:rPr>
        <w:b/>
        <w:color w:val="92CCDC"/>
      </w:rPr>
    </w:tblStylePr>
    <w:tblStylePr w:type="band1Vert">
      <w:tcPr>
        <w:shd w:val="clear" w:color="D1EAF0" w:fill="D1EAF0"/>
      </w:tcPr>
    </w:tblStylePr>
    <w:tblStylePr w:type="band1Horz">
      <w:rPr>
        <w:rFonts w:ascii="Arial" w:hAnsi="Arial"/>
        <w:color w:val="92CCDC"/>
        <w:sz w:val="22"/>
      </w:rPr>
      <w:tcPr>
        <w:shd w:val="clear" w:color="D1EAF0" w:fill="D1EAF0"/>
      </w:tcPr>
    </w:tblStylePr>
    <w:tblStylePr w:type="band2Horz">
      <w:rPr>
        <w:rFonts w:ascii="Arial" w:hAnsi="Arial"/>
        <w:color w:val="92CCDC"/>
        <w:sz w:val="22"/>
      </w:rPr>
    </w:tblStylePr>
  </w:style>
  <w:style w:type="table" w:customStyle="1" w:styleId="455">
    <w:name w:val="List Table 6 Colorful - Accent 6"/>
    <w:basedOn w:val="13"/>
    <w:uiPriority w:val="99"/>
    <w:rPr>
      <w:sz w:val="22"/>
      <w:szCs w:val="22"/>
      <w:lang w:eastAsia="en-US"/>
    </w:rPr>
    <w:tblPr>
      <w:tblBorders>
        <w:top w:val="single" w:color="FAC090" w:sz="4" w:space="0"/>
        <w:bottom w:val="single" w:color="FAC090" w:sz="4" w:space="0"/>
      </w:tblBorders>
      <w:tblCellMar>
        <w:top w:w="0" w:type="dxa"/>
        <w:left w:w="108" w:type="dxa"/>
        <w:bottom w:w="0" w:type="dxa"/>
        <w:right w:w="108" w:type="dxa"/>
      </w:tblCellMar>
    </w:tblPr>
    <w:tblStylePr w:type="firstRow">
      <w:rPr>
        <w:b/>
        <w:color w:val="FAC090"/>
      </w:rPr>
      <w:tcPr>
        <w:tcBorders>
          <w:bottom w:val="single" w:color="FAC090" w:sz="4" w:space="0"/>
        </w:tcBorders>
      </w:tcPr>
    </w:tblStylePr>
    <w:tblStylePr w:type="lastRow">
      <w:rPr>
        <w:b/>
        <w:color w:val="FAC090"/>
      </w:rPr>
      <w:tcPr>
        <w:tcBorders>
          <w:top w:val="single" w:color="FAC090" w:sz="4" w:space="0"/>
        </w:tcBorders>
      </w:tcPr>
    </w:tblStylePr>
    <w:tblStylePr w:type="firstCol">
      <w:rPr>
        <w:b/>
        <w:color w:val="FAC090"/>
      </w:rPr>
    </w:tblStylePr>
    <w:tblStylePr w:type="lastCol">
      <w:rPr>
        <w:b/>
        <w:color w:val="FAC090"/>
      </w:rPr>
    </w:tblStylePr>
    <w:tblStylePr w:type="band1Vert">
      <w:tcPr>
        <w:shd w:val="clear" w:color="FDE4D0" w:fill="FDE4D0"/>
      </w:tcPr>
    </w:tblStylePr>
    <w:tblStylePr w:type="band1Horz">
      <w:rPr>
        <w:rFonts w:ascii="Arial" w:hAnsi="Arial"/>
        <w:color w:val="FAC090"/>
        <w:sz w:val="22"/>
      </w:rPr>
      <w:tcPr>
        <w:shd w:val="clear" w:color="FDE4D0" w:fill="FDE4D0"/>
      </w:tcPr>
    </w:tblStylePr>
    <w:tblStylePr w:type="band2Horz">
      <w:rPr>
        <w:rFonts w:ascii="Arial" w:hAnsi="Arial"/>
        <w:color w:val="FAC090"/>
        <w:sz w:val="22"/>
      </w:rPr>
    </w:tblStylePr>
  </w:style>
  <w:style w:type="table" w:customStyle="1" w:styleId="456">
    <w:name w:val="Список-таблица 7 цветная1"/>
    <w:basedOn w:val="13"/>
    <w:uiPriority w:val="99"/>
    <w:rPr>
      <w:sz w:val="22"/>
      <w:szCs w:val="22"/>
      <w:lang w:eastAsia="en-US"/>
    </w:rPr>
    <w:tblPr>
      <w:tblBorders>
        <w:right w:val="single" w:color="7F7F7F" w:sz="4" w:space="0"/>
      </w:tblBorders>
      <w:tblCellMar>
        <w:top w:w="0" w:type="dxa"/>
        <w:left w:w="108" w:type="dxa"/>
        <w:bottom w:w="0" w:type="dxa"/>
        <w:right w:w="108" w:type="dxa"/>
      </w:tblCellMar>
    </w:tblPr>
    <w:tblStylePr w:type="firstRow">
      <w:rPr>
        <w:rFonts w:ascii="Arial" w:hAnsi="Arial"/>
        <w:i/>
        <w:color w:val="7F7F7F"/>
        <w:sz w:val="22"/>
      </w:rPr>
      <w:tcPr>
        <w:tcBorders>
          <w:top w:val="nil"/>
          <w:left w:val="nil"/>
          <w:bottom w:val="single" w:color="7F7F7F" w:sz="4" w:space="0"/>
          <w:right w:val="nil"/>
        </w:tcBorders>
        <w:shd w:val="clear" w:color="FFFFFF" w:fill="FFFFFF"/>
      </w:tcPr>
    </w:tblStylePr>
    <w:tblStylePr w:type="lastRow">
      <w:rPr>
        <w:rFonts w:ascii="Arial" w:hAnsi="Arial"/>
        <w:i/>
        <w:color w:val="7F7F7F"/>
        <w:sz w:val="22"/>
      </w:rPr>
      <w:tcPr>
        <w:tcBorders>
          <w:top w:val="single" w:color="7F7F7F" w:sz="4" w:space="0"/>
          <w:left w:val="nil"/>
          <w:bottom w:val="nil"/>
          <w:right w:val="nil"/>
        </w:tcBorders>
        <w:shd w:val="clear" w:color="FFFFFF" w:fill="FFFFFF"/>
      </w:tcPr>
    </w:tblStylePr>
    <w:tblStylePr w:type="firstCol">
      <w:pPr>
        <w:jc w:val="right"/>
      </w:pPr>
      <w:rPr>
        <w:rFonts w:ascii="Arial" w:hAnsi="Arial"/>
        <w:i/>
        <w:color w:val="7F7F7F"/>
        <w:sz w:val="22"/>
      </w:rPr>
      <w:tcPr>
        <w:tcBorders>
          <w:top w:val="nil"/>
          <w:left w:val="nil"/>
          <w:bottom w:val="nil"/>
          <w:right w:val="single" w:color="7F7F7F" w:sz="4" w:space="0"/>
        </w:tcBorders>
        <w:shd w:val="clear" w:color="FFFFFF" w:fill="auto"/>
      </w:tcPr>
    </w:tblStylePr>
    <w:tblStylePr w:type="lastCol">
      <w:rPr>
        <w:rFonts w:ascii="Arial" w:hAnsi="Arial"/>
        <w:i/>
        <w:color w:val="7F7F7F"/>
        <w:sz w:val="22"/>
      </w:rPr>
      <w:tcPr>
        <w:tcBorders>
          <w:top w:val="nil"/>
          <w:left w:val="single" w:color="7F7F7F" w:sz="4" w:space="0"/>
          <w:bottom w:val="nil"/>
          <w:right w:val="nil"/>
        </w:tcBorders>
        <w:shd w:val="clear" w:color="FFFFFF" w:fill="auto"/>
      </w:tcPr>
    </w:tblStylePr>
    <w:tblStylePr w:type="band1Vert">
      <w:tcPr>
        <w:shd w:val="clear" w:color="BFBFBF" w:fill="BFBFBF"/>
      </w:tcPr>
    </w:tblStylePr>
    <w:tblStylePr w:type="band1Horz">
      <w:rPr>
        <w:rFonts w:ascii="Arial" w:hAnsi="Arial"/>
        <w:color w:val="7F7F7F"/>
        <w:sz w:val="22"/>
      </w:rPr>
      <w:tcPr>
        <w:shd w:val="clear" w:color="BFBFBF" w:fill="BFBFBF"/>
      </w:tcPr>
    </w:tblStylePr>
    <w:tblStylePr w:type="band2Horz">
      <w:rPr>
        <w:rFonts w:ascii="Arial" w:hAnsi="Arial"/>
        <w:color w:val="7F7F7F"/>
        <w:sz w:val="22"/>
      </w:rPr>
    </w:tblStylePr>
  </w:style>
  <w:style w:type="table" w:customStyle="1" w:styleId="457">
    <w:name w:val="List Table 7 Colorful - Accent 1"/>
    <w:basedOn w:val="13"/>
    <w:uiPriority w:val="99"/>
    <w:rPr>
      <w:sz w:val="22"/>
      <w:szCs w:val="22"/>
      <w:lang w:eastAsia="en-US"/>
    </w:rPr>
    <w:tblPr>
      <w:tblBorders>
        <w:right w:val="single" w:color="4F81BD" w:sz="4" w:space="0"/>
      </w:tblBorders>
      <w:tblCellMar>
        <w:top w:w="0" w:type="dxa"/>
        <w:left w:w="108" w:type="dxa"/>
        <w:bottom w:w="0" w:type="dxa"/>
        <w:right w:w="108" w:type="dxa"/>
      </w:tblCellMar>
    </w:tblPr>
    <w:tblStylePr w:type="firstRow">
      <w:rPr>
        <w:rFonts w:ascii="Arial" w:hAnsi="Arial"/>
        <w:i/>
        <w:color w:val="2A4A71"/>
        <w:sz w:val="22"/>
      </w:rPr>
      <w:tcPr>
        <w:tcBorders>
          <w:top w:val="nil"/>
          <w:left w:val="nil"/>
          <w:bottom w:val="single" w:color="4F81BD" w:sz="4" w:space="0"/>
          <w:right w:val="nil"/>
        </w:tcBorders>
        <w:shd w:val="clear" w:color="FFFFFF" w:fill="FFFFFF"/>
      </w:tcPr>
    </w:tblStylePr>
    <w:tblStylePr w:type="lastRow">
      <w:rPr>
        <w:rFonts w:ascii="Arial" w:hAnsi="Arial"/>
        <w:i/>
        <w:color w:val="2A4A71"/>
        <w:sz w:val="22"/>
      </w:rPr>
      <w:tcPr>
        <w:tcBorders>
          <w:top w:val="single" w:color="4F81BD" w:sz="4" w:space="0"/>
          <w:left w:val="nil"/>
          <w:bottom w:val="nil"/>
          <w:right w:val="nil"/>
        </w:tcBorders>
        <w:shd w:val="clear" w:color="FFFFFF" w:fill="FFFFFF"/>
      </w:tcPr>
    </w:tblStylePr>
    <w:tblStylePr w:type="firstCol">
      <w:pPr>
        <w:jc w:val="right"/>
      </w:pPr>
      <w:rPr>
        <w:rFonts w:ascii="Arial" w:hAnsi="Arial"/>
        <w:i/>
        <w:color w:val="2A4A71"/>
        <w:sz w:val="22"/>
      </w:rPr>
      <w:tcPr>
        <w:tcBorders>
          <w:top w:val="nil"/>
          <w:left w:val="nil"/>
          <w:bottom w:val="nil"/>
          <w:right w:val="single" w:color="4F81BD" w:sz="4" w:space="0"/>
        </w:tcBorders>
        <w:shd w:val="clear" w:color="FFFFFF" w:fill="auto"/>
      </w:tcPr>
    </w:tblStylePr>
    <w:tblStylePr w:type="lastCol">
      <w:rPr>
        <w:rFonts w:ascii="Arial" w:hAnsi="Arial"/>
        <w:i/>
        <w:color w:val="2A4A71"/>
        <w:sz w:val="22"/>
      </w:rPr>
      <w:tcPr>
        <w:tcBorders>
          <w:top w:val="nil"/>
          <w:left w:val="single" w:color="4F81BD" w:sz="4" w:space="0"/>
          <w:bottom w:val="nil"/>
          <w:right w:val="nil"/>
        </w:tcBorders>
        <w:shd w:val="clear" w:color="FFFFFF" w:fill="auto"/>
      </w:tcPr>
    </w:tblStylePr>
    <w:tblStylePr w:type="band1Vert">
      <w:tcPr>
        <w:shd w:val="clear" w:color="D2DFEE" w:fill="D2DFEE"/>
      </w:tcPr>
    </w:tblStylePr>
    <w:tblStylePr w:type="band1Horz">
      <w:rPr>
        <w:rFonts w:ascii="Arial" w:hAnsi="Arial"/>
        <w:color w:val="2A4A71"/>
        <w:sz w:val="22"/>
      </w:rPr>
      <w:tcPr>
        <w:shd w:val="clear" w:color="D2DFEE" w:fill="D2DFEE"/>
      </w:tcPr>
    </w:tblStylePr>
    <w:tblStylePr w:type="band2Horz">
      <w:rPr>
        <w:rFonts w:ascii="Arial" w:hAnsi="Arial"/>
        <w:color w:val="2A4A71"/>
        <w:sz w:val="22"/>
      </w:rPr>
    </w:tblStylePr>
  </w:style>
  <w:style w:type="table" w:customStyle="1" w:styleId="458">
    <w:name w:val="List Table 7 Colorful - Accent 2"/>
    <w:basedOn w:val="13"/>
    <w:uiPriority w:val="99"/>
    <w:rPr>
      <w:sz w:val="22"/>
      <w:szCs w:val="22"/>
      <w:lang w:eastAsia="en-US"/>
    </w:rPr>
    <w:tblPr>
      <w:tblBorders>
        <w:right w:val="single" w:color="D99695" w:sz="4" w:space="0"/>
      </w:tblBorders>
      <w:tblCellMar>
        <w:top w:w="0" w:type="dxa"/>
        <w:left w:w="108" w:type="dxa"/>
        <w:bottom w:w="0" w:type="dxa"/>
        <w:right w:w="108" w:type="dxa"/>
      </w:tblCellMar>
    </w:tblPr>
    <w:tblStylePr w:type="firstRow">
      <w:rPr>
        <w:rFonts w:ascii="Arial" w:hAnsi="Arial"/>
        <w:i/>
        <w:color w:val="D99695"/>
        <w:sz w:val="22"/>
      </w:rPr>
      <w:tcPr>
        <w:tcBorders>
          <w:top w:val="nil"/>
          <w:left w:val="nil"/>
          <w:bottom w:val="single" w:color="D99695" w:sz="4" w:space="0"/>
          <w:right w:val="nil"/>
        </w:tcBorders>
        <w:shd w:val="clear" w:color="FFFFFF" w:fill="FFFFFF"/>
      </w:tcPr>
    </w:tblStylePr>
    <w:tblStylePr w:type="lastRow">
      <w:rPr>
        <w:rFonts w:ascii="Arial" w:hAnsi="Arial"/>
        <w:i/>
        <w:color w:val="D99695"/>
        <w:sz w:val="22"/>
      </w:rPr>
      <w:tcPr>
        <w:tcBorders>
          <w:top w:val="single" w:color="D99695" w:sz="4" w:space="0"/>
          <w:left w:val="nil"/>
          <w:bottom w:val="nil"/>
          <w:right w:val="nil"/>
        </w:tcBorders>
        <w:shd w:val="clear" w:color="FFFFFF" w:fill="FFFFFF"/>
      </w:tcPr>
    </w:tblStylePr>
    <w:tblStylePr w:type="firstCol">
      <w:pPr>
        <w:jc w:val="right"/>
      </w:pPr>
      <w:rPr>
        <w:rFonts w:ascii="Arial" w:hAnsi="Arial"/>
        <w:i/>
        <w:color w:val="D99695"/>
        <w:sz w:val="22"/>
      </w:rPr>
      <w:tcPr>
        <w:tcBorders>
          <w:top w:val="nil"/>
          <w:left w:val="nil"/>
          <w:bottom w:val="nil"/>
          <w:right w:val="single" w:color="D99695" w:sz="4" w:space="0"/>
        </w:tcBorders>
        <w:shd w:val="clear" w:color="FFFFFF" w:fill="auto"/>
      </w:tcPr>
    </w:tblStylePr>
    <w:tblStylePr w:type="lastCol">
      <w:rPr>
        <w:rFonts w:ascii="Arial" w:hAnsi="Arial"/>
        <w:i/>
        <w:color w:val="D99695"/>
        <w:sz w:val="22"/>
      </w:rPr>
      <w:tcPr>
        <w:tcBorders>
          <w:top w:val="nil"/>
          <w:left w:val="single" w:color="D99695" w:sz="4" w:space="0"/>
          <w:bottom w:val="nil"/>
          <w:right w:val="nil"/>
        </w:tcBorders>
        <w:shd w:val="clear" w:color="FFFFFF" w:fill="auto"/>
      </w:tcPr>
    </w:tblStylePr>
    <w:tblStylePr w:type="band1Vert">
      <w:tcPr>
        <w:shd w:val="clear" w:color="EFD2D2" w:fill="EFD2D2"/>
      </w:tcPr>
    </w:tblStylePr>
    <w:tblStylePr w:type="band1Horz">
      <w:rPr>
        <w:rFonts w:ascii="Arial" w:hAnsi="Arial"/>
        <w:color w:val="D99695"/>
        <w:sz w:val="22"/>
      </w:rPr>
      <w:tcPr>
        <w:shd w:val="clear" w:color="EFD2D2" w:fill="EFD2D2"/>
      </w:tcPr>
    </w:tblStylePr>
    <w:tblStylePr w:type="band2Horz">
      <w:rPr>
        <w:rFonts w:ascii="Arial" w:hAnsi="Arial"/>
        <w:color w:val="D99695"/>
        <w:sz w:val="22"/>
      </w:rPr>
    </w:tblStylePr>
  </w:style>
  <w:style w:type="table" w:customStyle="1" w:styleId="459">
    <w:name w:val="List Table 7 Colorful - Accent 3"/>
    <w:basedOn w:val="13"/>
    <w:uiPriority w:val="99"/>
    <w:rPr>
      <w:sz w:val="22"/>
      <w:szCs w:val="22"/>
      <w:lang w:eastAsia="en-US"/>
    </w:rPr>
    <w:tblPr>
      <w:tblBorders>
        <w:right w:val="single" w:color="C3D69B" w:sz="4" w:space="0"/>
      </w:tblBorders>
      <w:tblCellMar>
        <w:top w:w="0" w:type="dxa"/>
        <w:left w:w="108" w:type="dxa"/>
        <w:bottom w:w="0" w:type="dxa"/>
        <w:right w:w="108" w:type="dxa"/>
      </w:tblCellMar>
    </w:tblPr>
    <w:tblStylePr w:type="firstRow">
      <w:rPr>
        <w:rFonts w:ascii="Arial" w:hAnsi="Arial"/>
        <w:i/>
        <w:color w:val="C3D69B"/>
        <w:sz w:val="22"/>
      </w:rPr>
      <w:tcPr>
        <w:tcBorders>
          <w:top w:val="nil"/>
          <w:left w:val="nil"/>
          <w:bottom w:val="single" w:color="C3D69B" w:sz="4" w:space="0"/>
          <w:right w:val="nil"/>
        </w:tcBorders>
        <w:shd w:val="clear" w:color="FFFFFF" w:fill="FFFFFF"/>
      </w:tcPr>
    </w:tblStylePr>
    <w:tblStylePr w:type="lastRow">
      <w:rPr>
        <w:rFonts w:ascii="Arial" w:hAnsi="Arial"/>
        <w:i/>
        <w:color w:val="C3D69B"/>
        <w:sz w:val="22"/>
      </w:rPr>
      <w:tcPr>
        <w:tcBorders>
          <w:top w:val="single" w:color="C3D69B" w:sz="4" w:space="0"/>
          <w:left w:val="nil"/>
          <w:bottom w:val="nil"/>
          <w:right w:val="nil"/>
        </w:tcBorders>
        <w:shd w:val="clear" w:color="FFFFFF" w:fill="FFFFFF"/>
      </w:tcPr>
    </w:tblStylePr>
    <w:tblStylePr w:type="firstCol">
      <w:pPr>
        <w:jc w:val="right"/>
      </w:pPr>
      <w:rPr>
        <w:rFonts w:ascii="Arial" w:hAnsi="Arial"/>
        <w:i/>
        <w:color w:val="C3D69B"/>
        <w:sz w:val="22"/>
      </w:rPr>
      <w:tcPr>
        <w:tcBorders>
          <w:top w:val="nil"/>
          <w:left w:val="nil"/>
          <w:bottom w:val="nil"/>
          <w:right w:val="single" w:color="C3D69B" w:sz="4" w:space="0"/>
        </w:tcBorders>
        <w:shd w:val="clear" w:color="FFFFFF" w:fill="auto"/>
      </w:tcPr>
    </w:tblStylePr>
    <w:tblStylePr w:type="lastCol">
      <w:rPr>
        <w:rFonts w:ascii="Arial" w:hAnsi="Arial"/>
        <w:i/>
        <w:color w:val="C3D69B"/>
        <w:sz w:val="22"/>
      </w:rPr>
      <w:tcPr>
        <w:tcBorders>
          <w:top w:val="nil"/>
          <w:left w:val="single" w:color="C3D69B" w:sz="4" w:space="0"/>
          <w:bottom w:val="nil"/>
          <w:right w:val="nil"/>
        </w:tcBorders>
        <w:shd w:val="clear" w:color="FFFFFF" w:fill="auto"/>
      </w:tcPr>
    </w:tblStylePr>
    <w:tblStylePr w:type="band1Vert">
      <w:tcPr>
        <w:shd w:val="clear" w:color="E5EED5" w:fill="E5EED5"/>
      </w:tcPr>
    </w:tblStylePr>
    <w:tblStylePr w:type="band1Horz">
      <w:rPr>
        <w:rFonts w:ascii="Arial" w:hAnsi="Arial"/>
        <w:color w:val="C3D69B"/>
        <w:sz w:val="22"/>
      </w:rPr>
      <w:tcPr>
        <w:shd w:val="clear" w:color="E5EED5" w:fill="E5EED5"/>
      </w:tcPr>
    </w:tblStylePr>
    <w:tblStylePr w:type="band2Horz">
      <w:rPr>
        <w:rFonts w:ascii="Arial" w:hAnsi="Arial"/>
        <w:color w:val="C3D69B"/>
        <w:sz w:val="22"/>
      </w:rPr>
    </w:tblStylePr>
  </w:style>
  <w:style w:type="table" w:customStyle="1" w:styleId="460">
    <w:name w:val="List Table 7 Colorful - Accent 4"/>
    <w:basedOn w:val="13"/>
    <w:uiPriority w:val="99"/>
    <w:rPr>
      <w:sz w:val="22"/>
      <w:szCs w:val="22"/>
      <w:lang w:eastAsia="en-US"/>
    </w:rPr>
    <w:tblPr>
      <w:tblBorders>
        <w:right w:val="single" w:color="B2A1C6" w:sz="4" w:space="0"/>
      </w:tblBorders>
      <w:tblCellMar>
        <w:top w:w="0" w:type="dxa"/>
        <w:left w:w="108" w:type="dxa"/>
        <w:bottom w:w="0" w:type="dxa"/>
        <w:right w:w="108" w:type="dxa"/>
      </w:tblCellMar>
    </w:tblPr>
    <w:tblStylePr w:type="firstRow">
      <w:rPr>
        <w:rFonts w:ascii="Arial" w:hAnsi="Arial"/>
        <w:i/>
        <w:color w:val="B2A1C6"/>
        <w:sz w:val="22"/>
      </w:rPr>
      <w:tcPr>
        <w:tcBorders>
          <w:top w:val="nil"/>
          <w:left w:val="nil"/>
          <w:bottom w:val="single" w:color="B2A1C6" w:sz="4" w:space="0"/>
          <w:right w:val="nil"/>
        </w:tcBorders>
        <w:shd w:val="clear" w:color="FFFFFF" w:fill="FFFFFF"/>
      </w:tcPr>
    </w:tblStylePr>
    <w:tblStylePr w:type="lastRow">
      <w:rPr>
        <w:rFonts w:ascii="Arial" w:hAnsi="Arial"/>
        <w:i/>
        <w:color w:val="B2A1C6"/>
        <w:sz w:val="22"/>
      </w:rPr>
      <w:tcPr>
        <w:tcBorders>
          <w:top w:val="single" w:color="B2A1C6" w:sz="4" w:space="0"/>
          <w:left w:val="nil"/>
          <w:bottom w:val="nil"/>
          <w:right w:val="nil"/>
        </w:tcBorders>
        <w:shd w:val="clear" w:color="FFFFFF" w:fill="FFFFFF"/>
      </w:tcPr>
    </w:tblStylePr>
    <w:tblStylePr w:type="firstCol">
      <w:pPr>
        <w:jc w:val="right"/>
      </w:pPr>
      <w:rPr>
        <w:rFonts w:ascii="Arial" w:hAnsi="Arial"/>
        <w:i/>
        <w:color w:val="B2A1C6"/>
        <w:sz w:val="22"/>
      </w:rPr>
      <w:tcPr>
        <w:tcBorders>
          <w:top w:val="nil"/>
          <w:left w:val="nil"/>
          <w:bottom w:val="nil"/>
          <w:right w:val="single" w:color="B2A1C6" w:sz="4" w:space="0"/>
        </w:tcBorders>
        <w:shd w:val="clear" w:color="FFFFFF" w:fill="auto"/>
      </w:tcPr>
    </w:tblStylePr>
    <w:tblStylePr w:type="lastCol">
      <w:rPr>
        <w:rFonts w:ascii="Arial" w:hAnsi="Arial"/>
        <w:i/>
        <w:color w:val="B2A1C6"/>
        <w:sz w:val="22"/>
      </w:rPr>
      <w:tcPr>
        <w:tcBorders>
          <w:top w:val="nil"/>
          <w:left w:val="single" w:color="B2A1C6" w:sz="4" w:space="0"/>
          <w:bottom w:val="nil"/>
          <w:right w:val="nil"/>
        </w:tcBorders>
        <w:shd w:val="clear" w:color="FFFFFF" w:fill="auto"/>
      </w:tcPr>
    </w:tblStylePr>
    <w:tblStylePr w:type="band1Vert">
      <w:tcPr>
        <w:shd w:val="clear" w:color="DFD8E7" w:fill="DFD8E7"/>
      </w:tcPr>
    </w:tblStylePr>
    <w:tblStylePr w:type="band1Horz">
      <w:rPr>
        <w:rFonts w:ascii="Arial" w:hAnsi="Arial"/>
        <w:color w:val="B2A1C6"/>
        <w:sz w:val="22"/>
      </w:rPr>
      <w:tcPr>
        <w:shd w:val="clear" w:color="DFD8E7" w:fill="DFD8E7"/>
      </w:tcPr>
    </w:tblStylePr>
    <w:tblStylePr w:type="band2Horz">
      <w:rPr>
        <w:rFonts w:ascii="Arial" w:hAnsi="Arial"/>
        <w:color w:val="B2A1C6"/>
        <w:sz w:val="22"/>
      </w:rPr>
    </w:tblStylePr>
  </w:style>
  <w:style w:type="table" w:customStyle="1" w:styleId="461">
    <w:name w:val="List Table 7 Colorful - Accent 5"/>
    <w:basedOn w:val="13"/>
    <w:uiPriority w:val="99"/>
    <w:rPr>
      <w:sz w:val="22"/>
      <w:szCs w:val="22"/>
      <w:lang w:eastAsia="en-US"/>
    </w:rPr>
    <w:tblPr>
      <w:tblBorders>
        <w:right w:val="single" w:color="92CCDC" w:sz="4" w:space="0"/>
      </w:tblBorders>
      <w:tblCellMar>
        <w:top w:w="0" w:type="dxa"/>
        <w:left w:w="108" w:type="dxa"/>
        <w:bottom w:w="0" w:type="dxa"/>
        <w:right w:w="108" w:type="dxa"/>
      </w:tblCellMar>
    </w:tblPr>
    <w:tblStylePr w:type="firstRow">
      <w:rPr>
        <w:rFonts w:ascii="Arial" w:hAnsi="Arial"/>
        <w:i/>
        <w:color w:val="92CCDC"/>
        <w:sz w:val="22"/>
      </w:rPr>
      <w:tcPr>
        <w:tcBorders>
          <w:top w:val="nil"/>
          <w:left w:val="nil"/>
          <w:bottom w:val="single" w:color="92CCDC" w:sz="4" w:space="0"/>
          <w:right w:val="nil"/>
        </w:tcBorders>
        <w:shd w:val="clear" w:color="FFFFFF" w:fill="FFFFFF"/>
      </w:tcPr>
    </w:tblStylePr>
    <w:tblStylePr w:type="lastRow">
      <w:rPr>
        <w:rFonts w:ascii="Arial" w:hAnsi="Arial"/>
        <w:i/>
        <w:color w:val="92CCDC"/>
        <w:sz w:val="22"/>
      </w:rPr>
      <w:tcPr>
        <w:tcBorders>
          <w:top w:val="single" w:color="92CCDC" w:sz="4" w:space="0"/>
          <w:left w:val="nil"/>
          <w:bottom w:val="nil"/>
          <w:right w:val="nil"/>
        </w:tcBorders>
        <w:shd w:val="clear" w:color="FFFFFF" w:fill="FFFFFF"/>
      </w:tcPr>
    </w:tblStylePr>
    <w:tblStylePr w:type="firstCol">
      <w:pPr>
        <w:jc w:val="right"/>
      </w:pPr>
      <w:rPr>
        <w:rFonts w:ascii="Arial" w:hAnsi="Arial"/>
        <w:i/>
        <w:color w:val="92CCDC"/>
        <w:sz w:val="22"/>
      </w:rPr>
      <w:tcPr>
        <w:tcBorders>
          <w:top w:val="nil"/>
          <w:left w:val="nil"/>
          <w:bottom w:val="nil"/>
          <w:right w:val="single" w:color="92CCDC" w:sz="4" w:space="0"/>
        </w:tcBorders>
        <w:shd w:val="clear" w:color="FFFFFF" w:fill="auto"/>
      </w:tcPr>
    </w:tblStylePr>
    <w:tblStylePr w:type="lastCol">
      <w:rPr>
        <w:rFonts w:ascii="Arial" w:hAnsi="Arial"/>
        <w:i/>
        <w:color w:val="92CCDC"/>
        <w:sz w:val="22"/>
      </w:rPr>
      <w:tcPr>
        <w:tcBorders>
          <w:top w:val="nil"/>
          <w:left w:val="single" w:color="92CCDC" w:sz="4" w:space="0"/>
          <w:bottom w:val="nil"/>
          <w:right w:val="nil"/>
        </w:tcBorders>
        <w:shd w:val="clear" w:color="FFFFFF" w:fill="auto"/>
      </w:tcPr>
    </w:tblStylePr>
    <w:tblStylePr w:type="band1Vert">
      <w:tcPr>
        <w:shd w:val="clear" w:color="D1EAF0" w:fill="D1EAF0"/>
      </w:tcPr>
    </w:tblStylePr>
    <w:tblStylePr w:type="band1Horz">
      <w:rPr>
        <w:rFonts w:ascii="Arial" w:hAnsi="Arial"/>
        <w:color w:val="92CCDC"/>
        <w:sz w:val="22"/>
      </w:rPr>
      <w:tcPr>
        <w:shd w:val="clear" w:color="D1EAF0" w:fill="D1EAF0"/>
      </w:tcPr>
    </w:tblStylePr>
    <w:tblStylePr w:type="band2Horz">
      <w:rPr>
        <w:rFonts w:ascii="Arial" w:hAnsi="Arial"/>
        <w:color w:val="92CCDC"/>
        <w:sz w:val="22"/>
      </w:rPr>
    </w:tblStylePr>
  </w:style>
  <w:style w:type="table" w:customStyle="1" w:styleId="462">
    <w:name w:val="List Table 7 Colorful - Accent 6"/>
    <w:basedOn w:val="13"/>
    <w:uiPriority w:val="99"/>
    <w:rPr>
      <w:sz w:val="22"/>
      <w:szCs w:val="22"/>
      <w:lang w:eastAsia="en-US"/>
    </w:rPr>
    <w:tblPr>
      <w:tblBorders>
        <w:right w:val="single" w:color="FAC090" w:sz="4" w:space="0"/>
      </w:tblBorders>
      <w:tblCellMar>
        <w:top w:w="0" w:type="dxa"/>
        <w:left w:w="108" w:type="dxa"/>
        <w:bottom w:w="0" w:type="dxa"/>
        <w:right w:w="108" w:type="dxa"/>
      </w:tblCellMar>
    </w:tblPr>
    <w:tblStylePr w:type="firstRow">
      <w:rPr>
        <w:rFonts w:ascii="Arial" w:hAnsi="Arial"/>
        <w:i/>
        <w:color w:val="FAC090"/>
        <w:sz w:val="22"/>
      </w:rPr>
      <w:tcPr>
        <w:tcBorders>
          <w:top w:val="nil"/>
          <w:left w:val="nil"/>
          <w:bottom w:val="single" w:color="FAC090" w:sz="4" w:space="0"/>
          <w:right w:val="nil"/>
        </w:tcBorders>
        <w:shd w:val="clear" w:color="FFFFFF" w:fill="FFFFFF"/>
      </w:tcPr>
    </w:tblStylePr>
    <w:tblStylePr w:type="lastRow">
      <w:rPr>
        <w:rFonts w:ascii="Arial" w:hAnsi="Arial"/>
        <w:i/>
        <w:color w:val="FAC090"/>
        <w:sz w:val="22"/>
      </w:rPr>
      <w:tcPr>
        <w:tcBorders>
          <w:top w:val="single" w:color="FAC090" w:sz="4" w:space="0"/>
          <w:left w:val="nil"/>
          <w:bottom w:val="nil"/>
          <w:right w:val="nil"/>
        </w:tcBorders>
        <w:shd w:val="clear" w:color="FFFFFF" w:fill="FFFFFF"/>
      </w:tcPr>
    </w:tblStylePr>
    <w:tblStylePr w:type="firstCol">
      <w:pPr>
        <w:jc w:val="right"/>
      </w:pPr>
      <w:rPr>
        <w:rFonts w:ascii="Arial" w:hAnsi="Arial"/>
        <w:i/>
        <w:color w:val="FAC090"/>
        <w:sz w:val="22"/>
      </w:rPr>
      <w:tcPr>
        <w:tcBorders>
          <w:top w:val="nil"/>
          <w:left w:val="nil"/>
          <w:bottom w:val="nil"/>
          <w:right w:val="single" w:color="FAC090" w:sz="4" w:space="0"/>
        </w:tcBorders>
        <w:shd w:val="clear" w:color="FFFFFF" w:fill="auto"/>
      </w:tcPr>
    </w:tblStylePr>
    <w:tblStylePr w:type="lastCol">
      <w:rPr>
        <w:rFonts w:ascii="Arial" w:hAnsi="Arial"/>
        <w:i/>
        <w:color w:val="FAC090"/>
        <w:sz w:val="22"/>
      </w:rPr>
      <w:tcPr>
        <w:tcBorders>
          <w:top w:val="nil"/>
          <w:left w:val="single" w:color="FAC090" w:sz="4" w:space="0"/>
          <w:bottom w:val="nil"/>
          <w:right w:val="nil"/>
        </w:tcBorders>
        <w:shd w:val="clear" w:color="FFFFFF" w:fill="auto"/>
      </w:tcPr>
    </w:tblStylePr>
    <w:tblStylePr w:type="band1Vert">
      <w:tcPr>
        <w:shd w:val="clear" w:color="FDE4D0" w:fill="FDE4D0"/>
      </w:tcPr>
    </w:tblStylePr>
    <w:tblStylePr w:type="band1Horz">
      <w:rPr>
        <w:rFonts w:ascii="Arial" w:hAnsi="Arial"/>
        <w:color w:val="FAC090"/>
        <w:sz w:val="22"/>
      </w:rPr>
      <w:tcPr>
        <w:shd w:val="clear" w:color="FDE4D0" w:fill="FDE4D0"/>
      </w:tcPr>
    </w:tblStylePr>
    <w:tblStylePr w:type="band2Horz">
      <w:rPr>
        <w:rFonts w:ascii="Arial" w:hAnsi="Arial"/>
        <w:color w:val="FAC090"/>
        <w:sz w:val="22"/>
      </w:rPr>
    </w:tblStylePr>
  </w:style>
  <w:style w:type="table" w:customStyle="1" w:styleId="463">
    <w:name w:val="Lined - Accent"/>
    <w:basedOn w:val="13"/>
    <w:uiPriority w:val="99"/>
    <w:rPr>
      <w:color w:val="404040"/>
    </w:rPr>
    <w:tblPr>
      <w:tblCellMar>
        <w:top w:w="0" w:type="dxa"/>
        <w:left w:w="108" w:type="dxa"/>
        <w:bottom w:w="0" w:type="dxa"/>
        <w:right w:w="108" w:type="dxa"/>
      </w:tblCellMar>
    </w:tblPr>
    <w:tblStylePr w:type="firstRow">
      <w:rPr>
        <w:rFonts w:ascii="Arial" w:hAnsi="Arial"/>
        <w:color w:val="F2F2F2"/>
        <w:sz w:val="22"/>
      </w:rPr>
      <w:tcPr>
        <w:shd w:val="clear" w:color="7F7F7F" w:fill="7F7F7F"/>
      </w:tcPr>
    </w:tblStylePr>
    <w:tblStylePr w:type="lastRow">
      <w:rPr>
        <w:rFonts w:ascii="Arial" w:hAnsi="Arial"/>
        <w:color w:val="F2F2F2"/>
        <w:sz w:val="22"/>
      </w:rPr>
      <w:tcPr>
        <w:shd w:val="clear" w:color="7F7F7F" w:fill="7F7F7F"/>
      </w:tcPr>
    </w:tblStylePr>
    <w:tblStylePr w:type="firstCol">
      <w:rPr>
        <w:rFonts w:ascii="Arial" w:hAnsi="Arial"/>
        <w:color w:val="F2F2F2"/>
        <w:sz w:val="22"/>
      </w:rPr>
      <w:tcPr>
        <w:shd w:val="clear" w:color="7F7F7F" w:fill="7F7F7F"/>
      </w:tcPr>
    </w:tblStylePr>
    <w:tblStylePr w:type="lastCol">
      <w:rPr>
        <w:rFonts w:ascii="Arial" w:hAnsi="Arial"/>
        <w:color w:val="F2F2F2"/>
        <w:sz w:val="22"/>
      </w:rPr>
      <w:tcPr>
        <w:shd w:val="clear" w:color="7F7F7F" w:fill="7F7F7F"/>
      </w:tcPr>
    </w:tblStylePr>
    <w:tblStylePr w:type="band1Vert">
      <w:rPr>
        <w:rFonts w:ascii="Arial" w:hAnsi="Arial"/>
        <w:color w:val="404040"/>
        <w:sz w:val="22"/>
      </w:rPr>
    </w:tblStylePr>
    <w:tblStylePr w:type="band2Vert">
      <w:rPr>
        <w:rFonts w:ascii="Arial" w:hAnsi="Arial"/>
        <w:color w:val="404040"/>
        <w:sz w:val="22"/>
      </w:rPr>
      <w:tcPr>
        <w:shd w:val="clear" w:color="F2F2F2" w:fill="F2F2F2"/>
      </w:tcPr>
    </w:tblStylePr>
    <w:tblStylePr w:type="band1Horz">
      <w:rPr>
        <w:rFonts w:ascii="Arial" w:hAnsi="Arial"/>
        <w:color w:val="404040"/>
        <w:sz w:val="22"/>
      </w:rPr>
    </w:tblStylePr>
    <w:tblStylePr w:type="band2Horz">
      <w:rPr>
        <w:rFonts w:ascii="Arial" w:hAnsi="Arial"/>
        <w:color w:val="404040"/>
        <w:sz w:val="22"/>
      </w:rPr>
      <w:tcPr>
        <w:shd w:val="clear" w:color="F2F2F2" w:fill="F2F2F2"/>
      </w:tcPr>
    </w:tblStylePr>
  </w:style>
  <w:style w:type="table" w:customStyle="1" w:styleId="464">
    <w:name w:val="Lined - Accent 1"/>
    <w:basedOn w:val="13"/>
    <w:uiPriority w:val="99"/>
    <w:rPr>
      <w:color w:val="404040"/>
    </w:rPr>
    <w:tblPr>
      <w:tblCellMar>
        <w:top w:w="0" w:type="dxa"/>
        <w:left w:w="108" w:type="dxa"/>
        <w:bottom w:w="0" w:type="dxa"/>
        <w:right w:w="108" w:type="dxa"/>
      </w:tblCellMar>
    </w:tblPr>
    <w:tblStylePr w:type="firstRow">
      <w:rPr>
        <w:rFonts w:ascii="Arial" w:hAnsi="Arial"/>
        <w:color w:val="F2F2F2"/>
        <w:sz w:val="22"/>
      </w:rPr>
      <w:tcPr>
        <w:shd w:val="clear" w:color="5D8AC2" w:fill="5D8AC2"/>
      </w:tcPr>
    </w:tblStylePr>
    <w:tblStylePr w:type="lastRow">
      <w:rPr>
        <w:rFonts w:ascii="Arial" w:hAnsi="Arial"/>
        <w:color w:val="F2F2F2"/>
        <w:sz w:val="22"/>
      </w:rPr>
      <w:tcPr>
        <w:shd w:val="clear" w:color="5D8AC2" w:fill="5D8AC2"/>
      </w:tcPr>
    </w:tblStylePr>
    <w:tblStylePr w:type="firstCol">
      <w:rPr>
        <w:rFonts w:ascii="Arial" w:hAnsi="Arial"/>
        <w:color w:val="F2F2F2"/>
        <w:sz w:val="22"/>
      </w:rPr>
      <w:tcPr>
        <w:shd w:val="clear" w:color="5D8AC2" w:fill="5D8AC2"/>
      </w:tcPr>
    </w:tblStylePr>
    <w:tblStylePr w:type="lastCol">
      <w:rPr>
        <w:rFonts w:ascii="Arial" w:hAnsi="Arial"/>
        <w:color w:val="F2F2F2"/>
        <w:sz w:val="22"/>
      </w:rPr>
      <w:tcPr>
        <w:shd w:val="clear" w:color="5D8AC2" w:fill="5D8AC2"/>
      </w:tcPr>
    </w:tblStylePr>
    <w:tblStylePr w:type="band1Vert">
      <w:rPr>
        <w:rFonts w:ascii="Arial" w:hAnsi="Arial"/>
        <w:color w:val="404040"/>
        <w:sz w:val="22"/>
      </w:rPr>
    </w:tblStylePr>
    <w:tblStylePr w:type="band2Vert">
      <w:rPr>
        <w:rFonts w:ascii="Arial" w:hAnsi="Arial"/>
        <w:color w:val="404040"/>
        <w:sz w:val="22"/>
      </w:rPr>
      <w:tcPr>
        <w:shd w:val="clear" w:color="C7D7EA" w:fill="C7D7EA"/>
      </w:tcPr>
    </w:tblStylePr>
    <w:tblStylePr w:type="band1Horz">
      <w:rPr>
        <w:rFonts w:ascii="Arial" w:hAnsi="Arial"/>
        <w:color w:val="404040"/>
        <w:sz w:val="22"/>
      </w:rPr>
    </w:tblStylePr>
    <w:tblStylePr w:type="band2Horz">
      <w:rPr>
        <w:rFonts w:ascii="Arial" w:hAnsi="Arial"/>
        <w:color w:val="404040"/>
        <w:sz w:val="22"/>
      </w:rPr>
      <w:tcPr>
        <w:shd w:val="clear" w:color="C7D7EA" w:fill="C7D7EA"/>
      </w:tcPr>
    </w:tblStylePr>
  </w:style>
  <w:style w:type="table" w:customStyle="1" w:styleId="465">
    <w:name w:val="Lined - Accent 2"/>
    <w:basedOn w:val="13"/>
    <w:uiPriority w:val="99"/>
    <w:rPr>
      <w:color w:val="404040"/>
    </w:rPr>
    <w:tblPr>
      <w:tblCellMar>
        <w:top w:w="0" w:type="dxa"/>
        <w:left w:w="108" w:type="dxa"/>
        <w:bottom w:w="0" w:type="dxa"/>
        <w:right w:w="108" w:type="dxa"/>
      </w:tblCellMar>
    </w:tblPr>
    <w:tblStylePr w:type="firstRow">
      <w:rPr>
        <w:rFonts w:ascii="Arial" w:hAnsi="Arial"/>
        <w:color w:val="F2F2F2"/>
        <w:sz w:val="22"/>
      </w:rPr>
      <w:tcPr>
        <w:shd w:val="clear" w:color="D99695" w:fill="D99695"/>
      </w:tcPr>
    </w:tblStylePr>
    <w:tblStylePr w:type="lastRow">
      <w:rPr>
        <w:rFonts w:ascii="Arial" w:hAnsi="Arial"/>
        <w:color w:val="F2F2F2"/>
        <w:sz w:val="22"/>
      </w:rPr>
      <w:tcPr>
        <w:shd w:val="clear" w:color="D99695" w:fill="D99695"/>
      </w:tcPr>
    </w:tblStylePr>
    <w:tblStylePr w:type="firstCol">
      <w:rPr>
        <w:rFonts w:ascii="Arial" w:hAnsi="Arial"/>
        <w:color w:val="F2F2F2"/>
        <w:sz w:val="22"/>
      </w:rPr>
      <w:tcPr>
        <w:shd w:val="clear" w:color="D99695" w:fill="D99695"/>
      </w:tcPr>
    </w:tblStylePr>
    <w:tblStylePr w:type="lastCol">
      <w:rPr>
        <w:rFonts w:ascii="Arial" w:hAnsi="Arial"/>
        <w:color w:val="F2F2F2"/>
        <w:sz w:val="22"/>
      </w:rPr>
      <w:tcPr>
        <w:shd w:val="clear" w:color="D99695" w:fill="D99695"/>
      </w:tcPr>
    </w:tblStylePr>
    <w:tblStylePr w:type="band1Vert">
      <w:rPr>
        <w:rFonts w:ascii="Arial" w:hAnsi="Arial"/>
        <w:color w:val="404040"/>
        <w:sz w:val="22"/>
      </w:rPr>
    </w:tblStylePr>
    <w:tblStylePr w:type="band2Vert">
      <w:rPr>
        <w:rFonts w:ascii="Arial" w:hAnsi="Arial"/>
        <w:color w:val="404040"/>
        <w:sz w:val="22"/>
      </w:rPr>
      <w:tcPr>
        <w:shd w:val="clear" w:color="F2DCDC" w:fill="F2DCDC"/>
      </w:tcPr>
    </w:tblStylePr>
    <w:tblStylePr w:type="band1Horz">
      <w:rPr>
        <w:rFonts w:ascii="Arial" w:hAnsi="Arial"/>
        <w:color w:val="404040"/>
        <w:sz w:val="22"/>
      </w:rPr>
    </w:tblStylePr>
    <w:tblStylePr w:type="band2Horz">
      <w:rPr>
        <w:rFonts w:ascii="Arial" w:hAnsi="Arial"/>
        <w:color w:val="404040"/>
        <w:sz w:val="22"/>
      </w:rPr>
      <w:tcPr>
        <w:shd w:val="clear" w:color="F2DCDC" w:fill="F2DCDC"/>
      </w:tcPr>
    </w:tblStylePr>
  </w:style>
  <w:style w:type="table" w:customStyle="1" w:styleId="466">
    <w:name w:val="Lined - Accent 3"/>
    <w:basedOn w:val="13"/>
    <w:uiPriority w:val="99"/>
    <w:rPr>
      <w:color w:val="404040"/>
    </w:rPr>
    <w:tblPr>
      <w:tblCellMar>
        <w:top w:w="0" w:type="dxa"/>
        <w:left w:w="108" w:type="dxa"/>
        <w:bottom w:w="0" w:type="dxa"/>
        <w:right w:w="108" w:type="dxa"/>
      </w:tblCellMar>
    </w:tblPr>
    <w:tblStylePr w:type="firstRow">
      <w:rPr>
        <w:rFonts w:ascii="Arial" w:hAnsi="Arial"/>
        <w:color w:val="F2F2F2"/>
        <w:sz w:val="22"/>
      </w:rPr>
      <w:tcPr>
        <w:shd w:val="clear" w:color="9ABB59" w:fill="9ABB59"/>
      </w:tcPr>
    </w:tblStylePr>
    <w:tblStylePr w:type="lastRow">
      <w:rPr>
        <w:rFonts w:ascii="Arial" w:hAnsi="Arial"/>
        <w:color w:val="F2F2F2"/>
        <w:sz w:val="22"/>
      </w:rPr>
      <w:tcPr>
        <w:shd w:val="clear" w:color="9ABB59" w:fill="9ABB59"/>
      </w:tcPr>
    </w:tblStylePr>
    <w:tblStylePr w:type="firstCol">
      <w:rPr>
        <w:rFonts w:ascii="Arial" w:hAnsi="Arial"/>
        <w:color w:val="F2F2F2"/>
        <w:sz w:val="22"/>
      </w:rPr>
      <w:tcPr>
        <w:shd w:val="clear" w:color="9ABB59" w:fill="9ABB59"/>
      </w:tcPr>
    </w:tblStylePr>
    <w:tblStylePr w:type="lastCol">
      <w:rPr>
        <w:rFonts w:ascii="Arial" w:hAnsi="Arial"/>
        <w:color w:val="F2F2F2"/>
        <w:sz w:val="22"/>
      </w:rPr>
      <w:tcPr>
        <w:shd w:val="clear" w:color="9ABB59" w:fill="9ABB59"/>
      </w:tcPr>
    </w:tblStylePr>
    <w:tblStylePr w:type="band1Vert">
      <w:rPr>
        <w:rFonts w:ascii="Arial" w:hAnsi="Arial"/>
        <w:color w:val="404040"/>
        <w:sz w:val="22"/>
      </w:rPr>
    </w:tblStylePr>
    <w:tblStylePr w:type="band2Vert">
      <w:rPr>
        <w:rFonts w:ascii="Arial" w:hAnsi="Arial"/>
        <w:color w:val="404040"/>
        <w:sz w:val="22"/>
      </w:rPr>
      <w:tcPr>
        <w:shd w:val="clear" w:color="EAF1DC" w:fill="EAF1DC"/>
      </w:tcPr>
    </w:tblStylePr>
    <w:tblStylePr w:type="band1Horz">
      <w:rPr>
        <w:rFonts w:ascii="Arial" w:hAnsi="Arial"/>
        <w:color w:val="404040"/>
        <w:sz w:val="22"/>
      </w:rPr>
    </w:tblStylePr>
    <w:tblStylePr w:type="band2Horz">
      <w:rPr>
        <w:rFonts w:ascii="Arial" w:hAnsi="Arial"/>
        <w:color w:val="404040"/>
        <w:sz w:val="22"/>
      </w:rPr>
      <w:tcPr>
        <w:shd w:val="clear" w:color="EAF1DC" w:fill="EAF1DC"/>
      </w:tcPr>
    </w:tblStylePr>
  </w:style>
  <w:style w:type="table" w:customStyle="1" w:styleId="467">
    <w:name w:val="Lined - Accent 4"/>
    <w:basedOn w:val="13"/>
    <w:uiPriority w:val="99"/>
    <w:rPr>
      <w:color w:val="404040"/>
    </w:rPr>
    <w:tblPr>
      <w:tblCellMar>
        <w:top w:w="0" w:type="dxa"/>
        <w:left w:w="108" w:type="dxa"/>
        <w:bottom w:w="0" w:type="dxa"/>
        <w:right w:w="108" w:type="dxa"/>
      </w:tblCellMar>
    </w:tblPr>
    <w:tblStylePr w:type="firstRow">
      <w:rPr>
        <w:rFonts w:ascii="Arial" w:hAnsi="Arial"/>
        <w:color w:val="F2F2F2"/>
        <w:sz w:val="22"/>
      </w:rPr>
      <w:tcPr>
        <w:shd w:val="clear" w:color="B2A1C6" w:fill="B2A1C6"/>
      </w:tcPr>
    </w:tblStylePr>
    <w:tblStylePr w:type="lastRow">
      <w:rPr>
        <w:rFonts w:ascii="Arial" w:hAnsi="Arial"/>
        <w:color w:val="F2F2F2"/>
        <w:sz w:val="22"/>
      </w:rPr>
      <w:tcPr>
        <w:shd w:val="clear" w:color="B2A1C6" w:fill="B2A1C6"/>
      </w:tcPr>
    </w:tblStylePr>
    <w:tblStylePr w:type="firstCol">
      <w:rPr>
        <w:rFonts w:ascii="Arial" w:hAnsi="Arial"/>
        <w:color w:val="F2F2F2"/>
        <w:sz w:val="22"/>
      </w:rPr>
      <w:tcPr>
        <w:shd w:val="clear" w:color="B2A1C6" w:fill="B2A1C6"/>
      </w:tcPr>
    </w:tblStylePr>
    <w:tblStylePr w:type="lastCol">
      <w:rPr>
        <w:rFonts w:ascii="Arial" w:hAnsi="Arial"/>
        <w:color w:val="F2F2F2"/>
        <w:sz w:val="22"/>
      </w:rPr>
      <w:tcPr>
        <w:shd w:val="clear" w:color="B2A1C6" w:fill="B2A1C6"/>
      </w:tcPr>
    </w:tblStylePr>
    <w:tblStylePr w:type="band1Vert">
      <w:rPr>
        <w:rFonts w:ascii="Arial" w:hAnsi="Arial"/>
        <w:color w:val="404040"/>
        <w:sz w:val="22"/>
      </w:rPr>
    </w:tblStylePr>
    <w:tblStylePr w:type="band2Vert">
      <w:rPr>
        <w:rFonts w:ascii="Arial" w:hAnsi="Arial"/>
        <w:color w:val="404040"/>
        <w:sz w:val="22"/>
      </w:rPr>
      <w:tcPr>
        <w:shd w:val="clear" w:color="E5DFEC" w:fill="E5DFEC"/>
      </w:tcPr>
    </w:tblStylePr>
    <w:tblStylePr w:type="band1Horz">
      <w:rPr>
        <w:rFonts w:ascii="Arial" w:hAnsi="Arial"/>
        <w:color w:val="404040"/>
        <w:sz w:val="22"/>
      </w:rPr>
    </w:tblStylePr>
    <w:tblStylePr w:type="band2Horz">
      <w:rPr>
        <w:rFonts w:ascii="Arial" w:hAnsi="Arial"/>
        <w:color w:val="404040"/>
        <w:sz w:val="22"/>
      </w:rPr>
      <w:tcPr>
        <w:shd w:val="clear" w:color="E5DFEC" w:fill="E5DFEC"/>
      </w:tcPr>
    </w:tblStylePr>
  </w:style>
  <w:style w:type="table" w:customStyle="1" w:styleId="468">
    <w:name w:val="Lined - Accent 5"/>
    <w:basedOn w:val="13"/>
    <w:uiPriority w:val="99"/>
    <w:rPr>
      <w:color w:val="404040"/>
    </w:rPr>
    <w:tblPr>
      <w:tblCellMar>
        <w:top w:w="0" w:type="dxa"/>
        <w:left w:w="108" w:type="dxa"/>
        <w:bottom w:w="0" w:type="dxa"/>
        <w:right w:w="108" w:type="dxa"/>
      </w:tblCellMar>
    </w:tblPr>
    <w:tblStylePr w:type="firstRow">
      <w:rPr>
        <w:rFonts w:ascii="Arial" w:hAnsi="Arial"/>
        <w:color w:val="F2F2F2"/>
        <w:sz w:val="22"/>
      </w:rPr>
      <w:tcPr>
        <w:shd w:val="clear" w:color="4BACC6" w:fill="4BACC6"/>
      </w:tcPr>
    </w:tblStylePr>
    <w:tblStylePr w:type="lastRow">
      <w:rPr>
        <w:rFonts w:ascii="Arial" w:hAnsi="Arial"/>
        <w:color w:val="F2F2F2"/>
        <w:sz w:val="22"/>
      </w:rPr>
      <w:tcPr>
        <w:shd w:val="clear" w:color="4BACC6" w:fill="4BACC6"/>
      </w:tcPr>
    </w:tblStylePr>
    <w:tblStylePr w:type="firstCol">
      <w:rPr>
        <w:rFonts w:ascii="Arial" w:hAnsi="Arial"/>
        <w:color w:val="F2F2F2"/>
        <w:sz w:val="22"/>
      </w:rPr>
      <w:tcPr>
        <w:shd w:val="clear" w:color="4BACC6" w:fill="4BACC6"/>
      </w:tcPr>
    </w:tblStylePr>
    <w:tblStylePr w:type="lastCol">
      <w:rPr>
        <w:rFonts w:ascii="Arial" w:hAnsi="Arial"/>
        <w:color w:val="F2F2F2"/>
        <w:sz w:val="22"/>
      </w:rPr>
      <w:tcPr>
        <w:shd w:val="clear" w:color="4BACC6" w:fill="4BACC6"/>
      </w:tcPr>
    </w:tblStylePr>
    <w:tblStylePr w:type="band1Vert">
      <w:rPr>
        <w:rFonts w:ascii="Arial" w:hAnsi="Arial"/>
        <w:color w:val="404040"/>
        <w:sz w:val="22"/>
      </w:rPr>
    </w:tblStylePr>
    <w:tblStylePr w:type="band2Vert">
      <w:rPr>
        <w:rFonts w:ascii="Arial" w:hAnsi="Arial"/>
        <w:color w:val="404040"/>
        <w:sz w:val="22"/>
      </w:rPr>
      <w:tcPr>
        <w:shd w:val="clear" w:color="DAEEF3" w:fill="DAEEF3"/>
      </w:tcPr>
    </w:tblStylePr>
    <w:tblStylePr w:type="band1Horz">
      <w:rPr>
        <w:rFonts w:ascii="Arial" w:hAnsi="Arial"/>
        <w:color w:val="404040"/>
        <w:sz w:val="22"/>
      </w:rPr>
    </w:tblStylePr>
    <w:tblStylePr w:type="band2Horz">
      <w:rPr>
        <w:rFonts w:ascii="Arial" w:hAnsi="Arial"/>
        <w:color w:val="404040"/>
        <w:sz w:val="22"/>
      </w:rPr>
      <w:tcPr>
        <w:shd w:val="clear" w:color="DAEEF3" w:fill="DAEEF3"/>
      </w:tcPr>
    </w:tblStylePr>
  </w:style>
  <w:style w:type="table" w:customStyle="1" w:styleId="469">
    <w:name w:val="Lined - Accent 6"/>
    <w:basedOn w:val="13"/>
    <w:uiPriority w:val="99"/>
    <w:rPr>
      <w:color w:val="404040"/>
    </w:rPr>
    <w:tblPr>
      <w:tblCellMar>
        <w:top w:w="0" w:type="dxa"/>
        <w:left w:w="108" w:type="dxa"/>
        <w:bottom w:w="0" w:type="dxa"/>
        <w:right w:w="108" w:type="dxa"/>
      </w:tblCellMar>
    </w:tblPr>
    <w:tblStylePr w:type="firstRow">
      <w:rPr>
        <w:rFonts w:ascii="Arial" w:hAnsi="Arial"/>
        <w:color w:val="F2F2F2"/>
        <w:sz w:val="22"/>
      </w:rPr>
      <w:tcPr>
        <w:shd w:val="clear" w:color="F79646" w:fill="F79646"/>
      </w:tcPr>
    </w:tblStylePr>
    <w:tblStylePr w:type="lastRow">
      <w:rPr>
        <w:rFonts w:ascii="Arial" w:hAnsi="Arial"/>
        <w:color w:val="F2F2F2"/>
        <w:sz w:val="22"/>
      </w:rPr>
      <w:tcPr>
        <w:shd w:val="clear" w:color="F79646" w:fill="F79646"/>
      </w:tcPr>
    </w:tblStylePr>
    <w:tblStylePr w:type="firstCol">
      <w:rPr>
        <w:rFonts w:ascii="Arial" w:hAnsi="Arial"/>
        <w:color w:val="F2F2F2"/>
        <w:sz w:val="22"/>
      </w:rPr>
      <w:tcPr>
        <w:shd w:val="clear" w:color="F79646" w:fill="F79646"/>
      </w:tcPr>
    </w:tblStylePr>
    <w:tblStylePr w:type="lastCol">
      <w:rPr>
        <w:rFonts w:ascii="Arial" w:hAnsi="Arial"/>
        <w:color w:val="F2F2F2"/>
        <w:sz w:val="22"/>
      </w:rPr>
      <w:tcPr>
        <w:shd w:val="clear" w:color="F79646" w:fill="F79646"/>
      </w:tcPr>
    </w:tblStylePr>
    <w:tblStylePr w:type="band1Vert">
      <w:rPr>
        <w:rFonts w:ascii="Arial" w:hAnsi="Arial"/>
        <w:color w:val="404040"/>
        <w:sz w:val="22"/>
      </w:rPr>
    </w:tblStylePr>
    <w:tblStylePr w:type="band2Vert">
      <w:rPr>
        <w:rFonts w:ascii="Arial" w:hAnsi="Arial"/>
        <w:color w:val="404040"/>
        <w:sz w:val="22"/>
      </w:rPr>
      <w:tcPr>
        <w:shd w:val="clear" w:color="FDE9D8" w:fill="FDE9D8"/>
      </w:tcPr>
    </w:tblStylePr>
    <w:tblStylePr w:type="band1Horz">
      <w:rPr>
        <w:rFonts w:ascii="Arial" w:hAnsi="Arial"/>
        <w:color w:val="404040"/>
        <w:sz w:val="22"/>
      </w:rPr>
    </w:tblStylePr>
    <w:tblStylePr w:type="band2Horz">
      <w:rPr>
        <w:rFonts w:ascii="Arial" w:hAnsi="Arial"/>
        <w:color w:val="404040"/>
        <w:sz w:val="22"/>
      </w:rPr>
      <w:tcPr>
        <w:shd w:val="clear" w:color="FDE9D8" w:fill="FDE9D8"/>
      </w:tcPr>
    </w:tblStylePr>
  </w:style>
  <w:style w:type="table" w:customStyle="1" w:styleId="470">
    <w:name w:val="Bordered &amp; Lined - Accent"/>
    <w:basedOn w:val="13"/>
    <w:uiPriority w:val="99"/>
    <w:rPr>
      <w:color w:val="404040"/>
    </w:rPr>
    <w:tblPr>
      <w:tblBorders>
        <w:top w:val="single" w:color="595959" w:sz="4" w:space="0"/>
        <w:left w:val="single" w:color="595959" w:sz="4" w:space="0"/>
        <w:bottom w:val="single" w:color="595959" w:sz="4" w:space="0"/>
        <w:right w:val="single" w:color="595959" w:sz="4" w:space="0"/>
        <w:insideH w:val="single" w:color="595959" w:sz="4" w:space="0"/>
        <w:insideV w:val="single" w:color="595959" w:sz="4" w:space="0"/>
      </w:tblBorders>
      <w:tblCellMar>
        <w:top w:w="0" w:type="dxa"/>
        <w:left w:w="108" w:type="dxa"/>
        <w:bottom w:w="0" w:type="dxa"/>
        <w:right w:w="108" w:type="dxa"/>
      </w:tblCellMar>
    </w:tblPr>
    <w:tblStylePr w:type="firstRow">
      <w:rPr>
        <w:rFonts w:ascii="Arial" w:hAnsi="Arial"/>
        <w:color w:val="F2F2F2"/>
        <w:sz w:val="22"/>
      </w:rPr>
      <w:tcPr>
        <w:shd w:val="clear" w:color="7F7F7F" w:fill="7F7F7F"/>
      </w:tcPr>
    </w:tblStylePr>
    <w:tblStylePr w:type="lastRow">
      <w:rPr>
        <w:rFonts w:ascii="Arial" w:hAnsi="Arial"/>
        <w:color w:val="F2F2F2"/>
        <w:sz w:val="22"/>
      </w:rPr>
      <w:tcPr>
        <w:shd w:val="clear" w:color="7F7F7F" w:fill="7F7F7F"/>
      </w:tcPr>
    </w:tblStylePr>
    <w:tblStylePr w:type="firstCol">
      <w:rPr>
        <w:rFonts w:ascii="Arial" w:hAnsi="Arial"/>
        <w:color w:val="F2F2F2"/>
        <w:sz w:val="22"/>
      </w:rPr>
      <w:tcPr>
        <w:shd w:val="clear" w:color="7F7F7F" w:fill="7F7F7F"/>
      </w:tcPr>
    </w:tblStylePr>
    <w:tblStylePr w:type="lastCol">
      <w:rPr>
        <w:rFonts w:ascii="Arial" w:hAnsi="Arial"/>
        <w:color w:val="F2F2F2"/>
        <w:sz w:val="22"/>
      </w:rPr>
      <w:tcPr>
        <w:shd w:val="clear" w:color="7F7F7F" w:fill="7F7F7F"/>
      </w:tcPr>
    </w:tblStylePr>
    <w:tblStylePr w:type="band1Vert">
      <w:rPr>
        <w:rFonts w:ascii="Arial" w:hAnsi="Arial"/>
        <w:color w:val="404040"/>
        <w:sz w:val="22"/>
      </w:rPr>
    </w:tblStylePr>
    <w:tblStylePr w:type="band2Vert">
      <w:rPr>
        <w:rFonts w:ascii="Arial" w:hAnsi="Arial"/>
        <w:color w:val="404040"/>
        <w:sz w:val="22"/>
      </w:rPr>
      <w:tcPr>
        <w:shd w:val="clear" w:color="F2F2F2" w:fill="F2F2F2"/>
      </w:tcPr>
    </w:tblStylePr>
    <w:tblStylePr w:type="band1Horz">
      <w:rPr>
        <w:rFonts w:ascii="Arial" w:hAnsi="Arial"/>
        <w:color w:val="404040"/>
        <w:sz w:val="22"/>
      </w:rPr>
    </w:tblStylePr>
    <w:tblStylePr w:type="band2Horz">
      <w:rPr>
        <w:rFonts w:ascii="Arial" w:hAnsi="Arial"/>
        <w:color w:val="404040"/>
        <w:sz w:val="22"/>
      </w:rPr>
      <w:tcPr>
        <w:shd w:val="clear" w:color="F2F2F2" w:fill="F2F2F2"/>
      </w:tcPr>
    </w:tblStylePr>
  </w:style>
  <w:style w:type="table" w:customStyle="1" w:styleId="471">
    <w:name w:val="Bordered &amp; Lined - Accent 1"/>
    <w:basedOn w:val="13"/>
    <w:uiPriority w:val="99"/>
    <w:rPr>
      <w:color w:val="404040"/>
    </w:rPr>
    <w:tblPr>
      <w:tblBorders>
        <w:top w:val="single" w:color="2A4A71" w:sz="4" w:space="0"/>
        <w:left w:val="single" w:color="2A4A71" w:sz="4" w:space="0"/>
        <w:bottom w:val="single" w:color="2A4A71" w:sz="4" w:space="0"/>
        <w:right w:val="single" w:color="2A4A71" w:sz="4" w:space="0"/>
        <w:insideH w:val="single" w:color="2A4A71" w:sz="4" w:space="0"/>
        <w:insideV w:val="single" w:color="2A4A71" w:sz="4" w:space="0"/>
      </w:tblBorders>
      <w:tblCellMar>
        <w:top w:w="0" w:type="dxa"/>
        <w:left w:w="108" w:type="dxa"/>
        <w:bottom w:w="0" w:type="dxa"/>
        <w:right w:w="108" w:type="dxa"/>
      </w:tblCellMar>
    </w:tblPr>
    <w:tblStylePr w:type="firstRow">
      <w:rPr>
        <w:rFonts w:ascii="Arial" w:hAnsi="Arial"/>
        <w:color w:val="F2F2F2"/>
        <w:sz w:val="22"/>
      </w:rPr>
      <w:tcPr>
        <w:shd w:val="clear" w:color="5D8AC2" w:fill="5D8AC2"/>
      </w:tcPr>
    </w:tblStylePr>
    <w:tblStylePr w:type="lastRow">
      <w:rPr>
        <w:rFonts w:ascii="Arial" w:hAnsi="Arial"/>
        <w:color w:val="F2F2F2"/>
        <w:sz w:val="22"/>
      </w:rPr>
      <w:tcPr>
        <w:shd w:val="clear" w:color="5D8AC2" w:fill="5D8AC2"/>
      </w:tcPr>
    </w:tblStylePr>
    <w:tblStylePr w:type="firstCol">
      <w:rPr>
        <w:rFonts w:ascii="Arial" w:hAnsi="Arial"/>
        <w:color w:val="F2F2F2"/>
        <w:sz w:val="22"/>
      </w:rPr>
      <w:tcPr>
        <w:shd w:val="clear" w:color="5D8AC2" w:fill="5D8AC2"/>
      </w:tcPr>
    </w:tblStylePr>
    <w:tblStylePr w:type="lastCol">
      <w:rPr>
        <w:rFonts w:ascii="Arial" w:hAnsi="Arial"/>
        <w:color w:val="F2F2F2"/>
        <w:sz w:val="22"/>
      </w:rPr>
      <w:tcPr>
        <w:shd w:val="clear" w:color="5D8AC2" w:fill="5D8AC2"/>
      </w:tcPr>
    </w:tblStylePr>
    <w:tblStylePr w:type="band1Vert">
      <w:rPr>
        <w:rFonts w:ascii="Arial" w:hAnsi="Arial"/>
        <w:color w:val="404040"/>
        <w:sz w:val="22"/>
      </w:rPr>
    </w:tblStylePr>
    <w:tblStylePr w:type="band2Vert">
      <w:rPr>
        <w:rFonts w:ascii="Arial" w:hAnsi="Arial"/>
        <w:color w:val="404040"/>
        <w:sz w:val="22"/>
      </w:rPr>
      <w:tcPr>
        <w:shd w:val="clear" w:color="C7D7EA" w:fill="C7D7EA"/>
      </w:tcPr>
    </w:tblStylePr>
    <w:tblStylePr w:type="band1Horz">
      <w:rPr>
        <w:rFonts w:ascii="Arial" w:hAnsi="Arial"/>
        <w:color w:val="404040"/>
        <w:sz w:val="22"/>
      </w:rPr>
    </w:tblStylePr>
    <w:tblStylePr w:type="band2Horz">
      <w:rPr>
        <w:rFonts w:ascii="Arial" w:hAnsi="Arial"/>
        <w:color w:val="404040"/>
        <w:sz w:val="22"/>
      </w:rPr>
      <w:tcPr>
        <w:shd w:val="clear" w:color="C7D7EA" w:fill="C7D7EA"/>
      </w:tcPr>
    </w:tblStylePr>
  </w:style>
  <w:style w:type="table" w:customStyle="1" w:styleId="472">
    <w:name w:val="Bordered &amp; Lined - Accent 2"/>
    <w:basedOn w:val="13"/>
    <w:uiPriority w:val="99"/>
    <w:rPr>
      <w:color w:val="404040"/>
    </w:rPr>
    <w:tblPr>
      <w:tblBorders>
        <w:top w:val="single" w:color="732A29" w:sz="4" w:space="0"/>
        <w:left w:val="single" w:color="732A29" w:sz="4" w:space="0"/>
        <w:bottom w:val="single" w:color="732A29" w:sz="4" w:space="0"/>
        <w:right w:val="single" w:color="732A29" w:sz="4" w:space="0"/>
        <w:insideH w:val="single" w:color="732A29" w:sz="4" w:space="0"/>
        <w:insideV w:val="single" w:color="732A29" w:sz="4" w:space="0"/>
      </w:tblBorders>
      <w:tblCellMar>
        <w:top w:w="0" w:type="dxa"/>
        <w:left w:w="108" w:type="dxa"/>
        <w:bottom w:w="0" w:type="dxa"/>
        <w:right w:w="108" w:type="dxa"/>
      </w:tblCellMar>
    </w:tblPr>
    <w:tblStylePr w:type="firstRow">
      <w:rPr>
        <w:rFonts w:ascii="Arial" w:hAnsi="Arial"/>
        <w:color w:val="F2F2F2"/>
        <w:sz w:val="22"/>
      </w:rPr>
      <w:tcPr>
        <w:shd w:val="clear" w:color="D99695" w:fill="D99695"/>
      </w:tcPr>
    </w:tblStylePr>
    <w:tblStylePr w:type="lastRow">
      <w:rPr>
        <w:rFonts w:ascii="Arial" w:hAnsi="Arial"/>
        <w:color w:val="F2F2F2"/>
        <w:sz w:val="22"/>
      </w:rPr>
      <w:tcPr>
        <w:shd w:val="clear" w:color="D99695" w:fill="D99695"/>
      </w:tcPr>
    </w:tblStylePr>
    <w:tblStylePr w:type="firstCol">
      <w:rPr>
        <w:rFonts w:ascii="Arial" w:hAnsi="Arial"/>
        <w:color w:val="F2F2F2"/>
        <w:sz w:val="22"/>
      </w:rPr>
      <w:tcPr>
        <w:shd w:val="clear" w:color="D99695" w:fill="D99695"/>
      </w:tcPr>
    </w:tblStylePr>
    <w:tblStylePr w:type="lastCol">
      <w:rPr>
        <w:rFonts w:ascii="Arial" w:hAnsi="Arial"/>
        <w:color w:val="F2F2F2"/>
        <w:sz w:val="22"/>
      </w:rPr>
      <w:tcPr>
        <w:shd w:val="clear" w:color="D99695" w:fill="D99695"/>
      </w:tcPr>
    </w:tblStylePr>
    <w:tblStylePr w:type="band1Vert">
      <w:rPr>
        <w:rFonts w:ascii="Arial" w:hAnsi="Arial"/>
        <w:color w:val="404040"/>
        <w:sz w:val="22"/>
      </w:rPr>
    </w:tblStylePr>
    <w:tblStylePr w:type="band2Vert">
      <w:rPr>
        <w:rFonts w:ascii="Arial" w:hAnsi="Arial"/>
        <w:color w:val="404040"/>
        <w:sz w:val="22"/>
      </w:rPr>
      <w:tcPr>
        <w:shd w:val="clear" w:color="F2DCDC" w:fill="F2DCDC"/>
      </w:tcPr>
    </w:tblStylePr>
    <w:tblStylePr w:type="band1Horz">
      <w:rPr>
        <w:rFonts w:ascii="Arial" w:hAnsi="Arial"/>
        <w:color w:val="404040"/>
        <w:sz w:val="22"/>
      </w:rPr>
    </w:tblStylePr>
    <w:tblStylePr w:type="band2Horz">
      <w:rPr>
        <w:rFonts w:ascii="Arial" w:hAnsi="Arial"/>
        <w:color w:val="404040"/>
        <w:sz w:val="22"/>
      </w:rPr>
      <w:tcPr>
        <w:shd w:val="clear" w:color="F2DCDC" w:fill="F2DCDC"/>
      </w:tcPr>
    </w:tblStylePr>
  </w:style>
  <w:style w:type="table" w:customStyle="1" w:styleId="473">
    <w:name w:val="Bordered &amp; Lined - Accent 3"/>
    <w:basedOn w:val="13"/>
    <w:uiPriority w:val="99"/>
    <w:rPr>
      <w:color w:val="404040"/>
    </w:rPr>
    <w:tblPr>
      <w:tblBorders>
        <w:top w:val="single" w:color="5B722E" w:sz="4" w:space="0"/>
        <w:left w:val="single" w:color="5B722E" w:sz="4" w:space="0"/>
        <w:bottom w:val="single" w:color="5B722E" w:sz="4" w:space="0"/>
        <w:right w:val="single" w:color="5B722E" w:sz="4" w:space="0"/>
        <w:insideH w:val="single" w:color="5B722E" w:sz="4" w:space="0"/>
        <w:insideV w:val="single" w:color="5B722E" w:sz="4" w:space="0"/>
      </w:tblBorders>
      <w:tblCellMar>
        <w:top w:w="0" w:type="dxa"/>
        <w:left w:w="108" w:type="dxa"/>
        <w:bottom w:w="0" w:type="dxa"/>
        <w:right w:w="108" w:type="dxa"/>
      </w:tblCellMar>
    </w:tblPr>
    <w:tblStylePr w:type="firstRow">
      <w:rPr>
        <w:rFonts w:ascii="Arial" w:hAnsi="Arial"/>
        <w:color w:val="F2F2F2"/>
        <w:sz w:val="22"/>
      </w:rPr>
      <w:tcPr>
        <w:shd w:val="clear" w:color="9ABB59" w:fill="9ABB59"/>
      </w:tcPr>
    </w:tblStylePr>
    <w:tblStylePr w:type="lastRow">
      <w:rPr>
        <w:rFonts w:ascii="Arial" w:hAnsi="Arial"/>
        <w:color w:val="F2F2F2"/>
        <w:sz w:val="22"/>
      </w:rPr>
      <w:tcPr>
        <w:shd w:val="clear" w:color="9ABB59" w:fill="9ABB59"/>
      </w:tcPr>
    </w:tblStylePr>
    <w:tblStylePr w:type="firstCol">
      <w:rPr>
        <w:rFonts w:ascii="Arial" w:hAnsi="Arial"/>
        <w:color w:val="F2F2F2"/>
        <w:sz w:val="22"/>
      </w:rPr>
      <w:tcPr>
        <w:shd w:val="clear" w:color="9ABB59" w:fill="9ABB59"/>
      </w:tcPr>
    </w:tblStylePr>
    <w:tblStylePr w:type="lastCol">
      <w:rPr>
        <w:rFonts w:ascii="Arial" w:hAnsi="Arial"/>
        <w:color w:val="F2F2F2"/>
        <w:sz w:val="22"/>
      </w:rPr>
      <w:tcPr>
        <w:shd w:val="clear" w:color="9ABB59" w:fill="9ABB59"/>
      </w:tcPr>
    </w:tblStylePr>
    <w:tblStylePr w:type="band1Vert">
      <w:rPr>
        <w:rFonts w:ascii="Arial" w:hAnsi="Arial"/>
        <w:color w:val="404040"/>
        <w:sz w:val="22"/>
      </w:rPr>
    </w:tblStylePr>
    <w:tblStylePr w:type="band2Vert">
      <w:rPr>
        <w:rFonts w:ascii="Arial" w:hAnsi="Arial"/>
        <w:color w:val="404040"/>
        <w:sz w:val="22"/>
      </w:rPr>
      <w:tcPr>
        <w:shd w:val="clear" w:color="EAF1DC" w:fill="EAF1DC"/>
      </w:tcPr>
    </w:tblStylePr>
    <w:tblStylePr w:type="band1Horz">
      <w:rPr>
        <w:rFonts w:ascii="Arial" w:hAnsi="Arial"/>
        <w:color w:val="404040"/>
        <w:sz w:val="22"/>
      </w:rPr>
    </w:tblStylePr>
    <w:tblStylePr w:type="band2Horz">
      <w:rPr>
        <w:rFonts w:ascii="Arial" w:hAnsi="Arial"/>
        <w:color w:val="404040"/>
        <w:sz w:val="22"/>
      </w:rPr>
      <w:tcPr>
        <w:shd w:val="clear" w:color="EAF1DC" w:fill="EAF1DC"/>
      </w:tcPr>
    </w:tblStylePr>
  </w:style>
  <w:style w:type="table" w:customStyle="1" w:styleId="474">
    <w:name w:val="Bordered &amp; Lined - Accent 4"/>
    <w:basedOn w:val="13"/>
    <w:uiPriority w:val="99"/>
    <w:rPr>
      <w:color w:val="404040"/>
    </w:rPr>
    <w:tblPr>
      <w:tblBorders>
        <w:top w:val="single" w:color="4A395F" w:sz="4" w:space="0"/>
        <w:left w:val="single" w:color="4A395F" w:sz="4" w:space="0"/>
        <w:bottom w:val="single" w:color="4A395F" w:sz="4" w:space="0"/>
        <w:right w:val="single" w:color="4A395F" w:sz="4" w:space="0"/>
        <w:insideH w:val="single" w:color="4A395F" w:sz="4" w:space="0"/>
        <w:insideV w:val="single" w:color="4A395F" w:sz="4" w:space="0"/>
      </w:tblBorders>
      <w:tblCellMar>
        <w:top w:w="0" w:type="dxa"/>
        <w:left w:w="108" w:type="dxa"/>
        <w:bottom w:w="0" w:type="dxa"/>
        <w:right w:w="108" w:type="dxa"/>
      </w:tblCellMar>
    </w:tblPr>
    <w:tblStylePr w:type="firstRow">
      <w:rPr>
        <w:rFonts w:ascii="Arial" w:hAnsi="Arial"/>
        <w:color w:val="F2F2F2"/>
        <w:sz w:val="22"/>
      </w:rPr>
      <w:tcPr>
        <w:shd w:val="clear" w:color="B2A1C6" w:fill="B2A1C6"/>
      </w:tcPr>
    </w:tblStylePr>
    <w:tblStylePr w:type="lastRow">
      <w:rPr>
        <w:rFonts w:ascii="Arial" w:hAnsi="Arial"/>
        <w:color w:val="F2F2F2"/>
        <w:sz w:val="22"/>
      </w:rPr>
      <w:tcPr>
        <w:shd w:val="clear" w:color="B2A1C6" w:fill="B2A1C6"/>
      </w:tcPr>
    </w:tblStylePr>
    <w:tblStylePr w:type="firstCol">
      <w:rPr>
        <w:rFonts w:ascii="Arial" w:hAnsi="Arial"/>
        <w:color w:val="F2F2F2"/>
        <w:sz w:val="22"/>
      </w:rPr>
      <w:tcPr>
        <w:shd w:val="clear" w:color="B2A1C6" w:fill="B2A1C6"/>
      </w:tcPr>
    </w:tblStylePr>
    <w:tblStylePr w:type="lastCol">
      <w:rPr>
        <w:rFonts w:ascii="Arial" w:hAnsi="Arial"/>
        <w:color w:val="F2F2F2"/>
        <w:sz w:val="22"/>
      </w:rPr>
      <w:tcPr>
        <w:shd w:val="clear" w:color="B2A1C6" w:fill="B2A1C6"/>
      </w:tcPr>
    </w:tblStylePr>
    <w:tblStylePr w:type="band1Vert">
      <w:rPr>
        <w:rFonts w:ascii="Arial" w:hAnsi="Arial"/>
        <w:color w:val="404040"/>
        <w:sz w:val="22"/>
      </w:rPr>
    </w:tblStylePr>
    <w:tblStylePr w:type="band2Vert">
      <w:rPr>
        <w:rFonts w:ascii="Arial" w:hAnsi="Arial"/>
        <w:color w:val="404040"/>
        <w:sz w:val="22"/>
      </w:rPr>
      <w:tcPr>
        <w:shd w:val="clear" w:color="E5DFEC" w:fill="E5DFEC"/>
      </w:tcPr>
    </w:tblStylePr>
    <w:tblStylePr w:type="band1Horz">
      <w:rPr>
        <w:rFonts w:ascii="Arial" w:hAnsi="Arial"/>
        <w:color w:val="404040"/>
        <w:sz w:val="22"/>
      </w:rPr>
    </w:tblStylePr>
    <w:tblStylePr w:type="band2Horz">
      <w:rPr>
        <w:rFonts w:ascii="Arial" w:hAnsi="Arial"/>
        <w:color w:val="404040"/>
        <w:sz w:val="22"/>
      </w:rPr>
      <w:tcPr>
        <w:shd w:val="clear" w:color="E5DFEC" w:fill="E5DFEC"/>
      </w:tcPr>
    </w:tblStylePr>
  </w:style>
  <w:style w:type="table" w:customStyle="1" w:styleId="475">
    <w:name w:val="Bordered &amp; Lined - Accent 5"/>
    <w:basedOn w:val="13"/>
    <w:uiPriority w:val="99"/>
    <w:rPr>
      <w:color w:val="404040"/>
    </w:rPr>
    <w:tblPr>
      <w:tblBorders>
        <w:top w:val="single" w:color="266779" w:sz="4" w:space="0"/>
        <w:left w:val="single" w:color="266779" w:sz="4" w:space="0"/>
        <w:bottom w:val="single" w:color="266779" w:sz="4" w:space="0"/>
        <w:right w:val="single" w:color="266779" w:sz="4" w:space="0"/>
        <w:insideH w:val="single" w:color="266779" w:sz="4" w:space="0"/>
        <w:insideV w:val="single" w:color="266779" w:sz="4" w:space="0"/>
      </w:tblBorders>
      <w:tblCellMar>
        <w:top w:w="0" w:type="dxa"/>
        <w:left w:w="108" w:type="dxa"/>
        <w:bottom w:w="0" w:type="dxa"/>
        <w:right w:w="108" w:type="dxa"/>
      </w:tblCellMar>
    </w:tblPr>
    <w:tblStylePr w:type="firstRow">
      <w:rPr>
        <w:rFonts w:ascii="Arial" w:hAnsi="Arial"/>
        <w:color w:val="F2F2F2"/>
        <w:sz w:val="22"/>
      </w:rPr>
      <w:tcPr>
        <w:shd w:val="clear" w:color="4BACC6" w:fill="4BACC6"/>
      </w:tcPr>
    </w:tblStylePr>
    <w:tblStylePr w:type="lastRow">
      <w:rPr>
        <w:rFonts w:ascii="Arial" w:hAnsi="Arial"/>
        <w:color w:val="F2F2F2"/>
        <w:sz w:val="22"/>
      </w:rPr>
      <w:tcPr>
        <w:shd w:val="clear" w:color="4BACC6" w:fill="4BACC6"/>
      </w:tcPr>
    </w:tblStylePr>
    <w:tblStylePr w:type="firstCol">
      <w:rPr>
        <w:rFonts w:ascii="Arial" w:hAnsi="Arial"/>
        <w:color w:val="F2F2F2"/>
        <w:sz w:val="22"/>
      </w:rPr>
      <w:tcPr>
        <w:shd w:val="clear" w:color="4BACC6" w:fill="4BACC6"/>
      </w:tcPr>
    </w:tblStylePr>
    <w:tblStylePr w:type="lastCol">
      <w:rPr>
        <w:rFonts w:ascii="Arial" w:hAnsi="Arial"/>
        <w:color w:val="F2F2F2"/>
        <w:sz w:val="22"/>
      </w:rPr>
      <w:tcPr>
        <w:shd w:val="clear" w:color="4BACC6" w:fill="4BACC6"/>
      </w:tcPr>
    </w:tblStylePr>
    <w:tblStylePr w:type="band1Vert">
      <w:rPr>
        <w:rFonts w:ascii="Arial" w:hAnsi="Arial"/>
        <w:color w:val="404040"/>
        <w:sz w:val="22"/>
      </w:rPr>
    </w:tblStylePr>
    <w:tblStylePr w:type="band2Vert">
      <w:rPr>
        <w:rFonts w:ascii="Arial" w:hAnsi="Arial"/>
        <w:color w:val="404040"/>
        <w:sz w:val="22"/>
      </w:rPr>
      <w:tcPr>
        <w:shd w:val="clear" w:color="DAEEF3" w:fill="DAEEF3"/>
      </w:tcPr>
    </w:tblStylePr>
    <w:tblStylePr w:type="band1Horz">
      <w:rPr>
        <w:rFonts w:ascii="Arial" w:hAnsi="Arial"/>
        <w:color w:val="404040"/>
        <w:sz w:val="22"/>
      </w:rPr>
    </w:tblStylePr>
    <w:tblStylePr w:type="band2Horz">
      <w:rPr>
        <w:rFonts w:ascii="Arial" w:hAnsi="Arial"/>
        <w:color w:val="404040"/>
        <w:sz w:val="22"/>
      </w:rPr>
      <w:tcPr>
        <w:shd w:val="clear" w:color="DAEEF3" w:fill="DAEEF3"/>
      </w:tcPr>
    </w:tblStylePr>
  </w:style>
  <w:style w:type="table" w:customStyle="1" w:styleId="476">
    <w:name w:val="Bordered &amp; Lined - Accent 6"/>
    <w:basedOn w:val="13"/>
    <w:uiPriority w:val="99"/>
    <w:rPr>
      <w:color w:val="404040"/>
    </w:rPr>
    <w:tblPr>
      <w:tblBorders>
        <w:top w:val="single" w:color="B15407" w:sz="4" w:space="0"/>
        <w:left w:val="single" w:color="B15407" w:sz="4" w:space="0"/>
        <w:bottom w:val="single" w:color="B15407" w:sz="4" w:space="0"/>
        <w:right w:val="single" w:color="B15407" w:sz="4" w:space="0"/>
        <w:insideH w:val="single" w:color="B15407" w:sz="4" w:space="0"/>
        <w:insideV w:val="single" w:color="B15407" w:sz="4" w:space="0"/>
      </w:tblBorders>
      <w:tblCellMar>
        <w:top w:w="0" w:type="dxa"/>
        <w:left w:w="108" w:type="dxa"/>
        <w:bottom w:w="0" w:type="dxa"/>
        <w:right w:w="108" w:type="dxa"/>
      </w:tblCellMar>
    </w:tblPr>
    <w:tblStylePr w:type="firstRow">
      <w:rPr>
        <w:rFonts w:ascii="Arial" w:hAnsi="Arial"/>
        <w:color w:val="F2F2F2"/>
        <w:sz w:val="22"/>
      </w:rPr>
      <w:tcPr>
        <w:shd w:val="clear" w:color="F79646" w:fill="F79646"/>
      </w:tcPr>
    </w:tblStylePr>
    <w:tblStylePr w:type="lastRow">
      <w:rPr>
        <w:rFonts w:ascii="Arial" w:hAnsi="Arial"/>
        <w:color w:val="F2F2F2"/>
        <w:sz w:val="22"/>
      </w:rPr>
      <w:tcPr>
        <w:shd w:val="clear" w:color="F79646" w:fill="F79646"/>
      </w:tcPr>
    </w:tblStylePr>
    <w:tblStylePr w:type="firstCol">
      <w:rPr>
        <w:rFonts w:ascii="Arial" w:hAnsi="Arial"/>
        <w:color w:val="F2F2F2"/>
        <w:sz w:val="22"/>
      </w:rPr>
      <w:tcPr>
        <w:shd w:val="clear" w:color="F79646" w:fill="F79646"/>
      </w:tcPr>
    </w:tblStylePr>
    <w:tblStylePr w:type="lastCol">
      <w:rPr>
        <w:rFonts w:ascii="Arial" w:hAnsi="Arial"/>
        <w:color w:val="F2F2F2"/>
        <w:sz w:val="22"/>
      </w:rPr>
      <w:tcPr>
        <w:shd w:val="clear" w:color="F79646" w:fill="F79646"/>
      </w:tcPr>
    </w:tblStylePr>
    <w:tblStylePr w:type="band1Vert">
      <w:rPr>
        <w:rFonts w:ascii="Arial" w:hAnsi="Arial"/>
        <w:color w:val="404040"/>
        <w:sz w:val="22"/>
      </w:rPr>
    </w:tblStylePr>
    <w:tblStylePr w:type="band2Vert">
      <w:rPr>
        <w:rFonts w:ascii="Arial" w:hAnsi="Arial"/>
        <w:color w:val="404040"/>
        <w:sz w:val="22"/>
      </w:rPr>
      <w:tcPr>
        <w:shd w:val="clear" w:color="FDE9D8" w:fill="FDE9D8"/>
      </w:tcPr>
    </w:tblStylePr>
    <w:tblStylePr w:type="band1Horz">
      <w:rPr>
        <w:rFonts w:ascii="Arial" w:hAnsi="Arial"/>
        <w:color w:val="404040"/>
        <w:sz w:val="22"/>
      </w:rPr>
    </w:tblStylePr>
    <w:tblStylePr w:type="band2Horz">
      <w:rPr>
        <w:rFonts w:ascii="Arial" w:hAnsi="Arial"/>
        <w:color w:val="404040"/>
        <w:sz w:val="22"/>
      </w:rPr>
      <w:tcPr>
        <w:shd w:val="clear" w:color="FDE9D8" w:fill="FDE9D8"/>
      </w:tcPr>
    </w:tblStylePr>
  </w:style>
  <w:style w:type="table" w:customStyle="1" w:styleId="477">
    <w:name w:val="Bordered"/>
    <w:basedOn w:val="13"/>
    <w:uiPriority w:val="99"/>
    <w:rPr>
      <w:sz w:val="22"/>
      <w:szCs w:val="22"/>
      <w:lang w:eastAsia="en-US"/>
    </w:rPr>
    <w:tblPr>
      <w:tblBorders>
        <w:top w:val="single" w:color="D9D9D9" w:sz="4" w:space="0"/>
        <w:left w:val="single" w:color="D9D9D9" w:sz="4" w:space="0"/>
        <w:bottom w:val="single" w:color="D9D9D9" w:sz="4" w:space="0"/>
        <w:right w:val="single" w:color="D9D9D9" w:sz="4" w:space="0"/>
        <w:insideH w:val="single" w:color="D9D9D9" w:sz="4" w:space="0"/>
        <w:insideV w:val="single" w:color="D9D9D9" w:sz="4" w:space="0"/>
      </w:tblBorders>
      <w:tblCellMar>
        <w:top w:w="0" w:type="dxa"/>
        <w:left w:w="108" w:type="dxa"/>
        <w:bottom w:w="0" w:type="dxa"/>
        <w:right w:w="108" w:type="dxa"/>
      </w:tblCellMar>
    </w:tblPr>
    <w:tblStylePr w:type="firstRow">
      <w:rPr>
        <w:rFonts w:ascii="Arial" w:hAnsi="Arial"/>
        <w:color w:val="404040"/>
        <w:sz w:val="22"/>
      </w:rPr>
      <w:tcPr>
        <w:tcBorders>
          <w:bottom w:val="single" w:color="7F7F7F" w:sz="12" w:space="0"/>
        </w:tcBorders>
      </w:tcPr>
    </w:tblStylePr>
    <w:tblStylePr w:type="lastRow">
      <w:rPr>
        <w:rFonts w:ascii="Arial" w:hAnsi="Arial"/>
        <w:color w:val="404040"/>
        <w:sz w:val="22"/>
      </w:rPr>
      <w:tcPr>
        <w:tcBorders>
          <w:top w:val="single" w:color="7F7F7F"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7F7F7F" w:sz="12" w:space="0"/>
        </w:tcBorders>
      </w:tcPr>
    </w:tblStylePr>
    <w:tblStylePr w:type="band1Horz">
      <w:rPr>
        <w:rFonts w:ascii="Arial" w:hAnsi="Arial"/>
        <w:color w:val="404040"/>
        <w:sz w:val="22"/>
      </w:rPr>
      <w:tcPr>
        <w:tcBorders>
          <w:top w:val="single" w:color="D9D9D9" w:sz="4" w:space="0"/>
          <w:left w:val="single" w:color="D9D9D9" w:sz="4" w:space="0"/>
          <w:bottom w:val="single" w:color="D9D9D9" w:sz="4" w:space="0"/>
          <w:right w:val="single" w:color="D9D9D9" w:sz="4" w:space="0"/>
        </w:tcBorders>
      </w:tcPr>
    </w:tblStylePr>
  </w:style>
  <w:style w:type="table" w:customStyle="1" w:styleId="478">
    <w:name w:val="Bordered - Accent 1"/>
    <w:basedOn w:val="13"/>
    <w:uiPriority w:val="99"/>
    <w:rPr>
      <w:sz w:val="22"/>
      <w:szCs w:val="22"/>
      <w:lang w:eastAsia="en-US"/>
    </w:rPr>
    <w:tblPr>
      <w:tblBorders>
        <w:top w:val="single" w:color="B7CBE4" w:sz="4" w:space="0"/>
        <w:left w:val="single" w:color="B7CBE4" w:sz="4" w:space="0"/>
        <w:bottom w:val="single" w:color="B7CBE4" w:sz="4" w:space="0"/>
        <w:right w:val="single" w:color="B7CBE4" w:sz="4" w:space="0"/>
        <w:insideH w:val="single" w:color="B7CBE4" w:sz="4" w:space="0"/>
        <w:insideV w:val="single" w:color="B7CBE4" w:sz="4" w:space="0"/>
      </w:tblBorders>
      <w:tblCellMar>
        <w:top w:w="0" w:type="dxa"/>
        <w:left w:w="108" w:type="dxa"/>
        <w:bottom w:w="0" w:type="dxa"/>
        <w:right w:w="108" w:type="dxa"/>
      </w:tblCellMar>
    </w:tblPr>
    <w:tblStylePr w:type="firstRow">
      <w:rPr>
        <w:rFonts w:ascii="Arial" w:hAnsi="Arial"/>
        <w:color w:val="404040"/>
        <w:sz w:val="22"/>
      </w:rPr>
      <w:tcPr>
        <w:tcBorders>
          <w:bottom w:val="single" w:color="4F81BD" w:sz="12" w:space="0"/>
        </w:tcBorders>
      </w:tcPr>
    </w:tblStylePr>
    <w:tblStylePr w:type="lastRow">
      <w:rPr>
        <w:rFonts w:ascii="Arial" w:hAnsi="Arial"/>
        <w:color w:val="404040"/>
        <w:sz w:val="22"/>
      </w:rPr>
      <w:tcPr>
        <w:tcBorders>
          <w:top w:val="single" w:color="4F81BD"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4F81BD" w:sz="12" w:space="0"/>
        </w:tcBorders>
      </w:tcPr>
    </w:tblStylePr>
    <w:tblStylePr w:type="band1Horz">
      <w:rPr>
        <w:rFonts w:ascii="Arial" w:hAnsi="Arial"/>
        <w:color w:val="404040"/>
        <w:sz w:val="22"/>
      </w:rPr>
      <w:tcPr>
        <w:tcBorders>
          <w:top w:val="single" w:color="B7CBE4" w:sz="4" w:space="0"/>
          <w:left w:val="single" w:color="B7CBE4" w:sz="4" w:space="0"/>
          <w:bottom w:val="single" w:color="B7CBE4" w:sz="4" w:space="0"/>
          <w:right w:val="single" w:color="B7CBE4" w:sz="4" w:space="0"/>
        </w:tcBorders>
      </w:tcPr>
    </w:tblStylePr>
  </w:style>
  <w:style w:type="table" w:customStyle="1" w:styleId="479">
    <w:name w:val="Bordered - Accent 2"/>
    <w:basedOn w:val="13"/>
    <w:uiPriority w:val="99"/>
    <w:rPr>
      <w:sz w:val="22"/>
      <w:szCs w:val="22"/>
      <w:lang w:eastAsia="en-US"/>
    </w:rPr>
    <w:tblPr>
      <w:tblBorders>
        <w:top w:val="single" w:color="E5B7B6" w:sz="4" w:space="0"/>
        <w:left w:val="single" w:color="E5B7B6" w:sz="4" w:space="0"/>
        <w:bottom w:val="single" w:color="E5B7B6" w:sz="4" w:space="0"/>
        <w:right w:val="single" w:color="E5B7B6" w:sz="4" w:space="0"/>
        <w:insideH w:val="single" w:color="E5B7B6" w:sz="4" w:space="0"/>
        <w:insideV w:val="single" w:color="E5B7B6" w:sz="4" w:space="0"/>
      </w:tblBorders>
      <w:tblCellMar>
        <w:top w:w="0" w:type="dxa"/>
        <w:left w:w="108" w:type="dxa"/>
        <w:bottom w:w="0" w:type="dxa"/>
        <w:right w:w="108" w:type="dxa"/>
      </w:tblCellMar>
    </w:tblPr>
    <w:tblStylePr w:type="firstRow">
      <w:rPr>
        <w:rFonts w:ascii="Arial" w:hAnsi="Arial"/>
        <w:color w:val="404040"/>
        <w:sz w:val="22"/>
      </w:rPr>
      <w:tcPr>
        <w:tcBorders>
          <w:bottom w:val="single" w:color="D99695" w:sz="12" w:space="0"/>
        </w:tcBorders>
      </w:tcPr>
    </w:tblStylePr>
    <w:tblStylePr w:type="lastRow">
      <w:rPr>
        <w:rFonts w:ascii="Arial" w:hAnsi="Arial"/>
        <w:color w:val="404040"/>
        <w:sz w:val="22"/>
      </w:rPr>
      <w:tcPr>
        <w:tcBorders>
          <w:top w:val="single" w:color="D99695"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D99695" w:sz="12" w:space="0"/>
        </w:tcBorders>
      </w:tcPr>
    </w:tblStylePr>
    <w:tblStylePr w:type="band1Horz">
      <w:rPr>
        <w:rFonts w:ascii="Arial" w:hAnsi="Arial"/>
        <w:color w:val="404040"/>
        <w:sz w:val="22"/>
      </w:rPr>
      <w:tcPr>
        <w:tcBorders>
          <w:top w:val="single" w:color="E5B7B6" w:sz="4" w:space="0"/>
          <w:left w:val="single" w:color="E5B7B6" w:sz="4" w:space="0"/>
          <w:bottom w:val="single" w:color="E5B7B6" w:sz="4" w:space="0"/>
          <w:right w:val="single" w:color="E5B7B6" w:sz="4" w:space="0"/>
        </w:tcBorders>
      </w:tcPr>
    </w:tblStylePr>
  </w:style>
  <w:style w:type="table" w:customStyle="1" w:styleId="480">
    <w:name w:val="Bordered - Accent 3"/>
    <w:basedOn w:val="13"/>
    <w:uiPriority w:val="99"/>
    <w:rPr>
      <w:sz w:val="22"/>
      <w:szCs w:val="22"/>
      <w:lang w:eastAsia="en-US"/>
    </w:rPr>
    <w:tblPr>
      <w:tblBorders>
        <w:top w:val="single" w:color="D6E3BB" w:sz="4" w:space="0"/>
        <w:left w:val="single" w:color="D6E3BB" w:sz="4" w:space="0"/>
        <w:bottom w:val="single" w:color="D6E3BB" w:sz="4" w:space="0"/>
        <w:right w:val="single" w:color="D6E3BB" w:sz="4" w:space="0"/>
        <w:insideH w:val="single" w:color="D6E3BB" w:sz="4" w:space="0"/>
        <w:insideV w:val="single" w:color="D6E3BB" w:sz="4" w:space="0"/>
      </w:tblBorders>
      <w:tblCellMar>
        <w:top w:w="0" w:type="dxa"/>
        <w:left w:w="108" w:type="dxa"/>
        <w:bottom w:w="0" w:type="dxa"/>
        <w:right w:w="108" w:type="dxa"/>
      </w:tblCellMar>
    </w:tblPr>
    <w:tblStylePr w:type="firstRow">
      <w:rPr>
        <w:rFonts w:ascii="Arial" w:hAnsi="Arial"/>
        <w:color w:val="404040"/>
        <w:sz w:val="22"/>
      </w:rPr>
      <w:tcPr>
        <w:tcBorders>
          <w:bottom w:val="single" w:color="C3D69B" w:sz="12" w:space="0"/>
        </w:tcBorders>
      </w:tcPr>
    </w:tblStylePr>
    <w:tblStylePr w:type="lastRow">
      <w:rPr>
        <w:rFonts w:ascii="Arial" w:hAnsi="Arial"/>
        <w:color w:val="404040"/>
        <w:sz w:val="22"/>
      </w:rPr>
      <w:tcPr>
        <w:tcBorders>
          <w:top w:val="single" w:color="C3D69B"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C3D69B" w:sz="12" w:space="0"/>
        </w:tcBorders>
      </w:tcPr>
    </w:tblStylePr>
    <w:tblStylePr w:type="band1Horz">
      <w:rPr>
        <w:rFonts w:ascii="Arial" w:hAnsi="Arial"/>
        <w:color w:val="404040"/>
        <w:sz w:val="22"/>
      </w:rPr>
      <w:tcPr>
        <w:tcBorders>
          <w:top w:val="single" w:color="D6E3BB" w:sz="4" w:space="0"/>
          <w:left w:val="single" w:color="D6E3BB" w:sz="4" w:space="0"/>
          <w:bottom w:val="single" w:color="D6E3BB" w:sz="4" w:space="0"/>
          <w:right w:val="single" w:color="D6E3BB" w:sz="4" w:space="0"/>
        </w:tcBorders>
      </w:tcPr>
    </w:tblStylePr>
  </w:style>
  <w:style w:type="table" w:customStyle="1" w:styleId="481">
    <w:name w:val="Bordered - Accent 4"/>
    <w:basedOn w:val="13"/>
    <w:uiPriority w:val="99"/>
    <w:rPr>
      <w:sz w:val="22"/>
      <w:szCs w:val="22"/>
      <w:lang w:eastAsia="en-US"/>
    </w:rPr>
    <w:tblPr>
      <w:tblBorders>
        <w:top w:val="single" w:color="CBC0D9" w:sz="4" w:space="0"/>
        <w:left w:val="single" w:color="CBC0D9" w:sz="4" w:space="0"/>
        <w:bottom w:val="single" w:color="CBC0D9" w:sz="4" w:space="0"/>
        <w:right w:val="single" w:color="CBC0D9" w:sz="4" w:space="0"/>
        <w:insideH w:val="single" w:color="CBC0D9" w:sz="4" w:space="0"/>
        <w:insideV w:val="single" w:color="CBC0D9" w:sz="4" w:space="0"/>
      </w:tblBorders>
      <w:tblCellMar>
        <w:top w:w="0" w:type="dxa"/>
        <w:left w:w="108" w:type="dxa"/>
        <w:bottom w:w="0" w:type="dxa"/>
        <w:right w:w="108" w:type="dxa"/>
      </w:tblCellMar>
    </w:tblPr>
    <w:tblStylePr w:type="firstRow">
      <w:rPr>
        <w:rFonts w:ascii="Arial" w:hAnsi="Arial"/>
        <w:color w:val="404040"/>
        <w:sz w:val="22"/>
      </w:rPr>
      <w:tcPr>
        <w:tcBorders>
          <w:bottom w:val="single" w:color="B2A1C6" w:sz="12" w:space="0"/>
        </w:tcBorders>
      </w:tcPr>
    </w:tblStylePr>
    <w:tblStylePr w:type="lastRow">
      <w:rPr>
        <w:rFonts w:ascii="Arial" w:hAnsi="Arial"/>
        <w:color w:val="404040"/>
        <w:sz w:val="22"/>
      </w:rPr>
      <w:tcPr>
        <w:tcBorders>
          <w:top w:val="single" w:color="B2A1C6"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B2A1C6" w:sz="12" w:space="0"/>
        </w:tcBorders>
      </w:tcPr>
    </w:tblStylePr>
    <w:tblStylePr w:type="band1Horz">
      <w:rPr>
        <w:rFonts w:ascii="Arial" w:hAnsi="Arial"/>
        <w:color w:val="404040"/>
        <w:sz w:val="22"/>
      </w:rPr>
      <w:tcPr>
        <w:tcBorders>
          <w:top w:val="single" w:color="CBC0D9" w:sz="4" w:space="0"/>
          <w:left w:val="single" w:color="CBC0D9" w:sz="4" w:space="0"/>
          <w:bottom w:val="single" w:color="CBC0D9" w:sz="4" w:space="0"/>
          <w:right w:val="single" w:color="CBC0D9" w:sz="4" w:space="0"/>
        </w:tcBorders>
      </w:tcPr>
    </w:tblStylePr>
  </w:style>
  <w:style w:type="table" w:customStyle="1" w:styleId="482">
    <w:name w:val="Bordered - Accent 5"/>
    <w:basedOn w:val="13"/>
    <w:uiPriority w:val="99"/>
    <w:rPr>
      <w:sz w:val="22"/>
      <w:szCs w:val="22"/>
      <w:lang w:eastAsia="en-US"/>
    </w:rPr>
    <w:tblPr>
      <w:tblBorders>
        <w:top w:val="single" w:color="B6DDE8" w:sz="4" w:space="0"/>
        <w:left w:val="single" w:color="B6DDE8" w:sz="4" w:space="0"/>
        <w:bottom w:val="single" w:color="B6DDE8" w:sz="4" w:space="0"/>
        <w:right w:val="single" w:color="B6DDE8" w:sz="4" w:space="0"/>
        <w:insideH w:val="single" w:color="B6DDE8" w:sz="4" w:space="0"/>
        <w:insideV w:val="single" w:color="B6DDE8" w:sz="4" w:space="0"/>
      </w:tblBorders>
      <w:tblCellMar>
        <w:top w:w="0" w:type="dxa"/>
        <w:left w:w="108" w:type="dxa"/>
        <w:bottom w:w="0" w:type="dxa"/>
        <w:right w:w="108" w:type="dxa"/>
      </w:tblCellMar>
    </w:tblPr>
    <w:tblStylePr w:type="firstRow">
      <w:rPr>
        <w:rFonts w:ascii="Arial" w:hAnsi="Arial"/>
        <w:color w:val="404040"/>
        <w:sz w:val="22"/>
      </w:rPr>
      <w:tcPr>
        <w:tcBorders>
          <w:bottom w:val="single" w:color="92CCDC" w:sz="12" w:space="0"/>
        </w:tcBorders>
      </w:tcPr>
    </w:tblStylePr>
    <w:tblStylePr w:type="lastRow">
      <w:rPr>
        <w:rFonts w:ascii="Arial" w:hAnsi="Arial"/>
        <w:color w:val="404040"/>
        <w:sz w:val="22"/>
      </w:rPr>
      <w:tcPr>
        <w:tcBorders>
          <w:top w:val="single" w:color="92CCDC"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92CCDC" w:sz="12" w:space="0"/>
        </w:tcBorders>
      </w:tcPr>
    </w:tblStylePr>
    <w:tblStylePr w:type="band1Horz">
      <w:rPr>
        <w:rFonts w:ascii="Arial" w:hAnsi="Arial"/>
        <w:color w:val="404040"/>
        <w:sz w:val="22"/>
      </w:rPr>
      <w:tcPr>
        <w:tcBorders>
          <w:top w:val="single" w:color="B6DDE8" w:sz="4" w:space="0"/>
          <w:left w:val="single" w:color="B6DDE8" w:sz="4" w:space="0"/>
          <w:bottom w:val="single" w:color="B6DDE8" w:sz="4" w:space="0"/>
          <w:right w:val="single" w:color="B6DDE8" w:sz="4" w:space="0"/>
        </w:tcBorders>
      </w:tcPr>
    </w:tblStylePr>
  </w:style>
  <w:style w:type="table" w:customStyle="1" w:styleId="483">
    <w:name w:val="Bordered - Accent 6"/>
    <w:basedOn w:val="13"/>
    <w:uiPriority w:val="99"/>
    <w:rPr>
      <w:sz w:val="22"/>
      <w:szCs w:val="22"/>
      <w:lang w:eastAsia="en-US"/>
    </w:rPr>
    <w:tblPr>
      <w:tblBorders>
        <w:top w:val="single" w:color="FBD4B4" w:sz="4" w:space="0"/>
        <w:left w:val="single" w:color="FBD4B4" w:sz="4" w:space="0"/>
        <w:bottom w:val="single" w:color="FBD4B4" w:sz="4" w:space="0"/>
        <w:right w:val="single" w:color="FBD4B4" w:sz="4" w:space="0"/>
        <w:insideH w:val="single" w:color="FBD4B4" w:sz="4" w:space="0"/>
        <w:insideV w:val="single" w:color="FBD4B4" w:sz="4" w:space="0"/>
      </w:tblBorders>
      <w:tblCellMar>
        <w:top w:w="0" w:type="dxa"/>
        <w:left w:w="108" w:type="dxa"/>
        <w:bottom w:w="0" w:type="dxa"/>
        <w:right w:w="108" w:type="dxa"/>
      </w:tblCellMar>
    </w:tblPr>
    <w:tblStylePr w:type="firstRow">
      <w:rPr>
        <w:rFonts w:ascii="Arial" w:hAnsi="Arial"/>
        <w:color w:val="404040"/>
        <w:sz w:val="22"/>
      </w:rPr>
      <w:tcPr>
        <w:tcBorders>
          <w:bottom w:val="single" w:color="FAC090" w:sz="12" w:space="0"/>
        </w:tcBorders>
      </w:tcPr>
    </w:tblStylePr>
    <w:tblStylePr w:type="lastRow">
      <w:rPr>
        <w:rFonts w:ascii="Arial" w:hAnsi="Arial"/>
        <w:color w:val="404040"/>
        <w:sz w:val="22"/>
      </w:rPr>
      <w:tcPr>
        <w:tcBorders>
          <w:top w:val="single" w:color="FAC090"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FAC090" w:sz="12" w:space="0"/>
        </w:tcBorders>
      </w:tcPr>
    </w:tblStylePr>
    <w:tblStylePr w:type="band1Horz">
      <w:rPr>
        <w:rFonts w:ascii="Arial" w:hAnsi="Arial"/>
        <w:color w:val="404040"/>
        <w:sz w:val="22"/>
      </w:rPr>
      <w:tcPr>
        <w:tcBorders>
          <w:top w:val="single" w:color="FBD4B4" w:sz="4" w:space="0"/>
          <w:left w:val="single" w:color="FBD4B4" w:sz="4" w:space="0"/>
          <w:bottom w:val="single" w:color="FBD4B4" w:sz="4" w:space="0"/>
          <w:right w:val="single" w:color="FBD4B4" w:sz="4" w:space="0"/>
        </w:tcBorders>
      </w:tcPr>
    </w:tblStylePr>
  </w:style>
  <w:style w:type="paragraph" w:customStyle="1" w:styleId="484">
    <w:name w:val="u-2-msonormal"/>
    <w:basedOn w:val="1"/>
    <w:uiPriority w:val="99"/>
    <w:pPr>
      <w:widowControl/>
      <w:spacing w:before="100" w:beforeAutospacing="1" w:after="100" w:afterAutospacing="1" w:line="240" w:lineRule="auto"/>
    </w:pPr>
    <w:rPr>
      <w:rFonts w:ascii="Times New Roman" w:hAnsi="Times New Roman" w:eastAsia="Times New Roman"/>
      <w:sz w:val="24"/>
      <w:szCs w:val="24"/>
      <w:lang w:eastAsia="ru-RU"/>
    </w:rPr>
  </w:style>
  <w:style w:type="character" w:customStyle="1" w:styleId="485">
    <w:name w:val="Стиль полужирный"/>
    <w:uiPriority w:val="0"/>
    <w:rPr>
      <w:rFonts w:ascii="Times New Roman" w:hAnsi="Times New Roman"/>
      <w:b/>
      <w:bCs/>
      <w:sz w:val="24"/>
    </w:rPr>
  </w:style>
  <w:style w:type="paragraph" w:customStyle="1" w:styleId="486">
    <w:name w:val="Абзац списка3"/>
    <w:basedOn w:val="1"/>
    <w:uiPriority w:val="99"/>
    <w:pPr>
      <w:widowControl/>
      <w:ind w:left="720"/>
      <w:contextualSpacing/>
    </w:pPr>
    <w:rPr>
      <w:rFonts w:eastAsia="Times New Roman"/>
    </w:rPr>
  </w:style>
  <w:style w:type="character" w:customStyle="1" w:styleId="487">
    <w:name w:val="Без интервала Знак"/>
    <w:link w:val="136"/>
    <w:locked/>
    <w:uiPriority w:val="1"/>
    <w:rPr>
      <w:rFonts w:ascii="Courier New" w:hAnsi="Courier New" w:eastAsia="Times New Roman"/>
      <w:color w:val="000000"/>
      <w:sz w:val="24"/>
      <w:szCs w:val="24"/>
      <w:lang w:bidi="ar-SA"/>
    </w:rPr>
  </w:style>
  <w:style w:type="paragraph" w:customStyle="1" w:styleId="488">
    <w:name w:val="Петит"/>
    <w:basedOn w:val="1"/>
    <w:uiPriority w:val="0"/>
    <w:pPr>
      <w:tabs>
        <w:tab w:val="left" w:pos="567"/>
        <w:tab w:val="left" w:pos="850"/>
        <w:tab w:val="left" w:pos="1134"/>
        <w:tab w:val="left" w:pos="1417"/>
        <w:tab w:val="left" w:pos="1701"/>
        <w:tab w:val="left" w:pos="1984"/>
        <w:tab w:val="left" w:pos="2268"/>
        <w:tab w:val="left" w:pos="2551"/>
        <w:tab w:val="left" w:pos="2835"/>
        <w:tab w:val="left" w:pos="3118"/>
        <w:tab w:val="left" w:pos="3402"/>
        <w:tab w:val="left" w:pos="3685"/>
        <w:tab w:val="left" w:pos="3969"/>
        <w:tab w:val="left" w:pos="4252"/>
        <w:tab w:val="left" w:pos="4535"/>
        <w:tab w:val="left" w:pos="4819"/>
        <w:tab w:val="left" w:pos="5102"/>
        <w:tab w:val="left" w:pos="5386"/>
        <w:tab w:val="left" w:pos="5669"/>
        <w:tab w:val="left" w:pos="5953"/>
        <w:tab w:val="left" w:pos="6236"/>
        <w:tab w:val="left" w:pos="6520"/>
      </w:tabs>
      <w:autoSpaceDE w:val="0"/>
      <w:autoSpaceDN w:val="0"/>
      <w:adjustRightInd w:val="0"/>
      <w:spacing w:after="0" w:line="304" w:lineRule="auto"/>
      <w:ind w:firstLine="340"/>
      <w:jc w:val="both"/>
    </w:pPr>
    <w:rPr>
      <w:rFonts w:ascii="SchoolBookC" w:hAnsi="SchoolBookC" w:eastAsia="Times New Roman" w:cs="SchoolBookC"/>
      <w:color w:val="000000"/>
      <w:sz w:val="19"/>
      <w:szCs w:val="19"/>
      <w:lang w:eastAsia="ru-RU"/>
    </w:rPr>
  </w:style>
  <w:style w:type="character" w:customStyle="1" w:styleId="489">
    <w:name w:val="Неразрешенное упоминание1"/>
    <w:semiHidden/>
    <w:unhideWhenUsed/>
    <w:uiPriority w:val="99"/>
    <w:rPr>
      <w:color w:val="605E5C"/>
      <w:shd w:val="clear" w:color="auto" w:fill="E1DFDD"/>
    </w:rPr>
  </w:style>
  <w:style w:type="paragraph" w:customStyle="1" w:styleId="490">
    <w:name w:val="Заголовок 11"/>
    <w:basedOn w:val="1"/>
    <w:next w:val="1"/>
    <w:qFormat/>
    <w:uiPriority w:val="1"/>
    <w:pPr>
      <w:keepNext/>
      <w:keepLines/>
      <w:widowControl/>
      <w:spacing w:before="240" w:after="120" w:line="360" w:lineRule="auto"/>
      <w:jc w:val="center"/>
      <w:outlineLvl w:val="0"/>
    </w:pPr>
    <w:rPr>
      <w:rFonts w:ascii="Cambria" w:hAnsi="Cambria" w:eastAsia="Times New Roman"/>
      <w:b/>
      <w:bCs/>
      <w:color w:val="365F91"/>
      <w:sz w:val="28"/>
      <w:szCs w:val="28"/>
    </w:rPr>
  </w:style>
  <w:style w:type="paragraph" w:customStyle="1" w:styleId="491">
    <w:name w:val="Заголовок 31"/>
    <w:basedOn w:val="1"/>
    <w:next w:val="1"/>
    <w:unhideWhenUsed/>
    <w:qFormat/>
    <w:uiPriority w:val="9"/>
    <w:pPr>
      <w:keepNext/>
      <w:keepLines/>
      <w:widowControl/>
      <w:spacing w:before="200" w:after="0" w:line="240" w:lineRule="auto"/>
      <w:outlineLvl w:val="2"/>
    </w:pPr>
    <w:rPr>
      <w:rFonts w:ascii="Cambria" w:hAnsi="Cambria" w:eastAsia="Arial"/>
      <w:b/>
      <w:bCs/>
      <w:color w:val="4F81BD"/>
      <w:sz w:val="24"/>
      <w:szCs w:val="24"/>
      <w:lang w:eastAsia="ar-SA"/>
    </w:rPr>
  </w:style>
  <w:style w:type="paragraph" w:customStyle="1" w:styleId="492">
    <w:name w:val="Заголовок 71"/>
    <w:basedOn w:val="1"/>
    <w:next w:val="1"/>
    <w:semiHidden/>
    <w:unhideWhenUsed/>
    <w:qFormat/>
    <w:uiPriority w:val="9"/>
    <w:pPr>
      <w:keepNext/>
      <w:keepLines/>
      <w:widowControl/>
      <w:spacing w:before="200" w:after="0"/>
      <w:outlineLvl w:val="6"/>
    </w:pPr>
    <w:rPr>
      <w:b/>
      <w:bCs/>
      <w:i/>
      <w:iCs/>
      <w:color w:val="5A5A5A"/>
      <w:sz w:val="20"/>
      <w:szCs w:val="20"/>
    </w:rPr>
  </w:style>
  <w:style w:type="paragraph" w:customStyle="1" w:styleId="493">
    <w:name w:val="Заголовок 81"/>
    <w:basedOn w:val="1"/>
    <w:next w:val="1"/>
    <w:semiHidden/>
    <w:unhideWhenUsed/>
    <w:qFormat/>
    <w:uiPriority w:val="9"/>
    <w:pPr>
      <w:keepNext/>
      <w:keepLines/>
      <w:widowControl/>
      <w:spacing w:before="200" w:after="0"/>
      <w:outlineLvl w:val="7"/>
    </w:pPr>
    <w:rPr>
      <w:b/>
      <w:bCs/>
      <w:color w:val="7F7F7F"/>
      <w:sz w:val="20"/>
      <w:szCs w:val="20"/>
    </w:rPr>
  </w:style>
  <w:style w:type="paragraph" w:customStyle="1" w:styleId="494">
    <w:name w:val="Заголовок 91"/>
    <w:basedOn w:val="1"/>
    <w:next w:val="1"/>
    <w:semiHidden/>
    <w:unhideWhenUsed/>
    <w:qFormat/>
    <w:uiPriority w:val="9"/>
    <w:pPr>
      <w:keepNext/>
      <w:keepLines/>
      <w:widowControl/>
      <w:spacing w:before="200" w:after="0"/>
      <w:outlineLvl w:val="8"/>
    </w:pPr>
    <w:rPr>
      <w:b/>
      <w:bCs/>
      <w:i/>
      <w:iCs/>
      <w:color w:val="7F7F7F"/>
      <w:sz w:val="18"/>
      <w:szCs w:val="18"/>
    </w:rPr>
  </w:style>
  <w:style w:type="character" w:customStyle="1" w:styleId="495">
    <w:name w:val="Heading 1 Char"/>
    <w:uiPriority w:val="9"/>
    <w:rPr>
      <w:rFonts w:ascii="Arial" w:hAnsi="Arial" w:eastAsia="Arial" w:cs="Arial"/>
      <w:sz w:val="40"/>
      <w:szCs w:val="40"/>
    </w:rPr>
  </w:style>
  <w:style w:type="character" w:customStyle="1" w:styleId="496">
    <w:name w:val="Heading 2 Char"/>
    <w:uiPriority w:val="9"/>
    <w:rPr>
      <w:rFonts w:ascii="Arial" w:hAnsi="Arial" w:eastAsia="Arial" w:cs="Arial"/>
      <w:sz w:val="34"/>
    </w:rPr>
  </w:style>
  <w:style w:type="character" w:customStyle="1" w:styleId="497">
    <w:name w:val="Heading 3 Char"/>
    <w:uiPriority w:val="9"/>
    <w:rPr>
      <w:rFonts w:ascii="Arial" w:hAnsi="Arial" w:eastAsia="Arial" w:cs="Arial"/>
      <w:sz w:val="30"/>
      <w:szCs w:val="30"/>
    </w:rPr>
  </w:style>
  <w:style w:type="character" w:customStyle="1" w:styleId="498">
    <w:name w:val="Heading 4 Char"/>
    <w:uiPriority w:val="9"/>
    <w:rPr>
      <w:rFonts w:ascii="Arial" w:hAnsi="Arial" w:eastAsia="Arial" w:cs="Arial"/>
      <w:b/>
      <w:bCs/>
      <w:sz w:val="26"/>
      <w:szCs w:val="26"/>
    </w:rPr>
  </w:style>
  <w:style w:type="character" w:customStyle="1" w:styleId="499">
    <w:name w:val="Heading 5 Char"/>
    <w:uiPriority w:val="9"/>
    <w:rPr>
      <w:rFonts w:ascii="Arial" w:hAnsi="Arial" w:eastAsia="Arial" w:cs="Arial"/>
      <w:b/>
      <w:bCs/>
      <w:sz w:val="24"/>
      <w:szCs w:val="24"/>
    </w:rPr>
  </w:style>
  <w:style w:type="character" w:customStyle="1" w:styleId="500">
    <w:name w:val="Heading 6 Char"/>
    <w:uiPriority w:val="9"/>
    <w:rPr>
      <w:rFonts w:ascii="Arial" w:hAnsi="Arial" w:eastAsia="Arial" w:cs="Arial"/>
      <w:b/>
      <w:bCs/>
      <w:sz w:val="22"/>
      <w:szCs w:val="22"/>
    </w:rPr>
  </w:style>
  <w:style w:type="character" w:customStyle="1" w:styleId="501">
    <w:name w:val="Heading 7 Char"/>
    <w:uiPriority w:val="9"/>
    <w:rPr>
      <w:rFonts w:ascii="Arial" w:hAnsi="Arial" w:eastAsia="Arial" w:cs="Arial"/>
      <w:b/>
      <w:bCs/>
      <w:i/>
      <w:iCs/>
      <w:sz w:val="22"/>
      <w:szCs w:val="22"/>
    </w:rPr>
  </w:style>
  <w:style w:type="character" w:customStyle="1" w:styleId="502">
    <w:name w:val="Heading 8 Char"/>
    <w:uiPriority w:val="9"/>
    <w:rPr>
      <w:rFonts w:ascii="Arial" w:hAnsi="Arial" w:eastAsia="Arial" w:cs="Arial"/>
      <w:i/>
      <w:iCs/>
      <w:sz w:val="22"/>
      <w:szCs w:val="22"/>
    </w:rPr>
  </w:style>
  <w:style w:type="character" w:customStyle="1" w:styleId="503">
    <w:name w:val="Heading 9 Char"/>
    <w:uiPriority w:val="9"/>
    <w:rPr>
      <w:rFonts w:ascii="Arial" w:hAnsi="Arial" w:eastAsia="Arial" w:cs="Arial"/>
      <w:i/>
      <w:iCs/>
      <w:sz w:val="21"/>
      <w:szCs w:val="21"/>
    </w:rPr>
  </w:style>
  <w:style w:type="character" w:customStyle="1" w:styleId="504">
    <w:name w:val="Title Char"/>
    <w:uiPriority w:val="10"/>
    <w:rPr>
      <w:sz w:val="48"/>
      <w:szCs w:val="48"/>
    </w:rPr>
  </w:style>
  <w:style w:type="character" w:customStyle="1" w:styleId="505">
    <w:name w:val="Subtitle Char"/>
    <w:uiPriority w:val="11"/>
    <w:rPr>
      <w:sz w:val="24"/>
      <w:szCs w:val="24"/>
    </w:rPr>
  </w:style>
  <w:style w:type="character" w:customStyle="1" w:styleId="506">
    <w:name w:val="Quote Char"/>
    <w:uiPriority w:val="29"/>
    <w:rPr>
      <w:i/>
    </w:rPr>
  </w:style>
  <w:style w:type="character" w:customStyle="1" w:styleId="507">
    <w:name w:val="Intense Quote Char"/>
    <w:uiPriority w:val="30"/>
    <w:rPr>
      <w:i/>
    </w:rPr>
  </w:style>
  <w:style w:type="character" w:customStyle="1" w:styleId="508">
    <w:name w:val="Header Char"/>
    <w:uiPriority w:val="99"/>
  </w:style>
  <w:style w:type="character" w:customStyle="1" w:styleId="509">
    <w:name w:val="Caption Char"/>
    <w:uiPriority w:val="99"/>
  </w:style>
  <w:style w:type="table" w:customStyle="1" w:styleId="510">
    <w:name w:val="Table Grid Light1"/>
    <w:basedOn w:val="13"/>
    <w:uiPriority w:val="59"/>
    <w:rPr>
      <w:sz w:val="22"/>
      <w:szCs w:val="22"/>
      <w:lang w:eastAsia="en-US"/>
    </w:rPr>
    <w:tblPr>
      <w:tblBorders>
        <w:top w:val="single" w:color="AFAFAF" w:sz="4" w:space="0"/>
        <w:left w:val="single" w:color="AFAFAF" w:sz="4" w:space="0"/>
        <w:bottom w:val="single" w:color="AFAFAF" w:sz="4" w:space="0"/>
        <w:right w:val="single" w:color="AFAFAF" w:sz="4" w:space="0"/>
        <w:insideH w:val="single" w:color="AFAFAF" w:sz="4" w:space="0"/>
        <w:insideV w:val="single" w:color="AFAFAF" w:sz="4" w:space="0"/>
      </w:tblBorders>
      <w:tblCellMar>
        <w:top w:w="0" w:type="dxa"/>
        <w:left w:w="108" w:type="dxa"/>
        <w:bottom w:w="0" w:type="dxa"/>
        <w:right w:w="108" w:type="dxa"/>
      </w:tblCellMar>
    </w:tblPr>
  </w:style>
  <w:style w:type="table" w:customStyle="1" w:styleId="511">
    <w:name w:val="Таблица простая 1110"/>
    <w:basedOn w:val="13"/>
    <w:uiPriority w:val="59"/>
    <w:rPr>
      <w:sz w:val="22"/>
      <w:szCs w:val="22"/>
      <w:lang w:eastAsia="en-US"/>
    </w:rPr>
    <w:tblPr>
      <w:tblBorders>
        <w:top w:val="single" w:color="AFAFAF" w:sz="4" w:space="0"/>
        <w:left w:val="single" w:color="AFAFAF" w:sz="4" w:space="0"/>
        <w:bottom w:val="single" w:color="AFAFAF" w:sz="4" w:space="0"/>
        <w:right w:val="single" w:color="AFAFAF" w:sz="4" w:space="0"/>
        <w:insideH w:val="single" w:color="AFAFAF" w:sz="4" w:space="0"/>
        <w:insideV w:val="single" w:color="AFAFAF" w:sz="4" w:space="0"/>
      </w:tblBorders>
      <w:tblCellMar>
        <w:top w:w="0" w:type="dxa"/>
        <w:left w:w="108" w:type="dxa"/>
        <w:bottom w:w="0" w:type="dxa"/>
        <w:right w:w="108" w:type="dxa"/>
      </w:tblCellMar>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cPr>
        <w:shd w:val="clear" w:color="F2F2F2" w:fill="F2F2F2"/>
      </w:tcPr>
    </w:tblStylePr>
    <w:tblStylePr w:type="band1Horz">
      <w:tcPr>
        <w:shd w:val="clear" w:color="F2F2F2" w:fill="F2F2F2"/>
      </w:tcPr>
    </w:tblStylePr>
  </w:style>
  <w:style w:type="table" w:customStyle="1" w:styleId="512">
    <w:name w:val="Таблица простая 2110"/>
    <w:basedOn w:val="13"/>
    <w:uiPriority w:val="59"/>
    <w:rPr>
      <w:sz w:val="22"/>
      <w:szCs w:val="22"/>
      <w:lang w:eastAsia="en-US"/>
    </w:rPr>
    <w:tblPr>
      <w:tblBorders>
        <w:top w:val="single" w:color="000000" w:sz="4" w:space="0"/>
        <w:left w:val="none" w:color="000000" w:sz="4" w:space="0"/>
        <w:bottom w:val="single" w:color="000000" w:sz="4" w:space="0"/>
        <w:right w:val="none" w:color="000000" w:sz="4" w:space="0"/>
      </w:tblBorders>
      <w:tblCellMar>
        <w:top w:w="0" w:type="dxa"/>
        <w:left w:w="108" w:type="dxa"/>
        <w:bottom w:w="0" w:type="dxa"/>
        <w:right w:w="108" w:type="dxa"/>
      </w:tblCellMar>
    </w:tblPr>
    <w:tblStylePr w:type="firstRow">
      <w:rPr>
        <w:rFonts w:ascii="Arial" w:hAnsi="Arial"/>
        <w:b/>
        <w:color w:val="404040"/>
        <w:sz w:val="22"/>
      </w:rPr>
      <w:tcPr>
        <w:tcBorders>
          <w:top w:val="single" w:color="000000" w:sz="4" w:space="0"/>
          <w:bottom w:val="single" w:color="000000" w:sz="4" w:space="0"/>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cPr>
        <w:tcBorders>
          <w:left w:val="single" w:color="000000" w:sz="4" w:space="0"/>
          <w:right w:val="single" w:color="000000" w:sz="4" w:space="0"/>
        </w:tcBorders>
      </w:tcPr>
    </w:tblStylePr>
    <w:tblStylePr w:type="band2Vert">
      <w:tcPr>
        <w:tcBorders>
          <w:left w:val="single" w:color="000000" w:sz="4" w:space="0"/>
          <w:right w:val="single" w:color="000000" w:sz="4" w:space="0"/>
        </w:tcBorders>
      </w:tcPr>
    </w:tblStylePr>
    <w:tblStylePr w:type="band1Horz">
      <w:tcPr>
        <w:tcBorders>
          <w:top w:val="single" w:color="000000" w:sz="4" w:space="0"/>
          <w:bottom w:val="single" w:color="000000" w:sz="4" w:space="0"/>
        </w:tcBorders>
      </w:tcPr>
    </w:tblStylePr>
  </w:style>
  <w:style w:type="table" w:customStyle="1" w:styleId="513">
    <w:name w:val="Таблица простая 3110"/>
    <w:basedOn w:val="13"/>
    <w:uiPriority w:val="99"/>
    <w:rPr>
      <w:sz w:val="22"/>
      <w:szCs w:val="22"/>
      <w:lang w:eastAsia="en-US"/>
    </w:rPr>
    <w:tblPr>
      <w:tblCellMar>
        <w:top w:w="0" w:type="dxa"/>
        <w:left w:w="108" w:type="dxa"/>
        <w:bottom w:w="0" w:type="dxa"/>
        <w:right w:w="108" w:type="dxa"/>
      </w:tblCellMar>
    </w:tblPr>
    <w:tblStylePr w:type="firstRow">
      <w:rPr>
        <w:b/>
        <w:caps/>
        <w:color w:val="404040"/>
      </w:rPr>
      <w:tcPr>
        <w:tcBorders>
          <w:top w:val="nil"/>
          <w:left w:val="nil"/>
          <w:bottom w:val="single" w:color="404040" w:sz="4" w:space="0"/>
          <w:right w:val="nil"/>
        </w:tcBorders>
      </w:tcPr>
    </w:tblStylePr>
    <w:tblStylePr w:type="lastRow">
      <w:rPr>
        <w:b/>
        <w:caps/>
        <w:color w:val="404040"/>
      </w:rPr>
    </w:tblStylePr>
    <w:tblStylePr w:type="firstCol">
      <w:rPr>
        <w:b/>
        <w:caps/>
        <w:color w:val="404040"/>
      </w:rPr>
      <w:tcPr>
        <w:tcBorders>
          <w:top w:val="nil"/>
          <w:left w:val="nil"/>
          <w:bottom w:val="nil"/>
          <w:right w:val="single" w:color="404040" w:sz="4" w:space="0"/>
        </w:tcBorders>
      </w:tcPr>
    </w:tblStylePr>
    <w:tblStylePr w:type="lastCol">
      <w:rPr>
        <w:b/>
        <w:caps/>
        <w:color w:val="404040"/>
      </w:rPr>
    </w:tblStylePr>
    <w:tblStylePr w:type="band1Vert">
      <w:rPr>
        <w:rFonts w:ascii="Arial" w:hAnsi="Arial"/>
        <w:color w:val="404040"/>
        <w:sz w:val="22"/>
      </w:rPr>
      <w:tcPr>
        <w:shd w:val="clear" w:color="F2F2F2" w:fill="F2F2F2"/>
      </w:tcPr>
    </w:tblStylePr>
    <w:tblStylePr w:type="band1Horz">
      <w:rPr>
        <w:rFonts w:ascii="Arial" w:hAnsi="Arial"/>
        <w:color w:val="404040"/>
        <w:sz w:val="22"/>
      </w:rPr>
      <w:tcPr>
        <w:shd w:val="clear" w:color="F2F2F2" w:fill="F2F2F2"/>
      </w:tcPr>
    </w:tblStylePr>
  </w:style>
  <w:style w:type="table" w:customStyle="1" w:styleId="514">
    <w:name w:val="Таблица простая 4110"/>
    <w:basedOn w:val="13"/>
    <w:uiPriority w:val="99"/>
    <w:rPr>
      <w:sz w:val="22"/>
      <w:szCs w:val="22"/>
      <w:lang w:eastAsia="en-US"/>
    </w:rPr>
    <w:tblPr>
      <w:tblCellMar>
        <w:top w:w="0" w:type="dxa"/>
        <w:left w:w="108" w:type="dxa"/>
        <w:bottom w:w="0" w:type="dxa"/>
        <w:right w:w="108" w:type="dxa"/>
      </w:tblCellMar>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F2F2F2" w:fill="F2F2F2"/>
      </w:tcPr>
    </w:tblStylePr>
    <w:tblStylePr w:type="band1Horz">
      <w:rPr>
        <w:rFonts w:ascii="Arial" w:hAnsi="Arial"/>
        <w:color w:val="404040"/>
        <w:sz w:val="22"/>
      </w:rPr>
      <w:tcPr>
        <w:shd w:val="clear" w:color="F2F2F2" w:fill="F2F2F2"/>
      </w:tcPr>
    </w:tblStylePr>
  </w:style>
  <w:style w:type="table" w:customStyle="1" w:styleId="515">
    <w:name w:val="Таблица простая 5110"/>
    <w:basedOn w:val="13"/>
    <w:uiPriority w:val="99"/>
    <w:rPr>
      <w:sz w:val="22"/>
      <w:szCs w:val="22"/>
      <w:lang w:eastAsia="en-US"/>
    </w:rPr>
    <w:tblPr>
      <w:tblCellMar>
        <w:top w:w="0" w:type="dxa"/>
        <w:left w:w="108" w:type="dxa"/>
        <w:bottom w:w="0" w:type="dxa"/>
        <w:right w:w="108" w:type="dxa"/>
      </w:tblCellMar>
    </w:tblPr>
    <w:tblStylePr w:type="firstRow">
      <w:rPr>
        <w:i/>
        <w:color w:val="404040"/>
      </w:rPr>
      <w:tcPr>
        <w:tcBorders>
          <w:left w:val="nil"/>
          <w:bottom w:val="single" w:color="404040" w:sz="4" w:space="0"/>
          <w:right w:val="nil"/>
        </w:tcBorders>
        <w:shd w:val="clear" w:color="FFFFFF" w:fill="auto"/>
      </w:tcPr>
    </w:tblStylePr>
    <w:tblStylePr w:type="lastRow">
      <w:rPr>
        <w:i/>
        <w:color w:val="404040"/>
      </w:rPr>
      <w:tcPr>
        <w:tcBorders>
          <w:top w:val="single" w:color="404040" w:sz="4" w:space="0"/>
          <w:left w:val="nil"/>
          <w:right w:val="nil"/>
        </w:tcBorders>
        <w:shd w:val="clear" w:color="FFFFFF" w:fill="auto"/>
      </w:tcPr>
    </w:tblStylePr>
    <w:tblStylePr w:type="firstCol">
      <w:pPr>
        <w:jc w:val="right"/>
      </w:pPr>
      <w:rPr>
        <w:i/>
        <w:color w:val="404040"/>
      </w:rPr>
      <w:tcPr>
        <w:tcBorders>
          <w:right w:val="single" w:color="404040" w:sz="4" w:space="0"/>
        </w:tcBorders>
        <w:shd w:val="clear" w:color="FFFFFF" w:fill="auto"/>
      </w:tcPr>
    </w:tblStylePr>
    <w:tblStylePr w:type="lastCol">
      <w:rPr>
        <w:i/>
        <w:color w:val="404040"/>
      </w:rPr>
      <w:tcPr>
        <w:tcBorders>
          <w:left w:val="single" w:color="404040" w:sz="4" w:space="0"/>
        </w:tcBorders>
        <w:shd w:val="clear" w:color="FFFFFF" w:fill="auto"/>
      </w:tcPr>
    </w:tblStylePr>
    <w:tblStylePr w:type="band1Vert">
      <w:rPr>
        <w:rFonts w:ascii="Arial" w:hAnsi="Arial"/>
        <w:color w:val="404040"/>
        <w:sz w:val="22"/>
      </w:rPr>
      <w:tcPr>
        <w:shd w:val="clear" w:color="F2F2F2" w:fill="F2F2F2"/>
      </w:tcPr>
    </w:tblStylePr>
    <w:tblStylePr w:type="band1Horz">
      <w:rPr>
        <w:rFonts w:ascii="Arial" w:hAnsi="Arial"/>
        <w:color w:val="404040"/>
        <w:sz w:val="22"/>
      </w:rPr>
      <w:tcPr>
        <w:shd w:val="clear" w:color="F2F2F2" w:fill="F2F2F2"/>
      </w:tcPr>
    </w:tblStylePr>
  </w:style>
  <w:style w:type="table" w:customStyle="1" w:styleId="516">
    <w:name w:val="Таблица-сетка 1 светлая110"/>
    <w:basedOn w:val="13"/>
    <w:uiPriority w:val="99"/>
    <w:rPr>
      <w:sz w:val="22"/>
      <w:szCs w:val="22"/>
      <w:lang w:eastAsia="en-US"/>
    </w:rPr>
    <w:tblPr>
      <w:tblBorders>
        <w:top w:val="single" w:color="989898" w:sz="4" w:space="0"/>
        <w:left w:val="single" w:color="989898" w:sz="4" w:space="0"/>
        <w:bottom w:val="single" w:color="989898" w:sz="4" w:space="0"/>
        <w:right w:val="single" w:color="989898" w:sz="4" w:space="0"/>
        <w:insideH w:val="single" w:color="989898" w:sz="4" w:space="0"/>
        <w:insideV w:val="single" w:color="989898" w:sz="4" w:space="0"/>
      </w:tblBorders>
      <w:tblCellMar>
        <w:top w:w="0" w:type="dxa"/>
        <w:left w:w="108" w:type="dxa"/>
        <w:bottom w:w="0" w:type="dxa"/>
        <w:right w:w="108" w:type="dxa"/>
      </w:tblCellMar>
    </w:tblPr>
    <w:tblStylePr w:type="firstRow">
      <w:rPr>
        <w:b/>
        <w:color w:val="404040"/>
      </w:rPr>
      <w:tcPr>
        <w:tcBorders>
          <w:bottom w:val="single" w:color="6A6A6A" w:sz="12" w:space="0"/>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cPr>
        <w:tcBorders>
          <w:top w:val="single" w:color="989898" w:sz="4" w:space="0"/>
          <w:left w:val="single" w:color="989898" w:sz="4" w:space="0"/>
          <w:bottom w:val="single" w:color="989898" w:sz="4" w:space="0"/>
          <w:right w:val="single" w:color="989898" w:sz="4" w:space="0"/>
        </w:tcBorders>
      </w:tcPr>
    </w:tblStylePr>
  </w:style>
  <w:style w:type="table" w:customStyle="1" w:styleId="517">
    <w:name w:val="Grid Table 1 Light - Accent 11"/>
    <w:basedOn w:val="13"/>
    <w:uiPriority w:val="99"/>
    <w:rPr>
      <w:sz w:val="22"/>
      <w:szCs w:val="22"/>
      <w:lang w:eastAsia="en-US"/>
    </w:rPr>
    <w:tblPr>
      <w:tblBorders>
        <w:top w:val="single" w:color="B7CBE4" w:sz="4" w:space="0"/>
        <w:left w:val="single" w:color="B7CBE4" w:sz="4" w:space="0"/>
        <w:bottom w:val="single" w:color="B7CBE4" w:sz="4" w:space="0"/>
        <w:right w:val="single" w:color="B7CBE4" w:sz="4" w:space="0"/>
        <w:insideH w:val="single" w:color="B7CBE4" w:sz="4" w:space="0"/>
        <w:insideV w:val="single" w:color="B7CBE4" w:sz="4" w:space="0"/>
      </w:tblBorders>
      <w:tblCellMar>
        <w:top w:w="0" w:type="dxa"/>
        <w:left w:w="108" w:type="dxa"/>
        <w:bottom w:w="0" w:type="dxa"/>
        <w:right w:w="108" w:type="dxa"/>
      </w:tblCellMar>
    </w:tblPr>
    <w:tblStylePr w:type="firstRow">
      <w:rPr>
        <w:b/>
        <w:color w:val="404040"/>
      </w:rPr>
      <w:tcPr>
        <w:tcBorders>
          <w:bottom w:val="single" w:color="97B4D8" w:sz="12" w:space="0"/>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cPr>
        <w:tcBorders>
          <w:top w:val="single" w:color="B7CBE4" w:sz="4" w:space="0"/>
          <w:left w:val="single" w:color="B7CBE4" w:sz="4" w:space="0"/>
          <w:bottom w:val="single" w:color="B7CBE4" w:sz="4" w:space="0"/>
          <w:right w:val="single" w:color="B7CBE4" w:sz="4" w:space="0"/>
        </w:tcBorders>
      </w:tcPr>
    </w:tblStylePr>
  </w:style>
  <w:style w:type="table" w:customStyle="1" w:styleId="518">
    <w:name w:val="Grid Table 1 Light - Accent 21"/>
    <w:basedOn w:val="13"/>
    <w:uiPriority w:val="99"/>
    <w:rPr>
      <w:sz w:val="22"/>
      <w:szCs w:val="22"/>
      <w:lang w:eastAsia="en-US"/>
    </w:rPr>
    <w:tblPr>
      <w:tblBorders>
        <w:top w:val="single" w:color="E5B7B6" w:sz="4" w:space="0"/>
        <w:left w:val="single" w:color="E5B7B6" w:sz="4" w:space="0"/>
        <w:bottom w:val="single" w:color="E5B7B6" w:sz="4" w:space="0"/>
        <w:right w:val="single" w:color="E5B7B6" w:sz="4" w:space="0"/>
        <w:insideH w:val="single" w:color="E5B7B6" w:sz="4" w:space="0"/>
        <w:insideV w:val="single" w:color="E5B7B6" w:sz="4" w:space="0"/>
      </w:tblBorders>
      <w:tblCellMar>
        <w:top w:w="0" w:type="dxa"/>
        <w:left w:w="108" w:type="dxa"/>
        <w:bottom w:w="0" w:type="dxa"/>
        <w:right w:w="108" w:type="dxa"/>
      </w:tblCellMar>
    </w:tblPr>
    <w:tblStylePr w:type="firstRow">
      <w:rPr>
        <w:b/>
        <w:color w:val="404040"/>
      </w:rPr>
      <w:tcPr>
        <w:tcBorders>
          <w:bottom w:val="single" w:color="DA9896" w:sz="12" w:space="0"/>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cPr>
        <w:tcBorders>
          <w:top w:val="single" w:color="E5B7B6" w:sz="4" w:space="0"/>
          <w:left w:val="single" w:color="E5B7B6" w:sz="4" w:space="0"/>
          <w:bottom w:val="single" w:color="E5B7B6" w:sz="4" w:space="0"/>
          <w:right w:val="single" w:color="E5B7B6" w:sz="4" w:space="0"/>
        </w:tcBorders>
      </w:tcPr>
    </w:tblStylePr>
  </w:style>
  <w:style w:type="table" w:customStyle="1" w:styleId="519">
    <w:name w:val="Grid Table 1 Light - Accent 31"/>
    <w:basedOn w:val="13"/>
    <w:uiPriority w:val="99"/>
    <w:rPr>
      <w:sz w:val="22"/>
      <w:szCs w:val="22"/>
      <w:lang w:eastAsia="en-US"/>
    </w:rPr>
    <w:tblPr>
      <w:tblBorders>
        <w:top w:val="single" w:color="D6E3BB" w:sz="4" w:space="0"/>
        <w:left w:val="single" w:color="D6E3BB" w:sz="4" w:space="0"/>
        <w:bottom w:val="single" w:color="D6E3BB" w:sz="4" w:space="0"/>
        <w:right w:val="single" w:color="D6E3BB" w:sz="4" w:space="0"/>
        <w:insideH w:val="single" w:color="D6E3BB" w:sz="4" w:space="0"/>
        <w:insideV w:val="single" w:color="D6E3BB" w:sz="4" w:space="0"/>
      </w:tblBorders>
      <w:tblCellMar>
        <w:top w:w="0" w:type="dxa"/>
        <w:left w:w="108" w:type="dxa"/>
        <w:bottom w:w="0" w:type="dxa"/>
        <w:right w:w="108" w:type="dxa"/>
      </w:tblCellMar>
    </w:tblPr>
    <w:tblStylePr w:type="firstRow">
      <w:rPr>
        <w:b/>
        <w:color w:val="404040"/>
      </w:rPr>
      <w:tcPr>
        <w:tcBorders>
          <w:bottom w:val="single" w:color="C4D79D" w:sz="12" w:space="0"/>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cPr>
        <w:tcBorders>
          <w:top w:val="single" w:color="D6E3BB" w:sz="4" w:space="0"/>
          <w:left w:val="single" w:color="D6E3BB" w:sz="4" w:space="0"/>
          <w:bottom w:val="single" w:color="D6E3BB" w:sz="4" w:space="0"/>
          <w:right w:val="single" w:color="D6E3BB" w:sz="4" w:space="0"/>
        </w:tcBorders>
      </w:tcPr>
    </w:tblStylePr>
  </w:style>
  <w:style w:type="table" w:customStyle="1" w:styleId="520">
    <w:name w:val="Grid Table 1 Light - Accent 41"/>
    <w:basedOn w:val="13"/>
    <w:uiPriority w:val="99"/>
    <w:rPr>
      <w:sz w:val="22"/>
      <w:szCs w:val="22"/>
      <w:lang w:eastAsia="en-US"/>
    </w:rPr>
    <w:tblPr>
      <w:tblBorders>
        <w:top w:val="single" w:color="CBC0D9" w:sz="4" w:space="0"/>
        <w:left w:val="single" w:color="CBC0D9" w:sz="4" w:space="0"/>
        <w:bottom w:val="single" w:color="CBC0D9" w:sz="4" w:space="0"/>
        <w:right w:val="single" w:color="CBC0D9" w:sz="4" w:space="0"/>
        <w:insideH w:val="single" w:color="CBC0D9" w:sz="4" w:space="0"/>
        <w:insideV w:val="single" w:color="CBC0D9" w:sz="4" w:space="0"/>
      </w:tblBorders>
      <w:tblCellMar>
        <w:top w:w="0" w:type="dxa"/>
        <w:left w:w="108" w:type="dxa"/>
        <w:bottom w:w="0" w:type="dxa"/>
        <w:right w:w="108" w:type="dxa"/>
      </w:tblCellMar>
    </w:tblPr>
    <w:tblStylePr w:type="firstRow">
      <w:rPr>
        <w:b/>
        <w:color w:val="404040"/>
      </w:rPr>
      <w:tcPr>
        <w:tcBorders>
          <w:bottom w:val="single" w:color="B4A4C8" w:sz="12" w:space="0"/>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cPr>
        <w:tcBorders>
          <w:top w:val="single" w:color="CBC0D9" w:sz="4" w:space="0"/>
          <w:left w:val="single" w:color="CBC0D9" w:sz="4" w:space="0"/>
          <w:bottom w:val="single" w:color="CBC0D9" w:sz="4" w:space="0"/>
          <w:right w:val="single" w:color="CBC0D9" w:sz="4" w:space="0"/>
        </w:tcBorders>
      </w:tcPr>
    </w:tblStylePr>
  </w:style>
  <w:style w:type="table" w:customStyle="1" w:styleId="521">
    <w:name w:val="Grid Table 1 Light - Accent 51"/>
    <w:basedOn w:val="13"/>
    <w:uiPriority w:val="99"/>
    <w:rPr>
      <w:sz w:val="22"/>
      <w:szCs w:val="22"/>
      <w:lang w:eastAsia="en-US"/>
    </w:rPr>
    <w:tblPr>
      <w:tblBorders>
        <w:top w:val="single" w:color="B6DDE8" w:sz="4" w:space="0"/>
        <w:left w:val="single" w:color="B6DDE8" w:sz="4" w:space="0"/>
        <w:bottom w:val="single" w:color="B6DDE8" w:sz="4" w:space="0"/>
        <w:right w:val="single" w:color="B6DDE8" w:sz="4" w:space="0"/>
        <w:insideH w:val="single" w:color="B6DDE8" w:sz="4" w:space="0"/>
        <w:insideV w:val="single" w:color="B6DDE8" w:sz="4" w:space="0"/>
      </w:tblBorders>
      <w:tblCellMar>
        <w:top w:w="0" w:type="dxa"/>
        <w:left w:w="108" w:type="dxa"/>
        <w:bottom w:w="0" w:type="dxa"/>
        <w:right w:w="108" w:type="dxa"/>
      </w:tblCellMar>
    </w:tblPr>
    <w:tblStylePr w:type="firstRow">
      <w:rPr>
        <w:b/>
        <w:color w:val="404040"/>
      </w:rPr>
      <w:tcPr>
        <w:tcBorders>
          <w:bottom w:val="single" w:color="95CEDD" w:sz="12" w:space="0"/>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cPr>
        <w:tcBorders>
          <w:top w:val="single" w:color="B6DDE8" w:sz="4" w:space="0"/>
          <w:left w:val="single" w:color="B6DDE8" w:sz="4" w:space="0"/>
          <w:bottom w:val="single" w:color="B6DDE8" w:sz="4" w:space="0"/>
          <w:right w:val="single" w:color="B6DDE8" w:sz="4" w:space="0"/>
        </w:tcBorders>
      </w:tcPr>
    </w:tblStylePr>
  </w:style>
  <w:style w:type="table" w:customStyle="1" w:styleId="522">
    <w:name w:val="Grid Table 1 Light - Accent 61"/>
    <w:basedOn w:val="13"/>
    <w:uiPriority w:val="99"/>
    <w:rPr>
      <w:sz w:val="22"/>
      <w:szCs w:val="22"/>
      <w:lang w:eastAsia="en-US"/>
    </w:rPr>
    <w:tblPr>
      <w:tblBorders>
        <w:top w:val="single" w:color="FBD4B4" w:sz="4" w:space="0"/>
        <w:left w:val="single" w:color="FBD4B4" w:sz="4" w:space="0"/>
        <w:bottom w:val="single" w:color="FBD4B4" w:sz="4" w:space="0"/>
        <w:right w:val="single" w:color="FBD4B4" w:sz="4" w:space="0"/>
        <w:insideH w:val="single" w:color="FBD4B4" w:sz="4" w:space="0"/>
        <w:insideV w:val="single" w:color="FBD4B4" w:sz="4" w:space="0"/>
      </w:tblBorders>
      <w:tblCellMar>
        <w:top w:w="0" w:type="dxa"/>
        <w:left w:w="108" w:type="dxa"/>
        <w:bottom w:w="0" w:type="dxa"/>
        <w:right w:w="108" w:type="dxa"/>
      </w:tblCellMar>
    </w:tblPr>
    <w:tblStylePr w:type="firstRow">
      <w:rPr>
        <w:b/>
        <w:color w:val="404040"/>
      </w:rPr>
      <w:tcPr>
        <w:tcBorders>
          <w:bottom w:val="single" w:color="FAC192" w:sz="12" w:space="0"/>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cPr>
        <w:tcBorders>
          <w:top w:val="single" w:color="FBD4B4" w:sz="4" w:space="0"/>
          <w:left w:val="single" w:color="FBD4B4" w:sz="4" w:space="0"/>
          <w:bottom w:val="single" w:color="FBD4B4" w:sz="4" w:space="0"/>
          <w:right w:val="single" w:color="FBD4B4" w:sz="4" w:space="0"/>
        </w:tcBorders>
      </w:tcPr>
    </w:tblStylePr>
  </w:style>
  <w:style w:type="table" w:customStyle="1" w:styleId="523">
    <w:name w:val="Таблица-сетка 2110"/>
    <w:basedOn w:val="13"/>
    <w:uiPriority w:val="99"/>
    <w:rPr>
      <w:sz w:val="22"/>
      <w:szCs w:val="22"/>
      <w:lang w:eastAsia="en-US"/>
    </w:rPr>
    <w:tblPr>
      <w:tblBorders>
        <w:bottom w:val="single" w:color="6A6A6A" w:sz="4" w:space="0"/>
        <w:insideH w:val="single" w:color="6A6A6A" w:sz="4" w:space="0"/>
        <w:insideV w:val="single" w:color="6A6A6A" w:sz="4" w:space="0"/>
      </w:tblBorders>
      <w:tblCellMar>
        <w:top w:w="0" w:type="dxa"/>
        <w:left w:w="108" w:type="dxa"/>
        <w:bottom w:w="0" w:type="dxa"/>
        <w:right w:w="108" w:type="dxa"/>
      </w:tblCellMar>
    </w:tblPr>
    <w:tblStylePr w:type="firstRow">
      <w:rPr>
        <w:b/>
        <w:color w:val="404040"/>
      </w:rPr>
      <w:tcPr>
        <w:tcBorders>
          <w:top w:val="nil"/>
          <w:left w:val="nil"/>
          <w:bottom w:val="single" w:color="6A6A6A" w:sz="12" w:space="0"/>
          <w:right w:val="nil"/>
        </w:tcBorders>
        <w:shd w:val="clear" w:color="FFFFFF" w:fill="auto"/>
      </w:tcPr>
    </w:tblStylePr>
    <w:tblStylePr w:type="lastRow">
      <w:rPr>
        <w:b/>
        <w:color w:val="404040"/>
      </w:rPr>
      <w:tcPr>
        <w:tcBorders>
          <w:top w:val="single" w:color="6A6A6A"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CBCBCB" w:fill="CBCBCB"/>
      </w:tcPr>
    </w:tblStylePr>
    <w:tblStylePr w:type="band1Horz">
      <w:rPr>
        <w:rFonts w:ascii="Arial" w:hAnsi="Arial"/>
        <w:color w:val="404040"/>
        <w:sz w:val="22"/>
      </w:rPr>
      <w:tcPr>
        <w:shd w:val="clear" w:color="CBCBCB" w:fill="CBCBCB"/>
      </w:tcPr>
    </w:tblStylePr>
  </w:style>
  <w:style w:type="table" w:customStyle="1" w:styleId="524">
    <w:name w:val="Grid Table 2 - Accent 11"/>
    <w:basedOn w:val="13"/>
    <w:uiPriority w:val="99"/>
    <w:rPr>
      <w:sz w:val="22"/>
      <w:szCs w:val="22"/>
      <w:lang w:eastAsia="en-US"/>
    </w:rPr>
    <w:tblPr>
      <w:tblBorders>
        <w:bottom w:val="single" w:color="5D8AC2" w:sz="4" w:space="0"/>
        <w:insideH w:val="single" w:color="5D8AC2" w:sz="4" w:space="0"/>
        <w:insideV w:val="single" w:color="5D8AC2" w:sz="4" w:space="0"/>
      </w:tblBorders>
      <w:tblCellMar>
        <w:top w:w="0" w:type="dxa"/>
        <w:left w:w="108" w:type="dxa"/>
        <w:bottom w:w="0" w:type="dxa"/>
        <w:right w:w="108" w:type="dxa"/>
      </w:tblCellMar>
    </w:tblPr>
    <w:tblStylePr w:type="firstRow">
      <w:rPr>
        <w:b/>
        <w:color w:val="404040"/>
      </w:rPr>
      <w:tcPr>
        <w:tcBorders>
          <w:top w:val="nil"/>
          <w:left w:val="nil"/>
          <w:bottom w:val="single" w:color="5D8AC2" w:sz="12" w:space="0"/>
          <w:right w:val="nil"/>
        </w:tcBorders>
        <w:shd w:val="clear" w:color="FFFFFF" w:fill="auto"/>
      </w:tcPr>
    </w:tblStylePr>
    <w:tblStylePr w:type="lastRow">
      <w:rPr>
        <w:b/>
        <w:color w:val="404040"/>
      </w:rPr>
      <w:tcPr>
        <w:tcBorders>
          <w:top w:val="single" w:color="5D8AC2"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DAE5F1" w:fill="DAE5F1"/>
      </w:tcPr>
    </w:tblStylePr>
    <w:tblStylePr w:type="band1Horz">
      <w:rPr>
        <w:rFonts w:ascii="Arial" w:hAnsi="Arial"/>
        <w:color w:val="404040"/>
        <w:sz w:val="22"/>
      </w:rPr>
      <w:tcPr>
        <w:shd w:val="clear" w:color="DAE5F1" w:fill="DAE5F1"/>
      </w:tcPr>
    </w:tblStylePr>
  </w:style>
  <w:style w:type="table" w:customStyle="1" w:styleId="525">
    <w:name w:val="Grid Table 2 - Accent 21"/>
    <w:basedOn w:val="13"/>
    <w:uiPriority w:val="99"/>
    <w:rPr>
      <w:sz w:val="22"/>
      <w:szCs w:val="22"/>
      <w:lang w:eastAsia="en-US"/>
    </w:rPr>
    <w:tblPr>
      <w:tblBorders>
        <w:bottom w:val="single" w:color="D99695" w:sz="4" w:space="0"/>
        <w:insideH w:val="single" w:color="D99695" w:sz="4" w:space="0"/>
        <w:insideV w:val="single" w:color="D99695" w:sz="4" w:space="0"/>
      </w:tblBorders>
      <w:tblCellMar>
        <w:top w:w="0" w:type="dxa"/>
        <w:left w:w="108" w:type="dxa"/>
        <w:bottom w:w="0" w:type="dxa"/>
        <w:right w:w="108" w:type="dxa"/>
      </w:tblCellMar>
    </w:tblPr>
    <w:tblStylePr w:type="firstRow">
      <w:rPr>
        <w:b/>
        <w:color w:val="404040"/>
      </w:rPr>
      <w:tcPr>
        <w:tcBorders>
          <w:top w:val="nil"/>
          <w:left w:val="nil"/>
          <w:bottom w:val="single" w:color="D99695" w:sz="12" w:space="0"/>
          <w:right w:val="nil"/>
        </w:tcBorders>
        <w:shd w:val="clear" w:color="FFFFFF" w:fill="auto"/>
      </w:tcPr>
    </w:tblStylePr>
    <w:tblStylePr w:type="lastRow">
      <w:rPr>
        <w:b/>
        <w:color w:val="404040"/>
      </w:rPr>
      <w:tcPr>
        <w:tcBorders>
          <w:top w:val="single" w:color="D99695"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F2DCDC" w:fill="F2DCDC"/>
      </w:tcPr>
    </w:tblStylePr>
    <w:tblStylePr w:type="band1Horz">
      <w:rPr>
        <w:rFonts w:ascii="Arial" w:hAnsi="Arial"/>
        <w:color w:val="404040"/>
        <w:sz w:val="22"/>
      </w:rPr>
      <w:tcPr>
        <w:shd w:val="clear" w:color="F2DCDC" w:fill="F2DCDC"/>
      </w:tcPr>
    </w:tblStylePr>
  </w:style>
  <w:style w:type="table" w:customStyle="1" w:styleId="526">
    <w:name w:val="Grid Table 2 - Accent 31"/>
    <w:basedOn w:val="13"/>
    <w:uiPriority w:val="99"/>
    <w:rPr>
      <w:sz w:val="22"/>
      <w:szCs w:val="22"/>
      <w:lang w:eastAsia="en-US"/>
    </w:rPr>
    <w:tblPr>
      <w:tblBorders>
        <w:bottom w:val="single" w:color="9ABB59" w:sz="4" w:space="0"/>
        <w:insideH w:val="single" w:color="9ABB59" w:sz="4" w:space="0"/>
        <w:insideV w:val="single" w:color="9ABB59" w:sz="4" w:space="0"/>
      </w:tblBorders>
      <w:tblCellMar>
        <w:top w:w="0" w:type="dxa"/>
        <w:left w:w="108" w:type="dxa"/>
        <w:bottom w:w="0" w:type="dxa"/>
        <w:right w:w="108" w:type="dxa"/>
      </w:tblCellMar>
    </w:tblPr>
    <w:tblStylePr w:type="firstRow">
      <w:rPr>
        <w:b/>
        <w:color w:val="404040"/>
      </w:rPr>
      <w:tcPr>
        <w:tcBorders>
          <w:top w:val="nil"/>
          <w:left w:val="nil"/>
          <w:bottom w:val="single" w:color="9ABB59" w:sz="12" w:space="0"/>
          <w:right w:val="nil"/>
        </w:tcBorders>
        <w:shd w:val="clear" w:color="FFFFFF" w:fill="auto"/>
      </w:tcPr>
    </w:tblStylePr>
    <w:tblStylePr w:type="lastRow">
      <w:rPr>
        <w:b/>
        <w:color w:val="404040"/>
      </w:rPr>
      <w:tcPr>
        <w:tcBorders>
          <w:top w:val="single" w:color="9ABB59"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EAF1DC" w:fill="EAF1DC"/>
      </w:tcPr>
    </w:tblStylePr>
    <w:tblStylePr w:type="band1Horz">
      <w:rPr>
        <w:rFonts w:ascii="Arial" w:hAnsi="Arial"/>
        <w:color w:val="404040"/>
        <w:sz w:val="22"/>
      </w:rPr>
      <w:tcPr>
        <w:shd w:val="clear" w:color="EAF1DC" w:fill="EAF1DC"/>
      </w:tcPr>
    </w:tblStylePr>
  </w:style>
  <w:style w:type="table" w:customStyle="1" w:styleId="527">
    <w:name w:val="Grid Table 2 - Accent 41"/>
    <w:basedOn w:val="13"/>
    <w:uiPriority w:val="99"/>
    <w:rPr>
      <w:sz w:val="22"/>
      <w:szCs w:val="22"/>
      <w:lang w:eastAsia="en-US"/>
    </w:rPr>
    <w:tblPr>
      <w:tblBorders>
        <w:bottom w:val="single" w:color="B2A1C6" w:sz="4" w:space="0"/>
        <w:insideH w:val="single" w:color="B2A1C6" w:sz="4" w:space="0"/>
        <w:insideV w:val="single" w:color="B2A1C6" w:sz="4" w:space="0"/>
      </w:tblBorders>
      <w:tblCellMar>
        <w:top w:w="0" w:type="dxa"/>
        <w:left w:w="108" w:type="dxa"/>
        <w:bottom w:w="0" w:type="dxa"/>
        <w:right w:w="108" w:type="dxa"/>
      </w:tblCellMar>
    </w:tblPr>
    <w:tblStylePr w:type="firstRow">
      <w:rPr>
        <w:b/>
        <w:color w:val="404040"/>
      </w:rPr>
      <w:tcPr>
        <w:tcBorders>
          <w:top w:val="nil"/>
          <w:left w:val="nil"/>
          <w:bottom w:val="single" w:color="B2A1C6" w:sz="12" w:space="0"/>
          <w:right w:val="nil"/>
        </w:tcBorders>
        <w:shd w:val="clear" w:color="FFFFFF" w:fill="auto"/>
      </w:tcPr>
    </w:tblStylePr>
    <w:tblStylePr w:type="lastRow">
      <w:rPr>
        <w:b/>
        <w:color w:val="404040"/>
      </w:rPr>
      <w:tcPr>
        <w:tcBorders>
          <w:top w:val="single" w:color="B2A1C6"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E5DFEC" w:fill="E5DFEC"/>
      </w:tcPr>
    </w:tblStylePr>
    <w:tblStylePr w:type="band1Horz">
      <w:rPr>
        <w:rFonts w:ascii="Arial" w:hAnsi="Arial"/>
        <w:color w:val="404040"/>
        <w:sz w:val="22"/>
      </w:rPr>
      <w:tcPr>
        <w:shd w:val="clear" w:color="E5DFEC" w:fill="E5DFEC"/>
      </w:tcPr>
    </w:tblStylePr>
  </w:style>
  <w:style w:type="table" w:customStyle="1" w:styleId="528">
    <w:name w:val="Grid Table 2 - Accent 51"/>
    <w:basedOn w:val="13"/>
    <w:uiPriority w:val="99"/>
    <w:rPr>
      <w:sz w:val="22"/>
      <w:szCs w:val="22"/>
      <w:lang w:eastAsia="en-US"/>
    </w:rPr>
    <w:tblPr>
      <w:tblBorders>
        <w:bottom w:val="single" w:color="4BACC6" w:sz="4" w:space="0"/>
        <w:insideH w:val="single" w:color="4BACC6" w:sz="4" w:space="0"/>
        <w:insideV w:val="single" w:color="4BACC6" w:sz="4" w:space="0"/>
      </w:tblBorders>
      <w:tblCellMar>
        <w:top w:w="0" w:type="dxa"/>
        <w:left w:w="108" w:type="dxa"/>
        <w:bottom w:w="0" w:type="dxa"/>
        <w:right w:w="108" w:type="dxa"/>
      </w:tblCellMar>
    </w:tblPr>
    <w:tblStylePr w:type="firstRow">
      <w:rPr>
        <w:b/>
        <w:color w:val="404040"/>
      </w:rPr>
      <w:tcPr>
        <w:tcBorders>
          <w:top w:val="nil"/>
          <w:left w:val="nil"/>
          <w:bottom w:val="single" w:color="4BACC6" w:sz="12" w:space="0"/>
          <w:right w:val="nil"/>
        </w:tcBorders>
        <w:shd w:val="clear" w:color="FFFFFF" w:fill="auto"/>
      </w:tcPr>
    </w:tblStylePr>
    <w:tblStylePr w:type="lastRow">
      <w:rPr>
        <w:b/>
        <w:color w:val="404040"/>
      </w:rPr>
      <w:tcPr>
        <w:tcBorders>
          <w:top w:val="single" w:color="4BACC6"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DAEEF3" w:fill="DAEEF3"/>
      </w:tcPr>
    </w:tblStylePr>
    <w:tblStylePr w:type="band1Horz">
      <w:rPr>
        <w:rFonts w:ascii="Arial" w:hAnsi="Arial"/>
        <w:color w:val="404040"/>
        <w:sz w:val="22"/>
      </w:rPr>
      <w:tcPr>
        <w:shd w:val="clear" w:color="DAEEF3" w:fill="DAEEF3"/>
      </w:tcPr>
    </w:tblStylePr>
  </w:style>
  <w:style w:type="table" w:customStyle="1" w:styleId="529">
    <w:name w:val="Grid Table 2 - Accent 61"/>
    <w:basedOn w:val="13"/>
    <w:uiPriority w:val="99"/>
    <w:rPr>
      <w:sz w:val="22"/>
      <w:szCs w:val="22"/>
      <w:lang w:eastAsia="en-US"/>
    </w:rPr>
    <w:tblPr>
      <w:tblBorders>
        <w:bottom w:val="single" w:color="F79646" w:sz="4" w:space="0"/>
        <w:insideH w:val="single" w:color="F79646" w:sz="4" w:space="0"/>
        <w:insideV w:val="single" w:color="F79646" w:sz="4" w:space="0"/>
      </w:tblBorders>
      <w:tblCellMar>
        <w:top w:w="0" w:type="dxa"/>
        <w:left w:w="108" w:type="dxa"/>
        <w:bottom w:w="0" w:type="dxa"/>
        <w:right w:w="108" w:type="dxa"/>
      </w:tblCellMar>
    </w:tblPr>
    <w:tblStylePr w:type="firstRow">
      <w:rPr>
        <w:b/>
        <w:color w:val="404040"/>
      </w:rPr>
      <w:tcPr>
        <w:tcBorders>
          <w:top w:val="nil"/>
          <w:left w:val="nil"/>
          <w:bottom w:val="single" w:color="F79646" w:sz="12" w:space="0"/>
          <w:right w:val="nil"/>
        </w:tcBorders>
        <w:shd w:val="clear" w:color="FFFFFF" w:fill="auto"/>
      </w:tcPr>
    </w:tblStylePr>
    <w:tblStylePr w:type="lastRow">
      <w:rPr>
        <w:b/>
        <w:color w:val="404040"/>
      </w:rPr>
      <w:tcPr>
        <w:tcBorders>
          <w:top w:val="single" w:color="F79646"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FDE9D8" w:fill="FDE9D8"/>
      </w:tcPr>
    </w:tblStylePr>
    <w:tblStylePr w:type="band1Horz">
      <w:rPr>
        <w:rFonts w:ascii="Arial" w:hAnsi="Arial"/>
        <w:color w:val="404040"/>
        <w:sz w:val="22"/>
      </w:rPr>
      <w:tcPr>
        <w:shd w:val="clear" w:color="FDE9D8" w:fill="FDE9D8"/>
      </w:tcPr>
    </w:tblStylePr>
  </w:style>
  <w:style w:type="table" w:customStyle="1" w:styleId="530">
    <w:name w:val="Таблица-сетка 3110"/>
    <w:basedOn w:val="13"/>
    <w:uiPriority w:val="99"/>
    <w:rPr>
      <w:sz w:val="22"/>
      <w:szCs w:val="22"/>
      <w:lang w:eastAsia="en-US"/>
    </w:rPr>
    <w:tblPr>
      <w:tblBorders>
        <w:bottom w:val="single" w:color="6A6A6A" w:sz="4" w:space="0"/>
        <w:insideH w:val="single" w:color="6A6A6A" w:sz="4" w:space="0"/>
        <w:insideV w:val="single" w:color="6A6A6A" w:sz="4" w:space="0"/>
      </w:tblBorders>
      <w:tblCellMar>
        <w:top w:w="0" w:type="dxa"/>
        <w:left w:w="108" w:type="dxa"/>
        <w:bottom w:w="0" w:type="dxa"/>
        <w:right w:w="108" w:type="dxa"/>
      </w:tblCellMar>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rFonts w:ascii="Arial" w:hAnsi="Arial"/>
        <w:color w:val="404040"/>
        <w:sz w:val="22"/>
      </w:rPr>
      <w:tcPr>
        <w:shd w:val="clear" w:color="CBCBCB" w:fill="CBCBCB"/>
      </w:tcPr>
    </w:tblStylePr>
    <w:tblStylePr w:type="band1Horz">
      <w:rPr>
        <w:rFonts w:ascii="Arial" w:hAnsi="Arial"/>
        <w:color w:val="404040"/>
        <w:sz w:val="22"/>
      </w:rPr>
      <w:tcPr>
        <w:shd w:val="clear" w:color="CBCBCB" w:fill="CBCBCB"/>
      </w:tcPr>
    </w:tblStylePr>
  </w:style>
  <w:style w:type="table" w:customStyle="1" w:styleId="531">
    <w:name w:val="Grid Table 3 - Accent 11"/>
    <w:basedOn w:val="13"/>
    <w:uiPriority w:val="99"/>
    <w:rPr>
      <w:sz w:val="22"/>
      <w:szCs w:val="22"/>
      <w:lang w:eastAsia="en-US"/>
    </w:rPr>
    <w:tblPr>
      <w:tblBorders>
        <w:bottom w:val="single" w:color="5D8AC2" w:sz="4" w:space="0"/>
        <w:insideH w:val="single" w:color="5D8AC2" w:sz="4" w:space="0"/>
        <w:insideV w:val="single" w:color="5D8AC2" w:sz="4" w:space="0"/>
      </w:tblBorders>
      <w:tblCellMar>
        <w:top w:w="0" w:type="dxa"/>
        <w:left w:w="108" w:type="dxa"/>
        <w:bottom w:w="0" w:type="dxa"/>
        <w:right w:w="108" w:type="dxa"/>
      </w:tblCellMar>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rFonts w:ascii="Arial" w:hAnsi="Arial"/>
        <w:color w:val="404040"/>
        <w:sz w:val="22"/>
      </w:rPr>
      <w:tcPr>
        <w:shd w:val="clear" w:color="DAE5F1" w:fill="DAE5F1"/>
      </w:tcPr>
    </w:tblStylePr>
    <w:tblStylePr w:type="band1Horz">
      <w:rPr>
        <w:rFonts w:ascii="Arial" w:hAnsi="Arial"/>
        <w:color w:val="404040"/>
        <w:sz w:val="22"/>
      </w:rPr>
      <w:tcPr>
        <w:shd w:val="clear" w:color="DAE5F1" w:fill="DAE5F1"/>
      </w:tcPr>
    </w:tblStylePr>
  </w:style>
  <w:style w:type="table" w:customStyle="1" w:styleId="532">
    <w:name w:val="Grid Table 3 - Accent 21"/>
    <w:basedOn w:val="13"/>
    <w:uiPriority w:val="99"/>
    <w:rPr>
      <w:sz w:val="22"/>
      <w:szCs w:val="22"/>
      <w:lang w:eastAsia="en-US"/>
    </w:rPr>
    <w:tblPr>
      <w:tblBorders>
        <w:bottom w:val="single" w:color="D99695" w:sz="4" w:space="0"/>
        <w:insideH w:val="single" w:color="D99695" w:sz="4" w:space="0"/>
        <w:insideV w:val="single" w:color="D99695" w:sz="4" w:space="0"/>
      </w:tblBorders>
      <w:tblCellMar>
        <w:top w:w="0" w:type="dxa"/>
        <w:left w:w="108" w:type="dxa"/>
        <w:bottom w:w="0" w:type="dxa"/>
        <w:right w:w="108" w:type="dxa"/>
      </w:tblCellMar>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rFonts w:ascii="Arial" w:hAnsi="Arial"/>
        <w:color w:val="404040"/>
        <w:sz w:val="22"/>
      </w:rPr>
      <w:tcPr>
        <w:shd w:val="clear" w:color="F2DCDC" w:fill="F2DCDC"/>
      </w:tcPr>
    </w:tblStylePr>
    <w:tblStylePr w:type="band1Horz">
      <w:rPr>
        <w:rFonts w:ascii="Arial" w:hAnsi="Arial"/>
        <w:color w:val="404040"/>
        <w:sz w:val="22"/>
      </w:rPr>
      <w:tcPr>
        <w:shd w:val="clear" w:color="F2DCDC" w:fill="F2DCDC"/>
      </w:tcPr>
    </w:tblStylePr>
  </w:style>
  <w:style w:type="table" w:customStyle="1" w:styleId="533">
    <w:name w:val="Grid Table 3 - Accent 31"/>
    <w:basedOn w:val="13"/>
    <w:uiPriority w:val="99"/>
    <w:rPr>
      <w:sz w:val="22"/>
      <w:szCs w:val="22"/>
      <w:lang w:eastAsia="en-US"/>
    </w:rPr>
    <w:tblPr>
      <w:tblBorders>
        <w:bottom w:val="single" w:color="9ABB59" w:sz="4" w:space="0"/>
        <w:insideH w:val="single" w:color="9ABB59" w:sz="4" w:space="0"/>
        <w:insideV w:val="single" w:color="9ABB59" w:sz="4" w:space="0"/>
      </w:tblBorders>
      <w:tblCellMar>
        <w:top w:w="0" w:type="dxa"/>
        <w:left w:w="108" w:type="dxa"/>
        <w:bottom w:w="0" w:type="dxa"/>
        <w:right w:w="108" w:type="dxa"/>
      </w:tblCellMar>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rFonts w:ascii="Arial" w:hAnsi="Arial"/>
        <w:color w:val="404040"/>
        <w:sz w:val="22"/>
      </w:rPr>
      <w:tcPr>
        <w:shd w:val="clear" w:color="EAF1DC" w:fill="EAF1DC"/>
      </w:tcPr>
    </w:tblStylePr>
    <w:tblStylePr w:type="band1Horz">
      <w:rPr>
        <w:rFonts w:ascii="Arial" w:hAnsi="Arial"/>
        <w:color w:val="404040"/>
        <w:sz w:val="22"/>
      </w:rPr>
      <w:tcPr>
        <w:shd w:val="clear" w:color="EAF1DC" w:fill="EAF1DC"/>
      </w:tcPr>
    </w:tblStylePr>
  </w:style>
  <w:style w:type="table" w:customStyle="1" w:styleId="534">
    <w:name w:val="Grid Table 3 - Accent 41"/>
    <w:basedOn w:val="13"/>
    <w:uiPriority w:val="99"/>
    <w:rPr>
      <w:sz w:val="22"/>
      <w:szCs w:val="22"/>
      <w:lang w:eastAsia="en-US"/>
    </w:rPr>
    <w:tblPr>
      <w:tblBorders>
        <w:bottom w:val="single" w:color="B2A1C6" w:sz="4" w:space="0"/>
        <w:insideH w:val="single" w:color="B2A1C6" w:sz="4" w:space="0"/>
        <w:insideV w:val="single" w:color="B2A1C6" w:sz="4" w:space="0"/>
      </w:tblBorders>
      <w:tblCellMar>
        <w:top w:w="0" w:type="dxa"/>
        <w:left w:w="108" w:type="dxa"/>
        <w:bottom w:w="0" w:type="dxa"/>
        <w:right w:w="108" w:type="dxa"/>
      </w:tblCellMar>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rFonts w:ascii="Arial" w:hAnsi="Arial"/>
        <w:color w:val="404040"/>
        <w:sz w:val="22"/>
      </w:rPr>
      <w:tcPr>
        <w:shd w:val="clear" w:color="E5DFEC" w:fill="E5DFEC"/>
      </w:tcPr>
    </w:tblStylePr>
    <w:tblStylePr w:type="band1Horz">
      <w:rPr>
        <w:rFonts w:ascii="Arial" w:hAnsi="Arial"/>
        <w:color w:val="404040"/>
        <w:sz w:val="22"/>
      </w:rPr>
      <w:tcPr>
        <w:shd w:val="clear" w:color="E5DFEC" w:fill="E5DFEC"/>
      </w:tcPr>
    </w:tblStylePr>
  </w:style>
  <w:style w:type="table" w:customStyle="1" w:styleId="535">
    <w:name w:val="Grid Table 3 - Accent 51"/>
    <w:basedOn w:val="13"/>
    <w:uiPriority w:val="99"/>
    <w:rPr>
      <w:sz w:val="22"/>
      <w:szCs w:val="22"/>
      <w:lang w:eastAsia="en-US"/>
    </w:rPr>
    <w:tblPr>
      <w:tblBorders>
        <w:bottom w:val="single" w:color="4BACC6" w:sz="4" w:space="0"/>
        <w:insideH w:val="single" w:color="4BACC6" w:sz="4" w:space="0"/>
        <w:insideV w:val="single" w:color="4BACC6" w:sz="4" w:space="0"/>
      </w:tblBorders>
      <w:tblCellMar>
        <w:top w:w="0" w:type="dxa"/>
        <w:left w:w="108" w:type="dxa"/>
        <w:bottom w:w="0" w:type="dxa"/>
        <w:right w:w="108" w:type="dxa"/>
      </w:tblCellMar>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rFonts w:ascii="Arial" w:hAnsi="Arial"/>
        <w:color w:val="404040"/>
        <w:sz w:val="22"/>
      </w:rPr>
      <w:tcPr>
        <w:shd w:val="clear" w:color="DAEEF3" w:fill="DAEEF3"/>
      </w:tcPr>
    </w:tblStylePr>
    <w:tblStylePr w:type="band1Horz">
      <w:rPr>
        <w:rFonts w:ascii="Arial" w:hAnsi="Arial"/>
        <w:color w:val="404040"/>
        <w:sz w:val="22"/>
      </w:rPr>
      <w:tcPr>
        <w:shd w:val="clear" w:color="DAEEF3" w:fill="DAEEF3"/>
      </w:tcPr>
    </w:tblStylePr>
  </w:style>
  <w:style w:type="table" w:customStyle="1" w:styleId="536">
    <w:name w:val="Grid Table 3 - Accent 61"/>
    <w:basedOn w:val="13"/>
    <w:uiPriority w:val="99"/>
    <w:rPr>
      <w:sz w:val="22"/>
      <w:szCs w:val="22"/>
      <w:lang w:eastAsia="en-US"/>
    </w:rPr>
    <w:tblPr>
      <w:tblBorders>
        <w:bottom w:val="single" w:color="F79646" w:sz="4" w:space="0"/>
        <w:insideH w:val="single" w:color="F79646" w:sz="4" w:space="0"/>
        <w:insideV w:val="single" w:color="F79646" w:sz="4" w:space="0"/>
      </w:tblBorders>
      <w:tblCellMar>
        <w:top w:w="0" w:type="dxa"/>
        <w:left w:w="108" w:type="dxa"/>
        <w:bottom w:w="0" w:type="dxa"/>
        <w:right w:w="108" w:type="dxa"/>
      </w:tblCellMar>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rFonts w:ascii="Arial" w:hAnsi="Arial"/>
        <w:color w:val="404040"/>
        <w:sz w:val="22"/>
      </w:rPr>
      <w:tcPr>
        <w:shd w:val="clear" w:color="FDE9D8" w:fill="FDE9D8"/>
      </w:tcPr>
    </w:tblStylePr>
    <w:tblStylePr w:type="band1Horz">
      <w:rPr>
        <w:rFonts w:ascii="Arial" w:hAnsi="Arial"/>
        <w:color w:val="404040"/>
        <w:sz w:val="22"/>
      </w:rPr>
      <w:tcPr>
        <w:shd w:val="clear" w:color="FDE9D8" w:fill="FDE9D8"/>
      </w:tcPr>
    </w:tblStylePr>
  </w:style>
  <w:style w:type="table" w:customStyle="1" w:styleId="537">
    <w:name w:val="Таблица-сетка 4110"/>
    <w:basedOn w:val="13"/>
    <w:uiPriority w:val="59"/>
    <w:rPr>
      <w:sz w:val="22"/>
      <w:szCs w:val="22"/>
      <w:lang w:eastAsia="en-US"/>
    </w:rPr>
    <w:tblPr>
      <w:tblBorders>
        <w:top w:val="single" w:color="6F6F6F" w:sz="4" w:space="0"/>
        <w:left w:val="single" w:color="6F6F6F" w:sz="4" w:space="0"/>
        <w:bottom w:val="single" w:color="6F6F6F" w:sz="4" w:space="0"/>
        <w:right w:val="single" w:color="6F6F6F" w:sz="4" w:space="0"/>
        <w:insideH w:val="single" w:color="6F6F6F" w:sz="4" w:space="0"/>
        <w:insideV w:val="single" w:color="6F6F6F" w:sz="4" w:space="0"/>
      </w:tblBorders>
      <w:tblCellMar>
        <w:top w:w="0" w:type="dxa"/>
        <w:left w:w="108" w:type="dxa"/>
        <w:bottom w:w="0" w:type="dxa"/>
        <w:right w:w="108" w:type="dxa"/>
      </w:tblCellMar>
    </w:tblPr>
    <w:tblStylePr w:type="firstRow">
      <w:rPr>
        <w:rFonts w:ascii="Arial" w:hAnsi="Arial"/>
        <w:b/>
        <w:color w:val="FFFFFF"/>
        <w:sz w:val="22"/>
      </w:rPr>
      <w:tcPr>
        <w:tcBorders>
          <w:top w:val="single" w:color="000000" w:sz="4" w:space="0"/>
          <w:left w:val="single" w:color="000000" w:sz="4" w:space="0"/>
          <w:bottom w:val="single" w:color="000000" w:sz="4" w:space="0"/>
          <w:right w:val="single" w:color="000000" w:sz="4" w:space="0"/>
        </w:tcBorders>
        <w:shd w:val="clear" w:color="000000" w:fill="000000"/>
      </w:tcPr>
    </w:tblStylePr>
    <w:tblStylePr w:type="lastRow">
      <w:rPr>
        <w:b/>
        <w:color w:val="404040"/>
      </w:rPr>
      <w:tcPr>
        <w:tcBorders>
          <w:top w:val="single" w:color="000000"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CBCBCB" w:fill="CBCBCB"/>
      </w:tcPr>
    </w:tblStylePr>
    <w:tblStylePr w:type="band1Horz">
      <w:rPr>
        <w:rFonts w:ascii="Arial" w:hAnsi="Arial"/>
        <w:color w:val="404040"/>
        <w:sz w:val="22"/>
      </w:rPr>
      <w:tcPr>
        <w:shd w:val="clear" w:color="CBCBCB" w:fill="CBCBCB"/>
      </w:tcPr>
    </w:tblStylePr>
  </w:style>
  <w:style w:type="table" w:customStyle="1" w:styleId="538">
    <w:name w:val="Grid Table 4 - Accent 11"/>
    <w:basedOn w:val="13"/>
    <w:uiPriority w:val="59"/>
    <w:rPr>
      <w:sz w:val="22"/>
      <w:szCs w:val="22"/>
      <w:lang w:eastAsia="en-US"/>
    </w:rPr>
    <w:tblPr>
      <w:tblBorders>
        <w:top w:val="single" w:color="9BB7D9" w:sz="4" w:space="0"/>
        <w:left w:val="single" w:color="9BB7D9" w:sz="4" w:space="0"/>
        <w:bottom w:val="single" w:color="9BB7D9" w:sz="4" w:space="0"/>
        <w:right w:val="single" w:color="9BB7D9" w:sz="4" w:space="0"/>
        <w:insideH w:val="single" w:color="9BB7D9" w:sz="4" w:space="0"/>
        <w:insideV w:val="single" w:color="9BB7D9" w:sz="4" w:space="0"/>
      </w:tblBorders>
      <w:tblCellMar>
        <w:top w:w="0" w:type="dxa"/>
        <w:left w:w="108" w:type="dxa"/>
        <w:bottom w:w="0" w:type="dxa"/>
        <w:right w:w="108" w:type="dxa"/>
      </w:tblCellMar>
    </w:tblPr>
    <w:tblStylePr w:type="firstRow">
      <w:rPr>
        <w:rFonts w:ascii="Arial" w:hAnsi="Arial"/>
        <w:b/>
        <w:color w:val="FFFFFF"/>
        <w:sz w:val="22"/>
      </w:rPr>
      <w:tcPr>
        <w:tcBorders>
          <w:top w:val="single" w:color="5D8AC2" w:sz="4" w:space="0"/>
          <w:left w:val="single" w:color="5D8AC2" w:sz="4" w:space="0"/>
          <w:bottom w:val="single" w:color="5D8AC2" w:sz="4" w:space="0"/>
          <w:right w:val="single" w:color="5D8AC2" w:sz="4" w:space="0"/>
        </w:tcBorders>
        <w:shd w:val="clear" w:color="5D8AC2" w:fill="5D8AC2"/>
      </w:tcPr>
    </w:tblStylePr>
    <w:tblStylePr w:type="lastRow">
      <w:rPr>
        <w:b/>
        <w:color w:val="404040"/>
      </w:rPr>
      <w:tcPr>
        <w:tcBorders>
          <w:top w:val="single" w:color="5D8AC2"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DCE6F2" w:fill="DCE6F2"/>
      </w:tcPr>
    </w:tblStylePr>
    <w:tblStylePr w:type="band1Horz">
      <w:rPr>
        <w:rFonts w:ascii="Arial" w:hAnsi="Arial"/>
        <w:color w:val="404040"/>
        <w:sz w:val="22"/>
      </w:rPr>
      <w:tcPr>
        <w:shd w:val="clear" w:color="DCE6F2" w:fill="DCE6F2"/>
      </w:tcPr>
    </w:tblStylePr>
  </w:style>
  <w:style w:type="table" w:customStyle="1" w:styleId="539">
    <w:name w:val="Grid Table 4 - Accent 21"/>
    <w:basedOn w:val="13"/>
    <w:uiPriority w:val="59"/>
    <w:rPr>
      <w:sz w:val="22"/>
      <w:szCs w:val="22"/>
      <w:lang w:eastAsia="en-US"/>
    </w:rPr>
    <w:tblPr>
      <w:tblBorders>
        <w:top w:val="single" w:color="DB9B9A" w:sz="4" w:space="0"/>
        <w:left w:val="single" w:color="DB9B9A" w:sz="4" w:space="0"/>
        <w:bottom w:val="single" w:color="DB9B9A" w:sz="4" w:space="0"/>
        <w:right w:val="single" w:color="DB9B9A" w:sz="4" w:space="0"/>
        <w:insideH w:val="single" w:color="DB9B9A" w:sz="4" w:space="0"/>
        <w:insideV w:val="single" w:color="DB9B9A" w:sz="4" w:space="0"/>
      </w:tblBorders>
      <w:tblCellMar>
        <w:top w:w="0" w:type="dxa"/>
        <w:left w:w="108" w:type="dxa"/>
        <w:bottom w:w="0" w:type="dxa"/>
        <w:right w:w="108" w:type="dxa"/>
      </w:tblCellMar>
    </w:tblPr>
    <w:tblStylePr w:type="firstRow">
      <w:rPr>
        <w:rFonts w:ascii="Arial" w:hAnsi="Arial"/>
        <w:b/>
        <w:color w:val="FFFFFF"/>
        <w:sz w:val="22"/>
      </w:rPr>
      <w:tcPr>
        <w:tcBorders>
          <w:top w:val="single" w:color="D99695" w:sz="4" w:space="0"/>
          <w:left w:val="single" w:color="D99695" w:sz="4" w:space="0"/>
          <w:bottom w:val="single" w:color="D99695" w:sz="4" w:space="0"/>
          <w:right w:val="single" w:color="D99695" w:sz="4" w:space="0"/>
        </w:tcBorders>
        <w:shd w:val="clear" w:color="D99695" w:fill="D99695"/>
      </w:tcPr>
    </w:tblStylePr>
    <w:tblStylePr w:type="lastRow">
      <w:rPr>
        <w:b/>
        <w:color w:val="404040"/>
      </w:rPr>
      <w:tcPr>
        <w:tcBorders>
          <w:top w:val="single" w:color="D99695"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F2DCDC" w:fill="F2DCDC"/>
      </w:tcPr>
    </w:tblStylePr>
    <w:tblStylePr w:type="band1Horz">
      <w:rPr>
        <w:rFonts w:ascii="Arial" w:hAnsi="Arial"/>
        <w:color w:val="404040"/>
        <w:sz w:val="22"/>
      </w:rPr>
      <w:tcPr>
        <w:shd w:val="clear" w:color="F2DCDC" w:fill="F2DCDC"/>
      </w:tcPr>
    </w:tblStylePr>
  </w:style>
  <w:style w:type="table" w:customStyle="1" w:styleId="540">
    <w:name w:val="Grid Table 4 - Accent 31"/>
    <w:basedOn w:val="13"/>
    <w:uiPriority w:val="59"/>
    <w:rPr>
      <w:sz w:val="22"/>
      <w:szCs w:val="22"/>
      <w:lang w:eastAsia="en-US"/>
    </w:rPr>
    <w:tblPr>
      <w:tblBorders>
        <w:top w:val="single" w:color="C6D8A1" w:sz="4" w:space="0"/>
        <w:left w:val="single" w:color="C6D8A1" w:sz="4" w:space="0"/>
        <w:bottom w:val="single" w:color="C6D8A1" w:sz="4" w:space="0"/>
        <w:right w:val="single" w:color="C6D8A1" w:sz="4" w:space="0"/>
        <w:insideH w:val="single" w:color="C6D8A1" w:sz="4" w:space="0"/>
        <w:insideV w:val="single" w:color="C6D8A1" w:sz="4" w:space="0"/>
      </w:tblBorders>
      <w:tblCellMar>
        <w:top w:w="0" w:type="dxa"/>
        <w:left w:w="108" w:type="dxa"/>
        <w:bottom w:w="0" w:type="dxa"/>
        <w:right w:w="108" w:type="dxa"/>
      </w:tblCellMar>
    </w:tblPr>
    <w:tblStylePr w:type="firstRow">
      <w:rPr>
        <w:rFonts w:ascii="Arial" w:hAnsi="Arial"/>
        <w:b/>
        <w:color w:val="FFFFFF"/>
        <w:sz w:val="22"/>
      </w:rPr>
      <w:tcPr>
        <w:tcBorders>
          <w:top w:val="single" w:color="9ABB59" w:sz="4" w:space="0"/>
          <w:left w:val="single" w:color="9ABB59" w:sz="4" w:space="0"/>
          <w:bottom w:val="single" w:color="9ABB59" w:sz="4" w:space="0"/>
          <w:right w:val="single" w:color="9ABB59" w:sz="4" w:space="0"/>
        </w:tcBorders>
        <w:shd w:val="clear" w:color="9ABB59" w:fill="9ABB59"/>
      </w:tcPr>
    </w:tblStylePr>
    <w:tblStylePr w:type="lastRow">
      <w:rPr>
        <w:b/>
        <w:color w:val="404040"/>
      </w:rPr>
      <w:tcPr>
        <w:tcBorders>
          <w:top w:val="single" w:color="9ABB59"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EAF1DC" w:fill="EAF1DC"/>
      </w:tcPr>
    </w:tblStylePr>
    <w:tblStylePr w:type="band1Horz">
      <w:rPr>
        <w:rFonts w:ascii="Arial" w:hAnsi="Arial"/>
        <w:color w:val="404040"/>
        <w:sz w:val="22"/>
      </w:rPr>
      <w:tcPr>
        <w:shd w:val="clear" w:color="EAF1DC" w:fill="EAF1DC"/>
      </w:tcPr>
    </w:tblStylePr>
  </w:style>
  <w:style w:type="table" w:customStyle="1" w:styleId="541">
    <w:name w:val="Grid Table 4 - Accent 41"/>
    <w:basedOn w:val="13"/>
    <w:uiPriority w:val="59"/>
    <w:rPr>
      <w:sz w:val="22"/>
      <w:szCs w:val="22"/>
      <w:lang w:eastAsia="en-US"/>
    </w:rPr>
    <w:tblPr>
      <w:tblBorders>
        <w:top w:val="single" w:color="B7A7CA" w:sz="4" w:space="0"/>
        <w:left w:val="single" w:color="B7A7CA" w:sz="4" w:space="0"/>
        <w:bottom w:val="single" w:color="B7A7CA" w:sz="4" w:space="0"/>
        <w:right w:val="single" w:color="B7A7CA" w:sz="4" w:space="0"/>
        <w:insideH w:val="single" w:color="B7A7CA" w:sz="4" w:space="0"/>
        <w:insideV w:val="single" w:color="B7A7CA" w:sz="4" w:space="0"/>
      </w:tblBorders>
      <w:tblCellMar>
        <w:top w:w="0" w:type="dxa"/>
        <w:left w:w="108" w:type="dxa"/>
        <w:bottom w:w="0" w:type="dxa"/>
        <w:right w:w="108" w:type="dxa"/>
      </w:tblCellMar>
    </w:tblPr>
    <w:tblStylePr w:type="firstRow">
      <w:rPr>
        <w:rFonts w:ascii="Arial" w:hAnsi="Arial"/>
        <w:b/>
        <w:color w:val="FFFFFF"/>
        <w:sz w:val="22"/>
      </w:rPr>
      <w:tcPr>
        <w:tcBorders>
          <w:top w:val="single" w:color="B2A1C6" w:sz="4" w:space="0"/>
          <w:left w:val="single" w:color="B2A1C6" w:sz="4" w:space="0"/>
          <w:bottom w:val="single" w:color="B2A1C6" w:sz="4" w:space="0"/>
          <w:right w:val="single" w:color="B2A1C6" w:sz="4" w:space="0"/>
        </w:tcBorders>
        <w:shd w:val="clear" w:color="B2A1C6" w:fill="B2A1C6"/>
      </w:tcPr>
    </w:tblStylePr>
    <w:tblStylePr w:type="lastRow">
      <w:rPr>
        <w:b/>
        <w:color w:val="404040"/>
      </w:rPr>
      <w:tcPr>
        <w:tcBorders>
          <w:top w:val="single" w:color="B2A1C6"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E5DFEC" w:fill="E5DFEC"/>
      </w:tcPr>
    </w:tblStylePr>
    <w:tblStylePr w:type="band1Horz">
      <w:rPr>
        <w:rFonts w:ascii="Arial" w:hAnsi="Arial"/>
        <w:color w:val="404040"/>
        <w:sz w:val="22"/>
      </w:rPr>
      <w:tcPr>
        <w:shd w:val="clear" w:color="E5DFEC" w:fill="E5DFEC"/>
      </w:tcPr>
    </w:tblStylePr>
  </w:style>
  <w:style w:type="table" w:customStyle="1" w:styleId="542">
    <w:name w:val="Grid Table 4 - Accent 51"/>
    <w:basedOn w:val="13"/>
    <w:uiPriority w:val="59"/>
    <w:rPr>
      <w:sz w:val="22"/>
      <w:szCs w:val="22"/>
      <w:lang w:eastAsia="en-US"/>
    </w:rPr>
    <w:tblPr>
      <w:tblBorders>
        <w:top w:val="single" w:color="99D0DE" w:sz="4" w:space="0"/>
        <w:left w:val="single" w:color="99D0DE" w:sz="4" w:space="0"/>
        <w:bottom w:val="single" w:color="99D0DE" w:sz="4" w:space="0"/>
        <w:right w:val="single" w:color="99D0DE" w:sz="4" w:space="0"/>
        <w:insideH w:val="single" w:color="99D0DE" w:sz="4" w:space="0"/>
        <w:insideV w:val="single" w:color="99D0DE" w:sz="4" w:space="0"/>
      </w:tblBorders>
      <w:tblCellMar>
        <w:top w:w="0" w:type="dxa"/>
        <w:left w:w="108" w:type="dxa"/>
        <w:bottom w:w="0" w:type="dxa"/>
        <w:right w:w="108" w:type="dxa"/>
      </w:tblCellMar>
    </w:tblPr>
    <w:tblStylePr w:type="firstRow">
      <w:rPr>
        <w:rFonts w:ascii="Arial" w:hAnsi="Arial"/>
        <w:b/>
        <w:color w:val="FFFFFF"/>
        <w:sz w:val="22"/>
      </w:rPr>
      <w:tcPr>
        <w:tcBorders>
          <w:top w:val="single" w:color="4BACC6" w:sz="4" w:space="0"/>
          <w:left w:val="single" w:color="4BACC6" w:sz="4" w:space="0"/>
          <w:bottom w:val="single" w:color="4BACC6" w:sz="4" w:space="0"/>
          <w:right w:val="single" w:color="4BACC6" w:sz="4" w:space="0"/>
        </w:tcBorders>
        <w:shd w:val="clear" w:color="4BACC6" w:fill="4BACC6"/>
      </w:tcPr>
    </w:tblStylePr>
    <w:tblStylePr w:type="lastRow">
      <w:rPr>
        <w:b/>
        <w:color w:val="404040"/>
      </w:rPr>
      <w:tcPr>
        <w:tcBorders>
          <w:top w:val="single" w:color="4BACC6"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DAEEF3" w:fill="DAEEF3"/>
      </w:tcPr>
    </w:tblStylePr>
    <w:tblStylePr w:type="band1Horz">
      <w:rPr>
        <w:rFonts w:ascii="Arial" w:hAnsi="Arial"/>
        <w:color w:val="404040"/>
        <w:sz w:val="22"/>
      </w:rPr>
      <w:tcPr>
        <w:shd w:val="clear" w:color="DAEEF3" w:fill="DAEEF3"/>
      </w:tcPr>
    </w:tblStylePr>
  </w:style>
  <w:style w:type="table" w:customStyle="1" w:styleId="543">
    <w:name w:val="Grid Table 4 - Accent 61"/>
    <w:basedOn w:val="13"/>
    <w:uiPriority w:val="59"/>
    <w:rPr>
      <w:sz w:val="22"/>
      <w:szCs w:val="22"/>
      <w:lang w:eastAsia="en-US"/>
    </w:rPr>
    <w:tblPr>
      <w:tblBorders>
        <w:top w:val="single" w:color="FAC396" w:sz="4" w:space="0"/>
        <w:left w:val="single" w:color="FAC396" w:sz="4" w:space="0"/>
        <w:bottom w:val="single" w:color="FAC396" w:sz="4" w:space="0"/>
        <w:right w:val="single" w:color="FAC396" w:sz="4" w:space="0"/>
        <w:insideH w:val="single" w:color="FAC396" w:sz="4" w:space="0"/>
        <w:insideV w:val="single" w:color="FAC396" w:sz="4" w:space="0"/>
      </w:tblBorders>
      <w:tblCellMar>
        <w:top w:w="0" w:type="dxa"/>
        <w:left w:w="108" w:type="dxa"/>
        <w:bottom w:w="0" w:type="dxa"/>
        <w:right w:w="108" w:type="dxa"/>
      </w:tblCellMar>
    </w:tblPr>
    <w:tblStylePr w:type="firstRow">
      <w:rPr>
        <w:rFonts w:ascii="Arial" w:hAnsi="Arial"/>
        <w:b/>
        <w:color w:val="FFFFFF"/>
        <w:sz w:val="22"/>
      </w:rPr>
      <w:tcPr>
        <w:tcBorders>
          <w:top w:val="single" w:color="F79646" w:sz="4" w:space="0"/>
          <w:left w:val="single" w:color="F79646" w:sz="4" w:space="0"/>
          <w:bottom w:val="single" w:color="F79646" w:sz="4" w:space="0"/>
          <w:right w:val="single" w:color="F79646" w:sz="4" w:space="0"/>
        </w:tcBorders>
        <w:shd w:val="clear" w:color="F79646" w:fill="F79646"/>
      </w:tcPr>
    </w:tblStylePr>
    <w:tblStylePr w:type="lastRow">
      <w:rPr>
        <w:b/>
        <w:color w:val="404040"/>
      </w:rPr>
      <w:tcPr>
        <w:tcBorders>
          <w:top w:val="single" w:color="F79646"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FDE9D8" w:fill="FDE9D8"/>
      </w:tcPr>
    </w:tblStylePr>
    <w:tblStylePr w:type="band1Horz">
      <w:rPr>
        <w:rFonts w:ascii="Arial" w:hAnsi="Arial"/>
        <w:color w:val="404040"/>
        <w:sz w:val="22"/>
      </w:rPr>
      <w:tcPr>
        <w:shd w:val="clear" w:color="FDE9D8" w:fill="FDE9D8"/>
      </w:tcPr>
    </w:tblStylePr>
  </w:style>
  <w:style w:type="table" w:customStyle="1" w:styleId="544">
    <w:name w:val="Таблица-сетка 5 темная110"/>
    <w:basedOn w:val="13"/>
    <w:uiPriority w:val="99"/>
    <w:rPr>
      <w:sz w:val="22"/>
      <w:szCs w:val="22"/>
      <w:lang w:eastAsia="en-US"/>
    </w:rPr>
    <w:tblPr>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CellMar>
        <w:top w:w="0" w:type="dxa"/>
        <w:left w:w="108" w:type="dxa"/>
        <w:bottom w:w="0" w:type="dxa"/>
        <w:right w:w="108" w:type="dxa"/>
      </w:tblCellMar>
    </w:tblPr>
    <w:tblStylePr w:type="firstRow">
      <w:rPr>
        <w:rFonts w:ascii="Arial" w:hAnsi="Arial"/>
        <w:b/>
        <w:color w:val="FFFFFF"/>
        <w:sz w:val="22"/>
      </w:rPr>
      <w:tcPr>
        <w:shd w:val="clear" w:color="000000" w:fill="000000"/>
      </w:tcPr>
    </w:tblStylePr>
    <w:tblStylePr w:type="lastRow">
      <w:rPr>
        <w:rFonts w:ascii="Arial" w:hAnsi="Arial"/>
        <w:b/>
        <w:color w:val="FFFFFF"/>
        <w:sz w:val="22"/>
      </w:rPr>
      <w:tcPr>
        <w:tcBorders>
          <w:top w:val="single" w:color="FFFFFF" w:sz="4" w:space="0"/>
        </w:tcBorders>
        <w:shd w:val="clear" w:color="000000" w:fill="000000"/>
      </w:tcPr>
    </w:tblStylePr>
    <w:tblStylePr w:type="firstCol">
      <w:rPr>
        <w:rFonts w:ascii="Arial" w:hAnsi="Arial"/>
        <w:b/>
        <w:color w:val="FFFFFF"/>
        <w:sz w:val="22"/>
      </w:rPr>
      <w:tcPr>
        <w:shd w:val="clear" w:color="000000" w:fill="000000"/>
      </w:tcPr>
    </w:tblStylePr>
    <w:tblStylePr w:type="lastCol">
      <w:rPr>
        <w:rFonts w:ascii="Arial" w:hAnsi="Arial"/>
        <w:b/>
        <w:color w:val="FFFFFF"/>
        <w:sz w:val="22"/>
      </w:rPr>
      <w:tcPr>
        <w:shd w:val="clear" w:color="000000" w:fill="000000"/>
      </w:tcPr>
    </w:tblStylePr>
    <w:tblStylePr w:type="band1Vert">
      <w:tcPr>
        <w:shd w:val="clear" w:color="8A8A8A" w:fill="8A8A8A"/>
      </w:tcPr>
    </w:tblStylePr>
    <w:tblStylePr w:type="band1Horz">
      <w:tcPr>
        <w:shd w:val="clear" w:color="8A8A8A" w:fill="8A8A8A"/>
      </w:tcPr>
    </w:tblStylePr>
  </w:style>
  <w:style w:type="table" w:customStyle="1" w:styleId="545">
    <w:name w:val="Grid Table 5 Dark- Accent 11"/>
    <w:basedOn w:val="13"/>
    <w:uiPriority w:val="99"/>
    <w:rPr>
      <w:sz w:val="22"/>
      <w:szCs w:val="22"/>
      <w:lang w:eastAsia="en-US"/>
    </w:rPr>
    <w:tblPr>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CellMar>
        <w:top w:w="0" w:type="dxa"/>
        <w:left w:w="108" w:type="dxa"/>
        <w:bottom w:w="0" w:type="dxa"/>
        <w:right w:w="108" w:type="dxa"/>
      </w:tblCellMar>
    </w:tblPr>
    <w:tblStylePr w:type="firstRow">
      <w:rPr>
        <w:rFonts w:ascii="Arial" w:hAnsi="Arial"/>
        <w:b/>
        <w:color w:val="FFFFFF"/>
        <w:sz w:val="22"/>
      </w:rPr>
      <w:tcPr>
        <w:shd w:val="clear" w:color="4F81BD" w:fill="4F81BD"/>
      </w:tcPr>
    </w:tblStylePr>
    <w:tblStylePr w:type="lastRow">
      <w:rPr>
        <w:rFonts w:ascii="Arial" w:hAnsi="Arial"/>
        <w:b/>
        <w:color w:val="FFFFFF"/>
        <w:sz w:val="22"/>
      </w:rPr>
      <w:tcPr>
        <w:tcBorders>
          <w:top w:val="single" w:color="FFFFFF" w:sz="4" w:space="0"/>
        </w:tcBorders>
        <w:shd w:val="clear" w:color="4F81BD" w:fill="4F81BD"/>
      </w:tcPr>
    </w:tblStylePr>
    <w:tblStylePr w:type="firstCol">
      <w:rPr>
        <w:rFonts w:ascii="Arial" w:hAnsi="Arial"/>
        <w:b/>
        <w:color w:val="FFFFFF"/>
        <w:sz w:val="22"/>
      </w:rPr>
      <w:tcPr>
        <w:shd w:val="clear" w:color="4F81BD" w:fill="4F81BD"/>
      </w:tcPr>
    </w:tblStylePr>
    <w:tblStylePr w:type="lastCol">
      <w:rPr>
        <w:rFonts w:ascii="Arial" w:hAnsi="Arial"/>
        <w:b/>
        <w:color w:val="FFFFFF"/>
        <w:sz w:val="22"/>
      </w:rPr>
      <w:tcPr>
        <w:shd w:val="clear" w:color="4F81BD" w:fill="4F81BD"/>
      </w:tcPr>
    </w:tblStylePr>
    <w:tblStylePr w:type="band1Vert">
      <w:tcPr>
        <w:shd w:val="clear" w:color="AEC4E0" w:fill="AEC4E0"/>
      </w:tcPr>
    </w:tblStylePr>
    <w:tblStylePr w:type="band1Horz">
      <w:tcPr>
        <w:shd w:val="clear" w:color="AEC4E0" w:fill="AEC4E0"/>
      </w:tcPr>
    </w:tblStylePr>
  </w:style>
  <w:style w:type="table" w:customStyle="1" w:styleId="546">
    <w:name w:val="Grid Table 5 Dark - Accent 21"/>
    <w:basedOn w:val="13"/>
    <w:uiPriority w:val="99"/>
    <w:rPr>
      <w:sz w:val="22"/>
      <w:szCs w:val="22"/>
      <w:lang w:eastAsia="en-US"/>
    </w:rPr>
    <w:tblPr>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CellMar>
        <w:top w:w="0" w:type="dxa"/>
        <w:left w:w="108" w:type="dxa"/>
        <w:bottom w:w="0" w:type="dxa"/>
        <w:right w:w="108" w:type="dxa"/>
      </w:tblCellMar>
    </w:tblPr>
    <w:tblStylePr w:type="firstRow">
      <w:rPr>
        <w:rFonts w:ascii="Arial" w:hAnsi="Arial"/>
        <w:b/>
        <w:color w:val="FFFFFF"/>
        <w:sz w:val="22"/>
      </w:rPr>
      <w:tcPr>
        <w:shd w:val="clear" w:color="C0504D" w:fill="C0504D"/>
      </w:tcPr>
    </w:tblStylePr>
    <w:tblStylePr w:type="lastRow">
      <w:rPr>
        <w:rFonts w:ascii="Arial" w:hAnsi="Arial"/>
        <w:b/>
        <w:color w:val="FFFFFF"/>
        <w:sz w:val="22"/>
      </w:rPr>
      <w:tcPr>
        <w:tcBorders>
          <w:top w:val="single" w:color="FFFFFF" w:sz="4" w:space="0"/>
        </w:tcBorders>
        <w:shd w:val="clear" w:color="C0504D" w:fill="C0504D"/>
      </w:tcPr>
    </w:tblStylePr>
    <w:tblStylePr w:type="firstCol">
      <w:rPr>
        <w:rFonts w:ascii="Arial" w:hAnsi="Arial"/>
        <w:b/>
        <w:color w:val="FFFFFF"/>
        <w:sz w:val="22"/>
      </w:rPr>
      <w:tcPr>
        <w:shd w:val="clear" w:color="C0504D" w:fill="C0504D"/>
      </w:tcPr>
    </w:tblStylePr>
    <w:tblStylePr w:type="lastCol">
      <w:rPr>
        <w:rFonts w:ascii="Arial" w:hAnsi="Arial"/>
        <w:b/>
        <w:color w:val="FFFFFF"/>
        <w:sz w:val="22"/>
      </w:rPr>
      <w:tcPr>
        <w:shd w:val="clear" w:color="C0504D" w:fill="C0504D"/>
      </w:tcPr>
    </w:tblStylePr>
    <w:tblStylePr w:type="band1Vert">
      <w:tcPr>
        <w:shd w:val="clear" w:color="E2AEAD" w:fill="E2AEAD"/>
      </w:tcPr>
    </w:tblStylePr>
    <w:tblStylePr w:type="band1Horz">
      <w:tcPr>
        <w:shd w:val="clear" w:color="E2AEAD" w:fill="E2AEAD"/>
      </w:tcPr>
    </w:tblStylePr>
  </w:style>
  <w:style w:type="table" w:customStyle="1" w:styleId="547">
    <w:name w:val="Grid Table 5 Dark - Accent 31"/>
    <w:basedOn w:val="13"/>
    <w:uiPriority w:val="99"/>
    <w:rPr>
      <w:sz w:val="22"/>
      <w:szCs w:val="22"/>
      <w:lang w:eastAsia="en-US"/>
    </w:rPr>
    <w:tblPr>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CellMar>
        <w:top w:w="0" w:type="dxa"/>
        <w:left w:w="108" w:type="dxa"/>
        <w:bottom w:w="0" w:type="dxa"/>
        <w:right w:w="108" w:type="dxa"/>
      </w:tblCellMar>
    </w:tblPr>
    <w:tblStylePr w:type="firstRow">
      <w:rPr>
        <w:rFonts w:ascii="Arial" w:hAnsi="Arial"/>
        <w:b/>
        <w:color w:val="FFFFFF"/>
        <w:sz w:val="22"/>
      </w:rPr>
      <w:tcPr>
        <w:shd w:val="clear" w:color="9BBB59" w:fill="9BBB59"/>
      </w:tcPr>
    </w:tblStylePr>
    <w:tblStylePr w:type="lastRow">
      <w:rPr>
        <w:rFonts w:ascii="Arial" w:hAnsi="Arial"/>
        <w:b/>
        <w:color w:val="FFFFFF"/>
        <w:sz w:val="22"/>
      </w:rPr>
      <w:tcPr>
        <w:tcBorders>
          <w:top w:val="single" w:color="FFFFFF" w:sz="4" w:space="0"/>
        </w:tcBorders>
        <w:shd w:val="clear" w:color="9BBB59" w:fill="9BBB59"/>
      </w:tcPr>
    </w:tblStylePr>
    <w:tblStylePr w:type="firstCol">
      <w:rPr>
        <w:rFonts w:ascii="Arial" w:hAnsi="Arial"/>
        <w:b/>
        <w:color w:val="FFFFFF"/>
        <w:sz w:val="22"/>
      </w:rPr>
      <w:tcPr>
        <w:shd w:val="clear" w:color="9BBB59" w:fill="9BBB59"/>
      </w:tcPr>
    </w:tblStylePr>
    <w:tblStylePr w:type="lastCol">
      <w:rPr>
        <w:rFonts w:ascii="Arial" w:hAnsi="Arial"/>
        <w:b/>
        <w:color w:val="FFFFFF"/>
        <w:sz w:val="22"/>
      </w:rPr>
      <w:tcPr>
        <w:shd w:val="clear" w:color="9BBB59" w:fill="9BBB59"/>
      </w:tcPr>
    </w:tblStylePr>
    <w:tblStylePr w:type="band1Vert">
      <w:tcPr>
        <w:shd w:val="clear" w:color="D0DFB2" w:fill="D0DFB2"/>
      </w:tcPr>
    </w:tblStylePr>
    <w:tblStylePr w:type="band1Horz">
      <w:tcPr>
        <w:shd w:val="clear" w:color="D0DFB2" w:fill="D0DFB2"/>
      </w:tcPr>
    </w:tblStylePr>
  </w:style>
  <w:style w:type="table" w:customStyle="1" w:styleId="548">
    <w:name w:val="Grid Table 5 Dark- Accent 41"/>
    <w:basedOn w:val="13"/>
    <w:uiPriority w:val="99"/>
    <w:rPr>
      <w:sz w:val="22"/>
      <w:szCs w:val="22"/>
      <w:lang w:eastAsia="en-US"/>
    </w:rPr>
    <w:tblPr>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CellMar>
        <w:top w:w="0" w:type="dxa"/>
        <w:left w:w="108" w:type="dxa"/>
        <w:bottom w:w="0" w:type="dxa"/>
        <w:right w:w="108" w:type="dxa"/>
      </w:tblCellMar>
    </w:tblPr>
    <w:tblStylePr w:type="firstRow">
      <w:rPr>
        <w:rFonts w:ascii="Arial" w:hAnsi="Arial"/>
        <w:b/>
        <w:color w:val="FFFFFF"/>
        <w:sz w:val="22"/>
      </w:rPr>
      <w:tcPr>
        <w:shd w:val="clear" w:color="8064A2" w:fill="8064A2"/>
      </w:tcPr>
    </w:tblStylePr>
    <w:tblStylePr w:type="lastRow">
      <w:rPr>
        <w:rFonts w:ascii="Arial" w:hAnsi="Arial"/>
        <w:b/>
        <w:color w:val="FFFFFF"/>
        <w:sz w:val="22"/>
      </w:rPr>
      <w:tcPr>
        <w:tcBorders>
          <w:top w:val="single" w:color="FFFFFF" w:sz="4" w:space="0"/>
        </w:tcBorders>
        <w:shd w:val="clear" w:color="8064A2" w:fill="8064A2"/>
      </w:tcPr>
    </w:tblStylePr>
    <w:tblStylePr w:type="firstCol">
      <w:rPr>
        <w:rFonts w:ascii="Arial" w:hAnsi="Arial"/>
        <w:b/>
        <w:color w:val="FFFFFF"/>
        <w:sz w:val="22"/>
      </w:rPr>
      <w:tcPr>
        <w:shd w:val="clear" w:color="8064A2" w:fill="8064A2"/>
      </w:tcPr>
    </w:tblStylePr>
    <w:tblStylePr w:type="lastCol">
      <w:rPr>
        <w:rFonts w:ascii="Arial" w:hAnsi="Arial"/>
        <w:b/>
        <w:color w:val="FFFFFF"/>
        <w:sz w:val="22"/>
      </w:rPr>
      <w:tcPr>
        <w:shd w:val="clear" w:color="8064A2" w:fill="8064A2"/>
      </w:tcPr>
    </w:tblStylePr>
    <w:tblStylePr w:type="band1Vert">
      <w:tcPr>
        <w:shd w:val="clear" w:color="C4B7D4" w:fill="C4B7D4"/>
      </w:tcPr>
    </w:tblStylePr>
    <w:tblStylePr w:type="band1Horz">
      <w:tcPr>
        <w:shd w:val="clear" w:color="C4B7D4" w:fill="C4B7D4"/>
      </w:tcPr>
    </w:tblStylePr>
  </w:style>
  <w:style w:type="table" w:customStyle="1" w:styleId="549">
    <w:name w:val="Grid Table 5 Dark - Accent 51"/>
    <w:basedOn w:val="13"/>
    <w:uiPriority w:val="99"/>
    <w:rPr>
      <w:sz w:val="22"/>
      <w:szCs w:val="22"/>
      <w:lang w:eastAsia="en-US"/>
    </w:rPr>
    <w:tblPr>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CellMar>
        <w:top w:w="0" w:type="dxa"/>
        <w:left w:w="108" w:type="dxa"/>
        <w:bottom w:w="0" w:type="dxa"/>
        <w:right w:w="108" w:type="dxa"/>
      </w:tblCellMar>
    </w:tblPr>
    <w:tblStylePr w:type="firstRow">
      <w:rPr>
        <w:rFonts w:ascii="Arial" w:hAnsi="Arial"/>
        <w:b/>
        <w:color w:val="FFFFFF"/>
        <w:sz w:val="22"/>
      </w:rPr>
      <w:tcPr>
        <w:shd w:val="clear" w:color="4BACC6" w:fill="4BACC6"/>
      </w:tcPr>
    </w:tblStylePr>
    <w:tblStylePr w:type="lastRow">
      <w:rPr>
        <w:rFonts w:ascii="Arial" w:hAnsi="Arial"/>
        <w:b/>
        <w:color w:val="FFFFFF"/>
        <w:sz w:val="22"/>
      </w:rPr>
      <w:tcPr>
        <w:tcBorders>
          <w:top w:val="single" w:color="FFFFFF" w:sz="4" w:space="0"/>
        </w:tcBorders>
        <w:shd w:val="clear" w:color="4BACC6" w:fill="4BACC6"/>
      </w:tcPr>
    </w:tblStylePr>
    <w:tblStylePr w:type="firstCol">
      <w:rPr>
        <w:rFonts w:ascii="Arial" w:hAnsi="Arial"/>
        <w:b/>
        <w:color w:val="FFFFFF"/>
        <w:sz w:val="22"/>
      </w:rPr>
      <w:tcPr>
        <w:shd w:val="clear" w:color="4BACC6" w:fill="4BACC6"/>
      </w:tcPr>
    </w:tblStylePr>
    <w:tblStylePr w:type="lastCol">
      <w:rPr>
        <w:rFonts w:ascii="Arial" w:hAnsi="Arial"/>
        <w:b/>
        <w:color w:val="FFFFFF"/>
        <w:sz w:val="22"/>
      </w:rPr>
      <w:tcPr>
        <w:shd w:val="clear" w:color="4BACC6" w:fill="4BACC6"/>
      </w:tcPr>
    </w:tblStylePr>
    <w:tblStylePr w:type="band1Vert">
      <w:tcPr>
        <w:shd w:val="clear" w:color="ACD8E4" w:fill="ACD8E4"/>
      </w:tcPr>
    </w:tblStylePr>
    <w:tblStylePr w:type="band1Horz">
      <w:tcPr>
        <w:shd w:val="clear" w:color="ACD8E4" w:fill="ACD8E4"/>
      </w:tcPr>
    </w:tblStylePr>
  </w:style>
  <w:style w:type="table" w:customStyle="1" w:styleId="550">
    <w:name w:val="Grid Table 5 Dark - Accent 61"/>
    <w:basedOn w:val="13"/>
    <w:uiPriority w:val="99"/>
    <w:rPr>
      <w:sz w:val="22"/>
      <w:szCs w:val="22"/>
      <w:lang w:eastAsia="en-US"/>
    </w:rPr>
    <w:tblPr>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CellMar>
        <w:top w:w="0" w:type="dxa"/>
        <w:left w:w="108" w:type="dxa"/>
        <w:bottom w:w="0" w:type="dxa"/>
        <w:right w:w="108" w:type="dxa"/>
      </w:tblCellMar>
    </w:tblPr>
    <w:tblStylePr w:type="firstRow">
      <w:rPr>
        <w:rFonts w:ascii="Arial" w:hAnsi="Arial"/>
        <w:b/>
        <w:color w:val="FFFFFF"/>
        <w:sz w:val="22"/>
      </w:rPr>
      <w:tcPr>
        <w:shd w:val="clear" w:color="F79646" w:fill="F79646"/>
      </w:tcPr>
    </w:tblStylePr>
    <w:tblStylePr w:type="lastRow">
      <w:rPr>
        <w:rFonts w:ascii="Arial" w:hAnsi="Arial"/>
        <w:b/>
        <w:color w:val="FFFFFF"/>
        <w:sz w:val="22"/>
      </w:rPr>
      <w:tcPr>
        <w:tcBorders>
          <w:top w:val="single" w:color="FFFFFF" w:sz="4" w:space="0"/>
        </w:tcBorders>
        <w:shd w:val="clear" w:color="F79646" w:fill="F79646"/>
      </w:tcPr>
    </w:tblStylePr>
    <w:tblStylePr w:type="firstCol">
      <w:rPr>
        <w:rFonts w:ascii="Arial" w:hAnsi="Arial"/>
        <w:b/>
        <w:color w:val="FFFFFF"/>
        <w:sz w:val="22"/>
      </w:rPr>
      <w:tcPr>
        <w:shd w:val="clear" w:color="F79646" w:fill="F79646"/>
      </w:tcPr>
    </w:tblStylePr>
    <w:tblStylePr w:type="lastCol">
      <w:rPr>
        <w:rFonts w:ascii="Arial" w:hAnsi="Arial"/>
        <w:b/>
        <w:color w:val="FFFFFF"/>
        <w:sz w:val="22"/>
      </w:rPr>
      <w:tcPr>
        <w:shd w:val="clear" w:color="F79646" w:fill="F79646"/>
      </w:tcPr>
    </w:tblStylePr>
    <w:tblStylePr w:type="band1Vert">
      <w:tcPr>
        <w:shd w:val="clear" w:color="FBCEAA" w:fill="FBCEAA"/>
      </w:tcPr>
    </w:tblStylePr>
    <w:tblStylePr w:type="band1Horz">
      <w:tcPr>
        <w:shd w:val="clear" w:color="FBCEAA" w:fill="FBCEAA"/>
      </w:tcPr>
    </w:tblStylePr>
  </w:style>
  <w:style w:type="table" w:customStyle="1" w:styleId="551">
    <w:name w:val="Таблица-сетка 6 цветная110"/>
    <w:basedOn w:val="13"/>
    <w:uiPriority w:val="99"/>
    <w:rPr>
      <w:sz w:val="22"/>
      <w:szCs w:val="22"/>
      <w:lang w:eastAsia="en-US"/>
    </w:rPr>
    <w:tblPr>
      <w:tblBorders>
        <w:top w:val="single" w:color="7F7F7F" w:sz="4" w:space="0"/>
        <w:left w:val="single" w:color="7F7F7F" w:sz="4" w:space="0"/>
        <w:bottom w:val="single" w:color="7F7F7F" w:sz="4" w:space="0"/>
        <w:right w:val="single" w:color="7F7F7F" w:sz="4" w:space="0"/>
        <w:insideH w:val="single" w:color="7F7F7F" w:sz="4" w:space="0"/>
        <w:insideV w:val="single" w:color="7F7F7F" w:sz="4" w:space="0"/>
      </w:tblBorders>
      <w:tblCellMar>
        <w:top w:w="0" w:type="dxa"/>
        <w:left w:w="108" w:type="dxa"/>
        <w:bottom w:w="0" w:type="dxa"/>
        <w:right w:w="108" w:type="dxa"/>
      </w:tblCellMar>
    </w:tblPr>
    <w:tblStylePr w:type="firstRow">
      <w:rPr>
        <w:b/>
        <w:color w:val="7F7F7F"/>
      </w:rPr>
      <w:tcPr>
        <w:tcBorders>
          <w:bottom w:val="single" w:color="7F7F7F" w:sz="12" w:space="0"/>
        </w:tcBorders>
      </w:tcPr>
    </w:tblStylePr>
    <w:tblStylePr w:type="lastRow">
      <w:rPr>
        <w:b/>
        <w:color w:val="7F7F7F"/>
      </w:rPr>
    </w:tblStylePr>
    <w:tblStylePr w:type="firstCol">
      <w:rPr>
        <w:b/>
        <w:color w:val="7F7F7F"/>
      </w:rPr>
    </w:tblStylePr>
    <w:tblStylePr w:type="lastCol">
      <w:rPr>
        <w:b/>
        <w:color w:val="7F7F7F"/>
      </w:rPr>
    </w:tblStylePr>
    <w:tblStylePr w:type="band1Vert">
      <w:tcPr>
        <w:shd w:val="clear" w:color="CBCBCB" w:fill="CBCBCB"/>
      </w:tcPr>
    </w:tblStylePr>
    <w:tblStylePr w:type="band1Horz">
      <w:rPr>
        <w:rFonts w:ascii="Arial" w:hAnsi="Arial"/>
        <w:color w:val="7F7F7F"/>
        <w:sz w:val="22"/>
      </w:rPr>
      <w:tcPr>
        <w:shd w:val="clear" w:color="CBCBCB" w:fill="CBCBCB"/>
      </w:tcPr>
    </w:tblStylePr>
    <w:tblStylePr w:type="band2Horz">
      <w:rPr>
        <w:rFonts w:ascii="Arial" w:hAnsi="Arial"/>
        <w:color w:val="7F7F7F"/>
        <w:sz w:val="22"/>
      </w:rPr>
    </w:tblStylePr>
  </w:style>
  <w:style w:type="table" w:customStyle="1" w:styleId="552">
    <w:name w:val="Grid Table 6 Colorful - Accent 11"/>
    <w:basedOn w:val="13"/>
    <w:uiPriority w:val="99"/>
    <w:rPr>
      <w:sz w:val="22"/>
      <w:szCs w:val="22"/>
      <w:lang w:eastAsia="en-US"/>
    </w:rPr>
    <w:tblPr>
      <w:tblBorders>
        <w:top w:val="single" w:color="A6BFDD" w:sz="4" w:space="0"/>
        <w:left w:val="single" w:color="A6BFDD" w:sz="4" w:space="0"/>
        <w:bottom w:val="single" w:color="A6BFDD" w:sz="4" w:space="0"/>
        <w:right w:val="single" w:color="A6BFDD" w:sz="4" w:space="0"/>
        <w:insideH w:val="single" w:color="A6BFDD" w:sz="4" w:space="0"/>
        <w:insideV w:val="single" w:color="A6BFDD" w:sz="4" w:space="0"/>
      </w:tblBorders>
      <w:tblCellMar>
        <w:top w:w="0" w:type="dxa"/>
        <w:left w:w="108" w:type="dxa"/>
        <w:bottom w:w="0" w:type="dxa"/>
        <w:right w:w="108" w:type="dxa"/>
      </w:tblCellMar>
    </w:tblPr>
    <w:tblStylePr w:type="firstRow">
      <w:rPr>
        <w:b/>
        <w:color w:val="A6BFDD"/>
      </w:rPr>
      <w:tcPr>
        <w:tcBorders>
          <w:bottom w:val="single" w:color="A6BFDD" w:sz="12" w:space="0"/>
        </w:tcBorders>
      </w:tcPr>
    </w:tblStylePr>
    <w:tblStylePr w:type="lastRow">
      <w:rPr>
        <w:b/>
        <w:color w:val="A6BFDD"/>
      </w:rPr>
    </w:tblStylePr>
    <w:tblStylePr w:type="firstCol">
      <w:rPr>
        <w:b/>
        <w:color w:val="A6BFDD"/>
      </w:rPr>
    </w:tblStylePr>
    <w:tblStylePr w:type="lastCol">
      <w:rPr>
        <w:b/>
        <w:color w:val="A6BFDD"/>
      </w:rPr>
    </w:tblStylePr>
    <w:tblStylePr w:type="band1Vert">
      <w:tcPr>
        <w:shd w:val="clear" w:color="DAE5F1" w:fill="DAE5F1"/>
      </w:tcPr>
    </w:tblStylePr>
    <w:tblStylePr w:type="band1Horz">
      <w:rPr>
        <w:rFonts w:ascii="Arial" w:hAnsi="Arial"/>
        <w:color w:val="A6BFDD"/>
        <w:sz w:val="22"/>
      </w:rPr>
      <w:tcPr>
        <w:shd w:val="clear" w:color="DAE5F1" w:fill="DAE5F1"/>
      </w:tcPr>
    </w:tblStylePr>
    <w:tblStylePr w:type="band2Horz">
      <w:rPr>
        <w:rFonts w:ascii="Arial" w:hAnsi="Arial"/>
        <w:color w:val="A6BFDD"/>
        <w:sz w:val="22"/>
      </w:rPr>
    </w:tblStylePr>
  </w:style>
  <w:style w:type="table" w:customStyle="1" w:styleId="553">
    <w:name w:val="Grid Table 6 Colorful - Accent 21"/>
    <w:basedOn w:val="13"/>
    <w:uiPriority w:val="99"/>
    <w:rPr>
      <w:sz w:val="22"/>
      <w:szCs w:val="22"/>
      <w:lang w:eastAsia="en-US"/>
    </w:rPr>
    <w:tblPr>
      <w:tblBorders>
        <w:top w:val="single" w:color="D99695" w:sz="4" w:space="0"/>
        <w:left w:val="single" w:color="D99695" w:sz="4" w:space="0"/>
        <w:bottom w:val="single" w:color="D99695" w:sz="4" w:space="0"/>
        <w:right w:val="single" w:color="D99695" w:sz="4" w:space="0"/>
        <w:insideH w:val="single" w:color="D99695" w:sz="4" w:space="0"/>
        <w:insideV w:val="single" w:color="D99695" w:sz="4" w:space="0"/>
      </w:tblBorders>
      <w:tblCellMar>
        <w:top w:w="0" w:type="dxa"/>
        <w:left w:w="108" w:type="dxa"/>
        <w:bottom w:w="0" w:type="dxa"/>
        <w:right w:w="108" w:type="dxa"/>
      </w:tblCellMar>
    </w:tblPr>
    <w:tblStylePr w:type="firstRow">
      <w:rPr>
        <w:b/>
        <w:color w:val="D99695"/>
      </w:rPr>
      <w:tcPr>
        <w:tcBorders>
          <w:bottom w:val="single" w:color="D99695" w:sz="12" w:space="0"/>
        </w:tcBorders>
      </w:tcPr>
    </w:tblStylePr>
    <w:tblStylePr w:type="lastRow">
      <w:rPr>
        <w:b/>
        <w:color w:val="D99695"/>
      </w:rPr>
    </w:tblStylePr>
    <w:tblStylePr w:type="firstCol">
      <w:rPr>
        <w:b/>
        <w:color w:val="D99695"/>
      </w:rPr>
    </w:tblStylePr>
    <w:tblStylePr w:type="lastCol">
      <w:rPr>
        <w:b/>
        <w:color w:val="D99695"/>
      </w:rPr>
    </w:tblStylePr>
    <w:tblStylePr w:type="band1Vert">
      <w:tcPr>
        <w:shd w:val="clear" w:color="F2DCDC" w:fill="F2DCDC"/>
      </w:tcPr>
    </w:tblStylePr>
    <w:tblStylePr w:type="band1Horz">
      <w:rPr>
        <w:rFonts w:ascii="Arial" w:hAnsi="Arial"/>
        <w:color w:val="D99695"/>
        <w:sz w:val="22"/>
      </w:rPr>
      <w:tcPr>
        <w:shd w:val="clear" w:color="F2DCDC" w:fill="F2DCDC"/>
      </w:tcPr>
    </w:tblStylePr>
    <w:tblStylePr w:type="band2Horz">
      <w:rPr>
        <w:rFonts w:ascii="Arial" w:hAnsi="Arial"/>
        <w:color w:val="D99695"/>
        <w:sz w:val="22"/>
      </w:rPr>
    </w:tblStylePr>
  </w:style>
  <w:style w:type="table" w:customStyle="1" w:styleId="554">
    <w:name w:val="Grid Table 6 Colorful - Accent 31"/>
    <w:basedOn w:val="13"/>
    <w:uiPriority w:val="99"/>
    <w:rPr>
      <w:sz w:val="22"/>
      <w:szCs w:val="22"/>
      <w:lang w:eastAsia="en-US"/>
    </w:rPr>
    <w:tblPr>
      <w:tblBorders>
        <w:top w:val="single" w:color="9ABB59" w:sz="4" w:space="0"/>
        <w:left w:val="single" w:color="9ABB59" w:sz="4" w:space="0"/>
        <w:bottom w:val="single" w:color="9ABB59" w:sz="4" w:space="0"/>
        <w:right w:val="single" w:color="9ABB59" w:sz="4" w:space="0"/>
        <w:insideH w:val="single" w:color="9ABB59" w:sz="4" w:space="0"/>
        <w:insideV w:val="single" w:color="9ABB59" w:sz="4" w:space="0"/>
      </w:tblBorders>
      <w:tblCellMar>
        <w:top w:w="0" w:type="dxa"/>
        <w:left w:w="108" w:type="dxa"/>
        <w:bottom w:w="0" w:type="dxa"/>
        <w:right w:w="108" w:type="dxa"/>
      </w:tblCellMar>
    </w:tblPr>
    <w:tblStylePr w:type="firstRow">
      <w:rPr>
        <w:b/>
        <w:color w:val="9ABB59"/>
      </w:rPr>
      <w:tcPr>
        <w:tcBorders>
          <w:bottom w:val="single" w:color="9ABB59" w:sz="12" w:space="0"/>
        </w:tcBorders>
      </w:tcPr>
    </w:tblStylePr>
    <w:tblStylePr w:type="lastRow">
      <w:rPr>
        <w:b/>
        <w:color w:val="9ABB59"/>
      </w:rPr>
    </w:tblStylePr>
    <w:tblStylePr w:type="firstCol">
      <w:rPr>
        <w:b/>
        <w:color w:val="9ABB59"/>
      </w:rPr>
    </w:tblStylePr>
    <w:tblStylePr w:type="lastCol">
      <w:rPr>
        <w:b/>
        <w:color w:val="9ABB59"/>
      </w:rPr>
    </w:tblStylePr>
    <w:tblStylePr w:type="band1Vert">
      <w:tcPr>
        <w:shd w:val="clear" w:color="EAF1DC" w:fill="EAF1DC"/>
      </w:tcPr>
    </w:tblStylePr>
    <w:tblStylePr w:type="band1Horz">
      <w:rPr>
        <w:rFonts w:ascii="Arial" w:hAnsi="Arial"/>
        <w:color w:val="9ABB59"/>
        <w:sz w:val="22"/>
      </w:rPr>
      <w:tcPr>
        <w:shd w:val="clear" w:color="EAF1DC" w:fill="EAF1DC"/>
      </w:tcPr>
    </w:tblStylePr>
    <w:tblStylePr w:type="band2Horz">
      <w:rPr>
        <w:rFonts w:ascii="Arial" w:hAnsi="Arial"/>
        <w:color w:val="9ABB59"/>
        <w:sz w:val="22"/>
      </w:rPr>
    </w:tblStylePr>
  </w:style>
  <w:style w:type="table" w:customStyle="1" w:styleId="555">
    <w:name w:val="Grid Table 6 Colorful - Accent 41"/>
    <w:basedOn w:val="13"/>
    <w:uiPriority w:val="99"/>
    <w:rPr>
      <w:sz w:val="22"/>
      <w:szCs w:val="22"/>
      <w:lang w:eastAsia="en-US"/>
    </w:rPr>
    <w:tblPr>
      <w:tblBorders>
        <w:top w:val="single" w:color="B2A1C6" w:sz="4" w:space="0"/>
        <w:left w:val="single" w:color="B2A1C6" w:sz="4" w:space="0"/>
        <w:bottom w:val="single" w:color="B2A1C6" w:sz="4" w:space="0"/>
        <w:right w:val="single" w:color="B2A1C6" w:sz="4" w:space="0"/>
        <w:insideH w:val="single" w:color="B2A1C6" w:sz="4" w:space="0"/>
        <w:insideV w:val="single" w:color="B2A1C6" w:sz="4" w:space="0"/>
      </w:tblBorders>
      <w:tblCellMar>
        <w:top w:w="0" w:type="dxa"/>
        <w:left w:w="108" w:type="dxa"/>
        <w:bottom w:w="0" w:type="dxa"/>
        <w:right w:w="108" w:type="dxa"/>
      </w:tblCellMar>
    </w:tblPr>
    <w:tblStylePr w:type="firstRow">
      <w:rPr>
        <w:b/>
        <w:color w:val="B2A1C6"/>
      </w:rPr>
      <w:tcPr>
        <w:tcBorders>
          <w:bottom w:val="single" w:color="B2A1C6" w:sz="12" w:space="0"/>
        </w:tcBorders>
      </w:tcPr>
    </w:tblStylePr>
    <w:tblStylePr w:type="lastRow">
      <w:rPr>
        <w:b/>
        <w:color w:val="B2A1C6"/>
      </w:rPr>
    </w:tblStylePr>
    <w:tblStylePr w:type="firstCol">
      <w:rPr>
        <w:b/>
        <w:color w:val="B2A1C6"/>
      </w:rPr>
    </w:tblStylePr>
    <w:tblStylePr w:type="lastCol">
      <w:rPr>
        <w:b/>
        <w:color w:val="B2A1C6"/>
      </w:rPr>
    </w:tblStylePr>
    <w:tblStylePr w:type="band1Vert">
      <w:tcPr>
        <w:shd w:val="clear" w:color="E5DFEC" w:fill="E5DFEC"/>
      </w:tcPr>
    </w:tblStylePr>
    <w:tblStylePr w:type="band1Horz">
      <w:rPr>
        <w:rFonts w:ascii="Arial" w:hAnsi="Arial"/>
        <w:color w:val="B2A1C6"/>
        <w:sz w:val="22"/>
      </w:rPr>
      <w:tcPr>
        <w:shd w:val="clear" w:color="E5DFEC" w:fill="E5DFEC"/>
      </w:tcPr>
    </w:tblStylePr>
    <w:tblStylePr w:type="band2Horz">
      <w:rPr>
        <w:rFonts w:ascii="Arial" w:hAnsi="Arial"/>
        <w:color w:val="B2A1C6"/>
        <w:sz w:val="22"/>
      </w:rPr>
    </w:tblStylePr>
  </w:style>
  <w:style w:type="table" w:customStyle="1" w:styleId="556">
    <w:name w:val="Grid Table 6 Colorful - Accent 51"/>
    <w:basedOn w:val="13"/>
    <w:uiPriority w:val="99"/>
    <w:rPr>
      <w:sz w:val="22"/>
      <w:szCs w:val="22"/>
      <w:lang w:eastAsia="en-US"/>
    </w:rPr>
    <w:tblPr>
      <w:tblBorders>
        <w:top w:val="single" w:color="4BACC6" w:sz="4" w:space="0"/>
        <w:left w:val="single" w:color="4BACC6" w:sz="4" w:space="0"/>
        <w:bottom w:val="single" w:color="4BACC6" w:sz="4" w:space="0"/>
        <w:right w:val="single" w:color="4BACC6" w:sz="4" w:space="0"/>
        <w:insideH w:val="single" w:color="4BACC6" w:sz="4" w:space="0"/>
        <w:insideV w:val="single" w:color="4BACC6" w:sz="4" w:space="0"/>
      </w:tblBorders>
      <w:tblCellMar>
        <w:top w:w="0" w:type="dxa"/>
        <w:left w:w="108" w:type="dxa"/>
        <w:bottom w:w="0" w:type="dxa"/>
        <w:right w:w="108" w:type="dxa"/>
      </w:tblCellMar>
    </w:tblPr>
    <w:tblStylePr w:type="firstRow">
      <w:rPr>
        <w:b/>
        <w:color w:val="266779"/>
      </w:rPr>
      <w:tcPr>
        <w:tcBorders>
          <w:bottom w:val="single" w:color="4BACC6" w:sz="12" w:space="0"/>
        </w:tcBorders>
      </w:tcPr>
    </w:tblStylePr>
    <w:tblStylePr w:type="lastRow">
      <w:rPr>
        <w:b/>
        <w:color w:val="266779"/>
      </w:rPr>
    </w:tblStylePr>
    <w:tblStylePr w:type="firstCol">
      <w:rPr>
        <w:b/>
        <w:color w:val="266779"/>
      </w:rPr>
    </w:tblStylePr>
    <w:tblStylePr w:type="lastCol">
      <w:rPr>
        <w:b/>
        <w:color w:val="266779"/>
      </w:rPr>
    </w:tblStylePr>
    <w:tblStylePr w:type="band1Vert">
      <w:tcPr>
        <w:shd w:val="clear" w:color="DAEEF3" w:fill="DAEEF3"/>
      </w:tcPr>
    </w:tblStylePr>
    <w:tblStylePr w:type="band1Horz">
      <w:rPr>
        <w:rFonts w:ascii="Arial" w:hAnsi="Arial"/>
        <w:color w:val="266779"/>
        <w:sz w:val="22"/>
      </w:rPr>
      <w:tcPr>
        <w:shd w:val="clear" w:color="DAEEF3" w:fill="DAEEF3"/>
      </w:tcPr>
    </w:tblStylePr>
    <w:tblStylePr w:type="band2Horz">
      <w:rPr>
        <w:rFonts w:ascii="Arial" w:hAnsi="Arial"/>
        <w:color w:val="266779"/>
        <w:sz w:val="22"/>
      </w:rPr>
    </w:tblStylePr>
  </w:style>
  <w:style w:type="table" w:customStyle="1" w:styleId="557">
    <w:name w:val="Grid Table 6 Colorful - Accent 61"/>
    <w:basedOn w:val="13"/>
    <w:uiPriority w:val="99"/>
    <w:rPr>
      <w:sz w:val="22"/>
      <w:szCs w:val="22"/>
      <w:lang w:eastAsia="en-US"/>
    </w:rPr>
    <w:tblPr>
      <w:tblBorders>
        <w:top w:val="single" w:color="F79646" w:sz="4" w:space="0"/>
        <w:left w:val="single" w:color="F79646" w:sz="4" w:space="0"/>
        <w:bottom w:val="single" w:color="F79646" w:sz="4" w:space="0"/>
        <w:right w:val="single" w:color="F79646" w:sz="4" w:space="0"/>
        <w:insideH w:val="single" w:color="F79646" w:sz="4" w:space="0"/>
        <w:insideV w:val="single" w:color="F79646" w:sz="4" w:space="0"/>
      </w:tblBorders>
      <w:tblCellMar>
        <w:top w:w="0" w:type="dxa"/>
        <w:left w:w="108" w:type="dxa"/>
        <w:bottom w:w="0" w:type="dxa"/>
        <w:right w:w="108" w:type="dxa"/>
      </w:tblCellMar>
    </w:tblPr>
    <w:tblStylePr w:type="firstRow">
      <w:rPr>
        <w:b/>
        <w:color w:val="266779"/>
      </w:rPr>
      <w:tcPr>
        <w:tcBorders>
          <w:bottom w:val="single" w:color="F79646" w:sz="12" w:space="0"/>
        </w:tcBorders>
      </w:tcPr>
    </w:tblStylePr>
    <w:tblStylePr w:type="lastRow">
      <w:rPr>
        <w:b/>
        <w:color w:val="266779"/>
      </w:rPr>
    </w:tblStylePr>
    <w:tblStylePr w:type="firstCol">
      <w:rPr>
        <w:b/>
        <w:color w:val="266779"/>
      </w:rPr>
    </w:tblStylePr>
    <w:tblStylePr w:type="lastCol">
      <w:rPr>
        <w:b/>
        <w:color w:val="266779"/>
      </w:rPr>
    </w:tblStylePr>
    <w:tblStylePr w:type="band1Vert">
      <w:tcPr>
        <w:shd w:val="clear" w:color="FDE9D8" w:fill="FDE9D8"/>
      </w:tcPr>
    </w:tblStylePr>
    <w:tblStylePr w:type="band1Horz">
      <w:rPr>
        <w:rFonts w:ascii="Arial" w:hAnsi="Arial"/>
        <w:color w:val="266779"/>
        <w:sz w:val="22"/>
      </w:rPr>
      <w:tcPr>
        <w:shd w:val="clear" w:color="FDE9D8" w:fill="FDE9D8"/>
      </w:tcPr>
    </w:tblStylePr>
    <w:tblStylePr w:type="band2Horz">
      <w:rPr>
        <w:rFonts w:ascii="Arial" w:hAnsi="Arial"/>
        <w:color w:val="266779"/>
        <w:sz w:val="22"/>
      </w:rPr>
    </w:tblStylePr>
  </w:style>
  <w:style w:type="table" w:customStyle="1" w:styleId="558">
    <w:name w:val="Таблица-сетка 7 цветная110"/>
    <w:basedOn w:val="13"/>
    <w:uiPriority w:val="99"/>
    <w:rPr>
      <w:sz w:val="22"/>
      <w:szCs w:val="22"/>
      <w:lang w:eastAsia="en-US"/>
    </w:rPr>
    <w:tblPr>
      <w:tblBorders>
        <w:bottom w:val="single" w:color="7F7F7F" w:sz="4" w:space="0"/>
        <w:right w:val="single" w:color="7F7F7F" w:sz="4" w:space="0"/>
        <w:insideH w:val="single" w:color="7F7F7F" w:sz="4" w:space="0"/>
        <w:insideV w:val="single" w:color="7F7F7F" w:sz="4" w:space="0"/>
      </w:tblBorders>
      <w:tblCellMar>
        <w:top w:w="0" w:type="dxa"/>
        <w:left w:w="108" w:type="dxa"/>
        <w:bottom w:w="0" w:type="dxa"/>
        <w:right w:w="108" w:type="dxa"/>
      </w:tblCellMar>
    </w:tblPr>
    <w:tblStylePr w:type="firstRow">
      <w:rPr>
        <w:rFonts w:ascii="Arial" w:hAnsi="Arial"/>
        <w:b/>
        <w:color w:val="7F7F7F"/>
        <w:sz w:val="22"/>
      </w:rPr>
      <w:tcPr>
        <w:tcBorders>
          <w:top w:val="nil"/>
          <w:left w:val="nil"/>
          <w:bottom w:val="single" w:color="7F7F7F" w:sz="4" w:space="0"/>
          <w:right w:val="nil"/>
        </w:tcBorders>
        <w:shd w:val="clear" w:color="FFFFFF" w:fill="FFFFFF"/>
      </w:tcPr>
    </w:tblStylePr>
    <w:tblStylePr w:type="lastRow">
      <w:rPr>
        <w:rFonts w:ascii="Arial" w:hAnsi="Arial"/>
        <w:b/>
        <w:color w:val="7F7F7F"/>
        <w:sz w:val="22"/>
      </w:rPr>
      <w:tcPr>
        <w:tcBorders>
          <w:top w:val="single" w:color="7F7F7F" w:sz="4" w:space="0"/>
          <w:left w:val="nil"/>
          <w:bottom w:val="nil"/>
          <w:right w:val="nil"/>
        </w:tcBorders>
        <w:shd w:val="clear" w:color="FFFFFF" w:fill="FFFFFF"/>
      </w:tcPr>
    </w:tblStylePr>
    <w:tblStylePr w:type="firstCol">
      <w:pPr>
        <w:jc w:val="right"/>
      </w:pPr>
      <w:rPr>
        <w:rFonts w:ascii="Arial" w:hAnsi="Arial"/>
        <w:i/>
        <w:color w:val="7F7F7F"/>
        <w:sz w:val="22"/>
      </w:rPr>
      <w:tcPr>
        <w:tcBorders>
          <w:top w:val="nil"/>
          <w:left w:val="nil"/>
          <w:bottom w:val="nil"/>
          <w:right w:val="single" w:color="7F7F7F" w:sz="4" w:space="0"/>
        </w:tcBorders>
        <w:shd w:val="clear" w:color="FFFFFF" w:fill="auto"/>
      </w:tcPr>
    </w:tblStylePr>
    <w:tblStylePr w:type="lastCol">
      <w:rPr>
        <w:rFonts w:ascii="Arial" w:hAnsi="Arial"/>
        <w:i/>
        <w:color w:val="7F7F7F"/>
        <w:sz w:val="22"/>
      </w:rPr>
      <w:tcPr>
        <w:tcBorders>
          <w:top w:val="nil"/>
          <w:left w:val="single" w:color="7F7F7F" w:sz="4" w:space="0"/>
          <w:bottom w:val="nil"/>
          <w:right w:val="nil"/>
        </w:tcBorders>
        <w:shd w:val="clear" w:color="FFFFFF" w:fill="auto"/>
      </w:tcPr>
    </w:tblStylePr>
    <w:tblStylePr w:type="band1Vert">
      <w:tcPr>
        <w:shd w:val="clear" w:color="F2F2F2" w:fill="F2F2F2"/>
      </w:tcPr>
    </w:tblStylePr>
    <w:tblStylePr w:type="band1Horz">
      <w:rPr>
        <w:rFonts w:ascii="Arial" w:hAnsi="Arial"/>
        <w:color w:val="7F7F7F"/>
        <w:sz w:val="22"/>
      </w:rPr>
      <w:tcPr>
        <w:shd w:val="clear" w:color="F2F2F2" w:fill="F2F2F2"/>
      </w:tcPr>
    </w:tblStylePr>
    <w:tblStylePr w:type="band2Horz">
      <w:rPr>
        <w:rFonts w:ascii="Arial" w:hAnsi="Arial"/>
        <w:color w:val="7F7F7F"/>
        <w:sz w:val="22"/>
      </w:rPr>
    </w:tblStylePr>
  </w:style>
  <w:style w:type="table" w:customStyle="1" w:styleId="559">
    <w:name w:val="Grid Table 7 Colorful - Accent 11"/>
    <w:basedOn w:val="13"/>
    <w:uiPriority w:val="99"/>
    <w:rPr>
      <w:sz w:val="22"/>
      <w:szCs w:val="22"/>
      <w:lang w:eastAsia="en-US"/>
    </w:rPr>
    <w:tblPr>
      <w:tblBorders>
        <w:bottom w:val="single" w:color="A6BFDD" w:sz="4" w:space="0"/>
        <w:right w:val="single" w:color="A6BFDD" w:sz="4" w:space="0"/>
        <w:insideH w:val="single" w:color="A6BFDD" w:sz="4" w:space="0"/>
        <w:insideV w:val="single" w:color="A6BFDD" w:sz="4" w:space="0"/>
      </w:tblBorders>
      <w:tblCellMar>
        <w:top w:w="0" w:type="dxa"/>
        <w:left w:w="108" w:type="dxa"/>
        <w:bottom w:w="0" w:type="dxa"/>
        <w:right w:w="108" w:type="dxa"/>
      </w:tblCellMar>
    </w:tblPr>
    <w:tblStylePr w:type="firstRow">
      <w:rPr>
        <w:rFonts w:ascii="Arial" w:hAnsi="Arial"/>
        <w:b/>
        <w:color w:val="A6BFDD"/>
        <w:sz w:val="22"/>
      </w:rPr>
      <w:tcPr>
        <w:tcBorders>
          <w:top w:val="nil"/>
          <w:left w:val="nil"/>
          <w:bottom w:val="single" w:color="A6BFDD" w:sz="4" w:space="0"/>
          <w:right w:val="nil"/>
        </w:tcBorders>
        <w:shd w:val="clear" w:color="FFFFFF" w:fill="FFFFFF"/>
      </w:tcPr>
    </w:tblStylePr>
    <w:tblStylePr w:type="lastRow">
      <w:rPr>
        <w:rFonts w:ascii="Arial" w:hAnsi="Arial"/>
        <w:b/>
        <w:color w:val="A6BFDD"/>
        <w:sz w:val="22"/>
      </w:rPr>
      <w:tcPr>
        <w:tcBorders>
          <w:top w:val="single" w:color="A6BFDD" w:sz="4" w:space="0"/>
          <w:left w:val="nil"/>
          <w:bottom w:val="nil"/>
          <w:right w:val="nil"/>
        </w:tcBorders>
        <w:shd w:val="clear" w:color="FFFFFF" w:fill="FFFFFF"/>
      </w:tcPr>
    </w:tblStylePr>
    <w:tblStylePr w:type="firstCol">
      <w:pPr>
        <w:jc w:val="right"/>
      </w:pPr>
      <w:rPr>
        <w:rFonts w:ascii="Arial" w:hAnsi="Arial"/>
        <w:i/>
        <w:color w:val="A6BFDD"/>
        <w:sz w:val="22"/>
      </w:rPr>
      <w:tcPr>
        <w:tcBorders>
          <w:top w:val="nil"/>
          <w:left w:val="nil"/>
          <w:bottom w:val="nil"/>
          <w:right w:val="single" w:color="A6BFDD" w:sz="4" w:space="0"/>
        </w:tcBorders>
        <w:shd w:val="clear" w:color="FFFFFF" w:fill="auto"/>
      </w:tcPr>
    </w:tblStylePr>
    <w:tblStylePr w:type="lastCol">
      <w:rPr>
        <w:rFonts w:ascii="Arial" w:hAnsi="Arial"/>
        <w:i/>
        <w:color w:val="A6BFDD"/>
        <w:sz w:val="22"/>
      </w:rPr>
      <w:tcPr>
        <w:tcBorders>
          <w:top w:val="nil"/>
          <w:left w:val="single" w:color="A6BFDD" w:sz="4" w:space="0"/>
          <w:bottom w:val="nil"/>
          <w:right w:val="nil"/>
        </w:tcBorders>
        <w:shd w:val="clear" w:color="FFFFFF" w:fill="auto"/>
      </w:tcPr>
    </w:tblStylePr>
    <w:tblStylePr w:type="band1Vert">
      <w:tcPr>
        <w:shd w:val="clear" w:color="DAE5F1" w:fill="DAE5F1"/>
      </w:tcPr>
    </w:tblStylePr>
    <w:tblStylePr w:type="band1Horz">
      <w:rPr>
        <w:rFonts w:ascii="Arial" w:hAnsi="Arial"/>
        <w:color w:val="A6BFDD"/>
        <w:sz w:val="22"/>
      </w:rPr>
      <w:tcPr>
        <w:shd w:val="clear" w:color="DAE5F1" w:fill="DAE5F1"/>
      </w:tcPr>
    </w:tblStylePr>
    <w:tblStylePr w:type="band2Horz">
      <w:rPr>
        <w:rFonts w:ascii="Arial" w:hAnsi="Arial"/>
        <w:color w:val="A6BFDD"/>
        <w:sz w:val="22"/>
      </w:rPr>
    </w:tblStylePr>
  </w:style>
  <w:style w:type="table" w:customStyle="1" w:styleId="560">
    <w:name w:val="Grid Table 7 Colorful - Accent 21"/>
    <w:basedOn w:val="13"/>
    <w:uiPriority w:val="99"/>
    <w:rPr>
      <w:sz w:val="22"/>
      <w:szCs w:val="22"/>
      <w:lang w:eastAsia="en-US"/>
    </w:rPr>
    <w:tblPr>
      <w:tblBorders>
        <w:bottom w:val="single" w:color="D99695" w:sz="4" w:space="0"/>
        <w:right w:val="single" w:color="D99695" w:sz="4" w:space="0"/>
        <w:insideH w:val="single" w:color="D99695" w:sz="4" w:space="0"/>
        <w:insideV w:val="single" w:color="D99695" w:sz="4" w:space="0"/>
      </w:tblBorders>
      <w:tblCellMar>
        <w:top w:w="0" w:type="dxa"/>
        <w:left w:w="108" w:type="dxa"/>
        <w:bottom w:w="0" w:type="dxa"/>
        <w:right w:w="108" w:type="dxa"/>
      </w:tblCellMar>
    </w:tblPr>
    <w:tblStylePr w:type="firstRow">
      <w:rPr>
        <w:rFonts w:ascii="Arial" w:hAnsi="Arial"/>
        <w:b/>
        <w:color w:val="D99695"/>
        <w:sz w:val="22"/>
      </w:rPr>
      <w:tcPr>
        <w:tcBorders>
          <w:top w:val="nil"/>
          <w:left w:val="nil"/>
          <w:bottom w:val="single" w:color="D99695" w:sz="4" w:space="0"/>
          <w:right w:val="nil"/>
        </w:tcBorders>
        <w:shd w:val="clear" w:color="FFFFFF" w:fill="FFFFFF"/>
      </w:tcPr>
    </w:tblStylePr>
    <w:tblStylePr w:type="lastRow">
      <w:rPr>
        <w:rFonts w:ascii="Arial" w:hAnsi="Arial"/>
        <w:b/>
        <w:color w:val="D99695"/>
        <w:sz w:val="22"/>
      </w:rPr>
      <w:tcPr>
        <w:tcBorders>
          <w:top w:val="single" w:color="D99695" w:sz="4" w:space="0"/>
          <w:left w:val="nil"/>
          <w:bottom w:val="nil"/>
          <w:right w:val="nil"/>
        </w:tcBorders>
        <w:shd w:val="clear" w:color="FFFFFF" w:fill="FFFFFF"/>
      </w:tcPr>
    </w:tblStylePr>
    <w:tblStylePr w:type="firstCol">
      <w:pPr>
        <w:jc w:val="right"/>
      </w:pPr>
      <w:rPr>
        <w:rFonts w:ascii="Arial" w:hAnsi="Arial"/>
        <w:i/>
        <w:color w:val="D99695"/>
        <w:sz w:val="22"/>
      </w:rPr>
      <w:tcPr>
        <w:tcBorders>
          <w:top w:val="nil"/>
          <w:left w:val="nil"/>
          <w:bottom w:val="nil"/>
          <w:right w:val="single" w:color="D99695" w:sz="4" w:space="0"/>
        </w:tcBorders>
        <w:shd w:val="clear" w:color="FFFFFF" w:fill="auto"/>
      </w:tcPr>
    </w:tblStylePr>
    <w:tblStylePr w:type="lastCol">
      <w:rPr>
        <w:rFonts w:ascii="Arial" w:hAnsi="Arial"/>
        <w:i/>
        <w:color w:val="D99695"/>
        <w:sz w:val="22"/>
      </w:rPr>
      <w:tcPr>
        <w:tcBorders>
          <w:top w:val="nil"/>
          <w:left w:val="single" w:color="D99695" w:sz="4" w:space="0"/>
          <w:bottom w:val="nil"/>
          <w:right w:val="nil"/>
        </w:tcBorders>
        <w:shd w:val="clear" w:color="FFFFFF" w:fill="auto"/>
      </w:tcPr>
    </w:tblStylePr>
    <w:tblStylePr w:type="band1Vert">
      <w:tcPr>
        <w:shd w:val="clear" w:color="F2DCDC" w:fill="F2DCDC"/>
      </w:tcPr>
    </w:tblStylePr>
    <w:tblStylePr w:type="band1Horz">
      <w:rPr>
        <w:rFonts w:ascii="Arial" w:hAnsi="Arial"/>
        <w:color w:val="D99695"/>
        <w:sz w:val="22"/>
      </w:rPr>
      <w:tcPr>
        <w:shd w:val="clear" w:color="F2DCDC" w:fill="F2DCDC"/>
      </w:tcPr>
    </w:tblStylePr>
    <w:tblStylePr w:type="band2Horz">
      <w:rPr>
        <w:rFonts w:ascii="Arial" w:hAnsi="Arial"/>
        <w:color w:val="D99695"/>
        <w:sz w:val="22"/>
      </w:rPr>
    </w:tblStylePr>
  </w:style>
  <w:style w:type="table" w:customStyle="1" w:styleId="561">
    <w:name w:val="Grid Table 7 Colorful - Accent 31"/>
    <w:basedOn w:val="13"/>
    <w:uiPriority w:val="99"/>
    <w:rPr>
      <w:sz w:val="22"/>
      <w:szCs w:val="22"/>
      <w:lang w:eastAsia="en-US"/>
    </w:rPr>
    <w:tblPr>
      <w:tblBorders>
        <w:bottom w:val="single" w:color="9ABB59" w:sz="4" w:space="0"/>
        <w:right w:val="single" w:color="9ABB59" w:sz="4" w:space="0"/>
        <w:insideH w:val="single" w:color="9ABB59" w:sz="4" w:space="0"/>
        <w:insideV w:val="single" w:color="9ABB59" w:sz="4" w:space="0"/>
      </w:tblBorders>
      <w:tblCellMar>
        <w:top w:w="0" w:type="dxa"/>
        <w:left w:w="108" w:type="dxa"/>
        <w:bottom w:w="0" w:type="dxa"/>
        <w:right w:w="108" w:type="dxa"/>
      </w:tblCellMar>
    </w:tblPr>
    <w:tblStylePr w:type="firstRow">
      <w:rPr>
        <w:rFonts w:ascii="Arial" w:hAnsi="Arial"/>
        <w:b/>
        <w:color w:val="9ABB59"/>
        <w:sz w:val="22"/>
      </w:rPr>
      <w:tcPr>
        <w:tcBorders>
          <w:top w:val="nil"/>
          <w:left w:val="nil"/>
          <w:bottom w:val="single" w:color="9ABB59" w:sz="4" w:space="0"/>
          <w:right w:val="nil"/>
        </w:tcBorders>
        <w:shd w:val="clear" w:color="FFFFFF" w:fill="FFFFFF"/>
      </w:tcPr>
    </w:tblStylePr>
    <w:tblStylePr w:type="lastRow">
      <w:rPr>
        <w:rFonts w:ascii="Arial" w:hAnsi="Arial"/>
        <w:b/>
        <w:color w:val="9ABB59"/>
        <w:sz w:val="22"/>
      </w:rPr>
      <w:tcPr>
        <w:tcBorders>
          <w:top w:val="single" w:color="9ABB59" w:sz="4" w:space="0"/>
          <w:left w:val="nil"/>
          <w:bottom w:val="nil"/>
          <w:right w:val="nil"/>
        </w:tcBorders>
        <w:shd w:val="clear" w:color="FFFFFF" w:fill="FFFFFF"/>
      </w:tcPr>
    </w:tblStylePr>
    <w:tblStylePr w:type="firstCol">
      <w:pPr>
        <w:jc w:val="right"/>
      </w:pPr>
      <w:rPr>
        <w:rFonts w:ascii="Arial" w:hAnsi="Arial"/>
        <w:i/>
        <w:color w:val="9ABB59"/>
        <w:sz w:val="22"/>
      </w:rPr>
      <w:tcPr>
        <w:tcBorders>
          <w:top w:val="nil"/>
          <w:left w:val="nil"/>
          <w:bottom w:val="nil"/>
          <w:right w:val="single" w:color="9ABB59" w:sz="4" w:space="0"/>
        </w:tcBorders>
        <w:shd w:val="clear" w:color="FFFFFF" w:fill="auto"/>
      </w:tcPr>
    </w:tblStylePr>
    <w:tblStylePr w:type="lastCol">
      <w:rPr>
        <w:rFonts w:ascii="Arial" w:hAnsi="Arial"/>
        <w:i/>
        <w:color w:val="9ABB59"/>
        <w:sz w:val="22"/>
      </w:rPr>
      <w:tcPr>
        <w:tcBorders>
          <w:top w:val="nil"/>
          <w:left w:val="single" w:color="9ABB59" w:sz="4" w:space="0"/>
          <w:bottom w:val="nil"/>
          <w:right w:val="nil"/>
        </w:tcBorders>
        <w:shd w:val="clear" w:color="FFFFFF" w:fill="auto"/>
      </w:tcPr>
    </w:tblStylePr>
    <w:tblStylePr w:type="band1Vert">
      <w:tcPr>
        <w:shd w:val="clear" w:color="EAF1DC" w:fill="EAF1DC"/>
      </w:tcPr>
    </w:tblStylePr>
    <w:tblStylePr w:type="band1Horz">
      <w:rPr>
        <w:rFonts w:ascii="Arial" w:hAnsi="Arial"/>
        <w:color w:val="9ABB59"/>
        <w:sz w:val="22"/>
      </w:rPr>
      <w:tcPr>
        <w:shd w:val="clear" w:color="EAF1DC" w:fill="EAF1DC"/>
      </w:tcPr>
    </w:tblStylePr>
    <w:tblStylePr w:type="band2Horz">
      <w:rPr>
        <w:rFonts w:ascii="Arial" w:hAnsi="Arial"/>
        <w:color w:val="9ABB59"/>
        <w:sz w:val="22"/>
      </w:rPr>
    </w:tblStylePr>
  </w:style>
  <w:style w:type="table" w:customStyle="1" w:styleId="562">
    <w:name w:val="Grid Table 7 Colorful - Accent 41"/>
    <w:basedOn w:val="13"/>
    <w:uiPriority w:val="99"/>
    <w:rPr>
      <w:sz w:val="22"/>
      <w:szCs w:val="22"/>
      <w:lang w:eastAsia="en-US"/>
    </w:rPr>
    <w:tblPr>
      <w:tblBorders>
        <w:bottom w:val="single" w:color="B2A1C6" w:sz="4" w:space="0"/>
        <w:right w:val="single" w:color="B2A1C6" w:sz="4" w:space="0"/>
        <w:insideH w:val="single" w:color="B2A1C6" w:sz="4" w:space="0"/>
        <w:insideV w:val="single" w:color="B2A1C6" w:sz="4" w:space="0"/>
      </w:tblBorders>
      <w:tblCellMar>
        <w:top w:w="0" w:type="dxa"/>
        <w:left w:w="108" w:type="dxa"/>
        <w:bottom w:w="0" w:type="dxa"/>
        <w:right w:w="108" w:type="dxa"/>
      </w:tblCellMar>
    </w:tblPr>
    <w:tblStylePr w:type="firstRow">
      <w:rPr>
        <w:rFonts w:ascii="Arial" w:hAnsi="Arial"/>
        <w:b/>
        <w:color w:val="B2A1C6"/>
        <w:sz w:val="22"/>
      </w:rPr>
      <w:tcPr>
        <w:tcBorders>
          <w:top w:val="nil"/>
          <w:left w:val="nil"/>
          <w:bottom w:val="single" w:color="B2A1C6" w:sz="4" w:space="0"/>
          <w:right w:val="nil"/>
        </w:tcBorders>
        <w:shd w:val="clear" w:color="FFFFFF" w:fill="FFFFFF"/>
      </w:tcPr>
    </w:tblStylePr>
    <w:tblStylePr w:type="lastRow">
      <w:rPr>
        <w:rFonts w:ascii="Arial" w:hAnsi="Arial"/>
        <w:b/>
        <w:color w:val="B2A1C6"/>
        <w:sz w:val="22"/>
      </w:rPr>
      <w:tcPr>
        <w:tcBorders>
          <w:top w:val="single" w:color="B2A1C6" w:sz="4" w:space="0"/>
          <w:left w:val="nil"/>
          <w:bottom w:val="nil"/>
          <w:right w:val="nil"/>
        </w:tcBorders>
        <w:shd w:val="clear" w:color="FFFFFF" w:fill="FFFFFF"/>
      </w:tcPr>
    </w:tblStylePr>
    <w:tblStylePr w:type="firstCol">
      <w:pPr>
        <w:jc w:val="right"/>
      </w:pPr>
      <w:rPr>
        <w:rFonts w:ascii="Arial" w:hAnsi="Arial"/>
        <w:i/>
        <w:color w:val="B2A1C6"/>
        <w:sz w:val="22"/>
      </w:rPr>
      <w:tcPr>
        <w:tcBorders>
          <w:top w:val="nil"/>
          <w:left w:val="nil"/>
          <w:bottom w:val="nil"/>
          <w:right w:val="single" w:color="B2A1C6" w:sz="4" w:space="0"/>
        </w:tcBorders>
        <w:shd w:val="clear" w:color="FFFFFF" w:fill="auto"/>
      </w:tcPr>
    </w:tblStylePr>
    <w:tblStylePr w:type="lastCol">
      <w:rPr>
        <w:rFonts w:ascii="Arial" w:hAnsi="Arial"/>
        <w:i/>
        <w:color w:val="B2A1C6"/>
        <w:sz w:val="22"/>
      </w:rPr>
      <w:tcPr>
        <w:tcBorders>
          <w:top w:val="nil"/>
          <w:left w:val="single" w:color="B2A1C6" w:sz="4" w:space="0"/>
          <w:bottom w:val="nil"/>
          <w:right w:val="nil"/>
        </w:tcBorders>
        <w:shd w:val="clear" w:color="FFFFFF" w:fill="auto"/>
      </w:tcPr>
    </w:tblStylePr>
    <w:tblStylePr w:type="band1Vert">
      <w:tcPr>
        <w:shd w:val="clear" w:color="E5DFEC" w:fill="E5DFEC"/>
      </w:tcPr>
    </w:tblStylePr>
    <w:tblStylePr w:type="band1Horz">
      <w:rPr>
        <w:rFonts w:ascii="Arial" w:hAnsi="Arial"/>
        <w:color w:val="B2A1C6"/>
        <w:sz w:val="22"/>
      </w:rPr>
      <w:tcPr>
        <w:shd w:val="clear" w:color="E5DFEC" w:fill="E5DFEC"/>
      </w:tcPr>
    </w:tblStylePr>
    <w:tblStylePr w:type="band2Horz">
      <w:rPr>
        <w:rFonts w:ascii="Arial" w:hAnsi="Arial"/>
        <w:color w:val="B2A1C6"/>
        <w:sz w:val="22"/>
      </w:rPr>
    </w:tblStylePr>
  </w:style>
  <w:style w:type="table" w:customStyle="1" w:styleId="563">
    <w:name w:val="Grid Table 7 Colorful - Accent 51"/>
    <w:basedOn w:val="13"/>
    <w:uiPriority w:val="99"/>
    <w:rPr>
      <w:sz w:val="22"/>
      <w:szCs w:val="22"/>
      <w:lang w:eastAsia="en-US"/>
    </w:rPr>
    <w:tblPr>
      <w:tblBorders>
        <w:bottom w:val="single" w:color="99D0DE" w:sz="4" w:space="0"/>
        <w:right w:val="single" w:color="99D0DE" w:sz="4" w:space="0"/>
        <w:insideH w:val="single" w:color="99D0DE" w:sz="4" w:space="0"/>
        <w:insideV w:val="single" w:color="99D0DE" w:sz="4" w:space="0"/>
      </w:tblBorders>
      <w:tblCellMar>
        <w:top w:w="0" w:type="dxa"/>
        <w:left w:w="108" w:type="dxa"/>
        <w:bottom w:w="0" w:type="dxa"/>
        <w:right w:w="108" w:type="dxa"/>
      </w:tblCellMar>
    </w:tblPr>
    <w:tblStylePr w:type="firstRow">
      <w:rPr>
        <w:rFonts w:ascii="Arial" w:hAnsi="Arial"/>
        <w:b/>
        <w:color w:val="266779"/>
        <w:sz w:val="22"/>
      </w:rPr>
      <w:tcPr>
        <w:tcBorders>
          <w:top w:val="nil"/>
          <w:left w:val="nil"/>
          <w:bottom w:val="single" w:color="99D0DE" w:sz="4" w:space="0"/>
          <w:right w:val="nil"/>
        </w:tcBorders>
        <w:shd w:val="clear" w:color="FFFFFF" w:fill="FFFFFF"/>
      </w:tcPr>
    </w:tblStylePr>
    <w:tblStylePr w:type="lastRow">
      <w:rPr>
        <w:rFonts w:ascii="Arial" w:hAnsi="Arial"/>
        <w:b/>
        <w:color w:val="266779"/>
        <w:sz w:val="22"/>
      </w:rPr>
      <w:tcPr>
        <w:tcBorders>
          <w:top w:val="single" w:color="99D0DE" w:sz="4" w:space="0"/>
          <w:left w:val="nil"/>
          <w:bottom w:val="nil"/>
          <w:right w:val="nil"/>
        </w:tcBorders>
        <w:shd w:val="clear" w:color="FFFFFF" w:fill="FFFFFF"/>
      </w:tcPr>
    </w:tblStylePr>
    <w:tblStylePr w:type="firstCol">
      <w:pPr>
        <w:jc w:val="right"/>
      </w:pPr>
      <w:rPr>
        <w:rFonts w:ascii="Arial" w:hAnsi="Arial"/>
        <w:i/>
        <w:color w:val="266779"/>
        <w:sz w:val="22"/>
      </w:rPr>
      <w:tcPr>
        <w:tcBorders>
          <w:top w:val="nil"/>
          <w:left w:val="nil"/>
          <w:bottom w:val="nil"/>
          <w:right w:val="single" w:color="99D0DE" w:sz="4" w:space="0"/>
        </w:tcBorders>
        <w:shd w:val="clear" w:color="FFFFFF" w:fill="auto"/>
      </w:tcPr>
    </w:tblStylePr>
    <w:tblStylePr w:type="lastCol">
      <w:rPr>
        <w:rFonts w:ascii="Arial" w:hAnsi="Arial"/>
        <w:i/>
        <w:color w:val="266779"/>
        <w:sz w:val="22"/>
      </w:rPr>
      <w:tcPr>
        <w:tcBorders>
          <w:top w:val="nil"/>
          <w:left w:val="single" w:color="99D0DE" w:sz="4" w:space="0"/>
          <w:bottom w:val="nil"/>
          <w:right w:val="nil"/>
        </w:tcBorders>
        <w:shd w:val="clear" w:color="FFFFFF" w:fill="auto"/>
      </w:tcPr>
    </w:tblStylePr>
    <w:tblStylePr w:type="band1Vert">
      <w:tcPr>
        <w:shd w:val="clear" w:color="DAEEF3" w:fill="DAEEF3"/>
      </w:tcPr>
    </w:tblStylePr>
    <w:tblStylePr w:type="band1Horz">
      <w:rPr>
        <w:rFonts w:ascii="Arial" w:hAnsi="Arial"/>
        <w:color w:val="266779"/>
        <w:sz w:val="22"/>
      </w:rPr>
      <w:tcPr>
        <w:shd w:val="clear" w:color="DAEEF3" w:fill="DAEEF3"/>
      </w:tcPr>
    </w:tblStylePr>
    <w:tblStylePr w:type="band2Horz">
      <w:rPr>
        <w:rFonts w:ascii="Arial" w:hAnsi="Arial"/>
        <w:color w:val="266779"/>
        <w:sz w:val="22"/>
      </w:rPr>
    </w:tblStylePr>
  </w:style>
  <w:style w:type="table" w:customStyle="1" w:styleId="564">
    <w:name w:val="Grid Table 7 Colorful - Accent 61"/>
    <w:basedOn w:val="13"/>
    <w:uiPriority w:val="99"/>
    <w:rPr>
      <w:sz w:val="22"/>
      <w:szCs w:val="22"/>
      <w:lang w:eastAsia="en-US"/>
    </w:rPr>
    <w:tblPr>
      <w:tblBorders>
        <w:bottom w:val="single" w:color="FAC396" w:sz="4" w:space="0"/>
        <w:right w:val="single" w:color="FAC396" w:sz="4" w:space="0"/>
        <w:insideH w:val="single" w:color="FAC396" w:sz="4" w:space="0"/>
        <w:insideV w:val="single" w:color="FAC396" w:sz="4" w:space="0"/>
      </w:tblBorders>
      <w:tblCellMar>
        <w:top w:w="0" w:type="dxa"/>
        <w:left w:w="108" w:type="dxa"/>
        <w:bottom w:w="0" w:type="dxa"/>
        <w:right w:w="108" w:type="dxa"/>
      </w:tblCellMar>
    </w:tblPr>
    <w:tblStylePr w:type="firstRow">
      <w:rPr>
        <w:rFonts w:ascii="Arial" w:hAnsi="Arial"/>
        <w:b/>
        <w:color w:val="B15407"/>
        <w:sz w:val="22"/>
      </w:rPr>
      <w:tcPr>
        <w:tcBorders>
          <w:top w:val="nil"/>
          <w:left w:val="nil"/>
          <w:bottom w:val="single" w:color="FAC396" w:sz="4" w:space="0"/>
          <w:right w:val="nil"/>
        </w:tcBorders>
        <w:shd w:val="clear" w:color="FFFFFF" w:fill="FFFFFF"/>
      </w:tcPr>
    </w:tblStylePr>
    <w:tblStylePr w:type="lastRow">
      <w:rPr>
        <w:rFonts w:ascii="Arial" w:hAnsi="Arial"/>
        <w:b/>
        <w:color w:val="B15407"/>
        <w:sz w:val="22"/>
      </w:rPr>
      <w:tcPr>
        <w:tcBorders>
          <w:top w:val="single" w:color="FAC396" w:sz="4" w:space="0"/>
          <w:left w:val="nil"/>
          <w:bottom w:val="nil"/>
          <w:right w:val="nil"/>
        </w:tcBorders>
        <w:shd w:val="clear" w:color="FFFFFF" w:fill="FFFFFF"/>
      </w:tcPr>
    </w:tblStylePr>
    <w:tblStylePr w:type="firstCol">
      <w:pPr>
        <w:jc w:val="right"/>
      </w:pPr>
      <w:rPr>
        <w:rFonts w:ascii="Arial" w:hAnsi="Arial"/>
        <w:i/>
        <w:color w:val="B15407"/>
        <w:sz w:val="22"/>
      </w:rPr>
      <w:tcPr>
        <w:tcBorders>
          <w:top w:val="nil"/>
          <w:left w:val="nil"/>
          <w:bottom w:val="nil"/>
          <w:right w:val="single" w:color="FAC396" w:sz="4" w:space="0"/>
        </w:tcBorders>
        <w:shd w:val="clear" w:color="FFFFFF" w:fill="auto"/>
      </w:tcPr>
    </w:tblStylePr>
    <w:tblStylePr w:type="lastCol">
      <w:rPr>
        <w:rFonts w:ascii="Arial" w:hAnsi="Arial"/>
        <w:i/>
        <w:color w:val="B15407"/>
        <w:sz w:val="22"/>
      </w:rPr>
      <w:tcPr>
        <w:tcBorders>
          <w:top w:val="nil"/>
          <w:left w:val="single" w:color="FAC396" w:sz="4" w:space="0"/>
          <w:bottom w:val="nil"/>
          <w:right w:val="nil"/>
        </w:tcBorders>
        <w:shd w:val="clear" w:color="FFFFFF" w:fill="auto"/>
      </w:tcPr>
    </w:tblStylePr>
    <w:tblStylePr w:type="band1Vert">
      <w:tcPr>
        <w:shd w:val="clear" w:color="FDE9D8" w:fill="FDE9D8"/>
      </w:tcPr>
    </w:tblStylePr>
    <w:tblStylePr w:type="band1Horz">
      <w:rPr>
        <w:rFonts w:ascii="Arial" w:hAnsi="Arial"/>
        <w:color w:val="B15407"/>
        <w:sz w:val="22"/>
      </w:rPr>
      <w:tcPr>
        <w:shd w:val="clear" w:color="FDE9D8" w:fill="FDE9D8"/>
      </w:tcPr>
    </w:tblStylePr>
    <w:tblStylePr w:type="band2Horz">
      <w:rPr>
        <w:rFonts w:ascii="Arial" w:hAnsi="Arial"/>
        <w:color w:val="B15407"/>
        <w:sz w:val="22"/>
      </w:rPr>
    </w:tblStylePr>
  </w:style>
  <w:style w:type="table" w:customStyle="1" w:styleId="565">
    <w:name w:val="Список-таблица 1 светлая110"/>
    <w:basedOn w:val="13"/>
    <w:uiPriority w:val="99"/>
    <w:rPr>
      <w:sz w:val="22"/>
      <w:szCs w:val="22"/>
      <w:lang w:eastAsia="en-US"/>
    </w:rPr>
    <w:tblPr>
      <w:tblCellMar>
        <w:top w:w="0" w:type="dxa"/>
        <w:left w:w="108" w:type="dxa"/>
        <w:bottom w:w="0" w:type="dxa"/>
        <w:right w:w="108" w:type="dxa"/>
      </w:tblCellMar>
    </w:tblPr>
    <w:tblStylePr w:type="firstRow">
      <w:rPr>
        <w:b/>
        <w:color w:val="404040"/>
      </w:rPr>
      <w:tcPr>
        <w:tcBorders>
          <w:top w:val="nil"/>
          <w:left w:val="nil"/>
          <w:bottom w:val="single" w:color="000000" w:sz="4" w:space="0"/>
          <w:right w:val="nil"/>
        </w:tcBorders>
      </w:tcPr>
    </w:tblStylePr>
    <w:tblStylePr w:type="lastRow">
      <w:rPr>
        <w:b/>
        <w:color w:val="404040"/>
      </w:rPr>
      <w:tcPr>
        <w:tcBorders>
          <w:top w:val="single" w:color="000000" w:sz="4" w:space="0"/>
          <w:left w:val="nil"/>
          <w:bottom w:val="nil"/>
          <w:right w:val="nil"/>
        </w:tcBorders>
      </w:tcPr>
    </w:tblStylePr>
    <w:tblStylePr w:type="firstCol">
      <w:rPr>
        <w:b/>
        <w:color w:val="404040"/>
      </w:rPr>
    </w:tblStylePr>
    <w:tblStylePr w:type="lastCol">
      <w:rPr>
        <w:b/>
        <w:color w:val="404040"/>
      </w:rPr>
    </w:tblStylePr>
    <w:tblStylePr w:type="band1Vert">
      <w:tcPr>
        <w:shd w:val="clear" w:color="BFBFBF" w:fill="BFBFBF"/>
      </w:tcPr>
    </w:tblStylePr>
    <w:tblStylePr w:type="band1Horz">
      <w:tcPr>
        <w:shd w:val="clear" w:color="BFBFBF" w:fill="BFBFBF"/>
      </w:tcPr>
    </w:tblStylePr>
  </w:style>
  <w:style w:type="table" w:customStyle="1" w:styleId="566">
    <w:name w:val="List Table 1 Light - Accent 11"/>
    <w:basedOn w:val="13"/>
    <w:uiPriority w:val="99"/>
    <w:rPr>
      <w:sz w:val="22"/>
      <w:szCs w:val="22"/>
      <w:lang w:eastAsia="en-US"/>
    </w:rPr>
    <w:tblPr>
      <w:tblCellMar>
        <w:top w:w="0" w:type="dxa"/>
        <w:left w:w="108" w:type="dxa"/>
        <w:bottom w:w="0" w:type="dxa"/>
        <w:right w:w="108" w:type="dxa"/>
      </w:tblCellMar>
    </w:tblPr>
    <w:tblStylePr w:type="firstRow">
      <w:rPr>
        <w:b/>
        <w:color w:val="404040"/>
      </w:rPr>
      <w:tcPr>
        <w:tcBorders>
          <w:top w:val="nil"/>
          <w:left w:val="nil"/>
          <w:bottom w:val="single" w:color="4F81BD" w:sz="4" w:space="0"/>
          <w:right w:val="nil"/>
        </w:tcBorders>
      </w:tcPr>
    </w:tblStylePr>
    <w:tblStylePr w:type="lastRow">
      <w:rPr>
        <w:b/>
        <w:color w:val="404040"/>
      </w:rPr>
      <w:tcPr>
        <w:tcBorders>
          <w:top w:val="single" w:color="4F81BD" w:sz="4" w:space="0"/>
          <w:left w:val="nil"/>
          <w:bottom w:val="nil"/>
          <w:right w:val="nil"/>
        </w:tcBorders>
      </w:tcPr>
    </w:tblStylePr>
    <w:tblStylePr w:type="firstCol">
      <w:rPr>
        <w:b/>
        <w:color w:val="404040"/>
      </w:rPr>
    </w:tblStylePr>
    <w:tblStylePr w:type="lastCol">
      <w:rPr>
        <w:b/>
        <w:color w:val="404040"/>
      </w:rPr>
    </w:tblStylePr>
    <w:tblStylePr w:type="band1Vert">
      <w:tcPr>
        <w:shd w:val="clear" w:color="D2DFEE" w:fill="D2DFEE"/>
      </w:tcPr>
    </w:tblStylePr>
    <w:tblStylePr w:type="band1Horz">
      <w:tcPr>
        <w:shd w:val="clear" w:color="D2DFEE" w:fill="D2DFEE"/>
      </w:tcPr>
    </w:tblStylePr>
  </w:style>
  <w:style w:type="table" w:customStyle="1" w:styleId="567">
    <w:name w:val="List Table 1 Light - Accent 21"/>
    <w:basedOn w:val="13"/>
    <w:uiPriority w:val="99"/>
    <w:rPr>
      <w:sz w:val="22"/>
      <w:szCs w:val="22"/>
      <w:lang w:eastAsia="en-US"/>
    </w:rPr>
    <w:tblPr>
      <w:tblCellMar>
        <w:top w:w="0" w:type="dxa"/>
        <w:left w:w="108" w:type="dxa"/>
        <w:bottom w:w="0" w:type="dxa"/>
        <w:right w:w="108" w:type="dxa"/>
      </w:tblCellMar>
    </w:tblPr>
    <w:tblStylePr w:type="firstRow">
      <w:rPr>
        <w:b/>
        <w:color w:val="404040"/>
      </w:rPr>
      <w:tcPr>
        <w:tcBorders>
          <w:top w:val="nil"/>
          <w:left w:val="nil"/>
          <w:bottom w:val="single" w:color="C0504D" w:sz="4" w:space="0"/>
          <w:right w:val="nil"/>
        </w:tcBorders>
      </w:tcPr>
    </w:tblStylePr>
    <w:tblStylePr w:type="lastRow">
      <w:rPr>
        <w:b/>
        <w:color w:val="404040"/>
      </w:rPr>
      <w:tcPr>
        <w:tcBorders>
          <w:top w:val="single" w:color="C0504D" w:sz="4" w:space="0"/>
          <w:left w:val="nil"/>
          <w:bottom w:val="nil"/>
          <w:right w:val="nil"/>
        </w:tcBorders>
      </w:tcPr>
    </w:tblStylePr>
    <w:tblStylePr w:type="firstCol">
      <w:rPr>
        <w:b/>
        <w:color w:val="404040"/>
      </w:rPr>
    </w:tblStylePr>
    <w:tblStylePr w:type="lastCol">
      <w:rPr>
        <w:b/>
        <w:color w:val="404040"/>
      </w:rPr>
    </w:tblStylePr>
    <w:tblStylePr w:type="band1Vert">
      <w:tcPr>
        <w:shd w:val="clear" w:color="EFD2D2" w:fill="EFD2D2"/>
      </w:tcPr>
    </w:tblStylePr>
    <w:tblStylePr w:type="band1Horz">
      <w:tcPr>
        <w:shd w:val="clear" w:color="EFD2D2" w:fill="EFD2D2"/>
      </w:tcPr>
    </w:tblStylePr>
  </w:style>
  <w:style w:type="table" w:customStyle="1" w:styleId="568">
    <w:name w:val="List Table 1 Light - Accent 31"/>
    <w:basedOn w:val="13"/>
    <w:uiPriority w:val="99"/>
    <w:rPr>
      <w:sz w:val="22"/>
      <w:szCs w:val="22"/>
      <w:lang w:eastAsia="en-US"/>
    </w:rPr>
    <w:tblPr>
      <w:tblCellMar>
        <w:top w:w="0" w:type="dxa"/>
        <w:left w:w="108" w:type="dxa"/>
        <w:bottom w:w="0" w:type="dxa"/>
        <w:right w:w="108" w:type="dxa"/>
      </w:tblCellMar>
    </w:tblPr>
    <w:tblStylePr w:type="firstRow">
      <w:rPr>
        <w:b/>
        <w:color w:val="404040"/>
      </w:rPr>
      <w:tcPr>
        <w:tcBorders>
          <w:top w:val="nil"/>
          <w:left w:val="nil"/>
          <w:bottom w:val="single" w:color="9BBB59" w:sz="4" w:space="0"/>
          <w:right w:val="nil"/>
        </w:tcBorders>
      </w:tcPr>
    </w:tblStylePr>
    <w:tblStylePr w:type="lastRow">
      <w:rPr>
        <w:b/>
        <w:color w:val="404040"/>
      </w:rPr>
      <w:tcPr>
        <w:tcBorders>
          <w:top w:val="single" w:color="9BBB59" w:sz="4" w:space="0"/>
          <w:left w:val="nil"/>
          <w:bottom w:val="nil"/>
          <w:right w:val="nil"/>
        </w:tcBorders>
      </w:tcPr>
    </w:tblStylePr>
    <w:tblStylePr w:type="firstCol">
      <w:rPr>
        <w:b/>
        <w:color w:val="404040"/>
      </w:rPr>
    </w:tblStylePr>
    <w:tblStylePr w:type="lastCol">
      <w:rPr>
        <w:b/>
        <w:color w:val="404040"/>
      </w:rPr>
    </w:tblStylePr>
    <w:tblStylePr w:type="band1Vert">
      <w:tcPr>
        <w:shd w:val="clear" w:color="E5EED5" w:fill="E5EED5"/>
      </w:tcPr>
    </w:tblStylePr>
    <w:tblStylePr w:type="band1Horz">
      <w:tcPr>
        <w:shd w:val="clear" w:color="E5EED5" w:fill="E5EED5"/>
      </w:tcPr>
    </w:tblStylePr>
  </w:style>
  <w:style w:type="table" w:customStyle="1" w:styleId="569">
    <w:name w:val="List Table 1 Light - Accent 41"/>
    <w:basedOn w:val="13"/>
    <w:uiPriority w:val="99"/>
    <w:rPr>
      <w:sz w:val="22"/>
      <w:szCs w:val="22"/>
      <w:lang w:eastAsia="en-US"/>
    </w:rPr>
    <w:tblPr>
      <w:tblCellMar>
        <w:top w:w="0" w:type="dxa"/>
        <w:left w:w="108" w:type="dxa"/>
        <w:bottom w:w="0" w:type="dxa"/>
        <w:right w:w="108" w:type="dxa"/>
      </w:tblCellMar>
    </w:tblPr>
    <w:tblStylePr w:type="firstRow">
      <w:rPr>
        <w:b/>
        <w:color w:val="404040"/>
      </w:rPr>
      <w:tcPr>
        <w:tcBorders>
          <w:top w:val="nil"/>
          <w:left w:val="nil"/>
          <w:bottom w:val="single" w:color="8064A2" w:sz="4" w:space="0"/>
          <w:right w:val="nil"/>
        </w:tcBorders>
      </w:tcPr>
    </w:tblStylePr>
    <w:tblStylePr w:type="lastRow">
      <w:rPr>
        <w:b/>
        <w:color w:val="404040"/>
      </w:rPr>
      <w:tcPr>
        <w:tcBorders>
          <w:top w:val="single" w:color="8064A2" w:sz="4" w:space="0"/>
          <w:left w:val="nil"/>
          <w:bottom w:val="nil"/>
          <w:right w:val="nil"/>
        </w:tcBorders>
      </w:tcPr>
    </w:tblStylePr>
    <w:tblStylePr w:type="firstCol">
      <w:rPr>
        <w:b/>
        <w:color w:val="404040"/>
      </w:rPr>
    </w:tblStylePr>
    <w:tblStylePr w:type="lastCol">
      <w:rPr>
        <w:b/>
        <w:color w:val="404040"/>
      </w:rPr>
    </w:tblStylePr>
    <w:tblStylePr w:type="band1Vert">
      <w:tcPr>
        <w:shd w:val="clear" w:color="DFD8E7" w:fill="DFD8E7"/>
      </w:tcPr>
    </w:tblStylePr>
    <w:tblStylePr w:type="band1Horz">
      <w:tcPr>
        <w:shd w:val="clear" w:color="DFD8E7" w:fill="DFD8E7"/>
      </w:tcPr>
    </w:tblStylePr>
  </w:style>
  <w:style w:type="table" w:customStyle="1" w:styleId="570">
    <w:name w:val="List Table 1 Light - Accent 51"/>
    <w:basedOn w:val="13"/>
    <w:uiPriority w:val="99"/>
    <w:rPr>
      <w:sz w:val="22"/>
      <w:szCs w:val="22"/>
      <w:lang w:eastAsia="en-US"/>
    </w:rPr>
    <w:tblPr>
      <w:tblCellMar>
        <w:top w:w="0" w:type="dxa"/>
        <w:left w:w="108" w:type="dxa"/>
        <w:bottom w:w="0" w:type="dxa"/>
        <w:right w:w="108" w:type="dxa"/>
      </w:tblCellMar>
    </w:tblPr>
    <w:tblStylePr w:type="firstRow">
      <w:rPr>
        <w:b/>
        <w:color w:val="404040"/>
      </w:rPr>
      <w:tcPr>
        <w:tcBorders>
          <w:top w:val="nil"/>
          <w:left w:val="nil"/>
          <w:bottom w:val="single" w:color="4BACC6" w:sz="4" w:space="0"/>
          <w:right w:val="nil"/>
        </w:tcBorders>
      </w:tcPr>
    </w:tblStylePr>
    <w:tblStylePr w:type="lastRow">
      <w:rPr>
        <w:b/>
        <w:color w:val="404040"/>
      </w:rPr>
      <w:tcPr>
        <w:tcBorders>
          <w:top w:val="single" w:color="4BACC6" w:sz="4" w:space="0"/>
          <w:left w:val="nil"/>
          <w:bottom w:val="nil"/>
          <w:right w:val="nil"/>
        </w:tcBorders>
      </w:tcPr>
    </w:tblStylePr>
    <w:tblStylePr w:type="firstCol">
      <w:rPr>
        <w:b/>
        <w:color w:val="404040"/>
      </w:rPr>
    </w:tblStylePr>
    <w:tblStylePr w:type="lastCol">
      <w:rPr>
        <w:b/>
        <w:color w:val="404040"/>
      </w:rPr>
    </w:tblStylePr>
    <w:tblStylePr w:type="band1Vert">
      <w:tcPr>
        <w:shd w:val="clear" w:color="D1EAF0" w:fill="D1EAF0"/>
      </w:tcPr>
    </w:tblStylePr>
    <w:tblStylePr w:type="band1Horz">
      <w:tcPr>
        <w:shd w:val="clear" w:color="D1EAF0" w:fill="D1EAF0"/>
      </w:tcPr>
    </w:tblStylePr>
  </w:style>
  <w:style w:type="table" w:customStyle="1" w:styleId="571">
    <w:name w:val="List Table 1 Light - Accent 61"/>
    <w:basedOn w:val="13"/>
    <w:uiPriority w:val="99"/>
    <w:rPr>
      <w:sz w:val="22"/>
      <w:szCs w:val="22"/>
      <w:lang w:eastAsia="en-US"/>
    </w:rPr>
    <w:tblPr>
      <w:tblCellMar>
        <w:top w:w="0" w:type="dxa"/>
        <w:left w:w="108" w:type="dxa"/>
        <w:bottom w:w="0" w:type="dxa"/>
        <w:right w:w="108" w:type="dxa"/>
      </w:tblCellMar>
    </w:tblPr>
    <w:tblStylePr w:type="firstRow">
      <w:rPr>
        <w:b/>
        <w:color w:val="404040"/>
      </w:rPr>
      <w:tcPr>
        <w:tcBorders>
          <w:top w:val="nil"/>
          <w:left w:val="nil"/>
          <w:bottom w:val="single" w:color="F79646" w:sz="4" w:space="0"/>
          <w:right w:val="nil"/>
        </w:tcBorders>
      </w:tcPr>
    </w:tblStylePr>
    <w:tblStylePr w:type="lastRow">
      <w:rPr>
        <w:b/>
        <w:color w:val="404040"/>
      </w:rPr>
      <w:tcPr>
        <w:tcBorders>
          <w:top w:val="single" w:color="F79646" w:sz="4" w:space="0"/>
          <w:left w:val="nil"/>
          <w:bottom w:val="nil"/>
          <w:right w:val="nil"/>
        </w:tcBorders>
      </w:tcPr>
    </w:tblStylePr>
    <w:tblStylePr w:type="firstCol">
      <w:rPr>
        <w:b/>
        <w:color w:val="404040"/>
      </w:rPr>
    </w:tblStylePr>
    <w:tblStylePr w:type="lastCol">
      <w:rPr>
        <w:b/>
        <w:color w:val="404040"/>
      </w:rPr>
    </w:tblStylePr>
    <w:tblStylePr w:type="band1Vert">
      <w:tcPr>
        <w:shd w:val="clear" w:color="FDE4D0" w:fill="FDE4D0"/>
      </w:tcPr>
    </w:tblStylePr>
    <w:tblStylePr w:type="band1Horz">
      <w:tcPr>
        <w:shd w:val="clear" w:color="FDE4D0" w:fill="FDE4D0"/>
      </w:tcPr>
    </w:tblStylePr>
  </w:style>
  <w:style w:type="table" w:customStyle="1" w:styleId="572">
    <w:name w:val="Список-таблица 2110"/>
    <w:basedOn w:val="13"/>
    <w:uiPriority w:val="99"/>
    <w:rPr>
      <w:sz w:val="22"/>
      <w:szCs w:val="22"/>
      <w:lang w:eastAsia="en-US"/>
    </w:rPr>
    <w:tblPr>
      <w:tblBorders>
        <w:top w:val="single" w:color="6F6F6F" w:sz="4" w:space="0"/>
        <w:bottom w:val="single" w:color="6F6F6F" w:sz="4" w:space="0"/>
        <w:insideH w:val="single" w:color="6F6F6F" w:sz="4" w:space="0"/>
      </w:tblBorders>
      <w:tblCellMar>
        <w:top w:w="0" w:type="dxa"/>
        <w:left w:w="108" w:type="dxa"/>
        <w:bottom w:w="0" w:type="dxa"/>
        <w:right w:w="108" w:type="dxa"/>
      </w:tblCellMar>
    </w:tblPr>
    <w:tblStylePr w:type="firstRow">
      <w:rPr>
        <w:rFonts w:ascii="Arial" w:hAnsi="Arial"/>
        <w:b/>
        <w:color w:val="404040"/>
        <w:sz w:val="22"/>
      </w:rPr>
      <w:tcPr>
        <w:tcBorders>
          <w:top w:val="single" w:color="6F6F6F" w:sz="4" w:space="0"/>
          <w:left w:val="nil"/>
          <w:bottom w:val="single" w:color="6F6F6F" w:sz="4" w:space="0"/>
          <w:right w:val="nil"/>
        </w:tcBorders>
      </w:tcPr>
    </w:tblStylePr>
    <w:tblStylePr w:type="lastRow">
      <w:rPr>
        <w:rFonts w:ascii="Arial" w:hAnsi="Arial"/>
        <w:b/>
        <w:color w:val="404040"/>
        <w:sz w:val="22"/>
      </w:rPr>
      <w:tcPr>
        <w:tcBorders>
          <w:top w:val="single" w:color="6F6F6F" w:sz="4" w:space="0"/>
          <w:left w:val="nil"/>
          <w:bottom w:val="single" w:color="6F6F6F"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BFBFBF" w:fill="BFBFBF"/>
      </w:tcPr>
    </w:tblStylePr>
    <w:tblStylePr w:type="band1Horz">
      <w:rPr>
        <w:rFonts w:ascii="Arial" w:hAnsi="Arial"/>
        <w:color w:val="404040"/>
        <w:sz w:val="22"/>
      </w:rPr>
      <w:tcPr>
        <w:shd w:val="clear" w:color="BFBFBF" w:fill="BFBFBF"/>
      </w:tcPr>
    </w:tblStylePr>
  </w:style>
  <w:style w:type="table" w:customStyle="1" w:styleId="573">
    <w:name w:val="List Table 2 - Accent 11"/>
    <w:basedOn w:val="13"/>
    <w:uiPriority w:val="99"/>
    <w:rPr>
      <w:sz w:val="22"/>
      <w:szCs w:val="22"/>
      <w:lang w:eastAsia="en-US"/>
    </w:rPr>
    <w:tblPr>
      <w:tblBorders>
        <w:top w:val="single" w:color="9BB7D9" w:sz="4" w:space="0"/>
        <w:bottom w:val="single" w:color="9BB7D9" w:sz="4" w:space="0"/>
        <w:insideH w:val="single" w:color="9BB7D9" w:sz="4" w:space="0"/>
      </w:tblBorders>
      <w:tblCellMar>
        <w:top w:w="0" w:type="dxa"/>
        <w:left w:w="108" w:type="dxa"/>
        <w:bottom w:w="0" w:type="dxa"/>
        <w:right w:w="108" w:type="dxa"/>
      </w:tblCellMar>
    </w:tblPr>
    <w:tblStylePr w:type="firstRow">
      <w:rPr>
        <w:rFonts w:ascii="Arial" w:hAnsi="Arial"/>
        <w:b/>
        <w:color w:val="404040"/>
        <w:sz w:val="22"/>
      </w:rPr>
      <w:tcPr>
        <w:tcBorders>
          <w:top w:val="single" w:color="9BB7D9" w:sz="4" w:space="0"/>
          <w:left w:val="nil"/>
          <w:bottom w:val="single" w:color="9BB7D9" w:sz="4" w:space="0"/>
          <w:right w:val="nil"/>
        </w:tcBorders>
      </w:tcPr>
    </w:tblStylePr>
    <w:tblStylePr w:type="lastRow">
      <w:rPr>
        <w:rFonts w:ascii="Arial" w:hAnsi="Arial"/>
        <w:b/>
        <w:color w:val="404040"/>
        <w:sz w:val="22"/>
      </w:rPr>
      <w:tcPr>
        <w:tcBorders>
          <w:top w:val="single" w:color="9BB7D9" w:sz="4" w:space="0"/>
          <w:left w:val="nil"/>
          <w:bottom w:val="single" w:color="9BB7D9"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D2DFEE" w:fill="D2DFEE"/>
      </w:tcPr>
    </w:tblStylePr>
    <w:tblStylePr w:type="band1Horz">
      <w:rPr>
        <w:rFonts w:ascii="Arial" w:hAnsi="Arial"/>
        <w:color w:val="404040"/>
        <w:sz w:val="22"/>
      </w:rPr>
      <w:tcPr>
        <w:shd w:val="clear" w:color="D2DFEE" w:fill="D2DFEE"/>
      </w:tcPr>
    </w:tblStylePr>
  </w:style>
  <w:style w:type="table" w:customStyle="1" w:styleId="574">
    <w:name w:val="List Table 2 - Accent 21"/>
    <w:basedOn w:val="13"/>
    <w:uiPriority w:val="99"/>
    <w:rPr>
      <w:sz w:val="22"/>
      <w:szCs w:val="22"/>
      <w:lang w:eastAsia="en-US"/>
    </w:rPr>
    <w:tblPr>
      <w:tblBorders>
        <w:top w:val="single" w:color="DB9B9A" w:sz="4" w:space="0"/>
        <w:bottom w:val="single" w:color="DB9B9A" w:sz="4" w:space="0"/>
        <w:insideH w:val="single" w:color="DB9B9A" w:sz="4" w:space="0"/>
      </w:tblBorders>
      <w:tblCellMar>
        <w:top w:w="0" w:type="dxa"/>
        <w:left w:w="108" w:type="dxa"/>
        <w:bottom w:w="0" w:type="dxa"/>
        <w:right w:w="108" w:type="dxa"/>
      </w:tblCellMar>
    </w:tblPr>
    <w:tblStylePr w:type="firstRow">
      <w:rPr>
        <w:rFonts w:ascii="Arial" w:hAnsi="Arial"/>
        <w:b/>
        <w:color w:val="404040"/>
        <w:sz w:val="22"/>
      </w:rPr>
      <w:tcPr>
        <w:tcBorders>
          <w:top w:val="single" w:color="DB9B9A" w:sz="4" w:space="0"/>
          <w:left w:val="nil"/>
          <w:bottom w:val="single" w:color="DB9B9A" w:sz="4" w:space="0"/>
          <w:right w:val="nil"/>
        </w:tcBorders>
      </w:tcPr>
    </w:tblStylePr>
    <w:tblStylePr w:type="lastRow">
      <w:rPr>
        <w:rFonts w:ascii="Arial" w:hAnsi="Arial"/>
        <w:b/>
        <w:color w:val="404040"/>
        <w:sz w:val="22"/>
      </w:rPr>
      <w:tcPr>
        <w:tcBorders>
          <w:top w:val="single" w:color="DB9B9A" w:sz="4" w:space="0"/>
          <w:left w:val="nil"/>
          <w:bottom w:val="single" w:color="DB9B9A"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EFD2D2" w:fill="EFD2D2"/>
      </w:tcPr>
    </w:tblStylePr>
    <w:tblStylePr w:type="band1Horz">
      <w:rPr>
        <w:rFonts w:ascii="Arial" w:hAnsi="Arial"/>
        <w:color w:val="404040"/>
        <w:sz w:val="22"/>
      </w:rPr>
      <w:tcPr>
        <w:shd w:val="clear" w:color="EFD2D2" w:fill="EFD2D2"/>
      </w:tcPr>
    </w:tblStylePr>
  </w:style>
  <w:style w:type="table" w:customStyle="1" w:styleId="575">
    <w:name w:val="List Table 2 - Accent 31"/>
    <w:basedOn w:val="13"/>
    <w:uiPriority w:val="99"/>
    <w:rPr>
      <w:sz w:val="22"/>
      <w:szCs w:val="22"/>
      <w:lang w:eastAsia="en-US"/>
    </w:rPr>
    <w:tblPr>
      <w:tblBorders>
        <w:top w:val="single" w:color="C6D8A1" w:sz="4" w:space="0"/>
        <w:bottom w:val="single" w:color="C6D8A1" w:sz="4" w:space="0"/>
        <w:insideH w:val="single" w:color="C6D8A1" w:sz="4" w:space="0"/>
      </w:tblBorders>
      <w:tblCellMar>
        <w:top w:w="0" w:type="dxa"/>
        <w:left w:w="108" w:type="dxa"/>
        <w:bottom w:w="0" w:type="dxa"/>
        <w:right w:w="108" w:type="dxa"/>
      </w:tblCellMar>
    </w:tblPr>
    <w:tblStylePr w:type="firstRow">
      <w:rPr>
        <w:rFonts w:ascii="Arial" w:hAnsi="Arial"/>
        <w:b/>
        <w:color w:val="404040"/>
        <w:sz w:val="22"/>
      </w:rPr>
      <w:tcPr>
        <w:tcBorders>
          <w:top w:val="single" w:color="C6D8A1" w:sz="4" w:space="0"/>
          <w:left w:val="nil"/>
          <w:bottom w:val="single" w:color="C6D8A1" w:sz="4" w:space="0"/>
          <w:right w:val="nil"/>
        </w:tcBorders>
      </w:tcPr>
    </w:tblStylePr>
    <w:tblStylePr w:type="lastRow">
      <w:rPr>
        <w:rFonts w:ascii="Arial" w:hAnsi="Arial"/>
        <w:b/>
        <w:color w:val="404040"/>
        <w:sz w:val="22"/>
      </w:rPr>
      <w:tcPr>
        <w:tcBorders>
          <w:top w:val="single" w:color="C6D8A1" w:sz="4" w:space="0"/>
          <w:left w:val="nil"/>
          <w:bottom w:val="single" w:color="C6D8A1"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E5EED5" w:fill="E5EED5"/>
      </w:tcPr>
    </w:tblStylePr>
    <w:tblStylePr w:type="band1Horz">
      <w:rPr>
        <w:rFonts w:ascii="Arial" w:hAnsi="Arial"/>
        <w:color w:val="404040"/>
        <w:sz w:val="22"/>
      </w:rPr>
      <w:tcPr>
        <w:shd w:val="clear" w:color="E5EED5" w:fill="E5EED5"/>
      </w:tcPr>
    </w:tblStylePr>
  </w:style>
  <w:style w:type="table" w:customStyle="1" w:styleId="576">
    <w:name w:val="List Table 2 - Accent 41"/>
    <w:basedOn w:val="13"/>
    <w:uiPriority w:val="99"/>
    <w:rPr>
      <w:sz w:val="22"/>
      <w:szCs w:val="22"/>
      <w:lang w:eastAsia="en-US"/>
    </w:rPr>
    <w:tblPr>
      <w:tblBorders>
        <w:top w:val="single" w:color="B7A7CA" w:sz="4" w:space="0"/>
        <w:bottom w:val="single" w:color="B7A7CA" w:sz="4" w:space="0"/>
        <w:insideH w:val="single" w:color="B7A7CA" w:sz="4" w:space="0"/>
      </w:tblBorders>
      <w:tblCellMar>
        <w:top w:w="0" w:type="dxa"/>
        <w:left w:w="108" w:type="dxa"/>
        <w:bottom w:w="0" w:type="dxa"/>
        <w:right w:w="108" w:type="dxa"/>
      </w:tblCellMar>
    </w:tblPr>
    <w:tblStylePr w:type="firstRow">
      <w:rPr>
        <w:rFonts w:ascii="Arial" w:hAnsi="Arial"/>
        <w:b/>
        <w:color w:val="404040"/>
        <w:sz w:val="22"/>
      </w:rPr>
      <w:tcPr>
        <w:tcBorders>
          <w:top w:val="single" w:color="B7A7CA" w:sz="4" w:space="0"/>
          <w:left w:val="nil"/>
          <w:bottom w:val="single" w:color="B7A7CA" w:sz="4" w:space="0"/>
          <w:right w:val="nil"/>
        </w:tcBorders>
      </w:tcPr>
    </w:tblStylePr>
    <w:tblStylePr w:type="lastRow">
      <w:rPr>
        <w:rFonts w:ascii="Arial" w:hAnsi="Arial"/>
        <w:b/>
        <w:color w:val="404040"/>
        <w:sz w:val="22"/>
      </w:rPr>
      <w:tcPr>
        <w:tcBorders>
          <w:top w:val="single" w:color="B7A7CA" w:sz="4" w:space="0"/>
          <w:left w:val="nil"/>
          <w:bottom w:val="single" w:color="B7A7CA"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DFD8E7" w:fill="DFD8E7"/>
      </w:tcPr>
    </w:tblStylePr>
    <w:tblStylePr w:type="band1Horz">
      <w:rPr>
        <w:rFonts w:ascii="Arial" w:hAnsi="Arial"/>
        <w:color w:val="404040"/>
        <w:sz w:val="22"/>
      </w:rPr>
      <w:tcPr>
        <w:shd w:val="clear" w:color="DFD8E7" w:fill="DFD8E7"/>
      </w:tcPr>
    </w:tblStylePr>
  </w:style>
  <w:style w:type="table" w:customStyle="1" w:styleId="577">
    <w:name w:val="List Table 2 - Accent 51"/>
    <w:basedOn w:val="13"/>
    <w:uiPriority w:val="99"/>
    <w:rPr>
      <w:sz w:val="22"/>
      <w:szCs w:val="22"/>
      <w:lang w:eastAsia="en-US"/>
    </w:rPr>
    <w:tblPr>
      <w:tblBorders>
        <w:top w:val="single" w:color="99D0DE" w:sz="4" w:space="0"/>
        <w:bottom w:val="single" w:color="99D0DE" w:sz="4" w:space="0"/>
        <w:insideH w:val="single" w:color="99D0DE" w:sz="4" w:space="0"/>
      </w:tblBorders>
      <w:tblCellMar>
        <w:top w:w="0" w:type="dxa"/>
        <w:left w:w="108" w:type="dxa"/>
        <w:bottom w:w="0" w:type="dxa"/>
        <w:right w:w="108" w:type="dxa"/>
      </w:tblCellMar>
    </w:tblPr>
    <w:tblStylePr w:type="firstRow">
      <w:rPr>
        <w:rFonts w:ascii="Arial" w:hAnsi="Arial"/>
        <w:b/>
        <w:color w:val="404040"/>
        <w:sz w:val="22"/>
      </w:rPr>
      <w:tcPr>
        <w:tcBorders>
          <w:top w:val="single" w:color="99D0DE" w:sz="4" w:space="0"/>
          <w:left w:val="nil"/>
          <w:bottom w:val="single" w:color="99D0DE" w:sz="4" w:space="0"/>
          <w:right w:val="nil"/>
        </w:tcBorders>
      </w:tcPr>
    </w:tblStylePr>
    <w:tblStylePr w:type="lastRow">
      <w:rPr>
        <w:rFonts w:ascii="Arial" w:hAnsi="Arial"/>
        <w:b/>
        <w:color w:val="404040"/>
        <w:sz w:val="22"/>
      </w:rPr>
      <w:tcPr>
        <w:tcBorders>
          <w:top w:val="single" w:color="99D0DE" w:sz="4" w:space="0"/>
          <w:left w:val="nil"/>
          <w:bottom w:val="single" w:color="99D0DE"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D1EAF0" w:fill="D1EAF0"/>
      </w:tcPr>
    </w:tblStylePr>
    <w:tblStylePr w:type="band1Horz">
      <w:rPr>
        <w:rFonts w:ascii="Arial" w:hAnsi="Arial"/>
        <w:color w:val="404040"/>
        <w:sz w:val="22"/>
      </w:rPr>
      <w:tcPr>
        <w:shd w:val="clear" w:color="D1EAF0" w:fill="D1EAF0"/>
      </w:tcPr>
    </w:tblStylePr>
  </w:style>
  <w:style w:type="table" w:customStyle="1" w:styleId="578">
    <w:name w:val="List Table 2 - Accent 61"/>
    <w:basedOn w:val="13"/>
    <w:uiPriority w:val="99"/>
    <w:rPr>
      <w:sz w:val="22"/>
      <w:szCs w:val="22"/>
      <w:lang w:eastAsia="en-US"/>
    </w:rPr>
    <w:tblPr>
      <w:tblBorders>
        <w:top w:val="single" w:color="FAC396" w:sz="4" w:space="0"/>
        <w:bottom w:val="single" w:color="FAC396" w:sz="4" w:space="0"/>
        <w:insideH w:val="single" w:color="FAC396" w:sz="4" w:space="0"/>
      </w:tblBorders>
      <w:tblCellMar>
        <w:top w:w="0" w:type="dxa"/>
        <w:left w:w="108" w:type="dxa"/>
        <w:bottom w:w="0" w:type="dxa"/>
        <w:right w:w="108" w:type="dxa"/>
      </w:tblCellMar>
    </w:tblPr>
    <w:tblStylePr w:type="firstRow">
      <w:rPr>
        <w:rFonts w:ascii="Arial" w:hAnsi="Arial"/>
        <w:b/>
        <w:color w:val="404040"/>
        <w:sz w:val="22"/>
      </w:rPr>
      <w:tcPr>
        <w:tcBorders>
          <w:top w:val="single" w:color="FAC396" w:sz="4" w:space="0"/>
          <w:left w:val="nil"/>
          <w:bottom w:val="single" w:color="FAC396" w:sz="4" w:space="0"/>
          <w:right w:val="nil"/>
        </w:tcBorders>
      </w:tcPr>
    </w:tblStylePr>
    <w:tblStylePr w:type="lastRow">
      <w:rPr>
        <w:rFonts w:ascii="Arial" w:hAnsi="Arial"/>
        <w:b/>
        <w:color w:val="404040"/>
        <w:sz w:val="22"/>
      </w:rPr>
      <w:tcPr>
        <w:tcBorders>
          <w:top w:val="single" w:color="FAC396" w:sz="4" w:space="0"/>
          <w:left w:val="nil"/>
          <w:bottom w:val="single" w:color="FAC396"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FDE4D0" w:fill="FDE4D0"/>
      </w:tcPr>
    </w:tblStylePr>
    <w:tblStylePr w:type="band1Horz">
      <w:rPr>
        <w:rFonts w:ascii="Arial" w:hAnsi="Arial"/>
        <w:color w:val="404040"/>
        <w:sz w:val="22"/>
      </w:rPr>
      <w:tcPr>
        <w:shd w:val="clear" w:color="FDE4D0" w:fill="FDE4D0"/>
      </w:tcPr>
    </w:tblStylePr>
  </w:style>
  <w:style w:type="table" w:customStyle="1" w:styleId="579">
    <w:name w:val="Список-таблица 3110"/>
    <w:basedOn w:val="13"/>
    <w:uiPriority w:val="99"/>
    <w:rPr>
      <w:sz w:val="22"/>
      <w:szCs w:val="22"/>
      <w:lang w:eastAsia="en-US"/>
    </w:rPr>
    <w:tblPr>
      <w:tblBorders>
        <w:top w:val="single" w:color="000000" w:sz="4" w:space="0"/>
        <w:left w:val="single" w:color="000000" w:sz="4" w:space="0"/>
        <w:bottom w:val="single" w:color="000000" w:sz="4" w:space="0"/>
        <w:right w:val="single" w:color="000000" w:sz="4" w:space="0"/>
      </w:tblBorders>
      <w:tblCellMar>
        <w:top w:w="0" w:type="dxa"/>
        <w:left w:w="108" w:type="dxa"/>
        <w:bottom w:w="0" w:type="dxa"/>
        <w:right w:w="108" w:type="dxa"/>
      </w:tblCellMar>
    </w:tblPr>
    <w:tblStylePr w:type="firstRow">
      <w:rPr>
        <w:rFonts w:ascii="Arial" w:hAnsi="Arial"/>
        <w:b/>
        <w:color w:val="FFFFFF"/>
        <w:sz w:val="22"/>
      </w:r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000000" w:sz="4" w:space="0"/>
          <w:right w:val="single" w:color="000000" w:sz="4" w:space="0"/>
        </w:tcBorders>
      </w:tcPr>
    </w:tblStylePr>
    <w:tblStylePr w:type="band1Horz">
      <w:rPr>
        <w:rFonts w:ascii="Arial" w:hAnsi="Arial"/>
        <w:color w:val="404040"/>
        <w:sz w:val="22"/>
      </w:rPr>
      <w:tcPr>
        <w:tcBorders>
          <w:top w:val="single" w:color="000000" w:sz="4" w:space="0"/>
          <w:bottom w:val="single" w:color="000000" w:sz="4" w:space="0"/>
        </w:tcBorders>
      </w:tcPr>
    </w:tblStylePr>
  </w:style>
  <w:style w:type="table" w:customStyle="1" w:styleId="580">
    <w:name w:val="List Table 3 - Accent 11"/>
    <w:basedOn w:val="13"/>
    <w:uiPriority w:val="99"/>
    <w:rPr>
      <w:sz w:val="22"/>
      <w:szCs w:val="22"/>
      <w:lang w:eastAsia="en-US"/>
    </w:rPr>
    <w:tblPr>
      <w:tblBorders>
        <w:top w:val="single" w:color="4F81BD" w:sz="4" w:space="0"/>
        <w:left w:val="single" w:color="4F81BD" w:sz="4" w:space="0"/>
        <w:bottom w:val="single" w:color="4F81BD" w:sz="4" w:space="0"/>
        <w:right w:val="single" w:color="4F81BD" w:sz="4" w:space="0"/>
      </w:tblBorders>
      <w:tblCellMar>
        <w:top w:w="0" w:type="dxa"/>
        <w:left w:w="108" w:type="dxa"/>
        <w:bottom w:w="0" w:type="dxa"/>
        <w:right w:w="108" w:type="dxa"/>
      </w:tblCellMar>
    </w:tblPr>
    <w:tblStylePr w:type="firstRow">
      <w:rPr>
        <w:rFonts w:ascii="Arial" w:hAnsi="Arial"/>
        <w:b/>
        <w:color w:val="FFFFFF"/>
        <w:sz w:val="22"/>
      </w:rPr>
      <w:tcPr>
        <w:shd w:val="clear" w:color="4F81BD"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4F81BD" w:sz="4" w:space="0"/>
          <w:right w:val="single" w:color="4F81BD" w:sz="4" w:space="0"/>
        </w:tcBorders>
      </w:tcPr>
    </w:tblStylePr>
    <w:tblStylePr w:type="band1Horz">
      <w:rPr>
        <w:rFonts w:ascii="Arial" w:hAnsi="Arial"/>
        <w:color w:val="404040"/>
        <w:sz w:val="22"/>
      </w:rPr>
      <w:tcPr>
        <w:tcBorders>
          <w:top w:val="single" w:color="4F81BD" w:sz="4" w:space="0"/>
          <w:bottom w:val="single" w:color="4F81BD" w:sz="4" w:space="0"/>
        </w:tcBorders>
      </w:tcPr>
    </w:tblStylePr>
  </w:style>
  <w:style w:type="table" w:customStyle="1" w:styleId="581">
    <w:name w:val="List Table 3 - Accent 21"/>
    <w:basedOn w:val="13"/>
    <w:uiPriority w:val="99"/>
    <w:rPr>
      <w:sz w:val="22"/>
      <w:szCs w:val="22"/>
      <w:lang w:eastAsia="en-US"/>
    </w:rPr>
    <w:tblPr>
      <w:tblBorders>
        <w:top w:val="single" w:color="D99695" w:sz="4" w:space="0"/>
        <w:left w:val="single" w:color="D99695" w:sz="4" w:space="0"/>
        <w:bottom w:val="single" w:color="D99695" w:sz="4" w:space="0"/>
        <w:right w:val="single" w:color="D99695" w:sz="4" w:space="0"/>
      </w:tblBorders>
      <w:tblCellMar>
        <w:top w:w="0" w:type="dxa"/>
        <w:left w:w="108" w:type="dxa"/>
        <w:bottom w:w="0" w:type="dxa"/>
        <w:right w:w="108" w:type="dxa"/>
      </w:tblCellMar>
    </w:tblPr>
    <w:tblStylePr w:type="firstRow">
      <w:rPr>
        <w:rFonts w:ascii="Arial" w:hAnsi="Arial"/>
        <w:b/>
        <w:color w:val="FFFFFF"/>
        <w:sz w:val="22"/>
      </w:rPr>
      <w:tcPr>
        <w:shd w:val="clear" w:color="D99695" w:fill="D9969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D99695" w:sz="4" w:space="0"/>
          <w:right w:val="single" w:color="D99695" w:sz="4" w:space="0"/>
        </w:tcBorders>
      </w:tcPr>
    </w:tblStylePr>
    <w:tblStylePr w:type="band1Horz">
      <w:rPr>
        <w:rFonts w:ascii="Arial" w:hAnsi="Arial"/>
        <w:color w:val="404040"/>
        <w:sz w:val="22"/>
      </w:rPr>
      <w:tcPr>
        <w:tcBorders>
          <w:top w:val="single" w:color="D99695" w:sz="4" w:space="0"/>
          <w:bottom w:val="single" w:color="D99695" w:sz="4" w:space="0"/>
        </w:tcBorders>
      </w:tcPr>
    </w:tblStylePr>
  </w:style>
  <w:style w:type="table" w:customStyle="1" w:styleId="582">
    <w:name w:val="List Table 3 - Accent 31"/>
    <w:basedOn w:val="13"/>
    <w:uiPriority w:val="99"/>
    <w:rPr>
      <w:sz w:val="22"/>
      <w:szCs w:val="22"/>
      <w:lang w:eastAsia="en-US"/>
    </w:rPr>
    <w:tblPr>
      <w:tblBorders>
        <w:top w:val="single" w:color="C3D69B" w:sz="4" w:space="0"/>
        <w:left w:val="single" w:color="C3D69B" w:sz="4" w:space="0"/>
        <w:bottom w:val="single" w:color="C3D69B" w:sz="4" w:space="0"/>
        <w:right w:val="single" w:color="C3D69B" w:sz="4" w:space="0"/>
      </w:tblBorders>
      <w:tblCellMar>
        <w:top w:w="0" w:type="dxa"/>
        <w:left w:w="108" w:type="dxa"/>
        <w:bottom w:w="0" w:type="dxa"/>
        <w:right w:w="108" w:type="dxa"/>
      </w:tblCellMar>
    </w:tblPr>
    <w:tblStylePr w:type="firstRow">
      <w:rPr>
        <w:rFonts w:ascii="Arial" w:hAnsi="Arial"/>
        <w:b/>
        <w:color w:val="FFFFFF"/>
        <w:sz w:val="22"/>
      </w:rPr>
      <w:tcPr>
        <w:shd w:val="clear" w:color="C3D69B" w:fill="C3D69B"/>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C3D69B" w:sz="4" w:space="0"/>
          <w:right w:val="single" w:color="C3D69B" w:sz="4" w:space="0"/>
        </w:tcBorders>
      </w:tcPr>
    </w:tblStylePr>
    <w:tblStylePr w:type="band1Horz">
      <w:rPr>
        <w:rFonts w:ascii="Arial" w:hAnsi="Arial"/>
        <w:color w:val="404040"/>
        <w:sz w:val="22"/>
      </w:rPr>
      <w:tcPr>
        <w:tcBorders>
          <w:top w:val="single" w:color="C3D69B" w:sz="4" w:space="0"/>
          <w:bottom w:val="single" w:color="C3D69B" w:sz="4" w:space="0"/>
        </w:tcBorders>
      </w:tcPr>
    </w:tblStylePr>
  </w:style>
  <w:style w:type="table" w:customStyle="1" w:styleId="583">
    <w:name w:val="List Table 3 - Accent 41"/>
    <w:basedOn w:val="13"/>
    <w:uiPriority w:val="99"/>
    <w:rPr>
      <w:sz w:val="22"/>
      <w:szCs w:val="22"/>
      <w:lang w:eastAsia="en-US"/>
    </w:rPr>
    <w:tblPr>
      <w:tblBorders>
        <w:top w:val="single" w:color="B2A1C6" w:sz="4" w:space="0"/>
        <w:left w:val="single" w:color="B2A1C6" w:sz="4" w:space="0"/>
        <w:bottom w:val="single" w:color="B2A1C6" w:sz="4" w:space="0"/>
        <w:right w:val="single" w:color="B2A1C6" w:sz="4" w:space="0"/>
      </w:tblBorders>
      <w:tblCellMar>
        <w:top w:w="0" w:type="dxa"/>
        <w:left w:w="108" w:type="dxa"/>
        <w:bottom w:w="0" w:type="dxa"/>
        <w:right w:w="108" w:type="dxa"/>
      </w:tblCellMar>
    </w:tblPr>
    <w:tblStylePr w:type="firstRow">
      <w:rPr>
        <w:rFonts w:ascii="Arial" w:hAnsi="Arial"/>
        <w:b/>
        <w:color w:val="FFFFFF"/>
        <w:sz w:val="22"/>
      </w:rPr>
      <w:tcPr>
        <w:shd w:val="clear" w:color="B2A1C6" w:fill="B2A1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B2A1C6" w:sz="4" w:space="0"/>
          <w:right w:val="single" w:color="B2A1C6" w:sz="4" w:space="0"/>
        </w:tcBorders>
      </w:tcPr>
    </w:tblStylePr>
    <w:tblStylePr w:type="band1Horz">
      <w:rPr>
        <w:rFonts w:ascii="Arial" w:hAnsi="Arial"/>
        <w:color w:val="404040"/>
        <w:sz w:val="22"/>
      </w:rPr>
      <w:tcPr>
        <w:tcBorders>
          <w:top w:val="single" w:color="B2A1C6" w:sz="4" w:space="0"/>
          <w:bottom w:val="single" w:color="B2A1C6" w:sz="4" w:space="0"/>
        </w:tcBorders>
      </w:tcPr>
    </w:tblStylePr>
  </w:style>
  <w:style w:type="table" w:customStyle="1" w:styleId="584">
    <w:name w:val="List Table 3 - Accent 51"/>
    <w:basedOn w:val="13"/>
    <w:uiPriority w:val="99"/>
    <w:rPr>
      <w:sz w:val="22"/>
      <w:szCs w:val="22"/>
      <w:lang w:eastAsia="en-US"/>
    </w:rPr>
    <w:tblPr>
      <w:tblBorders>
        <w:top w:val="single" w:color="92CCDC" w:sz="4" w:space="0"/>
        <w:left w:val="single" w:color="92CCDC" w:sz="4" w:space="0"/>
        <w:bottom w:val="single" w:color="92CCDC" w:sz="4" w:space="0"/>
        <w:right w:val="single" w:color="92CCDC" w:sz="4" w:space="0"/>
      </w:tblBorders>
      <w:tblCellMar>
        <w:top w:w="0" w:type="dxa"/>
        <w:left w:w="108" w:type="dxa"/>
        <w:bottom w:w="0" w:type="dxa"/>
        <w:right w:w="108" w:type="dxa"/>
      </w:tblCellMar>
    </w:tblPr>
    <w:tblStylePr w:type="firstRow">
      <w:rPr>
        <w:rFonts w:ascii="Arial" w:hAnsi="Arial"/>
        <w:b/>
        <w:color w:val="FFFFFF"/>
        <w:sz w:val="22"/>
      </w:rPr>
      <w:tcPr>
        <w:shd w:val="clear" w:color="92CCDC" w:fill="92CCDC"/>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92CCDC" w:sz="4" w:space="0"/>
          <w:right w:val="single" w:color="92CCDC" w:sz="4" w:space="0"/>
        </w:tcBorders>
      </w:tcPr>
    </w:tblStylePr>
    <w:tblStylePr w:type="band1Horz">
      <w:rPr>
        <w:rFonts w:ascii="Arial" w:hAnsi="Arial"/>
        <w:color w:val="404040"/>
        <w:sz w:val="22"/>
      </w:rPr>
      <w:tcPr>
        <w:tcBorders>
          <w:top w:val="single" w:color="92CCDC" w:sz="4" w:space="0"/>
          <w:bottom w:val="single" w:color="92CCDC" w:sz="4" w:space="0"/>
        </w:tcBorders>
      </w:tcPr>
    </w:tblStylePr>
  </w:style>
  <w:style w:type="table" w:customStyle="1" w:styleId="585">
    <w:name w:val="List Table 3 - Accent 61"/>
    <w:basedOn w:val="13"/>
    <w:uiPriority w:val="99"/>
    <w:rPr>
      <w:sz w:val="22"/>
      <w:szCs w:val="22"/>
      <w:lang w:eastAsia="en-US"/>
    </w:rPr>
    <w:tblPr>
      <w:tblBorders>
        <w:top w:val="single" w:color="FAC090" w:sz="4" w:space="0"/>
        <w:left w:val="single" w:color="FAC090" w:sz="4" w:space="0"/>
        <w:bottom w:val="single" w:color="FAC090" w:sz="4" w:space="0"/>
        <w:right w:val="single" w:color="FAC090" w:sz="4" w:space="0"/>
      </w:tblBorders>
      <w:tblCellMar>
        <w:top w:w="0" w:type="dxa"/>
        <w:left w:w="108" w:type="dxa"/>
        <w:bottom w:w="0" w:type="dxa"/>
        <w:right w:w="108" w:type="dxa"/>
      </w:tblCellMar>
    </w:tblPr>
    <w:tblStylePr w:type="firstRow">
      <w:rPr>
        <w:rFonts w:ascii="Arial" w:hAnsi="Arial"/>
        <w:b/>
        <w:color w:val="FFFFFF"/>
        <w:sz w:val="22"/>
      </w:rPr>
      <w:tcPr>
        <w:shd w:val="clear" w:color="FAC090" w:fill="FAC09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FAC090" w:sz="4" w:space="0"/>
          <w:right w:val="single" w:color="FAC090" w:sz="4" w:space="0"/>
        </w:tcBorders>
      </w:tcPr>
    </w:tblStylePr>
    <w:tblStylePr w:type="band1Horz">
      <w:rPr>
        <w:rFonts w:ascii="Arial" w:hAnsi="Arial"/>
        <w:color w:val="404040"/>
        <w:sz w:val="22"/>
      </w:rPr>
      <w:tcPr>
        <w:tcBorders>
          <w:top w:val="single" w:color="FAC090" w:sz="4" w:space="0"/>
          <w:bottom w:val="single" w:color="FAC090" w:sz="4" w:space="0"/>
        </w:tcBorders>
      </w:tcPr>
    </w:tblStylePr>
  </w:style>
  <w:style w:type="table" w:customStyle="1" w:styleId="586">
    <w:name w:val="Список-таблица 4110"/>
    <w:basedOn w:val="13"/>
    <w:uiPriority w:val="99"/>
    <w:rPr>
      <w:sz w:val="22"/>
      <w:szCs w:val="22"/>
      <w:lang w:eastAsia="en-US"/>
    </w:rPr>
    <w:tblPr>
      <w:tblBorders>
        <w:top w:val="single" w:color="000000" w:sz="4" w:space="0"/>
        <w:left w:val="single" w:color="000000" w:sz="4" w:space="0"/>
        <w:bottom w:val="single" w:color="000000" w:sz="4" w:space="0"/>
        <w:right w:val="single" w:color="000000" w:sz="4" w:space="0"/>
        <w:insideH w:val="single" w:color="000000" w:sz="4" w:space="0"/>
      </w:tblBorders>
      <w:tblCellMar>
        <w:top w:w="0" w:type="dxa"/>
        <w:left w:w="108" w:type="dxa"/>
        <w:bottom w:w="0" w:type="dxa"/>
        <w:right w:w="108" w:type="dxa"/>
      </w:tblCellMar>
    </w:tblPr>
    <w:tblStylePr w:type="firstRow">
      <w:rPr>
        <w:rFonts w:ascii="Arial" w:hAnsi="Arial"/>
        <w:b/>
        <w:color w:val="FFFFFF"/>
        <w:sz w:val="22"/>
      </w:r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BFBFBF" w:fill="BFBFBF"/>
      </w:tcPr>
    </w:tblStylePr>
    <w:tblStylePr w:type="band1Horz">
      <w:rPr>
        <w:rFonts w:ascii="Arial" w:hAnsi="Arial"/>
        <w:color w:val="404040"/>
        <w:sz w:val="22"/>
      </w:rPr>
      <w:tcPr>
        <w:shd w:val="clear" w:color="BFBFBF" w:fill="BFBFBF"/>
      </w:tcPr>
    </w:tblStylePr>
  </w:style>
  <w:style w:type="table" w:customStyle="1" w:styleId="587">
    <w:name w:val="List Table 4 - Accent 11"/>
    <w:basedOn w:val="13"/>
    <w:uiPriority w:val="99"/>
    <w:rPr>
      <w:sz w:val="22"/>
      <w:szCs w:val="22"/>
      <w:lang w:eastAsia="en-US"/>
    </w:rPr>
    <w:tblPr>
      <w:tblBorders>
        <w:top w:val="single" w:color="9BB7D9" w:sz="4" w:space="0"/>
        <w:left w:val="single" w:color="9BB7D9" w:sz="4" w:space="0"/>
        <w:bottom w:val="single" w:color="9BB7D9" w:sz="4" w:space="0"/>
        <w:right w:val="single" w:color="9BB7D9" w:sz="4" w:space="0"/>
        <w:insideH w:val="single" w:color="9BB7D9" w:sz="4" w:space="0"/>
      </w:tblBorders>
      <w:tblCellMar>
        <w:top w:w="0" w:type="dxa"/>
        <w:left w:w="108" w:type="dxa"/>
        <w:bottom w:w="0" w:type="dxa"/>
        <w:right w:w="108" w:type="dxa"/>
      </w:tblCellMar>
    </w:tblPr>
    <w:tblStylePr w:type="firstRow">
      <w:rPr>
        <w:rFonts w:ascii="Arial" w:hAnsi="Arial"/>
        <w:b/>
        <w:color w:val="FFFFFF"/>
        <w:sz w:val="22"/>
      </w:rPr>
      <w:tcPr>
        <w:shd w:val="clear" w:color="4F81BD"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D2DFEE" w:fill="D2DFEE"/>
      </w:tcPr>
    </w:tblStylePr>
    <w:tblStylePr w:type="band1Horz">
      <w:rPr>
        <w:rFonts w:ascii="Arial" w:hAnsi="Arial"/>
        <w:color w:val="404040"/>
        <w:sz w:val="22"/>
      </w:rPr>
      <w:tcPr>
        <w:shd w:val="clear" w:color="D2DFEE" w:fill="D2DFEE"/>
      </w:tcPr>
    </w:tblStylePr>
  </w:style>
  <w:style w:type="table" w:customStyle="1" w:styleId="588">
    <w:name w:val="List Table 4 - Accent 21"/>
    <w:basedOn w:val="13"/>
    <w:uiPriority w:val="99"/>
    <w:rPr>
      <w:sz w:val="22"/>
      <w:szCs w:val="22"/>
      <w:lang w:eastAsia="en-US"/>
    </w:rPr>
    <w:tblPr>
      <w:tblBorders>
        <w:top w:val="single" w:color="DB9B9A" w:sz="4" w:space="0"/>
        <w:left w:val="single" w:color="DB9B9A" w:sz="4" w:space="0"/>
        <w:bottom w:val="single" w:color="DB9B9A" w:sz="4" w:space="0"/>
        <w:right w:val="single" w:color="DB9B9A" w:sz="4" w:space="0"/>
        <w:insideH w:val="single" w:color="DB9B9A" w:sz="4" w:space="0"/>
      </w:tblBorders>
      <w:tblCellMar>
        <w:top w:w="0" w:type="dxa"/>
        <w:left w:w="108" w:type="dxa"/>
        <w:bottom w:w="0" w:type="dxa"/>
        <w:right w:w="108" w:type="dxa"/>
      </w:tblCellMar>
    </w:tblPr>
    <w:tblStylePr w:type="firstRow">
      <w:rPr>
        <w:rFonts w:ascii="Arial" w:hAnsi="Arial"/>
        <w:b/>
        <w:color w:val="FFFFFF"/>
        <w:sz w:val="22"/>
      </w:rPr>
      <w:tcPr>
        <w:shd w:val="clear" w:color="C0504D" w:fill="C0504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EFD2D2" w:fill="EFD2D2"/>
      </w:tcPr>
    </w:tblStylePr>
    <w:tblStylePr w:type="band1Horz">
      <w:rPr>
        <w:rFonts w:ascii="Arial" w:hAnsi="Arial"/>
        <w:color w:val="404040"/>
        <w:sz w:val="22"/>
      </w:rPr>
      <w:tcPr>
        <w:shd w:val="clear" w:color="EFD2D2" w:fill="EFD2D2"/>
      </w:tcPr>
    </w:tblStylePr>
  </w:style>
  <w:style w:type="table" w:customStyle="1" w:styleId="589">
    <w:name w:val="List Table 4 - Accent 31"/>
    <w:basedOn w:val="13"/>
    <w:uiPriority w:val="99"/>
    <w:rPr>
      <w:sz w:val="22"/>
      <w:szCs w:val="22"/>
      <w:lang w:eastAsia="en-US"/>
    </w:rPr>
    <w:tblPr>
      <w:tblBorders>
        <w:top w:val="single" w:color="C6D8A1" w:sz="4" w:space="0"/>
        <w:left w:val="single" w:color="C6D8A1" w:sz="4" w:space="0"/>
        <w:bottom w:val="single" w:color="C6D8A1" w:sz="4" w:space="0"/>
        <w:right w:val="single" w:color="C6D8A1" w:sz="4" w:space="0"/>
        <w:insideH w:val="single" w:color="C6D8A1" w:sz="4" w:space="0"/>
      </w:tblBorders>
      <w:tblCellMar>
        <w:top w:w="0" w:type="dxa"/>
        <w:left w:w="108" w:type="dxa"/>
        <w:bottom w:w="0" w:type="dxa"/>
        <w:right w:w="108" w:type="dxa"/>
      </w:tblCellMar>
    </w:tblPr>
    <w:tblStylePr w:type="firstRow">
      <w:rPr>
        <w:rFonts w:ascii="Arial" w:hAnsi="Arial"/>
        <w:b/>
        <w:color w:val="FFFFFF"/>
        <w:sz w:val="22"/>
      </w:rPr>
      <w:tcPr>
        <w:shd w:val="clear" w:color="9BBB59" w:fill="9BBB59"/>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E5EED5" w:fill="E5EED5"/>
      </w:tcPr>
    </w:tblStylePr>
    <w:tblStylePr w:type="band1Horz">
      <w:rPr>
        <w:rFonts w:ascii="Arial" w:hAnsi="Arial"/>
        <w:color w:val="404040"/>
        <w:sz w:val="22"/>
      </w:rPr>
      <w:tcPr>
        <w:shd w:val="clear" w:color="E5EED5" w:fill="E5EED5"/>
      </w:tcPr>
    </w:tblStylePr>
  </w:style>
  <w:style w:type="table" w:customStyle="1" w:styleId="590">
    <w:name w:val="List Table 4 - Accent 41"/>
    <w:basedOn w:val="13"/>
    <w:uiPriority w:val="99"/>
    <w:rPr>
      <w:sz w:val="22"/>
      <w:szCs w:val="22"/>
      <w:lang w:eastAsia="en-US"/>
    </w:rPr>
    <w:tblPr>
      <w:tblBorders>
        <w:top w:val="single" w:color="B7A7CA" w:sz="4" w:space="0"/>
        <w:left w:val="single" w:color="B7A7CA" w:sz="4" w:space="0"/>
        <w:bottom w:val="single" w:color="B7A7CA" w:sz="4" w:space="0"/>
        <w:right w:val="single" w:color="B7A7CA" w:sz="4" w:space="0"/>
        <w:insideH w:val="single" w:color="B7A7CA" w:sz="4" w:space="0"/>
      </w:tblBorders>
      <w:tblCellMar>
        <w:top w:w="0" w:type="dxa"/>
        <w:left w:w="108" w:type="dxa"/>
        <w:bottom w:w="0" w:type="dxa"/>
        <w:right w:w="108" w:type="dxa"/>
      </w:tblCellMar>
    </w:tblPr>
    <w:tblStylePr w:type="firstRow">
      <w:rPr>
        <w:rFonts w:ascii="Arial" w:hAnsi="Arial"/>
        <w:b/>
        <w:color w:val="FFFFFF"/>
        <w:sz w:val="22"/>
      </w:rPr>
      <w:tcPr>
        <w:shd w:val="clear" w:color="8064A2" w:fill="8064A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DFD8E7" w:fill="DFD8E7"/>
      </w:tcPr>
    </w:tblStylePr>
    <w:tblStylePr w:type="band1Horz">
      <w:rPr>
        <w:rFonts w:ascii="Arial" w:hAnsi="Arial"/>
        <w:color w:val="404040"/>
        <w:sz w:val="22"/>
      </w:rPr>
      <w:tcPr>
        <w:shd w:val="clear" w:color="DFD8E7" w:fill="DFD8E7"/>
      </w:tcPr>
    </w:tblStylePr>
  </w:style>
  <w:style w:type="table" w:customStyle="1" w:styleId="591">
    <w:name w:val="List Table 4 - Accent 51"/>
    <w:basedOn w:val="13"/>
    <w:uiPriority w:val="99"/>
    <w:rPr>
      <w:sz w:val="22"/>
      <w:szCs w:val="22"/>
      <w:lang w:eastAsia="en-US"/>
    </w:rPr>
    <w:tblPr>
      <w:tblBorders>
        <w:top w:val="single" w:color="99D0DE" w:sz="4" w:space="0"/>
        <w:left w:val="single" w:color="99D0DE" w:sz="4" w:space="0"/>
        <w:bottom w:val="single" w:color="99D0DE" w:sz="4" w:space="0"/>
        <w:right w:val="single" w:color="99D0DE" w:sz="4" w:space="0"/>
        <w:insideH w:val="single" w:color="99D0DE" w:sz="4" w:space="0"/>
      </w:tblBorders>
      <w:tblCellMar>
        <w:top w:w="0" w:type="dxa"/>
        <w:left w:w="108" w:type="dxa"/>
        <w:bottom w:w="0" w:type="dxa"/>
        <w:right w:w="108" w:type="dxa"/>
      </w:tblCellMar>
    </w:tblPr>
    <w:tblStylePr w:type="firstRow">
      <w:rPr>
        <w:rFonts w:ascii="Arial" w:hAnsi="Arial"/>
        <w:b/>
        <w:color w:val="FFFFFF"/>
        <w:sz w:val="22"/>
      </w:rPr>
      <w:tcPr>
        <w:shd w:val="clear" w:color="4BACC6" w:fill="4BAC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D1EAF0" w:fill="D1EAF0"/>
      </w:tcPr>
    </w:tblStylePr>
    <w:tblStylePr w:type="band1Horz">
      <w:rPr>
        <w:rFonts w:ascii="Arial" w:hAnsi="Arial"/>
        <w:color w:val="404040"/>
        <w:sz w:val="22"/>
      </w:rPr>
      <w:tcPr>
        <w:shd w:val="clear" w:color="D1EAF0" w:fill="D1EAF0"/>
      </w:tcPr>
    </w:tblStylePr>
  </w:style>
  <w:style w:type="table" w:customStyle="1" w:styleId="592">
    <w:name w:val="List Table 4 - Accent 61"/>
    <w:basedOn w:val="13"/>
    <w:uiPriority w:val="99"/>
    <w:rPr>
      <w:sz w:val="22"/>
      <w:szCs w:val="22"/>
      <w:lang w:eastAsia="en-US"/>
    </w:rPr>
    <w:tblPr>
      <w:tblBorders>
        <w:top w:val="single" w:color="FAC396" w:sz="4" w:space="0"/>
        <w:left w:val="single" w:color="FAC396" w:sz="4" w:space="0"/>
        <w:bottom w:val="single" w:color="FAC396" w:sz="4" w:space="0"/>
        <w:right w:val="single" w:color="FAC396" w:sz="4" w:space="0"/>
        <w:insideH w:val="single" w:color="FAC396" w:sz="4" w:space="0"/>
      </w:tblBorders>
      <w:tblCellMar>
        <w:top w:w="0" w:type="dxa"/>
        <w:left w:w="108" w:type="dxa"/>
        <w:bottom w:w="0" w:type="dxa"/>
        <w:right w:w="108" w:type="dxa"/>
      </w:tblCellMar>
    </w:tblPr>
    <w:tblStylePr w:type="firstRow">
      <w:rPr>
        <w:rFonts w:ascii="Arial" w:hAnsi="Arial"/>
        <w:b/>
        <w:color w:val="FFFFFF"/>
        <w:sz w:val="22"/>
      </w:rPr>
      <w:tcPr>
        <w:shd w:val="clear" w:color="F79646" w:fill="F7964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FDE4D0" w:fill="FDE4D0"/>
      </w:tcPr>
    </w:tblStylePr>
    <w:tblStylePr w:type="band1Horz">
      <w:rPr>
        <w:rFonts w:ascii="Arial" w:hAnsi="Arial"/>
        <w:color w:val="404040"/>
        <w:sz w:val="22"/>
      </w:rPr>
      <w:tcPr>
        <w:shd w:val="clear" w:color="FDE4D0" w:fill="FDE4D0"/>
      </w:tcPr>
    </w:tblStylePr>
  </w:style>
  <w:style w:type="table" w:customStyle="1" w:styleId="593">
    <w:name w:val="Список-таблица 5 темная110"/>
    <w:basedOn w:val="13"/>
    <w:uiPriority w:val="99"/>
    <w:rPr>
      <w:sz w:val="22"/>
      <w:szCs w:val="22"/>
      <w:lang w:eastAsia="en-US"/>
    </w:rPr>
    <w:tblPr>
      <w:tblBorders>
        <w:top w:val="single" w:color="7F7F7F" w:sz="32" w:space="0"/>
        <w:left w:val="single" w:color="7F7F7F" w:sz="32" w:space="0"/>
        <w:bottom w:val="single" w:color="7F7F7F" w:sz="32" w:space="0"/>
        <w:right w:val="single" w:color="7F7F7F" w:sz="32" w:space="0"/>
      </w:tblBorders>
      <w:tblCellMar>
        <w:top w:w="0" w:type="dxa"/>
        <w:left w:w="108" w:type="dxa"/>
        <w:bottom w:w="0" w:type="dxa"/>
        <w:right w:w="108" w:type="dxa"/>
      </w:tblCellMar>
    </w:tblPr>
    <w:tblStylePr w:type="firstRow">
      <w:rPr>
        <w:rFonts w:ascii="Arial" w:hAnsi="Arial"/>
        <w:b/>
        <w:color w:val="FFFFFF"/>
        <w:sz w:val="22"/>
      </w:rPr>
      <w:tcPr>
        <w:tcBorders>
          <w:top w:val="single" w:color="7F7F7F" w:sz="32" w:space="0"/>
          <w:bottom w:val="single" w:color="FFFFFF" w:sz="12" w:space="0"/>
        </w:tcBorders>
        <w:shd w:val="clear" w:color="7F7F7F" w:fill="7F7F7F"/>
      </w:tcPr>
    </w:tblStylePr>
    <w:tblStylePr w:type="lastRow">
      <w:rPr>
        <w:rFonts w:ascii="Arial" w:hAnsi="Arial"/>
        <w:b/>
        <w:color w:val="FFFFFF"/>
        <w:sz w:val="22"/>
      </w:rPr>
    </w:tblStylePr>
    <w:tblStylePr w:type="firstCol">
      <w:rPr>
        <w:rFonts w:ascii="Arial" w:hAnsi="Arial"/>
        <w:b/>
        <w:color w:val="FFFFFF"/>
        <w:sz w:val="22"/>
      </w:rPr>
      <w:tcPr>
        <w:tcBorders>
          <w:left w:val="single" w:color="7F7F7F" w:sz="32" w:space="0"/>
          <w:right w:val="single" w:color="FFFFFF" w:sz="4" w:space="0"/>
        </w:tcBorders>
      </w:tcPr>
    </w:tblStylePr>
    <w:tblStylePr w:type="lastCol">
      <w:tcPr>
        <w:tcBorders>
          <w:left w:val="single" w:color="FFFFFF" w:sz="4" w:space="0"/>
          <w:right w:val="single" w:color="7F7F7F" w:sz="32" w:space="0"/>
        </w:tcBorders>
      </w:tcPr>
    </w:tblStylePr>
    <w:tblStylePr w:type="band1Vert">
      <w:tcPr>
        <w:tcBorders>
          <w:left w:val="single" w:color="FFFFFF" w:sz="4" w:space="0"/>
          <w:right w:val="single" w:color="FFFFFF" w:sz="4" w:space="0"/>
        </w:tcBorders>
        <w:shd w:val="clear" w:color="7F7F7F" w:fill="7F7F7F"/>
      </w:tcPr>
    </w:tblStylePr>
    <w:tblStylePr w:type="band2Vert">
      <w:tcPr>
        <w:tcBorders>
          <w:left w:val="single" w:color="FFFFFF" w:sz="4" w:space="0"/>
          <w:right w:val="single" w:color="FFFFFF" w:sz="4" w:space="0"/>
        </w:tcBorders>
      </w:tcPr>
    </w:tblStylePr>
    <w:tblStylePr w:type="band1Horz">
      <w:tcPr>
        <w:tcBorders>
          <w:top w:val="single" w:color="FFFFFF" w:sz="4" w:space="0"/>
          <w:bottom w:val="single" w:color="FFFFFF" w:sz="4" w:space="0"/>
        </w:tcBorders>
        <w:shd w:val="clear" w:color="7F7F7F" w:fill="7F7F7F"/>
      </w:tcPr>
    </w:tblStylePr>
    <w:tblStylePr w:type="band2Horz">
      <w:tcPr>
        <w:tcBorders>
          <w:top w:val="single" w:color="FFFFFF" w:sz="4" w:space="0"/>
          <w:bottom w:val="single" w:color="FFFFFF" w:sz="4" w:space="0"/>
        </w:tcBorders>
        <w:shd w:val="clear" w:color="7F7F7F" w:fill="7F7F7F"/>
      </w:tcPr>
    </w:tblStylePr>
  </w:style>
  <w:style w:type="table" w:customStyle="1" w:styleId="594">
    <w:name w:val="List Table 5 Dark - Accent 11"/>
    <w:basedOn w:val="13"/>
    <w:uiPriority w:val="99"/>
    <w:rPr>
      <w:sz w:val="22"/>
      <w:szCs w:val="22"/>
      <w:lang w:eastAsia="en-US"/>
    </w:rPr>
    <w:tblPr>
      <w:tblBorders>
        <w:top w:val="single" w:color="4F81BD" w:sz="32" w:space="0"/>
        <w:left w:val="single" w:color="4F81BD" w:sz="32" w:space="0"/>
        <w:bottom w:val="single" w:color="4F81BD" w:sz="32" w:space="0"/>
        <w:right w:val="single" w:color="4F81BD" w:sz="32" w:space="0"/>
      </w:tblBorders>
      <w:tblCellMar>
        <w:top w:w="0" w:type="dxa"/>
        <w:left w:w="108" w:type="dxa"/>
        <w:bottom w:w="0" w:type="dxa"/>
        <w:right w:w="108" w:type="dxa"/>
      </w:tblCellMar>
    </w:tblPr>
    <w:tblStylePr w:type="firstRow">
      <w:rPr>
        <w:rFonts w:ascii="Arial" w:hAnsi="Arial"/>
        <w:b/>
        <w:color w:val="FFFFFF"/>
        <w:sz w:val="22"/>
      </w:rPr>
      <w:tcPr>
        <w:tcBorders>
          <w:top w:val="single" w:color="4F81BD" w:sz="32" w:space="0"/>
          <w:bottom w:val="single" w:color="FFFFFF" w:sz="12" w:space="0"/>
        </w:tcBorders>
        <w:shd w:val="clear" w:color="4F81BD" w:fill="4F81BD"/>
      </w:tcPr>
    </w:tblStylePr>
    <w:tblStylePr w:type="lastRow">
      <w:rPr>
        <w:rFonts w:ascii="Arial" w:hAnsi="Arial"/>
        <w:b/>
        <w:color w:val="FFFFFF"/>
        <w:sz w:val="22"/>
      </w:rPr>
    </w:tblStylePr>
    <w:tblStylePr w:type="firstCol">
      <w:rPr>
        <w:rFonts w:ascii="Arial" w:hAnsi="Arial"/>
        <w:b/>
        <w:color w:val="FFFFFF"/>
        <w:sz w:val="22"/>
      </w:rPr>
      <w:tcPr>
        <w:tcBorders>
          <w:left w:val="single" w:color="4F81BD" w:sz="32" w:space="0"/>
          <w:right w:val="single" w:color="FFFFFF" w:sz="4" w:space="0"/>
        </w:tcBorders>
      </w:tcPr>
    </w:tblStylePr>
    <w:tblStylePr w:type="lastCol">
      <w:tcPr>
        <w:tcBorders>
          <w:left w:val="single" w:color="FFFFFF" w:sz="4" w:space="0"/>
          <w:right w:val="single" w:color="4F81BD" w:sz="32" w:space="0"/>
        </w:tcBorders>
      </w:tcPr>
    </w:tblStylePr>
    <w:tblStylePr w:type="band1Vert">
      <w:tcPr>
        <w:tcBorders>
          <w:left w:val="single" w:color="FFFFFF" w:sz="4" w:space="0"/>
          <w:right w:val="single" w:color="FFFFFF" w:sz="4" w:space="0"/>
        </w:tcBorders>
        <w:shd w:val="clear" w:color="4F81BD" w:fill="4F81BD"/>
      </w:tcPr>
    </w:tblStylePr>
    <w:tblStylePr w:type="band2Vert">
      <w:tcPr>
        <w:tcBorders>
          <w:left w:val="single" w:color="FFFFFF" w:sz="4" w:space="0"/>
          <w:right w:val="single" w:color="FFFFFF" w:sz="4" w:space="0"/>
        </w:tcBorders>
      </w:tcPr>
    </w:tblStylePr>
    <w:tblStylePr w:type="band1Horz">
      <w:tcPr>
        <w:tcBorders>
          <w:top w:val="single" w:color="FFFFFF" w:sz="4" w:space="0"/>
          <w:bottom w:val="single" w:color="FFFFFF" w:sz="4" w:space="0"/>
        </w:tcBorders>
        <w:shd w:val="clear" w:color="4F81BD" w:fill="4F81BD"/>
      </w:tcPr>
    </w:tblStylePr>
    <w:tblStylePr w:type="band2Horz">
      <w:tcPr>
        <w:tcBorders>
          <w:top w:val="single" w:color="FFFFFF" w:sz="4" w:space="0"/>
          <w:bottom w:val="single" w:color="FFFFFF" w:sz="4" w:space="0"/>
        </w:tcBorders>
        <w:shd w:val="clear" w:color="4F81BD" w:fill="4F81BD"/>
      </w:tcPr>
    </w:tblStylePr>
  </w:style>
  <w:style w:type="table" w:customStyle="1" w:styleId="595">
    <w:name w:val="List Table 5 Dark - Accent 21"/>
    <w:basedOn w:val="13"/>
    <w:uiPriority w:val="99"/>
    <w:rPr>
      <w:sz w:val="22"/>
      <w:szCs w:val="22"/>
      <w:lang w:eastAsia="en-US"/>
    </w:rPr>
    <w:tblPr>
      <w:tblBorders>
        <w:top w:val="single" w:color="D99695" w:sz="32" w:space="0"/>
        <w:left w:val="single" w:color="D99695" w:sz="32" w:space="0"/>
        <w:bottom w:val="single" w:color="D99695" w:sz="32" w:space="0"/>
        <w:right w:val="single" w:color="D99695" w:sz="32" w:space="0"/>
      </w:tblBorders>
      <w:tblCellMar>
        <w:top w:w="0" w:type="dxa"/>
        <w:left w:w="108" w:type="dxa"/>
        <w:bottom w:w="0" w:type="dxa"/>
        <w:right w:w="108" w:type="dxa"/>
      </w:tblCellMar>
    </w:tblPr>
    <w:tblStylePr w:type="firstRow">
      <w:rPr>
        <w:rFonts w:ascii="Arial" w:hAnsi="Arial"/>
        <w:b/>
        <w:color w:val="FFFFFF"/>
        <w:sz w:val="22"/>
      </w:rPr>
      <w:tcPr>
        <w:tcBorders>
          <w:top w:val="single" w:color="D99695" w:sz="32" w:space="0"/>
          <w:bottom w:val="single" w:color="FFFFFF" w:sz="12" w:space="0"/>
        </w:tcBorders>
        <w:shd w:val="clear" w:color="D99695" w:fill="D99695"/>
      </w:tcPr>
    </w:tblStylePr>
    <w:tblStylePr w:type="lastRow">
      <w:rPr>
        <w:rFonts w:ascii="Arial" w:hAnsi="Arial"/>
        <w:b/>
        <w:color w:val="FFFFFF"/>
        <w:sz w:val="22"/>
      </w:rPr>
    </w:tblStylePr>
    <w:tblStylePr w:type="firstCol">
      <w:rPr>
        <w:rFonts w:ascii="Arial" w:hAnsi="Arial"/>
        <w:b/>
        <w:color w:val="FFFFFF"/>
        <w:sz w:val="22"/>
      </w:rPr>
      <w:tcPr>
        <w:tcBorders>
          <w:left w:val="single" w:color="D99695" w:sz="32" w:space="0"/>
          <w:right w:val="single" w:color="FFFFFF" w:sz="4" w:space="0"/>
        </w:tcBorders>
      </w:tcPr>
    </w:tblStylePr>
    <w:tblStylePr w:type="lastCol">
      <w:tcPr>
        <w:tcBorders>
          <w:left w:val="single" w:color="FFFFFF" w:sz="4" w:space="0"/>
          <w:right w:val="single" w:color="D99695" w:sz="32" w:space="0"/>
        </w:tcBorders>
      </w:tcPr>
    </w:tblStylePr>
    <w:tblStylePr w:type="band1Vert">
      <w:tcPr>
        <w:tcBorders>
          <w:left w:val="single" w:color="FFFFFF" w:sz="4" w:space="0"/>
          <w:right w:val="single" w:color="FFFFFF" w:sz="4" w:space="0"/>
        </w:tcBorders>
        <w:shd w:val="clear" w:color="D99695" w:fill="D99695"/>
      </w:tcPr>
    </w:tblStylePr>
    <w:tblStylePr w:type="band2Vert">
      <w:tcPr>
        <w:tcBorders>
          <w:left w:val="single" w:color="FFFFFF" w:sz="4" w:space="0"/>
          <w:right w:val="single" w:color="FFFFFF" w:sz="4" w:space="0"/>
        </w:tcBorders>
      </w:tcPr>
    </w:tblStylePr>
    <w:tblStylePr w:type="band1Horz">
      <w:tcPr>
        <w:tcBorders>
          <w:top w:val="single" w:color="FFFFFF" w:sz="4" w:space="0"/>
          <w:bottom w:val="single" w:color="FFFFFF" w:sz="4" w:space="0"/>
        </w:tcBorders>
        <w:shd w:val="clear" w:color="D99695" w:fill="D99695"/>
      </w:tcPr>
    </w:tblStylePr>
    <w:tblStylePr w:type="band2Horz">
      <w:tcPr>
        <w:tcBorders>
          <w:top w:val="single" w:color="FFFFFF" w:sz="4" w:space="0"/>
          <w:bottom w:val="single" w:color="FFFFFF" w:sz="4" w:space="0"/>
        </w:tcBorders>
        <w:shd w:val="clear" w:color="D99695" w:fill="D99695"/>
      </w:tcPr>
    </w:tblStylePr>
  </w:style>
  <w:style w:type="table" w:customStyle="1" w:styleId="596">
    <w:name w:val="List Table 5 Dark - Accent 31"/>
    <w:basedOn w:val="13"/>
    <w:uiPriority w:val="99"/>
    <w:rPr>
      <w:sz w:val="22"/>
      <w:szCs w:val="22"/>
      <w:lang w:eastAsia="en-US"/>
    </w:rPr>
    <w:tblPr>
      <w:tblBorders>
        <w:top w:val="single" w:color="C3D69B" w:sz="32" w:space="0"/>
        <w:left w:val="single" w:color="C3D69B" w:sz="32" w:space="0"/>
        <w:bottom w:val="single" w:color="C3D69B" w:sz="32" w:space="0"/>
        <w:right w:val="single" w:color="C3D69B" w:sz="32" w:space="0"/>
      </w:tblBorders>
      <w:tblCellMar>
        <w:top w:w="0" w:type="dxa"/>
        <w:left w:w="108" w:type="dxa"/>
        <w:bottom w:w="0" w:type="dxa"/>
        <w:right w:w="108" w:type="dxa"/>
      </w:tblCellMar>
    </w:tblPr>
    <w:tblStylePr w:type="firstRow">
      <w:rPr>
        <w:rFonts w:ascii="Arial" w:hAnsi="Arial"/>
        <w:b/>
        <w:color w:val="FFFFFF"/>
        <w:sz w:val="22"/>
      </w:rPr>
      <w:tcPr>
        <w:tcBorders>
          <w:top w:val="single" w:color="C3D69B" w:sz="32" w:space="0"/>
          <w:bottom w:val="single" w:color="FFFFFF" w:sz="12" w:space="0"/>
        </w:tcBorders>
        <w:shd w:val="clear" w:color="C3D69B" w:fill="C3D69B"/>
      </w:tcPr>
    </w:tblStylePr>
    <w:tblStylePr w:type="lastRow">
      <w:rPr>
        <w:rFonts w:ascii="Arial" w:hAnsi="Arial"/>
        <w:b/>
        <w:color w:val="FFFFFF"/>
        <w:sz w:val="22"/>
      </w:rPr>
    </w:tblStylePr>
    <w:tblStylePr w:type="firstCol">
      <w:rPr>
        <w:rFonts w:ascii="Arial" w:hAnsi="Arial"/>
        <w:b/>
        <w:color w:val="FFFFFF"/>
        <w:sz w:val="22"/>
      </w:rPr>
      <w:tcPr>
        <w:tcBorders>
          <w:left w:val="single" w:color="C3D69B" w:sz="32" w:space="0"/>
          <w:right w:val="single" w:color="FFFFFF" w:sz="4" w:space="0"/>
        </w:tcBorders>
      </w:tcPr>
    </w:tblStylePr>
    <w:tblStylePr w:type="lastCol">
      <w:tcPr>
        <w:tcBorders>
          <w:left w:val="single" w:color="FFFFFF" w:sz="4" w:space="0"/>
          <w:right w:val="single" w:color="C3D69B" w:sz="32" w:space="0"/>
        </w:tcBorders>
      </w:tcPr>
    </w:tblStylePr>
    <w:tblStylePr w:type="band1Vert">
      <w:tcPr>
        <w:tcBorders>
          <w:left w:val="single" w:color="FFFFFF" w:sz="4" w:space="0"/>
          <w:right w:val="single" w:color="FFFFFF" w:sz="4" w:space="0"/>
        </w:tcBorders>
        <w:shd w:val="clear" w:color="C3D69B" w:fill="C3D69B"/>
      </w:tcPr>
    </w:tblStylePr>
    <w:tblStylePr w:type="band2Vert">
      <w:tcPr>
        <w:tcBorders>
          <w:left w:val="single" w:color="FFFFFF" w:sz="4" w:space="0"/>
          <w:right w:val="single" w:color="FFFFFF" w:sz="4" w:space="0"/>
        </w:tcBorders>
      </w:tcPr>
    </w:tblStylePr>
    <w:tblStylePr w:type="band1Horz">
      <w:tcPr>
        <w:tcBorders>
          <w:top w:val="single" w:color="FFFFFF" w:sz="4" w:space="0"/>
          <w:bottom w:val="single" w:color="FFFFFF" w:sz="4" w:space="0"/>
        </w:tcBorders>
        <w:shd w:val="clear" w:color="C3D69B" w:fill="C3D69B"/>
      </w:tcPr>
    </w:tblStylePr>
    <w:tblStylePr w:type="band2Horz">
      <w:tcPr>
        <w:tcBorders>
          <w:top w:val="single" w:color="FFFFFF" w:sz="4" w:space="0"/>
          <w:bottom w:val="single" w:color="FFFFFF" w:sz="4" w:space="0"/>
        </w:tcBorders>
        <w:shd w:val="clear" w:color="C3D69B" w:fill="C3D69B"/>
      </w:tcPr>
    </w:tblStylePr>
  </w:style>
  <w:style w:type="table" w:customStyle="1" w:styleId="597">
    <w:name w:val="List Table 5 Dark - Accent 41"/>
    <w:basedOn w:val="13"/>
    <w:uiPriority w:val="99"/>
    <w:rPr>
      <w:sz w:val="22"/>
      <w:szCs w:val="22"/>
      <w:lang w:eastAsia="en-US"/>
    </w:rPr>
    <w:tblPr>
      <w:tblBorders>
        <w:top w:val="single" w:color="B2A1C6" w:sz="32" w:space="0"/>
        <w:left w:val="single" w:color="B2A1C6" w:sz="32" w:space="0"/>
        <w:bottom w:val="single" w:color="B2A1C6" w:sz="32" w:space="0"/>
        <w:right w:val="single" w:color="B2A1C6" w:sz="32" w:space="0"/>
      </w:tblBorders>
      <w:tblCellMar>
        <w:top w:w="0" w:type="dxa"/>
        <w:left w:w="108" w:type="dxa"/>
        <w:bottom w:w="0" w:type="dxa"/>
        <w:right w:w="108" w:type="dxa"/>
      </w:tblCellMar>
    </w:tblPr>
    <w:tblStylePr w:type="firstRow">
      <w:rPr>
        <w:rFonts w:ascii="Arial" w:hAnsi="Arial"/>
        <w:b/>
        <w:color w:val="FFFFFF"/>
        <w:sz w:val="22"/>
      </w:rPr>
      <w:tcPr>
        <w:tcBorders>
          <w:top w:val="single" w:color="B2A1C6" w:sz="32" w:space="0"/>
          <w:bottom w:val="single" w:color="FFFFFF" w:sz="12" w:space="0"/>
        </w:tcBorders>
        <w:shd w:val="clear" w:color="B2A1C6" w:fill="B2A1C6"/>
      </w:tcPr>
    </w:tblStylePr>
    <w:tblStylePr w:type="lastRow">
      <w:rPr>
        <w:rFonts w:ascii="Arial" w:hAnsi="Arial"/>
        <w:b/>
        <w:color w:val="FFFFFF"/>
        <w:sz w:val="22"/>
      </w:rPr>
    </w:tblStylePr>
    <w:tblStylePr w:type="firstCol">
      <w:rPr>
        <w:rFonts w:ascii="Arial" w:hAnsi="Arial"/>
        <w:b/>
        <w:color w:val="FFFFFF"/>
        <w:sz w:val="22"/>
      </w:rPr>
      <w:tcPr>
        <w:tcBorders>
          <w:left w:val="single" w:color="B2A1C6" w:sz="32" w:space="0"/>
          <w:right w:val="single" w:color="FFFFFF" w:sz="4" w:space="0"/>
        </w:tcBorders>
      </w:tcPr>
    </w:tblStylePr>
    <w:tblStylePr w:type="lastCol">
      <w:tcPr>
        <w:tcBorders>
          <w:left w:val="single" w:color="FFFFFF" w:sz="4" w:space="0"/>
          <w:right w:val="single" w:color="B2A1C6" w:sz="32" w:space="0"/>
        </w:tcBorders>
      </w:tcPr>
    </w:tblStylePr>
    <w:tblStylePr w:type="band1Vert">
      <w:tcPr>
        <w:tcBorders>
          <w:left w:val="single" w:color="FFFFFF" w:sz="4" w:space="0"/>
          <w:right w:val="single" w:color="FFFFFF" w:sz="4" w:space="0"/>
        </w:tcBorders>
        <w:shd w:val="clear" w:color="B2A1C6" w:fill="B2A1C6"/>
      </w:tcPr>
    </w:tblStylePr>
    <w:tblStylePr w:type="band2Vert">
      <w:tcPr>
        <w:tcBorders>
          <w:left w:val="single" w:color="FFFFFF" w:sz="4" w:space="0"/>
          <w:right w:val="single" w:color="FFFFFF" w:sz="4" w:space="0"/>
        </w:tcBorders>
      </w:tcPr>
    </w:tblStylePr>
    <w:tblStylePr w:type="band1Horz">
      <w:tcPr>
        <w:tcBorders>
          <w:top w:val="single" w:color="FFFFFF" w:sz="4" w:space="0"/>
          <w:bottom w:val="single" w:color="FFFFFF" w:sz="4" w:space="0"/>
        </w:tcBorders>
        <w:shd w:val="clear" w:color="B2A1C6" w:fill="B2A1C6"/>
      </w:tcPr>
    </w:tblStylePr>
    <w:tblStylePr w:type="band2Horz">
      <w:tcPr>
        <w:tcBorders>
          <w:top w:val="single" w:color="FFFFFF" w:sz="4" w:space="0"/>
          <w:bottom w:val="single" w:color="FFFFFF" w:sz="4" w:space="0"/>
        </w:tcBorders>
        <w:shd w:val="clear" w:color="B2A1C6" w:fill="B2A1C6"/>
      </w:tcPr>
    </w:tblStylePr>
  </w:style>
  <w:style w:type="table" w:customStyle="1" w:styleId="598">
    <w:name w:val="List Table 5 Dark - Accent 51"/>
    <w:basedOn w:val="13"/>
    <w:uiPriority w:val="99"/>
    <w:rPr>
      <w:sz w:val="22"/>
      <w:szCs w:val="22"/>
      <w:lang w:eastAsia="en-US"/>
    </w:rPr>
    <w:tblPr>
      <w:tblBorders>
        <w:top w:val="single" w:color="92CCDC" w:sz="32" w:space="0"/>
        <w:left w:val="single" w:color="92CCDC" w:sz="32" w:space="0"/>
        <w:bottom w:val="single" w:color="92CCDC" w:sz="32" w:space="0"/>
        <w:right w:val="single" w:color="92CCDC" w:sz="32" w:space="0"/>
      </w:tblBorders>
      <w:tblCellMar>
        <w:top w:w="0" w:type="dxa"/>
        <w:left w:w="108" w:type="dxa"/>
        <w:bottom w:w="0" w:type="dxa"/>
        <w:right w:w="108" w:type="dxa"/>
      </w:tblCellMar>
    </w:tblPr>
    <w:tblStylePr w:type="firstRow">
      <w:rPr>
        <w:rFonts w:ascii="Arial" w:hAnsi="Arial"/>
        <w:b/>
        <w:color w:val="FFFFFF"/>
        <w:sz w:val="22"/>
      </w:rPr>
      <w:tcPr>
        <w:tcBorders>
          <w:top w:val="single" w:color="92CCDC" w:sz="32" w:space="0"/>
          <w:bottom w:val="single" w:color="FFFFFF" w:sz="12" w:space="0"/>
        </w:tcBorders>
        <w:shd w:val="clear" w:color="92CCDC" w:fill="92CCDC"/>
      </w:tcPr>
    </w:tblStylePr>
    <w:tblStylePr w:type="lastRow">
      <w:rPr>
        <w:rFonts w:ascii="Arial" w:hAnsi="Arial"/>
        <w:b/>
        <w:color w:val="FFFFFF"/>
        <w:sz w:val="22"/>
      </w:rPr>
    </w:tblStylePr>
    <w:tblStylePr w:type="firstCol">
      <w:rPr>
        <w:rFonts w:ascii="Arial" w:hAnsi="Arial"/>
        <w:b/>
        <w:color w:val="FFFFFF"/>
        <w:sz w:val="22"/>
      </w:rPr>
      <w:tcPr>
        <w:tcBorders>
          <w:left w:val="single" w:color="92CCDC" w:sz="32" w:space="0"/>
          <w:right w:val="single" w:color="FFFFFF" w:sz="4" w:space="0"/>
        </w:tcBorders>
      </w:tcPr>
    </w:tblStylePr>
    <w:tblStylePr w:type="lastCol">
      <w:tcPr>
        <w:tcBorders>
          <w:left w:val="single" w:color="FFFFFF" w:sz="4" w:space="0"/>
          <w:right w:val="single" w:color="92CCDC" w:sz="32" w:space="0"/>
        </w:tcBorders>
      </w:tcPr>
    </w:tblStylePr>
    <w:tblStylePr w:type="band1Vert">
      <w:tcPr>
        <w:tcBorders>
          <w:left w:val="single" w:color="FFFFFF" w:sz="4" w:space="0"/>
          <w:right w:val="single" w:color="FFFFFF" w:sz="4" w:space="0"/>
        </w:tcBorders>
        <w:shd w:val="clear" w:color="92CCDC" w:fill="92CCDC"/>
      </w:tcPr>
    </w:tblStylePr>
    <w:tblStylePr w:type="band2Vert">
      <w:tcPr>
        <w:tcBorders>
          <w:left w:val="single" w:color="FFFFFF" w:sz="4" w:space="0"/>
          <w:right w:val="single" w:color="FFFFFF" w:sz="4" w:space="0"/>
        </w:tcBorders>
      </w:tcPr>
    </w:tblStylePr>
    <w:tblStylePr w:type="band1Horz">
      <w:tcPr>
        <w:tcBorders>
          <w:top w:val="single" w:color="FFFFFF" w:sz="4" w:space="0"/>
          <w:bottom w:val="single" w:color="FFFFFF" w:sz="4" w:space="0"/>
        </w:tcBorders>
        <w:shd w:val="clear" w:color="92CCDC" w:fill="92CCDC"/>
      </w:tcPr>
    </w:tblStylePr>
    <w:tblStylePr w:type="band2Horz">
      <w:tcPr>
        <w:tcBorders>
          <w:top w:val="single" w:color="FFFFFF" w:sz="4" w:space="0"/>
          <w:bottom w:val="single" w:color="FFFFFF" w:sz="4" w:space="0"/>
        </w:tcBorders>
        <w:shd w:val="clear" w:color="92CCDC" w:fill="92CCDC"/>
      </w:tcPr>
    </w:tblStylePr>
  </w:style>
  <w:style w:type="table" w:customStyle="1" w:styleId="599">
    <w:name w:val="List Table 5 Dark - Accent 61"/>
    <w:basedOn w:val="13"/>
    <w:uiPriority w:val="99"/>
    <w:rPr>
      <w:sz w:val="22"/>
      <w:szCs w:val="22"/>
      <w:lang w:eastAsia="en-US"/>
    </w:rPr>
    <w:tblPr>
      <w:tblBorders>
        <w:top w:val="single" w:color="FAC090" w:sz="32" w:space="0"/>
        <w:left w:val="single" w:color="FAC090" w:sz="32" w:space="0"/>
        <w:bottom w:val="single" w:color="FAC090" w:sz="32" w:space="0"/>
        <w:right w:val="single" w:color="FAC090" w:sz="32" w:space="0"/>
      </w:tblBorders>
      <w:tblCellMar>
        <w:top w:w="0" w:type="dxa"/>
        <w:left w:w="108" w:type="dxa"/>
        <w:bottom w:w="0" w:type="dxa"/>
        <w:right w:w="108" w:type="dxa"/>
      </w:tblCellMar>
    </w:tblPr>
    <w:tblStylePr w:type="firstRow">
      <w:rPr>
        <w:rFonts w:ascii="Arial" w:hAnsi="Arial"/>
        <w:b/>
        <w:color w:val="FFFFFF"/>
        <w:sz w:val="22"/>
      </w:rPr>
      <w:tcPr>
        <w:tcBorders>
          <w:top w:val="single" w:color="FAC090" w:sz="32" w:space="0"/>
          <w:bottom w:val="single" w:color="FFFFFF" w:sz="12" w:space="0"/>
        </w:tcBorders>
        <w:shd w:val="clear" w:color="FAC090" w:fill="FAC090"/>
      </w:tcPr>
    </w:tblStylePr>
    <w:tblStylePr w:type="lastRow">
      <w:rPr>
        <w:rFonts w:ascii="Arial" w:hAnsi="Arial"/>
        <w:b/>
        <w:color w:val="FFFFFF"/>
        <w:sz w:val="22"/>
      </w:rPr>
    </w:tblStylePr>
    <w:tblStylePr w:type="firstCol">
      <w:rPr>
        <w:rFonts w:ascii="Arial" w:hAnsi="Arial"/>
        <w:b/>
        <w:color w:val="FFFFFF"/>
        <w:sz w:val="22"/>
      </w:rPr>
      <w:tcPr>
        <w:tcBorders>
          <w:left w:val="single" w:color="FAC090" w:sz="32" w:space="0"/>
          <w:right w:val="single" w:color="FFFFFF" w:sz="4" w:space="0"/>
        </w:tcBorders>
      </w:tcPr>
    </w:tblStylePr>
    <w:tblStylePr w:type="lastCol">
      <w:tcPr>
        <w:tcBorders>
          <w:left w:val="single" w:color="FFFFFF" w:sz="4" w:space="0"/>
          <w:right w:val="single" w:color="FAC090" w:sz="32" w:space="0"/>
        </w:tcBorders>
      </w:tcPr>
    </w:tblStylePr>
    <w:tblStylePr w:type="band1Vert">
      <w:tcPr>
        <w:tcBorders>
          <w:left w:val="single" w:color="FFFFFF" w:sz="4" w:space="0"/>
          <w:right w:val="single" w:color="FFFFFF" w:sz="4" w:space="0"/>
        </w:tcBorders>
        <w:shd w:val="clear" w:color="FAC090" w:fill="FAC090"/>
      </w:tcPr>
    </w:tblStylePr>
    <w:tblStylePr w:type="band2Vert">
      <w:tcPr>
        <w:tcBorders>
          <w:left w:val="single" w:color="FFFFFF" w:sz="4" w:space="0"/>
          <w:right w:val="single" w:color="FFFFFF" w:sz="4" w:space="0"/>
        </w:tcBorders>
      </w:tcPr>
    </w:tblStylePr>
    <w:tblStylePr w:type="band1Horz">
      <w:tcPr>
        <w:tcBorders>
          <w:top w:val="single" w:color="FFFFFF" w:sz="4" w:space="0"/>
          <w:bottom w:val="single" w:color="FFFFFF" w:sz="4" w:space="0"/>
        </w:tcBorders>
        <w:shd w:val="clear" w:color="FAC090" w:fill="FAC090"/>
      </w:tcPr>
    </w:tblStylePr>
    <w:tblStylePr w:type="band2Horz">
      <w:tcPr>
        <w:tcBorders>
          <w:top w:val="single" w:color="FFFFFF" w:sz="4" w:space="0"/>
          <w:bottom w:val="single" w:color="FFFFFF" w:sz="4" w:space="0"/>
        </w:tcBorders>
        <w:shd w:val="clear" w:color="FAC090" w:fill="FAC090"/>
      </w:tcPr>
    </w:tblStylePr>
  </w:style>
  <w:style w:type="table" w:customStyle="1" w:styleId="600">
    <w:name w:val="Список-таблица 6 цветная110"/>
    <w:basedOn w:val="13"/>
    <w:uiPriority w:val="99"/>
    <w:rPr>
      <w:sz w:val="22"/>
      <w:szCs w:val="22"/>
      <w:lang w:eastAsia="en-US"/>
    </w:rPr>
    <w:tblPr>
      <w:tblBorders>
        <w:top w:val="single" w:color="7F7F7F" w:sz="4" w:space="0"/>
        <w:bottom w:val="single" w:color="7F7F7F" w:sz="4" w:space="0"/>
      </w:tblBorders>
      <w:tblCellMar>
        <w:top w:w="0" w:type="dxa"/>
        <w:left w:w="108" w:type="dxa"/>
        <w:bottom w:w="0" w:type="dxa"/>
        <w:right w:w="108" w:type="dxa"/>
      </w:tblCellMar>
    </w:tblPr>
    <w:tblStylePr w:type="firstRow">
      <w:rPr>
        <w:b/>
        <w:color w:val="000000"/>
      </w:rPr>
      <w:tcPr>
        <w:tcBorders>
          <w:bottom w:val="single" w:color="7F7F7F" w:sz="4" w:space="0"/>
        </w:tcBorders>
      </w:tcPr>
    </w:tblStylePr>
    <w:tblStylePr w:type="lastRow">
      <w:rPr>
        <w:b/>
        <w:color w:val="000000"/>
      </w:rPr>
      <w:tcPr>
        <w:tcBorders>
          <w:top w:val="single" w:color="7F7F7F" w:sz="4" w:space="0"/>
        </w:tcBorders>
      </w:tcPr>
    </w:tblStylePr>
    <w:tblStylePr w:type="firstCol">
      <w:rPr>
        <w:b/>
        <w:color w:val="000000"/>
      </w:rPr>
    </w:tblStylePr>
    <w:tblStylePr w:type="lastCol">
      <w:rPr>
        <w:b/>
        <w:color w:val="000000"/>
      </w:rPr>
    </w:tblStylePr>
    <w:tblStylePr w:type="band1Vert">
      <w:tcPr>
        <w:shd w:val="clear" w:color="BFBFBF" w:fill="BFBFBF"/>
      </w:tcPr>
    </w:tblStylePr>
    <w:tblStylePr w:type="band1Horz">
      <w:rPr>
        <w:rFonts w:ascii="Arial" w:hAnsi="Arial"/>
        <w:color w:val="000000"/>
        <w:sz w:val="22"/>
      </w:rPr>
      <w:tcPr>
        <w:shd w:val="clear" w:color="BFBFBF" w:fill="BFBFBF"/>
      </w:tcPr>
    </w:tblStylePr>
    <w:tblStylePr w:type="band2Horz">
      <w:rPr>
        <w:rFonts w:ascii="Arial" w:hAnsi="Arial"/>
        <w:color w:val="000000"/>
        <w:sz w:val="22"/>
      </w:rPr>
    </w:tblStylePr>
  </w:style>
  <w:style w:type="table" w:customStyle="1" w:styleId="601">
    <w:name w:val="List Table 6 Colorful - Accent 11"/>
    <w:basedOn w:val="13"/>
    <w:uiPriority w:val="99"/>
    <w:rPr>
      <w:sz w:val="22"/>
      <w:szCs w:val="22"/>
      <w:lang w:eastAsia="en-US"/>
    </w:rPr>
    <w:tblPr>
      <w:tblBorders>
        <w:top w:val="single" w:color="4F81BD" w:sz="4" w:space="0"/>
        <w:bottom w:val="single" w:color="4F81BD" w:sz="4" w:space="0"/>
      </w:tblBorders>
      <w:tblCellMar>
        <w:top w:w="0" w:type="dxa"/>
        <w:left w:w="108" w:type="dxa"/>
        <w:bottom w:w="0" w:type="dxa"/>
        <w:right w:w="108" w:type="dxa"/>
      </w:tblCellMar>
    </w:tblPr>
    <w:tblStylePr w:type="firstRow">
      <w:rPr>
        <w:b/>
        <w:color w:val="2A4A71"/>
      </w:rPr>
      <w:tcPr>
        <w:tcBorders>
          <w:bottom w:val="single" w:color="4F81BD" w:sz="4" w:space="0"/>
        </w:tcBorders>
      </w:tcPr>
    </w:tblStylePr>
    <w:tblStylePr w:type="lastRow">
      <w:rPr>
        <w:b/>
        <w:color w:val="2A4A71"/>
      </w:rPr>
      <w:tcPr>
        <w:tcBorders>
          <w:top w:val="single" w:color="4F81BD" w:sz="4" w:space="0"/>
        </w:tcBorders>
      </w:tcPr>
    </w:tblStylePr>
    <w:tblStylePr w:type="firstCol">
      <w:rPr>
        <w:b/>
        <w:color w:val="2A4A71"/>
      </w:rPr>
    </w:tblStylePr>
    <w:tblStylePr w:type="lastCol">
      <w:rPr>
        <w:b/>
        <w:color w:val="2A4A71"/>
      </w:rPr>
    </w:tblStylePr>
    <w:tblStylePr w:type="band1Vert">
      <w:tcPr>
        <w:shd w:val="clear" w:color="D2DFEE" w:fill="D2DFEE"/>
      </w:tcPr>
    </w:tblStylePr>
    <w:tblStylePr w:type="band1Horz">
      <w:rPr>
        <w:rFonts w:ascii="Arial" w:hAnsi="Arial"/>
        <w:color w:val="2A4A71"/>
        <w:sz w:val="22"/>
      </w:rPr>
      <w:tcPr>
        <w:shd w:val="clear" w:color="D2DFEE" w:fill="D2DFEE"/>
      </w:tcPr>
    </w:tblStylePr>
    <w:tblStylePr w:type="band2Horz">
      <w:rPr>
        <w:rFonts w:ascii="Arial" w:hAnsi="Arial"/>
        <w:color w:val="2A4A71"/>
        <w:sz w:val="22"/>
      </w:rPr>
    </w:tblStylePr>
  </w:style>
  <w:style w:type="table" w:customStyle="1" w:styleId="602">
    <w:name w:val="List Table 6 Colorful - Accent 21"/>
    <w:basedOn w:val="13"/>
    <w:uiPriority w:val="99"/>
    <w:rPr>
      <w:sz w:val="22"/>
      <w:szCs w:val="22"/>
      <w:lang w:eastAsia="en-US"/>
    </w:rPr>
    <w:tblPr>
      <w:tblBorders>
        <w:top w:val="single" w:color="D99695" w:sz="4" w:space="0"/>
        <w:bottom w:val="single" w:color="D99695" w:sz="4" w:space="0"/>
      </w:tblBorders>
      <w:tblCellMar>
        <w:top w:w="0" w:type="dxa"/>
        <w:left w:w="108" w:type="dxa"/>
        <w:bottom w:w="0" w:type="dxa"/>
        <w:right w:w="108" w:type="dxa"/>
      </w:tblCellMar>
    </w:tblPr>
    <w:tblStylePr w:type="firstRow">
      <w:rPr>
        <w:b/>
        <w:color w:val="D99695"/>
      </w:rPr>
      <w:tcPr>
        <w:tcBorders>
          <w:bottom w:val="single" w:color="D99695" w:sz="4" w:space="0"/>
        </w:tcBorders>
      </w:tcPr>
    </w:tblStylePr>
    <w:tblStylePr w:type="lastRow">
      <w:rPr>
        <w:b/>
        <w:color w:val="D99695"/>
      </w:rPr>
      <w:tcPr>
        <w:tcBorders>
          <w:top w:val="single" w:color="D99695" w:sz="4" w:space="0"/>
        </w:tcBorders>
      </w:tcPr>
    </w:tblStylePr>
    <w:tblStylePr w:type="firstCol">
      <w:rPr>
        <w:b/>
        <w:color w:val="D99695"/>
      </w:rPr>
    </w:tblStylePr>
    <w:tblStylePr w:type="lastCol">
      <w:rPr>
        <w:b/>
        <w:color w:val="D99695"/>
      </w:rPr>
    </w:tblStylePr>
    <w:tblStylePr w:type="band1Vert">
      <w:tcPr>
        <w:shd w:val="clear" w:color="EFD2D2" w:fill="EFD2D2"/>
      </w:tcPr>
    </w:tblStylePr>
    <w:tblStylePr w:type="band1Horz">
      <w:rPr>
        <w:rFonts w:ascii="Arial" w:hAnsi="Arial"/>
        <w:color w:val="D99695"/>
        <w:sz w:val="22"/>
      </w:rPr>
      <w:tcPr>
        <w:shd w:val="clear" w:color="EFD2D2" w:fill="EFD2D2"/>
      </w:tcPr>
    </w:tblStylePr>
    <w:tblStylePr w:type="band2Horz">
      <w:rPr>
        <w:rFonts w:ascii="Arial" w:hAnsi="Arial"/>
        <w:color w:val="D99695"/>
        <w:sz w:val="22"/>
      </w:rPr>
    </w:tblStylePr>
  </w:style>
  <w:style w:type="table" w:customStyle="1" w:styleId="603">
    <w:name w:val="List Table 6 Colorful - Accent 31"/>
    <w:basedOn w:val="13"/>
    <w:uiPriority w:val="99"/>
    <w:rPr>
      <w:sz w:val="22"/>
      <w:szCs w:val="22"/>
      <w:lang w:eastAsia="en-US"/>
    </w:rPr>
    <w:tblPr>
      <w:tblBorders>
        <w:top w:val="single" w:color="C3D69B" w:sz="4" w:space="0"/>
        <w:bottom w:val="single" w:color="C3D69B" w:sz="4" w:space="0"/>
      </w:tblBorders>
      <w:tblCellMar>
        <w:top w:w="0" w:type="dxa"/>
        <w:left w:w="108" w:type="dxa"/>
        <w:bottom w:w="0" w:type="dxa"/>
        <w:right w:w="108" w:type="dxa"/>
      </w:tblCellMar>
    </w:tblPr>
    <w:tblStylePr w:type="firstRow">
      <w:rPr>
        <w:b/>
        <w:color w:val="C3D69B"/>
      </w:rPr>
      <w:tcPr>
        <w:tcBorders>
          <w:bottom w:val="single" w:color="C3D69B" w:sz="4" w:space="0"/>
        </w:tcBorders>
      </w:tcPr>
    </w:tblStylePr>
    <w:tblStylePr w:type="lastRow">
      <w:rPr>
        <w:b/>
        <w:color w:val="C3D69B"/>
      </w:rPr>
      <w:tcPr>
        <w:tcBorders>
          <w:top w:val="single" w:color="C3D69B" w:sz="4" w:space="0"/>
        </w:tcBorders>
      </w:tcPr>
    </w:tblStylePr>
    <w:tblStylePr w:type="firstCol">
      <w:rPr>
        <w:b/>
        <w:color w:val="C3D69B"/>
      </w:rPr>
    </w:tblStylePr>
    <w:tblStylePr w:type="lastCol">
      <w:rPr>
        <w:b/>
        <w:color w:val="C3D69B"/>
      </w:rPr>
    </w:tblStylePr>
    <w:tblStylePr w:type="band1Vert">
      <w:tcPr>
        <w:shd w:val="clear" w:color="E5EED5" w:fill="E5EED5"/>
      </w:tcPr>
    </w:tblStylePr>
    <w:tblStylePr w:type="band1Horz">
      <w:rPr>
        <w:rFonts w:ascii="Arial" w:hAnsi="Arial"/>
        <w:color w:val="C3D69B"/>
        <w:sz w:val="22"/>
      </w:rPr>
      <w:tcPr>
        <w:shd w:val="clear" w:color="E5EED5" w:fill="E5EED5"/>
      </w:tcPr>
    </w:tblStylePr>
    <w:tblStylePr w:type="band2Horz">
      <w:rPr>
        <w:rFonts w:ascii="Arial" w:hAnsi="Arial"/>
        <w:color w:val="C3D69B"/>
        <w:sz w:val="22"/>
      </w:rPr>
    </w:tblStylePr>
  </w:style>
  <w:style w:type="table" w:customStyle="1" w:styleId="604">
    <w:name w:val="List Table 6 Colorful - Accent 41"/>
    <w:basedOn w:val="13"/>
    <w:uiPriority w:val="99"/>
    <w:rPr>
      <w:sz w:val="22"/>
      <w:szCs w:val="22"/>
      <w:lang w:eastAsia="en-US"/>
    </w:rPr>
    <w:tblPr>
      <w:tblBorders>
        <w:top w:val="single" w:color="B2A1C6" w:sz="4" w:space="0"/>
        <w:bottom w:val="single" w:color="B2A1C6" w:sz="4" w:space="0"/>
      </w:tblBorders>
      <w:tblCellMar>
        <w:top w:w="0" w:type="dxa"/>
        <w:left w:w="108" w:type="dxa"/>
        <w:bottom w:w="0" w:type="dxa"/>
        <w:right w:w="108" w:type="dxa"/>
      </w:tblCellMar>
    </w:tblPr>
    <w:tblStylePr w:type="firstRow">
      <w:rPr>
        <w:b/>
        <w:color w:val="B2A1C6"/>
      </w:rPr>
      <w:tcPr>
        <w:tcBorders>
          <w:bottom w:val="single" w:color="B2A1C6" w:sz="4" w:space="0"/>
        </w:tcBorders>
      </w:tcPr>
    </w:tblStylePr>
    <w:tblStylePr w:type="lastRow">
      <w:rPr>
        <w:b/>
        <w:color w:val="B2A1C6"/>
      </w:rPr>
      <w:tcPr>
        <w:tcBorders>
          <w:top w:val="single" w:color="B2A1C6" w:sz="4" w:space="0"/>
        </w:tcBorders>
      </w:tcPr>
    </w:tblStylePr>
    <w:tblStylePr w:type="firstCol">
      <w:rPr>
        <w:b/>
        <w:color w:val="B2A1C6"/>
      </w:rPr>
    </w:tblStylePr>
    <w:tblStylePr w:type="lastCol">
      <w:rPr>
        <w:b/>
        <w:color w:val="B2A1C6"/>
      </w:rPr>
    </w:tblStylePr>
    <w:tblStylePr w:type="band1Vert">
      <w:tcPr>
        <w:shd w:val="clear" w:color="DFD8E7" w:fill="DFD8E7"/>
      </w:tcPr>
    </w:tblStylePr>
    <w:tblStylePr w:type="band1Horz">
      <w:rPr>
        <w:rFonts w:ascii="Arial" w:hAnsi="Arial"/>
        <w:color w:val="B2A1C6"/>
        <w:sz w:val="22"/>
      </w:rPr>
      <w:tcPr>
        <w:shd w:val="clear" w:color="DFD8E7" w:fill="DFD8E7"/>
      </w:tcPr>
    </w:tblStylePr>
    <w:tblStylePr w:type="band2Horz">
      <w:rPr>
        <w:rFonts w:ascii="Arial" w:hAnsi="Arial"/>
        <w:color w:val="B2A1C6"/>
        <w:sz w:val="22"/>
      </w:rPr>
    </w:tblStylePr>
  </w:style>
  <w:style w:type="table" w:customStyle="1" w:styleId="605">
    <w:name w:val="List Table 6 Colorful - Accent 51"/>
    <w:basedOn w:val="13"/>
    <w:uiPriority w:val="99"/>
    <w:rPr>
      <w:sz w:val="22"/>
      <w:szCs w:val="22"/>
      <w:lang w:eastAsia="en-US"/>
    </w:rPr>
    <w:tblPr>
      <w:tblBorders>
        <w:top w:val="single" w:color="92CCDC" w:sz="4" w:space="0"/>
        <w:bottom w:val="single" w:color="92CCDC" w:sz="4" w:space="0"/>
      </w:tblBorders>
      <w:tblCellMar>
        <w:top w:w="0" w:type="dxa"/>
        <w:left w:w="108" w:type="dxa"/>
        <w:bottom w:w="0" w:type="dxa"/>
        <w:right w:w="108" w:type="dxa"/>
      </w:tblCellMar>
    </w:tblPr>
    <w:tblStylePr w:type="firstRow">
      <w:rPr>
        <w:b/>
        <w:color w:val="92CCDC"/>
      </w:rPr>
      <w:tcPr>
        <w:tcBorders>
          <w:bottom w:val="single" w:color="92CCDC" w:sz="4" w:space="0"/>
        </w:tcBorders>
      </w:tcPr>
    </w:tblStylePr>
    <w:tblStylePr w:type="lastRow">
      <w:rPr>
        <w:b/>
        <w:color w:val="92CCDC"/>
      </w:rPr>
      <w:tcPr>
        <w:tcBorders>
          <w:top w:val="single" w:color="92CCDC" w:sz="4" w:space="0"/>
        </w:tcBorders>
      </w:tcPr>
    </w:tblStylePr>
    <w:tblStylePr w:type="firstCol">
      <w:rPr>
        <w:b/>
        <w:color w:val="92CCDC"/>
      </w:rPr>
    </w:tblStylePr>
    <w:tblStylePr w:type="lastCol">
      <w:rPr>
        <w:b/>
        <w:color w:val="92CCDC"/>
      </w:rPr>
    </w:tblStylePr>
    <w:tblStylePr w:type="band1Vert">
      <w:tcPr>
        <w:shd w:val="clear" w:color="D1EAF0" w:fill="D1EAF0"/>
      </w:tcPr>
    </w:tblStylePr>
    <w:tblStylePr w:type="band1Horz">
      <w:rPr>
        <w:rFonts w:ascii="Arial" w:hAnsi="Arial"/>
        <w:color w:val="92CCDC"/>
        <w:sz w:val="22"/>
      </w:rPr>
      <w:tcPr>
        <w:shd w:val="clear" w:color="D1EAF0" w:fill="D1EAF0"/>
      </w:tcPr>
    </w:tblStylePr>
    <w:tblStylePr w:type="band2Horz">
      <w:rPr>
        <w:rFonts w:ascii="Arial" w:hAnsi="Arial"/>
        <w:color w:val="92CCDC"/>
        <w:sz w:val="22"/>
      </w:rPr>
    </w:tblStylePr>
  </w:style>
  <w:style w:type="table" w:customStyle="1" w:styleId="606">
    <w:name w:val="List Table 6 Colorful - Accent 61"/>
    <w:basedOn w:val="13"/>
    <w:uiPriority w:val="99"/>
    <w:rPr>
      <w:sz w:val="22"/>
      <w:szCs w:val="22"/>
      <w:lang w:eastAsia="en-US"/>
    </w:rPr>
    <w:tblPr>
      <w:tblBorders>
        <w:top w:val="single" w:color="FAC090" w:sz="4" w:space="0"/>
        <w:bottom w:val="single" w:color="FAC090" w:sz="4" w:space="0"/>
      </w:tblBorders>
      <w:tblCellMar>
        <w:top w:w="0" w:type="dxa"/>
        <w:left w:w="108" w:type="dxa"/>
        <w:bottom w:w="0" w:type="dxa"/>
        <w:right w:w="108" w:type="dxa"/>
      </w:tblCellMar>
    </w:tblPr>
    <w:tblStylePr w:type="firstRow">
      <w:rPr>
        <w:b/>
        <w:color w:val="FAC090"/>
      </w:rPr>
      <w:tcPr>
        <w:tcBorders>
          <w:bottom w:val="single" w:color="FAC090" w:sz="4" w:space="0"/>
        </w:tcBorders>
      </w:tcPr>
    </w:tblStylePr>
    <w:tblStylePr w:type="lastRow">
      <w:rPr>
        <w:b/>
        <w:color w:val="FAC090"/>
      </w:rPr>
      <w:tcPr>
        <w:tcBorders>
          <w:top w:val="single" w:color="FAC090" w:sz="4" w:space="0"/>
        </w:tcBorders>
      </w:tcPr>
    </w:tblStylePr>
    <w:tblStylePr w:type="firstCol">
      <w:rPr>
        <w:b/>
        <w:color w:val="FAC090"/>
      </w:rPr>
    </w:tblStylePr>
    <w:tblStylePr w:type="lastCol">
      <w:rPr>
        <w:b/>
        <w:color w:val="FAC090"/>
      </w:rPr>
    </w:tblStylePr>
    <w:tblStylePr w:type="band1Vert">
      <w:tcPr>
        <w:shd w:val="clear" w:color="FDE4D0" w:fill="FDE4D0"/>
      </w:tcPr>
    </w:tblStylePr>
    <w:tblStylePr w:type="band1Horz">
      <w:rPr>
        <w:rFonts w:ascii="Arial" w:hAnsi="Arial"/>
        <w:color w:val="FAC090"/>
        <w:sz w:val="22"/>
      </w:rPr>
      <w:tcPr>
        <w:shd w:val="clear" w:color="FDE4D0" w:fill="FDE4D0"/>
      </w:tcPr>
    </w:tblStylePr>
    <w:tblStylePr w:type="band2Horz">
      <w:rPr>
        <w:rFonts w:ascii="Arial" w:hAnsi="Arial"/>
        <w:color w:val="FAC090"/>
        <w:sz w:val="22"/>
      </w:rPr>
    </w:tblStylePr>
  </w:style>
  <w:style w:type="table" w:customStyle="1" w:styleId="607">
    <w:name w:val="Список-таблица 7 цветная110"/>
    <w:basedOn w:val="13"/>
    <w:uiPriority w:val="99"/>
    <w:rPr>
      <w:sz w:val="22"/>
      <w:szCs w:val="22"/>
      <w:lang w:eastAsia="en-US"/>
    </w:rPr>
    <w:tblPr>
      <w:tblBorders>
        <w:right w:val="single" w:color="7F7F7F" w:sz="4" w:space="0"/>
      </w:tblBorders>
      <w:tblCellMar>
        <w:top w:w="0" w:type="dxa"/>
        <w:left w:w="108" w:type="dxa"/>
        <w:bottom w:w="0" w:type="dxa"/>
        <w:right w:w="108" w:type="dxa"/>
      </w:tblCellMar>
    </w:tblPr>
    <w:tblStylePr w:type="firstRow">
      <w:rPr>
        <w:rFonts w:ascii="Arial" w:hAnsi="Arial"/>
        <w:i/>
        <w:color w:val="7F7F7F"/>
        <w:sz w:val="22"/>
      </w:rPr>
      <w:tcPr>
        <w:tcBorders>
          <w:top w:val="nil"/>
          <w:left w:val="nil"/>
          <w:bottom w:val="single" w:color="7F7F7F" w:sz="4" w:space="0"/>
          <w:right w:val="nil"/>
        </w:tcBorders>
        <w:shd w:val="clear" w:color="FFFFFF" w:fill="FFFFFF"/>
      </w:tcPr>
    </w:tblStylePr>
    <w:tblStylePr w:type="lastRow">
      <w:rPr>
        <w:rFonts w:ascii="Arial" w:hAnsi="Arial"/>
        <w:i/>
        <w:color w:val="7F7F7F"/>
        <w:sz w:val="22"/>
      </w:rPr>
      <w:tcPr>
        <w:tcBorders>
          <w:top w:val="single" w:color="7F7F7F" w:sz="4" w:space="0"/>
          <w:left w:val="nil"/>
          <w:bottom w:val="nil"/>
          <w:right w:val="nil"/>
        </w:tcBorders>
        <w:shd w:val="clear" w:color="FFFFFF" w:fill="FFFFFF"/>
      </w:tcPr>
    </w:tblStylePr>
    <w:tblStylePr w:type="firstCol">
      <w:pPr>
        <w:jc w:val="right"/>
      </w:pPr>
      <w:rPr>
        <w:rFonts w:ascii="Arial" w:hAnsi="Arial"/>
        <w:i/>
        <w:color w:val="7F7F7F"/>
        <w:sz w:val="22"/>
      </w:rPr>
      <w:tcPr>
        <w:tcBorders>
          <w:top w:val="nil"/>
          <w:left w:val="nil"/>
          <w:bottom w:val="nil"/>
          <w:right w:val="single" w:color="7F7F7F" w:sz="4" w:space="0"/>
        </w:tcBorders>
        <w:shd w:val="clear" w:color="FFFFFF" w:fill="auto"/>
      </w:tcPr>
    </w:tblStylePr>
    <w:tblStylePr w:type="lastCol">
      <w:rPr>
        <w:rFonts w:ascii="Arial" w:hAnsi="Arial"/>
        <w:i/>
        <w:color w:val="7F7F7F"/>
        <w:sz w:val="22"/>
      </w:rPr>
      <w:tcPr>
        <w:tcBorders>
          <w:top w:val="nil"/>
          <w:left w:val="single" w:color="7F7F7F" w:sz="4" w:space="0"/>
          <w:bottom w:val="nil"/>
          <w:right w:val="nil"/>
        </w:tcBorders>
        <w:shd w:val="clear" w:color="FFFFFF" w:fill="auto"/>
      </w:tcPr>
    </w:tblStylePr>
    <w:tblStylePr w:type="band1Vert">
      <w:tcPr>
        <w:shd w:val="clear" w:color="BFBFBF" w:fill="BFBFBF"/>
      </w:tcPr>
    </w:tblStylePr>
    <w:tblStylePr w:type="band1Horz">
      <w:rPr>
        <w:rFonts w:ascii="Arial" w:hAnsi="Arial"/>
        <w:color w:val="7F7F7F"/>
        <w:sz w:val="22"/>
      </w:rPr>
      <w:tcPr>
        <w:shd w:val="clear" w:color="BFBFBF" w:fill="BFBFBF"/>
      </w:tcPr>
    </w:tblStylePr>
    <w:tblStylePr w:type="band2Horz">
      <w:rPr>
        <w:rFonts w:ascii="Arial" w:hAnsi="Arial"/>
        <w:color w:val="7F7F7F"/>
        <w:sz w:val="22"/>
      </w:rPr>
    </w:tblStylePr>
  </w:style>
  <w:style w:type="table" w:customStyle="1" w:styleId="608">
    <w:name w:val="List Table 7 Colorful - Accent 11"/>
    <w:basedOn w:val="13"/>
    <w:uiPriority w:val="99"/>
    <w:rPr>
      <w:sz w:val="22"/>
      <w:szCs w:val="22"/>
      <w:lang w:eastAsia="en-US"/>
    </w:rPr>
    <w:tblPr>
      <w:tblBorders>
        <w:right w:val="single" w:color="4F81BD" w:sz="4" w:space="0"/>
      </w:tblBorders>
      <w:tblCellMar>
        <w:top w:w="0" w:type="dxa"/>
        <w:left w:w="108" w:type="dxa"/>
        <w:bottom w:w="0" w:type="dxa"/>
        <w:right w:w="108" w:type="dxa"/>
      </w:tblCellMar>
    </w:tblPr>
    <w:tblStylePr w:type="firstRow">
      <w:rPr>
        <w:rFonts w:ascii="Arial" w:hAnsi="Arial"/>
        <w:i/>
        <w:color w:val="2A4A71"/>
        <w:sz w:val="22"/>
      </w:rPr>
      <w:tcPr>
        <w:tcBorders>
          <w:top w:val="nil"/>
          <w:left w:val="nil"/>
          <w:bottom w:val="single" w:color="4F81BD" w:sz="4" w:space="0"/>
          <w:right w:val="nil"/>
        </w:tcBorders>
        <w:shd w:val="clear" w:color="FFFFFF" w:fill="FFFFFF"/>
      </w:tcPr>
    </w:tblStylePr>
    <w:tblStylePr w:type="lastRow">
      <w:rPr>
        <w:rFonts w:ascii="Arial" w:hAnsi="Arial"/>
        <w:i/>
        <w:color w:val="2A4A71"/>
        <w:sz w:val="22"/>
      </w:rPr>
      <w:tcPr>
        <w:tcBorders>
          <w:top w:val="single" w:color="4F81BD" w:sz="4" w:space="0"/>
          <w:left w:val="nil"/>
          <w:bottom w:val="nil"/>
          <w:right w:val="nil"/>
        </w:tcBorders>
        <w:shd w:val="clear" w:color="FFFFFF" w:fill="FFFFFF"/>
      </w:tcPr>
    </w:tblStylePr>
    <w:tblStylePr w:type="firstCol">
      <w:pPr>
        <w:jc w:val="right"/>
      </w:pPr>
      <w:rPr>
        <w:rFonts w:ascii="Arial" w:hAnsi="Arial"/>
        <w:i/>
        <w:color w:val="2A4A71"/>
        <w:sz w:val="22"/>
      </w:rPr>
      <w:tcPr>
        <w:tcBorders>
          <w:top w:val="nil"/>
          <w:left w:val="nil"/>
          <w:bottom w:val="nil"/>
          <w:right w:val="single" w:color="4F81BD" w:sz="4" w:space="0"/>
        </w:tcBorders>
        <w:shd w:val="clear" w:color="FFFFFF" w:fill="auto"/>
      </w:tcPr>
    </w:tblStylePr>
    <w:tblStylePr w:type="lastCol">
      <w:rPr>
        <w:rFonts w:ascii="Arial" w:hAnsi="Arial"/>
        <w:i/>
        <w:color w:val="2A4A71"/>
        <w:sz w:val="22"/>
      </w:rPr>
      <w:tcPr>
        <w:tcBorders>
          <w:top w:val="nil"/>
          <w:left w:val="single" w:color="4F81BD" w:sz="4" w:space="0"/>
          <w:bottom w:val="nil"/>
          <w:right w:val="nil"/>
        </w:tcBorders>
        <w:shd w:val="clear" w:color="FFFFFF" w:fill="auto"/>
      </w:tcPr>
    </w:tblStylePr>
    <w:tblStylePr w:type="band1Vert">
      <w:tcPr>
        <w:shd w:val="clear" w:color="D2DFEE" w:fill="D2DFEE"/>
      </w:tcPr>
    </w:tblStylePr>
    <w:tblStylePr w:type="band1Horz">
      <w:rPr>
        <w:rFonts w:ascii="Arial" w:hAnsi="Arial"/>
        <w:color w:val="2A4A71"/>
        <w:sz w:val="22"/>
      </w:rPr>
      <w:tcPr>
        <w:shd w:val="clear" w:color="D2DFEE" w:fill="D2DFEE"/>
      </w:tcPr>
    </w:tblStylePr>
    <w:tblStylePr w:type="band2Horz">
      <w:rPr>
        <w:rFonts w:ascii="Arial" w:hAnsi="Arial"/>
        <w:color w:val="2A4A71"/>
        <w:sz w:val="22"/>
      </w:rPr>
    </w:tblStylePr>
  </w:style>
  <w:style w:type="table" w:customStyle="1" w:styleId="609">
    <w:name w:val="List Table 7 Colorful - Accent 21"/>
    <w:basedOn w:val="13"/>
    <w:uiPriority w:val="99"/>
    <w:rPr>
      <w:sz w:val="22"/>
      <w:szCs w:val="22"/>
      <w:lang w:eastAsia="en-US"/>
    </w:rPr>
    <w:tblPr>
      <w:tblBorders>
        <w:right w:val="single" w:color="D99695" w:sz="4" w:space="0"/>
      </w:tblBorders>
      <w:tblCellMar>
        <w:top w:w="0" w:type="dxa"/>
        <w:left w:w="108" w:type="dxa"/>
        <w:bottom w:w="0" w:type="dxa"/>
        <w:right w:w="108" w:type="dxa"/>
      </w:tblCellMar>
    </w:tblPr>
    <w:tblStylePr w:type="firstRow">
      <w:rPr>
        <w:rFonts w:ascii="Arial" w:hAnsi="Arial"/>
        <w:i/>
        <w:color w:val="D99695"/>
        <w:sz w:val="22"/>
      </w:rPr>
      <w:tcPr>
        <w:tcBorders>
          <w:top w:val="nil"/>
          <w:left w:val="nil"/>
          <w:bottom w:val="single" w:color="D99695" w:sz="4" w:space="0"/>
          <w:right w:val="nil"/>
        </w:tcBorders>
        <w:shd w:val="clear" w:color="FFFFFF" w:fill="FFFFFF"/>
      </w:tcPr>
    </w:tblStylePr>
    <w:tblStylePr w:type="lastRow">
      <w:rPr>
        <w:rFonts w:ascii="Arial" w:hAnsi="Arial"/>
        <w:i/>
        <w:color w:val="D99695"/>
        <w:sz w:val="22"/>
      </w:rPr>
      <w:tcPr>
        <w:tcBorders>
          <w:top w:val="single" w:color="D99695" w:sz="4" w:space="0"/>
          <w:left w:val="nil"/>
          <w:bottom w:val="nil"/>
          <w:right w:val="nil"/>
        </w:tcBorders>
        <w:shd w:val="clear" w:color="FFFFFF" w:fill="FFFFFF"/>
      </w:tcPr>
    </w:tblStylePr>
    <w:tblStylePr w:type="firstCol">
      <w:pPr>
        <w:jc w:val="right"/>
      </w:pPr>
      <w:rPr>
        <w:rFonts w:ascii="Arial" w:hAnsi="Arial"/>
        <w:i/>
        <w:color w:val="D99695"/>
        <w:sz w:val="22"/>
      </w:rPr>
      <w:tcPr>
        <w:tcBorders>
          <w:top w:val="nil"/>
          <w:left w:val="nil"/>
          <w:bottom w:val="nil"/>
          <w:right w:val="single" w:color="D99695" w:sz="4" w:space="0"/>
        </w:tcBorders>
        <w:shd w:val="clear" w:color="FFFFFF" w:fill="auto"/>
      </w:tcPr>
    </w:tblStylePr>
    <w:tblStylePr w:type="lastCol">
      <w:rPr>
        <w:rFonts w:ascii="Arial" w:hAnsi="Arial"/>
        <w:i/>
        <w:color w:val="D99695"/>
        <w:sz w:val="22"/>
      </w:rPr>
      <w:tcPr>
        <w:tcBorders>
          <w:top w:val="nil"/>
          <w:left w:val="single" w:color="D99695" w:sz="4" w:space="0"/>
          <w:bottom w:val="nil"/>
          <w:right w:val="nil"/>
        </w:tcBorders>
        <w:shd w:val="clear" w:color="FFFFFF" w:fill="auto"/>
      </w:tcPr>
    </w:tblStylePr>
    <w:tblStylePr w:type="band1Vert">
      <w:tcPr>
        <w:shd w:val="clear" w:color="EFD2D2" w:fill="EFD2D2"/>
      </w:tcPr>
    </w:tblStylePr>
    <w:tblStylePr w:type="band1Horz">
      <w:rPr>
        <w:rFonts w:ascii="Arial" w:hAnsi="Arial"/>
        <w:color w:val="D99695"/>
        <w:sz w:val="22"/>
      </w:rPr>
      <w:tcPr>
        <w:shd w:val="clear" w:color="EFD2D2" w:fill="EFD2D2"/>
      </w:tcPr>
    </w:tblStylePr>
    <w:tblStylePr w:type="band2Horz">
      <w:rPr>
        <w:rFonts w:ascii="Arial" w:hAnsi="Arial"/>
        <w:color w:val="D99695"/>
        <w:sz w:val="22"/>
      </w:rPr>
    </w:tblStylePr>
  </w:style>
  <w:style w:type="table" w:customStyle="1" w:styleId="610">
    <w:name w:val="List Table 7 Colorful - Accent 31"/>
    <w:basedOn w:val="13"/>
    <w:uiPriority w:val="99"/>
    <w:rPr>
      <w:sz w:val="22"/>
      <w:szCs w:val="22"/>
      <w:lang w:eastAsia="en-US"/>
    </w:rPr>
    <w:tblPr>
      <w:tblBorders>
        <w:right w:val="single" w:color="C3D69B" w:sz="4" w:space="0"/>
      </w:tblBorders>
      <w:tblCellMar>
        <w:top w:w="0" w:type="dxa"/>
        <w:left w:w="108" w:type="dxa"/>
        <w:bottom w:w="0" w:type="dxa"/>
        <w:right w:w="108" w:type="dxa"/>
      </w:tblCellMar>
    </w:tblPr>
    <w:tblStylePr w:type="firstRow">
      <w:rPr>
        <w:rFonts w:ascii="Arial" w:hAnsi="Arial"/>
        <w:i/>
        <w:color w:val="C3D69B"/>
        <w:sz w:val="22"/>
      </w:rPr>
      <w:tcPr>
        <w:tcBorders>
          <w:top w:val="nil"/>
          <w:left w:val="nil"/>
          <w:bottom w:val="single" w:color="C3D69B" w:sz="4" w:space="0"/>
          <w:right w:val="nil"/>
        </w:tcBorders>
        <w:shd w:val="clear" w:color="FFFFFF" w:fill="FFFFFF"/>
      </w:tcPr>
    </w:tblStylePr>
    <w:tblStylePr w:type="lastRow">
      <w:rPr>
        <w:rFonts w:ascii="Arial" w:hAnsi="Arial"/>
        <w:i/>
        <w:color w:val="C3D69B"/>
        <w:sz w:val="22"/>
      </w:rPr>
      <w:tcPr>
        <w:tcBorders>
          <w:top w:val="single" w:color="C3D69B" w:sz="4" w:space="0"/>
          <w:left w:val="nil"/>
          <w:bottom w:val="nil"/>
          <w:right w:val="nil"/>
        </w:tcBorders>
        <w:shd w:val="clear" w:color="FFFFFF" w:fill="FFFFFF"/>
      </w:tcPr>
    </w:tblStylePr>
    <w:tblStylePr w:type="firstCol">
      <w:pPr>
        <w:jc w:val="right"/>
      </w:pPr>
      <w:rPr>
        <w:rFonts w:ascii="Arial" w:hAnsi="Arial"/>
        <w:i/>
        <w:color w:val="C3D69B"/>
        <w:sz w:val="22"/>
      </w:rPr>
      <w:tcPr>
        <w:tcBorders>
          <w:top w:val="nil"/>
          <w:left w:val="nil"/>
          <w:bottom w:val="nil"/>
          <w:right w:val="single" w:color="C3D69B" w:sz="4" w:space="0"/>
        </w:tcBorders>
        <w:shd w:val="clear" w:color="FFFFFF" w:fill="auto"/>
      </w:tcPr>
    </w:tblStylePr>
    <w:tblStylePr w:type="lastCol">
      <w:rPr>
        <w:rFonts w:ascii="Arial" w:hAnsi="Arial"/>
        <w:i/>
        <w:color w:val="C3D69B"/>
        <w:sz w:val="22"/>
      </w:rPr>
      <w:tcPr>
        <w:tcBorders>
          <w:top w:val="nil"/>
          <w:left w:val="single" w:color="C3D69B" w:sz="4" w:space="0"/>
          <w:bottom w:val="nil"/>
          <w:right w:val="nil"/>
        </w:tcBorders>
        <w:shd w:val="clear" w:color="FFFFFF" w:fill="auto"/>
      </w:tcPr>
    </w:tblStylePr>
    <w:tblStylePr w:type="band1Vert">
      <w:tcPr>
        <w:shd w:val="clear" w:color="E5EED5" w:fill="E5EED5"/>
      </w:tcPr>
    </w:tblStylePr>
    <w:tblStylePr w:type="band1Horz">
      <w:rPr>
        <w:rFonts w:ascii="Arial" w:hAnsi="Arial"/>
        <w:color w:val="C3D69B"/>
        <w:sz w:val="22"/>
      </w:rPr>
      <w:tcPr>
        <w:shd w:val="clear" w:color="E5EED5" w:fill="E5EED5"/>
      </w:tcPr>
    </w:tblStylePr>
    <w:tblStylePr w:type="band2Horz">
      <w:rPr>
        <w:rFonts w:ascii="Arial" w:hAnsi="Arial"/>
        <w:color w:val="C3D69B"/>
        <w:sz w:val="22"/>
      </w:rPr>
    </w:tblStylePr>
  </w:style>
  <w:style w:type="table" w:customStyle="1" w:styleId="611">
    <w:name w:val="List Table 7 Colorful - Accent 41"/>
    <w:basedOn w:val="13"/>
    <w:uiPriority w:val="99"/>
    <w:rPr>
      <w:sz w:val="22"/>
      <w:szCs w:val="22"/>
      <w:lang w:eastAsia="en-US"/>
    </w:rPr>
    <w:tblPr>
      <w:tblBorders>
        <w:right w:val="single" w:color="B2A1C6" w:sz="4" w:space="0"/>
      </w:tblBorders>
      <w:tblCellMar>
        <w:top w:w="0" w:type="dxa"/>
        <w:left w:w="108" w:type="dxa"/>
        <w:bottom w:w="0" w:type="dxa"/>
        <w:right w:w="108" w:type="dxa"/>
      </w:tblCellMar>
    </w:tblPr>
    <w:tblStylePr w:type="firstRow">
      <w:rPr>
        <w:rFonts w:ascii="Arial" w:hAnsi="Arial"/>
        <w:i/>
        <w:color w:val="B2A1C6"/>
        <w:sz w:val="22"/>
      </w:rPr>
      <w:tcPr>
        <w:tcBorders>
          <w:top w:val="nil"/>
          <w:left w:val="nil"/>
          <w:bottom w:val="single" w:color="B2A1C6" w:sz="4" w:space="0"/>
          <w:right w:val="nil"/>
        </w:tcBorders>
        <w:shd w:val="clear" w:color="FFFFFF" w:fill="FFFFFF"/>
      </w:tcPr>
    </w:tblStylePr>
    <w:tblStylePr w:type="lastRow">
      <w:rPr>
        <w:rFonts w:ascii="Arial" w:hAnsi="Arial"/>
        <w:i/>
        <w:color w:val="B2A1C6"/>
        <w:sz w:val="22"/>
      </w:rPr>
      <w:tcPr>
        <w:tcBorders>
          <w:top w:val="single" w:color="B2A1C6" w:sz="4" w:space="0"/>
          <w:left w:val="nil"/>
          <w:bottom w:val="nil"/>
          <w:right w:val="nil"/>
        </w:tcBorders>
        <w:shd w:val="clear" w:color="FFFFFF" w:fill="FFFFFF"/>
      </w:tcPr>
    </w:tblStylePr>
    <w:tblStylePr w:type="firstCol">
      <w:pPr>
        <w:jc w:val="right"/>
      </w:pPr>
      <w:rPr>
        <w:rFonts w:ascii="Arial" w:hAnsi="Arial"/>
        <w:i/>
        <w:color w:val="B2A1C6"/>
        <w:sz w:val="22"/>
      </w:rPr>
      <w:tcPr>
        <w:tcBorders>
          <w:top w:val="nil"/>
          <w:left w:val="nil"/>
          <w:bottom w:val="nil"/>
          <w:right w:val="single" w:color="B2A1C6" w:sz="4" w:space="0"/>
        </w:tcBorders>
        <w:shd w:val="clear" w:color="FFFFFF" w:fill="auto"/>
      </w:tcPr>
    </w:tblStylePr>
    <w:tblStylePr w:type="lastCol">
      <w:rPr>
        <w:rFonts w:ascii="Arial" w:hAnsi="Arial"/>
        <w:i/>
        <w:color w:val="B2A1C6"/>
        <w:sz w:val="22"/>
      </w:rPr>
      <w:tcPr>
        <w:tcBorders>
          <w:top w:val="nil"/>
          <w:left w:val="single" w:color="B2A1C6" w:sz="4" w:space="0"/>
          <w:bottom w:val="nil"/>
          <w:right w:val="nil"/>
        </w:tcBorders>
        <w:shd w:val="clear" w:color="FFFFFF" w:fill="auto"/>
      </w:tcPr>
    </w:tblStylePr>
    <w:tblStylePr w:type="band1Vert">
      <w:tcPr>
        <w:shd w:val="clear" w:color="DFD8E7" w:fill="DFD8E7"/>
      </w:tcPr>
    </w:tblStylePr>
    <w:tblStylePr w:type="band1Horz">
      <w:rPr>
        <w:rFonts w:ascii="Arial" w:hAnsi="Arial"/>
        <w:color w:val="B2A1C6"/>
        <w:sz w:val="22"/>
      </w:rPr>
      <w:tcPr>
        <w:shd w:val="clear" w:color="DFD8E7" w:fill="DFD8E7"/>
      </w:tcPr>
    </w:tblStylePr>
    <w:tblStylePr w:type="band2Horz">
      <w:rPr>
        <w:rFonts w:ascii="Arial" w:hAnsi="Arial"/>
        <w:color w:val="B2A1C6"/>
        <w:sz w:val="22"/>
      </w:rPr>
    </w:tblStylePr>
  </w:style>
  <w:style w:type="table" w:customStyle="1" w:styleId="612">
    <w:name w:val="List Table 7 Colorful - Accent 51"/>
    <w:basedOn w:val="13"/>
    <w:uiPriority w:val="99"/>
    <w:rPr>
      <w:sz w:val="22"/>
      <w:szCs w:val="22"/>
      <w:lang w:eastAsia="en-US"/>
    </w:rPr>
    <w:tblPr>
      <w:tblBorders>
        <w:right w:val="single" w:color="92CCDC" w:sz="4" w:space="0"/>
      </w:tblBorders>
      <w:tblCellMar>
        <w:top w:w="0" w:type="dxa"/>
        <w:left w:w="108" w:type="dxa"/>
        <w:bottom w:w="0" w:type="dxa"/>
        <w:right w:w="108" w:type="dxa"/>
      </w:tblCellMar>
    </w:tblPr>
    <w:tblStylePr w:type="firstRow">
      <w:rPr>
        <w:rFonts w:ascii="Arial" w:hAnsi="Arial"/>
        <w:i/>
        <w:color w:val="92CCDC"/>
        <w:sz w:val="22"/>
      </w:rPr>
      <w:tcPr>
        <w:tcBorders>
          <w:top w:val="nil"/>
          <w:left w:val="nil"/>
          <w:bottom w:val="single" w:color="92CCDC" w:sz="4" w:space="0"/>
          <w:right w:val="nil"/>
        </w:tcBorders>
        <w:shd w:val="clear" w:color="FFFFFF" w:fill="FFFFFF"/>
      </w:tcPr>
    </w:tblStylePr>
    <w:tblStylePr w:type="lastRow">
      <w:rPr>
        <w:rFonts w:ascii="Arial" w:hAnsi="Arial"/>
        <w:i/>
        <w:color w:val="92CCDC"/>
        <w:sz w:val="22"/>
      </w:rPr>
      <w:tcPr>
        <w:tcBorders>
          <w:top w:val="single" w:color="92CCDC" w:sz="4" w:space="0"/>
          <w:left w:val="nil"/>
          <w:bottom w:val="nil"/>
          <w:right w:val="nil"/>
        </w:tcBorders>
        <w:shd w:val="clear" w:color="FFFFFF" w:fill="FFFFFF"/>
      </w:tcPr>
    </w:tblStylePr>
    <w:tblStylePr w:type="firstCol">
      <w:pPr>
        <w:jc w:val="right"/>
      </w:pPr>
      <w:rPr>
        <w:rFonts w:ascii="Arial" w:hAnsi="Arial"/>
        <w:i/>
        <w:color w:val="92CCDC"/>
        <w:sz w:val="22"/>
      </w:rPr>
      <w:tcPr>
        <w:tcBorders>
          <w:top w:val="nil"/>
          <w:left w:val="nil"/>
          <w:bottom w:val="nil"/>
          <w:right w:val="single" w:color="92CCDC" w:sz="4" w:space="0"/>
        </w:tcBorders>
        <w:shd w:val="clear" w:color="FFFFFF" w:fill="auto"/>
      </w:tcPr>
    </w:tblStylePr>
    <w:tblStylePr w:type="lastCol">
      <w:rPr>
        <w:rFonts w:ascii="Arial" w:hAnsi="Arial"/>
        <w:i/>
        <w:color w:val="92CCDC"/>
        <w:sz w:val="22"/>
      </w:rPr>
      <w:tcPr>
        <w:tcBorders>
          <w:top w:val="nil"/>
          <w:left w:val="single" w:color="92CCDC" w:sz="4" w:space="0"/>
          <w:bottom w:val="nil"/>
          <w:right w:val="nil"/>
        </w:tcBorders>
        <w:shd w:val="clear" w:color="FFFFFF" w:fill="auto"/>
      </w:tcPr>
    </w:tblStylePr>
    <w:tblStylePr w:type="band1Vert">
      <w:tcPr>
        <w:shd w:val="clear" w:color="D1EAF0" w:fill="D1EAF0"/>
      </w:tcPr>
    </w:tblStylePr>
    <w:tblStylePr w:type="band1Horz">
      <w:rPr>
        <w:rFonts w:ascii="Arial" w:hAnsi="Arial"/>
        <w:color w:val="92CCDC"/>
        <w:sz w:val="22"/>
      </w:rPr>
      <w:tcPr>
        <w:shd w:val="clear" w:color="D1EAF0" w:fill="D1EAF0"/>
      </w:tcPr>
    </w:tblStylePr>
    <w:tblStylePr w:type="band2Horz">
      <w:rPr>
        <w:rFonts w:ascii="Arial" w:hAnsi="Arial"/>
        <w:color w:val="92CCDC"/>
        <w:sz w:val="22"/>
      </w:rPr>
    </w:tblStylePr>
  </w:style>
  <w:style w:type="table" w:customStyle="1" w:styleId="613">
    <w:name w:val="List Table 7 Colorful - Accent 61"/>
    <w:basedOn w:val="13"/>
    <w:uiPriority w:val="99"/>
    <w:rPr>
      <w:sz w:val="22"/>
      <w:szCs w:val="22"/>
      <w:lang w:eastAsia="en-US"/>
    </w:rPr>
    <w:tblPr>
      <w:tblBorders>
        <w:right w:val="single" w:color="FAC090" w:sz="4" w:space="0"/>
      </w:tblBorders>
      <w:tblCellMar>
        <w:top w:w="0" w:type="dxa"/>
        <w:left w:w="108" w:type="dxa"/>
        <w:bottom w:w="0" w:type="dxa"/>
        <w:right w:w="108" w:type="dxa"/>
      </w:tblCellMar>
    </w:tblPr>
    <w:tblStylePr w:type="firstRow">
      <w:rPr>
        <w:rFonts w:ascii="Arial" w:hAnsi="Arial"/>
        <w:i/>
        <w:color w:val="FAC090"/>
        <w:sz w:val="22"/>
      </w:rPr>
      <w:tcPr>
        <w:tcBorders>
          <w:top w:val="nil"/>
          <w:left w:val="nil"/>
          <w:bottom w:val="single" w:color="FAC090" w:sz="4" w:space="0"/>
          <w:right w:val="nil"/>
        </w:tcBorders>
        <w:shd w:val="clear" w:color="FFFFFF" w:fill="FFFFFF"/>
      </w:tcPr>
    </w:tblStylePr>
    <w:tblStylePr w:type="lastRow">
      <w:rPr>
        <w:rFonts w:ascii="Arial" w:hAnsi="Arial"/>
        <w:i/>
        <w:color w:val="FAC090"/>
        <w:sz w:val="22"/>
      </w:rPr>
      <w:tcPr>
        <w:tcBorders>
          <w:top w:val="single" w:color="FAC090" w:sz="4" w:space="0"/>
          <w:left w:val="nil"/>
          <w:bottom w:val="nil"/>
          <w:right w:val="nil"/>
        </w:tcBorders>
        <w:shd w:val="clear" w:color="FFFFFF" w:fill="FFFFFF"/>
      </w:tcPr>
    </w:tblStylePr>
    <w:tblStylePr w:type="firstCol">
      <w:pPr>
        <w:jc w:val="right"/>
      </w:pPr>
      <w:rPr>
        <w:rFonts w:ascii="Arial" w:hAnsi="Arial"/>
        <w:i/>
        <w:color w:val="FAC090"/>
        <w:sz w:val="22"/>
      </w:rPr>
      <w:tcPr>
        <w:tcBorders>
          <w:top w:val="nil"/>
          <w:left w:val="nil"/>
          <w:bottom w:val="nil"/>
          <w:right w:val="single" w:color="FAC090" w:sz="4" w:space="0"/>
        </w:tcBorders>
        <w:shd w:val="clear" w:color="FFFFFF" w:fill="auto"/>
      </w:tcPr>
    </w:tblStylePr>
    <w:tblStylePr w:type="lastCol">
      <w:rPr>
        <w:rFonts w:ascii="Arial" w:hAnsi="Arial"/>
        <w:i/>
        <w:color w:val="FAC090"/>
        <w:sz w:val="22"/>
      </w:rPr>
      <w:tcPr>
        <w:tcBorders>
          <w:top w:val="nil"/>
          <w:left w:val="single" w:color="FAC090" w:sz="4" w:space="0"/>
          <w:bottom w:val="nil"/>
          <w:right w:val="nil"/>
        </w:tcBorders>
        <w:shd w:val="clear" w:color="FFFFFF" w:fill="auto"/>
      </w:tcPr>
    </w:tblStylePr>
    <w:tblStylePr w:type="band1Vert">
      <w:tcPr>
        <w:shd w:val="clear" w:color="FDE4D0" w:fill="FDE4D0"/>
      </w:tcPr>
    </w:tblStylePr>
    <w:tblStylePr w:type="band1Horz">
      <w:rPr>
        <w:rFonts w:ascii="Arial" w:hAnsi="Arial"/>
        <w:color w:val="FAC090"/>
        <w:sz w:val="22"/>
      </w:rPr>
      <w:tcPr>
        <w:shd w:val="clear" w:color="FDE4D0" w:fill="FDE4D0"/>
      </w:tcPr>
    </w:tblStylePr>
    <w:tblStylePr w:type="band2Horz">
      <w:rPr>
        <w:rFonts w:ascii="Arial" w:hAnsi="Arial"/>
        <w:color w:val="FAC090"/>
        <w:sz w:val="22"/>
      </w:rPr>
    </w:tblStylePr>
  </w:style>
  <w:style w:type="table" w:customStyle="1" w:styleId="614">
    <w:name w:val="Lined - Accent1"/>
    <w:basedOn w:val="13"/>
    <w:uiPriority w:val="99"/>
    <w:rPr>
      <w:color w:val="404040"/>
    </w:rPr>
    <w:tblPr>
      <w:tblCellMar>
        <w:top w:w="0" w:type="dxa"/>
        <w:left w:w="108" w:type="dxa"/>
        <w:bottom w:w="0" w:type="dxa"/>
        <w:right w:w="108" w:type="dxa"/>
      </w:tblCellMar>
    </w:tblPr>
    <w:tblStylePr w:type="firstRow">
      <w:rPr>
        <w:rFonts w:ascii="Arial" w:hAnsi="Arial"/>
        <w:color w:val="F2F2F2"/>
        <w:sz w:val="22"/>
      </w:rPr>
      <w:tcPr>
        <w:shd w:val="clear" w:color="7F7F7F" w:fill="7F7F7F"/>
      </w:tcPr>
    </w:tblStylePr>
    <w:tblStylePr w:type="lastRow">
      <w:rPr>
        <w:rFonts w:ascii="Arial" w:hAnsi="Arial"/>
        <w:color w:val="F2F2F2"/>
        <w:sz w:val="22"/>
      </w:rPr>
      <w:tcPr>
        <w:shd w:val="clear" w:color="7F7F7F" w:fill="7F7F7F"/>
      </w:tcPr>
    </w:tblStylePr>
    <w:tblStylePr w:type="firstCol">
      <w:rPr>
        <w:rFonts w:ascii="Arial" w:hAnsi="Arial"/>
        <w:color w:val="F2F2F2"/>
        <w:sz w:val="22"/>
      </w:rPr>
      <w:tcPr>
        <w:shd w:val="clear" w:color="7F7F7F" w:fill="7F7F7F"/>
      </w:tcPr>
    </w:tblStylePr>
    <w:tblStylePr w:type="lastCol">
      <w:rPr>
        <w:rFonts w:ascii="Arial" w:hAnsi="Arial"/>
        <w:color w:val="F2F2F2"/>
        <w:sz w:val="22"/>
      </w:rPr>
      <w:tcPr>
        <w:shd w:val="clear" w:color="7F7F7F" w:fill="7F7F7F"/>
      </w:tcPr>
    </w:tblStylePr>
    <w:tblStylePr w:type="band1Vert">
      <w:rPr>
        <w:rFonts w:ascii="Arial" w:hAnsi="Arial"/>
        <w:color w:val="404040"/>
        <w:sz w:val="22"/>
      </w:rPr>
    </w:tblStylePr>
    <w:tblStylePr w:type="band2Vert">
      <w:rPr>
        <w:rFonts w:ascii="Arial" w:hAnsi="Arial"/>
        <w:color w:val="404040"/>
        <w:sz w:val="22"/>
      </w:rPr>
      <w:tcPr>
        <w:shd w:val="clear" w:color="F2F2F2" w:fill="F2F2F2"/>
      </w:tcPr>
    </w:tblStylePr>
    <w:tblStylePr w:type="band1Horz">
      <w:rPr>
        <w:rFonts w:ascii="Arial" w:hAnsi="Arial"/>
        <w:color w:val="404040"/>
        <w:sz w:val="22"/>
      </w:rPr>
    </w:tblStylePr>
    <w:tblStylePr w:type="band2Horz">
      <w:rPr>
        <w:rFonts w:ascii="Arial" w:hAnsi="Arial"/>
        <w:color w:val="404040"/>
        <w:sz w:val="22"/>
      </w:rPr>
      <w:tcPr>
        <w:shd w:val="clear" w:color="F2F2F2" w:fill="F2F2F2"/>
      </w:tcPr>
    </w:tblStylePr>
  </w:style>
  <w:style w:type="table" w:customStyle="1" w:styleId="615">
    <w:name w:val="Lined - Accent 11"/>
    <w:basedOn w:val="13"/>
    <w:uiPriority w:val="99"/>
    <w:rPr>
      <w:color w:val="404040"/>
    </w:rPr>
    <w:tblPr>
      <w:tblCellMar>
        <w:top w:w="0" w:type="dxa"/>
        <w:left w:w="108" w:type="dxa"/>
        <w:bottom w:w="0" w:type="dxa"/>
        <w:right w:w="108" w:type="dxa"/>
      </w:tblCellMar>
    </w:tblPr>
    <w:tblStylePr w:type="firstRow">
      <w:rPr>
        <w:rFonts w:ascii="Arial" w:hAnsi="Arial"/>
        <w:color w:val="F2F2F2"/>
        <w:sz w:val="22"/>
      </w:rPr>
      <w:tcPr>
        <w:shd w:val="clear" w:color="5D8AC2" w:fill="5D8AC2"/>
      </w:tcPr>
    </w:tblStylePr>
    <w:tblStylePr w:type="lastRow">
      <w:rPr>
        <w:rFonts w:ascii="Arial" w:hAnsi="Arial"/>
        <w:color w:val="F2F2F2"/>
        <w:sz w:val="22"/>
      </w:rPr>
      <w:tcPr>
        <w:shd w:val="clear" w:color="5D8AC2" w:fill="5D8AC2"/>
      </w:tcPr>
    </w:tblStylePr>
    <w:tblStylePr w:type="firstCol">
      <w:rPr>
        <w:rFonts w:ascii="Arial" w:hAnsi="Arial"/>
        <w:color w:val="F2F2F2"/>
        <w:sz w:val="22"/>
      </w:rPr>
      <w:tcPr>
        <w:shd w:val="clear" w:color="5D8AC2" w:fill="5D8AC2"/>
      </w:tcPr>
    </w:tblStylePr>
    <w:tblStylePr w:type="lastCol">
      <w:rPr>
        <w:rFonts w:ascii="Arial" w:hAnsi="Arial"/>
        <w:color w:val="F2F2F2"/>
        <w:sz w:val="22"/>
      </w:rPr>
      <w:tcPr>
        <w:shd w:val="clear" w:color="5D8AC2" w:fill="5D8AC2"/>
      </w:tcPr>
    </w:tblStylePr>
    <w:tblStylePr w:type="band1Vert">
      <w:rPr>
        <w:rFonts w:ascii="Arial" w:hAnsi="Arial"/>
        <w:color w:val="404040"/>
        <w:sz w:val="22"/>
      </w:rPr>
    </w:tblStylePr>
    <w:tblStylePr w:type="band2Vert">
      <w:rPr>
        <w:rFonts w:ascii="Arial" w:hAnsi="Arial"/>
        <w:color w:val="404040"/>
        <w:sz w:val="22"/>
      </w:rPr>
      <w:tcPr>
        <w:shd w:val="clear" w:color="C7D7EA" w:fill="C7D7EA"/>
      </w:tcPr>
    </w:tblStylePr>
    <w:tblStylePr w:type="band1Horz">
      <w:rPr>
        <w:rFonts w:ascii="Arial" w:hAnsi="Arial"/>
        <w:color w:val="404040"/>
        <w:sz w:val="22"/>
      </w:rPr>
    </w:tblStylePr>
    <w:tblStylePr w:type="band2Horz">
      <w:rPr>
        <w:rFonts w:ascii="Arial" w:hAnsi="Arial"/>
        <w:color w:val="404040"/>
        <w:sz w:val="22"/>
      </w:rPr>
      <w:tcPr>
        <w:shd w:val="clear" w:color="C7D7EA" w:fill="C7D7EA"/>
      </w:tcPr>
    </w:tblStylePr>
  </w:style>
  <w:style w:type="table" w:customStyle="1" w:styleId="616">
    <w:name w:val="Lined - Accent 21"/>
    <w:basedOn w:val="13"/>
    <w:uiPriority w:val="99"/>
    <w:rPr>
      <w:color w:val="404040"/>
    </w:rPr>
    <w:tblPr>
      <w:tblCellMar>
        <w:top w:w="0" w:type="dxa"/>
        <w:left w:w="108" w:type="dxa"/>
        <w:bottom w:w="0" w:type="dxa"/>
        <w:right w:w="108" w:type="dxa"/>
      </w:tblCellMar>
    </w:tblPr>
    <w:tblStylePr w:type="firstRow">
      <w:rPr>
        <w:rFonts w:ascii="Arial" w:hAnsi="Arial"/>
        <w:color w:val="F2F2F2"/>
        <w:sz w:val="22"/>
      </w:rPr>
      <w:tcPr>
        <w:shd w:val="clear" w:color="D99695" w:fill="D99695"/>
      </w:tcPr>
    </w:tblStylePr>
    <w:tblStylePr w:type="lastRow">
      <w:rPr>
        <w:rFonts w:ascii="Arial" w:hAnsi="Arial"/>
        <w:color w:val="F2F2F2"/>
        <w:sz w:val="22"/>
      </w:rPr>
      <w:tcPr>
        <w:shd w:val="clear" w:color="D99695" w:fill="D99695"/>
      </w:tcPr>
    </w:tblStylePr>
    <w:tblStylePr w:type="firstCol">
      <w:rPr>
        <w:rFonts w:ascii="Arial" w:hAnsi="Arial"/>
        <w:color w:val="F2F2F2"/>
        <w:sz w:val="22"/>
      </w:rPr>
      <w:tcPr>
        <w:shd w:val="clear" w:color="D99695" w:fill="D99695"/>
      </w:tcPr>
    </w:tblStylePr>
    <w:tblStylePr w:type="lastCol">
      <w:rPr>
        <w:rFonts w:ascii="Arial" w:hAnsi="Arial"/>
        <w:color w:val="F2F2F2"/>
        <w:sz w:val="22"/>
      </w:rPr>
      <w:tcPr>
        <w:shd w:val="clear" w:color="D99695" w:fill="D99695"/>
      </w:tcPr>
    </w:tblStylePr>
    <w:tblStylePr w:type="band1Vert">
      <w:rPr>
        <w:rFonts w:ascii="Arial" w:hAnsi="Arial"/>
        <w:color w:val="404040"/>
        <w:sz w:val="22"/>
      </w:rPr>
    </w:tblStylePr>
    <w:tblStylePr w:type="band2Vert">
      <w:rPr>
        <w:rFonts w:ascii="Arial" w:hAnsi="Arial"/>
        <w:color w:val="404040"/>
        <w:sz w:val="22"/>
      </w:rPr>
      <w:tcPr>
        <w:shd w:val="clear" w:color="F2DCDC" w:fill="F2DCDC"/>
      </w:tcPr>
    </w:tblStylePr>
    <w:tblStylePr w:type="band1Horz">
      <w:rPr>
        <w:rFonts w:ascii="Arial" w:hAnsi="Arial"/>
        <w:color w:val="404040"/>
        <w:sz w:val="22"/>
      </w:rPr>
    </w:tblStylePr>
    <w:tblStylePr w:type="band2Horz">
      <w:rPr>
        <w:rFonts w:ascii="Arial" w:hAnsi="Arial"/>
        <w:color w:val="404040"/>
        <w:sz w:val="22"/>
      </w:rPr>
      <w:tcPr>
        <w:shd w:val="clear" w:color="F2DCDC" w:fill="F2DCDC"/>
      </w:tcPr>
    </w:tblStylePr>
  </w:style>
  <w:style w:type="table" w:customStyle="1" w:styleId="617">
    <w:name w:val="Lined - Accent 31"/>
    <w:basedOn w:val="13"/>
    <w:uiPriority w:val="99"/>
    <w:rPr>
      <w:color w:val="404040"/>
    </w:rPr>
    <w:tblPr>
      <w:tblCellMar>
        <w:top w:w="0" w:type="dxa"/>
        <w:left w:w="108" w:type="dxa"/>
        <w:bottom w:w="0" w:type="dxa"/>
        <w:right w:w="108" w:type="dxa"/>
      </w:tblCellMar>
    </w:tblPr>
    <w:tblStylePr w:type="firstRow">
      <w:rPr>
        <w:rFonts w:ascii="Arial" w:hAnsi="Arial"/>
        <w:color w:val="F2F2F2"/>
        <w:sz w:val="22"/>
      </w:rPr>
      <w:tcPr>
        <w:shd w:val="clear" w:color="9ABB59" w:fill="9ABB59"/>
      </w:tcPr>
    </w:tblStylePr>
    <w:tblStylePr w:type="lastRow">
      <w:rPr>
        <w:rFonts w:ascii="Arial" w:hAnsi="Arial"/>
        <w:color w:val="F2F2F2"/>
        <w:sz w:val="22"/>
      </w:rPr>
      <w:tcPr>
        <w:shd w:val="clear" w:color="9ABB59" w:fill="9ABB59"/>
      </w:tcPr>
    </w:tblStylePr>
    <w:tblStylePr w:type="firstCol">
      <w:rPr>
        <w:rFonts w:ascii="Arial" w:hAnsi="Arial"/>
        <w:color w:val="F2F2F2"/>
        <w:sz w:val="22"/>
      </w:rPr>
      <w:tcPr>
        <w:shd w:val="clear" w:color="9ABB59" w:fill="9ABB59"/>
      </w:tcPr>
    </w:tblStylePr>
    <w:tblStylePr w:type="lastCol">
      <w:rPr>
        <w:rFonts w:ascii="Arial" w:hAnsi="Arial"/>
        <w:color w:val="F2F2F2"/>
        <w:sz w:val="22"/>
      </w:rPr>
      <w:tcPr>
        <w:shd w:val="clear" w:color="9ABB59" w:fill="9ABB59"/>
      </w:tcPr>
    </w:tblStylePr>
    <w:tblStylePr w:type="band1Vert">
      <w:rPr>
        <w:rFonts w:ascii="Arial" w:hAnsi="Arial"/>
        <w:color w:val="404040"/>
        <w:sz w:val="22"/>
      </w:rPr>
    </w:tblStylePr>
    <w:tblStylePr w:type="band2Vert">
      <w:rPr>
        <w:rFonts w:ascii="Arial" w:hAnsi="Arial"/>
        <w:color w:val="404040"/>
        <w:sz w:val="22"/>
      </w:rPr>
      <w:tcPr>
        <w:shd w:val="clear" w:color="EAF1DC" w:fill="EAF1DC"/>
      </w:tcPr>
    </w:tblStylePr>
    <w:tblStylePr w:type="band1Horz">
      <w:rPr>
        <w:rFonts w:ascii="Arial" w:hAnsi="Arial"/>
        <w:color w:val="404040"/>
        <w:sz w:val="22"/>
      </w:rPr>
    </w:tblStylePr>
    <w:tblStylePr w:type="band2Horz">
      <w:rPr>
        <w:rFonts w:ascii="Arial" w:hAnsi="Arial"/>
        <w:color w:val="404040"/>
        <w:sz w:val="22"/>
      </w:rPr>
      <w:tcPr>
        <w:shd w:val="clear" w:color="EAF1DC" w:fill="EAF1DC"/>
      </w:tcPr>
    </w:tblStylePr>
  </w:style>
  <w:style w:type="table" w:customStyle="1" w:styleId="618">
    <w:name w:val="Lined - Accent 41"/>
    <w:basedOn w:val="13"/>
    <w:uiPriority w:val="99"/>
    <w:rPr>
      <w:color w:val="404040"/>
    </w:rPr>
    <w:tblPr>
      <w:tblCellMar>
        <w:top w:w="0" w:type="dxa"/>
        <w:left w:w="108" w:type="dxa"/>
        <w:bottom w:w="0" w:type="dxa"/>
        <w:right w:w="108" w:type="dxa"/>
      </w:tblCellMar>
    </w:tblPr>
    <w:tblStylePr w:type="firstRow">
      <w:rPr>
        <w:rFonts w:ascii="Arial" w:hAnsi="Arial"/>
        <w:color w:val="F2F2F2"/>
        <w:sz w:val="22"/>
      </w:rPr>
      <w:tcPr>
        <w:shd w:val="clear" w:color="B2A1C6" w:fill="B2A1C6"/>
      </w:tcPr>
    </w:tblStylePr>
    <w:tblStylePr w:type="lastRow">
      <w:rPr>
        <w:rFonts w:ascii="Arial" w:hAnsi="Arial"/>
        <w:color w:val="F2F2F2"/>
        <w:sz w:val="22"/>
      </w:rPr>
      <w:tcPr>
        <w:shd w:val="clear" w:color="B2A1C6" w:fill="B2A1C6"/>
      </w:tcPr>
    </w:tblStylePr>
    <w:tblStylePr w:type="firstCol">
      <w:rPr>
        <w:rFonts w:ascii="Arial" w:hAnsi="Arial"/>
        <w:color w:val="F2F2F2"/>
        <w:sz w:val="22"/>
      </w:rPr>
      <w:tcPr>
        <w:shd w:val="clear" w:color="B2A1C6" w:fill="B2A1C6"/>
      </w:tcPr>
    </w:tblStylePr>
    <w:tblStylePr w:type="lastCol">
      <w:rPr>
        <w:rFonts w:ascii="Arial" w:hAnsi="Arial"/>
        <w:color w:val="F2F2F2"/>
        <w:sz w:val="22"/>
      </w:rPr>
      <w:tcPr>
        <w:shd w:val="clear" w:color="B2A1C6" w:fill="B2A1C6"/>
      </w:tcPr>
    </w:tblStylePr>
    <w:tblStylePr w:type="band1Vert">
      <w:rPr>
        <w:rFonts w:ascii="Arial" w:hAnsi="Arial"/>
        <w:color w:val="404040"/>
        <w:sz w:val="22"/>
      </w:rPr>
    </w:tblStylePr>
    <w:tblStylePr w:type="band2Vert">
      <w:rPr>
        <w:rFonts w:ascii="Arial" w:hAnsi="Arial"/>
        <w:color w:val="404040"/>
        <w:sz w:val="22"/>
      </w:rPr>
      <w:tcPr>
        <w:shd w:val="clear" w:color="E5DFEC" w:fill="E5DFEC"/>
      </w:tcPr>
    </w:tblStylePr>
    <w:tblStylePr w:type="band1Horz">
      <w:rPr>
        <w:rFonts w:ascii="Arial" w:hAnsi="Arial"/>
        <w:color w:val="404040"/>
        <w:sz w:val="22"/>
      </w:rPr>
    </w:tblStylePr>
    <w:tblStylePr w:type="band2Horz">
      <w:rPr>
        <w:rFonts w:ascii="Arial" w:hAnsi="Arial"/>
        <w:color w:val="404040"/>
        <w:sz w:val="22"/>
      </w:rPr>
      <w:tcPr>
        <w:shd w:val="clear" w:color="E5DFEC" w:fill="E5DFEC"/>
      </w:tcPr>
    </w:tblStylePr>
  </w:style>
  <w:style w:type="table" w:customStyle="1" w:styleId="619">
    <w:name w:val="Lined - Accent 51"/>
    <w:basedOn w:val="13"/>
    <w:uiPriority w:val="99"/>
    <w:rPr>
      <w:color w:val="404040"/>
    </w:rPr>
    <w:tblPr>
      <w:tblCellMar>
        <w:top w:w="0" w:type="dxa"/>
        <w:left w:w="108" w:type="dxa"/>
        <w:bottom w:w="0" w:type="dxa"/>
        <w:right w:w="108" w:type="dxa"/>
      </w:tblCellMar>
    </w:tblPr>
    <w:tblStylePr w:type="firstRow">
      <w:rPr>
        <w:rFonts w:ascii="Arial" w:hAnsi="Arial"/>
        <w:color w:val="F2F2F2"/>
        <w:sz w:val="22"/>
      </w:rPr>
      <w:tcPr>
        <w:shd w:val="clear" w:color="4BACC6" w:fill="4BACC6"/>
      </w:tcPr>
    </w:tblStylePr>
    <w:tblStylePr w:type="lastRow">
      <w:rPr>
        <w:rFonts w:ascii="Arial" w:hAnsi="Arial"/>
        <w:color w:val="F2F2F2"/>
        <w:sz w:val="22"/>
      </w:rPr>
      <w:tcPr>
        <w:shd w:val="clear" w:color="4BACC6" w:fill="4BACC6"/>
      </w:tcPr>
    </w:tblStylePr>
    <w:tblStylePr w:type="firstCol">
      <w:rPr>
        <w:rFonts w:ascii="Arial" w:hAnsi="Arial"/>
        <w:color w:val="F2F2F2"/>
        <w:sz w:val="22"/>
      </w:rPr>
      <w:tcPr>
        <w:shd w:val="clear" w:color="4BACC6" w:fill="4BACC6"/>
      </w:tcPr>
    </w:tblStylePr>
    <w:tblStylePr w:type="lastCol">
      <w:rPr>
        <w:rFonts w:ascii="Arial" w:hAnsi="Arial"/>
        <w:color w:val="F2F2F2"/>
        <w:sz w:val="22"/>
      </w:rPr>
      <w:tcPr>
        <w:shd w:val="clear" w:color="4BACC6" w:fill="4BACC6"/>
      </w:tcPr>
    </w:tblStylePr>
    <w:tblStylePr w:type="band1Vert">
      <w:rPr>
        <w:rFonts w:ascii="Arial" w:hAnsi="Arial"/>
        <w:color w:val="404040"/>
        <w:sz w:val="22"/>
      </w:rPr>
    </w:tblStylePr>
    <w:tblStylePr w:type="band2Vert">
      <w:rPr>
        <w:rFonts w:ascii="Arial" w:hAnsi="Arial"/>
        <w:color w:val="404040"/>
        <w:sz w:val="22"/>
      </w:rPr>
      <w:tcPr>
        <w:shd w:val="clear" w:color="DAEEF3" w:fill="DAEEF3"/>
      </w:tcPr>
    </w:tblStylePr>
    <w:tblStylePr w:type="band1Horz">
      <w:rPr>
        <w:rFonts w:ascii="Arial" w:hAnsi="Arial"/>
        <w:color w:val="404040"/>
        <w:sz w:val="22"/>
      </w:rPr>
    </w:tblStylePr>
    <w:tblStylePr w:type="band2Horz">
      <w:rPr>
        <w:rFonts w:ascii="Arial" w:hAnsi="Arial"/>
        <w:color w:val="404040"/>
        <w:sz w:val="22"/>
      </w:rPr>
      <w:tcPr>
        <w:shd w:val="clear" w:color="DAEEF3" w:fill="DAEEF3"/>
      </w:tcPr>
    </w:tblStylePr>
  </w:style>
  <w:style w:type="table" w:customStyle="1" w:styleId="620">
    <w:name w:val="Lined - Accent 61"/>
    <w:basedOn w:val="13"/>
    <w:uiPriority w:val="99"/>
    <w:rPr>
      <w:color w:val="404040"/>
    </w:rPr>
    <w:tblPr>
      <w:tblCellMar>
        <w:top w:w="0" w:type="dxa"/>
        <w:left w:w="108" w:type="dxa"/>
        <w:bottom w:w="0" w:type="dxa"/>
        <w:right w:w="108" w:type="dxa"/>
      </w:tblCellMar>
    </w:tblPr>
    <w:tblStylePr w:type="firstRow">
      <w:rPr>
        <w:rFonts w:ascii="Arial" w:hAnsi="Arial"/>
        <w:color w:val="F2F2F2"/>
        <w:sz w:val="22"/>
      </w:rPr>
      <w:tcPr>
        <w:shd w:val="clear" w:color="F79646" w:fill="F79646"/>
      </w:tcPr>
    </w:tblStylePr>
    <w:tblStylePr w:type="lastRow">
      <w:rPr>
        <w:rFonts w:ascii="Arial" w:hAnsi="Arial"/>
        <w:color w:val="F2F2F2"/>
        <w:sz w:val="22"/>
      </w:rPr>
      <w:tcPr>
        <w:shd w:val="clear" w:color="F79646" w:fill="F79646"/>
      </w:tcPr>
    </w:tblStylePr>
    <w:tblStylePr w:type="firstCol">
      <w:rPr>
        <w:rFonts w:ascii="Arial" w:hAnsi="Arial"/>
        <w:color w:val="F2F2F2"/>
        <w:sz w:val="22"/>
      </w:rPr>
      <w:tcPr>
        <w:shd w:val="clear" w:color="F79646" w:fill="F79646"/>
      </w:tcPr>
    </w:tblStylePr>
    <w:tblStylePr w:type="lastCol">
      <w:rPr>
        <w:rFonts w:ascii="Arial" w:hAnsi="Arial"/>
        <w:color w:val="F2F2F2"/>
        <w:sz w:val="22"/>
      </w:rPr>
      <w:tcPr>
        <w:shd w:val="clear" w:color="F79646" w:fill="F79646"/>
      </w:tcPr>
    </w:tblStylePr>
    <w:tblStylePr w:type="band1Vert">
      <w:rPr>
        <w:rFonts w:ascii="Arial" w:hAnsi="Arial"/>
        <w:color w:val="404040"/>
        <w:sz w:val="22"/>
      </w:rPr>
    </w:tblStylePr>
    <w:tblStylePr w:type="band2Vert">
      <w:rPr>
        <w:rFonts w:ascii="Arial" w:hAnsi="Arial"/>
        <w:color w:val="404040"/>
        <w:sz w:val="22"/>
      </w:rPr>
      <w:tcPr>
        <w:shd w:val="clear" w:color="FDE9D8" w:fill="FDE9D8"/>
      </w:tcPr>
    </w:tblStylePr>
    <w:tblStylePr w:type="band1Horz">
      <w:rPr>
        <w:rFonts w:ascii="Arial" w:hAnsi="Arial"/>
        <w:color w:val="404040"/>
        <w:sz w:val="22"/>
      </w:rPr>
    </w:tblStylePr>
    <w:tblStylePr w:type="band2Horz">
      <w:rPr>
        <w:rFonts w:ascii="Arial" w:hAnsi="Arial"/>
        <w:color w:val="404040"/>
        <w:sz w:val="22"/>
      </w:rPr>
      <w:tcPr>
        <w:shd w:val="clear" w:color="FDE9D8" w:fill="FDE9D8"/>
      </w:tcPr>
    </w:tblStylePr>
  </w:style>
  <w:style w:type="table" w:customStyle="1" w:styleId="621">
    <w:name w:val="Bordered &amp; Lined - Accent1"/>
    <w:basedOn w:val="13"/>
    <w:uiPriority w:val="99"/>
    <w:rPr>
      <w:color w:val="404040"/>
    </w:rPr>
    <w:tblPr>
      <w:tblBorders>
        <w:top w:val="single" w:color="595959" w:sz="4" w:space="0"/>
        <w:left w:val="single" w:color="595959" w:sz="4" w:space="0"/>
        <w:bottom w:val="single" w:color="595959" w:sz="4" w:space="0"/>
        <w:right w:val="single" w:color="595959" w:sz="4" w:space="0"/>
        <w:insideH w:val="single" w:color="595959" w:sz="4" w:space="0"/>
        <w:insideV w:val="single" w:color="595959" w:sz="4" w:space="0"/>
      </w:tblBorders>
      <w:tblCellMar>
        <w:top w:w="0" w:type="dxa"/>
        <w:left w:w="108" w:type="dxa"/>
        <w:bottom w:w="0" w:type="dxa"/>
        <w:right w:w="108" w:type="dxa"/>
      </w:tblCellMar>
    </w:tblPr>
    <w:tblStylePr w:type="firstRow">
      <w:rPr>
        <w:rFonts w:ascii="Arial" w:hAnsi="Arial"/>
        <w:color w:val="F2F2F2"/>
        <w:sz w:val="22"/>
      </w:rPr>
      <w:tcPr>
        <w:shd w:val="clear" w:color="7F7F7F" w:fill="7F7F7F"/>
      </w:tcPr>
    </w:tblStylePr>
    <w:tblStylePr w:type="lastRow">
      <w:rPr>
        <w:rFonts w:ascii="Arial" w:hAnsi="Arial"/>
        <w:color w:val="F2F2F2"/>
        <w:sz w:val="22"/>
      </w:rPr>
      <w:tcPr>
        <w:shd w:val="clear" w:color="7F7F7F" w:fill="7F7F7F"/>
      </w:tcPr>
    </w:tblStylePr>
    <w:tblStylePr w:type="firstCol">
      <w:rPr>
        <w:rFonts w:ascii="Arial" w:hAnsi="Arial"/>
        <w:color w:val="F2F2F2"/>
        <w:sz w:val="22"/>
      </w:rPr>
      <w:tcPr>
        <w:shd w:val="clear" w:color="7F7F7F" w:fill="7F7F7F"/>
      </w:tcPr>
    </w:tblStylePr>
    <w:tblStylePr w:type="lastCol">
      <w:rPr>
        <w:rFonts w:ascii="Arial" w:hAnsi="Arial"/>
        <w:color w:val="F2F2F2"/>
        <w:sz w:val="22"/>
      </w:rPr>
      <w:tcPr>
        <w:shd w:val="clear" w:color="7F7F7F" w:fill="7F7F7F"/>
      </w:tcPr>
    </w:tblStylePr>
    <w:tblStylePr w:type="band1Vert">
      <w:rPr>
        <w:rFonts w:ascii="Arial" w:hAnsi="Arial"/>
        <w:color w:val="404040"/>
        <w:sz w:val="22"/>
      </w:rPr>
    </w:tblStylePr>
    <w:tblStylePr w:type="band2Vert">
      <w:rPr>
        <w:rFonts w:ascii="Arial" w:hAnsi="Arial"/>
        <w:color w:val="404040"/>
        <w:sz w:val="22"/>
      </w:rPr>
      <w:tcPr>
        <w:shd w:val="clear" w:color="F2F2F2" w:fill="F2F2F2"/>
      </w:tcPr>
    </w:tblStylePr>
    <w:tblStylePr w:type="band1Horz">
      <w:rPr>
        <w:rFonts w:ascii="Arial" w:hAnsi="Arial"/>
        <w:color w:val="404040"/>
        <w:sz w:val="22"/>
      </w:rPr>
    </w:tblStylePr>
    <w:tblStylePr w:type="band2Horz">
      <w:rPr>
        <w:rFonts w:ascii="Arial" w:hAnsi="Arial"/>
        <w:color w:val="404040"/>
        <w:sz w:val="22"/>
      </w:rPr>
      <w:tcPr>
        <w:shd w:val="clear" w:color="F2F2F2" w:fill="F2F2F2"/>
      </w:tcPr>
    </w:tblStylePr>
  </w:style>
  <w:style w:type="table" w:customStyle="1" w:styleId="622">
    <w:name w:val="Bordered &amp; Lined - Accent 11"/>
    <w:basedOn w:val="13"/>
    <w:uiPriority w:val="99"/>
    <w:rPr>
      <w:color w:val="404040"/>
    </w:rPr>
    <w:tblPr>
      <w:tblBorders>
        <w:top w:val="single" w:color="2A4A71" w:sz="4" w:space="0"/>
        <w:left w:val="single" w:color="2A4A71" w:sz="4" w:space="0"/>
        <w:bottom w:val="single" w:color="2A4A71" w:sz="4" w:space="0"/>
        <w:right w:val="single" w:color="2A4A71" w:sz="4" w:space="0"/>
        <w:insideH w:val="single" w:color="2A4A71" w:sz="4" w:space="0"/>
        <w:insideV w:val="single" w:color="2A4A71" w:sz="4" w:space="0"/>
      </w:tblBorders>
      <w:tblCellMar>
        <w:top w:w="0" w:type="dxa"/>
        <w:left w:w="108" w:type="dxa"/>
        <w:bottom w:w="0" w:type="dxa"/>
        <w:right w:w="108" w:type="dxa"/>
      </w:tblCellMar>
    </w:tblPr>
    <w:tblStylePr w:type="firstRow">
      <w:rPr>
        <w:rFonts w:ascii="Arial" w:hAnsi="Arial"/>
        <w:color w:val="F2F2F2"/>
        <w:sz w:val="22"/>
      </w:rPr>
      <w:tcPr>
        <w:shd w:val="clear" w:color="5D8AC2" w:fill="5D8AC2"/>
      </w:tcPr>
    </w:tblStylePr>
    <w:tblStylePr w:type="lastRow">
      <w:rPr>
        <w:rFonts w:ascii="Arial" w:hAnsi="Arial"/>
        <w:color w:val="F2F2F2"/>
        <w:sz w:val="22"/>
      </w:rPr>
      <w:tcPr>
        <w:shd w:val="clear" w:color="5D8AC2" w:fill="5D8AC2"/>
      </w:tcPr>
    </w:tblStylePr>
    <w:tblStylePr w:type="firstCol">
      <w:rPr>
        <w:rFonts w:ascii="Arial" w:hAnsi="Arial"/>
        <w:color w:val="F2F2F2"/>
        <w:sz w:val="22"/>
      </w:rPr>
      <w:tcPr>
        <w:shd w:val="clear" w:color="5D8AC2" w:fill="5D8AC2"/>
      </w:tcPr>
    </w:tblStylePr>
    <w:tblStylePr w:type="lastCol">
      <w:rPr>
        <w:rFonts w:ascii="Arial" w:hAnsi="Arial"/>
        <w:color w:val="F2F2F2"/>
        <w:sz w:val="22"/>
      </w:rPr>
      <w:tcPr>
        <w:shd w:val="clear" w:color="5D8AC2" w:fill="5D8AC2"/>
      </w:tcPr>
    </w:tblStylePr>
    <w:tblStylePr w:type="band1Vert">
      <w:rPr>
        <w:rFonts w:ascii="Arial" w:hAnsi="Arial"/>
        <w:color w:val="404040"/>
        <w:sz w:val="22"/>
      </w:rPr>
    </w:tblStylePr>
    <w:tblStylePr w:type="band2Vert">
      <w:rPr>
        <w:rFonts w:ascii="Arial" w:hAnsi="Arial"/>
        <w:color w:val="404040"/>
        <w:sz w:val="22"/>
      </w:rPr>
      <w:tcPr>
        <w:shd w:val="clear" w:color="C7D7EA" w:fill="C7D7EA"/>
      </w:tcPr>
    </w:tblStylePr>
    <w:tblStylePr w:type="band1Horz">
      <w:rPr>
        <w:rFonts w:ascii="Arial" w:hAnsi="Arial"/>
        <w:color w:val="404040"/>
        <w:sz w:val="22"/>
      </w:rPr>
    </w:tblStylePr>
    <w:tblStylePr w:type="band2Horz">
      <w:rPr>
        <w:rFonts w:ascii="Arial" w:hAnsi="Arial"/>
        <w:color w:val="404040"/>
        <w:sz w:val="22"/>
      </w:rPr>
      <w:tcPr>
        <w:shd w:val="clear" w:color="C7D7EA" w:fill="C7D7EA"/>
      </w:tcPr>
    </w:tblStylePr>
  </w:style>
  <w:style w:type="table" w:customStyle="1" w:styleId="623">
    <w:name w:val="Bordered &amp; Lined - Accent 21"/>
    <w:basedOn w:val="13"/>
    <w:uiPriority w:val="99"/>
    <w:rPr>
      <w:color w:val="404040"/>
    </w:rPr>
    <w:tblPr>
      <w:tblBorders>
        <w:top w:val="single" w:color="732A29" w:sz="4" w:space="0"/>
        <w:left w:val="single" w:color="732A29" w:sz="4" w:space="0"/>
        <w:bottom w:val="single" w:color="732A29" w:sz="4" w:space="0"/>
        <w:right w:val="single" w:color="732A29" w:sz="4" w:space="0"/>
        <w:insideH w:val="single" w:color="732A29" w:sz="4" w:space="0"/>
        <w:insideV w:val="single" w:color="732A29" w:sz="4" w:space="0"/>
      </w:tblBorders>
      <w:tblCellMar>
        <w:top w:w="0" w:type="dxa"/>
        <w:left w:w="108" w:type="dxa"/>
        <w:bottom w:w="0" w:type="dxa"/>
        <w:right w:w="108" w:type="dxa"/>
      </w:tblCellMar>
    </w:tblPr>
    <w:tblStylePr w:type="firstRow">
      <w:rPr>
        <w:rFonts w:ascii="Arial" w:hAnsi="Arial"/>
        <w:color w:val="F2F2F2"/>
        <w:sz w:val="22"/>
      </w:rPr>
      <w:tcPr>
        <w:shd w:val="clear" w:color="D99695" w:fill="D99695"/>
      </w:tcPr>
    </w:tblStylePr>
    <w:tblStylePr w:type="lastRow">
      <w:rPr>
        <w:rFonts w:ascii="Arial" w:hAnsi="Arial"/>
        <w:color w:val="F2F2F2"/>
        <w:sz w:val="22"/>
      </w:rPr>
      <w:tcPr>
        <w:shd w:val="clear" w:color="D99695" w:fill="D99695"/>
      </w:tcPr>
    </w:tblStylePr>
    <w:tblStylePr w:type="firstCol">
      <w:rPr>
        <w:rFonts w:ascii="Arial" w:hAnsi="Arial"/>
        <w:color w:val="F2F2F2"/>
        <w:sz w:val="22"/>
      </w:rPr>
      <w:tcPr>
        <w:shd w:val="clear" w:color="D99695" w:fill="D99695"/>
      </w:tcPr>
    </w:tblStylePr>
    <w:tblStylePr w:type="lastCol">
      <w:rPr>
        <w:rFonts w:ascii="Arial" w:hAnsi="Arial"/>
        <w:color w:val="F2F2F2"/>
        <w:sz w:val="22"/>
      </w:rPr>
      <w:tcPr>
        <w:shd w:val="clear" w:color="D99695" w:fill="D99695"/>
      </w:tcPr>
    </w:tblStylePr>
    <w:tblStylePr w:type="band1Vert">
      <w:rPr>
        <w:rFonts w:ascii="Arial" w:hAnsi="Arial"/>
        <w:color w:val="404040"/>
        <w:sz w:val="22"/>
      </w:rPr>
    </w:tblStylePr>
    <w:tblStylePr w:type="band2Vert">
      <w:rPr>
        <w:rFonts w:ascii="Arial" w:hAnsi="Arial"/>
        <w:color w:val="404040"/>
        <w:sz w:val="22"/>
      </w:rPr>
      <w:tcPr>
        <w:shd w:val="clear" w:color="F2DCDC" w:fill="F2DCDC"/>
      </w:tcPr>
    </w:tblStylePr>
    <w:tblStylePr w:type="band1Horz">
      <w:rPr>
        <w:rFonts w:ascii="Arial" w:hAnsi="Arial"/>
        <w:color w:val="404040"/>
        <w:sz w:val="22"/>
      </w:rPr>
    </w:tblStylePr>
    <w:tblStylePr w:type="band2Horz">
      <w:rPr>
        <w:rFonts w:ascii="Arial" w:hAnsi="Arial"/>
        <w:color w:val="404040"/>
        <w:sz w:val="22"/>
      </w:rPr>
      <w:tcPr>
        <w:shd w:val="clear" w:color="F2DCDC" w:fill="F2DCDC"/>
      </w:tcPr>
    </w:tblStylePr>
  </w:style>
  <w:style w:type="table" w:customStyle="1" w:styleId="624">
    <w:name w:val="Bordered &amp; Lined - Accent 31"/>
    <w:basedOn w:val="13"/>
    <w:uiPriority w:val="99"/>
    <w:rPr>
      <w:color w:val="404040"/>
    </w:rPr>
    <w:tblPr>
      <w:tblBorders>
        <w:top w:val="single" w:color="5B722E" w:sz="4" w:space="0"/>
        <w:left w:val="single" w:color="5B722E" w:sz="4" w:space="0"/>
        <w:bottom w:val="single" w:color="5B722E" w:sz="4" w:space="0"/>
        <w:right w:val="single" w:color="5B722E" w:sz="4" w:space="0"/>
        <w:insideH w:val="single" w:color="5B722E" w:sz="4" w:space="0"/>
        <w:insideV w:val="single" w:color="5B722E" w:sz="4" w:space="0"/>
      </w:tblBorders>
      <w:tblCellMar>
        <w:top w:w="0" w:type="dxa"/>
        <w:left w:w="108" w:type="dxa"/>
        <w:bottom w:w="0" w:type="dxa"/>
        <w:right w:w="108" w:type="dxa"/>
      </w:tblCellMar>
    </w:tblPr>
    <w:tblStylePr w:type="firstRow">
      <w:rPr>
        <w:rFonts w:ascii="Arial" w:hAnsi="Arial"/>
        <w:color w:val="F2F2F2"/>
        <w:sz w:val="22"/>
      </w:rPr>
      <w:tcPr>
        <w:shd w:val="clear" w:color="9ABB59" w:fill="9ABB59"/>
      </w:tcPr>
    </w:tblStylePr>
    <w:tblStylePr w:type="lastRow">
      <w:rPr>
        <w:rFonts w:ascii="Arial" w:hAnsi="Arial"/>
        <w:color w:val="F2F2F2"/>
        <w:sz w:val="22"/>
      </w:rPr>
      <w:tcPr>
        <w:shd w:val="clear" w:color="9ABB59" w:fill="9ABB59"/>
      </w:tcPr>
    </w:tblStylePr>
    <w:tblStylePr w:type="firstCol">
      <w:rPr>
        <w:rFonts w:ascii="Arial" w:hAnsi="Arial"/>
        <w:color w:val="F2F2F2"/>
        <w:sz w:val="22"/>
      </w:rPr>
      <w:tcPr>
        <w:shd w:val="clear" w:color="9ABB59" w:fill="9ABB59"/>
      </w:tcPr>
    </w:tblStylePr>
    <w:tblStylePr w:type="lastCol">
      <w:rPr>
        <w:rFonts w:ascii="Arial" w:hAnsi="Arial"/>
        <w:color w:val="F2F2F2"/>
        <w:sz w:val="22"/>
      </w:rPr>
      <w:tcPr>
        <w:shd w:val="clear" w:color="9ABB59" w:fill="9ABB59"/>
      </w:tcPr>
    </w:tblStylePr>
    <w:tblStylePr w:type="band1Vert">
      <w:rPr>
        <w:rFonts w:ascii="Arial" w:hAnsi="Arial"/>
        <w:color w:val="404040"/>
        <w:sz w:val="22"/>
      </w:rPr>
    </w:tblStylePr>
    <w:tblStylePr w:type="band2Vert">
      <w:rPr>
        <w:rFonts w:ascii="Arial" w:hAnsi="Arial"/>
        <w:color w:val="404040"/>
        <w:sz w:val="22"/>
      </w:rPr>
      <w:tcPr>
        <w:shd w:val="clear" w:color="EAF1DC" w:fill="EAF1DC"/>
      </w:tcPr>
    </w:tblStylePr>
    <w:tblStylePr w:type="band1Horz">
      <w:rPr>
        <w:rFonts w:ascii="Arial" w:hAnsi="Arial"/>
        <w:color w:val="404040"/>
        <w:sz w:val="22"/>
      </w:rPr>
    </w:tblStylePr>
    <w:tblStylePr w:type="band2Horz">
      <w:rPr>
        <w:rFonts w:ascii="Arial" w:hAnsi="Arial"/>
        <w:color w:val="404040"/>
        <w:sz w:val="22"/>
      </w:rPr>
      <w:tcPr>
        <w:shd w:val="clear" w:color="EAF1DC" w:fill="EAF1DC"/>
      </w:tcPr>
    </w:tblStylePr>
  </w:style>
  <w:style w:type="table" w:customStyle="1" w:styleId="625">
    <w:name w:val="Bordered &amp; Lined - Accent 41"/>
    <w:basedOn w:val="13"/>
    <w:uiPriority w:val="99"/>
    <w:rPr>
      <w:color w:val="404040"/>
    </w:rPr>
    <w:tblPr>
      <w:tblBorders>
        <w:top w:val="single" w:color="4A395F" w:sz="4" w:space="0"/>
        <w:left w:val="single" w:color="4A395F" w:sz="4" w:space="0"/>
        <w:bottom w:val="single" w:color="4A395F" w:sz="4" w:space="0"/>
        <w:right w:val="single" w:color="4A395F" w:sz="4" w:space="0"/>
        <w:insideH w:val="single" w:color="4A395F" w:sz="4" w:space="0"/>
        <w:insideV w:val="single" w:color="4A395F" w:sz="4" w:space="0"/>
      </w:tblBorders>
      <w:tblCellMar>
        <w:top w:w="0" w:type="dxa"/>
        <w:left w:w="108" w:type="dxa"/>
        <w:bottom w:w="0" w:type="dxa"/>
        <w:right w:w="108" w:type="dxa"/>
      </w:tblCellMar>
    </w:tblPr>
    <w:tblStylePr w:type="firstRow">
      <w:rPr>
        <w:rFonts w:ascii="Arial" w:hAnsi="Arial"/>
        <w:color w:val="F2F2F2"/>
        <w:sz w:val="22"/>
      </w:rPr>
      <w:tcPr>
        <w:shd w:val="clear" w:color="B2A1C6" w:fill="B2A1C6"/>
      </w:tcPr>
    </w:tblStylePr>
    <w:tblStylePr w:type="lastRow">
      <w:rPr>
        <w:rFonts w:ascii="Arial" w:hAnsi="Arial"/>
        <w:color w:val="F2F2F2"/>
        <w:sz w:val="22"/>
      </w:rPr>
      <w:tcPr>
        <w:shd w:val="clear" w:color="B2A1C6" w:fill="B2A1C6"/>
      </w:tcPr>
    </w:tblStylePr>
    <w:tblStylePr w:type="firstCol">
      <w:rPr>
        <w:rFonts w:ascii="Arial" w:hAnsi="Arial"/>
        <w:color w:val="F2F2F2"/>
        <w:sz w:val="22"/>
      </w:rPr>
      <w:tcPr>
        <w:shd w:val="clear" w:color="B2A1C6" w:fill="B2A1C6"/>
      </w:tcPr>
    </w:tblStylePr>
    <w:tblStylePr w:type="lastCol">
      <w:rPr>
        <w:rFonts w:ascii="Arial" w:hAnsi="Arial"/>
        <w:color w:val="F2F2F2"/>
        <w:sz w:val="22"/>
      </w:rPr>
      <w:tcPr>
        <w:shd w:val="clear" w:color="B2A1C6" w:fill="B2A1C6"/>
      </w:tcPr>
    </w:tblStylePr>
    <w:tblStylePr w:type="band1Vert">
      <w:rPr>
        <w:rFonts w:ascii="Arial" w:hAnsi="Arial"/>
        <w:color w:val="404040"/>
        <w:sz w:val="22"/>
      </w:rPr>
    </w:tblStylePr>
    <w:tblStylePr w:type="band2Vert">
      <w:rPr>
        <w:rFonts w:ascii="Arial" w:hAnsi="Arial"/>
        <w:color w:val="404040"/>
        <w:sz w:val="22"/>
      </w:rPr>
      <w:tcPr>
        <w:shd w:val="clear" w:color="E5DFEC" w:fill="E5DFEC"/>
      </w:tcPr>
    </w:tblStylePr>
    <w:tblStylePr w:type="band1Horz">
      <w:rPr>
        <w:rFonts w:ascii="Arial" w:hAnsi="Arial"/>
        <w:color w:val="404040"/>
        <w:sz w:val="22"/>
      </w:rPr>
    </w:tblStylePr>
    <w:tblStylePr w:type="band2Horz">
      <w:rPr>
        <w:rFonts w:ascii="Arial" w:hAnsi="Arial"/>
        <w:color w:val="404040"/>
        <w:sz w:val="22"/>
      </w:rPr>
      <w:tcPr>
        <w:shd w:val="clear" w:color="E5DFEC" w:fill="E5DFEC"/>
      </w:tcPr>
    </w:tblStylePr>
  </w:style>
  <w:style w:type="table" w:customStyle="1" w:styleId="626">
    <w:name w:val="Bordered &amp; Lined - Accent 51"/>
    <w:basedOn w:val="13"/>
    <w:uiPriority w:val="99"/>
    <w:rPr>
      <w:color w:val="404040"/>
    </w:rPr>
    <w:tblPr>
      <w:tblBorders>
        <w:top w:val="single" w:color="266779" w:sz="4" w:space="0"/>
        <w:left w:val="single" w:color="266779" w:sz="4" w:space="0"/>
        <w:bottom w:val="single" w:color="266779" w:sz="4" w:space="0"/>
        <w:right w:val="single" w:color="266779" w:sz="4" w:space="0"/>
        <w:insideH w:val="single" w:color="266779" w:sz="4" w:space="0"/>
        <w:insideV w:val="single" w:color="266779" w:sz="4" w:space="0"/>
      </w:tblBorders>
      <w:tblCellMar>
        <w:top w:w="0" w:type="dxa"/>
        <w:left w:w="108" w:type="dxa"/>
        <w:bottom w:w="0" w:type="dxa"/>
        <w:right w:w="108" w:type="dxa"/>
      </w:tblCellMar>
    </w:tblPr>
    <w:tblStylePr w:type="firstRow">
      <w:rPr>
        <w:rFonts w:ascii="Arial" w:hAnsi="Arial"/>
        <w:color w:val="F2F2F2"/>
        <w:sz w:val="22"/>
      </w:rPr>
      <w:tcPr>
        <w:shd w:val="clear" w:color="4BACC6" w:fill="4BACC6"/>
      </w:tcPr>
    </w:tblStylePr>
    <w:tblStylePr w:type="lastRow">
      <w:rPr>
        <w:rFonts w:ascii="Arial" w:hAnsi="Arial"/>
        <w:color w:val="F2F2F2"/>
        <w:sz w:val="22"/>
      </w:rPr>
      <w:tcPr>
        <w:shd w:val="clear" w:color="4BACC6" w:fill="4BACC6"/>
      </w:tcPr>
    </w:tblStylePr>
    <w:tblStylePr w:type="firstCol">
      <w:rPr>
        <w:rFonts w:ascii="Arial" w:hAnsi="Arial"/>
        <w:color w:val="F2F2F2"/>
        <w:sz w:val="22"/>
      </w:rPr>
      <w:tcPr>
        <w:shd w:val="clear" w:color="4BACC6" w:fill="4BACC6"/>
      </w:tcPr>
    </w:tblStylePr>
    <w:tblStylePr w:type="lastCol">
      <w:rPr>
        <w:rFonts w:ascii="Arial" w:hAnsi="Arial"/>
        <w:color w:val="F2F2F2"/>
        <w:sz w:val="22"/>
      </w:rPr>
      <w:tcPr>
        <w:shd w:val="clear" w:color="4BACC6" w:fill="4BACC6"/>
      </w:tcPr>
    </w:tblStylePr>
    <w:tblStylePr w:type="band1Vert">
      <w:rPr>
        <w:rFonts w:ascii="Arial" w:hAnsi="Arial"/>
        <w:color w:val="404040"/>
        <w:sz w:val="22"/>
      </w:rPr>
    </w:tblStylePr>
    <w:tblStylePr w:type="band2Vert">
      <w:rPr>
        <w:rFonts w:ascii="Arial" w:hAnsi="Arial"/>
        <w:color w:val="404040"/>
        <w:sz w:val="22"/>
      </w:rPr>
      <w:tcPr>
        <w:shd w:val="clear" w:color="DAEEF3" w:fill="DAEEF3"/>
      </w:tcPr>
    </w:tblStylePr>
    <w:tblStylePr w:type="band1Horz">
      <w:rPr>
        <w:rFonts w:ascii="Arial" w:hAnsi="Arial"/>
        <w:color w:val="404040"/>
        <w:sz w:val="22"/>
      </w:rPr>
    </w:tblStylePr>
    <w:tblStylePr w:type="band2Horz">
      <w:rPr>
        <w:rFonts w:ascii="Arial" w:hAnsi="Arial"/>
        <w:color w:val="404040"/>
        <w:sz w:val="22"/>
      </w:rPr>
      <w:tcPr>
        <w:shd w:val="clear" w:color="DAEEF3" w:fill="DAEEF3"/>
      </w:tcPr>
    </w:tblStylePr>
  </w:style>
  <w:style w:type="table" w:customStyle="1" w:styleId="627">
    <w:name w:val="Bordered &amp; Lined - Accent 61"/>
    <w:basedOn w:val="13"/>
    <w:uiPriority w:val="99"/>
    <w:rPr>
      <w:color w:val="404040"/>
    </w:rPr>
    <w:tblPr>
      <w:tblBorders>
        <w:top w:val="single" w:color="B15407" w:sz="4" w:space="0"/>
        <w:left w:val="single" w:color="B15407" w:sz="4" w:space="0"/>
        <w:bottom w:val="single" w:color="B15407" w:sz="4" w:space="0"/>
        <w:right w:val="single" w:color="B15407" w:sz="4" w:space="0"/>
        <w:insideH w:val="single" w:color="B15407" w:sz="4" w:space="0"/>
        <w:insideV w:val="single" w:color="B15407" w:sz="4" w:space="0"/>
      </w:tblBorders>
      <w:tblCellMar>
        <w:top w:w="0" w:type="dxa"/>
        <w:left w:w="108" w:type="dxa"/>
        <w:bottom w:w="0" w:type="dxa"/>
        <w:right w:w="108" w:type="dxa"/>
      </w:tblCellMar>
    </w:tblPr>
    <w:tblStylePr w:type="firstRow">
      <w:rPr>
        <w:rFonts w:ascii="Arial" w:hAnsi="Arial"/>
        <w:color w:val="F2F2F2"/>
        <w:sz w:val="22"/>
      </w:rPr>
      <w:tcPr>
        <w:shd w:val="clear" w:color="F79646" w:fill="F79646"/>
      </w:tcPr>
    </w:tblStylePr>
    <w:tblStylePr w:type="lastRow">
      <w:rPr>
        <w:rFonts w:ascii="Arial" w:hAnsi="Arial"/>
        <w:color w:val="F2F2F2"/>
        <w:sz w:val="22"/>
      </w:rPr>
      <w:tcPr>
        <w:shd w:val="clear" w:color="F79646" w:fill="F79646"/>
      </w:tcPr>
    </w:tblStylePr>
    <w:tblStylePr w:type="firstCol">
      <w:rPr>
        <w:rFonts w:ascii="Arial" w:hAnsi="Arial"/>
        <w:color w:val="F2F2F2"/>
        <w:sz w:val="22"/>
      </w:rPr>
      <w:tcPr>
        <w:shd w:val="clear" w:color="F79646" w:fill="F79646"/>
      </w:tcPr>
    </w:tblStylePr>
    <w:tblStylePr w:type="lastCol">
      <w:rPr>
        <w:rFonts w:ascii="Arial" w:hAnsi="Arial"/>
        <w:color w:val="F2F2F2"/>
        <w:sz w:val="22"/>
      </w:rPr>
      <w:tcPr>
        <w:shd w:val="clear" w:color="F79646" w:fill="F79646"/>
      </w:tcPr>
    </w:tblStylePr>
    <w:tblStylePr w:type="band1Vert">
      <w:rPr>
        <w:rFonts w:ascii="Arial" w:hAnsi="Arial"/>
        <w:color w:val="404040"/>
        <w:sz w:val="22"/>
      </w:rPr>
    </w:tblStylePr>
    <w:tblStylePr w:type="band2Vert">
      <w:rPr>
        <w:rFonts w:ascii="Arial" w:hAnsi="Arial"/>
        <w:color w:val="404040"/>
        <w:sz w:val="22"/>
      </w:rPr>
      <w:tcPr>
        <w:shd w:val="clear" w:color="FDE9D8" w:fill="FDE9D8"/>
      </w:tcPr>
    </w:tblStylePr>
    <w:tblStylePr w:type="band1Horz">
      <w:rPr>
        <w:rFonts w:ascii="Arial" w:hAnsi="Arial"/>
        <w:color w:val="404040"/>
        <w:sz w:val="22"/>
      </w:rPr>
    </w:tblStylePr>
    <w:tblStylePr w:type="band2Horz">
      <w:rPr>
        <w:rFonts w:ascii="Arial" w:hAnsi="Arial"/>
        <w:color w:val="404040"/>
        <w:sz w:val="22"/>
      </w:rPr>
      <w:tcPr>
        <w:shd w:val="clear" w:color="FDE9D8" w:fill="FDE9D8"/>
      </w:tcPr>
    </w:tblStylePr>
  </w:style>
  <w:style w:type="table" w:customStyle="1" w:styleId="628">
    <w:name w:val="Bordered1"/>
    <w:basedOn w:val="13"/>
    <w:uiPriority w:val="99"/>
    <w:rPr>
      <w:sz w:val="22"/>
      <w:szCs w:val="22"/>
      <w:lang w:eastAsia="en-US"/>
    </w:rPr>
    <w:tblPr>
      <w:tblBorders>
        <w:top w:val="single" w:color="D9D9D9" w:sz="4" w:space="0"/>
        <w:left w:val="single" w:color="D9D9D9" w:sz="4" w:space="0"/>
        <w:bottom w:val="single" w:color="D9D9D9" w:sz="4" w:space="0"/>
        <w:right w:val="single" w:color="D9D9D9" w:sz="4" w:space="0"/>
        <w:insideH w:val="single" w:color="D9D9D9" w:sz="4" w:space="0"/>
        <w:insideV w:val="single" w:color="D9D9D9" w:sz="4" w:space="0"/>
      </w:tblBorders>
      <w:tblCellMar>
        <w:top w:w="0" w:type="dxa"/>
        <w:left w:w="108" w:type="dxa"/>
        <w:bottom w:w="0" w:type="dxa"/>
        <w:right w:w="108" w:type="dxa"/>
      </w:tblCellMar>
    </w:tblPr>
    <w:tblStylePr w:type="firstRow">
      <w:rPr>
        <w:rFonts w:ascii="Arial" w:hAnsi="Arial"/>
        <w:color w:val="404040"/>
        <w:sz w:val="22"/>
      </w:rPr>
      <w:tcPr>
        <w:tcBorders>
          <w:bottom w:val="single" w:color="7F7F7F" w:sz="12" w:space="0"/>
        </w:tcBorders>
      </w:tcPr>
    </w:tblStylePr>
    <w:tblStylePr w:type="lastRow">
      <w:rPr>
        <w:rFonts w:ascii="Arial" w:hAnsi="Arial"/>
        <w:color w:val="404040"/>
        <w:sz w:val="22"/>
      </w:rPr>
      <w:tcPr>
        <w:tcBorders>
          <w:top w:val="single" w:color="7F7F7F"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7F7F7F" w:sz="12" w:space="0"/>
        </w:tcBorders>
      </w:tcPr>
    </w:tblStylePr>
    <w:tblStylePr w:type="band1Horz">
      <w:rPr>
        <w:rFonts w:ascii="Arial" w:hAnsi="Arial"/>
        <w:color w:val="404040"/>
        <w:sz w:val="22"/>
      </w:rPr>
      <w:tcPr>
        <w:tcBorders>
          <w:top w:val="single" w:color="D9D9D9" w:sz="4" w:space="0"/>
          <w:left w:val="single" w:color="D9D9D9" w:sz="4" w:space="0"/>
          <w:bottom w:val="single" w:color="D9D9D9" w:sz="4" w:space="0"/>
          <w:right w:val="single" w:color="D9D9D9" w:sz="4" w:space="0"/>
        </w:tcBorders>
      </w:tcPr>
    </w:tblStylePr>
  </w:style>
  <w:style w:type="table" w:customStyle="1" w:styleId="629">
    <w:name w:val="Bordered - Accent 11"/>
    <w:basedOn w:val="13"/>
    <w:uiPriority w:val="99"/>
    <w:rPr>
      <w:sz w:val="22"/>
      <w:szCs w:val="22"/>
      <w:lang w:eastAsia="en-US"/>
    </w:rPr>
    <w:tblPr>
      <w:tblBorders>
        <w:top w:val="single" w:color="B7CBE4" w:sz="4" w:space="0"/>
        <w:left w:val="single" w:color="B7CBE4" w:sz="4" w:space="0"/>
        <w:bottom w:val="single" w:color="B7CBE4" w:sz="4" w:space="0"/>
        <w:right w:val="single" w:color="B7CBE4" w:sz="4" w:space="0"/>
        <w:insideH w:val="single" w:color="B7CBE4" w:sz="4" w:space="0"/>
        <w:insideV w:val="single" w:color="B7CBE4" w:sz="4" w:space="0"/>
      </w:tblBorders>
      <w:tblCellMar>
        <w:top w:w="0" w:type="dxa"/>
        <w:left w:w="108" w:type="dxa"/>
        <w:bottom w:w="0" w:type="dxa"/>
        <w:right w:w="108" w:type="dxa"/>
      </w:tblCellMar>
    </w:tblPr>
    <w:tblStylePr w:type="firstRow">
      <w:rPr>
        <w:rFonts w:ascii="Arial" w:hAnsi="Arial"/>
        <w:color w:val="404040"/>
        <w:sz w:val="22"/>
      </w:rPr>
      <w:tcPr>
        <w:tcBorders>
          <w:bottom w:val="single" w:color="4F81BD" w:sz="12" w:space="0"/>
        </w:tcBorders>
      </w:tcPr>
    </w:tblStylePr>
    <w:tblStylePr w:type="lastRow">
      <w:rPr>
        <w:rFonts w:ascii="Arial" w:hAnsi="Arial"/>
        <w:color w:val="404040"/>
        <w:sz w:val="22"/>
      </w:rPr>
      <w:tcPr>
        <w:tcBorders>
          <w:top w:val="single" w:color="4F81BD"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4F81BD" w:sz="12" w:space="0"/>
        </w:tcBorders>
      </w:tcPr>
    </w:tblStylePr>
    <w:tblStylePr w:type="band1Horz">
      <w:rPr>
        <w:rFonts w:ascii="Arial" w:hAnsi="Arial"/>
        <w:color w:val="404040"/>
        <w:sz w:val="22"/>
      </w:rPr>
      <w:tcPr>
        <w:tcBorders>
          <w:top w:val="single" w:color="B7CBE4" w:sz="4" w:space="0"/>
          <w:left w:val="single" w:color="B7CBE4" w:sz="4" w:space="0"/>
          <w:bottom w:val="single" w:color="B7CBE4" w:sz="4" w:space="0"/>
          <w:right w:val="single" w:color="B7CBE4" w:sz="4" w:space="0"/>
        </w:tcBorders>
      </w:tcPr>
    </w:tblStylePr>
  </w:style>
  <w:style w:type="table" w:customStyle="1" w:styleId="630">
    <w:name w:val="Bordered - Accent 21"/>
    <w:basedOn w:val="13"/>
    <w:uiPriority w:val="99"/>
    <w:rPr>
      <w:sz w:val="22"/>
      <w:szCs w:val="22"/>
      <w:lang w:eastAsia="en-US"/>
    </w:rPr>
    <w:tblPr>
      <w:tblBorders>
        <w:top w:val="single" w:color="E5B7B6" w:sz="4" w:space="0"/>
        <w:left w:val="single" w:color="E5B7B6" w:sz="4" w:space="0"/>
        <w:bottom w:val="single" w:color="E5B7B6" w:sz="4" w:space="0"/>
        <w:right w:val="single" w:color="E5B7B6" w:sz="4" w:space="0"/>
        <w:insideH w:val="single" w:color="E5B7B6" w:sz="4" w:space="0"/>
        <w:insideV w:val="single" w:color="E5B7B6" w:sz="4" w:space="0"/>
      </w:tblBorders>
      <w:tblCellMar>
        <w:top w:w="0" w:type="dxa"/>
        <w:left w:w="108" w:type="dxa"/>
        <w:bottom w:w="0" w:type="dxa"/>
        <w:right w:w="108" w:type="dxa"/>
      </w:tblCellMar>
    </w:tblPr>
    <w:tblStylePr w:type="firstRow">
      <w:rPr>
        <w:rFonts w:ascii="Arial" w:hAnsi="Arial"/>
        <w:color w:val="404040"/>
        <w:sz w:val="22"/>
      </w:rPr>
      <w:tcPr>
        <w:tcBorders>
          <w:bottom w:val="single" w:color="D99695" w:sz="12" w:space="0"/>
        </w:tcBorders>
      </w:tcPr>
    </w:tblStylePr>
    <w:tblStylePr w:type="lastRow">
      <w:rPr>
        <w:rFonts w:ascii="Arial" w:hAnsi="Arial"/>
        <w:color w:val="404040"/>
        <w:sz w:val="22"/>
      </w:rPr>
      <w:tcPr>
        <w:tcBorders>
          <w:top w:val="single" w:color="D99695"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D99695" w:sz="12" w:space="0"/>
        </w:tcBorders>
      </w:tcPr>
    </w:tblStylePr>
    <w:tblStylePr w:type="band1Horz">
      <w:rPr>
        <w:rFonts w:ascii="Arial" w:hAnsi="Arial"/>
        <w:color w:val="404040"/>
        <w:sz w:val="22"/>
      </w:rPr>
      <w:tcPr>
        <w:tcBorders>
          <w:top w:val="single" w:color="E5B7B6" w:sz="4" w:space="0"/>
          <w:left w:val="single" w:color="E5B7B6" w:sz="4" w:space="0"/>
          <w:bottom w:val="single" w:color="E5B7B6" w:sz="4" w:space="0"/>
          <w:right w:val="single" w:color="E5B7B6" w:sz="4" w:space="0"/>
        </w:tcBorders>
      </w:tcPr>
    </w:tblStylePr>
  </w:style>
  <w:style w:type="table" w:customStyle="1" w:styleId="631">
    <w:name w:val="Bordered - Accent 31"/>
    <w:basedOn w:val="13"/>
    <w:uiPriority w:val="99"/>
    <w:rPr>
      <w:sz w:val="22"/>
      <w:szCs w:val="22"/>
      <w:lang w:eastAsia="en-US"/>
    </w:rPr>
    <w:tblPr>
      <w:tblBorders>
        <w:top w:val="single" w:color="D6E3BB" w:sz="4" w:space="0"/>
        <w:left w:val="single" w:color="D6E3BB" w:sz="4" w:space="0"/>
        <w:bottom w:val="single" w:color="D6E3BB" w:sz="4" w:space="0"/>
        <w:right w:val="single" w:color="D6E3BB" w:sz="4" w:space="0"/>
        <w:insideH w:val="single" w:color="D6E3BB" w:sz="4" w:space="0"/>
        <w:insideV w:val="single" w:color="D6E3BB" w:sz="4" w:space="0"/>
      </w:tblBorders>
      <w:tblCellMar>
        <w:top w:w="0" w:type="dxa"/>
        <w:left w:w="108" w:type="dxa"/>
        <w:bottom w:w="0" w:type="dxa"/>
        <w:right w:w="108" w:type="dxa"/>
      </w:tblCellMar>
    </w:tblPr>
    <w:tblStylePr w:type="firstRow">
      <w:rPr>
        <w:rFonts w:ascii="Arial" w:hAnsi="Arial"/>
        <w:color w:val="404040"/>
        <w:sz w:val="22"/>
      </w:rPr>
      <w:tcPr>
        <w:tcBorders>
          <w:bottom w:val="single" w:color="C3D69B" w:sz="12" w:space="0"/>
        </w:tcBorders>
      </w:tcPr>
    </w:tblStylePr>
    <w:tblStylePr w:type="lastRow">
      <w:rPr>
        <w:rFonts w:ascii="Arial" w:hAnsi="Arial"/>
        <w:color w:val="404040"/>
        <w:sz w:val="22"/>
      </w:rPr>
      <w:tcPr>
        <w:tcBorders>
          <w:top w:val="single" w:color="C3D69B"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C3D69B" w:sz="12" w:space="0"/>
        </w:tcBorders>
      </w:tcPr>
    </w:tblStylePr>
    <w:tblStylePr w:type="band1Horz">
      <w:rPr>
        <w:rFonts w:ascii="Arial" w:hAnsi="Arial"/>
        <w:color w:val="404040"/>
        <w:sz w:val="22"/>
      </w:rPr>
      <w:tcPr>
        <w:tcBorders>
          <w:top w:val="single" w:color="D6E3BB" w:sz="4" w:space="0"/>
          <w:left w:val="single" w:color="D6E3BB" w:sz="4" w:space="0"/>
          <w:bottom w:val="single" w:color="D6E3BB" w:sz="4" w:space="0"/>
          <w:right w:val="single" w:color="D6E3BB" w:sz="4" w:space="0"/>
        </w:tcBorders>
      </w:tcPr>
    </w:tblStylePr>
  </w:style>
  <w:style w:type="table" w:customStyle="1" w:styleId="632">
    <w:name w:val="Bordered - Accent 41"/>
    <w:basedOn w:val="13"/>
    <w:uiPriority w:val="99"/>
    <w:rPr>
      <w:sz w:val="22"/>
      <w:szCs w:val="22"/>
      <w:lang w:eastAsia="en-US"/>
    </w:rPr>
    <w:tblPr>
      <w:tblBorders>
        <w:top w:val="single" w:color="CBC0D9" w:sz="4" w:space="0"/>
        <w:left w:val="single" w:color="CBC0D9" w:sz="4" w:space="0"/>
        <w:bottom w:val="single" w:color="CBC0D9" w:sz="4" w:space="0"/>
        <w:right w:val="single" w:color="CBC0D9" w:sz="4" w:space="0"/>
        <w:insideH w:val="single" w:color="CBC0D9" w:sz="4" w:space="0"/>
        <w:insideV w:val="single" w:color="CBC0D9" w:sz="4" w:space="0"/>
      </w:tblBorders>
      <w:tblCellMar>
        <w:top w:w="0" w:type="dxa"/>
        <w:left w:w="108" w:type="dxa"/>
        <w:bottom w:w="0" w:type="dxa"/>
        <w:right w:w="108" w:type="dxa"/>
      </w:tblCellMar>
    </w:tblPr>
    <w:tblStylePr w:type="firstRow">
      <w:rPr>
        <w:rFonts w:ascii="Arial" w:hAnsi="Arial"/>
        <w:color w:val="404040"/>
        <w:sz w:val="22"/>
      </w:rPr>
      <w:tcPr>
        <w:tcBorders>
          <w:bottom w:val="single" w:color="B2A1C6" w:sz="12" w:space="0"/>
        </w:tcBorders>
      </w:tcPr>
    </w:tblStylePr>
    <w:tblStylePr w:type="lastRow">
      <w:rPr>
        <w:rFonts w:ascii="Arial" w:hAnsi="Arial"/>
        <w:color w:val="404040"/>
        <w:sz w:val="22"/>
      </w:rPr>
      <w:tcPr>
        <w:tcBorders>
          <w:top w:val="single" w:color="B2A1C6"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B2A1C6" w:sz="12" w:space="0"/>
        </w:tcBorders>
      </w:tcPr>
    </w:tblStylePr>
    <w:tblStylePr w:type="band1Horz">
      <w:rPr>
        <w:rFonts w:ascii="Arial" w:hAnsi="Arial"/>
        <w:color w:val="404040"/>
        <w:sz w:val="22"/>
      </w:rPr>
      <w:tcPr>
        <w:tcBorders>
          <w:top w:val="single" w:color="CBC0D9" w:sz="4" w:space="0"/>
          <w:left w:val="single" w:color="CBC0D9" w:sz="4" w:space="0"/>
          <w:bottom w:val="single" w:color="CBC0D9" w:sz="4" w:space="0"/>
          <w:right w:val="single" w:color="CBC0D9" w:sz="4" w:space="0"/>
        </w:tcBorders>
      </w:tcPr>
    </w:tblStylePr>
  </w:style>
  <w:style w:type="table" w:customStyle="1" w:styleId="633">
    <w:name w:val="Bordered - Accent 51"/>
    <w:basedOn w:val="13"/>
    <w:uiPriority w:val="99"/>
    <w:rPr>
      <w:sz w:val="22"/>
      <w:szCs w:val="22"/>
      <w:lang w:eastAsia="en-US"/>
    </w:rPr>
    <w:tblPr>
      <w:tblBorders>
        <w:top w:val="single" w:color="B6DDE8" w:sz="4" w:space="0"/>
        <w:left w:val="single" w:color="B6DDE8" w:sz="4" w:space="0"/>
        <w:bottom w:val="single" w:color="B6DDE8" w:sz="4" w:space="0"/>
        <w:right w:val="single" w:color="B6DDE8" w:sz="4" w:space="0"/>
        <w:insideH w:val="single" w:color="B6DDE8" w:sz="4" w:space="0"/>
        <w:insideV w:val="single" w:color="B6DDE8" w:sz="4" w:space="0"/>
      </w:tblBorders>
      <w:tblCellMar>
        <w:top w:w="0" w:type="dxa"/>
        <w:left w:w="108" w:type="dxa"/>
        <w:bottom w:w="0" w:type="dxa"/>
        <w:right w:w="108" w:type="dxa"/>
      </w:tblCellMar>
    </w:tblPr>
    <w:tblStylePr w:type="firstRow">
      <w:rPr>
        <w:rFonts w:ascii="Arial" w:hAnsi="Arial"/>
        <w:color w:val="404040"/>
        <w:sz w:val="22"/>
      </w:rPr>
      <w:tcPr>
        <w:tcBorders>
          <w:bottom w:val="single" w:color="92CCDC" w:sz="12" w:space="0"/>
        </w:tcBorders>
      </w:tcPr>
    </w:tblStylePr>
    <w:tblStylePr w:type="lastRow">
      <w:rPr>
        <w:rFonts w:ascii="Arial" w:hAnsi="Arial"/>
        <w:color w:val="404040"/>
        <w:sz w:val="22"/>
      </w:rPr>
      <w:tcPr>
        <w:tcBorders>
          <w:top w:val="single" w:color="92CCDC"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92CCDC" w:sz="12" w:space="0"/>
        </w:tcBorders>
      </w:tcPr>
    </w:tblStylePr>
    <w:tblStylePr w:type="band1Horz">
      <w:rPr>
        <w:rFonts w:ascii="Arial" w:hAnsi="Arial"/>
        <w:color w:val="404040"/>
        <w:sz w:val="22"/>
      </w:rPr>
      <w:tcPr>
        <w:tcBorders>
          <w:top w:val="single" w:color="B6DDE8" w:sz="4" w:space="0"/>
          <w:left w:val="single" w:color="B6DDE8" w:sz="4" w:space="0"/>
          <w:bottom w:val="single" w:color="B6DDE8" w:sz="4" w:space="0"/>
          <w:right w:val="single" w:color="B6DDE8" w:sz="4" w:space="0"/>
        </w:tcBorders>
      </w:tcPr>
    </w:tblStylePr>
  </w:style>
  <w:style w:type="table" w:customStyle="1" w:styleId="634">
    <w:name w:val="Bordered - Accent 61"/>
    <w:basedOn w:val="13"/>
    <w:uiPriority w:val="99"/>
    <w:rPr>
      <w:sz w:val="22"/>
      <w:szCs w:val="22"/>
      <w:lang w:eastAsia="en-US"/>
    </w:rPr>
    <w:tblPr>
      <w:tblBorders>
        <w:top w:val="single" w:color="FBD4B4" w:sz="4" w:space="0"/>
        <w:left w:val="single" w:color="FBD4B4" w:sz="4" w:space="0"/>
        <w:bottom w:val="single" w:color="FBD4B4" w:sz="4" w:space="0"/>
        <w:right w:val="single" w:color="FBD4B4" w:sz="4" w:space="0"/>
        <w:insideH w:val="single" w:color="FBD4B4" w:sz="4" w:space="0"/>
        <w:insideV w:val="single" w:color="FBD4B4" w:sz="4" w:space="0"/>
      </w:tblBorders>
      <w:tblCellMar>
        <w:top w:w="0" w:type="dxa"/>
        <w:left w:w="108" w:type="dxa"/>
        <w:bottom w:w="0" w:type="dxa"/>
        <w:right w:w="108" w:type="dxa"/>
      </w:tblCellMar>
    </w:tblPr>
    <w:tblStylePr w:type="firstRow">
      <w:rPr>
        <w:rFonts w:ascii="Arial" w:hAnsi="Arial"/>
        <w:color w:val="404040"/>
        <w:sz w:val="22"/>
      </w:rPr>
      <w:tcPr>
        <w:tcBorders>
          <w:bottom w:val="single" w:color="FAC090" w:sz="12" w:space="0"/>
        </w:tcBorders>
      </w:tcPr>
    </w:tblStylePr>
    <w:tblStylePr w:type="lastRow">
      <w:rPr>
        <w:rFonts w:ascii="Arial" w:hAnsi="Arial"/>
        <w:color w:val="404040"/>
        <w:sz w:val="22"/>
      </w:rPr>
      <w:tcPr>
        <w:tcBorders>
          <w:top w:val="single" w:color="FAC090"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FAC090" w:sz="12" w:space="0"/>
        </w:tcBorders>
      </w:tcPr>
    </w:tblStylePr>
    <w:tblStylePr w:type="band1Horz">
      <w:rPr>
        <w:rFonts w:ascii="Arial" w:hAnsi="Arial"/>
        <w:color w:val="404040"/>
        <w:sz w:val="22"/>
      </w:rPr>
      <w:tcPr>
        <w:tcBorders>
          <w:top w:val="single" w:color="FBD4B4" w:sz="4" w:space="0"/>
          <w:left w:val="single" w:color="FBD4B4" w:sz="4" w:space="0"/>
          <w:bottom w:val="single" w:color="FBD4B4" w:sz="4" w:space="0"/>
          <w:right w:val="single" w:color="FBD4B4" w:sz="4" w:space="0"/>
        </w:tcBorders>
      </w:tcPr>
    </w:tblStylePr>
  </w:style>
  <w:style w:type="character" w:customStyle="1" w:styleId="635">
    <w:name w:val="Footnote Text Char"/>
    <w:uiPriority w:val="0"/>
    <w:rPr>
      <w:sz w:val="18"/>
    </w:rPr>
  </w:style>
  <w:style w:type="character" w:customStyle="1" w:styleId="636">
    <w:name w:val="A2"/>
    <w:uiPriority w:val="99"/>
    <w:rPr>
      <w:rFonts w:cs="Newton"/>
      <w:b/>
      <w:bCs/>
      <w:color w:val="000000"/>
      <w:sz w:val="34"/>
      <w:szCs w:val="34"/>
    </w:rPr>
  </w:style>
  <w:style w:type="paragraph" w:customStyle="1" w:styleId="637">
    <w:name w:val="Pa0"/>
    <w:basedOn w:val="80"/>
    <w:next w:val="80"/>
    <w:uiPriority w:val="99"/>
    <w:pPr>
      <w:autoSpaceDE/>
      <w:autoSpaceDN/>
      <w:adjustRightInd/>
      <w:spacing w:line="281" w:lineRule="atLeast"/>
    </w:pPr>
    <w:rPr>
      <w:rFonts w:ascii="Newton" w:hAnsi="Newton" w:cs="Times New Roman"/>
      <w:color w:val="auto"/>
    </w:rPr>
  </w:style>
  <w:style w:type="paragraph" w:customStyle="1" w:styleId="638">
    <w:name w:val="Pa2"/>
    <w:basedOn w:val="80"/>
    <w:next w:val="80"/>
    <w:uiPriority w:val="99"/>
    <w:pPr>
      <w:autoSpaceDE/>
      <w:autoSpaceDN/>
      <w:adjustRightInd/>
      <w:spacing w:line="281" w:lineRule="atLeast"/>
    </w:pPr>
    <w:rPr>
      <w:rFonts w:ascii="Newton" w:hAnsi="Newton" w:cs="Times New Roman"/>
      <w:color w:val="auto"/>
    </w:rPr>
  </w:style>
  <w:style w:type="character" w:customStyle="1" w:styleId="639">
    <w:name w:val="A0"/>
    <w:uiPriority w:val="99"/>
    <w:rPr>
      <w:rFonts w:cs="Newton"/>
      <w:color w:val="000000"/>
      <w:sz w:val="18"/>
      <w:szCs w:val="18"/>
    </w:rPr>
  </w:style>
  <w:style w:type="character" w:customStyle="1" w:styleId="640">
    <w:name w:val="A1"/>
    <w:uiPriority w:val="99"/>
    <w:rPr>
      <w:rFonts w:cs="Newton"/>
      <w:color w:val="000000"/>
      <w:sz w:val="20"/>
      <w:szCs w:val="20"/>
    </w:rPr>
  </w:style>
  <w:style w:type="paragraph" w:customStyle="1" w:styleId="641">
    <w:name w:val="Pa1"/>
    <w:basedOn w:val="80"/>
    <w:next w:val="80"/>
    <w:uiPriority w:val="99"/>
    <w:pPr>
      <w:autoSpaceDE/>
      <w:autoSpaceDN/>
      <w:adjustRightInd/>
      <w:spacing w:line="281" w:lineRule="atLeast"/>
    </w:pPr>
    <w:rPr>
      <w:rFonts w:ascii="Newton" w:hAnsi="Newton" w:cs="Times New Roman"/>
      <w:color w:val="auto"/>
    </w:rPr>
  </w:style>
  <w:style w:type="character" w:customStyle="1" w:styleId="642">
    <w:name w:val="A4"/>
    <w:uiPriority w:val="99"/>
    <w:rPr>
      <w:rFonts w:cs="Newton"/>
      <w:color w:val="000000"/>
      <w:sz w:val="26"/>
      <w:szCs w:val="26"/>
    </w:rPr>
  </w:style>
  <w:style w:type="paragraph" w:customStyle="1" w:styleId="643">
    <w:name w:val="Pa5"/>
    <w:basedOn w:val="80"/>
    <w:next w:val="80"/>
    <w:uiPriority w:val="99"/>
    <w:pPr>
      <w:autoSpaceDE/>
      <w:autoSpaceDN/>
      <w:adjustRightInd/>
      <w:spacing w:line="281" w:lineRule="atLeast"/>
    </w:pPr>
    <w:rPr>
      <w:rFonts w:ascii="Newton" w:hAnsi="Newton" w:cs="Times New Roman"/>
      <w:color w:val="auto"/>
    </w:rPr>
  </w:style>
  <w:style w:type="paragraph" w:customStyle="1" w:styleId="644">
    <w:name w:val="Pa6"/>
    <w:basedOn w:val="80"/>
    <w:next w:val="80"/>
    <w:uiPriority w:val="99"/>
    <w:pPr>
      <w:autoSpaceDE/>
      <w:autoSpaceDN/>
      <w:adjustRightInd/>
      <w:spacing w:line="281" w:lineRule="atLeast"/>
    </w:pPr>
    <w:rPr>
      <w:rFonts w:ascii="Newton" w:hAnsi="Newton" w:cs="Times New Roman"/>
      <w:color w:val="auto"/>
    </w:rPr>
  </w:style>
  <w:style w:type="paragraph" w:customStyle="1" w:styleId="645">
    <w:name w:val="Буллит"/>
    <w:basedOn w:val="54"/>
    <w:link w:val="759"/>
    <w:qFormat/>
    <w:uiPriority w:val="0"/>
    <w:pPr>
      <w:autoSpaceDE/>
      <w:autoSpaceDN/>
      <w:adjustRightInd/>
      <w:ind w:firstLine="244"/>
    </w:pPr>
    <w:rPr>
      <w:rFonts w:eastAsia="Times New Roman"/>
    </w:rPr>
  </w:style>
  <w:style w:type="paragraph" w:customStyle="1" w:styleId="646">
    <w:name w:val="Буллит Курсив"/>
    <w:basedOn w:val="645"/>
    <w:link w:val="804"/>
    <w:qFormat/>
    <w:uiPriority w:val="99"/>
    <w:rPr>
      <w:i/>
      <w:iCs/>
    </w:rPr>
  </w:style>
  <w:style w:type="paragraph" w:customStyle="1" w:styleId="647">
    <w:name w:val="msonormalbullet2.gif"/>
    <w:basedOn w:val="1"/>
    <w:uiPriority w:val="99"/>
    <w:pPr>
      <w:widowControl/>
      <w:spacing w:before="100" w:beforeAutospacing="1" w:after="100" w:afterAutospacing="1" w:line="240" w:lineRule="auto"/>
    </w:pPr>
    <w:rPr>
      <w:rFonts w:eastAsia="Times New Roman" w:cs="Calibri"/>
      <w:sz w:val="24"/>
      <w:szCs w:val="24"/>
      <w:lang w:eastAsia="ru-RU"/>
    </w:rPr>
  </w:style>
  <w:style w:type="character" w:customStyle="1" w:styleId="648">
    <w:name w:val="Гиперссылка1"/>
    <w:unhideWhenUsed/>
    <w:uiPriority w:val="99"/>
    <w:rPr>
      <w:color w:val="0000FF"/>
      <w:u w:val="single"/>
    </w:rPr>
  </w:style>
  <w:style w:type="table" w:customStyle="1" w:styleId="649">
    <w:name w:val="Сетка таблицы2"/>
    <w:basedOn w:val="13"/>
    <w:uiPriority w:val="99"/>
    <w:rPr>
      <w:sz w:val="22"/>
      <w:szCs w:val="22"/>
      <w:lang w:eastAsia="en-US"/>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
  </w:style>
  <w:style w:type="table" w:customStyle="1" w:styleId="650">
    <w:name w:val="Сетка таблицы11"/>
    <w:basedOn w:val="13"/>
    <w:uiPriority w:val="59"/>
    <w:rPr>
      <w:rFonts w:eastAsia="Times New Roman"/>
      <w:sz w:val="22"/>
      <w:szCs w:val="22"/>
      <w:lang w:eastAsia="en-US"/>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
  </w:style>
  <w:style w:type="table" w:customStyle="1" w:styleId="651">
    <w:name w:val="Table Normal1"/>
    <w:semiHidden/>
    <w:unhideWhenUsed/>
    <w:qFormat/>
    <w:uiPriority w:val="2"/>
    <w:pPr>
      <w:widowControl w:val="0"/>
    </w:pPr>
    <w:rPr>
      <w:sz w:val="22"/>
      <w:szCs w:val="22"/>
      <w:lang w:val="en-US" w:eastAsia="en-US"/>
    </w:rPr>
    <w:tblPr>
      <w:tblCellMar>
        <w:top w:w="0" w:type="dxa"/>
        <w:left w:w="0" w:type="dxa"/>
        <w:bottom w:w="0" w:type="dxa"/>
        <w:right w:w="0" w:type="dxa"/>
      </w:tblCellMar>
    </w:tblPr>
  </w:style>
  <w:style w:type="paragraph" w:customStyle="1" w:styleId="652">
    <w:name w:val="Текст выноски1"/>
    <w:basedOn w:val="1"/>
    <w:next w:val="23"/>
    <w:semiHidden/>
    <w:unhideWhenUsed/>
    <w:uiPriority w:val="99"/>
    <w:pPr>
      <w:widowControl/>
      <w:spacing w:after="0" w:line="240" w:lineRule="auto"/>
    </w:pPr>
    <w:rPr>
      <w:rFonts w:ascii="Tahoma" w:hAnsi="Tahoma" w:cs="Tahoma"/>
      <w:sz w:val="16"/>
      <w:szCs w:val="16"/>
    </w:rPr>
  </w:style>
  <w:style w:type="paragraph" w:customStyle="1" w:styleId="653">
    <w:name w:val="CM13"/>
    <w:basedOn w:val="1"/>
    <w:next w:val="1"/>
    <w:uiPriority w:val="99"/>
    <w:pPr>
      <w:spacing w:after="238" w:line="240" w:lineRule="auto"/>
    </w:pPr>
    <w:rPr>
      <w:rFonts w:ascii="GHOIB C+ School Book C San Pin" w:hAnsi="GHOIB C+ School Book C San Pin" w:eastAsia="Times New Roman" w:cs="GHOIB C+ School Book C San Pin"/>
      <w:sz w:val="24"/>
      <w:szCs w:val="24"/>
      <w:lang w:eastAsia="ru-RU"/>
    </w:rPr>
  </w:style>
  <w:style w:type="paragraph" w:customStyle="1" w:styleId="654">
    <w:name w:val="c7"/>
    <w:basedOn w:val="1"/>
    <w:uiPriority w:val="99"/>
    <w:pPr>
      <w:widowControl/>
      <w:spacing w:before="100" w:beforeAutospacing="1" w:after="100" w:afterAutospacing="1" w:line="240" w:lineRule="auto"/>
    </w:pPr>
    <w:rPr>
      <w:rFonts w:ascii="Times New Roman" w:hAnsi="Times New Roman" w:eastAsia="Times New Roman"/>
      <w:sz w:val="24"/>
      <w:szCs w:val="24"/>
      <w:lang w:eastAsia="ru-RU"/>
    </w:rPr>
  </w:style>
  <w:style w:type="paragraph" w:customStyle="1" w:styleId="655">
    <w:name w:val="Текст сноски1"/>
    <w:basedOn w:val="1"/>
    <w:next w:val="31"/>
    <w:unhideWhenUsed/>
    <w:uiPriority w:val="99"/>
    <w:pPr>
      <w:widowControl/>
      <w:spacing w:after="0" w:line="240" w:lineRule="auto"/>
    </w:pPr>
    <w:rPr>
      <w:sz w:val="20"/>
      <w:szCs w:val="20"/>
    </w:rPr>
  </w:style>
  <w:style w:type="character" w:customStyle="1" w:styleId="656">
    <w:name w:val="Основной текст (26)_"/>
    <w:link w:val="657"/>
    <w:uiPriority w:val="0"/>
    <w:rPr>
      <w:rFonts w:ascii="Century Schoolbook" w:hAnsi="Century Schoolbook" w:eastAsia="Century Schoolbook" w:cs="Century Schoolbook"/>
      <w:sz w:val="24"/>
      <w:szCs w:val="24"/>
      <w:shd w:val="clear" w:color="auto" w:fill="FFFFFF"/>
    </w:rPr>
  </w:style>
  <w:style w:type="paragraph" w:customStyle="1" w:styleId="657">
    <w:name w:val="Основной текст (26)"/>
    <w:basedOn w:val="1"/>
    <w:link w:val="656"/>
    <w:uiPriority w:val="0"/>
    <w:pPr>
      <w:widowControl/>
      <w:shd w:val="clear" w:color="auto" w:fill="FFFFFF"/>
      <w:spacing w:before="120" w:after="180" w:line="0" w:lineRule="atLeast"/>
    </w:pPr>
    <w:rPr>
      <w:rFonts w:ascii="Century Schoolbook" w:hAnsi="Century Schoolbook" w:eastAsia="Century Schoolbook"/>
      <w:sz w:val="24"/>
      <w:szCs w:val="24"/>
    </w:rPr>
  </w:style>
  <w:style w:type="character" w:customStyle="1" w:styleId="658">
    <w:name w:val="Основной текст (27)_"/>
    <w:link w:val="659"/>
    <w:uiPriority w:val="0"/>
    <w:rPr>
      <w:rFonts w:ascii="Century Schoolbook" w:hAnsi="Century Schoolbook" w:eastAsia="Century Schoolbook" w:cs="Century Schoolbook"/>
      <w:sz w:val="21"/>
      <w:szCs w:val="21"/>
      <w:shd w:val="clear" w:color="auto" w:fill="FFFFFF"/>
    </w:rPr>
  </w:style>
  <w:style w:type="paragraph" w:customStyle="1" w:styleId="659">
    <w:name w:val="Основной текст (27)"/>
    <w:basedOn w:val="1"/>
    <w:link w:val="658"/>
    <w:uiPriority w:val="0"/>
    <w:pPr>
      <w:widowControl/>
      <w:shd w:val="clear" w:color="auto" w:fill="FFFFFF"/>
      <w:spacing w:before="360" w:after="240" w:line="0" w:lineRule="atLeast"/>
      <w:jc w:val="both"/>
    </w:pPr>
    <w:rPr>
      <w:rFonts w:ascii="Century Schoolbook" w:hAnsi="Century Schoolbook" w:eastAsia="Century Schoolbook"/>
      <w:sz w:val="21"/>
      <w:szCs w:val="21"/>
    </w:rPr>
  </w:style>
  <w:style w:type="character" w:customStyle="1" w:styleId="660">
    <w:name w:val="Основной текст (25)_"/>
    <w:link w:val="661"/>
    <w:uiPriority w:val="0"/>
    <w:rPr>
      <w:rFonts w:ascii="Century Schoolbook" w:hAnsi="Century Schoolbook" w:eastAsia="Century Schoolbook" w:cs="Century Schoolbook"/>
      <w:sz w:val="26"/>
      <w:szCs w:val="26"/>
      <w:shd w:val="clear" w:color="auto" w:fill="FFFFFF"/>
    </w:rPr>
  </w:style>
  <w:style w:type="paragraph" w:customStyle="1" w:styleId="661">
    <w:name w:val="Основной текст (25)"/>
    <w:basedOn w:val="1"/>
    <w:link w:val="660"/>
    <w:uiPriority w:val="0"/>
    <w:pPr>
      <w:widowControl/>
      <w:shd w:val="clear" w:color="auto" w:fill="FFFFFF"/>
      <w:spacing w:after="3060" w:line="0" w:lineRule="atLeast"/>
      <w:jc w:val="center"/>
    </w:pPr>
    <w:rPr>
      <w:rFonts w:ascii="Century Schoolbook" w:hAnsi="Century Schoolbook" w:eastAsia="Century Schoolbook"/>
      <w:sz w:val="26"/>
      <w:szCs w:val="26"/>
    </w:rPr>
  </w:style>
  <w:style w:type="character" w:customStyle="1" w:styleId="662">
    <w:name w:val="Заголовок №5_"/>
    <w:link w:val="663"/>
    <w:uiPriority w:val="0"/>
    <w:rPr>
      <w:rFonts w:ascii="Century Schoolbook" w:hAnsi="Century Schoolbook" w:eastAsia="Century Schoolbook" w:cs="Century Schoolbook"/>
      <w:sz w:val="24"/>
      <w:szCs w:val="24"/>
      <w:shd w:val="clear" w:color="auto" w:fill="FFFFFF"/>
    </w:rPr>
  </w:style>
  <w:style w:type="paragraph" w:customStyle="1" w:styleId="663">
    <w:name w:val="Заголовок №5"/>
    <w:basedOn w:val="1"/>
    <w:link w:val="662"/>
    <w:uiPriority w:val="0"/>
    <w:pPr>
      <w:widowControl/>
      <w:shd w:val="clear" w:color="auto" w:fill="FFFFFF"/>
      <w:spacing w:before="360" w:after="240" w:line="0" w:lineRule="atLeast"/>
      <w:outlineLvl w:val="4"/>
    </w:pPr>
    <w:rPr>
      <w:rFonts w:ascii="Century Schoolbook" w:hAnsi="Century Schoolbook" w:eastAsia="Century Schoolbook"/>
      <w:sz w:val="24"/>
      <w:szCs w:val="24"/>
    </w:rPr>
  </w:style>
  <w:style w:type="character" w:customStyle="1" w:styleId="664">
    <w:name w:val="Заголовок №3 (3)_"/>
    <w:link w:val="665"/>
    <w:uiPriority w:val="0"/>
    <w:rPr>
      <w:rFonts w:ascii="Century Schoolbook" w:hAnsi="Century Schoolbook" w:eastAsia="Century Schoolbook" w:cs="Century Schoolbook"/>
      <w:sz w:val="24"/>
      <w:szCs w:val="24"/>
      <w:shd w:val="clear" w:color="auto" w:fill="FFFFFF"/>
    </w:rPr>
  </w:style>
  <w:style w:type="paragraph" w:customStyle="1" w:styleId="665">
    <w:name w:val="Заголовок №3 (3)"/>
    <w:basedOn w:val="1"/>
    <w:link w:val="664"/>
    <w:uiPriority w:val="0"/>
    <w:pPr>
      <w:widowControl/>
      <w:shd w:val="clear" w:color="auto" w:fill="FFFFFF"/>
      <w:spacing w:before="240" w:after="240" w:line="0" w:lineRule="atLeast"/>
      <w:outlineLvl w:val="2"/>
    </w:pPr>
    <w:rPr>
      <w:rFonts w:ascii="Century Schoolbook" w:hAnsi="Century Schoolbook" w:eastAsia="Century Schoolbook"/>
      <w:sz w:val="24"/>
      <w:szCs w:val="24"/>
    </w:rPr>
  </w:style>
  <w:style w:type="character" w:customStyle="1" w:styleId="666">
    <w:name w:val="Заголовок №5 (2)_"/>
    <w:link w:val="667"/>
    <w:uiPriority w:val="0"/>
    <w:rPr>
      <w:rFonts w:ascii="Century Schoolbook" w:hAnsi="Century Schoolbook" w:eastAsia="Century Schoolbook" w:cs="Century Schoolbook"/>
      <w:sz w:val="21"/>
      <w:szCs w:val="21"/>
      <w:shd w:val="clear" w:color="auto" w:fill="FFFFFF"/>
    </w:rPr>
  </w:style>
  <w:style w:type="paragraph" w:customStyle="1" w:styleId="667">
    <w:name w:val="Заголовок №5 (2)"/>
    <w:basedOn w:val="1"/>
    <w:link w:val="666"/>
    <w:uiPriority w:val="0"/>
    <w:pPr>
      <w:widowControl/>
      <w:shd w:val="clear" w:color="auto" w:fill="FFFFFF"/>
      <w:spacing w:before="360" w:after="240" w:line="0" w:lineRule="atLeast"/>
      <w:outlineLvl w:val="4"/>
    </w:pPr>
    <w:rPr>
      <w:rFonts w:ascii="Century Schoolbook" w:hAnsi="Century Schoolbook" w:eastAsia="Century Schoolbook"/>
      <w:sz w:val="21"/>
      <w:szCs w:val="21"/>
    </w:rPr>
  </w:style>
  <w:style w:type="character" w:customStyle="1" w:styleId="668">
    <w:name w:val="Заголовок №2 (2)"/>
    <w:uiPriority w:val="0"/>
    <w:rPr>
      <w:rFonts w:ascii="Century Schoolbook" w:hAnsi="Century Schoolbook" w:eastAsia="Century Schoolbook" w:cs="Century Schoolbook"/>
      <w:spacing w:val="0"/>
      <w:sz w:val="27"/>
      <w:szCs w:val="27"/>
    </w:rPr>
  </w:style>
  <w:style w:type="character" w:customStyle="1" w:styleId="669">
    <w:name w:val="Заголовок №2 (3)_"/>
    <w:link w:val="670"/>
    <w:uiPriority w:val="0"/>
    <w:rPr>
      <w:rFonts w:ascii="Century Schoolbook" w:hAnsi="Century Schoolbook" w:eastAsia="Century Schoolbook" w:cs="Century Schoolbook"/>
      <w:sz w:val="24"/>
      <w:szCs w:val="24"/>
      <w:shd w:val="clear" w:color="auto" w:fill="FFFFFF"/>
    </w:rPr>
  </w:style>
  <w:style w:type="paragraph" w:customStyle="1" w:styleId="670">
    <w:name w:val="Заголовок №2 (3)"/>
    <w:basedOn w:val="1"/>
    <w:link w:val="669"/>
    <w:uiPriority w:val="0"/>
    <w:pPr>
      <w:widowControl/>
      <w:shd w:val="clear" w:color="auto" w:fill="FFFFFF"/>
      <w:spacing w:before="240" w:after="240" w:line="0" w:lineRule="atLeast"/>
      <w:outlineLvl w:val="1"/>
    </w:pPr>
    <w:rPr>
      <w:rFonts w:ascii="Century Schoolbook" w:hAnsi="Century Schoolbook" w:eastAsia="Century Schoolbook"/>
      <w:sz w:val="24"/>
      <w:szCs w:val="24"/>
    </w:rPr>
  </w:style>
  <w:style w:type="character" w:customStyle="1" w:styleId="671">
    <w:name w:val="Заголовок №1 (5)_"/>
    <w:link w:val="672"/>
    <w:uiPriority w:val="0"/>
    <w:rPr>
      <w:rFonts w:ascii="Century Schoolbook" w:hAnsi="Century Schoolbook" w:eastAsia="Century Schoolbook" w:cs="Century Schoolbook"/>
      <w:sz w:val="24"/>
      <w:szCs w:val="24"/>
      <w:shd w:val="clear" w:color="auto" w:fill="FFFFFF"/>
    </w:rPr>
  </w:style>
  <w:style w:type="paragraph" w:customStyle="1" w:styleId="672">
    <w:name w:val="Заголовок №1 (5)"/>
    <w:basedOn w:val="1"/>
    <w:link w:val="671"/>
    <w:uiPriority w:val="0"/>
    <w:pPr>
      <w:widowControl/>
      <w:shd w:val="clear" w:color="auto" w:fill="FFFFFF"/>
      <w:spacing w:after="540" w:line="0" w:lineRule="atLeast"/>
      <w:jc w:val="center"/>
      <w:outlineLvl w:val="0"/>
    </w:pPr>
    <w:rPr>
      <w:rFonts w:ascii="Century Schoolbook" w:hAnsi="Century Schoolbook" w:eastAsia="Century Schoolbook"/>
      <w:sz w:val="24"/>
      <w:szCs w:val="24"/>
    </w:rPr>
  </w:style>
  <w:style w:type="character" w:customStyle="1" w:styleId="673">
    <w:name w:val="Заголовок №2 (4)_"/>
    <w:link w:val="674"/>
    <w:uiPriority w:val="0"/>
    <w:rPr>
      <w:rFonts w:ascii="Century Schoolbook" w:hAnsi="Century Schoolbook" w:eastAsia="Century Schoolbook" w:cs="Century Schoolbook"/>
      <w:sz w:val="26"/>
      <w:szCs w:val="26"/>
      <w:shd w:val="clear" w:color="auto" w:fill="FFFFFF"/>
    </w:rPr>
  </w:style>
  <w:style w:type="paragraph" w:customStyle="1" w:styleId="674">
    <w:name w:val="Заголовок №2 (4)"/>
    <w:basedOn w:val="1"/>
    <w:link w:val="673"/>
    <w:uiPriority w:val="0"/>
    <w:pPr>
      <w:widowControl/>
      <w:shd w:val="clear" w:color="auto" w:fill="FFFFFF"/>
      <w:spacing w:after="480" w:line="0" w:lineRule="atLeast"/>
      <w:outlineLvl w:val="1"/>
    </w:pPr>
    <w:rPr>
      <w:rFonts w:ascii="Century Schoolbook" w:hAnsi="Century Schoolbook" w:eastAsia="Century Schoolbook"/>
      <w:sz w:val="26"/>
      <w:szCs w:val="26"/>
    </w:rPr>
  </w:style>
  <w:style w:type="character" w:customStyle="1" w:styleId="675">
    <w:name w:val="Основной текст + Century Schoolbook;13 pt"/>
    <w:uiPriority w:val="0"/>
    <w:rPr>
      <w:rFonts w:ascii="Century Schoolbook" w:hAnsi="Century Schoolbook" w:eastAsia="Century Schoolbook" w:cs="Century Schoolbook"/>
      <w:spacing w:val="0"/>
      <w:sz w:val="26"/>
      <w:szCs w:val="26"/>
    </w:rPr>
  </w:style>
  <w:style w:type="character" w:customStyle="1" w:styleId="676">
    <w:name w:val="Subtle Reference"/>
    <w:qFormat/>
    <w:uiPriority w:val="31"/>
    <w:rPr>
      <w:smallCaps/>
      <w:color w:val="C0504D"/>
      <w:u w:val="single"/>
    </w:rPr>
  </w:style>
  <w:style w:type="character" w:customStyle="1" w:styleId="677">
    <w:name w:val="Intense Reference"/>
    <w:qFormat/>
    <w:uiPriority w:val="32"/>
    <w:rPr>
      <w:b/>
      <w:bCs/>
      <w:smallCaps/>
      <w:color w:val="C0504D"/>
      <w:spacing w:val="5"/>
      <w:u w:val="single"/>
    </w:rPr>
  </w:style>
  <w:style w:type="character" w:customStyle="1" w:styleId="678">
    <w:name w:val="Book Title"/>
    <w:qFormat/>
    <w:uiPriority w:val="33"/>
    <w:rPr>
      <w:b/>
      <w:bCs/>
      <w:smallCaps/>
      <w:spacing w:val="5"/>
    </w:rPr>
  </w:style>
  <w:style w:type="character" w:customStyle="1" w:styleId="679">
    <w:name w:val="apple-converted-space"/>
    <w:uiPriority w:val="0"/>
  </w:style>
  <w:style w:type="table" w:customStyle="1" w:styleId="680">
    <w:name w:val="Сетка таблицы21"/>
    <w:basedOn w:val="13"/>
    <w:uiPriority w:val="39"/>
    <w:rPr>
      <w:rFonts w:eastAsia="Times New Roman"/>
      <w:lang w:val="en-US" w:eastAsia="en-US" w:bidi="en-US"/>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
  </w:style>
  <w:style w:type="character" w:customStyle="1" w:styleId="681">
    <w:name w:val="Subtle Emphasis"/>
    <w:qFormat/>
    <w:uiPriority w:val="19"/>
    <w:rPr>
      <w:i/>
      <w:iCs/>
      <w:color w:val="808080"/>
    </w:rPr>
  </w:style>
  <w:style w:type="character" w:customStyle="1" w:styleId="682">
    <w:name w:val="Intense Emphasis"/>
    <w:qFormat/>
    <w:uiPriority w:val="21"/>
    <w:rPr>
      <w:b/>
      <w:bCs/>
      <w:i/>
      <w:iCs/>
      <w:color w:val="4F81BD"/>
    </w:rPr>
  </w:style>
  <w:style w:type="character" w:customStyle="1" w:styleId="683">
    <w:name w:val="file"/>
    <w:uiPriority w:val="0"/>
  </w:style>
  <w:style w:type="paragraph" w:customStyle="1" w:styleId="684">
    <w:name w:val="c2"/>
    <w:basedOn w:val="1"/>
    <w:uiPriority w:val="0"/>
    <w:pPr>
      <w:widowControl/>
      <w:spacing w:before="100" w:beforeAutospacing="1" w:after="100" w:afterAutospacing="1" w:line="240" w:lineRule="auto"/>
    </w:pPr>
    <w:rPr>
      <w:rFonts w:ascii="Times New Roman" w:hAnsi="Times New Roman" w:eastAsia="Times New Roman"/>
      <w:sz w:val="24"/>
      <w:szCs w:val="24"/>
      <w:lang w:eastAsia="ru-RU"/>
    </w:rPr>
  </w:style>
  <w:style w:type="paragraph" w:customStyle="1" w:styleId="685">
    <w:name w:val="c13"/>
    <w:basedOn w:val="1"/>
    <w:uiPriority w:val="0"/>
    <w:pPr>
      <w:widowControl/>
      <w:spacing w:before="100" w:beforeAutospacing="1" w:after="100" w:afterAutospacing="1" w:line="240" w:lineRule="auto"/>
    </w:pPr>
    <w:rPr>
      <w:rFonts w:ascii="Times New Roman" w:hAnsi="Times New Roman" w:eastAsia="Times New Roman"/>
      <w:sz w:val="24"/>
      <w:szCs w:val="24"/>
      <w:lang w:eastAsia="ru-RU"/>
    </w:rPr>
  </w:style>
  <w:style w:type="paragraph" w:customStyle="1" w:styleId="686">
    <w:name w:val="c16"/>
    <w:basedOn w:val="1"/>
    <w:uiPriority w:val="0"/>
    <w:pPr>
      <w:widowControl/>
      <w:spacing w:before="100" w:beforeAutospacing="1" w:after="100" w:afterAutospacing="1" w:line="240" w:lineRule="auto"/>
    </w:pPr>
    <w:rPr>
      <w:rFonts w:ascii="Times New Roman" w:hAnsi="Times New Roman" w:eastAsia="Times New Roman"/>
      <w:sz w:val="24"/>
      <w:szCs w:val="24"/>
      <w:lang w:eastAsia="ru-RU"/>
    </w:rPr>
  </w:style>
  <w:style w:type="paragraph" w:customStyle="1" w:styleId="687">
    <w:name w:val="c3"/>
    <w:basedOn w:val="1"/>
    <w:uiPriority w:val="0"/>
    <w:pPr>
      <w:widowControl/>
      <w:spacing w:before="100" w:beforeAutospacing="1" w:after="100" w:afterAutospacing="1" w:line="240" w:lineRule="auto"/>
    </w:pPr>
    <w:rPr>
      <w:rFonts w:ascii="Times New Roman" w:hAnsi="Times New Roman" w:eastAsia="Times New Roman"/>
      <w:sz w:val="24"/>
      <w:szCs w:val="24"/>
      <w:lang w:eastAsia="ru-RU"/>
    </w:rPr>
  </w:style>
  <w:style w:type="character" w:customStyle="1" w:styleId="688">
    <w:name w:val="c4"/>
    <w:uiPriority w:val="0"/>
  </w:style>
  <w:style w:type="paragraph" w:customStyle="1" w:styleId="689">
    <w:name w:val="c5"/>
    <w:basedOn w:val="1"/>
    <w:uiPriority w:val="0"/>
    <w:pPr>
      <w:widowControl/>
      <w:spacing w:before="100" w:beforeAutospacing="1" w:after="100" w:afterAutospacing="1" w:line="240" w:lineRule="auto"/>
    </w:pPr>
    <w:rPr>
      <w:rFonts w:ascii="Times New Roman" w:hAnsi="Times New Roman" w:eastAsia="Times New Roman"/>
      <w:sz w:val="24"/>
      <w:szCs w:val="24"/>
      <w:lang w:eastAsia="ru-RU"/>
    </w:rPr>
  </w:style>
  <w:style w:type="paragraph" w:customStyle="1" w:styleId="690">
    <w:name w:val="search-excerpt"/>
    <w:basedOn w:val="1"/>
    <w:uiPriority w:val="0"/>
    <w:pPr>
      <w:widowControl/>
      <w:spacing w:before="100" w:beforeAutospacing="1" w:after="100" w:afterAutospacing="1" w:line="240" w:lineRule="auto"/>
    </w:pPr>
    <w:rPr>
      <w:rFonts w:ascii="Times New Roman" w:hAnsi="Times New Roman" w:eastAsia="Times New Roman"/>
      <w:sz w:val="24"/>
      <w:szCs w:val="24"/>
      <w:lang w:eastAsia="ru-RU"/>
    </w:rPr>
  </w:style>
  <w:style w:type="character" w:customStyle="1" w:styleId="691">
    <w:name w:val="like-tooltip"/>
    <w:uiPriority w:val="0"/>
  </w:style>
  <w:style w:type="character" w:customStyle="1" w:styleId="692">
    <w:name w:val="flag-throbber"/>
    <w:uiPriority w:val="0"/>
  </w:style>
  <w:style w:type="paragraph" w:customStyle="1" w:styleId="693">
    <w:name w:val="Заголовок 3+"/>
    <w:basedOn w:val="1"/>
    <w:uiPriority w:val="0"/>
    <w:pPr>
      <w:spacing w:before="240" w:after="0" w:line="240" w:lineRule="auto"/>
      <w:jc w:val="center"/>
    </w:pPr>
    <w:rPr>
      <w:rFonts w:ascii="Times New Roman" w:hAnsi="Times New Roman" w:eastAsia="Times New Roman"/>
      <w:b/>
      <w:sz w:val="28"/>
      <w:szCs w:val="20"/>
      <w:lang w:eastAsia="ru-RU"/>
    </w:rPr>
  </w:style>
  <w:style w:type="character" w:styleId="694">
    <w:name w:val="Placeholder Text"/>
    <w:semiHidden/>
    <w:uiPriority w:val="99"/>
    <w:rPr>
      <w:color w:val="808080"/>
    </w:rPr>
  </w:style>
  <w:style w:type="table" w:customStyle="1" w:styleId="695">
    <w:name w:val="Сетка таблицы111"/>
    <w:basedOn w:val="13"/>
    <w:uiPriority w:val="59"/>
    <w:rPr>
      <w:sz w:val="22"/>
      <w:szCs w:val="22"/>
      <w:lang w:eastAsia="en-US"/>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
  </w:style>
  <w:style w:type="table" w:customStyle="1" w:styleId="696">
    <w:name w:val="Сетка таблицы1111"/>
    <w:basedOn w:val="13"/>
    <w:uiPriority w:val="59"/>
    <w:rPr>
      <w:rFonts w:eastAsia="Times New Roman"/>
      <w:sz w:val="22"/>
      <w:szCs w:val="22"/>
      <w:lang w:eastAsia="en-US"/>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
  </w:style>
  <w:style w:type="table" w:customStyle="1" w:styleId="697">
    <w:name w:val="Сетка таблицы22"/>
    <w:basedOn w:val="13"/>
    <w:uiPriority w:val="59"/>
    <w:rPr>
      <w:rFonts w:eastAsia="Times New Roman"/>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
  </w:style>
  <w:style w:type="table" w:customStyle="1" w:styleId="698">
    <w:name w:val="Сетка таблицы12"/>
    <w:basedOn w:val="13"/>
    <w:uiPriority w:val="59"/>
    <w:rPr>
      <w:sz w:val="22"/>
      <w:szCs w:val="22"/>
      <w:lang w:eastAsia="en-US"/>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
  </w:style>
  <w:style w:type="table" w:customStyle="1" w:styleId="699">
    <w:name w:val="Сетка таблицы13"/>
    <w:basedOn w:val="13"/>
    <w:uiPriority w:val="59"/>
    <w:rPr>
      <w:sz w:val="22"/>
      <w:szCs w:val="22"/>
      <w:lang w:eastAsia="en-US"/>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
  </w:style>
  <w:style w:type="paragraph" w:customStyle="1" w:styleId="700">
    <w:name w:val="msobodytextbullet3.gif"/>
    <w:basedOn w:val="1"/>
    <w:uiPriority w:val="0"/>
    <w:pPr>
      <w:widowControl/>
      <w:spacing w:before="100" w:beforeAutospacing="1" w:after="100" w:afterAutospacing="1" w:line="240" w:lineRule="auto"/>
    </w:pPr>
    <w:rPr>
      <w:rFonts w:ascii="Times New Roman" w:hAnsi="Times New Roman" w:eastAsia="Times New Roman"/>
      <w:sz w:val="24"/>
      <w:szCs w:val="24"/>
      <w:lang w:eastAsia="ru-RU"/>
    </w:rPr>
  </w:style>
  <w:style w:type="paragraph" w:customStyle="1" w:styleId="701">
    <w:name w:val="msonormalbullet1.gif"/>
    <w:basedOn w:val="1"/>
    <w:uiPriority w:val="99"/>
    <w:pPr>
      <w:widowControl/>
      <w:spacing w:before="100" w:beforeAutospacing="1" w:after="100" w:afterAutospacing="1" w:line="240" w:lineRule="auto"/>
    </w:pPr>
    <w:rPr>
      <w:rFonts w:ascii="Times New Roman" w:hAnsi="Times New Roman" w:eastAsia="Times New Roman"/>
      <w:sz w:val="24"/>
      <w:szCs w:val="24"/>
      <w:lang w:eastAsia="ru-RU"/>
    </w:rPr>
  </w:style>
  <w:style w:type="paragraph" w:customStyle="1" w:styleId="702">
    <w:name w:val="msolistparagraph"/>
    <w:basedOn w:val="1"/>
    <w:qFormat/>
    <w:uiPriority w:val="0"/>
    <w:pPr>
      <w:widowControl/>
      <w:spacing w:before="100" w:beforeAutospacing="1" w:after="100" w:afterAutospacing="1" w:line="240" w:lineRule="auto"/>
    </w:pPr>
    <w:rPr>
      <w:rFonts w:ascii="Times New Roman" w:hAnsi="Times New Roman" w:eastAsia="Times New Roman"/>
      <w:sz w:val="24"/>
      <w:szCs w:val="24"/>
      <w:lang w:eastAsia="ru-RU"/>
    </w:rPr>
  </w:style>
  <w:style w:type="character" w:customStyle="1" w:styleId="703">
    <w:name w:val="Основной текст + Полужирный14"/>
    <w:uiPriority w:val="0"/>
    <w:rPr>
      <w:rFonts w:hint="default" w:ascii="Times New Roman" w:hAnsi="Times New Roman" w:cs="Times New Roman"/>
      <w:b/>
      <w:bCs/>
      <w:i/>
      <w:iCs/>
      <w:spacing w:val="0"/>
      <w:sz w:val="22"/>
      <w:szCs w:val="22"/>
      <w:lang w:eastAsia="ar-SA" w:bidi="ar-SA"/>
    </w:rPr>
  </w:style>
  <w:style w:type="paragraph" w:customStyle="1" w:styleId="704">
    <w:name w:val="msonormalbullet3.gif"/>
    <w:basedOn w:val="1"/>
    <w:uiPriority w:val="0"/>
    <w:pPr>
      <w:widowControl/>
      <w:spacing w:before="100" w:beforeAutospacing="1" w:after="100" w:afterAutospacing="1" w:line="240" w:lineRule="auto"/>
    </w:pPr>
    <w:rPr>
      <w:rFonts w:ascii="Times New Roman" w:hAnsi="Times New Roman" w:eastAsia="Times New Roman"/>
      <w:sz w:val="24"/>
      <w:szCs w:val="24"/>
      <w:lang w:eastAsia="ru-RU"/>
    </w:rPr>
  </w:style>
  <w:style w:type="paragraph" w:customStyle="1" w:styleId="705">
    <w:name w:val="msonormalbullet1gifbullet2.gif"/>
    <w:basedOn w:val="1"/>
    <w:uiPriority w:val="99"/>
    <w:pPr>
      <w:widowControl/>
      <w:spacing w:before="100" w:beforeAutospacing="1" w:after="100" w:afterAutospacing="1" w:line="240" w:lineRule="auto"/>
    </w:pPr>
    <w:rPr>
      <w:rFonts w:ascii="Times New Roman" w:hAnsi="Times New Roman" w:eastAsia="Times New Roman"/>
      <w:sz w:val="24"/>
      <w:szCs w:val="24"/>
      <w:lang w:eastAsia="ru-RU"/>
    </w:rPr>
  </w:style>
  <w:style w:type="paragraph" w:customStyle="1" w:styleId="706">
    <w:name w:val="msonormalbullet2gifbullet1.gif"/>
    <w:basedOn w:val="1"/>
    <w:uiPriority w:val="0"/>
    <w:pPr>
      <w:widowControl/>
      <w:spacing w:before="100" w:beforeAutospacing="1" w:after="100" w:afterAutospacing="1" w:line="240" w:lineRule="auto"/>
    </w:pPr>
    <w:rPr>
      <w:rFonts w:ascii="Times New Roman" w:hAnsi="Times New Roman" w:eastAsia="Times New Roman"/>
      <w:sz w:val="24"/>
      <w:szCs w:val="24"/>
      <w:lang w:eastAsia="ru-RU"/>
    </w:rPr>
  </w:style>
  <w:style w:type="paragraph" w:customStyle="1" w:styleId="707">
    <w:name w:val="msonormalbullet1gifbullet1.gif"/>
    <w:basedOn w:val="1"/>
    <w:uiPriority w:val="0"/>
    <w:pPr>
      <w:widowControl/>
      <w:spacing w:before="100" w:beforeAutospacing="1" w:after="100" w:afterAutospacing="1" w:line="240" w:lineRule="auto"/>
    </w:pPr>
    <w:rPr>
      <w:rFonts w:ascii="Times New Roman" w:hAnsi="Times New Roman" w:eastAsia="Times New Roman"/>
      <w:sz w:val="24"/>
      <w:szCs w:val="24"/>
      <w:lang w:eastAsia="ru-RU"/>
    </w:rPr>
  </w:style>
  <w:style w:type="paragraph" w:customStyle="1" w:styleId="708">
    <w:name w:val="msonormalbullet1gifbullet3.gif"/>
    <w:basedOn w:val="1"/>
    <w:uiPriority w:val="0"/>
    <w:pPr>
      <w:widowControl/>
      <w:spacing w:before="100" w:beforeAutospacing="1" w:after="100" w:afterAutospacing="1" w:line="240" w:lineRule="auto"/>
    </w:pPr>
    <w:rPr>
      <w:rFonts w:ascii="Times New Roman" w:hAnsi="Times New Roman" w:eastAsia="Times New Roman"/>
      <w:sz w:val="24"/>
      <w:szCs w:val="24"/>
      <w:lang w:eastAsia="ru-RU"/>
    </w:rPr>
  </w:style>
  <w:style w:type="paragraph" w:customStyle="1" w:styleId="709">
    <w:name w:val="msonormalbullet2gifbullet2.gif"/>
    <w:basedOn w:val="1"/>
    <w:uiPriority w:val="0"/>
    <w:pPr>
      <w:widowControl/>
      <w:spacing w:before="100" w:beforeAutospacing="1" w:after="100" w:afterAutospacing="1" w:line="240" w:lineRule="auto"/>
    </w:pPr>
    <w:rPr>
      <w:rFonts w:ascii="Times New Roman" w:hAnsi="Times New Roman" w:eastAsia="Times New Roman"/>
      <w:sz w:val="24"/>
      <w:szCs w:val="24"/>
      <w:lang w:eastAsia="ru-RU"/>
    </w:rPr>
  </w:style>
  <w:style w:type="paragraph" w:customStyle="1" w:styleId="710">
    <w:name w:val="msonormalbullet2gifbullet3.gif"/>
    <w:basedOn w:val="1"/>
    <w:uiPriority w:val="0"/>
    <w:pPr>
      <w:widowControl/>
      <w:spacing w:before="100" w:beforeAutospacing="1" w:after="100" w:afterAutospacing="1" w:line="240" w:lineRule="auto"/>
    </w:pPr>
    <w:rPr>
      <w:rFonts w:ascii="Times New Roman" w:hAnsi="Times New Roman" w:eastAsia="Times New Roman"/>
      <w:sz w:val="24"/>
      <w:szCs w:val="24"/>
      <w:lang w:eastAsia="ru-RU"/>
    </w:rPr>
  </w:style>
  <w:style w:type="paragraph" w:customStyle="1" w:styleId="711">
    <w:name w:val="msonormalbullet2gifbullet1gifbullet1.gif"/>
    <w:basedOn w:val="1"/>
    <w:uiPriority w:val="0"/>
    <w:pPr>
      <w:widowControl/>
      <w:spacing w:before="100" w:beforeAutospacing="1" w:after="100" w:afterAutospacing="1" w:line="240" w:lineRule="auto"/>
    </w:pPr>
    <w:rPr>
      <w:rFonts w:ascii="Times New Roman" w:hAnsi="Times New Roman" w:eastAsia="Times New Roman"/>
      <w:sz w:val="24"/>
      <w:szCs w:val="24"/>
      <w:lang w:eastAsia="ru-RU"/>
    </w:rPr>
  </w:style>
  <w:style w:type="paragraph" w:customStyle="1" w:styleId="712">
    <w:name w:val="msonormalbullet2gifbullet1gifbullet2.gif"/>
    <w:basedOn w:val="1"/>
    <w:uiPriority w:val="0"/>
    <w:pPr>
      <w:widowControl/>
      <w:spacing w:before="100" w:beforeAutospacing="1" w:after="100" w:afterAutospacing="1" w:line="240" w:lineRule="auto"/>
    </w:pPr>
    <w:rPr>
      <w:rFonts w:ascii="Times New Roman" w:hAnsi="Times New Roman" w:eastAsia="Times New Roman"/>
      <w:sz w:val="24"/>
      <w:szCs w:val="24"/>
      <w:lang w:eastAsia="ru-RU"/>
    </w:rPr>
  </w:style>
  <w:style w:type="paragraph" w:customStyle="1" w:styleId="713">
    <w:name w:val="msonormalbullet2gifbullet1gifbullet3.gif"/>
    <w:basedOn w:val="1"/>
    <w:uiPriority w:val="0"/>
    <w:pPr>
      <w:widowControl/>
      <w:spacing w:before="100" w:beforeAutospacing="1" w:after="100" w:afterAutospacing="1" w:line="240" w:lineRule="auto"/>
    </w:pPr>
    <w:rPr>
      <w:rFonts w:ascii="Times New Roman" w:hAnsi="Times New Roman" w:eastAsia="Times New Roman"/>
      <w:sz w:val="24"/>
      <w:szCs w:val="24"/>
      <w:lang w:eastAsia="ru-RU"/>
    </w:rPr>
  </w:style>
  <w:style w:type="paragraph" w:customStyle="1" w:styleId="714">
    <w:name w:val="Заголовок 61"/>
    <w:basedOn w:val="1"/>
    <w:next w:val="1"/>
    <w:semiHidden/>
    <w:unhideWhenUsed/>
    <w:qFormat/>
    <w:uiPriority w:val="9"/>
    <w:pPr>
      <w:widowControl/>
      <w:shd w:val="clear" w:color="auto" w:fill="FFFFFF"/>
      <w:spacing w:after="0" w:line="271" w:lineRule="auto"/>
      <w:outlineLvl w:val="5"/>
    </w:pPr>
    <w:rPr>
      <w:rFonts w:ascii="Cambria" w:hAnsi="Cambria" w:eastAsia="Times New Roman"/>
      <w:b/>
      <w:bCs/>
      <w:color w:val="595959"/>
      <w:spacing w:val="5"/>
    </w:rPr>
  </w:style>
  <w:style w:type="character" w:customStyle="1" w:styleId="715">
    <w:name w:val="Красная строка Знак"/>
    <w:link w:val="44"/>
    <w:semiHidden/>
    <w:uiPriority w:val="0"/>
    <w:rPr>
      <w:rFonts w:ascii="Courier New" w:hAnsi="Courier New" w:eastAsia="Times New Roman" w:cs="Bookman Old Style"/>
      <w:sz w:val="24"/>
      <w:szCs w:val="24"/>
      <w:lang w:eastAsia="en-US"/>
    </w:rPr>
  </w:style>
  <w:style w:type="character" w:customStyle="1" w:styleId="716">
    <w:name w:val="Основной текст_"/>
    <w:link w:val="717"/>
    <w:uiPriority w:val="0"/>
    <w:rPr>
      <w:sz w:val="21"/>
      <w:szCs w:val="21"/>
      <w:shd w:val="clear" w:color="auto" w:fill="FFFFFF"/>
    </w:rPr>
  </w:style>
  <w:style w:type="paragraph" w:customStyle="1" w:styleId="717">
    <w:name w:val="Основной текст2"/>
    <w:basedOn w:val="1"/>
    <w:link w:val="716"/>
    <w:uiPriority w:val="0"/>
    <w:pPr>
      <w:shd w:val="clear" w:color="auto" w:fill="FFFFFF"/>
      <w:spacing w:before="360" w:after="0" w:line="278" w:lineRule="exact"/>
      <w:ind w:hanging="300"/>
      <w:jc w:val="both"/>
    </w:pPr>
    <w:rPr>
      <w:sz w:val="21"/>
      <w:szCs w:val="21"/>
    </w:rPr>
  </w:style>
  <w:style w:type="paragraph" w:customStyle="1" w:styleId="718">
    <w:name w:val="Основной текст3"/>
    <w:basedOn w:val="1"/>
    <w:link w:val="2525"/>
    <w:uiPriority w:val="0"/>
    <w:pPr>
      <w:shd w:val="clear" w:color="auto" w:fill="FFFFFF"/>
      <w:spacing w:after="0" w:line="370" w:lineRule="exact"/>
      <w:jc w:val="both"/>
    </w:pPr>
    <w:rPr>
      <w:rFonts w:ascii="Times New Roman" w:hAnsi="Times New Roman" w:eastAsia="Times New Roman"/>
      <w:sz w:val="26"/>
      <w:szCs w:val="26"/>
      <w:lang w:eastAsia="ru-RU"/>
    </w:rPr>
  </w:style>
  <w:style w:type="table" w:customStyle="1" w:styleId="719">
    <w:name w:val="Сетка таблицы3"/>
    <w:basedOn w:val="13"/>
    <w:uiPriority w:val="59"/>
    <w:rPr>
      <w:rFonts w:ascii="Times New Roman" w:hAnsi="Times New Roman" w:eastAsia="Times New Roman"/>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
  </w:style>
  <w:style w:type="paragraph" w:customStyle="1" w:styleId="720">
    <w:name w:val="msonormal_mailru_css_attribute_postfix"/>
    <w:basedOn w:val="1"/>
    <w:uiPriority w:val="0"/>
    <w:pPr>
      <w:widowControl/>
      <w:spacing w:before="100" w:beforeAutospacing="1" w:after="100" w:afterAutospacing="1" w:line="240" w:lineRule="auto"/>
    </w:pPr>
    <w:rPr>
      <w:rFonts w:ascii="Times New Roman" w:hAnsi="Times New Roman" w:eastAsia="Times New Roman"/>
      <w:sz w:val="24"/>
      <w:szCs w:val="24"/>
      <w:lang w:eastAsia="ru-RU"/>
    </w:rPr>
  </w:style>
  <w:style w:type="paragraph" w:customStyle="1" w:styleId="721">
    <w:name w:val="msonormalcxspmiddle_mailru_css_attribute_postfix"/>
    <w:basedOn w:val="1"/>
    <w:uiPriority w:val="0"/>
    <w:pPr>
      <w:widowControl/>
      <w:spacing w:before="100" w:beforeAutospacing="1" w:after="100" w:afterAutospacing="1" w:line="240" w:lineRule="auto"/>
    </w:pPr>
    <w:rPr>
      <w:rFonts w:ascii="Times New Roman" w:hAnsi="Times New Roman" w:eastAsia="Times New Roman"/>
      <w:sz w:val="24"/>
      <w:szCs w:val="24"/>
      <w:lang w:eastAsia="ru-RU"/>
    </w:rPr>
  </w:style>
  <w:style w:type="paragraph" w:customStyle="1" w:styleId="722">
    <w:name w:val="Основной текст8"/>
    <w:basedOn w:val="1"/>
    <w:qFormat/>
    <w:uiPriority w:val="99"/>
    <w:pPr>
      <w:shd w:val="clear" w:color="auto" w:fill="FFFFFF"/>
      <w:spacing w:after="0" w:line="211" w:lineRule="exact"/>
      <w:jc w:val="both"/>
    </w:pPr>
    <w:rPr>
      <w:rFonts w:ascii="Malgun Gothic" w:hAnsi="Malgun Gothic" w:eastAsia="Malgun Gothic"/>
      <w:spacing w:val="3"/>
      <w:sz w:val="18"/>
      <w:szCs w:val="18"/>
      <w:lang w:eastAsia="ru-RU"/>
    </w:rPr>
  </w:style>
  <w:style w:type="character" w:customStyle="1" w:styleId="723">
    <w:name w:val="Основной текст + Полужирный;Интервал 0 pt"/>
    <w:uiPriority w:val="0"/>
    <w:rPr>
      <w:rFonts w:ascii="Malgun Gothic" w:hAnsi="Malgun Gothic" w:eastAsia="Malgun Gothic" w:cs="Malgun Gothic"/>
      <w:b/>
      <w:bCs/>
      <w:color w:val="000000"/>
      <w:spacing w:val="4"/>
      <w:position w:val="0"/>
      <w:sz w:val="18"/>
      <w:szCs w:val="18"/>
      <w:u w:val="none"/>
      <w:shd w:val="clear" w:color="auto" w:fill="FFFFFF"/>
      <w:lang w:val="ru-RU"/>
    </w:rPr>
  </w:style>
  <w:style w:type="character" w:customStyle="1" w:styleId="724">
    <w:name w:val="Заголовок 1 Знак1"/>
    <w:uiPriority w:val="9"/>
    <w:rPr>
      <w:rFonts w:ascii="Times New Roman" w:hAnsi="Times New Roman" w:eastAsia="Times New Roman" w:cs="Times New Roman"/>
      <w:b/>
      <w:sz w:val="24"/>
      <w:szCs w:val="32"/>
    </w:rPr>
  </w:style>
  <w:style w:type="table" w:customStyle="1" w:styleId="725">
    <w:name w:val="Сетка таблицы14"/>
    <w:basedOn w:val="13"/>
    <w:uiPriority w:val="59"/>
    <w:rPr>
      <w:rFonts w:ascii="Times New Roman" w:hAnsi="Times New Roman" w:eastAsia="Times New Roman"/>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
  </w:style>
  <w:style w:type="character" w:customStyle="1" w:styleId="726">
    <w:name w:val="Заголовок 6 Знак1"/>
    <w:semiHidden/>
    <w:uiPriority w:val="9"/>
    <w:rPr>
      <w:rFonts w:ascii="Cambria" w:hAnsi="Cambria" w:eastAsia="Times New Roman" w:cs="Times New Roman"/>
      <w:i/>
      <w:iCs/>
      <w:color w:val="243F60"/>
    </w:rPr>
  </w:style>
  <w:style w:type="character" w:customStyle="1" w:styleId="727">
    <w:name w:val="Заголовок 7 Знак1"/>
    <w:semiHidden/>
    <w:uiPriority w:val="9"/>
    <w:rPr>
      <w:rFonts w:ascii="Cambria" w:hAnsi="Cambria" w:eastAsia="Times New Roman" w:cs="Times New Roman"/>
      <w:i/>
      <w:iCs/>
      <w:color w:val="404040"/>
    </w:rPr>
  </w:style>
  <w:style w:type="character" w:customStyle="1" w:styleId="728">
    <w:name w:val="Заголовок 8 Знак1"/>
    <w:semiHidden/>
    <w:uiPriority w:val="9"/>
    <w:rPr>
      <w:rFonts w:ascii="Cambria" w:hAnsi="Cambria" w:eastAsia="Times New Roman" w:cs="Times New Roman"/>
      <w:color w:val="404040"/>
      <w:sz w:val="20"/>
      <w:szCs w:val="20"/>
    </w:rPr>
  </w:style>
  <w:style w:type="character" w:customStyle="1" w:styleId="729">
    <w:name w:val="Заголовок 9 Знак1"/>
    <w:semiHidden/>
    <w:uiPriority w:val="9"/>
    <w:rPr>
      <w:rFonts w:ascii="Cambria" w:hAnsi="Cambria" w:eastAsia="Times New Roman" w:cs="Times New Roman"/>
      <w:i/>
      <w:iCs/>
      <w:color w:val="404040"/>
      <w:sz w:val="20"/>
      <w:szCs w:val="20"/>
    </w:rPr>
  </w:style>
  <w:style w:type="table" w:customStyle="1" w:styleId="730">
    <w:name w:val="Сетка таблицы221"/>
    <w:basedOn w:val="13"/>
    <w:uiPriority w:val="59"/>
    <w:rPr>
      <w:sz w:val="22"/>
      <w:szCs w:val="22"/>
      <w:lang w:eastAsia="en-US"/>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
  </w:style>
  <w:style w:type="table" w:customStyle="1" w:styleId="731">
    <w:name w:val="Сетка таблицы4"/>
    <w:basedOn w:val="13"/>
    <w:uiPriority w:val="59"/>
    <w:rPr>
      <w:rFonts w:ascii="Times New Roman" w:hAnsi="Times New Roman" w:eastAsia="Times New Roman"/>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
  </w:style>
  <w:style w:type="table" w:customStyle="1" w:styleId="732">
    <w:name w:val="Сетка таблицы5"/>
    <w:basedOn w:val="13"/>
    <w:uiPriority w:val="59"/>
    <w:rPr>
      <w:rFonts w:ascii="Times New Roman" w:hAnsi="Times New Roman" w:eastAsia="Times New Roman"/>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
  </w:style>
  <w:style w:type="character" w:customStyle="1" w:styleId="733">
    <w:name w:val="c18"/>
    <w:uiPriority w:val="0"/>
  </w:style>
  <w:style w:type="character" w:customStyle="1" w:styleId="734">
    <w:name w:val="c105"/>
    <w:uiPriority w:val="0"/>
  </w:style>
  <w:style w:type="paragraph" w:customStyle="1" w:styleId="735">
    <w:name w:val="a8bullet3.gif"/>
    <w:basedOn w:val="1"/>
    <w:uiPriority w:val="0"/>
    <w:pPr>
      <w:widowControl/>
      <w:spacing w:before="100" w:beforeAutospacing="1" w:after="100" w:afterAutospacing="1" w:line="240" w:lineRule="auto"/>
    </w:pPr>
    <w:rPr>
      <w:rFonts w:ascii="Times New Roman" w:hAnsi="Times New Roman" w:eastAsia="Times New Roman"/>
      <w:sz w:val="24"/>
      <w:szCs w:val="24"/>
      <w:lang w:eastAsia="ru-RU"/>
    </w:rPr>
  </w:style>
  <w:style w:type="paragraph" w:customStyle="1" w:styleId="736">
    <w:name w:val="a8bullet2.gif"/>
    <w:basedOn w:val="1"/>
    <w:uiPriority w:val="0"/>
    <w:pPr>
      <w:widowControl/>
      <w:spacing w:before="100" w:beforeAutospacing="1" w:after="100" w:afterAutospacing="1" w:line="240" w:lineRule="auto"/>
    </w:pPr>
    <w:rPr>
      <w:rFonts w:ascii="Times New Roman" w:hAnsi="Times New Roman" w:eastAsia="Times New Roman"/>
      <w:sz w:val="24"/>
      <w:szCs w:val="24"/>
      <w:lang w:eastAsia="ru-RU"/>
    </w:rPr>
  </w:style>
  <w:style w:type="paragraph" w:customStyle="1" w:styleId="737">
    <w:name w:val="c27bullet1.gif"/>
    <w:basedOn w:val="1"/>
    <w:uiPriority w:val="0"/>
    <w:pPr>
      <w:widowControl/>
      <w:spacing w:before="100" w:beforeAutospacing="1" w:after="100" w:afterAutospacing="1" w:line="240" w:lineRule="auto"/>
    </w:pPr>
    <w:rPr>
      <w:rFonts w:ascii="Times New Roman" w:hAnsi="Times New Roman" w:eastAsia="Times New Roman"/>
      <w:sz w:val="24"/>
      <w:szCs w:val="24"/>
      <w:lang w:eastAsia="ru-RU"/>
    </w:rPr>
  </w:style>
  <w:style w:type="paragraph" w:customStyle="1" w:styleId="738">
    <w:name w:val="c27bullet2gifbullet1.gif"/>
    <w:basedOn w:val="1"/>
    <w:uiPriority w:val="0"/>
    <w:pPr>
      <w:widowControl/>
      <w:spacing w:before="100" w:beforeAutospacing="1" w:after="100" w:afterAutospacing="1" w:line="240" w:lineRule="auto"/>
    </w:pPr>
    <w:rPr>
      <w:rFonts w:ascii="Times New Roman" w:hAnsi="Times New Roman" w:eastAsia="Times New Roman"/>
      <w:sz w:val="24"/>
      <w:szCs w:val="24"/>
      <w:lang w:eastAsia="ru-RU"/>
    </w:rPr>
  </w:style>
  <w:style w:type="paragraph" w:customStyle="1" w:styleId="739">
    <w:name w:val="c27bullet2gifbullet3.gif"/>
    <w:basedOn w:val="1"/>
    <w:uiPriority w:val="0"/>
    <w:pPr>
      <w:widowControl/>
      <w:spacing w:before="100" w:beforeAutospacing="1" w:after="100" w:afterAutospacing="1" w:line="240" w:lineRule="auto"/>
    </w:pPr>
    <w:rPr>
      <w:rFonts w:ascii="Times New Roman" w:hAnsi="Times New Roman" w:eastAsia="Times New Roman"/>
      <w:sz w:val="24"/>
      <w:szCs w:val="24"/>
      <w:lang w:eastAsia="ru-RU"/>
    </w:rPr>
  </w:style>
  <w:style w:type="paragraph" w:customStyle="1" w:styleId="740">
    <w:name w:val="c27bullet2gifbullet2gifbullet1.gif"/>
    <w:basedOn w:val="1"/>
    <w:uiPriority w:val="0"/>
    <w:pPr>
      <w:widowControl/>
      <w:spacing w:before="100" w:beforeAutospacing="1" w:after="100" w:afterAutospacing="1" w:line="240" w:lineRule="auto"/>
    </w:pPr>
    <w:rPr>
      <w:rFonts w:ascii="Times New Roman" w:hAnsi="Times New Roman" w:eastAsia="Times New Roman"/>
      <w:sz w:val="24"/>
      <w:szCs w:val="24"/>
      <w:lang w:eastAsia="ru-RU"/>
    </w:rPr>
  </w:style>
  <w:style w:type="paragraph" w:customStyle="1" w:styleId="741">
    <w:name w:val="c27bullet2gifbullet2gifbullet3.gif"/>
    <w:basedOn w:val="1"/>
    <w:uiPriority w:val="0"/>
    <w:pPr>
      <w:widowControl/>
      <w:spacing w:before="100" w:beforeAutospacing="1" w:after="100" w:afterAutospacing="1" w:line="240" w:lineRule="auto"/>
    </w:pPr>
    <w:rPr>
      <w:rFonts w:ascii="Times New Roman" w:hAnsi="Times New Roman" w:eastAsia="Times New Roman"/>
      <w:sz w:val="24"/>
      <w:szCs w:val="24"/>
      <w:lang w:eastAsia="ru-RU"/>
    </w:rPr>
  </w:style>
  <w:style w:type="paragraph" w:customStyle="1" w:styleId="742">
    <w:name w:val="a8bullet1.gif"/>
    <w:basedOn w:val="1"/>
    <w:uiPriority w:val="0"/>
    <w:pPr>
      <w:widowControl/>
      <w:spacing w:before="100" w:beforeAutospacing="1" w:after="100" w:afterAutospacing="1" w:line="240" w:lineRule="auto"/>
    </w:pPr>
    <w:rPr>
      <w:rFonts w:ascii="Times New Roman" w:hAnsi="Times New Roman" w:eastAsia="Times New Roman"/>
      <w:sz w:val="24"/>
      <w:szCs w:val="24"/>
      <w:lang w:eastAsia="ru-RU"/>
    </w:rPr>
  </w:style>
  <w:style w:type="paragraph" w:customStyle="1" w:styleId="743">
    <w:name w:val="Оглавление 11"/>
    <w:basedOn w:val="1"/>
    <w:next w:val="1"/>
    <w:unhideWhenUsed/>
    <w:uiPriority w:val="39"/>
    <w:pPr>
      <w:widowControl/>
      <w:tabs>
        <w:tab w:val="right" w:leader="dot" w:pos="8647"/>
      </w:tabs>
      <w:spacing w:after="0"/>
    </w:pPr>
    <w:rPr>
      <w:rFonts w:ascii="Times New Roman" w:hAnsi="Times New Roman"/>
      <w:sz w:val="28"/>
      <w:szCs w:val="28"/>
    </w:rPr>
  </w:style>
  <w:style w:type="paragraph" w:customStyle="1" w:styleId="744">
    <w:name w:val="8bullet1.gif"/>
    <w:basedOn w:val="1"/>
    <w:uiPriority w:val="0"/>
    <w:pPr>
      <w:widowControl/>
      <w:spacing w:before="100" w:beforeAutospacing="1" w:after="100" w:afterAutospacing="1" w:line="240" w:lineRule="auto"/>
    </w:pPr>
    <w:rPr>
      <w:rFonts w:ascii="Times New Roman" w:hAnsi="Times New Roman" w:eastAsia="Times New Roman"/>
      <w:sz w:val="24"/>
      <w:szCs w:val="24"/>
      <w:lang w:eastAsia="ru-RU"/>
    </w:rPr>
  </w:style>
  <w:style w:type="character" w:customStyle="1" w:styleId="745">
    <w:name w:val="Основной текст + Курсив"/>
    <w:uiPriority w:val="0"/>
    <w:rPr>
      <w:rFonts w:hint="eastAsia" w:ascii="Malgun Gothic" w:hAnsi="Malgun Gothic" w:eastAsia="Malgun Gothic" w:cs="Malgun Gothic"/>
      <w:i/>
      <w:iCs/>
      <w:color w:val="000000"/>
      <w:spacing w:val="3"/>
      <w:position w:val="0"/>
      <w:sz w:val="18"/>
      <w:szCs w:val="18"/>
      <w:u w:val="none"/>
      <w:lang w:val="ru-RU"/>
    </w:rPr>
  </w:style>
  <w:style w:type="paragraph" w:customStyle="1" w:styleId="746">
    <w:name w:val="8bullet3.gif"/>
    <w:basedOn w:val="1"/>
    <w:uiPriority w:val="0"/>
    <w:pPr>
      <w:widowControl/>
      <w:spacing w:before="100" w:beforeAutospacing="1" w:after="100" w:afterAutospacing="1" w:line="240" w:lineRule="auto"/>
    </w:pPr>
    <w:rPr>
      <w:rFonts w:ascii="Times New Roman" w:hAnsi="Times New Roman" w:eastAsia="Times New Roman"/>
      <w:sz w:val="24"/>
      <w:szCs w:val="24"/>
      <w:lang w:eastAsia="ru-RU"/>
    </w:rPr>
  </w:style>
  <w:style w:type="paragraph" w:customStyle="1" w:styleId="747">
    <w:name w:val="8bullet2.gif"/>
    <w:basedOn w:val="1"/>
    <w:uiPriority w:val="0"/>
    <w:pPr>
      <w:widowControl/>
      <w:spacing w:before="100" w:beforeAutospacing="1" w:after="100" w:afterAutospacing="1" w:line="240" w:lineRule="auto"/>
    </w:pPr>
    <w:rPr>
      <w:rFonts w:ascii="Times New Roman" w:hAnsi="Times New Roman" w:eastAsia="Times New Roman"/>
      <w:sz w:val="24"/>
      <w:szCs w:val="24"/>
      <w:lang w:eastAsia="ru-RU"/>
    </w:rPr>
  </w:style>
  <w:style w:type="character" w:customStyle="1" w:styleId="748">
    <w:name w:val="hl"/>
    <w:uiPriority w:val="0"/>
  </w:style>
  <w:style w:type="paragraph" w:customStyle="1" w:styleId="749">
    <w:name w:val="c34"/>
    <w:basedOn w:val="1"/>
    <w:uiPriority w:val="0"/>
    <w:pPr>
      <w:widowControl/>
      <w:spacing w:before="100" w:beforeAutospacing="1" w:after="100" w:afterAutospacing="1" w:line="240" w:lineRule="auto"/>
    </w:pPr>
    <w:rPr>
      <w:rFonts w:ascii="Times New Roman" w:hAnsi="Times New Roman" w:eastAsia="Times New Roman"/>
      <w:sz w:val="24"/>
      <w:szCs w:val="24"/>
      <w:lang w:eastAsia="ru-RU"/>
    </w:rPr>
  </w:style>
  <w:style w:type="character" w:customStyle="1" w:styleId="750">
    <w:name w:val="c6"/>
    <w:uiPriority w:val="0"/>
  </w:style>
  <w:style w:type="character" w:customStyle="1" w:styleId="751">
    <w:name w:val="c12"/>
    <w:uiPriority w:val="0"/>
  </w:style>
  <w:style w:type="paragraph" w:customStyle="1" w:styleId="752">
    <w:name w:val="Основной текст 21"/>
    <w:basedOn w:val="1"/>
    <w:next w:val="24"/>
    <w:link w:val="753"/>
    <w:unhideWhenUsed/>
    <w:uiPriority w:val="99"/>
    <w:pPr>
      <w:widowControl/>
      <w:spacing w:after="120" w:line="480" w:lineRule="auto"/>
    </w:pPr>
  </w:style>
  <w:style w:type="character" w:customStyle="1" w:styleId="753">
    <w:name w:val="Основной текст 2 Знак"/>
    <w:link w:val="752"/>
    <w:uiPriority w:val="99"/>
    <w:rPr>
      <w:sz w:val="22"/>
      <w:szCs w:val="22"/>
      <w:lang w:eastAsia="en-US"/>
    </w:rPr>
  </w:style>
  <w:style w:type="character" w:customStyle="1" w:styleId="754">
    <w:name w:val="Основной текст 3 Знак"/>
    <w:link w:val="50"/>
    <w:uiPriority w:val="99"/>
    <w:rPr>
      <w:rFonts w:ascii="Times New Roman" w:hAnsi="Times New Roman" w:eastAsia="Times New Roman"/>
      <w:strike/>
      <w:sz w:val="24"/>
      <w:szCs w:val="24"/>
      <w:shd w:val="clear" w:color="auto" w:fill="FFFFFF"/>
    </w:rPr>
  </w:style>
  <w:style w:type="character" w:customStyle="1" w:styleId="755">
    <w:name w:val="Основной текст с отступом 2 Знак1"/>
    <w:uiPriority w:val="0"/>
    <w:rPr>
      <w:sz w:val="22"/>
      <w:szCs w:val="22"/>
      <w:lang w:val="en-US" w:eastAsia="en-US"/>
    </w:rPr>
  </w:style>
  <w:style w:type="character" w:customStyle="1" w:styleId="756">
    <w:name w:val="c8 c4"/>
    <w:uiPriority w:val="0"/>
  </w:style>
  <w:style w:type="character" w:customStyle="1" w:styleId="757">
    <w:name w:val="dash041e_0431_044b_0447_043d_044b_0439__char1"/>
    <w:uiPriority w:val="0"/>
    <w:rPr>
      <w:rFonts w:hint="default" w:ascii="Times New Roman" w:hAnsi="Times New Roman" w:cs="Times New Roman"/>
      <w:sz w:val="24"/>
      <w:szCs w:val="24"/>
      <w:u w:val="none"/>
    </w:rPr>
  </w:style>
  <w:style w:type="character" w:customStyle="1" w:styleId="758">
    <w:name w:val="dash0410_0431_0437_0430_0446_0020_0441_043f_0438_0441_043a_0430__char1"/>
    <w:uiPriority w:val="0"/>
    <w:rPr>
      <w:rFonts w:hint="default" w:ascii="Times New Roman" w:hAnsi="Times New Roman" w:cs="Times New Roman"/>
      <w:sz w:val="24"/>
      <w:szCs w:val="24"/>
      <w:u w:val="none"/>
    </w:rPr>
  </w:style>
  <w:style w:type="character" w:customStyle="1" w:styleId="759">
    <w:name w:val="Буллит Знак"/>
    <w:link w:val="645"/>
    <w:uiPriority w:val="0"/>
    <w:rPr>
      <w:rFonts w:ascii="NewtonCSanPin" w:hAnsi="NewtonCSanPin" w:eastAsia="Times New Roman" w:cs="NewtonCSanPin"/>
      <w:color w:val="000000"/>
      <w:sz w:val="21"/>
      <w:szCs w:val="21"/>
    </w:rPr>
  </w:style>
  <w:style w:type="paragraph" w:customStyle="1" w:styleId="760">
    <w:name w:val="[Основной абзац]"/>
    <w:basedOn w:val="1"/>
    <w:uiPriority w:val="99"/>
    <w:pPr>
      <w:widowControl/>
      <w:spacing w:after="0" w:line="288" w:lineRule="auto"/>
      <w:ind w:firstLine="340"/>
      <w:jc w:val="both"/>
    </w:pPr>
    <w:rPr>
      <w:rFonts w:ascii="Newton-Regular" w:hAnsi="Newton-Regular" w:eastAsia="Arial" w:cs="Newton-Regular"/>
      <w:color w:val="000000"/>
      <w:sz w:val="28"/>
      <w:szCs w:val="28"/>
      <w:lang w:val="en-GB" w:eastAsia="ru-RU"/>
    </w:rPr>
  </w:style>
  <w:style w:type="character" w:customStyle="1" w:styleId="761">
    <w:name w:val="Font Style113"/>
    <w:uiPriority w:val="99"/>
    <w:rPr>
      <w:rFonts w:ascii="Arial Unicode MS" w:eastAsia="Arial Unicode MS" w:cs="Arial Unicode MS"/>
      <w:sz w:val="16"/>
      <w:szCs w:val="16"/>
    </w:rPr>
  </w:style>
  <w:style w:type="character" w:customStyle="1" w:styleId="762">
    <w:name w:val="Font Style126"/>
    <w:uiPriority w:val="99"/>
    <w:rPr>
      <w:rFonts w:ascii="Arial Unicode MS" w:eastAsia="Arial Unicode MS" w:cs="Arial Unicode MS"/>
      <w:sz w:val="20"/>
      <w:szCs w:val="20"/>
    </w:rPr>
  </w:style>
  <w:style w:type="paragraph" w:customStyle="1" w:styleId="763">
    <w:name w:val="headertext"/>
    <w:basedOn w:val="1"/>
    <w:uiPriority w:val="0"/>
    <w:pPr>
      <w:widowControl/>
      <w:spacing w:before="100" w:beforeAutospacing="1" w:after="100" w:afterAutospacing="1" w:line="240" w:lineRule="auto"/>
    </w:pPr>
    <w:rPr>
      <w:rFonts w:ascii="Times New Roman" w:hAnsi="Times New Roman" w:eastAsia="Times New Roman"/>
      <w:sz w:val="24"/>
      <w:szCs w:val="24"/>
      <w:lang w:eastAsia="ru-RU"/>
    </w:rPr>
  </w:style>
  <w:style w:type="paragraph" w:customStyle="1" w:styleId="764">
    <w:name w:val="formattext"/>
    <w:basedOn w:val="1"/>
    <w:uiPriority w:val="0"/>
    <w:pPr>
      <w:widowControl/>
      <w:spacing w:before="100" w:beforeAutospacing="1" w:after="100" w:afterAutospacing="1" w:line="240" w:lineRule="auto"/>
    </w:pPr>
    <w:rPr>
      <w:rFonts w:ascii="Times New Roman" w:hAnsi="Times New Roman" w:eastAsia="Times New Roman"/>
      <w:sz w:val="24"/>
      <w:szCs w:val="24"/>
      <w:lang w:eastAsia="ru-RU"/>
    </w:rPr>
  </w:style>
  <w:style w:type="paragraph" w:customStyle="1" w:styleId="765">
    <w:name w:val="Оглавление 31"/>
    <w:basedOn w:val="1"/>
    <w:next w:val="1"/>
    <w:semiHidden/>
    <w:unhideWhenUsed/>
    <w:uiPriority w:val="39"/>
    <w:pPr>
      <w:widowControl/>
      <w:spacing w:after="100" w:line="360" w:lineRule="auto"/>
      <w:ind w:left="480" w:firstLine="709"/>
      <w:jc w:val="both"/>
    </w:pPr>
    <w:rPr>
      <w:rFonts w:ascii="Times New Roman" w:hAnsi="Times New Roman"/>
      <w:sz w:val="24"/>
    </w:rPr>
  </w:style>
  <w:style w:type="character" w:customStyle="1" w:styleId="766">
    <w:name w:val="Просмотренная гиперссылка1"/>
    <w:semiHidden/>
    <w:unhideWhenUsed/>
    <w:uiPriority w:val="99"/>
    <w:rPr>
      <w:color w:val="800080"/>
      <w:u w:val="single"/>
    </w:rPr>
  </w:style>
  <w:style w:type="character" w:customStyle="1" w:styleId="767">
    <w:name w:val="search_result"/>
    <w:uiPriority w:val="0"/>
  </w:style>
  <w:style w:type="character" w:customStyle="1" w:styleId="768">
    <w:name w:val="Font Style30"/>
    <w:uiPriority w:val="99"/>
    <w:rPr>
      <w:rFonts w:ascii="Georgia" w:hAnsi="Georgia" w:cs="Georgia"/>
      <w:spacing w:val="10"/>
      <w:sz w:val="18"/>
      <w:szCs w:val="18"/>
    </w:rPr>
  </w:style>
  <w:style w:type="paragraph" w:customStyle="1" w:styleId="769">
    <w:name w:val="Style4"/>
    <w:basedOn w:val="1"/>
    <w:uiPriority w:val="99"/>
    <w:pPr>
      <w:spacing w:after="0" w:line="240" w:lineRule="auto"/>
    </w:pPr>
    <w:rPr>
      <w:rFonts w:ascii="Georgia" w:hAnsi="Georgia" w:cs="Georgia"/>
      <w:sz w:val="24"/>
      <w:szCs w:val="24"/>
      <w:lang w:eastAsia="ru-RU"/>
    </w:rPr>
  </w:style>
  <w:style w:type="table" w:customStyle="1" w:styleId="770">
    <w:name w:val="Таблица простая 12"/>
    <w:basedOn w:val="13"/>
    <w:uiPriority w:val="41"/>
    <w:rPr>
      <w:sz w:val="22"/>
      <w:szCs w:val="22"/>
      <w:lang w:eastAsia="en-US"/>
    </w:rPr>
    <w:tblPr>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108" w:type="dxa"/>
        <w:bottom w:w="0" w:type="dxa"/>
        <w:right w:w="108" w:type="dxa"/>
      </w:tblCellMar>
    </w:tblPr>
    <w:tblStylePr w:type="firstRow">
      <w:rPr>
        <w:b/>
        <w:bCs/>
      </w:rPr>
    </w:tblStylePr>
    <w:tblStylePr w:type="lastRow">
      <w:rPr>
        <w:b/>
        <w:bCs/>
      </w:rPr>
      <w:tcPr>
        <w:tcBorders>
          <w:top w:val="double" w:color="BFBFBF" w:sz="4" w:space="0"/>
        </w:tcBorders>
      </w:tcPr>
    </w:tblStylePr>
    <w:tblStylePr w:type="firstCol">
      <w:rPr>
        <w:b/>
        <w:bCs/>
      </w:rPr>
    </w:tblStylePr>
    <w:tblStylePr w:type="lastCol">
      <w:rPr>
        <w:b/>
        <w:bCs/>
      </w:rPr>
    </w:tblStylePr>
    <w:tblStylePr w:type="band1Vert">
      <w:tcPr>
        <w:shd w:val="clear" w:color="auto" w:fill="F2F2F2"/>
      </w:tcPr>
    </w:tblStylePr>
    <w:tblStylePr w:type="band1Horz">
      <w:tcPr>
        <w:shd w:val="clear" w:color="auto" w:fill="F2F2F2"/>
      </w:tcPr>
    </w:tblStylePr>
  </w:style>
  <w:style w:type="table" w:customStyle="1" w:styleId="771">
    <w:name w:val="Таблица простая 22"/>
    <w:basedOn w:val="13"/>
    <w:uiPriority w:val="42"/>
    <w:rPr>
      <w:sz w:val="22"/>
      <w:szCs w:val="22"/>
      <w:lang w:eastAsia="en-US"/>
    </w:rPr>
    <w:tblPr>
      <w:tblBorders>
        <w:top w:val="single" w:color="7F7F7F" w:sz="4" w:space="0"/>
        <w:bottom w:val="single" w:color="7F7F7F" w:sz="4" w:space="0"/>
      </w:tblBorders>
      <w:tblCellMar>
        <w:top w:w="0" w:type="dxa"/>
        <w:left w:w="108" w:type="dxa"/>
        <w:bottom w:w="0" w:type="dxa"/>
        <w:right w:w="108" w:type="dxa"/>
      </w:tblCellMar>
    </w:tblPr>
    <w:tblStylePr w:type="firstRow">
      <w:rPr>
        <w:b/>
        <w:bCs/>
      </w:rPr>
      <w:tcPr>
        <w:tcBorders>
          <w:bottom w:val="single" w:color="7F7F7F" w:sz="4" w:space="0"/>
        </w:tcBorders>
      </w:tcPr>
    </w:tblStylePr>
    <w:tblStylePr w:type="lastRow">
      <w:rPr>
        <w:b/>
        <w:bCs/>
      </w:rPr>
      <w:tcPr>
        <w:tcBorders>
          <w:top w:val="single" w:color="7F7F7F" w:sz="4" w:space="0"/>
        </w:tcBorders>
      </w:tcPr>
    </w:tblStylePr>
    <w:tblStylePr w:type="firstCol">
      <w:rPr>
        <w:b/>
        <w:bCs/>
      </w:rPr>
    </w:tblStylePr>
    <w:tblStylePr w:type="lastCol">
      <w:rPr>
        <w:b/>
        <w:bCs/>
      </w:rPr>
    </w:tblStylePr>
    <w:tblStylePr w:type="band1Vert">
      <w:tcPr>
        <w:tcBorders>
          <w:left w:val="single" w:color="7F7F7F" w:sz="4" w:space="0"/>
          <w:right w:val="single" w:color="7F7F7F" w:sz="4" w:space="0"/>
        </w:tcBorders>
      </w:tcPr>
    </w:tblStylePr>
    <w:tblStylePr w:type="band2Vert">
      <w:tcPr>
        <w:tcBorders>
          <w:left w:val="single" w:color="7F7F7F" w:sz="4" w:space="0"/>
          <w:right w:val="single" w:color="7F7F7F" w:sz="4" w:space="0"/>
        </w:tcBorders>
      </w:tcPr>
    </w:tblStylePr>
    <w:tblStylePr w:type="band1Horz">
      <w:tcPr>
        <w:tcBorders>
          <w:top w:val="single" w:color="7F7F7F" w:sz="4" w:space="0"/>
          <w:bottom w:val="single" w:color="7F7F7F" w:sz="4" w:space="0"/>
        </w:tcBorders>
      </w:tcPr>
    </w:tblStylePr>
  </w:style>
  <w:style w:type="table" w:customStyle="1" w:styleId="772">
    <w:name w:val="Таблица простая 32"/>
    <w:basedOn w:val="13"/>
    <w:uiPriority w:val="43"/>
    <w:rPr>
      <w:sz w:val="22"/>
      <w:szCs w:val="22"/>
      <w:lang w:eastAsia="en-US"/>
    </w:rPr>
    <w:tblPr>
      <w:tblCellMar>
        <w:top w:w="0" w:type="dxa"/>
        <w:left w:w="108" w:type="dxa"/>
        <w:bottom w:w="0" w:type="dxa"/>
        <w:right w:w="108" w:type="dxa"/>
      </w:tblCellMar>
    </w:tblPr>
    <w:tblStylePr w:type="firstRow">
      <w:rPr>
        <w:b/>
        <w:bCs/>
        <w:caps/>
      </w:rPr>
      <w:tcPr>
        <w:tcBorders>
          <w:bottom w:val="single" w:color="7F7F7F" w:sz="4" w:space="0"/>
        </w:tcBorders>
      </w:tcPr>
    </w:tblStylePr>
    <w:tblStylePr w:type="lastRow">
      <w:rPr>
        <w:b/>
        <w:bCs/>
        <w:caps/>
      </w:rPr>
      <w:tcPr>
        <w:tcBorders>
          <w:top w:val="nil"/>
        </w:tcBorders>
      </w:tcPr>
    </w:tblStylePr>
    <w:tblStylePr w:type="firstCol">
      <w:rPr>
        <w:b/>
        <w:bCs/>
        <w:caps/>
      </w:rPr>
      <w:tcPr>
        <w:tcBorders>
          <w:right w:val="single" w:color="7F7F7F" w:sz="4" w:space="0"/>
        </w:tcBorders>
      </w:tcPr>
    </w:tblStylePr>
    <w:tblStylePr w:type="lastCol">
      <w:rPr>
        <w:b/>
        <w:bCs/>
        <w:caps/>
      </w:rPr>
      <w:tcPr>
        <w:tcBorders>
          <w:left w:val="nil"/>
        </w:tcBorders>
      </w:tcPr>
    </w:tblStylePr>
    <w:tblStylePr w:type="band1Vert">
      <w:tcPr>
        <w:shd w:val="clear" w:color="auto" w:fill="F2F2F2"/>
      </w:tcPr>
    </w:tblStylePr>
    <w:tblStylePr w:type="band1Horz">
      <w:tcPr>
        <w:shd w:val="clear" w:color="auto" w:fill="F2F2F2"/>
      </w:tcPr>
    </w:tblStylePr>
    <w:tblStylePr w:type="neCell">
      <w:tcPr>
        <w:tcBorders>
          <w:left w:val="nil"/>
        </w:tcBorders>
      </w:tcPr>
    </w:tblStylePr>
    <w:tblStylePr w:type="nwCell">
      <w:tcPr>
        <w:tcBorders>
          <w:right w:val="nil"/>
        </w:tcBorders>
      </w:tcPr>
    </w:tblStylePr>
  </w:style>
  <w:style w:type="table" w:customStyle="1" w:styleId="773">
    <w:name w:val="Таблица простая 42"/>
    <w:basedOn w:val="13"/>
    <w:uiPriority w:val="44"/>
    <w:rPr>
      <w:sz w:val="22"/>
      <w:szCs w:val="22"/>
      <w:lang w:eastAsia="en-US"/>
    </w:rPr>
    <w:tblPr>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cPr>
        <w:shd w:val="clear" w:color="auto" w:fill="F2F2F2"/>
      </w:tcPr>
    </w:tblStylePr>
    <w:tblStylePr w:type="band1Horz">
      <w:tcPr>
        <w:shd w:val="clear" w:color="auto" w:fill="F2F2F2"/>
      </w:tcPr>
    </w:tblStylePr>
  </w:style>
  <w:style w:type="table" w:customStyle="1" w:styleId="774">
    <w:name w:val="Таблица простая 52"/>
    <w:basedOn w:val="13"/>
    <w:uiPriority w:val="45"/>
    <w:rPr>
      <w:sz w:val="22"/>
      <w:szCs w:val="22"/>
      <w:lang w:eastAsia="en-US"/>
    </w:rPr>
    <w:tblPr>
      <w:tblCellMar>
        <w:top w:w="0" w:type="dxa"/>
        <w:left w:w="108" w:type="dxa"/>
        <w:bottom w:w="0" w:type="dxa"/>
        <w:right w:w="108" w:type="dxa"/>
      </w:tblCellMar>
    </w:tblPr>
    <w:tblStylePr w:type="firstRow">
      <w:rPr>
        <w:rFonts w:ascii="Cambria" w:hAnsi="Cambria" w:eastAsia="Times New Roman" w:cs="Times New Roman"/>
        <w:i/>
        <w:iCs/>
        <w:sz w:val="26"/>
      </w:rPr>
      <w:tcPr>
        <w:tcBorders>
          <w:bottom w:val="single" w:color="7F7F7F" w:sz="4" w:space="0"/>
        </w:tcBorders>
        <w:shd w:val="clear" w:color="auto" w:fill="FFFFFF"/>
      </w:tcPr>
    </w:tblStylePr>
    <w:tblStylePr w:type="lastRow">
      <w:rPr>
        <w:rFonts w:ascii="Cambria" w:hAnsi="Cambria" w:eastAsia="Times New Roman" w:cs="Times New Roman"/>
        <w:i/>
        <w:iCs/>
        <w:sz w:val="26"/>
      </w:rPr>
      <w:tcPr>
        <w:tcBorders>
          <w:top w:val="single" w:color="7F7F7F" w:sz="4" w:space="0"/>
        </w:tcBorders>
        <w:shd w:val="clear" w:color="auto" w:fill="FFFFFF"/>
      </w:tcPr>
    </w:tblStylePr>
    <w:tblStylePr w:type="firstCol">
      <w:pPr>
        <w:jc w:val="right"/>
      </w:pPr>
      <w:rPr>
        <w:rFonts w:ascii="Cambria" w:hAnsi="Cambria" w:eastAsia="Times New Roman" w:cs="Times New Roman"/>
        <w:i/>
        <w:iCs/>
        <w:sz w:val="26"/>
      </w:rPr>
      <w:tcPr>
        <w:tcBorders>
          <w:right w:val="single" w:color="7F7F7F" w:sz="4" w:space="0"/>
        </w:tcBorders>
        <w:shd w:val="clear" w:color="auto" w:fill="FFFFFF"/>
      </w:tcPr>
    </w:tblStylePr>
    <w:tblStylePr w:type="lastCol">
      <w:rPr>
        <w:rFonts w:ascii="Cambria" w:hAnsi="Cambria" w:eastAsia="Times New Roman" w:cs="Times New Roman"/>
        <w:i/>
        <w:iCs/>
        <w:sz w:val="26"/>
      </w:rPr>
      <w:tcPr>
        <w:tcBorders>
          <w:left w:val="single" w:color="7F7F7F" w:sz="4" w:space="0"/>
        </w:tcBorders>
        <w:shd w:val="clear" w:color="auto" w:fill="FFFFFF"/>
      </w:tcPr>
    </w:tblStylePr>
    <w:tblStylePr w:type="band1Vert">
      <w:tcPr>
        <w:shd w:val="clear" w:color="auto" w:fill="F2F2F2"/>
      </w:tcPr>
    </w:tblStylePr>
    <w:tblStylePr w:type="band1Horz">
      <w:tcPr>
        <w:shd w:val="clear" w:color="auto" w:fill="F2F2F2"/>
      </w:tcPr>
    </w:tblStylePr>
    <w:tblStylePr w:type="neCell">
      <w:tcPr>
        <w:tcBorders>
          <w:left w:val="nil"/>
        </w:tcBorders>
      </w:tcPr>
    </w:tblStylePr>
    <w:tblStylePr w:type="nwCell">
      <w:tcPr>
        <w:tcBorders>
          <w:right w:val="nil"/>
        </w:tcBorders>
      </w:tcPr>
    </w:tblStylePr>
    <w:tblStylePr w:type="seCell">
      <w:tcPr>
        <w:tcBorders>
          <w:left w:val="nil"/>
        </w:tcBorders>
      </w:tcPr>
    </w:tblStylePr>
    <w:tblStylePr w:type="swCell">
      <w:tcPr>
        <w:tcBorders>
          <w:right w:val="nil"/>
        </w:tcBorders>
      </w:tcPr>
    </w:tblStylePr>
  </w:style>
  <w:style w:type="table" w:customStyle="1" w:styleId="775">
    <w:name w:val="Таблица-сетка 1 светлая2"/>
    <w:basedOn w:val="13"/>
    <w:uiPriority w:val="46"/>
    <w:rPr>
      <w:sz w:val="22"/>
      <w:szCs w:val="22"/>
      <w:lang w:eastAsia="en-US"/>
    </w:rPr>
    <w:tblPr>
      <w:tblBorders>
        <w:top w:val="single" w:color="999999" w:sz="4" w:space="0"/>
        <w:left w:val="single" w:color="999999" w:sz="4" w:space="0"/>
        <w:bottom w:val="single" w:color="999999" w:sz="4" w:space="0"/>
        <w:right w:val="single" w:color="999999" w:sz="4" w:space="0"/>
        <w:insideH w:val="single" w:color="999999" w:sz="4" w:space="0"/>
        <w:insideV w:val="single" w:color="999999" w:sz="4" w:space="0"/>
      </w:tblBorders>
      <w:tblCellMar>
        <w:top w:w="0" w:type="dxa"/>
        <w:left w:w="108" w:type="dxa"/>
        <w:bottom w:w="0" w:type="dxa"/>
        <w:right w:w="108" w:type="dxa"/>
      </w:tblCellMar>
    </w:tblPr>
    <w:tblStylePr w:type="firstRow">
      <w:rPr>
        <w:b/>
        <w:bCs/>
      </w:rPr>
      <w:tcPr>
        <w:tcBorders>
          <w:bottom w:val="single" w:color="666666" w:sz="12" w:space="0"/>
        </w:tcBorders>
      </w:tcPr>
    </w:tblStylePr>
    <w:tblStylePr w:type="lastRow">
      <w:rPr>
        <w:b/>
        <w:bCs/>
      </w:rPr>
      <w:tcPr>
        <w:tcBorders>
          <w:top w:val="double" w:color="666666" w:sz="2" w:space="0"/>
        </w:tcBorders>
      </w:tcPr>
    </w:tblStylePr>
    <w:tblStylePr w:type="firstCol">
      <w:rPr>
        <w:b/>
        <w:bCs/>
      </w:rPr>
    </w:tblStylePr>
    <w:tblStylePr w:type="lastCol">
      <w:rPr>
        <w:b/>
        <w:bCs/>
      </w:rPr>
    </w:tblStylePr>
  </w:style>
  <w:style w:type="table" w:customStyle="1" w:styleId="776">
    <w:name w:val="Таблица-сетка 22"/>
    <w:basedOn w:val="13"/>
    <w:uiPriority w:val="47"/>
    <w:rPr>
      <w:sz w:val="22"/>
      <w:szCs w:val="22"/>
      <w:lang w:eastAsia="en-US"/>
    </w:rPr>
    <w:tblPr>
      <w:tblBorders>
        <w:top w:val="single" w:color="666666" w:sz="2" w:space="0"/>
        <w:bottom w:val="single" w:color="666666" w:sz="2" w:space="0"/>
        <w:insideH w:val="single" w:color="666666" w:sz="2" w:space="0"/>
        <w:insideV w:val="single" w:color="666666" w:sz="2" w:space="0"/>
      </w:tblBorders>
      <w:tblCellMar>
        <w:top w:w="0" w:type="dxa"/>
        <w:left w:w="108" w:type="dxa"/>
        <w:bottom w:w="0" w:type="dxa"/>
        <w:right w:w="108" w:type="dxa"/>
      </w:tblCellMar>
    </w:tblPr>
    <w:tblStylePr w:type="firstRow">
      <w:rPr>
        <w:b/>
        <w:bCs/>
      </w:rPr>
      <w:tcPr>
        <w:tcBorders>
          <w:top w:val="nil"/>
          <w:bottom w:val="single" w:color="666666" w:sz="12" w:space="0"/>
          <w:insideH w:val="nil"/>
          <w:insideV w:val="nil"/>
        </w:tcBorders>
        <w:shd w:val="clear" w:color="auto" w:fill="FFFFFF"/>
      </w:tcPr>
    </w:tblStylePr>
    <w:tblStylePr w:type="lastRow">
      <w:rPr>
        <w:b/>
        <w:bCs/>
      </w:rPr>
      <w:tcPr>
        <w:tcBorders>
          <w:top w:val="double" w:color="666666" w:sz="2" w:space="0"/>
          <w:bottom w:val="nil"/>
          <w:insideH w:val="nil"/>
          <w:insideV w:val="nil"/>
        </w:tcBorders>
        <w:shd w:val="clear" w:color="auto" w:fill="FFFFFF"/>
      </w:tcPr>
    </w:tblStylePr>
    <w:tblStylePr w:type="firstCol">
      <w:rPr>
        <w:b/>
        <w:bCs/>
      </w:rPr>
    </w:tblStylePr>
    <w:tblStylePr w:type="lastCol">
      <w:rPr>
        <w:b/>
        <w:bCs/>
      </w:rPr>
    </w:tblStylePr>
    <w:tblStylePr w:type="band1Vert">
      <w:tcPr>
        <w:shd w:val="clear" w:color="auto" w:fill="CCCCCC"/>
      </w:tcPr>
    </w:tblStylePr>
    <w:tblStylePr w:type="band1Horz">
      <w:tcPr>
        <w:shd w:val="clear" w:color="auto" w:fill="CCCCCC"/>
      </w:tcPr>
    </w:tblStylePr>
  </w:style>
  <w:style w:type="table" w:customStyle="1" w:styleId="777">
    <w:name w:val="Таблица-сетка 32"/>
    <w:basedOn w:val="13"/>
    <w:uiPriority w:val="48"/>
    <w:rPr>
      <w:sz w:val="22"/>
      <w:szCs w:val="22"/>
      <w:lang w:eastAsia="en-US"/>
    </w:rPr>
    <w:tblPr>
      <w:tblBorders>
        <w:top w:val="single" w:color="666666" w:sz="4" w:space="0"/>
        <w:left w:val="single" w:color="666666" w:sz="4" w:space="0"/>
        <w:bottom w:val="single" w:color="666666" w:sz="4" w:space="0"/>
        <w:right w:val="single" w:color="666666" w:sz="4" w:space="0"/>
        <w:insideH w:val="single" w:color="666666" w:sz="4" w:space="0"/>
        <w:insideV w:val="single" w:color="666666" w:sz="4" w:space="0"/>
      </w:tblBorders>
      <w:tblCellMar>
        <w:top w:w="0" w:type="dxa"/>
        <w:left w:w="108" w:type="dxa"/>
        <w:bottom w:w="0" w:type="dxa"/>
        <w:right w:w="108" w:type="dxa"/>
      </w:tblCellMar>
    </w:tblPr>
    <w:tblStylePr w:type="firstRow">
      <w:rPr>
        <w:b/>
        <w:bCs/>
      </w:rPr>
      <w:tcPr>
        <w:tcBorders>
          <w:top w:val="nil"/>
          <w:left w:val="nil"/>
          <w:right w:val="nil"/>
          <w:insideH w:val="nil"/>
          <w:insideV w:val="nil"/>
        </w:tcBorders>
        <w:shd w:val="clear" w:color="auto" w:fill="FFFFFF"/>
      </w:tcPr>
    </w:tblStylePr>
    <w:tblStylePr w:type="lastRow">
      <w:rPr>
        <w:b/>
        <w:bCs/>
      </w:rPr>
      <w:tcPr>
        <w:tcBorders>
          <w:left w:val="nil"/>
          <w:bottom w:val="nil"/>
          <w:right w:val="nil"/>
          <w:insideH w:val="nil"/>
          <w:insideV w:val="nil"/>
        </w:tcBorders>
        <w:shd w:val="clear" w:color="auto" w:fill="FFFFFF"/>
      </w:tcPr>
    </w:tblStylePr>
    <w:tblStylePr w:type="firstCol">
      <w:pPr>
        <w:jc w:val="right"/>
      </w:pPr>
      <w:rPr>
        <w:i/>
        <w:iCs/>
      </w:rPr>
      <w:tcPr>
        <w:tcBorders>
          <w:top w:val="nil"/>
          <w:left w:val="nil"/>
          <w:bottom w:val="nil"/>
          <w:insideH w:val="nil"/>
          <w:insideV w:val="nil"/>
        </w:tcBorders>
        <w:shd w:val="clear" w:color="auto" w:fill="FFFFFF"/>
      </w:tcPr>
    </w:tblStylePr>
    <w:tblStylePr w:type="lastCol">
      <w:rPr>
        <w:i/>
        <w:iCs/>
      </w:rPr>
      <w:tcPr>
        <w:tcBorders>
          <w:top w:val="nil"/>
          <w:bottom w:val="nil"/>
          <w:right w:val="nil"/>
          <w:insideH w:val="nil"/>
          <w:insideV w:val="nil"/>
        </w:tcBorders>
        <w:shd w:val="clear" w:color="auto" w:fill="FFFFFF"/>
      </w:tcPr>
    </w:tblStylePr>
    <w:tblStylePr w:type="band1Vert">
      <w:tcPr>
        <w:shd w:val="clear" w:color="auto" w:fill="CCCCCC"/>
      </w:tcPr>
    </w:tblStylePr>
    <w:tblStylePr w:type="band1Horz">
      <w:tcPr>
        <w:shd w:val="clear" w:color="auto" w:fill="CCCCCC"/>
      </w:tcPr>
    </w:tblStylePr>
    <w:tblStylePr w:type="neCell">
      <w:tcPr>
        <w:tcBorders>
          <w:bottom w:val="single" w:color="666666" w:sz="4" w:space="0"/>
        </w:tcBorders>
      </w:tcPr>
    </w:tblStylePr>
    <w:tblStylePr w:type="nwCell">
      <w:tcPr>
        <w:tcBorders>
          <w:bottom w:val="single" w:color="666666" w:sz="4" w:space="0"/>
        </w:tcBorders>
      </w:tcPr>
    </w:tblStylePr>
    <w:tblStylePr w:type="seCell">
      <w:tcPr>
        <w:tcBorders>
          <w:top w:val="single" w:color="666666" w:sz="4" w:space="0"/>
        </w:tcBorders>
      </w:tcPr>
    </w:tblStylePr>
    <w:tblStylePr w:type="swCell">
      <w:tcPr>
        <w:tcBorders>
          <w:top w:val="single" w:color="666666" w:sz="4" w:space="0"/>
        </w:tcBorders>
      </w:tcPr>
    </w:tblStylePr>
  </w:style>
  <w:style w:type="table" w:customStyle="1" w:styleId="778">
    <w:name w:val="Таблица-сетка 42"/>
    <w:basedOn w:val="13"/>
    <w:uiPriority w:val="49"/>
    <w:rPr>
      <w:sz w:val="22"/>
      <w:szCs w:val="22"/>
      <w:lang w:eastAsia="en-US"/>
    </w:rPr>
    <w:tblPr>
      <w:tblBorders>
        <w:top w:val="single" w:color="666666" w:sz="4" w:space="0"/>
        <w:left w:val="single" w:color="666666" w:sz="4" w:space="0"/>
        <w:bottom w:val="single" w:color="666666" w:sz="4" w:space="0"/>
        <w:right w:val="single" w:color="666666" w:sz="4" w:space="0"/>
        <w:insideH w:val="single" w:color="666666" w:sz="4" w:space="0"/>
        <w:insideV w:val="single" w:color="666666" w:sz="4" w:space="0"/>
      </w:tblBorders>
      <w:tblCellMar>
        <w:top w:w="0" w:type="dxa"/>
        <w:left w:w="108" w:type="dxa"/>
        <w:bottom w:w="0" w:type="dxa"/>
        <w:right w:w="108" w:type="dxa"/>
      </w:tblCellMar>
    </w:tblPr>
    <w:tblStylePr w:type="firstRow">
      <w:rPr>
        <w:b/>
        <w:bCs/>
        <w:color w:val="FFFFFF"/>
      </w:rPr>
      <w:tcPr>
        <w:tcBorders>
          <w:top w:val="single" w:color="000000" w:sz="4" w:space="0"/>
          <w:left w:val="single" w:color="000000" w:sz="4" w:space="0"/>
          <w:bottom w:val="single" w:color="000000" w:sz="4" w:space="0"/>
          <w:right w:val="single" w:color="000000" w:sz="4" w:space="0"/>
          <w:insideH w:val="nil"/>
          <w:insideV w:val="nil"/>
        </w:tcBorders>
        <w:shd w:val="clear" w:color="auto" w:fill="000000"/>
      </w:tcPr>
    </w:tblStylePr>
    <w:tblStylePr w:type="lastRow">
      <w:rPr>
        <w:b/>
        <w:bCs/>
      </w:rPr>
      <w:tcPr>
        <w:tcBorders>
          <w:top w:val="double" w:color="000000" w:sz="4" w:space="0"/>
        </w:tcBorders>
      </w:tcPr>
    </w:tblStylePr>
    <w:tblStylePr w:type="firstCol">
      <w:rPr>
        <w:b/>
        <w:bCs/>
      </w:rPr>
    </w:tblStylePr>
    <w:tblStylePr w:type="lastCol">
      <w:rPr>
        <w:b/>
        <w:bCs/>
      </w:rPr>
    </w:tblStylePr>
    <w:tblStylePr w:type="band1Vert">
      <w:tcPr>
        <w:shd w:val="clear" w:color="auto" w:fill="CCCCCC"/>
      </w:tcPr>
    </w:tblStylePr>
    <w:tblStylePr w:type="band1Horz">
      <w:tcPr>
        <w:shd w:val="clear" w:color="auto" w:fill="CCCCCC"/>
      </w:tcPr>
    </w:tblStylePr>
  </w:style>
  <w:style w:type="table" w:customStyle="1" w:styleId="779">
    <w:name w:val="Таблица-сетка 5 темная2"/>
    <w:basedOn w:val="13"/>
    <w:uiPriority w:val="50"/>
    <w:rPr>
      <w:sz w:val="22"/>
      <w:szCs w:val="22"/>
      <w:lang w:eastAsia="en-US"/>
    </w:rPr>
    <w:tblPr>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CellMar>
        <w:top w:w="0" w:type="dxa"/>
        <w:left w:w="108" w:type="dxa"/>
        <w:bottom w:w="0" w:type="dxa"/>
        <w:right w:w="108" w:type="dxa"/>
      </w:tblCellMar>
    </w:tblPr>
    <w:tcPr>
      <w:shd w:val="clear" w:color="auto" w:fill="CCCCCC"/>
    </w:tcPr>
    <w:tblStylePr w:type="firstRow">
      <w:rPr>
        <w:b/>
        <w:bCs/>
        <w:color w:val="FFFFFF"/>
      </w:rPr>
      <w:tcPr>
        <w:tcBorders>
          <w:top w:val="single" w:color="FFFFFF" w:sz="4" w:space="0"/>
          <w:left w:val="single" w:color="FFFFFF" w:sz="4" w:space="0"/>
          <w:right w:val="single" w:color="FFFFFF" w:sz="4" w:space="0"/>
          <w:insideH w:val="nil"/>
          <w:insideV w:val="nil"/>
        </w:tcBorders>
        <w:shd w:val="clear" w:color="auto" w:fill="000000"/>
      </w:tcPr>
    </w:tblStylePr>
    <w:tblStylePr w:type="lastRow">
      <w:rPr>
        <w:b/>
        <w:bCs/>
        <w:color w:val="FFFFFF"/>
      </w:rPr>
      <w:tcPr>
        <w:tcBorders>
          <w:left w:val="single" w:color="FFFFFF" w:sz="4" w:space="0"/>
          <w:bottom w:val="single" w:color="FFFFFF" w:sz="4" w:space="0"/>
          <w:right w:val="single" w:color="FFFFFF" w:sz="4" w:space="0"/>
          <w:insideH w:val="nil"/>
          <w:insideV w:val="nil"/>
        </w:tcBorders>
        <w:shd w:val="clear" w:color="auto" w:fill="000000"/>
      </w:tcPr>
    </w:tblStylePr>
    <w:tblStylePr w:type="firstCol">
      <w:rPr>
        <w:b/>
        <w:bCs/>
        <w:color w:val="FFFFFF"/>
      </w:rPr>
      <w:tcPr>
        <w:tcBorders>
          <w:top w:val="single" w:color="FFFFFF" w:sz="4" w:space="0"/>
          <w:left w:val="single" w:color="FFFFFF" w:sz="4" w:space="0"/>
          <w:bottom w:val="single" w:color="FFFFFF" w:sz="4" w:space="0"/>
          <w:insideV w:val="nil"/>
        </w:tcBorders>
        <w:shd w:val="clear" w:color="auto" w:fill="000000"/>
      </w:tcPr>
    </w:tblStylePr>
    <w:tblStylePr w:type="lastCol">
      <w:rPr>
        <w:b/>
        <w:bCs/>
        <w:color w:val="FFFFFF"/>
      </w:rPr>
      <w:tcPr>
        <w:tcBorders>
          <w:top w:val="single" w:color="FFFFFF" w:sz="4" w:space="0"/>
          <w:bottom w:val="single" w:color="FFFFFF" w:sz="4" w:space="0"/>
          <w:right w:val="single" w:color="FFFFFF" w:sz="4" w:space="0"/>
          <w:insideV w:val="nil"/>
        </w:tcBorders>
        <w:shd w:val="clear" w:color="auto" w:fill="000000"/>
      </w:tcPr>
    </w:tblStylePr>
    <w:tblStylePr w:type="band1Vert">
      <w:tcPr>
        <w:shd w:val="clear" w:color="auto" w:fill="999999"/>
      </w:tcPr>
    </w:tblStylePr>
    <w:tblStylePr w:type="band1Horz">
      <w:tcPr>
        <w:shd w:val="clear" w:color="auto" w:fill="999999"/>
      </w:tcPr>
    </w:tblStylePr>
  </w:style>
  <w:style w:type="table" w:customStyle="1" w:styleId="780">
    <w:name w:val="Таблица-сетка 6 цветная2"/>
    <w:basedOn w:val="13"/>
    <w:uiPriority w:val="51"/>
    <w:rPr>
      <w:color w:val="000000"/>
      <w:sz w:val="22"/>
      <w:szCs w:val="22"/>
      <w:lang w:eastAsia="en-US"/>
    </w:rPr>
    <w:tblPr>
      <w:tblBorders>
        <w:top w:val="single" w:color="666666" w:sz="4" w:space="0"/>
        <w:left w:val="single" w:color="666666" w:sz="4" w:space="0"/>
        <w:bottom w:val="single" w:color="666666" w:sz="4" w:space="0"/>
        <w:right w:val="single" w:color="666666" w:sz="4" w:space="0"/>
        <w:insideH w:val="single" w:color="666666" w:sz="4" w:space="0"/>
        <w:insideV w:val="single" w:color="666666" w:sz="4" w:space="0"/>
      </w:tblBorders>
      <w:tblCellMar>
        <w:top w:w="0" w:type="dxa"/>
        <w:left w:w="108" w:type="dxa"/>
        <w:bottom w:w="0" w:type="dxa"/>
        <w:right w:w="108" w:type="dxa"/>
      </w:tblCellMar>
    </w:tblPr>
    <w:tblStylePr w:type="firstRow">
      <w:rPr>
        <w:b/>
        <w:bCs/>
      </w:rPr>
      <w:tcPr>
        <w:tcBorders>
          <w:bottom w:val="single" w:color="666666" w:sz="12" w:space="0"/>
        </w:tcBorders>
      </w:tcPr>
    </w:tblStylePr>
    <w:tblStylePr w:type="lastRow">
      <w:rPr>
        <w:b/>
        <w:bCs/>
      </w:rPr>
      <w:tcPr>
        <w:tcBorders>
          <w:top w:val="double" w:color="666666" w:sz="4" w:space="0"/>
        </w:tcBorders>
      </w:tcPr>
    </w:tblStylePr>
    <w:tblStylePr w:type="firstCol">
      <w:rPr>
        <w:b/>
        <w:bCs/>
      </w:rPr>
    </w:tblStylePr>
    <w:tblStylePr w:type="lastCol">
      <w:rPr>
        <w:b/>
        <w:bCs/>
      </w:rPr>
    </w:tblStylePr>
    <w:tblStylePr w:type="band1Vert">
      <w:tcPr>
        <w:shd w:val="clear" w:color="auto" w:fill="CCCCCC"/>
      </w:tcPr>
    </w:tblStylePr>
    <w:tblStylePr w:type="band1Horz">
      <w:tcPr>
        <w:shd w:val="clear" w:color="auto" w:fill="CCCCCC"/>
      </w:tcPr>
    </w:tblStylePr>
  </w:style>
  <w:style w:type="table" w:customStyle="1" w:styleId="781">
    <w:name w:val="Таблица-сетка 7 цветная2"/>
    <w:basedOn w:val="13"/>
    <w:uiPriority w:val="52"/>
    <w:rPr>
      <w:color w:val="000000"/>
      <w:sz w:val="22"/>
      <w:szCs w:val="22"/>
      <w:lang w:eastAsia="en-US"/>
    </w:rPr>
    <w:tblPr>
      <w:tblBorders>
        <w:top w:val="single" w:color="666666" w:sz="4" w:space="0"/>
        <w:left w:val="single" w:color="666666" w:sz="4" w:space="0"/>
        <w:bottom w:val="single" w:color="666666" w:sz="4" w:space="0"/>
        <w:right w:val="single" w:color="666666" w:sz="4" w:space="0"/>
        <w:insideH w:val="single" w:color="666666" w:sz="4" w:space="0"/>
        <w:insideV w:val="single" w:color="666666" w:sz="4" w:space="0"/>
      </w:tblBorders>
      <w:tblCellMar>
        <w:top w:w="0" w:type="dxa"/>
        <w:left w:w="108" w:type="dxa"/>
        <w:bottom w:w="0" w:type="dxa"/>
        <w:right w:w="108" w:type="dxa"/>
      </w:tblCellMar>
    </w:tblPr>
    <w:tblStylePr w:type="firstRow">
      <w:rPr>
        <w:b/>
        <w:bCs/>
      </w:rPr>
      <w:tcPr>
        <w:tcBorders>
          <w:top w:val="nil"/>
          <w:left w:val="nil"/>
          <w:right w:val="nil"/>
          <w:insideH w:val="nil"/>
          <w:insideV w:val="nil"/>
        </w:tcBorders>
        <w:shd w:val="clear" w:color="auto" w:fill="FFFFFF"/>
      </w:tcPr>
    </w:tblStylePr>
    <w:tblStylePr w:type="lastRow">
      <w:rPr>
        <w:b/>
        <w:bCs/>
      </w:rPr>
      <w:tcPr>
        <w:tcBorders>
          <w:left w:val="nil"/>
          <w:bottom w:val="nil"/>
          <w:right w:val="nil"/>
          <w:insideH w:val="nil"/>
          <w:insideV w:val="nil"/>
        </w:tcBorders>
        <w:shd w:val="clear" w:color="auto" w:fill="FFFFFF"/>
      </w:tcPr>
    </w:tblStylePr>
    <w:tblStylePr w:type="firstCol">
      <w:pPr>
        <w:jc w:val="right"/>
      </w:pPr>
      <w:rPr>
        <w:i/>
        <w:iCs/>
      </w:rPr>
      <w:tcPr>
        <w:tcBorders>
          <w:top w:val="nil"/>
          <w:left w:val="nil"/>
          <w:bottom w:val="nil"/>
          <w:insideH w:val="nil"/>
          <w:insideV w:val="nil"/>
        </w:tcBorders>
        <w:shd w:val="clear" w:color="auto" w:fill="FFFFFF"/>
      </w:tcPr>
    </w:tblStylePr>
    <w:tblStylePr w:type="lastCol">
      <w:rPr>
        <w:i/>
        <w:iCs/>
      </w:rPr>
      <w:tcPr>
        <w:tcBorders>
          <w:top w:val="nil"/>
          <w:bottom w:val="nil"/>
          <w:right w:val="nil"/>
          <w:insideH w:val="nil"/>
          <w:insideV w:val="nil"/>
        </w:tcBorders>
        <w:shd w:val="clear" w:color="auto" w:fill="FFFFFF"/>
      </w:tcPr>
    </w:tblStylePr>
    <w:tblStylePr w:type="band1Vert">
      <w:tcPr>
        <w:shd w:val="clear" w:color="auto" w:fill="CCCCCC"/>
      </w:tcPr>
    </w:tblStylePr>
    <w:tblStylePr w:type="band1Horz">
      <w:tcPr>
        <w:shd w:val="clear" w:color="auto" w:fill="CCCCCC"/>
      </w:tcPr>
    </w:tblStylePr>
    <w:tblStylePr w:type="neCell">
      <w:tcPr>
        <w:tcBorders>
          <w:bottom w:val="single" w:color="666666" w:sz="4" w:space="0"/>
        </w:tcBorders>
      </w:tcPr>
    </w:tblStylePr>
    <w:tblStylePr w:type="nwCell">
      <w:tcPr>
        <w:tcBorders>
          <w:bottom w:val="single" w:color="666666" w:sz="4" w:space="0"/>
        </w:tcBorders>
      </w:tcPr>
    </w:tblStylePr>
    <w:tblStylePr w:type="seCell">
      <w:tcPr>
        <w:tcBorders>
          <w:top w:val="single" w:color="666666" w:sz="4" w:space="0"/>
        </w:tcBorders>
      </w:tcPr>
    </w:tblStylePr>
    <w:tblStylePr w:type="swCell">
      <w:tcPr>
        <w:tcBorders>
          <w:top w:val="single" w:color="666666" w:sz="4" w:space="0"/>
        </w:tcBorders>
      </w:tcPr>
    </w:tblStylePr>
  </w:style>
  <w:style w:type="table" w:customStyle="1" w:styleId="782">
    <w:name w:val="Список-таблица 1 светлая2"/>
    <w:basedOn w:val="13"/>
    <w:uiPriority w:val="46"/>
    <w:rPr>
      <w:sz w:val="22"/>
      <w:szCs w:val="22"/>
      <w:lang w:eastAsia="en-US"/>
    </w:rPr>
    <w:tblPr>
      <w:tblCellMar>
        <w:top w:w="0" w:type="dxa"/>
        <w:left w:w="108" w:type="dxa"/>
        <w:bottom w:w="0" w:type="dxa"/>
        <w:right w:w="108" w:type="dxa"/>
      </w:tblCellMar>
    </w:tblPr>
    <w:tblStylePr w:type="firstRow">
      <w:rPr>
        <w:b/>
        <w:bCs/>
      </w:rPr>
      <w:tcPr>
        <w:tcBorders>
          <w:bottom w:val="single" w:color="666666" w:sz="4" w:space="0"/>
        </w:tcBorders>
      </w:tcPr>
    </w:tblStylePr>
    <w:tblStylePr w:type="lastRow">
      <w:rPr>
        <w:b/>
        <w:bCs/>
      </w:rPr>
      <w:tcPr>
        <w:tcBorders>
          <w:top w:val="single" w:color="666666" w:sz="4" w:space="0"/>
        </w:tcBorders>
      </w:tcPr>
    </w:tblStylePr>
    <w:tblStylePr w:type="firstCol">
      <w:rPr>
        <w:b/>
        <w:bCs/>
      </w:rPr>
    </w:tblStylePr>
    <w:tblStylePr w:type="lastCol">
      <w:rPr>
        <w:b/>
        <w:bCs/>
      </w:rPr>
    </w:tblStylePr>
    <w:tblStylePr w:type="band1Vert">
      <w:tcPr>
        <w:shd w:val="clear" w:color="auto" w:fill="CCCCCC"/>
      </w:tcPr>
    </w:tblStylePr>
    <w:tblStylePr w:type="band1Horz">
      <w:tcPr>
        <w:shd w:val="clear" w:color="auto" w:fill="CCCCCC"/>
      </w:tcPr>
    </w:tblStylePr>
  </w:style>
  <w:style w:type="table" w:customStyle="1" w:styleId="783">
    <w:name w:val="Список-таблица 22"/>
    <w:basedOn w:val="13"/>
    <w:uiPriority w:val="47"/>
    <w:rPr>
      <w:sz w:val="22"/>
      <w:szCs w:val="22"/>
      <w:lang w:eastAsia="en-US"/>
    </w:rPr>
    <w:tblPr>
      <w:tblBorders>
        <w:top w:val="single" w:color="666666" w:sz="4" w:space="0"/>
        <w:bottom w:val="single" w:color="666666" w:sz="4" w:space="0"/>
        <w:insideH w:val="single" w:color="666666" w:sz="4" w:space="0"/>
      </w:tblBorders>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cPr>
        <w:shd w:val="clear" w:color="auto" w:fill="CCCCCC"/>
      </w:tcPr>
    </w:tblStylePr>
    <w:tblStylePr w:type="band1Horz">
      <w:tcPr>
        <w:shd w:val="clear" w:color="auto" w:fill="CCCCCC"/>
      </w:tcPr>
    </w:tblStylePr>
  </w:style>
  <w:style w:type="table" w:customStyle="1" w:styleId="784">
    <w:name w:val="Список-таблица 32"/>
    <w:basedOn w:val="13"/>
    <w:uiPriority w:val="48"/>
    <w:rPr>
      <w:sz w:val="22"/>
      <w:szCs w:val="22"/>
      <w:lang w:eastAsia="en-US"/>
    </w:rPr>
    <w:tblPr>
      <w:tblBorders>
        <w:top w:val="single" w:color="000000" w:sz="4" w:space="0"/>
        <w:left w:val="single" w:color="000000" w:sz="4" w:space="0"/>
        <w:bottom w:val="single" w:color="000000" w:sz="4" w:space="0"/>
        <w:right w:val="single" w:color="000000" w:sz="4" w:space="0"/>
      </w:tblBorders>
      <w:tblCellMar>
        <w:top w:w="0" w:type="dxa"/>
        <w:left w:w="108" w:type="dxa"/>
        <w:bottom w:w="0" w:type="dxa"/>
        <w:right w:w="108" w:type="dxa"/>
      </w:tblCellMar>
    </w:tblPr>
    <w:tblStylePr w:type="firstRow">
      <w:rPr>
        <w:b/>
        <w:bCs/>
        <w:color w:val="FFFFFF"/>
      </w:rPr>
      <w:tcPr>
        <w:shd w:val="clear" w:color="auto" w:fill="000000"/>
      </w:tcPr>
    </w:tblStylePr>
    <w:tblStylePr w:type="lastRow">
      <w:rPr>
        <w:b/>
        <w:bCs/>
      </w:rPr>
      <w:tcPr>
        <w:tcBorders>
          <w:top w:val="double" w:color="000000" w:sz="4" w:space="0"/>
        </w:tcBorders>
        <w:shd w:val="clear" w:color="auto" w:fill="FFFFFF"/>
      </w:tcPr>
    </w:tblStylePr>
    <w:tblStylePr w:type="firstCol">
      <w:rPr>
        <w:b/>
        <w:bCs/>
      </w:rPr>
      <w:tcPr>
        <w:tcBorders>
          <w:right w:val="nil"/>
        </w:tcBorders>
        <w:shd w:val="clear" w:color="auto" w:fill="FFFFFF"/>
      </w:tcPr>
    </w:tblStylePr>
    <w:tblStylePr w:type="lastCol">
      <w:rPr>
        <w:b/>
        <w:bCs/>
      </w:rPr>
      <w:tcPr>
        <w:tcBorders>
          <w:left w:val="nil"/>
        </w:tcBorders>
        <w:shd w:val="clear" w:color="auto" w:fill="FFFFFF"/>
      </w:tcPr>
    </w:tblStylePr>
    <w:tblStylePr w:type="band1Vert">
      <w:tcPr>
        <w:tcBorders>
          <w:left w:val="single" w:color="000000" w:sz="4" w:space="0"/>
          <w:right w:val="single" w:color="000000" w:sz="4" w:space="0"/>
        </w:tcBorders>
      </w:tcPr>
    </w:tblStylePr>
    <w:tblStylePr w:type="band1Horz">
      <w:tcPr>
        <w:tcBorders>
          <w:top w:val="single" w:color="000000" w:sz="4" w:space="0"/>
          <w:bottom w:val="single" w:color="000000" w:sz="4" w:space="0"/>
          <w:insideH w:val="nil"/>
        </w:tcBorders>
      </w:tcPr>
    </w:tblStylePr>
    <w:tblStylePr w:type="neCell">
      <w:tcPr>
        <w:tcBorders>
          <w:left w:val="nil"/>
          <w:bottom w:val="nil"/>
        </w:tcBorders>
      </w:tcPr>
    </w:tblStylePr>
    <w:tblStylePr w:type="nwCell">
      <w:tcPr>
        <w:tcBorders>
          <w:bottom w:val="nil"/>
          <w:right w:val="nil"/>
        </w:tcBorders>
      </w:tcPr>
    </w:tblStylePr>
    <w:tblStylePr w:type="seCell">
      <w:tcPr>
        <w:tcBorders>
          <w:top w:val="double" w:color="000000" w:sz="4" w:space="0"/>
          <w:left w:val="nil"/>
        </w:tcBorders>
      </w:tcPr>
    </w:tblStylePr>
    <w:tblStylePr w:type="swCell">
      <w:tcPr>
        <w:tcBorders>
          <w:top w:val="double" w:color="000000" w:sz="4" w:space="0"/>
          <w:right w:val="nil"/>
        </w:tcBorders>
      </w:tcPr>
    </w:tblStylePr>
  </w:style>
  <w:style w:type="table" w:customStyle="1" w:styleId="785">
    <w:name w:val="Список-таблица 42"/>
    <w:basedOn w:val="13"/>
    <w:uiPriority w:val="49"/>
    <w:rPr>
      <w:sz w:val="22"/>
      <w:szCs w:val="22"/>
      <w:lang w:eastAsia="en-US"/>
    </w:rPr>
    <w:tblPr>
      <w:tblBorders>
        <w:top w:val="single" w:color="666666" w:sz="4" w:space="0"/>
        <w:left w:val="single" w:color="666666" w:sz="4" w:space="0"/>
        <w:bottom w:val="single" w:color="666666" w:sz="4" w:space="0"/>
        <w:right w:val="single" w:color="666666" w:sz="4" w:space="0"/>
        <w:insideH w:val="single" w:color="666666" w:sz="4" w:space="0"/>
      </w:tblBorders>
      <w:tblCellMar>
        <w:top w:w="0" w:type="dxa"/>
        <w:left w:w="108" w:type="dxa"/>
        <w:bottom w:w="0" w:type="dxa"/>
        <w:right w:w="108" w:type="dxa"/>
      </w:tblCellMar>
    </w:tblPr>
    <w:tblStylePr w:type="firstRow">
      <w:rPr>
        <w:b/>
        <w:bCs/>
        <w:color w:val="FFFFFF"/>
      </w:rPr>
      <w:tcPr>
        <w:tcBorders>
          <w:top w:val="single" w:color="000000" w:sz="4" w:space="0"/>
          <w:left w:val="single" w:color="000000" w:sz="4" w:space="0"/>
          <w:bottom w:val="single" w:color="000000" w:sz="4" w:space="0"/>
          <w:right w:val="single" w:color="000000" w:sz="4" w:space="0"/>
          <w:insideH w:val="nil"/>
        </w:tcBorders>
        <w:shd w:val="clear" w:color="auto" w:fill="000000"/>
      </w:tcPr>
    </w:tblStylePr>
    <w:tblStylePr w:type="lastRow">
      <w:rPr>
        <w:b/>
        <w:bCs/>
      </w:rPr>
      <w:tcPr>
        <w:tcBorders>
          <w:top w:val="double" w:color="666666" w:sz="4" w:space="0"/>
        </w:tcBorders>
      </w:tcPr>
    </w:tblStylePr>
    <w:tblStylePr w:type="firstCol">
      <w:rPr>
        <w:b/>
        <w:bCs/>
      </w:rPr>
    </w:tblStylePr>
    <w:tblStylePr w:type="lastCol">
      <w:rPr>
        <w:b/>
        <w:bCs/>
      </w:rPr>
    </w:tblStylePr>
    <w:tblStylePr w:type="band1Vert">
      <w:tcPr>
        <w:shd w:val="clear" w:color="auto" w:fill="CCCCCC"/>
      </w:tcPr>
    </w:tblStylePr>
    <w:tblStylePr w:type="band1Horz">
      <w:tcPr>
        <w:shd w:val="clear" w:color="auto" w:fill="CCCCCC"/>
      </w:tcPr>
    </w:tblStylePr>
  </w:style>
  <w:style w:type="table" w:customStyle="1" w:styleId="786">
    <w:name w:val="Список-таблица 5 темная2"/>
    <w:basedOn w:val="13"/>
    <w:uiPriority w:val="50"/>
    <w:rPr>
      <w:color w:val="FFFFFF"/>
      <w:sz w:val="22"/>
      <w:szCs w:val="22"/>
      <w:lang w:eastAsia="en-US"/>
    </w:rPr>
    <w:tblPr>
      <w:tblBorders>
        <w:top w:val="single" w:color="000000" w:sz="24" w:space="0"/>
        <w:left w:val="single" w:color="000000" w:sz="24" w:space="0"/>
        <w:bottom w:val="single" w:color="000000" w:sz="24" w:space="0"/>
        <w:right w:val="single" w:color="000000" w:sz="24" w:space="0"/>
      </w:tblBorders>
      <w:tblCellMar>
        <w:top w:w="0" w:type="dxa"/>
        <w:left w:w="108" w:type="dxa"/>
        <w:bottom w:w="0" w:type="dxa"/>
        <w:right w:w="108" w:type="dxa"/>
      </w:tblCellMar>
    </w:tblPr>
    <w:tcPr>
      <w:shd w:val="clear" w:color="auto" w:fill="000000"/>
    </w:tcPr>
    <w:tblStylePr w:type="firstRow">
      <w:rPr>
        <w:b/>
        <w:bCs/>
      </w:rPr>
      <w:tcPr>
        <w:tcBorders>
          <w:bottom w:val="single" w:color="FFFFFF" w:sz="18" w:space="0"/>
        </w:tcBorders>
      </w:tcPr>
    </w:tblStylePr>
    <w:tblStylePr w:type="lastRow">
      <w:rPr>
        <w:b/>
        <w:bCs/>
      </w:rPr>
      <w:tcPr>
        <w:tcBorders>
          <w:top w:val="single" w:color="FFFFFF" w:sz="4" w:space="0"/>
        </w:tcBorders>
      </w:tcPr>
    </w:tblStylePr>
    <w:tblStylePr w:type="firstCol">
      <w:rPr>
        <w:b/>
        <w:bCs/>
      </w:rPr>
      <w:tcPr>
        <w:tcBorders>
          <w:right w:val="single" w:color="FFFFFF" w:sz="4" w:space="0"/>
        </w:tcBorders>
      </w:tcPr>
    </w:tblStylePr>
    <w:tblStylePr w:type="lastCol">
      <w:rPr>
        <w:b/>
        <w:bCs/>
      </w:rPr>
      <w:tcPr>
        <w:tcBorders>
          <w:left w:val="single" w:color="FFFFFF" w:sz="4" w:space="0"/>
        </w:tcBorders>
      </w:tcPr>
    </w:tblStylePr>
    <w:tblStylePr w:type="band1Vert">
      <w:tcPr>
        <w:tcBorders>
          <w:left w:val="single" w:color="FFFFFF" w:sz="4" w:space="0"/>
          <w:right w:val="single" w:color="FFFFFF" w:sz="4" w:space="0"/>
        </w:tcBorders>
      </w:tcPr>
    </w:tblStylePr>
    <w:tblStylePr w:type="band2Vert">
      <w:tcPr>
        <w:tcBorders>
          <w:left w:val="single" w:color="FFFFFF" w:sz="4" w:space="0"/>
          <w:right w:val="single" w:color="FFFFFF" w:sz="4" w:space="0"/>
        </w:tcBorders>
      </w:tcPr>
    </w:tblStylePr>
    <w:tblStylePr w:type="band1Horz">
      <w:tcPr>
        <w:tcBorders>
          <w:top w:val="single" w:color="FFFFFF" w:sz="4" w:space="0"/>
          <w:bottom w:val="single" w:color="FFFFFF" w:sz="4" w:space="0"/>
        </w:tcBorders>
      </w:tcPr>
    </w:tblStylePr>
    <w:tblStylePr w:type="neCell">
      <w:tcPr>
        <w:tcBorders>
          <w:left w:val="nil"/>
        </w:tcBorders>
      </w:tcPr>
    </w:tblStylePr>
    <w:tblStylePr w:type="nwCell">
      <w:tcPr>
        <w:tcBorders>
          <w:right w:val="nil"/>
        </w:tcBorders>
      </w:tcPr>
    </w:tblStylePr>
    <w:tblStylePr w:type="seCell">
      <w:tcPr>
        <w:tcBorders>
          <w:top w:val="nil"/>
          <w:left w:val="nil"/>
        </w:tcBorders>
      </w:tcPr>
    </w:tblStylePr>
    <w:tblStylePr w:type="swCell">
      <w:tcPr>
        <w:tcBorders>
          <w:top w:val="nil"/>
          <w:right w:val="nil"/>
        </w:tcBorders>
      </w:tcPr>
    </w:tblStylePr>
  </w:style>
  <w:style w:type="table" w:customStyle="1" w:styleId="787">
    <w:name w:val="Список-таблица 6 цветная2"/>
    <w:basedOn w:val="13"/>
    <w:uiPriority w:val="51"/>
    <w:rPr>
      <w:color w:val="000000"/>
      <w:sz w:val="22"/>
      <w:szCs w:val="22"/>
      <w:lang w:eastAsia="en-US"/>
    </w:rPr>
    <w:tblPr>
      <w:tblBorders>
        <w:top w:val="single" w:color="000000" w:sz="4" w:space="0"/>
        <w:bottom w:val="single" w:color="000000" w:sz="4" w:space="0"/>
      </w:tblBorders>
      <w:tblCellMar>
        <w:top w:w="0" w:type="dxa"/>
        <w:left w:w="108" w:type="dxa"/>
        <w:bottom w:w="0" w:type="dxa"/>
        <w:right w:w="108" w:type="dxa"/>
      </w:tblCellMar>
    </w:tblPr>
    <w:tblStylePr w:type="firstRow">
      <w:rPr>
        <w:b/>
        <w:bCs/>
      </w:rPr>
      <w:tcPr>
        <w:tcBorders>
          <w:bottom w:val="single" w:color="000000" w:sz="4" w:space="0"/>
        </w:tcBorders>
      </w:tcPr>
    </w:tblStylePr>
    <w:tblStylePr w:type="lastRow">
      <w:rPr>
        <w:b/>
        <w:bCs/>
      </w:rPr>
      <w:tcPr>
        <w:tcBorders>
          <w:top w:val="double" w:color="000000" w:sz="4" w:space="0"/>
        </w:tcBorders>
      </w:tcPr>
    </w:tblStylePr>
    <w:tblStylePr w:type="firstCol">
      <w:rPr>
        <w:b/>
        <w:bCs/>
      </w:rPr>
    </w:tblStylePr>
    <w:tblStylePr w:type="lastCol">
      <w:rPr>
        <w:b/>
        <w:bCs/>
      </w:rPr>
    </w:tblStylePr>
    <w:tblStylePr w:type="band1Vert">
      <w:tcPr>
        <w:shd w:val="clear" w:color="auto" w:fill="CCCCCC"/>
      </w:tcPr>
    </w:tblStylePr>
    <w:tblStylePr w:type="band1Horz">
      <w:tcPr>
        <w:shd w:val="clear" w:color="auto" w:fill="CCCCCC"/>
      </w:tcPr>
    </w:tblStylePr>
  </w:style>
  <w:style w:type="table" w:customStyle="1" w:styleId="788">
    <w:name w:val="Список-таблица 7 цветная2"/>
    <w:basedOn w:val="13"/>
    <w:uiPriority w:val="52"/>
    <w:rPr>
      <w:color w:val="000000"/>
      <w:sz w:val="22"/>
      <w:szCs w:val="22"/>
      <w:lang w:eastAsia="en-US"/>
    </w:rPr>
    <w:tblPr>
      <w:tblCellMar>
        <w:top w:w="0" w:type="dxa"/>
        <w:left w:w="108" w:type="dxa"/>
        <w:bottom w:w="0" w:type="dxa"/>
        <w:right w:w="108" w:type="dxa"/>
      </w:tblCellMar>
    </w:tblPr>
    <w:tblStylePr w:type="firstRow">
      <w:rPr>
        <w:rFonts w:ascii="Cambria" w:hAnsi="Cambria" w:eastAsia="Times New Roman" w:cs="Times New Roman"/>
        <w:i/>
        <w:iCs/>
        <w:sz w:val="26"/>
      </w:rPr>
      <w:tcPr>
        <w:tcBorders>
          <w:bottom w:val="single" w:color="000000" w:sz="4" w:space="0"/>
        </w:tcBorders>
        <w:shd w:val="clear" w:color="auto" w:fill="FFFFFF"/>
      </w:tcPr>
    </w:tblStylePr>
    <w:tblStylePr w:type="lastRow">
      <w:rPr>
        <w:rFonts w:ascii="Cambria" w:hAnsi="Cambria" w:eastAsia="Times New Roman" w:cs="Times New Roman"/>
        <w:i/>
        <w:iCs/>
        <w:sz w:val="26"/>
      </w:rPr>
      <w:tcPr>
        <w:tcBorders>
          <w:top w:val="single" w:color="000000" w:sz="4" w:space="0"/>
        </w:tcBorders>
        <w:shd w:val="clear" w:color="auto" w:fill="FFFFFF"/>
      </w:tcPr>
    </w:tblStylePr>
    <w:tblStylePr w:type="firstCol">
      <w:pPr>
        <w:jc w:val="right"/>
      </w:pPr>
      <w:rPr>
        <w:rFonts w:ascii="Cambria" w:hAnsi="Cambria" w:eastAsia="Times New Roman" w:cs="Times New Roman"/>
        <w:i/>
        <w:iCs/>
        <w:sz w:val="26"/>
      </w:rPr>
      <w:tcPr>
        <w:tcBorders>
          <w:right w:val="single" w:color="000000" w:sz="4" w:space="0"/>
        </w:tcBorders>
        <w:shd w:val="clear" w:color="auto" w:fill="FFFFFF"/>
      </w:tcPr>
    </w:tblStylePr>
    <w:tblStylePr w:type="lastCol">
      <w:rPr>
        <w:rFonts w:ascii="Cambria" w:hAnsi="Cambria" w:eastAsia="Times New Roman" w:cs="Times New Roman"/>
        <w:i/>
        <w:iCs/>
        <w:sz w:val="26"/>
      </w:rPr>
      <w:tcPr>
        <w:tcBorders>
          <w:left w:val="single" w:color="000000" w:sz="4" w:space="0"/>
        </w:tcBorders>
        <w:shd w:val="clear" w:color="auto" w:fill="FFFFFF"/>
      </w:tcPr>
    </w:tblStylePr>
    <w:tblStylePr w:type="band1Vert">
      <w:tcPr>
        <w:shd w:val="clear" w:color="auto" w:fill="CCCCCC"/>
      </w:tcPr>
    </w:tblStylePr>
    <w:tblStylePr w:type="band1Horz">
      <w:tcPr>
        <w:shd w:val="clear" w:color="auto" w:fill="CCCCCC"/>
      </w:tcPr>
    </w:tblStylePr>
    <w:tblStylePr w:type="neCell">
      <w:tcPr>
        <w:tcBorders>
          <w:left w:val="nil"/>
        </w:tcBorders>
      </w:tcPr>
    </w:tblStylePr>
    <w:tblStylePr w:type="nwCell">
      <w:tcPr>
        <w:tcBorders>
          <w:right w:val="nil"/>
        </w:tcBorders>
      </w:tcPr>
    </w:tblStylePr>
    <w:tblStylePr w:type="seCell">
      <w:tcPr>
        <w:tcBorders>
          <w:left w:val="nil"/>
        </w:tcBorders>
      </w:tcPr>
    </w:tblStylePr>
    <w:tblStylePr w:type="swCell">
      <w:tcPr>
        <w:tcBorders>
          <w:right w:val="nil"/>
        </w:tcBorders>
      </w:tcPr>
    </w:tblStylePr>
  </w:style>
  <w:style w:type="character" w:customStyle="1" w:styleId="789">
    <w:name w:val="Заголовок 3 Знак1"/>
    <w:semiHidden/>
    <w:uiPriority w:val="9"/>
    <w:rPr>
      <w:rFonts w:ascii="Cambria" w:hAnsi="Cambria" w:eastAsia="Times New Roman" w:cs="Times New Roman"/>
      <w:color w:val="243F60"/>
      <w:sz w:val="24"/>
      <w:szCs w:val="24"/>
    </w:rPr>
  </w:style>
  <w:style w:type="character" w:customStyle="1" w:styleId="790">
    <w:name w:val="Заголовок 7 Знак2"/>
    <w:semiHidden/>
    <w:uiPriority w:val="9"/>
    <w:rPr>
      <w:rFonts w:ascii="Cambria" w:hAnsi="Cambria" w:eastAsia="Times New Roman" w:cs="Times New Roman"/>
      <w:i/>
      <w:iCs/>
      <w:color w:val="243F60"/>
    </w:rPr>
  </w:style>
  <w:style w:type="character" w:customStyle="1" w:styleId="791">
    <w:name w:val="Заголовок 8 Знак2"/>
    <w:semiHidden/>
    <w:uiPriority w:val="9"/>
    <w:rPr>
      <w:rFonts w:ascii="Cambria" w:hAnsi="Cambria" w:eastAsia="Times New Roman" w:cs="Times New Roman"/>
      <w:color w:val="272727"/>
      <w:sz w:val="21"/>
      <w:szCs w:val="21"/>
    </w:rPr>
  </w:style>
  <w:style w:type="character" w:customStyle="1" w:styleId="792">
    <w:name w:val="Заголовок 9 Знак2"/>
    <w:semiHidden/>
    <w:uiPriority w:val="9"/>
    <w:rPr>
      <w:rFonts w:ascii="Cambria" w:hAnsi="Cambria" w:eastAsia="Times New Roman" w:cs="Times New Roman"/>
      <w:i/>
      <w:iCs/>
      <w:color w:val="272727"/>
      <w:sz w:val="21"/>
      <w:szCs w:val="21"/>
    </w:rPr>
  </w:style>
  <w:style w:type="character" w:customStyle="1" w:styleId="793">
    <w:name w:val="Текст сноски Знак2"/>
    <w:semiHidden/>
    <w:uiPriority w:val="99"/>
    <w:rPr>
      <w:sz w:val="20"/>
      <w:szCs w:val="20"/>
    </w:rPr>
  </w:style>
  <w:style w:type="character" w:customStyle="1" w:styleId="794">
    <w:name w:val="Основной текст 2 Знак1"/>
    <w:link w:val="24"/>
    <w:uiPriority w:val="99"/>
    <w:rPr>
      <w:sz w:val="22"/>
      <w:szCs w:val="22"/>
      <w:lang w:eastAsia="en-US"/>
    </w:rPr>
  </w:style>
  <w:style w:type="table" w:customStyle="1" w:styleId="795">
    <w:name w:val="Сетка таблицы15"/>
    <w:basedOn w:val="13"/>
    <w:uiPriority w:val="59"/>
    <w:rPr>
      <w:sz w:val="22"/>
      <w:szCs w:val="22"/>
      <w:lang w:eastAsia="en-US"/>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
  </w:style>
  <w:style w:type="table" w:customStyle="1" w:styleId="796">
    <w:name w:val="Сетка таблицы6"/>
    <w:basedOn w:val="13"/>
    <w:uiPriority w:val="59"/>
    <w:rPr>
      <w:sz w:val="22"/>
      <w:szCs w:val="22"/>
      <w:lang w:eastAsia="en-US"/>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paragraph" w:customStyle="1" w:styleId="797">
    <w:name w:val="Standard"/>
    <w:uiPriority w:val="0"/>
    <w:pPr>
      <w:suppressAutoHyphens/>
      <w:autoSpaceDN w:val="0"/>
      <w:spacing w:after="200" w:line="276" w:lineRule="auto"/>
      <w:textAlignment w:val="baseline"/>
    </w:pPr>
    <w:rPr>
      <w:rFonts w:ascii="Calibri" w:hAnsi="Calibri" w:eastAsia="Microsoft YaHei" w:cs="Calibri"/>
      <w:kern w:val="3"/>
      <w:sz w:val="22"/>
      <w:szCs w:val="22"/>
      <w:lang w:val="ru-RU" w:eastAsia="en-US" w:bidi="ar-SA"/>
    </w:rPr>
  </w:style>
  <w:style w:type="character" w:customStyle="1" w:styleId="798">
    <w:name w:val="Стиль1 Знак"/>
    <w:uiPriority w:val="0"/>
    <w:rPr>
      <w:rFonts w:ascii="Times New Roman" w:hAnsi="Times New Roman" w:eastAsia="Times New Roman" w:cs="Times New Roman"/>
      <w:sz w:val="28"/>
      <w:szCs w:val="28"/>
      <w:lang w:eastAsia="ar-SA"/>
    </w:rPr>
  </w:style>
  <w:style w:type="paragraph" w:customStyle="1" w:styleId="799">
    <w:name w:val="Заг 4"/>
    <w:basedOn w:val="1"/>
    <w:qFormat/>
    <w:uiPriority w:val="0"/>
    <w:pPr>
      <w:keepNext/>
      <w:widowControl/>
      <w:autoSpaceDE w:val="0"/>
      <w:autoSpaceDN w:val="0"/>
      <w:adjustRightInd w:val="0"/>
      <w:spacing w:before="255" w:after="113" w:line="240" w:lineRule="atLeast"/>
      <w:jc w:val="center"/>
      <w:textAlignment w:val="center"/>
    </w:pPr>
    <w:rPr>
      <w:rFonts w:ascii="PragmaticaC" w:hAnsi="PragmaticaC" w:eastAsia="Times New Roman" w:cs="PragmaticaC"/>
      <w:i/>
      <w:iCs/>
      <w:color w:val="000000"/>
      <w:sz w:val="23"/>
      <w:szCs w:val="23"/>
      <w:lang w:eastAsia="ru-RU"/>
    </w:rPr>
  </w:style>
  <w:style w:type="paragraph" w:customStyle="1" w:styleId="800">
    <w:name w:val="Курсив"/>
    <w:basedOn w:val="54"/>
    <w:qFormat/>
    <w:uiPriority w:val="0"/>
    <w:pPr>
      <w:textAlignment w:val="center"/>
    </w:pPr>
    <w:rPr>
      <w:rFonts w:eastAsia="Times New Roman"/>
      <w:i/>
      <w:iCs/>
      <w:lang w:eastAsia="ru-RU"/>
    </w:rPr>
  </w:style>
  <w:style w:type="paragraph" w:customStyle="1" w:styleId="801">
    <w:name w:val="Zag_1"/>
    <w:basedOn w:val="1"/>
    <w:qFormat/>
    <w:uiPriority w:val="99"/>
    <w:pPr>
      <w:autoSpaceDE w:val="0"/>
      <w:autoSpaceDN w:val="0"/>
      <w:adjustRightInd w:val="0"/>
      <w:spacing w:after="337" w:line="302" w:lineRule="exact"/>
      <w:ind w:firstLine="709"/>
      <w:jc w:val="center"/>
    </w:pPr>
    <w:rPr>
      <w:rFonts w:ascii="Times New Roman" w:hAnsi="Times New Roman" w:eastAsia="Times New Roman"/>
      <w:b/>
      <w:bCs/>
      <w:color w:val="000000"/>
      <w:sz w:val="28"/>
      <w:szCs w:val="24"/>
      <w:lang w:eastAsia="ru-RU"/>
    </w:rPr>
  </w:style>
  <w:style w:type="paragraph" w:customStyle="1" w:styleId="802">
    <w:name w:val="Zag_3"/>
    <w:basedOn w:val="1"/>
    <w:qFormat/>
    <w:uiPriority w:val="0"/>
    <w:pPr>
      <w:autoSpaceDE w:val="0"/>
      <w:autoSpaceDN w:val="0"/>
      <w:adjustRightInd w:val="0"/>
      <w:spacing w:after="68" w:line="282" w:lineRule="exact"/>
      <w:jc w:val="center"/>
    </w:pPr>
    <w:rPr>
      <w:rFonts w:ascii="Times New Roman" w:hAnsi="Times New Roman" w:eastAsia="Times New Roman"/>
      <w:i/>
      <w:iCs/>
      <w:color w:val="000000"/>
      <w:sz w:val="24"/>
      <w:szCs w:val="24"/>
      <w:lang w:eastAsia="ru-RU"/>
    </w:rPr>
  </w:style>
  <w:style w:type="paragraph" w:customStyle="1" w:styleId="803">
    <w:name w:val="Ξαϋχνϋι"/>
    <w:basedOn w:val="1"/>
    <w:qFormat/>
    <w:uiPriority w:val="99"/>
    <w:pPr>
      <w:autoSpaceDE w:val="0"/>
      <w:autoSpaceDN w:val="0"/>
      <w:adjustRightInd w:val="0"/>
      <w:spacing w:after="0" w:line="240" w:lineRule="auto"/>
      <w:jc w:val="both"/>
    </w:pPr>
    <w:rPr>
      <w:rFonts w:ascii="Times New Roman" w:hAnsi="Times New Roman" w:eastAsia="Times New Roman"/>
      <w:color w:val="000000"/>
      <w:sz w:val="24"/>
      <w:szCs w:val="24"/>
      <w:lang w:eastAsia="ru-RU"/>
    </w:rPr>
  </w:style>
  <w:style w:type="character" w:customStyle="1" w:styleId="804">
    <w:name w:val="Буллит Курсив Знак"/>
    <w:link w:val="646"/>
    <w:uiPriority w:val="99"/>
    <w:rPr>
      <w:rFonts w:ascii="NewtonCSanPin" w:hAnsi="NewtonCSanPin" w:eastAsia="Times New Roman" w:cs="NewtonCSanPin"/>
      <w:i/>
      <w:iCs/>
      <w:color w:val="000000"/>
      <w:sz w:val="21"/>
      <w:szCs w:val="21"/>
    </w:rPr>
  </w:style>
  <w:style w:type="character" w:customStyle="1" w:styleId="805">
    <w:name w:val="blk"/>
    <w:uiPriority w:val="0"/>
  </w:style>
  <w:style w:type="paragraph" w:customStyle="1" w:styleId="806">
    <w:name w:val="Название таблицы"/>
    <w:basedOn w:val="54"/>
    <w:qFormat/>
    <w:uiPriority w:val="0"/>
    <w:pPr>
      <w:spacing w:before="113"/>
      <w:ind w:firstLine="0"/>
      <w:jc w:val="center"/>
      <w:textAlignment w:val="center"/>
    </w:pPr>
    <w:rPr>
      <w:rFonts w:eastAsia="Times New Roman"/>
      <w:b/>
      <w:bCs/>
      <w:lang w:eastAsia="ru-RU"/>
    </w:rPr>
  </w:style>
  <w:style w:type="character" w:customStyle="1" w:styleId="807">
    <w:name w:val="Основной текст + Курсив;Интервал 0 pt"/>
    <w:uiPriority w:val="0"/>
    <w:rPr>
      <w:rFonts w:ascii="Malgun Gothic" w:hAnsi="Malgun Gothic" w:eastAsia="Malgun Gothic" w:cs="Malgun Gothic"/>
      <w:i/>
      <w:iCs/>
      <w:color w:val="000000"/>
      <w:spacing w:val="-7"/>
      <w:w w:val="100"/>
      <w:position w:val="0"/>
      <w:sz w:val="18"/>
      <w:szCs w:val="18"/>
      <w:u w:val="none"/>
      <w:shd w:val="clear" w:color="auto" w:fill="FFFFFF"/>
      <w:lang w:val="ru-RU"/>
    </w:rPr>
  </w:style>
  <w:style w:type="character" w:customStyle="1" w:styleId="808">
    <w:name w:val="Основной текст (20)"/>
    <w:uiPriority w:val="0"/>
    <w:rPr>
      <w:rFonts w:ascii="Malgun Gothic" w:hAnsi="Malgun Gothic" w:eastAsia="Malgun Gothic" w:cs="Malgun Gothic"/>
      <w:i/>
      <w:iCs/>
      <w:color w:val="000000"/>
      <w:spacing w:val="-7"/>
      <w:w w:val="100"/>
      <w:position w:val="0"/>
      <w:sz w:val="18"/>
      <w:szCs w:val="18"/>
      <w:u w:val="none"/>
      <w:lang w:val="ru-RU"/>
    </w:rPr>
  </w:style>
  <w:style w:type="character" w:customStyle="1" w:styleId="809">
    <w:name w:val="Основной текст (20) + Не курсив;Интервал 0 pt"/>
    <w:uiPriority w:val="0"/>
    <w:rPr>
      <w:rFonts w:ascii="Malgun Gothic" w:hAnsi="Malgun Gothic" w:eastAsia="Malgun Gothic" w:cs="Malgun Gothic"/>
      <w:i/>
      <w:iCs/>
      <w:color w:val="000000"/>
      <w:spacing w:val="3"/>
      <w:w w:val="100"/>
      <w:position w:val="0"/>
      <w:sz w:val="18"/>
      <w:szCs w:val="18"/>
      <w:u w:val="none"/>
      <w:lang w:val="ru-RU"/>
    </w:rPr>
  </w:style>
  <w:style w:type="paragraph" w:customStyle="1" w:styleId="810">
    <w:name w:val="Osnova"/>
    <w:basedOn w:val="1"/>
    <w:qFormat/>
    <w:uiPriority w:val="0"/>
    <w:pPr>
      <w:autoSpaceDE w:val="0"/>
      <w:autoSpaceDN w:val="0"/>
      <w:adjustRightInd w:val="0"/>
      <w:spacing w:after="0" w:line="213" w:lineRule="exact"/>
      <w:ind w:firstLine="339"/>
      <w:jc w:val="both"/>
    </w:pPr>
    <w:rPr>
      <w:rFonts w:ascii="NewtonCSanPin" w:hAnsi="NewtonCSanPin" w:eastAsia="Times New Roman" w:cs="NewtonCSanPin"/>
      <w:color w:val="000000"/>
      <w:sz w:val="21"/>
      <w:szCs w:val="21"/>
      <w:lang w:eastAsia="ru-RU"/>
    </w:rPr>
  </w:style>
  <w:style w:type="paragraph" w:customStyle="1" w:styleId="811">
    <w:name w:val="Normal1"/>
    <w:uiPriority w:val="99"/>
    <w:pPr>
      <w:widowControl w:val="0"/>
      <w:jc w:val="both"/>
    </w:pPr>
    <w:rPr>
      <w:rFonts w:ascii="Times New Roman" w:hAnsi="Times New Roman" w:eastAsia="Times New Roman" w:cs="Times New Roman"/>
      <w:lang w:val="ru-RU" w:eastAsia="ru-RU" w:bidi="ar-SA"/>
    </w:rPr>
  </w:style>
  <w:style w:type="paragraph" w:customStyle="1" w:styleId="812">
    <w:name w:val="Текст в заданном формате"/>
    <w:basedOn w:val="1"/>
    <w:uiPriority w:val="99"/>
    <w:pPr>
      <w:suppressAutoHyphens/>
      <w:spacing w:after="0" w:line="360" w:lineRule="auto"/>
      <w:ind w:firstLine="709"/>
      <w:jc w:val="both"/>
    </w:pPr>
    <w:rPr>
      <w:rFonts w:ascii="Times New Roman" w:hAnsi="Times New Roman" w:eastAsia="NSimSun" w:cs="Liberation Mono"/>
      <w:sz w:val="24"/>
      <w:szCs w:val="20"/>
      <w:lang w:eastAsia="zh-CN" w:bidi="hi-IN"/>
    </w:rPr>
  </w:style>
  <w:style w:type="paragraph" w:customStyle="1" w:styleId="813">
    <w:name w:val="Новый"/>
    <w:basedOn w:val="1"/>
    <w:uiPriority w:val="0"/>
    <w:pPr>
      <w:widowControl/>
      <w:spacing w:after="0" w:line="360" w:lineRule="auto"/>
      <w:ind w:firstLine="454"/>
      <w:jc w:val="both"/>
    </w:pPr>
    <w:rPr>
      <w:rFonts w:ascii="Times New Roman" w:hAnsi="Times New Roman" w:eastAsia="Times New Roman"/>
      <w:sz w:val="28"/>
      <w:szCs w:val="24"/>
      <w:lang w:eastAsia="ru-RU"/>
    </w:rPr>
  </w:style>
  <w:style w:type="paragraph" w:customStyle="1" w:styleId="814">
    <w:name w:val="Подзаг"/>
    <w:basedOn w:val="54"/>
    <w:qFormat/>
    <w:uiPriority w:val="0"/>
    <w:pPr>
      <w:spacing w:before="113" w:after="28"/>
      <w:jc w:val="center"/>
      <w:textAlignment w:val="center"/>
    </w:pPr>
    <w:rPr>
      <w:rFonts w:eastAsia="Times New Roman"/>
      <w:b/>
      <w:bCs/>
      <w:i/>
      <w:iCs/>
      <w:lang w:eastAsia="ru-RU"/>
    </w:rPr>
  </w:style>
  <w:style w:type="character" w:customStyle="1" w:styleId="815">
    <w:name w:val="fontstyle21"/>
    <w:uiPriority w:val="0"/>
    <w:rPr>
      <w:rFonts w:hint="default" w:ascii="HA_Chuvash-Bold" w:hAnsi="HA_Chuvash-Bold"/>
      <w:b/>
      <w:bCs/>
      <w:color w:val="242021"/>
      <w:sz w:val="20"/>
      <w:szCs w:val="20"/>
    </w:rPr>
  </w:style>
  <w:style w:type="character" w:customStyle="1" w:styleId="816">
    <w:name w:val="fontstyle31"/>
    <w:uiPriority w:val="0"/>
    <w:rPr>
      <w:rFonts w:hint="default" w:ascii="NewtonCSanPin-Regular" w:hAnsi="NewtonCSanPin-Regular"/>
      <w:color w:val="242021"/>
      <w:sz w:val="18"/>
      <w:szCs w:val="18"/>
    </w:rPr>
  </w:style>
  <w:style w:type="character" w:customStyle="1" w:styleId="817">
    <w:name w:val="Balloon Text Char"/>
    <w:semiHidden/>
    <w:locked/>
    <w:uiPriority w:val="99"/>
    <w:rPr>
      <w:rFonts w:ascii="Tahoma" w:hAnsi="Tahoma" w:cs="Tahoma"/>
      <w:sz w:val="16"/>
      <w:szCs w:val="16"/>
      <w:lang w:eastAsia="ru-RU"/>
    </w:rPr>
  </w:style>
  <w:style w:type="paragraph" w:customStyle="1" w:styleId="818">
    <w:name w:val="wwP7"/>
    <w:basedOn w:val="1"/>
    <w:uiPriority w:val="99"/>
    <w:pPr>
      <w:suppressAutoHyphens/>
      <w:spacing w:after="0" w:line="240" w:lineRule="auto"/>
      <w:ind w:left="135" w:firstLine="585"/>
      <w:jc w:val="both"/>
    </w:pPr>
    <w:rPr>
      <w:rFonts w:ascii="Times New Roman" w:hAnsi="Times New Roman"/>
      <w:kern w:val="2"/>
      <w:sz w:val="24"/>
      <w:szCs w:val="24"/>
      <w:lang w:eastAsia="ru-RU"/>
    </w:rPr>
  </w:style>
  <w:style w:type="character" w:customStyle="1" w:styleId="819">
    <w:name w:val="A3"/>
    <w:uiPriority w:val="99"/>
    <w:rPr>
      <w:color w:val="000000"/>
      <w:sz w:val="20"/>
      <w:szCs w:val="20"/>
    </w:rPr>
  </w:style>
  <w:style w:type="character" w:customStyle="1" w:styleId="820">
    <w:name w:val="Верхний колонтитул Знак1"/>
    <w:uiPriority w:val="99"/>
    <w:rPr>
      <w:rFonts w:ascii="Times New Roman" w:hAnsi="Times New Roman" w:cs="Times New Roman"/>
      <w:sz w:val="28"/>
      <w:szCs w:val="28"/>
      <w:lang w:eastAsia="ru-RU"/>
    </w:rPr>
  </w:style>
  <w:style w:type="character" w:customStyle="1" w:styleId="821">
    <w:name w:val="docdata"/>
    <w:uiPriority w:val="0"/>
  </w:style>
  <w:style w:type="paragraph" w:customStyle="1" w:styleId="822">
    <w:name w:val="подзаголовок"/>
    <w:basedOn w:val="760"/>
    <w:uiPriority w:val="0"/>
    <w:pPr>
      <w:autoSpaceDE w:val="0"/>
      <w:autoSpaceDN w:val="0"/>
      <w:adjustRightInd w:val="0"/>
      <w:spacing w:before="227" w:after="113"/>
      <w:jc w:val="center"/>
      <w:textAlignment w:val="center"/>
    </w:pPr>
    <w:rPr>
      <w:rFonts w:ascii="Newton-Bold" w:hAnsi="Newton-Bold" w:eastAsia="Calibri" w:cs="Newton-Bold"/>
      <w:b/>
      <w:bCs/>
      <w:lang w:eastAsia="en-US"/>
    </w:rPr>
  </w:style>
  <w:style w:type="character" w:customStyle="1" w:styleId="823">
    <w:name w:val="myBoldChars"/>
    <w:uiPriority w:val="0"/>
    <w:rPr>
      <w:color w:val="FF0000"/>
    </w:rPr>
  </w:style>
  <w:style w:type="paragraph" w:customStyle="1" w:styleId="824">
    <w:name w:val="Zag_2"/>
    <w:basedOn w:val="1"/>
    <w:qFormat/>
    <w:uiPriority w:val="0"/>
    <w:pPr>
      <w:autoSpaceDE w:val="0"/>
      <w:autoSpaceDN w:val="0"/>
      <w:adjustRightInd w:val="0"/>
      <w:spacing w:after="129" w:line="291" w:lineRule="exact"/>
      <w:jc w:val="center"/>
    </w:pPr>
    <w:rPr>
      <w:rFonts w:ascii="Times New Roman" w:hAnsi="Times New Roman" w:eastAsia="Times New Roman"/>
      <w:b/>
      <w:bCs/>
      <w:color w:val="000000"/>
      <w:sz w:val="24"/>
      <w:szCs w:val="24"/>
      <w:lang w:eastAsia="ru-RU"/>
    </w:rPr>
  </w:style>
  <w:style w:type="paragraph" w:customStyle="1" w:styleId="825">
    <w:name w:val="[Без стиля]"/>
    <w:uiPriority w:val="0"/>
    <w:pPr>
      <w:autoSpaceDE w:val="0"/>
      <w:autoSpaceDN w:val="0"/>
      <w:adjustRightInd w:val="0"/>
      <w:spacing w:line="288" w:lineRule="auto"/>
      <w:textAlignment w:val="center"/>
    </w:pPr>
    <w:rPr>
      <w:rFonts w:ascii="Minion Pro" w:hAnsi="Minion Pro" w:eastAsia="Calibri" w:cs="Minion Pro"/>
      <w:color w:val="000000"/>
      <w:sz w:val="24"/>
      <w:szCs w:val="24"/>
      <w:lang w:val="en-GB" w:eastAsia="en-US" w:bidi="ar-SA"/>
    </w:rPr>
  </w:style>
  <w:style w:type="paragraph" w:customStyle="1" w:styleId="826">
    <w:name w:val="без абзаца"/>
    <w:basedOn w:val="822"/>
    <w:uiPriority w:val="99"/>
    <w:pPr>
      <w:spacing w:before="0" w:after="0"/>
      <w:ind w:firstLine="0"/>
      <w:jc w:val="left"/>
    </w:pPr>
    <w:rPr>
      <w:rFonts w:ascii="Newton-Regular" w:hAnsi="Newton-Regular" w:cs="Newton-Regular"/>
    </w:rPr>
  </w:style>
  <w:style w:type="character" w:customStyle="1" w:styleId="827">
    <w:name w:val="myItalicChars"/>
    <w:uiPriority w:val="99"/>
    <w:rPr>
      <w:color w:val="FF0000"/>
    </w:rPr>
  </w:style>
  <w:style w:type="paragraph" w:customStyle="1" w:styleId="828">
    <w:name w:val="Paragraph Style"/>
    <w:uiPriority w:val="0"/>
    <w:pPr>
      <w:autoSpaceDE w:val="0"/>
      <w:autoSpaceDN w:val="0"/>
      <w:adjustRightInd w:val="0"/>
    </w:pPr>
    <w:rPr>
      <w:rFonts w:ascii="Arial" w:hAnsi="Arial" w:eastAsia="Times New Roman" w:cs="Times New Roman"/>
      <w:sz w:val="24"/>
      <w:szCs w:val="24"/>
      <w:lang w:val="ru-RU" w:eastAsia="ru-RU" w:bidi="ar-SA"/>
    </w:rPr>
  </w:style>
  <w:style w:type="character" w:customStyle="1" w:styleId="829">
    <w:name w:val="st"/>
    <w:uiPriority w:val="0"/>
  </w:style>
  <w:style w:type="paragraph" w:customStyle="1" w:styleId="830">
    <w:name w:val="HTML Top of Form"/>
    <w:basedOn w:val="1"/>
    <w:next w:val="1"/>
    <w:link w:val="831"/>
    <w:semiHidden/>
    <w:unhideWhenUsed/>
    <w:uiPriority w:val="99"/>
    <w:pPr>
      <w:widowControl/>
      <w:pBdr>
        <w:bottom w:val="single" w:color="auto" w:sz="6" w:space="1"/>
      </w:pBdr>
      <w:spacing w:after="0" w:line="240" w:lineRule="auto"/>
      <w:jc w:val="center"/>
    </w:pPr>
    <w:rPr>
      <w:rFonts w:ascii="Arial" w:hAnsi="Arial" w:eastAsia="Times New Roman"/>
      <w:vanish/>
      <w:sz w:val="16"/>
      <w:szCs w:val="16"/>
    </w:rPr>
  </w:style>
  <w:style w:type="character" w:customStyle="1" w:styleId="831">
    <w:name w:val="z-Начало формы Знак"/>
    <w:link w:val="830"/>
    <w:semiHidden/>
    <w:uiPriority w:val="99"/>
    <w:rPr>
      <w:rFonts w:ascii="Arial" w:hAnsi="Arial" w:eastAsia="Times New Roman" w:cs="Arial"/>
      <w:vanish/>
      <w:sz w:val="16"/>
      <w:szCs w:val="16"/>
    </w:rPr>
  </w:style>
  <w:style w:type="paragraph" w:customStyle="1" w:styleId="832">
    <w:name w:val="HTML Bottom of Form"/>
    <w:basedOn w:val="1"/>
    <w:next w:val="1"/>
    <w:link w:val="833"/>
    <w:semiHidden/>
    <w:unhideWhenUsed/>
    <w:uiPriority w:val="99"/>
    <w:pPr>
      <w:widowControl/>
      <w:pBdr>
        <w:top w:val="single" w:color="auto" w:sz="6" w:space="1"/>
      </w:pBdr>
      <w:spacing w:after="0" w:line="240" w:lineRule="auto"/>
      <w:jc w:val="center"/>
    </w:pPr>
    <w:rPr>
      <w:rFonts w:ascii="Arial" w:hAnsi="Arial" w:eastAsia="Times New Roman"/>
      <w:vanish/>
      <w:sz w:val="16"/>
      <w:szCs w:val="16"/>
    </w:rPr>
  </w:style>
  <w:style w:type="character" w:customStyle="1" w:styleId="833">
    <w:name w:val="z-Конец формы Знак"/>
    <w:link w:val="832"/>
    <w:semiHidden/>
    <w:uiPriority w:val="99"/>
    <w:rPr>
      <w:rFonts w:ascii="Arial" w:hAnsi="Arial" w:eastAsia="Times New Roman" w:cs="Arial"/>
      <w:vanish/>
      <w:sz w:val="16"/>
      <w:szCs w:val="16"/>
    </w:rPr>
  </w:style>
  <w:style w:type="paragraph" w:customStyle="1" w:styleId="834">
    <w:name w:val="c11"/>
    <w:basedOn w:val="1"/>
    <w:uiPriority w:val="0"/>
    <w:pPr>
      <w:widowControl/>
      <w:spacing w:before="100" w:beforeAutospacing="1" w:after="100" w:afterAutospacing="1" w:line="240" w:lineRule="auto"/>
      <w:jc w:val="both"/>
    </w:pPr>
    <w:rPr>
      <w:rFonts w:ascii="Times New Roman" w:hAnsi="Times New Roman" w:eastAsia="Times New Roman"/>
      <w:sz w:val="24"/>
      <w:szCs w:val="24"/>
      <w:lang w:eastAsia="ru-RU"/>
    </w:rPr>
  </w:style>
  <w:style w:type="character" w:customStyle="1" w:styleId="835">
    <w:name w:val="c15"/>
    <w:uiPriority w:val="0"/>
  </w:style>
  <w:style w:type="character" w:customStyle="1" w:styleId="836">
    <w:name w:val="ft1"/>
    <w:uiPriority w:val="0"/>
  </w:style>
  <w:style w:type="character" w:customStyle="1" w:styleId="837">
    <w:name w:val="Заголовок Знак1"/>
    <w:uiPriority w:val="0"/>
    <w:rPr>
      <w:rFonts w:ascii="Times New Roman" w:hAnsi="Times New Roman" w:eastAsia="Times New Roman"/>
      <w:bCs/>
      <w:caps/>
      <w:kern w:val="28"/>
      <w:sz w:val="28"/>
      <w:szCs w:val="32"/>
    </w:rPr>
  </w:style>
  <w:style w:type="table" w:customStyle="1" w:styleId="838">
    <w:name w:val="Table Normal2"/>
    <w:semiHidden/>
    <w:unhideWhenUsed/>
    <w:qFormat/>
    <w:uiPriority w:val="2"/>
    <w:pPr>
      <w:widowControl w:val="0"/>
      <w:autoSpaceDE w:val="0"/>
      <w:autoSpaceDN w:val="0"/>
    </w:pPr>
    <w:rPr>
      <w:sz w:val="22"/>
      <w:szCs w:val="22"/>
      <w:lang w:val="en-US" w:eastAsia="en-US"/>
    </w:rPr>
    <w:tblPr>
      <w:tblCellMar>
        <w:top w:w="0" w:type="dxa"/>
        <w:left w:w="0" w:type="dxa"/>
        <w:bottom w:w="0" w:type="dxa"/>
        <w:right w:w="0" w:type="dxa"/>
      </w:tblCellMar>
    </w:tblPr>
  </w:style>
  <w:style w:type="table" w:customStyle="1" w:styleId="839">
    <w:name w:val="Table Normal3"/>
    <w:semiHidden/>
    <w:unhideWhenUsed/>
    <w:qFormat/>
    <w:uiPriority w:val="2"/>
    <w:pPr>
      <w:widowControl w:val="0"/>
      <w:autoSpaceDE w:val="0"/>
      <w:autoSpaceDN w:val="0"/>
    </w:pPr>
    <w:rPr>
      <w:sz w:val="22"/>
      <w:szCs w:val="22"/>
      <w:lang w:val="en-US" w:eastAsia="en-US"/>
    </w:rPr>
    <w:tblPr>
      <w:tblCellMar>
        <w:top w:w="0" w:type="dxa"/>
        <w:left w:w="0" w:type="dxa"/>
        <w:bottom w:w="0" w:type="dxa"/>
        <w:right w:w="0" w:type="dxa"/>
      </w:tblCellMar>
    </w:tblPr>
  </w:style>
  <w:style w:type="table" w:customStyle="1" w:styleId="840">
    <w:name w:val="Сетка таблицы7"/>
    <w:basedOn w:val="13"/>
    <w:uiPriority w:val="59"/>
    <w:rPr>
      <w:sz w:val="22"/>
      <w:szCs w:val="22"/>
      <w:lang w:eastAsia="en-US"/>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
  </w:style>
  <w:style w:type="table" w:customStyle="1" w:styleId="841">
    <w:name w:val="Table Grid Light2"/>
    <w:basedOn w:val="13"/>
    <w:uiPriority w:val="59"/>
    <w:rPr>
      <w:sz w:val="22"/>
      <w:szCs w:val="22"/>
      <w:lang w:eastAsia="en-US"/>
    </w:rPr>
    <w:tblPr>
      <w:tblBorders>
        <w:top w:val="single" w:color="AFAFAF" w:sz="4" w:space="0"/>
        <w:left w:val="single" w:color="AFAFAF" w:sz="4" w:space="0"/>
        <w:bottom w:val="single" w:color="AFAFAF" w:sz="4" w:space="0"/>
        <w:right w:val="single" w:color="AFAFAF" w:sz="4" w:space="0"/>
        <w:insideH w:val="single" w:color="AFAFAF" w:sz="4" w:space="0"/>
        <w:insideV w:val="single" w:color="AFAFAF" w:sz="4" w:space="0"/>
      </w:tblBorders>
      <w:tblCellMar>
        <w:top w:w="0" w:type="dxa"/>
        <w:left w:w="108" w:type="dxa"/>
        <w:bottom w:w="0" w:type="dxa"/>
        <w:right w:w="108" w:type="dxa"/>
      </w:tblCellMar>
    </w:tblPr>
  </w:style>
  <w:style w:type="table" w:customStyle="1" w:styleId="842">
    <w:name w:val="Таблица простая 111"/>
    <w:basedOn w:val="13"/>
    <w:uiPriority w:val="59"/>
    <w:rPr>
      <w:sz w:val="22"/>
      <w:szCs w:val="22"/>
      <w:lang w:eastAsia="en-US"/>
    </w:rPr>
    <w:tblPr>
      <w:tblBorders>
        <w:top w:val="single" w:color="AFAFAF" w:sz="4" w:space="0"/>
        <w:left w:val="single" w:color="AFAFAF" w:sz="4" w:space="0"/>
        <w:bottom w:val="single" w:color="AFAFAF" w:sz="4" w:space="0"/>
        <w:right w:val="single" w:color="AFAFAF" w:sz="4" w:space="0"/>
        <w:insideH w:val="single" w:color="AFAFAF" w:sz="4" w:space="0"/>
        <w:insideV w:val="single" w:color="AFAFAF" w:sz="4" w:space="0"/>
      </w:tblBorders>
      <w:tblCellMar>
        <w:top w:w="0" w:type="dxa"/>
        <w:left w:w="108" w:type="dxa"/>
        <w:bottom w:w="0" w:type="dxa"/>
        <w:right w:w="108" w:type="dxa"/>
      </w:tblCellMar>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cPr>
        <w:shd w:val="clear" w:color="F2F2F2" w:fill="F2F2F2"/>
      </w:tcPr>
    </w:tblStylePr>
    <w:tblStylePr w:type="band1Horz">
      <w:tcPr>
        <w:shd w:val="clear" w:color="F2F2F2" w:fill="F2F2F2"/>
      </w:tcPr>
    </w:tblStylePr>
  </w:style>
  <w:style w:type="table" w:customStyle="1" w:styleId="843">
    <w:name w:val="Таблица простая 211"/>
    <w:basedOn w:val="13"/>
    <w:uiPriority w:val="59"/>
    <w:rPr>
      <w:sz w:val="22"/>
      <w:szCs w:val="22"/>
      <w:lang w:eastAsia="en-US"/>
    </w:rPr>
    <w:tblPr>
      <w:tblBorders>
        <w:top w:val="single" w:color="000000" w:sz="4" w:space="0"/>
        <w:left w:val="none" w:color="000000" w:sz="4" w:space="0"/>
        <w:bottom w:val="single" w:color="000000" w:sz="4" w:space="0"/>
        <w:right w:val="none" w:color="000000" w:sz="4" w:space="0"/>
      </w:tblBorders>
      <w:tblCellMar>
        <w:top w:w="0" w:type="dxa"/>
        <w:left w:w="108" w:type="dxa"/>
        <w:bottom w:w="0" w:type="dxa"/>
        <w:right w:w="108" w:type="dxa"/>
      </w:tblCellMar>
    </w:tblPr>
    <w:tblStylePr w:type="firstRow">
      <w:rPr>
        <w:rFonts w:ascii="Arial" w:hAnsi="Arial"/>
        <w:b/>
        <w:color w:val="404040"/>
        <w:sz w:val="22"/>
      </w:rPr>
      <w:tcPr>
        <w:tcBorders>
          <w:top w:val="single" w:color="000000" w:sz="4" w:space="0"/>
          <w:bottom w:val="single" w:color="000000" w:sz="4" w:space="0"/>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cPr>
        <w:tcBorders>
          <w:left w:val="single" w:color="000000" w:sz="4" w:space="0"/>
          <w:right w:val="single" w:color="000000" w:sz="4" w:space="0"/>
        </w:tcBorders>
      </w:tcPr>
    </w:tblStylePr>
    <w:tblStylePr w:type="band2Vert">
      <w:tcPr>
        <w:tcBorders>
          <w:left w:val="single" w:color="000000" w:sz="4" w:space="0"/>
          <w:right w:val="single" w:color="000000" w:sz="4" w:space="0"/>
        </w:tcBorders>
      </w:tcPr>
    </w:tblStylePr>
    <w:tblStylePr w:type="band1Horz">
      <w:tcPr>
        <w:tcBorders>
          <w:top w:val="single" w:color="000000" w:sz="4" w:space="0"/>
          <w:bottom w:val="single" w:color="000000" w:sz="4" w:space="0"/>
        </w:tcBorders>
      </w:tcPr>
    </w:tblStylePr>
  </w:style>
  <w:style w:type="table" w:customStyle="1" w:styleId="844">
    <w:name w:val="Таблица простая 311"/>
    <w:basedOn w:val="13"/>
    <w:qFormat/>
    <w:uiPriority w:val="99"/>
    <w:rPr>
      <w:sz w:val="22"/>
      <w:szCs w:val="22"/>
      <w:lang w:eastAsia="en-US"/>
    </w:rPr>
    <w:tblPr>
      <w:tblCellMar>
        <w:top w:w="0" w:type="dxa"/>
        <w:left w:w="108" w:type="dxa"/>
        <w:bottom w:w="0" w:type="dxa"/>
        <w:right w:w="108" w:type="dxa"/>
      </w:tblCellMar>
    </w:tblPr>
    <w:tblStylePr w:type="firstRow">
      <w:rPr>
        <w:b/>
        <w:caps/>
        <w:color w:val="404040"/>
      </w:rPr>
      <w:tcPr>
        <w:tcBorders>
          <w:top w:val="nil"/>
          <w:left w:val="nil"/>
          <w:bottom w:val="single" w:color="404040" w:sz="4" w:space="0"/>
          <w:right w:val="nil"/>
        </w:tcBorders>
      </w:tcPr>
    </w:tblStylePr>
    <w:tblStylePr w:type="lastRow">
      <w:rPr>
        <w:b/>
        <w:caps/>
        <w:color w:val="404040"/>
      </w:rPr>
    </w:tblStylePr>
    <w:tblStylePr w:type="firstCol">
      <w:rPr>
        <w:b/>
        <w:caps/>
        <w:color w:val="404040"/>
      </w:rPr>
      <w:tcPr>
        <w:tcBorders>
          <w:top w:val="nil"/>
          <w:left w:val="nil"/>
          <w:bottom w:val="nil"/>
          <w:right w:val="single" w:color="404040" w:sz="4" w:space="0"/>
        </w:tcBorders>
      </w:tcPr>
    </w:tblStylePr>
    <w:tblStylePr w:type="lastCol">
      <w:rPr>
        <w:b/>
        <w:caps/>
        <w:color w:val="404040"/>
      </w:rPr>
    </w:tblStylePr>
    <w:tblStylePr w:type="band1Vert">
      <w:rPr>
        <w:rFonts w:ascii="Arial" w:hAnsi="Arial"/>
        <w:color w:val="404040"/>
        <w:sz w:val="22"/>
      </w:rPr>
      <w:tcPr>
        <w:shd w:val="clear" w:color="F2F2F2" w:fill="F2F2F2"/>
      </w:tcPr>
    </w:tblStylePr>
    <w:tblStylePr w:type="band1Horz">
      <w:rPr>
        <w:rFonts w:ascii="Arial" w:hAnsi="Arial"/>
        <w:color w:val="404040"/>
        <w:sz w:val="22"/>
      </w:rPr>
      <w:tcPr>
        <w:shd w:val="clear" w:color="F2F2F2" w:fill="F2F2F2"/>
      </w:tcPr>
    </w:tblStylePr>
  </w:style>
  <w:style w:type="table" w:customStyle="1" w:styleId="845">
    <w:name w:val="Таблица простая 411"/>
    <w:basedOn w:val="13"/>
    <w:uiPriority w:val="99"/>
    <w:rPr>
      <w:sz w:val="22"/>
      <w:szCs w:val="22"/>
      <w:lang w:eastAsia="en-US"/>
    </w:rPr>
    <w:tblPr>
      <w:tblCellMar>
        <w:top w:w="0" w:type="dxa"/>
        <w:left w:w="108" w:type="dxa"/>
        <w:bottom w:w="0" w:type="dxa"/>
        <w:right w:w="108" w:type="dxa"/>
      </w:tblCellMar>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F2F2F2" w:fill="F2F2F2"/>
      </w:tcPr>
    </w:tblStylePr>
    <w:tblStylePr w:type="band1Horz">
      <w:rPr>
        <w:rFonts w:ascii="Arial" w:hAnsi="Arial"/>
        <w:color w:val="404040"/>
        <w:sz w:val="22"/>
      </w:rPr>
      <w:tcPr>
        <w:shd w:val="clear" w:color="F2F2F2" w:fill="F2F2F2"/>
      </w:tcPr>
    </w:tblStylePr>
  </w:style>
  <w:style w:type="table" w:customStyle="1" w:styleId="846">
    <w:name w:val="Таблица простая 511"/>
    <w:basedOn w:val="13"/>
    <w:uiPriority w:val="99"/>
    <w:rPr>
      <w:sz w:val="22"/>
      <w:szCs w:val="22"/>
      <w:lang w:eastAsia="en-US"/>
    </w:rPr>
    <w:tblPr>
      <w:tblCellMar>
        <w:top w:w="0" w:type="dxa"/>
        <w:left w:w="108" w:type="dxa"/>
        <w:bottom w:w="0" w:type="dxa"/>
        <w:right w:w="108" w:type="dxa"/>
      </w:tblCellMar>
    </w:tblPr>
    <w:tblStylePr w:type="firstRow">
      <w:rPr>
        <w:i/>
        <w:color w:val="404040"/>
      </w:rPr>
      <w:tcPr>
        <w:tcBorders>
          <w:left w:val="nil"/>
          <w:bottom w:val="single" w:color="404040" w:sz="4" w:space="0"/>
          <w:right w:val="nil"/>
        </w:tcBorders>
        <w:shd w:val="clear" w:color="FFFFFF" w:fill="auto"/>
      </w:tcPr>
    </w:tblStylePr>
    <w:tblStylePr w:type="lastRow">
      <w:rPr>
        <w:i/>
        <w:color w:val="404040"/>
      </w:rPr>
      <w:tcPr>
        <w:tcBorders>
          <w:top w:val="single" w:color="404040" w:sz="4" w:space="0"/>
          <w:left w:val="nil"/>
          <w:right w:val="nil"/>
        </w:tcBorders>
        <w:shd w:val="clear" w:color="FFFFFF" w:fill="auto"/>
      </w:tcPr>
    </w:tblStylePr>
    <w:tblStylePr w:type="firstCol">
      <w:pPr>
        <w:jc w:val="right"/>
      </w:pPr>
      <w:rPr>
        <w:i/>
        <w:color w:val="404040"/>
      </w:rPr>
      <w:tcPr>
        <w:tcBorders>
          <w:right w:val="single" w:color="404040" w:sz="4" w:space="0"/>
        </w:tcBorders>
        <w:shd w:val="clear" w:color="FFFFFF" w:fill="auto"/>
      </w:tcPr>
    </w:tblStylePr>
    <w:tblStylePr w:type="lastCol">
      <w:rPr>
        <w:i/>
        <w:color w:val="404040"/>
      </w:rPr>
      <w:tcPr>
        <w:tcBorders>
          <w:left w:val="single" w:color="404040" w:sz="4" w:space="0"/>
        </w:tcBorders>
        <w:shd w:val="clear" w:color="FFFFFF" w:fill="auto"/>
      </w:tcPr>
    </w:tblStylePr>
    <w:tblStylePr w:type="band1Vert">
      <w:rPr>
        <w:rFonts w:ascii="Arial" w:hAnsi="Arial"/>
        <w:color w:val="404040"/>
        <w:sz w:val="22"/>
      </w:rPr>
      <w:tcPr>
        <w:shd w:val="clear" w:color="F2F2F2" w:fill="F2F2F2"/>
      </w:tcPr>
    </w:tblStylePr>
    <w:tblStylePr w:type="band1Horz">
      <w:rPr>
        <w:rFonts w:ascii="Arial" w:hAnsi="Arial"/>
        <w:color w:val="404040"/>
        <w:sz w:val="22"/>
      </w:rPr>
      <w:tcPr>
        <w:shd w:val="clear" w:color="F2F2F2" w:fill="F2F2F2"/>
      </w:tcPr>
    </w:tblStylePr>
  </w:style>
  <w:style w:type="table" w:customStyle="1" w:styleId="847">
    <w:name w:val="Таблица-сетка 1 светлая11"/>
    <w:basedOn w:val="13"/>
    <w:uiPriority w:val="99"/>
    <w:rPr>
      <w:sz w:val="22"/>
      <w:szCs w:val="22"/>
      <w:lang w:eastAsia="en-US"/>
    </w:rPr>
    <w:tblPr>
      <w:tblBorders>
        <w:top w:val="single" w:color="989898" w:sz="4" w:space="0"/>
        <w:left w:val="single" w:color="989898" w:sz="4" w:space="0"/>
        <w:bottom w:val="single" w:color="989898" w:sz="4" w:space="0"/>
        <w:right w:val="single" w:color="989898" w:sz="4" w:space="0"/>
        <w:insideH w:val="single" w:color="989898" w:sz="4" w:space="0"/>
        <w:insideV w:val="single" w:color="989898" w:sz="4" w:space="0"/>
      </w:tblBorders>
      <w:tblCellMar>
        <w:top w:w="0" w:type="dxa"/>
        <w:left w:w="108" w:type="dxa"/>
        <w:bottom w:w="0" w:type="dxa"/>
        <w:right w:w="108" w:type="dxa"/>
      </w:tblCellMar>
    </w:tblPr>
    <w:tblStylePr w:type="firstRow">
      <w:rPr>
        <w:b/>
        <w:color w:val="404040"/>
      </w:rPr>
      <w:tcPr>
        <w:tcBorders>
          <w:bottom w:val="single" w:color="6A6A6A" w:sz="12" w:space="0"/>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cPr>
        <w:tcBorders>
          <w:top w:val="single" w:color="989898" w:sz="4" w:space="0"/>
          <w:left w:val="single" w:color="989898" w:sz="4" w:space="0"/>
          <w:bottom w:val="single" w:color="989898" w:sz="4" w:space="0"/>
          <w:right w:val="single" w:color="989898" w:sz="4" w:space="0"/>
        </w:tcBorders>
      </w:tcPr>
    </w:tblStylePr>
  </w:style>
  <w:style w:type="table" w:customStyle="1" w:styleId="848">
    <w:name w:val="Grid Table 1 Light - Accent 12"/>
    <w:basedOn w:val="13"/>
    <w:uiPriority w:val="99"/>
    <w:rPr>
      <w:sz w:val="22"/>
      <w:szCs w:val="22"/>
      <w:lang w:eastAsia="en-US"/>
    </w:rPr>
    <w:tblPr>
      <w:tblBorders>
        <w:top w:val="single" w:color="B7CBE4" w:sz="4" w:space="0"/>
        <w:left w:val="single" w:color="B7CBE4" w:sz="4" w:space="0"/>
        <w:bottom w:val="single" w:color="B7CBE4" w:sz="4" w:space="0"/>
        <w:right w:val="single" w:color="B7CBE4" w:sz="4" w:space="0"/>
        <w:insideH w:val="single" w:color="B7CBE4" w:sz="4" w:space="0"/>
        <w:insideV w:val="single" w:color="B7CBE4" w:sz="4" w:space="0"/>
      </w:tblBorders>
      <w:tblCellMar>
        <w:top w:w="0" w:type="dxa"/>
        <w:left w:w="108" w:type="dxa"/>
        <w:bottom w:w="0" w:type="dxa"/>
        <w:right w:w="108" w:type="dxa"/>
      </w:tblCellMar>
    </w:tblPr>
    <w:tblStylePr w:type="firstRow">
      <w:rPr>
        <w:b/>
        <w:color w:val="404040"/>
      </w:rPr>
      <w:tcPr>
        <w:tcBorders>
          <w:bottom w:val="single" w:color="97B4D8" w:sz="12" w:space="0"/>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cPr>
        <w:tcBorders>
          <w:top w:val="single" w:color="B7CBE4" w:sz="4" w:space="0"/>
          <w:left w:val="single" w:color="B7CBE4" w:sz="4" w:space="0"/>
          <w:bottom w:val="single" w:color="B7CBE4" w:sz="4" w:space="0"/>
          <w:right w:val="single" w:color="B7CBE4" w:sz="4" w:space="0"/>
        </w:tcBorders>
      </w:tcPr>
    </w:tblStylePr>
  </w:style>
  <w:style w:type="table" w:customStyle="1" w:styleId="849">
    <w:name w:val="Grid Table 1 Light - Accent 22"/>
    <w:basedOn w:val="13"/>
    <w:uiPriority w:val="99"/>
    <w:rPr>
      <w:sz w:val="22"/>
      <w:szCs w:val="22"/>
      <w:lang w:eastAsia="en-US"/>
    </w:rPr>
    <w:tblPr>
      <w:tblBorders>
        <w:top w:val="single" w:color="E5B7B6" w:sz="4" w:space="0"/>
        <w:left w:val="single" w:color="E5B7B6" w:sz="4" w:space="0"/>
        <w:bottom w:val="single" w:color="E5B7B6" w:sz="4" w:space="0"/>
        <w:right w:val="single" w:color="E5B7B6" w:sz="4" w:space="0"/>
        <w:insideH w:val="single" w:color="E5B7B6" w:sz="4" w:space="0"/>
        <w:insideV w:val="single" w:color="E5B7B6" w:sz="4" w:space="0"/>
      </w:tblBorders>
      <w:tblCellMar>
        <w:top w:w="0" w:type="dxa"/>
        <w:left w:w="108" w:type="dxa"/>
        <w:bottom w:w="0" w:type="dxa"/>
        <w:right w:w="108" w:type="dxa"/>
      </w:tblCellMar>
    </w:tblPr>
    <w:tblStylePr w:type="firstRow">
      <w:rPr>
        <w:b/>
        <w:color w:val="404040"/>
      </w:rPr>
      <w:tcPr>
        <w:tcBorders>
          <w:bottom w:val="single" w:color="DA9896" w:sz="12" w:space="0"/>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cPr>
        <w:tcBorders>
          <w:top w:val="single" w:color="E5B7B6" w:sz="4" w:space="0"/>
          <w:left w:val="single" w:color="E5B7B6" w:sz="4" w:space="0"/>
          <w:bottom w:val="single" w:color="E5B7B6" w:sz="4" w:space="0"/>
          <w:right w:val="single" w:color="E5B7B6" w:sz="4" w:space="0"/>
        </w:tcBorders>
      </w:tcPr>
    </w:tblStylePr>
  </w:style>
  <w:style w:type="table" w:customStyle="1" w:styleId="850">
    <w:name w:val="Grid Table 1 Light - Accent 32"/>
    <w:basedOn w:val="13"/>
    <w:uiPriority w:val="99"/>
    <w:rPr>
      <w:sz w:val="22"/>
      <w:szCs w:val="22"/>
      <w:lang w:eastAsia="en-US"/>
    </w:rPr>
    <w:tblPr>
      <w:tblBorders>
        <w:top w:val="single" w:color="D6E3BB" w:sz="4" w:space="0"/>
        <w:left w:val="single" w:color="D6E3BB" w:sz="4" w:space="0"/>
        <w:bottom w:val="single" w:color="D6E3BB" w:sz="4" w:space="0"/>
        <w:right w:val="single" w:color="D6E3BB" w:sz="4" w:space="0"/>
        <w:insideH w:val="single" w:color="D6E3BB" w:sz="4" w:space="0"/>
        <w:insideV w:val="single" w:color="D6E3BB" w:sz="4" w:space="0"/>
      </w:tblBorders>
      <w:tblCellMar>
        <w:top w:w="0" w:type="dxa"/>
        <w:left w:w="108" w:type="dxa"/>
        <w:bottom w:w="0" w:type="dxa"/>
        <w:right w:w="108" w:type="dxa"/>
      </w:tblCellMar>
    </w:tblPr>
    <w:tblStylePr w:type="firstRow">
      <w:rPr>
        <w:b/>
        <w:color w:val="404040"/>
      </w:rPr>
      <w:tcPr>
        <w:tcBorders>
          <w:bottom w:val="single" w:color="C4D79D" w:sz="12" w:space="0"/>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cPr>
        <w:tcBorders>
          <w:top w:val="single" w:color="D6E3BB" w:sz="4" w:space="0"/>
          <w:left w:val="single" w:color="D6E3BB" w:sz="4" w:space="0"/>
          <w:bottom w:val="single" w:color="D6E3BB" w:sz="4" w:space="0"/>
          <w:right w:val="single" w:color="D6E3BB" w:sz="4" w:space="0"/>
        </w:tcBorders>
      </w:tcPr>
    </w:tblStylePr>
  </w:style>
  <w:style w:type="table" w:customStyle="1" w:styleId="851">
    <w:name w:val="Grid Table 1 Light - Accent 42"/>
    <w:basedOn w:val="13"/>
    <w:uiPriority w:val="99"/>
    <w:rPr>
      <w:sz w:val="22"/>
      <w:szCs w:val="22"/>
      <w:lang w:eastAsia="en-US"/>
    </w:rPr>
    <w:tblPr>
      <w:tblBorders>
        <w:top w:val="single" w:color="CBC0D9" w:sz="4" w:space="0"/>
        <w:left w:val="single" w:color="CBC0D9" w:sz="4" w:space="0"/>
        <w:bottom w:val="single" w:color="CBC0D9" w:sz="4" w:space="0"/>
        <w:right w:val="single" w:color="CBC0D9" w:sz="4" w:space="0"/>
        <w:insideH w:val="single" w:color="CBC0D9" w:sz="4" w:space="0"/>
        <w:insideV w:val="single" w:color="CBC0D9" w:sz="4" w:space="0"/>
      </w:tblBorders>
      <w:tblCellMar>
        <w:top w:w="0" w:type="dxa"/>
        <w:left w:w="108" w:type="dxa"/>
        <w:bottom w:w="0" w:type="dxa"/>
        <w:right w:w="108" w:type="dxa"/>
      </w:tblCellMar>
    </w:tblPr>
    <w:tblStylePr w:type="firstRow">
      <w:rPr>
        <w:b/>
        <w:color w:val="404040"/>
      </w:rPr>
      <w:tcPr>
        <w:tcBorders>
          <w:bottom w:val="single" w:color="B4A4C8" w:sz="12" w:space="0"/>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cPr>
        <w:tcBorders>
          <w:top w:val="single" w:color="CBC0D9" w:sz="4" w:space="0"/>
          <w:left w:val="single" w:color="CBC0D9" w:sz="4" w:space="0"/>
          <w:bottom w:val="single" w:color="CBC0D9" w:sz="4" w:space="0"/>
          <w:right w:val="single" w:color="CBC0D9" w:sz="4" w:space="0"/>
        </w:tcBorders>
      </w:tcPr>
    </w:tblStylePr>
  </w:style>
  <w:style w:type="table" w:customStyle="1" w:styleId="852">
    <w:name w:val="Grid Table 1 Light - Accent 52"/>
    <w:basedOn w:val="13"/>
    <w:uiPriority w:val="99"/>
    <w:rPr>
      <w:sz w:val="22"/>
      <w:szCs w:val="22"/>
      <w:lang w:eastAsia="en-US"/>
    </w:rPr>
    <w:tblPr>
      <w:tblBorders>
        <w:top w:val="single" w:color="B6DDE8" w:sz="4" w:space="0"/>
        <w:left w:val="single" w:color="B6DDE8" w:sz="4" w:space="0"/>
        <w:bottom w:val="single" w:color="B6DDE8" w:sz="4" w:space="0"/>
        <w:right w:val="single" w:color="B6DDE8" w:sz="4" w:space="0"/>
        <w:insideH w:val="single" w:color="B6DDE8" w:sz="4" w:space="0"/>
        <w:insideV w:val="single" w:color="B6DDE8" w:sz="4" w:space="0"/>
      </w:tblBorders>
      <w:tblCellMar>
        <w:top w:w="0" w:type="dxa"/>
        <w:left w:w="108" w:type="dxa"/>
        <w:bottom w:w="0" w:type="dxa"/>
        <w:right w:w="108" w:type="dxa"/>
      </w:tblCellMar>
    </w:tblPr>
    <w:tblStylePr w:type="firstRow">
      <w:rPr>
        <w:b/>
        <w:color w:val="404040"/>
      </w:rPr>
      <w:tcPr>
        <w:tcBorders>
          <w:bottom w:val="single" w:color="95CEDD" w:sz="12" w:space="0"/>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cPr>
        <w:tcBorders>
          <w:top w:val="single" w:color="B6DDE8" w:sz="4" w:space="0"/>
          <w:left w:val="single" w:color="B6DDE8" w:sz="4" w:space="0"/>
          <w:bottom w:val="single" w:color="B6DDE8" w:sz="4" w:space="0"/>
          <w:right w:val="single" w:color="B6DDE8" w:sz="4" w:space="0"/>
        </w:tcBorders>
      </w:tcPr>
    </w:tblStylePr>
  </w:style>
  <w:style w:type="table" w:customStyle="1" w:styleId="853">
    <w:name w:val="Grid Table 1 Light - Accent 62"/>
    <w:basedOn w:val="13"/>
    <w:uiPriority w:val="99"/>
    <w:rPr>
      <w:sz w:val="22"/>
      <w:szCs w:val="22"/>
      <w:lang w:eastAsia="en-US"/>
    </w:rPr>
    <w:tblPr>
      <w:tblBorders>
        <w:top w:val="single" w:color="FBD4B4" w:sz="4" w:space="0"/>
        <w:left w:val="single" w:color="FBD4B4" w:sz="4" w:space="0"/>
        <w:bottom w:val="single" w:color="FBD4B4" w:sz="4" w:space="0"/>
        <w:right w:val="single" w:color="FBD4B4" w:sz="4" w:space="0"/>
        <w:insideH w:val="single" w:color="FBD4B4" w:sz="4" w:space="0"/>
        <w:insideV w:val="single" w:color="FBD4B4" w:sz="4" w:space="0"/>
      </w:tblBorders>
      <w:tblCellMar>
        <w:top w:w="0" w:type="dxa"/>
        <w:left w:w="108" w:type="dxa"/>
        <w:bottom w:w="0" w:type="dxa"/>
        <w:right w:w="108" w:type="dxa"/>
      </w:tblCellMar>
    </w:tblPr>
    <w:tblStylePr w:type="firstRow">
      <w:rPr>
        <w:b/>
        <w:color w:val="404040"/>
      </w:rPr>
      <w:tcPr>
        <w:tcBorders>
          <w:bottom w:val="single" w:color="FAC192" w:sz="12" w:space="0"/>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cPr>
        <w:tcBorders>
          <w:top w:val="single" w:color="FBD4B4" w:sz="4" w:space="0"/>
          <w:left w:val="single" w:color="FBD4B4" w:sz="4" w:space="0"/>
          <w:bottom w:val="single" w:color="FBD4B4" w:sz="4" w:space="0"/>
          <w:right w:val="single" w:color="FBD4B4" w:sz="4" w:space="0"/>
        </w:tcBorders>
      </w:tcPr>
    </w:tblStylePr>
  </w:style>
  <w:style w:type="table" w:customStyle="1" w:styleId="854">
    <w:name w:val="Таблица-сетка 211"/>
    <w:basedOn w:val="13"/>
    <w:uiPriority w:val="99"/>
    <w:rPr>
      <w:sz w:val="22"/>
      <w:szCs w:val="22"/>
      <w:lang w:eastAsia="en-US"/>
    </w:rPr>
    <w:tblPr>
      <w:tblBorders>
        <w:bottom w:val="single" w:color="6A6A6A" w:sz="4" w:space="0"/>
        <w:insideH w:val="single" w:color="6A6A6A" w:sz="4" w:space="0"/>
        <w:insideV w:val="single" w:color="6A6A6A" w:sz="4" w:space="0"/>
      </w:tblBorders>
      <w:tblCellMar>
        <w:top w:w="0" w:type="dxa"/>
        <w:left w:w="108" w:type="dxa"/>
        <w:bottom w:w="0" w:type="dxa"/>
        <w:right w:w="108" w:type="dxa"/>
      </w:tblCellMar>
    </w:tblPr>
    <w:tblStylePr w:type="firstRow">
      <w:rPr>
        <w:b/>
        <w:color w:val="404040"/>
      </w:rPr>
      <w:tcPr>
        <w:tcBorders>
          <w:top w:val="nil"/>
          <w:left w:val="nil"/>
          <w:bottom w:val="single" w:color="6A6A6A" w:sz="12" w:space="0"/>
          <w:right w:val="nil"/>
        </w:tcBorders>
        <w:shd w:val="clear" w:color="FFFFFF" w:fill="auto"/>
      </w:tcPr>
    </w:tblStylePr>
    <w:tblStylePr w:type="lastRow">
      <w:rPr>
        <w:b/>
        <w:color w:val="404040"/>
      </w:rPr>
      <w:tcPr>
        <w:tcBorders>
          <w:top w:val="single" w:color="6A6A6A"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CBCBCB" w:fill="CBCBCB"/>
      </w:tcPr>
    </w:tblStylePr>
    <w:tblStylePr w:type="band1Horz">
      <w:rPr>
        <w:rFonts w:ascii="Arial" w:hAnsi="Arial"/>
        <w:color w:val="404040"/>
        <w:sz w:val="22"/>
      </w:rPr>
      <w:tcPr>
        <w:shd w:val="clear" w:color="CBCBCB" w:fill="CBCBCB"/>
      </w:tcPr>
    </w:tblStylePr>
  </w:style>
  <w:style w:type="table" w:customStyle="1" w:styleId="855">
    <w:name w:val="Grid Table 2 - Accent 12"/>
    <w:basedOn w:val="13"/>
    <w:uiPriority w:val="99"/>
    <w:rPr>
      <w:sz w:val="22"/>
      <w:szCs w:val="22"/>
      <w:lang w:eastAsia="en-US"/>
    </w:rPr>
    <w:tblPr>
      <w:tblBorders>
        <w:bottom w:val="single" w:color="5D8AC2" w:sz="4" w:space="0"/>
        <w:insideH w:val="single" w:color="5D8AC2" w:sz="4" w:space="0"/>
        <w:insideV w:val="single" w:color="5D8AC2" w:sz="4" w:space="0"/>
      </w:tblBorders>
      <w:tblCellMar>
        <w:top w:w="0" w:type="dxa"/>
        <w:left w:w="108" w:type="dxa"/>
        <w:bottom w:w="0" w:type="dxa"/>
        <w:right w:w="108" w:type="dxa"/>
      </w:tblCellMar>
    </w:tblPr>
    <w:tblStylePr w:type="firstRow">
      <w:rPr>
        <w:b/>
        <w:color w:val="404040"/>
      </w:rPr>
      <w:tcPr>
        <w:tcBorders>
          <w:top w:val="nil"/>
          <w:left w:val="nil"/>
          <w:bottom w:val="single" w:color="5D8AC2" w:sz="12" w:space="0"/>
          <w:right w:val="nil"/>
        </w:tcBorders>
        <w:shd w:val="clear" w:color="FFFFFF" w:fill="auto"/>
      </w:tcPr>
    </w:tblStylePr>
    <w:tblStylePr w:type="lastRow">
      <w:rPr>
        <w:b/>
        <w:color w:val="404040"/>
      </w:rPr>
      <w:tcPr>
        <w:tcBorders>
          <w:top w:val="single" w:color="5D8AC2"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DAE5F1" w:fill="DAE5F1"/>
      </w:tcPr>
    </w:tblStylePr>
    <w:tblStylePr w:type="band1Horz">
      <w:rPr>
        <w:rFonts w:ascii="Arial" w:hAnsi="Arial"/>
        <w:color w:val="404040"/>
        <w:sz w:val="22"/>
      </w:rPr>
      <w:tcPr>
        <w:shd w:val="clear" w:color="DAE5F1" w:fill="DAE5F1"/>
      </w:tcPr>
    </w:tblStylePr>
  </w:style>
  <w:style w:type="table" w:customStyle="1" w:styleId="856">
    <w:name w:val="Grid Table 2 - Accent 22"/>
    <w:basedOn w:val="13"/>
    <w:uiPriority w:val="99"/>
    <w:rPr>
      <w:sz w:val="22"/>
      <w:szCs w:val="22"/>
      <w:lang w:eastAsia="en-US"/>
    </w:rPr>
    <w:tblPr>
      <w:tblBorders>
        <w:bottom w:val="single" w:color="D99695" w:sz="4" w:space="0"/>
        <w:insideH w:val="single" w:color="D99695" w:sz="4" w:space="0"/>
        <w:insideV w:val="single" w:color="D99695" w:sz="4" w:space="0"/>
      </w:tblBorders>
      <w:tblCellMar>
        <w:top w:w="0" w:type="dxa"/>
        <w:left w:w="108" w:type="dxa"/>
        <w:bottom w:w="0" w:type="dxa"/>
        <w:right w:w="108" w:type="dxa"/>
      </w:tblCellMar>
    </w:tblPr>
    <w:tblStylePr w:type="firstRow">
      <w:rPr>
        <w:b/>
        <w:color w:val="404040"/>
      </w:rPr>
      <w:tcPr>
        <w:tcBorders>
          <w:top w:val="nil"/>
          <w:left w:val="nil"/>
          <w:bottom w:val="single" w:color="D99695" w:sz="12" w:space="0"/>
          <w:right w:val="nil"/>
        </w:tcBorders>
        <w:shd w:val="clear" w:color="FFFFFF" w:fill="auto"/>
      </w:tcPr>
    </w:tblStylePr>
    <w:tblStylePr w:type="lastRow">
      <w:rPr>
        <w:b/>
        <w:color w:val="404040"/>
      </w:rPr>
      <w:tcPr>
        <w:tcBorders>
          <w:top w:val="single" w:color="D99695"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F2DCDC" w:fill="F2DCDC"/>
      </w:tcPr>
    </w:tblStylePr>
    <w:tblStylePr w:type="band1Horz">
      <w:rPr>
        <w:rFonts w:ascii="Arial" w:hAnsi="Arial"/>
        <w:color w:val="404040"/>
        <w:sz w:val="22"/>
      </w:rPr>
      <w:tcPr>
        <w:shd w:val="clear" w:color="F2DCDC" w:fill="F2DCDC"/>
      </w:tcPr>
    </w:tblStylePr>
  </w:style>
  <w:style w:type="table" w:customStyle="1" w:styleId="857">
    <w:name w:val="Grid Table 2 - Accent 32"/>
    <w:basedOn w:val="13"/>
    <w:uiPriority w:val="99"/>
    <w:rPr>
      <w:sz w:val="22"/>
      <w:szCs w:val="22"/>
      <w:lang w:eastAsia="en-US"/>
    </w:rPr>
    <w:tblPr>
      <w:tblBorders>
        <w:bottom w:val="single" w:color="9ABB59" w:sz="4" w:space="0"/>
        <w:insideH w:val="single" w:color="9ABB59" w:sz="4" w:space="0"/>
        <w:insideV w:val="single" w:color="9ABB59" w:sz="4" w:space="0"/>
      </w:tblBorders>
      <w:tblCellMar>
        <w:top w:w="0" w:type="dxa"/>
        <w:left w:w="108" w:type="dxa"/>
        <w:bottom w:w="0" w:type="dxa"/>
        <w:right w:w="108" w:type="dxa"/>
      </w:tblCellMar>
    </w:tblPr>
    <w:tblStylePr w:type="firstRow">
      <w:rPr>
        <w:b/>
        <w:color w:val="404040"/>
      </w:rPr>
      <w:tcPr>
        <w:tcBorders>
          <w:top w:val="nil"/>
          <w:left w:val="nil"/>
          <w:bottom w:val="single" w:color="9ABB59" w:sz="12" w:space="0"/>
          <w:right w:val="nil"/>
        </w:tcBorders>
        <w:shd w:val="clear" w:color="FFFFFF" w:fill="auto"/>
      </w:tcPr>
    </w:tblStylePr>
    <w:tblStylePr w:type="lastRow">
      <w:rPr>
        <w:b/>
        <w:color w:val="404040"/>
      </w:rPr>
      <w:tcPr>
        <w:tcBorders>
          <w:top w:val="single" w:color="9ABB59"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EAF1DC" w:fill="EAF1DC"/>
      </w:tcPr>
    </w:tblStylePr>
    <w:tblStylePr w:type="band1Horz">
      <w:rPr>
        <w:rFonts w:ascii="Arial" w:hAnsi="Arial"/>
        <w:color w:val="404040"/>
        <w:sz w:val="22"/>
      </w:rPr>
      <w:tcPr>
        <w:shd w:val="clear" w:color="EAF1DC" w:fill="EAF1DC"/>
      </w:tcPr>
    </w:tblStylePr>
  </w:style>
  <w:style w:type="table" w:customStyle="1" w:styleId="858">
    <w:name w:val="Grid Table 2 - Accent 42"/>
    <w:basedOn w:val="13"/>
    <w:uiPriority w:val="99"/>
    <w:rPr>
      <w:sz w:val="22"/>
      <w:szCs w:val="22"/>
      <w:lang w:eastAsia="en-US"/>
    </w:rPr>
    <w:tblPr>
      <w:tblBorders>
        <w:bottom w:val="single" w:color="B2A1C6" w:sz="4" w:space="0"/>
        <w:insideH w:val="single" w:color="B2A1C6" w:sz="4" w:space="0"/>
        <w:insideV w:val="single" w:color="B2A1C6" w:sz="4" w:space="0"/>
      </w:tblBorders>
      <w:tblCellMar>
        <w:top w:w="0" w:type="dxa"/>
        <w:left w:w="108" w:type="dxa"/>
        <w:bottom w:w="0" w:type="dxa"/>
        <w:right w:w="108" w:type="dxa"/>
      </w:tblCellMar>
    </w:tblPr>
    <w:tblStylePr w:type="firstRow">
      <w:rPr>
        <w:b/>
        <w:color w:val="404040"/>
      </w:rPr>
      <w:tcPr>
        <w:tcBorders>
          <w:top w:val="nil"/>
          <w:left w:val="nil"/>
          <w:bottom w:val="single" w:color="B2A1C6" w:sz="12" w:space="0"/>
          <w:right w:val="nil"/>
        </w:tcBorders>
        <w:shd w:val="clear" w:color="FFFFFF" w:fill="auto"/>
      </w:tcPr>
    </w:tblStylePr>
    <w:tblStylePr w:type="lastRow">
      <w:rPr>
        <w:b/>
        <w:color w:val="404040"/>
      </w:rPr>
      <w:tcPr>
        <w:tcBorders>
          <w:top w:val="single" w:color="B2A1C6"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E5DFEC" w:fill="E5DFEC"/>
      </w:tcPr>
    </w:tblStylePr>
    <w:tblStylePr w:type="band1Horz">
      <w:rPr>
        <w:rFonts w:ascii="Arial" w:hAnsi="Arial"/>
        <w:color w:val="404040"/>
        <w:sz w:val="22"/>
      </w:rPr>
      <w:tcPr>
        <w:shd w:val="clear" w:color="E5DFEC" w:fill="E5DFEC"/>
      </w:tcPr>
    </w:tblStylePr>
  </w:style>
  <w:style w:type="table" w:customStyle="1" w:styleId="859">
    <w:name w:val="Grid Table 2 - Accent 52"/>
    <w:basedOn w:val="13"/>
    <w:uiPriority w:val="99"/>
    <w:rPr>
      <w:sz w:val="22"/>
      <w:szCs w:val="22"/>
      <w:lang w:eastAsia="en-US"/>
    </w:rPr>
    <w:tblPr>
      <w:tblBorders>
        <w:bottom w:val="single" w:color="4BACC6" w:sz="4" w:space="0"/>
        <w:insideH w:val="single" w:color="4BACC6" w:sz="4" w:space="0"/>
        <w:insideV w:val="single" w:color="4BACC6" w:sz="4" w:space="0"/>
      </w:tblBorders>
      <w:tblCellMar>
        <w:top w:w="0" w:type="dxa"/>
        <w:left w:w="108" w:type="dxa"/>
        <w:bottom w:w="0" w:type="dxa"/>
        <w:right w:w="108" w:type="dxa"/>
      </w:tblCellMar>
    </w:tblPr>
    <w:tblStylePr w:type="firstRow">
      <w:rPr>
        <w:b/>
        <w:color w:val="404040"/>
      </w:rPr>
      <w:tcPr>
        <w:tcBorders>
          <w:top w:val="nil"/>
          <w:left w:val="nil"/>
          <w:bottom w:val="single" w:color="4BACC6" w:sz="12" w:space="0"/>
          <w:right w:val="nil"/>
        </w:tcBorders>
        <w:shd w:val="clear" w:color="FFFFFF" w:fill="auto"/>
      </w:tcPr>
    </w:tblStylePr>
    <w:tblStylePr w:type="lastRow">
      <w:rPr>
        <w:b/>
        <w:color w:val="404040"/>
      </w:rPr>
      <w:tcPr>
        <w:tcBorders>
          <w:top w:val="single" w:color="4BACC6"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DAEEF3" w:fill="DAEEF3"/>
      </w:tcPr>
    </w:tblStylePr>
    <w:tblStylePr w:type="band1Horz">
      <w:rPr>
        <w:rFonts w:ascii="Arial" w:hAnsi="Arial"/>
        <w:color w:val="404040"/>
        <w:sz w:val="22"/>
      </w:rPr>
      <w:tcPr>
        <w:shd w:val="clear" w:color="DAEEF3" w:fill="DAEEF3"/>
      </w:tcPr>
    </w:tblStylePr>
  </w:style>
  <w:style w:type="table" w:customStyle="1" w:styleId="860">
    <w:name w:val="Grid Table 2 - Accent 62"/>
    <w:basedOn w:val="13"/>
    <w:uiPriority w:val="99"/>
    <w:rPr>
      <w:sz w:val="22"/>
      <w:szCs w:val="22"/>
      <w:lang w:eastAsia="en-US"/>
    </w:rPr>
    <w:tblPr>
      <w:tblBorders>
        <w:bottom w:val="single" w:color="F79646" w:sz="4" w:space="0"/>
        <w:insideH w:val="single" w:color="F79646" w:sz="4" w:space="0"/>
        <w:insideV w:val="single" w:color="F79646" w:sz="4" w:space="0"/>
      </w:tblBorders>
      <w:tblCellMar>
        <w:top w:w="0" w:type="dxa"/>
        <w:left w:w="108" w:type="dxa"/>
        <w:bottom w:w="0" w:type="dxa"/>
        <w:right w:w="108" w:type="dxa"/>
      </w:tblCellMar>
    </w:tblPr>
    <w:tblStylePr w:type="firstRow">
      <w:rPr>
        <w:b/>
        <w:color w:val="404040"/>
      </w:rPr>
      <w:tcPr>
        <w:tcBorders>
          <w:top w:val="nil"/>
          <w:left w:val="nil"/>
          <w:bottom w:val="single" w:color="F79646" w:sz="12" w:space="0"/>
          <w:right w:val="nil"/>
        </w:tcBorders>
        <w:shd w:val="clear" w:color="FFFFFF" w:fill="auto"/>
      </w:tcPr>
    </w:tblStylePr>
    <w:tblStylePr w:type="lastRow">
      <w:rPr>
        <w:b/>
        <w:color w:val="404040"/>
      </w:rPr>
      <w:tcPr>
        <w:tcBorders>
          <w:top w:val="single" w:color="F79646"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FDE9D8" w:fill="FDE9D8"/>
      </w:tcPr>
    </w:tblStylePr>
    <w:tblStylePr w:type="band1Horz">
      <w:rPr>
        <w:rFonts w:ascii="Arial" w:hAnsi="Arial"/>
        <w:color w:val="404040"/>
        <w:sz w:val="22"/>
      </w:rPr>
      <w:tcPr>
        <w:shd w:val="clear" w:color="FDE9D8" w:fill="FDE9D8"/>
      </w:tcPr>
    </w:tblStylePr>
  </w:style>
  <w:style w:type="table" w:customStyle="1" w:styleId="861">
    <w:name w:val="Таблица-сетка 311"/>
    <w:basedOn w:val="13"/>
    <w:uiPriority w:val="99"/>
    <w:rPr>
      <w:sz w:val="22"/>
      <w:szCs w:val="22"/>
      <w:lang w:eastAsia="en-US"/>
    </w:rPr>
    <w:tblPr>
      <w:tblBorders>
        <w:bottom w:val="single" w:color="6A6A6A" w:sz="4" w:space="0"/>
        <w:insideH w:val="single" w:color="6A6A6A" w:sz="4" w:space="0"/>
        <w:insideV w:val="single" w:color="6A6A6A" w:sz="4" w:space="0"/>
      </w:tblBorders>
      <w:tblCellMar>
        <w:top w:w="0" w:type="dxa"/>
        <w:left w:w="108" w:type="dxa"/>
        <w:bottom w:w="0" w:type="dxa"/>
        <w:right w:w="108" w:type="dxa"/>
      </w:tblCellMar>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rFonts w:ascii="Arial" w:hAnsi="Arial"/>
        <w:color w:val="404040"/>
        <w:sz w:val="22"/>
      </w:rPr>
      <w:tcPr>
        <w:shd w:val="clear" w:color="CBCBCB" w:fill="CBCBCB"/>
      </w:tcPr>
    </w:tblStylePr>
    <w:tblStylePr w:type="band1Horz">
      <w:rPr>
        <w:rFonts w:ascii="Arial" w:hAnsi="Arial"/>
        <w:color w:val="404040"/>
        <w:sz w:val="22"/>
      </w:rPr>
      <w:tcPr>
        <w:shd w:val="clear" w:color="CBCBCB" w:fill="CBCBCB"/>
      </w:tcPr>
    </w:tblStylePr>
  </w:style>
  <w:style w:type="table" w:customStyle="1" w:styleId="862">
    <w:name w:val="Grid Table 3 - Accent 12"/>
    <w:basedOn w:val="13"/>
    <w:uiPriority w:val="99"/>
    <w:rPr>
      <w:sz w:val="22"/>
      <w:szCs w:val="22"/>
      <w:lang w:eastAsia="en-US"/>
    </w:rPr>
    <w:tblPr>
      <w:tblBorders>
        <w:bottom w:val="single" w:color="5D8AC2" w:sz="4" w:space="0"/>
        <w:insideH w:val="single" w:color="5D8AC2" w:sz="4" w:space="0"/>
        <w:insideV w:val="single" w:color="5D8AC2" w:sz="4" w:space="0"/>
      </w:tblBorders>
      <w:tblCellMar>
        <w:top w:w="0" w:type="dxa"/>
        <w:left w:w="108" w:type="dxa"/>
        <w:bottom w:w="0" w:type="dxa"/>
        <w:right w:w="108" w:type="dxa"/>
      </w:tblCellMar>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rFonts w:ascii="Arial" w:hAnsi="Arial"/>
        <w:color w:val="404040"/>
        <w:sz w:val="22"/>
      </w:rPr>
      <w:tcPr>
        <w:shd w:val="clear" w:color="DAE5F1" w:fill="DAE5F1"/>
      </w:tcPr>
    </w:tblStylePr>
    <w:tblStylePr w:type="band1Horz">
      <w:rPr>
        <w:rFonts w:ascii="Arial" w:hAnsi="Arial"/>
        <w:color w:val="404040"/>
        <w:sz w:val="22"/>
      </w:rPr>
      <w:tcPr>
        <w:shd w:val="clear" w:color="DAE5F1" w:fill="DAE5F1"/>
      </w:tcPr>
    </w:tblStylePr>
  </w:style>
  <w:style w:type="table" w:customStyle="1" w:styleId="863">
    <w:name w:val="Grid Table 3 - Accent 22"/>
    <w:basedOn w:val="13"/>
    <w:uiPriority w:val="99"/>
    <w:rPr>
      <w:sz w:val="22"/>
      <w:szCs w:val="22"/>
      <w:lang w:eastAsia="en-US"/>
    </w:rPr>
    <w:tblPr>
      <w:tblBorders>
        <w:bottom w:val="single" w:color="D99695" w:sz="4" w:space="0"/>
        <w:insideH w:val="single" w:color="D99695" w:sz="4" w:space="0"/>
        <w:insideV w:val="single" w:color="D99695" w:sz="4" w:space="0"/>
      </w:tblBorders>
      <w:tblCellMar>
        <w:top w:w="0" w:type="dxa"/>
        <w:left w:w="108" w:type="dxa"/>
        <w:bottom w:w="0" w:type="dxa"/>
        <w:right w:w="108" w:type="dxa"/>
      </w:tblCellMar>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rFonts w:ascii="Arial" w:hAnsi="Arial"/>
        <w:color w:val="404040"/>
        <w:sz w:val="22"/>
      </w:rPr>
      <w:tcPr>
        <w:shd w:val="clear" w:color="F2DCDC" w:fill="F2DCDC"/>
      </w:tcPr>
    </w:tblStylePr>
    <w:tblStylePr w:type="band1Horz">
      <w:rPr>
        <w:rFonts w:ascii="Arial" w:hAnsi="Arial"/>
        <w:color w:val="404040"/>
        <w:sz w:val="22"/>
      </w:rPr>
      <w:tcPr>
        <w:shd w:val="clear" w:color="F2DCDC" w:fill="F2DCDC"/>
      </w:tcPr>
    </w:tblStylePr>
  </w:style>
  <w:style w:type="table" w:customStyle="1" w:styleId="864">
    <w:name w:val="Grid Table 3 - Accent 32"/>
    <w:basedOn w:val="13"/>
    <w:uiPriority w:val="99"/>
    <w:rPr>
      <w:sz w:val="22"/>
      <w:szCs w:val="22"/>
      <w:lang w:eastAsia="en-US"/>
    </w:rPr>
    <w:tblPr>
      <w:tblBorders>
        <w:bottom w:val="single" w:color="9ABB59" w:sz="4" w:space="0"/>
        <w:insideH w:val="single" w:color="9ABB59" w:sz="4" w:space="0"/>
        <w:insideV w:val="single" w:color="9ABB59" w:sz="4" w:space="0"/>
      </w:tblBorders>
      <w:tblCellMar>
        <w:top w:w="0" w:type="dxa"/>
        <w:left w:w="108" w:type="dxa"/>
        <w:bottom w:w="0" w:type="dxa"/>
        <w:right w:w="108" w:type="dxa"/>
      </w:tblCellMar>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rFonts w:ascii="Arial" w:hAnsi="Arial"/>
        <w:color w:val="404040"/>
        <w:sz w:val="22"/>
      </w:rPr>
      <w:tcPr>
        <w:shd w:val="clear" w:color="EAF1DC" w:fill="EAF1DC"/>
      </w:tcPr>
    </w:tblStylePr>
    <w:tblStylePr w:type="band1Horz">
      <w:rPr>
        <w:rFonts w:ascii="Arial" w:hAnsi="Arial"/>
        <w:color w:val="404040"/>
        <w:sz w:val="22"/>
      </w:rPr>
      <w:tcPr>
        <w:shd w:val="clear" w:color="EAF1DC" w:fill="EAF1DC"/>
      </w:tcPr>
    </w:tblStylePr>
  </w:style>
  <w:style w:type="table" w:customStyle="1" w:styleId="865">
    <w:name w:val="Grid Table 3 - Accent 42"/>
    <w:basedOn w:val="13"/>
    <w:uiPriority w:val="99"/>
    <w:rPr>
      <w:sz w:val="22"/>
      <w:szCs w:val="22"/>
      <w:lang w:eastAsia="en-US"/>
    </w:rPr>
    <w:tblPr>
      <w:tblBorders>
        <w:bottom w:val="single" w:color="B2A1C6" w:sz="4" w:space="0"/>
        <w:insideH w:val="single" w:color="B2A1C6" w:sz="4" w:space="0"/>
        <w:insideV w:val="single" w:color="B2A1C6" w:sz="4" w:space="0"/>
      </w:tblBorders>
      <w:tblCellMar>
        <w:top w:w="0" w:type="dxa"/>
        <w:left w:w="108" w:type="dxa"/>
        <w:bottom w:w="0" w:type="dxa"/>
        <w:right w:w="108" w:type="dxa"/>
      </w:tblCellMar>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rFonts w:ascii="Arial" w:hAnsi="Arial"/>
        <w:color w:val="404040"/>
        <w:sz w:val="22"/>
      </w:rPr>
      <w:tcPr>
        <w:shd w:val="clear" w:color="E5DFEC" w:fill="E5DFEC"/>
      </w:tcPr>
    </w:tblStylePr>
    <w:tblStylePr w:type="band1Horz">
      <w:rPr>
        <w:rFonts w:ascii="Arial" w:hAnsi="Arial"/>
        <w:color w:val="404040"/>
        <w:sz w:val="22"/>
      </w:rPr>
      <w:tcPr>
        <w:shd w:val="clear" w:color="E5DFEC" w:fill="E5DFEC"/>
      </w:tcPr>
    </w:tblStylePr>
  </w:style>
  <w:style w:type="table" w:customStyle="1" w:styleId="866">
    <w:name w:val="Grid Table 3 - Accent 52"/>
    <w:basedOn w:val="13"/>
    <w:uiPriority w:val="99"/>
    <w:rPr>
      <w:sz w:val="22"/>
      <w:szCs w:val="22"/>
      <w:lang w:eastAsia="en-US"/>
    </w:rPr>
    <w:tblPr>
      <w:tblBorders>
        <w:bottom w:val="single" w:color="4BACC6" w:sz="4" w:space="0"/>
        <w:insideH w:val="single" w:color="4BACC6" w:sz="4" w:space="0"/>
        <w:insideV w:val="single" w:color="4BACC6" w:sz="4" w:space="0"/>
      </w:tblBorders>
      <w:tblCellMar>
        <w:top w:w="0" w:type="dxa"/>
        <w:left w:w="108" w:type="dxa"/>
        <w:bottom w:w="0" w:type="dxa"/>
        <w:right w:w="108" w:type="dxa"/>
      </w:tblCellMar>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rFonts w:ascii="Arial" w:hAnsi="Arial"/>
        <w:color w:val="404040"/>
        <w:sz w:val="22"/>
      </w:rPr>
      <w:tcPr>
        <w:shd w:val="clear" w:color="DAEEF3" w:fill="DAEEF3"/>
      </w:tcPr>
    </w:tblStylePr>
    <w:tblStylePr w:type="band1Horz">
      <w:rPr>
        <w:rFonts w:ascii="Arial" w:hAnsi="Arial"/>
        <w:color w:val="404040"/>
        <w:sz w:val="22"/>
      </w:rPr>
      <w:tcPr>
        <w:shd w:val="clear" w:color="DAEEF3" w:fill="DAEEF3"/>
      </w:tcPr>
    </w:tblStylePr>
  </w:style>
  <w:style w:type="table" w:customStyle="1" w:styleId="867">
    <w:name w:val="Grid Table 3 - Accent 62"/>
    <w:basedOn w:val="13"/>
    <w:uiPriority w:val="99"/>
    <w:rPr>
      <w:sz w:val="22"/>
      <w:szCs w:val="22"/>
      <w:lang w:eastAsia="en-US"/>
    </w:rPr>
    <w:tblPr>
      <w:tblBorders>
        <w:bottom w:val="single" w:color="F79646" w:sz="4" w:space="0"/>
        <w:insideH w:val="single" w:color="F79646" w:sz="4" w:space="0"/>
        <w:insideV w:val="single" w:color="F79646" w:sz="4" w:space="0"/>
      </w:tblBorders>
      <w:tblCellMar>
        <w:top w:w="0" w:type="dxa"/>
        <w:left w:w="108" w:type="dxa"/>
        <w:bottom w:w="0" w:type="dxa"/>
        <w:right w:w="108" w:type="dxa"/>
      </w:tblCellMar>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rFonts w:ascii="Arial" w:hAnsi="Arial"/>
        <w:color w:val="404040"/>
        <w:sz w:val="22"/>
      </w:rPr>
      <w:tcPr>
        <w:shd w:val="clear" w:color="FDE9D8" w:fill="FDE9D8"/>
      </w:tcPr>
    </w:tblStylePr>
    <w:tblStylePr w:type="band1Horz">
      <w:rPr>
        <w:rFonts w:ascii="Arial" w:hAnsi="Arial"/>
        <w:color w:val="404040"/>
        <w:sz w:val="22"/>
      </w:rPr>
      <w:tcPr>
        <w:shd w:val="clear" w:color="FDE9D8" w:fill="FDE9D8"/>
      </w:tcPr>
    </w:tblStylePr>
  </w:style>
  <w:style w:type="table" w:customStyle="1" w:styleId="868">
    <w:name w:val="Таблица-сетка 411"/>
    <w:basedOn w:val="13"/>
    <w:uiPriority w:val="59"/>
    <w:rPr>
      <w:sz w:val="22"/>
      <w:szCs w:val="22"/>
      <w:lang w:eastAsia="en-US"/>
    </w:rPr>
    <w:tblPr>
      <w:tblBorders>
        <w:top w:val="single" w:color="6F6F6F" w:sz="4" w:space="0"/>
        <w:left w:val="single" w:color="6F6F6F" w:sz="4" w:space="0"/>
        <w:bottom w:val="single" w:color="6F6F6F" w:sz="4" w:space="0"/>
        <w:right w:val="single" w:color="6F6F6F" w:sz="4" w:space="0"/>
        <w:insideH w:val="single" w:color="6F6F6F" w:sz="4" w:space="0"/>
        <w:insideV w:val="single" w:color="6F6F6F" w:sz="4" w:space="0"/>
      </w:tblBorders>
      <w:tblCellMar>
        <w:top w:w="0" w:type="dxa"/>
        <w:left w:w="108" w:type="dxa"/>
        <w:bottom w:w="0" w:type="dxa"/>
        <w:right w:w="108" w:type="dxa"/>
      </w:tblCellMar>
    </w:tblPr>
    <w:tblStylePr w:type="firstRow">
      <w:rPr>
        <w:rFonts w:ascii="Arial" w:hAnsi="Arial"/>
        <w:b/>
        <w:color w:val="FFFFFF"/>
        <w:sz w:val="22"/>
      </w:rPr>
      <w:tcPr>
        <w:tcBorders>
          <w:top w:val="single" w:color="000000" w:sz="4" w:space="0"/>
          <w:left w:val="single" w:color="000000" w:sz="4" w:space="0"/>
          <w:bottom w:val="single" w:color="000000" w:sz="4" w:space="0"/>
          <w:right w:val="single" w:color="000000" w:sz="4" w:space="0"/>
        </w:tcBorders>
        <w:shd w:val="clear" w:color="000000" w:fill="000000"/>
      </w:tcPr>
    </w:tblStylePr>
    <w:tblStylePr w:type="lastRow">
      <w:rPr>
        <w:b/>
        <w:color w:val="404040"/>
      </w:rPr>
      <w:tcPr>
        <w:tcBorders>
          <w:top w:val="single" w:color="000000"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CBCBCB" w:fill="CBCBCB"/>
      </w:tcPr>
    </w:tblStylePr>
    <w:tblStylePr w:type="band1Horz">
      <w:rPr>
        <w:rFonts w:ascii="Arial" w:hAnsi="Arial"/>
        <w:color w:val="404040"/>
        <w:sz w:val="22"/>
      </w:rPr>
      <w:tcPr>
        <w:shd w:val="clear" w:color="CBCBCB" w:fill="CBCBCB"/>
      </w:tcPr>
    </w:tblStylePr>
  </w:style>
  <w:style w:type="table" w:customStyle="1" w:styleId="869">
    <w:name w:val="Grid Table 4 - Accent 12"/>
    <w:basedOn w:val="13"/>
    <w:uiPriority w:val="59"/>
    <w:rPr>
      <w:sz w:val="22"/>
      <w:szCs w:val="22"/>
      <w:lang w:eastAsia="en-US"/>
    </w:rPr>
    <w:tblPr>
      <w:tblBorders>
        <w:top w:val="single" w:color="9BB7D9" w:sz="4" w:space="0"/>
        <w:left w:val="single" w:color="9BB7D9" w:sz="4" w:space="0"/>
        <w:bottom w:val="single" w:color="9BB7D9" w:sz="4" w:space="0"/>
        <w:right w:val="single" w:color="9BB7D9" w:sz="4" w:space="0"/>
        <w:insideH w:val="single" w:color="9BB7D9" w:sz="4" w:space="0"/>
        <w:insideV w:val="single" w:color="9BB7D9" w:sz="4" w:space="0"/>
      </w:tblBorders>
      <w:tblCellMar>
        <w:top w:w="0" w:type="dxa"/>
        <w:left w:w="108" w:type="dxa"/>
        <w:bottom w:w="0" w:type="dxa"/>
        <w:right w:w="108" w:type="dxa"/>
      </w:tblCellMar>
    </w:tblPr>
    <w:tblStylePr w:type="firstRow">
      <w:rPr>
        <w:rFonts w:ascii="Arial" w:hAnsi="Arial"/>
        <w:b/>
        <w:color w:val="FFFFFF"/>
        <w:sz w:val="22"/>
      </w:rPr>
      <w:tcPr>
        <w:tcBorders>
          <w:top w:val="single" w:color="5D8AC2" w:sz="4" w:space="0"/>
          <w:left w:val="single" w:color="5D8AC2" w:sz="4" w:space="0"/>
          <w:bottom w:val="single" w:color="5D8AC2" w:sz="4" w:space="0"/>
          <w:right w:val="single" w:color="5D8AC2" w:sz="4" w:space="0"/>
        </w:tcBorders>
        <w:shd w:val="clear" w:color="5D8AC2" w:fill="5D8AC2"/>
      </w:tcPr>
    </w:tblStylePr>
    <w:tblStylePr w:type="lastRow">
      <w:rPr>
        <w:b/>
        <w:color w:val="404040"/>
      </w:rPr>
      <w:tcPr>
        <w:tcBorders>
          <w:top w:val="single" w:color="5D8AC2"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DCE6F2" w:fill="DCE6F2"/>
      </w:tcPr>
    </w:tblStylePr>
    <w:tblStylePr w:type="band1Horz">
      <w:rPr>
        <w:rFonts w:ascii="Arial" w:hAnsi="Arial"/>
        <w:color w:val="404040"/>
        <w:sz w:val="22"/>
      </w:rPr>
      <w:tcPr>
        <w:shd w:val="clear" w:color="DCE6F2" w:fill="DCE6F2"/>
      </w:tcPr>
    </w:tblStylePr>
  </w:style>
  <w:style w:type="table" w:customStyle="1" w:styleId="870">
    <w:name w:val="Grid Table 4 - Accent 22"/>
    <w:basedOn w:val="13"/>
    <w:uiPriority w:val="59"/>
    <w:rPr>
      <w:sz w:val="22"/>
      <w:szCs w:val="22"/>
      <w:lang w:eastAsia="en-US"/>
    </w:rPr>
    <w:tblPr>
      <w:tblBorders>
        <w:top w:val="single" w:color="DB9B9A" w:sz="4" w:space="0"/>
        <w:left w:val="single" w:color="DB9B9A" w:sz="4" w:space="0"/>
        <w:bottom w:val="single" w:color="DB9B9A" w:sz="4" w:space="0"/>
        <w:right w:val="single" w:color="DB9B9A" w:sz="4" w:space="0"/>
        <w:insideH w:val="single" w:color="DB9B9A" w:sz="4" w:space="0"/>
        <w:insideV w:val="single" w:color="DB9B9A" w:sz="4" w:space="0"/>
      </w:tblBorders>
      <w:tblCellMar>
        <w:top w:w="0" w:type="dxa"/>
        <w:left w:w="108" w:type="dxa"/>
        <w:bottom w:w="0" w:type="dxa"/>
        <w:right w:w="108" w:type="dxa"/>
      </w:tblCellMar>
    </w:tblPr>
    <w:tblStylePr w:type="firstRow">
      <w:rPr>
        <w:rFonts w:ascii="Arial" w:hAnsi="Arial"/>
        <w:b/>
        <w:color w:val="FFFFFF"/>
        <w:sz w:val="22"/>
      </w:rPr>
      <w:tcPr>
        <w:tcBorders>
          <w:top w:val="single" w:color="D99695" w:sz="4" w:space="0"/>
          <w:left w:val="single" w:color="D99695" w:sz="4" w:space="0"/>
          <w:bottom w:val="single" w:color="D99695" w:sz="4" w:space="0"/>
          <w:right w:val="single" w:color="D99695" w:sz="4" w:space="0"/>
        </w:tcBorders>
        <w:shd w:val="clear" w:color="D99695" w:fill="D99695"/>
      </w:tcPr>
    </w:tblStylePr>
    <w:tblStylePr w:type="lastRow">
      <w:rPr>
        <w:b/>
        <w:color w:val="404040"/>
      </w:rPr>
      <w:tcPr>
        <w:tcBorders>
          <w:top w:val="single" w:color="D99695"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F2DCDC" w:fill="F2DCDC"/>
      </w:tcPr>
    </w:tblStylePr>
    <w:tblStylePr w:type="band1Horz">
      <w:rPr>
        <w:rFonts w:ascii="Arial" w:hAnsi="Arial"/>
        <w:color w:val="404040"/>
        <w:sz w:val="22"/>
      </w:rPr>
      <w:tcPr>
        <w:shd w:val="clear" w:color="F2DCDC" w:fill="F2DCDC"/>
      </w:tcPr>
    </w:tblStylePr>
  </w:style>
  <w:style w:type="table" w:customStyle="1" w:styleId="871">
    <w:name w:val="Grid Table 4 - Accent 32"/>
    <w:basedOn w:val="13"/>
    <w:uiPriority w:val="59"/>
    <w:rPr>
      <w:sz w:val="22"/>
      <w:szCs w:val="22"/>
      <w:lang w:eastAsia="en-US"/>
    </w:rPr>
    <w:tblPr>
      <w:tblBorders>
        <w:top w:val="single" w:color="C6D8A1" w:sz="4" w:space="0"/>
        <w:left w:val="single" w:color="C6D8A1" w:sz="4" w:space="0"/>
        <w:bottom w:val="single" w:color="C6D8A1" w:sz="4" w:space="0"/>
        <w:right w:val="single" w:color="C6D8A1" w:sz="4" w:space="0"/>
        <w:insideH w:val="single" w:color="C6D8A1" w:sz="4" w:space="0"/>
        <w:insideV w:val="single" w:color="C6D8A1" w:sz="4" w:space="0"/>
      </w:tblBorders>
      <w:tblCellMar>
        <w:top w:w="0" w:type="dxa"/>
        <w:left w:w="108" w:type="dxa"/>
        <w:bottom w:w="0" w:type="dxa"/>
        <w:right w:w="108" w:type="dxa"/>
      </w:tblCellMar>
    </w:tblPr>
    <w:tblStylePr w:type="firstRow">
      <w:rPr>
        <w:rFonts w:ascii="Arial" w:hAnsi="Arial"/>
        <w:b/>
        <w:color w:val="FFFFFF"/>
        <w:sz w:val="22"/>
      </w:rPr>
      <w:tcPr>
        <w:tcBorders>
          <w:top w:val="single" w:color="9ABB59" w:sz="4" w:space="0"/>
          <w:left w:val="single" w:color="9ABB59" w:sz="4" w:space="0"/>
          <w:bottom w:val="single" w:color="9ABB59" w:sz="4" w:space="0"/>
          <w:right w:val="single" w:color="9ABB59" w:sz="4" w:space="0"/>
        </w:tcBorders>
        <w:shd w:val="clear" w:color="9ABB59" w:fill="9ABB59"/>
      </w:tcPr>
    </w:tblStylePr>
    <w:tblStylePr w:type="lastRow">
      <w:rPr>
        <w:b/>
        <w:color w:val="404040"/>
      </w:rPr>
      <w:tcPr>
        <w:tcBorders>
          <w:top w:val="single" w:color="9ABB59"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EAF1DC" w:fill="EAF1DC"/>
      </w:tcPr>
    </w:tblStylePr>
    <w:tblStylePr w:type="band1Horz">
      <w:rPr>
        <w:rFonts w:ascii="Arial" w:hAnsi="Arial"/>
        <w:color w:val="404040"/>
        <w:sz w:val="22"/>
      </w:rPr>
      <w:tcPr>
        <w:shd w:val="clear" w:color="EAF1DC" w:fill="EAF1DC"/>
      </w:tcPr>
    </w:tblStylePr>
  </w:style>
  <w:style w:type="table" w:customStyle="1" w:styleId="872">
    <w:name w:val="Grid Table 4 - Accent 42"/>
    <w:basedOn w:val="13"/>
    <w:uiPriority w:val="59"/>
    <w:rPr>
      <w:sz w:val="22"/>
      <w:szCs w:val="22"/>
      <w:lang w:eastAsia="en-US"/>
    </w:rPr>
    <w:tblPr>
      <w:tblBorders>
        <w:top w:val="single" w:color="B7A7CA" w:sz="4" w:space="0"/>
        <w:left w:val="single" w:color="B7A7CA" w:sz="4" w:space="0"/>
        <w:bottom w:val="single" w:color="B7A7CA" w:sz="4" w:space="0"/>
        <w:right w:val="single" w:color="B7A7CA" w:sz="4" w:space="0"/>
        <w:insideH w:val="single" w:color="B7A7CA" w:sz="4" w:space="0"/>
        <w:insideV w:val="single" w:color="B7A7CA" w:sz="4" w:space="0"/>
      </w:tblBorders>
      <w:tblCellMar>
        <w:top w:w="0" w:type="dxa"/>
        <w:left w:w="108" w:type="dxa"/>
        <w:bottom w:w="0" w:type="dxa"/>
        <w:right w:w="108" w:type="dxa"/>
      </w:tblCellMar>
    </w:tblPr>
    <w:tblStylePr w:type="firstRow">
      <w:rPr>
        <w:rFonts w:ascii="Arial" w:hAnsi="Arial"/>
        <w:b/>
        <w:color w:val="FFFFFF"/>
        <w:sz w:val="22"/>
      </w:rPr>
      <w:tcPr>
        <w:tcBorders>
          <w:top w:val="single" w:color="B2A1C6" w:sz="4" w:space="0"/>
          <w:left w:val="single" w:color="B2A1C6" w:sz="4" w:space="0"/>
          <w:bottom w:val="single" w:color="B2A1C6" w:sz="4" w:space="0"/>
          <w:right w:val="single" w:color="B2A1C6" w:sz="4" w:space="0"/>
        </w:tcBorders>
        <w:shd w:val="clear" w:color="B2A1C6" w:fill="B2A1C6"/>
      </w:tcPr>
    </w:tblStylePr>
    <w:tblStylePr w:type="lastRow">
      <w:rPr>
        <w:b/>
        <w:color w:val="404040"/>
      </w:rPr>
      <w:tcPr>
        <w:tcBorders>
          <w:top w:val="single" w:color="B2A1C6"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E5DFEC" w:fill="E5DFEC"/>
      </w:tcPr>
    </w:tblStylePr>
    <w:tblStylePr w:type="band1Horz">
      <w:rPr>
        <w:rFonts w:ascii="Arial" w:hAnsi="Arial"/>
        <w:color w:val="404040"/>
        <w:sz w:val="22"/>
      </w:rPr>
      <w:tcPr>
        <w:shd w:val="clear" w:color="E5DFEC" w:fill="E5DFEC"/>
      </w:tcPr>
    </w:tblStylePr>
  </w:style>
  <w:style w:type="table" w:customStyle="1" w:styleId="873">
    <w:name w:val="Grid Table 4 - Accent 52"/>
    <w:basedOn w:val="13"/>
    <w:uiPriority w:val="59"/>
    <w:rPr>
      <w:sz w:val="22"/>
      <w:szCs w:val="22"/>
      <w:lang w:eastAsia="en-US"/>
    </w:rPr>
    <w:tblPr>
      <w:tblBorders>
        <w:top w:val="single" w:color="99D0DE" w:sz="4" w:space="0"/>
        <w:left w:val="single" w:color="99D0DE" w:sz="4" w:space="0"/>
        <w:bottom w:val="single" w:color="99D0DE" w:sz="4" w:space="0"/>
        <w:right w:val="single" w:color="99D0DE" w:sz="4" w:space="0"/>
        <w:insideH w:val="single" w:color="99D0DE" w:sz="4" w:space="0"/>
        <w:insideV w:val="single" w:color="99D0DE" w:sz="4" w:space="0"/>
      </w:tblBorders>
      <w:tblCellMar>
        <w:top w:w="0" w:type="dxa"/>
        <w:left w:w="108" w:type="dxa"/>
        <w:bottom w:w="0" w:type="dxa"/>
        <w:right w:w="108" w:type="dxa"/>
      </w:tblCellMar>
    </w:tblPr>
    <w:tblStylePr w:type="firstRow">
      <w:rPr>
        <w:rFonts w:ascii="Arial" w:hAnsi="Arial"/>
        <w:b/>
        <w:color w:val="FFFFFF"/>
        <w:sz w:val="22"/>
      </w:rPr>
      <w:tcPr>
        <w:tcBorders>
          <w:top w:val="single" w:color="4BACC6" w:sz="4" w:space="0"/>
          <w:left w:val="single" w:color="4BACC6" w:sz="4" w:space="0"/>
          <w:bottom w:val="single" w:color="4BACC6" w:sz="4" w:space="0"/>
          <w:right w:val="single" w:color="4BACC6" w:sz="4" w:space="0"/>
        </w:tcBorders>
        <w:shd w:val="clear" w:color="4BACC6" w:fill="4BACC6"/>
      </w:tcPr>
    </w:tblStylePr>
    <w:tblStylePr w:type="lastRow">
      <w:rPr>
        <w:b/>
        <w:color w:val="404040"/>
      </w:rPr>
      <w:tcPr>
        <w:tcBorders>
          <w:top w:val="single" w:color="4BACC6"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DAEEF3" w:fill="DAEEF3"/>
      </w:tcPr>
    </w:tblStylePr>
    <w:tblStylePr w:type="band1Horz">
      <w:rPr>
        <w:rFonts w:ascii="Arial" w:hAnsi="Arial"/>
        <w:color w:val="404040"/>
        <w:sz w:val="22"/>
      </w:rPr>
      <w:tcPr>
        <w:shd w:val="clear" w:color="DAEEF3" w:fill="DAEEF3"/>
      </w:tcPr>
    </w:tblStylePr>
  </w:style>
  <w:style w:type="table" w:customStyle="1" w:styleId="874">
    <w:name w:val="Grid Table 4 - Accent 62"/>
    <w:basedOn w:val="13"/>
    <w:uiPriority w:val="59"/>
    <w:rPr>
      <w:sz w:val="22"/>
      <w:szCs w:val="22"/>
      <w:lang w:eastAsia="en-US"/>
    </w:rPr>
    <w:tblPr>
      <w:tblBorders>
        <w:top w:val="single" w:color="FAC396" w:sz="4" w:space="0"/>
        <w:left w:val="single" w:color="FAC396" w:sz="4" w:space="0"/>
        <w:bottom w:val="single" w:color="FAC396" w:sz="4" w:space="0"/>
        <w:right w:val="single" w:color="FAC396" w:sz="4" w:space="0"/>
        <w:insideH w:val="single" w:color="FAC396" w:sz="4" w:space="0"/>
        <w:insideV w:val="single" w:color="FAC396" w:sz="4" w:space="0"/>
      </w:tblBorders>
      <w:tblCellMar>
        <w:top w:w="0" w:type="dxa"/>
        <w:left w:w="108" w:type="dxa"/>
        <w:bottom w:w="0" w:type="dxa"/>
        <w:right w:w="108" w:type="dxa"/>
      </w:tblCellMar>
    </w:tblPr>
    <w:tblStylePr w:type="firstRow">
      <w:rPr>
        <w:rFonts w:ascii="Arial" w:hAnsi="Arial"/>
        <w:b/>
        <w:color w:val="FFFFFF"/>
        <w:sz w:val="22"/>
      </w:rPr>
      <w:tcPr>
        <w:tcBorders>
          <w:top w:val="single" w:color="F79646" w:sz="4" w:space="0"/>
          <w:left w:val="single" w:color="F79646" w:sz="4" w:space="0"/>
          <w:bottom w:val="single" w:color="F79646" w:sz="4" w:space="0"/>
          <w:right w:val="single" w:color="F79646" w:sz="4" w:space="0"/>
        </w:tcBorders>
        <w:shd w:val="clear" w:color="F79646" w:fill="F79646"/>
      </w:tcPr>
    </w:tblStylePr>
    <w:tblStylePr w:type="lastRow">
      <w:rPr>
        <w:b/>
        <w:color w:val="404040"/>
      </w:rPr>
      <w:tcPr>
        <w:tcBorders>
          <w:top w:val="single" w:color="F79646"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FDE9D8" w:fill="FDE9D8"/>
      </w:tcPr>
    </w:tblStylePr>
    <w:tblStylePr w:type="band1Horz">
      <w:rPr>
        <w:rFonts w:ascii="Arial" w:hAnsi="Arial"/>
        <w:color w:val="404040"/>
        <w:sz w:val="22"/>
      </w:rPr>
      <w:tcPr>
        <w:shd w:val="clear" w:color="FDE9D8" w:fill="FDE9D8"/>
      </w:tcPr>
    </w:tblStylePr>
  </w:style>
  <w:style w:type="table" w:customStyle="1" w:styleId="875">
    <w:name w:val="Таблица-сетка 5 темная11"/>
    <w:basedOn w:val="13"/>
    <w:uiPriority w:val="99"/>
    <w:rPr>
      <w:sz w:val="22"/>
      <w:szCs w:val="22"/>
      <w:lang w:eastAsia="en-US"/>
    </w:rPr>
    <w:tblPr>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CellMar>
        <w:top w:w="0" w:type="dxa"/>
        <w:left w:w="108" w:type="dxa"/>
        <w:bottom w:w="0" w:type="dxa"/>
        <w:right w:w="108" w:type="dxa"/>
      </w:tblCellMar>
    </w:tblPr>
    <w:tblStylePr w:type="firstRow">
      <w:rPr>
        <w:rFonts w:ascii="Arial" w:hAnsi="Arial"/>
        <w:b/>
        <w:color w:val="FFFFFF"/>
        <w:sz w:val="22"/>
      </w:rPr>
      <w:tcPr>
        <w:shd w:val="clear" w:color="000000" w:fill="000000"/>
      </w:tcPr>
    </w:tblStylePr>
    <w:tblStylePr w:type="lastRow">
      <w:rPr>
        <w:rFonts w:ascii="Arial" w:hAnsi="Arial"/>
        <w:b/>
        <w:color w:val="FFFFFF"/>
        <w:sz w:val="22"/>
      </w:rPr>
      <w:tcPr>
        <w:tcBorders>
          <w:top w:val="single" w:color="FFFFFF" w:sz="4" w:space="0"/>
        </w:tcBorders>
        <w:shd w:val="clear" w:color="000000" w:fill="000000"/>
      </w:tcPr>
    </w:tblStylePr>
    <w:tblStylePr w:type="firstCol">
      <w:rPr>
        <w:rFonts w:ascii="Arial" w:hAnsi="Arial"/>
        <w:b/>
        <w:color w:val="FFFFFF"/>
        <w:sz w:val="22"/>
      </w:rPr>
      <w:tcPr>
        <w:shd w:val="clear" w:color="000000" w:fill="000000"/>
      </w:tcPr>
    </w:tblStylePr>
    <w:tblStylePr w:type="lastCol">
      <w:rPr>
        <w:rFonts w:ascii="Arial" w:hAnsi="Arial"/>
        <w:b/>
        <w:color w:val="FFFFFF"/>
        <w:sz w:val="22"/>
      </w:rPr>
      <w:tcPr>
        <w:shd w:val="clear" w:color="000000" w:fill="000000"/>
      </w:tcPr>
    </w:tblStylePr>
    <w:tblStylePr w:type="band1Vert">
      <w:tcPr>
        <w:shd w:val="clear" w:color="8A8A8A" w:fill="8A8A8A"/>
      </w:tcPr>
    </w:tblStylePr>
    <w:tblStylePr w:type="band1Horz">
      <w:tcPr>
        <w:shd w:val="clear" w:color="8A8A8A" w:fill="8A8A8A"/>
      </w:tcPr>
    </w:tblStylePr>
  </w:style>
  <w:style w:type="table" w:customStyle="1" w:styleId="876">
    <w:name w:val="Grid Table 5 Dark- Accent 12"/>
    <w:basedOn w:val="13"/>
    <w:uiPriority w:val="99"/>
    <w:rPr>
      <w:sz w:val="22"/>
      <w:szCs w:val="22"/>
      <w:lang w:eastAsia="en-US"/>
    </w:rPr>
    <w:tblPr>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CellMar>
        <w:top w:w="0" w:type="dxa"/>
        <w:left w:w="108" w:type="dxa"/>
        <w:bottom w:w="0" w:type="dxa"/>
        <w:right w:w="108" w:type="dxa"/>
      </w:tblCellMar>
    </w:tblPr>
    <w:tblStylePr w:type="firstRow">
      <w:rPr>
        <w:rFonts w:ascii="Arial" w:hAnsi="Arial"/>
        <w:b/>
        <w:color w:val="FFFFFF"/>
        <w:sz w:val="22"/>
      </w:rPr>
      <w:tcPr>
        <w:shd w:val="clear" w:color="4F81BD" w:fill="4F81BD"/>
      </w:tcPr>
    </w:tblStylePr>
    <w:tblStylePr w:type="lastRow">
      <w:rPr>
        <w:rFonts w:ascii="Arial" w:hAnsi="Arial"/>
        <w:b/>
        <w:color w:val="FFFFFF"/>
        <w:sz w:val="22"/>
      </w:rPr>
      <w:tcPr>
        <w:tcBorders>
          <w:top w:val="single" w:color="FFFFFF" w:sz="4" w:space="0"/>
        </w:tcBorders>
        <w:shd w:val="clear" w:color="4F81BD" w:fill="4F81BD"/>
      </w:tcPr>
    </w:tblStylePr>
    <w:tblStylePr w:type="firstCol">
      <w:rPr>
        <w:rFonts w:ascii="Arial" w:hAnsi="Arial"/>
        <w:b/>
        <w:color w:val="FFFFFF"/>
        <w:sz w:val="22"/>
      </w:rPr>
      <w:tcPr>
        <w:shd w:val="clear" w:color="4F81BD" w:fill="4F81BD"/>
      </w:tcPr>
    </w:tblStylePr>
    <w:tblStylePr w:type="lastCol">
      <w:rPr>
        <w:rFonts w:ascii="Arial" w:hAnsi="Arial"/>
        <w:b/>
        <w:color w:val="FFFFFF"/>
        <w:sz w:val="22"/>
      </w:rPr>
      <w:tcPr>
        <w:shd w:val="clear" w:color="4F81BD" w:fill="4F81BD"/>
      </w:tcPr>
    </w:tblStylePr>
    <w:tblStylePr w:type="band1Vert">
      <w:tcPr>
        <w:shd w:val="clear" w:color="AEC4E0" w:fill="AEC4E0"/>
      </w:tcPr>
    </w:tblStylePr>
    <w:tblStylePr w:type="band1Horz">
      <w:tcPr>
        <w:shd w:val="clear" w:color="AEC4E0" w:fill="AEC4E0"/>
      </w:tcPr>
    </w:tblStylePr>
  </w:style>
  <w:style w:type="table" w:customStyle="1" w:styleId="877">
    <w:name w:val="Grid Table 5 Dark - Accent 22"/>
    <w:basedOn w:val="13"/>
    <w:uiPriority w:val="99"/>
    <w:rPr>
      <w:sz w:val="22"/>
      <w:szCs w:val="22"/>
      <w:lang w:eastAsia="en-US"/>
    </w:rPr>
    <w:tblPr>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CellMar>
        <w:top w:w="0" w:type="dxa"/>
        <w:left w:w="108" w:type="dxa"/>
        <w:bottom w:w="0" w:type="dxa"/>
        <w:right w:w="108" w:type="dxa"/>
      </w:tblCellMar>
    </w:tblPr>
    <w:tblStylePr w:type="firstRow">
      <w:rPr>
        <w:rFonts w:ascii="Arial" w:hAnsi="Arial"/>
        <w:b/>
        <w:color w:val="FFFFFF"/>
        <w:sz w:val="22"/>
      </w:rPr>
      <w:tcPr>
        <w:shd w:val="clear" w:color="C0504D" w:fill="C0504D"/>
      </w:tcPr>
    </w:tblStylePr>
    <w:tblStylePr w:type="lastRow">
      <w:rPr>
        <w:rFonts w:ascii="Arial" w:hAnsi="Arial"/>
        <w:b/>
        <w:color w:val="FFFFFF"/>
        <w:sz w:val="22"/>
      </w:rPr>
      <w:tcPr>
        <w:tcBorders>
          <w:top w:val="single" w:color="FFFFFF" w:sz="4" w:space="0"/>
        </w:tcBorders>
        <w:shd w:val="clear" w:color="C0504D" w:fill="C0504D"/>
      </w:tcPr>
    </w:tblStylePr>
    <w:tblStylePr w:type="firstCol">
      <w:rPr>
        <w:rFonts w:ascii="Arial" w:hAnsi="Arial"/>
        <w:b/>
        <w:color w:val="FFFFFF"/>
        <w:sz w:val="22"/>
      </w:rPr>
      <w:tcPr>
        <w:shd w:val="clear" w:color="C0504D" w:fill="C0504D"/>
      </w:tcPr>
    </w:tblStylePr>
    <w:tblStylePr w:type="lastCol">
      <w:rPr>
        <w:rFonts w:ascii="Arial" w:hAnsi="Arial"/>
        <w:b/>
        <w:color w:val="FFFFFF"/>
        <w:sz w:val="22"/>
      </w:rPr>
      <w:tcPr>
        <w:shd w:val="clear" w:color="C0504D" w:fill="C0504D"/>
      </w:tcPr>
    </w:tblStylePr>
    <w:tblStylePr w:type="band1Vert">
      <w:tcPr>
        <w:shd w:val="clear" w:color="E2AEAD" w:fill="E2AEAD"/>
      </w:tcPr>
    </w:tblStylePr>
    <w:tblStylePr w:type="band1Horz">
      <w:tcPr>
        <w:shd w:val="clear" w:color="E2AEAD" w:fill="E2AEAD"/>
      </w:tcPr>
    </w:tblStylePr>
  </w:style>
  <w:style w:type="table" w:customStyle="1" w:styleId="878">
    <w:name w:val="Grid Table 5 Dark - Accent 32"/>
    <w:basedOn w:val="13"/>
    <w:uiPriority w:val="99"/>
    <w:rPr>
      <w:sz w:val="22"/>
      <w:szCs w:val="22"/>
      <w:lang w:eastAsia="en-US"/>
    </w:rPr>
    <w:tblPr>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CellMar>
        <w:top w:w="0" w:type="dxa"/>
        <w:left w:w="108" w:type="dxa"/>
        <w:bottom w:w="0" w:type="dxa"/>
        <w:right w:w="108" w:type="dxa"/>
      </w:tblCellMar>
    </w:tblPr>
    <w:tblStylePr w:type="firstRow">
      <w:rPr>
        <w:rFonts w:ascii="Arial" w:hAnsi="Arial"/>
        <w:b/>
        <w:color w:val="FFFFFF"/>
        <w:sz w:val="22"/>
      </w:rPr>
      <w:tcPr>
        <w:shd w:val="clear" w:color="9BBB59" w:fill="9BBB59"/>
      </w:tcPr>
    </w:tblStylePr>
    <w:tblStylePr w:type="lastRow">
      <w:rPr>
        <w:rFonts w:ascii="Arial" w:hAnsi="Arial"/>
        <w:b/>
        <w:color w:val="FFFFFF"/>
        <w:sz w:val="22"/>
      </w:rPr>
      <w:tcPr>
        <w:tcBorders>
          <w:top w:val="single" w:color="FFFFFF" w:sz="4" w:space="0"/>
        </w:tcBorders>
        <w:shd w:val="clear" w:color="9BBB59" w:fill="9BBB59"/>
      </w:tcPr>
    </w:tblStylePr>
    <w:tblStylePr w:type="firstCol">
      <w:rPr>
        <w:rFonts w:ascii="Arial" w:hAnsi="Arial"/>
        <w:b/>
        <w:color w:val="FFFFFF"/>
        <w:sz w:val="22"/>
      </w:rPr>
      <w:tcPr>
        <w:shd w:val="clear" w:color="9BBB59" w:fill="9BBB59"/>
      </w:tcPr>
    </w:tblStylePr>
    <w:tblStylePr w:type="lastCol">
      <w:rPr>
        <w:rFonts w:ascii="Arial" w:hAnsi="Arial"/>
        <w:b/>
        <w:color w:val="FFFFFF"/>
        <w:sz w:val="22"/>
      </w:rPr>
      <w:tcPr>
        <w:shd w:val="clear" w:color="9BBB59" w:fill="9BBB59"/>
      </w:tcPr>
    </w:tblStylePr>
    <w:tblStylePr w:type="band1Vert">
      <w:tcPr>
        <w:shd w:val="clear" w:color="D0DFB2" w:fill="D0DFB2"/>
      </w:tcPr>
    </w:tblStylePr>
    <w:tblStylePr w:type="band1Horz">
      <w:tcPr>
        <w:shd w:val="clear" w:color="D0DFB2" w:fill="D0DFB2"/>
      </w:tcPr>
    </w:tblStylePr>
  </w:style>
  <w:style w:type="table" w:customStyle="1" w:styleId="879">
    <w:name w:val="Grid Table 5 Dark- Accent 42"/>
    <w:basedOn w:val="13"/>
    <w:uiPriority w:val="99"/>
    <w:rPr>
      <w:sz w:val="22"/>
      <w:szCs w:val="22"/>
      <w:lang w:eastAsia="en-US"/>
    </w:rPr>
    <w:tblPr>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CellMar>
        <w:top w:w="0" w:type="dxa"/>
        <w:left w:w="108" w:type="dxa"/>
        <w:bottom w:w="0" w:type="dxa"/>
        <w:right w:w="108" w:type="dxa"/>
      </w:tblCellMar>
    </w:tblPr>
    <w:tblStylePr w:type="firstRow">
      <w:rPr>
        <w:rFonts w:ascii="Arial" w:hAnsi="Arial"/>
        <w:b/>
        <w:color w:val="FFFFFF"/>
        <w:sz w:val="22"/>
      </w:rPr>
      <w:tcPr>
        <w:shd w:val="clear" w:color="8064A2" w:fill="8064A2"/>
      </w:tcPr>
    </w:tblStylePr>
    <w:tblStylePr w:type="lastRow">
      <w:rPr>
        <w:rFonts w:ascii="Arial" w:hAnsi="Arial"/>
        <w:b/>
        <w:color w:val="FFFFFF"/>
        <w:sz w:val="22"/>
      </w:rPr>
      <w:tcPr>
        <w:tcBorders>
          <w:top w:val="single" w:color="FFFFFF" w:sz="4" w:space="0"/>
        </w:tcBorders>
        <w:shd w:val="clear" w:color="8064A2" w:fill="8064A2"/>
      </w:tcPr>
    </w:tblStylePr>
    <w:tblStylePr w:type="firstCol">
      <w:rPr>
        <w:rFonts w:ascii="Arial" w:hAnsi="Arial"/>
        <w:b/>
        <w:color w:val="FFFFFF"/>
        <w:sz w:val="22"/>
      </w:rPr>
      <w:tcPr>
        <w:shd w:val="clear" w:color="8064A2" w:fill="8064A2"/>
      </w:tcPr>
    </w:tblStylePr>
    <w:tblStylePr w:type="lastCol">
      <w:rPr>
        <w:rFonts w:ascii="Arial" w:hAnsi="Arial"/>
        <w:b/>
        <w:color w:val="FFFFFF"/>
        <w:sz w:val="22"/>
      </w:rPr>
      <w:tcPr>
        <w:shd w:val="clear" w:color="8064A2" w:fill="8064A2"/>
      </w:tcPr>
    </w:tblStylePr>
    <w:tblStylePr w:type="band1Vert">
      <w:tcPr>
        <w:shd w:val="clear" w:color="C4B7D4" w:fill="C4B7D4"/>
      </w:tcPr>
    </w:tblStylePr>
    <w:tblStylePr w:type="band1Horz">
      <w:tcPr>
        <w:shd w:val="clear" w:color="C4B7D4" w:fill="C4B7D4"/>
      </w:tcPr>
    </w:tblStylePr>
  </w:style>
  <w:style w:type="table" w:customStyle="1" w:styleId="880">
    <w:name w:val="Grid Table 5 Dark - Accent 52"/>
    <w:basedOn w:val="13"/>
    <w:uiPriority w:val="99"/>
    <w:rPr>
      <w:sz w:val="22"/>
      <w:szCs w:val="22"/>
      <w:lang w:eastAsia="en-US"/>
    </w:rPr>
    <w:tblPr>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CellMar>
        <w:top w:w="0" w:type="dxa"/>
        <w:left w:w="108" w:type="dxa"/>
        <w:bottom w:w="0" w:type="dxa"/>
        <w:right w:w="108" w:type="dxa"/>
      </w:tblCellMar>
    </w:tblPr>
    <w:tblStylePr w:type="firstRow">
      <w:rPr>
        <w:rFonts w:ascii="Arial" w:hAnsi="Arial"/>
        <w:b/>
        <w:color w:val="FFFFFF"/>
        <w:sz w:val="22"/>
      </w:rPr>
      <w:tcPr>
        <w:shd w:val="clear" w:color="4BACC6" w:fill="4BACC6"/>
      </w:tcPr>
    </w:tblStylePr>
    <w:tblStylePr w:type="lastRow">
      <w:rPr>
        <w:rFonts w:ascii="Arial" w:hAnsi="Arial"/>
        <w:b/>
        <w:color w:val="FFFFFF"/>
        <w:sz w:val="22"/>
      </w:rPr>
      <w:tcPr>
        <w:tcBorders>
          <w:top w:val="single" w:color="FFFFFF" w:sz="4" w:space="0"/>
        </w:tcBorders>
        <w:shd w:val="clear" w:color="4BACC6" w:fill="4BACC6"/>
      </w:tcPr>
    </w:tblStylePr>
    <w:tblStylePr w:type="firstCol">
      <w:rPr>
        <w:rFonts w:ascii="Arial" w:hAnsi="Arial"/>
        <w:b/>
        <w:color w:val="FFFFFF"/>
        <w:sz w:val="22"/>
      </w:rPr>
      <w:tcPr>
        <w:shd w:val="clear" w:color="4BACC6" w:fill="4BACC6"/>
      </w:tcPr>
    </w:tblStylePr>
    <w:tblStylePr w:type="lastCol">
      <w:rPr>
        <w:rFonts w:ascii="Arial" w:hAnsi="Arial"/>
        <w:b/>
        <w:color w:val="FFFFFF"/>
        <w:sz w:val="22"/>
      </w:rPr>
      <w:tcPr>
        <w:shd w:val="clear" w:color="4BACC6" w:fill="4BACC6"/>
      </w:tcPr>
    </w:tblStylePr>
    <w:tblStylePr w:type="band1Vert">
      <w:tcPr>
        <w:shd w:val="clear" w:color="ACD8E4" w:fill="ACD8E4"/>
      </w:tcPr>
    </w:tblStylePr>
    <w:tblStylePr w:type="band1Horz">
      <w:tcPr>
        <w:shd w:val="clear" w:color="ACD8E4" w:fill="ACD8E4"/>
      </w:tcPr>
    </w:tblStylePr>
  </w:style>
  <w:style w:type="table" w:customStyle="1" w:styleId="881">
    <w:name w:val="Grid Table 5 Dark - Accent 62"/>
    <w:basedOn w:val="13"/>
    <w:uiPriority w:val="99"/>
    <w:rPr>
      <w:sz w:val="22"/>
      <w:szCs w:val="22"/>
      <w:lang w:eastAsia="en-US"/>
    </w:rPr>
    <w:tblPr>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CellMar>
        <w:top w:w="0" w:type="dxa"/>
        <w:left w:w="108" w:type="dxa"/>
        <w:bottom w:w="0" w:type="dxa"/>
        <w:right w:w="108" w:type="dxa"/>
      </w:tblCellMar>
    </w:tblPr>
    <w:tblStylePr w:type="firstRow">
      <w:rPr>
        <w:rFonts w:ascii="Arial" w:hAnsi="Arial"/>
        <w:b/>
        <w:color w:val="FFFFFF"/>
        <w:sz w:val="22"/>
      </w:rPr>
      <w:tcPr>
        <w:shd w:val="clear" w:color="F79646" w:fill="F79646"/>
      </w:tcPr>
    </w:tblStylePr>
    <w:tblStylePr w:type="lastRow">
      <w:rPr>
        <w:rFonts w:ascii="Arial" w:hAnsi="Arial"/>
        <w:b/>
        <w:color w:val="FFFFFF"/>
        <w:sz w:val="22"/>
      </w:rPr>
      <w:tcPr>
        <w:tcBorders>
          <w:top w:val="single" w:color="FFFFFF" w:sz="4" w:space="0"/>
        </w:tcBorders>
        <w:shd w:val="clear" w:color="F79646" w:fill="F79646"/>
      </w:tcPr>
    </w:tblStylePr>
    <w:tblStylePr w:type="firstCol">
      <w:rPr>
        <w:rFonts w:ascii="Arial" w:hAnsi="Arial"/>
        <w:b/>
        <w:color w:val="FFFFFF"/>
        <w:sz w:val="22"/>
      </w:rPr>
      <w:tcPr>
        <w:shd w:val="clear" w:color="F79646" w:fill="F79646"/>
      </w:tcPr>
    </w:tblStylePr>
    <w:tblStylePr w:type="lastCol">
      <w:rPr>
        <w:rFonts w:ascii="Arial" w:hAnsi="Arial"/>
        <w:b/>
        <w:color w:val="FFFFFF"/>
        <w:sz w:val="22"/>
      </w:rPr>
      <w:tcPr>
        <w:shd w:val="clear" w:color="F79646" w:fill="F79646"/>
      </w:tcPr>
    </w:tblStylePr>
    <w:tblStylePr w:type="band1Vert">
      <w:tcPr>
        <w:shd w:val="clear" w:color="FBCEAA" w:fill="FBCEAA"/>
      </w:tcPr>
    </w:tblStylePr>
    <w:tblStylePr w:type="band1Horz">
      <w:tcPr>
        <w:shd w:val="clear" w:color="FBCEAA" w:fill="FBCEAA"/>
      </w:tcPr>
    </w:tblStylePr>
  </w:style>
  <w:style w:type="table" w:customStyle="1" w:styleId="882">
    <w:name w:val="Таблица-сетка 6 цветная11"/>
    <w:basedOn w:val="13"/>
    <w:uiPriority w:val="99"/>
    <w:rPr>
      <w:sz w:val="22"/>
      <w:szCs w:val="22"/>
      <w:lang w:eastAsia="en-US"/>
    </w:rPr>
    <w:tblPr>
      <w:tblBorders>
        <w:top w:val="single" w:color="7F7F7F" w:sz="4" w:space="0"/>
        <w:left w:val="single" w:color="7F7F7F" w:sz="4" w:space="0"/>
        <w:bottom w:val="single" w:color="7F7F7F" w:sz="4" w:space="0"/>
        <w:right w:val="single" w:color="7F7F7F" w:sz="4" w:space="0"/>
        <w:insideH w:val="single" w:color="7F7F7F" w:sz="4" w:space="0"/>
        <w:insideV w:val="single" w:color="7F7F7F" w:sz="4" w:space="0"/>
      </w:tblBorders>
      <w:tblCellMar>
        <w:top w:w="0" w:type="dxa"/>
        <w:left w:w="108" w:type="dxa"/>
        <w:bottom w:w="0" w:type="dxa"/>
        <w:right w:w="108" w:type="dxa"/>
      </w:tblCellMar>
    </w:tblPr>
    <w:tblStylePr w:type="firstRow">
      <w:rPr>
        <w:b/>
        <w:color w:val="7F7F7F"/>
      </w:rPr>
      <w:tcPr>
        <w:tcBorders>
          <w:bottom w:val="single" w:color="7F7F7F" w:sz="12" w:space="0"/>
        </w:tcBorders>
      </w:tcPr>
    </w:tblStylePr>
    <w:tblStylePr w:type="lastRow">
      <w:rPr>
        <w:b/>
        <w:color w:val="7F7F7F"/>
      </w:rPr>
    </w:tblStylePr>
    <w:tblStylePr w:type="firstCol">
      <w:rPr>
        <w:b/>
        <w:color w:val="7F7F7F"/>
      </w:rPr>
    </w:tblStylePr>
    <w:tblStylePr w:type="lastCol">
      <w:rPr>
        <w:b/>
        <w:color w:val="7F7F7F"/>
      </w:rPr>
    </w:tblStylePr>
    <w:tblStylePr w:type="band1Vert">
      <w:tcPr>
        <w:shd w:val="clear" w:color="CBCBCB" w:fill="CBCBCB"/>
      </w:tcPr>
    </w:tblStylePr>
    <w:tblStylePr w:type="band1Horz">
      <w:rPr>
        <w:rFonts w:ascii="Arial" w:hAnsi="Arial"/>
        <w:color w:val="7F7F7F"/>
        <w:sz w:val="22"/>
      </w:rPr>
      <w:tcPr>
        <w:shd w:val="clear" w:color="CBCBCB" w:fill="CBCBCB"/>
      </w:tcPr>
    </w:tblStylePr>
    <w:tblStylePr w:type="band2Horz">
      <w:rPr>
        <w:rFonts w:ascii="Arial" w:hAnsi="Arial"/>
        <w:color w:val="7F7F7F"/>
        <w:sz w:val="22"/>
      </w:rPr>
    </w:tblStylePr>
  </w:style>
  <w:style w:type="table" w:customStyle="1" w:styleId="883">
    <w:name w:val="Grid Table 6 Colorful - Accent 12"/>
    <w:basedOn w:val="13"/>
    <w:uiPriority w:val="99"/>
    <w:rPr>
      <w:sz w:val="22"/>
      <w:szCs w:val="22"/>
      <w:lang w:eastAsia="en-US"/>
    </w:rPr>
    <w:tblPr>
      <w:tblBorders>
        <w:top w:val="single" w:color="A6BFDD" w:sz="4" w:space="0"/>
        <w:left w:val="single" w:color="A6BFDD" w:sz="4" w:space="0"/>
        <w:bottom w:val="single" w:color="A6BFDD" w:sz="4" w:space="0"/>
        <w:right w:val="single" w:color="A6BFDD" w:sz="4" w:space="0"/>
        <w:insideH w:val="single" w:color="A6BFDD" w:sz="4" w:space="0"/>
        <w:insideV w:val="single" w:color="A6BFDD" w:sz="4" w:space="0"/>
      </w:tblBorders>
      <w:tblCellMar>
        <w:top w:w="0" w:type="dxa"/>
        <w:left w:w="108" w:type="dxa"/>
        <w:bottom w:w="0" w:type="dxa"/>
        <w:right w:w="108" w:type="dxa"/>
      </w:tblCellMar>
    </w:tblPr>
    <w:tblStylePr w:type="firstRow">
      <w:rPr>
        <w:b/>
        <w:color w:val="A6BFDD"/>
      </w:rPr>
      <w:tcPr>
        <w:tcBorders>
          <w:bottom w:val="single" w:color="A6BFDD" w:sz="12" w:space="0"/>
        </w:tcBorders>
      </w:tcPr>
    </w:tblStylePr>
    <w:tblStylePr w:type="lastRow">
      <w:rPr>
        <w:b/>
        <w:color w:val="A6BFDD"/>
      </w:rPr>
    </w:tblStylePr>
    <w:tblStylePr w:type="firstCol">
      <w:rPr>
        <w:b/>
        <w:color w:val="A6BFDD"/>
      </w:rPr>
    </w:tblStylePr>
    <w:tblStylePr w:type="lastCol">
      <w:rPr>
        <w:b/>
        <w:color w:val="A6BFDD"/>
      </w:rPr>
    </w:tblStylePr>
    <w:tblStylePr w:type="band1Vert">
      <w:tcPr>
        <w:shd w:val="clear" w:color="DAE5F1" w:fill="DAE5F1"/>
      </w:tcPr>
    </w:tblStylePr>
    <w:tblStylePr w:type="band1Horz">
      <w:rPr>
        <w:rFonts w:ascii="Arial" w:hAnsi="Arial"/>
        <w:color w:val="A6BFDD"/>
        <w:sz w:val="22"/>
      </w:rPr>
      <w:tcPr>
        <w:shd w:val="clear" w:color="DAE5F1" w:fill="DAE5F1"/>
      </w:tcPr>
    </w:tblStylePr>
    <w:tblStylePr w:type="band2Horz">
      <w:rPr>
        <w:rFonts w:ascii="Arial" w:hAnsi="Arial"/>
        <w:color w:val="A6BFDD"/>
        <w:sz w:val="22"/>
      </w:rPr>
    </w:tblStylePr>
  </w:style>
  <w:style w:type="table" w:customStyle="1" w:styleId="884">
    <w:name w:val="Grid Table 6 Colorful - Accent 22"/>
    <w:basedOn w:val="13"/>
    <w:uiPriority w:val="99"/>
    <w:rPr>
      <w:sz w:val="22"/>
      <w:szCs w:val="22"/>
      <w:lang w:eastAsia="en-US"/>
    </w:rPr>
    <w:tblPr>
      <w:tblBorders>
        <w:top w:val="single" w:color="D99695" w:sz="4" w:space="0"/>
        <w:left w:val="single" w:color="D99695" w:sz="4" w:space="0"/>
        <w:bottom w:val="single" w:color="D99695" w:sz="4" w:space="0"/>
        <w:right w:val="single" w:color="D99695" w:sz="4" w:space="0"/>
        <w:insideH w:val="single" w:color="D99695" w:sz="4" w:space="0"/>
        <w:insideV w:val="single" w:color="D99695" w:sz="4" w:space="0"/>
      </w:tblBorders>
      <w:tblCellMar>
        <w:top w:w="0" w:type="dxa"/>
        <w:left w:w="108" w:type="dxa"/>
        <w:bottom w:w="0" w:type="dxa"/>
        <w:right w:w="108" w:type="dxa"/>
      </w:tblCellMar>
    </w:tblPr>
    <w:tblStylePr w:type="firstRow">
      <w:rPr>
        <w:b/>
        <w:color w:val="D99695"/>
      </w:rPr>
      <w:tcPr>
        <w:tcBorders>
          <w:bottom w:val="single" w:color="D99695" w:sz="12" w:space="0"/>
        </w:tcBorders>
      </w:tcPr>
    </w:tblStylePr>
    <w:tblStylePr w:type="lastRow">
      <w:rPr>
        <w:b/>
        <w:color w:val="D99695"/>
      </w:rPr>
    </w:tblStylePr>
    <w:tblStylePr w:type="firstCol">
      <w:rPr>
        <w:b/>
        <w:color w:val="D99695"/>
      </w:rPr>
    </w:tblStylePr>
    <w:tblStylePr w:type="lastCol">
      <w:rPr>
        <w:b/>
        <w:color w:val="D99695"/>
      </w:rPr>
    </w:tblStylePr>
    <w:tblStylePr w:type="band1Vert">
      <w:tcPr>
        <w:shd w:val="clear" w:color="F2DCDC" w:fill="F2DCDC"/>
      </w:tcPr>
    </w:tblStylePr>
    <w:tblStylePr w:type="band1Horz">
      <w:rPr>
        <w:rFonts w:ascii="Arial" w:hAnsi="Arial"/>
        <w:color w:val="D99695"/>
        <w:sz w:val="22"/>
      </w:rPr>
      <w:tcPr>
        <w:shd w:val="clear" w:color="F2DCDC" w:fill="F2DCDC"/>
      </w:tcPr>
    </w:tblStylePr>
    <w:tblStylePr w:type="band2Horz">
      <w:rPr>
        <w:rFonts w:ascii="Arial" w:hAnsi="Arial"/>
        <w:color w:val="D99695"/>
        <w:sz w:val="22"/>
      </w:rPr>
    </w:tblStylePr>
  </w:style>
  <w:style w:type="table" w:customStyle="1" w:styleId="885">
    <w:name w:val="Grid Table 6 Colorful - Accent 32"/>
    <w:basedOn w:val="13"/>
    <w:uiPriority w:val="99"/>
    <w:rPr>
      <w:sz w:val="22"/>
      <w:szCs w:val="22"/>
      <w:lang w:eastAsia="en-US"/>
    </w:rPr>
    <w:tblPr>
      <w:tblBorders>
        <w:top w:val="single" w:color="9ABB59" w:sz="4" w:space="0"/>
        <w:left w:val="single" w:color="9ABB59" w:sz="4" w:space="0"/>
        <w:bottom w:val="single" w:color="9ABB59" w:sz="4" w:space="0"/>
        <w:right w:val="single" w:color="9ABB59" w:sz="4" w:space="0"/>
        <w:insideH w:val="single" w:color="9ABB59" w:sz="4" w:space="0"/>
        <w:insideV w:val="single" w:color="9ABB59" w:sz="4" w:space="0"/>
      </w:tblBorders>
      <w:tblCellMar>
        <w:top w:w="0" w:type="dxa"/>
        <w:left w:w="108" w:type="dxa"/>
        <w:bottom w:w="0" w:type="dxa"/>
        <w:right w:w="108" w:type="dxa"/>
      </w:tblCellMar>
    </w:tblPr>
    <w:tblStylePr w:type="firstRow">
      <w:rPr>
        <w:b/>
        <w:color w:val="9ABB59"/>
      </w:rPr>
      <w:tcPr>
        <w:tcBorders>
          <w:bottom w:val="single" w:color="9ABB59" w:sz="12" w:space="0"/>
        </w:tcBorders>
      </w:tcPr>
    </w:tblStylePr>
    <w:tblStylePr w:type="lastRow">
      <w:rPr>
        <w:b/>
        <w:color w:val="9ABB59"/>
      </w:rPr>
    </w:tblStylePr>
    <w:tblStylePr w:type="firstCol">
      <w:rPr>
        <w:b/>
        <w:color w:val="9ABB59"/>
      </w:rPr>
    </w:tblStylePr>
    <w:tblStylePr w:type="lastCol">
      <w:rPr>
        <w:b/>
        <w:color w:val="9ABB59"/>
      </w:rPr>
    </w:tblStylePr>
    <w:tblStylePr w:type="band1Vert">
      <w:tcPr>
        <w:shd w:val="clear" w:color="EAF1DC" w:fill="EAF1DC"/>
      </w:tcPr>
    </w:tblStylePr>
    <w:tblStylePr w:type="band1Horz">
      <w:rPr>
        <w:rFonts w:ascii="Arial" w:hAnsi="Arial"/>
        <w:color w:val="9ABB59"/>
        <w:sz w:val="22"/>
      </w:rPr>
      <w:tcPr>
        <w:shd w:val="clear" w:color="EAF1DC" w:fill="EAF1DC"/>
      </w:tcPr>
    </w:tblStylePr>
    <w:tblStylePr w:type="band2Horz">
      <w:rPr>
        <w:rFonts w:ascii="Arial" w:hAnsi="Arial"/>
        <w:color w:val="9ABB59"/>
        <w:sz w:val="22"/>
      </w:rPr>
    </w:tblStylePr>
  </w:style>
  <w:style w:type="table" w:customStyle="1" w:styleId="886">
    <w:name w:val="Grid Table 6 Colorful - Accent 42"/>
    <w:basedOn w:val="13"/>
    <w:uiPriority w:val="99"/>
    <w:rPr>
      <w:sz w:val="22"/>
      <w:szCs w:val="22"/>
      <w:lang w:eastAsia="en-US"/>
    </w:rPr>
    <w:tblPr>
      <w:tblBorders>
        <w:top w:val="single" w:color="B2A1C6" w:sz="4" w:space="0"/>
        <w:left w:val="single" w:color="B2A1C6" w:sz="4" w:space="0"/>
        <w:bottom w:val="single" w:color="B2A1C6" w:sz="4" w:space="0"/>
        <w:right w:val="single" w:color="B2A1C6" w:sz="4" w:space="0"/>
        <w:insideH w:val="single" w:color="B2A1C6" w:sz="4" w:space="0"/>
        <w:insideV w:val="single" w:color="B2A1C6" w:sz="4" w:space="0"/>
      </w:tblBorders>
      <w:tblCellMar>
        <w:top w:w="0" w:type="dxa"/>
        <w:left w:w="108" w:type="dxa"/>
        <w:bottom w:w="0" w:type="dxa"/>
        <w:right w:w="108" w:type="dxa"/>
      </w:tblCellMar>
    </w:tblPr>
    <w:tblStylePr w:type="firstRow">
      <w:rPr>
        <w:b/>
        <w:color w:val="B2A1C6"/>
      </w:rPr>
      <w:tcPr>
        <w:tcBorders>
          <w:bottom w:val="single" w:color="B2A1C6" w:sz="12" w:space="0"/>
        </w:tcBorders>
      </w:tcPr>
    </w:tblStylePr>
    <w:tblStylePr w:type="lastRow">
      <w:rPr>
        <w:b/>
        <w:color w:val="B2A1C6"/>
      </w:rPr>
    </w:tblStylePr>
    <w:tblStylePr w:type="firstCol">
      <w:rPr>
        <w:b/>
        <w:color w:val="B2A1C6"/>
      </w:rPr>
    </w:tblStylePr>
    <w:tblStylePr w:type="lastCol">
      <w:rPr>
        <w:b/>
        <w:color w:val="B2A1C6"/>
      </w:rPr>
    </w:tblStylePr>
    <w:tblStylePr w:type="band1Vert">
      <w:tcPr>
        <w:shd w:val="clear" w:color="E5DFEC" w:fill="E5DFEC"/>
      </w:tcPr>
    </w:tblStylePr>
    <w:tblStylePr w:type="band1Horz">
      <w:rPr>
        <w:rFonts w:ascii="Arial" w:hAnsi="Arial"/>
        <w:color w:val="B2A1C6"/>
        <w:sz w:val="22"/>
      </w:rPr>
      <w:tcPr>
        <w:shd w:val="clear" w:color="E5DFEC" w:fill="E5DFEC"/>
      </w:tcPr>
    </w:tblStylePr>
    <w:tblStylePr w:type="band2Horz">
      <w:rPr>
        <w:rFonts w:ascii="Arial" w:hAnsi="Arial"/>
        <w:color w:val="B2A1C6"/>
        <w:sz w:val="22"/>
      </w:rPr>
    </w:tblStylePr>
  </w:style>
  <w:style w:type="table" w:customStyle="1" w:styleId="887">
    <w:name w:val="Grid Table 6 Colorful - Accent 52"/>
    <w:basedOn w:val="13"/>
    <w:uiPriority w:val="99"/>
    <w:rPr>
      <w:sz w:val="22"/>
      <w:szCs w:val="22"/>
      <w:lang w:eastAsia="en-US"/>
    </w:rPr>
    <w:tblPr>
      <w:tblBorders>
        <w:top w:val="single" w:color="4BACC6" w:sz="4" w:space="0"/>
        <w:left w:val="single" w:color="4BACC6" w:sz="4" w:space="0"/>
        <w:bottom w:val="single" w:color="4BACC6" w:sz="4" w:space="0"/>
        <w:right w:val="single" w:color="4BACC6" w:sz="4" w:space="0"/>
        <w:insideH w:val="single" w:color="4BACC6" w:sz="4" w:space="0"/>
        <w:insideV w:val="single" w:color="4BACC6" w:sz="4" w:space="0"/>
      </w:tblBorders>
      <w:tblCellMar>
        <w:top w:w="0" w:type="dxa"/>
        <w:left w:w="108" w:type="dxa"/>
        <w:bottom w:w="0" w:type="dxa"/>
        <w:right w:w="108" w:type="dxa"/>
      </w:tblCellMar>
    </w:tblPr>
    <w:tblStylePr w:type="firstRow">
      <w:rPr>
        <w:b/>
        <w:color w:val="266779"/>
      </w:rPr>
      <w:tcPr>
        <w:tcBorders>
          <w:bottom w:val="single" w:color="4BACC6" w:sz="12" w:space="0"/>
        </w:tcBorders>
      </w:tcPr>
    </w:tblStylePr>
    <w:tblStylePr w:type="lastRow">
      <w:rPr>
        <w:b/>
        <w:color w:val="266779"/>
      </w:rPr>
    </w:tblStylePr>
    <w:tblStylePr w:type="firstCol">
      <w:rPr>
        <w:b/>
        <w:color w:val="266779"/>
      </w:rPr>
    </w:tblStylePr>
    <w:tblStylePr w:type="lastCol">
      <w:rPr>
        <w:b/>
        <w:color w:val="266779"/>
      </w:rPr>
    </w:tblStylePr>
    <w:tblStylePr w:type="band1Vert">
      <w:tcPr>
        <w:shd w:val="clear" w:color="DAEEF3" w:fill="DAEEF3"/>
      </w:tcPr>
    </w:tblStylePr>
    <w:tblStylePr w:type="band1Horz">
      <w:rPr>
        <w:rFonts w:ascii="Arial" w:hAnsi="Arial"/>
        <w:color w:val="266779"/>
        <w:sz w:val="22"/>
      </w:rPr>
      <w:tcPr>
        <w:shd w:val="clear" w:color="DAEEF3" w:fill="DAEEF3"/>
      </w:tcPr>
    </w:tblStylePr>
    <w:tblStylePr w:type="band2Horz">
      <w:rPr>
        <w:rFonts w:ascii="Arial" w:hAnsi="Arial"/>
        <w:color w:val="266779"/>
        <w:sz w:val="22"/>
      </w:rPr>
    </w:tblStylePr>
  </w:style>
  <w:style w:type="table" w:customStyle="1" w:styleId="888">
    <w:name w:val="Grid Table 6 Colorful - Accent 62"/>
    <w:basedOn w:val="13"/>
    <w:uiPriority w:val="99"/>
    <w:rPr>
      <w:sz w:val="22"/>
      <w:szCs w:val="22"/>
      <w:lang w:eastAsia="en-US"/>
    </w:rPr>
    <w:tblPr>
      <w:tblBorders>
        <w:top w:val="single" w:color="F79646" w:sz="4" w:space="0"/>
        <w:left w:val="single" w:color="F79646" w:sz="4" w:space="0"/>
        <w:bottom w:val="single" w:color="F79646" w:sz="4" w:space="0"/>
        <w:right w:val="single" w:color="F79646" w:sz="4" w:space="0"/>
        <w:insideH w:val="single" w:color="F79646" w:sz="4" w:space="0"/>
        <w:insideV w:val="single" w:color="F79646" w:sz="4" w:space="0"/>
      </w:tblBorders>
      <w:tblCellMar>
        <w:top w:w="0" w:type="dxa"/>
        <w:left w:w="108" w:type="dxa"/>
        <w:bottom w:w="0" w:type="dxa"/>
        <w:right w:w="108" w:type="dxa"/>
      </w:tblCellMar>
    </w:tblPr>
    <w:tblStylePr w:type="firstRow">
      <w:rPr>
        <w:b/>
        <w:color w:val="266779"/>
      </w:rPr>
      <w:tcPr>
        <w:tcBorders>
          <w:bottom w:val="single" w:color="F79646" w:sz="12" w:space="0"/>
        </w:tcBorders>
      </w:tcPr>
    </w:tblStylePr>
    <w:tblStylePr w:type="lastRow">
      <w:rPr>
        <w:b/>
        <w:color w:val="266779"/>
      </w:rPr>
    </w:tblStylePr>
    <w:tblStylePr w:type="firstCol">
      <w:rPr>
        <w:b/>
        <w:color w:val="266779"/>
      </w:rPr>
    </w:tblStylePr>
    <w:tblStylePr w:type="lastCol">
      <w:rPr>
        <w:b/>
        <w:color w:val="266779"/>
      </w:rPr>
    </w:tblStylePr>
    <w:tblStylePr w:type="band1Vert">
      <w:tcPr>
        <w:shd w:val="clear" w:color="FDE9D8" w:fill="FDE9D8"/>
      </w:tcPr>
    </w:tblStylePr>
    <w:tblStylePr w:type="band1Horz">
      <w:rPr>
        <w:rFonts w:ascii="Arial" w:hAnsi="Arial"/>
        <w:color w:val="266779"/>
        <w:sz w:val="22"/>
      </w:rPr>
      <w:tcPr>
        <w:shd w:val="clear" w:color="FDE9D8" w:fill="FDE9D8"/>
      </w:tcPr>
    </w:tblStylePr>
    <w:tblStylePr w:type="band2Horz">
      <w:rPr>
        <w:rFonts w:ascii="Arial" w:hAnsi="Arial"/>
        <w:color w:val="266779"/>
        <w:sz w:val="22"/>
      </w:rPr>
    </w:tblStylePr>
  </w:style>
  <w:style w:type="table" w:customStyle="1" w:styleId="889">
    <w:name w:val="Таблица-сетка 7 цветная11"/>
    <w:basedOn w:val="13"/>
    <w:uiPriority w:val="99"/>
    <w:rPr>
      <w:sz w:val="22"/>
      <w:szCs w:val="22"/>
      <w:lang w:eastAsia="en-US"/>
    </w:rPr>
    <w:tblPr>
      <w:tblBorders>
        <w:bottom w:val="single" w:color="7F7F7F" w:sz="4" w:space="0"/>
        <w:right w:val="single" w:color="7F7F7F" w:sz="4" w:space="0"/>
        <w:insideH w:val="single" w:color="7F7F7F" w:sz="4" w:space="0"/>
        <w:insideV w:val="single" w:color="7F7F7F" w:sz="4" w:space="0"/>
      </w:tblBorders>
      <w:tblCellMar>
        <w:top w:w="0" w:type="dxa"/>
        <w:left w:w="108" w:type="dxa"/>
        <w:bottom w:w="0" w:type="dxa"/>
        <w:right w:w="108" w:type="dxa"/>
      </w:tblCellMar>
    </w:tblPr>
    <w:tblStylePr w:type="firstRow">
      <w:rPr>
        <w:rFonts w:ascii="Arial" w:hAnsi="Arial"/>
        <w:b/>
        <w:color w:val="7F7F7F"/>
        <w:sz w:val="22"/>
      </w:rPr>
      <w:tcPr>
        <w:tcBorders>
          <w:top w:val="nil"/>
          <w:left w:val="nil"/>
          <w:bottom w:val="single" w:color="7F7F7F" w:sz="4" w:space="0"/>
          <w:right w:val="nil"/>
        </w:tcBorders>
        <w:shd w:val="clear" w:color="FFFFFF" w:fill="FFFFFF"/>
      </w:tcPr>
    </w:tblStylePr>
    <w:tblStylePr w:type="lastRow">
      <w:rPr>
        <w:rFonts w:ascii="Arial" w:hAnsi="Arial"/>
        <w:b/>
        <w:color w:val="7F7F7F"/>
        <w:sz w:val="22"/>
      </w:rPr>
      <w:tcPr>
        <w:tcBorders>
          <w:top w:val="single" w:color="7F7F7F" w:sz="4" w:space="0"/>
          <w:left w:val="nil"/>
          <w:bottom w:val="nil"/>
          <w:right w:val="nil"/>
        </w:tcBorders>
        <w:shd w:val="clear" w:color="FFFFFF" w:fill="FFFFFF"/>
      </w:tcPr>
    </w:tblStylePr>
    <w:tblStylePr w:type="firstCol">
      <w:pPr>
        <w:jc w:val="right"/>
      </w:pPr>
      <w:rPr>
        <w:rFonts w:ascii="Arial" w:hAnsi="Arial"/>
        <w:i/>
        <w:color w:val="7F7F7F"/>
        <w:sz w:val="22"/>
      </w:rPr>
      <w:tcPr>
        <w:tcBorders>
          <w:top w:val="nil"/>
          <w:left w:val="nil"/>
          <w:bottom w:val="nil"/>
          <w:right w:val="single" w:color="7F7F7F" w:sz="4" w:space="0"/>
        </w:tcBorders>
        <w:shd w:val="clear" w:color="FFFFFF" w:fill="auto"/>
      </w:tcPr>
    </w:tblStylePr>
    <w:tblStylePr w:type="lastCol">
      <w:rPr>
        <w:rFonts w:ascii="Arial" w:hAnsi="Arial"/>
        <w:i/>
        <w:color w:val="7F7F7F"/>
        <w:sz w:val="22"/>
      </w:rPr>
      <w:tcPr>
        <w:tcBorders>
          <w:top w:val="nil"/>
          <w:left w:val="single" w:color="7F7F7F" w:sz="4" w:space="0"/>
          <w:bottom w:val="nil"/>
          <w:right w:val="nil"/>
        </w:tcBorders>
        <w:shd w:val="clear" w:color="FFFFFF" w:fill="auto"/>
      </w:tcPr>
    </w:tblStylePr>
    <w:tblStylePr w:type="band1Vert">
      <w:tcPr>
        <w:shd w:val="clear" w:color="F2F2F2" w:fill="F2F2F2"/>
      </w:tcPr>
    </w:tblStylePr>
    <w:tblStylePr w:type="band1Horz">
      <w:rPr>
        <w:rFonts w:ascii="Arial" w:hAnsi="Arial"/>
        <w:color w:val="7F7F7F"/>
        <w:sz w:val="22"/>
      </w:rPr>
      <w:tcPr>
        <w:shd w:val="clear" w:color="F2F2F2" w:fill="F2F2F2"/>
      </w:tcPr>
    </w:tblStylePr>
    <w:tblStylePr w:type="band2Horz">
      <w:rPr>
        <w:rFonts w:ascii="Arial" w:hAnsi="Arial"/>
        <w:color w:val="7F7F7F"/>
        <w:sz w:val="22"/>
      </w:rPr>
    </w:tblStylePr>
  </w:style>
  <w:style w:type="table" w:customStyle="1" w:styleId="890">
    <w:name w:val="Grid Table 7 Colorful - Accent 12"/>
    <w:basedOn w:val="13"/>
    <w:uiPriority w:val="99"/>
    <w:rPr>
      <w:sz w:val="22"/>
      <w:szCs w:val="22"/>
      <w:lang w:eastAsia="en-US"/>
    </w:rPr>
    <w:tblPr>
      <w:tblBorders>
        <w:bottom w:val="single" w:color="A6BFDD" w:sz="4" w:space="0"/>
        <w:right w:val="single" w:color="A6BFDD" w:sz="4" w:space="0"/>
        <w:insideH w:val="single" w:color="A6BFDD" w:sz="4" w:space="0"/>
        <w:insideV w:val="single" w:color="A6BFDD" w:sz="4" w:space="0"/>
      </w:tblBorders>
      <w:tblCellMar>
        <w:top w:w="0" w:type="dxa"/>
        <w:left w:w="108" w:type="dxa"/>
        <w:bottom w:w="0" w:type="dxa"/>
        <w:right w:w="108" w:type="dxa"/>
      </w:tblCellMar>
    </w:tblPr>
    <w:tblStylePr w:type="firstRow">
      <w:rPr>
        <w:rFonts w:ascii="Arial" w:hAnsi="Arial"/>
        <w:b/>
        <w:color w:val="A6BFDD"/>
        <w:sz w:val="22"/>
      </w:rPr>
      <w:tcPr>
        <w:tcBorders>
          <w:top w:val="nil"/>
          <w:left w:val="nil"/>
          <w:bottom w:val="single" w:color="A6BFDD" w:sz="4" w:space="0"/>
          <w:right w:val="nil"/>
        </w:tcBorders>
        <w:shd w:val="clear" w:color="FFFFFF" w:fill="FFFFFF"/>
      </w:tcPr>
    </w:tblStylePr>
    <w:tblStylePr w:type="lastRow">
      <w:rPr>
        <w:rFonts w:ascii="Arial" w:hAnsi="Arial"/>
        <w:b/>
        <w:color w:val="A6BFDD"/>
        <w:sz w:val="22"/>
      </w:rPr>
      <w:tcPr>
        <w:tcBorders>
          <w:top w:val="single" w:color="A6BFDD" w:sz="4" w:space="0"/>
          <w:left w:val="nil"/>
          <w:bottom w:val="nil"/>
          <w:right w:val="nil"/>
        </w:tcBorders>
        <w:shd w:val="clear" w:color="FFFFFF" w:fill="FFFFFF"/>
      </w:tcPr>
    </w:tblStylePr>
    <w:tblStylePr w:type="firstCol">
      <w:pPr>
        <w:jc w:val="right"/>
      </w:pPr>
      <w:rPr>
        <w:rFonts w:ascii="Arial" w:hAnsi="Arial"/>
        <w:i/>
        <w:color w:val="A6BFDD"/>
        <w:sz w:val="22"/>
      </w:rPr>
      <w:tcPr>
        <w:tcBorders>
          <w:top w:val="nil"/>
          <w:left w:val="nil"/>
          <w:bottom w:val="nil"/>
          <w:right w:val="single" w:color="A6BFDD" w:sz="4" w:space="0"/>
        </w:tcBorders>
        <w:shd w:val="clear" w:color="FFFFFF" w:fill="auto"/>
      </w:tcPr>
    </w:tblStylePr>
    <w:tblStylePr w:type="lastCol">
      <w:rPr>
        <w:rFonts w:ascii="Arial" w:hAnsi="Arial"/>
        <w:i/>
        <w:color w:val="A6BFDD"/>
        <w:sz w:val="22"/>
      </w:rPr>
      <w:tcPr>
        <w:tcBorders>
          <w:top w:val="nil"/>
          <w:left w:val="single" w:color="A6BFDD" w:sz="4" w:space="0"/>
          <w:bottom w:val="nil"/>
          <w:right w:val="nil"/>
        </w:tcBorders>
        <w:shd w:val="clear" w:color="FFFFFF" w:fill="auto"/>
      </w:tcPr>
    </w:tblStylePr>
    <w:tblStylePr w:type="band1Vert">
      <w:tcPr>
        <w:shd w:val="clear" w:color="DAE5F1" w:fill="DAE5F1"/>
      </w:tcPr>
    </w:tblStylePr>
    <w:tblStylePr w:type="band1Horz">
      <w:rPr>
        <w:rFonts w:ascii="Arial" w:hAnsi="Arial"/>
        <w:color w:val="A6BFDD"/>
        <w:sz w:val="22"/>
      </w:rPr>
      <w:tcPr>
        <w:shd w:val="clear" w:color="DAE5F1" w:fill="DAE5F1"/>
      </w:tcPr>
    </w:tblStylePr>
    <w:tblStylePr w:type="band2Horz">
      <w:rPr>
        <w:rFonts w:ascii="Arial" w:hAnsi="Arial"/>
        <w:color w:val="A6BFDD"/>
        <w:sz w:val="22"/>
      </w:rPr>
    </w:tblStylePr>
  </w:style>
  <w:style w:type="table" w:customStyle="1" w:styleId="891">
    <w:name w:val="Grid Table 7 Colorful - Accent 22"/>
    <w:basedOn w:val="13"/>
    <w:uiPriority w:val="99"/>
    <w:rPr>
      <w:sz w:val="22"/>
      <w:szCs w:val="22"/>
      <w:lang w:eastAsia="en-US"/>
    </w:rPr>
    <w:tblPr>
      <w:tblBorders>
        <w:bottom w:val="single" w:color="D99695" w:sz="4" w:space="0"/>
        <w:right w:val="single" w:color="D99695" w:sz="4" w:space="0"/>
        <w:insideH w:val="single" w:color="D99695" w:sz="4" w:space="0"/>
        <w:insideV w:val="single" w:color="D99695" w:sz="4" w:space="0"/>
      </w:tblBorders>
      <w:tblCellMar>
        <w:top w:w="0" w:type="dxa"/>
        <w:left w:w="108" w:type="dxa"/>
        <w:bottom w:w="0" w:type="dxa"/>
        <w:right w:w="108" w:type="dxa"/>
      </w:tblCellMar>
    </w:tblPr>
    <w:tblStylePr w:type="firstRow">
      <w:rPr>
        <w:rFonts w:ascii="Arial" w:hAnsi="Arial"/>
        <w:b/>
        <w:color w:val="D99695"/>
        <w:sz w:val="22"/>
      </w:rPr>
      <w:tcPr>
        <w:tcBorders>
          <w:top w:val="nil"/>
          <w:left w:val="nil"/>
          <w:bottom w:val="single" w:color="D99695" w:sz="4" w:space="0"/>
          <w:right w:val="nil"/>
        </w:tcBorders>
        <w:shd w:val="clear" w:color="FFFFFF" w:fill="FFFFFF"/>
      </w:tcPr>
    </w:tblStylePr>
    <w:tblStylePr w:type="lastRow">
      <w:rPr>
        <w:rFonts w:ascii="Arial" w:hAnsi="Arial"/>
        <w:b/>
        <w:color w:val="D99695"/>
        <w:sz w:val="22"/>
      </w:rPr>
      <w:tcPr>
        <w:tcBorders>
          <w:top w:val="single" w:color="D99695" w:sz="4" w:space="0"/>
          <w:left w:val="nil"/>
          <w:bottom w:val="nil"/>
          <w:right w:val="nil"/>
        </w:tcBorders>
        <w:shd w:val="clear" w:color="FFFFFF" w:fill="FFFFFF"/>
      </w:tcPr>
    </w:tblStylePr>
    <w:tblStylePr w:type="firstCol">
      <w:pPr>
        <w:jc w:val="right"/>
      </w:pPr>
      <w:rPr>
        <w:rFonts w:ascii="Arial" w:hAnsi="Arial"/>
        <w:i/>
        <w:color w:val="D99695"/>
        <w:sz w:val="22"/>
      </w:rPr>
      <w:tcPr>
        <w:tcBorders>
          <w:top w:val="nil"/>
          <w:left w:val="nil"/>
          <w:bottom w:val="nil"/>
          <w:right w:val="single" w:color="D99695" w:sz="4" w:space="0"/>
        </w:tcBorders>
        <w:shd w:val="clear" w:color="FFFFFF" w:fill="auto"/>
      </w:tcPr>
    </w:tblStylePr>
    <w:tblStylePr w:type="lastCol">
      <w:rPr>
        <w:rFonts w:ascii="Arial" w:hAnsi="Arial"/>
        <w:i/>
        <w:color w:val="D99695"/>
        <w:sz w:val="22"/>
      </w:rPr>
      <w:tcPr>
        <w:tcBorders>
          <w:top w:val="nil"/>
          <w:left w:val="single" w:color="D99695" w:sz="4" w:space="0"/>
          <w:bottom w:val="nil"/>
          <w:right w:val="nil"/>
        </w:tcBorders>
        <w:shd w:val="clear" w:color="FFFFFF" w:fill="auto"/>
      </w:tcPr>
    </w:tblStylePr>
    <w:tblStylePr w:type="band1Vert">
      <w:tcPr>
        <w:shd w:val="clear" w:color="F2DCDC" w:fill="F2DCDC"/>
      </w:tcPr>
    </w:tblStylePr>
    <w:tblStylePr w:type="band1Horz">
      <w:rPr>
        <w:rFonts w:ascii="Arial" w:hAnsi="Arial"/>
        <w:color w:val="D99695"/>
        <w:sz w:val="22"/>
      </w:rPr>
      <w:tcPr>
        <w:shd w:val="clear" w:color="F2DCDC" w:fill="F2DCDC"/>
      </w:tcPr>
    </w:tblStylePr>
    <w:tblStylePr w:type="band2Horz">
      <w:rPr>
        <w:rFonts w:ascii="Arial" w:hAnsi="Arial"/>
        <w:color w:val="D99695"/>
        <w:sz w:val="22"/>
      </w:rPr>
    </w:tblStylePr>
  </w:style>
  <w:style w:type="table" w:customStyle="1" w:styleId="892">
    <w:name w:val="Grid Table 7 Colorful - Accent 32"/>
    <w:basedOn w:val="13"/>
    <w:uiPriority w:val="99"/>
    <w:rPr>
      <w:sz w:val="22"/>
      <w:szCs w:val="22"/>
      <w:lang w:eastAsia="en-US"/>
    </w:rPr>
    <w:tblPr>
      <w:tblBorders>
        <w:bottom w:val="single" w:color="9ABB59" w:sz="4" w:space="0"/>
        <w:right w:val="single" w:color="9ABB59" w:sz="4" w:space="0"/>
        <w:insideH w:val="single" w:color="9ABB59" w:sz="4" w:space="0"/>
        <w:insideV w:val="single" w:color="9ABB59" w:sz="4" w:space="0"/>
      </w:tblBorders>
      <w:tblCellMar>
        <w:top w:w="0" w:type="dxa"/>
        <w:left w:w="108" w:type="dxa"/>
        <w:bottom w:w="0" w:type="dxa"/>
        <w:right w:w="108" w:type="dxa"/>
      </w:tblCellMar>
    </w:tblPr>
    <w:tblStylePr w:type="firstRow">
      <w:rPr>
        <w:rFonts w:ascii="Arial" w:hAnsi="Arial"/>
        <w:b/>
        <w:color w:val="9ABB59"/>
        <w:sz w:val="22"/>
      </w:rPr>
      <w:tcPr>
        <w:tcBorders>
          <w:top w:val="nil"/>
          <w:left w:val="nil"/>
          <w:bottom w:val="single" w:color="9ABB59" w:sz="4" w:space="0"/>
          <w:right w:val="nil"/>
        </w:tcBorders>
        <w:shd w:val="clear" w:color="FFFFFF" w:fill="FFFFFF"/>
      </w:tcPr>
    </w:tblStylePr>
    <w:tblStylePr w:type="lastRow">
      <w:rPr>
        <w:rFonts w:ascii="Arial" w:hAnsi="Arial"/>
        <w:b/>
        <w:color w:val="9ABB59"/>
        <w:sz w:val="22"/>
      </w:rPr>
      <w:tcPr>
        <w:tcBorders>
          <w:top w:val="single" w:color="9ABB59" w:sz="4" w:space="0"/>
          <w:left w:val="nil"/>
          <w:bottom w:val="nil"/>
          <w:right w:val="nil"/>
        </w:tcBorders>
        <w:shd w:val="clear" w:color="FFFFFF" w:fill="FFFFFF"/>
      </w:tcPr>
    </w:tblStylePr>
    <w:tblStylePr w:type="firstCol">
      <w:pPr>
        <w:jc w:val="right"/>
      </w:pPr>
      <w:rPr>
        <w:rFonts w:ascii="Arial" w:hAnsi="Arial"/>
        <w:i/>
        <w:color w:val="9ABB59"/>
        <w:sz w:val="22"/>
      </w:rPr>
      <w:tcPr>
        <w:tcBorders>
          <w:top w:val="nil"/>
          <w:left w:val="nil"/>
          <w:bottom w:val="nil"/>
          <w:right w:val="single" w:color="9ABB59" w:sz="4" w:space="0"/>
        </w:tcBorders>
        <w:shd w:val="clear" w:color="FFFFFF" w:fill="auto"/>
      </w:tcPr>
    </w:tblStylePr>
    <w:tblStylePr w:type="lastCol">
      <w:rPr>
        <w:rFonts w:ascii="Arial" w:hAnsi="Arial"/>
        <w:i/>
        <w:color w:val="9ABB59"/>
        <w:sz w:val="22"/>
      </w:rPr>
      <w:tcPr>
        <w:tcBorders>
          <w:top w:val="nil"/>
          <w:left w:val="single" w:color="9ABB59" w:sz="4" w:space="0"/>
          <w:bottom w:val="nil"/>
          <w:right w:val="nil"/>
        </w:tcBorders>
        <w:shd w:val="clear" w:color="FFFFFF" w:fill="auto"/>
      </w:tcPr>
    </w:tblStylePr>
    <w:tblStylePr w:type="band1Vert">
      <w:tcPr>
        <w:shd w:val="clear" w:color="EAF1DC" w:fill="EAF1DC"/>
      </w:tcPr>
    </w:tblStylePr>
    <w:tblStylePr w:type="band1Horz">
      <w:rPr>
        <w:rFonts w:ascii="Arial" w:hAnsi="Arial"/>
        <w:color w:val="9ABB59"/>
        <w:sz w:val="22"/>
      </w:rPr>
      <w:tcPr>
        <w:shd w:val="clear" w:color="EAF1DC" w:fill="EAF1DC"/>
      </w:tcPr>
    </w:tblStylePr>
    <w:tblStylePr w:type="band2Horz">
      <w:rPr>
        <w:rFonts w:ascii="Arial" w:hAnsi="Arial"/>
        <w:color w:val="9ABB59"/>
        <w:sz w:val="22"/>
      </w:rPr>
    </w:tblStylePr>
  </w:style>
  <w:style w:type="table" w:customStyle="1" w:styleId="893">
    <w:name w:val="Grid Table 7 Colorful - Accent 42"/>
    <w:basedOn w:val="13"/>
    <w:uiPriority w:val="99"/>
    <w:rPr>
      <w:sz w:val="22"/>
      <w:szCs w:val="22"/>
      <w:lang w:eastAsia="en-US"/>
    </w:rPr>
    <w:tblPr>
      <w:tblBorders>
        <w:bottom w:val="single" w:color="B2A1C6" w:sz="4" w:space="0"/>
        <w:right w:val="single" w:color="B2A1C6" w:sz="4" w:space="0"/>
        <w:insideH w:val="single" w:color="B2A1C6" w:sz="4" w:space="0"/>
        <w:insideV w:val="single" w:color="B2A1C6" w:sz="4" w:space="0"/>
      </w:tblBorders>
      <w:tblCellMar>
        <w:top w:w="0" w:type="dxa"/>
        <w:left w:w="108" w:type="dxa"/>
        <w:bottom w:w="0" w:type="dxa"/>
        <w:right w:w="108" w:type="dxa"/>
      </w:tblCellMar>
    </w:tblPr>
    <w:tblStylePr w:type="firstRow">
      <w:rPr>
        <w:rFonts w:ascii="Arial" w:hAnsi="Arial"/>
        <w:b/>
        <w:color w:val="B2A1C6"/>
        <w:sz w:val="22"/>
      </w:rPr>
      <w:tcPr>
        <w:tcBorders>
          <w:top w:val="nil"/>
          <w:left w:val="nil"/>
          <w:bottom w:val="single" w:color="B2A1C6" w:sz="4" w:space="0"/>
          <w:right w:val="nil"/>
        </w:tcBorders>
        <w:shd w:val="clear" w:color="FFFFFF" w:fill="FFFFFF"/>
      </w:tcPr>
    </w:tblStylePr>
    <w:tblStylePr w:type="lastRow">
      <w:rPr>
        <w:rFonts w:ascii="Arial" w:hAnsi="Arial"/>
        <w:b/>
        <w:color w:val="B2A1C6"/>
        <w:sz w:val="22"/>
      </w:rPr>
      <w:tcPr>
        <w:tcBorders>
          <w:top w:val="single" w:color="B2A1C6" w:sz="4" w:space="0"/>
          <w:left w:val="nil"/>
          <w:bottom w:val="nil"/>
          <w:right w:val="nil"/>
        </w:tcBorders>
        <w:shd w:val="clear" w:color="FFFFFF" w:fill="FFFFFF"/>
      </w:tcPr>
    </w:tblStylePr>
    <w:tblStylePr w:type="firstCol">
      <w:pPr>
        <w:jc w:val="right"/>
      </w:pPr>
      <w:rPr>
        <w:rFonts w:ascii="Arial" w:hAnsi="Arial"/>
        <w:i/>
        <w:color w:val="B2A1C6"/>
        <w:sz w:val="22"/>
      </w:rPr>
      <w:tcPr>
        <w:tcBorders>
          <w:top w:val="nil"/>
          <w:left w:val="nil"/>
          <w:bottom w:val="nil"/>
          <w:right w:val="single" w:color="B2A1C6" w:sz="4" w:space="0"/>
        </w:tcBorders>
        <w:shd w:val="clear" w:color="FFFFFF" w:fill="auto"/>
      </w:tcPr>
    </w:tblStylePr>
    <w:tblStylePr w:type="lastCol">
      <w:rPr>
        <w:rFonts w:ascii="Arial" w:hAnsi="Arial"/>
        <w:i/>
        <w:color w:val="B2A1C6"/>
        <w:sz w:val="22"/>
      </w:rPr>
      <w:tcPr>
        <w:tcBorders>
          <w:top w:val="nil"/>
          <w:left w:val="single" w:color="B2A1C6" w:sz="4" w:space="0"/>
          <w:bottom w:val="nil"/>
          <w:right w:val="nil"/>
        </w:tcBorders>
        <w:shd w:val="clear" w:color="FFFFFF" w:fill="auto"/>
      </w:tcPr>
    </w:tblStylePr>
    <w:tblStylePr w:type="band1Vert">
      <w:tcPr>
        <w:shd w:val="clear" w:color="E5DFEC" w:fill="E5DFEC"/>
      </w:tcPr>
    </w:tblStylePr>
    <w:tblStylePr w:type="band1Horz">
      <w:rPr>
        <w:rFonts w:ascii="Arial" w:hAnsi="Arial"/>
        <w:color w:val="B2A1C6"/>
        <w:sz w:val="22"/>
      </w:rPr>
      <w:tcPr>
        <w:shd w:val="clear" w:color="E5DFEC" w:fill="E5DFEC"/>
      </w:tcPr>
    </w:tblStylePr>
    <w:tblStylePr w:type="band2Horz">
      <w:rPr>
        <w:rFonts w:ascii="Arial" w:hAnsi="Arial"/>
        <w:color w:val="B2A1C6"/>
        <w:sz w:val="22"/>
      </w:rPr>
    </w:tblStylePr>
  </w:style>
  <w:style w:type="table" w:customStyle="1" w:styleId="894">
    <w:name w:val="Grid Table 7 Colorful - Accent 52"/>
    <w:basedOn w:val="13"/>
    <w:uiPriority w:val="99"/>
    <w:rPr>
      <w:sz w:val="22"/>
      <w:szCs w:val="22"/>
      <w:lang w:eastAsia="en-US"/>
    </w:rPr>
    <w:tblPr>
      <w:tblBorders>
        <w:bottom w:val="single" w:color="99D0DE" w:sz="4" w:space="0"/>
        <w:right w:val="single" w:color="99D0DE" w:sz="4" w:space="0"/>
        <w:insideH w:val="single" w:color="99D0DE" w:sz="4" w:space="0"/>
        <w:insideV w:val="single" w:color="99D0DE" w:sz="4" w:space="0"/>
      </w:tblBorders>
      <w:tblCellMar>
        <w:top w:w="0" w:type="dxa"/>
        <w:left w:w="108" w:type="dxa"/>
        <w:bottom w:w="0" w:type="dxa"/>
        <w:right w:w="108" w:type="dxa"/>
      </w:tblCellMar>
    </w:tblPr>
    <w:tblStylePr w:type="firstRow">
      <w:rPr>
        <w:rFonts w:ascii="Arial" w:hAnsi="Arial"/>
        <w:b/>
        <w:color w:val="266779"/>
        <w:sz w:val="22"/>
      </w:rPr>
      <w:tcPr>
        <w:tcBorders>
          <w:top w:val="nil"/>
          <w:left w:val="nil"/>
          <w:bottom w:val="single" w:color="99D0DE" w:sz="4" w:space="0"/>
          <w:right w:val="nil"/>
        </w:tcBorders>
        <w:shd w:val="clear" w:color="FFFFFF" w:fill="FFFFFF"/>
      </w:tcPr>
    </w:tblStylePr>
    <w:tblStylePr w:type="lastRow">
      <w:rPr>
        <w:rFonts w:ascii="Arial" w:hAnsi="Arial"/>
        <w:b/>
        <w:color w:val="266779"/>
        <w:sz w:val="22"/>
      </w:rPr>
      <w:tcPr>
        <w:tcBorders>
          <w:top w:val="single" w:color="99D0DE" w:sz="4" w:space="0"/>
          <w:left w:val="nil"/>
          <w:bottom w:val="nil"/>
          <w:right w:val="nil"/>
        </w:tcBorders>
        <w:shd w:val="clear" w:color="FFFFFF" w:fill="FFFFFF"/>
      </w:tcPr>
    </w:tblStylePr>
    <w:tblStylePr w:type="firstCol">
      <w:pPr>
        <w:jc w:val="right"/>
      </w:pPr>
      <w:rPr>
        <w:rFonts w:ascii="Arial" w:hAnsi="Arial"/>
        <w:i/>
        <w:color w:val="266779"/>
        <w:sz w:val="22"/>
      </w:rPr>
      <w:tcPr>
        <w:tcBorders>
          <w:top w:val="nil"/>
          <w:left w:val="nil"/>
          <w:bottom w:val="nil"/>
          <w:right w:val="single" w:color="99D0DE" w:sz="4" w:space="0"/>
        </w:tcBorders>
        <w:shd w:val="clear" w:color="FFFFFF" w:fill="auto"/>
      </w:tcPr>
    </w:tblStylePr>
    <w:tblStylePr w:type="lastCol">
      <w:rPr>
        <w:rFonts w:ascii="Arial" w:hAnsi="Arial"/>
        <w:i/>
        <w:color w:val="266779"/>
        <w:sz w:val="22"/>
      </w:rPr>
      <w:tcPr>
        <w:tcBorders>
          <w:top w:val="nil"/>
          <w:left w:val="single" w:color="99D0DE" w:sz="4" w:space="0"/>
          <w:bottom w:val="nil"/>
          <w:right w:val="nil"/>
        </w:tcBorders>
        <w:shd w:val="clear" w:color="FFFFFF" w:fill="auto"/>
      </w:tcPr>
    </w:tblStylePr>
    <w:tblStylePr w:type="band1Vert">
      <w:tcPr>
        <w:shd w:val="clear" w:color="DAEEF3" w:fill="DAEEF3"/>
      </w:tcPr>
    </w:tblStylePr>
    <w:tblStylePr w:type="band1Horz">
      <w:rPr>
        <w:rFonts w:ascii="Arial" w:hAnsi="Arial"/>
        <w:color w:val="266779"/>
        <w:sz w:val="22"/>
      </w:rPr>
      <w:tcPr>
        <w:shd w:val="clear" w:color="DAEEF3" w:fill="DAEEF3"/>
      </w:tcPr>
    </w:tblStylePr>
    <w:tblStylePr w:type="band2Horz">
      <w:rPr>
        <w:rFonts w:ascii="Arial" w:hAnsi="Arial"/>
        <w:color w:val="266779"/>
        <w:sz w:val="22"/>
      </w:rPr>
    </w:tblStylePr>
  </w:style>
  <w:style w:type="table" w:customStyle="1" w:styleId="895">
    <w:name w:val="Grid Table 7 Colorful - Accent 62"/>
    <w:basedOn w:val="13"/>
    <w:uiPriority w:val="99"/>
    <w:rPr>
      <w:sz w:val="22"/>
      <w:szCs w:val="22"/>
      <w:lang w:eastAsia="en-US"/>
    </w:rPr>
    <w:tblPr>
      <w:tblBorders>
        <w:bottom w:val="single" w:color="FAC396" w:sz="4" w:space="0"/>
        <w:right w:val="single" w:color="FAC396" w:sz="4" w:space="0"/>
        <w:insideH w:val="single" w:color="FAC396" w:sz="4" w:space="0"/>
        <w:insideV w:val="single" w:color="FAC396" w:sz="4" w:space="0"/>
      </w:tblBorders>
      <w:tblCellMar>
        <w:top w:w="0" w:type="dxa"/>
        <w:left w:w="108" w:type="dxa"/>
        <w:bottom w:w="0" w:type="dxa"/>
        <w:right w:w="108" w:type="dxa"/>
      </w:tblCellMar>
    </w:tblPr>
    <w:tblStylePr w:type="firstRow">
      <w:rPr>
        <w:rFonts w:ascii="Arial" w:hAnsi="Arial"/>
        <w:b/>
        <w:color w:val="B15407"/>
        <w:sz w:val="22"/>
      </w:rPr>
      <w:tcPr>
        <w:tcBorders>
          <w:top w:val="nil"/>
          <w:left w:val="nil"/>
          <w:bottom w:val="single" w:color="FAC396" w:sz="4" w:space="0"/>
          <w:right w:val="nil"/>
        </w:tcBorders>
        <w:shd w:val="clear" w:color="FFFFFF" w:fill="FFFFFF"/>
      </w:tcPr>
    </w:tblStylePr>
    <w:tblStylePr w:type="lastRow">
      <w:rPr>
        <w:rFonts w:ascii="Arial" w:hAnsi="Arial"/>
        <w:b/>
        <w:color w:val="B15407"/>
        <w:sz w:val="22"/>
      </w:rPr>
      <w:tcPr>
        <w:tcBorders>
          <w:top w:val="single" w:color="FAC396" w:sz="4" w:space="0"/>
          <w:left w:val="nil"/>
          <w:bottom w:val="nil"/>
          <w:right w:val="nil"/>
        </w:tcBorders>
        <w:shd w:val="clear" w:color="FFFFFF" w:fill="FFFFFF"/>
      </w:tcPr>
    </w:tblStylePr>
    <w:tblStylePr w:type="firstCol">
      <w:pPr>
        <w:jc w:val="right"/>
      </w:pPr>
      <w:rPr>
        <w:rFonts w:ascii="Arial" w:hAnsi="Arial"/>
        <w:i/>
        <w:color w:val="B15407"/>
        <w:sz w:val="22"/>
      </w:rPr>
      <w:tcPr>
        <w:tcBorders>
          <w:top w:val="nil"/>
          <w:left w:val="nil"/>
          <w:bottom w:val="nil"/>
          <w:right w:val="single" w:color="FAC396" w:sz="4" w:space="0"/>
        </w:tcBorders>
        <w:shd w:val="clear" w:color="FFFFFF" w:fill="auto"/>
      </w:tcPr>
    </w:tblStylePr>
    <w:tblStylePr w:type="lastCol">
      <w:rPr>
        <w:rFonts w:ascii="Arial" w:hAnsi="Arial"/>
        <w:i/>
        <w:color w:val="B15407"/>
        <w:sz w:val="22"/>
      </w:rPr>
      <w:tcPr>
        <w:tcBorders>
          <w:top w:val="nil"/>
          <w:left w:val="single" w:color="FAC396" w:sz="4" w:space="0"/>
          <w:bottom w:val="nil"/>
          <w:right w:val="nil"/>
        </w:tcBorders>
        <w:shd w:val="clear" w:color="FFFFFF" w:fill="auto"/>
      </w:tcPr>
    </w:tblStylePr>
    <w:tblStylePr w:type="band1Vert">
      <w:tcPr>
        <w:shd w:val="clear" w:color="FDE9D8" w:fill="FDE9D8"/>
      </w:tcPr>
    </w:tblStylePr>
    <w:tblStylePr w:type="band1Horz">
      <w:rPr>
        <w:rFonts w:ascii="Arial" w:hAnsi="Arial"/>
        <w:color w:val="B15407"/>
        <w:sz w:val="22"/>
      </w:rPr>
      <w:tcPr>
        <w:shd w:val="clear" w:color="FDE9D8" w:fill="FDE9D8"/>
      </w:tcPr>
    </w:tblStylePr>
    <w:tblStylePr w:type="band2Horz">
      <w:rPr>
        <w:rFonts w:ascii="Arial" w:hAnsi="Arial"/>
        <w:color w:val="B15407"/>
        <w:sz w:val="22"/>
      </w:rPr>
    </w:tblStylePr>
  </w:style>
  <w:style w:type="table" w:customStyle="1" w:styleId="896">
    <w:name w:val="Список-таблица 1 светлая11"/>
    <w:basedOn w:val="13"/>
    <w:qFormat/>
    <w:uiPriority w:val="99"/>
    <w:rPr>
      <w:sz w:val="22"/>
      <w:szCs w:val="22"/>
      <w:lang w:eastAsia="en-US"/>
    </w:rPr>
    <w:tblPr>
      <w:tblCellMar>
        <w:top w:w="0" w:type="dxa"/>
        <w:left w:w="108" w:type="dxa"/>
        <w:bottom w:w="0" w:type="dxa"/>
        <w:right w:w="108" w:type="dxa"/>
      </w:tblCellMar>
    </w:tblPr>
    <w:tblStylePr w:type="firstRow">
      <w:rPr>
        <w:b/>
        <w:color w:val="404040"/>
      </w:rPr>
      <w:tcPr>
        <w:tcBorders>
          <w:top w:val="nil"/>
          <w:left w:val="nil"/>
          <w:bottom w:val="single" w:color="000000" w:sz="4" w:space="0"/>
          <w:right w:val="nil"/>
        </w:tcBorders>
      </w:tcPr>
    </w:tblStylePr>
    <w:tblStylePr w:type="lastRow">
      <w:rPr>
        <w:b/>
        <w:color w:val="404040"/>
      </w:rPr>
      <w:tcPr>
        <w:tcBorders>
          <w:top w:val="single" w:color="000000" w:sz="4" w:space="0"/>
          <w:left w:val="nil"/>
          <w:bottom w:val="nil"/>
          <w:right w:val="nil"/>
        </w:tcBorders>
      </w:tcPr>
    </w:tblStylePr>
    <w:tblStylePr w:type="firstCol">
      <w:rPr>
        <w:b/>
        <w:color w:val="404040"/>
      </w:rPr>
    </w:tblStylePr>
    <w:tblStylePr w:type="lastCol">
      <w:rPr>
        <w:b/>
        <w:color w:val="404040"/>
      </w:rPr>
    </w:tblStylePr>
    <w:tblStylePr w:type="band1Vert">
      <w:tcPr>
        <w:shd w:val="clear" w:color="BFBFBF" w:fill="BFBFBF"/>
      </w:tcPr>
    </w:tblStylePr>
    <w:tblStylePr w:type="band1Horz">
      <w:tcPr>
        <w:shd w:val="clear" w:color="BFBFBF" w:fill="BFBFBF"/>
      </w:tcPr>
    </w:tblStylePr>
  </w:style>
  <w:style w:type="table" w:customStyle="1" w:styleId="897">
    <w:name w:val="List Table 1 Light - Accent 12"/>
    <w:basedOn w:val="13"/>
    <w:uiPriority w:val="99"/>
    <w:rPr>
      <w:sz w:val="22"/>
      <w:szCs w:val="22"/>
      <w:lang w:eastAsia="en-US"/>
    </w:rPr>
    <w:tblPr>
      <w:tblCellMar>
        <w:top w:w="0" w:type="dxa"/>
        <w:left w:w="108" w:type="dxa"/>
        <w:bottom w:w="0" w:type="dxa"/>
        <w:right w:w="108" w:type="dxa"/>
      </w:tblCellMar>
    </w:tblPr>
    <w:tblStylePr w:type="firstRow">
      <w:rPr>
        <w:b/>
        <w:color w:val="404040"/>
      </w:rPr>
      <w:tcPr>
        <w:tcBorders>
          <w:top w:val="nil"/>
          <w:left w:val="nil"/>
          <w:bottom w:val="single" w:color="4F81BD" w:sz="4" w:space="0"/>
          <w:right w:val="nil"/>
        </w:tcBorders>
      </w:tcPr>
    </w:tblStylePr>
    <w:tblStylePr w:type="lastRow">
      <w:rPr>
        <w:b/>
        <w:color w:val="404040"/>
      </w:rPr>
      <w:tcPr>
        <w:tcBorders>
          <w:top w:val="single" w:color="4F81BD" w:sz="4" w:space="0"/>
          <w:left w:val="nil"/>
          <w:bottom w:val="nil"/>
          <w:right w:val="nil"/>
        </w:tcBorders>
      </w:tcPr>
    </w:tblStylePr>
    <w:tblStylePr w:type="firstCol">
      <w:rPr>
        <w:b/>
        <w:color w:val="404040"/>
      </w:rPr>
    </w:tblStylePr>
    <w:tblStylePr w:type="lastCol">
      <w:rPr>
        <w:b/>
        <w:color w:val="404040"/>
      </w:rPr>
    </w:tblStylePr>
    <w:tblStylePr w:type="band1Vert">
      <w:tcPr>
        <w:shd w:val="clear" w:color="D2DFEE" w:fill="D2DFEE"/>
      </w:tcPr>
    </w:tblStylePr>
    <w:tblStylePr w:type="band1Horz">
      <w:tcPr>
        <w:shd w:val="clear" w:color="D2DFEE" w:fill="D2DFEE"/>
      </w:tcPr>
    </w:tblStylePr>
  </w:style>
  <w:style w:type="table" w:customStyle="1" w:styleId="898">
    <w:name w:val="List Table 1 Light - Accent 22"/>
    <w:basedOn w:val="13"/>
    <w:uiPriority w:val="99"/>
    <w:rPr>
      <w:sz w:val="22"/>
      <w:szCs w:val="22"/>
      <w:lang w:eastAsia="en-US"/>
    </w:rPr>
    <w:tblPr>
      <w:tblCellMar>
        <w:top w:w="0" w:type="dxa"/>
        <w:left w:w="108" w:type="dxa"/>
        <w:bottom w:w="0" w:type="dxa"/>
        <w:right w:w="108" w:type="dxa"/>
      </w:tblCellMar>
    </w:tblPr>
    <w:tblStylePr w:type="firstRow">
      <w:rPr>
        <w:b/>
        <w:color w:val="404040"/>
      </w:rPr>
      <w:tcPr>
        <w:tcBorders>
          <w:top w:val="nil"/>
          <w:left w:val="nil"/>
          <w:bottom w:val="single" w:color="C0504D" w:sz="4" w:space="0"/>
          <w:right w:val="nil"/>
        </w:tcBorders>
      </w:tcPr>
    </w:tblStylePr>
    <w:tblStylePr w:type="lastRow">
      <w:rPr>
        <w:b/>
        <w:color w:val="404040"/>
      </w:rPr>
      <w:tcPr>
        <w:tcBorders>
          <w:top w:val="single" w:color="C0504D" w:sz="4" w:space="0"/>
          <w:left w:val="nil"/>
          <w:bottom w:val="nil"/>
          <w:right w:val="nil"/>
        </w:tcBorders>
      </w:tcPr>
    </w:tblStylePr>
    <w:tblStylePr w:type="firstCol">
      <w:rPr>
        <w:b/>
        <w:color w:val="404040"/>
      </w:rPr>
    </w:tblStylePr>
    <w:tblStylePr w:type="lastCol">
      <w:rPr>
        <w:b/>
        <w:color w:val="404040"/>
      </w:rPr>
    </w:tblStylePr>
    <w:tblStylePr w:type="band1Vert">
      <w:tcPr>
        <w:shd w:val="clear" w:color="EFD2D2" w:fill="EFD2D2"/>
      </w:tcPr>
    </w:tblStylePr>
    <w:tblStylePr w:type="band1Horz">
      <w:tcPr>
        <w:shd w:val="clear" w:color="EFD2D2" w:fill="EFD2D2"/>
      </w:tcPr>
    </w:tblStylePr>
  </w:style>
  <w:style w:type="table" w:customStyle="1" w:styleId="899">
    <w:name w:val="List Table 1 Light - Accent 32"/>
    <w:basedOn w:val="13"/>
    <w:uiPriority w:val="99"/>
    <w:rPr>
      <w:sz w:val="22"/>
      <w:szCs w:val="22"/>
      <w:lang w:eastAsia="en-US"/>
    </w:rPr>
    <w:tblPr>
      <w:tblCellMar>
        <w:top w:w="0" w:type="dxa"/>
        <w:left w:w="108" w:type="dxa"/>
        <w:bottom w:w="0" w:type="dxa"/>
        <w:right w:w="108" w:type="dxa"/>
      </w:tblCellMar>
    </w:tblPr>
    <w:tblStylePr w:type="firstRow">
      <w:rPr>
        <w:b/>
        <w:color w:val="404040"/>
      </w:rPr>
      <w:tcPr>
        <w:tcBorders>
          <w:top w:val="nil"/>
          <w:left w:val="nil"/>
          <w:bottom w:val="single" w:color="9BBB59" w:sz="4" w:space="0"/>
          <w:right w:val="nil"/>
        </w:tcBorders>
      </w:tcPr>
    </w:tblStylePr>
    <w:tblStylePr w:type="lastRow">
      <w:rPr>
        <w:b/>
        <w:color w:val="404040"/>
      </w:rPr>
      <w:tcPr>
        <w:tcBorders>
          <w:top w:val="single" w:color="9BBB59" w:sz="4" w:space="0"/>
          <w:left w:val="nil"/>
          <w:bottom w:val="nil"/>
          <w:right w:val="nil"/>
        </w:tcBorders>
      </w:tcPr>
    </w:tblStylePr>
    <w:tblStylePr w:type="firstCol">
      <w:rPr>
        <w:b/>
        <w:color w:val="404040"/>
      </w:rPr>
    </w:tblStylePr>
    <w:tblStylePr w:type="lastCol">
      <w:rPr>
        <w:b/>
        <w:color w:val="404040"/>
      </w:rPr>
    </w:tblStylePr>
    <w:tblStylePr w:type="band1Vert">
      <w:tcPr>
        <w:shd w:val="clear" w:color="E5EED5" w:fill="E5EED5"/>
      </w:tcPr>
    </w:tblStylePr>
    <w:tblStylePr w:type="band1Horz">
      <w:tcPr>
        <w:shd w:val="clear" w:color="E5EED5" w:fill="E5EED5"/>
      </w:tcPr>
    </w:tblStylePr>
  </w:style>
  <w:style w:type="table" w:customStyle="1" w:styleId="900">
    <w:name w:val="List Table 1 Light - Accent 42"/>
    <w:basedOn w:val="13"/>
    <w:uiPriority w:val="99"/>
    <w:rPr>
      <w:sz w:val="22"/>
      <w:szCs w:val="22"/>
      <w:lang w:eastAsia="en-US"/>
    </w:rPr>
    <w:tblPr>
      <w:tblCellMar>
        <w:top w:w="0" w:type="dxa"/>
        <w:left w:w="108" w:type="dxa"/>
        <w:bottom w:w="0" w:type="dxa"/>
        <w:right w:w="108" w:type="dxa"/>
      </w:tblCellMar>
    </w:tblPr>
    <w:tblStylePr w:type="firstRow">
      <w:rPr>
        <w:b/>
        <w:color w:val="404040"/>
      </w:rPr>
      <w:tcPr>
        <w:tcBorders>
          <w:top w:val="nil"/>
          <w:left w:val="nil"/>
          <w:bottom w:val="single" w:color="8064A2" w:sz="4" w:space="0"/>
          <w:right w:val="nil"/>
        </w:tcBorders>
      </w:tcPr>
    </w:tblStylePr>
    <w:tblStylePr w:type="lastRow">
      <w:rPr>
        <w:b/>
        <w:color w:val="404040"/>
      </w:rPr>
      <w:tcPr>
        <w:tcBorders>
          <w:top w:val="single" w:color="8064A2" w:sz="4" w:space="0"/>
          <w:left w:val="nil"/>
          <w:bottom w:val="nil"/>
          <w:right w:val="nil"/>
        </w:tcBorders>
      </w:tcPr>
    </w:tblStylePr>
    <w:tblStylePr w:type="firstCol">
      <w:rPr>
        <w:b/>
        <w:color w:val="404040"/>
      </w:rPr>
    </w:tblStylePr>
    <w:tblStylePr w:type="lastCol">
      <w:rPr>
        <w:b/>
        <w:color w:val="404040"/>
      </w:rPr>
    </w:tblStylePr>
    <w:tblStylePr w:type="band1Vert">
      <w:tcPr>
        <w:shd w:val="clear" w:color="DFD8E7" w:fill="DFD8E7"/>
      </w:tcPr>
    </w:tblStylePr>
    <w:tblStylePr w:type="band1Horz">
      <w:tcPr>
        <w:shd w:val="clear" w:color="DFD8E7" w:fill="DFD8E7"/>
      </w:tcPr>
    </w:tblStylePr>
  </w:style>
  <w:style w:type="table" w:customStyle="1" w:styleId="901">
    <w:name w:val="List Table 1 Light - Accent 52"/>
    <w:basedOn w:val="13"/>
    <w:uiPriority w:val="99"/>
    <w:rPr>
      <w:sz w:val="22"/>
      <w:szCs w:val="22"/>
      <w:lang w:eastAsia="en-US"/>
    </w:rPr>
    <w:tblPr>
      <w:tblCellMar>
        <w:top w:w="0" w:type="dxa"/>
        <w:left w:w="108" w:type="dxa"/>
        <w:bottom w:w="0" w:type="dxa"/>
        <w:right w:w="108" w:type="dxa"/>
      </w:tblCellMar>
    </w:tblPr>
    <w:tblStylePr w:type="firstRow">
      <w:rPr>
        <w:b/>
        <w:color w:val="404040"/>
      </w:rPr>
      <w:tcPr>
        <w:tcBorders>
          <w:top w:val="nil"/>
          <w:left w:val="nil"/>
          <w:bottom w:val="single" w:color="4BACC6" w:sz="4" w:space="0"/>
          <w:right w:val="nil"/>
        </w:tcBorders>
      </w:tcPr>
    </w:tblStylePr>
    <w:tblStylePr w:type="lastRow">
      <w:rPr>
        <w:b/>
        <w:color w:val="404040"/>
      </w:rPr>
      <w:tcPr>
        <w:tcBorders>
          <w:top w:val="single" w:color="4BACC6" w:sz="4" w:space="0"/>
          <w:left w:val="nil"/>
          <w:bottom w:val="nil"/>
          <w:right w:val="nil"/>
        </w:tcBorders>
      </w:tcPr>
    </w:tblStylePr>
    <w:tblStylePr w:type="firstCol">
      <w:rPr>
        <w:b/>
        <w:color w:val="404040"/>
      </w:rPr>
    </w:tblStylePr>
    <w:tblStylePr w:type="lastCol">
      <w:rPr>
        <w:b/>
        <w:color w:val="404040"/>
      </w:rPr>
    </w:tblStylePr>
    <w:tblStylePr w:type="band1Vert">
      <w:tcPr>
        <w:shd w:val="clear" w:color="D1EAF0" w:fill="D1EAF0"/>
      </w:tcPr>
    </w:tblStylePr>
    <w:tblStylePr w:type="band1Horz">
      <w:tcPr>
        <w:shd w:val="clear" w:color="D1EAF0" w:fill="D1EAF0"/>
      </w:tcPr>
    </w:tblStylePr>
  </w:style>
  <w:style w:type="table" w:customStyle="1" w:styleId="902">
    <w:name w:val="List Table 1 Light - Accent 62"/>
    <w:basedOn w:val="13"/>
    <w:uiPriority w:val="99"/>
    <w:rPr>
      <w:sz w:val="22"/>
      <w:szCs w:val="22"/>
      <w:lang w:eastAsia="en-US"/>
    </w:rPr>
    <w:tblPr>
      <w:tblCellMar>
        <w:top w:w="0" w:type="dxa"/>
        <w:left w:w="108" w:type="dxa"/>
        <w:bottom w:w="0" w:type="dxa"/>
        <w:right w:w="108" w:type="dxa"/>
      </w:tblCellMar>
    </w:tblPr>
    <w:tblStylePr w:type="firstRow">
      <w:rPr>
        <w:b/>
        <w:color w:val="404040"/>
      </w:rPr>
      <w:tcPr>
        <w:tcBorders>
          <w:top w:val="nil"/>
          <w:left w:val="nil"/>
          <w:bottom w:val="single" w:color="F79646" w:sz="4" w:space="0"/>
          <w:right w:val="nil"/>
        </w:tcBorders>
      </w:tcPr>
    </w:tblStylePr>
    <w:tblStylePr w:type="lastRow">
      <w:rPr>
        <w:b/>
        <w:color w:val="404040"/>
      </w:rPr>
      <w:tcPr>
        <w:tcBorders>
          <w:top w:val="single" w:color="F79646" w:sz="4" w:space="0"/>
          <w:left w:val="nil"/>
          <w:bottom w:val="nil"/>
          <w:right w:val="nil"/>
        </w:tcBorders>
      </w:tcPr>
    </w:tblStylePr>
    <w:tblStylePr w:type="firstCol">
      <w:rPr>
        <w:b/>
        <w:color w:val="404040"/>
      </w:rPr>
    </w:tblStylePr>
    <w:tblStylePr w:type="lastCol">
      <w:rPr>
        <w:b/>
        <w:color w:val="404040"/>
      </w:rPr>
    </w:tblStylePr>
    <w:tblStylePr w:type="band1Vert">
      <w:tcPr>
        <w:shd w:val="clear" w:color="FDE4D0" w:fill="FDE4D0"/>
      </w:tcPr>
    </w:tblStylePr>
    <w:tblStylePr w:type="band1Horz">
      <w:tcPr>
        <w:shd w:val="clear" w:color="FDE4D0" w:fill="FDE4D0"/>
      </w:tcPr>
    </w:tblStylePr>
  </w:style>
  <w:style w:type="table" w:customStyle="1" w:styleId="903">
    <w:name w:val="Список-таблица 211"/>
    <w:basedOn w:val="13"/>
    <w:uiPriority w:val="99"/>
    <w:rPr>
      <w:sz w:val="22"/>
      <w:szCs w:val="22"/>
      <w:lang w:eastAsia="en-US"/>
    </w:rPr>
    <w:tblPr>
      <w:tblBorders>
        <w:top w:val="single" w:color="6F6F6F" w:sz="4" w:space="0"/>
        <w:bottom w:val="single" w:color="6F6F6F" w:sz="4" w:space="0"/>
        <w:insideH w:val="single" w:color="6F6F6F" w:sz="4" w:space="0"/>
      </w:tblBorders>
      <w:tblCellMar>
        <w:top w:w="0" w:type="dxa"/>
        <w:left w:w="108" w:type="dxa"/>
        <w:bottom w:w="0" w:type="dxa"/>
        <w:right w:w="108" w:type="dxa"/>
      </w:tblCellMar>
    </w:tblPr>
    <w:tblStylePr w:type="firstRow">
      <w:rPr>
        <w:rFonts w:ascii="Arial" w:hAnsi="Arial"/>
        <w:b/>
        <w:color w:val="404040"/>
        <w:sz w:val="22"/>
      </w:rPr>
      <w:tcPr>
        <w:tcBorders>
          <w:top w:val="single" w:color="6F6F6F" w:sz="4" w:space="0"/>
          <w:left w:val="nil"/>
          <w:bottom w:val="single" w:color="6F6F6F" w:sz="4" w:space="0"/>
          <w:right w:val="nil"/>
        </w:tcBorders>
      </w:tcPr>
    </w:tblStylePr>
    <w:tblStylePr w:type="lastRow">
      <w:rPr>
        <w:rFonts w:ascii="Arial" w:hAnsi="Arial"/>
        <w:b/>
        <w:color w:val="404040"/>
        <w:sz w:val="22"/>
      </w:rPr>
      <w:tcPr>
        <w:tcBorders>
          <w:top w:val="single" w:color="6F6F6F" w:sz="4" w:space="0"/>
          <w:left w:val="nil"/>
          <w:bottom w:val="single" w:color="6F6F6F"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BFBFBF" w:fill="BFBFBF"/>
      </w:tcPr>
    </w:tblStylePr>
    <w:tblStylePr w:type="band1Horz">
      <w:rPr>
        <w:rFonts w:ascii="Arial" w:hAnsi="Arial"/>
        <w:color w:val="404040"/>
        <w:sz w:val="22"/>
      </w:rPr>
      <w:tcPr>
        <w:shd w:val="clear" w:color="BFBFBF" w:fill="BFBFBF"/>
      </w:tcPr>
    </w:tblStylePr>
  </w:style>
  <w:style w:type="table" w:customStyle="1" w:styleId="904">
    <w:name w:val="List Table 2 - Accent 12"/>
    <w:basedOn w:val="13"/>
    <w:uiPriority w:val="99"/>
    <w:rPr>
      <w:sz w:val="22"/>
      <w:szCs w:val="22"/>
      <w:lang w:eastAsia="en-US"/>
    </w:rPr>
    <w:tblPr>
      <w:tblBorders>
        <w:top w:val="single" w:color="9BB7D9" w:sz="4" w:space="0"/>
        <w:bottom w:val="single" w:color="9BB7D9" w:sz="4" w:space="0"/>
        <w:insideH w:val="single" w:color="9BB7D9" w:sz="4" w:space="0"/>
      </w:tblBorders>
      <w:tblCellMar>
        <w:top w:w="0" w:type="dxa"/>
        <w:left w:w="108" w:type="dxa"/>
        <w:bottom w:w="0" w:type="dxa"/>
        <w:right w:w="108" w:type="dxa"/>
      </w:tblCellMar>
    </w:tblPr>
    <w:tblStylePr w:type="firstRow">
      <w:rPr>
        <w:rFonts w:ascii="Arial" w:hAnsi="Arial"/>
        <w:b/>
        <w:color w:val="404040"/>
        <w:sz w:val="22"/>
      </w:rPr>
      <w:tcPr>
        <w:tcBorders>
          <w:top w:val="single" w:color="9BB7D9" w:sz="4" w:space="0"/>
          <w:left w:val="nil"/>
          <w:bottom w:val="single" w:color="9BB7D9" w:sz="4" w:space="0"/>
          <w:right w:val="nil"/>
        </w:tcBorders>
      </w:tcPr>
    </w:tblStylePr>
    <w:tblStylePr w:type="lastRow">
      <w:rPr>
        <w:rFonts w:ascii="Arial" w:hAnsi="Arial"/>
        <w:b/>
        <w:color w:val="404040"/>
        <w:sz w:val="22"/>
      </w:rPr>
      <w:tcPr>
        <w:tcBorders>
          <w:top w:val="single" w:color="9BB7D9" w:sz="4" w:space="0"/>
          <w:left w:val="nil"/>
          <w:bottom w:val="single" w:color="9BB7D9"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D2DFEE" w:fill="D2DFEE"/>
      </w:tcPr>
    </w:tblStylePr>
    <w:tblStylePr w:type="band1Horz">
      <w:rPr>
        <w:rFonts w:ascii="Arial" w:hAnsi="Arial"/>
        <w:color w:val="404040"/>
        <w:sz w:val="22"/>
      </w:rPr>
      <w:tcPr>
        <w:shd w:val="clear" w:color="D2DFEE" w:fill="D2DFEE"/>
      </w:tcPr>
    </w:tblStylePr>
  </w:style>
  <w:style w:type="table" w:customStyle="1" w:styleId="905">
    <w:name w:val="List Table 2 - Accent 22"/>
    <w:basedOn w:val="13"/>
    <w:uiPriority w:val="99"/>
    <w:rPr>
      <w:sz w:val="22"/>
      <w:szCs w:val="22"/>
      <w:lang w:eastAsia="en-US"/>
    </w:rPr>
    <w:tblPr>
      <w:tblBorders>
        <w:top w:val="single" w:color="DB9B9A" w:sz="4" w:space="0"/>
        <w:bottom w:val="single" w:color="DB9B9A" w:sz="4" w:space="0"/>
        <w:insideH w:val="single" w:color="DB9B9A" w:sz="4" w:space="0"/>
      </w:tblBorders>
      <w:tblCellMar>
        <w:top w:w="0" w:type="dxa"/>
        <w:left w:w="108" w:type="dxa"/>
        <w:bottom w:w="0" w:type="dxa"/>
        <w:right w:w="108" w:type="dxa"/>
      </w:tblCellMar>
    </w:tblPr>
    <w:tblStylePr w:type="firstRow">
      <w:rPr>
        <w:rFonts w:ascii="Arial" w:hAnsi="Arial"/>
        <w:b/>
        <w:color w:val="404040"/>
        <w:sz w:val="22"/>
      </w:rPr>
      <w:tcPr>
        <w:tcBorders>
          <w:top w:val="single" w:color="DB9B9A" w:sz="4" w:space="0"/>
          <w:left w:val="nil"/>
          <w:bottom w:val="single" w:color="DB9B9A" w:sz="4" w:space="0"/>
          <w:right w:val="nil"/>
        </w:tcBorders>
      </w:tcPr>
    </w:tblStylePr>
    <w:tblStylePr w:type="lastRow">
      <w:rPr>
        <w:rFonts w:ascii="Arial" w:hAnsi="Arial"/>
        <w:b/>
        <w:color w:val="404040"/>
        <w:sz w:val="22"/>
      </w:rPr>
      <w:tcPr>
        <w:tcBorders>
          <w:top w:val="single" w:color="DB9B9A" w:sz="4" w:space="0"/>
          <w:left w:val="nil"/>
          <w:bottom w:val="single" w:color="DB9B9A"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EFD2D2" w:fill="EFD2D2"/>
      </w:tcPr>
    </w:tblStylePr>
    <w:tblStylePr w:type="band1Horz">
      <w:rPr>
        <w:rFonts w:ascii="Arial" w:hAnsi="Arial"/>
        <w:color w:val="404040"/>
        <w:sz w:val="22"/>
      </w:rPr>
      <w:tcPr>
        <w:shd w:val="clear" w:color="EFD2D2" w:fill="EFD2D2"/>
      </w:tcPr>
    </w:tblStylePr>
  </w:style>
  <w:style w:type="table" w:customStyle="1" w:styleId="906">
    <w:name w:val="List Table 2 - Accent 32"/>
    <w:basedOn w:val="13"/>
    <w:uiPriority w:val="99"/>
    <w:rPr>
      <w:sz w:val="22"/>
      <w:szCs w:val="22"/>
      <w:lang w:eastAsia="en-US"/>
    </w:rPr>
    <w:tblPr>
      <w:tblBorders>
        <w:top w:val="single" w:color="C6D8A1" w:sz="4" w:space="0"/>
        <w:bottom w:val="single" w:color="C6D8A1" w:sz="4" w:space="0"/>
        <w:insideH w:val="single" w:color="C6D8A1" w:sz="4" w:space="0"/>
      </w:tblBorders>
      <w:tblCellMar>
        <w:top w:w="0" w:type="dxa"/>
        <w:left w:w="108" w:type="dxa"/>
        <w:bottom w:w="0" w:type="dxa"/>
        <w:right w:w="108" w:type="dxa"/>
      </w:tblCellMar>
    </w:tblPr>
    <w:tblStylePr w:type="firstRow">
      <w:rPr>
        <w:rFonts w:ascii="Arial" w:hAnsi="Arial"/>
        <w:b/>
        <w:color w:val="404040"/>
        <w:sz w:val="22"/>
      </w:rPr>
      <w:tcPr>
        <w:tcBorders>
          <w:top w:val="single" w:color="C6D8A1" w:sz="4" w:space="0"/>
          <w:left w:val="nil"/>
          <w:bottom w:val="single" w:color="C6D8A1" w:sz="4" w:space="0"/>
          <w:right w:val="nil"/>
        </w:tcBorders>
      </w:tcPr>
    </w:tblStylePr>
    <w:tblStylePr w:type="lastRow">
      <w:rPr>
        <w:rFonts w:ascii="Arial" w:hAnsi="Arial"/>
        <w:b/>
        <w:color w:val="404040"/>
        <w:sz w:val="22"/>
      </w:rPr>
      <w:tcPr>
        <w:tcBorders>
          <w:top w:val="single" w:color="C6D8A1" w:sz="4" w:space="0"/>
          <w:left w:val="nil"/>
          <w:bottom w:val="single" w:color="C6D8A1"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E5EED5" w:fill="E5EED5"/>
      </w:tcPr>
    </w:tblStylePr>
    <w:tblStylePr w:type="band1Horz">
      <w:rPr>
        <w:rFonts w:ascii="Arial" w:hAnsi="Arial"/>
        <w:color w:val="404040"/>
        <w:sz w:val="22"/>
      </w:rPr>
      <w:tcPr>
        <w:shd w:val="clear" w:color="E5EED5" w:fill="E5EED5"/>
      </w:tcPr>
    </w:tblStylePr>
  </w:style>
  <w:style w:type="table" w:customStyle="1" w:styleId="907">
    <w:name w:val="List Table 2 - Accent 42"/>
    <w:basedOn w:val="13"/>
    <w:uiPriority w:val="99"/>
    <w:rPr>
      <w:sz w:val="22"/>
      <w:szCs w:val="22"/>
      <w:lang w:eastAsia="en-US"/>
    </w:rPr>
    <w:tblPr>
      <w:tblBorders>
        <w:top w:val="single" w:color="B7A7CA" w:sz="4" w:space="0"/>
        <w:bottom w:val="single" w:color="B7A7CA" w:sz="4" w:space="0"/>
        <w:insideH w:val="single" w:color="B7A7CA" w:sz="4" w:space="0"/>
      </w:tblBorders>
      <w:tblCellMar>
        <w:top w:w="0" w:type="dxa"/>
        <w:left w:w="108" w:type="dxa"/>
        <w:bottom w:w="0" w:type="dxa"/>
        <w:right w:w="108" w:type="dxa"/>
      </w:tblCellMar>
    </w:tblPr>
    <w:tblStylePr w:type="firstRow">
      <w:rPr>
        <w:rFonts w:ascii="Arial" w:hAnsi="Arial"/>
        <w:b/>
        <w:color w:val="404040"/>
        <w:sz w:val="22"/>
      </w:rPr>
      <w:tcPr>
        <w:tcBorders>
          <w:top w:val="single" w:color="B7A7CA" w:sz="4" w:space="0"/>
          <w:left w:val="nil"/>
          <w:bottom w:val="single" w:color="B7A7CA" w:sz="4" w:space="0"/>
          <w:right w:val="nil"/>
        </w:tcBorders>
      </w:tcPr>
    </w:tblStylePr>
    <w:tblStylePr w:type="lastRow">
      <w:rPr>
        <w:rFonts w:ascii="Arial" w:hAnsi="Arial"/>
        <w:b/>
        <w:color w:val="404040"/>
        <w:sz w:val="22"/>
      </w:rPr>
      <w:tcPr>
        <w:tcBorders>
          <w:top w:val="single" w:color="B7A7CA" w:sz="4" w:space="0"/>
          <w:left w:val="nil"/>
          <w:bottom w:val="single" w:color="B7A7CA"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DFD8E7" w:fill="DFD8E7"/>
      </w:tcPr>
    </w:tblStylePr>
    <w:tblStylePr w:type="band1Horz">
      <w:rPr>
        <w:rFonts w:ascii="Arial" w:hAnsi="Arial"/>
        <w:color w:val="404040"/>
        <w:sz w:val="22"/>
      </w:rPr>
      <w:tcPr>
        <w:shd w:val="clear" w:color="DFD8E7" w:fill="DFD8E7"/>
      </w:tcPr>
    </w:tblStylePr>
  </w:style>
  <w:style w:type="table" w:customStyle="1" w:styleId="908">
    <w:name w:val="List Table 2 - Accent 52"/>
    <w:basedOn w:val="13"/>
    <w:uiPriority w:val="99"/>
    <w:rPr>
      <w:sz w:val="22"/>
      <w:szCs w:val="22"/>
      <w:lang w:eastAsia="en-US"/>
    </w:rPr>
    <w:tblPr>
      <w:tblBorders>
        <w:top w:val="single" w:color="99D0DE" w:sz="4" w:space="0"/>
        <w:bottom w:val="single" w:color="99D0DE" w:sz="4" w:space="0"/>
        <w:insideH w:val="single" w:color="99D0DE" w:sz="4" w:space="0"/>
      </w:tblBorders>
      <w:tblCellMar>
        <w:top w:w="0" w:type="dxa"/>
        <w:left w:w="108" w:type="dxa"/>
        <w:bottom w:w="0" w:type="dxa"/>
        <w:right w:w="108" w:type="dxa"/>
      </w:tblCellMar>
    </w:tblPr>
    <w:tblStylePr w:type="firstRow">
      <w:rPr>
        <w:rFonts w:ascii="Arial" w:hAnsi="Arial"/>
        <w:b/>
        <w:color w:val="404040"/>
        <w:sz w:val="22"/>
      </w:rPr>
      <w:tcPr>
        <w:tcBorders>
          <w:top w:val="single" w:color="99D0DE" w:sz="4" w:space="0"/>
          <w:left w:val="nil"/>
          <w:bottom w:val="single" w:color="99D0DE" w:sz="4" w:space="0"/>
          <w:right w:val="nil"/>
        </w:tcBorders>
      </w:tcPr>
    </w:tblStylePr>
    <w:tblStylePr w:type="lastRow">
      <w:rPr>
        <w:rFonts w:ascii="Arial" w:hAnsi="Arial"/>
        <w:b/>
        <w:color w:val="404040"/>
        <w:sz w:val="22"/>
      </w:rPr>
      <w:tcPr>
        <w:tcBorders>
          <w:top w:val="single" w:color="99D0DE" w:sz="4" w:space="0"/>
          <w:left w:val="nil"/>
          <w:bottom w:val="single" w:color="99D0DE"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D1EAF0" w:fill="D1EAF0"/>
      </w:tcPr>
    </w:tblStylePr>
    <w:tblStylePr w:type="band1Horz">
      <w:rPr>
        <w:rFonts w:ascii="Arial" w:hAnsi="Arial"/>
        <w:color w:val="404040"/>
        <w:sz w:val="22"/>
      </w:rPr>
      <w:tcPr>
        <w:shd w:val="clear" w:color="D1EAF0" w:fill="D1EAF0"/>
      </w:tcPr>
    </w:tblStylePr>
  </w:style>
  <w:style w:type="table" w:customStyle="1" w:styleId="909">
    <w:name w:val="List Table 2 - Accent 62"/>
    <w:basedOn w:val="13"/>
    <w:uiPriority w:val="99"/>
    <w:rPr>
      <w:sz w:val="22"/>
      <w:szCs w:val="22"/>
      <w:lang w:eastAsia="en-US"/>
    </w:rPr>
    <w:tblPr>
      <w:tblBorders>
        <w:top w:val="single" w:color="FAC396" w:sz="4" w:space="0"/>
        <w:bottom w:val="single" w:color="FAC396" w:sz="4" w:space="0"/>
        <w:insideH w:val="single" w:color="FAC396" w:sz="4" w:space="0"/>
      </w:tblBorders>
      <w:tblCellMar>
        <w:top w:w="0" w:type="dxa"/>
        <w:left w:w="108" w:type="dxa"/>
        <w:bottom w:w="0" w:type="dxa"/>
        <w:right w:w="108" w:type="dxa"/>
      </w:tblCellMar>
    </w:tblPr>
    <w:tblStylePr w:type="firstRow">
      <w:rPr>
        <w:rFonts w:ascii="Arial" w:hAnsi="Arial"/>
        <w:b/>
        <w:color w:val="404040"/>
        <w:sz w:val="22"/>
      </w:rPr>
      <w:tcPr>
        <w:tcBorders>
          <w:top w:val="single" w:color="FAC396" w:sz="4" w:space="0"/>
          <w:left w:val="nil"/>
          <w:bottom w:val="single" w:color="FAC396" w:sz="4" w:space="0"/>
          <w:right w:val="nil"/>
        </w:tcBorders>
      </w:tcPr>
    </w:tblStylePr>
    <w:tblStylePr w:type="lastRow">
      <w:rPr>
        <w:rFonts w:ascii="Arial" w:hAnsi="Arial"/>
        <w:b/>
        <w:color w:val="404040"/>
        <w:sz w:val="22"/>
      </w:rPr>
      <w:tcPr>
        <w:tcBorders>
          <w:top w:val="single" w:color="FAC396" w:sz="4" w:space="0"/>
          <w:left w:val="nil"/>
          <w:bottom w:val="single" w:color="FAC396"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FDE4D0" w:fill="FDE4D0"/>
      </w:tcPr>
    </w:tblStylePr>
    <w:tblStylePr w:type="band1Horz">
      <w:rPr>
        <w:rFonts w:ascii="Arial" w:hAnsi="Arial"/>
        <w:color w:val="404040"/>
        <w:sz w:val="22"/>
      </w:rPr>
      <w:tcPr>
        <w:shd w:val="clear" w:color="FDE4D0" w:fill="FDE4D0"/>
      </w:tcPr>
    </w:tblStylePr>
  </w:style>
  <w:style w:type="table" w:customStyle="1" w:styleId="910">
    <w:name w:val="Список-таблица 311"/>
    <w:basedOn w:val="13"/>
    <w:uiPriority w:val="99"/>
    <w:rPr>
      <w:sz w:val="22"/>
      <w:szCs w:val="22"/>
      <w:lang w:eastAsia="en-US"/>
    </w:rPr>
    <w:tblPr>
      <w:tblBorders>
        <w:top w:val="single" w:color="000000" w:sz="4" w:space="0"/>
        <w:left w:val="single" w:color="000000" w:sz="4" w:space="0"/>
        <w:bottom w:val="single" w:color="000000" w:sz="4" w:space="0"/>
        <w:right w:val="single" w:color="000000" w:sz="4" w:space="0"/>
      </w:tblBorders>
      <w:tblCellMar>
        <w:top w:w="0" w:type="dxa"/>
        <w:left w:w="108" w:type="dxa"/>
        <w:bottom w:w="0" w:type="dxa"/>
        <w:right w:w="108" w:type="dxa"/>
      </w:tblCellMar>
    </w:tblPr>
    <w:tblStylePr w:type="firstRow">
      <w:rPr>
        <w:rFonts w:ascii="Arial" w:hAnsi="Arial"/>
        <w:b/>
        <w:color w:val="FFFFFF"/>
        <w:sz w:val="22"/>
      </w:r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000000" w:sz="4" w:space="0"/>
          <w:right w:val="single" w:color="000000" w:sz="4" w:space="0"/>
        </w:tcBorders>
      </w:tcPr>
    </w:tblStylePr>
    <w:tblStylePr w:type="band1Horz">
      <w:rPr>
        <w:rFonts w:ascii="Arial" w:hAnsi="Arial"/>
        <w:color w:val="404040"/>
        <w:sz w:val="22"/>
      </w:rPr>
      <w:tcPr>
        <w:tcBorders>
          <w:top w:val="single" w:color="000000" w:sz="4" w:space="0"/>
          <w:bottom w:val="single" w:color="000000" w:sz="4" w:space="0"/>
        </w:tcBorders>
      </w:tcPr>
    </w:tblStylePr>
  </w:style>
  <w:style w:type="table" w:customStyle="1" w:styleId="911">
    <w:name w:val="List Table 3 - Accent 12"/>
    <w:basedOn w:val="13"/>
    <w:uiPriority w:val="99"/>
    <w:rPr>
      <w:sz w:val="22"/>
      <w:szCs w:val="22"/>
      <w:lang w:eastAsia="en-US"/>
    </w:rPr>
    <w:tblPr>
      <w:tblBorders>
        <w:top w:val="single" w:color="4F81BD" w:sz="4" w:space="0"/>
        <w:left w:val="single" w:color="4F81BD" w:sz="4" w:space="0"/>
        <w:bottom w:val="single" w:color="4F81BD" w:sz="4" w:space="0"/>
        <w:right w:val="single" w:color="4F81BD" w:sz="4" w:space="0"/>
      </w:tblBorders>
      <w:tblCellMar>
        <w:top w:w="0" w:type="dxa"/>
        <w:left w:w="108" w:type="dxa"/>
        <w:bottom w:w="0" w:type="dxa"/>
        <w:right w:w="108" w:type="dxa"/>
      </w:tblCellMar>
    </w:tblPr>
    <w:tblStylePr w:type="firstRow">
      <w:rPr>
        <w:rFonts w:ascii="Arial" w:hAnsi="Arial"/>
        <w:b/>
        <w:color w:val="FFFFFF"/>
        <w:sz w:val="22"/>
      </w:rPr>
      <w:tcPr>
        <w:shd w:val="clear" w:color="4F81BD"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4F81BD" w:sz="4" w:space="0"/>
          <w:right w:val="single" w:color="4F81BD" w:sz="4" w:space="0"/>
        </w:tcBorders>
      </w:tcPr>
    </w:tblStylePr>
    <w:tblStylePr w:type="band1Horz">
      <w:rPr>
        <w:rFonts w:ascii="Arial" w:hAnsi="Arial"/>
        <w:color w:val="404040"/>
        <w:sz w:val="22"/>
      </w:rPr>
      <w:tcPr>
        <w:tcBorders>
          <w:top w:val="single" w:color="4F81BD" w:sz="4" w:space="0"/>
          <w:bottom w:val="single" w:color="4F81BD" w:sz="4" w:space="0"/>
        </w:tcBorders>
      </w:tcPr>
    </w:tblStylePr>
  </w:style>
  <w:style w:type="table" w:customStyle="1" w:styleId="912">
    <w:name w:val="List Table 3 - Accent 22"/>
    <w:basedOn w:val="13"/>
    <w:uiPriority w:val="99"/>
    <w:rPr>
      <w:sz w:val="22"/>
      <w:szCs w:val="22"/>
      <w:lang w:eastAsia="en-US"/>
    </w:rPr>
    <w:tblPr>
      <w:tblBorders>
        <w:top w:val="single" w:color="D99695" w:sz="4" w:space="0"/>
        <w:left w:val="single" w:color="D99695" w:sz="4" w:space="0"/>
        <w:bottom w:val="single" w:color="D99695" w:sz="4" w:space="0"/>
        <w:right w:val="single" w:color="D99695" w:sz="4" w:space="0"/>
      </w:tblBorders>
      <w:tblCellMar>
        <w:top w:w="0" w:type="dxa"/>
        <w:left w:w="108" w:type="dxa"/>
        <w:bottom w:w="0" w:type="dxa"/>
        <w:right w:w="108" w:type="dxa"/>
      </w:tblCellMar>
    </w:tblPr>
    <w:tblStylePr w:type="firstRow">
      <w:rPr>
        <w:rFonts w:ascii="Arial" w:hAnsi="Arial"/>
        <w:b/>
        <w:color w:val="FFFFFF"/>
        <w:sz w:val="22"/>
      </w:rPr>
      <w:tcPr>
        <w:shd w:val="clear" w:color="D99695" w:fill="D9969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D99695" w:sz="4" w:space="0"/>
          <w:right w:val="single" w:color="D99695" w:sz="4" w:space="0"/>
        </w:tcBorders>
      </w:tcPr>
    </w:tblStylePr>
    <w:tblStylePr w:type="band1Horz">
      <w:rPr>
        <w:rFonts w:ascii="Arial" w:hAnsi="Arial"/>
        <w:color w:val="404040"/>
        <w:sz w:val="22"/>
      </w:rPr>
      <w:tcPr>
        <w:tcBorders>
          <w:top w:val="single" w:color="D99695" w:sz="4" w:space="0"/>
          <w:bottom w:val="single" w:color="D99695" w:sz="4" w:space="0"/>
        </w:tcBorders>
      </w:tcPr>
    </w:tblStylePr>
  </w:style>
  <w:style w:type="table" w:customStyle="1" w:styleId="913">
    <w:name w:val="List Table 3 - Accent 32"/>
    <w:basedOn w:val="13"/>
    <w:uiPriority w:val="99"/>
    <w:rPr>
      <w:sz w:val="22"/>
      <w:szCs w:val="22"/>
      <w:lang w:eastAsia="en-US"/>
    </w:rPr>
    <w:tblPr>
      <w:tblBorders>
        <w:top w:val="single" w:color="C3D69B" w:sz="4" w:space="0"/>
        <w:left w:val="single" w:color="C3D69B" w:sz="4" w:space="0"/>
        <w:bottom w:val="single" w:color="C3D69B" w:sz="4" w:space="0"/>
        <w:right w:val="single" w:color="C3D69B" w:sz="4" w:space="0"/>
      </w:tblBorders>
      <w:tblCellMar>
        <w:top w:w="0" w:type="dxa"/>
        <w:left w:w="108" w:type="dxa"/>
        <w:bottom w:w="0" w:type="dxa"/>
        <w:right w:w="108" w:type="dxa"/>
      </w:tblCellMar>
    </w:tblPr>
    <w:tblStylePr w:type="firstRow">
      <w:rPr>
        <w:rFonts w:ascii="Arial" w:hAnsi="Arial"/>
        <w:b/>
        <w:color w:val="FFFFFF"/>
        <w:sz w:val="22"/>
      </w:rPr>
      <w:tcPr>
        <w:shd w:val="clear" w:color="C3D69B" w:fill="C3D69B"/>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C3D69B" w:sz="4" w:space="0"/>
          <w:right w:val="single" w:color="C3D69B" w:sz="4" w:space="0"/>
        </w:tcBorders>
      </w:tcPr>
    </w:tblStylePr>
    <w:tblStylePr w:type="band1Horz">
      <w:rPr>
        <w:rFonts w:ascii="Arial" w:hAnsi="Arial"/>
        <w:color w:val="404040"/>
        <w:sz w:val="22"/>
      </w:rPr>
      <w:tcPr>
        <w:tcBorders>
          <w:top w:val="single" w:color="C3D69B" w:sz="4" w:space="0"/>
          <w:bottom w:val="single" w:color="C3D69B" w:sz="4" w:space="0"/>
        </w:tcBorders>
      </w:tcPr>
    </w:tblStylePr>
  </w:style>
  <w:style w:type="table" w:customStyle="1" w:styleId="914">
    <w:name w:val="List Table 3 - Accent 42"/>
    <w:basedOn w:val="13"/>
    <w:uiPriority w:val="99"/>
    <w:rPr>
      <w:sz w:val="22"/>
      <w:szCs w:val="22"/>
      <w:lang w:eastAsia="en-US"/>
    </w:rPr>
    <w:tblPr>
      <w:tblBorders>
        <w:top w:val="single" w:color="B2A1C6" w:sz="4" w:space="0"/>
        <w:left w:val="single" w:color="B2A1C6" w:sz="4" w:space="0"/>
        <w:bottom w:val="single" w:color="B2A1C6" w:sz="4" w:space="0"/>
        <w:right w:val="single" w:color="B2A1C6" w:sz="4" w:space="0"/>
      </w:tblBorders>
      <w:tblCellMar>
        <w:top w:w="0" w:type="dxa"/>
        <w:left w:w="108" w:type="dxa"/>
        <w:bottom w:w="0" w:type="dxa"/>
        <w:right w:w="108" w:type="dxa"/>
      </w:tblCellMar>
    </w:tblPr>
    <w:tblStylePr w:type="firstRow">
      <w:rPr>
        <w:rFonts w:ascii="Arial" w:hAnsi="Arial"/>
        <w:b/>
        <w:color w:val="FFFFFF"/>
        <w:sz w:val="22"/>
      </w:rPr>
      <w:tcPr>
        <w:shd w:val="clear" w:color="B2A1C6" w:fill="B2A1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B2A1C6" w:sz="4" w:space="0"/>
          <w:right w:val="single" w:color="B2A1C6" w:sz="4" w:space="0"/>
        </w:tcBorders>
      </w:tcPr>
    </w:tblStylePr>
    <w:tblStylePr w:type="band1Horz">
      <w:rPr>
        <w:rFonts w:ascii="Arial" w:hAnsi="Arial"/>
        <w:color w:val="404040"/>
        <w:sz w:val="22"/>
      </w:rPr>
      <w:tcPr>
        <w:tcBorders>
          <w:top w:val="single" w:color="B2A1C6" w:sz="4" w:space="0"/>
          <w:bottom w:val="single" w:color="B2A1C6" w:sz="4" w:space="0"/>
        </w:tcBorders>
      </w:tcPr>
    </w:tblStylePr>
  </w:style>
  <w:style w:type="table" w:customStyle="1" w:styleId="915">
    <w:name w:val="List Table 3 - Accent 52"/>
    <w:basedOn w:val="13"/>
    <w:uiPriority w:val="99"/>
    <w:rPr>
      <w:sz w:val="22"/>
      <w:szCs w:val="22"/>
      <w:lang w:eastAsia="en-US"/>
    </w:rPr>
    <w:tblPr>
      <w:tblBorders>
        <w:top w:val="single" w:color="92CCDC" w:sz="4" w:space="0"/>
        <w:left w:val="single" w:color="92CCDC" w:sz="4" w:space="0"/>
        <w:bottom w:val="single" w:color="92CCDC" w:sz="4" w:space="0"/>
        <w:right w:val="single" w:color="92CCDC" w:sz="4" w:space="0"/>
      </w:tblBorders>
      <w:tblCellMar>
        <w:top w:w="0" w:type="dxa"/>
        <w:left w:w="108" w:type="dxa"/>
        <w:bottom w:w="0" w:type="dxa"/>
        <w:right w:w="108" w:type="dxa"/>
      </w:tblCellMar>
    </w:tblPr>
    <w:tblStylePr w:type="firstRow">
      <w:rPr>
        <w:rFonts w:ascii="Arial" w:hAnsi="Arial"/>
        <w:b/>
        <w:color w:val="FFFFFF"/>
        <w:sz w:val="22"/>
      </w:rPr>
      <w:tcPr>
        <w:shd w:val="clear" w:color="92CCDC" w:fill="92CCDC"/>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92CCDC" w:sz="4" w:space="0"/>
          <w:right w:val="single" w:color="92CCDC" w:sz="4" w:space="0"/>
        </w:tcBorders>
      </w:tcPr>
    </w:tblStylePr>
    <w:tblStylePr w:type="band1Horz">
      <w:rPr>
        <w:rFonts w:ascii="Arial" w:hAnsi="Arial"/>
        <w:color w:val="404040"/>
        <w:sz w:val="22"/>
      </w:rPr>
      <w:tcPr>
        <w:tcBorders>
          <w:top w:val="single" w:color="92CCDC" w:sz="4" w:space="0"/>
          <w:bottom w:val="single" w:color="92CCDC" w:sz="4" w:space="0"/>
        </w:tcBorders>
      </w:tcPr>
    </w:tblStylePr>
  </w:style>
  <w:style w:type="table" w:customStyle="1" w:styleId="916">
    <w:name w:val="List Table 3 - Accent 62"/>
    <w:basedOn w:val="13"/>
    <w:uiPriority w:val="99"/>
    <w:rPr>
      <w:sz w:val="22"/>
      <w:szCs w:val="22"/>
      <w:lang w:eastAsia="en-US"/>
    </w:rPr>
    <w:tblPr>
      <w:tblBorders>
        <w:top w:val="single" w:color="FAC090" w:sz="4" w:space="0"/>
        <w:left w:val="single" w:color="FAC090" w:sz="4" w:space="0"/>
        <w:bottom w:val="single" w:color="FAC090" w:sz="4" w:space="0"/>
        <w:right w:val="single" w:color="FAC090" w:sz="4" w:space="0"/>
      </w:tblBorders>
      <w:tblCellMar>
        <w:top w:w="0" w:type="dxa"/>
        <w:left w:w="108" w:type="dxa"/>
        <w:bottom w:w="0" w:type="dxa"/>
        <w:right w:w="108" w:type="dxa"/>
      </w:tblCellMar>
    </w:tblPr>
    <w:tblStylePr w:type="firstRow">
      <w:rPr>
        <w:rFonts w:ascii="Arial" w:hAnsi="Arial"/>
        <w:b/>
        <w:color w:val="FFFFFF"/>
        <w:sz w:val="22"/>
      </w:rPr>
      <w:tcPr>
        <w:shd w:val="clear" w:color="FAC090" w:fill="FAC09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FAC090" w:sz="4" w:space="0"/>
          <w:right w:val="single" w:color="FAC090" w:sz="4" w:space="0"/>
        </w:tcBorders>
      </w:tcPr>
    </w:tblStylePr>
    <w:tblStylePr w:type="band1Horz">
      <w:rPr>
        <w:rFonts w:ascii="Arial" w:hAnsi="Arial"/>
        <w:color w:val="404040"/>
        <w:sz w:val="22"/>
      </w:rPr>
      <w:tcPr>
        <w:tcBorders>
          <w:top w:val="single" w:color="FAC090" w:sz="4" w:space="0"/>
          <w:bottom w:val="single" w:color="FAC090" w:sz="4" w:space="0"/>
        </w:tcBorders>
      </w:tcPr>
    </w:tblStylePr>
  </w:style>
  <w:style w:type="table" w:customStyle="1" w:styleId="917">
    <w:name w:val="Список-таблица 411"/>
    <w:basedOn w:val="13"/>
    <w:uiPriority w:val="99"/>
    <w:rPr>
      <w:sz w:val="22"/>
      <w:szCs w:val="22"/>
      <w:lang w:eastAsia="en-US"/>
    </w:rPr>
    <w:tblPr>
      <w:tblBorders>
        <w:top w:val="single" w:color="000000" w:sz="4" w:space="0"/>
        <w:left w:val="single" w:color="000000" w:sz="4" w:space="0"/>
        <w:bottom w:val="single" w:color="000000" w:sz="4" w:space="0"/>
        <w:right w:val="single" w:color="000000" w:sz="4" w:space="0"/>
        <w:insideH w:val="single" w:color="000000" w:sz="4" w:space="0"/>
      </w:tblBorders>
      <w:tblCellMar>
        <w:top w:w="0" w:type="dxa"/>
        <w:left w:w="108" w:type="dxa"/>
        <w:bottom w:w="0" w:type="dxa"/>
        <w:right w:w="108" w:type="dxa"/>
      </w:tblCellMar>
    </w:tblPr>
    <w:tblStylePr w:type="firstRow">
      <w:rPr>
        <w:rFonts w:ascii="Arial" w:hAnsi="Arial"/>
        <w:b/>
        <w:color w:val="FFFFFF"/>
        <w:sz w:val="22"/>
      </w:r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BFBFBF" w:fill="BFBFBF"/>
      </w:tcPr>
    </w:tblStylePr>
    <w:tblStylePr w:type="band1Horz">
      <w:rPr>
        <w:rFonts w:ascii="Arial" w:hAnsi="Arial"/>
        <w:color w:val="404040"/>
        <w:sz w:val="22"/>
      </w:rPr>
      <w:tcPr>
        <w:shd w:val="clear" w:color="BFBFBF" w:fill="BFBFBF"/>
      </w:tcPr>
    </w:tblStylePr>
  </w:style>
  <w:style w:type="table" w:customStyle="1" w:styleId="918">
    <w:name w:val="List Table 4 - Accent 12"/>
    <w:basedOn w:val="13"/>
    <w:uiPriority w:val="99"/>
    <w:rPr>
      <w:sz w:val="22"/>
      <w:szCs w:val="22"/>
      <w:lang w:eastAsia="en-US"/>
    </w:rPr>
    <w:tblPr>
      <w:tblBorders>
        <w:top w:val="single" w:color="9BB7D9" w:sz="4" w:space="0"/>
        <w:left w:val="single" w:color="9BB7D9" w:sz="4" w:space="0"/>
        <w:bottom w:val="single" w:color="9BB7D9" w:sz="4" w:space="0"/>
        <w:right w:val="single" w:color="9BB7D9" w:sz="4" w:space="0"/>
        <w:insideH w:val="single" w:color="9BB7D9" w:sz="4" w:space="0"/>
      </w:tblBorders>
      <w:tblCellMar>
        <w:top w:w="0" w:type="dxa"/>
        <w:left w:w="108" w:type="dxa"/>
        <w:bottom w:w="0" w:type="dxa"/>
        <w:right w:w="108" w:type="dxa"/>
      </w:tblCellMar>
    </w:tblPr>
    <w:tblStylePr w:type="firstRow">
      <w:rPr>
        <w:rFonts w:ascii="Arial" w:hAnsi="Arial"/>
        <w:b/>
        <w:color w:val="FFFFFF"/>
        <w:sz w:val="22"/>
      </w:rPr>
      <w:tcPr>
        <w:shd w:val="clear" w:color="4F81BD"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D2DFEE" w:fill="D2DFEE"/>
      </w:tcPr>
    </w:tblStylePr>
    <w:tblStylePr w:type="band1Horz">
      <w:rPr>
        <w:rFonts w:ascii="Arial" w:hAnsi="Arial"/>
        <w:color w:val="404040"/>
        <w:sz w:val="22"/>
      </w:rPr>
      <w:tcPr>
        <w:shd w:val="clear" w:color="D2DFEE" w:fill="D2DFEE"/>
      </w:tcPr>
    </w:tblStylePr>
  </w:style>
  <w:style w:type="table" w:customStyle="1" w:styleId="919">
    <w:name w:val="List Table 4 - Accent 22"/>
    <w:basedOn w:val="13"/>
    <w:uiPriority w:val="99"/>
    <w:rPr>
      <w:sz w:val="22"/>
      <w:szCs w:val="22"/>
      <w:lang w:eastAsia="en-US"/>
    </w:rPr>
    <w:tblPr>
      <w:tblBorders>
        <w:top w:val="single" w:color="DB9B9A" w:sz="4" w:space="0"/>
        <w:left w:val="single" w:color="DB9B9A" w:sz="4" w:space="0"/>
        <w:bottom w:val="single" w:color="DB9B9A" w:sz="4" w:space="0"/>
        <w:right w:val="single" w:color="DB9B9A" w:sz="4" w:space="0"/>
        <w:insideH w:val="single" w:color="DB9B9A" w:sz="4" w:space="0"/>
      </w:tblBorders>
      <w:tblCellMar>
        <w:top w:w="0" w:type="dxa"/>
        <w:left w:w="108" w:type="dxa"/>
        <w:bottom w:w="0" w:type="dxa"/>
        <w:right w:w="108" w:type="dxa"/>
      </w:tblCellMar>
    </w:tblPr>
    <w:tblStylePr w:type="firstRow">
      <w:rPr>
        <w:rFonts w:ascii="Arial" w:hAnsi="Arial"/>
        <w:b/>
        <w:color w:val="FFFFFF"/>
        <w:sz w:val="22"/>
      </w:rPr>
      <w:tcPr>
        <w:shd w:val="clear" w:color="C0504D" w:fill="C0504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EFD2D2" w:fill="EFD2D2"/>
      </w:tcPr>
    </w:tblStylePr>
    <w:tblStylePr w:type="band1Horz">
      <w:rPr>
        <w:rFonts w:ascii="Arial" w:hAnsi="Arial"/>
        <w:color w:val="404040"/>
        <w:sz w:val="22"/>
      </w:rPr>
      <w:tcPr>
        <w:shd w:val="clear" w:color="EFD2D2" w:fill="EFD2D2"/>
      </w:tcPr>
    </w:tblStylePr>
  </w:style>
  <w:style w:type="table" w:customStyle="1" w:styleId="920">
    <w:name w:val="List Table 4 - Accent 32"/>
    <w:basedOn w:val="13"/>
    <w:uiPriority w:val="99"/>
    <w:rPr>
      <w:sz w:val="22"/>
      <w:szCs w:val="22"/>
      <w:lang w:eastAsia="en-US"/>
    </w:rPr>
    <w:tblPr>
      <w:tblBorders>
        <w:top w:val="single" w:color="C6D8A1" w:sz="4" w:space="0"/>
        <w:left w:val="single" w:color="C6D8A1" w:sz="4" w:space="0"/>
        <w:bottom w:val="single" w:color="C6D8A1" w:sz="4" w:space="0"/>
        <w:right w:val="single" w:color="C6D8A1" w:sz="4" w:space="0"/>
        <w:insideH w:val="single" w:color="C6D8A1" w:sz="4" w:space="0"/>
      </w:tblBorders>
      <w:tblCellMar>
        <w:top w:w="0" w:type="dxa"/>
        <w:left w:w="108" w:type="dxa"/>
        <w:bottom w:w="0" w:type="dxa"/>
        <w:right w:w="108" w:type="dxa"/>
      </w:tblCellMar>
    </w:tblPr>
    <w:tblStylePr w:type="firstRow">
      <w:rPr>
        <w:rFonts w:ascii="Arial" w:hAnsi="Arial"/>
        <w:b/>
        <w:color w:val="FFFFFF"/>
        <w:sz w:val="22"/>
      </w:rPr>
      <w:tcPr>
        <w:shd w:val="clear" w:color="9BBB59" w:fill="9BBB59"/>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E5EED5" w:fill="E5EED5"/>
      </w:tcPr>
    </w:tblStylePr>
    <w:tblStylePr w:type="band1Horz">
      <w:rPr>
        <w:rFonts w:ascii="Arial" w:hAnsi="Arial"/>
        <w:color w:val="404040"/>
        <w:sz w:val="22"/>
      </w:rPr>
      <w:tcPr>
        <w:shd w:val="clear" w:color="E5EED5" w:fill="E5EED5"/>
      </w:tcPr>
    </w:tblStylePr>
  </w:style>
  <w:style w:type="table" w:customStyle="1" w:styleId="921">
    <w:name w:val="List Table 4 - Accent 42"/>
    <w:basedOn w:val="13"/>
    <w:uiPriority w:val="99"/>
    <w:rPr>
      <w:sz w:val="22"/>
      <w:szCs w:val="22"/>
      <w:lang w:eastAsia="en-US"/>
    </w:rPr>
    <w:tblPr>
      <w:tblBorders>
        <w:top w:val="single" w:color="B7A7CA" w:sz="4" w:space="0"/>
        <w:left w:val="single" w:color="B7A7CA" w:sz="4" w:space="0"/>
        <w:bottom w:val="single" w:color="B7A7CA" w:sz="4" w:space="0"/>
        <w:right w:val="single" w:color="B7A7CA" w:sz="4" w:space="0"/>
        <w:insideH w:val="single" w:color="B7A7CA" w:sz="4" w:space="0"/>
      </w:tblBorders>
      <w:tblCellMar>
        <w:top w:w="0" w:type="dxa"/>
        <w:left w:w="108" w:type="dxa"/>
        <w:bottom w:w="0" w:type="dxa"/>
        <w:right w:w="108" w:type="dxa"/>
      </w:tblCellMar>
    </w:tblPr>
    <w:tblStylePr w:type="firstRow">
      <w:rPr>
        <w:rFonts w:ascii="Arial" w:hAnsi="Arial"/>
        <w:b/>
        <w:color w:val="FFFFFF"/>
        <w:sz w:val="22"/>
      </w:rPr>
      <w:tcPr>
        <w:shd w:val="clear" w:color="8064A2" w:fill="8064A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DFD8E7" w:fill="DFD8E7"/>
      </w:tcPr>
    </w:tblStylePr>
    <w:tblStylePr w:type="band1Horz">
      <w:rPr>
        <w:rFonts w:ascii="Arial" w:hAnsi="Arial"/>
        <w:color w:val="404040"/>
        <w:sz w:val="22"/>
      </w:rPr>
      <w:tcPr>
        <w:shd w:val="clear" w:color="DFD8E7" w:fill="DFD8E7"/>
      </w:tcPr>
    </w:tblStylePr>
  </w:style>
  <w:style w:type="table" w:customStyle="1" w:styleId="922">
    <w:name w:val="List Table 4 - Accent 52"/>
    <w:basedOn w:val="13"/>
    <w:uiPriority w:val="99"/>
    <w:rPr>
      <w:sz w:val="22"/>
      <w:szCs w:val="22"/>
      <w:lang w:eastAsia="en-US"/>
    </w:rPr>
    <w:tblPr>
      <w:tblBorders>
        <w:top w:val="single" w:color="99D0DE" w:sz="4" w:space="0"/>
        <w:left w:val="single" w:color="99D0DE" w:sz="4" w:space="0"/>
        <w:bottom w:val="single" w:color="99D0DE" w:sz="4" w:space="0"/>
        <w:right w:val="single" w:color="99D0DE" w:sz="4" w:space="0"/>
        <w:insideH w:val="single" w:color="99D0DE" w:sz="4" w:space="0"/>
      </w:tblBorders>
      <w:tblCellMar>
        <w:top w:w="0" w:type="dxa"/>
        <w:left w:w="108" w:type="dxa"/>
        <w:bottom w:w="0" w:type="dxa"/>
        <w:right w:w="108" w:type="dxa"/>
      </w:tblCellMar>
    </w:tblPr>
    <w:tblStylePr w:type="firstRow">
      <w:rPr>
        <w:rFonts w:ascii="Arial" w:hAnsi="Arial"/>
        <w:b/>
        <w:color w:val="FFFFFF"/>
        <w:sz w:val="22"/>
      </w:rPr>
      <w:tcPr>
        <w:shd w:val="clear" w:color="4BACC6" w:fill="4BAC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D1EAF0" w:fill="D1EAF0"/>
      </w:tcPr>
    </w:tblStylePr>
    <w:tblStylePr w:type="band1Horz">
      <w:rPr>
        <w:rFonts w:ascii="Arial" w:hAnsi="Arial"/>
        <w:color w:val="404040"/>
        <w:sz w:val="22"/>
      </w:rPr>
      <w:tcPr>
        <w:shd w:val="clear" w:color="D1EAF0" w:fill="D1EAF0"/>
      </w:tcPr>
    </w:tblStylePr>
  </w:style>
  <w:style w:type="table" w:customStyle="1" w:styleId="923">
    <w:name w:val="List Table 4 - Accent 62"/>
    <w:basedOn w:val="13"/>
    <w:uiPriority w:val="99"/>
    <w:rPr>
      <w:sz w:val="22"/>
      <w:szCs w:val="22"/>
      <w:lang w:eastAsia="en-US"/>
    </w:rPr>
    <w:tblPr>
      <w:tblBorders>
        <w:top w:val="single" w:color="FAC396" w:sz="4" w:space="0"/>
        <w:left w:val="single" w:color="FAC396" w:sz="4" w:space="0"/>
        <w:bottom w:val="single" w:color="FAC396" w:sz="4" w:space="0"/>
        <w:right w:val="single" w:color="FAC396" w:sz="4" w:space="0"/>
        <w:insideH w:val="single" w:color="FAC396" w:sz="4" w:space="0"/>
      </w:tblBorders>
      <w:tblCellMar>
        <w:top w:w="0" w:type="dxa"/>
        <w:left w:w="108" w:type="dxa"/>
        <w:bottom w:w="0" w:type="dxa"/>
        <w:right w:w="108" w:type="dxa"/>
      </w:tblCellMar>
    </w:tblPr>
    <w:tblStylePr w:type="firstRow">
      <w:rPr>
        <w:rFonts w:ascii="Arial" w:hAnsi="Arial"/>
        <w:b/>
        <w:color w:val="FFFFFF"/>
        <w:sz w:val="22"/>
      </w:rPr>
      <w:tcPr>
        <w:shd w:val="clear" w:color="F79646" w:fill="F7964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FDE4D0" w:fill="FDE4D0"/>
      </w:tcPr>
    </w:tblStylePr>
    <w:tblStylePr w:type="band1Horz">
      <w:rPr>
        <w:rFonts w:ascii="Arial" w:hAnsi="Arial"/>
        <w:color w:val="404040"/>
        <w:sz w:val="22"/>
      </w:rPr>
      <w:tcPr>
        <w:shd w:val="clear" w:color="FDE4D0" w:fill="FDE4D0"/>
      </w:tcPr>
    </w:tblStylePr>
  </w:style>
  <w:style w:type="table" w:customStyle="1" w:styleId="924">
    <w:name w:val="Список-таблица 5 темная11"/>
    <w:basedOn w:val="13"/>
    <w:uiPriority w:val="99"/>
    <w:rPr>
      <w:sz w:val="22"/>
      <w:szCs w:val="22"/>
      <w:lang w:eastAsia="en-US"/>
    </w:rPr>
    <w:tblPr>
      <w:tblBorders>
        <w:top w:val="single" w:color="7F7F7F" w:sz="32" w:space="0"/>
        <w:left w:val="single" w:color="7F7F7F" w:sz="32" w:space="0"/>
        <w:bottom w:val="single" w:color="7F7F7F" w:sz="32" w:space="0"/>
        <w:right w:val="single" w:color="7F7F7F" w:sz="32" w:space="0"/>
      </w:tblBorders>
      <w:tblCellMar>
        <w:top w:w="0" w:type="dxa"/>
        <w:left w:w="108" w:type="dxa"/>
        <w:bottom w:w="0" w:type="dxa"/>
        <w:right w:w="108" w:type="dxa"/>
      </w:tblCellMar>
    </w:tblPr>
    <w:tblStylePr w:type="firstRow">
      <w:rPr>
        <w:rFonts w:ascii="Arial" w:hAnsi="Arial"/>
        <w:b/>
        <w:color w:val="FFFFFF"/>
        <w:sz w:val="22"/>
      </w:rPr>
      <w:tcPr>
        <w:tcBorders>
          <w:top w:val="single" w:color="7F7F7F" w:sz="32" w:space="0"/>
          <w:bottom w:val="single" w:color="FFFFFF" w:sz="12" w:space="0"/>
        </w:tcBorders>
        <w:shd w:val="clear" w:color="7F7F7F" w:fill="7F7F7F"/>
      </w:tcPr>
    </w:tblStylePr>
    <w:tblStylePr w:type="lastRow">
      <w:rPr>
        <w:rFonts w:ascii="Arial" w:hAnsi="Arial"/>
        <w:b/>
        <w:color w:val="FFFFFF"/>
        <w:sz w:val="22"/>
      </w:rPr>
    </w:tblStylePr>
    <w:tblStylePr w:type="firstCol">
      <w:rPr>
        <w:rFonts w:ascii="Arial" w:hAnsi="Arial"/>
        <w:b/>
        <w:color w:val="FFFFFF"/>
        <w:sz w:val="22"/>
      </w:rPr>
      <w:tcPr>
        <w:tcBorders>
          <w:left w:val="single" w:color="7F7F7F" w:sz="32" w:space="0"/>
          <w:right w:val="single" w:color="FFFFFF" w:sz="4" w:space="0"/>
        </w:tcBorders>
      </w:tcPr>
    </w:tblStylePr>
    <w:tblStylePr w:type="lastCol">
      <w:tcPr>
        <w:tcBorders>
          <w:left w:val="single" w:color="FFFFFF" w:sz="4" w:space="0"/>
          <w:right w:val="single" w:color="7F7F7F" w:sz="32" w:space="0"/>
        </w:tcBorders>
      </w:tcPr>
    </w:tblStylePr>
    <w:tblStylePr w:type="band1Vert">
      <w:tcPr>
        <w:tcBorders>
          <w:left w:val="single" w:color="FFFFFF" w:sz="4" w:space="0"/>
          <w:right w:val="single" w:color="FFFFFF" w:sz="4" w:space="0"/>
        </w:tcBorders>
        <w:shd w:val="clear" w:color="7F7F7F" w:fill="7F7F7F"/>
      </w:tcPr>
    </w:tblStylePr>
    <w:tblStylePr w:type="band2Vert">
      <w:tcPr>
        <w:tcBorders>
          <w:left w:val="single" w:color="FFFFFF" w:sz="4" w:space="0"/>
          <w:right w:val="single" w:color="FFFFFF" w:sz="4" w:space="0"/>
        </w:tcBorders>
      </w:tcPr>
    </w:tblStylePr>
    <w:tblStylePr w:type="band1Horz">
      <w:tcPr>
        <w:tcBorders>
          <w:top w:val="single" w:color="FFFFFF" w:sz="4" w:space="0"/>
          <w:bottom w:val="single" w:color="FFFFFF" w:sz="4" w:space="0"/>
        </w:tcBorders>
        <w:shd w:val="clear" w:color="7F7F7F" w:fill="7F7F7F"/>
      </w:tcPr>
    </w:tblStylePr>
    <w:tblStylePr w:type="band2Horz">
      <w:tcPr>
        <w:tcBorders>
          <w:top w:val="single" w:color="FFFFFF" w:sz="4" w:space="0"/>
          <w:bottom w:val="single" w:color="FFFFFF" w:sz="4" w:space="0"/>
        </w:tcBorders>
        <w:shd w:val="clear" w:color="7F7F7F" w:fill="7F7F7F"/>
      </w:tcPr>
    </w:tblStylePr>
  </w:style>
  <w:style w:type="table" w:customStyle="1" w:styleId="925">
    <w:name w:val="List Table 5 Dark - Accent 12"/>
    <w:basedOn w:val="13"/>
    <w:uiPriority w:val="99"/>
    <w:rPr>
      <w:sz w:val="22"/>
      <w:szCs w:val="22"/>
      <w:lang w:eastAsia="en-US"/>
    </w:rPr>
    <w:tblPr>
      <w:tblBorders>
        <w:top w:val="single" w:color="4F81BD" w:sz="32" w:space="0"/>
        <w:left w:val="single" w:color="4F81BD" w:sz="32" w:space="0"/>
        <w:bottom w:val="single" w:color="4F81BD" w:sz="32" w:space="0"/>
        <w:right w:val="single" w:color="4F81BD" w:sz="32" w:space="0"/>
      </w:tblBorders>
      <w:tblCellMar>
        <w:top w:w="0" w:type="dxa"/>
        <w:left w:w="108" w:type="dxa"/>
        <w:bottom w:w="0" w:type="dxa"/>
        <w:right w:w="108" w:type="dxa"/>
      </w:tblCellMar>
    </w:tblPr>
    <w:tblStylePr w:type="firstRow">
      <w:rPr>
        <w:rFonts w:ascii="Arial" w:hAnsi="Arial"/>
        <w:b/>
        <w:color w:val="FFFFFF"/>
        <w:sz w:val="22"/>
      </w:rPr>
      <w:tcPr>
        <w:tcBorders>
          <w:top w:val="single" w:color="4F81BD" w:sz="32" w:space="0"/>
          <w:bottom w:val="single" w:color="FFFFFF" w:sz="12" w:space="0"/>
        </w:tcBorders>
        <w:shd w:val="clear" w:color="4F81BD" w:fill="4F81BD"/>
      </w:tcPr>
    </w:tblStylePr>
    <w:tblStylePr w:type="lastRow">
      <w:rPr>
        <w:rFonts w:ascii="Arial" w:hAnsi="Arial"/>
        <w:b/>
        <w:color w:val="FFFFFF"/>
        <w:sz w:val="22"/>
      </w:rPr>
    </w:tblStylePr>
    <w:tblStylePr w:type="firstCol">
      <w:rPr>
        <w:rFonts w:ascii="Arial" w:hAnsi="Arial"/>
        <w:b/>
        <w:color w:val="FFFFFF"/>
        <w:sz w:val="22"/>
      </w:rPr>
      <w:tcPr>
        <w:tcBorders>
          <w:left w:val="single" w:color="4F81BD" w:sz="32" w:space="0"/>
          <w:right w:val="single" w:color="FFFFFF" w:sz="4" w:space="0"/>
        </w:tcBorders>
      </w:tcPr>
    </w:tblStylePr>
    <w:tblStylePr w:type="lastCol">
      <w:tcPr>
        <w:tcBorders>
          <w:left w:val="single" w:color="FFFFFF" w:sz="4" w:space="0"/>
          <w:right w:val="single" w:color="4F81BD" w:sz="32" w:space="0"/>
        </w:tcBorders>
      </w:tcPr>
    </w:tblStylePr>
    <w:tblStylePr w:type="band1Vert">
      <w:tcPr>
        <w:tcBorders>
          <w:left w:val="single" w:color="FFFFFF" w:sz="4" w:space="0"/>
          <w:right w:val="single" w:color="FFFFFF" w:sz="4" w:space="0"/>
        </w:tcBorders>
        <w:shd w:val="clear" w:color="4F81BD" w:fill="4F81BD"/>
      </w:tcPr>
    </w:tblStylePr>
    <w:tblStylePr w:type="band2Vert">
      <w:tcPr>
        <w:tcBorders>
          <w:left w:val="single" w:color="FFFFFF" w:sz="4" w:space="0"/>
          <w:right w:val="single" w:color="FFFFFF" w:sz="4" w:space="0"/>
        </w:tcBorders>
      </w:tcPr>
    </w:tblStylePr>
    <w:tblStylePr w:type="band1Horz">
      <w:tcPr>
        <w:tcBorders>
          <w:top w:val="single" w:color="FFFFFF" w:sz="4" w:space="0"/>
          <w:bottom w:val="single" w:color="FFFFFF" w:sz="4" w:space="0"/>
        </w:tcBorders>
        <w:shd w:val="clear" w:color="4F81BD" w:fill="4F81BD"/>
      </w:tcPr>
    </w:tblStylePr>
    <w:tblStylePr w:type="band2Horz">
      <w:tcPr>
        <w:tcBorders>
          <w:top w:val="single" w:color="FFFFFF" w:sz="4" w:space="0"/>
          <w:bottom w:val="single" w:color="FFFFFF" w:sz="4" w:space="0"/>
        </w:tcBorders>
        <w:shd w:val="clear" w:color="4F81BD" w:fill="4F81BD"/>
      </w:tcPr>
    </w:tblStylePr>
  </w:style>
  <w:style w:type="table" w:customStyle="1" w:styleId="926">
    <w:name w:val="List Table 5 Dark - Accent 22"/>
    <w:basedOn w:val="13"/>
    <w:uiPriority w:val="99"/>
    <w:rPr>
      <w:sz w:val="22"/>
      <w:szCs w:val="22"/>
      <w:lang w:eastAsia="en-US"/>
    </w:rPr>
    <w:tblPr>
      <w:tblBorders>
        <w:top w:val="single" w:color="D99695" w:sz="32" w:space="0"/>
        <w:left w:val="single" w:color="D99695" w:sz="32" w:space="0"/>
        <w:bottom w:val="single" w:color="D99695" w:sz="32" w:space="0"/>
        <w:right w:val="single" w:color="D99695" w:sz="32" w:space="0"/>
      </w:tblBorders>
      <w:tblCellMar>
        <w:top w:w="0" w:type="dxa"/>
        <w:left w:w="108" w:type="dxa"/>
        <w:bottom w:w="0" w:type="dxa"/>
        <w:right w:w="108" w:type="dxa"/>
      </w:tblCellMar>
    </w:tblPr>
    <w:tblStylePr w:type="firstRow">
      <w:rPr>
        <w:rFonts w:ascii="Arial" w:hAnsi="Arial"/>
        <w:b/>
        <w:color w:val="FFFFFF"/>
        <w:sz w:val="22"/>
      </w:rPr>
      <w:tcPr>
        <w:tcBorders>
          <w:top w:val="single" w:color="D99695" w:sz="32" w:space="0"/>
          <w:bottom w:val="single" w:color="FFFFFF" w:sz="12" w:space="0"/>
        </w:tcBorders>
        <w:shd w:val="clear" w:color="D99695" w:fill="D99695"/>
      </w:tcPr>
    </w:tblStylePr>
    <w:tblStylePr w:type="lastRow">
      <w:rPr>
        <w:rFonts w:ascii="Arial" w:hAnsi="Arial"/>
        <w:b/>
        <w:color w:val="FFFFFF"/>
        <w:sz w:val="22"/>
      </w:rPr>
    </w:tblStylePr>
    <w:tblStylePr w:type="firstCol">
      <w:rPr>
        <w:rFonts w:ascii="Arial" w:hAnsi="Arial"/>
        <w:b/>
        <w:color w:val="FFFFFF"/>
        <w:sz w:val="22"/>
      </w:rPr>
      <w:tcPr>
        <w:tcBorders>
          <w:left w:val="single" w:color="D99695" w:sz="32" w:space="0"/>
          <w:right w:val="single" w:color="FFFFFF" w:sz="4" w:space="0"/>
        </w:tcBorders>
      </w:tcPr>
    </w:tblStylePr>
    <w:tblStylePr w:type="lastCol">
      <w:tcPr>
        <w:tcBorders>
          <w:left w:val="single" w:color="FFFFFF" w:sz="4" w:space="0"/>
          <w:right w:val="single" w:color="D99695" w:sz="32" w:space="0"/>
        </w:tcBorders>
      </w:tcPr>
    </w:tblStylePr>
    <w:tblStylePr w:type="band1Vert">
      <w:tcPr>
        <w:tcBorders>
          <w:left w:val="single" w:color="FFFFFF" w:sz="4" w:space="0"/>
          <w:right w:val="single" w:color="FFFFFF" w:sz="4" w:space="0"/>
        </w:tcBorders>
        <w:shd w:val="clear" w:color="D99695" w:fill="D99695"/>
      </w:tcPr>
    </w:tblStylePr>
    <w:tblStylePr w:type="band2Vert">
      <w:tcPr>
        <w:tcBorders>
          <w:left w:val="single" w:color="FFFFFF" w:sz="4" w:space="0"/>
          <w:right w:val="single" w:color="FFFFFF" w:sz="4" w:space="0"/>
        </w:tcBorders>
      </w:tcPr>
    </w:tblStylePr>
    <w:tblStylePr w:type="band1Horz">
      <w:tcPr>
        <w:tcBorders>
          <w:top w:val="single" w:color="FFFFFF" w:sz="4" w:space="0"/>
          <w:bottom w:val="single" w:color="FFFFFF" w:sz="4" w:space="0"/>
        </w:tcBorders>
        <w:shd w:val="clear" w:color="D99695" w:fill="D99695"/>
      </w:tcPr>
    </w:tblStylePr>
    <w:tblStylePr w:type="band2Horz">
      <w:tcPr>
        <w:tcBorders>
          <w:top w:val="single" w:color="FFFFFF" w:sz="4" w:space="0"/>
          <w:bottom w:val="single" w:color="FFFFFF" w:sz="4" w:space="0"/>
        </w:tcBorders>
        <w:shd w:val="clear" w:color="D99695" w:fill="D99695"/>
      </w:tcPr>
    </w:tblStylePr>
  </w:style>
  <w:style w:type="table" w:customStyle="1" w:styleId="927">
    <w:name w:val="List Table 5 Dark - Accent 32"/>
    <w:basedOn w:val="13"/>
    <w:uiPriority w:val="99"/>
    <w:rPr>
      <w:sz w:val="22"/>
      <w:szCs w:val="22"/>
      <w:lang w:eastAsia="en-US"/>
    </w:rPr>
    <w:tblPr>
      <w:tblBorders>
        <w:top w:val="single" w:color="C3D69B" w:sz="32" w:space="0"/>
        <w:left w:val="single" w:color="C3D69B" w:sz="32" w:space="0"/>
        <w:bottom w:val="single" w:color="C3D69B" w:sz="32" w:space="0"/>
        <w:right w:val="single" w:color="C3D69B" w:sz="32" w:space="0"/>
      </w:tblBorders>
      <w:tblCellMar>
        <w:top w:w="0" w:type="dxa"/>
        <w:left w:w="108" w:type="dxa"/>
        <w:bottom w:w="0" w:type="dxa"/>
        <w:right w:w="108" w:type="dxa"/>
      </w:tblCellMar>
    </w:tblPr>
    <w:tblStylePr w:type="firstRow">
      <w:rPr>
        <w:rFonts w:ascii="Arial" w:hAnsi="Arial"/>
        <w:b/>
        <w:color w:val="FFFFFF"/>
        <w:sz w:val="22"/>
      </w:rPr>
      <w:tcPr>
        <w:tcBorders>
          <w:top w:val="single" w:color="C3D69B" w:sz="32" w:space="0"/>
          <w:bottom w:val="single" w:color="FFFFFF" w:sz="12" w:space="0"/>
        </w:tcBorders>
        <w:shd w:val="clear" w:color="C3D69B" w:fill="C3D69B"/>
      </w:tcPr>
    </w:tblStylePr>
    <w:tblStylePr w:type="lastRow">
      <w:rPr>
        <w:rFonts w:ascii="Arial" w:hAnsi="Arial"/>
        <w:b/>
        <w:color w:val="FFFFFF"/>
        <w:sz w:val="22"/>
      </w:rPr>
    </w:tblStylePr>
    <w:tblStylePr w:type="firstCol">
      <w:rPr>
        <w:rFonts w:ascii="Arial" w:hAnsi="Arial"/>
        <w:b/>
        <w:color w:val="FFFFFF"/>
        <w:sz w:val="22"/>
      </w:rPr>
      <w:tcPr>
        <w:tcBorders>
          <w:left w:val="single" w:color="C3D69B" w:sz="32" w:space="0"/>
          <w:right w:val="single" w:color="FFFFFF" w:sz="4" w:space="0"/>
        </w:tcBorders>
      </w:tcPr>
    </w:tblStylePr>
    <w:tblStylePr w:type="lastCol">
      <w:tcPr>
        <w:tcBorders>
          <w:left w:val="single" w:color="FFFFFF" w:sz="4" w:space="0"/>
          <w:right w:val="single" w:color="C3D69B" w:sz="32" w:space="0"/>
        </w:tcBorders>
      </w:tcPr>
    </w:tblStylePr>
    <w:tblStylePr w:type="band1Vert">
      <w:tcPr>
        <w:tcBorders>
          <w:left w:val="single" w:color="FFFFFF" w:sz="4" w:space="0"/>
          <w:right w:val="single" w:color="FFFFFF" w:sz="4" w:space="0"/>
        </w:tcBorders>
        <w:shd w:val="clear" w:color="C3D69B" w:fill="C3D69B"/>
      </w:tcPr>
    </w:tblStylePr>
    <w:tblStylePr w:type="band2Vert">
      <w:tcPr>
        <w:tcBorders>
          <w:left w:val="single" w:color="FFFFFF" w:sz="4" w:space="0"/>
          <w:right w:val="single" w:color="FFFFFF" w:sz="4" w:space="0"/>
        </w:tcBorders>
      </w:tcPr>
    </w:tblStylePr>
    <w:tblStylePr w:type="band1Horz">
      <w:tcPr>
        <w:tcBorders>
          <w:top w:val="single" w:color="FFFFFF" w:sz="4" w:space="0"/>
          <w:bottom w:val="single" w:color="FFFFFF" w:sz="4" w:space="0"/>
        </w:tcBorders>
        <w:shd w:val="clear" w:color="C3D69B" w:fill="C3D69B"/>
      </w:tcPr>
    </w:tblStylePr>
    <w:tblStylePr w:type="band2Horz">
      <w:tcPr>
        <w:tcBorders>
          <w:top w:val="single" w:color="FFFFFF" w:sz="4" w:space="0"/>
          <w:bottom w:val="single" w:color="FFFFFF" w:sz="4" w:space="0"/>
        </w:tcBorders>
        <w:shd w:val="clear" w:color="C3D69B" w:fill="C3D69B"/>
      </w:tcPr>
    </w:tblStylePr>
  </w:style>
  <w:style w:type="table" w:customStyle="1" w:styleId="928">
    <w:name w:val="List Table 5 Dark - Accent 42"/>
    <w:basedOn w:val="13"/>
    <w:uiPriority w:val="99"/>
    <w:rPr>
      <w:sz w:val="22"/>
      <w:szCs w:val="22"/>
      <w:lang w:eastAsia="en-US"/>
    </w:rPr>
    <w:tblPr>
      <w:tblBorders>
        <w:top w:val="single" w:color="B2A1C6" w:sz="32" w:space="0"/>
        <w:left w:val="single" w:color="B2A1C6" w:sz="32" w:space="0"/>
        <w:bottom w:val="single" w:color="B2A1C6" w:sz="32" w:space="0"/>
        <w:right w:val="single" w:color="B2A1C6" w:sz="32" w:space="0"/>
      </w:tblBorders>
      <w:tblCellMar>
        <w:top w:w="0" w:type="dxa"/>
        <w:left w:w="108" w:type="dxa"/>
        <w:bottom w:w="0" w:type="dxa"/>
        <w:right w:w="108" w:type="dxa"/>
      </w:tblCellMar>
    </w:tblPr>
    <w:tblStylePr w:type="firstRow">
      <w:rPr>
        <w:rFonts w:ascii="Arial" w:hAnsi="Arial"/>
        <w:b/>
        <w:color w:val="FFFFFF"/>
        <w:sz w:val="22"/>
      </w:rPr>
      <w:tcPr>
        <w:tcBorders>
          <w:top w:val="single" w:color="B2A1C6" w:sz="32" w:space="0"/>
          <w:bottom w:val="single" w:color="FFFFFF" w:sz="12" w:space="0"/>
        </w:tcBorders>
        <w:shd w:val="clear" w:color="B2A1C6" w:fill="B2A1C6"/>
      </w:tcPr>
    </w:tblStylePr>
    <w:tblStylePr w:type="lastRow">
      <w:rPr>
        <w:rFonts w:ascii="Arial" w:hAnsi="Arial"/>
        <w:b/>
        <w:color w:val="FFFFFF"/>
        <w:sz w:val="22"/>
      </w:rPr>
    </w:tblStylePr>
    <w:tblStylePr w:type="firstCol">
      <w:rPr>
        <w:rFonts w:ascii="Arial" w:hAnsi="Arial"/>
        <w:b/>
        <w:color w:val="FFFFFF"/>
        <w:sz w:val="22"/>
      </w:rPr>
      <w:tcPr>
        <w:tcBorders>
          <w:left w:val="single" w:color="B2A1C6" w:sz="32" w:space="0"/>
          <w:right w:val="single" w:color="FFFFFF" w:sz="4" w:space="0"/>
        </w:tcBorders>
      </w:tcPr>
    </w:tblStylePr>
    <w:tblStylePr w:type="lastCol">
      <w:tcPr>
        <w:tcBorders>
          <w:left w:val="single" w:color="FFFFFF" w:sz="4" w:space="0"/>
          <w:right w:val="single" w:color="B2A1C6" w:sz="32" w:space="0"/>
        </w:tcBorders>
      </w:tcPr>
    </w:tblStylePr>
    <w:tblStylePr w:type="band1Vert">
      <w:tcPr>
        <w:tcBorders>
          <w:left w:val="single" w:color="FFFFFF" w:sz="4" w:space="0"/>
          <w:right w:val="single" w:color="FFFFFF" w:sz="4" w:space="0"/>
        </w:tcBorders>
        <w:shd w:val="clear" w:color="B2A1C6" w:fill="B2A1C6"/>
      </w:tcPr>
    </w:tblStylePr>
    <w:tblStylePr w:type="band2Vert">
      <w:tcPr>
        <w:tcBorders>
          <w:left w:val="single" w:color="FFFFFF" w:sz="4" w:space="0"/>
          <w:right w:val="single" w:color="FFFFFF" w:sz="4" w:space="0"/>
        </w:tcBorders>
      </w:tcPr>
    </w:tblStylePr>
    <w:tblStylePr w:type="band1Horz">
      <w:tcPr>
        <w:tcBorders>
          <w:top w:val="single" w:color="FFFFFF" w:sz="4" w:space="0"/>
          <w:bottom w:val="single" w:color="FFFFFF" w:sz="4" w:space="0"/>
        </w:tcBorders>
        <w:shd w:val="clear" w:color="B2A1C6" w:fill="B2A1C6"/>
      </w:tcPr>
    </w:tblStylePr>
    <w:tblStylePr w:type="band2Horz">
      <w:tcPr>
        <w:tcBorders>
          <w:top w:val="single" w:color="FFFFFF" w:sz="4" w:space="0"/>
          <w:bottom w:val="single" w:color="FFFFFF" w:sz="4" w:space="0"/>
        </w:tcBorders>
        <w:shd w:val="clear" w:color="B2A1C6" w:fill="B2A1C6"/>
      </w:tcPr>
    </w:tblStylePr>
  </w:style>
  <w:style w:type="table" w:customStyle="1" w:styleId="929">
    <w:name w:val="List Table 5 Dark - Accent 52"/>
    <w:basedOn w:val="13"/>
    <w:uiPriority w:val="99"/>
    <w:rPr>
      <w:sz w:val="22"/>
      <w:szCs w:val="22"/>
      <w:lang w:eastAsia="en-US"/>
    </w:rPr>
    <w:tblPr>
      <w:tblBorders>
        <w:top w:val="single" w:color="92CCDC" w:sz="32" w:space="0"/>
        <w:left w:val="single" w:color="92CCDC" w:sz="32" w:space="0"/>
        <w:bottom w:val="single" w:color="92CCDC" w:sz="32" w:space="0"/>
        <w:right w:val="single" w:color="92CCDC" w:sz="32" w:space="0"/>
      </w:tblBorders>
      <w:tblCellMar>
        <w:top w:w="0" w:type="dxa"/>
        <w:left w:w="108" w:type="dxa"/>
        <w:bottom w:w="0" w:type="dxa"/>
        <w:right w:w="108" w:type="dxa"/>
      </w:tblCellMar>
    </w:tblPr>
    <w:tblStylePr w:type="firstRow">
      <w:rPr>
        <w:rFonts w:ascii="Arial" w:hAnsi="Arial"/>
        <w:b/>
        <w:color w:val="FFFFFF"/>
        <w:sz w:val="22"/>
      </w:rPr>
      <w:tcPr>
        <w:tcBorders>
          <w:top w:val="single" w:color="92CCDC" w:sz="32" w:space="0"/>
          <w:bottom w:val="single" w:color="FFFFFF" w:sz="12" w:space="0"/>
        </w:tcBorders>
        <w:shd w:val="clear" w:color="92CCDC" w:fill="92CCDC"/>
      </w:tcPr>
    </w:tblStylePr>
    <w:tblStylePr w:type="lastRow">
      <w:rPr>
        <w:rFonts w:ascii="Arial" w:hAnsi="Arial"/>
        <w:b/>
        <w:color w:val="FFFFFF"/>
        <w:sz w:val="22"/>
      </w:rPr>
    </w:tblStylePr>
    <w:tblStylePr w:type="firstCol">
      <w:rPr>
        <w:rFonts w:ascii="Arial" w:hAnsi="Arial"/>
        <w:b/>
        <w:color w:val="FFFFFF"/>
        <w:sz w:val="22"/>
      </w:rPr>
      <w:tcPr>
        <w:tcBorders>
          <w:left w:val="single" w:color="92CCDC" w:sz="32" w:space="0"/>
          <w:right w:val="single" w:color="FFFFFF" w:sz="4" w:space="0"/>
        </w:tcBorders>
      </w:tcPr>
    </w:tblStylePr>
    <w:tblStylePr w:type="lastCol">
      <w:tcPr>
        <w:tcBorders>
          <w:left w:val="single" w:color="FFFFFF" w:sz="4" w:space="0"/>
          <w:right w:val="single" w:color="92CCDC" w:sz="32" w:space="0"/>
        </w:tcBorders>
      </w:tcPr>
    </w:tblStylePr>
    <w:tblStylePr w:type="band1Vert">
      <w:tcPr>
        <w:tcBorders>
          <w:left w:val="single" w:color="FFFFFF" w:sz="4" w:space="0"/>
          <w:right w:val="single" w:color="FFFFFF" w:sz="4" w:space="0"/>
        </w:tcBorders>
        <w:shd w:val="clear" w:color="92CCDC" w:fill="92CCDC"/>
      </w:tcPr>
    </w:tblStylePr>
    <w:tblStylePr w:type="band2Vert">
      <w:tcPr>
        <w:tcBorders>
          <w:left w:val="single" w:color="FFFFFF" w:sz="4" w:space="0"/>
          <w:right w:val="single" w:color="FFFFFF" w:sz="4" w:space="0"/>
        </w:tcBorders>
      </w:tcPr>
    </w:tblStylePr>
    <w:tblStylePr w:type="band1Horz">
      <w:tcPr>
        <w:tcBorders>
          <w:top w:val="single" w:color="FFFFFF" w:sz="4" w:space="0"/>
          <w:bottom w:val="single" w:color="FFFFFF" w:sz="4" w:space="0"/>
        </w:tcBorders>
        <w:shd w:val="clear" w:color="92CCDC" w:fill="92CCDC"/>
      </w:tcPr>
    </w:tblStylePr>
    <w:tblStylePr w:type="band2Horz">
      <w:tcPr>
        <w:tcBorders>
          <w:top w:val="single" w:color="FFFFFF" w:sz="4" w:space="0"/>
          <w:bottom w:val="single" w:color="FFFFFF" w:sz="4" w:space="0"/>
        </w:tcBorders>
        <w:shd w:val="clear" w:color="92CCDC" w:fill="92CCDC"/>
      </w:tcPr>
    </w:tblStylePr>
  </w:style>
  <w:style w:type="table" w:customStyle="1" w:styleId="930">
    <w:name w:val="List Table 5 Dark - Accent 62"/>
    <w:basedOn w:val="13"/>
    <w:uiPriority w:val="99"/>
    <w:rPr>
      <w:sz w:val="22"/>
      <w:szCs w:val="22"/>
      <w:lang w:eastAsia="en-US"/>
    </w:rPr>
    <w:tblPr>
      <w:tblBorders>
        <w:top w:val="single" w:color="FAC090" w:sz="32" w:space="0"/>
        <w:left w:val="single" w:color="FAC090" w:sz="32" w:space="0"/>
        <w:bottom w:val="single" w:color="FAC090" w:sz="32" w:space="0"/>
        <w:right w:val="single" w:color="FAC090" w:sz="32" w:space="0"/>
      </w:tblBorders>
      <w:tblCellMar>
        <w:top w:w="0" w:type="dxa"/>
        <w:left w:w="108" w:type="dxa"/>
        <w:bottom w:w="0" w:type="dxa"/>
        <w:right w:w="108" w:type="dxa"/>
      </w:tblCellMar>
    </w:tblPr>
    <w:tblStylePr w:type="firstRow">
      <w:rPr>
        <w:rFonts w:ascii="Arial" w:hAnsi="Arial"/>
        <w:b/>
        <w:color w:val="FFFFFF"/>
        <w:sz w:val="22"/>
      </w:rPr>
      <w:tcPr>
        <w:tcBorders>
          <w:top w:val="single" w:color="FAC090" w:sz="32" w:space="0"/>
          <w:bottom w:val="single" w:color="FFFFFF" w:sz="12" w:space="0"/>
        </w:tcBorders>
        <w:shd w:val="clear" w:color="FAC090" w:fill="FAC090"/>
      </w:tcPr>
    </w:tblStylePr>
    <w:tblStylePr w:type="lastRow">
      <w:rPr>
        <w:rFonts w:ascii="Arial" w:hAnsi="Arial"/>
        <w:b/>
        <w:color w:val="FFFFFF"/>
        <w:sz w:val="22"/>
      </w:rPr>
    </w:tblStylePr>
    <w:tblStylePr w:type="firstCol">
      <w:rPr>
        <w:rFonts w:ascii="Arial" w:hAnsi="Arial"/>
        <w:b/>
        <w:color w:val="FFFFFF"/>
        <w:sz w:val="22"/>
      </w:rPr>
      <w:tcPr>
        <w:tcBorders>
          <w:left w:val="single" w:color="FAC090" w:sz="32" w:space="0"/>
          <w:right w:val="single" w:color="FFFFFF" w:sz="4" w:space="0"/>
        </w:tcBorders>
      </w:tcPr>
    </w:tblStylePr>
    <w:tblStylePr w:type="lastCol">
      <w:tcPr>
        <w:tcBorders>
          <w:left w:val="single" w:color="FFFFFF" w:sz="4" w:space="0"/>
          <w:right w:val="single" w:color="FAC090" w:sz="32" w:space="0"/>
        </w:tcBorders>
      </w:tcPr>
    </w:tblStylePr>
    <w:tblStylePr w:type="band1Vert">
      <w:tcPr>
        <w:tcBorders>
          <w:left w:val="single" w:color="FFFFFF" w:sz="4" w:space="0"/>
          <w:right w:val="single" w:color="FFFFFF" w:sz="4" w:space="0"/>
        </w:tcBorders>
        <w:shd w:val="clear" w:color="FAC090" w:fill="FAC090"/>
      </w:tcPr>
    </w:tblStylePr>
    <w:tblStylePr w:type="band2Vert">
      <w:tcPr>
        <w:tcBorders>
          <w:left w:val="single" w:color="FFFFFF" w:sz="4" w:space="0"/>
          <w:right w:val="single" w:color="FFFFFF" w:sz="4" w:space="0"/>
        </w:tcBorders>
      </w:tcPr>
    </w:tblStylePr>
    <w:tblStylePr w:type="band1Horz">
      <w:tcPr>
        <w:tcBorders>
          <w:top w:val="single" w:color="FFFFFF" w:sz="4" w:space="0"/>
          <w:bottom w:val="single" w:color="FFFFFF" w:sz="4" w:space="0"/>
        </w:tcBorders>
        <w:shd w:val="clear" w:color="FAC090" w:fill="FAC090"/>
      </w:tcPr>
    </w:tblStylePr>
    <w:tblStylePr w:type="band2Horz">
      <w:tcPr>
        <w:tcBorders>
          <w:top w:val="single" w:color="FFFFFF" w:sz="4" w:space="0"/>
          <w:bottom w:val="single" w:color="FFFFFF" w:sz="4" w:space="0"/>
        </w:tcBorders>
        <w:shd w:val="clear" w:color="FAC090" w:fill="FAC090"/>
      </w:tcPr>
    </w:tblStylePr>
  </w:style>
  <w:style w:type="table" w:customStyle="1" w:styleId="931">
    <w:name w:val="Список-таблица 6 цветная11"/>
    <w:basedOn w:val="13"/>
    <w:uiPriority w:val="99"/>
    <w:rPr>
      <w:sz w:val="22"/>
      <w:szCs w:val="22"/>
      <w:lang w:eastAsia="en-US"/>
    </w:rPr>
    <w:tblPr>
      <w:tblBorders>
        <w:top w:val="single" w:color="7F7F7F" w:sz="4" w:space="0"/>
        <w:bottom w:val="single" w:color="7F7F7F" w:sz="4" w:space="0"/>
      </w:tblBorders>
      <w:tblCellMar>
        <w:top w:w="0" w:type="dxa"/>
        <w:left w:w="108" w:type="dxa"/>
        <w:bottom w:w="0" w:type="dxa"/>
        <w:right w:w="108" w:type="dxa"/>
      </w:tblCellMar>
    </w:tblPr>
    <w:tblStylePr w:type="firstRow">
      <w:rPr>
        <w:b/>
        <w:color w:val="000000"/>
      </w:rPr>
      <w:tcPr>
        <w:tcBorders>
          <w:bottom w:val="single" w:color="7F7F7F" w:sz="4" w:space="0"/>
        </w:tcBorders>
      </w:tcPr>
    </w:tblStylePr>
    <w:tblStylePr w:type="lastRow">
      <w:rPr>
        <w:b/>
        <w:color w:val="000000"/>
      </w:rPr>
      <w:tcPr>
        <w:tcBorders>
          <w:top w:val="single" w:color="7F7F7F" w:sz="4" w:space="0"/>
        </w:tcBorders>
      </w:tcPr>
    </w:tblStylePr>
    <w:tblStylePr w:type="firstCol">
      <w:rPr>
        <w:b/>
        <w:color w:val="000000"/>
      </w:rPr>
    </w:tblStylePr>
    <w:tblStylePr w:type="lastCol">
      <w:rPr>
        <w:b/>
        <w:color w:val="000000"/>
      </w:rPr>
    </w:tblStylePr>
    <w:tblStylePr w:type="band1Vert">
      <w:tcPr>
        <w:shd w:val="clear" w:color="BFBFBF" w:fill="BFBFBF"/>
      </w:tcPr>
    </w:tblStylePr>
    <w:tblStylePr w:type="band1Horz">
      <w:rPr>
        <w:rFonts w:ascii="Arial" w:hAnsi="Arial"/>
        <w:color w:val="000000"/>
        <w:sz w:val="22"/>
      </w:rPr>
      <w:tcPr>
        <w:shd w:val="clear" w:color="BFBFBF" w:fill="BFBFBF"/>
      </w:tcPr>
    </w:tblStylePr>
    <w:tblStylePr w:type="band2Horz">
      <w:rPr>
        <w:rFonts w:ascii="Arial" w:hAnsi="Arial"/>
        <w:color w:val="000000"/>
        <w:sz w:val="22"/>
      </w:rPr>
    </w:tblStylePr>
  </w:style>
  <w:style w:type="table" w:customStyle="1" w:styleId="932">
    <w:name w:val="List Table 6 Colorful - Accent 12"/>
    <w:basedOn w:val="13"/>
    <w:uiPriority w:val="99"/>
    <w:rPr>
      <w:sz w:val="22"/>
      <w:szCs w:val="22"/>
      <w:lang w:eastAsia="en-US"/>
    </w:rPr>
    <w:tblPr>
      <w:tblBorders>
        <w:top w:val="single" w:color="4F81BD" w:sz="4" w:space="0"/>
        <w:bottom w:val="single" w:color="4F81BD" w:sz="4" w:space="0"/>
      </w:tblBorders>
      <w:tblCellMar>
        <w:top w:w="0" w:type="dxa"/>
        <w:left w:w="108" w:type="dxa"/>
        <w:bottom w:w="0" w:type="dxa"/>
        <w:right w:w="108" w:type="dxa"/>
      </w:tblCellMar>
    </w:tblPr>
    <w:tblStylePr w:type="firstRow">
      <w:rPr>
        <w:b/>
        <w:color w:val="2A4A71"/>
      </w:rPr>
      <w:tcPr>
        <w:tcBorders>
          <w:bottom w:val="single" w:color="4F81BD" w:sz="4" w:space="0"/>
        </w:tcBorders>
      </w:tcPr>
    </w:tblStylePr>
    <w:tblStylePr w:type="lastRow">
      <w:rPr>
        <w:b/>
        <w:color w:val="2A4A71"/>
      </w:rPr>
      <w:tcPr>
        <w:tcBorders>
          <w:top w:val="single" w:color="4F81BD" w:sz="4" w:space="0"/>
        </w:tcBorders>
      </w:tcPr>
    </w:tblStylePr>
    <w:tblStylePr w:type="firstCol">
      <w:rPr>
        <w:b/>
        <w:color w:val="2A4A71"/>
      </w:rPr>
    </w:tblStylePr>
    <w:tblStylePr w:type="lastCol">
      <w:rPr>
        <w:b/>
        <w:color w:val="2A4A71"/>
      </w:rPr>
    </w:tblStylePr>
    <w:tblStylePr w:type="band1Vert">
      <w:tcPr>
        <w:shd w:val="clear" w:color="D2DFEE" w:fill="D2DFEE"/>
      </w:tcPr>
    </w:tblStylePr>
    <w:tblStylePr w:type="band1Horz">
      <w:rPr>
        <w:rFonts w:ascii="Arial" w:hAnsi="Arial"/>
        <w:color w:val="2A4A71"/>
        <w:sz w:val="22"/>
      </w:rPr>
      <w:tcPr>
        <w:shd w:val="clear" w:color="D2DFEE" w:fill="D2DFEE"/>
      </w:tcPr>
    </w:tblStylePr>
    <w:tblStylePr w:type="band2Horz">
      <w:rPr>
        <w:rFonts w:ascii="Arial" w:hAnsi="Arial"/>
        <w:color w:val="2A4A71"/>
        <w:sz w:val="22"/>
      </w:rPr>
    </w:tblStylePr>
  </w:style>
  <w:style w:type="table" w:customStyle="1" w:styleId="933">
    <w:name w:val="List Table 6 Colorful - Accent 22"/>
    <w:basedOn w:val="13"/>
    <w:uiPriority w:val="99"/>
    <w:rPr>
      <w:sz w:val="22"/>
      <w:szCs w:val="22"/>
      <w:lang w:eastAsia="en-US"/>
    </w:rPr>
    <w:tblPr>
      <w:tblBorders>
        <w:top w:val="single" w:color="D99695" w:sz="4" w:space="0"/>
        <w:bottom w:val="single" w:color="D99695" w:sz="4" w:space="0"/>
      </w:tblBorders>
      <w:tblCellMar>
        <w:top w:w="0" w:type="dxa"/>
        <w:left w:w="108" w:type="dxa"/>
        <w:bottom w:w="0" w:type="dxa"/>
        <w:right w:w="108" w:type="dxa"/>
      </w:tblCellMar>
    </w:tblPr>
    <w:tblStylePr w:type="firstRow">
      <w:rPr>
        <w:b/>
        <w:color w:val="D99695"/>
      </w:rPr>
      <w:tcPr>
        <w:tcBorders>
          <w:bottom w:val="single" w:color="D99695" w:sz="4" w:space="0"/>
        </w:tcBorders>
      </w:tcPr>
    </w:tblStylePr>
    <w:tblStylePr w:type="lastRow">
      <w:rPr>
        <w:b/>
        <w:color w:val="D99695"/>
      </w:rPr>
      <w:tcPr>
        <w:tcBorders>
          <w:top w:val="single" w:color="D99695" w:sz="4" w:space="0"/>
        </w:tcBorders>
      </w:tcPr>
    </w:tblStylePr>
    <w:tblStylePr w:type="firstCol">
      <w:rPr>
        <w:b/>
        <w:color w:val="D99695"/>
      </w:rPr>
    </w:tblStylePr>
    <w:tblStylePr w:type="lastCol">
      <w:rPr>
        <w:b/>
        <w:color w:val="D99695"/>
      </w:rPr>
    </w:tblStylePr>
    <w:tblStylePr w:type="band1Vert">
      <w:tcPr>
        <w:shd w:val="clear" w:color="EFD2D2" w:fill="EFD2D2"/>
      </w:tcPr>
    </w:tblStylePr>
    <w:tblStylePr w:type="band1Horz">
      <w:rPr>
        <w:rFonts w:ascii="Arial" w:hAnsi="Arial"/>
        <w:color w:val="D99695"/>
        <w:sz w:val="22"/>
      </w:rPr>
      <w:tcPr>
        <w:shd w:val="clear" w:color="EFD2D2" w:fill="EFD2D2"/>
      </w:tcPr>
    </w:tblStylePr>
    <w:tblStylePr w:type="band2Horz">
      <w:rPr>
        <w:rFonts w:ascii="Arial" w:hAnsi="Arial"/>
        <w:color w:val="D99695"/>
        <w:sz w:val="22"/>
      </w:rPr>
    </w:tblStylePr>
  </w:style>
  <w:style w:type="table" w:customStyle="1" w:styleId="934">
    <w:name w:val="List Table 6 Colorful - Accent 32"/>
    <w:basedOn w:val="13"/>
    <w:uiPriority w:val="99"/>
    <w:rPr>
      <w:sz w:val="22"/>
      <w:szCs w:val="22"/>
      <w:lang w:eastAsia="en-US"/>
    </w:rPr>
    <w:tblPr>
      <w:tblBorders>
        <w:top w:val="single" w:color="C3D69B" w:sz="4" w:space="0"/>
        <w:bottom w:val="single" w:color="C3D69B" w:sz="4" w:space="0"/>
      </w:tblBorders>
      <w:tblCellMar>
        <w:top w:w="0" w:type="dxa"/>
        <w:left w:w="108" w:type="dxa"/>
        <w:bottom w:w="0" w:type="dxa"/>
        <w:right w:w="108" w:type="dxa"/>
      </w:tblCellMar>
    </w:tblPr>
    <w:tblStylePr w:type="firstRow">
      <w:rPr>
        <w:b/>
        <w:color w:val="C3D69B"/>
      </w:rPr>
      <w:tcPr>
        <w:tcBorders>
          <w:bottom w:val="single" w:color="C3D69B" w:sz="4" w:space="0"/>
        </w:tcBorders>
      </w:tcPr>
    </w:tblStylePr>
    <w:tblStylePr w:type="lastRow">
      <w:rPr>
        <w:b/>
        <w:color w:val="C3D69B"/>
      </w:rPr>
      <w:tcPr>
        <w:tcBorders>
          <w:top w:val="single" w:color="C3D69B" w:sz="4" w:space="0"/>
        </w:tcBorders>
      </w:tcPr>
    </w:tblStylePr>
    <w:tblStylePr w:type="firstCol">
      <w:rPr>
        <w:b/>
        <w:color w:val="C3D69B"/>
      </w:rPr>
    </w:tblStylePr>
    <w:tblStylePr w:type="lastCol">
      <w:rPr>
        <w:b/>
        <w:color w:val="C3D69B"/>
      </w:rPr>
    </w:tblStylePr>
    <w:tblStylePr w:type="band1Vert">
      <w:tcPr>
        <w:shd w:val="clear" w:color="E5EED5" w:fill="E5EED5"/>
      </w:tcPr>
    </w:tblStylePr>
    <w:tblStylePr w:type="band1Horz">
      <w:rPr>
        <w:rFonts w:ascii="Arial" w:hAnsi="Arial"/>
        <w:color w:val="C3D69B"/>
        <w:sz w:val="22"/>
      </w:rPr>
      <w:tcPr>
        <w:shd w:val="clear" w:color="E5EED5" w:fill="E5EED5"/>
      </w:tcPr>
    </w:tblStylePr>
    <w:tblStylePr w:type="band2Horz">
      <w:rPr>
        <w:rFonts w:ascii="Arial" w:hAnsi="Arial"/>
        <w:color w:val="C3D69B"/>
        <w:sz w:val="22"/>
      </w:rPr>
    </w:tblStylePr>
  </w:style>
  <w:style w:type="table" w:customStyle="1" w:styleId="935">
    <w:name w:val="List Table 6 Colorful - Accent 42"/>
    <w:basedOn w:val="13"/>
    <w:uiPriority w:val="99"/>
    <w:rPr>
      <w:sz w:val="22"/>
      <w:szCs w:val="22"/>
      <w:lang w:eastAsia="en-US"/>
    </w:rPr>
    <w:tblPr>
      <w:tblBorders>
        <w:top w:val="single" w:color="B2A1C6" w:sz="4" w:space="0"/>
        <w:bottom w:val="single" w:color="B2A1C6" w:sz="4" w:space="0"/>
      </w:tblBorders>
      <w:tblCellMar>
        <w:top w:w="0" w:type="dxa"/>
        <w:left w:w="108" w:type="dxa"/>
        <w:bottom w:w="0" w:type="dxa"/>
        <w:right w:w="108" w:type="dxa"/>
      </w:tblCellMar>
    </w:tblPr>
    <w:tblStylePr w:type="firstRow">
      <w:rPr>
        <w:b/>
        <w:color w:val="B2A1C6"/>
      </w:rPr>
      <w:tcPr>
        <w:tcBorders>
          <w:bottom w:val="single" w:color="B2A1C6" w:sz="4" w:space="0"/>
        </w:tcBorders>
      </w:tcPr>
    </w:tblStylePr>
    <w:tblStylePr w:type="lastRow">
      <w:rPr>
        <w:b/>
        <w:color w:val="B2A1C6"/>
      </w:rPr>
      <w:tcPr>
        <w:tcBorders>
          <w:top w:val="single" w:color="B2A1C6" w:sz="4" w:space="0"/>
        </w:tcBorders>
      </w:tcPr>
    </w:tblStylePr>
    <w:tblStylePr w:type="firstCol">
      <w:rPr>
        <w:b/>
        <w:color w:val="B2A1C6"/>
      </w:rPr>
    </w:tblStylePr>
    <w:tblStylePr w:type="lastCol">
      <w:rPr>
        <w:b/>
        <w:color w:val="B2A1C6"/>
      </w:rPr>
    </w:tblStylePr>
    <w:tblStylePr w:type="band1Vert">
      <w:tcPr>
        <w:shd w:val="clear" w:color="DFD8E7" w:fill="DFD8E7"/>
      </w:tcPr>
    </w:tblStylePr>
    <w:tblStylePr w:type="band1Horz">
      <w:rPr>
        <w:rFonts w:ascii="Arial" w:hAnsi="Arial"/>
        <w:color w:val="B2A1C6"/>
        <w:sz w:val="22"/>
      </w:rPr>
      <w:tcPr>
        <w:shd w:val="clear" w:color="DFD8E7" w:fill="DFD8E7"/>
      </w:tcPr>
    </w:tblStylePr>
    <w:tblStylePr w:type="band2Horz">
      <w:rPr>
        <w:rFonts w:ascii="Arial" w:hAnsi="Arial"/>
        <w:color w:val="B2A1C6"/>
        <w:sz w:val="22"/>
      </w:rPr>
    </w:tblStylePr>
  </w:style>
  <w:style w:type="table" w:customStyle="1" w:styleId="936">
    <w:name w:val="List Table 6 Colorful - Accent 52"/>
    <w:basedOn w:val="13"/>
    <w:uiPriority w:val="99"/>
    <w:rPr>
      <w:sz w:val="22"/>
      <w:szCs w:val="22"/>
      <w:lang w:eastAsia="en-US"/>
    </w:rPr>
    <w:tblPr>
      <w:tblBorders>
        <w:top w:val="single" w:color="92CCDC" w:sz="4" w:space="0"/>
        <w:bottom w:val="single" w:color="92CCDC" w:sz="4" w:space="0"/>
      </w:tblBorders>
      <w:tblCellMar>
        <w:top w:w="0" w:type="dxa"/>
        <w:left w:w="108" w:type="dxa"/>
        <w:bottom w:w="0" w:type="dxa"/>
        <w:right w:w="108" w:type="dxa"/>
      </w:tblCellMar>
    </w:tblPr>
    <w:tblStylePr w:type="firstRow">
      <w:rPr>
        <w:b/>
        <w:color w:val="92CCDC"/>
      </w:rPr>
      <w:tcPr>
        <w:tcBorders>
          <w:bottom w:val="single" w:color="92CCDC" w:sz="4" w:space="0"/>
        </w:tcBorders>
      </w:tcPr>
    </w:tblStylePr>
    <w:tblStylePr w:type="lastRow">
      <w:rPr>
        <w:b/>
        <w:color w:val="92CCDC"/>
      </w:rPr>
      <w:tcPr>
        <w:tcBorders>
          <w:top w:val="single" w:color="92CCDC" w:sz="4" w:space="0"/>
        </w:tcBorders>
      </w:tcPr>
    </w:tblStylePr>
    <w:tblStylePr w:type="firstCol">
      <w:rPr>
        <w:b/>
        <w:color w:val="92CCDC"/>
      </w:rPr>
    </w:tblStylePr>
    <w:tblStylePr w:type="lastCol">
      <w:rPr>
        <w:b/>
        <w:color w:val="92CCDC"/>
      </w:rPr>
    </w:tblStylePr>
    <w:tblStylePr w:type="band1Vert">
      <w:tcPr>
        <w:shd w:val="clear" w:color="D1EAF0" w:fill="D1EAF0"/>
      </w:tcPr>
    </w:tblStylePr>
    <w:tblStylePr w:type="band1Horz">
      <w:rPr>
        <w:rFonts w:ascii="Arial" w:hAnsi="Arial"/>
        <w:color w:val="92CCDC"/>
        <w:sz w:val="22"/>
      </w:rPr>
      <w:tcPr>
        <w:shd w:val="clear" w:color="D1EAF0" w:fill="D1EAF0"/>
      </w:tcPr>
    </w:tblStylePr>
    <w:tblStylePr w:type="band2Horz">
      <w:rPr>
        <w:rFonts w:ascii="Arial" w:hAnsi="Arial"/>
        <w:color w:val="92CCDC"/>
        <w:sz w:val="22"/>
      </w:rPr>
    </w:tblStylePr>
  </w:style>
  <w:style w:type="table" w:customStyle="1" w:styleId="937">
    <w:name w:val="List Table 6 Colorful - Accent 62"/>
    <w:basedOn w:val="13"/>
    <w:uiPriority w:val="99"/>
    <w:rPr>
      <w:sz w:val="22"/>
      <w:szCs w:val="22"/>
      <w:lang w:eastAsia="en-US"/>
    </w:rPr>
    <w:tblPr>
      <w:tblBorders>
        <w:top w:val="single" w:color="FAC090" w:sz="4" w:space="0"/>
        <w:bottom w:val="single" w:color="FAC090" w:sz="4" w:space="0"/>
      </w:tblBorders>
      <w:tblCellMar>
        <w:top w:w="0" w:type="dxa"/>
        <w:left w:w="108" w:type="dxa"/>
        <w:bottom w:w="0" w:type="dxa"/>
        <w:right w:w="108" w:type="dxa"/>
      </w:tblCellMar>
    </w:tblPr>
    <w:tblStylePr w:type="firstRow">
      <w:rPr>
        <w:b/>
        <w:color w:val="FAC090"/>
      </w:rPr>
      <w:tcPr>
        <w:tcBorders>
          <w:bottom w:val="single" w:color="FAC090" w:sz="4" w:space="0"/>
        </w:tcBorders>
      </w:tcPr>
    </w:tblStylePr>
    <w:tblStylePr w:type="lastRow">
      <w:rPr>
        <w:b/>
        <w:color w:val="FAC090"/>
      </w:rPr>
      <w:tcPr>
        <w:tcBorders>
          <w:top w:val="single" w:color="FAC090" w:sz="4" w:space="0"/>
        </w:tcBorders>
      </w:tcPr>
    </w:tblStylePr>
    <w:tblStylePr w:type="firstCol">
      <w:rPr>
        <w:b/>
        <w:color w:val="FAC090"/>
      </w:rPr>
    </w:tblStylePr>
    <w:tblStylePr w:type="lastCol">
      <w:rPr>
        <w:b/>
        <w:color w:val="FAC090"/>
      </w:rPr>
    </w:tblStylePr>
    <w:tblStylePr w:type="band1Vert">
      <w:tcPr>
        <w:shd w:val="clear" w:color="FDE4D0" w:fill="FDE4D0"/>
      </w:tcPr>
    </w:tblStylePr>
    <w:tblStylePr w:type="band1Horz">
      <w:rPr>
        <w:rFonts w:ascii="Arial" w:hAnsi="Arial"/>
        <w:color w:val="FAC090"/>
        <w:sz w:val="22"/>
      </w:rPr>
      <w:tcPr>
        <w:shd w:val="clear" w:color="FDE4D0" w:fill="FDE4D0"/>
      </w:tcPr>
    </w:tblStylePr>
    <w:tblStylePr w:type="band2Horz">
      <w:rPr>
        <w:rFonts w:ascii="Arial" w:hAnsi="Arial"/>
        <w:color w:val="FAC090"/>
        <w:sz w:val="22"/>
      </w:rPr>
    </w:tblStylePr>
  </w:style>
  <w:style w:type="table" w:customStyle="1" w:styleId="938">
    <w:name w:val="Список-таблица 7 цветная11"/>
    <w:basedOn w:val="13"/>
    <w:uiPriority w:val="99"/>
    <w:rPr>
      <w:sz w:val="22"/>
      <w:szCs w:val="22"/>
      <w:lang w:eastAsia="en-US"/>
    </w:rPr>
    <w:tblPr>
      <w:tblBorders>
        <w:right w:val="single" w:color="7F7F7F" w:sz="4" w:space="0"/>
      </w:tblBorders>
      <w:tblCellMar>
        <w:top w:w="0" w:type="dxa"/>
        <w:left w:w="108" w:type="dxa"/>
        <w:bottom w:w="0" w:type="dxa"/>
        <w:right w:w="108" w:type="dxa"/>
      </w:tblCellMar>
    </w:tblPr>
    <w:tblStylePr w:type="firstRow">
      <w:rPr>
        <w:rFonts w:ascii="Arial" w:hAnsi="Arial"/>
        <w:i/>
        <w:color w:val="7F7F7F"/>
        <w:sz w:val="22"/>
      </w:rPr>
      <w:tcPr>
        <w:tcBorders>
          <w:top w:val="nil"/>
          <w:left w:val="nil"/>
          <w:bottom w:val="single" w:color="7F7F7F" w:sz="4" w:space="0"/>
          <w:right w:val="nil"/>
        </w:tcBorders>
        <w:shd w:val="clear" w:color="FFFFFF" w:fill="FFFFFF"/>
      </w:tcPr>
    </w:tblStylePr>
    <w:tblStylePr w:type="lastRow">
      <w:rPr>
        <w:rFonts w:ascii="Arial" w:hAnsi="Arial"/>
        <w:i/>
        <w:color w:val="7F7F7F"/>
        <w:sz w:val="22"/>
      </w:rPr>
      <w:tcPr>
        <w:tcBorders>
          <w:top w:val="single" w:color="7F7F7F" w:sz="4" w:space="0"/>
          <w:left w:val="nil"/>
          <w:bottom w:val="nil"/>
          <w:right w:val="nil"/>
        </w:tcBorders>
        <w:shd w:val="clear" w:color="FFFFFF" w:fill="FFFFFF"/>
      </w:tcPr>
    </w:tblStylePr>
    <w:tblStylePr w:type="firstCol">
      <w:pPr>
        <w:jc w:val="right"/>
      </w:pPr>
      <w:rPr>
        <w:rFonts w:ascii="Arial" w:hAnsi="Arial"/>
        <w:i/>
        <w:color w:val="7F7F7F"/>
        <w:sz w:val="22"/>
      </w:rPr>
      <w:tcPr>
        <w:tcBorders>
          <w:top w:val="nil"/>
          <w:left w:val="nil"/>
          <w:bottom w:val="nil"/>
          <w:right w:val="single" w:color="7F7F7F" w:sz="4" w:space="0"/>
        </w:tcBorders>
        <w:shd w:val="clear" w:color="FFFFFF" w:fill="auto"/>
      </w:tcPr>
    </w:tblStylePr>
    <w:tblStylePr w:type="lastCol">
      <w:rPr>
        <w:rFonts w:ascii="Arial" w:hAnsi="Arial"/>
        <w:i/>
        <w:color w:val="7F7F7F"/>
        <w:sz w:val="22"/>
      </w:rPr>
      <w:tcPr>
        <w:tcBorders>
          <w:top w:val="nil"/>
          <w:left w:val="single" w:color="7F7F7F" w:sz="4" w:space="0"/>
          <w:bottom w:val="nil"/>
          <w:right w:val="nil"/>
        </w:tcBorders>
        <w:shd w:val="clear" w:color="FFFFFF" w:fill="auto"/>
      </w:tcPr>
    </w:tblStylePr>
    <w:tblStylePr w:type="band1Vert">
      <w:tcPr>
        <w:shd w:val="clear" w:color="BFBFBF" w:fill="BFBFBF"/>
      </w:tcPr>
    </w:tblStylePr>
    <w:tblStylePr w:type="band1Horz">
      <w:rPr>
        <w:rFonts w:ascii="Arial" w:hAnsi="Arial"/>
        <w:color w:val="7F7F7F"/>
        <w:sz w:val="22"/>
      </w:rPr>
      <w:tcPr>
        <w:shd w:val="clear" w:color="BFBFBF" w:fill="BFBFBF"/>
      </w:tcPr>
    </w:tblStylePr>
    <w:tblStylePr w:type="band2Horz">
      <w:rPr>
        <w:rFonts w:ascii="Arial" w:hAnsi="Arial"/>
        <w:color w:val="7F7F7F"/>
        <w:sz w:val="22"/>
      </w:rPr>
    </w:tblStylePr>
  </w:style>
  <w:style w:type="table" w:customStyle="1" w:styleId="939">
    <w:name w:val="List Table 7 Colorful - Accent 12"/>
    <w:basedOn w:val="13"/>
    <w:uiPriority w:val="99"/>
    <w:rPr>
      <w:sz w:val="22"/>
      <w:szCs w:val="22"/>
      <w:lang w:eastAsia="en-US"/>
    </w:rPr>
    <w:tblPr>
      <w:tblBorders>
        <w:right w:val="single" w:color="4F81BD" w:sz="4" w:space="0"/>
      </w:tblBorders>
      <w:tblCellMar>
        <w:top w:w="0" w:type="dxa"/>
        <w:left w:w="108" w:type="dxa"/>
        <w:bottom w:w="0" w:type="dxa"/>
        <w:right w:w="108" w:type="dxa"/>
      </w:tblCellMar>
    </w:tblPr>
    <w:tblStylePr w:type="firstRow">
      <w:rPr>
        <w:rFonts w:ascii="Arial" w:hAnsi="Arial"/>
        <w:i/>
        <w:color w:val="2A4A71"/>
        <w:sz w:val="22"/>
      </w:rPr>
      <w:tcPr>
        <w:tcBorders>
          <w:top w:val="nil"/>
          <w:left w:val="nil"/>
          <w:bottom w:val="single" w:color="4F81BD" w:sz="4" w:space="0"/>
          <w:right w:val="nil"/>
        </w:tcBorders>
        <w:shd w:val="clear" w:color="FFFFFF" w:fill="FFFFFF"/>
      </w:tcPr>
    </w:tblStylePr>
    <w:tblStylePr w:type="lastRow">
      <w:rPr>
        <w:rFonts w:ascii="Arial" w:hAnsi="Arial"/>
        <w:i/>
        <w:color w:val="2A4A71"/>
        <w:sz w:val="22"/>
      </w:rPr>
      <w:tcPr>
        <w:tcBorders>
          <w:top w:val="single" w:color="4F81BD" w:sz="4" w:space="0"/>
          <w:left w:val="nil"/>
          <w:bottom w:val="nil"/>
          <w:right w:val="nil"/>
        </w:tcBorders>
        <w:shd w:val="clear" w:color="FFFFFF" w:fill="FFFFFF"/>
      </w:tcPr>
    </w:tblStylePr>
    <w:tblStylePr w:type="firstCol">
      <w:pPr>
        <w:jc w:val="right"/>
      </w:pPr>
      <w:rPr>
        <w:rFonts w:ascii="Arial" w:hAnsi="Arial"/>
        <w:i/>
        <w:color w:val="2A4A71"/>
        <w:sz w:val="22"/>
      </w:rPr>
      <w:tcPr>
        <w:tcBorders>
          <w:top w:val="nil"/>
          <w:left w:val="nil"/>
          <w:bottom w:val="nil"/>
          <w:right w:val="single" w:color="4F81BD" w:sz="4" w:space="0"/>
        </w:tcBorders>
        <w:shd w:val="clear" w:color="FFFFFF" w:fill="auto"/>
      </w:tcPr>
    </w:tblStylePr>
    <w:tblStylePr w:type="lastCol">
      <w:rPr>
        <w:rFonts w:ascii="Arial" w:hAnsi="Arial"/>
        <w:i/>
        <w:color w:val="2A4A71"/>
        <w:sz w:val="22"/>
      </w:rPr>
      <w:tcPr>
        <w:tcBorders>
          <w:top w:val="nil"/>
          <w:left w:val="single" w:color="4F81BD" w:sz="4" w:space="0"/>
          <w:bottom w:val="nil"/>
          <w:right w:val="nil"/>
        </w:tcBorders>
        <w:shd w:val="clear" w:color="FFFFFF" w:fill="auto"/>
      </w:tcPr>
    </w:tblStylePr>
    <w:tblStylePr w:type="band1Vert">
      <w:tcPr>
        <w:shd w:val="clear" w:color="D2DFEE" w:fill="D2DFEE"/>
      </w:tcPr>
    </w:tblStylePr>
    <w:tblStylePr w:type="band1Horz">
      <w:rPr>
        <w:rFonts w:ascii="Arial" w:hAnsi="Arial"/>
        <w:color w:val="2A4A71"/>
        <w:sz w:val="22"/>
      </w:rPr>
      <w:tcPr>
        <w:shd w:val="clear" w:color="D2DFEE" w:fill="D2DFEE"/>
      </w:tcPr>
    </w:tblStylePr>
    <w:tblStylePr w:type="band2Horz">
      <w:rPr>
        <w:rFonts w:ascii="Arial" w:hAnsi="Arial"/>
        <w:color w:val="2A4A71"/>
        <w:sz w:val="22"/>
      </w:rPr>
    </w:tblStylePr>
  </w:style>
  <w:style w:type="table" w:customStyle="1" w:styleId="940">
    <w:name w:val="List Table 7 Colorful - Accent 22"/>
    <w:basedOn w:val="13"/>
    <w:uiPriority w:val="99"/>
    <w:rPr>
      <w:sz w:val="22"/>
      <w:szCs w:val="22"/>
      <w:lang w:eastAsia="en-US"/>
    </w:rPr>
    <w:tblPr>
      <w:tblBorders>
        <w:right w:val="single" w:color="D99695" w:sz="4" w:space="0"/>
      </w:tblBorders>
      <w:tblCellMar>
        <w:top w:w="0" w:type="dxa"/>
        <w:left w:w="108" w:type="dxa"/>
        <w:bottom w:w="0" w:type="dxa"/>
        <w:right w:w="108" w:type="dxa"/>
      </w:tblCellMar>
    </w:tblPr>
    <w:tblStylePr w:type="firstRow">
      <w:rPr>
        <w:rFonts w:ascii="Arial" w:hAnsi="Arial"/>
        <w:i/>
        <w:color w:val="D99695"/>
        <w:sz w:val="22"/>
      </w:rPr>
      <w:tcPr>
        <w:tcBorders>
          <w:top w:val="nil"/>
          <w:left w:val="nil"/>
          <w:bottom w:val="single" w:color="D99695" w:sz="4" w:space="0"/>
          <w:right w:val="nil"/>
        </w:tcBorders>
        <w:shd w:val="clear" w:color="FFFFFF" w:fill="FFFFFF"/>
      </w:tcPr>
    </w:tblStylePr>
    <w:tblStylePr w:type="lastRow">
      <w:rPr>
        <w:rFonts w:ascii="Arial" w:hAnsi="Arial"/>
        <w:i/>
        <w:color w:val="D99695"/>
        <w:sz w:val="22"/>
      </w:rPr>
      <w:tcPr>
        <w:tcBorders>
          <w:top w:val="single" w:color="D99695" w:sz="4" w:space="0"/>
          <w:left w:val="nil"/>
          <w:bottom w:val="nil"/>
          <w:right w:val="nil"/>
        </w:tcBorders>
        <w:shd w:val="clear" w:color="FFFFFF" w:fill="FFFFFF"/>
      </w:tcPr>
    </w:tblStylePr>
    <w:tblStylePr w:type="firstCol">
      <w:pPr>
        <w:jc w:val="right"/>
      </w:pPr>
      <w:rPr>
        <w:rFonts w:ascii="Arial" w:hAnsi="Arial"/>
        <w:i/>
        <w:color w:val="D99695"/>
        <w:sz w:val="22"/>
      </w:rPr>
      <w:tcPr>
        <w:tcBorders>
          <w:top w:val="nil"/>
          <w:left w:val="nil"/>
          <w:bottom w:val="nil"/>
          <w:right w:val="single" w:color="D99695" w:sz="4" w:space="0"/>
        </w:tcBorders>
        <w:shd w:val="clear" w:color="FFFFFF" w:fill="auto"/>
      </w:tcPr>
    </w:tblStylePr>
    <w:tblStylePr w:type="lastCol">
      <w:rPr>
        <w:rFonts w:ascii="Arial" w:hAnsi="Arial"/>
        <w:i/>
        <w:color w:val="D99695"/>
        <w:sz w:val="22"/>
      </w:rPr>
      <w:tcPr>
        <w:tcBorders>
          <w:top w:val="nil"/>
          <w:left w:val="single" w:color="D99695" w:sz="4" w:space="0"/>
          <w:bottom w:val="nil"/>
          <w:right w:val="nil"/>
        </w:tcBorders>
        <w:shd w:val="clear" w:color="FFFFFF" w:fill="auto"/>
      </w:tcPr>
    </w:tblStylePr>
    <w:tblStylePr w:type="band1Vert">
      <w:tcPr>
        <w:shd w:val="clear" w:color="EFD2D2" w:fill="EFD2D2"/>
      </w:tcPr>
    </w:tblStylePr>
    <w:tblStylePr w:type="band1Horz">
      <w:rPr>
        <w:rFonts w:ascii="Arial" w:hAnsi="Arial"/>
        <w:color w:val="D99695"/>
        <w:sz w:val="22"/>
      </w:rPr>
      <w:tcPr>
        <w:shd w:val="clear" w:color="EFD2D2" w:fill="EFD2D2"/>
      </w:tcPr>
    </w:tblStylePr>
    <w:tblStylePr w:type="band2Horz">
      <w:rPr>
        <w:rFonts w:ascii="Arial" w:hAnsi="Arial"/>
        <w:color w:val="D99695"/>
        <w:sz w:val="22"/>
      </w:rPr>
    </w:tblStylePr>
  </w:style>
  <w:style w:type="table" w:customStyle="1" w:styleId="941">
    <w:name w:val="List Table 7 Colorful - Accent 32"/>
    <w:basedOn w:val="13"/>
    <w:uiPriority w:val="99"/>
    <w:rPr>
      <w:sz w:val="22"/>
      <w:szCs w:val="22"/>
      <w:lang w:eastAsia="en-US"/>
    </w:rPr>
    <w:tblPr>
      <w:tblBorders>
        <w:right w:val="single" w:color="C3D69B" w:sz="4" w:space="0"/>
      </w:tblBorders>
      <w:tblCellMar>
        <w:top w:w="0" w:type="dxa"/>
        <w:left w:w="108" w:type="dxa"/>
        <w:bottom w:w="0" w:type="dxa"/>
        <w:right w:w="108" w:type="dxa"/>
      </w:tblCellMar>
    </w:tblPr>
    <w:tblStylePr w:type="firstRow">
      <w:rPr>
        <w:rFonts w:ascii="Arial" w:hAnsi="Arial"/>
        <w:i/>
        <w:color w:val="C3D69B"/>
        <w:sz w:val="22"/>
      </w:rPr>
      <w:tcPr>
        <w:tcBorders>
          <w:top w:val="nil"/>
          <w:left w:val="nil"/>
          <w:bottom w:val="single" w:color="C3D69B" w:sz="4" w:space="0"/>
          <w:right w:val="nil"/>
        </w:tcBorders>
        <w:shd w:val="clear" w:color="FFFFFF" w:fill="FFFFFF"/>
      </w:tcPr>
    </w:tblStylePr>
    <w:tblStylePr w:type="lastRow">
      <w:rPr>
        <w:rFonts w:ascii="Arial" w:hAnsi="Arial"/>
        <w:i/>
        <w:color w:val="C3D69B"/>
        <w:sz w:val="22"/>
      </w:rPr>
      <w:tcPr>
        <w:tcBorders>
          <w:top w:val="single" w:color="C3D69B" w:sz="4" w:space="0"/>
          <w:left w:val="nil"/>
          <w:bottom w:val="nil"/>
          <w:right w:val="nil"/>
        </w:tcBorders>
        <w:shd w:val="clear" w:color="FFFFFF" w:fill="FFFFFF"/>
      </w:tcPr>
    </w:tblStylePr>
    <w:tblStylePr w:type="firstCol">
      <w:pPr>
        <w:jc w:val="right"/>
      </w:pPr>
      <w:rPr>
        <w:rFonts w:ascii="Arial" w:hAnsi="Arial"/>
        <w:i/>
        <w:color w:val="C3D69B"/>
        <w:sz w:val="22"/>
      </w:rPr>
      <w:tcPr>
        <w:tcBorders>
          <w:top w:val="nil"/>
          <w:left w:val="nil"/>
          <w:bottom w:val="nil"/>
          <w:right w:val="single" w:color="C3D69B" w:sz="4" w:space="0"/>
        </w:tcBorders>
        <w:shd w:val="clear" w:color="FFFFFF" w:fill="auto"/>
      </w:tcPr>
    </w:tblStylePr>
    <w:tblStylePr w:type="lastCol">
      <w:rPr>
        <w:rFonts w:ascii="Arial" w:hAnsi="Arial"/>
        <w:i/>
        <w:color w:val="C3D69B"/>
        <w:sz w:val="22"/>
      </w:rPr>
      <w:tcPr>
        <w:tcBorders>
          <w:top w:val="nil"/>
          <w:left w:val="single" w:color="C3D69B" w:sz="4" w:space="0"/>
          <w:bottom w:val="nil"/>
          <w:right w:val="nil"/>
        </w:tcBorders>
        <w:shd w:val="clear" w:color="FFFFFF" w:fill="auto"/>
      </w:tcPr>
    </w:tblStylePr>
    <w:tblStylePr w:type="band1Vert">
      <w:tcPr>
        <w:shd w:val="clear" w:color="E5EED5" w:fill="E5EED5"/>
      </w:tcPr>
    </w:tblStylePr>
    <w:tblStylePr w:type="band1Horz">
      <w:rPr>
        <w:rFonts w:ascii="Arial" w:hAnsi="Arial"/>
        <w:color w:val="C3D69B"/>
        <w:sz w:val="22"/>
      </w:rPr>
      <w:tcPr>
        <w:shd w:val="clear" w:color="E5EED5" w:fill="E5EED5"/>
      </w:tcPr>
    </w:tblStylePr>
    <w:tblStylePr w:type="band2Horz">
      <w:rPr>
        <w:rFonts w:ascii="Arial" w:hAnsi="Arial"/>
        <w:color w:val="C3D69B"/>
        <w:sz w:val="22"/>
      </w:rPr>
    </w:tblStylePr>
  </w:style>
  <w:style w:type="table" w:customStyle="1" w:styleId="942">
    <w:name w:val="List Table 7 Colorful - Accent 42"/>
    <w:basedOn w:val="13"/>
    <w:uiPriority w:val="99"/>
    <w:rPr>
      <w:sz w:val="22"/>
      <w:szCs w:val="22"/>
      <w:lang w:eastAsia="en-US"/>
    </w:rPr>
    <w:tblPr>
      <w:tblBorders>
        <w:right w:val="single" w:color="B2A1C6" w:sz="4" w:space="0"/>
      </w:tblBorders>
      <w:tblCellMar>
        <w:top w:w="0" w:type="dxa"/>
        <w:left w:w="108" w:type="dxa"/>
        <w:bottom w:w="0" w:type="dxa"/>
        <w:right w:w="108" w:type="dxa"/>
      </w:tblCellMar>
    </w:tblPr>
    <w:tblStylePr w:type="firstRow">
      <w:rPr>
        <w:rFonts w:ascii="Arial" w:hAnsi="Arial"/>
        <w:i/>
        <w:color w:val="B2A1C6"/>
        <w:sz w:val="22"/>
      </w:rPr>
      <w:tcPr>
        <w:tcBorders>
          <w:top w:val="nil"/>
          <w:left w:val="nil"/>
          <w:bottom w:val="single" w:color="B2A1C6" w:sz="4" w:space="0"/>
          <w:right w:val="nil"/>
        </w:tcBorders>
        <w:shd w:val="clear" w:color="FFFFFF" w:fill="FFFFFF"/>
      </w:tcPr>
    </w:tblStylePr>
    <w:tblStylePr w:type="lastRow">
      <w:rPr>
        <w:rFonts w:ascii="Arial" w:hAnsi="Arial"/>
        <w:i/>
        <w:color w:val="B2A1C6"/>
        <w:sz w:val="22"/>
      </w:rPr>
      <w:tcPr>
        <w:tcBorders>
          <w:top w:val="single" w:color="B2A1C6" w:sz="4" w:space="0"/>
          <w:left w:val="nil"/>
          <w:bottom w:val="nil"/>
          <w:right w:val="nil"/>
        </w:tcBorders>
        <w:shd w:val="clear" w:color="FFFFFF" w:fill="FFFFFF"/>
      </w:tcPr>
    </w:tblStylePr>
    <w:tblStylePr w:type="firstCol">
      <w:pPr>
        <w:jc w:val="right"/>
      </w:pPr>
      <w:rPr>
        <w:rFonts w:ascii="Arial" w:hAnsi="Arial"/>
        <w:i/>
        <w:color w:val="B2A1C6"/>
        <w:sz w:val="22"/>
      </w:rPr>
      <w:tcPr>
        <w:tcBorders>
          <w:top w:val="nil"/>
          <w:left w:val="nil"/>
          <w:bottom w:val="nil"/>
          <w:right w:val="single" w:color="B2A1C6" w:sz="4" w:space="0"/>
        </w:tcBorders>
        <w:shd w:val="clear" w:color="FFFFFF" w:fill="auto"/>
      </w:tcPr>
    </w:tblStylePr>
    <w:tblStylePr w:type="lastCol">
      <w:rPr>
        <w:rFonts w:ascii="Arial" w:hAnsi="Arial"/>
        <w:i/>
        <w:color w:val="B2A1C6"/>
        <w:sz w:val="22"/>
      </w:rPr>
      <w:tcPr>
        <w:tcBorders>
          <w:top w:val="nil"/>
          <w:left w:val="single" w:color="B2A1C6" w:sz="4" w:space="0"/>
          <w:bottom w:val="nil"/>
          <w:right w:val="nil"/>
        </w:tcBorders>
        <w:shd w:val="clear" w:color="FFFFFF" w:fill="auto"/>
      </w:tcPr>
    </w:tblStylePr>
    <w:tblStylePr w:type="band1Vert">
      <w:tcPr>
        <w:shd w:val="clear" w:color="DFD8E7" w:fill="DFD8E7"/>
      </w:tcPr>
    </w:tblStylePr>
    <w:tblStylePr w:type="band1Horz">
      <w:rPr>
        <w:rFonts w:ascii="Arial" w:hAnsi="Arial"/>
        <w:color w:val="B2A1C6"/>
        <w:sz w:val="22"/>
      </w:rPr>
      <w:tcPr>
        <w:shd w:val="clear" w:color="DFD8E7" w:fill="DFD8E7"/>
      </w:tcPr>
    </w:tblStylePr>
    <w:tblStylePr w:type="band2Horz">
      <w:rPr>
        <w:rFonts w:ascii="Arial" w:hAnsi="Arial"/>
        <w:color w:val="B2A1C6"/>
        <w:sz w:val="22"/>
      </w:rPr>
    </w:tblStylePr>
  </w:style>
  <w:style w:type="table" w:customStyle="1" w:styleId="943">
    <w:name w:val="List Table 7 Colorful - Accent 52"/>
    <w:basedOn w:val="13"/>
    <w:uiPriority w:val="99"/>
    <w:rPr>
      <w:sz w:val="22"/>
      <w:szCs w:val="22"/>
      <w:lang w:eastAsia="en-US"/>
    </w:rPr>
    <w:tblPr>
      <w:tblBorders>
        <w:right w:val="single" w:color="92CCDC" w:sz="4" w:space="0"/>
      </w:tblBorders>
      <w:tblCellMar>
        <w:top w:w="0" w:type="dxa"/>
        <w:left w:w="108" w:type="dxa"/>
        <w:bottom w:w="0" w:type="dxa"/>
        <w:right w:w="108" w:type="dxa"/>
      </w:tblCellMar>
    </w:tblPr>
    <w:tblStylePr w:type="firstRow">
      <w:rPr>
        <w:rFonts w:ascii="Arial" w:hAnsi="Arial"/>
        <w:i/>
        <w:color w:val="92CCDC"/>
        <w:sz w:val="22"/>
      </w:rPr>
      <w:tcPr>
        <w:tcBorders>
          <w:top w:val="nil"/>
          <w:left w:val="nil"/>
          <w:bottom w:val="single" w:color="92CCDC" w:sz="4" w:space="0"/>
          <w:right w:val="nil"/>
        </w:tcBorders>
        <w:shd w:val="clear" w:color="FFFFFF" w:fill="FFFFFF"/>
      </w:tcPr>
    </w:tblStylePr>
    <w:tblStylePr w:type="lastRow">
      <w:rPr>
        <w:rFonts w:ascii="Arial" w:hAnsi="Arial"/>
        <w:i/>
        <w:color w:val="92CCDC"/>
        <w:sz w:val="22"/>
      </w:rPr>
      <w:tcPr>
        <w:tcBorders>
          <w:top w:val="single" w:color="92CCDC" w:sz="4" w:space="0"/>
          <w:left w:val="nil"/>
          <w:bottom w:val="nil"/>
          <w:right w:val="nil"/>
        </w:tcBorders>
        <w:shd w:val="clear" w:color="FFFFFF" w:fill="FFFFFF"/>
      </w:tcPr>
    </w:tblStylePr>
    <w:tblStylePr w:type="firstCol">
      <w:pPr>
        <w:jc w:val="right"/>
      </w:pPr>
      <w:rPr>
        <w:rFonts w:ascii="Arial" w:hAnsi="Arial"/>
        <w:i/>
        <w:color w:val="92CCDC"/>
        <w:sz w:val="22"/>
      </w:rPr>
      <w:tcPr>
        <w:tcBorders>
          <w:top w:val="nil"/>
          <w:left w:val="nil"/>
          <w:bottom w:val="nil"/>
          <w:right w:val="single" w:color="92CCDC" w:sz="4" w:space="0"/>
        </w:tcBorders>
        <w:shd w:val="clear" w:color="FFFFFF" w:fill="auto"/>
      </w:tcPr>
    </w:tblStylePr>
    <w:tblStylePr w:type="lastCol">
      <w:rPr>
        <w:rFonts w:ascii="Arial" w:hAnsi="Arial"/>
        <w:i/>
        <w:color w:val="92CCDC"/>
        <w:sz w:val="22"/>
      </w:rPr>
      <w:tcPr>
        <w:tcBorders>
          <w:top w:val="nil"/>
          <w:left w:val="single" w:color="92CCDC" w:sz="4" w:space="0"/>
          <w:bottom w:val="nil"/>
          <w:right w:val="nil"/>
        </w:tcBorders>
        <w:shd w:val="clear" w:color="FFFFFF" w:fill="auto"/>
      </w:tcPr>
    </w:tblStylePr>
    <w:tblStylePr w:type="band1Vert">
      <w:tcPr>
        <w:shd w:val="clear" w:color="D1EAF0" w:fill="D1EAF0"/>
      </w:tcPr>
    </w:tblStylePr>
    <w:tblStylePr w:type="band1Horz">
      <w:rPr>
        <w:rFonts w:ascii="Arial" w:hAnsi="Arial"/>
        <w:color w:val="92CCDC"/>
        <w:sz w:val="22"/>
      </w:rPr>
      <w:tcPr>
        <w:shd w:val="clear" w:color="D1EAF0" w:fill="D1EAF0"/>
      </w:tcPr>
    </w:tblStylePr>
    <w:tblStylePr w:type="band2Horz">
      <w:rPr>
        <w:rFonts w:ascii="Arial" w:hAnsi="Arial"/>
        <w:color w:val="92CCDC"/>
        <w:sz w:val="22"/>
      </w:rPr>
    </w:tblStylePr>
  </w:style>
  <w:style w:type="table" w:customStyle="1" w:styleId="944">
    <w:name w:val="List Table 7 Colorful - Accent 62"/>
    <w:basedOn w:val="13"/>
    <w:uiPriority w:val="99"/>
    <w:rPr>
      <w:sz w:val="22"/>
      <w:szCs w:val="22"/>
      <w:lang w:eastAsia="en-US"/>
    </w:rPr>
    <w:tblPr>
      <w:tblBorders>
        <w:right w:val="single" w:color="FAC090" w:sz="4" w:space="0"/>
      </w:tblBorders>
      <w:tblCellMar>
        <w:top w:w="0" w:type="dxa"/>
        <w:left w:w="108" w:type="dxa"/>
        <w:bottom w:w="0" w:type="dxa"/>
        <w:right w:w="108" w:type="dxa"/>
      </w:tblCellMar>
    </w:tblPr>
    <w:tblStylePr w:type="firstRow">
      <w:rPr>
        <w:rFonts w:ascii="Arial" w:hAnsi="Arial"/>
        <w:i/>
        <w:color w:val="FAC090"/>
        <w:sz w:val="22"/>
      </w:rPr>
      <w:tcPr>
        <w:tcBorders>
          <w:top w:val="nil"/>
          <w:left w:val="nil"/>
          <w:bottom w:val="single" w:color="FAC090" w:sz="4" w:space="0"/>
          <w:right w:val="nil"/>
        </w:tcBorders>
        <w:shd w:val="clear" w:color="FFFFFF" w:fill="FFFFFF"/>
      </w:tcPr>
    </w:tblStylePr>
    <w:tblStylePr w:type="lastRow">
      <w:rPr>
        <w:rFonts w:ascii="Arial" w:hAnsi="Arial"/>
        <w:i/>
        <w:color w:val="FAC090"/>
        <w:sz w:val="22"/>
      </w:rPr>
      <w:tcPr>
        <w:tcBorders>
          <w:top w:val="single" w:color="FAC090" w:sz="4" w:space="0"/>
          <w:left w:val="nil"/>
          <w:bottom w:val="nil"/>
          <w:right w:val="nil"/>
        </w:tcBorders>
        <w:shd w:val="clear" w:color="FFFFFF" w:fill="FFFFFF"/>
      </w:tcPr>
    </w:tblStylePr>
    <w:tblStylePr w:type="firstCol">
      <w:pPr>
        <w:jc w:val="right"/>
      </w:pPr>
      <w:rPr>
        <w:rFonts w:ascii="Arial" w:hAnsi="Arial"/>
        <w:i/>
        <w:color w:val="FAC090"/>
        <w:sz w:val="22"/>
      </w:rPr>
      <w:tcPr>
        <w:tcBorders>
          <w:top w:val="nil"/>
          <w:left w:val="nil"/>
          <w:bottom w:val="nil"/>
          <w:right w:val="single" w:color="FAC090" w:sz="4" w:space="0"/>
        </w:tcBorders>
        <w:shd w:val="clear" w:color="FFFFFF" w:fill="auto"/>
      </w:tcPr>
    </w:tblStylePr>
    <w:tblStylePr w:type="lastCol">
      <w:rPr>
        <w:rFonts w:ascii="Arial" w:hAnsi="Arial"/>
        <w:i/>
        <w:color w:val="FAC090"/>
        <w:sz w:val="22"/>
      </w:rPr>
      <w:tcPr>
        <w:tcBorders>
          <w:top w:val="nil"/>
          <w:left w:val="single" w:color="FAC090" w:sz="4" w:space="0"/>
          <w:bottom w:val="nil"/>
          <w:right w:val="nil"/>
        </w:tcBorders>
        <w:shd w:val="clear" w:color="FFFFFF" w:fill="auto"/>
      </w:tcPr>
    </w:tblStylePr>
    <w:tblStylePr w:type="band1Vert">
      <w:tcPr>
        <w:shd w:val="clear" w:color="FDE4D0" w:fill="FDE4D0"/>
      </w:tcPr>
    </w:tblStylePr>
    <w:tblStylePr w:type="band1Horz">
      <w:rPr>
        <w:rFonts w:ascii="Arial" w:hAnsi="Arial"/>
        <w:color w:val="FAC090"/>
        <w:sz w:val="22"/>
      </w:rPr>
      <w:tcPr>
        <w:shd w:val="clear" w:color="FDE4D0" w:fill="FDE4D0"/>
      </w:tcPr>
    </w:tblStylePr>
    <w:tblStylePr w:type="band2Horz">
      <w:rPr>
        <w:rFonts w:ascii="Arial" w:hAnsi="Arial"/>
        <w:color w:val="FAC090"/>
        <w:sz w:val="22"/>
      </w:rPr>
    </w:tblStylePr>
  </w:style>
  <w:style w:type="table" w:customStyle="1" w:styleId="945">
    <w:name w:val="Lined - Accent2"/>
    <w:basedOn w:val="13"/>
    <w:uiPriority w:val="99"/>
    <w:rPr>
      <w:color w:val="404040"/>
    </w:rPr>
    <w:tblPr>
      <w:tblCellMar>
        <w:top w:w="0" w:type="dxa"/>
        <w:left w:w="108" w:type="dxa"/>
        <w:bottom w:w="0" w:type="dxa"/>
        <w:right w:w="108" w:type="dxa"/>
      </w:tblCellMar>
    </w:tblPr>
    <w:tblStylePr w:type="firstRow">
      <w:rPr>
        <w:rFonts w:ascii="Arial" w:hAnsi="Arial"/>
        <w:color w:val="F2F2F2"/>
        <w:sz w:val="22"/>
      </w:rPr>
      <w:tcPr>
        <w:shd w:val="clear" w:color="7F7F7F" w:fill="7F7F7F"/>
      </w:tcPr>
    </w:tblStylePr>
    <w:tblStylePr w:type="lastRow">
      <w:rPr>
        <w:rFonts w:ascii="Arial" w:hAnsi="Arial"/>
        <w:color w:val="F2F2F2"/>
        <w:sz w:val="22"/>
      </w:rPr>
      <w:tcPr>
        <w:shd w:val="clear" w:color="7F7F7F" w:fill="7F7F7F"/>
      </w:tcPr>
    </w:tblStylePr>
    <w:tblStylePr w:type="firstCol">
      <w:rPr>
        <w:rFonts w:ascii="Arial" w:hAnsi="Arial"/>
        <w:color w:val="F2F2F2"/>
        <w:sz w:val="22"/>
      </w:rPr>
      <w:tcPr>
        <w:shd w:val="clear" w:color="7F7F7F" w:fill="7F7F7F"/>
      </w:tcPr>
    </w:tblStylePr>
    <w:tblStylePr w:type="lastCol">
      <w:rPr>
        <w:rFonts w:ascii="Arial" w:hAnsi="Arial"/>
        <w:color w:val="F2F2F2"/>
        <w:sz w:val="22"/>
      </w:rPr>
      <w:tcPr>
        <w:shd w:val="clear" w:color="7F7F7F" w:fill="7F7F7F"/>
      </w:tcPr>
    </w:tblStylePr>
    <w:tblStylePr w:type="band1Vert">
      <w:rPr>
        <w:rFonts w:ascii="Arial" w:hAnsi="Arial"/>
        <w:color w:val="404040"/>
        <w:sz w:val="22"/>
      </w:rPr>
    </w:tblStylePr>
    <w:tblStylePr w:type="band2Vert">
      <w:rPr>
        <w:rFonts w:ascii="Arial" w:hAnsi="Arial"/>
        <w:color w:val="404040"/>
        <w:sz w:val="22"/>
      </w:rPr>
      <w:tcPr>
        <w:shd w:val="clear" w:color="F2F2F2" w:fill="F2F2F2"/>
      </w:tcPr>
    </w:tblStylePr>
    <w:tblStylePr w:type="band1Horz">
      <w:rPr>
        <w:rFonts w:ascii="Arial" w:hAnsi="Arial"/>
        <w:color w:val="404040"/>
        <w:sz w:val="22"/>
      </w:rPr>
    </w:tblStylePr>
    <w:tblStylePr w:type="band2Horz">
      <w:rPr>
        <w:rFonts w:ascii="Arial" w:hAnsi="Arial"/>
        <w:color w:val="404040"/>
        <w:sz w:val="22"/>
      </w:rPr>
      <w:tcPr>
        <w:shd w:val="clear" w:color="F2F2F2" w:fill="F2F2F2"/>
      </w:tcPr>
    </w:tblStylePr>
  </w:style>
  <w:style w:type="table" w:customStyle="1" w:styleId="946">
    <w:name w:val="Lined - Accent 12"/>
    <w:basedOn w:val="13"/>
    <w:uiPriority w:val="99"/>
    <w:rPr>
      <w:color w:val="404040"/>
    </w:rPr>
    <w:tblPr>
      <w:tblCellMar>
        <w:top w:w="0" w:type="dxa"/>
        <w:left w:w="108" w:type="dxa"/>
        <w:bottom w:w="0" w:type="dxa"/>
        <w:right w:w="108" w:type="dxa"/>
      </w:tblCellMar>
    </w:tblPr>
    <w:tblStylePr w:type="firstRow">
      <w:rPr>
        <w:rFonts w:ascii="Arial" w:hAnsi="Arial"/>
        <w:color w:val="F2F2F2"/>
        <w:sz w:val="22"/>
      </w:rPr>
      <w:tcPr>
        <w:shd w:val="clear" w:color="5D8AC2" w:fill="5D8AC2"/>
      </w:tcPr>
    </w:tblStylePr>
    <w:tblStylePr w:type="lastRow">
      <w:rPr>
        <w:rFonts w:ascii="Arial" w:hAnsi="Arial"/>
        <w:color w:val="F2F2F2"/>
        <w:sz w:val="22"/>
      </w:rPr>
      <w:tcPr>
        <w:shd w:val="clear" w:color="5D8AC2" w:fill="5D8AC2"/>
      </w:tcPr>
    </w:tblStylePr>
    <w:tblStylePr w:type="firstCol">
      <w:rPr>
        <w:rFonts w:ascii="Arial" w:hAnsi="Arial"/>
        <w:color w:val="F2F2F2"/>
        <w:sz w:val="22"/>
      </w:rPr>
      <w:tcPr>
        <w:shd w:val="clear" w:color="5D8AC2" w:fill="5D8AC2"/>
      </w:tcPr>
    </w:tblStylePr>
    <w:tblStylePr w:type="lastCol">
      <w:rPr>
        <w:rFonts w:ascii="Arial" w:hAnsi="Arial"/>
        <w:color w:val="F2F2F2"/>
        <w:sz w:val="22"/>
      </w:rPr>
      <w:tcPr>
        <w:shd w:val="clear" w:color="5D8AC2" w:fill="5D8AC2"/>
      </w:tcPr>
    </w:tblStylePr>
    <w:tblStylePr w:type="band1Vert">
      <w:rPr>
        <w:rFonts w:ascii="Arial" w:hAnsi="Arial"/>
        <w:color w:val="404040"/>
        <w:sz w:val="22"/>
      </w:rPr>
    </w:tblStylePr>
    <w:tblStylePr w:type="band2Vert">
      <w:rPr>
        <w:rFonts w:ascii="Arial" w:hAnsi="Arial"/>
        <w:color w:val="404040"/>
        <w:sz w:val="22"/>
      </w:rPr>
      <w:tcPr>
        <w:shd w:val="clear" w:color="C7D7EA" w:fill="C7D7EA"/>
      </w:tcPr>
    </w:tblStylePr>
    <w:tblStylePr w:type="band1Horz">
      <w:rPr>
        <w:rFonts w:ascii="Arial" w:hAnsi="Arial"/>
        <w:color w:val="404040"/>
        <w:sz w:val="22"/>
      </w:rPr>
    </w:tblStylePr>
    <w:tblStylePr w:type="band2Horz">
      <w:rPr>
        <w:rFonts w:ascii="Arial" w:hAnsi="Arial"/>
        <w:color w:val="404040"/>
        <w:sz w:val="22"/>
      </w:rPr>
      <w:tcPr>
        <w:shd w:val="clear" w:color="C7D7EA" w:fill="C7D7EA"/>
      </w:tcPr>
    </w:tblStylePr>
  </w:style>
  <w:style w:type="table" w:customStyle="1" w:styleId="947">
    <w:name w:val="Lined - Accent 22"/>
    <w:basedOn w:val="13"/>
    <w:uiPriority w:val="99"/>
    <w:rPr>
      <w:color w:val="404040"/>
    </w:rPr>
    <w:tblPr>
      <w:tblCellMar>
        <w:top w:w="0" w:type="dxa"/>
        <w:left w:w="108" w:type="dxa"/>
        <w:bottom w:w="0" w:type="dxa"/>
        <w:right w:w="108" w:type="dxa"/>
      </w:tblCellMar>
    </w:tblPr>
    <w:tblStylePr w:type="firstRow">
      <w:rPr>
        <w:rFonts w:ascii="Arial" w:hAnsi="Arial"/>
        <w:color w:val="F2F2F2"/>
        <w:sz w:val="22"/>
      </w:rPr>
      <w:tcPr>
        <w:shd w:val="clear" w:color="D99695" w:fill="D99695"/>
      </w:tcPr>
    </w:tblStylePr>
    <w:tblStylePr w:type="lastRow">
      <w:rPr>
        <w:rFonts w:ascii="Arial" w:hAnsi="Arial"/>
        <w:color w:val="F2F2F2"/>
        <w:sz w:val="22"/>
      </w:rPr>
      <w:tcPr>
        <w:shd w:val="clear" w:color="D99695" w:fill="D99695"/>
      </w:tcPr>
    </w:tblStylePr>
    <w:tblStylePr w:type="firstCol">
      <w:rPr>
        <w:rFonts w:ascii="Arial" w:hAnsi="Arial"/>
        <w:color w:val="F2F2F2"/>
        <w:sz w:val="22"/>
      </w:rPr>
      <w:tcPr>
        <w:shd w:val="clear" w:color="D99695" w:fill="D99695"/>
      </w:tcPr>
    </w:tblStylePr>
    <w:tblStylePr w:type="lastCol">
      <w:rPr>
        <w:rFonts w:ascii="Arial" w:hAnsi="Arial"/>
        <w:color w:val="F2F2F2"/>
        <w:sz w:val="22"/>
      </w:rPr>
      <w:tcPr>
        <w:shd w:val="clear" w:color="D99695" w:fill="D99695"/>
      </w:tcPr>
    </w:tblStylePr>
    <w:tblStylePr w:type="band1Vert">
      <w:rPr>
        <w:rFonts w:ascii="Arial" w:hAnsi="Arial"/>
        <w:color w:val="404040"/>
        <w:sz w:val="22"/>
      </w:rPr>
    </w:tblStylePr>
    <w:tblStylePr w:type="band2Vert">
      <w:rPr>
        <w:rFonts w:ascii="Arial" w:hAnsi="Arial"/>
        <w:color w:val="404040"/>
        <w:sz w:val="22"/>
      </w:rPr>
      <w:tcPr>
        <w:shd w:val="clear" w:color="F2DCDC" w:fill="F2DCDC"/>
      </w:tcPr>
    </w:tblStylePr>
    <w:tblStylePr w:type="band1Horz">
      <w:rPr>
        <w:rFonts w:ascii="Arial" w:hAnsi="Arial"/>
        <w:color w:val="404040"/>
        <w:sz w:val="22"/>
      </w:rPr>
    </w:tblStylePr>
    <w:tblStylePr w:type="band2Horz">
      <w:rPr>
        <w:rFonts w:ascii="Arial" w:hAnsi="Arial"/>
        <w:color w:val="404040"/>
        <w:sz w:val="22"/>
      </w:rPr>
      <w:tcPr>
        <w:shd w:val="clear" w:color="F2DCDC" w:fill="F2DCDC"/>
      </w:tcPr>
    </w:tblStylePr>
  </w:style>
  <w:style w:type="table" w:customStyle="1" w:styleId="948">
    <w:name w:val="Lined - Accent 32"/>
    <w:basedOn w:val="13"/>
    <w:uiPriority w:val="99"/>
    <w:rPr>
      <w:color w:val="404040"/>
    </w:rPr>
    <w:tblPr>
      <w:tblCellMar>
        <w:top w:w="0" w:type="dxa"/>
        <w:left w:w="108" w:type="dxa"/>
        <w:bottom w:w="0" w:type="dxa"/>
        <w:right w:w="108" w:type="dxa"/>
      </w:tblCellMar>
    </w:tblPr>
    <w:tblStylePr w:type="firstRow">
      <w:rPr>
        <w:rFonts w:ascii="Arial" w:hAnsi="Arial"/>
        <w:color w:val="F2F2F2"/>
        <w:sz w:val="22"/>
      </w:rPr>
      <w:tcPr>
        <w:shd w:val="clear" w:color="9ABB59" w:fill="9ABB59"/>
      </w:tcPr>
    </w:tblStylePr>
    <w:tblStylePr w:type="lastRow">
      <w:rPr>
        <w:rFonts w:ascii="Arial" w:hAnsi="Arial"/>
        <w:color w:val="F2F2F2"/>
        <w:sz w:val="22"/>
      </w:rPr>
      <w:tcPr>
        <w:shd w:val="clear" w:color="9ABB59" w:fill="9ABB59"/>
      </w:tcPr>
    </w:tblStylePr>
    <w:tblStylePr w:type="firstCol">
      <w:rPr>
        <w:rFonts w:ascii="Arial" w:hAnsi="Arial"/>
        <w:color w:val="F2F2F2"/>
        <w:sz w:val="22"/>
      </w:rPr>
      <w:tcPr>
        <w:shd w:val="clear" w:color="9ABB59" w:fill="9ABB59"/>
      </w:tcPr>
    </w:tblStylePr>
    <w:tblStylePr w:type="lastCol">
      <w:rPr>
        <w:rFonts w:ascii="Arial" w:hAnsi="Arial"/>
        <w:color w:val="F2F2F2"/>
        <w:sz w:val="22"/>
      </w:rPr>
      <w:tcPr>
        <w:shd w:val="clear" w:color="9ABB59" w:fill="9ABB59"/>
      </w:tcPr>
    </w:tblStylePr>
    <w:tblStylePr w:type="band1Vert">
      <w:rPr>
        <w:rFonts w:ascii="Arial" w:hAnsi="Arial"/>
        <w:color w:val="404040"/>
        <w:sz w:val="22"/>
      </w:rPr>
    </w:tblStylePr>
    <w:tblStylePr w:type="band2Vert">
      <w:rPr>
        <w:rFonts w:ascii="Arial" w:hAnsi="Arial"/>
        <w:color w:val="404040"/>
        <w:sz w:val="22"/>
      </w:rPr>
      <w:tcPr>
        <w:shd w:val="clear" w:color="EAF1DC" w:fill="EAF1DC"/>
      </w:tcPr>
    </w:tblStylePr>
    <w:tblStylePr w:type="band1Horz">
      <w:rPr>
        <w:rFonts w:ascii="Arial" w:hAnsi="Arial"/>
        <w:color w:val="404040"/>
        <w:sz w:val="22"/>
      </w:rPr>
    </w:tblStylePr>
    <w:tblStylePr w:type="band2Horz">
      <w:rPr>
        <w:rFonts w:ascii="Arial" w:hAnsi="Arial"/>
        <w:color w:val="404040"/>
        <w:sz w:val="22"/>
      </w:rPr>
      <w:tcPr>
        <w:shd w:val="clear" w:color="EAF1DC" w:fill="EAF1DC"/>
      </w:tcPr>
    </w:tblStylePr>
  </w:style>
  <w:style w:type="table" w:customStyle="1" w:styleId="949">
    <w:name w:val="Lined - Accent 42"/>
    <w:basedOn w:val="13"/>
    <w:uiPriority w:val="99"/>
    <w:rPr>
      <w:color w:val="404040"/>
    </w:rPr>
    <w:tblPr>
      <w:tblCellMar>
        <w:top w:w="0" w:type="dxa"/>
        <w:left w:w="108" w:type="dxa"/>
        <w:bottom w:w="0" w:type="dxa"/>
        <w:right w:w="108" w:type="dxa"/>
      </w:tblCellMar>
    </w:tblPr>
    <w:tblStylePr w:type="firstRow">
      <w:rPr>
        <w:rFonts w:ascii="Arial" w:hAnsi="Arial"/>
        <w:color w:val="F2F2F2"/>
        <w:sz w:val="22"/>
      </w:rPr>
      <w:tcPr>
        <w:shd w:val="clear" w:color="B2A1C6" w:fill="B2A1C6"/>
      </w:tcPr>
    </w:tblStylePr>
    <w:tblStylePr w:type="lastRow">
      <w:rPr>
        <w:rFonts w:ascii="Arial" w:hAnsi="Arial"/>
        <w:color w:val="F2F2F2"/>
        <w:sz w:val="22"/>
      </w:rPr>
      <w:tcPr>
        <w:shd w:val="clear" w:color="B2A1C6" w:fill="B2A1C6"/>
      </w:tcPr>
    </w:tblStylePr>
    <w:tblStylePr w:type="firstCol">
      <w:rPr>
        <w:rFonts w:ascii="Arial" w:hAnsi="Arial"/>
        <w:color w:val="F2F2F2"/>
        <w:sz w:val="22"/>
      </w:rPr>
      <w:tcPr>
        <w:shd w:val="clear" w:color="B2A1C6" w:fill="B2A1C6"/>
      </w:tcPr>
    </w:tblStylePr>
    <w:tblStylePr w:type="lastCol">
      <w:rPr>
        <w:rFonts w:ascii="Arial" w:hAnsi="Arial"/>
        <w:color w:val="F2F2F2"/>
        <w:sz w:val="22"/>
      </w:rPr>
      <w:tcPr>
        <w:shd w:val="clear" w:color="B2A1C6" w:fill="B2A1C6"/>
      </w:tcPr>
    </w:tblStylePr>
    <w:tblStylePr w:type="band1Vert">
      <w:rPr>
        <w:rFonts w:ascii="Arial" w:hAnsi="Arial"/>
        <w:color w:val="404040"/>
        <w:sz w:val="22"/>
      </w:rPr>
    </w:tblStylePr>
    <w:tblStylePr w:type="band2Vert">
      <w:rPr>
        <w:rFonts w:ascii="Arial" w:hAnsi="Arial"/>
        <w:color w:val="404040"/>
        <w:sz w:val="22"/>
      </w:rPr>
      <w:tcPr>
        <w:shd w:val="clear" w:color="E5DFEC" w:fill="E5DFEC"/>
      </w:tcPr>
    </w:tblStylePr>
    <w:tblStylePr w:type="band1Horz">
      <w:rPr>
        <w:rFonts w:ascii="Arial" w:hAnsi="Arial"/>
        <w:color w:val="404040"/>
        <w:sz w:val="22"/>
      </w:rPr>
    </w:tblStylePr>
    <w:tblStylePr w:type="band2Horz">
      <w:rPr>
        <w:rFonts w:ascii="Arial" w:hAnsi="Arial"/>
        <w:color w:val="404040"/>
        <w:sz w:val="22"/>
      </w:rPr>
      <w:tcPr>
        <w:shd w:val="clear" w:color="E5DFEC" w:fill="E5DFEC"/>
      </w:tcPr>
    </w:tblStylePr>
  </w:style>
  <w:style w:type="table" w:customStyle="1" w:styleId="950">
    <w:name w:val="Lined - Accent 52"/>
    <w:basedOn w:val="13"/>
    <w:uiPriority w:val="99"/>
    <w:rPr>
      <w:color w:val="404040"/>
    </w:rPr>
    <w:tblPr>
      <w:tblCellMar>
        <w:top w:w="0" w:type="dxa"/>
        <w:left w:w="108" w:type="dxa"/>
        <w:bottom w:w="0" w:type="dxa"/>
        <w:right w:w="108" w:type="dxa"/>
      </w:tblCellMar>
    </w:tblPr>
    <w:tblStylePr w:type="firstRow">
      <w:rPr>
        <w:rFonts w:ascii="Arial" w:hAnsi="Arial"/>
        <w:color w:val="F2F2F2"/>
        <w:sz w:val="22"/>
      </w:rPr>
      <w:tcPr>
        <w:shd w:val="clear" w:color="4BACC6" w:fill="4BACC6"/>
      </w:tcPr>
    </w:tblStylePr>
    <w:tblStylePr w:type="lastRow">
      <w:rPr>
        <w:rFonts w:ascii="Arial" w:hAnsi="Arial"/>
        <w:color w:val="F2F2F2"/>
        <w:sz w:val="22"/>
      </w:rPr>
      <w:tcPr>
        <w:shd w:val="clear" w:color="4BACC6" w:fill="4BACC6"/>
      </w:tcPr>
    </w:tblStylePr>
    <w:tblStylePr w:type="firstCol">
      <w:rPr>
        <w:rFonts w:ascii="Arial" w:hAnsi="Arial"/>
        <w:color w:val="F2F2F2"/>
        <w:sz w:val="22"/>
      </w:rPr>
      <w:tcPr>
        <w:shd w:val="clear" w:color="4BACC6" w:fill="4BACC6"/>
      </w:tcPr>
    </w:tblStylePr>
    <w:tblStylePr w:type="lastCol">
      <w:rPr>
        <w:rFonts w:ascii="Arial" w:hAnsi="Arial"/>
        <w:color w:val="F2F2F2"/>
        <w:sz w:val="22"/>
      </w:rPr>
      <w:tcPr>
        <w:shd w:val="clear" w:color="4BACC6" w:fill="4BACC6"/>
      </w:tcPr>
    </w:tblStylePr>
    <w:tblStylePr w:type="band1Vert">
      <w:rPr>
        <w:rFonts w:ascii="Arial" w:hAnsi="Arial"/>
        <w:color w:val="404040"/>
        <w:sz w:val="22"/>
      </w:rPr>
    </w:tblStylePr>
    <w:tblStylePr w:type="band2Vert">
      <w:rPr>
        <w:rFonts w:ascii="Arial" w:hAnsi="Arial"/>
        <w:color w:val="404040"/>
        <w:sz w:val="22"/>
      </w:rPr>
      <w:tcPr>
        <w:shd w:val="clear" w:color="DAEEF3" w:fill="DAEEF3"/>
      </w:tcPr>
    </w:tblStylePr>
    <w:tblStylePr w:type="band1Horz">
      <w:rPr>
        <w:rFonts w:ascii="Arial" w:hAnsi="Arial"/>
        <w:color w:val="404040"/>
        <w:sz w:val="22"/>
      </w:rPr>
    </w:tblStylePr>
    <w:tblStylePr w:type="band2Horz">
      <w:rPr>
        <w:rFonts w:ascii="Arial" w:hAnsi="Arial"/>
        <w:color w:val="404040"/>
        <w:sz w:val="22"/>
      </w:rPr>
      <w:tcPr>
        <w:shd w:val="clear" w:color="DAEEF3" w:fill="DAEEF3"/>
      </w:tcPr>
    </w:tblStylePr>
  </w:style>
  <w:style w:type="table" w:customStyle="1" w:styleId="951">
    <w:name w:val="Lined - Accent 62"/>
    <w:basedOn w:val="13"/>
    <w:uiPriority w:val="99"/>
    <w:rPr>
      <w:color w:val="404040"/>
    </w:rPr>
    <w:tblPr>
      <w:tblCellMar>
        <w:top w:w="0" w:type="dxa"/>
        <w:left w:w="108" w:type="dxa"/>
        <w:bottom w:w="0" w:type="dxa"/>
        <w:right w:w="108" w:type="dxa"/>
      </w:tblCellMar>
    </w:tblPr>
    <w:tblStylePr w:type="firstRow">
      <w:rPr>
        <w:rFonts w:ascii="Arial" w:hAnsi="Arial"/>
        <w:color w:val="F2F2F2"/>
        <w:sz w:val="22"/>
      </w:rPr>
      <w:tcPr>
        <w:shd w:val="clear" w:color="F79646" w:fill="F79646"/>
      </w:tcPr>
    </w:tblStylePr>
    <w:tblStylePr w:type="lastRow">
      <w:rPr>
        <w:rFonts w:ascii="Arial" w:hAnsi="Arial"/>
        <w:color w:val="F2F2F2"/>
        <w:sz w:val="22"/>
      </w:rPr>
      <w:tcPr>
        <w:shd w:val="clear" w:color="F79646" w:fill="F79646"/>
      </w:tcPr>
    </w:tblStylePr>
    <w:tblStylePr w:type="firstCol">
      <w:rPr>
        <w:rFonts w:ascii="Arial" w:hAnsi="Arial"/>
        <w:color w:val="F2F2F2"/>
        <w:sz w:val="22"/>
      </w:rPr>
      <w:tcPr>
        <w:shd w:val="clear" w:color="F79646" w:fill="F79646"/>
      </w:tcPr>
    </w:tblStylePr>
    <w:tblStylePr w:type="lastCol">
      <w:rPr>
        <w:rFonts w:ascii="Arial" w:hAnsi="Arial"/>
        <w:color w:val="F2F2F2"/>
        <w:sz w:val="22"/>
      </w:rPr>
      <w:tcPr>
        <w:shd w:val="clear" w:color="F79646" w:fill="F79646"/>
      </w:tcPr>
    </w:tblStylePr>
    <w:tblStylePr w:type="band1Vert">
      <w:rPr>
        <w:rFonts w:ascii="Arial" w:hAnsi="Arial"/>
        <w:color w:val="404040"/>
        <w:sz w:val="22"/>
      </w:rPr>
    </w:tblStylePr>
    <w:tblStylePr w:type="band2Vert">
      <w:rPr>
        <w:rFonts w:ascii="Arial" w:hAnsi="Arial"/>
        <w:color w:val="404040"/>
        <w:sz w:val="22"/>
      </w:rPr>
      <w:tcPr>
        <w:shd w:val="clear" w:color="FDE9D8" w:fill="FDE9D8"/>
      </w:tcPr>
    </w:tblStylePr>
    <w:tblStylePr w:type="band1Horz">
      <w:rPr>
        <w:rFonts w:ascii="Arial" w:hAnsi="Arial"/>
        <w:color w:val="404040"/>
        <w:sz w:val="22"/>
      </w:rPr>
    </w:tblStylePr>
    <w:tblStylePr w:type="band2Horz">
      <w:rPr>
        <w:rFonts w:ascii="Arial" w:hAnsi="Arial"/>
        <w:color w:val="404040"/>
        <w:sz w:val="22"/>
      </w:rPr>
      <w:tcPr>
        <w:shd w:val="clear" w:color="FDE9D8" w:fill="FDE9D8"/>
      </w:tcPr>
    </w:tblStylePr>
  </w:style>
  <w:style w:type="table" w:customStyle="1" w:styleId="952">
    <w:name w:val="Bordered &amp; Lined - Accent2"/>
    <w:basedOn w:val="13"/>
    <w:uiPriority w:val="99"/>
    <w:rPr>
      <w:color w:val="404040"/>
    </w:rPr>
    <w:tblPr>
      <w:tblBorders>
        <w:top w:val="single" w:color="595959" w:sz="4" w:space="0"/>
        <w:left w:val="single" w:color="595959" w:sz="4" w:space="0"/>
        <w:bottom w:val="single" w:color="595959" w:sz="4" w:space="0"/>
        <w:right w:val="single" w:color="595959" w:sz="4" w:space="0"/>
        <w:insideH w:val="single" w:color="595959" w:sz="4" w:space="0"/>
        <w:insideV w:val="single" w:color="595959" w:sz="4" w:space="0"/>
      </w:tblBorders>
      <w:tblCellMar>
        <w:top w:w="0" w:type="dxa"/>
        <w:left w:w="108" w:type="dxa"/>
        <w:bottom w:w="0" w:type="dxa"/>
        <w:right w:w="108" w:type="dxa"/>
      </w:tblCellMar>
    </w:tblPr>
    <w:tblStylePr w:type="firstRow">
      <w:rPr>
        <w:rFonts w:ascii="Arial" w:hAnsi="Arial"/>
        <w:color w:val="F2F2F2"/>
        <w:sz w:val="22"/>
      </w:rPr>
      <w:tcPr>
        <w:shd w:val="clear" w:color="7F7F7F" w:fill="7F7F7F"/>
      </w:tcPr>
    </w:tblStylePr>
    <w:tblStylePr w:type="lastRow">
      <w:rPr>
        <w:rFonts w:ascii="Arial" w:hAnsi="Arial"/>
        <w:color w:val="F2F2F2"/>
        <w:sz w:val="22"/>
      </w:rPr>
      <w:tcPr>
        <w:shd w:val="clear" w:color="7F7F7F" w:fill="7F7F7F"/>
      </w:tcPr>
    </w:tblStylePr>
    <w:tblStylePr w:type="firstCol">
      <w:rPr>
        <w:rFonts w:ascii="Arial" w:hAnsi="Arial"/>
        <w:color w:val="F2F2F2"/>
        <w:sz w:val="22"/>
      </w:rPr>
      <w:tcPr>
        <w:shd w:val="clear" w:color="7F7F7F" w:fill="7F7F7F"/>
      </w:tcPr>
    </w:tblStylePr>
    <w:tblStylePr w:type="lastCol">
      <w:rPr>
        <w:rFonts w:ascii="Arial" w:hAnsi="Arial"/>
        <w:color w:val="F2F2F2"/>
        <w:sz w:val="22"/>
      </w:rPr>
      <w:tcPr>
        <w:shd w:val="clear" w:color="7F7F7F" w:fill="7F7F7F"/>
      </w:tcPr>
    </w:tblStylePr>
    <w:tblStylePr w:type="band1Vert">
      <w:rPr>
        <w:rFonts w:ascii="Arial" w:hAnsi="Arial"/>
        <w:color w:val="404040"/>
        <w:sz w:val="22"/>
      </w:rPr>
    </w:tblStylePr>
    <w:tblStylePr w:type="band2Vert">
      <w:rPr>
        <w:rFonts w:ascii="Arial" w:hAnsi="Arial"/>
        <w:color w:val="404040"/>
        <w:sz w:val="22"/>
      </w:rPr>
      <w:tcPr>
        <w:shd w:val="clear" w:color="F2F2F2" w:fill="F2F2F2"/>
      </w:tcPr>
    </w:tblStylePr>
    <w:tblStylePr w:type="band1Horz">
      <w:rPr>
        <w:rFonts w:ascii="Arial" w:hAnsi="Arial"/>
        <w:color w:val="404040"/>
        <w:sz w:val="22"/>
      </w:rPr>
    </w:tblStylePr>
    <w:tblStylePr w:type="band2Horz">
      <w:rPr>
        <w:rFonts w:ascii="Arial" w:hAnsi="Arial"/>
        <w:color w:val="404040"/>
        <w:sz w:val="22"/>
      </w:rPr>
      <w:tcPr>
        <w:shd w:val="clear" w:color="F2F2F2" w:fill="F2F2F2"/>
      </w:tcPr>
    </w:tblStylePr>
  </w:style>
  <w:style w:type="table" w:customStyle="1" w:styleId="953">
    <w:name w:val="Bordered &amp; Lined - Accent 12"/>
    <w:basedOn w:val="13"/>
    <w:uiPriority w:val="99"/>
    <w:rPr>
      <w:color w:val="404040"/>
    </w:rPr>
    <w:tblPr>
      <w:tblBorders>
        <w:top w:val="single" w:color="2A4A71" w:sz="4" w:space="0"/>
        <w:left w:val="single" w:color="2A4A71" w:sz="4" w:space="0"/>
        <w:bottom w:val="single" w:color="2A4A71" w:sz="4" w:space="0"/>
        <w:right w:val="single" w:color="2A4A71" w:sz="4" w:space="0"/>
        <w:insideH w:val="single" w:color="2A4A71" w:sz="4" w:space="0"/>
        <w:insideV w:val="single" w:color="2A4A71" w:sz="4" w:space="0"/>
      </w:tblBorders>
      <w:tblCellMar>
        <w:top w:w="0" w:type="dxa"/>
        <w:left w:w="108" w:type="dxa"/>
        <w:bottom w:w="0" w:type="dxa"/>
        <w:right w:w="108" w:type="dxa"/>
      </w:tblCellMar>
    </w:tblPr>
    <w:tblStylePr w:type="firstRow">
      <w:rPr>
        <w:rFonts w:ascii="Arial" w:hAnsi="Arial"/>
        <w:color w:val="F2F2F2"/>
        <w:sz w:val="22"/>
      </w:rPr>
      <w:tcPr>
        <w:shd w:val="clear" w:color="5D8AC2" w:fill="5D8AC2"/>
      </w:tcPr>
    </w:tblStylePr>
    <w:tblStylePr w:type="lastRow">
      <w:rPr>
        <w:rFonts w:ascii="Arial" w:hAnsi="Arial"/>
        <w:color w:val="F2F2F2"/>
        <w:sz w:val="22"/>
      </w:rPr>
      <w:tcPr>
        <w:shd w:val="clear" w:color="5D8AC2" w:fill="5D8AC2"/>
      </w:tcPr>
    </w:tblStylePr>
    <w:tblStylePr w:type="firstCol">
      <w:rPr>
        <w:rFonts w:ascii="Arial" w:hAnsi="Arial"/>
        <w:color w:val="F2F2F2"/>
        <w:sz w:val="22"/>
      </w:rPr>
      <w:tcPr>
        <w:shd w:val="clear" w:color="5D8AC2" w:fill="5D8AC2"/>
      </w:tcPr>
    </w:tblStylePr>
    <w:tblStylePr w:type="lastCol">
      <w:rPr>
        <w:rFonts w:ascii="Arial" w:hAnsi="Arial"/>
        <w:color w:val="F2F2F2"/>
        <w:sz w:val="22"/>
      </w:rPr>
      <w:tcPr>
        <w:shd w:val="clear" w:color="5D8AC2" w:fill="5D8AC2"/>
      </w:tcPr>
    </w:tblStylePr>
    <w:tblStylePr w:type="band1Vert">
      <w:rPr>
        <w:rFonts w:ascii="Arial" w:hAnsi="Arial"/>
        <w:color w:val="404040"/>
        <w:sz w:val="22"/>
      </w:rPr>
    </w:tblStylePr>
    <w:tblStylePr w:type="band2Vert">
      <w:rPr>
        <w:rFonts w:ascii="Arial" w:hAnsi="Arial"/>
        <w:color w:val="404040"/>
        <w:sz w:val="22"/>
      </w:rPr>
      <w:tcPr>
        <w:shd w:val="clear" w:color="C7D7EA" w:fill="C7D7EA"/>
      </w:tcPr>
    </w:tblStylePr>
    <w:tblStylePr w:type="band1Horz">
      <w:rPr>
        <w:rFonts w:ascii="Arial" w:hAnsi="Arial"/>
        <w:color w:val="404040"/>
        <w:sz w:val="22"/>
      </w:rPr>
    </w:tblStylePr>
    <w:tblStylePr w:type="band2Horz">
      <w:rPr>
        <w:rFonts w:ascii="Arial" w:hAnsi="Arial"/>
        <w:color w:val="404040"/>
        <w:sz w:val="22"/>
      </w:rPr>
      <w:tcPr>
        <w:shd w:val="clear" w:color="C7D7EA" w:fill="C7D7EA"/>
      </w:tcPr>
    </w:tblStylePr>
  </w:style>
  <w:style w:type="table" w:customStyle="1" w:styleId="954">
    <w:name w:val="Bordered &amp; Lined - Accent 22"/>
    <w:basedOn w:val="13"/>
    <w:uiPriority w:val="99"/>
    <w:rPr>
      <w:color w:val="404040"/>
    </w:rPr>
    <w:tblPr>
      <w:tblBorders>
        <w:top w:val="single" w:color="732A29" w:sz="4" w:space="0"/>
        <w:left w:val="single" w:color="732A29" w:sz="4" w:space="0"/>
        <w:bottom w:val="single" w:color="732A29" w:sz="4" w:space="0"/>
        <w:right w:val="single" w:color="732A29" w:sz="4" w:space="0"/>
        <w:insideH w:val="single" w:color="732A29" w:sz="4" w:space="0"/>
        <w:insideV w:val="single" w:color="732A29" w:sz="4" w:space="0"/>
      </w:tblBorders>
      <w:tblCellMar>
        <w:top w:w="0" w:type="dxa"/>
        <w:left w:w="108" w:type="dxa"/>
        <w:bottom w:w="0" w:type="dxa"/>
        <w:right w:w="108" w:type="dxa"/>
      </w:tblCellMar>
    </w:tblPr>
    <w:tblStylePr w:type="firstRow">
      <w:rPr>
        <w:rFonts w:ascii="Arial" w:hAnsi="Arial"/>
        <w:color w:val="F2F2F2"/>
        <w:sz w:val="22"/>
      </w:rPr>
      <w:tcPr>
        <w:shd w:val="clear" w:color="D99695" w:fill="D99695"/>
      </w:tcPr>
    </w:tblStylePr>
    <w:tblStylePr w:type="lastRow">
      <w:rPr>
        <w:rFonts w:ascii="Arial" w:hAnsi="Arial"/>
        <w:color w:val="F2F2F2"/>
        <w:sz w:val="22"/>
      </w:rPr>
      <w:tcPr>
        <w:shd w:val="clear" w:color="D99695" w:fill="D99695"/>
      </w:tcPr>
    </w:tblStylePr>
    <w:tblStylePr w:type="firstCol">
      <w:rPr>
        <w:rFonts w:ascii="Arial" w:hAnsi="Arial"/>
        <w:color w:val="F2F2F2"/>
        <w:sz w:val="22"/>
      </w:rPr>
      <w:tcPr>
        <w:shd w:val="clear" w:color="D99695" w:fill="D99695"/>
      </w:tcPr>
    </w:tblStylePr>
    <w:tblStylePr w:type="lastCol">
      <w:rPr>
        <w:rFonts w:ascii="Arial" w:hAnsi="Arial"/>
        <w:color w:val="F2F2F2"/>
        <w:sz w:val="22"/>
      </w:rPr>
      <w:tcPr>
        <w:shd w:val="clear" w:color="D99695" w:fill="D99695"/>
      </w:tcPr>
    </w:tblStylePr>
    <w:tblStylePr w:type="band1Vert">
      <w:rPr>
        <w:rFonts w:ascii="Arial" w:hAnsi="Arial"/>
        <w:color w:val="404040"/>
        <w:sz w:val="22"/>
      </w:rPr>
    </w:tblStylePr>
    <w:tblStylePr w:type="band2Vert">
      <w:rPr>
        <w:rFonts w:ascii="Arial" w:hAnsi="Arial"/>
        <w:color w:val="404040"/>
        <w:sz w:val="22"/>
      </w:rPr>
      <w:tcPr>
        <w:shd w:val="clear" w:color="F2DCDC" w:fill="F2DCDC"/>
      </w:tcPr>
    </w:tblStylePr>
    <w:tblStylePr w:type="band1Horz">
      <w:rPr>
        <w:rFonts w:ascii="Arial" w:hAnsi="Arial"/>
        <w:color w:val="404040"/>
        <w:sz w:val="22"/>
      </w:rPr>
    </w:tblStylePr>
    <w:tblStylePr w:type="band2Horz">
      <w:rPr>
        <w:rFonts w:ascii="Arial" w:hAnsi="Arial"/>
        <w:color w:val="404040"/>
        <w:sz w:val="22"/>
      </w:rPr>
      <w:tcPr>
        <w:shd w:val="clear" w:color="F2DCDC" w:fill="F2DCDC"/>
      </w:tcPr>
    </w:tblStylePr>
  </w:style>
  <w:style w:type="table" w:customStyle="1" w:styleId="955">
    <w:name w:val="Bordered &amp; Lined - Accent 32"/>
    <w:basedOn w:val="13"/>
    <w:uiPriority w:val="99"/>
    <w:rPr>
      <w:color w:val="404040"/>
    </w:rPr>
    <w:tblPr>
      <w:tblBorders>
        <w:top w:val="single" w:color="5B722E" w:sz="4" w:space="0"/>
        <w:left w:val="single" w:color="5B722E" w:sz="4" w:space="0"/>
        <w:bottom w:val="single" w:color="5B722E" w:sz="4" w:space="0"/>
        <w:right w:val="single" w:color="5B722E" w:sz="4" w:space="0"/>
        <w:insideH w:val="single" w:color="5B722E" w:sz="4" w:space="0"/>
        <w:insideV w:val="single" w:color="5B722E" w:sz="4" w:space="0"/>
      </w:tblBorders>
      <w:tblCellMar>
        <w:top w:w="0" w:type="dxa"/>
        <w:left w:w="108" w:type="dxa"/>
        <w:bottom w:w="0" w:type="dxa"/>
        <w:right w:w="108" w:type="dxa"/>
      </w:tblCellMar>
    </w:tblPr>
    <w:tblStylePr w:type="firstRow">
      <w:rPr>
        <w:rFonts w:ascii="Arial" w:hAnsi="Arial"/>
        <w:color w:val="F2F2F2"/>
        <w:sz w:val="22"/>
      </w:rPr>
      <w:tcPr>
        <w:shd w:val="clear" w:color="9ABB59" w:fill="9ABB59"/>
      </w:tcPr>
    </w:tblStylePr>
    <w:tblStylePr w:type="lastRow">
      <w:rPr>
        <w:rFonts w:ascii="Arial" w:hAnsi="Arial"/>
        <w:color w:val="F2F2F2"/>
        <w:sz w:val="22"/>
      </w:rPr>
      <w:tcPr>
        <w:shd w:val="clear" w:color="9ABB59" w:fill="9ABB59"/>
      </w:tcPr>
    </w:tblStylePr>
    <w:tblStylePr w:type="firstCol">
      <w:rPr>
        <w:rFonts w:ascii="Arial" w:hAnsi="Arial"/>
        <w:color w:val="F2F2F2"/>
        <w:sz w:val="22"/>
      </w:rPr>
      <w:tcPr>
        <w:shd w:val="clear" w:color="9ABB59" w:fill="9ABB59"/>
      </w:tcPr>
    </w:tblStylePr>
    <w:tblStylePr w:type="lastCol">
      <w:rPr>
        <w:rFonts w:ascii="Arial" w:hAnsi="Arial"/>
        <w:color w:val="F2F2F2"/>
        <w:sz w:val="22"/>
      </w:rPr>
      <w:tcPr>
        <w:shd w:val="clear" w:color="9ABB59" w:fill="9ABB59"/>
      </w:tcPr>
    </w:tblStylePr>
    <w:tblStylePr w:type="band1Vert">
      <w:rPr>
        <w:rFonts w:ascii="Arial" w:hAnsi="Arial"/>
        <w:color w:val="404040"/>
        <w:sz w:val="22"/>
      </w:rPr>
    </w:tblStylePr>
    <w:tblStylePr w:type="band2Vert">
      <w:rPr>
        <w:rFonts w:ascii="Arial" w:hAnsi="Arial"/>
        <w:color w:val="404040"/>
        <w:sz w:val="22"/>
      </w:rPr>
      <w:tcPr>
        <w:shd w:val="clear" w:color="EAF1DC" w:fill="EAF1DC"/>
      </w:tcPr>
    </w:tblStylePr>
    <w:tblStylePr w:type="band1Horz">
      <w:rPr>
        <w:rFonts w:ascii="Arial" w:hAnsi="Arial"/>
        <w:color w:val="404040"/>
        <w:sz w:val="22"/>
      </w:rPr>
    </w:tblStylePr>
    <w:tblStylePr w:type="band2Horz">
      <w:rPr>
        <w:rFonts w:ascii="Arial" w:hAnsi="Arial"/>
        <w:color w:val="404040"/>
        <w:sz w:val="22"/>
      </w:rPr>
      <w:tcPr>
        <w:shd w:val="clear" w:color="EAF1DC" w:fill="EAF1DC"/>
      </w:tcPr>
    </w:tblStylePr>
  </w:style>
  <w:style w:type="table" w:customStyle="1" w:styleId="956">
    <w:name w:val="Bordered &amp; Lined - Accent 42"/>
    <w:basedOn w:val="13"/>
    <w:uiPriority w:val="99"/>
    <w:rPr>
      <w:color w:val="404040"/>
    </w:rPr>
    <w:tblPr>
      <w:tblBorders>
        <w:top w:val="single" w:color="4A395F" w:sz="4" w:space="0"/>
        <w:left w:val="single" w:color="4A395F" w:sz="4" w:space="0"/>
        <w:bottom w:val="single" w:color="4A395F" w:sz="4" w:space="0"/>
        <w:right w:val="single" w:color="4A395F" w:sz="4" w:space="0"/>
        <w:insideH w:val="single" w:color="4A395F" w:sz="4" w:space="0"/>
        <w:insideV w:val="single" w:color="4A395F" w:sz="4" w:space="0"/>
      </w:tblBorders>
      <w:tblCellMar>
        <w:top w:w="0" w:type="dxa"/>
        <w:left w:w="108" w:type="dxa"/>
        <w:bottom w:w="0" w:type="dxa"/>
        <w:right w:w="108" w:type="dxa"/>
      </w:tblCellMar>
    </w:tblPr>
    <w:tblStylePr w:type="firstRow">
      <w:rPr>
        <w:rFonts w:ascii="Arial" w:hAnsi="Arial"/>
        <w:color w:val="F2F2F2"/>
        <w:sz w:val="22"/>
      </w:rPr>
      <w:tcPr>
        <w:shd w:val="clear" w:color="B2A1C6" w:fill="B2A1C6"/>
      </w:tcPr>
    </w:tblStylePr>
    <w:tblStylePr w:type="lastRow">
      <w:rPr>
        <w:rFonts w:ascii="Arial" w:hAnsi="Arial"/>
        <w:color w:val="F2F2F2"/>
        <w:sz w:val="22"/>
      </w:rPr>
      <w:tcPr>
        <w:shd w:val="clear" w:color="B2A1C6" w:fill="B2A1C6"/>
      </w:tcPr>
    </w:tblStylePr>
    <w:tblStylePr w:type="firstCol">
      <w:rPr>
        <w:rFonts w:ascii="Arial" w:hAnsi="Arial"/>
        <w:color w:val="F2F2F2"/>
        <w:sz w:val="22"/>
      </w:rPr>
      <w:tcPr>
        <w:shd w:val="clear" w:color="B2A1C6" w:fill="B2A1C6"/>
      </w:tcPr>
    </w:tblStylePr>
    <w:tblStylePr w:type="lastCol">
      <w:rPr>
        <w:rFonts w:ascii="Arial" w:hAnsi="Arial"/>
        <w:color w:val="F2F2F2"/>
        <w:sz w:val="22"/>
      </w:rPr>
      <w:tcPr>
        <w:shd w:val="clear" w:color="B2A1C6" w:fill="B2A1C6"/>
      </w:tcPr>
    </w:tblStylePr>
    <w:tblStylePr w:type="band1Vert">
      <w:rPr>
        <w:rFonts w:ascii="Arial" w:hAnsi="Arial"/>
        <w:color w:val="404040"/>
        <w:sz w:val="22"/>
      </w:rPr>
    </w:tblStylePr>
    <w:tblStylePr w:type="band2Vert">
      <w:rPr>
        <w:rFonts w:ascii="Arial" w:hAnsi="Arial"/>
        <w:color w:val="404040"/>
        <w:sz w:val="22"/>
      </w:rPr>
      <w:tcPr>
        <w:shd w:val="clear" w:color="E5DFEC" w:fill="E5DFEC"/>
      </w:tcPr>
    </w:tblStylePr>
    <w:tblStylePr w:type="band1Horz">
      <w:rPr>
        <w:rFonts w:ascii="Arial" w:hAnsi="Arial"/>
        <w:color w:val="404040"/>
        <w:sz w:val="22"/>
      </w:rPr>
    </w:tblStylePr>
    <w:tblStylePr w:type="band2Horz">
      <w:rPr>
        <w:rFonts w:ascii="Arial" w:hAnsi="Arial"/>
        <w:color w:val="404040"/>
        <w:sz w:val="22"/>
      </w:rPr>
      <w:tcPr>
        <w:shd w:val="clear" w:color="E5DFEC" w:fill="E5DFEC"/>
      </w:tcPr>
    </w:tblStylePr>
  </w:style>
  <w:style w:type="table" w:customStyle="1" w:styleId="957">
    <w:name w:val="Bordered &amp; Lined - Accent 52"/>
    <w:basedOn w:val="13"/>
    <w:uiPriority w:val="99"/>
    <w:rPr>
      <w:color w:val="404040"/>
    </w:rPr>
    <w:tblPr>
      <w:tblBorders>
        <w:top w:val="single" w:color="266779" w:sz="4" w:space="0"/>
        <w:left w:val="single" w:color="266779" w:sz="4" w:space="0"/>
        <w:bottom w:val="single" w:color="266779" w:sz="4" w:space="0"/>
        <w:right w:val="single" w:color="266779" w:sz="4" w:space="0"/>
        <w:insideH w:val="single" w:color="266779" w:sz="4" w:space="0"/>
        <w:insideV w:val="single" w:color="266779" w:sz="4" w:space="0"/>
      </w:tblBorders>
      <w:tblCellMar>
        <w:top w:w="0" w:type="dxa"/>
        <w:left w:w="108" w:type="dxa"/>
        <w:bottom w:w="0" w:type="dxa"/>
        <w:right w:w="108" w:type="dxa"/>
      </w:tblCellMar>
    </w:tblPr>
    <w:tblStylePr w:type="firstRow">
      <w:rPr>
        <w:rFonts w:ascii="Arial" w:hAnsi="Arial"/>
        <w:color w:val="F2F2F2"/>
        <w:sz w:val="22"/>
      </w:rPr>
      <w:tcPr>
        <w:shd w:val="clear" w:color="4BACC6" w:fill="4BACC6"/>
      </w:tcPr>
    </w:tblStylePr>
    <w:tblStylePr w:type="lastRow">
      <w:rPr>
        <w:rFonts w:ascii="Arial" w:hAnsi="Arial"/>
        <w:color w:val="F2F2F2"/>
        <w:sz w:val="22"/>
      </w:rPr>
      <w:tcPr>
        <w:shd w:val="clear" w:color="4BACC6" w:fill="4BACC6"/>
      </w:tcPr>
    </w:tblStylePr>
    <w:tblStylePr w:type="firstCol">
      <w:rPr>
        <w:rFonts w:ascii="Arial" w:hAnsi="Arial"/>
        <w:color w:val="F2F2F2"/>
        <w:sz w:val="22"/>
      </w:rPr>
      <w:tcPr>
        <w:shd w:val="clear" w:color="4BACC6" w:fill="4BACC6"/>
      </w:tcPr>
    </w:tblStylePr>
    <w:tblStylePr w:type="lastCol">
      <w:rPr>
        <w:rFonts w:ascii="Arial" w:hAnsi="Arial"/>
        <w:color w:val="F2F2F2"/>
        <w:sz w:val="22"/>
      </w:rPr>
      <w:tcPr>
        <w:shd w:val="clear" w:color="4BACC6" w:fill="4BACC6"/>
      </w:tcPr>
    </w:tblStylePr>
    <w:tblStylePr w:type="band1Vert">
      <w:rPr>
        <w:rFonts w:ascii="Arial" w:hAnsi="Arial"/>
        <w:color w:val="404040"/>
        <w:sz w:val="22"/>
      </w:rPr>
    </w:tblStylePr>
    <w:tblStylePr w:type="band2Vert">
      <w:rPr>
        <w:rFonts w:ascii="Arial" w:hAnsi="Arial"/>
        <w:color w:val="404040"/>
        <w:sz w:val="22"/>
      </w:rPr>
      <w:tcPr>
        <w:shd w:val="clear" w:color="DAEEF3" w:fill="DAEEF3"/>
      </w:tcPr>
    </w:tblStylePr>
    <w:tblStylePr w:type="band1Horz">
      <w:rPr>
        <w:rFonts w:ascii="Arial" w:hAnsi="Arial"/>
        <w:color w:val="404040"/>
        <w:sz w:val="22"/>
      </w:rPr>
    </w:tblStylePr>
    <w:tblStylePr w:type="band2Horz">
      <w:rPr>
        <w:rFonts w:ascii="Arial" w:hAnsi="Arial"/>
        <w:color w:val="404040"/>
        <w:sz w:val="22"/>
      </w:rPr>
      <w:tcPr>
        <w:shd w:val="clear" w:color="DAEEF3" w:fill="DAEEF3"/>
      </w:tcPr>
    </w:tblStylePr>
  </w:style>
  <w:style w:type="table" w:customStyle="1" w:styleId="958">
    <w:name w:val="Bordered &amp; Lined - Accent 62"/>
    <w:basedOn w:val="13"/>
    <w:uiPriority w:val="99"/>
    <w:rPr>
      <w:color w:val="404040"/>
    </w:rPr>
    <w:tblPr>
      <w:tblBorders>
        <w:top w:val="single" w:color="B15407" w:sz="4" w:space="0"/>
        <w:left w:val="single" w:color="B15407" w:sz="4" w:space="0"/>
        <w:bottom w:val="single" w:color="B15407" w:sz="4" w:space="0"/>
        <w:right w:val="single" w:color="B15407" w:sz="4" w:space="0"/>
        <w:insideH w:val="single" w:color="B15407" w:sz="4" w:space="0"/>
        <w:insideV w:val="single" w:color="B15407" w:sz="4" w:space="0"/>
      </w:tblBorders>
      <w:tblCellMar>
        <w:top w:w="0" w:type="dxa"/>
        <w:left w:w="108" w:type="dxa"/>
        <w:bottom w:w="0" w:type="dxa"/>
        <w:right w:w="108" w:type="dxa"/>
      </w:tblCellMar>
    </w:tblPr>
    <w:tblStylePr w:type="firstRow">
      <w:rPr>
        <w:rFonts w:ascii="Arial" w:hAnsi="Arial"/>
        <w:color w:val="F2F2F2"/>
        <w:sz w:val="22"/>
      </w:rPr>
      <w:tcPr>
        <w:shd w:val="clear" w:color="F79646" w:fill="F79646"/>
      </w:tcPr>
    </w:tblStylePr>
    <w:tblStylePr w:type="lastRow">
      <w:rPr>
        <w:rFonts w:ascii="Arial" w:hAnsi="Arial"/>
        <w:color w:val="F2F2F2"/>
        <w:sz w:val="22"/>
      </w:rPr>
      <w:tcPr>
        <w:shd w:val="clear" w:color="F79646" w:fill="F79646"/>
      </w:tcPr>
    </w:tblStylePr>
    <w:tblStylePr w:type="firstCol">
      <w:rPr>
        <w:rFonts w:ascii="Arial" w:hAnsi="Arial"/>
        <w:color w:val="F2F2F2"/>
        <w:sz w:val="22"/>
      </w:rPr>
      <w:tcPr>
        <w:shd w:val="clear" w:color="F79646" w:fill="F79646"/>
      </w:tcPr>
    </w:tblStylePr>
    <w:tblStylePr w:type="lastCol">
      <w:rPr>
        <w:rFonts w:ascii="Arial" w:hAnsi="Arial"/>
        <w:color w:val="F2F2F2"/>
        <w:sz w:val="22"/>
      </w:rPr>
      <w:tcPr>
        <w:shd w:val="clear" w:color="F79646" w:fill="F79646"/>
      </w:tcPr>
    </w:tblStylePr>
    <w:tblStylePr w:type="band1Vert">
      <w:rPr>
        <w:rFonts w:ascii="Arial" w:hAnsi="Arial"/>
        <w:color w:val="404040"/>
        <w:sz w:val="22"/>
      </w:rPr>
    </w:tblStylePr>
    <w:tblStylePr w:type="band2Vert">
      <w:rPr>
        <w:rFonts w:ascii="Arial" w:hAnsi="Arial"/>
        <w:color w:val="404040"/>
        <w:sz w:val="22"/>
      </w:rPr>
      <w:tcPr>
        <w:shd w:val="clear" w:color="FDE9D8" w:fill="FDE9D8"/>
      </w:tcPr>
    </w:tblStylePr>
    <w:tblStylePr w:type="band1Horz">
      <w:rPr>
        <w:rFonts w:ascii="Arial" w:hAnsi="Arial"/>
        <w:color w:val="404040"/>
        <w:sz w:val="22"/>
      </w:rPr>
    </w:tblStylePr>
    <w:tblStylePr w:type="band2Horz">
      <w:rPr>
        <w:rFonts w:ascii="Arial" w:hAnsi="Arial"/>
        <w:color w:val="404040"/>
        <w:sz w:val="22"/>
      </w:rPr>
      <w:tcPr>
        <w:shd w:val="clear" w:color="FDE9D8" w:fill="FDE9D8"/>
      </w:tcPr>
    </w:tblStylePr>
  </w:style>
  <w:style w:type="table" w:customStyle="1" w:styleId="959">
    <w:name w:val="Bordered2"/>
    <w:basedOn w:val="13"/>
    <w:qFormat/>
    <w:uiPriority w:val="99"/>
    <w:rPr>
      <w:sz w:val="22"/>
      <w:szCs w:val="22"/>
      <w:lang w:eastAsia="en-US"/>
    </w:rPr>
    <w:tblPr>
      <w:tblBorders>
        <w:top w:val="single" w:color="D9D9D9" w:sz="4" w:space="0"/>
        <w:left w:val="single" w:color="D9D9D9" w:sz="4" w:space="0"/>
        <w:bottom w:val="single" w:color="D9D9D9" w:sz="4" w:space="0"/>
        <w:right w:val="single" w:color="D9D9D9" w:sz="4" w:space="0"/>
        <w:insideH w:val="single" w:color="D9D9D9" w:sz="4" w:space="0"/>
        <w:insideV w:val="single" w:color="D9D9D9" w:sz="4" w:space="0"/>
      </w:tblBorders>
      <w:tblCellMar>
        <w:top w:w="0" w:type="dxa"/>
        <w:left w:w="108" w:type="dxa"/>
        <w:bottom w:w="0" w:type="dxa"/>
        <w:right w:w="108" w:type="dxa"/>
      </w:tblCellMar>
    </w:tblPr>
    <w:tblStylePr w:type="firstRow">
      <w:rPr>
        <w:rFonts w:ascii="Arial" w:hAnsi="Arial"/>
        <w:color w:val="404040"/>
        <w:sz w:val="22"/>
      </w:rPr>
      <w:tcPr>
        <w:tcBorders>
          <w:bottom w:val="single" w:color="7F7F7F" w:sz="12" w:space="0"/>
        </w:tcBorders>
      </w:tcPr>
    </w:tblStylePr>
    <w:tblStylePr w:type="lastRow">
      <w:rPr>
        <w:rFonts w:ascii="Arial" w:hAnsi="Arial"/>
        <w:color w:val="404040"/>
        <w:sz w:val="22"/>
      </w:rPr>
      <w:tcPr>
        <w:tcBorders>
          <w:top w:val="single" w:color="7F7F7F"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7F7F7F" w:sz="12" w:space="0"/>
        </w:tcBorders>
      </w:tcPr>
    </w:tblStylePr>
    <w:tblStylePr w:type="band1Horz">
      <w:rPr>
        <w:rFonts w:ascii="Arial" w:hAnsi="Arial"/>
        <w:color w:val="404040"/>
        <w:sz w:val="22"/>
      </w:rPr>
      <w:tcPr>
        <w:tcBorders>
          <w:top w:val="single" w:color="D9D9D9" w:sz="4" w:space="0"/>
          <w:left w:val="single" w:color="D9D9D9" w:sz="4" w:space="0"/>
          <w:bottom w:val="single" w:color="D9D9D9" w:sz="4" w:space="0"/>
          <w:right w:val="single" w:color="D9D9D9" w:sz="4" w:space="0"/>
        </w:tcBorders>
      </w:tcPr>
    </w:tblStylePr>
  </w:style>
  <w:style w:type="table" w:customStyle="1" w:styleId="960">
    <w:name w:val="Bordered - Accent 12"/>
    <w:basedOn w:val="13"/>
    <w:uiPriority w:val="99"/>
    <w:rPr>
      <w:sz w:val="22"/>
      <w:szCs w:val="22"/>
      <w:lang w:eastAsia="en-US"/>
    </w:rPr>
    <w:tblPr>
      <w:tblBorders>
        <w:top w:val="single" w:color="B7CBE4" w:sz="4" w:space="0"/>
        <w:left w:val="single" w:color="B7CBE4" w:sz="4" w:space="0"/>
        <w:bottom w:val="single" w:color="B7CBE4" w:sz="4" w:space="0"/>
        <w:right w:val="single" w:color="B7CBE4" w:sz="4" w:space="0"/>
        <w:insideH w:val="single" w:color="B7CBE4" w:sz="4" w:space="0"/>
        <w:insideV w:val="single" w:color="B7CBE4" w:sz="4" w:space="0"/>
      </w:tblBorders>
      <w:tblCellMar>
        <w:top w:w="0" w:type="dxa"/>
        <w:left w:w="108" w:type="dxa"/>
        <w:bottom w:w="0" w:type="dxa"/>
        <w:right w:w="108" w:type="dxa"/>
      </w:tblCellMar>
    </w:tblPr>
    <w:tblStylePr w:type="firstRow">
      <w:rPr>
        <w:rFonts w:ascii="Arial" w:hAnsi="Arial"/>
        <w:color w:val="404040"/>
        <w:sz w:val="22"/>
      </w:rPr>
      <w:tcPr>
        <w:tcBorders>
          <w:bottom w:val="single" w:color="4F81BD" w:sz="12" w:space="0"/>
        </w:tcBorders>
      </w:tcPr>
    </w:tblStylePr>
    <w:tblStylePr w:type="lastRow">
      <w:rPr>
        <w:rFonts w:ascii="Arial" w:hAnsi="Arial"/>
        <w:color w:val="404040"/>
        <w:sz w:val="22"/>
      </w:rPr>
      <w:tcPr>
        <w:tcBorders>
          <w:top w:val="single" w:color="4F81BD"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4F81BD" w:sz="12" w:space="0"/>
        </w:tcBorders>
      </w:tcPr>
    </w:tblStylePr>
    <w:tblStylePr w:type="band1Horz">
      <w:rPr>
        <w:rFonts w:ascii="Arial" w:hAnsi="Arial"/>
        <w:color w:val="404040"/>
        <w:sz w:val="22"/>
      </w:rPr>
      <w:tcPr>
        <w:tcBorders>
          <w:top w:val="single" w:color="B7CBE4" w:sz="4" w:space="0"/>
          <w:left w:val="single" w:color="B7CBE4" w:sz="4" w:space="0"/>
          <w:bottom w:val="single" w:color="B7CBE4" w:sz="4" w:space="0"/>
          <w:right w:val="single" w:color="B7CBE4" w:sz="4" w:space="0"/>
        </w:tcBorders>
      </w:tcPr>
    </w:tblStylePr>
  </w:style>
  <w:style w:type="table" w:customStyle="1" w:styleId="961">
    <w:name w:val="Bordered - Accent 22"/>
    <w:basedOn w:val="13"/>
    <w:uiPriority w:val="99"/>
    <w:rPr>
      <w:sz w:val="22"/>
      <w:szCs w:val="22"/>
      <w:lang w:eastAsia="en-US"/>
    </w:rPr>
    <w:tblPr>
      <w:tblBorders>
        <w:top w:val="single" w:color="E5B7B6" w:sz="4" w:space="0"/>
        <w:left w:val="single" w:color="E5B7B6" w:sz="4" w:space="0"/>
        <w:bottom w:val="single" w:color="E5B7B6" w:sz="4" w:space="0"/>
        <w:right w:val="single" w:color="E5B7B6" w:sz="4" w:space="0"/>
        <w:insideH w:val="single" w:color="E5B7B6" w:sz="4" w:space="0"/>
        <w:insideV w:val="single" w:color="E5B7B6" w:sz="4" w:space="0"/>
      </w:tblBorders>
      <w:tblCellMar>
        <w:top w:w="0" w:type="dxa"/>
        <w:left w:w="108" w:type="dxa"/>
        <w:bottom w:w="0" w:type="dxa"/>
        <w:right w:w="108" w:type="dxa"/>
      </w:tblCellMar>
    </w:tblPr>
    <w:tblStylePr w:type="firstRow">
      <w:rPr>
        <w:rFonts w:ascii="Arial" w:hAnsi="Arial"/>
        <w:color w:val="404040"/>
        <w:sz w:val="22"/>
      </w:rPr>
      <w:tcPr>
        <w:tcBorders>
          <w:bottom w:val="single" w:color="D99695" w:sz="12" w:space="0"/>
        </w:tcBorders>
      </w:tcPr>
    </w:tblStylePr>
    <w:tblStylePr w:type="lastRow">
      <w:rPr>
        <w:rFonts w:ascii="Arial" w:hAnsi="Arial"/>
        <w:color w:val="404040"/>
        <w:sz w:val="22"/>
      </w:rPr>
      <w:tcPr>
        <w:tcBorders>
          <w:top w:val="single" w:color="D99695"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D99695" w:sz="12" w:space="0"/>
        </w:tcBorders>
      </w:tcPr>
    </w:tblStylePr>
    <w:tblStylePr w:type="band1Horz">
      <w:rPr>
        <w:rFonts w:ascii="Arial" w:hAnsi="Arial"/>
        <w:color w:val="404040"/>
        <w:sz w:val="22"/>
      </w:rPr>
      <w:tcPr>
        <w:tcBorders>
          <w:top w:val="single" w:color="E5B7B6" w:sz="4" w:space="0"/>
          <w:left w:val="single" w:color="E5B7B6" w:sz="4" w:space="0"/>
          <w:bottom w:val="single" w:color="E5B7B6" w:sz="4" w:space="0"/>
          <w:right w:val="single" w:color="E5B7B6" w:sz="4" w:space="0"/>
        </w:tcBorders>
      </w:tcPr>
    </w:tblStylePr>
  </w:style>
  <w:style w:type="table" w:customStyle="1" w:styleId="962">
    <w:name w:val="Bordered - Accent 32"/>
    <w:basedOn w:val="13"/>
    <w:uiPriority w:val="99"/>
    <w:rPr>
      <w:sz w:val="22"/>
      <w:szCs w:val="22"/>
      <w:lang w:eastAsia="en-US"/>
    </w:rPr>
    <w:tblPr>
      <w:tblBorders>
        <w:top w:val="single" w:color="D6E3BB" w:sz="4" w:space="0"/>
        <w:left w:val="single" w:color="D6E3BB" w:sz="4" w:space="0"/>
        <w:bottom w:val="single" w:color="D6E3BB" w:sz="4" w:space="0"/>
        <w:right w:val="single" w:color="D6E3BB" w:sz="4" w:space="0"/>
        <w:insideH w:val="single" w:color="D6E3BB" w:sz="4" w:space="0"/>
        <w:insideV w:val="single" w:color="D6E3BB" w:sz="4" w:space="0"/>
      </w:tblBorders>
      <w:tblCellMar>
        <w:top w:w="0" w:type="dxa"/>
        <w:left w:w="108" w:type="dxa"/>
        <w:bottom w:w="0" w:type="dxa"/>
        <w:right w:w="108" w:type="dxa"/>
      </w:tblCellMar>
    </w:tblPr>
    <w:tblStylePr w:type="firstRow">
      <w:rPr>
        <w:rFonts w:ascii="Arial" w:hAnsi="Arial"/>
        <w:color w:val="404040"/>
        <w:sz w:val="22"/>
      </w:rPr>
      <w:tcPr>
        <w:tcBorders>
          <w:bottom w:val="single" w:color="C3D69B" w:sz="12" w:space="0"/>
        </w:tcBorders>
      </w:tcPr>
    </w:tblStylePr>
    <w:tblStylePr w:type="lastRow">
      <w:rPr>
        <w:rFonts w:ascii="Arial" w:hAnsi="Arial"/>
        <w:color w:val="404040"/>
        <w:sz w:val="22"/>
      </w:rPr>
      <w:tcPr>
        <w:tcBorders>
          <w:top w:val="single" w:color="C3D69B"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C3D69B" w:sz="12" w:space="0"/>
        </w:tcBorders>
      </w:tcPr>
    </w:tblStylePr>
    <w:tblStylePr w:type="band1Horz">
      <w:rPr>
        <w:rFonts w:ascii="Arial" w:hAnsi="Arial"/>
        <w:color w:val="404040"/>
        <w:sz w:val="22"/>
      </w:rPr>
      <w:tcPr>
        <w:tcBorders>
          <w:top w:val="single" w:color="D6E3BB" w:sz="4" w:space="0"/>
          <w:left w:val="single" w:color="D6E3BB" w:sz="4" w:space="0"/>
          <w:bottom w:val="single" w:color="D6E3BB" w:sz="4" w:space="0"/>
          <w:right w:val="single" w:color="D6E3BB" w:sz="4" w:space="0"/>
        </w:tcBorders>
      </w:tcPr>
    </w:tblStylePr>
  </w:style>
  <w:style w:type="table" w:customStyle="1" w:styleId="963">
    <w:name w:val="Bordered - Accent 42"/>
    <w:basedOn w:val="13"/>
    <w:uiPriority w:val="99"/>
    <w:rPr>
      <w:sz w:val="22"/>
      <w:szCs w:val="22"/>
      <w:lang w:eastAsia="en-US"/>
    </w:rPr>
    <w:tblPr>
      <w:tblBorders>
        <w:top w:val="single" w:color="CBC0D9" w:sz="4" w:space="0"/>
        <w:left w:val="single" w:color="CBC0D9" w:sz="4" w:space="0"/>
        <w:bottom w:val="single" w:color="CBC0D9" w:sz="4" w:space="0"/>
        <w:right w:val="single" w:color="CBC0D9" w:sz="4" w:space="0"/>
        <w:insideH w:val="single" w:color="CBC0D9" w:sz="4" w:space="0"/>
        <w:insideV w:val="single" w:color="CBC0D9" w:sz="4" w:space="0"/>
      </w:tblBorders>
      <w:tblCellMar>
        <w:top w:w="0" w:type="dxa"/>
        <w:left w:w="108" w:type="dxa"/>
        <w:bottom w:w="0" w:type="dxa"/>
        <w:right w:w="108" w:type="dxa"/>
      </w:tblCellMar>
    </w:tblPr>
    <w:tblStylePr w:type="firstRow">
      <w:rPr>
        <w:rFonts w:ascii="Arial" w:hAnsi="Arial"/>
        <w:color w:val="404040"/>
        <w:sz w:val="22"/>
      </w:rPr>
      <w:tcPr>
        <w:tcBorders>
          <w:bottom w:val="single" w:color="B2A1C6" w:sz="12" w:space="0"/>
        </w:tcBorders>
      </w:tcPr>
    </w:tblStylePr>
    <w:tblStylePr w:type="lastRow">
      <w:rPr>
        <w:rFonts w:ascii="Arial" w:hAnsi="Arial"/>
        <w:color w:val="404040"/>
        <w:sz w:val="22"/>
      </w:rPr>
      <w:tcPr>
        <w:tcBorders>
          <w:top w:val="single" w:color="B2A1C6"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B2A1C6" w:sz="12" w:space="0"/>
        </w:tcBorders>
      </w:tcPr>
    </w:tblStylePr>
    <w:tblStylePr w:type="band1Horz">
      <w:rPr>
        <w:rFonts w:ascii="Arial" w:hAnsi="Arial"/>
        <w:color w:val="404040"/>
        <w:sz w:val="22"/>
      </w:rPr>
      <w:tcPr>
        <w:tcBorders>
          <w:top w:val="single" w:color="CBC0D9" w:sz="4" w:space="0"/>
          <w:left w:val="single" w:color="CBC0D9" w:sz="4" w:space="0"/>
          <w:bottom w:val="single" w:color="CBC0D9" w:sz="4" w:space="0"/>
          <w:right w:val="single" w:color="CBC0D9" w:sz="4" w:space="0"/>
        </w:tcBorders>
      </w:tcPr>
    </w:tblStylePr>
  </w:style>
  <w:style w:type="table" w:customStyle="1" w:styleId="964">
    <w:name w:val="Bordered - Accent 52"/>
    <w:basedOn w:val="13"/>
    <w:uiPriority w:val="99"/>
    <w:rPr>
      <w:sz w:val="22"/>
      <w:szCs w:val="22"/>
      <w:lang w:eastAsia="en-US"/>
    </w:rPr>
    <w:tblPr>
      <w:tblBorders>
        <w:top w:val="single" w:color="B6DDE8" w:sz="4" w:space="0"/>
        <w:left w:val="single" w:color="B6DDE8" w:sz="4" w:space="0"/>
        <w:bottom w:val="single" w:color="B6DDE8" w:sz="4" w:space="0"/>
        <w:right w:val="single" w:color="B6DDE8" w:sz="4" w:space="0"/>
        <w:insideH w:val="single" w:color="B6DDE8" w:sz="4" w:space="0"/>
        <w:insideV w:val="single" w:color="B6DDE8" w:sz="4" w:space="0"/>
      </w:tblBorders>
      <w:tblCellMar>
        <w:top w:w="0" w:type="dxa"/>
        <w:left w:w="108" w:type="dxa"/>
        <w:bottom w:w="0" w:type="dxa"/>
        <w:right w:w="108" w:type="dxa"/>
      </w:tblCellMar>
    </w:tblPr>
    <w:tblStylePr w:type="firstRow">
      <w:rPr>
        <w:rFonts w:ascii="Arial" w:hAnsi="Arial"/>
        <w:color w:val="404040"/>
        <w:sz w:val="22"/>
      </w:rPr>
      <w:tcPr>
        <w:tcBorders>
          <w:bottom w:val="single" w:color="92CCDC" w:sz="12" w:space="0"/>
        </w:tcBorders>
      </w:tcPr>
    </w:tblStylePr>
    <w:tblStylePr w:type="lastRow">
      <w:rPr>
        <w:rFonts w:ascii="Arial" w:hAnsi="Arial"/>
        <w:color w:val="404040"/>
        <w:sz w:val="22"/>
      </w:rPr>
      <w:tcPr>
        <w:tcBorders>
          <w:top w:val="single" w:color="92CCDC"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92CCDC" w:sz="12" w:space="0"/>
        </w:tcBorders>
      </w:tcPr>
    </w:tblStylePr>
    <w:tblStylePr w:type="band1Horz">
      <w:rPr>
        <w:rFonts w:ascii="Arial" w:hAnsi="Arial"/>
        <w:color w:val="404040"/>
        <w:sz w:val="22"/>
      </w:rPr>
      <w:tcPr>
        <w:tcBorders>
          <w:top w:val="single" w:color="B6DDE8" w:sz="4" w:space="0"/>
          <w:left w:val="single" w:color="B6DDE8" w:sz="4" w:space="0"/>
          <w:bottom w:val="single" w:color="B6DDE8" w:sz="4" w:space="0"/>
          <w:right w:val="single" w:color="B6DDE8" w:sz="4" w:space="0"/>
        </w:tcBorders>
      </w:tcPr>
    </w:tblStylePr>
  </w:style>
  <w:style w:type="table" w:customStyle="1" w:styleId="965">
    <w:name w:val="Bordered - Accent 62"/>
    <w:basedOn w:val="13"/>
    <w:uiPriority w:val="99"/>
    <w:rPr>
      <w:sz w:val="22"/>
      <w:szCs w:val="22"/>
      <w:lang w:eastAsia="en-US"/>
    </w:rPr>
    <w:tblPr>
      <w:tblBorders>
        <w:top w:val="single" w:color="FBD4B4" w:sz="4" w:space="0"/>
        <w:left w:val="single" w:color="FBD4B4" w:sz="4" w:space="0"/>
        <w:bottom w:val="single" w:color="FBD4B4" w:sz="4" w:space="0"/>
        <w:right w:val="single" w:color="FBD4B4" w:sz="4" w:space="0"/>
        <w:insideH w:val="single" w:color="FBD4B4" w:sz="4" w:space="0"/>
        <w:insideV w:val="single" w:color="FBD4B4" w:sz="4" w:space="0"/>
      </w:tblBorders>
      <w:tblCellMar>
        <w:top w:w="0" w:type="dxa"/>
        <w:left w:w="108" w:type="dxa"/>
        <w:bottom w:w="0" w:type="dxa"/>
        <w:right w:w="108" w:type="dxa"/>
      </w:tblCellMar>
    </w:tblPr>
    <w:tblStylePr w:type="firstRow">
      <w:rPr>
        <w:rFonts w:ascii="Arial" w:hAnsi="Arial"/>
        <w:color w:val="404040"/>
        <w:sz w:val="22"/>
      </w:rPr>
      <w:tcPr>
        <w:tcBorders>
          <w:bottom w:val="single" w:color="FAC090" w:sz="12" w:space="0"/>
        </w:tcBorders>
      </w:tcPr>
    </w:tblStylePr>
    <w:tblStylePr w:type="lastRow">
      <w:rPr>
        <w:rFonts w:ascii="Arial" w:hAnsi="Arial"/>
        <w:color w:val="404040"/>
        <w:sz w:val="22"/>
      </w:rPr>
      <w:tcPr>
        <w:tcBorders>
          <w:top w:val="single" w:color="FAC090"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FAC090" w:sz="12" w:space="0"/>
        </w:tcBorders>
      </w:tcPr>
    </w:tblStylePr>
    <w:tblStylePr w:type="band1Horz">
      <w:rPr>
        <w:rFonts w:ascii="Arial" w:hAnsi="Arial"/>
        <w:color w:val="404040"/>
        <w:sz w:val="22"/>
      </w:rPr>
      <w:tcPr>
        <w:tcBorders>
          <w:top w:val="single" w:color="FBD4B4" w:sz="4" w:space="0"/>
          <w:left w:val="single" w:color="FBD4B4" w:sz="4" w:space="0"/>
          <w:bottom w:val="single" w:color="FBD4B4" w:sz="4" w:space="0"/>
          <w:right w:val="single" w:color="FBD4B4" w:sz="4" w:space="0"/>
        </w:tcBorders>
      </w:tcPr>
    </w:tblStylePr>
  </w:style>
  <w:style w:type="character" w:customStyle="1" w:styleId="966">
    <w:name w:val="markedcontent"/>
    <w:uiPriority w:val="0"/>
  </w:style>
  <w:style w:type="table" w:customStyle="1" w:styleId="967">
    <w:name w:val="Сетка таблицы8"/>
    <w:basedOn w:val="13"/>
    <w:uiPriority w:val="59"/>
    <w:rPr>
      <w:sz w:val="22"/>
      <w:szCs w:val="22"/>
      <w:lang w:eastAsia="en-US"/>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
  </w:style>
  <w:style w:type="table" w:customStyle="1" w:styleId="968">
    <w:name w:val="Table Grid Light3"/>
    <w:basedOn w:val="13"/>
    <w:uiPriority w:val="59"/>
    <w:rPr>
      <w:sz w:val="22"/>
      <w:szCs w:val="22"/>
      <w:lang w:eastAsia="en-US"/>
    </w:rPr>
    <w:tblPr>
      <w:tblBorders>
        <w:top w:val="single" w:color="AFAFAF" w:sz="4" w:space="0"/>
        <w:left w:val="single" w:color="AFAFAF" w:sz="4" w:space="0"/>
        <w:bottom w:val="single" w:color="AFAFAF" w:sz="4" w:space="0"/>
        <w:right w:val="single" w:color="AFAFAF" w:sz="4" w:space="0"/>
        <w:insideH w:val="single" w:color="AFAFAF" w:sz="4" w:space="0"/>
        <w:insideV w:val="single" w:color="AFAFAF" w:sz="4" w:space="0"/>
      </w:tblBorders>
      <w:tblCellMar>
        <w:top w:w="0" w:type="dxa"/>
        <w:left w:w="108" w:type="dxa"/>
        <w:bottom w:w="0" w:type="dxa"/>
        <w:right w:w="108" w:type="dxa"/>
      </w:tblCellMar>
    </w:tblPr>
  </w:style>
  <w:style w:type="table" w:customStyle="1" w:styleId="969">
    <w:name w:val="Plain Table 11"/>
    <w:basedOn w:val="13"/>
    <w:uiPriority w:val="59"/>
    <w:rPr>
      <w:sz w:val="22"/>
      <w:szCs w:val="22"/>
      <w:lang w:eastAsia="en-US"/>
    </w:rPr>
    <w:tblPr>
      <w:tblBorders>
        <w:top w:val="single" w:color="AFAFAF" w:sz="4" w:space="0"/>
        <w:left w:val="single" w:color="AFAFAF" w:sz="4" w:space="0"/>
        <w:bottom w:val="single" w:color="AFAFAF" w:sz="4" w:space="0"/>
        <w:right w:val="single" w:color="AFAFAF" w:sz="4" w:space="0"/>
        <w:insideH w:val="single" w:color="AFAFAF" w:sz="4" w:space="0"/>
        <w:insideV w:val="single" w:color="AFAFAF" w:sz="4" w:space="0"/>
      </w:tblBorders>
      <w:tblCellMar>
        <w:top w:w="0" w:type="dxa"/>
        <w:left w:w="108" w:type="dxa"/>
        <w:bottom w:w="0" w:type="dxa"/>
        <w:right w:w="108" w:type="dxa"/>
      </w:tblCellMar>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cPr>
        <w:shd w:val="clear" w:color="F2F2F2" w:fill="F2F2F2"/>
      </w:tcPr>
    </w:tblStylePr>
    <w:tblStylePr w:type="band1Horz">
      <w:tcPr>
        <w:shd w:val="clear" w:color="F2F2F2" w:fill="F2F2F2"/>
      </w:tcPr>
    </w:tblStylePr>
  </w:style>
  <w:style w:type="table" w:customStyle="1" w:styleId="970">
    <w:name w:val="Plain Table 21"/>
    <w:basedOn w:val="13"/>
    <w:uiPriority w:val="59"/>
    <w:rPr>
      <w:sz w:val="22"/>
      <w:szCs w:val="22"/>
      <w:lang w:eastAsia="en-US"/>
    </w:rPr>
    <w:tblPr>
      <w:tblBorders>
        <w:top w:val="single" w:color="000000" w:sz="4" w:space="0"/>
        <w:left w:val="none" w:color="000000" w:sz="4" w:space="0"/>
        <w:bottom w:val="single" w:color="000000" w:sz="4" w:space="0"/>
        <w:right w:val="none" w:color="000000" w:sz="4" w:space="0"/>
      </w:tblBorders>
      <w:tblCellMar>
        <w:top w:w="0" w:type="dxa"/>
        <w:left w:w="108" w:type="dxa"/>
        <w:bottom w:w="0" w:type="dxa"/>
        <w:right w:w="108" w:type="dxa"/>
      </w:tblCellMar>
    </w:tblPr>
    <w:tblStylePr w:type="firstRow">
      <w:rPr>
        <w:rFonts w:ascii="Arial" w:hAnsi="Arial"/>
        <w:b/>
        <w:color w:val="404040"/>
        <w:sz w:val="22"/>
      </w:rPr>
      <w:tcPr>
        <w:tcBorders>
          <w:top w:val="single" w:color="000000" w:sz="4" w:space="0"/>
          <w:bottom w:val="single" w:color="000000" w:sz="4" w:space="0"/>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cPr>
        <w:tcBorders>
          <w:left w:val="single" w:color="000000" w:sz="4" w:space="0"/>
          <w:right w:val="single" w:color="000000" w:sz="4" w:space="0"/>
        </w:tcBorders>
      </w:tcPr>
    </w:tblStylePr>
    <w:tblStylePr w:type="band2Vert">
      <w:tcPr>
        <w:tcBorders>
          <w:left w:val="single" w:color="000000" w:sz="4" w:space="0"/>
          <w:right w:val="single" w:color="000000" w:sz="4" w:space="0"/>
        </w:tcBorders>
      </w:tcPr>
    </w:tblStylePr>
    <w:tblStylePr w:type="band1Horz">
      <w:tcPr>
        <w:tcBorders>
          <w:top w:val="single" w:color="000000" w:sz="4" w:space="0"/>
          <w:bottom w:val="single" w:color="000000" w:sz="4" w:space="0"/>
        </w:tcBorders>
      </w:tcPr>
    </w:tblStylePr>
  </w:style>
  <w:style w:type="table" w:customStyle="1" w:styleId="971">
    <w:name w:val="Plain Table 31"/>
    <w:basedOn w:val="13"/>
    <w:uiPriority w:val="99"/>
    <w:rPr>
      <w:sz w:val="22"/>
      <w:szCs w:val="22"/>
      <w:lang w:eastAsia="en-US"/>
    </w:rPr>
    <w:tblPr>
      <w:tblCellMar>
        <w:top w:w="0" w:type="dxa"/>
        <w:left w:w="108" w:type="dxa"/>
        <w:bottom w:w="0" w:type="dxa"/>
        <w:right w:w="108" w:type="dxa"/>
      </w:tblCellMar>
    </w:tblPr>
    <w:tblStylePr w:type="firstRow">
      <w:rPr>
        <w:b/>
        <w:caps/>
        <w:color w:val="404040"/>
      </w:rPr>
      <w:tcPr>
        <w:tcBorders>
          <w:top w:val="nil"/>
          <w:left w:val="nil"/>
          <w:bottom w:val="single" w:color="404040" w:sz="4" w:space="0"/>
          <w:right w:val="nil"/>
        </w:tcBorders>
      </w:tcPr>
    </w:tblStylePr>
    <w:tblStylePr w:type="lastRow">
      <w:rPr>
        <w:b/>
        <w:caps/>
        <w:color w:val="404040"/>
      </w:rPr>
    </w:tblStylePr>
    <w:tblStylePr w:type="firstCol">
      <w:rPr>
        <w:b/>
        <w:caps/>
        <w:color w:val="404040"/>
      </w:rPr>
      <w:tcPr>
        <w:tcBorders>
          <w:top w:val="nil"/>
          <w:left w:val="nil"/>
          <w:bottom w:val="nil"/>
          <w:right w:val="single" w:color="404040" w:sz="4" w:space="0"/>
        </w:tcBorders>
      </w:tcPr>
    </w:tblStylePr>
    <w:tblStylePr w:type="lastCol">
      <w:rPr>
        <w:b/>
        <w:caps/>
        <w:color w:val="404040"/>
      </w:rPr>
    </w:tblStylePr>
    <w:tblStylePr w:type="band1Vert">
      <w:rPr>
        <w:rFonts w:ascii="Arial" w:hAnsi="Arial"/>
        <w:color w:val="404040"/>
        <w:sz w:val="22"/>
      </w:rPr>
      <w:tcPr>
        <w:shd w:val="clear" w:color="F2F2F2" w:fill="F2F2F2"/>
      </w:tcPr>
    </w:tblStylePr>
    <w:tblStylePr w:type="band1Horz">
      <w:rPr>
        <w:rFonts w:ascii="Arial" w:hAnsi="Arial"/>
        <w:color w:val="404040"/>
        <w:sz w:val="22"/>
      </w:rPr>
      <w:tcPr>
        <w:shd w:val="clear" w:color="F2F2F2" w:fill="F2F2F2"/>
      </w:tcPr>
    </w:tblStylePr>
  </w:style>
  <w:style w:type="table" w:customStyle="1" w:styleId="972">
    <w:name w:val="Plain Table 41"/>
    <w:basedOn w:val="13"/>
    <w:uiPriority w:val="99"/>
    <w:rPr>
      <w:sz w:val="22"/>
      <w:szCs w:val="22"/>
      <w:lang w:eastAsia="en-US"/>
    </w:rPr>
    <w:tblPr>
      <w:tblCellMar>
        <w:top w:w="0" w:type="dxa"/>
        <w:left w:w="108" w:type="dxa"/>
        <w:bottom w:w="0" w:type="dxa"/>
        <w:right w:w="108" w:type="dxa"/>
      </w:tblCellMar>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F2F2F2" w:fill="F2F2F2"/>
      </w:tcPr>
    </w:tblStylePr>
    <w:tblStylePr w:type="band1Horz">
      <w:rPr>
        <w:rFonts w:ascii="Arial" w:hAnsi="Arial"/>
        <w:color w:val="404040"/>
        <w:sz w:val="22"/>
      </w:rPr>
      <w:tcPr>
        <w:shd w:val="clear" w:color="F2F2F2" w:fill="F2F2F2"/>
      </w:tcPr>
    </w:tblStylePr>
  </w:style>
  <w:style w:type="table" w:customStyle="1" w:styleId="973">
    <w:name w:val="Plain Table 51"/>
    <w:basedOn w:val="13"/>
    <w:uiPriority w:val="99"/>
    <w:rPr>
      <w:sz w:val="22"/>
      <w:szCs w:val="22"/>
      <w:lang w:eastAsia="en-US"/>
    </w:rPr>
    <w:tblPr>
      <w:tblCellMar>
        <w:top w:w="0" w:type="dxa"/>
        <w:left w:w="108" w:type="dxa"/>
        <w:bottom w:w="0" w:type="dxa"/>
        <w:right w:w="108" w:type="dxa"/>
      </w:tblCellMar>
    </w:tblPr>
    <w:tblStylePr w:type="firstRow">
      <w:rPr>
        <w:i/>
        <w:color w:val="404040"/>
      </w:rPr>
      <w:tcPr>
        <w:tcBorders>
          <w:left w:val="nil"/>
          <w:bottom w:val="single" w:color="404040" w:sz="4" w:space="0"/>
          <w:right w:val="nil"/>
        </w:tcBorders>
        <w:shd w:val="clear" w:color="FFFFFF" w:fill="auto"/>
      </w:tcPr>
    </w:tblStylePr>
    <w:tblStylePr w:type="lastRow">
      <w:rPr>
        <w:i/>
        <w:color w:val="404040"/>
      </w:rPr>
      <w:tcPr>
        <w:tcBorders>
          <w:top w:val="single" w:color="404040" w:sz="4" w:space="0"/>
          <w:left w:val="nil"/>
          <w:right w:val="nil"/>
        </w:tcBorders>
        <w:shd w:val="clear" w:color="FFFFFF" w:fill="auto"/>
      </w:tcPr>
    </w:tblStylePr>
    <w:tblStylePr w:type="firstCol">
      <w:pPr>
        <w:jc w:val="right"/>
      </w:pPr>
      <w:rPr>
        <w:i/>
        <w:color w:val="404040"/>
      </w:rPr>
      <w:tcPr>
        <w:tcBorders>
          <w:right w:val="single" w:color="404040" w:sz="4" w:space="0"/>
        </w:tcBorders>
        <w:shd w:val="clear" w:color="FFFFFF" w:fill="auto"/>
      </w:tcPr>
    </w:tblStylePr>
    <w:tblStylePr w:type="lastCol">
      <w:rPr>
        <w:i/>
        <w:color w:val="404040"/>
      </w:rPr>
      <w:tcPr>
        <w:tcBorders>
          <w:left w:val="single" w:color="404040" w:sz="4" w:space="0"/>
        </w:tcBorders>
        <w:shd w:val="clear" w:color="FFFFFF" w:fill="auto"/>
      </w:tcPr>
    </w:tblStylePr>
    <w:tblStylePr w:type="band1Vert">
      <w:rPr>
        <w:rFonts w:ascii="Arial" w:hAnsi="Arial"/>
        <w:color w:val="404040"/>
        <w:sz w:val="22"/>
      </w:rPr>
      <w:tcPr>
        <w:shd w:val="clear" w:color="F2F2F2" w:fill="F2F2F2"/>
      </w:tcPr>
    </w:tblStylePr>
    <w:tblStylePr w:type="band1Horz">
      <w:rPr>
        <w:rFonts w:ascii="Arial" w:hAnsi="Arial"/>
        <w:color w:val="404040"/>
        <w:sz w:val="22"/>
      </w:rPr>
      <w:tcPr>
        <w:shd w:val="clear" w:color="F2F2F2" w:fill="F2F2F2"/>
      </w:tcPr>
    </w:tblStylePr>
  </w:style>
  <w:style w:type="table" w:customStyle="1" w:styleId="974">
    <w:name w:val="Grid Table 1 Light1"/>
    <w:basedOn w:val="13"/>
    <w:uiPriority w:val="99"/>
    <w:rPr>
      <w:sz w:val="22"/>
      <w:szCs w:val="22"/>
      <w:lang w:eastAsia="en-US"/>
    </w:rPr>
    <w:tblPr>
      <w:tblBorders>
        <w:top w:val="single" w:color="989898" w:sz="4" w:space="0"/>
        <w:left w:val="single" w:color="989898" w:sz="4" w:space="0"/>
        <w:bottom w:val="single" w:color="989898" w:sz="4" w:space="0"/>
        <w:right w:val="single" w:color="989898" w:sz="4" w:space="0"/>
        <w:insideH w:val="single" w:color="989898" w:sz="4" w:space="0"/>
        <w:insideV w:val="single" w:color="989898" w:sz="4" w:space="0"/>
      </w:tblBorders>
      <w:tblCellMar>
        <w:top w:w="0" w:type="dxa"/>
        <w:left w:w="108" w:type="dxa"/>
        <w:bottom w:w="0" w:type="dxa"/>
        <w:right w:w="108" w:type="dxa"/>
      </w:tblCellMar>
    </w:tblPr>
    <w:tblStylePr w:type="firstRow">
      <w:rPr>
        <w:b/>
        <w:color w:val="404040"/>
      </w:rPr>
      <w:tcPr>
        <w:tcBorders>
          <w:bottom w:val="single" w:color="6A6A6A" w:sz="12" w:space="0"/>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cPr>
        <w:tcBorders>
          <w:top w:val="single" w:color="989898" w:sz="4" w:space="0"/>
          <w:left w:val="single" w:color="989898" w:sz="4" w:space="0"/>
          <w:bottom w:val="single" w:color="989898" w:sz="4" w:space="0"/>
          <w:right w:val="single" w:color="989898" w:sz="4" w:space="0"/>
        </w:tcBorders>
      </w:tcPr>
    </w:tblStylePr>
  </w:style>
  <w:style w:type="table" w:customStyle="1" w:styleId="975">
    <w:name w:val="Grid Table 1 Light - Accent 13"/>
    <w:basedOn w:val="13"/>
    <w:uiPriority w:val="99"/>
    <w:rPr>
      <w:sz w:val="22"/>
      <w:szCs w:val="22"/>
      <w:lang w:eastAsia="en-US"/>
    </w:rPr>
    <w:tblPr>
      <w:tblBorders>
        <w:top w:val="single" w:color="B7CBE4" w:sz="4" w:space="0"/>
        <w:left w:val="single" w:color="B7CBE4" w:sz="4" w:space="0"/>
        <w:bottom w:val="single" w:color="B7CBE4" w:sz="4" w:space="0"/>
        <w:right w:val="single" w:color="B7CBE4" w:sz="4" w:space="0"/>
        <w:insideH w:val="single" w:color="B7CBE4" w:sz="4" w:space="0"/>
        <w:insideV w:val="single" w:color="B7CBE4" w:sz="4" w:space="0"/>
      </w:tblBorders>
      <w:tblCellMar>
        <w:top w:w="0" w:type="dxa"/>
        <w:left w:w="108" w:type="dxa"/>
        <w:bottom w:w="0" w:type="dxa"/>
        <w:right w:w="108" w:type="dxa"/>
      </w:tblCellMar>
    </w:tblPr>
    <w:tblStylePr w:type="firstRow">
      <w:rPr>
        <w:b/>
        <w:color w:val="404040"/>
      </w:rPr>
      <w:tcPr>
        <w:tcBorders>
          <w:bottom w:val="single" w:color="97B4D8" w:sz="12" w:space="0"/>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cPr>
        <w:tcBorders>
          <w:top w:val="single" w:color="B7CBE4" w:sz="4" w:space="0"/>
          <w:left w:val="single" w:color="B7CBE4" w:sz="4" w:space="0"/>
          <w:bottom w:val="single" w:color="B7CBE4" w:sz="4" w:space="0"/>
          <w:right w:val="single" w:color="B7CBE4" w:sz="4" w:space="0"/>
        </w:tcBorders>
      </w:tcPr>
    </w:tblStylePr>
  </w:style>
  <w:style w:type="table" w:customStyle="1" w:styleId="976">
    <w:name w:val="Grid Table 1 Light - Accent 23"/>
    <w:basedOn w:val="13"/>
    <w:uiPriority w:val="99"/>
    <w:rPr>
      <w:sz w:val="22"/>
      <w:szCs w:val="22"/>
      <w:lang w:eastAsia="en-US"/>
    </w:rPr>
    <w:tblPr>
      <w:tblBorders>
        <w:top w:val="single" w:color="E5B7B6" w:sz="4" w:space="0"/>
        <w:left w:val="single" w:color="E5B7B6" w:sz="4" w:space="0"/>
        <w:bottom w:val="single" w:color="E5B7B6" w:sz="4" w:space="0"/>
        <w:right w:val="single" w:color="E5B7B6" w:sz="4" w:space="0"/>
        <w:insideH w:val="single" w:color="E5B7B6" w:sz="4" w:space="0"/>
        <w:insideV w:val="single" w:color="E5B7B6" w:sz="4" w:space="0"/>
      </w:tblBorders>
      <w:tblCellMar>
        <w:top w:w="0" w:type="dxa"/>
        <w:left w:w="108" w:type="dxa"/>
        <w:bottom w:w="0" w:type="dxa"/>
        <w:right w:w="108" w:type="dxa"/>
      </w:tblCellMar>
    </w:tblPr>
    <w:tblStylePr w:type="firstRow">
      <w:rPr>
        <w:b/>
        <w:color w:val="404040"/>
      </w:rPr>
      <w:tcPr>
        <w:tcBorders>
          <w:bottom w:val="single" w:color="DA9896" w:sz="12" w:space="0"/>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cPr>
        <w:tcBorders>
          <w:top w:val="single" w:color="E5B7B6" w:sz="4" w:space="0"/>
          <w:left w:val="single" w:color="E5B7B6" w:sz="4" w:space="0"/>
          <w:bottom w:val="single" w:color="E5B7B6" w:sz="4" w:space="0"/>
          <w:right w:val="single" w:color="E5B7B6" w:sz="4" w:space="0"/>
        </w:tcBorders>
      </w:tcPr>
    </w:tblStylePr>
  </w:style>
  <w:style w:type="table" w:customStyle="1" w:styleId="977">
    <w:name w:val="Grid Table 1 Light - Accent 33"/>
    <w:basedOn w:val="13"/>
    <w:uiPriority w:val="99"/>
    <w:rPr>
      <w:sz w:val="22"/>
      <w:szCs w:val="22"/>
      <w:lang w:eastAsia="en-US"/>
    </w:rPr>
    <w:tblPr>
      <w:tblBorders>
        <w:top w:val="single" w:color="D6E3BB" w:sz="4" w:space="0"/>
        <w:left w:val="single" w:color="D6E3BB" w:sz="4" w:space="0"/>
        <w:bottom w:val="single" w:color="D6E3BB" w:sz="4" w:space="0"/>
        <w:right w:val="single" w:color="D6E3BB" w:sz="4" w:space="0"/>
        <w:insideH w:val="single" w:color="D6E3BB" w:sz="4" w:space="0"/>
        <w:insideV w:val="single" w:color="D6E3BB" w:sz="4" w:space="0"/>
      </w:tblBorders>
      <w:tblCellMar>
        <w:top w:w="0" w:type="dxa"/>
        <w:left w:w="108" w:type="dxa"/>
        <w:bottom w:w="0" w:type="dxa"/>
        <w:right w:w="108" w:type="dxa"/>
      </w:tblCellMar>
    </w:tblPr>
    <w:tblStylePr w:type="firstRow">
      <w:rPr>
        <w:b/>
        <w:color w:val="404040"/>
      </w:rPr>
      <w:tcPr>
        <w:tcBorders>
          <w:bottom w:val="single" w:color="C4D79D" w:sz="12" w:space="0"/>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cPr>
        <w:tcBorders>
          <w:top w:val="single" w:color="D6E3BB" w:sz="4" w:space="0"/>
          <w:left w:val="single" w:color="D6E3BB" w:sz="4" w:space="0"/>
          <w:bottom w:val="single" w:color="D6E3BB" w:sz="4" w:space="0"/>
          <w:right w:val="single" w:color="D6E3BB" w:sz="4" w:space="0"/>
        </w:tcBorders>
      </w:tcPr>
    </w:tblStylePr>
  </w:style>
  <w:style w:type="table" w:customStyle="1" w:styleId="978">
    <w:name w:val="Grid Table 1 Light - Accent 43"/>
    <w:basedOn w:val="13"/>
    <w:uiPriority w:val="99"/>
    <w:rPr>
      <w:sz w:val="22"/>
      <w:szCs w:val="22"/>
      <w:lang w:eastAsia="en-US"/>
    </w:rPr>
    <w:tblPr>
      <w:tblBorders>
        <w:top w:val="single" w:color="CBC0D9" w:sz="4" w:space="0"/>
        <w:left w:val="single" w:color="CBC0D9" w:sz="4" w:space="0"/>
        <w:bottom w:val="single" w:color="CBC0D9" w:sz="4" w:space="0"/>
        <w:right w:val="single" w:color="CBC0D9" w:sz="4" w:space="0"/>
        <w:insideH w:val="single" w:color="CBC0D9" w:sz="4" w:space="0"/>
        <w:insideV w:val="single" w:color="CBC0D9" w:sz="4" w:space="0"/>
      </w:tblBorders>
      <w:tblCellMar>
        <w:top w:w="0" w:type="dxa"/>
        <w:left w:w="108" w:type="dxa"/>
        <w:bottom w:w="0" w:type="dxa"/>
        <w:right w:w="108" w:type="dxa"/>
      </w:tblCellMar>
    </w:tblPr>
    <w:tblStylePr w:type="firstRow">
      <w:rPr>
        <w:b/>
        <w:color w:val="404040"/>
      </w:rPr>
      <w:tcPr>
        <w:tcBorders>
          <w:bottom w:val="single" w:color="B4A4C8" w:sz="12" w:space="0"/>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cPr>
        <w:tcBorders>
          <w:top w:val="single" w:color="CBC0D9" w:sz="4" w:space="0"/>
          <w:left w:val="single" w:color="CBC0D9" w:sz="4" w:space="0"/>
          <w:bottom w:val="single" w:color="CBC0D9" w:sz="4" w:space="0"/>
          <w:right w:val="single" w:color="CBC0D9" w:sz="4" w:space="0"/>
        </w:tcBorders>
      </w:tcPr>
    </w:tblStylePr>
  </w:style>
  <w:style w:type="table" w:customStyle="1" w:styleId="979">
    <w:name w:val="Grid Table 1 Light - Accent 53"/>
    <w:basedOn w:val="13"/>
    <w:uiPriority w:val="99"/>
    <w:rPr>
      <w:sz w:val="22"/>
      <w:szCs w:val="22"/>
      <w:lang w:eastAsia="en-US"/>
    </w:rPr>
    <w:tblPr>
      <w:tblBorders>
        <w:top w:val="single" w:color="B6DDE8" w:sz="4" w:space="0"/>
        <w:left w:val="single" w:color="B6DDE8" w:sz="4" w:space="0"/>
        <w:bottom w:val="single" w:color="B6DDE8" w:sz="4" w:space="0"/>
        <w:right w:val="single" w:color="B6DDE8" w:sz="4" w:space="0"/>
        <w:insideH w:val="single" w:color="B6DDE8" w:sz="4" w:space="0"/>
        <w:insideV w:val="single" w:color="B6DDE8" w:sz="4" w:space="0"/>
      </w:tblBorders>
      <w:tblCellMar>
        <w:top w:w="0" w:type="dxa"/>
        <w:left w:w="108" w:type="dxa"/>
        <w:bottom w:w="0" w:type="dxa"/>
        <w:right w:w="108" w:type="dxa"/>
      </w:tblCellMar>
    </w:tblPr>
    <w:tblStylePr w:type="firstRow">
      <w:rPr>
        <w:b/>
        <w:color w:val="404040"/>
      </w:rPr>
      <w:tcPr>
        <w:tcBorders>
          <w:bottom w:val="single" w:color="95CEDD" w:sz="12" w:space="0"/>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cPr>
        <w:tcBorders>
          <w:top w:val="single" w:color="B6DDE8" w:sz="4" w:space="0"/>
          <w:left w:val="single" w:color="B6DDE8" w:sz="4" w:space="0"/>
          <w:bottom w:val="single" w:color="B6DDE8" w:sz="4" w:space="0"/>
          <w:right w:val="single" w:color="B6DDE8" w:sz="4" w:space="0"/>
        </w:tcBorders>
      </w:tcPr>
    </w:tblStylePr>
  </w:style>
  <w:style w:type="table" w:customStyle="1" w:styleId="980">
    <w:name w:val="Grid Table 1 Light - Accent 63"/>
    <w:basedOn w:val="13"/>
    <w:uiPriority w:val="99"/>
    <w:rPr>
      <w:sz w:val="22"/>
      <w:szCs w:val="22"/>
      <w:lang w:eastAsia="en-US"/>
    </w:rPr>
    <w:tblPr>
      <w:tblBorders>
        <w:top w:val="single" w:color="FBD4B4" w:sz="4" w:space="0"/>
        <w:left w:val="single" w:color="FBD4B4" w:sz="4" w:space="0"/>
        <w:bottom w:val="single" w:color="FBD4B4" w:sz="4" w:space="0"/>
        <w:right w:val="single" w:color="FBD4B4" w:sz="4" w:space="0"/>
        <w:insideH w:val="single" w:color="FBD4B4" w:sz="4" w:space="0"/>
        <w:insideV w:val="single" w:color="FBD4B4" w:sz="4" w:space="0"/>
      </w:tblBorders>
      <w:tblCellMar>
        <w:top w:w="0" w:type="dxa"/>
        <w:left w:w="108" w:type="dxa"/>
        <w:bottom w:w="0" w:type="dxa"/>
        <w:right w:w="108" w:type="dxa"/>
      </w:tblCellMar>
    </w:tblPr>
    <w:tblStylePr w:type="firstRow">
      <w:rPr>
        <w:b/>
        <w:color w:val="404040"/>
      </w:rPr>
      <w:tcPr>
        <w:tcBorders>
          <w:bottom w:val="single" w:color="FAC192" w:sz="12" w:space="0"/>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cPr>
        <w:tcBorders>
          <w:top w:val="single" w:color="FBD4B4" w:sz="4" w:space="0"/>
          <w:left w:val="single" w:color="FBD4B4" w:sz="4" w:space="0"/>
          <w:bottom w:val="single" w:color="FBD4B4" w:sz="4" w:space="0"/>
          <w:right w:val="single" w:color="FBD4B4" w:sz="4" w:space="0"/>
        </w:tcBorders>
      </w:tcPr>
    </w:tblStylePr>
  </w:style>
  <w:style w:type="table" w:customStyle="1" w:styleId="981">
    <w:name w:val="Grid Table 21"/>
    <w:basedOn w:val="13"/>
    <w:uiPriority w:val="99"/>
    <w:rPr>
      <w:sz w:val="22"/>
      <w:szCs w:val="22"/>
      <w:lang w:eastAsia="en-US"/>
    </w:rPr>
    <w:tblPr>
      <w:tblBorders>
        <w:bottom w:val="single" w:color="6A6A6A" w:sz="4" w:space="0"/>
        <w:insideH w:val="single" w:color="6A6A6A" w:sz="4" w:space="0"/>
        <w:insideV w:val="single" w:color="6A6A6A" w:sz="4" w:space="0"/>
      </w:tblBorders>
      <w:tblCellMar>
        <w:top w:w="0" w:type="dxa"/>
        <w:left w:w="108" w:type="dxa"/>
        <w:bottom w:w="0" w:type="dxa"/>
        <w:right w:w="108" w:type="dxa"/>
      </w:tblCellMar>
    </w:tblPr>
    <w:tblStylePr w:type="firstRow">
      <w:rPr>
        <w:b/>
        <w:color w:val="404040"/>
      </w:rPr>
      <w:tcPr>
        <w:tcBorders>
          <w:top w:val="nil"/>
          <w:left w:val="nil"/>
          <w:bottom w:val="single" w:color="6A6A6A" w:sz="12" w:space="0"/>
          <w:right w:val="nil"/>
        </w:tcBorders>
        <w:shd w:val="clear" w:color="FFFFFF" w:fill="auto"/>
      </w:tcPr>
    </w:tblStylePr>
    <w:tblStylePr w:type="lastRow">
      <w:rPr>
        <w:b/>
        <w:color w:val="404040"/>
      </w:rPr>
      <w:tcPr>
        <w:tcBorders>
          <w:top w:val="single" w:color="6A6A6A"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CBCBCB" w:fill="CBCBCB"/>
      </w:tcPr>
    </w:tblStylePr>
    <w:tblStylePr w:type="band1Horz">
      <w:rPr>
        <w:rFonts w:ascii="Arial" w:hAnsi="Arial"/>
        <w:color w:val="404040"/>
        <w:sz w:val="22"/>
      </w:rPr>
      <w:tcPr>
        <w:shd w:val="clear" w:color="CBCBCB" w:fill="CBCBCB"/>
      </w:tcPr>
    </w:tblStylePr>
  </w:style>
  <w:style w:type="table" w:customStyle="1" w:styleId="982">
    <w:name w:val="Grid Table 2 - Accent 13"/>
    <w:basedOn w:val="13"/>
    <w:uiPriority w:val="99"/>
    <w:rPr>
      <w:sz w:val="22"/>
      <w:szCs w:val="22"/>
      <w:lang w:eastAsia="en-US"/>
    </w:rPr>
    <w:tblPr>
      <w:tblBorders>
        <w:bottom w:val="single" w:color="5D8AC2" w:sz="4" w:space="0"/>
        <w:insideH w:val="single" w:color="5D8AC2" w:sz="4" w:space="0"/>
        <w:insideV w:val="single" w:color="5D8AC2" w:sz="4" w:space="0"/>
      </w:tblBorders>
      <w:tblCellMar>
        <w:top w:w="0" w:type="dxa"/>
        <w:left w:w="108" w:type="dxa"/>
        <w:bottom w:w="0" w:type="dxa"/>
        <w:right w:w="108" w:type="dxa"/>
      </w:tblCellMar>
    </w:tblPr>
    <w:tblStylePr w:type="firstRow">
      <w:rPr>
        <w:b/>
        <w:color w:val="404040"/>
      </w:rPr>
      <w:tcPr>
        <w:tcBorders>
          <w:top w:val="nil"/>
          <w:left w:val="nil"/>
          <w:bottom w:val="single" w:color="5D8AC2" w:sz="12" w:space="0"/>
          <w:right w:val="nil"/>
        </w:tcBorders>
        <w:shd w:val="clear" w:color="FFFFFF" w:fill="auto"/>
      </w:tcPr>
    </w:tblStylePr>
    <w:tblStylePr w:type="lastRow">
      <w:rPr>
        <w:b/>
        <w:color w:val="404040"/>
      </w:rPr>
      <w:tcPr>
        <w:tcBorders>
          <w:top w:val="single" w:color="5D8AC2"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DAE5F1" w:fill="DAE5F1"/>
      </w:tcPr>
    </w:tblStylePr>
    <w:tblStylePr w:type="band1Horz">
      <w:rPr>
        <w:rFonts w:ascii="Arial" w:hAnsi="Arial"/>
        <w:color w:val="404040"/>
        <w:sz w:val="22"/>
      </w:rPr>
      <w:tcPr>
        <w:shd w:val="clear" w:color="DAE5F1" w:fill="DAE5F1"/>
      </w:tcPr>
    </w:tblStylePr>
  </w:style>
  <w:style w:type="table" w:customStyle="1" w:styleId="983">
    <w:name w:val="Grid Table 2 - Accent 23"/>
    <w:basedOn w:val="13"/>
    <w:uiPriority w:val="99"/>
    <w:rPr>
      <w:sz w:val="22"/>
      <w:szCs w:val="22"/>
      <w:lang w:eastAsia="en-US"/>
    </w:rPr>
    <w:tblPr>
      <w:tblBorders>
        <w:bottom w:val="single" w:color="D99695" w:sz="4" w:space="0"/>
        <w:insideH w:val="single" w:color="D99695" w:sz="4" w:space="0"/>
        <w:insideV w:val="single" w:color="D99695" w:sz="4" w:space="0"/>
      </w:tblBorders>
      <w:tblCellMar>
        <w:top w:w="0" w:type="dxa"/>
        <w:left w:w="108" w:type="dxa"/>
        <w:bottom w:w="0" w:type="dxa"/>
        <w:right w:w="108" w:type="dxa"/>
      </w:tblCellMar>
    </w:tblPr>
    <w:tblStylePr w:type="firstRow">
      <w:rPr>
        <w:b/>
        <w:color w:val="404040"/>
      </w:rPr>
      <w:tcPr>
        <w:tcBorders>
          <w:top w:val="nil"/>
          <w:left w:val="nil"/>
          <w:bottom w:val="single" w:color="D99695" w:sz="12" w:space="0"/>
          <w:right w:val="nil"/>
        </w:tcBorders>
        <w:shd w:val="clear" w:color="FFFFFF" w:fill="auto"/>
      </w:tcPr>
    </w:tblStylePr>
    <w:tblStylePr w:type="lastRow">
      <w:rPr>
        <w:b/>
        <w:color w:val="404040"/>
      </w:rPr>
      <w:tcPr>
        <w:tcBorders>
          <w:top w:val="single" w:color="D99695"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F2DCDC" w:fill="F2DCDC"/>
      </w:tcPr>
    </w:tblStylePr>
    <w:tblStylePr w:type="band1Horz">
      <w:rPr>
        <w:rFonts w:ascii="Arial" w:hAnsi="Arial"/>
        <w:color w:val="404040"/>
        <w:sz w:val="22"/>
      </w:rPr>
      <w:tcPr>
        <w:shd w:val="clear" w:color="F2DCDC" w:fill="F2DCDC"/>
      </w:tcPr>
    </w:tblStylePr>
  </w:style>
  <w:style w:type="table" w:customStyle="1" w:styleId="984">
    <w:name w:val="Grid Table 2 - Accent 33"/>
    <w:basedOn w:val="13"/>
    <w:uiPriority w:val="99"/>
    <w:rPr>
      <w:sz w:val="22"/>
      <w:szCs w:val="22"/>
      <w:lang w:eastAsia="en-US"/>
    </w:rPr>
    <w:tblPr>
      <w:tblBorders>
        <w:bottom w:val="single" w:color="9ABB59" w:sz="4" w:space="0"/>
        <w:insideH w:val="single" w:color="9ABB59" w:sz="4" w:space="0"/>
        <w:insideV w:val="single" w:color="9ABB59" w:sz="4" w:space="0"/>
      </w:tblBorders>
      <w:tblCellMar>
        <w:top w:w="0" w:type="dxa"/>
        <w:left w:w="108" w:type="dxa"/>
        <w:bottom w:w="0" w:type="dxa"/>
        <w:right w:w="108" w:type="dxa"/>
      </w:tblCellMar>
    </w:tblPr>
    <w:tblStylePr w:type="firstRow">
      <w:rPr>
        <w:b/>
        <w:color w:val="404040"/>
      </w:rPr>
      <w:tcPr>
        <w:tcBorders>
          <w:top w:val="nil"/>
          <w:left w:val="nil"/>
          <w:bottom w:val="single" w:color="9ABB59" w:sz="12" w:space="0"/>
          <w:right w:val="nil"/>
        </w:tcBorders>
        <w:shd w:val="clear" w:color="FFFFFF" w:fill="auto"/>
      </w:tcPr>
    </w:tblStylePr>
    <w:tblStylePr w:type="lastRow">
      <w:rPr>
        <w:b/>
        <w:color w:val="404040"/>
      </w:rPr>
      <w:tcPr>
        <w:tcBorders>
          <w:top w:val="single" w:color="9ABB59"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EAF1DC" w:fill="EAF1DC"/>
      </w:tcPr>
    </w:tblStylePr>
    <w:tblStylePr w:type="band1Horz">
      <w:rPr>
        <w:rFonts w:ascii="Arial" w:hAnsi="Arial"/>
        <w:color w:val="404040"/>
        <w:sz w:val="22"/>
      </w:rPr>
      <w:tcPr>
        <w:shd w:val="clear" w:color="EAF1DC" w:fill="EAF1DC"/>
      </w:tcPr>
    </w:tblStylePr>
  </w:style>
  <w:style w:type="table" w:customStyle="1" w:styleId="985">
    <w:name w:val="Grid Table 2 - Accent 43"/>
    <w:basedOn w:val="13"/>
    <w:uiPriority w:val="99"/>
    <w:rPr>
      <w:sz w:val="22"/>
      <w:szCs w:val="22"/>
      <w:lang w:eastAsia="en-US"/>
    </w:rPr>
    <w:tblPr>
      <w:tblBorders>
        <w:bottom w:val="single" w:color="B2A1C6" w:sz="4" w:space="0"/>
        <w:insideH w:val="single" w:color="B2A1C6" w:sz="4" w:space="0"/>
        <w:insideV w:val="single" w:color="B2A1C6" w:sz="4" w:space="0"/>
      </w:tblBorders>
      <w:tblCellMar>
        <w:top w:w="0" w:type="dxa"/>
        <w:left w:w="108" w:type="dxa"/>
        <w:bottom w:w="0" w:type="dxa"/>
        <w:right w:w="108" w:type="dxa"/>
      </w:tblCellMar>
    </w:tblPr>
    <w:tblStylePr w:type="firstRow">
      <w:rPr>
        <w:b/>
        <w:color w:val="404040"/>
      </w:rPr>
      <w:tcPr>
        <w:tcBorders>
          <w:top w:val="nil"/>
          <w:left w:val="nil"/>
          <w:bottom w:val="single" w:color="B2A1C6" w:sz="12" w:space="0"/>
          <w:right w:val="nil"/>
        </w:tcBorders>
        <w:shd w:val="clear" w:color="FFFFFF" w:fill="auto"/>
      </w:tcPr>
    </w:tblStylePr>
    <w:tblStylePr w:type="lastRow">
      <w:rPr>
        <w:b/>
        <w:color w:val="404040"/>
      </w:rPr>
      <w:tcPr>
        <w:tcBorders>
          <w:top w:val="single" w:color="B2A1C6"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E5DFEC" w:fill="E5DFEC"/>
      </w:tcPr>
    </w:tblStylePr>
    <w:tblStylePr w:type="band1Horz">
      <w:rPr>
        <w:rFonts w:ascii="Arial" w:hAnsi="Arial"/>
        <w:color w:val="404040"/>
        <w:sz w:val="22"/>
      </w:rPr>
      <w:tcPr>
        <w:shd w:val="clear" w:color="E5DFEC" w:fill="E5DFEC"/>
      </w:tcPr>
    </w:tblStylePr>
  </w:style>
  <w:style w:type="table" w:customStyle="1" w:styleId="986">
    <w:name w:val="Grid Table 2 - Accent 53"/>
    <w:basedOn w:val="13"/>
    <w:uiPriority w:val="99"/>
    <w:rPr>
      <w:sz w:val="22"/>
      <w:szCs w:val="22"/>
      <w:lang w:eastAsia="en-US"/>
    </w:rPr>
    <w:tblPr>
      <w:tblBorders>
        <w:bottom w:val="single" w:color="4BACC6" w:sz="4" w:space="0"/>
        <w:insideH w:val="single" w:color="4BACC6" w:sz="4" w:space="0"/>
        <w:insideV w:val="single" w:color="4BACC6" w:sz="4" w:space="0"/>
      </w:tblBorders>
      <w:tblCellMar>
        <w:top w:w="0" w:type="dxa"/>
        <w:left w:w="108" w:type="dxa"/>
        <w:bottom w:w="0" w:type="dxa"/>
        <w:right w:w="108" w:type="dxa"/>
      </w:tblCellMar>
    </w:tblPr>
    <w:tblStylePr w:type="firstRow">
      <w:rPr>
        <w:b/>
        <w:color w:val="404040"/>
      </w:rPr>
      <w:tcPr>
        <w:tcBorders>
          <w:top w:val="nil"/>
          <w:left w:val="nil"/>
          <w:bottom w:val="single" w:color="4BACC6" w:sz="12" w:space="0"/>
          <w:right w:val="nil"/>
        </w:tcBorders>
        <w:shd w:val="clear" w:color="FFFFFF" w:fill="auto"/>
      </w:tcPr>
    </w:tblStylePr>
    <w:tblStylePr w:type="lastRow">
      <w:rPr>
        <w:b/>
        <w:color w:val="404040"/>
      </w:rPr>
      <w:tcPr>
        <w:tcBorders>
          <w:top w:val="single" w:color="4BACC6"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DAEEF3" w:fill="DAEEF3"/>
      </w:tcPr>
    </w:tblStylePr>
    <w:tblStylePr w:type="band1Horz">
      <w:rPr>
        <w:rFonts w:ascii="Arial" w:hAnsi="Arial"/>
        <w:color w:val="404040"/>
        <w:sz w:val="22"/>
      </w:rPr>
      <w:tcPr>
        <w:shd w:val="clear" w:color="DAEEF3" w:fill="DAEEF3"/>
      </w:tcPr>
    </w:tblStylePr>
  </w:style>
  <w:style w:type="table" w:customStyle="1" w:styleId="987">
    <w:name w:val="Grid Table 2 - Accent 63"/>
    <w:basedOn w:val="13"/>
    <w:uiPriority w:val="99"/>
    <w:rPr>
      <w:sz w:val="22"/>
      <w:szCs w:val="22"/>
      <w:lang w:eastAsia="en-US"/>
    </w:rPr>
    <w:tblPr>
      <w:tblBorders>
        <w:bottom w:val="single" w:color="F79646" w:sz="4" w:space="0"/>
        <w:insideH w:val="single" w:color="F79646" w:sz="4" w:space="0"/>
        <w:insideV w:val="single" w:color="F79646" w:sz="4" w:space="0"/>
      </w:tblBorders>
      <w:tblCellMar>
        <w:top w:w="0" w:type="dxa"/>
        <w:left w:w="108" w:type="dxa"/>
        <w:bottom w:w="0" w:type="dxa"/>
        <w:right w:w="108" w:type="dxa"/>
      </w:tblCellMar>
    </w:tblPr>
    <w:tblStylePr w:type="firstRow">
      <w:rPr>
        <w:b/>
        <w:color w:val="404040"/>
      </w:rPr>
      <w:tcPr>
        <w:tcBorders>
          <w:top w:val="nil"/>
          <w:left w:val="nil"/>
          <w:bottom w:val="single" w:color="F79646" w:sz="12" w:space="0"/>
          <w:right w:val="nil"/>
        </w:tcBorders>
        <w:shd w:val="clear" w:color="FFFFFF" w:fill="auto"/>
      </w:tcPr>
    </w:tblStylePr>
    <w:tblStylePr w:type="lastRow">
      <w:rPr>
        <w:b/>
        <w:color w:val="404040"/>
      </w:rPr>
      <w:tcPr>
        <w:tcBorders>
          <w:top w:val="single" w:color="F79646"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FDE9D8" w:fill="FDE9D8"/>
      </w:tcPr>
    </w:tblStylePr>
    <w:tblStylePr w:type="band1Horz">
      <w:rPr>
        <w:rFonts w:ascii="Arial" w:hAnsi="Arial"/>
        <w:color w:val="404040"/>
        <w:sz w:val="22"/>
      </w:rPr>
      <w:tcPr>
        <w:shd w:val="clear" w:color="FDE9D8" w:fill="FDE9D8"/>
      </w:tcPr>
    </w:tblStylePr>
  </w:style>
  <w:style w:type="table" w:customStyle="1" w:styleId="988">
    <w:name w:val="Grid Table 31"/>
    <w:basedOn w:val="13"/>
    <w:uiPriority w:val="99"/>
    <w:rPr>
      <w:sz w:val="22"/>
      <w:szCs w:val="22"/>
      <w:lang w:eastAsia="en-US"/>
    </w:rPr>
    <w:tblPr>
      <w:tblBorders>
        <w:bottom w:val="single" w:color="6A6A6A" w:sz="4" w:space="0"/>
        <w:insideH w:val="single" w:color="6A6A6A" w:sz="4" w:space="0"/>
        <w:insideV w:val="single" w:color="6A6A6A" w:sz="4" w:space="0"/>
      </w:tblBorders>
      <w:tblCellMar>
        <w:top w:w="0" w:type="dxa"/>
        <w:left w:w="108" w:type="dxa"/>
        <w:bottom w:w="0" w:type="dxa"/>
        <w:right w:w="108" w:type="dxa"/>
      </w:tblCellMar>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rFonts w:ascii="Arial" w:hAnsi="Arial"/>
        <w:color w:val="404040"/>
        <w:sz w:val="22"/>
      </w:rPr>
      <w:tcPr>
        <w:shd w:val="clear" w:color="CBCBCB" w:fill="CBCBCB"/>
      </w:tcPr>
    </w:tblStylePr>
    <w:tblStylePr w:type="band1Horz">
      <w:rPr>
        <w:rFonts w:ascii="Arial" w:hAnsi="Arial"/>
        <w:color w:val="404040"/>
        <w:sz w:val="22"/>
      </w:rPr>
      <w:tcPr>
        <w:shd w:val="clear" w:color="CBCBCB" w:fill="CBCBCB"/>
      </w:tcPr>
    </w:tblStylePr>
  </w:style>
  <w:style w:type="table" w:customStyle="1" w:styleId="989">
    <w:name w:val="Grid Table 3 - Accent 13"/>
    <w:basedOn w:val="13"/>
    <w:uiPriority w:val="99"/>
    <w:rPr>
      <w:sz w:val="22"/>
      <w:szCs w:val="22"/>
      <w:lang w:eastAsia="en-US"/>
    </w:rPr>
    <w:tblPr>
      <w:tblBorders>
        <w:bottom w:val="single" w:color="5D8AC2" w:sz="4" w:space="0"/>
        <w:insideH w:val="single" w:color="5D8AC2" w:sz="4" w:space="0"/>
        <w:insideV w:val="single" w:color="5D8AC2" w:sz="4" w:space="0"/>
      </w:tblBorders>
      <w:tblCellMar>
        <w:top w:w="0" w:type="dxa"/>
        <w:left w:w="108" w:type="dxa"/>
        <w:bottom w:w="0" w:type="dxa"/>
        <w:right w:w="108" w:type="dxa"/>
      </w:tblCellMar>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rFonts w:ascii="Arial" w:hAnsi="Arial"/>
        <w:color w:val="404040"/>
        <w:sz w:val="22"/>
      </w:rPr>
      <w:tcPr>
        <w:shd w:val="clear" w:color="DAE5F1" w:fill="DAE5F1"/>
      </w:tcPr>
    </w:tblStylePr>
    <w:tblStylePr w:type="band1Horz">
      <w:rPr>
        <w:rFonts w:ascii="Arial" w:hAnsi="Arial"/>
        <w:color w:val="404040"/>
        <w:sz w:val="22"/>
      </w:rPr>
      <w:tcPr>
        <w:shd w:val="clear" w:color="DAE5F1" w:fill="DAE5F1"/>
      </w:tcPr>
    </w:tblStylePr>
  </w:style>
  <w:style w:type="table" w:customStyle="1" w:styleId="990">
    <w:name w:val="Grid Table 3 - Accent 23"/>
    <w:basedOn w:val="13"/>
    <w:uiPriority w:val="99"/>
    <w:rPr>
      <w:sz w:val="22"/>
      <w:szCs w:val="22"/>
      <w:lang w:eastAsia="en-US"/>
    </w:rPr>
    <w:tblPr>
      <w:tblBorders>
        <w:bottom w:val="single" w:color="D99695" w:sz="4" w:space="0"/>
        <w:insideH w:val="single" w:color="D99695" w:sz="4" w:space="0"/>
        <w:insideV w:val="single" w:color="D99695" w:sz="4" w:space="0"/>
      </w:tblBorders>
      <w:tblCellMar>
        <w:top w:w="0" w:type="dxa"/>
        <w:left w:w="108" w:type="dxa"/>
        <w:bottom w:w="0" w:type="dxa"/>
        <w:right w:w="108" w:type="dxa"/>
      </w:tblCellMar>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rFonts w:ascii="Arial" w:hAnsi="Arial"/>
        <w:color w:val="404040"/>
        <w:sz w:val="22"/>
      </w:rPr>
      <w:tcPr>
        <w:shd w:val="clear" w:color="F2DCDC" w:fill="F2DCDC"/>
      </w:tcPr>
    </w:tblStylePr>
    <w:tblStylePr w:type="band1Horz">
      <w:rPr>
        <w:rFonts w:ascii="Arial" w:hAnsi="Arial"/>
        <w:color w:val="404040"/>
        <w:sz w:val="22"/>
      </w:rPr>
      <w:tcPr>
        <w:shd w:val="clear" w:color="F2DCDC" w:fill="F2DCDC"/>
      </w:tcPr>
    </w:tblStylePr>
  </w:style>
  <w:style w:type="table" w:customStyle="1" w:styleId="991">
    <w:name w:val="Grid Table 3 - Accent 33"/>
    <w:basedOn w:val="13"/>
    <w:uiPriority w:val="99"/>
    <w:rPr>
      <w:sz w:val="22"/>
      <w:szCs w:val="22"/>
      <w:lang w:eastAsia="en-US"/>
    </w:rPr>
    <w:tblPr>
      <w:tblBorders>
        <w:bottom w:val="single" w:color="9ABB59" w:sz="4" w:space="0"/>
        <w:insideH w:val="single" w:color="9ABB59" w:sz="4" w:space="0"/>
        <w:insideV w:val="single" w:color="9ABB59" w:sz="4" w:space="0"/>
      </w:tblBorders>
      <w:tblCellMar>
        <w:top w:w="0" w:type="dxa"/>
        <w:left w:w="108" w:type="dxa"/>
        <w:bottom w:w="0" w:type="dxa"/>
        <w:right w:w="108" w:type="dxa"/>
      </w:tblCellMar>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rFonts w:ascii="Arial" w:hAnsi="Arial"/>
        <w:color w:val="404040"/>
        <w:sz w:val="22"/>
      </w:rPr>
      <w:tcPr>
        <w:shd w:val="clear" w:color="EAF1DC" w:fill="EAF1DC"/>
      </w:tcPr>
    </w:tblStylePr>
    <w:tblStylePr w:type="band1Horz">
      <w:rPr>
        <w:rFonts w:ascii="Arial" w:hAnsi="Arial"/>
        <w:color w:val="404040"/>
        <w:sz w:val="22"/>
      </w:rPr>
      <w:tcPr>
        <w:shd w:val="clear" w:color="EAF1DC" w:fill="EAF1DC"/>
      </w:tcPr>
    </w:tblStylePr>
  </w:style>
  <w:style w:type="table" w:customStyle="1" w:styleId="992">
    <w:name w:val="Grid Table 3 - Accent 43"/>
    <w:basedOn w:val="13"/>
    <w:uiPriority w:val="99"/>
    <w:rPr>
      <w:sz w:val="22"/>
      <w:szCs w:val="22"/>
      <w:lang w:eastAsia="en-US"/>
    </w:rPr>
    <w:tblPr>
      <w:tblBorders>
        <w:bottom w:val="single" w:color="B2A1C6" w:sz="4" w:space="0"/>
        <w:insideH w:val="single" w:color="B2A1C6" w:sz="4" w:space="0"/>
        <w:insideV w:val="single" w:color="B2A1C6" w:sz="4" w:space="0"/>
      </w:tblBorders>
      <w:tblCellMar>
        <w:top w:w="0" w:type="dxa"/>
        <w:left w:w="108" w:type="dxa"/>
        <w:bottom w:w="0" w:type="dxa"/>
        <w:right w:w="108" w:type="dxa"/>
      </w:tblCellMar>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rFonts w:ascii="Arial" w:hAnsi="Arial"/>
        <w:color w:val="404040"/>
        <w:sz w:val="22"/>
      </w:rPr>
      <w:tcPr>
        <w:shd w:val="clear" w:color="E5DFEC" w:fill="E5DFEC"/>
      </w:tcPr>
    </w:tblStylePr>
    <w:tblStylePr w:type="band1Horz">
      <w:rPr>
        <w:rFonts w:ascii="Arial" w:hAnsi="Arial"/>
        <w:color w:val="404040"/>
        <w:sz w:val="22"/>
      </w:rPr>
      <w:tcPr>
        <w:shd w:val="clear" w:color="E5DFEC" w:fill="E5DFEC"/>
      </w:tcPr>
    </w:tblStylePr>
  </w:style>
  <w:style w:type="table" w:customStyle="1" w:styleId="993">
    <w:name w:val="Grid Table 3 - Accent 53"/>
    <w:basedOn w:val="13"/>
    <w:uiPriority w:val="99"/>
    <w:rPr>
      <w:sz w:val="22"/>
      <w:szCs w:val="22"/>
      <w:lang w:eastAsia="en-US"/>
    </w:rPr>
    <w:tblPr>
      <w:tblBorders>
        <w:bottom w:val="single" w:color="4BACC6" w:sz="4" w:space="0"/>
        <w:insideH w:val="single" w:color="4BACC6" w:sz="4" w:space="0"/>
        <w:insideV w:val="single" w:color="4BACC6" w:sz="4" w:space="0"/>
      </w:tblBorders>
      <w:tblCellMar>
        <w:top w:w="0" w:type="dxa"/>
        <w:left w:w="108" w:type="dxa"/>
        <w:bottom w:w="0" w:type="dxa"/>
        <w:right w:w="108" w:type="dxa"/>
      </w:tblCellMar>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rFonts w:ascii="Arial" w:hAnsi="Arial"/>
        <w:color w:val="404040"/>
        <w:sz w:val="22"/>
      </w:rPr>
      <w:tcPr>
        <w:shd w:val="clear" w:color="DAEEF3" w:fill="DAEEF3"/>
      </w:tcPr>
    </w:tblStylePr>
    <w:tblStylePr w:type="band1Horz">
      <w:rPr>
        <w:rFonts w:ascii="Arial" w:hAnsi="Arial"/>
        <w:color w:val="404040"/>
        <w:sz w:val="22"/>
      </w:rPr>
      <w:tcPr>
        <w:shd w:val="clear" w:color="DAEEF3" w:fill="DAEEF3"/>
      </w:tcPr>
    </w:tblStylePr>
  </w:style>
  <w:style w:type="table" w:customStyle="1" w:styleId="994">
    <w:name w:val="Grid Table 3 - Accent 63"/>
    <w:basedOn w:val="13"/>
    <w:uiPriority w:val="99"/>
    <w:rPr>
      <w:sz w:val="22"/>
      <w:szCs w:val="22"/>
      <w:lang w:eastAsia="en-US"/>
    </w:rPr>
    <w:tblPr>
      <w:tblBorders>
        <w:bottom w:val="single" w:color="F79646" w:sz="4" w:space="0"/>
        <w:insideH w:val="single" w:color="F79646" w:sz="4" w:space="0"/>
        <w:insideV w:val="single" w:color="F79646" w:sz="4" w:space="0"/>
      </w:tblBorders>
      <w:tblCellMar>
        <w:top w:w="0" w:type="dxa"/>
        <w:left w:w="108" w:type="dxa"/>
        <w:bottom w:w="0" w:type="dxa"/>
        <w:right w:w="108" w:type="dxa"/>
      </w:tblCellMar>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rFonts w:ascii="Arial" w:hAnsi="Arial"/>
        <w:color w:val="404040"/>
        <w:sz w:val="22"/>
      </w:rPr>
      <w:tcPr>
        <w:shd w:val="clear" w:color="FDE9D8" w:fill="FDE9D8"/>
      </w:tcPr>
    </w:tblStylePr>
    <w:tblStylePr w:type="band1Horz">
      <w:rPr>
        <w:rFonts w:ascii="Arial" w:hAnsi="Arial"/>
        <w:color w:val="404040"/>
        <w:sz w:val="22"/>
      </w:rPr>
      <w:tcPr>
        <w:shd w:val="clear" w:color="FDE9D8" w:fill="FDE9D8"/>
      </w:tcPr>
    </w:tblStylePr>
  </w:style>
  <w:style w:type="table" w:customStyle="1" w:styleId="995">
    <w:name w:val="Grid Table 41"/>
    <w:basedOn w:val="13"/>
    <w:uiPriority w:val="59"/>
    <w:rPr>
      <w:sz w:val="22"/>
      <w:szCs w:val="22"/>
      <w:lang w:eastAsia="en-US"/>
    </w:rPr>
    <w:tblPr>
      <w:tblBorders>
        <w:top w:val="single" w:color="6F6F6F" w:sz="4" w:space="0"/>
        <w:left w:val="single" w:color="6F6F6F" w:sz="4" w:space="0"/>
        <w:bottom w:val="single" w:color="6F6F6F" w:sz="4" w:space="0"/>
        <w:right w:val="single" w:color="6F6F6F" w:sz="4" w:space="0"/>
        <w:insideH w:val="single" w:color="6F6F6F" w:sz="4" w:space="0"/>
        <w:insideV w:val="single" w:color="6F6F6F" w:sz="4" w:space="0"/>
      </w:tblBorders>
      <w:tblCellMar>
        <w:top w:w="0" w:type="dxa"/>
        <w:left w:w="108" w:type="dxa"/>
        <w:bottom w:w="0" w:type="dxa"/>
        <w:right w:w="108" w:type="dxa"/>
      </w:tblCellMar>
    </w:tblPr>
    <w:tblStylePr w:type="firstRow">
      <w:rPr>
        <w:rFonts w:ascii="Arial" w:hAnsi="Arial"/>
        <w:b/>
        <w:color w:val="FFFFFF"/>
        <w:sz w:val="22"/>
      </w:rPr>
      <w:tcPr>
        <w:tcBorders>
          <w:top w:val="single" w:color="000000" w:sz="4" w:space="0"/>
          <w:left w:val="single" w:color="000000" w:sz="4" w:space="0"/>
          <w:bottom w:val="single" w:color="000000" w:sz="4" w:space="0"/>
          <w:right w:val="single" w:color="000000" w:sz="4" w:space="0"/>
        </w:tcBorders>
        <w:shd w:val="clear" w:color="000000" w:fill="000000"/>
      </w:tcPr>
    </w:tblStylePr>
    <w:tblStylePr w:type="lastRow">
      <w:rPr>
        <w:b/>
        <w:color w:val="404040"/>
      </w:rPr>
      <w:tcPr>
        <w:tcBorders>
          <w:top w:val="single" w:color="000000"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CBCBCB" w:fill="CBCBCB"/>
      </w:tcPr>
    </w:tblStylePr>
    <w:tblStylePr w:type="band1Horz">
      <w:rPr>
        <w:rFonts w:ascii="Arial" w:hAnsi="Arial"/>
        <w:color w:val="404040"/>
        <w:sz w:val="22"/>
      </w:rPr>
      <w:tcPr>
        <w:shd w:val="clear" w:color="CBCBCB" w:fill="CBCBCB"/>
      </w:tcPr>
    </w:tblStylePr>
  </w:style>
  <w:style w:type="table" w:customStyle="1" w:styleId="996">
    <w:name w:val="Grid Table 4 - Accent 13"/>
    <w:basedOn w:val="13"/>
    <w:uiPriority w:val="59"/>
    <w:rPr>
      <w:sz w:val="22"/>
      <w:szCs w:val="22"/>
      <w:lang w:eastAsia="en-US"/>
    </w:rPr>
    <w:tblPr>
      <w:tblBorders>
        <w:top w:val="single" w:color="9BB7D9" w:sz="4" w:space="0"/>
        <w:left w:val="single" w:color="9BB7D9" w:sz="4" w:space="0"/>
        <w:bottom w:val="single" w:color="9BB7D9" w:sz="4" w:space="0"/>
        <w:right w:val="single" w:color="9BB7D9" w:sz="4" w:space="0"/>
        <w:insideH w:val="single" w:color="9BB7D9" w:sz="4" w:space="0"/>
        <w:insideV w:val="single" w:color="9BB7D9" w:sz="4" w:space="0"/>
      </w:tblBorders>
      <w:tblCellMar>
        <w:top w:w="0" w:type="dxa"/>
        <w:left w:w="108" w:type="dxa"/>
        <w:bottom w:w="0" w:type="dxa"/>
        <w:right w:w="108" w:type="dxa"/>
      </w:tblCellMar>
    </w:tblPr>
    <w:tblStylePr w:type="firstRow">
      <w:rPr>
        <w:rFonts w:ascii="Arial" w:hAnsi="Arial"/>
        <w:b/>
        <w:color w:val="FFFFFF"/>
        <w:sz w:val="22"/>
      </w:rPr>
      <w:tcPr>
        <w:tcBorders>
          <w:top w:val="single" w:color="5D8AC2" w:sz="4" w:space="0"/>
          <w:left w:val="single" w:color="5D8AC2" w:sz="4" w:space="0"/>
          <w:bottom w:val="single" w:color="5D8AC2" w:sz="4" w:space="0"/>
          <w:right w:val="single" w:color="5D8AC2" w:sz="4" w:space="0"/>
        </w:tcBorders>
        <w:shd w:val="clear" w:color="5D8AC2" w:fill="5D8AC2"/>
      </w:tcPr>
    </w:tblStylePr>
    <w:tblStylePr w:type="lastRow">
      <w:rPr>
        <w:b/>
        <w:color w:val="404040"/>
      </w:rPr>
      <w:tcPr>
        <w:tcBorders>
          <w:top w:val="single" w:color="5D8AC2"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DCE6F2" w:fill="DCE6F2"/>
      </w:tcPr>
    </w:tblStylePr>
    <w:tblStylePr w:type="band1Horz">
      <w:rPr>
        <w:rFonts w:ascii="Arial" w:hAnsi="Arial"/>
        <w:color w:val="404040"/>
        <w:sz w:val="22"/>
      </w:rPr>
      <w:tcPr>
        <w:shd w:val="clear" w:color="DCE6F2" w:fill="DCE6F2"/>
      </w:tcPr>
    </w:tblStylePr>
  </w:style>
  <w:style w:type="table" w:customStyle="1" w:styleId="997">
    <w:name w:val="Grid Table 4 - Accent 23"/>
    <w:basedOn w:val="13"/>
    <w:uiPriority w:val="59"/>
    <w:rPr>
      <w:sz w:val="22"/>
      <w:szCs w:val="22"/>
      <w:lang w:eastAsia="en-US"/>
    </w:rPr>
    <w:tblPr>
      <w:tblBorders>
        <w:top w:val="single" w:color="DB9B9A" w:sz="4" w:space="0"/>
        <w:left w:val="single" w:color="DB9B9A" w:sz="4" w:space="0"/>
        <w:bottom w:val="single" w:color="DB9B9A" w:sz="4" w:space="0"/>
        <w:right w:val="single" w:color="DB9B9A" w:sz="4" w:space="0"/>
        <w:insideH w:val="single" w:color="DB9B9A" w:sz="4" w:space="0"/>
        <w:insideV w:val="single" w:color="DB9B9A" w:sz="4" w:space="0"/>
      </w:tblBorders>
      <w:tblCellMar>
        <w:top w:w="0" w:type="dxa"/>
        <w:left w:w="108" w:type="dxa"/>
        <w:bottom w:w="0" w:type="dxa"/>
        <w:right w:w="108" w:type="dxa"/>
      </w:tblCellMar>
    </w:tblPr>
    <w:tblStylePr w:type="firstRow">
      <w:rPr>
        <w:rFonts w:ascii="Arial" w:hAnsi="Arial"/>
        <w:b/>
        <w:color w:val="FFFFFF"/>
        <w:sz w:val="22"/>
      </w:rPr>
      <w:tcPr>
        <w:tcBorders>
          <w:top w:val="single" w:color="D99695" w:sz="4" w:space="0"/>
          <w:left w:val="single" w:color="D99695" w:sz="4" w:space="0"/>
          <w:bottom w:val="single" w:color="D99695" w:sz="4" w:space="0"/>
          <w:right w:val="single" w:color="D99695" w:sz="4" w:space="0"/>
        </w:tcBorders>
        <w:shd w:val="clear" w:color="D99695" w:fill="D99695"/>
      </w:tcPr>
    </w:tblStylePr>
    <w:tblStylePr w:type="lastRow">
      <w:rPr>
        <w:b/>
        <w:color w:val="404040"/>
      </w:rPr>
      <w:tcPr>
        <w:tcBorders>
          <w:top w:val="single" w:color="D99695"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F2DCDC" w:fill="F2DCDC"/>
      </w:tcPr>
    </w:tblStylePr>
    <w:tblStylePr w:type="band1Horz">
      <w:rPr>
        <w:rFonts w:ascii="Arial" w:hAnsi="Arial"/>
        <w:color w:val="404040"/>
        <w:sz w:val="22"/>
      </w:rPr>
      <w:tcPr>
        <w:shd w:val="clear" w:color="F2DCDC" w:fill="F2DCDC"/>
      </w:tcPr>
    </w:tblStylePr>
  </w:style>
  <w:style w:type="table" w:customStyle="1" w:styleId="998">
    <w:name w:val="Grid Table 4 - Accent 33"/>
    <w:basedOn w:val="13"/>
    <w:uiPriority w:val="59"/>
    <w:rPr>
      <w:sz w:val="22"/>
      <w:szCs w:val="22"/>
      <w:lang w:eastAsia="en-US"/>
    </w:rPr>
    <w:tblPr>
      <w:tblBorders>
        <w:top w:val="single" w:color="C6D8A1" w:sz="4" w:space="0"/>
        <w:left w:val="single" w:color="C6D8A1" w:sz="4" w:space="0"/>
        <w:bottom w:val="single" w:color="C6D8A1" w:sz="4" w:space="0"/>
        <w:right w:val="single" w:color="C6D8A1" w:sz="4" w:space="0"/>
        <w:insideH w:val="single" w:color="C6D8A1" w:sz="4" w:space="0"/>
        <w:insideV w:val="single" w:color="C6D8A1" w:sz="4" w:space="0"/>
      </w:tblBorders>
      <w:tblCellMar>
        <w:top w:w="0" w:type="dxa"/>
        <w:left w:w="108" w:type="dxa"/>
        <w:bottom w:w="0" w:type="dxa"/>
        <w:right w:w="108" w:type="dxa"/>
      </w:tblCellMar>
    </w:tblPr>
    <w:tblStylePr w:type="firstRow">
      <w:rPr>
        <w:rFonts w:ascii="Arial" w:hAnsi="Arial"/>
        <w:b/>
        <w:color w:val="FFFFFF"/>
        <w:sz w:val="22"/>
      </w:rPr>
      <w:tcPr>
        <w:tcBorders>
          <w:top w:val="single" w:color="9ABB59" w:sz="4" w:space="0"/>
          <w:left w:val="single" w:color="9ABB59" w:sz="4" w:space="0"/>
          <w:bottom w:val="single" w:color="9ABB59" w:sz="4" w:space="0"/>
          <w:right w:val="single" w:color="9ABB59" w:sz="4" w:space="0"/>
        </w:tcBorders>
        <w:shd w:val="clear" w:color="9ABB59" w:fill="9ABB59"/>
      </w:tcPr>
    </w:tblStylePr>
    <w:tblStylePr w:type="lastRow">
      <w:rPr>
        <w:b/>
        <w:color w:val="404040"/>
      </w:rPr>
      <w:tcPr>
        <w:tcBorders>
          <w:top w:val="single" w:color="9ABB59"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EAF1DC" w:fill="EAF1DC"/>
      </w:tcPr>
    </w:tblStylePr>
    <w:tblStylePr w:type="band1Horz">
      <w:rPr>
        <w:rFonts w:ascii="Arial" w:hAnsi="Arial"/>
        <w:color w:val="404040"/>
        <w:sz w:val="22"/>
      </w:rPr>
      <w:tcPr>
        <w:shd w:val="clear" w:color="EAF1DC" w:fill="EAF1DC"/>
      </w:tcPr>
    </w:tblStylePr>
  </w:style>
  <w:style w:type="table" w:customStyle="1" w:styleId="999">
    <w:name w:val="Grid Table 4 - Accent 43"/>
    <w:basedOn w:val="13"/>
    <w:uiPriority w:val="59"/>
    <w:rPr>
      <w:sz w:val="22"/>
      <w:szCs w:val="22"/>
      <w:lang w:eastAsia="en-US"/>
    </w:rPr>
    <w:tblPr>
      <w:tblBorders>
        <w:top w:val="single" w:color="B7A7CA" w:sz="4" w:space="0"/>
        <w:left w:val="single" w:color="B7A7CA" w:sz="4" w:space="0"/>
        <w:bottom w:val="single" w:color="B7A7CA" w:sz="4" w:space="0"/>
        <w:right w:val="single" w:color="B7A7CA" w:sz="4" w:space="0"/>
        <w:insideH w:val="single" w:color="B7A7CA" w:sz="4" w:space="0"/>
        <w:insideV w:val="single" w:color="B7A7CA" w:sz="4" w:space="0"/>
      </w:tblBorders>
      <w:tblCellMar>
        <w:top w:w="0" w:type="dxa"/>
        <w:left w:w="108" w:type="dxa"/>
        <w:bottom w:w="0" w:type="dxa"/>
        <w:right w:w="108" w:type="dxa"/>
      </w:tblCellMar>
    </w:tblPr>
    <w:tblStylePr w:type="firstRow">
      <w:rPr>
        <w:rFonts w:ascii="Arial" w:hAnsi="Arial"/>
        <w:b/>
        <w:color w:val="FFFFFF"/>
        <w:sz w:val="22"/>
      </w:rPr>
      <w:tcPr>
        <w:tcBorders>
          <w:top w:val="single" w:color="B2A1C6" w:sz="4" w:space="0"/>
          <w:left w:val="single" w:color="B2A1C6" w:sz="4" w:space="0"/>
          <w:bottom w:val="single" w:color="B2A1C6" w:sz="4" w:space="0"/>
          <w:right w:val="single" w:color="B2A1C6" w:sz="4" w:space="0"/>
        </w:tcBorders>
        <w:shd w:val="clear" w:color="B2A1C6" w:fill="B2A1C6"/>
      </w:tcPr>
    </w:tblStylePr>
    <w:tblStylePr w:type="lastRow">
      <w:rPr>
        <w:b/>
        <w:color w:val="404040"/>
      </w:rPr>
      <w:tcPr>
        <w:tcBorders>
          <w:top w:val="single" w:color="B2A1C6"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E5DFEC" w:fill="E5DFEC"/>
      </w:tcPr>
    </w:tblStylePr>
    <w:tblStylePr w:type="band1Horz">
      <w:rPr>
        <w:rFonts w:ascii="Arial" w:hAnsi="Arial"/>
        <w:color w:val="404040"/>
        <w:sz w:val="22"/>
      </w:rPr>
      <w:tcPr>
        <w:shd w:val="clear" w:color="E5DFEC" w:fill="E5DFEC"/>
      </w:tcPr>
    </w:tblStylePr>
  </w:style>
  <w:style w:type="table" w:customStyle="1" w:styleId="1000">
    <w:name w:val="Grid Table 4 - Accent 53"/>
    <w:basedOn w:val="13"/>
    <w:uiPriority w:val="59"/>
    <w:rPr>
      <w:sz w:val="22"/>
      <w:szCs w:val="22"/>
      <w:lang w:eastAsia="en-US"/>
    </w:rPr>
    <w:tblPr>
      <w:tblBorders>
        <w:top w:val="single" w:color="99D0DE" w:sz="4" w:space="0"/>
        <w:left w:val="single" w:color="99D0DE" w:sz="4" w:space="0"/>
        <w:bottom w:val="single" w:color="99D0DE" w:sz="4" w:space="0"/>
        <w:right w:val="single" w:color="99D0DE" w:sz="4" w:space="0"/>
        <w:insideH w:val="single" w:color="99D0DE" w:sz="4" w:space="0"/>
        <w:insideV w:val="single" w:color="99D0DE" w:sz="4" w:space="0"/>
      </w:tblBorders>
      <w:tblCellMar>
        <w:top w:w="0" w:type="dxa"/>
        <w:left w:w="108" w:type="dxa"/>
        <w:bottom w:w="0" w:type="dxa"/>
        <w:right w:w="108" w:type="dxa"/>
      </w:tblCellMar>
    </w:tblPr>
    <w:tblStylePr w:type="firstRow">
      <w:rPr>
        <w:rFonts w:ascii="Arial" w:hAnsi="Arial"/>
        <w:b/>
        <w:color w:val="FFFFFF"/>
        <w:sz w:val="22"/>
      </w:rPr>
      <w:tcPr>
        <w:tcBorders>
          <w:top w:val="single" w:color="4BACC6" w:sz="4" w:space="0"/>
          <w:left w:val="single" w:color="4BACC6" w:sz="4" w:space="0"/>
          <w:bottom w:val="single" w:color="4BACC6" w:sz="4" w:space="0"/>
          <w:right w:val="single" w:color="4BACC6" w:sz="4" w:space="0"/>
        </w:tcBorders>
        <w:shd w:val="clear" w:color="4BACC6" w:fill="4BACC6"/>
      </w:tcPr>
    </w:tblStylePr>
    <w:tblStylePr w:type="lastRow">
      <w:rPr>
        <w:b/>
        <w:color w:val="404040"/>
      </w:rPr>
      <w:tcPr>
        <w:tcBorders>
          <w:top w:val="single" w:color="4BACC6"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DAEEF3" w:fill="DAEEF3"/>
      </w:tcPr>
    </w:tblStylePr>
    <w:tblStylePr w:type="band1Horz">
      <w:rPr>
        <w:rFonts w:ascii="Arial" w:hAnsi="Arial"/>
        <w:color w:val="404040"/>
        <w:sz w:val="22"/>
      </w:rPr>
      <w:tcPr>
        <w:shd w:val="clear" w:color="DAEEF3" w:fill="DAEEF3"/>
      </w:tcPr>
    </w:tblStylePr>
  </w:style>
  <w:style w:type="table" w:customStyle="1" w:styleId="1001">
    <w:name w:val="Grid Table 4 - Accent 63"/>
    <w:basedOn w:val="13"/>
    <w:uiPriority w:val="59"/>
    <w:rPr>
      <w:sz w:val="22"/>
      <w:szCs w:val="22"/>
      <w:lang w:eastAsia="en-US"/>
    </w:rPr>
    <w:tblPr>
      <w:tblBorders>
        <w:top w:val="single" w:color="FAC396" w:sz="4" w:space="0"/>
        <w:left w:val="single" w:color="FAC396" w:sz="4" w:space="0"/>
        <w:bottom w:val="single" w:color="FAC396" w:sz="4" w:space="0"/>
        <w:right w:val="single" w:color="FAC396" w:sz="4" w:space="0"/>
        <w:insideH w:val="single" w:color="FAC396" w:sz="4" w:space="0"/>
        <w:insideV w:val="single" w:color="FAC396" w:sz="4" w:space="0"/>
      </w:tblBorders>
      <w:tblCellMar>
        <w:top w:w="0" w:type="dxa"/>
        <w:left w:w="108" w:type="dxa"/>
        <w:bottom w:w="0" w:type="dxa"/>
        <w:right w:w="108" w:type="dxa"/>
      </w:tblCellMar>
    </w:tblPr>
    <w:tblStylePr w:type="firstRow">
      <w:rPr>
        <w:rFonts w:ascii="Arial" w:hAnsi="Arial"/>
        <w:b/>
        <w:color w:val="FFFFFF"/>
        <w:sz w:val="22"/>
      </w:rPr>
      <w:tcPr>
        <w:tcBorders>
          <w:top w:val="single" w:color="F79646" w:sz="4" w:space="0"/>
          <w:left w:val="single" w:color="F79646" w:sz="4" w:space="0"/>
          <w:bottom w:val="single" w:color="F79646" w:sz="4" w:space="0"/>
          <w:right w:val="single" w:color="F79646" w:sz="4" w:space="0"/>
        </w:tcBorders>
        <w:shd w:val="clear" w:color="F79646" w:fill="F79646"/>
      </w:tcPr>
    </w:tblStylePr>
    <w:tblStylePr w:type="lastRow">
      <w:rPr>
        <w:b/>
        <w:color w:val="404040"/>
      </w:rPr>
      <w:tcPr>
        <w:tcBorders>
          <w:top w:val="single" w:color="F79646"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FDE9D8" w:fill="FDE9D8"/>
      </w:tcPr>
    </w:tblStylePr>
    <w:tblStylePr w:type="band1Horz">
      <w:rPr>
        <w:rFonts w:ascii="Arial" w:hAnsi="Arial"/>
        <w:color w:val="404040"/>
        <w:sz w:val="22"/>
      </w:rPr>
      <w:tcPr>
        <w:shd w:val="clear" w:color="FDE9D8" w:fill="FDE9D8"/>
      </w:tcPr>
    </w:tblStylePr>
  </w:style>
  <w:style w:type="table" w:customStyle="1" w:styleId="1002">
    <w:name w:val="Grid Table 5 Dark1"/>
    <w:basedOn w:val="13"/>
    <w:uiPriority w:val="99"/>
    <w:rPr>
      <w:sz w:val="22"/>
      <w:szCs w:val="22"/>
      <w:lang w:eastAsia="en-US"/>
    </w:rPr>
    <w:tblPr>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CellMar>
        <w:top w:w="0" w:type="dxa"/>
        <w:left w:w="108" w:type="dxa"/>
        <w:bottom w:w="0" w:type="dxa"/>
        <w:right w:w="108" w:type="dxa"/>
      </w:tblCellMar>
    </w:tblPr>
    <w:tblStylePr w:type="firstRow">
      <w:rPr>
        <w:rFonts w:ascii="Arial" w:hAnsi="Arial"/>
        <w:b/>
        <w:color w:val="FFFFFF"/>
        <w:sz w:val="22"/>
      </w:rPr>
      <w:tcPr>
        <w:shd w:val="clear" w:color="000000" w:fill="000000"/>
      </w:tcPr>
    </w:tblStylePr>
    <w:tblStylePr w:type="lastRow">
      <w:rPr>
        <w:rFonts w:ascii="Arial" w:hAnsi="Arial"/>
        <w:b/>
        <w:color w:val="FFFFFF"/>
        <w:sz w:val="22"/>
      </w:rPr>
      <w:tcPr>
        <w:tcBorders>
          <w:top w:val="single" w:color="FFFFFF" w:sz="4" w:space="0"/>
        </w:tcBorders>
        <w:shd w:val="clear" w:color="000000" w:fill="000000"/>
      </w:tcPr>
    </w:tblStylePr>
    <w:tblStylePr w:type="firstCol">
      <w:rPr>
        <w:rFonts w:ascii="Arial" w:hAnsi="Arial"/>
        <w:b/>
        <w:color w:val="FFFFFF"/>
        <w:sz w:val="22"/>
      </w:rPr>
      <w:tcPr>
        <w:shd w:val="clear" w:color="000000" w:fill="000000"/>
      </w:tcPr>
    </w:tblStylePr>
    <w:tblStylePr w:type="lastCol">
      <w:rPr>
        <w:rFonts w:ascii="Arial" w:hAnsi="Arial"/>
        <w:b/>
        <w:color w:val="FFFFFF"/>
        <w:sz w:val="22"/>
      </w:rPr>
      <w:tcPr>
        <w:shd w:val="clear" w:color="000000" w:fill="000000"/>
      </w:tcPr>
    </w:tblStylePr>
    <w:tblStylePr w:type="band1Vert">
      <w:tcPr>
        <w:shd w:val="clear" w:color="8A8A8A" w:fill="8A8A8A"/>
      </w:tcPr>
    </w:tblStylePr>
    <w:tblStylePr w:type="band1Horz">
      <w:tcPr>
        <w:shd w:val="clear" w:color="8A8A8A" w:fill="8A8A8A"/>
      </w:tcPr>
    </w:tblStylePr>
  </w:style>
  <w:style w:type="table" w:customStyle="1" w:styleId="1003">
    <w:name w:val="Grid Table 5 Dark- Accent 13"/>
    <w:basedOn w:val="13"/>
    <w:uiPriority w:val="99"/>
    <w:rPr>
      <w:sz w:val="22"/>
      <w:szCs w:val="22"/>
      <w:lang w:eastAsia="en-US"/>
    </w:rPr>
    <w:tblPr>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CellMar>
        <w:top w:w="0" w:type="dxa"/>
        <w:left w:w="108" w:type="dxa"/>
        <w:bottom w:w="0" w:type="dxa"/>
        <w:right w:w="108" w:type="dxa"/>
      </w:tblCellMar>
    </w:tblPr>
    <w:tblStylePr w:type="firstRow">
      <w:rPr>
        <w:rFonts w:ascii="Arial" w:hAnsi="Arial"/>
        <w:b/>
        <w:color w:val="FFFFFF"/>
        <w:sz w:val="22"/>
      </w:rPr>
      <w:tcPr>
        <w:shd w:val="clear" w:color="4F81BD" w:fill="4F81BD"/>
      </w:tcPr>
    </w:tblStylePr>
    <w:tblStylePr w:type="lastRow">
      <w:rPr>
        <w:rFonts w:ascii="Arial" w:hAnsi="Arial"/>
        <w:b/>
        <w:color w:val="FFFFFF"/>
        <w:sz w:val="22"/>
      </w:rPr>
      <w:tcPr>
        <w:tcBorders>
          <w:top w:val="single" w:color="FFFFFF" w:sz="4" w:space="0"/>
        </w:tcBorders>
        <w:shd w:val="clear" w:color="4F81BD" w:fill="4F81BD"/>
      </w:tcPr>
    </w:tblStylePr>
    <w:tblStylePr w:type="firstCol">
      <w:rPr>
        <w:rFonts w:ascii="Arial" w:hAnsi="Arial"/>
        <w:b/>
        <w:color w:val="FFFFFF"/>
        <w:sz w:val="22"/>
      </w:rPr>
      <w:tcPr>
        <w:shd w:val="clear" w:color="4F81BD" w:fill="4F81BD"/>
      </w:tcPr>
    </w:tblStylePr>
    <w:tblStylePr w:type="lastCol">
      <w:rPr>
        <w:rFonts w:ascii="Arial" w:hAnsi="Arial"/>
        <w:b/>
        <w:color w:val="FFFFFF"/>
        <w:sz w:val="22"/>
      </w:rPr>
      <w:tcPr>
        <w:shd w:val="clear" w:color="4F81BD" w:fill="4F81BD"/>
      </w:tcPr>
    </w:tblStylePr>
    <w:tblStylePr w:type="band1Vert">
      <w:tcPr>
        <w:shd w:val="clear" w:color="AEC4E0" w:fill="AEC4E0"/>
      </w:tcPr>
    </w:tblStylePr>
    <w:tblStylePr w:type="band1Horz">
      <w:tcPr>
        <w:shd w:val="clear" w:color="AEC4E0" w:fill="AEC4E0"/>
      </w:tcPr>
    </w:tblStylePr>
  </w:style>
  <w:style w:type="table" w:customStyle="1" w:styleId="1004">
    <w:name w:val="Grid Table 5 Dark - Accent 23"/>
    <w:basedOn w:val="13"/>
    <w:uiPriority w:val="99"/>
    <w:rPr>
      <w:sz w:val="22"/>
      <w:szCs w:val="22"/>
      <w:lang w:eastAsia="en-US"/>
    </w:rPr>
    <w:tblPr>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CellMar>
        <w:top w:w="0" w:type="dxa"/>
        <w:left w:w="108" w:type="dxa"/>
        <w:bottom w:w="0" w:type="dxa"/>
        <w:right w:w="108" w:type="dxa"/>
      </w:tblCellMar>
    </w:tblPr>
    <w:tblStylePr w:type="firstRow">
      <w:rPr>
        <w:rFonts w:ascii="Arial" w:hAnsi="Arial"/>
        <w:b/>
        <w:color w:val="FFFFFF"/>
        <w:sz w:val="22"/>
      </w:rPr>
      <w:tcPr>
        <w:shd w:val="clear" w:color="C0504D" w:fill="C0504D"/>
      </w:tcPr>
    </w:tblStylePr>
    <w:tblStylePr w:type="lastRow">
      <w:rPr>
        <w:rFonts w:ascii="Arial" w:hAnsi="Arial"/>
        <w:b/>
        <w:color w:val="FFFFFF"/>
        <w:sz w:val="22"/>
      </w:rPr>
      <w:tcPr>
        <w:tcBorders>
          <w:top w:val="single" w:color="FFFFFF" w:sz="4" w:space="0"/>
        </w:tcBorders>
        <w:shd w:val="clear" w:color="C0504D" w:fill="C0504D"/>
      </w:tcPr>
    </w:tblStylePr>
    <w:tblStylePr w:type="firstCol">
      <w:rPr>
        <w:rFonts w:ascii="Arial" w:hAnsi="Arial"/>
        <w:b/>
        <w:color w:val="FFFFFF"/>
        <w:sz w:val="22"/>
      </w:rPr>
      <w:tcPr>
        <w:shd w:val="clear" w:color="C0504D" w:fill="C0504D"/>
      </w:tcPr>
    </w:tblStylePr>
    <w:tblStylePr w:type="lastCol">
      <w:rPr>
        <w:rFonts w:ascii="Arial" w:hAnsi="Arial"/>
        <w:b/>
        <w:color w:val="FFFFFF"/>
        <w:sz w:val="22"/>
      </w:rPr>
      <w:tcPr>
        <w:shd w:val="clear" w:color="C0504D" w:fill="C0504D"/>
      </w:tcPr>
    </w:tblStylePr>
    <w:tblStylePr w:type="band1Vert">
      <w:tcPr>
        <w:shd w:val="clear" w:color="E2AEAD" w:fill="E2AEAD"/>
      </w:tcPr>
    </w:tblStylePr>
    <w:tblStylePr w:type="band1Horz">
      <w:tcPr>
        <w:shd w:val="clear" w:color="E2AEAD" w:fill="E2AEAD"/>
      </w:tcPr>
    </w:tblStylePr>
  </w:style>
  <w:style w:type="table" w:customStyle="1" w:styleId="1005">
    <w:name w:val="Grid Table 5 Dark - Accent 33"/>
    <w:basedOn w:val="13"/>
    <w:uiPriority w:val="99"/>
    <w:rPr>
      <w:sz w:val="22"/>
      <w:szCs w:val="22"/>
      <w:lang w:eastAsia="en-US"/>
    </w:rPr>
    <w:tblPr>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CellMar>
        <w:top w:w="0" w:type="dxa"/>
        <w:left w:w="108" w:type="dxa"/>
        <w:bottom w:w="0" w:type="dxa"/>
        <w:right w:w="108" w:type="dxa"/>
      </w:tblCellMar>
    </w:tblPr>
    <w:tblStylePr w:type="firstRow">
      <w:rPr>
        <w:rFonts w:ascii="Arial" w:hAnsi="Arial"/>
        <w:b/>
        <w:color w:val="FFFFFF"/>
        <w:sz w:val="22"/>
      </w:rPr>
      <w:tcPr>
        <w:shd w:val="clear" w:color="9BBB59" w:fill="9BBB59"/>
      </w:tcPr>
    </w:tblStylePr>
    <w:tblStylePr w:type="lastRow">
      <w:rPr>
        <w:rFonts w:ascii="Arial" w:hAnsi="Arial"/>
        <w:b/>
        <w:color w:val="FFFFFF"/>
        <w:sz w:val="22"/>
      </w:rPr>
      <w:tcPr>
        <w:tcBorders>
          <w:top w:val="single" w:color="FFFFFF" w:sz="4" w:space="0"/>
        </w:tcBorders>
        <w:shd w:val="clear" w:color="9BBB59" w:fill="9BBB59"/>
      </w:tcPr>
    </w:tblStylePr>
    <w:tblStylePr w:type="firstCol">
      <w:rPr>
        <w:rFonts w:ascii="Arial" w:hAnsi="Arial"/>
        <w:b/>
        <w:color w:val="FFFFFF"/>
        <w:sz w:val="22"/>
      </w:rPr>
      <w:tcPr>
        <w:shd w:val="clear" w:color="9BBB59" w:fill="9BBB59"/>
      </w:tcPr>
    </w:tblStylePr>
    <w:tblStylePr w:type="lastCol">
      <w:rPr>
        <w:rFonts w:ascii="Arial" w:hAnsi="Arial"/>
        <w:b/>
        <w:color w:val="FFFFFF"/>
        <w:sz w:val="22"/>
      </w:rPr>
      <w:tcPr>
        <w:shd w:val="clear" w:color="9BBB59" w:fill="9BBB59"/>
      </w:tcPr>
    </w:tblStylePr>
    <w:tblStylePr w:type="band1Vert">
      <w:tcPr>
        <w:shd w:val="clear" w:color="D0DFB2" w:fill="D0DFB2"/>
      </w:tcPr>
    </w:tblStylePr>
    <w:tblStylePr w:type="band1Horz">
      <w:tcPr>
        <w:shd w:val="clear" w:color="D0DFB2" w:fill="D0DFB2"/>
      </w:tcPr>
    </w:tblStylePr>
  </w:style>
  <w:style w:type="table" w:customStyle="1" w:styleId="1006">
    <w:name w:val="Grid Table 5 Dark- Accent 43"/>
    <w:basedOn w:val="13"/>
    <w:uiPriority w:val="99"/>
    <w:rPr>
      <w:sz w:val="22"/>
      <w:szCs w:val="22"/>
      <w:lang w:eastAsia="en-US"/>
    </w:rPr>
    <w:tblPr>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CellMar>
        <w:top w:w="0" w:type="dxa"/>
        <w:left w:w="108" w:type="dxa"/>
        <w:bottom w:w="0" w:type="dxa"/>
        <w:right w:w="108" w:type="dxa"/>
      </w:tblCellMar>
    </w:tblPr>
    <w:tblStylePr w:type="firstRow">
      <w:rPr>
        <w:rFonts w:ascii="Arial" w:hAnsi="Arial"/>
        <w:b/>
        <w:color w:val="FFFFFF"/>
        <w:sz w:val="22"/>
      </w:rPr>
      <w:tcPr>
        <w:shd w:val="clear" w:color="8064A2" w:fill="8064A2"/>
      </w:tcPr>
    </w:tblStylePr>
    <w:tblStylePr w:type="lastRow">
      <w:rPr>
        <w:rFonts w:ascii="Arial" w:hAnsi="Arial"/>
        <w:b/>
        <w:color w:val="FFFFFF"/>
        <w:sz w:val="22"/>
      </w:rPr>
      <w:tcPr>
        <w:tcBorders>
          <w:top w:val="single" w:color="FFFFFF" w:sz="4" w:space="0"/>
        </w:tcBorders>
        <w:shd w:val="clear" w:color="8064A2" w:fill="8064A2"/>
      </w:tcPr>
    </w:tblStylePr>
    <w:tblStylePr w:type="firstCol">
      <w:rPr>
        <w:rFonts w:ascii="Arial" w:hAnsi="Arial"/>
        <w:b/>
        <w:color w:val="FFFFFF"/>
        <w:sz w:val="22"/>
      </w:rPr>
      <w:tcPr>
        <w:shd w:val="clear" w:color="8064A2" w:fill="8064A2"/>
      </w:tcPr>
    </w:tblStylePr>
    <w:tblStylePr w:type="lastCol">
      <w:rPr>
        <w:rFonts w:ascii="Arial" w:hAnsi="Arial"/>
        <w:b/>
        <w:color w:val="FFFFFF"/>
        <w:sz w:val="22"/>
      </w:rPr>
      <w:tcPr>
        <w:shd w:val="clear" w:color="8064A2" w:fill="8064A2"/>
      </w:tcPr>
    </w:tblStylePr>
    <w:tblStylePr w:type="band1Vert">
      <w:tcPr>
        <w:shd w:val="clear" w:color="C4B7D4" w:fill="C4B7D4"/>
      </w:tcPr>
    </w:tblStylePr>
    <w:tblStylePr w:type="band1Horz">
      <w:tcPr>
        <w:shd w:val="clear" w:color="C4B7D4" w:fill="C4B7D4"/>
      </w:tcPr>
    </w:tblStylePr>
  </w:style>
  <w:style w:type="table" w:customStyle="1" w:styleId="1007">
    <w:name w:val="Grid Table 5 Dark - Accent 53"/>
    <w:basedOn w:val="13"/>
    <w:uiPriority w:val="99"/>
    <w:rPr>
      <w:sz w:val="22"/>
      <w:szCs w:val="22"/>
      <w:lang w:eastAsia="en-US"/>
    </w:rPr>
    <w:tblPr>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CellMar>
        <w:top w:w="0" w:type="dxa"/>
        <w:left w:w="108" w:type="dxa"/>
        <w:bottom w:w="0" w:type="dxa"/>
        <w:right w:w="108" w:type="dxa"/>
      </w:tblCellMar>
    </w:tblPr>
    <w:tblStylePr w:type="firstRow">
      <w:rPr>
        <w:rFonts w:ascii="Arial" w:hAnsi="Arial"/>
        <w:b/>
        <w:color w:val="FFFFFF"/>
        <w:sz w:val="22"/>
      </w:rPr>
      <w:tcPr>
        <w:shd w:val="clear" w:color="4BACC6" w:fill="4BACC6"/>
      </w:tcPr>
    </w:tblStylePr>
    <w:tblStylePr w:type="lastRow">
      <w:rPr>
        <w:rFonts w:ascii="Arial" w:hAnsi="Arial"/>
        <w:b/>
        <w:color w:val="FFFFFF"/>
        <w:sz w:val="22"/>
      </w:rPr>
      <w:tcPr>
        <w:tcBorders>
          <w:top w:val="single" w:color="FFFFFF" w:sz="4" w:space="0"/>
        </w:tcBorders>
        <w:shd w:val="clear" w:color="4BACC6" w:fill="4BACC6"/>
      </w:tcPr>
    </w:tblStylePr>
    <w:tblStylePr w:type="firstCol">
      <w:rPr>
        <w:rFonts w:ascii="Arial" w:hAnsi="Arial"/>
        <w:b/>
        <w:color w:val="FFFFFF"/>
        <w:sz w:val="22"/>
      </w:rPr>
      <w:tcPr>
        <w:shd w:val="clear" w:color="4BACC6" w:fill="4BACC6"/>
      </w:tcPr>
    </w:tblStylePr>
    <w:tblStylePr w:type="lastCol">
      <w:rPr>
        <w:rFonts w:ascii="Arial" w:hAnsi="Arial"/>
        <w:b/>
        <w:color w:val="FFFFFF"/>
        <w:sz w:val="22"/>
      </w:rPr>
      <w:tcPr>
        <w:shd w:val="clear" w:color="4BACC6" w:fill="4BACC6"/>
      </w:tcPr>
    </w:tblStylePr>
    <w:tblStylePr w:type="band1Vert">
      <w:tcPr>
        <w:shd w:val="clear" w:color="ACD8E4" w:fill="ACD8E4"/>
      </w:tcPr>
    </w:tblStylePr>
    <w:tblStylePr w:type="band1Horz">
      <w:tcPr>
        <w:shd w:val="clear" w:color="ACD8E4" w:fill="ACD8E4"/>
      </w:tcPr>
    </w:tblStylePr>
  </w:style>
  <w:style w:type="table" w:customStyle="1" w:styleId="1008">
    <w:name w:val="Grid Table 5 Dark - Accent 63"/>
    <w:basedOn w:val="13"/>
    <w:uiPriority w:val="99"/>
    <w:rPr>
      <w:sz w:val="22"/>
      <w:szCs w:val="22"/>
      <w:lang w:eastAsia="en-US"/>
    </w:rPr>
    <w:tblPr>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CellMar>
        <w:top w:w="0" w:type="dxa"/>
        <w:left w:w="108" w:type="dxa"/>
        <w:bottom w:w="0" w:type="dxa"/>
        <w:right w:w="108" w:type="dxa"/>
      </w:tblCellMar>
    </w:tblPr>
    <w:tblStylePr w:type="firstRow">
      <w:rPr>
        <w:rFonts w:ascii="Arial" w:hAnsi="Arial"/>
        <w:b/>
        <w:color w:val="FFFFFF"/>
        <w:sz w:val="22"/>
      </w:rPr>
      <w:tcPr>
        <w:shd w:val="clear" w:color="F79646" w:fill="F79646"/>
      </w:tcPr>
    </w:tblStylePr>
    <w:tblStylePr w:type="lastRow">
      <w:rPr>
        <w:rFonts w:ascii="Arial" w:hAnsi="Arial"/>
        <w:b/>
        <w:color w:val="FFFFFF"/>
        <w:sz w:val="22"/>
      </w:rPr>
      <w:tcPr>
        <w:tcBorders>
          <w:top w:val="single" w:color="FFFFFF" w:sz="4" w:space="0"/>
        </w:tcBorders>
        <w:shd w:val="clear" w:color="F79646" w:fill="F79646"/>
      </w:tcPr>
    </w:tblStylePr>
    <w:tblStylePr w:type="firstCol">
      <w:rPr>
        <w:rFonts w:ascii="Arial" w:hAnsi="Arial"/>
        <w:b/>
        <w:color w:val="FFFFFF"/>
        <w:sz w:val="22"/>
      </w:rPr>
      <w:tcPr>
        <w:shd w:val="clear" w:color="F79646" w:fill="F79646"/>
      </w:tcPr>
    </w:tblStylePr>
    <w:tblStylePr w:type="lastCol">
      <w:rPr>
        <w:rFonts w:ascii="Arial" w:hAnsi="Arial"/>
        <w:b/>
        <w:color w:val="FFFFFF"/>
        <w:sz w:val="22"/>
      </w:rPr>
      <w:tcPr>
        <w:shd w:val="clear" w:color="F79646" w:fill="F79646"/>
      </w:tcPr>
    </w:tblStylePr>
    <w:tblStylePr w:type="band1Vert">
      <w:tcPr>
        <w:shd w:val="clear" w:color="FBCEAA" w:fill="FBCEAA"/>
      </w:tcPr>
    </w:tblStylePr>
    <w:tblStylePr w:type="band1Horz">
      <w:tcPr>
        <w:shd w:val="clear" w:color="FBCEAA" w:fill="FBCEAA"/>
      </w:tcPr>
    </w:tblStylePr>
  </w:style>
  <w:style w:type="table" w:customStyle="1" w:styleId="1009">
    <w:name w:val="Grid Table 6 Colorful1"/>
    <w:basedOn w:val="13"/>
    <w:uiPriority w:val="99"/>
    <w:rPr>
      <w:sz w:val="22"/>
      <w:szCs w:val="22"/>
      <w:lang w:eastAsia="en-US"/>
    </w:rPr>
    <w:tblPr>
      <w:tblBorders>
        <w:top w:val="single" w:color="7F7F7F" w:sz="4" w:space="0"/>
        <w:left w:val="single" w:color="7F7F7F" w:sz="4" w:space="0"/>
        <w:bottom w:val="single" w:color="7F7F7F" w:sz="4" w:space="0"/>
        <w:right w:val="single" w:color="7F7F7F" w:sz="4" w:space="0"/>
        <w:insideH w:val="single" w:color="7F7F7F" w:sz="4" w:space="0"/>
        <w:insideV w:val="single" w:color="7F7F7F" w:sz="4" w:space="0"/>
      </w:tblBorders>
      <w:tblCellMar>
        <w:top w:w="0" w:type="dxa"/>
        <w:left w:w="108" w:type="dxa"/>
        <w:bottom w:w="0" w:type="dxa"/>
        <w:right w:w="108" w:type="dxa"/>
      </w:tblCellMar>
    </w:tblPr>
    <w:tblStylePr w:type="firstRow">
      <w:rPr>
        <w:b/>
        <w:color w:val="7F7F7F"/>
      </w:rPr>
      <w:tcPr>
        <w:tcBorders>
          <w:bottom w:val="single" w:color="7F7F7F" w:sz="12" w:space="0"/>
        </w:tcBorders>
      </w:tcPr>
    </w:tblStylePr>
    <w:tblStylePr w:type="lastRow">
      <w:rPr>
        <w:b/>
        <w:color w:val="7F7F7F"/>
      </w:rPr>
    </w:tblStylePr>
    <w:tblStylePr w:type="firstCol">
      <w:rPr>
        <w:b/>
        <w:color w:val="7F7F7F"/>
      </w:rPr>
    </w:tblStylePr>
    <w:tblStylePr w:type="lastCol">
      <w:rPr>
        <w:b/>
        <w:color w:val="7F7F7F"/>
      </w:rPr>
    </w:tblStylePr>
    <w:tblStylePr w:type="band1Vert">
      <w:tcPr>
        <w:shd w:val="clear" w:color="CBCBCB" w:fill="CBCBCB"/>
      </w:tcPr>
    </w:tblStylePr>
    <w:tblStylePr w:type="band1Horz">
      <w:rPr>
        <w:rFonts w:ascii="Arial" w:hAnsi="Arial"/>
        <w:color w:val="7F7F7F"/>
        <w:sz w:val="22"/>
      </w:rPr>
      <w:tcPr>
        <w:shd w:val="clear" w:color="CBCBCB" w:fill="CBCBCB"/>
      </w:tcPr>
    </w:tblStylePr>
    <w:tblStylePr w:type="band2Horz">
      <w:rPr>
        <w:rFonts w:ascii="Arial" w:hAnsi="Arial"/>
        <w:color w:val="7F7F7F"/>
        <w:sz w:val="22"/>
      </w:rPr>
    </w:tblStylePr>
  </w:style>
  <w:style w:type="table" w:customStyle="1" w:styleId="1010">
    <w:name w:val="Grid Table 6 Colorful - Accent 13"/>
    <w:basedOn w:val="13"/>
    <w:uiPriority w:val="99"/>
    <w:rPr>
      <w:sz w:val="22"/>
      <w:szCs w:val="22"/>
      <w:lang w:eastAsia="en-US"/>
    </w:rPr>
    <w:tblPr>
      <w:tblBorders>
        <w:top w:val="single" w:color="A6BFDD" w:sz="4" w:space="0"/>
        <w:left w:val="single" w:color="A6BFDD" w:sz="4" w:space="0"/>
        <w:bottom w:val="single" w:color="A6BFDD" w:sz="4" w:space="0"/>
        <w:right w:val="single" w:color="A6BFDD" w:sz="4" w:space="0"/>
        <w:insideH w:val="single" w:color="A6BFDD" w:sz="4" w:space="0"/>
        <w:insideV w:val="single" w:color="A6BFDD" w:sz="4" w:space="0"/>
      </w:tblBorders>
      <w:tblCellMar>
        <w:top w:w="0" w:type="dxa"/>
        <w:left w:w="108" w:type="dxa"/>
        <w:bottom w:w="0" w:type="dxa"/>
        <w:right w:w="108" w:type="dxa"/>
      </w:tblCellMar>
    </w:tblPr>
    <w:tblStylePr w:type="firstRow">
      <w:rPr>
        <w:b/>
        <w:color w:val="A6BFDD"/>
      </w:rPr>
      <w:tcPr>
        <w:tcBorders>
          <w:bottom w:val="single" w:color="A6BFDD" w:sz="12" w:space="0"/>
        </w:tcBorders>
      </w:tcPr>
    </w:tblStylePr>
    <w:tblStylePr w:type="lastRow">
      <w:rPr>
        <w:b/>
        <w:color w:val="A6BFDD"/>
      </w:rPr>
    </w:tblStylePr>
    <w:tblStylePr w:type="firstCol">
      <w:rPr>
        <w:b/>
        <w:color w:val="A6BFDD"/>
      </w:rPr>
    </w:tblStylePr>
    <w:tblStylePr w:type="lastCol">
      <w:rPr>
        <w:b/>
        <w:color w:val="A6BFDD"/>
      </w:rPr>
    </w:tblStylePr>
    <w:tblStylePr w:type="band1Vert">
      <w:tcPr>
        <w:shd w:val="clear" w:color="DAE5F1" w:fill="DAE5F1"/>
      </w:tcPr>
    </w:tblStylePr>
    <w:tblStylePr w:type="band1Horz">
      <w:rPr>
        <w:rFonts w:ascii="Arial" w:hAnsi="Arial"/>
        <w:color w:val="A6BFDD"/>
        <w:sz w:val="22"/>
      </w:rPr>
      <w:tcPr>
        <w:shd w:val="clear" w:color="DAE5F1" w:fill="DAE5F1"/>
      </w:tcPr>
    </w:tblStylePr>
    <w:tblStylePr w:type="band2Horz">
      <w:rPr>
        <w:rFonts w:ascii="Arial" w:hAnsi="Arial"/>
        <w:color w:val="A6BFDD"/>
        <w:sz w:val="22"/>
      </w:rPr>
    </w:tblStylePr>
  </w:style>
  <w:style w:type="table" w:customStyle="1" w:styleId="1011">
    <w:name w:val="Grid Table 6 Colorful - Accent 23"/>
    <w:basedOn w:val="13"/>
    <w:uiPriority w:val="99"/>
    <w:rPr>
      <w:sz w:val="22"/>
      <w:szCs w:val="22"/>
      <w:lang w:eastAsia="en-US"/>
    </w:rPr>
    <w:tblPr>
      <w:tblBorders>
        <w:top w:val="single" w:color="D99695" w:sz="4" w:space="0"/>
        <w:left w:val="single" w:color="D99695" w:sz="4" w:space="0"/>
        <w:bottom w:val="single" w:color="D99695" w:sz="4" w:space="0"/>
        <w:right w:val="single" w:color="D99695" w:sz="4" w:space="0"/>
        <w:insideH w:val="single" w:color="D99695" w:sz="4" w:space="0"/>
        <w:insideV w:val="single" w:color="D99695" w:sz="4" w:space="0"/>
      </w:tblBorders>
      <w:tblCellMar>
        <w:top w:w="0" w:type="dxa"/>
        <w:left w:w="108" w:type="dxa"/>
        <w:bottom w:w="0" w:type="dxa"/>
        <w:right w:w="108" w:type="dxa"/>
      </w:tblCellMar>
    </w:tblPr>
    <w:tblStylePr w:type="firstRow">
      <w:rPr>
        <w:b/>
        <w:color w:val="D99695"/>
      </w:rPr>
      <w:tcPr>
        <w:tcBorders>
          <w:bottom w:val="single" w:color="D99695" w:sz="12" w:space="0"/>
        </w:tcBorders>
      </w:tcPr>
    </w:tblStylePr>
    <w:tblStylePr w:type="lastRow">
      <w:rPr>
        <w:b/>
        <w:color w:val="D99695"/>
      </w:rPr>
    </w:tblStylePr>
    <w:tblStylePr w:type="firstCol">
      <w:rPr>
        <w:b/>
        <w:color w:val="D99695"/>
      </w:rPr>
    </w:tblStylePr>
    <w:tblStylePr w:type="lastCol">
      <w:rPr>
        <w:b/>
        <w:color w:val="D99695"/>
      </w:rPr>
    </w:tblStylePr>
    <w:tblStylePr w:type="band1Vert">
      <w:tcPr>
        <w:shd w:val="clear" w:color="F2DCDC" w:fill="F2DCDC"/>
      </w:tcPr>
    </w:tblStylePr>
    <w:tblStylePr w:type="band1Horz">
      <w:rPr>
        <w:rFonts w:ascii="Arial" w:hAnsi="Arial"/>
        <w:color w:val="D99695"/>
        <w:sz w:val="22"/>
      </w:rPr>
      <w:tcPr>
        <w:shd w:val="clear" w:color="F2DCDC" w:fill="F2DCDC"/>
      </w:tcPr>
    </w:tblStylePr>
    <w:tblStylePr w:type="band2Horz">
      <w:rPr>
        <w:rFonts w:ascii="Arial" w:hAnsi="Arial"/>
        <w:color w:val="D99695"/>
        <w:sz w:val="22"/>
      </w:rPr>
    </w:tblStylePr>
  </w:style>
  <w:style w:type="table" w:customStyle="1" w:styleId="1012">
    <w:name w:val="Grid Table 6 Colorful - Accent 33"/>
    <w:basedOn w:val="13"/>
    <w:uiPriority w:val="99"/>
    <w:rPr>
      <w:sz w:val="22"/>
      <w:szCs w:val="22"/>
      <w:lang w:eastAsia="en-US"/>
    </w:rPr>
    <w:tblPr>
      <w:tblBorders>
        <w:top w:val="single" w:color="9ABB59" w:sz="4" w:space="0"/>
        <w:left w:val="single" w:color="9ABB59" w:sz="4" w:space="0"/>
        <w:bottom w:val="single" w:color="9ABB59" w:sz="4" w:space="0"/>
        <w:right w:val="single" w:color="9ABB59" w:sz="4" w:space="0"/>
        <w:insideH w:val="single" w:color="9ABB59" w:sz="4" w:space="0"/>
        <w:insideV w:val="single" w:color="9ABB59" w:sz="4" w:space="0"/>
      </w:tblBorders>
      <w:tblCellMar>
        <w:top w:w="0" w:type="dxa"/>
        <w:left w:w="108" w:type="dxa"/>
        <w:bottom w:w="0" w:type="dxa"/>
        <w:right w:w="108" w:type="dxa"/>
      </w:tblCellMar>
    </w:tblPr>
    <w:tblStylePr w:type="firstRow">
      <w:rPr>
        <w:b/>
        <w:color w:val="9ABB59"/>
      </w:rPr>
      <w:tcPr>
        <w:tcBorders>
          <w:bottom w:val="single" w:color="9ABB59" w:sz="12" w:space="0"/>
        </w:tcBorders>
      </w:tcPr>
    </w:tblStylePr>
    <w:tblStylePr w:type="lastRow">
      <w:rPr>
        <w:b/>
        <w:color w:val="9ABB59"/>
      </w:rPr>
    </w:tblStylePr>
    <w:tblStylePr w:type="firstCol">
      <w:rPr>
        <w:b/>
        <w:color w:val="9ABB59"/>
      </w:rPr>
    </w:tblStylePr>
    <w:tblStylePr w:type="lastCol">
      <w:rPr>
        <w:b/>
        <w:color w:val="9ABB59"/>
      </w:rPr>
    </w:tblStylePr>
    <w:tblStylePr w:type="band1Vert">
      <w:tcPr>
        <w:shd w:val="clear" w:color="EAF1DC" w:fill="EAF1DC"/>
      </w:tcPr>
    </w:tblStylePr>
    <w:tblStylePr w:type="band1Horz">
      <w:rPr>
        <w:rFonts w:ascii="Arial" w:hAnsi="Arial"/>
        <w:color w:val="9ABB59"/>
        <w:sz w:val="22"/>
      </w:rPr>
      <w:tcPr>
        <w:shd w:val="clear" w:color="EAF1DC" w:fill="EAF1DC"/>
      </w:tcPr>
    </w:tblStylePr>
    <w:tblStylePr w:type="band2Horz">
      <w:rPr>
        <w:rFonts w:ascii="Arial" w:hAnsi="Arial"/>
        <w:color w:val="9ABB59"/>
        <w:sz w:val="22"/>
      </w:rPr>
    </w:tblStylePr>
  </w:style>
  <w:style w:type="table" w:customStyle="1" w:styleId="1013">
    <w:name w:val="Grid Table 6 Colorful - Accent 43"/>
    <w:basedOn w:val="13"/>
    <w:uiPriority w:val="99"/>
    <w:rPr>
      <w:sz w:val="22"/>
      <w:szCs w:val="22"/>
      <w:lang w:eastAsia="en-US"/>
    </w:rPr>
    <w:tblPr>
      <w:tblBorders>
        <w:top w:val="single" w:color="B2A1C6" w:sz="4" w:space="0"/>
        <w:left w:val="single" w:color="B2A1C6" w:sz="4" w:space="0"/>
        <w:bottom w:val="single" w:color="B2A1C6" w:sz="4" w:space="0"/>
        <w:right w:val="single" w:color="B2A1C6" w:sz="4" w:space="0"/>
        <w:insideH w:val="single" w:color="B2A1C6" w:sz="4" w:space="0"/>
        <w:insideV w:val="single" w:color="B2A1C6" w:sz="4" w:space="0"/>
      </w:tblBorders>
      <w:tblCellMar>
        <w:top w:w="0" w:type="dxa"/>
        <w:left w:w="108" w:type="dxa"/>
        <w:bottom w:w="0" w:type="dxa"/>
        <w:right w:w="108" w:type="dxa"/>
      </w:tblCellMar>
    </w:tblPr>
    <w:tblStylePr w:type="firstRow">
      <w:rPr>
        <w:b/>
        <w:color w:val="B2A1C6"/>
      </w:rPr>
      <w:tcPr>
        <w:tcBorders>
          <w:bottom w:val="single" w:color="B2A1C6" w:sz="12" w:space="0"/>
        </w:tcBorders>
      </w:tcPr>
    </w:tblStylePr>
    <w:tblStylePr w:type="lastRow">
      <w:rPr>
        <w:b/>
        <w:color w:val="B2A1C6"/>
      </w:rPr>
    </w:tblStylePr>
    <w:tblStylePr w:type="firstCol">
      <w:rPr>
        <w:b/>
        <w:color w:val="B2A1C6"/>
      </w:rPr>
    </w:tblStylePr>
    <w:tblStylePr w:type="lastCol">
      <w:rPr>
        <w:b/>
        <w:color w:val="B2A1C6"/>
      </w:rPr>
    </w:tblStylePr>
    <w:tblStylePr w:type="band1Vert">
      <w:tcPr>
        <w:shd w:val="clear" w:color="E5DFEC" w:fill="E5DFEC"/>
      </w:tcPr>
    </w:tblStylePr>
    <w:tblStylePr w:type="band1Horz">
      <w:rPr>
        <w:rFonts w:ascii="Arial" w:hAnsi="Arial"/>
        <w:color w:val="B2A1C6"/>
        <w:sz w:val="22"/>
      </w:rPr>
      <w:tcPr>
        <w:shd w:val="clear" w:color="E5DFEC" w:fill="E5DFEC"/>
      </w:tcPr>
    </w:tblStylePr>
    <w:tblStylePr w:type="band2Horz">
      <w:rPr>
        <w:rFonts w:ascii="Arial" w:hAnsi="Arial"/>
        <w:color w:val="B2A1C6"/>
        <w:sz w:val="22"/>
      </w:rPr>
    </w:tblStylePr>
  </w:style>
  <w:style w:type="table" w:customStyle="1" w:styleId="1014">
    <w:name w:val="Grid Table 6 Colorful - Accent 53"/>
    <w:basedOn w:val="13"/>
    <w:uiPriority w:val="99"/>
    <w:rPr>
      <w:sz w:val="22"/>
      <w:szCs w:val="22"/>
      <w:lang w:eastAsia="en-US"/>
    </w:rPr>
    <w:tblPr>
      <w:tblBorders>
        <w:top w:val="single" w:color="4BACC6" w:sz="4" w:space="0"/>
        <w:left w:val="single" w:color="4BACC6" w:sz="4" w:space="0"/>
        <w:bottom w:val="single" w:color="4BACC6" w:sz="4" w:space="0"/>
        <w:right w:val="single" w:color="4BACC6" w:sz="4" w:space="0"/>
        <w:insideH w:val="single" w:color="4BACC6" w:sz="4" w:space="0"/>
        <w:insideV w:val="single" w:color="4BACC6" w:sz="4" w:space="0"/>
      </w:tblBorders>
      <w:tblCellMar>
        <w:top w:w="0" w:type="dxa"/>
        <w:left w:w="108" w:type="dxa"/>
        <w:bottom w:w="0" w:type="dxa"/>
        <w:right w:w="108" w:type="dxa"/>
      </w:tblCellMar>
    </w:tblPr>
    <w:tblStylePr w:type="firstRow">
      <w:rPr>
        <w:b/>
        <w:color w:val="266779"/>
      </w:rPr>
      <w:tcPr>
        <w:tcBorders>
          <w:bottom w:val="single" w:color="4BACC6" w:sz="12" w:space="0"/>
        </w:tcBorders>
      </w:tcPr>
    </w:tblStylePr>
    <w:tblStylePr w:type="lastRow">
      <w:rPr>
        <w:b/>
        <w:color w:val="266779"/>
      </w:rPr>
    </w:tblStylePr>
    <w:tblStylePr w:type="firstCol">
      <w:rPr>
        <w:b/>
        <w:color w:val="266779"/>
      </w:rPr>
    </w:tblStylePr>
    <w:tblStylePr w:type="lastCol">
      <w:rPr>
        <w:b/>
        <w:color w:val="266779"/>
      </w:rPr>
    </w:tblStylePr>
    <w:tblStylePr w:type="band1Vert">
      <w:tcPr>
        <w:shd w:val="clear" w:color="DAEEF3" w:fill="DAEEF3"/>
      </w:tcPr>
    </w:tblStylePr>
    <w:tblStylePr w:type="band1Horz">
      <w:rPr>
        <w:rFonts w:ascii="Arial" w:hAnsi="Arial"/>
        <w:color w:val="266779"/>
        <w:sz w:val="22"/>
      </w:rPr>
      <w:tcPr>
        <w:shd w:val="clear" w:color="DAEEF3" w:fill="DAEEF3"/>
      </w:tcPr>
    </w:tblStylePr>
    <w:tblStylePr w:type="band2Horz">
      <w:rPr>
        <w:rFonts w:ascii="Arial" w:hAnsi="Arial"/>
        <w:color w:val="266779"/>
        <w:sz w:val="22"/>
      </w:rPr>
    </w:tblStylePr>
  </w:style>
  <w:style w:type="table" w:customStyle="1" w:styleId="1015">
    <w:name w:val="Grid Table 6 Colorful - Accent 63"/>
    <w:basedOn w:val="13"/>
    <w:uiPriority w:val="99"/>
    <w:rPr>
      <w:sz w:val="22"/>
      <w:szCs w:val="22"/>
      <w:lang w:eastAsia="en-US"/>
    </w:rPr>
    <w:tblPr>
      <w:tblBorders>
        <w:top w:val="single" w:color="F79646" w:sz="4" w:space="0"/>
        <w:left w:val="single" w:color="F79646" w:sz="4" w:space="0"/>
        <w:bottom w:val="single" w:color="F79646" w:sz="4" w:space="0"/>
        <w:right w:val="single" w:color="F79646" w:sz="4" w:space="0"/>
        <w:insideH w:val="single" w:color="F79646" w:sz="4" w:space="0"/>
        <w:insideV w:val="single" w:color="F79646" w:sz="4" w:space="0"/>
      </w:tblBorders>
      <w:tblCellMar>
        <w:top w:w="0" w:type="dxa"/>
        <w:left w:w="108" w:type="dxa"/>
        <w:bottom w:w="0" w:type="dxa"/>
        <w:right w:w="108" w:type="dxa"/>
      </w:tblCellMar>
    </w:tblPr>
    <w:tblStylePr w:type="firstRow">
      <w:rPr>
        <w:b/>
        <w:color w:val="266779"/>
      </w:rPr>
      <w:tcPr>
        <w:tcBorders>
          <w:bottom w:val="single" w:color="F79646" w:sz="12" w:space="0"/>
        </w:tcBorders>
      </w:tcPr>
    </w:tblStylePr>
    <w:tblStylePr w:type="lastRow">
      <w:rPr>
        <w:b/>
        <w:color w:val="266779"/>
      </w:rPr>
    </w:tblStylePr>
    <w:tblStylePr w:type="firstCol">
      <w:rPr>
        <w:b/>
        <w:color w:val="266779"/>
      </w:rPr>
    </w:tblStylePr>
    <w:tblStylePr w:type="lastCol">
      <w:rPr>
        <w:b/>
        <w:color w:val="266779"/>
      </w:rPr>
    </w:tblStylePr>
    <w:tblStylePr w:type="band1Vert">
      <w:tcPr>
        <w:shd w:val="clear" w:color="FDE9D8" w:fill="FDE9D8"/>
      </w:tcPr>
    </w:tblStylePr>
    <w:tblStylePr w:type="band1Horz">
      <w:rPr>
        <w:rFonts w:ascii="Arial" w:hAnsi="Arial"/>
        <w:color w:val="266779"/>
        <w:sz w:val="22"/>
      </w:rPr>
      <w:tcPr>
        <w:shd w:val="clear" w:color="FDE9D8" w:fill="FDE9D8"/>
      </w:tcPr>
    </w:tblStylePr>
    <w:tblStylePr w:type="band2Horz">
      <w:rPr>
        <w:rFonts w:ascii="Arial" w:hAnsi="Arial"/>
        <w:color w:val="266779"/>
        <w:sz w:val="22"/>
      </w:rPr>
    </w:tblStylePr>
  </w:style>
  <w:style w:type="table" w:customStyle="1" w:styleId="1016">
    <w:name w:val="Grid Table 7 Colorful1"/>
    <w:basedOn w:val="13"/>
    <w:uiPriority w:val="99"/>
    <w:rPr>
      <w:sz w:val="22"/>
      <w:szCs w:val="22"/>
      <w:lang w:eastAsia="en-US"/>
    </w:rPr>
    <w:tblPr>
      <w:tblBorders>
        <w:bottom w:val="single" w:color="7F7F7F" w:sz="4" w:space="0"/>
        <w:right w:val="single" w:color="7F7F7F" w:sz="4" w:space="0"/>
        <w:insideH w:val="single" w:color="7F7F7F" w:sz="4" w:space="0"/>
        <w:insideV w:val="single" w:color="7F7F7F" w:sz="4" w:space="0"/>
      </w:tblBorders>
      <w:tblCellMar>
        <w:top w:w="0" w:type="dxa"/>
        <w:left w:w="108" w:type="dxa"/>
        <w:bottom w:w="0" w:type="dxa"/>
        <w:right w:w="108" w:type="dxa"/>
      </w:tblCellMar>
    </w:tblPr>
    <w:tblStylePr w:type="firstRow">
      <w:rPr>
        <w:rFonts w:ascii="Arial" w:hAnsi="Arial"/>
        <w:b/>
        <w:color w:val="7F7F7F"/>
        <w:sz w:val="22"/>
      </w:rPr>
      <w:tcPr>
        <w:tcBorders>
          <w:top w:val="nil"/>
          <w:left w:val="nil"/>
          <w:bottom w:val="single" w:color="7F7F7F" w:sz="4" w:space="0"/>
          <w:right w:val="nil"/>
        </w:tcBorders>
        <w:shd w:val="clear" w:color="FFFFFF" w:fill="FFFFFF"/>
      </w:tcPr>
    </w:tblStylePr>
    <w:tblStylePr w:type="lastRow">
      <w:rPr>
        <w:rFonts w:ascii="Arial" w:hAnsi="Arial"/>
        <w:b/>
        <w:color w:val="7F7F7F"/>
        <w:sz w:val="22"/>
      </w:rPr>
      <w:tcPr>
        <w:tcBorders>
          <w:top w:val="single" w:color="7F7F7F" w:sz="4" w:space="0"/>
          <w:left w:val="nil"/>
          <w:bottom w:val="nil"/>
          <w:right w:val="nil"/>
        </w:tcBorders>
        <w:shd w:val="clear" w:color="FFFFFF" w:fill="FFFFFF"/>
      </w:tcPr>
    </w:tblStylePr>
    <w:tblStylePr w:type="firstCol">
      <w:pPr>
        <w:jc w:val="right"/>
      </w:pPr>
      <w:rPr>
        <w:rFonts w:ascii="Arial" w:hAnsi="Arial"/>
        <w:i/>
        <w:color w:val="7F7F7F"/>
        <w:sz w:val="22"/>
      </w:rPr>
      <w:tcPr>
        <w:tcBorders>
          <w:top w:val="nil"/>
          <w:left w:val="nil"/>
          <w:bottom w:val="nil"/>
          <w:right w:val="single" w:color="7F7F7F" w:sz="4" w:space="0"/>
        </w:tcBorders>
        <w:shd w:val="clear" w:color="FFFFFF" w:fill="auto"/>
      </w:tcPr>
    </w:tblStylePr>
    <w:tblStylePr w:type="lastCol">
      <w:rPr>
        <w:rFonts w:ascii="Arial" w:hAnsi="Arial"/>
        <w:i/>
        <w:color w:val="7F7F7F"/>
        <w:sz w:val="22"/>
      </w:rPr>
      <w:tcPr>
        <w:tcBorders>
          <w:top w:val="nil"/>
          <w:left w:val="single" w:color="7F7F7F" w:sz="4" w:space="0"/>
          <w:bottom w:val="nil"/>
          <w:right w:val="nil"/>
        </w:tcBorders>
        <w:shd w:val="clear" w:color="FFFFFF" w:fill="auto"/>
      </w:tcPr>
    </w:tblStylePr>
    <w:tblStylePr w:type="band1Vert">
      <w:tcPr>
        <w:shd w:val="clear" w:color="F2F2F2" w:fill="F2F2F2"/>
      </w:tcPr>
    </w:tblStylePr>
    <w:tblStylePr w:type="band1Horz">
      <w:rPr>
        <w:rFonts w:ascii="Arial" w:hAnsi="Arial"/>
        <w:color w:val="7F7F7F"/>
        <w:sz w:val="22"/>
      </w:rPr>
      <w:tcPr>
        <w:shd w:val="clear" w:color="F2F2F2" w:fill="F2F2F2"/>
      </w:tcPr>
    </w:tblStylePr>
    <w:tblStylePr w:type="band2Horz">
      <w:rPr>
        <w:rFonts w:ascii="Arial" w:hAnsi="Arial"/>
        <w:color w:val="7F7F7F"/>
        <w:sz w:val="22"/>
      </w:rPr>
    </w:tblStylePr>
  </w:style>
  <w:style w:type="table" w:customStyle="1" w:styleId="1017">
    <w:name w:val="Grid Table 7 Colorful - Accent 13"/>
    <w:basedOn w:val="13"/>
    <w:uiPriority w:val="99"/>
    <w:rPr>
      <w:sz w:val="22"/>
      <w:szCs w:val="22"/>
      <w:lang w:eastAsia="en-US"/>
    </w:rPr>
    <w:tblPr>
      <w:tblBorders>
        <w:bottom w:val="single" w:color="A6BFDD" w:sz="4" w:space="0"/>
        <w:right w:val="single" w:color="A6BFDD" w:sz="4" w:space="0"/>
        <w:insideH w:val="single" w:color="A6BFDD" w:sz="4" w:space="0"/>
        <w:insideV w:val="single" w:color="A6BFDD" w:sz="4" w:space="0"/>
      </w:tblBorders>
      <w:tblCellMar>
        <w:top w:w="0" w:type="dxa"/>
        <w:left w:w="108" w:type="dxa"/>
        <w:bottom w:w="0" w:type="dxa"/>
        <w:right w:w="108" w:type="dxa"/>
      </w:tblCellMar>
    </w:tblPr>
    <w:tblStylePr w:type="firstRow">
      <w:rPr>
        <w:rFonts w:ascii="Arial" w:hAnsi="Arial"/>
        <w:b/>
        <w:color w:val="A6BFDD"/>
        <w:sz w:val="22"/>
      </w:rPr>
      <w:tcPr>
        <w:tcBorders>
          <w:top w:val="nil"/>
          <w:left w:val="nil"/>
          <w:bottom w:val="single" w:color="A6BFDD" w:sz="4" w:space="0"/>
          <w:right w:val="nil"/>
        </w:tcBorders>
        <w:shd w:val="clear" w:color="FFFFFF" w:fill="FFFFFF"/>
      </w:tcPr>
    </w:tblStylePr>
    <w:tblStylePr w:type="lastRow">
      <w:rPr>
        <w:rFonts w:ascii="Arial" w:hAnsi="Arial"/>
        <w:b/>
        <w:color w:val="A6BFDD"/>
        <w:sz w:val="22"/>
      </w:rPr>
      <w:tcPr>
        <w:tcBorders>
          <w:top w:val="single" w:color="A6BFDD" w:sz="4" w:space="0"/>
          <w:left w:val="nil"/>
          <w:bottom w:val="nil"/>
          <w:right w:val="nil"/>
        </w:tcBorders>
        <w:shd w:val="clear" w:color="FFFFFF" w:fill="FFFFFF"/>
      </w:tcPr>
    </w:tblStylePr>
    <w:tblStylePr w:type="firstCol">
      <w:pPr>
        <w:jc w:val="right"/>
      </w:pPr>
      <w:rPr>
        <w:rFonts w:ascii="Arial" w:hAnsi="Arial"/>
        <w:i/>
        <w:color w:val="A6BFDD"/>
        <w:sz w:val="22"/>
      </w:rPr>
      <w:tcPr>
        <w:tcBorders>
          <w:top w:val="nil"/>
          <w:left w:val="nil"/>
          <w:bottom w:val="nil"/>
          <w:right w:val="single" w:color="A6BFDD" w:sz="4" w:space="0"/>
        </w:tcBorders>
        <w:shd w:val="clear" w:color="FFFFFF" w:fill="auto"/>
      </w:tcPr>
    </w:tblStylePr>
    <w:tblStylePr w:type="lastCol">
      <w:rPr>
        <w:rFonts w:ascii="Arial" w:hAnsi="Arial"/>
        <w:i/>
        <w:color w:val="A6BFDD"/>
        <w:sz w:val="22"/>
      </w:rPr>
      <w:tcPr>
        <w:tcBorders>
          <w:top w:val="nil"/>
          <w:left w:val="single" w:color="A6BFDD" w:sz="4" w:space="0"/>
          <w:bottom w:val="nil"/>
          <w:right w:val="nil"/>
        </w:tcBorders>
        <w:shd w:val="clear" w:color="FFFFFF" w:fill="auto"/>
      </w:tcPr>
    </w:tblStylePr>
    <w:tblStylePr w:type="band1Vert">
      <w:tcPr>
        <w:shd w:val="clear" w:color="DAE5F1" w:fill="DAE5F1"/>
      </w:tcPr>
    </w:tblStylePr>
    <w:tblStylePr w:type="band1Horz">
      <w:rPr>
        <w:rFonts w:ascii="Arial" w:hAnsi="Arial"/>
        <w:color w:val="A6BFDD"/>
        <w:sz w:val="22"/>
      </w:rPr>
      <w:tcPr>
        <w:shd w:val="clear" w:color="DAE5F1" w:fill="DAE5F1"/>
      </w:tcPr>
    </w:tblStylePr>
    <w:tblStylePr w:type="band2Horz">
      <w:rPr>
        <w:rFonts w:ascii="Arial" w:hAnsi="Arial"/>
        <w:color w:val="A6BFDD"/>
        <w:sz w:val="22"/>
      </w:rPr>
    </w:tblStylePr>
  </w:style>
  <w:style w:type="table" w:customStyle="1" w:styleId="1018">
    <w:name w:val="Grid Table 7 Colorful - Accent 23"/>
    <w:basedOn w:val="13"/>
    <w:uiPriority w:val="99"/>
    <w:rPr>
      <w:sz w:val="22"/>
      <w:szCs w:val="22"/>
      <w:lang w:eastAsia="en-US"/>
    </w:rPr>
    <w:tblPr>
      <w:tblBorders>
        <w:bottom w:val="single" w:color="D99695" w:sz="4" w:space="0"/>
        <w:right w:val="single" w:color="D99695" w:sz="4" w:space="0"/>
        <w:insideH w:val="single" w:color="D99695" w:sz="4" w:space="0"/>
        <w:insideV w:val="single" w:color="D99695" w:sz="4" w:space="0"/>
      </w:tblBorders>
      <w:tblCellMar>
        <w:top w:w="0" w:type="dxa"/>
        <w:left w:w="108" w:type="dxa"/>
        <w:bottom w:w="0" w:type="dxa"/>
        <w:right w:w="108" w:type="dxa"/>
      </w:tblCellMar>
    </w:tblPr>
    <w:tblStylePr w:type="firstRow">
      <w:rPr>
        <w:rFonts w:ascii="Arial" w:hAnsi="Arial"/>
        <w:b/>
        <w:color w:val="D99695"/>
        <w:sz w:val="22"/>
      </w:rPr>
      <w:tcPr>
        <w:tcBorders>
          <w:top w:val="nil"/>
          <w:left w:val="nil"/>
          <w:bottom w:val="single" w:color="D99695" w:sz="4" w:space="0"/>
          <w:right w:val="nil"/>
        </w:tcBorders>
        <w:shd w:val="clear" w:color="FFFFFF" w:fill="FFFFFF"/>
      </w:tcPr>
    </w:tblStylePr>
    <w:tblStylePr w:type="lastRow">
      <w:rPr>
        <w:rFonts w:ascii="Arial" w:hAnsi="Arial"/>
        <w:b/>
        <w:color w:val="D99695"/>
        <w:sz w:val="22"/>
      </w:rPr>
      <w:tcPr>
        <w:tcBorders>
          <w:top w:val="single" w:color="D99695" w:sz="4" w:space="0"/>
          <w:left w:val="nil"/>
          <w:bottom w:val="nil"/>
          <w:right w:val="nil"/>
        </w:tcBorders>
        <w:shd w:val="clear" w:color="FFFFFF" w:fill="FFFFFF"/>
      </w:tcPr>
    </w:tblStylePr>
    <w:tblStylePr w:type="firstCol">
      <w:pPr>
        <w:jc w:val="right"/>
      </w:pPr>
      <w:rPr>
        <w:rFonts w:ascii="Arial" w:hAnsi="Arial"/>
        <w:i/>
        <w:color w:val="D99695"/>
        <w:sz w:val="22"/>
      </w:rPr>
      <w:tcPr>
        <w:tcBorders>
          <w:top w:val="nil"/>
          <w:left w:val="nil"/>
          <w:bottom w:val="nil"/>
          <w:right w:val="single" w:color="D99695" w:sz="4" w:space="0"/>
        </w:tcBorders>
        <w:shd w:val="clear" w:color="FFFFFF" w:fill="auto"/>
      </w:tcPr>
    </w:tblStylePr>
    <w:tblStylePr w:type="lastCol">
      <w:rPr>
        <w:rFonts w:ascii="Arial" w:hAnsi="Arial"/>
        <w:i/>
        <w:color w:val="D99695"/>
        <w:sz w:val="22"/>
      </w:rPr>
      <w:tcPr>
        <w:tcBorders>
          <w:top w:val="nil"/>
          <w:left w:val="single" w:color="D99695" w:sz="4" w:space="0"/>
          <w:bottom w:val="nil"/>
          <w:right w:val="nil"/>
        </w:tcBorders>
        <w:shd w:val="clear" w:color="FFFFFF" w:fill="auto"/>
      </w:tcPr>
    </w:tblStylePr>
    <w:tblStylePr w:type="band1Vert">
      <w:tcPr>
        <w:shd w:val="clear" w:color="F2DCDC" w:fill="F2DCDC"/>
      </w:tcPr>
    </w:tblStylePr>
    <w:tblStylePr w:type="band1Horz">
      <w:rPr>
        <w:rFonts w:ascii="Arial" w:hAnsi="Arial"/>
        <w:color w:val="D99695"/>
        <w:sz w:val="22"/>
      </w:rPr>
      <w:tcPr>
        <w:shd w:val="clear" w:color="F2DCDC" w:fill="F2DCDC"/>
      </w:tcPr>
    </w:tblStylePr>
    <w:tblStylePr w:type="band2Horz">
      <w:rPr>
        <w:rFonts w:ascii="Arial" w:hAnsi="Arial"/>
        <w:color w:val="D99695"/>
        <w:sz w:val="22"/>
      </w:rPr>
    </w:tblStylePr>
  </w:style>
  <w:style w:type="table" w:customStyle="1" w:styleId="1019">
    <w:name w:val="Grid Table 7 Colorful - Accent 33"/>
    <w:basedOn w:val="13"/>
    <w:uiPriority w:val="99"/>
    <w:rPr>
      <w:sz w:val="22"/>
      <w:szCs w:val="22"/>
      <w:lang w:eastAsia="en-US"/>
    </w:rPr>
    <w:tblPr>
      <w:tblBorders>
        <w:bottom w:val="single" w:color="9ABB59" w:sz="4" w:space="0"/>
        <w:right w:val="single" w:color="9ABB59" w:sz="4" w:space="0"/>
        <w:insideH w:val="single" w:color="9ABB59" w:sz="4" w:space="0"/>
        <w:insideV w:val="single" w:color="9ABB59" w:sz="4" w:space="0"/>
      </w:tblBorders>
      <w:tblCellMar>
        <w:top w:w="0" w:type="dxa"/>
        <w:left w:w="108" w:type="dxa"/>
        <w:bottom w:w="0" w:type="dxa"/>
        <w:right w:w="108" w:type="dxa"/>
      </w:tblCellMar>
    </w:tblPr>
    <w:tblStylePr w:type="firstRow">
      <w:rPr>
        <w:rFonts w:ascii="Arial" w:hAnsi="Arial"/>
        <w:b/>
        <w:color w:val="9ABB59"/>
        <w:sz w:val="22"/>
      </w:rPr>
      <w:tcPr>
        <w:tcBorders>
          <w:top w:val="nil"/>
          <w:left w:val="nil"/>
          <w:bottom w:val="single" w:color="9ABB59" w:sz="4" w:space="0"/>
          <w:right w:val="nil"/>
        </w:tcBorders>
        <w:shd w:val="clear" w:color="FFFFFF" w:fill="FFFFFF"/>
      </w:tcPr>
    </w:tblStylePr>
    <w:tblStylePr w:type="lastRow">
      <w:rPr>
        <w:rFonts w:ascii="Arial" w:hAnsi="Arial"/>
        <w:b/>
        <w:color w:val="9ABB59"/>
        <w:sz w:val="22"/>
      </w:rPr>
      <w:tcPr>
        <w:tcBorders>
          <w:top w:val="single" w:color="9ABB59" w:sz="4" w:space="0"/>
          <w:left w:val="nil"/>
          <w:bottom w:val="nil"/>
          <w:right w:val="nil"/>
        </w:tcBorders>
        <w:shd w:val="clear" w:color="FFFFFF" w:fill="FFFFFF"/>
      </w:tcPr>
    </w:tblStylePr>
    <w:tblStylePr w:type="firstCol">
      <w:pPr>
        <w:jc w:val="right"/>
      </w:pPr>
      <w:rPr>
        <w:rFonts w:ascii="Arial" w:hAnsi="Arial"/>
        <w:i/>
        <w:color w:val="9ABB59"/>
        <w:sz w:val="22"/>
      </w:rPr>
      <w:tcPr>
        <w:tcBorders>
          <w:top w:val="nil"/>
          <w:left w:val="nil"/>
          <w:bottom w:val="nil"/>
          <w:right w:val="single" w:color="9ABB59" w:sz="4" w:space="0"/>
        </w:tcBorders>
        <w:shd w:val="clear" w:color="FFFFFF" w:fill="auto"/>
      </w:tcPr>
    </w:tblStylePr>
    <w:tblStylePr w:type="lastCol">
      <w:rPr>
        <w:rFonts w:ascii="Arial" w:hAnsi="Arial"/>
        <w:i/>
        <w:color w:val="9ABB59"/>
        <w:sz w:val="22"/>
      </w:rPr>
      <w:tcPr>
        <w:tcBorders>
          <w:top w:val="nil"/>
          <w:left w:val="single" w:color="9ABB59" w:sz="4" w:space="0"/>
          <w:bottom w:val="nil"/>
          <w:right w:val="nil"/>
        </w:tcBorders>
        <w:shd w:val="clear" w:color="FFFFFF" w:fill="auto"/>
      </w:tcPr>
    </w:tblStylePr>
    <w:tblStylePr w:type="band1Vert">
      <w:tcPr>
        <w:shd w:val="clear" w:color="EAF1DC" w:fill="EAF1DC"/>
      </w:tcPr>
    </w:tblStylePr>
    <w:tblStylePr w:type="band1Horz">
      <w:rPr>
        <w:rFonts w:ascii="Arial" w:hAnsi="Arial"/>
        <w:color w:val="9ABB59"/>
        <w:sz w:val="22"/>
      </w:rPr>
      <w:tcPr>
        <w:shd w:val="clear" w:color="EAF1DC" w:fill="EAF1DC"/>
      </w:tcPr>
    </w:tblStylePr>
    <w:tblStylePr w:type="band2Horz">
      <w:rPr>
        <w:rFonts w:ascii="Arial" w:hAnsi="Arial"/>
        <w:color w:val="9ABB59"/>
        <w:sz w:val="22"/>
      </w:rPr>
    </w:tblStylePr>
  </w:style>
  <w:style w:type="table" w:customStyle="1" w:styleId="1020">
    <w:name w:val="Grid Table 7 Colorful - Accent 43"/>
    <w:basedOn w:val="13"/>
    <w:uiPriority w:val="99"/>
    <w:rPr>
      <w:sz w:val="22"/>
      <w:szCs w:val="22"/>
      <w:lang w:eastAsia="en-US"/>
    </w:rPr>
    <w:tblPr>
      <w:tblBorders>
        <w:bottom w:val="single" w:color="B2A1C6" w:sz="4" w:space="0"/>
        <w:right w:val="single" w:color="B2A1C6" w:sz="4" w:space="0"/>
        <w:insideH w:val="single" w:color="B2A1C6" w:sz="4" w:space="0"/>
        <w:insideV w:val="single" w:color="B2A1C6" w:sz="4" w:space="0"/>
      </w:tblBorders>
      <w:tblCellMar>
        <w:top w:w="0" w:type="dxa"/>
        <w:left w:w="108" w:type="dxa"/>
        <w:bottom w:w="0" w:type="dxa"/>
        <w:right w:w="108" w:type="dxa"/>
      </w:tblCellMar>
    </w:tblPr>
    <w:tblStylePr w:type="firstRow">
      <w:rPr>
        <w:rFonts w:ascii="Arial" w:hAnsi="Arial"/>
        <w:b/>
        <w:color w:val="B2A1C6"/>
        <w:sz w:val="22"/>
      </w:rPr>
      <w:tcPr>
        <w:tcBorders>
          <w:top w:val="nil"/>
          <w:left w:val="nil"/>
          <w:bottom w:val="single" w:color="B2A1C6" w:sz="4" w:space="0"/>
          <w:right w:val="nil"/>
        </w:tcBorders>
        <w:shd w:val="clear" w:color="FFFFFF" w:fill="FFFFFF"/>
      </w:tcPr>
    </w:tblStylePr>
    <w:tblStylePr w:type="lastRow">
      <w:rPr>
        <w:rFonts w:ascii="Arial" w:hAnsi="Arial"/>
        <w:b/>
        <w:color w:val="B2A1C6"/>
        <w:sz w:val="22"/>
      </w:rPr>
      <w:tcPr>
        <w:tcBorders>
          <w:top w:val="single" w:color="B2A1C6" w:sz="4" w:space="0"/>
          <w:left w:val="nil"/>
          <w:bottom w:val="nil"/>
          <w:right w:val="nil"/>
        </w:tcBorders>
        <w:shd w:val="clear" w:color="FFFFFF" w:fill="FFFFFF"/>
      </w:tcPr>
    </w:tblStylePr>
    <w:tblStylePr w:type="firstCol">
      <w:pPr>
        <w:jc w:val="right"/>
      </w:pPr>
      <w:rPr>
        <w:rFonts w:ascii="Arial" w:hAnsi="Arial"/>
        <w:i/>
        <w:color w:val="B2A1C6"/>
        <w:sz w:val="22"/>
      </w:rPr>
      <w:tcPr>
        <w:tcBorders>
          <w:top w:val="nil"/>
          <w:left w:val="nil"/>
          <w:bottom w:val="nil"/>
          <w:right w:val="single" w:color="B2A1C6" w:sz="4" w:space="0"/>
        </w:tcBorders>
        <w:shd w:val="clear" w:color="FFFFFF" w:fill="auto"/>
      </w:tcPr>
    </w:tblStylePr>
    <w:tblStylePr w:type="lastCol">
      <w:rPr>
        <w:rFonts w:ascii="Arial" w:hAnsi="Arial"/>
        <w:i/>
        <w:color w:val="B2A1C6"/>
        <w:sz w:val="22"/>
      </w:rPr>
      <w:tcPr>
        <w:tcBorders>
          <w:top w:val="nil"/>
          <w:left w:val="single" w:color="B2A1C6" w:sz="4" w:space="0"/>
          <w:bottom w:val="nil"/>
          <w:right w:val="nil"/>
        </w:tcBorders>
        <w:shd w:val="clear" w:color="FFFFFF" w:fill="auto"/>
      </w:tcPr>
    </w:tblStylePr>
    <w:tblStylePr w:type="band1Vert">
      <w:tcPr>
        <w:shd w:val="clear" w:color="E5DFEC" w:fill="E5DFEC"/>
      </w:tcPr>
    </w:tblStylePr>
    <w:tblStylePr w:type="band1Horz">
      <w:rPr>
        <w:rFonts w:ascii="Arial" w:hAnsi="Arial"/>
        <w:color w:val="B2A1C6"/>
        <w:sz w:val="22"/>
      </w:rPr>
      <w:tcPr>
        <w:shd w:val="clear" w:color="E5DFEC" w:fill="E5DFEC"/>
      </w:tcPr>
    </w:tblStylePr>
    <w:tblStylePr w:type="band2Horz">
      <w:rPr>
        <w:rFonts w:ascii="Arial" w:hAnsi="Arial"/>
        <w:color w:val="B2A1C6"/>
        <w:sz w:val="22"/>
      </w:rPr>
    </w:tblStylePr>
  </w:style>
  <w:style w:type="table" w:customStyle="1" w:styleId="1021">
    <w:name w:val="Grid Table 7 Colorful - Accent 53"/>
    <w:basedOn w:val="13"/>
    <w:uiPriority w:val="99"/>
    <w:rPr>
      <w:sz w:val="22"/>
      <w:szCs w:val="22"/>
      <w:lang w:eastAsia="en-US"/>
    </w:rPr>
    <w:tblPr>
      <w:tblBorders>
        <w:bottom w:val="single" w:color="99D0DE" w:sz="4" w:space="0"/>
        <w:right w:val="single" w:color="99D0DE" w:sz="4" w:space="0"/>
        <w:insideH w:val="single" w:color="99D0DE" w:sz="4" w:space="0"/>
        <w:insideV w:val="single" w:color="99D0DE" w:sz="4" w:space="0"/>
      </w:tblBorders>
      <w:tblCellMar>
        <w:top w:w="0" w:type="dxa"/>
        <w:left w:w="108" w:type="dxa"/>
        <w:bottom w:w="0" w:type="dxa"/>
        <w:right w:w="108" w:type="dxa"/>
      </w:tblCellMar>
    </w:tblPr>
    <w:tblStylePr w:type="firstRow">
      <w:rPr>
        <w:rFonts w:ascii="Arial" w:hAnsi="Arial"/>
        <w:b/>
        <w:color w:val="266779"/>
        <w:sz w:val="22"/>
      </w:rPr>
      <w:tcPr>
        <w:tcBorders>
          <w:top w:val="nil"/>
          <w:left w:val="nil"/>
          <w:bottom w:val="single" w:color="99D0DE" w:sz="4" w:space="0"/>
          <w:right w:val="nil"/>
        </w:tcBorders>
        <w:shd w:val="clear" w:color="FFFFFF" w:fill="FFFFFF"/>
      </w:tcPr>
    </w:tblStylePr>
    <w:tblStylePr w:type="lastRow">
      <w:rPr>
        <w:rFonts w:ascii="Arial" w:hAnsi="Arial"/>
        <w:b/>
        <w:color w:val="266779"/>
        <w:sz w:val="22"/>
      </w:rPr>
      <w:tcPr>
        <w:tcBorders>
          <w:top w:val="single" w:color="99D0DE" w:sz="4" w:space="0"/>
          <w:left w:val="nil"/>
          <w:bottom w:val="nil"/>
          <w:right w:val="nil"/>
        </w:tcBorders>
        <w:shd w:val="clear" w:color="FFFFFF" w:fill="FFFFFF"/>
      </w:tcPr>
    </w:tblStylePr>
    <w:tblStylePr w:type="firstCol">
      <w:pPr>
        <w:jc w:val="right"/>
      </w:pPr>
      <w:rPr>
        <w:rFonts w:ascii="Arial" w:hAnsi="Arial"/>
        <w:i/>
        <w:color w:val="266779"/>
        <w:sz w:val="22"/>
      </w:rPr>
      <w:tcPr>
        <w:tcBorders>
          <w:top w:val="nil"/>
          <w:left w:val="nil"/>
          <w:bottom w:val="nil"/>
          <w:right w:val="single" w:color="99D0DE" w:sz="4" w:space="0"/>
        </w:tcBorders>
        <w:shd w:val="clear" w:color="FFFFFF" w:fill="auto"/>
      </w:tcPr>
    </w:tblStylePr>
    <w:tblStylePr w:type="lastCol">
      <w:rPr>
        <w:rFonts w:ascii="Arial" w:hAnsi="Arial"/>
        <w:i/>
        <w:color w:val="266779"/>
        <w:sz w:val="22"/>
      </w:rPr>
      <w:tcPr>
        <w:tcBorders>
          <w:top w:val="nil"/>
          <w:left w:val="single" w:color="99D0DE" w:sz="4" w:space="0"/>
          <w:bottom w:val="nil"/>
          <w:right w:val="nil"/>
        </w:tcBorders>
        <w:shd w:val="clear" w:color="FFFFFF" w:fill="auto"/>
      </w:tcPr>
    </w:tblStylePr>
    <w:tblStylePr w:type="band1Vert">
      <w:tcPr>
        <w:shd w:val="clear" w:color="DAEEF3" w:fill="DAEEF3"/>
      </w:tcPr>
    </w:tblStylePr>
    <w:tblStylePr w:type="band1Horz">
      <w:rPr>
        <w:rFonts w:ascii="Arial" w:hAnsi="Arial"/>
        <w:color w:val="266779"/>
        <w:sz w:val="22"/>
      </w:rPr>
      <w:tcPr>
        <w:shd w:val="clear" w:color="DAEEF3" w:fill="DAEEF3"/>
      </w:tcPr>
    </w:tblStylePr>
    <w:tblStylePr w:type="band2Horz">
      <w:rPr>
        <w:rFonts w:ascii="Arial" w:hAnsi="Arial"/>
        <w:color w:val="266779"/>
        <w:sz w:val="22"/>
      </w:rPr>
    </w:tblStylePr>
  </w:style>
  <w:style w:type="table" w:customStyle="1" w:styleId="1022">
    <w:name w:val="Grid Table 7 Colorful - Accent 63"/>
    <w:basedOn w:val="13"/>
    <w:uiPriority w:val="99"/>
    <w:rPr>
      <w:sz w:val="22"/>
      <w:szCs w:val="22"/>
      <w:lang w:eastAsia="en-US"/>
    </w:rPr>
    <w:tblPr>
      <w:tblBorders>
        <w:bottom w:val="single" w:color="FAC396" w:sz="4" w:space="0"/>
        <w:right w:val="single" w:color="FAC396" w:sz="4" w:space="0"/>
        <w:insideH w:val="single" w:color="FAC396" w:sz="4" w:space="0"/>
        <w:insideV w:val="single" w:color="FAC396" w:sz="4" w:space="0"/>
      </w:tblBorders>
      <w:tblCellMar>
        <w:top w:w="0" w:type="dxa"/>
        <w:left w:w="108" w:type="dxa"/>
        <w:bottom w:w="0" w:type="dxa"/>
        <w:right w:w="108" w:type="dxa"/>
      </w:tblCellMar>
    </w:tblPr>
    <w:tblStylePr w:type="firstRow">
      <w:rPr>
        <w:rFonts w:ascii="Arial" w:hAnsi="Arial"/>
        <w:b/>
        <w:color w:val="B15407"/>
        <w:sz w:val="22"/>
      </w:rPr>
      <w:tcPr>
        <w:tcBorders>
          <w:top w:val="nil"/>
          <w:left w:val="nil"/>
          <w:bottom w:val="single" w:color="FAC396" w:sz="4" w:space="0"/>
          <w:right w:val="nil"/>
        </w:tcBorders>
        <w:shd w:val="clear" w:color="FFFFFF" w:fill="FFFFFF"/>
      </w:tcPr>
    </w:tblStylePr>
    <w:tblStylePr w:type="lastRow">
      <w:rPr>
        <w:rFonts w:ascii="Arial" w:hAnsi="Arial"/>
        <w:b/>
        <w:color w:val="B15407"/>
        <w:sz w:val="22"/>
      </w:rPr>
      <w:tcPr>
        <w:tcBorders>
          <w:top w:val="single" w:color="FAC396" w:sz="4" w:space="0"/>
          <w:left w:val="nil"/>
          <w:bottom w:val="nil"/>
          <w:right w:val="nil"/>
        </w:tcBorders>
        <w:shd w:val="clear" w:color="FFFFFF" w:fill="FFFFFF"/>
      </w:tcPr>
    </w:tblStylePr>
    <w:tblStylePr w:type="firstCol">
      <w:pPr>
        <w:jc w:val="right"/>
      </w:pPr>
      <w:rPr>
        <w:rFonts w:ascii="Arial" w:hAnsi="Arial"/>
        <w:i/>
        <w:color w:val="B15407"/>
        <w:sz w:val="22"/>
      </w:rPr>
      <w:tcPr>
        <w:tcBorders>
          <w:top w:val="nil"/>
          <w:left w:val="nil"/>
          <w:bottom w:val="nil"/>
          <w:right w:val="single" w:color="FAC396" w:sz="4" w:space="0"/>
        </w:tcBorders>
        <w:shd w:val="clear" w:color="FFFFFF" w:fill="auto"/>
      </w:tcPr>
    </w:tblStylePr>
    <w:tblStylePr w:type="lastCol">
      <w:rPr>
        <w:rFonts w:ascii="Arial" w:hAnsi="Arial"/>
        <w:i/>
        <w:color w:val="B15407"/>
        <w:sz w:val="22"/>
      </w:rPr>
      <w:tcPr>
        <w:tcBorders>
          <w:top w:val="nil"/>
          <w:left w:val="single" w:color="FAC396" w:sz="4" w:space="0"/>
          <w:bottom w:val="nil"/>
          <w:right w:val="nil"/>
        </w:tcBorders>
        <w:shd w:val="clear" w:color="FFFFFF" w:fill="auto"/>
      </w:tcPr>
    </w:tblStylePr>
    <w:tblStylePr w:type="band1Vert">
      <w:tcPr>
        <w:shd w:val="clear" w:color="FDE9D8" w:fill="FDE9D8"/>
      </w:tcPr>
    </w:tblStylePr>
    <w:tblStylePr w:type="band1Horz">
      <w:rPr>
        <w:rFonts w:ascii="Arial" w:hAnsi="Arial"/>
        <w:color w:val="B15407"/>
        <w:sz w:val="22"/>
      </w:rPr>
      <w:tcPr>
        <w:shd w:val="clear" w:color="FDE9D8" w:fill="FDE9D8"/>
      </w:tcPr>
    </w:tblStylePr>
    <w:tblStylePr w:type="band2Horz">
      <w:rPr>
        <w:rFonts w:ascii="Arial" w:hAnsi="Arial"/>
        <w:color w:val="B15407"/>
        <w:sz w:val="22"/>
      </w:rPr>
    </w:tblStylePr>
  </w:style>
  <w:style w:type="table" w:customStyle="1" w:styleId="1023">
    <w:name w:val="List Table 1 Light1"/>
    <w:basedOn w:val="13"/>
    <w:uiPriority w:val="99"/>
    <w:rPr>
      <w:sz w:val="22"/>
      <w:szCs w:val="22"/>
      <w:lang w:eastAsia="en-US"/>
    </w:rPr>
    <w:tblPr>
      <w:tblCellMar>
        <w:top w:w="0" w:type="dxa"/>
        <w:left w:w="108" w:type="dxa"/>
        <w:bottom w:w="0" w:type="dxa"/>
        <w:right w:w="108" w:type="dxa"/>
      </w:tblCellMar>
    </w:tblPr>
    <w:tblStylePr w:type="firstRow">
      <w:rPr>
        <w:b/>
        <w:color w:val="404040"/>
      </w:rPr>
      <w:tcPr>
        <w:tcBorders>
          <w:top w:val="nil"/>
          <w:left w:val="nil"/>
          <w:bottom w:val="single" w:color="000000" w:sz="4" w:space="0"/>
          <w:right w:val="nil"/>
        </w:tcBorders>
      </w:tcPr>
    </w:tblStylePr>
    <w:tblStylePr w:type="lastRow">
      <w:rPr>
        <w:b/>
        <w:color w:val="404040"/>
      </w:rPr>
      <w:tcPr>
        <w:tcBorders>
          <w:top w:val="single" w:color="000000" w:sz="4" w:space="0"/>
          <w:left w:val="nil"/>
          <w:bottom w:val="nil"/>
          <w:right w:val="nil"/>
        </w:tcBorders>
      </w:tcPr>
    </w:tblStylePr>
    <w:tblStylePr w:type="firstCol">
      <w:rPr>
        <w:b/>
        <w:color w:val="404040"/>
      </w:rPr>
    </w:tblStylePr>
    <w:tblStylePr w:type="lastCol">
      <w:rPr>
        <w:b/>
        <w:color w:val="404040"/>
      </w:rPr>
    </w:tblStylePr>
    <w:tblStylePr w:type="band1Vert">
      <w:tcPr>
        <w:shd w:val="clear" w:color="BFBFBF" w:fill="BFBFBF"/>
      </w:tcPr>
    </w:tblStylePr>
    <w:tblStylePr w:type="band1Horz">
      <w:tcPr>
        <w:shd w:val="clear" w:color="BFBFBF" w:fill="BFBFBF"/>
      </w:tcPr>
    </w:tblStylePr>
  </w:style>
  <w:style w:type="table" w:customStyle="1" w:styleId="1024">
    <w:name w:val="List Table 1 Light - Accent 13"/>
    <w:basedOn w:val="13"/>
    <w:uiPriority w:val="99"/>
    <w:rPr>
      <w:sz w:val="22"/>
      <w:szCs w:val="22"/>
      <w:lang w:eastAsia="en-US"/>
    </w:rPr>
    <w:tblPr>
      <w:tblCellMar>
        <w:top w:w="0" w:type="dxa"/>
        <w:left w:w="108" w:type="dxa"/>
        <w:bottom w:w="0" w:type="dxa"/>
        <w:right w:w="108" w:type="dxa"/>
      </w:tblCellMar>
    </w:tblPr>
    <w:tblStylePr w:type="firstRow">
      <w:rPr>
        <w:b/>
        <w:color w:val="404040"/>
      </w:rPr>
      <w:tcPr>
        <w:tcBorders>
          <w:top w:val="nil"/>
          <w:left w:val="nil"/>
          <w:bottom w:val="single" w:color="4F81BD" w:sz="4" w:space="0"/>
          <w:right w:val="nil"/>
        </w:tcBorders>
      </w:tcPr>
    </w:tblStylePr>
    <w:tblStylePr w:type="lastRow">
      <w:rPr>
        <w:b/>
        <w:color w:val="404040"/>
      </w:rPr>
      <w:tcPr>
        <w:tcBorders>
          <w:top w:val="single" w:color="4F81BD" w:sz="4" w:space="0"/>
          <w:left w:val="nil"/>
          <w:bottom w:val="nil"/>
          <w:right w:val="nil"/>
        </w:tcBorders>
      </w:tcPr>
    </w:tblStylePr>
    <w:tblStylePr w:type="firstCol">
      <w:rPr>
        <w:b/>
        <w:color w:val="404040"/>
      </w:rPr>
    </w:tblStylePr>
    <w:tblStylePr w:type="lastCol">
      <w:rPr>
        <w:b/>
        <w:color w:val="404040"/>
      </w:rPr>
    </w:tblStylePr>
    <w:tblStylePr w:type="band1Vert">
      <w:tcPr>
        <w:shd w:val="clear" w:color="D2DFEE" w:fill="D2DFEE"/>
      </w:tcPr>
    </w:tblStylePr>
    <w:tblStylePr w:type="band1Horz">
      <w:tcPr>
        <w:shd w:val="clear" w:color="D2DFEE" w:fill="D2DFEE"/>
      </w:tcPr>
    </w:tblStylePr>
  </w:style>
  <w:style w:type="table" w:customStyle="1" w:styleId="1025">
    <w:name w:val="List Table 1 Light - Accent 23"/>
    <w:basedOn w:val="13"/>
    <w:uiPriority w:val="99"/>
    <w:rPr>
      <w:sz w:val="22"/>
      <w:szCs w:val="22"/>
      <w:lang w:eastAsia="en-US"/>
    </w:rPr>
    <w:tblPr>
      <w:tblCellMar>
        <w:top w:w="0" w:type="dxa"/>
        <w:left w:w="108" w:type="dxa"/>
        <w:bottom w:w="0" w:type="dxa"/>
        <w:right w:w="108" w:type="dxa"/>
      </w:tblCellMar>
    </w:tblPr>
    <w:tblStylePr w:type="firstRow">
      <w:rPr>
        <w:b/>
        <w:color w:val="404040"/>
      </w:rPr>
      <w:tcPr>
        <w:tcBorders>
          <w:top w:val="nil"/>
          <w:left w:val="nil"/>
          <w:bottom w:val="single" w:color="C0504D" w:sz="4" w:space="0"/>
          <w:right w:val="nil"/>
        </w:tcBorders>
      </w:tcPr>
    </w:tblStylePr>
    <w:tblStylePr w:type="lastRow">
      <w:rPr>
        <w:b/>
        <w:color w:val="404040"/>
      </w:rPr>
      <w:tcPr>
        <w:tcBorders>
          <w:top w:val="single" w:color="C0504D" w:sz="4" w:space="0"/>
          <w:left w:val="nil"/>
          <w:bottom w:val="nil"/>
          <w:right w:val="nil"/>
        </w:tcBorders>
      </w:tcPr>
    </w:tblStylePr>
    <w:tblStylePr w:type="firstCol">
      <w:rPr>
        <w:b/>
        <w:color w:val="404040"/>
      </w:rPr>
    </w:tblStylePr>
    <w:tblStylePr w:type="lastCol">
      <w:rPr>
        <w:b/>
        <w:color w:val="404040"/>
      </w:rPr>
    </w:tblStylePr>
    <w:tblStylePr w:type="band1Vert">
      <w:tcPr>
        <w:shd w:val="clear" w:color="EFD2D2" w:fill="EFD2D2"/>
      </w:tcPr>
    </w:tblStylePr>
    <w:tblStylePr w:type="band1Horz">
      <w:tcPr>
        <w:shd w:val="clear" w:color="EFD2D2" w:fill="EFD2D2"/>
      </w:tcPr>
    </w:tblStylePr>
  </w:style>
  <w:style w:type="table" w:customStyle="1" w:styleId="1026">
    <w:name w:val="List Table 1 Light - Accent 33"/>
    <w:basedOn w:val="13"/>
    <w:uiPriority w:val="99"/>
    <w:rPr>
      <w:sz w:val="22"/>
      <w:szCs w:val="22"/>
      <w:lang w:eastAsia="en-US"/>
    </w:rPr>
    <w:tblPr>
      <w:tblCellMar>
        <w:top w:w="0" w:type="dxa"/>
        <w:left w:w="108" w:type="dxa"/>
        <w:bottom w:w="0" w:type="dxa"/>
        <w:right w:w="108" w:type="dxa"/>
      </w:tblCellMar>
    </w:tblPr>
    <w:tblStylePr w:type="firstRow">
      <w:rPr>
        <w:b/>
        <w:color w:val="404040"/>
      </w:rPr>
      <w:tcPr>
        <w:tcBorders>
          <w:top w:val="nil"/>
          <w:left w:val="nil"/>
          <w:bottom w:val="single" w:color="9BBB59" w:sz="4" w:space="0"/>
          <w:right w:val="nil"/>
        </w:tcBorders>
      </w:tcPr>
    </w:tblStylePr>
    <w:tblStylePr w:type="lastRow">
      <w:rPr>
        <w:b/>
        <w:color w:val="404040"/>
      </w:rPr>
      <w:tcPr>
        <w:tcBorders>
          <w:top w:val="single" w:color="9BBB59" w:sz="4" w:space="0"/>
          <w:left w:val="nil"/>
          <w:bottom w:val="nil"/>
          <w:right w:val="nil"/>
        </w:tcBorders>
      </w:tcPr>
    </w:tblStylePr>
    <w:tblStylePr w:type="firstCol">
      <w:rPr>
        <w:b/>
        <w:color w:val="404040"/>
      </w:rPr>
    </w:tblStylePr>
    <w:tblStylePr w:type="lastCol">
      <w:rPr>
        <w:b/>
        <w:color w:val="404040"/>
      </w:rPr>
    </w:tblStylePr>
    <w:tblStylePr w:type="band1Vert">
      <w:tcPr>
        <w:shd w:val="clear" w:color="E5EED5" w:fill="E5EED5"/>
      </w:tcPr>
    </w:tblStylePr>
    <w:tblStylePr w:type="band1Horz">
      <w:tcPr>
        <w:shd w:val="clear" w:color="E5EED5" w:fill="E5EED5"/>
      </w:tcPr>
    </w:tblStylePr>
  </w:style>
  <w:style w:type="table" w:customStyle="1" w:styleId="1027">
    <w:name w:val="List Table 1 Light - Accent 43"/>
    <w:basedOn w:val="13"/>
    <w:uiPriority w:val="99"/>
    <w:rPr>
      <w:sz w:val="22"/>
      <w:szCs w:val="22"/>
      <w:lang w:eastAsia="en-US"/>
    </w:rPr>
    <w:tblPr>
      <w:tblCellMar>
        <w:top w:w="0" w:type="dxa"/>
        <w:left w:w="108" w:type="dxa"/>
        <w:bottom w:w="0" w:type="dxa"/>
        <w:right w:w="108" w:type="dxa"/>
      </w:tblCellMar>
    </w:tblPr>
    <w:tblStylePr w:type="firstRow">
      <w:rPr>
        <w:b/>
        <w:color w:val="404040"/>
      </w:rPr>
      <w:tcPr>
        <w:tcBorders>
          <w:top w:val="nil"/>
          <w:left w:val="nil"/>
          <w:bottom w:val="single" w:color="8064A2" w:sz="4" w:space="0"/>
          <w:right w:val="nil"/>
        </w:tcBorders>
      </w:tcPr>
    </w:tblStylePr>
    <w:tblStylePr w:type="lastRow">
      <w:rPr>
        <w:b/>
        <w:color w:val="404040"/>
      </w:rPr>
      <w:tcPr>
        <w:tcBorders>
          <w:top w:val="single" w:color="8064A2" w:sz="4" w:space="0"/>
          <w:left w:val="nil"/>
          <w:bottom w:val="nil"/>
          <w:right w:val="nil"/>
        </w:tcBorders>
      </w:tcPr>
    </w:tblStylePr>
    <w:tblStylePr w:type="firstCol">
      <w:rPr>
        <w:b/>
        <w:color w:val="404040"/>
      </w:rPr>
    </w:tblStylePr>
    <w:tblStylePr w:type="lastCol">
      <w:rPr>
        <w:b/>
        <w:color w:val="404040"/>
      </w:rPr>
    </w:tblStylePr>
    <w:tblStylePr w:type="band1Vert">
      <w:tcPr>
        <w:shd w:val="clear" w:color="DFD8E7" w:fill="DFD8E7"/>
      </w:tcPr>
    </w:tblStylePr>
    <w:tblStylePr w:type="band1Horz">
      <w:tcPr>
        <w:shd w:val="clear" w:color="DFD8E7" w:fill="DFD8E7"/>
      </w:tcPr>
    </w:tblStylePr>
  </w:style>
  <w:style w:type="table" w:customStyle="1" w:styleId="1028">
    <w:name w:val="List Table 1 Light - Accent 53"/>
    <w:basedOn w:val="13"/>
    <w:uiPriority w:val="99"/>
    <w:rPr>
      <w:sz w:val="22"/>
      <w:szCs w:val="22"/>
      <w:lang w:eastAsia="en-US"/>
    </w:rPr>
    <w:tblPr>
      <w:tblCellMar>
        <w:top w:w="0" w:type="dxa"/>
        <w:left w:w="108" w:type="dxa"/>
        <w:bottom w:w="0" w:type="dxa"/>
        <w:right w:w="108" w:type="dxa"/>
      </w:tblCellMar>
    </w:tblPr>
    <w:tblStylePr w:type="firstRow">
      <w:rPr>
        <w:b/>
        <w:color w:val="404040"/>
      </w:rPr>
      <w:tcPr>
        <w:tcBorders>
          <w:top w:val="nil"/>
          <w:left w:val="nil"/>
          <w:bottom w:val="single" w:color="4BACC6" w:sz="4" w:space="0"/>
          <w:right w:val="nil"/>
        </w:tcBorders>
      </w:tcPr>
    </w:tblStylePr>
    <w:tblStylePr w:type="lastRow">
      <w:rPr>
        <w:b/>
        <w:color w:val="404040"/>
      </w:rPr>
      <w:tcPr>
        <w:tcBorders>
          <w:top w:val="single" w:color="4BACC6" w:sz="4" w:space="0"/>
          <w:left w:val="nil"/>
          <w:bottom w:val="nil"/>
          <w:right w:val="nil"/>
        </w:tcBorders>
      </w:tcPr>
    </w:tblStylePr>
    <w:tblStylePr w:type="firstCol">
      <w:rPr>
        <w:b/>
        <w:color w:val="404040"/>
      </w:rPr>
    </w:tblStylePr>
    <w:tblStylePr w:type="lastCol">
      <w:rPr>
        <w:b/>
        <w:color w:val="404040"/>
      </w:rPr>
    </w:tblStylePr>
    <w:tblStylePr w:type="band1Vert">
      <w:tcPr>
        <w:shd w:val="clear" w:color="D1EAF0" w:fill="D1EAF0"/>
      </w:tcPr>
    </w:tblStylePr>
    <w:tblStylePr w:type="band1Horz">
      <w:tcPr>
        <w:shd w:val="clear" w:color="D1EAF0" w:fill="D1EAF0"/>
      </w:tcPr>
    </w:tblStylePr>
  </w:style>
  <w:style w:type="table" w:customStyle="1" w:styleId="1029">
    <w:name w:val="List Table 1 Light - Accent 63"/>
    <w:basedOn w:val="13"/>
    <w:uiPriority w:val="99"/>
    <w:rPr>
      <w:sz w:val="22"/>
      <w:szCs w:val="22"/>
      <w:lang w:eastAsia="en-US"/>
    </w:rPr>
    <w:tblPr>
      <w:tblCellMar>
        <w:top w:w="0" w:type="dxa"/>
        <w:left w:w="108" w:type="dxa"/>
        <w:bottom w:w="0" w:type="dxa"/>
        <w:right w:w="108" w:type="dxa"/>
      </w:tblCellMar>
    </w:tblPr>
    <w:tblStylePr w:type="firstRow">
      <w:rPr>
        <w:b/>
        <w:color w:val="404040"/>
      </w:rPr>
      <w:tcPr>
        <w:tcBorders>
          <w:top w:val="nil"/>
          <w:left w:val="nil"/>
          <w:bottom w:val="single" w:color="F79646" w:sz="4" w:space="0"/>
          <w:right w:val="nil"/>
        </w:tcBorders>
      </w:tcPr>
    </w:tblStylePr>
    <w:tblStylePr w:type="lastRow">
      <w:rPr>
        <w:b/>
        <w:color w:val="404040"/>
      </w:rPr>
      <w:tcPr>
        <w:tcBorders>
          <w:top w:val="single" w:color="F79646" w:sz="4" w:space="0"/>
          <w:left w:val="nil"/>
          <w:bottom w:val="nil"/>
          <w:right w:val="nil"/>
        </w:tcBorders>
      </w:tcPr>
    </w:tblStylePr>
    <w:tblStylePr w:type="firstCol">
      <w:rPr>
        <w:b/>
        <w:color w:val="404040"/>
      </w:rPr>
    </w:tblStylePr>
    <w:tblStylePr w:type="lastCol">
      <w:rPr>
        <w:b/>
        <w:color w:val="404040"/>
      </w:rPr>
    </w:tblStylePr>
    <w:tblStylePr w:type="band1Vert">
      <w:tcPr>
        <w:shd w:val="clear" w:color="FDE4D0" w:fill="FDE4D0"/>
      </w:tcPr>
    </w:tblStylePr>
    <w:tblStylePr w:type="band1Horz">
      <w:tcPr>
        <w:shd w:val="clear" w:color="FDE4D0" w:fill="FDE4D0"/>
      </w:tcPr>
    </w:tblStylePr>
  </w:style>
  <w:style w:type="table" w:customStyle="1" w:styleId="1030">
    <w:name w:val="List Table 21"/>
    <w:basedOn w:val="13"/>
    <w:uiPriority w:val="99"/>
    <w:rPr>
      <w:sz w:val="22"/>
      <w:szCs w:val="22"/>
      <w:lang w:eastAsia="en-US"/>
    </w:rPr>
    <w:tblPr>
      <w:tblBorders>
        <w:top w:val="single" w:color="6F6F6F" w:sz="4" w:space="0"/>
        <w:bottom w:val="single" w:color="6F6F6F" w:sz="4" w:space="0"/>
        <w:insideH w:val="single" w:color="6F6F6F" w:sz="4" w:space="0"/>
      </w:tblBorders>
      <w:tblCellMar>
        <w:top w:w="0" w:type="dxa"/>
        <w:left w:w="108" w:type="dxa"/>
        <w:bottom w:w="0" w:type="dxa"/>
        <w:right w:w="108" w:type="dxa"/>
      </w:tblCellMar>
    </w:tblPr>
    <w:tblStylePr w:type="firstRow">
      <w:rPr>
        <w:rFonts w:ascii="Arial" w:hAnsi="Arial"/>
        <w:b/>
        <w:color w:val="404040"/>
        <w:sz w:val="22"/>
      </w:rPr>
      <w:tcPr>
        <w:tcBorders>
          <w:top w:val="single" w:color="6F6F6F" w:sz="4" w:space="0"/>
          <w:left w:val="nil"/>
          <w:bottom w:val="single" w:color="6F6F6F" w:sz="4" w:space="0"/>
          <w:right w:val="nil"/>
        </w:tcBorders>
      </w:tcPr>
    </w:tblStylePr>
    <w:tblStylePr w:type="lastRow">
      <w:rPr>
        <w:rFonts w:ascii="Arial" w:hAnsi="Arial"/>
        <w:b/>
        <w:color w:val="404040"/>
        <w:sz w:val="22"/>
      </w:rPr>
      <w:tcPr>
        <w:tcBorders>
          <w:top w:val="single" w:color="6F6F6F" w:sz="4" w:space="0"/>
          <w:left w:val="nil"/>
          <w:bottom w:val="single" w:color="6F6F6F"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BFBFBF" w:fill="BFBFBF"/>
      </w:tcPr>
    </w:tblStylePr>
    <w:tblStylePr w:type="band1Horz">
      <w:rPr>
        <w:rFonts w:ascii="Arial" w:hAnsi="Arial"/>
        <w:color w:val="404040"/>
        <w:sz w:val="22"/>
      </w:rPr>
      <w:tcPr>
        <w:shd w:val="clear" w:color="BFBFBF" w:fill="BFBFBF"/>
      </w:tcPr>
    </w:tblStylePr>
  </w:style>
  <w:style w:type="table" w:customStyle="1" w:styleId="1031">
    <w:name w:val="List Table 2 - Accent 13"/>
    <w:basedOn w:val="13"/>
    <w:uiPriority w:val="99"/>
    <w:rPr>
      <w:sz w:val="22"/>
      <w:szCs w:val="22"/>
      <w:lang w:eastAsia="en-US"/>
    </w:rPr>
    <w:tblPr>
      <w:tblBorders>
        <w:top w:val="single" w:color="9BB7D9" w:sz="4" w:space="0"/>
        <w:bottom w:val="single" w:color="9BB7D9" w:sz="4" w:space="0"/>
        <w:insideH w:val="single" w:color="9BB7D9" w:sz="4" w:space="0"/>
      </w:tblBorders>
      <w:tblCellMar>
        <w:top w:w="0" w:type="dxa"/>
        <w:left w:w="108" w:type="dxa"/>
        <w:bottom w:w="0" w:type="dxa"/>
        <w:right w:w="108" w:type="dxa"/>
      </w:tblCellMar>
    </w:tblPr>
    <w:tblStylePr w:type="firstRow">
      <w:rPr>
        <w:rFonts w:ascii="Arial" w:hAnsi="Arial"/>
        <w:b/>
        <w:color w:val="404040"/>
        <w:sz w:val="22"/>
      </w:rPr>
      <w:tcPr>
        <w:tcBorders>
          <w:top w:val="single" w:color="9BB7D9" w:sz="4" w:space="0"/>
          <w:left w:val="nil"/>
          <w:bottom w:val="single" w:color="9BB7D9" w:sz="4" w:space="0"/>
          <w:right w:val="nil"/>
        </w:tcBorders>
      </w:tcPr>
    </w:tblStylePr>
    <w:tblStylePr w:type="lastRow">
      <w:rPr>
        <w:rFonts w:ascii="Arial" w:hAnsi="Arial"/>
        <w:b/>
        <w:color w:val="404040"/>
        <w:sz w:val="22"/>
      </w:rPr>
      <w:tcPr>
        <w:tcBorders>
          <w:top w:val="single" w:color="9BB7D9" w:sz="4" w:space="0"/>
          <w:left w:val="nil"/>
          <w:bottom w:val="single" w:color="9BB7D9"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D2DFEE" w:fill="D2DFEE"/>
      </w:tcPr>
    </w:tblStylePr>
    <w:tblStylePr w:type="band1Horz">
      <w:rPr>
        <w:rFonts w:ascii="Arial" w:hAnsi="Arial"/>
        <w:color w:val="404040"/>
        <w:sz w:val="22"/>
      </w:rPr>
      <w:tcPr>
        <w:shd w:val="clear" w:color="D2DFEE" w:fill="D2DFEE"/>
      </w:tcPr>
    </w:tblStylePr>
  </w:style>
  <w:style w:type="table" w:customStyle="1" w:styleId="1032">
    <w:name w:val="List Table 2 - Accent 23"/>
    <w:basedOn w:val="13"/>
    <w:uiPriority w:val="99"/>
    <w:rPr>
      <w:sz w:val="22"/>
      <w:szCs w:val="22"/>
      <w:lang w:eastAsia="en-US"/>
    </w:rPr>
    <w:tblPr>
      <w:tblBorders>
        <w:top w:val="single" w:color="DB9B9A" w:sz="4" w:space="0"/>
        <w:bottom w:val="single" w:color="DB9B9A" w:sz="4" w:space="0"/>
        <w:insideH w:val="single" w:color="DB9B9A" w:sz="4" w:space="0"/>
      </w:tblBorders>
      <w:tblCellMar>
        <w:top w:w="0" w:type="dxa"/>
        <w:left w:w="108" w:type="dxa"/>
        <w:bottom w:w="0" w:type="dxa"/>
        <w:right w:w="108" w:type="dxa"/>
      </w:tblCellMar>
    </w:tblPr>
    <w:tblStylePr w:type="firstRow">
      <w:rPr>
        <w:rFonts w:ascii="Arial" w:hAnsi="Arial"/>
        <w:b/>
        <w:color w:val="404040"/>
        <w:sz w:val="22"/>
      </w:rPr>
      <w:tcPr>
        <w:tcBorders>
          <w:top w:val="single" w:color="DB9B9A" w:sz="4" w:space="0"/>
          <w:left w:val="nil"/>
          <w:bottom w:val="single" w:color="DB9B9A" w:sz="4" w:space="0"/>
          <w:right w:val="nil"/>
        </w:tcBorders>
      </w:tcPr>
    </w:tblStylePr>
    <w:tblStylePr w:type="lastRow">
      <w:rPr>
        <w:rFonts w:ascii="Arial" w:hAnsi="Arial"/>
        <w:b/>
        <w:color w:val="404040"/>
        <w:sz w:val="22"/>
      </w:rPr>
      <w:tcPr>
        <w:tcBorders>
          <w:top w:val="single" w:color="DB9B9A" w:sz="4" w:space="0"/>
          <w:left w:val="nil"/>
          <w:bottom w:val="single" w:color="DB9B9A"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EFD2D2" w:fill="EFD2D2"/>
      </w:tcPr>
    </w:tblStylePr>
    <w:tblStylePr w:type="band1Horz">
      <w:rPr>
        <w:rFonts w:ascii="Arial" w:hAnsi="Arial"/>
        <w:color w:val="404040"/>
        <w:sz w:val="22"/>
      </w:rPr>
      <w:tcPr>
        <w:shd w:val="clear" w:color="EFD2D2" w:fill="EFD2D2"/>
      </w:tcPr>
    </w:tblStylePr>
  </w:style>
  <w:style w:type="table" w:customStyle="1" w:styleId="1033">
    <w:name w:val="List Table 2 - Accent 33"/>
    <w:basedOn w:val="13"/>
    <w:uiPriority w:val="99"/>
    <w:rPr>
      <w:sz w:val="22"/>
      <w:szCs w:val="22"/>
      <w:lang w:eastAsia="en-US"/>
    </w:rPr>
    <w:tblPr>
      <w:tblBorders>
        <w:top w:val="single" w:color="C6D8A1" w:sz="4" w:space="0"/>
        <w:bottom w:val="single" w:color="C6D8A1" w:sz="4" w:space="0"/>
        <w:insideH w:val="single" w:color="C6D8A1" w:sz="4" w:space="0"/>
      </w:tblBorders>
      <w:tblCellMar>
        <w:top w:w="0" w:type="dxa"/>
        <w:left w:w="108" w:type="dxa"/>
        <w:bottom w:w="0" w:type="dxa"/>
        <w:right w:w="108" w:type="dxa"/>
      </w:tblCellMar>
    </w:tblPr>
    <w:tblStylePr w:type="firstRow">
      <w:rPr>
        <w:rFonts w:ascii="Arial" w:hAnsi="Arial"/>
        <w:b/>
        <w:color w:val="404040"/>
        <w:sz w:val="22"/>
      </w:rPr>
      <w:tcPr>
        <w:tcBorders>
          <w:top w:val="single" w:color="C6D8A1" w:sz="4" w:space="0"/>
          <w:left w:val="nil"/>
          <w:bottom w:val="single" w:color="C6D8A1" w:sz="4" w:space="0"/>
          <w:right w:val="nil"/>
        </w:tcBorders>
      </w:tcPr>
    </w:tblStylePr>
    <w:tblStylePr w:type="lastRow">
      <w:rPr>
        <w:rFonts w:ascii="Arial" w:hAnsi="Arial"/>
        <w:b/>
        <w:color w:val="404040"/>
        <w:sz w:val="22"/>
      </w:rPr>
      <w:tcPr>
        <w:tcBorders>
          <w:top w:val="single" w:color="C6D8A1" w:sz="4" w:space="0"/>
          <w:left w:val="nil"/>
          <w:bottom w:val="single" w:color="C6D8A1"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E5EED5" w:fill="E5EED5"/>
      </w:tcPr>
    </w:tblStylePr>
    <w:tblStylePr w:type="band1Horz">
      <w:rPr>
        <w:rFonts w:ascii="Arial" w:hAnsi="Arial"/>
        <w:color w:val="404040"/>
        <w:sz w:val="22"/>
      </w:rPr>
      <w:tcPr>
        <w:shd w:val="clear" w:color="E5EED5" w:fill="E5EED5"/>
      </w:tcPr>
    </w:tblStylePr>
  </w:style>
  <w:style w:type="table" w:customStyle="1" w:styleId="1034">
    <w:name w:val="List Table 2 - Accent 43"/>
    <w:basedOn w:val="13"/>
    <w:uiPriority w:val="99"/>
    <w:rPr>
      <w:sz w:val="22"/>
      <w:szCs w:val="22"/>
      <w:lang w:eastAsia="en-US"/>
    </w:rPr>
    <w:tblPr>
      <w:tblBorders>
        <w:top w:val="single" w:color="B7A7CA" w:sz="4" w:space="0"/>
        <w:bottom w:val="single" w:color="B7A7CA" w:sz="4" w:space="0"/>
        <w:insideH w:val="single" w:color="B7A7CA" w:sz="4" w:space="0"/>
      </w:tblBorders>
      <w:tblCellMar>
        <w:top w:w="0" w:type="dxa"/>
        <w:left w:w="108" w:type="dxa"/>
        <w:bottom w:w="0" w:type="dxa"/>
        <w:right w:w="108" w:type="dxa"/>
      </w:tblCellMar>
    </w:tblPr>
    <w:tblStylePr w:type="firstRow">
      <w:rPr>
        <w:rFonts w:ascii="Arial" w:hAnsi="Arial"/>
        <w:b/>
        <w:color w:val="404040"/>
        <w:sz w:val="22"/>
      </w:rPr>
      <w:tcPr>
        <w:tcBorders>
          <w:top w:val="single" w:color="B7A7CA" w:sz="4" w:space="0"/>
          <w:left w:val="nil"/>
          <w:bottom w:val="single" w:color="B7A7CA" w:sz="4" w:space="0"/>
          <w:right w:val="nil"/>
        </w:tcBorders>
      </w:tcPr>
    </w:tblStylePr>
    <w:tblStylePr w:type="lastRow">
      <w:rPr>
        <w:rFonts w:ascii="Arial" w:hAnsi="Arial"/>
        <w:b/>
        <w:color w:val="404040"/>
        <w:sz w:val="22"/>
      </w:rPr>
      <w:tcPr>
        <w:tcBorders>
          <w:top w:val="single" w:color="B7A7CA" w:sz="4" w:space="0"/>
          <w:left w:val="nil"/>
          <w:bottom w:val="single" w:color="B7A7CA"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DFD8E7" w:fill="DFD8E7"/>
      </w:tcPr>
    </w:tblStylePr>
    <w:tblStylePr w:type="band1Horz">
      <w:rPr>
        <w:rFonts w:ascii="Arial" w:hAnsi="Arial"/>
        <w:color w:val="404040"/>
        <w:sz w:val="22"/>
      </w:rPr>
      <w:tcPr>
        <w:shd w:val="clear" w:color="DFD8E7" w:fill="DFD8E7"/>
      </w:tcPr>
    </w:tblStylePr>
  </w:style>
  <w:style w:type="table" w:customStyle="1" w:styleId="1035">
    <w:name w:val="List Table 2 - Accent 53"/>
    <w:basedOn w:val="13"/>
    <w:uiPriority w:val="99"/>
    <w:rPr>
      <w:sz w:val="22"/>
      <w:szCs w:val="22"/>
      <w:lang w:eastAsia="en-US"/>
    </w:rPr>
    <w:tblPr>
      <w:tblBorders>
        <w:top w:val="single" w:color="99D0DE" w:sz="4" w:space="0"/>
        <w:bottom w:val="single" w:color="99D0DE" w:sz="4" w:space="0"/>
        <w:insideH w:val="single" w:color="99D0DE" w:sz="4" w:space="0"/>
      </w:tblBorders>
      <w:tblCellMar>
        <w:top w:w="0" w:type="dxa"/>
        <w:left w:w="108" w:type="dxa"/>
        <w:bottom w:w="0" w:type="dxa"/>
        <w:right w:w="108" w:type="dxa"/>
      </w:tblCellMar>
    </w:tblPr>
    <w:tblStylePr w:type="firstRow">
      <w:rPr>
        <w:rFonts w:ascii="Arial" w:hAnsi="Arial"/>
        <w:b/>
        <w:color w:val="404040"/>
        <w:sz w:val="22"/>
      </w:rPr>
      <w:tcPr>
        <w:tcBorders>
          <w:top w:val="single" w:color="99D0DE" w:sz="4" w:space="0"/>
          <w:left w:val="nil"/>
          <w:bottom w:val="single" w:color="99D0DE" w:sz="4" w:space="0"/>
          <w:right w:val="nil"/>
        </w:tcBorders>
      </w:tcPr>
    </w:tblStylePr>
    <w:tblStylePr w:type="lastRow">
      <w:rPr>
        <w:rFonts w:ascii="Arial" w:hAnsi="Arial"/>
        <w:b/>
        <w:color w:val="404040"/>
        <w:sz w:val="22"/>
      </w:rPr>
      <w:tcPr>
        <w:tcBorders>
          <w:top w:val="single" w:color="99D0DE" w:sz="4" w:space="0"/>
          <w:left w:val="nil"/>
          <w:bottom w:val="single" w:color="99D0DE"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D1EAF0" w:fill="D1EAF0"/>
      </w:tcPr>
    </w:tblStylePr>
    <w:tblStylePr w:type="band1Horz">
      <w:rPr>
        <w:rFonts w:ascii="Arial" w:hAnsi="Arial"/>
        <w:color w:val="404040"/>
        <w:sz w:val="22"/>
      </w:rPr>
      <w:tcPr>
        <w:shd w:val="clear" w:color="D1EAF0" w:fill="D1EAF0"/>
      </w:tcPr>
    </w:tblStylePr>
  </w:style>
  <w:style w:type="table" w:customStyle="1" w:styleId="1036">
    <w:name w:val="List Table 2 - Accent 63"/>
    <w:basedOn w:val="13"/>
    <w:uiPriority w:val="99"/>
    <w:rPr>
      <w:sz w:val="22"/>
      <w:szCs w:val="22"/>
      <w:lang w:eastAsia="en-US"/>
    </w:rPr>
    <w:tblPr>
      <w:tblBorders>
        <w:top w:val="single" w:color="FAC396" w:sz="4" w:space="0"/>
        <w:bottom w:val="single" w:color="FAC396" w:sz="4" w:space="0"/>
        <w:insideH w:val="single" w:color="FAC396" w:sz="4" w:space="0"/>
      </w:tblBorders>
      <w:tblCellMar>
        <w:top w:w="0" w:type="dxa"/>
        <w:left w:w="108" w:type="dxa"/>
        <w:bottom w:w="0" w:type="dxa"/>
        <w:right w:w="108" w:type="dxa"/>
      </w:tblCellMar>
    </w:tblPr>
    <w:tblStylePr w:type="firstRow">
      <w:rPr>
        <w:rFonts w:ascii="Arial" w:hAnsi="Arial"/>
        <w:b/>
        <w:color w:val="404040"/>
        <w:sz w:val="22"/>
      </w:rPr>
      <w:tcPr>
        <w:tcBorders>
          <w:top w:val="single" w:color="FAC396" w:sz="4" w:space="0"/>
          <w:left w:val="nil"/>
          <w:bottom w:val="single" w:color="FAC396" w:sz="4" w:space="0"/>
          <w:right w:val="nil"/>
        </w:tcBorders>
      </w:tcPr>
    </w:tblStylePr>
    <w:tblStylePr w:type="lastRow">
      <w:rPr>
        <w:rFonts w:ascii="Arial" w:hAnsi="Arial"/>
        <w:b/>
        <w:color w:val="404040"/>
        <w:sz w:val="22"/>
      </w:rPr>
      <w:tcPr>
        <w:tcBorders>
          <w:top w:val="single" w:color="FAC396" w:sz="4" w:space="0"/>
          <w:left w:val="nil"/>
          <w:bottom w:val="single" w:color="FAC396"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FDE4D0" w:fill="FDE4D0"/>
      </w:tcPr>
    </w:tblStylePr>
    <w:tblStylePr w:type="band1Horz">
      <w:rPr>
        <w:rFonts w:ascii="Arial" w:hAnsi="Arial"/>
        <w:color w:val="404040"/>
        <w:sz w:val="22"/>
      </w:rPr>
      <w:tcPr>
        <w:shd w:val="clear" w:color="FDE4D0" w:fill="FDE4D0"/>
      </w:tcPr>
    </w:tblStylePr>
  </w:style>
  <w:style w:type="table" w:customStyle="1" w:styleId="1037">
    <w:name w:val="List Table 31"/>
    <w:basedOn w:val="13"/>
    <w:uiPriority w:val="99"/>
    <w:rPr>
      <w:sz w:val="22"/>
      <w:szCs w:val="22"/>
      <w:lang w:eastAsia="en-US"/>
    </w:rPr>
    <w:tblPr>
      <w:tblBorders>
        <w:top w:val="single" w:color="000000" w:sz="4" w:space="0"/>
        <w:left w:val="single" w:color="000000" w:sz="4" w:space="0"/>
        <w:bottom w:val="single" w:color="000000" w:sz="4" w:space="0"/>
        <w:right w:val="single" w:color="000000" w:sz="4" w:space="0"/>
      </w:tblBorders>
      <w:tblCellMar>
        <w:top w:w="0" w:type="dxa"/>
        <w:left w:w="108" w:type="dxa"/>
        <w:bottom w:w="0" w:type="dxa"/>
        <w:right w:w="108" w:type="dxa"/>
      </w:tblCellMar>
    </w:tblPr>
    <w:tblStylePr w:type="firstRow">
      <w:rPr>
        <w:rFonts w:ascii="Arial" w:hAnsi="Arial"/>
        <w:b/>
        <w:color w:val="FFFFFF"/>
        <w:sz w:val="22"/>
      </w:r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000000" w:sz="4" w:space="0"/>
          <w:right w:val="single" w:color="000000" w:sz="4" w:space="0"/>
        </w:tcBorders>
      </w:tcPr>
    </w:tblStylePr>
    <w:tblStylePr w:type="band1Horz">
      <w:rPr>
        <w:rFonts w:ascii="Arial" w:hAnsi="Arial"/>
        <w:color w:val="404040"/>
        <w:sz w:val="22"/>
      </w:rPr>
      <w:tcPr>
        <w:tcBorders>
          <w:top w:val="single" w:color="000000" w:sz="4" w:space="0"/>
          <w:bottom w:val="single" w:color="000000" w:sz="4" w:space="0"/>
        </w:tcBorders>
      </w:tcPr>
    </w:tblStylePr>
  </w:style>
  <w:style w:type="table" w:customStyle="1" w:styleId="1038">
    <w:name w:val="List Table 3 - Accent 13"/>
    <w:basedOn w:val="13"/>
    <w:uiPriority w:val="99"/>
    <w:rPr>
      <w:sz w:val="22"/>
      <w:szCs w:val="22"/>
      <w:lang w:eastAsia="en-US"/>
    </w:rPr>
    <w:tblPr>
      <w:tblBorders>
        <w:top w:val="single" w:color="4F81BD" w:sz="4" w:space="0"/>
        <w:left w:val="single" w:color="4F81BD" w:sz="4" w:space="0"/>
        <w:bottom w:val="single" w:color="4F81BD" w:sz="4" w:space="0"/>
        <w:right w:val="single" w:color="4F81BD" w:sz="4" w:space="0"/>
      </w:tblBorders>
      <w:tblCellMar>
        <w:top w:w="0" w:type="dxa"/>
        <w:left w:w="108" w:type="dxa"/>
        <w:bottom w:w="0" w:type="dxa"/>
        <w:right w:w="108" w:type="dxa"/>
      </w:tblCellMar>
    </w:tblPr>
    <w:tblStylePr w:type="firstRow">
      <w:rPr>
        <w:rFonts w:ascii="Arial" w:hAnsi="Arial"/>
        <w:b/>
        <w:color w:val="FFFFFF"/>
        <w:sz w:val="22"/>
      </w:rPr>
      <w:tcPr>
        <w:shd w:val="clear" w:color="4F81BD"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4F81BD" w:sz="4" w:space="0"/>
          <w:right w:val="single" w:color="4F81BD" w:sz="4" w:space="0"/>
        </w:tcBorders>
      </w:tcPr>
    </w:tblStylePr>
    <w:tblStylePr w:type="band1Horz">
      <w:rPr>
        <w:rFonts w:ascii="Arial" w:hAnsi="Arial"/>
        <w:color w:val="404040"/>
        <w:sz w:val="22"/>
      </w:rPr>
      <w:tcPr>
        <w:tcBorders>
          <w:top w:val="single" w:color="4F81BD" w:sz="4" w:space="0"/>
          <w:bottom w:val="single" w:color="4F81BD" w:sz="4" w:space="0"/>
        </w:tcBorders>
      </w:tcPr>
    </w:tblStylePr>
  </w:style>
  <w:style w:type="table" w:customStyle="1" w:styleId="1039">
    <w:name w:val="List Table 3 - Accent 23"/>
    <w:basedOn w:val="13"/>
    <w:uiPriority w:val="99"/>
    <w:rPr>
      <w:sz w:val="22"/>
      <w:szCs w:val="22"/>
      <w:lang w:eastAsia="en-US"/>
    </w:rPr>
    <w:tblPr>
      <w:tblBorders>
        <w:top w:val="single" w:color="D99695" w:sz="4" w:space="0"/>
        <w:left w:val="single" w:color="D99695" w:sz="4" w:space="0"/>
        <w:bottom w:val="single" w:color="D99695" w:sz="4" w:space="0"/>
        <w:right w:val="single" w:color="D99695" w:sz="4" w:space="0"/>
      </w:tblBorders>
      <w:tblCellMar>
        <w:top w:w="0" w:type="dxa"/>
        <w:left w:w="108" w:type="dxa"/>
        <w:bottom w:w="0" w:type="dxa"/>
        <w:right w:w="108" w:type="dxa"/>
      </w:tblCellMar>
    </w:tblPr>
    <w:tblStylePr w:type="firstRow">
      <w:rPr>
        <w:rFonts w:ascii="Arial" w:hAnsi="Arial"/>
        <w:b/>
        <w:color w:val="FFFFFF"/>
        <w:sz w:val="22"/>
      </w:rPr>
      <w:tcPr>
        <w:shd w:val="clear" w:color="D99695" w:fill="D9969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D99695" w:sz="4" w:space="0"/>
          <w:right w:val="single" w:color="D99695" w:sz="4" w:space="0"/>
        </w:tcBorders>
      </w:tcPr>
    </w:tblStylePr>
    <w:tblStylePr w:type="band1Horz">
      <w:rPr>
        <w:rFonts w:ascii="Arial" w:hAnsi="Arial"/>
        <w:color w:val="404040"/>
        <w:sz w:val="22"/>
      </w:rPr>
      <w:tcPr>
        <w:tcBorders>
          <w:top w:val="single" w:color="D99695" w:sz="4" w:space="0"/>
          <w:bottom w:val="single" w:color="D99695" w:sz="4" w:space="0"/>
        </w:tcBorders>
      </w:tcPr>
    </w:tblStylePr>
  </w:style>
  <w:style w:type="table" w:customStyle="1" w:styleId="1040">
    <w:name w:val="List Table 3 - Accent 33"/>
    <w:basedOn w:val="13"/>
    <w:uiPriority w:val="99"/>
    <w:rPr>
      <w:sz w:val="22"/>
      <w:szCs w:val="22"/>
      <w:lang w:eastAsia="en-US"/>
    </w:rPr>
    <w:tblPr>
      <w:tblBorders>
        <w:top w:val="single" w:color="C3D69B" w:sz="4" w:space="0"/>
        <w:left w:val="single" w:color="C3D69B" w:sz="4" w:space="0"/>
        <w:bottom w:val="single" w:color="C3D69B" w:sz="4" w:space="0"/>
        <w:right w:val="single" w:color="C3D69B" w:sz="4" w:space="0"/>
      </w:tblBorders>
      <w:tblCellMar>
        <w:top w:w="0" w:type="dxa"/>
        <w:left w:w="108" w:type="dxa"/>
        <w:bottom w:w="0" w:type="dxa"/>
        <w:right w:w="108" w:type="dxa"/>
      </w:tblCellMar>
    </w:tblPr>
    <w:tblStylePr w:type="firstRow">
      <w:rPr>
        <w:rFonts w:ascii="Arial" w:hAnsi="Arial"/>
        <w:b/>
        <w:color w:val="FFFFFF"/>
        <w:sz w:val="22"/>
      </w:rPr>
      <w:tcPr>
        <w:shd w:val="clear" w:color="C3D69B" w:fill="C3D69B"/>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C3D69B" w:sz="4" w:space="0"/>
          <w:right w:val="single" w:color="C3D69B" w:sz="4" w:space="0"/>
        </w:tcBorders>
      </w:tcPr>
    </w:tblStylePr>
    <w:tblStylePr w:type="band1Horz">
      <w:rPr>
        <w:rFonts w:ascii="Arial" w:hAnsi="Arial"/>
        <w:color w:val="404040"/>
        <w:sz w:val="22"/>
      </w:rPr>
      <w:tcPr>
        <w:tcBorders>
          <w:top w:val="single" w:color="C3D69B" w:sz="4" w:space="0"/>
          <w:bottom w:val="single" w:color="C3D69B" w:sz="4" w:space="0"/>
        </w:tcBorders>
      </w:tcPr>
    </w:tblStylePr>
  </w:style>
  <w:style w:type="table" w:customStyle="1" w:styleId="1041">
    <w:name w:val="List Table 3 - Accent 43"/>
    <w:basedOn w:val="13"/>
    <w:uiPriority w:val="99"/>
    <w:rPr>
      <w:sz w:val="22"/>
      <w:szCs w:val="22"/>
      <w:lang w:eastAsia="en-US"/>
    </w:rPr>
    <w:tblPr>
      <w:tblBorders>
        <w:top w:val="single" w:color="B2A1C6" w:sz="4" w:space="0"/>
        <w:left w:val="single" w:color="B2A1C6" w:sz="4" w:space="0"/>
        <w:bottom w:val="single" w:color="B2A1C6" w:sz="4" w:space="0"/>
        <w:right w:val="single" w:color="B2A1C6" w:sz="4" w:space="0"/>
      </w:tblBorders>
      <w:tblCellMar>
        <w:top w:w="0" w:type="dxa"/>
        <w:left w:w="108" w:type="dxa"/>
        <w:bottom w:w="0" w:type="dxa"/>
        <w:right w:w="108" w:type="dxa"/>
      </w:tblCellMar>
    </w:tblPr>
    <w:tblStylePr w:type="firstRow">
      <w:rPr>
        <w:rFonts w:ascii="Arial" w:hAnsi="Arial"/>
        <w:b/>
        <w:color w:val="FFFFFF"/>
        <w:sz w:val="22"/>
      </w:rPr>
      <w:tcPr>
        <w:shd w:val="clear" w:color="B2A1C6" w:fill="B2A1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B2A1C6" w:sz="4" w:space="0"/>
          <w:right w:val="single" w:color="B2A1C6" w:sz="4" w:space="0"/>
        </w:tcBorders>
      </w:tcPr>
    </w:tblStylePr>
    <w:tblStylePr w:type="band1Horz">
      <w:rPr>
        <w:rFonts w:ascii="Arial" w:hAnsi="Arial"/>
        <w:color w:val="404040"/>
        <w:sz w:val="22"/>
      </w:rPr>
      <w:tcPr>
        <w:tcBorders>
          <w:top w:val="single" w:color="B2A1C6" w:sz="4" w:space="0"/>
          <w:bottom w:val="single" w:color="B2A1C6" w:sz="4" w:space="0"/>
        </w:tcBorders>
      </w:tcPr>
    </w:tblStylePr>
  </w:style>
  <w:style w:type="table" w:customStyle="1" w:styleId="1042">
    <w:name w:val="List Table 3 - Accent 53"/>
    <w:basedOn w:val="13"/>
    <w:uiPriority w:val="99"/>
    <w:rPr>
      <w:sz w:val="22"/>
      <w:szCs w:val="22"/>
      <w:lang w:eastAsia="en-US"/>
    </w:rPr>
    <w:tblPr>
      <w:tblBorders>
        <w:top w:val="single" w:color="92CCDC" w:sz="4" w:space="0"/>
        <w:left w:val="single" w:color="92CCDC" w:sz="4" w:space="0"/>
        <w:bottom w:val="single" w:color="92CCDC" w:sz="4" w:space="0"/>
        <w:right w:val="single" w:color="92CCDC" w:sz="4" w:space="0"/>
      </w:tblBorders>
      <w:tblCellMar>
        <w:top w:w="0" w:type="dxa"/>
        <w:left w:w="108" w:type="dxa"/>
        <w:bottom w:w="0" w:type="dxa"/>
        <w:right w:w="108" w:type="dxa"/>
      </w:tblCellMar>
    </w:tblPr>
    <w:tblStylePr w:type="firstRow">
      <w:rPr>
        <w:rFonts w:ascii="Arial" w:hAnsi="Arial"/>
        <w:b/>
        <w:color w:val="FFFFFF"/>
        <w:sz w:val="22"/>
      </w:rPr>
      <w:tcPr>
        <w:shd w:val="clear" w:color="92CCDC" w:fill="92CCDC"/>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92CCDC" w:sz="4" w:space="0"/>
          <w:right w:val="single" w:color="92CCDC" w:sz="4" w:space="0"/>
        </w:tcBorders>
      </w:tcPr>
    </w:tblStylePr>
    <w:tblStylePr w:type="band1Horz">
      <w:rPr>
        <w:rFonts w:ascii="Arial" w:hAnsi="Arial"/>
        <w:color w:val="404040"/>
        <w:sz w:val="22"/>
      </w:rPr>
      <w:tcPr>
        <w:tcBorders>
          <w:top w:val="single" w:color="92CCDC" w:sz="4" w:space="0"/>
          <w:bottom w:val="single" w:color="92CCDC" w:sz="4" w:space="0"/>
        </w:tcBorders>
      </w:tcPr>
    </w:tblStylePr>
  </w:style>
  <w:style w:type="table" w:customStyle="1" w:styleId="1043">
    <w:name w:val="List Table 3 - Accent 63"/>
    <w:basedOn w:val="13"/>
    <w:uiPriority w:val="99"/>
    <w:rPr>
      <w:sz w:val="22"/>
      <w:szCs w:val="22"/>
      <w:lang w:eastAsia="en-US"/>
    </w:rPr>
    <w:tblPr>
      <w:tblBorders>
        <w:top w:val="single" w:color="FAC090" w:sz="4" w:space="0"/>
        <w:left w:val="single" w:color="FAC090" w:sz="4" w:space="0"/>
        <w:bottom w:val="single" w:color="FAC090" w:sz="4" w:space="0"/>
        <w:right w:val="single" w:color="FAC090" w:sz="4" w:space="0"/>
      </w:tblBorders>
      <w:tblCellMar>
        <w:top w:w="0" w:type="dxa"/>
        <w:left w:w="108" w:type="dxa"/>
        <w:bottom w:w="0" w:type="dxa"/>
        <w:right w:w="108" w:type="dxa"/>
      </w:tblCellMar>
    </w:tblPr>
    <w:tblStylePr w:type="firstRow">
      <w:rPr>
        <w:rFonts w:ascii="Arial" w:hAnsi="Arial"/>
        <w:b/>
        <w:color w:val="FFFFFF"/>
        <w:sz w:val="22"/>
      </w:rPr>
      <w:tcPr>
        <w:shd w:val="clear" w:color="FAC090" w:fill="FAC09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FAC090" w:sz="4" w:space="0"/>
          <w:right w:val="single" w:color="FAC090" w:sz="4" w:space="0"/>
        </w:tcBorders>
      </w:tcPr>
    </w:tblStylePr>
    <w:tblStylePr w:type="band1Horz">
      <w:rPr>
        <w:rFonts w:ascii="Arial" w:hAnsi="Arial"/>
        <w:color w:val="404040"/>
        <w:sz w:val="22"/>
      </w:rPr>
      <w:tcPr>
        <w:tcBorders>
          <w:top w:val="single" w:color="FAC090" w:sz="4" w:space="0"/>
          <w:bottom w:val="single" w:color="FAC090" w:sz="4" w:space="0"/>
        </w:tcBorders>
      </w:tcPr>
    </w:tblStylePr>
  </w:style>
  <w:style w:type="table" w:customStyle="1" w:styleId="1044">
    <w:name w:val="List Table 41"/>
    <w:basedOn w:val="13"/>
    <w:uiPriority w:val="99"/>
    <w:rPr>
      <w:sz w:val="22"/>
      <w:szCs w:val="22"/>
      <w:lang w:eastAsia="en-US"/>
    </w:rPr>
    <w:tblPr>
      <w:tblBorders>
        <w:top w:val="single" w:color="000000" w:sz="4" w:space="0"/>
        <w:left w:val="single" w:color="000000" w:sz="4" w:space="0"/>
        <w:bottom w:val="single" w:color="000000" w:sz="4" w:space="0"/>
        <w:right w:val="single" w:color="000000" w:sz="4" w:space="0"/>
        <w:insideH w:val="single" w:color="000000" w:sz="4" w:space="0"/>
      </w:tblBorders>
      <w:tblCellMar>
        <w:top w:w="0" w:type="dxa"/>
        <w:left w:w="108" w:type="dxa"/>
        <w:bottom w:w="0" w:type="dxa"/>
        <w:right w:w="108" w:type="dxa"/>
      </w:tblCellMar>
    </w:tblPr>
    <w:tblStylePr w:type="firstRow">
      <w:rPr>
        <w:rFonts w:ascii="Arial" w:hAnsi="Arial"/>
        <w:b/>
        <w:color w:val="FFFFFF"/>
        <w:sz w:val="22"/>
      </w:r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BFBFBF" w:fill="BFBFBF"/>
      </w:tcPr>
    </w:tblStylePr>
    <w:tblStylePr w:type="band1Horz">
      <w:rPr>
        <w:rFonts w:ascii="Arial" w:hAnsi="Arial"/>
        <w:color w:val="404040"/>
        <w:sz w:val="22"/>
      </w:rPr>
      <w:tcPr>
        <w:shd w:val="clear" w:color="BFBFBF" w:fill="BFBFBF"/>
      </w:tcPr>
    </w:tblStylePr>
  </w:style>
  <w:style w:type="table" w:customStyle="1" w:styleId="1045">
    <w:name w:val="List Table 4 - Accent 13"/>
    <w:basedOn w:val="13"/>
    <w:uiPriority w:val="99"/>
    <w:rPr>
      <w:sz w:val="22"/>
      <w:szCs w:val="22"/>
      <w:lang w:eastAsia="en-US"/>
    </w:rPr>
    <w:tblPr>
      <w:tblBorders>
        <w:top w:val="single" w:color="9BB7D9" w:sz="4" w:space="0"/>
        <w:left w:val="single" w:color="9BB7D9" w:sz="4" w:space="0"/>
        <w:bottom w:val="single" w:color="9BB7D9" w:sz="4" w:space="0"/>
        <w:right w:val="single" w:color="9BB7D9" w:sz="4" w:space="0"/>
        <w:insideH w:val="single" w:color="9BB7D9" w:sz="4" w:space="0"/>
      </w:tblBorders>
      <w:tblCellMar>
        <w:top w:w="0" w:type="dxa"/>
        <w:left w:w="108" w:type="dxa"/>
        <w:bottom w:w="0" w:type="dxa"/>
        <w:right w:w="108" w:type="dxa"/>
      </w:tblCellMar>
    </w:tblPr>
    <w:tblStylePr w:type="firstRow">
      <w:rPr>
        <w:rFonts w:ascii="Arial" w:hAnsi="Arial"/>
        <w:b/>
        <w:color w:val="FFFFFF"/>
        <w:sz w:val="22"/>
      </w:rPr>
      <w:tcPr>
        <w:shd w:val="clear" w:color="4F81BD"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D2DFEE" w:fill="D2DFEE"/>
      </w:tcPr>
    </w:tblStylePr>
    <w:tblStylePr w:type="band1Horz">
      <w:rPr>
        <w:rFonts w:ascii="Arial" w:hAnsi="Arial"/>
        <w:color w:val="404040"/>
        <w:sz w:val="22"/>
      </w:rPr>
      <w:tcPr>
        <w:shd w:val="clear" w:color="D2DFEE" w:fill="D2DFEE"/>
      </w:tcPr>
    </w:tblStylePr>
  </w:style>
  <w:style w:type="table" w:customStyle="1" w:styleId="1046">
    <w:name w:val="List Table 4 - Accent 23"/>
    <w:basedOn w:val="13"/>
    <w:uiPriority w:val="99"/>
    <w:rPr>
      <w:sz w:val="22"/>
      <w:szCs w:val="22"/>
      <w:lang w:eastAsia="en-US"/>
    </w:rPr>
    <w:tblPr>
      <w:tblBorders>
        <w:top w:val="single" w:color="DB9B9A" w:sz="4" w:space="0"/>
        <w:left w:val="single" w:color="DB9B9A" w:sz="4" w:space="0"/>
        <w:bottom w:val="single" w:color="DB9B9A" w:sz="4" w:space="0"/>
        <w:right w:val="single" w:color="DB9B9A" w:sz="4" w:space="0"/>
        <w:insideH w:val="single" w:color="DB9B9A" w:sz="4" w:space="0"/>
      </w:tblBorders>
      <w:tblCellMar>
        <w:top w:w="0" w:type="dxa"/>
        <w:left w:w="108" w:type="dxa"/>
        <w:bottom w:w="0" w:type="dxa"/>
        <w:right w:w="108" w:type="dxa"/>
      </w:tblCellMar>
    </w:tblPr>
    <w:tblStylePr w:type="firstRow">
      <w:rPr>
        <w:rFonts w:ascii="Arial" w:hAnsi="Arial"/>
        <w:b/>
        <w:color w:val="FFFFFF"/>
        <w:sz w:val="22"/>
      </w:rPr>
      <w:tcPr>
        <w:shd w:val="clear" w:color="C0504D" w:fill="C0504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EFD2D2" w:fill="EFD2D2"/>
      </w:tcPr>
    </w:tblStylePr>
    <w:tblStylePr w:type="band1Horz">
      <w:rPr>
        <w:rFonts w:ascii="Arial" w:hAnsi="Arial"/>
        <w:color w:val="404040"/>
        <w:sz w:val="22"/>
      </w:rPr>
      <w:tcPr>
        <w:shd w:val="clear" w:color="EFD2D2" w:fill="EFD2D2"/>
      </w:tcPr>
    </w:tblStylePr>
  </w:style>
  <w:style w:type="table" w:customStyle="1" w:styleId="1047">
    <w:name w:val="List Table 4 - Accent 33"/>
    <w:basedOn w:val="13"/>
    <w:uiPriority w:val="99"/>
    <w:rPr>
      <w:sz w:val="22"/>
      <w:szCs w:val="22"/>
      <w:lang w:eastAsia="en-US"/>
    </w:rPr>
    <w:tblPr>
      <w:tblBorders>
        <w:top w:val="single" w:color="C6D8A1" w:sz="4" w:space="0"/>
        <w:left w:val="single" w:color="C6D8A1" w:sz="4" w:space="0"/>
        <w:bottom w:val="single" w:color="C6D8A1" w:sz="4" w:space="0"/>
        <w:right w:val="single" w:color="C6D8A1" w:sz="4" w:space="0"/>
        <w:insideH w:val="single" w:color="C6D8A1" w:sz="4" w:space="0"/>
      </w:tblBorders>
      <w:tblCellMar>
        <w:top w:w="0" w:type="dxa"/>
        <w:left w:w="108" w:type="dxa"/>
        <w:bottom w:w="0" w:type="dxa"/>
        <w:right w:w="108" w:type="dxa"/>
      </w:tblCellMar>
    </w:tblPr>
    <w:tblStylePr w:type="firstRow">
      <w:rPr>
        <w:rFonts w:ascii="Arial" w:hAnsi="Arial"/>
        <w:b/>
        <w:color w:val="FFFFFF"/>
        <w:sz w:val="22"/>
      </w:rPr>
      <w:tcPr>
        <w:shd w:val="clear" w:color="9BBB59" w:fill="9BBB59"/>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E5EED5" w:fill="E5EED5"/>
      </w:tcPr>
    </w:tblStylePr>
    <w:tblStylePr w:type="band1Horz">
      <w:rPr>
        <w:rFonts w:ascii="Arial" w:hAnsi="Arial"/>
        <w:color w:val="404040"/>
        <w:sz w:val="22"/>
      </w:rPr>
      <w:tcPr>
        <w:shd w:val="clear" w:color="E5EED5" w:fill="E5EED5"/>
      </w:tcPr>
    </w:tblStylePr>
  </w:style>
  <w:style w:type="table" w:customStyle="1" w:styleId="1048">
    <w:name w:val="List Table 4 - Accent 43"/>
    <w:basedOn w:val="13"/>
    <w:uiPriority w:val="99"/>
    <w:rPr>
      <w:sz w:val="22"/>
      <w:szCs w:val="22"/>
      <w:lang w:eastAsia="en-US"/>
    </w:rPr>
    <w:tblPr>
      <w:tblBorders>
        <w:top w:val="single" w:color="B7A7CA" w:sz="4" w:space="0"/>
        <w:left w:val="single" w:color="B7A7CA" w:sz="4" w:space="0"/>
        <w:bottom w:val="single" w:color="B7A7CA" w:sz="4" w:space="0"/>
        <w:right w:val="single" w:color="B7A7CA" w:sz="4" w:space="0"/>
        <w:insideH w:val="single" w:color="B7A7CA" w:sz="4" w:space="0"/>
      </w:tblBorders>
      <w:tblCellMar>
        <w:top w:w="0" w:type="dxa"/>
        <w:left w:w="108" w:type="dxa"/>
        <w:bottom w:w="0" w:type="dxa"/>
        <w:right w:w="108" w:type="dxa"/>
      </w:tblCellMar>
    </w:tblPr>
    <w:tblStylePr w:type="firstRow">
      <w:rPr>
        <w:rFonts w:ascii="Arial" w:hAnsi="Arial"/>
        <w:b/>
        <w:color w:val="FFFFFF"/>
        <w:sz w:val="22"/>
      </w:rPr>
      <w:tcPr>
        <w:shd w:val="clear" w:color="8064A2" w:fill="8064A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DFD8E7" w:fill="DFD8E7"/>
      </w:tcPr>
    </w:tblStylePr>
    <w:tblStylePr w:type="band1Horz">
      <w:rPr>
        <w:rFonts w:ascii="Arial" w:hAnsi="Arial"/>
        <w:color w:val="404040"/>
        <w:sz w:val="22"/>
      </w:rPr>
      <w:tcPr>
        <w:shd w:val="clear" w:color="DFD8E7" w:fill="DFD8E7"/>
      </w:tcPr>
    </w:tblStylePr>
  </w:style>
  <w:style w:type="table" w:customStyle="1" w:styleId="1049">
    <w:name w:val="List Table 4 - Accent 53"/>
    <w:basedOn w:val="13"/>
    <w:uiPriority w:val="99"/>
    <w:rPr>
      <w:sz w:val="22"/>
      <w:szCs w:val="22"/>
      <w:lang w:eastAsia="en-US"/>
    </w:rPr>
    <w:tblPr>
      <w:tblBorders>
        <w:top w:val="single" w:color="99D0DE" w:sz="4" w:space="0"/>
        <w:left w:val="single" w:color="99D0DE" w:sz="4" w:space="0"/>
        <w:bottom w:val="single" w:color="99D0DE" w:sz="4" w:space="0"/>
        <w:right w:val="single" w:color="99D0DE" w:sz="4" w:space="0"/>
        <w:insideH w:val="single" w:color="99D0DE" w:sz="4" w:space="0"/>
      </w:tblBorders>
      <w:tblCellMar>
        <w:top w:w="0" w:type="dxa"/>
        <w:left w:w="108" w:type="dxa"/>
        <w:bottom w:w="0" w:type="dxa"/>
        <w:right w:w="108" w:type="dxa"/>
      </w:tblCellMar>
    </w:tblPr>
    <w:tblStylePr w:type="firstRow">
      <w:rPr>
        <w:rFonts w:ascii="Arial" w:hAnsi="Arial"/>
        <w:b/>
        <w:color w:val="FFFFFF"/>
        <w:sz w:val="22"/>
      </w:rPr>
      <w:tcPr>
        <w:shd w:val="clear" w:color="4BACC6" w:fill="4BAC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D1EAF0" w:fill="D1EAF0"/>
      </w:tcPr>
    </w:tblStylePr>
    <w:tblStylePr w:type="band1Horz">
      <w:rPr>
        <w:rFonts w:ascii="Arial" w:hAnsi="Arial"/>
        <w:color w:val="404040"/>
        <w:sz w:val="22"/>
      </w:rPr>
      <w:tcPr>
        <w:shd w:val="clear" w:color="D1EAF0" w:fill="D1EAF0"/>
      </w:tcPr>
    </w:tblStylePr>
  </w:style>
  <w:style w:type="table" w:customStyle="1" w:styleId="1050">
    <w:name w:val="List Table 4 - Accent 63"/>
    <w:basedOn w:val="13"/>
    <w:uiPriority w:val="99"/>
    <w:rPr>
      <w:sz w:val="22"/>
      <w:szCs w:val="22"/>
      <w:lang w:eastAsia="en-US"/>
    </w:rPr>
    <w:tblPr>
      <w:tblBorders>
        <w:top w:val="single" w:color="FAC396" w:sz="4" w:space="0"/>
        <w:left w:val="single" w:color="FAC396" w:sz="4" w:space="0"/>
        <w:bottom w:val="single" w:color="FAC396" w:sz="4" w:space="0"/>
        <w:right w:val="single" w:color="FAC396" w:sz="4" w:space="0"/>
        <w:insideH w:val="single" w:color="FAC396" w:sz="4" w:space="0"/>
      </w:tblBorders>
      <w:tblCellMar>
        <w:top w:w="0" w:type="dxa"/>
        <w:left w:w="108" w:type="dxa"/>
        <w:bottom w:w="0" w:type="dxa"/>
        <w:right w:w="108" w:type="dxa"/>
      </w:tblCellMar>
    </w:tblPr>
    <w:tblStylePr w:type="firstRow">
      <w:rPr>
        <w:rFonts w:ascii="Arial" w:hAnsi="Arial"/>
        <w:b/>
        <w:color w:val="FFFFFF"/>
        <w:sz w:val="22"/>
      </w:rPr>
      <w:tcPr>
        <w:shd w:val="clear" w:color="F79646" w:fill="F7964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FDE4D0" w:fill="FDE4D0"/>
      </w:tcPr>
    </w:tblStylePr>
    <w:tblStylePr w:type="band1Horz">
      <w:rPr>
        <w:rFonts w:ascii="Arial" w:hAnsi="Arial"/>
        <w:color w:val="404040"/>
        <w:sz w:val="22"/>
      </w:rPr>
      <w:tcPr>
        <w:shd w:val="clear" w:color="FDE4D0" w:fill="FDE4D0"/>
      </w:tcPr>
    </w:tblStylePr>
  </w:style>
  <w:style w:type="table" w:customStyle="1" w:styleId="1051">
    <w:name w:val="List Table 5 Dark1"/>
    <w:basedOn w:val="13"/>
    <w:uiPriority w:val="99"/>
    <w:rPr>
      <w:sz w:val="22"/>
      <w:szCs w:val="22"/>
      <w:lang w:eastAsia="en-US"/>
    </w:rPr>
    <w:tblPr>
      <w:tblBorders>
        <w:top w:val="single" w:color="7F7F7F" w:sz="32" w:space="0"/>
        <w:left w:val="single" w:color="7F7F7F" w:sz="32" w:space="0"/>
        <w:bottom w:val="single" w:color="7F7F7F" w:sz="32" w:space="0"/>
        <w:right w:val="single" w:color="7F7F7F" w:sz="32" w:space="0"/>
      </w:tblBorders>
      <w:tblCellMar>
        <w:top w:w="0" w:type="dxa"/>
        <w:left w:w="108" w:type="dxa"/>
        <w:bottom w:w="0" w:type="dxa"/>
        <w:right w:w="108" w:type="dxa"/>
      </w:tblCellMar>
    </w:tblPr>
    <w:tblStylePr w:type="firstRow">
      <w:rPr>
        <w:rFonts w:ascii="Arial" w:hAnsi="Arial"/>
        <w:b/>
        <w:color w:val="FFFFFF"/>
        <w:sz w:val="22"/>
      </w:rPr>
      <w:tcPr>
        <w:tcBorders>
          <w:top w:val="single" w:color="7F7F7F" w:sz="32" w:space="0"/>
          <w:bottom w:val="single" w:color="FFFFFF" w:sz="12" w:space="0"/>
        </w:tcBorders>
        <w:shd w:val="clear" w:color="7F7F7F" w:fill="7F7F7F"/>
      </w:tcPr>
    </w:tblStylePr>
    <w:tblStylePr w:type="lastRow">
      <w:rPr>
        <w:rFonts w:ascii="Arial" w:hAnsi="Arial"/>
        <w:b/>
        <w:color w:val="FFFFFF"/>
        <w:sz w:val="22"/>
      </w:rPr>
    </w:tblStylePr>
    <w:tblStylePr w:type="firstCol">
      <w:rPr>
        <w:rFonts w:ascii="Arial" w:hAnsi="Arial"/>
        <w:b/>
        <w:color w:val="FFFFFF"/>
        <w:sz w:val="22"/>
      </w:rPr>
      <w:tcPr>
        <w:tcBorders>
          <w:left w:val="single" w:color="7F7F7F" w:sz="32" w:space="0"/>
          <w:right w:val="single" w:color="FFFFFF" w:sz="4" w:space="0"/>
        </w:tcBorders>
      </w:tcPr>
    </w:tblStylePr>
    <w:tblStylePr w:type="lastCol">
      <w:tcPr>
        <w:tcBorders>
          <w:left w:val="single" w:color="FFFFFF" w:sz="4" w:space="0"/>
          <w:right w:val="single" w:color="7F7F7F" w:sz="32" w:space="0"/>
        </w:tcBorders>
      </w:tcPr>
    </w:tblStylePr>
    <w:tblStylePr w:type="band1Vert">
      <w:tcPr>
        <w:tcBorders>
          <w:left w:val="single" w:color="FFFFFF" w:sz="4" w:space="0"/>
          <w:right w:val="single" w:color="FFFFFF" w:sz="4" w:space="0"/>
        </w:tcBorders>
        <w:shd w:val="clear" w:color="7F7F7F" w:fill="7F7F7F"/>
      </w:tcPr>
    </w:tblStylePr>
    <w:tblStylePr w:type="band2Vert">
      <w:tcPr>
        <w:tcBorders>
          <w:left w:val="single" w:color="FFFFFF" w:sz="4" w:space="0"/>
          <w:right w:val="single" w:color="FFFFFF" w:sz="4" w:space="0"/>
        </w:tcBorders>
      </w:tcPr>
    </w:tblStylePr>
    <w:tblStylePr w:type="band1Horz">
      <w:tcPr>
        <w:tcBorders>
          <w:top w:val="single" w:color="FFFFFF" w:sz="4" w:space="0"/>
          <w:bottom w:val="single" w:color="FFFFFF" w:sz="4" w:space="0"/>
        </w:tcBorders>
        <w:shd w:val="clear" w:color="7F7F7F" w:fill="7F7F7F"/>
      </w:tcPr>
    </w:tblStylePr>
    <w:tblStylePr w:type="band2Horz">
      <w:tcPr>
        <w:tcBorders>
          <w:top w:val="single" w:color="FFFFFF" w:sz="4" w:space="0"/>
          <w:bottom w:val="single" w:color="FFFFFF" w:sz="4" w:space="0"/>
        </w:tcBorders>
        <w:shd w:val="clear" w:color="7F7F7F" w:fill="7F7F7F"/>
      </w:tcPr>
    </w:tblStylePr>
  </w:style>
  <w:style w:type="table" w:customStyle="1" w:styleId="1052">
    <w:name w:val="List Table 5 Dark - Accent 13"/>
    <w:basedOn w:val="13"/>
    <w:uiPriority w:val="99"/>
    <w:rPr>
      <w:sz w:val="22"/>
      <w:szCs w:val="22"/>
      <w:lang w:eastAsia="en-US"/>
    </w:rPr>
    <w:tblPr>
      <w:tblBorders>
        <w:top w:val="single" w:color="4F81BD" w:sz="32" w:space="0"/>
        <w:left w:val="single" w:color="4F81BD" w:sz="32" w:space="0"/>
        <w:bottom w:val="single" w:color="4F81BD" w:sz="32" w:space="0"/>
        <w:right w:val="single" w:color="4F81BD" w:sz="32" w:space="0"/>
      </w:tblBorders>
      <w:tblCellMar>
        <w:top w:w="0" w:type="dxa"/>
        <w:left w:w="108" w:type="dxa"/>
        <w:bottom w:w="0" w:type="dxa"/>
        <w:right w:w="108" w:type="dxa"/>
      </w:tblCellMar>
    </w:tblPr>
    <w:tblStylePr w:type="firstRow">
      <w:rPr>
        <w:rFonts w:ascii="Arial" w:hAnsi="Arial"/>
        <w:b/>
        <w:color w:val="FFFFFF"/>
        <w:sz w:val="22"/>
      </w:rPr>
      <w:tcPr>
        <w:tcBorders>
          <w:top w:val="single" w:color="4F81BD" w:sz="32" w:space="0"/>
          <w:bottom w:val="single" w:color="FFFFFF" w:sz="12" w:space="0"/>
        </w:tcBorders>
        <w:shd w:val="clear" w:color="4F81BD" w:fill="4F81BD"/>
      </w:tcPr>
    </w:tblStylePr>
    <w:tblStylePr w:type="lastRow">
      <w:rPr>
        <w:rFonts w:ascii="Arial" w:hAnsi="Arial"/>
        <w:b/>
        <w:color w:val="FFFFFF"/>
        <w:sz w:val="22"/>
      </w:rPr>
    </w:tblStylePr>
    <w:tblStylePr w:type="firstCol">
      <w:rPr>
        <w:rFonts w:ascii="Arial" w:hAnsi="Arial"/>
        <w:b/>
        <w:color w:val="FFFFFF"/>
        <w:sz w:val="22"/>
      </w:rPr>
      <w:tcPr>
        <w:tcBorders>
          <w:left w:val="single" w:color="4F81BD" w:sz="32" w:space="0"/>
          <w:right w:val="single" w:color="FFFFFF" w:sz="4" w:space="0"/>
        </w:tcBorders>
      </w:tcPr>
    </w:tblStylePr>
    <w:tblStylePr w:type="lastCol">
      <w:tcPr>
        <w:tcBorders>
          <w:left w:val="single" w:color="FFFFFF" w:sz="4" w:space="0"/>
          <w:right w:val="single" w:color="4F81BD" w:sz="32" w:space="0"/>
        </w:tcBorders>
      </w:tcPr>
    </w:tblStylePr>
    <w:tblStylePr w:type="band1Vert">
      <w:tcPr>
        <w:tcBorders>
          <w:left w:val="single" w:color="FFFFFF" w:sz="4" w:space="0"/>
          <w:right w:val="single" w:color="FFFFFF" w:sz="4" w:space="0"/>
        </w:tcBorders>
        <w:shd w:val="clear" w:color="4F81BD" w:fill="4F81BD"/>
      </w:tcPr>
    </w:tblStylePr>
    <w:tblStylePr w:type="band2Vert">
      <w:tcPr>
        <w:tcBorders>
          <w:left w:val="single" w:color="FFFFFF" w:sz="4" w:space="0"/>
          <w:right w:val="single" w:color="FFFFFF" w:sz="4" w:space="0"/>
        </w:tcBorders>
      </w:tcPr>
    </w:tblStylePr>
    <w:tblStylePr w:type="band1Horz">
      <w:tcPr>
        <w:tcBorders>
          <w:top w:val="single" w:color="FFFFFF" w:sz="4" w:space="0"/>
          <w:bottom w:val="single" w:color="FFFFFF" w:sz="4" w:space="0"/>
        </w:tcBorders>
        <w:shd w:val="clear" w:color="4F81BD" w:fill="4F81BD"/>
      </w:tcPr>
    </w:tblStylePr>
    <w:tblStylePr w:type="band2Horz">
      <w:tcPr>
        <w:tcBorders>
          <w:top w:val="single" w:color="FFFFFF" w:sz="4" w:space="0"/>
          <w:bottom w:val="single" w:color="FFFFFF" w:sz="4" w:space="0"/>
        </w:tcBorders>
        <w:shd w:val="clear" w:color="4F81BD" w:fill="4F81BD"/>
      </w:tcPr>
    </w:tblStylePr>
  </w:style>
  <w:style w:type="table" w:customStyle="1" w:styleId="1053">
    <w:name w:val="List Table 5 Dark - Accent 23"/>
    <w:basedOn w:val="13"/>
    <w:uiPriority w:val="99"/>
    <w:rPr>
      <w:sz w:val="22"/>
      <w:szCs w:val="22"/>
      <w:lang w:eastAsia="en-US"/>
    </w:rPr>
    <w:tblPr>
      <w:tblBorders>
        <w:top w:val="single" w:color="D99695" w:sz="32" w:space="0"/>
        <w:left w:val="single" w:color="D99695" w:sz="32" w:space="0"/>
        <w:bottom w:val="single" w:color="D99695" w:sz="32" w:space="0"/>
        <w:right w:val="single" w:color="D99695" w:sz="32" w:space="0"/>
      </w:tblBorders>
      <w:tblCellMar>
        <w:top w:w="0" w:type="dxa"/>
        <w:left w:w="108" w:type="dxa"/>
        <w:bottom w:w="0" w:type="dxa"/>
        <w:right w:w="108" w:type="dxa"/>
      </w:tblCellMar>
    </w:tblPr>
    <w:tblStylePr w:type="firstRow">
      <w:rPr>
        <w:rFonts w:ascii="Arial" w:hAnsi="Arial"/>
        <w:b/>
        <w:color w:val="FFFFFF"/>
        <w:sz w:val="22"/>
      </w:rPr>
      <w:tcPr>
        <w:tcBorders>
          <w:top w:val="single" w:color="D99695" w:sz="32" w:space="0"/>
          <w:bottom w:val="single" w:color="FFFFFF" w:sz="12" w:space="0"/>
        </w:tcBorders>
        <w:shd w:val="clear" w:color="D99695" w:fill="D99695"/>
      </w:tcPr>
    </w:tblStylePr>
    <w:tblStylePr w:type="lastRow">
      <w:rPr>
        <w:rFonts w:ascii="Arial" w:hAnsi="Arial"/>
        <w:b/>
        <w:color w:val="FFFFFF"/>
        <w:sz w:val="22"/>
      </w:rPr>
    </w:tblStylePr>
    <w:tblStylePr w:type="firstCol">
      <w:rPr>
        <w:rFonts w:ascii="Arial" w:hAnsi="Arial"/>
        <w:b/>
        <w:color w:val="FFFFFF"/>
        <w:sz w:val="22"/>
      </w:rPr>
      <w:tcPr>
        <w:tcBorders>
          <w:left w:val="single" w:color="D99695" w:sz="32" w:space="0"/>
          <w:right w:val="single" w:color="FFFFFF" w:sz="4" w:space="0"/>
        </w:tcBorders>
      </w:tcPr>
    </w:tblStylePr>
    <w:tblStylePr w:type="lastCol">
      <w:tcPr>
        <w:tcBorders>
          <w:left w:val="single" w:color="FFFFFF" w:sz="4" w:space="0"/>
          <w:right w:val="single" w:color="D99695" w:sz="32" w:space="0"/>
        </w:tcBorders>
      </w:tcPr>
    </w:tblStylePr>
    <w:tblStylePr w:type="band1Vert">
      <w:tcPr>
        <w:tcBorders>
          <w:left w:val="single" w:color="FFFFFF" w:sz="4" w:space="0"/>
          <w:right w:val="single" w:color="FFFFFF" w:sz="4" w:space="0"/>
        </w:tcBorders>
        <w:shd w:val="clear" w:color="D99695" w:fill="D99695"/>
      </w:tcPr>
    </w:tblStylePr>
    <w:tblStylePr w:type="band2Vert">
      <w:tcPr>
        <w:tcBorders>
          <w:left w:val="single" w:color="FFFFFF" w:sz="4" w:space="0"/>
          <w:right w:val="single" w:color="FFFFFF" w:sz="4" w:space="0"/>
        </w:tcBorders>
      </w:tcPr>
    </w:tblStylePr>
    <w:tblStylePr w:type="band1Horz">
      <w:tcPr>
        <w:tcBorders>
          <w:top w:val="single" w:color="FFFFFF" w:sz="4" w:space="0"/>
          <w:bottom w:val="single" w:color="FFFFFF" w:sz="4" w:space="0"/>
        </w:tcBorders>
        <w:shd w:val="clear" w:color="D99695" w:fill="D99695"/>
      </w:tcPr>
    </w:tblStylePr>
    <w:tblStylePr w:type="band2Horz">
      <w:tcPr>
        <w:tcBorders>
          <w:top w:val="single" w:color="FFFFFF" w:sz="4" w:space="0"/>
          <w:bottom w:val="single" w:color="FFFFFF" w:sz="4" w:space="0"/>
        </w:tcBorders>
        <w:shd w:val="clear" w:color="D99695" w:fill="D99695"/>
      </w:tcPr>
    </w:tblStylePr>
  </w:style>
  <w:style w:type="table" w:customStyle="1" w:styleId="1054">
    <w:name w:val="List Table 5 Dark - Accent 33"/>
    <w:basedOn w:val="13"/>
    <w:uiPriority w:val="99"/>
    <w:rPr>
      <w:sz w:val="22"/>
      <w:szCs w:val="22"/>
      <w:lang w:eastAsia="en-US"/>
    </w:rPr>
    <w:tblPr>
      <w:tblBorders>
        <w:top w:val="single" w:color="C3D69B" w:sz="32" w:space="0"/>
        <w:left w:val="single" w:color="C3D69B" w:sz="32" w:space="0"/>
        <w:bottom w:val="single" w:color="C3D69B" w:sz="32" w:space="0"/>
        <w:right w:val="single" w:color="C3D69B" w:sz="32" w:space="0"/>
      </w:tblBorders>
      <w:tblCellMar>
        <w:top w:w="0" w:type="dxa"/>
        <w:left w:w="108" w:type="dxa"/>
        <w:bottom w:w="0" w:type="dxa"/>
        <w:right w:w="108" w:type="dxa"/>
      </w:tblCellMar>
    </w:tblPr>
    <w:tblStylePr w:type="firstRow">
      <w:rPr>
        <w:rFonts w:ascii="Arial" w:hAnsi="Arial"/>
        <w:b/>
        <w:color w:val="FFFFFF"/>
        <w:sz w:val="22"/>
      </w:rPr>
      <w:tcPr>
        <w:tcBorders>
          <w:top w:val="single" w:color="C3D69B" w:sz="32" w:space="0"/>
          <w:bottom w:val="single" w:color="FFFFFF" w:sz="12" w:space="0"/>
        </w:tcBorders>
        <w:shd w:val="clear" w:color="C3D69B" w:fill="C3D69B"/>
      </w:tcPr>
    </w:tblStylePr>
    <w:tblStylePr w:type="lastRow">
      <w:rPr>
        <w:rFonts w:ascii="Arial" w:hAnsi="Arial"/>
        <w:b/>
        <w:color w:val="FFFFFF"/>
        <w:sz w:val="22"/>
      </w:rPr>
    </w:tblStylePr>
    <w:tblStylePr w:type="firstCol">
      <w:rPr>
        <w:rFonts w:ascii="Arial" w:hAnsi="Arial"/>
        <w:b/>
        <w:color w:val="FFFFFF"/>
        <w:sz w:val="22"/>
      </w:rPr>
      <w:tcPr>
        <w:tcBorders>
          <w:left w:val="single" w:color="C3D69B" w:sz="32" w:space="0"/>
          <w:right w:val="single" w:color="FFFFFF" w:sz="4" w:space="0"/>
        </w:tcBorders>
      </w:tcPr>
    </w:tblStylePr>
    <w:tblStylePr w:type="lastCol">
      <w:tcPr>
        <w:tcBorders>
          <w:left w:val="single" w:color="FFFFFF" w:sz="4" w:space="0"/>
          <w:right w:val="single" w:color="C3D69B" w:sz="32" w:space="0"/>
        </w:tcBorders>
      </w:tcPr>
    </w:tblStylePr>
    <w:tblStylePr w:type="band1Vert">
      <w:tcPr>
        <w:tcBorders>
          <w:left w:val="single" w:color="FFFFFF" w:sz="4" w:space="0"/>
          <w:right w:val="single" w:color="FFFFFF" w:sz="4" w:space="0"/>
        </w:tcBorders>
        <w:shd w:val="clear" w:color="C3D69B" w:fill="C3D69B"/>
      </w:tcPr>
    </w:tblStylePr>
    <w:tblStylePr w:type="band2Vert">
      <w:tcPr>
        <w:tcBorders>
          <w:left w:val="single" w:color="FFFFFF" w:sz="4" w:space="0"/>
          <w:right w:val="single" w:color="FFFFFF" w:sz="4" w:space="0"/>
        </w:tcBorders>
      </w:tcPr>
    </w:tblStylePr>
    <w:tblStylePr w:type="band1Horz">
      <w:tcPr>
        <w:tcBorders>
          <w:top w:val="single" w:color="FFFFFF" w:sz="4" w:space="0"/>
          <w:bottom w:val="single" w:color="FFFFFF" w:sz="4" w:space="0"/>
        </w:tcBorders>
        <w:shd w:val="clear" w:color="C3D69B" w:fill="C3D69B"/>
      </w:tcPr>
    </w:tblStylePr>
    <w:tblStylePr w:type="band2Horz">
      <w:tcPr>
        <w:tcBorders>
          <w:top w:val="single" w:color="FFFFFF" w:sz="4" w:space="0"/>
          <w:bottom w:val="single" w:color="FFFFFF" w:sz="4" w:space="0"/>
        </w:tcBorders>
        <w:shd w:val="clear" w:color="C3D69B" w:fill="C3D69B"/>
      </w:tcPr>
    </w:tblStylePr>
  </w:style>
  <w:style w:type="table" w:customStyle="1" w:styleId="1055">
    <w:name w:val="List Table 5 Dark - Accent 43"/>
    <w:basedOn w:val="13"/>
    <w:uiPriority w:val="99"/>
    <w:rPr>
      <w:sz w:val="22"/>
      <w:szCs w:val="22"/>
      <w:lang w:eastAsia="en-US"/>
    </w:rPr>
    <w:tblPr>
      <w:tblBorders>
        <w:top w:val="single" w:color="B2A1C6" w:sz="32" w:space="0"/>
        <w:left w:val="single" w:color="B2A1C6" w:sz="32" w:space="0"/>
        <w:bottom w:val="single" w:color="B2A1C6" w:sz="32" w:space="0"/>
        <w:right w:val="single" w:color="B2A1C6" w:sz="32" w:space="0"/>
      </w:tblBorders>
      <w:tblCellMar>
        <w:top w:w="0" w:type="dxa"/>
        <w:left w:w="108" w:type="dxa"/>
        <w:bottom w:w="0" w:type="dxa"/>
        <w:right w:w="108" w:type="dxa"/>
      </w:tblCellMar>
    </w:tblPr>
    <w:tblStylePr w:type="firstRow">
      <w:rPr>
        <w:rFonts w:ascii="Arial" w:hAnsi="Arial"/>
        <w:b/>
        <w:color w:val="FFFFFF"/>
        <w:sz w:val="22"/>
      </w:rPr>
      <w:tcPr>
        <w:tcBorders>
          <w:top w:val="single" w:color="B2A1C6" w:sz="32" w:space="0"/>
          <w:bottom w:val="single" w:color="FFFFFF" w:sz="12" w:space="0"/>
        </w:tcBorders>
        <w:shd w:val="clear" w:color="B2A1C6" w:fill="B2A1C6"/>
      </w:tcPr>
    </w:tblStylePr>
    <w:tblStylePr w:type="lastRow">
      <w:rPr>
        <w:rFonts w:ascii="Arial" w:hAnsi="Arial"/>
        <w:b/>
        <w:color w:val="FFFFFF"/>
        <w:sz w:val="22"/>
      </w:rPr>
    </w:tblStylePr>
    <w:tblStylePr w:type="firstCol">
      <w:rPr>
        <w:rFonts w:ascii="Arial" w:hAnsi="Arial"/>
        <w:b/>
        <w:color w:val="FFFFFF"/>
        <w:sz w:val="22"/>
      </w:rPr>
      <w:tcPr>
        <w:tcBorders>
          <w:left w:val="single" w:color="B2A1C6" w:sz="32" w:space="0"/>
          <w:right w:val="single" w:color="FFFFFF" w:sz="4" w:space="0"/>
        </w:tcBorders>
      </w:tcPr>
    </w:tblStylePr>
    <w:tblStylePr w:type="lastCol">
      <w:tcPr>
        <w:tcBorders>
          <w:left w:val="single" w:color="FFFFFF" w:sz="4" w:space="0"/>
          <w:right w:val="single" w:color="B2A1C6" w:sz="32" w:space="0"/>
        </w:tcBorders>
      </w:tcPr>
    </w:tblStylePr>
    <w:tblStylePr w:type="band1Vert">
      <w:tcPr>
        <w:tcBorders>
          <w:left w:val="single" w:color="FFFFFF" w:sz="4" w:space="0"/>
          <w:right w:val="single" w:color="FFFFFF" w:sz="4" w:space="0"/>
        </w:tcBorders>
        <w:shd w:val="clear" w:color="B2A1C6" w:fill="B2A1C6"/>
      </w:tcPr>
    </w:tblStylePr>
    <w:tblStylePr w:type="band2Vert">
      <w:tcPr>
        <w:tcBorders>
          <w:left w:val="single" w:color="FFFFFF" w:sz="4" w:space="0"/>
          <w:right w:val="single" w:color="FFFFFF" w:sz="4" w:space="0"/>
        </w:tcBorders>
      </w:tcPr>
    </w:tblStylePr>
    <w:tblStylePr w:type="band1Horz">
      <w:tcPr>
        <w:tcBorders>
          <w:top w:val="single" w:color="FFFFFF" w:sz="4" w:space="0"/>
          <w:bottom w:val="single" w:color="FFFFFF" w:sz="4" w:space="0"/>
        </w:tcBorders>
        <w:shd w:val="clear" w:color="B2A1C6" w:fill="B2A1C6"/>
      </w:tcPr>
    </w:tblStylePr>
    <w:tblStylePr w:type="band2Horz">
      <w:tcPr>
        <w:tcBorders>
          <w:top w:val="single" w:color="FFFFFF" w:sz="4" w:space="0"/>
          <w:bottom w:val="single" w:color="FFFFFF" w:sz="4" w:space="0"/>
        </w:tcBorders>
        <w:shd w:val="clear" w:color="B2A1C6" w:fill="B2A1C6"/>
      </w:tcPr>
    </w:tblStylePr>
  </w:style>
  <w:style w:type="table" w:customStyle="1" w:styleId="1056">
    <w:name w:val="List Table 5 Dark - Accent 53"/>
    <w:basedOn w:val="13"/>
    <w:uiPriority w:val="99"/>
    <w:rPr>
      <w:sz w:val="22"/>
      <w:szCs w:val="22"/>
      <w:lang w:eastAsia="en-US"/>
    </w:rPr>
    <w:tblPr>
      <w:tblBorders>
        <w:top w:val="single" w:color="92CCDC" w:sz="32" w:space="0"/>
        <w:left w:val="single" w:color="92CCDC" w:sz="32" w:space="0"/>
        <w:bottom w:val="single" w:color="92CCDC" w:sz="32" w:space="0"/>
        <w:right w:val="single" w:color="92CCDC" w:sz="32" w:space="0"/>
      </w:tblBorders>
      <w:tblCellMar>
        <w:top w:w="0" w:type="dxa"/>
        <w:left w:w="108" w:type="dxa"/>
        <w:bottom w:w="0" w:type="dxa"/>
        <w:right w:w="108" w:type="dxa"/>
      </w:tblCellMar>
    </w:tblPr>
    <w:tblStylePr w:type="firstRow">
      <w:rPr>
        <w:rFonts w:ascii="Arial" w:hAnsi="Arial"/>
        <w:b/>
        <w:color w:val="FFFFFF"/>
        <w:sz w:val="22"/>
      </w:rPr>
      <w:tcPr>
        <w:tcBorders>
          <w:top w:val="single" w:color="92CCDC" w:sz="32" w:space="0"/>
          <w:bottom w:val="single" w:color="FFFFFF" w:sz="12" w:space="0"/>
        </w:tcBorders>
        <w:shd w:val="clear" w:color="92CCDC" w:fill="92CCDC"/>
      </w:tcPr>
    </w:tblStylePr>
    <w:tblStylePr w:type="lastRow">
      <w:rPr>
        <w:rFonts w:ascii="Arial" w:hAnsi="Arial"/>
        <w:b/>
        <w:color w:val="FFFFFF"/>
        <w:sz w:val="22"/>
      </w:rPr>
    </w:tblStylePr>
    <w:tblStylePr w:type="firstCol">
      <w:rPr>
        <w:rFonts w:ascii="Arial" w:hAnsi="Arial"/>
        <w:b/>
        <w:color w:val="FFFFFF"/>
        <w:sz w:val="22"/>
      </w:rPr>
      <w:tcPr>
        <w:tcBorders>
          <w:left w:val="single" w:color="92CCDC" w:sz="32" w:space="0"/>
          <w:right w:val="single" w:color="FFFFFF" w:sz="4" w:space="0"/>
        </w:tcBorders>
      </w:tcPr>
    </w:tblStylePr>
    <w:tblStylePr w:type="lastCol">
      <w:tcPr>
        <w:tcBorders>
          <w:left w:val="single" w:color="FFFFFF" w:sz="4" w:space="0"/>
          <w:right w:val="single" w:color="92CCDC" w:sz="32" w:space="0"/>
        </w:tcBorders>
      </w:tcPr>
    </w:tblStylePr>
    <w:tblStylePr w:type="band1Vert">
      <w:tcPr>
        <w:tcBorders>
          <w:left w:val="single" w:color="FFFFFF" w:sz="4" w:space="0"/>
          <w:right w:val="single" w:color="FFFFFF" w:sz="4" w:space="0"/>
        </w:tcBorders>
        <w:shd w:val="clear" w:color="92CCDC" w:fill="92CCDC"/>
      </w:tcPr>
    </w:tblStylePr>
    <w:tblStylePr w:type="band2Vert">
      <w:tcPr>
        <w:tcBorders>
          <w:left w:val="single" w:color="FFFFFF" w:sz="4" w:space="0"/>
          <w:right w:val="single" w:color="FFFFFF" w:sz="4" w:space="0"/>
        </w:tcBorders>
      </w:tcPr>
    </w:tblStylePr>
    <w:tblStylePr w:type="band1Horz">
      <w:tcPr>
        <w:tcBorders>
          <w:top w:val="single" w:color="FFFFFF" w:sz="4" w:space="0"/>
          <w:bottom w:val="single" w:color="FFFFFF" w:sz="4" w:space="0"/>
        </w:tcBorders>
        <w:shd w:val="clear" w:color="92CCDC" w:fill="92CCDC"/>
      </w:tcPr>
    </w:tblStylePr>
    <w:tblStylePr w:type="band2Horz">
      <w:tcPr>
        <w:tcBorders>
          <w:top w:val="single" w:color="FFFFFF" w:sz="4" w:space="0"/>
          <w:bottom w:val="single" w:color="FFFFFF" w:sz="4" w:space="0"/>
        </w:tcBorders>
        <w:shd w:val="clear" w:color="92CCDC" w:fill="92CCDC"/>
      </w:tcPr>
    </w:tblStylePr>
  </w:style>
  <w:style w:type="table" w:customStyle="1" w:styleId="1057">
    <w:name w:val="List Table 5 Dark - Accent 63"/>
    <w:basedOn w:val="13"/>
    <w:uiPriority w:val="99"/>
    <w:rPr>
      <w:sz w:val="22"/>
      <w:szCs w:val="22"/>
      <w:lang w:eastAsia="en-US"/>
    </w:rPr>
    <w:tblPr>
      <w:tblBorders>
        <w:top w:val="single" w:color="FAC090" w:sz="32" w:space="0"/>
        <w:left w:val="single" w:color="FAC090" w:sz="32" w:space="0"/>
        <w:bottom w:val="single" w:color="FAC090" w:sz="32" w:space="0"/>
        <w:right w:val="single" w:color="FAC090" w:sz="32" w:space="0"/>
      </w:tblBorders>
      <w:tblCellMar>
        <w:top w:w="0" w:type="dxa"/>
        <w:left w:w="108" w:type="dxa"/>
        <w:bottom w:w="0" w:type="dxa"/>
        <w:right w:w="108" w:type="dxa"/>
      </w:tblCellMar>
    </w:tblPr>
    <w:tblStylePr w:type="firstRow">
      <w:rPr>
        <w:rFonts w:ascii="Arial" w:hAnsi="Arial"/>
        <w:b/>
        <w:color w:val="FFFFFF"/>
        <w:sz w:val="22"/>
      </w:rPr>
      <w:tcPr>
        <w:tcBorders>
          <w:top w:val="single" w:color="FAC090" w:sz="32" w:space="0"/>
          <w:bottom w:val="single" w:color="FFFFFF" w:sz="12" w:space="0"/>
        </w:tcBorders>
        <w:shd w:val="clear" w:color="FAC090" w:fill="FAC090"/>
      </w:tcPr>
    </w:tblStylePr>
    <w:tblStylePr w:type="lastRow">
      <w:rPr>
        <w:rFonts w:ascii="Arial" w:hAnsi="Arial"/>
        <w:b/>
        <w:color w:val="FFFFFF"/>
        <w:sz w:val="22"/>
      </w:rPr>
    </w:tblStylePr>
    <w:tblStylePr w:type="firstCol">
      <w:rPr>
        <w:rFonts w:ascii="Arial" w:hAnsi="Arial"/>
        <w:b/>
        <w:color w:val="FFFFFF"/>
        <w:sz w:val="22"/>
      </w:rPr>
      <w:tcPr>
        <w:tcBorders>
          <w:left w:val="single" w:color="FAC090" w:sz="32" w:space="0"/>
          <w:right w:val="single" w:color="FFFFFF" w:sz="4" w:space="0"/>
        </w:tcBorders>
      </w:tcPr>
    </w:tblStylePr>
    <w:tblStylePr w:type="lastCol">
      <w:tcPr>
        <w:tcBorders>
          <w:left w:val="single" w:color="FFFFFF" w:sz="4" w:space="0"/>
          <w:right w:val="single" w:color="FAC090" w:sz="32" w:space="0"/>
        </w:tcBorders>
      </w:tcPr>
    </w:tblStylePr>
    <w:tblStylePr w:type="band1Vert">
      <w:tcPr>
        <w:tcBorders>
          <w:left w:val="single" w:color="FFFFFF" w:sz="4" w:space="0"/>
          <w:right w:val="single" w:color="FFFFFF" w:sz="4" w:space="0"/>
        </w:tcBorders>
        <w:shd w:val="clear" w:color="FAC090" w:fill="FAC090"/>
      </w:tcPr>
    </w:tblStylePr>
    <w:tblStylePr w:type="band2Vert">
      <w:tcPr>
        <w:tcBorders>
          <w:left w:val="single" w:color="FFFFFF" w:sz="4" w:space="0"/>
          <w:right w:val="single" w:color="FFFFFF" w:sz="4" w:space="0"/>
        </w:tcBorders>
      </w:tcPr>
    </w:tblStylePr>
    <w:tblStylePr w:type="band1Horz">
      <w:tcPr>
        <w:tcBorders>
          <w:top w:val="single" w:color="FFFFFF" w:sz="4" w:space="0"/>
          <w:bottom w:val="single" w:color="FFFFFF" w:sz="4" w:space="0"/>
        </w:tcBorders>
        <w:shd w:val="clear" w:color="FAC090" w:fill="FAC090"/>
      </w:tcPr>
    </w:tblStylePr>
    <w:tblStylePr w:type="band2Horz">
      <w:tcPr>
        <w:tcBorders>
          <w:top w:val="single" w:color="FFFFFF" w:sz="4" w:space="0"/>
          <w:bottom w:val="single" w:color="FFFFFF" w:sz="4" w:space="0"/>
        </w:tcBorders>
        <w:shd w:val="clear" w:color="FAC090" w:fill="FAC090"/>
      </w:tcPr>
    </w:tblStylePr>
  </w:style>
  <w:style w:type="table" w:customStyle="1" w:styleId="1058">
    <w:name w:val="List Table 6 Colorful1"/>
    <w:basedOn w:val="13"/>
    <w:uiPriority w:val="99"/>
    <w:rPr>
      <w:sz w:val="22"/>
      <w:szCs w:val="22"/>
      <w:lang w:eastAsia="en-US"/>
    </w:rPr>
    <w:tblPr>
      <w:tblBorders>
        <w:top w:val="single" w:color="7F7F7F" w:sz="4" w:space="0"/>
        <w:bottom w:val="single" w:color="7F7F7F" w:sz="4" w:space="0"/>
      </w:tblBorders>
      <w:tblCellMar>
        <w:top w:w="0" w:type="dxa"/>
        <w:left w:w="108" w:type="dxa"/>
        <w:bottom w:w="0" w:type="dxa"/>
        <w:right w:w="108" w:type="dxa"/>
      </w:tblCellMar>
    </w:tblPr>
    <w:tblStylePr w:type="firstRow">
      <w:rPr>
        <w:b/>
        <w:color w:val="000000"/>
      </w:rPr>
      <w:tcPr>
        <w:tcBorders>
          <w:bottom w:val="single" w:color="7F7F7F" w:sz="4" w:space="0"/>
        </w:tcBorders>
      </w:tcPr>
    </w:tblStylePr>
    <w:tblStylePr w:type="lastRow">
      <w:rPr>
        <w:b/>
        <w:color w:val="000000"/>
      </w:rPr>
      <w:tcPr>
        <w:tcBorders>
          <w:top w:val="single" w:color="7F7F7F" w:sz="4" w:space="0"/>
        </w:tcBorders>
      </w:tcPr>
    </w:tblStylePr>
    <w:tblStylePr w:type="firstCol">
      <w:rPr>
        <w:b/>
        <w:color w:val="000000"/>
      </w:rPr>
    </w:tblStylePr>
    <w:tblStylePr w:type="lastCol">
      <w:rPr>
        <w:b/>
        <w:color w:val="000000"/>
      </w:rPr>
    </w:tblStylePr>
    <w:tblStylePr w:type="band1Vert">
      <w:tcPr>
        <w:shd w:val="clear" w:color="BFBFBF" w:fill="BFBFBF"/>
      </w:tcPr>
    </w:tblStylePr>
    <w:tblStylePr w:type="band1Horz">
      <w:rPr>
        <w:rFonts w:ascii="Arial" w:hAnsi="Arial"/>
        <w:color w:val="000000"/>
        <w:sz w:val="22"/>
      </w:rPr>
      <w:tcPr>
        <w:shd w:val="clear" w:color="BFBFBF" w:fill="BFBFBF"/>
      </w:tcPr>
    </w:tblStylePr>
    <w:tblStylePr w:type="band2Horz">
      <w:rPr>
        <w:rFonts w:ascii="Arial" w:hAnsi="Arial"/>
        <w:color w:val="000000"/>
        <w:sz w:val="22"/>
      </w:rPr>
    </w:tblStylePr>
  </w:style>
  <w:style w:type="table" w:customStyle="1" w:styleId="1059">
    <w:name w:val="List Table 6 Colorful - Accent 13"/>
    <w:basedOn w:val="13"/>
    <w:uiPriority w:val="99"/>
    <w:rPr>
      <w:sz w:val="22"/>
      <w:szCs w:val="22"/>
      <w:lang w:eastAsia="en-US"/>
    </w:rPr>
    <w:tblPr>
      <w:tblBorders>
        <w:top w:val="single" w:color="4F81BD" w:sz="4" w:space="0"/>
        <w:bottom w:val="single" w:color="4F81BD" w:sz="4" w:space="0"/>
      </w:tblBorders>
      <w:tblCellMar>
        <w:top w:w="0" w:type="dxa"/>
        <w:left w:w="108" w:type="dxa"/>
        <w:bottom w:w="0" w:type="dxa"/>
        <w:right w:w="108" w:type="dxa"/>
      </w:tblCellMar>
    </w:tblPr>
    <w:tblStylePr w:type="firstRow">
      <w:rPr>
        <w:b/>
        <w:color w:val="2A4A71"/>
      </w:rPr>
      <w:tcPr>
        <w:tcBorders>
          <w:bottom w:val="single" w:color="4F81BD" w:sz="4" w:space="0"/>
        </w:tcBorders>
      </w:tcPr>
    </w:tblStylePr>
    <w:tblStylePr w:type="lastRow">
      <w:rPr>
        <w:b/>
        <w:color w:val="2A4A71"/>
      </w:rPr>
      <w:tcPr>
        <w:tcBorders>
          <w:top w:val="single" w:color="4F81BD" w:sz="4" w:space="0"/>
        </w:tcBorders>
      </w:tcPr>
    </w:tblStylePr>
    <w:tblStylePr w:type="firstCol">
      <w:rPr>
        <w:b/>
        <w:color w:val="2A4A71"/>
      </w:rPr>
    </w:tblStylePr>
    <w:tblStylePr w:type="lastCol">
      <w:rPr>
        <w:b/>
        <w:color w:val="2A4A71"/>
      </w:rPr>
    </w:tblStylePr>
    <w:tblStylePr w:type="band1Vert">
      <w:tcPr>
        <w:shd w:val="clear" w:color="D2DFEE" w:fill="D2DFEE"/>
      </w:tcPr>
    </w:tblStylePr>
    <w:tblStylePr w:type="band1Horz">
      <w:rPr>
        <w:rFonts w:ascii="Arial" w:hAnsi="Arial"/>
        <w:color w:val="2A4A71"/>
        <w:sz w:val="22"/>
      </w:rPr>
      <w:tcPr>
        <w:shd w:val="clear" w:color="D2DFEE" w:fill="D2DFEE"/>
      </w:tcPr>
    </w:tblStylePr>
    <w:tblStylePr w:type="band2Horz">
      <w:rPr>
        <w:rFonts w:ascii="Arial" w:hAnsi="Arial"/>
        <w:color w:val="2A4A71"/>
        <w:sz w:val="22"/>
      </w:rPr>
    </w:tblStylePr>
  </w:style>
  <w:style w:type="table" w:customStyle="1" w:styleId="1060">
    <w:name w:val="List Table 6 Colorful - Accent 23"/>
    <w:basedOn w:val="13"/>
    <w:uiPriority w:val="99"/>
    <w:rPr>
      <w:sz w:val="22"/>
      <w:szCs w:val="22"/>
      <w:lang w:eastAsia="en-US"/>
    </w:rPr>
    <w:tblPr>
      <w:tblBorders>
        <w:top w:val="single" w:color="D99695" w:sz="4" w:space="0"/>
        <w:bottom w:val="single" w:color="D99695" w:sz="4" w:space="0"/>
      </w:tblBorders>
      <w:tblCellMar>
        <w:top w:w="0" w:type="dxa"/>
        <w:left w:w="108" w:type="dxa"/>
        <w:bottom w:w="0" w:type="dxa"/>
        <w:right w:w="108" w:type="dxa"/>
      </w:tblCellMar>
    </w:tblPr>
    <w:tblStylePr w:type="firstRow">
      <w:rPr>
        <w:b/>
        <w:color w:val="D99695"/>
      </w:rPr>
      <w:tcPr>
        <w:tcBorders>
          <w:bottom w:val="single" w:color="D99695" w:sz="4" w:space="0"/>
        </w:tcBorders>
      </w:tcPr>
    </w:tblStylePr>
    <w:tblStylePr w:type="lastRow">
      <w:rPr>
        <w:b/>
        <w:color w:val="D99695"/>
      </w:rPr>
      <w:tcPr>
        <w:tcBorders>
          <w:top w:val="single" w:color="D99695" w:sz="4" w:space="0"/>
        </w:tcBorders>
      </w:tcPr>
    </w:tblStylePr>
    <w:tblStylePr w:type="firstCol">
      <w:rPr>
        <w:b/>
        <w:color w:val="D99695"/>
      </w:rPr>
    </w:tblStylePr>
    <w:tblStylePr w:type="lastCol">
      <w:rPr>
        <w:b/>
        <w:color w:val="D99695"/>
      </w:rPr>
    </w:tblStylePr>
    <w:tblStylePr w:type="band1Vert">
      <w:tcPr>
        <w:shd w:val="clear" w:color="EFD2D2" w:fill="EFD2D2"/>
      </w:tcPr>
    </w:tblStylePr>
    <w:tblStylePr w:type="band1Horz">
      <w:rPr>
        <w:rFonts w:ascii="Arial" w:hAnsi="Arial"/>
        <w:color w:val="D99695"/>
        <w:sz w:val="22"/>
      </w:rPr>
      <w:tcPr>
        <w:shd w:val="clear" w:color="EFD2D2" w:fill="EFD2D2"/>
      </w:tcPr>
    </w:tblStylePr>
    <w:tblStylePr w:type="band2Horz">
      <w:rPr>
        <w:rFonts w:ascii="Arial" w:hAnsi="Arial"/>
        <w:color w:val="D99695"/>
        <w:sz w:val="22"/>
      </w:rPr>
    </w:tblStylePr>
  </w:style>
  <w:style w:type="table" w:customStyle="1" w:styleId="1061">
    <w:name w:val="List Table 6 Colorful - Accent 33"/>
    <w:basedOn w:val="13"/>
    <w:uiPriority w:val="99"/>
    <w:rPr>
      <w:sz w:val="22"/>
      <w:szCs w:val="22"/>
      <w:lang w:eastAsia="en-US"/>
    </w:rPr>
    <w:tblPr>
      <w:tblBorders>
        <w:top w:val="single" w:color="C3D69B" w:sz="4" w:space="0"/>
        <w:bottom w:val="single" w:color="C3D69B" w:sz="4" w:space="0"/>
      </w:tblBorders>
      <w:tblCellMar>
        <w:top w:w="0" w:type="dxa"/>
        <w:left w:w="108" w:type="dxa"/>
        <w:bottom w:w="0" w:type="dxa"/>
        <w:right w:w="108" w:type="dxa"/>
      </w:tblCellMar>
    </w:tblPr>
    <w:tblStylePr w:type="firstRow">
      <w:rPr>
        <w:b/>
        <w:color w:val="C3D69B"/>
      </w:rPr>
      <w:tcPr>
        <w:tcBorders>
          <w:bottom w:val="single" w:color="C3D69B" w:sz="4" w:space="0"/>
        </w:tcBorders>
      </w:tcPr>
    </w:tblStylePr>
    <w:tblStylePr w:type="lastRow">
      <w:rPr>
        <w:b/>
        <w:color w:val="C3D69B"/>
      </w:rPr>
      <w:tcPr>
        <w:tcBorders>
          <w:top w:val="single" w:color="C3D69B" w:sz="4" w:space="0"/>
        </w:tcBorders>
      </w:tcPr>
    </w:tblStylePr>
    <w:tblStylePr w:type="firstCol">
      <w:rPr>
        <w:b/>
        <w:color w:val="C3D69B"/>
      </w:rPr>
    </w:tblStylePr>
    <w:tblStylePr w:type="lastCol">
      <w:rPr>
        <w:b/>
        <w:color w:val="C3D69B"/>
      </w:rPr>
    </w:tblStylePr>
    <w:tblStylePr w:type="band1Vert">
      <w:tcPr>
        <w:shd w:val="clear" w:color="E5EED5" w:fill="E5EED5"/>
      </w:tcPr>
    </w:tblStylePr>
    <w:tblStylePr w:type="band1Horz">
      <w:rPr>
        <w:rFonts w:ascii="Arial" w:hAnsi="Arial"/>
        <w:color w:val="C3D69B"/>
        <w:sz w:val="22"/>
      </w:rPr>
      <w:tcPr>
        <w:shd w:val="clear" w:color="E5EED5" w:fill="E5EED5"/>
      </w:tcPr>
    </w:tblStylePr>
    <w:tblStylePr w:type="band2Horz">
      <w:rPr>
        <w:rFonts w:ascii="Arial" w:hAnsi="Arial"/>
        <w:color w:val="C3D69B"/>
        <w:sz w:val="22"/>
      </w:rPr>
    </w:tblStylePr>
  </w:style>
  <w:style w:type="table" w:customStyle="1" w:styleId="1062">
    <w:name w:val="List Table 6 Colorful - Accent 43"/>
    <w:basedOn w:val="13"/>
    <w:uiPriority w:val="99"/>
    <w:rPr>
      <w:sz w:val="22"/>
      <w:szCs w:val="22"/>
      <w:lang w:eastAsia="en-US"/>
    </w:rPr>
    <w:tblPr>
      <w:tblBorders>
        <w:top w:val="single" w:color="B2A1C6" w:sz="4" w:space="0"/>
        <w:bottom w:val="single" w:color="B2A1C6" w:sz="4" w:space="0"/>
      </w:tblBorders>
      <w:tblCellMar>
        <w:top w:w="0" w:type="dxa"/>
        <w:left w:w="108" w:type="dxa"/>
        <w:bottom w:w="0" w:type="dxa"/>
        <w:right w:w="108" w:type="dxa"/>
      </w:tblCellMar>
    </w:tblPr>
    <w:tblStylePr w:type="firstRow">
      <w:rPr>
        <w:b/>
        <w:color w:val="B2A1C6"/>
      </w:rPr>
      <w:tcPr>
        <w:tcBorders>
          <w:bottom w:val="single" w:color="B2A1C6" w:sz="4" w:space="0"/>
        </w:tcBorders>
      </w:tcPr>
    </w:tblStylePr>
    <w:tblStylePr w:type="lastRow">
      <w:rPr>
        <w:b/>
        <w:color w:val="B2A1C6"/>
      </w:rPr>
      <w:tcPr>
        <w:tcBorders>
          <w:top w:val="single" w:color="B2A1C6" w:sz="4" w:space="0"/>
        </w:tcBorders>
      </w:tcPr>
    </w:tblStylePr>
    <w:tblStylePr w:type="firstCol">
      <w:rPr>
        <w:b/>
        <w:color w:val="B2A1C6"/>
      </w:rPr>
    </w:tblStylePr>
    <w:tblStylePr w:type="lastCol">
      <w:rPr>
        <w:b/>
        <w:color w:val="B2A1C6"/>
      </w:rPr>
    </w:tblStylePr>
    <w:tblStylePr w:type="band1Vert">
      <w:tcPr>
        <w:shd w:val="clear" w:color="DFD8E7" w:fill="DFD8E7"/>
      </w:tcPr>
    </w:tblStylePr>
    <w:tblStylePr w:type="band1Horz">
      <w:rPr>
        <w:rFonts w:ascii="Arial" w:hAnsi="Arial"/>
        <w:color w:val="B2A1C6"/>
        <w:sz w:val="22"/>
      </w:rPr>
      <w:tcPr>
        <w:shd w:val="clear" w:color="DFD8E7" w:fill="DFD8E7"/>
      </w:tcPr>
    </w:tblStylePr>
    <w:tblStylePr w:type="band2Horz">
      <w:rPr>
        <w:rFonts w:ascii="Arial" w:hAnsi="Arial"/>
        <w:color w:val="B2A1C6"/>
        <w:sz w:val="22"/>
      </w:rPr>
    </w:tblStylePr>
  </w:style>
  <w:style w:type="table" w:customStyle="1" w:styleId="1063">
    <w:name w:val="List Table 6 Colorful - Accent 53"/>
    <w:basedOn w:val="13"/>
    <w:uiPriority w:val="99"/>
    <w:rPr>
      <w:sz w:val="22"/>
      <w:szCs w:val="22"/>
      <w:lang w:eastAsia="en-US"/>
    </w:rPr>
    <w:tblPr>
      <w:tblBorders>
        <w:top w:val="single" w:color="92CCDC" w:sz="4" w:space="0"/>
        <w:bottom w:val="single" w:color="92CCDC" w:sz="4" w:space="0"/>
      </w:tblBorders>
      <w:tblCellMar>
        <w:top w:w="0" w:type="dxa"/>
        <w:left w:w="108" w:type="dxa"/>
        <w:bottom w:w="0" w:type="dxa"/>
        <w:right w:w="108" w:type="dxa"/>
      </w:tblCellMar>
    </w:tblPr>
    <w:tblStylePr w:type="firstRow">
      <w:rPr>
        <w:b/>
        <w:color w:val="92CCDC"/>
      </w:rPr>
      <w:tcPr>
        <w:tcBorders>
          <w:bottom w:val="single" w:color="92CCDC" w:sz="4" w:space="0"/>
        </w:tcBorders>
      </w:tcPr>
    </w:tblStylePr>
    <w:tblStylePr w:type="lastRow">
      <w:rPr>
        <w:b/>
        <w:color w:val="92CCDC"/>
      </w:rPr>
      <w:tcPr>
        <w:tcBorders>
          <w:top w:val="single" w:color="92CCDC" w:sz="4" w:space="0"/>
        </w:tcBorders>
      </w:tcPr>
    </w:tblStylePr>
    <w:tblStylePr w:type="firstCol">
      <w:rPr>
        <w:b/>
        <w:color w:val="92CCDC"/>
      </w:rPr>
    </w:tblStylePr>
    <w:tblStylePr w:type="lastCol">
      <w:rPr>
        <w:b/>
        <w:color w:val="92CCDC"/>
      </w:rPr>
    </w:tblStylePr>
    <w:tblStylePr w:type="band1Vert">
      <w:tcPr>
        <w:shd w:val="clear" w:color="D1EAF0" w:fill="D1EAF0"/>
      </w:tcPr>
    </w:tblStylePr>
    <w:tblStylePr w:type="band1Horz">
      <w:rPr>
        <w:rFonts w:ascii="Arial" w:hAnsi="Arial"/>
        <w:color w:val="92CCDC"/>
        <w:sz w:val="22"/>
      </w:rPr>
      <w:tcPr>
        <w:shd w:val="clear" w:color="D1EAF0" w:fill="D1EAF0"/>
      </w:tcPr>
    </w:tblStylePr>
    <w:tblStylePr w:type="band2Horz">
      <w:rPr>
        <w:rFonts w:ascii="Arial" w:hAnsi="Arial"/>
        <w:color w:val="92CCDC"/>
        <w:sz w:val="22"/>
      </w:rPr>
    </w:tblStylePr>
  </w:style>
  <w:style w:type="table" w:customStyle="1" w:styleId="1064">
    <w:name w:val="List Table 6 Colorful - Accent 63"/>
    <w:basedOn w:val="13"/>
    <w:uiPriority w:val="99"/>
    <w:rPr>
      <w:sz w:val="22"/>
      <w:szCs w:val="22"/>
      <w:lang w:eastAsia="en-US"/>
    </w:rPr>
    <w:tblPr>
      <w:tblBorders>
        <w:top w:val="single" w:color="FAC090" w:sz="4" w:space="0"/>
        <w:bottom w:val="single" w:color="FAC090" w:sz="4" w:space="0"/>
      </w:tblBorders>
      <w:tblCellMar>
        <w:top w:w="0" w:type="dxa"/>
        <w:left w:w="108" w:type="dxa"/>
        <w:bottom w:w="0" w:type="dxa"/>
        <w:right w:w="108" w:type="dxa"/>
      </w:tblCellMar>
    </w:tblPr>
    <w:tblStylePr w:type="firstRow">
      <w:rPr>
        <w:b/>
        <w:color w:val="FAC090"/>
      </w:rPr>
      <w:tcPr>
        <w:tcBorders>
          <w:bottom w:val="single" w:color="FAC090" w:sz="4" w:space="0"/>
        </w:tcBorders>
      </w:tcPr>
    </w:tblStylePr>
    <w:tblStylePr w:type="lastRow">
      <w:rPr>
        <w:b/>
        <w:color w:val="FAC090"/>
      </w:rPr>
      <w:tcPr>
        <w:tcBorders>
          <w:top w:val="single" w:color="FAC090" w:sz="4" w:space="0"/>
        </w:tcBorders>
      </w:tcPr>
    </w:tblStylePr>
    <w:tblStylePr w:type="firstCol">
      <w:rPr>
        <w:b/>
        <w:color w:val="FAC090"/>
      </w:rPr>
    </w:tblStylePr>
    <w:tblStylePr w:type="lastCol">
      <w:rPr>
        <w:b/>
        <w:color w:val="FAC090"/>
      </w:rPr>
    </w:tblStylePr>
    <w:tblStylePr w:type="band1Vert">
      <w:tcPr>
        <w:shd w:val="clear" w:color="FDE4D0" w:fill="FDE4D0"/>
      </w:tcPr>
    </w:tblStylePr>
    <w:tblStylePr w:type="band1Horz">
      <w:rPr>
        <w:rFonts w:ascii="Arial" w:hAnsi="Arial"/>
        <w:color w:val="FAC090"/>
        <w:sz w:val="22"/>
      </w:rPr>
      <w:tcPr>
        <w:shd w:val="clear" w:color="FDE4D0" w:fill="FDE4D0"/>
      </w:tcPr>
    </w:tblStylePr>
    <w:tblStylePr w:type="band2Horz">
      <w:rPr>
        <w:rFonts w:ascii="Arial" w:hAnsi="Arial"/>
        <w:color w:val="FAC090"/>
        <w:sz w:val="22"/>
      </w:rPr>
    </w:tblStylePr>
  </w:style>
  <w:style w:type="table" w:customStyle="1" w:styleId="1065">
    <w:name w:val="List Table 7 Colorful1"/>
    <w:basedOn w:val="13"/>
    <w:uiPriority w:val="99"/>
    <w:rPr>
      <w:sz w:val="22"/>
      <w:szCs w:val="22"/>
      <w:lang w:eastAsia="en-US"/>
    </w:rPr>
    <w:tblPr>
      <w:tblBorders>
        <w:right w:val="single" w:color="7F7F7F" w:sz="4" w:space="0"/>
      </w:tblBorders>
      <w:tblCellMar>
        <w:top w:w="0" w:type="dxa"/>
        <w:left w:w="108" w:type="dxa"/>
        <w:bottom w:w="0" w:type="dxa"/>
        <w:right w:w="108" w:type="dxa"/>
      </w:tblCellMar>
    </w:tblPr>
    <w:tblStylePr w:type="firstRow">
      <w:rPr>
        <w:rFonts w:ascii="Arial" w:hAnsi="Arial"/>
        <w:i/>
        <w:color w:val="7F7F7F"/>
        <w:sz w:val="22"/>
      </w:rPr>
      <w:tcPr>
        <w:tcBorders>
          <w:top w:val="nil"/>
          <w:left w:val="nil"/>
          <w:bottom w:val="single" w:color="7F7F7F" w:sz="4" w:space="0"/>
          <w:right w:val="nil"/>
        </w:tcBorders>
        <w:shd w:val="clear" w:color="FFFFFF" w:fill="FFFFFF"/>
      </w:tcPr>
    </w:tblStylePr>
    <w:tblStylePr w:type="lastRow">
      <w:rPr>
        <w:rFonts w:ascii="Arial" w:hAnsi="Arial"/>
        <w:i/>
        <w:color w:val="7F7F7F"/>
        <w:sz w:val="22"/>
      </w:rPr>
      <w:tcPr>
        <w:tcBorders>
          <w:top w:val="single" w:color="7F7F7F" w:sz="4" w:space="0"/>
          <w:left w:val="nil"/>
          <w:bottom w:val="nil"/>
          <w:right w:val="nil"/>
        </w:tcBorders>
        <w:shd w:val="clear" w:color="FFFFFF" w:fill="FFFFFF"/>
      </w:tcPr>
    </w:tblStylePr>
    <w:tblStylePr w:type="firstCol">
      <w:pPr>
        <w:jc w:val="right"/>
      </w:pPr>
      <w:rPr>
        <w:rFonts w:ascii="Arial" w:hAnsi="Arial"/>
        <w:i/>
        <w:color w:val="7F7F7F"/>
        <w:sz w:val="22"/>
      </w:rPr>
      <w:tcPr>
        <w:tcBorders>
          <w:top w:val="nil"/>
          <w:left w:val="nil"/>
          <w:bottom w:val="nil"/>
          <w:right w:val="single" w:color="7F7F7F" w:sz="4" w:space="0"/>
        </w:tcBorders>
        <w:shd w:val="clear" w:color="FFFFFF" w:fill="auto"/>
      </w:tcPr>
    </w:tblStylePr>
    <w:tblStylePr w:type="lastCol">
      <w:rPr>
        <w:rFonts w:ascii="Arial" w:hAnsi="Arial"/>
        <w:i/>
        <w:color w:val="7F7F7F"/>
        <w:sz w:val="22"/>
      </w:rPr>
      <w:tcPr>
        <w:tcBorders>
          <w:top w:val="nil"/>
          <w:left w:val="single" w:color="7F7F7F" w:sz="4" w:space="0"/>
          <w:bottom w:val="nil"/>
          <w:right w:val="nil"/>
        </w:tcBorders>
        <w:shd w:val="clear" w:color="FFFFFF" w:fill="auto"/>
      </w:tcPr>
    </w:tblStylePr>
    <w:tblStylePr w:type="band1Vert">
      <w:tcPr>
        <w:shd w:val="clear" w:color="BFBFBF" w:fill="BFBFBF"/>
      </w:tcPr>
    </w:tblStylePr>
    <w:tblStylePr w:type="band1Horz">
      <w:rPr>
        <w:rFonts w:ascii="Arial" w:hAnsi="Arial"/>
        <w:color w:val="7F7F7F"/>
        <w:sz w:val="22"/>
      </w:rPr>
      <w:tcPr>
        <w:shd w:val="clear" w:color="BFBFBF" w:fill="BFBFBF"/>
      </w:tcPr>
    </w:tblStylePr>
    <w:tblStylePr w:type="band2Horz">
      <w:rPr>
        <w:rFonts w:ascii="Arial" w:hAnsi="Arial"/>
        <w:color w:val="7F7F7F"/>
        <w:sz w:val="22"/>
      </w:rPr>
    </w:tblStylePr>
  </w:style>
  <w:style w:type="table" w:customStyle="1" w:styleId="1066">
    <w:name w:val="List Table 7 Colorful - Accent 13"/>
    <w:basedOn w:val="13"/>
    <w:uiPriority w:val="99"/>
    <w:rPr>
      <w:sz w:val="22"/>
      <w:szCs w:val="22"/>
      <w:lang w:eastAsia="en-US"/>
    </w:rPr>
    <w:tblPr>
      <w:tblBorders>
        <w:right w:val="single" w:color="4F81BD" w:sz="4" w:space="0"/>
      </w:tblBorders>
      <w:tblCellMar>
        <w:top w:w="0" w:type="dxa"/>
        <w:left w:w="108" w:type="dxa"/>
        <w:bottom w:w="0" w:type="dxa"/>
        <w:right w:w="108" w:type="dxa"/>
      </w:tblCellMar>
    </w:tblPr>
    <w:tblStylePr w:type="firstRow">
      <w:rPr>
        <w:rFonts w:ascii="Arial" w:hAnsi="Arial"/>
        <w:i/>
        <w:color w:val="2A4A71"/>
        <w:sz w:val="22"/>
      </w:rPr>
      <w:tcPr>
        <w:tcBorders>
          <w:top w:val="nil"/>
          <w:left w:val="nil"/>
          <w:bottom w:val="single" w:color="4F81BD" w:sz="4" w:space="0"/>
          <w:right w:val="nil"/>
        </w:tcBorders>
        <w:shd w:val="clear" w:color="FFFFFF" w:fill="FFFFFF"/>
      </w:tcPr>
    </w:tblStylePr>
    <w:tblStylePr w:type="lastRow">
      <w:rPr>
        <w:rFonts w:ascii="Arial" w:hAnsi="Arial"/>
        <w:i/>
        <w:color w:val="2A4A71"/>
        <w:sz w:val="22"/>
      </w:rPr>
      <w:tcPr>
        <w:tcBorders>
          <w:top w:val="single" w:color="4F81BD" w:sz="4" w:space="0"/>
          <w:left w:val="nil"/>
          <w:bottom w:val="nil"/>
          <w:right w:val="nil"/>
        </w:tcBorders>
        <w:shd w:val="clear" w:color="FFFFFF" w:fill="FFFFFF"/>
      </w:tcPr>
    </w:tblStylePr>
    <w:tblStylePr w:type="firstCol">
      <w:pPr>
        <w:jc w:val="right"/>
      </w:pPr>
      <w:rPr>
        <w:rFonts w:ascii="Arial" w:hAnsi="Arial"/>
        <w:i/>
        <w:color w:val="2A4A71"/>
        <w:sz w:val="22"/>
      </w:rPr>
      <w:tcPr>
        <w:tcBorders>
          <w:top w:val="nil"/>
          <w:left w:val="nil"/>
          <w:bottom w:val="nil"/>
          <w:right w:val="single" w:color="4F81BD" w:sz="4" w:space="0"/>
        </w:tcBorders>
        <w:shd w:val="clear" w:color="FFFFFF" w:fill="auto"/>
      </w:tcPr>
    </w:tblStylePr>
    <w:tblStylePr w:type="lastCol">
      <w:rPr>
        <w:rFonts w:ascii="Arial" w:hAnsi="Arial"/>
        <w:i/>
        <w:color w:val="2A4A71"/>
        <w:sz w:val="22"/>
      </w:rPr>
      <w:tcPr>
        <w:tcBorders>
          <w:top w:val="nil"/>
          <w:left w:val="single" w:color="4F81BD" w:sz="4" w:space="0"/>
          <w:bottom w:val="nil"/>
          <w:right w:val="nil"/>
        </w:tcBorders>
        <w:shd w:val="clear" w:color="FFFFFF" w:fill="auto"/>
      </w:tcPr>
    </w:tblStylePr>
    <w:tblStylePr w:type="band1Vert">
      <w:tcPr>
        <w:shd w:val="clear" w:color="D2DFEE" w:fill="D2DFEE"/>
      </w:tcPr>
    </w:tblStylePr>
    <w:tblStylePr w:type="band1Horz">
      <w:rPr>
        <w:rFonts w:ascii="Arial" w:hAnsi="Arial"/>
        <w:color w:val="2A4A71"/>
        <w:sz w:val="22"/>
      </w:rPr>
      <w:tcPr>
        <w:shd w:val="clear" w:color="D2DFEE" w:fill="D2DFEE"/>
      </w:tcPr>
    </w:tblStylePr>
    <w:tblStylePr w:type="band2Horz">
      <w:rPr>
        <w:rFonts w:ascii="Arial" w:hAnsi="Arial"/>
        <w:color w:val="2A4A71"/>
        <w:sz w:val="22"/>
      </w:rPr>
    </w:tblStylePr>
  </w:style>
  <w:style w:type="table" w:customStyle="1" w:styleId="1067">
    <w:name w:val="List Table 7 Colorful - Accent 23"/>
    <w:basedOn w:val="13"/>
    <w:uiPriority w:val="99"/>
    <w:rPr>
      <w:sz w:val="22"/>
      <w:szCs w:val="22"/>
      <w:lang w:eastAsia="en-US"/>
    </w:rPr>
    <w:tblPr>
      <w:tblBorders>
        <w:right w:val="single" w:color="D99695" w:sz="4" w:space="0"/>
      </w:tblBorders>
      <w:tblCellMar>
        <w:top w:w="0" w:type="dxa"/>
        <w:left w:w="108" w:type="dxa"/>
        <w:bottom w:w="0" w:type="dxa"/>
        <w:right w:w="108" w:type="dxa"/>
      </w:tblCellMar>
    </w:tblPr>
    <w:tblStylePr w:type="firstRow">
      <w:rPr>
        <w:rFonts w:ascii="Arial" w:hAnsi="Arial"/>
        <w:i/>
        <w:color w:val="D99695"/>
        <w:sz w:val="22"/>
      </w:rPr>
      <w:tcPr>
        <w:tcBorders>
          <w:top w:val="nil"/>
          <w:left w:val="nil"/>
          <w:bottom w:val="single" w:color="D99695" w:sz="4" w:space="0"/>
          <w:right w:val="nil"/>
        </w:tcBorders>
        <w:shd w:val="clear" w:color="FFFFFF" w:fill="FFFFFF"/>
      </w:tcPr>
    </w:tblStylePr>
    <w:tblStylePr w:type="lastRow">
      <w:rPr>
        <w:rFonts w:ascii="Arial" w:hAnsi="Arial"/>
        <w:i/>
        <w:color w:val="D99695"/>
        <w:sz w:val="22"/>
      </w:rPr>
      <w:tcPr>
        <w:tcBorders>
          <w:top w:val="single" w:color="D99695" w:sz="4" w:space="0"/>
          <w:left w:val="nil"/>
          <w:bottom w:val="nil"/>
          <w:right w:val="nil"/>
        </w:tcBorders>
        <w:shd w:val="clear" w:color="FFFFFF" w:fill="FFFFFF"/>
      </w:tcPr>
    </w:tblStylePr>
    <w:tblStylePr w:type="firstCol">
      <w:pPr>
        <w:jc w:val="right"/>
      </w:pPr>
      <w:rPr>
        <w:rFonts w:ascii="Arial" w:hAnsi="Arial"/>
        <w:i/>
        <w:color w:val="D99695"/>
        <w:sz w:val="22"/>
      </w:rPr>
      <w:tcPr>
        <w:tcBorders>
          <w:top w:val="nil"/>
          <w:left w:val="nil"/>
          <w:bottom w:val="nil"/>
          <w:right w:val="single" w:color="D99695" w:sz="4" w:space="0"/>
        </w:tcBorders>
        <w:shd w:val="clear" w:color="FFFFFF" w:fill="auto"/>
      </w:tcPr>
    </w:tblStylePr>
    <w:tblStylePr w:type="lastCol">
      <w:rPr>
        <w:rFonts w:ascii="Arial" w:hAnsi="Arial"/>
        <w:i/>
        <w:color w:val="D99695"/>
        <w:sz w:val="22"/>
      </w:rPr>
      <w:tcPr>
        <w:tcBorders>
          <w:top w:val="nil"/>
          <w:left w:val="single" w:color="D99695" w:sz="4" w:space="0"/>
          <w:bottom w:val="nil"/>
          <w:right w:val="nil"/>
        </w:tcBorders>
        <w:shd w:val="clear" w:color="FFFFFF" w:fill="auto"/>
      </w:tcPr>
    </w:tblStylePr>
    <w:tblStylePr w:type="band1Vert">
      <w:tcPr>
        <w:shd w:val="clear" w:color="EFD2D2" w:fill="EFD2D2"/>
      </w:tcPr>
    </w:tblStylePr>
    <w:tblStylePr w:type="band1Horz">
      <w:rPr>
        <w:rFonts w:ascii="Arial" w:hAnsi="Arial"/>
        <w:color w:val="D99695"/>
        <w:sz w:val="22"/>
      </w:rPr>
      <w:tcPr>
        <w:shd w:val="clear" w:color="EFD2D2" w:fill="EFD2D2"/>
      </w:tcPr>
    </w:tblStylePr>
    <w:tblStylePr w:type="band2Horz">
      <w:rPr>
        <w:rFonts w:ascii="Arial" w:hAnsi="Arial"/>
        <w:color w:val="D99695"/>
        <w:sz w:val="22"/>
      </w:rPr>
    </w:tblStylePr>
  </w:style>
  <w:style w:type="table" w:customStyle="1" w:styleId="1068">
    <w:name w:val="List Table 7 Colorful - Accent 33"/>
    <w:basedOn w:val="13"/>
    <w:uiPriority w:val="99"/>
    <w:rPr>
      <w:sz w:val="22"/>
      <w:szCs w:val="22"/>
      <w:lang w:eastAsia="en-US"/>
    </w:rPr>
    <w:tblPr>
      <w:tblBorders>
        <w:right w:val="single" w:color="C3D69B" w:sz="4" w:space="0"/>
      </w:tblBorders>
      <w:tblCellMar>
        <w:top w:w="0" w:type="dxa"/>
        <w:left w:w="108" w:type="dxa"/>
        <w:bottom w:w="0" w:type="dxa"/>
        <w:right w:w="108" w:type="dxa"/>
      </w:tblCellMar>
    </w:tblPr>
    <w:tblStylePr w:type="firstRow">
      <w:rPr>
        <w:rFonts w:ascii="Arial" w:hAnsi="Arial"/>
        <w:i/>
        <w:color w:val="C3D69B"/>
        <w:sz w:val="22"/>
      </w:rPr>
      <w:tcPr>
        <w:tcBorders>
          <w:top w:val="nil"/>
          <w:left w:val="nil"/>
          <w:bottom w:val="single" w:color="C3D69B" w:sz="4" w:space="0"/>
          <w:right w:val="nil"/>
        </w:tcBorders>
        <w:shd w:val="clear" w:color="FFFFFF" w:fill="FFFFFF"/>
      </w:tcPr>
    </w:tblStylePr>
    <w:tblStylePr w:type="lastRow">
      <w:rPr>
        <w:rFonts w:ascii="Arial" w:hAnsi="Arial"/>
        <w:i/>
        <w:color w:val="C3D69B"/>
        <w:sz w:val="22"/>
      </w:rPr>
      <w:tcPr>
        <w:tcBorders>
          <w:top w:val="single" w:color="C3D69B" w:sz="4" w:space="0"/>
          <w:left w:val="nil"/>
          <w:bottom w:val="nil"/>
          <w:right w:val="nil"/>
        </w:tcBorders>
        <w:shd w:val="clear" w:color="FFFFFF" w:fill="FFFFFF"/>
      </w:tcPr>
    </w:tblStylePr>
    <w:tblStylePr w:type="firstCol">
      <w:pPr>
        <w:jc w:val="right"/>
      </w:pPr>
      <w:rPr>
        <w:rFonts w:ascii="Arial" w:hAnsi="Arial"/>
        <w:i/>
        <w:color w:val="C3D69B"/>
        <w:sz w:val="22"/>
      </w:rPr>
      <w:tcPr>
        <w:tcBorders>
          <w:top w:val="nil"/>
          <w:left w:val="nil"/>
          <w:bottom w:val="nil"/>
          <w:right w:val="single" w:color="C3D69B" w:sz="4" w:space="0"/>
        </w:tcBorders>
        <w:shd w:val="clear" w:color="FFFFFF" w:fill="auto"/>
      </w:tcPr>
    </w:tblStylePr>
    <w:tblStylePr w:type="lastCol">
      <w:rPr>
        <w:rFonts w:ascii="Arial" w:hAnsi="Arial"/>
        <w:i/>
        <w:color w:val="C3D69B"/>
        <w:sz w:val="22"/>
      </w:rPr>
      <w:tcPr>
        <w:tcBorders>
          <w:top w:val="nil"/>
          <w:left w:val="single" w:color="C3D69B" w:sz="4" w:space="0"/>
          <w:bottom w:val="nil"/>
          <w:right w:val="nil"/>
        </w:tcBorders>
        <w:shd w:val="clear" w:color="FFFFFF" w:fill="auto"/>
      </w:tcPr>
    </w:tblStylePr>
    <w:tblStylePr w:type="band1Vert">
      <w:tcPr>
        <w:shd w:val="clear" w:color="E5EED5" w:fill="E5EED5"/>
      </w:tcPr>
    </w:tblStylePr>
    <w:tblStylePr w:type="band1Horz">
      <w:rPr>
        <w:rFonts w:ascii="Arial" w:hAnsi="Arial"/>
        <w:color w:val="C3D69B"/>
        <w:sz w:val="22"/>
      </w:rPr>
      <w:tcPr>
        <w:shd w:val="clear" w:color="E5EED5" w:fill="E5EED5"/>
      </w:tcPr>
    </w:tblStylePr>
    <w:tblStylePr w:type="band2Horz">
      <w:rPr>
        <w:rFonts w:ascii="Arial" w:hAnsi="Arial"/>
        <w:color w:val="C3D69B"/>
        <w:sz w:val="22"/>
      </w:rPr>
    </w:tblStylePr>
  </w:style>
  <w:style w:type="table" w:customStyle="1" w:styleId="1069">
    <w:name w:val="List Table 7 Colorful - Accent 43"/>
    <w:basedOn w:val="13"/>
    <w:uiPriority w:val="99"/>
    <w:rPr>
      <w:sz w:val="22"/>
      <w:szCs w:val="22"/>
      <w:lang w:eastAsia="en-US"/>
    </w:rPr>
    <w:tblPr>
      <w:tblBorders>
        <w:right w:val="single" w:color="B2A1C6" w:sz="4" w:space="0"/>
      </w:tblBorders>
      <w:tblCellMar>
        <w:top w:w="0" w:type="dxa"/>
        <w:left w:w="108" w:type="dxa"/>
        <w:bottom w:w="0" w:type="dxa"/>
        <w:right w:w="108" w:type="dxa"/>
      </w:tblCellMar>
    </w:tblPr>
    <w:tblStylePr w:type="firstRow">
      <w:rPr>
        <w:rFonts w:ascii="Arial" w:hAnsi="Arial"/>
        <w:i/>
        <w:color w:val="B2A1C6"/>
        <w:sz w:val="22"/>
      </w:rPr>
      <w:tcPr>
        <w:tcBorders>
          <w:top w:val="nil"/>
          <w:left w:val="nil"/>
          <w:bottom w:val="single" w:color="B2A1C6" w:sz="4" w:space="0"/>
          <w:right w:val="nil"/>
        </w:tcBorders>
        <w:shd w:val="clear" w:color="FFFFFF" w:fill="FFFFFF"/>
      </w:tcPr>
    </w:tblStylePr>
    <w:tblStylePr w:type="lastRow">
      <w:rPr>
        <w:rFonts w:ascii="Arial" w:hAnsi="Arial"/>
        <w:i/>
        <w:color w:val="B2A1C6"/>
        <w:sz w:val="22"/>
      </w:rPr>
      <w:tcPr>
        <w:tcBorders>
          <w:top w:val="single" w:color="B2A1C6" w:sz="4" w:space="0"/>
          <w:left w:val="nil"/>
          <w:bottom w:val="nil"/>
          <w:right w:val="nil"/>
        </w:tcBorders>
        <w:shd w:val="clear" w:color="FFFFFF" w:fill="FFFFFF"/>
      </w:tcPr>
    </w:tblStylePr>
    <w:tblStylePr w:type="firstCol">
      <w:pPr>
        <w:jc w:val="right"/>
      </w:pPr>
      <w:rPr>
        <w:rFonts w:ascii="Arial" w:hAnsi="Arial"/>
        <w:i/>
        <w:color w:val="B2A1C6"/>
        <w:sz w:val="22"/>
      </w:rPr>
      <w:tcPr>
        <w:tcBorders>
          <w:top w:val="nil"/>
          <w:left w:val="nil"/>
          <w:bottom w:val="nil"/>
          <w:right w:val="single" w:color="B2A1C6" w:sz="4" w:space="0"/>
        </w:tcBorders>
        <w:shd w:val="clear" w:color="FFFFFF" w:fill="auto"/>
      </w:tcPr>
    </w:tblStylePr>
    <w:tblStylePr w:type="lastCol">
      <w:rPr>
        <w:rFonts w:ascii="Arial" w:hAnsi="Arial"/>
        <w:i/>
        <w:color w:val="B2A1C6"/>
        <w:sz w:val="22"/>
      </w:rPr>
      <w:tcPr>
        <w:tcBorders>
          <w:top w:val="nil"/>
          <w:left w:val="single" w:color="B2A1C6" w:sz="4" w:space="0"/>
          <w:bottom w:val="nil"/>
          <w:right w:val="nil"/>
        </w:tcBorders>
        <w:shd w:val="clear" w:color="FFFFFF" w:fill="auto"/>
      </w:tcPr>
    </w:tblStylePr>
    <w:tblStylePr w:type="band1Vert">
      <w:tcPr>
        <w:shd w:val="clear" w:color="DFD8E7" w:fill="DFD8E7"/>
      </w:tcPr>
    </w:tblStylePr>
    <w:tblStylePr w:type="band1Horz">
      <w:rPr>
        <w:rFonts w:ascii="Arial" w:hAnsi="Arial"/>
        <w:color w:val="B2A1C6"/>
        <w:sz w:val="22"/>
      </w:rPr>
      <w:tcPr>
        <w:shd w:val="clear" w:color="DFD8E7" w:fill="DFD8E7"/>
      </w:tcPr>
    </w:tblStylePr>
    <w:tblStylePr w:type="band2Horz">
      <w:rPr>
        <w:rFonts w:ascii="Arial" w:hAnsi="Arial"/>
        <w:color w:val="B2A1C6"/>
        <w:sz w:val="22"/>
      </w:rPr>
    </w:tblStylePr>
  </w:style>
  <w:style w:type="table" w:customStyle="1" w:styleId="1070">
    <w:name w:val="List Table 7 Colorful - Accent 53"/>
    <w:basedOn w:val="13"/>
    <w:uiPriority w:val="99"/>
    <w:rPr>
      <w:sz w:val="22"/>
      <w:szCs w:val="22"/>
      <w:lang w:eastAsia="en-US"/>
    </w:rPr>
    <w:tblPr>
      <w:tblBorders>
        <w:right w:val="single" w:color="92CCDC" w:sz="4" w:space="0"/>
      </w:tblBorders>
      <w:tblCellMar>
        <w:top w:w="0" w:type="dxa"/>
        <w:left w:w="108" w:type="dxa"/>
        <w:bottom w:w="0" w:type="dxa"/>
        <w:right w:w="108" w:type="dxa"/>
      </w:tblCellMar>
    </w:tblPr>
    <w:tblStylePr w:type="firstRow">
      <w:rPr>
        <w:rFonts w:ascii="Arial" w:hAnsi="Arial"/>
        <w:i/>
        <w:color w:val="92CCDC"/>
        <w:sz w:val="22"/>
      </w:rPr>
      <w:tcPr>
        <w:tcBorders>
          <w:top w:val="nil"/>
          <w:left w:val="nil"/>
          <w:bottom w:val="single" w:color="92CCDC" w:sz="4" w:space="0"/>
          <w:right w:val="nil"/>
        </w:tcBorders>
        <w:shd w:val="clear" w:color="FFFFFF" w:fill="FFFFFF"/>
      </w:tcPr>
    </w:tblStylePr>
    <w:tblStylePr w:type="lastRow">
      <w:rPr>
        <w:rFonts w:ascii="Arial" w:hAnsi="Arial"/>
        <w:i/>
        <w:color w:val="92CCDC"/>
        <w:sz w:val="22"/>
      </w:rPr>
      <w:tcPr>
        <w:tcBorders>
          <w:top w:val="single" w:color="92CCDC" w:sz="4" w:space="0"/>
          <w:left w:val="nil"/>
          <w:bottom w:val="nil"/>
          <w:right w:val="nil"/>
        </w:tcBorders>
        <w:shd w:val="clear" w:color="FFFFFF" w:fill="FFFFFF"/>
      </w:tcPr>
    </w:tblStylePr>
    <w:tblStylePr w:type="firstCol">
      <w:pPr>
        <w:jc w:val="right"/>
      </w:pPr>
      <w:rPr>
        <w:rFonts w:ascii="Arial" w:hAnsi="Arial"/>
        <w:i/>
        <w:color w:val="92CCDC"/>
        <w:sz w:val="22"/>
      </w:rPr>
      <w:tcPr>
        <w:tcBorders>
          <w:top w:val="nil"/>
          <w:left w:val="nil"/>
          <w:bottom w:val="nil"/>
          <w:right w:val="single" w:color="92CCDC" w:sz="4" w:space="0"/>
        </w:tcBorders>
        <w:shd w:val="clear" w:color="FFFFFF" w:fill="auto"/>
      </w:tcPr>
    </w:tblStylePr>
    <w:tblStylePr w:type="lastCol">
      <w:rPr>
        <w:rFonts w:ascii="Arial" w:hAnsi="Arial"/>
        <w:i/>
        <w:color w:val="92CCDC"/>
        <w:sz w:val="22"/>
      </w:rPr>
      <w:tcPr>
        <w:tcBorders>
          <w:top w:val="nil"/>
          <w:left w:val="single" w:color="92CCDC" w:sz="4" w:space="0"/>
          <w:bottom w:val="nil"/>
          <w:right w:val="nil"/>
        </w:tcBorders>
        <w:shd w:val="clear" w:color="FFFFFF" w:fill="auto"/>
      </w:tcPr>
    </w:tblStylePr>
    <w:tblStylePr w:type="band1Vert">
      <w:tcPr>
        <w:shd w:val="clear" w:color="D1EAF0" w:fill="D1EAF0"/>
      </w:tcPr>
    </w:tblStylePr>
    <w:tblStylePr w:type="band1Horz">
      <w:rPr>
        <w:rFonts w:ascii="Arial" w:hAnsi="Arial"/>
        <w:color w:val="92CCDC"/>
        <w:sz w:val="22"/>
      </w:rPr>
      <w:tcPr>
        <w:shd w:val="clear" w:color="D1EAF0" w:fill="D1EAF0"/>
      </w:tcPr>
    </w:tblStylePr>
    <w:tblStylePr w:type="band2Horz">
      <w:rPr>
        <w:rFonts w:ascii="Arial" w:hAnsi="Arial"/>
        <w:color w:val="92CCDC"/>
        <w:sz w:val="22"/>
      </w:rPr>
    </w:tblStylePr>
  </w:style>
  <w:style w:type="table" w:customStyle="1" w:styleId="1071">
    <w:name w:val="List Table 7 Colorful - Accent 63"/>
    <w:basedOn w:val="13"/>
    <w:uiPriority w:val="99"/>
    <w:rPr>
      <w:sz w:val="22"/>
      <w:szCs w:val="22"/>
      <w:lang w:eastAsia="en-US"/>
    </w:rPr>
    <w:tblPr>
      <w:tblBorders>
        <w:right w:val="single" w:color="FAC090" w:sz="4" w:space="0"/>
      </w:tblBorders>
      <w:tblCellMar>
        <w:top w:w="0" w:type="dxa"/>
        <w:left w:w="108" w:type="dxa"/>
        <w:bottom w:w="0" w:type="dxa"/>
        <w:right w:w="108" w:type="dxa"/>
      </w:tblCellMar>
    </w:tblPr>
    <w:tblStylePr w:type="firstRow">
      <w:rPr>
        <w:rFonts w:ascii="Arial" w:hAnsi="Arial"/>
        <w:i/>
        <w:color w:val="FAC090"/>
        <w:sz w:val="22"/>
      </w:rPr>
      <w:tcPr>
        <w:tcBorders>
          <w:top w:val="nil"/>
          <w:left w:val="nil"/>
          <w:bottom w:val="single" w:color="FAC090" w:sz="4" w:space="0"/>
          <w:right w:val="nil"/>
        </w:tcBorders>
        <w:shd w:val="clear" w:color="FFFFFF" w:fill="FFFFFF"/>
      </w:tcPr>
    </w:tblStylePr>
    <w:tblStylePr w:type="lastRow">
      <w:rPr>
        <w:rFonts w:ascii="Arial" w:hAnsi="Arial"/>
        <w:i/>
        <w:color w:val="FAC090"/>
        <w:sz w:val="22"/>
      </w:rPr>
      <w:tcPr>
        <w:tcBorders>
          <w:top w:val="single" w:color="FAC090" w:sz="4" w:space="0"/>
          <w:left w:val="nil"/>
          <w:bottom w:val="nil"/>
          <w:right w:val="nil"/>
        </w:tcBorders>
        <w:shd w:val="clear" w:color="FFFFFF" w:fill="FFFFFF"/>
      </w:tcPr>
    </w:tblStylePr>
    <w:tblStylePr w:type="firstCol">
      <w:pPr>
        <w:jc w:val="right"/>
      </w:pPr>
      <w:rPr>
        <w:rFonts w:ascii="Arial" w:hAnsi="Arial"/>
        <w:i/>
        <w:color w:val="FAC090"/>
        <w:sz w:val="22"/>
      </w:rPr>
      <w:tcPr>
        <w:tcBorders>
          <w:top w:val="nil"/>
          <w:left w:val="nil"/>
          <w:bottom w:val="nil"/>
          <w:right w:val="single" w:color="FAC090" w:sz="4" w:space="0"/>
        </w:tcBorders>
        <w:shd w:val="clear" w:color="FFFFFF" w:fill="auto"/>
      </w:tcPr>
    </w:tblStylePr>
    <w:tblStylePr w:type="lastCol">
      <w:rPr>
        <w:rFonts w:ascii="Arial" w:hAnsi="Arial"/>
        <w:i/>
        <w:color w:val="FAC090"/>
        <w:sz w:val="22"/>
      </w:rPr>
      <w:tcPr>
        <w:tcBorders>
          <w:top w:val="nil"/>
          <w:left w:val="single" w:color="FAC090" w:sz="4" w:space="0"/>
          <w:bottom w:val="nil"/>
          <w:right w:val="nil"/>
        </w:tcBorders>
        <w:shd w:val="clear" w:color="FFFFFF" w:fill="auto"/>
      </w:tcPr>
    </w:tblStylePr>
    <w:tblStylePr w:type="band1Vert">
      <w:tcPr>
        <w:shd w:val="clear" w:color="FDE4D0" w:fill="FDE4D0"/>
      </w:tcPr>
    </w:tblStylePr>
    <w:tblStylePr w:type="band1Horz">
      <w:rPr>
        <w:rFonts w:ascii="Arial" w:hAnsi="Arial"/>
        <w:color w:val="FAC090"/>
        <w:sz w:val="22"/>
      </w:rPr>
      <w:tcPr>
        <w:shd w:val="clear" w:color="FDE4D0" w:fill="FDE4D0"/>
      </w:tcPr>
    </w:tblStylePr>
    <w:tblStylePr w:type="band2Horz">
      <w:rPr>
        <w:rFonts w:ascii="Arial" w:hAnsi="Arial"/>
        <w:color w:val="FAC090"/>
        <w:sz w:val="22"/>
      </w:rPr>
    </w:tblStylePr>
  </w:style>
  <w:style w:type="table" w:customStyle="1" w:styleId="1072">
    <w:name w:val="Lined - Accent3"/>
    <w:basedOn w:val="13"/>
    <w:uiPriority w:val="99"/>
    <w:rPr>
      <w:color w:val="404040"/>
    </w:rPr>
    <w:tblPr>
      <w:tblCellMar>
        <w:top w:w="0" w:type="dxa"/>
        <w:left w:w="108" w:type="dxa"/>
        <w:bottom w:w="0" w:type="dxa"/>
        <w:right w:w="108" w:type="dxa"/>
      </w:tblCellMar>
    </w:tblPr>
    <w:tblStylePr w:type="firstRow">
      <w:rPr>
        <w:rFonts w:ascii="Arial" w:hAnsi="Arial"/>
        <w:color w:val="F2F2F2"/>
        <w:sz w:val="22"/>
      </w:rPr>
      <w:tcPr>
        <w:shd w:val="clear" w:color="7F7F7F" w:fill="7F7F7F"/>
      </w:tcPr>
    </w:tblStylePr>
    <w:tblStylePr w:type="lastRow">
      <w:rPr>
        <w:rFonts w:ascii="Arial" w:hAnsi="Arial"/>
        <w:color w:val="F2F2F2"/>
        <w:sz w:val="22"/>
      </w:rPr>
      <w:tcPr>
        <w:shd w:val="clear" w:color="7F7F7F" w:fill="7F7F7F"/>
      </w:tcPr>
    </w:tblStylePr>
    <w:tblStylePr w:type="firstCol">
      <w:rPr>
        <w:rFonts w:ascii="Arial" w:hAnsi="Arial"/>
        <w:color w:val="F2F2F2"/>
        <w:sz w:val="22"/>
      </w:rPr>
      <w:tcPr>
        <w:shd w:val="clear" w:color="7F7F7F" w:fill="7F7F7F"/>
      </w:tcPr>
    </w:tblStylePr>
    <w:tblStylePr w:type="lastCol">
      <w:rPr>
        <w:rFonts w:ascii="Arial" w:hAnsi="Arial"/>
        <w:color w:val="F2F2F2"/>
        <w:sz w:val="22"/>
      </w:rPr>
      <w:tcPr>
        <w:shd w:val="clear" w:color="7F7F7F" w:fill="7F7F7F"/>
      </w:tcPr>
    </w:tblStylePr>
    <w:tblStylePr w:type="band1Vert">
      <w:rPr>
        <w:rFonts w:ascii="Arial" w:hAnsi="Arial"/>
        <w:color w:val="404040"/>
        <w:sz w:val="22"/>
      </w:rPr>
    </w:tblStylePr>
    <w:tblStylePr w:type="band2Vert">
      <w:rPr>
        <w:rFonts w:ascii="Arial" w:hAnsi="Arial"/>
        <w:color w:val="404040"/>
        <w:sz w:val="22"/>
      </w:rPr>
      <w:tcPr>
        <w:shd w:val="clear" w:color="F2F2F2" w:fill="F2F2F2"/>
      </w:tcPr>
    </w:tblStylePr>
    <w:tblStylePr w:type="band1Horz">
      <w:rPr>
        <w:rFonts w:ascii="Arial" w:hAnsi="Arial"/>
        <w:color w:val="404040"/>
        <w:sz w:val="22"/>
      </w:rPr>
    </w:tblStylePr>
    <w:tblStylePr w:type="band2Horz">
      <w:rPr>
        <w:rFonts w:ascii="Arial" w:hAnsi="Arial"/>
        <w:color w:val="404040"/>
        <w:sz w:val="22"/>
      </w:rPr>
      <w:tcPr>
        <w:shd w:val="clear" w:color="F2F2F2" w:fill="F2F2F2"/>
      </w:tcPr>
    </w:tblStylePr>
  </w:style>
  <w:style w:type="table" w:customStyle="1" w:styleId="1073">
    <w:name w:val="Lined - Accent 13"/>
    <w:basedOn w:val="13"/>
    <w:uiPriority w:val="99"/>
    <w:rPr>
      <w:color w:val="404040"/>
    </w:rPr>
    <w:tblPr>
      <w:tblCellMar>
        <w:top w:w="0" w:type="dxa"/>
        <w:left w:w="108" w:type="dxa"/>
        <w:bottom w:w="0" w:type="dxa"/>
        <w:right w:w="108" w:type="dxa"/>
      </w:tblCellMar>
    </w:tblPr>
    <w:tblStylePr w:type="firstRow">
      <w:rPr>
        <w:rFonts w:ascii="Arial" w:hAnsi="Arial"/>
        <w:color w:val="F2F2F2"/>
        <w:sz w:val="22"/>
      </w:rPr>
      <w:tcPr>
        <w:shd w:val="clear" w:color="5D8AC2" w:fill="5D8AC2"/>
      </w:tcPr>
    </w:tblStylePr>
    <w:tblStylePr w:type="lastRow">
      <w:rPr>
        <w:rFonts w:ascii="Arial" w:hAnsi="Arial"/>
        <w:color w:val="F2F2F2"/>
        <w:sz w:val="22"/>
      </w:rPr>
      <w:tcPr>
        <w:shd w:val="clear" w:color="5D8AC2" w:fill="5D8AC2"/>
      </w:tcPr>
    </w:tblStylePr>
    <w:tblStylePr w:type="firstCol">
      <w:rPr>
        <w:rFonts w:ascii="Arial" w:hAnsi="Arial"/>
        <w:color w:val="F2F2F2"/>
        <w:sz w:val="22"/>
      </w:rPr>
      <w:tcPr>
        <w:shd w:val="clear" w:color="5D8AC2" w:fill="5D8AC2"/>
      </w:tcPr>
    </w:tblStylePr>
    <w:tblStylePr w:type="lastCol">
      <w:rPr>
        <w:rFonts w:ascii="Arial" w:hAnsi="Arial"/>
        <w:color w:val="F2F2F2"/>
        <w:sz w:val="22"/>
      </w:rPr>
      <w:tcPr>
        <w:shd w:val="clear" w:color="5D8AC2" w:fill="5D8AC2"/>
      </w:tcPr>
    </w:tblStylePr>
    <w:tblStylePr w:type="band1Vert">
      <w:rPr>
        <w:rFonts w:ascii="Arial" w:hAnsi="Arial"/>
        <w:color w:val="404040"/>
        <w:sz w:val="22"/>
      </w:rPr>
    </w:tblStylePr>
    <w:tblStylePr w:type="band2Vert">
      <w:rPr>
        <w:rFonts w:ascii="Arial" w:hAnsi="Arial"/>
        <w:color w:val="404040"/>
        <w:sz w:val="22"/>
      </w:rPr>
      <w:tcPr>
        <w:shd w:val="clear" w:color="C7D7EA" w:fill="C7D7EA"/>
      </w:tcPr>
    </w:tblStylePr>
    <w:tblStylePr w:type="band1Horz">
      <w:rPr>
        <w:rFonts w:ascii="Arial" w:hAnsi="Arial"/>
        <w:color w:val="404040"/>
        <w:sz w:val="22"/>
      </w:rPr>
    </w:tblStylePr>
    <w:tblStylePr w:type="band2Horz">
      <w:rPr>
        <w:rFonts w:ascii="Arial" w:hAnsi="Arial"/>
        <w:color w:val="404040"/>
        <w:sz w:val="22"/>
      </w:rPr>
      <w:tcPr>
        <w:shd w:val="clear" w:color="C7D7EA" w:fill="C7D7EA"/>
      </w:tcPr>
    </w:tblStylePr>
  </w:style>
  <w:style w:type="table" w:customStyle="1" w:styleId="1074">
    <w:name w:val="Lined - Accent 23"/>
    <w:basedOn w:val="13"/>
    <w:uiPriority w:val="99"/>
    <w:rPr>
      <w:color w:val="404040"/>
    </w:rPr>
    <w:tblPr>
      <w:tblCellMar>
        <w:top w:w="0" w:type="dxa"/>
        <w:left w:w="108" w:type="dxa"/>
        <w:bottom w:w="0" w:type="dxa"/>
        <w:right w:w="108" w:type="dxa"/>
      </w:tblCellMar>
    </w:tblPr>
    <w:tblStylePr w:type="firstRow">
      <w:rPr>
        <w:rFonts w:ascii="Arial" w:hAnsi="Arial"/>
        <w:color w:val="F2F2F2"/>
        <w:sz w:val="22"/>
      </w:rPr>
      <w:tcPr>
        <w:shd w:val="clear" w:color="D99695" w:fill="D99695"/>
      </w:tcPr>
    </w:tblStylePr>
    <w:tblStylePr w:type="lastRow">
      <w:rPr>
        <w:rFonts w:ascii="Arial" w:hAnsi="Arial"/>
        <w:color w:val="F2F2F2"/>
        <w:sz w:val="22"/>
      </w:rPr>
      <w:tcPr>
        <w:shd w:val="clear" w:color="D99695" w:fill="D99695"/>
      </w:tcPr>
    </w:tblStylePr>
    <w:tblStylePr w:type="firstCol">
      <w:rPr>
        <w:rFonts w:ascii="Arial" w:hAnsi="Arial"/>
        <w:color w:val="F2F2F2"/>
        <w:sz w:val="22"/>
      </w:rPr>
      <w:tcPr>
        <w:shd w:val="clear" w:color="D99695" w:fill="D99695"/>
      </w:tcPr>
    </w:tblStylePr>
    <w:tblStylePr w:type="lastCol">
      <w:rPr>
        <w:rFonts w:ascii="Arial" w:hAnsi="Arial"/>
        <w:color w:val="F2F2F2"/>
        <w:sz w:val="22"/>
      </w:rPr>
      <w:tcPr>
        <w:shd w:val="clear" w:color="D99695" w:fill="D99695"/>
      </w:tcPr>
    </w:tblStylePr>
    <w:tblStylePr w:type="band1Vert">
      <w:rPr>
        <w:rFonts w:ascii="Arial" w:hAnsi="Arial"/>
        <w:color w:val="404040"/>
        <w:sz w:val="22"/>
      </w:rPr>
    </w:tblStylePr>
    <w:tblStylePr w:type="band2Vert">
      <w:rPr>
        <w:rFonts w:ascii="Arial" w:hAnsi="Arial"/>
        <w:color w:val="404040"/>
        <w:sz w:val="22"/>
      </w:rPr>
      <w:tcPr>
        <w:shd w:val="clear" w:color="F2DCDC" w:fill="F2DCDC"/>
      </w:tcPr>
    </w:tblStylePr>
    <w:tblStylePr w:type="band1Horz">
      <w:rPr>
        <w:rFonts w:ascii="Arial" w:hAnsi="Arial"/>
        <w:color w:val="404040"/>
        <w:sz w:val="22"/>
      </w:rPr>
    </w:tblStylePr>
    <w:tblStylePr w:type="band2Horz">
      <w:rPr>
        <w:rFonts w:ascii="Arial" w:hAnsi="Arial"/>
        <w:color w:val="404040"/>
        <w:sz w:val="22"/>
      </w:rPr>
      <w:tcPr>
        <w:shd w:val="clear" w:color="F2DCDC" w:fill="F2DCDC"/>
      </w:tcPr>
    </w:tblStylePr>
  </w:style>
  <w:style w:type="table" w:customStyle="1" w:styleId="1075">
    <w:name w:val="Lined - Accent 33"/>
    <w:basedOn w:val="13"/>
    <w:uiPriority w:val="99"/>
    <w:rPr>
      <w:color w:val="404040"/>
    </w:rPr>
    <w:tblPr>
      <w:tblCellMar>
        <w:top w:w="0" w:type="dxa"/>
        <w:left w:w="108" w:type="dxa"/>
        <w:bottom w:w="0" w:type="dxa"/>
        <w:right w:w="108" w:type="dxa"/>
      </w:tblCellMar>
    </w:tblPr>
    <w:tblStylePr w:type="firstRow">
      <w:rPr>
        <w:rFonts w:ascii="Arial" w:hAnsi="Arial"/>
        <w:color w:val="F2F2F2"/>
        <w:sz w:val="22"/>
      </w:rPr>
      <w:tcPr>
        <w:shd w:val="clear" w:color="9ABB59" w:fill="9ABB59"/>
      </w:tcPr>
    </w:tblStylePr>
    <w:tblStylePr w:type="lastRow">
      <w:rPr>
        <w:rFonts w:ascii="Arial" w:hAnsi="Arial"/>
        <w:color w:val="F2F2F2"/>
        <w:sz w:val="22"/>
      </w:rPr>
      <w:tcPr>
        <w:shd w:val="clear" w:color="9ABB59" w:fill="9ABB59"/>
      </w:tcPr>
    </w:tblStylePr>
    <w:tblStylePr w:type="firstCol">
      <w:rPr>
        <w:rFonts w:ascii="Arial" w:hAnsi="Arial"/>
        <w:color w:val="F2F2F2"/>
        <w:sz w:val="22"/>
      </w:rPr>
      <w:tcPr>
        <w:shd w:val="clear" w:color="9ABB59" w:fill="9ABB59"/>
      </w:tcPr>
    </w:tblStylePr>
    <w:tblStylePr w:type="lastCol">
      <w:rPr>
        <w:rFonts w:ascii="Arial" w:hAnsi="Arial"/>
        <w:color w:val="F2F2F2"/>
        <w:sz w:val="22"/>
      </w:rPr>
      <w:tcPr>
        <w:shd w:val="clear" w:color="9ABB59" w:fill="9ABB59"/>
      </w:tcPr>
    </w:tblStylePr>
    <w:tblStylePr w:type="band1Vert">
      <w:rPr>
        <w:rFonts w:ascii="Arial" w:hAnsi="Arial"/>
        <w:color w:val="404040"/>
        <w:sz w:val="22"/>
      </w:rPr>
    </w:tblStylePr>
    <w:tblStylePr w:type="band2Vert">
      <w:rPr>
        <w:rFonts w:ascii="Arial" w:hAnsi="Arial"/>
        <w:color w:val="404040"/>
        <w:sz w:val="22"/>
      </w:rPr>
      <w:tcPr>
        <w:shd w:val="clear" w:color="EAF1DC" w:fill="EAF1DC"/>
      </w:tcPr>
    </w:tblStylePr>
    <w:tblStylePr w:type="band1Horz">
      <w:rPr>
        <w:rFonts w:ascii="Arial" w:hAnsi="Arial"/>
        <w:color w:val="404040"/>
        <w:sz w:val="22"/>
      </w:rPr>
    </w:tblStylePr>
    <w:tblStylePr w:type="band2Horz">
      <w:rPr>
        <w:rFonts w:ascii="Arial" w:hAnsi="Arial"/>
        <w:color w:val="404040"/>
        <w:sz w:val="22"/>
      </w:rPr>
      <w:tcPr>
        <w:shd w:val="clear" w:color="EAF1DC" w:fill="EAF1DC"/>
      </w:tcPr>
    </w:tblStylePr>
  </w:style>
  <w:style w:type="table" w:customStyle="1" w:styleId="1076">
    <w:name w:val="Lined - Accent 43"/>
    <w:basedOn w:val="13"/>
    <w:uiPriority w:val="99"/>
    <w:rPr>
      <w:color w:val="404040"/>
    </w:rPr>
    <w:tblPr>
      <w:tblCellMar>
        <w:top w:w="0" w:type="dxa"/>
        <w:left w:w="108" w:type="dxa"/>
        <w:bottom w:w="0" w:type="dxa"/>
        <w:right w:w="108" w:type="dxa"/>
      </w:tblCellMar>
    </w:tblPr>
    <w:tblStylePr w:type="firstRow">
      <w:rPr>
        <w:rFonts w:ascii="Arial" w:hAnsi="Arial"/>
        <w:color w:val="F2F2F2"/>
        <w:sz w:val="22"/>
      </w:rPr>
      <w:tcPr>
        <w:shd w:val="clear" w:color="B2A1C6" w:fill="B2A1C6"/>
      </w:tcPr>
    </w:tblStylePr>
    <w:tblStylePr w:type="lastRow">
      <w:rPr>
        <w:rFonts w:ascii="Arial" w:hAnsi="Arial"/>
        <w:color w:val="F2F2F2"/>
        <w:sz w:val="22"/>
      </w:rPr>
      <w:tcPr>
        <w:shd w:val="clear" w:color="B2A1C6" w:fill="B2A1C6"/>
      </w:tcPr>
    </w:tblStylePr>
    <w:tblStylePr w:type="firstCol">
      <w:rPr>
        <w:rFonts w:ascii="Arial" w:hAnsi="Arial"/>
        <w:color w:val="F2F2F2"/>
        <w:sz w:val="22"/>
      </w:rPr>
      <w:tcPr>
        <w:shd w:val="clear" w:color="B2A1C6" w:fill="B2A1C6"/>
      </w:tcPr>
    </w:tblStylePr>
    <w:tblStylePr w:type="lastCol">
      <w:rPr>
        <w:rFonts w:ascii="Arial" w:hAnsi="Arial"/>
        <w:color w:val="F2F2F2"/>
        <w:sz w:val="22"/>
      </w:rPr>
      <w:tcPr>
        <w:shd w:val="clear" w:color="B2A1C6" w:fill="B2A1C6"/>
      </w:tcPr>
    </w:tblStylePr>
    <w:tblStylePr w:type="band1Vert">
      <w:rPr>
        <w:rFonts w:ascii="Arial" w:hAnsi="Arial"/>
        <w:color w:val="404040"/>
        <w:sz w:val="22"/>
      </w:rPr>
    </w:tblStylePr>
    <w:tblStylePr w:type="band2Vert">
      <w:rPr>
        <w:rFonts w:ascii="Arial" w:hAnsi="Arial"/>
        <w:color w:val="404040"/>
        <w:sz w:val="22"/>
      </w:rPr>
      <w:tcPr>
        <w:shd w:val="clear" w:color="E5DFEC" w:fill="E5DFEC"/>
      </w:tcPr>
    </w:tblStylePr>
    <w:tblStylePr w:type="band1Horz">
      <w:rPr>
        <w:rFonts w:ascii="Arial" w:hAnsi="Arial"/>
        <w:color w:val="404040"/>
        <w:sz w:val="22"/>
      </w:rPr>
    </w:tblStylePr>
    <w:tblStylePr w:type="band2Horz">
      <w:rPr>
        <w:rFonts w:ascii="Arial" w:hAnsi="Arial"/>
        <w:color w:val="404040"/>
        <w:sz w:val="22"/>
      </w:rPr>
      <w:tcPr>
        <w:shd w:val="clear" w:color="E5DFEC" w:fill="E5DFEC"/>
      </w:tcPr>
    </w:tblStylePr>
  </w:style>
  <w:style w:type="table" w:customStyle="1" w:styleId="1077">
    <w:name w:val="Lined - Accent 53"/>
    <w:basedOn w:val="13"/>
    <w:uiPriority w:val="99"/>
    <w:rPr>
      <w:color w:val="404040"/>
    </w:rPr>
    <w:tblPr>
      <w:tblCellMar>
        <w:top w:w="0" w:type="dxa"/>
        <w:left w:w="108" w:type="dxa"/>
        <w:bottom w:w="0" w:type="dxa"/>
        <w:right w:w="108" w:type="dxa"/>
      </w:tblCellMar>
    </w:tblPr>
    <w:tblStylePr w:type="firstRow">
      <w:rPr>
        <w:rFonts w:ascii="Arial" w:hAnsi="Arial"/>
        <w:color w:val="F2F2F2"/>
        <w:sz w:val="22"/>
      </w:rPr>
      <w:tcPr>
        <w:shd w:val="clear" w:color="4BACC6" w:fill="4BACC6"/>
      </w:tcPr>
    </w:tblStylePr>
    <w:tblStylePr w:type="lastRow">
      <w:rPr>
        <w:rFonts w:ascii="Arial" w:hAnsi="Arial"/>
        <w:color w:val="F2F2F2"/>
        <w:sz w:val="22"/>
      </w:rPr>
      <w:tcPr>
        <w:shd w:val="clear" w:color="4BACC6" w:fill="4BACC6"/>
      </w:tcPr>
    </w:tblStylePr>
    <w:tblStylePr w:type="firstCol">
      <w:rPr>
        <w:rFonts w:ascii="Arial" w:hAnsi="Arial"/>
        <w:color w:val="F2F2F2"/>
        <w:sz w:val="22"/>
      </w:rPr>
      <w:tcPr>
        <w:shd w:val="clear" w:color="4BACC6" w:fill="4BACC6"/>
      </w:tcPr>
    </w:tblStylePr>
    <w:tblStylePr w:type="lastCol">
      <w:rPr>
        <w:rFonts w:ascii="Arial" w:hAnsi="Arial"/>
        <w:color w:val="F2F2F2"/>
        <w:sz w:val="22"/>
      </w:rPr>
      <w:tcPr>
        <w:shd w:val="clear" w:color="4BACC6" w:fill="4BACC6"/>
      </w:tcPr>
    </w:tblStylePr>
    <w:tblStylePr w:type="band1Vert">
      <w:rPr>
        <w:rFonts w:ascii="Arial" w:hAnsi="Arial"/>
        <w:color w:val="404040"/>
        <w:sz w:val="22"/>
      </w:rPr>
    </w:tblStylePr>
    <w:tblStylePr w:type="band2Vert">
      <w:rPr>
        <w:rFonts w:ascii="Arial" w:hAnsi="Arial"/>
        <w:color w:val="404040"/>
        <w:sz w:val="22"/>
      </w:rPr>
      <w:tcPr>
        <w:shd w:val="clear" w:color="DAEEF3" w:fill="DAEEF3"/>
      </w:tcPr>
    </w:tblStylePr>
    <w:tblStylePr w:type="band1Horz">
      <w:rPr>
        <w:rFonts w:ascii="Arial" w:hAnsi="Arial"/>
        <w:color w:val="404040"/>
        <w:sz w:val="22"/>
      </w:rPr>
    </w:tblStylePr>
    <w:tblStylePr w:type="band2Horz">
      <w:rPr>
        <w:rFonts w:ascii="Arial" w:hAnsi="Arial"/>
        <w:color w:val="404040"/>
        <w:sz w:val="22"/>
      </w:rPr>
      <w:tcPr>
        <w:shd w:val="clear" w:color="DAEEF3" w:fill="DAEEF3"/>
      </w:tcPr>
    </w:tblStylePr>
  </w:style>
  <w:style w:type="table" w:customStyle="1" w:styleId="1078">
    <w:name w:val="Lined - Accent 63"/>
    <w:basedOn w:val="13"/>
    <w:uiPriority w:val="99"/>
    <w:rPr>
      <w:color w:val="404040"/>
    </w:rPr>
    <w:tblPr>
      <w:tblCellMar>
        <w:top w:w="0" w:type="dxa"/>
        <w:left w:w="108" w:type="dxa"/>
        <w:bottom w:w="0" w:type="dxa"/>
        <w:right w:w="108" w:type="dxa"/>
      </w:tblCellMar>
    </w:tblPr>
    <w:tblStylePr w:type="firstRow">
      <w:rPr>
        <w:rFonts w:ascii="Arial" w:hAnsi="Arial"/>
        <w:color w:val="F2F2F2"/>
        <w:sz w:val="22"/>
      </w:rPr>
      <w:tcPr>
        <w:shd w:val="clear" w:color="F79646" w:fill="F79646"/>
      </w:tcPr>
    </w:tblStylePr>
    <w:tblStylePr w:type="lastRow">
      <w:rPr>
        <w:rFonts w:ascii="Arial" w:hAnsi="Arial"/>
        <w:color w:val="F2F2F2"/>
        <w:sz w:val="22"/>
      </w:rPr>
      <w:tcPr>
        <w:shd w:val="clear" w:color="F79646" w:fill="F79646"/>
      </w:tcPr>
    </w:tblStylePr>
    <w:tblStylePr w:type="firstCol">
      <w:rPr>
        <w:rFonts w:ascii="Arial" w:hAnsi="Arial"/>
        <w:color w:val="F2F2F2"/>
        <w:sz w:val="22"/>
      </w:rPr>
      <w:tcPr>
        <w:shd w:val="clear" w:color="F79646" w:fill="F79646"/>
      </w:tcPr>
    </w:tblStylePr>
    <w:tblStylePr w:type="lastCol">
      <w:rPr>
        <w:rFonts w:ascii="Arial" w:hAnsi="Arial"/>
        <w:color w:val="F2F2F2"/>
        <w:sz w:val="22"/>
      </w:rPr>
      <w:tcPr>
        <w:shd w:val="clear" w:color="F79646" w:fill="F79646"/>
      </w:tcPr>
    </w:tblStylePr>
    <w:tblStylePr w:type="band1Vert">
      <w:rPr>
        <w:rFonts w:ascii="Arial" w:hAnsi="Arial"/>
        <w:color w:val="404040"/>
        <w:sz w:val="22"/>
      </w:rPr>
    </w:tblStylePr>
    <w:tblStylePr w:type="band2Vert">
      <w:rPr>
        <w:rFonts w:ascii="Arial" w:hAnsi="Arial"/>
        <w:color w:val="404040"/>
        <w:sz w:val="22"/>
      </w:rPr>
      <w:tcPr>
        <w:shd w:val="clear" w:color="FDE9D8" w:fill="FDE9D8"/>
      </w:tcPr>
    </w:tblStylePr>
    <w:tblStylePr w:type="band1Horz">
      <w:rPr>
        <w:rFonts w:ascii="Arial" w:hAnsi="Arial"/>
        <w:color w:val="404040"/>
        <w:sz w:val="22"/>
      </w:rPr>
    </w:tblStylePr>
    <w:tblStylePr w:type="band2Horz">
      <w:rPr>
        <w:rFonts w:ascii="Arial" w:hAnsi="Arial"/>
        <w:color w:val="404040"/>
        <w:sz w:val="22"/>
      </w:rPr>
      <w:tcPr>
        <w:shd w:val="clear" w:color="FDE9D8" w:fill="FDE9D8"/>
      </w:tcPr>
    </w:tblStylePr>
  </w:style>
  <w:style w:type="table" w:customStyle="1" w:styleId="1079">
    <w:name w:val="Bordered &amp; Lined - Accent3"/>
    <w:basedOn w:val="13"/>
    <w:uiPriority w:val="99"/>
    <w:rPr>
      <w:color w:val="404040"/>
    </w:rPr>
    <w:tblPr>
      <w:tblBorders>
        <w:top w:val="single" w:color="595959" w:sz="4" w:space="0"/>
        <w:left w:val="single" w:color="595959" w:sz="4" w:space="0"/>
        <w:bottom w:val="single" w:color="595959" w:sz="4" w:space="0"/>
        <w:right w:val="single" w:color="595959" w:sz="4" w:space="0"/>
        <w:insideH w:val="single" w:color="595959" w:sz="4" w:space="0"/>
        <w:insideV w:val="single" w:color="595959" w:sz="4" w:space="0"/>
      </w:tblBorders>
      <w:tblCellMar>
        <w:top w:w="0" w:type="dxa"/>
        <w:left w:w="108" w:type="dxa"/>
        <w:bottom w:w="0" w:type="dxa"/>
        <w:right w:w="108" w:type="dxa"/>
      </w:tblCellMar>
    </w:tblPr>
    <w:tblStylePr w:type="firstRow">
      <w:rPr>
        <w:rFonts w:ascii="Arial" w:hAnsi="Arial"/>
        <w:color w:val="F2F2F2"/>
        <w:sz w:val="22"/>
      </w:rPr>
      <w:tcPr>
        <w:shd w:val="clear" w:color="7F7F7F" w:fill="7F7F7F"/>
      </w:tcPr>
    </w:tblStylePr>
    <w:tblStylePr w:type="lastRow">
      <w:rPr>
        <w:rFonts w:ascii="Arial" w:hAnsi="Arial"/>
        <w:color w:val="F2F2F2"/>
        <w:sz w:val="22"/>
      </w:rPr>
      <w:tcPr>
        <w:shd w:val="clear" w:color="7F7F7F" w:fill="7F7F7F"/>
      </w:tcPr>
    </w:tblStylePr>
    <w:tblStylePr w:type="firstCol">
      <w:rPr>
        <w:rFonts w:ascii="Arial" w:hAnsi="Arial"/>
        <w:color w:val="F2F2F2"/>
        <w:sz w:val="22"/>
      </w:rPr>
      <w:tcPr>
        <w:shd w:val="clear" w:color="7F7F7F" w:fill="7F7F7F"/>
      </w:tcPr>
    </w:tblStylePr>
    <w:tblStylePr w:type="lastCol">
      <w:rPr>
        <w:rFonts w:ascii="Arial" w:hAnsi="Arial"/>
        <w:color w:val="F2F2F2"/>
        <w:sz w:val="22"/>
      </w:rPr>
      <w:tcPr>
        <w:shd w:val="clear" w:color="7F7F7F" w:fill="7F7F7F"/>
      </w:tcPr>
    </w:tblStylePr>
    <w:tblStylePr w:type="band1Vert">
      <w:rPr>
        <w:rFonts w:ascii="Arial" w:hAnsi="Arial"/>
        <w:color w:val="404040"/>
        <w:sz w:val="22"/>
      </w:rPr>
    </w:tblStylePr>
    <w:tblStylePr w:type="band2Vert">
      <w:rPr>
        <w:rFonts w:ascii="Arial" w:hAnsi="Arial"/>
        <w:color w:val="404040"/>
        <w:sz w:val="22"/>
      </w:rPr>
      <w:tcPr>
        <w:shd w:val="clear" w:color="F2F2F2" w:fill="F2F2F2"/>
      </w:tcPr>
    </w:tblStylePr>
    <w:tblStylePr w:type="band1Horz">
      <w:rPr>
        <w:rFonts w:ascii="Arial" w:hAnsi="Arial"/>
        <w:color w:val="404040"/>
        <w:sz w:val="22"/>
      </w:rPr>
    </w:tblStylePr>
    <w:tblStylePr w:type="band2Horz">
      <w:rPr>
        <w:rFonts w:ascii="Arial" w:hAnsi="Arial"/>
        <w:color w:val="404040"/>
        <w:sz w:val="22"/>
      </w:rPr>
      <w:tcPr>
        <w:shd w:val="clear" w:color="F2F2F2" w:fill="F2F2F2"/>
      </w:tcPr>
    </w:tblStylePr>
  </w:style>
  <w:style w:type="table" w:customStyle="1" w:styleId="1080">
    <w:name w:val="Bordered &amp; Lined - Accent 13"/>
    <w:basedOn w:val="13"/>
    <w:uiPriority w:val="99"/>
    <w:rPr>
      <w:color w:val="404040"/>
    </w:rPr>
    <w:tblPr>
      <w:tblBorders>
        <w:top w:val="single" w:color="2A4A71" w:sz="4" w:space="0"/>
        <w:left w:val="single" w:color="2A4A71" w:sz="4" w:space="0"/>
        <w:bottom w:val="single" w:color="2A4A71" w:sz="4" w:space="0"/>
        <w:right w:val="single" w:color="2A4A71" w:sz="4" w:space="0"/>
        <w:insideH w:val="single" w:color="2A4A71" w:sz="4" w:space="0"/>
        <w:insideV w:val="single" w:color="2A4A71" w:sz="4" w:space="0"/>
      </w:tblBorders>
      <w:tblCellMar>
        <w:top w:w="0" w:type="dxa"/>
        <w:left w:w="108" w:type="dxa"/>
        <w:bottom w:w="0" w:type="dxa"/>
        <w:right w:w="108" w:type="dxa"/>
      </w:tblCellMar>
    </w:tblPr>
    <w:tblStylePr w:type="firstRow">
      <w:rPr>
        <w:rFonts w:ascii="Arial" w:hAnsi="Arial"/>
        <w:color w:val="F2F2F2"/>
        <w:sz w:val="22"/>
      </w:rPr>
      <w:tcPr>
        <w:shd w:val="clear" w:color="5D8AC2" w:fill="5D8AC2"/>
      </w:tcPr>
    </w:tblStylePr>
    <w:tblStylePr w:type="lastRow">
      <w:rPr>
        <w:rFonts w:ascii="Arial" w:hAnsi="Arial"/>
        <w:color w:val="F2F2F2"/>
        <w:sz w:val="22"/>
      </w:rPr>
      <w:tcPr>
        <w:shd w:val="clear" w:color="5D8AC2" w:fill="5D8AC2"/>
      </w:tcPr>
    </w:tblStylePr>
    <w:tblStylePr w:type="firstCol">
      <w:rPr>
        <w:rFonts w:ascii="Arial" w:hAnsi="Arial"/>
        <w:color w:val="F2F2F2"/>
        <w:sz w:val="22"/>
      </w:rPr>
      <w:tcPr>
        <w:shd w:val="clear" w:color="5D8AC2" w:fill="5D8AC2"/>
      </w:tcPr>
    </w:tblStylePr>
    <w:tblStylePr w:type="lastCol">
      <w:rPr>
        <w:rFonts w:ascii="Arial" w:hAnsi="Arial"/>
        <w:color w:val="F2F2F2"/>
        <w:sz w:val="22"/>
      </w:rPr>
      <w:tcPr>
        <w:shd w:val="clear" w:color="5D8AC2" w:fill="5D8AC2"/>
      </w:tcPr>
    </w:tblStylePr>
    <w:tblStylePr w:type="band1Vert">
      <w:rPr>
        <w:rFonts w:ascii="Arial" w:hAnsi="Arial"/>
        <w:color w:val="404040"/>
        <w:sz w:val="22"/>
      </w:rPr>
    </w:tblStylePr>
    <w:tblStylePr w:type="band2Vert">
      <w:rPr>
        <w:rFonts w:ascii="Arial" w:hAnsi="Arial"/>
        <w:color w:val="404040"/>
        <w:sz w:val="22"/>
      </w:rPr>
      <w:tcPr>
        <w:shd w:val="clear" w:color="C7D7EA" w:fill="C7D7EA"/>
      </w:tcPr>
    </w:tblStylePr>
    <w:tblStylePr w:type="band1Horz">
      <w:rPr>
        <w:rFonts w:ascii="Arial" w:hAnsi="Arial"/>
        <w:color w:val="404040"/>
        <w:sz w:val="22"/>
      </w:rPr>
    </w:tblStylePr>
    <w:tblStylePr w:type="band2Horz">
      <w:rPr>
        <w:rFonts w:ascii="Arial" w:hAnsi="Arial"/>
        <w:color w:val="404040"/>
        <w:sz w:val="22"/>
      </w:rPr>
      <w:tcPr>
        <w:shd w:val="clear" w:color="C7D7EA" w:fill="C7D7EA"/>
      </w:tcPr>
    </w:tblStylePr>
  </w:style>
  <w:style w:type="table" w:customStyle="1" w:styleId="1081">
    <w:name w:val="Bordered &amp; Lined - Accent 23"/>
    <w:basedOn w:val="13"/>
    <w:uiPriority w:val="99"/>
    <w:rPr>
      <w:color w:val="404040"/>
    </w:rPr>
    <w:tblPr>
      <w:tblBorders>
        <w:top w:val="single" w:color="732A29" w:sz="4" w:space="0"/>
        <w:left w:val="single" w:color="732A29" w:sz="4" w:space="0"/>
        <w:bottom w:val="single" w:color="732A29" w:sz="4" w:space="0"/>
        <w:right w:val="single" w:color="732A29" w:sz="4" w:space="0"/>
        <w:insideH w:val="single" w:color="732A29" w:sz="4" w:space="0"/>
        <w:insideV w:val="single" w:color="732A29" w:sz="4" w:space="0"/>
      </w:tblBorders>
      <w:tblCellMar>
        <w:top w:w="0" w:type="dxa"/>
        <w:left w:w="108" w:type="dxa"/>
        <w:bottom w:w="0" w:type="dxa"/>
        <w:right w:w="108" w:type="dxa"/>
      </w:tblCellMar>
    </w:tblPr>
    <w:tblStylePr w:type="firstRow">
      <w:rPr>
        <w:rFonts w:ascii="Arial" w:hAnsi="Arial"/>
        <w:color w:val="F2F2F2"/>
        <w:sz w:val="22"/>
      </w:rPr>
      <w:tcPr>
        <w:shd w:val="clear" w:color="D99695" w:fill="D99695"/>
      </w:tcPr>
    </w:tblStylePr>
    <w:tblStylePr w:type="lastRow">
      <w:rPr>
        <w:rFonts w:ascii="Arial" w:hAnsi="Arial"/>
        <w:color w:val="F2F2F2"/>
        <w:sz w:val="22"/>
      </w:rPr>
      <w:tcPr>
        <w:shd w:val="clear" w:color="D99695" w:fill="D99695"/>
      </w:tcPr>
    </w:tblStylePr>
    <w:tblStylePr w:type="firstCol">
      <w:rPr>
        <w:rFonts w:ascii="Arial" w:hAnsi="Arial"/>
        <w:color w:val="F2F2F2"/>
        <w:sz w:val="22"/>
      </w:rPr>
      <w:tcPr>
        <w:shd w:val="clear" w:color="D99695" w:fill="D99695"/>
      </w:tcPr>
    </w:tblStylePr>
    <w:tblStylePr w:type="lastCol">
      <w:rPr>
        <w:rFonts w:ascii="Arial" w:hAnsi="Arial"/>
        <w:color w:val="F2F2F2"/>
        <w:sz w:val="22"/>
      </w:rPr>
      <w:tcPr>
        <w:shd w:val="clear" w:color="D99695" w:fill="D99695"/>
      </w:tcPr>
    </w:tblStylePr>
    <w:tblStylePr w:type="band1Vert">
      <w:rPr>
        <w:rFonts w:ascii="Arial" w:hAnsi="Arial"/>
        <w:color w:val="404040"/>
        <w:sz w:val="22"/>
      </w:rPr>
    </w:tblStylePr>
    <w:tblStylePr w:type="band2Vert">
      <w:rPr>
        <w:rFonts w:ascii="Arial" w:hAnsi="Arial"/>
        <w:color w:val="404040"/>
        <w:sz w:val="22"/>
      </w:rPr>
      <w:tcPr>
        <w:shd w:val="clear" w:color="F2DCDC" w:fill="F2DCDC"/>
      </w:tcPr>
    </w:tblStylePr>
    <w:tblStylePr w:type="band1Horz">
      <w:rPr>
        <w:rFonts w:ascii="Arial" w:hAnsi="Arial"/>
        <w:color w:val="404040"/>
        <w:sz w:val="22"/>
      </w:rPr>
    </w:tblStylePr>
    <w:tblStylePr w:type="band2Horz">
      <w:rPr>
        <w:rFonts w:ascii="Arial" w:hAnsi="Arial"/>
        <w:color w:val="404040"/>
        <w:sz w:val="22"/>
      </w:rPr>
      <w:tcPr>
        <w:shd w:val="clear" w:color="F2DCDC" w:fill="F2DCDC"/>
      </w:tcPr>
    </w:tblStylePr>
  </w:style>
  <w:style w:type="table" w:customStyle="1" w:styleId="1082">
    <w:name w:val="Bordered &amp; Lined - Accent 33"/>
    <w:basedOn w:val="13"/>
    <w:uiPriority w:val="99"/>
    <w:rPr>
      <w:color w:val="404040"/>
    </w:rPr>
    <w:tblPr>
      <w:tblBorders>
        <w:top w:val="single" w:color="5B722E" w:sz="4" w:space="0"/>
        <w:left w:val="single" w:color="5B722E" w:sz="4" w:space="0"/>
        <w:bottom w:val="single" w:color="5B722E" w:sz="4" w:space="0"/>
        <w:right w:val="single" w:color="5B722E" w:sz="4" w:space="0"/>
        <w:insideH w:val="single" w:color="5B722E" w:sz="4" w:space="0"/>
        <w:insideV w:val="single" w:color="5B722E" w:sz="4" w:space="0"/>
      </w:tblBorders>
      <w:tblCellMar>
        <w:top w:w="0" w:type="dxa"/>
        <w:left w:w="108" w:type="dxa"/>
        <w:bottom w:w="0" w:type="dxa"/>
        <w:right w:w="108" w:type="dxa"/>
      </w:tblCellMar>
    </w:tblPr>
    <w:tblStylePr w:type="firstRow">
      <w:rPr>
        <w:rFonts w:ascii="Arial" w:hAnsi="Arial"/>
        <w:color w:val="F2F2F2"/>
        <w:sz w:val="22"/>
      </w:rPr>
      <w:tcPr>
        <w:shd w:val="clear" w:color="9ABB59" w:fill="9ABB59"/>
      </w:tcPr>
    </w:tblStylePr>
    <w:tblStylePr w:type="lastRow">
      <w:rPr>
        <w:rFonts w:ascii="Arial" w:hAnsi="Arial"/>
        <w:color w:val="F2F2F2"/>
        <w:sz w:val="22"/>
      </w:rPr>
      <w:tcPr>
        <w:shd w:val="clear" w:color="9ABB59" w:fill="9ABB59"/>
      </w:tcPr>
    </w:tblStylePr>
    <w:tblStylePr w:type="firstCol">
      <w:rPr>
        <w:rFonts w:ascii="Arial" w:hAnsi="Arial"/>
        <w:color w:val="F2F2F2"/>
        <w:sz w:val="22"/>
      </w:rPr>
      <w:tcPr>
        <w:shd w:val="clear" w:color="9ABB59" w:fill="9ABB59"/>
      </w:tcPr>
    </w:tblStylePr>
    <w:tblStylePr w:type="lastCol">
      <w:rPr>
        <w:rFonts w:ascii="Arial" w:hAnsi="Arial"/>
        <w:color w:val="F2F2F2"/>
        <w:sz w:val="22"/>
      </w:rPr>
      <w:tcPr>
        <w:shd w:val="clear" w:color="9ABB59" w:fill="9ABB59"/>
      </w:tcPr>
    </w:tblStylePr>
    <w:tblStylePr w:type="band1Vert">
      <w:rPr>
        <w:rFonts w:ascii="Arial" w:hAnsi="Arial"/>
        <w:color w:val="404040"/>
        <w:sz w:val="22"/>
      </w:rPr>
    </w:tblStylePr>
    <w:tblStylePr w:type="band2Vert">
      <w:rPr>
        <w:rFonts w:ascii="Arial" w:hAnsi="Arial"/>
        <w:color w:val="404040"/>
        <w:sz w:val="22"/>
      </w:rPr>
      <w:tcPr>
        <w:shd w:val="clear" w:color="EAF1DC" w:fill="EAF1DC"/>
      </w:tcPr>
    </w:tblStylePr>
    <w:tblStylePr w:type="band1Horz">
      <w:rPr>
        <w:rFonts w:ascii="Arial" w:hAnsi="Arial"/>
        <w:color w:val="404040"/>
        <w:sz w:val="22"/>
      </w:rPr>
    </w:tblStylePr>
    <w:tblStylePr w:type="band2Horz">
      <w:rPr>
        <w:rFonts w:ascii="Arial" w:hAnsi="Arial"/>
        <w:color w:val="404040"/>
        <w:sz w:val="22"/>
      </w:rPr>
      <w:tcPr>
        <w:shd w:val="clear" w:color="EAF1DC" w:fill="EAF1DC"/>
      </w:tcPr>
    </w:tblStylePr>
  </w:style>
  <w:style w:type="table" w:customStyle="1" w:styleId="1083">
    <w:name w:val="Bordered &amp; Lined - Accent 43"/>
    <w:basedOn w:val="13"/>
    <w:uiPriority w:val="99"/>
    <w:rPr>
      <w:color w:val="404040"/>
    </w:rPr>
    <w:tblPr>
      <w:tblBorders>
        <w:top w:val="single" w:color="4A395F" w:sz="4" w:space="0"/>
        <w:left w:val="single" w:color="4A395F" w:sz="4" w:space="0"/>
        <w:bottom w:val="single" w:color="4A395F" w:sz="4" w:space="0"/>
        <w:right w:val="single" w:color="4A395F" w:sz="4" w:space="0"/>
        <w:insideH w:val="single" w:color="4A395F" w:sz="4" w:space="0"/>
        <w:insideV w:val="single" w:color="4A395F" w:sz="4" w:space="0"/>
      </w:tblBorders>
      <w:tblCellMar>
        <w:top w:w="0" w:type="dxa"/>
        <w:left w:w="108" w:type="dxa"/>
        <w:bottom w:w="0" w:type="dxa"/>
        <w:right w:w="108" w:type="dxa"/>
      </w:tblCellMar>
    </w:tblPr>
    <w:tblStylePr w:type="firstRow">
      <w:rPr>
        <w:rFonts w:ascii="Arial" w:hAnsi="Arial"/>
        <w:color w:val="F2F2F2"/>
        <w:sz w:val="22"/>
      </w:rPr>
      <w:tcPr>
        <w:shd w:val="clear" w:color="B2A1C6" w:fill="B2A1C6"/>
      </w:tcPr>
    </w:tblStylePr>
    <w:tblStylePr w:type="lastRow">
      <w:rPr>
        <w:rFonts w:ascii="Arial" w:hAnsi="Arial"/>
        <w:color w:val="F2F2F2"/>
        <w:sz w:val="22"/>
      </w:rPr>
      <w:tcPr>
        <w:shd w:val="clear" w:color="B2A1C6" w:fill="B2A1C6"/>
      </w:tcPr>
    </w:tblStylePr>
    <w:tblStylePr w:type="firstCol">
      <w:rPr>
        <w:rFonts w:ascii="Arial" w:hAnsi="Arial"/>
        <w:color w:val="F2F2F2"/>
        <w:sz w:val="22"/>
      </w:rPr>
      <w:tcPr>
        <w:shd w:val="clear" w:color="B2A1C6" w:fill="B2A1C6"/>
      </w:tcPr>
    </w:tblStylePr>
    <w:tblStylePr w:type="lastCol">
      <w:rPr>
        <w:rFonts w:ascii="Arial" w:hAnsi="Arial"/>
        <w:color w:val="F2F2F2"/>
        <w:sz w:val="22"/>
      </w:rPr>
      <w:tcPr>
        <w:shd w:val="clear" w:color="B2A1C6" w:fill="B2A1C6"/>
      </w:tcPr>
    </w:tblStylePr>
    <w:tblStylePr w:type="band1Vert">
      <w:rPr>
        <w:rFonts w:ascii="Arial" w:hAnsi="Arial"/>
        <w:color w:val="404040"/>
        <w:sz w:val="22"/>
      </w:rPr>
    </w:tblStylePr>
    <w:tblStylePr w:type="band2Vert">
      <w:rPr>
        <w:rFonts w:ascii="Arial" w:hAnsi="Arial"/>
        <w:color w:val="404040"/>
        <w:sz w:val="22"/>
      </w:rPr>
      <w:tcPr>
        <w:shd w:val="clear" w:color="E5DFEC" w:fill="E5DFEC"/>
      </w:tcPr>
    </w:tblStylePr>
    <w:tblStylePr w:type="band1Horz">
      <w:rPr>
        <w:rFonts w:ascii="Arial" w:hAnsi="Arial"/>
        <w:color w:val="404040"/>
        <w:sz w:val="22"/>
      </w:rPr>
    </w:tblStylePr>
    <w:tblStylePr w:type="band2Horz">
      <w:rPr>
        <w:rFonts w:ascii="Arial" w:hAnsi="Arial"/>
        <w:color w:val="404040"/>
        <w:sz w:val="22"/>
      </w:rPr>
      <w:tcPr>
        <w:shd w:val="clear" w:color="E5DFEC" w:fill="E5DFEC"/>
      </w:tcPr>
    </w:tblStylePr>
  </w:style>
  <w:style w:type="table" w:customStyle="1" w:styleId="1084">
    <w:name w:val="Bordered &amp; Lined - Accent 53"/>
    <w:basedOn w:val="13"/>
    <w:uiPriority w:val="99"/>
    <w:rPr>
      <w:color w:val="404040"/>
    </w:rPr>
    <w:tblPr>
      <w:tblBorders>
        <w:top w:val="single" w:color="266779" w:sz="4" w:space="0"/>
        <w:left w:val="single" w:color="266779" w:sz="4" w:space="0"/>
        <w:bottom w:val="single" w:color="266779" w:sz="4" w:space="0"/>
        <w:right w:val="single" w:color="266779" w:sz="4" w:space="0"/>
        <w:insideH w:val="single" w:color="266779" w:sz="4" w:space="0"/>
        <w:insideV w:val="single" w:color="266779" w:sz="4" w:space="0"/>
      </w:tblBorders>
      <w:tblCellMar>
        <w:top w:w="0" w:type="dxa"/>
        <w:left w:w="108" w:type="dxa"/>
        <w:bottom w:w="0" w:type="dxa"/>
        <w:right w:w="108" w:type="dxa"/>
      </w:tblCellMar>
    </w:tblPr>
    <w:tblStylePr w:type="firstRow">
      <w:rPr>
        <w:rFonts w:ascii="Arial" w:hAnsi="Arial"/>
        <w:color w:val="F2F2F2"/>
        <w:sz w:val="22"/>
      </w:rPr>
      <w:tcPr>
        <w:shd w:val="clear" w:color="4BACC6" w:fill="4BACC6"/>
      </w:tcPr>
    </w:tblStylePr>
    <w:tblStylePr w:type="lastRow">
      <w:rPr>
        <w:rFonts w:ascii="Arial" w:hAnsi="Arial"/>
        <w:color w:val="F2F2F2"/>
        <w:sz w:val="22"/>
      </w:rPr>
      <w:tcPr>
        <w:shd w:val="clear" w:color="4BACC6" w:fill="4BACC6"/>
      </w:tcPr>
    </w:tblStylePr>
    <w:tblStylePr w:type="firstCol">
      <w:rPr>
        <w:rFonts w:ascii="Arial" w:hAnsi="Arial"/>
        <w:color w:val="F2F2F2"/>
        <w:sz w:val="22"/>
      </w:rPr>
      <w:tcPr>
        <w:shd w:val="clear" w:color="4BACC6" w:fill="4BACC6"/>
      </w:tcPr>
    </w:tblStylePr>
    <w:tblStylePr w:type="lastCol">
      <w:rPr>
        <w:rFonts w:ascii="Arial" w:hAnsi="Arial"/>
        <w:color w:val="F2F2F2"/>
        <w:sz w:val="22"/>
      </w:rPr>
      <w:tcPr>
        <w:shd w:val="clear" w:color="4BACC6" w:fill="4BACC6"/>
      </w:tcPr>
    </w:tblStylePr>
    <w:tblStylePr w:type="band1Vert">
      <w:rPr>
        <w:rFonts w:ascii="Arial" w:hAnsi="Arial"/>
        <w:color w:val="404040"/>
        <w:sz w:val="22"/>
      </w:rPr>
    </w:tblStylePr>
    <w:tblStylePr w:type="band2Vert">
      <w:rPr>
        <w:rFonts w:ascii="Arial" w:hAnsi="Arial"/>
        <w:color w:val="404040"/>
        <w:sz w:val="22"/>
      </w:rPr>
      <w:tcPr>
        <w:shd w:val="clear" w:color="DAEEF3" w:fill="DAEEF3"/>
      </w:tcPr>
    </w:tblStylePr>
    <w:tblStylePr w:type="band1Horz">
      <w:rPr>
        <w:rFonts w:ascii="Arial" w:hAnsi="Arial"/>
        <w:color w:val="404040"/>
        <w:sz w:val="22"/>
      </w:rPr>
    </w:tblStylePr>
    <w:tblStylePr w:type="band2Horz">
      <w:rPr>
        <w:rFonts w:ascii="Arial" w:hAnsi="Arial"/>
        <w:color w:val="404040"/>
        <w:sz w:val="22"/>
      </w:rPr>
      <w:tcPr>
        <w:shd w:val="clear" w:color="DAEEF3" w:fill="DAEEF3"/>
      </w:tcPr>
    </w:tblStylePr>
  </w:style>
  <w:style w:type="table" w:customStyle="1" w:styleId="1085">
    <w:name w:val="Bordered &amp; Lined - Accent 63"/>
    <w:basedOn w:val="13"/>
    <w:uiPriority w:val="99"/>
    <w:rPr>
      <w:color w:val="404040"/>
    </w:rPr>
    <w:tblPr>
      <w:tblBorders>
        <w:top w:val="single" w:color="B15407" w:sz="4" w:space="0"/>
        <w:left w:val="single" w:color="B15407" w:sz="4" w:space="0"/>
        <w:bottom w:val="single" w:color="B15407" w:sz="4" w:space="0"/>
        <w:right w:val="single" w:color="B15407" w:sz="4" w:space="0"/>
        <w:insideH w:val="single" w:color="B15407" w:sz="4" w:space="0"/>
        <w:insideV w:val="single" w:color="B15407" w:sz="4" w:space="0"/>
      </w:tblBorders>
      <w:tblCellMar>
        <w:top w:w="0" w:type="dxa"/>
        <w:left w:w="108" w:type="dxa"/>
        <w:bottom w:w="0" w:type="dxa"/>
        <w:right w:w="108" w:type="dxa"/>
      </w:tblCellMar>
    </w:tblPr>
    <w:tblStylePr w:type="firstRow">
      <w:rPr>
        <w:rFonts w:ascii="Arial" w:hAnsi="Arial"/>
        <w:color w:val="F2F2F2"/>
        <w:sz w:val="22"/>
      </w:rPr>
      <w:tcPr>
        <w:shd w:val="clear" w:color="F79646" w:fill="F79646"/>
      </w:tcPr>
    </w:tblStylePr>
    <w:tblStylePr w:type="lastRow">
      <w:rPr>
        <w:rFonts w:ascii="Arial" w:hAnsi="Arial"/>
        <w:color w:val="F2F2F2"/>
        <w:sz w:val="22"/>
      </w:rPr>
      <w:tcPr>
        <w:shd w:val="clear" w:color="F79646" w:fill="F79646"/>
      </w:tcPr>
    </w:tblStylePr>
    <w:tblStylePr w:type="firstCol">
      <w:rPr>
        <w:rFonts w:ascii="Arial" w:hAnsi="Arial"/>
        <w:color w:val="F2F2F2"/>
        <w:sz w:val="22"/>
      </w:rPr>
      <w:tcPr>
        <w:shd w:val="clear" w:color="F79646" w:fill="F79646"/>
      </w:tcPr>
    </w:tblStylePr>
    <w:tblStylePr w:type="lastCol">
      <w:rPr>
        <w:rFonts w:ascii="Arial" w:hAnsi="Arial"/>
        <w:color w:val="F2F2F2"/>
        <w:sz w:val="22"/>
      </w:rPr>
      <w:tcPr>
        <w:shd w:val="clear" w:color="F79646" w:fill="F79646"/>
      </w:tcPr>
    </w:tblStylePr>
    <w:tblStylePr w:type="band1Vert">
      <w:rPr>
        <w:rFonts w:ascii="Arial" w:hAnsi="Arial"/>
        <w:color w:val="404040"/>
        <w:sz w:val="22"/>
      </w:rPr>
    </w:tblStylePr>
    <w:tblStylePr w:type="band2Vert">
      <w:rPr>
        <w:rFonts w:ascii="Arial" w:hAnsi="Arial"/>
        <w:color w:val="404040"/>
        <w:sz w:val="22"/>
      </w:rPr>
      <w:tcPr>
        <w:shd w:val="clear" w:color="FDE9D8" w:fill="FDE9D8"/>
      </w:tcPr>
    </w:tblStylePr>
    <w:tblStylePr w:type="band1Horz">
      <w:rPr>
        <w:rFonts w:ascii="Arial" w:hAnsi="Arial"/>
        <w:color w:val="404040"/>
        <w:sz w:val="22"/>
      </w:rPr>
    </w:tblStylePr>
    <w:tblStylePr w:type="band2Horz">
      <w:rPr>
        <w:rFonts w:ascii="Arial" w:hAnsi="Arial"/>
        <w:color w:val="404040"/>
        <w:sz w:val="22"/>
      </w:rPr>
      <w:tcPr>
        <w:shd w:val="clear" w:color="FDE9D8" w:fill="FDE9D8"/>
      </w:tcPr>
    </w:tblStylePr>
  </w:style>
  <w:style w:type="table" w:customStyle="1" w:styleId="1086">
    <w:name w:val="Bordered3"/>
    <w:basedOn w:val="13"/>
    <w:uiPriority w:val="99"/>
    <w:rPr>
      <w:sz w:val="22"/>
      <w:szCs w:val="22"/>
      <w:lang w:eastAsia="en-US"/>
    </w:rPr>
    <w:tblPr>
      <w:tblBorders>
        <w:top w:val="single" w:color="D9D9D9" w:sz="4" w:space="0"/>
        <w:left w:val="single" w:color="D9D9D9" w:sz="4" w:space="0"/>
        <w:bottom w:val="single" w:color="D9D9D9" w:sz="4" w:space="0"/>
        <w:right w:val="single" w:color="D9D9D9" w:sz="4" w:space="0"/>
        <w:insideH w:val="single" w:color="D9D9D9" w:sz="4" w:space="0"/>
        <w:insideV w:val="single" w:color="D9D9D9" w:sz="4" w:space="0"/>
      </w:tblBorders>
      <w:tblCellMar>
        <w:top w:w="0" w:type="dxa"/>
        <w:left w:w="108" w:type="dxa"/>
        <w:bottom w:w="0" w:type="dxa"/>
        <w:right w:w="108" w:type="dxa"/>
      </w:tblCellMar>
    </w:tblPr>
    <w:tblStylePr w:type="firstRow">
      <w:rPr>
        <w:rFonts w:ascii="Arial" w:hAnsi="Arial"/>
        <w:color w:val="404040"/>
        <w:sz w:val="22"/>
      </w:rPr>
      <w:tcPr>
        <w:tcBorders>
          <w:bottom w:val="single" w:color="7F7F7F" w:sz="12" w:space="0"/>
        </w:tcBorders>
      </w:tcPr>
    </w:tblStylePr>
    <w:tblStylePr w:type="lastRow">
      <w:rPr>
        <w:rFonts w:ascii="Arial" w:hAnsi="Arial"/>
        <w:color w:val="404040"/>
        <w:sz w:val="22"/>
      </w:rPr>
      <w:tcPr>
        <w:tcBorders>
          <w:top w:val="single" w:color="7F7F7F"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7F7F7F" w:sz="12" w:space="0"/>
        </w:tcBorders>
      </w:tcPr>
    </w:tblStylePr>
    <w:tblStylePr w:type="band1Horz">
      <w:rPr>
        <w:rFonts w:ascii="Arial" w:hAnsi="Arial"/>
        <w:color w:val="404040"/>
        <w:sz w:val="22"/>
      </w:rPr>
      <w:tcPr>
        <w:tcBorders>
          <w:top w:val="single" w:color="D9D9D9" w:sz="4" w:space="0"/>
          <w:left w:val="single" w:color="D9D9D9" w:sz="4" w:space="0"/>
          <w:bottom w:val="single" w:color="D9D9D9" w:sz="4" w:space="0"/>
          <w:right w:val="single" w:color="D9D9D9" w:sz="4" w:space="0"/>
        </w:tcBorders>
      </w:tcPr>
    </w:tblStylePr>
  </w:style>
  <w:style w:type="table" w:customStyle="1" w:styleId="1087">
    <w:name w:val="Bordered - Accent 13"/>
    <w:basedOn w:val="13"/>
    <w:uiPriority w:val="99"/>
    <w:rPr>
      <w:sz w:val="22"/>
      <w:szCs w:val="22"/>
      <w:lang w:eastAsia="en-US"/>
    </w:rPr>
    <w:tblPr>
      <w:tblBorders>
        <w:top w:val="single" w:color="B7CBE4" w:sz="4" w:space="0"/>
        <w:left w:val="single" w:color="B7CBE4" w:sz="4" w:space="0"/>
        <w:bottom w:val="single" w:color="B7CBE4" w:sz="4" w:space="0"/>
        <w:right w:val="single" w:color="B7CBE4" w:sz="4" w:space="0"/>
        <w:insideH w:val="single" w:color="B7CBE4" w:sz="4" w:space="0"/>
        <w:insideV w:val="single" w:color="B7CBE4" w:sz="4" w:space="0"/>
      </w:tblBorders>
      <w:tblCellMar>
        <w:top w:w="0" w:type="dxa"/>
        <w:left w:w="108" w:type="dxa"/>
        <w:bottom w:w="0" w:type="dxa"/>
        <w:right w:w="108" w:type="dxa"/>
      </w:tblCellMar>
    </w:tblPr>
    <w:tblStylePr w:type="firstRow">
      <w:rPr>
        <w:rFonts w:ascii="Arial" w:hAnsi="Arial"/>
        <w:color w:val="404040"/>
        <w:sz w:val="22"/>
      </w:rPr>
      <w:tcPr>
        <w:tcBorders>
          <w:bottom w:val="single" w:color="4F81BD" w:sz="12" w:space="0"/>
        </w:tcBorders>
      </w:tcPr>
    </w:tblStylePr>
    <w:tblStylePr w:type="lastRow">
      <w:rPr>
        <w:rFonts w:ascii="Arial" w:hAnsi="Arial"/>
        <w:color w:val="404040"/>
        <w:sz w:val="22"/>
      </w:rPr>
      <w:tcPr>
        <w:tcBorders>
          <w:top w:val="single" w:color="4F81BD"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4F81BD" w:sz="12" w:space="0"/>
        </w:tcBorders>
      </w:tcPr>
    </w:tblStylePr>
    <w:tblStylePr w:type="band1Horz">
      <w:rPr>
        <w:rFonts w:ascii="Arial" w:hAnsi="Arial"/>
        <w:color w:val="404040"/>
        <w:sz w:val="22"/>
      </w:rPr>
      <w:tcPr>
        <w:tcBorders>
          <w:top w:val="single" w:color="B7CBE4" w:sz="4" w:space="0"/>
          <w:left w:val="single" w:color="B7CBE4" w:sz="4" w:space="0"/>
          <w:bottom w:val="single" w:color="B7CBE4" w:sz="4" w:space="0"/>
          <w:right w:val="single" w:color="B7CBE4" w:sz="4" w:space="0"/>
        </w:tcBorders>
      </w:tcPr>
    </w:tblStylePr>
  </w:style>
  <w:style w:type="table" w:customStyle="1" w:styleId="1088">
    <w:name w:val="Bordered - Accent 23"/>
    <w:basedOn w:val="13"/>
    <w:uiPriority w:val="99"/>
    <w:rPr>
      <w:sz w:val="22"/>
      <w:szCs w:val="22"/>
      <w:lang w:eastAsia="en-US"/>
    </w:rPr>
    <w:tblPr>
      <w:tblBorders>
        <w:top w:val="single" w:color="E5B7B6" w:sz="4" w:space="0"/>
        <w:left w:val="single" w:color="E5B7B6" w:sz="4" w:space="0"/>
        <w:bottom w:val="single" w:color="E5B7B6" w:sz="4" w:space="0"/>
        <w:right w:val="single" w:color="E5B7B6" w:sz="4" w:space="0"/>
        <w:insideH w:val="single" w:color="E5B7B6" w:sz="4" w:space="0"/>
        <w:insideV w:val="single" w:color="E5B7B6" w:sz="4" w:space="0"/>
      </w:tblBorders>
      <w:tblCellMar>
        <w:top w:w="0" w:type="dxa"/>
        <w:left w:w="108" w:type="dxa"/>
        <w:bottom w:w="0" w:type="dxa"/>
        <w:right w:w="108" w:type="dxa"/>
      </w:tblCellMar>
    </w:tblPr>
    <w:tblStylePr w:type="firstRow">
      <w:rPr>
        <w:rFonts w:ascii="Arial" w:hAnsi="Arial"/>
        <w:color w:val="404040"/>
        <w:sz w:val="22"/>
      </w:rPr>
      <w:tcPr>
        <w:tcBorders>
          <w:bottom w:val="single" w:color="D99695" w:sz="12" w:space="0"/>
        </w:tcBorders>
      </w:tcPr>
    </w:tblStylePr>
    <w:tblStylePr w:type="lastRow">
      <w:rPr>
        <w:rFonts w:ascii="Arial" w:hAnsi="Arial"/>
        <w:color w:val="404040"/>
        <w:sz w:val="22"/>
      </w:rPr>
      <w:tcPr>
        <w:tcBorders>
          <w:top w:val="single" w:color="D99695"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D99695" w:sz="12" w:space="0"/>
        </w:tcBorders>
      </w:tcPr>
    </w:tblStylePr>
    <w:tblStylePr w:type="band1Horz">
      <w:rPr>
        <w:rFonts w:ascii="Arial" w:hAnsi="Arial"/>
        <w:color w:val="404040"/>
        <w:sz w:val="22"/>
      </w:rPr>
      <w:tcPr>
        <w:tcBorders>
          <w:top w:val="single" w:color="E5B7B6" w:sz="4" w:space="0"/>
          <w:left w:val="single" w:color="E5B7B6" w:sz="4" w:space="0"/>
          <w:bottom w:val="single" w:color="E5B7B6" w:sz="4" w:space="0"/>
          <w:right w:val="single" w:color="E5B7B6" w:sz="4" w:space="0"/>
        </w:tcBorders>
      </w:tcPr>
    </w:tblStylePr>
  </w:style>
  <w:style w:type="table" w:customStyle="1" w:styleId="1089">
    <w:name w:val="Bordered - Accent 33"/>
    <w:basedOn w:val="13"/>
    <w:uiPriority w:val="99"/>
    <w:rPr>
      <w:sz w:val="22"/>
      <w:szCs w:val="22"/>
      <w:lang w:eastAsia="en-US"/>
    </w:rPr>
    <w:tblPr>
      <w:tblBorders>
        <w:top w:val="single" w:color="D6E3BB" w:sz="4" w:space="0"/>
        <w:left w:val="single" w:color="D6E3BB" w:sz="4" w:space="0"/>
        <w:bottom w:val="single" w:color="D6E3BB" w:sz="4" w:space="0"/>
        <w:right w:val="single" w:color="D6E3BB" w:sz="4" w:space="0"/>
        <w:insideH w:val="single" w:color="D6E3BB" w:sz="4" w:space="0"/>
        <w:insideV w:val="single" w:color="D6E3BB" w:sz="4" w:space="0"/>
      </w:tblBorders>
      <w:tblCellMar>
        <w:top w:w="0" w:type="dxa"/>
        <w:left w:w="108" w:type="dxa"/>
        <w:bottom w:w="0" w:type="dxa"/>
        <w:right w:w="108" w:type="dxa"/>
      </w:tblCellMar>
    </w:tblPr>
    <w:tblStylePr w:type="firstRow">
      <w:rPr>
        <w:rFonts w:ascii="Arial" w:hAnsi="Arial"/>
        <w:color w:val="404040"/>
        <w:sz w:val="22"/>
      </w:rPr>
      <w:tcPr>
        <w:tcBorders>
          <w:bottom w:val="single" w:color="C3D69B" w:sz="12" w:space="0"/>
        </w:tcBorders>
      </w:tcPr>
    </w:tblStylePr>
    <w:tblStylePr w:type="lastRow">
      <w:rPr>
        <w:rFonts w:ascii="Arial" w:hAnsi="Arial"/>
        <w:color w:val="404040"/>
        <w:sz w:val="22"/>
      </w:rPr>
      <w:tcPr>
        <w:tcBorders>
          <w:top w:val="single" w:color="C3D69B"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C3D69B" w:sz="12" w:space="0"/>
        </w:tcBorders>
      </w:tcPr>
    </w:tblStylePr>
    <w:tblStylePr w:type="band1Horz">
      <w:rPr>
        <w:rFonts w:ascii="Arial" w:hAnsi="Arial"/>
        <w:color w:val="404040"/>
        <w:sz w:val="22"/>
      </w:rPr>
      <w:tcPr>
        <w:tcBorders>
          <w:top w:val="single" w:color="D6E3BB" w:sz="4" w:space="0"/>
          <w:left w:val="single" w:color="D6E3BB" w:sz="4" w:space="0"/>
          <w:bottom w:val="single" w:color="D6E3BB" w:sz="4" w:space="0"/>
          <w:right w:val="single" w:color="D6E3BB" w:sz="4" w:space="0"/>
        </w:tcBorders>
      </w:tcPr>
    </w:tblStylePr>
  </w:style>
  <w:style w:type="table" w:customStyle="1" w:styleId="1090">
    <w:name w:val="Bordered - Accent 43"/>
    <w:basedOn w:val="13"/>
    <w:uiPriority w:val="99"/>
    <w:rPr>
      <w:sz w:val="22"/>
      <w:szCs w:val="22"/>
      <w:lang w:eastAsia="en-US"/>
    </w:rPr>
    <w:tblPr>
      <w:tblBorders>
        <w:top w:val="single" w:color="CBC0D9" w:sz="4" w:space="0"/>
        <w:left w:val="single" w:color="CBC0D9" w:sz="4" w:space="0"/>
        <w:bottom w:val="single" w:color="CBC0D9" w:sz="4" w:space="0"/>
        <w:right w:val="single" w:color="CBC0D9" w:sz="4" w:space="0"/>
        <w:insideH w:val="single" w:color="CBC0D9" w:sz="4" w:space="0"/>
        <w:insideV w:val="single" w:color="CBC0D9" w:sz="4" w:space="0"/>
      </w:tblBorders>
      <w:tblCellMar>
        <w:top w:w="0" w:type="dxa"/>
        <w:left w:w="108" w:type="dxa"/>
        <w:bottom w:w="0" w:type="dxa"/>
        <w:right w:w="108" w:type="dxa"/>
      </w:tblCellMar>
    </w:tblPr>
    <w:tblStylePr w:type="firstRow">
      <w:rPr>
        <w:rFonts w:ascii="Arial" w:hAnsi="Arial"/>
        <w:color w:val="404040"/>
        <w:sz w:val="22"/>
      </w:rPr>
      <w:tcPr>
        <w:tcBorders>
          <w:bottom w:val="single" w:color="B2A1C6" w:sz="12" w:space="0"/>
        </w:tcBorders>
      </w:tcPr>
    </w:tblStylePr>
    <w:tblStylePr w:type="lastRow">
      <w:rPr>
        <w:rFonts w:ascii="Arial" w:hAnsi="Arial"/>
        <w:color w:val="404040"/>
        <w:sz w:val="22"/>
      </w:rPr>
      <w:tcPr>
        <w:tcBorders>
          <w:top w:val="single" w:color="B2A1C6"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B2A1C6" w:sz="12" w:space="0"/>
        </w:tcBorders>
      </w:tcPr>
    </w:tblStylePr>
    <w:tblStylePr w:type="band1Horz">
      <w:rPr>
        <w:rFonts w:ascii="Arial" w:hAnsi="Arial"/>
        <w:color w:val="404040"/>
        <w:sz w:val="22"/>
      </w:rPr>
      <w:tcPr>
        <w:tcBorders>
          <w:top w:val="single" w:color="CBC0D9" w:sz="4" w:space="0"/>
          <w:left w:val="single" w:color="CBC0D9" w:sz="4" w:space="0"/>
          <w:bottom w:val="single" w:color="CBC0D9" w:sz="4" w:space="0"/>
          <w:right w:val="single" w:color="CBC0D9" w:sz="4" w:space="0"/>
        </w:tcBorders>
      </w:tcPr>
    </w:tblStylePr>
  </w:style>
  <w:style w:type="table" w:customStyle="1" w:styleId="1091">
    <w:name w:val="Bordered - Accent 53"/>
    <w:basedOn w:val="13"/>
    <w:uiPriority w:val="99"/>
    <w:rPr>
      <w:sz w:val="22"/>
      <w:szCs w:val="22"/>
      <w:lang w:eastAsia="en-US"/>
    </w:rPr>
    <w:tblPr>
      <w:tblBorders>
        <w:top w:val="single" w:color="B6DDE8" w:sz="4" w:space="0"/>
        <w:left w:val="single" w:color="B6DDE8" w:sz="4" w:space="0"/>
        <w:bottom w:val="single" w:color="B6DDE8" w:sz="4" w:space="0"/>
        <w:right w:val="single" w:color="B6DDE8" w:sz="4" w:space="0"/>
        <w:insideH w:val="single" w:color="B6DDE8" w:sz="4" w:space="0"/>
        <w:insideV w:val="single" w:color="B6DDE8" w:sz="4" w:space="0"/>
      </w:tblBorders>
      <w:tblCellMar>
        <w:top w:w="0" w:type="dxa"/>
        <w:left w:w="108" w:type="dxa"/>
        <w:bottom w:w="0" w:type="dxa"/>
        <w:right w:w="108" w:type="dxa"/>
      </w:tblCellMar>
    </w:tblPr>
    <w:tblStylePr w:type="firstRow">
      <w:rPr>
        <w:rFonts w:ascii="Arial" w:hAnsi="Arial"/>
        <w:color w:val="404040"/>
        <w:sz w:val="22"/>
      </w:rPr>
      <w:tcPr>
        <w:tcBorders>
          <w:bottom w:val="single" w:color="92CCDC" w:sz="12" w:space="0"/>
        </w:tcBorders>
      </w:tcPr>
    </w:tblStylePr>
    <w:tblStylePr w:type="lastRow">
      <w:rPr>
        <w:rFonts w:ascii="Arial" w:hAnsi="Arial"/>
        <w:color w:val="404040"/>
        <w:sz w:val="22"/>
      </w:rPr>
      <w:tcPr>
        <w:tcBorders>
          <w:top w:val="single" w:color="92CCDC"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92CCDC" w:sz="12" w:space="0"/>
        </w:tcBorders>
      </w:tcPr>
    </w:tblStylePr>
    <w:tblStylePr w:type="band1Horz">
      <w:rPr>
        <w:rFonts w:ascii="Arial" w:hAnsi="Arial"/>
        <w:color w:val="404040"/>
        <w:sz w:val="22"/>
      </w:rPr>
      <w:tcPr>
        <w:tcBorders>
          <w:top w:val="single" w:color="B6DDE8" w:sz="4" w:space="0"/>
          <w:left w:val="single" w:color="B6DDE8" w:sz="4" w:space="0"/>
          <w:bottom w:val="single" w:color="B6DDE8" w:sz="4" w:space="0"/>
          <w:right w:val="single" w:color="B6DDE8" w:sz="4" w:space="0"/>
        </w:tcBorders>
      </w:tcPr>
    </w:tblStylePr>
  </w:style>
  <w:style w:type="table" w:customStyle="1" w:styleId="1092">
    <w:name w:val="Bordered - Accent 63"/>
    <w:basedOn w:val="13"/>
    <w:uiPriority w:val="99"/>
    <w:rPr>
      <w:sz w:val="22"/>
      <w:szCs w:val="22"/>
      <w:lang w:eastAsia="en-US"/>
    </w:rPr>
    <w:tblPr>
      <w:tblBorders>
        <w:top w:val="single" w:color="FBD4B4" w:sz="4" w:space="0"/>
        <w:left w:val="single" w:color="FBD4B4" w:sz="4" w:space="0"/>
        <w:bottom w:val="single" w:color="FBD4B4" w:sz="4" w:space="0"/>
        <w:right w:val="single" w:color="FBD4B4" w:sz="4" w:space="0"/>
        <w:insideH w:val="single" w:color="FBD4B4" w:sz="4" w:space="0"/>
        <w:insideV w:val="single" w:color="FBD4B4" w:sz="4" w:space="0"/>
      </w:tblBorders>
      <w:tblCellMar>
        <w:top w:w="0" w:type="dxa"/>
        <w:left w:w="108" w:type="dxa"/>
        <w:bottom w:w="0" w:type="dxa"/>
        <w:right w:w="108" w:type="dxa"/>
      </w:tblCellMar>
    </w:tblPr>
    <w:tblStylePr w:type="firstRow">
      <w:rPr>
        <w:rFonts w:ascii="Arial" w:hAnsi="Arial"/>
        <w:color w:val="404040"/>
        <w:sz w:val="22"/>
      </w:rPr>
      <w:tcPr>
        <w:tcBorders>
          <w:bottom w:val="single" w:color="FAC090" w:sz="12" w:space="0"/>
        </w:tcBorders>
      </w:tcPr>
    </w:tblStylePr>
    <w:tblStylePr w:type="lastRow">
      <w:rPr>
        <w:rFonts w:ascii="Arial" w:hAnsi="Arial"/>
        <w:color w:val="404040"/>
        <w:sz w:val="22"/>
      </w:rPr>
      <w:tcPr>
        <w:tcBorders>
          <w:top w:val="single" w:color="FAC090"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FAC090" w:sz="12" w:space="0"/>
        </w:tcBorders>
      </w:tcPr>
    </w:tblStylePr>
    <w:tblStylePr w:type="band1Horz">
      <w:rPr>
        <w:rFonts w:ascii="Arial" w:hAnsi="Arial"/>
        <w:color w:val="404040"/>
        <w:sz w:val="22"/>
      </w:rPr>
      <w:tcPr>
        <w:tcBorders>
          <w:top w:val="single" w:color="FBD4B4" w:sz="4" w:space="0"/>
          <w:left w:val="single" w:color="FBD4B4" w:sz="4" w:space="0"/>
          <w:bottom w:val="single" w:color="FBD4B4" w:sz="4" w:space="0"/>
          <w:right w:val="single" w:color="FBD4B4" w:sz="4" w:space="0"/>
        </w:tcBorders>
      </w:tcPr>
    </w:tblStylePr>
  </w:style>
  <w:style w:type="paragraph" w:customStyle="1" w:styleId="1093">
    <w:name w:val="Text body"/>
    <w:basedOn w:val="1"/>
    <w:uiPriority w:val="0"/>
    <w:pPr>
      <w:suppressAutoHyphens/>
      <w:autoSpaceDN w:val="0"/>
      <w:spacing w:after="120" w:line="240" w:lineRule="auto"/>
    </w:pPr>
    <w:rPr>
      <w:rFonts w:ascii="Times New Roman" w:hAnsi="Times New Roman" w:eastAsia="Times New Roman"/>
      <w:kern w:val="3"/>
      <w:sz w:val="24"/>
      <w:szCs w:val="24"/>
      <w:lang w:val="de-DE" w:eastAsia="ja-JP"/>
    </w:rPr>
  </w:style>
  <w:style w:type="table" w:customStyle="1" w:styleId="1094">
    <w:name w:val="Сетка таблицы9"/>
    <w:basedOn w:val="13"/>
    <w:uiPriority w:val="59"/>
    <w:rPr>
      <w:sz w:val="22"/>
      <w:szCs w:val="22"/>
      <w:lang w:eastAsia="en-US"/>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
  </w:style>
  <w:style w:type="table" w:customStyle="1" w:styleId="1095">
    <w:name w:val="Table Grid Light4"/>
    <w:basedOn w:val="13"/>
    <w:uiPriority w:val="59"/>
    <w:rPr>
      <w:sz w:val="22"/>
      <w:szCs w:val="22"/>
      <w:lang w:eastAsia="en-US"/>
    </w:rPr>
    <w:tblPr>
      <w:tblBorders>
        <w:top w:val="single" w:color="AFAFAF" w:sz="4" w:space="0"/>
        <w:left w:val="single" w:color="AFAFAF" w:sz="4" w:space="0"/>
        <w:bottom w:val="single" w:color="AFAFAF" w:sz="4" w:space="0"/>
        <w:right w:val="single" w:color="AFAFAF" w:sz="4" w:space="0"/>
        <w:insideH w:val="single" w:color="AFAFAF" w:sz="4" w:space="0"/>
        <w:insideV w:val="single" w:color="AFAFAF" w:sz="4" w:space="0"/>
      </w:tblBorders>
      <w:tblCellMar>
        <w:top w:w="0" w:type="dxa"/>
        <w:left w:w="108" w:type="dxa"/>
        <w:bottom w:w="0" w:type="dxa"/>
        <w:right w:w="108" w:type="dxa"/>
      </w:tblCellMar>
    </w:tblPr>
  </w:style>
  <w:style w:type="table" w:customStyle="1" w:styleId="1096">
    <w:name w:val="Таблица простая 112"/>
    <w:basedOn w:val="13"/>
    <w:uiPriority w:val="59"/>
    <w:rPr>
      <w:sz w:val="22"/>
      <w:szCs w:val="22"/>
      <w:lang w:eastAsia="en-US"/>
    </w:rPr>
    <w:tblPr>
      <w:tblBorders>
        <w:top w:val="single" w:color="AFAFAF" w:sz="4" w:space="0"/>
        <w:left w:val="single" w:color="AFAFAF" w:sz="4" w:space="0"/>
        <w:bottom w:val="single" w:color="AFAFAF" w:sz="4" w:space="0"/>
        <w:right w:val="single" w:color="AFAFAF" w:sz="4" w:space="0"/>
        <w:insideH w:val="single" w:color="AFAFAF" w:sz="4" w:space="0"/>
        <w:insideV w:val="single" w:color="AFAFAF" w:sz="4" w:space="0"/>
      </w:tblBorders>
      <w:tblCellMar>
        <w:top w:w="0" w:type="dxa"/>
        <w:left w:w="108" w:type="dxa"/>
        <w:bottom w:w="0" w:type="dxa"/>
        <w:right w:w="108" w:type="dxa"/>
      </w:tblCellMar>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cPr>
        <w:shd w:val="clear" w:color="F2F2F2" w:fill="F2F2F2"/>
      </w:tcPr>
    </w:tblStylePr>
    <w:tblStylePr w:type="band1Horz">
      <w:tcPr>
        <w:shd w:val="clear" w:color="F2F2F2" w:fill="F2F2F2"/>
      </w:tcPr>
    </w:tblStylePr>
  </w:style>
  <w:style w:type="table" w:customStyle="1" w:styleId="1097">
    <w:name w:val="Таблица простая 212"/>
    <w:basedOn w:val="13"/>
    <w:uiPriority w:val="59"/>
    <w:rPr>
      <w:sz w:val="22"/>
      <w:szCs w:val="22"/>
      <w:lang w:eastAsia="en-US"/>
    </w:rPr>
    <w:tblPr>
      <w:tblBorders>
        <w:top w:val="single" w:color="000000" w:sz="4" w:space="0"/>
        <w:left w:val="none" w:color="000000" w:sz="4" w:space="0"/>
        <w:bottom w:val="single" w:color="000000" w:sz="4" w:space="0"/>
        <w:right w:val="none" w:color="000000" w:sz="4" w:space="0"/>
      </w:tblBorders>
      <w:tblCellMar>
        <w:top w:w="0" w:type="dxa"/>
        <w:left w:w="108" w:type="dxa"/>
        <w:bottom w:w="0" w:type="dxa"/>
        <w:right w:w="108" w:type="dxa"/>
      </w:tblCellMar>
    </w:tblPr>
    <w:tblStylePr w:type="firstRow">
      <w:rPr>
        <w:rFonts w:ascii="Arial" w:hAnsi="Arial"/>
        <w:b/>
        <w:color w:val="404040"/>
        <w:sz w:val="22"/>
      </w:rPr>
      <w:tcPr>
        <w:tcBorders>
          <w:top w:val="single" w:color="000000" w:sz="4" w:space="0"/>
          <w:bottom w:val="single" w:color="000000" w:sz="4" w:space="0"/>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cPr>
        <w:tcBorders>
          <w:left w:val="single" w:color="000000" w:sz="4" w:space="0"/>
          <w:right w:val="single" w:color="000000" w:sz="4" w:space="0"/>
        </w:tcBorders>
      </w:tcPr>
    </w:tblStylePr>
    <w:tblStylePr w:type="band2Vert">
      <w:tcPr>
        <w:tcBorders>
          <w:left w:val="single" w:color="000000" w:sz="4" w:space="0"/>
          <w:right w:val="single" w:color="000000" w:sz="4" w:space="0"/>
        </w:tcBorders>
      </w:tcPr>
    </w:tblStylePr>
    <w:tblStylePr w:type="band1Horz">
      <w:tcPr>
        <w:tcBorders>
          <w:top w:val="single" w:color="000000" w:sz="4" w:space="0"/>
          <w:bottom w:val="single" w:color="000000" w:sz="4" w:space="0"/>
        </w:tcBorders>
      </w:tcPr>
    </w:tblStylePr>
  </w:style>
  <w:style w:type="table" w:customStyle="1" w:styleId="1098">
    <w:name w:val="Таблица простая 312"/>
    <w:basedOn w:val="13"/>
    <w:uiPriority w:val="99"/>
    <w:rPr>
      <w:sz w:val="22"/>
      <w:szCs w:val="22"/>
      <w:lang w:eastAsia="en-US"/>
    </w:rPr>
    <w:tblPr>
      <w:tblCellMar>
        <w:top w:w="0" w:type="dxa"/>
        <w:left w:w="108" w:type="dxa"/>
        <w:bottom w:w="0" w:type="dxa"/>
        <w:right w:w="108" w:type="dxa"/>
      </w:tblCellMar>
    </w:tblPr>
    <w:tblStylePr w:type="firstRow">
      <w:rPr>
        <w:b/>
        <w:caps/>
        <w:color w:val="404040"/>
      </w:rPr>
      <w:tcPr>
        <w:tcBorders>
          <w:top w:val="nil"/>
          <w:left w:val="nil"/>
          <w:bottom w:val="single" w:color="404040" w:sz="4" w:space="0"/>
          <w:right w:val="nil"/>
        </w:tcBorders>
      </w:tcPr>
    </w:tblStylePr>
    <w:tblStylePr w:type="lastRow">
      <w:rPr>
        <w:b/>
        <w:caps/>
        <w:color w:val="404040"/>
      </w:rPr>
    </w:tblStylePr>
    <w:tblStylePr w:type="firstCol">
      <w:rPr>
        <w:b/>
        <w:caps/>
        <w:color w:val="404040"/>
      </w:rPr>
      <w:tcPr>
        <w:tcBorders>
          <w:top w:val="nil"/>
          <w:left w:val="nil"/>
          <w:bottom w:val="nil"/>
          <w:right w:val="single" w:color="404040" w:sz="4" w:space="0"/>
        </w:tcBorders>
      </w:tcPr>
    </w:tblStylePr>
    <w:tblStylePr w:type="lastCol">
      <w:rPr>
        <w:b/>
        <w:caps/>
        <w:color w:val="404040"/>
      </w:rPr>
    </w:tblStylePr>
    <w:tblStylePr w:type="band1Vert">
      <w:rPr>
        <w:rFonts w:ascii="Arial" w:hAnsi="Arial"/>
        <w:color w:val="404040"/>
        <w:sz w:val="22"/>
      </w:rPr>
      <w:tcPr>
        <w:shd w:val="clear" w:color="F2F2F2" w:fill="F2F2F2"/>
      </w:tcPr>
    </w:tblStylePr>
    <w:tblStylePr w:type="band1Horz">
      <w:rPr>
        <w:rFonts w:ascii="Arial" w:hAnsi="Arial"/>
        <w:color w:val="404040"/>
        <w:sz w:val="22"/>
      </w:rPr>
      <w:tcPr>
        <w:shd w:val="clear" w:color="F2F2F2" w:fill="F2F2F2"/>
      </w:tcPr>
    </w:tblStylePr>
  </w:style>
  <w:style w:type="table" w:customStyle="1" w:styleId="1099">
    <w:name w:val="Таблица простая 412"/>
    <w:basedOn w:val="13"/>
    <w:uiPriority w:val="99"/>
    <w:rPr>
      <w:sz w:val="22"/>
      <w:szCs w:val="22"/>
      <w:lang w:eastAsia="en-US"/>
    </w:rPr>
    <w:tblPr>
      <w:tblCellMar>
        <w:top w:w="0" w:type="dxa"/>
        <w:left w:w="108" w:type="dxa"/>
        <w:bottom w:w="0" w:type="dxa"/>
        <w:right w:w="108" w:type="dxa"/>
      </w:tblCellMar>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F2F2F2" w:fill="F2F2F2"/>
      </w:tcPr>
    </w:tblStylePr>
    <w:tblStylePr w:type="band1Horz">
      <w:rPr>
        <w:rFonts w:ascii="Arial" w:hAnsi="Arial"/>
        <w:color w:val="404040"/>
        <w:sz w:val="22"/>
      </w:rPr>
      <w:tcPr>
        <w:shd w:val="clear" w:color="F2F2F2" w:fill="F2F2F2"/>
      </w:tcPr>
    </w:tblStylePr>
  </w:style>
  <w:style w:type="table" w:customStyle="1" w:styleId="1100">
    <w:name w:val="Таблица простая 512"/>
    <w:basedOn w:val="13"/>
    <w:uiPriority w:val="99"/>
    <w:rPr>
      <w:sz w:val="22"/>
      <w:szCs w:val="22"/>
      <w:lang w:eastAsia="en-US"/>
    </w:rPr>
    <w:tblPr>
      <w:tblCellMar>
        <w:top w:w="0" w:type="dxa"/>
        <w:left w:w="108" w:type="dxa"/>
        <w:bottom w:w="0" w:type="dxa"/>
        <w:right w:w="108" w:type="dxa"/>
      </w:tblCellMar>
    </w:tblPr>
    <w:tblStylePr w:type="firstRow">
      <w:rPr>
        <w:i/>
        <w:color w:val="404040"/>
      </w:rPr>
      <w:tcPr>
        <w:tcBorders>
          <w:left w:val="nil"/>
          <w:bottom w:val="single" w:color="404040" w:sz="4" w:space="0"/>
          <w:right w:val="nil"/>
        </w:tcBorders>
        <w:shd w:val="clear" w:color="FFFFFF" w:fill="auto"/>
      </w:tcPr>
    </w:tblStylePr>
    <w:tblStylePr w:type="lastRow">
      <w:rPr>
        <w:i/>
        <w:color w:val="404040"/>
      </w:rPr>
      <w:tcPr>
        <w:tcBorders>
          <w:top w:val="single" w:color="404040" w:sz="4" w:space="0"/>
          <w:left w:val="nil"/>
          <w:right w:val="nil"/>
        </w:tcBorders>
        <w:shd w:val="clear" w:color="FFFFFF" w:fill="auto"/>
      </w:tcPr>
    </w:tblStylePr>
    <w:tblStylePr w:type="firstCol">
      <w:pPr>
        <w:jc w:val="right"/>
      </w:pPr>
      <w:rPr>
        <w:i/>
        <w:color w:val="404040"/>
      </w:rPr>
      <w:tcPr>
        <w:tcBorders>
          <w:right w:val="single" w:color="404040" w:sz="4" w:space="0"/>
        </w:tcBorders>
        <w:shd w:val="clear" w:color="FFFFFF" w:fill="auto"/>
      </w:tcPr>
    </w:tblStylePr>
    <w:tblStylePr w:type="lastCol">
      <w:rPr>
        <w:i/>
        <w:color w:val="404040"/>
      </w:rPr>
      <w:tcPr>
        <w:tcBorders>
          <w:left w:val="single" w:color="404040" w:sz="4" w:space="0"/>
        </w:tcBorders>
        <w:shd w:val="clear" w:color="FFFFFF" w:fill="auto"/>
      </w:tcPr>
    </w:tblStylePr>
    <w:tblStylePr w:type="band1Vert">
      <w:rPr>
        <w:rFonts w:ascii="Arial" w:hAnsi="Arial"/>
        <w:color w:val="404040"/>
        <w:sz w:val="22"/>
      </w:rPr>
      <w:tcPr>
        <w:shd w:val="clear" w:color="F2F2F2" w:fill="F2F2F2"/>
      </w:tcPr>
    </w:tblStylePr>
    <w:tblStylePr w:type="band1Horz">
      <w:rPr>
        <w:rFonts w:ascii="Arial" w:hAnsi="Arial"/>
        <w:color w:val="404040"/>
        <w:sz w:val="22"/>
      </w:rPr>
      <w:tcPr>
        <w:shd w:val="clear" w:color="F2F2F2" w:fill="F2F2F2"/>
      </w:tcPr>
    </w:tblStylePr>
  </w:style>
  <w:style w:type="table" w:customStyle="1" w:styleId="1101">
    <w:name w:val="Таблица-сетка 1 светлая12"/>
    <w:basedOn w:val="13"/>
    <w:uiPriority w:val="99"/>
    <w:rPr>
      <w:sz w:val="22"/>
      <w:szCs w:val="22"/>
      <w:lang w:eastAsia="en-US"/>
    </w:rPr>
    <w:tblPr>
      <w:tblBorders>
        <w:top w:val="single" w:color="989898" w:sz="4" w:space="0"/>
        <w:left w:val="single" w:color="989898" w:sz="4" w:space="0"/>
        <w:bottom w:val="single" w:color="989898" w:sz="4" w:space="0"/>
        <w:right w:val="single" w:color="989898" w:sz="4" w:space="0"/>
        <w:insideH w:val="single" w:color="989898" w:sz="4" w:space="0"/>
        <w:insideV w:val="single" w:color="989898" w:sz="4" w:space="0"/>
      </w:tblBorders>
      <w:tblCellMar>
        <w:top w:w="0" w:type="dxa"/>
        <w:left w:w="108" w:type="dxa"/>
        <w:bottom w:w="0" w:type="dxa"/>
        <w:right w:w="108" w:type="dxa"/>
      </w:tblCellMar>
    </w:tblPr>
    <w:tblStylePr w:type="firstRow">
      <w:rPr>
        <w:b/>
        <w:color w:val="404040"/>
      </w:rPr>
      <w:tcPr>
        <w:tcBorders>
          <w:bottom w:val="single" w:color="6A6A6A" w:sz="12" w:space="0"/>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cPr>
        <w:tcBorders>
          <w:top w:val="single" w:color="989898" w:sz="4" w:space="0"/>
          <w:left w:val="single" w:color="989898" w:sz="4" w:space="0"/>
          <w:bottom w:val="single" w:color="989898" w:sz="4" w:space="0"/>
          <w:right w:val="single" w:color="989898" w:sz="4" w:space="0"/>
        </w:tcBorders>
      </w:tcPr>
    </w:tblStylePr>
  </w:style>
  <w:style w:type="table" w:customStyle="1" w:styleId="1102">
    <w:name w:val="Grid Table 1 Light - Accent 14"/>
    <w:basedOn w:val="13"/>
    <w:uiPriority w:val="99"/>
    <w:rPr>
      <w:sz w:val="22"/>
      <w:szCs w:val="22"/>
      <w:lang w:eastAsia="en-US"/>
    </w:rPr>
    <w:tblPr>
      <w:tblBorders>
        <w:top w:val="single" w:color="B7CBE4" w:sz="4" w:space="0"/>
        <w:left w:val="single" w:color="B7CBE4" w:sz="4" w:space="0"/>
        <w:bottom w:val="single" w:color="B7CBE4" w:sz="4" w:space="0"/>
        <w:right w:val="single" w:color="B7CBE4" w:sz="4" w:space="0"/>
        <w:insideH w:val="single" w:color="B7CBE4" w:sz="4" w:space="0"/>
        <w:insideV w:val="single" w:color="B7CBE4" w:sz="4" w:space="0"/>
      </w:tblBorders>
      <w:tblCellMar>
        <w:top w:w="0" w:type="dxa"/>
        <w:left w:w="108" w:type="dxa"/>
        <w:bottom w:w="0" w:type="dxa"/>
        <w:right w:w="108" w:type="dxa"/>
      </w:tblCellMar>
    </w:tblPr>
    <w:tblStylePr w:type="firstRow">
      <w:rPr>
        <w:b/>
        <w:color w:val="404040"/>
      </w:rPr>
      <w:tcPr>
        <w:tcBorders>
          <w:bottom w:val="single" w:color="97B4D8" w:sz="12" w:space="0"/>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cPr>
        <w:tcBorders>
          <w:top w:val="single" w:color="B7CBE4" w:sz="4" w:space="0"/>
          <w:left w:val="single" w:color="B7CBE4" w:sz="4" w:space="0"/>
          <w:bottom w:val="single" w:color="B7CBE4" w:sz="4" w:space="0"/>
          <w:right w:val="single" w:color="B7CBE4" w:sz="4" w:space="0"/>
        </w:tcBorders>
      </w:tcPr>
    </w:tblStylePr>
  </w:style>
  <w:style w:type="table" w:customStyle="1" w:styleId="1103">
    <w:name w:val="Grid Table 1 Light - Accent 24"/>
    <w:basedOn w:val="13"/>
    <w:uiPriority w:val="99"/>
    <w:rPr>
      <w:sz w:val="22"/>
      <w:szCs w:val="22"/>
      <w:lang w:eastAsia="en-US"/>
    </w:rPr>
    <w:tblPr>
      <w:tblBorders>
        <w:top w:val="single" w:color="E5B7B6" w:sz="4" w:space="0"/>
        <w:left w:val="single" w:color="E5B7B6" w:sz="4" w:space="0"/>
        <w:bottom w:val="single" w:color="E5B7B6" w:sz="4" w:space="0"/>
        <w:right w:val="single" w:color="E5B7B6" w:sz="4" w:space="0"/>
        <w:insideH w:val="single" w:color="E5B7B6" w:sz="4" w:space="0"/>
        <w:insideV w:val="single" w:color="E5B7B6" w:sz="4" w:space="0"/>
      </w:tblBorders>
      <w:tblCellMar>
        <w:top w:w="0" w:type="dxa"/>
        <w:left w:w="108" w:type="dxa"/>
        <w:bottom w:w="0" w:type="dxa"/>
        <w:right w:w="108" w:type="dxa"/>
      </w:tblCellMar>
    </w:tblPr>
    <w:tblStylePr w:type="firstRow">
      <w:rPr>
        <w:b/>
        <w:color w:val="404040"/>
      </w:rPr>
      <w:tcPr>
        <w:tcBorders>
          <w:bottom w:val="single" w:color="DA9896" w:sz="12" w:space="0"/>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cPr>
        <w:tcBorders>
          <w:top w:val="single" w:color="E5B7B6" w:sz="4" w:space="0"/>
          <w:left w:val="single" w:color="E5B7B6" w:sz="4" w:space="0"/>
          <w:bottom w:val="single" w:color="E5B7B6" w:sz="4" w:space="0"/>
          <w:right w:val="single" w:color="E5B7B6" w:sz="4" w:space="0"/>
        </w:tcBorders>
      </w:tcPr>
    </w:tblStylePr>
  </w:style>
  <w:style w:type="table" w:customStyle="1" w:styleId="1104">
    <w:name w:val="Grid Table 1 Light - Accent 34"/>
    <w:basedOn w:val="13"/>
    <w:uiPriority w:val="99"/>
    <w:rPr>
      <w:sz w:val="22"/>
      <w:szCs w:val="22"/>
      <w:lang w:eastAsia="en-US"/>
    </w:rPr>
    <w:tblPr>
      <w:tblBorders>
        <w:top w:val="single" w:color="D6E3BB" w:sz="4" w:space="0"/>
        <w:left w:val="single" w:color="D6E3BB" w:sz="4" w:space="0"/>
        <w:bottom w:val="single" w:color="D6E3BB" w:sz="4" w:space="0"/>
        <w:right w:val="single" w:color="D6E3BB" w:sz="4" w:space="0"/>
        <w:insideH w:val="single" w:color="D6E3BB" w:sz="4" w:space="0"/>
        <w:insideV w:val="single" w:color="D6E3BB" w:sz="4" w:space="0"/>
      </w:tblBorders>
      <w:tblCellMar>
        <w:top w:w="0" w:type="dxa"/>
        <w:left w:w="108" w:type="dxa"/>
        <w:bottom w:w="0" w:type="dxa"/>
        <w:right w:w="108" w:type="dxa"/>
      </w:tblCellMar>
    </w:tblPr>
    <w:tblStylePr w:type="firstRow">
      <w:rPr>
        <w:b/>
        <w:color w:val="404040"/>
      </w:rPr>
      <w:tcPr>
        <w:tcBorders>
          <w:bottom w:val="single" w:color="C4D79D" w:sz="12" w:space="0"/>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cPr>
        <w:tcBorders>
          <w:top w:val="single" w:color="D6E3BB" w:sz="4" w:space="0"/>
          <w:left w:val="single" w:color="D6E3BB" w:sz="4" w:space="0"/>
          <w:bottom w:val="single" w:color="D6E3BB" w:sz="4" w:space="0"/>
          <w:right w:val="single" w:color="D6E3BB" w:sz="4" w:space="0"/>
        </w:tcBorders>
      </w:tcPr>
    </w:tblStylePr>
  </w:style>
  <w:style w:type="table" w:customStyle="1" w:styleId="1105">
    <w:name w:val="Grid Table 1 Light - Accent 44"/>
    <w:basedOn w:val="13"/>
    <w:uiPriority w:val="99"/>
    <w:rPr>
      <w:sz w:val="22"/>
      <w:szCs w:val="22"/>
      <w:lang w:eastAsia="en-US"/>
    </w:rPr>
    <w:tblPr>
      <w:tblBorders>
        <w:top w:val="single" w:color="CBC0D9" w:sz="4" w:space="0"/>
        <w:left w:val="single" w:color="CBC0D9" w:sz="4" w:space="0"/>
        <w:bottom w:val="single" w:color="CBC0D9" w:sz="4" w:space="0"/>
        <w:right w:val="single" w:color="CBC0D9" w:sz="4" w:space="0"/>
        <w:insideH w:val="single" w:color="CBC0D9" w:sz="4" w:space="0"/>
        <w:insideV w:val="single" w:color="CBC0D9" w:sz="4" w:space="0"/>
      </w:tblBorders>
      <w:tblCellMar>
        <w:top w:w="0" w:type="dxa"/>
        <w:left w:w="108" w:type="dxa"/>
        <w:bottom w:w="0" w:type="dxa"/>
        <w:right w:w="108" w:type="dxa"/>
      </w:tblCellMar>
    </w:tblPr>
    <w:tblStylePr w:type="firstRow">
      <w:rPr>
        <w:b/>
        <w:color w:val="404040"/>
      </w:rPr>
      <w:tcPr>
        <w:tcBorders>
          <w:bottom w:val="single" w:color="B4A4C8" w:sz="12" w:space="0"/>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cPr>
        <w:tcBorders>
          <w:top w:val="single" w:color="CBC0D9" w:sz="4" w:space="0"/>
          <w:left w:val="single" w:color="CBC0D9" w:sz="4" w:space="0"/>
          <w:bottom w:val="single" w:color="CBC0D9" w:sz="4" w:space="0"/>
          <w:right w:val="single" w:color="CBC0D9" w:sz="4" w:space="0"/>
        </w:tcBorders>
      </w:tcPr>
    </w:tblStylePr>
  </w:style>
  <w:style w:type="table" w:customStyle="1" w:styleId="1106">
    <w:name w:val="Grid Table 1 Light - Accent 54"/>
    <w:basedOn w:val="13"/>
    <w:uiPriority w:val="99"/>
    <w:rPr>
      <w:sz w:val="22"/>
      <w:szCs w:val="22"/>
      <w:lang w:eastAsia="en-US"/>
    </w:rPr>
    <w:tblPr>
      <w:tblBorders>
        <w:top w:val="single" w:color="B6DDE8" w:sz="4" w:space="0"/>
        <w:left w:val="single" w:color="B6DDE8" w:sz="4" w:space="0"/>
        <w:bottom w:val="single" w:color="B6DDE8" w:sz="4" w:space="0"/>
        <w:right w:val="single" w:color="B6DDE8" w:sz="4" w:space="0"/>
        <w:insideH w:val="single" w:color="B6DDE8" w:sz="4" w:space="0"/>
        <w:insideV w:val="single" w:color="B6DDE8" w:sz="4" w:space="0"/>
      </w:tblBorders>
      <w:tblCellMar>
        <w:top w:w="0" w:type="dxa"/>
        <w:left w:w="108" w:type="dxa"/>
        <w:bottom w:w="0" w:type="dxa"/>
        <w:right w:w="108" w:type="dxa"/>
      </w:tblCellMar>
    </w:tblPr>
    <w:tblStylePr w:type="firstRow">
      <w:rPr>
        <w:b/>
        <w:color w:val="404040"/>
      </w:rPr>
      <w:tcPr>
        <w:tcBorders>
          <w:bottom w:val="single" w:color="95CEDD" w:sz="12" w:space="0"/>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cPr>
        <w:tcBorders>
          <w:top w:val="single" w:color="B6DDE8" w:sz="4" w:space="0"/>
          <w:left w:val="single" w:color="B6DDE8" w:sz="4" w:space="0"/>
          <w:bottom w:val="single" w:color="B6DDE8" w:sz="4" w:space="0"/>
          <w:right w:val="single" w:color="B6DDE8" w:sz="4" w:space="0"/>
        </w:tcBorders>
      </w:tcPr>
    </w:tblStylePr>
  </w:style>
  <w:style w:type="table" w:customStyle="1" w:styleId="1107">
    <w:name w:val="Grid Table 1 Light - Accent 64"/>
    <w:basedOn w:val="13"/>
    <w:uiPriority w:val="99"/>
    <w:rPr>
      <w:sz w:val="22"/>
      <w:szCs w:val="22"/>
      <w:lang w:eastAsia="en-US"/>
    </w:rPr>
    <w:tblPr>
      <w:tblBorders>
        <w:top w:val="single" w:color="FBD4B4" w:sz="4" w:space="0"/>
        <w:left w:val="single" w:color="FBD4B4" w:sz="4" w:space="0"/>
        <w:bottom w:val="single" w:color="FBD4B4" w:sz="4" w:space="0"/>
        <w:right w:val="single" w:color="FBD4B4" w:sz="4" w:space="0"/>
        <w:insideH w:val="single" w:color="FBD4B4" w:sz="4" w:space="0"/>
        <w:insideV w:val="single" w:color="FBD4B4" w:sz="4" w:space="0"/>
      </w:tblBorders>
      <w:tblCellMar>
        <w:top w:w="0" w:type="dxa"/>
        <w:left w:w="108" w:type="dxa"/>
        <w:bottom w:w="0" w:type="dxa"/>
        <w:right w:w="108" w:type="dxa"/>
      </w:tblCellMar>
    </w:tblPr>
    <w:tblStylePr w:type="firstRow">
      <w:rPr>
        <w:b/>
        <w:color w:val="404040"/>
      </w:rPr>
      <w:tcPr>
        <w:tcBorders>
          <w:bottom w:val="single" w:color="FAC192" w:sz="12" w:space="0"/>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cPr>
        <w:tcBorders>
          <w:top w:val="single" w:color="FBD4B4" w:sz="4" w:space="0"/>
          <w:left w:val="single" w:color="FBD4B4" w:sz="4" w:space="0"/>
          <w:bottom w:val="single" w:color="FBD4B4" w:sz="4" w:space="0"/>
          <w:right w:val="single" w:color="FBD4B4" w:sz="4" w:space="0"/>
        </w:tcBorders>
      </w:tcPr>
    </w:tblStylePr>
  </w:style>
  <w:style w:type="table" w:customStyle="1" w:styleId="1108">
    <w:name w:val="Таблица-сетка 212"/>
    <w:basedOn w:val="13"/>
    <w:uiPriority w:val="99"/>
    <w:rPr>
      <w:sz w:val="22"/>
      <w:szCs w:val="22"/>
      <w:lang w:eastAsia="en-US"/>
    </w:rPr>
    <w:tblPr>
      <w:tblBorders>
        <w:bottom w:val="single" w:color="6A6A6A" w:sz="4" w:space="0"/>
        <w:insideH w:val="single" w:color="6A6A6A" w:sz="4" w:space="0"/>
        <w:insideV w:val="single" w:color="6A6A6A" w:sz="4" w:space="0"/>
      </w:tblBorders>
      <w:tblCellMar>
        <w:top w:w="0" w:type="dxa"/>
        <w:left w:w="108" w:type="dxa"/>
        <w:bottom w:w="0" w:type="dxa"/>
        <w:right w:w="108" w:type="dxa"/>
      </w:tblCellMar>
    </w:tblPr>
    <w:tblStylePr w:type="firstRow">
      <w:rPr>
        <w:b/>
        <w:color w:val="404040"/>
      </w:rPr>
      <w:tcPr>
        <w:tcBorders>
          <w:top w:val="nil"/>
          <w:left w:val="nil"/>
          <w:bottom w:val="single" w:color="6A6A6A" w:sz="12" w:space="0"/>
          <w:right w:val="nil"/>
        </w:tcBorders>
        <w:shd w:val="clear" w:color="FFFFFF" w:fill="auto"/>
      </w:tcPr>
    </w:tblStylePr>
    <w:tblStylePr w:type="lastRow">
      <w:rPr>
        <w:b/>
        <w:color w:val="404040"/>
      </w:rPr>
      <w:tcPr>
        <w:tcBorders>
          <w:top w:val="single" w:color="6A6A6A"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CBCBCB" w:fill="CBCBCB"/>
      </w:tcPr>
    </w:tblStylePr>
    <w:tblStylePr w:type="band1Horz">
      <w:rPr>
        <w:rFonts w:ascii="Arial" w:hAnsi="Arial"/>
        <w:color w:val="404040"/>
        <w:sz w:val="22"/>
      </w:rPr>
      <w:tcPr>
        <w:shd w:val="clear" w:color="CBCBCB" w:fill="CBCBCB"/>
      </w:tcPr>
    </w:tblStylePr>
  </w:style>
  <w:style w:type="table" w:customStyle="1" w:styleId="1109">
    <w:name w:val="Grid Table 2 - Accent 14"/>
    <w:basedOn w:val="13"/>
    <w:uiPriority w:val="99"/>
    <w:rPr>
      <w:sz w:val="22"/>
      <w:szCs w:val="22"/>
      <w:lang w:eastAsia="en-US"/>
    </w:rPr>
    <w:tblPr>
      <w:tblBorders>
        <w:bottom w:val="single" w:color="5D8AC2" w:sz="4" w:space="0"/>
        <w:insideH w:val="single" w:color="5D8AC2" w:sz="4" w:space="0"/>
        <w:insideV w:val="single" w:color="5D8AC2" w:sz="4" w:space="0"/>
      </w:tblBorders>
      <w:tblCellMar>
        <w:top w:w="0" w:type="dxa"/>
        <w:left w:w="108" w:type="dxa"/>
        <w:bottom w:w="0" w:type="dxa"/>
        <w:right w:w="108" w:type="dxa"/>
      </w:tblCellMar>
    </w:tblPr>
    <w:tblStylePr w:type="firstRow">
      <w:rPr>
        <w:b/>
        <w:color w:val="404040"/>
      </w:rPr>
      <w:tcPr>
        <w:tcBorders>
          <w:top w:val="nil"/>
          <w:left w:val="nil"/>
          <w:bottom w:val="single" w:color="5D8AC2" w:sz="12" w:space="0"/>
          <w:right w:val="nil"/>
        </w:tcBorders>
        <w:shd w:val="clear" w:color="FFFFFF" w:fill="auto"/>
      </w:tcPr>
    </w:tblStylePr>
    <w:tblStylePr w:type="lastRow">
      <w:rPr>
        <w:b/>
        <w:color w:val="404040"/>
      </w:rPr>
      <w:tcPr>
        <w:tcBorders>
          <w:top w:val="single" w:color="5D8AC2"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DAE5F1" w:fill="DAE5F1"/>
      </w:tcPr>
    </w:tblStylePr>
    <w:tblStylePr w:type="band1Horz">
      <w:rPr>
        <w:rFonts w:ascii="Arial" w:hAnsi="Arial"/>
        <w:color w:val="404040"/>
        <w:sz w:val="22"/>
      </w:rPr>
      <w:tcPr>
        <w:shd w:val="clear" w:color="DAE5F1" w:fill="DAE5F1"/>
      </w:tcPr>
    </w:tblStylePr>
  </w:style>
  <w:style w:type="table" w:customStyle="1" w:styleId="1110">
    <w:name w:val="Grid Table 2 - Accent 24"/>
    <w:basedOn w:val="13"/>
    <w:uiPriority w:val="99"/>
    <w:rPr>
      <w:sz w:val="22"/>
      <w:szCs w:val="22"/>
      <w:lang w:eastAsia="en-US"/>
    </w:rPr>
    <w:tblPr>
      <w:tblBorders>
        <w:bottom w:val="single" w:color="D99695" w:sz="4" w:space="0"/>
        <w:insideH w:val="single" w:color="D99695" w:sz="4" w:space="0"/>
        <w:insideV w:val="single" w:color="D99695" w:sz="4" w:space="0"/>
      </w:tblBorders>
      <w:tblCellMar>
        <w:top w:w="0" w:type="dxa"/>
        <w:left w:w="108" w:type="dxa"/>
        <w:bottom w:w="0" w:type="dxa"/>
        <w:right w:w="108" w:type="dxa"/>
      </w:tblCellMar>
    </w:tblPr>
    <w:tblStylePr w:type="firstRow">
      <w:rPr>
        <w:b/>
        <w:color w:val="404040"/>
      </w:rPr>
      <w:tcPr>
        <w:tcBorders>
          <w:top w:val="nil"/>
          <w:left w:val="nil"/>
          <w:bottom w:val="single" w:color="D99695" w:sz="12" w:space="0"/>
          <w:right w:val="nil"/>
        </w:tcBorders>
        <w:shd w:val="clear" w:color="FFFFFF" w:fill="auto"/>
      </w:tcPr>
    </w:tblStylePr>
    <w:tblStylePr w:type="lastRow">
      <w:rPr>
        <w:b/>
        <w:color w:val="404040"/>
      </w:rPr>
      <w:tcPr>
        <w:tcBorders>
          <w:top w:val="single" w:color="D99695"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F2DCDC" w:fill="F2DCDC"/>
      </w:tcPr>
    </w:tblStylePr>
    <w:tblStylePr w:type="band1Horz">
      <w:rPr>
        <w:rFonts w:ascii="Arial" w:hAnsi="Arial"/>
        <w:color w:val="404040"/>
        <w:sz w:val="22"/>
      </w:rPr>
      <w:tcPr>
        <w:shd w:val="clear" w:color="F2DCDC" w:fill="F2DCDC"/>
      </w:tcPr>
    </w:tblStylePr>
  </w:style>
  <w:style w:type="table" w:customStyle="1" w:styleId="1111">
    <w:name w:val="Grid Table 2 - Accent 34"/>
    <w:basedOn w:val="13"/>
    <w:uiPriority w:val="99"/>
    <w:rPr>
      <w:sz w:val="22"/>
      <w:szCs w:val="22"/>
      <w:lang w:eastAsia="en-US"/>
    </w:rPr>
    <w:tblPr>
      <w:tblBorders>
        <w:bottom w:val="single" w:color="9ABB59" w:sz="4" w:space="0"/>
        <w:insideH w:val="single" w:color="9ABB59" w:sz="4" w:space="0"/>
        <w:insideV w:val="single" w:color="9ABB59" w:sz="4" w:space="0"/>
      </w:tblBorders>
      <w:tblCellMar>
        <w:top w:w="0" w:type="dxa"/>
        <w:left w:w="108" w:type="dxa"/>
        <w:bottom w:w="0" w:type="dxa"/>
        <w:right w:w="108" w:type="dxa"/>
      </w:tblCellMar>
    </w:tblPr>
    <w:tblStylePr w:type="firstRow">
      <w:rPr>
        <w:b/>
        <w:color w:val="404040"/>
      </w:rPr>
      <w:tcPr>
        <w:tcBorders>
          <w:top w:val="nil"/>
          <w:left w:val="nil"/>
          <w:bottom w:val="single" w:color="9ABB59" w:sz="12" w:space="0"/>
          <w:right w:val="nil"/>
        </w:tcBorders>
        <w:shd w:val="clear" w:color="FFFFFF" w:fill="auto"/>
      </w:tcPr>
    </w:tblStylePr>
    <w:tblStylePr w:type="lastRow">
      <w:rPr>
        <w:b/>
        <w:color w:val="404040"/>
      </w:rPr>
      <w:tcPr>
        <w:tcBorders>
          <w:top w:val="single" w:color="9ABB59"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EAF1DC" w:fill="EAF1DC"/>
      </w:tcPr>
    </w:tblStylePr>
    <w:tblStylePr w:type="band1Horz">
      <w:rPr>
        <w:rFonts w:ascii="Arial" w:hAnsi="Arial"/>
        <w:color w:val="404040"/>
        <w:sz w:val="22"/>
      </w:rPr>
      <w:tcPr>
        <w:shd w:val="clear" w:color="EAF1DC" w:fill="EAF1DC"/>
      </w:tcPr>
    </w:tblStylePr>
  </w:style>
  <w:style w:type="table" w:customStyle="1" w:styleId="1112">
    <w:name w:val="Grid Table 2 - Accent 44"/>
    <w:basedOn w:val="13"/>
    <w:uiPriority w:val="99"/>
    <w:rPr>
      <w:sz w:val="22"/>
      <w:szCs w:val="22"/>
      <w:lang w:eastAsia="en-US"/>
    </w:rPr>
    <w:tblPr>
      <w:tblBorders>
        <w:bottom w:val="single" w:color="B2A1C6" w:sz="4" w:space="0"/>
        <w:insideH w:val="single" w:color="B2A1C6" w:sz="4" w:space="0"/>
        <w:insideV w:val="single" w:color="B2A1C6" w:sz="4" w:space="0"/>
      </w:tblBorders>
      <w:tblCellMar>
        <w:top w:w="0" w:type="dxa"/>
        <w:left w:w="108" w:type="dxa"/>
        <w:bottom w:w="0" w:type="dxa"/>
        <w:right w:w="108" w:type="dxa"/>
      </w:tblCellMar>
    </w:tblPr>
    <w:tblStylePr w:type="firstRow">
      <w:rPr>
        <w:b/>
        <w:color w:val="404040"/>
      </w:rPr>
      <w:tcPr>
        <w:tcBorders>
          <w:top w:val="nil"/>
          <w:left w:val="nil"/>
          <w:bottom w:val="single" w:color="B2A1C6" w:sz="12" w:space="0"/>
          <w:right w:val="nil"/>
        </w:tcBorders>
        <w:shd w:val="clear" w:color="FFFFFF" w:fill="auto"/>
      </w:tcPr>
    </w:tblStylePr>
    <w:tblStylePr w:type="lastRow">
      <w:rPr>
        <w:b/>
        <w:color w:val="404040"/>
      </w:rPr>
      <w:tcPr>
        <w:tcBorders>
          <w:top w:val="single" w:color="B2A1C6"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E5DFEC" w:fill="E5DFEC"/>
      </w:tcPr>
    </w:tblStylePr>
    <w:tblStylePr w:type="band1Horz">
      <w:rPr>
        <w:rFonts w:ascii="Arial" w:hAnsi="Arial"/>
        <w:color w:val="404040"/>
        <w:sz w:val="22"/>
      </w:rPr>
      <w:tcPr>
        <w:shd w:val="clear" w:color="E5DFEC" w:fill="E5DFEC"/>
      </w:tcPr>
    </w:tblStylePr>
  </w:style>
  <w:style w:type="table" w:customStyle="1" w:styleId="1113">
    <w:name w:val="Grid Table 2 - Accent 54"/>
    <w:basedOn w:val="13"/>
    <w:uiPriority w:val="99"/>
    <w:rPr>
      <w:sz w:val="22"/>
      <w:szCs w:val="22"/>
      <w:lang w:eastAsia="en-US"/>
    </w:rPr>
    <w:tblPr>
      <w:tblBorders>
        <w:bottom w:val="single" w:color="4BACC6" w:sz="4" w:space="0"/>
        <w:insideH w:val="single" w:color="4BACC6" w:sz="4" w:space="0"/>
        <w:insideV w:val="single" w:color="4BACC6" w:sz="4" w:space="0"/>
      </w:tblBorders>
      <w:tblCellMar>
        <w:top w:w="0" w:type="dxa"/>
        <w:left w:w="108" w:type="dxa"/>
        <w:bottom w:w="0" w:type="dxa"/>
        <w:right w:w="108" w:type="dxa"/>
      </w:tblCellMar>
    </w:tblPr>
    <w:tblStylePr w:type="firstRow">
      <w:rPr>
        <w:b/>
        <w:color w:val="404040"/>
      </w:rPr>
      <w:tcPr>
        <w:tcBorders>
          <w:top w:val="nil"/>
          <w:left w:val="nil"/>
          <w:bottom w:val="single" w:color="4BACC6" w:sz="12" w:space="0"/>
          <w:right w:val="nil"/>
        </w:tcBorders>
        <w:shd w:val="clear" w:color="FFFFFF" w:fill="auto"/>
      </w:tcPr>
    </w:tblStylePr>
    <w:tblStylePr w:type="lastRow">
      <w:rPr>
        <w:b/>
        <w:color w:val="404040"/>
      </w:rPr>
      <w:tcPr>
        <w:tcBorders>
          <w:top w:val="single" w:color="4BACC6"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DAEEF3" w:fill="DAEEF3"/>
      </w:tcPr>
    </w:tblStylePr>
    <w:tblStylePr w:type="band1Horz">
      <w:rPr>
        <w:rFonts w:ascii="Arial" w:hAnsi="Arial"/>
        <w:color w:val="404040"/>
        <w:sz w:val="22"/>
      </w:rPr>
      <w:tcPr>
        <w:shd w:val="clear" w:color="DAEEF3" w:fill="DAEEF3"/>
      </w:tcPr>
    </w:tblStylePr>
  </w:style>
  <w:style w:type="table" w:customStyle="1" w:styleId="1114">
    <w:name w:val="Grid Table 2 - Accent 64"/>
    <w:basedOn w:val="13"/>
    <w:uiPriority w:val="99"/>
    <w:rPr>
      <w:sz w:val="22"/>
      <w:szCs w:val="22"/>
      <w:lang w:eastAsia="en-US"/>
    </w:rPr>
    <w:tblPr>
      <w:tblBorders>
        <w:bottom w:val="single" w:color="F79646" w:sz="4" w:space="0"/>
        <w:insideH w:val="single" w:color="F79646" w:sz="4" w:space="0"/>
        <w:insideV w:val="single" w:color="F79646" w:sz="4" w:space="0"/>
      </w:tblBorders>
      <w:tblCellMar>
        <w:top w:w="0" w:type="dxa"/>
        <w:left w:w="108" w:type="dxa"/>
        <w:bottom w:w="0" w:type="dxa"/>
        <w:right w:w="108" w:type="dxa"/>
      </w:tblCellMar>
    </w:tblPr>
    <w:tblStylePr w:type="firstRow">
      <w:rPr>
        <w:b/>
        <w:color w:val="404040"/>
      </w:rPr>
      <w:tcPr>
        <w:tcBorders>
          <w:top w:val="nil"/>
          <w:left w:val="nil"/>
          <w:bottom w:val="single" w:color="F79646" w:sz="12" w:space="0"/>
          <w:right w:val="nil"/>
        </w:tcBorders>
        <w:shd w:val="clear" w:color="FFFFFF" w:fill="auto"/>
      </w:tcPr>
    </w:tblStylePr>
    <w:tblStylePr w:type="lastRow">
      <w:rPr>
        <w:b/>
        <w:color w:val="404040"/>
      </w:rPr>
      <w:tcPr>
        <w:tcBorders>
          <w:top w:val="single" w:color="F79646"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FDE9D8" w:fill="FDE9D8"/>
      </w:tcPr>
    </w:tblStylePr>
    <w:tblStylePr w:type="band1Horz">
      <w:rPr>
        <w:rFonts w:ascii="Arial" w:hAnsi="Arial"/>
        <w:color w:val="404040"/>
        <w:sz w:val="22"/>
      </w:rPr>
      <w:tcPr>
        <w:shd w:val="clear" w:color="FDE9D8" w:fill="FDE9D8"/>
      </w:tcPr>
    </w:tblStylePr>
  </w:style>
  <w:style w:type="table" w:customStyle="1" w:styleId="1115">
    <w:name w:val="Таблица-сетка 312"/>
    <w:basedOn w:val="13"/>
    <w:uiPriority w:val="99"/>
    <w:rPr>
      <w:sz w:val="22"/>
      <w:szCs w:val="22"/>
      <w:lang w:eastAsia="en-US"/>
    </w:rPr>
    <w:tblPr>
      <w:tblBorders>
        <w:bottom w:val="single" w:color="6A6A6A" w:sz="4" w:space="0"/>
        <w:insideH w:val="single" w:color="6A6A6A" w:sz="4" w:space="0"/>
        <w:insideV w:val="single" w:color="6A6A6A" w:sz="4" w:space="0"/>
      </w:tblBorders>
      <w:tblCellMar>
        <w:top w:w="0" w:type="dxa"/>
        <w:left w:w="108" w:type="dxa"/>
        <w:bottom w:w="0" w:type="dxa"/>
        <w:right w:w="108" w:type="dxa"/>
      </w:tblCellMar>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rFonts w:ascii="Arial" w:hAnsi="Arial"/>
        <w:color w:val="404040"/>
        <w:sz w:val="22"/>
      </w:rPr>
      <w:tcPr>
        <w:shd w:val="clear" w:color="CBCBCB" w:fill="CBCBCB"/>
      </w:tcPr>
    </w:tblStylePr>
    <w:tblStylePr w:type="band1Horz">
      <w:rPr>
        <w:rFonts w:ascii="Arial" w:hAnsi="Arial"/>
        <w:color w:val="404040"/>
        <w:sz w:val="22"/>
      </w:rPr>
      <w:tcPr>
        <w:shd w:val="clear" w:color="CBCBCB" w:fill="CBCBCB"/>
      </w:tcPr>
    </w:tblStylePr>
  </w:style>
  <w:style w:type="table" w:customStyle="1" w:styleId="1116">
    <w:name w:val="Grid Table 3 - Accent 14"/>
    <w:basedOn w:val="13"/>
    <w:uiPriority w:val="99"/>
    <w:rPr>
      <w:sz w:val="22"/>
      <w:szCs w:val="22"/>
      <w:lang w:eastAsia="en-US"/>
    </w:rPr>
    <w:tblPr>
      <w:tblBorders>
        <w:bottom w:val="single" w:color="5D8AC2" w:sz="4" w:space="0"/>
        <w:insideH w:val="single" w:color="5D8AC2" w:sz="4" w:space="0"/>
        <w:insideV w:val="single" w:color="5D8AC2" w:sz="4" w:space="0"/>
      </w:tblBorders>
      <w:tblCellMar>
        <w:top w:w="0" w:type="dxa"/>
        <w:left w:w="108" w:type="dxa"/>
        <w:bottom w:w="0" w:type="dxa"/>
        <w:right w:w="108" w:type="dxa"/>
      </w:tblCellMar>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rFonts w:ascii="Arial" w:hAnsi="Arial"/>
        <w:color w:val="404040"/>
        <w:sz w:val="22"/>
      </w:rPr>
      <w:tcPr>
        <w:shd w:val="clear" w:color="DAE5F1" w:fill="DAE5F1"/>
      </w:tcPr>
    </w:tblStylePr>
    <w:tblStylePr w:type="band1Horz">
      <w:rPr>
        <w:rFonts w:ascii="Arial" w:hAnsi="Arial"/>
        <w:color w:val="404040"/>
        <w:sz w:val="22"/>
      </w:rPr>
      <w:tcPr>
        <w:shd w:val="clear" w:color="DAE5F1" w:fill="DAE5F1"/>
      </w:tcPr>
    </w:tblStylePr>
  </w:style>
  <w:style w:type="table" w:customStyle="1" w:styleId="1117">
    <w:name w:val="Grid Table 3 - Accent 24"/>
    <w:basedOn w:val="13"/>
    <w:uiPriority w:val="99"/>
    <w:rPr>
      <w:sz w:val="22"/>
      <w:szCs w:val="22"/>
      <w:lang w:eastAsia="en-US"/>
    </w:rPr>
    <w:tblPr>
      <w:tblBorders>
        <w:bottom w:val="single" w:color="D99695" w:sz="4" w:space="0"/>
        <w:insideH w:val="single" w:color="D99695" w:sz="4" w:space="0"/>
        <w:insideV w:val="single" w:color="D99695" w:sz="4" w:space="0"/>
      </w:tblBorders>
      <w:tblCellMar>
        <w:top w:w="0" w:type="dxa"/>
        <w:left w:w="108" w:type="dxa"/>
        <w:bottom w:w="0" w:type="dxa"/>
        <w:right w:w="108" w:type="dxa"/>
      </w:tblCellMar>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rFonts w:ascii="Arial" w:hAnsi="Arial"/>
        <w:color w:val="404040"/>
        <w:sz w:val="22"/>
      </w:rPr>
      <w:tcPr>
        <w:shd w:val="clear" w:color="F2DCDC" w:fill="F2DCDC"/>
      </w:tcPr>
    </w:tblStylePr>
    <w:tblStylePr w:type="band1Horz">
      <w:rPr>
        <w:rFonts w:ascii="Arial" w:hAnsi="Arial"/>
        <w:color w:val="404040"/>
        <w:sz w:val="22"/>
      </w:rPr>
      <w:tcPr>
        <w:shd w:val="clear" w:color="F2DCDC" w:fill="F2DCDC"/>
      </w:tcPr>
    </w:tblStylePr>
  </w:style>
  <w:style w:type="table" w:customStyle="1" w:styleId="1118">
    <w:name w:val="Grid Table 3 - Accent 34"/>
    <w:basedOn w:val="13"/>
    <w:uiPriority w:val="99"/>
    <w:rPr>
      <w:sz w:val="22"/>
      <w:szCs w:val="22"/>
      <w:lang w:eastAsia="en-US"/>
    </w:rPr>
    <w:tblPr>
      <w:tblBorders>
        <w:bottom w:val="single" w:color="9ABB59" w:sz="4" w:space="0"/>
        <w:insideH w:val="single" w:color="9ABB59" w:sz="4" w:space="0"/>
        <w:insideV w:val="single" w:color="9ABB59" w:sz="4" w:space="0"/>
      </w:tblBorders>
      <w:tblCellMar>
        <w:top w:w="0" w:type="dxa"/>
        <w:left w:w="108" w:type="dxa"/>
        <w:bottom w:w="0" w:type="dxa"/>
        <w:right w:w="108" w:type="dxa"/>
      </w:tblCellMar>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rFonts w:ascii="Arial" w:hAnsi="Arial"/>
        <w:color w:val="404040"/>
        <w:sz w:val="22"/>
      </w:rPr>
      <w:tcPr>
        <w:shd w:val="clear" w:color="EAF1DC" w:fill="EAF1DC"/>
      </w:tcPr>
    </w:tblStylePr>
    <w:tblStylePr w:type="band1Horz">
      <w:rPr>
        <w:rFonts w:ascii="Arial" w:hAnsi="Arial"/>
        <w:color w:val="404040"/>
        <w:sz w:val="22"/>
      </w:rPr>
      <w:tcPr>
        <w:shd w:val="clear" w:color="EAF1DC" w:fill="EAF1DC"/>
      </w:tcPr>
    </w:tblStylePr>
  </w:style>
  <w:style w:type="table" w:customStyle="1" w:styleId="1119">
    <w:name w:val="Grid Table 3 - Accent 44"/>
    <w:basedOn w:val="13"/>
    <w:uiPriority w:val="99"/>
    <w:rPr>
      <w:sz w:val="22"/>
      <w:szCs w:val="22"/>
      <w:lang w:eastAsia="en-US"/>
    </w:rPr>
    <w:tblPr>
      <w:tblBorders>
        <w:bottom w:val="single" w:color="B2A1C6" w:sz="4" w:space="0"/>
        <w:insideH w:val="single" w:color="B2A1C6" w:sz="4" w:space="0"/>
        <w:insideV w:val="single" w:color="B2A1C6" w:sz="4" w:space="0"/>
      </w:tblBorders>
      <w:tblCellMar>
        <w:top w:w="0" w:type="dxa"/>
        <w:left w:w="108" w:type="dxa"/>
        <w:bottom w:w="0" w:type="dxa"/>
        <w:right w:w="108" w:type="dxa"/>
      </w:tblCellMar>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rFonts w:ascii="Arial" w:hAnsi="Arial"/>
        <w:color w:val="404040"/>
        <w:sz w:val="22"/>
      </w:rPr>
      <w:tcPr>
        <w:shd w:val="clear" w:color="E5DFEC" w:fill="E5DFEC"/>
      </w:tcPr>
    </w:tblStylePr>
    <w:tblStylePr w:type="band1Horz">
      <w:rPr>
        <w:rFonts w:ascii="Arial" w:hAnsi="Arial"/>
        <w:color w:val="404040"/>
        <w:sz w:val="22"/>
      </w:rPr>
      <w:tcPr>
        <w:shd w:val="clear" w:color="E5DFEC" w:fill="E5DFEC"/>
      </w:tcPr>
    </w:tblStylePr>
  </w:style>
  <w:style w:type="table" w:customStyle="1" w:styleId="1120">
    <w:name w:val="Grid Table 3 - Accent 54"/>
    <w:basedOn w:val="13"/>
    <w:uiPriority w:val="99"/>
    <w:rPr>
      <w:sz w:val="22"/>
      <w:szCs w:val="22"/>
      <w:lang w:eastAsia="en-US"/>
    </w:rPr>
    <w:tblPr>
      <w:tblBorders>
        <w:bottom w:val="single" w:color="4BACC6" w:sz="4" w:space="0"/>
        <w:insideH w:val="single" w:color="4BACC6" w:sz="4" w:space="0"/>
        <w:insideV w:val="single" w:color="4BACC6" w:sz="4" w:space="0"/>
      </w:tblBorders>
      <w:tblCellMar>
        <w:top w:w="0" w:type="dxa"/>
        <w:left w:w="108" w:type="dxa"/>
        <w:bottom w:w="0" w:type="dxa"/>
        <w:right w:w="108" w:type="dxa"/>
      </w:tblCellMar>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rFonts w:ascii="Arial" w:hAnsi="Arial"/>
        <w:color w:val="404040"/>
        <w:sz w:val="22"/>
      </w:rPr>
      <w:tcPr>
        <w:shd w:val="clear" w:color="DAEEF3" w:fill="DAEEF3"/>
      </w:tcPr>
    </w:tblStylePr>
    <w:tblStylePr w:type="band1Horz">
      <w:rPr>
        <w:rFonts w:ascii="Arial" w:hAnsi="Arial"/>
        <w:color w:val="404040"/>
        <w:sz w:val="22"/>
      </w:rPr>
      <w:tcPr>
        <w:shd w:val="clear" w:color="DAEEF3" w:fill="DAEEF3"/>
      </w:tcPr>
    </w:tblStylePr>
  </w:style>
  <w:style w:type="table" w:customStyle="1" w:styleId="1121">
    <w:name w:val="Grid Table 3 - Accent 64"/>
    <w:basedOn w:val="13"/>
    <w:uiPriority w:val="99"/>
    <w:rPr>
      <w:sz w:val="22"/>
      <w:szCs w:val="22"/>
      <w:lang w:eastAsia="en-US"/>
    </w:rPr>
    <w:tblPr>
      <w:tblBorders>
        <w:bottom w:val="single" w:color="F79646" w:sz="4" w:space="0"/>
        <w:insideH w:val="single" w:color="F79646" w:sz="4" w:space="0"/>
        <w:insideV w:val="single" w:color="F79646" w:sz="4" w:space="0"/>
      </w:tblBorders>
      <w:tblCellMar>
        <w:top w:w="0" w:type="dxa"/>
        <w:left w:w="108" w:type="dxa"/>
        <w:bottom w:w="0" w:type="dxa"/>
        <w:right w:w="108" w:type="dxa"/>
      </w:tblCellMar>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rFonts w:ascii="Arial" w:hAnsi="Arial"/>
        <w:color w:val="404040"/>
        <w:sz w:val="22"/>
      </w:rPr>
      <w:tcPr>
        <w:shd w:val="clear" w:color="FDE9D8" w:fill="FDE9D8"/>
      </w:tcPr>
    </w:tblStylePr>
    <w:tblStylePr w:type="band1Horz">
      <w:rPr>
        <w:rFonts w:ascii="Arial" w:hAnsi="Arial"/>
        <w:color w:val="404040"/>
        <w:sz w:val="22"/>
      </w:rPr>
      <w:tcPr>
        <w:shd w:val="clear" w:color="FDE9D8" w:fill="FDE9D8"/>
      </w:tcPr>
    </w:tblStylePr>
  </w:style>
  <w:style w:type="table" w:customStyle="1" w:styleId="1122">
    <w:name w:val="Таблица-сетка 412"/>
    <w:basedOn w:val="13"/>
    <w:uiPriority w:val="59"/>
    <w:rPr>
      <w:sz w:val="22"/>
      <w:szCs w:val="22"/>
      <w:lang w:eastAsia="en-US"/>
    </w:rPr>
    <w:tblPr>
      <w:tblBorders>
        <w:top w:val="single" w:color="6F6F6F" w:sz="4" w:space="0"/>
        <w:left w:val="single" w:color="6F6F6F" w:sz="4" w:space="0"/>
        <w:bottom w:val="single" w:color="6F6F6F" w:sz="4" w:space="0"/>
        <w:right w:val="single" w:color="6F6F6F" w:sz="4" w:space="0"/>
        <w:insideH w:val="single" w:color="6F6F6F" w:sz="4" w:space="0"/>
        <w:insideV w:val="single" w:color="6F6F6F" w:sz="4" w:space="0"/>
      </w:tblBorders>
      <w:tblCellMar>
        <w:top w:w="0" w:type="dxa"/>
        <w:left w:w="108" w:type="dxa"/>
        <w:bottom w:w="0" w:type="dxa"/>
        <w:right w:w="108" w:type="dxa"/>
      </w:tblCellMar>
    </w:tblPr>
    <w:tblStylePr w:type="firstRow">
      <w:rPr>
        <w:rFonts w:ascii="Arial" w:hAnsi="Arial"/>
        <w:b/>
        <w:color w:val="FFFFFF"/>
        <w:sz w:val="22"/>
      </w:rPr>
      <w:tcPr>
        <w:tcBorders>
          <w:top w:val="single" w:color="000000" w:sz="4" w:space="0"/>
          <w:left w:val="single" w:color="000000" w:sz="4" w:space="0"/>
          <w:bottom w:val="single" w:color="000000" w:sz="4" w:space="0"/>
          <w:right w:val="single" w:color="000000" w:sz="4" w:space="0"/>
        </w:tcBorders>
        <w:shd w:val="clear" w:color="000000" w:fill="000000"/>
      </w:tcPr>
    </w:tblStylePr>
    <w:tblStylePr w:type="lastRow">
      <w:rPr>
        <w:b/>
        <w:color w:val="404040"/>
      </w:rPr>
      <w:tcPr>
        <w:tcBorders>
          <w:top w:val="single" w:color="000000"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CBCBCB" w:fill="CBCBCB"/>
      </w:tcPr>
    </w:tblStylePr>
    <w:tblStylePr w:type="band1Horz">
      <w:rPr>
        <w:rFonts w:ascii="Arial" w:hAnsi="Arial"/>
        <w:color w:val="404040"/>
        <w:sz w:val="22"/>
      </w:rPr>
      <w:tcPr>
        <w:shd w:val="clear" w:color="CBCBCB" w:fill="CBCBCB"/>
      </w:tcPr>
    </w:tblStylePr>
  </w:style>
  <w:style w:type="table" w:customStyle="1" w:styleId="1123">
    <w:name w:val="Grid Table 4 - Accent 14"/>
    <w:basedOn w:val="13"/>
    <w:uiPriority w:val="59"/>
    <w:rPr>
      <w:sz w:val="22"/>
      <w:szCs w:val="22"/>
      <w:lang w:eastAsia="en-US"/>
    </w:rPr>
    <w:tblPr>
      <w:tblBorders>
        <w:top w:val="single" w:color="9BB7D9" w:sz="4" w:space="0"/>
        <w:left w:val="single" w:color="9BB7D9" w:sz="4" w:space="0"/>
        <w:bottom w:val="single" w:color="9BB7D9" w:sz="4" w:space="0"/>
        <w:right w:val="single" w:color="9BB7D9" w:sz="4" w:space="0"/>
        <w:insideH w:val="single" w:color="9BB7D9" w:sz="4" w:space="0"/>
        <w:insideV w:val="single" w:color="9BB7D9" w:sz="4" w:space="0"/>
      </w:tblBorders>
      <w:tblCellMar>
        <w:top w:w="0" w:type="dxa"/>
        <w:left w:w="108" w:type="dxa"/>
        <w:bottom w:w="0" w:type="dxa"/>
        <w:right w:w="108" w:type="dxa"/>
      </w:tblCellMar>
    </w:tblPr>
    <w:tblStylePr w:type="firstRow">
      <w:rPr>
        <w:rFonts w:ascii="Arial" w:hAnsi="Arial"/>
        <w:b/>
        <w:color w:val="FFFFFF"/>
        <w:sz w:val="22"/>
      </w:rPr>
      <w:tcPr>
        <w:tcBorders>
          <w:top w:val="single" w:color="5D8AC2" w:sz="4" w:space="0"/>
          <w:left w:val="single" w:color="5D8AC2" w:sz="4" w:space="0"/>
          <w:bottom w:val="single" w:color="5D8AC2" w:sz="4" w:space="0"/>
          <w:right w:val="single" w:color="5D8AC2" w:sz="4" w:space="0"/>
        </w:tcBorders>
        <w:shd w:val="clear" w:color="5D8AC2" w:fill="5D8AC2"/>
      </w:tcPr>
    </w:tblStylePr>
    <w:tblStylePr w:type="lastRow">
      <w:rPr>
        <w:b/>
        <w:color w:val="404040"/>
      </w:rPr>
      <w:tcPr>
        <w:tcBorders>
          <w:top w:val="single" w:color="5D8AC2"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DCE6F2" w:fill="DCE6F2"/>
      </w:tcPr>
    </w:tblStylePr>
    <w:tblStylePr w:type="band1Horz">
      <w:rPr>
        <w:rFonts w:ascii="Arial" w:hAnsi="Arial"/>
        <w:color w:val="404040"/>
        <w:sz w:val="22"/>
      </w:rPr>
      <w:tcPr>
        <w:shd w:val="clear" w:color="DCE6F2" w:fill="DCE6F2"/>
      </w:tcPr>
    </w:tblStylePr>
  </w:style>
  <w:style w:type="table" w:customStyle="1" w:styleId="1124">
    <w:name w:val="Grid Table 4 - Accent 24"/>
    <w:basedOn w:val="13"/>
    <w:uiPriority w:val="59"/>
    <w:rPr>
      <w:sz w:val="22"/>
      <w:szCs w:val="22"/>
      <w:lang w:eastAsia="en-US"/>
    </w:rPr>
    <w:tblPr>
      <w:tblBorders>
        <w:top w:val="single" w:color="DB9B9A" w:sz="4" w:space="0"/>
        <w:left w:val="single" w:color="DB9B9A" w:sz="4" w:space="0"/>
        <w:bottom w:val="single" w:color="DB9B9A" w:sz="4" w:space="0"/>
        <w:right w:val="single" w:color="DB9B9A" w:sz="4" w:space="0"/>
        <w:insideH w:val="single" w:color="DB9B9A" w:sz="4" w:space="0"/>
        <w:insideV w:val="single" w:color="DB9B9A" w:sz="4" w:space="0"/>
      </w:tblBorders>
      <w:tblCellMar>
        <w:top w:w="0" w:type="dxa"/>
        <w:left w:w="108" w:type="dxa"/>
        <w:bottom w:w="0" w:type="dxa"/>
        <w:right w:w="108" w:type="dxa"/>
      </w:tblCellMar>
    </w:tblPr>
    <w:tblStylePr w:type="firstRow">
      <w:rPr>
        <w:rFonts w:ascii="Arial" w:hAnsi="Arial"/>
        <w:b/>
        <w:color w:val="FFFFFF"/>
        <w:sz w:val="22"/>
      </w:rPr>
      <w:tcPr>
        <w:tcBorders>
          <w:top w:val="single" w:color="D99695" w:sz="4" w:space="0"/>
          <w:left w:val="single" w:color="D99695" w:sz="4" w:space="0"/>
          <w:bottom w:val="single" w:color="D99695" w:sz="4" w:space="0"/>
          <w:right w:val="single" w:color="D99695" w:sz="4" w:space="0"/>
        </w:tcBorders>
        <w:shd w:val="clear" w:color="D99695" w:fill="D99695"/>
      </w:tcPr>
    </w:tblStylePr>
    <w:tblStylePr w:type="lastRow">
      <w:rPr>
        <w:b/>
        <w:color w:val="404040"/>
      </w:rPr>
      <w:tcPr>
        <w:tcBorders>
          <w:top w:val="single" w:color="D99695"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F2DCDC" w:fill="F2DCDC"/>
      </w:tcPr>
    </w:tblStylePr>
    <w:tblStylePr w:type="band1Horz">
      <w:rPr>
        <w:rFonts w:ascii="Arial" w:hAnsi="Arial"/>
        <w:color w:val="404040"/>
        <w:sz w:val="22"/>
      </w:rPr>
      <w:tcPr>
        <w:shd w:val="clear" w:color="F2DCDC" w:fill="F2DCDC"/>
      </w:tcPr>
    </w:tblStylePr>
  </w:style>
  <w:style w:type="table" w:customStyle="1" w:styleId="1125">
    <w:name w:val="Grid Table 4 - Accent 34"/>
    <w:basedOn w:val="13"/>
    <w:uiPriority w:val="59"/>
    <w:rPr>
      <w:sz w:val="22"/>
      <w:szCs w:val="22"/>
      <w:lang w:eastAsia="en-US"/>
    </w:rPr>
    <w:tblPr>
      <w:tblBorders>
        <w:top w:val="single" w:color="C6D8A1" w:sz="4" w:space="0"/>
        <w:left w:val="single" w:color="C6D8A1" w:sz="4" w:space="0"/>
        <w:bottom w:val="single" w:color="C6D8A1" w:sz="4" w:space="0"/>
        <w:right w:val="single" w:color="C6D8A1" w:sz="4" w:space="0"/>
        <w:insideH w:val="single" w:color="C6D8A1" w:sz="4" w:space="0"/>
        <w:insideV w:val="single" w:color="C6D8A1" w:sz="4" w:space="0"/>
      </w:tblBorders>
      <w:tblCellMar>
        <w:top w:w="0" w:type="dxa"/>
        <w:left w:w="108" w:type="dxa"/>
        <w:bottom w:w="0" w:type="dxa"/>
        <w:right w:w="108" w:type="dxa"/>
      </w:tblCellMar>
    </w:tblPr>
    <w:tblStylePr w:type="firstRow">
      <w:rPr>
        <w:rFonts w:ascii="Arial" w:hAnsi="Arial"/>
        <w:b/>
        <w:color w:val="FFFFFF"/>
        <w:sz w:val="22"/>
      </w:rPr>
      <w:tcPr>
        <w:tcBorders>
          <w:top w:val="single" w:color="9ABB59" w:sz="4" w:space="0"/>
          <w:left w:val="single" w:color="9ABB59" w:sz="4" w:space="0"/>
          <w:bottom w:val="single" w:color="9ABB59" w:sz="4" w:space="0"/>
          <w:right w:val="single" w:color="9ABB59" w:sz="4" w:space="0"/>
        </w:tcBorders>
        <w:shd w:val="clear" w:color="9ABB59" w:fill="9ABB59"/>
      </w:tcPr>
    </w:tblStylePr>
    <w:tblStylePr w:type="lastRow">
      <w:rPr>
        <w:b/>
        <w:color w:val="404040"/>
      </w:rPr>
      <w:tcPr>
        <w:tcBorders>
          <w:top w:val="single" w:color="9ABB59"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EAF1DC" w:fill="EAF1DC"/>
      </w:tcPr>
    </w:tblStylePr>
    <w:tblStylePr w:type="band1Horz">
      <w:rPr>
        <w:rFonts w:ascii="Arial" w:hAnsi="Arial"/>
        <w:color w:val="404040"/>
        <w:sz w:val="22"/>
      </w:rPr>
      <w:tcPr>
        <w:shd w:val="clear" w:color="EAF1DC" w:fill="EAF1DC"/>
      </w:tcPr>
    </w:tblStylePr>
  </w:style>
  <w:style w:type="table" w:customStyle="1" w:styleId="1126">
    <w:name w:val="Grid Table 4 - Accent 44"/>
    <w:basedOn w:val="13"/>
    <w:uiPriority w:val="59"/>
    <w:rPr>
      <w:sz w:val="22"/>
      <w:szCs w:val="22"/>
      <w:lang w:eastAsia="en-US"/>
    </w:rPr>
    <w:tblPr>
      <w:tblBorders>
        <w:top w:val="single" w:color="B7A7CA" w:sz="4" w:space="0"/>
        <w:left w:val="single" w:color="B7A7CA" w:sz="4" w:space="0"/>
        <w:bottom w:val="single" w:color="B7A7CA" w:sz="4" w:space="0"/>
        <w:right w:val="single" w:color="B7A7CA" w:sz="4" w:space="0"/>
        <w:insideH w:val="single" w:color="B7A7CA" w:sz="4" w:space="0"/>
        <w:insideV w:val="single" w:color="B7A7CA" w:sz="4" w:space="0"/>
      </w:tblBorders>
      <w:tblCellMar>
        <w:top w:w="0" w:type="dxa"/>
        <w:left w:w="108" w:type="dxa"/>
        <w:bottom w:w="0" w:type="dxa"/>
        <w:right w:w="108" w:type="dxa"/>
      </w:tblCellMar>
    </w:tblPr>
    <w:tblStylePr w:type="firstRow">
      <w:rPr>
        <w:rFonts w:ascii="Arial" w:hAnsi="Arial"/>
        <w:b/>
        <w:color w:val="FFFFFF"/>
        <w:sz w:val="22"/>
      </w:rPr>
      <w:tcPr>
        <w:tcBorders>
          <w:top w:val="single" w:color="B2A1C6" w:sz="4" w:space="0"/>
          <w:left w:val="single" w:color="B2A1C6" w:sz="4" w:space="0"/>
          <w:bottom w:val="single" w:color="B2A1C6" w:sz="4" w:space="0"/>
          <w:right w:val="single" w:color="B2A1C6" w:sz="4" w:space="0"/>
        </w:tcBorders>
        <w:shd w:val="clear" w:color="B2A1C6" w:fill="B2A1C6"/>
      </w:tcPr>
    </w:tblStylePr>
    <w:tblStylePr w:type="lastRow">
      <w:rPr>
        <w:b/>
        <w:color w:val="404040"/>
      </w:rPr>
      <w:tcPr>
        <w:tcBorders>
          <w:top w:val="single" w:color="B2A1C6"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E5DFEC" w:fill="E5DFEC"/>
      </w:tcPr>
    </w:tblStylePr>
    <w:tblStylePr w:type="band1Horz">
      <w:rPr>
        <w:rFonts w:ascii="Arial" w:hAnsi="Arial"/>
        <w:color w:val="404040"/>
        <w:sz w:val="22"/>
      </w:rPr>
      <w:tcPr>
        <w:shd w:val="clear" w:color="E5DFEC" w:fill="E5DFEC"/>
      </w:tcPr>
    </w:tblStylePr>
  </w:style>
  <w:style w:type="table" w:customStyle="1" w:styleId="1127">
    <w:name w:val="Grid Table 4 - Accent 54"/>
    <w:basedOn w:val="13"/>
    <w:uiPriority w:val="59"/>
    <w:rPr>
      <w:sz w:val="22"/>
      <w:szCs w:val="22"/>
      <w:lang w:eastAsia="en-US"/>
    </w:rPr>
    <w:tblPr>
      <w:tblBorders>
        <w:top w:val="single" w:color="99D0DE" w:sz="4" w:space="0"/>
        <w:left w:val="single" w:color="99D0DE" w:sz="4" w:space="0"/>
        <w:bottom w:val="single" w:color="99D0DE" w:sz="4" w:space="0"/>
        <w:right w:val="single" w:color="99D0DE" w:sz="4" w:space="0"/>
        <w:insideH w:val="single" w:color="99D0DE" w:sz="4" w:space="0"/>
        <w:insideV w:val="single" w:color="99D0DE" w:sz="4" w:space="0"/>
      </w:tblBorders>
      <w:tblCellMar>
        <w:top w:w="0" w:type="dxa"/>
        <w:left w:w="108" w:type="dxa"/>
        <w:bottom w:w="0" w:type="dxa"/>
        <w:right w:w="108" w:type="dxa"/>
      </w:tblCellMar>
    </w:tblPr>
    <w:tblStylePr w:type="firstRow">
      <w:rPr>
        <w:rFonts w:ascii="Arial" w:hAnsi="Arial"/>
        <w:b/>
        <w:color w:val="FFFFFF"/>
        <w:sz w:val="22"/>
      </w:rPr>
      <w:tcPr>
        <w:tcBorders>
          <w:top w:val="single" w:color="4BACC6" w:sz="4" w:space="0"/>
          <w:left w:val="single" w:color="4BACC6" w:sz="4" w:space="0"/>
          <w:bottom w:val="single" w:color="4BACC6" w:sz="4" w:space="0"/>
          <w:right w:val="single" w:color="4BACC6" w:sz="4" w:space="0"/>
        </w:tcBorders>
        <w:shd w:val="clear" w:color="4BACC6" w:fill="4BACC6"/>
      </w:tcPr>
    </w:tblStylePr>
    <w:tblStylePr w:type="lastRow">
      <w:rPr>
        <w:b/>
        <w:color w:val="404040"/>
      </w:rPr>
      <w:tcPr>
        <w:tcBorders>
          <w:top w:val="single" w:color="4BACC6"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DAEEF3" w:fill="DAEEF3"/>
      </w:tcPr>
    </w:tblStylePr>
    <w:tblStylePr w:type="band1Horz">
      <w:rPr>
        <w:rFonts w:ascii="Arial" w:hAnsi="Arial"/>
        <w:color w:val="404040"/>
        <w:sz w:val="22"/>
      </w:rPr>
      <w:tcPr>
        <w:shd w:val="clear" w:color="DAEEF3" w:fill="DAEEF3"/>
      </w:tcPr>
    </w:tblStylePr>
  </w:style>
  <w:style w:type="table" w:customStyle="1" w:styleId="1128">
    <w:name w:val="Grid Table 4 - Accent 64"/>
    <w:basedOn w:val="13"/>
    <w:uiPriority w:val="59"/>
    <w:rPr>
      <w:sz w:val="22"/>
      <w:szCs w:val="22"/>
      <w:lang w:eastAsia="en-US"/>
    </w:rPr>
    <w:tblPr>
      <w:tblBorders>
        <w:top w:val="single" w:color="FAC396" w:sz="4" w:space="0"/>
        <w:left w:val="single" w:color="FAC396" w:sz="4" w:space="0"/>
        <w:bottom w:val="single" w:color="FAC396" w:sz="4" w:space="0"/>
        <w:right w:val="single" w:color="FAC396" w:sz="4" w:space="0"/>
        <w:insideH w:val="single" w:color="FAC396" w:sz="4" w:space="0"/>
        <w:insideV w:val="single" w:color="FAC396" w:sz="4" w:space="0"/>
      </w:tblBorders>
      <w:tblCellMar>
        <w:top w:w="0" w:type="dxa"/>
        <w:left w:w="108" w:type="dxa"/>
        <w:bottom w:w="0" w:type="dxa"/>
        <w:right w:w="108" w:type="dxa"/>
      </w:tblCellMar>
    </w:tblPr>
    <w:tblStylePr w:type="firstRow">
      <w:rPr>
        <w:rFonts w:ascii="Arial" w:hAnsi="Arial"/>
        <w:b/>
        <w:color w:val="FFFFFF"/>
        <w:sz w:val="22"/>
      </w:rPr>
      <w:tcPr>
        <w:tcBorders>
          <w:top w:val="single" w:color="F79646" w:sz="4" w:space="0"/>
          <w:left w:val="single" w:color="F79646" w:sz="4" w:space="0"/>
          <w:bottom w:val="single" w:color="F79646" w:sz="4" w:space="0"/>
          <w:right w:val="single" w:color="F79646" w:sz="4" w:space="0"/>
        </w:tcBorders>
        <w:shd w:val="clear" w:color="F79646" w:fill="F79646"/>
      </w:tcPr>
    </w:tblStylePr>
    <w:tblStylePr w:type="lastRow">
      <w:rPr>
        <w:b/>
        <w:color w:val="404040"/>
      </w:rPr>
      <w:tcPr>
        <w:tcBorders>
          <w:top w:val="single" w:color="F79646"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FDE9D8" w:fill="FDE9D8"/>
      </w:tcPr>
    </w:tblStylePr>
    <w:tblStylePr w:type="band1Horz">
      <w:rPr>
        <w:rFonts w:ascii="Arial" w:hAnsi="Arial"/>
        <w:color w:val="404040"/>
        <w:sz w:val="22"/>
      </w:rPr>
      <w:tcPr>
        <w:shd w:val="clear" w:color="FDE9D8" w:fill="FDE9D8"/>
      </w:tcPr>
    </w:tblStylePr>
  </w:style>
  <w:style w:type="table" w:customStyle="1" w:styleId="1129">
    <w:name w:val="Таблица-сетка 5 темная12"/>
    <w:basedOn w:val="13"/>
    <w:uiPriority w:val="99"/>
    <w:rPr>
      <w:sz w:val="22"/>
      <w:szCs w:val="22"/>
      <w:lang w:eastAsia="en-US"/>
    </w:rPr>
    <w:tblPr>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CellMar>
        <w:top w:w="0" w:type="dxa"/>
        <w:left w:w="108" w:type="dxa"/>
        <w:bottom w:w="0" w:type="dxa"/>
        <w:right w:w="108" w:type="dxa"/>
      </w:tblCellMar>
    </w:tblPr>
    <w:tblStylePr w:type="firstRow">
      <w:rPr>
        <w:rFonts w:ascii="Arial" w:hAnsi="Arial"/>
        <w:b/>
        <w:color w:val="FFFFFF"/>
        <w:sz w:val="22"/>
      </w:rPr>
      <w:tcPr>
        <w:shd w:val="clear" w:color="000000" w:fill="000000"/>
      </w:tcPr>
    </w:tblStylePr>
    <w:tblStylePr w:type="lastRow">
      <w:rPr>
        <w:rFonts w:ascii="Arial" w:hAnsi="Arial"/>
        <w:b/>
        <w:color w:val="FFFFFF"/>
        <w:sz w:val="22"/>
      </w:rPr>
      <w:tcPr>
        <w:tcBorders>
          <w:top w:val="single" w:color="FFFFFF" w:sz="4" w:space="0"/>
        </w:tcBorders>
        <w:shd w:val="clear" w:color="000000" w:fill="000000"/>
      </w:tcPr>
    </w:tblStylePr>
    <w:tblStylePr w:type="firstCol">
      <w:rPr>
        <w:rFonts w:ascii="Arial" w:hAnsi="Arial"/>
        <w:b/>
        <w:color w:val="FFFFFF"/>
        <w:sz w:val="22"/>
      </w:rPr>
      <w:tcPr>
        <w:shd w:val="clear" w:color="000000" w:fill="000000"/>
      </w:tcPr>
    </w:tblStylePr>
    <w:tblStylePr w:type="lastCol">
      <w:rPr>
        <w:rFonts w:ascii="Arial" w:hAnsi="Arial"/>
        <w:b/>
        <w:color w:val="FFFFFF"/>
        <w:sz w:val="22"/>
      </w:rPr>
      <w:tcPr>
        <w:shd w:val="clear" w:color="000000" w:fill="000000"/>
      </w:tcPr>
    </w:tblStylePr>
    <w:tblStylePr w:type="band1Vert">
      <w:tcPr>
        <w:shd w:val="clear" w:color="8A8A8A" w:fill="8A8A8A"/>
      </w:tcPr>
    </w:tblStylePr>
    <w:tblStylePr w:type="band1Horz">
      <w:tcPr>
        <w:shd w:val="clear" w:color="8A8A8A" w:fill="8A8A8A"/>
      </w:tcPr>
    </w:tblStylePr>
  </w:style>
  <w:style w:type="table" w:customStyle="1" w:styleId="1130">
    <w:name w:val="Grid Table 5 Dark- Accent 14"/>
    <w:basedOn w:val="13"/>
    <w:uiPriority w:val="99"/>
    <w:rPr>
      <w:sz w:val="22"/>
      <w:szCs w:val="22"/>
      <w:lang w:eastAsia="en-US"/>
    </w:rPr>
    <w:tblPr>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CellMar>
        <w:top w:w="0" w:type="dxa"/>
        <w:left w:w="108" w:type="dxa"/>
        <w:bottom w:w="0" w:type="dxa"/>
        <w:right w:w="108" w:type="dxa"/>
      </w:tblCellMar>
    </w:tblPr>
    <w:tblStylePr w:type="firstRow">
      <w:rPr>
        <w:rFonts w:ascii="Arial" w:hAnsi="Arial"/>
        <w:b/>
        <w:color w:val="FFFFFF"/>
        <w:sz w:val="22"/>
      </w:rPr>
      <w:tcPr>
        <w:shd w:val="clear" w:color="4F81BD" w:fill="4F81BD"/>
      </w:tcPr>
    </w:tblStylePr>
    <w:tblStylePr w:type="lastRow">
      <w:rPr>
        <w:rFonts w:ascii="Arial" w:hAnsi="Arial"/>
        <w:b/>
        <w:color w:val="FFFFFF"/>
        <w:sz w:val="22"/>
      </w:rPr>
      <w:tcPr>
        <w:tcBorders>
          <w:top w:val="single" w:color="FFFFFF" w:sz="4" w:space="0"/>
        </w:tcBorders>
        <w:shd w:val="clear" w:color="4F81BD" w:fill="4F81BD"/>
      </w:tcPr>
    </w:tblStylePr>
    <w:tblStylePr w:type="firstCol">
      <w:rPr>
        <w:rFonts w:ascii="Arial" w:hAnsi="Arial"/>
        <w:b/>
        <w:color w:val="FFFFFF"/>
        <w:sz w:val="22"/>
      </w:rPr>
      <w:tcPr>
        <w:shd w:val="clear" w:color="4F81BD" w:fill="4F81BD"/>
      </w:tcPr>
    </w:tblStylePr>
    <w:tblStylePr w:type="lastCol">
      <w:rPr>
        <w:rFonts w:ascii="Arial" w:hAnsi="Arial"/>
        <w:b/>
        <w:color w:val="FFFFFF"/>
        <w:sz w:val="22"/>
      </w:rPr>
      <w:tcPr>
        <w:shd w:val="clear" w:color="4F81BD" w:fill="4F81BD"/>
      </w:tcPr>
    </w:tblStylePr>
    <w:tblStylePr w:type="band1Vert">
      <w:tcPr>
        <w:shd w:val="clear" w:color="AEC4E0" w:fill="AEC4E0"/>
      </w:tcPr>
    </w:tblStylePr>
    <w:tblStylePr w:type="band1Horz">
      <w:tcPr>
        <w:shd w:val="clear" w:color="AEC4E0" w:fill="AEC4E0"/>
      </w:tcPr>
    </w:tblStylePr>
  </w:style>
  <w:style w:type="table" w:customStyle="1" w:styleId="1131">
    <w:name w:val="Grid Table 5 Dark - Accent 24"/>
    <w:basedOn w:val="13"/>
    <w:uiPriority w:val="99"/>
    <w:rPr>
      <w:sz w:val="22"/>
      <w:szCs w:val="22"/>
      <w:lang w:eastAsia="en-US"/>
    </w:rPr>
    <w:tblPr>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CellMar>
        <w:top w:w="0" w:type="dxa"/>
        <w:left w:w="108" w:type="dxa"/>
        <w:bottom w:w="0" w:type="dxa"/>
        <w:right w:w="108" w:type="dxa"/>
      </w:tblCellMar>
    </w:tblPr>
    <w:tblStylePr w:type="firstRow">
      <w:rPr>
        <w:rFonts w:ascii="Arial" w:hAnsi="Arial"/>
        <w:b/>
        <w:color w:val="FFFFFF"/>
        <w:sz w:val="22"/>
      </w:rPr>
      <w:tcPr>
        <w:shd w:val="clear" w:color="C0504D" w:fill="C0504D"/>
      </w:tcPr>
    </w:tblStylePr>
    <w:tblStylePr w:type="lastRow">
      <w:rPr>
        <w:rFonts w:ascii="Arial" w:hAnsi="Arial"/>
        <w:b/>
        <w:color w:val="FFFFFF"/>
        <w:sz w:val="22"/>
      </w:rPr>
      <w:tcPr>
        <w:tcBorders>
          <w:top w:val="single" w:color="FFFFFF" w:sz="4" w:space="0"/>
        </w:tcBorders>
        <w:shd w:val="clear" w:color="C0504D" w:fill="C0504D"/>
      </w:tcPr>
    </w:tblStylePr>
    <w:tblStylePr w:type="firstCol">
      <w:rPr>
        <w:rFonts w:ascii="Arial" w:hAnsi="Arial"/>
        <w:b/>
        <w:color w:val="FFFFFF"/>
        <w:sz w:val="22"/>
      </w:rPr>
      <w:tcPr>
        <w:shd w:val="clear" w:color="C0504D" w:fill="C0504D"/>
      </w:tcPr>
    </w:tblStylePr>
    <w:tblStylePr w:type="lastCol">
      <w:rPr>
        <w:rFonts w:ascii="Arial" w:hAnsi="Arial"/>
        <w:b/>
        <w:color w:val="FFFFFF"/>
        <w:sz w:val="22"/>
      </w:rPr>
      <w:tcPr>
        <w:shd w:val="clear" w:color="C0504D" w:fill="C0504D"/>
      </w:tcPr>
    </w:tblStylePr>
    <w:tblStylePr w:type="band1Vert">
      <w:tcPr>
        <w:shd w:val="clear" w:color="E2AEAD" w:fill="E2AEAD"/>
      </w:tcPr>
    </w:tblStylePr>
    <w:tblStylePr w:type="band1Horz">
      <w:tcPr>
        <w:shd w:val="clear" w:color="E2AEAD" w:fill="E2AEAD"/>
      </w:tcPr>
    </w:tblStylePr>
  </w:style>
  <w:style w:type="table" w:customStyle="1" w:styleId="1132">
    <w:name w:val="Grid Table 5 Dark - Accent 34"/>
    <w:basedOn w:val="13"/>
    <w:qFormat/>
    <w:uiPriority w:val="99"/>
    <w:rPr>
      <w:sz w:val="22"/>
      <w:szCs w:val="22"/>
      <w:lang w:eastAsia="en-US"/>
    </w:rPr>
    <w:tblPr>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CellMar>
        <w:top w:w="0" w:type="dxa"/>
        <w:left w:w="108" w:type="dxa"/>
        <w:bottom w:w="0" w:type="dxa"/>
        <w:right w:w="108" w:type="dxa"/>
      </w:tblCellMar>
    </w:tblPr>
    <w:tblStylePr w:type="firstRow">
      <w:rPr>
        <w:rFonts w:ascii="Arial" w:hAnsi="Arial"/>
        <w:b/>
        <w:color w:val="FFFFFF"/>
        <w:sz w:val="22"/>
      </w:rPr>
      <w:tcPr>
        <w:shd w:val="clear" w:color="9BBB59" w:fill="9BBB59"/>
      </w:tcPr>
    </w:tblStylePr>
    <w:tblStylePr w:type="lastRow">
      <w:rPr>
        <w:rFonts w:ascii="Arial" w:hAnsi="Arial"/>
        <w:b/>
        <w:color w:val="FFFFFF"/>
        <w:sz w:val="22"/>
      </w:rPr>
      <w:tcPr>
        <w:tcBorders>
          <w:top w:val="single" w:color="FFFFFF" w:sz="4" w:space="0"/>
        </w:tcBorders>
        <w:shd w:val="clear" w:color="9BBB59" w:fill="9BBB59"/>
      </w:tcPr>
    </w:tblStylePr>
    <w:tblStylePr w:type="firstCol">
      <w:rPr>
        <w:rFonts w:ascii="Arial" w:hAnsi="Arial"/>
        <w:b/>
        <w:color w:val="FFFFFF"/>
        <w:sz w:val="22"/>
      </w:rPr>
      <w:tcPr>
        <w:shd w:val="clear" w:color="9BBB59" w:fill="9BBB59"/>
      </w:tcPr>
    </w:tblStylePr>
    <w:tblStylePr w:type="lastCol">
      <w:rPr>
        <w:rFonts w:ascii="Arial" w:hAnsi="Arial"/>
        <w:b/>
        <w:color w:val="FFFFFF"/>
        <w:sz w:val="22"/>
      </w:rPr>
      <w:tcPr>
        <w:shd w:val="clear" w:color="9BBB59" w:fill="9BBB59"/>
      </w:tcPr>
    </w:tblStylePr>
    <w:tblStylePr w:type="band1Vert">
      <w:tcPr>
        <w:shd w:val="clear" w:color="D0DFB2" w:fill="D0DFB2"/>
      </w:tcPr>
    </w:tblStylePr>
    <w:tblStylePr w:type="band1Horz">
      <w:tcPr>
        <w:shd w:val="clear" w:color="D0DFB2" w:fill="D0DFB2"/>
      </w:tcPr>
    </w:tblStylePr>
  </w:style>
  <w:style w:type="table" w:customStyle="1" w:styleId="1133">
    <w:name w:val="Grid Table 5 Dark- Accent 44"/>
    <w:basedOn w:val="13"/>
    <w:uiPriority w:val="99"/>
    <w:rPr>
      <w:sz w:val="22"/>
      <w:szCs w:val="22"/>
      <w:lang w:eastAsia="en-US"/>
    </w:rPr>
    <w:tblPr>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CellMar>
        <w:top w:w="0" w:type="dxa"/>
        <w:left w:w="108" w:type="dxa"/>
        <w:bottom w:w="0" w:type="dxa"/>
        <w:right w:w="108" w:type="dxa"/>
      </w:tblCellMar>
    </w:tblPr>
    <w:tblStylePr w:type="firstRow">
      <w:rPr>
        <w:rFonts w:ascii="Arial" w:hAnsi="Arial"/>
        <w:b/>
        <w:color w:val="FFFFFF"/>
        <w:sz w:val="22"/>
      </w:rPr>
      <w:tcPr>
        <w:shd w:val="clear" w:color="8064A2" w:fill="8064A2"/>
      </w:tcPr>
    </w:tblStylePr>
    <w:tblStylePr w:type="lastRow">
      <w:rPr>
        <w:rFonts w:ascii="Arial" w:hAnsi="Arial"/>
        <w:b/>
        <w:color w:val="FFFFFF"/>
        <w:sz w:val="22"/>
      </w:rPr>
      <w:tcPr>
        <w:tcBorders>
          <w:top w:val="single" w:color="FFFFFF" w:sz="4" w:space="0"/>
        </w:tcBorders>
        <w:shd w:val="clear" w:color="8064A2" w:fill="8064A2"/>
      </w:tcPr>
    </w:tblStylePr>
    <w:tblStylePr w:type="firstCol">
      <w:rPr>
        <w:rFonts w:ascii="Arial" w:hAnsi="Arial"/>
        <w:b/>
        <w:color w:val="FFFFFF"/>
        <w:sz w:val="22"/>
      </w:rPr>
      <w:tcPr>
        <w:shd w:val="clear" w:color="8064A2" w:fill="8064A2"/>
      </w:tcPr>
    </w:tblStylePr>
    <w:tblStylePr w:type="lastCol">
      <w:rPr>
        <w:rFonts w:ascii="Arial" w:hAnsi="Arial"/>
        <w:b/>
        <w:color w:val="FFFFFF"/>
        <w:sz w:val="22"/>
      </w:rPr>
      <w:tcPr>
        <w:shd w:val="clear" w:color="8064A2" w:fill="8064A2"/>
      </w:tcPr>
    </w:tblStylePr>
    <w:tblStylePr w:type="band1Vert">
      <w:tcPr>
        <w:shd w:val="clear" w:color="C4B7D4" w:fill="C4B7D4"/>
      </w:tcPr>
    </w:tblStylePr>
    <w:tblStylePr w:type="band1Horz">
      <w:tcPr>
        <w:shd w:val="clear" w:color="C4B7D4" w:fill="C4B7D4"/>
      </w:tcPr>
    </w:tblStylePr>
  </w:style>
  <w:style w:type="table" w:customStyle="1" w:styleId="1134">
    <w:name w:val="Grid Table 5 Dark - Accent 54"/>
    <w:basedOn w:val="13"/>
    <w:uiPriority w:val="99"/>
    <w:rPr>
      <w:sz w:val="22"/>
      <w:szCs w:val="22"/>
      <w:lang w:eastAsia="en-US"/>
    </w:rPr>
    <w:tblPr>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CellMar>
        <w:top w:w="0" w:type="dxa"/>
        <w:left w:w="108" w:type="dxa"/>
        <w:bottom w:w="0" w:type="dxa"/>
        <w:right w:w="108" w:type="dxa"/>
      </w:tblCellMar>
    </w:tblPr>
    <w:tblStylePr w:type="firstRow">
      <w:rPr>
        <w:rFonts w:ascii="Arial" w:hAnsi="Arial"/>
        <w:b/>
        <w:color w:val="FFFFFF"/>
        <w:sz w:val="22"/>
      </w:rPr>
      <w:tcPr>
        <w:shd w:val="clear" w:color="4BACC6" w:fill="4BACC6"/>
      </w:tcPr>
    </w:tblStylePr>
    <w:tblStylePr w:type="lastRow">
      <w:rPr>
        <w:rFonts w:ascii="Arial" w:hAnsi="Arial"/>
        <w:b/>
        <w:color w:val="FFFFFF"/>
        <w:sz w:val="22"/>
      </w:rPr>
      <w:tcPr>
        <w:tcBorders>
          <w:top w:val="single" w:color="FFFFFF" w:sz="4" w:space="0"/>
        </w:tcBorders>
        <w:shd w:val="clear" w:color="4BACC6" w:fill="4BACC6"/>
      </w:tcPr>
    </w:tblStylePr>
    <w:tblStylePr w:type="firstCol">
      <w:rPr>
        <w:rFonts w:ascii="Arial" w:hAnsi="Arial"/>
        <w:b/>
        <w:color w:val="FFFFFF"/>
        <w:sz w:val="22"/>
      </w:rPr>
      <w:tcPr>
        <w:shd w:val="clear" w:color="4BACC6" w:fill="4BACC6"/>
      </w:tcPr>
    </w:tblStylePr>
    <w:tblStylePr w:type="lastCol">
      <w:rPr>
        <w:rFonts w:ascii="Arial" w:hAnsi="Arial"/>
        <w:b/>
        <w:color w:val="FFFFFF"/>
        <w:sz w:val="22"/>
      </w:rPr>
      <w:tcPr>
        <w:shd w:val="clear" w:color="4BACC6" w:fill="4BACC6"/>
      </w:tcPr>
    </w:tblStylePr>
    <w:tblStylePr w:type="band1Vert">
      <w:tcPr>
        <w:shd w:val="clear" w:color="ACD8E4" w:fill="ACD8E4"/>
      </w:tcPr>
    </w:tblStylePr>
    <w:tblStylePr w:type="band1Horz">
      <w:tcPr>
        <w:shd w:val="clear" w:color="ACD8E4" w:fill="ACD8E4"/>
      </w:tcPr>
    </w:tblStylePr>
  </w:style>
  <w:style w:type="table" w:customStyle="1" w:styleId="1135">
    <w:name w:val="Grid Table 5 Dark - Accent 64"/>
    <w:basedOn w:val="13"/>
    <w:uiPriority w:val="99"/>
    <w:rPr>
      <w:sz w:val="22"/>
      <w:szCs w:val="22"/>
      <w:lang w:eastAsia="en-US"/>
    </w:rPr>
    <w:tblPr>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CellMar>
        <w:top w:w="0" w:type="dxa"/>
        <w:left w:w="108" w:type="dxa"/>
        <w:bottom w:w="0" w:type="dxa"/>
        <w:right w:w="108" w:type="dxa"/>
      </w:tblCellMar>
    </w:tblPr>
    <w:tblStylePr w:type="firstRow">
      <w:rPr>
        <w:rFonts w:ascii="Arial" w:hAnsi="Arial"/>
        <w:b/>
        <w:color w:val="FFFFFF"/>
        <w:sz w:val="22"/>
      </w:rPr>
      <w:tcPr>
        <w:shd w:val="clear" w:color="F79646" w:fill="F79646"/>
      </w:tcPr>
    </w:tblStylePr>
    <w:tblStylePr w:type="lastRow">
      <w:rPr>
        <w:rFonts w:ascii="Arial" w:hAnsi="Arial"/>
        <w:b/>
        <w:color w:val="FFFFFF"/>
        <w:sz w:val="22"/>
      </w:rPr>
      <w:tcPr>
        <w:tcBorders>
          <w:top w:val="single" w:color="FFFFFF" w:sz="4" w:space="0"/>
        </w:tcBorders>
        <w:shd w:val="clear" w:color="F79646" w:fill="F79646"/>
      </w:tcPr>
    </w:tblStylePr>
    <w:tblStylePr w:type="firstCol">
      <w:rPr>
        <w:rFonts w:ascii="Arial" w:hAnsi="Arial"/>
        <w:b/>
        <w:color w:val="FFFFFF"/>
        <w:sz w:val="22"/>
      </w:rPr>
      <w:tcPr>
        <w:shd w:val="clear" w:color="F79646" w:fill="F79646"/>
      </w:tcPr>
    </w:tblStylePr>
    <w:tblStylePr w:type="lastCol">
      <w:rPr>
        <w:rFonts w:ascii="Arial" w:hAnsi="Arial"/>
        <w:b/>
        <w:color w:val="FFFFFF"/>
        <w:sz w:val="22"/>
      </w:rPr>
      <w:tcPr>
        <w:shd w:val="clear" w:color="F79646" w:fill="F79646"/>
      </w:tcPr>
    </w:tblStylePr>
    <w:tblStylePr w:type="band1Vert">
      <w:tcPr>
        <w:shd w:val="clear" w:color="FBCEAA" w:fill="FBCEAA"/>
      </w:tcPr>
    </w:tblStylePr>
    <w:tblStylePr w:type="band1Horz">
      <w:tcPr>
        <w:shd w:val="clear" w:color="FBCEAA" w:fill="FBCEAA"/>
      </w:tcPr>
    </w:tblStylePr>
  </w:style>
  <w:style w:type="table" w:customStyle="1" w:styleId="1136">
    <w:name w:val="Таблица-сетка 6 цветная12"/>
    <w:basedOn w:val="13"/>
    <w:uiPriority w:val="99"/>
    <w:rPr>
      <w:sz w:val="22"/>
      <w:szCs w:val="22"/>
      <w:lang w:eastAsia="en-US"/>
    </w:rPr>
    <w:tblPr>
      <w:tblBorders>
        <w:top w:val="single" w:color="7F7F7F" w:sz="4" w:space="0"/>
        <w:left w:val="single" w:color="7F7F7F" w:sz="4" w:space="0"/>
        <w:bottom w:val="single" w:color="7F7F7F" w:sz="4" w:space="0"/>
        <w:right w:val="single" w:color="7F7F7F" w:sz="4" w:space="0"/>
        <w:insideH w:val="single" w:color="7F7F7F" w:sz="4" w:space="0"/>
        <w:insideV w:val="single" w:color="7F7F7F" w:sz="4" w:space="0"/>
      </w:tblBorders>
      <w:tblCellMar>
        <w:top w:w="0" w:type="dxa"/>
        <w:left w:w="108" w:type="dxa"/>
        <w:bottom w:w="0" w:type="dxa"/>
        <w:right w:w="108" w:type="dxa"/>
      </w:tblCellMar>
    </w:tblPr>
    <w:tblStylePr w:type="firstRow">
      <w:rPr>
        <w:b/>
        <w:color w:val="7F7F7F"/>
      </w:rPr>
      <w:tcPr>
        <w:tcBorders>
          <w:bottom w:val="single" w:color="7F7F7F" w:sz="12" w:space="0"/>
        </w:tcBorders>
      </w:tcPr>
    </w:tblStylePr>
    <w:tblStylePr w:type="lastRow">
      <w:rPr>
        <w:b/>
        <w:color w:val="7F7F7F"/>
      </w:rPr>
    </w:tblStylePr>
    <w:tblStylePr w:type="firstCol">
      <w:rPr>
        <w:b/>
        <w:color w:val="7F7F7F"/>
      </w:rPr>
    </w:tblStylePr>
    <w:tblStylePr w:type="lastCol">
      <w:rPr>
        <w:b/>
        <w:color w:val="7F7F7F"/>
      </w:rPr>
    </w:tblStylePr>
    <w:tblStylePr w:type="band1Vert">
      <w:tcPr>
        <w:shd w:val="clear" w:color="CBCBCB" w:fill="CBCBCB"/>
      </w:tcPr>
    </w:tblStylePr>
    <w:tblStylePr w:type="band1Horz">
      <w:rPr>
        <w:rFonts w:ascii="Arial" w:hAnsi="Arial"/>
        <w:color w:val="7F7F7F"/>
        <w:sz w:val="22"/>
      </w:rPr>
      <w:tcPr>
        <w:shd w:val="clear" w:color="CBCBCB" w:fill="CBCBCB"/>
      </w:tcPr>
    </w:tblStylePr>
    <w:tblStylePr w:type="band2Horz">
      <w:rPr>
        <w:rFonts w:ascii="Arial" w:hAnsi="Arial"/>
        <w:color w:val="7F7F7F"/>
        <w:sz w:val="22"/>
      </w:rPr>
    </w:tblStylePr>
  </w:style>
  <w:style w:type="table" w:customStyle="1" w:styleId="1137">
    <w:name w:val="Grid Table 6 Colorful - Accent 14"/>
    <w:basedOn w:val="13"/>
    <w:uiPriority w:val="99"/>
    <w:rPr>
      <w:sz w:val="22"/>
      <w:szCs w:val="22"/>
      <w:lang w:eastAsia="en-US"/>
    </w:rPr>
    <w:tblPr>
      <w:tblBorders>
        <w:top w:val="single" w:color="A6BFDD" w:sz="4" w:space="0"/>
        <w:left w:val="single" w:color="A6BFDD" w:sz="4" w:space="0"/>
        <w:bottom w:val="single" w:color="A6BFDD" w:sz="4" w:space="0"/>
        <w:right w:val="single" w:color="A6BFDD" w:sz="4" w:space="0"/>
        <w:insideH w:val="single" w:color="A6BFDD" w:sz="4" w:space="0"/>
        <w:insideV w:val="single" w:color="A6BFDD" w:sz="4" w:space="0"/>
      </w:tblBorders>
      <w:tblCellMar>
        <w:top w:w="0" w:type="dxa"/>
        <w:left w:w="108" w:type="dxa"/>
        <w:bottom w:w="0" w:type="dxa"/>
        <w:right w:w="108" w:type="dxa"/>
      </w:tblCellMar>
    </w:tblPr>
    <w:tblStylePr w:type="firstRow">
      <w:rPr>
        <w:b/>
        <w:color w:val="A6BFDD"/>
      </w:rPr>
      <w:tcPr>
        <w:tcBorders>
          <w:bottom w:val="single" w:color="A6BFDD" w:sz="12" w:space="0"/>
        </w:tcBorders>
      </w:tcPr>
    </w:tblStylePr>
    <w:tblStylePr w:type="lastRow">
      <w:rPr>
        <w:b/>
        <w:color w:val="A6BFDD"/>
      </w:rPr>
    </w:tblStylePr>
    <w:tblStylePr w:type="firstCol">
      <w:rPr>
        <w:b/>
        <w:color w:val="A6BFDD"/>
      </w:rPr>
    </w:tblStylePr>
    <w:tblStylePr w:type="lastCol">
      <w:rPr>
        <w:b/>
        <w:color w:val="A6BFDD"/>
      </w:rPr>
    </w:tblStylePr>
    <w:tblStylePr w:type="band1Vert">
      <w:tcPr>
        <w:shd w:val="clear" w:color="DAE5F1" w:fill="DAE5F1"/>
      </w:tcPr>
    </w:tblStylePr>
    <w:tblStylePr w:type="band1Horz">
      <w:rPr>
        <w:rFonts w:ascii="Arial" w:hAnsi="Arial"/>
        <w:color w:val="A6BFDD"/>
        <w:sz w:val="22"/>
      </w:rPr>
      <w:tcPr>
        <w:shd w:val="clear" w:color="DAE5F1" w:fill="DAE5F1"/>
      </w:tcPr>
    </w:tblStylePr>
    <w:tblStylePr w:type="band2Horz">
      <w:rPr>
        <w:rFonts w:ascii="Arial" w:hAnsi="Arial"/>
        <w:color w:val="A6BFDD"/>
        <w:sz w:val="22"/>
      </w:rPr>
    </w:tblStylePr>
  </w:style>
  <w:style w:type="table" w:customStyle="1" w:styleId="1138">
    <w:name w:val="Grid Table 6 Colorful - Accent 24"/>
    <w:basedOn w:val="13"/>
    <w:uiPriority w:val="99"/>
    <w:rPr>
      <w:sz w:val="22"/>
      <w:szCs w:val="22"/>
      <w:lang w:eastAsia="en-US"/>
    </w:rPr>
    <w:tblPr>
      <w:tblBorders>
        <w:top w:val="single" w:color="D99695" w:sz="4" w:space="0"/>
        <w:left w:val="single" w:color="D99695" w:sz="4" w:space="0"/>
        <w:bottom w:val="single" w:color="D99695" w:sz="4" w:space="0"/>
        <w:right w:val="single" w:color="D99695" w:sz="4" w:space="0"/>
        <w:insideH w:val="single" w:color="D99695" w:sz="4" w:space="0"/>
        <w:insideV w:val="single" w:color="D99695" w:sz="4" w:space="0"/>
      </w:tblBorders>
      <w:tblCellMar>
        <w:top w:w="0" w:type="dxa"/>
        <w:left w:w="108" w:type="dxa"/>
        <w:bottom w:w="0" w:type="dxa"/>
        <w:right w:w="108" w:type="dxa"/>
      </w:tblCellMar>
    </w:tblPr>
    <w:tblStylePr w:type="firstRow">
      <w:rPr>
        <w:b/>
        <w:color w:val="D99695"/>
      </w:rPr>
      <w:tcPr>
        <w:tcBorders>
          <w:bottom w:val="single" w:color="D99695" w:sz="12" w:space="0"/>
        </w:tcBorders>
      </w:tcPr>
    </w:tblStylePr>
    <w:tblStylePr w:type="lastRow">
      <w:rPr>
        <w:b/>
        <w:color w:val="D99695"/>
      </w:rPr>
    </w:tblStylePr>
    <w:tblStylePr w:type="firstCol">
      <w:rPr>
        <w:b/>
        <w:color w:val="D99695"/>
      </w:rPr>
    </w:tblStylePr>
    <w:tblStylePr w:type="lastCol">
      <w:rPr>
        <w:b/>
        <w:color w:val="D99695"/>
      </w:rPr>
    </w:tblStylePr>
    <w:tblStylePr w:type="band1Vert">
      <w:tcPr>
        <w:shd w:val="clear" w:color="F2DCDC" w:fill="F2DCDC"/>
      </w:tcPr>
    </w:tblStylePr>
    <w:tblStylePr w:type="band1Horz">
      <w:rPr>
        <w:rFonts w:ascii="Arial" w:hAnsi="Arial"/>
        <w:color w:val="D99695"/>
        <w:sz w:val="22"/>
      </w:rPr>
      <w:tcPr>
        <w:shd w:val="clear" w:color="F2DCDC" w:fill="F2DCDC"/>
      </w:tcPr>
    </w:tblStylePr>
    <w:tblStylePr w:type="band2Horz">
      <w:rPr>
        <w:rFonts w:ascii="Arial" w:hAnsi="Arial"/>
        <w:color w:val="D99695"/>
        <w:sz w:val="22"/>
      </w:rPr>
    </w:tblStylePr>
  </w:style>
  <w:style w:type="table" w:customStyle="1" w:styleId="1139">
    <w:name w:val="Grid Table 6 Colorful - Accent 34"/>
    <w:basedOn w:val="13"/>
    <w:uiPriority w:val="99"/>
    <w:rPr>
      <w:sz w:val="22"/>
      <w:szCs w:val="22"/>
      <w:lang w:eastAsia="en-US"/>
    </w:rPr>
    <w:tblPr>
      <w:tblBorders>
        <w:top w:val="single" w:color="9ABB59" w:sz="4" w:space="0"/>
        <w:left w:val="single" w:color="9ABB59" w:sz="4" w:space="0"/>
        <w:bottom w:val="single" w:color="9ABB59" w:sz="4" w:space="0"/>
        <w:right w:val="single" w:color="9ABB59" w:sz="4" w:space="0"/>
        <w:insideH w:val="single" w:color="9ABB59" w:sz="4" w:space="0"/>
        <w:insideV w:val="single" w:color="9ABB59" w:sz="4" w:space="0"/>
      </w:tblBorders>
      <w:tblCellMar>
        <w:top w:w="0" w:type="dxa"/>
        <w:left w:w="108" w:type="dxa"/>
        <w:bottom w:w="0" w:type="dxa"/>
        <w:right w:w="108" w:type="dxa"/>
      </w:tblCellMar>
    </w:tblPr>
    <w:tblStylePr w:type="firstRow">
      <w:rPr>
        <w:b/>
        <w:color w:val="9ABB59"/>
      </w:rPr>
      <w:tcPr>
        <w:tcBorders>
          <w:bottom w:val="single" w:color="9ABB59" w:sz="12" w:space="0"/>
        </w:tcBorders>
      </w:tcPr>
    </w:tblStylePr>
    <w:tblStylePr w:type="lastRow">
      <w:rPr>
        <w:b/>
        <w:color w:val="9ABB59"/>
      </w:rPr>
    </w:tblStylePr>
    <w:tblStylePr w:type="firstCol">
      <w:rPr>
        <w:b/>
        <w:color w:val="9ABB59"/>
      </w:rPr>
    </w:tblStylePr>
    <w:tblStylePr w:type="lastCol">
      <w:rPr>
        <w:b/>
        <w:color w:val="9ABB59"/>
      </w:rPr>
    </w:tblStylePr>
    <w:tblStylePr w:type="band1Vert">
      <w:tcPr>
        <w:shd w:val="clear" w:color="EAF1DC" w:fill="EAF1DC"/>
      </w:tcPr>
    </w:tblStylePr>
    <w:tblStylePr w:type="band1Horz">
      <w:rPr>
        <w:rFonts w:ascii="Arial" w:hAnsi="Arial"/>
        <w:color w:val="9ABB59"/>
        <w:sz w:val="22"/>
      </w:rPr>
      <w:tcPr>
        <w:shd w:val="clear" w:color="EAF1DC" w:fill="EAF1DC"/>
      </w:tcPr>
    </w:tblStylePr>
    <w:tblStylePr w:type="band2Horz">
      <w:rPr>
        <w:rFonts w:ascii="Arial" w:hAnsi="Arial"/>
        <w:color w:val="9ABB59"/>
        <w:sz w:val="22"/>
      </w:rPr>
    </w:tblStylePr>
  </w:style>
  <w:style w:type="table" w:customStyle="1" w:styleId="1140">
    <w:name w:val="Grid Table 6 Colorful - Accent 44"/>
    <w:basedOn w:val="13"/>
    <w:uiPriority w:val="99"/>
    <w:rPr>
      <w:sz w:val="22"/>
      <w:szCs w:val="22"/>
      <w:lang w:eastAsia="en-US"/>
    </w:rPr>
    <w:tblPr>
      <w:tblBorders>
        <w:top w:val="single" w:color="B2A1C6" w:sz="4" w:space="0"/>
        <w:left w:val="single" w:color="B2A1C6" w:sz="4" w:space="0"/>
        <w:bottom w:val="single" w:color="B2A1C6" w:sz="4" w:space="0"/>
        <w:right w:val="single" w:color="B2A1C6" w:sz="4" w:space="0"/>
        <w:insideH w:val="single" w:color="B2A1C6" w:sz="4" w:space="0"/>
        <w:insideV w:val="single" w:color="B2A1C6" w:sz="4" w:space="0"/>
      </w:tblBorders>
      <w:tblCellMar>
        <w:top w:w="0" w:type="dxa"/>
        <w:left w:w="108" w:type="dxa"/>
        <w:bottom w:w="0" w:type="dxa"/>
        <w:right w:w="108" w:type="dxa"/>
      </w:tblCellMar>
    </w:tblPr>
    <w:tblStylePr w:type="firstRow">
      <w:rPr>
        <w:b/>
        <w:color w:val="B2A1C6"/>
      </w:rPr>
      <w:tcPr>
        <w:tcBorders>
          <w:bottom w:val="single" w:color="B2A1C6" w:sz="12" w:space="0"/>
        </w:tcBorders>
      </w:tcPr>
    </w:tblStylePr>
    <w:tblStylePr w:type="lastRow">
      <w:rPr>
        <w:b/>
        <w:color w:val="B2A1C6"/>
      </w:rPr>
    </w:tblStylePr>
    <w:tblStylePr w:type="firstCol">
      <w:rPr>
        <w:b/>
        <w:color w:val="B2A1C6"/>
      </w:rPr>
    </w:tblStylePr>
    <w:tblStylePr w:type="lastCol">
      <w:rPr>
        <w:b/>
        <w:color w:val="B2A1C6"/>
      </w:rPr>
    </w:tblStylePr>
    <w:tblStylePr w:type="band1Vert">
      <w:tcPr>
        <w:shd w:val="clear" w:color="E5DFEC" w:fill="E5DFEC"/>
      </w:tcPr>
    </w:tblStylePr>
    <w:tblStylePr w:type="band1Horz">
      <w:rPr>
        <w:rFonts w:ascii="Arial" w:hAnsi="Arial"/>
        <w:color w:val="B2A1C6"/>
        <w:sz w:val="22"/>
      </w:rPr>
      <w:tcPr>
        <w:shd w:val="clear" w:color="E5DFEC" w:fill="E5DFEC"/>
      </w:tcPr>
    </w:tblStylePr>
    <w:tblStylePr w:type="band2Horz">
      <w:rPr>
        <w:rFonts w:ascii="Arial" w:hAnsi="Arial"/>
        <w:color w:val="B2A1C6"/>
        <w:sz w:val="22"/>
      </w:rPr>
    </w:tblStylePr>
  </w:style>
  <w:style w:type="table" w:customStyle="1" w:styleId="1141">
    <w:name w:val="Grid Table 6 Colorful - Accent 54"/>
    <w:basedOn w:val="13"/>
    <w:uiPriority w:val="99"/>
    <w:rPr>
      <w:sz w:val="22"/>
      <w:szCs w:val="22"/>
      <w:lang w:eastAsia="en-US"/>
    </w:rPr>
    <w:tblPr>
      <w:tblBorders>
        <w:top w:val="single" w:color="4BACC6" w:sz="4" w:space="0"/>
        <w:left w:val="single" w:color="4BACC6" w:sz="4" w:space="0"/>
        <w:bottom w:val="single" w:color="4BACC6" w:sz="4" w:space="0"/>
        <w:right w:val="single" w:color="4BACC6" w:sz="4" w:space="0"/>
        <w:insideH w:val="single" w:color="4BACC6" w:sz="4" w:space="0"/>
        <w:insideV w:val="single" w:color="4BACC6" w:sz="4" w:space="0"/>
      </w:tblBorders>
      <w:tblCellMar>
        <w:top w:w="0" w:type="dxa"/>
        <w:left w:w="108" w:type="dxa"/>
        <w:bottom w:w="0" w:type="dxa"/>
        <w:right w:w="108" w:type="dxa"/>
      </w:tblCellMar>
    </w:tblPr>
    <w:tblStylePr w:type="firstRow">
      <w:rPr>
        <w:b/>
        <w:color w:val="266779"/>
      </w:rPr>
      <w:tcPr>
        <w:tcBorders>
          <w:bottom w:val="single" w:color="4BACC6" w:sz="12" w:space="0"/>
        </w:tcBorders>
      </w:tcPr>
    </w:tblStylePr>
    <w:tblStylePr w:type="lastRow">
      <w:rPr>
        <w:b/>
        <w:color w:val="266779"/>
      </w:rPr>
    </w:tblStylePr>
    <w:tblStylePr w:type="firstCol">
      <w:rPr>
        <w:b/>
        <w:color w:val="266779"/>
      </w:rPr>
    </w:tblStylePr>
    <w:tblStylePr w:type="lastCol">
      <w:rPr>
        <w:b/>
        <w:color w:val="266779"/>
      </w:rPr>
    </w:tblStylePr>
    <w:tblStylePr w:type="band1Vert">
      <w:tcPr>
        <w:shd w:val="clear" w:color="DAEEF3" w:fill="DAEEF3"/>
      </w:tcPr>
    </w:tblStylePr>
    <w:tblStylePr w:type="band1Horz">
      <w:rPr>
        <w:rFonts w:ascii="Arial" w:hAnsi="Arial"/>
        <w:color w:val="266779"/>
        <w:sz w:val="22"/>
      </w:rPr>
      <w:tcPr>
        <w:shd w:val="clear" w:color="DAEEF3" w:fill="DAEEF3"/>
      </w:tcPr>
    </w:tblStylePr>
    <w:tblStylePr w:type="band2Horz">
      <w:rPr>
        <w:rFonts w:ascii="Arial" w:hAnsi="Arial"/>
        <w:color w:val="266779"/>
        <w:sz w:val="22"/>
      </w:rPr>
    </w:tblStylePr>
  </w:style>
  <w:style w:type="table" w:customStyle="1" w:styleId="1142">
    <w:name w:val="Grid Table 6 Colorful - Accent 64"/>
    <w:basedOn w:val="13"/>
    <w:uiPriority w:val="99"/>
    <w:rPr>
      <w:sz w:val="22"/>
      <w:szCs w:val="22"/>
      <w:lang w:eastAsia="en-US"/>
    </w:rPr>
    <w:tblPr>
      <w:tblBorders>
        <w:top w:val="single" w:color="F79646" w:sz="4" w:space="0"/>
        <w:left w:val="single" w:color="F79646" w:sz="4" w:space="0"/>
        <w:bottom w:val="single" w:color="F79646" w:sz="4" w:space="0"/>
        <w:right w:val="single" w:color="F79646" w:sz="4" w:space="0"/>
        <w:insideH w:val="single" w:color="F79646" w:sz="4" w:space="0"/>
        <w:insideV w:val="single" w:color="F79646" w:sz="4" w:space="0"/>
      </w:tblBorders>
      <w:tblCellMar>
        <w:top w:w="0" w:type="dxa"/>
        <w:left w:w="108" w:type="dxa"/>
        <w:bottom w:w="0" w:type="dxa"/>
        <w:right w:w="108" w:type="dxa"/>
      </w:tblCellMar>
    </w:tblPr>
    <w:tblStylePr w:type="firstRow">
      <w:rPr>
        <w:b/>
        <w:color w:val="266779"/>
      </w:rPr>
      <w:tcPr>
        <w:tcBorders>
          <w:bottom w:val="single" w:color="F79646" w:sz="12" w:space="0"/>
        </w:tcBorders>
      </w:tcPr>
    </w:tblStylePr>
    <w:tblStylePr w:type="lastRow">
      <w:rPr>
        <w:b/>
        <w:color w:val="266779"/>
      </w:rPr>
    </w:tblStylePr>
    <w:tblStylePr w:type="firstCol">
      <w:rPr>
        <w:b/>
        <w:color w:val="266779"/>
      </w:rPr>
    </w:tblStylePr>
    <w:tblStylePr w:type="lastCol">
      <w:rPr>
        <w:b/>
        <w:color w:val="266779"/>
      </w:rPr>
    </w:tblStylePr>
    <w:tblStylePr w:type="band1Vert">
      <w:tcPr>
        <w:shd w:val="clear" w:color="FDE9D8" w:fill="FDE9D8"/>
      </w:tcPr>
    </w:tblStylePr>
    <w:tblStylePr w:type="band1Horz">
      <w:rPr>
        <w:rFonts w:ascii="Arial" w:hAnsi="Arial"/>
        <w:color w:val="266779"/>
        <w:sz w:val="22"/>
      </w:rPr>
      <w:tcPr>
        <w:shd w:val="clear" w:color="FDE9D8" w:fill="FDE9D8"/>
      </w:tcPr>
    </w:tblStylePr>
    <w:tblStylePr w:type="band2Horz">
      <w:rPr>
        <w:rFonts w:ascii="Arial" w:hAnsi="Arial"/>
        <w:color w:val="266779"/>
        <w:sz w:val="22"/>
      </w:rPr>
    </w:tblStylePr>
  </w:style>
  <w:style w:type="table" w:customStyle="1" w:styleId="1143">
    <w:name w:val="Таблица-сетка 7 цветная12"/>
    <w:basedOn w:val="13"/>
    <w:uiPriority w:val="99"/>
    <w:rPr>
      <w:sz w:val="22"/>
      <w:szCs w:val="22"/>
      <w:lang w:eastAsia="en-US"/>
    </w:rPr>
    <w:tblPr>
      <w:tblBorders>
        <w:bottom w:val="single" w:color="7F7F7F" w:sz="4" w:space="0"/>
        <w:right w:val="single" w:color="7F7F7F" w:sz="4" w:space="0"/>
        <w:insideH w:val="single" w:color="7F7F7F" w:sz="4" w:space="0"/>
        <w:insideV w:val="single" w:color="7F7F7F" w:sz="4" w:space="0"/>
      </w:tblBorders>
      <w:tblCellMar>
        <w:top w:w="0" w:type="dxa"/>
        <w:left w:w="108" w:type="dxa"/>
        <w:bottom w:w="0" w:type="dxa"/>
        <w:right w:w="108" w:type="dxa"/>
      </w:tblCellMar>
    </w:tblPr>
    <w:tblStylePr w:type="firstRow">
      <w:rPr>
        <w:rFonts w:ascii="Arial" w:hAnsi="Arial"/>
        <w:b/>
        <w:color w:val="7F7F7F"/>
        <w:sz w:val="22"/>
      </w:rPr>
      <w:tcPr>
        <w:tcBorders>
          <w:top w:val="nil"/>
          <w:left w:val="nil"/>
          <w:bottom w:val="single" w:color="7F7F7F" w:sz="4" w:space="0"/>
          <w:right w:val="nil"/>
        </w:tcBorders>
        <w:shd w:val="clear" w:color="FFFFFF" w:fill="FFFFFF"/>
      </w:tcPr>
    </w:tblStylePr>
    <w:tblStylePr w:type="lastRow">
      <w:rPr>
        <w:rFonts w:ascii="Arial" w:hAnsi="Arial"/>
        <w:b/>
        <w:color w:val="7F7F7F"/>
        <w:sz w:val="22"/>
      </w:rPr>
      <w:tcPr>
        <w:tcBorders>
          <w:top w:val="single" w:color="7F7F7F" w:sz="4" w:space="0"/>
          <w:left w:val="nil"/>
          <w:bottom w:val="nil"/>
          <w:right w:val="nil"/>
        </w:tcBorders>
        <w:shd w:val="clear" w:color="FFFFFF" w:fill="FFFFFF"/>
      </w:tcPr>
    </w:tblStylePr>
    <w:tblStylePr w:type="firstCol">
      <w:pPr>
        <w:jc w:val="right"/>
      </w:pPr>
      <w:rPr>
        <w:rFonts w:ascii="Arial" w:hAnsi="Arial"/>
        <w:i/>
        <w:color w:val="7F7F7F"/>
        <w:sz w:val="22"/>
      </w:rPr>
      <w:tcPr>
        <w:tcBorders>
          <w:top w:val="nil"/>
          <w:left w:val="nil"/>
          <w:bottom w:val="nil"/>
          <w:right w:val="single" w:color="7F7F7F" w:sz="4" w:space="0"/>
        </w:tcBorders>
        <w:shd w:val="clear" w:color="FFFFFF" w:fill="auto"/>
      </w:tcPr>
    </w:tblStylePr>
    <w:tblStylePr w:type="lastCol">
      <w:rPr>
        <w:rFonts w:ascii="Arial" w:hAnsi="Arial"/>
        <w:i/>
        <w:color w:val="7F7F7F"/>
        <w:sz w:val="22"/>
      </w:rPr>
      <w:tcPr>
        <w:tcBorders>
          <w:top w:val="nil"/>
          <w:left w:val="single" w:color="7F7F7F" w:sz="4" w:space="0"/>
          <w:bottom w:val="nil"/>
          <w:right w:val="nil"/>
        </w:tcBorders>
        <w:shd w:val="clear" w:color="FFFFFF" w:fill="auto"/>
      </w:tcPr>
    </w:tblStylePr>
    <w:tblStylePr w:type="band1Vert">
      <w:tcPr>
        <w:shd w:val="clear" w:color="F2F2F2" w:fill="F2F2F2"/>
      </w:tcPr>
    </w:tblStylePr>
    <w:tblStylePr w:type="band1Horz">
      <w:rPr>
        <w:rFonts w:ascii="Arial" w:hAnsi="Arial"/>
        <w:color w:val="7F7F7F"/>
        <w:sz w:val="22"/>
      </w:rPr>
      <w:tcPr>
        <w:shd w:val="clear" w:color="F2F2F2" w:fill="F2F2F2"/>
      </w:tcPr>
    </w:tblStylePr>
    <w:tblStylePr w:type="band2Horz">
      <w:rPr>
        <w:rFonts w:ascii="Arial" w:hAnsi="Arial"/>
        <w:color w:val="7F7F7F"/>
        <w:sz w:val="22"/>
      </w:rPr>
    </w:tblStylePr>
  </w:style>
  <w:style w:type="table" w:customStyle="1" w:styleId="1144">
    <w:name w:val="Grid Table 7 Colorful - Accent 14"/>
    <w:basedOn w:val="13"/>
    <w:uiPriority w:val="99"/>
    <w:rPr>
      <w:sz w:val="22"/>
      <w:szCs w:val="22"/>
      <w:lang w:eastAsia="en-US"/>
    </w:rPr>
    <w:tblPr>
      <w:tblBorders>
        <w:bottom w:val="single" w:color="A6BFDD" w:sz="4" w:space="0"/>
        <w:right w:val="single" w:color="A6BFDD" w:sz="4" w:space="0"/>
        <w:insideH w:val="single" w:color="A6BFDD" w:sz="4" w:space="0"/>
        <w:insideV w:val="single" w:color="A6BFDD" w:sz="4" w:space="0"/>
      </w:tblBorders>
      <w:tblCellMar>
        <w:top w:w="0" w:type="dxa"/>
        <w:left w:w="108" w:type="dxa"/>
        <w:bottom w:w="0" w:type="dxa"/>
        <w:right w:w="108" w:type="dxa"/>
      </w:tblCellMar>
    </w:tblPr>
    <w:tblStylePr w:type="firstRow">
      <w:rPr>
        <w:rFonts w:ascii="Arial" w:hAnsi="Arial"/>
        <w:b/>
        <w:color w:val="A6BFDD"/>
        <w:sz w:val="22"/>
      </w:rPr>
      <w:tcPr>
        <w:tcBorders>
          <w:top w:val="nil"/>
          <w:left w:val="nil"/>
          <w:bottom w:val="single" w:color="A6BFDD" w:sz="4" w:space="0"/>
          <w:right w:val="nil"/>
        </w:tcBorders>
        <w:shd w:val="clear" w:color="FFFFFF" w:fill="FFFFFF"/>
      </w:tcPr>
    </w:tblStylePr>
    <w:tblStylePr w:type="lastRow">
      <w:rPr>
        <w:rFonts w:ascii="Arial" w:hAnsi="Arial"/>
        <w:b/>
        <w:color w:val="A6BFDD"/>
        <w:sz w:val="22"/>
      </w:rPr>
      <w:tcPr>
        <w:tcBorders>
          <w:top w:val="single" w:color="A6BFDD" w:sz="4" w:space="0"/>
          <w:left w:val="nil"/>
          <w:bottom w:val="nil"/>
          <w:right w:val="nil"/>
        </w:tcBorders>
        <w:shd w:val="clear" w:color="FFFFFF" w:fill="FFFFFF"/>
      </w:tcPr>
    </w:tblStylePr>
    <w:tblStylePr w:type="firstCol">
      <w:pPr>
        <w:jc w:val="right"/>
      </w:pPr>
      <w:rPr>
        <w:rFonts w:ascii="Arial" w:hAnsi="Arial"/>
        <w:i/>
        <w:color w:val="A6BFDD"/>
        <w:sz w:val="22"/>
      </w:rPr>
      <w:tcPr>
        <w:tcBorders>
          <w:top w:val="nil"/>
          <w:left w:val="nil"/>
          <w:bottom w:val="nil"/>
          <w:right w:val="single" w:color="A6BFDD" w:sz="4" w:space="0"/>
        </w:tcBorders>
        <w:shd w:val="clear" w:color="FFFFFF" w:fill="auto"/>
      </w:tcPr>
    </w:tblStylePr>
    <w:tblStylePr w:type="lastCol">
      <w:rPr>
        <w:rFonts w:ascii="Arial" w:hAnsi="Arial"/>
        <w:i/>
        <w:color w:val="A6BFDD"/>
        <w:sz w:val="22"/>
      </w:rPr>
      <w:tcPr>
        <w:tcBorders>
          <w:top w:val="nil"/>
          <w:left w:val="single" w:color="A6BFDD" w:sz="4" w:space="0"/>
          <w:bottom w:val="nil"/>
          <w:right w:val="nil"/>
        </w:tcBorders>
        <w:shd w:val="clear" w:color="FFFFFF" w:fill="auto"/>
      </w:tcPr>
    </w:tblStylePr>
    <w:tblStylePr w:type="band1Vert">
      <w:tcPr>
        <w:shd w:val="clear" w:color="DAE5F1" w:fill="DAE5F1"/>
      </w:tcPr>
    </w:tblStylePr>
    <w:tblStylePr w:type="band1Horz">
      <w:rPr>
        <w:rFonts w:ascii="Arial" w:hAnsi="Arial"/>
        <w:color w:val="A6BFDD"/>
        <w:sz w:val="22"/>
      </w:rPr>
      <w:tcPr>
        <w:shd w:val="clear" w:color="DAE5F1" w:fill="DAE5F1"/>
      </w:tcPr>
    </w:tblStylePr>
    <w:tblStylePr w:type="band2Horz">
      <w:rPr>
        <w:rFonts w:ascii="Arial" w:hAnsi="Arial"/>
        <w:color w:val="A6BFDD"/>
        <w:sz w:val="22"/>
      </w:rPr>
    </w:tblStylePr>
  </w:style>
  <w:style w:type="table" w:customStyle="1" w:styleId="1145">
    <w:name w:val="Grid Table 7 Colorful - Accent 24"/>
    <w:basedOn w:val="13"/>
    <w:uiPriority w:val="99"/>
    <w:rPr>
      <w:sz w:val="22"/>
      <w:szCs w:val="22"/>
      <w:lang w:eastAsia="en-US"/>
    </w:rPr>
    <w:tblPr>
      <w:tblBorders>
        <w:bottom w:val="single" w:color="D99695" w:sz="4" w:space="0"/>
        <w:right w:val="single" w:color="D99695" w:sz="4" w:space="0"/>
        <w:insideH w:val="single" w:color="D99695" w:sz="4" w:space="0"/>
        <w:insideV w:val="single" w:color="D99695" w:sz="4" w:space="0"/>
      </w:tblBorders>
      <w:tblCellMar>
        <w:top w:w="0" w:type="dxa"/>
        <w:left w:w="108" w:type="dxa"/>
        <w:bottom w:w="0" w:type="dxa"/>
        <w:right w:w="108" w:type="dxa"/>
      </w:tblCellMar>
    </w:tblPr>
    <w:tblStylePr w:type="firstRow">
      <w:rPr>
        <w:rFonts w:ascii="Arial" w:hAnsi="Arial"/>
        <w:b/>
        <w:color w:val="D99695"/>
        <w:sz w:val="22"/>
      </w:rPr>
      <w:tcPr>
        <w:tcBorders>
          <w:top w:val="nil"/>
          <w:left w:val="nil"/>
          <w:bottom w:val="single" w:color="D99695" w:sz="4" w:space="0"/>
          <w:right w:val="nil"/>
        </w:tcBorders>
        <w:shd w:val="clear" w:color="FFFFFF" w:fill="FFFFFF"/>
      </w:tcPr>
    </w:tblStylePr>
    <w:tblStylePr w:type="lastRow">
      <w:rPr>
        <w:rFonts w:ascii="Arial" w:hAnsi="Arial"/>
        <w:b/>
        <w:color w:val="D99695"/>
        <w:sz w:val="22"/>
      </w:rPr>
      <w:tcPr>
        <w:tcBorders>
          <w:top w:val="single" w:color="D99695" w:sz="4" w:space="0"/>
          <w:left w:val="nil"/>
          <w:bottom w:val="nil"/>
          <w:right w:val="nil"/>
        </w:tcBorders>
        <w:shd w:val="clear" w:color="FFFFFF" w:fill="FFFFFF"/>
      </w:tcPr>
    </w:tblStylePr>
    <w:tblStylePr w:type="firstCol">
      <w:pPr>
        <w:jc w:val="right"/>
      </w:pPr>
      <w:rPr>
        <w:rFonts w:ascii="Arial" w:hAnsi="Arial"/>
        <w:i/>
        <w:color w:val="D99695"/>
        <w:sz w:val="22"/>
      </w:rPr>
      <w:tcPr>
        <w:tcBorders>
          <w:top w:val="nil"/>
          <w:left w:val="nil"/>
          <w:bottom w:val="nil"/>
          <w:right w:val="single" w:color="D99695" w:sz="4" w:space="0"/>
        </w:tcBorders>
        <w:shd w:val="clear" w:color="FFFFFF" w:fill="auto"/>
      </w:tcPr>
    </w:tblStylePr>
    <w:tblStylePr w:type="lastCol">
      <w:rPr>
        <w:rFonts w:ascii="Arial" w:hAnsi="Arial"/>
        <w:i/>
        <w:color w:val="D99695"/>
        <w:sz w:val="22"/>
      </w:rPr>
      <w:tcPr>
        <w:tcBorders>
          <w:top w:val="nil"/>
          <w:left w:val="single" w:color="D99695" w:sz="4" w:space="0"/>
          <w:bottom w:val="nil"/>
          <w:right w:val="nil"/>
        </w:tcBorders>
        <w:shd w:val="clear" w:color="FFFFFF" w:fill="auto"/>
      </w:tcPr>
    </w:tblStylePr>
    <w:tblStylePr w:type="band1Vert">
      <w:tcPr>
        <w:shd w:val="clear" w:color="F2DCDC" w:fill="F2DCDC"/>
      </w:tcPr>
    </w:tblStylePr>
    <w:tblStylePr w:type="band1Horz">
      <w:rPr>
        <w:rFonts w:ascii="Arial" w:hAnsi="Arial"/>
        <w:color w:val="D99695"/>
        <w:sz w:val="22"/>
      </w:rPr>
      <w:tcPr>
        <w:shd w:val="clear" w:color="F2DCDC" w:fill="F2DCDC"/>
      </w:tcPr>
    </w:tblStylePr>
    <w:tblStylePr w:type="band2Horz">
      <w:rPr>
        <w:rFonts w:ascii="Arial" w:hAnsi="Arial"/>
        <w:color w:val="D99695"/>
        <w:sz w:val="22"/>
      </w:rPr>
    </w:tblStylePr>
  </w:style>
  <w:style w:type="table" w:customStyle="1" w:styleId="1146">
    <w:name w:val="Grid Table 7 Colorful - Accent 34"/>
    <w:basedOn w:val="13"/>
    <w:uiPriority w:val="99"/>
    <w:rPr>
      <w:sz w:val="22"/>
      <w:szCs w:val="22"/>
      <w:lang w:eastAsia="en-US"/>
    </w:rPr>
    <w:tblPr>
      <w:tblBorders>
        <w:bottom w:val="single" w:color="9ABB59" w:sz="4" w:space="0"/>
        <w:right w:val="single" w:color="9ABB59" w:sz="4" w:space="0"/>
        <w:insideH w:val="single" w:color="9ABB59" w:sz="4" w:space="0"/>
        <w:insideV w:val="single" w:color="9ABB59" w:sz="4" w:space="0"/>
      </w:tblBorders>
      <w:tblCellMar>
        <w:top w:w="0" w:type="dxa"/>
        <w:left w:w="108" w:type="dxa"/>
        <w:bottom w:w="0" w:type="dxa"/>
        <w:right w:w="108" w:type="dxa"/>
      </w:tblCellMar>
    </w:tblPr>
    <w:tblStylePr w:type="firstRow">
      <w:rPr>
        <w:rFonts w:ascii="Arial" w:hAnsi="Arial"/>
        <w:b/>
        <w:color w:val="9ABB59"/>
        <w:sz w:val="22"/>
      </w:rPr>
      <w:tcPr>
        <w:tcBorders>
          <w:top w:val="nil"/>
          <w:left w:val="nil"/>
          <w:bottom w:val="single" w:color="9ABB59" w:sz="4" w:space="0"/>
          <w:right w:val="nil"/>
        </w:tcBorders>
        <w:shd w:val="clear" w:color="FFFFFF" w:fill="FFFFFF"/>
      </w:tcPr>
    </w:tblStylePr>
    <w:tblStylePr w:type="lastRow">
      <w:rPr>
        <w:rFonts w:ascii="Arial" w:hAnsi="Arial"/>
        <w:b/>
        <w:color w:val="9ABB59"/>
        <w:sz w:val="22"/>
      </w:rPr>
      <w:tcPr>
        <w:tcBorders>
          <w:top w:val="single" w:color="9ABB59" w:sz="4" w:space="0"/>
          <w:left w:val="nil"/>
          <w:bottom w:val="nil"/>
          <w:right w:val="nil"/>
        </w:tcBorders>
        <w:shd w:val="clear" w:color="FFFFFF" w:fill="FFFFFF"/>
      </w:tcPr>
    </w:tblStylePr>
    <w:tblStylePr w:type="firstCol">
      <w:pPr>
        <w:jc w:val="right"/>
      </w:pPr>
      <w:rPr>
        <w:rFonts w:ascii="Arial" w:hAnsi="Arial"/>
        <w:i/>
        <w:color w:val="9ABB59"/>
        <w:sz w:val="22"/>
      </w:rPr>
      <w:tcPr>
        <w:tcBorders>
          <w:top w:val="nil"/>
          <w:left w:val="nil"/>
          <w:bottom w:val="nil"/>
          <w:right w:val="single" w:color="9ABB59" w:sz="4" w:space="0"/>
        </w:tcBorders>
        <w:shd w:val="clear" w:color="FFFFFF" w:fill="auto"/>
      </w:tcPr>
    </w:tblStylePr>
    <w:tblStylePr w:type="lastCol">
      <w:rPr>
        <w:rFonts w:ascii="Arial" w:hAnsi="Arial"/>
        <w:i/>
        <w:color w:val="9ABB59"/>
        <w:sz w:val="22"/>
      </w:rPr>
      <w:tcPr>
        <w:tcBorders>
          <w:top w:val="nil"/>
          <w:left w:val="single" w:color="9ABB59" w:sz="4" w:space="0"/>
          <w:bottom w:val="nil"/>
          <w:right w:val="nil"/>
        </w:tcBorders>
        <w:shd w:val="clear" w:color="FFFFFF" w:fill="auto"/>
      </w:tcPr>
    </w:tblStylePr>
    <w:tblStylePr w:type="band1Vert">
      <w:tcPr>
        <w:shd w:val="clear" w:color="EAF1DC" w:fill="EAF1DC"/>
      </w:tcPr>
    </w:tblStylePr>
    <w:tblStylePr w:type="band1Horz">
      <w:rPr>
        <w:rFonts w:ascii="Arial" w:hAnsi="Arial"/>
        <w:color w:val="9ABB59"/>
        <w:sz w:val="22"/>
      </w:rPr>
      <w:tcPr>
        <w:shd w:val="clear" w:color="EAF1DC" w:fill="EAF1DC"/>
      </w:tcPr>
    </w:tblStylePr>
    <w:tblStylePr w:type="band2Horz">
      <w:rPr>
        <w:rFonts w:ascii="Arial" w:hAnsi="Arial"/>
        <w:color w:val="9ABB59"/>
        <w:sz w:val="22"/>
      </w:rPr>
    </w:tblStylePr>
  </w:style>
  <w:style w:type="table" w:customStyle="1" w:styleId="1147">
    <w:name w:val="Grid Table 7 Colorful - Accent 44"/>
    <w:basedOn w:val="13"/>
    <w:uiPriority w:val="99"/>
    <w:rPr>
      <w:sz w:val="22"/>
      <w:szCs w:val="22"/>
      <w:lang w:eastAsia="en-US"/>
    </w:rPr>
    <w:tblPr>
      <w:tblBorders>
        <w:bottom w:val="single" w:color="B2A1C6" w:sz="4" w:space="0"/>
        <w:right w:val="single" w:color="B2A1C6" w:sz="4" w:space="0"/>
        <w:insideH w:val="single" w:color="B2A1C6" w:sz="4" w:space="0"/>
        <w:insideV w:val="single" w:color="B2A1C6" w:sz="4" w:space="0"/>
      </w:tblBorders>
      <w:tblCellMar>
        <w:top w:w="0" w:type="dxa"/>
        <w:left w:w="108" w:type="dxa"/>
        <w:bottom w:w="0" w:type="dxa"/>
        <w:right w:w="108" w:type="dxa"/>
      </w:tblCellMar>
    </w:tblPr>
    <w:tblStylePr w:type="firstRow">
      <w:rPr>
        <w:rFonts w:ascii="Arial" w:hAnsi="Arial"/>
        <w:b/>
        <w:color w:val="B2A1C6"/>
        <w:sz w:val="22"/>
      </w:rPr>
      <w:tcPr>
        <w:tcBorders>
          <w:top w:val="nil"/>
          <w:left w:val="nil"/>
          <w:bottom w:val="single" w:color="B2A1C6" w:sz="4" w:space="0"/>
          <w:right w:val="nil"/>
        </w:tcBorders>
        <w:shd w:val="clear" w:color="FFFFFF" w:fill="FFFFFF"/>
      </w:tcPr>
    </w:tblStylePr>
    <w:tblStylePr w:type="lastRow">
      <w:rPr>
        <w:rFonts w:ascii="Arial" w:hAnsi="Arial"/>
        <w:b/>
        <w:color w:val="B2A1C6"/>
        <w:sz w:val="22"/>
      </w:rPr>
      <w:tcPr>
        <w:tcBorders>
          <w:top w:val="single" w:color="B2A1C6" w:sz="4" w:space="0"/>
          <w:left w:val="nil"/>
          <w:bottom w:val="nil"/>
          <w:right w:val="nil"/>
        </w:tcBorders>
        <w:shd w:val="clear" w:color="FFFFFF" w:fill="FFFFFF"/>
      </w:tcPr>
    </w:tblStylePr>
    <w:tblStylePr w:type="firstCol">
      <w:pPr>
        <w:jc w:val="right"/>
      </w:pPr>
      <w:rPr>
        <w:rFonts w:ascii="Arial" w:hAnsi="Arial"/>
        <w:i/>
        <w:color w:val="B2A1C6"/>
        <w:sz w:val="22"/>
      </w:rPr>
      <w:tcPr>
        <w:tcBorders>
          <w:top w:val="nil"/>
          <w:left w:val="nil"/>
          <w:bottom w:val="nil"/>
          <w:right w:val="single" w:color="B2A1C6" w:sz="4" w:space="0"/>
        </w:tcBorders>
        <w:shd w:val="clear" w:color="FFFFFF" w:fill="auto"/>
      </w:tcPr>
    </w:tblStylePr>
    <w:tblStylePr w:type="lastCol">
      <w:rPr>
        <w:rFonts w:ascii="Arial" w:hAnsi="Arial"/>
        <w:i/>
        <w:color w:val="B2A1C6"/>
        <w:sz w:val="22"/>
      </w:rPr>
      <w:tcPr>
        <w:tcBorders>
          <w:top w:val="nil"/>
          <w:left w:val="single" w:color="B2A1C6" w:sz="4" w:space="0"/>
          <w:bottom w:val="nil"/>
          <w:right w:val="nil"/>
        </w:tcBorders>
        <w:shd w:val="clear" w:color="FFFFFF" w:fill="auto"/>
      </w:tcPr>
    </w:tblStylePr>
    <w:tblStylePr w:type="band1Vert">
      <w:tcPr>
        <w:shd w:val="clear" w:color="E5DFEC" w:fill="E5DFEC"/>
      </w:tcPr>
    </w:tblStylePr>
    <w:tblStylePr w:type="band1Horz">
      <w:rPr>
        <w:rFonts w:ascii="Arial" w:hAnsi="Arial"/>
        <w:color w:val="B2A1C6"/>
        <w:sz w:val="22"/>
      </w:rPr>
      <w:tcPr>
        <w:shd w:val="clear" w:color="E5DFEC" w:fill="E5DFEC"/>
      </w:tcPr>
    </w:tblStylePr>
    <w:tblStylePr w:type="band2Horz">
      <w:rPr>
        <w:rFonts w:ascii="Arial" w:hAnsi="Arial"/>
        <w:color w:val="B2A1C6"/>
        <w:sz w:val="22"/>
      </w:rPr>
    </w:tblStylePr>
  </w:style>
  <w:style w:type="table" w:customStyle="1" w:styleId="1148">
    <w:name w:val="Grid Table 7 Colorful - Accent 54"/>
    <w:basedOn w:val="13"/>
    <w:uiPriority w:val="99"/>
    <w:rPr>
      <w:sz w:val="22"/>
      <w:szCs w:val="22"/>
      <w:lang w:eastAsia="en-US"/>
    </w:rPr>
    <w:tblPr>
      <w:tblBorders>
        <w:bottom w:val="single" w:color="99D0DE" w:sz="4" w:space="0"/>
        <w:right w:val="single" w:color="99D0DE" w:sz="4" w:space="0"/>
        <w:insideH w:val="single" w:color="99D0DE" w:sz="4" w:space="0"/>
        <w:insideV w:val="single" w:color="99D0DE" w:sz="4" w:space="0"/>
      </w:tblBorders>
      <w:tblCellMar>
        <w:top w:w="0" w:type="dxa"/>
        <w:left w:w="108" w:type="dxa"/>
        <w:bottom w:w="0" w:type="dxa"/>
        <w:right w:w="108" w:type="dxa"/>
      </w:tblCellMar>
    </w:tblPr>
    <w:tblStylePr w:type="firstRow">
      <w:rPr>
        <w:rFonts w:ascii="Arial" w:hAnsi="Arial"/>
        <w:b/>
        <w:color w:val="266779"/>
        <w:sz w:val="22"/>
      </w:rPr>
      <w:tcPr>
        <w:tcBorders>
          <w:top w:val="nil"/>
          <w:left w:val="nil"/>
          <w:bottom w:val="single" w:color="99D0DE" w:sz="4" w:space="0"/>
          <w:right w:val="nil"/>
        </w:tcBorders>
        <w:shd w:val="clear" w:color="FFFFFF" w:fill="FFFFFF"/>
      </w:tcPr>
    </w:tblStylePr>
    <w:tblStylePr w:type="lastRow">
      <w:rPr>
        <w:rFonts w:ascii="Arial" w:hAnsi="Arial"/>
        <w:b/>
        <w:color w:val="266779"/>
        <w:sz w:val="22"/>
      </w:rPr>
      <w:tcPr>
        <w:tcBorders>
          <w:top w:val="single" w:color="99D0DE" w:sz="4" w:space="0"/>
          <w:left w:val="nil"/>
          <w:bottom w:val="nil"/>
          <w:right w:val="nil"/>
        </w:tcBorders>
        <w:shd w:val="clear" w:color="FFFFFF" w:fill="FFFFFF"/>
      </w:tcPr>
    </w:tblStylePr>
    <w:tblStylePr w:type="firstCol">
      <w:pPr>
        <w:jc w:val="right"/>
      </w:pPr>
      <w:rPr>
        <w:rFonts w:ascii="Arial" w:hAnsi="Arial"/>
        <w:i/>
        <w:color w:val="266779"/>
        <w:sz w:val="22"/>
      </w:rPr>
      <w:tcPr>
        <w:tcBorders>
          <w:top w:val="nil"/>
          <w:left w:val="nil"/>
          <w:bottom w:val="nil"/>
          <w:right w:val="single" w:color="99D0DE" w:sz="4" w:space="0"/>
        </w:tcBorders>
        <w:shd w:val="clear" w:color="FFFFFF" w:fill="auto"/>
      </w:tcPr>
    </w:tblStylePr>
    <w:tblStylePr w:type="lastCol">
      <w:rPr>
        <w:rFonts w:ascii="Arial" w:hAnsi="Arial"/>
        <w:i/>
        <w:color w:val="266779"/>
        <w:sz w:val="22"/>
      </w:rPr>
      <w:tcPr>
        <w:tcBorders>
          <w:top w:val="nil"/>
          <w:left w:val="single" w:color="99D0DE" w:sz="4" w:space="0"/>
          <w:bottom w:val="nil"/>
          <w:right w:val="nil"/>
        </w:tcBorders>
        <w:shd w:val="clear" w:color="FFFFFF" w:fill="auto"/>
      </w:tcPr>
    </w:tblStylePr>
    <w:tblStylePr w:type="band1Vert">
      <w:tcPr>
        <w:shd w:val="clear" w:color="DAEEF3" w:fill="DAEEF3"/>
      </w:tcPr>
    </w:tblStylePr>
    <w:tblStylePr w:type="band1Horz">
      <w:rPr>
        <w:rFonts w:ascii="Arial" w:hAnsi="Arial"/>
        <w:color w:val="266779"/>
        <w:sz w:val="22"/>
      </w:rPr>
      <w:tcPr>
        <w:shd w:val="clear" w:color="DAEEF3" w:fill="DAEEF3"/>
      </w:tcPr>
    </w:tblStylePr>
    <w:tblStylePr w:type="band2Horz">
      <w:rPr>
        <w:rFonts w:ascii="Arial" w:hAnsi="Arial"/>
        <w:color w:val="266779"/>
        <w:sz w:val="22"/>
      </w:rPr>
    </w:tblStylePr>
  </w:style>
  <w:style w:type="table" w:customStyle="1" w:styleId="1149">
    <w:name w:val="Grid Table 7 Colorful - Accent 64"/>
    <w:basedOn w:val="13"/>
    <w:uiPriority w:val="99"/>
    <w:rPr>
      <w:sz w:val="22"/>
      <w:szCs w:val="22"/>
      <w:lang w:eastAsia="en-US"/>
    </w:rPr>
    <w:tblPr>
      <w:tblBorders>
        <w:bottom w:val="single" w:color="FAC396" w:sz="4" w:space="0"/>
        <w:right w:val="single" w:color="FAC396" w:sz="4" w:space="0"/>
        <w:insideH w:val="single" w:color="FAC396" w:sz="4" w:space="0"/>
        <w:insideV w:val="single" w:color="FAC396" w:sz="4" w:space="0"/>
      </w:tblBorders>
      <w:tblCellMar>
        <w:top w:w="0" w:type="dxa"/>
        <w:left w:w="108" w:type="dxa"/>
        <w:bottom w:w="0" w:type="dxa"/>
        <w:right w:w="108" w:type="dxa"/>
      </w:tblCellMar>
    </w:tblPr>
    <w:tblStylePr w:type="firstRow">
      <w:rPr>
        <w:rFonts w:ascii="Arial" w:hAnsi="Arial"/>
        <w:b/>
        <w:color w:val="B15407"/>
        <w:sz w:val="22"/>
      </w:rPr>
      <w:tcPr>
        <w:tcBorders>
          <w:top w:val="nil"/>
          <w:left w:val="nil"/>
          <w:bottom w:val="single" w:color="FAC396" w:sz="4" w:space="0"/>
          <w:right w:val="nil"/>
        </w:tcBorders>
        <w:shd w:val="clear" w:color="FFFFFF" w:fill="FFFFFF"/>
      </w:tcPr>
    </w:tblStylePr>
    <w:tblStylePr w:type="lastRow">
      <w:rPr>
        <w:rFonts w:ascii="Arial" w:hAnsi="Arial"/>
        <w:b/>
        <w:color w:val="B15407"/>
        <w:sz w:val="22"/>
      </w:rPr>
      <w:tcPr>
        <w:tcBorders>
          <w:top w:val="single" w:color="FAC396" w:sz="4" w:space="0"/>
          <w:left w:val="nil"/>
          <w:bottom w:val="nil"/>
          <w:right w:val="nil"/>
        </w:tcBorders>
        <w:shd w:val="clear" w:color="FFFFFF" w:fill="FFFFFF"/>
      </w:tcPr>
    </w:tblStylePr>
    <w:tblStylePr w:type="firstCol">
      <w:pPr>
        <w:jc w:val="right"/>
      </w:pPr>
      <w:rPr>
        <w:rFonts w:ascii="Arial" w:hAnsi="Arial"/>
        <w:i/>
        <w:color w:val="B15407"/>
        <w:sz w:val="22"/>
      </w:rPr>
      <w:tcPr>
        <w:tcBorders>
          <w:top w:val="nil"/>
          <w:left w:val="nil"/>
          <w:bottom w:val="nil"/>
          <w:right w:val="single" w:color="FAC396" w:sz="4" w:space="0"/>
        </w:tcBorders>
        <w:shd w:val="clear" w:color="FFFFFF" w:fill="auto"/>
      </w:tcPr>
    </w:tblStylePr>
    <w:tblStylePr w:type="lastCol">
      <w:rPr>
        <w:rFonts w:ascii="Arial" w:hAnsi="Arial"/>
        <w:i/>
        <w:color w:val="B15407"/>
        <w:sz w:val="22"/>
      </w:rPr>
      <w:tcPr>
        <w:tcBorders>
          <w:top w:val="nil"/>
          <w:left w:val="single" w:color="FAC396" w:sz="4" w:space="0"/>
          <w:bottom w:val="nil"/>
          <w:right w:val="nil"/>
        </w:tcBorders>
        <w:shd w:val="clear" w:color="FFFFFF" w:fill="auto"/>
      </w:tcPr>
    </w:tblStylePr>
    <w:tblStylePr w:type="band1Vert">
      <w:tcPr>
        <w:shd w:val="clear" w:color="FDE9D8" w:fill="FDE9D8"/>
      </w:tcPr>
    </w:tblStylePr>
    <w:tblStylePr w:type="band1Horz">
      <w:rPr>
        <w:rFonts w:ascii="Arial" w:hAnsi="Arial"/>
        <w:color w:val="B15407"/>
        <w:sz w:val="22"/>
      </w:rPr>
      <w:tcPr>
        <w:shd w:val="clear" w:color="FDE9D8" w:fill="FDE9D8"/>
      </w:tcPr>
    </w:tblStylePr>
    <w:tblStylePr w:type="band2Horz">
      <w:rPr>
        <w:rFonts w:ascii="Arial" w:hAnsi="Arial"/>
        <w:color w:val="B15407"/>
        <w:sz w:val="22"/>
      </w:rPr>
    </w:tblStylePr>
  </w:style>
  <w:style w:type="table" w:customStyle="1" w:styleId="1150">
    <w:name w:val="Список-таблица 1 светлая12"/>
    <w:basedOn w:val="13"/>
    <w:uiPriority w:val="99"/>
    <w:rPr>
      <w:sz w:val="22"/>
      <w:szCs w:val="22"/>
      <w:lang w:eastAsia="en-US"/>
    </w:rPr>
    <w:tblPr>
      <w:tblCellMar>
        <w:top w:w="0" w:type="dxa"/>
        <w:left w:w="108" w:type="dxa"/>
        <w:bottom w:w="0" w:type="dxa"/>
        <w:right w:w="108" w:type="dxa"/>
      </w:tblCellMar>
    </w:tblPr>
    <w:tblStylePr w:type="firstRow">
      <w:rPr>
        <w:b/>
        <w:color w:val="404040"/>
      </w:rPr>
      <w:tcPr>
        <w:tcBorders>
          <w:top w:val="nil"/>
          <w:left w:val="nil"/>
          <w:bottom w:val="single" w:color="000000" w:sz="4" w:space="0"/>
          <w:right w:val="nil"/>
        </w:tcBorders>
      </w:tcPr>
    </w:tblStylePr>
    <w:tblStylePr w:type="lastRow">
      <w:rPr>
        <w:b/>
        <w:color w:val="404040"/>
      </w:rPr>
      <w:tcPr>
        <w:tcBorders>
          <w:top w:val="single" w:color="000000" w:sz="4" w:space="0"/>
          <w:left w:val="nil"/>
          <w:bottom w:val="nil"/>
          <w:right w:val="nil"/>
        </w:tcBorders>
      </w:tcPr>
    </w:tblStylePr>
    <w:tblStylePr w:type="firstCol">
      <w:rPr>
        <w:b/>
        <w:color w:val="404040"/>
      </w:rPr>
    </w:tblStylePr>
    <w:tblStylePr w:type="lastCol">
      <w:rPr>
        <w:b/>
        <w:color w:val="404040"/>
      </w:rPr>
    </w:tblStylePr>
    <w:tblStylePr w:type="band1Vert">
      <w:tcPr>
        <w:shd w:val="clear" w:color="BFBFBF" w:fill="BFBFBF"/>
      </w:tcPr>
    </w:tblStylePr>
    <w:tblStylePr w:type="band1Horz">
      <w:tcPr>
        <w:shd w:val="clear" w:color="BFBFBF" w:fill="BFBFBF"/>
      </w:tcPr>
    </w:tblStylePr>
  </w:style>
  <w:style w:type="table" w:customStyle="1" w:styleId="1151">
    <w:name w:val="List Table 1 Light - Accent 14"/>
    <w:basedOn w:val="13"/>
    <w:uiPriority w:val="99"/>
    <w:rPr>
      <w:sz w:val="22"/>
      <w:szCs w:val="22"/>
      <w:lang w:eastAsia="en-US"/>
    </w:rPr>
    <w:tblPr>
      <w:tblCellMar>
        <w:top w:w="0" w:type="dxa"/>
        <w:left w:w="108" w:type="dxa"/>
        <w:bottom w:w="0" w:type="dxa"/>
        <w:right w:w="108" w:type="dxa"/>
      </w:tblCellMar>
    </w:tblPr>
    <w:tblStylePr w:type="firstRow">
      <w:rPr>
        <w:b/>
        <w:color w:val="404040"/>
      </w:rPr>
      <w:tcPr>
        <w:tcBorders>
          <w:top w:val="nil"/>
          <w:left w:val="nil"/>
          <w:bottom w:val="single" w:color="4F81BD" w:sz="4" w:space="0"/>
          <w:right w:val="nil"/>
        </w:tcBorders>
      </w:tcPr>
    </w:tblStylePr>
    <w:tblStylePr w:type="lastRow">
      <w:rPr>
        <w:b/>
        <w:color w:val="404040"/>
      </w:rPr>
      <w:tcPr>
        <w:tcBorders>
          <w:top w:val="single" w:color="4F81BD" w:sz="4" w:space="0"/>
          <w:left w:val="nil"/>
          <w:bottom w:val="nil"/>
          <w:right w:val="nil"/>
        </w:tcBorders>
      </w:tcPr>
    </w:tblStylePr>
    <w:tblStylePr w:type="firstCol">
      <w:rPr>
        <w:b/>
        <w:color w:val="404040"/>
      </w:rPr>
    </w:tblStylePr>
    <w:tblStylePr w:type="lastCol">
      <w:rPr>
        <w:b/>
        <w:color w:val="404040"/>
      </w:rPr>
    </w:tblStylePr>
    <w:tblStylePr w:type="band1Vert">
      <w:tcPr>
        <w:shd w:val="clear" w:color="D2DFEE" w:fill="D2DFEE"/>
      </w:tcPr>
    </w:tblStylePr>
    <w:tblStylePr w:type="band1Horz">
      <w:tcPr>
        <w:shd w:val="clear" w:color="D2DFEE" w:fill="D2DFEE"/>
      </w:tcPr>
    </w:tblStylePr>
  </w:style>
  <w:style w:type="table" w:customStyle="1" w:styleId="1152">
    <w:name w:val="List Table 1 Light - Accent 24"/>
    <w:basedOn w:val="13"/>
    <w:uiPriority w:val="99"/>
    <w:rPr>
      <w:sz w:val="22"/>
      <w:szCs w:val="22"/>
      <w:lang w:eastAsia="en-US"/>
    </w:rPr>
    <w:tblPr>
      <w:tblCellMar>
        <w:top w:w="0" w:type="dxa"/>
        <w:left w:w="108" w:type="dxa"/>
        <w:bottom w:w="0" w:type="dxa"/>
        <w:right w:w="108" w:type="dxa"/>
      </w:tblCellMar>
    </w:tblPr>
    <w:tblStylePr w:type="firstRow">
      <w:rPr>
        <w:b/>
        <w:color w:val="404040"/>
      </w:rPr>
      <w:tcPr>
        <w:tcBorders>
          <w:top w:val="nil"/>
          <w:left w:val="nil"/>
          <w:bottom w:val="single" w:color="C0504D" w:sz="4" w:space="0"/>
          <w:right w:val="nil"/>
        </w:tcBorders>
      </w:tcPr>
    </w:tblStylePr>
    <w:tblStylePr w:type="lastRow">
      <w:rPr>
        <w:b/>
        <w:color w:val="404040"/>
      </w:rPr>
      <w:tcPr>
        <w:tcBorders>
          <w:top w:val="single" w:color="C0504D" w:sz="4" w:space="0"/>
          <w:left w:val="nil"/>
          <w:bottom w:val="nil"/>
          <w:right w:val="nil"/>
        </w:tcBorders>
      </w:tcPr>
    </w:tblStylePr>
    <w:tblStylePr w:type="firstCol">
      <w:rPr>
        <w:b/>
        <w:color w:val="404040"/>
      </w:rPr>
    </w:tblStylePr>
    <w:tblStylePr w:type="lastCol">
      <w:rPr>
        <w:b/>
        <w:color w:val="404040"/>
      </w:rPr>
    </w:tblStylePr>
    <w:tblStylePr w:type="band1Vert">
      <w:tcPr>
        <w:shd w:val="clear" w:color="EFD2D2" w:fill="EFD2D2"/>
      </w:tcPr>
    </w:tblStylePr>
    <w:tblStylePr w:type="band1Horz">
      <w:tcPr>
        <w:shd w:val="clear" w:color="EFD2D2" w:fill="EFD2D2"/>
      </w:tcPr>
    </w:tblStylePr>
  </w:style>
  <w:style w:type="table" w:customStyle="1" w:styleId="1153">
    <w:name w:val="List Table 1 Light - Accent 34"/>
    <w:basedOn w:val="13"/>
    <w:uiPriority w:val="99"/>
    <w:rPr>
      <w:sz w:val="22"/>
      <w:szCs w:val="22"/>
      <w:lang w:eastAsia="en-US"/>
    </w:rPr>
    <w:tblPr>
      <w:tblCellMar>
        <w:top w:w="0" w:type="dxa"/>
        <w:left w:w="108" w:type="dxa"/>
        <w:bottom w:w="0" w:type="dxa"/>
        <w:right w:w="108" w:type="dxa"/>
      </w:tblCellMar>
    </w:tblPr>
    <w:tblStylePr w:type="firstRow">
      <w:rPr>
        <w:b/>
        <w:color w:val="404040"/>
      </w:rPr>
      <w:tcPr>
        <w:tcBorders>
          <w:top w:val="nil"/>
          <w:left w:val="nil"/>
          <w:bottom w:val="single" w:color="9BBB59" w:sz="4" w:space="0"/>
          <w:right w:val="nil"/>
        </w:tcBorders>
      </w:tcPr>
    </w:tblStylePr>
    <w:tblStylePr w:type="lastRow">
      <w:rPr>
        <w:b/>
        <w:color w:val="404040"/>
      </w:rPr>
      <w:tcPr>
        <w:tcBorders>
          <w:top w:val="single" w:color="9BBB59" w:sz="4" w:space="0"/>
          <w:left w:val="nil"/>
          <w:bottom w:val="nil"/>
          <w:right w:val="nil"/>
        </w:tcBorders>
      </w:tcPr>
    </w:tblStylePr>
    <w:tblStylePr w:type="firstCol">
      <w:rPr>
        <w:b/>
        <w:color w:val="404040"/>
      </w:rPr>
    </w:tblStylePr>
    <w:tblStylePr w:type="lastCol">
      <w:rPr>
        <w:b/>
        <w:color w:val="404040"/>
      </w:rPr>
    </w:tblStylePr>
    <w:tblStylePr w:type="band1Vert">
      <w:tcPr>
        <w:shd w:val="clear" w:color="E5EED5" w:fill="E5EED5"/>
      </w:tcPr>
    </w:tblStylePr>
    <w:tblStylePr w:type="band1Horz">
      <w:tcPr>
        <w:shd w:val="clear" w:color="E5EED5" w:fill="E5EED5"/>
      </w:tcPr>
    </w:tblStylePr>
  </w:style>
  <w:style w:type="table" w:customStyle="1" w:styleId="1154">
    <w:name w:val="List Table 1 Light - Accent 44"/>
    <w:basedOn w:val="13"/>
    <w:uiPriority w:val="99"/>
    <w:rPr>
      <w:sz w:val="22"/>
      <w:szCs w:val="22"/>
      <w:lang w:eastAsia="en-US"/>
    </w:rPr>
    <w:tblPr>
      <w:tblCellMar>
        <w:top w:w="0" w:type="dxa"/>
        <w:left w:w="108" w:type="dxa"/>
        <w:bottom w:w="0" w:type="dxa"/>
        <w:right w:w="108" w:type="dxa"/>
      </w:tblCellMar>
    </w:tblPr>
    <w:tblStylePr w:type="firstRow">
      <w:rPr>
        <w:b/>
        <w:color w:val="404040"/>
      </w:rPr>
      <w:tcPr>
        <w:tcBorders>
          <w:top w:val="nil"/>
          <w:left w:val="nil"/>
          <w:bottom w:val="single" w:color="8064A2" w:sz="4" w:space="0"/>
          <w:right w:val="nil"/>
        </w:tcBorders>
      </w:tcPr>
    </w:tblStylePr>
    <w:tblStylePr w:type="lastRow">
      <w:rPr>
        <w:b/>
        <w:color w:val="404040"/>
      </w:rPr>
      <w:tcPr>
        <w:tcBorders>
          <w:top w:val="single" w:color="8064A2" w:sz="4" w:space="0"/>
          <w:left w:val="nil"/>
          <w:bottom w:val="nil"/>
          <w:right w:val="nil"/>
        </w:tcBorders>
      </w:tcPr>
    </w:tblStylePr>
    <w:tblStylePr w:type="firstCol">
      <w:rPr>
        <w:b/>
        <w:color w:val="404040"/>
      </w:rPr>
    </w:tblStylePr>
    <w:tblStylePr w:type="lastCol">
      <w:rPr>
        <w:b/>
        <w:color w:val="404040"/>
      </w:rPr>
    </w:tblStylePr>
    <w:tblStylePr w:type="band1Vert">
      <w:tcPr>
        <w:shd w:val="clear" w:color="DFD8E7" w:fill="DFD8E7"/>
      </w:tcPr>
    </w:tblStylePr>
    <w:tblStylePr w:type="band1Horz">
      <w:tcPr>
        <w:shd w:val="clear" w:color="DFD8E7" w:fill="DFD8E7"/>
      </w:tcPr>
    </w:tblStylePr>
  </w:style>
  <w:style w:type="table" w:customStyle="1" w:styleId="1155">
    <w:name w:val="List Table 1 Light - Accent 54"/>
    <w:basedOn w:val="13"/>
    <w:uiPriority w:val="99"/>
    <w:rPr>
      <w:sz w:val="22"/>
      <w:szCs w:val="22"/>
      <w:lang w:eastAsia="en-US"/>
    </w:rPr>
    <w:tblPr>
      <w:tblCellMar>
        <w:top w:w="0" w:type="dxa"/>
        <w:left w:w="108" w:type="dxa"/>
        <w:bottom w:w="0" w:type="dxa"/>
        <w:right w:w="108" w:type="dxa"/>
      </w:tblCellMar>
    </w:tblPr>
    <w:tblStylePr w:type="firstRow">
      <w:rPr>
        <w:b/>
        <w:color w:val="404040"/>
      </w:rPr>
      <w:tcPr>
        <w:tcBorders>
          <w:top w:val="nil"/>
          <w:left w:val="nil"/>
          <w:bottom w:val="single" w:color="4BACC6" w:sz="4" w:space="0"/>
          <w:right w:val="nil"/>
        </w:tcBorders>
      </w:tcPr>
    </w:tblStylePr>
    <w:tblStylePr w:type="lastRow">
      <w:rPr>
        <w:b/>
        <w:color w:val="404040"/>
      </w:rPr>
      <w:tcPr>
        <w:tcBorders>
          <w:top w:val="single" w:color="4BACC6" w:sz="4" w:space="0"/>
          <w:left w:val="nil"/>
          <w:bottom w:val="nil"/>
          <w:right w:val="nil"/>
        </w:tcBorders>
      </w:tcPr>
    </w:tblStylePr>
    <w:tblStylePr w:type="firstCol">
      <w:rPr>
        <w:b/>
        <w:color w:val="404040"/>
      </w:rPr>
    </w:tblStylePr>
    <w:tblStylePr w:type="lastCol">
      <w:rPr>
        <w:b/>
        <w:color w:val="404040"/>
      </w:rPr>
    </w:tblStylePr>
    <w:tblStylePr w:type="band1Vert">
      <w:tcPr>
        <w:shd w:val="clear" w:color="D1EAF0" w:fill="D1EAF0"/>
      </w:tcPr>
    </w:tblStylePr>
    <w:tblStylePr w:type="band1Horz">
      <w:tcPr>
        <w:shd w:val="clear" w:color="D1EAF0" w:fill="D1EAF0"/>
      </w:tcPr>
    </w:tblStylePr>
  </w:style>
  <w:style w:type="table" w:customStyle="1" w:styleId="1156">
    <w:name w:val="List Table 1 Light - Accent 64"/>
    <w:basedOn w:val="13"/>
    <w:uiPriority w:val="99"/>
    <w:rPr>
      <w:sz w:val="22"/>
      <w:szCs w:val="22"/>
      <w:lang w:eastAsia="en-US"/>
    </w:rPr>
    <w:tblPr>
      <w:tblCellMar>
        <w:top w:w="0" w:type="dxa"/>
        <w:left w:w="108" w:type="dxa"/>
        <w:bottom w:w="0" w:type="dxa"/>
        <w:right w:w="108" w:type="dxa"/>
      </w:tblCellMar>
    </w:tblPr>
    <w:tblStylePr w:type="firstRow">
      <w:rPr>
        <w:b/>
        <w:color w:val="404040"/>
      </w:rPr>
      <w:tcPr>
        <w:tcBorders>
          <w:top w:val="nil"/>
          <w:left w:val="nil"/>
          <w:bottom w:val="single" w:color="F79646" w:sz="4" w:space="0"/>
          <w:right w:val="nil"/>
        </w:tcBorders>
      </w:tcPr>
    </w:tblStylePr>
    <w:tblStylePr w:type="lastRow">
      <w:rPr>
        <w:b/>
        <w:color w:val="404040"/>
      </w:rPr>
      <w:tcPr>
        <w:tcBorders>
          <w:top w:val="single" w:color="F79646" w:sz="4" w:space="0"/>
          <w:left w:val="nil"/>
          <w:bottom w:val="nil"/>
          <w:right w:val="nil"/>
        </w:tcBorders>
      </w:tcPr>
    </w:tblStylePr>
    <w:tblStylePr w:type="firstCol">
      <w:rPr>
        <w:b/>
        <w:color w:val="404040"/>
      </w:rPr>
    </w:tblStylePr>
    <w:tblStylePr w:type="lastCol">
      <w:rPr>
        <w:b/>
        <w:color w:val="404040"/>
      </w:rPr>
    </w:tblStylePr>
    <w:tblStylePr w:type="band1Vert">
      <w:tcPr>
        <w:shd w:val="clear" w:color="FDE4D0" w:fill="FDE4D0"/>
      </w:tcPr>
    </w:tblStylePr>
    <w:tblStylePr w:type="band1Horz">
      <w:tcPr>
        <w:shd w:val="clear" w:color="FDE4D0" w:fill="FDE4D0"/>
      </w:tcPr>
    </w:tblStylePr>
  </w:style>
  <w:style w:type="table" w:customStyle="1" w:styleId="1157">
    <w:name w:val="Список-таблица 212"/>
    <w:basedOn w:val="13"/>
    <w:uiPriority w:val="99"/>
    <w:rPr>
      <w:sz w:val="22"/>
      <w:szCs w:val="22"/>
      <w:lang w:eastAsia="en-US"/>
    </w:rPr>
    <w:tblPr>
      <w:tblBorders>
        <w:top w:val="single" w:color="6F6F6F" w:sz="4" w:space="0"/>
        <w:bottom w:val="single" w:color="6F6F6F" w:sz="4" w:space="0"/>
        <w:insideH w:val="single" w:color="6F6F6F" w:sz="4" w:space="0"/>
      </w:tblBorders>
      <w:tblCellMar>
        <w:top w:w="0" w:type="dxa"/>
        <w:left w:w="108" w:type="dxa"/>
        <w:bottom w:w="0" w:type="dxa"/>
        <w:right w:w="108" w:type="dxa"/>
      </w:tblCellMar>
    </w:tblPr>
    <w:tblStylePr w:type="firstRow">
      <w:rPr>
        <w:rFonts w:ascii="Arial" w:hAnsi="Arial"/>
        <w:b/>
        <w:color w:val="404040"/>
        <w:sz w:val="22"/>
      </w:rPr>
      <w:tcPr>
        <w:tcBorders>
          <w:top w:val="single" w:color="6F6F6F" w:sz="4" w:space="0"/>
          <w:left w:val="nil"/>
          <w:bottom w:val="single" w:color="6F6F6F" w:sz="4" w:space="0"/>
          <w:right w:val="nil"/>
        </w:tcBorders>
      </w:tcPr>
    </w:tblStylePr>
    <w:tblStylePr w:type="lastRow">
      <w:rPr>
        <w:rFonts w:ascii="Arial" w:hAnsi="Arial"/>
        <w:b/>
        <w:color w:val="404040"/>
        <w:sz w:val="22"/>
      </w:rPr>
      <w:tcPr>
        <w:tcBorders>
          <w:top w:val="single" w:color="6F6F6F" w:sz="4" w:space="0"/>
          <w:left w:val="nil"/>
          <w:bottom w:val="single" w:color="6F6F6F"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BFBFBF" w:fill="BFBFBF"/>
      </w:tcPr>
    </w:tblStylePr>
    <w:tblStylePr w:type="band1Horz">
      <w:rPr>
        <w:rFonts w:ascii="Arial" w:hAnsi="Arial"/>
        <w:color w:val="404040"/>
        <w:sz w:val="22"/>
      </w:rPr>
      <w:tcPr>
        <w:shd w:val="clear" w:color="BFBFBF" w:fill="BFBFBF"/>
      </w:tcPr>
    </w:tblStylePr>
  </w:style>
  <w:style w:type="table" w:customStyle="1" w:styleId="1158">
    <w:name w:val="List Table 2 - Accent 14"/>
    <w:basedOn w:val="13"/>
    <w:uiPriority w:val="99"/>
    <w:rPr>
      <w:sz w:val="22"/>
      <w:szCs w:val="22"/>
      <w:lang w:eastAsia="en-US"/>
    </w:rPr>
    <w:tblPr>
      <w:tblBorders>
        <w:top w:val="single" w:color="9BB7D9" w:sz="4" w:space="0"/>
        <w:bottom w:val="single" w:color="9BB7D9" w:sz="4" w:space="0"/>
        <w:insideH w:val="single" w:color="9BB7D9" w:sz="4" w:space="0"/>
      </w:tblBorders>
      <w:tblCellMar>
        <w:top w:w="0" w:type="dxa"/>
        <w:left w:w="108" w:type="dxa"/>
        <w:bottom w:w="0" w:type="dxa"/>
        <w:right w:w="108" w:type="dxa"/>
      </w:tblCellMar>
    </w:tblPr>
    <w:tblStylePr w:type="firstRow">
      <w:rPr>
        <w:rFonts w:ascii="Arial" w:hAnsi="Arial"/>
        <w:b/>
        <w:color w:val="404040"/>
        <w:sz w:val="22"/>
      </w:rPr>
      <w:tcPr>
        <w:tcBorders>
          <w:top w:val="single" w:color="9BB7D9" w:sz="4" w:space="0"/>
          <w:left w:val="nil"/>
          <w:bottom w:val="single" w:color="9BB7D9" w:sz="4" w:space="0"/>
          <w:right w:val="nil"/>
        </w:tcBorders>
      </w:tcPr>
    </w:tblStylePr>
    <w:tblStylePr w:type="lastRow">
      <w:rPr>
        <w:rFonts w:ascii="Arial" w:hAnsi="Arial"/>
        <w:b/>
        <w:color w:val="404040"/>
        <w:sz w:val="22"/>
      </w:rPr>
      <w:tcPr>
        <w:tcBorders>
          <w:top w:val="single" w:color="9BB7D9" w:sz="4" w:space="0"/>
          <w:left w:val="nil"/>
          <w:bottom w:val="single" w:color="9BB7D9"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D2DFEE" w:fill="D2DFEE"/>
      </w:tcPr>
    </w:tblStylePr>
    <w:tblStylePr w:type="band1Horz">
      <w:rPr>
        <w:rFonts w:ascii="Arial" w:hAnsi="Arial"/>
        <w:color w:val="404040"/>
        <w:sz w:val="22"/>
      </w:rPr>
      <w:tcPr>
        <w:shd w:val="clear" w:color="D2DFEE" w:fill="D2DFEE"/>
      </w:tcPr>
    </w:tblStylePr>
  </w:style>
  <w:style w:type="table" w:customStyle="1" w:styleId="1159">
    <w:name w:val="List Table 2 - Accent 24"/>
    <w:basedOn w:val="13"/>
    <w:uiPriority w:val="99"/>
    <w:rPr>
      <w:sz w:val="22"/>
      <w:szCs w:val="22"/>
      <w:lang w:eastAsia="en-US"/>
    </w:rPr>
    <w:tblPr>
      <w:tblBorders>
        <w:top w:val="single" w:color="DB9B9A" w:sz="4" w:space="0"/>
        <w:bottom w:val="single" w:color="DB9B9A" w:sz="4" w:space="0"/>
        <w:insideH w:val="single" w:color="DB9B9A" w:sz="4" w:space="0"/>
      </w:tblBorders>
      <w:tblCellMar>
        <w:top w:w="0" w:type="dxa"/>
        <w:left w:w="108" w:type="dxa"/>
        <w:bottom w:w="0" w:type="dxa"/>
        <w:right w:w="108" w:type="dxa"/>
      </w:tblCellMar>
    </w:tblPr>
    <w:tblStylePr w:type="firstRow">
      <w:rPr>
        <w:rFonts w:ascii="Arial" w:hAnsi="Arial"/>
        <w:b/>
        <w:color w:val="404040"/>
        <w:sz w:val="22"/>
      </w:rPr>
      <w:tcPr>
        <w:tcBorders>
          <w:top w:val="single" w:color="DB9B9A" w:sz="4" w:space="0"/>
          <w:left w:val="nil"/>
          <w:bottom w:val="single" w:color="DB9B9A" w:sz="4" w:space="0"/>
          <w:right w:val="nil"/>
        </w:tcBorders>
      </w:tcPr>
    </w:tblStylePr>
    <w:tblStylePr w:type="lastRow">
      <w:rPr>
        <w:rFonts w:ascii="Arial" w:hAnsi="Arial"/>
        <w:b/>
        <w:color w:val="404040"/>
        <w:sz w:val="22"/>
      </w:rPr>
      <w:tcPr>
        <w:tcBorders>
          <w:top w:val="single" w:color="DB9B9A" w:sz="4" w:space="0"/>
          <w:left w:val="nil"/>
          <w:bottom w:val="single" w:color="DB9B9A"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EFD2D2" w:fill="EFD2D2"/>
      </w:tcPr>
    </w:tblStylePr>
    <w:tblStylePr w:type="band1Horz">
      <w:rPr>
        <w:rFonts w:ascii="Arial" w:hAnsi="Arial"/>
        <w:color w:val="404040"/>
        <w:sz w:val="22"/>
      </w:rPr>
      <w:tcPr>
        <w:shd w:val="clear" w:color="EFD2D2" w:fill="EFD2D2"/>
      </w:tcPr>
    </w:tblStylePr>
  </w:style>
  <w:style w:type="table" w:customStyle="1" w:styleId="1160">
    <w:name w:val="List Table 2 - Accent 34"/>
    <w:basedOn w:val="13"/>
    <w:uiPriority w:val="99"/>
    <w:rPr>
      <w:sz w:val="22"/>
      <w:szCs w:val="22"/>
      <w:lang w:eastAsia="en-US"/>
    </w:rPr>
    <w:tblPr>
      <w:tblBorders>
        <w:top w:val="single" w:color="C6D8A1" w:sz="4" w:space="0"/>
        <w:bottom w:val="single" w:color="C6D8A1" w:sz="4" w:space="0"/>
        <w:insideH w:val="single" w:color="C6D8A1" w:sz="4" w:space="0"/>
      </w:tblBorders>
      <w:tblCellMar>
        <w:top w:w="0" w:type="dxa"/>
        <w:left w:w="108" w:type="dxa"/>
        <w:bottom w:w="0" w:type="dxa"/>
        <w:right w:w="108" w:type="dxa"/>
      </w:tblCellMar>
    </w:tblPr>
    <w:tblStylePr w:type="firstRow">
      <w:rPr>
        <w:rFonts w:ascii="Arial" w:hAnsi="Arial"/>
        <w:b/>
        <w:color w:val="404040"/>
        <w:sz w:val="22"/>
      </w:rPr>
      <w:tcPr>
        <w:tcBorders>
          <w:top w:val="single" w:color="C6D8A1" w:sz="4" w:space="0"/>
          <w:left w:val="nil"/>
          <w:bottom w:val="single" w:color="C6D8A1" w:sz="4" w:space="0"/>
          <w:right w:val="nil"/>
        </w:tcBorders>
      </w:tcPr>
    </w:tblStylePr>
    <w:tblStylePr w:type="lastRow">
      <w:rPr>
        <w:rFonts w:ascii="Arial" w:hAnsi="Arial"/>
        <w:b/>
        <w:color w:val="404040"/>
        <w:sz w:val="22"/>
      </w:rPr>
      <w:tcPr>
        <w:tcBorders>
          <w:top w:val="single" w:color="C6D8A1" w:sz="4" w:space="0"/>
          <w:left w:val="nil"/>
          <w:bottom w:val="single" w:color="C6D8A1"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E5EED5" w:fill="E5EED5"/>
      </w:tcPr>
    </w:tblStylePr>
    <w:tblStylePr w:type="band1Horz">
      <w:rPr>
        <w:rFonts w:ascii="Arial" w:hAnsi="Arial"/>
        <w:color w:val="404040"/>
        <w:sz w:val="22"/>
      </w:rPr>
      <w:tcPr>
        <w:shd w:val="clear" w:color="E5EED5" w:fill="E5EED5"/>
      </w:tcPr>
    </w:tblStylePr>
  </w:style>
  <w:style w:type="table" w:customStyle="1" w:styleId="1161">
    <w:name w:val="List Table 2 - Accent 44"/>
    <w:basedOn w:val="13"/>
    <w:uiPriority w:val="99"/>
    <w:rPr>
      <w:sz w:val="22"/>
      <w:szCs w:val="22"/>
      <w:lang w:eastAsia="en-US"/>
    </w:rPr>
    <w:tblPr>
      <w:tblBorders>
        <w:top w:val="single" w:color="B7A7CA" w:sz="4" w:space="0"/>
        <w:bottom w:val="single" w:color="B7A7CA" w:sz="4" w:space="0"/>
        <w:insideH w:val="single" w:color="B7A7CA" w:sz="4" w:space="0"/>
      </w:tblBorders>
      <w:tblCellMar>
        <w:top w:w="0" w:type="dxa"/>
        <w:left w:w="108" w:type="dxa"/>
        <w:bottom w:w="0" w:type="dxa"/>
        <w:right w:w="108" w:type="dxa"/>
      </w:tblCellMar>
    </w:tblPr>
    <w:tblStylePr w:type="firstRow">
      <w:rPr>
        <w:rFonts w:ascii="Arial" w:hAnsi="Arial"/>
        <w:b/>
        <w:color w:val="404040"/>
        <w:sz w:val="22"/>
      </w:rPr>
      <w:tcPr>
        <w:tcBorders>
          <w:top w:val="single" w:color="B7A7CA" w:sz="4" w:space="0"/>
          <w:left w:val="nil"/>
          <w:bottom w:val="single" w:color="B7A7CA" w:sz="4" w:space="0"/>
          <w:right w:val="nil"/>
        </w:tcBorders>
      </w:tcPr>
    </w:tblStylePr>
    <w:tblStylePr w:type="lastRow">
      <w:rPr>
        <w:rFonts w:ascii="Arial" w:hAnsi="Arial"/>
        <w:b/>
        <w:color w:val="404040"/>
        <w:sz w:val="22"/>
      </w:rPr>
      <w:tcPr>
        <w:tcBorders>
          <w:top w:val="single" w:color="B7A7CA" w:sz="4" w:space="0"/>
          <w:left w:val="nil"/>
          <w:bottom w:val="single" w:color="B7A7CA"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DFD8E7" w:fill="DFD8E7"/>
      </w:tcPr>
    </w:tblStylePr>
    <w:tblStylePr w:type="band1Horz">
      <w:rPr>
        <w:rFonts w:ascii="Arial" w:hAnsi="Arial"/>
        <w:color w:val="404040"/>
        <w:sz w:val="22"/>
      </w:rPr>
      <w:tcPr>
        <w:shd w:val="clear" w:color="DFD8E7" w:fill="DFD8E7"/>
      </w:tcPr>
    </w:tblStylePr>
  </w:style>
  <w:style w:type="table" w:customStyle="1" w:styleId="1162">
    <w:name w:val="List Table 2 - Accent 54"/>
    <w:basedOn w:val="13"/>
    <w:uiPriority w:val="99"/>
    <w:rPr>
      <w:sz w:val="22"/>
      <w:szCs w:val="22"/>
      <w:lang w:eastAsia="en-US"/>
    </w:rPr>
    <w:tblPr>
      <w:tblBorders>
        <w:top w:val="single" w:color="99D0DE" w:sz="4" w:space="0"/>
        <w:bottom w:val="single" w:color="99D0DE" w:sz="4" w:space="0"/>
        <w:insideH w:val="single" w:color="99D0DE" w:sz="4" w:space="0"/>
      </w:tblBorders>
      <w:tblCellMar>
        <w:top w:w="0" w:type="dxa"/>
        <w:left w:w="108" w:type="dxa"/>
        <w:bottom w:w="0" w:type="dxa"/>
        <w:right w:w="108" w:type="dxa"/>
      </w:tblCellMar>
    </w:tblPr>
    <w:tblStylePr w:type="firstRow">
      <w:rPr>
        <w:rFonts w:ascii="Arial" w:hAnsi="Arial"/>
        <w:b/>
        <w:color w:val="404040"/>
        <w:sz w:val="22"/>
      </w:rPr>
      <w:tcPr>
        <w:tcBorders>
          <w:top w:val="single" w:color="99D0DE" w:sz="4" w:space="0"/>
          <w:left w:val="nil"/>
          <w:bottom w:val="single" w:color="99D0DE" w:sz="4" w:space="0"/>
          <w:right w:val="nil"/>
        </w:tcBorders>
      </w:tcPr>
    </w:tblStylePr>
    <w:tblStylePr w:type="lastRow">
      <w:rPr>
        <w:rFonts w:ascii="Arial" w:hAnsi="Arial"/>
        <w:b/>
        <w:color w:val="404040"/>
        <w:sz w:val="22"/>
      </w:rPr>
      <w:tcPr>
        <w:tcBorders>
          <w:top w:val="single" w:color="99D0DE" w:sz="4" w:space="0"/>
          <w:left w:val="nil"/>
          <w:bottom w:val="single" w:color="99D0DE"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D1EAF0" w:fill="D1EAF0"/>
      </w:tcPr>
    </w:tblStylePr>
    <w:tblStylePr w:type="band1Horz">
      <w:rPr>
        <w:rFonts w:ascii="Arial" w:hAnsi="Arial"/>
        <w:color w:val="404040"/>
        <w:sz w:val="22"/>
      </w:rPr>
      <w:tcPr>
        <w:shd w:val="clear" w:color="D1EAF0" w:fill="D1EAF0"/>
      </w:tcPr>
    </w:tblStylePr>
  </w:style>
  <w:style w:type="table" w:customStyle="1" w:styleId="1163">
    <w:name w:val="List Table 2 - Accent 64"/>
    <w:basedOn w:val="13"/>
    <w:uiPriority w:val="99"/>
    <w:rPr>
      <w:sz w:val="22"/>
      <w:szCs w:val="22"/>
      <w:lang w:eastAsia="en-US"/>
    </w:rPr>
    <w:tblPr>
      <w:tblBorders>
        <w:top w:val="single" w:color="FAC396" w:sz="4" w:space="0"/>
        <w:bottom w:val="single" w:color="FAC396" w:sz="4" w:space="0"/>
        <w:insideH w:val="single" w:color="FAC396" w:sz="4" w:space="0"/>
      </w:tblBorders>
      <w:tblCellMar>
        <w:top w:w="0" w:type="dxa"/>
        <w:left w:w="108" w:type="dxa"/>
        <w:bottom w:w="0" w:type="dxa"/>
        <w:right w:w="108" w:type="dxa"/>
      </w:tblCellMar>
    </w:tblPr>
    <w:tblStylePr w:type="firstRow">
      <w:rPr>
        <w:rFonts w:ascii="Arial" w:hAnsi="Arial"/>
        <w:b/>
        <w:color w:val="404040"/>
        <w:sz w:val="22"/>
      </w:rPr>
      <w:tcPr>
        <w:tcBorders>
          <w:top w:val="single" w:color="FAC396" w:sz="4" w:space="0"/>
          <w:left w:val="nil"/>
          <w:bottom w:val="single" w:color="FAC396" w:sz="4" w:space="0"/>
          <w:right w:val="nil"/>
        </w:tcBorders>
      </w:tcPr>
    </w:tblStylePr>
    <w:tblStylePr w:type="lastRow">
      <w:rPr>
        <w:rFonts w:ascii="Arial" w:hAnsi="Arial"/>
        <w:b/>
        <w:color w:val="404040"/>
        <w:sz w:val="22"/>
      </w:rPr>
      <w:tcPr>
        <w:tcBorders>
          <w:top w:val="single" w:color="FAC396" w:sz="4" w:space="0"/>
          <w:left w:val="nil"/>
          <w:bottom w:val="single" w:color="FAC396"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FDE4D0" w:fill="FDE4D0"/>
      </w:tcPr>
    </w:tblStylePr>
    <w:tblStylePr w:type="band1Horz">
      <w:rPr>
        <w:rFonts w:ascii="Arial" w:hAnsi="Arial"/>
        <w:color w:val="404040"/>
        <w:sz w:val="22"/>
      </w:rPr>
      <w:tcPr>
        <w:shd w:val="clear" w:color="FDE4D0" w:fill="FDE4D0"/>
      </w:tcPr>
    </w:tblStylePr>
  </w:style>
  <w:style w:type="table" w:customStyle="1" w:styleId="1164">
    <w:name w:val="Список-таблица 312"/>
    <w:basedOn w:val="13"/>
    <w:uiPriority w:val="99"/>
    <w:rPr>
      <w:sz w:val="22"/>
      <w:szCs w:val="22"/>
      <w:lang w:eastAsia="en-US"/>
    </w:rPr>
    <w:tblPr>
      <w:tblBorders>
        <w:top w:val="single" w:color="000000" w:sz="4" w:space="0"/>
        <w:left w:val="single" w:color="000000" w:sz="4" w:space="0"/>
        <w:bottom w:val="single" w:color="000000" w:sz="4" w:space="0"/>
        <w:right w:val="single" w:color="000000" w:sz="4" w:space="0"/>
      </w:tblBorders>
      <w:tblCellMar>
        <w:top w:w="0" w:type="dxa"/>
        <w:left w:w="108" w:type="dxa"/>
        <w:bottom w:w="0" w:type="dxa"/>
        <w:right w:w="108" w:type="dxa"/>
      </w:tblCellMar>
    </w:tblPr>
    <w:tblStylePr w:type="firstRow">
      <w:rPr>
        <w:rFonts w:ascii="Arial" w:hAnsi="Arial"/>
        <w:b/>
        <w:color w:val="FFFFFF"/>
        <w:sz w:val="22"/>
      </w:r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000000" w:sz="4" w:space="0"/>
          <w:right w:val="single" w:color="000000" w:sz="4" w:space="0"/>
        </w:tcBorders>
      </w:tcPr>
    </w:tblStylePr>
    <w:tblStylePr w:type="band1Horz">
      <w:rPr>
        <w:rFonts w:ascii="Arial" w:hAnsi="Arial"/>
        <w:color w:val="404040"/>
        <w:sz w:val="22"/>
      </w:rPr>
      <w:tcPr>
        <w:tcBorders>
          <w:top w:val="single" w:color="000000" w:sz="4" w:space="0"/>
          <w:bottom w:val="single" w:color="000000" w:sz="4" w:space="0"/>
        </w:tcBorders>
      </w:tcPr>
    </w:tblStylePr>
  </w:style>
  <w:style w:type="table" w:customStyle="1" w:styleId="1165">
    <w:name w:val="List Table 3 - Accent 14"/>
    <w:basedOn w:val="13"/>
    <w:uiPriority w:val="99"/>
    <w:rPr>
      <w:sz w:val="22"/>
      <w:szCs w:val="22"/>
      <w:lang w:eastAsia="en-US"/>
    </w:rPr>
    <w:tblPr>
      <w:tblBorders>
        <w:top w:val="single" w:color="4F81BD" w:sz="4" w:space="0"/>
        <w:left w:val="single" w:color="4F81BD" w:sz="4" w:space="0"/>
        <w:bottom w:val="single" w:color="4F81BD" w:sz="4" w:space="0"/>
        <w:right w:val="single" w:color="4F81BD" w:sz="4" w:space="0"/>
      </w:tblBorders>
      <w:tblCellMar>
        <w:top w:w="0" w:type="dxa"/>
        <w:left w:w="108" w:type="dxa"/>
        <w:bottom w:w="0" w:type="dxa"/>
        <w:right w:w="108" w:type="dxa"/>
      </w:tblCellMar>
    </w:tblPr>
    <w:tblStylePr w:type="firstRow">
      <w:rPr>
        <w:rFonts w:ascii="Arial" w:hAnsi="Arial"/>
        <w:b/>
        <w:color w:val="FFFFFF"/>
        <w:sz w:val="22"/>
      </w:rPr>
      <w:tcPr>
        <w:shd w:val="clear" w:color="4F81BD"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4F81BD" w:sz="4" w:space="0"/>
          <w:right w:val="single" w:color="4F81BD" w:sz="4" w:space="0"/>
        </w:tcBorders>
      </w:tcPr>
    </w:tblStylePr>
    <w:tblStylePr w:type="band1Horz">
      <w:rPr>
        <w:rFonts w:ascii="Arial" w:hAnsi="Arial"/>
        <w:color w:val="404040"/>
        <w:sz w:val="22"/>
      </w:rPr>
      <w:tcPr>
        <w:tcBorders>
          <w:top w:val="single" w:color="4F81BD" w:sz="4" w:space="0"/>
          <w:bottom w:val="single" w:color="4F81BD" w:sz="4" w:space="0"/>
        </w:tcBorders>
      </w:tcPr>
    </w:tblStylePr>
  </w:style>
  <w:style w:type="table" w:customStyle="1" w:styleId="1166">
    <w:name w:val="List Table 3 - Accent 24"/>
    <w:basedOn w:val="13"/>
    <w:uiPriority w:val="99"/>
    <w:rPr>
      <w:sz w:val="22"/>
      <w:szCs w:val="22"/>
      <w:lang w:eastAsia="en-US"/>
    </w:rPr>
    <w:tblPr>
      <w:tblBorders>
        <w:top w:val="single" w:color="D99695" w:sz="4" w:space="0"/>
        <w:left w:val="single" w:color="D99695" w:sz="4" w:space="0"/>
        <w:bottom w:val="single" w:color="D99695" w:sz="4" w:space="0"/>
        <w:right w:val="single" w:color="D99695" w:sz="4" w:space="0"/>
      </w:tblBorders>
      <w:tblCellMar>
        <w:top w:w="0" w:type="dxa"/>
        <w:left w:w="108" w:type="dxa"/>
        <w:bottom w:w="0" w:type="dxa"/>
        <w:right w:w="108" w:type="dxa"/>
      </w:tblCellMar>
    </w:tblPr>
    <w:tblStylePr w:type="firstRow">
      <w:rPr>
        <w:rFonts w:ascii="Arial" w:hAnsi="Arial"/>
        <w:b/>
        <w:color w:val="FFFFFF"/>
        <w:sz w:val="22"/>
      </w:rPr>
      <w:tcPr>
        <w:shd w:val="clear" w:color="D99695" w:fill="D9969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D99695" w:sz="4" w:space="0"/>
          <w:right w:val="single" w:color="D99695" w:sz="4" w:space="0"/>
        </w:tcBorders>
      </w:tcPr>
    </w:tblStylePr>
    <w:tblStylePr w:type="band1Horz">
      <w:rPr>
        <w:rFonts w:ascii="Arial" w:hAnsi="Arial"/>
        <w:color w:val="404040"/>
        <w:sz w:val="22"/>
      </w:rPr>
      <w:tcPr>
        <w:tcBorders>
          <w:top w:val="single" w:color="D99695" w:sz="4" w:space="0"/>
          <w:bottom w:val="single" w:color="D99695" w:sz="4" w:space="0"/>
        </w:tcBorders>
      </w:tcPr>
    </w:tblStylePr>
  </w:style>
  <w:style w:type="table" w:customStyle="1" w:styleId="1167">
    <w:name w:val="List Table 3 - Accent 34"/>
    <w:basedOn w:val="13"/>
    <w:uiPriority w:val="99"/>
    <w:rPr>
      <w:sz w:val="22"/>
      <w:szCs w:val="22"/>
      <w:lang w:eastAsia="en-US"/>
    </w:rPr>
    <w:tblPr>
      <w:tblBorders>
        <w:top w:val="single" w:color="C3D69B" w:sz="4" w:space="0"/>
        <w:left w:val="single" w:color="C3D69B" w:sz="4" w:space="0"/>
        <w:bottom w:val="single" w:color="C3D69B" w:sz="4" w:space="0"/>
        <w:right w:val="single" w:color="C3D69B" w:sz="4" w:space="0"/>
      </w:tblBorders>
      <w:tblCellMar>
        <w:top w:w="0" w:type="dxa"/>
        <w:left w:w="108" w:type="dxa"/>
        <w:bottom w:w="0" w:type="dxa"/>
        <w:right w:w="108" w:type="dxa"/>
      </w:tblCellMar>
    </w:tblPr>
    <w:tblStylePr w:type="firstRow">
      <w:rPr>
        <w:rFonts w:ascii="Arial" w:hAnsi="Arial"/>
        <w:b/>
        <w:color w:val="FFFFFF"/>
        <w:sz w:val="22"/>
      </w:rPr>
      <w:tcPr>
        <w:shd w:val="clear" w:color="C3D69B" w:fill="C3D69B"/>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C3D69B" w:sz="4" w:space="0"/>
          <w:right w:val="single" w:color="C3D69B" w:sz="4" w:space="0"/>
        </w:tcBorders>
      </w:tcPr>
    </w:tblStylePr>
    <w:tblStylePr w:type="band1Horz">
      <w:rPr>
        <w:rFonts w:ascii="Arial" w:hAnsi="Arial"/>
        <w:color w:val="404040"/>
        <w:sz w:val="22"/>
      </w:rPr>
      <w:tcPr>
        <w:tcBorders>
          <w:top w:val="single" w:color="C3D69B" w:sz="4" w:space="0"/>
          <w:bottom w:val="single" w:color="C3D69B" w:sz="4" w:space="0"/>
        </w:tcBorders>
      </w:tcPr>
    </w:tblStylePr>
  </w:style>
  <w:style w:type="table" w:customStyle="1" w:styleId="1168">
    <w:name w:val="List Table 3 - Accent 44"/>
    <w:basedOn w:val="13"/>
    <w:uiPriority w:val="99"/>
    <w:rPr>
      <w:sz w:val="22"/>
      <w:szCs w:val="22"/>
      <w:lang w:eastAsia="en-US"/>
    </w:rPr>
    <w:tblPr>
      <w:tblBorders>
        <w:top w:val="single" w:color="B2A1C6" w:sz="4" w:space="0"/>
        <w:left w:val="single" w:color="B2A1C6" w:sz="4" w:space="0"/>
        <w:bottom w:val="single" w:color="B2A1C6" w:sz="4" w:space="0"/>
        <w:right w:val="single" w:color="B2A1C6" w:sz="4" w:space="0"/>
      </w:tblBorders>
      <w:tblCellMar>
        <w:top w:w="0" w:type="dxa"/>
        <w:left w:w="108" w:type="dxa"/>
        <w:bottom w:w="0" w:type="dxa"/>
        <w:right w:w="108" w:type="dxa"/>
      </w:tblCellMar>
    </w:tblPr>
    <w:tblStylePr w:type="firstRow">
      <w:rPr>
        <w:rFonts w:ascii="Arial" w:hAnsi="Arial"/>
        <w:b/>
        <w:color w:val="FFFFFF"/>
        <w:sz w:val="22"/>
      </w:rPr>
      <w:tcPr>
        <w:shd w:val="clear" w:color="B2A1C6" w:fill="B2A1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B2A1C6" w:sz="4" w:space="0"/>
          <w:right w:val="single" w:color="B2A1C6" w:sz="4" w:space="0"/>
        </w:tcBorders>
      </w:tcPr>
    </w:tblStylePr>
    <w:tblStylePr w:type="band1Horz">
      <w:rPr>
        <w:rFonts w:ascii="Arial" w:hAnsi="Arial"/>
        <w:color w:val="404040"/>
        <w:sz w:val="22"/>
      </w:rPr>
      <w:tcPr>
        <w:tcBorders>
          <w:top w:val="single" w:color="B2A1C6" w:sz="4" w:space="0"/>
          <w:bottom w:val="single" w:color="B2A1C6" w:sz="4" w:space="0"/>
        </w:tcBorders>
      </w:tcPr>
    </w:tblStylePr>
  </w:style>
  <w:style w:type="table" w:customStyle="1" w:styleId="1169">
    <w:name w:val="List Table 3 - Accent 54"/>
    <w:basedOn w:val="13"/>
    <w:uiPriority w:val="99"/>
    <w:rPr>
      <w:sz w:val="22"/>
      <w:szCs w:val="22"/>
      <w:lang w:eastAsia="en-US"/>
    </w:rPr>
    <w:tblPr>
      <w:tblBorders>
        <w:top w:val="single" w:color="92CCDC" w:sz="4" w:space="0"/>
        <w:left w:val="single" w:color="92CCDC" w:sz="4" w:space="0"/>
        <w:bottom w:val="single" w:color="92CCDC" w:sz="4" w:space="0"/>
        <w:right w:val="single" w:color="92CCDC" w:sz="4" w:space="0"/>
      </w:tblBorders>
      <w:tblCellMar>
        <w:top w:w="0" w:type="dxa"/>
        <w:left w:w="108" w:type="dxa"/>
        <w:bottom w:w="0" w:type="dxa"/>
        <w:right w:w="108" w:type="dxa"/>
      </w:tblCellMar>
    </w:tblPr>
    <w:tblStylePr w:type="firstRow">
      <w:rPr>
        <w:rFonts w:ascii="Arial" w:hAnsi="Arial"/>
        <w:b/>
        <w:color w:val="FFFFFF"/>
        <w:sz w:val="22"/>
      </w:rPr>
      <w:tcPr>
        <w:shd w:val="clear" w:color="92CCDC" w:fill="92CCDC"/>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92CCDC" w:sz="4" w:space="0"/>
          <w:right w:val="single" w:color="92CCDC" w:sz="4" w:space="0"/>
        </w:tcBorders>
      </w:tcPr>
    </w:tblStylePr>
    <w:tblStylePr w:type="band1Horz">
      <w:rPr>
        <w:rFonts w:ascii="Arial" w:hAnsi="Arial"/>
        <w:color w:val="404040"/>
        <w:sz w:val="22"/>
      </w:rPr>
      <w:tcPr>
        <w:tcBorders>
          <w:top w:val="single" w:color="92CCDC" w:sz="4" w:space="0"/>
          <w:bottom w:val="single" w:color="92CCDC" w:sz="4" w:space="0"/>
        </w:tcBorders>
      </w:tcPr>
    </w:tblStylePr>
  </w:style>
  <w:style w:type="table" w:customStyle="1" w:styleId="1170">
    <w:name w:val="List Table 3 - Accent 64"/>
    <w:basedOn w:val="13"/>
    <w:uiPriority w:val="99"/>
    <w:rPr>
      <w:sz w:val="22"/>
      <w:szCs w:val="22"/>
      <w:lang w:eastAsia="en-US"/>
    </w:rPr>
    <w:tblPr>
      <w:tblBorders>
        <w:top w:val="single" w:color="FAC090" w:sz="4" w:space="0"/>
        <w:left w:val="single" w:color="FAC090" w:sz="4" w:space="0"/>
        <w:bottom w:val="single" w:color="FAC090" w:sz="4" w:space="0"/>
        <w:right w:val="single" w:color="FAC090" w:sz="4" w:space="0"/>
      </w:tblBorders>
      <w:tblCellMar>
        <w:top w:w="0" w:type="dxa"/>
        <w:left w:w="108" w:type="dxa"/>
        <w:bottom w:w="0" w:type="dxa"/>
        <w:right w:w="108" w:type="dxa"/>
      </w:tblCellMar>
    </w:tblPr>
    <w:tblStylePr w:type="firstRow">
      <w:rPr>
        <w:rFonts w:ascii="Arial" w:hAnsi="Arial"/>
        <w:b/>
        <w:color w:val="FFFFFF"/>
        <w:sz w:val="22"/>
      </w:rPr>
      <w:tcPr>
        <w:shd w:val="clear" w:color="FAC090" w:fill="FAC09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FAC090" w:sz="4" w:space="0"/>
          <w:right w:val="single" w:color="FAC090" w:sz="4" w:space="0"/>
        </w:tcBorders>
      </w:tcPr>
    </w:tblStylePr>
    <w:tblStylePr w:type="band1Horz">
      <w:rPr>
        <w:rFonts w:ascii="Arial" w:hAnsi="Arial"/>
        <w:color w:val="404040"/>
        <w:sz w:val="22"/>
      </w:rPr>
      <w:tcPr>
        <w:tcBorders>
          <w:top w:val="single" w:color="FAC090" w:sz="4" w:space="0"/>
          <w:bottom w:val="single" w:color="FAC090" w:sz="4" w:space="0"/>
        </w:tcBorders>
      </w:tcPr>
    </w:tblStylePr>
  </w:style>
  <w:style w:type="table" w:customStyle="1" w:styleId="1171">
    <w:name w:val="Список-таблица 412"/>
    <w:basedOn w:val="13"/>
    <w:uiPriority w:val="99"/>
    <w:rPr>
      <w:sz w:val="22"/>
      <w:szCs w:val="22"/>
      <w:lang w:eastAsia="en-US"/>
    </w:rPr>
    <w:tblPr>
      <w:tblBorders>
        <w:top w:val="single" w:color="000000" w:sz="4" w:space="0"/>
        <w:left w:val="single" w:color="000000" w:sz="4" w:space="0"/>
        <w:bottom w:val="single" w:color="000000" w:sz="4" w:space="0"/>
        <w:right w:val="single" w:color="000000" w:sz="4" w:space="0"/>
        <w:insideH w:val="single" w:color="000000" w:sz="4" w:space="0"/>
      </w:tblBorders>
      <w:tblCellMar>
        <w:top w:w="0" w:type="dxa"/>
        <w:left w:w="108" w:type="dxa"/>
        <w:bottom w:w="0" w:type="dxa"/>
        <w:right w:w="108" w:type="dxa"/>
      </w:tblCellMar>
    </w:tblPr>
    <w:tblStylePr w:type="firstRow">
      <w:rPr>
        <w:rFonts w:ascii="Arial" w:hAnsi="Arial"/>
        <w:b/>
        <w:color w:val="FFFFFF"/>
        <w:sz w:val="22"/>
      </w:r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BFBFBF" w:fill="BFBFBF"/>
      </w:tcPr>
    </w:tblStylePr>
    <w:tblStylePr w:type="band1Horz">
      <w:rPr>
        <w:rFonts w:ascii="Arial" w:hAnsi="Arial"/>
        <w:color w:val="404040"/>
        <w:sz w:val="22"/>
      </w:rPr>
      <w:tcPr>
        <w:shd w:val="clear" w:color="BFBFBF" w:fill="BFBFBF"/>
      </w:tcPr>
    </w:tblStylePr>
  </w:style>
  <w:style w:type="table" w:customStyle="1" w:styleId="1172">
    <w:name w:val="List Table 4 - Accent 14"/>
    <w:basedOn w:val="13"/>
    <w:uiPriority w:val="99"/>
    <w:rPr>
      <w:sz w:val="22"/>
      <w:szCs w:val="22"/>
      <w:lang w:eastAsia="en-US"/>
    </w:rPr>
    <w:tblPr>
      <w:tblBorders>
        <w:top w:val="single" w:color="9BB7D9" w:sz="4" w:space="0"/>
        <w:left w:val="single" w:color="9BB7D9" w:sz="4" w:space="0"/>
        <w:bottom w:val="single" w:color="9BB7D9" w:sz="4" w:space="0"/>
        <w:right w:val="single" w:color="9BB7D9" w:sz="4" w:space="0"/>
        <w:insideH w:val="single" w:color="9BB7D9" w:sz="4" w:space="0"/>
      </w:tblBorders>
      <w:tblCellMar>
        <w:top w:w="0" w:type="dxa"/>
        <w:left w:w="108" w:type="dxa"/>
        <w:bottom w:w="0" w:type="dxa"/>
        <w:right w:w="108" w:type="dxa"/>
      </w:tblCellMar>
    </w:tblPr>
    <w:tblStylePr w:type="firstRow">
      <w:rPr>
        <w:rFonts w:ascii="Arial" w:hAnsi="Arial"/>
        <w:b/>
        <w:color w:val="FFFFFF"/>
        <w:sz w:val="22"/>
      </w:rPr>
      <w:tcPr>
        <w:shd w:val="clear" w:color="4F81BD"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D2DFEE" w:fill="D2DFEE"/>
      </w:tcPr>
    </w:tblStylePr>
    <w:tblStylePr w:type="band1Horz">
      <w:rPr>
        <w:rFonts w:ascii="Arial" w:hAnsi="Arial"/>
        <w:color w:val="404040"/>
        <w:sz w:val="22"/>
      </w:rPr>
      <w:tcPr>
        <w:shd w:val="clear" w:color="D2DFEE" w:fill="D2DFEE"/>
      </w:tcPr>
    </w:tblStylePr>
  </w:style>
  <w:style w:type="table" w:customStyle="1" w:styleId="1173">
    <w:name w:val="List Table 4 - Accent 24"/>
    <w:basedOn w:val="13"/>
    <w:uiPriority w:val="99"/>
    <w:rPr>
      <w:sz w:val="22"/>
      <w:szCs w:val="22"/>
      <w:lang w:eastAsia="en-US"/>
    </w:rPr>
    <w:tblPr>
      <w:tblBorders>
        <w:top w:val="single" w:color="DB9B9A" w:sz="4" w:space="0"/>
        <w:left w:val="single" w:color="DB9B9A" w:sz="4" w:space="0"/>
        <w:bottom w:val="single" w:color="DB9B9A" w:sz="4" w:space="0"/>
        <w:right w:val="single" w:color="DB9B9A" w:sz="4" w:space="0"/>
        <w:insideH w:val="single" w:color="DB9B9A" w:sz="4" w:space="0"/>
      </w:tblBorders>
      <w:tblCellMar>
        <w:top w:w="0" w:type="dxa"/>
        <w:left w:w="108" w:type="dxa"/>
        <w:bottom w:w="0" w:type="dxa"/>
        <w:right w:w="108" w:type="dxa"/>
      </w:tblCellMar>
    </w:tblPr>
    <w:tblStylePr w:type="firstRow">
      <w:rPr>
        <w:rFonts w:ascii="Arial" w:hAnsi="Arial"/>
        <w:b/>
        <w:color w:val="FFFFFF"/>
        <w:sz w:val="22"/>
      </w:rPr>
      <w:tcPr>
        <w:shd w:val="clear" w:color="C0504D" w:fill="C0504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EFD2D2" w:fill="EFD2D2"/>
      </w:tcPr>
    </w:tblStylePr>
    <w:tblStylePr w:type="band1Horz">
      <w:rPr>
        <w:rFonts w:ascii="Arial" w:hAnsi="Arial"/>
        <w:color w:val="404040"/>
        <w:sz w:val="22"/>
      </w:rPr>
      <w:tcPr>
        <w:shd w:val="clear" w:color="EFD2D2" w:fill="EFD2D2"/>
      </w:tcPr>
    </w:tblStylePr>
  </w:style>
  <w:style w:type="table" w:customStyle="1" w:styleId="1174">
    <w:name w:val="List Table 4 - Accent 34"/>
    <w:basedOn w:val="13"/>
    <w:uiPriority w:val="99"/>
    <w:rPr>
      <w:sz w:val="22"/>
      <w:szCs w:val="22"/>
      <w:lang w:eastAsia="en-US"/>
    </w:rPr>
    <w:tblPr>
      <w:tblBorders>
        <w:top w:val="single" w:color="C6D8A1" w:sz="4" w:space="0"/>
        <w:left w:val="single" w:color="C6D8A1" w:sz="4" w:space="0"/>
        <w:bottom w:val="single" w:color="C6D8A1" w:sz="4" w:space="0"/>
        <w:right w:val="single" w:color="C6D8A1" w:sz="4" w:space="0"/>
        <w:insideH w:val="single" w:color="C6D8A1" w:sz="4" w:space="0"/>
      </w:tblBorders>
      <w:tblCellMar>
        <w:top w:w="0" w:type="dxa"/>
        <w:left w:w="108" w:type="dxa"/>
        <w:bottom w:w="0" w:type="dxa"/>
        <w:right w:w="108" w:type="dxa"/>
      </w:tblCellMar>
    </w:tblPr>
    <w:tblStylePr w:type="firstRow">
      <w:rPr>
        <w:rFonts w:ascii="Arial" w:hAnsi="Arial"/>
        <w:b/>
        <w:color w:val="FFFFFF"/>
        <w:sz w:val="22"/>
      </w:rPr>
      <w:tcPr>
        <w:shd w:val="clear" w:color="9BBB59" w:fill="9BBB59"/>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E5EED5" w:fill="E5EED5"/>
      </w:tcPr>
    </w:tblStylePr>
    <w:tblStylePr w:type="band1Horz">
      <w:rPr>
        <w:rFonts w:ascii="Arial" w:hAnsi="Arial"/>
        <w:color w:val="404040"/>
        <w:sz w:val="22"/>
      </w:rPr>
      <w:tcPr>
        <w:shd w:val="clear" w:color="E5EED5" w:fill="E5EED5"/>
      </w:tcPr>
    </w:tblStylePr>
  </w:style>
  <w:style w:type="table" w:customStyle="1" w:styleId="1175">
    <w:name w:val="List Table 4 - Accent 44"/>
    <w:basedOn w:val="13"/>
    <w:uiPriority w:val="99"/>
    <w:rPr>
      <w:sz w:val="22"/>
      <w:szCs w:val="22"/>
      <w:lang w:eastAsia="en-US"/>
    </w:rPr>
    <w:tblPr>
      <w:tblBorders>
        <w:top w:val="single" w:color="B7A7CA" w:sz="4" w:space="0"/>
        <w:left w:val="single" w:color="B7A7CA" w:sz="4" w:space="0"/>
        <w:bottom w:val="single" w:color="B7A7CA" w:sz="4" w:space="0"/>
        <w:right w:val="single" w:color="B7A7CA" w:sz="4" w:space="0"/>
        <w:insideH w:val="single" w:color="B7A7CA" w:sz="4" w:space="0"/>
      </w:tblBorders>
      <w:tblCellMar>
        <w:top w:w="0" w:type="dxa"/>
        <w:left w:w="108" w:type="dxa"/>
        <w:bottom w:w="0" w:type="dxa"/>
        <w:right w:w="108" w:type="dxa"/>
      </w:tblCellMar>
    </w:tblPr>
    <w:tblStylePr w:type="firstRow">
      <w:rPr>
        <w:rFonts w:ascii="Arial" w:hAnsi="Arial"/>
        <w:b/>
        <w:color w:val="FFFFFF"/>
        <w:sz w:val="22"/>
      </w:rPr>
      <w:tcPr>
        <w:shd w:val="clear" w:color="8064A2" w:fill="8064A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DFD8E7" w:fill="DFD8E7"/>
      </w:tcPr>
    </w:tblStylePr>
    <w:tblStylePr w:type="band1Horz">
      <w:rPr>
        <w:rFonts w:ascii="Arial" w:hAnsi="Arial"/>
        <w:color w:val="404040"/>
        <w:sz w:val="22"/>
      </w:rPr>
      <w:tcPr>
        <w:shd w:val="clear" w:color="DFD8E7" w:fill="DFD8E7"/>
      </w:tcPr>
    </w:tblStylePr>
  </w:style>
  <w:style w:type="table" w:customStyle="1" w:styleId="1176">
    <w:name w:val="List Table 4 - Accent 54"/>
    <w:basedOn w:val="13"/>
    <w:uiPriority w:val="99"/>
    <w:rPr>
      <w:sz w:val="22"/>
      <w:szCs w:val="22"/>
      <w:lang w:eastAsia="en-US"/>
    </w:rPr>
    <w:tblPr>
      <w:tblBorders>
        <w:top w:val="single" w:color="99D0DE" w:sz="4" w:space="0"/>
        <w:left w:val="single" w:color="99D0DE" w:sz="4" w:space="0"/>
        <w:bottom w:val="single" w:color="99D0DE" w:sz="4" w:space="0"/>
        <w:right w:val="single" w:color="99D0DE" w:sz="4" w:space="0"/>
        <w:insideH w:val="single" w:color="99D0DE" w:sz="4" w:space="0"/>
      </w:tblBorders>
      <w:tblCellMar>
        <w:top w:w="0" w:type="dxa"/>
        <w:left w:w="108" w:type="dxa"/>
        <w:bottom w:w="0" w:type="dxa"/>
        <w:right w:w="108" w:type="dxa"/>
      </w:tblCellMar>
    </w:tblPr>
    <w:tblStylePr w:type="firstRow">
      <w:rPr>
        <w:rFonts w:ascii="Arial" w:hAnsi="Arial"/>
        <w:b/>
        <w:color w:val="FFFFFF"/>
        <w:sz w:val="22"/>
      </w:rPr>
      <w:tcPr>
        <w:shd w:val="clear" w:color="4BACC6" w:fill="4BAC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D1EAF0" w:fill="D1EAF0"/>
      </w:tcPr>
    </w:tblStylePr>
    <w:tblStylePr w:type="band1Horz">
      <w:rPr>
        <w:rFonts w:ascii="Arial" w:hAnsi="Arial"/>
        <w:color w:val="404040"/>
        <w:sz w:val="22"/>
      </w:rPr>
      <w:tcPr>
        <w:shd w:val="clear" w:color="D1EAF0" w:fill="D1EAF0"/>
      </w:tcPr>
    </w:tblStylePr>
  </w:style>
  <w:style w:type="table" w:customStyle="1" w:styleId="1177">
    <w:name w:val="List Table 4 - Accent 64"/>
    <w:basedOn w:val="13"/>
    <w:uiPriority w:val="99"/>
    <w:rPr>
      <w:sz w:val="22"/>
      <w:szCs w:val="22"/>
      <w:lang w:eastAsia="en-US"/>
    </w:rPr>
    <w:tblPr>
      <w:tblBorders>
        <w:top w:val="single" w:color="FAC396" w:sz="4" w:space="0"/>
        <w:left w:val="single" w:color="FAC396" w:sz="4" w:space="0"/>
        <w:bottom w:val="single" w:color="FAC396" w:sz="4" w:space="0"/>
        <w:right w:val="single" w:color="FAC396" w:sz="4" w:space="0"/>
        <w:insideH w:val="single" w:color="FAC396" w:sz="4" w:space="0"/>
      </w:tblBorders>
      <w:tblCellMar>
        <w:top w:w="0" w:type="dxa"/>
        <w:left w:w="108" w:type="dxa"/>
        <w:bottom w:w="0" w:type="dxa"/>
        <w:right w:w="108" w:type="dxa"/>
      </w:tblCellMar>
    </w:tblPr>
    <w:tblStylePr w:type="firstRow">
      <w:rPr>
        <w:rFonts w:ascii="Arial" w:hAnsi="Arial"/>
        <w:b/>
        <w:color w:val="FFFFFF"/>
        <w:sz w:val="22"/>
      </w:rPr>
      <w:tcPr>
        <w:shd w:val="clear" w:color="F79646" w:fill="F7964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FDE4D0" w:fill="FDE4D0"/>
      </w:tcPr>
    </w:tblStylePr>
    <w:tblStylePr w:type="band1Horz">
      <w:rPr>
        <w:rFonts w:ascii="Arial" w:hAnsi="Arial"/>
        <w:color w:val="404040"/>
        <w:sz w:val="22"/>
      </w:rPr>
      <w:tcPr>
        <w:shd w:val="clear" w:color="FDE4D0" w:fill="FDE4D0"/>
      </w:tcPr>
    </w:tblStylePr>
  </w:style>
  <w:style w:type="table" w:customStyle="1" w:styleId="1178">
    <w:name w:val="Список-таблица 5 темная12"/>
    <w:basedOn w:val="13"/>
    <w:uiPriority w:val="99"/>
    <w:rPr>
      <w:sz w:val="22"/>
      <w:szCs w:val="22"/>
      <w:lang w:eastAsia="en-US"/>
    </w:rPr>
    <w:tblPr>
      <w:tblBorders>
        <w:top w:val="single" w:color="7F7F7F" w:sz="32" w:space="0"/>
        <w:left w:val="single" w:color="7F7F7F" w:sz="32" w:space="0"/>
        <w:bottom w:val="single" w:color="7F7F7F" w:sz="32" w:space="0"/>
        <w:right w:val="single" w:color="7F7F7F" w:sz="32" w:space="0"/>
      </w:tblBorders>
      <w:tblCellMar>
        <w:top w:w="0" w:type="dxa"/>
        <w:left w:w="108" w:type="dxa"/>
        <w:bottom w:w="0" w:type="dxa"/>
        <w:right w:w="108" w:type="dxa"/>
      </w:tblCellMar>
    </w:tblPr>
    <w:tblStylePr w:type="firstRow">
      <w:rPr>
        <w:rFonts w:ascii="Arial" w:hAnsi="Arial"/>
        <w:b/>
        <w:color w:val="FFFFFF"/>
        <w:sz w:val="22"/>
      </w:rPr>
      <w:tcPr>
        <w:tcBorders>
          <w:top w:val="single" w:color="7F7F7F" w:sz="32" w:space="0"/>
          <w:bottom w:val="single" w:color="FFFFFF" w:sz="12" w:space="0"/>
        </w:tcBorders>
        <w:shd w:val="clear" w:color="7F7F7F" w:fill="7F7F7F"/>
      </w:tcPr>
    </w:tblStylePr>
    <w:tblStylePr w:type="lastRow">
      <w:rPr>
        <w:rFonts w:ascii="Arial" w:hAnsi="Arial"/>
        <w:b/>
        <w:color w:val="FFFFFF"/>
        <w:sz w:val="22"/>
      </w:rPr>
    </w:tblStylePr>
    <w:tblStylePr w:type="firstCol">
      <w:rPr>
        <w:rFonts w:ascii="Arial" w:hAnsi="Arial"/>
        <w:b/>
        <w:color w:val="FFFFFF"/>
        <w:sz w:val="22"/>
      </w:rPr>
      <w:tcPr>
        <w:tcBorders>
          <w:left w:val="single" w:color="7F7F7F" w:sz="32" w:space="0"/>
          <w:right w:val="single" w:color="FFFFFF" w:sz="4" w:space="0"/>
        </w:tcBorders>
      </w:tcPr>
    </w:tblStylePr>
    <w:tblStylePr w:type="lastCol">
      <w:tcPr>
        <w:tcBorders>
          <w:left w:val="single" w:color="FFFFFF" w:sz="4" w:space="0"/>
          <w:right w:val="single" w:color="7F7F7F" w:sz="32" w:space="0"/>
        </w:tcBorders>
      </w:tcPr>
    </w:tblStylePr>
    <w:tblStylePr w:type="band1Vert">
      <w:tcPr>
        <w:tcBorders>
          <w:left w:val="single" w:color="FFFFFF" w:sz="4" w:space="0"/>
          <w:right w:val="single" w:color="FFFFFF" w:sz="4" w:space="0"/>
        </w:tcBorders>
        <w:shd w:val="clear" w:color="7F7F7F" w:fill="7F7F7F"/>
      </w:tcPr>
    </w:tblStylePr>
    <w:tblStylePr w:type="band2Vert">
      <w:tcPr>
        <w:tcBorders>
          <w:left w:val="single" w:color="FFFFFF" w:sz="4" w:space="0"/>
          <w:right w:val="single" w:color="FFFFFF" w:sz="4" w:space="0"/>
        </w:tcBorders>
      </w:tcPr>
    </w:tblStylePr>
    <w:tblStylePr w:type="band1Horz">
      <w:tcPr>
        <w:tcBorders>
          <w:top w:val="single" w:color="FFFFFF" w:sz="4" w:space="0"/>
          <w:bottom w:val="single" w:color="FFFFFF" w:sz="4" w:space="0"/>
        </w:tcBorders>
        <w:shd w:val="clear" w:color="7F7F7F" w:fill="7F7F7F"/>
      </w:tcPr>
    </w:tblStylePr>
    <w:tblStylePr w:type="band2Horz">
      <w:tcPr>
        <w:tcBorders>
          <w:top w:val="single" w:color="FFFFFF" w:sz="4" w:space="0"/>
          <w:bottom w:val="single" w:color="FFFFFF" w:sz="4" w:space="0"/>
        </w:tcBorders>
        <w:shd w:val="clear" w:color="7F7F7F" w:fill="7F7F7F"/>
      </w:tcPr>
    </w:tblStylePr>
  </w:style>
  <w:style w:type="table" w:customStyle="1" w:styleId="1179">
    <w:name w:val="List Table 5 Dark - Accent 14"/>
    <w:basedOn w:val="13"/>
    <w:uiPriority w:val="99"/>
    <w:rPr>
      <w:sz w:val="22"/>
      <w:szCs w:val="22"/>
      <w:lang w:eastAsia="en-US"/>
    </w:rPr>
    <w:tblPr>
      <w:tblBorders>
        <w:top w:val="single" w:color="4F81BD" w:sz="32" w:space="0"/>
        <w:left w:val="single" w:color="4F81BD" w:sz="32" w:space="0"/>
        <w:bottom w:val="single" w:color="4F81BD" w:sz="32" w:space="0"/>
        <w:right w:val="single" w:color="4F81BD" w:sz="32" w:space="0"/>
      </w:tblBorders>
      <w:tblCellMar>
        <w:top w:w="0" w:type="dxa"/>
        <w:left w:w="108" w:type="dxa"/>
        <w:bottom w:w="0" w:type="dxa"/>
        <w:right w:w="108" w:type="dxa"/>
      </w:tblCellMar>
    </w:tblPr>
    <w:tblStylePr w:type="firstRow">
      <w:rPr>
        <w:rFonts w:ascii="Arial" w:hAnsi="Arial"/>
        <w:b/>
        <w:color w:val="FFFFFF"/>
        <w:sz w:val="22"/>
      </w:rPr>
      <w:tcPr>
        <w:tcBorders>
          <w:top w:val="single" w:color="4F81BD" w:sz="32" w:space="0"/>
          <w:bottom w:val="single" w:color="FFFFFF" w:sz="12" w:space="0"/>
        </w:tcBorders>
        <w:shd w:val="clear" w:color="4F81BD" w:fill="4F81BD"/>
      </w:tcPr>
    </w:tblStylePr>
    <w:tblStylePr w:type="lastRow">
      <w:rPr>
        <w:rFonts w:ascii="Arial" w:hAnsi="Arial"/>
        <w:b/>
        <w:color w:val="FFFFFF"/>
        <w:sz w:val="22"/>
      </w:rPr>
    </w:tblStylePr>
    <w:tblStylePr w:type="firstCol">
      <w:rPr>
        <w:rFonts w:ascii="Arial" w:hAnsi="Arial"/>
        <w:b/>
        <w:color w:val="FFFFFF"/>
        <w:sz w:val="22"/>
      </w:rPr>
      <w:tcPr>
        <w:tcBorders>
          <w:left w:val="single" w:color="4F81BD" w:sz="32" w:space="0"/>
          <w:right w:val="single" w:color="FFFFFF" w:sz="4" w:space="0"/>
        </w:tcBorders>
      </w:tcPr>
    </w:tblStylePr>
    <w:tblStylePr w:type="lastCol">
      <w:tcPr>
        <w:tcBorders>
          <w:left w:val="single" w:color="FFFFFF" w:sz="4" w:space="0"/>
          <w:right w:val="single" w:color="4F81BD" w:sz="32" w:space="0"/>
        </w:tcBorders>
      </w:tcPr>
    </w:tblStylePr>
    <w:tblStylePr w:type="band1Vert">
      <w:tcPr>
        <w:tcBorders>
          <w:left w:val="single" w:color="FFFFFF" w:sz="4" w:space="0"/>
          <w:right w:val="single" w:color="FFFFFF" w:sz="4" w:space="0"/>
        </w:tcBorders>
        <w:shd w:val="clear" w:color="4F81BD" w:fill="4F81BD"/>
      </w:tcPr>
    </w:tblStylePr>
    <w:tblStylePr w:type="band2Vert">
      <w:tcPr>
        <w:tcBorders>
          <w:left w:val="single" w:color="FFFFFF" w:sz="4" w:space="0"/>
          <w:right w:val="single" w:color="FFFFFF" w:sz="4" w:space="0"/>
        </w:tcBorders>
      </w:tcPr>
    </w:tblStylePr>
    <w:tblStylePr w:type="band1Horz">
      <w:tcPr>
        <w:tcBorders>
          <w:top w:val="single" w:color="FFFFFF" w:sz="4" w:space="0"/>
          <w:bottom w:val="single" w:color="FFFFFF" w:sz="4" w:space="0"/>
        </w:tcBorders>
        <w:shd w:val="clear" w:color="4F81BD" w:fill="4F81BD"/>
      </w:tcPr>
    </w:tblStylePr>
    <w:tblStylePr w:type="band2Horz">
      <w:tcPr>
        <w:tcBorders>
          <w:top w:val="single" w:color="FFFFFF" w:sz="4" w:space="0"/>
          <w:bottom w:val="single" w:color="FFFFFF" w:sz="4" w:space="0"/>
        </w:tcBorders>
        <w:shd w:val="clear" w:color="4F81BD" w:fill="4F81BD"/>
      </w:tcPr>
    </w:tblStylePr>
  </w:style>
  <w:style w:type="table" w:customStyle="1" w:styleId="1180">
    <w:name w:val="List Table 5 Dark - Accent 24"/>
    <w:basedOn w:val="13"/>
    <w:uiPriority w:val="99"/>
    <w:rPr>
      <w:sz w:val="22"/>
      <w:szCs w:val="22"/>
      <w:lang w:eastAsia="en-US"/>
    </w:rPr>
    <w:tblPr>
      <w:tblBorders>
        <w:top w:val="single" w:color="D99695" w:sz="32" w:space="0"/>
        <w:left w:val="single" w:color="D99695" w:sz="32" w:space="0"/>
        <w:bottom w:val="single" w:color="D99695" w:sz="32" w:space="0"/>
        <w:right w:val="single" w:color="D99695" w:sz="32" w:space="0"/>
      </w:tblBorders>
      <w:tblCellMar>
        <w:top w:w="0" w:type="dxa"/>
        <w:left w:w="108" w:type="dxa"/>
        <w:bottom w:w="0" w:type="dxa"/>
        <w:right w:w="108" w:type="dxa"/>
      </w:tblCellMar>
    </w:tblPr>
    <w:tblStylePr w:type="firstRow">
      <w:rPr>
        <w:rFonts w:ascii="Arial" w:hAnsi="Arial"/>
        <w:b/>
        <w:color w:val="FFFFFF"/>
        <w:sz w:val="22"/>
      </w:rPr>
      <w:tcPr>
        <w:tcBorders>
          <w:top w:val="single" w:color="D99695" w:sz="32" w:space="0"/>
          <w:bottom w:val="single" w:color="FFFFFF" w:sz="12" w:space="0"/>
        </w:tcBorders>
        <w:shd w:val="clear" w:color="D99695" w:fill="D99695"/>
      </w:tcPr>
    </w:tblStylePr>
    <w:tblStylePr w:type="lastRow">
      <w:rPr>
        <w:rFonts w:ascii="Arial" w:hAnsi="Arial"/>
        <w:b/>
        <w:color w:val="FFFFFF"/>
        <w:sz w:val="22"/>
      </w:rPr>
    </w:tblStylePr>
    <w:tblStylePr w:type="firstCol">
      <w:rPr>
        <w:rFonts w:ascii="Arial" w:hAnsi="Arial"/>
        <w:b/>
        <w:color w:val="FFFFFF"/>
        <w:sz w:val="22"/>
      </w:rPr>
      <w:tcPr>
        <w:tcBorders>
          <w:left w:val="single" w:color="D99695" w:sz="32" w:space="0"/>
          <w:right w:val="single" w:color="FFFFFF" w:sz="4" w:space="0"/>
        </w:tcBorders>
      </w:tcPr>
    </w:tblStylePr>
    <w:tblStylePr w:type="lastCol">
      <w:tcPr>
        <w:tcBorders>
          <w:left w:val="single" w:color="FFFFFF" w:sz="4" w:space="0"/>
          <w:right w:val="single" w:color="D99695" w:sz="32" w:space="0"/>
        </w:tcBorders>
      </w:tcPr>
    </w:tblStylePr>
    <w:tblStylePr w:type="band1Vert">
      <w:tcPr>
        <w:tcBorders>
          <w:left w:val="single" w:color="FFFFFF" w:sz="4" w:space="0"/>
          <w:right w:val="single" w:color="FFFFFF" w:sz="4" w:space="0"/>
        </w:tcBorders>
        <w:shd w:val="clear" w:color="D99695" w:fill="D99695"/>
      </w:tcPr>
    </w:tblStylePr>
    <w:tblStylePr w:type="band2Vert">
      <w:tcPr>
        <w:tcBorders>
          <w:left w:val="single" w:color="FFFFFF" w:sz="4" w:space="0"/>
          <w:right w:val="single" w:color="FFFFFF" w:sz="4" w:space="0"/>
        </w:tcBorders>
      </w:tcPr>
    </w:tblStylePr>
    <w:tblStylePr w:type="band1Horz">
      <w:tcPr>
        <w:tcBorders>
          <w:top w:val="single" w:color="FFFFFF" w:sz="4" w:space="0"/>
          <w:bottom w:val="single" w:color="FFFFFF" w:sz="4" w:space="0"/>
        </w:tcBorders>
        <w:shd w:val="clear" w:color="D99695" w:fill="D99695"/>
      </w:tcPr>
    </w:tblStylePr>
    <w:tblStylePr w:type="band2Horz">
      <w:tcPr>
        <w:tcBorders>
          <w:top w:val="single" w:color="FFFFFF" w:sz="4" w:space="0"/>
          <w:bottom w:val="single" w:color="FFFFFF" w:sz="4" w:space="0"/>
        </w:tcBorders>
        <w:shd w:val="clear" w:color="D99695" w:fill="D99695"/>
      </w:tcPr>
    </w:tblStylePr>
  </w:style>
  <w:style w:type="table" w:customStyle="1" w:styleId="1181">
    <w:name w:val="List Table 5 Dark - Accent 34"/>
    <w:basedOn w:val="13"/>
    <w:uiPriority w:val="99"/>
    <w:rPr>
      <w:sz w:val="22"/>
      <w:szCs w:val="22"/>
      <w:lang w:eastAsia="en-US"/>
    </w:rPr>
    <w:tblPr>
      <w:tblBorders>
        <w:top w:val="single" w:color="C3D69B" w:sz="32" w:space="0"/>
        <w:left w:val="single" w:color="C3D69B" w:sz="32" w:space="0"/>
        <w:bottom w:val="single" w:color="C3D69B" w:sz="32" w:space="0"/>
        <w:right w:val="single" w:color="C3D69B" w:sz="32" w:space="0"/>
      </w:tblBorders>
      <w:tblCellMar>
        <w:top w:w="0" w:type="dxa"/>
        <w:left w:w="108" w:type="dxa"/>
        <w:bottom w:w="0" w:type="dxa"/>
        <w:right w:w="108" w:type="dxa"/>
      </w:tblCellMar>
    </w:tblPr>
    <w:tblStylePr w:type="firstRow">
      <w:rPr>
        <w:rFonts w:ascii="Arial" w:hAnsi="Arial"/>
        <w:b/>
        <w:color w:val="FFFFFF"/>
        <w:sz w:val="22"/>
      </w:rPr>
      <w:tcPr>
        <w:tcBorders>
          <w:top w:val="single" w:color="C3D69B" w:sz="32" w:space="0"/>
          <w:bottom w:val="single" w:color="FFFFFF" w:sz="12" w:space="0"/>
        </w:tcBorders>
        <w:shd w:val="clear" w:color="C3D69B" w:fill="C3D69B"/>
      </w:tcPr>
    </w:tblStylePr>
    <w:tblStylePr w:type="lastRow">
      <w:rPr>
        <w:rFonts w:ascii="Arial" w:hAnsi="Arial"/>
        <w:b/>
        <w:color w:val="FFFFFF"/>
        <w:sz w:val="22"/>
      </w:rPr>
    </w:tblStylePr>
    <w:tblStylePr w:type="firstCol">
      <w:rPr>
        <w:rFonts w:ascii="Arial" w:hAnsi="Arial"/>
        <w:b/>
        <w:color w:val="FFFFFF"/>
        <w:sz w:val="22"/>
      </w:rPr>
      <w:tcPr>
        <w:tcBorders>
          <w:left w:val="single" w:color="C3D69B" w:sz="32" w:space="0"/>
          <w:right w:val="single" w:color="FFFFFF" w:sz="4" w:space="0"/>
        </w:tcBorders>
      </w:tcPr>
    </w:tblStylePr>
    <w:tblStylePr w:type="lastCol">
      <w:tcPr>
        <w:tcBorders>
          <w:left w:val="single" w:color="FFFFFF" w:sz="4" w:space="0"/>
          <w:right w:val="single" w:color="C3D69B" w:sz="32" w:space="0"/>
        </w:tcBorders>
      </w:tcPr>
    </w:tblStylePr>
    <w:tblStylePr w:type="band1Vert">
      <w:tcPr>
        <w:tcBorders>
          <w:left w:val="single" w:color="FFFFFF" w:sz="4" w:space="0"/>
          <w:right w:val="single" w:color="FFFFFF" w:sz="4" w:space="0"/>
        </w:tcBorders>
        <w:shd w:val="clear" w:color="C3D69B" w:fill="C3D69B"/>
      </w:tcPr>
    </w:tblStylePr>
    <w:tblStylePr w:type="band2Vert">
      <w:tcPr>
        <w:tcBorders>
          <w:left w:val="single" w:color="FFFFFF" w:sz="4" w:space="0"/>
          <w:right w:val="single" w:color="FFFFFF" w:sz="4" w:space="0"/>
        </w:tcBorders>
      </w:tcPr>
    </w:tblStylePr>
    <w:tblStylePr w:type="band1Horz">
      <w:tcPr>
        <w:tcBorders>
          <w:top w:val="single" w:color="FFFFFF" w:sz="4" w:space="0"/>
          <w:bottom w:val="single" w:color="FFFFFF" w:sz="4" w:space="0"/>
        </w:tcBorders>
        <w:shd w:val="clear" w:color="C3D69B" w:fill="C3D69B"/>
      </w:tcPr>
    </w:tblStylePr>
    <w:tblStylePr w:type="band2Horz">
      <w:tcPr>
        <w:tcBorders>
          <w:top w:val="single" w:color="FFFFFF" w:sz="4" w:space="0"/>
          <w:bottom w:val="single" w:color="FFFFFF" w:sz="4" w:space="0"/>
        </w:tcBorders>
        <w:shd w:val="clear" w:color="C3D69B" w:fill="C3D69B"/>
      </w:tcPr>
    </w:tblStylePr>
  </w:style>
  <w:style w:type="table" w:customStyle="1" w:styleId="1182">
    <w:name w:val="List Table 5 Dark - Accent 44"/>
    <w:basedOn w:val="13"/>
    <w:uiPriority w:val="99"/>
    <w:rPr>
      <w:sz w:val="22"/>
      <w:szCs w:val="22"/>
      <w:lang w:eastAsia="en-US"/>
    </w:rPr>
    <w:tblPr>
      <w:tblBorders>
        <w:top w:val="single" w:color="B2A1C6" w:sz="32" w:space="0"/>
        <w:left w:val="single" w:color="B2A1C6" w:sz="32" w:space="0"/>
        <w:bottom w:val="single" w:color="B2A1C6" w:sz="32" w:space="0"/>
        <w:right w:val="single" w:color="B2A1C6" w:sz="32" w:space="0"/>
      </w:tblBorders>
      <w:tblCellMar>
        <w:top w:w="0" w:type="dxa"/>
        <w:left w:w="108" w:type="dxa"/>
        <w:bottom w:w="0" w:type="dxa"/>
        <w:right w:w="108" w:type="dxa"/>
      </w:tblCellMar>
    </w:tblPr>
    <w:tblStylePr w:type="firstRow">
      <w:rPr>
        <w:rFonts w:ascii="Arial" w:hAnsi="Arial"/>
        <w:b/>
        <w:color w:val="FFFFFF"/>
        <w:sz w:val="22"/>
      </w:rPr>
      <w:tcPr>
        <w:tcBorders>
          <w:top w:val="single" w:color="B2A1C6" w:sz="32" w:space="0"/>
          <w:bottom w:val="single" w:color="FFFFFF" w:sz="12" w:space="0"/>
        </w:tcBorders>
        <w:shd w:val="clear" w:color="B2A1C6" w:fill="B2A1C6"/>
      </w:tcPr>
    </w:tblStylePr>
    <w:tblStylePr w:type="lastRow">
      <w:rPr>
        <w:rFonts w:ascii="Arial" w:hAnsi="Arial"/>
        <w:b/>
        <w:color w:val="FFFFFF"/>
        <w:sz w:val="22"/>
      </w:rPr>
    </w:tblStylePr>
    <w:tblStylePr w:type="firstCol">
      <w:rPr>
        <w:rFonts w:ascii="Arial" w:hAnsi="Arial"/>
        <w:b/>
        <w:color w:val="FFFFFF"/>
        <w:sz w:val="22"/>
      </w:rPr>
      <w:tcPr>
        <w:tcBorders>
          <w:left w:val="single" w:color="B2A1C6" w:sz="32" w:space="0"/>
          <w:right w:val="single" w:color="FFFFFF" w:sz="4" w:space="0"/>
        </w:tcBorders>
      </w:tcPr>
    </w:tblStylePr>
    <w:tblStylePr w:type="lastCol">
      <w:tcPr>
        <w:tcBorders>
          <w:left w:val="single" w:color="FFFFFF" w:sz="4" w:space="0"/>
          <w:right w:val="single" w:color="B2A1C6" w:sz="32" w:space="0"/>
        </w:tcBorders>
      </w:tcPr>
    </w:tblStylePr>
    <w:tblStylePr w:type="band1Vert">
      <w:tcPr>
        <w:tcBorders>
          <w:left w:val="single" w:color="FFFFFF" w:sz="4" w:space="0"/>
          <w:right w:val="single" w:color="FFFFFF" w:sz="4" w:space="0"/>
        </w:tcBorders>
        <w:shd w:val="clear" w:color="B2A1C6" w:fill="B2A1C6"/>
      </w:tcPr>
    </w:tblStylePr>
    <w:tblStylePr w:type="band2Vert">
      <w:tcPr>
        <w:tcBorders>
          <w:left w:val="single" w:color="FFFFFF" w:sz="4" w:space="0"/>
          <w:right w:val="single" w:color="FFFFFF" w:sz="4" w:space="0"/>
        </w:tcBorders>
      </w:tcPr>
    </w:tblStylePr>
    <w:tblStylePr w:type="band1Horz">
      <w:tcPr>
        <w:tcBorders>
          <w:top w:val="single" w:color="FFFFFF" w:sz="4" w:space="0"/>
          <w:bottom w:val="single" w:color="FFFFFF" w:sz="4" w:space="0"/>
        </w:tcBorders>
        <w:shd w:val="clear" w:color="B2A1C6" w:fill="B2A1C6"/>
      </w:tcPr>
    </w:tblStylePr>
    <w:tblStylePr w:type="band2Horz">
      <w:tcPr>
        <w:tcBorders>
          <w:top w:val="single" w:color="FFFFFF" w:sz="4" w:space="0"/>
          <w:bottom w:val="single" w:color="FFFFFF" w:sz="4" w:space="0"/>
        </w:tcBorders>
        <w:shd w:val="clear" w:color="B2A1C6" w:fill="B2A1C6"/>
      </w:tcPr>
    </w:tblStylePr>
  </w:style>
  <w:style w:type="table" w:customStyle="1" w:styleId="1183">
    <w:name w:val="List Table 5 Dark - Accent 54"/>
    <w:basedOn w:val="13"/>
    <w:uiPriority w:val="99"/>
    <w:rPr>
      <w:sz w:val="22"/>
      <w:szCs w:val="22"/>
      <w:lang w:eastAsia="en-US"/>
    </w:rPr>
    <w:tblPr>
      <w:tblBorders>
        <w:top w:val="single" w:color="92CCDC" w:sz="32" w:space="0"/>
        <w:left w:val="single" w:color="92CCDC" w:sz="32" w:space="0"/>
        <w:bottom w:val="single" w:color="92CCDC" w:sz="32" w:space="0"/>
        <w:right w:val="single" w:color="92CCDC" w:sz="32" w:space="0"/>
      </w:tblBorders>
      <w:tblCellMar>
        <w:top w:w="0" w:type="dxa"/>
        <w:left w:w="108" w:type="dxa"/>
        <w:bottom w:w="0" w:type="dxa"/>
        <w:right w:w="108" w:type="dxa"/>
      </w:tblCellMar>
    </w:tblPr>
    <w:tblStylePr w:type="firstRow">
      <w:rPr>
        <w:rFonts w:ascii="Arial" w:hAnsi="Arial"/>
        <w:b/>
        <w:color w:val="FFFFFF"/>
        <w:sz w:val="22"/>
      </w:rPr>
      <w:tcPr>
        <w:tcBorders>
          <w:top w:val="single" w:color="92CCDC" w:sz="32" w:space="0"/>
          <w:bottom w:val="single" w:color="FFFFFF" w:sz="12" w:space="0"/>
        </w:tcBorders>
        <w:shd w:val="clear" w:color="92CCDC" w:fill="92CCDC"/>
      </w:tcPr>
    </w:tblStylePr>
    <w:tblStylePr w:type="lastRow">
      <w:rPr>
        <w:rFonts w:ascii="Arial" w:hAnsi="Arial"/>
        <w:b/>
        <w:color w:val="FFFFFF"/>
        <w:sz w:val="22"/>
      </w:rPr>
    </w:tblStylePr>
    <w:tblStylePr w:type="firstCol">
      <w:rPr>
        <w:rFonts w:ascii="Arial" w:hAnsi="Arial"/>
        <w:b/>
        <w:color w:val="FFFFFF"/>
        <w:sz w:val="22"/>
      </w:rPr>
      <w:tcPr>
        <w:tcBorders>
          <w:left w:val="single" w:color="92CCDC" w:sz="32" w:space="0"/>
          <w:right w:val="single" w:color="FFFFFF" w:sz="4" w:space="0"/>
        </w:tcBorders>
      </w:tcPr>
    </w:tblStylePr>
    <w:tblStylePr w:type="lastCol">
      <w:tcPr>
        <w:tcBorders>
          <w:left w:val="single" w:color="FFFFFF" w:sz="4" w:space="0"/>
          <w:right w:val="single" w:color="92CCDC" w:sz="32" w:space="0"/>
        </w:tcBorders>
      </w:tcPr>
    </w:tblStylePr>
    <w:tblStylePr w:type="band1Vert">
      <w:tcPr>
        <w:tcBorders>
          <w:left w:val="single" w:color="FFFFFF" w:sz="4" w:space="0"/>
          <w:right w:val="single" w:color="FFFFFF" w:sz="4" w:space="0"/>
        </w:tcBorders>
        <w:shd w:val="clear" w:color="92CCDC" w:fill="92CCDC"/>
      </w:tcPr>
    </w:tblStylePr>
    <w:tblStylePr w:type="band2Vert">
      <w:tcPr>
        <w:tcBorders>
          <w:left w:val="single" w:color="FFFFFF" w:sz="4" w:space="0"/>
          <w:right w:val="single" w:color="FFFFFF" w:sz="4" w:space="0"/>
        </w:tcBorders>
      </w:tcPr>
    </w:tblStylePr>
    <w:tblStylePr w:type="band1Horz">
      <w:tcPr>
        <w:tcBorders>
          <w:top w:val="single" w:color="FFFFFF" w:sz="4" w:space="0"/>
          <w:bottom w:val="single" w:color="FFFFFF" w:sz="4" w:space="0"/>
        </w:tcBorders>
        <w:shd w:val="clear" w:color="92CCDC" w:fill="92CCDC"/>
      </w:tcPr>
    </w:tblStylePr>
    <w:tblStylePr w:type="band2Horz">
      <w:tcPr>
        <w:tcBorders>
          <w:top w:val="single" w:color="FFFFFF" w:sz="4" w:space="0"/>
          <w:bottom w:val="single" w:color="FFFFFF" w:sz="4" w:space="0"/>
        </w:tcBorders>
        <w:shd w:val="clear" w:color="92CCDC" w:fill="92CCDC"/>
      </w:tcPr>
    </w:tblStylePr>
  </w:style>
  <w:style w:type="table" w:customStyle="1" w:styleId="1184">
    <w:name w:val="List Table 5 Dark - Accent 64"/>
    <w:basedOn w:val="13"/>
    <w:uiPriority w:val="99"/>
    <w:rPr>
      <w:sz w:val="22"/>
      <w:szCs w:val="22"/>
      <w:lang w:eastAsia="en-US"/>
    </w:rPr>
    <w:tblPr>
      <w:tblBorders>
        <w:top w:val="single" w:color="FAC090" w:sz="32" w:space="0"/>
        <w:left w:val="single" w:color="FAC090" w:sz="32" w:space="0"/>
        <w:bottom w:val="single" w:color="FAC090" w:sz="32" w:space="0"/>
        <w:right w:val="single" w:color="FAC090" w:sz="32" w:space="0"/>
      </w:tblBorders>
      <w:tblCellMar>
        <w:top w:w="0" w:type="dxa"/>
        <w:left w:w="108" w:type="dxa"/>
        <w:bottom w:w="0" w:type="dxa"/>
        <w:right w:w="108" w:type="dxa"/>
      </w:tblCellMar>
    </w:tblPr>
    <w:tblStylePr w:type="firstRow">
      <w:rPr>
        <w:rFonts w:ascii="Arial" w:hAnsi="Arial"/>
        <w:b/>
        <w:color w:val="FFFFFF"/>
        <w:sz w:val="22"/>
      </w:rPr>
      <w:tcPr>
        <w:tcBorders>
          <w:top w:val="single" w:color="FAC090" w:sz="32" w:space="0"/>
          <w:bottom w:val="single" w:color="FFFFFF" w:sz="12" w:space="0"/>
        </w:tcBorders>
        <w:shd w:val="clear" w:color="FAC090" w:fill="FAC090"/>
      </w:tcPr>
    </w:tblStylePr>
    <w:tblStylePr w:type="lastRow">
      <w:rPr>
        <w:rFonts w:ascii="Arial" w:hAnsi="Arial"/>
        <w:b/>
        <w:color w:val="FFFFFF"/>
        <w:sz w:val="22"/>
      </w:rPr>
    </w:tblStylePr>
    <w:tblStylePr w:type="firstCol">
      <w:rPr>
        <w:rFonts w:ascii="Arial" w:hAnsi="Arial"/>
        <w:b/>
        <w:color w:val="FFFFFF"/>
        <w:sz w:val="22"/>
      </w:rPr>
      <w:tcPr>
        <w:tcBorders>
          <w:left w:val="single" w:color="FAC090" w:sz="32" w:space="0"/>
          <w:right w:val="single" w:color="FFFFFF" w:sz="4" w:space="0"/>
        </w:tcBorders>
      </w:tcPr>
    </w:tblStylePr>
    <w:tblStylePr w:type="lastCol">
      <w:tcPr>
        <w:tcBorders>
          <w:left w:val="single" w:color="FFFFFF" w:sz="4" w:space="0"/>
          <w:right w:val="single" w:color="FAC090" w:sz="32" w:space="0"/>
        </w:tcBorders>
      </w:tcPr>
    </w:tblStylePr>
    <w:tblStylePr w:type="band1Vert">
      <w:tcPr>
        <w:tcBorders>
          <w:left w:val="single" w:color="FFFFFF" w:sz="4" w:space="0"/>
          <w:right w:val="single" w:color="FFFFFF" w:sz="4" w:space="0"/>
        </w:tcBorders>
        <w:shd w:val="clear" w:color="FAC090" w:fill="FAC090"/>
      </w:tcPr>
    </w:tblStylePr>
    <w:tblStylePr w:type="band2Vert">
      <w:tcPr>
        <w:tcBorders>
          <w:left w:val="single" w:color="FFFFFF" w:sz="4" w:space="0"/>
          <w:right w:val="single" w:color="FFFFFF" w:sz="4" w:space="0"/>
        </w:tcBorders>
      </w:tcPr>
    </w:tblStylePr>
    <w:tblStylePr w:type="band1Horz">
      <w:tcPr>
        <w:tcBorders>
          <w:top w:val="single" w:color="FFFFFF" w:sz="4" w:space="0"/>
          <w:bottom w:val="single" w:color="FFFFFF" w:sz="4" w:space="0"/>
        </w:tcBorders>
        <w:shd w:val="clear" w:color="FAC090" w:fill="FAC090"/>
      </w:tcPr>
    </w:tblStylePr>
    <w:tblStylePr w:type="band2Horz">
      <w:tcPr>
        <w:tcBorders>
          <w:top w:val="single" w:color="FFFFFF" w:sz="4" w:space="0"/>
          <w:bottom w:val="single" w:color="FFFFFF" w:sz="4" w:space="0"/>
        </w:tcBorders>
        <w:shd w:val="clear" w:color="FAC090" w:fill="FAC090"/>
      </w:tcPr>
    </w:tblStylePr>
  </w:style>
  <w:style w:type="table" w:customStyle="1" w:styleId="1185">
    <w:name w:val="Список-таблица 6 цветная12"/>
    <w:basedOn w:val="13"/>
    <w:uiPriority w:val="99"/>
    <w:rPr>
      <w:sz w:val="22"/>
      <w:szCs w:val="22"/>
      <w:lang w:eastAsia="en-US"/>
    </w:rPr>
    <w:tblPr>
      <w:tblBorders>
        <w:top w:val="single" w:color="7F7F7F" w:sz="4" w:space="0"/>
        <w:bottom w:val="single" w:color="7F7F7F" w:sz="4" w:space="0"/>
      </w:tblBorders>
      <w:tblCellMar>
        <w:top w:w="0" w:type="dxa"/>
        <w:left w:w="108" w:type="dxa"/>
        <w:bottom w:w="0" w:type="dxa"/>
        <w:right w:w="108" w:type="dxa"/>
      </w:tblCellMar>
    </w:tblPr>
    <w:tblStylePr w:type="firstRow">
      <w:rPr>
        <w:b/>
        <w:color w:val="000000"/>
      </w:rPr>
      <w:tcPr>
        <w:tcBorders>
          <w:bottom w:val="single" w:color="7F7F7F" w:sz="4" w:space="0"/>
        </w:tcBorders>
      </w:tcPr>
    </w:tblStylePr>
    <w:tblStylePr w:type="lastRow">
      <w:rPr>
        <w:b/>
        <w:color w:val="000000"/>
      </w:rPr>
      <w:tcPr>
        <w:tcBorders>
          <w:top w:val="single" w:color="7F7F7F" w:sz="4" w:space="0"/>
        </w:tcBorders>
      </w:tcPr>
    </w:tblStylePr>
    <w:tblStylePr w:type="firstCol">
      <w:rPr>
        <w:b/>
        <w:color w:val="000000"/>
      </w:rPr>
    </w:tblStylePr>
    <w:tblStylePr w:type="lastCol">
      <w:rPr>
        <w:b/>
        <w:color w:val="000000"/>
      </w:rPr>
    </w:tblStylePr>
    <w:tblStylePr w:type="band1Vert">
      <w:tcPr>
        <w:shd w:val="clear" w:color="BFBFBF" w:fill="BFBFBF"/>
      </w:tcPr>
    </w:tblStylePr>
    <w:tblStylePr w:type="band1Horz">
      <w:rPr>
        <w:rFonts w:ascii="Arial" w:hAnsi="Arial"/>
        <w:color w:val="000000"/>
        <w:sz w:val="22"/>
      </w:rPr>
      <w:tcPr>
        <w:shd w:val="clear" w:color="BFBFBF" w:fill="BFBFBF"/>
      </w:tcPr>
    </w:tblStylePr>
    <w:tblStylePr w:type="band2Horz">
      <w:rPr>
        <w:rFonts w:ascii="Arial" w:hAnsi="Arial"/>
        <w:color w:val="000000"/>
        <w:sz w:val="22"/>
      </w:rPr>
    </w:tblStylePr>
  </w:style>
  <w:style w:type="table" w:customStyle="1" w:styleId="1186">
    <w:name w:val="List Table 6 Colorful - Accent 14"/>
    <w:basedOn w:val="13"/>
    <w:uiPriority w:val="99"/>
    <w:rPr>
      <w:sz w:val="22"/>
      <w:szCs w:val="22"/>
      <w:lang w:eastAsia="en-US"/>
    </w:rPr>
    <w:tblPr>
      <w:tblBorders>
        <w:top w:val="single" w:color="4F81BD" w:sz="4" w:space="0"/>
        <w:bottom w:val="single" w:color="4F81BD" w:sz="4" w:space="0"/>
      </w:tblBorders>
      <w:tblCellMar>
        <w:top w:w="0" w:type="dxa"/>
        <w:left w:w="108" w:type="dxa"/>
        <w:bottom w:w="0" w:type="dxa"/>
        <w:right w:w="108" w:type="dxa"/>
      </w:tblCellMar>
    </w:tblPr>
    <w:tblStylePr w:type="firstRow">
      <w:rPr>
        <w:b/>
        <w:color w:val="2A4A71"/>
      </w:rPr>
      <w:tcPr>
        <w:tcBorders>
          <w:bottom w:val="single" w:color="4F81BD" w:sz="4" w:space="0"/>
        </w:tcBorders>
      </w:tcPr>
    </w:tblStylePr>
    <w:tblStylePr w:type="lastRow">
      <w:rPr>
        <w:b/>
        <w:color w:val="2A4A71"/>
      </w:rPr>
      <w:tcPr>
        <w:tcBorders>
          <w:top w:val="single" w:color="4F81BD" w:sz="4" w:space="0"/>
        </w:tcBorders>
      </w:tcPr>
    </w:tblStylePr>
    <w:tblStylePr w:type="firstCol">
      <w:rPr>
        <w:b/>
        <w:color w:val="2A4A71"/>
      </w:rPr>
    </w:tblStylePr>
    <w:tblStylePr w:type="lastCol">
      <w:rPr>
        <w:b/>
        <w:color w:val="2A4A71"/>
      </w:rPr>
    </w:tblStylePr>
    <w:tblStylePr w:type="band1Vert">
      <w:tcPr>
        <w:shd w:val="clear" w:color="D2DFEE" w:fill="D2DFEE"/>
      </w:tcPr>
    </w:tblStylePr>
    <w:tblStylePr w:type="band1Horz">
      <w:rPr>
        <w:rFonts w:ascii="Arial" w:hAnsi="Arial"/>
        <w:color w:val="2A4A71"/>
        <w:sz w:val="22"/>
      </w:rPr>
      <w:tcPr>
        <w:shd w:val="clear" w:color="D2DFEE" w:fill="D2DFEE"/>
      </w:tcPr>
    </w:tblStylePr>
    <w:tblStylePr w:type="band2Horz">
      <w:rPr>
        <w:rFonts w:ascii="Arial" w:hAnsi="Arial"/>
        <w:color w:val="2A4A71"/>
        <w:sz w:val="22"/>
      </w:rPr>
    </w:tblStylePr>
  </w:style>
  <w:style w:type="table" w:customStyle="1" w:styleId="1187">
    <w:name w:val="List Table 6 Colorful - Accent 24"/>
    <w:basedOn w:val="13"/>
    <w:uiPriority w:val="99"/>
    <w:rPr>
      <w:sz w:val="22"/>
      <w:szCs w:val="22"/>
      <w:lang w:eastAsia="en-US"/>
    </w:rPr>
    <w:tblPr>
      <w:tblBorders>
        <w:top w:val="single" w:color="D99695" w:sz="4" w:space="0"/>
        <w:bottom w:val="single" w:color="D99695" w:sz="4" w:space="0"/>
      </w:tblBorders>
      <w:tblCellMar>
        <w:top w:w="0" w:type="dxa"/>
        <w:left w:w="108" w:type="dxa"/>
        <w:bottom w:w="0" w:type="dxa"/>
        <w:right w:w="108" w:type="dxa"/>
      </w:tblCellMar>
    </w:tblPr>
    <w:tblStylePr w:type="firstRow">
      <w:rPr>
        <w:b/>
        <w:color w:val="D99695"/>
      </w:rPr>
      <w:tcPr>
        <w:tcBorders>
          <w:bottom w:val="single" w:color="D99695" w:sz="4" w:space="0"/>
        </w:tcBorders>
      </w:tcPr>
    </w:tblStylePr>
    <w:tblStylePr w:type="lastRow">
      <w:rPr>
        <w:b/>
        <w:color w:val="D99695"/>
      </w:rPr>
      <w:tcPr>
        <w:tcBorders>
          <w:top w:val="single" w:color="D99695" w:sz="4" w:space="0"/>
        </w:tcBorders>
      </w:tcPr>
    </w:tblStylePr>
    <w:tblStylePr w:type="firstCol">
      <w:rPr>
        <w:b/>
        <w:color w:val="D99695"/>
      </w:rPr>
    </w:tblStylePr>
    <w:tblStylePr w:type="lastCol">
      <w:rPr>
        <w:b/>
        <w:color w:val="D99695"/>
      </w:rPr>
    </w:tblStylePr>
    <w:tblStylePr w:type="band1Vert">
      <w:tcPr>
        <w:shd w:val="clear" w:color="EFD2D2" w:fill="EFD2D2"/>
      </w:tcPr>
    </w:tblStylePr>
    <w:tblStylePr w:type="band1Horz">
      <w:rPr>
        <w:rFonts w:ascii="Arial" w:hAnsi="Arial"/>
        <w:color w:val="D99695"/>
        <w:sz w:val="22"/>
      </w:rPr>
      <w:tcPr>
        <w:shd w:val="clear" w:color="EFD2D2" w:fill="EFD2D2"/>
      </w:tcPr>
    </w:tblStylePr>
    <w:tblStylePr w:type="band2Horz">
      <w:rPr>
        <w:rFonts w:ascii="Arial" w:hAnsi="Arial"/>
        <w:color w:val="D99695"/>
        <w:sz w:val="22"/>
      </w:rPr>
    </w:tblStylePr>
  </w:style>
  <w:style w:type="table" w:customStyle="1" w:styleId="1188">
    <w:name w:val="List Table 6 Colorful - Accent 34"/>
    <w:basedOn w:val="13"/>
    <w:uiPriority w:val="99"/>
    <w:rPr>
      <w:sz w:val="22"/>
      <w:szCs w:val="22"/>
      <w:lang w:eastAsia="en-US"/>
    </w:rPr>
    <w:tblPr>
      <w:tblBorders>
        <w:top w:val="single" w:color="C3D69B" w:sz="4" w:space="0"/>
        <w:bottom w:val="single" w:color="C3D69B" w:sz="4" w:space="0"/>
      </w:tblBorders>
      <w:tblCellMar>
        <w:top w:w="0" w:type="dxa"/>
        <w:left w:w="108" w:type="dxa"/>
        <w:bottom w:w="0" w:type="dxa"/>
        <w:right w:w="108" w:type="dxa"/>
      </w:tblCellMar>
    </w:tblPr>
    <w:tblStylePr w:type="firstRow">
      <w:rPr>
        <w:b/>
        <w:color w:val="C3D69B"/>
      </w:rPr>
      <w:tcPr>
        <w:tcBorders>
          <w:bottom w:val="single" w:color="C3D69B" w:sz="4" w:space="0"/>
        </w:tcBorders>
      </w:tcPr>
    </w:tblStylePr>
    <w:tblStylePr w:type="lastRow">
      <w:rPr>
        <w:b/>
        <w:color w:val="C3D69B"/>
      </w:rPr>
      <w:tcPr>
        <w:tcBorders>
          <w:top w:val="single" w:color="C3D69B" w:sz="4" w:space="0"/>
        </w:tcBorders>
      </w:tcPr>
    </w:tblStylePr>
    <w:tblStylePr w:type="firstCol">
      <w:rPr>
        <w:b/>
        <w:color w:val="C3D69B"/>
      </w:rPr>
    </w:tblStylePr>
    <w:tblStylePr w:type="lastCol">
      <w:rPr>
        <w:b/>
        <w:color w:val="C3D69B"/>
      </w:rPr>
    </w:tblStylePr>
    <w:tblStylePr w:type="band1Vert">
      <w:tcPr>
        <w:shd w:val="clear" w:color="E5EED5" w:fill="E5EED5"/>
      </w:tcPr>
    </w:tblStylePr>
    <w:tblStylePr w:type="band1Horz">
      <w:rPr>
        <w:rFonts w:ascii="Arial" w:hAnsi="Arial"/>
        <w:color w:val="C3D69B"/>
        <w:sz w:val="22"/>
      </w:rPr>
      <w:tcPr>
        <w:shd w:val="clear" w:color="E5EED5" w:fill="E5EED5"/>
      </w:tcPr>
    </w:tblStylePr>
    <w:tblStylePr w:type="band2Horz">
      <w:rPr>
        <w:rFonts w:ascii="Arial" w:hAnsi="Arial"/>
        <w:color w:val="C3D69B"/>
        <w:sz w:val="22"/>
      </w:rPr>
    </w:tblStylePr>
  </w:style>
  <w:style w:type="table" w:customStyle="1" w:styleId="1189">
    <w:name w:val="List Table 6 Colorful - Accent 44"/>
    <w:basedOn w:val="13"/>
    <w:uiPriority w:val="99"/>
    <w:rPr>
      <w:sz w:val="22"/>
      <w:szCs w:val="22"/>
      <w:lang w:eastAsia="en-US"/>
    </w:rPr>
    <w:tblPr>
      <w:tblBorders>
        <w:top w:val="single" w:color="B2A1C6" w:sz="4" w:space="0"/>
        <w:bottom w:val="single" w:color="B2A1C6" w:sz="4" w:space="0"/>
      </w:tblBorders>
      <w:tblCellMar>
        <w:top w:w="0" w:type="dxa"/>
        <w:left w:w="108" w:type="dxa"/>
        <w:bottom w:w="0" w:type="dxa"/>
        <w:right w:w="108" w:type="dxa"/>
      </w:tblCellMar>
    </w:tblPr>
    <w:tblStylePr w:type="firstRow">
      <w:rPr>
        <w:b/>
        <w:color w:val="B2A1C6"/>
      </w:rPr>
      <w:tcPr>
        <w:tcBorders>
          <w:bottom w:val="single" w:color="B2A1C6" w:sz="4" w:space="0"/>
        </w:tcBorders>
      </w:tcPr>
    </w:tblStylePr>
    <w:tblStylePr w:type="lastRow">
      <w:rPr>
        <w:b/>
        <w:color w:val="B2A1C6"/>
      </w:rPr>
      <w:tcPr>
        <w:tcBorders>
          <w:top w:val="single" w:color="B2A1C6" w:sz="4" w:space="0"/>
        </w:tcBorders>
      </w:tcPr>
    </w:tblStylePr>
    <w:tblStylePr w:type="firstCol">
      <w:rPr>
        <w:b/>
        <w:color w:val="B2A1C6"/>
      </w:rPr>
    </w:tblStylePr>
    <w:tblStylePr w:type="lastCol">
      <w:rPr>
        <w:b/>
        <w:color w:val="B2A1C6"/>
      </w:rPr>
    </w:tblStylePr>
    <w:tblStylePr w:type="band1Vert">
      <w:tcPr>
        <w:shd w:val="clear" w:color="DFD8E7" w:fill="DFD8E7"/>
      </w:tcPr>
    </w:tblStylePr>
    <w:tblStylePr w:type="band1Horz">
      <w:rPr>
        <w:rFonts w:ascii="Arial" w:hAnsi="Arial"/>
        <w:color w:val="B2A1C6"/>
        <w:sz w:val="22"/>
      </w:rPr>
      <w:tcPr>
        <w:shd w:val="clear" w:color="DFD8E7" w:fill="DFD8E7"/>
      </w:tcPr>
    </w:tblStylePr>
    <w:tblStylePr w:type="band2Horz">
      <w:rPr>
        <w:rFonts w:ascii="Arial" w:hAnsi="Arial"/>
        <w:color w:val="B2A1C6"/>
        <w:sz w:val="22"/>
      </w:rPr>
    </w:tblStylePr>
  </w:style>
  <w:style w:type="table" w:customStyle="1" w:styleId="1190">
    <w:name w:val="List Table 6 Colorful - Accent 54"/>
    <w:basedOn w:val="13"/>
    <w:uiPriority w:val="99"/>
    <w:rPr>
      <w:sz w:val="22"/>
      <w:szCs w:val="22"/>
      <w:lang w:eastAsia="en-US"/>
    </w:rPr>
    <w:tblPr>
      <w:tblBorders>
        <w:top w:val="single" w:color="92CCDC" w:sz="4" w:space="0"/>
        <w:bottom w:val="single" w:color="92CCDC" w:sz="4" w:space="0"/>
      </w:tblBorders>
      <w:tblCellMar>
        <w:top w:w="0" w:type="dxa"/>
        <w:left w:w="108" w:type="dxa"/>
        <w:bottom w:w="0" w:type="dxa"/>
        <w:right w:w="108" w:type="dxa"/>
      </w:tblCellMar>
    </w:tblPr>
    <w:tblStylePr w:type="firstRow">
      <w:rPr>
        <w:b/>
        <w:color w:val="92CCDC"/>
      </w:rPr>
      <w:tcPr>
        <w:tcBorders>
          <w:bottom w:val="single" w:color="92CCDC" w:sz="4" w:space="0"/>
        </w:tcBorders>
      </w:tcPr>
    </w:tblStylePr>
    <w:tblStylePr w:type="lastRow">
      <w:rPr>
        <w:b/>
        <w:color w:val="92CCDC"/>
      </w:rPr>
      <w:tcPr>
        <w:tcBorders>
          <w:top w:val="single" w:color="92CCDC" w:sz="4" w:space="0"/>
        </w:tcBorders>
      </w:tcPr>
    </w:tblStylePr>
    <w:tblStylePr w:type="firstCol">
      <w:rPr>
        <w:b/>
        <w:color w:val="92CCDC"/>
      </w:rPr>
    </w:tblStylePr>
    <w:tblStylePr w:type="lastCol">
      <w:rPr>
        <w:b/>
        <w:color w:val="92CCDC"/>
      </w:rPr>
    </w:tblStylePr>
    <w:tblStylePr w:type="band1Vert">
      <w:tcPr>
        <w:shd w:val="clear" w:color="D1EAF0" w:fill="D1EAF0"/>
      </w:tcPr>
    </w:tblStylePr>
    <w:tblStylePr w:type="band1Horz">
      <w:rPr>
        <w:rFonts w:ascii="Arial" w:hAnsi="Arial"/>
        <w:color w:val="92CCDC"/>
        <w:sz w:val="22"/>
      </w:rPr>
      <w:tcPr>
        <w:shd w:val="clear" w:color="D1EAF0" w:fill="D1EAF0"/>
      </w:tcPr>
    </w:tblStylePr>
    <w:tblStylePr w:type="band2Horz">
      <w:rPr>
        <w:rFonts w:ascii="Arial" w:hAnsi="Arial"/>
        <w:color w:val="92CCDC"/>
        <w:sz w:val="22"/>
      </w:rPr>
    </w:tblStylePr>
  </w:style>
  <w:style w:type="table" w:customStyle="1" w:styleId="1191">
    <w:name w:val="List Table 6 Colorful - Accent 64"/>
    <w:basedOn w:val="13"/>
    <w:uiPriority w:val="99"/>
    <w:rPr>
      <w:sz w:val="22"/>
      <w:szCs w:val="22"/>
      <w:lang w:eastAsia="en-US"/>
    </w:rPr>
    <w:tblPr>
      <w:tblBorders>
        <w:top w:val="single" w:color="FAC090" w:sz="4" w:space="0"/>
        <w:bottom w:val="single" w:color="FAC090" w:sz="4" w:space="0"/>
      </w:tblBorders>
      <w:tblCellMar>
        <w:top w:w="0" w:type="dxa"/>
        <w:left w:w="108" w:type="dxa"/>
        <w:bottom w:w="0" w:type="dxa"/>
        <w:right w:w="108" w:type="dxa"/>
      </w:tblCellMar>
    </w:tblPr>
    <w:tblStylePr w:type="firstRow">
      <w:rPr>
        <w:b/>
        <w:color w:val="FAC090"/>
      </w:rPr>
      <w:tcPr>
        <w:tcBorders>
          <w:bottom w:val="single" w:color="FAC090" w:sz="4" w:space="0"/>
        </w:tcBorders>
      </w:tcPr>
    </w:tblStylePr>
    <w:tblStylePr w:type="lastRow">
      <w:rPr>
        <w:b/>
        <w:color w:val="FAC090"/>
      </w:rPr>
      <w:tcPr>
        <w:tcBorders>
          <w:top w:val="single" w:color="FAC090" w:sz="4" w:space="0"/>
        </w:tcBorders>
      </w:tcPr>
    </w:tblStylePr>
    <w:tblStylePr w:type="firstCol">
      <w:rPr>
        <w:b/>
        <w:color w:val="FAC090"/>
      </w:rPr>
    </w:tblStylePr>
    <w:tblStylePr w:type="lastCol">
      <w:rPr>
        <w:b/>
        <w:color w:val="FAC090"/>
      </w:rPr>
    </w:tblStylePr>
    <w:tblStylePr w:type="band1Vert">
      <w:tcPr>
        <w:shd w:val="clear" w:color="FDE4D0" w:fill="FDE4D0"/>
      </w:tcPr>
    </w:tblStylePr>
    <w:tblStylePr w:type="band1Horz">
      <w:rPr>
        <w:rFonts w:ascii="Arial" w:hAnsi="Arial"/>
        <w:color w:val="FAC090"/>
        <w:sz w:val="22"/>
      </w:rPr>
      <w:tcPr>
        <w:shd w:val="clear" w:color="FDE4D0" w:fill="FDE4D0"/>
      </w:tcPr>
    </w:tblStylePr>
    <w:tblStylePr w:type="band2Horz">
      <w:rPr>
        <w:rFonts w:ascii="Arial" w:hAnsi="Arial"/>
        <w:color w:val="FAC090"/>
        <w:sz w:val="22"/>
      </w:rPr>
    </w:tblStylePr>
  </w:style>
  <w:style w:type="table" w:customStyle="1" w:styleId="1192">
    <w:name w:val="Список-таблица 7 цветная12"/>
    <w:basedOn w:val="13"/>
    <w:uiPriority w:val="99"/>
    <w:rPr>
      <w:sz w:val="22"/>
      <w:szCs w:val="22"/>
      <w:lang w:eastAsia="en-US"/>
    </w:rPr>
    <w:tblPr>
      <w:tblBorders>
        <w:right w:val="single" w:color="7F7F7F" w:sz="4" w:space="0"/>
      </w:tblBorders>
      <w:tblCellMar>
        <w:top w:w="0" w:type="dxa"/>
        <w:left w:w="108" w:type="dxa"/>
        <w:bottom w:w="0" w:type="dxa"/>
        <w:right w:w="108" w:type="dxa"/>
      </w:tblCellMar>
    </w:tblPr>
    <w:tblStylePr w:type="firstRow">
      <w:rPr>
        <w:rFonts w:ascii="Arial" w:hAnsi="Arial"/>
        <w:i/>
        <w:color w:val="7F7F7F"/>
        <w:sz w:val="22"/>
      </w:rPr>
      <w:tcPr>
        <w:tcBorders>
          <w:top w:val="nil"/>
          <w:left w:val="nil"/>
          <w:bottom w:val="single" w:color="7F7F7F" w:sz="4" w:space="0"/>
          <w:right w:val="nil"/>
        </w:tcBorders>
        <w:shd w:val="clear" w:color="FFFFFF" w:fill="FFFFFF"/>
      </w:tcPr>
    </w:tblStylePr>
    <w:tblStylePr w:type="lastRow">
      <w:rPr>
        <w:rFonts w:ascii="Arial" w:hAnsi="Arial"/>
        <w:i/>
        <w:color w:val="7F7F7F"/>
        <w:sz w:val="22"/>
      </w:rPr>
      <w:tcPr>
        <w:tcBorders>
          <w:top w:val="single" w:color="7F7F7F" w:sz="4" w:space="0"/>
          <w:left w:val="nil"/>
          <w:bottom w:val="nil"/>
          <w:right w:val="nil"/>
        </w:tcBorders>
        <w:shd w:val="clear" w:color="FFFFFF" w:fill="FFFFFF"/>
      </w:tcPr>
    </w:tblStylePr>
    <w:tblStylePr w:type="firstCol">
      <w:pPr>
        <w:jc w:val="right"/>
      </w:pPr>
      <w:rPr>
        <w:rFonts w:ascii="Arial" w:hAnsi="Arial"/>
        <w:i/>
        <w:color w:val="7F7F7F"/>
        <w:sz w:val="22"/>
      </w:rPr>
      <w:tcPr>
        <w:tcBorders>
          <w:top w:val="nil"/>
          <w:left w:val="nil"/>
          <w:bottom w:val="nil"/>
          <w:right w:val="single" w:color="7F7F7F" w:sz="4" w:space="0"/>
        </w:tcBorders>
        <w:shd w:val="clear" w:color="FFFFFF" w:fill="auto"/>
      </w:tcPr>
    </w:tblStylePr>
    <w:tblStylePr w:type="lastCol">
      <w:rPr>
        <w:rFonts w:ascii="Arial" w:hAnsi="Arial"/>
        <w:i/>
        <w:color w:val="7F7F7F"/>
        <w:sz w:val="22"/>
      </w:rPr>
      <w:tcPr>
        <w:tcBorders>
          <w:top w:val="nil"/>
          <w:left w:val="single" w:color="7F7F7F" w:sz="4" w:space="0"/>
          <w:bottom w:val="nil"/>
          <w:right w:val="nil"/>
        </w:tcBorders>
        <w:shd w:val="clear" w:color="FFFFFF" w:fill="auto"/>
      </w:tcPr>
    </w:tblStylePr>
    <w:tblStylePr w:type="band1Vert">
      <w:tcPr>
        <w:shd w:val="clear" w:color="BFBFBF" w:fill="BFBFBF"/>
      </w:tcPr>
    </w:tblStylePr>
    <w:tblStylePr w:type="band1Horz">
      <w:rPr>
        <w:rFonts w:ascii="Arial" w:hAnsi="Arial"/>
        <w:color w:val="7F7F7F"/>
        <w:sz w:val="22"/>
      </w:rPr>
      <w:tcPr>
        <w:shd w:val="clear" w:color="BFBFBF" w:fill="BFBFBF"/>
      </w:tcPr>
    </w:tblStylePr>
    <w:tblStylePr w:type="band2Horz">
      <w:rPr>
        <w:rFonts w:ascii="Arial" w:hAnsi="Arial"/>
        <w:color w:val="7F7F7F"/>
        <w:sz w:val="22"/>
      </w:rPr>
    </w:tblStylePr>
  </w:style>
  <w:style w:type="table" w:customStyle="1" w:styleId="1193">
    <w:name w:val="List Table 7 Colorful - Accent 14"/>
    <w:basedOn w:val="13"/>
    <w:uiPriority w:val="99"/>
    <w:rPr>
      <w:sz w:val="22"/>
      <w:szCs w:val="22"/>
      <w:lang w:eastAsia="en-US"/>
    </w:rPr>
    <w:tblPr>
      <w:tblBorders>
        <w:right w:val="single" w:color="4F81BD" w:sz="4" w:space="0"/>
      </w:tblBorders>
      <w:tblCellMar>
        <w:top w:w="0" w:type="dxa"/>
        <w:left w:w="108" w:type="dxa"/>
        <w:bottom w:w="0" w:type="dxa"/>
        <w:right w:w="108" w:type="dxa"/>
      </w:tblCellMar>
    </w:tblPr>
    <w:tblStylePr w:type="firstRow">
      <w:rPr>
        <w:rFonts w:ascii="Arial" w:hAnsi="Arial"/>
        <w:i/>
        <w:color w:val="2A4A71"/>
        <w:sz w:val="22"/>
      </w:rPr>
      <w:tcPr>
        <w:tcBorders>
          <w:top w:val="nil"/>
          <w:left w:val="nil"/>
          <w:bottom w:val="single" w:color="4F81BD" w:sz="4" w:space="0"/>
          <w:right w:val="nil"/>
        </w:tcBorders>
        <w:shd w:val="clear" w:color="FFFFFF" w:fill="FFFFFF"/>
      </w:tcPr>
    </w:tblStylePr>
    <w:tblStylePr w:type="lastRow">
      <w:rPr>
        <w:rFonts w:ascii="Arial" w:hAnsi="Arial"/>
        <w:i/>
        <w:color w:val="2A4A71"/>
        <w:sz w:val="22"/>
      </w:rPr>
      <w:tcPr>
        <w:tcBorders>
          <w:top w:val="single" w:color="4F81BD" w:sz="4" w:space="0"/>
          <w:left w:val="nil"/>
          <w:bottom w:val="nil"/>
          <w:right w:val="nil"/>
        </w:tcBorders>
        <w:shd w:val="clear" w:color="FFFFFF" w:fill="FFFFFF"/>
      </w:tcPr>
    </w:tblStylePr>
    <w:tblStylePr w:type="firstCol">
      <w:pPr>
        <w:jc w:val="right"/>
      </w:pPr>
      <w:rPr>
        <w:rFonts w:ascii="Arial" w:hAnsi="Arial"/>
        <w:i/>
        <w:color w:val="2A4A71"/>
        <w:sz w:val="22"/>
      </w:rPr>
      <w:tcPr>
        <w:tcBorders>
          <w:top w:val="nil"/>
          <w:left w:val="nil"/>
          <w:bottom w:val="nil"/>
          <w:right w:val="single" w:color="4F81BD" w:sz="4" w:space="0"/>
        </w:tcBorders>
        <w:shd w:val="clear" w:color="FFFFFF" w:fill="auto"/>
      </w:tcPr>
    </w:tblStylePr>
    <w:tblStylePr w:type="lastCol">
      <w:rPr>
        <w:rFonts w:ascii="Arial" w:hAnsi="Arial"/>
        <w:i/>
        <w:color w:val="2A4A71"/>
        <w:sz w:val="22"/>
      </w:rPr>
      <w:tcPr>
        <w:tcBorders>
          <w:top w:val="nil"/>
          <w:left w:val="single" w:color="4F81BD" w:sz="4" w:space="0"/>
          <w:bottom w:val="nil"/>
          <w:right w:val="nil"/>
        </w:tcBorders>
        <w:shd w:val="clear" w:color="FFFFFF" w:fill="auto"/>
      </w:tcPr>
    </w:tblStylePr>
    <w:tblStylePr w:type="band1Vert">
      <w:tcPr>
        <w:shd w:val="clear" w:color="D2DFEE" w:fill="D2DFEE"/>
      </w:tcPr>
    </w:tblStylePr>
    <w:tblStylePr w:type="band1Horz">
      <w:rPr>
        <w:rFonts w:ascii="Arial" w:hAnsi="Arial"/>
        <w:color w:val="2A4A71"/>
        <w:sz w:val="22"/>
      </w:rPr>
      <w:tcPr>
        <w:shd w:val="clear" w:color="D2DFEE" w:fill="D2DFEE"/>
      </w:tcPr>
    </w:tblStylePr>
    <w:tblStylePr w:type="band2Horz">
      <w:rPr>
        <w:rFonts w:ascii="Arial" w:hAnsi="Arial"/>
        <w:color w:val="2A4A71"/>
        <w:sz w:val="22"/>
      </w:rPr>
    </w:tblStylePr>
  </w:style>
  <w:style w:type="table" w:customStyle="1" w:styleId="1194">
    <w:name w:val="List Table 7 Colorful - Accent 24"/>
    <w:basedOn w:val="13"/>
    <w:uiPriority w:val="99"/>
    <w:rPr>
      <w:sz w:val="22"/>
      <w:szCs w:val="22"/>
      <w:lang w:eastAsia="en-US"/>
    </w:rPr>
    <w:tblPr>
      <w:tblBorders>
        <w:right w:val="single" w:color="D99695" w:sz="4" w:space="0"/>
      </w:tblBorders>
      <w:tblCellMar>
        <w:top w:w="0" w:type="dxa"/>
        <w:left w:w="108" w:type="dxa"/>
        <w:bottom w:w="0" w:type="dxa"/>
        <w:right w:w="108" w:type="dxa"/>
      </w:tblCellMar>
    </w:tblPr>
    <w:tblStylePr w:type="firstRow">
      <w:rPr>
        <w:rFonts w:ascii="Arial" w:hAnsi="Arial"/>
        <w:i/>
        <w:color w:val="D99695"/>
        <w:sz w:val="22"/>
      </w:rPr>
      <w:tcPr>
        <w:tcBorders>
          <w:top w:val="nil"/>
          <w:left w:val="nil"/>
          <w:bottom w:val="single" w:color="D99695" w:sz="4" w:space="0"/>
          <w:right w:val="nil"/>
        </w:tcBorders>
        <w:shd w:val="clear" w:color="FFFFFF" w:fill="FFFFFF"/>
      </w:tcPr>
    </w:tblStylePr>
    <w:tblStylePr w:type="lastRow">
      <w:rPr>
        <w:rFonts w:ascii="Arial" w:hAnsi="Arial"/>
        <w:i/>
        <w:color w:val="D99695"/>
        <w:sz w:val="22"/>
      </w:rPr>
      <w:tcPr>
        <w:tcBorders>
          <w:top w:val="single" w:color="D99695" w:sz="4" w:space="0"/>
          <w:left w:val="nil"/>
          <w:bottom w:val="nil"/>
          <w:right w:val="nil"/>
        </w:tcBorders>
        <w:shd w:val="clear" w:color="FFFFFF" w:fill="FFFFFF"/>
      </w:tcPr>
    </w:tblStylePr>
    <w:tblStylePr w:type="firstCol">
      <w:pPr>
        <w:jc w:val="right"/>
      </w:pPr>
      <w:rPr>
        <w:rFonts w:ascii="Arial" w:hAnsi="Arial"/>
        <w:i/>
        <w:color w:val="D99695"/>
        <w:sz w:val="22"/>
      </w:rPr>
      <w:tcPr>
        <w:tcBorders>
          <w:top w:val="nil"/>
          <w:left w:val="nil"/>
          <w:bottom w:val="nil"/>
          <w:right w:val="single" w:color="D99695" w:sz="4" w:space="0"/>
        </w:tcBorders>
        <w:shd w:val="clear" w:color="FFFFFF" w:fill="auto"/>
      </w:tcPr>
    </w:tblStylePr>
    <w:tblStylePr w:type="lastCol">
      <w:rPr>
        <w:rFonts w:ascii="Arial" w:hAnsi="Arial"/>
        <w:i/>
        <w:color w:val="D99695"/>
        <w:sz w:val="22"/>
      </w:rPr>
      <w:tcPr>
        <w:tcBorders>
          <w:top w:val="nil"/>
          <w:left w:val="single" w:color="D99695" w:sz="4" w:space="0"/>
          <w:bottom w:val="nil"/>
          <w:right w:val="nil"/>
        </w:tcBorders>
        <w:shd w:val="clear" w:color="FFFFFF" w:fill="auto"/>
      </w:tcPr>
    </w:tblStylePr>
    <w:tblStylePr w:type="band1Vert">
      <w:tcPr>
        <w:shd w:val="clear" w:color="EFD2D2" w:fill="EFD2D2"/>
      </w:tcPr>
    </w:tblStylePr>
    <w:tblStylePr w:type="band1Horz">
      <w:rPr>
        <w:rFonts w:ascii="Arial" w:hAnsi="Arial"/>
        <w:color w:val="D99695"/>
        <w:sz w:val="22"/>
      </w:rPr>
      <w:tcPr>
        <w:shd w:val="clear" w:color="EFD2D2" w:fill="EFD2D2"/>
      </w:tcPr>
    </w:tblStylePr>
    <w:tblStylePr w:type="band2Horz">
      <w:rPr>
        <w:rFonts w:ascii="Arial" w:hAnsi="Arial"/>
        <w:color w:val="D99695"/>
        <w:sz w:val="22"/>
      </w:rPr>
    </w:tblStylePr>
  </w:style>
  <w:style w:type="table" w:customStyle="1" w:styleId="1195">
    <w:name w:val="List Table 7 Colorful - Accent 34"/>
    <w:basedOn w:val="13"/>
    <w:uiPriority w:val="99"/>
    <w:rPr>
      <w:sz w:val="22"/>
      <w:szCs w:val="22"/>
      <w:lang w:eastAsia="en-US"/>
    </w:rPr>
    <w:tblPr>
      <w:tblBorders>
        <w:right w:val="single" w:color="C3D69B" w:sz="4" w:space="0"/>
      </w:tblBorders>
      <w:tblCellMar>
        <w:top w:w="0" w:type="dxa"/>
        <w:left w:w="108" w:type="dxa"/>
        <w:bottom w:w="0" w:type="dxa"/>
        <w:right w:w="108" w:type="dxa"/>
      </w:tblCellMar>
    </w:tblPr>
    <w:tblStylePr w:type="firstRow">
      <w:rPr>
        <w:rFonts w:ascii="Arial" w:hAnsi="Arial"/>
        <w:i/>
        <w:color w:val="C3D69B"/>
        <w:sz w:val="22"/>
      </w:rPr>
      <w:tcPr>
        <w:tcBorders>
          <w:top w:val="nil"/>
          <w:left w:val="nil"/>
          <w:bottom w:val="single" w:color="C3D69B" w:sz="4" w:space="0"/>
          <w:right w:val="nil"/>
        </w:tcBorders>
        <w:shd w:val="clear" w:color="FFFFFF" w:fill="FFFFFF"/>
      </w:tcPr>
    </w:tblStylePr>
    <w:tblStylePr w:type="lastRow">
      <w:rPr>
        <w:rFonts w:ascii="Arial" w:hAnsi="Arial"/>
        <w:i/>
        <w:color w:val="C3D69B"/>
        <w:sz w:val="22"/>
      </w:rPr>
      <w:tcPr>
        <w:tcBorders>
          <w:top w:val="single" w:color="C3D69B" w:sz="4" w:space="0"/>
          <w:left w:val="nil"/>
          <w:bottom w:val="nil"/>
          <w:right w:val="nil"/>
        </w:tcBorders>
        <w:shd w:val="clear" w:color="FFFFFF" w:fill="FFFFFF"/>
      </w:tcPr>
    </w:tblStylePr>
    <w:tblStylePr w:type="firstCol">
      <w:pPr>
        <w:jc w:val="right"/>
      </w:pPr>
      <w:rPr>
        <w:rFonts w:ascii="Arial" w:hAnsi="Arial"/>
        <w:i/>
        <w:color w:val="C3D69B"/>
        <w:sz w:val="22"/>
      </w:rPr>
      <w:tcPr>
        <w:tcBorders>
          <w:top w:val="nil"/>
          <w:left w:val="nil"/>
          <w:bottom w:val="nil"/>
          <w:right w:val="single" w:color="C3D69B" w:sz="4" w:space="0"/>
        </w:tcBorders>
        <w:shd w:val="clear" w:color="FFFFFF" w:fill="auto"/>
      </w:tcPr>
    </w:tblStylePr>
    <w:tblStylePr w:type="lastCol">
      <w:rPr>
        <w:rFonts w:ascii="Arial" w:hAnsi="Arial"/>
        <w:i/>
        <w:color w:val="C3D69B"/>
        <w:sz w:val="22"/>
      </w:rPr>
      <w:tcPr>
        <w:tcBorders>
          <w:top w:val="nil"/>
          <w:left w:val="single" w:color="C3D69B" w:sz="4" w:space="0"/>
          <w:bottom w:val="nil"/>
          <w:right w:val="nil"/>
        </w:tcBorders>
        <w:shd w:val="clear" w:color="FFFFFF" w:fill="auto"/>
      </w:tcPr>
    </w:tblStylePr>
    <w:tblStylePr w:type="band1Vert">
      <w:tcPr>
        <w:shd w:val="clear" w:color="E5EED5" w:fill="E5EED5"/>
      </w:tcPr>
    </w:tblStylePr>
    <w:tblStylePr w:type="band1Horz">
      <w:rPr>
        <w:rFonts w:ascii="Arial" w:hAnsi="Arial"/>
        <w:color w:val="C3D69B"/>
        <w:sz w:val="22"/>
      </w:rPr>
      <w:tcPr>
        <w:shd w:val="clear" w:color="E5EED5" w:fill="E5EED5"/>
      </w:tcPr>
    </w:tblStylePr>
    <w:tblStylePr w:type="band2Horz">
      <w:rPr>
        <w:rFonts w:ascii="Arial" w:hAnsi="Arial"/>
        <w:color w:val="C3D69B"/>
        <w:sz w:val="22"/>
      </w:rPr>
    </w:tblStylePr>
  </w:style>
  <w:style w:type="table" w:customStyle="1" w:styleId="1196">
    <w:name w:val="List Table 7 Colorful - Accent 44"/>
    <w:basedOn w:val="13"/>
    <w:uiPriority w:val="99"/>
    <w:rPr>
      <w:sz w:val="22"/>
      <w:szCs w:val="22"/>
      <w:lang w:eastAsia="en-US"/>
    </w:rPr>
    <w:tblPr>
      <w:tblBorders>
        <w:right w:val="single" w:color="B2A1C6" w:sz="4" w:space="0"/>
      </w:tblBorders>
      <w:tblCellMar>
        <w:top w:w="0" w:type="dxa"/>
        <w:left w:w="108" w:type="dxa"/>
        <w:bottom w:w="0" w:type="dxa"/>
        <w:right w:w="108" w:type="dxa"/>
      </w:tblCellMar>
    </w:tblPr>
    <w:tblStylePr w:type="firstRow">
      <w:rPr>
        <w:rFonts w:ascii="Arial" w:hAnsi="Arial"/>
        <w:i/>
        <w:color w:val="B2A1C6"/>
        <w:sz w:val="22"/>
      </w:rPr>
      <w:tcPr>
        <w:tcBorders>
          <w:top w:val="nil"/>
          <w:left w:val="nil"/>
          <w:bottom w:val="single" w:color="B2A1C6" w:sz="4" w:space="0"/>
          <w:right w:val="nil"/>
        </w:tcBorders>
        <w:shd w:val="clear" w:color="FFFFFF" w:fill="FFFFFF"/>
      </w:tcPr>
    </w:tblStylePr>
    <w:tblStylePr w:type="lastRow">
      <w:rPr>
        <w:rFonts w:ascii="Arial" w:hAnsi="Arial"/>
        <w:i/>
        <w:color w:val="B2A1C6"/>
        <w:sz w:val="22"/>
      </w:rPr>
      <w:tcPr>
        <w:tcBorders>
          <w:top w:val="single" w:color="B2A1C6" w:sz="4" w:space="0"/>
          <w:left w:val="nil"/>
          <w:bottom w:val="nil"/>
          <w:right w:val="nil"/>
        </w:tcBorders>
        <w:shd w:val="clear" w:color="FFFFFF" w:fill="FFFFFF"/>
      </w:tcPr>
    </w:tblStylePr>
    <w:tblStylePr w:type="firstCol">
      <w:pPr>
        <w:jc w:val="right"/>
      </w:pPr>
      <w:rPr>
        <w:rFonts w:ascii="Arial" w:hAnsi="Arial"/>
        <w:i/>
        <w:color w:val="B2A1C6"/>
        <w:sz w:val="22"/>
      </w:rPr>
      <w:tcPr>
        <w:tcBorders>
          <w:top w:val="nil"/>
          <w:left w:val="nil"/>
          <w:bottom w:val="nil"/>
          <w:right w:val="single" w:color="B2A1C6" w:sz="4" w:space="0"/>
        </w:tcBorders>
        <w:shd w:val="clear" w:color="FFFFFF" w:fill="auto"/>
      </w:tcPr>
    </w:tblStylePr>
    <w:tblStylePr w:type="lastCol">
      <w:rPr>
        <w:rFonts w:ascii="Arial" w:hAnsi="Arial"/>
        <w:i/>
        <w:color w:val="B2A1C6"/>
        <w:sz w:val="22"/>
      </w:rPr>
      <w:tcPr>
        <w:tcBorders>
          <w:top w:val="nil"/>
          <w:left w:val="single" w:color="B2A1C6" w:sz="4" w:space="0"/>
          <w:bottom w:val="nil"/>
          <w:right w:val="nil"/>
        </w:tcBorders>
        <w:shd w:val="clear" w:color="FFFFFF" w:fill="auto"/>
      </w:tcPr>
    </w:tblStylePr>
    <w:tblStylePr w:type="band1Vert">
      <w:tcPr>
        <w:shd w:val="clear" w:color="DFD8E7" w:fill="DFD8E7"/>
      </w:tcPr>
    </w:tblStylePr>
    <w:tblStylePr w:type="band1Horz">
      <w:rPr>
        <w:rFonts w:ascii="Arial" w:hAnsi="Arial"/>
        <w:color w:val="B2A1C6"/>
        <w:sz w:val="22"/>
      </w:rPr>
      <w:tcPr>
        <w:shd w:val="clear" w:color="DFD8E7" w:fill="DFD8E7"/>
      </w:tcPr>
    </w:tblStylePr>
    <w:tblStylePr w:type="band2Horz">
      <w:rPr>
        <w:rFonts w:ascii="Arial" w:hAnsi="Arial"/>
        <w:color w:val="B2A1C6"/>
        <w:sz w:val="22"/>
      </w:rPr>
    </w:tblStylePr>
  </w:style>
  <w:style w:type="table" w:customStyle="1" w:styleId="1197">
    <w:name w:val="List Table 7 Colorful - Accent 54"/>
    <w:basedOn w:val="13"/>
    <w:uiPriority w:val="99"/>
    <w:rPr>
      <w:sz w:val="22"/>
      <w:szCs w:val="22"/>
      <w:lang w:eastAsia="en-US"/>
    </w:rPr>
    <w:tblPr>
      <w:tblBorders>
        <w:right w:val="single" w:color="92CCDC" w:sz="4" w:space="0"/>
      </w:tblBorders>
      <w:tblCellMar>
        <w:top w:w="0" w:type="dxa"/>
        <w:left w:w="108" w:type="dxa"/>
        <w:bottom w:w="0" w:type="dxa"/>
        <w:right w:w="108" w:type="dxa"/>
      </w:tblCellMar>
    </w:tblPr>
    <w:tblStylePr w:type="firstRow">
      <w:rPr>
        <w:rFonts w:ascii="Arial" w:hAnsi="Arial"/>
        <w:i/>
        <w:color w:val="92CCDC"/>
        <w:sz w:val="22"/>
      </w:rPr>
      <w:tcPr>
        <w:tcBorders>
          <w:top w:val="nil"/>
          <w:left w:val="nil"/>
          <w:bottom w:val="single" w:color="92CCDC" w:sz="4" w:space="0"/>
          <w:right w:val="nil"/>
        </w:tcBorders>
        <w:shd w:val="clear" w:color="FFFFFF" w:fill="FFFFFF"/>
      </w:tcPr>
    </w:tblStylePr>
    <w:tblStylePr w:type="lastRow">
      <w:rPr>
        <w:rFonts w:ascii="Arial" w:hAnsi="Arial"/>
        <w:i/>
        <w:color w:val="92CCDC"/>
        <w:sz w:val="22"/>
      </w:rPr>
      <w:tcPr>
        <w:tcBorders>
          <w:top w:val="single" w:color="92CCDC" w:sz="4" w:space="0"/>
          <w:left w:val="nil"/>
          <w:bottom w:val="nil"/>
          <w:right w:val="nil"/>
        </w:tcBorders>
        <w:shd w:val="clear" w:color="FFFFFF" w:fill="FFFFFF"/>
      </w:tcPr>
    </w:tblStylePr>
    <w:tblStylePr w:type="firstCol">
      <w:pPr>
        <w:jc w:val="right"/>
      </w:pPr>
      <w:rPr>
        <w:rFonts w:ascii="Arial" w:hAnsi="Arial"/>
        <w:i/>
        <w:color w:val="92CCDC"/>
        <w:sz w:val="22"/>
      </w:rPr>
      <w:tcPr>
        <w:tcBorders>
          <w:top w:val="nil"/>
          <w:left w:val="nil"/>
          <w:bottom w:val="nil"/>
          <w:right w:val="single" w:color="92CCDC" w:sz="4" w:space="0"/>
        </w:tcBorders>
        <w:shd w:val="clear" w:color="FFFFFF" w:fill="auto"/>
      </w:tcPr>
    </w:tblStylePr>
    <w:tblStylePr w:type="lastCol">
      <w:rPr>
        <w:rFonts w:ascii="Arial" w:hAnsi="Arial"/>
        <w:i/>
        <w:color w:val="92CCDC"/>
        <w:sz w:val="22"/>
      </w:rPr>
      <w:tcPr>
        <w:tcBorders>
          <w:top w:val="nil"/>
          <w:left w:val="single" w:color="92CCDC" w:sz="4" w:space="0"/>
          <w:bottom w:val="nil"/>
          <w:right w:val="nil"/>
        </w:tcBorders>
        <w:shd w:val="clear" w:color="FFFFFF" w:fill="auto"/>
      </w:tcPr>
    </w:tblStylePr>
    <w:tblStylePr w:type="band1Vert">
      <w:tcPr>
        <w:shd w:val="clear" w:color="D1EAF0" w:fill="D1EAF0"/>
      </w:tcPr>
    </w:tblStylePr>
    <w:tblStylePr w:type="band1Horz">
      <w:rPr>
        <w:rFonts w:ascii="Arial" w:hAnsi="Arial"/>
        <w:color w:val="92CCDC"/>
        <w:sz w:val="22"/>
      </w:rPr>
      <w:tcPr>
        <w:shd w:val="clear" w:color="D1EAF0" w:fill="D1EAF0"/>
      </w:tcPr>
    </w:tblStylePr>
    <w:tblStylePr w:type="band2Horz">
      <w:rPr>
        <w:rFonts w:ascii="Arial" w:hAnsi="Arial"/>
        <w:color w:val="92CCDC"/>
        <w:sz w:val="22"/>
      </w:rPr>
    </w:tblStylePr>
  </w:style>
  <w:style w:type="table" w:customStyle="1" w:styleId="1198">
    <w:name w:val="List Table 7 Colorful - Accent 64"/>
    <w:basedOn w:val="13"/>
    <w:uiPriority w:val="99"/>
    <w:rPr>
      <w:sz w:val="22"/>
      <w:szCs w:val="22"/>
      <w:lang w:eastAsia="en-US"/>
    </w:rPr>
    <w:tblPr>
      <w:tblBorders>
        <w:right w:val="single" w:color="FAC090" w:sz="4" w:space="0"/>
      </w:tblBorders>
      <w:tblCellMar>
        <w:top w:w="0" w:type="dxa"/>
        <w:left w:w="108" w:type="dxa"/>
        <w:bottom w:w="0" w:type="dxa"/>
        <w:right w:w="108" w:type="dxa"/>
      </w:tblCellMar>
    </w:tblPr>
    <w:tblStylePr w:type="firstRow">
      <w:rPr>
        <w:rFonts w:ascii="Arial" w:hAnsi="Arial"/>
        <w:i/>
        <w:color w:val="FAC090"/>
        <w:sz w:val="22"/>
      </w:rPr>
      <w:tcPr>
        <w:tcBorders>
          <w:top w:val="nil"/>
          <w:left w:val="nil"/>
          <w:bottom w:val="single" w:color="FAC090" w:sz="4" w:space="0"/>
          <w:right w:val="nil"/>
        </w:tcBorders>
        <w:shd w:val="clear" w:color="FFFFFF" w:fill="FFFFFF"/>
      </w:tcPr>
    </w:tblStylePr>
    <w:tblStylePr w:type="lastRow">
      <w:rPr>
        <w:rFonts w:ascii="Arial" w:hAnsi="Arial"/>
        <w:i/>
        <w:color w:val="FAC090"/>
        <w:sz w:val="22"/>
      </w:rPr>
      <w:tcPr>
        <w:tcBorders>
          <w:top w:val="single" w:color="FAC090" w:sz="4" w:space="0"/>
          <w:left w:val="nil"/>
          <w:bottom w:val="nil"/>
          <w:right w:val="nil"/>
        </w:tcBorders>
        <w:shd w:val="clear" w:color="FFFFFF" w:fill="FFFFFF"/>
      </w:tcPr>
    </w:tblStylePr>
    <w:tblStylePr w:type="firstCol">
      <w:pPr>
        <w:jc w:val="right"/>
      </w:pPr>
      <w:rPr>
        <w:rFonts w:ascii="Arial" w:hAnsi="Arial"/>
        <w:i/>
        <w:color w:val="FAC090"/>
        <w:sz w:val="22"/>
      </w:rPr>
      <w:tcPr>
        <w:tcBorders>
          <w:top w:val="nil"/>
          <w:left w:val="nil"/>
          <w:bottom w:val="nil"/>
          <w:right w:val="single" w:color="FAC090" w:sz="4" w:space="0"/>
        </w:tcBorders>
        <w:shd w:val="clear" w:color="FFFFFF" w:fill="auto"/>
      </w:tcPr>
    </w:tblStylePr>
    <w:tblStylePr w:type="lastCol">
      <w:rPr>
        <w:rFonts w:ascii="Arial" w:hAnsi="Arial"/>
        <w:i/>
        <w:color w:val="FAC090"/>
        <w:sz w:val="22"/>
      </w:rPr>
      <w:tcPr>
        <w:tcBorders>
          <w:top w:val="nil"/>
          <w:left w:val="single" w:color="FAC090" w:sz="4" w:space="0"/>
          <w:bottom w:val="nil"/>
          <w:right w:val="nil"/>
        </w:tcBorders>
        <w:shd w:val="clear" w:color="FFFFFF" w:fill="auto"/>
      </w:tcPr>
    </w:tblStylePr>
    <w:tblStylePr w:type="band1Vert">
      <w:tcPr>
        <w:shd w:val="clear" w:color="FDE4D0" w:fill="FDE4D0"/>
      </w:tcPr>
    </w:tblStylePr>
    <w:tblStylePr w:type="band1Horz">
      <w:rPr>
        <w:rFonts w:ascii="Arial" w:hAnsi="Arial"/>
        <w:color w:val="FAC090"/>
        <w:sz w:val="22"/>
      </w:rPr>
      <w:tcPr>
        <w:shd w:val="clear" w:color="FDE4D0" w:fill="FDE4D0"/>
      </w:tcPr>
    </w:tblStylePr>
    <w:tblStylePr w:type="band2Horz">
      <w:rPr>
        <w:rFonts w:ascii="Arial" w:hAnsi="Arial"/>
        <w:color w:val="FAC090"/>
        <w:sz w:val="22"/>
      </w:rPr>
    </w:tblStylePr>
  </w:style>
  <w:style w:type="table" w:customStyle="1" w:styleId="1199">
    <w:name w:val="Lined - Accent4"/>
    <w:basedOn w:val="13"/>
    <w:uiPriority w:val="99"/>
    <w:rPr>
      <w:color w:val="404040"/>
    </w:rPr>
    <w:tblPr>
      <w:tblCellMar>
        <w:top w:w="0" w:type="dxa"/>
        <w:left w:w="108" w:type="dxa"/>
        <w:bottom w:w="0" w:type="dxa"/>
        <w:right w:w="108" w:type="dxa"/>
      </w:tblCellMar>
    </w:tblPr>
    <w:tblStylePr w:type="firstRow">
      <w:rPr>
        <w:rFonts w:ascii="Arial" w:hAnsi="Arial"/>
        <w:color w:val="F2F2F2"/>
        <w:sz w:val="22"/>
      </w:rPr>
      <w:tcPr>
        <w:shd w:val="clear" w:color="7F7F7F" w:fill="7F7F7F"/>
      </w:tcPr>
    </w:tblStylePr>
    <w:tblStylePr w:type="lastRow">
      <w:rPr>
        <w:rFonts w:ascii="Arial" w:hAnsi="Arial"/>
        <w:color w:val="F2F2F2"/>
        <w:sz w:val="22"/>
      </w:rPr>
      <w:tcPr>
        <w:shd w:val="clear" w:color="7F7F7F" w:fill="7F7F7F"/>
      </w:tcPr>
    </w:tblStylePr>
    <w:tblStylePr w:type="firstCol">
      <w:rPr>
        <w:rFonts w:ascii="Arial" w:hAnsi="Arial"/>
        <w:color w:val="F2F2F2"/>
        <w:sz w:val="22"/>
      </w:rPr>
      <w:tcPr>
        <w:shd w:val="clear" w:color="7F7F7F" w:fill="7F7F7F"/>
      </w:tcPr>
    </w:tblStylePr>
    <w:tblStylePr w:type="lastCol">
      <w:rPr>
        <w:rFonts w:ascii="Arial" w:hAnsi="Arial"/>
        <w:color w:val="F2F2F2"/>
        <w:sz w:val="22"/>
      </w:rPr>
      <w:tcPr>
        <w:shd w:val="clear" w:color="7F7F7F" w:fill="7F7F7F"/>
      </w:tcPr>
    </w:tblStylePr>
    <w:tblStylePr w:type="band1Vert">
      <w:rPr>
        <w:rFonts w:ascii="Arial" w:hAnsi="Arial"/>
        <w:color w:val="404040"/>
        <w:sz w:val="22"/>
      </w:rPr>
    </w:tblStylePr>
    <w:tblStylePr w:type="band2Vert">
      <w:rPr>
        <w:rFonts w:ascii="Arial" w:hAnsi="Arial"/>
        <w:color w:val="404040"/>
        <w:sz w:val="22"/>
      </w:rPr>
      <w:tcPr>
        <w:shd w:val="clear" w:color="F2F2F2" w:fill="F2F2F2"/>
      </w:tcPr>
    </w:tblStylePr>
    <w:tblStylePr w:type="band1Horz">
      <w:rPr>
        <w:rFonts w:ascii="Arial" w:hAnsi="Arial"/>
        <w:color w:val="404040"/>
        <w:sz w:val="22"/>
      </w:rPr>
    </w:tblStylePr>
    <w:tblStylePr w:type="band2Horz">
      <w:rPr>
        <w:rFonts w:ascii="Arial" w:hAnsi="Arial"/>
        <w:color w:val="404040"/>
        <w:sz w:val="22"/>
      </w:rPr>
      <w:tcPr>
        <w:shd w:val="clear" w:color="F2F2F2" w:fill="F2F2F2"/>
      </w:tcPr>
    </w:tblStylePr>
  </w:style>
  <w:style w:type="table" w:customStyle="1" w:styleId="1200">
    <w:name w:val="Lined - Accent 14"/>
    <w:basedOn w:val="13"/>
    <w:uiPriority w:val="99"/>
    <w:rPr>
      <w:color w:val="404040"/>
    </w:rPr>
    <w:tblPr>
      <w:tblCellMar>
        <w:top w:w="0" w:type="dxa"/>
        <w:left w:w="108" w:type="dxa"/>
        <w:bottom w:w="0" w:type="dxa"/>
        <w:right w:w="108" w:type="dxa"/>
      </w:tblCellMar>
    </w:tblPr>
    <w:tblStylePr w:type="firstRow">
      <w:rPr>
        <w:rFonts w:ascii="Arial" w:hAnsi="Arial"/>
        <w:color w:val="F2F2F2"/>
        <w:sz w:val="22"/>
      </w:rPr>
      <w:tcPr>
        <w:shd w:val="clear" w:color="5D8AC2" w:fill="5D8AC2"/>
      </w:tcPr>
    </w:tblStylePr>
    <w:tblStylePr w:type="lastRow">
      <w:rPr>
        <w:rFonts w:ascii="Arial" w:hAnsi="Arial"/>
        <w:color w:val="F2F2F2"/>
        <w:sz w:val="22"/>
      </w:rPr>
      <w:tcPr>
        <w:shd w:val="clear" w:color="5D8AC2" w:fill="5D8AC2"/>
      </w:tcPr>
    </w:tblStylePr>
    <w:tblStylePr w:type="firstCol">
      <w:rPr>
        <w:rFonts w:ascii="Arial" w:hAnsi="Arial"/>
        <w:color w:val="F2F2F2"/>
        <w:sz w:val="22"/>
      </w:rPr>
      <w:tcPr>
        <w:shd w:val="clear" w:color="5D8AC2" w:fill="5D8AC2"/>
      </w:tcPr>
    </w:tblStylePr>
    <w:tblStylePr w:type="lastCol">
      <w:rPr>
        <w:rFonts w:ascii="Arial" w:hAnsi="Arial"/>
        <w:color w:val="F2F2F2"/>
        <w:sz w:val="22"/>
      </w:rPr>
      <w:tcPr>
        <w:shd w:val="clear" w:color="5D8AC2" w:fill="5D8AC2"/>
      </w:tcPr>
    </w:tblStylePr>
    <w:tblStylePr w:type="band1Vert">
      <w:rPr>
        <w:rFonts w:ascii="Arial" w:hAnsi="Arial"/>
        <w:color w:val="404040"/>
        <w:sz w:val="22"/>
      </w:rPr>
    </w:tblStylePr>
    <w:tblStylePr w:type="band2Vert">
      <w:rPr>
        <w:rFonts w:ascii="Arial" w:hAnsi="Arial"/>
        <w:color w:val="404040"/>
        <w:sz w:val="22"/>
      </w:rPr>
      <w:tcPr>
        <w:shd w:val="clear" w:color="C7D7EA" w:fill="C7D7EA"/>
      </w:tcPr>
    </w:tblStylePr>
    <w:tblStylePr w:type="band1Horz">
      <w:rPr>
        <w:rFonts w:ascii="Arial" w:hAnsi="Arial"/>
        <w:color w:val="404040"/>
        <w:sz w:val="22"/>
      </w:rPr>
    </w:tblStylePr>
    <w:tblStylePr w:type="band2Horz">
      <w:rPr>
        <w:rFonts w:ascii="Arial" w:hAnsi="Arial"/>
        <w:color w:val="404040"/>
        <w:sz w:val="22"/>
      </w:rPr>
      <w:tcPr>
        <w:shd w:val="clear" w:color="C7D7EA" w:fill="C7D7EA"/>
      </w:tcPr>
    </w:tblStylePr>
  </w:style>
  <w:style w:type="table" w:customStyle="1" w:styleId="1201">
    <w:name w:val="Lined - Accent 24"/>
    <w:basedOn w:val="13"/>
    <w:uiPriority w:val="99"/>
    <w:rPr>
      <w:color w:val="404040"/>
    </w:rPr>
    <w:tblPr>
      <w:tblCellMar>
        <w:top w:w="0" w:type="dxa"/>
        <w:left w:w="108" w:type="dxa"/>
        <w:bottom w:w="0" w:type="dxa"/>
        <w:right w:w="108" w:type="dxa"/>
      </w:tblCellMar>
    </w:tblPr>
    <w:tblStylePr w:type="firstRow">
      <w:rPr>
        <w:rFonts w:ascii="Arial" w:hAnsi="Arial"/>
        <w:color w:val="F2F2F2"/>
        <w:sz w:val="22"/>
      </w:rPr>
      <w:tcPr>
        <w:shd w:val="clear" w:color="D99695" w:fill="D99695"/>
      </w:tcPr>
    </w:tblStylePr>
    <w:tblStylePr w:type="lastRow">
      <w:rPr>
        <w:rFonts w:ascii="Arial" w:hAnsi="Arial"/>
        <w:color w:val="F2F2F2"/>
        <w:sz w:val="22"/>
      </w:rPr>
      <w:tcPr>
        <w:shd w:val="clear" w:color="D99695" w:fill="D99695"/>
      </w:tcPr>
    </w:tblStylePr>
    <w:tblStylePr w:type="firstCol">
      <w:rPr>
        <w:rFonts w:ascii="Arial" w:hAnsi="Arial"/>
        <w:color w:val="F2F2F2"/>
        <w:sz w:val="22"/>
      </w:rPr>
      <w:tcPr>
        <w:shd w:val="clear" w:color="D99695" w:fill="D99695"/>
      </w:tcPr>
    </w:tblStylePr>
    <w:tblStylePr w:type="lastCol">
      <w:rPr>
        <w:rFonts w:ascii="Arial" w:hAnsi="Arial"/>
        <w:color w:val="F2F2F2"/>
        <w:sz w:val="22"/>
      </w:rPr>
      <w:tcPr>
        <w:shd w:val="clear" w:color="D99695" w:fill="D99695"/>
      </w:tcPr>
    </w:tblStylePr>
    <w:tblStylePr w:type="band1Vert">
      <w:rPr>
        <w:rFonts w:ascii="Arial" w:hAnsi="Arial"/>
        <w:color w:val="404040"/>
        <w:sz w:val="22"/>
      </w:rPr>
    </w:tblStylePr>
    <w:tblStylePr w:type="band2Vert">
      <w:rPr>
        <w:rFonts w:ascii="Arial" w:hAnsi="Arial"/>
        <w:color w:val="404040"/>
        <w:sz w:val="22"/>
      </w:rPr>
      <w:tcPr>
        <w:shd w:val="clear" w:color="F2DCDC" w:fill="F2DCDC"/>
      </w:tcPr>
    </w:tblStylePr>
    <w:tblStylePr w:type="band1Horz">
      <w:rPr>
        <w:rFonts w:ascii="Arial" w:hAnsi="Arial"/>
        <w:color w:val="404040"/>
        <w:sz w:val="22"/>
      </w:rPr>
    </w:tblStylePr>
    <w:tblStylePr w:type="band2Horz">
      <w:rPr>
        <w:rFonts w:ascii="Arial" w:hAnsi="Arial"/>
        <w:color w:val="404040"/>
        <w:sz w:val="22"/>
      </w:rPr>
      <w:tcPr>
        <w:shd w:val="clear" w:color="F2DCDC" w:fill="F2DCDC"/>
      </w:tcPr>
    </w:tblStylePr>
  </w:style>
  <w:style w:type="table" w:customStyle="1" w:styleId="1202">
    <w:name w:val="Lined - Accent 34"/>
    <w:basedOn w:val="13"/>
    <w:uiPriority w:val="99"/>
    <w:rPr>
      <w:color w:val="404040"/>
    </w:rPr>
    <w:tblPr>
      <w:tblCellMar>
        <w:top w:w="0" w:type="dxa"/>
        <w:left w:w="108" w:type="dxa"/>
        <w:bottom w:w="0" w:type="dxa"/>
        <w:right w:w="108" w:type="dxa"/>
      </w:tblCellMar>
    </w:tblPr>
    <w:tblStylePr w:type="firstRow">
      <w:rPr>
        <w:rFonts w:ascii="Arial" w:hAnsi="Arial"/>
        <w:color w:val="F2F2F2"/>
        <w:sz w:val="22"/>
      </w:rPr>
      <w:tcPr>
        <w:shd w:val="clear" w:color="9ABB59" w:fill="9ABB59"/>
      </w:tcPr>
    </w:tblStylePr>
    <w:tblStylePr w:type="lastRow">
      <w:rPr>
        <w:rFonts w:ascii="Arial" w:hAnsi="Arial"/>
        <w:color w:val="F2F2F2"/>
        <w:sz w:val="22"/>
      </w:rPr>
      <w:tcPr>
        <w:shd w:val="clear" w:color="9ABB59" w:fill="9ABB59"/>
      </w:tcPr>
    </w:tblStylePr>
    <w:tblStylePr w:type="firstCol">
      <w:rPr>
        <w:rFonts w:ascii="Arial" w:hAnsi="Arial"/>
        <w:color w:val="F2F2F2"/>
        <w:sz w:val="22"/>
      </w:rPr>
      <w:tcPr>
        <w:shd w:val="clear" w:color="9ABB59" w:fill="9ABB59"/>
      </w:tcPr>
    </w:tblStylePr>
    <w:tblStylePr w:type="lastCol">
      <w:rPr>
        <w:rFonts w:ascii="Arial" w:hAnsi="Arial"/>
        <w:color w:val="F2F2F2"/>
        <w:sz w:val="22"/>
      </w:rPr>
      <w:tcPr>
        <w:shd w:val="clear" w:color="9ABB59" w:fill="9ABB59"/>
      </w:tcPr>
    </w:tblStylePr>
    <w:tblStylePr w:type="band1Vert">
      <w:rPr>
        <w:rFonts w:ascii="Arial" w:hAnsi="Arial"/>
        <w:color w:val="404040"/>
        <w:sz w:val="22"/>
      </w:rPr>
    </w:tblStylePr>
    <w:tblStylePr w:type="band2Vert">
      <w:rPr>
        <w:rFonts w:ascii="Arial" w:hAnsi="Arial"/>
        <w:color w:val="404040"/>
        <w:sz w:val="22"/>
      </w:rPr>
      <w:tcPr>
        <w:shd w:val="clear" w:color="EAF1DC" w:fill="EAF1DC"/>
      </w:tcPr>
    </w:tblStylePr>
    <w:tblStylePr w:type="band1Horz">
      <w:rPr>
        <w:rFonts w:ascii="Arial" w:hAnsi="Arial"/>
        <w:color w:val="404040"/>
        <w:sz w:val="22"/>
      </w:rPr>
    </w:tblStylePr>
    <w:tblStylePr w:type="band2Horz">
      <w:rPr>
        <w:rFonts w:ascii="Arial" w:hAnsi="Arial"/>
        <w:color w:val="404040"/>
        <w:sz w:val="22"/>
      </w:rPr>
      <w:tcPr>
        <w:shd w:val="clear" w:color="EAF1DC" w:fill="EAF1DC"/>
      </w:tcPr>
    </w:tblStylePr>
  </w:style>
  <w:style w:type="table" w:customStyle="1" w:styleId="1203">
    <w:name w:val="Lined - Accent 44"/>
    <w:basedOn w:val="13"/>
    <w:uiPriority w:val="99"/>
    <w:rPr>
      <w:color w:val="404040"/>
    </w:rPr>
    <w:tblPr>
      <w:tblCellMar>
        <w:top w:w="0" w:type="dxa"/>
        <w:left w:w="108" w:type="dxa"/>
        <w:bottom w:w="0" w:type="dxa"/>
        <w:right w:w="108" w:type="dxa"/>
      </w:tblCellMar>
    </w:tblPr>
    <w:tblStylePr w:type="firstRow">
      <w:rPr>
        <w:rFonts w:ascii="Arial" w:hAnsi="Arial"/>
        <w:color w:val="F2F2F2"/>
        <w:sz w:val="22"/>
      </w:rPr>
      <w:tcPr>
        <w:shd w:val="clear" w:color="B2A1C6" w:fill="B2A1C6"/>
      </w:tcPr>
    </w:tblStylePr>
    <w:tblStylePr w:type="lastRow">
      <w:rPr>
        <w:rFonts w:ascii="Arial" w:hAnsi="Arial"/>
        <w:color w:val="F2F2F2"/>
        <w:sz w:val="22"/>
      </w:rPr>
      <w:tcPr>
        <w:shd w:val="clear" w:color="B2A1C6" w:fill="B2A1C6"/>
      </w:tcPr>
    </w:tblStylePr>
    <w:tblStylePr w:type="firstCol">
      <w:rPr>
        <w:rFonts w:ascii="Arial" w:hAnsi="Arial"/>
        <w:color w:val="F2F2F2"/>
        <w:sz w:val="22"/>
      </w:rPr>
      <w:tcPr>
        <w:shd w:val="clear" w:color="B2A1C6" w:fill="B2A1C6"/>
      </w:tcPr>
    </w:tblStylePr>
    <w:tblStylePr w:type="lastCol">
      <w:rPr>
        <w:rFonts w:ascii="Arial" w:hAnsi="Arial"/>
        <w:color w:val="F2F2F2"/>
        <w:sz w:val="22"/>
      </w:rPr>
      <w:tcPr>
        <w:shd w:val="clear" w:color="B2A1C6" w:fill="B2A1C6"/>
      </w:tcPr>
    </w:tblStylePr>
    <w:tblStylePr w:type="band1Vert">
      <w:rPr>
        <w:rFonts w:ascii="Arial" w:hAnsi="Arial"/>
        <w:color w:val="404040"/>
        <w:sz w:val="22"/>
      </w:rPr>
    </w:tblStylePr>
    <w:tblStylePr w:type="band2Vert">
      <w:rPr>
        <w:rFonts w:ascii="Arial" w:hAnsi="Arial"/>
        <w:color w:val="404040"/>
        <w:sz w:val="22"/>
      </w:rPr>
      <w:tcPr>
        <w:shd w:val="clear" w:color="E5DFEC" w:fill="E5DFEC"/>
      </w:tcPr>
    </w:tblStylePr>
    <w:tblStylePr w:type="band1Horz">
      <w:rPr>
        <w:rFonts w:ascii="Arial" w:hAnsi="Arial"/>
        <w:color w:val="404040"/>
        <w:sz w:val="22"/>
      </w:rPr>
    </w:tblStylePr>
    <w:tblStylePr w:type="band2Horz">
      <w:rPr>
        <w:rFonts w:ascii="Arial" w:hAnsi="Arial"/>
        <w:color w:val="404040"/>
        <w:sz w:val="22"/>
      </w:rPr>
      <w:tcPr>
        <w:shd w:val="clear" w:color="E5DFEC" w:fill="E5DFEC"/>
      </w:tcPr>
    </w:tblStylePr>
  </w:style>
  <w:style w:type="table" w:customStyle="1" w:styleId="1204">
    <w:name w:val="Lined - Accent 54"/>
    <w:basedOn w:val="13"/>
    <w:uiPriority w:val="99"/>
    <w:rPr>
      <w:color w:val="404040"/>
    </w:rPr>
    <w:tblPr>
      <w:tblCellMar>
        <w:top w:w="0" w:type="dxa"/>
        <w:left w:w="108" w:type="dxa"/>
        <w:bottom w:w="0" w:type="dxa"/>
        <w:right w:w="108" w:type="dxa"/>
      </w:tblCellMar>
    </w:tblPr>
    <w:tblStylePr w:type="firstRow">
      <w:rPr>
        <w:rFonts w:ascii="Arial" w:hAnsi="Arial"/>
        <w:color w:val="F2F2F2"/>
        <w:sz w:val="22"/>
      </w:rPr>
      <w:tcPr>
        <w:shd w:val="clear" w:color="4BACC6" w:fill="4BACC6"/>
      </w:tcPr>
    </w:tblStylePr>
    <w:tblStylePr w:type="lastRow">
      <w:rPr>
        <w:rFonts w:ascii="Arial" w:hAnsi="Arial"/>
        <w:color w:val="F2F2F2"/>
        <w:sz w:val="22"/>
      </w:rPr>
      <w:tcPr>
        <w:shd w:val="clear" w:color="4BACC6" w:fill="4BACC6"/>
      </w:tcPr>
    </w:tblStylePr>
    <w:tblStylePr w:type="firstCol">
      <w:rPr>
        <w:rFonts w:ascii="Arial" w:hAnsi="Arial"/>
        <w:color w:val="F2F2F2"/>
        <w:sz w:val="22"/>
      </w:rPr>
      <w:tcPr>
        <w:shd w:val="clear" w:color="4BACC6" w:fill="4BACC6"/>
      </w:tcPr>
    </w:tblStylePr>
    <w:tblStylePr w:type="lastCol">
      <w:rPr>
        <w:rFonts w:ascii="Arial" w:hAnsi="Arial"/>
        <w:color w:val="F2F2F2"/>
        <w:sz w:val="22"/>
      </w:rPr>
      <w:tcPr>
        <w:shd w:val="clear" w:color="4BACC6" w:fill="4BACC6"/>
      </w:tcPr>
    </w:tblStylePr>
    <w:tblStylePr w:type="band1Vert">
      <w:rPr>
        <w:rFonts w:ascii="Arial" w:hAnsi="Arial"/>
        <w:color w:val="404040"/>
        <w:sz w:val="22"/>
      </w:rPr>
    </w:tblStylePr>
    <w:tblStylePr w:type="band2Vert">
      <w:rPr>
        <w:rFonts w:ascii="Arial" w:hAnsi="Arial"/>
        <w:color w:val="404040"/>
        <w:sz w:val="22"/>
      </w:rPr>
      <w:tcPr>
        <w:shd w:val="clear" w:color="DAEEF3" w:fill="DAEEF3"/>
      </w:tcPr>
    </w:tblStylePr>
    <w:tblStylePr w:type="band1Horz">
      <w:rPr>
        <w:rFonts w:ascii="Arial" w:hAnsi="Arial"/>
        <w:color w:val="404040"/>
        <w:sz w:val="22"/>
      </w:rPr>
    </w:tblStylePr>
    <w:tblStylePr w:type="band2Horz">
      <w:rPr>
        <w:rFonts w:ascii="Arial" w:hAnsi="Arial"/>
        <w:color w:val="404040"/>
        <w:sz w:val="22"/>
      </w:rPr>
      <w:tcPr>
        <w:shd w:val="clear" w:color="DAEEF3" w:fill="DAEEF3"/>
      </w:tcPr>
    </w:tblStylePr>
  </w:style>
  <w:style w:type="table" w:customStyle="1" w:styleId="1205">
    <w:name w:val="Lined - Accent 64"/>
    <w:basedOn w:val="13"/>
    <w:uiPriority w:val="99"/>
    <w:rPr>
      <w:color w:val="404040"/>
    </w:rPr>
    <w:tblPr>
      <w:tblCellMar>
        <w:top w:w="0" w:type="dxa"/>
        <w:left w:w="108" w:type="dxa"/>
        <w:bottom w:w="0" w:type="dxa"/>
        <w:right w:w="108" w:type="dxa"/>
      </w:tblCellMar>
    </w:tblPr>
    <w:tblStylePr w:type="firstRow">
      <w:rPr>
        <w:rFonts w:ascii="Arial" w:hAnsi="Arial"/>
        <w:color w:val="F2F2F2"/>
        <w:sz w:val="22"/>
      </w:rPr>
      <w:tcPr>
        <w:shd w:val="clear" w:color="F79646" w:fill="F79646"/>
      </w:tcPr>
    </w:tblStylePr>
    <w:tblStylePr w:type="lastRow">
      <w:rPr>
        <w:rFonts w:ascii="Arial" w:hAnsi="Arial"/>
        <w:color w:val="F2F2F2"/>
        <w:sz w:val="22"/>
      </w:rPr>
      <w:tcPr>
        <w:shd w:val="clear" w:color="F79646" w:fill="F79646"/>
      </w:tcPr>
    </w:tblStylePr>
    <w:tblStylePr w:type="firstCol">
      <w:rPr>
        <w:rFonts w:ascii="Arial" w:hAnsi="Arial"/>
        <w:color w:val="F2F2F2"/>
        <w:sz w:val="22"/>
      </w:rPr>
      <w:tcPr>
        <w:shd w:val="clear" w:color="F79646" w:fill="F79646"/>
      </w:tcPr>
    </w:tblStylePr>
    <w:tblStylePr w:type="lastCol">
      <w:rPr>
        <w:rFonts w:ascii="Arial" w:hAnsi="Arial"/>
        <w:color w:val="F2F2F2"/>
        <w:sz w:val="22"/>
      </w:rPr>
      <w:tcPr>
        <w:shd w:val="clear" w:color="F79646" w:fill="F79646"/>
      </w:tcPr>
    </w:tblStylePr>
    <w:tblStylePr w:type="band1Vert">
      <w:rPr>
        <w:rFonts w:ascii="Arial" w:hAnsi="Arial"/>
        <w:color w:val="404040"/>
        <w:sz w:val="22"/>
      </w:rPr>
    </w:tblStylePr>
    <w:tblStylePr w:type="band2Vert">
      <w:rPr>
        <w:rFonts w:ascii="Arial" w:hAnsi="Arial"/>
        <w:color w:val="404040"/>
        <w:sz w:val="22"/>
      </w:rPr>
      <w:tcPr>
        <w:shd w:val="clear" w:color="FDE9D8" w:fill="FDE9D8"/>
      </w:tcPr>
    </w:tblStylePr>
    <w:tblStylePr w:type="band1Horz">
      <w:rPr>
        <w:rFonts w:ascii="Arial" w:hAnsi="Arial"/>
        <w:color w:val="404040"/>
        <w:sz w:val="22"/>
      </w:rPr>
    </w:tblStylePr>
    <w:tblStylePr w:type="band2Horz">
      <w:rPr>
        <w:rFonts w:ascii="Arial" w:hAnsi="Arial"/>
        <w:color w:val="404040"/>
        <w:sz w:val="22"/>
      </w:rPr>
      <w:tcPr>
        <w:shd w:val="clear" w:color="FDE9D8" w:fill="FDE9D8"/>
      </w:tcPr>
    </w:tblStylePr>
  </w:style>
  <w:style w:type="table" w:customStyle="1" w:styleId="1206">
    <w:name w:val="Bordered &amp; Lined - Accent4"/>
    <w:basedOn w:val="13"/>
    <w:uiPriority w:val="99"/>
    <w:rPr>
      <w:color w:val="404040"/>
    </w:rPr>
    <w:tblPr>
      <w:tblBorders>
        <w:top w:val="single" w:color="595959" w:sz="4" w:space="0"/>
        <w:left w:val="single" w:color="595959" w:sz="4" w:space="0"/>
        <w:bottom w:val="single" w:color="595959" w:sz="4" w:space="0"/>
        <w:right w:val="single" w:color="595959" w:sz="4" w:space="0"/>
        <w:insideH w:val="single" w:color="595959" w:sz="4" w:space="0"/>
        <w:insideV w:val="single" w:color="595959" w:sz="4" w:space="0"/>
      </w:tblBorders>
      <w:tblCellMar>
        <w:top w:w="0" w:type="dxa"/>
        <w:left w:w="108" w:type="dxa"/>
        <w:bottom w:w="0" w:type="dxa"/>
        <w:right w:w="108" w:type="dxa"/>
      </w:tblCellMar>
    </w:tblPr>
    <w:tblStylePr w:type="firstRow">
      <w:rPr>
        <w:rFonts w:ascii="Arial" w:hAnsi="Arial"/>
        <w:color w:val="F2F2F2"/>
        <w:sz w:val="22"/>
      </w:rPr>
      <w:tcPr>
        <w:shd w:val="clear" w:color="7F7F7F" w:fill="7F7F7F"/>
      </w:tcPr>
    </w:tblStylePr>
    <w:tblStylePr w:type="lastRow">
      <w:rPr>
        <w:rFonts w:ascii="Arial" w:hAnsi="Arial"/>
        <w:color w:val="F2F2F2"/>
        <w:sz w:val="22"/>
      </w:rPr>
      <w:tcPr>
        <w:shd w:val="clear" w:color="7F7F7F" w:fill="7F7F7F"/>
      </w:tcPr>
    </w:tblStylePr>
    <w:tblStylePr w:type="firstCol">
      <w:rPr>
        <w:rFonts w:ascii="Arial" w:hAnsi="Arial"/>
        <w:color w:val="F2F2F2"/>
        <w:sz w:val="22"/>
      </w:rPr>
      <w:tcPr>
        <w:shd w:val="clear" w:color="7F7F7F" w:fill="7F7F7F"/>
      </w:tcPr>
    </w:tblStylePr>
    <w:tblStylePr w:type="lastCol">
      <w:rPr>
        <w:rFonts w:ascii="Arial" w:hAnsi="Arial"/>
        <w:color w:val="F2F2F2"/>
        <w:sz w:val="22"/>
      </w:rPr>
      <w:tcPr>
        <w:shd w:val="clear" w:color="7F7F7F" w:fill="7F7F7F"/>
      </w:tcPr>
    </w:tblStylePr>
    <w:tblStylePr w:type="band1Vert">
      <w:rPr>
        <w:rFonts w:ascii="Arial" w:hAnsi="Arial"/>
        <w:color w:val="404040"/>
        <w:sz w:val="22"/>
      </w:rPr>
    </w:tblStylePr>
    <w:tblStylePr w:type="band2Vert">
      <w:rPr>
        <w:rFonts w:ascii="Arial" w:hAnsi="Arial"/>
        <w:color w:val="404040"/>
        <w:sz w:val="22"/>
      </w:rPr>
      <w:tcPr>
        <w:shd w:val="clear" w:color="F2F2F2" w:fill="F2F2F2"/>
      </w:tcPr>
    </w:tblStylePr>
    <w:tblStylePr w:type="band1Horz">
      <w:rPr>
        <w:rFonts w:ascii="Arial" w:hAnsi="Arial"/>
        <w:color w:val="404040"/>
        <w:sz w:val="22"/>
      </w:rPr>
    </w:tblStylePr>
    <w:tblStylePr w:type="band2Horz">
      <w:rPr>
        <w:rFonts w:ascii="Arial" w:hAnsi="Arial"/>
        <w:color w:val="404040"/>
        <w:sz w:val="22"/>
      </w:rPr>
      <w:tcPr>
        <w:shd w:val="clear" w:color="F2F2F2" w:fill="F2F2F2"/>
      </w:tcPr>
    </w:tblStylePr>
  </w:style>
  <w:style w:type="table" w:customStyle="1" w:styleId="1207">
    <w:name w:val="Bordered &amp; Lined - Accent 14"/>
    <w:basedOn w:val="13"/>
    <w:uiPriority w:val="99"/>
    <w:rPr>
      <w:color w:val="404040"/>
    </w:rPr>
    <w:tblPr>
      <w:tblBorders>
        <w:top w:val="single" w:color="2A4A71" w:sz="4" w:space="0"/>
        <w:left w:val="single" w:color="2A4A71" w:sz="4" w:space="0"/>
        <w:bottom w:val="single" w:color="2A4A71" w:sz="4" w:space="0"/>
        <w:right w:val="single" w:color="2A4A71" w:sz="4" w:space="0"/>
        <w:insideH w:val="single" w:color="2A4A71" w:sz="4" w:space="0"/>
        <w:insideV w:val="single" w:color="2A4A71" w:sz="4" w:space="0"/>
      </w:tblBorders>
      <w:tblCellMar>
        <w:top w:w="0" w:type="dxa"/>
        <w:left w:w="108" w:type="dxa"/>
        <w:bottom w:w="0" w:type="dxa"/>
        <w:right w:w="108" w:type="dxa"/>
      </w:tblCellMar>
    </w:tblPr>
    <w:tblStylePr w:type="firstRow">
      <w:rPr>
        <w:rFonts w:ascii="Arial" w:hAnsi="Arial"/>
        <w:color w:val="F2F2F2"/>
        <w:sz w:val="22"/>
      </w:rPr>
      <w:tcPr>
        <w:shd w:val="clear" w:color="5D8AC2" w:fill="5D8AC2"/>
      </w:tcPr>
    </w:tblStylePr>
    <w:tblStylePr w:type="lastRow">
      <w:rPr>
        <w:rFonts w:ascii="Arial" w:hAnsi="Arial"/>
        <w:color w:val="F2F2F2"/>
        <w:sz w:val="22"/>
      </w:rPr>
      <w:tcPr>
        <w:shd w:val="clear" w:color="5D8AC2" w:fill="5D8AC2"/>
      </w:tcPr>
    </w:tblStylePr>
    <w:tblStylePr w:type="firstCol">
      <w:rPr>
        <w:rFonts w:ascii="Arial" w:hAnsi="Arial"/>
        <w:color w:val="F2F2F2"/>
        <w:sz w:val="22"/>
      </w:rPr>
      <w:tcPr>
        <w:shd w:val="clear" w:color="5D8AC2" w:fill="5D8AC2"/>
      </w:tcPr>
    </w:tblStylePr>
    <w:tblStylePr w:type="lastCol">
      <w:rPr>
        <w:rFonts w:ascii="Arial" w:hAnsi="Arial"/>
        <w:color w:val="F2F2F2"/>
        <w:sz w:val="22"/>
      </w:rPr>
      <w:tcPr>
        <w:shd w:val="clear" w:color="5D8AC2" w:fill="5D8AC2"/>
      </w:tcPr>
    </w:tblStylePr>
    <w:tblStylePr w:type="band1Vert">
      <w:rPr>
        <w:rFonts w:ascii="Arial" w:hAnsi="Arial"/>
        <w:color w:val="404040"/>
        <w:sz w:val="22"/>
      </w:rPr>
    </w:tblStylePr>
    <w:tblStylePr w:type="band2Vert">
      <w:rPr>
        <w:rFonts w:ascii="Arial" w:hAnsi="Arial"/>
        <w:color w:val="404040"/>
        <w:sz w:val="22"/>
      </w:rPr>
      <w:tcPr>
        <w:shd w:val="clear" w:color="C7D7EA" w:fill="C7D7EA"/>
      </w:tcPr>
    </w:tblStylePr>
    <w:tblStylePr w:type="band1Horz">
      <w:rPr>
        <w:rFonts w:ascii="Arial" w:hAnsi="Arial"/>
        <w:color w:val="404040"/>
        <w:sz w:val="22"/>
      </w:rPr>
    </w:tblStylePr>
    <w:tblStylePr w:type="band2Horz">
      <w:rPr>
        <w:rFonts w:ascii="Arial" w:hAnsi="Arial"/>
        <w:color w:val="404040"/>
        <w:sz w:val="22"/>
      </w:rPr>
      <w:tcPr>
        <w:shd w:val="clear" w:color="C7D7EA" w:fill="C7D7EA"/>
      </w:tcPr>
    </w:tblStylePr>
  </w:style>
  <w:style w:type="table" w:customStyle="1" w:styleId="1208">
    <w:name w:val="Bordered &amp; Lined - Accent 24"/>
    <w:basedOn w:val="13"/>
    <w:uiPriority w:val="99"/>
    <w:rPr>
      <w:color w:val="404040"/>
    </w:rPr>
    <w:tblPr>
      <w:tblBorders>
        <w:top w:val="single" w:color="732A29" w:sz="4" w:space="0"/>
        <w:left w:val="single" w:color="732A29" w:sz="4" w:space="0"/>
        <w:bottom w:val="single" w:color="732A29" w:sz="4" w:space="0"/>
        <w:right w:val="single" w:color="732A29" w:sz="4" w:space="0"/>
        <w:insideH w:val="single" w:color="732A29" w:sz="4" w:space="0"/>
        <w:insideV w:val="single" w:color="732A29" w:sz="4" w:space="0"/>
      </w:tblBorders>
      <w:tblCellMar>
        <w:top w:w="0" w:type="dxa"/>
        <w:left w:w="108" w:type="dxa"/>
        <w:bottom w:w="0" w:type="dxa"/>
        <w:right w:w="108" w:type="dxa"/>
      </w:tblCellMar>
    </w:tblPr>
    <w:tblStylePr w:type="firstRow">
      <w:rPr>
        <w:rFonts w:ascii="Arial" w:hAnsi="Arial"/>
        <w:color w:val="F2F2F2"/>
        <w:sz w:val="22"/>
      </w:rPr>
      <w:tcPr>
        <w:shd w:val="clear" w:color="D99695" w:fill="D99695"/>
      </w:tcPr>
    </w:tblStylePr>
    <w:tblStylePr w:type="lastRow">
      <w:rPr>
        <w:rFonts w:ascii="Arial" w:hAnsi="Arial"/>
        <w:color w:val="F2F2F2"/>
        <w:sz w:val="22"/>
      </w:rPr>
      <w:tcPr>
        <w:shd w:val="clear" w:color="D99695" w:fill="D99695"/>
      </w:tcPr>
    </w:tblStylePr>
    <w:tblStylePr w:type="firstCol">
      <w:rPr>
        <w:rFonts w:ascii="Arial" w:hAnsi="Arial"/>
        <w:color w:val="F2F2F2"/>
        <w:sz w:val="22"/>
      </w:rPr>
      <w:tcPr>
        <w:shd w:val="clear" w:color="D99695" w:fill="D99695"/>
      </w:tcPr>
    </w:tblStylePr>
    <w:tblStylePr w:type="lastCol">
      <w:rPr>
        <w:rFonts w:ascii="Arial" w:hAnsi="Arial"/>
        <w:color w:val="F2F2F2"/>
        <w:sz w:val="22"/>
      </w:rPr>
      <w:tcPr>
        <w:shd w:val="clear" w:color="D99695" w:fill="D99695"/>
      </w:tcPr>
    </w:tblStylePr>
    <w:tblStylePr w:type="band1Vert">
      <w:rPr>
        <w:rFonts w:ascii="Arial" w:hAnsi="Arial"/>
        <w:color w:val="404040"/>
        <w:sz w:val="22"/>
      </w:rPr>
    </w:tblStylePr>
    <w:tblStylePr w:type="band2Vert">
      <w:rPr>
        <w:rFonts w:ascii="Arial" w:hAnsi="Arial"/>
        <w:color w:val="404040"/>
        <w:sz w:val="22"/>
      </w:rPr>
      <w:tcPr>
        <w:shd w:val="clear" w:color="F2DCDC" w:fill="F2DCDC"/>
      </w:tcPr>
    </w:tblStylePr>
    <w:tblStylePr w:type="band1Horz">
      <w:rPr>
        <w:rFonts w:ascii="Arial" w:hAnsi="Arial"/>
        <w:color w:val="404040"/>
        <w:sz w:val="22"/>
      </w:rPr>
    </w:tblStylePr>
    <w:tblStylePr w:type="band2Horz">
      <w:rPr>
        <w:rFonts w:ascii="Arial" w:hAnsi="Arial"/>
        <w:color w:val="404040"/>
        <w:sz w:val="22"/>
      </w:rPr>
      <w:tcPr>
        <w:shd w:val="clear" w:color="F2DCDC" w:fill="F2DCDC"/>
      </w:tcPr>
    </w:tblStylePr>
  </w:style>
  <w:style w:type="table" w:customStyle="1" w:styleId="1209">
    <w:name w:val="Bordered &amp; Lined - Accent 34"/>
    <w:basedOn w:val="13"/>
    <w:uiPriority w:val="99"/>
    <w:rPr>
      <w:color w:val="404040"/>
    </w:rPr>
    <w:tblPr>
      <w:tblBorders>
        <w:top w:val="single" w:color="5B722E" w:sz="4" w:space="0"/>
        <w:left w:val="single" w:color="5B722E" w:sz="4" w:space="0"/>
        <w:bottom w:val="single" w:color="5B722E" w:sz="4" w:space="0"/>
        <w:right w:val="single" w:color="5B722E" w:sz="4" w:space="0"/>
        <w:insideH w:val="single" w:color="5B722E" w:sz="4" w:space="0"/>
        <w:insideV w:val="single" w:color="5B722E" w:sz="4" w:space="0"/>
      </w:tblBorders>
      <w:tblCellMar>
        <w:top w:w="0" w:type="dxa"/>
        <w:left w:w="108" w:type="dxa"/>
        <w:bottom w:w="0" w:type="dxa"/>
        <w:right w:w="108" w:type="dxa"/>
      </w:tblCellMar>
    </w:tblPr>
    <w:tblStylePr w:type="firstRow">
      <w:rPr>
        <w:rFonts w:ascii="Arial" w:hAnsi="Arial"/>
        <w:color w:val="F2F2F2"/>
        <w:sz w:val="22"/>
      </w:rPr>
      <w:tcPr>
        <w:shd w:val="clear" w:color="9ABB59" w:fill="9ABB59"/>
      </w:tcPr>
    </w:tblStylePr>
    <w:tblStylePr w:type="lastRow">
      <w:rPr>
        <w:rFonts w:ascii="Arial" w:hAnsi="Arial"/>
        <w:color w:val="F2F2F2"/>
        <w:sz w:val="22"/>
      </w:rPr>
      <w:tcPr>
        <w:shd w:val="clear" w:color="9ABB59" w:fill="9ABB59"/>
      </w:tcPr>
    </w:tblStylePr>
    <w:tblStylePr w:type="firstCol">
      <w:rPr>
        <w:rFonts w:ascii="Arial" w:hAnsi="Arial"/>
        <w:color w:val="F2F2F2"/>
        <w:sz w:val="22"/>
      </w:rPr>
      <w:tcPr>
        <w:shd w:val="clear" w:color="9ABB59" w:fill="9ABB59"/>
      </w:tcPr>
    </w:tblStylePr>
    <w:tblStylePr w:type="lastCol">
      <w:rPr>
        <w:rFonts w:ascii="Arial" w:hAnsi="Arial"/>
        <w:color w:val="F2F2F2"/>
        <w:sz w:val="22"/>
      </w:rPr>
      <w:tcPr>
        <w:shd w:val="clear" w:color="9ABB59" w:fill="9ABB59"/>
      </w:tcPr>
    </w:tblStylePr>
    <w:tblStylePr w:type="band1Vert">
      <w:rPr>
        <w:rFonts w:ascii="Arial" w:hAnsi="Arial"/>
        <w:color w:val="404040"/>
        <w:sz w:val="22"/>
      </w:rPr>
    </w:tblStylePr>
    <w:tblStylePr w:type="band2Vert">
      <w:rPr>
        <w:rFonts w:ascii="Arial" w:hAnsi="Arial"/>
        <w:color w:val="404040"/>
        <w:sz w:val="22"/>
      </w:rPr>
      <w:tcPr>
        <w:shd w:val="clear" w:color="EAF1DC" w:fill="EAF1DC"/>
      </w:tcPr>
    </w:tblStylePr>
    <w:tblStylePr w:type="band1Horz">
      <w:rPr>
        <w:rFonts w:ascii="Arial" w:hAnsi="Arial"/>
        <w:color w:val="404040"/>
        <w:sz w:val="22"/>
      </w:rPr>
    </w:tblStylePr>
    <w:tblStylePr w:type="band2Horz">
      <w:rPr>
        <w:rFonts w:ascii="Arial" w:hAnsi="Arial"/>
        <w:color w:val="404040"/>
        <w:sz w:val="22"/>
      </w:rPr>
      <w:tcPr>
        <w:shd w:val="clear" w:color="EAF1DC" w:fill="EAF1DC"/>
      </w:tcPr>
    </w:tblStylePr>
  </w:style>
  <w:style w:type="table" w:customStyle="1" w:styleId="1210">
    <w:name w:val="Bordered &amp; Lined - Accent 44"/>
    <w:basedOn w:val="13"/>
    <w:uiPriority w:val="99"/>
    <w:rPr>
      <w:color w:val="404040"/>
    </w:rPr>
    <w:tblPr>
      <w:tblBorders>
        <w:top w:val="single" w:color="4A395F" w:sz="4" w:space="0"/>
        <w:left w:val="single" w:color="4A395F" w:sz="4" w:space="0"/>
        <w:bottom w:val="single" w:color="4A395F" w:sz="4" w:space="0"/>
        <w:right w:val="single" w:color="4A395F" w:sz="4" w:space="0"/>
        <w:insideH w:val="single" w:color="4A395F" w:sz="4" w:space="0"/>
        <w:insideV w:val="single" w:color="4A395F" w:sz="4" w:space="0"/>
      </w:tblBorders>
      <w:tblCellMar>
        <w:top w:w="0" w:type="dxa"/>
        <w:left w:w="108" w:type="dxa"/>
        <w:bottom w:w="0" w:type="dxa"/>
        <w:right w:w="108" w:type="dxa"/>
      </w:tblCellMar>
    </w:tblPr>
    <w:tblStylePr w:type="firstRow">
      <w:rPr>
        <w:rFonts w:ascii="Arial" w:hAnsi="Arial"/>
        <w:color w:val="F2F2F2"/>
        <w:sz w:val="22"/>
      </w:rPr>
      <w:tcPr>
        <w:shd w:val="clear" w:color="B2A1C6" w:fill="B2A1C6"/>
      </w:tcPr>
    </w:tblStylePr>
    <w:tblStylePr w:type="lastRow">
      <w:rPr>
        <w:rFonts w:ascii="Arial" w:hAnsi="Arial"/>
        <w:color w:val="F2F2F2"/>
        <w:sz w:val="22"/>
      </w:rPr>
      <w:tcPr>
        <w:shd w:val="clear" w:color="B2A1C6" w:fill="B2A1C6"/>
      </w:tcPr>
    </w:tblStylePr>
    <w:tblStylePr w:type="firstCol">
      <w:rPr>
        <w:rFonts w:ascii="Arial" w:hAnsi="Arial"/>
        <w:color w:val="F2F2F2"/>
        <w:sz w:val="22"/>
      </w:rPr>
      <w:tcPr>
        <w:shd w:val="clear" w:color="B2A1C6" w:fill="B2A1C6"/>
      </w:tcPr>
    </w:tblStylePr>
    <w:tblStylePr w:type="lastCol">
      <w:rPr>
        <w:rFonts w:ascii="Arial" w:hAnsi="Arial"/>
        <w:color w:val="F2F2F2"/>
        <w:sz w:val="22"/>
      </w:rPr>
      <w:tcPr>
        <w:shd w:val="clear" w:color="B2A1C6" w:fill="B2A1C6"/>
      </w:tcPr>
    </w:tblStylePr>
    <w:tblStylePr w:type="band1Vert">
      <w:rPr>
        <w:rFonts w:ascii="Arial" w:hAnsi="Arial"/>
        <w:color w:val="404040"/>
        <w:sz w:val="22"/>
      </w:rPr>
    </w:tblStylePr>
    <w:tblStylePr w:type="band2Vert">
      <w:rPr>
        <w:rFonts w:ascii="Arial" w:hAnsi="Arial"/>
        <w:color w:val="404040"/>
        <w:sz w:val="22"/>
      </w:rPr>
      <w:tcPr>
        <w:shd w:val="clear" w:color="E5DFEC" w:fill="E5DFEC"/>
      </w:tcPr>
    </w:tblStylePr>
    <w:tblStylePr w:type="band1Horz">
      <w:rPr>
        <w:rFonts w:ascii="Arial" w:hAnsi="Arial"/>
        <w:color w:val="404040"/>
        <w:sz w:val="22"/>
      </w:rPr>
    </w:tblStylePr>
    <w:tblStylePr w:type="band2Horz">
      <w:rPr>
        <w:rFonts w:ascii="Arial" w:hAnsi="Arial"/>
        <w:color w:val="404040"/>
        <w:sz w:val="22"/>
      </w:rPr>
      <w:tcPr>
        <w:shd w:val="clear" w:color="E5DFEC" w:fill="E5DFEC"/>
      </w:tcPr>
    </w:tblStylePr>
  </w:style>
  <w:style w:type="table" w:customStyle="1" w:styleId="1211">
    <w:name w:val="Bordered &amp; Lined - Accent 54"/>
    <w:basedOn w:val="13"/>
    <w:uiPriority w:val="99"/>
    <w:rPr>
      <w:color w:val="404040"/>
    </w:rPr>
    <w:tblPr>
      <w:tblBorders>
        <w:top w:val="single" w:color="266779" w:sz="4" w:space="0"/>
        <w:left w:val="single" w:color="266779" w:sz="4" w:space="0"/>
        <w:bottom w:val="single" w:color="266779" w:sz="4" w:space="0"/>
        <w:right w:val="single" w:color="266779" w:sz="4" w:space="0"/>
        <w:insideH w:val="single" w:color="266779" w:sz="4" w:space="0"/>
        <w:insideV w:val="single" w:color="266779" w:sz="4" w:space="0"/>
      </w:tblBorders>
      <w:tblCellMar>
        <w:top w:w="0" w:type="dxa"/>
        <w:left w:w="108" w:type="dxa"/>
        <w:bottom w:w="0" w:type="dxa"/>
        <w:right w:w="108" w:type="dxa"/>
      </w:tblCellMar>
    </w:tblPr>
    <w:tblStylePr w:type="firstRow">
      <w:rPr>
        <w:rFonts w:ascii="Arial" w:hAnsi="Arial"/>
        <w:color w:val="F2F2F2"/>
        <w:sz w:val="22"/>
      </w:rPr>
      <w:tcPr>
        <w:shd w:val="clear" w:color="4BACC6" w:fill="4BACC6"/>
      </w:tcPr>
    </w:tblStylePr>
    <w:tblStylePr w:type="lastRow">
      <w:rPr>
        <w:rFonts w:ascii="Arial" w:hAnsi="Arial"/>
        <w:color w:val="F2F2F2"/>
        <w:sz w:val="22"/>
      </w:rPr>
      <w:tcPr>
        <w:shd w:val="clear" w:color="4BACC6" w:fill="4BACC6"/>
      </w:tcPr>
    </w:tblStylePr>
    <w:tblStylePr w:type="firstCol">
      <w:rPr>
        <w:rFonts w:ascii="Arial" w:hAnsi="Arial"/>
        <w:color w:val="F2F2F2"/>
        <w:sz w:val="22"/>
      </w:rPr>
      <w:tcPr>
        <w:shd w:val="clear" w:color="4BACC6" w:fill="4BACC6"/>
      </w:tcPr>
    </w:tblStylePr>
    <w:tblStylePr w:type="lastCol">
      <w:rPr>
        <w:rFonts w:ascii="Arial" w:hAnsi="Arial"/>
        <w:color w:val="F2F2F2"/>
        <w:sz w:val="22"/>
      </w:rPr>
      <w:tcPr>
        <w:shd w:val="clear" w:color="4BACC6" w:fill="4BACC6"/>
      </w:tcPr>
    </w:tblStylePr>
    <w:tblStylePr w:type="band1Vert">
      <w:rPr>
        <w:rFonts w:ascii="Arial" w:hAnsi="Arial"/>
        <w:color w:val="404040"/>
        <w:sz w:val="22"/>
      </w:rPr>
    </w:tblStylePr>
    <w:tblStylePr w:type="band2Vert">
      <w:rPr>
        <w:rFonts w:ascii="Arial" w:hAnsi="Arial"/>
        <w:color w:val="404040"/>
        <w:sz w:val="22"/>
      </w:rPr>
      <w:tcPr>
        <w:shd w:val="clear" w:color="DAEEF3" w:fill="DAEEF3"/>
      </w:tcPr>
    </w:tblStylePr>
    <w:tblStylePr w:type="band1Horz">
      <w:rPr>
        <w:rFonts w:ascii="Arial" w:hAnsi="Arial"/>
        <w:color w:val="404040"/>
        <w:sz w:val="22"/>
      </w:rPr>
    </w:tblStylePr>
    <w:tblStylePr w:type="band2Horz">
      <w:rPr>
        <w:rFonts w:ascii="Arial" w:hAnsi="Arial"/>
        <w:color w:val="404040"/>
        <w:sz w:val="22"/>
      </w:rPr>
      <w:tcPr>
        <w:shd w:val="clear" w:color="DAEEF3" w:fill="DAEEF3"/>
      </w:tcPr>
    </w:tblStylePr>
  </w:style>
  <w:style w:type="table" w:customStyle="1" w:styleId="1212">
    <w:name w:val="Bordered &amp; Lined - Accent 64"/>
    <w:basedOn w:val="13"/>
    <w:uiPriority w:val="99"/>
    <w:rPr>
      <w:color w:val="404040"/>
    </w:rPr>
    <w:tblPr>
      <w:tblBorders>
        <w:top w:val="single" w:color="B15407" w:sz="4" w:space="0"/>
        <w:left w:val="single" w:color="B15407" w:sz="4" w:space="0"/>
        <w:bottom w:val="single" w:color="B15407" w:sz="4" w:space="0"/>
        <w:right w:val="single" w:color="B15407" w:sz="4" w:space="0"/>
        <w:insideH w:val="single" w:color="B15407" w:sz="4" w:space="0"/>
        <w:insideV w:val="single" w:color="B15407" w:sz="4" w:space="0"/>
      </w:tblBorders>
      <w:tblCellMar>
        <w:top w:w="0" w:type="dxa"/>
        <w:left w:w="108" w:type="dxa"/>
        <w:bottom w:w="0" w:type="dxa"/>
        <w:right w:w="108" w:type="dxa"/>
      </w:tblCellMar>
    </w:tblPr>
    <w:tblStylePr w:type="firstRow">
      <w:rPr>
        <w:rFonts w:ascii="Arial" w:hAnsi="Arial"/>
        <w:color w:val="F2F2F2"/>
        <w:sz w:val="22"/>
      </w:rPr>
      <w:tcPr>
        <w:shd w:val="clear" w:color="F79646" w:fill="F79646"/>
      </w:tcPr>
    </w:tblStylePr>
    <w:tblStylePr w:type="lastRow">
      <w:rPr>
        <w:rFonts w:ascii="Arial" w:hAnsi="Arial"/>
        <w:color w:val="F2F2F2"/>
        <w:sz w:val="22"/>
      </w:rPr>
      <w:tcPr>
        <w:shd w:val="clear" w:color="F79646" w:fill="F79646"/>
      </w:tcPr>
    </w:tblStylePr>
    <w:tblStylePr w:type="firstCol">
      <w:rPr>
        <w:rFonts w:ascii="Arial" w:hAnsi="Arial"/>
        <w:color w:val="F2F2F2"/>
        <w:sz w:val="22"/>
      </w:rPr>
      <w:tcPr>
        <w:shd w:val="clear" w:color="F79646" w:fill="F79646"/>
      </w:tcPr>
    </w:tblStylePr>
    <w:tblStylePr w:type="lastCol">
      <w:rPr>
        <w:rFonts w:ascii="Arial" w:hAnsi="Arial"/>
        <w:color w:val="F2F2F2"/>
        <w:sz w:val="22"/>
      </w:rPr>
      <w:tcPr>
        <w:shd w:val="clear" w:color="F79646" w:fill="F79646"/>
      </w:tcPr>
    </w:tblStylePr>
    <w:tblStylePr w:type="band1Vert">
      <w:rPr>
        <w:rFonts w:ascii="Arial" w:hAnsi="Arial"/>
        <w:color w:val="404040"/>
        <w:sz w:val="22"/>
      </w:rPr>
    </w:tblStylePr>
    <w:tblStylePr w:type="band2Vert">
      <w:rPr>
        <w:rFonts w:ascii="Arial" w:hAnsi="Arial"/>
        <w:color w:val="404040"/>
        <w:sz w:val="22"/>
      </w:rPr>
      <w:tcPr>
        <w:shd w:val="clear" w:color="FDE9D8" w:fill="FDE9D8"/>
      </w:tcPr>
    </w:tblStylePr>
    <w:tblStylePr w:type="band1Horz">
      <w:rPr>
        <w:rFonts w:ascii="Arial" w:hAnsi="Arial"/>
        <w:color w:val="404040"/>
        <w:sz w:val="22"/>
      </w:rPr>
    </w:tblStylePr>
    <w:tblStylePr w:type="band2Horz">
      <w:rPr>
        <w:rFonts w:ascii="Arial" w:hAnsi="Arial"/>
        <w:color w:val="404040"/>
        <w:sz w:val="22"/>
      </w:rPr>
      <w:tcPr>
        <w:shd w:val="clear" w:color="FDE9D8" w:fill="FDE9D8"/>
      </w:tcPr>
    </w:tblStylePr>
  </w:style>
  <w:style w:type="table" w:customStyle="1" w:styleId="1213">
    <w:name w:val="Bordered4"/>
    <w:basedOn w:val="13"/>
    <w:uiPriority w:val="99"/>
    <w:rPr>
      <w:sz w:val="22"/>
      <w:szCs w:val="22"/>
      <w:lang w:eastAsia="en-US"/>
    </w:rPr>
    <w:tblPr>
      <w:tblBorders>
        <w:top w:val="single" w:color="D9D9D9" w:sz="4" w:space="0"/>
        <w:left w:val="single" w:color="D9D9D9" w:sz="4" w:space="0"/>
        <w:bottom w:val="single" w:color="D9D9D9" w:sz="4" w:space="0"/>
        <w:right w:val="single" w:color="D9D9D9" w:sz="4" w:space="0"/>
        <w:insideH w:val="single" w:color="D9D9D9" w:sz="4" w:space="0"/>
        <w:insideV w:val="single" w:color="D9D9D9" w:sz="4" w:space="0"/>
      </w:tblBorders>
      <w:tblCellMar>
        <w:top w:w="0" w:type="dxa"/>
        <w:left w:w="108" w:type="dxa"/>
        <w:bottom w:w="0" w:type="dxa"/>
        <w:right w:w="108" w:type="dxa"/>
      </w:tblCellMar>
    </w:tblPr>
    <w:tblStylePr w:type="firstRow">
      <w:rPr>
        <w:rFonts w:ascii="Arial" w:hAnsi="Arial"/>
        <w:color w:val="404040"/>
        <w:sz w:val="22"/>
      </w:rPr>
      <w:tcPr>
        <w:tcBorders>
          <w:bottom w:val="single" w:color="7F7F7F" w:sz="12" w:space="0"/>
        </w:tcBorders>
      </w:tcPr>
    </w:tblStylePr>
    <w:tblStylePr w:type="lastRow">
      <w:rPr>
        <w:rFonts w:ascii="Arial" w:hAnsi="Arial"/>
        <w:color w:val="404040"/>
        <w:sz w:val="22"/>
      </w:rPr>
      <w:tcPr>
        <w:tcBorders>
          <w:top w:val="single" w:color="7F7F7F"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7F7F7F" w:sz="12" w:space="0"/>
        </w:tcBorders>
      </w:tcPr>
    </w:tblStylePr>
    <w:tblStylePr w:type="band1Horz">
      <w:rPr>
        <w:rFonts w:ascii="Arial" w:hAnsi="Arial"/>
        <w:color w:val="404040"/>
        <w:sz w:val="22"/>
      </w:rPr>
      <w:tcPr>
        <w:tcBorders>
          <w:top w:val="single" w:color="D9D9D9" w:sz="4" w:space="0"/>
          <w:left w:val="single" w:color="D9D9D9" w:sz="4" w:space="0"/>
          <w:bottom w:val="single" w:color="D9D9D9" w:sz="4" w:space="0"/>
          <w:right w:val="single" w:color="D9D9D9" w:sz="4" w:space="0"/>
        </w:tcBorders>
      </w:tcPr>
    </w:tblStylePr>
  </w:style>
  <w:style w:type="table" w:customStyle="1" w:styleId="1214">
    <w:name w:val="Bordered - Accent 14"/>
    <w:basedOn w:val="13"/>
    <w:uiPriority w:val="99"/>
    <w:rPr>
      <w:sz w:val="22"/>
      <w:szCs w:val="22"/>
      <w:lang w:eastAsia="en-US"/>
    </w:rPr>
    <w:tblPr>
      <w:tblBorders>
        <w:top w:val="single" w:color="B7CBE4" w:sz="4" w:space="0"/>
        <w:left w:val="single" w:color="B7CBE4" w:sz="4" w:space="0"/>
        <w:bottom w:val="single" w:color="B7CBE4" w:sz="4" w:space="0"/>
        <w:right w:val="single" w:color="B7CBE4" w:sz="4" w:space="0"/>
        <w:insideH w:val="single" w:color="B7CBE4" w:sz="4" w:space="0"/>
        <w:insideV w:val="single" w:color="B7CBE4" w:sz="4" w:space="0"/>
      </w:tblBorders>
      <w:tblCellMar>
        <w:top w:w="0" w:type="dxa"/>
        <w:left w:w="108" w:type="dxa"/>
        <w:bottom w:w="0" w:type="dxa"/>
        <w:right w:w="108" w:type="dxa"/>
      </w:tblCellMar>
    </w:tblPr>
    <w:tblStylePr w:type="firstRow">
      <w:rPr>
        <w:rFonts w:ascii="Arial" w:hAnsi="Arial"/>
        <w:color w:val="404040"/>
        <w:sz w:val="22"/>
      </w:rPr>
      <w:tcPr>
        <w:tcBorders>
          <w:bottom w:val="single" w:color="4F81BD" w:sz="12" w:space="0"/>
        </w:tcBorders>
      </w:tcPr>
    </w:tblStylePr>
    <w:tblStylePr w:type="lastRow">
      <w:rPr>
        <w:rFonts w:ascii="Arial" w:hAnsi="Arial"/>
        <w:color w:val="404040"/>
        <w:sz w:val="22"/>
      </w:rPr>
      <w:tcPr>
        <w:tcBorders>
          <w:top w:val="single" w:color="4F81BD"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4F81BD" w:sz="12" w:space="0"/>
        </w:tcBorders>
      </w:tcPr>
    </w:tblStylePr>
    <w:tblStylePr w:type="band1Horz">
      <w:rPr>
        <w:rFonts w:ascii="Arial" w:hAnsi="Arial"/>
        <w:color w:val="404040"/>
        <w:sz w:val="22"/>
      </w:rPr>
      <w:tcPr>
        <w:tcBorders>
          <w:top w:val="single" w:color="B7CBE4" w:sz="4" w:space="0"/>
          <w:left w:val="single" w:color="B7CBE4" w:sz="4" w:space="0"/>
          <w:bottom w:val="single" w:color="B7CBE4" w:sz="4" w:space="0"/>
          <w:right w:val="single" w:color="B7CBE4" w:sz="4" w:space="0"/>
        </w:tcBorders>
      </w:tcPr>
    </w:tblStylePr>
  </w:style>
  <w:style w:type="table" w:customStyle="1" w:styleId="1215">
    <w:name w:val="Bordered - Accent 24"/>
    <w:basedOn w:val="13"/>
    <w:uiPriority w:val="99"/>
    <w:rPr>
      <w:sz w:val="22"/>
      <w:szCs w:val="22"/>
      <w:lang w:eastAsia="en-US"/>
    </w:rPr>
    <w:tblPr>
      <w:tblBorders>
        <w:top w:val="single" w:color="E5B7B6" w:sz="4" w:space="0"/>
        <w:left w:val="single" w:color="E5B7B6" w:sz="4" w:space="0"/>
        <w:bottom w:val="single" w:color="E5B7B6" w:sz="4" w:space="0"/>
        <w:right w:val="single" w:color="E5B7B6" w:sz="4" w:space="0"/>
        <w:insideH w:val="single" w:color="E5B7B6" w:sz="4" w:space="0"/>
        <w:insideV w:val="single" w:color="E5B7B6" w:sz="4" w:space="0"/>
      </w:tblBorders>
      <w:tblCellMar>
        <w:top w:w="0" w:type="dxa"/>
        <w:left w:w="108" w:type="dxa"/>
        <w:bottom w:w="0" w:type="dxa"/>
        <w:right w:w="108" w:type="dxa"/>
      </w:tblCellMar>
    </w:tblPr>
    <w:tblStylePr w:type="firstRow">
      <w:rPr>
        <w:rFonts w:ascii="Arial" w:hAnsi="Arial"/>
        <w:color w:val="404040"/>
        <w:sz w:val="22"/>
      </w:rPr>
      <w:tcPr>
        <w:tcBorders>
          <w:bottom w:val="single" w:color="D99695" w:sz="12" w:space="0"/>
        </w:tcBorders>
      </w:tcPr>
    </w:tblStylePr>
    <w:tblStylePr w:type="lastRow">
      <w:rPr>
        <w:rFonts w:ascii="Arial" w:hAnsi="Arial"/>
        <w:color w:val="404040"/>
        <w:sz w:val="22"/>
      </w:rPr>
      <w:tcPr>
        <w:tcBorders>
          <w:top w:val="single" w:color="D99695"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D99695" w:sz="12" w:space="0"/>
        </w:tcBorders>
      </w:tcPr>
    </w:tblStylePr>
    <w:tblStylePr w:type="band1Horz">
      <w:rPr>
        <w:rFonts w:ascii="Arial" w:hAnsi="Arial"/>
        <w:color w:val="404040"/>
        <w:sz w:val="22"/>
      </w:rPr>
      <w:tcPr>
        <w:tcBorders>
          <w:top w:val="single" w:color="E5B7B6" w:sz="4" w:space="0"/>
          <w:left w:val="single" w:color="E5B7B6" w:sz="4" w:space="0"/>
          <w:bottom w:val="single" w:color="E5B7B6" w:sz="4" w:space="0"/>
          <w:right w:val="single" w:color="E5B7B6" w:sz="4" w:space="0"/>
        </w:tcBorders>
      </w:tcPr>
    </w:tblStylePr>
  </w:style>
  <w:style w:type="table" w:customStyle="1" w:styleId="1216">
    <w:name w:val="Bordered - Accent 34"/>
    <w:basedOn w:val="13"/>
    <w:uiPriority w:val="99"/>
    <w:rPr>
      <w:sz w:val="22"/>
      <w:szCs w:val="22"/>
      <w:lang w:eastAsia="en-US"/>
    </w:rPr>
    <w:tblPr>
      <w:tblBorders>
        <w:top w:val="single" w:color="D6E3BB" w:sz="4" w:space="0"/>
        <w:left w:val="single" w:color="D6E3BB" w:sz="4" w:space="0"/>
        <w:bottom w:val="single" w:color="D6E3BB" w:sz="4" w:space="0"/>
        <w:right w:val="single" w:color="D6E3BB" w:sz="4" w:space="0"/>
        <w:insideH w:val="single" w:color="D6E3BB" w:sz="4" w:space="0"/>
        <w:insideV w:val="single" w:color="D6E3BB" w:sz="4" w:space="0"/>
      </w:tblBorders>
      <w:tblCellMar>
        <w:top w:w="0" w:type="dxa"/>
        <w:left w:w="108" w:type="dxa"/>
        <w:bottom w:w="0" w:type="dxa"/>
        <w:right w:w="108" w:type="dxa"/>
      </w:tblCellMar>
    </w:tblPr>
    <w:tblStylePr w:type="firstRow">
      <w:rPr>
        <w:rFonts w:ascii="Arial" w:hAnsi="Arial"/>
        <w:color w:val="404040"/>
        <w:sz w:val="22"/>
      </w:rPr>
      <w:tcPr>
        <w:tcBorders>
          <w:bottom w:val="single" w:color="C3D69B" w:sz="12" w:space="0"/>
        </w:tcBorders>
      </w:tcPr>
    </w:tblStylePr>
    <w:tblStylePr w:type="lastRow">
      <w:rPr>
        <w:rFonts w:ascii="Arial" w:hAnsi="Arial"/>
        <w:color w:val="404040"/>
        <w:sz w:val="22"/>
      </w:rPr>
      <w:tcPr>
        <w:tcBorders>
          <w:top w:val="single" w:color="C3D69B"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C3D69B" w:sz="12" w:space="0"/>
        </w:tcBorders>
      </w:tcPr>
    </w:tblStylePr>
    <w:tblStylePr w:type="band1Horz">
      <w:rPr>
        <w:rFonts w:ascii="Arial" w:hAnsi="Arial"/>
        <w:color w:val="404040"/>
        <w:sz w:val="22"/>
      </w:rPr>
      <w:tcPr>
        <w:tcBorders>
          <w:top w:val="single" w:color="D6E3BB" w:sz="4" w:space="0"/>
          <w:left w:val="single" w:color="D6E3BB" w:sz="4" w:space="0"/>
          <w:bottom w:val="single" w:color="D6E3BB" w:sz="4" w:space="0"/>
          <w:right w:val="single" w:color="D6E3BB" w:sz="4" w:space="0"/>
        </w:tcBorders>
      </w:tcPr>
    </w:tblStylePr>
  </w:style>
  <w:style w:type="table" w:customStyle="1" w:styleId="1217">
    <w:name w:val="Bordered - Accent 44"/>
    <w:basedOn w:val="13"/>
    <w:uiPriority w:val="99"/>
    <w:rPr>
      <w:sz w:val="22"/>
      <w:szCs w:val="22"/>
      <w:lang w:eastAsia="en-US"/>
    </w:rPr>
    <w:tblPr>
      <w:tblBorders>
        <w:top w:val="single" w:color="CBC0D9" w:sz="4" w:space="0"/>
        <w:left w:val="single" w:color="CBC0D9" w:sz="4" w:space="0"/>
        <w:bottom w:val="single" w:color="CBC0D9" w:sz="4" w:space="0"/>
        <w:right w:val="single" w:color="CBC0D9" w:sz="4" w:space="0"/>
        <w:insideH w:val="single" w:color="CBC0D9" w:sz="4" w:space="0"/>
        <w:insideV w:val="single" w:color="CBC0D9" w:sz="4" w:space="0"/>
      </w:tblBorders>
      <w:tblCellMar>
        <w:top w:w="0" w:type="dxa"/>
        <w:left w:w="108" w:type="dxa"/>
        <w:bottom w:w="0" w:type="dxa"/>
        <w:right w:w="108" w:type="dxa"/>
      </w:tblCellMar>
    </w:tblPr>
    <w:tblStylePr w:type="firstRow">
      <w:rPr>
        <w:rFonts w:ascii="Arial" w:hAnsi="Arial"/>
        <w:color w:val="404040"/>
        <w:sz w:val="22"/>
      </w:rPr>
      <w:tcPr>
        <w:tcBorders>
          <w:bottom w:val="single" w:color="B2A1C6" w:sz="12" w:space="0"/>
        </w:tcBorders>
      </w:tcPr>
    </w:tblStylePr>
    <w:tblStylePr w:type="lastRow">
      <w:rPr>
        <w:rFonts w:ascii="Arial" w:hAnsi="Arial"/>
        <w:color w:val="404040"/>
        <w:sz w:val="22"/>
      </w:rPr>
      <w:tcPr>
        <w:tcBorders>
          <w:top w:val="single" w:color="B2A1C6"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B2A1C6" w:sz="12" w:space="0"/>
        </w:tcBorders>
      </w:tcPr>
    </w:tblStylePr>
    <w:tblStylePr w:type="band1Horz">
      <w:rPr>
        <w:rFonts w:ascii="Arial" w:hAnsi="Arial"/>
        <w:color w:val="404040"/>
        <w:sz w:val="22"/>
      </w:rPr>
      <w:tcPr>
        <w:tcBorders>
          <w:top w:val="single" w:color="CBC0D9" w:sz="4" w:space="0"/>
          <w:left w:val="single" w:color="CBC0D9" w:sz="4" w:space="0"/>
          <w:bottom w:val="single" w:color="CBC0D9" w:sz="4" w:space="0"/>
          <w:right w:val="single" w:color="CBC0D9" w:sz="4" w:space="0"/>
        </w:tcBorders>
      </w:tcPr>
    </w:tblStylePr>
  </w:style>
  <w:style w:type="table" w:customStyle="1" w:styleId="1218">
    <w:name w:val="Bordered - Accent 54"/>
    <w:basedOn w:val="13"/>
    <w:uiPriority w:val="99"/>
    <w:rPr>
      <w:sz w:val="22"/>
      <w:szCs w:val="22"/>
      <w:lang w:eastAsia="en-US"/>
    </w:rPr>
    <w:tblPr>
      <w:tblBorders>
        <w:top w:val="single" w:color="B6DDE8" w:sz="4" w:space="0"/>
        <w:left w:val="single" w:color="B6DDE8" w:sz="4" w:space="0"/>
        <w:bottom w:val="single" w:color="B6DDE8" w:sz="4" w:space="0"/>
        <w:right w:val="single" w:color="B6DDE8" w:sz="4" w:space="0"/>
        <w:insideH w:val="single" w:color="B6DDE8" w:sz="4" w:space="0"/>
        <w:insideV w:val="single" w:color="B6DDE8" w:sz="4" w:space="0"/>
      </w:tblBorders>
      <w:tblCellMar>
        <w:top w:w="0" w:type="dxa"/>
        <w:left w:w="108" w:type="dxa"/>
        <w:bottom w:w="0" w:type="dxa"/>
        <w:right w:w="108" w:type="dxa"/>
      </w:tblCellMar>
    </w:tblPr>
    <w:tblStylePr w:type="firstRow">
      <w:rPr>
        <w:rFonts w:ascii="Arial" w:hAnsi="Arial"/>
        <w:color w:val="404040"/>
        <w:sz w:val="22"/>
      </w:rPr>
      <w:tcPr>
        <w:tcBorders>
          <w:bottom w:val="single" w:color="92CCDC" w:sz="12" w:space="0"/>
        </w:tcBorders>
      </w:tcPr>
    </w:tblStylePr>
    <w:tblStylePr w:type="lastRow">
      <w:rPr>
        <w:rFonts w:ascii="Arial" w:hAnsi="Arial"/>
        <w:color w:val="404040"/>
        <w:sz w:val="22"/>
      </w:rPr>
      <w:tcPr>
        <w:tcBorders>
          <w:top w:val="single" w:color="92CCDC"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92CCDC" w:sz="12" w:space="0"/>
        </w:tcBorders>
      </w:tcPr>
    </w:tblStylePr>
    <w:tblStylePr w:type="band1Horz">
      <w:rPr>
        <w:rFonts w:ascii="Arial" w:hAnsi="Arial"/>
        <w:color w:val="404040"/>
        <w:sz w:val="22"/>
      </w:rPr>
      <w:tcPr>
        <w:tcBorders>
          <w:top w:val="single" w:color="B6DDE8" w:sz="4" w:space="0"/>
          <w:left w:val="single" w:color="B6DDE8" w:sz="4" w:space="0"/>
          <w:bottom w:val="single" w:color="B6DDE8" w:sz="4" w:space="0"/>
          <w:right w:val="single" w:color="B6DDE8" w:sz="4" w:space="0"/>
        </w:tcBorders>
      </w:tcPr>
    </w:tblStylePr>
  </w:style>
  <w:style w:type="table" w:customStyle="1" w:styleId="1219">
    <w:name w:val="Bordered - Accent 64"/>
    <w:basedOn w:val="13"/>
    <w:uiPriority w:val="99"/>
    <w:rPr>
      <w:sz w:val="22"/>
      <w:szCs w:val="22"/>
      <w:lang w:eastAsia="en-US"/>
    </w:rPr>
    <w:tblPr>
      <w:tblBorders>
        <w:top w:val="single" w:color="FBD4B4" w:sz="4" w:space="0"/>
        <w:left w:val="single" w:color="FBD4B4" w:sz="4" w:space="0"/>
        <w:bottom w:val="single" w:color="FBD4B4" w:sz="4" w:space="0"/>
        <w:right w:val="single" w:color="FBD4B4" w:sz="4" w:space="0"/>
        <w:insideH w:val="single" w:color="FBD4B4" w:sz="4" w:space="0"/>
        <w:insideV w:val="single" w:color="FBD4B4" w:sz="4" w:space="0"/>
      </w:tblBorders>
      <w:tblCellMar>
        <w:top w:w="0" w:type="dxa"/>
        <w:left w:w="108" w:type="dxa"/>
        <w:bottom w:w="0" w:type="dxa"/>
        <w:right w:w="108" w:type="dxa"/>
      </w:tblCellMar>
    </w:tblPr>
    <w:tblStylePr w:type="firstRow">
      <w:rPr>
        <w:rFonts w:ascii="Arial" w:hAnsi="Arial"/>
        <w:color w:val="404040"/>
        <w:sz w:val="22"/>
      </w:rPr>
      <w:tcPr>
        <w:tcBorders>
          <w:bottom w:val="single" w:color="FAC090" w:sz="12" w:space="0"/>
        </w:tcBorders>
      </w:tcPr>
    </w:tblStylePr>
    <w:tblStylePr w:type="lastRow">
      <w:rPr>
        <w:rFonts w:ascii="Arial" w:hAnsi="Arial"/>
        <w:color w:val="404040"/>
        <w:sz w:val="22"/>
      </w:rPr>
      <w:tcPr>
        <w:tcBorders>
          <w:top w:val="single" w:color="FAC090"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FAC090" w:sz="12" w:space="0"/>
        </w:tcBorders>
      </w:tcPr>
    </w:tblStylePr>
    <w:tblStylePr w:type="band1Horz">
      <w:rPr>
        <w:rFonts w:ascii="Arial" w:hAnsi="Arial"/>
        <w:color w:val="404040"/>
        <w:sz w:val="22"/>
      </w:rPr>
      <w:tcPr>
        <w:tcBorders>
          <w:top w:val="single" w:color="FBD4B4" w:sz="4" w:space="0"/>
          <w:left w:val="single" w:color="FBD4B4" w:sz="4" w:space="0"/>
          <w:bottom w:val="single" w:color="FBD4B4" w:sz="4" w:space="0"/>
          <w:right w:val="single" w:color="FBD4B4" w:sz="4" w:space="0"/>
        </w:tcBorders>
      </w:tcPr>
    </w:tblStylePr>
  </w:style>
  <w:style w:type="character" w:customStyle="1" w:styleId="1220">
    <w:name w:val="Заголовок №4 (2)_"/>
    <w:link w:val="1221"/>
    <w:uiPriority w:val="0"/>
    <w:rPr>
      <w:shd w:val="clear" w:color="auto" w:fill="FFFFFF"/>
    </w:rPr>
  </w:style>
  <w:style w:type="paragraph" w:customStyle="1" w:styleId="1221">
    <w:name w:val="Заголовок №4 (2)"/>
    <w:basedOn w:val="1"/>
    <w:link w:val="1220"/>
    <w:uiPriority w:val="0"/>
    <w:pPr>
      <w:shd w:val="clear" w:color="auto" w:fill="FFFFFF"/>
      <w:spacing w:after="240" w:line="264" w:lineRule="exact"/>
      <w:jc w:val="center"/>
      <w:outlineLvl w:val="3"/>
    </w:pPr>
    <w:rPr>
      <w:sz w:val="20"/>
      <w:szCs w:val="20"/>
    </w:rPr>
  </w:style>
  <w:style w:type="table" w:customStyle="1" w:styleId="1222">
    <w:name w:val="Сетка таблицы10"/>
    <w:basedOn w:val="13"/>
    <w:uiPriority w:val="59"/>
    <w:rPr>
      <w:sz w:val="22"/>
      <w:szCs w:val="22"/>
      <w:lang w:eastAsia="en-US"/>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
  </w:style>
  <w:style w:type="table" w:customStyle="1" w:styleId="1223">
    <w:name w:val="Table Grid Light5"/>
    <w:basedOn w:val="13"/>
    <w:uiPriority w:val="59"/>
    <w:rPr>
      <w:sz w:val="22"/>
      <w:szCs w:val="22"/>
      <w:lang w:eastAsia="en-US"/>
    </w:rPr>
    <w:tblPr>
      <w:tblBorders>
        <w:top w:val="single" w:color="AFAFAF" w:sz="4" w:space="0"/>
        <w:left w:val="single" w:color="AFAFAF" w:sz="4" w:space="0"/>
        <w:bottom w:val="single" w:color="AFAFAF" w:sz="4" w:space="0"/>
        <w:right w:val="single" w:color="AFAFAF" w:sz="4" w:space="0"/>
        <w:insideH w:val="single" w:color="AFAFAF" w:sz="4" w:space="0"/>
        <w:insideV w:val="single" w:color="AFAFAF" w:sz="4" w:space="0"/>
      </w:tblBorders>
      <w:tblCellMar>
        <w:top w:w="0" w:type="dxa"/>
        <w:left w:w="108" w:type="dxa"/>
        <w:bottom w:w="0" w:type="dxa"/>
        <w:right w:w="108" w:type="dxa"/>
      </w:tblCellMar>
    </w:tblPr>
  </w:style>
  <w:style w:type="table" w:customStyle="1" w:styleId="1224">
    <w:name w:val="Таблица простая 113"/>
    <w:basedOn w:val="13"/>
    <w:uiPriority w:val="59"/>
    <w:rPr>
      <w:sz w:val="22"/>
      <w:szCs w:val="22"/>
      <w:lang w:eastAsia="en-US"/>
    </w:rPr>
    <w:tblPr>
      <w:tblBorders>
        <w:top w:val="single" w:color="AFAFAF" w:sz="4" w:space="0"/>
        <w:left w:val="single" w:color="AFAFAF" w:sz="4" w:space="0"/>
        <w:bottom w:val="single" w:color="AFAFAF" w:sz="4" w:space="0"/>
        <w:right w:val="single" w:color="AFAFAF" w:sz="4" w:space="0"/>
        <w:insideH w:val="single" w:color="AFAFAF" w:sz="4" w:space="0"/>
        <w:insideV w:val="single" w:color="AFAFAF" w:sz="4" w:space="0"/>
      </w:tblBorders>
      <w:tblCellMar>
        <w:top w:w="0" w:type="dxa"/>
        <w:left w:w="108" w:type="dxa"/>
        <w:bottom w:w="0" w:type="dxa"/>
        <w:right w:w="108" w:type="dxa"/>
      </w:tblCellMar>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cPr>
        <w:shd w:val="clear" w:color="F2F2F2" w:fill="F2F2F2"/>
      </w:tcPr>
    </w:tblStylePr>
    <w:tblStylePr w:type="band1Horz">
      <w:tcPr>
        <w:shd w:val="clear" w:color="F2F2F2" w:fill="F2F2F2"/>
      </w:tcPr>
    </w:tblStylePr>
  </w:style>
  <w:style w:type="table" w:customStyle="1" w:styleId="1225">
    <w:name w:val="Таблица простая 213"/>
    <w:basedOn w:val="13"/>
    <w:uiPriority w:val="59"/>
    <w:rPr>
      <w:sz w:val="22"/>
      <w:szCs w:val="22"/>
      <w:lang w:eastAsia="en-US"/>
    </w:rPr>
    <w:tblPr>
      <w:tblBorders>
        <w:top w:val="single" w:color="000000" w:sz="4" w:space="0"/>
        <w:left w:val="none" w:color="000000" w:sz="4" w:space="0"/>
        <w:bottom w:val="single" w:color="000000" w:sz="4" w:space="0"/>
        <w:right w:val="none" w:color="000000" w:sz="4" w:space="0"/>
      </w:tblBorders>
      <w:tblCellMar>
        <w:top w:w="0" w:type="dxa"/>
        <w:left w:w="108" w:type="dxa"/>
        <w:bottom w:w="0" w:type="dxa"/>
        <w:right w:w="108" w:type="dxa"/>
      </w:tblCellMar>
    </w:tblPr>
    <w:tblStylePr w:type="firstRow">
      <w:rPr>
        <w:rFonts w:ascii="Arial" w:hAnsi="Arial"/>
        <w:b/>
        <w:color w:val="404040"/>
        <w:sz w:val="22"/>
      </w:rPr>
      <w:tcPr>
        <w:tcBorders>
          <w:top w:val="single" w:color="000000" w:sz="4" w:space="0"/>
          <w:bottom w:val="single" w:color="000000" w:sz="4" w:space="0"/>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cPr>
        <w:tcBorders>
          <w:left w:val="single" w:color="000000" w:sz="4" w:space="0"/>
          <w:right w:val="single" w:color="000000" w:sz="4" w:space="0"/>
        </w:tcBorders>
      </w:tcPr>
    </w:tblStylePr>
    <w:tblStylePr w:type="band2Vert">
      <w:tcPr>
        <w:tcBorders>
          <w:left w:val="single" w:color="000000" w:sz="4" w:space="0"/>
          <w:right w:val="single" w:color="000000" w:sz="4" w:space="0"/>
        </w:tcBorders>
      </w:tcPr>
    </w:tblStylePr>
    <w:tblStylePr w:type="band1Horz">
      <w:tcPr>
        <w:tcBorders>
          <w:top w:val="single" w:color="000000" w:sz="4" w:space="0"/>
          <w:bottom w:val="single" w:color="000000" w:sz="4" w:space="0"/>
        </w:tcBorders>
      </w:tcPr>
    </w:tblStylePr>
  </w:style>
  <w:style w:type="table" w:customStyle="1" w:styleId="1226">
    <w:name w:val="Таблица простая 313"/>
    <w:basedOn w:val="13"/>
    <w:uiPriority w:val="99"/>
    <w:rPr>
      <w:sz w:val="22"/>
      <w:szCs w:val="22"/>
      <w:lang w:eastAsia="en-US"/>
    </w:rPr>
    <w:tblPr>
      <w:tblCellMar>
        <w:top w:w="0" w:type="dxa"/>
        <w:left w:w="108" w:type="dxa"/>
        <w:bottom w:w="0" w:type="dxa"/>
        <w:right w:w="108" w:type="dxa"/>
      </w:tblCellMar>
    </w:tblPr>
    <w:tblStylePr w:type="firstRow">
      <w:rPr>
        <w:b/>
        <w:caps/>
        <w:color w:val="404040"/>
      </w:rPr>
      <w:tcPr>
        <w:tcBorders>
          <w:top w:val="nil"/>
          <w:left w:val="nil"/>
          <w:bottom w:val="single" w:color="404040" w:sz="4" w:space="0"/>
          <w:right w:val="nil"/>
        </w:tcBorders>
      </w:tcPr>
    </w:tblStylePr>
    <w:tblStylePr w:type="lastRow">
      <w:rPr>
        <w:b/>
        <w:caps/>
        <w:color w:val="404040"/>
      </w:rPr>
    </w:tblStylePr>
    <w:tblStylePr w:type="firstCol">
      <w:rPr>
        <w:b/>
        <w:caps/>
        <w:color w:val="404040"/>
      </w:rPr>
      <w:tcPr>
        <w:tcBorders>
          <w:top w:val="nil"/>
          <w:left w:val="nil"/>
          <w:bottom w:val="nil"/>
          <w:right w:val="single" w:color="404040" w:sz="4" w:space="0"/>
        </w:tcBorders>
      </w:tcPr>
    </w:tblStylePr>
    <w:tblStylePr w:type="lastCol">
      <w:rPr>
        <w:b/>
        <w:caps/>
        <w:color w:val="404040"/>
      </w:rPr>
    </w:tblStylePr>
    <w:tblStylePr w:type="band1Vert">
      <w:rPr>
        <w:rFonts w:ascii="Arial" w:hAnsi="Arial"/>
        <w:color w:val="404040"/>
        <w:sz w:val="22"/>
      </w:rPr>
      <w:tcPr>
        <w:shd w:val="clear" w:color="F2F2F2" w:fill="F2F2F2"/>
      </w:tcPr>
    </w:tblStylePr>
    <w:tblStylePr w:type="band1Horz">
      <w:rPr>
        <w:rFonts w:ascii="Arial" w:hAnsi="Arial"/>
        <w:color w:val="404040"/>
        <w:sz w:val="22"/>
      </w:rPr>
      <w:tcPr>
        <w:shd w:val="clear" w:color="F2F2F2" w:fill="F2F2F2"/>
      </w:tcPr>
    </w:tblStylePr>
  </w:style>
  <w:style w:type="table" w:customStyle="1" w:styleId="1227">
    <w:name w:val="Таблица простая 413"/>
    <w:basedOn w:val="13"/>
    <w:uiPriority w:val="99"/>
    <w:rPr>
      <w:sz w:val="22"/>
      <w:szCs w:val="22"/>
      <w:lang w:eastAsia="en-US"/>
    </w:rPr>
    <w:tblPr>
      <w:tblCellMar>
        <w:top w:w="0" w:type="dxa"/>
        <w:left w:w="108" w:type="dxa"/>
        <w:bottom w:w="0" w:type="dxa"/>
        <w:right w:w="108" w:type="dxa"/>
      </w:tblCellMar>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F2F2F2" w:fill="F2F2F2"/>
      </w:tcPr>
    </w:tblStylePr>
    <w:tblStylePr w:type="band1Horz">
      <w:rPr>
        <w:rFonts w:ascii="Arial" w:hAnsi="Arial"/>
        <w:color w:val="404040"/>
        <w:sz w:val="22"/>
      </w:rPr>
      <w:tcPr>
        <w:shd w:val="clear" w:color="F2F2F2" w:fill="F2F2F2"/>
      </w:tcPr>
    </w:tblStylePr>
  </w:style>
  <w:style w:type="table" w:customStyle="1" w:styleId="1228">
    <w:name w:val="Таблица простая 513"/>
    <w:basedOn w:val="13"/>
    <w:uiPriority w:val="99"/>
    <w:rPr>
      <w:sz w:val="22"/>
      <w:szCs w:val="22"/>
      <w:lang w:eastAsia="en-US"/>
    </w:rPr>
    <w:tblPr>
      <w:tblCellMar>
        <w:top w:w="0" w:type="dxa"/>
        <w:left w:w="108" w:type="dxa"/>
        <w:bottom w:w="0" w:type="dxa"/>
        <w:right w:w="108" w:type="dxa"/>
      </w:tblCellMar>
    </w:tblPr>
    <w:tblStylePr w:type="firstRow">
      <w:rPr>
        <w:i/>
        <w:color w:val="404040"/>
      </w:rPr>
      <w:tcPr>
        <w:tcBorders>
          <w:left w:val="nil"/>
          <w:bottom w:val="single" w:color="404040" w:sz="4" w:space="0"/>
          <w:right w:val="nil"/>
        </w:tcBorders>
        <w:shd w:val="clear" w:color="FFFFFF" w:fill="auto"/>
      </w:tcPr>
    </w:tblStylePr>
    <w:tblStylePr w:type="lastRow">
      <w:rPr>
        <w:i/>
        <w:color w:val="404040"/>
      </w:rPr>
      <w:tcPr>
        <w:tcBorders>
          <w:top w:val="single" w:color="404040" w:sz="4" w:space="0"/>
          <w:left w:val="nil"/>
          <w:right w:val="nil"/>
        </w:tcBorders>
        <w:shd w:val="clear" w:color="FFFFFF" w:fill="auto"/>
      </w:tcPr>
    </w:tblStylePr>
    <w:tblStylePr w:type="firstCol">
      <w:pPr>
        <w:jc w:val="right"/>
      </w:pPr>
      <w:rPr>
        <w:i/>
        <w:color w:val="404040"/>
      </w:rPr>
      <w:tcPr>
        <w:tcBorders>
          <w:right w:val="single" w:color="404040" w:sz="4" w:space="0"/>
        </w:tcBorders>
        <w:shd w:val="clear" w:color="FFFFFF" w:fill="auto"/>
      </w:tcPr>
    </w:tblStylePr>
    <w:tblStylePr w:type="lastCol">
      <w:rPr>
        <w:i/>
        <w:color w:val="404040"/>
      </w:rPr>
      <w:tcPr>
        <w:tcBorders>
          <w:left w:val="single" w:color="404040" w:sz="4" w:space="0"/>
        </w:tcBorders>
        <w:shd w:val="clear" w:color="FFFFFF" w:fill="auto"/>
      </w:tcPr>
    </w:tblStylePr>
    <w:tblStylePr w:type="band1Vert">
      <w:rPr>
        <w:rFonts w:ascii="Arial" w:hAnsi="Arial"/>
        <w:color w:val="404040"/>
        <w:sz w:val="22"/>
      </w:rPr>
      <w:tcPr>
        <w:shd w:val="clear" w:color="F2F2F2" w:fill="F2F2F2"/>
      </w:tcPr>
    </w:tblStylePr>
    <w:tblStylePr w:type="band1Horz">
      <w:rPr>
        <w:rFonts w:ascii="Arial" w:hAnsi="Arial"/>
        <w:color w:val="404040"/>
        <w:sz w:val="22"/>
      </w:rPr>
      <w:tcPr>
        <w:shd w:val="clear" w:color="F2F2F2" w:fill="F2F2F2"/>
      </w:tcPr>
    </w:tblStylePr>
  </w:style>
  <w:style w:type="table" w:customStyle="1" w:styleId="1229">
    <w:name w:val="Таблица-сетка 1 светлая13"/>
    <w:basedOn w:val="13"/>
    <w:uiPriority w:val="99"/>
    <w:rPr>
      <w:sz w:val="22"/>
      <w:szCs w:val="22"/>
      <w:lang w:eastAsia="en-US"/>
    </w:rPr>
    <w:tblPr>
      <w:tblBorders>
        <w:top w:val="single" w:color="989898" w:sz="4" w:space="0"/>
        <w:left w:val="single" w:color="989898" w:sz="4" w:space="0"/>
        <w:bottom w:val="single" w:color="989898" w:sz="4" w:space="0"/>
        <w:right w:val="single" w:color="989898" w:sz="4" w:space="0"/>
        <w:insideH w:val="single" w:color="989898" w:sz="4" w:space="0"/>
        <w:insideV w:val="single" w:color="989898" w:sz="4" w:space="0"/>
      </w:tblBorders>
      <w:tblCellMar>
        <w:top w:w="0" w:type="dxa"/>
        <w:left w:w="108" w:type="dxa"/>
        <w:bottom w:w="0" w:type="dxa"/>
        <w:right w:w="108" w:type="dxa"/>
      </w:tblCellMar>
    </w:tblPr>
    <w:tblStylePr w:type="firstRow">
      <w:rPr>
        <w:b/>
        <w:color w:val="404040"/>
      </w:rPr>
      <w:tcPr>
        <w:tcBorders>
          <w:bottom w:val="single" w:color="6A6A6A" w:sz="12" w:space="0"/>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cPr>
        <w:tcBorders>
          <w:top w:val="single" w:color="989898" w:sz="4" w:space="0"/>
          <w:left w:val="single" w:color="989898" w:sz="4" w:space="0"/>
          <w:bottom w:val="single" w:color="989898" w:sz="4" w:space="0"/>
          <w:right w:val="single" w:color="989898" w:sz="4" w:space="0"/>
        </w:tcBorders>
      </w:tcPr>
    </w:tblStylePr>
  </w:style>
  <w:style w:type="table" w:customStyle="1" w:styleId="1230">
    <w:name w:val="Grid Table 1 Light - Accent 15"/>
    <w:basedOn w:val="13"/>
    <w:uiPriority w:val="99"/>
    <w:rPr>
      <w:sz w:val="22"/>
      <w:szCs w:val="22"/>
      <w:lang w:eastAsia="en-US"/>
    </w:rPr>
    <w:tblPr>
      <w:tblBorders>
        <w:top w:val="single" w:color="B7CBE4" w:sz="4" w:space="0"/>
        <w:left w:val="single" w:color="B7CBE4" w:sz="4" w:space="0"/>
        <w:bottom w:val="single" w:color="B7CBE4" w:sz="4" w:space="0"/>
        <w:right w:val="single" w:color="B7CBE4" w:sz="4" w:space="0"/>
        <w:insideH w:val="single" w:color="B7CBE4" w:sz="4" w:space="0"/>
        <w:insideV w:val="single" w:color="B7CBE4" w:sz="4" w:space="0"/>
      </w:tblBorders>
      <w:tblCellMar>
        <w:top w:w="0" w:type="dxa"/>
        <w:left w:w="108" w:type="dxa"/>
        <w:bottom w:w="0" w:type="dxa"/>
        <w:right w:w="108" w:type="dxa"/>
      </w:tblCellMar>
    </w:tblPr>
    <w:tblStylePr w:type="firstRow">
      <w:rPr>
        <w:b/>
        <w:color w:val="404040"/>
      </w:rPr>
      <w:tcPr>
        <w:tcBorders>
          <w:bottom w:val="single" w:color="97B4D8" w:sz="12" w:space="0"/>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cPr>
        <w:tcBorders>
          <w:top w:val="single" w:color="B7CBE4" w:sz="4" w:space="0"/>
          <w:left w:val="single" w:color="B7CBE4" w:sz="4" w:space="0"/>
          <w:bottom w:val="single" w:color="B7CBE4" w:sz="4" w:space="0"/>
          <w:right w:val="single" w:color="B7CBE4" w:sz="4" w:space="0"/>
        </w:tcBorders>
      </w:tcPr>
    </w:tblStylePr>
  </w:style>
  <w:style w:type="table" w:customStyle="1" w:styleId="1231">
    <w:name w:val="Grid Table 1 Light - Accent 25"/>
    <w:basedOn w:val="13"/>
    <w:uiPriority w:val="99"/>
    <w:rPr>
      <w:sz w:val="22"/>
      <w:szCs w:val="22"/>
      <w:lang w:eastAsia="en-US"/>
    </w:rPr>
    <w:tblPr>
      <w:tblBorders>
        <w:top w:val="single" w:color="E5B7B6" w:sz="4" w:space="0"/>
        <w:left w:val="single" w:color="E5B7B6" w:sz="4" w:space="0"/>
        <w:bottom w:val="single" w:color="E5B7B6" w:sz="4" w:space="0"/>
        <w:right w:val="single" w:color="E5B7B6" w:sz="4" w:space="0"/>
        <w:insideH w:val="single" w:color="E5B7B6" w:sz="4" w:space="0"/>
        <w:insideV w:val="single" w:color="E5B7B6" w:sz="4" w:space="0"/>
      </w:tblBorders>
      <w:tblCellMar>
        <w:top w:w="0" w:type="dxa"/>
        <w:left w:w="108" w:type="dxa"/>
        <w:bottom w:w="0" w:type="dxa"/>
        <w:right w:w="108" w:type="dxa"/>
      </w:tblCellMar>
    </w:tblPr>
    <w:tblStylePr w:type="firstRow">
      <w:rPr>
        <w:b/>
        <w:color w:val="404040"/>
      </w:rPr>
      <w:tcPr>
        <w:tcBorders>
          <w:bottom w:val="single" w:color="DA9896" w:sz="12" w:space="0"/>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cPr>
        <w:tcBorders>
          <w:top w:val="single" w:color="E5B7B6" w:sz="4" w:space="0"/>
          <w:left w:val="single" w:color="E5B7B6" w:sz="4" w:space="0"/>
          <w:bottom w:val="single" w:color="E5B7B6" w:sz="4" w:space="0"/>
          <w:right w:val="single" w:color="E5B7B6" w:sz="4" w:space="0"/>
        </w:tcBorders>
      </w:tcPr>
    </w:tblStylePr>
  </w:style>
  <w:style w:type="table" w:customStyle="1" w:styleId="1232">
    <w:name w:val="Grid Table 1 Light - Accent 35"/>
    <w:basedOn w:val="13"/>
    <w:uiPriority w:val="99"/>
    <w:rPr>
      <w:sz w:val="22"/>
      <w:szCs w:val="22"/>
      <w:lang w:eastAsia="en-US"/>
    </w:rPr>
    <w:tblPr>
      <w:tblBorders>
        <w:top w:val="single" w:color="D6E3BB" w:sz="4" w:space="0"/>
        <w:left w:val="single" w:color="D6E3BB" w:sz="4" w:space="0"/>
        <w:bottom w:val="single" w:color="D6E3BB" w:sz="4" w:space="0"/>
        <w:right w:val="single" w:color="D6E3BB" w:sz="4" w:space="0"/>
        <w:insideH w:val="single" w:color="D6E3BB" w:sz="4" w:space="0"/>
        <w:insideV w:val="single" w:color="D6E3BB" w:sz="4" w:space="0"/>
      </w:tblBorders>
      <w:tblCellMar>
        <w:top w:w="0" w:type="dxa"/>
        <w:left w:w="108" w:type="dxa"/>
        <w:bottom w:w="0" w:type="dxa"/>
        <w:right w:w="108" w:type="dxa"/>
      </w:tblCellMar>
    </w:tblPr>
    <w:tblStylePr w:type="firstRow">
      <w:rPr>
        <w:b/>
        <w:color w:val="404040"/>
      </w:rPr>
      <w:tcPr>
        <w:tcBorders>
          <w:bottom w:val="single" w:color="C4D79D" w:sz="12" w:space="0"/>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cPr>
        <w:tcBorders>
          <w:top w:val="single" w:color="D6E3BB" w:sz="4" w:space="0"/>
          <w:left w:val="single" w:color="D6E3BB" w:sz="4" w:space="0"/>
          <w:bottom w:val="single" w:color="D6E3BB" w:sz="4" w:space="0"/>
          <w:right w:val="single" w:color="D6E3BB" w:sz="4" w:space="0"/>
        </w:tcBorders>
      </w:tcPr>
    </w:tblStylePr>
  </w:style>
  <w:style w:type="table" w:customStyle="1" w:styleId="1233">
    <w:name w:val="Grid Table 1 Light - Accent 45"/>
    <w:basedOn w:val="13"/>
    <w:uiPriority w:val="99"/>
    <w:rPr>
      <w:sz w:val="22"/>
      <w:szCs w:val="22"/>
      <w:lang w:eastAsia="en-US"/>
    </w:rPr>
    <w:tblPr>
      <w:tblBorders>
        <w:top w:val="single" w:color="CBC0D9" w:sz="4" w:space="0"/>
        <w:left w:val="single" w:color="CBC0D9" w:sz="4" w:space="0"/>
        <w:bottom w:val="single" w:color="CBC0D9" w:sz="4" w:space="0"/>
        <w:right w:val="single" w:color="CBC0D9" w:sz="4" w:space="0"/>
        <w:insideH w:val="single" w:color="CBC0D9" w:sz="4" w:space="0"/>
        <w:insideV w:val="single" w:color="CBC0D9" w:sz="4" w:space="0"/>
      </w:tblBorders>
      <w:tblCellMar>
        <w:top w:w="0" w:type="dxa"/>
        <w:left w:w="108" w:type="dxa"/>
        <w:bottom w:w="0" w:type="dxa"/>
        <w:right w:w="108" w:type="dxa"/>
      </w:tblCellMar>
    </w:tblPr>
    <w:tblStylePr w:type="firstRow">
      <w:rPr>
        <w:b/>
        <w:color w:val="404040"/>
      </w:rPr>
      <w:tcPr>
        <w:tcBorders>
          <w:bottom w:val="single" w:color="B4A4C8" w:sz="12" w:space="0"/>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cPr>
        <w:tcBorders>
          <w:top w:val="single" w:color="CBC0D9" w:sz="4" w:space="0"/>
          <w:left w:val="single" w:color="CBC0D9" w:sz="4" w:space="0"/>
          <w:bottom w:val="single" w:color="CBC0D9" w:sz="4" w:space="0"/>
          <w:right w:val="single" w:color="CBC0D9" w:sz="4" w:space="0"/>
        </w:tcBorders>
      </w:tcPr>
    </w:tblStylePr>
  </w:style>
  <w:style w:type="table" w:customStyle="1" w:styleId="1234">
    <w:name w:val="Grid Table 1 Light - Accent 55"/>
    <w:basedOn w:val="13"/>
    <w:uiPriority w:val="99"/>
    <w:rPr>
      <w:sz w:val="22"/>
      <w:szCs w:val="22"/>
      <w:lang w:eastAsia="en-US"/>
    </w:rPr>
    <w:tblPr>
      <w:tblBorders>
        <w:top w:val="single" w:color="B6DDE8" w:sz="4" w:space="0"/>
        <w:left w:val="single" w:color="B6DDE8" w:sz="4" w:space="0"/>
        <w:bottom w:val="single" w:color="B6DDE8" w:sz="4" w:space="0"/>
        <w:right w:val="single" w:color="B6DDE8" w:sz="4" w:space="0"/>
        <w:insideH w:val="single" w:color="B6DDE8" w:sz="4" w:space="0"/>
        <w:insideV w:val="single" w:color="B6DDE8" w:sz="4" w:space="0"/>
      </w:tblBorders>
      <w:tblCellMar>
        <w:top w:w="0" w:type="dxa"/>
        <w:left w:w="108" w:type="dxa"/>
        <w:bottom w:w="0" w:type="dxa"/>
        <w:right w:w="108" w:type="dxa"/>
      </w:tblCellMar>
    </w:tblPr>
    <w:tblStylePr w:type="firstRow">
      <w:rPr>
        <w:b/>
        <w:color w:val="404040"/>
      </w:rPr>
      <w:tcPr>
        <w:tcBorders>
          <w:bottom w:val="single" w:color="95CEDD" w:sz="12" w:space="0"/>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cPr>
        <w:tcBorders>
          <w:top w:val="single" w:color="B6DDE8" w:sz="4" w:space="0"/>
          <w:left w:val="single" w:color="B6DDE8" w:sz="4" w:space="0"/>
          <w:bottom w:val="single" w:color="B6DDE8" w:sz="4" w:space="0"/>
          <w:right w:val="single" w:color="B6DDE8" w:sz="4" w:space="0"/>
        </w:tcBorders>
      </w:tcPr>
    </w:tblStylePr>
  </w:style>
  <w:style w:type="table" w:customStyle="1" w:styleId="1235">
    <w:name w:val="Grid Table 1 Light - Accent 65"/>
    <w:basedOn w:val="13"/>
    <w:uiPriority w:val="99"/>
    <w:rPr>
      <w:sz w:val="22"/>
      <w:szCs w:val="22"/>
      <w:lang w:eastAsia="en-US"/>
    </w:rPr>
    <w:tblPr>
      <w:tblBorders>
        <w:top w:val="single" w:color="FBD4B4" w:sz="4" w:space="0"/>
        <w:left w:val="single" w:color="FBD4B4" w:sz="4" w:space="0"/>
        <w:bottom w:val="single" w:color="FBD4B4" w:sz="4" w:space="0"/>
        <w:right w:val="single" w:color="FBD4B4" w:sz="4" w:space="0"/>
        <w:insideH w:val="single" w:color="FBD4B4" w:sz="4" w:space="0"/>
        <w:insideV w:val="single" w:color="FBD4B4" w:sz="4" w:space="0"/>
      </w:tblBorders>
      <w:tblCellMar>
        <w:top w:w="0" w:type="dxa"/>
        <w:left w:w="108" w:type="dxa"/>
        <w:bottom w:w="0" w:type="dxa"/>
        <w:right w:w="108" w:type="dxa"/>
      </w:tblCellMar>
    </w:tblPr>
    <w:tblStylePr w:type="firstRow">
      <w:rPr>
        <w:b/>
        <w:color w:val="404040"/>
      </w:rPr>
      <w:tcPr>
        <w:tcBorders>
          <w:bottom w:val="single" w:color="FAC192" w:sz="12" w:space="0"/>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cPr>
        <w:tcBorders>
          <w:top w:val="single" w:color="FBD4B4" w:sz="4" w:space="0"/>
          <w:left w:val="single" w:color="FBD4B4" w:sz="4" w:space="0"/>
          <w:bottom w:val="single" w:color="FBD4B4" w:sz="4" w:space="0"/>
          <w:right w:val="single" w:color="FBD4B4" w:sz="4" w:space="0"/>
        </w:tcBorders>
      </w:tcPr>
    </w:tblStylePr>
  </w:style>
  <w:style w:type="table" w:customStyle="1" w:styleId="1236">
    <w:name w:val="Таблица-сетка 213"/>
    <w:basedOn w:val="13"/>
    <w:uiPriority w:val="99"/>
    <w:rPr>
      <w:sz w:val="22"/>
      <w:szCs w:val="22"/>
      <w:lang w:eastAsia="en-US"/>
    </w:rPr>
    <w:tblPr>
      <w:tblBorders>
        <w:bottom w:val="single" w:color="6A6A6A" w:sz="4" w:space="0"/>
        <w:insideH w:val="single" w:color="6A6A6A" w:sz="4" w:space="0"/>
        <w:insideV w:val="single" w:color="6A6A6A" w:sz="4" w:space="0"/>
      </w:tblBorders>
      <w:tblCellMar>
        <w:top w:w="0" w:type="dxa"/>
        <w:left w:w="108" w:type="dxa"/>
        <w:bottom w:w="0" w:type="dxa"/>
        <w:right w:w="108" w:type="dxa"/>
      </w:tblCellMar>
    </w:tblPr>
    <w:tblStylePr w:type="firstRow">
      <w:rPr>
        <w:b/>
        <w:color w:val="404040"/>
      </w:rPr>
      <w:tcPr>
        <w:tcBorders>
          <w:top w:val="nil"/>
          <w:left w:val="nil"/>
          <w:bottom w:val="single" w:color="6A6A6A" w:sz="12" w:space="0"/>
          <w:right w:val="nil"/>
        </w:tcBorders>
        <w:shd w:val="clear" w:color="FFFFFF" w:fill="auto"/>
      </w:tcPr>
    </w:tblStylePr>
    <w:tblStylePr w:type="lastRow">
      <w:rPr>
        <w:b/>
        <w:color w:val="404040"/>
      </w:rPr>
      <w:tcPr>
        <w:tcBorders>
          <w:top w:val="single" w:color="6A6A6A"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CBCBCB" w:fill="CBCBCB"/>
      </w:tcPr>
    </w:tblStylePr>
    <w:tblStylePr w:type="band1Horz">
      <w:rPr>
        <w:rFonts w:ascii="Arial" w:hAnsi="Arial"/>
        <w:color w:val="404040"/>
        <w:sz w:val="22"/>
      </w:rPr>
      <w:tcPr>
        <w:shd w:val="clear" w:color="CBCBCB" w:fill="CBCBCB"/>
      </w:tcPr>
    </w:tblStylePr>
  </w:style>
  <w:style w:type="table" w:customStyle="1" w:styleId="1237">
    <w:name w:val="Grid Table 2 - Accent 15"/>
    <w:basedOn w:val="13"/>
    <w:uiPriority w:val="99"/>
    <w:rPr>
      <w:sz w:val="22"/>
      <w:szCs w:val="22"/>
      <w:lang w:eastAsia="en-US"/>
    </w:rPr>
    <w:tblPr>
      <w:tblBorders>
        <w:bottom w:val="single" w:color="5D8AC2" w:sz="4" w:space="0"/>
        <w:insideH w:val="single" w:color="5D8AC2" w:sz="4" w:space="0"/>
        <w:insideV w:val="single" w:color="5D8AC2" w:sz="4" w:space="0"/>
      </w:tblBorders>
      <w:tblCellMar>
        <w:top w:w="0" w:type="dxa"/>
        <w:left w:w="108" w:type="dxa"/>
        <w:bottom w:w="0" w:type="dxa"/>
        <w:right w:w="108" w:type="dxa"/>
      </w:tblCellMar>
    </w:tblPr>
    <w:tblStylePr w:type="firstRow">
      <w:rPr>
        <w:b/>
        <w:color w:val="404040"/>
      </w:rPr>
      <w:tcPr>
        <w:tcBorders>
          <w:top w:val="nil"/>
          <w:left w:val="nil"/>
          <w:bottom w:val="single" w:color="5D8AC2" w:sz="12" w:space="0"/>
          <w:right w:val="nil"/>
        </w:tcBorders>
        <w:shd w:val="clear" w:color="FFFFFF" w:fill="auto"/>
      </w:tcPr>
    </w:tblStylePr>
    <w:tblStylePr w:type="lastRow">
      <w:rPr>
        <w:b/>
        <w:color w:val="404040"/>
      </w:rPr>
      <w:tcPr>
        <w:tcBorders>
          <w:top w:val="single" w:color="5D8AC2"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DAE5F1" w:fill="DAE5F1"/>
      </w:tcPr>
    </w:tblStylePr>
    <w:tblStylePr w:type="band1Horz">
      <w:rPr>
        <w:rFonts w:ascii="Arial" w:hAnsi="Arial"/>
        <w:color w:val="404040"/>
        <w:sz w:val="22"/>
      </w:rPr>
      <w:tcPr>
        <w:shd w:val="clear" w:color="DAE5F1" w:fill="DAE5F1"/>
      </w:tcPr>
    </w:tblStylePr>
  </w:style>
  <w:style w:type="table" w:customStyle="1" w:styleId="1238">
    <w:name w:val="Grid Table 2 - Accent 25"/>
    <w:basedOn w:val="13"/>
    <w:uiPriority w:val="99"/>
    <w:rPr>
      <w:sz w:val="22"/>
      <w:szCs w:val="22"/>
      <w:lang w:eastAsia="en-US"/>
    </w:rPr>
    <w:tblPr>
      <w:tblBorders>
        <w:bottom w:val="single" w:color="D99695" w:sz="4" w:space="0"/>
        <w:insideH w:val="single" w:color="D99695" w:sz="4" w:space="0"/>
        <w:insideV w:val="single" w:color="D99695" w:sz="4" w:space="0"/>
      </w:tblBorders>
      <w:tblCellMar>
        <w:top w:w="0" w:type="dxa"/>
        <w:left w:w="108" w:type="dxa"/>
        <w:bottom w:w="0" w:type="dxa"/>
        <w:right w:w="108" w:type="dxa"/>
      </w:tblCellMar>
    </w:tblPr>
    <w:tblStylePr w:type="firstRow">
      <w:rPr>
        <w:b/>
        <w:color w:val="404040"/>
      </w:rPr>
      <w:tcPr>
        <w:tcBorders>
          <w:top w:val="nil"/>
          <w:left w:val="nil"/>
          <w:bottom w:val="single" w:color="D99695" w:sz="12" w:space="0"/>
          <w:right w:val="nil"/>
        </w:tcBorders>
        <w:shd w:val="clear" w:color="FFFFFF" w:fill="auto"/>
      </w:tcPr>
    </w:tblStylePr>
    <w:tblStylePr w:type="lastRow">
      <w:rPr>
        <w:b/>
        <w:color w:val="404040"/>
      </w:rPr>
      <w:tcPr>
        <w:tcBorders>
          <w:top w:val="single" w:color="D99695"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F2DCDC" w:fill="F2DCDC"/>
      </w:tcPr>
    </w:tblStylePr>
    <w:tblStylePr w:type="band1Horz">
      <w:rPr>
        <w:rFonts w:ascii="Arial" w:hAnsi="Arial"/>
        <w:color w:val="404040"/>
        <w:sz w:val="22"/>
      </w:rPr>
      <w:tcPr>
        <w:shd w:val="clear" w:color="F2DCDC" w:fill="F2DCDC"/>
      </w:tcPr>
    </w:tblStylePr>
  </w:style>
  <w:style w:type="table" w:customStyle="1" w:styleId="1239">
    <w:name w:val="Grid Table 2 - Accent 35"/>
    <w:basedOn w:val="13"/>
    <w:uiPriority w:val="99"/>
    <w:rPr>
      <w:sz w:val="22"/>
      <w:szCs w:val="22"/>
      <w:lang w:eastAsia="en-US"/>
    </w:rPr>
    <w:tblPr>
      <w:tblBorders>
        <w:bottom w:val="single" w:color="9ABB59" w:sz="4" w:space="0"/>
        <w:insideH w:val="single" w:color="9ABB59" w:sz="4" w:space="0"/>
        <w:insideV w:val="single" w:color="9ABB59" w:sz="4" w:space="0"/>
      </w:tblBorders>
      <w:tblCellMar>
        <w:top w:w="0" w:type="dxa"/>
        <w:left w:w="108" w:type="dxa"/>
        <w:bottom w:w="0" w:type="dxa"/>
        <w:right w:w="108" w:type="dxa"/>
      </w:tblCellMar>
    </w:tblPr>
    <w:tblStylePr w:type="firstRow">
      <w:rPr>
        <w:b/>
        <w:color w:val="404040"/>
      </w:rPr>
      <w:tcPr>
        <w:tcBorders>
          <w:top w:val="nil"/>
          <w:left w:val="nil"/>
          <w:bottom w:val="single" w:color="9ABB59" w:sz="12" w:space="0"/>
          <w:right w:val="nil"/>
        </w:tcBorders>
        <w:shd w:val="clear" w:color="FFFFFF" w:fill="auto"/>
      </w:tcPr>
    </w:tblStylePr>
    <w:tblStylePr w:type="lastRow">
      <w:rPr>
        <w:b/>
        <w:color w:val="404040"/>
      </w:rPr>
      <w:tcPr>
        <w:tcBorders>
          <w:top w:val="single" w:color="9ABB59"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EAF1DC" w:fill="EAF1DC"/>
      </w:tcPr>
    </w:tblStylePr>
    <w:tblStylePr w:type="band1Horz">
      <w:rPr>
        <w:rFonts w:ascii="Arial" w:hAnsi="Arial"/>
        <w:color w:val="404040"/>
        <w:sz w:val="22"/>
      </w:rPr>
      <w:tcPr>
        <w:shd w:val="clear" w:color="EAF1DC" w:fill="EAF1DC"/>
      </w:tcPr>
    </w:tblStylePr>
  </w:style>
  <w:style w:type="table" w:customStyle="1" w:styleId="1240">
    <w:name w:val="Grid Table 2 - Accent 45"/>
    <w:basedOn w:val="13"/>
    <w:uiPriority w:val="99"/>
    <w:rPr>
      <w:sz w:val="22"/>
      <w:szCs w:val="22"/>
      <w:lang w:eastAsia="en-US"/>
    </w:rPr>
    <w:tblPr>
      <w:tblBorders>
        <w:bottom w:val="single" w:color="B2A1C6" w:sz="4" w:space="0"/>
        <w:insideH w:val="single" w:color="B2A1C6" w:sz="4" w:space="0"/>
        <w:insideV w:val="single" w:color="B2A1C6" w:sz="4" w:space="0"/>
      </w:tblBorders>
      <w:tblCellMar>
        <w:top w:w="0" w:type="dxa"/>
        <w:left w:w="108" w:type="dxa"/>
        <w:bottom w:w="0" w:type="dxa"/>
        <w:right w:w="108" w:type="dxa"/>
      </w:tblCellMar>
    </w:tblPr>
    <w:tblStylePr w:type="firstRow">
      <w:rPr>
        <w:b/>
        <w:color w:val="404040"/>
      </w:rPr>
      <w:tcPr>
        <w:tcBorders>
          <w:top w:val="nil"/>
          <w:left w:val="nil"/>
          <w:bottom w:val="single" w:color="B2A1C6" w:sz="12" w:space="0"/>
          <w:right w:val="nil"/>
        </w:tcBorders>
        <w:shd w:val="clear" w:color="FFFFFF" w:fill="auto"/>
      </w:tcPr>
    </w:tblStylePr>
    <w:tblStylePr w:type="lastRow">
      <w:rPr>
        <w:b/>
        <w:color w:val="404040"/>
      </w:rPr>
      <w:tcPr>
        <w:tcBorders>
          <w:top w:val="single" w:color="B2A1C6"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E5DFEC" w:fill="E5DFEC"/>
      </w:tcPr>
    </w:tblStylePr>
    <w:tblStylePr w:type="band1Horz">
      <w:rPr>
        <w:rFonts w:ascii="Arial" w:hAnsi="Arial"/>
        <w:color w:val="404040"/>
        <w:sz w:val="22"/>
      </w:rPr>
      <w:tcPr>
        <w:shd w:val="clear" w:color="E5DFEC" w:fill="E5DFEC"/>
      </w:tcPr>
    </w:tblStylePr>
  </w:style>
  <w:style w:type="table" w:customStyle="1" w:styleId="1241">
    <w:name w:val="Grid Table 2 - Accent 55"/>
    <w:basedOn w:val="13"/>
    <w:uiPriority w:val="99"/>
    <w:rPr>
      <w:sz w:val="22"/>
      <w:szCs w:val="22"/>
      <w:lang w:eastAsia="en-US"/>
    </w:rPr>
    <w:tblPr>
      <w:tblBorders>
        <w:bottom w:val="single" w:color="4BACC6" w:sz="4" w:space="0"/>
        <w:insideH w:val="single" w:color="4BACC6" w:sz="4" w:space="0"/>
        <w:insideV w:val="single" w:color="4BACC6" w:sz="4" w:space="0"/>
      </w:tblBorders>
      <w:tblCellMar>
        <w:top w:w="0" w:type="dxa"/>
        <w:left w:w="108" w:type="dxa"/>
        <w:bottom w:w="0" w:type="dxa"/>
        <w:right w:w="108" w:type="dxa"/>
      </w:tblCellMar>
    </w:tblPr>
    <w:tblStylePr w:type="firstRow">
      <w:rPr>
        <w:b/>
        <w:color w:val="404040"/>
      </w:rPr>
      <w:tcPr>
        <w:tcBorders>
          <w:top w:val="nil"/>
          <w:left w:val="nil"/>
          <w:bottom w:val="single" w:color="4BACC6" w:sz="12" w:space="0"/>
          <w:right w:val="nil"/>
        </w:tcBorders>
        <w:shd w:val="clear" w:color="FFFFFF" w:fill="auto"/>
      </w:tcPr>
    </w:tblStylePr>
    <w:tblStylePr w:type="lastRow">
      <w:rPr>
        <w:b/>
        <w:color w:val="404040"/>
      </w:rPr>
      <w:tcPr>
        <w:tcBorders>
          <w:top w:val="single" w:color="4BACC6"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DAEEF3" w:fill="DAEEF3"/>
      </w:tcPr>
    </w:tblStylePr>
    <w:tblStylePr w:type="band1Horz">
      <w:rPr>
        <w:rFonts w:ascii="Arial" w:hAnsi="Arial"/>
        <w:color w:val="404040"/>
        <w:sz w:val="22"/>
      </w:rPr>
      <w:tcPr>
        <w:shd w:val="clear" w:color="DAEEF3" w:fill="DAEEF3"/>
      </w:tcPr>
    </w:tblStylePr>
  </w:style>
  <w:style w:type="table" w:customStyle="1" w:styleId="1242">
    <w:name w:val="Grid Table 2 - Accent 65"/>
    <w:basedOn w:val="13"/>
    <w:uiPriority w:val="99"/>
    <w:rPr>
      <w:sz w:val="22"/>
      <w:szCs w:val="22"/>
      <w:lang w:eastAsia="en-US"/>
    </w:rPr>
    <w:tblPr>
      <w:tblBorders>
        <w:bottom w:val="single" w:color="F79646" w:sz="4" w:space="0"/>
        <w:insideH w:val="single" w:color="F79646" w:sz="4" w:space="0"/>
        <w:insideV w:val="single" w:color="F79646" w:sz="4" w:space="0"/>
      </w:tblBorders>
      <w:tblCellMar>
        <w:top w:w="0" w:type="dxa"/>
        <w:left w:w="108" w:type="dxa"/>
        <w:bottom w:w="0" w:type="dxa"/>
        <w:right w:w="108" w:type="dxa"/>
      </w:tblCellMar>
    </w:tblPr>
    <w:tblStylePr w:type="firstRow">
      <w:rPr>
        <w:b/>
        <w:color w:val="404040"/>
      </w:rPr>
      <w:tcPr>
        <w:tcBorders>
          <w:top w:val="nil"/>
          <w:left w:val="nil"/>
          <w:bottom w:val="single" w:color="F79646" w:sz="12" w:space="0"/>
          <w:right w:val="nil"/>
        </w:tcBorders>
        <w:shd w:val="clear" w:color="FFFFFF" w:fill="auto"/>
      </w:tcPr>
    </w:tblStylePr>
    <w:tblStylePr w:type="lastRow">
      <w:rPr>
        <w:b/>
        <w:color w:val="404040"/>
      </w:rPr>
      <w:tcPr>
        <w:tcBorders>
          <w:top w:val="single" w:color="F79646"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FDE9D8" w:fill="FDE9D8"/>
      </w:tcPr>
    </w:tblStylePr>
    <w:tblStylePr w:type="band1Horz">
      <w:rPr>
        <w:rFonts w:ascii="Arial" w:hAnsi="Arial"/>
        <w:color w:val="404040"/>
        <w:sz w:val="22"/>
      </w:rPr>
      <w:tcPr>
        <w:shd w:val="clear" w:color="FDE9D8" w:fill="FDE9D8"/>
      </w:tcPr>
    </w:tblStylePr>
  </w:style>
  <w:style w:type="table" w:customStyle="1" w:styleId="1243">
    <w:name w:val="Таблица-сетка 313"/>
    <w:basedOn w:val="13"/>
    <w:uiPriority w:val="99"/>
    <w:rPr>
      <w:sz w:val="22"/>
      <w:szCs w:val="22"/>
      <w:lang w:eastAsia="en-US"/>
    </w:rPr>
    <w:tblPr>
      <w:tblBorders>
        <w:bottom w:val="single" w:color="6A6A6A" w:sz="4" w:space="0"/>
        <w:insideH w:val="single" w:color="6A6A6A" w:sz="4" w:space="0"/>
        <w:insideV w:val="single" w:color="6A6A6A" w:sz="4" w:space="0"/>
      </w:tblBorders>
      <w:tblCellMar>
        <w:top w:w="0" w:type="dxa"/>
        <w:left w:w="108" w:type="dxa"/>
        <w:bottom w:w="0" w:type="dxa"/>
        <w:right w:w="108" w:type="dxa"/>
      </w:tblCellMar>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rFonts w:ascii="Arial" w:hAnsi="Arial"/>
        <w:color w:val="404040"/>
        <w:sz w:val="22"/>
      </w:rPr>
      <w:tcPr>
        <w:shd w:val="clear" w:color="CBCBCB" w:fill="CBCBCB"/>
      </w:tcPr>
    </w:tblStylePr>
    <w:tblStylePr w:type="band1Horz">
      <w:rPr>
        <w:rFonts w:ascii="Arial" w:hAnsi="Arial"/>
        <w:color w:val="404040"/>
        <w:sz w:val="22"/>
      </w:rPr>
      <w:tcPr>
        <w:shd w:val="clear" w:color="CBCBCB" w:fill="CBCBCB"/>
      </w:tcPr>
    </w:tblStylePr>
  </w:style>
  <w:style w:type="table" w:customStyle="1" w:styleId="1244">
    <w:name w:val="Grid Table 3 - Accent 15"/>
    <w:basedOn w:val="13"/>
    <w:uiPriority w:val="99"/>
    <w:rPr>
      <w:sz w:val="22"/>
      <w:szCs w:val="22"/>
      <w:lang w:eastAsia="en-US"/>
    </w:rPr>
    <w:tblPr>
      <w:tblBorders>
        <w:bottom w:val="single" w:color="5D8AC2" w:sz="4" w:space="0"/>
        <w:insideH w:val="single" w:color="5D8AC2" w:sz="4" w:space="0"/>
        <w:insideV w:val="single" w:color="5D8AC2" w:sz="4" w:space="0"/>
      </w:tblBorders>
      <w:tblCellMar>
        <w:top w:w="0" w:type="dxa"/>
        <w:left w:w="108" w:type="dxa"/>
        <w:bottom w:w="0" w:type="dxa"/>
        <w:right w:w="108" w:type="dxa"/>
      </w:tblCellMar>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rFonts w:ascii="Arial" w:hAnsi="Arial"/>
        <w:color w:val="404040"/>
        <w:sz w:val="22"/>
      </w:rPr>
      <w:tcPr>
        <w:shd w:val="clear" w:color="DAE5F1" w:fill="DAE5F1"/>
      </w:tcPr>
    </w:tblStylePr>
    <w:tblStylePr w:type="band1Horz">
      <w:rPr>
        <w:rFonts w:ascii="Arial" w:hAnsi="Arial"/>
        <w:color w:val="404040"/>
        <w:sz w:val="22"/>
      </w:rPr>
      <w:tcPr>
        <w:shd w:val="clear" w:color="DAE5F1" w:fill="DAE5F1"/>
      </w:tcPr>
    </w:tblStylePr>
  </w:style>
  <w:style w:type="table" w:customStyle="1" w:styleId="1245">
    <w:name w:val="Grid Table 3 - Accent 25"/>
    <w:basedOn w:val="13"/>
    <w:uiPriority w:val="99"/>
    <w:rPr>
      <w:sz w:val="22"/>
      <w:szCs w:val="22"/>
      <w:lang w:eastAsia="en-US"/>
    </w:rPr>
    <w:tblPr>
      <w:tblBorders>
        <w:bottom w:val="single" w:color="D99695" w:sz="4" w:space="0"/>
        <w:insideH w:val="single" w:color="D99695" w:sz="4" w:space="0"/>
        <w:insideV w:val="single" w:color="D99695" w:sz="4" w:space="0"/>
      </w:tblBorders>
      <w:tblCellMar>
        <w:top w:w="0" w:type="dxa"/>
        <w:left w:w="108" w:type="dxa"/>
        <w:bottom w:w="0" w:type="dxa"/>
        <w:right w:w="108" w:type="dxa"/>
      </w:tblCellMar>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rFonts w:ascii="Arial" w:hAnsi="Arial"/>
        <w:color w:val="404040"/>
        <w:sz w:val="22"/>
      </w:rPr>
      <w:tcPr>
        <w:shd w:val="clear" w:color="F2DCDC" w:fill="F2DCDC"/>
      </w:tcPr>
    </w:tblStylePr>
    <w:tblStylePr w:type="band1Horz">
      <w:rPr>
        <w:rFonts w:ascii="Arial" w:hAnsi="Arial"/>
        <w:color w:val="404040"/>
        <w:sz w:val="22"/>
      </w:rPr>
      <w:tcPr>
        <w:shd w:val="clear" w:color="F2DCDC" w:fill="F2DCDC"/>
      </w:tcPr>
    </w:tblStylePr>
  </w:style>
  <w:style w:type="table" w:customStyle="1" w:styleId="1246">
    <w:name w:val="Grid Table 3 - Accent 35"/>
    <w:basedOn w:val="13"/>
    <w:uiPriority w:val="99"/>
    <w:rPr>
      <w:sz w:val="22"/>
      <w:szCs w:val="22"/>
      <w:lang w:eastAsia="en-US"/>
    </w:rPr>
    <w:tblPr>
      <w:tblBorders>
        <w:bottom w:val="single" w:color="9ABB59" w:sz="4" w:space="0"/>
        <w:insideH w:val="single" w:color="9ABB59" w:sz="4" w:space="0"/>
        <w:insideV w:val="single" w:color="9ABB59" w:sz="4" w:space="0"/>
      </w:tblBorders>
      <w:tblCellMar>
        <w:top w:w="0" w:type="dxa"/>
        <w:left w:w="108" w:type="dxa"/>
        <w:bottom w:w="0" w:type="dxa"/>
        <w:right w:w="108" w:type="dxa"/>
      </w:tblCellMar>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rFonts w:ascii="Arial" w:hAnsi="Arial"/>
        <w:color w:val="404040"/>
        <w:sz w:val="22"/>
      </w:rPr>
      <w:tcPr>
        <w:shd w:val="clear" w:color="EAF1DC" w:fill="EAF1DC"/>
      </w:tcPr>
    </w:tblStylePr>
    <w:tblStylePr w:type="band1Horz">
      <w:rPr>
        <w:rFonts w:ascii="Arial" w:hAnsi="Arial"/>
        <w:color w:val="404040"/>
        <w:sz w:val="22"/>
      </w:rPr>
      <w:tcPr>
        <w:shd w:val="clear" w:color="EAF1DC" w:fill="EAF1DC"/>
      </w:tcPr>
    </w:tblStylePr>
  </w:style>
  <w:style w:type="table" w:customStyle="1" w:styleId="1247">
    <w:name w:val="Grid Table 3 - Accent 45"/>
    <w:basedOn w:val="13"/>
    <w:uiPriority w:val="99"/>
    <w:rPr>
      <w:sz w:val="22"/>
      <w:szCs w:val="22"/>
      <w:lang w:eastAsia="en-US"/>
    </w:rPr>
    <w:tblPr>
      <w:tblBorders>
        <w:bottom w:val="single" w:color="B2A1C6" w:sz="4" w:space="0"/>
        <w:insideH w:val="single" w:color="B2A1C6" w:sz="4" w:space="0"/>
        <w:insideV w:val="single" w:color="B2A1C6" w:sz="4" w:space="0"/>
      </w:tblBorders>
      <w:tblCellMar>
        <w:top w:w="0" w:type="dxa"/>
        <w:left w:w="108" w:type="dxa"/>
        <w:bottom w:w="0" w:type="dxa"/>
        <w:right w:w="108" w:type="dxa"/>
      </w:tblCellMar>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rFonts w:ascii="Arial" w:hAnsi="Arial"/>
        <w:color w:val="404040"/>
        <w:sz w:val="22"/>
      </w:rPr>
      <w:tcPr>
        <w:shd w:val="clear" w:color="E5DFEC" w:fill="E5DFEC"/>
      </w:tcPr>
    </w:tblStylePr>
    <w:tblStylePr w:type="band1Horz">
      <w:rPr>
        <w:rFonts w:ascii="Arial" w:hAnsi="Arial"/>
        <w:color w:val="404040"/>
        <w:sz w:val="22"/>
      </w:rPr>
      <w:tcPr>
        <w:shd w:val="clear" w:color="E5DFEC" w:fill="E5DFEC"/>
      </w:tcPr>
    </w:tblStylePr>
  </w:style>
  <w:style w:type="table" w:customStyle="1" w:styleId="1248">
    <w:name w:val="Grid Table 3 - Accent 55"/>
    <w:basedOn w:val="13"/>
    <w:uiPriority w:val="99"/>
    <w:rPr>
      <w:sz w:val="22"/>
      <w:szCs w:val="22"/>
      <w:lang w:eastAsia="en-US"/>
    </w:rPr>
    <w:tblPr>
      <w:tblBorders>
        <w:bottom w:val="single" w:color="4BACC6" w:sz="4" w:space="0"/>
        <w:insideH w:val="single" w:color="4BACC6" w:sz="4" w:space="0"/>
        <w:insideV w:val="single" w:color="4BACC6" w:sz="4" w:space="0"/>
      </w:tblBorders>
      <w:tblCellMar>
        <w:top w:w="0" w:type="dxa"/>
        <w:left w:w="108" w:type="dxa"/>
        <w:bottom w:w="0" w:type="dxa"/>
        <w:right w:w="108" w:type="dxa"/>
      </w:tblCellMar>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rFonts w:ascii="Arial" w:hAnsi="Arial"/>
        <w:color w:val="404040"/>
        <w:sz w:val="22"/>
      </w:rPr>
      <w:tcPr>
        <w:shd w:val="clear" w:color="DAEEF3" w:fill="DAEEF3"/>
      </w:tcPr>
    </w:tblStylePr>
    <w:tblStylePr w:type="band1Horz">
      <w:rPr>
        <w:rFonts w:ascii="Arial" w:hAnsi="Arial"/>
        <w:color w:val="404040"/>
        <w:sz w:val="22"/>
      </w:rPr>
      <w:tcPr>
        <w:shd w:val="clear" w:color="DAEEF3" w:fill="DAEEF3"/>
      </w:tcPr>
    </w:tblStylePr>
  </w:style>
  <w:style w:type="table" w:customStyle="1" w:styleId="1249">
    <w:name w:val="Grid Table 3 - Accent 65"/>
    <w:basedOn w:val="13"/>
    <w:uiPriority w:val="99"/>
    <w:rPr>
      <w:sz w:val="22"/>
      <w:szCs w:val="22"/>
      <w:lang w:eastAsia="en-US"/>
    </w:rPr>
    <w:tblPr>
      <w:tblBorders>
        <w:bottom w:val="single" w:color="F79646" w:sz="4" w:space="0"/>
        <w:insideH w:val="single" w:color="F79646" w:sz="4" w:space="0"/>
        <w:insideV w:val="single" w:color="F79646" w:sz="4" w:space="0"/>
      </w:tblBorders>
      <w:tblCellMar>
        <w:top w:w="0" w:type="dxa"/>
        <w:left w:w="108" w:type="dxa"/>
        <w:bottom w:w="0" w:type="dxa"/>
        <w:right w:w="108" w:type="dxa"/>
      </w:tblCellMar>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rFonts w:ascii="Arial" w:hAnsi="Arial"/>
        <w:color w:val="404040"/>
        <w:sz w:val="22"/>
      </w:rPr>
      <w:tcPr>
        <w:shd w:val="clear" w:color="FDE9D8" w:fill="FDE9D8"/>
      </w:tcPr>
    </w:tblStylePr>
    <w:tblStylePr w:type="band1Horz">
      <w:rPr>
        <w:rFonts w:ascii="Arial" w:hAnsi="Arial"/>
        <w:color w:val="404040"/>
        <w:sz w:val="22"/>
      </w:rPr>
      <w:tcPr>
        <w:shd w:val="clear" w:color="FDE9D8" w:fill="FDE9D8"/>
      </w:tcPr>
    </w:tblStylePr>
  </w:style>
  <w:style w:type="table" w:customStyle="1" w:styleId="1250">
    <w:name w:val="Таблица-сетка 413"/>
    <w:basedOn w:val="13"/>
    <w:uiPriority w:val="59"/>
    <w:rPr>
      <w:sz w:val="22"/>
      <w:szCs w:val="22"/>
      <w:lang w:eastAsia="en-US"/>
    </w:rPr>
    <w:tblPr>
      <w:tblBorders>
        <w:top w:val="single" w:color="6F6F6F" w:sz="4" w:space="0"/>
        <w:left w:val="single" w:color="6F6F6F" w:sz="4" w:space="0"/>
        <w:bottom w:val="single" w:color="6F6F6F" w:sz="4" w:space="0"/>
        <w:right w:val="single" w:color="6F6F6F" w:sz="4" w:space="0"/>
        <w:insideH w:val="single" w:color="6F6F6F" w:sz="4" w:space="0"/>
        <w:insideV w:val="single" w:color="6F6F6F" w:sz="4" w:space="0"/>
      </w:tblBorders>
      <w:tblCellMar>
        <w:top w:w="0" w:type="dxa"/>
        <w:left w:w="108" w:type="dxa"/>
        <w:bottom w:w="0" w:type="dxa"/>
        <w:right w:w="108" w:type="dxa"/>
      </w:tblCellMar>
    </w:tblPr>
    <w:tblStylePr w:type="firstRow">
      <w:rPr>
        <w:rFonts w:ascii="Arial" w:hAnsi="Arial"/>
        <w:b/>
        <w:color w:val="FFFFFF"/>
        <w:sz w:val="22"/>
      </w:rPr>
      <w:tcPr>
        <w:tcBorders>
          <w:top w:val="single" w:color="000000" w:sz="4" w:space="0"/>
          <w:left w:val="single" w:color="000000" w:sz="4" w:space="0"/>
          <w:bottom w:val="single" w:color="000000" w:sz="4" w:space="0"/>
          <w:right w:val="single" w:color="000000" w:sz="4" w:space="0"/>
        </w:tcBorders>
        <w:shd w:val="clear" w:color="000000" w:fill="000000"/>
      </w:tcPr>
    </w:tblStylePr>
    <w:tblStylePr w:type="lastRow">
      <w:rPr>
        <w:b/>
        <w:color w:val="404040"/>
      </w:rPr>
      <w:tcPr>
        <w:tcBorders>
          <w:top w:val="single" w:color="000000"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CBCBCB" w:fill="CBCBCB"/>
      </w:tcPr>
    </w:tblStylePr>
    <w:tblStylePr w:type="band1Horz">
      <w:rPr>
        <w:rFonts w:ascii="Arial" w:hAnsi="Arial"/>
        <w:color w:val="404040"/>
        <w:sz w:val="22"/>
      </w:rPr>
      <w:tcPr>
        <w:shd w:val="clear" w:color="CBCBCB" w:fill="CBCBCB"/>
      </w:tcPr>
    </w:tblStylePr>
  </w:style>
  <w:style w:type="table" w:customStyle="1" w:styleId="1251">
    <w:name w:val="Grid Table 4 - Accent 15"/>
    <w:basedOn w:val="13"/>
    <w:uiPriority w:val="59"/>
    <w:rPr>
      <w:sz w:val="22"/>
      <w:szCs w:val="22"/>
      <w:lang w:eastAsia="en-US"/>
    </w:rPr>
    <w:tblPr>
      <w:tblBorders>
        <w:top w:val="single" w:color="9BB7D9" w:sz="4" w:space="0"/>
        <w:left w:val="single" w:color="9BB7D9" w:sz="4" w:space="0"/>
        <w:bottom w:val="single" w:color="9BB7D9" w:sz="4" w:space="0"/>
        <w:right w:val="single" w:color="9BB7D9" w:sz="4" w:space="0"/>
        <w:insideH w:val="single" w:color="9BB7D9" w:sz="4" w:space="0"/>
        <w:insideV w:val="single" w:color="9BB7D9" w:sz="4" w:space="0"/>
      </w:tblBorders>
      <w:tblCellMar>
        <w:top w:w="0" w:type="dxa"/>
        <w:left w:w="108" w:type="dxa"/>
        <w:bottom w:w="0" w:type="dxa"/>
        <w:right w:w="108" w:type="dxa"/>
      </w:tblCellMar>
    </w:tblPr>
    <w:tblStylePr w:type="firstRow">
      <w:rPr>
        <w:rFonts w:ascii="Arial" w:hAnsi="Arial"/>
        <w:b/>
        <w:color w:val="FFFFFF"/>
        <w:sz w:val="22"/>
      </w:rPr>
      <w:tcPr>
        <w:tcBorders>
          <w:top w:val="single" w:color="5D8AC2" w:sz="4" w:space="0"/>
          <w:left w:val="single" w:color="5D8AC2" w:sz="4" w:space="0"/>
          <w:bottom w:val="single" w:color="5D8AC2" w:sz="4" w:space="0"/>
          <w:right w:val="single" w:color="5D8AC2" w:sz="4" w:space="0"/>
        </w:tcBorders>
        <w:shd w:val="clear" w:color="5D8AC2" w:fill="5D8AC2"/>
      </w:tcPr>
    </w:tblStylePr>
    <w:tblStylePr w:type="lastRow">
      <w:rPr>
        <w:b/>
        <w:color w:val="404040"/>
      </w:rPr>
      <w:tcPr>
        <w:tcBorders>
          <w:top w:val="single" w:color="5D8AC2"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DCE6F2" w:fill="DCE6F2"/>
      </w:tcPr>
    </w:tblStylePr>
    <w:tblStylePr w:type="band1Horz">
      <w:rPr>
        <w:rFonts w:ascii="Arial" w:hAnsi="Arial"/>
        <w:color w:val="404040"/>
        <w:sz w:val="22"/>
      </w:rPr>
      <w:tcPr>
        <w:shd w:val="clear" w:color="DCE6F2" w:fill="DCE6F2"/>
      </w:tcPr>
    </w:tblStylePr>
  </w:style>
  <w:style w:type="table" w:customStyle="1" w:styleId="1252">
    <w:name w:val="Grid Table 4 - Accent 25"/>
    <w:basedOn w:val="13"/>
    <w:uiPriority w:val="59"/>
    <w:rPr>
      <w:sz w:val="22"/>
      <w:szCs w:val="22"/>
      <w:lang w:eastAsia="en-US"/>
    </w:rPr>
    <w:tblPr>
      <w:tblBorders>
        <w:top w:val="single" w:color="DB9B9A" w:sz="4" w:space="0"/>
        <w:left w:val="single" w:color="DB9B9A" w:sz="4" w:space="0"/>
        <w:bottom w:val="single" w:color="DB9B9A" w:sz="4" w:space="0"/>
        <w:right w:val="single" w:color="DB9B9A" w:sz="4" w:space="0"/>
        <w:insideH w:val="single" w:color="DB9B9A" w:sz="4" w:space="0"/>
        <w:insideV w:val="single" w:color="DB9B9A" w:sz="4" w:space="0"/>
      </w:tblBorders>
      <w:tblCellMar>
        <w:top w:w="0" w:type="dxa"/>
        <w:left w:w="108" w:type="dxa"/>
        <w:bottom w:w="0" w:type="dxa"/>
        <w:right w:w="108" w:type="dxa"/>
      </w:tblCellMar>
    </w:tblPr>
    <w:tblStylePr w:type="firstRow">
      <w:rPr>
        <w:rFonts w:ascii="Arial" w:hAnsi="Arial"/>
        <w:b/>
        <w:color w:val="FFFFFF"/>
        <w:sz w:val="22"/>
      </w:rPr>
      <w:tcPr>
        <w:tcBorders>
          <w:top w:val="single" w:color="D99695" w:sz="4" w:space="0"/>
          <w:left w:val="single" w:color="D99695" w:sz="4" w:space="0"/>
          <w:bottom w:val="single" w:color="D99695" w:sz="4" w:space="0"/>
          <w:right w:val="single" w:color="D99695" w:sz="4" w:space="0"/>
        </w:tcBorders>
        <w:shd w:val="clear" w:color="D99695" w:fill="D99695"/>
      </w:tcPr>
    </w:tblStylePr>
    <w:tblStylePr w:type="lastRow">
      <w:rPr>
        <w:b/>
        <w:color w:val="404040"/>
      </w:rPr>
      <w:tcPr>
        <w:tcBorders>
          <w:top w:val="single" w:color="D99695"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F2DCDC" w:fill="F2DCDC"/>
      </w:tcPr>
    </w:tblStylePr>
    <w:tblStylePr w:type="band1Horz">
      <w:rPr>
        <w:rFonts w:ascii="Arial" w:hAnsi="Arial"/>
        <w:color w:val="404040"/>
        <w:sz w:val="22"/>
      </w:rPr>
      <w:tcPr>
        <w:shd w:val="clear" w:color="F2DCDC" w:fill="F2DCDC"/>
      </w:tcPr>
    </w:tblStylePr>
  </w:style>
  <w:style w:type="table" w:customStyle="1" w:styleId="1253">
    <w:name w:val="Grid Table 4 - Accent 35"/>
    <w:basedOn w:val="13"/>
    <w:uiPriority w:val="59"/>
    <w:rPr>
      <w:sz w:val="22"/>
      <w:szCs w:val="22"/>
      <w:lang w:eastAsia="en-US"/>
    </w:rPr>
    <w:tblPr>
      <w:tblBorders>
        <w:top w:val="single" w:color="C6D8A1" w:sz="4" w:space="0"/>
        <w:left w:val="single" w:color="C6D8A1" w:sz="4" w:space="0"/>
        <w:bottom w:val="single" w:color="C6D8A1" w:sz="4" w:space="0"/>
        <w:right w:val="single" w:color="C6D8A1" w:sz="4" w:space="0"/>
        <w:insideH w:val="single" w:color="C6D8A1" w:sz="4" w:space="0"/>
        <w:insideV w:val="single" w:color="C6D8A1" w:sz="4" w:space="0"/>
      </w:tblBorders>
      <w:tblCellMar>
        <w:top w:w="0" w:type="dxa"/>
        <w:left w:w="108" w:type="dxa"/>
        <w:bottom w:w="0" w:type="dxa"/>
        <w:right w:w="108" w:type="dxa"/>
      </w:tblCellMar>
    </w:tblPr>
    <w:tblStylePr w:type="firstRow">
      <w:rPr>
        <w:rFonts w:ascii="Arial" w:hAnsi="Arial"/>
        <w:b/>
        <w:color w:val="FFFFFF"/>
        <w:sz w:val="22"/>
      </w:rPr>
      <w:tcPr>
        <w:tcBorders>
          <w:top w:val="single" w:color="9ABB59" w:sz="4" w:space="0"/>
          <w:left w:val="single" w:color="9ABB59" w:sz="4" w:space="0"/>
          <w:bottom w:val="single" w:color="9ABB59" w:sz="4" w:space="0"/>
          <w:right w:val="single" w:color="9ABB59" w:sz="4" w:space="0"/>
        </w:tcBorders>
        <w:shd w:val="clear" w:color="9ABB59" w:fill="9ABB59"/>
      </w:tcPr>
    </w:tblStylePr>
    <w:tblStylePr w:type="lastRow">
      <w:rPr>
        <w:b/>
        <w:color w:val="404040"/>
      </w:rPr>
      <w:tcPr>
        <w:tcBorders>
          <w:top w:val="single" w:color="9ABB59"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EAF1DC" w:fill="EAF1DC"/>
      </w:tcPr>
    </w:tblStylePr>
    <w:tblStylePr w:type="band1Horz">
      <w:rPr>
        <w:rFonts w:ascii="Arial" w:hAnsi="Arial"/>
        <w:color w:val="404040"/>
        <w:sz w:val="22"/>
      </w:rPr>
      <w:tcPr>
        <w:shd w:val="clear" w:color="EAF1DC" w:fill="EAF1DC"/>
      </w:tcPr>
    </w:tblStylePr>
  </w:style>
  <w:style w:type="table" w:customStyle="1" w:styleId="1254">
    <w:name w:val="Grid Table 4 - Accent 45"/>
    <w:basedOn w:val="13"/>
    <w:uiPriority w:val="59"/>
    <w:rPr>
      <w:sz w:val="22"/>
      <w:szCs w:val="22"/>
      <w:lang w:eastAsia="en-US"/>
    </w:rPr>
    <w:tblPr>
      <w:tblBorders>
        <w:top w:val="single" w:color="B7A7CA" w:sz="4" w:space="0"/>
        <w:left w:val="single" w:color="B7A7CA" w:sz="4" w:space="0"/>
        <w:bottom w:val="single" w:color="B7A7CA" w:sz="4" w:space="0"/>
        <w:right w:val="single" w:color="B7A7CA" w:sz="4" w:space="0"/>
        <w:insideH w:val="single" w:color="B7A7CA" w:sz="4" w:space="0"/>
        <w:insideV w:val="single" w:color="B7A7CA" w:sz="4" w:space="0"/>
      </w:tblBorders>
      <w:tblCellMar>
        <w:top w:w="0" w:type="dxa"/>
        <w:left w:w="108" w:type="dxa"/>
        <w:bottom w:w="0" w:type="dxa"/>
        <w:right w:w="108" w:type="dxa"/>
      </w:tblCellMar>
    </w:tblPr>
    <w:tblStylePr w:type="firstRow">
      <w:rPr>
        <w:rFonts w:ascii="Arial" w:hAnsi="Arial"/>
        <w:b/>
        <w:color w:val="FFFFFF"/>
        <w:sz w:val="22"/>
      </w:rPr>
      <w:tcPr>
        <w:tcBorders>
          <w:top w:val="single" w:color="B2A1C6" w:sz="4" w:space="0"/>
          <w:left w:val="single" w:color="B2A1C6" w:sz="4" w:space="0"/>
          <w:bottom w:val="single" w:color="B2A1C6" w:sz="4" w:space="0"/>
          <w:right w:val="single" w:color="B2A1C6" w:sz="4" w:space="0"/>
        </w:tcBorders>
        <w:shd w:val="clear" w:color="B2A1C6" w:fill="B2A1C6"/>
      </w:tcPr>
    </w:tblStylePr>
    <w:tblStylePr w:type="lastRow">
      <w:rPr>
        <w:b/>
        <w:color w:val="404040"/>
      </w:rPr>
      <w:tcPr>
        <w:tcBorders>
          <w:top w:val="single" w:color="B2A1C6"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E5DFEC" w:fill="E5DFEC"/>
      </w:tcPr>
    </w:tblStylePr>
    <w:tblStylePr w:type="band1Horz">
      <w:rPr>
        <w:rFonts w:ascii="Arial" w:hAnsi="Arial"/>
        <w:color w:val="404040"/>
        <w:sz w:val="22"/>
      </w:rPr>
      <w:tcPr>
        <w:shd w:val="clear" w:color="E5DFEC" w:fill="E5DFEC"/>
      </w:tcPr>
    </w:tblStylePr>
  </w:style>
  <w:style w:type="table" w:customStyle="1" w:styleId="1255">
    <w:name w:val="Grid Table 4 - Accent 55"/>
    <w:basedOn w:val="13"/>
    <w:uiPriority w:val="59"/>
    <w:rPr>
      <w:sz w:val="22"/>
      <w:szCs w:val="22"/>
      <w:lang w:eastAsia="en-US"/>
    </w:rPr>
    <w:tblPr>
      <w:tblBorders>
        <w:top w:val="single" w:color="99D0DE" w:sz="4" w:space="0"/>
        <w:left w:val="single" w:color="99D0DE" w:sz="4" w:space="0"/>
        <w:bottom w:val="single" w:color="99D0DE" w:sz="4" w:space="0"/>
        <w:right w:val="single" w:color="99D0DE" w:sz="4" w:space="0"/>
        <w:insideH w:val="single" w:color="99D0DE" w:sz="4" w:space="0"/>
        <w:insideV w:val="single" w:color="99D0DE" w:sz="4" w:space="0"/>
      </w:tblBorders>
      <w:tblCellMar>
        <w:top w:w="0" w:type="dxa"/>
        <w:left w:w="108" w:type="dxa"/>
        <w:bottom w:w="0" w:type="dxa"/>
        <w:right w:w="108" w:type="dxa"/>
      </w:tblCellMar>
    </w:tblPr>
    <w:tblStylePr w:type="firstRow">
      <w:rPr>
        <w:rFonts w:ascii="Arial" w:hAnsi="Arial"/>
        <w:b/>
        <w:color w:val="FFFFFF"/>
        <w:sz w:val="22"/>
      </w:rPr>
      <w:tcPr>
        <w:tcBorders>
          <w:top w:val="single" w:color="4BACC6" w:sz="4" w:space="0"/>
          <w:left w:val="single" w:color="4BACC6" w:sz="4" w:space="0"/>
          <w:bottom w:val="single" w:color="4BACC6" w:sz="4" w:space="0"/>
          <w:right w:val="single" w:color="4BACC6" w:sz="4" w:space="0"/>
        </w:tcBorders>
        <w:shd w:val="clear" w:color="4BACC6" w:fill="4BACC6"/>
      </w:tcPr>
    </w:tblStylePr>
    <w:tblStylePr w:type="lastRow">
      <w:rPr>
        <w:b/>
        <w:color w:val="404040"/>
      </w:rPr>
      <w:tcPr>
        <w:tcBorders>
          <w:top w:val="single" w:color="4BACC6"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DAEEF3" w:fill="DAEEF3"/>
      </w:tcPr>
    </w:tblStylePr>
    <w:tblStylePr w:type="band1Horz">
      <w:rPr>
        <w:rFonts w:ascii="Arial" w:hAnsi="Arial"/>
        <w:color w:val="404040"/>
        <w:sz w:val="22"/>
      </w:rPr>
      <w:tcPr>
        <w:shd w:val="clear" w:color="DAEEF3" w:fill="DAEEF3"/>
      </w:tcPr>
    </w:tblStylePr>
  </w:style>
  <w:style w:type="table" w:customStyle="1" w:styleId="1256">
    <w:name w:val="Grid Table 4 - Accent 65"/>
    <w:basedOn w:val="13"/>
    <w:uiPriority w:val="59"/>
    <w:rPr>
      <w:sz w:val="22"/>
      <w:szCs w:val="22"/>
      <w:lang w:eastAsia="en-US"/>
    </w:rPr>
    <w:tblPr>
      <w:tblBorders>
        <w:top w:val="single" w:color="FAC396" w:sz="4" w:space="0"/>
        <w:left w:val="single" w:color="FAC396" w:sz="4" w:space="0"/>
        <w:bottom w:val="single" w:color="FAC396" w:sz="4" w:space="0"/>
        <w:right w:val="single" w:color="FAC396" w:sz="4" w:space="0"/>
        <w:insideH w:val="single" w:color="FAC396" w:sz="4" w:space="0"/>
        <w:insideV w:val="single" w:color="FAC396" w:sz="4" w:space="0"/>
      </w:tblBorders>
      <w:tblCellMar>
        <w:top w:w="0" w:type="dxa"/>
        <w:left w:w="108" w:type="dxa"/>
        <w:bottom w:w="0" w:type="dxa"/>
        <w:right w:w="108" w:type="dxa"/>
      </w:tblCellMar>
    </w:tblPr>
    <w:tblStylePr w:type="firstRow">
      <w:rPr>
        <w:rFonts w:ascii="Arial" w:hAnsi="Arial"/>
        <w:b/>
        <w:color w:val="FFFFFF"/>
        <w:sz w:val="22"/>
      </w:rPr>
      <w:tcPr>
        <w:tcBorders>
          <w:top w:val="single" w:color="F79646" w:sz="4" w:space="0"/>
          <w:left w:val="single" w:color="F79646" w:sz="4" w:space="0"/>
          <w:bottom w:val="single" w:color="F79646" w:sz="4" w:space="0"/>
          <w:right w:val="single" w:color="F79646" w:sz="4" w:space="0"/>
        </w:tcBorders>
        <w:shd w:val="clear" w:color="F79646" w:fill="F79646"/>
      </w:tcPr>
    </w:tblStylePr>
    <w:tblStylePr w:type="lastRow">
      <w:rPr>
        <w:b/>
        <w:color w:val="404040"/>
      </w:rPr>
      <w:tcPr>
        <w:tcBorders>
          <w:top w:val="single" w:color="F79646"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FDE9D8" w:fill="FDE9D8"/>
      </w:tcPr>
    </w:tblStylePr>
    <w:tblStylePr w:type="band1Horz">
      <w:rPr>
        <w:rFonts w:ascii="Arial" w:hAnsi="Arial"/>
        <w:color w:val="404040"/>
        <w:sz w:val="22"/>
      </w:rPr>
      <w:tcPr>
        <w:shd w:val="clear" w:color="FDE9D8" w:fill="FDE9D8"/>
      </w:tcPr>
    </w:tblStylePr>
  </w:style>
  <w:style w:type="table" w:customStyle="1" w:styleId="1257">
    <w:name w:val="Таблица-сетка 5 темная13"/>
    <w:basedOn w:val="13"/>
    <w:uiPriority w:val="99"/>
    <w:rPr>
      <w:sz w:val="22"/>
      <w:szCs w:val="22"/>
      <w:lang w:eastAsia="en-US"/>
    </w:rPr>
    <w:tblPr>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CellMar>
        <w:top w:w="0" w:type="dxa"/>
        <w:left w:w="108" w:type="dxa"/>
        <w:bottom w:w="0" w:type="dxa"/>
        <w:right w:w="108" w:type="dxa"/>
      </w:tblCellMar>
    </w:tblPr>
    <w:tblStylePr w:type="firstRow">
      <w:rPr>
        <w:rFonts w:ascii="Arial" w:hAnsi="Arial"/>
        <w:b/>
        <w:color w:val="FFFFFF"/>
        <w:sz w:val="22"/>
      </w:rPr>
      <w:tcPr>
        <w:shd w:val="clear" w:color="000000" w:fill="000000"/>
      </w:tcPr>
    </w:tblStylePr>
    <w:tblStylePr w:type="lastRow">
      <w:rPr>
        <w:rFonts w:ascii="Arial" w:hAnsi="Arial"/>
        <w:b/>
        <w:color w:val="FFFFFF"/>
        <w:sz w:val="22"/>
      </w:rPr>
      <w:tcPr>
        <w:tcBorders>
          <w:top w:val="single" w:color="FFFFFF" w:sz="4" w:space="0"/>
        </w:tcBorders>
        <w:shd w:val="clear" w:color="000000" w:fill="000000"/>
      </w:tcPr>
    </w:tblStylePr>
    <w:tblStylePr w:type="firstCol">
      <w:rPr>
        <w:rFonts w:ascii="Arial" w:hAnsi="Arial"/>
        <w:b/>
        <w:color w:val="FFFFFF"/>
        <w:sz w:val="22"/>
      </w:rPr>
      <w:tcPr>
        <w:shd w:val="clear" w:color="000000" w:fill="000000"/>
      </w:tcPr>
    </w:tblStylePr>
    <w:tblStylePr w:type="lastCol">
      <w:rPr>
        <w:rFonts w:ascii="Arial" w:hAnsi="Arial"/>
        <w:b/>
        <w:color w:val="FFFFFF"/>
        <w:sz w:val="22"/>
      </w:rPr>
      <w:tcPr>
        <w:shd w:val="clear" w:color="000000" w:fill="000000"/>
      </w:tcPr>
    </w:tblStylePr>
    <w:tblStylePr w:type="band1Vert">
      <w:tcPr>
        <w:shd w:val="clear" w:color="8A8A8A" w:fill="8A8A8A"/>
      </w:tcPr>
    </w:tblStylePr>
    <w:tblStylePr w:type="band1Horz">
      <w:tcPr>
        <w:shd w:val="clear" w:color="8A8A8A" w:fill="8A8A8A"/>
      </w:tcPr>
    </w:tblStylePr>
  </w:style>
  <w:style w:type="table" w:customStyle="1" w:styleId="1258">
    <w:name w:val="Grid Table 5 Dark- Accent 15"/>
    <w:basedOn w:val="13"/>
    <w:uiPriority w:val="99"/>
    <w:rPr>
      <w:sz w:val="22"/>
      <w:szCs w:val="22"/>
      <w:lang w:eastAsia="en-US"/>
    </w:rPr>
    <w:tblPr>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CellMar>
        <w:top w:w="0" w:type="dxa"/>
        <w:left w:w="108" w:type="dxa"/>
        <w:bottom w:w="0" w:type="dxa"/>
        <w:right w:w="108" w:type="dxa"/>
      </w:tblCellMar>
    </w:tblPr>
    <w:tblStylePr w:type="firstRow">
      <w:rPr>
        <w:rFonts w:ascii="Arial" w:hAnsi="Arial"/>
        <w:b/>
        <w:color w:val="FFFFFF"/>
        <w:sz w:val="22"/>
      </w:rPr>
      <w:tcPr>
        <w:shd w:val="clear" w:color="4F81BD" w:fill="4F81BD"/>
      </w:tcPr>
    </w:tblStylePr>
    <w:tblStylePr w:type="lastRow">
      <w:rPr>
        <w:rFonts w:ascii="Arial" w:hAnsi="Arial"/>
        <w:b/>
        <w:color w:val="FFFFFF"/>
        <w:sz w:val="22"/>
      </w:rPr>
      <w:tcPr>
        <w:tcBorders>
          <w:top w:val="single" w:color="FFFFFF" w:sz="4" w:space="0"/>
        </w:tcBorders>
        <w:shd w:val="clear" w:color="4F81BD" w:fill="4F81BD"/>
      </w:tcPr>
    </w:tblStylePr>
    <w:tblStylePr w:type="firstCol">
      <w:rPr>
        <w:rFonts w:ascii="Arial" w:hAnsi="Arial"/>
        <w:b/>
        <w:color w:val="FFFFFF"/>
        <w:sz w:val="22"/>
      </w:rPr>
      <w:tcPr>
        <w:shd w:val="clear" w:color="4F81BD" w:fill="4F81BD"/>
      </w:tcPr>
    </w:tblStylePr>
    <w:tblStylePr w:type="lastCol">
      <w:rPr>
        <w:rFonts w:ascii="Arial" w:hAnsi="Arial"/>
        <w:b/>
        <w:color w:val="FFFFFF"/>
        <w:sz w:val="22"/>
      </w:rPr>
      <w:tcPr>
        <w:shd w:val="clear" w:color="4F81BD" w:fill="4F81BD"/>
      </w:tcPr>
    </w:tblStylePr>
    <w:tblStylePr w:type="band1Vert">
      <w:tcPr>
        <w:shd w:val="clear" w:color="AEC4E0" w:fill="AEC4E0"/>
      </w:tcPr>
    </w:tblStylePr>
    <w:tblStylePr w:type="band1Horz">
      <w:tcPr>
        <w:shd w:val="clear" w:color="AEC4E0" w:fill="AEC4E0"/>
      </w:tcPr>
    </w:tblStylePr>
  </w:style>
  <w:style w:type="table" w:customStyle="1" w:styleId="1259">
    <w:name w:val="Grid Table 5 Dark - Accent 25"/>
    <w:basedOn w:val="13"/>
    <w:uiPriority w:val="99"/>
    <w:rPr>
      <w:sz w:val="22"/>
      <w:szCs w:val="22"/>
      <w:lang w:eastAsia="en-US"/>
    </w:rPr>
    <w:tblPr>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CellMar>
        <w:top w:w="0" w:type="dxa"/>
        <w:left w:w="108" w:type="dxa"/>
        <w:bottom w:w="0" w:type="dxa"/>
        <w:right w:w="108" w:type="dxa"/>
      </w:tblCellMar>
    </w:tblPr>
    <w:tblStylePr w:type="firstRow">
      <w:rPr>
        <w:rFonts w:ascii="Arial" w:hAnsi="Arial"/>
        <w:b/>
        <w:color w:val="FFFFFF"/>
        <w:sz w:val="22"/>
      </w:rPr>
      <w:tcPr>
        <w:shd w:val="clear" w:color="C0504D" w:fill="C0504D"/>
      </w:tcPr>
    </w:tblStylePr>
    <w:tblStylePr w:type="lastRow">
      <w:rPr>
        <w:rFonts w:ascii="Arial" w:hAnsi="Arial"/>
        <w:b/>
        <w:color w:val="FFFFFF"/>
        <w:sz w:val="22"/>
      </w:rPr>
      <w:tcPr>
        <w:tcBorders>
          <w:top w:val="single" w:color="FFFFFF" w:sz="4" w:space="0"/>
        </w:tcBorders>
        <w:shd w:val="clear" w:color="C0504D" w:fill="C0504D"/>
      </w:tcPr>
    </w:tblStylePr>
    <w:tblStylePr w:type="firstCol">
      <w:rPr>
        <w:rFonts w:ascii="Arial" w:hAnsi="Arial"/>
        <w:b/>
        <w:color w:val="FFFFFF"/>
        <w:sz w:val="22"/>
      </w:rPr>
      <w:tcPr>
        <w:shd w:val="clear" w:color="C0504D" w:fill="C0504D"/>
      </w:tcPr>
    </w:tblStylePr>
    <w:tblStylePr w:type="lastCol">
      <w:rPr>
        <w:rFonts w:ascii="Arial" w:hAnsi="Arial"/>
        <w:b/>
        <w:color w:val="FFFFFF"/>
        <w:sz w:val="22"/>
      </w:rPr>
      <w:tcPr>
        <w:shd w:val="clear" w:color="C0504D" w:fill="C0504D"/>
      </w:tcPr>
    </w:tblStylePr>
    <w:tblStylePr w:type="band1Vert">
      <w:tcPr>
        <w:shd w:val="clear" w:color="E2AEAD" w:fill="E2AEAD"/>
      </w:tcPr>
    </w:tblStylePr>
    <w:tblStylePr w:type="band1Horz">
      <w:tcPr>
        <w:shd w:val="clear" w:color="E2AEAD" w:fill="E2AEAD"/>
      </w:tcPr>
    </w:tblStylePr>
  </w:style>
  <w:style w:type="table" w:customStyle="1" w:styleId="1260">
    <w:name w:val="Grid Table 5 Dark - Accent 35"/>
    <w:basedOn w:val="13"/>
    <w:uiPriority w:val="99"/>
    <w:rPr>
      <w:sz w:val="22"/>
      <w:szCs w:val="22"/>
      <w:lang w:eastAsia="en-US"/>
    </w:rPr>
    <w:tblPr>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CellMar>
        <w:top w:w="0" w:type="dxa"/>
        <w:left w:w="108" w:type="dxa"/>
        <w:bottom w:w="0" w:type="dxa"/>
        <w:right w:w="108" w:type="dxa"/>
      </w:tblCellMar>
    </w:tblPr>
    <w:tblStylePr w:type="firstRow">
      <w:rPr>
        <w:rFonts w:ascii="Arial" w:hAnsi="Arial"/>
        <w:b/>
        <w:color w:val="FFFFFF"/>
        <w:sz w:val="22"/>
      </w:rPr>
      <w:tcPr>
        <w:shd w:val="clear" w:color="9BBB59" w:fill="9BBB59"/>
      </w:tcPr>
    </w:tblStylePr>
    <w:tblStylePr w:type="lastRow">
      <w:rPr>
        <w:rFonts w:ascii="Arial" w:hAnsi="Arial"/>
        <w:b/>
        <w:color w:val="FFFFFF"/>
        <w:sz w:val="22"/>
      </w:rPr>
      <w:tcPr>
        <w:tcBorders>
          <w:top w:val="single" w:color="FFFFFF" w:sz="4" w:space="0"/>
        </w:tcBorders>
        <w:shd w:val="clear" w:color="9BBB59" w:fill="9BBB59"/>
      </w:tcPr>
    </w:tblStylePr>
    <w:tblStylePr w:type="firstCol">
      <w:rPr>
        <w:rFonts w:ascii="Arial" w:hAnsi="Arial"/>
        <w:b/>
        <w:color w:val="FFFFFF"/>
        <w:sz w:val="22"/>
      </w:rPr>
      <w:tcPr>
        <w:shd w:val="clear" w:color="9BBB59" w:fill="9BBB59"/>
      </w:tcPr>
    </w:tblStylePr>
    <w:tblStylePr w:type="lastCol">
      <w:rPr>
        <w:rFonts w:ascii="Arial" w:hAnsi="Arial"/>
        <w:b/>
        <w:color w:val="FFFFFF"/>
        <w:sz w:val="22"/>
      </w:rPr>
      <w:tcPr>
        <w:shd w:val="clear" w:color="9BBB59" w:fill="9BBB59"/>
      </w:tcPr>
    </w:tblStylePr>
    <w:tblStylePr w:type="band1Vert">
      <w:tcPr>
        <w:shd w:val="clear" w:color="D0DFB2" w:fill="D0DFB2"/>
      </w:tcPr>
    </w:tblStylePr>
    <w:tblStylePr w:type="band1Horz">
      <w:tcPr>
        <w:shd w:val="clear" w:color="D0DFB2" w:fill="D0DFB2"/>
      </w:tcPr>
    </w:tblStylePr>
  </w:style>
  <w:style w:type="table" w:customStyle="1" w:styleId="1261">
    <w:name w:val="Grid Table 5 Dark- Accent 45"/>
    <w:basedOn w:val="13"/>
    <w:uiPriority w:val="99"/>
    <w:rPr>
      <w:sz w:val="22"/>
      <w:szCs w:val="22"/>
      <w:lang w:eastAsia="en-US"/>
    </w:rPr>
    <w:tblPr>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CellMar>
        <w:top w:w="0" w:type="dxa"/>
        <w:left w:w="108" w:type="dxa"/>
        <w:bottom w:w="0" w:type="dxa"/>
        <w:right w:w="108" w:type="dxa"/>
      </w:tblCellMar>
    </w:tblPr>
    <w:tblStylePr w:type="firstRow">
      <w:rPr>
        <w:rFonts w:ascii="Arial" w:hAnsi="Arial"/>
        <w:b/>
        <w:color w:val="FFFFFF"/>
        <w:sz w:val="22"/>
      </w:rPr>
      <w:tcPr>
        <w:shd w:val="clear" w:color="8064A2" w:fill="8064A2"/>
      </w:tcPr>
    </w:tblStylePr>
    <w:tblStylePr w:type="lastRow">
      <w:rPr>
        <w:rFonts w:ascii="Arial" w:hAnsi="Arial"/>
        <w:b/>
        <w:color w:val="FFFFFF"/>
        <w:sz w:val="22"/>
      </w:rPr>
      <w:tcPr>
        <w:tcBorders>
          <w:top w:val="single" w:color="FFFFFF" w:sz="4" w:space="0"/>
        </w:tcBorders>
        <w:shd w:val="clear" w:color="8064A2" w:fill="8064A2"/>
      </w:tcPr>
    </w:tblStylePr>
    <w:tblStylePr w:type="firstCol">
      <w:rPr>
        <w:rFonts w:ascii="Arial" w:hAnsi="Arial"/>
        <w:b/>
        <w:color w:val="FFFFFF"/>
        <w:sz w:val="22"/>
      </w:rPr>
      <w:tcPr>
        <w:shd w:val="clear" w:color="8064A2" w:fill="8064A2"/>
      </w:tcPr>
    </w:tblStylePr>
    <w:tblStylePr w:type="lastCol">
      <w:rPr>
        <w:rFonts w:ascii="Arial" w:hAnsi="Arial"/>
        <w:b/>
        <w:color w:val="FFFFFF"/>
        <w:sz w:val="22"/>
      </w:rPr>
      <w:tcPr>
        <w:shd w:val="clear" w:color="8064A2" w:fill="8064A2"/>
      </w:tcPr>
    </w:tblStylePr>
    <w:tblStylePr w:type="band1Vert">
      <w:tcPr>
        <w:shd w:val="clear" w:color="C4B7D4" w:fill="C4B7D4"/>
      </w:tcPr>
    </w:tblStylePr>
    <w:tblStylePr w:type="band1Horz">
      <w:tcPr>
        <w:shd w:val="clear" w:color="C4B7D4" w:fill="C4B7D4"/>
      </w:tcPr>
    </w:tblStylePr>
  </w:style>
  <w:style w:type="table" w:customStyle="1" w:styleId="1262">
    <w:name w:val="Grid Table 5 Dark - Accent 55"/>
    <w:basedOn w:val="13"/>
    <w:uiPriority w:val="99"/>
    <w:rPr>
      <w:sz w:val="22"/>
      <w:szCs w:val="22"/>
      <w:lang w:eastAsia="en-US"/>
    </w:rPr>
    <w:tblPr>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CellMar>
        <w:top w:w="0" w:type="dxa"/>
        <w:left w:w="108" w:type="dxa"/>
        <w:bottom w:w="0" w:type="dxa"/>
        <w:right w:w="108" w:type="dxa"/>
      </w:tblCellMar>
    </w:tblPr>
    <w:tblStylePr w:type="firstRow">
      <w:rPr>
        <w:rFonts w:ascii="Arial" w:hAnsi="Arial"/>
        <w:b/>
        <w:color w:val="FFFFFF"/>
        <w:sz w:val="22"/>
      </w:rPr>
      <w:tcPr>
        <w:shd w:val="clear" w:color="4BACC6" w:fill="4BACC6"/>
      </w:tcPr>
    </w:tblStylePr>
    <w:tblStylePr w:type="lastRow">
      <w:rPr>
        <w:rFonts w:ascii="Arial" w:hAnsi="Arial"/>
        <w:b/>
        <w:color w:val="FFFFFF"/>
        <w:sz w:val="22"/>
      </w:rPr>
      <w:tcPr>
        <w:tcBorders>
          <w:top w:val="single" w:color="FFFFFF" w:sz="4" w:space="0"/>
        </w:tcBorders>
        <w:shd w:val="clear" w:color="4BACC6" w:fill="4BACC6"/>
      </w:tcPr>
    </w:tblStylePr>
    <w:tblStylePr w:type="firstCol">
      <w:rPr>
        <w:rFonts w:ascii="Arial" w:hAnsi="Arial"/>
        <w:b/>
        <w:color w:val="FFFFFF"/>
        <w:sz w:val="22"/>
      </w:rPr>
      <w:tcPr>
        <w:shd w:val="clear" w:color="4BACC6" w:fill="4BACC6"/>
      </w:tcPr>
    </w:tblStylePr>
    <w:tblStylePr w:type="lastCol">
      <w:rPr>
        <w:rFonts w:ascii="Arial" w:hAnsi="Arial"/>
        <w:b/>
        <w:color w:val="FFFFFF"/>
        <w:sz w:val="22"/>
      </w:rPr>
      <w:tcPr>
        <w:shd w:val="clear" w:color="4BACC6" w:fill="4BACC6"/>
      </w:tcPr>
    </w:tblStylePr>
    <w:tblStylePr w:type="band1Vert">
      <w:tcPr>
        <w:shd w:val="clear" w:color="ACD8E4" w:fill="ACD8E4"/>
      </w:tcPr>
    </w:tblStylePr>
    <w:tblStylePr w:type="band1Horz">
      <w:tcPr>
        <w:shd w:val="clear" w:color="ACD8E4" w:fill="ACD8E4"/>
      </w:tcPr>
    </w:tblStylePr>
  </w:style>
  <w:style w:type="table" w:customStyle="1" w:styleId="1263">
    <w:name w:val="Grid Table 5 Dark - Accent 65"/>
    <w:basedOn w:val="13"/>
    <w:uiPriority w:val="99"/>
    <w:rPr>
      <w:sz w:val="22"/>
      <w:szCs w:val="22"/>
      <w:lang w:eastAsia="en-US"/>
    </w:rPr>
    <w:tblPr>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CellMar>
        <w:top w:w="0" w:type="dxa"/>
        <w:left w:w="108" w:type="dxa"/>
        <w:bottom w:w="0" w:type="dxa"/>
        <w:right w:w="108" w:type="dxa"/>
      </w:tblCellMar>
    </w:tblPr>
    <w:tblStylePr w:type="firstRow">
      <w:rPr>
        <w:rFonts w:ascii="Arial" w:hAnsi="Arial"/>
        <w:b/>
        <w:color w:val="FFFFFF"/>
        <w:sz w:val="22"/>
      </w:rPr>
      <w:tcPr>
        <w:shd w:val="clear" w:color="F79646" w:fill="F79646"/>
      </w:tcPr>
    </w:tblStylePr>
    <w:tblStylePr w:type="lastRow">
      <w:rPr>
        <w:rFonts w:ascii="Arial" w:hAnsi="Arial"/>
        <w:b/>
        <w:color w:val="FFFFFF"/>
        <w:sz w:val="22"/>
      </w:rPr>
      <w:tcPr>
        <w:tcBorders>
          <w:top w:val="single" w:color="FFFFFF" w:sz="4" w:space="0"/>
        </w:tcBorders>
        <w:shd w:val="clear" w:color="F79646" w:fill="F79646"/>
      </w:tcPr>
    </w:tblStylePr>
    <w:tblStylePr w:type="firstCol">
      <w:rPr>
        <w:rFonts w:ascii="Arial" w:hAnsi="Arial"/>
        <w:b/>
        <w:color w:val="FFFFFF"/>
        <w:sz w:val="22"/>
      </w:rPr>
      <w:tcPr>
        <w:shd w:val="clear" w:color="F79646" w:fill="F79646"/>
      </w:tcPr>
    </w:tblStylePr>
    <w:tblStylePr w:type="lastCol">
      <w:rPr>
        <w:rFonts w:ascii="Arial" w:hAnsi="Arial"/>
        <w:b/>
        <w:color w:val="FFFFFF"/>
        <w:sz w:val="22"/>
      </w:rPr>
      <w:tcPr>
        <w:shd w:val="clear" w:color="F79646" w:fill="F79646"/>
      </w:tcPr>
    </w:tblStylePr>
    <w:tblStylePr w:type="band1Vert">
      <w:tcPr>
        <w:shd w:val="clear" w:color="FBCEAA" w:fill="FBCEAA"/>
      </w:tcPr>
    </w:tblStylePr>
    <w:tblStylePr w:type="band1Horz">
      <w:tcPr>
        <w:shd w:val="clear" w:color="FBCEAA" w:fill="FBCEAA"/>
      </w:tcPr>
    </w:tblStylePr>
  </w:style>
  <w:style w:type="table" w:customStyle="1" w:styleId="1264">
    <w:name w:val="Таблица-сетка 6 цветная13"/>
    <w:basedOn w:val="13"/>
    <w:uiPriority w:val="99"/>
    <w:rPr>
      <w:sz w:val="22"/>
      <w:szCs w:val="22"/>
      <w:lang w:eastAsia="en-US"/>
    </w:rPr>
    <w:tblPr>
      <w:tblBorders>
        <w:top w:val="single" w:color="7F7F7F" w:sz="4" w:space="0"/>
        <w:left w:val="single" w:color="7F7F7F" w:sz="4" w:space="0"/>
        <w:bottom w:val="single" w:color="7F7F7F" w:sz="4" w:space="0"/>
        <w:right w:val="single" w:color="7F7F7F" w:sz="4" w:space="0"/>
        <w:insideH w:val="single" w:color="7F7F7F" w:sz="4" w:space="0"/>
        <w:insideV w:val="single" w:color="7F7F7F" w:sz="4" w:space="0"/>
      </w:tblBorders>
      <w:tblCellMar>
        <w:top w:w="0" w:type="dxa"/>
        <w:left w:w="108" w:type="dxa"/>
        <w:bottom w:w="0" w:type="dxa"/>
        <w:right w:w="108" w:type="dxa"/>
      </w:tblCellMar>
    </w:tblPr>
    <w:tblStylePr w:type="firstRow">
      <w:rPr>
        <w:b/>
        <w:color w:val="7F7F7F"/>
      </w:rPr>
      <w:tcPr>
        <w:tcBorders>
          <w:bottom w:val="single" w:color="7F7F7F" w:sz="12" w:space="0"/>
        </w:tcBorders>
      </w:tcPr>
    </w:tblStylePr>
    <w:tblStylePr w:type="lastRow">
      <w:rPr>
        <w:b/>
        <w:color w:val="7F7F7F"/>
      </w:rPr>
    </w:tblStylePr>
    <w:tblStylePr w:type="firstCol">
      <w:rPr>
        <w:b/>
        <w:color w:val="7F7F7F"/>
      </w:rPr>
    </w:tblStylePr>
    <w:tblStylePr w:type="lastCol">
      <w:rPr>
        <w:b/>
        <w:color w:val="7F7F7F"/>
      </w:rPr>
    </w:tblStylePr>
    <w:tblStylePr w:type="band1Vert">
      <w:tcPr>
        <w:shd w:val="clear" w:color="CBCBCB" w:fill="CBCBCB"/>
      </w:tcPr>
    </w:tblStylePr>
    <w:tblStylePr w:type="band1Horz">
      <w:rPr>
        <w:rFonts w:ascii="Arial" w:hAnsi="Arial"/>
        <w:color w:val="7F7F7F"/>
        <w:sz w:val="22"/>
      </w:rPr>
      <w:tcPr>
        <w:shd w:val="clear" w:color="CBCBCB" w:fill="CBCBCB"/>
      </w:tcPr>
    </w:tblStylePr>
    <w:tblStylePr w:type="band2Horz">
      <w:rPr>
        <w:rFonts w:ascii="Arial" w:hAnsi="Arial"/>
        <w:color w:val="7F7F7F"/>
        <w:sz w:val="22"/>
      </w:rPr>
    </w:tblStylePr>
  </w:style>
  <w:style w:type="table" w:customStyle="1" w:styleId="1265">
    <w:name w:val="Grid Table 6 Colorful - Accent 15"/>
    <w:basedOn w:val="13"/>
    <w:uiPriority w:val="99"/>
    <w:rPr>
      <w:sz w:val="22"/>
      <w:szCs w:val="22"/>
      <w:lang w:eastAsia="en-US"/>
    </w:rPr>
    <w:tblPr>
      <w:tblBorders>
        <w:top w:val="single" w:color="A6BFDD" w:sz="4" w:space="0"/>
        <w:left w:val="single" w:color="A6BFDD" w:sz="4" w:space="0"/>
        <w:bottom w:val="single" w:color="A6BFDD" w:sz="4" w:space="0"/>
        <w:right w:val="single" w:color="A6BFDD" w:sz="4" w:space="0"/>
        <w:insideH w:val="single" w:color="A6BFDD" w:sz="4" w:space="0"/>
        <w:insideV w:val="single" w:color="A6BFDD" w:sz="4" w:space="0"/>
      </w:tblBorders>
      <w:tblCellMar>
        <w:top w:w="0" w:type="dxa"/>
        <w:left w:w="108" w:type="dxa"/>
        <w:bottom w:w="0" w:type="dxa"/>
        <w:right w:w="108" w:type="dxa"/>
      </w:tblCellMar>
    </w:tblPr>
    <w:tblStylePr w:type="firstRow">
      <w:rPr>
        <w:b/>
        <w:color w:val="A6BFDD"/>
      </w:rPr>
      <w:tcPr>
        <w:tcBorders>
          <w:bottom w:val="single" w:color="A6BFDD" w:sz="12" w:space="0"/>
        </w:tcBorders>
      </w:tcPr>
    </w:tblStylePr>
    <w:tblStylePr w:type="lastRow">
      <w:rPr>
        <w:b/>
        <w:color w:val="A6BFDD"/>
      </w:rPr>
    </w:tblStylePr>
    <w:tblStylePr w:type="firstCol">
      <w:rPr>
        <w:b/>
        <w:color w:val="A6BFDD"/>
      </w:rPr>
    </w:tblStylePr>
    <w:tblStylePr w:type="lastCol">
      <w:rPr>
        <w:b/>
        <w:color w:val="A6BFDD"/>
      </w:rPr>
    </w:tblStylePr>
    <w:tblStylePr w:type="band1Vert">
      <w:tcPr>
        <w:shd w:val="clear" w:color="DAE5F1" w:fill="DAE5F1"/>
      </w:tcPr>
    </w:tblStylePr>
    <w:tblStylePr w:type="band1Horz">
      <w:rPr>
        <w:rFonts w:ascii="Arial" w:hAnsi="Arial"/>
        <w:color w:val="A6BFDD"/>
        <w:sz w:val="22"/>
      </w:rPr>
      <w:tcPr>
        <w:shd w:val="clear" w:color="DAE5F1" w:fill="DAE5F1"/>
      </w:tcPr>
    </w:tblStylePr>
    <w:tblStylePr w:type="band2Horz">
      <w:rPr>
        <w:rFonts w:ascii="Arial" w:hAnsi="Arial"/>
        <w:color w:val="A6BFDD"/>
        <w:sz w:val="22"/>
      </w:rPr>
    </w:tblStylePr>
  </w:style>
  <w:style w:type="table" w:customStyle="1" w:styleId="1266">
    <w:name w:val="Grid Table 6 Colorful - Accent 25"/>
    <w:basedOn w:val="13"/>
    <w:uiPriority w:val="99"/>
    <w:rPr>
      <w:sz w:val="22"/>
      <w:szCs w:val="22"/>
      <w:lang w:eastAsia="en-US"/>
    </w:rPr>
    <w:tblPr>
      <w:tblBorders>
        <w:top w:val="single" w:color="D99695" w:sz="4" w:space="0"/>
        <w:left w:val="single" w:color="D99695" w:sz="4" w:space="0"/>
        <w:bottom w:val="single" w:color="D99695" w:sz="4" w:space="0"/>
        <w:right w:val="single" w:color="D99695" w:sz="4" w:space="0"/>
        <w:insideH w:val="single" w:color="D99695" w:sz="4" w:space="0"/>
        <w:insideV w:val="single" w:color="D99695" w:sz="4" w:space="0"/>
      </w:tblBorders>
      <w:tblCellMar>
        <w:top w:w="0" w:type="dxa"/>
        <w:left w:w="108" w:type="dxa"/>
        <w:bottom w:w="0" w:type="dxa"/>
        <w:right w:w="108" w:type="dxa"/>
      </w:tblCellMar>
    </w:tblPr>
    <w:tblStylePr w:type="firstRow">
      <w:rPr>
        <w:b/>
        <w:color w:val="D99695"/>
      </w:rPr>
      <w:tcPr>
        <w:tcBorders>
          <w:bottom w:val="single" w:color="D99695" w:sz="12" w:space="0"/>
        </w:tcBorders>
      </w:tcPr>
    </w:tblStylePr>
    <w:tblStylePr w:type="lastRow">
      <w:rPr>
        <w:b/>
        <w:color w:val="D99695"/>
      </w:rPr>
    </w:tblStylePr>
    <w:tblStylePr w:type="firstCol">
      <w:rPr>
        <w:b/>
        <w:color w:val="D99695"/>
      </w:rPr>
    </w:tblStylePr>
    <w:tblStylePr w:type="lastCol">
      <w:rPr>
        <w:b/>
        <w:color w:val="D99695"/>
      </w:rPr>
    </w:tblStylePr>
    <w:tblStylePr w:type="band1Vert">
      <w:tcPr>
        <w:shd w:val="clear" w:color="F2DCDC" w:fill="F2DCDC"/>
      </w:tcPr>
    </w:tblStylePr>
    <w:tblStylePr w:type="band1Horz">
      <w:rPr>
        <w:rFonts w:ascii="Arial" w:hAnsi="Arial"/>
        <w:color w:val="D99695"/>
        <w:sz w:val="22"/>
      </w:rPr>
      <w:tcPr>
        <w:shd w:val="clear" w:color="F2DCDC" w:fill="F2DCDC"/>
      </w:tcPr>
    </w:tblStylePr>
    <w:tblStylePr w:type="band2Horz">
      <w:rPr>
        <w:rFonts w:ascii="Arial" w:hAnsi="Arial"/>
        <w:color w:val="D99695"/>
        <w:sz w:val="22"/>
      </w:rPr>
    </w:tblStylePr>
  </w:style>
  <w:style w:type="table" w:customStyle="1" w:styleId="1267">
    <w:name w:val="Grid Table 6 Colorful - Accent 35"/>
    <w:basedOn w:val="13"/>
    <w:uiPriority w:val="99"/>
    <w:rPr>
      <w:sz w:val="22"/>
      <w:szCs w:val="22"/>
      <w:lang w:eastAsia="en-US"/>
    </w:rPr>
    <w:tblPr>
      <w:tblBorders>
        <w:top w:val="single" w:color="9ABB59" w:sz="4" w:space="0"/>
        <w:left w:val="single" w:color="9ABB59" w:sz="4" w:space="0"/>
        <w:bottom w:val="single" w:color="9ABB59" w:sz="4" w:space="0"/>
        <w:right w:val="single" w:color="9ABB59" w:sz="4" w:space="0"/>
        <w:insideH w:val="single" w:color="9ABB59" w:sz="4" w:space="0"/>
        <w:insideV w:val="single" w:color="9ABB59" w:sz="4" w:space="0"/>
      </w:tblBorders>
      <w:tblCellMar>
        <w:top w:w="0" w:type="dxa"/>
        <w:left w:w="108" w:type="dxa"/>
        <w:bottom w:w="0" w:type="dxa"/>
        <w:right w:w="108" w:type="dxa"/>
      </w:tblCellMar>
    </w:tblPr>
    <w:tblStylePr w:type="firstRow">
      <w:rPr>
        <w:b/>
        <w:color w:val="9ABB59"/>
      </w:rPr>
      <w:tcPr>
        <w:tcBorders>
          <w:bottom w:val="single" w:color="9ABB59" w:sz="12" w:space="0"/>
        </w:tcBorders>
      </w:tcPr>
    </w:tblStylePr>
    <w:tblStylePr w:type="lastRow">
      <w:rPr>
        <w:b/>
        <w:color w:val="9ABB59"/>
      </w:rPr>
    </w:tblStylePr>
    <w:tblStylePr w:type="firstCol">
      <w:rPr>
        <w:b/>
        <w:color w:val="9ABB59"/>
      </w:rPr>
    </w:tblStylePr>
    <w:tblStylePr w:type="lastCol">
      <w:rPr>
        <w:b/>
        <w:color w:val="9ABB59"/>
      </w:rPr>
    </w:tblStylePr>
    <w:tblStylePr w:type="band1Vert">
      <w:tcPr>
        <w:shd w:val="clear" w:color="EAF1DC" w:fill="EAF1DC"/>
      </w:tcPr>
    </w:tblStylePr>
    <w:tblStylePr w:type="band1Horz">
      <w:rPr>
        <w:rFonts w:ascii="Arial" w:hAnsi="Arial"/>
        <w:color w:val="9ABB59"/>
        <w:sz w:val="22"/>
      </w:rPr>
      <w:tcPr>
        <w:shd w:val="clear" w:color="EAF1DC" w:fill="EAF1DC"/>
      </w:tcPr>
    </w:tblStylePr>
    <w:tblStylePr w:type="band2Horz">
      <w:rPr>
        <w:rFonts w:ascii="Arial" w:hAnsi="Arial"/>
        <w:color w:val="9ABB59"/>
        <w:sz w:val="22"/>
      </w:rPr>
    </w:tblStylePr>
  </w:style>
  <w:style w:type="table" w:customStyle="1" w:styleId="1268">
    <w:name w:val="Grid Table 6 Colorful - Accent 45"/>
    <w:basedOn w:val="13"/>
    <w:uiPriority w:val="99"/>
    <w:rPr>
      <w:sz w:val="22"/>
      <w:szCs w:val="22"/>
      <w:lang w:eastAsia="en-US"/>
    </w:rPr>
    <w:tblPr>
      <w:tblBorders>
        <w:top w:val="single" w:color="B2A1C6" w:sz="4" w:space="0"/>
        <w:left w:val="single" w:color="B2A1C6" w:sz="4" w:space="0"/>
        <w:bottom w:val="single" w:color="B2A1C6" w:sz="4" w:space="0"/>
        <w:right w:val="single" w:color="B2A1C6" w:sz="4" w:space="0"/>
        <w:insideH w:val="single" w:color="B2A1C6" w:sz="4" w:space="0"/>
        <w:insideV w:val="single" w:color="B2A1C6" w:sz="4" w:space="0"/>
      </w:tblBorders>
      <w:tblCellMar>
        <w:top w:w="0" w:type="dxa"/>
        <w:left w:w="108" w:type="dxa"/>
        <w:bottom w:w="0" w:type="dxa"/>
        <w:right w:w="108" w:type="dxa"/>
      </w:tblCellMar>
    </w:tblPr>
    <w:tblStylePr w:type="firstRow">
      <w:rPr>
        <w:b/>
        <w:color w:val="B2A1C6"/>
      </w:rPr>
      <w:tcPr>
        <w:tcBorders>
          <w:bottom w:val="single" w:color="B2A1C6" w:sz="12" w:space="0"/>
        </w:tcBorders>
      </w:tcPr>
    </w:tblStylePr>
    <w:tblStylePr w:type="lastRow">
      <w:rPr>
        <w:b/>
        <w:color w:val="B2A1C6"/>
      </w:rPr>
    </w:tblStylePr>
    <w:tblStylePr w:type="firstCol">
      <w:rPr>
        <w:b/>
        <w:color w:val="B2A1C6"/>
      </w:rPr>
    </w:tblStylePr>
    <w:tblStylePr w:type="lastCol">
      <w:rPr>
        <w:b/>
        <w:color w:val="B2A1C6"/>
      </w:rPr>
    </w:tblStylePr>
    <w:tblStylePr w:type="band1Vert">
      <w:tcPr>
        <w:shd w:val="clear" w:color="E5DFEC" w:fill="E5DFEC"/>
      </w:tcPr>
    </w:tblStylePr>
    <w:tblStylePr w:type="band1Horz">
      <w:rPr>
        <w:rFonts w:ascii="Arial" w:hAnsi="Arial"/>
        <w:color w:val="B2A1C6"/>
        <w:sz w:val="22"/>
      </w:rPr>
      <w:tcPr>
        <w:shd w:val="clear" w:color="E5DFEC" w:fill="E5DFEC"/>
      </w:tcPr>
    </w:tblStylePr>
    <w:tblStylePr w:type="band2Horz">
      <w:rPr>
        <w:rFonts w:ascii="Arial" w:hAnsi="Arial"/>
        <w:color w:val="B2A1C6"/>
        <w:sz w:val="22"/>
      </w:rPr>
    </w:tblStylePr>
  </w:style>
  <w:style w:type="table" w:customStyle="1" w:styleId="1269">
    <w:name w:val="Grid Table 6 Colorful - Accent 55"/>
    <w:basedOn w:val="13"/>
    <w:uiPriority w:val="99"/>
    <w:rPr>
      <w:sz w:val="22"/>
      <w:szCs w:val="22"/>
      <w:lang w:eastAsia="en-US"/>
    </w:rPr>
    <w:tblPr>
      <w:tblBorders>
        <w:top w:val="single" w:color="4BACC6" w:sz="4" w:space="0"/>
        <w:left w:val="single" w:color="4BACC6" w:sz="4" w:space="0"/>
        <w:bottom w:val="single" w:color="4BACC6" w:sz="4" w:space="0"/>
        <w:right w:val="single" w:color="4BACC6" w:sz="4" w:space="0"/>
        <w:insideH w:val="single" w:color="4BACC6" w:sz="4" w:space="0"/>
        <w:insideV w:val="single" w:color="4BACC6" w:sz="4" w:space="0"/>
      </w:tblBorders>
      <w:tblCellMar>
        <w:top w:w="0" w:type="dxa"/>
        <w:left w:w="108" w:type="dxa"/>
        <w:bottom w:w="0" w:type="dxa"/>
        <w:right w:w="108" w:type="dxa"/>
      </w:tblCellMar>
    </w:tblPr>
    <w:tblStylePr w:type="firstRow">
      <w:rPr>
        <w:b/>
        <w:color w:val="266779"/>
      </w:rPr>
      <w:tcPr>
        <w:tcBorders>
          <w:bottom w:val="single" w:color="4BACC6" w:sz="12" w:space="0"/>
        </w:tcBorders>
      </w:tcPr>
    </w:tblStylePr>
    <w:tblStylePr w:type="lastRow">
      <w:rPr>
        <w:b/>
        <w:color w:val="266779"/>
      </w:rPr>
    </w:tblStylePr>
    <w:tblStylePr w:type="firstCol">
      <w:rPr>
        <w:b/>
        <w:color w:val="266779"/>
      </w:rPr>
    </w:tblStylePr>
    <w:tblStylePr w:type="lastCol">
      <w:rPr>
        <w:b/>
        <w:color w:val="266779"/>
      </w:rPr>
    </w:tblStylePr>
    <w:tblStylePr w:type="band1Vert">
      <w:tcPr>
        <w:shd w:val="clear" w:color="DAEEF3" w:fill="DAEEF3"/>
      </w:tcPr>
    </w:tblStylePr>
    <w:tblStylePr w:type="band1Horz">
      <w:rPr>
        <w:rFonts w:ascii="Arial" w:hAnsi="Arial"/>
        <w:color w:val="266779"/>
        <w:sz w:val="22"/>
      </w:rPr>
      <w:tcPr>
        <w:shd w:val="clear" w:color="DAEEF3" w:fill="DAEEF3"/>
      </w:tcPr>
    </w:tblStylePr>
    <w:tblStylePr w:type="band2Horz">
      <w:rPr>
        <w:rFonts w:ascii="Arial" w:hAnsi="Arial"/>
        <w:color w:val="266779"/>
        <w:sz w:val="22"/>
      </w:rPr>
    </w:tblStylePr>
  </w:style>
  <w:style w:type="table" w:customStyle="1" w:styleId="1270">
    <w:name w:val="Grid Table 6 Colorful - Accent 65"/>
    <w:basedOn w:val="13"/>
    <w:uiPriority w:val="99"/>
    <w:rPr>
      <w:sz w:val="22"/>
      <w:szCs w:val="22"/>
      <w:lang w:eastAsia="en-US"/>
    </w:rPr>
    <w:tblPr>
      <w:tblBorders>
        <w:top w:val="single" w:color="F79646" w:sz="4" w:space="0"/>
        <w:left w:val="single" w:color="F79646" w:sz="4" w:space="0"/>
        <w:bottom w:val="single" w:color="F79646" w:sz="4" w:space="0"/>
        <w:right w:val="single" w:color="F79646" w:sz="4" w:space="0"/>
        <w:insideH w:val="single" w:color="F79646" w:sz="4" w:space="0"/>
        <w:insideV w:val="single" w:color="F79646" w:sz="4" w:space="0"/>
      </w:tblBorders>
      <w:tblCellMar>
        <w:top w:w="0" w:type="dxa"/>
        <w:left w:w="108" w:type="dxa"/>
        <w:bottom w:w="0" w:type="dxa"/>
        <w:right w:w="108" w:type="dxa"/>
      </w:tblCellMar>
    </w:tblPr>
    <w:tblStylePr w:type="firstRow">
      <w:rPr>
        <w:b/>
        <w:color w:val="266779"/>
      </w:rPr>
      <w:tcPr>
        <w:tcBorders>
          <w:bottom w:val="single" w:color="F79646" w:sz="12" w:space="0"/>
        </w:tcBorders>
      </w:tcPr>
    </w:tblStylePr>
    <w:tblStylePr w:type="lastRow">
      <w:rPr>
        <w:b/>
        <w:color w:val="266779"/>
      </w:rPr>
    </w:tblStylePr>
    <w:tblStylePr w:type="firstCol">
      <w:rPr>
        <w:b/>
        <w:color w:val="266779"/>
      </w:rPr>
    </w:tblStylePr>
    <w:tblStylePr w:type="lastCol">
      <w:rPr>
        <w:b/>
        <w:color w:val="266779"/>
      </w:rPr>
    </w:tblStylePr>
    <w:tblStylePr w:type="band1Vert">
      <w:tcPr>
        <w:shd w:val="clear" w:color="FDE9D8" w:fill="FDE9D8"/>
      </w:tcPr>
    </w:tblStylePr>
    <w:tblStylePr w:type="band1Horz">
      <w:rPr>
        <w:rFonts w:ascii="Arial" w:hAnsi="Arial"/>
        <w:color w:val="266779"/>
        <w:sz w:val="22"/>
      </w:rPr>
      <w:tcPr>
        <w:shd w:val="clear" w:color="FDE9D8" w:fill="FDE9D8"/>
      </w:tcPr>
    </w:tblStylePr>
    <w:tblStylePr w:type="band2Horz">
      <w:rPr>
        <w:rFonts w:ascii="Arial" w:hAnsi="Arial"/>
        <w:color w:val="266779"/>
        <w:sz w:val="22"/>
      </w:rPr>
    </w:tblStylePr>
  </w:style>
  <w:style w:type="table" w:customStyle="1" w:styleId="1271">
    <w:name w:val="Таблица-сетка 7 цветная13"/>
    <w:basedOn w:val="13"/>
    <w:uiPriority w:val="99"/>
    <w:rPr>
      <w:sz w:val="22"/>
      <w:szCs w:val="22"/>
      <w:lang w:eastAsia="en-US"/>
    </w:rPr>
    <w:tblPr>
      <w:tblBorders>
        <w:bottom w:val="single" w:color="7F7F7F" w:sz="4" w:space="0"/>
        <w:right w:val="single" w:color="7F7F7F" w:sz="4" w:space="0"/>
        <w:insideH w:val="single" w:color="7F7F7F" w:sz="4" w:space="0"/>
        <w:insideV w:val="single" w:color="7F7F7F" w:sz="4" w:space="0"/>
      </w:tblBorders>
      <w:tblCellMar>
        <w:top w:w="0" w:type="dxa"/>
        <w:left w:w="108" w:type="dxa"/>
        <w:bottom w:w="0" w:type="dxa"/>
        <w:right w:w="108" w:type="dxa"/>
      </w:tblCellMar>
    </w:tblPr>
    <w:tblStylePr w:type="firstRow">
      <w:rPr>
        <w:rFonts w:ascii="Arial" w:hAnsi="Arial"/>
        <w:b/>
        <w:color w:val="7F7F7F"/>
        <w:sz w:val="22"/>
      </w:rPr>
      <w:tcPr>
        <w:tcBorders>
          <w:top w:val="nil"/>
          <w:left w:val="nil"/>
          <w:bottom w:val="single" w:color="7F7F7F" w:sz="4" w:space="0"/>
          <w:right w:val="nil"/>
        </w:tcBorders>
        <w:shd w:val="clear" w:color="FFFFFF" w:fill="FFFFFF"/>
      </w:tcPr>
    </w:tblStylePr>
    <w:tblStylePr w:type="lastRow">
      <w:rPr>
        <w:rFonts w:ascii="Arial" w:hAnsi="Arial"/>
        <w:b/>
        <w:color w:val="7F7F7F"/>
        <w:sz w:val="22"/>
      </w:rPr>
      <w:tcPr>
        <w:tcBorders>
          <w:top w:val="single" w:color="7F7F7F" w:sz="4" w:space="0"/>
          <w:left w:val="nil"/>
          <w:bottom w:val="nil"/>
          <w:right w:val="nil"/>
        </w:tcBorders>
        <w:shd w:val="clear" w:color="FFFFFF" w:fill="FFFFFF"/>
      </w:tcPr>
    </w:tblStylePr>
    <w:tblStylePr w:type="firstCol">
      <w:pPr>
        <w:jc w:val="right"/>
      </w:pPr>
      <w:rPr>
        <w:rFonts w:ascii="Arial" w:hAnsi="Arial"/>
        <w:i/>
        <w:color w:val="7F7F7F"/>
        <w:sz w:val="22"/>
      </w:rPr>
      <w:tcPr>
        <w:tcBorders>
          <w:top w:val="nil"/>
          <w:left w:val="nil"/>
          <w:bottom w:val="nil"/>
          <w:right w:val="single" w:color="7F7F7F" w:sz="4" w:space="0"/>
        </w:tcBorders>
        <w:shd w:val="clear" w:color="FFFFFF" w:fill="auto"/>
      </w:tcPr>
    </w:tblStylePr>
    <w:tblStylePr w:type="lastCol">
      <w:rPr>
        <w:rFonts w:ascii="Arial" w:hAnsi="Arial"/>
        <w:i/>
        <w:color w:val="7F7F7F"/>
        <w:sz w:val="22"/>
      </w:rPr>
      <w:tcPr>
        <w:tcBorders>
          <w:top w:val="nil"/>
          <w:left w:val="single" w:color="7F7F7F" w:sz="4" w:space="0"/>
          <w:bottom w:val="nil"/>
          <w:right w:val="nil"/>
        </w:tcBorders>
        <w:shd w:val="clear" w:color="FFFFFF" w:fill="auto"/>
      </w:tcPr>
    </w:tblStylePr>
    <w:tblStylePr w:type="band1Vert">
      <w:tcPr>
        <w:shd w:val="clear" w:color="F2F2F2" w:fill="F2F2F2"/>
      </w:tcPr>
    </w:tblStylePr>
    <w:tblStylePr w:type="band1Horz">
      <w:rPr>
        <w:rFonts w:ascii="Arial" w:hAnsi="Arial"/>
        <w:color w:val="7F7F7F"/>
        <w:sz w:val="22"/>
      </w:rPr>
      <w:tcPr>
        <w:shd w:val="clear" w:color="F2F2F2" w:fill="F2F2F2"/>
      </w:tcPr>
    </w:tblStylePr>
    <w:tblStylePr w:type="band2Horz">
      <w:rPr>
        <w:rFonts w:ascii="Arial" w:hAnsi="Arial"/>
        <w:color w:val="7F7F7F"/>
        <w:sz w:val="22"/>
      </w:rPr>
    </w:tblStylePr>
  </w:style>
  <w:style w:type="table" w:customStyle="1" w:styleId="1272">
    <w:name w:val="Grid Table 7 Colorful - Accent 15"/>
    <w:basedOn w:val="13"/>
    <w:uiPriority w:val="99"/>
    <w:rPr>
      <w:sz w:val="22"/>
      <w:szCs w:val="22"/>
      <w:lang w:eastAsia="en-US"/>
    </w:rPr>
    <w:tblPr>
      <w:tblBorders>
        <w:bottom w:val="single" w:color="A6BFDD" w:sz="4" w:space="0"/>
        <w:right w:val="single" w:color="A6BFDD" w:sz="4" w:space="0"/>
        <w:insideH w:val="single" w:color="A6BFDD" w:sz="4" w:space="0"/>
        <w:insideV w:val="single" w:color="A6BFDD" w:sz="4" w:space="0"/>
      </w:tblBorders>
      <w:tblCellMar>
        <w:top w:w="0" w:type="dxa"/>
        <w:left w:w="108" w:type="dxa"/>
        <w:bottom w:w="0" w:type="dxa"/>
        <w:right w:w="108" w:type="dxa"/>
      </w:tblCellMar>
    </w:tblPr>
    <w:tblStylePr w:type="firstRow">
      <w:rPr>
        <w:rFonts w:ascii="Arial" w:hAnsi="Arial"/>
        <w:b/>
        <w:color w:val="A6BFDD"/>
        <w:sz w:val="22"/>
      </w:rPr>
      <w:tcPr>
        <w:tcBorders>
          <w:top w:val="nil"/>
          <w:left w:val="nil"/>
          <w:bottom w:val="single" w:color="A6BFDD" w:sz="4" w:space="0"/>
          <w:right w:val="nil"/>
        </w:tcBorders>
        <w:shd w:val="clear" w:color="FFFFFF" w:fill="FFFFFF"/>
      </w:tcPr>
    </w:tblStylePr>
    <w:tblStylePr w:type="lastRow">
      <w:rPr>
        <w:rFonts w:ascii="Arial" w:hAnsi="Arial"/>
        <w:b/>
        <w:color w:val="A6BFDD"/>
        <w:sz w:val="22"/>
      </w:rPr>
      <w:tcPr>
        <w:tcBorders>
          <w:top w:val="single" w:color="A6BFDD" w:sz="4" w:space="0"/>
          <w:left w:val="nil"/>
          <w:bottom w:val="nil"/>
          <w:right w:val="nil"/>
        </w:tcBorders>
        <w:shd w:val="clear" w:color="FFFFFF" w:fill="FFFFFF"/>
      </w:tcPr>
    </w:tblStylePr>
    <w:tblStylePr w:type="firstCol">
      <w:pPr>
        <w:jc w:val="right"/>
      </w:pPr>
      <w:rPr>
        <w:rFonts w:ascii="Arial" w:hAnsi="Arial"/>
        <w:i/>
        <w:color w:val="A6BFDD"/>
        <w:sz w:val="22"/>
      </w:rPr>
      <w:tcPr>
        <w:tcBorders>
          <w:top w:val="nil"/>
          <w:left w:val="nil"/>
          <w:bottom w:val="nil"/>
          <w:right w:val="single" w:color="A6BFDD" w:sz="4" w:space="0"/>
        </w:tcBorders>
        <w:shd w:val="clear" w:color="FFFFFF" w:fill="auto"/>
      </w:tcPr>
    </w:tblStylePr>
    <w:tblStylePr w:type="lastCol">
      <w:rPr>
        <w:rFonts w:ascii="Arial" w:hAnsi="Arial"/>
        <w:i/>
        <w:color w:val="A6BFDD"/>
        <w:sz w:val="22"/>
      </w:rPr>
      <w:tcPr>
        <w:tcBorders>
          <w:top w:val="nil"/>
          <w:left w:val="single" w:color="A6BFDD" w:sz="4" w:space="0"/>
          <w:bottom w:val="nil"/>
          <w:right w:val="nil"/>
        </w:tcBorders>
        <w:shd w:val="clear" w:color="FFFFFF" w:fill="auto"/>
      </w:tcPr>
    </w:tblStylePr>
    <w:tblStylePr w:type="band1Vert">
      <w:tcPr>
        <w:shd w:val="clear" w:color="DAE5F1" w:fill="DAE5F1"/>
      </w:tcPr>
    </w:tblStylePr>
    <w:tblStylePr w:type="band1Horz">
      <w:rPr>
        <w:rFonts w:ascii="Arial" w:hAnsi="Arial"/>
        <w:color w:val="A6BFDD"/>
        <w:sz w:val="22"/>
      </w:rPr>
      <w:tcPr>
        <w:shd w:val="clear" w:color="DAE5F1" w:fill="DAE5F1"/>
      </w:tcPr>
    </w:tblStylePr>
    <w:tblStylePr w:type="band2Horz">
      <w:rPr>
        <w:rFonts w:ascii="Arial" w:hAnsi="Arial"/>
        <w:color w:val="A6BFDD"/>
        <w:sz w:val="22"/>
      </w:rPr>
    </w:tblStylePr>
  </w:style>
  <w:style w:type="table" w:customStyle="1" w:styleId="1273">
    <w:name w:val="Grid Table 7 Colorful - Accent 25"/>
    <w:basedOn w:val="13"/>
    <w:uiPriority w:val="99"/>
    <w:rPr>
      <w:sz w:val="22"/>
      <w:szCs w:val="22"/>
      <w:lang w:eastAsia="en-US"/>
    </w:rPr>
    <w:tblPr>
      <w:tblBorders>
        <w:bottom w:val="single" w:color="D99695" w:sz="4" w:space="0"/>
        <w:right w:val="single" w:color="D99695" w:sz="4" w:space="0"/>
        <w:insideH w:val="single" w:color="D99695" w:sz="4" w:space="0"/>
        <w:insideV w:val="single" w:color="D99695" w:sz="4" w:space="0"/>
      </w:tblBorders>
      <w:tblCellMar>
        <w:top w:w="0" w:type="dxa"/>
        <w:left w:w="108" w:type="dxa"/>
        <w:bottom w:w="0" w:type="dxa"/>
        <w:right w:w="108" w:type="dxa"/>
      </w:tblCellMar>
    </w:tblPr>
    <w:tblStylePr w:type="firstRow">
      <w:rPr>
        <w:rFonts w:ascii="Arial" w:hAnsi="Arial"/>
        <w:b/>
        <w:color w:val="D99695"/>
        <w:sz w:val="22"/>
      </w:rPr>
      <w:tcPr>
        <w:tcBorders>
          <w:top w:val="nil"/>
          <w:left w:val="nil"/>
          <w:bottom w:val="single" w:color="D99695" w:sz="4" w:space="0"/>
          <w:right w:val="nil"/>
        </w:tcBorders>
        <w:shd w:val="clear" w:color="FFFFFF" w:fill="FFFFFF"/>
      </w:tcPr>
    </w:tblStylePr>
    <w:tblStylePr w:type="lastRow">
      <w:rPr>
        <w:rFonts w:ascii="Arial" w:hAnsi="Arial"/>
        <w:b/>
        <w:color w:val="D99695"/>
        <w:sz w:val="22"/>
      </w:rPr>
      <w:tcPr>
        <w:tcBorders>
          <w:top w:val="single" w:color="D99695" w:sz="4" w:space="0"/>
          <w:left w:val="nil"/>
          <w:bottom w:val="nil"/>
          <w:right w:val="nil"/>
        </w:tcBorders>
        <w:shd w:val="clear" w:color="FFFFFF" w:fill="FFFFFF"/>
      </w:tcPr>
    </w:tblStylePr>
    <w:tblStylePr w:type="firstCol">
      <w:pPr>
        <w:jc w:val="right"/>
      </w:pPr>
      <w:rPr>
        <w:rFonts w:ascii="Arial" w:hAnsi="Arial"/>
        <w:i/>
        <w:color w:val="D99695"/>
        <w:sz w:val="22"/>
      </w:rPr>
      <w:tcPr>
        <w:tcBorders>
          <w:top w:val="nil"/>
          <w:left w:val="nil"/>
          <w:bottom w:val="nil"/>
          <w:right w:val="single" w:color="D99695" w:sz="4" w:space="0"/>
        </w:tcBorders>
        <w:shd w:val="clear" w:color="FFFFFF" w:fill="auto"/>
      </w:tcPr>
    </w:tblStylePr>
    <w:tblStylePr w:type="lastCol">
      <w:rPr>
        <w:rFonts w:ascii="Arial" w:hAnsi="Arial"/>
        <w:i/>
        <w:color w:val="D99695"/>
        <w:sz w:val="22"/>
      </w:rPr>
      <w:tcPr>
        <w:tcBorders>
          <w:top w:val="nil"/>
          <w:left w:val="single" w:color="D99695" w:sz="4" w:space="0"/>
          <w:bottom w:val="nil"/>
          <w:right w:val="nil"/>
        </w:tcBorders>
        <w:shd w:val="clear" w:color="FFFFFF" w:fill="auto"/>
      </w:tcPr>
    </w:tblStylePr>
    <w:tblStylePr w:type="band1Vert">
      <w:tcPr>
        <w:shd w:val="clear" w:color="F2DCDC" w:fill="F2DCDC"/>
      </w:tcPr>
    </w:tblStylePr>
    <w:tblStylePr w:type="band1Horz">
      <w:rPr>
        <w:rFonts w:ascii="Arial" w:hAnsi="Arial"/>
        <w:color w:val="D99695"/>
        <w:sz w:val="22"/>
      </w:rPr>
      <w:tcPr>
        <w:shd w:val="clear" w:color="F2DCDC" w:fill="F2DCDC"/>
      </w:tcPr>
    </w:tblStylePr>
    <w:tblStylePr w:type="band2Horz">
      <w:rPr>
        <w:rFonts w:ascii="Arial" w:hAnsi="Arial"/>
        <w:color w:val="D99695"/>
        <w:sz w:val="22"/>
      </w:rPr>
    </w:tblStylePr>
  </w:style>
  <w:style w:type="table" w:customStyle="1" w:styleId="1274">
    <w:name w:val="Grid Table 7 Colorful - Accent 35"/>
    <w:basedOn w:val="13"/>
    <w:uiPriority w:val="99"/>
    <w:rPr>
      <w:sz w:val="22"/>
      <w:szCs w:val="22"/>
      <w:lang w:eastAsia="en-US"/>
    </w:rPr>
    <w:tblPr>
      <w:tblBorders>
        <w:bottom w:val="single" w:color="9ABB59" w:sz="4" w:space="0"/>
        <w:right w:val="single" w:color="9ABB59" w:sz="4" w:space="0"/>
        <w:insideH w:val="single" w:color="9ABB59" w:sz="4" w:space="0"/>
        <w:insideV w:val="single" w:color="9ABB59" w:sz="4" w:space="0"/>
      </w:tblBorders>
      <w:tblCellMar>
        <w:top w:w="0" w:type="dxa"/>
        <w:left w:w="108" w:type="dxa"/>
        <w:bottom w:w="0" w:type="dxa"/>
        <w:right w:w="108" w:type="dxa"/>
      </w:tblCellMar>
    </w:tblPr>
    <w:tblStylePr w:type="firstRow">
      <w:rPr>
        <w:rFonts w:ascii="Arial" w:hAnsi="Arial"/>
        <w:b/>
        <w:color w:val="9ABB59"/>
        <w:sz w:val="22"/>
      </w:rPr>
      <w:tcPr>
        <w:tcBorders>
          <w:top w:val="nil"/>
          <w:left w:val="nil"/>
          <w:bottom w:val="single" w:color="9ABB59" w:sz="4" w:space="0"/>
          <w:right w:val="nil"/>
        </w:tcBorders>
        <w:shd w:val="clear" w:color="FFFFFF" w:fill="FFFFFF"/>
      </w:tcPr>
    </w:tblStylePr>
    <w:tblStylePr w:type="lastRow">
      <w:rPr>
        <w:rFonts w:ascii="Arial" w:hAnsi="Arial"/>
        <w:b/>
        <w:color w:val="9ABB59"/>
        <w:sz w:val="22"/>
      </w:rPr>
      <w:tcPr>
        <w:tcBorders>
          <w:top w:val="single" w:color="9ABB59" w:sz="4" w:space="0"/>
          <w:left w:val="nil"/>
          <w:bottom w:val="nil"/>
          <w:right w:val="nil"/>
        </w:tcBorders>
        <w:shd w:val="clear" w:color="FFFFFF" w:fill="FFFFFF"/>
      </w:tcPr>
    </w:tblStylePr>
    <w:tblStylePr w:type="firstCol">
      <w:pPr>
        <w:jc w:val="right"/>
      </w:pPr>
      <w:rPr>
        <w:rFonts w:ascii="Arial" w:hAnsi="Arial"/>
        <w:i/>
        <w:color w:val="9ABB59"/>
        <w:sz w:val="22"/>
      </w:rPr>
      <w:tcPr>
        <w:tcBorders>
          <w:top w:val="nil"/>
          <w:left w:val="nil"/>
          <w:bottom w:val="nil"/>
          <w:right w:val="single" w:color="9ABB59" w:sz="4" w:space="0"/>
        </w:tcBorders>
        <w:shd w:val="clear" w:color="FFFFFF" w:fill="auto"/>
      </w:tcPr>
    </w:tblStylePr>
    <w:tblStylePr w:type="lastCol">
      <w:rPr>
        <w:rFonts w:ascii="Arial" w:hAnsi="Arial"/>
        <w:i/>
        <w:color w:val="9ABB59"/>
        <w:sz w:val="22"/>
      </w:rPr>
      <w:tcPr>
        <w:tcBorders>
          <w:top w:val="nil"/>
          <w:left w:val="single" w:color="9ABB59" w:sz="4" w:space="0"/>
          <w:bottom w:val="nil"/>
          <w:right w:val="nil"/>
        </w:tcBorders>
        <w:shd w:val="clear" w:color="FFFFFF" w:fill="auto"/>
      </w:tcPr>
    </w:tblStylePr>
    <w:tblStylePr w:type="band1Vert">
      <w:tcPr>
        <w:shd w:val="clear" w:color="EAF1DC" w:fill="EAF1DC"/>
      </w:tcPr>
    </w:tblStylePr>
    <w:tblStylePr w:type="band1Horz">
      <w:rPr>
        <w:rFonts w:ascii="Arial" w:hAnsi="Arial"/>
        <w:color w:val="9ABB59"/>
        <w:sz w:val="22"/>
      </w:rPr>
      <w:tcPr>
        <w:shd w:val="clear" w:color="EAF1DC" w:fill="EAF1DC"/>
      </w:tcPr>
    </w:tblStylePr>
    <w:tblStylePr w:type="band2Horz">
      <w:rPr>
        <w:rFonts w:ascii="Arial" w:hAnsi="Arial"/>
        <w:color w:val="9ABB59"/>
        <w:sz w:val="22"/>
      </w:rPr>
    </w:tblStylePr>
  </w:style>
  <w:style w:type="table" w:customStyle="1" w:styleId="1275">
    <w:name w:val="Grid Table 7 Colorful - Accent 45"/>
    <w:basedOn w:val="13"/>
    <w:uiPriority w:val="99"/>
    <w:rPr>
      <w:sz w:val="22"/>
      <w:szCs w:val="22"/>
      <w:lang w:eastAsia="en-US"/>
    </w:rPr>
    <w:tblPr>
      <w:tblBorders>
        <w:bottom w:val="single" w:color="B2A1C6" w:sz="4" w:space="0"/>
        <w:right w:val="single" w:color="B2A1C6" w:sz="4" w:space="0"/>
        <w:insideH w:val="single" w:color="B2A1C6" w:sz="4" w:space="0"/>
        <w:insideV w:val="single" w:color="B2A1C6" w:sz="4" w:space="0"/>
      </w:tblBorders>
      <w:tblCellMar>
        <w:top w:w="0" w:type="dxa"/>
        <w:left w:w="108" w:type="dxa"/>
        <w:bottom w:w="0" w:type="dxa"/>
        <w:right w:w="108" w:type="dxa"/>
      </w:tblCellMar>
    </w:tblPr>
    <w:tblStylePr w:type="firstRow">
      <w:rPr>
        <w:rFonts w:ascii="Arial" w:hAnsi="Arial"/>
        <w:b/>
        <w:color w:val="B2A1C6"/>
        <w:sz w:val="22"/>
      </w:rPr>
      <w:tcPr>
        <w:tcBorders>
          <w:top w:val="nil"/>
          <w:left w:val="nil"/>
          <w:bottom w:val="single" w:color="B2A1C6" w:sz="4" w:space="0"/>
          <w:right w:val="nil"/>
        </w:tcBorders>
        <w:shd w:val="clear" w:color="FFFFFF" w:fill="FFFFFF"/>
      </w:tcPr>
    </w:tblStylePr>
    <w:tblStylePr w:type="lastRow">
      <w:rPr>
        <w:rFonts w:ascii="Arial" w:hAnsi="Arial"/>
        <w:b/>
        <w:color w:val="B2A1C6"/>
        <w:sz w:val="22"/>
      </w:rPr>
      <w:tcPr>
        <w:tcBorders>
          <w:top w:val="single" w:color="B2A1C6" w:sz="4" w:space="0"/>
          <w:left w:val="nil"/>
          <w:bottom w:val="nil"/>
          <w:right w:val="nil"/>
        </w:tcBorders>
        <w:shd w:val="clear" w:color="FFFFFF" w:fill="FFFFFF"/>
      </w:tcPr>
    </w:tblStylePr>
    <w:tblStylePr w:type="firstCol">
      <w:pPr>
        <w:jc w:val="right"/>
      </w:pPr>
      <w:rPr>
        <w:rFonts w:ascii="Arial" w:hAnsi="Arial"/>
        <w:i/>
        <w:color w:val="B2A1C6"/>
        <w:sz w:val="22"/>
      </w:rPr>
      <w:tcPr>
        <w:tcBorders>
          <w:top w:val="nil"/>
          <w:left w:val="nil"/>
          <w:bottom w:val="nil"/>
          <w:right w:val="single" w:color="B2A1C6" w:sz="4" w:space="0"/>
        </w:tcBorders>
        <w:shd w:val="clear" w:color="FFFFFF" w:fill="auto"/>
      </w:tcPr>
    </w:tblStylePr>
    <w:tblStylePr w:type="lastCol">
      <w:rPr>
        <w:rFonts w:ascii="Arial" w:hAnsi="Arial"/>
        <w:i/>
        <w:color w:val="B2A1C6"/>
        <w:sz w:val="22"/>
      </w:rPr>
      <w:tcPr>
        <w:tcBorders>
          <w:top w:val="nil"/>
          <w:left w:val="single" w:color="B2A1C6" w:sz="4" w:space="0"/>
          <w:bottom w:val="nil"/>
          <w:right w:val="nil"/>
        </w:tcBorders>
        <w:shd w:val="clear" w:color="FFFFFF" w:fill="auto"/>
      </w:tcPr>
    </w:tblStylePr>
    <w:tblStylePr w:type="band1Vert">
      <w:tcPr>
        <w:shd w:val="clear" w:color="E5DFEC" w:fill="E5DFEC"/>
      </w:tcPr>
    </w:tblStylePr>
    <w:tblStylePr w:type="band1Horz">
      <w:rPr>
        <w:rFonts w:ascii="Arial" w:hAnsi="Arial"/>
        <w:color w:val="B2A1C6"/>
        <w:sz w:val="22"/>
      </w:rPr>
      <w:tcPr>
        <w:shd w:val="clear" w:color="E5DFEC" w:fill="E5DFEC"/>
      </w:tcPr>
    </w:tblStylePr>
    <w:tblStylePr w:type="band2Horz">
      <w:rPr>
        <w:rFonts w:ascii="Arial" w:hAnsi="Arial"/>
        <w:color w:val="B2A1C6"/>
        <w:sz w:val="22"/>
      </w:rPr>
    </w:tblStylePr>
  </w:style>
  <w:style w:type="table" w:customStyle="1" w:styleId="1276">
    <w:name w:val="Grid Table 7 Colorful - Accent 55"/>
    <w:basedOn w:val="13"/>
    <w:uiPriority w:val="99"/>
    <w:rPr>
      <w:sz w:val="22"/>
      <w:szCs w:val="22"/>
      <w:lang w:eastAsia="en-US"/>
    </w:rPr>
    <w:tblPr>
      <w:tblBorders>
        <w:bottom w:val="single" w:color="99D0DE" w:sz="4" w:space="0"/>
        <w:right w:val="single" w:color="99D0DE" w:sz="4" w:space="0"/>
        <w:insideH w:val="single" w:color="99D0DE" w:sz="4" w:space="0"/>
        <w:insideV w:val="single" w:color="99D0DE" w:sz="4" w:space="0"/>
      </w:tblBorders>
      <w:tblCellMar>
        <w:top w:w="0" w:type="dxa"/>
        <w:left w:w="108" w:type="dxa"/>
        <w:bottom w:w="0" w:type="dxa"/>
        <w:right w:w="108" w:type="dxa"/>
      </w:tblCellMar>
    </w:tblPr>
    <w:tblStylePr w:type="firstRow">
      <w:rPr>
        <w:rFonts w:ascii="Arial" w:hAnsi="Arial"/>
        <w:b/>
        <w:color w:val="266779"/>
        <w:sz w:val="22"/>
      </w:rPr>
      <w:tcPr>
        <w:tcBorders>
          <w:top w:val="nil"/>
          <w:left w:val="nil"/>
          <w:bottom w:val="single" w:color="99D0DE" w:sz="4" w:space="0"/>
          <w:right w:val="nil"/>
        </w:tcBorders>
        <w:shd w:val="clear" w:color="FFFFFF" w:fill="FFFFFF"/>
      </w:tcPr>
    </w:tblStylePr>
    <w:tblStylePr w:type="lastRow">
      <w:rPr>
        <w:rFonts w:ascii="Arial" w:hAnsi="Arial"/>
        <w:b/>
        <w:color w:val="266779"/>
        <w:sz w:val="22"/>
      </w:rPr>
      <w:tcPr>
        <w:tcBorders>
          <w:top w:val="single" w:color="99D0DE" w:sz="4" w:space="0"/>
          <w:left w:val="nil"/>
          <w:bottom w:val="nil"/>
          <w:right w:val="nil"/>
        </w:tcBorders>
        <w:shd w:val="clear" w:color="FFFFFF" w:fill="FFFFFF"/>
      </w:tcPr>
    </w:tblStylePr>
    <w:tblStylePr w:type="firstCol">
      <w:pPr>
        <w:jc w:val="right"/>
      </w:pPr>
      <w:rPr>
        <w:rFonts w:ascii="Arial" w:hAnsi="Arial"/>
        <w:i/>
        <w:color w:val="266779"/>
        <w:sz w:val="22"/>
      </w:rPr>
      <w:tcPr>
        <w:tcBorders>
          <w:top w:val="nil"/>
          <w:left w:val="nil"/>
          <w:bottom w:val="nil"/>
          <w:right w:val="single" w:color="99D0DE" w:sz="4" w:space="0"/>
        </w:tcBorders>
        <w:shd w:val="clear" w:color="FFFFFF" w:fill="auto"/>
      </w:tcPr>
    </w:tblStylePr>
    <w:tblStylePr w:type="lastCol">
      <w:rPr>
        <w:rFonts w:ascii="Arial" w:hAnsi="Arial"/>
        <w:i/>
        <w:color w:val="266779"/>
        <w:sz w:val="22"/>
      </w:rPr>
      <w:tcPr>
        <w:tcBorders>
          <w:top w:val="nil"/>
          <w:left w:val="single" w:color="99D0DE" w:sz="4" w:space="0"/>
          <w:bottom w:val="nil"/>
          <w:right w:val="nil"/>
        </w:tcBorders>
        <w:shd w:val="clear" w:color="FFFFFF" w:fill="auto"/>
      </w:tcPr>
    </w:tblStylePr>
    <w:tblStylePr w:type="band1Vert">
      <w:tcPr>
        <w:shd w:val="clear" w:color="DAEEF3" w:fill="DAEEF3"/>
      </w:tcPr>
    </w:tblStylePr>
    <w:tblStylePr w:type="band1Horz">
      <w:rPr>
        <w:rFonts w:ascii="Arial" w:hAnsi="Arial"/>
        <w:color w:val="266779"/>
        <w:sz w:val="22"/>
      </w:rPr>
      <w:tcPr>
        <w:shd w:val="clear" w:color="DAEEF3" w:fill="DAEEF3"/>
      </w:tcPr>
    </w:tblStylePr>
    <w:tblStylePr w:type="band2Horz">
      <w:rPr>
        <w:rFonts w:ascii="Arial" w:hAnsi="Arial"/>
        <w:color w:val="266779"/>
        <w:sz w:val="22"/>
      </w:rPr>
    </w:tblStylePr>
  </w:style>
  <w:style w:type="table" w:customStyle="1" w:styleId="1277">
    <w:name w:val="Grid Table 7 Colorful - Accent 65"/>
    <w:basedOn w:val="13"/>
    <w:uiPriority w:val="99"/>
    <w:rPr>
      <w:sz w:val="22"/>
      <w:szCs w:val="22"/>
      <w:lang w:eastAsia="en-US"/>
    </w:rPr>
    <w:tblPr>
      <w:tblBorders>
        <w:bottom w:val="single" w:color="FAC396" w:sz="4" w:space="0"/>
        <w:right w:val="single" w:color="FAC396" w:sz="4" w:space="0"/>
        <w:insideH w:val="single" w:color="FAC396" w:sz="4" w:space="0"/>
        <w:insideV w:val="single" w:color="FAC396" w:sz="4" w:space="0"/>
      </w:tblBorders>
      <w:tblCellMar>
        <w:top w:w="0" w:type="dxa"/>
        <w:left w:w="108" w:type="dxa"/>
        <w:bottom w:w="0" w:type="dxa"/>
        <w:right w:w="108" w:type="dxa"/>
      </w:tblCellMar>
    </w:tblPr>
    <w:tblStylePr w:type="firstRow">
      <w:rPr>
        <w:rFonts w:ascii="Arial" w:hAnsi="Arial"/>
        <w:b/>
        <w:color w:val="B15407"/>
        <w:sz w:val="22"/>
      </w:rPr>
      <w:tcPr>
        <w:tcBorders>
          <w:top w:val="nil"/>
          <w:left w:val="nil"/>
          <w:bottom w:val="single" w:color="FAC396" w:sz="4" w:space="0"/>
          <w:right w:val="nil"/>
        </w:tcBorders>
        <w:shd w:val="clear" w:color="FFFFFF" w:fill="FFFFFF"/>
      </w:tcPr>
    </w:tblStylePr>
    <w:tblStylePr w:type="lastRow">
      <w:rPr>
        <w:rFonts w:ascii="Arial" w:hAnsi="Arial"/>
        <w:b/>
        <w:color w:val="B15407"/>
        <w:sz w:val="22"/>
      </w:rPr>
      <w:tcPr>
        <w:tcBorders>
          <w:top w:val="single" w:color="FAC396" w:sz="4" w:space="0"/>
          <w:left w:val="nil"/>
          <w:bottom w:val="nil"/>
          <w:right w:val="nil"/>
        </w:tcBorders>
        <w:shd w:val="clear" w:color="FFFFFF" w:fill="FFFFFF"/>
      </w:tcPr>
    </w:tblStylePr>
    <w:tblStylePr w:type="firstCol">
      <w:pPr>
        <w:jc w:val="right"/>
      </w:pPr>
      <w:rPr>
        <w:rFonts w:ascii="Arial" w:hAnsi="Arial"/>
        <w:i/>
        <w:color w:val="B15407"/>
        <w:sz w:val="22"/>
      </w:rPr>
      <w:tcPr>
        <w:tcBorders>
          <w:top w:val="nil"/>
          <w:left w:val="nil"/>
          <w:bottom w:val="nil"/>
          <w:right w:val="single" w:color="FAC396" w:sz="4" w:space="0"/>
        </w:tcBorders>
        <w:shd w:val="clear" w:color="FFFFFF" w:fill="auto"/>
      </w:tcPr>
    </w:tblStylePr>
    <w:tblStylePr w:type="lastCol">
      <w:rPr>
        <w:rFonts w:ascii="Arial" w:hAnsi="Arial"/>
        <w:i/>
        <w:color w:val="B15407"/>
        <w:sz w:val="22"/>
      </w:rPr>
      <w:tcPr>
        <w:tcBorders>
          <w:top w:val="nil"/>
          <w:left w:val="single" w:color="FAC396" w:sz="4" w:space="0"/>
          <w:bottom w:val="nil"/>
          <w:right w:val="nil"/>
        </w:tcBorders>
        <w:shd w:val="clear" w:color="FFFFFF" w:fill="auto"/>
      </w:tcPr>
    </w:tblStylePr>
    <w:tblStylePr w:type="band1Vert">
      <w:tcPr>
        <w:shd w:val="clear" w:color="FDE9D8" w:fill="FDE9D8"/>
      </w:tcPr>
    </w:tblStylePr>
    <w:tblStylePr w:type="band1Horz">
      <w:rPr>
        <w:rFonts w:ascii="Arial" w:hAnsi="Arial"/>
        <w:color w:val="B15407"/>
        <w:sz w:val="22"/>
      </w:rPr>
      <w:tcPr>
        <w:shd w:val="clear" w:color="FDE9D8" w:fill="FDE9D8"/>
      </w:tcPr>
    </w:tblStylePr>
    <w:tblStylePr w:type="band2Horz">
      <w:rPr>
        <w:rFonts w:ascii="Arial" w:hAnsi="Arial"/>
        <w:color w:val="B15407"/>
        <w:sz w:val="22"/>
      </w:rPr>
    </w:tblStylePr>
  </w:style>
  <w:style w:type="table" w:customStyle="1" w:styleId="1278">
    <w:name w:val="Список-таблица 1 светлая13"/>
    <w:basedOn w:val="13"/>
    <w:uiPriority w:val="99"/>
    <w:rPr>
      <w:sz w:val="22"/>
      <w:szCs w:val="22"/>
      <w:lang w:eastAsia="en-US"/>
    </w:rPr>
    <w:tblPr>
      <w:tblCellMar>
        <w:top w:w="0" w:type="dxa"/>
        <w:left w:w="108" w:type="dxa"/>
        <w:bottom w:w="0" w:type="dxa"/>
        <w:right w:w="108" w:type="dxa"/>
      </w:tblCellMar>
    </w:tblPr>
    <w:tblStylePr w:type="firstRow">
      <w:rPr>
        <w:b/>
        <w:color w:val="404040"/>
      </w:rPr>
      <w:tcPr>
        <w:tcBorders>
          <w:top w:val="nil"/>
          <w:left w:val="nil"/>
          <w:bottom w:val="single" w:color="000000" w:sz="4" w:space="0"/>
          <w:right w:val="nil"/>
        </w:tcBorders>
      </w:tcPr>
    </w:tblStylePr>
    <w:tblStylePr w:type="lastRow">
      <w:rPr>
        <w:b/>
        <w:color w:val="404040"/>
      </w:rPr>
      <w:tcPr>
        <w:tcBorders>
          <w:top w:val="single" w:color="000000" w:sz="4" w:space="0"/>
          <w:left w:val="nil"/>
          <w:bottom w:val="nil"/>
          <w:right w:val="nil"/>
        </w:tcBorders>
      </w:tcPr>
    </w:tblStylePr>
    <w:tblStylePr w:type="firstCol">
      <w:rPr>
        <w:b/>
        <w:color w:val="404040"/>
      </w:rPr>
    </w:tblStylePr>
    <w:tblStylePr w:type="lastCol">
      <w:rPr>
        <w:b/>
        <w:color w:val="404040"/>
      </w:rPr>
    </w:tblStylePr>
    <w:tblStylePr w:type="band1Vert">
      <w:tcPr>
        <w:shd w:val="clear" w:color="BFBFBF" w:fill="BFBFBF"/>
      </w:tcPr>
    </w:tblStylePr>
    <w:tblStylePr w:type="band1Horz">
      <w:tcPr>
        <w:shd w:val="clear" w:color="BFBFBF" w:fill="BFBFBF"/>
      </w:tcPr>
    </w:tblStylePr>
  </w:style>
  <w:style w:type="table" w:customStyle="1" w:styleId="1279">
    <w:name w:val="List Table 1 Light - Accent 15"/>
    <w:basedOn w:val="13"/>
    <w:uiPriority w:val="99"/>
    <w:rPr>
      <w:sz w:val="22"/>
      <w:szCs w:val="22"/>
      <w:lang w:eastAsia="en-US"/>
    </w:rPr>
    <w:tblPr>
      <w:tblCellMar>
        <w:top w:w="0" w:type="dxa"/>
        <w:left w:w="108" w:type="dxa"/>
        <w:bottom w:w="0" w:type="dxa"/>
        <w:right w:w="108" w:type="dxa"/>
      </w:tblCellMar>
    </w:tblPr>
    <w:tblStylePr w:type="firstRow">
      <w:rPr>
        <w:b/>
        <w:color w:val="404040"/>
      </w:rPr>
      <w:tcPr>
        <w:tcBorders>
          <w:top w:val="nil"/>
          <w:left w:val="nil"/>
          <w:bottom w:val="single" w:color="4F81BD" w:sz="4" w:space="0"/>
          <w:right w:val="nil"/>
        </w:tcBorders>
      </w:tcPr>
    </w:tblStylePr>
    <w:tblStylePr w:type="lastRow">
      <w:rPr>
        <w:b/>
        <w:color w:val="404040"/>
      </w:rPr>
      <w:tcPr>
        <w:tcBorders>
          <w:top w:val="single" w:color="4F81BD" w:sz="4" w:space="0"/>
          <w:left w:val="nil"/>
          <w:bottom w:val="nil"/>
          <w:right w:val="nil"/>
        </w:tcBorders>
      </w:tcPr>
    </w:tblStylePr>
    <w:tblStylePr w:type="firstCol">
      <w:rPr>
        <w:b/>
        <w:color w:val="404040"/>
      </w:rPr>
    </w:tblStylePr>
    <w:tblStylePr w:type="lastCol">
      <w:rPr>
        <w:b/>
        <w:color w:val="404040"/>
      </w:rPr>
    </w:tblStylePr>
    <w:tblStylePr w:type="band1Vert">
      <w:tcPr>
        <w:shd w:val="clear" w:color="D2DFEE" w:fill="D2DFEE"/>
      </w:tcPr>
    </w:tblStylePr>
    <w:tblStylePr w:type="band1Horz">
      <w:tcPr>
        <w:shd w:val="clear" w:color="D2DFEE" w:fill="D2DFEE"/>
      </w:tcPr>
    </w:tblStylePr>
  </w:style>
  <w:style w:type="table" w:customStyle="1" w:styleId="1280">
    <w:name w:val="List Table 1 Light - Accent 25"/>
    <w:basedOn w:val="13"/>
    <w:uiPriority w:val="99"/>
    <w:rPr>
      <w:sz w:val="22"/>
      <w:szCs w:val="22"/>
      <w:lang w:eastAsia="en-US"/>
    </w:rPr>
    <w:tblPr>
      <w:tblCellMar>
        <w:top w:w="0" w:type="dxa"/>
        <w:left w:w="108" w:type="dxa"/>
        <w:bottom w:w="0" w:type="dxa"/>
        <w:right w:w="108" w:type="dxa"/>
      </w:tblCellMar>
    </w:tblPr>
    <w:tblStylePr w:type="firstRow">
      <w:rPr>
        <w:b/>
        <w:color w:val="404040"/>
      </w:rPr>
      <w:tcPr>
        <w:tcBorders>
          <w:top w:val="nil"/>
          <w:left w:val="nil"/>
          <w:bottom w:val="single" w:color="C0504D" w:sz="4" w:space="0"/>
          <w:right w:val="nil"/>
        </w:tcBorders>
      </w:tcPr>
    </w:tblStylePr>
    <w:tblStylePr w:type="lastRow">
      <w:rPr>
        <w:b/>
        <w:color w:val="404040"/>
      </w:rPr>
      <w:tcPr>
        <w:tcBorders>
          <w:top w:val="single" w:color="C0504D" w:sz="4" w:space="0"/>
          <w:left w:val="nil"/>
          <w:bottom w:val="nil"/>
          <w:right w:val="nil"/>
        </w:tcBorders>
      </w:tcPr>
    </w:tblStylePr>
    <w:tblStylePr w:type="firstCol">
      <w:rPr>
        <w:b/>
        <w:color w:val="404040"/>
      </w:rPr>
    </w:tblStylePr>
    <w:tblStylePr w:type="lastCol">
      <w:rPr>
        <w:b/>
        <w:color w:val="404040"/>
      </w:rPr>
    </w:tblStylePr>
    <w:tblStylePr w:type="band1Vert">
      <w:tcPr>
        <w:shd w:val="clear" w:color="EFD2D2" w:fill="EFD2D2"/>
      </w:tcPr>
    </w:tblStylePr>
    <w:tblStylePr w:type="band1Horz">
      <w:tcPr>
        <w:shd w:val="clear" w:color="EFD2D2" w:fill="EFD2D2"/>
      </w:tcPr>
    </w:tblStylePr>
  </w:style>
  <w:style w:type="table" w:customStyle="1" w:styleId="1281">
    <w:name w:val="List Table 1 Light - Accent 35"/>
    <w:basedOn w:val="13"/>
    <w:uiPriority w:val="99"/>
    <w:rPr>
      <w:sz w:val="22"/>
      <w:szCs w:val="22"/>
      <w:lang w:eastAsia="en-US"/>
    </w:rPr>
    <w:tblPr>
      <w:tblCellMar>
        <w:top w:w="0" w:type="dxa"/>
        <w:left w:w="108" w:type="dxa"/>
        <w:bottom w:w="0" w:type="dxa"/>
        <w:right w:w="108" w:type="dxa"/>
      </w:tblCellMar>
    </w:tblPr>
    <w:tblStylePr w:type="firstRow">
      <w:rPr>
        <w:b/>
        <w:color w:val="404040"/>
      </w:rPr>
      <w:tcPr>
        <w:tcBorders>
          <w:top w:val="nil"/>
          <w:left w:val="nil"/>
          <w:bottom w:val="single" w:color="9BBB59" w:sz="4" w:space="0"/>
          <w:right w:val="nil"/>
        </w:tcBorders>
      </w:tcPr>
    </w:tblStylePr>
    <w:tblStylePr w:type="lastRow">
      <w:rPr>
        <w:b/>
        <w:color w:val="404040"/>
      </w:rPr>
      <w:tcPr>
        <w:tcBorders>
          <w:top w:val="single" w:color="9BBB59" w:sz="4" w:space="0"/>
          <w:left w:val="nil"/>
          <w:bottom w:val="nil"/>
          <w:right w:val="nil"/>
        </w:tcBorders>
      </w:tcPr>
    </w:tblStylePr>
    <w:tblStylePr w:type="firstCol">
      <w:rPr>
        <w:b/>
        <w:color w:val="404040"/>
      </w:rPr>
    </w:tblStylePr>
    <w:tblStylePr w:type="lastCol">
      <w:rPr>
        <w:b/>
        <w:color w:val="404040"/>
      </w:rPr>
    </w:tblStylePr>
    <w:tblStylePr w:type="band1Vert">
      <w:tcPr>
        <w:shd w:val="clear" w:color="E5EED5" w:fill="E5EED5"/>
      </w:tcPr>
    </w:tblStylePr>
    <w:tblStylePr w:type="band1Horz">
      <w:tcPr>
        <w:shd w:val="clear" w:color="E5EED5" w:fill="E5EED5"/>
      </w:tcPr>
    </w:tblStylePr>
  </w:style>
  <w:style w:type="table" w:customStyle="1" w:styleId="1282">
    <w:name w:val="List Table 1 Light - Accent 45"/>
    <w:basedOn w:val="13"/>
    <w:uiPriority w:val="99"/>
    <w:rPr>
      <w:sz w:val="22"/>
      <w:szCs w:val="22"/>
      <w:lang w:eastAsia="en-US"/>
    </w:rPr>
    <w:tblPr>
      <w:tblCellMar>
        <w:top w:w="0" w:type="dxa"/>
        <w:left w:w="108" w:type="dxa"/>
        <w:bottom w:w="0" w:type="dxa"/>
        <w:right w:w="108" w:type="dxa"/>
      </w:tblCellMar>
    </w:tblPr>
    <w:tblStylePr w:type="firstRow">
      <w:rPr>
        <w:b/>
        <w:color w:val="404040"/>
      </w:rPr>
      <w:tcPr>
        <w:tcBorders>
          <w:top w:val="nil"/>
          <w:left w:val="nil"/>
          <w:bottom w:val="single" w:color="8064A2" w:sz="4" w:space="0"/>
          <w:right w:val="nil"/>
        </w:tcBorders>
      </w:tcPr>
    </w:tblStylePr>
    <w:tblStylePr w:type="lastRow">
      <w:rPr>
        <w:b/>
        <w:color w:val="404040"/>
      </w:rPr>
      <w:tcPr>
        <w:tcBorders>
          <w:top w:val="single" w:color="8064A2" w:sz="4" w:space="0"/>
          <w:left w:val="nil"/>
          <w:bottom w:val="nil"/>
          <w:right w:val="nil"/>
        </w:tcBorders>
      </w:tcPr>
    </w:tblStylePr>
    <w:tblStylePr w:type="firstCol">
      <w:rPr>
        <w:b/>
        <w:color w:val="404040"/>
      </w:rPr>
    </w:tblStylePr>
    <w:tblStylePr w:type="lastCol">
      <w:rPr>
        <w:b/>
        <w:color w:val="404040"/>
      </w:rPr>
    </w:tblStylePr>
    <w:tblStylePr w:type="band1Vert">
      <w:tcPr>
        <w:shd w:val="clear" w:color="DFD8E7" w:fill="DFD8E7"/>
      </w:tcPr>
    </w:tblStylePr>
    <w:tblStylePr w:type="band1Horz">
      <w:tcPr>
        <w:shd w:val="clear" w:color="DFD8E7" w:fill="DFD8E7"/>
      </w:tcPr>
    </w:tblStylePr>
  </w:style>
  <w:style w:type="table" w:customStyle="1" w:styleId="1283">
    <w:name w:val="List Table 1 Light - Accent 55"/>
    <w:basedOn w:val="13"/>
    <w:uiPriority w:val="99"/>
    <w:rPr>
      <w:sz w:val="22"/>
      <w:szCs w:val="22"/>
      <w:lang w:eastAsia="en-US"/>
    </w:rPr>
    <w:tblPr>
      <w:tblCellMar>
        <w:top w:w="0" w:type="dxa"/>
        <w:left w:w="108" w:type="dxa"/>
        <w:bottom w:w="0" w:type="dxa"/>
        <w:right w:w="108" w:type="dxa"/>
      </w:tblCellMar>
    </w:tblPr>
    <w:tblStylePr w:type="firstRow">
      <w:rPr>
        <w:b/>
        <w:color w:val="404040"/>
      </w:rPr>
      <w:tcPr>
        <w:tcBorders>
          <w:top w:val="nil"/>
          <w:left w:val="nil"/>
          <w:bottom w:val="single" w:color="4BACC6" w:sz="4" w:space="0"/>
          <w:right w:val="nil"/>
        </w:tcBorders>
      </w:tcPr>
    </w:tblStylePr>
    <w:tblStylePr w:type="lastRow">
      <w:rPr>
        <w:b/>
        <w:color w:val="404040"/>
      </w:rPr>
      <w:tcPr>
        <w:tcBorders>
          <w:top w:val="single" w:color="4BACC6" w:sz="4" w:space="0"/>
          <w:left w:val="nil"/>
          <w:bottom w:val="nil"/>
          <w:right w:val="nil"/>
        </w:tcBorders>
      </w:tcPr>
    </w:tblStylePr>
    <w:tblStylePr w:type="firstCol">
      <w:rPr>
        <w:b/>
        <w:color w:val="404040"/>
      </w:rPr>
    </w:tblStylePr>
    <w:tblStylePr w:type="lastCol">
      <w:rPr>
        <w:b/>
        <w:color w:val="404040"/>
      </w:rPr>
    </w:tblStylePr>
    <w:tblStylePr w:type="band1Vert">
      <w:tcPr>
        <w:shd w:val="clear" w:color="D1EAF0" w:fill="D1EAF0"/>
      </w:tcPr>
    </w:tblStylePr>
    <w:tblStylePr w:type="band1Horz">
      <w:tcPr>
        <w:shd w:val="clear" w:color="D1EAF0" w:fill="D1EAF0"/>
      </w:tcPr>
    </w:tblStylePr>
  </w:style>
  <w:style w:type="table" w:customStyle="1" w:styleId="1284">
    <w:name w:val="List Table 1 Light - Accent 65"/>
    <w:basedOn w:val="13"/>
    <w:uiPriority w:val="99"/>
    <w:rPr>
      <w:sz w:val="22"/>
      <w:szCs w:val="22"/>
      <w:lang w:eastAsia="en-US"/>
    </w:rPr>
    <w:tblPr>
      <w:tblCellMar>
        <w:top w:w="0" w:type="dxa"/>
        <w:left w:w="108" w:type="dxa"/>
        <w:bottom w:w="0" w:type="dxa"/>
        <w:right w:w="108" w:type="dxa"/>
      </w:tblCellMar>
    </w:tblPr>
    <w:tblStylePr w:type="firstRow">
      <w:rPr>
        <w:b/>
        <w:color w:val="404040"/>
      </w:rPr>
      <w:tcPr>
        <w:tcBorders>
          <w:top w:val="nil"/>
          <w:left w:val="nil"/>
          <w:bottom w:val="single" w:color="F79646" w:sz="4" w:space="0"/>
          <w:right w:val="nil"/>
        </w:tcBorders>
      </w:tcPr>
    </w:tblStylePr>
    <w:tblStylePr w:type="lastRow">
      <w:rPr>
        <w:b/>
        <w:color w:val="404040"/>
      </w:rPr>
      <w:tcPr>
        <w:tcBorders>
          <w:top w:val="single" w:color="F79646" w:sz="4" w:space="0"/>
          <w:left w:val="nil"/>
          <w:bottom w:val="nil"/>
          <w:right w:val="nil"/>
        </w:tcBorders>
      </w:tcPr>
    </w:tblStylePr>
    <w:tblStylePr w:type="firstCol">
      <w:rPr>
        <w:b/>
        <w:color w:val="404040"/>
      </w:rPr>
    </w:tblStylePr>
    <w:tblStylePr w:type="lastCol">
      <w:rPr>
        <w:b/>
        <w:color w:val="404040"/>
      </w:rPr>
    </w:tblStylePr>
    <w:tblStylePr w:type="band1Vert">
      <w:tcPr>
        <w:shd w:val="clear" w:color="FDE4D0" w:fill="FDE4D0"/>
      </w:tcPr>
    </w:tblStylePr>
    <w:tblStylePr w:type="band1Horz">
      <w:tcPr>
        <w:shd w:val="clear" w:color="FDE4D0" w:fill="FDE4D0"/>
      </w:tcPr>
    </w:tblStylePr>
  </w:style>
  <w:style w:type="table" w:customStyle="1" w:styleId="1285">
    <w:name w:val="Список-таблица 213"/>
    <w:basedOn w:val="13"/>
    <w:uiPriority w:val="99"/>
    <w:rPr>
      <w:sz w:val="22"/>
      <w:szCs w:val="22"/>
      <w:lang w:eastAsia="en-US"/>
    </w:rPr>
    <w:tblPr>
      <w:tblBorders>
        <w:top w:val="single" w:color="6F6F6F" w:sz="4" w:space="0"/>
        <w:bottom w:val="single" w:color="6F6F6F" w:sz="4" w:space="0"/>
        <w:insideH w:val="single" w:color="6F6F6F" w:sz="4" w:space="0"/>
      </w:tblBorders>
      <w:tblCellMar>
        <w:top w:w="0" w:type="dxa"/>
        <w:left w:w="108" w:type="dxa"/>
        <w:bottom w:w="0" w:type="dxa"/>
        <w:right w:w="108" w:type="dxa"/>
      </w:tblCellMar>
    </w:tblPr>
    <w:tblStylePr w:type="firstRow">
      <w:rPr>
        <w:rFonts w:ascii="Arial" w:hAnsi="Arial"/>
        <w:b/>
        <w:color w:val="404040"/>
        <w:sz w:val="22"/>
      </w:rPr>
      <w:tcPr>
        <w:tcBorders>
          <w:top w:val="single" w:color="6F6F6F" w:sz="4" w:space="0"/>
          <w:left w:val="nil"/>
          <w:bottom w:val="single" w:color="6F6F6F" w:sz="4" w:space="0"/>
          <w:right w:val="nil"/>
        </w:tcBorders>
      </w:tcPr>
    </w:tblStylePr>
    <w:tblStylePr w:type="lastRow">
      <w:rPr>
        <w:rFonts w:ascii="Arial" w:hAnsi="Arial"/>
        <w:b/>
        <w:color w:val="404040"/>
        <w:sz w:val="22"/>
      </w:rPr>
      <w:tcPr>
        <w:tcBorders>
          <w:top w:val="single" w:color="6F6F6F" w:sz="4" w:space="0"/>
          <w:left w:val="nil"/>
          <w:bottom w:val="single" w:color="6F6F6F"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BFBFBF" w:fill="BFBFBF"/>
      </w:tcPr>
    </w:tblStylePr>
    <w:tblStylePr w:type="band1Horz">
      <w:rPr>
        <w:rFonts w:ascii="Arial" w:hAnsi="Arial"/>
        <w:color w:val="404040"/>
        <w:sz w:val="22"/>
      </w:rPr>
      <w:tcPr>
        <w:shd w:val="clear" w:color="BFBFBF" w:fill="BFBFBF"/>
      </w:tcPr>
    </w:tblStylePr>
  </w:style>
  <w:style w:type="table" w:customStyle="1" w:styleId="1286">
    <w:name w:val="List Table 2 - Accent 15"/>
    <w:basedOn w:val="13"/>
    <w:uiPriority w:val="99"/>
    <w:rPr>
      <w:sz w:val="22"/>
      <w:szCs w:val="22"/>
      <w:lang w:eastAsia="en-US"/>
    </w:rPr>
    <w:tblPr>
      <w:tblBorders>
        <w:top w:val="single" w:color="9BB7D9" w:sz="4" w:space="0"/>
        <w:bottom w:val="single" w:color="9BB7D9" w:sz="4" w:space="0"/>
        <w:insideH w:val="single" w:color="9BB7D9" w:sz="4" w:space="0"/>
      </w:tblBorders>
      <w:tblCellMar>
        <w:top w:w="0" w:type="dxa"/>
        <w:left w:w="108" w:type="dxa"/>
        <w:bottom w:w="0" w:type="dxa"/>
        <w:right w:w="108" w:type="dxa"/>
      </w:tblCellMar>
    </w:tblPr>
    <w:tblStylePr w:type="firstRow">
      <w:rPr>
        <w:rFonts w:ascii="Arial" w:hAnsi="Arial"/>
        <w:b/>
        <w:color w:val="404040"/>
        <w:sz w:val="22"/>
      </w:rPr>
      <w:tcPr>
        <w:tcBorders>
          <w:top w:val="single" w:color="9BB7D9" w:sz="4" w:space="0"/>
          <w:left w:val="nil"/>
          <w:bottom w:val="single" w:color="9BB7D9" w:sz="4" w:space="0"/>
          <w:right w:val="nil"/>
        </w:tcBorders>
      </w:tcPr>
    </w:tblStylePr>
    <w:tblStylePr w:type="lastRow">
      <w:rPr>
        <w:rFonts w:ascii="Arial" w:hAnsi="Arial"/>
        <w:b/>
        <w:color w:val="404040"/>
        <w:sz w:val="22"/>
      </w:rPr>
      <w:tcPr>
        <w:tcBorders>
          <w:top w:val="single" w:color="9BB7D9" w:sz="4" w:space="0"/>
          <w:left w:val="nil"/>
          <w:bottom w:val="single" w:color="9BB7D9"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D2DFEE" w:fill="D2DFEE"/>
      </w:tcPr>
    </w:tblStylePr>
    <w:tblStylePr w:type="band1Horz">
      <w:rPr>
        <w:rFonts w:ascii="Arial" w:hAnsi="Arial"/>
        <w:color w:val="404040"/>
        <w:sz w:val="22"/>
      </w:rPr>
      <w:tcPr>
        <w:shd w:val="clear" w:color="D2DFEE" w:fill="D2DFEE"/>
      </w:tcPr>
    </w:tblStylePr>
  </w:style>
  <w:style w:type="table" w:customStyle="1" w:styleId="1287">
    <w:name w:val="List Table 2 - Accent 25"/>
    <w:basedOn w:val="13"/>
    <w:uiPriority w:val="99"/>
    <w:rPr>
      <w:sz w:val="22"/>
      <w:szCs w:val="22"/>
      <w:lang w:eastAsia="en-US"/>
    </w:rPr>
    <w:tblPr>
      <w:tblBorders>
        <w:top w:val="single" w:color="DB9B9A" w:sz="4" w:space="0"/>
        <w:bottom w:val="single" w:color="DB9B9A" w:sz="4" w:space="0"/>
        <w:insideH w:val="single" w:color="DB9B9A" w:sz="4" w:space="0"/>
      </w:tblBorders>
      <w:tblCellMar>
        <w:top w:w="0" w:type="dxa"/>
        <w:left w:w="108" w:type="dxa"/>
        <w:bottom w:w="0" w:type="dxa"/>
        <w:right w:w="108" w:type="dxa"/>
      </w:tblCellMar>
    </w:tblPr>
    <w:tblStylePr w:type="firstRow">
      <w:rPr>
        <w:rFonts w:ascii="Arial" w:hAnsi="Arial"/>
        <w:b/>
        <w:color w:val="404040"/>
        <w:sz w:val="22"/>
      </w:rPr>
      <w:tcPr>
        <w:tcBorders>
          <w:top w:val="single" w:color="DB9B9A" w:sz="4" w:space="0"/>
          <w:left w:val="nil"/>
          <w:bottom w:val="single" w:color="DB9B9A" w:sz="4" w:space="0"/>
          <w:right w:val="nil"/>
        </w:tcBorders>
      </w:tcPr>
    </w:tblStylePr>
    <w:tblStylePr w:type="lastRow">
      <w:rPr>
        <w:rFonts w:ascii="Arial" w:hAnsi="Arial"/>
        <w:b/>
        <w:color w:val="404040"/>
        <w:sz w:val="22"/>
      </w:rPr>
      <w:tcPr>
        <w:tcBorders>
          <w:top w:val="single" w:color="DB9B9A" w:sz="4" w:space="0"/>
          <w:left w:val="nil"/>
          <w:bottom w:val="single" w:color="DB9B9A"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EFD2D2" w:fill="EFD2D2"/>
      </w:tcPr>
    </w:tblStylePr>
    <w:tblStylePr w:type="band1Horz">
      <w:rPr>
        <w:rFonts w:ascii="Arial" w:hAnsi="Arial"/>
        <w:color w:val="404040"/>
        <w:sz w:val="22"/>
      </w:rPr>
      <w:tcPr>
        <w:shd w:val="clear" w:color="EFD2D2" w:fill="EFD2D2"/>
      </w:tcPr>
    </w:tblStylePr>
  </w:style>
  <w:style w:type="table" w:customStyle="1" w:styleId="1288">
    <w:name w:val="List Table 2 - Accent 35"/>
    <w:basedOn w:val="13"/>
    <w:uiPriority w:val="99"/>
    <w:rPr>
      <w:sz w:val="22"/>
      <w:szCs w:val="22"/>
      <w:lang w:eastAsia="en-US"/>
    </w:rPr>
    <w:tblPr>
      <w:tblBorders>
        <w:top w:val="single" w:color="C6D8A1" w:sz="4" w:space="0"/>
        <w:bottom w:val="single" w:color="C6D8A1" w:sz="4" w:space="0"/>
        <w:insideH w:val="single" w:color="C6D8A1" w:sz="4" w:space="0"/>
      </w:tblBorders>
      <w:tblCellMar>
        <w:top w:w="0" w:type="dxa"/>
        <w:left w:w="108" w:type="dxa"/>
        <w:bottom w:w="0" w:type="dxa"/>
        <w:right w:w="108" w:type="dxa"/>
      </w:tblCellMar>
    </w:tblPr>
    <w:tblStylePr w:type="firstRow">
      <w:rPr>
        <w:rFonts w:ascii="Arial" w:hAnsi="Arial"/>
        <w:b/>
        <w:color w:val="404040"/>
        <w:sz w:val="22"/>
      </w:rPr>
      <w:tcPr>
        <w:tcBorders>
          <w:top w:val="single" w:color="C6D8A1" w:sz="4" w:space="0"/>
          <w:left w:val="nil"/>
          <w:bottom w:val="single" w:color="C6D8A1" w:sz="4" w:space="0"/>
          <w:right w:val="nil"/>
        </w:tcBorders>
      </w:tcPr>
    </w:tblStylePr>
    <w:tblStylePr w:type="lastRow">
      <w:rPr>
        <w:rFonts w:ascii="Arial" w:hAnsi="Arial"/>
        <w:b/>
        <w:color w:val="404040"/>
        <w:sz w:val="22"/>
      </w:rPr>
      <w:tcPr>
        <w:tcBorders>
          <w:top w:val="single" w:color="C6D8A1" w:sz="4" w:space="0"/>
          <w:left w:val="nil"/>
          <w:bottom w:val="single" w:color="C6D8A1"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E5EED5" w:fill="E5EED5"/>
      </w:tcPr>
    </w:tblStylePr>
    <w:tblStylePr w:type="band1Horz">
      <w:rPr>
        <w:rFonts w:ascii="Arial" w:hAnsi="Arial"/>
        <w:color w:val="404040"/>
        <w:sz w:val="22"/>
      </w:rPr>
      <w:tcPr>
        <w:shd w:val="clear" w:color="E5EED5" w:fill="E5EED5"/>
      </w:tcPr>
    </w:tblStylePr>
  </w:style>
  <w:style w:type="table" w:customStyle="1" w:styleId="1289">
    <w:name w:val="List Table 2 - Accent 45"/>
    <w:basedOn w:val="13"/>
    <w:uiPriority w:val="99"/>
    <w:rPr>
      <w:sz w:val="22"/>
      <w:szCs w:val="22"/>
      <w:lang w:eastAsia="en-US"/>
    </w:rPr>
    <w:tblPr>
      <w:tblBorders>
        <w:top w:val="single" w:color="B7A7CA" w:sz="4" w:space="0"/>
        <w:bottom w:val="single" w:color="B7A7CA" w:sz="4" w:space="0"/>
        <w:insideH w:val="single" w:color="B7A7CA" w:sz="4" w:space="0"/>
      </w:tblBorders>
      <w:tblCellMar>
        <w:top w:w="0" w:type="dxa"/>
        <w:left w:w="108" w:type="dxa"/>
        <w:bottom w:w="0" w:type="dxa"/>
        <w:right w:w="108" w:type="dxa"/>
      </w:tblCellMar>
    </w:tblPr>
    <w:tblStylePr w:type="firstRow">
      <w:rPr>
        <w:rFonts w:ascii="Arial" w:hAnsi="Arial"/>
        <w:b/>
        <w:color w:val="404040"/>
        <w:sz w:val="22"/>
      </w:rPr>
      <w:tcPr>
        <w:tcBorders>
          <w:top w:val="single" w:color="B7A7CA" w:sz="4" w:space="0"/>
          <w:left w:val="nil"/>
          <w:bottom w:val="single" w:color="B7A7CA" w:sz="4" w:space="0"/>
          <w:right w:val="nil"/>
        </w:tcBorders>
      </w:tcPr>
    </w:tblStylePr>
    <w:tblStylePr w:type="lastRow">
      <w:rPr>
        <w:rFonts w:ascii="Arial" w:hAnsi="Arial"/>
        <w:b/>
        <w:color w:val="404040"/>
        <w:sz w:val="22"/>
      </w:rPr>
      <w:tcPr>
        <w:tcBorders>
          <w:top w:val="single" w:color="B7A7CA" w:sz="4" w:space="0"/>
          <w:left w:val="nil"/>
          <w:bottom w:val="single" w:color="B7A7CA"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DFD8E7" w:fill="DFD8E7"/>
      </w:tcPr>
    </w:tblStylePr>
    <w:tblStylePr w:type="band1Horz">
      <w:rPr>
        <w:rFonts w:ascii="Arial" w:hAnsi="Arial"/>
        <w:color w:val="404040"/>
        <w:sz w:val="22"/>
      </w:rPr>
      <w:tcPr>
        <w:shd w:val="clear" w:color="DFD8E7" w:fill="DFD8E7"/>
      </w:tcPr>
    </w:tblStylePr>
  </w:style>
  <w:style w:type="table" w:customStyle="1" w:styleId="1290">
    <w:name w:val="List Table 2 - Accent 55"/>
    <w:basedOn w:val="13"/>
    <w:uiPriority w:val="99"/>
    <w:rPr>
      <w:sz w:val="22"/>
      <w:szCs w:val="22"/>
      <w:lang w:eastAsia="en-US"/>
    </w:rPr>
    <w:tblPr>
      <w:tblBorders>
        <w:top w:val="single" w:color="99D0DE" w:sz="4" w:space="0"/>
        <w:bottom w:val="single" w:color="99D0DE" w:sz="4" w:space="0"/>
        <w:insideH w:val="single" w:color="99D0DE" w:sz="4" w:space="0"/>
      </w:tblBorders>
      <w:tblCellMar>
        <w:top w:w="0" w:type="dxa"/>
        <w:left w:w="108" w:type="dxa"/>
        <w:bottom w:w="0" w:type="dxa"/>
        <w:right w:w="108" w:type="dxa"/>
      </w:tblCellMar>
    </w:tblPr>
    <w:tblStylePr w:type="firstRow">
      <w:rPr>
        <w:rFonts w:ascii="Arial" w:hAnsi="Arial"/>
        <w:b/>
        <w:color w:val="404040"/>
        <w:sz w:val="22"/>
      </w:rPr>
      <w:tcPr>
        <w:tcBorders>
          <w:top w:val="single" w:color="99D0DE" w:sz="4" w:space="0"/>
          <w:left w:val="nil"/>
          <w:bottom w:val="single" w:color="99D0DE" w:sz="4" w:space="0"/>
          <w:right w:val="nil"/>
        </w:tcBorders>
      </w:tcPr>
    </w:tblStylePr>
    <w:tblStylePr w:type="lastRow">
      <w:rPr>
        <w:rFonts w:ascii="Arial" w:hAnsi="Arial"/>
        <w:b/>
        <w:color w:val="404040"/>
        <w:sz w:val="22"/>
      </w:rPr>
      <w:tcPr>
        <w:tcBorders>
          <w:top w:val="single" w:color="99D0DE" w:sz="4" w:space="0"/>
          <w:left w:val="nil"/>
          <w:bottom w:val="single" w:color="99D0DE"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D1EAF0" w:fill="D1EAF0"/>
      </w:tcPr>
    </w:tblStylePr>
    <w:tblStylePr w:type="band1Horz">
      <w:rPr>
        <w:rFonts w:ascii="Arial" w:hAnsi="Arial"/>
        <w:color w:val="404040"/>
        <w:sz w:val="22"/>
      </w:rPr>
      <w:tcPr>
        <w:shd w:val="clear" w:color="D1EAF0" w:fill="D1EAF0"/>
      </w:tcPr>
    </w:tblStylePr>
  </w:style>
  <w:style w:type="table" w:customStyle="1" w:styleId="1291">
    <w:name w:val="List Table 2 - Accent 65"/>
    <w:basedOn w:val="13"/>
    <w:uiPriority w:val="99"/>
    <w:rPr>
      <w:sz w:val="22"/>
      <w:szCs w:val="22"/>
      <w:lang w:eastAsia="en-US"/>
    </w:rPr>
    <w:tblPr>
      <w:tblBorders>
        <w:top w:val="single" w:color="FAC396" w:sz="4" w:space="0"/>
        <w:bottom w:val="single" w:color="FAC396" w:sz="4" w:space="0"/>
        <w:insideH w:val="single" w:color="FAC396" w:sz="4" w:space="0"/>
      </w:tblBorders>
      <w:tblCellMar>
        <w:top w:w="0" w:type="dxa"/>
        <w:left w:w="108" w:type="dxa"/>
        <w:bottom w:w="0" w:type="dxa"/>
        <w:right w:w="108" w:type="dxa"/>
      </w:tblCellMar>
    </w:tblPr>
    <w:tblStylePr w:type="firstRow">
      <w:rPr>
        <w:rFonts w:ascii="Arial" w:hAnsi="Arial"/>
        <w:b/>
        <w:color w:val="404040"/>
        <w:sz w:val="22"/>
      </w:rPr>
      <w:tcPr>
        <w:tcBorders>
          <w:top w:val="single" w:color="FAC396" w:sz="4" w:space="0"/>
          <w:left w:val="nil"/>
          <w:bottom w:val="single" w:color="FAC396" w:sz="4" w:space="0"/>
          <w:right w:val="nil"/>
        </w:tcBorders>
      </w:tcPr>
    </w:tblStylePr>
    <w:tblStylePr w:type="lastRow">
      <w:rPr>
        <w:rFonts w:ascii="Arial" w:hAnsi="Arial"/>
        <w:b/>
        <w:color w:val="404040"/>
        <w:sz w:val="22"/>
      </w:rPr>
      <w:tcPr>
        <w:tcBorders>
          <w:top w:val="single" w:color="FAC396" w:sz="4" w:space="0"/>
          <w:left w:val="nil"/>
          <w:bottom w:val="single" w:color="FAC396"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FDE4D0" w:fill="FDE4D0"/>
      </w:tcPr>
    </w:tblStylePr>
    <w:tblStylePr w:type="band1Horz">
      <w:rPr>
        <w:rFonts w:ascii="Arial" w:hAnsi="Arial"/>
        <w:color w:val="404040"/>
        <w:sz w:val="22"/>
      </w:rPr>
      <w:tcPr>
        <w:shd w:val="clear" w:color="FDE4D0" w:fill="FDE4D0"/>
      </w:tcPr>
    </w:tblStylePr>
  </w:style>
  <w:style w:type="table" w:customStyle="1" w:styleId="1292">
    <w:name w:val="Список-таблица 313"/>
    <w:basedOn w:val="13"/>
    <w:uiPriority w:val="99"/>
    <w:rPr>
      <w:sz w:val="22"/>
      <w:szCs w:val="22"/>
      <w:lang w:eastAsia="en-US"/>
    </w:rPr>
    <w:tblPr>
      <w:tblBorders>
        <w:top w:val="single" w:color="000000" w:sz="4" w:space="0"/>
        <w:left w:val="single" w:color="000000" w:sz="4" w:space="0"/>
        <w:bottom w:val="single" w:color="000000" w:sz="4" w:space="0"/>
        <w:right w:val="single" w:color="000000" w:sz="4" w:space="0"/>
      </w:tblBorders>
      <w:tblCellMar>
        <w:top w:w="0" w:type="dxa"/>
        <w:left w:w="108" w:type="dxa"/>
        <w:bottom w:w="0" w:type="dxa"/>
        <w:right w:w="108" w:type="dxa"/>
      </w:tblCellMar>
    </w:tblPr>
    <w:tblStylePr w:type="firstRow">
      <w:rPr>
        <w:rFonts w:ascii="Arial" w:hAnsi="Arial"/>
        <w:b/>
        <w:color w:val="FFFFFF"/>
        <w:sz w:val="22"/>
      </w:r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000000" w:sz="4" w:space="0"/>
          <w:right w:val="single" w:color="000000" w:sz="4" w:space="0"/>
        </w:tcBorders>
      </w:tcPr>
    </w:tblStylePr>
    <w:tblStylePr w:type="band1Horz">
      <w:rPr>
        <w:rFonts w:ascii="Arial" w:hAnsi="Arial"/>
        <w:color w:val="404040"/>
        <w:sz w:val="22"/>
      </w:rPr>
      <w:tcPr>
        <w:tcBorders>
          <w:top w:val="single" w:color="000000" w:sz="4" w:space="0"/>
          <w:bottom w:val="single" w:color="000000" w:sz="4" w:space="0"/>
        </w:tcBorders>
      </w:tcPr>
    </w:tblStylePr>
  </w:style>
  <w:style w:type="table" w:customStyle="1" w:styleId="1293">
    <w:name w:val="List Table 3 - Accent 15"/>
    <w:basedOn w:val="13"/>
    <w:uiPriority w:val="99"/>
    <w:rPr>
      <w:sz w:val="22"/>
      <w:szCs w:val="22"/>
      <w:lang w:eastAsia="en-US"/>
    </w:rPr>
    <w:tblPr>
      <w:tblBorders>
        <w:top w:val="single" w:color="4F81BD" w:sz="4" w:space="0"/>
        <w:left w:val="single" w:color="4F81BD" w:sz="4" w:space="0"/>
        <w:bottom w:val="single" w:color="4F81BD" w:sz="4" w:space="0"/>
        <w:right w:val="single" w:color="4F81BD" w:sz="4" w:space="0"/>
      </w:tblBorders>
      <w:tblCellMar>
        <w:top w:w="0" w:type="dxa"/>
        <w:left w:w="108" w:type="dxa"/>
        <w:bottom w:w="0" w:type="dxa"/>
        <w:right w:w="108" w:type="dxa"/>
      </w:tblCellMar>
    </w:tblPr>
    <w:tblStylePr w:type="firstRow">
      <w:rPr>
        <w:rFonts w:ascii="Arial" w:hAnsi="Arial"/>
        <w:b/>
        <w:color w:val="FFFFFF"/>
        <w:sz w:val="22"/>
      </w:rPr>
      <w:tcPr>
        <w:shd w:val="clear" w:color="4F81BD"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4F81BD" w:sz="4" w:space="0"/>
          <w:right w:val="single" w:color="4F81BD" w:sz="4" w:space="0"/>
        </w:tcBorders>
      </w:tcPr>
    </w:tblStylePr>
    <w:tblStylePr w:type="band1Horz">
      <w:rPr>
        <w:rFonts w:ascii="Arial" w:hAnsi="Arial"/>
        <w:color w:val="404040"/>
        <w:sz w:val="22"/>
      </w:rPr>
      <w:tcPr>
        <w:tcBorders>
          <w:top w:val="single" w:color="4F81BD" w:sz="4" w:space="0"/>
          <w:bottom w:val="single" w:color="4F81BD" w:sz="4" w:space="0"/>
        </w:tcBorders>
      </w:tcPr>
    </w:tblStylePr>
  </w:style>
  <w:style w:type="table" w:customStyle="1" w:styleId="1294">
    <w:name w:val="List Table 3 - Accent 25"/>
    <w:basedOn w:val="13"/>
    <w:uiPriority w:val="99"/>
    <w:rPr>
      <w:sz w:val="22"/>
      <w:szCs w:val="22"/>
      <w:lang w:eastAsia="en-US"/>
    </w:rPr>
    <w:tblPr>
      <w:tblBorders>
        <w:top w:val="single" w:color="D99695" w:sz="4" w:space="0"/>
        <w:left w:val="single" w:color="D99695" w:sz="4" w:space="0"/>
        <w:bottom w:val="single" w:color="D99695" w:sz="4" w:space="0"/>
        <w:right w:val="single" w:color="D99695" w:sz="4" w:space="0"/>
      </w:tblBorders>
      <w:tblCellMar>
        <w:top w:w="0" w:type="dxa"/>
        <w:left w:w="108" w:type="dxa"/>
        <w:bottom w:w="0" w:type="dxa"/>
        <w:right w:w="108" w:type="dxa"/>
      </w:tblCellMar>
    </w:tblPr>
    <w:tblStylePr w:type="firstRow">
      <w:rPr>
        <w:rFonts w:ascii="Arial" w:hAnsi="Arial"/>
        <w:b/>
        <w:color w:val="FFFFFF"/>
        <w:sz w:val="22"/>
      </w:rPr>
      <w:tcPr>
        <w:shd w:val="clear" w:color="D99695" w:fill="D9969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D99695" w:sz="4" w:space="0"/>
          <w:right w:val="single" w:color="D99695" w:sz="4" w:space="0"/>
        </w:tcBorders>
      </w:tcPr>
    </w:tblStylePr>
    <w:tblStylePr w:type="band1Horz">
      <w:rPr>
        <w:rFonts w:ascii="Arial" w:hAnsi="Arial"/>
        <w:color w:val="404040"/>
        <w:sz w:val="22"/>
      </w:rPr>
      <w:tcPr>
        <w:tcBorders>
          <w:top w:val="single" w:color="D99695" w:sz="4" w:space="0"/>
          <w:bottom w:val="single" w:color="D99695" w:sz="4" w:space="0"/>
        </w:tcBorders>
      </w:tcPr>
    </w:tblStylePr>
  </w:style>
  <w:style w:type="table" w:customStyle="1" w:styleId="1295">
    <w:name w:val="List Table 3 - Accent 35"/>
    <w:basedOn w:val="13"/>
    <w:uiPriority w:val="99"/>
    <w:rPr>
      <w:sz w:val="22"/>
      <w:szCs w:val="22"/>
      <w:lang w:eastAsia="en-US"/>
    </w:rPr>
    <w:tblPr>
      <w:tblBorders>
        <w:top w:val="single" w:color="C3D69B" w:sz="4" w:space="0"/>
        <w:left w:val="single" w:color="C3D69B" w:sz="4" w:space="0"/>
        <w:bottom w:val="single" w:color="C3D69B" w:sz="4" w:space="0"/>
        <w:right w:val="single" w:color="C3D69B" w:sz="4" w:space="0"/>
      </w:tblBorders>
      <w:tblCellMar>
        <w:top w:w="0" w:type="dxa"/>
        <w:left w:w="108" w:type="dxa"/>
        <w:bottom w:w="0" w:type="dxa"/>
        <w:right w:w="108" w:type="dxa"/>
      </w:tblCellMar>
    </w:tblPr>
    <w:tblStylePr w:type="firstRow">
      <w:rPr>
        <w:rFonts w:ascii="Arial" w:hAnsi="Arial"/>
        <w:b/>
        <w:color w:val="FFFFFF"/>
        <w:sz w:val="22"/>
      </w:rPr>
      <w:tcPr>
        <w:shd w:val="clear" w:color="C3D69B" w:fill="C3D69B"/>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C3D69B" w:sz="4" w:space="0"/>
          <w:right w:val="single" w:color="C3D69B" w:sz="4" w:space="0"/>
        </w:tcBorders>
      </w:tcPr>
    </w:tblStylePr>
    <w:tblStylePr w:type="band1Horz">
      <w:rPr>
        <w:rFonts w:ascii="Arial" w:hAnsi="Arial"/>
        <w:color w:val="404040"/>
        <w:sz w:val="22"/>
      </w:rPr>
      <w:tcPr>
        <w:tcBorders>
          <w:top w:val="single" w:color="C3D69B" w:sz="4" w:space="0"/>
          <w:bottom w:val="single" w:color="C3D69B" w:sz="4" w:space="0"/>
        </w:tcBorders>
      </w:tcPr>
    </w:tblStylePr>
  </w:style>
  <w:style w:type="table" w:customStyle="1" w:styleId="1296">
    <w:name w:val="List Table 3 - Accent 45"/>
    <w:basedOn w:val="13"/>
    <w:uiPriority w:val="99"/>
    <w:rPr>
      <w:sz w:val="22"/>
      <w:szCs w:val="22"/>
      <w:lang w:eastAsia="en-US"/>
    </w:rPr>
    <w:tblPr>
      <w:tblBorders>
        <w:top w:val="single" w:color="B2A1C6" w:sz="4" w:space="0"/>
        <w:left w:val="single" w:color="B2A1C6" w:sz="4" w:space="0"/>
        <w:bottom w:val="single" w:color="B2A1C6" w:sz="4" w:space="0"/>
        <w:right w:val="single" w:color="B2A1C6" w:sz="4" w:space="0"/>
      </w:tblBorders>
      <w:tblCellMar>
        <w:top w:w="0" w:type="dxa"/>
        <w:left w:w="108" w:type="dxa"/>
        <w:bottom w:w="0" w:type="dxa"/>
        <w:right w:w="108" w:type="dxa"/>
      </w:tblCellMar>
    </w:tblPr>
    <w:tblStylePr w:type="firstRow">
      <w:rPr>
        <w:rFonts w:ascii="Arial" w:hAnsi="Arial"/>
        <w:b/>
        <w:color w:val="FFFFFF"/>
        <w:sz w:val="22"/>
      </w:rPr>
      <w:tcPr>
        <w:shd w:val="clear" w:color="B2A1C6" w:fill="B2A1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B2A1C6" w:sz="4" w:space="0"/>
          <w:right w:val="single" w:color="B2A1C6" w:sz="4" w:space="0"/>
        </w:tcBorders>
      </w:tcPr>
    </w:tblStylePr>
    <w:tblStylePr w:type="band1Horz">
      <w:rPr>
        <w:rFonts w:ascii="Arial" w:hAnsi="Arial"/>
        <w:color w:val="404040"/>
        <w:sz w:val="22"/>
      </w:rPr>
      <w:tcPr>
        <w:tcBorders>
          <w:top w:val="single" w:color="B2A1C6" w:sz="4" w:space="0"/>
          <w:bottom w:val="single" w:color="B2A1C6" w:sz="4" w:space="0"/>
        </w:tcBorders>
      </w:tcPr>
    </w:tblStylePr>
  </w:style>
  <w:style w:type="table" w:customStyle="1" w:styleId="1297">
    <w:name w:val="List Table 3 - Accent 55"/>
    <w:basedOn w:val="13"/>
    <w:uiPriority w:val="99"/>
    <w:rPr>
      <w:sz w:val="22"/>
      <w:szCs w:val="22"/>
      <w:lang w:eastAsia="en-US"/>
    </w:rPr>
    <w:tblPr>
      <w:tblBorders>
        <w:top w:val="single" w:color="92CCDC" w:sz="4" w:space="0"/>
        <w:left w:val="single" w:color="92CCDC" w:sz="4" w:space="0"/>
        <w:bottom w:val="single" w:color="92CCDC" w:sz="4" w:space="0"/>
        <w:right w:val="single" w:color="92CCDC" w:sz="4" w:space="0"/>
      </w:tblBorders>
      <w:tblCellMar>
        <w:top w:w="0" w:type="dxa"/>
        <w:left w:w="108" w:type="dxa"/>
        <w:bottom w:w="0" w:type="dxa"/>
        <w:right w:w="108" w:type="dxa"/>
      </w:tblCellMar>
    </w:tblPr>
    <w:tblStylePr w:type="firstRow">
      <w:rPr>
        <w:rFonts w:ascii="Arial" w:hAnsi="Arial"/>
        <w:b/>
        <w:color w:val="FFFFFF"/>
        <w:sz w:val="22"/>
      </w:rPr>
      <w:tcPr>
        <w:shd w:val="clear" w:color="92CCDC" w:fill="92CCDC"/>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92CCDC" w:sz="4" w:space="0"/>
          <w:right w:val="single" w:color="92CCDC" w:sz="4" w:space="0"/>
        </w:tcBorders>
      </w:tcPr>
    </w:tblStylePr>
    <w:tblStylePr w:type="band1Horz">
      <w:rPr>
        <w:rFonts w:ascii="Arial" w:hAnsi="Arial"/>
        <w:color w:val="404040"/>
        <w:sz w:val="22"/>
      </w:rPr>
      <w:tcPr>
        <w:tcBorders>
          <w:top w:val="single" w:color="92CCDC" w:sz="4" w:space="0"/>
          <w:bottom w:val="single" w:color="92CCDC" w:sz="4" w:space="0"/>
        </w:tcBorders>
      </w:tcPr>
    </w:tblStylePr>
  </w:style>
  <w:style w:type="table" w:customStyle="1" w:styleId="1298">
    <w:name w:val="List Table 3 - Accent 65"/>
    <w:basedOn w:val="13"/>
    <w:uiPriority w:val="99"/>
    <w:rPr>
      <w:sz w:val="22"/>
      <w:szCs w:val="22"/>
      <w:lang w:eastAsia="en-US"/>
    </w:rPr>
    <w:tblPr>
      <w:tblBorders>
        <w:top w:val="single" w:color="FAC090" w:sz="4" w:space="0"/>
        <w:left w:val="single" w:color="FAC090" w:sz="4" w:space="0"/>
        <w:bottom w:val="single" w:color="FAC090" w:sz="4" w:space="0"/>
        <w:right w:val="single" w:color="FAC090" w:sz="4" w:space="0"/>
      </w:tblBorders>
      <w:tblCellMar>
        <w:top w:w="0" w:type="dxa"/>
        <w:left w:w="108" w:type="dxa"/>
        <w:bottom w:w="0" w:type="dxa"/>
        <w:right w:w="108" w:type="dxa"/>
      </w:tblCellMar>
    </w:tblPr>
    <w:tblStylePr w:type="firstRow">
      <w:rPr>
        <w:rFonts w:ascii="Arial" w:hAnsi="Arial"/>
        <w:b/>
        <w:color w:val="FFFFFF"/>
        <w:sz w:val="22"/>
      </w:rPr>
      <w:tcPr>
        <w:shd w:val="clear" w:color="FAC090" w:fill="FAC09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FAC090" w:sz="4" w:space="0"/>
          <w:right w:val="single" w:color="FAC090" w:sz="4" w:space="0"/>
        </w:tcBorders>
      </w:tcPr>
    </w:tblStylePr>
    <w:tblStylePr w:type="band1Horz">
      <w:rPr>
        <w:rFonts w:ascii="Arial" w:hAnsi="Arial"/>
        <w:color w:val="404040"/>
        <w:sz w:val="22"/>
      </w:rPr>
      <w:tcPr>
        <w:tcBorders>
          <w:top w:val="single" w:color="FAC090" w:sz="4" w:space="0"/>
          <w:bottom w:val="single" w:color="FAC090" w:sz="4" w:space="0"/>
        </w:tcBorders>
      </w:tcPr>
    </w:tblStylePr>
  </w:style>
  <w:style w:type="table" w:customStyle="1" w:styleId="1299">
    <w:name w:val="Список-таблица 413"/>
    <w:basedOn w:val="13"/>
    <w:uiPriority w:val="99"/>
    <w:rPr>
      <w:sz w:val="22"/>
      <w:szCs w:val="22"/>
      <w:lang w:eastAsia="en-US"/>
    </w:rPr>
    <w:tblPr>
      <w:tblBorders>
        <w:top w:val="single" w:color="000000" w:sz="4" w:space="0"/>
        <w:left w:val="single" w:color="000000" w:sz="4" w:space="0"/>
        <w:bottom w:val="single" w:color="000000" w:sz="4" w:space="0"/>
        <w:right w:val="single" w:color="000000" w:sz="4" w:space="0"/>
        <w:insideH w:val="single" w:color="000000" w:sz="4" w:space="0"/>
      </w:tblBorders>
      <w:tblCellMar>
        <w:top w:w="0" w:type="dxa"/>
        <w:left w:w="108" w:type="dxa"/>
        <w:bottom w:w="0" w:type="dxa"/>
        <w:right w:w="108" w:type="dxa"/>
      </w:tblCellMar>
    </w:tblPr>
    <w:tblStylePr w:type="firstRow">
      <w:rPr>
        <w:rFonts w:ascii="Arial" w:hAnsi="Arial"/>
        <w:b/>
        <w:color w:val="FFFFFF"/>
        <w:sz w:val="22"/>
      </w:r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BFBFBF" w:fill="BFBFBF"/>
      </w:tcPr>
    </w:tblStylePr>
    <w:tblStylePr w:type="band1Horz">
      <w:rPr>
        <w:rFonts w:ascii="Arial" w:hAnsi="Arial"/>
        <w:color w:val="404040"/>
        <w:sz w:val="22"/>
      </w:rPr>
      <w:tcPr>
        <w:shd w:val="clear" w:color="BFBFBF" w:fill="BFBFBF"/>
      </w:tcPr>
    </w:tblStylePr>
  </w:style>
  <w:style w:type="table" w:customStyle="1" w:styleId="1300">
    <w:name w:val="List Table 4 - Accent 15"/>
    <w:basedOn w:val="13"/>
    <w:uiPriority w:val="99"/>
    <w:rPr>
      <w:sz w:val="22"/>
      <w:szCs w:val="22"/>
      <w:lang w:eastAsia="en-US"/>
    </w:rPr>
    <w:tblPr>
      <w:tblBorders>
        <w:top w:val="single" w:color="9BB7D9" w:sz="4" w:space="0"/>
        <w:left w:val="single" w:color="9BB7D9" w:sz="4" w:space="0"/>
        <w:bottom w:val="single" w:color="9BB7D9" w:sz="4" w:space="0"/>
        <w:right w:val="single" w:color="9BB7D9" w:sz="4" w:space="0"/>
        <w:insideH w:val="single" w:color="9BB7D9" w:sz="4" w:space="0"/>
      </w:tblBorders>
      <w:tblCellMar>
        <w:top w:w="0" w:type="dxa"/>
        <w:left w:w="108" w:type="dxa"/>
        <w:bottom w:w="0" w:type="dxa"/>
        <w:right w:w="108" w:type="dxa"/>
      </w:tblCellMar>
    </w:tblPr>
    <w:tblStylePr w:type="firstRow">
      <w:rPr>
        <w:rFonts w:ascii="Arial" w:hAnsi="Arial"/>
        <w:b/>
        <w:color w:val="FFFFFF"/>
        <w:sz w:val="22"/>
      </w:rPr>
      <w:tcPr>
        <w:shd w:val="clear" w:color="4F81BD"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D2DFEE" w:fill="D2DFEE"/>
      </w:tcPr>
    </w:tblStylePr>
    <w:tblStylePr w:type="band1Horz">
      <w:rPr>
        <w:rFonts w:ascii="Arial" w:hAnsi="Arial"/>
        <w:color w:val="404040"/>
        <w:sz w:val="22"/>
      </w:rPr>
      <w:tcPr>
        <w:shd w:val="clear" w:color="D2DFEE" w:fill="D2DFEE"/>
      </w:tcPr>
    </w:tblStylePr>
  </w:style>
  <w:style w:type="table" w:customStyle="1" w:styleId="1301">
    <w:name w:val="List Table 4 - Accent 25"/>
    <w:basedOn w:val="13"/>
    <w:uiPriority w:val="99"/>
    <w:rPr>
      <w:sz w:val="22"/>
      <w:szCs w:val="22"/>
      <w:lang w:eastAsia="en-US"/>
    </w:rPr>
    <w:tblPr>
      <w:tblBorders>
        <w:top w:val="single" w:color="DB9B9A" w:sz="4" w:space="0"/>
        <w:left w:val="single" w:color="DB9B9A" w:sz="4" w:space="0"/>
        <w:bottom w:val="single" w:color="DB9B9A" w:sz="4" w:space="0"/>
        <w:right w:val="single" w:color="DB9B9A" w:sz="4" w:space="0"/>
        <w:insideH w:val="single" w:color="DB9B9A" w:sz="4" w:space="0"/>
      </w:tblBorders>
      <w:tblCellMar>
        <w:top w:w="0" w:type="dxa"/>
        <w:left w:w="108" w:type="dxa"/>
        <w:bottom w:w="0" w:type="dxa"/>
        <w:right w:w="108" w:type="dxa"/>
      </w:tblCellMar>
    </w:tblPr>
    <w:tblStylePr w:type="firstRow">
      <w:rPr>
        <w:rFonts w:ascii="Arial" w:hAnsi="Arial"/>
        <w:b/>
        <w:color w:val="FFFFFF"/>
        <w:sz w:val="22"/>
      </w:rPr>
      <w:tcPr>
        <w:shd w:val="clear" w:color="C0504D" w:fill="C0504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EFD2D2" w:fill="EFD2D2"/>
      </w:tcPr>
    </w:tblStylePr>
    <w:tblStylePr w:type="band1Horz">
      <w:rPr>
        <w:rFonts w:ascii="Arial" w:hAnsi="Arial"/>
        <w:color w:val="404040"/>
        <w:sz w:val="22"/>
      </w:rPr>
      <w:tcPr>
        <w:shd w:val="clear" w:color="EFD2D2" w:fill="EFD2D2"/>
      </w:tcPr>
    </w:tblStylePr>
  </w:style>
  <w:style w:type="table" w:customStyle="1" w:styleId="1302">
    <w:name w:val="List Table 4 - Accent 35"/>
    <w:basedOn w:val="13"/>
    <w:uiPriority w:val="99"/>
    <w:rPr>
      <w:sz w:val="22"/>
      <w:szCs w:val="22"/>
      <w:lang w:eastAsia="en-US"/>
    </w:rPr>
    <w:tblPr>
      <w:tblBorders>
        <w:top w:val="single" w:color="C6D8A1" w:sz="4" w:space="0"/>
        <w:left w:val="single" w:color="C6D8A1" w:sz="4" w:space="0"/>
        <w:bottom w:val="single" w:color="C6D8A1" w:sz="4" w:space="0"/>
        <w:right w:val="single" w:color="C6D8A1" w:sz="4" w:space="0"/>
        <w:insideH w:val="single" w:color="C6D8A1" w:sz="4" w:space="0"/>
      </w:tblBorders>
      <w:tblCellMar>
        <w:top w:w="0" w:type="dxa"/>
        <w:left w:w="108" w:type="dxa"/>
        <w:bottom w:w="0" w:type="dxa"/>
        <w:right w:w="108" w:type="dxa"/>
      </w:tblCellMar>
    </w:tblPr>
    <w:tblStylePr w:type="firstRow">
      <w:rPr>
        <w:rFonts w:ascii="Arial" w:hAnsi="Arial"/>
        <w:b/>
        <w:color w:val="FFFFFF"/>
        <w:sz w:val="22"/>
      </w:rPr>
      <w:tcPr>
        <w:shd w:val="clear" w:color="9BBB59" w:fill="9BBB59"/>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E5EED5" w:fill="E5EED5"/>
      </w:tcPr>
    </w:tblStylePr>
    <w:tblStylePr w:type="band1Horz">
      <w:rPr>
        <w:rFonts w:ascii="Arial" w:hAnsi="Arial"/>
        <w:color w:val="404040"/>
        <w:sz w:val="22"/>
      </w:rPr>
      <w:tcPr>
        <w:shd w:val="clear" w:color="E5EED5" w:fill="E5EED5"/>
      </w:tcPr>
    </w:tblStylePr>
  </w:style>
  <w:style w:type="table" w:customStyle="1" w:styleId="1303">
    <w:name w:val="List Table 4 - Accent 45"/>
    <w:basedOn w:val="13"/>
    <w:uiPriority w:val="99"/>
    <w:rPr>
      <w:sz w:val="22"/>
      <w:szCs w:val="22"/>
      <w:lang w:eastAsia="en-US"/>
    </w:rPr>
    <w:tblPr>
      <w:tblBorders>
        <w:top w:val="single" w:color="B7A7CA" w:sz="4" w:space="0"/>
        <w:left w:val="single" w:color="B7A7CA" w:sz="4" w:space="0"/>
        <w:bottom w:val="single" w:color="B7A7CA" w:sz="4" w:space="0"/>
        <w:right w:val="single" w:color="B7A7CA" w:sz="4" w:space="0"/>
        <w:insideH w:val="single" w:color="B7A7CA" w:sz="4" w:space="0"/>
      </w:tblBorders>
      <w:tblCellMar>
        <w:top w:w="0" w:type="dxa"/>
        <w:left w:w="108" w:type="dxa"/>
        <w:bottom w:w="0" w:type="dxa"/>
        <w:right w:w="108" w:type="dxa"/>
      </w:tblCellMar>
    </w:tblPr>
    <w:tblStylePr w:type="firstRow">
      <w:rPr>
        <w:rFonts w:ascii="Arial" w:hAnsi="Arial"/>
        <w:b/>
        <w:color w:val="FFFFFF"/>
        <w:sz w:val="22"/>
      </w:rPr>
      <w:tcPr>
        <w:shd w:val="clear" w:color="8064A2" w:fill="8064A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DFD8E7" w:fill="DFD8E7"/>
      </w:tcPr>
    </w:tblStylePr>
    <w:tblStylePr w:type="band1Horz">
      <w:rPr>
        <w:rFonts w:ascii="Arial" w:hAnsi="Arial"/>
        <w:color w:val="404040"/>
        <w:sz w:val="22"/>
      </w:rPr>
      <w:tcPr>
        <w:shd w:val="clear" w:color="DFD8E7" w:fill="DFD8E7"/>
      </w:tcPr>
    </w:tblStylePr>
  </w:style>
  <w:style w:type="table" w:customStyle="1" w:styleId="1304">
    <w:name w:val="List Table 4 - Accent 55"/>
    <w:basedOn w:val="13"/>
    <w:uiPriority w:val="99"/>
    <w:rPr>
      <w:sz w:val="22"/>
      <w:szCs w:val="22"/>
      <w:lang w:eastAsia="en-US"/>
    </w:rPr>
    <w:tblPr>
      <w:tblBorders>
        <w:top w:val="single" w:color="99D0DE" w:sz="4" w:space="0"/>
        <w:left w:val="single" w:color="99D0DE" w:sz="4" w:space="0"/>
        <w:bottom w:val="single" w:color="99D0DE" w:sz="4" w:space="0"/>
        <w:right w:val="single" w:color="99D0DE" w:sz="4" w:space="0"/>
        <w:insideH w:val="single" w:color="99D0DE" w:sz="4" w:space="0"/>
      </w:tblBorders>
      <w:tblCellMar>
        <w:top w:w="0" w:type="dxa"/>
        <w:left w:w="108" w:type="dxa"/>
        <w:bottom w:w="0" w:type="dxa"/>
        <w:right w:w="108" w:type="dxa"/>
      </w:tblCellMar>
    </w:tblPr>
    <w:tblStylePr w:type="firstRow">
      <w:rPr>
        <w:rFonts w:ascii="Arial" w:hAnsi="Arial"/>
        <w:b/>
        <w:color w:val="FFFFFF"/>
        <w:sz w:val="22"/>
      </w:rPr>
      <w:tcPr>
        <w:shd w:val="clear" w:color="4BACC6" w:fill="4BAC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D1EAF0" w:fill="D1EAF0"/>
      </w:tcPr>
    </w:tblStylePr>
    <w:tblStylePr w:type="band1Horz">
      <w:rPr>
        <w:rFonts w:ascii="Arial" w:hAnsi="Arial"/>
        <w:color w:val="404040"/>
        <w:sz w:val="22"/>
      </w:rPr>
      <w:tcPr>
        <w:shd w:val="clear" w:color="D1EAF0" w:fill="D1EAF0"/>
      </w:tcPr>
    </w:tblStylePr>
  </w:style>
  <w:style w:type="table" w:customStyle="1" w:styleId="1305">
    <w:name w:val="List Table 4 - Accent 65"/>
    <w:basedOn w:val="13"/>
    <w:uiPriority w:val="99"/>
    <w:rPr>
      <w:sz w:val="22"/>
      <w:szCs w:val="22"/>
      <w:lang w:eastAsia="en-US"/>
    </w:rPr>
    <w:tblPr>
      <w:tblBorders>
        <w:top w:val="single" w:color="FAC396" w:sz="4" w:space="0"/>
        <w:left w:val="single" w:color="FAC396" w:sz="4" w:space="0"/>
        <w:bottom w:val="single" w:color="FAC396" w:sz="4" w:space="0"/>
        <w:right w:val="single" w:color="FAC396" w:sz="4" w:space="0"/>
        <w:insideH w:val="single" w:color="FAC396" w:sz="4" w:space="0"/>
      </w:tblBorders>
      <w:tblCellMar>
        <w:top w:w="0" w:type="dxa"/>
        <w:left w:w="108" w:type="dxa"/>
        <w:bottom w:w="0" w:type="dxa"/>
        <w:right w:w="108" w:type="dxa"/>
      </w:tblCellMar>
    </w:tblPr>
    <w:tblStylePr w:type="firstRow">
      <w:rPr>
        <w:rFonts w:ascii="Arial" w:hAnsi="Arial"/>
        <w:b/>
        <w:color w:val="FFFFFF"/>
        <w:sz w:val="22"/>
      </w:rPr>
      <w:tcPr>
        <w:shd w:val="clear" w:color="F79646" w:fill="F7964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FDE4D0" w:fill="FDE4D0"/>
      </w:tcPr>
    </w:tblStylePr>
    <w:tblStylePr w:type="band1Horz">
      <w:rPr>
        <w:rFonts w:ascii="Arial" w:hAnsi="Arial"/>
        <w:color w:val="404040"/>
        <w:sz w:val="22"/>
      </w:rPr>
      <w:tcPr>
        <w:shd w:val="clear" w:color="FDE4D0" w:fill="FDE4D0"/>
      </w:tcPr>
    </w:tblStylePr>
  </w:style>
  <w:style w:type="table" w:customStyle="1" w:styleId="1306">
    <w:name w:val="Список-таблица 5 темная13"/>
    <w:basedOn w:val="13"/>
    <w:uiPriority w:val="99"/>
    <w:rPr>
      <w:sz w:val="22"/>
      <w:szCs w:val="22"/>
      <w:lang w:eastAsia="en-US"/>
    </w:rPr>
    <w:tblPr>
      <w:tblBorders>
        <w:top w:val="single" w:color="7F7F7F" w:sz="32" w:space="0"/>
        <w:left w:val="single" w:color="7F7F7F" w:sz="32" w:space="0"/>
        <w:bottom w:val="single" w:color="7F7F7F" w:sz="32" w:space="0"/>
        <w:right w:val="single" w:color="7F7F7F" w:sz="32" w:space="0"/>
      </w:tblBorders>
      <w:tblCellMar>
        <w:top w:w="0" w:type="dxa"/>
        <w:left w:w="108" w:type="dxa"/>
        <w:bottom w:w="0" w:type="dxa"/>
        <w:right w:w="108" w:type="dxa"/>
      </w:tblCellMar>
    </w:tblPr>
    <w:tblStylePr w:type="firstRow">
      <w:rPr>
        <w:rFonts w:ascii="Arial" w:hAnsi="Arial"/>
        <w:b/>
        <w:color w:val="FFFFFF"/>
        <w:sz w:val="22"/>
      </w:rPr>
      <w:tcPr>
        <w:tcBorders>
          <w:top w:val="single" w:color="7F7F7F" w:sz="32" w:space="0"/>
          <w:bottom w:val="single" w:color="FFFFFF" w:sz="12" w:space="0"/>
        </w:tcBorders>
        <w:shd w:val="clear" w:color="7F7F7F" w:fill="7F7F7F"/>
      </w:tcPr>
    </w:tblStylePr>
    <w:tblStylePr w:type="lastRow">
      <w:rPr>
        <w:rFonts w:ascii="Arial" w:hAnsi="Arial"/>
        <w:b/>
        <w:color w:val="FFFFFF"/>
        <w:sz w:val="22"/>
      </w:rPr>
    </w:tblStylePr>
    <w:tblStylePr w:type="firstCol">
      <w:rPr>
        <w:rFonts w:ascii="Arial" w:hAnsi="Arial"/>
        <w:b/>
        <w:color w:val="FFFFFF"/>
        <w:sz w:val="22"/>
      </w:rPr>
      <w:tcPr>
        <w:tcBorders>
          <w:left w:val="single" w:color="7F7F7F" w:sz="32" w:space="0"/>
          <w:right w:val="single" w:color="FFFFFF" w:sz="4" w:space="0"/>
        </w:tcBorders>
      </w:tcPr>
    </w:tblStylePr>
    <w:tblStylePr w:type="lastCol">
      <w:tcPr>
        <w:tcBorders>
          <w:left w:val="single" w:color="FFFFFF" w:sz="4" w:space="0"/>
          <w:right w:val="single" w:color="7F7F7F" w:sz="32" w:space="0"/>
        </w:tcBorders>
      </w:tcPr>
    </w:tblStylePr>
    <w:tblStylePr w:type="band1Vert">
      <w:tcPr>
        <w:tcBorders>
          <w:left w:val="single" w:color="FFFFFF" w:sz="4" w:space="0"/>
          <w:right w:val="single" w:color="FFFFFF" w:sz="4" w:space="0"/>
        </w:tcBorders>
        <w:shd w:val="clear" w:color="7F7F7F" w:fill="7F7F7F"/>
      </w:tcPr>
    </w:tblStylePr>
    <w:tblStylePr w:type="band2Vert">
      <w:tcPr>
        <w:tcBorders>
          <w:left w:val="single" w:color="FFFFFF" w:sz="4" w:space="0"/>
          <w:right w:val="single" w:color="FFFFFF" w:sz="4" w:space="0"/>
        </w:tcBorders>
      </w:tcPr>
    </w:tblStylePr>
    <w:tblStylePr w:type="band1Horz">
      <w:tcPr>
        <w:tcBorders>
          <w:top w:val="single" w:color="FFFFFF" w:sz="4" w:space="0"/>
          <w:bottom w:val="single" w:color="FFFFFF" w:sz="4" w:space="0"/>
        </w:tcBorders>
        <w:shd w:val="clear" w:color="7F7F7F" w:fill="7F7F7F"/>
      </w:tcPr>
    </w:tblStylePr>
    <w:tblStylePr w:type="band2Horz">
      <w:tcPr>
        <w:tcBorders>
          <w:top w:val="single" w:color="FFFFFF" w:sz="4" w:space="0"/>
          <w:bottom w:val="single" w:color="FFFFFF" w:sz="4" w:space="0"/>
        </w:tcBorders>
        <w:shd w:val="clear" w:color="7F7F7F" w:fill="7F7F7F"/>
      </w:tcPr>
    </w:tblStylePr>
  </w:style>
  <w:style w:type="table" w:customStyle="1" w:styleId="1307">
    <w:name w:val="List Table 5 Dark - Accent 15"/>
    <w:basedOn w:val="13"/>
    <w:uiPriority w:val="99"/>
    <w:rPr>
      <w:sz w:val="22"/>
      <w:szCs w:val="22"/>
      <w:lang w:eastAsia="en-US"/>
    </w:rPr>
    <w:tblPr>
      <w:tblBorders>
        <w:top w:val="single" w:color="4F81BD" w:sz="32" w:space="0"/>
        <w:left w:val="single" w:color="4F81BD" w:sz="32" w:space="0"/>
        <w:bottom w:val="single" w:color="4F81BD" w:sz="32" w:space="0"/>
        <w:right w:val="single" w:color="4F81BD" w:sz="32" w:space="0"/>
      </w:tblBorders>
      <w:tblCellMar>
        <w:top w:w="0" w:type="dxa"/>
        <w:left w:w="108" w:type="dxa"/>
        <w:bottom w:w="0" w:type="dxa"/>
        <w:right w:w="108" w:type="dxa"/>
      </w:tblCellMar>
    </w:tblPr>
    <w:tblStylePr w:type="firstRow">
      <w:rPr>
        <w:rFonts w:ascii="Arial" w:hAnsi="Arial"/>
        <w:b/>
        <w:color w:val="FFFFFF"/>
        <w:sz w:val="22"/>
      </w:rPr>
      <w:tcPr>
        <w:tcBorders>
          <w:top w:val="single" w:color="4F81BD" w:sz="32" w:space="0"/>
          <w:bottom w:val="single" w:color="FFFFFF" w:sz="12" w:space="0"/>
        </w:tcBorders>
        <w:shd w:val="clear" w:color="4F81BD" w:fill="4F81BD"/>
      </w:tcPr>
    </w:tblStylePr>
    <w:tblStylePr w:type="lastRow">
      <w:rPr>
        <w:rFonts w:ascii="Arial" w:hAnsi="Arial"/>
        <w:b/>
        <w:color w:val="FFFFFF"/>
        <w:sz w:val="22"/>
      </w:rPr>
    </w:tblStylePr>
    <w:tblStylePr w:type="firstCol">
      <w:rPr>
        <w:rFonts w:ascii="Arial" w:hAnsi="Arial"/>
        <w:b/>
        <w:color w:val="FFFFFF"/>
        <w:sz w:val="22"/>
      </w:rPr>
      <w:tcPr>
        <w:tcBorders>
          <w:left w:val="single" w:color="4F81BD" w:sz="32" w:space="0"/>
          <w:right w:val="single" w:color="FFFFFF" w:sz="4" w:space="0"/>
        </w:tcBorders>
      </w:tcPr>
    </w:tblStylePr>
    <w:tblStylePr w:type="lastCol">
      <w:tcPr>
        <w:tcBorders>
          <w:left w:val="single" w:color="FFFFFF" w:sz="4" w:space="0"/>
          <w:right w:val="single" w:color="4F81BD" w:sz="32" w:space="0"/>
        </w:tcBorders>
      </w:tcPr>
    </w:tblStylePr>
    <w:tblStylePr w:type="band1Vert">
      <w:tcPr>
        <w:tcBorders>
          <w:left w:val="single" w:color="FFFFFF" w:sz="4" w:space="0"/>
          <w:right w:val="single" w:color="FFFFFF" w:sz="4" w:space="0"/>
        </w:tcBorders>
        <w:shd w:val="clear" w:color="4F81BD" w:fill="4F81BD"/>
      </w:tcPr>
    </w:tblStylePr>
    <w:tblStylePr w:type="band2Vert">
      <w:tcPr>
        <w:tcBorders>
          <w:left w:val="single" w:color="FFFFFF" w:sz="4" w:space="0"/>
          <w:right w:val="single" w:color="FFFFFF" w:sz="4" w:space="0"/>
        </w:tcBorders>
      </w:tcPr>
    </w:tblStylePr>
    <w:tblStylePr w:type="band1Horz">
      <w:tcPr>
        <w:tcBorders>
          <w:top w:val="single" w:color="FFFFFF" w:sz="4" w:space="0"/>
          <w:bottom w:val="single" w:color="FFFFFF" w:sz="4" w:space="0"/>
        </w:tcBorders>
        <w:shd w:val="clear" w:color="4F81BD" w:fill="4F81BD"/>
      </w:tcPr>
    </w:tblStylePr>
    <w:tblStylePr w:type="band2Horz">
      <w:tcPr>
        <w:tcBorders>
          <w:top w:val="single" w:color="FFFFFF" w:sz="4" w:space="0"/>
          <w:bottom w:val="single" w:color="FFFFFF" w:sz="4" w:space="0"/>
        </w:tcBorders>
        <w:shd w:val="clear" w:color="4F81BD" w:fill="4F81BD"/>
      </w:tcPr>
    </w:tblStylePr>
  </w:style>
  <w:style w:type="table" w:customStyle="1" w:styleId="1308">
    <w:name w:val="List Table 5 Dark - Accent 25"/>
    <w:basedOn w:val="13"/>
    <w:uiPriority w:val="99"/>
    <w:rPr>
      <w:sz w:val="22"/>
      <w:szCs w:val="22"/>
      <w:lang w:eastAsia="en-US"/>
    </w:rPr>
    <w:tblPr>
      <w:tblBorders>
        <w:top w:val="single" w:color="D99695" w:sz="32" w:space="0"/>
        <w:left w:val="single" w:color="D99695" w:sz="32" w:space="0"/>
        <w:bottom w:val="single" w:color="D99695" w:sz="32" w:space="0"/>
        <w:right w:val="single" w:color="D99695" w:sz="32" w:space="0"/>
      </w:tblBorders>
      <w:tblCellMar>
        <w:top w:w="0" w:type="dxa"/>
        <w:left w:w="108" w:type="dxa"/>
        <w:bottom w:w="0" w:type="dxa"/>
        <w:right w:w="108" w:type="dxa"/>
      </w:tblCellMar>
    </w:tblPr>
    <w:tblStylePr w:type="firstRow">
      <w:rPr>
        <w:rFonts w:ascii="Arial" w:hAnsi="Arial"/>
        <w:b/>
        <w:color w:val="FFFFFF"/>
        <w:sz w:val="22"/>
      </w:rPr>
      <w:tcPr>
        <w:tcBorders>
          <w:top w:val="single" w:color="D99695" w:sz="32" w:space="0"/>
          <w:bottom w:val="single" w:color="FFFFFF" w:sz="12" w:space="0"/>
        </w:tcBorders>
        <w:shd w:val="clear" w:color="D99695" w:fill="D99695"/>
      </w:tcPr>
    </w:tblStylePr>
    <w:tblStylePr w:type="lastRow">
      <w:rPr>
        <w:rFonts w:ascii="Arial" w:hAnsi="Arial"/>
        <w:b/>
        <w:color w:val="FFFFFF"/>
        <w:sz w:val="22"/>
      </w:rPr>
    </w:tblStylePr>
    <w:tblStylePr w:type="firstCol">
      <w:rPr>
        <w:rFonts w:ascii="Arial" w:hAnsi="Arial"/>
        <w:b/>
        <w:color w:val="FFFFFF"/>
        <w:sz w:val="22"/>
      </w:rPr>
      <w:tcPr>
        <w:tcBorders>
          <w:left w:val="single" w:color="D99695" w:sz="32" w:space="0"/>
          <w:right w:val="single" w:color="FFFFFF" w:sz="4" w:space="0"/>
        </w:tcBorders>
      </w:tcPr>
    </w:tblStylePr>
    <w:tblStylePr w:type="lastCol">
      <w:tcPr>
        <w:tcBorders>
          <w:left w:val="single" w:color="FFFFFF" w:sz="4" w:space="0"/>
          <w:right w:val="single" w:color="D99695" w:sz="32" w:space="0"/>
        </w:tcBorders>
      </w:tcPr>
    </w:tblStylePr>
    <w:tblStylePr w:type="band1Vert">
      <w:tcPr>
        <w:tcBorders>
          <w:left w:val="single" w:color="FFFFFF" w:sz="4" w:space="0"/>
          <w:right w:val="single" w:color="FFFFFF" w:sz="4" w:space="0"/>
        </w:tcBorders>
        <w:shd w:val="clear" w:color="D99695" w:fill="D99695"/>
      </w:tcPr>
    </w:tblStylePr>
    <w:tblStylePr w:type="band2Vert">
      <w:tcPr>
        <w:tcBorders>
          <w:left w:val="single" w:color="FFFFFF" w:sz="4" w:space="0"/>
          <w:right w:val="single" w:color="FFFFFF" w:sz="4" w:space="0"/>
        </w:tcBorders>
      </w:tcPr>
    </w:tblStylePr>
    <w:tblStylePr w:type="band1Horz">
      <w:tcPr>
        <w:tcBorders>
          <w:top w:val="single" w:color="FFFFFF" w:sz="4" w:space="0"/>
          <w:bottom w:val="single" w:color="FFFFFF" w:sz="4" w:space="0"/>
        </w:tcBorders>
        <w:shd w:val="clear" w:color="D99695" w:fill="D99695"/>
      </w:tcPr>
    </w:tblStylePr>
    <w:tblStylePr w:type="band2Horz">
      <w:tcPr>
        <w:tcBorders>
          <w:top w:val="single" w:color="FFFFFF" w:sz="4" w:space="0"/>
          <w:bottom w:val="single" w:color="FFFFFF" w:sz="4" w:space="0"/>
        </w:tcBorders>
        <w:shd w:val="clear" w:color="D99695" w:fill="D99695"/>
      </w:tcPr>
    </w:tblStylePr>
  </w:style>
  <w:style w:type="table" w:customStyle="1" w:styleId="1309">
    <w:name w:val="List Table 5 Dark - Accent 35"/>
    <w:basedOn w:val="13"/>
    <w:uiPriority w:val="99"/>
    <w:rPr>
      <w:sz w:val="22"/>
      <w:szCs w:val="22"/>
      <w:lang w:eastAsia="en-US"/>
    </w:rPr>
    <w:tblPr>
      <w:tblBorders>
        <w:top w:val="single" w:color="C3D69B" w:sz="32" w:space="0"/>
        <w:left w:val="single" w:color="C3D69B" w:sz="32" w:space="0"/>
        <w:bottom w:val="single" w:color="C3D69B" w:sz="32" w:space="0"/>
        <w:right w:val="single" w:color="C3D69B" w:sz="32" w:space="0"/>
      </w:tblBorders>
      <w:tblCellMar>
        <w:top w:w="0" w:type="dxa"/>
        <w:left w:w="108" w:type="dxa"/>
        <w:bottom w:w="0" w:type="dxa"/>
        <w:right w:w="108" w:type="dxa"/>
      </w:tblCellMar>
    </w:tblPr>
    <w:tblStylePr w:type="firstRow">
      <w:rPr>
        <w:rFonts w:ascii="Arial" w:hAnsi="Arial"/>
        <w:b/>
        <w:color w:val="FFFFFF"/>
        <w:sz w:val="22"/>
      </w:rPr>
      <w:tcPr>
        <w:tcBorders>
          <w:top w:val="single" w:color="C3D69B" w:sz="32" w:space="0"/>
          <w:bottom w:val="single" w:color="FFFFFF" w:sz="12" w:space="0"/>
        </w:tcBorders>
        <w:shd w:val="clear" w:color="C3D69B" w:fill="C3D69B"/>
      </w:tcPr>
    </w:tblStylePr>
    <w:tblStylePr w:type="lastRow">
      <w:rPr>
        <w:rFonts w:ascii="Arial" w:hAnsi="Arial"/>
        <w:b/>
        <w:color w:val="FFFFFF"/>
        <w:sz w:val="22"/>
      </w:rPr>
    </w:tblStylePr>
    <w:tblStylePr w:type="firstCol">
      <w:rPr>
        <w:rFonts w:ascii="Arial" w:hAnsi="Arial"/>
        <w:b/>
        <w:color w:val="FFFFFF"/>
        <w:sz w:val="22"/>
      </w:rPr>
      <w:tcPr>
        <w:tcBorders>
          <w:left w:val="single" w:color="C3D69B" w:sz="32" w:space="0"/>
          <w:right w:val="single" w:color="FFFFFF" w:sz="4" w:space="0"/>
        </w:tcBorders>
      </w:tcPr>
    </w:tblStylePr>
    <w:tblStylePr w:type="lastCol">
      <w:tcPr>
        <w:tcBorders>
          <w:left w:val="single" w:color="FFFFFF" w:sz="4" w:space="0"/>
          <w:right w:val="single" w:color="C3D69B" w:sz="32" w:space="0"/>
        </w:tcBorders>
      </w:tcPr>
    </w:tblStylePr>
    <w:tblStylePr w:type="band1Vert">
      <w:tcPr>
        <w:tcBorders>
          <w:left w:val="single" w:color="FFFFFF" w:sz="4" w:space="0"/>
          <w:right w:val="single" w:color="FFFFFF" w:sz="4" w:space="0"/>
        </w:tcBorders>
        <w:shd w:val="clear" w:color="C3D69B" w:fill="C3D69B"/>
      </w:tcPr>
    </w:tblStylePr>
    <w:tblStylePr w:type="band2Vert">
      <w:tcPr>
        <w:tcBorders>
          <w:left w:val="single" w:color="FFFFFF" w:sz="4" w:space="0"/>
          <w:right w:val="single" w:color="FFFFFF" w:sz="4" w:space="0"/>
        </w:tcBorders>
      </w:tcPr>
    </w:tblStylePr>
    <w:tblStylePr w:type="band1Horz">
      <w:tcPr>
        <w:tcBorders>
          <w:top w:val="single" w:color="FFFFFF" w:sz="4" w:space="0"/>
          <w:bottom w:val="single" w:color="FFFFFF" w:sz="4" w:space="0"/>
        </w:tcBorders>
        <w:shd w:val="clear" w:color="C3D69B" w:fill="C3D69B"/>
      </w:tcPr>
    </w:tblStylePr>
    <w:tblStylePr w:type="band2Horz">
      <w:tcPr>
        <w:tcBorders>
          <w:top w:val="single" w:color="FFFFFF" w:sz="4" w:space="0"/>
          <w:bottom w:val="single" w:color="FFFFFF" w:sz="4" w:space="0"/>
        </w:tcBorders>
        <w:shd w:val="clear" w:color="C3D69B" w:fill="C3D69B"/>
      </w:tcPr>
    </w:tblStylePr>
  </w:style>
  <w:style w:type="table" w:customStyle="1" w:styleId="1310">
    <w:name w:val="List Table 5 Dark - Accent 45"/>
    <w:basedOn w:val="13"/>
    <w:uiPriority w:val="99"/>
    <w:rPr>
      <w:sz w:val="22"/>
      <w:szCs w:val="22"/>
      <w:lang w:eastAsia="en-US"/>
    </w:rPr>
    <w:tblPr>
      <w:tblBorders>
        <w:top w:val="single" w:color="B2A1C6" w:sz="32" w:space="0"/>
        <w:left w:val="single" w:color="B2A1C6" w:sz="32" w:space="0"/>
        <w:bottom w:val="single" w:color="B2A1C6" w:sz="32" w:space="0"/>
        <w:right w:val="single" w:color="B2A1C6" w:sz="32" w:space="0"/>
      </w:tblBorders>
      <w:tblCellMar>
        <w:top w:w="0" w:type="dxa"/>
        <w:left w:w="108" w:type="dxa"/>
        <w:bottom w:w="0" w:type="dxa"/>
        <w:right w:w="108" w:type="dxa"/>
      </w:tblCellMar>
    </w:tblPr>
    <w:tblStylePr w:type="firstRow">
      <w:rPr>
        <w:rFonts w:ascii="Arial" w:hAnsi="Arial"/>
        <w:b/>
        <w:color w:val="FFFFFF"/>
        <w:sz w:val="22"/>
      </w:rPr>
      <w:tcPr>
        <w:tcBorders>
          <w:top w:val="single" w:color="B2A1C6" w:sz="32" w:space="0"/>
          <w:bottom w:val="single" w:color="FFFFFF" w:sz="12" w:space="0"/>
        </w:tcBorders>
        <w:shd w:val="clear" w:color="B2A1C6" w:fill="B2A1C6"/>
      </w:tcPr>
    </w:tblStylePr>
    <w:tblStylePr w:type="lastRow">
      <w:rPr>
        <w:rFonts w:ascii="Arial" w:hAnsi="Arial"/>
        <w:b/>
        <w:color w:val="FFFFFF"/>
        <w:sz w:val="22"/>
      </w:rPr>
    </w:tblStylePr>
    <w:tblStylePr w:type="firstCol">
      <w:rPr>
        <w:rFonts w:ascii="Arial" w:hAnsi="Arial"/>
        <w:b/>
        <w:color w:val="FFFFFF"/>
        <w:sz w:val="22"/>
      </w:rPr>
      <w:tcPr>
        <w:tcBorders>
          <w:left w:val="single" w:color="B2A1C6" w:sz="32" w:space="0"/>
          <w:right w:val="single" w:color="FFFFFF" w:sz="4" w:space="0"/>
        </w:tcBorders>
      </w:tcPr>
    </w:tblStylePr>
    <w:tblStylePr w:type="lastCol">
      <w:tcPr>
        <w:tcBorders>
          <w:left w:val="single" w:color="FFFFFF" w:sz="4" w:space="0"/>
          <w:right w:val="single" w:color="B2A1C6" w:sz="32" w:space="0"/>
        </w:tcBorders>
      </w:tcPr>
    </w:tblStylePr>
    <w:tblStylePr w:type="band1Vert">
      <w:tcPr>
        <w:tcBorders>
          <w:left w:val="single" w:color="FFFFFF" w:sz="4" w:space="0"/>
          <w:right w:val="single" w:color="FFFFFF" w:sz="4" w:space="0"/>
        </w:tcBorders>
        <w:shd w:val="clear" w:color="B2A1C6" w:fill="B2A1C6"/>
      </w:tcPr>
    </w:tblStylePr>
    <w:tblStylePr w:type="band2Vert">
      <w:tcPr>
        <w:tcBorders>
          <w:left w:val="single" w:color="FFFFFF" w:sz="4" w:space="0"/>
          <w:right w:val="single" w:color="FFFFFF" w:sz="4" w:space="0"/>
        </w:tcBorders>
      </w:tcPr>
    </w:tblStylePr>
    <w:tblStylePr w:type="band1Horz">
      <w:tcPr>
        <w:tcBorders>
          <w:top w:val="single" w:color="FFFFFF" w:sz="4" w:space="0"/>
          <w:bottom w:val="single" w:color="FFFFFF" w:sz="4" w:space="0"/>
        </w:tcBorders>
        <w:shd w:val="clear" w:color="B2A1C6" w:fill="B2A1C6"/>
      </w:tcPr>
    </w:tblStylePr>
    <w:tblStylePr w:type="band2Horz">
      <w:tcPr>
        <w:tcBorders>
          <w:top w:val="single" w:color="FFFFFF" w:sz="4" w:space="0"/>
          <w:bottom w:val="single" w:color="FFFFFF" w:sz="4" w:space="0"/>
        </w:tcBorders>
        <w:shd w:val="clear" w:color="B2A1C6" w:fill="B2A1C6"/>
      </w:tcPr>
    </w:tblStylePr>
  </w:style>
  <w:style w:type="table" w:customStyle="1" w:styleId="1311">
    <w:name w:val="List Table 5 Dark - Accent 55"/>
    <w:basedOn w:val="13"/>
    <w:uiPriority w:val="99"/>
    <w:rPr>
      <w:sz w:val="22"/>
      <w:szCs w:val="22"/>
      <w:lang w:eastAsia="en-US"/>
    </w:rPr>
    <w:tblPr>
      <w:tblBorders>
        <w:top w:val="single" w:color="92CCDC" w:sz="32" w:space="0"/>
        <w:left w:val="single" w:color="92CCDC" w:sz="32" w:space="0"/>
        <w:bottom w:val="single" w:color="92CCDC" w:sz="32" w:space="0"/>
        <w:right w:val="single" w:color="92CCDC" w:sz="32" w:space="0"/>
      </w:tblBorders>
      <w:tblCellMar>
        <w:top w:w="0" w:type="dxa"/>
        <w:left w:w="108" w:type="dxa"/>
        <w:bottom w:w="0" w:type="dxa"/>
        <w:right w:w="108" w:type="dxa"/>
      </w:tblCellMar>
    </w:tblPr>
    <w:tblStylePr w:type="firstRow">
      <w:rPr>
        <w:rFonts w:ascii="Arial" w:hAnsi="Arial"/>
        <w:b/>
        <w:color w:val="FFFFFF"/>
        <w:sz w:val="22"/>
      </w:rPr>
      <w:tcPr>
        <w:tcBorders>
          <w:top w:val="single" w:color="92CCDC" w:sz="32" w:space="0"/>
          <w:bottom w:val="single" w:color="FFFFFF" w:sz="12" w:space="0"/>
        </w:tcBorders>
        <w:shd w:val="clear" w:color="92CCDC" w:fill="92CCDC"/>
      </w:tcPr>
    </w:tblStylePr>
    <w:tblStylePr w:type="lastRow">
      <w:rPr>
        <w:rFonts w:ascii="Arial" w:hAnsi="Arial"/>
        <w:b/>
        <w:color w:val="FFFFFF"/>
        <w:sz w:val="22"/>
      </w:rPr>
    </w:tblStylePr>
    <w:tblStylePr w:type="firstCol">
      <w:rPr>
        <w:rFonts w:ascii="Arial" w:hAnsi="Arial"/>
        <w:b/>
        <w:color w:val="FFFFFF"/>
        <w:sz w:val="22"/>
      </w:rPr>
      <w:tcPr>
        <w:tcBorders>
          <w:left w:val="single" w:color="92CCDC" w:sz="32" w:space="0"/>
          <w:right w:val="single" w:color="FFFFFF" w:sz="4" w:space="0"/>
        </w:tcBorders>
      </w:tcPr>
    </w:tblStylePr>
    <w:tblStylePr w:type="lastCol">
      <w:tcPr>
        <w:tcBorders>
          <w:left w:val="single" w:color="FFFFFF" w:sz="4" w:space="0"/>
          <w:right w:val="single" w:color="92CCDC" w:sz="32" w:space="0"/>
        </w:tcBorders>
      </w:tcPr>
    </w:tblStylePr>
    <w:tblStylePr w:type="band1Vert">
      <w:tcPr>
        <w:tcBorders>
          <w:left w:val="single" w:color="FFFFFF" w:sz="4" w:space="0"/>
          <w:right w:val="single" w:color="FFFFFF" w:sz="4" w:space="0"/>
        </w:tcBorders>
        <w:shd w:val="clear" w:color="92CCDC" w:fill="92CCDC"/>
      </w:tcPr>
    </w:tblStylePr>
    <w:tblStylePr w:type="band2Vert">
      <w:tcPr>
        <w:tcBorders>
          <w:left w:val="single" w:color="FFFFFF" w:sz="4" w:space="0"/>
          <w:right w:val="single" w:color="FFFFFF" w:sz="4" w:space="0"/>
        </w:tcBorders>
      </w:tcPr>
    </w:tblStylePr>
    <w:tblStylePr w:type="band1Horz">
      <w:tcPr>
        <w:tcBorders>
          <w:top w:val="single" w:color="FFFFFF" w:sz="4" w:space="0"/>
          <w:bottom w:val="single" w:color="FFFFFF" w:sz="4" w:space="0"/>
        </w:tcBorders>
        <w:shd w:val="clear" w:color="92CCDC" w:fill="92CCDC"/>
      </w:tcPr>
    </w:tblStylePr>
    <w:tblStylePr w:type="band2Horz">
      <w:tcPr>
        <w:tcBorders>
          <w:top w:val="single" w:color="FFFFFF" w:sz="4" w:space="0"/>
          <w:bottom w:val="single" w:color="FFFFFF" w:sz="4" w:space="0"/>
        </w:tcBorders>
        <w:shd w:val="clear" w:color="92CCDC" w:fill="92CCDC"/>
      </w:tcPr>
    </w:tblStylePr>
  </w:style>
  <w:style w:type="table" w:customStyle="1" w:styleId="1312">
    <w:name w:val="List Table 5 Dark - Accent 65"/>
    <w:basedOn w:val="13"/>
    <w:uiPriority w:val="99"/>
    <w:rPr>
      <w:sz w:val="22"/>
      <w:szCs w:val="22"/>
      <w:lang w:eastAsia="en-US"/>
    </w:rPr>
    <w:tblPr>
      <w:tblBorders>
        <w:top w:val="single" w:color="FAC090" w:sz="32" w:space="0"/>
        <w:left w:val="single" w:color="FAC090" w:sz="32" w:space="0"/>
        <w:bottom w:val="single" w:color="FAC090" w:sz="32" w:space="0"/>
        <w:right w:val="single" w:color="FAC090" w:sz="32" w:space="0"/>
      </w:tblBorders>
      <w:tblCellMar>
        <w:top w:w="0" w:type="dxa"/>
        <w:left w:w="108" w:type="dxa"/>
        <w:bottom w:w="0" w:type="dxa"/>
        <w:right w:w="108" w:type="dxa"/>
      </w:tblCellMar>
    </w:tblPr>
    <w:tblStylePr w:type="firstRow">
      <w:rPr>
        <w:rFonts w:ascii="Arial" w:hAnsi="Arial"/>
        <w:b/>
        <w:color w:val="FFFFFF"/>
        <w:sz w:val="22"/>
      </w:rPr>
      <w:tcPr>
        <w:tcBorders>
          <w:top w:val="single" w:color="FAC090" w:sz="32" w:space="0"/>
          <w:bottom w:val="single" w:color="FFFFFF" w:sz="12" w:space="0"/>
        </w:tcBorders>
        <w:shd w:val="clear" w:color="FAC090" w:fill="FAC090"/>
      </w:tcPr>
    </w:tblStylePr>
    <w:tblStylePr w:type="lastRow">
      <w:rPr>
        <w:rFonts w:ascii="Arial" w:hAnsi="Arial"/>
        <w:b/>
        <w:color w:val="FFFFFF"/>
        <w:sz w:val="22"/>
      </w:rPr>
    </w:tblStylePr>
    <w:tblStylePr w:type="firstCol">
      <w:rPr>
        <w:rFonts w:ascii="Arial" w:hAnsi="Arial"/>
        <w:b/>
        <w:color w:val="FFFFFF"/>
        <w:sz w:val="22"/>
      </w:rPr>
      <w:tcPr>
        <w:tcBorders>
          <w:left w:val="single" w:color="FAC090" w:sz="32" w:space="0"/>
          <w:right w:val="single" w:color="FFFFFF" w:sz="4" w:space="0"/>
        </w:tcBorders>
      </w:tcPr>
    </w:tblStylePr>
    <w:tblStylePr w:type="lastCol">
      <w:tcPr>
        <w:tcBorders>
          <w:left w:val="single" w:color="FFFFFF" w:sz="4" w:space="0"/>
          <w:right w:val="single" w:color="FAC090" w:sz="32" w:space="0"/>
        </w:tcBorders>
      </w:tcPr>
    </w:tblStylePr>
    <w:tblStylePr w:type="band1Vert">
      <w:tcPr>
        <w:tcBorders>
          <w:left w:val="single" w:color="FFFFFF" w:sz="4" w:space="0"/>
          <w:right w:val="single" w:color="FFFFFF" w:sz="4" w:space="0"/>
        </w:tcBorders>
        <w:shd w:val="clear" w:color="FAC090" w:fill="FAC090"/>
      </w:tcPr>
    </w:tblStylePr>
    <w:tblStylePr w:type="band2Vert">
      <w:tcPr>
        <w:tcBorders>
          <w:left w:val="single" w:color="FFFFFF" w:sz="4" w:space="0"/>
          <w:right w:val="single" w:color="FFFFFF" w:sz="4" w:space="0"/>
        </w:tcBorders>
      </w:tcPr>
    </w:tblStylePr>
    <w:tblStylePr w:type="band1Horz">
      <w:tcPr>
        <w:tcBorders>
          <w:top w:val="single" w:color="FFFFFF" w:sz="4" w:space="0"/>
          <w:bottom w:val="single" w:color="FFFFFF" w:sz="4" w:space="0"/>
        </w:tcBorders>
        <w:shd w:val="clear" w:color="FAC090" w:fill="FAC090"/>
      </w:tcPr>
    </w:tblStylePr>
    <w:tblStylePr w:type="band2Horz">
      <w:tcPr>
        <w:tcBorders>
          <w:top w:val="single" w:color="FFFFFF" w:sz="4" w:space="0"/>
          <w:bottom w:val="single" w:color="FFFFFF" w:sz="4" w:space="0"/>
        </w:tcBorders>
        <w:shd w:val="clear" w:color="FAC090" w:fill="FAC090"/>
      </w:tcPr>
    </w:tblStylePr>
  </w:style>
  <w:style w:type="table" w:customStyle="1" w:styleId="1313">
    <w:name w:val="Список-таблица 6 цветная13"/>
    <w:basedOn w:val="13"/>
    <w:uiPriority w:val="99"/>
    <w:rPr>
      <w:sz w:val="22"/>
      <w:szCs w:val="22"/>
      <w:lang w:eastAsia="en-US"/>
    </w:rPr>
    <w:tblPr>
      <w:tblBorders>
        <w:top w:val="single" w:color="7F7F7F" w:sz="4" w:space="0"/>
        <w:bottom w:val="single" w:color="7F7F7F" w:sz="4" w:space="0"/>
      </w:tblBorders>
      <w:tblCellMar>
        <w:top w:w="0" w:type="dxa"/>
        <w:left w:w="108" w:type="dxa"/>
        <w:bottom w:w="0" w:type="dxa"/>
        <w:right w:w="108" w:type="dxa"/>
      </w:tblCellMar>
    </w:tblPr>
    <w:tblStylePr w:type="firstRow">
      <w:rPr>
        <w:b/>
        <w:color w:val="000000"/>
      </w:rPr>
      <w:tcPr>
        <w:tcBorders>
          <w:bottom w:val="single" w:color="7F7F7F" w:sz="4" w:space="0"/>
        </w:tcBorders>
      </w:tcPr>
    </w:tblStylePr>
    <w:tblStylePr w:type="lastRow">
      <w:rPr>
        <w:b/>
        <w:color w:val="000000"/>
      </w:rPr>
      <w:tcPr>
        <w:tcBorders>
          <w:top w:val="single" w:color="7F7F7F" w:sz="4" w:space="0"/>
        </w:tcBorders>
      </w:tcPr>
    </w:tblStylePr>
    <w:tblStylePr w:type="firstCol">
      <w:rPr>
        <w:b/>
        <w:color w:val="000000"/>
      </w:rPr>
    </w:tblStylePr>
    <w:tblStylePr w:type="lastCol">
      <w:rPr>
        <w:b/>
        <w:color w:val="000000"/>
      </w:rPr>
    </w:tblStylePr>
    <w:tblStylePr w:type="band1Vert">
      <w:tcPr>
        <w:shd w:val="clear" w:color="BFBFBF" w:fill="BFBFBF"/>
      </w:tcPr>
    </w:tblStylePr>
    <w:tblStylePr w:type="band1Horz">
      <w:rPr>
        <w:rFonts w:ascii="Arial" w:hAnsi="Arial"/>
        <w:color w:val="000000"/>
        <w:sz w:val="22"/>
      </w:rPr>
      <w:tcPr>
        <w:shd w:val="clear" w:color="BFBFBF" w:fill="BFBFBF"/>
      </w:tcPr>
    </w:tblStylePr>
    <w:tblStylePr w:type="band2Horz">
      <w:rPr>
        <w:rFonts w:ascii="Arial" w:hAnsi="Arial"/>
        <w:color w:val="000000"/>
        <w:sz w:val="22"/>
      </w:rPr>
    </w:tblStylePr>
  </w:style>
  <w:style w:type="table" w:customStyle="1" w:styleId="1314">
    <w:name w:val="List Table 6 Colorful - Accent 15"/>
    <w:basedOn w:val="13"/>
    <w:uiPriority w:val="99"/>
    <w:rPr>
      <w:sz w:val="22"/>
      <w:szCs w:val="22"/>
      <w:lang w:eastAsia="en-US"/>
    </w:rPr>
    <w:tblPr>
      <w:tblBorders>
        <w:top w:val="single" w:color="4F81BD" w:sz="4" w:space="0"/>
        <w:bottom w:val="single" w:color="4F81BD" w:sz="4" w:space="0"/>
      </w:tblBorders>
      <w:tblCellMar>
        <w:top w:w="0" w:type="dxa"/>
        <w:left w:w="108" w:type="dxa"/>
        <w:bottom w:w="0" w:type="dxa"/>
        <w:right w:w="108" w:type="dxa"/>
      </w:tblCellMar>
    </w:tblPr>
    <w:tblStylePr w:type="firstRow">
      <w:rPr>
        <w:b/>
        <w:color w:val="2A4A71"/>
      </w:rPr>
      <w:tcPr>
        <w:tcBorders>
          <w:bottom w:val="single" w:color="4F81BD" w:sz="4" w:space="0"/>
        </w:tcBorders>
      </w:tcPr>
    </w:tblStylePr>
    <w:tblStylePr w:type="lastRow">
      <w:rPr>
        <w:b/>
        <w:color w:val="2A4A71"/>
      </w:rPr>
      <w:tcPr>
        <w:tcBorders>
          <w:top w:val="single" w:color="4F81BD" w:sz="4" w:space="0"/>
        </w:tcBorders>
      </w:tcPr>
    </w:tblStylePr>
    <w:tblStylePr w:type="firstCol">
      <w:rPr>
        <w:b/>
        <w:color w:val="2A4A71"/>
      </w:rPr>
    </w:tblStylePr>
    <w:tblStylePr w:type="lastCol">
      <w:rPr>
        <w:b/>
        <w:color w:val="2A4A71"/>
      </w:rPr>
    </w:tblStylePr>
    <w:tblStylePr w:type="band1Vert">
      <w:tcPr>
        <w:shd w:val="clear" w:color="D2DFEE" w:fill="D2DFEE"/>
      </w:tcPr>
    </w:tblStylePr>
    <w:tblStylePr w:type="band1Horz">
      <w:rPr>
        <w:rFonts w:ascii="Arial" w:hAnsi="Arial"/>
        <w:color w:val="2A4A71"/>
        <w:sz w:val="22"/>
      </w:rPr>
      <w:tcPr>
        <w:shd w:val="clear" w:color="D2DFEE" w:fill="D2DFEE"/>
      </w:tcPr>
    </w:tblStylePr>
    <w:tblStylePr w:type="band2Horz">
      <w:rPr>
        <w:rFonts w:ascii="Arial" w:hAnsi="Arial"/>
        <w:color w:val="2A4A71"/>
        <w:sz w:val="22"/>
      </w:rPr>
    </w:tblStylePr>
  </w:style>
  <w:style w:type="table" w:customStyle="1" w:styleId="1315">
    <w:name w:val="List Table 6 Colorful - Accent 25"/>
    <w:basedOn w:val="13"/>
    <w:uiPriority w:val="99"/>
    <w:rPr>
      <w:sz w:val="22"/>
      <w:szCs w:val="22"/>
      <w:lang w:eastAsia="en-US"/>
    </w:rPr>
    <w:tblPr>
      <w:tblBorders>
        <w:top w:val="single" w:color="D99695" w:sz="4" w:space="0"/>
        <w:bottom w:val="single" w:color="D99695" w:sz="4" w:space="0"/>
      </w:tblBorders>
      <w:tblCellMar>
        <w:top w:w="0" w:type="dxa"/>
        <w:left w:w="108" w:type="dxa"/>
        <w:bottom w:w="0" w:type="dxa"/>
        <w:right w:w="108" w:type="dxa"/>
      </w:tblCellMar>
    </w:tblPr>
    <w:tblStylePr w:type="firstRow">
      <w:rPr>
        <w:b/>
        <w:color w:val="D99695"/>
      </w:rPr>
      <w:tcPr>
        <w:tcBorders>
          <w:bottom w:val="single" w:color="D99695" w:sz="4" w:space="0"/>
        </w:tcBorders>
      </w:tcPr>
    </w:tblStylePr>
    <w:tblStylePr w:type="lastRow">
      <w:rPr>
        <w:b/>
        <w:color w:val="D99695"/>
      </w:rPr>
      <w:tcPr>
        <w:tcBorders>
          <w:top w:val="single" w:color="D99695" w:sz="4" w:space="0"/>
        </w:tcBorders>
      </w:tcPr>
    </w:tblStylePr>
    <w:tblStylePr w:type="firstCol">
      <w:rPr>
        <w:b/>
        <w:color w:val="D99695"/>
      </w:rPr>
    </w:tblStylePr>
    <w:tblStylePr w:type="lastCol">
      <w:rPr>
        <w:b/>
        <w:color w:val="D99695"/>
      </w:rPr>
    </w:tblStylePr>
    <w:tblStylePr w:type="band1Vert">
      <w:tcPr>
        <w:shd w:val="clear" w:color="EFD2D2" w:fill="EFD2D2"/>
      </w:tcPr>
    </w:tblStylePr>
    <w:tblStylePr w:type="band1Horz">
      <w:rPr>
        <w:rFonts w:ascii="Arial" w:hAnsi="Arial"/>
        <w:color w:val="D99695"/>
        <w:sz w:val="22"/>
      </w:rPr>
      <w:tcPr>
        <w:shd w:val="clear" w:color="EFD2D2" w:fill="EFD2D2"/>
      </w:tcPr>
    </w:tblStylePr>
    <w:tblStylePr w:type="band2Horz">
      <w:rPr>
        <w:rFonts w:ascii="Arial" w:hAnsi="Arial"/>
        <w:color w:val="D99695"/>
        <w:sz w:val="22"/>
      </w:rPr>
    </w:tblStylePr>
  </w:style>
  <w:style w:type="table" w:customStyle="1" w:styleId="1316">
    <w:name w:val="List Table 6 Colorful - Accent 35"/>
    <w:basedOn w:val="13"/>
    <w:uiPriority w:val="99"/>
    <w:rPr>
      <w:sz w:val="22"/>
      <w:szCs w:val="22"/>
      <w:lang w:eastAsia="en-US"/>
    </w:rPr>
    <w:tblPr>
      <w:tblBorders>
        <w:top w:val="single" w:color="C3D69B" w:sz="4" w:space="0"/>
        <w:bottom w:val="single" w:color="C3D69B" w:sz="4" w:space="0"/>
      </w:tblBorders>
      <w:tblCellMar>
        <w:top w:w="0" w:type="dxa"/>
        <w:left w:w="108" w:type="dxa"/>
        <w:bottom w:w="0" w:type="dxa"/>
        <w:right w:w="108" w:type="dxa"/>
      </w:tblCellMar>
    </w:tblPr>
    <w:tblStylePr w:type="firstRow">
      <w:rPr>
        <w:b/>
        <w:color w:val="C3D69B"/>
      </w:rPr>
      <w:tcPr>
        <w:tcBorders>
          <w:bottom w:val="single" w:color="C3D69B" w:sz="4" w:space="0"/>
        </w:tcBorders>
      </w:tcPr>
    </w:tblStylePr>
    <w:tblStylePr w:type="lastRow">
      <w:rPr>
        <w:b/>
        <w:color w:val="C3D69B"/>
      </w:rPr>
      <w:tcPr>
        <w:tcBorders>
          <w:top w:val="single" w:color="C3D69B" w:sz="4" w:space="0"/>
        </w:tcBorders>
      </w:tcPr>
    </w:tblStylePr>
    <w:tblStylePr w:type="firstCol">
      <w:rPr>
        <w:b/>
        <w:color w:val="C3D69B"/>
      </w:rPr>
    </w:tblStylePr>
    <w:tblStylePr w:type="lastCol">
      <w:rPr>
        <w:b/>
        <w:color w:val="C3D69B"/>
      </w:rPr>
    </w:tblStylePr>
    <w:tblStylePr w:type="band1Vert">
      <w:tcPr>
        <w:shd w:val="clear" w:color="E5EED5" w:fill="E5EED5"/>
      </w:tcPr>
    </w:tblStylePr>
    <w:tblStylePr w:type="band1Horz">
      <w:rPr>
        <w:rFonts w:ascii="Arial" w:hAnsi="Arial"/>
        <w:color w:val="C3D69B"/>
        <w:sz w:val="22"/>
      </w:rPr>
      <w:tcPr>
        <w:shd w:val="clear" w:color="E5EED5" w:fill="E5EED5"/>
      </w:tcPr>
    </w:tblStylePr>
    <w:tblStylePr w:type="band2Horz">
      <w:rPr>
        <w:rFonts w:ascii="Arial" w:hAnsi="Arial"/>
        <w:color w:val="C3D69B"/>
        <w:sz w:val="22"/>
      </w:rPr>
    </w:tblStylePr>
  </w:style>
  <w:style w:type="table" w:customStyle="1" w:styleId="1317">
    <w:name w:val="List Table 6 Colorful - Accent 45"/>
    <w:basedOn w:val="13"/>
    <w:uiPriority w:val="99"/>
    <w:rPr>
      <w:sz w:val="22"/>
      <w:szCs w:val="22"/>
      <w:lang w:eastAsia="en-US"/>
    </w:rPr>
    <w:tblPr>
      <w:tblBorders>
        <w:top w:val="single" w:color="B2A1C6" w:sz="4" w:space="0"/>
        <w:bottom w:val="single" w:color="B2A1C6" w:sz="4" w:space="0"/>
      </w:tblBorders>
      <w:tblCellMar>
        <w:top w:w="0" w:type="dxa"/>
        <w:left w:w="108" w:type="dxa"/>
        <w:bottom w:w="0" w:type="dxa"/>
        <w:right w:w="108" w:type="dxa"/>
      </w:tblCellMar>
    </w:tblPr>
    <w:tblStylePr w:type="firstRow">
      <w:rPr>
        <w:b/>
        <w:color w:val="B2A1C6"/>
      </w:rPr>
      <w:tcPr>
        <w:tcBorders>
          <w:bottom w:val="single" w:color="B2A1C6" w:sz="4" w:space="0"/>
        </w:tcBorders>
      </w:tcPr>
    </w:tblStylePr>
    <w:tblStylePr w:type="lastRow">
      <w:rPr>
        <w:b/>
        <w:color w:val="B2A1C6"/>
      </w:rPr>
      <w:tcPr>
        <w:tcBorders>
          <w:top w:val="single" w:color="B2A1C6" w:sz="4" w:space="0"/>
        </w:tcBorders>
      </w:tcPr>
    </w:tblStylePr>
    <w:tblStylePr w:type="firstCol">
      <w:rPr>
        <w:b/>
        <w:color w:val="B2A1C6"/>
      </w:rPr>
    </w:tblStylePr>
    <w:tblStylePr w:type="lastCol">
      <w:rPr>
        <w:b/>
        <w:color w:val="B2A1C6"/>
      </w:rPr>
    </w:tblStylePr>
    <w:tblStylePr w:type="band1Vert">
      <w:tcPr>
        <w:shd w:val="clear" w:color="DFD8E7" w:fill="DFD8E7"/>
      </w:tcPr>
    </w:tblStylePr>
    <w:tblStylePr w:type="band1Horz">
      <w:rPr>
        <w:rFonts w:ascii="Arial" w:hAnsi="Arial"/>
        <w:color w:val="B2A1C6"/>
        <w:sz w:val="22"/>
      </w:rPr>
      <w:tcPr>
        <w:shd w:val="clear" w:color="DFD8E7" w:fill="DFD8E7"/>
      </w:tcPr>
    </w:tblStylePr>
    <w:tblStylePr w:type="band2Horz">
      <w:rPr>
        <w:rFonts w:ascii="Arial" w:hAnsi="Arial"/>
        <w:color w:val="B2A1C6"/>
        <w:sz w:val="22"/>
      </w:rPr>
    </w:tblStylePr>
  </w:style>
  <w:style w:type="table" w:customStyle="1" w:styleId="1318">
    <w:name w:val="List Table 6 Colorful - Accent 55"/>
    <w:basedOn w:val="13"/>
    <w:uiPriority w:val="99"/>
    <w:rPr>
      <w:sz w:val="22"/>
      <w:szCs w:val="22"/>
      <w:lang w:eastAsia="en-US"/>
    </w:rPr>
    <w:tblPr>
      <w:tblBorders>
        <w:top w:val="single" w:color="92CCDC" w:sz="4" w:space="0"/>
        <w:bottom w:val="single" w:color="92CCDC" w:sz="4" w:space="0"/>
      </w:tblBorders>
      <w:tblCellMar>
        <w:top w:w="0" w:type="dxa"/>
        <w:left w:w="108" w:type="dxa"/>
        <w:bottom w:w="0" w:type="dxa"/>
        <w:right w:w="108" w:type="dxa"/>
      </w:tblCellMar>
    </w:tblPr>
    <w:tblStylePr w:type="firstRow">
      <w:rPr>
        <w:b/>
        <w:color w:val="92CCDC"/>
      </w:rPr>
      <w:tcPr>
        <w:tcBorders>
          <w:bottom w:val="single" w:color="92CCDC" w:sz="4" w:space="0"/>
        </w:tcBorders>
      </w:tcPr>
    </w:tblStylePr>
    <w:tblStylePr w:type="lastRow">
      <w:rPr>
        <w:b/>
        <w:color w:val="92CCDC"/>
      </w:rPr>
      <w:tcPr>
        <w:tcBorders>
          <w:top w:val="single" w:color="92CCDC" w:sz="4" w:space="0"/>
        </w:tcBorders>
      </w:tcPr>
    </w:tblStylePr>
    <w:tblStylePr w:type="firstCol">
      <w:rPr>
        <w:b/>
        <w:color w:val="92CCDC"/>
      </w:rPr>
    </w:tblStylePr>
    <w:tblStylePr w:type="lastCol">
      <w:rPr>
        <w:b/>
        <w:color w:val="92CCDC"/>
      </w:rPr>
    </w:tblStylePr>
    <w:tblStylePr w:type="band1Vert">
      <w:tcPr>
        <w:shd w:val="clear" w:color="D1EAF0" w:fill="D1EAF0"/>
      </w:tcPr>
    </w:tblStylePr>
    <w:tblStylePr w:type="band1Horz">
      <w:rPr>
        <w:rFonts w:ascii="Arial" w:hAnsi="Arial"/>
        <w:color w:val="92CCDC"/>
        <w:sz w:val="22"/>
      </w:rPr>
      <w:tcPr>
        <w:shd w:val="clear" w:color="D1EAF0" w:fill="D1EAF0"/>
      </w:tcPr>
    </w:tblStylePr>
    <w:tblStylePr w:type="band2Horz">
      <w:rPr>
        <w:rFonts w:ascii="Arial" w:hAnsi="Arial"/>
        <w:color w:val="92CCDC"/>
        <w:sz w:val="22"/>
      </w:rPr>
    </w:tblStylePr>
  </w:style>
  <w:style w:type="table" w:customStyle="1" w:styleId="1319">
    <w:name w:val="List Table 6 Colorful - Accent 65"/>
    <w:basedOn w:val="13"/>
    <w:uiPriority w:val="99"/>
    <w:rPr>
      <w:sz w:val="22"/>
      <w:szCs w:val="22"/>
      <w:lang w:eastAsia="en-US"/>
    </w:rPr>
    <w:tblPr>
      <w:tblBorders>
        <w:top w:val="single" w:color="FAC090" w:sz="4" w:space="0"/>
        <w:bottom w:val="single" w:color="FAC090" w:sz="4" w:space="0"/>
      </w:tblBorders>
      <w:tblCellMar>
        <w:top w:w="0" w:type="dxa"/>
        <w:left w:w="108" w:type="dxa"/>
        <w:bottom w:w="0" w:type="dxa"/>
        <w:right w:w="108" w:type="dxa"/>
      </w:tblCellMar>
    </w:tblPr>
    <w:tblStylePr w:type="firstRow">
      <w:rPr>
        <w:b/>
        <w:color w:val="FAC090"/>
      </w:rPr>
      <w:tcPr>
        <w:tcBorders>
          <w:bottom w:val="single" w:color="FAC090" w:sz="4" w:space="0"/>
        </w:tcBorders>
      </w:tcPr>
    </w:tblStylePr>
    <w:tblStylePr w:type="lastRow">
      <w:rPr>
        <w:b/>
        <w:color w:val="FAC090"/>
      </w:rPr>
      <w:tcPr>
        <w:tcBorders>
          <w:top w:val="single" w:color="FAC090" w:sz="4" w:space="0"/>
        </w:tcBorders>
      </w:tcPr>
    </w:tblStylePr>
    <w:tblStylePr w:type="firstCol">
      <w:rPr>
        <w:b/>
        <w:color w:val="FAC090"/>
      </w:rPr>
    </w:tblStylePr>
    <w:tblStylePr w:type="lastCol">
      <w:rPr>
        <w:b/>
        <w:color w:val="FAC090"/>
      </w:rPr>
    </w:tblStylePr>
    <w:tblStylePr w:type="band1Vert">
      <w:tcPr>
        <w:shd w:val="clear" w:color="FDE4D0" w:fill="FDE4D0"/>
      </w:tcPr>
    </w:tblStylePr>
    <w:tblStylePr w:type="band1Horz">
      <w:rPr>
        <w:rFonts w:ascii="Arial" w:hAnsi="Arial"/>
        <w:color w:val="FAC090"/>
        <w:sz w:val="22"/>
      </w:rPr>
      <w:tcPr>
        <w:shd w:val="clear" w:color="FDE4D0" w:fill="FDE4D0"/>
      </w:tcPr>
    </w:tblStylePr>
    <w:tblStylePr w:type="band2Horz">
      <w:rPr>
        <w:rFonts w:ascii="Arial" w:hAnsi="Arial"/>
        <w:color w:val="FAC090"/>
        <w:sz w:val="22"/>
      </w:rPr>
    </w:tblStylePr>
  </w:style>
  <w:style w:type="table" w:customStyle="1" w:styleId="1320">
    <w:name w:val="Список-таблица 7 цветная13"/>
    <w:basedOn w:val="13"/>
    <w:uiPriority w:val="99"/>
    <w:rPr>
      <w:sz w:val="22"/>
      <w:szCs w:val="22"/>
      <w:lang w:eastAsia="en-US"/>
    </w:rPr>
    <w:tblPr>
      <w:tblBorders>
        <w:right w:val="single" w:color="7F7F7F" w:sz="4" w:space="0"/>
      </w:tblBorders>
      <w:tblCellMar>
        <w:top w:w="0" w:type="dxa"/>
        <w:left w:w="108" w:type="dxa"/>
        <w:bottom w:w="0" w:type="dxa"/>
        <w:right w:w="108" w:type="dxa"/>
      </w:tblCellMar>
    </w:tblPr>
    <w:tblStylePr w:type="firstRow">
      <w:rPr>
        <w:rFonts w:ascii="Arial" w:hAnsi="Arial"/>
        <w:i/>
        <w:color w:val="7F7F7F"/>
        <w:sz w:val="22"/>
      </w:rPr>
      <w:tcPr>
        <w:tcBorders>
          <w:top w:val="nil"/>
          <w:left w:val="nil"/>
          <w:bottom w:val="single" w:color="7F7F7F" w:sz="4" w:space="0"/>
          <w:right w:val="nil"/>
        </w:tcBorders>
        <w:shd w:val="clear" w:color="FFFFFF" w:fill="FFFFFF"/>
      </w:tcPr>
    </w:tblStylePr>
    <w:tblStylePr w:type="lastRow">
      <w:rPr>
        <w:rFonts w:ascii="Arial" w:hAnsi="Arial"/>
        <w:i/>
        <w:color w:val="7F7F7F"/>
        <w:sz w:val="22"/>
      </w:rPr>
      <w:tcPr>
        <w:tcBorders>
          <w:top w:val="single" w:color="7F7F7F" w:sz="4" w:space="0"/>
          <w:left w:val="nil"/>
          <w:bottom w:val="nil"/>
          <w:right w:val="nil"/>
        </w:tcBorders>
        <w:shd w:val="clear" w:color="FFFFFF" w:fill="FFFFFF"/>
      </w:tcPr>
    </w:tblStylePr>
    <w:tblStylePr w:type="firstCol">
      <w:pPr>
        <w:jc w:val="right"/>
      </w:pPr>
      <w:rPr>
        <w:rFonts w:ascii="Arial" w:hAnsi="Arial"/>
        <w:i/>
        <w:color w:val="7F7F7F"/>
        <w:sz w:val="22"/>
      </w:rPr>
      <w:tcPr>
        <w:tcBorders>
          <w:top w:val="nil"/>
          <w:left w:val="nil"/>
          <w:bottom w:val="nil"/>
          <w:right w:val="single" w:color="7F7F7F" w:sz="4" w:space="0"/>
        </w:tcBorders>
        <w:shd w:val="clear" w:color="FFFFFF" w:fill="auto"/>
      </w:tcPr>
    </w:tblStylePr>
    <w:tblStylePr w:type="lastCol">
      <w:rPr>
        <w:rFonts w:ascii="Arial" w:hAnsi="Arial"/>
        <w:i/>
        <w:color w:val="7F7F7F"/>
        <w:sz w:val="22"/>
      </w:rPr>
      <w:tcPr>
        <w:tcBorders>
          <w:top w:val="nil"/>
          <w:left w:val="single" w:color="7F7F7F" w:sz="4" w:space="0"/>
          <w:bottom w:val="nil"/>
          <w:right w:val="nil"/>
        </w:tcBorders>
        <w:shd w:val="clear" w:color="FFFFFF" w:fill="auto"/>
      </w:tcPr>
    </w:tblStylePr>
    <w:tblStylePr w:type="band1Vert">
      <w:tcPr>
        <w:shd w:val="clear" w:color="BFBFBF" w:fill="BFBFBF"/>
      </w:tcPr>
    </w:tblStylePr>
    <w:tblStylePr w:type="band1Horz">
      <w:rPr>
        <w:rFonts w:ascii="Arial" w:hAnsi="Arial"/>
        <w:color w:val="7F7F7F"/>
        <w:sz w:val="22"/>
      </w:rPr>
      <w:tcPr>
        <w:shd w:val="clear" w:color="BFBFBF" w:fill="BFBFBF"/>
      </w:tcPr>
    </w:tblStylePr>
    <w:tblStylePr w:type="band2Horz">
      <w:rPr>
        <w:rFonts w:ascii="Arial" w:hAnsi="Arial"/>
        <w:color w:val="7F7F7F"/>
        <w:sz w:val="22"/>
      </w:rPr>
    </w:tblStylePr>
  </w:style>
  <w:style w:type="table" w:customStyle="1" w:styleId="1321">
    <w:name w:val="List Table 7 Colorful - Accent 15"/>
    <w:basedOn w:val="13"/>
    <w:uiPriority w:val="99"/>
    <w:rPr>
      <w:sz w:val="22"/>
      <w:szCs w:val="22"/>
      <w:lang w:eastAsia="en-US"/>
    </w:rPr>
    <w:tblPr>
      <w:tblBorders>
        <w:right w:val="single" w:color="4F81BD" w:sz="4" w:space="0"/>
      </w:tblBorders>
      <w:tblCellMar>
        <w:top w:w="0" w:type="dxa"/>
        <w:left w:w="108" w:type="dxa"/>
        <w:bottom w:w="0" w:type="dxa"/>
        <w:right w:w="108" w:type="dxa"/>
      </w:tblCellMar>
    </w:tblPr>
    <w:tblStylePr w:type="firstRow">
      <w:rPr>
        <w:rFonts w:ascii="Arial" w:hAnsi="Arial"/>
        <w:i/>
        <w:color w:val="2A4A71"/>
        <w:sz w:val="22"/>
      </w:rPr>
      <w:tcPr>
        <w:tcBorders>
          <w:top w:val="nil"/>
          <w:left w:val="nil"/>
          <w:bottom w:val="single" w:color="4F81BD" w:sz="4" w:space="0"/>
          <w:right w:val="nil"/>
        </w:tcBorders>
        <w:shd w:val="clear" w:color="FFFFFF" w:fill="FFFFFF"/>
      </w:tcPr>
    </w:tblStylePr>
    <w:tblStylePr w:type="lastRow">
      <w:rPr>
        <w:rFonts w:ascii="Arial" w:hAnsi="Arial"/>
        <w:i/>
        <w:color w:val="2A4A71"/>
        <w:sz w:val="22"/>
      </w:rPr>
      <w:tcPr>
        <w:tcBorders>
          <w:top w:val="single" w:color="4F81BD" w:sz="4" w:space="0"/>
          <w:left w:val="nil"/>
          <w:bottom w:val="nil"/>
          <w:right w:val="nil"/>
        </w:tcBorders>
        <w:shd w:val="clear" w:color="FFFFFF" w:fill="FFFFFF"/>
      </w:tcPr>
    </w:tblStylePr>
    <w:tblStylePr w:type="firstCol">
      <w:pPr>
        <w:jc w:val="right"/>
      </w:pPr>
      <w:rPr>
        <w:rFonts w:ascii="Arial" w:hAnsi="Arial"/>
        <w:i/>
        <w:color w:val="2A4A71"/>
        <w:sz w:val="22"/>
      </w:rPr>
      <w:tcPr>
        <w:tcBorders>
          <w:top w:val="nil"/>
          <w:left w:val="nil"/>
          <w:bottom w:val="nil"/>
          <w:right w:val="single" w:color="4F81BD" w:sz="4" w:space="0"/>
        </w:tcBorders>
        <w:shd w:val="clear" w:color="FFFFFF" w:fill="auto"/>
      </w:tcPr>
    </w:tblStylePr>
    <w:tblStylePr w:type="lastCol">
      <w:rPr>
        <w:rFonts w:ascii="Arial" w:hAnsi="Arial"/>
        <w:i/>
        <w:color w:val="2A4A71"/>
        <w:sz w:val="22"/>
      </w:rPr>
      <w:tcPr>
        <w:tcBorders>
          <w:top w:val="nil"/>
          <w:left w:val="single" w:color="4F81BD" w:sz="4" w:space="0"/>
          <w:bottom w:val="nil"/>
          <w:right w:val="nil"/>
        </w:tcBorders>
        <w:shd w:val="clear" w:color="FFFFFF" w:fill="auto"/>
      </w:tcPr>
    </w:tblStylePr>
    <w:tblStylePr w:type="band1Vert">
      <w:tcPr>
        <w:shd w:val="clear" w:color="D2DFEE" w:fill="D2DFEE"/>
      </w:tcPr>
    </w:tblStylePr>
    <w:tblStylePr w:type="band1Horz">
      <w:rPr>
        <w:rFonts w:ascii="Arial" w:hAnsi="Arial"/>
        <w:color w:val="2A4A71"/>
        <w:sz w:val="22"/>
      </w:rPr>
      <w:tcPr>
        <w:shd w:val="clear" w:color="D2DFEE" w:fill="D2DFEE"/>
      </w:tcPr>
    </w:tblStylePr>
    <w:tblStylePr w:type="band2Horz">
      <w:rPr>
        <w:rFonts w:ascii="Arial" w:hAnsi="Arial"/>
        <w:color w:val="2A4A71"/>
        <w:sz w:val="22"/>
      </w:rPr>
    </w:tblStylePr>
  </w:style>
  <w:style w:type="table" w:customStyle="1" w:styleId="1322">
    <w:name w:val="List Table 7 Colorful - Accent 25"/>
    <w:basedOn w:val="13"/>
    <w:uiPriority w:val="99"/>
    <w:rPr>
      <w:sz w:val="22"/>
      <w:szCs w:val="22"/>
      <w:lang w:eastAsia="en-US"/>
    </w:rPr>
    <w:tblPr>
      <w:tblBorders>
        <w:right w:val="single" w:color="D99695" w:sz="4" w:space="0"/>
      </w:tblBorders>
      <w:tblCellMar>
        <w:top w:w="0" w:type="dxa"/>
        <w:left w:w="108" w:type="dxa"/>
        <w:bottom w:w="0" w:type="dxa"/>
        <w:right w:w="108" w:type="dxa"/>
      </w:tblCellMar>
    </w:tblPr>
    <w:tblStylePr w:type="firstRow">
      <w:rPr>
        <w:rFonts w:ascii="Arial" w:hAnsi="Arial"/>
        <w:i/>
        <w:color w:val="D99695"/>
        <w:sz w:val="22"/>
      </w:rPr>
      <w:tcPr>
        <w:tcBorders>
          <w:top w:val="nil"/>
          <w:left w:val="nil"/>
          <w:bottom w:val="single" w:color="D99695" w:sz="4" w:space="0"/>
          <w:right w:val="nil"/>
        </w:tcBorders>
        <w:shd w:val="clear" w:color="FFFFFF" w:fill="FFFFFF"/>
      </w:tcPr>
    </w:tblStylePr>
    <w:tblStylePr w:type="lastRow">
      <w:rPr>
        <w:rFonts w:ascii="Arial" w:hAnsi="Arial"/>
        <w:i/>
        <w:color w:val="D99695"/>
        <w:sz w:val="22"/>
      </w:rPr>
      <w:tcPr>
        <w:tcBorders>
          <w:top w:val="single" w:color="D99695" w:sz="4" w:space="0"/>
          <w:left w:val="nil"/>
          <w:bottom w:val="nil"/>
          <w:right w:val="nil"/>
        </w:tcBorders>
        <w:shd w:val="clear" w:color="FFFFFF" w:fill="FFFFFF"/>
      </w:tcPr>
    </w:tblStylePr>
    <w:tblStylePr w:type="firstCol">
      <w:pPr>
        <w:jc w:val="right"/>
      </w:pPr>
      <w:rPr>
        <w:rFonts w:ascii="Arial" w:hAnsi="Arial"/>
        <w:i/>
        <w:color w:val="D99695"/>
        <w:sz w:val="22"/>
      </w:rPr>
      <w:tcPr>
        <w:tcBorders>
          <w:top w:val="nil"/>
          <w:left w:val="nil"/>
          <w:bottom w:val="nil"/>
          <w:right w:val="single" w:color="D99695" w:sz="4" w:space="0"/>
        </w:tcBorders>
        <w:shd w:val="clear" w:color="FFFFFF" w:fill="auto"/>
      </w:tcPr>
    </w:tblStylePr>
    <w:tblStylePr w:type="lastCol">
      <w:rPr>
        <w:rFonts w:ascii="Arial" w:hAnsi="Arial"/>
        <w:i/>
        <w:color w:val="D99695"/>
        <w:sz w:val="22"/>
      </w:rPr>
      <w:tcPr>
        <w:tcBorders>
          <w:top w:val="nil"/>
          <w:left w:val="single" w:color="D99695" w:sz="4" w:space="0"/>
          <w:bottom w:val="nil"/>
          <w:right w:val="nil"/>
        </w:tcBorders>
        <w:shd w:val="clear" w:color="FFFFFF" w:fill="auto"/>
      </w:tcPr>
    </w:tblStylePr>
    <w:tblStylePr w:type="band1Vert">
      <w:tcPr>
        <w:shd w:val="clear" w:color="EFD2D2" w:fill="EFD2D2"/>
      </w:tcPr>
    </w:tblStylePr>
    <w:tblStylePr w:type="band1Horz">
      <w:rPr>
        <w:rFonts w:ascii="Arial" w:hAnsi="Arial"/>
        <w:color w:val="D99695"/>
        <w:sz w:val="22"/>
      </w:rPr>
      <w:tcPr>
        <w:shd w:val="clear" w:color="EFD2D2" w:fill="EFD2D2"/>
      </w:tcPr>
    </w:tblStylePr>
    <w:tblStylePr w:type="band2Horz">
      <w:rPr>
        <w:rFonts w:ascii="Arial" w:hAnsi="Arial"/>
        <w:color w:val="D99695"/>
        <w:sz w:val="22"/>
      </w:rPr>
    </w:tblStylePr>
  </w:style>
  <w:style w:type="table" w:customStyle="1" w:styleId="1323">
    <w:name w:val="List Table 7 Colorful - Accent 35"/>
    <w:basedOn w:val="13"/>
    <w:uiPriority w:val="99"/>
    <w:rPr>
      <w:sz w:val="22"/>
      <w:szCs w:val="22"/>
      <w:lang w:eastAsia="en-US"/>
    </w:rPr>
    <w:tblPr>
      <w:tblBorders>
        <w:right w:val="single" w:color="C3D69B" w:sz="4" w:space="0"/>
      </w:tblBorders>
      <w:tblCellMar>
        <w:top w:w="0" w:type="dxa"/>
        <w:left w:w="108" w:type="dxa"/>
        <w:bottom w:w="0" w:type="dxa"/>
        <w:right w:w="108" w:type="dxa"/>
      </w:tblCellMar>
    </w:tblPr>
    <w:tblStylePr w:type="firstRow">
      <w:rPr>
        <w:rFonts w:ascii="Arial" w:hAnsi="Arial"/>
        <w:i/>
        <w:color w:val="C3D69B"/>
        <w:sz w:val="22"/>
      </w:rPr>
      <w:tcPr>
        <w:tcBorders>
          <w:top w:val="nil"/>
          <w:left w:val="nil"/>
          <w:bottom w:val="single" w:color="C3D69B" w:sz="4" w:space="0"/>
          <w:right w:val="nil"/>
        </w:tcBorders>
        <w:shd w:val="clear" w:color="FFFFFF" w:fill="FFFFFF"/>
      </w:tcPr>
    </w:tblStylePr>
    <w:tblStylePr w:type="lastRow">
      <w:rPr>
        <w:rFonts w:ascii="Arial" w:hAnsi="Arial"/>
        <w:i/>
        <w:color w:val="C3D69B"/>
        <w:sz w:val="22"/>
      </w:rPr>
      <w:tcPr>
        <w:tcBorders>
          <w:top w:val="single" w:color="C3D69B" w:sz="4" w:space="0"/>
          <w:left w:val="nil"/>
          <w:bottom w:val="nil"/>
          <w:right w:val="nil"/>
        </w:tcBorders>
        <w:shd w:val="clear" w:color="FFFFFF" w:fill="FFFFFF"/>
      </w:tcPr>
    </w:tblStylePr>
    <w:tblStylePr w:type="firstCol">
      <w:pPr>
        <w:jc w:val="right"/>
      </w:pPr>
      <w:rPr>
        <w:rFonts w:ascii="Arial" w:hAnsi="Arial"/>
        <w:i/>
        <w:color w:val="C3D69B"/>
        <w:sz w:val="22"/>
      </w:rPr>
      <w:tcPr>
        <w:tcBorders>
          <w:top w:val="nil"/>
          <w:left w:val="nil"/>
          <w:bottom w:val="nil"/>
          <w:right w:val="single" w:color="C3D69B" w:sz="4" w:space="0"/>
        </w:tcBorders>
        <w:shd w:val="clear" w:color="FFFFFF" w:fill="auto"/>
      </w:tcPr>
    </w:tblStylePr>
    <w:tblStylePr w:type="lastCol">
      <w:rPr>
        <w:rFonts w:ascii="Arial" w:hAnsi="Arial"/>
        <w:i/>
        <w:color w:val="C3D69B"/>
        <w:sz w:val="22"/>
      </w:rPr>
      <w:tcPr>
        <w:tcBorders>
          <w:top w:val="nil"/>
          <w:left w:val="single" w:color="C3D69B" w:sz="4" w:space="0"/>
          <w:bottom w:val="nil"/>
          <w:right w:val="nil"/>
        </w:tcBorders>
        <w:shd w:val="clear" w:color="FFFFFF" w:fill="auto"/>
      </w:tcPr>
    </w:tblStylePr>
    <w:tblStylePr w:type="band1Vert">
      <w:tcPr>
        <w:shd w:val="clear" w:color="E5EED5" w:fill="E5EED5"/>
      </w:tcPr>
    </w:tblStylePr>
    <w:tblStylePr w:type="band1Horz">
      <w:rPr>
        <w:rFonts w:ascii="Arial" w:hAnsi="Arial"/>
        <w:color w:val="C3D69B"/>
        <w:sz w:val="22"/>
      </w:rPr>
      <w:tcPr>
        <w:shd w:val="clear" w:color="E5EED5" w:fill="E5EED5"/>
      </w:tcPr>
    </w:tblStylePr>
    <w:tblStylePr w:type="band2Horz">
      <w:rPr>
        <w:rFonts w:ascii="Arial" w:hAnsi="Arial"/>
        <w:color w:val="C3D69B"/>
        <w:sz w:val="22"/>
      </w:rPr>
    </w:tblStylePr>
  </w:style>
  <w:style w:type="table" w:customStyle="1" w:styleId="1324">
    <w:name w:val="List Table 7 Colorful - Accent 45"/>
    <w:basedOn w:val="13"/>
    <w:uiPriority w:val="99"/>
    <w:rPr>
      <w:sz w:val="22"/>
      <w:szCs w:val="22"/>
      <w:lang w:eastAsia="en-US"/>
    </w:rPr>
    <w:tblPr>
      <w:tblBorders>
        <w:right w:val="single" w:color="B2A1C6" w:sz="4" w:space="0"/>
      </w:tblBorders>
      <w:tblCellMar>
        <w:top w:w="0" w:type="dxa"/>
        <w:left w:w="108" w:type="dxa"/>
        <w:bottom w:w="0" w:type="dxa"/>
        <w:right w:w="108" w:type="dxa"/>
      </w:tblCellMar>
    </w:tblPr>
    <w:tblStylePr w:type="firstRow">
      <w:rPr>
        <w:rFonts w:ascii="Arial" w:hAnsi="Arial"/>
        <w:i/>
        <w:color w:val="B2A1C6"/>
        <w:sz w:val="22"/>
      </w:rPr>
      <w:tcPr>
        <w:tcBorders>
          <w:top w:val="nil"/>
          <w:left w:val="nil"/>
          <w:bottom w:val="single" w:color="B2A1C6" w:sz="4" w:space="0"/>
          <w:right w:val="nil"/>
        </w:tcBorders>
        <w:shd w:val="clear" w:color="FFFFFF" w:fill="FFFFFF"/>
      </w:tcPr>
    </w:tblStylePr>
    <w:tblStylePr w:type="lastRow">
      <w:rPr>
        <w:rFonts w:ascii="Arial" w:hAnsi="Arial"/>
        <w:i/>
        <w:color w:val="B2A1C6"/>
        <w:sz w:val="22"/>
      </w:rPr>
      <w:tcPr>
        <w:tcBorders>
          <w:top w:val="single" w:color="B2A1C6" w:sz="4" w:space="0"/>
          <w:left w:val="nil"/>
          <w:bottom w:val="nil"/>
          <w:right w:val="nil"/>
        </w:tcBorders>
        <w:shd w:val="clear" w:color="FFFFFF" w:fill="FFFFFF"/>
      </w:tcPr>
    </w:tblStylePr>
    <w:tblStylePr w:type="firstCol">
      <w:pPr>
        <w:jc w:val="right"/>
      </w:pPr>
      <w:rPr>
        <w:rFonts w:ascii="Arial" w:hAnsi="Arial"/>
        <w:i/>
        <w:color w:val="B2A1C6"/>
        <w:sz w:val="22"/>
      </w:rPr>
      <w:tcPr>
        <w:tcBorders>
          <w:top w:val="nil"/>
          <w:left w:val="nil"/>
          <w:bottom w:val="nil"/>
          <w:right w:val="single" w:color="B2A1C6" w:sz="4" w:space="0"/>
        </w:tcBorders>
        <w:shd w:val="clear" w:color="FFFFFF" w:fill="auto"/>
      </w:tcPr>
    </w:tblStylePr>
    <w:tblStylePr w:type="lastCol">
      <w:rPr>
        <w:rFonts w:ascii="Arial" w:hAnsi="Arial"/>
        <w:i/>
        <w:color w:val="B2A1C6"/>
        <w:sz w:val="22"/>
      </w:rPr>
      <w:tcPr>
        <w:tcBorders>
          <w:top w:val="nil"/>
          <w:left w:val="single" w:color="B2A1C6" w:sz="4" w:space="0"/>
          <w:bottom w:val="nil"/>
          <w:right w:val="nil"/>
        </w:tcBorders>
        <w:shd w:val="clear" w:color="FFFFFF" w:fill="auto"/>
      </w:tcPr>
    </w:tblStylePr>
    <w:tblStylePr w:type="band1Vert">
      <w:tcPr>
        <w:shd w:val="clear" w:color="DFD8E7" w:fill="DFD8E7"/>
      </w:tcPr>
    </w:tblStylePr>
    <w:tblStylePr w:type="band1Horz">
      <w:rPr>
        <w:rFonts w:ascii="Arial" w:hAnsi="Arial"/>
        <w:color w:val="B2A1C6"/>
        <w:sz w:val="22"/>
      </w:rPr>
      <w:tcPr>
        <w:shd w:val="clear" w:color="DFD8E7" w:fill="DFD8E7"/>
      </w:tcPr>
    </w:tblStylePr>
    <w:tblStylePr w:type="band2Horz">
      <w:rPr>
        <w:rFonts w:ascii="Arial" w:hAnsi="Arial"/>
        <w:color w:val="B2A1C6"/>
        <w:sz w:val="22"/>
      </w:rPr>
    </w:tblStylePr>
  </w:style>
  <w:style w:type="table" w:customStyle="1" w:styleId="1325">
    <w:name w:val="List Table 7 Colorful - Accent 55"/>
    <w:basedOn w:val="13"/>
    <w:uiPriority w:val="99"/>
    <w:rPr>
      <w:sz w:val="22"/>
      <w:szCs w:val="22"/>
      <w:lang w:eastAsia="en-US"/>
    </w:rPr>
    <w:tblPr>
      <w:tblBorders>
        <w:right w:val="single" w:color="92CCDC" w:sz="4" w:space="0"/>
      </w:tblBorders>
      <w:tblCellMar>
        <w:top w:w="0" w:type="dxa"/>
        <w:left w:w="108" w:type="dxa"/>
        <w:bottom w:w="0" w:type="dxa"/>
        <w:right w:w="108" w:type="dxa"/>
      </w:tblCellMar>
    </w:tblPr>
    <w:tblStylePr w:type="firstRow">
      <w:rPr>
        <w:rFonts w:ascii="Arial" w:hAnsi="Arial"/>
        <w:i/>
        <w:color w:val="92CCDC"/>
        <w:sz w:val="22"/>
      </w:rPr>
      <w:tcPr>
        <w:tcBorders>
          <w:top w:val="nil"/>
          <w:left w:val="nil"/>
          <w:bottom w:val="single" w:color="92CCDC" w:sz="4" w:space="0"/>
          <w:right w:val="nil"/>
        </w:tcBorders>
        <w:shd w:val="clear" w:color="FFFFFF" w:fill="FFFFFF"/>
      </w:tcPr>
    </w:tblStylePr>
    <w:tblStylePr w:type="lastRow">
      <w:rPr>
        <w:rFonts w:ascii="Arial" w:hAnsi="Arial"/>
        <w:i/>
        <w:color w:val="92CCDC"/>
        <w:sz w:val="22"/>
      </w:rPr>
      <w:tcPr>
        <w:tcBorders>
          <w:top w:val="single" w:color="92CCDC" w:sz="4" w:space="0"/>
          <w:left w:val="nil"/>
          <w:bottom w:val="nil"/>
          <w:right w:val="nil"/>
        </w:tcBorders>
        <w:shd w:val="clear" w:color="FFFFFF" w:fill="FFFFFF"/>
      </w:tcPr>
    </w:tblStylePr>
    <w:tblStylePr w:type="firstCol">
      <w:pPr>
        <w:jc w:val="right"/>
      </w:pPr>
      <w:rPr>
        <w:rFonts w:ascii="Arial" w:hAnsi="Arial"/>
        <w:i/>
        <w:color w:val="92CCDC"/>
        <w:sz w:val="22"/>
      </w:rPr>
      <w:tcPr>
        <w:tcBorders>
          <w:top w:val="nil"/>
          <w:left w:val="nil"/>
          <w:bottom w:val="nil"/>
          <w:right w:val="single" w:color="92CCDC" w:sz="4" w:space="0"/>
        </w:tcBorders>
        <w:shd w:val="clear" w:color="FFFFFF" w:fill="auto"/>
      </w:tcPr>
    </w:tblStylePr>
    <w:tblStylePr w:type="lastCol">
      <w:rPr>
        <w:rFonts w:ascii="Arial" w:hAnsi="Arial"/>
        <w:i/>
        <w:color w:val="92CCDC"/>
        <w:sz w:val="22"/>
      </w:rPr>
      <w:tcPr>
        <w:tcBorders>
          <w:top w:val="nil"/>
          <w:left w:val="single" w:color="92CCDC" w:sz="4" w:space="0"/>
          <w:bottom w:val="nil"/>
          <w:right w:val="nil"/>
        </w:tcBorders>
        <w:shd w:val="clear" w:color="FFFFFF" w:fill="auto"/>
      </w:tcPr>
    </w:tblStylePr>
    <w:tblStylePr w:type="band1Vert">
      <w:tcPr>
        <w:shd w:val="clear" w:color="D1EAF0" w:fill="D1EAF0"/>
      </w:tcPr>
    </w:tblStylePr>
    <w:tblStylePr w:type="band1Horz">
      <w:rPr>
        <w:rFonts w:ascii="Arial" w:hAnsi="Arial"/>
        <w:color w:val="92CCDC"/>
        <w:sz w:val="22"/>
      </w:rPr>
      <w:tcPr>
        <w:shd w:val="clear" w:color="D1EAF0" w:fill="D1EAF0"/>
      </w:tcPr>
    </w:tblStylePr>
    <w:tblStylePr w:type="band2Horz">
      <w:rPr>
        <w:rFonts w:ascii="Arial" w:hAnsi="Arial"/>
        <w:color w:val="92CCDC"/>
        <w:sz w:val="22"/>
      </w:rPr>
    </w:tblStylePr>
  </w:style>
  <w:style w:type="table" w:customStyle="1" w:styleId="1326">
    <w:name w:val="List Table 7 Colorful - Accent 65"/>
    <w:basedOn w:val="13"/>
    <w:uiPriority w:val="99"/>
    <w:rPr>
      <w:sz w:val="22"/>
      <w:szCs w:val="22"/>
      <w:lang w:eastAsia="en-US"/>
    </w:rPr>
    <w:tblPr>
      <w:tblBorders>
        <w:right w:val="single" w:color="FAC090" w:sz="4" w:space="0"/>
      </w:tblBorders>
      <w:tblCellMar>
        <w:top w:w="0" w:type="dxa"/>
        <w:left w:w="108" w:type="dxa"/>
        <w:bottom w:w="0" w:type="dxa"/>
        <w:right w:w="108" w:type="dxa"/>
      </w:tblCellMar>
    </w:tblPr>
    <w:tblStylePr w:type="firstRow">
      <w:rPr>
        <w:rFonts w:ascii="Arial" w:hAnsi="Arial"/>
        <w:i/>
        <w:color w:val="FAC090"/>
        <w:sz w:val="22"/>
      </w:rPr>
      <w:tcPr>
        <w:tcBorders>
          <w:top w:val="nil"/>
          <w:left w:val="nil"/>
          <w:bottom w:val="single" w:color="FAC090" w:sz="4" w:space="0"/>
          <w:right w:val="nil"/>
        </w:tcBorders>
        <w:shd w:val="clear" w:color="FFFFFF" w:fill="FFFFFF"/>
      </w:tcPr>
    </w:tblStylePr>
    <w:tblStylePr w:type="lastRow">
      <w:rPr>
        <w:rFonts w:ascii="Arial" w:hAnsi="Arial"/>
        <w:i/>
        <w:color w:val="FAC090"/>
        <w:sz w:val="22"/>
      </w:rPr>
      <w:tcPr>
        <w:tcBorders>
          <w:top w:val="single" w:color="FAC090" w:sz="4" w:space="0"/>
          <w:left w:val="nil"/>
          <w:bottom w:val="nil"/>
          <w:right w:val="nil"/>
        </w:tcBorders>
        <w:shd w:val="clear" w:color="FFFFFF" w:fill="FFFFFF"/>
      </w:tcPr>
    </w:tblStylePr>
    <w:tblStylePr w:type="firstCol">
      <w:pPr>
        <w:jc w:val="right"/>
      </w:pPr>
      <w:rPr>
        <w:rFonts w:ascii="Arial" w:hAnsi="Arial"/>
        <w:i/>
        <w:color w:val="FAC090"/>
        <w:sz w:val="22"/>
      </w:rPr>
      <w:tcPr>
        <w:tcBorders>
          <w:top w:val="nil"/>
          <w:left w:val="nil"/>
          <w:bottom w:val="nil"/>
          <w:right w:val="single" w:color="FAC090" w:sz="4" w:space="0"/>
        </w:tcBorders>
        <w:shd w:val="clear" w:color="FFFFFF" w:fill="auto"/>
      </w:tcPr>
    </w:tblStylePr>
    <w:tblStylePr w:type="lastCol">
      <w:rPr>
        <w:rFonts w:ascii="Arial" w:hAnsi="Arial"/>
        <w:i/>
        <w:color w:val="FAC090"/>
        <w:sz w:val="22"/>
      </w:rPr>
      <w:tcPr>
        <w:tcBorders>
          <w:top w:val="nil"/>
          <w:left w:val="single" w:color="FAC090" w:sz="4" w:space="0"/>
          <w:bottom w:val="nil"/>
          <w:right w:val="nil"/>
        </w:tcBorders>
        <w:shd w:val="clear" w:color="FFFFFF" w:fill="auto"/>
      </w:tcPr>
    </w:tblStylePr>
    <w:tblStylePr w:type="band1Vert">
      <w:tcPr>
        <w:shd w:val="clear" w:color="FDE4D0" w:fill="FDE4D0"/>
      </w:tcPr>
    </w:tblStylePr>
    <w:tblStylePr w:type="band1Horz">
      <w:rPr>
        <w:rFonts w:ascii="Arial" w:hAnsi="Arial"/>
        <w:color w:val="FAC090"/>
        <w:sz w:val="22"/>
      </w:rPr>
      <w:tcPr>
        <w:shd w:val="clear" w:color="FDE4D0" w:fill="FDE4D0"/>
      </w:tcPr>
    </w:tblStylePr>
    <w:tblStylePr w:type="band2Horz">
      <w:rPr>
        <w:rFonts w:ascii="Arial" w:hAnsi="Arial"/>
        <w:color w:val="FAC090"/>
        <w:sz w:val="22"/>
      </w:rPr>
    </w:tblStylePr>
  </w:style>
  <w:style w:type="table" w:customStyle="1" w:styleId="1327">
    <w:name w:val="Lined - Accent5"/>
    <w:basedOn w:val="13"/>
    <w:uiPriority w:val="99"/>
    <w:rPr>
      <w:color w:val="404040"/>
    </w:rPr>
    <w:tblPr>
      <w:tblCellMar>
        <w:top w:w="0" w:type="dxa"/>
        <w:left w:w="108" w:type="dxa"/>
        <w:bottom w:w="0" w:type="dxa"/>
        <w:right w:w="108" w:type="dxa"/>
      </w:tblCellMar>
    </w:tblPr>
    <w:tblStylePr w:type="firstRow">
      <w:rPr>
        <w:rFonts w:ascii="Arial" w:hAnsi="Arial"/>
        <w:color w:val="F2F2F2"/>
        <w:sz w:val="22"/>
      </w:rPr>
      <w:tcPr>
        <w:shd w:val="clear" w:color="7F7F7F" w:fill="7F7F7F"/>
      </w:tcPr>
    </w:tblStylePr>
    <w:tblStylePr w:type="lastRow">
      <w:rPr>
        <w:rFonts w:ascii="Arial" w:hAnsi="Arial"/>
        <w:color w:val="F2F2F2"/>
        <w:sz w:val="22"/>
      </w:rPr>
      <w:tcPr>
        <w:shd w:val="clear" w:color="7F7F7F" w:fill="7F7F7F"/>
      </w:tcPr>
    </w:tblStylePr>
    <w:tblStylePr w:type="firstCol">
      <w:rPr>
        <w:rFonts w:ascii="Arial" w:hAnsi="Arial"/>
        <w:color w:val="F2F2F2"/>
        <w:sz w:val="22"/>
      </w:rPr>
      <w:tcPr>
        <w:shd w:val="clear" w:color="7F7F7F" w:fill="7F7F7F"/>
      </w:tcPr>
    </w:tblStylePr>
    <w:tblStylePr w:type="lastCol">
      <w:rPr>
        <w:rFonts w:ascii="Arial" w:hAnsi="Arial"/>
        <w:color w:val="F2F2F2"/>
        <w:sz w:val="22"/>
      </w:rPr>
      <w:tcPr>
        <w:shd w:val="clear" w:color="7F7F7F" w:fill="7F7F7F"/>
      </w:tcPr>
    </w:tblStylePr>
    <w:tblStylePr w:type="band1Vert">
      <w:rPr>
        <w:rFonts w:ascii="Arial" w:hAnsi="Arial"/>
        <w:color w:val="404040"/>
        <w:sz w:val="22"/>
      </w:rPr>
    </w:tblStylePr>
    <w:tblStylePr w:type="band2Vert">
      <w:rPr>
        <w:rFonts w:ascii="Arial" w:hAnsi="Arial"/>
        <w:color w:val="404040"/>
        <w:sz w:val="22"/>
      </w:rPr>
      <w:tcPr>
        <w:shd w:val="clear" w:color="F2F2F2" w:fill="F2F2F2"/>
      </w:tcPr>
    </w:tblStylePr>
    <w:tblStylePr w:type="band1Horz">
      <w:rPr>
        <w:rFonts w:ascii="Arial" w:hAnsi="Arial"/>
        <w:color w:val="404040"/>
        <w:sz w:val="22"/>
      </w:rPr>
    </w:tblStylePr>
    <w:tblStylePr w:type="band2Horz">
      <w:rPr>
        <w:rFonts w:ascii="Arial" w:hAnsi="Arial"/>
        <w:color w:val="404040"/>
        <w:sz w:val="22"/>
      </w:rPr>
      <w:tcPr>
        <w:shd w:val="clear" w:color="F2F2F2" w:fill="F2F2F2"/>
      </w:tcPr>
    </w:tblStylePr>
  </w:style>
  <w:style w:type="table" w:customStyle="1" w:styleId="1328">
    <w:name w:val="Lined - Accent 15"/>
    <w:basedOn w:val="13"/>
    <w:uiPriority w:val="99"/>
    <w:rPr>
      <w:color w:val="404040"/>
    </w:rPr>
    <w:tblPr>
      <w:tblCellMar>
        <w:top w:w="0" w:type="dxa"/>
        <w:left w:w="108" w:type="dxa"/>
        <w:bottom w:w="0" w:type="dxa"/>
        <w:right w:w="108" w:type="dxa"/>
      </w:tblCellMar>
    </w:tblPr>
    <w:tblStylePr w:type="firstRow">
      <w:rPr>
        <w:rFonts w:ascii="Arial" w:hAnsi="Arial"/>
        <w:color w:val="F2F2F2"/>
        <w:sz w:val="22"/>
      </w:rPr>
      <w:tcPr>
        <w:shd w:val="clear" w:color="5D8AC2" w:fill="5D8AC2"/>
      </w:tcPr>
    </w:tblStylePr>
    <w:tblStylePr w:type="lastRow">
      <w:rPr>
        <w:rFonts w:ascii="Arial" w:hAnsi="Arial"/>
        <w:color w:val="F2F2F2"/>
        <w:sz w:val="22"/>
      </w:rPr>
      <w:tcPr>
        <w:shd w:val="clear" w:color="5D8AC2" w:fill="5D8AC2"/>
      </w:tcPr>
    </w:tblStylePr>
    <w:tblStylePr w:type="firstCol">
      <w:rPr>
        <w:rFonts w:ascii="Arial" w:hAnsi="Arial"/>
        <w:color w:val="F2F2F2"/>
        <w:sz w:val="22"/>
      </w:rPr>
      <w:tcPr>
        <w:shd w:val="clear" w:color="5D8AC2" w:fill="5D8AC2"/>
      </w:tcPr>
    </w:tblStylePr>
    <w:tblStylePr w:type="lastCol">
      <w:rPr>
        <w:rFonts w:ascii="Arial" w:hAnsi="Arial"/>
        <w:color w:val="F2F2F2"/>
        <w:sz w:val="22"/>
      </w:rPr>
      <w:tcPr>
        <w:shd w:val="clear" w:color="5D8AC2" w:fill="5D8AC2"/>
      </w:tcPr>
    </w:tblStylePr>
    <w:tblStylePr w:type="band1Vert">
      <w:rPr>
        <w:rFonts w:ascii="Arial" w:hAnsi="Arial"/>
        <w:color w:val="404040"/>
        <w:sz w:val="22"/>
      </w:rPr>
    </w:tblStylePr>
    <w:tblStylePr w:type="band2Vert">
      <w:rPr>
        <w:rFonts w:ascii="Arial" w:hAnsi="Arial"/>
        <w:color w:val="404040"/>
        <w:sz w:val="22"/>
      </w:rPr>
      <w:tcPr>
        <w:shd w:val="clear" w:color="C7D7EA" w:fill="C7D7EA"/>
      </w:tcPr>
    </w:tblStylePr>
    <w:tblStylePr w:type="band1Horz">
      <w:rPr>
        <w:rFonts w:ascii="Arial" w:hAnsi="Arial"/>
        <w:color w:val="404040"/>
        <w:sz w:val="22"/>
      </w:rPr>
    </w:tblStylePr>
    <w:tblStylePr w:type="band2Horz">
      <w:rPr>
        <w:rFonts w:ascii="Arial" w:hAnsi="Arial"/>
        <w:color w:val="404040"/>
        <w:sz w:val="22"/>
      </w:rPr>
      <w:tcPr>
        <w:shd w:val="clear" w:color="C7D7EA" w:fill="C7D7EA"/>
      </w:tcPr>
    </w:tblStylePr>
  </w:style>
  <w:style w:type="table" w:customStyle="1" w:styleId="1329">
    <w:name w:val="Lined - Accent 25"/>
    <w:basedOn w:val="13"/>
    <w:uiPriority w:val="99"/>
    <w:rPr>
      <w:color w:val="404040"/>
    </w:rPr>
    <w:tblPr>
      <w:tblCellMar>
        <w:top w:w="0" w:type="dxa"/>
        <w:left w:w="108" w:type="dxa"/>
        <w:bottom w:w="0" w:type="dxa"/>
        <w:right w:w="108" w:type="dxa"/>
      </w:tblCellMar>
    </w:tblPr>
    <w:tblStylePr w:type="firstRow">
      <w:rPr>
        <w:rFonts w:ascii="Arial" w:hAnsi="Arial"/>
        <w:color w:val="F2F2F2"/>
        <w:sz w:val="22"/>
      </w:rPr>
      <w:tcPr>
        <w:shd w:val="clear" w:color="D99695" w:fill="D99695"/>
      </w:tcPr>
    </w:tblStylePr>
    <w:tblStylePr w:type="lastRow">
      <w:rPr>
        <w:rFonts w:ascii="Arial" w:hAnsi="Arial"/>
        <w:color w:val="F2F2F2"/>
        <w:sz w:val="22"/>
      </w:rPr>
      <w:tcPr>
        <w:shd w:val="clear" w:color="D99695" w:fill="D99695"/>
      </w:tcPr>
    </w:tblStylePr>
    <w:tblStylePr w:type="firstCol">
      <w:rPr>
        <w:rFonts w:ascii="Arial" w:hAnsi="Arial"/>
        <w:color w:val="F2F2F2"/>
        <w:sz w:val="22"/>
      </w:rPr>
      <w:tcPr>
        <w:shd w:val="clear" w:color="D99695" w:fill="D99695"/>
      </w:tcPr>
    </w:tblStylePr>
    <w:tblStylePr w:type="lastCol">
      <w:rPr>
        <w:rFonts w:ascii="Arial" w:hAnsi="Arial"/>
        <w:color w:val="F2F2F2"/>
        <w:sz w:val="22"/>
      </w:rPr>
      <w:tcPr>
        <w:shd w:val="clear" w:color="D99695" w:fill="D99695"/>
      </w:tcPr>
    </w:tblStylePr>
    <w:tblStylePr w:type="band1Vert">
      <w:rPr>
        <w:rFonts w:ascii="Arial" w:hAnsi="Arial"/>
        <w:color w:val="404040"/>
        <w:sz w:val="22"/>
      </w:rPr>
    </w:tblStylePr>
    <w:tblStylePr w:type="band2Vert">
      <w:rPr>
        <w:rFonts w:ascii="Arial" w:hAnsi="Arial"/>
        <w:color w:val="404040"/>
        <w:sz w:val="22"/>
      </w:rPr>
      <w:tcPr>
        <w:shd w:val="clear" w:color="F2DCDC" w:fill="F2DCDC"/>
      </w:tcPr>
    </w:tblStylePr>
    <w:tblStylePr w:type="band1Horz">
      <w:rPr>
        <w:rFonts w:ascii="Arial" w:hAnsi="Arial"/>
        <w:color w:val="404040"/>
        <w:sz w:val="22"/>
      </w:rPr>
    </w:tblStylePr>
    <w:tblStylePr w:type="band2Horz">
      <w:rPr>
        <w:rFonts w:ascii="Arial" w:hAnsi="Arial"/>
        <w:color w:val="404040"/>
        <w:sz w:val="22"/>
      </w:rPr>
      <w:tcPr>
        <w:shd w:val="clear" w:color="F2DCDC" w:fill="F2DCDC"/>
      </w:tcPr>
    </w:tblStylePr>
  </w:style>
  <w:style w:type="table" w:customStyle="1" w:styleId="1330">
    <w:name w:val="Lined - Accent 35"/>
    <w:basedOn w:val="13"/>
    <w:uiPriority w:val="99"/>
    <w:rPr>
      <w:color w:val="404040"/>
    </w:rPr>
    <w:tblPr>
      <w:tblCellMar>
        <w:top w:w="0" w:type="dxa"/>
        <w:left w:w="108" w:type="dxa"/>
        <w:bottom w:w="0" w:type="dxa"/>
        <w:right w:w="108" w:type="dxa"/>
      </w:tblCellMar>
    </w:tblPr>
    <w:tblStylePr w:type="firstRow">
      <w:rPr>
        <w:rFonts w:ascii="Arial" w:hAnsi="Arial"/>
        <w:color w:val="F2F2F2"/>
        <w:sz w:val="22"/>
      </w:rPr>
      <w:tcPr>
        <w:shd w:val="clear" w:color="9ABB59" w:fill="9ABB59"/>
      </w:tcPr>
    </w:tblStylePr>
    <w:tblStylePr w:type="lastRow">
      <w:rPr>
        <w:rFonts w:ascii="Arial" w:hAnsi="Arial"/>
        <w:color w:val="F2F2F2"/>
        <w:sz w:val="22"/>
      </w:rPr>
      <w:tcPr>
        <w:shd w:val="clear" w:color="9ABB59" w:fill="9ABB59"/>
      </w:tcPr>
    </w:tblStylePr>
    <w:tblStylePr w:type="firstCol">
      <w:rPr>
        <w:rFonts w:ascii="Arial" w:hAnsi="Arial"/>
        <w:color w:val="F2F2F2"/>
        <w:sz w:val="22"/>
      </w:rPr>
      <w:tcPr>
        <w:shd w:val="clear" w:color="9ABB59" w:fill="9ABB59"/>
      </w:tcPr>
    </w:tblStylePr>
    <w:tblStylePr w:type="lastCol">
      <w:rPr>
        <w:rFonts w:ascii="Arial" w:hAnsi="Arial"/>
        <w:color w:val="F2F2F2"/>
        <w:sz w:val="22"/>
      </w:rPr>
      <w:tcPr>
        <w:shd w:val="clear" w:color="9ABB59" w:fill="9ABB59"/>
      </w:tcPr>
    </w:tblStylePr>
    <w:tblStylePr w:type="band1Vert">
      <w:rPr>
        <w:rFonts w:ascii="Arial" w:hAnsi="Arial"/>
        <w:color w:val="404040"/>
        <w:sz w:val="22"/>
      </w:rPr>
    </w:tblStylePr>
    <w:tblStylePr w:type="band2Vert">
      <w:rPr>
        <w:rFonts w:ascii="Arial" w:hAnsi="Arial"/>
        <w:color w:val="404040"/>
        <w:sz w:val="22"/>
      </w:rPr>
      <w:tcPr>
        <w:shd w:val="clear" w:color="EAF1DC" w:fill="EAF1DC"/>
      </w:tcPr>
    </w:tblStylePr>
    <w:tblStylePr w:type="band1Horz">
      <w:rPr>
        <w:rFonts w:ascii="Arial" w:hAnsi="Arial"/>
        <w:color w:val="404040"/>
        <w:sz w:val="22"/>
      </w:rPr>
    </w:tblStylePr>
    <w:tblStylePr w:type="band2Horz">
      <w:rPr>
        <w:rFonts w:ascii="Arial" w:hAnsi="Arial"/>
        <w:color w:val="404040"/>
        <w:sz w:val="22"/>
      </w:rPr>
      <w:tcPr>
        <w:shd w:val="clear" w:color="EAF1DC" w:fill="EAF1DC"/>
      </w:tcPr>
    </w:tblStylePr>
  </w:style>
  <w:style w:type="table" w:customStyle="1" w:styleId="1331">
    <w:name w:val="Lined - Accent 45"/>
    <w:basedOn w:val="13"/>
    <w:uiPriority w:val="99"/>
    <w:rPr>
      <w:color w:val="404040"/>
    </w:rPr>
    <w:tblPr>
      <w:tblCellMar>
        <w:top w:w="0" w:type="dxa"/>
        <w:left w:w="108" w:type="dxa"/>
        <w:bottom w:w="0" w:type="dxa"/>
        <w:right w:w="108" w:type="dxa"/>
      </w:tblCellMar>
    </w:tblPr>
    <w:tblStylePr w:type="firstRow">
      <w:rPr>
        <w:rFonts w:ascii="Arial" w:hAnsi="Arial"/>
        <w:color w:val="F2F2F2"/>
        <w:sz w:val="22"/>
      </w:rPr>
      <w:tcPr>
        <w:shd w:val="clear" w:color="B2A1C6" w:fill="B2A1C6"/>
      </w:tcPr>
    </w:tblStylePr>
    <w:tblStylePr w:type="lastRow">
      <w:rPr>
        <w:rFonts w:ascii="Arial" w:hAnsi="Arial"/>
        <w:color w:val="F2F2F2"/>
        <w:sz w:val="22"/>
      </w:rPr>
      <w:tcPr>
        <w:shd w:val="clear" w:color="B2A1C6" w:fill="B2A1C6"/>
      </w:tcPr>
    </w:tblStylePr>
    <w:tblStylePr w:type="firstCol">
      <w:rPr>
        <w:rFonts w:ascii="Arial" w:hAnsi="Arial"/>
        <w:color w:val="F2F2F2"/>
        <w:sz w:val="22"/>
      </w:rPr>
      <w:tcPr>
        <w:shd w:val="clear" w:color="B2A1C6" w:fill="B2A1C6"/>
      </w:tcPr>
    </w:tblStylePr>
    <w:tblStylePr w:type="lastCol">
      <w:rPr>
        <w:rFonts w:ascii="Arial" w:hAnsi="Arial"/>
        <w:color w:val="F2F2F2"/>
        <w:sz w:val="22"/>
      </w:rPr>
      <w:tcPr>
        <w:shd w:val="clear" w:color="B2A1C6" w:fill="B2A1C6"/>
      </w:tcPr>
    </w:tblStylePr>
    <w:tblStylePr w:type="band1Vert">
      <w:rPr>
        <w:rFonts w:ascii="Arial" w:hAnsi="Arial"/>
        <w:color w:val="404040"/>
        <w:sz w:val="22"/>
      </w:rPr>
    </w:tblStylePr>
    <w:tblStylePr w:type="band2Vert">
      <w:rPr>
        <w:rFonts w:ascii="Arial" w:hAnsi="Arial"/>
        <w:color w:val="404040"/>
        <w:sz w:val="22"/>
      </w:rPr>
      <w:tcPr>
        <w:shd w:val="clear" w:color="E5DFEC" w:fill="E5DFEC"/>
      </w:tcPr>
    </w:tblStylePr>
    <w:tblStylePr w:type="band1Horz">
      <w:rPr>
        <w:rFonts w:ascii="Arial" w:hAnsi="Arial"/>
        <w:color w:val="404040"/>
        <w:sz w:val="22"/>
      </w:rPr>
    </w:tblStylePr>
    <w:tblStylePr w:type="band2Horz">
      <w:rPr>
        <w:rFonts w:ascii="Arial" w:hAnsi="Arial"/>
        <w:color w:val="404040"/>
        <w:sz w:val="22"/>
      </w:rPr>
      <w:tcPr>
        <w:shd w:val="clear" w:color="E5DFEC" w:fill="E5DFEC"/>
      </w:tcPr>
    </w:tblStylePr>
  </w:style>
  <w:style w:type="table" w:customStyle="1" w:styleId="1332">
    <w:name w:val="Lined - Accent 55"/>
    <w:basedOn w:val="13"/>
    <w:uiPriority w:val="99"/>
    <w:rPr>
      <w:color w:val="404040"/>
    </w:rPr>
    <w:tblPr>
      <w:tblCellMar>
        <w:top w:w="0" w:type="dxa"/>
        <w:left w:w="108" w:type="dxa"/>
        <w:bottom w:w="0" w:type="dxa"/>
        <w:right w:w="108" w:type="dxa"/>
      </w:tblCellMar>
    </w:tblPr>
    <w:tblStylePr w:type="firstRow">
      <w:rPr>
        <w:rFonts w:ascii="Arial" w:hAnsi="Arial"/>
        <w:color w:val="F2F2F2"/>
        <w:sz w:val="22"/>
      </w:rPr>
      <w:tcPr>
        <w:shd w:val="clear" w:color="4BACC6" w:fill="4BACC6"/>
      </w:tcPr>
    </w:tblStylePr>
    <w:tblStylePr w:type="lastRow">
      <w:rPr>
        <w:rFonts w:ascii="Arial" w:hAnsi="Arial"/>
        <w:color w:val="F2F2F2"/>
        <w:sz w:val="22"/>
      </w:rPr>
      <w:tcPr>
        <w:shd w:val="clear" w:color="4BACC6" w:fill="4BACC6"/>
      </w:tcPr>
    </w:tblStylePr>
    <w:tblStylePr w:type="firstCol">
      <w:rPr>
        <w:rFonts w:ascii="Arial" w:hAnsi="Arial"/>
        <w:color w:val="F2F2F2"/>
        <w:sz w:val="22"/>
      </w:rPr>
      <w:tcPr>
        <w:shd w:val="clear" w:color="4BACC6" w:fill="4BACC6"/>
      </w:tcPr>
    </w:tblStylePr>
    <w:tblStylePr w:type="lastCol">
      <w:rPr>
        <w:rFonts w:ascii="Arial" w:hAnsi="Arial"/>
        <w:color w:val="F2F2F2"/>
        <w:sz w:val="22"/>
      </w:rPr>
      <w:tcPr>
        <w:shd w:val="clear" w:color="4BACC6" w:fill="4BACC6"/>
      </w:tcPr>
    </w:tblStylePr>
    <w:tblStylePr w:type="band1Vert">
      <w:rPr>
        <w:rFonts w:ascii="Arial" w:hAnsi="Arial"/>
        <w:color w:val="404040"/>
        <w:sz w:val="22"/>
      </w:rPr>
    </w:tblStylePr>
    <w:tblStylePr w:type="band2Vert">
      <w:rPr>
        <w:rFonts w:ascii="Arial" w:hAnsi="Arial"/>
        <w:color w:val="404040"/>
        <w:sz w:val="22"/>
      </w:rPr>
      <w:tcPr>
        <w:shd w:val="clear" w:color="DAEEF3" w:fill="DAEEF3"/>
      </w:tcPr>
    </w:tblStylePr>
    <w:tblStylePr w:type="band1Horz">
      <w:rPr>
        <w:rFonts w:ascii="Arial" w:hAnsi="Arial"/>
        <w:color w:val="404040"/>
        <w:sz w:val="22"/>
      </w:rPr>
    </w:tblStylePr>
    <w:tblStylePr w:type="band2Horz">
      <w:rPr>
        <w:rFonts w:ascii="Arial" w:hAnsi="Arial"/>
        <w:color w:val="404040"/>
        <w:sz w:val="22"/>
      </w:rPr>
      <w:tcPr>
        <w:shd w:val="clear" w:color="DAEEF3" w:fill="DAEEF3"/>
      </w:tcPr>
    </w:tblStylePr>
  </w:style>
  <w:style w:type="table" w:customStyle="1" w:styleId="1333">
    <w:name w:val="Lined - Accent 65"/>
    <w:basedOn w:val="13"/>
    <w:uiPriority w:val="99"/>
    <w:rPr>
      <w:color w:val="404040"/>
    </w:rPr>
    <w:tblPr>
      <w:tblCellMar>
        <w:top w:w="0" w:type="dxa"/>
        <w:left w:w="108" w:type="dxa"/>
        <w:bottom w:w="0" w:type="dxa"/>
        <w:right w:w="108" w:type="dxa"/>
      </w:tblCellMar>
    </w:tblPr>
    <w:tblStylePr w:type="firstRow">
      <w:rPr>
        <w:rFonts w:ascii="Arial" w:hAnsi="Arial"/>
        <w:color w:val="F2F2F2"/>
        <w:sz w:val="22"/>
      </w:rPr>
      <w:tcPr>
        <w:shd w:val="clear" w:color="F79646" w:fill="F79646"/>
      </w:tcPr>
    </w:tblStylePr>
    <w:tblStylePr w:type="lastRow">
      <w:rPr>
        <w:rFonts w:ascii="Arial" w:hAnsi="Arial"/>
        <w:color w:val="F2F2F2"/>
        <w:sz w:val="22"/>
      </w:rPr>
      <w:tcPr>
        <w:shd w:val="clear" w:color="F79646" w:fill="F79646"/>
      </w:tcPr>
    </w:tblStylePr>
    <w:tblStylePr w:type="firstCol">
      <w:rPr>
        <w:rFonts w:ascii="Arial" w:hAnsi="Arial"/>
        <w:color w:val="F2F2F2"/>
        <w:sz w:val="22"/>
      </w:rPr>
      <w:tcPr>
        <w:shd w:val="clear" w:color="F79646" w:fill="F79646"/>
      </w:tcPr>
    </w:tblStylePr>
    <w:tblStylePr w:type="lastCol">
      <w:rPr>
        <w:rFonts w:ascii="Arial" w:hAnsi="Arial"/>
        <w:color w:val="F2F2F2"/>
        <w:sz w:val="22"/>
      </w:rPr>
      <w:tcPr>
        <w:shd w:val="clear" w:color="F79646" w:fill="F79646"/>
      </w:tcPr>
    </w:tblStylePr>
    <w:tblStylePr w:type="band1Vert">
      <w:rPr>
        <w:rFonts w:ascii="Arial" w:hAnsi="Arial"/>
        <w:color w:val="404040"/>
        <w:sz w:val="22"/>
      </w:rPr>
    </w:tblStylePr>
    <w:tblStylePr w:type="band2Vert">
      <w:rPr>
        <w:rFonts w:ascii="Arial" w:hAnsi="Arial"/>
        <w:color w:val="404040"/>
        <w:sz w:val="22"/>
      </w:rPr>
      <w:tcPr>
        <w:shd w:val="clear" w:color="FDE9D8" w:fill="FDE9D8"/>
      </w:tcPr>
    </w:tblStylePr>
    <w:tblStylePr w:type="band1Horz">
      <w:rPr>
        <w:rFonts w:ascii="Arial" w:hAnsi="Arial"/>
        <w:color w:val="404040"/>
        <w:sz w:val="22"/>
      </w:rPr>
    </w:tblStylePr>
    <w:tblStylePr w:type="band2Horz">
      <w:rPr>
        <w:rFonts w:ascii="Arial" w:hAnsi="Arial"/>
        <w:color w:val="404040"/>
        <w:sz w:val="22"/>
      </w:rPr>
      <w:tcPr>
        <w:shd w:val="clear" w:color="FDE9D8" w:fill="FDE9D8"/>
      </w:tcPr>
    </w:tblStylePr>
  </w:style>
  <w:style w:type="table" w:customStyle="1" w:styleId="1334">
    <w:name w:val="Bordered &amp; Lined - Accent5"/>
    <w:basedOn w:val="13"/>
    <w:uiPriority w:val="99"/>
    <w:rPr>
      <w:color w:val="404040"/>
    </w:rPr>
    <w:tblPr>
      <w:tblBorders>
        <w:top w:val="single" w:color="595959" w:sz="4" w:space="0"/>
        <w:left w:val="single" w:color="595959" w:sz="4" w:space="0"/>
        <w:bottom w:val="single" w:color="595959" w:sz="4" w:space="0"/>
        <w:right w:val="single" w:color="595959" w:sz="4" w:space="0"/>
        <w:insideH w:val="single" w:color="595959" w:sz="4" w:space="0"/>
        <w:insideV w:val="single" w:color="595959" w:sz="4" w:space="0"/>
      </w:tblBorders>
      <w:tblCellMar>
        <w:top w:w="0" w:type="dxa"/>
        <w:left w:w="108" w:type="dxa"/>
        <w:bottom w:w="0" w:type="dxa"/>
        <w:right w:w="108" w:type="dxa"/>
      </w:tblCellMar>
    </w:tblPr>
    <w:tblStylePr w:type="firstRow">
      <w:rPr>
        <w:rFonts w:ascii="Arial" w:hAnsi="Arial"/>
        <w:color w:val="F2F2F2"/>
        <w:sz w:val="22"/>
      </w:rPr>
      <w:tcPr>
        <w:shd w:val="clear" w:color="7F7F7F" w:fill="7F7F7F"/>
      </w:tcPr>
    </w:tblStylePr>
    <w:tblStylePr w:type="lastRow">
      <w:rPr>
        <w:rFonts w:ascii="Arial" w:hAnsi="Arial"/>
        <w:color w:val="F2F2F2"/>
        <w:sz w:val="22"/>
      </w:rPr>
      <w:tcPr>
        <w:shd w:val="clear" w:color="7F7F7F" w:fill="7F7F7F"/>
      </w:tcPr>
    </w:tblStylePr>
    <w:tblStylePr w:type="firstCol">
      <w:rPr>
        <w:rFonts w:ascii="Arial" w:hAnsi="Arial"/>
        <w:color w:val="F2F2F2"/>
        <w:sz w:val="22"/>
      </w:rPr>
      <w:tcPr>
        <w:shd w:val="clear" w:color="7F7F7F" w:fill="7F7F7F"/>
      </w:tcPr>
    </w:tblStylePr>
    <w:tblStylePr w:type="lastCol">
      <w:rPr>
        <w:rFonts w:ascii="Arial" w:hAnsi="Arial"/>
        <w:color w:val="F2F2F2"/>
        <w:sz w:val="22"/>
      </w:rPr>
      <w:tcPr>
        <w:shd w:val="clear" w:color="7F7F7F" w:fill="7F7F7F"/>
      </w:tcPr>
    </w:tblStylePr>
    <w:tblStylePr w:type="band1Vert">
      <w:rPr>
        <w:rFonts w:ascii="Arial" w:hAnsi="Arial"/>
        <w:color w:val="404040"/>
        <w:sz w:val="22"/>
      </w:rPr>
    </w:tblStylePr>
    <w:tblStylePr w:type="band2Vert">
      <w:rPr>
        <w:rFonts w:ascii="Arial" w:hAnsi="Arial"/>
        <w:color w:val="404040"/>
        <w:sz w:val="22"/>
      </w:rPr>
      <w:tcPr>
        <w:shd w:val="clear" w:color="F2F2F2" w:fill="F2F2F2"/>
      </w:tcPr>
    </w:tblStylePr>
    <w:tblStylePr w:type="band1Horz">
      <w:rPr>
        <w:rFonts w:ascii="Arial" w:hAnsi="Arial"/>
        <w:color w:val="404040"/>
        <w:sz w:val="22"/>
      </w:rPr>
    </w:tblStylePr>
    <w:tblStylePr w:type="band2Horz">
      <w:rPr>
        <w:rFonts w:ascii="Arial" w:hAnsi="Arial"/>
        <w:color w:val="404040"/>
        <w:sz w:val="22"/>
      </w:rPr>
      <w:tcPr>
        <w:shd w:val="clear" w:color="F2F2F2" w:fill="F2F2F2"/>
      </w:tcPr>
    </w:tblStylePr>
  </w:style>
  <w:style w:type="table" w:customStyle="1" w:styleId="1335">
    <w:name w:val="Bordered &amp; Lined - Accent 15"/>
    <w:basedOn w:val="13"/>
    <w:uiPriority w:val="99"/>
    <w:rPr>
      <w:color w:val="404040"/>
    </w:rPr>
    <w:tblPr>
      <w:tblBorders>
        <w:top w:val="single" w:color="2A4A71" w:sz="4" w:space="0"/>
        <w:left w:val="single" w:color="2A4A71" w:sz="4" w:space="0"/>
        <w:bottom w:val="single" w:color="2A4A71" w:sz="4" w:space="0"/>
        <w:right w:val="single" w:color="2A4A71" w:sz="4" w:space="0"/>
        <w:insideH w:val="single" w:color="2A4A71" w:sz="4" w:space="0"/>
        <w:insideV w:val="single" w:color="2A4A71" w:sz="4" w:space="0"/>
      </w:tblBorders>
      <w:tblCellMar>
        <w:top w:w="0" w:type="dxa"/>
        <w:left w:w="108" w:type="dxa"/>
        <w:bottom w:w="0" w:type="dxa"/>
        <w:right w:w="108" w:type="dxa"/>
      </w:tblCellMar>
    </w:tblPr>
    <w:tblStylePr w:type="firstRow">
      <w:rPr>
        <w:rFonts w:ascii="Arial" w:hAnsi="Arial"/>
        <w:color w:val="F2F2F2"/>
        <w:sz w:val="22"/>
      </w:rPr>
      <w:tcPr>
        <w:shd w:val="clear" w:color="5D8AC2" w:fill="5D8AC2"/>
      </w:tcPr>
    </w:tblStylePr>
    <w:tblStylePr w:type="lastRow">
      <w:rPr>
        <w:rFonts w:ascii="Arial" w:hAnsi="Arial"/>
        <w:color w:val="F2F2F2"/>
        <w:sz w:val="22"/>
      </w:rPr>
      <w:tcPr>
        <w:shd w:val="clear" w:color="5D8AC2" w:fill="5D8AC2"/>
      </w:tcPr>
    </w:tblStylePr>
    <w:tblStylePr w:type="firstCol">
      <w:rPr>
        <w:rFonts w:ascii="Arial" w:hAnsi="Arial"/>
        <w:color w:val="F2F2F2"/>
        <w:sz w:val="22"/>
      </w:rPr>
      <w:tcPr>
        <w:shd w:val="clear" w:color="5D8AC2" w:fill="5D8AC2"/>
      </w:tcPr>
    </w:tblStylePr>
    <w:tblStylePr w:type="lastCol">
      <w:rPr>
        <w:rFonts w:ascii="Arial" w:hAnsi="Arial"/>
        <w:color w:val="F2F2F2"/>
        <w:sz w:val="22"/>
      </w:rPr>
      <w:tcPr>
        <w:shd w:val="clear" w:color="5D8AC2" w:fill="5D8AC2"/>
      </w:tcPr>
    </w:tblStylePr>
    <w:tblStylePr w:type="band1Vert">
      <w:rPr>
        <w:rFonts w:ascii="Arial" w:hAnsi="Arial"/>
        <w:color w:val="404040"/>
        <w:sz w:val="22"/>
      </w:rPr>
    </w:tblStylePr>
    <w:tblStylePr w:type="band2Vert">
      <w:rPr>
        <w:rFonts w:ascii="Arial" w:hAnsi="Arial"/>
        <w:color w:val="404040"/>
        <w:sz w:val="22"/>
      </w:rPr>
      <w:tcPr>
        <w:shd w:val="clear" w:color="C7D7EA" w:fill="C7D7EA"/>
      </w:tcPr>
    </w:tblStylePr>
    <w:tblStylePr w:type="band1Horz">
      <w:rPr>
        <w:rFonts w:ascii="Arial" w:hAnsi="Arial"/>
        <w:color w:val="404040"/>
        <w:sz w:val="22"/>
      </w:rPr>
    </w:tblStylePr>
    <w:tblStylePr w:type="band2Horz">
      <w:rPr>
        <w:rFonts w:ascii="Arial" w:hAnsi="Arial"/>
        <w:color w:val="404040"/>
        <w:sz w:val="22"/>
      </w:rPr>
      <w:tcPr>
        <w:shd w:val="clear" w:color="C7D7EA" w:fill="C7D7EA"/>
      </w:tcPr>
    </w:tblStylePr>
  </w:style>
  <w:style w:type="table" w:customStyle="1" w:styleId="1336">
    <w:name w:val="Bordered &amp; Lined - Accent 25"/>
    <w:basedOn w:val="13"/>
    <w:uiPriority w:val="99"/>
    <w:rPr>
      <w:color w:val="404040"/>
    </w:rPr>
    <w:tblPr>
      <w:tblBorders>
        <w:top w:val="single" w:color="732A29" w:sz="4" w:space="0"/>
        <w:left w:val="single" w:color="732A29" w:sz="4" w:space="0"/>
        <w:bottom w:val="single" w:color="732A29" w:sz="4" w:space="0"/>
        <w:right w:val="single" w:color="732A29" w:sz="4" w:space="0"/>
        <w:insideH w:val="single" w:color="732A29" w:sz="4" w:space="0"/>
        <w:insideV w:val="single" w:color="732A29" w:sz="4" w:space="0"/>
      </w:tblBorders>
      <w:tblCellMar>
        <w:top w:w="0" w:type="dxa"/>
        <w:left w:w="108" w:type="dxa"/>
        <w:bottom w:w="0" w:type="dxa"/>
        <w:right w:w="108" w:type="dxa"/>
      </w:tblCellMar>
    </w:tblPr>
    <w:tblStylePr w:type="firstRow">
      <w:rPr>
        <w:rFonts w:ascii="Arial" w:hAnsi="Arial"/>
        <w:color w:val="F2F2F2"/>
        <w:sz w:val="22"/>
      </w:rPr>
      <w:tcPr>
        <w:shd w:val="clear" w:color="D99695" w:fill="D99695"/>
      </w:tcPr>
    </w:tblStylePr>
    <w:tblStylePr w:type="lastRow">
      <w:rPr>
        <w:rFonts w:ascii="Arial" w:hAnsi="Arial"/>
        <w:color w:val="F2F2F2"/>
        <w:sz w:val="22"/>
      </w:rPr>
      <w:tcPr>
        <w:shd w:val="clear" w:color="D99695" w:fill="D99695"/>
      </w:tcPr>
    </w:tblStylePr>
    <w:tblStylePr w:type="firstCol">
      <w:rPr>
        <w:rFonts w:ascii="Arial" w:hAnsi="Arial"/>
        <w:color w:val="F2F2F2"/>
        <w:sz w:val="22"/>
      </w:rPr>
      <w:tcPr>
        <w:shd w:val="clear" w:color="D99695" w:fill="D99695"/>
      </w:tcPr>
    </w:tblStylePr>
    <w:tblStylePr w:type="lastCol">
      <w:rPr>
        <w:rFonts w:ascii="Arial" w:hAnsi="Arial"/>
        <w:color w:val="F2F2F2"/>
        <w:sz w:val="22"/>
      </w:rPr>
      <w:tcPr>
        <w:shd w:val="clear" w:color="D99695" w:fill="D99695"/>
      </w:tcPr>
    </w:tblStylePr>
    <w:tblStylePr w:type="band1Vert">
      <w:rPr>
        <w:rFonts w:ascii="Arial" w:hAnsi="Arial"/>
        <w:color w:val="404040"/>
        <w:sz w:val="22"/>
      </w:rPr>
    </w:tblStylePr>
    <w:tblStylePr w:type="band2Vert">
      <w:rPr>
        <w:rFonts w:ascii="Arial" w:hAnsi="Arial"/>
        <w:color w:val="404040"/>
        <w:sz w:val="22"/>
      </w:rPr>
      <w:tcPr>
        <w:shd w:val="clear" w:color="F2DCDC" w:fill="F2DCDC"/>
      </w:tcPr>
    </w:tblStylePr>
    <w:tblStylePr w:type="band1Horz">
      <w:rPr>
        <w:rFonts w:ascii="Arial" w:hAnsi="Arial"/>
        <w:color w:val="404040"/>
        <w:sz w:val="22"/>
      </w:rPr>
    </w:tblStylePr>
    <w:tblStylePr w:type="band2Horz">
      <w:rPr>
        <w:rFonts w:ascii="Arial" w:hAnsi="Arial"/>
        <w:color w:val="404040"/>
        <w:sz w:val="22"/>
      </w:rPr>
      <w:tcPr>
        <w:shd w:val="clear" w:color="F2DCDC" w:fill="F2DCDC"/>
      </w:tcPr>
    </w:tblStylePr>
  </w:style>
  <w:style w:type="table" w:customStyle="1" w:styleId="1337">
    <w:name w:val="Bordered &amp; Lined - Accent 35"/>
    <w:basedOn w:val="13"/>
    <w:uiPriority w:val="99"/>
    <w:rPr>
      <w:color w:val="404040"/>
    </w:rPr>
    <w:tblPr>
      <w:tblBorders>
        <w:top w:val="single" w:color="5B722E" w:sz="4" w:space="0"/>
        <w:left w:val="single" w:color="5B722E" w:sz="4" w:space="0"/>
        <w:bottom w:val="single" w:color="5B722E" w:sz="4" w:space="0"/>
        <w:right w:val="single" w:color="5B722E" w:sz="4" w:space="0"/>
        <w:insideH w:val="single" w:color="5B722E" w:sz="4" w:space="0"/>
        <w:insideV w:val="single" w:color="5B722E" w:sz="4" w:space="0"/>
      </w:tblBorders>
      <w:tblCellMar>
        <w:top w:w="0" w:type="dxa"/>
        <w:left w:w="108" w:type="dxa"/>
        <w:bottom w:w="0" w:type="dxa"/>
        <w:right w:w="108" w:type="dxa"/>
      </w:tblCellMar>
    </w:tblPr>
    <w:tblStylePr w:type="firstRow">
      <w:rPr>
        <w:rFonts w:ascii="Arial" w:hAnsi="Arial"/>
        <w:color w:val="F2F2F2"/>
        <w:sz w:val="22"/>
      </w:rPr>
      <w:tcPr>
        <w:shd w:val="clear" w:color="9ABB59" w:fill="9ABB59"/>
      </w:tcPr>
    </w:tblStylePr>
    <w:tblStylePr w:type="lastRow">
      <w:rPr>
        <w:rFonts w:ascii="Arial" w:hAnsi="Arial"/>
        <w:color w:val="F2F2F2"/>
        <w:sz w:val="22"/>
      </w:rPr>
      <w:tcPr>
        <w:shd w:val="clear" w:color="9ABB59" w:fill="9ABB59"/>
      </w:tcPr>
    </w:tblStylePr>
    <w:tblStylePr w:type="firstCol">
      <w:rPr>
        <w:rFonts w:ascii="Arial" w:hAnsi="Arial"/>
        <w:color w:val="F2F2F2"/>
        <w:sz w:val="22"/>
      </w:rPr>
      <w:tcPr>
        <w:shd w:val="clear" w:color="9ABB59" w:fill="9ABB59"/>
      </w:tcPr>
    </w:tblStylePr>
    <w:tblStylePr w:type="lastCol">
      <w:rPr>
        <w:rFonts w:ascii="Arial" w:hAnsi="Arial"/>
        <w:color w:val="F2F2F2"/>
        <w:sz w:val="22"/>
      </w:rPr>
      <w:tcPr>
        <w:shd w:val="clear" w:color="9ABB59" w:fill="9ABB59"/>
      </w:tcPr>
    </w:tblStylePr>
    <w:tblStylePr w:type="band1Vert">
      <w:rPr>
        <w:rFonts w:ascii="Arial" w:hAnsi="Arial"/>
        <w:color w:val="404040"/>
        <w:sz w:val="22"/>
      </w:rPr>
    </w:tblStylePr>
    <w:tblStylePr w:type="band2Vert">
      <w:rPr>
        <w:rFonts w:ascii="Arial" w:hAnsi="Arial"/>
        <w:color w:val="404040"/>
        <w:sz w:val="22"/>
      </w:rPr>
      <w:tcPr>
        <w:shd w:val="clear" w:color="EAF1DC" w:fill="EAF1DC"/>
      </w:tcPr>
    </w:tblStylePr>
    <w:tblStylePr w:type="band1Horz">
      <w:rPr>
        <w:rFonts w:ascii="Arial" w:hAnsi="Arial"/>
        <w:color w:val="404040"/>
        <w:sz w:val="22"/>
      </w:rPr>
    </w:tblStylePr>
    <w:tblStylePr w:type="band2Horz">
      <w:rPr>
        <w:rFonts w:ascii="Arial" w:hAnsi="Arial"/>
        <w:color w:val="404040"/>
        <w:sz w:val="22"/>
      </w:rPr>
      <w:tcPr>
        <w:shd w:val="clear" w:color="EAF1DC" w:fill="EAF1DC"/>
      </w:tcPr>
    </w:tblStylePr>
  </w:style>
  <w:style w:type="table" w:customStyle="1" w:styleId="1338">
    <w:name w:val="Bordered &amp; Lined - Accent 45"/>
    <w:basedOn w:val="13"/>
    <w:uiPriority w:val="99"/>
    <w:rPr>
      <w:color w:val="404040"/>
    </w:rPr>
    <w:tblPr>
      <w:tblBorders>
        <w:top w:val="single" w:color="4A395F" w:sz="4" w:space="0"/>
        <w:left w:val="single" w:color="4A395F" w:sz="4" w:space="0"/>
        <w:bottom w:val="single" w:color="4A395F" w:sz="4" w:space="0"/>
        <w:right w:val="single" w:color="4A395F" w:sz="4" w:space="0"/>
        <w:insideH w:val="single" w:color="4A395F" w:sz="4" w:space="0"/>
        <w:insideV w:val="single" w:color="4A395F" w:sz="4" w:space="0"/>
      </w:tblBorders>
      <w:tblCellMar>
        <w:top w:w="0" w:type="dxa"/>
        <w:left w:w="108" w:type="dxa"/>
        <w:bottom w:w="0" w:type="dxa"/>
        <w:right w:w="108" w:type="dxa"/>
      </w:tblCellMar>
    </w:tblPr>
    <w:tblStylePr w:type="firstRow">
      <w:rPr>
        <w:rFonts w:ascii="Arial" w:hAnsi="Arial"/>
        <w:color w:val="F2F2F2"/>
        <w:sz w:val="22"/>
      </w:rPr>
      <w:tcPr>
        <w:shd w:val="clear" w:color="B2A1C6" w:fill="B2A1C6"/>
      </w:tcPr>
    </w:tblStylePr>
    <w:tblStylePr w:type="lastRow">
      <w:rPr>
        <w:rFonts w:ascii="Arial" w:hAnsi="Arial"/>
        <w:color w:val="F2F2F2"/>
        <w:sz w:val="22"/>
      </w:rPr>
      <w:tcPr>
        <w:shd w:val="clear" w:color="B2A1C6" w:fill="B2A1C6"/>
      </w:tcPr>
    </w:tblStylePr>
    <w:tblStylePr w:type="firstCol">
      <w:rPr>
        <w:rFonts w:ascii="Arial" w:hAnsi="Arial"/>
        <w:color w:val="F2F2F2"/>
        <w:sz w:val="22"/>
      </w:rPr>
      <w:tcPr>
        <w:shd w:val="clear" w:color="B2A1C6" w:fill="B2A1C6"/>
      </w:tcPr>
    </w:tblStylePr>
    <w:tblStylePr w:type="lastCol">
      <w:rPr>
        <w:rFonts w:ascii="Arial" w:hAnsi="Arial"/>
        <w:color w:val="F2F2F2"/>
        <w:sz w:val="22"/>
      </w:rPr>
      <w:tcPr>
        <w:shd w:val="clear" w:color="B2A1C6" w:fill="B2A1C6"/>
      </w:tcPr>
    </w:tblStylePr>
    <w:tblStylePr w:type="band1Vert">
      <w:rPr>
        <w:rFonts w:ascii="Arial" w:hAnsi="Arial"/>
        <w:color w:val="404040"/>
        <w:sz w:val="22"/>
      </w:rPr>
    </w:tblStylePr>
    <w:tblStylePr w:type="band2Vert">
      <w:rPr>
        <w:rFonts w:ascii="Arial" w:hAnsi="Arial"/>
        <w:color w:val="404040"/>
        <w:sz w:val="22"/>
      </w:rPr>
      <w:tcPr>
        <w:shd w:val="clear" w:color="E5DFEC" w:fill="E5DFEC"/>
      </w:tcPr>
    </w:tblStylePr>
    <w:tblStylePr w:type="band1Horz">
      <w:rPr>
        <w:rFonts w:ascii="Arial" w:hAnsi="Arial"/>
        <w:color w:val="404040"/>
        <w:sz w:val="22"/>
      </w:rPr>
    </w:tblStylePr>
    <w:tblStylePr w:type="band2Horz">
      <w:rPr>
        <w:rFonts w:ascii="Arial" w:hAnsi="Arial"/>
        <w:color w:val="404040"/>
        <w:sz w:val="22"/>
      </w:rPr>
      <w:tcPr>
        <w:shd w:val="clear" w:color="E5DFEC" w:fill="E5DFEC"/>
      </w:tcPr>
    </w:tblStylePr>
  </w:style>
  <w:style w:type="table" w:customStyle="1" w:styleId="1339">
    <w:name w:val="Bordered &amp; Lined - Accent 55"/>
    <w:basedOn w:val="13"/>
    <w:uiPriority w:val="99"/>
    <w:rPr>
      <w:color w:val="404040"/>
    </w:rPr>
    <w:tblPr>
      <w:tblBorders>
        <w:top w:val="single" w:color="266779" w:sz="4" w:space="0"/>
        <w:left w:val="single" w:color="266779" w:sz="4" w:space="0"/>
        <w:bottom w:val="single" w:color="266779" w:sz="4" w:space="0"/>
        <w:right w:val="single" w:color="266779" w:sz="4" w:space="0"/>
        <w:insideH w:val="single" w:color="266779" w:sz="4" w:space="0"/>
        <w:insideV w:val="single" w:color="266779" w:sz="4" w:space="0"/>
      </w:tblBorders>
      <w:tblCellMar>
        <w:top w:w="0" w:type="dxa"/>
        <w:left w:w="108" w:type="dxa"/>
        <w:bottom w:w="0" w:type="dxa"/>
        <w:right w:w="108" w:type="dxa"/>
      </w:tblCellMar>
    </w:tblPr>
    <w:tblStylePr w:type="firstRow">
      <w:rPr>
        <w:rFonts w:ascii="Arial" w:hAnsi="Arial"/>
        <w:color w:val="F2F2F2"/>
        <w:sz w:val="22"/>
      </w:rPr>
      <w:tcPr>
        <w:shd w:val="clear" w:color="4BACC6" w:fill="4BACC6"/>
      </w:tcPr>
    </w:tblStylePr>
    <w:tblStylePr w:type="lastRow">
      <w:rPr>
        <w:rFonts w:ascii="Arial" w:hAnsi="Arial"/>
        <w:color w:val="F2F2F2"/>
        <w:sz w:val="22"/>
      </w:rPr>
      <w:tcPr>
        <w:shd w:val="clear" w:color="4BACC6" w:fill="4BACC6"/>
      </w:tcPr>
    </w:tblStylePr>
    <w:tblStylePr w:type="firstCol">
      <w:rPr>
        <w:rFonts w:ascii="Arial" w:hAnsi="Arial"/>
        <w:color w:val="F2F2F2"/>
        <w:sz w:val="22"/>
      </w:rPr>
      <w:tcPr>
        <w:shd w:val="clear" w:color="4BACC6" w:fill="4BACC6"/>
      </w:tcPr>
    </w:tblStylePr>
    <w:tblStylePr w:type="lastCol">
      <w:rPr>
        <w:rFonts w:ascii="Arial" w:hAnsi="Arial"/>
        <w:color w:val="F2F2F2"/>
        <w:sz w:val="22"/>
      </w:rPr>
      <w:tcPr>
        <w:shd w:val="clear" w:color="4BACC6" w:fill="4BACC6"/>
      </w:tcPr>
    </w:tblStylePr>
    <w:tblStylePr w:type="band1Vert">
      <w:rPr>
        <w:rFonts w:ascii="Arial" w:hAnsi="Arial"/>
        <w:color w:val="404040"/>
        <w:sz w:val="22"/>
      </w:rPr>
    </w:tblStylePr>
    <w:tblStylePr w:type="band2Vert">
      <w:rPr>
        <w:rFonts w:ascii="Arial" w:hAnsi="Arial"/>
        <w:color w:val="404040"/>
        <w:sz w:val="22"/>
      </w:rPr>
      <w:tcPr>
        <w:shd w:val="clear" w:color="DAEEF3" w:fill="DAEEF3"/>
      </w:tcPr>
    </w:tblStylePr>
    <w:tblStylePr w:type="band1Horz">
      <w:rPr>
        <w:rFonts w:ascii="Arial" w:hAnsi="Arial"/>
        <w:color w:val="404040"/>
        <w:sz w:val="22"/>
      </w:rPr>
    </w:tblStylePr>
    <w:tblStylePr w:type="band2Horz">
      <w:rPr>
        <w:rFonts w:ascii="Arial" w:hAnsi="Arial"/>
        <w:color w:val="404040"/>
        <w:sz w:val="22"/>
      </w:rPr>
      <w:tcPr>
        <w:shd w:val="clear" w:color="DAEEF3" w:fill="DAEEF3"/>
      </w:tcPr>
    </w:tblStylePr>
  </w:style>
  <w:style w:type="table" w:customStyle="1" w:styleId="1340">
    <w:name w:val="Bordered &amp; Lined - Accent 65"/>
    <w:basedOn w:val="13"/>
    <w:uiPriority w:val="99"/>
    <w:rPr>
      <w:color w:val="404040"/>
    </w:rPr>
    <w:tblPr>
      <w:tblBorders>
        <w:top w:val="single" w:color="B15407" w:sz="4" w:space="0"/>
        <w:left w:val="single" w:color="B15407" w:sz="4" w:space="0"/>
        <w:bottom w:val="single" w:color="B15407" w:sz="4" w:space="0"/>
        <w:right w:val="single" w:color="B15407" w:sz="4" w:space="0"/>
        <w:insideH w:val="single" w:color="B15407" w:sz="4" w:space="0"/>
        <w:insideV w:val="single" w:color="B15407" w:sz="4" w:space="0"/>
      </w:tblBorders>
      <w:tblCellMar>
        <w:top w:w="0" w:type="dxa"/>
        <w:left w:w="108" w:type="dxa"/>
        <w:bottom w:w="0" w:type="dxa"/>
        <w:right w:w="108" w:type="dxa"/>
      </w:tblCellMar>
    </w:tblPr>
    <w:tblStylePr w:type="firstRow">
      <w:rPr>
        <w:rFonts w:ascii="Arial" w:hAnsi="Arial"/>
        <w:color w:val="F2F2F2"/>
        <w:sz w:val="22"/>
      </w:rPr>
      <w:tcPr>
        <w:shd w:val="clear" w:color="F79646" w:fill="F79646"/>
      </w:tcPr>
    </w:tblStylePr>
    <w:tblStylePr w:type="lastRow">
      <w:rPr>
        <w:rFonts w:ascii="Arial" w:hAnsi="Arial"/>
        <w:color w:val="F2F2F2"/>
        <w:sz w:val="22"/>
      </w:rPr>
      <w:tcPr>
        <w:shd w:val="clear" w:color="F79646" w:fill="F79646"/>
      </w:tcPr>
    </w:tblStylePr>
    <w:tblStylePr w:type="firstCol">
      <w:rPr>
        <w:rFonts w:ascii="Arial" w:hAnsi="Arial"/>
        <w:color w:val="F2F2F2"/>
        <w:sz w:val="22"/>
      </w:rPr>
      <w:tcPr>
        <w:shd w:val="clear" w:color="F79646" w:fill="F79646"/>
      </w:tcPr>
    </w:tblStylePr>
    <w:tblStylePr w:type="lastCol">
      <w:rPr>
        <w:rFonts w:ascii="Arial" w:hAnsi="Arial"/>
        <w:color w:val="F2F2F2"/>
        <w:sz w:val="22"/>
      </w:rPr>
      <w:tcPr>
        <w:shd w:val="clear" w:color="F79646" w:fill="F79646"/>
      </w:tcPr>
    </w:tblStylePr>
    <w:tblStylePr w:type="band1Vert">
      <w:rPr>
        <w:rFonts w:ascii="Arial" w:hAnsi="Arial"/>
        <w:color w:val="404040"/>
        <w:sz w:val="22"/>
      </w:rPr>
    </w:tblStylePr>
    <w:tblStylePr w:type="band2Vert">
      <w:rPr>
        <w:rFonts w:ascii="Arial" w:hAnsi="Arial"/>
        <w:color w:val="404040"/>
        <w:sz w:val="22"/>
      </w:rPr>
      <w:tcPr>
        <w:shd w:val="clear" w:color="FDE9D8" w:fill="FDE9D8"/>
      </w:tcPr>
    </w:tblStylePr>
    <w:tblStylePr w:type="band1Horz">
      <w:rPr>
        <w:rFonts w:ascii="Arial" w:hAnsi="Arial"/>
        <w:color w:val="404040"/>
        <w:sz w:val="22"/>
      </w:rPr>
    </w:tblStylePr>
    <w:tblStylePr w:type="band2Horz">
      <w:rPr>
        <w:rFonts w:ascii="Arial" w:hAnsi="Arial"/>
        <w:color w:val="404040"/>
        <w:sz w:val="22"/>
      </w:rPr>
      <w:tcPr>
        <w:shd w:val="clear" w:color="FDE9D8" w:fill="FDE9D8"/>
      </w:tcPr>
    </w:tblStylePr>
  </w:style>
  <w:style w:type="table" w:customStyle="1" w:styleId="1341">
    <w:name w:val="Bordered5"/>
    <w:basedOn w:val="13"/>
    <w:uiPriority w:val="99"/>
    <w:rPr>
      <w:sz w:val="22"/>
      <w:szCs w:val="22"/>
      <w:lang w:eastAsia="en-US"/>
    </w:rPr>
    <w:tblPr>
      <w:tblBorders>
        <w:top w:val="single" w:color="D9D9D9" w:sz="4" w:space="0"/>
        <w:left w:val="single" w:color="D9D9D9" w:sz="4" w:space="0"/>
        <w:bottom w:val="single" w:color="D9D9D9" w:sz="4" w:space="0"/>
        <w:right w:val="single" w:color="D9D9D9" w:sz="4" w:space="0"/>
        <w:insideH w:val="single" w:color="D9D9D9" w:sz="4" w:space="0"/>
        <w:insideV w:val="single" w:color="D9D9D9" w:sz="4" w:space="0"/>
      </w:tblBorders>
      <w:tblCellMar>
        <w:top w:w="0" w:type="dxa"/>
        <w:left w:w="108" w:type="dxa"/>
        <w:bottom w:w="0" w:type="dxa"/>
        <w:right w:w="108" w:type="dxa"/>
      </w:tblCellMar>
    </w:tblPr>
    <w:tblStylePr w:type="firstRow">
      <w:rPr>
        <w:rFonts w:ascii="Arial" w:hAnsi="Arial"/>
        <w:color w:val="404040"/>
        <w:sz w:val="22"/>
      </w:rPr>
      <w:tcPr>
        <w:tcBorders>
          <w:bottom w:val="single" w:color="7F7F7F" w:sz="12" w:space="0"/>
        </w:tcBorders>
      </w:tcPr>
    </w:tblStylePr>
    <w:tblStylePr w:type="lastRow">
      <w:rPr>
        <w:rFonts w:ascii="Arial" w:hAnsi="Arial"/>
        <w:color w:val="404040"/>
        <w:sz w:val="22"/>
      </w:rPr>
      <w:tcPr>
        <w:tcBorders>
          <w:top w:val="single" w:color="7F7F7F"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7F7F7F" w:sz="12" w:space="0"/>
        </w:tcBorders>
      </w:tcPr>
    </w:tblStylePr>
    <w:tblStylePr w:type="band1Horz">
      <w:rPr>
        <w:rFonts w:ascii="Arial" w:hAnsi="Arial"/>
        <w:color w:val="404040"/>
        <w:sz w:val="22"/>
      </w:rPr>
      <w:tcPr>
        <w:tcBorders>
          <w:top w:val="single" w:color="D9D9D9" w:sz="4" w:space="0"/>
          <w:left w:val="single" w:color="D9D9D9" w:sz="4" w:space="0"/>
          <w:bottom w:val="single" w:color="D9D9D9" w:sz="4" w:space="0"/>
          <w:right w:val="single" w:color="D9D9D9" w:sz="4" w:space="0"/>
        </w:tcBorders>
      </w:tcPr>
    </w:tblStylePr>
  </w:style>
  <w:style w:type="table" w:customStyle="1" w:styleId="1342">
    <w:name w:val="Bordered - Accent 15"/>
    <w:basedOn w:val="13"/>
    <w:uiPriority w:val="99"/>
    <w:rPr>
      <w:sz w:val="22"/>
      <w:szCs w:val="22"/>
      <w:lang w:eastAsia="en-US"/>
    </w:rPr>
    <w:tblPr>
      <w:tblBorders>
        <w:top w:val="single" w:color="B7CBE4" w:sz="4" w:space="0"/>
        <w:left w:val="single" w:color="B7CBE4" w:sz="4" w:space="0"/>
        <w:bottom w:val="single" w:color="B7CBE4" w:sz="4" w:space="0"/>
        <w:right w:val="single" w:color="B7CBE4" w:sz="4" w:space="0"/>
        <w:insideH w:val="single" w:color="B7CBE4" w:sz="4" w:space="0"/>
        <w:insideV w:val="single" w:color="B7CBE4" w:sz="4" w:space="0"/>
      </w:tblBorders>
      <w:tblCellMar>
        <w:top w:w="0" w:type="dxa"/>
        <w:left w:w="108" w:type="dxa"/>
        <w:bottom w:w="0" w:type="dxa"/>
        <w:right w:w="108" w:type="dxa"/>
      </w:tblCellMar>
    </w:tblPr>
    <w:tblStylePr w:type="firstRow">
      <w:rPr>
        <w:rFonts w:ascii="Arial" w:hAnsi="Arial"/>
        <w:color w:val="404040"/>
        <w:sz w:val="22"/>
      </w:rPr>
      <w:tcPr>
        <w:tcBorders>
          <w:bottom w:val="single" w:color="4F81BD" w:sz="12" w:space="0"/>
        </w:tcBorders>
      </w:tcPr>
    </w:tblStylePr>
    <w:tblStylePr w:type="lastRow">
      <w:rPr>
        <w:rFonts w:ascii="Arial" w:hAnsi="Arial"/>
        <w:color w:val="404040"/>
        <w:sz w:val="22"/>
      </w:rPr>
      <w:tcPr>
        <w:tcBorders>
          <w:top w:val="single" w:color="4F81BD"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4F81BD" w:sz="12" w:space="0"/>
        </w:tcBorders>
      </w:tcPr>
    </w:tblStylePr>
    <w:tblStylePr w:type="band1Horz">
      <w:rPr>
        <w:rFonts w:ascii="Arial" w:hAnsi="Arial"/>
        <w:color w:val="404040"/>
        <w:sz w:val="22"/>
      </w:rPr>
      <w:tcPr>
        <w:tcBorders>
          <w:top w:val="single" w:color="B7CBE4" w:sz="4" w:space="0"/>
          <w:left w:val="single" w:color="B7CBE4" w:sz="4" w:space="0"/>
          <w:bottom w:val="single" w:color="B7CBE4" w:sz="4" w:space="0"/>
          <w:right w:val="single" w:color="B7CBE4" w:sz="4" w:space="0"/>
        </w:tcBorders>
      </w:tcPr>
    </w:tblStylePr>
  </w:style>
  <w:style w:type="table" w:customStyle="1" w:styleId="1343">
    <w:name w:val="Bordered - Accent 25"/>
    <w:basedOn w:val="13"/>
    <w:uiPriority w:val="99"/>
    <w:rPr>
      <w:sz w:val="22"/>
      <w:szCs w:val="22"/>
      <w:lang w:eastAsia="en-US"/>
    </w:rPr>
    <w:tblPr>
      <w:tblBorders>
        <w:top w:val="single" w:color="E5B7B6" w:sz="4" w:space="0"/>
        <w:left w:val="single" w:color="E5B7B6" w:sz="4" w:space="0"/>
        <w:bottom w:val="single" w:color="E5B7B6" w:sz="4" w:space="0"/>
        <w:right w:val="single" w:color="E5B7B6" w:sz="4" w:space="0"/>
        <w:insideH w:val="single" w:color="E5B7B6" w:sz="4" w:space="0"/>
        <w:insideV w:val="single" w:color="E5B7B6" w:sz="4" w:space="0"/>
      </w:tblBorders>
      <w:tblCellMar>
        <w:top w:w="0" w:type="dxa"/>
        <w:left w:w="108" w:type="dxa"/>
        <w:bottom w:w="0" w:type="dxa"/>
        <w:right w:w="108" w:type="dxa"/>
      </w:tblCellMar>
    </w:tblPr>
    <w:tblStylePr w:type="firstRow">
      <w:rPr>
        <w:rFonts w:ascii="Arial" w:hAnsi="Arial"/>
        <w:color w:val="404040"/>
        <w:sz w:val="22"/>
      </w:rPr>
      <w:tcPr>
        <w:tcBorders>
          <w:bottom w:val="single" w:color="D99695" w:sz="12" w:space="0"/>
        </w:tcBorders>
      </w:tcPr>
    </w:tblStylePr>
    <w:tblStylePr w:type="lastRow">
      <w:rPr>
        <w:rFonts w:ascii="Arial" w:hAnsi="Arial"/>
        <w:color w:val="404040"/>
        <w:sz w:val="22"/>
      </w:rPr>
      <w:tcPr>
        <w:tcBorders>
          <w:top w:val="single" w:color="D99695"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D99695" w:sz="12" w:space="0"/>
        </w:tcBorders>
      </w:tcPr>
    </w:tblStylePr>
    <w:tblStylePr w:type="band1Horz">
      <w:rPr>
        <w:rFonts w:ascii="Arial" w:hAnsi="Arial"/>
        <w:color w:val="404040"/>
        <w:sz w:val="22"/>
      </w:rPr>
      <w:tcPr>
        <w:tcBorders>
          <w:top w:val="single" w:color="E5B7B6" w:sz="4" w:space="0"/>
          <w:left w:val="single" w:color="E5B7B6" w:sz="4" w:space="0"/>
          <w:bottom w:val="single" w:color="E5B7B6" w:sz="4" w:space="0"/>
          <w:right w:val="single" w:color="E5B7B6" w:sz="4" w:space="0"/>
        </w:tcBorders>
      </w:tcPr>
    </w:tblStylePr>
  </w:style>
  <w:style w:type="table" w:customStyle="1" w:styleId="1344">
    <w:name w:val="Bordered - Accent 35"/>
    <w:basedOn w:val="13"/>
    <w:uiPriority w:val="99"/>
    <w:rPr>
      <w:sz w:val="22"/>
      <w:szCs w:val="22"/>
      <w:lang w:eastAsia="en-US"/>
    </w:rPr>
    <w:tblPr>
      <w:tblBorders>
        <w:top w:val="single" w:color="D6E3BB" w:sz="4" w:space="0"/>
        <w:left w:val="single" w:color="D6E3BB" w:sz="4" w:space="0"/>
        <w:bottom w:val="single" w:color="D6E3BB" w:sz="4" w:space="0"/>
        <w:right w:val="single" w:color="D6E3BB" w:sz="4" w:space="0"/>
        <w:insideH w:val="single" w:color="D6E3BB" w:sz="4" w:space="0"/>
        <w:insideV w:val="single" w:color="D6E3BB" w:sz="4" w:space="0"/>
      </w:tblBorders>
      <w:tblCellMar>
        <w:top w:w="0" w:type="dxa"/>
        <w:left w:w="108" w:type="dxa"/>
        <w:bottom w:w="0" w:type="dxa"/>
        <w:right w:w="108" w:type="dxa"/>
      </w:tblCellMar>
    </w:tblPr>
    <w:tblStylePr w:type="firstRow">
      <w:rPr>
        <w:rFonts w:ascii="Arial" w:hAnsi="Arial"/>
        <w:color w:val="404040"/>
        <w:sz w:val="22"/>
      </w:rPr>
      <w:tcPr>
        <w:tcBorders>
          <w:bottom w:val="single" w:color="C3D69B" w:sz="12" w:space="0"/>
        </w:tcBorders>
      </w:tcPr>
    </w:tblStylePr>
    <w:tblStylePr w:type="lastRow">
      <w:rPr>
        <w:rFonts w:ascii="Arial" w:hAnsi="Arial"/>
        <w:color w:val="404040"/>
        <w:sz w:val="22"/>
      </w:rPr>
      <w:tcPr>
        <w:tcBorders>
          <w:top w:val="single" w:color="C3D69B"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C3D69B" w:sz="12" w:space="0"/>
        </w:tcBorders>
      </w:tcPr>
    </w:tblStylePr>
    <w:tblStylePr w:type="band1Horz">
      <w:rPr>
        <w:rFonts w:ascii="Arial" w:hAnsi="Arial"/>
        <w:color w:val="404040"/>
        <w:sz w:val="22"/>
      </w:rPr>
      <w:tcPr>
        <w:tcBorders>
          <w:top w:val="single" w:color="D6E3BB" w:sz="4" w:space="0"/>
          <w:left w:val="single" w:color="D6E3BB" w:sz="4" w:space="0"/>
          <w:bottom w:val="single" w:color="D6E3BB" w:sz="4" w:space="0"/>
          <w:right w:val="single" w:color="D6E3BB" w:sz="4" w:space="0"/>
        </w:tcBorders>
      </w:tcPr>
    </w:tblStylePr>
  </w:style>
  <w:style w:type="table" w:customStyle="1" w:styleId="1345">
    <w:name w:val="Bordered - Accent 45"/>
    <w:basedOn w:val="13"/>
    <w:uiPriority w:val="99"/>
    <w:rPr>
      <w:sz w:val="22"/>
      <w:szCs w:val="22"/>
      <w:lang w:eastAsia="en-US"/>
    </w:rPr>
    <w:tblPr>
      <w:tblBorders>
        <w:top w:val="single" w:color="CBC0D9" w:sz="4" w:space="0"/>
        <w:left w:val="single" w:color="CBC0D9" w:sz="4" w:space="0"/>
        <w:bottom w:val="single" w:color="CBC0D9" w:sz="4" w:space="0"/>
        <w:right w:val="single" w:color="CBC0D9" w:sz="4" w:space="0"/>
        <w:insideH w:val="single" w:color="CBC0D9" w:sz="4" w:space="0"/>
        <w:insideV w:val="single" w:color="CBC0D9" w:sz="4" w:space="0"/>
      </w:tblBorders>
      <w:tblCellMar>
        <w:top w:w="0" w:type="dxa"/>
        <w:left w:w="108" w:type="dxa"/>
        <w:bottom w:w="0" w:type="dxa"/>
        <w:right w:w="108" w:type="dxa"/>
      </w:tblCellMar>
    </w:tblPr>
    <w:tblStylePr w:type="firstRow">
      <w:rPr>
        <w:rFonts w:ascii="Arial" w:hAnsi="Arial"/>
        <w:color w:val="404040"/>
        <w:sz w:val="22"/>
      </w:rPr>
      <w:tcPr>
        <w:tcBorders>
          <w:bottom w:val="single" w:color="B2A1C6" w:sz="12" w:space="0"/>
        </w:tcBorders>
      </w:tcPr>
    </w:tblStylePr>
    <w:tblStylePr w:type="lastRow">
      <w:rPr>
        <w:rFonts w:ascii="Arial" w:hAnsi="Arial"/>
        <w:color w:val="404040"/>
        <w:sz w:val="22"/>
      </w:rPr>
      <w:tcPr>
        <w:tcBorders>
          <w:top w:val="single" w:color="B2A1C6"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B2A1C6" w:sz="12" w:space="0"/>
        </w:tcBorders>
      </w:tcPr>
    </w:tblStylePr>
    <w:tblStylePr w:type="band1Horz">
      <w:rPr>
        <w:rFonts w:ascii="Arial" w:hAnsi="Arial"/>
        <w:color w:val="404040"/>
        <w:sz w:val="22"/>
      </w:rPr>
      <w:tcPr>
        <w:tcBorders>
          <w:top w:val="single" w:color="CBC0D9" w:sz="4" w:space="0"/>
          <w:left w:val="single" w:color="CBC0D9" w:sz="4" w:space="0"/>
          <w:bottom w:val="single" w:color="CBC0D9" w:sz="4" w:space="0"/>
          <w:right w:val="single" w:color="CBC0D9" w:sz="4" w:space="0"/>
        </w:tcBorders>
      </w:tcPr>
    </w:tblStylePr>
  </w:style>
  <w:style w:type="table" w:customStyle="1" w:styleId="1346">
    <w:name w:val="Bordered - Accent 55"/>
    <w:basedOn w:val="13"/>
    <w:uiPriority w:val="99"/>
    <w:rPr>
      <w:sz w:val="22"/>
      <w:szCs w:val="22"/>
      <w:lang w:eastAsia="en-US"/>
    </w:rPr>
    <w:tblPr>
      <w:tblBorders>
        <w:top w:val="single" w:color="B6DDE8" w:sz="4" w:space="0"/>
        <w:left w:val="single" w:color="B6DDE8" w:sz="4" w:space="0"/>
        <w:bottom w:val="single" w:color="B6DDE8" w:sz="4" w:space="0"/>
        <w:right w:val="single" w:color="B6DDE8" w:sz="4" w:space="0"/>
        <w:insideH w:val="single" w:color="B6DDE8" w:sz="4" w:space="0"/>
        <w:insideV w:val="single" w:color="B6DDE8" w:sz="4" w:space="0"/>
      </w:tblBorders>
      <w:tblCellMar>
        <w:top w:w="0" w:type="dxa"/>
        <w:left w:w="108" w:type="dxa"/>
        <w:bottom w:w="0" w:type="dxa"/>
        <w:right w:w="108" w:type="dxa"/>
      </w:tblCellMar>
    </w:tblPr>
    <w:tblStylePr w:type="firstRow">
      <w:rPr>
        <w:rFonts w:ascii="Arial" w:hAnsi="Arial"/>
        <w:color w:val="404040"/>
        <w:sz w:val="22"/>
      </w:rPr>
      <w:tcPr>
        <w:tcBorders>
          <w:bottom w:val="single" w:color="92CCDC" w:sz="12" w:space="0"/>
        </w:tcBorders>
      </w:tcPr>
    </w:tblStylePr>
    <w:tblStylePr w:type="lastRow">
      <w:rPr>
        <w:rFonts w:ascii="Arial" w:hAnsi="Arial"/>
        <w:color w:val="404040"/>
        <w:sz w:val="22"/>
      </w:rPr>
      <w:tcPr>
        <w:tcBorders>
          <w:top w:val="single" w:color="92CCDC"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92CCDC" w:sz="12" w:space="0"/>
        </w:tcBorders>
      </w:tcPr>
    </w:tblStylePr>
    <w:tblStylePr w:type="band1Horz">
      <w:rPr>
        <w:rFonts w:ascii="Arial" w:hAnsi="Arial"/>
        <w:color w:val="404040"/>
        <w:sz w:val="22"/>
      </w:rPr>
      <w:tcPr>
        <w:tcBorders>
          <w:top w:val="single" w:color="B6DDE8" w:sz="4" w:space="0"/>
          <w:left w:val="single" w:color="B6DDE8" w:sz="4" w:space="0"/>
          <w:bottom w:val="single" w:color="B6DDE8" w:sz="4" w:space="0"/>
          <w:right w:val="single" w:color="B6DDE8" w:sz="4" w:space="0"/>
        </w:tcBorders>
      </w:tcPr>
    </w:tblStylePr>
  </w:style>
  <w:style w:type="table" w:customStyle="1" w:styleId="1347">
    <w:name w:val="Bordered - Accent 65"/>
    <w:basedOn w:val="13"/>
    <w:uiPriority w:val="99"/>
    <w:rPr>
      <w:sz w:val="22"/>
      <w:szCs w:val="22"/>
      <w:lang w:eastAsia="en-US"/>
    </w:rPr>
    <w:tblPr>
      <w:tblBorders>
        <w:top w:val="single" w:color="FBD4B4" w:sz="4" w:space="0"/>
        <w:left w:val="single" w:color="FBD4B4" w:sz="4" w:space="0"/>
        <w:bottom w:val="single" w:color="FBD4B4" w:sz="4" w:space="0"/>
        <w:right w:val="single" w:color="FBD4B4" w:sz="4" w:space="0"/>
        <w:insideH w:val="single" w:color="FBD4B4" w:sz="4" w:space="0"/>
        <w:insideV w:val="single" w:color="FBD4B4" w:sz="4" w:space="0"/>
      </w:tblBorders>
      <w:tblCellMar>
        <w:top w:w="0" w:type="dxa"/>
        <w:left w:w="108" w:type="dxa"/>
        <w:bottom w:w="0" w:type="dxa"/>
        <w:right w:w="108" w:type="dxa"/>
      </w:tblCellMar>
    </w:tblPr>
    <w:tblStylePr w:type="firstRow">
      <w:rPr>
        <w:rFonts w:ascii="Arial" w:hAnsi="Arial"/>
        <w:color w:val="404040"/>
        <w:sz w:val="22"/>
      </w:rPr>
      <w:tcPr>
        <w:tcBorders>
          <w:bottom w:val="single" w:color="FAC090" w:sz="12" w:space="0"/>
        </w:tcBorders>
      </w:tcPr>
    </w:tblStylePr>
    <w:tblStylePr w:type="lastRow">
      <w:rPr>
        <w:rFonts w:ascii="Arial" w:hAnsi="Arial"/>
        <w:color w:val="404040"/>
        <w:sz w:val="22"/>
      </w:rPr>
      <w:tcPr>
        <w:tcBorders>
          <w:top w:val="single" w:color="FAC090"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FAC090" w:sz="12" w:space="0"/>
        </w:tcBorders>
      </w:tcPr>
    </w:tblStylePr>
    <w:tblStylePr w:type="band1Horz">
      <w:rPr>
        <w:rFonts w:ascii="Arial" w:hAnsi="Arial"/>
        <w:color w:val="404040"/>
        <w:sz w:val="22"/>
      </w:rPr>
      <w:tcPr>
        <w:tcBorders>
          <w:top w:val="single" w:color="FBD4B4" w:sz="4" w:space="0"/>
          <w:left w:val="single" w:color="FBD4B4" w:sz="4" w:space="0"/>
          <w:bottom w:val="single" w:color="FBD4B4" w:sz="4" w:space="0"/>
          <w:right w:val="single" w:color="FBD4B4" w:sz="4" w:space="0"/>
        </w:tcBorders>
      </w:tcPr>
    </w:tblStylePr>
  </w:style>
  <w:style w:type="character" w:customStyle="1" w:styleId="1348">
    <w:name w:val="Основной текст (2) Exact"/>
    <w:uiPriority w:val="0"/>
    <w:rPr>
      <w:rFonts w:ascii="Times New Roman" w:hAnsi="Times New Roman" w:eastAsia="Times New Roman" w:cs="Times New Roman"/>
      <w:sz w:val="20"/>
      <w:szCs w:val="20"/>
      <w:u w:val="none"/>
    </w:rPr>
  </w:style>
  <w:style w:type="character" w:customStyle="1" w:styleId="1349">
    <w:name w:val="Основной текст (2) + Интервал -1 pt Exact"/>
    <w:uiPriority w:val="0"/>
    <w:rPr>
      <w:rFonts w:ascii="Times New Roman" w:hAnsi="Times New Roman" w:eastAsia="Times New Roman" w:cs="Times New Roman"/>
      <w:color w:val="000000"/>
      <w:spacing w:val="-30"/>
      <w:w w:val="100"/>
      <w:position w:val="0"/>
      <w:sz w:val="20"/>
      <w:szCs w:val="20"/>
      <w:u w:val="none"/>
      <w:lang w:val="fi-FI" w:eastAsia="fi-FI" w:bidi="fi-FI"/>
    </w:rPr>
  </w:style>
  <w:style w:type="table" w:customStyle="1" w:styleId="1350">
    <w:name w:val="Сетка таблицы16"/>
    <w:basedOn w:val="13"/>
    <w:uiPriority w:val="59"/>
    <w:rPr>
      <w:sz w:val="22"/>
      <w:szCs w:val="22"/>
      <w:lang w:eastAsia="en-US"/>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
  </w:style>
  <w:style w:type="table" w:customStyle="1" w:styleId="1351">
    <w:name w:val="Table Grid Light6"/>
    <w:basedOn w:val="13"/>
    <w:uiPriority w:val="59"/>
    <w:rPr>
      <w:sz w:val="22"/>
      <w:szCs w:val="22"/>
      <w:lang w:eastAsia="en-US"/>
    </w:rPr>
    <w:tblPr>
      <w:tblBorders>
        <w:top w:val="single" w:color="AFAFAF" w:sz="4" w:space="0"/>
        <w:left w:val="single" w:color="AFAFAF" w:sz="4" w:space="0"/>
        <w:bottom w:val="single" w:color="AFAFAF" w:sz="4" w:space="0"/>
        <w:right w:val="single" w:color="AFAFAF" w:sz="4" w:space="0"/>
        <w:insideH w:val="single" w:color="AFAFAF" w:sz="4" w:space="0"/>
        <w:insideV w:val="single" w:color="AFAFAF" w:sz="4" w:space="0"/>
      </w:tblBorders>
      <w:tblCellMar>
        <w:top w:w="0" w:type="dxa"/>
        <w:left w:w="108" w:type="dxa"/>
        <w:bottom w:w="0" w:type="dxa"/>
        <w:right w:w="108" w:type="dxa"/>
      </w:tblCellMar>
    </w:tblPr>
  </w:style>
  <w:style w:type="table" w:customStyle="1" w:styleId="1352">
    <w:name w:val="Таблица простая 114"/>
    <w:basedOn w:val="13"/>
    <w:uiPriority w:val="59"/>
    <w:rPr>
      <w:sz w:val="22"/>
      <w:szCs w:val="22"/>
      <w:lang w:eastAsia="en-US"/>
    </w:rPr>
    <w:tblPr>
      <w:tblBorders>
        <w:top w:val="single" w:color="AFAFAF" w:sz="4" w:space="0"/>
        <w:left w:val="single" w:color="AFAFAF" w:sz="4" w:space="0"/>
        <w:bottom w:val="single" w:color="AFAFAF" w:sz="4" w:space="0"/>
        <w:right w:val="single" w:color="AFAFAF" w:sz="4" w:space="0"/>
        <w:insideH w:val="single" w:color="AFAFAF" w:sz="4" w:space="0"/>
        <w:insideV w:val="single" w:color="AFAFAF" w:sz="4" w:space="0"/>
      </w:tblBorders>
      <w:tblCellMar>
        <w:top w:w="0" w:type="dxa"/>
        <w:left w:w="108" w:type="dxa"/>
        <w:bottom w:w="0" w:type="dxa"/>
        <w:right w:w="108" w:type="dxa"/>
      </w:tblCellMar>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cPr>
        <w:shd w:val="clear" w:color="F2F2F2" w:fill="F2F2F2"/>
      </w:tcPr>
    </w:tblStylePr>
    <w:tblStylePr w:type="band1Horz">
      <w:tcPr>
        <w:shd w:val="clear" w:color="F2F2F2" w:fill="F2F2F2"/>
      </w:tcPr>
    </w:tblStylePr>
  </w:style>
  <w:style w:type="table" w:customStyle="1" w:styleId="1353">
    <w:name w:val="Таблица простая 214"/>
    <w:basedOn w:val="13"/>
    <w:uiPriority w:val="59"/>
    <w:rPr>
      <w:sz w:val="22"/>
      <w:szCs w:val="22"/>
      <w:lang w:eastAsia="en-US"/>
    </w:rPr>
    <w:tblPr>
      <w:tblBorders>
        <w:top w:val="single" w:color="000000" w:sz="4" w:space="0"/>
        <w:left w:val="none" w:color="000000" w:sz="4" w:space="0"/>
        <w:bottom w:val="single" w:color="000000" w:sz="4" w:space="0"/>
        <w:right w:val="none" w:color="000000" w:sz="4" w:space="0"/>
      </w:tblBorders>
      <w:tblCellMar>
        <w:top w:w="0" w:type="dxa"/>
        <w:left w:w="108" w:type="dxa"/>
        <w:bottom w:w="0" w:type="dxa"/>
        <w:right w:w="108" w:type="dxa"/>
      </w:tblCellMar>
    </w:tblPr>
    <w:tblStylePr w:type="firstRow">
      <w:rPr>
        <w:rFonts w:ascii="Arial" w:hAnsi="Arial"/>
        <w:b/>
        <w:color w:val="404040"/>
        <w:sz w:val="22"/>
      </w:rPr>
      <w:tcPr>
        <w:tcBorders>
          <w:top w:val="single" w:color="000000" w:sz="4" w:space="0"/>
          <w:bottom w:val="single" w:color="000000" w:sz="4" w:space="0"/>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cPr>
        <w:tcBorders>
          <w:left w:val="single" w:color="000000" w:sz="4" w:space="0"/>
          <w:right w:val="single" w:color="000000" w:sz="4" w:space="0"/>
        </w:tcBorders>
      </w:tcPr>
    </w:tblStylePr>
    <w:tblStylePr w:type="band2Vert">
      <w:tcPr>
        <w:tcBorders>
          <w:left w:val="single" w:color="000000" w:sz="4" w:space="0"/>
          <w:right w:val="single" w:color="000000" w:sz="4" w:space="0"/>
        </w:tcBorders>
      </w:tcPr>
    </w:tblStylePr>
    <w:tblStylePr w:type="band1Horz">
      <w:tcPr>
        <w:tcBorders>
          <w:top w:val="single" w:color="000000" w:sz="4" w:space="0"/>
          <w:bottom w:val="single" w:color="000000" w:sz="4" w:space="0"/>
        </w:tcBorders>
      </w:tcPr>
    </w:tblStylePr>
  </w:style>
  <w:style w:type="table" w:customStyle="1" w:styleId="1354">
    <w:name w:val="Таблица простая 314"/>
    <w:basedOn w:val="13"/>
    <w:uiPriority w:val="99"/>
    <w:rPr>
      <w:sz w:val="22"/>
      <w:szCs w:val="22"/>
      <w:lang w:eastAsia="en-US"/>
    </w:rPr>
    <w:tblPr>
      <w:tblCellMar>
        <w:top w:w="0" w:type="dxa"/>
        <w:left w:w="108" w:type="dxa"/>
        <w:bottom w:w="0" w:type="dxa"/>
        <w:right w:w="108" w:type="dxa"/>
      </w:tblCellMar>
    </w:tblPr>
    <w:tblStylePr w:type="firstRow">
      <w:rPr>
        <w:b/>
        <w:caps/>
        <w:color w:val="404040"/>
      </w:rPr>
      <w:tcPr>
        <w:tcBorders>
          <w:top w:val="nil"/>
          <w:left w:val="nil"/>
          <w:bottom w:val="single" w:color="404040" w:sz="4" w:space="0"/>
          <w:right w:val="nil"/>
        </w:tcBorders>
      </w:tcPr>
    </w:tblStylePr>
    <w:tblStylePr w:type="lastRow">
      <w:rPr>
        <w:b/>
        <w:caps/>
        <w:color w:val="404040"/>
      </w:rPr>
    </w:tblStylePr>
    <w:tblStylePr w:type="firstCol">
      <w:rPr>
        <w:b/>
        <w:caps/>
        <w:color w:val="404040"/>
      </w:rPr>
      <w:tcPr>
        <w:tcBorders>
          <w:top w:val="nil"/>
          <w:left w:val="nil"/>
          <w:bottom w:val="nil"/>
          <w:right w:val="single" w:color="404040" w:sz="4" w:space="0"/>
        </w:tcBorders>
      </w:tcPr>
    </w:tblStylePr>
    <w:tblStylePr w:type="lastCol">
      <w:rPr>
        <w:b/>
        <w:caps/>
        <w:color w:val="404040"/>
      </w:rPr>
    </w:tblStylePr>
    <w:tblStylePr w:type="band1Vert">
      <w:rPr>
        <w:rFonts w:ascii="Arial" w:hAnsi="Arial"/>
        <w:color w:val="404040"/>
        <w:sz w:val="22"/>
      </w:rPr>
      <w:tcPr>
        <w:shd w:val="clear" w:color="F2F2F2" w:fill="F2F2F2"/>
      </w:tcPr>
    </w:tblStylePr>
    <w:tblStylePr w:type="band1Horz">
      <w:rPr>
        <w:rFonts w:ascii="Arial" w:hAnsi="Arial"/>
        <w:color w:val="404040"/>
        <w:sz w:val="22"/>
      </w:rPr>
      <w:tcPr>
        <w:shd w:val="clear" w:color="F2F2F2" w:fill="F2F2F2"/>
      </w:tcPr>
    </w:tblStylePr>
  </w:style>
  <w:style w:type="table" w:customStyle="1" w:styleId="1355">
    <w:name w:val="Таблица простая 414"/>
    <w:basedOn w:val="13"/>
    <w:uiPriority w:val="99"/>
    <w:rPr>
      <w:sz w:val="22"/>
      <w:szCs w:val="22"/>
      <w:lang w:eastAsia="en-US"/>
    </w:rPr>
    <w:tblPr>
      <w:tblCellMar>
        <w:top w:w="0" w:type="dxa"/>
        <w:left w:w="108" w:type="dxa"/>
        <w:bottom w:w="0" w:type="dxa"/>
        <w:right w:w="108" w:type="dxa"/>
      </w:tblCellMar>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F2F2F2" w:fill="F2F2F2"/>
      </w:tcPr>
    </w:tblStylePr>
    <w:tblStylePr w:type="band1Horz">
      <w:rPr>
        <w:rFonts w:ascii="Arial" w:hAnsi="Arial"/>
        <w:color w:val="404040"/>
        <w:sz w:val="22"/>
      </w:rPr>
      <w:tcPr>
        <w:shd w:val="clear" w:color="F2F2F2" w:fill="F2F2F2"/>
      </w:tcPr>
    </w:tblStylePr>
  </w:style>
  <w:style w:type="table" w:customStyle="1" w:styleId="1356">
    <w:name w:val="Таблица простая 514"/>
    <w:basedOn w:val="13"/>
    <w:uiPriority w:val="99"/>
    <w:rPr>
      <w:sz w:val="22"/>
      <w:szCs w:val="22"/>
      <w:lang w:eastAsia="en-US"/>
    </w:rPr>
    <w:tblPr>
      <w:tblCellMar>
        <w:top w:w="0" w:type="dxa"/>
        <w:left w:w="108" w:type="dxa"/>
        <w:bottom w:w="0" w:type="dxa"/>
        <w:right w:w="108" w:type="dxa"/>
      </w:tblCellMar>
    </w:tblPr>
    <w:tblStylePr w:type="firstRow">
      <w:rPr>
        <w:i/>
        <w:color w:val="404040"/>
      </w:rPr>
      <w:tcPr>
        <w:tcBorders>
          <w:left w:val="nil"/>
          <w:bottom w:val="single" w:color="404040" w:sz="4" w:space="0"/>
          <w:right w:val="nil"/>
        </w:tcBorders>
        <w:shd w:val="clear" w:color="FFFFFF" w:fill="auto"/>
      </w:tcPr>
    </w:tblStylePr>
    <w:tblStylePr w:type="lastRow">
      <w:rPr>
        <w:i/>
        <w:color w:val="404040"/>
      </w:rPr>
      <w:tcPr>
        <w:tcBorders>
          <w:top w:val="single" w:color="404040" w:sz="4" w:space="0"/>
          <w:left w:val="nil"/>
          <w:right w:val="nil"/>
        </w:tcBorders>
        <w:shd w:val="clear" w:color="FFFFFF" w:fill="auto"/>
      </w:tcPr>
    </w:tblStylePr>
    <w:tblStylePr w:type="firstCol">
      <w:pPr>
        <w:jc w:val="right"/>
      </w:pPr>
      <w:rPr>
        <w:i/>
        <w:color w:val="404040"/>
      </w:rPr>
      <w:tcPr>
        <w:tcBorders>
          <w:right w:val="single" w:color="404040" w:sz="4" w:space="0"/>
        </w:tcBorders>
        <w:shd w:val="clear" w:color="FFFFFF" w:fill="auto"/>
      </w:tcPr>
    </w:tblStylePr>
    <w:tblStylePr w:type="lastCol">
      <w:rPr>
        <w:i/>
        <w:color w:val="404040"/>
      </w:rPr>
      <w:tcPr>
        <w:tcBorders>
          <w:left w:val="single" w:color="404040" w:sz="4" w:space="0"/>
        </w:tcBorders>
        <w:shd w:val="clear" w:color="FFFFFF" w:fill="auto"/>
      </w:tcPr>
    </w:tblStylePr>
    <w:tblStylePr w:type="band1Vert">
      <w:rPr>
        <w:rFonts w:ascii="Arial" w:hAnsi="Arial"/>
        <w:color w:val="404040"/>
        <w:sz w:val="22"/>
      </w:rPr>
      <w:tcPr>
        <w:shd w:val="clear" w:color="F2F2F2" w:fill="F2F2F2"/>
      </w:tcPr>
    </w:tblStylePr>
    <w:tblStylePr w:type="band1Horz">
      <w:rPr>
        <w:rFonts w:ascii="Arial" w:hAnsi="Arial"/>
        <w:color w:val="404040"/>
        <w:sz w:val="22"/>
      </w:rPr>
      <w:tcPr>
        <w:shd w:val="clear" w:color="F2F2F2" w:fill="F2F2F2"/>
      </w:tcPr>
    </w:tblStylePr>
  </w:style>
  <w:style w:type="table" w:customStyle="1" w:styleId="1357">
    <w:name w:val="Таблица-сетка 1 светлая14"/>
    <w:basedOn w:val="13"/>
    <w:uiPriority w:val="99"/>
    <w:rPr>
      <w:sz w:val="22"/>
      <w:szCs w:val="22"/>
      <w:lang w:eastAsia="en-US"/>
    </w:rPr>
    <w:tblPr>
      <w:tblBorders>
        <w:top w:val="single" w:color="989898" w:sz="4" w:space="0"/>
        <w:left w:val="single" w:color="989898" w:sz="4" w:space="0"/>
        <w:bottom w:val="single" w:color="989898" w:sz="4" w:space="0"/>
        <w:right w:val="single" w:color="989898" w:sz="4" w:space="0"/>
        <w:insideH w:val="single" w:color="989898" w:sz="4" w:space="0"/>
        <w:insideV w:val="single" w:color="989898" w:sz="4" w:space="0"/>
      </w:tblBorders>
      <w:tblCellMar>
        <w:top w:w="0" w:type="dxa"/>
        <w:left w:w="108" w:type="dxa"/>
        <w:bottom w:w="0" w:type="dxa"/>
        <w:right w:w="108" w:type="dxa"/>
      </w:tblCellMar>
    </w:tblPr>
    <w:tblStylePr w:type="firstRow">
      <w:rPr>
        <w:b/>
        <w:color w:val="404040"/>
      </w:rPr>
      <w:tcPr>
        <w:tcBorders>
          <w:bottom w:val="single" w:color="6A6A6A" w:sz="12" w:space="0"/>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cPr>
        <w:tcBorders>
          <w:top w:val="single" w:color="989898" w:sz="4" w:space="0"/>
          <w:left w:val="single" w:color="989898" w:sz="4" w:space="0"/>
          <w:bottom w:val="single" w:color="989898" w:sz="4" w:space="0"/>
          <w:right w:val="single" w:color="989898" w:sz="4" w:space="0"/>
        </w:tcBorders>
      </w:tcPr>
    </w:tblStylePr>
  </w:style>
  <w:style w:type="table" w:customStyle="1" w:styleId="1358">
    <w:name w:val="Grid Table 1 Light - Accent 16"/>
    <w:basedOn w:val="13"/>
    <w:uiPriority w:val="99"/>
    <w:rPr>
      <w:sz w:val="22"/>
      <w:szCs w:val="22"/>
      <w:lang w:eastAsia="en-US"/>
    </w:rPr>
    <w:tblPr>
      <w:tblBorders>
        <w:top w:val="single" w:color="B7CBE4" w:sz="4" w:space="0"/>
        <w:left w:val="single" w:color="B7CBE4" w:sz="4" w:space="0"/>
        <w:bottom w:val="single" w:color="B7CBE4" w:sz="4" w:space="0"/>
        <w:right w:val="single" w:color="B7CBE4" w:sz="4" w:space="0"/>
        <w:insideH w:val="single" w:color="B7CBE4" w:sz="4" w:space="0"/>
        <w:insideV w:val="single" w:color="B7CBE4" w:sz="4" w:space="0"/>
      </w:tblBorders>
      <w:tblCellMar>
        <w:top w:w="0" w:type="dxa"/>
        <w:left w:w="108" w:type="dxa"/>
        <w:bottom w:w="0" w:type="dxa"/>
        <w:right w:w="108" w:type="dxa"/>
      </w:tblCellMar>
    </w:tblPr>
    <w:tblStylePr w:type="firstRow">
      <w:rPr>
        <w:b/>
        <w:color w:val="404040"/>
      </w:rPr>
      <w:tcPr>
        <w:tcBorders>
          <w:bottom w:val="single" w:color="97B4D8" w:sz="12" w:space="0"/>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cPr>
        <w:tcBorders>
          <w:top w:val="single" w:color="B7CBE4" w:sz="4" w:space="0"/>
          <w:left w:val="single" w:color="B7CBE4" w:sz="4" w:space="0"/>
          <w:bottom w:val="single" w:color="B7CBE4" w:sz="4" w:space="0"/>
          <w:right w:val="single" w:color="B7CBE4" w:sz="4" w:space="0"/>
        </w:tcBorders>
      </w:tcPr>
    </w:tblStylePr>
  </w:style>
  <w:style w:type="table" w:customStyle="1" w:styleId="1359">
    <w:name w:val="Grid Table 1 Light - Accent 26"/>
    <w:basedOn w:val="13"/>
    <w:uiPriority w:val="99"/>
    <w:rPr>
      <w:sz w:val="22"/>
      <w:szCs w:val="22"/>
      <w:lang w:eastAsia="en-US"/>
    </w:rPr>
    <w:tblPr>
      <w:tblBorders>
        <w:top w:val="single" w:color="E5B7B6" w:sz="4" w:space="0"/>
        <w:left w:val="single" w:color="E5B7B6" w:sz="4" w:space="0"/>
        <w:bottom w:val="single" w:color="E5B7B6" w:sz="4" w:space="0"/>
        <w:right w:val="single" w:color="E5B7B6" w:sz="4" w:space="0"/>
        <w:insideH w:val="single" w:color="E5B7B6" w:sz="4" w:space="0"/>
        <w:insideV w:val="single" w:color="E5B7B6" w:sz="4" w:space="0"/>
      </w:tblBorders>
      <w:tblCellMar>
        <w:top w:w="0" w:type="dxa"/>
        <w:left w:w="108" w:type="dxa"/>
        <w:bottom w:w="0" w:type="dxa"/>
        <w:right w:w="108" w:type="dxa"/>
      </w:tblCellMar>
    </w:tblPr>
    <w:tblStylePr w:type="firstRow">
      <w:rPr>
        <w:b/>
        <w:color w:val="404040"/>
      </w:rPr>
      <w:tcPr>
        <w:tcBorders>
          <w:bottom w:val="single" w:color="DA9896" w:sz="12" w:space="0"/>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cPr>
        <w:tcBorders>
          <w:top w:val="single" w:color="E5B7B6" w:sz="4" w:space="0"/>
          <w:left w:val="single" w:color="E5B7B6" w:sz="4" w:space="0"/>
          <w:bottom w:val="single" w:color="E5B7B6" w:sz="4" w:space="0"/>
          <w:right w:val="single" w:color="E5B7B6" w:sz="4" w:space="0"/>
        </w:tcBorders>
      </w:tcPr>
    </w:tblStylePr>
  </w:style>
  <w:style w:type="table" w:customStyle="1" w:styleId="1360">
    <w:name w:val="Grid Table 1 Light - Accent 36"/>
    <w:basedOn w:val="13"/>
    <w:uiPriority w:val="99"/>
    <w:rPr>
      <w:sz w:val="22"/>
      <w:szCs w:val="22"/>
      <w:lang w:eastAsia="en-US"/>
    </w:rPr>
    <w:tblPr>
      <w:tblBorders>
        <w:top w:val="single" w:color="D6E3BB" w:sz="4" w:space="0"/>
        <w:left w:val="single" w:color="D6E3BB" w:sz="4" w:space="0"/>
        <w:bottom w:val="single" w:color="D6E3BB" w:sz="4" w:space="0"/>
        <w:right w:val="single" w:color="D6E3BB" w:sz="4" w:space="0"/>
        <w:insideH w:val="single" w:color="D6E3BB" w:sz="4" w:space="0"/>
        <w:insideV w:val="single" w:color="D6E3BB" w:sz="4" w:space="0"/>
      </w:tblBorders>
      <w:tblCellMar>
        <w:top w:w="0" w:type="dxa"/>
        <w:left w:w="108" w:type="dxa"/>
        <w:bottom w:w="0" w:type="dxa"/>
        <w:right w:w="108" w:type="dxa"/>
      </w:tblCellMar>
    </w:tblPr>
    <w:tblStylePr w:type="firstRow">
      <w:rPr>
        <w:b/>
        <w:color w:val="404040"/>
      </w:rPr>
      <w:tcPr>
        <w:tcBorders>
          <w:bottom w:val="single" w:color="C4D79D" w:sz="12" w:space="0"/>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cPr>
        <w:tcBorders>
          <w:top w:val="single" w:color="D6E3BB" w:sz="4" w:space="0"/>
          <w:left w:val="single" w:color="D6E3BB" w:sz="4" w:space="0"/>
          <w:bottom w:val="single" w:color="D6E3BB" w:sz="4" w:space="0"/>
          <w:right w:val="single" w:color="D6E3BB" w:sz="4" w:space="0"/>
        </w:tcBorders>
      </w:tcPr>
    </w:tblStylePr>
  </w:style>
  <w:style w:type="table" w:customStyle="1" w:styleId="1361">
    <w:name w:val="Grid Table 1 Light - Accent 46"/>
    <w:basedOn w:val="13"/>
    <w:uiPriority w:val="99"/>
    <w:rPr>
      <w:sz w:val="22"/>
      <w:szCs w:val="22"/>
      <w:lang w:eastAsia="en-US"/>
    </w:rPr>
    <w:tblPr>
      <w:tblBorders>
        <w:top w:val="single" w:color="CBC0D9" w:sz="4" w:space="0"/>
        <w:left w:val="single" w:color="CBC0D9" w:sz="4" w:space="0"/>
        <w:bottom w:val="single" w:color="CBC0D9" w:sz="4" w:space="0"/>
        <w:right w:val="single" w:color="CBC0D9" w:sz="4" w:space="0"/>
        <w:insideH w:val="single" w:color="CBC0D9" w:sz="4" w:space="0"/>
        <w:insideV w:val="single" w:color="CBC0D9" w:sz="4" w:space="0"/>
      </w:tblBorders>
      <w:tblCellMar>
        <w:top w:w="0" w:type="dxa"/>
        <w:left w:w="108" w:type="dxa"/>
        <w:bottom w:w="0" w:type="dxa"/>
        <w:right w:w="108" w:type="dxa"/>
      </w:tblCellMar>
    </w:tblPr>
    <w:tblStylePr w:type="firstRow">
      <w:rPr>
        <w:b/>
        <w:color w:val="404040"/>
      </w:rPr>
      <w:tcPr>
        <w:tcBorders>
          <w:bottom w:val="single" w:color="B4A4C8" w:sz="12" w:space="0"/>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cPr>
        <w:tcBorders>
          <w:top w:val="single" w:color="CBC0D9" w:sz="4" w:space="0"/>
          <w:left w:val="single" w:color="CBC0D9" w:sz="4" w:space="0"/>
          <w:bottom w:val="single" w:color="CBC0D9" w:sz="4" w:space="0"/>
          <w:right w:val="single" w:color="CBC0D9" w:sz="4" w:space="0"/>
        </w:tcBorders>
      </w:tcPr>
    </w:tblStylePr>
  </w:style>
  <w:style w:type="table" w:customStyle="1" w:styleId="1362">
    <w:name w:val="Grid Table 1 Light - Accent 56"/>
    <w:basedOn w:val="13"/>
    <w:uiPriority w:val="99"/>
    <w:rPr>
      <w:sz w:val="22"/>
      <w:szCs w:val="22"/>
      <w:lang w:eastAsia="en-US"/>
    </w:rPr>
    <w:tblPr>
      <w:tblBorders>
        <w:top w:val="single" w:color="B6DDE8" w:sz="4" w:space="0"/>
        <w:left w:val="single" w:color="B6DDE8" w:sz="4" w:space="0"/>
        <w:bottom w:val="single" w:color="B6DDE8" w:sz="4" w:space="0"/>
        <w:right w:val="single" w:color="B6DDE8" w:sz="4" w:space="0"/>
        <w:insideH w:val="single" w:color="B6DDE8" w:sz="4" w:space="0"/>
        <w:insideV w:val="single" w:color="B6DDE8" w:sz="4" w:space="0"/>
      </w:tblBorders>
      <w:tblCellMar>
        <w:top w:w="0" w:type="dxa"/>
        <w:left w:w="108" w:type="dxa"/>
        <w:bottom w:w="0" w:type="dxa"/>
        <w:right w:w="108" w:type="dxa"/>
      </w:tblCellMar>
    </w:tblPr>
    <w:tblStylePr w:type="firstRow">
      <w:rPr>
        <w:b/>
        <w:color w:val="404040"/>
      </w:rPr>
      <w:tcPr>
        <w:tcBorders>
          <w:bottom w:val="single" w:color="95CEDD" w:sz="12" w:space="0"/>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cPr>
        <w:tcBorders>
          <w:top w:val="single" w:color="B6DDE8" w:sz="4" w:space="0"/>
          <w:left w:val="single" w:color="B6DDE8" w:sz="4" w:space="0"/>
          <w:bottom w:val="single" w:color="B6DDE8" w:sz="4" w:space="0"/>
          <w:right w:val="single" w:color="B6DDE8" w:sz="4" w:space="0"/>
        </w:tcBorders>
      </w:tcPr>
    </w:tblStylePr>
  </w:style>
  <w:style w:type="table" w:customStyle="1" w:styleId="1363">
    <w:name w:val="Grid Table 1 Light - Accent 66"/>
    <w:basedOn w:val="13"/>
    <w:uiPriority w:val="99"/>
    <w:rPr>
      <w:sz w:val="22"/>
      <w:szCs w:val="22"/>
      <w:lang w:eastAsia="en-US"/>
    </w:rPr>
    <w:tblPr>
      <w:tblBorders>
        <w:top w:val="single" w:color="FBD4B4" w:sz="4" w:space="0"/>
        <w:left w:val="single" w:color="FBD4B4" w:sz="4" w:space="0"/>
        <w:bottom w:val="single" w:color="FBD4B4" w:sz="4" w:space="0"/>
        <w:right w:val="single" w:color="FBD4B4" w:sz="4" w:space="0"/>
        <w:insideH w:val="single" w:color="FBD4B4" w:sz="4" w:space="0"/>
        <w:insideV w:val="single" w:color="FBD4B4" w:sz="4" w:space="0"/>
      </w:tblBorders>
      <w:tblCellMar>
        <w:top w:w="0" w:type="dxa"/>
        <w:left w:w="108" w:type="dxa"/>
        <w:bottom w:w="0" w:type="dxa"/>
        <w:right w:w="108" w:type="dxa"/>
      </w:tblCellMar>
    </w:tblPr>
    <w:tblStylePr w:type="firstRow">
      <w:rPr>
        <w:b/>
        <w:color w:val="404040"/>
      </w:rPr>
      <w:tcPr>
        <w:tcBorders>
          <w:bottom w:val="single" w:color="FAC192" w:sz="12" w:space="0"/>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cPr>
        <w:tcBorders>
          <w:top w:val="single" w:color="FBD4B4" w:sz="4" w:space="0"/>
          <w:left w:val="single" w:color="FBD4B4" w:sz="4" w:space="0"/>
          <w:bottom w:val="single" w:color="FBD4B4" w:sz="4" w:space="0"/>
          <w:right w:val="single" w:color="FBD4B4" w:sz="4" w:space="0"/>
        </w:tcBorders>
      </w:tcPr>
    </w:tblStylePr>
  </w:style>
  <w:style w:type="table" w:customStyle="1" w:styleId="1364">
    <w:name w:val="Таблица-сетка 214"/>
    <w:basedOn w:val="13"/>
    <w:uiPriority w:val="99"/>
    <w:rPr>
      <w:sz w:val="22"/>
      <w:szCs w:val="22"/>
      <w:lang w:eastAsia="en-US"/>
    </w:rPr>
    <w:tblPr>
      <w:tblBorders>
        <w:bottom w:val="single" w:color="6A6A6A" w:sz="4" w:space="0"/>
        <w:insideH w:val="single" w:color="6A6A6A" w:sz="4" w:space="0"/>
        <w:insideV w:val="single" w:color="6A6A6A" w:sz="4" w:space="0"/>
      </w:tblBorders>
      <w:tblCellMar>
        <w:top w:w="0" w:type="dxa"/>
        <w:left w:w="108" w:type="dxa"/>
        <w:bottom w:w="0" w:type="dxa"/>
        <w:right w:w="108" w:type="dxa"/>
      </w:tblCellMar>
    </w:tblPr>
    <w:tblStylePr w:type="firstRow">
      <w:rPr>
        <w:b/>
        <w:color w:val="404040"/>
      </w:rPr>
      <w:tcPr>
        <w:tcBorders>
          <w:top w:val="nil"/>
          <w:left w:val="nil"/>
          <w:bottom w:val="single" w:color="6A6A6A" w:sz="12" w:space="0"/>
          <w:right w:val="nil"/>
        </w:tcBorders>
        <w:shd w:val="clear" w:color="FFFFFF" w:fill="auto"/>
      </w:tcPr>
    </w:tblStylePr>
    <w:tblStylePr w:type="lastRow">
      <w:rPr>
        <w:b/>
        <w:color w:val="404040"/>
      </w:rPr>
      <w:tcPr>
        <w:tcBorders>
          <w:top w:val="single" w:color="6A6A6A"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CBCBCB" w:fill="CBCBCB"/>
      </w:tcPr>
    </w:tblStylePr>
    <w:tblStylePr w:type="band1Horz">
      <w:rPr>
        <w:rFonts w:ascii="Arial" w:hAnsi="Arial"/>
        <w:color w:val="404040"/>
        <w:sz w:val="22"/>
      </w:rPr>
      <w:tcPr>
        <w:shd w:val="clear" w:color="CBCBCB" w:fill="CBCBCB"/>
      </w:tcPr>
    </w:tblStylePr>
  </w:style>
  <w:style w:type="table" w:customStyle="1" w:styleId="1365">
    <w:name w:val="Grid Table 2 - Accent 16"/>
    <w:basedOn w:val="13"/>
    <w:uiPriority w:val="99"/>
    <w:rPr>
      <w:sz w:val="22"/>
      <w:szCs w:val="22"/>
      <w:lang w:eastAsia="en-US"/>
    </w:rPr>
    <w:tblPr>
      <w:tblBorders>
        <w:bottom w:val="single" w:color="5D8AC2" w:sz="4" w:space="0"/>
        <w:insideH w:val="single" w:color="5D8AC2" w:sz="4" w:space="0"/>
        <w:insideV w:val="single" w:color="5D8AC2" w:sz="4" w:space="0"/>
      </w:tblBorders>
      <w:tblCellMar>
        <w:top w:w="0" w:type="dxa"/>
        <w:left w:w="108" w:type="dxa"/>
        <w:bottom w:w="0" w:type="dxa"/>
        <w:right w:w="108" w:type="dxa"/>
      </w:tblCellMar>
    </w:tblPr>
    <w:tblStylePr w:type="firstRow">
      <w:rPr>
        <w:b/>
        <w:color w:val="404040"/>
      </w:rPr>
      <w:tcPr>
        <w:tcBorders>
          <w:top w:val="nil"/>
          <w:left w:val="nil"/>
          <w:bottom w:val="single" w:color="5D8AC2" w:sz="12" w:space="0"/>
          <w:right w:val="nil"/>
        </w:tcBorders>
        <w:shd w:val="clear" w:color="FFFFFF" w:fill="auto"/>
      </w:tcPr>
    </w:tblStylePr>
    <w:tblStylePr w:type="lastRow">
      <w:rPr>
        <w:b/>
        <w:color w:val="404040"/>
      </w:rPr>
      <w:tcPr>
        <w:tcBorders>
          <w:top w:val="single" w:color="5D8AC2"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DAE5F1" w:fill="DAE5F1"/>
      </w:tcPr>
    </w:tblStylePr>
    <w:tblStylePr w:type="band1Horz">
      <w:rPr>
        <w:rFonts w:ascii="Arial" w:hAnsi="Arial"/>
        <w:color w:val="404040"/>
        <w:sz w:val="22"/>
      </w:rPr>
      <w:tcPr>
        <w:shd w:val="clear" w:color="DAE5F1" w:fill="DAE5F1"/>
      </w:tcPr>
    </w:tblStylePr>
  </w:style>
  <w:style w:type="table" w:customStyle="1" w:styleId="1366">
    <w:name w:val="Grid Table 2 - Accent 26"/>
    <w:basedOn w:val="13"/>
    <w:uiPriority w:val="99"/>
    <w:rPr>
      <w:sz w:val="22"/>
      <w:szCs w:val="22"/>
      <w:lang w:eastAsia="en-US"/>
    </w:rPr>
    <w:tblPr>
      <w:tblBorders>
        <w:bottom w:val="single" w:color="D99695" w:sz="4" w:space="0"/>
        <w:insideH w:val="single" w:color="D99695" w:sz="4" w:space="0"/>
        <w:insideV w:val="single" w:color="D99695" w:sz="4" w:space="0"/>
      </w:tblBorders>
      <w:tblCellMar>
        <w:top w:w="0" w:type="dxa"/>
        <w:left w:w="108" w:type="dxa"/>
        <w:bottom w:w="0" w:type="dxa"/>
        <w:right w:w="108" w:type="dxa"/>
      </w:tblCellMar>
    </w:tblPr>
    <w:tblStylePr w:type="firstRow">
      <w:rPr>
        <w:b/>
        <w:color w:val="404040"/>
      </w:rPr>
      <w:tcPr>
        <w:tcBorders>
          <w:top w:val="nil"/>
          <w:left w:val="nil"/>
          <w:bottom w:val="single" w:color="D99695" w:sz="12" w:space="0"/>
          <w:right w:val="nil"/>
        </w:tcBorders>
        <w:shd w:val="clear" w:color="FFFFFF" w:fill="auto"/>
      </w:tcPr>
    </w:tblStylePr>
    <w:tblStylePr w:type="lastRow">
      <w:rPr>
        <w:b/>
        <w:color w:val="404040"/>
      </w:rPr>
      <w:tcPr>
        <w:tcBorders>
          <w:top w:val="single" w:color="D99695"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F2DCDC" w:fill="F2DCDC"/>
      </w:tcPr>
    </w:tblStylePr>
    <w:tblStylePr w:type="band1Horz">
      <w:rPr>
        <w:rFonts w:ascii="Arial" w:hAnsi="Arial"/>
        <w:color w:val="404040"/>
        <w:sz w:val="22"/>
      </w:rPr>
      <w:tcPr>
        <w:shd w:val="clear" w:color="F2DCDC" w:fill="F2DCDC"/>
      </w:tcPr>
    </w:tblStylePr>
  </w:style>
  <w:style w:type="table" w:customStyle="1" w:styleId="1367">
    <w:name w:val="Grid Table 2 - Accent 36"/>
    <w:basedOn w:val="13"/>
    <w:uiPriority w:val="99"/>
    <w:rPr>
      <w:sz w:val="22"/>
      <w:szCs w:val="22"/>
      <w:lang w:eastAsia="en-US"/>
    </w:rPr>
    <w:tblPr>
      <w:tblBorders>
        <w:bottom w:val="single" w:color="9ABB59" w:sz="4" w:space="0"/>
        <w:insideH w:val="single" w:color="9ABB59" w:sz="4" w:space="0"/>
        <w:insideV w:val="single" w:color="9ABB59" w:sz="4" w:space="0"/>
      </w:tblBorders>
      <w:tblCellMar>
        <w:top w:w="0" w:type="dxa"/>
        <w:left w:w="108" w:type="dxa"/>
        <w:bottom w:w="0" w:type="dxa"/>
        <w:right w:w="108" w:type="dxa"/>
      </w:tblCellMar>
    </w:tblPr>
    <w:tblStylePr w:type="firstRow">
      <w:rPr>
        <w:b/>
        <w:color w:val="404040"/>
      </w:rPr>
      <w:tcPr>
        <w:tcBorders>
          <w:top w:val="nil"/>
          <w:left w:val="nil"/>
          <w:bottom w:val="single" w:color="9ABB59" w:sz="12" w:space="0"/>
          <w:right w:val="nil"/>
        </w:tcBorders>
        <w:shd w:val="clear" w:color="FFFFFF" w:fill="auto"/>
      </w:tcPr>
    </w:tblStylePr>
    <w:tblStylePr w:type="lastRow">
      <w:rPr>
        <w:b/>
        <w:color w:val="404040"/>
      </w:rPr>
      <w:tcPr>
        <w:tcBorders>
          <w:top w:val="single" w:color="9ABB59"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EAF1DC" w:fill="EAF1DC"/>
      </w:tcPr>
    </w:tblStylePr>
    <w:tblStylePr w:type="band1Horz">
      <w:rPr>
        <w:rFonts w:ascii="Arial" w:hAnsi="Arial"/>
        <w:color w:val="404040"/>
        <w:sz w:val="22"/>
      </w:rPr>
      <w:tcPr>
        <w:shd w:val="clear" w:color="EAF1DC" w:fill="EAF1DC"/>
      </w:tcPr>
    </w:tblStylePr>
  </w:style>
  <w:style w:type="table" w:customStyle="1" w:styleId="1368">
    <w:name w:val="Grid Table 2 - Accent 46"/>
    <w:basedOn w:val="13"/>
    <w:uiPriority w:val="99"/>
    <w:rPr>
      <w:sz w:val="22"/>
      <w:szCs w:val="22"/>
      <w:lang w:eastAsia="en-US"/>
    </w:rPr>
    <w:tblPr>
      <w:tblBorders>
        <w:bottom w:val="single" w:color="B2A1C6" w:sz="4" w:space="0"/>
        <w:insideH w:val="single" w:color="B2A1C6" w:sz="4" w:space="0"/>
        <w:insideV w:val="single" w:color="B2A1C6" w:sz="4" w:space="0"/>
      </w:tblBorders>
      <w:tblCellMar>
        <w:top w:w="0" w:type="dxa"/>
        <w:left w:w="108" w:type="dxa"/>
        <w:bottom w:w="0" w:type="dxa"/>
        <w:right w:w="108" w:type="dxa"/>
      </w:tblCellMar>
    </w:tblPr>
    <w:tblStylePr w:type="firstRow">
      <w:rPr>
        <w:b/>
        <w:color w:val="404040"/>
      </w:rPr>
      <w:tcPr>
        <w:tcBorders>
          <w:top w:val="nil"/>
          <w:left w:val="nil"/>
          <w:bottom w:val="single" w:color="B2A1C6" w:sz="12" w:space="0"/>
          <w:right w:val="nil"/>
        </w:tcBorders>
        <w:shd w:val="clear" w:color="FFFFFF" w:fill="auto"/>
      </w:tcPr>
    </w:tblStylePr>
    <w:tblStylePr w:type="lastRow">
      <w:rPr>
        <w:b/>
        <w:color w:val="404040"/>
      </w:rPr>
      <w:tcPr>
        <w:tcBorders>
          <w:top w:val="single" w:color="B2A1C6"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E5DFEC" w:fill="E5DFEC"/>
      </w:tcPr>
    </w:tblStylePr>
    <w:tblStylePr w:type="band1Horz">
      <w:rPr>
        <w:rFonts w:ascii="Arial" w:hAnsi="Arial"/>
        <w:color w:val="404040"/>
        <w:sz w:val="22"/>
      </w:rPr>
      <w:tcPr>
        <w:shd w:val="clear" w:color="E5DFEC" w:fill="E5DFEC"/>
      </w:tcPr>
    </w:tblStylePr>
  </w:style>
  <w:style w:type="table" w:customStyle="1" w:styleId="1369">
    <w:name w:val="Grid Table 2 - Accent 56"/>
    <w:basedOn w:val="13"/>
    <w:uiPriority w:val="99"/>
    <w:rPr>
      <w:sz w:val="22"/>
      <w:szCs w:val="22"/>
      <w:lang w:eastAsia="en-US"/>
    </w:rPr>
    <w:tblPr>
      <w:tblBorders>
        <w:bottom w:val="single" w:color="4BACC6" w:sz="4" w:space="0"/>
        <w:insideH w:val="single" w:color="4BACC6" w:sz="4" w:space="0"/>
        <w:insideV w:val="single" w:color="4BACC6" w:sz="4" w:space="0"/>
      </w:tblBorders>
      <w:tblCellMar>
        <w:top w:w="0" w:type="dxa"/>
        <w:left w:w="108" w:type="dxa"/>
        <w:bottom w:w="0" w:type="dxa"/>
        <w:right w:w="108" w:type="dxa"/>
      </w:tblCellMar>
    </w:tblPr>
    <w:tblStylePr w:type="firstRow">
      <w:rPr>
        <w:b/>
        <w:color w:val="404040"/>
      </w:rPr>
      <w:tcPr>
        <w:tcBorders>
          <w:top w:val="nil"/>
          <w:left w:val="nil"/>
          <w:bottom w:val="single" w:color="4BACC6" w:sz="12" w:space="0"/>
          <w:right w:val="nil"/>
        </w:tcBorders>
        <w:shd w:val="clear" w:color="FFFFFF" w:fill="auto"/>
      </w:tcPr>
    </w:tblStylePr>
    <w:tblStylePr w:type="lastRow">
      <w:rPr>
        <w:b/>
        <w:color w:val="404040"/>
      </w:rPr>
      <w:tcPr>
        <w:tcBorders>
          <w:top w:val="single" w:color="4BACC6"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DAEEF3" w:fill="DAEEF3"/>
      </w:tcPr>
    </w:tblStylePr>
    <w:tblStylePr w:type="band1Horz">
      <w:rPr>
        <w:rFonts w:ascii="Arial" w:hAnsi="Arial"/>
        <w:color w:val="404040"/>
        <w:sz w:val="22"/>
      </w:rPr>
      <w:tcPr>
        <w:shd w:val="clear" w:color="DAEEF3" w:fill="DAEEF3"/>
      </w:tcPr>
    </w:tblStylePr>
  </w:style>
  <w:style w:type="table" w:customStyle="1" w:styleId="1370">
    <w:name w:val="Grid Table 2 - Accent 66"/>
    <w:basedOn w:val="13"/>
    <w:uiPriority w:val="99"/>
    <w:rPr>
      <w:sz w:val="22"/>
      <w:szCs w:val="22"/>
      <w:lang w:eastAsia="en-US"/>
    </w:rPr>
    <w:tblPr>
      <w:tblBorders>
        <w:bottom w:val="single" w:color="F79646" w:sz="4" w:space="0"/>
        <w:insideH w:val="single" w:color="F79646" w:sz="4" w:space="0"/>
        <w:insideV w:val="single" w:color="F79646" w:sz="4" w:space="0"/>
      </w:tblBorders>
      <w:tblCellMar>
        <w:top w:w="0" w:type="dxa"/>
        <w:left w:w="108" w:type="dxa"/>
        <w:bottom w:w="0" w:type="dxa"/>
        <w:right w:w="108" w:type="dxa"/>
      </w:tblCellMar>
    </w:tblPr>
    <w:tblStylePr w:type="firstRow">
      <w:rPr>
        <w:b/>
        <w:color w:val="404040"/>
      </w:rPr>
      <w:tcPr>
        <w:tcBorders>
          <w:top w:val="nil"/>
          <w:left w:val="nil"/>
          <w:bottom w:val="single" w:color="F79646" w:sz="12" w:space="0"/>
          <w:right w:val="nil"/>
        </w:tcBorders>
        <w:shd w:val="clear" w:color="FFFFFF" w:fill="auto"/>
      </w:tcPr>
    </w:tblStylePr>
    <w:tblStylePr w:type="lastRow">
      <w:rPr>
        <w:b/>
        <w:color w:val="404040"/>
      </w:rPr>
      <w:tcPr>
        <w:tcBorders>
          <w:top w:val="single" w:color="F79646"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FDE9D8" w:fill="FDE9D8"/>
      </w:tcPr>
    </w:tblStylePr>
    <w:tblStylePr w:type="band1Horz">
      <w:rPr>
        <w:rFonts w:ascii="Arial" w:hAnsi="Arial"/>
        <w:color w:val="404040"/>
        <w:sz w:val="22"/>
      </w:rPr>
      <w:tcPr>
        <w:shd w:val="clear" w:color="FDE9D8" w:fill="FDE9D8"/>
      </w:tcPr>
    </w:tblStylePr>
  </w:style>
  <w:style w:type="table" w:customStyle="1" w:styleId="1371">
    <w:name w:val="Таблица-сетка 314"/>
    <w:basedOn w:val="13"/>
    <w:uiPriority w:val="99"/>
    <w:rPr>
      <w:sz w:val="22"/>
      <w:szCs w:val="22"/>
      <w:lang w:eastAsia="en-US"/>
    </w:rPr>
    <w:tblPr>
      <w:tblBorders>
        <w:bottom w:val="single" w:color="6A6A6A" w:sz="4" w:space="0"/>
        <w:insideH w:val="single" w:color="6A6A6A" w:sz="4" w:space="0"/>
        <w:insideV w:val="single" w:color="6A6A6A" w:sz="4" w:space="0"/>
      </w:tblBorders>
      <w:tblCellMar>
        <w:top w:w="0" w:type="dxa"/>
        <w:left w:w="108" w:type="dxa"/>
        <w:bottom w:w="0" w:type="dxa"/>
        <w:right w:w="108" w:type="dxa"/>
      </w:tblCellMar>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rFonts w:ascii="Arial" w:hAnsi="Arial"/>
        <w:color w:val="404040"/>
        <w:sz w:val="22"/>
      </w:rPr>
      <w:tcPr>
        <w:shd w:val="clear" w:color="CBCBCB" w:fill="CBCBCB"/>
      </w:tcPr>
    </w:tblStylePr>
    <w:tblStylePr w:type="band1Horz">
      <w:rPr>
        <w:rFonts w:ascii="Arial" w:hAnsi="Arial"/>
        <w:color w:val="404040"/>
        <w:sz w:val="22"/>
      </w:rPr>
      <w:tcPr>
        <w:shd w:val="clear" w:color="CBCBCB" w:fill="CBCBCB"/>
      </w:tcPr>
    </w:tblStylePr>
  </w:style>
  <w:style w:type="table" w:customStyle="1" w:styleId="1372">
    <w:name w:val="Grid Table 3 - Accent 16"/>
    <w:basedOn w:val="13"/>
    <w:uiPriority w:val="99"/>
    <w:rPr>
      <w:sz w:val="22"/>
      <w:szCs w:val="22"/>
      <w:lang w:eastAsia="en-US"/>
    </w:rPr>
    <w:tblPr>
      <w:tblBorders>
        <w:bottom w:val="single" w:color="5D8AC2" w:sz="4" w:space="0"/>
        <w:insideH w:val="single" w:color="5D8AC2" w:sz="4" w:space="0"/>
        <w:insideV w:val="single" w:color="5D8AC2" w:sz="4" w:space="0"/>
      </w:tblBorders>
      <w:tblCellMar>
        <w:top w:w="0" w:type="dxa"/>
        <w:left w:w="108" w:type="dxa"/>
        <w:bottom w:w="0" w:type="dxa"/>
        <w:right w:w="108" w:type="dxa"/>
      </w:tblCellMar>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rFonts w:ascii="Arial" w:hAnsi="Arial"/>
        <w:color w:val="404040"/>
        <w:sz w:val="22"/>
      </w:rPr>
      <w:tcPr>
        <w:shd w:val="clear" w:color="DAE5F1" w:fill="DAE5F1"/>
      </w:tcPr>
    </w:tblStylePr>
    <w:tblStylePr w:type="band1Horz">
      <w:rPr>
        <w:rFonts w:ascii="Arial" w:hAnsi="Arial"/>
        <w:color w:val="404040"/>
        <w:sz w:val="22"/>
      </w:rPr>
      <w:tcPr>
        <w:shd w:val="clear" w:color="DAE5F1" w:fill="DAE5F1"/>
      </w:tcPr>
    </w:tblStylePr>
  </w:style>
  <w:style w:type="table" w:customStyle="1" w:styleId="1373">
    <w:name w:val="Grid Table 3 - Accent 26"/>
    <w:basedOn w:val="13"/>
    <w:uiPriority w:val="99"/>
    <w:rPr>
      <w:sz w:val="22"/>
      <w:szCs w:val="22"/>
      <w:lang w:eastAsia="en-US"/>
    </w:rPr>
    <w:tblPr>
      <w:tblBorders>
        <w:bottom w:val="single" w:color="D99695" w:sz="4" w:space="0"/>
        <w:insideH w:val="single" w:color="D99695" w:sz="4" w:space="0"/>
        <w:insideV w:val="single" w:color="D99695" w:sz="4" w:space="0"/>
      </w:tblBorders>
      <w:tblCellMar>
        <w:top w:w="0" w:type="dxa"/>
        <w:left w:w="108" w:type="dxa"/>
        <w:bottom w:w="0" w:type="dxa"/>
        <w:right w:w="108" w:type="dxa"/>
      </w:tblCellMar>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rFonts w:ascii="Arial" w:hAnsi="Arial"/>
        <w:color w:val="404040"/>
        <w:sz w:val="22"/>
      </w:rPr>
      <w:tcPr>
        <w:shd w:val="clear" w:color="F2DCDC" w:fill="F2DCDC"/>
      </w:tcPr>
    </w:tblStylePr>
    <w:tblStylePr w:type="band1Horz">
      <w:rPr>
        <w:rFonts w:ascii="Arial" w:hAnsi="Arial"/>
        <w:color w:val="404040"/>
        <w:sz w:val="22"/>
      </w:rPr>
      <w:tcPr>
        <w:shd w:val="clear" w:color="F2DCDC" w:fill="F2DCDC"/>
      </w:tcPr>
    </w:tblStylePr>
  </w:style>
  <w:style w:type="table" w:customStyle="1" w:styleId="1374">
    <w:name w:val="Grid Table 3 - Accent 36"/>
    <w:basedOn w:val="13"/>
    <w:uiPriority w:val="99"/>
    <w:rPr>
      <w:sz w:val="22"/>
      <w:szCs w:val="22"/>
      <w:lang w:eastAsia="en-US"/>
    </w:rPr>
    <w:tblPr>
      <w:tblBorders>
        <w:bottom w:val="single" w:color="9ABB59" w:sz="4" w:space="0"/>
        <w:insideH w:val="single" w:color="9ABB59" w:sz="4" w:space="0"/>
        <w:insideV w:val="single" w:color="9ABB59" w:sz="4" w:space="0"/>
      </w:tblBorders>
      <w:tblCellMar>
        <w:top w:w="0" w:type="dxa"/>
        <w:left w:w="108" w:type="dxa"/>
        <w:bottom w:w="0" w:type="dxa"/>
        <w:right w:w="108" w:type="dxa"/>
      </w:tblCellMar>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rFonts w:ascii="Arial" w:hAnsi="Arial"/>
        <w:color w:val="404040"/>
        <w:sz w:val="22"/>
      </w:rPr>
      <w:tcPr>
        <w:shd w:val="clear" w:color="EAF1DC" w:fill="EAF1DC"/>
      </w:tcPr>
    </w:tblStylePr>
    <w:tblStylePr w:type="band1Horz">
      <w:rPr>
        <w:rFonts w:ascii="Arial" w:hAnsi="Arial"/>
        <w:color w:val="404040"/>
        <w:sz w:val="22"/>
      </w:rPr>
      <w:tcPr>
        <w:shd w:val="clear" w:color="EAF1DC" w:fill="EAF1DC"/>
      </w:tcPr>
    </w:tblStylePr>
  </w:style>
  <w:style w:type="table" w:customStyle="1" w:styleId="1375">
    <w:name w:val="Grid Table 3 - Accent 46"/>
    <w:basedOn w:val="13"/>
    <w:uiPriority w:val="99"/>
    <w:rPr>
      <w:sz w:val="22"/>
      <w:szCs w:val="22"/>
      <w:lang w:eastAsia="en-US"/>
    </w:rPr>
    <w:tblPr>
      <w:tblBorders>
        <w:bottom w:val="single" w:color="B2A1C6" w:sz="4" w:space="0"/>
        <w:insideH w:val="single" w:color="B2A1C6" w:sz="4" w:space="0"/>
        <w:insideV w:val="single" w:color="B2A1C6" w:sz="4" w:space="0"/>
      </w:tblBorders>
      <w:tblCellMar>
        <w:top w:w="0" w:type="dxa"/>
        <w:left w:w="108" w:type="dxa"/>
        <w:bottom w:w="0" w:type="dxa"/>
        <w:right w:w="108" w:type="dxa"/>
      </w:tblCellMar>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rFonts w:ascii="Arial" w:hAnsi="Arial"/>
        <w:color w:val="404040"/>
        <w:sz w:val="22"/>
      </w:rPr>
      <w:tcPr>
        <w:shd w:val="clear" w:color="E5DFEC" w:fill="E5DFEC"/>
      </w:tcPr>
    </w:tblStylePr>
    <w:tblStylePr w:type="band1Horz">
      <w:rPr>
        <w:rFonts w:ascii="Arial" w:hAnsi="Arial"/>
        <w:color w:val="404040"/>
        <w:sz w:val="22"/>
      </w:rPr>
      <w:tcPr>
        <w:shd w:val="clear" w:color="E5DFEC" w:fill="E5DFEC"/>
      </w:tcPr>
    </w:tblStylePr>
  </w:style>
  <w:style w:type="table" w:customStyle="1" w:styleId="1376">
    <w:name w:val="Grid Table 3 - Accent 56"/>
    <w:basedOn w:val="13"/>
    <w:uiPriority w:val="99"/>
    <w:rPr>
      <w:sz w:val="22"/>
      <w:szCs w:val="22"/>
      <w:lang w:eastAsia="en-US"/>
    </w:rPr>
    <w:tblPr>
      <w:tblBorders>
        <w:bottom w:val="single" w:color="4BACC6" w:sz="4" w:space="0"/>
        <w:insideH w:val="single" w:color="4BACC6" w:sz="4" w:space="0"/>
        <w:insideV w:val="single" w:color="4BACC6" w:sz="4" w:space="0"/>
      </w:tblBorders>
      <w:tblCellMar>
        <w:top w:w="0" w:type="dxa"/>
        <w:left w:w="108" w:type="dxa"/>
        <w:bottom w:w="0" w:type="dxa"/>
        <w:right w:w="108" w:type="dxa"/>
      </w:tblCellMar>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rFonts w:ascii="Arial" w:hAnsi="Arial"/>
        <w:color w:val="404040"/>
        <w:sz w:val="22"/>
      </w:rPr>
      <w:tcPr>
        <w:shd w:val="clear" w:color="DAEEF3" w:fill="DAEEF3"/>
      </w:tcPr>
    </w:tblStylePr>
    <w:tblStylePr w:type="band1Horz">
      <w:rPr>
        <w:rFonts w:ascii="Arial" w:hAnsi="Arial"/>
        <w:color w:val="404040"/>
        <w:sz w:val="22"/>
      </w:rPr>
      <w:tcPr>
        <w:shd w:val="clear" w:color="DAEEF3" w:fill="DAEEF3"/>
      </w:tcPr>
    </w:tblStylePr>
  </w:style>
  <w:style w:type="table" w:customStyle="1" w:styleId="1377">
    <w:name w:val="Grid Table 3 - Accent 66"/>
    <w:basedOn w:val="13"/>
    <w:uiPriority w:val="99"/>
    <w:rPr>
      <w:sz w:val="22"/>
      <w:szCs w:val="22"/>
      <w:lang w:eastAsia="en-US"/>
    </w:rPr>
    <w:tblPr>
      <w:tblBorders>
        <w:bottom w:val="single" w:color="F79646" w:sz="4" w:space="0"/>
        <w:insideH w:val="single" w:color="F79646" w:sz="4" w:space="0"/>
        <w:insideV w:val="single" w:color="F79646" w:sz="4" w:space="0"/>
      </w:tblBorders>
      <w:tblCellMar>
        <w:top w:w="0" w:type="dxa"/>
        <w:left w:w="108" w:type="dxa"/>
        <w:bottom w:w="0" w:type="dxa"/>
        <w:right w:w="108" w:type="dxa"/>
      </w:tblCellMar>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rFonts w:ascii="Arial" w:hAnsi="Arial"/>
        <w:color w:val="404040"/>
        <w:sz w:val="22"/>
      </w:rPr>
      <w:tcPr>
        <w:shd w:val="clear" w:color="FDE9D8" w:fill="FDE9D8"/>
      </w:tcPr>
    </w:tblStylePr>
    <w:tblStylePr w:type="band1Horz">
      <w:rPr>
        <w:rFonts w:ascii="Arial" w:hAnsi="Arial"/>
        <w:color w:val="404040"/>
        <w:sz w:val="22"/>
      </w:rPr>
      <w:tcPr>
        <w:shd w:val="clear" w:color="FDE9D8" w:fill="FDE9D8"/>
      </w:tcPr>
    </w:tblStylePr>
  </w:style>
  <w:style w:type="table" w:customStyle="1" w:styleId="1378">
    <w:name w:val="Таблица-сетка 414"/>
    <w:basedOn w:val="13"/>
    <w:uiPriority w:val="59"/>
    <w:rPr>
      <w:sz w:val="22"/>
      <w:szCs w:val="22"/>
      <w:lang w:eastAsia="en-US"/>
    </w:rPr>
    <w:tblPr>
      <w:tblBorders>
        <w:top w:val="single" w:color="6F6F6F" w:sz="4" w:space="0"/>
        <w:left w:val="single" w:color="6F6F6F" w:sz="4" w:space="0"/>
        <w:bottom w:val="single" w:color="6F6F6F" w:sz="4" w:space="0"/>
        <w:right w:val="single" w:color="6F6F6F" w:sz="4" w:space="0"/>
        <w:insideH w:val="single" w:color="6F6F6F" w:sz="4" w:space="0"/>
        <w:insideV w:val="single" w:color="6F6F6F" w:sz="4" w:space="0"/>
      </w:tblBorders>
      <w:tblCellMar>
        <w:top w:w="0" w:type="dxa"/>
        <w:left w:w="108" w:type="dxa"/>
        <w:bottom w:w="0" w:type="dxa"/>
        <w:right w:w="108" w:type="dxa"/>
      </w:tblCellMar>
    </w:tblPr>
    <w:tblStylePr w:type="firstRow">
      <w:rPr>
        <w:rFonts w:ascii="Arial" w:hAnsi="Arial"/>
        <w:b/>
        <w:color w:val="FFFFFF"/>
        <w:sz w:val="22"/>
      </w:rPr>
      <w:tcPr>
        <w:tcBorders>
          <w:top w:val="single" w:color="000000" w:sz="4" w:space="0"/>
          <w:left w:val="single" w:color="000000" w:sz="4" w:space="0"/>
          <w:bottom w:val="single" w:color="000000" w:sz="4" w:space="0"/>
          <w:right w:val="single" w:color="000000" w:sz="4" w:space="0"/>
        </w:tcBorders>
        <w:shd w:val="clear" w:color="000000" w:fill="000000"/>
      </w:tcPr>
    </w:tblStylePr>
    <w:tblStylePr w:type="lastRow">
      <w:rPr>
        <w:b/>
        <w:color w:val="404040"/>
      </w:rPr>
      <w:tcPr>
        <w:tcBorders>
          <w:top w:val="single" w:color="000000"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CBCBCB" w:fill="CBCBCB"/>
      </w:tcPr>
    </w:tblStylePr>
    <w:tblStylePr w:type="band1Horz">
      <w:rPr>
        <w:rFonts w:ascii="Arial" w:hAnsi="Arial"/>
        <w:color w:val="404040"/>
        <w:sz w:val="22"/>
      </w:rPr>
      <w:tcPr>
        <w:shd w:val="clear" w:color="CBCBCB" w:fill="CBCBCB"/>
      </w:tcPr>
    </w:tblStylePr>
  </w:style>
  <w:style w:type="table" w:customStyle="1" w:styleId="1379">
    <w:name w:val="Grid Table 4 - Accent 16"/>
    <w:basedOn w:val="13"/>
    <w:uiPriority w:val="59"/>
    <w:rPr>
      <w:sz w:val="22"/>
      <w:szCs w:val="22"/>
      <w:lang w:eastAsia="en-US"/>
    </w:rPr>
    <w:tblPr>
      <w:tblBorders>
        <w:top w:val="single" w:color="9BB7D9" w:sz="4" w:space="0"/>
        <w:left w:val="single" w:color="9BB7D9" w:sz="4" w:space="0"/>
        <w:bottom w:val="single" w:color="9BB7D9" w:sz="4" w:space="0"/>
        <w:right w:val="single" w:color="9BB7D9" w:sz="4" w:space="0"/>
        <w:insideH w:val="single" w:color="9BB7D9" w:sz="4" w:space="0"/>
        <w:insideV w:val="single" w:color="9BB7D9" w:sz="4" w:space="0"/>
      </w:tblBorders>
      <w:tblCellMar>
        <w:top w:w="0" w:type="dxa"/>
        <w:left w:w="108" w:type="dxa"/>
        <w:bottom w:w="0" w:type="dxa"/>
        <w:right w:w="108" w:type="dxa"/>
      </w:tblCellMar>
    </w:tblPr>
    <w:tblStylePr w:type="firstRow">
      <w:rPr>
        <w:rFonts w:ascii="Arial" w:hAnsi="Arial"/>
        <w:b/>
        <w:color w:val="FFFFFF"/>
        <w:sz w:val="22"/>
      </w:rPr>
      <w:tcPr>
        <w:tcBorders>
          <w:top w:val="single" w:color="5D8AC2" w:sz="4" w:space="0"/>
          <w:left w:val="single" w:color="5D8AC2" w:sz="4" w:space="0"/>
          <w:bottom w:val="single" w:color="5D8AC2" w:sz="4" w:space="0"/>
          <w:right w:val="single" w:color="5D8AC2" w:sz="4" w:space="0"/>
        </w:tcBorders>
        <w:shd w:val="clear" w:color="5D8AC2" w:fill="5D8AC2"/>
      </w:tcPr>
    </w:tblStylePr>
    <w:tblStylePr w:type="lastRow">
      <w:rPr>
        <w:b/>
        <w:color w:val="404040"/>
      </w:rPr>
      <w:tcPr>
        <w:tcBorders>
          <w:top w:val="single" w:color="5D8AC2"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DCE6F2" w:fill="DCE6F2"/>
      </w:tcPr>
    </w:tblStylePr>
    <w:tblStylePr w:type="band1Horz">
      <w:rPr>
        <w:rFonts w:ascii="Arial" w:hAnsi="Arial"/>
        <w:color w:val="404040"/>
        <w:sz w:val="22"/>
      </w:rPr>
      <w:tcPr>
        <w:shd w:val="clear" w:color="DCE6F2" w:fill="DCE6F2"/>
      </w:tcPr>
    </w:tblStylePr>
  </w:style>
  <w:style w:type="table" w:customStyle="1" w:styleId="1380">
    <w:name w:val="Grid Table 4 - Accent 26"/>
    <w:basedOn w:val="13"/>
    <w:uiPriority w:val="59"/>
    <w:rPr>
      <w:sz w:val="22"/>
      <w:szCs w:val="22"/>
      <w:lang w:eastAsia="en-US"/>
    </w:rPr>
    <w:tblPr>
      <w:tblBorders>
        <w:top w:val="single" w:color="DB9B9A" w:sz="4" w:space="0"/>
        <w:left w:val="single" w:color="DB9B9A" w:sz="4" w:space="0"/>
        <w:bottom w:val="single" w:color="DB9B9A" w:sz="4" w:space="0"/>
        <w:right w:val="single" w:color="DB9B9A" w:sz="4" w:space="0"/>
        <w:insideH w:val="single" w:color="DB9B9A" w:sz="4" w:space="0"/>
        <w:insideV w:val="single" w:color="DB9B9A" w:sz="4" w:space="0"/>
      </w:tblBorders>
      <w:tblCellMar>
        <w:top w:w="0" w:type="dxa"/>
        <w:left w:w="108" w:type="dxa"/>
        <w:bottom w:w="0" w:type="dxa"/>
        <w:right w:w="108" w:type="dxa"/>
      </w:tblCellMar>
    </w:tblPr>
    <w:tblStylePr w:type="firstRow">
      <w:rPr>
        <w:rFonts w:ascii="Arial" w:hAnsi="Arial"/>
        <w:b/>
        <w:color w:val="FFFFFF"/>
        <w:sz w:val="22"/>
      </w:rPr>
      <w:tcPr>
        <w:tcBorders>
          <w:top w:val="single" w:color="D99695" w:sz="4" w:space="0"/>
          <w:left w:val="single" w:color="D99695" w:sz="4" w:space="0"/>
          <w:bottom w:val="single" w:color="D99695" w:sz="4" w:space="0"/>
          <w:right w:val="single" w:color="D99695" w:sz="4" w:space="0"/>
        </w:tcBorders>
        <w:shd w:val="clear" w:color="D99695" w:fill="D99695"/>
      </w:tcPr>
    </w:tblStylePr>
    <w:tblStylePr w:type="lastRow">
      <w:rPr>
        <w:b/>
        <w:color w:val="404040"/>
      </w:rPr>
      <w:tcPr>
        <w:tcBorders>
          <w:top w:val="single" w:color="D99695"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F2DCDC" w:fill="F2DCDC"/>
      </w:tcPr>
    </w:tblStylePr>
    <w:tblStylePr w:type="band1Horz">
      <w:rPr>
        <w:rFonts w:ascii="Arial" w:hAnsi="Arial"/>
        <w:color w:val="404040"/>
        <w:sz w:val="22"/>
      </w:rPr>
      <w:tcPr>
        <w:shd w:val="clear" w:color="F2DCDC" w:fill="F2DCDC"/>
      </w:tcPr>
    </w:tblStylePr>
  </w:style>
  <w:style w:type="table" w:customStyle="1" w:styleId="1381">
    <w:name w:val="Grid Table 4 - Accent 36"/>
    <w:basedOn w:val="13"/>
    <w:uiPriority w:val="59"/>
    <w:rPr>
      <w:sz w:val="22"/>
      <w:szCs w:val="22"/>
      <w:lang w:eastAsia="en-US"/>
    </w:rPr>
    <w:tblPr>
      <w:tblBorders>
        <w:top w:val="single" w:color="C6D8A1" w:sz="4" w:space="0"/>
        <w:left w:val="single" w:color="C6D8A1" w:sz="4" w:space="0"/>
        <w:bottom w:val="single" w:color="C6D8A1" w:sz="4" w:space="0"/>
        <w:right w:val="single" w:color="C6D8A1" w:sz="4" w:space="0"/>
        <w:insideH w:val="single" w:color="C6D8A1" w:sz="4" w:space="0"/>
        <w:insideV w:val="single" w:color="C6D8A1" w:sz="4" w:space="0"/>
      </w:tblBorders>
      <w:tblCellMar>
        <w:top w:w="0" w:type="dxa"/>
        <w:left w:w="108" w:type="dxa"/>
        <w:bottom w:w="0" w:type="dxa"/>
        <w:right w:w="108" w:type="dxa"/>
      </w:tblCellMar>
    </w:tblPr>
    <w:tblStylePr w:type="firstRow">
      <w:rPr>
        <w:rFonts w:ascii="Arial" w:hAnsi="Arial"/>
        <w:b/>
        <w:color w:val="FFFFFF"/>
        <w:sz w:val="22"/>
      </w:rPr>
      <w:tcPr>
        <w:tcBorders>
          <w:top w:val="single" w:color="9ABB59" w:sz="4" w:space="0"/>
          <w:left w:val="single" w:color="9ABB59" w:sz="4" w:space="0"/>
          <w:bottom w:val="single" w:color="9ABB59" w:sz="4" w:space="0"/>
          <w:right w:val="single" w:color="9ABB59" w:sz="4" w:space="0"/>
        </w:tcBorders>
        <w:shd w:val="clear" w:color="9ABB59" w:fill="9ABB59"/>
      </w:tcPr>
    </w:tblStylePr>
    <w:tblStylePr w:type="lastRow">
      <w:rPr>
        <w:b/>
        <w:color w:val="404040"/>
      </w:rPr>
      <w:tcPr>
        <w:tcBorders>
          <w:top w:val="single" w:color="9ABB59"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EAF1DC" w:fill="EAF1DC"/>
      </w:tcPr>
    </w:tblStylePr>
    <w:tblStylePr w:type="band1Horz">
      <w:rPr>
        <w:rFonts w:ascii="Arial" w:hAnsi="Arial"/>
        <w:color w:val="404040"/>
        <w:sz w:val="22"/>
      </w:rPr>
      <w:tcPr>
        <w:shd w:val="clear" w:color="EAF1DC" w:fill="EAF1DC"/>
      </w:tcPr>
    </w:tblStylePr>
  </w:style>
  <w:style w:type="table" w:customStyle="1" w:styleId="1382">
    <w:name w:val="Grid Table 4 - Accent 46"/>
    <w:basedOn w:val="13"/>
    <w:uiPriority w:val="59"/>
    <w:rPr>
      <w:sz w:val="22"/>
      <w:szCs w:val="22"/>
      <w:lang w:eastAsia="en-US"/>
    </w:rPr>
    <w:tblPr>
      <w:tblBorders>
        <w:top w:val="single" w:color="B7A7CA" w:sz="4" w:space="0"/>
        <w:left w:val="single" w:color="B7A7CA" w:sz="4" w:space="0"/>
        <w:bottom w:val="single" w:color="B7A7CA" w:sz="4" w:space="0"/>
        <w:right w:val="single" w:color="B7A7CA" w:sz="4" w:space="0"/>
        <w:insideH w:val="single" w:color="B7A7CA" w:sz="4" w:space="0"/>
        <w:insideV w:val="single" w:color="B7A7CA" w:sz="4" w:space="0"/>
      </w:tblBorders>
      <w:tblCellMar>
        <w:top w:w="0" w:type="dxa"/>
        <w:left w:w="108" w:type="dxa"/>
        <w:bottom w:w="0" w:type="dxa"/>
        <w:right w:w="108" w:type="dxa"/>
      </w:tblCellMar>
    </w:tblPr>
    <w:tblStylePr w:type="firstRow">
      <w:rPr>
        <w:rFonts w:ascii="Arial" w:hAnsi="Arial"/>
        <w:b/>
        <w:color w:val="FFFFFF"/>
        <w:sz w:val="22"/>
      </w:rPr>
      <w:tcPr>
        <w:tcBorders>
          <w:top w:val="single" w:color="B2A1C6" w:sz="4" w:space="0"/>
          <w:left w:val="single" w:color="B2A1C6" w:sz="4" w:space="0"/>
          <w:bottom w:val="single" w:color="B2A1C6" w:sz="4" w:space="0"/>
          <w:right w:val="single" w:color="B2A1C6" w:sz="4" w:space="0"/>
        </w:tcBorders>
        <w:shd w:val="clear" w:color="B2A1C6" w:fill="B2A1C6"/>
      </w:tcPr>
    </w:tblStylePr>
    <w:tblStylePr w:type="lastRow">
      <w:rPr>
        <w:b/>
        <w:color w:val="404040"/>
      </w:rPr>
      <w:tcPr>
        <w:tcBorders>
          <w:top w:val="single" w:color="B2A1C6"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E5DFEC" w:fill="E5DFEC"/>
      </w:tcPr>
    </w:tblStylePr>
    <w:tblStylePr w:type="band1Horz">
      <w:rPr>
        <w:rFonts w:ascii="Arial" w:hAnsi="Arial"/>
        <w:color w:val="404040"/>
        <w:sz w:val="22"/>
      </w:rPr>
      <w:tcPr>
        <w:shd w:val="clear" w:color="E5DFEC" w:fill="E5DFEC"/>
      </w:tcPr>
    </w:tblStylePr>
  </w:style>
  <w:style w:type="table" w:customStyle="1" w:styleId="1383">
    <w:name w:val="Grid Table 4 - Accent 56"/>
    <w:basedOn w:val="13"/>
    <w:uiPriority w:val="59"/>
    <w:rPr>
      <w:sz w:val="22"/>
      <w:szCs w:val="22"/>
      <w:lang w:eastAsia="en-US"/>
    </w:rPr>
    <w:tblPr>
      <w:tblBorders>
        <w:top w:val="single" w:color="99D0DE" w:sz="4" w:space="0"/>
        <w:left w:val="single" w:color="99D0DE" w:sz="4" w:space="0"/>
        <w:bottom w:val="single" w:color="99D0DE" w:sz="4" w:space="0"/>
        <w:right w:val="single" w:color="99D0DE" w:sz="4" w:space="0"/>
        <w:insideH w:val="single" w:color="99D0DE" w:sz="4" w:space="0"/>
        <w:insideV w:val="single" w:color="99D0DE" w:sz="4" w:space="0"/>
      </w:tblBorders>
      <w:tblCellMar>
        <w:top w:w="0" w:type="dxa"/>
        <w:left w:w="108" w:type="dxa"/>
        <w:bottom w:w="0" w:type="dxa"/>
        <w:right w:w="108" w:type="dxa"/>
      </w:tblCellMar>
    </w:tblPr>
    <w:tblStylePr w:type="firstRow">
      <w:rPr>
        <w:rFonts w:ascii="Arial" w:hAnsi="Arial"/>
        <w:b/>
        <w:color w:val="FFFFFF"/>
        <w:sz w:val="22"/>
      </w:rPr>
      <w:tcPr>
        <w:tcBorders>
          <w:top w:val="single" w:color="4BACC6" w:sz="4" w:space="0"/>
          <w:left w:val="single" w:color="4BACC6" w:sz="4" w:space="0"/>
          <w:bottom w:val="single" w:color="4BACC6" w:sz="4" w:space="0"/>
          <w:right w:val="single" w:color="4BACC6" w:sz="4" w:space="0"/>
        </w:tcBorders>
        <w:shd w:val="clear" w:color="4BACC6" w:fill="4BACC6"/>
      </w:tcPr>
    </w:tblStylePr>
    <w:tblStylePr w:type="lastRow">
      <w:rPr>
        <w:b/>
        <w:color w:val="404040"/>
      </w:rPr>
      <w:tcPr>
        <w:tcBorders>
          <w:top w:val="single" w:color="4BACC6"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DAEEF3" w:fill="DAEEF3"/>
      </w:tcPr>
    </w:tblStylePr>
    <w:tblStylePr w:type="band1Horz">
      <w:rPr>
        <w:rFonts w:ascii="Arial" w:hAnsi="Arial"/>
        <w:color w:val="404040"/>
        <w:sz w:val="22"/>
      </w:rPr>
      <w:tcPr>
        <w:shd w:val="clear" w:color="DAEEF3" w:fill="DAEEF3"/>
      </w:tcPr>
    </w:tblStylePr>
  </w:style>
  <w:style w:type="table" w:customStyle="1" w:styleId="1384">
    <w:name w:val="Grid Table 4 - Accent 66"/>
    <w:basedOn w:val="13"/>
    <w:uiPriority w:val="59"/>
    <w:rPr>
      <w:sz w:val="22"/>
      <w:szCs w:val="22"/>
      <w:lang w:eastAsia="en-US"/>
    </w:rPr>
    <w:tblPr>
      <w:tblBorders>
        <w:top w:val="single" w:color="FAC396" w:sz="4" w:space="0"/>
        <w:left w:val="single" w:color="FAC396" w:sz="4" w:space="0"/>
        <w:bottom w:val="single" w:color="FAC396" w:sz="4" w:space="0"/>
        <w:right w:val="single" w:color="FAC396" w:sz="4" w:space="0"/>
        <w:insideH w:val="single" w:color="FAC396" w:sz="4" w:space="0"/>
        <w:insideV w:val="single" w:color="FAC396" w:sz="4" w:space="0"/>
      </w:tblBorders>
      <w:tblCellMar>
        <w:top w:w="0" w:type="dxa"/>
        <w:left w:w="108" w:type="dxa"/>
        <w:bottom w:w="0" w:type="dxa"/>
        <w:right w:w="108" w:type="dxa"/>
      </w:tblCellMar>
    </w:tblPr>
    <w:tblStylePr w:type="firstRow">
      <w:rPr>
        <w:rFonts w:ascii="Arial" w:hAnsi="Arial"/>
        <w:b/>
        <w:color w:val="FFFFFF"/>
        <w:sz w:val="22"/>
      </w:rPr>
      <w:tcPr>
        <w:tcBorders>
          <w:top w:val="single" w:color="F79646" w:sz="4" w:space="0"/>
          <w:left w:val="single" w:color="F79646" w:sz="4" w:space="0"/>
          <w:bottom w:val="single" w:color="F79646" w:sz="4" w:space="0"/>
          <w:right w:val="single" w:color="F79646" w:sz="4" w:space="0"/>
        </w:tcBorders>
        <w:shd w:val="clear" w:color="F79646" w:fill="F79646"/>
      </w:tcPr>
    </w:tblStylePr>
    <w:tblStylePr w:type="lastRow">
      <w:rPr>
        <w:b/>
        <w:color w:val="404040"/>
      </w:rPr>
      <w:tcPr>
        <w:tcBorders>
          <w:top w:val="single" w:color="F79646"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FDE9D8" w:fill="FDE9D8"/>
      </w:tcPr>
    </w:tblStylePr>
    <w:tblStylePr w:type="band1Horz">
      <w:rPr>
        <w:rFonts w:ascii="Arial" w:hAnsi="Arial"/>
        <w:color w:val="404040"/>
        <w:sz w:val="22"/>
      </w:rPr>
      <w:tcPr>
        <w:shd w:val="clear" w:color="FDE9D8" w:fill="FDE9D8"/>
      </w:tcPr>
    </w:tblStylePr>
  </w:style>
  <w:style w:type="table" w:customStyle="1" w:styleId="1385">
    <w:name w:val="Таблица-сетка 5 темная14"/>
    <w:basedOn w:val="13"/>
    <w:uiPriority w:val="99"/>
    <w:rPr>
      <w:sz w:val="22"/>
      <w:szCs w:val="22"/>
      <w:lang w:eastAsia="en-US"/>
    </w:rPr>
    <w:tblPr>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CellMar>
        <w:top w:w="0" w:type="dxa"/>
        <w:left w:w="108" w:type="dxa"/>
        <w:bottom w:w="0" w:type="dxa"/>
        <w:right w:w="108" w:type="dxa"/>
      </w:tblCellMar>
    </w:tblPr>
    <w:tblStylePr w:type="firstRow">
      <w:rPr>
        <w:rFonts w:ascii="Arial" w:hAnsi="Arial"/>
        <w:b/>
        <w:color w:val="FFFFFF"/>
        <w:sz w:val="22"/>
      </w:rPr>
      <w:tcPr>
        <w:shd w:val="clear" w:color="000000" w:fill="000000"/>
      </w:tcPr>
    </w:tblStylePr>
    <w:tblStylePr w:type="lastRow">
      <w:rPr>
        <w:rFonts w:ascii="Arial" w:hAnsi="Arial"/>
        <w:b/>
        <w:color w:val="FFFFFF"/>
        <w:sz w:val="22"/>
      </w:rPr>
      <w:tcPr>
        <w:tcBorders>
          <w:top w:val="single" w:color="FFFFFF" w:sz="4" w:space="0"/>
        </w:tcBorders>
        <w:shd w:val="clear" w:color="000000" w:fill="000000"/>
      </w:tcPr>
    </w:tblStylePr>
    <w:tblStylePr w:type="firstCol">
      <w:rPr>
        <w:rFonts w:ascii="Arial" w:hAnsi="Arial"/>
        <w:b/>
        <w:color w:val="FFFFFF"/>
        <w:sz w:val="22"/>
      </w:rPr>
      <w:tcPr>
        <w:shd w:val="clear" w:color="000000" w:fill="000000"/>
      </w:tcPr>
    </w:tblStylePr>
    <w:tblStylePr w:type="lastCol">
      <w:rPr>
        <w:rFonts w:ascii="Arial" w:hAnsi="Arial"/>
        <w:b/>
        <w:color w:val="FFFFFF"/>
        <w:sz w:val="22"/>
      </w:rPr>
      <w:tcPr>
        <w:shd w:val="clear" w:color="000000" w:fill="000000"/>
      </w:tcPr>
    </w:tblStylePr>
    <w:tblStylePr w:type="band1Vert">
      <w:tcPr>
        <w:shd w:val="clear" w:color="8A8A8A" w:fill="8A8A8A"/>
      </w:tcPr>
    </w:tblStylePr>
    <w:tblStylePr w:type="band1Horz">
      <w:tcPr>
        <w:shd w:val="clear" w:color="8A8A8A" w:fill="8A8A8A"/>
      </w:tcPr>
    </w:tblStylePr>
  </w:style>
  <w:style w:type="table" w:customStyle="1" w:styleId="1386">
    <w:name w:val="Grid Table 5 Dark- Accent 16"/>
    <w:basedOn w:val="13"/>
    <w:uiPriority w:val="99"/>
    <w:rPr>
      <w:sz w:val="22"/>
      <w:szCs w:val="22"/>
      <w:lang w:eastAsia="en-US"/>
    </w:rPr>
    <w:tblPr>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CellMar>
        <w:top w:w="0" w:type="dxa"/>
        <w:left w:w="108" w:type="dxa"/>
        <w:bottom w:w="0" w:type="dxa"/>
        <w:right w:w="108" w:type="dxa"/>
      </w:tblCellMar>
    </w:tblPr>
    <w:tblStylePr w:type="firstRow">
      <w:rPr>
        <w:rFonts w:ascii="Arial" w:hAnsi="Arial"/>
        <w:b/>
        <w:color w:val="FFFFFF"/>
        <w:sz w:val="22"/>
      </w:rPr>
      <w:tcPr>
        <w:shd w:val="clear" w:color="4F81BD" w:fill="4F81BD"/>
      </w:tcPr>
    </w:tblStylePr>
    <w:tblStylePr w:type="lastRow">
      <w:rPr>
        <w:rFonts w:ascii="Arial" w:hAnsi="Arial"/>
        <w:b/>
        <w:color w:val="FFFFFF"/>
        <w:sz w:val="22"/>
      </w:rPr>
      <w:tcPr>
        <w:tcBorders>
          <w:top w:val="single" w:color="FFFFFF" w:sz="4" w:space="0"/>
        </w:tcBorders>
        <w:shd w:val="clear" w:color="4F81BD" w:fill="4F81BD"/>
      </w:tcPr>
    </w:tblStylePr>
    <w:tblStylePr w:type="firstCol">
      <w:rPr>
        <w:rFonts w:ascii="Arial" w:hAnsi="Arial"/>
        <w:b/>
        <w:color w:val="FFFFFF"/>
        <w:sz w:val="22"/>
      </w:rPr>
      <w:tcPr>
        <w:shd w:val="clear" w:color="4F81BD" w:fill="4F81BD"/>
      </w:tcPr>
    </w:tblStylePr>
    <w:tblStylePr w:type="lastCol">
      <w:rPr>
        <w:rFonts w:ascii="Arial" w:hAnsi="Arial"/>
        <w:b/>
        <w:color w:val="FFFFFF"/>
        <w:sz w:val="22"/>
      </w:rPr>
      <w:tcPr>
        <w:shd w:val="clear" w:color="4F81BD" w:fill="4F81BD"/>
      </w:tcPr>
    </w:tblStylePr>
    <w:tblStylePr w:type="band1Vert">
      <w:tcPr>
        <w:shd w:val="clear" w:color="AEC4E0" w:fill="AEC4E0"/>
      </w:tcPr>
    </w:tblStylePr>
    <w:tblStylePr w:type="band1Horz">
      <w:tcPr>
        <w:shd w:val="clear" w:color="AEC4E0" w:fill="AEC4E0"/>
      </w:tcPr>
    </w:tblStylePr>
  </w:style>
  <w:style w:type="table" w:customStyle="1" w:styleId="1387">
    <w:name w:val="Grid Table 5 Dark - Accent 26"/>
    <w:basedOn w:val="13"/>
    <w:uiPriority w:val="99"/>
    <w:rPr>
      <w:sz w:val="22"/>
      <w:szCs w:val="22"/>
      <w:lang w:eastAsia="en-US"/>
    </w:rPr>
    <w:tblPr>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CellMar>
        <w:top w:w="0" w:type="dxa"/>
        <w:left w:w="108" w:type="dxa"/>
        <w:bottom w:w="0" w:type="dxa"/>
        <w:right w:w="108" w:type="dxa"/>
      </w:tblCellMar>
    </w:tblPr>
    <w:tblStylePr w:type="firstRow">
      <w:rPr>
        <w:rFonts w:ascii="Arial" w:hAnsi="Arial"/>
        <w:b/>
        <w:color w:val="FFFFFF"/>
        <w:sz w:val="22"/>
      </w:rPr>
      <w:tcPr>
        <w:shd w:val="clear" w:color="C0504D" w:fill="C0504D"/>
      </w:tcPr>
    </w:tblStylePr>
    <w:tblStylePr w:type="lastRow">
      <w:rPr>
        <w:rFonts w:ascii="Arial" w:hAnsi="Arial"/>
        <w:b/>
        <w:color w:val="FFFFFF"/>
        <w:sz w:val="22"/>
      </w:rPr>
      <w:tcPr>
        <w:tcBorders>
          <w:top w:val="single" w:color="FFFFFF" w:sz="4" w:space="0"/>
        </w:tcBorders>
        <w:shd w:val="clear" w:color="C0504D" w:fill="C0504D"/>
      </w:tcPr>
    </w:tblStylePr>
    <w:tblStylePr w:type="firstCol">
      <w:rPr>
        <w:rFonts w:ascii="Arial" w:hAnsi="Arial"/>
        <w:b/>
        <w:color w:val="FFFFFF"/>
        <w:sz w:val="22"/>
      </w:rPr>
      <w:tcPr>
        <w:shd w:val="clear" w:color="C0504D" w:fill="C0504D"/>
      </w:tcPr>
    </w:tblStylePr>
    <w:tblStylePr w:type="lastCol">
      <w:rPr>
        <w:rFonts w:ascii="Arial" w:hAnsi="Arial"/>
        <w:b/>
        <w:color w:val="FFFFFF"/>
        <w:sz w:val="22"/>
      </w:rPr>
      <w:tcPr>
        <w:shd w:val="clear" w:color="C0504D" w:fill="C0504D"/>
      </w:tcPr>
    </w:tblStylePr>
    <w:tblStylePr w:type="band1Vert">
      <w:tcPr>
        <w:shd w:val="clear" w:color="E2AEAD" w:fill="E2AEAD"/>
      </w:tcPr>
    </w:tblStylePr>
    <w:tblStylePr w:type="band1Horz">
      <w:tcPr>
        <w:shd w:val="clear" w:color="E2AEAD" w:fill="E2AEAD"/>
      </w:tcPr>
    </w:tblStylePr>
  </w:style>
  <w:style w:type="table" w:customStyle="1" w:styleId="1388">
    <w:name w:val="Grid Table 5 Dark - Accent 36"/>
    <w:basedOn w:val="13"/>
    <w:uiPriority w:val="99"/>
    <w:rPr>
      <w:sz w:val="22"/>
      <w:szCs w:val="22"/>
      <w:lang w:eastAsia="en-US"/>
    </w:rPr>
    <w:tblPr>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CellMar>
        <w:top w:w="0" w:type="dxa"/>
        <w:left w:w="108" w:type="dxa"/>
        <w:bottom w:w="0" w:type="dxa"/>
        <w:right w:w="108" w:type="dxa"/>
      </w:tblCellMar>
    </w:tblPr>
    <w:tblStylePr w:type="firstRow">
      <w:rPr>
        <w:rFonts w:ascii="Arial" w:hAnsi="Arial"/>
        <w:b/>
        <w:color w:val="FFFFFF"/>
        <w:sz w:val="22"/>
      </w:rPr>
      <w:tcPr>
        <w:shd w:val="clear" w:color="9BBB59" w:fill="9BBB59"/>
      </w:tcPr>
    </w:tblStylePr>
    <w:tblStylePr w:type="lastRow">
      <w:rPr>
        <w:rFonts w:ascii="Arial" w:hAnsi="Arial"/>
        <w:b/>
        <w:color w:val="FFFFFF"/>
        <w:sz w:val="22"/>
      </w:rPr>
      <w:tcPr>
        <w:tcBorders>
          <w:top w:val="single" w:color="FFFFFF" w:sz="4" w:space="0"/>
        </w:tcBorders>
        <w:shd w:val="clear" w:color="9BBB59" w:fill="9BBB59"/>
      </w:tcPr>
    </w:tblStylePr>
    <w:tblStylePr w:type="firstCol">
      <w:rPr>
        <w:rFonts w:ascii="Arial" w:hAnsi="Arial"/>
        <w:b/>
        <w:color w:val="FFFFFF"/>
        <w:sz w:val="22"/>
      </w:rPr>
      <w:tcPr>
        <w:shd w:val="clear" w:color="9BBB59" w:fill="9BBB59"/>
      </w:tcPr>
    </w:tblStylePr>
    <w:tblStylePr w:type="lastCol">
      <w:rPr>
        <w:rFonts w:ascii="Arial" w:hAnsi="Arial"/>
        <w:b/>
        <w:color w:val="FFFFFF"/>
        <w:sz w:val="22"/>
      </w:rPr>
      <w:tcPr>
        <w:shd w:val="clear" w:color="9BBB59" w:fill="9BBB59"/>
      </w:tcPr>
    </w:tblStylePr>
    <w:tblStylePr w:type="band1Vert">
      <w:tcPr>
        <w:shd w:val="clear" w:color="D0DFB2" w:fill="D0DFB2"/>
      </w:tcPr>
    </w:tblStylePr>
    <w:tblStylePr w:type="band1Horz">
      <w:tcPr>
        <w:shd w:val="clear" w:color="D0DFB2" w:fill="D0DFB2"/>
      </w:tcPr>
    </w:tblStylePr>
  </w:style>
  <w:style w:type="table" w:customStyle="1" w:styleId="1389">
    <w:name w:val="Grid Table 5 Dark- Accent 46"/>
    <w:basedOn w:val="13"/>
    <w:uiPriority w:val="99"/>
    <w:rPr>
      <w:sz w:val="22"/>
      <w:szCs w:val="22"/>
      <w:lang w:eastAsia="en-US"/>
    </w:rPr>
    <w:tblPr>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CellMar>
        <w:top w:w="0" w:type="dxa"/>
        <w:left w:w="108" w:type="dxa"/>
        <w:bottom w:w="0" w:type="dxa"/>
        <w:right w:w="108" w:type="dxa"/>
      </w:tblCellMar>
    </w:tblPr>
    <w:tblStylePr w:type="firstRow">
      <w:rPr>
        <w:rFonts w:ascii="Arial" w:hAnsi="Arial"/>
        <w:b/>
        <w:color w:val="FFFFFF"/>
        <w:sz w:val="22"/>
      </w:rPr>
      <w:tcPr>
        <w:shd w:val="clear" w:color="8064A2" w:fill="8064A2"/>
      </w:tcPr>
    </w:tblStylePr>
    <w:tblStylePr w:type="lastRow">
      <w:rPr>
        <w:rFonts w:ascii="Arial" w:hAnsi="Arial"/>
        <w:b/>
        <w:color w:val="FFFFFF"/>
        <w:sz w:val="22"/>
      </w:rPr>
      <w:tcPr>
        <w:tcBorders>
          <w:top w:val="single" w:color="FFFFFF" w:sz="4" w:space="0"/>
        </w:tcBorders>
        <w:shd w:val="clear" w:color="8064A2" w:fill="8064A2"/>
      </w:tcPr>
    </w:tblStylePr>
    <w:tblStylePr w:type="firstCol">
      <w:rPr>
        <w:rFonts w:ascii="Arial" w:hAnsi="Arial"/>
        <w:b/>
        <w:color w:val="FFFFFF"/>
        <w:sz w:val="22"/>
      </w:rPr>
      <w:tcPr>
        <w:shd w:val="clear" w:color="8064A2" w:fill="8064A2"/>
      </w:tcPr>
    </w:tblStylePr>
    <w:tblStylePr w:type="lastCol">
      <w:rPr>
        <w:rFonts w:ascii="Arial" w:hAnsi="Arial"/>
        <w:b/>
        <w:color w:val="FFFFFF"/>
        <w:sz w:val="22"/>
      </w:rPr>
      <w:tcPr>
        <w:shd w:val="clear" w:color="8064A2" w:fill="8064A2"/>
      </w:tcPr>
    </w:tblStylePr>
    <w:tblStylePr w:type="band1Vert">
      <w:tcPr>
        <w:shd w:val="clear" w:color="C4B7D4" w:fill="C4B7D4"/>
      </w:tcPr>
    </w:tblStylePr>
    <w:tblStylePr w:type="band1Horz">
      <w:tcPr>
        <w:shd w:val="clear" w:color="C4B7D4" w:fill="C4B7D4"/>
      </w:tcPr>
    </w:tblStylePr>
  </w:style>
  <w:style w:type="table" w:customStyle="1" w:styleId="1390">
    <w:name w:val="Grid Table 5 Dark - Accent 56"/>
    <w:basedOn w:val="13"/>
    <w:uiPriority w:val="99"/>
    <w:rPr>
      <w:sz w:val="22"/>
      <w:szCs w:val="22"/>
      <w:lang w:eastAsia="en-US"/>
    </w:rPr>
    <w:tblPr>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CellMar>
        <w:top w:w="0" w:type="dxa"/>
        <w:left w:w="108" w:type="dxa"/>
        <w:bottom w:w="0" w:type="dxa"/>
        <w:right w:w="108" w:type="dxa"/>
      </w:tblCellMar>
    </w:tblPr>
    <w:tblStylePr w:type="firstRow">
      <w:rPr>
        <w:rFonts w:ascii="Arial" w:hAnsi="Arial"/>
        <w:b/>
        <w:color w:val="FFFFFF"/>
        <w:sz w:val="22"/>
      </w:rPr>
      <w:tcPr>
        <w:shd w:val="clear" w:color="4BACC6" w:fill="4BACC6"/>
      </w:tcPr>
    </w:tblStylePr>
    <w:tblStylePr w:type="lastRow">
      <w:rPr>
        <w:rFonts w:ascii="Arial" w:hAnsi="Arial"/>
        <w:b/>
        <w:color w:val="FFFFFF"/>
        <w:sz w:val="22"/>
      </w:rPr>
      <w:tcPr>
        <w:tcBorders>
          <w:top w:val="single" w:color="FFFFFF" w:sz="4" w:space="0"/>
        </w:tcBorders>
        <w:shd w:val="clear" w:color="4BACC6" w:fill="4BACC6"/>
      </w:tcPr>
    </w:tblStylePr>
    <w:tblStylePr w:type="firstCol">
      <w:rPr>
        <w:rFonts w:ascii="Arial" w:hAnsi="Arial"/>
        <w:b/>
        <w:color w:val="FFFFFF"/>
        <w:sz w:val="22"/>
      </w:rPr>
      <w:tcPr>
        <w:shd w:val="clear" w:color="4BACC6" w:fill="4BACC6"/>
      </w:tcPr>
    </w:tblStylePr>
    <w:tblStylePr w:type="lastCol">
      <w:rPr>
        <w:rFonts w:ascii="Arial" w:hAnsi="Arial"/>
        <w:b/>
        <w:color w:val="FFFFFF"/>
        <w:sz w:val="22"/>
      </w:rPr>
      <w:tcPr>
        <w:shd w:val="clear" w:color="4BACC6" w:fill="4BACC6"/>
      </w:tcPr>
    </w:tblStylePr>
    <w:tblStylePr w:type="band1Vert">
      <w:tcPr>
        <w:shd w:val="clear" w:color="ACD8E4" w:fill="ACD8E4"/>
      </w:tcPr>
    </w:tblStylePr>
    <w:tblStylePr w:type="band1Horz">
      <w:tcPr>
        <w:shd w:val="clear" w:color="ACD8E4" w:fill="ACD8E4"/>
      </w:tcPr>
    </w:tblStylePr>
  </w:style>
  <w:style w:type="table" w:customStyle="1" w:styleId="1391">
    <w:name w:val="Grid Table 5 Dark - Accent 66"/>
    <w:basedOn w:val="13"/>
    <w:uiPriority w:val="99"/>
    <w:rPr>
      <w:sz w:val="22"/>
      <w:szCs w:val="22"/>
      <w:lang w:eastAsia="en-US"/>
    </w:rPr>
    <w:tblPr>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CellMar>
        <w:top w:w="0" w:type="dxa"/>
        <w:left w:w="108" w:type="dxa"/>
        <w:bottom w:w="0" w:type="dxa"/>
        <w:right w:w="108" w:type="dxa"/>
      </w:tblCellMar>
    </w:tblPr>
    <w:tblStylePr w:type="firstRow">
      <w:rPr>
        <w:rFonts w:ascii="Arial" w:hAnsi="Arial"/>
        <w:b/>
        <w:color w:val="FFFFFF"/>
        <w:sz w:val="22"/>
      </w:rPr>
      <w:tcPr>
        <w:shd w:val="clear" w:color="F79646" w:fill="F79646"/>
      </w:tcPr>
    </w:tblStylePr>
    <w:tblStylePr w:type="lastRow">
      <w:rPr>
        <w:rFonts w:ascii="Arial" w:hAnsi="Arial"/>
        <w:b/>
        <w:color w:val="FFFFFF"/>
        <w:sz w:val="22"/>
      </w:rPr>
      <w:tcPr>
        <w:tcBorders>
          <w:top w:val="single" w:color="FFFFFF" w:sz="4" w:space="0"/>
        </w:tcBorders>
        <w:shd w:val="clear" w:color="F79646" w:fill="F79646"/>
      </w:tcPr>
    </w:tblStylePr>
    <w:tblStylePr w:type="firstCol">
      <w:rPr>
        <w:rFonts w:ascii="Arial" w:hAnsi="Arial"/>
        <w:b/>
        <w:color w:val="FFFFFF"/>
        <w:sz w:val="22"/>
      </w:rPr>
      <w:tcPr>
        <w:shd w:val="clear" w:color="F79646" w:fill="F79646"/>
      </w:tcPr>
    </w:tblStylePr>
    <w:tblStylePr w:type="lastCol">
      <w:rPr>
        <w:rFonts w:ascii="Arial" w:hAnsi="Arial"/>
        <w:b/>
        <w:color w:val="FFFFFF"/>
        <w:sz w:val="22"/>
      </w:rPr>
      <w:tcPr>
        <w:shd w:val="clear" w:color="F79646" w:fill="F79646"/>
      </w:tcPr>
    </w:tblStylePr>
    <w:tblStylePr w:type="band1Vert">
      <w:tcPr>
        <w:shd w:val="clear" w:color="FBCEAA" w:fill="FBCEAA"/>
      </w:tcPr>
    </w:tblStylePr>
    <w:tblStylePr w:type="band1Horz">
      <w:tcPr>
        <w:shd w:val="clear" w:color="FBCEAA" w:fill="FBCEAA"/>
      </w:tcPr>
    </w:tblStylePr>
  </w:style>
  <w:style w:type="table" w:customStyle="1" w:styleId="1392">
    <w:name w:val="Таблица-сетка 6 цветная14"/>
    <w:basedOn w:val="13"/>
    <w:uiPriority w:val="99"/>
    <w:rPr>
      <w:sz w:val="22"/>
      <w:szCs w:val="22"/>
      <w:lang w:eastAsia="en-US"/>
    </w:rPr>
    <w:tblPr>
      <w:tblBorders>
        <w:top w:val="single" w:color="7F7F7F" w:sz="4" w:space="0"/>
        <w:left w:val="single" w:color="7F7F7F" w:sz="4" w:space="0"/>
        <w:bottom w:val="single" w:color="7F7F7F" w:sz="4" w:space="0"/>
        <w:right w:val="single" w:color="7F7F7F" w:sz="4" w:space="0"/>
        <w:insideH w:val="single" w:color="7F7F7F" w:sz="4" w:space="0"/>
        <w:insideV w:val="single" w:color="7F7F7F" w:sz="4" w:space="0"/>
      </w:tblBorders>
      <w:tblCellMar>
        <w:top w:w="0" w:type="dxa"/>
        <w:left w:w="108" w:type="dxa"/>
        <w:bottom w:w="0" w:type="dxa"/>
        <w:right w:w="108" w:type="dxa"/>
      </w:tblCellMar>
    </w:tblPr>
    <w:tblStylePr w:type="firstRow">
      <w:rPr>
        <w:b/>
        <w:color w:val="7F7F7F"/>
      </w:rPr>
      <w:tcPr>
        <w:tcBorders>
          <w:bottom w:val="single" w:color="7F7F7F" w:sz="12" w:space="0"/>
        </w:tcBorders>
      </w:tcPr>
    </w:tblStylePr>
    <w:tblStylePr w:type="lastRow">
      <w:rPr>
        <w:b/>
        <w:color w:val="7F7F7F"/>
      </w:rPr>
    </w:tblStylePr>
    <w:tblStylePr w:type="firstCol">
      <w:rPr>
        <w:b/>
        <w:color w:val="7F7F7F"/>
      </w:rPr>
    </w:tblStylePr>
    <w:tblStylePr w:type="lastCol">
      <w:rPr>
        <w:b/>
        <w:color w:val="7F7F7F"/>
      </w:rPr>
    </w:tblStylePr>
    <w:tblStylePr w:type="band1Vert">
      <w:tcPr>
        <w:shd w:val="clear" w:color="CBCBCB" w:fill="CBCBCB"/>
      </w:tcPr>
    </w:tblStylePr>
    <w:tblStylePr w:type="band1Horz">
      <w:rPr>
        <w:rFonts w:ascii="Arial" w:hAnsi="Arial"/>
        <w:color w:val="7F7F7F"/>
        <w:sz w:val="22"/>
      </w:rPr>
      <w:tcPr>
        <w:shd w:val="clear" w:color="CBCBCB" w:fill="CBCBCB"/>
      </w:tcPr>
    </w:tblStylePr>
    <w:tblStylePr w:type="band2Horz">
      <w:rPr>
        <w:rFonts w:ascii="Arial" w:hAnsi="Arial"/>
        <w:color w:val="7F7F7F"/>
        <w:sz w:val="22"/>
      </w:rPr>
    </w:tblStylePr>
  </w:style>
  <w:style w:type="table" w:customStyle="1" w:styleId="1393">
    <w:name w:val="Grid Table 6 Colorful - Accent 16"/>
    <w:basedOn w:val="13"/>
    <w:uiPriority w:val="99"/>
    <w:rPr>
      <w:sz w:val="22"/>
      <w:szCs w:val="22"/>
      <w:lang w:eastAsia="en-US"/>
    </w:rPr>
    <w:tblPr>
      <w:tblBorders>
        <w:top w:val="single" w:color="A6BFDD" w:sz="4" w:space="0"/>
        <w:left w:val="single" w:color="A6BFDD" w:sz="4" w:space="0"/>
        <w:bottom w:val="single" w:color="A6BFDD" w:sz="4" w:space="0"/>
        <w:right w:val="single" w:color="A6BFDD" w:sz="4" w:space="0"/>
        <w:insideH w:val="single" w:color="A6BFDD" w:sz="4" w:space="0"/>
        <w:insideV w:val="single" w:color="A6BFDD" w:sz="4" w:space="0"/>
      </w:tblBorders>
      <w:tblCellMar>
        <w:top w:w="0" w:type="dxa"/>
        <w:left w:w="108" w:type="dxa"/>
        <w:bottom w:w="0" w:type="dxa"/>
        <w:right w:w="108" w:type="dxa"/>
      </w:tblCellMar>
    </w:tblPr>
    <w:tblStylePr w:type="firstRow">
      <w:rPr>
        <w:b/>
        <w:color w:val="A6BFDD"/>
      </w:rPr>
      <w:tcPr>
        <w:tcBorders>
          <w:bottom w:val="single" w:color="A6BFDD" w:sz="12" w:space="0"/>
        </w:tcBorders>
      </w:tcPr>
    </w:tblStylePr>
    <w:tblStylePr w:type="lastRow">
      <w:rPr>
        <w:b/>
        <w:color w:val="A6BFDD"/>
      </w:rPr>
    </w:tblStylePr>
    <w:tblStylePr w:type="firstCol">
      <w:rPr>
        <w:b/>
        <w:color w:val="A6BFDD"/>
      </w:rPr>
    </w:tblStylePr>
    <w:tblStylePr w:type="lastCol">
      <w:rPr>
        <w:b/>
        <w:color w:val="A6BFDD"/>
      </w:rPr>
    </w:tblStylePr>
    <w:tblStylePr w:type="band1Vert">
      <w:tcPr>
        <w:shd w:val="clear" w:color="DAE5F1" w:fill="DAE5F1"/>
      </w:tcPr>
    </w:tblStylePr>
    <w:tblStylePr w:type="band1Horz">
      <w:rPr>
        <w:rFonts w:ascii="Arial" w:hAnsi="Arial"/>
        <w:color w:val="A6BFDD"/>
        <w:sz w:val="22"/>
      </w:rPr>
      <w:tcPr>
        <w:shd w:val="clear" w:color="DAE5F1" w:fill="DAE5F1"/>
      </w:tcPr>
    </w:tblStylePr>
    <w:tblStylePr w:type="band2Horz">
      <w:rPr>
        <w:rFonts w:ascii="Arial" w:hAnsi="Arial"/>
        <w:color w:val="A6BFDD"/>
        <w:sz w:val="22"/>
      </w:rPr>
    </w:tblStylePr>
  </w:style>
  <w:style w:type="table" w:customStyle="1" w:styleId="1394">
    <w:name w:val="Grid Table 6 Colorful - Accent 26"/>
    <w:basedOn w:val="13"/>
    <w:uiPriority w:val="99"/>
    <w:rPr>
      <w:sz w:val="22"/>
      <w:szCs w:val="22"/>
      <w:lang w:eastAsia="en-US"/>
    </w:rPr>
    <w:tblPr>
      <w:tblBorders>
        <w:top w:val="single" w:color="D99695" w:sz="4" w:space="0"/>
        <w:left w:val="single" w:color="D99695" w:sz="4" w:space="0"/>
        <w:bottom w:val="single" w:color="D99695" w:sz="4" w:space="0"/>
        <w:right w:val="single" w:color="D99695" w:sz="4" w:space="0"/>
        <w:insideH w:val="single" w:color="D99695" w:sz="4" w:space="0"/>
        <w:insideV w:val="single" w:color="D99695" w:sz="4" w:space="0"/>
      </w:tblBorders>
      <w:tblCellMar>
        <w:top w:w="0" w:type="dxa"/>
        <w:left w:w="108" w:type="dxa"/>
        <w:bottom w:w="0" w:type="dxa"/>
        <w:right w:w="108" w:type="dxa"/>
      </w:tblCellMar>
    </w:tblPr>
    <w:tblStylePr w:type="firstRow">
      <w:rPr>
        <w:b/>
        <w:color w:val="D99695"/>
      </w:rPr>
      <w:tcPr>
        <w:tcBorders>
          <w:bottom w:val="single" w:color="D99695" w:sz="12" w:space="0"/>
        </w:tcBorders>
      </w:tcPr>
    </w:tblStylePr>
    <w:tblStylePr w:type="lastRow">
      <w:rPr>
        <w:b/>
        <w:color w:val="D99695"/>
      </w:rPr>
    </w:tblStylePr>
    <w:tblStylePr w:type="firstCol">
      <w:rPr>
        <w:b/>
        <w:color w:val="D99695"/>
      </w:rPr>
    </w:tblStylePr>
    <w:tblStylePr w:type="lastCol">
      <w:rPr>
        <w:b/>
        <w:color w:val="D99695"/>
      </w:rPr>
    </w:tblStylePr>
    <w:tblStylePr w:type="band1Vert">
      <w:tcPr>
        <w:shd w:val="clear" w:color="F2DCDC" w:fill="F2DCDC"/>
      </w:tcPr>
    </w:tblStylePr>
    <w:tblStylePr w:type="band1Horz">
      <w:rPr>
        <w:rFonts w:ascii="Arial" w:hAnsi="Arial"/>
        <w:color w:val="D99695"/>
        <w:sz w:val="22"/>
      </w:rPr>
      <w:tcPr>
        <w:shd w:val="clear" w:color="F2DCDC" w:fill="F2DCDC"/>
      </w:tcPr>
    </w:tblStylePr>
    <w:tblStylePr w:type="band2Horz">
      <w:rPr>
        <w:rFonts w:ascii="Arial" w:hAnsi="Arial"/>
        <w:color w:val="D99695"/>
        <w:sz w:val="22"/>
      </w:rPr>
    </w:tblStylePr>
  </w:style>
  <w:style w:type="table" w:customStyle="1" w:styleId="1395">
    <w:name w:val="Grid Table 6 Colorful - Accent 36"/>
    <w:basedOn w:val="13"/>
    <w:uiPriority w:val="99"/>
    <w:rPr>
      <w:sz w:val="22"/>
      <w:szCs w:val="22"/>
      <w:lang w:eastAsia="en-US"/>
    </w:rPr>
    <w:tblPr>
      <w:tblBorders>
        <w:top w:val="single" w:color="9ABB59" w:sz="4" w:space="0"/>
        <w:left w:val="single" w:color="9ABB59" w:sz="4" w:space="0"/>
        <w:bottom w:val="single" w:color="9ABB59" w:sz="4" w:space="0"/>
        <w:right w:val="single" w:color="9ABB59" w:sz="4" w:space="0"/>
        <w:insideH w:val="single" w:color="9ABB59" w:sz="4" w:space="0"/>
        <w:insideV w:val="single" w:color="9ABB59" w:sz="4" w:space="0"/>
      </w:tblBorders>
      <w:tblCellMar>
        <w:top w:w="0" w:type="dxa"/>
        <w:left w:w="108" w:type="dxa"/>
        <w:bottom w:w="0" w:type="dxa"/>
        <w:right w:w="108" w:type="dxa"/>
      </w:tblCellMar>
    </w:tblPr>
    <w:tblStylePr w:type="firstRow">
      <w:rPr>
        <w:b/>
        <w:color w:val="9ABB59"/>
      </w:rPr>
      <w:tcPr>
        <w:tcBorders>
          <w:bottom w:val="single" w:color="9ABB59" w:sz="12" w:space="0"/>
        </w:tcBorders>
      </w:tcPr>
    </w:tblStylePr>
    <w:tblStylePr w:type="lastRow">
      <w:rPr>
        <w:b/>
        <w:color w:val="9ABB59"/>
      </w:rPr>
    </w:tblStylePr>
    <w:tblStylePr w:type="firstCol">
      <w:rPr>
        <w:b/>
        <w:color w:val="9ABB59"/>
      </w:rPr>
    </w:tblStylePr>
    <w:tblStylePr w:type="lastCol">
      <w:rPr>
        <w:b/>
        <w:color w:val="9ABB59"/>
      </w:rPr>
    </w:tblStylePr>
    <w:tblStylePr w:type="band1Vert">
      <w:tcPr>
        <w:shd w:val="clear" w:color="EAF1DC" w:fill="EAF1DC"/>
      </w:tcPr>
    </w:tblStylePr>
    <w:tblStylePr w:type="band1Horz">
      <w:rPr>
        <w:rFonts w:ascii="Arial" w:hAnsi="Arial"/>
        <w:color w:val="9ABB59"/>
        <w:sz w:val="22"/>
      </w:rPr>
      <w:tcPr>
        <w:shd w:val="clear" w:color="EAF1DC" w:fill="EAF1DC"/>
      </w:tcPr>
    </w:tblStylePr>
    <w:tblStylePr w:type="band2Horz">
      <w:rPr>
        <w:rFonts w:ascii="Arial" w:hAnsi="Arial"/>
        <w:color w:val="9ABB59"/>
        <w:sz w:val="22"/>
      </w:rPr>
    </w:tblStylePr>
  </w:style>
  <w:style w:type="table" w:customStyle="1" w:styleId="1396">
    <w:name w:val="Grid Table 6 Colorful - Accent 46"/>
    <w:basedOn w:val="13"/>
    <w:uiPriority w:val="99"/>
    <w:rPr>
      <w:sz w:val="22"/>
      <w:szCs w:val="22"/>
      <w:lang w:eastAsia="en-US"/>
    </w:rPr>
    <w:tblPr>
      <w:tblBorders>
        <w:top w:val="single" w:color="B2A1C6" w:sz="4" w:space="0"/>
        <w:left w:val="single" w:color="B2A1C6" w:sz="4" w:space="0"/>
        <w:bottom w:val="single" w:color="B2A1C6" w:sz="4" w:space="0"/>
        <w:right w:val="single" w:color="B2A1C6" w:sz="4" w:space="0"/>
        <w:insideH w:val="single" w:color="B2A1C6" w:sz="4" w:space="0"/>
        <w:insideV w:val="single" w:color="B2A1C6" w:sz="4" w:space="0"/>
      </w:tblBorders>
      <w:tblCellMar>
        <w:top w:w="0" w:type="dxa"/>
        <w:left w:w="108" w:type="dxa"/>
        <w:bottom w:w="0" w:type="dxa"/>
        <w:right w:w="108" w:type="dxa"/>
      </w:tblCellMar>
    </w:tblPr>
    <w:tblStylePr w:type="firstRow">
      <w:rPr>
        <w:b/>
        <w:color w:val="B2A1C6"/>
      </w:rPr>
      <w:tcPr>
        <w:tcBorders>
          <w:bottom w:val="single" w:color="B2A1C6" w:sz="12" w:space="0"/>
        </w:tcBorders>
      </w:tcPr>
    </w:tblStylePr>
    <w:tblStylePr w:type="lastRow">
      <w:rPr>
        <w:b/>
        <w:color w:val="B2A1C6"/>
      </w:rPr>
    </w:tblStylePr>
    <w:tblStylePr w:type="firstCol">
      <w:rPr>
        <w:b/>
        <w:color w:val="B2A1C6"/>
      </w:rPr>
    </w:tblStylePr>
    <w:tblStylePr w:type="lastCol">
      <w:rPr>
        <w:b/>
        <w:color w:val="B2A1C6"/>
      </w:rPr>
    </w:tblStylePr>
    <w:tblStylePr w:type="band1Vert">
      <w:tcPr>
        <w:shd w:val="clear" w:color="E5DFEC" w:fill="E5DFEC"/>
      </w:tcPr>
    </w:tblStylePr>
    <w:tblStylePr w:type="band1Horz">
      <w:rPr>
        <w:rFonts w:ascii="Arial" w:hAnsi="Arial"/>
        <w:color w:val="B2A1C6"/>
        <w:sz w:val="22"/>
      </w:rPr>
      <w:tcPr>
        <w:shd w:val="clear" w:color="E5DFEC" w:fill="E5DFEC"/>
      </w:tcPr>
    </w:tblStylePr>
    <w:tblStylePr w:type="band2Horz">
      <w:rPr>
        <w:rFonts w:ascii="Arial" w:hAnsi="Arial"/>
        <w:color w:val="B2A1C6"/>
        <w:sz w:val="22"/>
      </w:rPr>
    </w:tblStylePr>
  </w:style>
  <w:style w:type="table" w:customStyle="1" w:styleId="1397">
    <w:name w:val="Grid Table 6 Colorful - Accent 56"/>
    <w:basedOn w:val="13"/>
    <w:uiPriority w:val="99"/>
    <w:rPr>
      <w:sz w:val="22"/>
      <w:szCs w:val="22"/>
      <w:lang w:eastAsia="en-US"/>
    </w:rPr>
    <w:tblPr>
      <w:tblBorders>
        <w:top w:val="single" w:color="4BACC6" w:sz="4" w:space="0"/>
        <w:left w:val="single" w:color="4BACC6" w:sz="4" w:space="0"/>
        <w:bottom w:val="single" w:color="4BACC6" w:sz="4" w:space="0"/>
        <w:right w:val="single" w:color="4BACC6" w:sz="4" w:space="0"/>
        <w:insideH w:val="single" w:color="4BACC6" w:sz="4" w:space="0"/>
        <w:insideV w:val="single" w:color="4BACC6" w:sz="4" w:space="0"/>
      </w:tblBorders>
      <w:tblCellMar>
        <w:top w:w="0" w:type="dxa"/>
        <w:left w:w="108" w:type="dxa"/>
        <w:bottom w:w="0" w:type="dxa"/>
        <w:right w:w="108" w:type="dxa"/>
      </w:tblCellMar>
    </w:tblPr>
    <w:tblStylePr w:type="firstRow">
      <w:rPr>
        <w:b/>
        <w:color w:val="266779"/>
      </w:rPr>
      <w:tcPr>
        <w:tcBorders>
          <w:bottom w:val="single" w:color="4BACC6" w:sz="12" w:space="0"/>
        </w:tcBorders>
      </w:tcPr>
    </w:tblStylePr>
    <w:tblStylePr w:type="lastRow">
      <w:rPr>
        <w:b/>
        <w:color w:val="266779"/>
      </w:rPr>
    </w:tblStylePr>
    <w:tblStylePr w:type="firstCol">
      <w:rPr>
        <w:b/>
        <w:color w:val="266779"/>
      </w:rPr>
    </w:tblStylePr>
    <w:tblStylePr w:type="lastCol">
      <w:rPr>
        <w:b/>
        <w:color w:val="266779"/>
      </w:rPr>
    </w:tblStylePr>
    <w:tblStylePr w:type="band1Vert">
      <w:tcPr>
        <w:shd w:val="clear" w:color="DAEEF3" w:fill="DAEEF3"/>
      </w:tcPr>
    </w:tblStylePr>
    <w:tblStylePr w:type="band1Horz">
      <w:rPr>
        <w:rFonts w:ascii="Arial" w:hAnsi="Arial"/>
        <w:color w:val="266779"/>
        <w:sz w:val="22"/>
      </w:rPr>
      <w:tcPr>
        <w:shd w:val="clear" w:color="DAEEF3" w:fill="DAEEF3"/>
      </w:tcPr>
    </w:tblStylePr>
    <w:tblStylePr w:type="band2Horz">
      <w:rPr>
        <w:rFonts w:ascii="Arial" w:hAnsi="Arial"/>
        <w:color w:val="266779"/>
        <w:sz w:val="22"/>
      </w:rPr>
    </w:tblStylePr>
  </w:style>
  <w:style w:type="table" w:customStyle="1" w:styleId="1398">
    <w:name w:val="Grid Table 6 Colorful - Accent 66"/>
    <w:basedOn w:val="13"/>
    <w:uiPriority w:val="99"/>
    <w:rPr>
      <w:sz w:val="22"/>
      <w:szCs w:val="22"/>
      <w:lang w:eastAsia="en-US"/>
    </w:rPr>
    <w:tblPr>
      <w:tblBorders>
        <w:top w:val="single" w:color="F79646" w:sz="4" w:space="0"/>
        <w:left w:val="single" w:color="F79646" w:sz="4" w:space="0"/>
        <w:bottom w:val="single" w:color="F79646" w:sz="4" w:space="0"/>
        <w:right w:val="single" w:color="F79646" w:sz="4" w:space="0"/>
        <w:insideH w:val="single" w:color="F79646" w:sz="4" w:space="0"/>
        <w:insideV w:val="single" w:color="F79646" w:sz="4" w:space="0"/>
      </w:tblBorders>
      <w:tblCellMar>
        <w:top w:w="0" w:type="dxa"/>
        <w:left w:w="108" w:type="dxa"/>
        <w:bottom w:w="0" w:type="dxa"/>
        <w:right w:w="108" w:type="dxa"/>
      </w:tblCellMar>
    </w:tblPr>
    <w:tblStylePr w:type="firstRow">
      <w:rPr>
        <w:b/>
        <w:color w:val="266779"/>
      </w:rPr>
      <w:tcPr>
        <w:tcBorders>
          <w:bottom w:val="single" w:color="F79646" w:sz="12" w:space="0"/>
        </w:tcBorders>
      </w:tcPr>
    </w:tblStylePr>
    <w:tblStylePr w:type="lastRow">
      <w:rPr>
        <w:b/>
        <w:color w:val="266779"/>
      </w:rPr>
    </w:tblStylePr>
    <w:tblStylePr w:type="firstCol">
      <w:rPr>
        <w:b/>
        <w:color w:val="266779"/>
      </w:rPr>
    </w:tblStylePr>
    <w:tblStylePr w:type="lastCol">
      <w:rPr>
        <w:b/>
        <w:color w:val="266779"/>
      </w:rPr>
    </w:tblStylePr>
    <w:tblStylePr w:type="band1Vert">
      <w:tcPr>
        <w:shd w:val="clear" w:color="FDE9D8" w:fill="FDE9D8"/>
      </w:tcPr>
    </w:tblStylePr>
    <w:tblStylePr w:type="band1Horz">
      <w:rPr>
        <w:rFonts w:ascii="Arial" w:hAnsi="Arial"/>
        <w:color w:val="266779"/>
        <w:sz w:val="22"/>
      </w:rPr>
      <w:tcPr>
        <w:shd w:val="clear" w:color="FDE9D8" w:fill="FDE9D8"/>
      </w:tcPr>
    </w:tblStylePr>
    <w:tblStylePr w:type="band2Horz">
      <w:rPr>
        <w:rFonts w:ascii="Arial" w:hAnsi="Arial"/>
        <w:color w:val="266779"/>
        <w:sz w:val="22"/>
      </w:rPr>
    </w:tblStylePr>
  </w:style>
  <w:style w:type="table" w:customStyle="1" w:styleId="1399">
    <w:name w:val="Таблица-сетка 7 цветная14"/>
    <w:basedOn w:val="13"/>
    <w:uiPriority w:val="99"/>
    <w:rPr>
      <w:sz w:val="22"/>
      <w:szCs w:val="22"/>
      <w:lang w:eastAsia="en-US"/>
    </w:rPr>
    <w:tblPr>
      <w:tblBorders>
        <w:bottom w:val="single" w:color="7F7F7F" w:sz="4" w:space="0"/>
        <w:right w:val="single" w:color="7F7F7F" w:sz="4" w:space="0"/>
        <w:insideH w:val="single" w:color="7F7F7F" w:sz="4" w:space="0"/>
        <w:insideV w:val="single" w:color="7F7F7F" w:sz="4" w:space="0"/>
      </w:tblBorders>
      <w:tblCellMar>
        <w:top w:w="0" w:type="dxa"/>
        <w:left w:w="108" w:type="dxa"/>
        <w:bottom w:w="0" w:type="dxa"/>
        <w:right w:w="108" w:type="dxa"/>
      </w:tblCellMar>
    </w:tblPr>
    <w:tblStylePr w:type="firstRow">
      <w:rPr>
        <w:rFonts w:ascii="Arial" w:hAnsi="Arial"/>
        <w:b/>
        <w:color w:val="7F7F7F"/>
        <w:sz w:val="22"/>
      </w:rPr>
      <w:tcPr>
        <w:tcBorders>
          <w:top w:val="nil"/>
          <w:left w:val="nil"/>
          <w:bottom w:val="single" w:color="7F7F7F" w:sz="4" w:space="0"/>
          <w:right w:val="nil"/>
        </w:tcBorders>
        <w:shd w:val="clear" w:color="FFFFFF" w:fill="FFFFFF"/>
      </w:tcPr>
    </w:tblStylePr>
    <w:tblStylePr w:type="lastRow">
      <w:rPr>
        <w:rFonts w:ascii="Arial" w:hAnsi="Arial"/>
        <w:b/>
        <w:color w:val="7F7F7F"/>
        <w:sz w:val="22"/>
      </w:rPr>
      <w:tcPr>
        <w:tcBorders>
          <w:top w:val="single" w:color="7F7F7F" w:sz="4" w:space="0"/>
          <w:left w:val="nil"/>
          <w:bottom w:val="nil"/>
          <w:right w:val="nil"/>
        </w:tcBorders>
        <w:shd w:val="clear" w:color="FFFFFF" w:fill="FFFFFF"/>
      </w:tcPr>
    </w:tblStylePr>
    <w:tblStylePr w:type="firstCol">
      <w:pPr>
        <w:jc w:val="right"/>
      </w:pPr>
      <w:rPr>
        <w:rFonts w:ascii="Arial" w:hAnsi="Arial"/>
        <w:i/>
        <w:color w:val="7F7F7F"/>
        <w:sz w:val="22"/>
      </w:rPr>
      <w:tcPr>
        <w:tcBorders>
          <w:top w:val="nil"/>
          <w:left w:val="nil"/>
          <w:bottom w:val="nil"/>
          <w:right w:val="single" w:color="7F7F7F" w:sz="4" w:space="0"/>
        </w:tcBorders>
        <w:shd w:val="clear" w:color="FFFFFF" w:fill="auto"/>
      </w:tcPr>
    </w:tblStylePr>
    <w:tblStylePr w:type="lastCol">
      <w:rPr>
        <w:rFonts w:ascii="Arial" w:hAnsi="Arial"/>
        <w:i/>
        <w:color w:val="7F7F7F"/>
        <w:sz w:val="22"/>
      </w:rPr>
      <w:tcPr>
        <w:tcBorders>
          <w:top w:val="nil"/>
          <w:left w:val="single" w:color="7F7F7F" w:sz="4" w:space="0"/>
          <w:bottom w:val="nil"/>
          <w:right w:val="nil"/>
        </w:tcBorders>
        <w:shd w:val="clear" w:color="FFFFFF" w:fill="auto"/>
      </w:tcPr>
    </w:tblStylePr>
    <w:tblStylePr w:type="band1Vert">
      <w:tcPr>
        <w:shd w:val="clear" w:color="F2F2F2" w:fill="F2F2F2"/>
      </w:tcPr>
    </w:tblStylePr>
    <w:tblStylePr w:type="band1Horz">
      <w:rPr>
        <w:rFonts w:ascii="Arial" w:hAnsi="Arial"/>
        <w:color w:val="7F7F7F"/>
        <w:sz w:val="22"/>
      </w:rPr>
      <w:tcPr>
        <w:shd w:val="clear" w:color="F2F2F2" w:fill="F2F2F2"/>
      </w:tcPr>
    </w:tblStylePr>
    <w:tblStylePr w:type="band2Horz">
      <w:rPr>
        <w:rFonts w:ascii="Arial" w:hAnsi="Arial"/>
        <w:color w:val="7F7F7F"/>
        <w:sz w:val="22"/>
      </w:rPr>
    </w:tblStylePr>
  </w:style>
  <w:style w:type="table" w:customStyle="1" w:styleId="1400">
    <w:name w:val="Grid Table 7 Colorful - Accent 16"/>
    <w:basedOn w:val="13"/>
    <w:uiPriority w:val="99"/>
    <w:rPr>
      <w:sz w:val="22"/>
      <w:szCs w:val="22"/>
      <w:lang w:eastAsia="en-US"/>
    </w:rPr>
    <w:tblPr>
      <w:tblBorders>
        <w:bottom w:val="single" w:color="A6BFDD" w:sz="4" w:space="0"/>
        <w:right w:val="single" w:color="A6BFDD" w:sz="4" w:space="0"/>
        <w:insideH w:val="single" w:color="A6BFDD" w:sz="4" w:space="0"/>
        <w:insideV w:val="single" w:color="A6BFDD" w:sz="4" w:space="0"/>
      </w:tblBorders>
      <w:tblCellMar>
        <w:top w:w="0" w:type="dxa"/>
        <w:left w:w="108" w:type="dxa"/>
        <w:bottom w:w="0" w:type="dxa"/>
        <w:right w:w="108" w:type="dxa"/>
      </w:tblCellMar>
    </w:tblPr>
    <w:tblStylePr w:type="firstRow">
      <w:rPr>
        <w:rFonts w:ascii="Arial" w:hAnsi="Arial"/>
        <w:b/>
        <w:color w:val="A6BFDD"/>
        <w:sz w:val="22"/>
      </w:rPr>
      <w:tcPr>
        <w:tcBorders>
          <w:top w:val="nil"/>
          <w:left w:val="nil"/>
          <w:bottom w:val="single" w:color="A6BFDD" w:sz="4" w:space="0"/>
          <w:right w:val="nil"/>
        </w:tcBorders>
        <w:shd w:val="clear" w:color="FFFFFF" w:fill="FFFFFF"/>
      </w:tcPr>
    </w:tblStylePr>
    <w:tblStylePr w:type="lastRow">
      <w:rPr>
        <w:rFonts w:ascii="Arial" w:hAnsi="Arial"/>
        <w:b/>
        <w:color w:val="A6BFDD"/>
        <w:sz w:val="22"/>
      </w:rPr>
      <w:tcPr>
        <w:tcBorders>
          <w:top w:val="single" w:color="A6BFDD" w:sz="4" w:space="0"/>
          <w:left w:val="nil"/>
          <w:bottom w:val="nil"/>
          <w:right w:val="nil"/>
        </w:tcBorders>
        <w:shd w:val="clear" w:color="FFFFFF" w:fill="FFFFFF"/>
      </w:tcPr>
    </w:tblStylePr>
    <w:tblStylePr w:type="firstCol">
      <w:pPr>
        <w:jc w:val="right"/>
      </w:pPr>
      <w:rPr>
        <w:rFonts w:ascii="Arial" w:hAnsi="Arial"/>
        <w:i/>
        <w:color w:val="A6BFDD"/>
        <w:sz w:val="22"/>
      </w:rPr>
      <w:tcPr>
        <w:tcBorders>
          <w:top w:val="nil"/>
          <w:left w:val="nil"/>
          <w:bottom w:val="nil"/>
          <w:right w:val="single" w:color="A6BFDD" w:sz="4" w:space="0"/>
        </w:tcBorders>
        <w:shd w:val="clear" w:color="FFFFFF" w:fill="auto"/>
      </w:tcPr>
    </w:tblStylePr>
    <w:tblStylePr w:type="lastCol">
      <w:rPr>
        <w:rFonts w:ascii="Arial" w:hAnsi="Arial"/>
        <w:i/>
        <w:color w:val="A6BFDD"/>
        <w:sz w:val="22"/>
      </w:rPr>
      <w:tcPr>
        <w:tcBorders>
          <w:top w:val="nil"/>
          <w:left w:val="single" w:color="A6BFDD" w:sz="4" w:space="0"/>
          <w:bottom w:val="nil"/>
          <w:right w:val="nil"/>
        </w:tcBorders>
        <w:shd w:val="clear" w:color="FFFFFF" w:fill="auto"/>
      </w:tcPr>
    </w:tblStylePr>
    <w:tblStylePr w:type="band1Vert">
      <w:tcPr>
        <w:shd w:val="clear" w:color="DAE5F1" w:fill="DAE5F1"/>
      </w:tcPr>
    </w:tblStylePr>
    <w:tblStylePr w:type="band1Horz">
      <w:rPr>
        <w:rFonts w:ascii="Arial" w:hAnsi="Arial"/>
        <w:color w:val="A6BFDD"/>
        <w:sz w:val="22"/>
      </w:rPr>
      <w:tcPr>
        <w:shd w:val="clear" w:color="DAE5F1" w:fill="DAE5F1"/>
      </w:tcPr>
    </w:tblStylePr>
    <w:tblStylePr w:type="band2Horz">
      <w:rPr>
        <w:rFonts w:ascii="Arial" w:hAnsi="Arial"/>
        <w:color w:val="A6BFDD"/>
        <w:sz w:val="22"/>
      </w:rPr>
    </w:tblStylePr>
  </w:style>
  <w:style w:type="table" w:customStyle="1" w:styleId="1401">
    <w:name w:val="Grid Table 7 Colorful - Accent 26"/>
    <w:basedOn w:val="13"/>
    <w:uiPriority w:val="99"/>
    <w:rPr>
      <w:sz w:val="22"/>
      <w:szCs w:val="22"/>
      <w:lang w:eastAsia="en-US"/>
    </w:rPr>
    <w:tblPr>
      <w:tblBorders>
        <w:bottom w:val="single" w:color="D99695" w:sz="4" w:space="0"/>
        <w:right w:val="single" w:color="D99695" w:sz="4" w:space="0"/>
        <w:insideH w:val="single" w:color="D99695" w:sz="4" w:space="0"/>
        <w:insideV w:val="single" w:color="D99695" w:sz="4" w:space="0"/>
      </w:tblBorders>
      <w:tblCellMar>
        <w:top w:w="0" w:type="dxa"/>
        <w:left w:w="108" w:type="dxa"/>
        <w:bottom w:w="0" w:type="dxa"/>
        <w:right w:w="108" w:type="dxa"/>
      </w:tblCellMar>
    </w:tblPr>
    <w:tblStylePr w:type="firstRow">
      <w:rPr>
        <w:rFonts w:ascii="Arial" w:hAnsi="Arial"/>
        <w:b/>
        <w:color w:val="D99695"/>
        <w:sz w:val="22"/>
      </w:rPr>
      <w:tcPr>
        <w:tcBorders>
          <w:top w:val="nil"/>
          <w:left w:val="nil"/>
          <w:bottom w:val="single" w:color="D99695" w:sz="4" w:space="0"/>
          <w:right w:val="nil"/>
        </w:tcBorders>
        <w:shd w:val="clear" w:color="FFFFFF" w:fill="FFFFFF"/>
      </w:tcPr>
    </w:tblStylePr>
    <w:tblStylePr w:type="lastRow">
      <w:rPr>
        <w:rFonts w:ascii="Arial" w:hAnsi="Arial"/>
        <w:b/>
        <w:color w:val="D99695"/>
        <w:sz w:val="22"/>
      </w:rPr>
      <w:tcPr>
        <w:tcBorders>
          <w:top w:val="single" w:color="D99695" w:sz="4" w:space="0"/>
          <w:left w:val="nil"/>
          <w:bottom w:val="nil"/>
          <w:right w:val="nil"/>
        </w:tcBorders>
        <w:shd w:val="clear" w:color="FFFFFF" w:fill="FFFFFF"/>
      </w:tcPr>
    </w:tblStylePr>
    <w:tblStylePr w:type="firstCol">
      <w:pPr>
        <w:jc w:val="right"/>
      </w:pPr>
      <w:rPr>
        <w:rFonts w:ascii="Arial" w:hAnsi="Arial"/>
        <w:i/>
        <w:color w:val="D99695"/>
        <w:sz w:val="22"/>
      </w:rPr>
      <w:tcPr>
        <w:tcBorders>
          <w:top w:val="nil"/>
          <w:left w:val="nil"/>
          <w:bottom w:val="nil"/>
          <w:right w:val="single" w:color="D99695" w:sz="4" w:space="0"/>
        </w:tcBorders>
        <w:shd w:val="clear" w:color="FFFFFF" w:fill="auto"/>
      </w:tcPr>
    </w:tblStylePr>
    <w:tblStylePr w:type="lastCol">
      <w:rPr>
        <w:rFonts w:ascii="Arial" w:hAnsi="Arial"/>
        <w:i/>
        <w:color w:val="D99695"/>
        <w:sz w:val="22"/>
      </w:rPr>
      <w:tcPr>
        <w:tcBorders>
          <w:top w:val="nil"/>
          <w:left w:val="single" w:color="D99695" w:sz="4" w:space="0"/>
          <w:bottom w:val="nil"/>
          <w:right w:val="nil"/>
        </w:tcBorders>
        <w:shd w:val="clear" w:color="FFFFFF" w:fill="auto"/>
      </w:tcPr>
    </w:tblStylePr>
    <w:tblStylePr w:type="band1Vert">
      <w:tcPr>
        <w:shd w:val="clear" w:color="F2DCDC" w:fill="F2DCDC"/>
      </w:tcPr>
    </w:tblStylePr>
    <w:tblStylePr w:type="band1Horz">
      <w:rPr>
        <w:rFonts w:ascii="Arial" w:hAnsi="Arial"/>
        <w:color w:val="D99695"/>
        <w:sz w:val="22"/>
      </w:rPr>
      <w:tcPr>
        <w:shd w:val="clear" w:color="F2DCDC" w:fill="F2DCDC"/>
      </w:tcPr>
    </w:tblStylePr>
    <w:tblStylePr w:type="band2Horz">
      <w:rPr>
        <w:rFonts w:ascii="Arial" w:hAnsi="Arial"/>
        <w:color w:val="D99695"/>
        <w:sz w:val="22"/>
      </w:rPr>
    </w:tblStylePr>
  </w:style>
  <w:style w:type="table" w:customStyle="1" w:styleId="1402">
    <w:name w:val="Grid Table 7 Colorful - Accent 36"/>
    <w:basedOn w:val="13"/>
    <w:uiPriority w:val="99"/>
    <w:rPr>
      <w:sz w:val="22"/>
      <w:szCs w:val="22"/>
      <w:lang w:eastAsia="en-US"/>
    </w:rPr>
    <w:tblPr>
      <w:tblBorders>
        <w:bottom w:val="single" w:color="9ABB59" w:sz="4" w:space="0"/>
        <w:right w:val="single" w:color="9ABB59" w:sz="4" w:space="0"/>
        <w:insideH w:val="single" w:color="9ABB59" w:sz="4" w:space="0"/>
        <w:insideV w:val="single" w:color="9ABB59" w:sz="4" w:space="0"/>
      </w:tblBorders>
      <w:tblCellMar>
        <w:top w:w="0" w:type="dxa"/>
        <w:left w:w="108" w:type="dxa"/>
        <w:bottom w:w="0" w:type="dxa"/>
        <w:right w:w="108" w:type="dxa"/>
      </w:tblCellMar>
    </w:tblPr>
    <w:tblStylePr w:type="firstRow">
      <w:rPr>
        <w:rFonts w:ascii="Arial" w:hAnsi="Arial"/>
        <w:b/>
        <w:color w:val="9ABB59"/>
        <w:sz w:val="22"/>
      </w:rPr>
      <w:tcPr>
        <w:tcBorders>
          <w:top w:val="nil"/>
          <w:left w:val="nil"/>
          <w:bottom w:val="single" w:color="9ABB59" w:sz="4" w:space="0"/>
          <w:right w:val="nil"/>
        </w:tcBorders>
        <w:shd w:val="clear" w:color="FFFFFF" w:fill="FFFFFF"/>
      </w:tcPr>
    </w:tblStylePr>
    <w:tblStylePr w:type="lastRow">
      <w:rPr>
        <w:rFonts w:ascii="Arial" w:hAnsi="Arial"/>
        <w:b/>
        <w:color w:val="9ABB59"/>
        <w:sz w:val="22"/>
      </w:rPr>
      <w:tcPr>
        <w:tcBorders>
          <w:top w:val="single" w:color="9ABB59" w:sz="4" w:space="0"/>
          <w:left w:val="nil"/>
          <w:bottom w:val="nil"/>
          <w:right w:val="nil"/>
        </w:tcBorders>
        <w:shd w:val="clear" w:color="FFFFFF" w:fill="FFFFFF"/>
      </w:tcPr>
    </w:tblStylePr>
    <w:tblStylePr w:type="firstCol">
      <w:pPr>
        <w:jc w:val="right"/>
      </w:pPr>
      <w:rPr>
        <w:rFonts w:ascii="Arial" w:hAnsi="Arial"/>
        <w:i/>
        <w:color w:val="9ABB59"/>
        <w:sz w:val="22"/>
      </w:rPr>
      <w:tcPr>
        <w:tcBorders>
          <w:top w:val="nil"/>
          <w:left w:val="nil"/>
          <w:bottom w:val="nil"/>
          <w:right w:val="single" w:color="9ABB59" w:sz="4" w:space="0"/>
        </w:tcBorders>
        <w:shd w:val="clear" w:color="FFFFFF" w:fill="auto"/>
      </w:tcPr>
    </w:tblStylePr>
    <w:tblStylePr w:type="lastCol">
      <w:rPr>
        <w:rFonts w:ascii="Arial" w:hAnsi="Arial"/>
        <w:i/>
        <w:color w:val="9ABB59"/>
        <w:sz w:val="22"/>
      </w:rPr>
      <w:tcPr>
        <w:tcBorders>
          <w:top w:val="nil"/>
          <w:left w:val="single" w:color="9ABB59" w:sz="4" w:space="0"/>
          <w:bottom w:val="nil"/>
          <w:right w:val="nil"/>
        </w:tcBorders>
        <w:shd w:val="clear" w:color="FFFFFF" w:fill="auto"/>
      </w:tcPr>
    </w:tblStylePr>
    <w:tblStylePr w:type="band1Vert">
      <w:tcPr>
        <w:shd w:val="clear" w:color="EAF1DC" w:fill="EAF1DC"/>
      </w:tcPr>
    </w:tblStylePr>
    <w:tblStylePr w:type="band1Horz">
      <w:rPr>
        <w:rFonts w:ascii="Arial" w:hAnsi="Arial"/>
        <w:color w:val="9ABB59"/>
        <w:sz w:val="22"/>
      </w:rPr>
      <w:tcPr>
        <w:shd w:val="clear" w:color="EAF1DC" w:fill="EAF1DC"/>
      </w:tcPr>
    </w:tblStylePr>
    <w:tblStylePr w:type="band2Horz">
      <w:rPr>
        <w:rFonts w:ascii="Arial" w:hAnsi="Arial"/>
        <w:color w:val="9ABB59"/>
        <w:sz w:val="22"/>
      </w:rPr>
    </w:tblStylePr>
  </w:style>
  <w:style w:type="table" w:customStyle="1" w:styleId="1403">
    <w:name w:val="Grid Table 7 Colorful - Accent 46"/>
    <w:basedOn w:val="13"/>
    <w:uiPriority w:val="99"/>
    <w:rPr>
      <w:sz w:val="22"/>
      <w:szCs w:val="22"/>
      <w:lang w:eastAsia="en-US"/>
    </w:rPr>
    <w:tblPr>
      <w:tblBorders>
        <w:bottom w:val="single" w:color="B2A1C6" w:sz="4" w:space="0"/>
        <w:right w:val="single" w:color="B2A1C6" w:sz="4" w:space="0"/>
        <w:insideH w:val="single" w:color="B2A1C6" w:sz="4" w:space="0"/>
        <w:insideV w:val="single" w:color="B2A1C6" w:sz="4" w:space="0"/>
      </w:tblBorders>
      <w:tblCellMar>
        <w:top w:w="0" w:type="dxa"/>
        <w:left w:w="108" w:type="dxa"/>
        <w:bottom w:w="0" w:type="dxa"/>
        <w:right w:w="108" w:type="dxa"/>
      </w:tblCellMar>
    </w:tblPr>
    <w:tblStylePr w:type="firstRow">
      <w:rPr>
        <w:rFonts w:ascii="Arial" w:hAnsi="Arial"/>
        <w:b/>
        <w:color w:val="B2A1C6"/>
        <w:sz w:val="22"/>
      </w:rPr>
      <w:tcPr>
        <w:tcBorders>
          <w:top w:val="nil"/>
          <w:left w:val="nil"/>
          <w:bottom w:val="single" w:color="B2A1C6" w:sz="4" w:space="0"/>
          <w:right w:val="nil"/>
        </w:tcBorders>
        <w:shd w:val="clear" w:color="FFFFFF" w:fill="FFFFFF"/>
      </w:tcPr>
    </w:tblStylePr>
    <w:tblStylePr w:type="lastRow">
      <w:rPr>
        <w:rFonts w:ascii="Arial" w:hAnsi="Arial"/>
        <w:b/>
        <w:color w:val="B2A1C6"/>
        <w:sz w:val="22"/>
      </w:rPr>
      <w:tcPr>
        <w:tcBorders>
          <w:top w:val="single" w:color="B2A1C6" w:sz="4" w:space="0"/>
          <w:left w:val="nil"/>
          <w:bottom w:val="nil"/>
          <w:right w:val="nil"/>
        </w:tcBorders>
        <w:shd w:val="clear" w:color="FFFFFF" w:fill="FFFFFF"/>
      </w:tcPr>
    </w:tblStylePr>
    <w:tblStylePr w:type="firstCol">
      <w:pPr>
        <w:jc w:val="right"/>
      </w:pPr>
      <w:rPr>
        <w:rFonts w:ascii="Arial" w:hAnsi="Arial"/>
        <w:i/>
        <w:color w:val="B2A1C6"/>
        <w:sz w:val="22"/>
      </w:rPr>
      <w:tcPr>
        <w:tcBorders>
          <w:top w:val="nil"/>
          <w:left w:val="nil"/>
          <w:bottom w:val="nil"/>
          <w:right w:val="single" w:color="B2A1C6" w:sz="4" w:space="0"/>
        </w:tcBorders>
        <w:shd w:val="clear" w:color="FFFFFF" w:fill="auto"/>
      </w:tcPr>
    </w:tblStylePr>
    <w:tblStylePr w:type="lastCol">
      <w:rPr>
        <w:rFonts w:ascii="Arial" w:hAnsi="Arial"/>
        <w:i/>
        <w:color w:val="B2A1C6"/>
        <w:sz w:val="22"/>
      </w:rPr>
      <w:tcPr>
        <w:tcBorders>
          <w:top w:val="nil"/>
          <w:left w:val="single" w:color="B2A1C6" w:sz="4" w:space="0"/>
          <w:bottom w:val="nil"/>
          <w:right w:val="nil"/>
        </w:tcBorders>
        <w:shd w:val="clear" w:color="FFFFFF" w:fill="auto"/>
      </w:tcPr>
    </w:tblStylePr>
    <w:tblStylePr w:type="band1Vert">
      <w:tcPr>
        <w:shd w:val="clear" w:color="E5DFEC" w:fill="E5DFEC"/>
      </w:tcPr>
    </w:tblStylePr>
    <w:tblStylePr w:type="band1Horz">
      <w:rPr>
        <w:rFonts w:ascii="Arial" w:hAnsi="Arial"/>
        <w:color w:val="B2A1C6"/>
        <w:sz w:val="22"/>
      </w:rPr>
      <w:tcPr>
        <w:shd w:val="clear" w:color="E5DFEC" w:fill="E5DFEC"/>
      </w:tcPr>
    </w:tblStylePr>
    <w:tblStylePr w:type="band2Horz">
      <w:rPr>
        <w:rFonts w:ascii="Arial" w:hAnsi="Arial"/>
        <w:color w:val="B2A1C6"/>
        <w:sz w:val="22"/>
      </w:rPr>
    </w:tblStylePr>
  </w:style>
  <w:style w:type="table" w:customStyle="1" w:styleId="1404">
    <w:name w:val="Grid Table 7 Colorful - Accent 56"/>
    <w:basedOn w:val="13"/>
    <w:uiPriority w:val="99"/>
    <w:rPr>
      <w:sz w:val="22"/>
      <w:szCs w:val="22"/>
      <w:lang w:eastAsia="en-US"/>
    </w:rPr>
    <w:tblPr>
      <w:tblBorders>
        <w:bottom w:val="single" w:color="99D0DE" w:sz="4" w:space="0"/>
        <w:right w:val="single" w:color="99D0DE" w:sz="4" w:space="0"/>
        <w:insideH w:val="single" w:color="99D0DE" w:sz="4" w:space="0"/>
        <w:insideV w:val="single" w:color="99D0DE" w:sz="4" w:space="0"/>
      </w:tblBorders>
      <w:tblCellMar>
        <w:top w:w="0" w:type="dxa"/>
        <w:left w:w="108" w:type="dxa"/>
        <w:bottom w:w="0" w:type="dxa"/>
        <w:right w:w="108" w:type="dxa"/>
      </w:tblCellMar>
    </w:tblPr>
    <w:tblStylePr w:type="firstRow">
      <w:rPr>
        <w:rFonts w:ascii="Arial" w:hAnsi="Arial"/>
        <w:b/>
        <w:color w:val="266779"/>
        <w:sz w:val="22"/>
      </w:rPr>
      <w:tcPr>
        <w:tcBorders>
          <w:top w:val="nil"/>
          <w:left w:val="nil"/>
          <w:bottom w:val="single" w:color="99D0DE" w:sz="4" w:space="0"/>
          <w:right w:val="nil"/>
        </w:tcBorders>
        <w:shd w:val="clear" w:color="FFFFFF" w:fill="FFFFFF"/>
      </w:tcPr>
    </w:tblStylePr>
    <w:tblStylePr w:type="lastRow">
      <w:rPr>
        <w:rFonts w:ascii="Arial" w:hAnsi="Arial"/>
        <w:b/>
        <w:color w:val="266779"/>
        <w:sz w:val="22"/>
      </w:rPr>
      <w:tcPr>
        <w:tcBorders>
          <w:top w:val="single" w:color="99D0DE" w:sz="4" w:space="0"/>
          <w:left w:val="nil"/>
          <w:bottom w:val="nil"/>
          <w:right w:val="nil"/>
        </w:tcBorders>
        <w:shd w:val="clear" w:color="FFFFFF" w:fill="FFFFFF"/>
      </w:tcPr>
    </w:tblStylePr>
    <w:tblStylePr w:type="firstCol">
      <w:pPr>
        <w:jc w:val="right"/>
      </w:pPr>
      <w:rPr>
        <w:rFonts w:ascii="Arial" w:hAnsi="Arial"/>
        <w:i/>
        <w:color w:val="266779"/>
        <w:sz w:val="22"/>
      </w:rPr>
      <w:tcPr>
        <w:tcBorders>
          <w:top w:val="nil"/>
          <w:left w:val="nil"/>
          <w:bottom w:val="nil"/>
          <w:right w:val="single" w:color="99D0DE" w:sz="4" w:space="0"/>
        </w:tcBorders>
        <w:shd w:val="clear" w:color="FFFFFF" w:fill="auto"/>
      </w:tcPr>
    </w:tblStylePr>
    <w:tblStylePr w:type="lastCol">
      <w:rPr>
        <w:rFonts w:ascii="Arial" w:hAnsi="Arial"/>
        <w:i/>
        <w:color w:val="266779"/>
        <w:sz w:val="22"/>
      </w:rPr>
      <w:tcPr>
        <w:tcBorders>
          <w:top w:val="nil"/>
          <w:left w:val="single" w:color="99D0DE" w:sz="4" w:space="0"/>
          <w:bottom w:val="nil"/>
          <w:right w:val="nil"/>
        </w:tcBorders>
        <w:shd w:val="clear" w:color="FFFFFF" w:fill="auto"/>
      </w:tcPr>
    </w:tblStylePr>
    <w:tblStylePr w:type="band1Vert">
      <w:tcPr>
        <w:shd w:val="clear" w:color="DAEEF3" w:fill="DAEEF3"/>
      </w:tcPr>
    </w:tblStylePr>
    <w:tblStylePr w:type="band1Horz">
      <w:rPr>
        <w:rFonts w:ascii="Arial" w:hAnsi="Arial"/>
        <w:color w:val="266779"/>
        <w:sz w:val="22"/>
      </w:rPr>
      <w:tcPr>
        <w:shd w:val="clear" w:color="DAEEF3" w:fill="DAEEF3"/>
      </w:tcPr>
    </w:tblStylePr>
    <w:tblStylePr w:type="band2Horz">
      <w:rPr>
        <w:rFonts w:ascii="Arial" w:hAnsi="Arial"/>
        <w:color w:val="266779"/>
        <w:sz w:val="22"/>
      </w:rPr>
    </w:tblStylePr>
  </w:style>
  <w:style w:type="table" w:customStyle="1" w:styleId="1405">
    <w:name w:val="Grid Table 7 Colorful - Accent 66"/>
    <w:basedOn w:val="13"/>
    <w:uiPriority w:val="99"/>
    <w:rPr>
      <w:sz w:val="22"/>
      <w:szCs w:val="22"/>
      <w:lang w:eastAsia="en-US"/>
    </w:rPr>
    <w:tblPr>
      <w:tblBorders>
        <w:bottom w:val="single" w:color="FAC396" w:sz="4" w:space="0"/>
        <w:right w:val="single" w:color="FAC396" w:sz="4" w:space="0"/>
        <w:insideH w:val="single" w:color="FAC396" w:sz="4" w:space="0"/>
        <w:insideV w:val="single" w:color="FAC396" w:sz="4" w:space="0"/>
      </w:tblBorders>
      <w:tblCellMar>
        <w:top w:w="0" w:type="dxa"/>
        <w:left w:w="108" w:type="dxa"/>
        <w:bottom w:w="0" w:type="dxa"/>
        <w:right w:w="108" w:type="dxa"/>
      </w:tblCellMar>
    </w:tblPr>
    <w:tblStylePr w:type="firstRow">
      <w:rPr>
        <w:rFonts w:ascii="Arial" w:hAnsi="Arial"/>
        <w:b/>
        <w:color w:val="B15407"/>
        <w:sz w:val="22"/>
      </w:rPr>
      <w:tcPr>
        <w:tcBorders>
          <w:top w:val="nil"/>
          <w:left w:val="nil"/>
          <w:bottom w:val="single" w:color="FAC396" w:sz="4" w:space="0"/>
          <w:right w:val="nil"/>
        </w:tcBorders>
        <w:shd w:val="clear" w:color="FFFFFF" w:fill="FFFFFF"/>
      </w:tcPr>
    </w:tblStylePr>
    <w:tblStylePr w:type="lastRow">
      <w:rPr>
        <w:rFonts w:ascii="Arial" w:hAnsi="Arial"/>
        <w:b/>
        <w:color w:val="B15407"/>
        <w:sz w:val="22"/>
      </w:rPr>
      <w:tcPr>
        <w:tcBorders>
          <w:top w:val="single" w:color="FAC396" w:sz="4" w:space="0"/>
          <w:left w:val="nil"/>
          <w:bottom w:val="nil"/>
          <w:right w:val="nil"/>
        </w:tcBorders>
        <w:shd w:val="clear" w:color="FFFFFF" w:fill="FFFFFF"/>
      </w:tcPr>
    </w:tblStylePr>
    <w:tblStylePr w:type="firstCol">
      <w:pPr>
        <w:jc w:val="right"/>
      </w:pPr>
      <w:rPr>
        <w:rFonts w:ascii="Arial" w:hAnsi="Arial"/>
        <w:i/>
        <w:color w:val="B15407"/>
        <w:sz w:val="22"/>
      </w:rPr>
      <w:tcPr>
        <w:tcBorders>
          <w:top w:val="nil"/>
          <w:left w:val="nil"/>
          <w:bottom w:val="nil"/>
          <w:right w:val="single" w:color="FAC396" w:sz="4" w:space="0"/>
        </w:tcBorders>
        <w:shd w:val="clear" w:color="FFFFFF" w:fill="auto"/>
      </w:tcPr>
    </w:tblStylePr>
    <w:tblStylePr w:type="lastCol">
      <w:rPr>
        <w:rFonts w:ascii="Arial" w:hAnsi="Arial"/>
        <w:i/>
        <w:color w:val="B15407"/>
        <w:sz w:val="22"/>
      </w:rPr>
      <w:tcPr>
        <w:tcBorders>
          <w:top w:val="nil"/>
          <w:left w:val="single" w:color="FAC396" w:sz="4" w:space="0"/>
          <w:bottom w:val="nil"/>
          <w:right w:val="nil"/>
        </w:tcBorders>
        <w:shd w:val="clear" w:color="FFFFFF" w:fill="auto"/>
      </w:tcPr>
    </w:tblStylePr>
    <w:tblStylePr w:type="band1Vert">
      <w:tcPr>
        <w:shd w:val="clear" w:color="FDE9D8" w:fill="FDE9D8"/>
      </w:tcPr>
    </w:tblStylePr>
    <w:tblStylePr w:type="band1Horz">
      <w:rPr>
        <w:rFonts w:ascii="Arial" w:hAnsi="Arial"/>
        <w:color w:val="B15407"/>
        <w:sz w:val="22"/>
      </w:rPr>
      <w:tcPr>
        <w:shd w:val="clear" w:color="FDE9D8" w:fill="FDE9D8"/>
      </w:tcPr>
    </w:tblStylePr>
    <w:tblStylePr w:type="band2Horz">
      <w:rPr>
        <w:rFonts w:ascii="Arial" w:hAnsi="Arial"/>
        <w:color w:val="B15407"/>
        <w:sz w:val="22"/>
      </w:rPr>
    </w:tblStylePr>
  </w:style>
  <w:style w:type="table" w:customStyle="1" w:styleId="1406">
    <w:name w:val="Список-таблица 1 светлая14"/>
    <w:basedOn w:val="13"/>
    <w:uiPriority w:val="99"/>
    <w:rPr>
      <w:sz w:val="22"/>
      <w:szCs w:val="22"/>
      <w:lang w:eastAsia="en-US"/>
    </w:rPr>
    <w:tblPr>
      <w:tblCellMar>
        <w:top w:w="0" w:type="dxa"/>
        <w:left w:w="108" w:type="dxa"/>
        <w:bottom w:w="0" w:type="dxa"/>
        <w:right w:w="108" w:type="dxa"/>
      </w:tblCellMar>
    </w:tblPr>
    <w:tblStylePr w:type="firstRow">
      <w:rPr>
        <w:b/>
        <w:color w:val="404040"/>
      </w:rPr>
      <w:tcPr>
        <w:tcBorders>
          <w:top w:val="nil"/>
          <w:left w:val="nil"/>
          <w:bottom w:val="single" w:color="000000" w:sz="4" w:space="0"/>
          <w:right w:val="nil"/>
        </w:tcBorders>
      </w:tcPr>
    </w:tblStylePr>
    <w:tblStylePr w:type="lastRow">
      <w:rPr>
        <w:b/>
        <w:color w:val="404040"/>
      </w:rPr>
      <w:tcPr>
        <w:tcBorders>
          <w:top w:val="single" w:color="000000" w:sz="4" w:space="0"/>
          <w:left w:val="nil"/>
          <w:bottom w:val="nil"/>
          <w:right w:val="nil"/>
        </w:tcBorders>
      </w:tcPr>
    </w:tblStylePr>
    <w:tblStylePr w:type="firstCol">
      <w:rPr>
        <w:b/>
        <w:color w:val="404040"/>
      </w:rPr>
    </w:tblStylePr>
    <w:tblStylePr w:type="lastCol">
      <w:rPr>
        <w:b/>
        <w:color w:val="404040"/>
      </w:rPr>
    </w:tblStylePr>
    <w:tblStylePr w:type="band1Vert">
      <w:tcPr>
        <w:shd w:val="clear" w:color="BFBFBF" w:fill="BFBFBF"/>
      </w:tcPr>
    </w:tblStylePr>
    <w:tblStylePr w:type="band1Horz">
      <w:tcPr>
        <w:shd w:val="clear" w:color="BFBFBF" w:fill="BFBFBF"/>
      </w:tcPr>
    </w:tblStylePr>
  </w:style>
  <w:style w:type="table" w:customStyle="1" w:styleId="1407">
    <w:name w:val="List Table 1 Light - Accent 16"/>
    <w:basedOn w:val="13"/>
    <w:uiPriority w:val="99"/>
    <w:rPr>
      <w:sz w:val="22"/>
      <w:szCs w:val="22"/>
      <w:lang w:eastAsia="en-US"/>
    </w:rPr>
    <w:tblPr>
      <w:tblCellMar>
        <w:top w:w="0" w:type="dxa"/>
        <w:left w:w="108" w:type="dxa"/>
        <w:bottom w:w="0" w:type="dxa"/>
        <w:right w:w="108" w:type="dxa"/>
      </w:tblCellMar>
    </w:tblPr>
    <w:tblStylePr w:type="firstRow">
      <w:rPr>
        <w:b/>
        <w:color w:val="404040"/>
      </w:rPr>
      <w:tcPr>
        <w:tcBorders>
          <w:top w:val="nil"/>
          <w:left w:val="nil"/>
          <w:bottom w:val="single" w:color="4F81BD" w:sz="4" w:space="0"/>
          <w:right w:val="nil"/>
        </w:tcBorders>
      </w:tcPr>
    </w:tblStylePr>
    <w:tblStylePr w:type="lastRow">
      <w:rPr>
        <w:b/>
        <w:color w:val="404040"/>
      </w:rPr>
      <w:tcPr>
        <w:tcBorders>
          <w:top w:val="single" w:color="4F81BD" w:sz="4" w:space="0"/>
          <w:left w:val="nil"/>
          <w:bottom w:val="nil"/>
          <w:right w:val="nil"/>
        </w:tcBorders>
      </w:tcPr>
    </w:tblStylePr>
    <w:tblStylePr w:type="firstCol">
      <w:rPr>
        <w:b/>
        <w:color w:val="404040"/>
      </w:rPr>
    </w:tblStylePr>
    <w:tblStylePr w:type="lastCol">
      <w:rPr>
        <w:b/>
        <w:color w:val="404040"/>
      </w:rPr>
    </w:tblStylePr>
    <w:tblStylePr w:type="band1Vert">
      <w:tcPr>
        <w:shd w:val="clear" w:color="D2DFEE" w:fill="D2DFEE"/>
      </w:tcPr>
    </w:tblStylePr>
    <w:tblStylePr w:type="band1Horz">
      <w:tcPr>
        <w:shd w:val="clear" w:color="D2DFEE" w:fill="D2DFEE"/>
      </w:tcPr>
    </w:tblStylePr>
  </w:style>
  <w:style w:type="table" w:customStyle="1" w:styleId="1408">
    <w:name w:val="List Table 1 Light - Accent 26"/>
    <w:basedOn w:val="13"/>
    <w:uiPriority w:val="99"/>
    <w:rPr>
      <w:sz w:val="22"/>
      <w:szCs w:val="22"/>
      <w:lang w:eastAsia="en-US"/>
    </w:rPr>
    <w:tblPr>
      <w:tblCellMar>
        <w:top w:w="0" w:type="dxa"/>
        <w:left w:w="108" w:type="dxa"/>
        <w:bottom w:w="0" w:type="dxa"/>
        <w:right w:w="108" w:type="dxa"/>
      </w:tblCellMar>
    </w:tblPr>
    <w:tblStylePr w:type="firstRow">
      <w:rPr>
        <w:b/>
        <w:color w:val="404040"/>
      </w:rPr>
      <w:tcPr>
        <w:tcBorders>
          <w:top w:val="nil"/>
          <w:left w:val="nil"/>
          <w:bottom w:val="single" w:color="C0504D" w:sz="4" w:space="0"/>
          <w:right w:val="nil"/>
        </w:tcBorders>
      </w:tcPr>
    </w:tblStylePr>
    <w:tblStylePr w:type="lastRow">
      <w:rPr>
        <w:b/>
        <w:color w:val="404040"/>
      </w:rPr>
      <w:tcPr>
        <w:tcBorders>
          <w:top w:val="single" w:color="C0504D" w:sz="4" w:space="0"/>
          <w:left w:val="nil"/>
          <w:bottom w:val="nil"/>
          <w:right w:val="nil"/>
        </w:tcBorders>
      </w:tcPr>
    </w:tblStylePr>
    <w:tblStylePr w:type="firstCol">
      <w:rPr>
        <w:b/>
        <w:color w:val="404040"/>
      </w:rPr>
    </w:tblStylePr>
    <w:tblStylePr w:type="lastCol">
      <w:rPr>
        <w:b/>
        <w:color w:val="404040"/>
      </w:rPr>
    </w:tblStylePr>
    <w:tblStylePr w:type="band1Vert">
      <w:tcPr>
        <w:shd w:val="clear" w:color="EFD2D2" w:fill="EFD2D2"/>
      </w:tcPr>
    </w:tblStylePr>
    <w:tblStylePr w:type="band1Horz">
      <w:tcPr>
        <w:shd w:val="clear" w:color="EFD2D2" w:fill="EFD2D2"/>
      </w:tcPr>
    </w:tblStylePr>
  </w:style>
  <w:style w:type="table" w:customStyle="1" w:styleId="1409">
    <w:name w:val="List Table 1 Light - Accent 36"/>
    <w:basedOn w:val="13"/>
    <w:uiPriority w:val="99"/>
    <w:rPr>
      <w:sz w:val="22"/>
      <w:szCs w:val="22"/>
      <w:lang w:eastAsia="en-US"/>
    </w:rPr>
    <w:tblPr>
      <w:tblCellMar>
        <w:top w:w="0" w:type="dxa"/>
        <w:left w:w="108" w:type="dxa"/>
        <w:bottom w:w="0" w:type="dxa"/>
        <w:right w:w="108" w:type="dxa"/>
      </w:tblCellMar>
    </w:tblPr>
    <w:tblStylePr w:type="firstRow">
      <w:rPr>
        <w:b/>
        <w:color w:val="404040"/>
      </w:rPr>
      <w:tcPr>
        <w:tcBorders>
          <w:top w:val="nil"/>
          <w:left w:val="nil"/>
          <w:bottom w:val="single" w:color="9BBB59" w:sz="4" w:space="0"/>
          <w:right w:val="nil"/>
        </w:tcBorders>
      </w:tcPr>
    </w:tblStylePr>
    <w:tblStylePr w:type="lastRow">
      <w:rPr>
        <w:b/>
        <w:color w:val="404040"/>
      </w:rPr>
      <w:tcPr>
        <w:tcBorders>
          <w:top w:val="single" w:color="9BBB59" w:sz="4" w:space="0"/>
          <w:left w:val="nil"/>
          <w:bottom w:val="nil"/>
          <w:right w:val="nil"/>
        </w:tcBorders>
      </w:tcPr>
    </w:tblStylePr>
    <w:tblStylePr w:type="firstCol">
      <w:rPr>
        <w:b/>
        <w:color w:val="404040"/>
      </w:rPr>
    </w:tblStylePr>
    <w:tblStylePr w:type="lastCol">
      <w:rPr>
        <w:b/>
        <w:color w:val="404040"/>
      </w:rPr>
    </w:tblStylePr>
    <w:tblStylePr w:type="band1Vert">
      <w:tcPr>
        <w:shd w:val="clear" w:color="E5EED5" w:fill="E5EED5"/>
      </w:tcPr>
    </w:tblStylePr>
    <w:tblStylePr w:type="band1Horz">
      <w:tcPr>
        <w:shd w:val="clear" w:color="E5EED5" w:fill="E5EED5"/>
      </w:tcPr>
    </w:tblStylePr>
  </w:style>
  <w:style w:type="table" w:customStyle="1" w:styleId="1410">
    <w:name w:val="List Table 1 Light - Accent 46"/>
    <w:basedOn w:val="13"/>
    <w:uiPriority w:val="99"/>
    <w:rPr>
      <w:sz w:val="22"/>
      <w:szCs w:val="22"/>
      <w:lang w:eastAsia="en-US"/>
    </w:rPr>
    <w:tblPr>
      <w:tblCellMar>
        <w:top w:w="0" w:type="dxa"/>
        <w:left w:w="108" w:type="dxa"/>
        <w:bottom w:w="0" w:type="dxa"/>
        <w:right w:w="108" w:type="dxa"/>
      </w:tblCellMar>
    </w:tblPr>
    <w:tblStylePr w:type="firstRow">
      <w:rPr>
        <w:b/>
        <w:color w:val="404040"/>
      </w:rPr>
      <w:tcPr>
        <w:tcBorders>
          <w:top w:val="nil"/>
          <w:left w:val="nil"/>
          <w:bottom w:val="single" w:color="8064A2" w:sz="4" w:space="0"/>
          <w:right w:val="nil"/>
        </w:tcBorders>
      </w:tcPr>
    </w:tblStylePr>
    <w:tblStylePr w:type="lastRow">
      <w:rPr>
        <w:b/>
        <w:color w:val="404040"/>
      </w:rPr>
      <w:tcPr>
        <w:tcBorders>
          <w:top w:val="single" w:color="8064A2" w:sz="4" w:space="0"/>
          <w:left w:val="nil"/>
          <w:bottom w:val="nil"/>
          <w:right w:val="nil"/>
        </w:tcBorders>
      </w:tcPr>
    </w:tblStylePr>
    <w:tblStylePr w:type="firstCol">
      <w:rPr>
        <w:b/>
        <w:color w:val="404040"/>
      </w:rPr>
    </w:tblStylePr>
    <w:tblStylePr w:type="lastCol">
      <w:rPr>
        <w:b/>
        <w:color w:val="404040"/>
      </w:rPr>
    </w:tblStylePr>
    <w:tblStylePr w:type="band1Vert">
      <w:tcPr>
        <w:shd w:val="clear" w:color="DFD8E7" w:fill="DFD8E7"/>
      </w:tcPr>
    </w:tblStylePr>
    <w:tblStylePr w:type="band1Horz">
      <w:tcPr>
        <w:shd w:val="clear" w:color="DFD8E7" w:fill="DFD8E7"/>
      </w:tcPr>
    </w:tblStylePr>
  </w:style>
  <w:style w:type="table" w:customStyle="1" w:styleId="1411">
    <w:name w:val="List Table 1 Light - Accent 56"/>
    <w:basedOn w:val="13"/>
    <w:uiPriority w:val="99"/>
    <w:rPr>
      <w:sz w:val="22"/>
      <w:szCs w:val="22"/>
      <w:lang w:eastAsia="en-US"/>
    </w:rPr>
    <w:tblPr>
      <w:tblCellMar>
        <w:top w:w="0" w:type="dxa"/>
        <w:left w:w="108" w:type="dxa"/>
        <w:bottom w:w="0" w:type="dxa"/>
        <w:right w:w="108" w:type="dxa"/>
      </w:tblCellMar>
    </w:tblPr>
    <w:tblStylePr w:type="firstRow">
      <w:rPr>
        <w:b/>
        <w:color w:val="404040"/>
      </w:rPr>
      <w:tcPr>
        <w:tcBorders>
          <w:top w:val="nil"/>
          <w:left w:val="nil"/>
          <w:bottom w:val="single" w:color="4BACC6" w:sz="4" w:space="0"/>
          <w:right w:val="nil"/>
        </w:tcBorders>
      </w:tcPr>
    </w:tblStylePr>
    <w:tblStylePr w:type="lastRow">
      <w:rPr>
        <w:b/>
        <w:color w:val="404040"/>
      </w:rPr>
      <w:tcPr>
        <w:tcBorders>
          <w:top w:val="single" w:color="4BACC6" w:sz="4" w:space="0"/>
          <w:left w:val="nil"/>
          <w:bottom w:val="nil"/>
          <w:right w:val="nil"/>
        </w:tcBorders>
      </w:tcPr>
    </w:tblStylePr>
    <w:tblStylePr w:type="firstCol">
      <w:rPr>
        <w:b/>
        <w:color w:val="404040"/>
      </w:rPr>
    </w:tblStylePr>
    <w:tblStylePr w:type="lastCol">
      <w:rPr>
        <w:b/>
        <w:color w:val="404040"/>
      </w:rPr>
    </w:tblStylePr>
    <w:tblStylePr w:type="band1Vert">
      <w:tcPr>
        <w:shd w:val="clear" w:color="D1EAF0" w:fill="D1EAF0"/>
      </w:tcPr>
    </w:tblStylePr>
    <w:tblStylePr w:type="band1Horz">
      <w:tcPr>
        <w:shd w:val="clear" w:color="D1EAF0" w:fill="D1EAF0"/>
      </w:tcPr>
    </w:tblStylePr>
  </w:style>
  <w:style w:type="table" w:customStyle="1" w:styleId="1412">
    <w:name w:val="List Table 1 Light - Accent 66"/>
    <w:basedOn w:val="13"/>
    <w:uiPriority w:val="99"/>
    <w:rPr>
      <w:sz w:val="22"/>
      <w:szCs w:val="22"/>
      <w:lang w:eastAsia="en-US"/>
    </w:rPr>
    <w:tblPr>
      <w:tblCellMar>
        <w:top w:w="0" w:type="dxa"/>
        <w:left w:w="108" w:type="dxa"/>
        <w:bottom w:w="0" w:type="dxa"/>
        <w:right w:w="108" w:type="dxa"/>
      </w:tblCellMar>
    </w:tblPr>
    <w:tblStylePr w:type="firstRow">
      <w:rPr>
        <w:b/>
        <w:color w:val="404040"/>
      </w:rPr>
      <w:tcPr>
        <w:tcBorders>
          <w:top w:val="nil"/>
          <w:left w:val="nil"/>
          <w:bottom w:val="single" w:color="F79646" w:sz="4" w:space="0"/>
          <w:right w:val="nil"/>
        </w:tcBorders>
      </w:tcPr>
    </w:tblStylePr>
    <w:tblStylePr w:type="lastRow">
      <w:rPr>
        <w:b/>
        <w:color w:val="404040"/>
      </w:rPr>
      <w:tcPr>
        <w:tcBorders>
          <w:top w:val="single" w:color="F79646" w:sz="4" w:space="0"/>
          <w:left w:val="nil"/>
          <w:bottom w:val="nil"/>
          <w:right w:val="nil"/>
        </w:tcBorders>
      </w:tcPr>
    </w:tblStylePr>
    <w:tblStylePr w:type="firstCol">
      <w:rPr>
        <w:b/>
        <w:color w:val="404040"/>
      </w:rPr>
    </w:tblStylePr>
    <w:tblStylePr w:type="lastCol">
      <w:rPr>
        <w:b/>
        <w:color w:val="404040"/>
      </w:rPr>
    </w:tblStylePr>
    <w:tblStylePr w:type="band1Vert">
      <w:tcPr>
        <w:shd w:val="clear" w:color="FDE4D0" w:fill="FDE4D0"/>
      </w:tcPr>
    </w:tblStylePr>
    <w:tblStylePr w:type="band1Horz">
      <w:tcPr>
        <w:shd w:val="clear" w:color="FDE4D0" w:fill="FDE4D0"/>
      </w:tcPr>
    </w:tblStylePr>
  </w:style>
  <w:style w:type="table" w:customStyle="1" w:styleId="1413">
    <w:name w:val="Список-таблица 214"/>
    <w:basedOn w:val="13"/>
    <w:uiPriority w:val="99"/>
    <w:rPr>
      <w:sz w:val="22"/>
      <w:szCs w:val="22"/>
      <w:lang w:eastAsia="en-US"/>
    </w:rPr>
    <w:tblPr>
      <w:tblBorders>
        <w:top w:val="single" w:color="6F6F6F" w:sz="4" w:space="0"/>
        <w:bottom w:val="single" w:color="6F6F6F" w:sz="4" w:space="0"/>
        <w:insideH w:val="single" w:color="6F6F6F" w:sz="4" w:space="0"/>
      </w:tblBorders>
      <w:tblCellMar>
        <w:top w:w="0" w:type="dxa"/>
        <w:left w:w="108" w:type="dxa"/>
        <w:bottom w:w="0" w:type="dxa"/>
        <w:right w:w="108" w:type="dxa"/>
      </w:tblCellMar>
    </w:tblPr>
    <w:tblStylePr w:type="firstRow">
      <w:rPr>
        <w:rFonts w:ascii="Arial" w:hAnsi="Arial"/>
        <w:b/>
        <w:color w:val="404040"/>
        <w:sz w:val="22"/>
      </w:rPr>
      <w:tcPr>
        <w:tcBorders>
          <w:top w:val="single" w:color="6F6F6F" w:sz="4" w:space="0"/>
          <w:left w:val="nil"/>
          <w:bottom w:val="single" w:color="6F6F6F" w:sz="4" w:space="0"/>
          <w:right w:val="nil"/>
        </w:tcBorders>
      </w:tcPr>
    </w:tblStylePr>
    <w:tblStylePr w:type="lastRow">
      <w:rPr>
        <w:rFonts w:ascii="Arial" w:hAnsi="Arial"/>
        <w:b/>
        <w:color w:val="404040"/>
        <w:sz w:val="22"/>
      </w:rPr>
      <w:tcPr>
        <w:tcBorders>
          <w:top w:val="single" w:color="6F6F6F" w:sz="4" w:space="0"/>
          <w:left w:val="nil"/>
          <w:bottom w:val="single" w:color="6F6F6F"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BFBFBF" w:fill="BFBFBF"/>
      </w:tcPr>
    </w:tblStylePr>
    <w:tblStylePr w:type="band1Horz">
      <w:rPr>
        <w:rFonts w:ascii="Arial" w:hAnsi="Arial"/>
        <w:color w:val="404040"/>
        <w:sz w:val="22"/>
      </w:rPr>
      <w:tcPr>
        <w:shd w:val="clear" w:color="BFBFBF" w:fill="BFBFBF"/>
      </w:tcPr>
    </w:tblStylePr>
  </w:style>
  <w:style w:type="table" w:customStyle="1" w:styleId="1414">
    <w:name w:val="List Table 2 - Accent 16"/>
    <w:basedOn w:val="13"/>
    <w:uiPriority w:val="99"/>
    <w:rPr>
      <w:sz w:val="22"/>
      <w:szCs w:val="22"/>
      <w:lang w:eastAsia="en-US"/>
    </w:rPr>
    <w:tblPr>
      <w:tblBorders>
        <w:top w:val="single" w:color="9BB7D9" w:sz="4" w:space="0"/>
        <w:bottom w:val="single" w:color="9BB7D9" w:sz="4" w:space="0"/>
        <w:insideH w:val="single" w:color="9BB7D9" w:sz="4" w:space="0"/>
      </w:tblBorders>
      <w:tblCellMar>
        <w:top w:w="0" w:type="dxa"/>
        <w:left w:w="108" w:type="dxa"/>
        <w:bottom w:w="0" w:type="dxa"/>
        <w:right w:w="108" w:type="dxa"/>
      </w:tblCellMar>
    </w:tblPr>
    <w:tblStylePr w:type="firstRow">
      <w:rPr>
        <w:rFonts w:ascii="Arial" w:hAnsi="Arial"/>
        <w:b/>
        <w:color w:val="404040"/>
        <w:sz w:val="22"/>
      </w:rPr>
      <w:tcPr>
        <w:tcBorders>
          <w:top w:val="single" w:color="9BB7D9" w:sz="4" w:space="0"/>
          <w:left w:val="nil"/>
          <w:bottom w:val="single" w:color="9BB7D9" w:sz="4" w:space="0"/>
          <w:right w:val="nil"/>
        </w:tcBorders>
      </w:tcPr>
    </w:tblStylePr>
    <w:tblStylePr w:type="lastRow">
      <w:rPr>
        <w:rFonts w:ascii="Arial" w:hAnsi="Arial"/>
        <w:b/>
        <w:color w:val="404040"/>
        <w:sz w:val="22"/>
      </w:rPr>
      <w:tcPr>
        <w:tcBorders>
          <w:top w:val="single" w:color="9BB7D9" w:sz="4" w:space="0"/>
          <w:left w:val="nil"/>
          <w:bottom w:val="single" w:color="9BB7D9"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D2DFEE" w:fill="D2DFEE"/>
      </w:tcPr>
    </w:tblStylePr>
    <w:tblStylePr w:type="band1Horz">
      <w:rPr>
        <w:rFonts w:ascii="Arial" w:hAnsi="Arial"/>
        <w:color w:val="404040"/>
        <w:sz w:val="22"/>
      </w:rPr>
      <w:tcPr>
        <w:shd w:val="clear" w:color="D2DFEE" w:fill="D2DFEE"/>
      </w:tcPr>
    </w:tblStylePr>
  </w:style>
  <w:style w:type="table" w:customStyle="1" w:styleId="1415">
    <w:name w:val="List Table 2 - Accent 26"/>
    <w:basedOn w:val="13"/>
    <w:uiPriority w:val="99"/>
    <w:rPr>
      <w:sz w:val="22"/>
      <w:szCs w:val="22"/>
      <w:lang w:eastAsia="en-US"/>
    </w:rPr>
    <w:tblPr>
      <w:tblBorders>
        <w:top w:val="single" w:color="DB9B9A" w:sz="4" w:space="0"/>
        <w:bottom w:val="single" w:color="DB9B9A" w:sz="4" w:space="0"/>
        <w:insideH w:val="single" w:color="DB9B9A" w:sz="4" w:space="0"/>
      </w:tblBorders>
      <w:tblCellMar>
        <w:top w:w="0" w:type="dxa"/>
        <w:left w:w="108" w:type="dxa"/>
        <w:bottom w:w="0" w:type="dxa"/>
        <w:right w:w="108" w:type="dxa"/>
      </w:tblCellMar>
    </w:tblPr>
    <w:tblStylePr w:type="firstRow">
      <w:rPr>
        <w:rFonts w:ascii="Arial" w:hAnsi="Arial"/>
        <w:b/>
        <w:color w:val="404040"/>
        <w:sz w:val="22"/>
      </w:rPr>
      <w:tcPr>
        <w:tcBorders>
          <w:top w:val="single" w:color="DB9B9A" w:sz="4" w:space="0"/>
          <w:left w:val="nil"/>
          <w:bottom w:val="single" w:color="DB9B9A" w:sz="4" w:space="0"/>
          <w:right w:val="nil"/>
        </w:tcBorders>
      </w:tcPr>
    </w:tblStylePr>
    <w:tblStylePr w:type="lastRow">
      <w:rPr>
        <w:rFonts w:ascii="Arial" w:hAnsi="Arial"/>
        <w:b/>
        <w:color w:val="404040"/>
        <w:sz w:val="22"/>
      </w:rPr>
      <w:tcPr>
        <w:tcBorders>
          <w:top w:val="single" w:color="DB9B9A" w:sz="4" w:space="0"/>
          <w:left w:val="nil"/>
          <w:bottom w:val="single" w:color="DB9B9A"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EFD2D2" w:fill="EFD2D2"/>
      </w:tcPr>
    </w:tblStylePr>
    <w:tblStylePr w:type="band1Horz">
      <w:rPr>
        <w:rFonts w:ascii="Arial" w:hAnsi="Arial"/>
        <w:color w:val="404040"/>
        <w:sz w:val="22"/>
      </w:rPr>
      <w:tcPr>
        <w:shd w:val="clear" w:color="EFD2D2" w:fill="EFD2D2"/>
      </w:tcPr>
    </w:tblStylePr>
  </w:style>
  <w:style w:type="table" w:customStyle="1" w:styleId="1416">
    <w:name w:val="List Table 2 - Accent 36"/>
    <w:basedOn w:val="13"/>
    <w:uiPriority w:val="99"/>
    <w:rPr>
      <w:sz w:val="22"/>
      <w:szCs w:val="22"/>
      <w:lang w:eastAsia="en-US"/>
    </w:rPr>
    <w:tblPr>
      <w:tblBorders>
        <w:top w:val="single" w:color="C6D8A1" w:sz="4" w:space="0"/>
        <w:bottom w:val="single" w:color="C6D8A1" w:sz="4" w:space="0"/>
        <w:insideH w:val="single" w:color="C6D8A1" w:sz="4" w:space="0"/>
      </w:tblBorders>
      <w:tblCellMar>
        <w:top w:w="0" w:type="dxa"/>
        <w:left w:w="108" w:type="dxa"/>
        <w:bottom w:w="0" w:type="dxa"/>
        <w:right w:w="108" w:type="dxa"/>
      </w:tblCellMar>
    </w:tblPr>
    <w:tblStylePr w:type="firstRow">
      <w:rPr>
        <w:rFonts w:ascii="Arial" w:hAnsi="Arial"/>
        <w:b/>
        <w:color w:val="404040"/>
        <w:sz w:val="22"/>
      </w:rPr>
      <w:tcPr>
        <w:tcBorders>
          <w:top w:val="single" w:color="C6D8A1" w:sz="4" w:space="0"/>
          <w:left w:val="nil"/>
          <w:bottom w:val="single" w:color="C6D8A1" w:sz="4" w:space="0"/>
          <w:right w:val="nil"/>
        </w:tcBorders>
      </w:tcPr>
    </w:tblStylePr>
    <w:tblStylePr w:type="lastRow">
      <w:rPr>
        <w:rFonts w:ascii="Arial" w:hAnsi="Arial"/>
        <w:b/>
        <w:color w:val="404040"/>
        <w:sz w:val="22"/>
      </w:rPr>
      <w:tcPr>
        <w:tcBorders>
          <w:top w:val="single" w:color="C6D8A1" w:sz="4" w:space="0"/>
          <w:left w:val="nil"/>
          <w:bottom w:val="single" w:color="C6D8A1"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E5EED5" w:fill="E5EED5"/>
      </w:tcPr>
    </w:tblStylePr>
    <w:tblStylePr w:type="band1Horz">
      <w:rPr>
        <w:rFonts w:ascii="Arial" w:hAnsi="Arial"/>
        <w:color w:val="404040"/>
        <w:sz w:val="22"/>
      </w:rPr>
      <w:tcPr>
        <w:shd w:val="clear" w:color="E5EED5" w:fill="E5EED5"/>
      </w:tcPr>
    </w:tblStylePr>
  </w:style>
  <w:style w:type="table" w:customStyle="1" w:styleId="1417">
    <w:name w:val="List Table 2 - Accent 46"/>
    <w:basedOn w:val="13"/>
    <w:uiPriority w:val="99"/>
    <w:rPr>
      <w:sz w:val="22"/>
      <w:szCs w:val="22"/>
      <w:lang w:eastAsia="en-US"/>
    </w:rPr>
    <w:tblPr>
      <w:tblBorders>
        <w:top w:val="single" w:color="B7A7CA" w:sz="4" w:space="0"/>
        <w:bottom w:val="single" w:color="B7A7CA" w:sz="4" w:space="0"/>
        <w:insideH w:val="single" w:color="B7A7CA" w:sz="4" w:space="0"/>
      </w:tblBorders>
      <w:tblCellMar>
        <w:top w:w="0" w:type="dxa"/>
        <w:left w:w="108" w:type="dxa"/>
        <w:bottom w:w="0" w:type="dxa"/>
        <w:right w:w="108" w:type="dxa"/>
      </w:tblCellMar>
    </w:tblPr>
    <w:tblStylePr w:type="firstRow">
      <w:rPr>
        <w:rFonts w:ascii="Arial" w:hAnsi="Arial"/>
        <w:b/>
        <w:color w:val="404040"/>
        <w:sz w:val="22"/>
      </w:rPr>
      <w:tcPr>
        <w:tcBorders>
          <w:top w:val="single" w:color="B7A7CA" w:sz="4" w:space="0"/>
          <w:left w:val="nil"/>
          <w:bottom w:val="single" w:color="B7A7CA" w:sz="4" w:space="0"/>
          <w:right w:val="nil"/>
        </w:tcBorders>
      </w:tcPr>
    </w:tblStylePr>
    <w:tblStylePr w:type="lastRow">
      <w:rPr>
        <w:rFonts w:ascii="Arial" w:hAnsi="Arial"/>
        <w:b/>
        <w:color w:val="404040"/>
        <w:sz w:val="22"/>
      </w:rPr>
      <w:tcPr>
        <w:tcBorders>
          <w:top w:val="single" w:color="B7A7CA" w:sz="4" w:space="0"/>
          <w:left w:val="nil"/>
          <w:bottom w:val="single" w:color="B7A7CA"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DFD8E7" w:fill="DFD8E7"/>
      </w:tcPr>
    </w:tblStylePr>
    <w:tblStylePr w:type="band1Horz">
      <w:rPr>
        <w:rFonts w:ascii="Arial" w:hAnsi="Arial"/>
        <w:color w:val="404040"/>
        <w:sz w:val="22"/>
      </w:rPr>
      <w:tcPr>
        <w:shd w:val="clear" w:color="DFD8E7" w:fill="DFD8E7"/>
      </w:tcPr>
    </w:tblStylePr>
  </w:style>
  <w:style w:type="table" w:customStyle="1" w:styleId="1418">
    <w:name w:val="List Table 2 - Accent 56"/>
    <w:basedOn w:val="13"/>
    <w:uiPriority w:val="99"/>
    <w:rPr>
      <w:sz w:val="22"/>
      <w:szCs w:val="22"/>
      <w:lang w:eastAsia="en-US"/>
    </w:rPr>
    <w:tblPr>
      <w:tblBorders>
        <w:top w:val="single" w:color="99D0DE" w:sz="4" w:space="0"/>
        <w:bottom w:val="single" w:color="99D0DE" w:sz="4" w:space="0"/>
        <w:insideH w:val="single" w:color="99D0DE" w:sz="4" w:space="0"/>
      </w:tblBorders>
      <w:tblCellMar>
        <w:top w:w="0" w:type="dxa"/>
        <w:left w:w="108" w:type="dxa"/>
        <w:bottom w:w="0" w:type="dxa"/>
        <w:right w:w="108" w:type="dxa"/>
      </w:tblCellMar>
    </w:tblPr>
    <w:tblStylePr w:type="firstRow">
      <w:rPr>
        <w:rFonts w:ascii="Arial" w:hAnsi="Arial"/>
        <w:b/>
        <w:color w:val="404040"/>
        <w:sz w:val="22"/>
      </w:rPr>
      <w:tcPr>
        <w:tcBorders>
          <w:top w:val="single" w:color="99D0DE" w:sz="4" w:space="0"/>
          <w:left w:val="nil"/>
          <w:bottom w:val="single" w:color="99D0DE" w:sz="4" w:space="0"/>
          <w:right w:val="nil"/>
        </w:tcBorders>
      </w:tcPr>
    </w:tblStylePr>
    <w:tblStylePr w:type="lastRow">
      <w:rPr>
        <w:rFonts w:ascii="Arial" w:hAnsi="Arial"/>
        <w:b/>
        <w:color w:val="404040"/>
        <w:sz w:val="22"/>
      </w:rPr>
      <w:tcPr>
        <w:tcBorders>
          <w:top w:val="single" w:color="99D0DE" w:sz="4" w:space="0"/>
          <w:left w:val="nil"/>
          <w:bottom w:val="single" w:color="99D0DE"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D1EAF0" w:fill="D1EAF0"/>
      </w:tcPr>
    </w:tblStylePr>
    <w:tblStylePr w:type="band1Horz">
      <w:rPr>
        <w:rFonts w:ascii="Arial" w:hAnsi="Arial"/>
        <w:color w:val="404040"/>
        <w:sz w:val="22"/>
      </w:rPr>
      <w:tcPr>
        <w:shd w:val="clear" w:color="D1EAF0" w:fill="D1EAF0"/>
      </w:tcPr>
    </w:tblStylePr>
  </w:style>
  <w:style w:type="table" w:customStyle="1" w:styleId="1419">
    <w:name w:val="List Table 2 - Accent 66"/>
    <w:basedOn w:val="13"/>
    <w:uiPriority w:val="99"/>
    <w:rPr>
      <w:sz w:val="22"/>
      <w:szCs w:val="22"/>
      <w:lang w:eastAsia="en-US"/>
    </w:rPr>
    <w:tblPr>
      <w:tblBorders>
        <w:top w:val="single" w:color="FAC396" w:sz="4" w:space="0"/>
        <w:bottom w:val="single" w:color="FAC396" w:sz="4" w:space="0"/>
        <w:insideH w:val="single" w:color="FAC396" w:sz="4" w:space="0"/>
      </w:tblBorders>
      <w:tblCellMar>
        <w:top w:w="0" w:type="dxa"/>
        <w:left w:w="108" w:type="dxa"/>
        <w:bottom w:w="0" w:type="dxa"/>
        <w:right w:w="108" w:type="dxa"/>
      </w:tblCellMar>
    </w:tblPr>
    <w:tblStylePr w:type="firstRow">
      <w:rPr>
        <w:rFonts w:ascii="Arial" w:hAnsi="Arial"/>
        <w:b/>
        <w:color w:val="404040"/>
        <w:sz w:val="22"/>
      </w:rPr>
      <w:tcPr>
        <w:tcBorders>
          <w:top w:val="single" w:color="FAC396" w:sz="4" w:space="0"/>
          <w:left w:val="nil"/>
          <w:bottom w:val="single" w:color="FAC396" w:sz="4" w:space="0"/>
          <w:right w:val="nil"/>
        </w:tcBorders>
      </w:tcPr>
    </w:tblStylePr>
    <w:tblStylePr w:type="lastRow">
      <w:rPr>
        <w:rFonts w:ascii="Arial" w:hAnsi="Arial"/>
        <w:b/>
        <w:color w:val="404040"/>
        <w:sz w:val="22"/>
      </w:rPr>
      <w:tcPr>
        <w:tcBorders>
          <w:top w:val="single" w:color="FAC396" w:sz="4" w:space="0"/>
          <w:left w:val="nil"/>
          <w:bottom w:val="single" w:color="FAC396"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FDE4D0" w:fill="FDE4D0"/>
      </w:tcPr>
    </w:tblStylePr>
    <w:tblStylePr w:type="band1Horz">
      <w:rPr>
        <w:rFonts w:ascii="Arial" w:hAnsi="Arial"/>
        <w:color w:val="404040"/>
        <w:sz w:val="22"/>
      </w:rPr>
      <w:tcPr>
        <w:shd w:val="clear" w:color="FDE4D0" w:fill="FDE4D0"/>
      </w:tcPr>
    </w:tblStylePr>
  </w:style>
  <w:style w:type="table" w:customStyle="1" w:styleId="1420">
    <w:name w:val="Список-таблица 314"/>
    <w:basedOn w:val="13"/>
    <w:uiPriority w:val="99"/>
    <w:rPr>
      <w:sz w:val="22"/>
      <w:szCs w:val="22"/>
      <w:lang w:eastAsia="en-US"/>
    </w:rPr>
    <w:tblPr>
      <w:tblBorders>
        <w:top w:val="single" w:color="000000" w:sz="4" w:space="0"/>
        <w:left w:val="single" w:color="000000" w:sz="4" w:space="0"/>
        <w:bottom w:val="single" w:color="000000" w:sz="4" w:space="0"/>
        <w:right w:val="single" w:color="000000" w:sz="4" w:space="0"/>
      </w:tblBorders>
      <w:tblCellMar>
        <w:top w:w="0" w:type="dxa"/>
        <w:left w:w="108" w:type="dxa"/>
        <w:bottom w:w="0" w:type="dxa"/>
        <w:right w:w="108" w:type="dxa"/>
      </w:tblCellMar>
    </w:tblPr>
    <w:tblStylePr w:type="firstRow">
      <w:rPr>
        <w:rFonts w:ascii="Arial" w:hAnsi="Arial"/>
        <w:b/>
        <w:color w:val="FFFFFF"/>
        <w:sz w:val="22"/>
      </w:r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000000" w:sz="4" w:space="0"/>
          <w:right w:val="single" w:color="000000" w:sz="4" w:space="0"/>
        </w:tcBorders>
      </w:tcPr>
    </w:tblStylePr>
    <w:tblStylePr w:type="band1Horz">
      <w:rPr>
        <w:rFonts w:ascii="Arial" w:hAnsi="Arial"/>
        <w:color w:val="404040"/>
        <w:sz w:val="22"/>
      </w:rPr>
      <w:tcPr>
        <w:tcBorders>
          <w:top w:val="single" w:color="000000" w:sz="4" w:space="0"/>
          <w:bottom w:val="single" w:color="000000" w:sz="4" w:space="0"/>
        </w:tcBorders>
      </w:tcPr>
    </w:tblStylePr>
  </w:style>
  <w:style w:type="table" w:customStyle="1" w:styleId="1421">
    <w:name w:val="List Table 3 - Accent 16"/>
    <w:basedOn w:val="13"/>
    <w:uiPriority w:val="99"/>
    <w:rPr>
      <w:sz w:val="22"/>
      <w:szCs w:val="22"/>
      <w:lang w:eastAsia="en-US"/>
    </w:rPr>
    <w:tblPr>
      <w:tblBorders>
        <w:top w:val="single" w:color="4F81BD" w:sz="4" w:space="0"/>
        <w:left w:val="single" w:color="4F81BD" w:sz="4" w:space="0"/>
        <w:bottom w:val="single" w:color="4F81BD" w:sz="4" w:space="0"/>
        <w:right w:val="single" w:color="4F81BD" w:sz="4" w:space="0"/>
      </w:tblBorders>
      <w:tblCellMar>
        <w:top w:w="0" w:type="dxa"/>
        <w:left w:w="108" w:type="dxa"/>
        <w:bottom w:w="0" w:type="dxa"/>
        <w:right w:w="108" w:type="dxa"/>
      </w:tblCellMar>
    </w:tblPr>
    <w:tblStylePr w:type="firstRow">
      <w:rPr>
        <w:rFonts w:ascii="Arial" w:hAnsi="Arial"/>
        <w:b/>
        <w:color w:val="FFFFFF"/>
        <w:sz w:val="22"/>
      </w:rPr>
      <w:tcPr>
        <w:shd w:val="clear" w:color="4F81BD"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4F81BD" w:sz="4" w:space="0"/>
          <w:right w:val="single" w:color="4F81BD" w:sz="4" w:space="0"/>
        </w:tcBorders>
      </w:tcPr>
    </w:tblStylePr>
    <w:tblStylePr w:type="band1Horz">
      <w:rPr>
        <w:rFonts w:ascii="Arial" w:hAnsi="Arial"/>
        <w:color w:val="404040"/>
        <w:sz w:val="22"/>
      </w:rPr>
      <w:tcPr>
        <w:tcBorders>
          <w:top w:val="single" w:color="4F81BD" w:sz="4" w:space="0"/>
          <w:bottom w:val="single" w:color="4F81BD" w:sz="4" w:space="0"/>
        </w:tcBorders>
      </w:tcPr>
    </w:tblStylePr>
  </w:style>
  <w:style w:type="table" w:customStyle="1" w:styleId="1422">
    <w:name w:val="List Table 3 - Accent 26"/>
    <w:basedOn w:val="13"/>
    <w:uiPriority w:val="99"/>
    <w:rPr>
      <w:sz w:val="22"/>
      <w:szCs w:val="22"/>
      <w:lang w:eastAsia="en-US"/>
    </w:rPr>
    <w:tblPr>
      <w:tblBorders>
        <w:top w:val="single" w:color="D99695" w:sz="4" w:space="0"/>
        <w:left w:val="single" w:color="D99695" w:sz="4" w:space="0"/>
        <w:bottom w:val="single" w:color="D99695" w:sz="4" w:space="0"/>
        <w:right w:val="single" w:color="D99695" w:sz="4" w:space="0"/>
      </w:tblBorders>
      <w:tblCellMar>
        <w:top w:w="0" w:type="dxa"/>
        <w:left w:w="108" w:type="dxa"/>
        <w:bottom w:w="0" w:type="dxa"/>
        <w:right w:w="108" w:type="dxa"/>
      </w:tblCellMar>
    </w:tblPr>
    <w:tblStylePr w:type="firstRow">
      <w:rPr>
        <w:rFonts w:ascii="Arial" w:hAnsi="Arial"/>
        <w:b/>
        <w:color w:val="FFFFFF"/>
        <w:sz w:val="22"/>
      </w:rPr>
      <w:tcPr>
        <w:shd w:val="clear" w:color="D99695" w:fill="D9969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D99695" w:sz="4" w:space="0"/>
          <w:right w:val="single" w:color="D99695" w:sz="4" w:space="0"/>
        </w:tcBorders>
      </w:tcPr>
    </w:tblStylePr>
    <w:tblStylePr w:type="band1Horz">
      <w:rPr>
        <w:rFonts w:ascii="Arial" w:hAnsi="Arial"/>
        <w:color w:val="404040"/>
        <w:sz w:val="22"/>
      </w:rPr>
      <w:tcPr>
        <w:tcBorders>
          <w:top w:val="single" w:color="D99695" w:sz="4" w:space="0"/>
          <w:bottom w:val="single" w:color="D99695" w:sz="4" w:space="0"/>
        </w:tcBorders>
      </w:tcPr>
    </w:tblStylePr>
  </w:style>
  <w:style w:type="table" w:customStyle="1" w:styleId="1423">
    <w:name w:val="List Table 3 - Accent 36"/>
    <w:basedOn w:val="13"/>
    <w:uiPriority w:val="99"/>
    <w:rPr>
      <w:sz w:val="22"/>
      <w:szCs w:val="22"/>
      <w:lang w:eastAsia="en-US"/>
    </w:rPr>
    <w:tblPr>
      <w:tblBorders>
        <w:top w:val="single" w:color="C3D69B" w:sz="4" w:space="0"/>
        <w:left w:val="single" w:color="C3D69B" w:sz="4" w:space="0"/>
        <w:bottom w:val="single" w:color="C3D69B" w:sz="4" w:space="0"/>
        <w:right w:val="single" w:color="C3D69B" w:sz="4" w:space="0"/>
      </w:tblBorders>
      <w:tblCellMar>
        <w:top w:w="0" w:type="dxa"/>
        <w:left w:w="108" w:type="dxa"/>
        <w:bottom w:w="0" w:type="dxa"/>
        <w:right w:w="108" w:type="dxa"/>
      </w:tblCellMar>
    </w:tblPr>
    <w:tblStylePr w:type="firstRow">
      <w:rPr>
        <w:rFonts w:ascii="Arial" w:hAnsi="Arial"/>
        <w:b/>
        <w:color w:val="FFFFFF"/>
        <w:sz w:val="22"/>
      </w:rPr>
      <w:tcPr>
        <w:shd w:val="clear" w:color="C3D69B" w:fill="C3D69B"/>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C3D69B" w:sz="4" w:space="0"/>
          <w:right w:val="single" w:color="C3D69B" w:sz="4" w:space="0"/>
        </w:tcBorders>
      </w:tcPr>
    </w:tblStylePr>
    <w:tblStylePr w:type="band1Horz">
      <w:rPr>
        <w:rFonts w:ascii="Arial" w:hAnsi="Arial"/>
        <w:color w:val="404040"/>
        <w:sz w:val="22"/>
      </w:rPr>
      <w:tcPr>
        <w:tcBorders>
          <w:top w:val="single" w:color="C3D69B" w:sz="4" w:space="0"/>
          <w:bottom w:val="single" w:color="C3D69B" w:sz="4" w:space="0"/>
        </w:tcBorders>
      </w:tcPr>
    </w:tblStylePr>
  </w:style>
  <w:style w:type="table" w:customStyle="1" w:styleId="1424">
    <w:name w:val="List Table 3 - Accent 46"/>
    <w:basedOn w:val="13"/>
    <w:uiPriority w:val="99"/>
    <w:rPr>
      <w:sz w:val="22"/>
      <w:szCs w:val="22"/>
      <w:lang w:eastAsia="en-US"/>
    </w:rPr>
    <w:tblPr>
      <w:tblBorders>
        <w:top w:val="single" w:color="B2A1C6" w:sz="4" w:space="0"/>
        <w:left w:val="single" w:color="B2A1C6" w:sz="4" w:space="0"/>
        <w:bottom w:val="single" w:color="B2A1C6" w:sz="4" w:space="0"/>
        <w:right w:val="single" w:color="B2A1C6" w:sz="4" w:space="0"/>
      </w:tblBorders>
      <w:tblCellMar>
        <w:top w:w="0" w:type="dxa"/>
        <w:left w:w="108" w:type="dxa"/>
        <w:bottom w:w="0" w:type="dxa"/>
        <w:right w:w="108" w:type="dxa"/>
      </w:tblCellMar>
    </w:tblPr>
    <w:tblStylePr w:type="firstRow">
      <w:rPr>
        <w:rFonts w:ascii="Arial" w:hAnsi="Arial"/>
        <w:b/>
        <w:color w:val="FFFFFF"/>
        <w:sz w:val="22"/>
      </w:rPr>
      <w:tcPr>
        <w:shd w:val="clear" w:color="B2A1C6" w:fill="B2A1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B2A1C6" w:sz="4" w:space="0"/>
          <w:right w:val="single" w:color="B2A1C6" w:sz="4" w:space="0"/>
        </w:tcBorders>
      </w:tcPr>
    </w:tblStylePr>
    <w:tblStylePr w:type="band1Horz">
      <w:rPr>
        <w:rFonts w:ascii="Arial" w:hAnsi="Arial"/>
        <w:color w:val="404040"/>
        <w:sz w:val="22"/>
      </w:rPr>
      <w:tcPr>
        <w:tcBorders>
          <w:top w:val="single" w:color="B2A1C6" w:sz="4" w:space="0"/>
          <w:bottom w:val="single" w:color="B2A1C6" w:sz="4" w:space="0"/>
        </w:tcBorders>
      </w:tcPr>
    </w:tblStylePr>
  </w:style>
  <w:style w:type="table" w:customStyle="1" w:styleId="1425">
    <w:name w:val="List Table 3 - Accent 56"/>
    <w:basedOn w:val="13"/>
    <w:uiPriority w:val="99"/>
    <w:rPr>
      <w:sz w:val="22"/>
      <w:szCs w:val="22"/>
      <w:lang w:eastAsia="en-US"/>
    </w:rPr>
    <w:tblPr>
      <w:tblBorders>
        <w:top w:val="single" w:color="92CCDC" w:sz="4" w:space="0"/>
        <w:left w:val="single" w:color="92CCDC" w:sz="4" w:space="0"/>
        <w:bottom w:val="single" w:color="92CCDC" w:sz="4" w:space="0"/>
        <w:right w:val="single" w:color="92CCDC" w:sz="4" w:space="0"/>
      </w:tblBorders>
      <w:tblCellMar>
        <w:top w:w="0" w:type="dxa"/>
        <w:left w:w="108" w:type="dxa"/>
        <w:bottom w:w="0" w:type="dxa"/>
        <w:right w:w="108" w:type="dxa"/>
      </w:tblCellMar>
    </w:tblPr>
    <w:tblStylePr w:type="firstRow">
      <w:rPr>
        <w:rFonts w:ascii="Arial" w:hAnsi="Arial"/>
        <w:b/>
        <w:color w:val="FFFFFF"/>
        <w:sz w:val="22"/>
      </w:rPr>
      <w:tcPr>
        <w:shd w:val="clear" w:color="92CCDC" w:fill="92CCDC"/>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92CCDC" w:sz="4" w:space="0"/>
          <w:right w:val="single" w:color="92CCDC" w:sz="4" w:space="0"/>
        </w:tcBorders>
      </w:tcPr>
    </w:tblStylePr>
    <w:tblStylePr w:type="band1Horz">
      <w:rPr>
        <w:rFonts w:ascii="Arial" w:hAnsi="Arial"/>
        <w:color w:val="404040"/>
        <w:sz w:val="22"/>
      </w:rPr>
      <w:tcPr>
        <w:tcBorders>
          <w:top w:val="single" w:color="92CCDC" w:sz="4" w:space="0"/>
          <w:bottom w:val="single" w:color="92CCDC" w:sz="4" w:space="0"/>
        </w:tcBorders>
      </w:tcPr>
    </w:tblStylePr>
  </w:style>
  <w:style w:type="table" w:customStyle="1" w:styleId="1426">
    <w:name w:val="List Table 3 - Accent 66"/>
    <w:basedOn w:val="13"/>
    <w:uiPriority w:val="99"/>
    <w:rPr>
      <w:sz w:val="22"/>
      <w:szCs w:val="22"/>
      <w:lang w:eastAsia="en-US"/>
    </w:rPr>
    <w:tblPr>
      <w:tblBorders>
        <w:top w:val="single" w:color="FAC090" w:sz="4" w:space="0"/>
        <w:left w:val="single" w:color="FAC090" w:sz="4" w:space="0"/>
        <w:bottom w:val="single" w:color="FAC090" w:sz="4" w:space="0"/>
        <w:right w:val="single" w:color="FAC090" w:sz="4" w:space="0"/>
      </w:tblBorders>
      <w:tblCellMar>
        <w:top w:w="0" w:type="dxa"/>
        <w:left w:w="108" w:type="dxa"/>
        <w:bottom w:w="0" w:type="dxa"/>
        <w:right w:w="108" w:type="dxa"/>
      </w:tblCellMar>
    </w:tblPr>
    <w:tblStylePr w:type="firstRow">
      <w:rPr>
        <w:rFonts w:ascii="Arial" w:hAnsi="Arial"/>
        <w:b/>
        <w:color w:val="FFFFFF"/>
        <w:sz w:val="22"/>
      </w:rPr>
      <w:tcPr>
        <w:shd w:val="clear" w:color="FAC090" w:fill="FAC09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FAC090" w:sz="4" w:space="0"/>
          <w:right w:val="single" w:color="FAC090" w:sz="4" w:space="0"/>
        </w:tcBorders>
      </w:tcPr>
    </w:tblStylePr>
    <w:tblStylePr w:type="band1Horz">
      <w:rPr>
        <w:rFonts w:ascii="Arial" w:hAnsi="Arial"/>
        <w:color w:val="404040"/>
        <w:sz w:val="22"/>
      </w:rPr>
      <w:tcPr>
        <w:tcBorders>
          <w:top w:val="single" w:color="FAC090" w:sz="4" w:space="0"/>
          <w:bottom w:val="single" w:color="FAC090" w:sz="4" w:space="0"/>
        </w:tcBorders>
      </w:tcPr>
    </w:tblStylePr>
  </w:style>
  <w:style w:type="table" w:customStyle="1" w:styleId="1427">
    <w:name w:val="Список-таблица 414"/>
    <w:basedOn w:val="13"/>
    <w:uiPriority w:val="99"/>
    <w:rPr>
      <w:sz w:val="22"/>
      <w:szCs w:val="22"/>
      <w:lang w:eastAsia="en-US"/>
    </w:rPr>
    <w:tblPr>
      <w:tblBorders>
        <w:top w:val="single" w:color="000000" w:sz="4" w:space="0"/>
        <w:left w:val="single" w:color="000000" w:sz="4" w:space="0"/>
        <w:bottom w:val="single" w:color="000000" w:sz="4" w:space="0"/>
        <w:right w:val="single" w:color="000000" w:sz="4" w:space="0"/>
        <w:insideH w:val="single" w:color="000000" w:sz="4" w:space="0"/>
      </w:tblBorders>
      <w:tblCellMar>
        <w:top w:w="0" w:type="dxa"/>
        <w:left w:w="108" w:type="dxa"/>
        <w:bottom w:w="0" w:type="dxa"/>
        <w:right w:w="108" w:type="dxa"/>
      </w:tblCellMar>
    </w:tblPr>
    <w:tblStylePr w:type="firstRow">
      <w:rPr>
        <w:rFonts w:ascii="Arial" w:hAnsi="Arial"/>
        <w:b/>
        <w:color w:val="FFFFFF"/>
        <w:sz w:val="22"/>
      </w:r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BFBFBF" w:fill="BFBFBF"/>
      </w:tcPr>
    </w:tblStylePr>
    <w:tblStylePr w:type="band1Horz">
      <w:rPr>
        <w:rFonts w:ascii="Arial" w:hAnsi="Arial"/>
        <w:color w:val="404040"/>
        <w:sz w:val="22"/>
      </w:rPr>
      <w:tcPr>
        <w:shd w:val="clear" w:color="BFBFBF" w:fill="BFBFBF"/>
      </w:tcPr>
    </w:tblStylePr>
  </w:style>
  <w:style w:type="table" w:customStyle="1" w:styleId="1428">
    <w:name w:val="List Table 4 - Accent 16"/>
    <w:basedOn w:val="13"/>
    <w:uiPriority w:val="99"/>
    <w:rPr>
      <w:sz w:val="22"/>
      <w:szCs w:val="22"/>
      <w:lang w:eastAsia="en-US"/>
    </w:rPr>
    <w:tblPr>
      <w:tblBorders>
        <w:top w:val="single" w:color="9BB7D9" w:sz="4" w:space="0"/>
        <w:left w:val="single" w:color="9BB7D9" w:sz="4" w:space="0"/>
        <w:bottom w:val="single" w:color="9BB7D9" w:sz="4" w:space="0"/>
        <w:right w:val="single" w:color="9BB7D9" w:sz="4" w:space="0"/>
        <w:insideH w:val="single" w:color="9BB7D9" w:sz="4" w:space="0"/>
      </w:tblBorders>
      <w:tblCellMar>
        <w:top w:w="0" w:type="dxa"/>
        <w:left w:w="108" w:type="dxa"/>
        <w:bottom w:w="0" w:type="dxa"/>
        <w:right w:w="108" w:type="dxa"/>
      </w:tblCellMar>
    </w:tblPr>
    <w:tblStylePr w:type="firstRow">
      <w:rPr>
        <w:rFonts w:ascii="Arial" w:hAnsi="Arial"/>
        <w:b/>
        <w:color w:val="FFFFFF"/>
        <w:sz w:val="22"/>
      </w:rPr>
      <w:tcPr>
        <w:shd w:val="clear" w:color="4F81BD"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D2DFEE" w:fill="D2DFEE"/>
      </w:tcPr>
    </w:tblStylePr>
    <w:tblStylePr w:type="band1Horz">
      <w:rPr>
        <w:rFonts w:ascii="Arial" w:hAnsi="Arial"/>
        <w:color w:val="404040"/>
        <w:sz w:val="22"/>
      </w:rPr>
      <w:tcPr>
        <w:shd w:val="clear" w:color="D2DFEE" w:fill="D2DFEE"/>
      </w:tcPr>
    </w:tblStylePr>
  </w:style>
  <w:style w:type="table" w:customStyle="1" w:styleId="1429">
    <w:name w:val="List Table 4 - Accent 26"/>
    <w:basedOn w:val="13"/>
    <w:qFormat/>
    <w:uiPriority w:val="99"/>
    <w:rPr>
      <w:sz w:val="22"/>
      <w:szCs w:val="22"/>
      <w:lang w:eastAsia="en-US"/>
    </w:rPr>
    <w:tblPr>
      <w:tblBorders>
        <w:top w:val="single" w:color="DB9B9A" w:sz="4" w:space="0"/>
        <w:left w:val="single" w:color="DB9B9A" w:sz="4" w:space="0"/>
        <w:bottom w:val="single" w:color="DB9B9A" w:sz="4" w:space="0"/>
        <w:right w:val="single" w:color="DB9B9A" w:sz="4" w:space="0"/>
        <w:insideH w:val="single" w:color="DB9B9A" w:sz="4" w:space="0"/>
      </w:tblBorders>
      <w:tblCellMar>
        <w:top w:w="0" w:type="dxa"/>
        <w:left w:w="108" w:type="dxa"/>
        <w:bottom w:w="0" w:type="dxa"/>
        <w:right w:w="108" w:type="dxa"/>
      </w:tblCellMar>
    </w:tblPr>
    <w:tblStylePr w:type="firstRow">
      <w:rPr>
        <w:rFonts w:ascii="Arial" w:hAnsi="Arial"/>
        <w:b/>
        <w:color w:val="FFFFFF"/>
        <w:sz w:val="22"/>
      </w:rPr>
      <w:tcPr>
        <w:shd w:val="clear" w:color="C0504D" w:fill="C0504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EFD2D2" w:fill="EFD2D2"/>
      </w:tcPr>
    </w:tblStylePr>
    <w:tblStylePr w:type="band1Horz">
      <w:rPr>
        <w:rFonts w:ascii="Arial" w:hAnsi="Arial"/>
        <w:color w:val="404040"/>
        <w:sz w:val="22"/>
      </w:rPr>
      <w:tcPr>
        <w:shd w:val="clear" w:color="EFD2D2" w:fill="EFD2D2"/>
      </w:tcPr>
    </w:tblStylePr>
  </w:style>
  <w:style w:type="table" w:customStyle="1" w:styleId="1430">
    <w:name w:val="List Table 4 - Accent 36"/>
    <w:basedOn w:val="13"/>
    <w:uiPriority w:val="99"/>
    <w:rPr>
      <w:sz w:val="22"/>
      <w:szCs w:val="22"/>
      <w:lang w:eastAsia="en-US"/>
    </w:rPr>
    <w:tblPr>
      <w:tblBorders>
        <w:top w:val="single" w:color="C6D8A1" w:sz="4" w:space="0"/>
        <w:left w:val="single" w:color="C6D8A1" w:sz="4" w:space="0"/>
        <w:bottom w:val="single" w:color="C6D8A1" w:sz="4" w:space="0"/>
        <w:right w:val="single" w:color="C6D8A1" w:sz="4" w:space="0"/>
        <w:insideH w:val="single" w:color="C6D8A1" w:sz="4" w:space="0"/>
      </w:tblBorders>
      <w:tblCellMar>
        <w:top w:w="0" w:type="dxa"/>
        <w:left w:w="108" w:type="dxa"/>
        <w:bottom w:w="0" w:type="dxa"/>
        <w:right w:w="108" w:type="dxa"/>
      </w:tblCellMar>
    </w:tblPr>
    <w:tblStylePr w:type="firstRow">
      <w:rPr>
        <w:rFonts w:ascii="Arial" w:hAnsi="Arial"/>
        <w:b/>
        <w:color w:val="FFFFFF"/>
        <w:sz w:val="22"/>
      </w:rPr>
      <w:tcPr>
        <w:shd w:val="clear" w:color="9BBB59" w:fill="9BBB59"/>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E5EED5" w:fill="E5EED5"/>
      </w:tcPr>
    </w:tblStylePr>
    <w:tblStylePr w:type="band1Horz">
      <w:rPr>
        <w:rFonts w:ascii="Arial" w:hAnsi="Arial"/>
        <w:color w:val="404040"/>
        <w:sz w:val="22"/>
      </w:rPr>
      <w:tcPr>
        <w:shd w:val="clear" w:color="E5EED5" w:fill="E5EED5"/>
      </w:tcPr>
    </w:tblStylePr>
  </w:style>
  <w:style w:type="table" w:customStyle="1" w:styleId="1431">
    <w:name w:val="List Table 4 - Accent 46"/>
    <w:basedOn w:val="13"/>
    <w:uiPriority w:val="99"/>
    <w:rPr>
      <w:sz w:val="22"/>
      <w:szCs w:val="22"/>
      <w:lang w:eastAsia="en-US"/>
    </w:rPr>
    <w:tblPr>
      <w:tblBorders>
        <w:top w:val="single" w:color="B7A7CA" w:sz="4" w:space="0"/>
        <w:left w:val="single" w:color="B7A7CA" w:sz="4" w:space="0"/>
        <w:bottom w:val="single" w:color="B7A7CA" w:sz="4" w:space="0"/>
        <w:right w:val="single" w:color="B7A7CA" w:sz="4" w:space="0"/>
        <w:insideH w:val="single" w:color="B7A7CA" w:sz="4" w:space="0"/>
      </w:tblBorders>
      <w:tblCellMar>
        <w:top w:w="0" w:type="dxa"/>
        <w:left w:w="108" w:type="dxa"/>
        <w:bottom w:w="0" w:type="dxa"/>
        <w:right w:w="108" w:type="dxa"/>
      </w:tblCellMar>
    </w:tblPr>
    <w:tblStylePr w:type="firstRow">
      <w:rPr>
        <w:rFonts w:ascii="Arial" w:hAnsi="Arial"/>
        <w:b/>
        <w:color w:val="FFFFFF"/>
        <w:sz w:val="22"/>
      </w:rPr>
      <w:tcPr>
        <w:shd w:val="clear" w:color="8064A2" w:fill="8064A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DFD8E7" w:fill="DFD8E7"/>
      </w:tcPr>
    </w:tblStylePr>
    <w:tblStylePr w:type="band1Horz">
      <w:rPr>
        <w:rFonts w:ascii="Arial" w:hAnsi="Arial"/>
        <w:color w:val="404040"/>
        <w:sz w:val="22"/>
      </w:rPr>
      <w:tcPr>
        <w:shd w:val="clear" w:color="DFD8E7" w:fill="DFD8E7"/>
      </w:tcPr>
    </w:tblStylePr>
  </w:style>
  <w:style w:type="table" w:customStyle="1" w:styleId="1432">
    <w:name w:val="List Table 4 - Accent 56"/>
    <w:basedOn w:val="13"/>
    <w:uiPriority w:val="99"/>
    <w:rPr>
      <w:sz w:val="22"/>
      <w:szCs w:val="22"/>
      <w:lang w:eastAsia="en-US"/>
    </w:rPr>
    <w:tblPr>
      <w:tblBorders>
        <w:top w:val="single" w:color="99D0DE" w:sz="4" w:space="0"/>
        <w:left w:val="single" w:color="99D0DE" w:sz="4" w:space="0"/>
        <w:bottom w:val="single" w:color="99D0DE" w:sz="4" w:space="0"/>
        <w:right w:val="single" w:color="99D0DE" w:sz="4" w:space="0"/>
        <w:insideH w:val="single" w:color="99D0DE" w:sz="4" w:space="0"/>
      </w:tblBorders>
      <w:tblCellMar>
        <w:top w:w="0" w:type="dxa"/>
        <w:left w:w="108" w:type="dxa"/>
        <w:bottom w:w="0" w:type="dxa"/>
        <w:right w:w="108" w:type="dxa"/>
      </w:tblCellMar>
    </w:tblPr>
    <w:tblStylePr w:type="firstRow">
      <w:rPr>
        <w:rFonts w:ascii="Arial" w:hAnsi="Arial"/>
        <w:b/>
        <w:color w:val="FFFFFF"/>
        <w:sz w:val="22"/>
      </w:rPr>
      <w:tcPr>
        <w:shd w:val="clear" w:color="4BACC6" w:fill="4BAC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D1EAF0" w:fill="D1EAF0"/>
      </w:tcPr>
    </w:tblStylePr>
    <w:tblStylePr w:type="band1Horz">
      <w:rPr>
        <w:rFonts w:ascii="Arial" w:hAnsi="Arial"/>
        <w:color w:val="404040"/>
        <w:sz w:val="22"/>
      </w:rPr>
      <w:tcPr>
        <w:shd w:val="clear" w:color="D1EAF0" w:fill="D1EAF0"/>
      </w:tcPr>
    </w:tblStylePr>
  </w:style>
  <w:style w:type="table" w:customStyle="1" w:styleId="1433">
    <w:name w:val="List Table 4 - Accent 66"/>
    <w:basedOn w:val="13"/>
    <w:uiPriority w:val="99"/>
    <w:rPr>
      <w:sz w:val="22"/>
      <w:szCs w:val="22"/>
      <w:lang w:eastAsia="en-US"/>
    </w:rPr>
    <w:tblPr>
      <w:tblBorders>
        <w:top w:val="single" w:color="FAC396" w:sz="4" w:space="0"/>
        <w:left w:val="single" w:color="FAC396" w:sz="4" w:space="0"/>
        <w:bottom w:val="single" w:color="FAC396" w:sz="4" w:space="0"/>
        <w:right w:val="single" w:color="FAC396" w:sz="4" w:space="0"/>
        <w:insideH w:val="single" w:color="FAC396" w:sz="4" w:space="0"/>
      </w:tblBorders>
      <w:tblCellMar>
        <w:top w:w="0" w:type="dxa"/>
        <w:left w:w="108" w:type="dxa"/>
        <w:bottom w:w="0" w:type="dxa"/>
        <w:right w:w="108" w:type="dxa"/>
      </w:tblCellMar>
    </w:tblPr>
    <w:tblStylePr w:type="firstRow">
      <w:rPr>
        <w:rFonts w:ascii="Arial" w:hAnsi="Arial"/>
        <w:b/>
        <w:color w:val="FFFFFF"/>
        <w:sz w:val="22"/>
      </w:rPr>
      <w:tcPr>
        <w:shd w:val="clear" w:color="F79646" w:fill="F7964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FDE4D0" w:fill="FDE4D0"/>
      </w:tcPr>
    </w:tblStylePr>
    <w:tblStylePr w:type="band1Horz">
      <w:rPr>
        <w:rFonts w:ascii="Arial" w:hAnsi="Arial"/>
        <w:color w:val="404040"/>
        <w:sz w:val="22"/>
      </w:rPr>
      <w:tcPr>
        <w:shd w:val="clear" w:color="FDE4D0" w:fill="FDE4D0"/>
      </w:tcPr>
    </w:tblStylePr>
  </w:style>
  <w:style w:type="table" w:customStyle="1" w:styleId="1434">
    <w:name w:val="Список-таблица 5 темная14"/>
    <w:basedOn w:val="13"/>
    <w:uiPriority w:val="99"/>
    <w:rPr>
      <w:sz w:val="22"/>
      <w:szCs w:val="22"/>
      <w:lang w:eastAsia="en-US"/>
    </w:rPr>
    <w:tblPr>
      <w:tblBorders>
        <w:top w:val="single" w:color="7F7F7F" w:sz="32" w:space="0"/>
        <w:left w:val="single" w:color="7F7F7F" w:sz="32" w:space="0"/>
        <w:bottom w:val="single" w:color="7F7F7F" w:sz="32" w:space="0"/>
        <w:right w:val="single" w:color="7F7F7F" w:sz="32" w:space="0"/>
      </w:tblBorders>
      <w:tblCellMar>
        <w:top w:w="0" w:type="dxa"/>
        <w:left w:w="108" w:type="dxa"/>
        <w:bottom w:w="0" w:type="dxa"/>
        <w:right w:w="108" w:type="dxa"/>
      </w:tblCellMar>
    </w:tblPr>
    <w:tblStylePr w:type="firstRow">
      <w:rPr>
        <w:rFonts w:ascii="Arial" w:hAnsi="Arial"/>
        <w:b/>
        <w:color w:val="FFFFFF"/>
        <w:sz w:val="22"/>
      </w:rPr>
      <w:tcPr>
        <w:tcBorders>
          <w:top w:val="single" w:color="7F7F7F" w:sz="32" w:space="0"/>
          <w:bottom w:val="single" w:color="FFFFFF" w:sz="12" w:space="0"/>
        </w:tcBorders>
        <w:shd w:val="clear" w:color="7F7F7F" w:fill="7F7F7F"/>
      </w:tcPr>
    </w:tblStylePr>
    <w:tblStylePr w:type="lastRow">
      <w:rPr>
        <w:rFonts w:ascii="Arial" w:hAnsi="Arial"/>
        <w:b/>
        <w:color w:val="FFFFFF"/>
        <w:sz w:val="22"/>
      </w:rPr>
    </w:tblStylePr>
    <w:tblStylePr w:type="firstCol">
      <w:rPr>
        <w:rFonts w:ascii="Arial" w:hAnsi="Arial"/>
        <w:b/>
        <w:color w:val="FFFFFF"/>
        <w:sz w:val="22"/>
      </w:rPr>
      <w:tcPr>
        <w:tcBorders>
          <w:left w:val="single" w:color="7F7F7F" w:sz="32" w:space="0"/>
          <w:right w:val="single" w:color="FFFFFF" w:sz="4" w:space="0"/>
        </w:tcBorders>
      </w:tcPr>
    </w:tblStylePr>
    <w:tblStylePr w:type="lastCol">
      <w:tcPr>
        <w:tcBorders>
          <w:left w:val="single" w:color="FFFFFF" w:sz="4" w:space="0"/>
          <w:right w:val="single" w:color="7F7F7F" w:sz="32" w:space="0"/>
        </w:tcBorders>
      </w:tcPr>
    </w:tblStylePr>
    <w:tblStylePr w:type="band1Vert">
      <w:tcPr>
        <w:tcBorders>
          <w:left w:val="single" w:color="FFFFFF" w:sz="4" w:space="0"/>
          <w:right w:val="single" w:color="FFFFFF" w:sz="4" w:space="0"/>
        </w:tcBorders>
        <w:shd w:val="clear" w:color="7F7F7F" w:fill="7F7F7F"/>
      </w:tcPr>
    </w:tblStylePr>
    <w:tblStylePr w:type="band2Vert">
      <w:tcPr>
        <w:tcBorders>
          <w:left w:val="single" w:color="FFFFFF" w:sz="4" w:space="0"/>
          <w:right w:val="single" w:color="FFFFFF" w:sz="4" w:space="0"/>
        </w:tcBorders>
      </w:tcPr>
    </w:tblStylePr>
    <w:tblStylePr w:type="band1Horz">
      <w:tcPr>
        <w:tcBorders>
          <w:top w:val="single" w:color="FFFFFF" w:sz="4" w:space="0"/>
          <w:bottom w:val="single" w:color="FFFFFF" w:sz="4" w:space="0"/>
        </w:tcBorders>
        <w:shd w:val="clear" w:color="7F7F7F" w:fill="7F7F7F"/>
      </w:tcPr>
    </w:tblStylePr>
    <w:tblStylePr w:type="band2Horz">
      <w:tcPr>
        <w:tcBorders>
          <w:top w:val="single" w:color="FFFFFF" w:sz="4" w:space="0"/>
          <w:bottom w:val="single" w:color="FFFFFF" w:sz="4" w:space="0"/>
        </w:tcBorders>
        <w:shd w:val="clear" w:color="7F7F7F" w:fill="7F7F7F"/>
      </w:tcPr>
    </w:tblStylePr>
  </w:style>
  <w:style w:type="table" w:customStyle="1" w:styleId="1435">
    <w:name w:val="List Table 5 Dark - Accent 16"/>
    <w:basedOn w:val="13"/>
    <w:uiPriority w:val="99"/>
    <w:rPr>
      <w:sz w:val="22"/>
      <w:szCs w:val="22"/>
      <w:lang w:eastAsia="en-US"/>
    </w:rPr>
    <w:tblPr>
      <w:tblBorders>
        <w:top w:val="single" w:color="4F81BD" w:sz="32" w:space="0"/>
        <w:left w:val="single" w:color="4F81BD" w:sz="32" w:space="0"/>
        <w:bottom w:val="single" w:color="4F81BD" w:sz="32" w:space="0"/>
        <w:right w:val="single" w:color="4F81BD" w:sz="32" w:space="0"/>
      </w:tblBorders>
      <w:tblCellMar>
        <w:top w:w="0" w:type="dxa"/>
        <w:left w:w="108" w:type="dxa"/>
        <w:bottom w:w="0" w:type="dxa"/>
        <w:right w:w="108" w:type="dxa"/>
      </w:tblCellMar>
    </w:tblPr>
    <w:tblStylePr w:type="firstRow">
      <w:rPr>
        <w:rFonts w:ascii="Arial" w:hAnsi="Arial"/>
        <w:b/>
        <w:color w:val="FFFFFF"/>
        <w:sz w:val="22"/>
      </w:rPr>
      <w:tcPr>
        <w:tcBorders>
          <w:top w:val="single" w:color="4F81BD" w:sz="32" w:space="0"/>
          <w:bottom w:val="single" w:color="FFFFFF" w:sz="12" w:space="0"/>
        </w:tcBorders>
        <w:shd w:val="clear" w:color="4F81BD" w:fill="4F81BD"/>
      </w:tcPr>
    </w:tblStylePr>
    <w:tblStylePr w:type="lastRow">
      <w:rPr>
        <w:rFonts w:ascii="Arial" w:hAnsi="Arial"/>
        <w:b/>
        <w:color w:val="FFFFFF"/>
        <w:sz w:val="22"/>
      </w:rPr>
    </w:tblStylePr>
    <w:tblStylePr w:type="firstCol">
      <w:rPr>
        <w:rFonts w:ascii="Arial" w:hAnsi="Arial"/>
        <w:b/>
        <w:color w:val="FFFFFF"/>
        <w:sz w:val="22"/>
      </w:rPr>
      <w:tcPr>
        <w:tcBorders>
          <w:left w:val="single" w:color="4F81BD" w:sz="32" w:space="0"/>
          <w:right w:val="single" w:color="FFFFFF" w:sz="4" w:space="0"/>
        </w:tcBorders>
      </w:tcPr>
    </w:tblStylePr>
    <w:tblStylePr w:type="lastCol">
      <w:tcPr>
        <w:tcBorders>
          <w:left w:val="single" w:color="FFFFFF" w:sz="4" w:space="0"/>
          <w:right w:val="single" w:color="4F81BD" w:sz="32" w:space="0"/>
        </w:tcBorders>
      </w:tcPr>
    </w:tblStylePr>
    <w:tblStylePr w:type="band1Vert">
      <w:tcPr>
        <w:tcBorders>
          <w:left w:val="single" w:color="FFFFFF" w:sz="4" w:space="0"/>
          <w:right w:val="single" w:color="FFFFFF" w:sz="4" w:space="0"/>
        </w:tcBorders>
        <w:shd w:val="clear" w:color="4F81BD" w:fill="4F81BD"/>
      </w:tcPr>
    </w:tblStylePr>
    <w:tblStylePr w:type="band2Vert">
      <w:tcPr>
        <w:tcBorders>
          <w:left w:val="single" w:color="FFFFFF" w:sz="4" w:space="0"/>
          <w:right w:val="single" w:color="FFFFFF" w:sz="4" w:space="0"/>
        </w:tcBorders>
      </w:tcPr>
    </w:tblStylePr>
    <w:tblStylePr w:type="band1Horz">
      <w:tcPr>
        <w:tcBorders>
          <w:top w:val="single" w:color="FFFFFF" w:sz="4" w:space="0"/>
          <w:bottom w:val="single" w:color="FFFFFF" w:sz="4" w:space="0"/>
        </w:tcBorders>
        <w:shd w:val="clear" w:color="4F81BD" w:fill="4F81BD"/>
      </w:tcPr>
    </w:tblStylePr>
    <w:tblStylePr w:type="band2Horz">
      <w:tcPr>
        <w:tcBorders>
          <w:top w:val="single" w:color="FFFFFF" w:sz="4" w:space="0"/>
          <w:bottom w:val="single" w:color="FFFFFF" w:sz="4" w:space="0"/>
        </w:tcBorders>
        <w:shd w:val="clear" w:color="4F81BD" w:fill="4F81BD"/>
      </w:tcPr>
    </w:tblStylePr>
  </w:style>
  <w:style w:type="table" w:customStyle="1" w:styleId="1436">
    <w:name w:val="List Table 5 Dark - Accent 26"/>
    <w:basedOn w:val="13"/>
    <w:uiPriority w:val="99"/>
    <w:rPr>
      <w:sz w:val="22"/>
      <w:szCs w:val="22"/>
      <w:lang w:eastAsia="en-US"/>
    </w:rPr>
    <w:tblPr>
      <w:tblBorders>
        <w:top w:val="single" w:color="D99695" w:sz="32" w:space="0"/>
        <w:left w:val="single" w:color="D99695" w:sz="32" w:space="0"/>
        <w:bottom w:val="single" w:color="D99695" w:sz="32" w:space="0"/>
        <w:right w:val="single" w:color="D99695" w:sz="32" w:space="0"/>
      </w:tblBorders>
      <w:tblCellMar>
        <w:top w:w="0" w:type="dxa"/>
        <w:left w:w="108" w:type="dxa"/>
        <w:bottom w:w="0" w:type="dxa"/>
        <w:right w:w="108" w:type="dxa"/>
      </w:tblCellMar>
    </w:tblPr>
    <w:tblStylePr w:type="firstRow">
      <w:rPr>
        <w:rFonts w:ascii="Arial" w:hAnsi="Arial"/>
        <w:b/>
        <w:color w:val="FFFFFF"/>
        <w:sz w:val="22"/>
      </w:rPr>
      <w:tcPr>
        <w:tcBorders>
          <w:top w:val="single" w:color="D99695" w:sz="32" w:space="0"/>
          <w:bottom w:val="single" w:color="FFFFFF" w:sz="12" w:space="0"/>
        </w:tcBorders>
        <w:shd w:val="clear" w:color="D99695" w:fill="D99695"/>
      </w:tcPr>
    </w:tblStylePr>
    <w:tblStylePr w:type="lastRow">
      <w:rPr>
        <w:rFonts w:ascii="Arial" w:hAnsi="Arial"/>
        <w:b/>
        <w:color w:val="FFFFFF"/>
        <w:sz w:val="22"/>
      </w:rPr>
    </w:tblStylePr>
    <w:tblStylePr w:type="firstCol">
      <w:rPr>
        <w:rFonts w:ascii="Arial" w:hAnsi="Arial"/>
        <w:b/>
        <w:color w:val="FFFFFF"/>
        <w:sz w:val="22"/>
      </w:rPr>
      <w:tcPr>
        <w:tcBorders>
          <w:left w:val="single" w:color="D99695" w:sz="32" w:space="0"/>
          <w:right w:val="single" w:color="FFFFFF" w:sz="4" w:space="0"/>
        </w:tcBorders>
      </w:tcPr>
    </w:tblStylePr>
    <w:tblStylePr w:type="lastCol">
      <w:tcPr>
        <w:tcBorders>
          <w:left w:val="single" w:color="FFFFFF" w:sz="4" w:space="0"/>
          <w:right w:val="single" w:color="D99695" w:sz="32" w:space="0"/>
        </w:tcBorders>
      </w:tcPr>
    </w:tblStylePr>
    <w:tblStylePr w:type="band1Vert">
      <w:tcPr>
        <w:tcBorders>
          <w:left w:val="single" w:color="FFFFFF" w:sz="4" w:space="0"/>
          <w:right w:val="single" w:color="FFFFFF" w:sz="4" w:space="0"/>
        </w:tcBorders>
        <w:shd w:val="clear" w:color="D99695" w:fill="D99695"/>
      </w:tcPr>
    </w:tblStylePr>
    <w:tblStylePr w:type="band2Vert">
      <w:tcPr>
        <w:tcBorders>
          <w:left w:val="single" w:color="FFFFFF" w:sz="4" w:space="0"/>
          <w:right w:val="single" w:color="FFFFFF" w:sz="4" w:space="0"/>
        </w:tcBorders>
      </w:tcPr>
    </w:tblStylePr>
    <w:tblStylePr w:type="band1Horz">
      <w:tcPr>
        <w:tcBorders>
          <w:top w:val="single" w:color="FFFFFF" w:sz="4" w:space="0"/>
          <w:bottom w:val="single" w:color="FFFFFF" w:sz="4" w:space="0"/>
        </w:tcBorders>
        <w:shd w:val="clear" w:color="D99695" w:fill="D99695"/>
      </w:tcPr>
    </w:tblStylePr>
    <w:tblStylePr w:type="band2Horz">
      <w:tcPr>
        <w:tcBorders>
          <w:top w:val="single" w:color="FFFFFF" w:sz="4" w:space="0"/>
          <w:bottom w:val="single" w:color="FFFFFF" w:sz="4" w:space="0"/>
        </w:tcBorders>
        <w:shd w:val="clear" w:color="D99695" w:fill="D99695"/>
      </w:tcPr>
    </w:tblStylePr>
  </w:style>
  <w:style w:type="table" w:customStyle="1" w:styleId="1437">
    <w:name w:val="List Table 5 Dark - Accent 36"/>
    <w:basedOn w:val="13"/>
    <w:uiPriority w:val="99"/>
    <w:rPr>
      <w:sz w:val="22"/>
      <w:szCs w:val="22"/>
      <w:lang w:eastAsia="en-US"/>
    </w:rPr>
    <w:tblPr>
      <w:tblBorders>
        <w:top w:val="single" w:color="C3D69B" w:sz="32" w:space="0"/>
        <w:left w:val="single" w:color="C3D69B" w:sz="32" w:space="0"/>
        <w:bottom w:val="single" w:color="C3D69B" w:sz="32" w:space="0"/>
        <w:right w:val="single" w:color="C3D69B" w:sz="32" w:space="0"/>
      </w:tblBorders>
      <w:tblCellMar>
        <w:top w:w="0" w:type="dxa"/>
        <w:left w:w="108" w:type="dxa"/>
        <w:bottom w:w="0" w:type="dxa"/>
        <w:right w:w="108" w:type="dxa"/>
      </w:tblCellMar>
    </w:tblPr>
    <w:tblStylePr w:type="firstRow">
      <w:rPr>
        <w:rFonts w:ascii="Arial" w:hAnsi="Arial"/>
        <w:b/>
        <w:color w:val="FFFFFF"/>
        <w:sz w:val="22"/>
      </w:rPr>
      <w:tcPr>
        <w:tcBorders>
          <w:top w:val="single" w:color="C3D69B" w:sz="32" w:space="0"/>
          <w:bottom w:val="single" w:color="FFFFFF" w:sz="12" w:space="0"/>
        </w:tcBorders>
        <w:shd w:val="clear" w:color="C3D69B" w:fill="C3D69B"/>
      </w:tcPr>
    </w:tblStylePr>
    <w:tblStylePr w:type="lastRow">
      <w:rPr>
        <w:rFonts w:ascii="Arial" w:hAnsi="Arial"/>
        <w:b/>
        <w:color w:val="FFFFFF"/>
        <w:sz w:val="22"/>
      </w:rPr>
    </w:tblStylePr>
    <w:tblStylePr w:type="firstCol">
      <w:rPr>
        <w:rFonts w:ascii="Arial" w:hAnsi="Arial"/>
        <w:b/>
        <w:color w:val="FFFFFF"/>
        <w:sz w:val="22"/>
      </w:rPr>
      <w:tcPr>
        <w:tcBorders>
          <w:left w:val="single" w:color="C3D69B" w:sz="32" w:space="0"/>
          <w:right w:val="single" w:color="FFFFFF" w:sz="4" w:space="0"/>
        </w:tcBorders>
      </w:tcPr>
    </w:tblStylePr>
    <w:tblStylePr w:type="lastCol">
      <w:tcPr>
        <w:tcBorders>
          <w:left w:val="single" w:color="FFFFFF" w:sz="4" w:space="0"/>
          <w:right w:val="single" w:color="C3D69B" w:sz="32" w:space="0"/>
        </w:tcBorders>
      </w:tcPr>
    </w:tblStylePr>
    <w:tblStylePr w:type="band1Vert">
      <w:tcPr>
        <w:tcBorders>
          <w:left w:val="single" w:color="FFFFFF" w:sz="4" w:space="0"/>
          <w:right w:val="single" w:color="FFFFFF" w:sz="4" w:space="0"/>
        </w:tcBorders>
        <w:shd w:val="clear" w:color="C3D69B" w:fill="C3D69B"/>
      </w:tcPr>
    </w:tblStylePr>
    <w:tblStylePr w:type="band2Vert">
      <w:tcPr>
        <w:tcBorders>
          <w:left w:val="single" w:color="FFFFFF" w:sz="4" w:space="0"/>
          <w:right w:val="single" w:color="FFFFFF" w:sz="4" w:space="0"/>
        </w:tcBorders>
      </w:tcPr>
    </w:tblStylePr>
    <w:tblStylePr w:type="band1Horz">
      <w:tcPr>
        <w:tcBorders>
          <w:top w:val="single" w:color="FFFFFF" w:sz="4" w:space="0"/>
          <w:bottom w:val="single" w:color="FFFFFF" w:sz="4" w:space="0"/>
        </w:tcBorders>
        <w:shd w:val="clear" w:color="C3D69B" w:fill="C3D69B"/>
      </w:tcPr>
    </w:tblStylePr>
    <w:tblStylePr w:type="band2Horz">
      <w:tcPr>
        <w:tcBorders>
          <w:top w:val="single" w:color="FFFFFF" w:sz="4" w:space="0"/>
          <w:bottom w:val="single" w:color="FFFFFF" w:sz="4" w:space="0"/>
        </w:tcBorders>
        <w:shd w:val="clear" w:color="C3D69B" w:fill="C3D69B"/>
      </w:tcPr>
    </w:tblStylePr>
  </w:style>
  <w:style w:type="table" w:customStyle="1" w:styleId="1438">
    <w:name w:val="List Table 5 Dark - Accent 46"/>
    <w:basedOn w:val="13"/>
    <w:uiPriority w:val="99"/>
    <w:rPr>
      <w:sz w:val="22"/>
      <w:szCs w:val="22"/>
      <w:lang w:eastAsia="en-US"/>
    </w:rPr>
    <w:tblPr>
      <w:tblBorders>
        <w:top w:val="single" w:color="B2A1C6" w:sz="32" w:space="0"/>
        <w:left w:val="single" w:color="B2A1C6" w:sz="32" w:space="0"/>
        <w:bottom w:val="single" w:color="B2A1C6" w:sz="32" w:space="0"/>
        <w:right w:val="single" w:color="B2A1C6" w:sz="32" w:space="0"/>
      </w:tblBorders>
      <w:tblCellMar>
        <w:top w:w="0" w:type="dxa"/>
        <w:left w:w="108" w:type="dxa"/>
        <w:bottom w:w="0" w:type="dxa"/>
        <w:right w:w="108" w:type="dxa"/>
      </w:tblCellMar>
    </w:tblPr>
    <w:tblStylePr w:type="firstRow">
      <w:rPr>
        <w:rFonts w:ascii="Arial" w:hAnsi="Arial"/>
        <w:b/>
        <w:color w:val="FFFFFF"/>
        <w:sz w:val="22"/>
      </w:rPr>
      <w:tcPr>
        <w:tcBorders>
          <w:top w:val="single" w:color="B2A1C6" w:sz="32" w:space="0"/>
          <w:bottom w:val="single" w:color="FFFFFF" w:sz="12" w:space="0"/>
        </w:tcBorders>
        <w:shd w:val="clear" w:color="B2A1C6" w:fill="B2A1C6"/>
      </w:tcPr>
    </w:tblStylePr>
    <w:tblStylePr w:type="lastRow">
      <w:rPr>
        <w:rFonts w:ascii="Arial" w:hAnsi="Arial"/>
        <w:b/>
        <w:color w:val="FFFFFF"/>
        <w:sz w:val="22"/>
      </w:rPr>
    </w:tblStylePr>
    <w:tblStylePr w:type="firstCol">
      <w:rPr>
        <w:rFonts w:ascii="Arial" w:hAnsi="Arial"/>
        <w:b/>
        <w:color w:val="FFFFFF"/>
        <w:sz w:val="22"/>
      </w:rPr>
      <w:tcPr>
        <w:tcBorders>
          <w:left w:val="single" w:color="B2A1C6" w:sz="32" w:space="0"/>
          <w:right w:val="single" w:color="FFFFFF" w:sz="4" w:space="0"/>
        </w:tcBorders>
      </w:tcPr>
    </w:tblStylePr>
    <w:tblStylePr w:type="lastCol">
      <w:tcPr>
        <w:tcBorders>
          <w:left w:val="single" w:color="FFFFFF" w:sz="4" w:space="0"/>
          <w:right w:val="single" w:color="B2A1C6" w:sz="32" w:space="0"/>
        </w:tcBorders>
      </w:tcPr>
    </w:tblStylePr>
    <w:tblStylePr w:type="band1Vert">
      <w:tcPr>
        <w:tcBorders>
          <w:left w:val="single" w:color="FFFFFF" w:sz="4" w:space="0"/>
          <w:right w:val="single" w:color="FFFFFF" w:sz="4" w:space="0"/>
        </w:tcBorders>
        <w:shd w:val="clear" w:color="B2A1C6" w:fill="B2A1C6"/>
      </w:tcPr>
    </w:tblStylePr>
    <w:tblStylePr w:type="band2Vert">
      <w:tcPr>
        <w:tcBorders>
          <w:left w:val="single" w:color="FFFFFF" w:sz="4" w:space="0"/>
          <w:right w:val="single" w:color="FFFFFF" w:sz="4" w:space="0"/>
        </w:tcBorders>
      </w:tcPr>
    </w:tblStylePr>
    <w:tblStylePr w:type="band1Horz">
      <w:tcPr>
        <w:tcBorders>
          <w:top w:val="single" w:color="FFFFFF" w:sz="4" w:space="0"/>
          <w:bottom w:val="single" w:color="FFFFFF" w:sz="4" w:space="0"/>
        </w:tcBorders>
        <w:shd w:val="clear" w:color="B2A1C6" w:fill="B2A1C6"/>
      </w:tcPr>
    </w:tblStylePr>
    <w:tblStylePr w:type="band2Horz">
      <w:tcPr>
        <w:tcBorders>
          <w:top w:val="single" w:color="FFFFFF" w:sz="4" w:space="0"/>
          <w:bottom w:val="single" w:color="FFFFFF" w:sz="4" w:space="0"/>
        </w:tcBorders>
        <w:shd w:val="clear" w:color="B2A1C6" w:fill="B2A1C6"/>
      </w:tcPr>
    </w:tblStylePr>
  </w:style>
  <w:style w:type="table" w:customStyle="1" w:styleId="1439">
    <w:name w:val="List Table 5 Dark - Accent 56"/>
    <w:basedOn w:val="13"/>
    <w:uiPriority w:val="99"/>
    <w:rPr>
      <w:sz w:val="22"/>
      <w:szCs w:val="22"/>
      <w:lang w:eastAsia="en-US"/>
    </w:rPr>
    <w:tblPr>
      <w:tblBorders>
        <w:top w:val="single" w:color="92CCDC" w:sz="32" w:space="0"/>
        <w:left w:val="single" w:color="92CCDC" w:sz="32" w:space="0"/>
        <w:bottom w:val="single" w:color="92CCDC" w:sz="32" w:space="0"/>
        <w:right w:val="single" w:color="92CCDC" w:sz="32" w:space="0"/>
      </w:tblBorders>
      <w:tblCellMar>
        <w:top w:w="0" w:type="dxa"/>
        <w:left w:w="108" w:type="dxa"/>
        <w:bottom w:w="0" w:type="dxa"/>
        <w:right w:w="108" w:type="dxa"/>
      </w:tblCellMar>
    </w:tblPr>
    <w:tblStylePr w:type="firstRow">
      <w:rPr>
        <w:rFonts w:ascii="Arial" w:hAnsi="Arial"/>
        <w:b/>
        <w:color w:val="FFFFFF"/>
        <w:sz w:val="22"/>
      </w:rPr>
      <w:tcPr>
        <w:tcBorders>
          <w:top w:val="single" w:color="92CCDC" w:sz="32" w:space="0"/>
          <w:bottom w:val="single" w:color="FFFFFF" w:sz="12" w:space="0"/>
        </w:tcBorders>
        <w:shd w:val="clear" w:color="92CCDC" w:fill="92CCDC"/>
      </w:tcPr>
    </w:tblStylePr>
    <w:tblStylePr w:type="lastRow">
      <w:rPr>
        <w:rFonts w:ascii="Arial" w:hAnsi="Arial"/>
        <w:b/>
        <w:color w:val="FFFFFF"/>
        <w:sz w:val="22"/>
      </w:rPr>
    </w:tblStylePr>
    <w:tblStylePr w:type="firstCol">
      <w:rPr>
        <w:rFonts w:ascii="Arial" w:hAnsi="Arial"/>
        <w:b/>
        <w:color w:val="FFFFFF"/>
        <w:sz w:val="22"/>
      </w:rPr>
      <w:tcPr>
        <w:tcBorders>
          <w:left w:val="single" w:color="92CCDC" w:sz="32" w:space="0"/>
          <w:right w:val="single" w:color="FFFFFF" w:sz="4" w:space="0"/>
        </w:tcBorders>
      </w:tcPr>
    </w:tblStylePr>
    <w:tblStylePr w:type="lastCol">
      <w:tcPr>
        <w:tcBorders>
          <w:left w:val="single" w:color="FFFFFF" w:sz="4" w:space="0"/>
          <w:right w:val="single" w:color="92CCDC" w:sz="32" w:space="0"/>
        </w:tcBorders>
      </w:tcPr>
    </w:tblStylePr>
    <w:tblStylePr w:type="band1Vert">
      <w:tcPr>
        <w:tcBorders>
          <w:left w:val="single" w:color="FFFFFF" w:sz="4" w:space="0"/>
          <w:right w:val="single" w:color="FFFFFF" w:sz="4" w:space="0"/>
        </w:tcBorders>
        <w:shd w:val="clear" w:color="92CCDC" w:fill="92CCDC"/>
      </w:tcPr>
    </w:tblStylePr>
    <w:tblStylePr w:type="band2Vert">
      <w:tcPr>
        <w:tcBorders>
          <w:left w:val="single" w:color="FFFFFF" w:sz="4" w:space="0"/>
          <w:right w:val="single" w:color="FFFFFF" w:sz="4" w:space="0"/>
        </w:tcBorders>
      </w:tcPr>
    </w:tblStylePr>
    <w:tblStylePr w:type="band1Horz">
      <w:tcPr>
        <w:tcBorders>
          <w:top w:val="single" w:color="FFFFFF" w:sz="4" w:space="0"/>
          <w:bottom w:val="single" w:color="FFFFFF" w:sz="4" w:space="0"/>
        </w:tcBorders>
        <w:shd w:val="clear" w:color="92CCDC" w:fill="92CCDC"/>
      </w:tcPr>
    </w:tblStylePr>
    <w:tblStylePr w:type="band2Horz">
      <w:tcPr>
        <w:tcBorders>
          <w:top w:val="single" w:color="FFFFFF" w:sz="4" w:space="0"/>
          <w:bottom w:val="single" w:color="FFFFFF" w:sz="4" w:space="0"/>
        </w:tcBorders>
        <w:shd w:val="clear" w:color="92CCDC" w:fill="92CCDC"/>
      </w:tcPr>
    </w:tblStylePr>
  </w:style>
  <w:style w:type="table" w:customStyle="1" w:styleId="1440">
    <w:name w:val="List Table 5 Dark - Accent 66"/>
    <w:basedOn w:val="13"/>
    <w:uiPriority w:val="99"/>
    <w:rPr>
      <w:sz w:val="22"/>
      <w:szCs w:val="22"/>
      <w:lang w:eastAsia="en-US"/>
    </w:rPr>
    <w:tblPr>
      <w:tblBorders>
        <w:top w:val="single" w:color="FAC090" w:sz="32" w:space="0"/>
        <w:left w:val="single" w:color="FAC090" w:sz="32" w:space="0"/>
        <w:bottom w:val="single" w:color="FAC090" w:sz="32" w:space="0"/>
        <w:right w:val="single" w:color="FAC090" w:sz="32" w:space="0"/>
      </w:tblBorders>
      <w:tblCellMar>
        <w:top w:w="0" w:type="dxa"/>
        <w:left w:w="108" w:type="dxa"/>
        <w:bottom w:w="0" w:type="dxa"/>
        <w:right w:w="108" w:type="dxa"/>
      </w:tblCellMar>
    </w:tblPr>
    <w:tblStylePr w:type="firstRow">
      <w:rPr>
        <w:rFonts w:ascii="Arial" w:hAnsi="Arial"/>
        <w:b/>
        <w:color w:val="FFFFFF"/>
        <w:sz w:val="22"/>
      </w:rPr>
      <w:tcPr>
        <w:tcBorders>
          <w:top w:val="single" w:color="FAC090" w:sz="32" w:space="0"/>
          <w:bottom w:val="single" w:color="FFFFFF" w:sz="12" w:space="0"/>
        </w:tcBorders>
        <w:shd w:val="clear" w:color="FAC090" w:fill="FAC090"/>
      </w:tcPr>
    </w:tblStylePr>
    <w:tblStylePr w:type="lastRow">
      <w:rPr>
        <w:rFonts w:ascii="Arial" w:hAnsi="Arial"/>
        <w:b/>
        <w:color w:val="FFFFFF"/>
        <w:sz w:val="22"/>
      </w:rPr>
    </w:tblStylePr>
    <w:tblStylePr w:type="firstCol">
      <w:rPr>
        <w:rFonts w:ascii="Arial" w:hAnsi="Arial"/>
        <w:b/>
        <w:color w:val="FFFFFF"/>
        <w:sz w:val="22"/>
      </w:rPr>
      <w:tcPr>
        <w:tcBorders>
          <w:left w:val="single" w:color="FAC090" w:sz="32" w:space="0"/>
          <w:right w:val="single" w:color="FFFFFF" w:sz="4" w:space="0"/>
        </w:tcBorders>
      </w:tcPr>
    </w:tblStylePr>
    <w:tblStylePr w:type="lastCol">
      <w:tcPr>
        <w:tcBorders>
          <w:left w:val="single" w:color="FFFFFF" w:sz="4" w:space="0"/>
          <w:right w:val="single" w:color="FAC090" w:sz="32" w:space="0"/>
        </w:tcBorders>
      </w:tcPr>
    </w:tblStylePr>
    <w:tblStylePr w:type="band1Vert">
      <w:tcPr>
        <w:tcBorders>
          <w:left w:val="single" w:color="FFFFFF" w:sz="4" w:space="0"/>
          <w:right w:val="single" w:color="FFFFFF" w:sz="4" w:space="0"/>
        </w:tcBorders>
        <w:shd w:val="clear" w:color="FAC090" w:fill="FAC090"/>
      </w:tcPr>
    </w:tblStylePr>
    <w:tblStylePr w:type="band2Vert">
      <w:tcPr>
        <w:tcBorders>
          <w:left w:val="single" w:color="FFFFFF" w:sz="4" w:space="0"/>
          <w:right w:val="single" w:color="FFFFFF" w:sz="4" w:space="0"/>
        </w:tcBorders>
      </w:tcPr>
    </w:tblStylePr>
    <w:tblStylePr w:type="band1Horz">
      <w:tcPr>
        <w:tcBorders>
          <w:top w:val="single" w:color="FFFFFF" w:sz="4" w:space="0"/>
          <w:bottom w:val="single" w:color="FFFFFF" w:sz="4" w:space="0"/>
        </w:tcBorders>
        <w:shd w:val="clear" w:color="FAC090" w:fill="FAC090"/>
      </w:tcPr>
    </w:tblStylePr>
    <w:tblStylePr w:type="band2Horz">
      <w:tcPr>
        <w:tcBorders>
          <w:top w:val="single" w:color="FFFFFF" w:sz="4" w:space="0"/>
          <w:bottom w:val="single" w:color="FFFFFF" w:sz="4" w:space="0"/>
        </w:tcBorders>
        <w:shd w:val="clear" w:color="FAC090" w:fill="FAC090"/>
      </w:tcPr>
    </w:tblStylePr>
  </w:style>
  <w:style w:type="table" w:customStyle="1" w:styleId="1441">
    <w:name w:val="Список-таблица 6 цветная14"/>
    <w:basedOn w:val="13"/>
    <w:uiPriority w:val="99"/>
    <w:rPr>
      <w:sz w:val="22"/>
      <w:szCs w:val="22"/>
      <w:lang w:eastAsia="en-US"/>
    </w:rPr>
    <w:tblPr>
      <w:tblBorders>
        <w:top w:val="single" w:color="7F7F7F" w:sz="4" w:space="0"/>
        <w:bottom w:val="single" w:color="7F7F7F" w:sz="4" w:space="0"/>
      </w:tblBorders>
      <w:tblCellMar>
        <w:top w:w="0" w:type="dxa"/>
        <w:left w:w="108" w:type="dxa"/>
        <w:bottom w:w="0" w:type="dxa"/>
        <w:right w:w="108" w:type="dxa"/>
      </w:tblCellMar>
    </w:tblPr>
    <w:tblStylePr w:type="firstRow">
      <w:rPr>
        <w:b/>
        <w:color w:val="000000"/>
      </w:rPr>
      <w:tcPr>
        <w:tcBorders>
          <w:bottom w:val="single" w:color="7F7F7F" w:sz="4" w:space="0"/>
        </w:tcBorders>
      </w:tcPr>
    </w:tblStylePr>
    <w:tblStylePr w:type="lastRow">
      <w:rPr>
        <w:b/>
        <w:color w:val="000000"/>
      </w:rPr>
      <w:tcPr>
        <w:tcBorders>
          <w:top w:val="single" w:color="7F7F7F" w:sz="4" w:space="0"/>
        </w:tcBorders>
      </w:tcPr>
    </w:tblStylePr>
    <w:tblStylePr w:type="firstCol">
      <w:rPr>
        <w:b/>
        <w:color w:val="000000"/>
      </w:rPr>
    </w:tblStylePr>
    <w:tblStylePr w:type="lastCol">
      <w:rPr>
        <w:b/>
        <w:color w:val="000000"/>
      </w:rPr>
    </w:tblStylePr>
    <w:tblStylePr w:type="band1Vert">
      <w:tcPr>
        <w:shd w:val="clear" w:color="BFBFBF" w:fill="BFBFBF"/>
      </w:tcPr>
    </w:tblStylePr>
    <w:tblStylePr w:type="band1Horz">
      <w:rPr>
        <w:rFonts w:ascii="Arial" w:hAnsi="Arial"/>
        <w:color w:val="000000"/>
        <w:sz w:val="22"/>
      </w:rPr>
      <w:tcPr>
        <w:shd w:val="clear" w:color="BFBFBF" w:fill="BFBFBF"/>
      </w:tcPr>
    </w:tblStylePr>
    <w:tblStylePr w:type="band2Horz">
      <w:rPr>
        <w:rFonts w:ascii="Arial" w:hAnsi="Arial"/>
        <w:color w:val="000000"/>
        <w:sz w:val="22"/>
      </w:rPr>
    </w:tblStylePr>
  </w:style>
  <w:style w:type="table" w:customStyle="1" w:styleId="1442">
    <w:name w:val="List Table 6 Colorful - Accent 16"/>
    <w:basedOn w:val="13"/>
    <w:uiPriority w:val="99"/>
    <w:rPr>
      <w:sz w:val="22"/>
      <w:szCs w:val="22"/>
      <w:lang w:eastAsia="en-US"/>
    </w:rPr>
    <w:tblPr>
      <w:tblBorders>
        <w:top w:val="single" w:color="4F81BD" w:sz="4" w:space="0"/>
        <w:bottom w:val="single" w:color="4F81BD" w:sz="4" w:space="0"/>
      </w:tblBorders>
      <w:tblCellMar>
        <w:top w:w="0" w:type="dxa"/>
        <w:left w:w="108" w:type="dxa"/>
        <w:bottom w:w="0" w:type="dxa"/>
        <w:right w:w="108" w:type="dxa"/>
      </w:tblCellMar>
    </w:tblPr>
    <w:tblStylePr w:type="firstRow">
      <w:rPr>
        <w:b/>
        <w:color w:val="2A4A71"/>
      </w:rPr>
      <w:tcPr>
        <w:tcBorders>
          <w:bottom w:val="single" w:color="4F81BD" w:sz="4" w:space="0"/>
        </w:tcBorders>
      </w:tcPr>
    </w:tblStylePr>
    <w:tblStylePr w:type="lastRow">
      <w:rPr>
        <w:b/>
        <w:color w:val="2A4A71"/>
      </w:rPr>
      <w:tcPr>
        <w:tcBorders>
          <w:top w:val="single" w:color="4F81BD" w:sz="4" w:space="0"/>
        </w:tcBorders>
      </w:tcPr>
    </w:tblStylePr>
    <w:tblStylePr w:type="firstCol">
      <w:rPr>
        <w:b/>
        <w:color w:val="2A4A71"/>
      </w:rPr>
    </w:tblStylePr>
    <w:tblStylePr w:type="lastCol">
      <w:rPr>
        <w:b/>
        <w:color w:val="2A4A71"/>
      </w:rPr>
    </w:tblStylePr>
    <w:tblStylePr w:type="band1Vert">
      <w:tcPr>
        <w:shd w:val="clear" w:color="D2DFEE" w:fill="D2DFEE"/>
      </w:tcPr>
    </w:tblStylePr>
    <w:tblStylePr w:type="band1Horz">
      <w:rPr>
        <w:rFonts w:ascii="Arial" w:hAnsi="Arial"/>
        <w:color w:val="2A4A71"/>
        <w:sz w:val="22"/>
      </w:rPr>
      <w:tcPr>
        <w:shd w:val="clear" w:color="D2DFEE" w:fill="D2DFEE"/>
      </w:tcPr>
    </w:tblStylePr>
    <w:tblStylePr w:type="band2Horz">
      <w:rPr>
        <w:rFonts w:ascii="Arial" w:hAnsi="Arial"/>
        <w:color w:val="2A4A71"/>
        <w:sz w:val="22"/>
      </w:rPr>
    </w:tblStylePr>
  </w:style>
  <w:style w:type="table" w:customStyle="1" w:styleId="1443">
    <w:name w:val="List Table 6 Colorful - Accent 26"/>
    <w:basedOn w:val="13"/>
    <w:uiPriority w:val="99"/>
    <w:rPr>
      <w:sz w:val="22"/>
      <w:szCs w:val="22"/>
      <w:lang w:eastAsia="en-US"/>
    </w:rPr>
    <w:tblPr>
      <w:tblBorders>
        <w:top w:val="single" w:color="D99695" w:sz="4" w:space="0"/>
        <w:bottom w:val="single" w:color="D99695" w:sz="4" w:space="0"/>
      </w:tblBorders>
      <w:tblCellMar>
        <w:top w:w="0" w:type="dxa"/>
        <w:left w:w="108" w:type="dxa"/>
        <w:bottom w:w="0" w:type="dxa"/>
        <w:right w:w="108" w:type="dxa"/>
      </w:tblCellMar>
    </w:tblPr>
    <w:tblStylePr w:type="firstRow">
      <w:rPr>
        <w:b/>
        <w:color w:val="D99695"/>
      </w:rPr>
      <w:tcPr>
        <w:tcBorders>
          <w:bottom w:val="single" w:color="D99695" w:sz="4" w:space="0"/>
        </w:tcBorders>
      </w:tcPr>
    </w:tblStylePr>
    <w:tblStylePr w:type="lastRow">
      <w:rPr>
        <w:b/>
        <w:color w:val="D99695"/>
      </w:rPr>
      <w:tcPr>
        <w:tcBorders>
          <w:top w:val="single" w:color="D99695" w:sz="4" w:space="0"/>
        </w:tcBorders>
      </w:tcPr>
    </w:tblStylePr>
    <w:tblStylePr w:type="firstCol">
      <w:rPr>
        <w:b/>
        <w:color w:val="D99695"/>
      </w:rPr>
    </w:tblStylePr>
    <w:tblStylePr w:type="lastCol">
      <w:rPr>
        <w:b/>
        <w:color w:val="D99695"/>
      </w:rPr>
    </w:tblStylePr>
    <w:tblStylePr w:type="band1Vert">
      <w:tcPr>
        <w:shd w:val="clear" w:color="EFD2D2" w:fill="EFD2D2"/>
      </w:tcPr>
    </w:tblStylePr>
    <w:tblStylePr w:type="band1Horz">
      <w:rPr>
        <w:rFonts w:ascii="Arial" w:hAnsi="Arial"/>
        <w:color w:val="D99695"/>
        <w:sz w:val="22"/>
      </w:rPr>
      <w:tcPr>
        <w:shd w:val="clear" w:color="EFD2D2" w:fill="EFD2D2"/>
      </w:tcPr>
    </w:tblStylePr>
    <w:tblStylePr w:type="band2Horz">
      <w:rPr>
        <w:rFonts w:ascii="Arial" w:hAnsi="Arial"/>
        <w:color w:val="D99695"/>
        <w:sz w:val="22"/>
      </w:rPr>
    </w:tblStylePr>
  </w:style>
  <w:style w:type="table" w:customStyle="1" w:styleId="1444">
    <w:name w:val="List Table 6 Colorful - Accent 36"/>
    <w:basedOn w:val="13"/>
    <w:uiPriority w:val="99"/>
    <w:rPr>
      <w:sz w:val="22"/>
      <w:szCs w:val="22"/>
      <w:lang w:eastAsia="en-US"/>
    </w:rPr>
    <w:tblPr>
      <w:tblBorders>
        <w:top w:val="single" w:color="C3D69B" w:sz="4" w:space="0"/>
        <w:bottom w:val="single" w:color="C3D69B" w:sz="4" w:space="0"/>
      </w:tblBorders>
      <w:tblCellMar>
        <w:top w:w="0" w:type="dxa"/>
        <w:left w:w="108" w:type="dxa"/>
        <w:bottom w:w="0" w:type="dxa"/>
        <w:right w:w="108" w:type="dxa"/>
      </w:tblCellMar>
    </w:tblPr>
    <w:tblStylePr w:type="firstRow">
      <w:rPr>
        <w:b/>
        <w:color w:val="C3D69B"/>
      </w:rPr>
      <w:tcPr>
        <w:tcBorders>
          <w:bottom w:val="single" w:color="C3D69B" w:sz="4" w:space="0"/>
        </w:tcBorders>
      </w:tcPr>
    </w:tblStylePr>
    <w:tblStylePr w:type="lastRow">
      <w:rPr>
        <w:b/>
        <w:color w:val="C3D69B"/>
      </w:rPr>
      <w:tcPr>
        <w:tcBorders>
          <w:top w:val="single" w:color="C3D69B" w:sz="4" w:space="0"/>
        </w:tcBorders>
      </w:tcPr>
    </w:tblStylePr>
    <w:tblStylePr w:type="firstCol">
      <w:rPr>
        <w:b/>
        <w:color w:val="C3D69B"/>
      </w:rPr>
    </w:tblStylePr>
    <w:tblStylePr w:type="lastCol">
      <w:rPr>
        <w:b/>
        <w:color w:val="C3D69B"/>
      </w:rPr>
    </w:tblStylePr>
    <w:tblStylePr w:type="band1Vert">
      <w:tcPr>
        <w:shd w:val="clear" w:color="E5EED5" w:fill="E5EED5"/>
      </w:tcPr>
    </w:tblStylePr>
    <w:tblStylePr w:type="band1Horz">
      <w:rPr>
        <w:rFonts w:ascii="Arial" w:hAnsi="Arial"/>
        <w:color w:val="C3D69B"/>
        <w:sz w:val="22"/>
      </w:rPr>
      <w:tcPr>
        <w:shd w:val="clear" w:color="E5EED5" w:fill="E5EED5"/>
      </w:tcPr>
    </w:tblStylePr>
    <w:tblStylePr w:type="band2Horz">
      <w:rPr>
        <w:rFonts w:ascii="Arial" w:hAnsi="Arial"/>
        <w:color w:val="C3D69B"/>
        <w:sz w:val="22"/>
      </w:rPr>
    </w:tblStylePr>
  </w:style>
  <w:style w:type="table" w:customStyle="1" w:styleId="1445">
    <w:name w:val="List Table 6 Colorful - Accent 46"/>
    <w:basedOn w:val="13"/>
    <w:uiPriority w:val="99"/>
    <w:rPr>
      <w:sz w:val="22"/>
      <w:szCs w:val="22"/>
      <w:lang w:eastAsia="en-US"/>
    </w:rPr>
    <w:tblPr>
      <w:tblBorders>
        <w:top w:val="single" w:color="B2A1C6" w:sz="4" w:space="0"/>
        <w:bottom w:val="single" w:color="B2A1C6" w:sz="4" w:space="0"/>
      </w:tblBorders>
      <w:tblCellMar>
        <w:top w:w="0" w:type="dxa"/>
        <w:left w:w="108" w:type="dxa"/>
        <w:bottom w:w="0" w:type="dxa"/>
        <w:right w:w="108" w:type="dxa"/>
      </w:tblCellMar>
    </w:tblPr>
    <w:tblStylePr w:type="firstRow">
      <w:rPr>
        <w:b/>
        <w:color w:val="B2A1C6"/>
      </w:rPr>
      <w:tcPr>
        <w:tcBorders>
          <w:bottom w:val="single" w:color="B2A1C6" w:sz="4" w:space="0"/>
        </w:tcBorders>
      </w:tcPr>
    </w:tblStylePr>
    <w:tblStylePr w:type="lastRow">
      <w:rPr>
        <w:b/>
        <w:color w:val="B2A1C6"/>
      </w:rPr>
      <w:tcPr>
        <w:tcBorders>
          <w:top w:val="single" w:color="B2A1C6" w:sz="4" w:space="0"/>
        </w:tcBorders>
      </w:tcPr>
    </w:tblStylePr>
    <w:tblStylePr w:type="firstCol">
      <w:rPr>
        <w:b/>
        <w:color w:val="B2A1C6"/>
      </w:rPr>
    </w:tblStylePr>
    <w:tblStylePr w:type="lastCol">
      <w:rPr>
        <w:b/>
        <w:color w:val="B2A1C6"/>
      </w:rPr>
    </w:tblStylePr>
    <w:tblStylePr w:type="band1Vert">
      <w:tcPr>
        <w:shd w:val="clear" w:color="DFD8E7" w:fill="DFD8E7"/>
      </w:tcPr>
    </w:tblStylePr>
    <w:tblStylePr w:type="band1Horz">
      <w:rPr>
        <w:rFonts w:ascii="Arial" w:hAnsi="Arial"/>
        <w:color w:val="B2A1C6"/>
        <w:sz w:val="22"/>
      </w:rPr>
      <w:tcPr>
        <w:shd w:val="clear" w:color="DFD8E7" w:fill="DFD8E7"/>
      </w:tcPr>
    </w:tblStylePr>
    <w:tblStylePr w:type="band2Horz">
      <w:rPr>
        <w:rFonts w:ascii="Arial" w:hAnsi="Arial"/>
        <w:color w:val="B2A1C6"/>
        <w:sz w:val="22"/>
      </w:rPr>
    </w:tblStylePr>
  </w:style>
  <w:style w:type="table" w:customStyle="1" w:styleId="1446">
    <w:name w:val="List Table 6 Colorful - Accent 56"/>
    <w:basedOn w:val="13"/>
    <w:uiPriority w:val="99"/>
    <w:rPr>
      <w:sz w:val="22"/>
      <w:szCs w:val="22"/>
      <w:lang w:eastAsia="en-US"/>
    </w:rPr>
    <w:tblPr>
      <w:tblBorders>
        <w:top w:val="single" w:color="92CCDC" w:sz="4" w:space="0"/>
        <w:bottom w:val="single" w:color="92CCDC" w:sz="4" w:space="0"/>
      </w:tblBorders>
      <w:tblCellMar>
        <w:top w:w="0" w:type="dxa"/>
        <w:left w:w="108" w:type="dxa"/>
        <w:bottom w:w="0" w:type="dxa"/>
        <w:right w:w="108" w:type="dxa"/>
      </w:tblCellMar>
    </w:tblPr>
    <w:tblStylePr w:type="firstRow">
      <w:rPr>
        <w:b/>
        <w:color w:val="92CCDC"/>
      </w:rPr>
      <w:tcPr>
        <w:tcBorders>
          <w:bottom w:val="single" w:color="92CCDC" w:sz="4" w:space="0"/>
        </w:tcBorders>
      </w:tcPr>
    </w:tblStylePr>
    <w:tblStylePr w:type="lastRow">
      <w:rPr>
        <w:b/>
        <w:color w:val="92CCDC"/>
      </w:rPr>
      <w:tcPr>
        <w:tcBorders>
          <w:top w:val="single" w:color="92CCDC" w:sz="4" w:space="0"/>
        </w:tcBorders>
      </w:tcPr>
    </w:tblStylePr>
    <w:tblStylePr w:type="firstCol">
      <w:rPr>
        <w:b/>
        <w:color w:val="92CCDC"/>
      </w:rPr>
    </w:tblStylePr>
    <w:tblStylePr w:type="lastCol">
      <w:rPr>
        <w:b/>
        <w:color w:val="92CCDC"/>
      </w:rPr>
    </w:tblStylePr>
    <w:tblStylePr w:type="band1Vert">
      <w:tcPr>
        <w:shd w:val="clear" w:color="D1EAF0" w:fill="D1EAF0"/>
      </w:tcPr>
    </w:tblStylePr>
    <w:tblStylePr w:type="band1Horz">
      <w:rPr>
        <w:rFonts w:ascii="Arial" w:hAnsi="Arial"/>
        <w:color w:val="92CCDC"/>
        <w:sz w:val="22"/>
      </w:rPr>
      <w:tcPr>
        <w:shd w:val="clear" w:color="D1EAF0" w:fill="D1EAF0"/>
      </w:tcPr>
    </w:tblStylePr>
    <w:tblStylePr w:type="band2Horz">
      <w:rPr>
        <w:rFonts w:ascii="Arial" w:hAnsi="Arial"/>
        <w:color w:val="92CCDC"/>
        <w:sz w:val="22"/>
      </w:rPr>
    </w:tblStylePr>
  </w:style>
  <w:style w:type="table" w:customStyle="1" w:styleId="1447">
    <w:name w:val="List Table 6 Colorful - Accent 66"/>
    <w:basedOn w:val="13"/>
    <w:uiPriority w:val="99"/>
    <w:rPr>
      <w:sz w:val="22"/>
      <w:szCs w:val="22"/>
      <w:lang w:eastAsia="en-US"/>
    </w:rPr>
    <w:tblPr>
      <w:tblBorders>
        <w:top w:val="single" w:color="FAC090" w:sz="4" w:space="0"/>
        <w:bottom w:val="single" w:color="FAC090" w:sz="4" w:space="0"/>
      </w:tblBorders>
      <w:tblCellMar>
        <w:top w:w="0" w:type="dxa"/>
        <w:left w:w="108" w:type="dxa"/>
        <w:bottom w:w="0" w:type="dxa"/>
        <w:right w:w="108" w:type="dxa"/>
      </w:tblCellMar>
    </w:tblPr>
    <w:tblStylePr w:type="firstRow">
      <w:rPr>
        <w:b/>
        <w:color w:val="FAC090"/>
      </w:rPr>
      <w:tcPr>
        <w:tcBorders>
          <w:bottom w:val="single" w:color="FAC090" w:sz="4" w:space="0"/>
        </w:tcBorders>
      </w:tcPr>
    </w:tblStylePr>
    <w:tblStylePr w:type="lastRow">
      <w:rPr>
        <w:b/>
        <w:color w:val="FAC090"/>
      </w:rPr>
      <w:tcPr>
        <w:tcBorders>
          <w:top w:val="single" w:color="FAC090" w:sz="4" w:space="0"/>
        </w:tcBorders>
      </w:tcPr>
    </w:tblStylePr>
    <w:tblStylePr w:type="firstCol">
      <w:rPr>
        <w:b/>
        <w:color w:val="FAC090"/>
      </w:rPr>
    </w:tblStylePr>
    <w:tblStylePr w:type="lastCol">
      <w:rPr>
        <w:b/>
        <w:color w:val="FAC090"/>
      </w:rPr>
    </w:tblStylePr>
    <w:tblStylePr w:type="band1Vert">
      <w:tcPr>
        <w:shd w:val="clear" w:color="FDE4D0" w:fill="FDE4D0"/>
      </w:tcPr>
    </w:tblStylePr>
    <w:tblStylePr w:type="band1Horz">
      <w:rPr>
        <w:rFonts w:ascii="Arial" w:hAnsi="Arial"/>
        <w:color w:val="FAC090"/>
        <w:sz w:val="22"/>
      </w:rPr>
      <w:tcPr>
        <w:shd w:val="clear" w:color="FDE4D0" w:fill="FDE4D0"/>
      </w:tcPr>
    </w:tblStylePr>
    <w:tblStylePr w:type="band2Horz">
      <w:rPr>
        <w:rFonts w:ascii="Arial" w:hAnsi="Arial"/>
        <w:color w:val="FAC090"/>
        <w:sz w:val="22"/>
      </w:rPr>
    </w:tblStylePr>
  </w:style>
  <w:style w:type="table" w:customStyle="1" w:styleId="1448">
    <w:name w:val="Список-таблица 7 цветная14"/>
    <w:basedOn w:val="13"/>
    <w:uiPriority w:val="99"/>
    <w:rPr>
      <w:sz w:val="22"/>
      <w:szCs w:val="22"/>
      <w:lang w:eastAsia="en-US"/>
    </w:rPr>
    <w:tblPr>
      <w:tblBorders>
        <w:right w:val="single" w:color="7F7F7F" w:sz="4" w:space="0"/>
      </w:tblBorders>
      <w:tblCellMar>
        <w:top w:w="0" w:type="dxa"/>
        <w:left w:w="108" w:type="dxa"/>
        <w:bottom w:w="0" w:type="dxa"/>
        <w:right w:w="108" w:type="dxa"/>
      </w:tblCellMar>
    </w:tblPr>
    <w:tblStylePr w:type="firstRow">
      <w:rPr>
        <w:rFonts w:ascii="Arial" w:hAnsi="Arial"/>
        <w:i/>
        <w:color w:val="7F7F7F"/>
        <w:sz w:val="22"/>
      </w:rPr>
      <w:tcPr>
        <w:tcBorders>
          <w:top w:val="nil"/>
          <w:left w:val="nil"/>
          <w:bottom w:val="single" w:color="7F7F7F" w:sz="4" w:space="0"/>
          <w:right w:val="nil"/>
        </w:tcBorders>
        <w:shd w:val="clear" w:color="FFFFFF" w:fill="FFFFFF"/>
      </w:tcPr>
    </w:tblStylePr>
    <w:tblStylePr w:type="lastRow">
      <w:rPr>
        <w:rFonts w:ascii="Arial" w:hAnsi="Arial"/>
        <w:i/>
        <w:color w:val="7F7F7F"/>
        <w:sz w:val="22"/>
      </w:rPr>
      <w:tcPr>
        <w:tcBorders>
          <w:top w:val="single" w:color="7F7F7F" w:sz="4" w:space="0"/>
          <w:left w:val="nil"/>
          <w:bottom w:val="nil"/>
          <w:right w:val="nil"/>
        </w:tcBorders>
        <w:shd w:val="clear" w:color="FFFFFF" w:fill="FFFFFF"/>
      </w:tcPr>
    </w:tblStylePr>
    <w:tblStylePr w:type="firstCol">
      <w:pPr>
        <w:jc w:val="right"/>
      </w:pPr>
      <w:rPr>
        <w:rFonts w:ascii="Arial" w:hAnsi="Arial"/>
        <w:i/>
        <w:color w:val="7F7F7F"/>
        <w:sz w:val="22"/>
      </w:rPr>
      <w:tcPr>
        <w:tcBorders>
          <w:top w:val="nil"/>
          <w:left w:val="nil"/>
          <w:bottom w:val="nil"/>
          <w:right w:val="single" w:color="7F7F7F" w:sz="4" w:space="0"/>
        </w:tcBorders>
        <w:shd w:val="clear" w:color="FFFFFF" w:fill="auto"/>
      </w:tcPr>
    </w:tblStylePr>
    <w:tblStylePr w:type="lastCol">
      <w:rPr>
        <w:rFonts w:ascii="Arial" w:hAnsi="Arial"/>
        <w:i/>
        <w:color w:val="7F7F7F"/>
        <w:sz w:val="22"/>
      </w:rPr>
      <w:tcPr>
        <w:tcBorders>
          <w:top w:val="nil"/>
          <w:left w:val="single" w:color="7F7F7F" w:sz="4" w:space="0"/>
          <w:bottom w:val="nil"/>
          <w:right w:val="nil"/>
        </w:tcBorders>
        <w:shd w:val="clear" w:color="FFFFFF" w:fill="auto"/>
      </w:tcPr>
    </w:tblStylePr>
    <w:tblStylePr w:type="band1Vert">
      <w:tcPr>
        <w:shd w:val="clear" w:color="BFBFBF" w:fill="BFBFBF"/>
      </w:tcPr>
    </w:tblStylePr>
    <w:tblStylePr w:type="band1Horz">
      <w:rPr>
        <w:rFonts w:ascii="Arial" w:hAnsi="Arial"/>
        <w:color w:val="7F7F7F"/>
        <w:sz w:val="22"/>
      </w:rPr>
      <w:tcPr>
        <w:shd w:val="clear" w:color="BFBFBF" w:fill="BFBFBF"/>
      </w:tcPr>
    </w:tblStylePr>
    <w:tblStylePr w:type="band2Horz">
      <w:rPr>
        <w:rFonts w:ascii="Arial" w:hAnsi="Arial"/>
        <w:color w:val="7F7F7F"/>
        <w:sz w:val="22"/>
      </w:rPr>
    </w:tblStylePr>
  </w:style>
  <w:style w:type="table" w:customStyle="1" w:styleId="1449">
    <w:name w:val="List Table 7 Colorful - Accent 16"/>
    <w:basedOn w:val="13"/>
    <w:uiPriority w:val="99"/>
    <w:rPr>
      <w:sz w:val="22"/>
      <w:szCs w:val="22"/>
      <w:lang w:eastAsia="en-US"/>
    </w:rPr>
    <w:tblPr>
      <w:tblBorders>
        <w:right w:val="single" w:color="4F81BD" w:sz="4" w:space="0"/>
      </w:tblBorders>
      <w:tblCellMar>
        <w:top w:w="0" w:type="dxa"/>
        <w:left w:w="108" w:type="dxa"/>
        <w:bottom w:w="0" w:type="dxa"/>
        <w:right w:w="108" w:type="dxa"/>
      </w:tblCellMar>
    </w:tblPr>
    <w:tblStylePr w:type="firstRow">
      <w:rPr>
        <w:rFonts w:ascii="Arial" w:hAnsi="Arial"/>
        <w:i/>
        <w:color w:val="2A4A71"/>
        <w:sz w:val="22"/>
      </w:rPr>
      <w:tcPr>
        <w:tcBorders>
          <w:top w:val="nil"/>
          <w:left w:val="nil"/>
          <w:bottom w:val="single" w:color="4F81BD" w:sz="4" w:space="0"/>
          <w:right w:val="nil"/>
        </w:tcBorders>
        <w:shd w:val="clear" w:color="FFFFFF" w:fill="FFFFFF"/>
      </w:tcPr>
    </w:tblStylePr>
    <w:tblStylePr w:type="lastRow">
      <w:rPr>
        <w:rFonts w:ascii="Arial" w:hAnsi="Arial"/>
        <w:i/>
        <w:color w:val="2A4A71"/>
        <w:sz w:val="22"/>
      </w:rPr>
      <w:tcPr>
        <w:tcBorders>
          <w:top w:val="single" w:color="4F81BD" w:sz="4" w:space="0"/>
          <w:left w:val="nil"/>
          <w:bottom w:val="nil"/>
          <w:right w:val="nil"/>
        </w:tcBorders>
        <w:shd w:val="clear" w:color="FFFFFF" w:fill="FFFFFF"/>
      </w:tcPr>
    </w:tblStylePr>
    <w:tblStylePr w:type="firstCol">
      <w:pPr>
        <w:jc w:val="right"/>
      </w:pPr>
      <w:rPr>
        <w:rFonts w:ascii="Arial" w:hAnsi="Arial"/>
        <w:i/>
        <w:color w:val="2A4A71"/>
        <w:sz w:val="22"/>
      </w:rPr>
      <w:tcPr>
        <w:tcBorders>
          <w:top w:val="nil"/>
          <w:left w:val="nil"/>
          <w:bottom w:val="nil"/>
          <w:right w:val="single" w:color="4F81BD" w:sz="4" w:space="0"/>
        </w:tcBorders>
        <w:shd w:val="clear" w:color="FFFFFF" w:fill="auto"/>
      </w:tcPr>
    </w:tblStylePr>
    <w:tblStylePr w:type="lastCol">
      <w:rPr>
        <w:rFonts w:ascii="Arial" w:hAnsi="Arial"/>
        <w:i/>
        <w:color w:val="2A4A71"/>
        <w:sz w:val="22"/>
      </w:rPr>
      <w:tcPr>
        <w:tcBorders>
          <w:top w:val="nil"/>
          <w:left w:val="single" w:color="4F81BD" w:sz="4" w:space="0"/>
          <w:bottom w:val="nil"/>
          <w:right w:val="nil"/>
        </w:tcBorders>
        <w:shd w:val="clear" w:color="FFFFFF" w:fill="auto"/>
      </w:tcPr>
    </w:tblStylePr>
    <w:tblStylePr w:type="band1Vert">
      <w:tcPr>
        <w:shd w:val="clear" w:color="D2DFEE" w:fill="D2DFEE"/>
      </w:tcPr>
    </w:tblStylePr>
    <w:tblStylePr w:type="band1Horz">
      <w:rPr>
        <w:rFonts w:ascii="Arial" w:hAnsi="Arial"/>
        <w:color w:val="2A4A71"/>
        <w:sz w:val="22"/>
      </w:rPr>
      <w:tcPr>
        <w:shd w:val="clear" w:color="D2DFEE" w:fill="D2DFEE"/>
      </w:tcPr>
    </w:tblStylePr>
    <w:tblStylePr w:type="band2Horz">
      <w:rPr>
        <w:rFonts w:ascii="Arial" w:hAnsi="Arial"/>
        <w:color w:val="2A4A71"/>
        <w:sz w:val="22"/>
      </w:rPr>
    </w:tblStylePr>
  </w:style>
  <w:style w:type="table" w:customStyle="1" w:styleId="1450">
    <w:name w:val="List Table 7 Colorful - Accent 26"/>
    <w:basedOn w:val="13"/>
    <w:uiPriority w:val="99"/>
    <w:rPr>
      <w:sz w:val="22"/>
      <w:szCs w:val="22"/>
      <w:lang w:eastAsia="en-US"/>
    </w:rPr>
    <w:tblPr>
      <w:tblBorders>
        <w:right w:val="single" w:color="D99695" w:sz="4" w:space="0"/>
      </w:tblBorders>
      <w:tblCellMar>
        <w:top w:w="0" w:type="dxa"/>
        <w:left w:w="108" w:type="dxa"/>
        <w:bottom w:w="0" w:type="dxa"/>
        <w:right w:w="108" w:type="dxa"/>
      </w:tblCellMar>
    </w:tblPr>
    <w:tblStylePr w:type="firstRow">
      <w:rPr>
        <w:rFonts w:ascii="Arial" w:hAnsi="Arial"/>
        <w:i/>
        <w:color w:val="D99695"/>
        <w:sz w:val="22"/>
      </w:rPr>
      <w:tcPr>
        <w:tcBorders>
          <w:top w:val="nil"/>
          <w:left w:val="nil"/>
          <w:bottom w:val="single" w:color="D99695" w:sz="4" w:space="0"/>
          <w:right w:val="nil"/>
        </w:tcBorders>
        <w:shd w:val="clear" w:color="FFFFFF" w:fill="FFFFFF"/>
      </w:tcPr>
    </w:tblStylePr>
    <w:tblStylePr w:type="lastRow">
      <w:rPr>
        <w:rFonts w:ascii="Arial" w:hAnsi="Arial"/>
        <w:i/>
        <w:color w:val="D99695"/>
        <w:sz w:val="22"/>
      </w:rPr>
      <w:tcPr>
        <w:tcBorders>
          <w:top w:val="single" w:color="D99695" w:sz="4" w:space="0"/>
          <w:left w:val="nil"/>
          <w:bottom w:val="nil"/>
          <w:right w:val="nil"/>
        </w:tcBorders>
        <w:shd w:val="clear" w:color="FFFFFF" w:fill="FFFFFF"/>
      </w:tcPr>
    </w:tblStylePr>
    <w:tblStylePr w:type="firstCol">
      <w:pPr>
        <w:jc w:val="right"/>
      </w:pPr>
      <w:rPr>
        <w:rFonts w:ascii="Arial" w:hAnsi="Arial"/>
        <w:i/>
        <w:color w:val="D99695"/>
        <w:sz w:val="22"/>
      </w:rPr>
      <w:tcPr>
        <w:tcBorders>
          <w:top w:val="nil"/>
          <w:left w:val="nil"/>
          <w:bottom w:val="nil"/>
          <w:right w:val="single" w:color="D99695" w:sz="4" w:space="0"/>
        </w:tcBorders>
        <w:shd w:val="clear" w:color="FFFFFF" w:fill="auto"/>
      </w:tcPr>
    </w:tblStylePr>
    <w:tblStylePr w:type="lastCol">
      <w:rPr>
        <w:rFonts w:ascii="Arial" w:hAnsi="Arial"/>
        <w:i/>
        <w:color w:val="D99695"/>
        <w:sz w:val="22"/>
      </w:rPr>
      <w:tcPr>
        <w:tcBorders>
          <w:top w:val="nil"/>
          <w:left w:val="single" w:color="D99695" w:sz="4" w:space="0"/>
          <w:bottom w:val="nil"/>
          <w:right w:val="nil"/>
        </w:tcBorders>
        <w:shd w:val="clear" w:color="FFFFFF" w:fill="auto"/>
      </w:tcPr>
    </w:tblStylePr>
    <w:tblStylePr w:type="band1Vert">
      <w:tcPr>
        <w:shd w:val="clear" w:color="EFD2D2" w:fill="EFD2D2"/>
      </w:tcPr>
    </w:tblStylePr>
    <w:tblStylePr w:type="band1Horz">
      <w:rPr>
        <w:rFonts w:ascii="Arial" w:hAnsi="Arial"/>
        <w:color w:val="D99695"/>
        <w:sz w:val="22"/>
      </w:rPr>
      <w:tcPr>
        <w:shd w:val="clear" w:color="EFD2D2" w:fill="EFD2D2"/>
      </w:tcPr>
    </w:tblStylePr>
    <w:tblStylePr w:type="band2Horz">
      <w:rPr>
        <w:rFonts w:ascii="Arial" w:hAnsi="Arial"/>
        <w:color w:val="D99695"/>
        <w:sz w:val="22"/>
      </w:rPr>
    </w:tblStylePr>
  </w:style>
  <w:style w:type="table" w:customStyle="1" w:styleId="1451">
    <w:name w:val="List Table 7 Colorful - Accent 36"/>
    <w:basedOn w:val="13"/>
    <w:uiPriority w:val="99"/>
    <w:rPr>
      <w:sz w:val="22"/>
      <w:szCs w:val="22"/>
      <w:lang w:eastAsia="en-US"/>
    </w:rPr>
    <w:tblPr>
      <w:tblBorders>
        <w:right w:val="single" w:color="C3D69B" w:sz="4" w:space="0"/>
      </w:tblBorders>
      <w:tblCellMar>
        <w:top w:w="0" w:type="dxa"/>
        <w:left w:w="108" w:type="dxa"/>
        <w:bottom w:w="0" w:type="dxa"/>
        <w:right w:w="108" w:type="dxa"/>
      </w:tblCellMar>
    </w:tblPr>
    <w:tblStylePr w:type="firstRow">
      <w:rPr>
        <w:rFonts w:ascii="Arial" w:hAnsi="Arial"/>
        <w:i/>
        <w:color w:val="C3D69B"/>
        <w:sz w:val="22"/>
      </w:rPr>
      <w:tcPr>
        <w:tcBorders>
          <w:top w:val="nil"/>
          <w:left w:val="nil"/>
          <w:bottom w:val="single" w:color="C3D69B" w:sz="4" w:space="0"/>
          <w:right w:val="nil"/>
        </w:tcBorders>
        <w:shd w:val="clear" w:color="FFFFFF" w:fill="FFFFFF"/>
      </w:tcPr>
    </w:tblStylePr>
    <w:tblStylePr w:type="lastRow">
      <w:rPr>
        <w:rFonts w:ascii="Arial" w:hAnsi="Arial"/>
        <w:i/>
        <w:color w:val="C3D69B"/>
        <w:sz w:val="22"/>
      </w:rPr>
      <w:tcPr>
        <w:tcBorders>
          <w:top w:val="single" w:color="C3D69B" w:sz="4" w:space="0"/>
          <w:left w:val="nil"/>
          <w:bottom w:val="nil"/>
          <w:right w:val="nil"/>
        </w:tcBorders>
        <w:shd w:val="clear" w:color="FFFFFF" w:fill="FFFFFF"/>
      </w:tcPr>
    </w:tblStylePr>
    <w:tblStylePr w:type="firstCol">
      <w:pPr>
        <w:jc w:val="right"/>
      </w:pPr>
      <w:rPr>
        <w:rFonts w:ascii="Arial" w:hAnsi="Arial"/>
        <w:i/>
        <w:color w:val="C3D69B"/>
        <w:sz w:val="22"/>
      </w:rPr>
      <w:tcPr>
        <w:tcBorders>
          <w:top w:val="nil"/>
          <w:left w:val="nil"/>
          <w:bottom w:val="nil"/>
          <w:right w:val="single" w:color="C3D69B" w:sz="4" w:space="0"/>
        </w:tcBorders>
        <w:shd w:val="clear" w:color="FFFFFF" w:fill="auto"/>
      </w:tcPr>
    </w:tblStylePr>
    <w:tblStylePr w:type="lastCol">
      <w:rPr>
        <w:rFonts w:ascii="Arial" w:hAnsi="Arial"/>
        <w:i/>
        <w:color w:val="C3D69B"/>
        <w:sz w:val="22"/>
      </w:rPr>
      <w:tcPr>
        <w:tcBorders>
          <w:top w:val="nil"/>
          <w:left w:val="single" w:color="C3D69B" w:sz="4" w:space="0"/>
          <w:bottom w:val="nil"/>
          <w:right w:val="nil"/>
        </w:tcBorders>
        <w:shd w:val="clear" w:color="FFFFFF" w:fill="auto"/>
      </w:tcPr>
    </w:tblStylePr>
    <w:tblStylePr w:type="band1Vert">
      <w:tcPr>
        <w:shd w:val="clear" w:color="E5EED5" w:fill="E5EED5"/>
      </w:tcPr>
    </w:tblStylePr>
    <w:tblStylePr w:type="band1Horz">
      <w:rPr>
        <w:rFonts w:ascii="Arial" w:hAnsi="Arial"/>
        <w:color w:val="C3D69B"/>
        <w:sz w:val="22"/>
      </w:rPr>
      <w:tcPr>
        <w:shd w:val="clear" w:color="E5EED5" w:fill="E5EED5"/>
      </w:tcPr>
    </w:tblStylePr>
    <w:tblStylePr w:type="band2Horz">
      <w:rPr>
        <w:rFonts w:ascii="Arial" w:hAnsi="Arial"/>
        <w:color w:val="C3D69B"/>
        <w:sz w:val="22"/>
      </w:rPr>
    </w:tblStylePr>
  </w:style>
  <w:style w:type="table" w:customStyle="1" w:styleId="1452">
    <w:name w:val="List Table 7 Colorful - Accent 46"/>
    <w:basedOn w:val="13"/>
    <w:uiPriority w:val="99"/>
    <w:rPr>
      <w:sz w:val="22"/>
      <w:szCs w:val="22"/>
      <w:lang w:eastAsia="en-US"/>
    </w:rPr>
    <w:tblPr>
      <w:tblBorders>
        <w:right w:val="single" w:color="B2A1C6" w:sz="4" w:space="0"/>
      </w:tblBorders>
      <w:tblCellMar>
        <w:top w:w="0" w:type="dxa"/>
        <w:left w:w="108" w:type="dxa"/>
        <w:bottom w:w="0" w:type="dxa"/>
        <w:right w:w="108" w:type="dxa"/>
      </w:tblCellMar>
    </w:tblPr>
    <w:tblStylePr w:type="firstRow">
      <w:rPr>
        <w:rFonts w:ascii="Arial" w:hAnsi="Arial"/>
        <w:i/>
        <w:color w:val="B2A1C6"/>
        <w:sz w:val="22"/>
      </w:rPr>
      <w:tcPr>
        <w:tcBorders>
          <w:top w:val="nil"/>
          <w:left w:val="nil"/>
          <w:bottom w:val="single" w:color="B2A1C6" w:sz="4" w:space="0"/>
          <w:right w:val="nil"/>
        </w:tcBorders>
        <w:shd w:val="clear" w:color="FFFFFF" w:fill="FFFFFF"/>
      </w:tcPr>
    </w:tblStylePr>
    <w:tblStylePr w:type="lastRow">
      <w:rPr>
        <w:rFonts w:ascii="Arial" w:hAnsi="Arial"/>
        <w:i/>
        <w:color w:val="B2A1C6"/>
        <w:sz w:val="22"/>
      </w:rPr>
      <w:tcPr>
        <w:tcBorders>
          <w:top w:val="single" w:color="B2A1C6" w:sz="4" w:space="0"/>
          <w:left w:val="nil"/>
          <w:bottom w:val="nil"/>
          <w:right w:val="nil"/>
        </w:tcBorders>
        <w:shd w:val="clear" w:color="FFFFFF" w:fill="FFFFFF"/>
      </w:tcPr>
    </w:tblStylePr>
    <w:tblStylePr w:type="firstCol">
      <w:pPr>
        <w:jc w:val="right"/>
      </w:pPr>
      <w:rPr>
        <w:rFonts w:ascii="Arial" w:hAnsi="Arial"/>
        <w:i/>
        <w:color w:val="B2A1C6"/>
        <w:sz w:val="22"/>
      </w:rPr>
      <w:tcPr>
        <w:tcBorders>
          <w:top w:val="nil"/>
          <w:left w:val="nil"/>
          <w:bottom w:val="nil"/>
          <w:right w:val="single" w:color="B2A1C6" w:sz="4" w:space="0"/>
        </w:tcBorders>
        <w:shd w:val="clear" w:color="FFFFFF" w:fill="auto"/>
      </w:tcPr>
    </w:tblStylePr>
    <w:tblStylePr w:type="lastCol">
      <w:rPr>
        <w:rFonts w:ascii="Arial" w:hAnsi="Arial"/>
        <w:i/>
        <w:color w:val="B2A1C6"/>
        <w:sz w:val="22"/>
      </w:rPr>
      <w:tcPr>
        <w:tcBorders>
          <w:top w:val="nil"/>
          <w:left w:val="single" w:color="B2A1C6" w:sz="4" w:space="0"/>
          <w:bottom w:val="nil"/>
          <w:right w:val="nil"/>
        </w:tcBorders>
        <w:shd w:val="clear" w:color="FFFFFF" w:fill="auto"/>
      </w:tcPr>
    </w:tblStylePr>
    <w:tblStylePr w:type="band1Vert">
      <w:tcPr>
        <w:shd w:val="clear" w:color="DFD8E7" w:fill="DFD8E7"/>
      </w:tcPr>
    </w:tblStylePr>
    <w:tblStylePr w:type="band1Horz">
      <w:rPr>
        <w:rFonts w:ascii="Arial" w:hAnsi="Arial"/>
        <w:color w:val="B2A1C6"/>
        <w:sz w:val="22"/>
      </w:rPr>
      <w:tcPr>
        <w:shd w:val="clear" w:color="DFD8E7" w:fill="DFD8E7"/>
      </w:tcPr>
    </w:tblStylePr>
    <w:tblStylePr w:type="band2Horz">
      <w:rPr>
        <w:rFonts w:ascii="Arial" w:hAnsi="Arial"/>
        <w:color w:val="B2A1C6"/>
        <w:sz w:val="22"/>
      </w:rPr>
    </w:tblStylePr>
  </w:style>
  <w:style w:type="table" w:customStyle="1" w:styleId="1453">
    <w:name w:val="List Table 7 Colorful - Accent 56"/>
    <w:basedOn w:val="13"/>
    <w:uiPriority w:val="99"/>
    <w:rPr>
      <w:sz w:val="22"/>
      <w:szCs w:val="22"/>
      <w:lang w:eastAsia="en-US"/>
    </w:rPr>
    <w:tblPr>
      <w:tblBorders>
        <w:right w:val="single" w:color="92CCDC" w:sz="4" w:space="0"/>
      </w:tblBorders>
      <w:tblCellMar>
        <w:top w:w="0" w:type="dxa"/>
        <w:left w:w="108" w:type="dxa"/>
        <w:bottom w:w="0" w:type="dxa"/>
        <w:right w:w="108" w:type="dxa"/>
      </w:tblCellMar>
    </w:tblPr>
    <w:tblStylePr w:type="firstRow">
      <w:rPr>
        <w:rFonts w:ascii="Arial" w:hAnsi="Arial"/>
        <w:i/>
        <w:color w:val="92CCDC"/>
        <w:sz w:val="22"/>
      </w:rPr>
      <w:tcPr>
        <w:tcBorders>
          <w:top w:val="nil"/>
          <w:left w:val="nil"/>
          <w:bottom w:val="single" w:color="92CCDC" w:sz="4" w:space="0"/>
          <w:right w:val="nil"/>
        </w:tcBorders>
        <w:shd w:val="clear" w:color="FFFFFF" w:fill="FFFFFF"/>
      </w:tcPr>
    </w:tblStylePr>
    <w:tblStylePr w:type="lastRow">
      <w:rPr>
        <w:rFonts w:ascii="Arial" w:hAnsi="Arial"/>
        <w:i/>
        <w:color w:val="92CCDC"/>
        <w:sz w:val="22"/>
      </w:rPr>
      <w:tcPr>
        <w:tcBorders>
          <w:top w:val="single" w:color="92CCDC" w:sz="4" w:space="0"/>
          <w:left w:val="nil"/>
          <w:bottom w:val="nil"/>
          <w:right w:val="nil"/>
        </w:tcBorders>
        <w:shd w:val="clear" w:color="FFFFFF" w:fill="FFFFFF"/>
      </w:tcPr>
    </w:tblStylePr>
    <w:tblStylePr w:type="firstCol">
      <w:pPr>
        <w:jc w:val="right"/>
      </w:pPr>
      <w:rPr>
        <w:rFonts w:ascii="Arial" w:hAnsi="Arial"/>
        <w:i/>
        <w:color w:val="92CCDC"/>
        <w:sz w:val="22"/>
      </w:rPr>
      <w:tcPr>
        <w:tcBorders>
          <w:top w:val="nil"/>
          <w:left w:val="nil"/>
          <w:bottom w:val="nil"/>
          <w:right w:val="single" w:color="92CCDC" w:sz="4" w:space="0"/>
        </w:tcBorders>
        <w:shd w:val="clear" w:color="FFFFFF" w:fill="auto"/>
      </w:tcPr>
    </w:tblStylePr>
    <w:tblStylePr w:type="lastCol">
      <w:rPr>
        <w:rFonts w:ascii="Arial" w:hAnsi="Arial"/>
        <w:i/>
        <w:color w:val="92CCDC"/>
        <w:sz w:val="22"/>
      </w:rPr>
      <w:tcPr>
        <w:tcBorders>
          <w:top w:val="nil"/>
          <w:left w:val="single" w:color="92CCDC" w:sz="4" w:space="0"/>
          <w:bottom w:val="nil"/>
          <w:right w:val="nil"/>
        </w:tcBorders>
        <w:shd w:val="clear" w:color="FFFFFF" w:fill="auto"/>
      </w:tcPr>
    </w:tblStylePr>
    <w:tblStylePr w:type="band1Vert">
      <w:tcPr>
        <w:shd w:val="clear" w:color="D1EAF0" w:fill="D1EAF0"/>
      </w:tcPr>
    </w:tblStylePr>
    <w:tblStylePr w:type="band1Horz">
      <w:rPr>
        <w:rFonts w:ascii="Arial" w:hAnsi="Arial"/>
        <w:color w:val="92CCDC"/>
        <w:sz w:val="22"/>
      </w:rPr>
      <w:tcPr>
        <w:shd w:val="clear" w:color="D1EAF0" w:fill="D1EAF0"/>
      </w:tcPr>
    </w:tblStylePr>
    <w:tblStylePr w:type="band2Horz">
      <w:rPr>
        <w:rFonts w:ascii="Arial" w:hAnsi="Arial"/>
        <w:color w:val="92CCDC"/>
        <w:sz w:val="22"/>
      </w:rPr>
    </w:tblStylePr>
  </w:style>
  <w:style w:type="table" w:customStyle="1" w:styleId="1454">
    <w:name w:val="List Table 7 Colorful - Accent 66"/>
    <w:basedOn w:val="13"/>
    <w:uiPriority w:val="99"/>
    <w:rPr>
      <w:sz w:val="22"/>
      <w:szCs w:val="22"/>
      <w:lang w:eastAsia="en-US"/>
    </w:rPr>
    <w:tblPr>
      <w:tblBorders>
        <w:right w:val="single" w:color="FAC090" w:sz="4" w:space="0"/>
      </w:tblBorders>
      <w:tblCellMar>
        <w:top w:w="0" w:type="dxa"/>
        <w:left w:w="108" w:type="dxa"/>
        <w:bottom w:w="0" w:type="dxa"/>
        <w:right w:w="108" w:type="dxa"/>
      </w:tblCellMar>
    </w:tblPr>
    <w:tblStylePr w:type="firstRow">
      <w:rPr>
        <w:rFonts w:ascii="Arial" w:hAnsi="Arial"/>
        <w:i/>
        <w:color w:val="FAC090"/>
        <w:sz w:val="22"/>
      </w:rPr>
      <w:tcPr>
        <w:tcBorders>
          <w:top w:val="nil"/>
          <w:left w:val="nil"/>
          <w:bottom w:val="single" w:color="FAC090" w:sz="4" w:space="0"/>
          <w:right w:val="nil"/>
        </w:tcBorders>
        <w:shd w:val="clear" w:color="FFFFFF" w:fill="FFFFFF"/>
      </w:tcPr>
    </w:tblStylePr>
    <w:tblStylePr w:type="lastRow">
      <w:rPr>
        <w:rFonts w:ascii="Arial" w:hAnsi="Arial"/>
        <w:i/>
        <w:color w:val="FAC090"/>
        <w:sz w:val="22"/>
      </w:rPr>
      <w:tcPr>
        <w:tcBorders>
          <w:top w:val="single" w:color="FAC090" w:sz="4" w:space="0"/>
          <w:left w:val="nil"/>
          <w:bottom w:val="nil"/>
          <w:right w:val="nil"/>
        </w:tcBorders>
        <w:shd w:val="clear" w:color="FFFFFF" w:fill="FFFFFF"/>
      </w:tcPr>
    </w:tblStylePr>
    <w:tblStylePr w:type="firstCol">
      <w:pPr>
        <w:jc w:val="right"/>
      </w:pPr>
      <w:rPr>
        <w:rFonts w:ascii="Arial" w:hAnsi="Arial"/>
        <w:i/>
        <w:color w:val="FAC090"/>
        <w:sz w:val="22"/>
      </w:rPr>
      <w:tcPr>
        <w:tcBorders>
          <w:top w:val="nil"/>
          <w:left w:val="nil"/>
          <w:bottom w:val="nil"/>
          <w:right w:val="single" w:color="FAC090" w:sz="4" w:space="0"/>
        </w:tcBorders>
        <w:shd w:val="clear" w:color="FFFFFF" w:fill="auto"/>
      </w:tcPr>
    </w:tblStylePr>
    <w:tblStylePr w:type="lastCol">
      <w:rPr>
        <w:rFonts w:ascii="Arial" w:hAnsi="Arial"/>
        <w:i/>
        <w:color w:val="FAC090"/>
        <w:sz w:val="22"/>
      </w:rPr>
      <w:tcPr>
        <w:tcBorders>
          <w:top w:val="nil"/>
          <w:left w:val="single" w:color="FAC090" w:sz="4" w:space="0"/>
          <w:bottom w:val="nil"/>
          <w:right w:val="nil"/>
        </w:tcBorders>
        <w:shd w:val="clear" w:color="FFFFFF" w:fill="auto"/>
      </w:tcPr>
    </w:tblStylePr>
    <w:tblStylePr w:type="band1Vert">
      <w:tcPr>
        <w:shd w:val="clear" w:color="FDE4D0" w:fill="FDE4D0"/>
      </w:tcPr>
    </w:tblStylePr>
    <w:tblStylePr w:type="band1Horz">
      <w:rPr>
        <w:rFonts w:ascii="Arial" w:hAnsi="Arial"/>
        <w:color w:val="FAC090"/>
        <w:sz w:val="22"/>
      </w:rPr>
      <w:tcPr>
        <w:shd w:val="clear" w:color="FDE4D0" w:fill="FDE4D0"/>
      </w:tcPr>
    </w:tblStylePr>
    <w:tblStylePr w:type="band2Horz">
      <w:rPr>
        <w:rFonts w:ascii="Arial" w:hAnsi="Arial"/>
        <w:color w:val="FAC090"/>
        <w:sz w:val="22"/>
      </w:rPr>
    </w:tblStylePr>
  </w:style>
  <w:style w:type="table" w:customStyle="1" w:styleId="1455">
    <w:name w:val="Lined - Accent6"/>
    <w:basedOn w:val="13"/>
    <w:uiPriority w:val="99"/>
    <w:rPr>
      <w:color w:val="404040"/>
    </w:rPr>
    <w:tblPr>
      <w:tblCellMar>
        <w:top w:w="0" w:type="dxa"/>
        <w:left w:w="108" w:type="dxa"/>
        <w:bottom w:w="0" w:type="dxa"/>
        <w:right w:w="108" w:type="dxa"/>
      </w:tblCellMar>
    </w:tblPr>
    <w:tblStylePr w:type="firstRow">
      <w:rPr>
        <w:rFonts w:ascii="Arial" w:hAnsi="Arial"/>
        <w:color w:val="F2F2F2"/>
        <w:sz w:val="22"/>
      </w:rPr>
      <w:tcPr>
        <w:shd w:val="clear" w:color="7F7F7F" w:fill="7F7F7F"/>
      </w:tcPr>
    </w:tblStylePr>
    <w:tblStylePr w:type="lastRow">
      <w:rPr>
        <w:rFonts w:ascii="Arial" w:hAnsi="Arial"/>
        <w:color w:val="F2F2F2"/>
        <w:sz w:val="22"/>
      </w:rPr>
      <w:tcPr>
        <w:shd w:val="clear" w:color="7F7F7F" w:fill="7F7F7F"/>
      </w:tcPr>
    </w:tblStylePr>
    <w:tblStylePr w:type="firstCol">
      <w:rPr>
        <w:rFonts w:ascii="Arial" w:hAnsi="Arial"/>
        <w:color w:val="F2F2F2"/>
        <w:sz w:val="22"/>
      </w:rPr>
      <w:tcPr>
        <w:shd w:val="clear" w:color="7F7F7F" w:fill="7F7F7F"/>
      </w:tcPr>
    </w:tblStylePr>
    <w:tblStylePr w:type="lastCol">
      <w:rPr>
        <w:rFonts w:ascii="Arial" w:hAnsi="Arial"/>
        <w:color w:val="F2F2F2"/>
        <w:sz w:val="22"/>
      </w:rPr>
      <w:tcPr>
        <w:shd w:val="clear" w:color="7F7F7F" w:fill="7F7F7F"/>
      </w:tcPr>
    </w:tblStylePr>
    <w:tblStylePr w:type="band1Vert">
      <w:rPr>
        <w:rFonts w:ascii="Arial" w:hAnsi="Arial"/>
        <w:color w:val="404040"/>
        <w:sz w:val="22"/>
      </w:rPr>
    </w:tblStylePr>
    <w:tblStylePr w:type="band2Vert">
      <w:rPr>
        <w:rFonts w:ascii="Arial" w:hAnsi="Arial"/>
        <w:color w:val="404040"/>
        <w:sz w:val="22"/>
      </w:rPr>
      <w:tcPr>
        <w:shd w:val="clear" w:color="F2F2F2" w:fill="F2F2F2"/>
      </w:tcPr>
    </w:tblStylePr>
    <w:tblStylePr w:type="band1Horz">
      <w:rPr>
        <w:rFonts w:ascii="Arial" w:hAnsi="Arial"/>
        <w:color w:val="404040"/>
        <w:sz w:val="22"/>
      </w:rPr>
    </w:tblStylePr>
    <w:tblStylePr w:type="band2Horz">
      <w:rPr>
        <w:rFonts w:ascii="Arial" w:hAnsi="Arial"/>
        <w:color w:val="404040"/>
        <w:sz w:val="22"/>
      </w:rPr>
      <w:tcPr>
        <w:shd w:val="clear" w:color="F2F2F2" w:fill="F2F2F2"/>
      </w:tcPr>
    </w:tblStylePr>
  </w:style>
  <w:style w:type="table" w:customStyle="1" w:styleId="1456">
    <w:name w:val="Lined - Accent 16"/>
    <w:basedOn w:val="13"/>
    <w:uiPriority w:val="99"/>
    <w:rPr>
      <w:color w:val="404040"/>
    </w:rPr>
    <w:tblPr>
      <w:tblCellMar>
        <w:top w:w="0" w:type="dxa"/>
        <w:left w:w="108" w:type="dxa"/>
        <w:bottom w:w="0" w:type="dxa"/>
        <w:right w:w="108" w:type="dxa"/>
      </w:tblCellMar>
    </w:tblPr>
    <w:tblStylePr w:type="firstRow">
      <w:rPr>
        <w:rFonts w:ascii="Arial" w:hAnsi="Arial"/>
        <w:color w:val="F2F2F2"/>
        <w:sz w:val="22"/>
      </w:rPr>
      <w:tcPr>
        <w:shd w:val="clear" w:color="5D8AC2" w:fill="5D8AC2"/>
      </w:tcPr>
    </w:tblStylePr>
    <w:tblStylePr w:type="lastRow">
      <w:rPr>
        <w:rFonts w:ascii="Arial" w:hAnsi="Arial"/>
        <w:color w:val="F2F2F2"/>
        <w:sz w:val="22"/>
      </w:rPr>
      <w:tcPr>
        <w:shd w:val="clear" w:color="5D8AC2" w:fill="5D8AC2"/>
      </w:tcPr>
    </w:tblStylePr>
    <w:tblStylePr w:type="firstCol">
      <w:rPr>
        <w:rFonts w:ascii="Arial" w:hAnsi="Arial"/>
        <w:color w:val="F2F2F2"/>
        <w:sz w:val="22"/>
      </w:rPr>
      <w:tcPr>
        <w:shd w:val="clear" w:color="5D8AC2" w:fill="5D8AC2"/>
      </w:tcPr>
    </w:tblStylePr>
    <w:tblStylePr w:type="lastCol">
      <w:rPr>
        <w:rFonts w:ascii="Arial" w:hAnsi="Arial"/>
        <w:color w:val="F2F2F2"/>
        <w:sz w:val="22"/>
      </w:rPr>
      <w:tcPr>
        <w:shd w:val="clear" w:color="5D8AC2" w:fill="5D8AC2"/>
      </w:tcPr>
    </w:tblStylePr>
    <w:tblStylePr w:type="band1Vert">
      <w:rPr>
        <w:rFonts w:ascii="Arial" w:hAnsi="Arial"/>
        <w:color w:val="404040"/>
        <w:sz w:val="22"/>
      </w:rPr>
    </w:tblStylePr>
    <w:tblStylePr w:type="band2Vert">
      <w:rPr>
        <w:rFonts w:ascii="Arial" w:hAnsi="Arial"/>
        <w:color w:val="404040"/>
        <w:sz w:val="22"/>
      </w:rPr>
      <w:tcPr>
        <w:shd w:val="clear" w:color="C7D7EA" w:fill="C7D7EA"/>
      </w:tcPr>
    </w:tblStylePr>
    <w:tblStylePr w:type="band1Horz">
      <w:rPr>
        <w:rFonts w:ascii="Arial" w:hAnsi="Arial"/>
        <w:color w:val="404040"/>
        <w:sz w:val="22"/>
      </w:rPr>
    </w:tblStylePr>
    <w:tblStylePr w:type="band2Horz">
      <w:rPr>
        <w:rFonts w:ascii="Arial" w:hAnsi="Arial"/>
        <w:color w:val="404040"/>
        <w:sz w:val="22"/>
      </w:rPr>
      <w:tcPr>
        <w:shd w:val="clear" w:color="C7D7EA" w:fill="C7D7EA"/>
      </w:tcPr>
    </w:tblStylePr>
  </w:style>
  <w:style w:type="table" w:customStyle="1" w:styleId="1457">
    <w:name w:val="Lined - Accent 26"/>
    <w:basedOn w:val="13"/>
    <w:uiPriority w:val="99"/>
    <w:rPr>
      <w:color w:val="404040"/>
    </w:rPr>
    <w:tblPr>
      <w:tblCellMar>
        <w:top w:w="0" w:type="dxa"/>
        <w:left w:w="108" w:type="dxa"/>
        <w:bottom w:w="0" w:type="dxa"/>
        <w:right w:w="108" w:type="dxa"/>
      </w:tblCellMar>
    </w:tblPr>
    <w:tblStylePr w:type="firstRow">
      <w:rPr>
        <w:rFonts w:ascii="Arial" w:hAnsi="Arial"/>
        <w:color w:val="F2F2F2"/>
        <w:sz w:val="22"/>
      </w:rPr>
      <w:tcPr>
        <w:shd w:val="clear" w:color="D99695" w:fill="D99695"/>
      </w:tcPr>
    </w:tblStylePr>
    <w:tblStylePr w:type="lastRow">
      <w:rPr>
        <w:rFonts w:ascii="Arial" w:hAnsi="Arial"/>
        <w:color w:val="F2F2F2"/>
        <w:sz w:val="22"/>
      </w:rPr>
      <w:tcPr>
        <w:shd w:val="clear" w:color="D99695" w:fill="D99695"/>
      </w:tcPr>
    </w:tblStylePr>
    <w:tblStylePr w:type="firstCol">
      <w:rPr>
        <w:rFonts w:ascii="Arial" w:hAnsi="Arial"/>
        <w:color w:val="F2F2F2"/>
        <w:sz w:val="22"/>
      </w:rPr>
      <w:tcPr>
        <w:shd w:val="clear" w:color="D99695" w:fill="D99695"/>
      </w:tcPr>
    </w:tblStylePr>
    <w:tblStylePr w:type="lastCol">
      <w:rPr>
        <w:rFonts w:ascii="Arial" w:hAnsi="Arial"/>
        <w:color w:val="F2F2F2"/>
        <w:sz w:val="22"/>
      </w:rPr>
      <w:tcPr>
        <w:shd w:val="clear" w:color="D99695" w:fill="D99695"/>
      </w:tcPr>
    </w:tblStylePr>
    <w:tblStylePr w:type="band1Vert">
      <w:rPr>
        <w:rFonts w:ascii="Arial" w:hAnsi="Arial"/>
        <w:color w:val="404040"/>
        <w:sz w:val="22"/>
      </w:rPr>
    </w:tblStylePr>
    <w:tblStylePr w:type="band2Vert">
      <w:rPr>
        <w:rFonts w:ascii="Arial" w:hAnsi="Arial"/>
        <w:color w:val="404040"/>
        <w:sz w:val="22"/>
      </w:rPr>
      <w:tcPr>
        <w:shd w:val="clear" w:color="F2DCDC" w:fill="F2DCDC"/>
      </w:tcPr>
    </w:tblStylePr>
    <w:tblStylePr w:type="band1Horz">
      <w:rPr>
        <w:rFonts w:ascii="Arial" w:hAnsi="Arial"/>
        <w:color w:val="404040"/>
        <w:sz w:val="22"/>
      </w:rPr>
    </w:tblStylePr>
    <w:tblStylePr w:type="band2Horz">
      <w:rPr>
        <w:rFonts w:ascii="Arial" w:hAnsi="Arial"/>
        <w:color w:val="404040"/>
        <w:sz w:val="22"/>
      </w:rPr>
      <w:tcPr>
        <w:shd w:val="clear" w:color="F2DCDC" w:fill="F2DCDC"/>
      </w:tcPr>
    </w:tblStylePr>
  </w:style>
  <w:style w:type="table" w:customStyle="1" w:styleId="1458">
    <w:name w:val="Lined - Accent 36"/>
    <w:basedOn w:val="13"/>
    <w:uiPriority w:val="99"/>
    <w:rPr>
      <w:color w:val="404040"/>
    </w:rPr>
    <w:tblPr>
      <w:tblCellMar>
        <w:top w:w="0" w:type="dxa"/>
        <w:left w:w="108" w:type="dxa"/>
        <w:bottom w:w="0" w:type="dxa"/>
        <w:right w:w="108" w:type="dxa"/>
      </w:tblCellMar>
    </w:tblPr>
    <w:tblStylePr w:type="firstRow">
      <w:rPr>
        <w:rFonts w:ascii="Arial" w:hAnsi="Arial"/>
        <w:color w:val="F2F2F2"/>
        <w:sz w:val="22"/>
      </w:rPr>
      <w:tcPr>
        <w:shd w:val="clear" w:color="9ABB59" w:fill="9ABB59"/>
      </w:tcPr>
    </w:tblStylePr>
    <w:tblStylePr w:type="lastRow">
      <w:rPr>
        <w:rFonts w:ascii="Arial" w:hAnsi="Arial"/>
        <w:color w:val="F2F2F2"/>
        <w:sz w:val="22"/>
      </w:rPr>
      <w:tcPr>
        <w:shd w:val="clear" w:color="9ABB59" w:fill="9ABB59"/>
      </w:tcPr>
    </w:tblStylePr>
    <w:tblStylePr w:type="firstCol">
      <w:rPr>
        <w:rFonts w:ascii="Arial" w:hAnsi="Arial"/>
        <w:color w:val="F2F2F2"/>
        <w:sz w:val="22"/>
      </w:rPr>
      <w:tcPr>
        <w:shd w:val="clear" w:color="9ABB59" w:fill="9ABB59"/>
      </w:tcPr>
    </w:tblStylePr>
    <w:tblStylePr w:type="lastCol">
      <w:rPr>
        <w:rFonts w:ascii="Arial" w:hAnsi="Arial"/>
        <w:color w:val="F2F2F2"/>
        <w:sz w:val="22"/>
      </w:rPr>
      <w:tcPr>
        <w:shd w:val="clear" w:color="9ABB59" w:fill="9ABB59"/>
      </w:tcPr>
    </w:tblStylePr>
    <w:tblStylePr w:type="band1Vert">
      <w:rPr>
        <w:rFonts w:ascii="Arial" w:hAnsi="Arial"/>
        <w:color w:val="404040"/>
        <w:sz w:val="22"/>
      </w:rPr>
    </w:tblStylePr>
    <w:tblStylePr w:type="band2Vert">
      <w:rPr>
        <w:rFonts w:ascii="Arial" w:hAnsi="Arial"/>
        <w:color w:val="404040"/>
        <w:sz w:val="22"/>
      </w:rPr>
      <w:tcPr>
        <w:shd w:val="clear" w:color="EAF1DC" w:fill="EAF1DC"/>
      </w:tcPr>
    </w:tblStylePr>
    <w:tblStylePr w:type="band1Horz">
      <w:rPr>
        <w:rFonts w:ascii="Arial" w:hAnsi="Arial"/>
        <w:color w:val="404040"/>
        <w:sz w:val="22"/>
      </w:rPr>
    </w:tblStylePr>
    <w:tblStylePr w:type="band2Horz">
      <w:rPr>
        <w:rFonts w:ascii="Arial" w:hAnsi="Arial"/>
        <w:color w:val="404040"/>
        <w:sz w:val="22"/>
      </w:rPr>
      <w:tcPr>
        <w:shd w:val="clear" w:color="EAF1DC" w:fill="EAF1DC"/>
      </w:tcPr>
    </w:tblStylePr>
  </w:style>
  <w:style w:type="table" w:customStyle="1" w:styleId="1459">
    <w:name w:val="Lined - Accent 46"/>
    <w:basedOn w:val="13"/>
    <w:uiPriority w:val="99"/>
    <w:rPr>
      <w:color w:val="404040"/>
    </w:rPr>
    <w:tblPr>
      <w:tblCellMar>
        <w:top w:w="0" w:type="dxa"/>
        <w:left w:w="108" w:type="dxa"/>
        <w:bottom w:w="0" w:type="dxa"/>
        <w:right w:w="108" w:type="dxa"/>
      </w:tblCellMar>
    </w:tblPr>
    <w:tblStylePr w:type="firstRow">
      <w:rPr>
        <w:rFonts w:ascii="Arial" w:hAnsi="Arial"/>
        <w:color w:val="F2F2F2"/>
        <w:sz w:val="22"/>
      </w:rPr>
      <w:tcPr>
        <w:shd w:val="clear" w:color="B2A1C6" w:fill="B2A1C6"/>
      </w:tcPr>
    </w:tblStylePr>
    <w:tblStylePr w:type="lastRow">
      <w:rPr>
        <w:rFonts w:ascii="Arial" w:hAnsi="Arial"/>
        <w:color w:val="F2F2F2"/>
        <w:sz w:val="22"/>
      </w:rPr>
      <w:tcPr>
        <w:shd w:val="clear" w:color="B2A1C6" w:fill="B2A1C6"/>
      </w:tcPr>
    </w:tblStylePr>
    <w:tblStylePr w:type="firstCol">
      <w:rPr>
        <w:rFonts w:ascii="Arial" w:hAnsi="Arial"/>
        <w:color w:val="F2F2F2"/>
        <w:sz w:val="22"/>
      </w:rPr>
      <w:tcPr>
        <w:shd w:val="clear" w:color="B2A1C6" w:fill="B2A1C6"/>
      </w:tcPr>
    </w:tblStylePr>
    <w:tblStylePr w:type="lastCol">
      <w:rPr>
        <w:rFonts w:ascii="Arial" w:hAnsi="Arial"/>
        <w:color w:val="F2F2F2"/>
        <w:sz w:val="22"/>
      </w:rPr>
      <w:tcPr>
        <w:shd w:val="clear" w:color="B2A1C6" w:fill="B2A1C6"/>
      </w:tcPr>
    </w:tblStylePr>
    <w:tblStylePr w:type="band1Vert">
      <w:rPr>
        <w:rFonts w:ascii="Arial" w:hAnsi="Arial"/>
        <w:color w:val="404040"/>
        <w:sz w:val="22"/>
      </w:rPr>
    </w:tblStylePr>
    <w:tblStylePr w:type="band2Vert">
      <w:rPr>
        <w:rFonts w:ascii="Arial" w:hAnsi="Arial"/>
        <w:color w:val="404040"/>
        <w:sz w:val="22"/>
      </w:rPr>
      <w:tcPr>
        <w:shd w:val="clear" w:color="E5DFEC" w:fill="E5DFEC"/>
      </w:tcPr>
    </w:tblStylePr>
    <w:tblStylePr w:type="band1Horz">
      <w:rPr>
        <w:rFonts w:ascii="Arial" w:hAnsi="Arial"/>
        <w:color w:val="404040"/>
        <w:sz w:val="22"/>
      </w:rPr>
    </w:tblStylePr>
    <w:tblStylePr w:type="band2Horz">
      <w:rPr>
        <w:rFonts w:ascii="Arial" w:hAnsi="Arial"/>
        <w:color w:val="404040"/>
        <w:sz w:val="22"/>
      </w:rPr>
      <w:tcPr>
        <w:shd w:val="clear" w:color="E5DFEC" w:fill="E5DFEC"/>
      </w:tcPr>
    </w:tblStylePr>
  </w:style>
  <w:style w:type="table" w:customStyle="1" w:styleId="1460">
    <w:name w:val="Lined - Accent 56"/>
    <w:basedOn w:val="13"/>
    <w:uiPriority w:val="99"/>
    <w:rPr>
      <w:color w:val="404040"/>
    </w:rPr>
    <w:tblPr>
      <w:tblCellMar>
        <w:top w:w="0" w:type="dxa"/>
        <w:left w:w="108" w:type="dxa"/>
        <w:bottom w:w="0" w:type="dxa"/>
        <w:right w:w="108" w:type="dxa"/>
      </w:tblCellMar>
    </w:tblPr>
    <w:tblStylePr w:type="firstRow">
      <w:rPr>
        <w:rFonts w:ascii="Arial" w:hAnsi="Arial"/>
        <w:color w:val="F2F2F2"/>
        <w:sz w:val="22"/>
      </w:rPr>
      <w:tcPr>
        <w:shd w:val="clear" w:color="4BACC6" w:fill="4BACC6"/>
      </w:tcPr>
    </w:tblStylePr>
    <w:tblStylePr w:type="lastRow">
      <w:rPr>
        <w:rFonts w:ascii="Arial" w:hAnsi="Arial"/>
        <w:color w:val="F2F2F2"/>
        <w:sz w:val="22"/>
      </w:rPr>
      <w:tcPr>
        <w:shd w:val="clear" w:color="4BACC6" w:fill="4BACC6"/>
      </w:tcPr>
    </w:tblStylePr>
    <w:tblStylePr w:type="firstCol">
      <w:rPr>
        <w:rFonts w:ascii="Arial" w:hAnsi="Arial"/>
        <w:color w:val="F2F2F2"/>
        <w:sz w:val="22"/>
      </w:rPr>
      <w:tcPr>
        <w:shd w:val="clear" w:color="4BACC6" w:fill="4BACC6"/>
      </w:tcPr>
    </w:tblStylePr>
    <w:tblStylePr w:type="lastCol">
      <w:rPr>
        <w:rFonts w:ascii="Arial" w:hAnsi="Arial"/>
        <w:color w:val="F2F2F2"/>
        <w:sz w:val="22"/>
      </w:rPr>
      <w:tcPr>
        <w:shd w:val="clear" w:color="4BACC6" w:fill="4BACC6"/>
      </w:tcPr>
    </w:tblStylePr>
    <w:tblStylePr w:type="band1Vert">
      <w:rPr>
        <w:rFonts w:ascii="Arial" w:hAnsi="Arial"/>
        <w:color w:val="404040"/>
        <w:sz w:val="22"/>
      </w:rPr>
    </w:tblStylePr>
    <w:tblStylePr w:type="band2Vert">
      <w:rPr>
        <w:rFonts w:ascii="Arial" w:hAnsi="Arial"/>
        <w:color w:val="404040"/>
        <w:sz w:val="22"/>
      </w:rPr>
      <w:tcPr>
        <w:shd w:val="clear" w:color="DAEEF3" w:fill="DAEEF3"/>
      </w:tcPr>
    </w:tblStylePr>
    <w:tblStylePr w:type="band1Horz">
      <w:rPr>
        <w:rFonts w:ascii="Arial" w:hAnsi="Arial"/>
        <w:color w:val="404040"/>
        <w:sz w:val="22"/>
      </w:rPr>
    </w:tblStylePr>
    <w:tblStylePr w:type="band2Horz">
      <w:rPr>
        <w:rFonts w:ascii="Arial" w:hAnsi="Arial"/>
        <w:color w:val="404040"/>
        <w:sz w:val="22"/>
      </w:rPr>
      <w:tcPr>
        <w:shd w:val="clear" w:color="DAEEF3" w:fill="DAEEF3"/>
      </w:tcPr>
    </w:tblStylePr>
  </w:style>
  <w:style w:type="table" w:customStyle="1" w:styleId="1461">
    <w:name w:val="Lined - Accent 66"/>
    <w:basedOn w:val="13"/>
    <w:uiPriority w:val="99"/>
    <w:rPr>
      <w:color w:val="404040"/>
    </w:rPr>
    <w:tblPr>
      <w:tblCellMar>
        <w:top w:w="0" w:type="dxa"/>
        <w:left w:w="108" w:type="dxa"/>
        <w:bottom w:w="0" w:type="dxa"/>
        <w:right w:w="108" w:type="dxa"/>
      </w:tblCellMar>
    </w:tblPr>
    <w:tblStylePr w:type="firstRow">
      <w:rPr>
        <w:rFonts w:ascii="Arial" w:hAnsi="Arial"/>
        <w:color w:val="F2F2F2"/>
        <w:sz w:val="22"/>
      </w:rPr>
      <w:tcPr>
        <w:shd w:val="clear" w:color="F79646" w:fill="F79646"/>
      </w:tcPr>
    </w:tblStylePr>
    <w:tblStylePr w:type="lastRow">
      <w:rPr>
        <w:rFonts w:ascii="Arial" w:hAnsi="Arial"/>
        <w:color w:val="F2F2F2"/>
        <w:sz w:val="22"/>
      </w:rPr>
      <w:tcPr>
        <w:shd w:val="clear" w:color="F79646" w:fill="F79646"/>
      </w:tcPr>
    </w:tblStylePr>
    <w:tblStylePr w:type="firstCol">
      <w:rPr>
        <w:rFonts w:ascii="Arial" w:hAnsi="Arial"/>
        <w:color w:val="F2F2F2"/>
        <w:sz w:val="22"/>
      </w:rPr>
      <w:tcPr>
        <w:shd w:val="clear" w:color="F79646" w:fill="F79646"/>
      </w:tcPr>
    </w:tblStylePr>
    <w:tblStylePr w:type="lastCol">
      <w:rPr>
        <w:rFonts w:ascii="Arial" w:hAnsi="Arial"/>
        <w:color w:val="F2F2F2"/>
        <w:sz w:val="22"/>
      </w:rPr>
      <w:tcPr>
        <w:shd w:val="clear" w:color="F79646" w:fill="F79646"/>
      </w:tcPr>
    </w:tblStylePr>
    <w:tblStylePr w:type="band1Vert">
      <w:rPr>
        <w:rFonts w:ascii="Arial" w:hAnsi="Arial"/>
        <w:color w:val="404040"/>
        <w:sz w:val="22"/>
      </w:rPr>
    </w:tblStylePr>
    <w:tblStylePr w:type="band2Vert">
      <w:rPr>
        <w:rFonts w:ascii="Arial" w:hAnsi="Arial"/>
        <w:color w:val="404040"/>
        <w:sz w:val="22"/>
      </w:rPr>
      <w:tcPr>
        <w:shd w:val="clear" w:color="FDE9D8" w:fill="FDE9D8"/>
      </w:tcPr>
    </w:tblStylePr>
    <w:tblStylePr w:type="band1Horz">
      <w:rPr>
        <w:rFonts w:ascii="Arial" w:hAnsi="Arial"/>
        <w:color w:val="404040"/>
        <w:sz w:val="22"/>
      </w:rPr>
    </w:tblStylePr>
    <w:tblStylePr w:type="band2Horz">
      <w:rPr>
        <w:rFonts w:ascii="Arial" w:hAnsi="Arial"/>
        <w:color w:val="404040"/>
        <w:sz w:val="22"/>
      </w:rPr>
      <w:tcPr>
        <w:shd w:val="clear" w:color="FDE9D8" w:fill="FDE9D8"/>
      </w:tcPr>
    </w:tblStylePr>
  </w:style>
  <w:style w:type="table" w:customStyle="1" w:styleId="1462">
    <w:name w:val="Bordered &amp; Lined - Accent6"/>
    <w:basedOn w:val="13"/>
    <w:uiPriority w:val="99"/>
    <w:rPr>
      <w:color w:val="404040"/>
    </w:rPr>
    <w:tblPr>
      <w:tblBorders>
        <w:top w:val="single" w:color="595959" w:sz="4" w:space="0"/>
        <w:left w:val="single" w:color="595959" w:sz="4" w:space="0"/>
        <w:bottom w:val="single" w:color="595959" w:sz="4" w:space="0"/>
        <w:right w:val="single" w:color="595959" w:sz="4" w:space="0"/>
        <w:insideH w:val="single" w:color="595959" w:sz="4" w:space="0"/>
        <w:insideV w:val="single" w:color="595959" w:sz="4" w:space="0"/>
      </w:tblBorders>
      <w:tblCellMar>
        <w:top w:w="0" w:type="dxa"/>
        <w:left w:w="108" w:type="dxa"/>
        <w:bottom w:w="0" w:type="dxa"/>
        <w:right w:w="108" w:type="dxa"/>
      </w:tblCellMar>
    </w:tblPr>
    <w:tblStylePr w:type="firstRow">
      <w:rPr>
        <w:rFonts w:ascii="Arial" w:hAnsi="Arial"/>
        <w:color w:val="F2F2F2"/>
        <w:sz w:val="22"/>
      </w:rPr>
      <w:tcPr>
        <w:shd w:val="clear" w:color="7F7F7F" w:fill="7F7F7F"/>
      </w:tcPr>
    </w:tblStylePr>
    <w:tblStylePr w:type="lastRow">
      <w:rPr>
        <w:rFonts w:ascii="Arial" w:hAnsi="Arial"/>
        <w:color w:val="F2F2F2"/>
        <w:sz w:val="22"/>
      </w:rPr>
      <w:tcPr>
        <w:shd w:val="clear" w:color="7F7F7F" w:fill="7F7F7F"/>
      </w:tcPr>
    </w:tblStylePr>
    <w:tblStylePr w:type="firstCol">
      <w:rPr>
        <w:rFonts w:ascii="Arial" w:hAnsi="Arial"/>
        <w:color w:val="F2F2F2"/>
        <w:sz w:val="22"/>
      </w:rPr>
      <w:tcPr>
        <w:shd w:val="clear" w:color="7F7F7F" w:fill="7F7F7F"/>
      </w:tcPr>
    </w:tblStylePr>
    <w:tblStylePr w:type="lastCol">
      <w:rPr>
        <w:rFonts w:ascii="Arial" w:hAnsi="Arial"/>
        <w:color w:val="F2F2F2"/>
        <w:sz w:val="22"/>
      </w:rPr>
      <w:tcPr>
        <w:shd w:val="clear" w:color="7F7F7F" w:fill="7F7F7F"/>
      </w:tcPr>
    </w:tblStylePr>
    <w:tblStylePr w:type="band1Vert">
      <w:rPr>
        <w:rFonts w:ascii="Arial" w:hAnsi="Arial"/>
        <w:color w:val="404040"/>
        <w:sz w:val="22"/>
      </w:rPr>
    </w:tblStylePr>
    <w:tblStylePr w:type="band2Vert">
      <w:rPr>
        <w:rFonts w:ascii="Arial" w:hAnsi="Arial"/>
        <w:color w:val="404040"/>
        <w:sz w:val="22"/>
      </w:rPr>
      <w:tcPr>
        <w:shd w:val="clear" w:color="F2F2F2" w:fill="F2F2F2"/>
      </w:tcPr>
    </w:tblStylePr>
    <w:tblStylePr w:type="band1Horz">
      <w:rPr>
        <w:rFonts w:ascii="Arial" w:hAnsi="Arial"/>
        <w:color w:val="404040"/>
        <w:sz w:val="22"/>
      </w:rPr>
    </w:tblStylePr>
    <w:tblStylePr w:type="band2Horz">
      <w:rPr>
        <w:rFonts w:ascii="Arial" w:hAnsi="Arial"/>
        <w:color w:val="404040"/>
        <w:sz w:val="22"/>
      </w:rPr>
      <w:tcPr>
        <w:shd w:val="clear" w:color="F2F2F2" w:fill="F2F2F2"/>
      </w:tcPr>
    </w:tblStylePr>
  </w:style>
  <w:style w:type="table" w:customStyle="1" w:styleId="1463">
    <w:name w:val="Bordered &amp; Lined - Accent 16"/>
    <w:basedOn w:val="13"/>
    <w:uiPriority w:val="99"/>
    <w:rPr>
      <w:color w:val="404040"/>
    </w:rPr>
    <w:tblPr>
      <w:tblBorders>
        <w:top w:val="single" w:color="2A4A71" w:sz="4" w:space="0"/>
        <w:left w:val="single" w:color="2A4A71" w:sz="4" w:space="0"/>
        <w:bottom w:val="single" w:color="2A4A71" w:sz="4" w:space="0"/>
        <w:right w:val="single" w:color="2A4A71" w:sz="4" w:space="0"/>
        <w:insideH w:val="single" w:color="2A4A71" w:sz="4" w:space="0"/>
        <w:insideV w:val="single" w:color="2A4A71" w:sz="4" w:space="0"/>
      </w:tblBorders>
      <w:tblCellMar>
        <w:top w:w="0" w:type="dxa"/>
        <w:left w:w="108" w:type="dxa"/>
        <w:bottom w:w="0" w:type="dxa"/>
        <w:right w:w="108" w:type="dxa"/>
      </w:tblCellMar>
    </w:tblPr>
    <w:tblStylePr w:type="firstRow">
      <w:rPr>
        <w:rFonts w:ascii="Arial" w:hAnsi="Arial"/>
        <w:color w:val="F2F2F2"/>
        <w:sz w:val="22"/>
      </w:rPr>
      <w:tcPr>
        <w:shd w:val="clear" w:color="5D8AC2" w:fill="5D8AC2"/>
      </w:tcPr>
    </w:tblStylePr>
    <w:tblStylePr w:type="lastRow">
      <w:rPr>
        <w:rFonts w:ascii="Arial" w:hAnsi="Arial"/>
        <w:color w:val="F2F2F2"/>
        <w:sz w:val="22"/>
      </w:rPr>
      <w:tcPr>
        <w:shd w:val="clear" w:color="5D8AC2" w:fill="5D8AC2"/>
      </w:tcPr>
    </w:tblStylePr>
    <w:tblStylePr w:type="firstCol">
      <w:rPr>
        <w:rFonts w:ascii="Arial" w:hAnsi="Arial"/>
        <w:color w:val="F2F2F2"/>
        <w:sz w:val="22"/>
      </w:rPr>
      <w:tcPr>
        <w:shd w:val="clear" w:color="5D8AC2" w:fill="5D8AC2"/>
      </w:tcPr>
    </w:tblStylePr>
    <w:tblStylePr w:type="lastCol">
      <w:rPr>
        <w:rFonts w:ascii="Arial" w:hAnsi="Arial"/>
        <w:color w:val="F2F2F2"/>
        <w:sz w:val="22"/>
      </w:rPr>
      <w:tcPr>
        <w:shd w:val="clear" w:color="5D8AC2" w:fill="5D8AC2"/>
      </w:tcPr>
    </w:tblStylePr>
    <w:tblStylePr w:type="band1Vert">
      <w:rPr>
        <w:rFonts w:ascii="Arial" w:hAnsi="Arial"/>
        <w:color w:val="404040"/>
        <w:sz w:val="22"/>
      </w:rPr>
    </w:tblStylePr>
    <w:tblStylePr w:type="band2Vert">
      <w:rPr>
        <w:rFonts w:ascii="Arial" w:hAnsi="Arial"/>
        <w:color w:val="404040"/>
        <w:sz w:val="22"/>
      </w:rPr>
      <w:tcPr>
        <w:shd w:val="clear" w:color="C7D7EA" w:fill="C7D7EA"/>
      </w:tcPr>
    </w:tblStylePr>
    <w:tblStylePr w:type="band1Horz">
      <w:rPr>
        <w:rFonts w:ascii="Arial" w:hAnsi="Arial"/>
        <w:color w:val="404040"/>
        <w:sz w:val="22"/>
      </w:rPr>
    </w:tblStylePr>
    <w:tblStylePr w:type="band2Horz">
      <w:rPr>
        <w:rFonts w:ascii="Arial" w:hAnsi="Arial"/>
        <w:color w:val="404040"/>
        <w:sz w:val="22"/>
      </w:rPr>
      <w:tcPr>
        <w:shd w:val="clear" w:color="C7D7EA" w:fill="C7D7EA"/>
      </w:tcPr>
    </w:tblStylePr>
  </w:style>
  <w:style w:type="table" w:customStyle="1" w:styleId="1464">
    <w:name w:val="Bordered &amp; Lined - Accent 26"/>
    <w:basedOn w:val="13"/>
    <w:uiPriority w:val="99"/>
    <w:rPr>
      <w:color w:val="404040"/>
    </w:rPr>
    <w:tblPr>
      <w:tblBorders>
        <w:top w:val="single" w:color="732A29" w:sz="4" w:space="0"/>
        <w:left w:val="single" w:color="732A29" w:sz="4" w:space="0"/>
        <w:bottom w:val="single" w:color="732A29" w:sz="4" w:space="0"/>
        <w:right w:val="single" w:color="732A29" w:sz="4" w:space="0"/>
        <w:insideH w:val="single" w:color="732A29" w:sz="4" w:space="0"/>
        <w:insideV w:val="single" w:color="732A29" w:sz="4" w:space="0"/>
      </w:tblBorders>
      <w:tblCellMar>
        <w:top w:w="0" w:type="dxa"/>
        <w:left w:w="108" w:type="dxa"/>
        <w:bottom w:w="0" w:type="dxa"/>
        <w:right w:w="108" w:type="dxa"/>
      </w:tblCellMar>
    </w:tblPr>
    <w:tblStylePr w:type="firstRow">
      <w:rPr>
        <w:rFonts w:ascii="Arial" w:hAnsi="Arial"/>
        <w:color w:val="F2F2F2"/>
        <w:sz w:val="22"/>
      </w:rPr>
      <w:tcPr>
        <w:shd w:val="clear" w:color="D99695" w:fill="D99695"/>
      </w:tcPr>
    </w:tblStylePr>
    <w:tblStylePr w:type="lastRow">
      <w:rPr>
        <w:rFonts w:ascii="Arial" w:hAnsi="Arial"/>
        <w:color w:val="F2F2F2"/>
        <w:sz w:val="22"/>
      </w:rPr>
      <w:tcPr>
        <w:shd w:val="clear" w:color="D99695" w:fill="D99695"/>
      </w:tcPr>
    </w:tblStylePr>
    <w:tblStylePr w:type="firstCol">
      <w:rPr>
        <w:rFonts w:ascii="Arial" w:hAnsi="Arial"/>
        <w:color w:val="F2F2F2"/>
        <w:sz w:val="22"/>
      </w:rPr>
      <w:tcPr>
        <w:shd w:val="clear" w:color="D99695" w:fill="D99695"/>
      </w:tcPr>
    </w:tblStylePr>
    <w:tblStylePr w:type="lastCol">
      <w:rPr>
        <w:rFonts w:ascii="Arial" w:hAnsi="Arial"/>
        <w:color w:val="F2F2F2"/>
        <w:sz w:val="22"/>
      </w:rPr>
      <w:tcPr>
        <w:shd w:val="clear" w:color="D99695" w:fill="D99695"/>
      </w:tcPr>
    </w:tblStylePr>
    <w:tblStylePr w:type="band1Vert">
      <w:rPr>
        <w:rFonts w:ascii="Arial" w:hAnsi="Arial"/>
        <w:color w:val="404040"/>
        <w:sz w:val="22"/>
      </w:rPr>
    </w:tblStylePr>
    <w:tblStylePr w:type="band2Vert">
      <w:rPr>
        <w:rFonts w:ascii="Arial" w:hAnsi="Arial"/>
        <w:color w:val="404040"/>
        <w:sz w:val="22"/>
      </w:rPr>
      <w:tcPr>
        <w:shd w:val="clear" w:color="F2DCDC" w:fill="F2DCDC"/>
      </w:tcPr>
    </w:tblStylePr>
    <w:tblStylePr w:type="band1Horz">
      <w:rPr>
        <w:rFonts w:ascii="Arial" w:hAnsi="Arial"/>
        <w:color w:val="404040"/>
        <w:sz w:val="22"/>
      </w:rPr>
    </w:tblStylePr>
    <w:tblStylePr w:type="band2Horz">
      <w:rPr>
        <w:rFonts w:ascii="Arial" w:hAnsi="Arial"/>
        <w:color w:val="404040"/>
        <w:sz w:val="22"/>
      </w:rPr>
      <w:tcPr>
        <w:shd w:val="clear" w:color="F2DCDC" w:fill="F2DCDC"/>
      </w:tcPr>
    </w:tblStylePr>
  </w:style>
  <w:style w:type="table" w:customStyle="1" w:styleId="1465">
    <w:name w:val="Bordered &amp; Lined - Accent 36"/>
    <w:basedOn w:val="13"/>
    <w:uiPriority w:val="99"/>
    <w:rPr>
      <w:color w:val="404040"/>
    </w:rPr>
    <w:tblPr>
      <w:tblBorders>
        <w:top w:val="single" w:color="5B722E" w:sz="4" w:space="0"/>
        <w:left w:val="single" w:color="5B722E" w:sz="4" w:space="0"/>
        <w:bottom w:val="single" w:color="5B722E" w:sz="4" w:space="0"/>
        <w:right w:val="single" w:color="5B722E" w:sz="4" w:space="0"/>
        <w:insideH w:val="single" w:color="5B722E" w:sz="4" w:space="0"/>
        <w:insideV w:val="single" w:color="5B722E" w:sz="4" w:space="0"/>
      </w:tblBorders>
      <w:tblCellMar>
        <w:top w:w="0" w:type="dxa"/>
        <w:left w:w="108" w:type="dxa"/>
        <w:bottom w:w="0" w:type="dxa"/>
        <w:right w:w="108" w:type="dxa"/>
      </w:tblCellMar>
    </w:tblPr>
    <w:tblStylePr w:type="firstRow">
      <w:rPr>
        <w:rFonts w:ascii="Arial" w:hAnsi="Arial"/>
        <w:color w:val="F2F2F2"/>
        <w:sz w:val="22"/>
      </w:rPr>
      <w:tcPr>
        <w:shd w:val="clear" w:color="9ABB59" w:fill="9ABB59"/>
      </w:tcPr>
    </w:tblStylePr>
    <w:tblStylePr w:type="lastRow">
      <w:rPr>
        <w:rFonts w:ascii="Arial" w:hAnsi="Arial"/>
        <w:color w:val="F2F2F2"/>
        <w:sz w:val="22"/>
      </w:rPr>
      <w:tcPr>
        <w:shd w:val="clear" w:color="9ABB59" w:fill="9ABB59"/>
      </w:tcPr>
    </w:tblStylePr>
    <w:tblStylePr w:type="firstCol">
      <w:rPr>
        <w:rFonts w:ascii="Arial" w:hAnsi="Arial"/>
        <w:color w:val="F2F2F2"/>
        <w:sz w:val="22"/>
      </w:rPr>
      <w:tcPr>
        <w:shd w:val="clear" w:color="9ABB59" w:fill="9ABB59"/>
      </w:tcPr>
    </w:tblStylePr>
    <w:tblStylePr w:type="lastCol">
      <w:rPr>
        <w:rFonts w:ascii="Arial" w:hAnsi="Arial"/>
        <w:color w:val="F2F2F2"/>
        <w:sz w:val="22"/>
      </w:rPr>
      <w:tcPr>
        <w:shd w:val="clear" w:color="9ABB59" w:fill="9ABB59"/>
      </w:tcPr>
    </w:tblStylePr>
    <w:tblStylePr w:type="band1Vert">
      <w:rPr>
        <w:rFonts w:ascii="Arial" w:hAnsi="Arial"/>
        <w:color w:val="404040"/>
        <w:sz w:val="22"/>
      </w:rPr>
    </w:tblStylePr>
    <w:tblStylePr w:type="band2Vert">
      <w:rPr>
        <w:rFonts w:ascii="Arial" w:hAnsi="Arial"/>
        <w:color w:val="404040"/>
        <w:sz w:val="22"/>
      </w:rPr>
      <w:tcPr>
        <w:shd w:val="clear" w:color="EAF1DC" w:fill="EAF1DC"/>
      </w:tcPr>
    </w:tblStylePr>
    <w:tblStylePr w:type="band1Horz">
      <w:rPr>
        <w:rFonts w:ascii="Arial" w:hAnsi="Arial"/>
        <w:color w:val="404040"/>
        <w:sz w:val="22"/>
      </w:rPr>
    </w:tblStylePr>
    <w:tblStylePr w:type="band2Horz">
      <w:rPr>
        <w:rFonts w:ascii="Arial" w:hAnsi="Arial"/>
        <w:color w:val="404040"/>
        <w:sz w:val="22"/>
      </w:rPr>
      <w:tcPr>
        <w:shd w:val="clear" w:color="EAF1DC" w:fill="EAF1DC"/>
      </w:tcPr>
    </w:tblStylePr>
  </w:style>
  <w:style w:type="table" w:customStyle="1" w:styleId="1466">
    <w:name w:val="Bordered &amp; Lined - Accent 46"/>
    <w:basedOn w:val="13"/>
    <w:uiPriority w:val="99"/>
    <w:rPr>
      <w:color w:val="404040"/>
    </w:rPr>
    <w:tblPr>
      <w:tblBorders>
        <w:top w:val="single" w:color="4A395F" w:sz="4" w:space="0"/>
        <w:left w:val="single" w:color="4A395F" w:sz="4" w:space="0"/>
        <w:bottom w:val="single" w:color="4A395F" w:sz="4" w:space="0"/>
        <w:right w:val="single" w:color="4A395F" w:sz="4" w:space="0"/>
        <w:insideH w:val="single" w:color="4A395F" w:sz="4" w:space="0"/>
        <w:insideV w:val="single" w:color="4A395F" w:sz="4" w:space="0"/>
      </w:tblBorders>
      <w:tblCellMar>
        <w:top w:w="0" w:type="dxa"/>
        <w:left w:w="108" w:type="dxa"/>
        <w:bottom w:w="0" w:type="dxa"/>
        <w:right w:w="108" w:type="dxa"/>
      </w:tblCellMar>
    </w:tblPr>
    <w:tblStylePr w:type="firstRow">
      <w:rPr>
        <w:rFonts w:ascii="Arial" w:hAnsi="Arial"/>
        <w:color w:val="F2F2F2"/>
        <w:sz w:val="22"/>
      </w:rPr>
      <w:tcPr>
        <w:shd w:val="clear" w:color="B2A1C6" w:fill="B2A1C6"/>
      </w:tcPr>
    </w:tblStylePr>
    <w:tblStylePr w:type="lastRow">
      <w:rPr>
        <w:rFonts w:ascii="Arial" w:hAnsi="Arial"/>
        <w:color w:val="F2F2F2"/>
        <w:sz w:val="22"/>
      </w:rPr>
      <w:tcPr>
        <w:shd w:val="clear" w:color="B2A1C6" w:fill="B2A1C6"/>
      </w:tcPr>
    </w:tblStylePr>
    <w:tblStylePr w:type="firstCol">
      <w:rPr>
        <w:rFonts w:ascii="Arial" w:hAnsi="Arial"/>
        <w:color w:val="F2F2F2"/>
        <w:sz w:val="22"/>
      </w:rPr>
      <w:tcPr>
        <w:shd w:val="clear" w:color="B2A1C6" w:fill="B2A1C6"/>
      </w:tcPr>
    </w:tblStylePr>
    <w:tblStylePr w:type="lastCol">
      <w:rPr>
        <w:rFonts w:ascii="Arial" w:hAnsi="Arial"/>
        <w:color w:val="F2F2F2"/>
        <w:sz w:val="22"/>
      </w:rPr>
      <w:tcPr>
        <w:shd w:val="clear" w:color="B2A1C6" w:fill="B2A1C6"/>
      </w:tcPr>
    </w:tblStylePr>
    <w:tblStylePr w:type="band1Vert">
      <w:rPr>
        <w:rFonts w:ascii="Arial" w:hAnsi="Arial"/>
        <w:color w:val="404040"/>
        <w:sz w:val="22"/>
      </w:rPr>
    </w:tblStylePr>
    <w:tblStylePr w:type="band2Vert">
      <w:rPr>
        <w:rFonts w:ascii="Arial" w:hAnsi="Arial"/>
        <w:color w:val="404040"/>
        <w:sz w:val="22"/>
      </w:rPr>
      <w:tcPr>
        <w:shd w:val="clear" w:color="E5DFEC" w:fill="E5DFEC"/>
      </w:tcPr>
    </w:tblStylePr>
    <w:tblStylePr w:type="band1Horz">
      <w:rPr>
        <w:rFonts w:ascii="Arial" w:hAnsi="Arial"/>
        <w:color w:val="404040"/>
        <w:sz w:val="22"/>
      </w:rPr>
    </w:tblStylePr>
    <w:tblStylePr w:type="band2Horz">
      <w:rPr>
        <w:rFonts w:ascii="Arial" w:hAnsi="Arial"/>
        <w:color w:val="404040"/>
        <w:sz w:val="22"/>
      </w:rPr>
      <w:tcPr>
        <w:shd w:val="clear" w:color="E5DFEC" w:fill="E5DFEC"/>
      </w:tcPr>
    </w:tblStylePr>
  </w:style>
  <w:style w:type="table" w:customStyle="1" w:styleId="1467">
    <w:name w:val="Bordered &amp; Lined - Accent 56"/>
    <w:basedOn w:val="13"/>
    <w:uiPriority w:val="99"/>
    <w:rPr>
      <w:color w:val="404040"/>
    </w:rPr>
    <w:tblPr>
      <w:tblBorders>
        <w:top w:val="single" w:color="266779" w:sz="4" w:space="0"/>
        <w:left w:val="single" w:color="266779" w:sz="4" w:space="0"/>
        <w:bottom w:val="single" w:color="266779" w:sz="4" w:space="0"/>
        <w:right w:val="single" w:color="266779" w:sz="4" w:space="0"/>
        <w:insideH w:val="single" w:color="266779" w:sz="4" w:space="0"/>
        <w:insideV w:val="single" w:color="266779" w:sz="4" w:space="0"/>
      </w:tblBorders>
      <w:tblCellMar>
        <w:top w:w="0" w:type="dxa"/>
        <w:left w:w="108" w:type="dxa"/>
        <w:bottom w:w="0" w:type="dxa"/>
        <w:right w:w="108" w:type="dxa"/>
      </w:tblCellMar>
    </w:tblPr>
    <w:tblStylePr w:type="firstRow">
      <w:rPr>
        <w:rFonts w:ascii="Arial" w:hAnsi="Arial"/>
        <w:color w:val="F2F2F2"/>
        <w:sz w:val="22"/>
      </w:rPr>
      <w:tcPr>
        <w:shd w:val="clear" w:color="4BACC6" w:fill="4BACC6"/>
      </w:tcPr>
    </w:tblStylePr>
    <w:tblStylePr w:type="lastRow">
      <w:rPr>
        <w:rFonts w:ascii="Arial" w:hAnsi="Arial"/>
        <w:color w:val="F2F2F2"/>
        <w:sz w:val="22"/>
      </w:rPr>
      <w:tcPr>
        <w:shd w:val="clear" w:color="4BACC6" w:fill="4BACC6"/>
      </w:tcPr>
    </w:tblStylePr>
    <w:tblStylePr w:type="firstCol">
      <w:rPr>
        <w:rFonts w:ascii="Arial" w:hAnsi="Arial"/>
        <w:color w:val="F2F2F2"/>
        <w:sz w:val="22"/>
      </w:rPr>
      <w:tcPr>
        <w:shd w:val="clear" w:color="4BACC6" w:fill="4BACC6"/>
      </w:tcPr>
    </w:tblStylePr>
    <w:tblStylePr w:type="lastCol">
      <w:rPr>
        <w:rFonts w:ascii="Arial" w:hAnsi="Arial"/>
        <w:color w:val="F2F2F2"/>
        <w:sz w:val="22"/>
      </w:rPr>
      <w:tcPr>
        <w:shd w:val="clear" w:color="4BACC6" w:fill="4BACC6"/>
      </w:tcPr>
    </w:tblStylePr>
    <w:tblStylePr w:type="band1Vert">
      <w:rPr>
        <w:rFonts w:ascii="Arial" w:hAnsi="Arial"/>
        <w:color w:val="404040"/>
        <w:sz w:val="22"/>
      </w:rPr>
    </w:tblStylePr>
    <w:tblStylePr w:type="band2Vert">
      <w:rPr>
        <w:rFonts w:ascii="Arial" w:hAnsi="Arial"/>
        <w:color w:val="404040"/>
        <w:sz w:val="22"/>
      </w:rPr>
      <w:tcPr>
        <w:shd w:val="clear" w:color="DAEEF3" w:fill="DAEEF3"/>
      </w:tcPr>
    </w:tblStylePr>
    <w:tblStylePr w:type="band1Horz">
      <w:rPr>
        <w:rFonts w:ascii="Arial" w:hAnsi="Arial"/>
        <w:color w:val="404040"/>
        <w:sz w:val="22"/>
      </w:rPr>
    </w:tblStylePr>
    <w:tblStylePr w:type="band2Horz">
      <w:rPr>
        <w:rFonts w:ascii="Arial" w:hAnsi="Arial"/>
        <w:color w:val="404040"/>
        <w:sz w:val="22"/>
      </w:rPr>
      <w:tcPr>
        <w:shd w:val="clear" w:color="DAEEF3" w:fill="DAEEF3"/>
      </w:tcPr>
    </w:tblStylePr>
  </w:style>
  <w:style w:type="table" w:customStyle="1" w:styleId="1468">
    <w:name w:val="Bordered &amp; Lined - Accent 66"/>
    <w:basedOn w:val="13"/>
    <w:uiPriority w:val="99"/>
    <w:rPr>
      <w:color w:val="404040"/>
    </w:rPr>
    <w:tblPr>
      <w:tblBorders>
        <w:top w:val="single" w:color="B15407" w:sz="4" w:space="0"/>
        <w:left w:val="single" w:color="B15407" w:sz="4" w:space="0"/>
        <w:bottom w:val="single" w:color="B15407" w:sz="4" w:space="0"/>
        <w:right w:val="single" w:color="B15407" w:sz="4" w:space="0"/>
        <w:insideH w:val="single" w:color="B15407" w:sz="4" w:space="0"/>
        <w:insideV w:val="single" w:color="B15407" w:sz="4" w:space="0"/>
      </w:tblBorders>
      <w:tblCellMar>
        <w:top w:w="0" w:type="dxa"/>
        <w:left w:w="108" w:type="dxa"/>
        <w:bottom w:w="0" w:type="dxa"/>
        <w:right w:w="108" w:type="dxa"/>
      </w:tblCellMar>
    </w:tblPr>
    <w:tblStylePr w:type="firstRow">
      <w:rPr>
        <w:rFonts w:ascii="Arial" w:hAnsi="Arial"/>
        <w:color w:val="F2F2F2"/>
        <w:sz w:val="22"/>
      </w:rPr>
      <w:tcPr>
        <w:shd w:val="clear" w:color="F79646" w:fill="F79646"/>
      </w:tcPr>
    </w:tblStylePr>
    <w:tblStylePr w:type="lastRow">
      <w:rPr>
        <w:rFonts w:ascii="Arial" w:hAnsi="Arial"/>
        <w:color w:val="F2F2F2"/>
        <w:sz w:val="22"/>
      </w:rPr>
      <w:tcPr>
        <w:shd w:val="clear" w:color="F79646" w:fill="F79646"/>
      </w:tcPr>
    </w:tblStylePr>
    <w:tblStylePr w:type="firstCol">
      <w:rPr>
        <w:rFonts w:ascii="Arial" w:hAnsi="Arial"/>
        <w:color w:val="F2F2F2"/>
        <w:sz w:val="22"/>
      </w:rPr>
      <w:tcPr>
        <w:shd w:val="clear" w:color="F79646" w:fill="F79646"/>
      </w:tcPr>
    </w:tblStylePr>
    <w:tblStylePr w:type="lastCol">
      <w:rPr>
        <w:rFonts w:ascii="Arial" w:hAnsi="Arial"/>
        <w:color w:val="F2F2F2"/>
        <w:sz w:val="22"/>
      </w:rPr>
      <w:tcPr>
        <w:shd w:val="clear" w:color="F79646" w:fill="F79646"/>
      </w:tcPr>
    </w:tblStylePr>
    <w:tblStylePr w:type="band1Vert">
      <w:rPr>
        <w:rFonts w:ascii="Arial" w:hAnsi="Arial"/>
        <w:color w:val="404040"/>
        <w:sz w:val="22"/>
      </w:rPr>
    </w:tblStylePr>
    <w:tblStylePr w:type="band2Vert">
      <w:rPr>
        <w:rFonts w:ascii="Arial" w:hAnsi="Arial"/>
        <w:color w:val="404040"/>
        <w:sz w:val="22"/>
      </w:rPr>
      <w:tcPr>
        <w:shd w:val="clear" w:color="FDE9D8" w:fill="FDE9D8"/>
      </w:tcPr>
    </w:tblStylePr>
    <w:tblStylePr w:type="band1Horz">
      <w:rPr>
        <w:rFonts w:ascii="Arial" w:hAnsi="Arial"/>
        <w:color w:val="404040"/>
        <w:sz w:val="22"/>
      </w:rPr>
    </w:tblStylePr>
    <w:tblStylePr w:type="band2Horz">
      <w:rPr>
        <w:rFonts w:ascii="Arial" w:hAnsi="Arial"/>
        <w:color w:val="404040"/>
        <w:sz w:val="22"/>
      </w:rPr>
      <w:tcPr>
        <w:shd w:val="clear" w:color="FDE9D8" w:fill="FDE9D8"/>
      </w:tcPr>
    </w:tblStylePr>
  </w:style>
  <w:style w:type="table" w:customStyle="1" w:styleId="1469">
    <w:name w:val="Bordered6"/>
    <w:basedOn w:val="13"/>
    <w:uiPriority w:val="99"/>
    <w:rPr>
      <w:sz w:val="22"/>
      <w:szCs w:val="22"/>
      <w:lang w:eastAsia="en-US"/>
    </w:rPr>
    <w:tblPr>
      <w:tblBorders>
        <w:top w:val="single" w:color="D9D9D9" w:sz="4" w:space="0"/>
        <w:left w:val="single" w:color="D9D9D9" w:sz="4" w:space="0"/>
        <w:bottom w:val="single" w:color="D9D9D9" w:sz="4" w:space="0"/>
        <w:right w:val="single" w:color="D9D9D9" w:sz="4" w:space="0"/>
        <w:insideH w:val="single" w:color="D9D9D9" w:sz="4" w:space="0"/>
        <w:insideV w:val="single" w:color="D9D9D9" w:sz="4" w:space="0"/>
      </w:tblBorders>
      <w:tblCellMar>
        <w:top w:w="0" w:type="dxa"/>
        <w:left w:w="108" w:type="dxa"/>
        <w:bottom w:w="0" w:type="dxa"/>
        <w:right w:w="108" w:type="dxa"/>
      </w:tblCellMar>
    </w:tblPr>
    <w:tblStylePr w:type="firstRow">
      <w:rPr>
        <w:rFonts w:ascii="Arial" w:hAnsi="Arial"/>
        <w:color w:val="404040"/>
        <w:sz w:val="22"/>
      </w:rPr>
      <w:tcPr>
        <w:tcBorders>
          <w:bottom w:val="single" w:color="7F7F7F" w:sz="12" w:space="0"/>
        </w:tcBorders>
      </w:tcPr>
    </w:tblStylePr>
    <w:tblStylePr w:type="lastRow">
      <w:rPr>
        <w:rFonts w:ascii="Arial" w:hAnsi="Arial"/>
        <w:color w:val="404040"/>
        <w:sz w:val="22"/>
      </w:rPr>
      <w:tcPr>
        <w:tcBorders>
          <w:top w:val="single" w:color="7F7F7F"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7F7F7F" w:sz="12" w:space="0"/>
        </w:tcBorders>
      </w:tcPr>
    </w:tblStylePr>
    <w:tblStylePr w:type="band1Horz">
      <w:rPr>
        <w:rFonts w:ascii="Arial" w:hAnsi="Arial"/>
        <w:color w:val="404040"/>
        <w:sz w:val="22"/>
      </w:rPr>
      <w:tcPr>
        <w:tcBorders>
          <w:top w:val="single" w:color="D9D9D9" w:sz="4" w:space="0"/>
          <w:left w:val="single" w:color="D9D9D9" w:sz="4" w:space="0"/>
          <w:bottom w:val="single" w:color="D9D9D9" w:sz="4" w:space="0"/>
          <w:right w:val="single" w:color="D9D9D9" w:sz="4" w:space="0"/>
        </w:tcBorders>
      </w:tcPr>
    </w:tblStylePr>
  </w:style>
  <w:style w:type="table" w:customStyle="1" w:styleId="1470">
    <w:name w:val="Bordered - Accent 16"/>
    <w:basedOn w:val="13"/>
    <w:uiPriority w:val="99"/>
    <w:rPr>
      <w:sz w:val="22"/>
      <w:szCs w:val="22"/>
      <w:lang w:eastAsia="en-US"/>
    </w:rPr>
    <w:tblPr>
      <w:tblBorders>
        <w:top w:val="single" w:color="B7CBE4" w:sz="4" w:space="0"/>
        <w:left w:val="single" w:color="B7CBE4" w:sz="4" w:space="0"/>
        <w:bottom w:val="single" w:color="B7CBE4" w:sz="4" w:space="0"/>
        <w:right w:val="single" w:color="B7CBE4" w:sz="4" w:space="0"/>
        <w:insideH w:val="single" w:color="B7CBE4" w:sz="4" w:space="0"/>
        <w:insideV w:val="single" w:color="B7CBE4" w:sz="4" w:space="0"/>
      </w:tblBorders>
      <w:tblCellMar>
        <w:top w:w="0" w:type="dxa"/>
        <w:left w:w="108" w:type="dxa"/>
        <w:bottom w:w="0" w:type="dxa"/>
        <w:right w:w="108" w:type="dxa"/>
      </w:tblCellMar>
    </w:tblPr>
    <w:tblStylePr w:type="firstRow">
      <w:rPr>
        <w:rFonts w:ascii="Arial" w:hAnsi="Arial"/>
        <w:color w:val="404040"/>
        <w:sz w:val="22"/>
      </w:rPr>
      <w:tcPr>
        <w:tcBorders>
          <w:bottom w:val="single" w:color="4F81BD" w:sz="12" w:space="0"/>
        </w:tcBorders>
      </w:tcPr>
    </w:tblStylePr>
    <w:tblStylePr w:type="lastRow">
      <w:rPr>
        <w:rFonts w:ascii="Arial" w:hAnsi="Arial"/>
        <w:color w:val="404040"/>
        <w:sz w:val="22"/>
      </w:rPr>
      <w:tcPr>
        <w:tcBorders>
          <w:top w:val="single" w:color="4F81BD"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4F81BD" w:sz="12" w:space="0"/>
        </w:tcBorders>
      </w:tcPr>
    </w:tblStylePr>
    <w:tblStylePr w:type="band1Horz">
      <w:rPr>
        <w:rFonts w:ascii="Arial" w:hAnsi="Arial"/>
        <w:color w:val="404040"/>
        <w:sz w:val="22"/>
      </w:rPr>
      <w:tcPr>
        <w:tcBorders>
          <w:top w:val="single" w:color="B7CBE4" w:sz="4" w:space="0"/>
          <w:left w:val="single" w:color="B7CBE4" w:sz="4" w:space="0"/>
          <w:bottom w:val="single" w:color="B7CBE4" w:sz="4" w:space="0"/>
          <w:right w:val="single" w:color="B7CBE4" w:sz="4" w:space="0"/>
        </w:tcBorders>
      </w:tcPr>
    </w:tblStylePr>
  </w:style>
  <w:style w:type="table" w:customStyle="1" w:styleId="1471">
    <w:name w:val="Bordered - Accent 26"/>
    <w:basedOn w:val="13"/>
    <w:uiPriority w:val="99"/>
    <w:rPr>
      <w:sz w:val="22"/>
      <w:szCs w:val="22"/>
      <w:lang w:eastAsia="en-US"/>
    </w:rPr>
    <w:tblPr>
      <w:tblBorders>
        <w:top w:val="single" w:color="E5B7B6" w:sz="4" w:space="0"/>
        <w:left w:val="single" w:color="E5B7B6" w:sz="4" w:space="0"/>
        <w:bottom w:val="single" w:color="E5B7B6" w:sz="4" w:space="0"/>
        <w:right w:val="single" w:color="E5B7B6" w:sz="4" w:space="0"/>
        <w:insideH w:val="single" w:color="E5B7B6" w:sz="4" w:space="0"/>
        <w:insideV w:val="single" w:color="E5B7B6" w:sz="4" w:space="0"/>
      </w:tblBorders>
      <w:tblCellMar>
        <w:top w:w="0" w:type="dxa"/>
        <w:left w:w="108" w:type="dxa"/>
        <w:bottom w:w="0" w:type="dxa"/>
        <w:right w:w="108" w:type="dxa"/>
      </w:tblCellMar>
    </w:tblPr>
    <w:tblStylePr w:type="firstRow">
      <w:rPr>
        <w:rFonts w:ascii="Arial" w:hAnsi="Arial"/>
        <w:color w:val="404040"/>
        <w:sz w:val="22"/>
      </w:rPr>
      <w:tcPr>
        <w:tcBorders>
          <w:bottom w:val="single" w:color="D99695" w:sz="12" w:space="0"/>
        </w:tcBorders>
      </w:tcPr>
    </w:tblStylePr>
    <w:tblStylePr w:type="lastRow">
      <w:rPr>
        <w:rFonts w:ascii="Arial" w:hAnsi="Arial"/>
        <w:color w:val="404040"/>
        <w:sz w:val="22"/>
      </w:rPr>
      <w:tcPr>
        <w:tcBorders>
          <w:top w:val="single" w:color="D99695"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D99695" w:sz="12" w:space="0"/>
        </w:tcBorders>
      </w:tcPr>
    </w:tblStylePr>
    <w:tblStylePr w:type="band1Horz">
      <w:rPr>
        <w:rFonts w:ascii="Arial" w:hAnsi="Arial"/>
        <w:color w:val="404040"/>
        <w:sz w:val="22"/>
      </w:rPr>
      <w:tcPr>
        <w:tcBorders>
          <w:top w:val="single" w:color="E5B7B6" w:sz="4" w:space="0"/>
          <w:left w:val="single" w:color="E5B7B6" w:sz="4" w:space="0"/>
          <w:bottom w:val="single" w:color="E5B7B6" w:sz="4" w:space="0"/>
          <w:right w:val="single" w:color="E5B7B6" w:sz="4" w:space="0"/>
        </w:tcBorders>
      </w:tcPr>
    </w:tblStylePr>
  </w:style>
  <w:style w:type="table" w:customStyle="1" w:styleId="1472">
    <w:name w:val="Bordered - Accent 36"/>
    <w:basedOn w:val="13"/>
    <w:uiPriority w:val="99"/>
    <w:rPr>
      <w:sz w:val="22"/>
      <w:szCs w:val="22"/>
      <w:lang w:eastAsia="en-US"/>
    </w:rPr>
    <w:tblPr>
      <w:tblBorders>
        <w:top w:val="single" w:color="D6E3BB" w:sz="4" w:space="0"/>
        <w:left w:val="single" w:color="D6E3BB" w:sz="4" w:space="0"/>
        <w:bottom w:val="single" w:color="D6E3BB" w:sz="4" w:space="0"/>
        <w:right w:val="single" w:color="D6E3BB" w:sz="4" w:space="0"/>
        <w:insideH w:val="single" w:color="D6E3BB" w:sz="4" w:space="0"/>
        <w:insideV w:val="single" w:color="D6E3BB" w:sz="4" w:space="0"/>
      </w:tblBorders>
      <w:tblCellMar>
        <w:top w:w="0" w:type="dxa"/>
        <w:left w:w="108" w:type="dxa"/>
        <w:bottom w:w="0" w:type="dxa"/>
        <w:right w:w="108" w:type="dxa"/>
      </w:tblCellMar>
    </w:tblPr>
    <w:tblStylePr w:type="firstRow">
      <w:rPr>
        <w:rFonts w:ascii="Arial" w:hAnsi="Arial"/>
        <w:color w:val="404040"/>
        <w:sz w:val="22"/>
      </w:rPr>
      <w:tcPr>
        <w:tcBorders>
          <w:bottom w:val="single" w:color="C3D69B" w:sz="12" w:space="0"/>
        </w:tcBorders>
      </w:tcPr>
    </w:tblStylePr>
    <w:tblStylePr w:type="lastRow">
      <w:rPr>
        <w:rFonts w:ascii="Arial" w:hAnsi="Arial"/>
        <w:color w:val="404040"/>
        <w:sz w:val="22"/>
      </w:rPr>
      <w:tcPr>
        <w:tcBorders>
          <w:top w:val="single" w:color="C3D69B"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C3D69B" w:sz="12" w:space="0"/>
        </w:tcBorders>
      </w:tcPr>
    </w:tblStylePr>
    <w:tblStylePr w:type="band1Horz">
      <w:rPr>
        <w:rFonts w:ascii="Arial" w:hAnsi="Arial"/>
        <w:color w:val="404040"/>
        <w:sz w:val="22"/>
      </w:rPr>
      <w:tcPr>
        <w:tcBorders>
          <w:top w:val="single" w:color="D6E3BB" w:sz="4" w:space="0"/>
          <w:left w:val="single" w:color="D6E3BB" w:sz="4" w:space="0"/>
          <w:bottom w:val="single" w:color="D6E3BB" w:sz="4" w:space="0"/>
          <w:right w:val="single" w:color="D6E3BB" w:sz="4" w:space="0"/>
        </w:tcBorders>
      </w:tcPr>
    </w:tblStylePr>
  </w:style>
  <w:style w:type="table" w:customStyle="1" w:styleId="1473">
    <w:name w:val="Bordered - Accent 46"/>
    <w:basedOn w:val="13"/>
    <w:uiPriority w:val="99"/>
    <w:rPr>
      <w:sz w:val="22"/>
      <w:szCs w:val="22"/>
      <w:lang w:eastAsia="en-US"/>
    </w:rPr>
    <w:tblPr>
      <w:tblBorders>
        <w:top w:val="single" w:color="CBC0D9" w:sz="4" w:space="0"/>
        <w:left w:val="single" w:color="CBC0D9" w:sz="4" w:space="0"/>
        <w:bottom w:val="single" w:color="CBC0D9" w:sz="4" w:space="0"/>
        <w:right w:val="single" w:color="CBC0D9" w:sz="4" w:space="0"/>
        <w:insideH w:val="single" w:color="CBC0D9" w:sz="4" w:space="0"/>
        <w:insideV w:val="single" w:color="CBC0D9" w:sz="4" w:space="0"/>
      </w:tblBorders>
      <w:tblCellMar>
        <w:top w:w="0" w:type="dxa"/>
        <w:left w:w="108" w:type="dxa"/>
        <w:bottom w:w="0" w:type="dxa"/>
        <w:right w:w="108" w:type="dxa"/>
      </w:tblCellMar>
    </w:tblPr>
    <w:tblStylePr w:type="firstRow">
      <w:rPr>
        <w:rFonts w:ascii="Arial" w:hAnsi="Arial"/>
        <w:color w:val="404040"/>
        <w:sz w:val="22"/>
      </w:rPr>
      <w:tcPr>
        <w:tcBorders>
          <w:bottom w:val="single" w:color="B2A1C6" w:sz="12" w:space="0"/>
        </w:tcBorders>
      </w:tcPr>
    </w:tblStylePr>
    <w:tblStylePr w:type="lastRow">
      <w:rPr>
        <w:rFonts w:ascii="Arial" w:hAnsi="Arial"/>
        <w:color w:val="404040"/>
        <w:sz w:val="22"/>
      </w:rPr>
      <w:tcPr>
        <w:tcBorders>
          <w:top w:val="single" w:color="B2A1C6"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B2A1C6" w:sz="12" w:space="0"/>
        </w:tcBorders>
      </w:tcPr>
    </w:tblStylePr>
    <w:tblStylePr w:type="band1Horz">
      <w:rPr>
        <w:rFonts w:ascii="Arial" w:hAnsi="Arial"/>
        <w:color w:val="404040"/>
        <w:sz w:val="22"/>
      </w:rPr>
      <w:tcPr>
        <w:tcBorders>
          <w:top w:val="single" w:color="CBC0D9" w:sz="4" w:space="0"/>
          <w:left w:val="single" w:color="CBC0D9" w:sz="4" w:space="0"/>
          <w:bottom w:val="single" w:color="CBC0D9" w:sz="4" w:space="0"/>
          <w:right w:val="single" w:color="CBC0D9" w:sz="4" w:space="0"/>
        </w:tcBorders>
      </w:tcPr>
    </w:tblStylePr>
  </w:style>
  <w:style w:type="table" w:customStyle="1" w:styleId="1474">
    <w:name w:val="Bordered - Accent 56"/>
    <w:basedOn w:val="13"/>
    <w:uiPriority w:val="99"/>
    <w:rPr>
      <w:sz w:val="22"/>
      <w:szCs w:val="22"/>
      <w:lang w:eastAsia="en-US"/>
    </w:rPr>
    <w:tblPr>
      <w:tblBorders>
        <w:top w:val="single" w:color="B6DDE8" w:sz="4" w:space="0"/>
        <w:left w:val="single" w:color="B6DDE8" w:sz="4" w:space="0"/>
        <w:bottom w:val="single" w:color="B6DDE8" w:sz="4" w:space="0"/>
        <w:right w:val="single" w:color="B6DDE8" w:sz="4" w:space="0"/>
        <w:insideH w:val="single" w:color="B6DDE8" w:sz="4" w:space="0"/>
        <w:insideV w:val="single" w:color="B6DDE8" w:sz="4" w:space="0"/>
      </w:tblBorders>
      <w:tblCellMar>
        <w:top w:w="0" w:type="dxa"/>
        <w:left w:w="108" w:type="dxa"/>
        <w:bottom w:w="0" w:type="dxa"/>
        <w:right w:w="108" w:type="dxa"/>
      </w:tblCellMar>
    </w:tblPr>
    <w:tblStylePr w:type="firstRow">
      <w:rPr>
        <w:rFonts w:ascii="Arial" w:hAnsi="Arial"/>
        <w:color w:val="404040"/>
        <w:sz w:val="22"/>
      </w:rPr>
      <w:tcPr>
        <w:tcBorders>
          <w:bottom w:val="single" w:color="92CCDC" w:sz="12" w:space="0"/>
        </w:tcBorders>
      </w:tcPr>
    </w:tblStylePr>
    <w:tblStylePr w:type="lastRow">
      <w:rPr>
        <w:rFonts w:ascii="Arial" w:hAnsi="Arial"/>
        <w:color w:val="404040"/>
        <w:sz w:val="22"/>
      </w:rPr>
      <w:tcPr>
        <w:tcBorders>
          <w:top w:val="single" w:color="92CCDC"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92CCDC" w:sz="12" w:space="0"/>
        </w:tcBorders>
      </w:tcPr>
    </w:tblStylePr>
    <w:tblStylePr w:type="band1Horz">
      <w:rPr>
        <w:rFonts w:ascii="Arial" w:hAnsi="Arial"/>
        <w:color w:val="404040"/>
        <w:sz w:val="22"/>
      </w:rPr>
      <w:tcPr>
        <w:tcBorders>
          <w:top w:val="single" w:color="B6DDE8" w:sz="4" w:space="0"/>
          <w:left w:val="single" w:color="B6DDE8" w:sz="4" w:space="0"/>
          <w:bottom w:val="single" w:color="B6DDE8" w:sz="4" w:space="0"/>
          <w:right w:val="single" w:color="B6DDE8" w:sz="4" w:space="0"/>
        </w:tcBorders>
      </w:tcPr>
    </w:tblStylePr>
  </w:style>
  <w:style w:type="table" w:customStyle="1" w:styleId="1475">
    <w:name w:val="Bordered - Accent 66"/>
    <w:basedOn w:val="13"/>
    <w:uiPriority w:val="99"/>
    <w:rPr>
      <w:sz w:val="22"/>
      <w:szCs w:val="22"/>
      <w:lang w:eastAsia="en-US"/>
    </w:rPr>
    <w:tblPr>
      <w:tblBorders>
        <w:top w:val="single" w:color="FBD4B4" w:sz="4" w:space="0"/>
        <w:left w:val="single" w:color="FBD4B4" w:sz="4" w:space="0"/>
        <w:bottom w:val="single" w:color="FBD4B4" w:sz="4" w:space="0"/>
        <w:right w:val="single" w:color="FBD4B4" w:sz="4" w:space="0"/>
        <w:insideH w:val="single" w:color="FBD4B4" w:sz="4" w:space="0"/>
        <w:insideV w:val="single" w:color="FBD4B4" w:sz="4" w:space="0"/>
      </w:tblBorders>
      <w:tblCellMar>
        <w:top w:w="0" w:type="dxa"/>
        <w:left w:w="108" w:type="dxa"/>
        <w:bottom w:w="0" w:type="dxa"/>
        <w:right w:w="108" w:type="dxa"/>
      </w:tblCellMar>
    </w:tblPr>
    <w:tblStylePr w:type="firstRow">
      <w:rPr>
        <w:rFonts w:ascii="Arial" w:hAnsi="Arial"/>
        <w:color w:val="404040"/>
        <w:sz w:val="22"/>
      </w:rPr>
      <w:tcPr>
        <w:tcBorders>
          <w:bottom w:val="single" w:color="FAC090" w:sz="12" w:space="0"/>
        </w:tcBorders>
      </w:tcPr>
    </w:tblStylePr>
    <w:tblStylePr w:type="lastRow">
      <w:rPr>
        <w:rFonts w:ascii="Arial" w:hAnsi="Arial"/>
        <w:color w:val="404040"/>
        <w:sz w:val="22"/>
      </w:rPr>
      <w:tcPr>
        <w:tcBorders>
          <w:top w:val="single" w:color="FAC090"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FAC090" w:sz="12" w:space="0"/>
        </w:tcBorders>
      </w:tcPr>
    </w:tblStylePr>
    <w:tblStylePr w:type="band1Horz">
      <w:rPr>
        <w:rFonts w:ascii="Arial" w:hAnsi="Arial"/>
        <w:color w:val="404040"/>
        <w:sz w:val="22"/>
      </w:rPr>
      <w:tcPr>
        <w:tcBorders>
          <w:top w:val="single" w:color="FBD4B4" w:sz="4" w:space="0"/>
          <w:left w:val="single" w:color="FBD4B4" w:sz="4" w:space="0"/>
          <w:bottom w:val="single" w:color="FBD4B4" w:sz="4" w:space="0"/>
          <w:right w:val="single" w:color="FBD4B4" w:sz="4" w:space="0"/>
        </w:tcBorders>
      </w:tcPr>
    </w:tblStylePr>
  </w:style>
  <w:style w:type="table" w:customStyle="1" w:styleId="1476">
    <w:name w:val="Сетка таблицы17"/>
    <w:basedOn w:val="13"/>
    <w:uiPriority w:val="59"/>
    <w:rPr>
      <w:sz w:val="22"/>
      <w:szCs w:val="22"/>
      <w:lang w:eastAsia="en-US"/>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
  </w:style>
  <w:style w:type="table" w:customStyle="1" w:styleId="1477">
    <w:name w:val="Table Grid Light7"/>
    <w:basedOn w:val="13"/>
    <w:uiPriority w:val="59"/>
    <w:rPr>
      <w:sz w:val="22"/>
      <w:szCs w:val="22"/>
      <w:lang w:eastAsia="en-US"/>
    </w:rPr>
    <w:tblPr>
      <w:tblBorders>
        <w:top w:val="single" w:color="AFAFAF" w:sz="4" w:space="0"/>
        <w:left w:val="single" w:color="AFAFAF" w:sz="4" w:space="0"/>
        <w:bottom w:val="single" w:color="AFAFAF" w:sz="4" w:space="0"/>
        <w:right w:val="single" w:color="AFAFAF" w:sz="4" w:space="0"/>
        <w:insideH w:val="single" w:color="AFAFAF" w:sz="4" w:space="0"/>
        <w:insideV w:val="single" w:color="AFAFAF" w:sz="4" w:space="0"/>
      </w:tblBorders>
      <w:tblCellMar>
        <w:top w:w="0" w:type="dxa"/>
        <w:left w:w="108" w:type="dxa"/>
        <w:bottom w:w="0" w:type="dxa"/>
        <w:right w:w="108" w:type="dxa"/>
      </w:tblCellMar>
    </w:tblPr>
  </w:style>
  <w:style w:type="table" w:customStyle="1" w:styleId="1478">
    <w:name w:val="Таблица простая 115"/>
    <w:basedOn w:val="13"/>
    <w:uiPriority w:val="59"/>
    <w:rPr>
      <w:sz w:val="22"/>
      <w:szCs w:val="22"/>
      <w:lang w:eastAsia="en-US"/>
    </w:rPr>
    <w:tblPr>
      <w:tblBorders>
        <w:top w:val="single" w:color="AFAFAF" w:sz="4" w:space="0"/>
        <w:left w:val="single" w:color="AFAFAF" w:sz="4" w:space="0"/>
        <w:bottom w:val="single" w:color="AFAFAF" w:sz="4" w:space="0"/>
        <w:right w:val="single" w:color="AFAFAF" w:sz="4" w:space="0"/>
        <w:insideH w:val="single" w:color="AFAFAF" w:sz="4" w:space="0"/>
        <w:insideV w:val="single" w:color="AFAFAF" w:sz="4" w:space="0"/>
      </w:tblBorders>
      <w:tblCellMar>
        <w:top w:w="0" w:type="dxa"/>
        <w:left w:w="108" w:type="dxa"/>
        <w:bottom w:w="0" w:type="dxa"/>
        <w:right w:w="108" w:type="dxa"/>
      </w:tblCellMar>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cPr>
        <w:shd w:val="clear" w:color="F2F2F2" w:fill="F2F2F2"/>
      </w:tcPr>
    </w:tblStylePr>
    <w:tblStylePr w:type="band1Horz">
      <w:tcPr>
        <w:shd w:val="clear" w:color="F2F2F2" w:fill="F2F2F2"/>
      </w:tcPr>
    </w:tblStylePr>
  </w:style>
  <w:style w:type="table" w:customStyle="1" w:styleId="1479">
    <w:name w:val="Таблица простая 215"/>
    <w:basedOn w:val="13"/>
    <w:uiPriority w:val="59"/>
    <w:rPr>
      <w:sz w:val="22"/>
      <w:szCs w:val="22"/>
      <w:lang w:eastAsia="en-US"/>
    </w:rPr>
    <w:tblPr>
      <w:tblBorders>
        <w:top w:val="single" w:color="000000" w:sz="4" w:space="0"/>
        <w:left w:val="none" w:color="000000" w:sz="4" w:space="0"/>
        <w:bottom w:val="single" w:color="000000" w:sz="4" w:space="0"/>
        <w:right w:val="none" w:color="000000" w:sz="4" w:space="0"/>
      </w:tblBorders>
      <w:tblCellMar>
        <w:top w:w="0" w:type="dxa"/>
        <w:left w:w="108" w:type="dxa"/>
        <w:bottom w:w="0" w:type="dxa"/>
        <w:right w:w="108" w:type="dxa"/>
      </w:tblCellMar>
    </w:tblPr>
    <w:tblStylePr w:type="firstRow">
      <w:rPr>
        <w:rFonts w:ascii="Arial" w:hAnsi="Arial"/>
        <w:b/>
        <w:color w:val="404040"/>
        <w:sz w:val="22"/>
      </w:rPr>
      <w:tcPr>
        <w:tcBorders>
          <w:top w:val="single" w:color="000000" w:sz="4" w:space="0"/>
          <w:bottom w:val="single" w:color="000000" w:sz="4" w:space="0"/>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cPr>
        <w:tcBorders>
          <w:left w:val="single" w:color="000000" w:sz="4" w:space="0"/>
          <w:right w:val="single" w:color="000000" w:sz="4" w:space="0"/>
        </w:tcBorders>
      </w:tcPr>
    </w:tblStylePr>
    <w:tblStylePr w:type="band2Vert">
      <w:tcPr>
        <w:tcBorders>
          <w:left w:val="single" w:color="000000" w:sz="4" w:space="0"/>
          <w:right w:val="single" w:color="000000" w:sz="4" w:space="0"/>
        </w:tcBorders>
      </w:tcPr>
    </w:tblStylePr>
    <w:tblStylePr w:type="band1Horz">
      <w:tcPr>
        <w:tcBorders>
          <w:top w:val="single" w:color="000000" w:sz="4" w:space="0"/>
          <w:bottom w:val="single" w:color="000000" w:sz="4" w:space="0"/>
        </w:tcBorders>
      </w:tcPr>
    </w:tblStylePr>
  </w:style>
  <w:style w:type="table" w:customStyle="1" w:styleId="1480">
    <w:name w:val="Таблица простая 315"/>
    <w:basedOn w:val="13"/>
    <w:uiPriority w:val="99"/>
    <w:rPr>
      <w:sz w:val="22"/>
      <w:szCs w:val="22"/>
      <w:lang w:eastAsia="en-US"/>
    </w:rPr>
    <w:tblPr>
      <w:tblCellMar>
        <w:top w:w="0" w:type="dxa"/>
        <w:left w:w="108" w:type="dxa"/>
        <w:bottom w:w="0" w:type="dxa"/>
        <w:right w:w="108" w:type="dxa"/>
      </w:tblCellMar>
    </w:tblPr>
    <w:tblStylePr w:type="firstRow">
      <w:rPr>
        <w:b/>
        <w:caps/>
        <w:color w:val="404040"/>
      </w:rPr>
      <w:tcPr>
        <w:tcBorders>
          <w:top w:val="nil"/>
          <w:left w:val="nil"/>
          <w:bottom w:val="single" w:color="404040" w:sz="4" w:space="0"/>
          <w:right w:val="nil"/>
        </w:tcBorders>
      </w:tcPr>
    </w:tblStylePr>
    <w:tblStylePr w:type="lastRow">
      <w:rPr>
        <w:b/>
        <w:caps/>
        <w:color w:val="404040"/>
      </w:rPr>
    </w:tblStylePr>
    <w:tblStylePr w:type="firstCol">
      <w:rPr>
        <w:b/>
        <w:caps/>
        <w:color w:val="404040"/>
      </w:rPr>
      <w:tcPr>
        <w:tcBorders>
          <w:top w:val="nil"/>
          <w:left w:val="nil"/>
          <w:bottom w:val="nil"/>
          <w:right w:val="single" w:color="404040" w:sz="4" w:space="0"/>
        </w:tcBorders>
      </w:tcPr>
    </w:tblStylePr>
    <w:tblStylePr w:type="lastCol">
      <w:rPr>
        <w:b/>
        <w:caps/>
        <w:color w:val="404040"/>
      </w:rPr>
    </w:tblStylePr>
    <w:tblStylePr w:type="band1Vert">
      <w:rPr>
        <w:rFonts w:ascii="Arial" w:hAnsi="Arial"/>
        <w:color w:val="404040"/>
        <w:sz w:val="22"/>
      </w:rPr>
      <w:tcPr>
        <w:shd w:val="clear" w:color="F2F2F2" w:fill="F2F2F2"/>
      </w:tcPr>
    </w:tblStylePr>
    <w:tblStylePr w:type="band1Horz">
      <w:rPr>
        <w:rFonts w:ascii="Arial" w:hAnsi="Arial"/>
        <w:color w:val="404040"/>
        <w:sz w:val="22"/>
      </w:rPr>
      <w:tcPr>
        <w:shd w:val="clear" w:color="F2F2F2" w:fill="F2F2F2"/>
      </w:tcPr>
    </w:tblStylePr>
  </w:style>
  <w:style w:type="table" w:customStyle="1" w:styleId="1481">
    <w:name w:val="Таблица простая 415"/>
    <w:basedOn w:val="13"/>
    <w:uiPriority w:val="99"/>
    <w:rPr>
      <w:sz w:val="22"/>
      <w:szCs w:val="22"/>
      <w:lang w:eastAsia="en-US"/>
    </w:rPr>
    <w:tblPr>
      <w:tblCellMar>
        <w:top w:w="0" w:type="dxa"/>
        <w:left w:w="108" w:type="dxa"/>
        <w:bottom w:w="0" w:type="dxa"/>
        <w:right w:w="108" w:type="dxa"/>
      </w:tblCellMar>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F2F2F2" w:fill="F2F2F2"/>
      </w:tcPr>
    </w:tblStylePr>
    <w:tblStylePr w:type="band1Horz">
      <w:rPr>
        <w:rFonts w:ascii="Arial" w:hAnsi="Arial"/>
        <w:color w:val="404040"/>
        <w:sz w:val="22"/>
      </w:rPr>
      <w:tcPr>
        <w:shd w:val="clear" w:color="F2F2F2" w:fill="F2F2F2"/>
      </w:tcPr>
    </w:tblStylePr>
  </w:style>
  <w:style w:type="table" w:customStyle="1" w:styleId="1482">
    <w:name w:val="Таблица простая 515"/>
    <w:basedOn w:val="13"/>
    <w:uiPriority w:val="99"/>
    <w:rPr>
      <w:sz w:val="22"/>
      <w:szCs w:val="22"/>
      <w:lang w:eastAsia="en-US"/>
    </w:rPr>
    <w:tblPr>
      <w:tblCellMar>
        <w:top w:w="0" w:type="dxa"/>
        <w:left w:w="108" w:type="dxa"/>
        <w:bottom w:w="0" w:type="dxa"/>
        <w:right w:w="108" w:type="dxa"/>
      </w:tblCellMar>
    </w:tblPr>
    <w:tblStylePr w:type="firstRow">
      <w:rPr>
        <w:i/>
        <w:color w:val="404040"/>
      </w:rPr>
      <w:tcPr>
        <w:tcBorders>
          <w:left w:val="nil"/>
          <w:bottom w:val="single" w:color="404040" w:sz="4" w:space="0"/>
          <w:right w:val="nil"/>
        </w:tcBorders>
        <w:shd w:val="clear" w:color="FFFFFF" w:fill="auto"/>
      </w:tcPr>
    </w:tblStylePr>
    <w:tblStylePr w:type="lastRow">
      <w:rPr>
        <w:i/>
        <w:color w:val="404040"/>
      </w:rPr>
      <w:tcPr>
        <w:tcBorders>
          <w:top w:val="single" w:color="404040" w:sz="4" w:space="0"/>
          <w:left w:val="nil"/>
          <w:right w:val="nil"/>
        </w:tcBorders>
        <w:shd w:val="clear" w:color="FFFFFF" w:fill="auto"/>
      </w:tcPr>
    </w:tblStylePr>
    <w:tblStylePr w:type="firstCol">
      <w:pPr>
        <w:jc w:val="right"/>
      </w:pPr>
      <w:rPr>
        <w:i/>
        <w:color w:val="404040"/>
      </w:rPr>
      <w:tcPr>
        <w:tcBorders>
          <w:right w:val="single" w:color="404040" w:sz="4" w:space="0"/>
        </w:tcBorders>
        <w:shd w:val="clear" w:color="FFFFFF" w:fill="auto"/>
      </w:tcPr>
    </w:tblStylePr>
    <w:tblStylePr w:type="lastCol">
      <w:rPr>
        <w:i/>
        <w:color w:val="404040"/>
      </w:rPr>
      <w:tcPr>
        <w:tcBorders>
          <w:left w:val="single" w:color="404040" w:sz="4" w:space="0"/>
        </w:tcBorders>
        <w:shd w:val="clear" w:color="FFFFFF" w:fill="auto"/>
      </w:tcPr>
    </w:tblStylePr>
    <w:tblStylePr w:type="band1Vert">
      <w:rPr>
        <w:rFonts w:ascii="Arial" w:hAnsi="Arial"/>
        <w:color w:val="404040"/>
        <w:sz w:val="22"/>
      </w:rPr>
      <w:tcPr>
        <w:shd w:val="clear" w:color="F2F2F2" w:fill="F2F2F2"/>
      </w:tcPr>
    </w:tblStylePr>
    <w:tblStylePr w:type="band1Horz">
      <w:rPr>
        <w:rFonts w:ascii="Arial" w:hAnsi="Arial"/>
        <w:color w:val="404040"/>
        <w:sz w:val="22"/>
      </w:rPr>
      <w:tcPr>
        <w:shd w:val="clear" w:color="F2F2F2" w:fill="F2F2F2"/>
      </w:tcPr>
    </w:tblStylePr>
  </w:style>
  <w:style w:type="table" w:customStyle="1" w:styleId="1483">
    <w:name w:val="Таблица-сетка 1 светлая15"/>
    <w:basedOn w:val="13"/>
    <w:uiPriority w:val="99"/>
    <w:rPr>
      <w:sz w:val="22"/>
      <w:szCs w:val="22"/>
      <w:lang w:eastAsia="en-US"/>
    </w:rPr>
    <w:tblPr>
      <w:tblBorders>
        <w:top w:val="single" w:color="989898" w:sz="4" w:space="0"/>
        <w:left w:val="single" w:color="989898" w:sz="4" w:space="0"/>
        <w:bottom w:val="single" w:color="989898" w:sz="4" w:space="0"/>
        <w:right w:val="single" w:color="989898" w:sz="4" w:space="0"/>
        <w:insideH w:val="single" w:color="989898" w:sz="4" w:space="0"/>
        <w:insideV w:val="single" w:color="989898" w:sz="4" w:space="0"/>
      </w:tblBorders>
      <w:tblCellMar>
        <w:top w:w="0" w:type="dxa"/>
        <w:left w:w="108" w:type="dxa"/>
        <w:bottom w:w="0" w:type="dxa"/>
        <w:right w:w="108" w:type="dxa"/>
      </w:tblCellMar>
    </w:tblPr>
    <w:tblStylePr w:type="firstRow">
      <w:rPr>
        <w:b/>
        <w:color w:val="404040"/>
      </w:rPr>
      <w:tcPr>
        <w:tcBorders>
          <w:bottom w:val="single" w:color="6A6A6A" w:sz="12" w:space="0"/>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cPr>
        <w:tcBorders>
          <w:top w:val="single" w:color="989898" w:sz="4" w:space="0"/>
          <w:left w:val="single" w:color="989898" w:sz="4" w:space="0"/>
          <w:bottom w:val="single" w:color="989898" w:sz="4" w:space="0"/>
          <w:right w:val="single" w:color="989898" w:sz="4" w:space="0"/>
        </w:tcBorders>
      </w:tcPr>
    </w:tblStylePr>
  </w:style>
  <w:style w:type="table" w:customStyle="1" w:styleId="1484">
    <w:name w:val="Grid Table 1 Light - Accent 17"/>
    <w:basedOn w:val="13"/>
    <w:uiPriority w:val="99"/>
    <w:rPr>
      <w:sz w:val="22"/>
      <w:szCs w:val="22"/>
      <w:lang w:eastAsia="en-US"/>
    </w:rPr>
    <w:tblPr>
      <w:tblBorders>
        <w:top w:val="single" w:color="B7CBE4" w:sz="4" w:space="0"/>
        <w:left w:val="single" w:color="B7CBE4" w:sz="4" w:space="0"/>
        <w:bottom w:val="single" w:color="B7CBE4" w:sz="4" w:space="0"/>
        <w:right w:val="single" w:color="B7CBE4" w:sz="4" w:space="0"/>
        <w:insideH w:val="single" w:color="B7CBE4" w:sz="4" w:space="0"/>
        <w:insideV w:val="single" w:color="B7CBE4" w:sz="4" w:space="0"/>
      </w:tblBorders>
      <w:tblCellMar>
        <w:top w:w="0" w:type="dxa"/>
        <w:left w:w="108" w:type="dxa"/>
        <w:bottom w:w="0" w:type="dxa"/>
        <w:right w:w="108" w:type="dxa"/>
      </w:tblCellMar>
    </w:tblPr>
    <w:tblStylePr w:type="firstRow">
      <w:rPr>
        <w:b/>
        <w:color w:val="404040"/>
      </w:rPr>
      <w:tcPr>
        <w:tcBorders>
          <w:bottom w:val="single" w:color="97B4D8" w:sz="12" w:space="0"/>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cPr>
        <w:tcBorders>
          <w:top w:val="single" w:color="B7CBE4" w:sz="4" w:space="0"/>
          <w:left w:val="single" w:color="B7CBE4" w:sz="4" w:space="0"/>
          <w:bottom w:val="single" w:color="B7CBE4" w:sz="4" w:space="0"/>
          <w:right w:val="single" w:color="B7CBE4" w:sz="4" w:space="0"/>
        </w:tcBorders>
      </w:tcPr>
    </w:tblStylePr>
  </w:style>
  <w:style w:type="table" w:customStyle="1" w:styleId="1485">
    <w:name w:val="Grid Table 1 Light - Accent 27"/>
    <w:basedOn w:val="13"/>
    <w:uiPriority w:val="99"/>
    <w:rPr>
      <w:sz w:val="22"/>
      <w:szCs w:val="22"/>
      <w:lang w:eastAsia="en-US"/>
    </w:rPr>
    <w:tblPr>
      <w:tblBorders>
        <w:top w:val="single" w:color="E5B7B6" w:sz="4" w:space="0"/>
        <w:left w:val="single" w:color="E5B7B6" w:sz="4" w:space="0"/>
        <w:bottom w:val="single" w:color="E5B7B6" w:sz="4" w:space="0"/>
        <w:right w:val="single" w:color="E5B7B6" w:sz="4" w:space="0"/>
        <w:insideH w:val="single" w:color="E5B7B6" w:sz="4" w:space="0"/>
        <w:insideV w:val="single" w:color="E5B7B6" w:sz="4" w:space="0"/>
      </w:tblBorders>
      <w:tblCellMar>
        <w:top w:w="0" w:type="dxa"/>
        <w:left w:w="108" w:type="dxa"/>
        <w:bottom w:w="0" w:type="dxa"/>
        <w:right w:w="108" w:type="dxa"/>
      </w:tblCellMar>
    </w:tblPr>
    <w:tblStylePr w:type="firstRow">
      <w:rPr>
        <w:b/>
        <w:color w:val="404040"/>
      </w:rPr>
      <w:tcPr>
        <w:tcBorders>
          <w:bottom w:val="single" w:color="DA9896" w:sz="12" w:space="0"/>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cPr>
        <w:tcBorders>
          <w:top w:val="single" w:color="E5B7B6" w:sz="4" w:space="0"/>
          <w:left w:val="single" w:color="E5B7B6" w:sz="4" w:space="0"/>
          <w:bottom w:val="single" w:color="E5B7B6" w:sz="4" w:space="0"/>
          <w:right w:val="single" w:color="E5B7B6" w:sz="4" w:space="0"/>
        </w:tcBorders>
      </w:tcPr>
    </w:tblStylePr>
  </w:style>
  <w:style w:type="table" w:customStyle="1" w:styleId="1486">
    <w:name w:val="Grid Table 1 Light - Accent 37"/>
    <w:basedOn w:val="13"/>
    <w:uiPriority w:val="99"/>
    <w:rPr>
      <w:sz w:val="22"/>
      <w:szCs w:val="22"/>
      <w:lang w:eastAsia="en-US"/>
    </w:rPr>
    <w:tblPr>
      <w:tblBorders>
        <w:top w:val="single" w:color="D6E3BB" w:sz="4" w:space="0"/>
        <w:left w:val="single" w:color="D6E3BB" w:sz="4" w:space="0"/>
        <w:bottom w:val="single" w:color="D6E3BB" w:sz="4" w:space="0"/>
        <w:right w:val="single" w:color="D6E3BB" w:sz="4" w:space="0"/>
        <w:insideH w:val="single" w:color="D6E3BB" w:sz="4" w:space="0"/>
        <w:insideV w:val="single" w:color="D6E3BB" w:sz="4" w:space="0"/>
      </w:tblBorders>
      <w:tblCellMar>
        <w:top w:w="0" w:type="dxa"/>
        <w:left w:w="108" w:type="dxa"/>
        <w:bottom w:w="0" w:type="dxa"/>
        <w:right w:w="108" w:type="dxa"/>
      </w:tblCellMar>
    </w:tblPr>
    <w:tblStylePr w:type="firstRow">
      <w:rPr>
        <w:b/>
        <w:color w:val="404040"/>
      </w:rPr>
      <w:tcPr>
        <w:tcBorders>
          <w:bottom w:val="single" w:color="C4D79D" w:sz="12" w:space="0"/>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cPr>
        <w:tcBorders>
          <w:top w:val="single" w:color="D6E3BB" w:sz="4" w:space="0"/>
          <w:left w:val="single" w:color="D6E3BB" w:sz="4" w:space="0"/>
          <w:bottom w:val="single" w:color="D6E3BB" w:sz="4" w:space="0"/>
          <w:right w:val="single" w:color="D6E3BB" w:sz="4" w:space="0"/>
        </w:tcBorders>
      </w:tcPr>
    </w:tblStylePr>
  </w:style>
  <w:style w:type="table" w:customStyle="1" w:styleId="1487">
    <w:name w:val="Grid Table 1 Light - Accent 47"/>
    <w:basedOn w:val="13"/>
    <w:uiPriority w:val="99"/>
    <w:rPr>
      <w:sz w:val="22"/>
      <w:szCs w:val="22"/>
      <w:lang w:eastAsia="en-US"/>
    </w:rPr>
    <w:tblPr>
      <w:tblBorders>
        <w:top w:val="single" w:color="CBC0D9" w:sz="4" w:space="0"/>
        <w:left w:val="single" w:color="CBC0D9" w:sz="4" w:space="0"/>
        <w:bottom w:val="single" w:color="CBC0D9" w:sz="4" w:space="0"/>
        <w:right w:val="single" w:color="CBC0D9" w:sz="4" w:space="0"/>
        <w:insideH w:val="single" w:color="CBC0D9" w:sz="4" w:space="0"/>
        <w:insideV w:val="single" w:color="CBC0D9" w:sz="4" w:space="0"/>
      </w:tblBorders>
      <w:tblCellMar>
        <w:top w:w="0" w:type="dxa"/>
        <w:left w:w="108" w:type="dxa"/>
        <w:bottom w:w="0" w:type="dxa"/>
        <w:right w:w="108" w:type="dxa"/>
      </w:tblCellMar>
    </w:tblPr>
    <w:tblStylePr w:type="firstRow">
      <w:rPr>
        <w:b/>
        <w:color w:val="404040"/>
      </w:rPr>
      <w:tcPr>
        <w:tcBorders>
          <w:bottom w:val="single" w:color="B4A4C8" w:sz="12" w:space="0"/>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cPr>
        <w:tcBorders>
          <w:top w:val="single" w:color="CBC0D9" w:sz="4" w:space="0"/>
          <w:left w:val="single" w:color="CBC0D9" w:sz="4" w:space="0"/>
          <w:bottom w:val="single" w:color="CBC0D9" w:sz="4" w:space="0"/>
          <w:right w:val="single" w:color="CBC0D9" w:sz="4" w:space="0"/>
        </w:tcBorders>
      </w:tcPr>
    </w:tblStylePr>
  </w:style>
  <w:style w:type="table" w:customStyle="1" w:styleId="1488">
    <w:name w:val="Grid Table 1 Light - Accent 57"/>
    <w:basedOn w:val="13"/>
    <w:uiPriority w:val="99"/>
    <w:rPr>
      <w:sz w:val="22"/>
      <w:szCs w:val="22"/>
      <w:lang w:eastAsia="en-US"/>
    </w:rPr>
    <w:tblPr>
      <w:tblBorders>
        <w:top w:val="single" w:color="B6DDE8" w:sz="4" w:space="0"/>
        <w:left w:val="single" w:color="B6DDE8" w:sz="4" w:space="0"/>
        <w:bottom w:val="single" w:color="B6DDE8" w:sz="4" w:space="0"/>
        <w:right w:val="single" w:color="B6DDE8" w:sz="4" w:space="0"/>
        <w:insideH w:val="single" w:color="B6DDE8" w:sz="4" w:space="0"/>
        <w:insideV w:val="single" w:color="B6DDE8" w:sz="4" w:space="0"/>
      </w:tblBorders>
      <w:tblCellMar>
        <w:top w:w="0" w:type="dxa"/>
        <w:left w:w="108" w:type="dxa"/>
        <w:bottom w:w="0" w:type="dxa"/>
        <w:right w:w="108" w:type="dxa"/>
      </w:tblCellMar>
    </w:tblPr>
    <w:tblStylePr w:type="firstRow">
      <w:rPr>
        <w:b/>
        <w:color w:val="404040"/>
      </w:rPr>
      <w:tcPr>
        <w:tcBorders>
          <w:bottom w:val="single" w:color="95CEDD" w:sz="12" w:space="0"/>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cPr>
        <w:tcBorders>
          <w:top w:val="single" w:color="B6DDE8" w:sz="4" w:space="0"/>
          <w:left w:val="single" w:color="B6DDE8" w:sz="4" w:space="0"/>
          <w:bottom w:val="single" w:color="B6DDE8" w:sz="4" w:space="0"/>
          <w:right w:val="single" w:color="B6DDE8" w:sz="4" w:space="0"/>
        </w:tcBorders>
      </w:tcPr>
    </w:tblStylePr>
  </w:style>
  <w:style w:type="table" w:customStyle="1" w:styleId="1489">
    <w:name w:val="Grid Table 1 Light - Accent 67"/>
    <w:basedOn w:val="13"/>
    <w:uiPriority w:val="99"/>
    <w:rPr>
      <w:sz w:val="22"/>
      <w:szCs w:val="22"/>
      <w:lang w:eastAsia="en-US"/>
    </w:rPr>
    <w:tblPr>
      <w:tblBorders>
        <w:top w:val="single" w:color="FBD4B4" w:sz="4" w:space="0"/>
        <w:left w:val="single" w:color="FBD4B4" w:sz="4" w:space="0"/>
        <w:bottom w:val="single" w:color="FBD4B4" w:sz="4" w:space="0"/>
        <w:right w:val="single" w:color="FBD4B4" w:sz="4" w:space="0"/>
        <w:insideH w:val="single" w:color="FBD4B4" w:sz="4" w:space="0"/>
        <w:insideV w:val="single" w:color="FBD4B4" w:sz="4" w:space="0"/>
      </w:tblBorders>
      <w:tblCellMar>
        <w:top w:w="0" w:type="dxa"/>
        <w:left w:w="108" w:type="dxa"/>
        <w:bottom w:w="0" w:type="dxa"/>
        <w:right w:w="108" w:type="dxa"/>
      </w:tblCellMar>
    </w:tblPr>
    <w:tblStylePr w:type="firstRow">
      <w:rPr>
        <w:b/>
        <w:color w:val="404040"/>
      </w:rPr>
      <w:tcPr>
        <w:tcBorders>
          <w:bottom w:val="single" w:color="FAC192" w:sz="12" w:space="0"/>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cPr>
        <w:tcBorders>
          <w:top w:val="single" w:color="FBD4B4" w:sz="4" w:space="0"/>
          <w:left w:val="single" w:color="FBD4B4" w:sz="4" w:space="0"/>
          <w:bottom w:val="single" w:color="FBD4B4" w:sz="4" w:space="0"/>
          <w:right w:val="single" w:color="FBD4B4" w:sz="4" w:space="0"/>
        </w:tcBorders>
      </w:tcPr>
    </w:tblStylePr>
  </w:style>
  <w:style w:type="table" w:customStyle="1" w:styleId="1490">
    <w:name w:val="Таблица-сетка 215"/>
    <w:basedOn w:val="13"/>
    <w:uiPriority w:val="99"/>
    <w:rPr>
      <w:sz w:val="22"/>
      <w:szCs w:val="22"/>
      <w:lang w:eastAsia="en-US"/>
    </w:rPr>
    <w:tblPr>
      <w:tblBorders>
        <w:bottom w:val="single" w:color="6A6A6A" w:sz="4" w:space="0"/>
        <w:insideH w:val="single" w:color="6A6A6A" w:sz="4" w:space="0"/>
        <w:insideV w:val="single" w:color="6A6A6A" w:sz="4" w:space="0"/>
      </w:tblBorders>
      <w:tblCellMar>
        <w:top w:w="0" w:type="dxa"/>
        <w:left w:w="108" w:type="dxa"/>
        <w:bottom w:w="0" w:type="dxa"/>
        <w:right w:w="108" w:type="dxa"/>
      </w:tblCellMar>
    </w:tblPr>
    <w:tblStylePr w:type="firstRow">
      <w:rPr>
        <w:b/>
        <w:color w:val="404040"/>
      </w:rPr>
      <w:tcPr>
        <w:tcBorders>
          <w:top w:val="nil"/>
          <w:left w:val="nil"/>
          <w:bottom w:val="single" w:color="6A6A6A" w:sz="12" w:space="0"/>
          <w:right w:val="nil"/>
        </w:tcBorders>
        <w:shd w:val="clear" w:color="FFFFFF" w:fill="auto"/>
      </w:tcPr>
    </w:tblStylePr>
    <w:tblStylePr w:type="lastRow">
      <w:rPr>
        <w:b/>
        <w:color w:val="404040"/>
      </w:rPr>
      <w:tcPr>
        <w:tcBorders>
          <w:top w:val="single" w:color="6A6A6A"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CBCBCB" w:fill="CBCBCB"/>
      </w:tcPr>
    </w:tblStylePr>
    <w:tblStylePr w:type="band1Horz">
      <w:rPr>
        <w:rFonts w:ascii="Arial" w:hAnsi="Arial"/>
        <w:color w:val="404040"/>
        <w:sz w:val="22"/>
      </w:rPr>
      <w:tcPr>
        <w:shd w:val="clear" w:color="CBCBCB" w:fill="CBCBCB"/>
      </w:tcPr>
    </w:tblStylePr>
  </w:style>
  <w:style w:type="table" w:customStyle="1" w:styleId="1491">
    <w:name w:val="Grid Table 2 - Accent 17"/>
    <w:basedOn w:val="13"/>
    <w:uiPriority w:val="99"/>
    <w:rPr>
      <w:sz w:val="22"/>
      <w:szCs w:val="22"/>
      <w:lang w:eastAsia="en-US"/>
    </w:rPr>
    <w:tblPr>
      <w:tblBorders>
        <w:bottom w:val="single" w:color="5D8AC2" w:sz="4" w:space="0"/>
        <w:insideH w:val="single" w:color="5D8AC2" w:sz="4" w:space="0"/>
        <w:insideV w:val="single" w:color="5D8AC2" w:sz="4" w:space="0"/>
      </w:tblBorders>
      <w:tblCellMar>
        <w:top w:w="0" w:type="dxa"/>
        <w:left w:w="108" w:type="dxa"/>
        <w:bottom w:w="0" w:type="dxa"/>
        <w:right w:w="108" w:type="dxa"/>
      </w:tblCellMar>
    </w:tblPr>
    <w:tblStylePr w:type="firstRow">
      <w:rPr>
        <w:b/>
        <w:color w:val="404040"/>
      </w:rPr>
      <w:tcPr>
        <w:tcBorders>
          <w:top w:val="nil"/>
          <w:left w:val="nil"/>
          <w:bottom w:val="single" w:color="5D8AC2" w:sz="12" w:space="0"/>
          <w:right w:val="nil"/>
        </w:tcBorders>
        <w:shd w:val="clear" w:color="FFFFFF" w:fill="auto"/>
      </w:tcPr>
    </w:tblStylePr>
    <w:tblStylePr w:type="lastRow">
      <w:rPr>
        <w:b/>
        <w:color w:val="404040"/>
      </w:rPr>
      <w:tcPr>
        <w:tcBorders>
          <w:top w:val="single" w:color="5D8AC2"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DAE5F1" w:fill="DAE5F1"/>
      </w:tcPr>
    </w:tblStylePr>
    <w:tblStylePr w:type="band1Horz">
      <w:rPr>
        <w:rFonts w:ascii="Arial" w:hAnsi="Arial"/>
        <w:color w:val="404040"/>
        <w:sz w:val="22"/>
      </w:rPr>
      <w:tcPr>
        <w:shd w:val="clear" w:color="DAE5F1" w:fill="DAE5F1"/>
      </w:tcPr>
    </w:tblStylePr>
  </w:style>
  <w:style w:type="table" w:customStyle="1" w:styleId="1492">
    <w:name w:val="Grid Table 2 - Accent 27"/>
    <w:basedOn w:val="13"/>
    <w:uiPriority w:val="99"/>
    <w:rPr>
      <w:sz w:val="22"/>
      <w:szCs w:val="22"/>
      <w:lang w:eastAsia="en-US"/>
    </w:rPr>
    <w:tblPr>
      <w:tblBorders>
        <w:bottom w:val="single" w:color="D99695" w:sz="4" w:space="0"/>
        <w:insideH w:val="single" w:color="D99695" w:sz="4" w:space="0"/>
        <w:insideV w:val="single" w:color="D99695" w:sz="4" w:space="0"/>
      </w:tblBorders>
      <w:tblCellMar>
        <w:top w:w="0" w:type="dxa"/>
        <w:left w:w="108" w:type="dxa"/>
        <w:bottom w:w="0" w:type="dxa"/>
        <w:right w:w="108" w:type="dxa"/>
      </w:tblCellMar>
    </w:tblPr>
    <w:tblStylePr w:type="firstRow">
      <w:rPr>
        <w:b/>
        <w:color w:val="404040"/>
      </w:rPr>
      <w:tcPr>
        <w:tcBorders>
          <w:top w:val="nil"/>
          <w:left w:val="nil"/>
          <w:bottom w:val="single" w:color="D99695" w:sz="12" w:space="0"/>
          <w:right w:val="nil"/>
        </w:tcBorders>
        <w:shd w:val="clear" w:color="FFFFFF" w:fill="auto"/>
      </w:tcPr>
    </w:tblStylePr>
    <w:tblStylePr w:type="lastRow">
      <w:rPr>
        <w:b/>
        <w:color w:val="404040"/>
      </w:rPr>
      <w:tcPr>
        <w:tcBorders>
          <w:top w:val="single" w:color="D99695"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F2DCDC" w:fill="F2DCDC"/>
      </w:tcPr>
    </w:tblStylePr>
    <w:tblStylePr w:type="band1Horz">
      <w:rPr>
        <w:rFonts w:ascii="Arial" w:hAnsi="Arial"/>
        <w:color w:val="404040"/>
        <w:sz w:val="22"/>
      </w:rPr>
      <w:tcPr>
        <w:shd w:val="clear" w:color="F2DCDC" w:fill="F2DCDC"/>
      </w:tcPr>
    </w:tblStylePr>
  </w:style>
  <w:style w:type="table" w:customStyle="1" w:styleId="1493">
    <w:name w:val="Grid Table 2 - Accent 37"/>
    <w:basedOn w:val="13"/>
    <w:uiPriority w:val="99"/>
    <w:rPr>
      <w:sz w:val="22"/>
      <w:szCs w:val="22"/>
      <w:lang w:eastAsia="en-US"/>
    </w:rPr>
    <w:tblPr>
      <w:tblBorders>
        <w:bottom w:val="single" w:color="9ABB59" w:sz="4" w:space="0"/>
        <w:insideH w:val="single" w:color="9ABB59" w:sz="4" w:space="0"/>
        <w:insideV w:val="single" w:color="9ABB59" w:sz="4" w:space="0"/>
      </w:tblBorders>
      <w:tblCellMar>
        <w:top w:w="0" w:type="dxa"/>
        <w:left w:w="108" w:type="dxa"/>
        <w:bottom w:w="0" w:type="dxa"/>
        <w:right w:w="108" w:type="dxa"/>
      </w:tblCellMar>
    </w:tblPr>
    <w:tblStylePr w:type="firstRow">
      <w:rPr>
        <w:b/>
        <w:color w:val="404040"/>
      </w:rPr>
      <w:tcPr>
        <w:tcBorders>
          <w:top w:val="nil"/>
          <w:left w:val="nil"/>
          <w:bottom w:val="single" w:color="9ABB59" w:sz="12" w:space="0"/>
          <w:right w:val="nil"/>
        </w:tcBorders>
        <w:shd w:val="clear" w:color="FFFFFF" w:fill="auto"/>
      </w:tcPr>
    </w:tblStylePr>
    <w:tblStylePr w:type="lastRow">
      <w:rPr>
        <w:b/>
        <w:color w:val="404040"/>
      </w:rPr>
      <w:tcPr>
        <w:tcBorders>
          <w:top w:val="single" w:color="9ABB59"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EAF1DC" w:fill="EAF1DC"/>
      </w:tcPr>
    </w:tblStylePr>
    <w:tblStylePr w:type="band1Horz">
      <w:rPr>
        <w:rFonts w:ascii="Arial" w:hAnsi="Arial"/>
        <w:color w:val="404040"/>
        <w:sz w:val="22"/>
      </w:rPr>
      <w:tcPr>
        <w:shd w:val="clear" w:color="EAF1DC" w:fill="EAF1DC"/>
      </w:tcPr>
    </w:tblStylePr>
  </w:style>
  <w:style w:type="table" w:customStyle="1" w:styleId="1494">
    <w:name w:val="Grid Table 2 - Accent 47"/>
    <w:basedOn w:val="13"/>
    <w:uiPriority w:val="99"/>
    <w:rPr>
      <w:sz w:val="22"/>
      <w:szCs w:val="22"/>
      <w:lang w:eastAsia="en-US"/>
    </w:rPr>
    <w:tblPr>
      <w:tblBorders>
        <w:bottom w:val="single" w:color="B2A1C6" w:sz="4" w:space="0"/>
        <w:insideH w:val="single" w:color="B2A1C6" w:sz="4" w:space="0"/>
        <w:insideV w:val="single" w:color="B2A1C6" w:sz="4" w:space="0"/>
      </w:tblBorders>
      <w:tblCellMar>
        <w:top w:w="0" w:type="dxa"/>
        <w:left w:w="108" w:type="dxa"/>
        <w:bottom w:w="0" w:type="dxa"/>
        <w:right w:w="108" w:type="dxa"/>
      </w:tblCellMar>
    </w:tblPr>
    <w:tblStylePr w:type="firstRow">
      <w:rPr>
        <w:b/>
        <w:color w:val="404040"/>
      </w:rPr>
      <w:tcPr>
        <w:tcBorders>
          <w:top w:val="nil"/>
          <w:left w:val="nil"/>
          <w:bottom w:val="single" w:color="B2A1C6" w:sz="12" w:space="0"/>
          <w:right w:val="nil"/>
        </w:tcBorders>
        <w:shd w:val="clear" w:color="FFFFFF" w:fill="auto"/>
      </w:tcPr>
    </w:tblStylePr>
    <w:tblStylePr w:type="lastRow">
      <w:rPr>
        <w:b/>
        <w:color w:val="404040"/>
      </w:rPr>
      <w:tcPr>
        <w:tcBorders>
          <w:top w:val="single" w:color="B2A1C6"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E5DFEC" w:fill="E5DFEC"/>
      </w:tcPr>
    </w:tblStylePr>
    <w:tblStylePr w:type="band1Horz">
      <w:rPr>
        <w:rFonts w:ascii="Arial" w:hAnsi="Arial"/>
        <w:color w:val="404040"/>
        <w:sz w:val="22"/>
      </w:rPr>
      <w:tcPr>
        <w:shd w:val="clear" w:color="E5DFEC" w:fill="E5DFEC"/>
      </w:tcPr>
    </w:tblStylePr>
  </w:style>
  <w:style w:type="table" w:customStyle="1" w:styleId="1495">
    <w:name w:val="Grid Table 2 - Accent 57"/>
    <w:basedOn w:val="13"/>
    <w:uiPriority w:val="99"/>
    <w:rPr>
      <w:sz w:val="22"/>
      <w:szCs w:val="22"/>
      <w:lang w:eastAsia="en-US"/>
    </w:rPr>
    <w:tblPr>
      <w:tblBorders>
        <w:bottom w:val="single" w:color="4BACC6" w:sz="4" w:space="0"/>
        <w:insideH w:val="single" w:color="4BACC6" w:sz="4" w:space="0"/>
        <w:insideV w:val="single" w:color="4BACC6" w:sz="4" w:space="0"/>
      </w:tblBorders>
      <w:tblCellMar>
        <w:top w:w="0" w:type="dxa"/>
        <w:left w:w="108" w:type="dxa"/>
        <w:bottom w:w="0" w:type="dxa"/>
        <w:right w:w="108" w:type="dxa"/>
      </w:tblCellMar>
    </w:tblPr>
    <w:tblStylePr w:type="firstRow">
      <w:rPr>
        <w:b/>
        <w:color w:val="404040"/>
      </w:rPr>
      <w:tcPr>
        <w:tcBorders>
          <w:top w:val="nil"/>
          <w:left w:val="nil"/>
          <w:bottom w:val="single" w:color="4BACC6" w:sz="12" w:space="0"/>
          <w:right w:val="nil"/>
        </w:tcBorders>
        <w:shd w:val="clear" w:color="FFFFFF" w:fill="auto"/>
      </w:tcPr>
    </w:tblStylePr>
    <w:tblStylePr w:type="lastRow">
      <w:rPr>
        <w:b/>
        <w:color w:val="404040"/>
      </w:rPr>
      <w:tcPr>
        <w:tcBorders>
          <w:top w:val="single" w:color="4BACC6"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DAEEF3" w:fill="DAEEF3"/>
      </w:tcPr>
    </w:tblStylePr>
    <w:tblStylePr w:type="band1Horz">
      <w:rPr>
        <w:rFonts w:ascii="Arial" w:hAnsi="Arial"/>
        <w:color w:val="404040"/>
        <w:sz w:val="22"/>
      </w:rPr>
      <w:tcPr>
        <w:shd w:val="clear" w:color="DAEEF3" w:fill="DAEEF3"/>
      </w:tcPr>
    </w:tblStylePr>
  </w:style>
  <w:style w:type="table" w:customStyle="1" w:styleId="1496">
    <w:name w:val="Grid Table 2 - Accent 67"/>
    <w:basedOn w:val="13"/>
    <w:uiPriority w:val="99"/>
    <w:rPr>
      <w:sz w:val="22"/>
      <w:szCs w:val="22"/>
      <w:lang w:eastAsia="en-US"/>
    </w:rPr>
    <w:tblPr>
      <w:tblBorders>
        <w:bottom w:val="single" w:color="F79646" w:sz="4" w:space="0"/>
        <w:insideH w:val="single" w:color="F79646" w:sz="4" w:space="0"/>
        <w:insideV w:val="single" w:color="F79646" w:sz="4" w:space="0"/>
      </w:tblBorders>
      <w:tblCellMar>
        <w:top w:w="0" w:type="dxa"/>
        <w:left w:w="108" w:type="dxa"/>
        <w:bottom w:w="0" w:type="dxa"/>
        <w:right w:w="108" w:type="dxa"/>
      </w:tblCellMar>
    </w:tblPr>
    <w:tblStylePr w:type="firstRow">
      <w:rPr>
        <w:b/>
        <w:color w:val="404040"/>
      </w:rPr>
      <w:tcPr>
        <w:tcBorders>
          <w:top w:val="nil"/>
          <w:left w:val="nil"/>
          <w:bottom w:val="single" w:color="F79646" w:sz="12" w:space="0"/>
          <w:right w:val="nil"/>
        </w:tcBorders>
        <w:shd w:val="clear" w:color="FFFFFF" w:fill="auto"/>
      </w:tcPr>
    </w:tblStylePr>
    <w:tblStylePr w:type="lastRow">
      <w:rPr>
        <w:b/>
        <w:color w:val="404040"/>
      </w:rPr>
      <w:tcPr>
        <w:tcBorders>
          <w:top w:val="single" w:color="F79646"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FDE9D8" w:fill="FDE9D8"/>
      </w:tcPr>
    </w:tblStylePr>
    <w:tblStylePr w:type="band1Horz">
      <w:rPr>
        <w:rFonts w:ascii="Arial" w:hAnsi="Arial"/>
        <w:color w:val="404040"/>
        <w:sz w:val="22"/>
      </w:rPr>
      <w:tcPr>
        <w:shd w:val="clear" w:color="FDE9D8" w:fill="FDE9D8"/>
      </w:tcPr>
    </w:tblStylePr>
  </w:style>
  <w:style w:type="table" w:customStyle="1" w:styleId="1497">
    <w:name w:val="Таблица-сетка 315"/>
    <w:basedOn w:val="13"/>
    <w:uiPriority w:val="99"/>
    <w:rPr>
      <w:sz w:val="22"/>
      <w:szCs w:val="22"/>
      <w:lang w:eastAsia="en-US"/>
    </w:rPr>
    <w:tblPr>
      <w:tblBorders>
        <w:bottom w:val="single" w:color="6A6A6A" w:sz="4" w:space="0"/>
        <w:insideH w:val="single" w:color="6A6A6A" w:sz="4" w:space="0"/>
        <w:insideV w:val="single" w:color="6A6A6A" w:sz="4" w:space="0"/>
      </w:tblBorders>
      <w:tblCellMar>
        <w:top w:w="0" w:type="dxa"/>
        <w:left w:w="108" w:type="dxa"/>
        <w:bottom w:w="0" w:type="dxa"/>
        <w:right w:w="108" w:type="dxa"/>
      </w:tblCellMar>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rFonts w:ascii="Arial" w:hAnsi="Arial"/>
        <w:color w:val="404040"/>
        <w:sz w:val="22"/>
      </w:rPr>
      <w:tcPr>
        <w:shd w:val="clear" w:color="CBCBCB" w:fill="CBCBCB"/>
      </w:tcPr>
    </w:tblStylePr>
    <w:tblStylePr w:type="band1Horz">
      <w:rPr>
        <w:rFonts w:ascii="Arial" w:hAnsi="Arial"/>
        <w:color w:val="404040"/>
        <w:sz w:val="22"/>
      </w:rPr>
      <w:tcPr>
        <w:shd w:val="clear" w:color="CBCBCB" w:fill="CBCBCB"/>
      </w:tcPr>
    </w:tblStylePr>
  </w:style>
  <w:style w:type="table" w:customStyle="1" w:styleId="1498">
    <w:name w:val="Grid Table 3 - Accent 17"/>
    <w:basedOn w:val="13"/>
    <w:uiPriority w:val="99"/>
    <w:rPr>
      <w:sz w:val="22"/>
      <w:szCs w:val="22"/>
      <w:lang w:eastAsia="en-US"/>
    </w:rPr>
    <w:tblPr>
      <w:tblBorders>
        <w:bottom w:val="single" w:color="5D8AC2" w:sz="4" w:space="0"/>
        <w:insideH w:val="single" w:color="5D8AC2" w:sz="4" w:space="0"/>
        <w:insideV w:val="single" w:color="5D8AC2" w:sz="4" w:space="0"/>
      </w:tblBorders>
      <w:tblCellMar>
        <w:top w:w="0" w:type="dxa"/>
        <w:left w:w="108" w:type="dxa"/>
        <w:bottom w:w="0" w:type="dxa"/>
        <w:right w:w="108" w:type="dxa"/>
      </w:tblCellMar>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rFonts w:ascii="Arial" w:hAnsi="Arial"/>
        <w:color w:val="404040"/>
        <w:sz w:val="22"/>
      </w:rPr>
      <w:tcPr>
        <w:shd w:val="clear" w:color="DAE5F1" w:fill="DAE5F1"/>
      </w:tcPr>
    </w:tblStylePr>
    <w:tblStylePr w:type="band1Horz">
      <w:rPr>
        <w:rFonts w:ascii="Arial" w:hAnsi="Arial"/>
        <w:color w:val="404040"/>
        <w:sz w:val="22"/>
      </w:rPr>
      <w:tcPr>
        <w:shd w:val="clear" w:color="DAE5F1" w:fill="DAE5F1"/>
      </w:tcPr>
    </w:tblStylePr>
  </w:style>
  <w:style w:type="table" w:customStyle="1" w:styleId="1499">
    <w:name w:val="Grid Table 3 - Accent 27"/>
    <w:basedOn w:val="13"/>
    <w:uiPriority w:val="99"/>
    <w:rPr>
      <w:sz w:val="22"/>
      <w:szCs w:val="22"/>
      <w:lang w:eastAsia="en-US"/>
    </w:rPr>
    <w:tblPr>
      <w:tblBorders>
        <w:bottom w:val="single" w:color="D99695" w:sz="4" w:space="0"/>
        <w:insideH w:val="single" w:color="D99695" w:sz="4" w:space="0"/>
        <w:insideV w:val="single" w:color="D99695" w:sz="4" w:space="0"/>
      </w:tblBorders>
      <w:tblCellMar>
        <w:top w:w="0" w:type="dxa"/>
        <w:left w:w="108" w:type="dxa"/>
        <w:bottom w:w="0" w:type="dxa"/>
        <w:right w:w="108" w:type="dxa"/>
      </w:tblCellMar>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rFonts w:ascii="Arial" w:hAnsi="Arial"/>
        <w:color w:val="404040"/>
        <w:sz w:val="22"/>
      </w:rPr>
      <w:tcPr>
        <w:shd w:val="clear" w:color="F2DCDC" w:fill="F2DCDC"/>
      </w:tcPr>
    </w:tblStylePr>
    <w:tblStylePr w:type="band1Horz">
      <w:rPr>
        <w:rFonts w:ascii="Arial" w:hAnsi="Arial"/>
        <w:color w:val="404040"/>
        <w:sz w:val="22"/>
      </w:rPr>
      <w:tcPr>
        <w:shd w:val="clear" w:color="F2DCDC" w:fill="F2DCDC"/>
      </w:tcPr>
    </w:tblStylePr>
  </w:style>
  <w:style w:type="table" w:customStyle="1" w:styleId="1500">
    <w:name w:val="Grid Table 3 - Accent 37"/>
    <w:basedOn w:val="13"/>
    <w:uiPriority w:val="99"/>
    <w:rPr>
      <w:sz w:val="22"/>
      <w:szCs w:val="22"/>
      <w:lang w:eastAsia="en-US"/>
    </w:rPr>
    <w:tblPr>
      <w:tblBorders>
        <w:bottom w:val="single" w:color="9ABB59" w:sz="4" w:space="0"/>
        <w:insideH w:val="single" w:color="9ABB59" w:sz="4" w:space="0"/>
        <w:insideV w:val="single" w:color="9ABB59" w:sz="4" w:space="0"/>
      </w:tblBorders>
      <w:tblCellMar>
        <w:top w:w="0" w:type="dxa"/>
        <w:left w:w="108" w:type="dxa"/>
        <w:bottom w:w="0" w:type="dxa"/>
        <w:right w:w="108" w:type="dxa"/>
      </w:tblCellMar>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rFonts w:ascii="Arial" w:hAnsi="Arial"/>
        <w:color w:val="404040"/>
        <w:sz w:val="22"/>
      </w:rPr>
      <w:tcPr>
        <w:shd w:val="clear" w:color="EAF1DC" w:fill="EAF1DC"/>
      </w:tcPr>
    </w:tblStylePr>
    <w:tblStylePr w:type="band1Horz">
      <w:rPr>
        <w:rFonts w:ascii="Arial" w:hAnsi="Arial"/>
        <w:color w:val="404040"/>
        <w:sz w:val="22"/>
      </w:rPr>
      <w:tcPr>
        <w:shd w:val="clear" w:color="EAF1DC" w:fill="EAF1DC"/>
      </w:tcPr>
    </w:tblStylePr>
  </w:style>
  <w:style w:type="table" w:customStyle="1" w:styleId="1501">
    <w:name w:val="Grid Table 3 - Accent 47"/>
    <w:basedOn w:val="13"/>
    <w:uiPriority w:val="99"/>
    <w:rPr>
      <w:sz w:val="22"/>
      <w:szCs w:val="22"/>
      <w:lang w:eastAsia="en-US"/>
    </w:rPr>
    <w:tblPr>
      <w:tblBorders>
        <w:bottom w:val="single" w:color="B2A1C6" w:sz="4" w:space="0"/>
        <w:insideH w:val="single" w:color="B2A1C6" w:sz="4" w:space="0"/>
        <w:insideV w:val="single" w:color="B2A1C6" w:sz="4" w:space="0"/>
      </w:tblBorders>
      <w:tblCellMar>
        <w:top w:w="0" w:type="dxa"/>
        <w:left w:w="108" w:type="dxa"/>
        <w:bottom w:w="0" w:type="dxa"/>
        <w:right w:w="108" w:type="dxa"/>
      </w:tblCellMar>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rFonts w:ascii="Arial" w:hAnsi="Arial"/>
        <w:color w:val="404040"/>
        <w:sz w:val="22"/>
      </w:rPr>
      <w:tcPr>
        <w:shd w:val="clear" w:color="E5DFEC" w:fill="E5DFEC"/>
      </w:tcPr>
    </w:tblStylePr>
    <w:tblStylePr w:type="band1Horz">
      <w:rPr>
        <w:rFonts w:ascii="Arial" w:hAnsi="Arial"/>
        <w:color w:val="404040"/>
        <w:sz w:val="22"/>
      </w:rPr>
      <w:tcPr>
        <w:shd w:val="clear" w:color="E5DFEC" w:fill="E5DFEC"/>
      </w:tcPr>
    </w:tblStylePr>
  </w:style>
  <w:style w:type="table" w:customStyle="1" w:styleId="1502">
    <w:name w:val="Grid Table 3 - Accent 57"/>
    <w:basedOn w:val="13"/>
    <w:uiPriority w:val="99"/>
    <w:rPr>
      <w:sz w:val="22"/>
      <w:szCs w:val="22"/>
      <w:lang w:eastAsia="en-US"/>
    </w:rPr>
    <w:tblPr>
      <w:tblBorders>
        <w:bottom w:val="single" w:color="4BACC6" w:sz="4" w:space="0"/>
        <w:insideH w:val="single" w:color="4BACC6" w:sz="4" w:space="0"/>
        <w:insideV w:val="single" w:color="4BACC6" w:sz="4" w:space="0"/>
      </w:tblBorders>
      <w:tblCellMar>
        <w:top w:w="0" w:type="dxa"/>
        <w:left w:w="108" w:type="dxa"/>
        <w:bottom w:w="0" w:type="dxa"/>
        <w:right w:w="108" w:type="dxa"/>
      </w:tblCellMar>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rFonts w:ascii="Arial" w:hAnsi="Arial"/>
        <w:color w:val="404040"/>
        <w:sz w:val="22"/>
      </w:rPr>
      <w:tcPr>
        <w:shd w:val="clear" w:color="DAEEF3" w:fill="DAEEF3"/>
      </w:tcPr>
    </w:tblStylePr>
    <w:tblStylePr w:type="band1Horz">
      <w:rPr>
        <w:rFonts w:ascii="Arial" w:hAnsi="Arial"/>
        <w:color w:val="404040"/>
        <w:sz w:val="22"/>
      </w:rPr>
      <w:tcPr>
        <w:shd w:val="clear" w:color="DAEEF3" w:fill="DAEEF3"/>
      </w:tcPr>
    </w:tblStylePr>
  </w:style>
  <w:style w:type="table" w:customStyle="1" w:styleId="1503">
    <w:name w:val="Grid Table 3 - Accent 67"/>
    <w:basedOn w:val="13"/>
    <w:uiPriority w:val="99"/>
    <w:rPr>
      <w:sz w:val="22"/>
      <w:szCs w:val="22"/>
      <w:lang w:eastAsia="en-US"/>
    </w:rPr>
    <w:tblPr>
      <w:tblBorders>
        <w:bottom w:val="single" w:color="F79646" w:sz="4" w:space="0"/>
        <w:insideH w:val="single" w:color="F79646" w:sz="4" w:space="0"/>
        <w:insideV w:val="single" w:color="F79646" w:sz="4" w:space="0"/>
      </w:tblBorders>
      <w:tblCellMar>
        <w:top w:w="0" w:type="dxa"/>
        <w:left w:w="108" w:type="dxa"/>
        <w:bottom w:w="0" w:type="dxa"/>
        <w:right w:w="108" w:type="dxa"/>
      </w:tblCellMar>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rFonts w:ascii="Arial" w:hAnsi="Arial"/>
        <w:color w:val="404040"/>
        <w:sz w:val="22"/>
      </w:rPr>
      <w:tcPr>
        <w:shd w:val="clear" w:color="FDE9D8" w:fill="FDE9D8"/>
      </w:tcPr>
    </w:tblStylePr>
    <w:tblStylePr w:type="band1Horz">
      <w:rPr>
        <w:rFonts w:ascii="Arial" w:hAnsi="Arial"/>
        <w:color w:val="404040"/>
        <w:sz w:val="22"/>
      </w:rPr>
      <w:tcPr>
        <w:shd w:val="clear" w:color="FDE9D8" w:fill="FDE9D8"/>
      </w:tcPr>
    </w:tblStylePr>
  </w:style>
  <w:style w:type="table" w:customStyle="1" w:styleId="1504">
    <w:name w:val="Таблица-сетка 415"/>
    <w:basedOn w:val="13"/>
    <w:uiPriority w:val="59"/>
    <w:rPr>
      <w:sz w:val="22"/>
      <w:szCs w:val="22"/>
      <w:lang w:eastAsia="en-US"/>
    </w:rPr>
    <w:tblPr>
      <w:tblBorders>
        <w:top w:val="single" w:color="6F6F6F" w:sz="4" w:space="0"/>
        <w:left w:val="single" w:color="6F6F6F" w:sz="4" w:space="0"/>
        <w:bottom w:val="single" w:color="6F6F6F" w:sz="4" w:space="0"/>
        <w:right w:val="single" w:color="6F6F6F" w:sz="4" w:space="0"/>
        <w:insideH w:val="single" w:color="6F6F6F" w:sz="4" w:space="0"/>
        <w:insideV w:val="single" w:color="6F6F6F" w:sz="4" w:space="0"/>
      </w:tblBorders>
      <w:tblCellMar>
        <w:top w:w="0" w:type="dxa"/>
        <w:left w:w="108" w:type="dxa"/>
        <w:bottom w:w="0" w:type="dxa"/>
        <w:right w:w="108" w:type="dxa"/>
      </w:tblCellMar>
    </w:tblPr>
    <w:tblStylePr w:type="firstRow">
      <w:rPr>
        <w:rFonts w:ascii="Arial" w:hAnsi="Arial"/>
        <w:b/>
        <w:color w:val="FFFFFF"/>
        <w:sz w:val="22"/>
      </w:rPr>
      <w:tcPr>
        <w:tcBorders>
          <w:top w:val="single" w:color="000000" w:sz="4" w:space="0"/>
          <w:left w:val="single" w:color="000000" w:sz="4" w:space="0"/>
          <w:bottom w:val="single" w:color="000000" w:sz="4" w:space="0"/>
          <w:right w:val="single" w:color="000000" w:sz="4" w:space="0"/>
        </w:tcBorders>
        <w:shd w:val="clear" w:color="000000" w:fill="000000"/>
      </w:tcPr>
    </w:tblStylePr>
    <w:tblStylePr w:type="lastRow">
      <w:rPr>
        <w:b/>
        <w:color w:val="404040"/>
      </w:rPr>
      <w:tcPr>
        <w:tcBorders>
          <w:top w:val="single" w:color="000000"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CBCBCB" w:fill="CBCBCB"/>
      </w:tcPr>
    </w:tblStylePr>
    <w:tblStylePr w:type="band1Horz">
      <w:rPr>
        <w:rFonts w:ascii="Arial" w:hAnsi="Arial"/>
        <w:color w:val="404040"/>
        <w:sz w:val="22"/>
      </w:rPr>
      <w:tcPr>
        <w:shd w:val="clear" w:color="CBCBCB" w:fill="CBCBCB"/>
      </w:tcPr>
    </w:tblStylePr>
  </w:style>
  <w:style w:type="table" w:customStyle="1" w:styleId="1505">
    <w:name w:val="Grid Table 4 - Accent 17"/>
    <w:basedOn w:val="13"/>
    <w:uiPriority w:val="59"/>
    <w:rPr>
      <w:sz w:val="22"/>
      <w:szCs w:val="22"/>
      <w:lang w:eastAsia="en-US"/>
    </w:rPr>
    <w:tblPr>
      <w:tblBorders>
        <w:top w:val="single" w:color="9BB7D9" w:sz="4" w:space="0"/>
        <w:left w:val="single" w:color="9BB7D9" w:sz="4" w:space="0"/>
        <w:bottom w:val="single" w:color="9BB7D9" w:sz="4" w:space="0"/>
        <w:right w:val="single" w:color="9BB7D9" w:sz="4" w:space="0"/>
        <w:insideH w:val="single" w:color="9BB7D9" w:sz="4" w:space="0"/>
        <w:insideV w:val="single" w:color="9BB7D9" w:sz="4" w:space="0"/>
      </w:tblBorders>
      <w:tblCellMar>
        <w:top w:w="0" w:type="dxa"/>
        <w:left w:w="108" w:type="dxa"/>
        <w:bottom w:w="0" w:type="dxa"/>
        <w:right w:w="108" w:type="dxa"/>
      </w:tblCellMar>
    </w:tblPr>
    <w:tblStylePr w:type="firstRow">
      <w:rPr>
        <w:rFonts w:ascii="Arial" w:hAnsi="Arial"/>
        <w:b/>
        <w:color w:val="FFFFFF"/>
        <w:sz w:val="22"/>
      </w:rPr>
      <w:tcPr>
        <w:tcBorders>
          <w:top w:val="single" w:color="5D8AC2" w:sz="4" w:space="0"/>
          <w:left w:val="single" w:color="5D8AC2" w:sz="4" w:space="0"/>
          <w:bottom w:val="single" w:color="5D8AC2" w:sz="4" w:space="0"/>
          <w:right w:val="single" w:color="5D8AC2" w:sz="4" w:space="0"/>
        </w:tcBorders>
        <w:shd w:val="clear" w:color="5D8AC2" w:fill="5D8AC2"/>
      </w:tcPr>
    </w:tblStylePr>
    <w:tblStylePr w:type="lastRow">
      <w:rPr>
        <w:b/>
        <w:color w:val="404040"/>
      </w:rPr>
      <w:tcPr>
        <w:tcBorders>
          <w:top w:val="single" w:color="5D8AC2"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DCE6F2" w:fill="DCE6F2"/>
      </w:tcPr>
    </w:tblStylePr>
    <w:tblStylePr w:type="band1Horz">
      <w:rPr>
        <w:rFonts w:ascii="Arial" w:hAnsi="Arial"/>
        <w:color w:val="404040"/>
        <w:sz w:val="22"/>
      </w:rPr>
      <w:tcPr>
        <w:shd w:val="clear" w:color="DCE6F2" w:fill="DCE6F2"/>
      </w:tcPr>
    </w:tblStylePr>
  </w:style>
  <w:style w:type="table" w:customStyle="1" w:styleId="1506">
    <w:name w:val="Grid Table 4 - Accent 27"/>
    <w:basedOn w:val="13"/>
    <w:uiPriority w:val="59"/>
    <w:rPr>
      <w:sz w:val="22"/>
      <w:szCs w:val="22"/>
      <w:lang w:eastAsia="en-US"/>
    </w:rPr>
    <w:tblPr>
      <w:tblBorders>
        <w:top w:val="single" w:color="DB9B9A" w:sz="4" w:space="0"/>
        <w:left w:val="single" w:color="DB9B9A" w:sz="4" w:space="0"/>
        <w:bottom w:val="single" w:color="DB9B9A" w:sz="4" w:space="0"/>
        <w:right w:val="single" w:color="DB9B9A" w:sz="4" w:space="0"/>
        <w:insideH w:val="single" w:color="DB9B9A" w:sz="4" w:space="0"/>
        <w:insideV w:val="single" w:color="DB9B9A" w:sz="4" w:space="0"/>
      </w:tblBorders>
      <w:tblCellMar>
        <w:top w:w="0" w:type="dxa"/>
        <w:left w:w="108" w:type="dxa"/>
        <w:bottom w:w="0" w:type="dxa"/>
        <w:right w:w="108" w:type="dxa"/>
      </w:tblCellMar>
    </w:tblPr>
    <w:tblStylePr w:type="firstRow">
      <w:rPr>
        <w:rFonts w:ascii="Arial" w:hAnsi="Arial"/>
        <w:b/>
        <w:color w:val="FFFFFF"/>
        <w:sz w:val="22"/>
      </w:rPr>
      <w:tcPr>
        <w:tcBorders>
          <w:top w:val="single" w:color="D99695" w:sz="4" w:space="0"/>
          <w:left w:val="single" w:color="D99695" w:sz="4" w:space="0"/>
          <w:bottom w:val="single" w:color="D99695" w:sz="4" w:space="0"/>
          <w:right w:val="single" w:color="D99695" w:sz="4" w:space="0"/>
        </w:tcBorders>
        <w:shd w:val="clear" w:color="D99695" w:fill="D99695"/>
      </w:tcPr>
    </w:tblStylePr>
    <w:tblStylePr w:type="lastRow">
      <w:rPr>
        <w:b/>
        <w:color w:val="404040"/>
      </w:rPr>
      <w:tcPr>
        <w:tcBorders>
          <w:top w:val="single" w:color="D99695"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F2DCDC" w:fill="F2DCDC"/>
      </w:tcPr>
    </w:tblStylePr>
    <w:tblStylePr w:type="band1Horz">
      <w:rPr>
        <w:rFonts w:ascii="Arial" w:hAnsi="Arial"/>
        <w:color w:val="404040"/>
        <w:sz w:val="22"/>
      </w:rPr>
      <w:tcPr>
        <w:shd w:val="clear" w:color="F2DCDC" w:fill="F2DCDC"/>
      </w:tcPr>
    </w:tblStylePr>
  </w:style>
  <w:style w:type="table" w:customStyle="1" w:styleId="1507">
    <w:name w:val="Grid Table 4 - Accent 37"/>
    <w:basedOn w:val="13"/>
    <w:uiPriority w:val="59"/>
    <w:rPr>
      <w:sz w:val="22"/>
      <w:szCs w:val="22"/>
      <w:lang w:eastAsia="en-US"/>
    </w:rPr>
    <w:tblPr>
      <w:tblBorders>
        <w:top w:val="single" w:color="C6D8A1" w:sz="4" w:space="0"/>
        <w:left w:val="single" w:color="C6D8A1" w:sz="4" w:space="0"/>
        <w:bottom w:val="single" w:color="C6D8A1" w:sz="4" w:space="0"/>
        <w:right w:val="single" w:color="C6D8A1" w:sz="4" w:space="0"/>
        <w:insideH w:val="single" w:color="C6D8A1" w:sz="4" w:space="0"/>
        <w:insideV w:val="single" w:color="C6D8A1" w:sz="4" w:space="0"/>
      </w:tblBorders>
      <w:tblCellMar>
        <w:top w:w="0" w:type="dxa"/>
        <w:left w:w="108" w:type="dxa"/>
        <w:bottom w:w="0" w:type="dxa"/>
        <w:right w:w="108" w:type="dxa"/>
      </w:tblCellMar>
    </w:tblPr>
    <w:tblStylePr w:type="firstRow">
      <w:rPr>
        <w:rFonts w:ascii="Arial" w:hAnsi="Arial"/>
        <w:b/>
        <w:color w:val="FFFFFF"/>
        <w:sz w:val="22"/>
      </w:rPr>
      <w:tcPr>
        <w:tcBorders>
          <w:top w:val="single" w:color="9ABB59" w:sz="4" w:space="0"/>
          <w:left w:val="single" w:color="9ABB59" w:sz="4" w:space="0"/>
          <w:bottom w:val="single" w:color="9ABB59" w:sz="4" w:space="0"/>
          <w:right w:val="single" w:color="9ABB59" w:sz="4" w:space="0"/>
        </w:tcBorders>
        <w:shd w:val="clear" w:color="9ABB59" w:fill="9ABB59"/>
      </w:tcPr>
    </w:tblStylePr>
    <w:tblStylePr w:type="lastRow">
      <w:rPr>
        <w:b/>
        <w:color w:val="404040"/>
      </w:rPr>
      <w:tcPr>
        <w:tcBorders>
          <w:top w:val="single" w:color="9ABB59"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EAF1DC" w:fill="EAF1DC"/>
      </w:tcPr>
    </w:tblStylePr>
    <w:tblStylePr w:type="band1Horz">
      <w:rPr>
        <w:rFonts w:ascii="Arial" w:hAnsi="Arial"/>
        <w:color w:val="404040"/>
        <w:sz w:val="22"/>
      </w:rPr>
      <w:tcPr>
        <w:shd w:val="clear" w:color="EAF1DC" w:fill="EAF1DC"/>
      </w:tcPr>
    </w:tblStylePr>
  </w:style>
  <w:style w:type="table" w:customStyle="1" w:styleId="1508">
    <w:name w:val="Grid Table 4 - Accent 47"/>
    <w:basedOn w:val="13"/>
    <w:uiPriority w:val="59"/>
    <w:rPr>
      <w:sz w:val="22"/>
      <w:szCs w:val="22"/>
      <w:lang w:eastAsia="en-US"/>
    </w:rPr>
    <w:tblPr>
      <w:tblBorders>
        <w:top w:val="single" w:color="B7A7CA" w:sz="4" w:space="0"/>
        <w:left w:val="single" w:color="B7A7CA" w:sz="4" w:space="0"/>
        <w:bottom w:val="single" w:color="B7A7CA" w:sz="4" w:space="0"/>
        <w:right w:val="single" w:color="B7A7CA" w:sz="4" w:space="0"/>
        <w:insideH w:val="single" w:color="B7A7CA" w:sz="4" w:space="0"/>
        <w:insideV w:val="single" w:color="B7A7CA" w:sz="4" w:space="0"/>
      </w:tblBorders>
      <w:tblCellMar>
        <w:top w:w="0" w:type="dxa"/>
        <w:left w:w="108" w:type="dxa"/>
        <w:bottom w:w="0" w:type="dxa"/>
        <w:right w:w="108" w:type="dxa"/>
      </w:tblCellMar>
    </w:tblPr>
    <w:tblStylePr w:type="firstRow">
      <w:rPr>
        <w:rFonts w:ascii="Arial" w:hAnsi="Arial"/>
        <w:b/>
        <w:color w:val="FFFFFF"/>
        <w:sz w:val="22"/>
      </w:rPr>
      <w:tcPr>
        <w:tcBorders>
          <w:top w:val="single" w:color="B2A1C6" w:sz="4" w:space="0"/>
          <w:left w:val="single" w:color="B2A1C6" w:sz="4" w:space="0"/>
          <w:bottom w:val="single" w:color="B2A1C6" w:sz="4" w:space="0"/>
          <w:right w:val="single" w:color="B2A1C6" w:sz="4" w:space="0"/>
        </w:tcBorders>
        <w:shd w:val="clear" w:color="B2A1C6" w:fill="B2A1C6"/>
      </w:tcPr>
    </w:tblStylePr>
    <w:tblStylePr w:type="lastRow">
      <w:rPr>
        <w:b/>
        <w:color w:val="404040"/>
      </w:rPr>
      <w:tcPr>
        <w:tcBorders>
          <w:top w:val="single" w:color="B2A1C6"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E5DFEC" w:fill="E5DFEC"/>
      </w:tcPr>
    </w:tblStylePr>
    <w:tblStylePr w:type="band1Horz">
      <w:rPr>
        <w:rFonts w:ascii="Arial" w:hAnsi="Arial"/>
        <w:color w:val="404040"/>
        <w:sz w:val="22"/>
      </w:rPr>
      <w:tcPr>
        <w:shd w:val="clear" w:color="E5DFEC" w:fill="E5DFEC"/>
      </w:tcPr>
    </w:tblStylePr>
  </w:style>
  <w:style w:type="table" w:customStyle="1" w:styleId="1509">
    <w:name w:val="Grid Table 4 - Accent 57"/>
    <w:basedOn w:val="13"/>
    <w:uiPriority w:val="59"/>
    <w:rPr>
      <w:sz w:val="22"/>
      <w:szCs w:val="22"/>
      <w:lang w:eastAsia="en-US"/>
    </w:rPr>
    <w:tblPr>
      <w:tblBorders>
        <w:top w:val="single" w:color="99D0DE" w:sz="4" w:space="0"/>
        <w:left w:val="single" w:color="99D0DE" w:sz="4" w:space="0"/>
        <w:bottom w:val="single" w:color="99D0DE" w:sz="4" w:space="0"/>
        <w:right w:val="single" w:color="99D0DE" w:sz="4" w:space="0"/>
        <w:insideH w:val="single" w:color="99D0DE" w:sz="4" w:space="0"/>
        <w:insideV w:val="single" w:color="99D0DE" w:sz="4" w:space="0"/>
      </w:tblBorders>
      <w:tblCellMar>
        <w:top w:w="0" w:type="dxa"/>
        <w:left w:w="108" w:type="dxa"/>
        <w:bottom w:w="0" w:type="dxa"/>
        <w:right w:w="108" w:type="dxa"/>
      </w:tblCellMar>
    </w:tblPr>
    <w:tblStylePr w:type="firstRow">
      <w:rPr>
        <w:rFonts w:ascii="Arial" w:hAnsi="Arial"/>
        <w:b/>
        <w:color w:val="FFFFFF"/>
        <w:sz w:val="22"/>
      </w:rPr>
      <w:tcPr>
        <w:tcBorders>
          <w:top w:val="single" w:color="4BACC6" w:sz="4" w:space="0"/>
          <w:left w:val="single" w:color="4BACC6" w:sz="4" w:space="0"/>
          <w:bottom w:val="single" w:color="4BACC6" w:sz="4" w:space="0"/>
          <w:right w:val="single" w:color="4BACC6" w:sz="4" w:space="0"/>
        </w:tcBorders>
        <w:shd w:val="clear" w:color="4BACC6" w:fill="4BACC6"/>
      </w:tcPr>
    </w:tblStylePr>
    <w:tblStylePr w:type="lastRow">
      <w:rPr>
        <w:b/>
        <w:color w:val="404040"/>
      </w:rPr>
      <w:tcPr>
        <w:tcBorders>
          <w:top w:val="single" w:color="4BACC6"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DAEEF3" w:fill="DAEEF3"/>
      </w:tcPr>
    </w:tblStylePr>
    <w:tblStylePr w:type="band1Horz">
      <w:rPr>
        <w:rFonts w:ascii="Arial" w:hAnsi="Arial"/>
        <w:color w:val="404040"/>
        <w:sz w:val="22"/>
      </w:rPr>
      <w:tcPr>
        <w:shd w:val="clear" w:color="DAEEF3" w:fill="DAEEF3"/>
      </w:tcPr>
    </w:tblStylePr>
  </w:style>
  <w:style w:type="table" w:customStyle="1" w:styleId="1510">
    <w:name w:val="Grid Table 4 - Accent 67"/>
    <w:basedOn w:val="13"/>
    <w:uiPriority w:val="59"/>
    <w:rPr>
      <w:sz w:val="22"/>
      <w:szCs w:val="22"/>
      <w:lang w:eastAsia="en-US"/>
    </w:rPr>
    <w:tblPr>
      <w:tblBorders>
        <w:top w:val="single" w:color="FAC396" w:sz="4" w:space="0"/>
        <w:left w:val="single" w:color="FAC396" w:sz="4" w:space="0"/>
        <w:bottom w:val="single" w:color="FAC396" w:sz="4" w:space="0"/>
        <w:right w:val="single" w:color="FAC396" w:sz="4" w:space="0"/>
        <w:insideH w:val="single" w:color="FAC396" w:sz="4" w:space="0"/>
        <w:insideV w:val="single" w:color="FAC396" w:sz="4" w:space="0"/>
      </w:tblBorders>
      <w:tblCellMar>
        <w:top w:w="0" w:type="dxa"/>
        <w:left w:w="108" w:type="dxa"/>
        <w:bottom w:w="0" w:type="dxa"/>
        <w:right w:w="108" w:type="dxa"/>
      </w:tblCellMar>
    </w:tblPr>
    <w:tblStylePr w:type="firstRow">
      <w:rPr>
        <w:rFonts w:ascii="Arial" w:hAnsi="Arial"/>
        <w:b/>
        <w:color w:val="FFFFFF"/>
        <w:sz w:val="22"/>
      </w:rPr>
      <w:tcPr>
        <w:tcBorders>
          <w:top w:val="single" w:color="F79646" w:sz="4" w:space="0"/>
          <w:left w:val="single" w:color="F79646" w:sz="4" w:space="0"/>
          <w:bottom w:val="single" w:color="F79646" w:sz="4" w:space="0"/>
          <w:right w:val="single" w:color="F79646" w:sz="4" w:space="0"/>
        </w:tcBorders>
        <w:shd w:val="clear" w:color="F79646" w:fill="F79646"/>
      </w:tcPr>
    </w:tblStylePr>
    <w:tblStylePr w:type="lastRow">
      <w:rPr>
        <w:b/>
        <w:color w:val="404040"/>
      </w:rPr>
      <w:tcPr>
        <w:tcBorders>
          <w:top w:val="single" w:color="F79646"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FDE9D8" w:fill="FDE9D8"/>
      </w:tcPr>
    </w:tblStylePr>
    <w:tblStylePr w:type="band1Horz">
      <w:rPr>
        <w:rFonts w:ascii="Arial" w:hAnsi="Arial"/>
        <w:color w:val="404040"/>
        <w:sz w:val="22"/>
      </w:rPr>
      <w:tcPr>
        <w:shd w:val="clear" w:color="FDE9D8" w:fill="FDE9D8"/>
      </w:tcPr>
    </w:tblStylePr>
  </w:style>
  <w:style w:type="table" w:customStyle="1" w:styleId="1511">
    <w:name w:val="Таблица-сетка 5 темная15"/>
    <w:basedOn w:val="13"/>
    <w:uiPriority w:val="99"/>
    <w:rPr>
      <w:sz w:val="22"/>
      <w:szCs w:val="22"/>
      <w:lang w:eastAsia="en-US"/>
    </w:rPr>
    <w:tblPr>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CellMar>
        <w:top w:w="0" w:type="dxa"/>
        <w:left w:w="108" w:type="dxa"/>
        <w:bottom w:w="0" w:type="dxa"/>
        <w:right w:w="108" w:type="dxa"/>
      </w:tblCellMar>
    </w:tblPr>
    <w:tblStylePr w:type="firstRow">
      <w:rPr>
        <w:rFonts w:ascii="Arial" w:hAnsi="Arial"/>
        <w:b/>
        <w:color w:val="FFFFFF"/>
        <w:sz w:val="22"/>
      </w:rPr>
      <w:tcPr>
        <w:shd w:val="clear" w:color="000000" w:fill="000000"/>
      </w:tcPr>
    </w:tblStylePr>
    <w:tblStylePr w:type="lastRow">
      <w:rPr>
        <w:rFonts w:ascii="Arial" w:hAnsi="Arial"/>
        <w:b/>
        <w:color w:val="FFFFFF"/>
        <w:sz w:val="22"/>
      </w:rPr>
      <w:tcPr>
        <w:tcBorders>
          <w:top w:val="single" w:color="FFFFFF" w:sz="4" w:space="0"/>
        </w:tcBorders>
        <w:shd w:val="clear" w:color="000000" w:fill="000000"/>
      </w:tcPr>
    </w:tblStylePr>
    <w:tblStylePr w:type="firstCol">
      <w:rPr>
        <w:rFonts w:ascii="Arial" w:hAnsi="Arial"/>
        <w:b/>
        <w:color w:val="FFFFFF"/>
        <w:sz w:val="22"/>
      </w:rPr>
      <w:tcPr>
        <w:shd w:val="clear" w:color="000000" w:fill="000000"/>
      </w:tcPr>
    </w:tblStylePr>
    <w:tblStylePr w:type="lastCol">
      <w:rPr>
        <w:rFonts w:ascii="Arial" w:hAnsi="Arial"/>
        <w:b/>
        <w:color w:val="FFFFFF"/>
        <w:sz w:val="22"/>
      </w:rPr>
      <w:tcPr>
        <w:shd w:val="clear" w:color="000000" w:fill="000000"/>
      </w:tcPr>
    </w:tblStylePr>
    <w:tblStylePr w:type="band1Vert">
      <w:tcPr>
        <w:shd w:val="clear" w:color="8A8A8A" w:fill="8A8A8A"/>
      </w:tcPr>
    </w:tblStylePr>
    <w:tblStylePr w:type="band1Horz">
      <w:tcPr>
        <w:shd w:val="clear" w:color="8A8A8A" w:fill="8A8A8A"/>
      </w:tcPr>
    </w:tblStylePr>
  </w:style>
  <w:style w:type="table" w:customStyle="1" w:styleId="1512">
    <w:name w:val="Grid Table 5 Dark- Accent 17"/>
    <w:basedOn w:val="13"/>
    <w:uiPriority w:val="99"/>
    <w:rPr>
      <w:sz w:val="22"/>
      <w:szCs w:val="22"/>
      <w:lang w:eastAsia="en-US"/>
    </w:rPr>
    <w:tblPr>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CellMar>
        <w:top w:w="0" w:type="dxa"/>
        <w:left w:w="108" w:type="dxa"/>
        <w:bottom w:w="0" w:type="dxa"/>
        <w:right w:w="108" w:type="dxa"/>
      </w:tblCellMar>
    </w:tblPr>
    <w:tblStylePr w:type="firstRow">
      <w:rPr>
        <w:rFonts w:ascii="Arial" w:hAnsi="Arial"/>
        <w:b/>
        <w:color w:val="FFFFFF"/>
        <w:sz w:val="22"/>
      </w:rPr>
      <w:tcPr>
        <w:shd w:val="clear" w:color="4F81BD" w:fill="4F81BD"/>
      </w:tcPr>
    </w:tblStylePr>
    <w:tblStylePr w:type="lastRow">
      <w:rPr>
        <w:rFonts w:ascii="Arial" w:hAnsi="Arial"/>
        <w:b/>
        <w:color w:val="FFFFFF"/>
        <w:sz w:val="22"/>
      </w:rPr>
      <w:tcPr>
        <w:tcBorders>
          <w:top w:val="single" w:color="FFFFFF" w:sz="4" w:space="0"/>
        </w:tcBorders>
        <w:shd w:val="clear" w:color="4F81BD" w:fill="4F81BD"/>
      </w:tcPr>
    </w:tblStylePr>
    <w:tblStylePr w:type="firstCol">
      <w:rPr>
        <w:rFonts w:ascii="Arial" w:hAnsi="Arial"/>
        <w:b/>
        <w:color w:val="FFFFFF"/>
        <w:sz w:val="22"/>
      </w:rPr>
      <w:tcPr>
        <w:shd w:val="clear" w:color="4F81BD" w:fill="4F81BD"/>
      </w:tcPr>
    </w:tblStylePr>
    <w:tblStylePr w:type="lastCol">
      <w:rPr>
        <w:rFonts w:ascii="Arial" w:hAnsi="Arial"/>
        <w:b/>
        <w:color w:val="FFFFFF"/>
        <w:sz w:val="22"/>
      </w:rPr>
      <w:tcPr>
        <w:shd w:val="clear" w:color="4F81BD" w:fill="4F81BD"/>
      </w:tcPr>
    </w:tblStylePr>
    <w:tblStylePr w:type="band1Vert">
      <w:tcPr>
        <w:shd w:val="clear" w:color="AEC4E0" w:fill="AEC4E0"/>
      </w:tcPr>
    </w:tblStylePr>
    <w:tblStylePr w:type="band1Horz">
      <w:tcPr>
        <w:shd w:val="clear" w:color="AEC4E0" w:fill="AEC4E0"/>
      </w:tcPr>
    </w:tblStylePr>
  </w:style>
  <w:style w:type="table" w:customStyle="1" w:styleId="1513">
    <w:name w:val="Grid Table 5 Dark - Accent 27"/>
    <w:basedOn w:val="13"/>
    <w:uiPriority w:val="99"/>
    <w:rPr>
      <w:sz w:val="22"/>
      <w:szCs w:val="22"/>
      <w:lang w:eastAsia="en-US"/>
    </w:rPr>
    <w:tblPr>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CellMar>
        <w:top w:w="0" w:type="dxa"/>
        <w:left w:w="108" w:type="dxa"/>
        <w:bottom w:w="0" w:type="dxa"/>
        <w:right w:w="108" w:type="dxa"/>
      </w:tblCellMar>
    </w:tblPr>
    <w:tblStylePr w:type="firstRow">
      <w:rPr>
        <w:rFonts w:ascii="Arial" w:hAnsi="Arial"/>
        <w:b/>
        <w:color w:val="FFFFFF"/>
        <w:sz w:val="22"/>
      </w:rPr>
      <w:tcPr>
        <w:shd w:val="clear" w:color="C0504D" w:fill="C0504D"/>
      </w:tcPr>
    </w:tblStylePr>
    <w:tblStylePr w:type="lastRow">
      <w:rPr>
        <w:rFonts w:ascii="Arial" w:hAnsi="Arial"/>
        <w:b/>
        <w:color w:val="FFFFFF"/>
        <w:sz w:val="22"/>
      </w:rPr>
      <w:tcPr>
        <w:tcBorders>
          <w:top w:val="single" w:color="FFFFFF" w:sz="4" w:space="0"/>
        </w:tcBorders>
        <w:shd w:val="clear" w:color="C0504D" w:fill="C0504D"/>
      </w:tcPr>
    </w:tblStylePr>
    <w:tblStylePr w:type="firstCol">
      <w:rPr>
        <w:rFonts w:ascii="Arial" w:hAnsi="Arial"/>
        <w:b/>
        <w:color w:val="FFFFFF"/>
        <w:sz w:val="22"/>
      </w:rPr>
      <w:tcPr>
        <w:shd w:val="clear" w:color="C0504D" w:fill="C0504D"/>
      </w:tcPr>
    </w:tblStylePr>
    <w:tblStylePr w:type="lastCol">
      <w:rPr>
        <w:rFonts w:ascii="Arial" w:hAnsi="Arial"/>
        <w:b/>
        <w:color w:val="FFFFFF"/>
        <w:sz w:val="22"/>
      </w:rPr>
      <w:tcPr>
        <w:shd w:val="clear" w:color="C0504D" w:fill="C0504D"/>
      </w:tcPr>
    </w:tblStylePr>
    <w:tblStylePr w:type="band1Vert">
      <w:tcPr>
        <w:shd w:val="clear" w:color="E2AEAD" w:fill="E2AEAD"/>
      </w:tcPr>
    </w:tblStylePr>
    <w:tblStylePr w:type="band1Horz">
      <w:tcPr>
        <w:shd w:val="clear" w:color="E2AEAD" w:fill="E2AEAD"/>
      </w:tcPr>
    </w:tblStylePr>
  </w:style>
  <w:style w:type="table" w:customStyle="1" w:styleId="1514">
    <w:name w:val="Grid Table 5 Dark - Accent 37"/>
    <w:basedOn w:val="13"/>
    <w:uiPriority w:val="99"/>
    <w:rPr>
      <w:sz w:val="22"/>
      <w:szCs w:val="22"/>
      <w:lang w:eastAsia="en-US"/>
    </w:rPr>
    <w:tblPr>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CellMar>
        <w:top w:w="0" w:type="dxa"/>
        <w:left w:w="108" w:type="dxa"/>
        <w:bottom w:w="0" w:type="dxa"/>
        <w:right w:w="108" w:type="dxa"/>
      </w:tblCellMar>
    </w:tblPr>
    <w:tblStylePr w:type="firstRow">
      <w:rPr>
        <w:rFonts w:ascii="Arial" w:hAnsi="Arial"/>
        <w:b/>
        <w:color w:val="FFFFFF"/>
        <w:sz w:val="22"/>
      </w:rPr>
      <w:tcPr>
        <w:shd w:val="clear" w:color="9BBB59" w:fill="9BBB59"/>
      </w:tcPr>
    </w:tblStylePr>
    <w:tblStylePr w:type="lastRow">
      <w:rPr>
        <w:rFonts w:ascii="Arial" w:hAnsi="Arial"/>
        <w:b/>
        <w:color w:val="FFFFFF"/>
        <w:sz w:val="22"/>
      </w:rPr>
      <w:tcPr>
        <w:tcBorders>
          <w:top w:val="single" w:color="FFFFFF" w:sz="4" w:space="0"/>
        </w:tcBorders>
        <w:shd w:val="clear" w:color="9BBB59" w:fill="9BBB59"/>
      </w:tcPr>
    </w:tblStylePr>
    <w:tblStylePr w:type="firstCol">
      <w:rPr>
        <w:rFonts w:ascii="Arial" w:hAnsi="Arial"/>
        <w:b/>
        <w:color w:val="FFFFFF"/>
        <w:sz w:val="22"/>
      </w:rPr>
      <w:tcPr>
        <w:shd w:val="clear" w:color="9BBB59" w:fill="9BBB59"/>
      </w:tcPr>
    </w:tblStylePr>
    <w:tblStylePr w:type="lastCol">
      <w:rPr>
        <w:rFonts w:ascii="Arial" w:hAnsi="Arial"/>
        <w:b/>
        <w:color w:val="FFFFFF"/>
        <w:sz w:val="22"/>
      </w:rPr>
      <w:tcPr>
        <w:shd w:val="clear" w:color="9BBB59" w:fill="9BBB59"/>
      </w:tcPr>
    </w:tblStylePr>
    <w:tblStylePr w:type="band1Vert">
      <w:tcPr>
        <w:shd w:val="clear" w:color="D0DFB2" w:fill="D0DFB2"/>
      </w:tcPr>
    </w:tblStylePr>
    <w:tblStylePr w:type="band1Horz">
      <w:tcPr>
        <w:shd w:val="clear" w:color="D0DFB2" w:fill="D0DFB2"/>
      </w:tcPr>
    </w:tblStylePr>
  </w:style>
  <w:style w:type="table" w:customStyle="1" w:styleId="1515">
    <w:name w:val="Grid Table 5 Dark- Accent 47"/>
    <w:basedOn w:val="13"/>
    <w:uiPriority w:val="99"/>
    <w:rPr>
      <w:sz w:val="22"/>
      <w:szCs w:val="22"/>
      <w:lang w:eastAsia="en-US"/>
    </w:rPr>
    <w:tblPr>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CellMar>
        <w:top w:w="0" w:type="dxa"/>
        <w:left w:w="108" w:type="dxa"/>
        <w:bottom w:w="0" w:type="dxa"/>
        <w:right w:w="108" w:type="dxa"/>
      </w:tblCellMar>
    </w:tblPr>
    <w:tblStylePr w:type="firstRow">
      <w:rPr>
        <w:rFonts w:ascii="Arial" w:hAnsi="Arial"/>
        <w:b/>
        <w:color w:val="FFFFFF"/>
        <w:sz w:val="22"/>
      </w:rPr>
      <w:tcPr>
        <w:shd w:val="clear" w:color="8064A2" w:fill="8064A2"/>
      </w:tcPr>
    </w:tblStylePr>
    <w:tblStylePr w:type="lastRow">
      <w:rPr>
        <w:rFonts w:ascii="Arial" w:hAnsi="Arial"/>
        <w:b/>
        <w:color w:val="FFFFFF"/>
        <w:sz w:val="22"/>
      </w:rPr>
      <w:tcPr>
        <w:tcBorders>
          <w:top w:val="single" w:color="FFFFFF" w:sz="4" w:space="0"/>
        </w:tcBorders>
        <w:shd w:val="clear" w:color="8064A2" w:fill="8064A2"/>
      </w:tcPr>
    </w:tblStylePr>
    <w:tblStylePr w:type="firstCol">
      <w:rPr>
        <w:rFonts w:ascii="Arial" w:hAnsi="Arial"/>
        <w:b/>
        <w:color w:val="FFFFFF"/>
        <w:sz w:val="22"/>
      </w:rPr>
      <w:tcPr>
        <w:shd w:val="clear" w:color="8064A2" w:fill="8064A2"/>
      </w:tcPr>
    </w:tblStylePr>
    <w:tblStylePr w:type="lastCol">
      <w:rPr>
        <w:rFonts w:ascii="Arial" w:hAnsi="Arial"/>
        <w:b/>
        <w:color w:val="FFFFFF"/>
        <w:sz w:val="22"/>
      </w:rPr>
      <w:tcPr>
        <w:shd w:val="clear" w:color="8064A2" w:fill="8064A2"/>
      </w:tcPr>
    </w:tblStylePr>
    <w:tblStylePr w:type="band1Vert">
      <w:tcPr>
        <w:shd w:val="clear" w:color="C4B7D4" w:fill="C4B7D4"/>
      </w:tcPr>
    </w:tblStylePr>
    <w:tblStylePr w:type="band1Horz">
      <w:tcPr>
        <w:shd w:val="clear" w:color="C4B7D4" w:fill="C4B7D4"/>
      </w:tcPr>
    </w:tblStylePr>
  </w:style>
  <w:style w:type="table" w:customStyle="1" w:styleId="1516">
    <w:name w:val="Grid Table 5 Dark - Accent 57"/>
    <w:basedOn w:val="13"/>
    <w:uiPriority w:val="99"/>
    <w:rPr>
      <w:sz w:val="22"/>
      <w:szCs w:val="22"/>
      <w:lang w:eastAsia="en-US"/>
    </w:rPr>
    <w:tblPr>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CellMar>
        <w:top w:w="0" w:type="dxa"/>
        <w:left w:w="108" w:type="dxa"/>
        <w:bottom w:w="0" w:type="dxa"/>
        <w:right w:w="108" w:type="dxa"/>
      </w:tblCellMar>
    </w:tblPr>
    <w:tblStylePr w:type="firstRow">
      <w:rPr>
        <w:rFonts w:ascii="Arial" w:hAnsi="Arial"/>
        <w:b/>
        <w:color w:val="FFFFFF"/>
        <w:sz w:val="22"/>
      </w:rPr>
      <w:tcPr>
        <w:shd w:val="clear" w:color="4BACC6" w:fill="4BACC6"/>
      </w:tcPr>
    </w:tblStylePr>
    <w:tblStylePr w:type="lastRow">
      <w:rPr>
        <w:rFonts w:ascii="Arial" w:hAnsi="Arial"/>
        <w:b/>
        <w:color w:val="FFFFFF"/>
        <w:sz w:val="22"/>
      </w:rPr>
      <w:tcPr>
        <w:tcBorders>
          <w:top w:val="single" w:color="FFFFFF" w:sz="4" w:space="0"/>
        </w:tcBorders>
        <w:shd w:val="clear" w:color="4BACC6" w:fill="4BACC6"/>
      </w:tcPr>
    </w:tblStylePr>
    <w:tblStylePr w:type="firstCol">
      <w:rPr>
        <w:rFonts w:ascii="Arial" w:hAnsi="Arial"/>
        <w:b/>
        <w:color w:val="FFFFFF"/>
        <w:sz w:val="22"/>
      </w:rPr>
      <w:tcPr>
        <w:shd w:val="clear" w:color="4BACC6" w:fill="4BACC6"/>
      </w:tcPr>
    </w:tblStylePr>
    <w:tblStylePr w:type="lastCol">
      <w:rPr>
        <w:rFonts w:ascii="Arial" w:hAnsi="Arial"/>
        <w:b/>
        <w:color w:val="FFFFFF"/>
        <w:sz w:val="22"/>
      </w:rPr>
      <w:tcPr>
        <w:shd w:val="clear" w:color="4BACC6" w:fill="4BACC6"/>
      </w:tcPr>
    </w:tblStylePr>
    <w:tblStylePr w:type="band1Vert">
      <w:tcPr>
        <w:shd w:val="clear" w:color="ACD8E4" w:fill="ACD8E4"/>
      </w:tcPr>
    </w:tblStylePr>
    <w:tblStylePr w:type="band1Horz">
      <w:tcPr>
        <w:shd w:val="clear" w:color="ACD8E4" w:fill="ACD8E4"/>
      </w:tcPr>
    </w:tblStylePr>
  </w:style>
  <w:style w:type="table" w:customStyle="1" w:styleId="1517">
    <w:name w:val="Grid Table 5 Dark - Accent 67"/>
    <w:basedOn w:val="13"/>
    <w:uiPriority w:val="99"/>
    <w:rPr>
      <w:sz w:val="22"/>
      <w:szCs w:val="22"/>
      <w:lang w:eastAsia="en-US"/>
    </w:rPr>
    <w:tblPr>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CellMar>
        <w:top w:w="0" w:type="dxa"/>
        <w:left w:w="108" w:type="dxa"/>
        <w:bottom w:w="0" w:type="dxa"/>
        <w:right w:w="108" w:type="dxa"/>
      </w:tblCellMar>
    </w:tblPr>
    <w:tblStylePr w:type="firstRow">
      <w:rPr>
        <w:rFonts w:ascii="Arial" w:hAnsi="Arial"/>
        <w:b/>
        <w:color w:val="FFFFFF"/>
        <w:sz w:val="22"/>
      </w:rPr>
      <w:tcPr>
        <w:shd w:val="clear" w:color="F79646" w:fill="F79646"/>
      </w:tcPr>
    </w:tblStylePr>
    <w:tblStylePr w:type="lastRow">
      <w:rPr>
        <w:rFonts w:ascii="Arial" w:hAnsi="Arial"/>
        <w:b/>
        <w:color w:val="FFFFFF"/>
        <w:sz w:val="22"/>
      </w:rPr>
      <w:tcPr>
        <w:tcBorders>
          <w:top w:val="single" w:color="FFFFFF" w:sz="4" w:space="0"/>
        </w:tcBorders>
        <w:shd w:val="clear" w:color="F79646" w:fill="F79646"/>
      </w:tcPr>
    </w:tblStylePr>
    <w:tblStylePr w:type="firstCol">
      <w:rPr>
        <w:rFonts w:ascii="Arial" w:hAnsi="Arial"/>
        <w:b/>
        <w:color w:val="FFFFFF"/>
        <w:sz w:val="22"/>
      </w:rPr>
      <w:tcPr>
        <w:shd w:val="clear" w:color="F79646" w:fill="F79646"/>
      </w:tcPr>
    </w:tblStylePr>
    <w:tblStylePr w:type="lastCol">
      <w:rPr>
        <w:rFonts w:ascii="Arial" w:hAnsi="Arial"/>
        <w:b/>
        <w:color w:val="FFFFFF"/>
        <w:sz w:val="22"/>
      </w:rPr>
      <w:tcPr>
        <w:shd w:val="clear" w:color="F79646" w:fill="F79646"/>
      </w:tcPr>
    </w:tblStylePr>
    <w:tblStylePr w:type="band1Vert">
      <w:tcPr>
        <w:shd w:val="clear" w:color="FBCEAA" w:fill="FBCEAA"/>
      </w:tcPr>
    </w:tblStylePr>
    <w:tblStylePr w:type="band1Horz">
      <w:tcPr>
        <w:shd w:val="clear" w:color="FBCEAA" w:fill="FBCEAA"/>
      </w:tcPr>
    </w:tblStylePr>
  </w:style>
  <w:style w:type="table" w:customStyle="1" w:styleId="1518">
    <w:name w:val="Таблица-сетка 6 цветная15"/>
    <w:basedOn w:val="13"/>
    <w:uiPriority w:val="99"/>
    <w:rPr>
      <w:sz w:val="22"/>
      <w:szCs w:val="22"/>
      <w:lang w:eastAsia="en-US"/>
    </w:rPr>
    <w:tblPr>
      <w:tblBorders>
        <w:top w:val="single" w:color="7F7F7F" w:sz="4" w:space="0"/>
        <w:left w:val="single" w:color="7F7F7F" w:sz="4" w:space="0"/>
        <w:bottom w:val="single" w:color="7F7F7F" w:sz="4" w:space="0"/>
        <w:right w:val="single" w:color="7F7F7F" w:sz="4" w:space="0"/>
        <w:insideH w:val="single" w:color="7F7F7F" w:sz="4" w:space="0"/>
        <w:insideV w:val="single" w:color="7F7F7F" w:sz="4" w:space="0"/>
      </w:tblBorders>
      <w:tblCellMar>
        <w:top w:w="0" w:type="dxa"/>
        <w:left w:w="108" w:type="dxa"/>
        <w:bottom w:w="0" w:type="dxa"/>
        <w:right w:w="108" w:type="dxa"/>
      </w:tblCellMar>
    </w:tblPr>
    <w:tblStylePr w:type="firstRow">
      <w:rPr>
        <w:b/>
        <w:color w:val="7F7F7F"/>
      </w:rPr>
      <w:tcPr>
        <w:tcBorders>
          <w:bottom w:val="single" w:color="7F7F7F" w:sz="12" w:space="0"/>
        </w:tcBorders>
      </w:tcPr>
    </w:tblStylePr>
    <w:tblStylePr w:type="lastRow">
      <w:rPr>
        <w:b/>
        <w:color w:val="7F7F7F"/>
      </w:rPr>
    </w:tblStylePr>
    <w:tblStylePr w:type="firstCol">
      <w:rPr>
        <w:b/>
        <w:color w:val="7F7F7F"/>
      </w:rPr>
    </w:tblStylePr>
    <w:tblStylePr w:type="lastCol">
      <w:rPr>
        <w:b/>
        <w:color w:val="7F7F7F"/>
      </w:rPr>
    </w:tblStylePr>
    <w:tblStylePr w:type="band1Vert">
      <w:tcPr>
        <w:shd w:val="clear" w:color="CBCBCB" w:fill="CBCBCB"/>
      </w:tcPr>
    </w:tblStylePr>
    <w:tblStylePr w:type="band1Horz">
      <w:rPr>
        <w:rFonts w:ascii="Arial" w:hAnsi="Arial"/>
        <w:color w:val="7F7F7F"/>
        <w:sz w:val="22"/>
      </w:rPr>
      <w:tcPr>
        <w:shd w:val="clear" w:color="CBCBCB" w:fill="CBCBCB"/>
      </w:tcPr>
    </w:tblStylePr>
    <w:tblStylePr w:type="band2Horz">
      <w:rPr>
        <w:rFonts w:ascii="Arial" w:hAnsi="Arial"/>
        <w:color w:val="7F7F7F"/>
        <w:sz w:val="22"/>
      </w:rPr>
    </w:tblStylePr>
  </w:style>
  <w:style w:type="table" w:customStyle="1" w:styleId="1519">
    <w:name w:val="Grid Table 6 Colorful - Accent 17"/>
    <w:basedOn w:val="13"/>
    <w:uiPriority w:val="99"/>
    <w:rPr>
      <w:sz w:val="22"/>
      <w:szCs w:val="22"/>
      <w:lang w:eastAsia="en-US"/>
    </w:rPr>
    <w:tblPr>
      <w:tblBorders>
        <w:top w:val="single" w:color="A6BFDD" w:sz="4" w:space="0"/>
        <w:left w:val="single" w:color="A6BFDD" w:sz="4" w:space="0"/>
        <w:bottom w:val="single" w:color="A6BFDD" w:sz="4" w:space="0"/>
        <w:right w:val="single" w:color="A6BFDD" w:sz="4" w:space="0"/>
        <w:insideH w:val="single" w:color="A6BFDD" w:sz="4" w:space="0"/>
        <w:insideV w:val="single" w:color="A6BFDD" w:sz="4" w:space="0"/>
      </w:tblBorders>
      <w:tblCellMar>
        <w:top w:w="0" w:type="dxa"/>
        <w:left w:w="108" w:type="dxa"/>
        <w:bottom w:w="0" w:type="dxa"/>
        <w:right w:w="108" w:type="dxa"/>
      </w:tblCellMar>
    </w:tblPr>
    <w:tblStylePr w:type="firstRow">
      <w:rPr>
        <w:b/>
        <w:color w:val="A6BFDD"/>
      </w:rPr>
      <w:tcPr>
        <w:tcBorders>
          <w:bottom w:val="single" w:color="A6BFDD" w:sz="12" w:space="0"/>
        </w:tcBorders>
      </w:tcPr>
    </w:tblStylePr>
    <w:tblStylePr w:type="lastRow">
      <w:rPr>
        <w:b/>
        <w:color w:val="A6BFDD"/>
      </w:rPr>
    </w:tblStylePr>
    <w:tblStylePr w:type="firstCol">
      <w:rPr>
        <w:b/>
        <w:color w:val="A6BFDD"/>
      </w:rPr>
    </w:tblStylePr>
    <w:tblStylePr w:type="lastCol">
      <w:rPr>
        <w:b/>
        <w:color w:val="A6BFDD"/>
      </w:rPr>
    </w:tblStylePr>
    <w:tblStylePr w:type="band1Vert">
      <w:tcPr>
        <w:shd w:val="clear" w:color="DAE5F1" w:fill="DAE5F1"/>
      </w:tcPr>
    </w:tblStylePr>
    <w:tblStylePr w:type="band1Horz">
      <w:rPr>
        <w:rFonts w:ascii="Arial" w:hAnsi="Arial"/>
        <w:color w:val="A6BFDD"/>
        <w:sz w:val="22"/>
      </w:rPr>
      <w:tcPr>
        <w:shd w:val="clear" w:color="DAE5F1" w:fill="DAE5F1"/>
      </w:tcPr>
    </w:tblStylePr>
    <w:tblStylePr w:type="band2Horz">
      <w:rPr>
        <w:rFonts w:ascii="Arial" w:hAnsi="Arial"/>
        <w:color w:val="A6BFDD"/>
        <w:sz w:val="22"/>
      </w:rPr>
    </w:tblStylePr>
  </w:style>
  <w:style w:type="table" w:customStyle="1" w:styleId="1520">
    <w:name w:val="Grid Table 6 Colorful - Accent 27"/>
    <w:basedOn w:val="13"/>
    <w:uiPriority w:val="99"/>
    <w:rPr>
      <w:sz w:val="22"/>
      <w:szCs w:val="22"/>
      <w:lang w:eastAsia="en-US"/>
    </w:rPr>
    <w:tblPr>
      <w:tblBorders>
        <w:top w:val="single" w:color="D99695" w:sz="4" w:space="0"/>
        <w:left w:val="single" w:color="D99695" w:sz="4" w:space="0"/>
        <w:bottom w:val="single" w:color="D99695" w:sz="4" w:space="0"/>
        <w:right w:val="single" w:color="D99695" w:sz="4" w:space="0"/>
        <w:insideH w:val="single" w:color="D99695" w:sz="4" w:space="0"/>
        <w:insideV w:val="single" w:color="D99695" w:sz="4" w:space="0"/>
      </w:tblBorders>
      <w:tblCellMar>
        <w:top w:w="0" w:type="dxa"/>
        <w:left w:w="108" w:type="dxa"/>
        <w:bottom w:w="0" w:type="dxa"/>
        <w:right w:w="108" w:type="dxa"/>
      </w:tblCellMar>
    </w:tblPr>
    <w:tblStylePr w:type="firstRow">
      <w:rPr>
        <w:b/>
        <w:color w:val="D99695"/>
      </w:rPr>
      <w:tcPr>
        <w:tcBorders>
          <w:bottom w:val="single" w:color="D99695" w:sz="12" w:space="0"/>
        </w:tcBorders>
      </w:tcPr>
    </w:tblStylePr>
    <w:tblStylePr w:type="lastRow">
      <w:rPr>
        <w:b/>
        <w:color w:val="D99695"/>
      </w:rPr>
    </w:tblStylePr>
    <w:tblStylePr w:type="firstCol">
      <w:rPr>
        <w:b/>
        <w:color w:val="D99695"/>
      </w:rPr>
    </w:tblStylePr>
    <w:tblStylePr w:type="lastCol">
      <w:rPr>
        <w:b/>
        <w:color w:val="D99695"/>
      </w:rPr>
    </w:tblStylePr>
    <w:tblStylePr w:type="band1Vert">
      <w:tcPr>
        <w:shd w:val="clear" w:color="F2DCDC" w:fill="F2DCDC"/>
      </w:tcPr>
    </w:tblStylePr>
    <w:tblStylePr w:type="band1Horz">
      <w:rPr>
        <w:rFonts w:ascii="Arial" w:hAnsi="Arial"/>
        <w:color w:val="D99695"/>
        <w:sz w:val="22"/>
      </w:rPr>
      <w:tcPr>
        <w:shd w:val="clear" w:color="F2DCDC" w:fill="F2DCDC"/>
      </w:tcPr>
    </w:tblStylePr>
    <w:tblStylePr w:type="band2Horz">
      <w:rPr>
        <w:rFonts w:ascii="Arial" w:hAnsi="Arial"/>
        <w:color w:val="D99695"/>
        <w:sz w:val="22"/>
      </w:rPr>
    </w:tblStylePr>
  </w:style>
  <w:style w:type="table" w:customStyle="1" w:styleId="1521">
    <w:name w:val="Grid Table 6 Colorful - Accent 37"/>
    <w:basedOn w:val="13"/>
    <w:uiPriority w:val="99"/>
    <w:rPr>
      <w:sz w:val="22"/>
      <w:szCs w:val="22"/>
      <w:lang w:eastAsia="en-US"/>
    </w:rPr>
    <w:tblPr>
      <w:tblBorders>
        <w:top w:val="single" w:color="9ABB59" w:sz="4" w:space="0"/>
        <w:left w:val="single" w:color="9ABB59" w:sz="4" w:space="0"/>
        <w:bottom w:val="single" w:color="9ABB59" w:sz="4" w:space="0"/>
        <w:right w:val="single" w:color="9ABB59" w:sz="4" w:space="0"/>
        <w:insideH w:val="single" w:color="9ABB59" w:sz="4" w:space="0"/>
        <w:insideV w:val="single" w:color="9ABB59" w:sz="4" w:space="0"/>
      </w:tblBorders>
      <w:tblCellMar>
        <w:top w:w="0" w:type="dxa"/>
        <w:left w:w="108" w:type="dxa"/>
        <w:bottom w:w="0" w:type="dxa"/>
        <w:right w:w="108" w:type="dxa"/>
      </w:tblCellMar>
    </w:tblPr>
    <w:tblStylePr w:type="firstRow">
      <w:rPr>
        <w:b/>
        <w:color w:val="9ABB59"/>
      </w:rPr>
      <w:tcPr>
        <w:tcBorders>
          <w:bottom w:val="single" w:color="9ABB59" w:sz="12" w:space="0"/>
        </w:tcBorders>
      </w:tcPr>
    </w:tblStylePr>
    <w:tblStylePr w:type="lastRow">
      <w:rPr>
        <w:b/>
        <w:color w:val="9ABB59"/>
      </w:rPr>
    </w:tblStylePr>
    <w:tblStylePr w:type="firstCol">
      <w:rPr>
        <w:b/>
        <w:color w:val="9ABB59"/>
      </w:rPr>
    </w:tblStylePr>
    <w:tblStylePr w:type="lastCol">
      <w:rPr>
        <w:b/>
        <w:color w:val="9ABB59"/>
      </w:rPr>
    </w:tblStylePr>
    <w:tblStylePr w:type="band1Vert">
      <w:tcPr>
        <w:shd w:val="clear" w:color="EAF1DC" w:fill="EAF1DC"/>
      </w:tcPr>
    </w:tblStylePr>
    <w:tblStylePr w:type="band1Horz">
      <w:rPr>
        <w:rFonts w:ascii="Arial" w:hAnsi="Arial"/>
        <w:color w:val="9ABB59"/>
        <w:sz w:val="22"/>
      </w:rPr>
      <w:tcPr>
        <w:shd w:val="clear" w:color="EAF1DC" w:fill="EAF1DC"/>
      </w:tcPr>
    </w:tblStylePr>
    <w:tblStylePr w:type="band2Horz">
      <w:rPr>
        <w:rFonts w:ascii="Arial" w:hAnsi="Arial"/>
        <w:color w:val="9ABB59"/>
        <w:sz w:val="22"/>
      </w:rPr>
    </w:tblStylePr>
  </w:style>
  <w:style w:type="table" w:customStyle="1" w:styleId="1522">
    <w:name w:val="Grid Table 6 Colorful - Accent 47"/>
    <w:basedOn w:val="13"/>
    <w:uiPriority w:val="99"/>
    <w:rPr>
      <w:sz w:val="22"/>
      <w:szCs w:val="22"/>
      <w:lang w:eastAsia="en-US"/>
    </w:rPr>
    <w:tblPr>
      <w:tblBorders>
        <w:top w:val="single" w:color="B2A1C6" w:sz="4" w:space="0"/>
        <w:left w:val="single" w:color="B2A1C6" w:sz="4" w:space="0"/>
        <w:bottom w:val="single" w:color="B2A1C6" w:sz="4" w:space="0"/>
        <w:right w:val="single" w:color="B2A1C6" w:sz="4" w:space="0"/>
        <w:insideH w:val="single" w:color="B2A1C6" w:sz="4" w:space="0"/>
        <w:insideV w:val="single" w:color="B2A1C6" w:sz="4" w:space="0"/>
      </w:tblBorders>
      <w:tblCellMar>
        <w:top w:w="0" w:type="dxa"/>
        <w:left w:w="108" w:type="dxa"/>
        <w:bottom w:w="0" w:type="dxa"/>
        <w:right w:w="108" w:type="dxa"/>
      </w:tblCellMar>
    </w:tblPr>
    <w:tblStylePr w:type="firstRow">
      <w:rPr>
        <w:b/>
        <w:color w:val="B2A1C6"/>
      </w:rPr>
      <w:tcPr>
        <w:tcBorders>
          <w:bottom w:val="single" w:color="B2A1C6" w:sz="12" w:space="0"/>
        </w:tcBorders>
      </w:tcPr>
    </w:tblStylePr>
    <w:tblStylePr w:type="lastRow">
      <w:rPr>
        <w:b/>
        <w:color w:val="B2A1C6"/>
      </w:rPr>
    </w:tblStylePr>
    <w:tblStylePr w:type="firstCol">
      <w:rPr>
        <w:b/>
        <w:color w:val="B2A1C6"/>
      </w:rPr>
    </w:tblStylePr>
    <w:tblStylePr w:type="lastCol">
      <w:rPr>
        <w:b/>
        <w:color w:val="B2A1C6"/>
      </w:rPr>
    </w:tblStylePr>
    <w:tblStylePr w:type="band1Vert">
      <w:tcPr>
        <w:shd w:val="clear" w:color="E5DFEC" w:fill="E5DFEC"/>
      </w:tcPr>
    </w:tblStylePr>
    <w:tblStylePr w:type="band1Horz">
      <w:rPr>
        <w:rFonts w:ascii="Arial" w:hAnsi="Arial"/>
        <w:color w:val="B2A1C6"/>
        <w:sz w:val="22"/>
      </w:rPr>
      <w:tcPr>
        <w:shd w:val="clear" w:color="E5DFEC" w:fill="E5DFEC"/>
      </w:tcPr>
    </w:tblStylePr>
    <w:tblStylePr w:type="band2Horz">
      <w:rPr>
        <w:rFonts w:ascii="Arial" w:hAnsi="Arial"/>
        <w:color w:val="B2A1C6"/>
        <w:sz w:val="22"/>
      </w:rPr>
    </w:tblStylePr>
  </w:style>
  <w:style w:type="table" w:customStyle="1" w:styleId="1523">
    <w:name w:val="Grid Table 6 Colorful - Accent 57"/>
    <w:basedOn w:val="13"/>
    <w:uiPriority w:val="99"/>
    <w:rPr>
      <w:sz w:val="22"/>
      <w:szCs w:val="22"/>
      <w:lang w:eastAsia="en-US"/>
    </w:rPr>
    <w:tblPr>
      <w:tblBorders>
        <w:top w:val="single" w:color="4BACC6" w:sz="4" w:space="0"/>
        <w:left w:val="single" w:color="4BACC6" w:sz="4" w:space="0"/>
        <w:bottom w:val="single" w:color="4BACC6" w:sz="4" w:space="0"/>
        <w:right w:val="single" w:color="4BACC6" w:sz="4" w:space="0"/>
        <w:insideH w:val="single" w:color="4BACC6" w:sz="4" w:space="0"/>
        <w:insideV w:val="single" w:color="4BACC6" w:sz="4" w:space="0"/>
      </w:tblBorders>
      <w:tblCellMar>
        <w:top w:w="0" w:type="dxa"/>
        <w:left w:w="108" w:type="dxa"/>
        <w:bottom w:w="0" w:type="dxa"/>
        <w:right w:w="108" w:type="dxa"/>
      </w:tblCellMar>
    </w:tblPr>
    <w:tblStylePr w:type="firstRow">
      <w:rPr>
        <w:b/>
        <w:color w:val="266779"/>
      </w:rPr>
      <w:tcPr>
        <w:tcBorders>
          <w:bottom w:val="single" w:color="4BACC6" w:sz="12" w:space="0"/>
        </w:tcBorders>
      </w:tcPr>
    </w:tblStylePr>
    <w:tblStylePr w:type="lastRow">
      <w:rPr>
        <w:b/>
        <w:color w:val="266779"/>
      </w:rPr>
    </w:tblStylePr>
    <w:tblStylePr w:type="firstCol">
      <w:rPr>
        <w:b/>
        <w:color w:val="266779"/>
      </w:rPr>
    </w:tblStylePr>
    <w:tblStylePr w:type="lastCol">
      <w:rPr>
        <w:b/>
        <w:color w:val="266779"/>
      </w:rPr>
    </w:tblStylePr>
    <w:tblStylePr w:type="band1Vert">
      <w:tcPr>
        <w:shd w:val="clear" w:color="DAEEF3" w:fill="DAEEF3"/>
      </w:tcPr>
    </w:tblStylePr>
    <w:tblStylePr w:type="band1Horz">
      <w:rPr>
        <w:rFonts w:ascii="Arial" w:hAnsi="Arial"/>
        <w:color w:val="266779"/>
        <w:sz w:val="22"/>
      </w:rPr>
      <w:tcPr>
        <w:shd w:val="clear" w:color="DAEEF3" w:fill="DAEEF3"/>
      </w:tcPr>
    </w:tblStylePr>
    <w:tblStylePr w:type="band2Horz">
      <w:rPr>
        <w:rFonts w:ascii="Arial" w:hAnsi="Arial"/>
        <w:color w:val="266779"/>
        <w:sz w:val="22"/>
      </w:rPr>
    </w:tblStylePr>
  </w:style>
  <w:style w:type="table" w:customStyle="1" w:styleId="1524">
    <w:name w:val="Grid Table 6 Colorful - Accent 67"/>
    <w:basedOn w:val="13"/>
    <w:uiPriority w:val="99"/>
    <w:rPr>
      <w:sz w:val="22"/>
      <w:szCs w:val="22"/>
      <w:lang w:eastAsia="en-US"/>
    </w:rPr>
    <w:tblPr>
      <w:tblBorders>
        <w:top w:val="single" w:color="F79646" w:sz="4" w:space="0"/>
        <w:left w:val="single" w:color="F79646" w:sz="4" w:space="0"/>
        <w:bottom w:val="single" w:color="F79646" w:sz="4" w:space="0"/>
        <w:right w:val="single" w:color="F79646" w:sz="4" w:space="0"/>
        <w:insideH w:val="single" w:color="F79646" w:sz="4" w:space="0"/>
        <w:insideV w:val="single" w:color="F79646" w:sz="4" w:space="0"/>
      </w:tblBorders>
      <w:tblCellMar>
        <w:top w:w="0" w:type="dxa"/>
        <w:left w:w="108" w:type="dxa"/>
        <w:bottom w:w="0" w:type="dxa"/>
        <w:right w:w="108" w:type="dxa"/>
      </w:tblCellMar>
    </w:tblPr>
    <w:tblStylePr w:type="firstRow">
      <w:rPr>
        <w:b/>
        <w:color w:val="266779"/>
      </w:rPr>
      <w:tcPr>
        <w:tcBorders>
          <w:bottom w:val="single" w:color="F79646" w:sz="12" w:space="0"/>
        </w:tcBorders>
      </w:tcPr>
    </w:tblStylePr>
    <w:tblStylePr w:type="lastRow">
      <w:rPr>
        <w:b/>
        <w:color w:val="266779"/>
      </w:rPr>
    </w:tblStylePr>
    <w:tblStylePr w:type="firstCol">
      <w:rPr>
        <w:b/>
        <w:color w:val="266779"/>
      </w:rPr>
    </w:tblStylePr>
    <w:tblStylePr w:type="lastCol">
      <w:rPr>
        <w:b/>
        <w:color w:val="266779"/>
      </w:rPr>
    </w:tblStylePr>
    <w:tblStylePr w:type="band1Vert">
      <w:tcPr>
        <w:shd w:val="clear" w:color="FDE9D8" w:fill="FDE9D8"/>
      </w:tcPr>
    </w:tblStylePr>
    <w:tblStylePr w:type="band1Horz">
      <w:rPr>
        <w:rFonts w:ascii="Arial" w:hAnsi="Arial"/>
        <w:color w:val="266779"/>
        <w:sz w:val="22"/>
      </w:rPr>
      <w:tcPr>
        <w:shd w:val="clear" w:color="FDE9D8" w:fill="FDE9D8"/>
      </w:tcPr>
    </w:tblStylePr>
    <w:tblStylePr w:type="band2Horz">
      <w:rPr>
        <w:rFonts w:ascii="Arial" w:hAnsi="Arial"/>
        <w:color w:val="266779"/>
        <w:sz w:val="22"/>
      </w:rPr>
    </w:tblStylePr>
  </w:style>
  <w:style w:type="table" w:customStyle="1" w:styleId="1525">
    <w:name w:val="Таблица-сетка 7 цветная15"/>
    <w:basedOn w:val="13"/>
    <w:uiPriority w:val="99"/>
    <w:rPr>
      <w:sz w:val="22"/>
      <w:szCs w:val="22"/>
      <w:lang w:eastAsia="en-US"/>
    </w:rPr>
    <w:tblPr>
      <w:tblBorders>
        <w:bottom w:val="single" w:color="7F7F7F" w:sz="4" w:space="0"/>
        <w:right w:val="single" w:color="7F7F7F" w:sz="4" w:space="0"/>
        <w:insideH w:val="single" w:color="7F7F7F" w:sz="4" w:space="0"/>
        <w:insideV w:val="single" w:color="7F7F7F" w:sz="4" w:space="0"/>
      </w:tblBorders>
      <w:tblCellMar>
        <w:top w:w="0" w:type="dxa"/>
        <w:left w:w="108" w:type="dxa"/>
        <w:bottom w:w="0" w:type="dxa"/>
        <w:right w:w="108" w:type="dxa"/>
      </w:tblCellMar>
    </w:tblPr>
    <w:tblStylePr w:type="firstRow">
      <w:rPr>
        <w:rFonts w:ascii="Arial" w:hAnsi="Arial"/>
        <w:b/>
        <w:color w:val="7F7F7F"/>
        <w:sz w:val="22"/>
      </w:rPr>
      <w:tcPr>
        <w:tcBorders>
          <w:top w:val="nil"/>
          <w:left w:val="nil"/>
          <w:bottom w:val="single" w:color="7F7F7F" w:sz="4" w:space="0"/>
          <w:right w:val="nil"/>
        </w:tcBorders>
        <w:shd w:val="clear" w:color="FFFFFF" w:fill="FFFFFF"/>
      </w:tcPr>
    </w:tblStylePr>
    <w:tblStylePr w:type="lastRow">
      <w:rPr>
        <w:rFonts w:ascii="Arial" w:hAnsi="Arial"/>
        <w:b/>
        <w:color w:val="7F7F7F"/>
        <w:sz w:val="22"/>
      </w:rPr>
      <w:tcPr>
        <w:tcBorders>
          <w:top w:val="single" w:color="7F7F7F" w:sz="4" w:space="0"/>
          <w:left w:val="nil"/>
          <w:bottom w:val="nil"/>
          <w:right w:val="nil"/>
        </w:tcBorders>
        <w:shd w:val="clear" w:color="FFFFFF" w:fill="FFFFFF"/>
      </w:tcPr>
    </w:tblStylePr>
    <w:tblStylePr w:type="firstCol">
      <w:pPr>
        <w:jc w:val="right"/>
      </w:pPr>
      <w:rPr>
        <w:rFonts w:ascii="Arial" w:hAnsi="Arial"/>
        <w:i/>
        <w:color w:val="7F7F7F"/>
        <w:sz w:val="22"/>
      </w:rPr>
      <w:tcPr>
        <w:tcBorders>
          <w:top w:val="nil"/>
          <w:left w:val="nil"/>
          <w:bottom w:val="nil"/>
          <w:right w:val="single" w:color="7F7F7F" w:sz="4" w:space="0"/>
        </w:tcBorders>
        <w:shd w:val="clear" w:color="FFFFFF" w:fill="auto"/>
      </w:tcPr>
    </w:tblStylePr>
    <w:tblStylePr w:type="lastCol">
      <w:rPr>
        <w:rFonts w:ascii="Arial" w:hAnsi="Arial"/>
        <w:i/>
        <w:color w:val="7F7F7F"/>
        <w:sz w:val="22"/>
      </w:rPr>
      <w:tcPr>
        <w:tcBorders>
          <w:top w:val="nil"/>
          <w:left w:val="single" w:color="7F7F7F" w:sz="4" w:space="0"/>
          <w:bottom w:val="nil"/>
          <w:right w:val="nil"/>
        </w:tcBorders>
        <w:shd w:val="clear" w:color="FFFFFF" w:fill="auto"/>
      </w:tcPr>
    </w:tblStylePr>
    <w:tblStylePr w:type="band1Vert">
      <w:tcPr>
        <w:shd w:val="clear" w:color="F2F2F2" w:fill="F2F2F2"/>
      </w:tcPr>
    </w:tblStylePr>
    <w:tblStylePr w:type="band1Horz">
      <w:rPr>
        <w:rFonts w:ascii="Arial" w:hAnsi="Arial"/>
        <w:color w:val="7F7F7F"/>
        <w:sz w:val="22"/>
      </w:rPr>
      <w:tcPr>
        <w:shd w:val="clear" w:color="F2F2F2" w:fill="F2F2F2"/>
      </w:tcPr>
    </w:tblStylePr>
    <w:tblStylePr w:type="band2Horz">
      <w:rPr>
        <w:rFonts w:ascii="Arial" w:hAnsi="Arial"/>
        <w:color w:val="7F7F7F"/>
        <w:sz w:val="22"/>
      </w:rPr>
    </w:tblStylePr>
  </w:style>
  <w:style w:type="table" w:customStyle="1" w:styleId="1526">
    <w:name w:val="Grid Table 7 Colorful - Accent 17"/>
    <w:basedOn w:val="13"/>
    <w:uiPriority w:val="99"/>
    <w:rPr>
      <w:sz w:val="22"/>
      <w:szCs w:val="22"/>
      <w:lang w:eastAsia="en-US"/>
    </w:rPr>
    <w:tblPr>
      <w:tblBorders>
        <w:bottom w:val="single" w:color="A6BFDD" w:sz="4" w:space="0"/>
        <w:right w:val="single" w:color="A6BFDD" w:sz="4" w:space="0"/>
        <w:insideH w:val="single" w:color="A6BFDD" w:sz="4" w:space="0"/>
        <w:insideV w:val="single" w:color="A6BFDD" w:sz="4" w:space="0"/>
      </w:tblBorders>
      <w:tblCellMar>
        <w:top w:w="0" w:type="dxa"/>
        <w:left w:w="108" w:type="dxa"/>
        <w:bottom w:w="0" w:type="dxa"/>
        <w:right w:w="108" w:type="dxa"/>
      </w:tblCellMar>
    </w:tblPr>
    <w:tblStylePr w:type="firstRow">
      <w:rPr>
        <w:rFonts w:ascii="Arial" w:hAnsi="Arial"/>
        <w:b/>
        <w:color w:val="A6BFDD"/>
        <w:sz w:val="22"/>
      </w:rPr>
      <w:tcPr>
        <w:tcBorders>
          <w:top w:val="nil"/>
          <w:left w:val="nil"/>
          <w:bottom w:val="single" w:color="A6BFDD" w:sz="4" w:space="0"/>
          <w:right w:val="nil"/>
        </w:tcBorders>
        <w:shd w:val="clear" w:color="FFFFFF" w:fill="FFFFFF"/>
      </w:tcPr>
    </w:tblStylePr>
    <w:tblStylePr w:type="lastRow">
      <w:rPr>
        <w:rFonts w:ascii="Arial" w:hAnsi="Arial"/>
        <w:b/>
        <w:color w:val="A6BFDD"/>
        <w:sz w:val="22"/>
      </w:rPr>
      <w:tcPr>
        <w:tcBorders>
          <w:top w:val="single" w:color="A6BFDD" w:sz="4" w:space="0"/>
          <w:left w:val="nil"/>
          <w:bottom w:val="nil"/>
          <w:right w:val="nil"/>
        </w:tcBorders>
        <w:shd w:val="clear" w:color="FFFFFF" w:fill="FFFFFF"/>
      </w:tcPr>
    </w:tblStylePr>
    <w:tblStylePr w:type="firstCol">
      <w:pPr>
        <w:jc w:val="right"/>
      </w:pPr>
      <w:rPr>
        <w:rFonts w:ascii="Arial" w:hAnsi="Arial"/>
        <w:i/>
        <w:color w:val="A6BFDD"/>
        <w:sz w:val="22"/>
      </w:rPr>
      <w:tcPr>
        <w:tcBorders>
          <w:top w:val="nil"/>
          <w:left w:val="nil"/>
          <w:bottom w:val="nil"/>
          <w:right w:val="single" w:color="A6BFDD" w:sz="4" w:space="0"/>
        </w:tcBorders>
        <w:shd w:val="clear" w:color="FFFFFF" w:fill="auto"/>
      </w:tcPr>
    </w:tblStylePr>
    <w:tblStylePr w:type="lastCol">
      <w:rPr>
        <w:rFonts w:ascii="Arial" w:hAnsi="Arial"/>
        <w:i/>
        <w:color w:val="A6BFDD"/>
        <w:sz w:val="22"/>
      </w:rPr>
      <w:tcPr>
        <w:tcBorders>
          <w:top w:val="nil"/>
          <w:left w:val="single" w:color="A6BFDD" w:sz="4" w:space="0"/>
          <w:bottom w:val="nil"/>
          <w:right w:val="nil"/>
        </w:tcBorders>
        <w:shd w:val="clear" w:color="FFFFFF" w:fill="auto"/>
      </w:tcPr>
    </w:tblStylePr>
    <w:tblStylePr w:type="band1Vert">
      <w:tcPr>
        <w:shd w:val="clear" w:color="DAE5F1" w:fill="DAE5F1"/>
      </w:tcPr>
    </w:tblStylePr>
    <w:tblStylePr w:type="band1Horz">
      <w:rPr>
        <w:rFonts w:ascii="Arial" w:hAnsi="Arial"/>
        <w:color w:val="A6BFDD"/>
        <w:sz w:val="22"/>
      </w:rPr>
      <w:tcPr>
        <w:shd w:val="clear" w:color="DAE5F1" w:fill="DAE5F1"/>
      </w:tcPr>
    </w:tblStylePr>
    <w:tblStylePr w:type="band2Horz">
      <w:rPr>
        <w:rFonts w:ascii="Arial" w:hAnsi="Arial"/>
        <w:color w:val="A6BFDD"/>
        <w:sz w:val="22"/>
      </w:rPr>
    </w:tblStylePr>
  </w:style>
  <w:style w:type="table" w:customStyle="1" w:styleId="1527">
    <w:name w:val="Grid Table 7 Colorful - Accent 27"/>
    <w:basedOn w:val="13"/>
    <w:uiPriority w:val="99"/>
    <w:rPr>
      <w:sz w:val="22"/>
      <w:szCs w:val="22"/>
      <w:lang w:eastAsia="en-US"/>
    </w:rPr>
    <w:tblPr>
      <w:tblBorders>
        <w:bottom w:val="single" w:color="D99695" w:sz="4" w:space="0"/>
        <w:right w:val="single" w:color="D99695" w:sz="4" w:space="0"/>
        <w:insideH w:val="single" w:color="D99695" w:sz="4" w:space="0"/>
        <w:insideV w:val="single" w:color="D99695" w:sz="4" w:space="0"/>
      </w:tblBorders>
      <w:tblCellMar>
        <w:top w:w="0" w:type="dxa"/>
        <w:left w:w="108" w:type="dxa"/>
        <w:bottom w:w="0" w:type="dxa"/>
        <w:right w:w="108" w:type="dxa"/>
      </w:tblCellMar>
    </w:tblPr>
    <w:tblStylePr w:type="firstRow">
      <w:rPr>
        <w:rFonts w:ascii="Arial" w:hAnsi="Arial"/>
        <w:b/>
        <w:color w:val="D99695"/>
        <w:sz w:val="22"/>
      </w:rPr>
      <w:tcPr>
        <w:tcBorders>
          <w:top w:val="nil"/>
          <w:left w:val="nil"/>
          <w:bottom w:val="single" w:color="D99695" w:sz="4" w:space="0"/>
          <w:right w:val="nil"/>
        </w:tcBorders>
        <w:shd w:val="clear" w:color="FFFFFF" w:fill="FFFFFF"/>
      </w:tcPr>
    </w:tblStylePr>
    <w:tblStylePr w:type="lastRow">
      <w:rPr>
        <w:rFonts w:ascii="Arial" w:hAnsi="Arial"/>
        <w:b/>
        <w:color w:val="D99695"/>
        <w:sz w:val="22"/>
      </w:rPr>
      <w:tcPr>
        <w:tcBorders>
          <w:top w:val="single" w:color="D99695" w:sz="4" w:space="0"/>
          <w:left w:val="nil"/>
          <w:bottom w:val="nil"/>
          <w:right w:val="nil"/>
        </w:tcBorders>
        <w:shd w:val="clear" w:color="FFFFFF" w:fill="FFFFFF"/>
      </w:tcPr>
    </w:tblStylePr>
    <w:tblStylePr w:type="firstCol">
      <w:pPr>
        <w:jc w:val="right"/>
      </w:pPr>
      <w:rPr>
        <w:rFonts w:ascii="Arial" w:hAnsi="Arial"/>
        <w:i/>
        <w:color w:val="D99695"/>
        <w:sz w:val="22"/>
      </w:rPr>
      <w:tcPr>
        <w:tcBorders>
          <w:top w:val="nil"/>
          <w:left w:val="nil"/>
          <w:bottom w:val="nil"/>
          <w:right w:val="single" w:color="D99695" w:sz="4" w:space="0"/>
        </w:tcBorders>
        <w:shd w:val="clear" w:color="FFFFFF" w:fill="auto"/>
      </w:tcPr>
    </w:tblStylePr>
    <w:tblStylePr w:type="lastCol">
      <w:rPr>
        <w:rFonts w:ascii="Arial" w:hAnsi="Arial"/>
        <w:i/>
        <w:color w:val="D99695"/>
        <w:sz w:val="22"/>
      </w:rPr>
      <w:tcPr>
        <w:tcBorders>
          <w:top w:val="nil"/>
          <w:left w:val="single" w:color="D99695" w:sz="4" w:space="0"/>
          <w:bottom w:val="nil"/>
          <w:right w:val="nil"/>
        </w:tcBorders>
        <w:shd w:val="clear" w:color="FFFFFF" w:fill="auto"/>
      </w:tcPr>
    </w:tblStylePr>
    <w:tblStylePr w:type="band1Vert">
      <w:tcPr>
        <w:shd w:val="clear" w:color="F2DCDC" w:fill="F2DCDC"/>
      </w:tcPr>
    </w:tblStylePr>
    <w:tblStylePr w:type="band1Horz">
      <w:rPr>
        <w:rFonts w:ascii="Arial" w:hAnsi="Arial"/>
        <w:color w:val="D99695"/>
        <w:sz w:val="22"/>
      </w:rPr>
      <w:tcPr>
        <w:shd w:val="clear" w:color="F2DCDC" w:fill="F2DCDC"/>
      </w:tcPr>
    </w:tblStylePr>
    <w:tblStylePr w:type="band2Horz">
      <w:rPr>
        <w:rFonts w:ascii="Arial" w:hAnsi="Arial"/>
        <w:color w:val="D99695"/>
        <w:sz w:val="22"/>
      </w:rPr>
    </w:tblStylePr>
  </w:style>
  <w:style w:type="table" w:customStyle="1" w:styleId="1528">
    <w:name w:val="Grid Table 7 Colorful - Accent 37"/>
    <w:basedOn w:val="13"/>
    <w:uiPriority w:val="99"/>
    <w:rPr>
      <w:sz w:val="22"/>
      <w:szCs w:val="22"/>
      <w:lang w:eastAsia="en-US"/>
    </w:rPr>
    <w:tblPr>
      <w:tblBorders>
        <w:bottom w:val="single" w:color="9ABB59" w:sz="4" w:space="0"/>
        <w:right w:val="single" w:color="9ABB59" w:sz="4" w:space="0"/>
        <w:insideH w:val="single" w:color="9ABB59" w:sz="4" w:space="0"/>
        <w:insideV w:val="single" w:color="9ABB59" w:sz="4" w:space="0"/>
      </w:tblBorders>
      <w:tblCellMar>
        <w:top w:w="0" w:type="dxa"/>
        <w:left w:w="108" w:type="dxa"/>
        <w:bottom w:w="0" w:type="dxa"/>
        <w:right w:w="108" w:type="dxa"/>
      </w:tblCellMar>
    </w:tblPr>
    <w:tblStylePr w:type="firstRow">
      <w:rPr>
        <w:rFonts w:ascii="Arial" w:hAnsi="Arial"/>
        <w:b/>
        <w:color w:val="9ABB59"/>
        <w:sz w:val="22"/>
      </w:rPr>
      <w:tcPr>
        <w:tcBorders>
          <w:top w:val="nil"/>
          <w:left w:val="nil"/>
          <w:bottom w:val="single" w:color="9ABB59" w:sz="4" w:space="0"/>
          <w:right w:val="nil"/>
        </w:tcBorders>
        <w:shd w:val="clear" w:color="FFFFFF" w:fill="FFFFFF"/>
      </w:tcPr>
    </w:tblStylePr>
    <w:tblStylePr w:type="lastRow">
      <w:rPr>
        <w:rFonts w:ascii="Arial" w:hAnsi="Arial"/>
        <w:b/>
        <w:color w:val="9ABB59"/>
        <w:sz w:val="22"/>
      </w:rPr>
      <w:tcPr>
        <w:tcBorders>
          <w:top w:val="single" w:color="9ABB59" w:sz="4" w:space="0"/>
          <w:left w:val="nil"/>
          <w:bottom w:val="nil"/>
          <w:right w:val="nil"/>
        </w:tcBorders>
        <w:shd w:val="clear" w:color="FFFFFF" w:fill="FFFFFF"/>
      </w:tcPr>
    </w:tblStylePr>
    <w:tblStylePr w:type="firstCol">
      <w:pPr>
        <w:jc w:val="right"/>
      </w:pPr>
      <w:rPr>
        <w:rFonts w:ascii="Arial" w:hAnsi="Arial"/>
        <w:i/>
        <w:color w:val="9ABB59"/>
        <w:sz w:val="22"/>
      </w:rPr>
      <w:tcPr>
        <w:tcBorders>
          <w:top w:val="nil"/>
          <w:left w:val="nil"/>
          <w:bottom w:val="nil"/>
          <w:right w:val="single" w:color="9ABB59" w:sz="4" w:space="0"/>
        </w:tcBorders>
        <w:shd w:val="clear" w:color="FFFFFF" w:fill="auto"/>
      </w:tcPr>
    </w:tblStylePr>
    <w:tblStylePr w:type="lastCol">
      <w:rPr>
        <w:rFonts w:ascii="Arial" w:hAnsi="Arial"/>
        <w:i/>
        <w:color w:val="9ABB59"/>
        <w:sz w:val="22"/>
      </w:rPr>
      <w:tcPr>
        <w:tcBorders>
          <w:top w:val="nil"/>
          <w:left w:val="single" w:color="9ABB59" w:sz="4" w:space="0"/>
          <w:bottom w:val="nil"/>
          <w:right w:val="nil"/>
        </w:tcBorders>
        <w:shd w:val="clear" w:color="FFFFFF" w:fill="auto"/>
      </w:tcPr>
    </w:tblStylePr>
    <w:tblStylePr w:type="band1Vert">
      <w:tcPr>
        <w:shd w:val="clear" w:color="EAF1DC" w:fill="EAF1DC"/>
      </w:tcPr>
    </w:tblStylePr>
    <w:tblStylePr w:type="band1Horz">
      <w:rPr>
        <w:rFonts w:ascii="Arial" w:hAnsi="Arial"/>
        <w:color w:val="9ABB59"/>
        <w:sz w:val="22"/>
      </w:rPr>
      <w:tcPr>
        <w:shd w:val="clear" w:color="EAF1DC" w:fill="EAF1DC"/>
      </w:tcPr>
    </w:tblStylePr>
    <w:tblStylePr w:type="band2Horz">
      <w:rPr>
        <w:rFonts w:ascii="Arial" w:hAnsi="Arial"/>
        <w:color w:val="9ABB59"/>
        <w:sz w:val="22"/>
      </w:rPr>
    </w:tblStylePr>
  </w:style>
  <w:style w:type="table" w:customStyle="1" w:styleId="1529">
    <w:name w:val="Grid Table 7 Colorful - Accent 47"/>
    <w:basedOn w:val="13"/>
    <w:uiPriority w:val="99"/>
    <w:rPr>
      <w:sz w:val="22"/>
      <w:szCs w:val="22"/>
      <w:lang w:eastAsia="en-US"/>
    </w:rPr>
    <w:tblPr>
      <w:tblBorders>
        <w:bottom w:val="single" w:color="B2A1C6" w:sz="4" w:space="0"/>
        <w:right w:val="single" w:color="B2A1C6" w:sz="4" w:space="0"/>
        <w:insideH w:val="single" w:color="B2A1C6" w:sz="4" w:space="0"/>
        <w:insideV w:val="single" w:color="B2A1C6" w:sz="4" w:space="0"/>
      </w:tblBorders>
      <w:tblCellMar>
        <w:top w:w="0" w:type="dxa"/>
        <w:left w:w="108" w:type="dxa"/>
        <w:bottom w:w="0" w:type="dxa"/>
        <w:right w:w="108" w:type="dxa"/>
      </w:tblCellMar>
    </w:tblPr>
    <w:tblStylePr w:type="firstRow">
      <w:rPr>
        <w:rFonts w:ascii="Arial" w:hAnsi="Arial"/>
        <w:b/>
        <w:color w:val="B2A1C6"/>
        <w:sz w:val="22"/>
      </w:rPr>
      <w:tcPr>
        <w:tcBorders>
          <w:top w:val="nil"/>
          <w:left w:val="nil"/>
          <w:bottom w:val="single" w:color="B2A1C6" w:sz="4" w:space="0"/>
          <w:right w:val="nil"/>
        </w:tcBorders>
        <w:shd w:val="clear" w:color="FFFFFF" w:fill="FFFFFF"/>
      </w:tcPr>
    </w:tblStylePr>
    <w:tblStylePr w:type="lastRow">
      <w:rPr>
        <w:rFonts w:ascii="Arial" w:hAnsi="Arial"/>
        <w:b/>
        <w:color w:val="B2A1C6"/>
        <w:sz w:val="22"/>
      </w:rPr>
      <w:tcPr>
        <w:tcBorders>
          <w:top w:val="single" w:color="B2A1C6" w:sz="4" w:space="0"/>
          <w:left w:val="nil"/>
          <w:bottom w:val="nil"/>
          <w:right w:val="nil"/>
        </w:tcBorders>
        <w:shd w:val="clear" w:color="FFFFFF" w:fill="FFFFFF"/>
      </w:tcPr>
    </w:tblStylePr>
    <w:tblStylePr w:type="firstCol">
      <w:pPr>
        <w:jc w:val="right"/>
      </w:pPr>
      <w:rPr>
        <w:rFonts w:ascii="Arial" w:hAnsi="Arial"/>
        <w:i/>
        <w:color w:val="B2A1C6"/>
        <w:sz w:val="22"/>
      </w:rPr>
      <w:tcPr>
        <w:tcBorders>
          <w:top w:val="nil"/>
          <w:left w:val="nil"/>
          <w:bottom w:val="nil"/>
          <w:right w:val="single" w:color="B2A1C6" w:sz="4" w:space="0"/>
        </w:tcBorders>
        <w:shd w:val="clear" w:color="FFFFFF" w:fill="auto"/>
      </w:tcPr>
    </w:tblStylePr>
    <w:tblStylePr w:type="lastCol">
      <w:rPr>
        <w:rFonts w:ascii="Arial" w:hAnsi="Arial"/>
        <w:i/>
        <w:color w:val="B2A1C6"/>
        <w:sz w:val="22"/>
      </w:rPr>
      <w:tcPr>
        <w:tcBorders>
          <w:top w:val="nil"/>
          <w:left w:val="single" w:color="B2A1C6" w:sz="4" w:space="0"/>
          <w:bottom w:val="nil"/>
          <w:right w:val="nil"/>
        </w:tcBorders>
        <w:shd w:val="clear" w:color="FFFFFF" w:fill="auto"/>
      </w:tcPr>
    </w:tblStylePr>
    <w:tblStylePr w:type="band1Vert">
      <w:tcPr>
        <w:shd w:val="clear" w:color="E5DFEC" w:fill="E5DFEC"/>
      </w:tcPr>
    </w:tblStylePr>
    <w:tblStylePr w:type="band1Horz">
      <w:rPr>
        <w:rFonts w:ascii="Arial" w:hAnsi="Arial"/>
        <w:color w:val="B2A1C6"/>
        <w:sz w:val="22"/>
      </w:rPr>
      <w:tcPr>
        <w:shd w:val="clear" w:color="E5DFEC" w:fill="E5DFEC"/>
      </w:tcPr>
    </w:tblStylePr>
    <w:tblStylePr w:type="band2Horz">
      <w:rPr>
        <w:rFonts w:ascii="Arial" w:hAnsi="Arial"/>
        <w:color w:val="B2A1C6"/>
        <w:sz w:val="22"/>
      </w:rPr>
    </w:tblStylePr>
  </w:style>
  <w:style w:type="table" w:customStyle="1" w:styleId="1530">
    <w:name w:val="Grid Table 7 Colorful - Accent 57"/>
    <w:basedOn w:val="13"/>
    <w:uiPriority w:val="99"/>
    <w:rPr>
      <w:sz w:val="22"/>
      <w:szCs w:val="22"/>
      <w:lang w:eastAsia="en-US"/>
    </w:rPr>
    <w:tblPr>
      <w:tblBorders>
        <w:bottom w:val="single" w:color="99D0DE" w:sz="4" w:space="0"/>
        <w:right w:val="single" w:color="99D0DE" w:sz="4" w:space="0"/>
        <w:insideH w:val="single" w:color="99D0DE" w:sz="4" w:space="0"/>
        <w:insideV w:val="single" w:color="99D0DE" w:sz="4" w:space="0"/>
      </w:tblBorders>
      <w:tblCellMar>
        <w:top w:w="0" w:type="dxa"/>
        <w:left w:w="108" w:type="dxa"/>
        <w:bottom w:w="0" w:type="dxa"/>
        <w:right w:w="108" w:type="dxa"/>
      </w:tblCellMar>
    </w:tblPr>
    <w:tblStylePr w:type="firstRow">
      <w:rPr>
        <w:rFonts w:ascii="Arial" w:hAnsi="Arial"/>
        <w:b/>
        <w:color w:val="266779"/>
        <w:sz w:val="22"/>
      </w:rPr>
      <w:tcPr>
        <w:tcBorders>
          <w:top w:val="nil"/>
          <w:left w:val="nil"/>
          <w:bottom w:val="single" w:color="99D0DE" w:sz="4" w:space="0"/>
          <w:right w:val="nil"/>
        </w:tcBorders>
        <w:shd w:val="clear" w:color="FFFFFF" w:fill="FFFFFF"/>
      </w:tcPr>
    </w:tblStylePr>
    <w:tblStylePr w:type="lastRow">
      <w:rPr>
        <w:rFonts w:ascii="Arial" w:hAnsi="Arial"/>
        <w:b/>
        <w:color w:val="266779"/>
        <w:sz w:val="22"/>
      </w:rPr>
      <w:tcPr>
        <w:tcBorders>
          <w:top w:val="single" w:color="99D0DE" w:sz="4" w:space="0"/>
          <w:left w:val="nil"/>
          <w:bottom w:val="nil"/>
          <w:right w:val="nil"/>
        </w:tcBorders>
        <w:shd w:val="clear" w:color="FFFFFF" w:fill="FFFFFF"/>
      </w:tcPr>
    </w:tblStylePr>
    <w:tblStylePr w:type="firstCol">
      <w:pPr>
        <w:jc w:val="right"/>
      </w:pPr>
      <w:rPr>
        <w:rFonts w:ascii="Arial" w:hAnsi="Arial"/>
        <w:i/>
        <w:color w:val="266779"/>
        <w:sz w:val="22"/>
      </w:rPr>
      <w:tcPr>
        <w:tcBorders>
          <w:top w:val="nil"/>
          <w:left w:val="nil"/>
          <w:bottom w:val="nil"/>
          <w:right w:val="single" w:color="99D0DE" w:sz="4" w:space="0"/>
        </w:tcBorders>
        <w:shd w:val="clear" w:color="FFFFFF" w:fill="auto"/>
      </w:tcPr>
    </w:tblStylePr>
    <w:tblStylePr w:type="lastCol">
      <w:rPr>
        <w:rFonts w:ascii="Arial" w:hAnsi="Arial"/>
        <w:i/>
        <w:color w:val="266779"/>
        <w:sz w:val="22"/>
      </w:rPr>
      <w:tcPr>
        <w:tcBorders>
          <w:top w:val="nil"/>
          <w:left w:val="single" w:color="99D0DE" w:sz="4" w:space="0"/>
          <w:bottom w:val="nil"/>
          <w:right w:val="nil"/>
        </w:tcBorders>
        <w:shd w:val="clear" w:color="FFFFFF" w:fill="auto"/>
      </w:tcPr>
    </w:tblStylePr>
    <w:tblStylePr w:type="band1Vert">
      <w:tcPr>
        <w:shd w:val="clear" w:color="DAEEF3" w:fill="DAEEF3"/>
      </w:tcPr>
    </w:tblStylePr>
    <w:tblStylePr w:type="band1Horz">
      <w:rPr>
        <w:rFonts w:ascii="Arial" w:hAnsi="Arial"/>
        <w:color w:val="266779"/>
        <w:sz w:val="22"/>
      </w:rPr>
      <w:tcPr>
        <w:shd w:val="clear" w:color="DAEEF3" w:fill="DAEEF3"/>
      </w:tcPr>
    </w:tblStylePr>
    <w:tblStylePr w:type="band2Horz">
      <w:rPr>
        <w:rFonts w:ascii="Arial" w:hAnsi="Arial"/>
        <w:color w:val="266779"/>
        <w:sz w:val="22"/>
      </w:rPr>
    </w:tblStylePr>
  </w:style>
  <w:style w:type="table" w:customStyle="1" w:styleId="1531">
    <w:name w:val="Grid Table 7 Colorful - Accent 67"/>
    <w:basedOn w:val="13"/>
    <w:uiPriority w:val="99"/>
    <w:rPr>
      <w:sz w:val="22"/>
      <w:szCs w:val="22"/>
      <w:lang w:eastAsia="en-US"/>
    </w:rPr>
    <w:tblPr>
      <w:tblBorders>
        <w:bottom w:val="single" w:color="FAC396" w:sz="4" w:space="0"/>
        <w:right w:val="single" w:color="FAC396" w:sz="4" w:space="0"/>
        <w:insideH w:val="single" w:color="FAC396" w:sz="4" w:space="0"/>
        <w:insideV w:val="single" w:color="FAC396" w:sz="4" w:space="0"/>
      </w:tblBorders>
      <w:tblCellMar>
        <w:top w:w="0" w:type="dxa"/>
        <w:left w:w="108" w:type="dxa"/>
        <w:bottom w:w="0" w:type="dxa"/>
        <w:right w:w="108" w:type="dxa"/>
      </w:tblCellMar>
    </w:tblPr>
    <w:tblStylePr w:type="firstRow">
      <w:rPr>
        <w:rFonts w:ascii="Arial" w:hAnsi="Arial"/>
        <w:b/>
        <w:color w:val="B15407"/>
        <w:sz w:val="22"/>
      </w:rPr>
      <w:tcPr>
        <w:tcBorders>
          <w:top w:val="nil"/>
          <w:left w:val="nil"/>
          <w:bottom w:val="single" w:color="FAC396" w:sz="4" w:space="0"/>
          <w:right w:val="nil"/>
        </w:tcBorders>
        <w:shd w:val="clear" w:color="FFFFFF" w:fill="FFFFFF"/>
      </w:tcPr>
    </w:tblStylePr>
    <w:tblStylePr w:type="lastRow">
      <w:rPr>
        <w:rFonts w:ascii="Arial" w:hAnsi="Arial"/>
        <w:b/>
        <w:color w:val="B15407"/>
        <w:sz w:val="22"/>
      </w:rPr>
      <w:tcPr>
        <w:tcBorders>
          <w:top w:val="single" w:color="FAC396" w:sz="4" w:space="0"/>
          <w:left w:val="nil"/>
          <w:bottom w:val="nil"/>
          <w:right w:val="nil"/>
        </w:tcBorders>
        <w:shd w:val="clear" w:color="FFFFFF" w:fill="FFFFFF"/>
      </w:tcPr>
    </w:tblStylePr>
    <w:tblStylePr w:type="firstCol">
      <w:pPr>
        <w:jc w:val="right"/>
      </w:pPr>
      <w:rPr>
        <w:rFonts w:ascii="Arial" w:hAnsi="Arial"/>
        <w:i/>
        <w:color w:val="B15407"/>
        <w:sz w:val="22"/>
      </w:rPr>
      <w:tcPr>
        <w:tcBorders>
          <w:top w:val="nil"/>
          <w:left w:val="nil"/>
          <w:bottom w:val="nil"/>
          <w:right w:val="single" w:color="FAC396" w:sz="4" w:space="0"/>
        </w:tcBorders>
        <w:shd w:val="clear" w:color="FFFFFF" w:fill="auto"/>
      </w:tcPr>
    </w:tblStylePr>
    <w:tblStylePr w:type="lastCol">
      <w:rPr>
        <w:rFonts w:ascii="Arial" w:hAnsi="Arial"/>
        <w:i/>
        <w:color w:val="B15407"/>
        <w:sz w:val="22"/>
      </w:rPr>
      <w:tcPr>
        <w:tcBorders>
          <w:top w:val="nil"/>
          <w:left w:val="single" w:color="FAC396" w:sz="4" w:space="0"/>
          <w:bottom w:val="nil"/>
          <w:right w:val="nil"/>
        </w:tcBorders>
        <w:shd w:val="clear" w:color="FFFFFF" w:fill="auto"/>
      </w:tcPr>
    </w:tblStylePr>
    <w:tblStylePr w:type="band1Vert">
      <w:tcPr>
        <w:shd w:val="clear" w:color="FDE9D8" w:fill="FDE9D8"/>
      </w:tcPr>
    </w:tblStylePr>
    <w:tblStylePr w:type="band1Horz">
      <w:rPr>
        <w:rFonts w:ascii="Arial" w:hAnsi="Arial"/>
        <w:color w:val="B15407"/>
        <w:sz w:val="22"/>
      </w:rPr>
      <w:tcPr>
        <w:shd w:val="clear" w:color="FDE9D8" w:fill="FDE9D8"/>
      </w:tcPr>
    </w:tblStylePr>
    <w:tblStylePr w:type="band2Horz">
      <w:rPr>
        <w:rFonts w:ascii="Arial" w:hAnsi="Arial"/>
        <w:color w:val="B15407"/>
        <w:sz w:val="22"/>
      </w:rPr>
    </w:tblStylePr>
  </w:style>
  <w:style w:type="table" w:customStyle="1" w:styleId="1532">
    <w:name w:val="Список-таблица 1 светлая15"/>
    <w:basedOn w:val="13"/>
    <w:uiPriority w:val="99"/>
    <w:rPr>
      <w:sz w:val="22"/>
      <w:szCs w:val="22"/>
      <w:lang w:eastAsia="en-US"/>
    </w:rPr>
    <w:tblPr>
      <w:tblCellMar>
        <w:top w:w="0" w:type="dxa"/>
        <w:left w:w="108" w:type="dxa"/>
        <w:bottom w:w="0" w:type="dxa"/>
        <w:right w:w="108" w:type="dxa"/>
      </w:tblCellMar>
    </w:tblPr>
    <w:tblStylePr w:type="firstRow">
      <w:rPr>
        <w:b/>
        <w:color w:val="404040"/>
      </w:rPr>
      <w:tcPr>
        <w:tcBorders>
          <w:top w:val="nil"/>
          <w:left w:val="nil"/>
          <w:bottom w:val="single" w:color="000000" w:sz="4" w:space="0"/>
          <w:right w:val="nil"/>
        </w:tcBorders>
      </w:tcPr>
    </w:tblStylePr>
    <w:tblStylePr w:type="lastRow">
      <w:rPr>
        <w:b/>
        <w:color w:val="404040"/>
      </w:rPr>
      <w:tcPr>
        <w:tcBorders>
          <w:top w:val="single" w:color="000000" w:sz="4" w:space="0"/>
          <w:left w:val="nil"/>
          <w:bottom w:val="nil"/>
          <w:right w:val="nil"/>
        </w:tcBorders>
      </w:tcPr>
    </w:tblStylePr>
    <w:tblStylePr w:type="firstCol">
      <w:rPr>
        <w:b/>
        <w:color w:val="404040"/>
      </w:rPr>
    </w:tblStylePr>
    <w:tblStylePr w:type="lastCol">
      <w:rPr>
        <w:b/>
        <w:color w:val="404040"/>
      </w:rPr>
    </w:tblStylePr>
    <w:tblStylePr w:type="band1Vert">
      <w:tcPr>
        <w:shd w:val="clear" w:color="BFBFBF" w:fill="BFBFBF"/>
      </w:tcPr>
    </w:tblStylePr>
    <w:tblStylePr w:type="band1Horz">
      <w:tcPr>
        <w:shd w:val="clear" w:color="BFBFBF" w:fill="BFBFBF"/>
      </w:tcPr>
    </w:tblStylePr>
  </w:style>
  <w:style w:type="table" w:customStyle="1" w:styleId="1533">
    <w:name w:val="List Table 1 Light - Accent 17"/>
    <w:basedOn w:val="13"/>
    <w:uiPriority w:val="99"/>
    <w:rPr>
      <w:sz w:val="22"/>
      <w:szCs w:val="22"/>
      <w:lang w:eastAsia="en-US"/>
    </w:rPr>
    <w:tblPr>
      <w:tblCellMar>
        <w:top w:w="0" w:type="dxa"/>
        <w:left w:w="108" w:type="dxa"/>
        <w:bottom w:w="0" w:type="dxa"/>
        <w:right w:w="108" w:type="dxa"/>
      </w:tblCellMar>
    </w:tblPr>
    <w:tblStylePr w:type="firstRow">
      <w:rPr>
        <w:b/>
        <w:color w:val="404040"/>
      </w:rPr>
      <w:tcPr>
        <w:tcBorders>
          <w:top w:val="nil"/>
          <w:left w:val="nil"/>
          <w:bottom w:val="single" w:color="4F81BD" w:sz="4" w:space="0"/>
          <w:right w:val="nil"/>
        </w:tcBorders>
      </w:tcPr>
    </w:tblStylePr>
    <w:tblStylePr w:type="lastRow">
      <w:rPr>
        <w:b/>
        <w:color w:val="404040"/>
      </w:rPr>
      <w:tcPr>
        <w:tcBorders>
          <w:top w:val="single" w:color="4F81BD" w:sz="4" w:space="0"/>
          <w:left w:val="nil"/>
          <w:bottom w:val="nil"/>
          <w:right w:val="nil"/>
        </w:tcBorders>
      </w:tcPr>
    </w:tblStylePr>
    <w:tblStylePr w:type="firstCol">
      <w:rPr>
        <w:b/>
        <w:color w:val="404040"/>
      </w:rPr>
    </w:tblStylePr>
    <w:tblStylePr w:type="lastCol">
      <w:rPr>
        <w:b/>
        <w:color w:val="404040"/>
      </w:rPr>
    </w:tblStylePr>
    <w:tblStylePr w:type="band1Vert">
      <w:tcPr>
        <w:shd w:val="clear" w:color="D2DFEE" w:fill="D2DFEE"/>
      </w:tcPr>
    </w:tblStylePr>
    <w:tblStylePr w:type="band1Horz">
      <w:tcPr>
        <w:shd w:val="clear" w:color="D2DFEE" w:fill="D2DFEE"/>
      </w:tcPr>
    </w:tblStylePr>
  </w:style>
  <w:style w:type="table" w:customStyle="1" w:styleId="1534">
    <w:name w:val="List Table 1 Light - Accent 27"/>
    <w:basedOn w:val="13"/>
    <w:uiPriority w:val="99"/>
    <w:rPr>
      <w:sz w:val="22"/>
      <w:szCs w:val="22"/>
      <w:lang w:eastAsia="en-US"/>
    </w:rPr>
    <w:tblPr>
      <w:tblCellMar>
        <w:top w:w="0" w:type="dxa"/>
        <w:left w:w="108" w:type="dxa"/>
        <w:bottom w:w="0" w:type="dxa"/>
        <w:right w:w="108" w:type="dxa"/>
      </w:tblCellMar>
    </w:tblPr>
    <w:tblStylePr w:type="firstRow">
      <w:rPr>
        <w:b/>
        <w:color w:val="404040"/>
      </w:rPr>
      <w:tcPr>
        <w:tcBorders>
          <w:top w:val="nil"/>
          <w:left w:val="nil"/>
          <w:bottom w:val="single" w:color="C0504D" w:sz="4" w:space="0"/>
          <w:right w:val="nil"/>
        </w:tcBorders>
      </w:tcPr>
    </w:tblStylePr>
    <w:tblStylePr w:type="lastRow">
      <w:rPr>
        <w:b/>
        <w:color w:val="404040"/>
      </w:rPr>
      <w:tcPr>
        <w:tcBorders>
          <w:top w:val="single" w:color="C0504D" w:sz="4" w:space="0"/>
          <w:left w:val="nil"/>
          <w:bottom w:val="nil"/>
          <w:right w:val="nil"/>
        </w:tcBorders>
      </w:tcPr>
    </w:tblStylePr>
    <w:tblStylePr w:type="firstCol">
      <w:rPr>
        <w:b/>
        <w:color w:val="404040"/>
      </w:rPr>
    </w:tblStylePr>
    <w:tblStylePr w:type="lastCol">
      <w:rPr>
        <w:b/>
        <w:color w:val="404040"/>
      </w:rPr>
    </w:tblStylePr>
    <w:tblStylePr w:type="band1Vert">
      <w:tcPr>
        <w:shd w:val="clear" w:color="EFD2D2" w:fill="EFD2D2"/>
      </w:tcPr>
    </w:tblStylePr>
    <w:tblStylePr w:type="band1Horz">
      <w:tcPr>
        <w:shd w:val="clear" w:color="EFD2D2" w:fill="EFD2D2"/>
      </w:tcPr>
    </w:tblStylePr>
  </w:style>
  <w:style w:type="table" w:customStyle="1" w:styleId="1535">
    <w:name w:val="List Table 1 Light - Accent 37"/>
    <w:basedOn w:val="13"/>
    <w:uiPriority w:val="99"/>
    <w:rPr>
      <w:sz w:val="22"/>
      <w:szCs w:val="22"/>
      <w:lang w:eastAsia="en-US"/>
    </w:rPr>
    <w:tblPr>
      <w:tblCellMar>
        <w:top w:w="0" w:type="dxa"/>
        <w:left w:w="108" w:type="dxa"/>
        <w:bottom w:w="0" w:type="dxa"/>
        <w:right w:w="108" w:type="dxa"/>
      </w:tblCellMar>
    </w:tblPr>
    <w:tblStylePr w:type="firstRow">
      <w:rPr>
        <w:b/>
        <w:color w:val="404040"/>
      </w:rPr>
      <w:tcPr>
        <w:tcBorders>
          <w:top w:val="nil"/>
          <w:left w:val="nil"/>
          <w:bottom w:val="single" w:color="9BBB59" w:sz="4" w:space="0"/>
          <w:right w:val="nil"/>
        </w:tcBorders>
      </w:tcPr>
    </w:tblStylePr>
    <w:tblStylePr w:type="lastRow">
      <w:rPr>
        <w:b/>
        <w:color w:val="404040"/>
      </w:rPr>
      <w:tcPr>
        <w:tcBorders>
          <w:top w:val="single" w:color="9BBB59" w:sz="4" w:space="0"/>
          <w:left w:val="nil"/>
          <w:bottom w:val="nil"/>
          <w:right w:val="nil"/>
        </w:tcBorders>
      </w:tcPr>
    </w:tblStylePr>
    <w:tblStylePr w:type="firstCol">
      <w:rPr>
        <w:b/>
        <w:color w:val="404040"/>
      </w:rPr>
    </w:tblStylePr>
    <w:tblStylePr w:type="lastCol">
      <w:rPr>
        <w:b/>
        <w:color w:val="404040"/>
      </w:rPr>
    </w:tblStylePr>
    <w:tblStylePr w:type="band1Vert">
      <w:tcPr>
        <w:shd w:val="clear" w:color="E5EED5" w:fill="E5EED5"/>
      </w:tcPr>
    </w:tblStylePr>
    <w:tblStylePr w:type="band1Horz">
      <w:tcPr>
        <w:shd w:val="clear" w:color="E5EED5" w:fill="E5EED5"/>
      </w:tcPr>
    </w:tblStylePr>
  </w:style>
  <w:style w:type="table" w:customStyle="1" w:styleId="1536">
    <w:name w:val="List Table 1 Light - Accent 47"/>
    <w:basedOn w:val="13"/>
    <w:uiPriority w:val="99"/>
    <w:rPr>
      <w:sz w:val="22"/>
      <w:szCs w:val="22"/>
      <w:lang w:eastAsia="en-US"/>
    </w:rPr>
    <w:tblPr>
      <w:tblCellMar>
        <w:top w:w="0" w:type="dxa"/>
        <w:left w:w="108" w:type="dxa"/>
        <w:bottom w:w="0" w:type="dxa"/>
        <w:right w:w="108" w:type="dxa"/>
      </w:tblCellMar>
    </w:tblPr>
    <w:tblStylePr w:type="firstRow">
      <w:rPr>
        <w:b/>
        <w:color w:val="404040"/>
      </w:rPr>
      <w:tcPr>
        <w:tcBorders>
          <w:top w:val="nil"/>
          <w:left w:val="nil"/>
          <w:bottom w:val="single" w:color="8064A2" w:sz="4" w:space="0"/>
          <w:right w:val="nil"/>
        </w:tcBorders>
      </w:tcPr>
    </w:tblStylePr>
    <w:tblStylePr w:type="lastRow">
      <w:rPr>
        <w:b/>
        <w:color w:val="404040"/>
      </w:rPr>
      <w:tcPr>
        <w:tcBorders>
          <w:top w:val="single" w:color="8064A2" w:sz="4" w:space="0"/>
          <w:left w:val="nil"/>
          <w:bottom w:val="nil"/>
          <w:right w:val="nil"/>
        </w:tcBorders>
      </w:tcPr>
    </w:tblStylePr>
    <w:tblStylePr w:type="firstCol">
      <w:rPr>
        <w:b/>
        <w:color w:val="404040"/>
      </w:rPr>
    </w:tblStylePr>
    <w:tblStylePr w:type="lastCol">
      <w:rPr>
        <w:b/>
        <w:color w:val="404040"/>
      </w:rPr>
    </w:tblStylePr>
    <w:tblStylePr w:type="band1Vert">
      <w:tcPr>
        <w:shd w:val="clear" w:color="DFD8E7" w:fill="DFD8E7"/>
      </w:tcPr>
    </w:tblStylePr>
    <w:tblStylePr w:type="band1Horz">
      <w:tcPr>
        <w:shd w:val="clear" w:color="DFD8E7" w:fill="DFD8E7"/>
      </w:tcPr>
    </w:tblStylePr>
  </w:style>
  <w:style w:type="table" w:customStyle="1" w:styleId="1537">
    <w:name w:val="List Table 1 Light - Accent 57"/>
    <w:basedOn w:val="13"/>
    <w:uiPriority w:val="99"/>
    <w:rPr>
      <w:sz w:val="22"/>
      <w:szCs w:val="22"/>
      <w:lang w:eastAsia="en-US"/>
    </w:rPr>
    <w:tblPr>
      <w:tblCellMar>
        <w:top w:w="0" w:type="dxa"/>
        <w:left w:w="108" w:type="dxa"/>
        <w:bottom w:w="0" w:type="dxa"/>
        <w:right w:w="108" w:type="dxa"/>
      </w:tblCellMar>
    </w:tblPr>
    <w:tblStylePr w:type="firstRow">
      <w:rPr>
        <w:b/>
        <w:color w:val="404040"/>
      </w:rPr>
      <w:tcPr>
        <w:tcBorders>
          <w:top w:val="nil"/>
          <w:left w:val="nil"/>
          <w:bottom w:val="single" w:color="4BACC6" w:sz="4" w:space="0"/>
          <w:right w:val="nil"/>
        </w:tcBorders>
      </w:tcPr>
    </w:tblStylePr>
    <w:tblStylePr w:type="lastRow">
      <w:rPr>
        <w:b/>
        <w:color w:val="404040"/>
      </w:rPr>
      <w:tcPr>
        <w:tcBorders>
          <w:top w:val="single" w:color="4BACC6" w:sz="4" w:space="0"/>
          <w:left w:val="nil"/>
          <w:bottom w:val="nil"/>
          <w:right w:val="nil"/>
        </w:tcBorders>
      </w:tcPr>
    </w:tblStylePr>
    <w:tblStylePr w:type="firstCol">
      <w:rPr>
        <w:b/>
        <w:color w:val="404040"/>
      </w:rPr>
    </w:tblStylePr>
    <w:tblStylePr w:type="lastCol">
      <w:rPr>
        <w:b/>
        <w:color w:val="404040"/>
      </w:rPr>
    </w:tblStylePr>
    <w:tblStylePr w:type="band1Vert">
      <w:tcPr>
        <w:shd w:val="clear" w:color="D1EAF0" w:fill="D1EAF0"/>
      </w:tcPr>
    </w:tblStylePr>
    <w:tblStylePr w:type="band1Horz">
      <w:tcPr>
        <w:shd w:val="clear" w:color="D1EAF0" w:fill="D1EAF0"/>
      </w:tcPr>
    </w:tblStylePr>
  </w:style>
  <w:style w:type="table" w:customStyle="1" w:styleId="1538">
    <w:name w:val="List Table 1 Light - Accent 67"/>
    <w:basedOn w:val="13"/>
    <w:uiPriority w:val="99"/>
    <w:rPr>
      <w:sz w:val="22"/>
      <w:szCs w:val="22"/>
      <w:lang w:eastAsia="en-US"/>
    </w:rPr>
    <w:tblPr>
      <w:tblCellMar>
        <w:top w:w="0" w:type="dxa"/>
        <w:left w:w="108" w:type="dxa"/>
        <w:bottom w:w="0" w:type="dxa"/>
        <w:right w:w="108" w:type="dxa"/>
      </w:tblCellMar>
    </w:tblPr>
    <w:tblStylePr w:type="firstRow">
      <w:rPr>
        <w:b/>
        <w:color w:val="404040"/>
      </w:rPr>
      <w:tcPr>
        <w:tcBorders>
          <w:top w:val="nil"/>
          <w:left w:val="nil"/>
          <w:bottom w:val="single" w:color="F79646" w:sz="4" w:space="0"/>
          <w:right w:val="nil"/>
        </w:tcBorders>
      </w:tcPr>
    </w:tblStylePr>
    <w:tblStylePr w:type="lastRow">
      <w:rPr>
        <w:b/>
        <w:color w:val="404040"/>
      </w:rPr>
      <w:tcPr>
        <w:tcBorders>
          <w:top w:val="single" w:color="F79646" w:sz="4" w:space="0"/>
          <w:left w:val="nil"/>
          <w:bottom w:val="nil"/>
          <w:right w:val="nil"/>
        </w:tcBorders>
      </w:tcPr>
    </w:tblStylePr>
    <w:tblStylePr w:type="firstCol">
      <w:rPr>
        <w:b/>
        <w:color w:val="404040"/>
      </w:rPr>
    </w:tblStylePr>
    <w:tblStylePr w:type="lastCol">
      <w:rPr>
        <w:b/>
        <w:color w:val="404040"/>
      </w:rPr>
    </w:tblStylePr>
    <w:tblStylePr w:type="band1Vert">
      <w:tcPr>
        <w:shd w:val="clear" w:color="FDE4D0" w:fill="FDE4D0"/>
      </w:tcPr>
    </w:tblStylePr>
    <w:tblStylePr w:type="band1Horz">
      <w:tcPr>
        <w:shd w:val="clear" w:color="FDE4D0" w:fill="FDE4D0"/>
      </w:tcPr>
    </w:tblStylePr>
  </w:style>
  <w:style w:type="table" w:customStyle="1" w:styleId="1539">
    <w:name w:val="Список-таблица 215"/>
    <w:basedOn w:val="13"/>
    <w:uiPriority w:val="99"/>
    <w:rPr>
      <w:sz w:val="22"/>
      <w:szCs w:val="22"/>
      <w:lang w:eastAsia="en-US"/>
    </w:rPr>
    <w:tblPr>
      <w:tblBorders>
        <w:top w:val="single" w:color="6F6F6F" w:sz="4" w:space="0"/>
        <w:bottom w:val="single" w:color="6F6F6F" w:sz="4" w:space="0"/>
        <w:insideH w:val="single" w:color="6F6F6F" w:sz="4" w:space="0"/>
      </w:tblBorders>
      <w:tblCellMar>
        <w:top w:w="0" w:type="dxa"/>
        <w:left w:w="108" w:type="dxa"/>
        <w:bottom w:w="0" w:type="dxa"/>
        <w:right w:w="108" w:type="dxa"/>
      </w:tblCellMar>
    </w:tblPr>
    <w:tblStylePr w:type="firstRow">
      <w:rPr>
        <w:rFonts w:ascii="Arial" w:hAnsi="Arial"/>
        <w:b/>
        <w:color w:val="404040"/>
        <w:sz w:val="22"/>
      </w:rPr>
      <w:tcPr>
        <w:tcBorders>
          <w:top w:val="single" w:color="6F6F6F" w:sz="4" w:space="0"/>
          <w:left w:val="nil"/>
          <w:bottom w:val="single" w:color="6F6F6F" w:sz="4" w:space="0"/>
          <w:right w:val="nil"/>
        </w:tcBorders>
      </w:tcPr>
    </w:tblStylePr>
    <w:tblStylePr w:type="lastRow">
      <w:rPr>
        <w:rFonts w:ascii="Arial" w:hAnsi="Arial"/>
        <w:b/>
        <w:color w:val="404040"/>
        <w:sz w:val="22"/>
      </w:rPr>
      <w:tcPr>
        <w:tcBorders>
          <w:top w:val="single" w:color="6F6F6F" w:sz="4" w:space="0"/>
          <w:left w:val="nil"/>
          <w:bottom w:val="single" w:color="6F6F6F"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BFBFBF" w:fill="BFBFBF"/>
      </w:tcPr>
    </w:tblStylePr>
    <w:tblStylePr w:type="band1Horz">
      <w:rPr>
        <w:rFonts w:ascii="Arial" w:hAnsi="Arial"/>
        <w:color w:val="404040"/>
        <w:sz w:val="22"/>
      </w:rPr>
      <w:tcPr>
        <w:shd w:val="clear" w:color="BFBFBF" w:fill="BFBFBF"/>
      </w:tcPr>
    </w:tblStylePr>
  </w:style>
  <w:style w:type="table" w:customStyle="1" w:styleId="1540">
    <w:name w:val="List Table 2 - Accent 17"/>
    <w:basedOn w:val="13"/>
    <w:uiPriority w:val="99"/>
    <w:rPr>
      <w:sz w:val="22"/>
      <w:szCs w:val="22"/>
      <w:lang w:eastAsia="en-US"/>
    </w:rPr>
    <w:tblPr>
      <w:tblBorders>
        <w:top w:val="single" w:color="9BB7D9" w:sz="4" w:space="0"/>
        <w:bottom w:val="single" w:color="9BB7D9" w:sz="4" w:space="0"/>
        <w:insideH w:val="single" w:color="9BB7D9" w:sz="4" w:space="0"/>
      </w:tblBorders>
      <w:tblCellMar>
        <w:top w:w="0" w:type="dxa"/>
        <w:left w:w="108" w:type="dxa"/>
        <w:bottom w:w="0" w:type="dxa"/>
        <w:right w:w="108" w:type="dxa"/>
      </w:tblCellMar>
    </w:tblPr>
    <w:tblStylePr w:type="firstRow">
      <w:rPr>
        <w:rFonts w:ascii="Arial" w:hAnsi="Arial"/>
        <w:b/>
        <w:color w:val="404040"/>
        <w:sz w:val="22"/>
      </w:rPr>
      <w:tcPr>
        <w:tcBorders>
          <w:top w:val="single" w:color="9BB7D9" w:sz="4" w:space="0"/>
          <w:left w:val="nil"/>
          <w:bottom w:val="single" w:color="9BB7D9" w:sz="4" w:space="0"/>
          <w:right w:val="nil"/>
        </w:tcBorders>
      </w:tcPr>
    </w:tblStylePr>
    <w:tblStylePr w:type="lastRow">
      <w:rPr>
        <w:rFonts w:ascii="Arial" w:hAnsi="Arial"/>
        <w:b/>
        <w:color w:val="404040"/>
        <w:sz w:val="22"/>
      </w:rPr>
      <w:tcPr>
        <w:tcBorders>
          <w:top w:val="single" w:color="9BB7D9" w:sz="4" w:space="0"/>
          <w:left w:val="nil"/>
          <w:bottom w:val="single" w:color="9BB7D9"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D2DFEE" w:fill="D2DFEE"/>
      </w:tcPr>
    </w:tblStylePr>
    <w:tblStylePr w:type="band1Horz">
      <w:rPr>
        <w:rFonts w:ascii="Arial" w:hAnsi="Arial"/>
        <w:color w:val="404040"/>
        <w:sz w:val="22"/>
      </w:rPr>
      <w:tcPr>
        <w:shd w:val="clear" w:color="D2DFEE" w:fill="D2DFEE"/>
      </w:tcPr>
    </w:tblStylePr>
  </w:style>
  <w:style w:type="table" w:customStyle="1" w:styleId="1541">
    <w:name w:val="List Table 2 - Accent 27"/>
    <w:basedOn w:val="13"/>
    <w:uiPriority w:val="99"/>
    <w:rPr>
      <w:sz w:val="22"/>
      <w:szCs w:val="22"/>
      <w:lang w:eastAsia="en-US"/>
    </w:rPr>
    <w:tblPr>
      <w:tblBorders>
        <w:top w:val="single" w:color="DB9B9A" w:sz="4" w:space="0"/>
        <w:bottom w:val="single" w:color="DB9B9A" w:sz="4" w:space="0"/>
        <w:insideH w:val="single" w:color="DB9B9A" w:sz="4" w:space="0"/>
      </w:tblBorders>
      <w:tblCellMar>
        <w:top w:w="0" w:type="dxa"/>
        <w:left w:w="108" w:type="dxa"/>
        <w:bottom w:w="0" w:type="dxa"/>
        <w:right w:w="108" w:type="dxa"/>
      </w:tblCellMar>
    </w:tblPr>
    <w:tblStylePr w:type="firstRow">
      <w:rPr>
        <w:rFonts w:ascii="Arial" w:hAnsi="Arial"/>
        <w:b/>
        <w:color w:val="404040"/>
        <w:sz w:val="22"/>
      </w:rPr>
      <w:tcPr>
        <w:tcBorders>
          <w:top w:val="single" w:color="DB9B9A" w:sz="4" w:space="0"/>
          <w:left w:val="nil"/>
          <w:bottom w:val="single" w:color="DB9B9A" w:sz="4" w:space="0"/>
          <w:right w:val="nil"/>
        </w:tcBorders>
      </w:tcPr>
    </w:tblStylePr>
    <w:tblStylePr w:type="lastRow">
      <w:rPr>
        <w:rFonts w:ascii="Arial" w:hAnsi="Arial"/>
        <w:b/>
        <w:color w:val="404040"/>
        <w:sz w:val="22"/>
      </w:rPr>
      <w:tcPr>
        <w:tcBorders>
          <w:top w:val="single" w:color="DB9B9A" w:sz="4" w:space="0"/>
          <w:left w:val="nil"/>
          <w:bottom w:val="single" w:color="DB9B9A"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EFD2D2" w:fill="EFD2D2"/>
      </w:tcPr>
    </w:tblStylePr>
    <w:tblStylePr w:type="band1Horz">
      <w:rPr>
        <w:rFonts w:ascii="Arial" w:hAnsi="Arial"/>
        <w:color w:val="404040"/>
        <w:sz w:val="22"/>
      </w:rPr>
      <w:tcPr>
        <w:shd w:val="clear" w:color="EFD2D2" w:fill="EFD2D2"/>
      </w:tcPr>
    </w:tblStylePr>
  </w:style>
  <w:style w:type="table" w:customStyle="1" w:styleId="1542">
    <w:name w:val="List Table 2 - Accent 37"/>
    <w:basedOn w:val="13"/>
    <w:uiPriority w:val="99"/>
    <w:rPr>
      <w:sz w:val="22"/>
      <w:szCs w:val="22"/>
      <w:lang w:eastAsia="en-US"/>
    </w:rPr>
    <w:tblPr>
      <w:tblBorders>
        <w:top w:val="single" w:color="C6D8A1" w:sz="4" w:space="0"/>
        <w:bottom w:val="single" w:color="C6D8A1" w:sz="4" w:space="0"/>
        <w:insideH w:val="single" w:color="C6D8A1" w:sz="4" w:space="0"/>
      </w:tblBorders>
      <w:tblCellMar>
        <w:top w:w="0" w:type="dxa"/>
        <w:left w:w="108" w:type="dxa"/>
        <w:bottom w:w="0" w:type="dxa"/>
        <w:right w:w="108" w:type="dxa"/>
      </w:tblCellMar>
    </w:tblPr>
    <w:tblStylePr w:type="firstRow">
      <w:rPr>
        <w:rFonts w:ascii="Arial" w:hAnsi="Arial"/>
        <w:b/>
        <w:color w:val="404040"/>
        <w:sz w:val="22"/>
      </w:rPr>
      <w:tcPr>
        <w:tcBorders>
          <w:top w:val="single" w:color="C6D8A1" w:sz="4" w:space="0"/>
          <w:left w:val="nil"/>
          <w:bottom w:val="single" w:color="C6D8A1" w:sz="4" w:space="0"/>
          <w:right w:val="nil"/>
        </w:tcBorders>
      </w:tcPr>
    </w:tblStylePr>
    <w:tblStylePr w:type="lastRow">
      <w:rPr>
        <w:rFonts w:ascii="Arial" w:hAnsi="Arial"/>
        <w:b/>
        <w:color w:val="404040"/>
        <w:sz w:val="22"/>
      </w:rPr>
      <w:tcPr>
        <w:tcBorders>
          <w:top w:val="single" w:color="C6D8A1" w:sz="4" w:space="0"/>
          <w:left w:val="nil"/>
          <w:bottom w:val="single" w:color="C6D8A1"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E5EED5" w:fill="E5EED5"/>
      </w:tcPr>
    </w:tblStylePr>
    <w:tblStylePr w:type="band1Horz">
      <w:rPr>
        <w:rFonts w:ascii="Arial" w:hAnsi="Arial"/>
        <w:color w:val="404040"/>
        <w:sz w:val="22"/>
      </w:rPr>
      <w:tcPr>
        <w:shd w:val="clear" w:color="E5EED5" w:fill="E5EED5"/>
      </w:tcPr>
    </w:tblStylePr>
  </w:style>
  <w:style w:type="table" w:customStyle="1" w:styleId="1543">
    <w:name w:val="List Table 2 - Accent 47"/>
    <w:basedOn w:val="13"/>
    <w:uiPriority w:val="99"/>
    <w:rPr>
      <w:sz w:val="22"/>
      <w:szCs w:val="22"/>
      <w:lang w:eastAsia="en-US"/>
    </w:rPr>
    <w:tblPr>
      <w:tblBorders>
        <w:top w:val="single" w:color="B7A7CA" w:sz="4" w:space="0"/>
        <w:bottom w:val="single" w:color="B7A7CA" w:sz="4" w:space="0"/>
        <w:insideH w:val="single" w:color="B7A7CA" w:sz="4" w:space="0"/>
      </w:tblBorders>
      <w:tblCellMar>
        <w:top w:w="0" w:type="dxa"/>
        <w:left w:w="108" w:type="dxa"/>
        <w:bottom w:w="0" w:type="dxa"/>
        <w:right w:w="108" w:type="dxa"/>
      </w:tblCellMar>
    </w:tblPr>
    <w:tblStylePr w:type="firstRow">
      <w:rPr>
        <w:rFonts w:ascii="Arial" w:hAnsi="Arial"/>
        <w:b/>
        <w:color w:val="404040"/>
        <w:sz w:val="22"/>
      </w:rPr>
      <w:tcPr>
        <w:tcBorders>
          <w:top w:val="single" w:color="B7A7CA" w:sz="4" w:space="0"/>
          <w:left w:val="nil"/>
          <w:bottom w:val="single" w:color="B7A7CA" w:sz="4" w:space="0"/>
          <w:right w:val="nil"/>
        </w:tcBorders>
      </w:tcPr>
    </w:tblStylePr>
    <w:tblStylePr w:type="lastRow">
      <w:rPr>
        <w:rFonts w:ascii="Arial" w:hAnsi="Arial"/>
        <w:b/>
        <w:color w:val="404040"/>
        <w:sz w:val="22"/>
      </w:rPr>
      <w:tcPr>
        <w:tcBorders>
          <w:top w:val="single" w:color="B7A7CA" w:sz="4" w:space="0"/>
          <w:left w:val="nil"/>
          <w:bottom w:val="single" w:color="B7A7CA"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DFD8E7" w:fill="DFD8E7"/>
      </w:tcPr>
    </w:tblStylePr>
    <w:tblStylePr w:type="band1Horz">
      <w:rPr>
        <w:rFonts w:ascii="Arial" w:hAnsi="Arial"/>
        <w:color w:val="404040"/>
        <w:sz w:val="22"/>
      </w:rPr>
      <w:tcPr>
        <w:shd w:val="clear" w:color="DFD8E7" w:fill="DFD8E7"/>
      </w:tcPr>
    </w:tblStylePr>
  </w:style>
  <w:style w:type="table" w:customStyle="1" w:styleId="1544">
    <w:name w:val="List Table 2 - Accent 57"/>
    <w:basedOn w:val="13"/>
    <w:uiPriority w:val="99"/>
    <w:rPr>
      <w:sz w:val="22"/>
      <w:szCs w:val="22"/>
      <w:lang w:eastAsia="en-US"/>
    </w:rPr>
    <w:tblPr>
      <w:tblBorders>
        <w:top w:val="single" w:color="99D0DE" w:sz="4" w:space="0"/>
        <w:bottom w:val="single" w:color="99D0DE" w:sz="4" w:space="0"/>
        <w:insideH w:val="single" w:color="99D0DE" w:sz="4" w:space="0"/>
      </w:tblBorders>
      <w:tblCellMar>
        <w:top w:w="0" w:type="dxa"/>
        <w:left w:w="108" w:type="dxa"/>
        <w:bottom w:w="0" w:type="dxa"/>
        <w:right w:w="108" w:type="dxa"/>
      </w:tblCellMar>
    </w:tblPr>
    <w:tblStylePr w:type="firstRow">
      <w:rPr>
        <w:rFonts w:ascii="Arial" w:hAnsi="Arial"/>
        <w:b/>
        <w:color w:val="404040"/>
        <w:sz w:val="22"/>
      </w:rPr>
      <w:tcPr>
        <w:tcBorders>
          <w:top w:val="single" w:color="99D0DE" w:sz="4" w:space="0"/>
          <w:left w:val="nil"/>
          <w:bottom w:val="single" w:color="99D0DE" w:sz="4" w:space="0"/>
          <w:right w:val="nil"/>
        </w:tcBorders>
      </w:tcPr>
    </w:tblStylePr>
    <w:tblStylePr w:type="lastRow">
      <w:rPr>
        <w:rFonts w:ascii="Arial" w:hAnsi="Arial"/>
        <w:b/>
        <w:color w:val="404040"/>
        <w:sz w:val="22"/>
      </w:rPr>
      <w:tcPr>
        <w:tcBorders>
          <w:top w:val="single" w:color="99D0DE" w:sz="4" w:space="0"/>
          <w:left w:val="nil"/>
          <w:bottom w:val="single" w:color="99D0DE"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D1EAF0" w:fill="D1EAF0"/>
      </w:tcPr>
    </w:tblStylePr>
    <w:tblStylePr w:type="band1Horz">
      <w:rPr>
        <w:rFonts w:ascii="Arial" w:hAnsi="Arial"/>
        <w:color w:val="404040"/>
        <w:sz w:val="22"/>
      </w:rPr>
      <w:tcPr>
        <w:shd w:val="clear" w:color="D1EAF0" w:fill="D1EAF0"/>
      </w:tcPr>
    </w:tblStylePr>
  </w:style>
  <w:style w:type="table" w:customStyle="1" w:styleId="1545">
    <w:name w:val="List Table 2 - Accent 67"/>
    <w:basedOn w:val="13"/>
    <w:uiPriority w:val="99"/>
    <w:rPr>
      <w:sz w:val="22"/>
      <w:szCs w:val="22"/>
      <w:lang w:eastAsia="en-US"/>
    </w:rPr>
    <w:tblPr>
      <w:tblBorders>
        <w:top w:val="single" w:color="FAC396" w:sz="4" w:space="0"/>
        <w:bottom w:val="single" w:color="FAC396" w:sz="4" w:space="0"/>
        <w:insideH w:val="single" w:color="FAC396" w:sz="4" w:space="0"/>
      </w:tblBorders>
      <w:tblCellMar>
        <w:top w:w="0" w:type="dxa"/>
        <w:left w:w="108" w:type="dxa"/>
        <w:bottom w:w="0" w:type="dxa"/>
        <w:right w:w="108" w:type="dxa"/>
      </w:tblCellMar>
    </w:tblPr>
    <w:tblStylePr w:type="firstRow">
      <w:rPr>
        <w:rFonts w:ascii="Arial" w:hAnsi="Arial"/>
        <w:b/>
        <w:color w:val="404040"/>
        <w:sz w:val="22"/>
      </w:rPr>
      <w:tcPr>
        <w:tcBorders>
          <w:top w:val="single" w:color="FAC396" w:sz="4" w:space="0"/>
          <w:left w:val="nil"/>
          <w:bottom w:val="single" w:color="FAC396" w:sz="4" w:space="0"/>
          <w:right w:val="nil"/>
        </w:tcBorders>
      </w:tcPr>
    </w:tblStylePr>
    <w:tblStylePr w:type="lastRow">
      <w:rPr>
        <w:rFonts w:ascii="Arial" w:hAnsi="Arial"/>
        <w:b/>
        <w:color w:val="404040"/>
        <w:sz w:val="22"/>
      </w:rPr>
      <w:tcPr>
        <w:tcBorders>
          <w:top w:val="single" w:color="FAC396" w:sz="4" w:space="0"/>
          <w:left w:val="nil"/>
          <w:bottom w:val="single" w:color="FAC396"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FDE4D0" w:fill="FDE4D0"/>
      </w:tcPr>
    </w:tblStylePr>
    <w:tblStylePr w:type="band1Horz">
      <w:rPr>
        <w:rFonts w:ascii="Arial" w:hAnsi="Arial"/>
        <w:color w:val="404040"/>
        <w:sz w:val="22"/>
      </w:rPr>
      <w:tcPr>
        <w:shd w:val="clear" w:color="FDE4D0" w:fill="FDE4D0"/>
      </w:tcPr>
    </w:tblStylePr>
  </w:style>
  <w:style w:type="table" w:customStyle="1" w:styleId="1546">
    <w:name w:val="Список-таблица 315"/>
    <w:basedOn w:val="13"/>
    <w:uiPriority w:val="99"/>
    <w:rPr>
      <w:sz w:val="22"/>
      <w:szCs w:val="22"/>
      <w:lang w:eastAsia="en-US"/>
    </w:rPr>
    <w:tblPr>
      <w:tblBorders>
        <w:top w:val="single" w:color="000000" w:sz="4" w:space="0"/>
        <w:left w:val="single" w:color="000000" w:sz="4" w:space="0"/>
        <w:bottom w:val="single" w:color="000000" w:sz="4" w:space="0"/>
        <w:right w:val="single" w:color="000000" w:sz="4" w:space="0"/>
      </w:tblBorders>
      <w:tblCellMar>
        <w:top w:w="0" w:type="dxa"/>
        <w:left w:w="108" w:type="dxa"/>
        <w:bottom w:w="0" w:type="dxa"/>
        <w:right w:w="108" w:type="dxa"/>
      </w:tblCellMar>
    </w:tblPr>
    <w:tblStylePr w:type="firstRow">
      <w:rPr>
        <w:rFonts w:ascii="Arial" w:hAnsi="Arial"/>
        <w:b/>
        <w:color w:val="FFFFFF"/>
        <w:sz w:val="22"/>
      </w:r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000000" w:sz="4" w:space="0"/>
          <w:right w:val="single" w:color="000000" w:sz="4" w:space="0"/>
        </w:tcBorders>
      </w:tcPr>
    </w:tblStylePr>
    <w:tblStylePr w:type="band1Horz">
      <w:rPr>
        <w:rFonts w:ascii="Arial" w:hAnsi="Arial"/>
        <w:color w:val="404040"/>
        <w:sz w:val="22"/>
      </w:rPr>
      <w:tcPr>
        <w:tcBorders>
          <w:top w:val="single" w:color="000000" w:sz="4" w:space="0"/>
          <w:bottom w:val="single" w:color="000000" w:sz="4" w:space="0"/>
        </w:tcBorders>
      </w:tcPr>
    </w:tblStylePr>
  </w:style>
  <w:style w:type="table" w:customStyle="1" w:styleId="1547">
    <w:name w:val="List Table 3 - Accent 17"/>
    <w:basedOn w:val="13"/>
    <w:uiPriority w:val="99"/>
    <w:rPr>
      <w:sz w:val="22"/>
      <w:szCs w:val="22"/>
      <w:lang w:eastAsia="en-US"/>
    </w:rPr>
    <w:tblPr>
      <w:tblBorders>
        <w:top w:val="single" w:color="4F81BD" w:sz="4" w:space="0"/>
        <w:left w:val="single" w:color="4F81BD" w:sz="4" w:space="0"/>
        <w:bottom w:val="single" w:color="4F81BD" w:sz="4" w:space="0"/>
        <w:right w:val="single" w:color="4F81BD" w:sz="4" w:space="0"/>
      </w:tblBorders>
      <w:tblCellMar>
        <w:top w:w="0" w:type="dxa"/>
        <w:left w:w="108" w:type="dxa"/>
        <w:bottom w:w="0" w:type="dxa"/>
        <w:right w:w="108" w:type="dxa"/>
      </w:tblCellMar>
    </w:tblPr>
    <w:tblStylePr w:type="firstRow">
      <w:rPr>
        <w:rFonts w:ascii="Arial" w:hAnsi="Arial"/>
        <w:b/>
        <w:color w:val="FFFFFF"/>
        <w:sz w:val="22"/>
      </w:rPr>
      <w:tcPr>
        <w:shd w:val="clear" w:color="4F81BD"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4F81BD" w:sz="4" w:space="0"/>
          <w:right w:val="single" w:color="4F81BD" w:sz="4" w:space="0"/>
        </w:tcBorders>
      </w:tcPr>
    </w:tblStylePr>
    <w:tblStylePr w:type="band1Horz">
      <w:rPr>
        <w:rFonts w:ascii="Arial" w:hAnsi="Arial"/>
        <w:color w:val="404040"/>
        <w:sz w:val="22"/>
      </w:rPr>
      <w:tcPr>
        <w:tcBorders>
          <w:top w:val="single" w:color="4F81BD" w:sz="4" w:space="0"/>
          <w:bottom w:val="single" w:color="4F81BD" w:sz="4" w:space="0"/>
        </w:tcBorders>
      </w:tcPr>
    </w:tblStylePr>
  </w:style>
  <w:style w:type="table" w:customStyle="1" w:styleId="1548">
    <w:name w:val="List Table 3 - Accent 27"/>
    <w:basedOn w:val="13"/>
    <w:uiPriority w:val="99"/>
    <w:rPr>
      <w:sz w:val="22"/>
      <w:szCs w:val="22"/>
      <w:lang w:eastAsia="en-US"/>
    </w:rPr>
    <w:tblPr>
      <w:tblBorders>
        <w:top w:val="single" w:color="D99695" w:sz="4" w:space="0"/>
        <w:left w:val="single" w:color="D99695" w:sz="4" w:space="0"/>
        <w:bottom w:val="single" w:color="D99695" w:sz="4" w:space="0"/>
        <w:right w:val="single" w:color="D99695" w:sz="4" w:space="0"/>
      </w:tblBorders>
      <w:tblCellMar>
        <w:top w:w="0" w:type="dxa"/>
        <w:left w:w="108" w:type="dxa"/>
        <w:bottom w:w="0" w:type="dxa"/>
        <w:right w:w="108" w:type="dxa"/>
      </w:tblCellMar>
    </w:tblPr>
    <w:tblStylePr w:type="firstRow">
      <w:rPr>
        <w:rFonts w:ascii="Arial" w:hAnsi="Arial"/>
        <w:b/>
        <w:color w:val="FFFFFF"/>
        <w:sz w:val="22"/>
      </w:rPr>
      <w:tcPr>
        <w:shd w:val="clear" w:color="D99695" w:fill="D9969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D99695" w:sz="4" w:space="0"/>
          <w:right w:val="single" w:color="D99695" w:sz="4" w:space="0"/>
        </w:tcBorders>
      </w:tcPr>
    </w:tblStylePr>
    <w:tblStylePr w:type="band1Horz">
      <w:rPr>
        <w:rFonts w:ascii="Arial" w:hAnsi="Arial"/>
        <w:color w:val="404040"/>
        <w:sz w:val="22"/>
      </w:rPr>
      <w:tcPr>
        <w:tcBorders>
          <w:top w:val="single" w:color="D99695" w:sz="4" w:space="0"/>
          <w:bottom w:val="single" w:color="D99695" w:sz="4" w:space="0"/>
        </w:tcBorders>
      </w:tcPr>
    </w:tblStylePr>
  </w:style>
  <w:style w:type="table" w:customStyle="1" w:styleId="1549">
    <w:name w:val="List Table 3 - Accent 37"/>
    <w:basedOn w:val="13"/>
    <w:uiPriority w:val="99"/>
    <w:rPr>
      <w:sz w:val="22"/>
      <w:szCs w:val="22"/>
      <w:lang w:eastAsia="en-US"/>
    </w:rPr>
    <w:tblPr>
      <w:tblBorders>
        <w:top w:val="single" w:color="C3D69B" w:sz="4" w:space="0"/>
        <w:left w:val="single" w:color="C3D69B" w:sz="4" w:space="0"/>
        <w:bottom w:val="single" w:color="C3D69B" w:sz="4" w:space="0"/>
        <w:right w:val="single" w:color="C3D69B" w:sz="4" w:space="0"/>
      </w:tblBorders>
      <w:tblCellMar>
        <w:top w:w="0" w:type="dxa"/>
        <w:left w:w="108" w:type="dxa"/>
        <w:bottom w:w="0" w:type="dxa"/>
        <w:right w:w="108" w:type="dxa"/>
      </w:tblCellMar>
    </w:tblPr>
    <w:tblStylePr w:type="firstRow">
      <w:rPr>
        <w:rFonts w:ascii="Arial" w:hAnsi="Arial"/>
        <w:b/>
        <w:color w:val="FFFFFF"/>
        <w:sz w:val="22"/>
      </w:rPr>
      <w:tcPr>
        <w:shd w:val="clear" w:color="C3D69B" w:fill="C3D69B"/>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C3D69B" w:sz="4" w:space="0"/>
          <w:right w:val="single" w:color="C3D69B" w:sz="4" w:space="0"/>
        </w:tcBorders>
      </w:tcPr>
    </w:tblStylePr>
    <w:tblStylePr w:type="band1Horz">
      <w:rPr>
        <w:rFonts w:ascii="Arial" w:hAnsi="Arial"/>
        <w:color w:val="404040"/>
        <w:sz w:val="22"/>
      </w:rPr>
      <w:tcPr>
        <w:tcBorders>
          <w:top w:val="single" w:color="C3D69B" w:sz="4" w:space="0"/>
          <w:bottom w:val="single" w:color="C3D69B" w:sz="4" w:space="0"/>
        </w:tcBorders>
      </w:tcPr>
    </w:tblStylePr>
  </w:style>
  <w:style w:type="table" w:customStyle="1" w:styleId="1550">
    <w:name w:val="List Table 3 - Accent 47"/>
    <w:basedOn w:val="13"/>
    <w:uiPriority w:val="99"/>
    <w:rPr>
      <w:sz w:val="22"/>
      <w:szCs w:val="22"/>
      <w:lang w:eastAsia="en-US"/>
    </w:rPr>
    <w:tblPr>
      <w:tblBorders>
        <w:top w:val="single" w:color="B2A1C6" w:sz="4" w:space="0"/>
        <w:left w:val="single" w:color="B2A1C6" w:sz="4" w:space="0"/>
        <w:bottom w:val="single" w:color="B2A1C6" w:sz="4" w:space="0"/>
        <w:right w:val="single" w:color="B2A1C6" w:sz="4" w:space="0"/>
      </w:tblBorders>
      <w:tblCellMar>
        <w:top w:w="0" w:type="dxa"/>
        <w:left w:w="108" w:type="dxa"/>
        <w:bottom w:w="0" w:type="dxa"/>
        <w:right w:w="108" w:type="dxa"/>
      </w:tblCellMar>
    </w:tblPr>
    <w:tblStylePr w:type="firstRow">
      <w:rPr>
        <w:rFonts w:ascii="Arial" w:hAnsi="Arial"/>
        <w:b/>
        <w:color w:val="FFFFFF"/>
        <w:sz w:val="22"/>
      </w:rPr>
      <w:tcPr>
        <w:shd w:val="clear" w:color="B2A1C6" w:fill="B2A1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B2A1C6" w:sz="4" w:space="0"/>
          <w:right w:val="single" w:color="B2A1C6" w:sz="4" w:space="0"/>
        </w:tcBorders>
      </w:tcPr>
    </w:tblStylePr>
    <w:tblStylePr w:type="band1Horz">
      <w:rPr>
        <w:rFonts w:ascii="Arial" w:hAnsi="Arial"/>
        <w:color w:val="404040"/>
        <w:sz w:val="22"/>
      </w:rPr>
      <w:tcPr>
        <w:tcBorders>
          <w:top w:val="single" w:color="B2A1C6" w:sz="4" w:space="0"/>
          <w:bottom w:val="single" w:color="B2A1C6" w:sz="4" w:space="0"/>
        </w:tcBorders>
      </w:tcPr>
    </w:tblStylePr>
  </w:style>
  <w:style w:type="table" w:customStyle="1" w:styleId="1551">
    <w:name w:val="List Table 3 - Accent 57"/>
    <w:basedOn w:val="13"/>
    <w:uiPriority w:val="99"/>
    <w:rPr>
      <w:sz w:val="22"/>
      <w:szCs w:val="22"/>
      <w:lang w:eastAsia="en-US"/>
    </w:rPr>
    <w:tblPr>
      <w:tblBorders>
        <w:top w:val="single" w:color="92CCDC" w:sz="4" w:space="0"/>
        <w:left w:val="single" w:color="92CCDC" w:sz="4" w:space="0"/>
        <w:bottom w:val="single" w:color="92CCDC" w:sz="4" w:space="0"/>
        <w:right w:val="single" w:color="92CCDC" w:sz="4" w:space="0"/>
      </w:tblBorders>
      <w:tblCellMar>
        <w:top w:w="0" w:type="dxa"/>
        <w:left w:w="108" w:type="dxa"/>
        <w:bottom w:w="0" w:type="dxa"/>
        <w:right w:w="108" w:type="dxa"/>
      </w:tblCellMar>
    </w:tblPr>
    <w:tblStylePr w:type="firstRow">
      <w:rPr>
        <w:rFonts w:ascii="Arial" w:hAnsi="Arial"/>
        <w:b/>
        <w:color w:val="FFFFFF"/>
        <w:sz w:val="22"/>
      </w:rPr>
      <w:tcPr>
        <w:shd w:val="clear" w:color="92CCDC" w:fill="92CCDC"/>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92CCDC" w:sz="4" w:space="0"/>
          <w:right w:val="single" w:color="92CCDC" w:sz="4" w:space="0"/>
        </w:tcBorders>
      </w:tcPr>
    </w:tblStylePr>
    <w:tblStylePr w:type="band1Horz">
      <w:rPr>
        <w:rFonts w:ascii="Arial" w:hAnsi="Arial"/>
        <w:color w:val="404040"/>
        <w:sz w:val="22"/>
      </w:rPr>
      <w:tcPr>
        <w:tcBorders>
          <w:top w:val="single" w:color="92CCDC" w:sz="4" w:space="0"/>
          <w:bottom w:val="single" w:color="92CCDC" w:sz="4" w:space="0"/>
        </w:tcBorders>
      </w:tcPr>
    </w:tblStylePr>
  </w:style>
  <w:style w:type="table" w:customStyle="1" w:styleId="1552">
    <w:name w:val="List Table 3 - Accent 67"/>
    <w:basedOn w:val="13"/>
    <w:uiPriority w:val="99"/>
    <w:rPr>
      <w:sz w:val="22"/>
      <w:szCs w:val="22"/>
      <w:lang w:eastAsia="en-US"/>
    </w:rPr>
    <w:tblPr>
      <w:tblBorders>
        <w:top w:val="single" w:color="FAC090" w:sz="4" w:space="0"/>
        <w:left w:val="single" w:color="FAC090" w:sz="4" w:space="0"/>
        <w:bottom w:val="single" w:color="FAC090" w:sz="4" w:space="0"/>
        <w:right w:val="single" w:color="FAC090" w:sz="4" w:space="0"/>
      </w:tblBorders>
      <w:tblCellMar>
        <w:top w:w="0" w:type="dxa"/>
        <w:left w:w="108" w:type="dxa"/>
        <w:bottom w:w="0" w:type="dxa"/>
        <w:right w:w="108" w:type="dxa"/>
      </w:tblCellMar>
    </w:tblPr>
    <w:tblStylePr w:type="firstRow">
      <w:rPr>
        <w:rFonts w:ascii="Arial" w:hAnsi="Arial"/>
        <w:b/>
        <w:color w:val="FFFFFF"/>
        <w:sz w:val="22"/>
      </w:rPr>
      <w:tcPr>
        <w:shd w:val="clear" w:color="FAC090" w:fill="FAC09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FAC090" w:sz="4" w:space="0"/>
          <w:right w:val="single" w:color="FAC090" w:sz="4" w:space="0"/>
        </w:tcBorders>
      </w:tcPr>
    </w:tblStylePr>
    <w:tblStylePr w:type="band1Horz">
      <w:rPr>
        <w:rFonts w:ascii="Arial" w:hAnsi="Arial"/>
        <w:color w:val="404040"/>
        <w:sz w:val="22"/>
      </w:rPr>
      <w:tcPr>
        <w:tcBorders>
          <w:top w:val="single" w:color="FAC090" w:sz="4" w:space="0"/>
          <w:bottom w:val="single" w:color="FAC090" w:sz="4" w:space="0"/>
        </w:tcBorders>
      </w:tcPr>
    </w:tblStylePr>
  </w:style>
  <w:style w:type="table" w:customStyle="1" w:styleId="1553">
    <w:name w:val="Список-таблица 415"/>
    <w:basedOn w:val="13"/>
    <w:uiPriority w:val="99"/>
    <w:rPr>
      <w:sz w:val="22"/>
      <w:szCs w:val="22"/>
      <w:lang w:eastAsia="en-US"/>
    </w:rPr>
    <w:tblPr>
      <w:tblBorders>
        <w:top w:val="single" w:color="000000" w:sz="4" w:space="0"/>
        <w:left w:val="single" w:color="000000" w:sz="4" w:space="0"/>
        <w:bottom w:val="single" w:color="000000" w:sz="4" w:space="0"/>
        <w:right w:val="single" w:color="000000" w:sz="4" w:space="0"/>
        <w:insideH w:val="single" w:color="000000" w:sz="4" w:space="0"/>
      </w:tblBorders>
      <w:tblCellMar>
        <w:top w:w="0" w:type="dxa"/>
        <w:left w:w="108" w:type="dxa"/>
        <w:bottom w:w="0" w:type="dxa"/>
        <w:right w:w="108" w:type="dxa"/>
      </w:tblCellMar>
    </w:tblPr>
    <w:tblStylePr w:type="firstRow">
      <w:rPr>
        <w:rFonts w:ascii="Arial" w:hAnsi="Arial"/>
        <w:b/>
        <w:color w:val="FFFFFF"/>
        <w:sz w:val="22"/>
      </w:r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BFBFBF" w:fill="BFBFBF"/>
      </w:tcPr>
    </w:tblStylePr>
    <w:tblStylePr w:type="band1Horz">
      <w:rPr>
        <w:rFonts w:ascii="Arial" w:hAnsi="Arial"/>
        <w:color w:val="404040"/>
        <w:sz w:val="22"/>
      </w:rPr>
      <w:tcPr>
        <w:shd w:val="clear" w:color="BFBFBF" w:fill="BFBFBF"/>
      </w:tcPr>
    </w:tblStylePr>
  </w:style>
  <w:style w:type="table" w:customStyle="1" w:styleId="1554">
    <w:name w:val="List Table 4 - Accent 17"/>
    <w:basedOn w:val="13"/>
    <w:uiPriority w:val="99"/>
    <w:rPr>
      <w:sz w:val="22"/>
      <w:szCs w:val="22"/>
      <w:lang w:eastAsia="en-US"/>
    </w:rPr>
    <w:tblPr>
      <w:tblBorders>
        <w:top w:val="single" w:color="9BB7D9" w:sz="4" w:space="0"/>
        <w:left w:val="single" w:color="9BB7D9" w:sz="4" w:space="0"/>
        <w:bottom w:val="single" w:color="9BB7D9" w:sz="4" w:space="0"/>
        <w:right w:val="single" w:color="9BB7D9" w:sz="4" w:space="0"/>
        <w:insideH w:val="single" w:color="9BB7D9" w:sz="4" w:space="0"/>
      </w:tblBorders>
      <w:tblCellMar>
        <w:top w:w="0" w:type="dxa"/>
        <w:left w:w="108" w:type="dxa"/>
        <w:bottom w:w="0" w:type="dxa"/>
        <w:right w:w="108" w:type="dxa"/>
      </w:tblCellMar>
    </w:tblPr>
    <w:tblStylePr w:type="firstRow">
      <w:rPr>
        <w:rFonts w:ascii="Arial" w:hAnsi="Arial"/>
        <w:b/>
        <w:color w:val="FFFFFF"/>
        <w:sz w:val="22"/>
      </w:rPr>
      <w:tcPr>
        <w:shd w:val="clear" w:color="4F81BD"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D2DFEE" w:fill="D2DFEE"/>
      </w:tcPr>
    </w:tblStylePr>
    <w:tblStylePr w:type="band1Horz">
      <w:rPr>
        <w:rFonts w:ascii="Arial" w:hAnsi="Arial"/>
        <w:color w:val="404040"/>
        <w:sz w:val="22"/>
      </w:rPr>
      <w:tcPr>
        <w:shd w:val="clear" w:color="D2DFEE" w:fill="D2DFEE"/>
      </w:tcPr>
    </w:tblStylePr>
  </w:style>
  <w:style w:type="table" w:customStyle="1" w:styleId="1555">
    <w:name w:val="List Table 4 - Accent 27"/>
    <w:basedOn w:val="13"/>
    <w:uiPriority w:val="99"/>
    <w:rPr>
      <w:sz w:val="22"/>
      <w:szCs w:val="22"/>
      <w:lang w:eastAsia="en-US"/>
    </w:rPr>
    <w:tblPr>
      <w:tblBorders>
        <w:top w:val="single" w:color="DB9B9A" w:sz="4" w:space="0"/>
        <w:left w:val="single" w:color="DB9B9A" w:sz="4" w:space="0"/>
        <w:bottom w:val="single" w:color="DB9B9A" w:sz="4" w:space="0"/>
        <w:right w:val="single" w:color="DB9B9A" w:sz="4" w:space="0"/>
        <w:insideH w:val="single" w:color="DB9B9A" w:sz="4" w:space="0"/>
      </w:tblBorders>
      <w:tblCellMar>
        <w:top w:w="0" w:type="dxa"/>
        <w:left w:w="108" w:type="dxa"/>
        <w:bottom w:w="0" w:type="dxa"/>
        <w:right w:w="108" w:type="dxa"/>
      </w:tblCellMar>
    </w:tblPr>
    <w:tblStylePr w:type="firstRow">
      <w:rPr>
        <w:rFonts w:ascii="Arial" w:hAnsi="Arial"/>
        <w:b/>
        <w:color w:val="FFFFFF"/>
        <w:sz w:val="22"/>
      </w:rPr>
      <w:tcPr>
        <w:shd w:val="clear" w:color="C0504D" w:fill="C0504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EFD2D2" w:fill="EFD2D2"/>
      </w:tcPr>
    </w:tblStylePr>
    <w:tblStylePr w:type="band1Horz">
      <w:rPr>
        <w:rFonts w:ascii="Arial" w:hAnsi="Arial"/>
        <w:color w:val="404040"/>
        <w:sz w:val="22"/>
      </w:rPr>
      <w:tcPr>
        <w:shd w:val="clear" w:color="EFD2D2" w:fill="EFD2D2"/>
      </w:tcPr>
    </w:tblStylePr>
  </w:style>
  <w:style w:type="table" w:customStyle="1" w:styleId="1556">
    <w:name w:val="List Table 4 - Accent 37"/>
    <w:basedOn w:val="13"/>
    <w:uiPriority w:val="99"/>
    <w:rPr>
      <w:sz w:val="22"/>
      <w:szCs w:val="22"/>
      <w:lang w:eastAsia="en-US"/>
    </w:rPr>
    <w:tblPr>
      <w:tblBorders>
        <w:top w:val="single" w:color="C6D8A1" w:sz="4" w:space="0"/>
        <w:left w:val="single" w:color="C6D8A1" w:sz="4" w:space="0"/>
        <w:bottom w:val="single" w:color="C6D8A1" w:sz="4" w:space="0"/>
        <w:right w:val="single" w:color="C6D8A1" w:sz="4" w:space="0"/>
        <w:insideH w:val="single" w:color="C6D8A1" w:sz="4" w:space="0"/>
      </w:tblBorders>
      <w:tblCellMar>
        <w:top w:w="0" w:type="dxa"/>
        <w:left w:w="108" w:type="dxa"/>
        <w:bottom w:w="0" w:type="dxa"/>
        <w:right w:w="108" w:type="dxa"/>
      </w:tblCellMar>
    </w:tblPr>
    <w:tblStylePr w:type="firstRow">
      <w:rPr>
        <w:rFonts w:ascii="Arial" w:hAnsi="Arial"/>
        <w:b/>
        <w:color w:val="FFFFFF"/>
        <w:sz w:val="22"/>
      </w:rPr>
      <w:tcPr>
        <w:shd w:val="clear" w:color="9BBB59" w:fill="9BBB59"/>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E5EED5" w:fill="E5EED5"/>
      </w:tcPr>
    </w:tblStylePr>
    <w:tblStylePr w:type="band1Horz">
      <w:rPr>
        <w:rFonts w:ascii="Arial" w:hAnsi="Arial"/>
        <w:color w:val="404040"/>
        <w:sz w:val="22"/>
      </w:rPr>
      <w:tcPr>
        <w:shd w:val="clear" w:color="E5EED5" w:fill="E5EED5"/>
      </w:tcPr>
    </w:tblStylePr>
  </w:style>
  <w:style w:type="table" w:customStyle="1" w:styleId="1557">
    <w:name w:val="List Table 4 - Accent 47"/>
    <w:basedOn w:val="13"/>
    <w:uiPriority w:val="99"/>
    <w:rPr>
      <w:sz w:val="22"/>
      <w:szCs w:val="22"/>
      <w:lang w:eastAsia="en-US"/>
    </w:rPr>
    <w:tblPr>
      <w:tblBorders>
        <w:top w:val="single" w:color="B7A7CA" w:sz="4" w:space="0"/>
        <w:left w:val="single" w:color="B7A7CA" w:sz="4" w:space="0"/>
        <w:bottom w:val="single" w:color="B7A7CA" w:sz="4" w:space="0"/>
        <w:right w:val="single" w:color="B7A7CA" w:sz="4" w:space="0"/>
        <w:insideH w:val="single" w:color="B7A7CA" w:sz="4" w:space="0"/>
      </w:tblBorders>
      <w:tblCellMar>
        <w:top w:w="0" w:type="dxa"/>
        <w:left w:w="108" w:type="dxa"/>
        <w:bottom w:w="0" w:type="dxa"/>
        <w:right w:w="108" w:type="dxa"/>
      </w:tblCellMar>
    </w:tblPr>
    <w:tblStylePr w:type="firstRow">
      <w:rPr>
        <w:rFonts w:ascii="Arial" w:hAnsi="Arial"/>
        <w:b/>
        <w:color w:val="FFFFFF"/>
        <w:sz w:val="22"/>
      </w:rPr>
      <w:tcPr>
        <w:shd w:val="clear" w:color="8064A2" w:fill="8064A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DFD8E7" w:fill="DFD8E7"/>
      </w:tcPr>
    </w:tblStylePr>
    <w:tblStylePr w:type="band1Horz">
      <w:rPr>
        <w:rFonts w:ascii="Arial" w:hAnsi="Arial"/>
        <w:color w:val="404040"/>
        <w:sz w:val="22"/>
      </w:rPr>
      <w:tcPr>
        <w:shd w:val="clear" w:color="DFD8E7" w:fill="DFD8E7"/>
      </w:tcPr>
    </w:tblStylePr>
  </w:style>
  <w:style w:type="table" w:customStyle="1" w:styleId="1558">
    <w:name w:val="List Table 4 - Accent 57"/>
    <w:basedOn w:val="13"/>
    <w:uiPriority w:val="99"/>
    <w:rPr>
      <w:sz w:val="22"/>
      <w:szCs w:val="22"/>
      <w:lang w:eastAsia="en-US"/>
    </w:rPr>
    <w:tblPr>
      <w:tblBorders>
        <w:top w:val="single" w:color="99D0DE" w:sz="4" w:space="0"/>
        <w:left w:val="single" w:color="99D0DE" w:sz="4" w:space="0"/>
        <w:bottom w:val="single" w:color="99D0DE" w:sz="4" w:space="0"/>
        <w:right w:val="single" w:color="99D0DE" w:sz="4" w:space="0"/>
        <w:insideH w:val="single" w:color="99D0DE" w:sz="4" w:space="0"/>
      </w:tblBorders>
      <w:tblCellMar>
        <w:top w:w="0" w:type="dxa"/>
        <w:left w:w="108" w:type="dxa"/>
        <w:bottom w:w="0" w:type="dxa"/>
        <w:right w:w="108" w:type="dxa"/>
      </w:tblCellMar>
    </w:tblPr>
    <w:tblStylePr w:type="firstRow">
      <w:rPr>
        <w:rFonts w:ascii="Arial" w:hAnsi="Arial"/>
        <w:b/>
        <w:color w:val="FFFFFF"/>
        <w:sz w:val="22"/>
      </w:rPr>
      <w:tcPr>
        <w:shd w:val="clear" w:color="4BACC6" w:fill="4BAC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D1EAF0" w:fill="D1EAF0"/>
      </w:tcPr>
    </w:tblStylePr>
    <w:tblStylePr w:type="band1Horz">
      <w:rPr>
        <w:rFonts w:ascii="Arial" w:hAnsi="Arial"/>
        <w:color w:val="404040"/>
        <w:sz w:val="22"/>
      </w:rPr>
      <w:tcPr>
        <w:shd w:val="clear" w:color="D1EAF0" w:fill="D1EAF0"/>
      </w:tcPr>
    </w:tblStylePr>
  </w:style>
  <w:style w:type="table" w:customStyle="1" w:styleId="1559">
    <w:name w:val="List Table 4 - Accent 67"/>
    <w:basedOn w:val="13"/>
    <w:uiPriority w:val="99"/>
    <w:rPr>
      <w:sz w:val="22"/>
      <w:szCs w:val="22"/>
      <w:lang w:eastAsia="en-US"/>
    </w:rPr>
    <w:tblPr>
      <w:tblBorders>
        <w:top w:val="single" w:color="FAC396" w:sz="4" w:space="0"/>
        <w:left w:val="single" w:color="FAC396" w:sz="4" w:space="0"/>
        <w:bottom w:val="single" w:color="FAC396" w:sz="4" w:space="0"/>
        <w:right w:val="single" w:color="FAC396" w:sz="4" w:space="0"/>
        <w:insideH w:val="single" w:color="FAC396" w:sz="4" w:space="0"/>
      </w:tblBorders>
      <w:tblCellMar>
        <w:top w:w="0" w:type="dxa"/>
        <w:left w:w="108" w:type="dxa"/>
        <w:bottom w:w="0" w:type="dxa"/>
        <w:right w:w="108" w:type="dxa"/>
      </w:tblCellMar>
    </w:tblPr>
    <w:tblStylePr w:type="firstRow">
      <w:rPr>
        <w:rFonts w:ascii="Arial" w:hAnsi="Arial"/>
        <w:b/>
        <w:color w:val="FFFFFF"/>
        <w:sz w:val="22"/>
      </w:rPr>
      <w:tcPr>
        <w:shd w:val="clear" w:color="F79646" w:fill="F7964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FDE4D0" w:fill="FDE4D0"/>
      </w:tcPr>
    </w:tblStylePr>
    <w:tblStylePr w:type="band1Horz">
      <w:rPr>
        <w:rFonts w:ascii="Arial" w:hAnsi="Arial"/>
        <w:color w:val="404040"/>
        <w:sz w:val="22"/>
      </w:rPr>
      <w:tcPr>
        <w:shd w:val="clear" w:color="FDE4D0" w:fill="FDE4D0"/>
      </w:tcPr>
    </w:tblStylePr>
  </w:style>
  <w:style w:type="table" w:customStyle="1" w:styleId="1560">
    <w:name w:val="Список-таблица 5 темная15"/>
    <w:basedOn w:val="13"/>
    <w:uiPriority w:val="99"/>
    <w:rPr>
      <w:sz w:val="22"/>
      <w:szCs w:val="22"/>
      <w:lang w:eastAsia="en-US"/>
    </w:rPr>
    <w:tblPr>
      <w:tblBorders>
        <w:top w:val="single" w:color="7F7F7F" w:sz="32" w:space="0"/>
        <w:left w:val="single" w:color="7F7F7F" w:sz="32" w:space="0"/>
        <w:bottom w:val="single" w:color="7F7F7F" w:sz="32" w:space="0"/>
        <w:right w:val="single" w:color="7F7F7F" w:sz="32" w:space="0"/>
      </w:tblBorders>
      <w:tblCellMar>
        <w:top w:w="0" w:type="dxa"/>
        <w:left w:w="108" w:type="dxa"/>
        <w:bottom w:w="0" w:type="dxa"/>
        <w:right w:w="108" w:type="dxa"/>
      </w:tblCellMar>
    </w:tblPr>
    <w:tblStylePr w:type="firstRow">
      <w:rPr>
        <w:rFonts w:ascii="Arial" w:hAnsi="Arial"/>
        <w:b/>
        <w:color w:val="FFFFFF"/>
        <w:sz w:val="22"/>
      </w:rPr>
      <w:tcPr>
        <w:tcBorders>
          <w:top w:val="single" w:color="7F7F7F" w:sz="32" w:space="0"/>
          <w:bottom w:val="single" w:color="FFFFFF" w:sz="12" w:space="0"/>
        </w:tcBorders>
        <w:shd w:val="clear" w:color="7F7F7F" w:fill="7F7F7F"/>
      </w:tcPr>
    </w:tblStylePr>
    <w:tblStylePr w:type="lastRow">
      <w:rPr>
        <w:rFonts w:ascii="Arial" w:hAnsi="Arial"/>
        <w:b/>
        <w:color w:val="FFFFFF"/>
        <w:sz w:val="22"/>
      </w:rPr>
    </w:tblStylePr>
    <w:tblStylePr w:type="firstCol">
      <w:rPr>
        <w:rFonts w:ascii="Arial" w:hAnsi="Arial"/>
        <w:b/>
        <w:color w:val="FFFFFF"/>
        <w:sz w:val="22"/>
      </w:rPr>
      <w:tcPr>
        <w:tcBorders>
          <w:left w:val="single" w:color="7F7F7F" w:sz="32" w:space="0"/>
          <w:right w:val="single" w:color="FFFFFF" w:sz="4" w:space="0"/>
        </w:tcBorders>
      </w:tcPr>
    </w:tblStylePr>
    <w:tblStylePr w:type="lastCol">
      <w:tcPr>
        <w:tcBorders>
          <w:left w:val="single" w:color="FFFFFF" w:sz="4" w:space="0"/>
          <w:right w:val="single" w:color="7F7F7F" w:sz="32" w:space="0"/>
        </w:tcBorders>
      </w:tcPr>
    </w:tblStylePr>
    <w:tblStylePr w:type="band1Vert">
      <w:tcPr>
        <w:tcBorders>
          <w:left w:val="single" w:color="FFFFFF" w:sz="4" w:space="0"/>
          <w:right w:val="single" w:color="FFFFFF" w:sz="4" w:space="0"/>
        </w:tcBorders>
        <w:shd w:val="clear" w:color="7F7F7F" w:fill="7F7F7F"/>
      </w:tcPr>
    </w:tblStylePr>
    <w:tblStylePr w:type="band2Vert">
      <w:tcPr>
        <w:tcBorders>
          <w:left w:val="single" w:color="FFFFFF" w:sz="4" w:space="0"/>
          <w:right w:val="single" w:color="FFFFFF" w:sz="4" w:space="0"/>
        </w:tcBorders>
      </w:tcPr>
    </w:tblStylePr>
    <w:tblStylePr w:type="band1Horz">
      <w:tcPr>
        <w:tcBorders>
          <w:top w:val="single" w:color="FFFFFF" w:sz="4" w:space="0"/>
          <w:bottom w:val="single" w:color="FFFFFF" w:sz="4" w:space="0"/>
        </w:tcBorders>
        <w:shd w:val="clear" w:color="7F7F7F" w:fill="7F7F7F"/>
      </w:tcPr>
    </w:tblStylePr>
    <w:tblStylePr w:type="band2Horz">
      <w:tcPr>
        <w:tcBorders>
          <w:top w:val="single" w:color="FFFFFF" w:sz="4" w:space="0"/>
          <w:bottom w:val="single" w:color="FFFFFF" w:sz="4" w:space="0"/>
        </w:tcBorders>
        <w:shd w:val="clear" w:color="7F7F7F" w:fill="7F7F7F"/>
      </w:tcPr>
    </w:tblStylePr>
  </w:style>
  <w:style w:type="table" w:customStyle="1" w:styleId="1561">
    <w:name w:val="List Table 5 Dark - Accent 17"/>
    <w:basedOn w:val="13"/>
    <w:uiPriority w:val="99"/>
    <w:rPr>
      <w:sz w:val="22"/>
      <w:szCs w:val="22"/>
      <w:lang w:eastAsia="en-US"/>
    </w:rPr>
    <w:tblPr>
      <w:tblBorders>
        <w:top w:val="single" w:color="4F81BD" w:sz="32" w:space="0"/>
        <w:left w:val="single" w:color="4F81BD" w:sz="32" w:space="0"/>
        <w:bottom w:val="single" w:color="4F81BD" w:sz="32" w:space="0"/>
        <w:right w:val="single" w:color="4F81BD" w:sz="32" w:space="0"/>
      </w:tblBorders>
      <w:tblCellMar>
        <w:top w:w="0" w:type="dxa"/>
        <w:left w:w="108" w:type="dxa"/>
        <w:bottom w:w="0" w:type="dxa"/>
        <w:right w:w="108" w:type="dxa"/>
      </w:tblCellMar>
    </w:tblPr>
    <w:tblStylePr w:type="firstRow">
      <w:rPr>
        <w:rFonts w:ascii="Arial" w:hAnsi="Arial"/>
        <w:b/>
        <w:color w:val="FFFFFF"/>
        <w:sz w:val="22"/>
      </w:rPr>
      <w:tcPr>
        <w:tcBorders>
          <w:top w:val="single" w:color="4F81BD" w:sz="32" w:space="0"/>
          <w:bottom w:val="single" w:color="FFFFFF" w:sz="12" w:space="0"/>
        </w:tcBorders>
        <w:shd w:val="clear" w:color="4F81BD" w:fill="4F81BD"/>
      </w:tcPr>
    </w:tblStylePr>
    <w:tblStylePr w:type="lastRow">
      <w:rPr>
        <w:rFonts w:ascii="Arial" w:hAnsi="Arial"/>
        <w:b/>
        <w:color w:val="FFFFFF"/>
        <w:sz w:val="22"/>
      </w:rPr>
    </w:tblStylePr>
    <w:tblStylePr w:type="firstCol">
      <w:rPr>
        <w:rFonts w:ascii="Arial" w:hAnsi="Arial"/>
        <w:b/>
        <w:color w:val="FFFFFF"/>
        <w:sz w:val="22"/>
      </w:rPr>
      <w:tcPr>
        <w:tcBorders>
          <w:left w:val="single" w:color="4F81BD" w:sz="32" w:space="0"/>
          <w:right w:val="single" w:color="FFFFFF" w:sz="4" w:space="0"/>
        </w:tcBorders>
      </w:tcPr>
    </w:tblStylePr>
    <w:tblStylePr w:type="lastCol">
      <w:tcPr>
        <w:tcBorders>
          <w:left w:val="single" w:color="FFFFFF" w:sz="4" w:space="0"/>
          <w:right w:val="single" w:color="4F81BD" w:sz="32" w:space="0"/>
        </w:tcBorders>
      </w:tcPr>
    </w:tblStylePr>
    <w:tblStylePr w:type="band1Vert">
      <w:tcPr>
        <w:tcBorders>
          <w:left w:val="single" w:color="FFFFFF" w:sz="4" w:space="0"/>
          <w:right w:val="single" w:color="FFFFFF" w:sz="4" w:space="0"/>
        </w:tcBorders>
        <w:shd w:val="clear" w:color="4F81BD" w:fill="4F81BD"/>
      </w:tcPr>
    </w:tblStylePr>
    <w:tblStylePr w:type="band2Vert">
      <w:tcPr>
        <w:tcBorders>
          <w:left w:val="single" w:color="FFFFFF" w:sz="4" w:space="0"/>
          <w:right w:val="single" w:color="FFFFFF" w:sz="4" w:space="0"/>
        </w:tcBorders>
      </w:tcPr>
    </w:tblStylePr>
    <w:tblStylePr w:type="band1Horz">
      <w:tcPr>
        <w:tcBorders>
          <w:top w:val="single" w:color="FFFFFF" w:sz="4" w:space="0"/>
          <w:bottom w:val="single" w:color="FFFFFF" w:sz="4" w:space="0"/>
        </w:tcBorders>
        <w:shd w:val="clear" w:color="4F81BD" w:fill="4F81BD"/>
      </w:tcPr>
    </w:tblStylePr>
    <w:tblStylePr w:type="band2Horz">
      <w:tcPr>
        <w:tcBorders>
          <w:top w:val="single" w:color="FFFFFF" w:sz="4" w:space="0"/>
          <w:bottom w:val="single" w:color="FFFFFF" w:sz="4" w:space="0"/>
        </w:tcBorders>
        <w:shd w:val="clear" w:color="4F81BD" w:fill="4F81BD"/>
      </w:tcPr>
    </w:tblStylePr>
  </w:style>
  <w:style w:type="table" w:customStyle="1" w:styleId="1562">
    <w:name w:val="List Table 5 Dark - Accent 27"/>
    <w:basedOn w:val="13"/>
    <w:uiPriority w:val="99"/>
    <w:rPr>
      <w:sz w:val="22"/>
      <w:szCs w:val="22"/>
      <w:lang w:eastAsia="en-US"/>
    </w:rPr>
    <w:tblPr>
      <w:tblBorders>
        <w:top w:val="single" w:color="D99695" w:sz="32" w:space="0"/>
        <w:left w:val="single" w:color="D99695" w:sz="32" w:space="0"/>
        <w:bottom w:val="single" w:color="D99695" w:sz="32" w:space="0"/>
        <w:right w:val="single" w:color="D99695" w:sz="32" w:space="0"/>
      </w:tblBorders>
      <w:tblCellMar>
        <w:top w:w="0" w:type="dxa"/>
        <w:left w:w="108" w:type="dxa"/>
        <w:bottom w:w="0" w:type="dxa"/>
        <w:right w:w="108" w:type="dxa"/>
      </w:tblCellMar>
    </w:tblPr>
    <w:tblStylePr w:type="firstRow">
      <w:rPr>
        <w:rFonts w:ascii="Arial" w:hAnsi="Arial"/>
        <w:b/>
        <w:color w:val="FFFFFF"/>
        <w:sz w:val="22"/>
      </w:rPr>
      <w:tcPr>
        <w:tcBorders>
          <w:top w:val="single" w:color="D99695" w:sz="32" w:space="0"/>
          <w:bottom w:val="single" w:color="FFFFFF" w:sz="12" w:space="0"/>
        </w:tcBorders>
        <w:shd w:val="clear" w:color="D99695" w:fill="D99695"/>
      </w:tcPr>
    </w:tblStylePr>
    <w:tblStylePr w:type="lastRow">
      <w:rPr>
        <w:rFonts w:ascii="Arial" w:hAnsi="Arial"/>
        <w:b/>
        <w:color w:val="FFFFFF"/>
        <w:sz w:val="22"/>
      </w:rPr>
    </w:tblStylePr>
    <w:tblStylePr w:type="firstCol">
      <w:rPr>
        <w:rFonts w:ascii="Arial" w:hAnsi="Arial"/>
        <w:b/>
        <w:color w:val="FFFFFF"/>
        <w:sz w:val="22"/>
      </w:rPr>
      <w:tcPr>
        <w:tcBorders>
          <w:left w:val="single" w:color="D99695" w:sz="32" w:space="0"/>
          <w:right w:val="single" w:color="FFFFFF" w:sz="4" w:space="0"/>
        </w:tcBorders>
      </w:tcPr>
    </w:tblStylePr>
    <w:tblStylePr w:type="lastCol">
      <w:tcPr>
        <w:tcBorders>
          <w:left w:val="single" w:color="FFFFFF" w:sz="4" w:space="0"/>
          <w:right w:val="single" w:color="D99695" w:sz="32" w:space="0"/>
        </w:tcBorders>
      </w:tcPr>
    </w:tblStylePr>
    <w:tblStylePr w:type="band1Vert">
      <w:tcPr>
        <w:tcBorders>
          <w:left w:val="single" w:color="FFFFFF" w:sz="4" w:space="0"/>
          <w:right w:val="single" w:color="FFFFFF" w:sz="4" w:space="0"/>
        </w:tcBorders>
        <w:shd w:val="clear" w:color="D99695" w:fill="D99695"/>
      </w:tcPr>
    </w:tblStylePr>
    <w:tblStylePr w:type="band2Vert">
      <w:tcPr>
        <w:tcBorders>
          <w:left w:val="single" w:color="FFFFFF" w:sz="4" w:space="0"/>
          <w:right w:val="single" w:color="FFFFFF" w:sz="4" w:space="0"/>
        </w:tcBorders>
      </w:tcPr>
    </w:tblStylePr>
    <w:tblStylePr w:type="band1Horz">
      <w:tcPr>
        <w:tcBorders>
          <w:top w:val="single" w:color="FFFFFF" w:sz="4" w:space="0"/>
          <w:bottom w:val="single" w:color="FFFFFF" w:sz="4" w:space="0"/>
        </w:tcBorders>
        <w:shd w:val="clear" w:color="D99695" w:fill="D99695"/>
      </w:tcPr>
    </w:tblStylePr>
    <w:tblStylePr w:type="band2Horz">
      <w:tcPr>
        <w:tcBorders>
          <w:top w:val="single" w:color="FFFFFF" w:sz="4" w:space="0"/>
          <w:bottom w:val="single" w:color="FFFFFF" w:sz="4" w:space="0"/>
        </w:tcBorders>
        <w:shd w:val="clear" w:color="D99695" w:fill="D99695"/>
      </w:tcPr>
    </w:tblStylePr>
  </w:style>
  <w:style w:type="table" w:customStyle="1" w:styleId="1563">
    <w:name w:val="List Table 5 Dark - Accent 37"/>
    <w:basedOn w:val="13"/>
    <w:uiPriority w:val="99"/>
    <w:rPr>
      <w:sz w:val="22"/>
      <w:szCs w:val="22"/>
      <w:lang w:eastAsia="en-US"/>
    </w:rPr>
    <w:tblPr>
      <w:tblBorders>
        <w:top w:val="single" w:color="C3D69B" w:sz="32" w:space="0"/>
        <w:left w:val="single" w:color="C3D69B" w:sz="32" w:space="0"/>
        <w:bottom w:val="single" w:color="C3D69B" w:sz="32" w:space="0"/>
        <w:right w:val="single" w:color="C3D69B" w:sz="32" w:space="0"/>
      </w:tblBorders>
      <w:tblCellMar>
        <w:top w:w="0" w:type="dxa"/>
        <w:left w:w="108" w:type="dxa"/>
        <w:bottom w:w="0" w:type="dxa"/>
        <w:right w:w="108" w:type="dxa"/>
      </w:tblCellMar>
    </w:tblPr>
    <w:tblStylePr w:type="firstRow">
      <w:rPr>
        <w:rFonts w:ascii="Arial" w:hAnsi="Arial"/>
        <w:b/>
        <w:color w:val="FFFFFF"/>
        <w:sz w:val="22"/>
      </w:rPr>
      <w:tcPr>
        <w:tcBorders>
          <w:top w:val="single" w:color="C3D69B" w:sz="32" w:space="0"/>
          <w:bottom w:val="single" w:color="FFFFFF" w:sz="12" w:space="0"/>
        </w:tcBorders>
        <w:shd w:val="clear" w:color="C3D69B" w:fill="C3D69B"/>
      </w:tcPr>
    </w:tblStylePr>
    <w:tblStylePr w:type="lastRow">
      <w:rPr>
        <w:rFonts w:ascii="Arial" w:hAnsi="Arial"/>
        <w:b/>
        <w:color w:val="FFFFFF"/>
        <w:sz w:val="22"/>
      </w:rPr>
    </w:tblStylePr>
    <w:tblStylePr w:type="firstCol">
      <w:rPr>
        <w:rFonts w:ascii="Arial" w:hAnsi="Arial"/>
        <w:b/>
        <w:color w:val="FFFFFF"/>
        <w:sz w:val="22"/>
      </w:rPr>
      <w:tcPr>
        <w:tcBorders>
          <w:left w:val="single" w:color="C3D69B" w:sz="32" w:space="0"/>
          <w:right w:val="single" w:color="FFFFFF" w:sz="4" w:space="0"/>
        </w:tcBorders>
      </w:tcPr>
    </w:tblStylePr>
    <w:tblStylePr w:type="lastCol">
      <w:tcPr>
        <w:tcBorders>
          <w:left w:val="single" w:color="FFFFFF" w:sz="4" w:space="0"/>
          <w:right w:val="single" w:color="C3D69B" w:sz="32" w:space="0"/>
        </w:tcBorders>
      </w:tcPr>
    </w:tblStylePr>
    <w:tblStylePr w:type="band1Vert">
      <w:tcPr>
        <w:tcBorders>
          <w:left w:val="single" w:color="FFFFFF" w:sz="4" w:space="0"/>
          <w:right w:val="single" w:color="FFFFFF" w:sz="4" w:space="0"/>
        </w:tcBorders>
        <w:shd w:val="clear" w:color="C3D69B" w:fill="C3D69B"/>
      </w:tcPr>
    </w:tblStylePr>
    <w:tblStylePr w:type="band2Vert">
      <w:tcPr>
        <w:tcBorders>
          <w:left w:val="single" w:color="FFFFFF" w:sz="4" w:space="0"/>
          <w:right w:val="single" w:color="FFFFFF" w:sz="4" w:space="0"/>
        </w:tcBorders>
      </w:tcPr>
    </w:tblStylePr>
    <w:tblStylePr w:type="band1Horz">
      <w:tcPr>
        <w:tcBorders>
          <w:top w:val="single" w:color="FFFFFF" w:sz="4" w:space="0"/>
          <w:bottom w:val="single" w:color="FFFFFF" w:sz="4" w:space="0"/>
        </w:tcBorders>
        <w:shd w:val="clear" w:color="C3D69B" w:fill="C3D69B"/>
      </w:tcPr>
    </w:tblStylePr>
    <w:tblStylePr w:type="band2Horz">
      <w:tcPr>
        <w:tcBorders>
          <w:top w:val="single" w:color="FFFFFF" w:sz="4" w:space="0"/>
          <w:bottom w:val="single" w:color="FFFFFF" w:sz="4" w:space="0"/>
        </w:tcBorders>
        <w:shd w:val="clear" w:color="C3D69B" w:fill="C3D69B"/>
      </w:tcPr>
    </w:tblStylePr>
  </w:style>
  <w:style w:type="table" w:customStyle="1" w:styleId="1564">
    <w:name w:val="List Table 5 Dark - Accent 47"/>
    <w:basedOn w:val="13"/>
    <w:uiPriority w:val="99"/>
    <w:rPr>
      <w:sz w:val="22"/>
      <w:szCs w:val="22"/>
      <w:lang w:eastAsia="en-US"/>
    </w:rPr>
    <w:tblPr>
      <w:tblBorders>
        <w:top w:val="single" w:color="B2A1C6" w:sz="32" w:space="0"/>
        <w:left w:val="single" w:color="B2A1C6" w:sz="32" w:space="0"/>
        <w:bottom w:val="single" w:color="B2A1C6" w:sz="32" w:space="0"/>
        <w:right w:val="single" w:color="B2A1C6" w:sz="32" w:space="0"/>
      </w:tblBorders>
      <w:tblCellMar>
        <w:top w:w="0" w:type="dxa"/>
        <w:left w:w="108" w:type="dxa"/>
        <w:bottom w:w="0" w:type="dxa"/>
        <w:right w:w="108" w:type="dxa"/>
      </w:tblCellMar>
    </w:tblPr>
    <w:tblStylePr w:type="firstRow">
      <w:rPr>
        <w:rFonts w:ascii="Arial" w:hAnsi="Arial"/>
        <w:b/>
        <w:color w:val="FFFFFF"/>
        <w:sz w:val="22"/>
      </w:rPr>
      <w:tcPr>
        <w:tcBorders>
          <w:top w:val="single" w:color="B2A1C6" w:sz="32" w:space="0"/>
          <w:bottom w:val="single" w:color="FFFFFF" w:sz="12" w:space="0"/>
        </w:tcBorders>
        <w:shd w:val="clear" w:color="B2A1C6" w:fill="B2A1C6"/>
      </w:tcPr>
    </w:tblStylePr>
    <w:tblStylePr w:type="lastRow">
      <w:rPr>
        <w:rFonts w:ascii="Arial" w:hAnsi="Arial"/>
        <w:b/>
        <w:color w:val="FFFFFF"/>
        <w:sz w:val="22"/>
      </w:rPr>
    </w:tblStylePr>
    <w:tblStylePr w:type="firstCol">
      <w:rPr>
        <w:rFonts w:ascii="Arial" w:hAnsi="Arial"/>
        <w:b/>
        <w:color w:val="FFFFFF"/>
        <w:sz w:val="22"/>
      </w:rPr>
      <w:tcPr>
        <w:tcBorders>
          <w:left w:val="single" w:color="B2A1C6" w:sz="32" w:space="0"/>
          <w:right w:val="single" w:color="FFFFFF" w:sz="4" w:space="0"/>
        </w:tcBorders>
      </w:tcPr>
    </w:tblStylePr>
    <w:tblStylePr w:type="lastCol">
      <w:tcPr>
        <w:tcBorders>
          <w:left w:val="single" w:color="FFFFFF" w:sz="4" w:space="0"/>
          <w:right w:val="single" w:color="B2A1C6" w:sz="32" w:space="0"/>
        </w:tcBorders>
      </w:tcPr>
    </w:tblStylePr>
    <w:tblStylePr w:type="band1Vert">
      <w:tcPr>
        <w:tcBorders>
          <w:left w:val="single" w:color="FFFFFF" w:sz="4" w:space="0"/>
          <w:right w:val="single" w:color="FFFFFF" w:sz="4" w:space="0"/>
        </w:tcBorders>
        <w:shd w:val="clear" w:color="B2A1C6" w:fill="B2A1C6"/>
      </w:tcPr>
    </w:tblStylePr>
    <w:tblStylePr w:type="band2Vert">
      <w:tcPr>
        <w:tcBorders>
          <w:left w:val="single" w:color="FFFFFF" w:sz="4" w:space="0"/>
          <w:right w:val="single" w:color="FFFFFF" w:sz="4" w:space="0"/>
        </w:tcBorders>
      </w:tcPr>
    </w:tblStylePr>
    <w:tblStylePr w:type="band1Horz">
      <w:tcPr>
        <w:tcBorders>
          <w:top w:val="single" w:color="FFFFFF" w:sz="4" w:space="0"/>
          <w:bottom w:val="single" w:color="FFFFFF" w:sz="4" w:space="0"/>
        </w:tcBorders>
        <w:shd w:val="clear" w:color="B2A1C6" w:fill="B2A1C6"/>
      </w:tcPr>
    </w:tblStylePr>
    <w:tblStylePr w:type="band2Horz">
      <w:tcPr>
        <w:tcBorders>
          <w:top w:val="single" w:color="FFFFFF" w:sz="4" w:space="0"/>
          <w:bottom w:val="single" w:color="FFFFFF" w:sz="4" w:space="0"/>
        </w:tcBorders>
        <w:shd w:val="clear" w:color="B2A1C6" w:fill="B2A1C6"/>
      </w:tcPr>
    </w:tblStylePr>
  </w:style>
  <w:style w:type="table" w:customStyle="1" w:styleId="1565">
    <w:name w:val="List Table 5 Dark - Accent 57"/>
    <w:basedOn w:val="13"/>
    <w:uiPriority w:val="99"/>
    <w:rPr>
      <w:sz w:val="22"/>
      <w:szCs w:val="22"/>
      <w:lang w:eastAsia="en-US"/>
    </w:rPr>
    <w:tblPr>
      <w:tblBorders>
        <w:top w:val="single" w:color="92CCDC" w:sz="32" w:space="0"/>
        <w:left w:val="single" w:color="92CCDC" w:sz="32" w:space="0"/>
        <w:bottom w:val="single" w:color="92CCDC" w:sz="32" w:space="0"/>
        <w:right w:val="single" w:color="92CCDC" w:sz="32" w:space="0"/>
      </w:tblBorders>
      <w:tblCellMar>
        <w:top w:w="0" w:type="dxa"/>
        <w:left w:w="108" w:type="dxa"/>
        <w:bottom w:w="0" w:type="dxa"/>
        <w:right w:w="108" w:type="dxa"/>
      </w:tblCellMar>
    </w:tblPr>
    <w:tblStylePr w:type="firstRow">
      <w:rPr>
        <w:rFonts w:ascii="Arial" w:hAnsi="Arial"/>
        <w:b/>
        <w:color w:val="FFFFFF"/>
        <w:sz w:val="22"/>
      </w:rPr>
      <w:tcPr>
        <w:tcBorders>
          <w:top w:val="single" w:color="92CCDC" w:sz="32" w:space="0"/>
          <w:bottom w:val="single" w:color="FFFFFF" w:sz="12" w:space="0"/>
        </w:tcBorders>
        <w:shd w:val="clear" w:color="92CCDC" w:fill="92CCDC"/>
      </w:tcPr>
    </w:tblStylePr>
    <w:tblStylePr w:type="lastRow">
      <w:rPr>
        <w:rFonts w:ascii="Arial" w:hAnsi="Arial"/>
        <w:b/>
        <w:color w:val="FFFFFF"/>
        <w:sz w:val="22"/>
      </w:rPr>
    </w:tblStylePr>
    <w:tblStylePr w:type="firstCol">
      <w:rPr>
        <w:rFonts w:ascii="Arial" w:hAnsi="Arial"/>
        <w:b/>
        <w:color w:val="FFFFFF"/>
        <w:sz w:val="22"/>
      </w:rPr>
      <w:tcPr>
        <w:tcBorders>
          <w:left w:val="single" w:color="92CCDC" w:sz="32" w:space="0"/>
          <w:right w:val="single" w:color="FFFFFF" w:sz="4" w:space="0"/>
        </w:tcBorders>
      </w:tcPr>
    </w:tblStylePr>
    <w:tblStylePr w:type="lastCol">
      <w:tcPr>
        <w:tcBorders>
          <w:left w:val="single" w:color="FFFFFF" w:sz="4" w:space="0"/>
          <w:right w:val="single" w:color="92CCDC" w:sz="32" w:space="0"/>
        </w:tcBorders>
      </w:tcPr>
    </w:tblStylePr>
    <w:tblStylePr w:type="band1Vert">
      <w:tcPr>
        <w:tcBorders>
          <w:left w:val="single" w:color="FFFFFF" w:sz="4" w:space="0"/>
          <w:right w:val="single" w:color="FFFFFF" w:sz="4" w:space="0"/>
        </w:tcBorders>
        <w:shd w:val="clear" w:color="92CCDC" w:fill="92CCDC"/>
      </w:tcPr>
    </w:tblStylePr>
    <w:tblStylePr w:type="band2Vert">
      <w:tcPr>
        <w:tcBorders>
          <w:left w:val="single" w:color="FFFFFF" w:sz="4" w:space="0"/>
          <w:right w:val="single" w:color="FFFFFF" w:sz="4" w:space="0"/>
        </w:tcBorders>
      </w:tcPr>
    </w:tblStylePr>
    <w:tblStylePr w:type="band1Horz">
      <w:tcPr>
        <w:tcBorders>
          <w:top w:val="single" w:color="FFFFFF" w:sz="4" w:space="0"/>
          <w:bottom w:val="single" w:color="FFFFFF" w:sz="4" w:space="0"/>
        </w:tcBorders>
        <w:shd w:val="clear" w:color="92CCDC" w:fill="92CCDC"/>
      </w:tcPr>
    </w:tblStylePr>
    <w:tblStylePr w:type="band2Horz">
      <w:tcPr>
        <w:tcBorders>
          <w:top w:val="single" w:color="FFFFFF" w:sz="4" w:space="0"/>
          <w:bottom w:val="single" w:color="FFFFFF" w:sz="4" w:space="0"/>
        </w:tcBorders>
        <w:shd w:val="clear" w:color="92CCDC" w:fill="92CCDC"/>
      </w:tcPr>
    </w:tblStylePr>
  </w:style>
  <w:style w:type="table" w:customStyle="1" w:styleId="1566">
    <w:name w:val="List Table 5 Dark - Accent 67"/>
    <w:basedOn w:val="13"/>
    <w:uiPriority w:val="99"/>
    <w:rPr>
      <w:sz w:val="22"/>
      <w:szCs w:val="22"/>
      <w:lang w:eastAsia="en-US"/>
    </w:rPr>
    <w:tblPr>
      <w:tblBorders>
        <w:top w:val="single" w:color="FAC090" w:sz="32" w:space="0"/>
        <w:left w:val="single" w:color="FAC090" w:sz="32" w:space="0"/>
        <w:bottom w:val="single" w:color="FAC090" w:sz="32" w:space="0"/>
        <w:right w:val="single" w:color="FAC090" w:sz="32" w:space="0"/>
      </w:tblBorders>
      <w:tblCellMar>
        <w:top w:w="0" w:type="dxa"/>
        <w:left w:w="108" w:type="dxa"/>
        <w:bottom w:w="0" w:type="dxa"/>
        <w:right w:w="108" w:type="dxa"/>
      </w:tblCellMar>
    </w:tblPr>
    <w:tblStylePr w:type="firstRow">
      <w:rPr>
        <w:rFonts w:ascii="Arial" w:hAnsi="Arial"/>
        <w:b/>
        <w:color w:val="FFFFFF"/>
        <w:sz w:val="22"/>
      </w:rPr>
      <w:tcPr>
        <w:tcBorders>
          <w:top w:val="single" w:color="FAC090" w:sz="32" w:space="0"/>
          <w:bottom w:val="single" w:color="FFFFFF" w:sz="12" w:space="0"/>
        </w:tcBorders>
        <w:shd w:val="clear" w:color="FAC090" w:fill="FAC090"/>
      </w:tcPr>
    </w:tblStylePr>
    <w:tblStylePr w:type="lastRow">
      <w:rPr>
        <w:rFonts w:ascii="Arial" w:hAnsi="Arial"/>
        <w:b/>
        <w:color w:val="FFFFFF"/>
        <w:sz w:val="22"/>
      </w:rPr>
    </w:tblStylePr>
    <w:tblStylePr w:type="firstCol">
      <w:rPr>
        <w:rFonts w:ascii="Arial" w:hAnsi="Arial"/>
        <w:b/>
        <w:color w:val="FFFFFF"/>
        <w:sz w:val="22"/>
      </w:rPr>
      <w:tcPr>
        <w:tcBorders>
          <w:left w:val="single" w:color="FAC090" w:sz="32" w:space="0"/>
          <w:right w:val="single" w:color="FFFFFF" w:sz="4" w:space="0"/>
        </w:tcBorders>
      </w:tcPr>
    </w:tblStylePr>
    <w:tblStylePr w:type="lastCol">
      <w:tcPr>
        <w:tcBorders>
          <w:left w:val="single" w:color="FFFFFF" w:sz="4" w:space="0"/>
          <w:right w:val="single" w:color="FAC090" w:sz="32" w:space="0"/>
        </w:tcBorders>
      </w:tcPr>
    </w:tblStylePr>
    <w:tblStylePr w:type="band1Vert">
      <w:tcPr>
        <w:tcBorders>
          <w:left w:val="single" w:color="FFFFFF" w:sz="4" w:space="0"/>
          <w:right w:val="single" w:color="FFFFFF" w:sz="4" w:space="0"/>
        </w:tcBorders>
        <w:shd w:val="clear" w:color="FAC090" w:fill="FAC090"/>
      </w:tcPr>
    </w:tblStylePr>
    <w:tblStylePr w:type="band2Vert">
      <w:tcPr>
        <w:tcBorders>
          <w:left w:val="single" w:color="FFFFFF" w:sz="4" w:space="0"/>
          <w:right w:val="single" w:color="FFFFFF" w:sz="4" w:space="0"/>
        </w:tcBorders>
      </w:tcPr>
    </w:tblStylePr>
    <w:tblStylePr w:type="band1Horz">
      <w:tcPr>
        <w:tcBorders>
          <w:top w:val="single" w:color="FFFFFF" w:sz="4" w:space="0"/>
          <w:bottom w:val="single" w:color="FFFFFF" w:sz="4" w:space="0"/>
        </w:tcBorders>
        <w:shd w:val="clear" w:color="FAC090" w:fill="FAC090"/>
      </w:tcPr>
    </w:tblStylePr>
    <w:tblStylePr w:type="band2Horz">
      <w:tcPr>
        <w:tcBorders>
          <w:top w:val="single" w:color="FFFFFF" w:sz="4" w:space="0"/>
          <w:bottom w:val="single" w:color="FFFFFF" w:sz="4" w:space="0"/>
        </w:tcBorders>
        <w:shd w:val="clear" w:color="FAC090" w:fill="FAC090"/>
      </w:tcPr>
    </w:tblStylePr>
  </w:style>
  <w:style w:type="table" w:customStyle="1" w:styleId="1567">
    <w:name w:val="Список-таблица 6 цветная15"/>
    <w:basedOn w:val="13"/>
    <w:uiPriority w:val="99"/>
    <w:rPr>
      <w:sz w:val="22"/>
      <w:szCs w:val="22"/>
      <w:lang w:eastAsia="en-US"/>
    </w:rPr>
    <w:tblPr>
      <w:tblBorders>
        <w:top w:val="single" w:color="7F7F7F" w:sz="4" w:space="0"/>
        <w:bottom w:val="single" w:color="7F7F7F" w:sz="4" w:space="0"/>
      </w:tblBorders>
      <w:tblCellMar>
        <w:top w:w="0" w:type="dxa"/>
        <w:left w:w="108" w:type="dxa"/>
        <w:bottom w:w="0" w:type="dxa"/>
        <w:right w:w="108" w:type="dxa"/>
      </w:tblCellMar>
    </w:tblPr>
    <w:tblStylePr w:type="firstRow">
      <w:rPr>
        <w:b/>
        <w:color w:val="000000"/>
      </w:rPr>
      <w:tcPr>
        <w:tcBorders>
          <w:bottom w:val="single" w:color="7F7F7F" w:sz="4" w:space="0"/>
        </w:tcBorders>
      </w:tcPr>
    </w:tblStylePr>
    <w:tblStylePr w:type="lastRow">
      <w:rPr>
        <w:b/>
        <w:color w:val="000000"/>
      </w:rPr>
      <w:tcPr>
        <w:tcBorders>
          <w:top w:val="single" w:color="7F7F7F" w:sz="4" w:space="0"/>
        </w:tcBorders>
      </w:tcPr>
    </w:tblStylePr>
    <w:tblStylePr w:type="firstCol">
      <w:rPr>
        <w:b/>
        <w:color w:val="000000"/>
      </w:rPr>
    </w:tblStylePr>
    <w:tblStylePr w:type="lastCol">
      <w:rPr>
        <w:b/>
        <w:color w:val="000000"/>
      </w:rPr>
    </w:tblStylePr>
    <w:tblStylePr w:type="band1Vert">
      <w:tcPr>
        <w:shd w:val="clear" w:color="BFBFBF" w:fill="BFBFBF"/>
      </w:tcPr>
    </w:tblStylePr>
    <w:tblStylePr w:type="band1Horz">
      <w:rPr>
        <w:rFonts w:ascii="Arial" w:hAnsi="Arial"/>
        <w:color w:val="000000"/>
        <w:sz w:val="22"/>
      </w:rPr>
      <w:tcPr>
        <w:shd w:val="clear" w:color="BFBFBF" w:fill="BFBFBF"/>
      </w:tcPr>
    </w:tblStylePr>
    <w:tblStylePr w:type="band2Horz">
      <w:rPr>
        <w:rFonts w:ascii="Arial" w:hAnsi="Arial"/>
        <w:color w:val="000000"/>
        <w:sz w:val="22"/>
      </w:rPr>
    </w:tblStylePr>
  </w:style>
  <w:style w:type="table" w:customStyle="1" w:styleId="1568">
    <w:name w:val="List Table 6 Colorful - Accent 17"/>
    <w:basedOn w:val="13"/>
    <w:uiPriority w:val="99"/>
    <w:rPr>
      <w:sz w:val="22"/>
      <w:szCs w:val="22"/>
      <w:lang w:eastAsia="en-US"/>
    </w:rPr>
    <w:tblPr>
      <w:tblBorders>
        <w:top w:val="single" w:color="4F81BD" w:sz="4" w:space="0"/>
        <w:bottom w:val="single" w:color="4F81BD" w:sz="4" w:space="0"/>
      </w:tblBorders>
      <w:tblCellMar>
        <w:top w:w="0" w:type="dxa"/>
        <w:left w:w="108" w:type="dxa"/>
        <w:bottom w:w="0" w:type="dxa"/>
        <w:right w:w="108" w:type="dxa"/>
      </w:tblCellMar>
    </w:tblPr>
    <w:tblStylePr w:type="firstRow">
      <w:rPr>
        <w:b/>
        <w:color w:val="2A4A71"/>
      </w:rPr>
      <w:tcPr>
        <w:tcBorders>
          <w:bottom w:val="single" w:color="4F81BD" w:sz="4" w:space="0"/>
        </w:tcBorders>
      </w:tcPr>
    </w:tblStylePr>
    <w:tblStylePr w:type="lastRow">
      <w:rPr>
        <w:b/>
        <w:color w:val="2A4A71"/>
      </w:rPr>
      <w:tcPr>
        <w:tcBorders>
          <w:top w:val="single" w:color="4F81BD" w:sz="4" w:space="0"/>
        </w:tcBorders>
      </w:tcPr>
    </w:tblStylePr>
    <w:tblStylePr w:type="firstCol">
      <w:rPr>
        <w:b/>
        <w:color w:val="2A4A71"/>
      </w:rPr>
    </w:tblStylePr>
    <w:tblStylePr w:type="lastCol">
      <w:rPr>
        <w:b/>
        <w:color w:val="2A4A71"/>
      </w:rPr>
    </w:tblStylePr>
    <w:tblStylePr w:type="band1Vert">
      <w:tcPr>
        <w:shd w:val="clear" w:color="D2DFEE" w:fill="D2DFEE"/>
      </w:tcPr>
    </w:tblStylePr>
    <w:tblStylePr w:type="band1Horz">
      <w:rPr>
        <w:rFonts w:ascii="Arial" w:hAnsi="Arial"/>
        <w:color w:val="2A4A71"/>
        <w:sz w:val="22"/>
      </w:rPr>
      <w:tcPr>
        <w:shd w:val="clear" w:color="D2DFEE" w:fill="D2DFEE"/>
      </w:tcPr>
    </w:tblStylePr>
    <w:tblStylePr w:type="band2Horz">
      <w:rPr>
        <w:rFonts w:ascii="Arial" w:hAnsi="Arial"/>
        <w:color w:val="2A4A71"/>
        <w:sz w:val="22"/>
      </w:rPr>
    </w:tblStylePr>
  </w:style>
  <w:style w:type="table" w:customStyle="1" w:styleId="1569">
    <w:name w:val="List Table 6 Colorful - Accent 27"/>
    <w:basedOn w:val="13"/>
    <w:uiPriority w:val="99"/>
    <w:rPr>
      <w:sz w:val="22"/>
      <w:szCs w:val="22"/>
      <w:lang w:eastAsia="en-US"/>
    </w:rPr>
    <w:tblPr>
      <w:tblBorders>
        <w:top w:val="single" w:color="D99695" w:sz="4" w:space="0"/>
        <w:bottom w:val="single" w:color="D99695" w:sz="4" w:space="0"/>
      </w:tblBorders>
      <w:tblCellMar>
        <w:top w:w="0" w:type="dxa"/>
        <w:left w:w="108" w:type="dxa"/>
        <w:bottom w:w="0" w:type="dxa"/>
        <w:right w:w="108" w:type="dxa"/>
      </w:tblCellMar>
    </w:tblPr>
    <w:tblStylePr w:type="firstRow">
      <w:rPr>
        <w:b/>
        <w:color w:val="D99695"/>
      </w:rPr>
      <w:tcPr>
        <w:tcBorders>
          <w:bottom w:val="single" w:color="D99695" w:sz="4" w:space="0"/>
        </w:tcBorders>
      </w:tcPr>
    </w:tblStylePr>
    <w:tblStylePr w:type="lastRow">
      <w:rPr>
        <w:b/>
        <w:color w:val="D99695"/>
      </w:rPr>
      <w:tcPr>
        <w:tcBorders>
          <w:top w:val="single" w:color="D99695" w:sz="4" w:space="0"/>
        </w:tcBorders>
      </w:tcPr>
    </w:tblStylePr>
    <w:tblStylePr w:type="firstCol">
      <w:rPr>
        <w:b/>
        <w:color w:val="D99695"/>
      </w:rPr>
    </w:tblStylePr>
    <w:tblStylePr w:type="lastCol">
      <w:rPr>
        <w:b/>
        <w:color w:val="D99695"/>
      </w:rPr>
    </w:tblStylePr>
    <w:tblStylePr w:type="band1Vert">
      <w:tcPr>
        <w:shd w:val="clear" w:color="EFD2D2" w:fill="EFD2D2"/>
      </w:tcPr>
    </w:tblStylePr>
    <w:tblStylePr w:type="band1Horz">
      <w:rPr>
        <w:rFonts w:ascii="Arial" w:hAnsi="Arial"/>
        <w:color w:val="D99695"/>
        <w:sz w:val="22"/>
      </w:rPr>
      <w:tcPr>
        <w:shd w:val="clear" w:color="EFD2D2" w:fill="EFD2D2"/>
      </w:tcPr>
    </w:tblStylePr>
    <w:tblStylePr w:type="band2Horz">
      <w:rPr>
        <w:rFonts w:ascii="Arial" w:hAnsi="Arial"/>
        <w:color w:val="D99695"/>
        <w:sz w:val="22"/>
      </w:rPr>
    </w:tblStylePr>
  </w:style>
  <w:style w:type="table" w:customStyle="1" w:styleId="1570">
    <w:name w:val="List Table 6 Colorful - Accent 37"/>
    <w:basedOn w:val="13"/>
    <w:uiPriority w:val="99"/>
    <w:rPr>
      <w:sz w:val="22"/>
      <w:szCs w:val="22"/>
      <w:lang w:eastAsia="en-US"/>
    </w:rPr>
    <w:tblPr>
      <w:tblBorders>
        <w:top w:val="single" w:color="C3D69B" w:sz="4" w:space="0"/>
        <w:bottom w:val="single" w:color="C3D69B" w:sz="4" w:space="0"/>
      </w:tblBorders>
      <w:tblCellMar>
        <w:top w:w="0" w:type="dxa"/>
        <w:left w:w="108" w:type="dxa"/>
        <w:bottom w:w="0" w:type="dxa"/>
        <w:right w:w="108" w:type="dxa"/>
      </w:tblCellMar>
    </w:tblPr>
    <w:tblStylePr w:type="firstRow">
      <w:rPr>
        <w:b/>
        <w:color w:val="C3D69B"/>
      </w:rPr>
      <w:tcPr>
        <w:tcBorders>
          <w:bottom w:val="single" w:color="C3D69B" w:sz="4" w:space="0"/>
        </w:tcBorders>
      </w:tcPr>
    </w:tblStylePr>
    <w:tblStylePr w:type="lastRow">
      <w:rPr>
        <w:b/>
        <w:color w:val="C3D69B"/>
      </w:rPr>
      <w:tcPr>
        <w:tcBorders>
          <w:top w:val="single" w:color="C3D69B" w:sz="4" w:space="0"/>
        </w:tcBorders>
      </w:tcPr>
    </w:tblStylePr>
    <w:tblStylePr w:type="firstCol">
      <w:rPr>
        <w:b/>
        <w:color w:val="C3D69B"/>
      </w:rPr>
    </w:tblStylePr>
    <w:tblStylePr w:type="lastCol">
      <w:rPr>
        <w:b/>
        <w:color w:val="C3D69B"/>
      </w:rPr>
    </w:tblStylePr>
    <w:tblStylePr w:type="band1Vert">
      <w:tcPr>
        <w:shd w:val="clear" w:color="E5EED5" w:fill="E5EED5"/>
      </w:tcPr>
    </w:tblStylePr>
    <w:tblStylePr w:type="band1Horz">
      <w:rPr>
        <w:rFonts w:ascii="Arial" w:hAnsi="Arial"/>
        <w:color w:val="C3D69B"/>
        <w:sz w:val="22"/>
      </w:rPr>
      <w:tcPr>
        <w:shd w:val="clear" w:color="E5EED5" w:fill="E5EED5"/>
      </w:tcPr>
    </w:tblStylePr>
    <w:tblStylePr w:type="band2Horz">
      <w:rPr>
        <w:rFonts w:ascii="Arial" w:hAnsi="Arial"/>
        <w:color w:val="C3D69B"/>
        <w:sz w:val="22"/>
      </w:rPr>
    </w:tblStylePr>
  </w:style>
  <w:style w:type="table" w:customStyle="1" w:styleId="1571">
    <w:name w:val="List Table 6 Colorful - Accent 47"/>
    <w:basedOn w:val="13"/>
    <w:uiPriority w:val="99"/>
    <w:rPr>
      <w:sz w:val="22"/>
      <w:szCs w:val="22"/>
      <w:lang w:eastAsia="en-US"/>
    </w:rPr>
    <w:tblPr>
      <w:tblBorders>
        <w:top w:val="single" w:color="B2A1C6" w:sz="4" w:space="0"/>
        <w:bottom w:val="single" w:color="B2A1C6" w:sz="4" w:space="0"/>
      </w:tblBorders>
      <w:tblCellMar>
        <w:top w:w="0" w:type="dxa"/>
        <w:left w:w="108" w:type="dxa"/>
        <w:bottom w:w="0" w:type="dxa"/>
        <w:right w:w="108" w:type="dxa"/>
      </w:tblCellMar>
    </w:tblPr>
    <w:tblStylePr w:type="firstRow">
      <w:rPr>
        <w:b/>
        <w:color w:val="B2A1C6"/>
      </w:rPr>
      <w:tcPr>
        <w:tcBorders>
          <w:bottom w:val="single" w:color="B2A1C6" w:sz="4" w:space="0"/>
        </w:tcBorders>
      </w:tcPr>
    </w:tblStylePr>
    <w:tblStylePr w:type="lastRow">
      <w:rPr>
        <w:b/>
        <w:color w:val="B2A1C6"/>
      </w:rPr>
      <w:tcPr>
        <w:tcBorders>
          <w:top w:val="single" w:color="B2A1C6" w:sz="4" w:space="0"/>
        </w:tcBorders>
      </w:tcPr>
    </w:tblStylePr>
    <w:tblStylePr w:type="firstCol">
      <w:rPr>
        <w:b/>
        <w:color w:val="B2A1C6"/>
      </w:rPr>
    </w:tblStylePr>
    <w:tblStylePr w:type="lastCol">
      <w:rPr>
        <w:b/>
        <w:color w:val="B2A1C6"/>
      </w:rPr>
    </w:tblStylePr>
    <w:tblStylePr w:type="band1Vert">
      <w:tcPr>
        <w:shd w:val="clear" w:color="DFD8E7" w:fill="DFD8E7"/>
      </w:tcPr>
    </w:tblStylePr>
    <w:tblStylePr w:type="band1Horz">
      <w:rPr>
        <w:rFonts w:ascii="Arial" w:hAnsi="Arial"/>
        <w:color w:val="B2A1C6"/>
        <w:sz w:val="22"/>
      </w:rPr>
      <w:tcPr>
        <w:shd w:val="clear" w:color="DFD8E7" w:fill="DFD8E7"/>
      </w:tcPr>
    </w:tblStylePr>
    <w:tblStylePr w:type="band2Horz">
      <w:rPr>
        <w:rFonts w:ascii="Arial" w:hAnsi="Arial"/>
        <w:color w:val="B2A1C6"/>
        <w:sz w:val="22"/>
      </w:rPr>
    </w:tblStylePr>
  </w:style>
  <w:style w:type="table" w:customStyle="1" w:styleId="1572">
    <w:name w:val="List Table 6 Colorful - Accent 57"/>
    <w:basedOn w:val="13"/>
    <w:uiPriority w:val="99"/>
    <w:rPr>
      <w:sz w:val="22"/>
      <w:szCs w:val="22"/>
      <w:lang w:eastAsia="en-US"/>
    </w:rPr>
    <w:tblPr>
      <w:tblBorders>
        <w:top w:val="single" w:color="92CCDC" w:sz="4" w:space="0"/>
        <w:bottom w:val="single" w:color="92CCDC" w:sz="4" w:space="0"/>
      </w:tblBorders>
      <w:tblCellMar>
        <w:top w:w="0" w:type="dxa"/>
        <w:left w:w="108" w:type="dxa"/>
        <w:bottom w:w="0" w:type="dxa"/>
        <w:right w:w="108" w:type="dxa"/>
      </w:tblCellMar>
    </w:tblPr>
    <w:tblStylePr w:type="firstRow">
      <w:rPr>
        <w:b/>
        <w:color w:val="92CCDC"/>
      </w:rPr>
      <w:tcPr>
        <w:tcBorders>
          <w:bottom w:val="single" w:color="92CCDC" w:sz="4" w:space="0"/>
        </w:tcBorders>
      </w:tcPr>
    </w:tblStylePr>
    <w:tblStylePr w:type="lastRow">
      <w:rPr>
        <w:b/>
        <w:color w:val="92CCDC"/>
      </w:rPr>
      <w:tcPr>
        <w:tcBorders>
          <w:top w:val="single" w:color="92CCDC" w:sz="4" w:space="0"/>
        </w:tcBorders>
      </w:tcPr>
    </w:tblStylePr>
    <w:tblStylePr w:type="firstCol">
      <w:rPr>
        <w:b/>
        <w:color w:val="92CCDC"/>
      </w:rPr>
    </w:tblStylePr>
    <w:tblStylePr w:type="lastCol">
      <w:rPr>
        <w:b/>
        <w:color w:val="92CCDC"/>
      </w:rPr>
    </w:tblStylePr>
    <w:tblStylePr w:type="band1Vert">
      <w:tcPr>
        <w:shd w:val="clear" w:color="D1EAF0" w:fill="D1EAF0"/>
      </w:tcPr>
    </w:tblStylePr>
    <w:tblStylePr w:type="band1Horz">
      <w:rPr>
        <w:rFonts w:ascii="Arial" w:hAnsi="Arial"/>
        <w:color w:val="92CCDC"/>
        <w:sz w:val="22"/>
      </w:rPr>
      <w:tcPr>
        <w:shd w:val="clear" w:color="D1EAF0" w:fill="D1EAF0"/>
      </w:tcPr>
    </w:tblStylePr>
    <w:tblStylePr w:type="band2Horz">
      <w:rPr>
        <w:rFonts w:ascii="Arial" w:hAnsi="Arial"/>
        <w:color w:val="92CCDC"/>
        <w:sz w:val="22"/>
      </w:rPr>
    </w:tblStylePr>
  </w:style>
  <w:style w:type="table" w:customStyle="1" w:styleId="1573">
    <w:name w:val="List Table 6 Colorful - Accent 67"/>
    <w:basedOn w:val="13"/>
    <w:uiPriority w:val="99"/>
    <w:rPr>
      <w:sz w:val="22"/>
      <w:szCs w:val="22"/>
      <w:lang w:eastAsia="en-US"/>
    </w:rPr>
    <w:tblPr>
      <w:tblBorders>
        <w:top w:val="single" w:color="FAC090" w:sz="4" w:space="0"/>
        <w:bottom w:val="single" w:color="FAC090" w:sz="4" w:space="0"/>
      </w:tblBorders>
      <w:tblCellMar>
        <w:top w:w="0" w:type="dxa"/>
        <w:left w:w="108" w:type="dxa"/>
        <w:bottom w:w="0" w:type="dxa"/>
        <w:right w:w="108" w:type="dxa"/>
      </w:tblCellMar>
    </w:tblPr>
    <w:tblStylePr w:type="firstRow">
      <w:rPr>
        <w:b/>
        <w:color w:val="FAC090"/>
      </w:rPr>
      <w:tcPr>
        <w:tcBorders>
          <w:bottom w:val="single" w:color="FAC090" w:sz="4" w:space="0"/>
        </w:tcBorders>
      </w:tcPr>
    </w:tblStylePr>
    <w:tblStylePr w:type="lastRow">
      <w:rPr>
        <w:b/>
        <w:color w:val="FAC090"/>
      </w:rPr>
      <w:tcPr>
        <w:tcBorders>
          <w:top w:val="single" w:color="FAC090" w:sz="4" w:space="0"/>
        </w:tcBorders>
      </w:tcPr>
    </w:tblStylePr>
    <w:tblStylePr w:type="firstCol">
      <w:rPr>
        <w:b/>
        <w:color w:val="FAC090"/>
      </w:rPr>
    </w:tblStylePr>
    <w:tblStylePr w:type="lastCol">
      <w:rPr>
        <w:b/>
        <w:color w:val="FAC090"/>
      </w:rPr>
    </w:tblStylePr>
    <w:tblStylePr w:type="band1Vert">
      <w:tcPr>
        <w:shd w:val="clear" w:color="FDE4D0" w:fill="FDE4D0"/>
      </w:tcPr>
    </w:tblStylePr>
    <w:tblStylePr w:type="band1Horz">
      <w:rPr>
        <w:rFonts w:ascii="Arial" w:hAnsi="Arial"/>
        <w:color w:val="FAC090"/>
        <w:sz w:val="22"/>
      </w:rPr>
      <w:tcPr>
        <w:shd w:val="clear" w:color="FDE4D0" w:fill="FDE4D0"/>
      </w:tcPr>
    </w:tblStylePr>
    <w:tblStylePr w:type="band2Horz">
      <w:rPr>
        <w:rFonts w:ascii="Arial" w:hAnsi="Arial"/>
        <w:color w:val="FAC090"/>
        <w:sz w:val="22"/>
      </w:rPr>
    </w:tblStylePr>
  </w:style>
  <w:style w:type="table" w:customStyle="1" w:styleId="1574">
    <w:name w:val="Список-таблица 7 цветная15"/>
    <w:basedOn w:val="13"/>
    <w:uiPriority w:val="99"/>
    <w:rPr>
      <w:sz w:val="22"/>
      <w:szCs w:val="22"/>
      <w:lang w:eastAsia="en-US"/>
    </w:rPr>
    <w:tblPr>
      <w:tblBorders>
        <w:right w:val="single" w:color="7F7F7F" w:sz="4" w:space="0"/>
      </w:tblBorders>
      <w:tblCellMar>
        <w:top w:w="0" w:type="dxa"/>
        <w:left w:w="108" w:type="dxa"/>
        <w:bottom w:w="0" w:type="dxa"/>
        <w:right w:w="108" w:type="dxa"/>
      </w:tblCellMar>
    </w:tblPr>
    <w:tblStylePr w:type="firstRow">
      <w:rPr>
        <w:rFonts w:ascii="Arial" w:hAnsi="Arial"/>
        <w:i/>
        <w:color w:val="7F7F7F"/>
        <w:sz w:val="22"/>
      </w:rPr>
      <w:tcPr>
        <w:tcBorders>
          <w:top w:val="nil"/>
          <w:left w:val="nil"/>
          <w:bottom w:val="single" w:color="7F7F7F" w:sz="4" w:space="0"/>
          <w:right w:val="nil"/>
        </w:tcBorders>
        <w:shd w:val="clear" w:color="FFFFFF" w:fill="FFFFFF"/>
      </w:tcPr>
    </w:tblStylePr>
    <w:tblStylePr w:type="lastRow">
      <w:rPr>
        <w:rFonts w:ascii="Arial" w:hAnsi="Arial"/>
        <w:i/>
        <w:color w:val="7F7F7F"/>
        <w:sz w:val="22"/>
      </w:rPr>
      <w:tcPr>
        <w:tcBorders>
          <w:top w:val="single" w:color="7F7F7F" w:sz="4" w:space="0"/>
          <w:left w:val="nil"/>
          <w:bottom w:val="nil"/>
          <w:right w:val="nil"/>
        </w:tcBorders>
        <w:shd w:val="clear" w:color="FFFFFF" w:fill="FFFFFF"/>
      </w:tcPr>
    </w:tblStylePr>
    <w:tblStylePr w:type="firstCol">
      <w:pPr>
        <w:jc w:val="right"/>
      </w:pPr>
      <w:rPr>
        <w:rFonts w:ascii="Arial" w:hAnsi="Arial"/>
        <w:i/>
        <w:color w:val="7F7F7F"/>
        <w:sz w:val="22"/>
      </w:rPr>
      <w:tcPr>
        <w:tcBorders>
          <w:top w:val="nil"/>
          <w:left w:val="nil"/>
          <w:bottom w:val="nil"/>
          <w:right w:val="single" w:color="7F7F7F" w:sz="4" w:space="0"/>
        </w:tcBorders>
        <w:shd w:val="clear" w:color="FFFFFF" w:fill="auto"/>
      </w:tcPr>
    </w:tblStylePr>
    <w:tblStylePr w:type="lastCol">
      <w:rPr>
        <w:rFonts w:ascii="Arial" w:hAnsi="Arial"/>
        <w:i/>
        <w:color w:val="7F7F7F"/>
        <w:sz w:val="22"/>
      </w:rPr>
      <w:tcPr>
        <w:tcBorders>
          <w:top w:val="nil"/>
          <w:left w:val="single" w:color="7F7F7F" w:sz="4" w:space="0"/>
          <w:bottom w:val="nil"/>
          <w:right w:val="nil"/>
        </w:tcBorders>
        <w:shd w:val="clear" w:color="FFFFFF" w:fill="auto"/>
      </w:tcPr>
    </w:tblStylePr>
    <w:tblStylePr w:type="band1Vert">
      <w:tcPr>
        <w:shd w:val="clear" w:color="BFBFBF" w:fill="BFBFBF"/>
      </w:tcPr>
    </w:tblStylePr>
    <w:tblStylePr w:type="band1Horz">
      <w:rPr>
        <w:rFonts w:ascii="Arial" w:hAnsi="Arial"/>
        <w:color w:val="7F7F7F"/>
        <w:sz w:val="22"/>
      </w:rPr>
      <w:tcPr>
        <w:shd w:val="clear" w:color="BFBFBF" w:fill="BFBFBF"/>
      </w:tcPr>
    </w:tblStylePr>
    <w:tblStylePr w:type="band2Horz">
      <w:rPr>
        <w:rFonts w:ascii="Arial" w:hAnsi="Arial"/>
        <w:color w:val="7F7F7F"/>
        <w:sz w:val="22"/>
      </w:rPr>
    </w:tblStylePr>
  </w:style>
  <w:style w:type="table" w:customStyle="1" w:styleId="1575">
    <w:name w:val="List Table 7 Colorful - Accent 17"/>
    <w:basedOn w:val="13"/>
    <w:uiPriority w:val="99"/>
    <w:rPr>
      <w:sz w:val="22"/>
      <w:szCs w:val="22"/>
      <w:lang w:eastAsia="en-US"/>
    </w:rPr>
    <w:tblPr>
      <w:tblBorders>
        <w:right w:val="single" w:color="4F81BD" w:sz="4" w:space="0"/>
      </w:tblBorders>
      <w:tblCellMar>
        <w:top w:w="0" w:type="dxa"/>
        <w:left w:w="108" w:type="dxa"/>
        <w:bottom w:w="0" w:type="dxa"/>
        <w:right w:w="108" w:type="dxa"/>
      </w:tblCellMar>
    </w:tblPr>
    <w:tblStylePr w:type="firstRow">
      <w:rPr>
        <w:rFonts w:ascii="Arial" w:hAnsi="Arial"/>
        <w:i/>
        <w:color w:val="2A4A71"/>
        <w:sz w:val="22"/>
      </w:rPr>
      <w:tcPr>
        <w:tcBorders>
          <w:top w:val="nil"/>
          <w:left w:val="nil"/>
          <w:bottom w:val="single" w:color="4F81BD" w:sz="4" w:space="0"/>
          <w:right w:val="nil"/>
        </w:tcBorders>
        <w:shd w:val="clear" w:color="FFFFFF" w:fill="FFFFFF"/>
      </w:tcPr>
    </w:tblStylePr>
    <w:tblStylePr w:type="lastRow">
      <w:rPr>
        <w:rFonts w:ascii="Arial" w:hAnsi="Arial"/>
        <w:i/>
        <w:color w:val="2A4A71"/>
        <w:sz w:val="22"/>
      </w:rPr>
      <w:tcPr>
        <w:tcBorders>
          <w:top w:val="single" w:color="4F81BD" w:sz="4" w:space="0"/>
          <w:left w:val="nil"/>
          <w:bottom w:val="nil"/>
          <w:right w:val="nil"/>
        </w:tcBorders>
        <w:shd w:val="clear" w:color="FFFFFF" w:fill="FFFFFF"/>
      </w:tcPr>
    </w:tblStylePr>
    <w:tblStylePr w:type="firstCol">
      <w:pPr>
        <w:jc w:val="right"/>
      </w:pPr>
      <w:rPr>
        <w:rFonts w:ascii="Arial" w:hAnsi="Arial"/>
        <w:i/>
        <w:color w:val="2A4A71"/>
        <w:sz w:val="22"/>
      </w:rPr>
      <w:tcPr>
        <w:tcBorders>
          <w:top w:val="nil"/>
          <w:left w:val="nil"/>
          <w:bottom w:val="nil"/>
          <w:right w:val="single" w:color="4F81BD" w:sz="4" w:space="0"/>
        </w:tcBorders>
        <w:shd w:val="clear" w:color="FFFFFF" w:fill="auto"/>
      </w:tcPr>
    </w:tblStylePr>
    <w:tblStylePr w:type="lastCol">
      <w:rPr>
        <w:rFonts w:ascii="Arial" w:hAnsi="Arial"/>
        <w:i/>
        <w:color w:val="2A4A71"/>
        <w:sz w:val="22"/>
      </w:rPr>
      <w:tcPr>
        <w:tcBorders>
          <w:top w:val="nil"/>
          <w:left w:val="single" w:color="4F81BD" w:sz="4" w:space="0"/>
          <w:bottom w:val="nil"/>
          <w:right w:val="nil"/>
        </w:tcBorders>
        <w:shd w:val="clear" w:color="FFFFFF" w:fill="auto"/>
      </w:tcPr>
    </w:tblStylePr>
    <w:tblStylePr w:type="band1Vert">
      <w:tcPr>
        <w:shd w:val="clear" w:color="D2DFEE" w:fill="D2DFEE"/>
      </w:tcPr>
    </w:tblStylePr>
    <w:tblStylePr w:type="band1Horz">
      <w:rPr>
        <w:rFonts w:ascii="Arial" w:hAnsi="Arial"/>
        <w:color w:val="2A4A71"/>
        <w:sz w:val="22"/>
      </w:rPr>
      <w:tcPr>
        <w:shd w:val="clear" w:color="D2DFEE" w:fill="D2DFEE"/>
      </w:tcPr>
    </w:tblStylePr>
    <w:tblStylePr w:type="band2Horz">
      <w:rPr>
        <w:rFonts w:ascii="Arial" w:hAnsi="Arial"/>
        <w:color w:val="2A4A71"/>
        <w:sz w:val="22"/>
      </w:rPr>
    </w:tblStylePr>
  </w:style>
  <w:style w:type="table" w:customStyle="1" w:styleId="1576">
    <w:name w:val="List Table 7 Colorful - Accent 27"/>
    <w:basedOn w:val="13"/>
    <w:uiPriority w:val="99"/>
    <w:rPr>
      <w:sz w:val="22"/>
      <w:szCs w:val="22"/>
      <w:lang w:eastAsia="en-US"/>
    </w:rPr>
    <w:tblPr>
      <w:tblBorders>
        <w:right w:val="single" w:color="D99695" w:sz="4" w:space="0"/>
      </w:tblBorders>
      <w:tblCellMar>
        <w:top w:w="0" w:type="dxa"/>
        <w:left w:w="108" w:type="dxa"/>
        <w:bottom w:w="0" w:type="dxa"/>
        <w:right w:w="108" w:type="dxa"/>
      </w:tblCellMar>
    </w:tblPr>
    <w:tblStylePr w:type="firstRow">
      <w:rPr>
        <w:rFonts w:ascii="Arial" w:hAnsi="Arial"/>
        <w:i/>
        <w:color w:val="D99695"/>
        <w:sz w:val="22"/>
      </w:rPr>
      <w:tcPr>
        <w:tcBorders>
          <w:top w:val="nil"/>
          <w:left w:val="nil"/>
          <w:bottom w:val="single" w:color="D99695" w:sz="4" w:space="0"/>
          <w:right w:val="nil"/>
        </w:tcBorders>
        <w:shd w:val="clear" w:color="FFFFFF" w:fill="FFFFFF"/>
      </w:tcPr>
    </w:tblStylePr>
    <w:tblStylePr w:type="lastRow">
      <w:rPr>
        <w:rFonts w:ascii="Arial" w:hAnsi="Arial"/>
        <w:i/>
        <w:color w:val="D99695"/>
        <w:sz w:val="22"/>
      </w:rPr>
      <w:tcPr>
        <w:tcBorders>
          <w:top w:val="single" w:color="D99695" w:sz="4" w:space="0"/>
          <w:left w:val="nil"/>
          <w:bottom w:val="nil"/>
          <w:right w:val="nil"/>
        </w:tcBorders>
        <w:shd w:val="clear" w:color="FFFFFF" w:fill="FFFFFF"/>
      </w:tcPr>
    </w:tblStylePr>
    <w:tblStylePr w:type="firstCol">
      <w:pPr>
        <w:jc w:val="right"/>
      </w:pPr>
      <w:rPr>
        <w:rFonts w:ascii="Arial" w:hAnsi="Arial"/>
        <w:i/>
        <w:color w:val="D99695"/>
        <w:sz w:val="22"/>
      </w:rPr>
      <w:tcPr>
        <w:tcBorders>
          <w:top w:val="nil"/>
          <w:left w:val="nil"/>
          <w:bottom w:val="nil"/>
          <w:right w:val="single" w:color="D99695" w:sz="4" w:space="0"/>
        </w:tcBorders>
        <w:shd w:val="clear" w:color="FFFFFF" w:fill="auto"/>
      </w:tcPr>
    </w:tblStylePr>
    <w:tblStylePr w:type="lastCol">
      <w:rPr>
        <w:rFonts w:ascii="Arial" w:hAnsi="Arial"/>
        <w:i/>
        <w:color w:val="D99695"/>
        <w:sz w:val="22"/>
      </w:rPr>
      <w:tcPr>
        <w:tcBorders>
          <w:top w:val="nil"/>
          <w:left w:val="single" w:color="D99695" w:sz="4" w:space="0"/>
          <w:bottom w:val="nil"/>
          <w:right w:val="nil"/>
        </w:tcBorders>
        <w:shd w:val="clear" w:color="FFFFFF" w:fill="auto"/>
      </w:tcPr>
    </w:tblStylePr>
    <w:tblStylePr w:type="band1Vert">
      <w:tcPr>
        <w:shd w:val="clear" w:color="EFD2D2" w:fill="EFD2D2"/>
      </w:tcPr>
    </w:tblStylePr>
    <w:tblStylePr w:type="band1Horz">
      <w:rPr>
        <w:rFonts w:ascii="Arial" w:hAnsi="Arial"/>
        <w:color w:val="D99695"/>
        <w:sz w:val="22"/>
      </w:rPr>
      <w:tcPr>
        <w:shd w:val="clear" w:color="EFD2D2" w:fill="EFD2D2"/>
      </w:tcPr>
    </w:tblStylePr>
    <w:tblStylePr w:type="band2Horz">
      <w:rPr>
        <w:rFonts w:ascii="Arial" w:hAnsi="Arial"/>
        <w:color w:val="D99695"/>
        <w:sz w:val="22"/>
      </w:rPr>
    </w:tblStylePr>
  </w:style>
  <w:style w:type="table" w:customStyle="1" w:styleId="1577">
    <w:name w:val="List Table 7 Colorful - Accent 37"/>
    <w:basedOn w:val="13"/>
    <w:uiPriority w:val="99"/>
    <w:rPr>
      <w:sz w:val="22"/>
      <w:szCs w:val="22"/>
      <w:lang w:eastAsia="en-US"/>
    </w:rPr>
    <w:tblPr>
      <w:tblBorders>
        <w:right w:val="single" w:color="C3D69B" w:sz="4" w:space="0"/>
      </w:tblBorders>
      <w:tblCellMar>
        <w:top w:w="0" w:type="dxa"/>
        <w:left w:w="108" w:type="dxa"/>
        <w:bottom w:w="0" w:type="dxa"/>
        <w:right w:w="108" w:type="dxa"/>
      </w:tblCellMar>
    </w:tblPr>
    <w:tblStylePr w:type="firstRow">
      <w:rPr>
        <w:rFonts w:ascii="Arial" w:hAnsi="Arial"/>
        <w:i/>
        <w:color w:val="C3D69B"/>
        <w:sz w:val="22"/>
      </w:rPr>
      <w:tcPr>
        <w:tcBorders>
          <w:top w:val="nil"/>
          <w:left w:val="nil"/>
          <w:bottom w:val="single" w:color="C3D69B" w:sz="4" w:space="0"/>
          <w:right w:val="nil"/>
        </w:tcBorders>
        <w:shd w:val="clear" w:color="FFFFFF" w:fill="FFFFFF"/>
      </w:tcPr>
    </w:tblStylePr>
    <w:tblStylePr w:type="lastRow">
      <w:rPr>
        <w:rFonts w:ascii="Arial" w:hAnsi="Arial"/>
        <w:i/>
        <w:color w:val="C3D69B"/>
        <w:sz w:val="22"/>
      </w:rPr>
      <w:tcPr>
        <w:tcBorders>
          <w:top w:val="single" w:color="C3D69B" w:sz="4" w:space="0"/>
          <w:left w:val="nil"/>
          <w:bottom w:val="nil"/>
          <w:right w:val="nil"/>
        </w:tcBorders>
        <w:shd w:val="clear" w:color="FFFFFF" w:fill="FFFFFF"/>
      </w:tcPr>
    </w:tblStylePr>
    <w:tblStylePr w:type="firstCol">
      <w:pPr>
        <w:jc w:val="right"/>
      </w:pPr>
      <w:rPr>
        <w:rFonts w:ascii="Arial" w:hAnsi="Arial"/>
        <w:i/>
        <w:color w:val="C3D69B"/>
        <w:sz w:val="22"/>
      </w:rPr>
      <w:tcPr>
        <w:tcBorders>
          <w:top w:val="nil"/>
          <w:left w:val="nil"/>
          <w:bottom w:val="nil"/>
          <w:right w:val="single" w:color="C3D69B" w:sz="4" w:space="0"/>
        </w:tcBorders>
        <w:shd w:val="clear" w:color="FFFFFF" w:fill="auto"/>
      </w:tcPr>
    </w:tblStylePr>
    <w:tblStylePr w:type="lastCol">
      <w:rPr>
        <w:rFonts w:ascii="Arial" w:hAnsi="Arial"/>
        <w:i/>
        <w:color w:val="C3D69B"/>
        <w:sz w:val="22"/>
      </w:rPr>
      <w:tcPr>
        <w:tcBorders>
          <w:top w:val="nil"/>
          <w:left w:val="single" w:color="C3D69B" w:sz="4" w:space="0"/>
          <w:bottom w:val="nil"/>
          <w:right w:val="nil"/>
        </w:tcBorders>
        <w:shd w:val="clear" w:color="FFFFFF" w:fill="auto"/>
      </w:tcPr>
    </w:tblStylePr>
    <w:tblStylePr w:type="band1Vert">
      <w:tcPr>
        <w:shd w:val="clear" w:color="E5EED5" w:fill="E5EED5"/>
      </w:tcPr>
    </w:tblStylePr>
    <w:tblStylePr w:type="band1Horz">
      <w:rPr>
        <w:rFonts w:ascii="Arial" w:hAnsi="Arial"/>
        <w:color w:val="C3D69B"/>
        <w:sz w:val="22"/>
      </w:rPr>
      <w:tcPr>
        <w:shd w:val="clear" w:color="E5EED5" w:fill="E5EED5"/>
      </w:tcPr>
    </w:tblStylePr>
    <w:tblStylePr w:type="band2Horz">
      <w:rPr>
        <w:rFonts w:ascii="Arial" w:hAnsi="Arial"/>
        <w:color w:val="C3D69B"/>
        <w:sz w:val="22"/>
      </w:rPr>
    </w:tblStylePr>
  </w:style>
  <w:style w:type="table" w:customStyle="1" w:styleId="1578">
    <w:name w:val="List Table 7 Colorful - Accent 47"/>
    <w:basedOn w:val="13"/>
    <w:uiPriority w:val="99"/>
    <w:rPr>
      <w:sz w:val="22"/>
      <w:szCs w:val="22"/>
      <w:lang w:eastAsia="en-US"/>
    </w:rPr>
    <w:tblPr>
      <w:tblBorders>
        <w:right w:val="single" w:color="B2A1C6" w:sz="4" w:space="0"/>
      </w:tblBorders>
      <w:tblCellMar>
        <w:top w:w="0" w:type="dxa"/>
        <w:left w:w="108" w:type="dxa"/>
        <w:bottom w:w="0" w:type="dxa"/>
        <w:right w:w="108" w:type="dxa"/>
      </w:tblCellMar>
    </w:tblPr>
    <w:tblStylePr w:type="firstRow">
      <w:rPr>
        <w:rFonts w:ascii="Arial" w:hAnsi="Arial"/>
        <w:i/>
        <w:color w:val="B2A1C6"/>
        <w:sz w:val="22"/>
      </w:rPr>
      <w:tcPr>
        <w:tcBorders>
          <w:top w:val="nil"/>
          <w:left w:val="nil"/>
          <w:bottom w:val="single" w:color="B2A1C6" w:sz="4" w:space="0"/>
          <w:right w:val="nil"/>
        </w:tcBorders>
        <w:shd w:val="clear" w:color="FFFFFF" w:fill="FFFFFF"/>
      </w:tcPr>
    </w:tblStylePr>
    <w:tblStylePr w:type="lastRow">
      <w:rPr>
        <w:rFonts w:ascii="Arial" w:hAnsi="Arial"/>
        <w:i/>
        <w:color w:val="B2A1C6"/>
        <w:sz w:val="22"/>
      </w:rPr>
      <w:tcPr>
        <w:tcBorders>
          <w:top w:val="single" w:color="B2A1C6" w:sz="4" w:space="0"/>
          <w:left w:val="nil"/>
          <w:bottom w:val="nil"/>
          <w:right w:val="nil"/>
        </w:tcBorders>
        <w:shd w:val="clear" w:color="FFFFFF" w:fill="FFFFFF"/>
      </w:tcPr>
    </w:tblStylePr>
    <w:tblStylePr w:type="firstCol">
      <w:pPr>
        <w:jc w:val="right"/>
      </w:pPr>
      <w:rPr>
        <w:rFonts w:ascii="Arial" w:hAnsi="Arial"/>
        <w:i/>
        <w:color w:val="B2A1C6"/>
        <w:sz w:val="22"/>
      </w:rPr>
      <w:tcPr>
        <w:tcBorders>
          <w:top w:val="nil"/>
          <w:left w:val="nil"/>
          <w:bottom w:val="nil"/>
          <w:right w:val="single" w:color="B2A1C6" w:sz="4" w:space="0"/>
        </w:tcBorders>
        <w:shd w:val="clear" w:color="FFFFFF" w:fill="auto"/>
      </w:tcPr>
    </w:tblStylePr>
    <w:tblStylePr w:type="lastCol">
      <w:rPr>
        <w:rFonts w:ascii="Arial" w:hAnsi="Arial"/>
        <w:i/>
        <w:color w:val="B2A1C6"/>
        <w:sz w:val="22"/>
      </w:rPr>
      <w:tcPr>
        <w:tcBorders>
          <w:top w:val="nil"/>
          <w:left w:val="single" w:color="B2A1C6" w:sz="4" w:space="0"/>
          <w:bottom w:val="nil"/>
          <w:right w:val="nil"/>
        </w:tcBorders>
        <w:shd w:val="clear" w:color="FFFFFF" w:fill="auto"/>
      </w:tcPr>
    </w:tblStylePr>
    <w:tblStylePr w:type="band1Vert">
      <w:tcPr>
        <w:shd w:val="clear" w:color="DFD8E7" w:fill="DFD8E7"/>
      </w:tcPr>
    </w:tblStylePr>
    <w:tblStylePr w:type="band1Horz">
      <w:rPr>
        <w:rFonts w:ascii="Arial" w:hAnsi="Arial"/>
        <w:color w:val="B2A1C6"/>
        <w:sz w:val="22"/>
      </w:rPr>
      <w:tcPr>
        <w:shd w:val="clear" w:color="DFD8E7" w:fill="DFD8E7"/>
      </w:tcPr>
    </w:tblStylePr>
    <w:tblStylePr w:type="band2Horz">
      <w:rPr>
        <w:rFonts w:ascii="Arial" w:hAnsi="Arial"/>
        <w:color w:val="B2A1C6"/>
        <w:sz w:val="22"/>
      </w:rPr>
    </w:tblStylePr>
  </w:style>
  <w:style w:type="table" w:customStyle="1" w:styleId="1579">
    <w:name w:val="List Table 7 Colorful - Accent 57"/>
    <w:basedOn w:val="13"/>
    <w:uiPriority w:val="99"/>
    <w:rPr>
      <w:sz w:val="22"/>
      <w:szCs w:val="22"/>
      <w:lang w:eastAsia="en-US"/>
    </w:rPr>
    <w:tblPr>
      <w:tblBorders>
        <w:right w:val="single" w:color="92CCDC" w:sz="4" w:space="0"/>
      </w:tblBorders>
      <w:tblCellMar>
        <w:top w:w="0" w:type="dxa"/>
        <w:left w:w="108" w:type="dxa"/>
        <w:bottom w:w="0" w:type="dxa"/>
        <w:right w:w="108" w:type="dxa"/>
      </w:tblCellMar>
    </w:tblPr>
    <w:tblStylePr w:type="firstRow">
      <w:rPr>
        <w:rFonts w:ascii="Arial" w:hAnsi="Arial"/>
        <w:i/>
        <w:color w:val="92CCDC"/>
        <w:sz w:val="22"/>
      </w:rPr>
      <w:tcPr>
        <w:tcBorders>
          <w:top w:val="nil"/>
          <w:left w:val="nil"/>
          <w:bottom w:val="single" w:color="92CCDC" w:sz="4" w:space="0"/>
          <w:right w:val="nil"/>
        </w:tcBorders>
        <w:shd w:val="clear" w:color="FFFFFF" w:fill="FFFFFF"/>
      </w:tcPr>
    </w:tblStylePr>
    <w:tblStylePr w:type="lastRow">
      <w:rPr>
        <w:rFonts w:ascii="Arial" w:hAnsi="Arial"/>
        <w:i/>
        <w:color w:val="92CCDC"/>
        <w:sz w:val="22"/>
      </w:rPr>
      <w:tcPr>
        <w:tcBorders>
          <w:top w:val="single" w:color="92CCDC" w:sz="4" w:space="0"/>
          <w:left w:val="nil"/>
          <w:bottom w:val="nil"/>
          <w:right w:val="nil"/>
        </w:tcBorders>
        <w:shd w:val="clear" w:color="FFFFFF" w:fill="FFFFFF"/>
      </w:tcPr>
    </w:tblStylePr>
    <w:tblStylePr w:type="firstCol">
      <w:pPr>
        <w:jc w:val="right"/>
      </w:pPr>
      <w:rPr>
        <w:rFonts w:ascii="Arial" w:hAnsi="Arial"/>
        <w:i/>
        <w:color w:val="92CCDC"/>
        <w:sz w:val="22"/>
      </w:rPr>
      <w:tcPr>
        <w:tcBorders>
          <w:top w:val="nil"/>
          <w:left w:val="nil"/>
          <w:bottom w:val="nil"/>
          <w:right w:val="single" w:color="92CCDC" w:sz="4" w:space="0"/>
        </w:tcBorders>
        <w:shd w:val="clear" w:color="FFFFFF" w:fill="auto"/>
      </w:tcPr>
    </w:tblStylePr>
    <w:tblStylePr w:type="lastCol">
      <w:rPr>
        <w:rFonts w:ascii="Arial" w:hAnsi="Arial"/>
        <w:i/>
        <w:color w:val="92CCDC"/>
        <w:sz w:val="22"/>
      </w:rPr>
      <w:tcPr>
        <w:tcBorders>
          <w:top w:val="nil"/>
          <w:left w:val="single" w:color="92CCDC" w:sz="4" w:space="0"/>
          <w:bottom w:val="nil"/>
          <w:right w:val="nil"/>
        </w:tcBorders>
        <w:shd w:val="clear" w:color="FFFFFF" w:fill="auto"/>
      </w:tcPr>
    </w:tblStylePr>
    <w:tblStylePr w:type="band1Vert">
      <w:tcPr>
        <w:shd w:val="clear" w:color="D1EAF0" w:fill="D1EAF0"/>
      </w:tcPr>
    </w:tblStylePr>
    <w:tblStylePr w:type="band1Horz">
      <w:rPr>
        <w:rFonts w:ascii="Arial" w:hAnsi="Arial"/>
        <w:color w:val="92CCDC"/>
        <w:sz w:val="22"/>
      </w:rPr>
      <w:tcPr>
        <w:shd w:val="clear" w:color="D1EAF0" w:fill="D1EAF0"/>
      </w:tcPr>
    </w:tblStylePr>
    <w:tblStylePr w:type="band2Horz">
      <w:rPr>
        <w:rFonts w:ascii="Arial" w:hAnsi="Arial"/>
        <w:color w:val="92CCDC"/>
        <w:sz w:val="22"/>
      </w:rPr>
    </w:tblStylePr>
  </w:style>
  <w:style w:type="table" w:customStyle="1" w:styleId="1580">
    <w:name w:val="List Table 7 Colorful - Accent 67"/>
    <w:basedOn w:val="13"/>
    <w:uiPriority w:val="99"/>
    <w:rPr>
      <w:sz w:val="22"/>
      <w:szCs w:val="22"/>
      <w:lang w:eastAsia="en-US"/>
    </w:rPr>
    <w:tblPr>
      <w:tblBorders>
        <w:right w:val="single" w:color="FAC090" w:sz="4" w:space="0"/>
      </w:tblBorders>
      <w:tblCellMar>
        <w:top w:w="0" w:type="dxa"/>
        <w:left w:w="108" w:type="dxa"/>
        <w:bottom w:w="0" w:type="dxa"/>
        <w:right w:w="108" w:type="dxa"/>
      </w:tblCellMar>
    </w:tblPr>
    <w:tblStylePr w:type="firstRow">
      <w:rPr>
        <w:rFonts w:ascii="Arial" w:hAnsi="Arial"/>
        <w:i/>
        <w:color w:val="FAC090"/>
        <w:sz w:val="22"/>
      </w:rPr>
      <w:tcPr>
        <w:tcBorders>
          <w:top w:val="nil"/>
          <w:left w:val="nil"/>
          <w:bottom w:val="single" w:color="FAC090" w:sz="4" w:space="0"/>
          <w:right w:val="nil"/>
        </w:tcBorders>
        <w:shd w:val="clear" w:color="FFFFFF" w:fill="FFFFFF"/>
      </w:tcPr>
    </w:tblStylePr>
    <w:tblStylePr w:type="lastRow">
      <w:rPr>
        <w:rFonts w:ascii="Arial" w:hAnsi="Arial"/>
        <w:i/>
        <w:color w:val="FAC090"/>
        <w:sz w:val="22"/>
      </w:rPr>
      <w:tcPr>
        <w:tcBorders>
          <w:top w:val="single" w:color="FAC090" w:sz="4" w:space="0"/>
          <w:left w:val="nil"/>
          <w:bottom w:val="nil"/>
          <w:right w:val="nil"/>
        </w:tcBorders>
        <w:shd w:val="clear" w:color="FFFFFF" w:fill="FFFFFF"/>
      </w:tcPr>
    </w:tblStylePr>
    <w:tblStylePr w:type="firstCol">
      <w:pPr>
        <w:jc w:val="right"/>
      </w:pPr>
      <w:rPr>
        <w:rFonts w:ascii="Arial" w:hAnsi="Arial"/>
        <w:i/>
        <w:color w:val="FAC090"/>
        <w:sz w:val="22"/>
      </w:rPr>
      <w:tcPr>
        <w:tcBorders>
          <w:top w:val="nil"/>
          <w:left w:val="nil"/>
          <w:bottom w:val="nil"/>
          <w:right w:val="single" w:color="FAC090" w:sz="4" w:space="0"/>
        </w:tcBorders>
        <w:shd w:val="clear" w:color="FFFFFF" w:fill="auto"/>
      </w:tcPr>
    </w:tblStylePr>
    <w:tblStylePr w:type="lastCol">
      <w:rPr>
        <w:rFonts w:ascii="Arial" w:hAnsi="Arial"/>
        <w:i/>
        <w:color w:val="FAC090"/>
        <w:sz w:val="22"/>
      </w:rPr>
      <w:tcPr>
        <w:tcBorders>
          <w:top w:val="nil"/>
          <w:left w:val="single" w:color="FAC090" w:sz="4" w:space="0"/>
          <w:bottom w:val="nil"/>
          <w:right w:val="nil"/>
        </w:tcBorders>
        <w:shd w:val="clear" w:color="FFFFFF" w:fill="auto"/>
      </w:tcPr>
    </w:tblStylePr>
    <w:tblStylePr w:type="band1Vert">
      <w:tcPr>
        <w:shd w:val="clear" w:color="FDE4D0" w:fill="FDE4D0"/>
      </w:tcPr>
    </w:tblStylePr>
    <w:tblStylePr w:type="band1Horz">
      <w:rPr>
        <w:rFonts w:ascii="Arial" w:hAnsi="Arial"/>
        <w:color w:val="FAC090"/>
        <w:sz w:val="22"/>
      </w:rPr>
      <w:tcPr>
        <w:shd w:val="clear" w:color="FDE4D0" w:fill="FDE4D0"/>
      </w:tcPr>
    </w:tblStylePr>
    <w:tblStylePr w:type="band2Horz">
      <w:rPr>
        <w:rFonts w:ascii="Arial" w:hAnsi="Arial"/>
        <w:color w:val="FAC090"/>
        <w:sz w:val="22"/>
      </w:rPr>
    </w:tblStylePr>
  </w:style>
  <w:style w:type="table" w:customStyle="1" w:styleId="1581">
    <w:name w:val="Lined - Accent7"/>
    <w:basedOn w:val="13"/>
    <w:uiPriority w:val="99"/>
    <w:rPr>
      <w:color w:val="404040"/>
    </w:rPr>
    <w:tblPr>
      <w:tblCellMar>
        <w:top w:w="0" w:type="dxa"/>
        <w:left w:w="108" w:type="dxa"/>
        <w:bottom w:w="0" w:type="dxa"/>
        <w:right w:w="108" w:type="dxa"/>
      </w:tblCellMar>
    </w:tblPr>
    <w:tblStylePr w:type="firstRow">
      <w:rPr>
        <w:rFonts w:ascii="Arial" w:hAnsi="Arial"/>
        <w:color w:val="F2F2F2"/>
        <w:sz w:val="22"/>
      </w:rPr>
      <w:tcPr>
        <w:shd w:val="clear" w:color="7F7F7F" w:fill="7F7F7F"/>
      </w:tcPr>
    </w:tblStylePr>
    <w:tblStylePr w:type="lastRow">
      <w:rPr>
        <w:rFonts w:ascii="Arial" w:hAnsi="Arial"/>
        <w:color w:val="F2F2F2"/>
        <w:sz w:val="22"/>
      </w:rPr>
      <w:tcPr>
        <w:shd w:val="clear" w:color="7F7F7F" w:fill="7F7F7F"/>
      </w:tcPr>
    </w:tblStylePr>
    <w:tblStylePr w:type="firstCol">
      <w:rPr>
        <w:rFonts w:ascii="Arial" w:hAnsi="Arial"/>
        <w:color w:val="F2F2F2"/>
        <w:sz w:val="22"/>
      </w:rPr>
      <w:tcPr>
        <w:shd w:val="clear" w:color="7F7F7F" w:fill="7F7F7F"/>
      </w:tcPr>
    </w:tblStylePr>
    <w:tblStylePr w:type="lastCol">
      <w:rPr>
        <w:rFonts w:ascii="Arial" w:hAnsi="Arial"/>
        <w:color w:val="F2F2F2"/>
        <w:sz w:val="22"/>
      </w:rPr>
      <w:tcPr>
        <w:shd w:val="clear" w:color="7F7F7F" w:fill="7F7F7F"/>
      </w:tcPr>
    </w:tblStylePr>
    <w:tblStylePr w:type="band1Vert">
      <w:rPr>
        <w:rFonts w:ascii="Arial" w:hAnsi="Arial"/>
        <w:color w:val="404040"/>
        <w:sz w:val="22"/>
      </w:rPr>
    </w:tblStylePr>
    <w:tblStylePr w:type="band2Vert">
      <w:rPr>
        <w:rFonts w:ascii="Arial" w:hAnsi="Arial"/>
        <w:color w:val="404040"/>
        <w:sz w:val="22"/>
      </w:rPr>
      <w:tcPr>
        <w:shd w:val="clear" w:color="F2F2F2" w:fill="F2F2F2"/>
      </w:tcPr>
    </w:tblStylePr>
    <w:tblStylePr w:type="band1Horz">
      <w:rPr>
        <w:rFonts w:ascii="Arial" w:hAnsi="Arial"/>
        <w:color w:val="404040"/>
        <w:sz w:val="22"/>
      </w:rPr>
    </w:tblStylePr>
    <w:tblStylePr w:type="band2Horz">
      <w:rPr>
        <w:rFonts w:ascii="Arial" w:hAnsi="Arial"/>
        <w:color w:val="404040"/>
        <w:sz w:val="22"/>
      </w:rPr>
      <w:tcPr>
        <w:shd w:val="clear" w:color="F2F2F2" w:fill="F2F2F2"/>
      </w:tcPr>
    </w:tblStylePr>
  </w:style>
  <w:style w:type="table" w:customStyle="1" w:styleId="1582">
    <w:name w:val="Lined - Accent 17"/>
    <w:basedOn w:val="13"/>
    <w:uiPriority w:val="99"/>
    <w:rPr>
      <w:color w:val="404040"/>
    </w:rPr>
    <w:tblPr>
      <w:tblCellMar>
        <w:top w:w="0" w:type="dxa"/>
        <w:left w:w="108" w:type="dxa"/>
        <w:bottom w:w="0" w:type="dxa"/>
        <w:right w:w="108" w:type="dxa"/>
      </w:tblCellMar>
    </w:tblPr>
    <w:tblStylePr w:type="firstRow">
      <w:rPr>
        <w:rFonts w:ascii="Arial" w:hAnsi="Arial"/>
        <w:color w:val="F2F2F2"/>
        <w:sz w:val="22"/>
      </w:rPr>
      <w:tcPr>
        <w:shd w:val="clear" w:color="5D8AC2" w:fill="5D8AC2"/>
      </w:tcPr>
    </w:tblStylePr>
    <w:tblStylePr w:type="lastRow">
      <w:rPr>
        <w:rFonts w:ascii="Arial" w:hAnsi="Arial"/>
        <w:color w:val="F2F2F2"/>
        <w:sz w:val="22"/>
      </w:rPr>
      <w:tcPr>
        <w:shd w:val="clear" w:color="5D8AC2" w:fill="5D8AC2"/>
      </w:tcPr>
    </w:tblStylePr>
    <w:tblStylePr w:type="firstCol">
      <w:rPr>
        <w:rFonts w:ascii="Arial" w:hAnsi="Arial"/>
        <w:color w:val="F2F2F2"/>
        <w:sz w:val="22"/>
      </w:rPr>
      <w:tcPr>
        <w:shd w:val="clear" w:color="5D8AC2" w:fill="5D8AC2"/>
      </w:tcPr>
    </w:tblStylePr>
    <w:tblStylePr w:type="lastCol">
      <w:rPr>
        <w:rFonts w:ascii="Arial" w:hAnsi="Arial"/>
        <w:color w:val="F2F2F2"/>
        <w:sz w:val="22"/>
      </w:rPr>
      <w:tcPr>
        <w:shd w:val="clear" w:color="5D8AC2" w:fill="5D8AC2"/>
      </w:tcPr>
    </w:tblStylePr>
    <w:tblStylePr w:type="band1Vert">
      <w:rPr>
        <w:rFonts w:ascii="Arial" w:hAnsi="Arial"/>
        <w:color w:val="404040"/>
        <w:sz w:val="22"/>
      </w:rPr>
    </w:tblStylePr>
    <w:tblStylePr w:type="band2Vert">
      <w:rPr>
        <w:rFonts w:ascii="Arial" w:hAnsi="Arial"/>
        <w:color w:val="404040"/>
        <w:sz w:val="22"/>
      </w:rPr>
      <w:tcPr>
        <w:shd w:val="clear" w:color="C7D7EA" w:fill="C7D7EA"/>
      </w:tcPr>
    </w:tblStylePr>
    <w:tblStylePr w:type="band1Horz">
      <w:rPr>
        <w:rFonts w:ascii="Arial" w:hAnsi="Arial"/>
        <w:color w:val="404040"/>
        <w:sz w:val="22"/>
      </w:rPr>
    </w:tblStylePr>
    <w:tblStylePr w:type="band2Horz">
      <w:rPr>
        <w:rFonts w:ascii="Arial" w:hAnsi="Arial"/>
        <w:color w:val="404040"/>
        <w:sz w:val="22"/>
      </w:rPr>
      <w:tcPr>
        <w:shd w:val="clear" w:color="C7D7EA" w:fill="C7D7EA"/>
      </w:tcPr>
    </w:tblStylePr>
  </w:style>
  <w:style w:type="table" w:customStyle="1" w:styleId="1583">
    <w:name w:val="Lined - Accent 27"/>
    <w:basedOn w:val="13"/>
    <w:uiPriority w:val="99"/>
    <w:rPr>
      <w:color w:val="404040"/>
    </w:rPr>
    <w:tblPr>
      <w:tblCellMar>
        <w:top w:w="0" w:type="dxa"/>
        <w:left w:w="108" w:type="dxa"/>
        <w:bottom w:w="0" w:type="dxa"/>
        <w:right w:w="108" w:type="dxa"/>
      </w:tblCellMar>
    </w:tblPr>
    <w:tblStylePr w:type="firstRow">
      <w:rPr>
        <w:rFonts w:ascii="Arial" w:hAnsi="Arial"/>
        <w:color w:val="F2F2F2"/>
        <w:sz w:val="22"/>
      </w:rPr>
      <w:tcPr>
        <w:shd w:val="clear" w:color="D99695" w:fill="D99695"/>
      </w:tcPr>
    </w:tblStylePr>
    <w:tblStylePr w:type="lastRow">
      <w:rPr>
        <w:rFonts w:ascii="Arial" w:hAnsi="Arial"/>
        <w:color w:val="F2F2F2"/>
        <w:sz w:val="22"/>
      </w:rPr>
      <w:tcPr>
        <w:shd w:val="clear" w:color="D99695" w:fill="D99695"/>
      </w:tcPr>
    </w:tblStylePr>
    <w:tblStylePr w:type="firstCol">
      <w:rPr>
        <w:rFonts w:ascii="Arial" w:hAnsi="Arial"/>
        <w:color w:val="F2F2F2"/>
        <w:sz w:val="22"/>
      </w:rPr>
      <w:tcPr>
        <w:shd w:val="clear" w:color="D99695" w:fill="D99695"/>
      </w:tcPr>
    </w:tblStylePr>
    <w:tblStylePr w:type="lastCol">
      <w:rPr>
        <w:rFonts w:ascii="Arial" w:hAnsi="Arial"/>
        <w:color w:val="F2F2F2"/>
        <w:sz w:val="22"/>
      </w:rPr>
      <w:tcPr>
        <w:shd w:val="clear" w:color="D99695" w:fill="D99695"/>
      </w:tcPr>
    </w:tblStylePr>
    <w:tblStylePr w:type="band1Vert">
      <w:rPr>
        <w:rFonts w:ascii="Arial" w:hAnsi="Arial"/>
        <w:color w:val="404040"/>
        <w:sz w:val="22"/>
      </w:rPr>
    </w:tblStylePr>
    <w:tblStylePr w:type="band2Vert">
      <w:rPr>
        <w:rFonts w:ascii="Arial" w:hAnsi="Arial"/>
        <w:color w:val="404040"/>
        <w:sz w:val="22"/>
      </w:rPr>
      <w:tcPr>
        <w:shd w:val="clear" w:color="F2DCDC" w:fill="F2DCDC"/>
      </w:tcPr>
    </w:tblStylePr>
    <w:tblStylePr w:type="band1Horz">
      <w:rPr>
        <w:rFonts w:ascii="Arial" w:hAnsi="Arial"/>
        <w:color w:val="404040"/>
        <w:sz w:val="22"/>
      </w:rPr>
    </w:tblStylePr>
    <w:tblStylePr w:type="band2Horz">
      <w:rPr>
        <w:rFonts w:ascii="Arial" w:hAnsi="Arial"/>
        <w:color w:val="404040"/>
        <w:sz w:val="22"/>
      </w:rPr>
      <w:tcPr>
        <w:shd w:val="clear" w:color="F2DCDC" w:fill="F2DCDC"/>
      </w:tcPr>
    </w:tblStylePr>
  </w:style>
  <w:style w:type="table" w:customStyle="1" w:styleId="1584">
    <w:name w:val="Lined - Accent 37"/>
    <w:basedOn w:val="13"/>
    <w:uiPriority w:val="99"/>
    <w:rPr>
      <w:color w:val="404040"/>
    </w:rPr>
    <w:tblPr>
      <w:tblCellMar>
        <w:top w:w="0" w:type="dxa"/>
        <w:left w:w="108" w:type="dxa"/>
        <w:bottom w:w="0" w:type="dxa"/>
        <w:right w:w="108" w:type="dxa"/>
      </w:tblCellMar>
    </w:tblPr>
    <w:tblStylePr w:type="firstRow">
      <w:rPr>
        <w:rFonts w:ascii="Arial" w:hAnsi="Arial"/>
        <w:color w:val="F2F2F2"/>
        <w:sz w:val="22"/>
      </w:rPr>
      <w:tcPr>
        <w:shd w:val="clear" w:color="9ABB59" w:fill="9ABB59"/>
      </w:tcPr>
    </w:tblStylePr>
    <w:tblStylePr w:type="lastRow">
      <w:rPr>
        <w:rFonts w:ascii="Arial" w:hAnsi="Arial"/>
        <w:color w:val="F2F2F2"/>
        <w:sz w:val="22"/>
      </w:rPr>
      <w:tcPr>
        <w:shd w:val="clear" w:color="9ABB59" w:fill="9ABB59"/>
      </w:tcPr>
    </w:tblStylePr>
    <w:tblStylePr w:type="firstCol">
      <w:rPr>
        <w:rFonts w:ascii="Arial" w:hAnsi="Arial"/>
        <w:color w:val="F2F2F2"/>
        <w:sz w:val="22"/>
      </w:rPr>
      <w:tcPr>
        <w:shd w:val="clear" w:color="9ABB59" w:fill="9ABB59"/>
      </w:tcPr>
    </w:tblStylePr>
    <w:tblStylePr w:type="lastCol">
      <w:rPr>
        <w:rFonts w:ascii="Arial" w:hAnsi="Arial"/>
        <w:color w:val="F2F2F2"/>
        <w:sz w:val="22"/>
      </w:rPr>
      <w:tcPr>
        <w:shd w:val="clear" w:color="9ABB59" w:fill="9ABB59"/>
      </w:tcPr>
    </w:tblStylePr>
    <w:tblStylePr w:type="band1Vert">
      <w:rPr>
        <w:rFonts w:ascii="Arial" w:hAnsi="Arial"/>
        <w:color w:val="404040"/>
        <w:sz w:val="22"/>
      </w:rPr>
    </w:tblStylePr>
    <w:tblStylePr w:type="band2Vert">
      <w:rPr>
        <w:rFonts w:ascii="Arial" w:hAnsi="Arial"/>
        <w:color w:val="404040"/>
        <w:sz w:val="22"/>
      </w:rPr>
      <w:tcPr>
        <w:shd w:val="clear" w:color="EAF1DC" w:fill="EAF1DC"/>
      </w:tcPr>
    </w:tblStylePr>
    <w:tblStylePr w:type="band1Horz">
      <w:rPr>
        <w:rFonts w:ascii="Arial" w:hAnsi="Arial"/>
        <w:color w:val="404040"/>
        <w:sz w:val="22"/>
      </w:rPr>
    </w:tblStylePr>
    <w:tblStylePr w:type="band2Horz">
      <w:rPr>
        <w:rFonts w:ascii="Arial" w:hAnsi="Arial"/>
        <w:color w:val="404040"/>
        <w:sz w:val="22"/>
      </w:rPr>
      <w:tcPr>
        <w:shd w:val="clear" w:color="EAF1DC" w:fill="EAF1DC"/>
      </w:tcPr>
    </w:tblStylePr>
  </w:style>
  <w:style w:type="table" w:customStyle="1" w:styleId="1585">
    <w:name w:val="Lined - Accent 47"/>
    <w:basedOn w:val="13"/>
    <w:uiPriority w:val="99"/>
    <w:rPr>
      <w:color w:val="404040"/>
    </w:rPr>
    <w:tblPr>
      <w:tblCellMar>
        <w:top w:w="0" w:type="dxa"/>
        <w:left w:w="108" w:type="dxa"/>
        <w:bottom w:w="0" w:type="dxa"/>
        <w:right w:w="108" w:type="dxa"/>
      </w:tblCellMar>
    </w:tblPr>
    <w:tblStylePr w:type="firstRow">
      <w:rPr>
        <w:rFonts w:ascii="Arial" w:hAnsi="Arial"/>
        <w:color w:val="F2F2F2"/>
        <w:sz w:val="22"/>
      </w:rPr>
      <w:tcPr>
        <w:shd w:val="clear" w:color="B2A1C6" w:fill="B2A1C6"/>
      </w:tcPr>
    </w:tblStylePr>
    <w:tblStylePr w:type="lastRow">
      <w:rPr>
        <w:rFonts w:ascii="Arial" w:hAnsi="Arial"/>
        <w:color w:val="F2F2F2"/>
        <w:sz w:val="22"/>
      </w:rPr>
      <w:tcPr>
        <w:shd w:val="clear" w:color="B2A1C6" w:fill="B2A1C6"/>
      </w:tcPr>
    </w:tblStylePr>
    <w:tblStylePr w:type="firstCol">
      <w:rPr>
        <w:rFonts w:ascii="Arial" w:hAnsi="Arial"/>
        <w:color w:val="F2F2F2"/>
        <w:sz w:val="22"/>
      </w:rPr>
      <w:tcPr>
        <w:shd w:val="clear" w:color="B2A1C6" w:fill="B2A1C6"/>
      </w:tcPr>
    </w:tblStylePr>
    <w:tblStylePr w:type="lastCol">
      <w:rPr>
        <w:rFonts w:ascii="Arial" w:hAnsi="Arial"/>
        <w:color w:val="F2F2F2"/>
        <w:sz w:val="22"/>
      </w:rPr>
      <w:tcPr>
        <w:shd w:val="clear" w:color="B2A1C6" w:fill="B2A1C6"/>
      </w:tcPr>
    </w:tblStylePr>
    <w:tblStylePr w:type="band1Vert">
      <w:rPr>
        <w:rFonts w:ascii="Arial" w:hAnsi="Arial"/>
        <w:color w:val="404040"/>
        <w:sz w:val="22"/>
      </w:rPr>
    </w:tblStylePr>
    <w:tblStylePr w:type="band2Vert">
      <w:rPr>
        <w:rFonts w:ascii="Arial" w:hAnsi="Arial"/>
        <w:color w:val="404040"/>
        <w:sz w:val="22"/>
      </w:rPr>
      <w:tcPr>
        <w:shd w:val="clear" w:color="E5DFEC" w:fill="E5DFEC"/>
      </w:tcPr>
    </w:tblStylePr>
    <w:tblStylePr w:type="band1Horz">
      <w:rPr>
        <w:rFonts w:ascii="Arial" w:hAnsi="Arial"/>
        <w:color w:val="404040"/>
        <w:sz w:val="22"/>
      </w:rPr>
    </w:tblStylePr>
    <w:tblStylePr w:type="band2Horz">
      <w:rPr>
        <w:rFonts w:ascii="Arial" w:hAnsi="Arial"/>
        <w:color w:val="404040"/>
        <w:sz w:val="22"/>
      </w:rPr>
      <w:tcPr>
        <w:shd w:val="clear" w:color="E5DFEC" w:fill="E5DFEC"/>
      </w:tcPr>
    </w:tblStylePr>
  </w:style>
  <w:style w:type="table" w:customStyle="1" w:styleId="1586">
    <w:name w:val="Lined - Accent 57"/>
    <w:basedOn w:val="13"/>
    <w:uiPriority w:val="99"/>
    <w:rPr>
      <w:color w:val="404040"/>
    </w:rPr>
    <w:tblPr>
      <w:tblCellMar>
        <w:top w:w="0" w:type="dxa"/>
        <w:left w:w="108" w:type="dxa"/>
        <w:bottom w:w="0" w:type="dxa"/>
        <w:right w:w="108" w:type="dxa"/>
      </w:tblCellMar>
    </w:tblPr>
    <w:tblStylePr w:type="firstRow">
      <w:rPr>
        <w:rFonts w:ascii="Arial" w:hAnsi="Arial"/>
        <w:color w:val="F2F2F2"/>
        <w:sz w:val="22"/>
      </w:rPr>
      <w:tcPr>
        <w:shd w:val="clear" w:color="4BACC6" w:fill="4BACC6"/>
      </w:tcPr>
    </w:tblStylePr>
    <w:tblStylePr w:type="lastRow">
      <w:rPr>
        <w:rFonts w:ascii="Arial" w:hAnsi="Arial"/>
        <w:color w:val="F2F2F2"/>
        <w:sz w:val="22"/>
      </w:rPr>
      <w:tcPr>
        <w:shd w:val="clear" w:color="4BACC6" w:fill="4BACC6"/>
      </w:tcPr>
    </w:tblStylePr>
    <w:tblStylePr w:type="firstCol">
      <w:rPr>
        <w:rFonts w:ascii="Arial" w:hAnsi="Arial"/>
        <w:color w:val="F2F2F2"/>
        <w:sz w:val="22"/>
      </w:rPr>
      <w:tcPr>
        <w:shd w:val="clear" w:color="4BACC6" w:fill="4BACC6"/>
      </w:tcPr>
    </w:tblStylePr>
    <w:tblStylePr w:type="lastCol">
      <w:rPr>
        <w:rFonts w:ascii="Arial" w:hAnsi="Arial"/>
        <w:color w:val="F2F2F2"/>
        <w:sz w:val="22"/>
      </w:rPr>
      <w:tcPr>
        <w:shd w:val="clear" w:color="4BACC6" w:fill="4BACC6"/>
      </w:tcPr>
    </w:tblStylePr>
    <w:tblStylePr w:type="band1Vert">
      <w:rPr>
        <w:rFonts w:ascii="Arial" w:hAnsi="Arial"/>
        <w:color w:val="404040"/>
        <w:sz w:val="22"/>
      </w:rPr>
    </w:tblStylePr>
    <w:tblStylePr w:type="band2Vert">
      <w:rPr>
        <w:rFonts w:ascii="Arial" w:hAnsi="Arial"/>
        <w:color w:val="404040"/>
        <w:sz w:val="22"/>
      </w:rPr>
      <w:tcPr>
        <w:shd w:val="clear" w:color="DAEEF3" w:fill="DAEEF3"/>
      </w:tcPr>
    </w:tblStylePr>
    <w:tblStylePr w:type="band1Horz">
      <w:rPr>
        <w:rFonts w:ascii="Arial" w:hAnsi="Arial"/>
        <w:color w:val="404040"/>
        <w:sz w:val="22"/>
      </w:rPr>
    </w:tblStylePr>
    <w:tblStylePr w:type="band2Horz">
      <w:rPr>
        <w:rFonts w:ascii="Arial" w:hAnsi="Arial"/>
        <w:color w:val="404040"/>
        <w:sz w:val="22"/>
      </w:rPr>
      <w:tcPr>
        <w:shd w:val="clear" w:color="DAEEF3" w:fill="DAEEF3"/>
      </w:tcPr>
    </w:tblStylePr>
  </w:style>
  <w:style w:type="table" w:customStyle="1" w:styleId="1587">
    <w:name w:val="Lined - Accent 67"/>
    <w:basedOn w:val="13"/>
    <w:uiPriority w:val="99"/>
    <w:rPr>
      <w:color w:val="404040"/>
    </w:rPr>
    <w:tblPr>
      <w:tblCellMar>
        <w:top w:w="0" w:type="dxa"/>
        <w:left w:w="108" w:type="dxa"/>
        <w:bottom w:w="0" w:type="dxa"/>
        <w:right w:w="108" w:type="dxa"/>
      </w:tblCellMar>
    </w:tblPr>
    <w:tblStylePr w:type="firstRow">
      <w:rPr>
        <w:rFonts w:ascii="Arial" w:hAnsi="Arial"/>
        <w:color w:val="F2F2F2"/>
        <w:sz w:val="22"/>
      </w:rPr>
      <w:tcPr>
        <w:shd w:val="clear" w:color="F79646" w:fill="F79646"/>
      </w:tcPr>
    </w:tblStylePr>
    <w:tblStylePr w:type="lastRow">
      <w:rPr>
        <w:rFonts w:ascii="Arial" w:hAnsi="Arial"/>
        <w:color w:val="F2F2F2"/>
        <w:sz w:val="22"/>
      </w:rPr>
      <w:tcPr>
        <w:shd w:val="clear" w:color="F79646" w:fill="F79646"/>
      </w:tcPr>
    </w:tblStylePr>
    <w:tblStylePr w:type="firstCol">
      <w:rPr>
        <w:rFonts w:ascii="Arial" w:hAnsi="Arial"/>
        <w:color w:val="F2F2F2"/>
        <w:sz w:val="22"/>
      </w:rPr>
      <w:tcPr>
        <w:shd w:val="clear" w:color="F79646" w:fill="F79646"/>
      </w:tcPr>
    </w:tblStylePr>
    <w:tblStylePr w:type="lastCol">
      <w:rPr>
        <w:rFonts w:ascii="Arial" w:hAnsi="Arial"/>
        <w:color w:val="F2F2F2"/>
        <w:sz w:val="22"/>
      </w:rPr>
      <w:tcPr>
        <w:shd w:val="clear" w:color="F79646" w:fill="F79646"/>
      </w:tcPr>
    </w:tblStylePr>
    <w:tblStylePr w:type="band1Vert">
      <w:rPr>
        <w:rFonts w:ascii="Arial" w:hAnsi="Arial"/>
        <w:color w:val="404040"/>
        <w:sz w:val="22"/>
      </w:rPr>
    </w:tblStylePr>
    <w:tblStylePr w:type="band2Vert">
      <w:rPr>
        <w:rFonts w:ascii="Arial" w:hAnsi="Arial"/>
        <w:color w:val="404040"/>
        <w:sz w:val="22"/>
      </w:rPr>
      <w:tcPr>
        <w:shd w:val="clear" w:color="FDE9D8" w:fill="FDE9D8"/>
      </w:tcPr>
    </w:tblStylePr>
    <w:tblStylePr w:type="band1Horz">
      <w:rPr>
        <w:rFonts w:ascii="Arial" w:hAnsi="Arial"/>
        <w:color w:val="404040"/>
        <w:sz w:val="22"/>
      </w:rPr>
    </w:tblStylePr>
    <w:tblStylePr w:type="band2Horz">
      <w:rPr>
        <w:rFonts w:ascii="Arial" w:hAnsi="Arial"/>
        <w:color w:val="404040"/>
        <w:sz w:val="22"/>
      </w:rPr>
      <w:tcPr>
        <w:shd w:val="clear" w:color="FDE9D8" w:fill="FDE9D8"/>
      </w:tcPr>
    </w:tblStylePr>
  </w:style>
  <w:style w:type="table" w:customStyle="1" w:styleId="1588">
    <w:name w:val="Bordered &amp; Lined - Accent7"/>
    <w:basedOn w:val="13"/>
    <w:uiPriority w:val="99"/>
    <w:rPr>
      <w:color w:val="404040"/>
    </w:rPr>
    <w:tblPr>
      <w:tblBorders>
        <w:top w:val="single" w:color="595959" w:sz="4" w:space="0"/>
        <w:left w:val="single" w:color="595959" w:sz="4" w:space="0"/>
        <w:bottom w:val="single" w:color="595959" w:sz="4" w:space="0"/>
        <w:right w:val="single" w:color="595959" w:sz="4" w:space="0"/>
        <w:insideH w:val="single" w:color="595959" w:sz="4" w:space="0"/>
        <w:insideV w:val="single" w:color="595959" w:sz="4" w:space="0"/>
      </w:tblBorders>
      <w:tblCellMar>
        <w:top w:w="0" w:type="dxa"/>
        <w:left w:w="108" w:type="dxa"/>
        <w:bottom w:w="0" w:type="dxa"/>
        <w:right w:w="108" w:type="dxa"/>
      </w:tblCellMar>
    </w:tblPr>
    <w:tblStylePr w:type="firstRow">
      <w:rPr>
        <w:rFonts w:ascii="Arial" w:hAnsi="Arial"/>
        <w:color w:val="F2F2F2"/>
        <w:sz w:val="22"/>
      </w:rPr>
      <w:tcPr>
        <w:shd w:val="clear" w:color="7F7F7F" w:fill="7F7F7F"/>
      </w:tcPr>
    </w:tblStylePr>
    <w:tblStylePr w:type="lastRow">
      <w:rPr>
        <w:rFonts w:ascii="Arial" w:hAnsi="Arial"/>
        <w:color w:val="F2F2F2"/>
        <w:sz w:val="22"/>
      </w:rPr>
      <w:tcPr>
        <w:shd w:val="clear" w:color="7F7F7F" w:fill="7F7F7F"/>
      </w:tcPr>
    </w:tblStylePr>
    <w:tblStylePr w:type="firstCol">
      <w:rPr>
        <w:rFonts w:ascii="Arial" w:hAnsi="Arial"/>
        <w:color w:val="F2F2F2"/>
        <w:sz w:val="22"/>
      </w:rPr>
      <w:tcPr>
        <w:shd w:val="clear" w:color="7F7F7F" w:fill="7F7F7F"/>
      </w:tcPr>
    </w:tblStylePr>
    <w:tblStylePr w:type="lastCol">
      <w:rPr>
        <w:rFonts w:ascii="Arial" w:hAnsi="Arial"/>
        <w:color w:val="F2F2F2"/>
        <w:sz w:val="22"/>
      </w:rPr>
      <w:tcPr>
        <w:shd w:val="clear" w:color="7F7F7F" w:fill="7F7F7F"/>
      </w:tcPr>
    </w:tblStylePr>
    <w:tblStylePr w:type="band1Vert">
      <w:rPr>
        <w:rFonts w:ascii="Arial" w:hAnsi="Arial"/>
        <w:color w:val="404040"/>
        <w:sz w:val="22"/>
      </w:rPr>
    </w:tblStylePr>
    <w:tblStylePr w:type="band2Vert">
      <w:rPr>
        <w:rFonts w:ascii="Arial" w:hAnsi="Arial"/>
        <w:color w:val="404040"/>
        <w:sz w:val="22"/>
      </w:rPr>
      <w:tcPr>
        <w:shd w:val="clear" w:color="F2F2F2" w:fill="F2F2F2"/>
      </w:tcPr>
    </w:tblStylePr>
    <w:tblStylePr w:type="band1Horz">
      <w:rPr>
        <w:rFonts w:ascii="Arial" w:hAnsi="Arial"/>
        <w:color w:val="404040"/>
        <w:sz w:val="22"/>
      </w:rPr>
    </w:tblStylePr>
    <w:tblStylePr w:type="band2Horz">
      <w:rPr>
        <w:rFonts w:ascii="Arial" w:hAnsi="Arial"/>
        <w:color w:val="404040"/>
        <w:sz w:val="22"/>
      </w:rPr>
      <w:tcPr>
        <w:shd w:val="clear" w:color="F2F2F2" w:fill="F2F2F2"/>
      </w:tcPr>
    </w:tblStylePr>
  </w:style>
  <w:style w:type="table" w:customStyle="1" w:styleId="1589">
    <w:name w:val="Bordered &amp; Lined - Accent 17"/>
    <w:basedOn w:val="13"/>
    <w:uiPriority w:val="99"/>
    <w:rPr>
      <w:color w:val="404040"/>
    </w:rPr>
    <w:tblPr>
      <w:tblBorders>
        <w:top w:val="single" w:color="2A4A71" w:sz="4" w:space="0"/>
        <w:left w:val="single" w:color="2A4A71" w:sz="4" w:space="0"/>
        <w:bottom w:val="single" w:color="2A4A71" w:sz="4" w:space="0"/>
        <w:right w:val="single" w:color="2A4A71" w:sz="4" w:space="0"/>
        <w:insideH w:val="single" w:color="2A4A71" w:sz="4" w:space="0"/>
        <w:insideV w:val="single" w:color="2A4A71" w:sz="4" w:space="0"/>
      </w:tblBorders>
      <w:tblCellMar>
        <w:top w:w="0" w:type="dxa"/>
        <w:left w:w="108" w:type="dxa"/>
        <w:bottom w:w="0" w:type="dxa"/>
        <w:right w:w="108" w:type="dxa"/>
      </w:tblCellMar>
    </w:tblPr>
    <w:tblStylePr w:type="firstRow">
      <w:rPr>
        <w:rFonts w:ascii="Arial" w:hAnsi="Arial"/>
        <w:color w:val="F2F2F2"/>
        <w:sz w:val="22"/>
      </w:rPr>
      <w:tcPr>
        <w:shd w:val="clear" w:color="5D8AC2" w:fill="5D8AC2"/>
      </w:tcPr>
    </w:tblStylePr>
    <w:tblStylePr w:type="lastRow">
      <w:rPr>
        <w:rFonts w:ascii="Arial" w:hAnsi="Arial"/>
        <w:color w:val="F2F2F2"/>
        <w:sz w:val="22"/>
      </w:rPr>
      <w:tcPr>
        <w:shd w:val="clear" w:color="5D8AC2" w:fill="5D8AC2"/>
      </w:tcPr>
    </w:tblStylePr>
    <w:tblStylePr w:type="firstCol">
      <w:rPr>
        <w:rFonts w:ascii="Arial" w:hAnsi="Arial"/>
        <w:color w:val="F2F2F2"/>
        <w:sz w:val="22"/>
      </w:rPr>
      <w:tcPr>
        <w:shd w:val="clear" w:color="5D8AC2" w:fill="5D8AC2"/>
      </w:tcPr>
    </w:tblStylePr>
    <w:tblStylePr w:type="lastCol">
      <w:rPr>
        <w:rFonts w:ascii="Arial" w:hAnsi="Arial"/>
        <w:color w:val="F2F2F2"/>
        <w:sz w:val="22"/>
      </w:rPr>
      <w:tcPr>
        <w:shd w:val="clear" w:color="5D8AC2" w:fill="5D8AC2"/>
      </w:tcPr>
    </w:tblStylePr>
    <w:tblStylePr w:type="band1Vert">
      <w:rPr>
        <w:rFonts w:ascii="Arial" w:hAnsi="Arial"/>
        <w:color w:val="404040"/>
        <w:sz w:val="22"/>
      </w:rPr>
    </w:tblStylePr>
    <w:tblStylePr w:type="band2Vert">
      <w:rPr>
        <w:rFonts w:ascii="Arial" w:hAnsi="Arial"/>
        <w:color w:val="404040"/>
        <w:sz w:val="22"/>
      </w:rPr>
      <w:tcPr>
        <w:shd w:val="clear" w:color="C7D7EA" w:fill="C7D7EA"/>
      </w:tcPr>
    </w:tblStylePr>
    <w:tblStylePr w:type="band1Horz">
      <w:rPr>
        <w:rFonts w:ascii="Arial" w:hAnsi="Arial"/>
        <w:color w:val="404040"/>
        <w:sz w:val="22"/>
      </w:rPr>
    </w:tblStylePr>
    <w:tblStylePr w:type="band2Horz">
      <w:rPr>
        <w:rFonts w:ascii="Arial" w:hAnsi="Arial"/>
        <w:color w:val="404040"/>
        <w:sz w:val="22"/>
      </w:rPr>
      <w:tcPr>
        <w:shd w:val="clear" w:color="C7D7EA" w:fill="C7D7EA"/>
      </w:tcPr>
    </w:tblStylePr>
  </w:style>
  <w:style w:type="table" w:customStyle="1" w:styleId="1590">
    <w:name w:val="Bordered &amp; Lined - Accent 27"/>
    <w:basedOn w:val="13"/>
    <w:uiPriority w:val="99"/>
    <w:rPr>
      <w:color w:val="404040"/>
    </w:rPr>
    <w:tblPr>
      <w:tblBorders>
        <w:top w:val="single" w:color="732A29" w:sz="4" w:space="0"/>
        <w:left w:val="single" w:color="732A29" w:sz="4" w:space="0"/>
        <w:bottom w:val="single" w:color="732A29" w:sz="4" w:space="0"/>
        <w:right w:val="single" w:color="732A29" w:sz="4" w:space="0"/>
        <w:insideH w:val="single" w:color="732A29" w:sz="4" w:space="0"/>
        <w:insideV w:val="single" w:color="732A29" w:sz="4" w:space="0"/>
      </w:tblBorders>
      <w:tblCellMar>
        <w:top w:w="0" w:type="dxa"/>
        <w:left w:w="108" w:type="dxa"/>
        <w:bottom w:w="0" w:type="dxa"/>
        <w:right w:w="108" w:type="dxa"/>
      </w:tblCellMar>
    </w:tblPr>
    <w:tblStylePr w:type="firstRow">
      <w:rPr>
        <w:rFonts w:ascii="Arial" w:hAnsi="Arial"/>
        <w:color w:val="F2F2F2"/>
        <w:sz w:val="22"/>
      </w:rPr>
      <w:tcPr>
        <w:shd w:val="clear" w:color="D99695" w:fill="D99695"/>
      </w:tcPr>
    </w:tblStylePr>
    <w:tblStylePr w:type="lastRow">
      <w:rPr>
        <w:rFonts w:ascii="Arial" w:hAnsi="Arial"/>
        <w:color w:val="F2F2F2"/>
        <w:sz w:val="22"/>
      </w:rPr>
      <w:tcPr>
        <w:shd w:val="clear" w:color="D99695" w:fill="D99695"/>
      </w:tcPr>
    </w:tblStylePr>
    <w:tblStylePr w:type="firstCol">
      <w:rPr>
        <w:rFonts w:ascii="Arial" w:hAnsi="Arial"/>
        <w:color w:val="F2F2F2"/>
        <w:sz w:val="22"/>
      </w:rPr>
      <w:tcPr>
        <w:shd w:val="clear" w:color="D99695" w:fill="D99695"/>
      </w:tcPr>
    </w:tblStylePr>
    <w:tblStylePr w:type="lastCol">
      <w:rPr>
        <w:rFonts w:ascii="Arial" w:hAnsi="Arial"/>
        <w:color w:val="F2F2F2"/>
        <w:sz w:val="22"/>
      </w:rPr>
      <w:tcPr>
        <w:shd w:val="clear" w:color="D99695" w:fill="D99695"/>
      </w:tcPr>
    </w:tblStylePr>
    <w:tblStylePr w:type="band1Vert">
      <w:rPr>
        <w:rFonts w:ascii="Arial" w:hAnsi="Arial"/>
        <w:color w:val="404040"/>
        <w:sz w:val="22"/>
      </w:rPr>
    </w:tblStylePr>
    <w:tblStylePr w:type="band2Vert">
      <w:rPr>
        <w:rFonts w:ascii="Arial" w:hAnsi="Arial"/>
        <w:color w:val="404040"/>
        <w:sz w:val="22"/>
      </w:rPr>
      <w:tcPr>
        <w:shd w:val="clear" w:color="F2DCDC" w:fill="F2DCDC"/>
      </w:tcPr>
    </w:tblStylePr>
    <w:tblStylePr w:type="band1Horz">
      <w:rPr>
        <w:rFonts w:ascii="Arial" w:hAnsi="Arial"/>
        <w:color w:val="404040"/>
        <w:sz w:val="22"/>
      </w:rPr>
    </w:tblStylePr>
    <w:tblStylePr w:type="band2Horz">
      <w:rPr>
        <w:rFonts w:ascii="Arial" w:hAnsi="Arial"/>
        <w:color w:val="404040"/>
        <w:sz w:val="22"/>
      </w:rPr>
      <w:tcPr>
        <w:shd w:val="clear" w:color="F2DCDC" w:fill="F2DCDC"/>
      </w:tcPr>
    </w:tblStylePr>
  </w:style>
  <w:style w:type="table" w:customStyle="1" w:styleId="1591">
    <w:name w:val="Bordered &amp; Lined - Accent 37"/>
    <w:basedOn w:val="13"/>
    <w:uiPriority w:val="99"/>
    <w:rPr>
      <w:color w:val="404040"/>
    </w:rPr>
    <w:tblPr>
      <w:tblBorders>
        <w:top w:val="single" w:color="5B722E" w:sz="4" w:space="0"/>
        <w:left w:val="single" w:color="5B722E" w:sz="4" w:space="0"/>
        <w:bottom w:val="single" w:color="5B722E" w:sz="4" w:space="0"/>
        <w:right w:val="single" w:color="5B722E" w:sz="4" w:space="0"/>
        <w:insideH w:val="single" w:color="5B722E" w:sz="4" w:space="0"/>
        <w:insideV w:val="single" w:color="5B722E" w:sz="4" w:space="0"/>
      </w:tblBorders>
      <w:tblCellMar>
        <w:top w:w="0" w:type="dxa"/>
        <w:left w:w="108" w:type="dxa"/>
        <w:bottom w:w="0" w:type="dxa"/>
        <w:right w:w="108" w:type="dxa"/>
      </w:tblCellMar>
    </w:tblPr>
    <w:tblStylePr w:type="firstRow">
      <w:rPr>
        <w:rFonts w:ascii="Arial" w:hAnsi="Arial"/>
        <w:color w:val="F2F2F2"/>
        <w:sz w:val="22"/>
      </w:rPr>
      <w:tcPr>
        <w:shd w:val="clear" w:color="9ABB59" w:fill="9ABB59"/>
      </w:tcPr>
    </w:tblStylePr>
    <w:tblStylePr w:type="lastRow">
      <w:rPr>
        <w:rFonts w:ascii="Arial" w:hAnsi="Arial"/>
        <w:color w:val="F2F2F2"/>
        <w:sz w:val="22"/>
      </w:rPr>
      <w:tcPr>
        <w:shd w:val="clear" w:color="9ABB59" w:fill="9ABB59"/>
      </w:tcPr>
    </w:tblStylePr>
    <w:tblStylePr w:type="firstCol">
      <w:rPr>
        <w:rFonts w:ascii="Arial" w:hAnsi="Arial"/>
        <w:color w:val="F2F2F2"/>
        <w:sz w:val="22"/>
      </w:rPr>
      <w:tcPr>
        <w:shd w:val="clear" w:color="9ABB59" w:fill="9ABB59"/>
      </w:tcPr>
    </w:tblStylePr>
    <w:tblStylePr w:type="lastCol">
      <w:rPr>
        <w:rFonts w:ascii="Arial" w:hAnsi="Arial"/>
        <w:color w:val="F2F2F2"/>
        <w:sz w:val="22"/>
      </w:rPr>
      <w:tcPr>
        <w:shd w:val="clear" w:color="9ABB59" w:fill="9ABB59"/>
      </w:tcPr>
    </w:tblStylePr>
    <w:tblStylePr w:type="band1Vert">
      <w:rPr>
        <w:rFonts w:ascii="Arial" w:hAnsi="Arial"/>
        <w:color w:val="404040"/>
        <w:sz w:val="22"/>
      </w:rPr>
    </w:tblStylePr>
    <w:tblStylePr w:type="band2Vert">
      <w:rPr>
        <w:rFonts w:ascii="Arial" w:hAnsi="Arial"/>
        <w:color w:val="404040"/>
        <w:sz w:val="22"/>
      </w:rPr>
      <w:tcPr>
        <w:shd w:val="clear" w:color="EAF1DC" w:fill="EAF1DC"/>
      </w:tcPr>
    </w:tblStylePr>
    <w:tblStylePr w:type="band1Horz">
      <w:rPr>
        <w:rFonts w:ascii="Arial" w:hAnsi="Arial"/>
        <w:color w:val="404040"/>
        <w:sz w:val="22"/>
      </w:rPr>
    </w:tblStylePr>
    <w:tblStylePr w:type="band2Horz">
      <w:rPr>
        <w:rFonts w:ascii="Arial" w:hAnsi="Arial"/>
        <w:color w:val="404040"/>
        <w:sz w:val="22"/>
      </w:rPr>
      <w:tcPr>
        <w:shd w:val="clear" w:color="EAF1DC" w:fill="EAF1DC"/>
      </w:tcPr>
    </w:tblStylePr>
  </w:style>
  <w:style w:type="table" w:customStyle="1" w:styleId="1592">
    <w:name w:val="Bordered &amp; Lined - Accent 47"/>
    <w:basedOn w:val="13"/>
    <w:uiPriority w:val="99"/>
    <w:rPr>
      <w:color w:val="404040"/>
    </w:rPr>
    <w:tblPr>
      <w:tblBorders>
        <w:top w:val="single" w:color="4A395F" w:sz="4" w:space="0"/>
        <w:left w:val="single" w:color="4A395F" w:sz="4" w:space="0"/>
        <w:bottom w:val="single" w:color="4A395F" w:sz="4" w:space="0"/>
        <w:right w:val="single" w:color="4A395F" w:sz="4" w:space="0"/>
        <w:insideH w:val="single" w:color="4A395F" w:sz="4" w:space="0"/>
        <w:insideV w:val="single" w:color="4A395F" w:sz="4" w:space="0"/>
      </w:tblBorders>
      <w:tblCellMar>
        <w:top w:w="0" w:type="dxa"/>
        <w:left w:w="108" w:type="dxa"/>
        <w:bottom w:w="0" w:type="dxa"/>
        <w:right w:w="108" w:type="dxa"/>
      </w:tblCellMar>
    </w:tblPr>
    <w:tblStylePr w:type="firstRow">
      <w:rPr>
        <w:rFonts w:ascii="Arial" w:hAnsi="Arial"/>
        <w:color w:val="F2F2F2"/>
        <w:sz w:val="22"/>
      </w:rPr>
      <w:tcPr>
        <w:shd w:val="clear" w:color="B2A1C6" w:fill="B2A1C6"/>
      </w:tcPr>
    </w:tblStylePr>
    <w:tblStylePr w:type="lastRow">
      <w:rPr>
        <w:rFonts w:ascii="Arial" w:hAnsi="Arial"/>
        <w:color w:val="F2F2F2"/>
        <w:sz w:val="22"/>
      </w:rPr>
      <w:tcPr>
        <w:shd w:val="clear" w:color="B2A1C6" w:fill="B2A1C6"/>
      </w:tcPr>
    </w:tblStylePr>
    <w:tblStylePr w:type="firstCol">
      <w:rPr>
        <w:rFonts w:ascii="Arial" w:hAnsi="Arial"/>
        <w:color w:val="F2F2F2"/>
        <w:sz w:val="22"/>
      </w:rPr>
      <w:tcPr>
        <w:shd w:val="clear" w:color="B2A1C6" w:fill="B2A1C6"/>
      </w:tcPr>
    </w:tblStylePr>
    <w:tblStylePr w:type="lastCol">
      <w:rPr>
        <w:rFonts w:ascii="Arial" w:hAnsi="Arial"/>
        <w:color w:val="F2F2F2"/>
        <w:sz w:val="22"/>
      </w:rPr>
      <w:tcPr>
        <w:shd w:val="clear" w:color="B2A1C6" w:fill="B2A1C6"/>
      </w:tcPr>
    </w:tblStylePr>
    <w:tblStylePr w:type="band1Vert">
      <w:rPr>
        <w:rFonts w:ascii="Arial" w:hAnsi="Arial"/>
        <w:color w:val="404040"/>
        <w:sz w:val="22"/>
      </w:rPr>
    </w:tblStylePr>
    <w:tblStylePr w:type="band2Vert">
      <w:rPr>
        <w:rFonts w:ascii="Arial" w:hAnsi="Arial"/>
        <w:color w:val="404040"/>
        <w:sz w:val="22"/>
      </w:rPr>
      <w:tcPr>
        <w:shd w:val="clear" w:color="E5DFEC" w:fill="E5DFEC"/>
      </w:tcPr>
    </w:tblStylePr>
    <w:tblStylePr w:type="band1Horz">
      <w:rPr>
        <w:rFonts w:ascii="Arial" w:hAnsi="Arial"/>
        <w:color w:val="404040"/>
        <w:sz w:val="22"/>
      </w:rPr>
    </w:tblStylePr>
    <w:tblStylePr w:type="band2Horz">
      <w:rPr>
        <w:rFonts w:ascii="Arial" w:hAnsi="Arial"/>
        <w:color w:val="404040"/>
        <w:sz w:val="22"/>
      </w:rPr>
      <w:tcPr>
        <w:shd w:val="clear" w:color="E5DFEC" w:fill="E5DFEC"/>
      </w:tcPr>
    </w:tblStylePr>
  </w:style>
  <w:style w:type="table" w:customStyle="1" w:styleId="1593">
    <w:name w:val="Bordered &amp; Lined - Accent 57"/>
    <w:basedOn w:val="13"/>
    <w:uiPriority w:val="99"/>
    <w:rPr>
      <w:color w:val="404040"/>
    </w:rPr>
    <w:tblPr>
      <w:tblBorders>
        <w:top w:val="single" w:color="266779" w:sz="4" w:space="0"/>
        <w:left w:val="single" w:color="266779" w:sz="4" w:space="0"/>
        <w:bottom w:val="single" w:color="266779" w:sz="4" w:space="0"/>
        <w:right w:val="single" w:color="266779" w:sz="4" w:space="0"/>
        <w:insideH w:val="single" w:color="266779" w:sz="4" w:space="0"/>
        <w:insideV w:val="single" w:color="266779" w:sz="4" w:space="0"/>
      </w:tblBorders>
      <w:tblCellMar>
        <w:top w:w="0" w:type="dxa"/>
        <w:left w:w="108" w:type="dxa"/>
        <w:bottom w:w="0" w:type="dxa"/>
        <w:right w:w="108" w:type="dxa"/>
      </w:tblCellMar>
    </w:tblPr>
    <w:tblStylePr w:type="firstRow">
      <w:rPr>
        <w:rFonts w:ascii="Arial" w:hAnsi="Arial"/>
        <w:color w:val="F2F2F2"/>
        <w:sz w:val="22"/>
      </w:rPr>
      <w:tcPr>
        <w:shd w:val="clear" w:color="4BACC6" w:fill="4BACC6"/>
      </w:tcPr>
    </w:tblStylePr>
    <w:tblStylePr w:type="lastRow">
      <w:rPr>
        <w:rFonts w:ascii="Arial" w:hAnsi="Arial"/>
        <w:color w:val="F2F2F2"/>
        <w:sz w:val="22"/>
      </w:rPr>
      <w:tcPr>
        <w:shd w:val="clear" w:color="4BACC6" w:fill="4BACC6"/>
      </w:tcPr>
    </w:tblStylePr>
    <w:tblStylePr w:type="firstCol">
      <w:rPr>
        <w:rFonts w:ascii="Arial" w:hAnsi="Arial"/>
        <w:color w:val="F2F2F2"/>
        <w:sz w:val="22"/>
      </w:rPr>
      <w:tcPr>
        <w:shd w:val="clear" w:color="4BACC6" w:fill="4BACC6"/>
      </w:tcPr>
    </w:tblStylePr>
    <w:tblStylePr w:type="lastCol">
      <w:rPr>
        <w:rFonts w:ascii="Arial" w:hAnsi="Arial"/>
        <w:color w:val="F2F2F2"/>
        <w:sz w:val="22"/>
      </w:rPr>
      <w:tcPr>
        <w:shd w:val="clear" w:color="4BACC6" w:fill="4BACC6"/>
      </w:tcPr>
    </w:tblStylePr>
    <w:tblStylePr w:type="band1Vert">
      <w:rPr>
        <w:rFonts w:ascii="Arial" w:hAnsi="Arial"/>
        <w:color w:val="404040"/>
        <w:sz w:val="22"/>
      </w:rPr>
    </w:tblStylePr>
    <w:tblStylePr w:type="band2Vert">
      <w:rPr>
        <w:rFonts w:ascii="Arial" w:hAnsi="Arial"/>
        <w:color w:val="404040"/>
        <w:sz w:val="22"/>
      </w:rPr>
      <w:tcPr>
        <w:shd w:val="clear" w:color="DAEEF3" w:fill="DAEEF3"/>
      </w:tcPr>
    </w:tblStylePr>
    <w:tblStylePr w:type="band1Horz">
      <w:rPr>
        <w:rFonts w:ascii="Arial" w:hAnsi="Arial"/>
        <w:color w:val="404040"/>
        <w:sz w:val="22"/>
      </w:rPr>
    </w:tblStylePr>
    <w:tblStylePr w:type="band2Horz">
      <w:rPr>
        <w:rFonts w:ascii="Arial" w:hAnsi="Arial"/>
        <w:color w:val="404040"/>
        <w:sz w:val="22"/>
      </w:rPr>
      <w:tcPr>
        <w:shd w:val="clear" w:color="DAEEF3" w:fill="DAEEF3"/>
      </w:tcPr>
    </w:tblStylePr>
  </w:style>
  <w:style w:type="table" w:customStyle="1" w:styleId="1594">
    <w:name w:val="Bordered &amp; Lined - Accent 67"/>
    <w:basedOn w:val="13"/>
    <w:uiPriority w:val="99"/>
    <w:rPr>
      <w:color w:val="404040"/>
    </w:rPr>
    <w:tblPr>
      <w:tblBorders>
        <w:top w:val="single" w:color="B15407" w:sz="4" w:space="0"/>
        <w:left w:val="single" w:color="B15407" w:sz="4" w:space="0"/>
        <w:bottom w:val="single" w:color="B15407" w:sz="4" w:space="0"/>
        <w:right w:val="single" w:color="B15407" w:sz="4" w:space="0"/>
        <w:insideH w:val="single" w:color="B15407" w:sz="4" w:space="0"/>
        <w:insideV w:val="single" w:color="B15407" w:sz="4" w:space="0"/>
      </w:tblBorders>
      <w:tblCellMar>
        <w:top w:w="0" w:type="dxa"/>
        <w:left w:w="108" w:type="dxa"/>
        <w:bottom w:w="0" w:type="dxa"/>
        <w:right w:w="108" w:type="dxa"/>
      </w:tblCellMar>
    </w:tblPr>
    <w:tblStylePr w:type="firstRow">
      <w:rPr>
        <w:rFonts w:ascii="Arial" w:hAnsi="Arial"/>
        <w:color w:val="F2F2F2"/>
        <w:sz w:val="22"/>
      </w:rPr>
      <w:tcPr>
        <w:shd w:val="clear" w:color="F79646" w:fill="F79646"/>
      </w:tcPr>
    </w:tblStylePr>
    <w:tblStylePr w:type="lastRow">
      <w:rPr>
        <w:rFonts w:ascii="Arial" w:hAnsi="Arial"/>
        <w:color w:val="F2F2F2"/>
        <w:sz w:val="22"/>
      </w:rPr>
      <w:tcPr>
        <w:shd w:val="clear" w:color="F79646" w:fill="F79646"/>
      </w:tcPr>
    </w:tblStylePr>
    <w:tblStylePr w:type="firstCol">
      <w:rPr>
        <w:rFonts w:ascii="Arial" w:hAnsi="Arial"/>
        <w:color w:val="F2F2F2"/>
        <w:sz w:val="22"/>
      </w:rPr>
      <w:tcPr>
        <w:shd w:val="clear" w:color="F79646" w:fill="F79646"/>
      </w:tcPr>
    </w:tblStylePr>
    <w:tblStylePr w:type="lastCol">
      <w:rPr>
        <w:rFonts w:ascii="Arial" w:hAnsi="Arial"/>
        <w:color w:val="F2F2F2"/>
        <w:sz w:val="22"/>
      </w:rPr>
      <w:tcPr>
        <w:shd w:val="clear" w:color="F79646" w:fill="F79646"/>
      </w:tcPr>
    </w:tblStylePr>
    <w:tblStylePr w:type="band1Vert">
      <w:rPr>
        <w:rFonts w:ascii="Arial" w:hAnsi="Arial"/>
        <w:color w:val="404040"/>
        <w:sz w:val="22"/>
      </w:rPr>
    </w:tblStylePr>
    <w:tblStylePr w:type="band2Vert">
      <w:rPr>
        <w:rFonts w:ascii="Arial" w:hAnsi="Arial"/>
        <w:color w:val="404040"/>
        <w:sz w:val="22"/>
      </w:rPr>
      <w:tcPr>
        <w:shd w:val="clear" w:color="FDE9D8" w:fill="FDE9D8"/>
      </w:tcPr>
    </w:tblStylePr>
    <w:tblStylePr w:type="band1Horz">
      <w:rPr>
        <w:rFonts w:ascii="Arial" w:hAnsi="Arial"/>
        <w:color w:val="404040"/>
        <w:sz w:val="22"/>
      </w:rPr>
    </w:tblStylePr>
    <w:tblStylePr w:type="band2Horz">
      <w:rPr>
        <w:rFonts w:ascii="Arial" w:hAnsi="Arial"/>
        <w:color w:val="404040"/>
        <w:sz w:val="22"/>
      </w:rPr>
      <w:tcPr>
        <w:shd w:val="clear" w:color="FDE9D8" w:fill="FDE9D8"/>
      </w:tcPr>
    </w:tblStylePr>
  </w:style>
  <w:style w:type="table" w:customStyle="1" w:styleId="1595">
    <w:name w:val="Bordered7"/>
    <w:basedOn w:val="13"/>
    <w:uiPriority w:val="99"/>
    <w:rPr>
      <w:sz w:val="22"/>
      <w:szCs w:val="22"/>
      <w:lang w:eastAsia="en-US"/>
    </w:rPr>
    <w:tblPr>
      <w:tblBorders>
        <w:top w:val="single" w:color="D9D9D9" w:sz="4" w:space="0"/>
        <w:left w:val="single" w:color="D9D9D9" w:sz="4" w:space="0"/>
        <w:bottom w:val="single" w:color="D9D9D9" w:sz="4" w:space="0"/>
        <w:right w:val="single" w:color="D9D9D9" w:sz="4" w:space="0"/>
        <w:insideH w:val="single" w:color="D9D9D9" w:sz="4" w:space="0"/>
        <w:insideV w:val="single" w:color="D9D9D9" w:sz="4" w:space="0"/>
      </w:tblBorders>
      <w:tblCellMar>
        <w:top w:w="0" w:type="dxa"/>
        <w:left w:w="108" w:type="dxa"/>
        <w:bottom w:w="0" w:type="dxa"/>
        <w:right w:w="108" w:type="dxa"/>
      </w:tblCellMar>
    </w:tblPr>
    <w:tblStylePr w:type="firstRow">
      <w:rPr>
        <w:rFonts w:ascii="Arial" w:hAnsi="Arial"/>
        <w:color w:val="404040"/>
        <w:sz w:val="22"/>
      </w:rPr>
      <w:tcPr>
        <w:tcBorders>
          <w:bottom w:val="single" w:color="7F7F7F" w:sz="12" w:space="0"/>
        </w:tcBorders>
      </w:tcPr>
    </w:tblStylePr>
    <w:tblStylePr w:type="lastRow">
      <w:rPr>
        <w:rFonts w:ascii="Arial" w:hAnsi="Arial"/>
        <w:color w:val="404040"/>
        <w:sz w:val="22"/>
      </w:rPr>
      <w:tcPr>
        <w:tcBorders>
          <w:top w:val="single" w:color="7F7F7F"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7F7F7F" w:sz="12" w:space="0"/>
        </w:tcBorders>
      </w:tcPr>
    </w:tblStylePr>
    <w:tblStylePr w:type="band1Horz">
      <w:rPr>
        <w:rFonts w:ascii="Arial" w:hAnsi="Arial"/>
        <w:color w:val="404040"/>
        <w:sz w:val="22"/>
      </w:rPr>
      <w:tcPr>
        <w:tcBorders>
          <w:top w:val="single" w:color="D9D9D9" w:sz="4" w:space="0"/>
          <w:left w:val="single" w:color="D9D9D9" w:sz="4" w:space="0"/>
          <w:bottom w:val="single" w:color="D9D9D9" w:sz="4" w:space="0"/>
          <w:right w:val="single" w:color="D9D9D9" w:sz="4" w:space="0"/>
        </w:tcBorders>
      </w:tcPr>
    </w:tblStylePr>
  </w:style>
  <w:style w:type="table" w:customStyle="1" w:styleId="1596">
    <w:name w:val="Bordered - Accent 17"/>
    <w:basedOn w:val="13"/>
    <w:uiPriority w:val="99"/>
    <w:rPr>
      <w:sz w:val="22"/>
      <w:szCs w:val="22"/>
      <w:lang w:eastAsia="en-US"/>
    </w:rPr>
    <w:tblPr>
      <w:tblBorders>
        <w:top w:val="single" w:color="B7CBE4" w:sz="4" w:space="0"/>
        <w:left w:val="single" w:color="B7CBE4" w:sz="4" w:space="0"/>
        <w:bottom w:val="single" w:color="B7CBE4" w:sz="4" w:space="0"/>
        <w:right w:val="single" w:color="B7CBE4" w:sz="4" w:space="0"/>
        <w:insideH w:val="single" w:color="B7CBE4" w:sz="4" w:space="0"/>
        <w:insideV w:val="single" w:color="B7CBE4" w:sz="4" w:space="0"/>
      </w:tblBorders>
      <w:tblCellMar>
        <w:top w:w="0" w:type="dxa"/>
        <w:left w:w="108" w:type="dxa"/>
        <w:bottom w:w="0" w:type="dxa"/>
        <w:right w:w="108" w:type="dxa"/>
      </w:tblCellMar>
    </w:tblPr>
    <w:tblStylePr w:type="firstRow">
      <w:rPr>
        <w:rFonts w:ascii="Arial" w:hAnsi="Arial"/>
        <w:color w:val="404040"/>
        <w:sz w:val="22"/>
      </w:rPr>
      <w:tcPr>
        <w:tcBorders>
          <w:bottom w:val="single" w:color="4F81BD" w:sz="12" w:space="0"/>
        </w:tcBorders>
      </w:tcPr>
    </w:tblStylePr>
    <w:tblStylePr w:type="lastRow">
      <w:rPr>
        <w:rFonts w:ascii="Arial" w:hAnsi="Arial"/>
        <w:color w:val="404040"/>
        <w:sz w:val="22"/>
      </w:rPr>
      <w:tcPr>
        <w:tcBorders>
          <w:top w:val="single" w:color="4F81BD"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4F81BD" w:sz="12" w:space="0"/>
        </w:tcBorders>
      </w:tcPr>
    </w:tblStylePr>
    <w:tblStylePr w:type="band1Horz">
      <w:rPr>
        <w:rFonts w:ascii="Arial" w:hAnsi="Arial"/>
        <w:color w:val="404040"/>
        <w:sz w:val="22"/>
      </w:rPr>
      <w:tcPr>
        <w:tcBorders>
          <w:top w:val="single" w:color="B7CBE4" w:sz="4" w:space="0"/>
          <w:left w:val="single" w:color="B7CBE4" w:sz="4" w:space="0"/>
          <w:bottom w:val="single" w:color="B7CBE4" w:sz="4" w:space="0"/>
          <w:right w:val="single" w:color="B7CBE4" w:sz="4" w:space="0"/>
        </w:tcBorders>
      </w:tcPr>
    </w:tblStylePr>
  </w:style>
  <w:style w:type="table" w:customStyle="1" w:styleId="1597">
    <w:name w:val="Bordered - Accent 27"/>
    <w:basedOn w:val="13"/>
    <w:uiPriority w:val="99"/>
    <w:rPr>
      <w:sz w:val="22"/>
      <w:szCs w:val="22"/>
      <w:lang w:eastAsia="en-US"/>
    </w:rPr>
    <w:tblPr>
      <w:tblBorders>
        <w:top w:val="single" w:color="E5B7B6" w:sz="4" w:space="0"/>
        <w:left w:val="single" w:color="E5B7B6" w:sz="4" w:space="0"/>
        <w:bottom w:val="single" w:color="E5B7B6" w:sz="4" w:space="0"/>
        <w:right w:val="single" w:color="E5B7B6" w:sz="4" w:space="0"/>
        <w:insideH w:val="single" w:color="E5B7B6" w:sz="4" w:space="0"/>
        <w:insideV w:val="single" w:color="E5B7B6" w:sz="4" w:space="0"/>
      </w:tblBorders>
      <w:tblCellMar>
        <w:top w:w="0" w:type="dxa"/>
        <w:left w:w="108" w:type="dxa"/>
        <w:bottom w:w="0" w:type="dxa"/>
        <w:right w:w="108" w:type="dxa"/>
      </w:tblCellMar>
    </w:tblPr>
    <w:tblStylePr w:type="firstRow">
      <w:rPr>
        <w:rFonts w:ascii="Arial" w:hAnsi="Arial"/>
        <w:color w:val="404040"/>
        <w:sz w:val="22"/>
      </w:rPr>
      <w:tcPr>
        <w:tcBorders>
          <w:bottom w:val="single" w:color="D99695" w:sz="12" w:space="0"/>
        </w:tcBorders>
      </w:tcPr>
    </w:tblStylePr>
    <w:tblStylePr w:type="lastRow">
      <w:rPr>
        <w:rFonts w:ascii="Arial" w:hAnsi="Arial"/>
        <w:color w:val="404040"/>
        <w:sz w:val="22"/>
      </w:rPr>
      <w:tcPr>
        <w:tcBorders>
          <w:top w:val="single" w:color="D99695"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D99695" w:sz="12" w:space="0"/>
        </w:tcBorders>
      </w:tcPr>
    </w:tblStylePr>
    <w:tblStylePr w:type="band1Horz">
      <w:rPr>
        <w:rFonts w:ascii="Arial" w:hAnsi="Arial"/>
        <w:color w:val="404040"/>
        <w:sz w:val="22"/>
      </w:rPr>
      <w:tcPr>
        <w:tcBorders>
          <w:top w:val="single" w:color="E5B7B6" w:sz="4" w:space="0"/>
          <w:left w:val="single" w:color="E5B7B6" w:sz="4" w:space="0"/>
          <w:bottom w:val="single" w:color="E5B7B6" w:sz="4" w:space="0"/>
          <w:right w:val="single" w:color="E5B7B6" w:sz="4" w:space="0"/>
        </w:tcBorders>
      </w:tcPr>
    </w:tblStylePr>
  </w:style>
  <w:style w:type="table" w:customStyle="1" w:styleId="1598">
    <w:name w:val="Bordered - Accent 37"/>
    <w:basedOn w:val="13"/>
    <w:uiPriority w:val="99"/>
    <w:rPr>
      <w:sz w:val="22"/>
      <w:szCs w:val="22"/>
      <w:lang w:eastAsia="en-US"/>
    </w:rPr>
    <w:tblPr>
      <w:tblBorders>
        <w:top w:val="single" w:color="D6E3BB" w:sz="4" w:space="0"/>
        <w:left w:val="single" w:color="D6E3BB" w:sz="4" w:space="0"/>
        <w:bottom w:val="single" w:color="D6E3BB" w:sz="4" w:space="0"/>
        <w:right w:val="single" w:color="D6E3BB" w:sz="4" w:space="0"/>
        <w:insideH w:val="single" w:color="D6E3BB" w:sz="4" w:space="0"/>
        <w:insideV w:val="single" w:color="D6E3BB" w:sz="4" w:space="0"/>
      </w:tblBorders>
      <w:tblCellMar>
        <w:top w:w="0" w:type="dxa"/>
        <w:left w:w="108" w:type="dxa"/>
        <w:bottom w:w="0" w:type="dxa"/>
        <w:right w:w="108" w:type="dxa"/>
      </w:tblCellMar>
    </w:tblPr>
    <w:tblStylePr w:type="firstRow">
      <w:rPr>
        <w:rFonts w:ascii="Arial" w:hAnsi="Arial"/>
        <w:color w:val="404040"/>
        <w:sz w:val="22"/>
      </w:rPr>
      <w:tcPr>
        <w:tcBorders>
          <w:bottom w:val="single" w:color="C3D69B" w:sz="12" w:space="0"/>
        </w:tcBorders>
      </w:tcPr>
    </w:tblStylePr>
    <w:tblStylePr w:type="lastRow">
      <w:rPr>
        <w:rFonts w:ascii="Arial" w:hAnsi="Arial"/>
        <w:color w:val="404040"/>
        <w:sz w:val="22"/>
      </w:rPr>
      <w:tcPr>
        <w:tcBorders>
          <w:top w:val="single" w:color="C3D69B"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C3D69B" w:sz="12" w:space="0"/>
        </w:tcBorders>
      </w:tcPr>
    </w:tblStylePr>
    <w:tblStylePr w:type="band1Horz">
      <w:rPr>
        <w:rFonts w:ascii="Arial" w:hAnsi="Arial"/>
        <w:color w:val="404040"/>
        <w:sz w:val="22"/>
      </w:rPr>
      <w:tcPr>
        <w:tcBorders>
          <w:top w:val="single" w:color="D6E3BB" w:sz="4" w:space="0"/>
          <w:left w:val="single" w:color="D6E3BB" w:sz="4" w:space="0"/>
          <w:bottom w:val="single" w:color="D6E3BB" w:sz="4" w:space="0"/>
          <w:right w:val="single" w:color="D6E3BB" w:sz="4" w:space="0"/>
        </w:tcBorders>
      </w:tcPr>
    </w:tblStylePr>
  </w:style>
  <w:style w:type="table" w:customStyle="1" w:styleId="1599">
    <w:name w:val="Bordered - Accent 47"/>
    <w:basedOn w:val="13"/>
    <w:uiPriority w:val="99"/>
    <w:rPr>
      <w:sz w:val="22"/>
      <w:szCs w:val="22"/>
      <w:lang w:eastAsia="en-US"/>
    </w:rPr>
    <w:tblPr>
      <w:tblBorders>
        <w:top w:val="single" w:color="CBC0D9" w:sz="4" w:space="0"/>
        <w:left w:val="single" w:color="CBC0D9" w:sz="4" w:space="0"/>
        <w:bottom w:val="single" w:color="CBC0D9" w:sz="4" w:space="0"/>
        <w:right w:val="single" w:color="CBC0D9" w:sz="4" w:space="0"/>
        <w:insideH w:val="single" w:color="CBC0D9" w:sz="4" w:space="0"/>
        <w:insideV w:val="single" w:color="CBC0D9" w:sz="4" w:space="0"/>
      </w:tblBorders>
      <w:tblCellMar>
        <w:top w:w="0" w:type="dxa"/>
        <w:left w:w="108" w:type="dxa"/>
        <w:bottom w:w="0" w:type="dxa"/>
        <w:right w:w="108" w:type="dxa"/>
      </w:tblCellMar>
    </w:tblPr>
    <w:tblStylePr w:type="firstRow">
      <w:rPr>
        <w:rFonts w:ascii="Arial" w:hAnsi="Arial"/>
        <w:color w:val="404040"/>
        <w:sz w:val="22"/>
      </w:rPr>
      <w:tcPr>
        <w:tcBorders>
          <w:bottom w:val="single" w:color="B2A1C6" w:sz="12" w:space="0"/>
        </w:tcBorders>
      </w:tcPr>
    </w:tblStylePr>
    <w:tblStylePr w:type="lastRow">
      <w:rPr>
        <w:rFonts w:ascii="Arial" w:hAnsi="Arial"/>
        <w:color w:val="404040"/>
        <w:sz w:val="22"/>
      </w:rPr>
      <w:tcPr>
        <w:tcBorders>
          <w:top w:val="single" w:color="B2A1C6"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B2A1C6" w:sz="12" w:space="0"/>
        </w:tcBorders>
      </w:tcPr>
    </w:tblStylePr>
    <w:tblStylePr w:type="band1Horz">
      <w:rPr>
        <w:rFonts w:ascii="Arial" w:hAnsi="Arial"/>
        <w:color w:val="404040"/>
        <w:sz w:val="22"/>
      </w:rPr>
      <w:tcPr>
        <w:tcBorders>
          <w:top w:val="single" w:color="CBC0D9" w:sz="4" w:space="0"/>
          <w:left w:val="single" w:color="CBC0D9" w:sz="4" w:space="0"/>
          <w:bottom w:val="single" w:color="CBC0D9" w:sz="4" w:space="0"/>
          <w:right w:val="single" w:color="CBC0D9" w:sz="4" w:space="0"/>
        </w:tcBorders>
      </w:tcPr>
    </w:tblStylePr>
  </w:style>
  <w:style w:type="table" w:customStyle="1" w:styleId="1600">
    <w:name w:val="Bordered - Accent 57"/>
    <w:basedOn w:val="13"/>
    <w:uiPriority w:val="99"/>
    <w:rPr>
      <w:sz w:val="22"/>
      <w:szCs w:val="22"/>
      <w:lang w:eastAsia="en-US"/>
    </w:rPr>
    <w:tblPr>
      <w:tblBorders>
        <w:top w:val="single" w:color="B6DDE8" w:sz="4" w:space="0"/>
        <w:left w:val="single" w:color="B6DDE8" w:sz="4" w:space="0"/>
        <w:bottom w:val="single" w:color="B6DDE8" w:sz="4" w:space="0"/>
        <w:right w:val="single" w:color="B6DDE8" w:sz="4" w:space="0"/>
        <w:insideH w:val="single" w:color="B6DDE8" w:sz="4" w:space="0"/>
        <w:insideV w:val="single" w:color="B6DDE8" w:sz="4" w:space="0"/>
      </w:tblBorders>
      <w:tblCellMar>
        <w:top w:w="0" w:type="dxa"/>
        <w:left w:w="108" w:type="dxa"/>
        <w:bottom w:w="0" w:type="dxa"/>
        <w:right w:w="108" w:type="dxa"/>
      </w:tblCellMar>
    </w:tblPr>
    <w:tblStylePr w:type="firstRow">
      <w:rPr>
        <w:rFonts w:ascii="Arial" w:hAnsi="Arial"/>
        <w:color w:val="404040"/>
        <w:sz w:val="22"/>
      </w:rPr>
      <w:tcPr>
        <w:tcBorders>
          <w:bottom w:val="single" w:color="92CCDC" w:sz="12" w:space="0"/>
        </w:tcBorders>
      </w:tcPr>
    </w:tblStylePr>
    <w:tblStylePr w:type="lastRow">
      <w:rPr>
        <w:rFonts w:ascii="Arial" w:hAnsi="Arial"/>
        <w:color w:val="404040"/>
        <w:sz w:val="22"/>
      </w:rPr>
      <w:tcPr>
        <w:tcBorders>
          <w:top w:val="single" w:color="92CCDC"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92CCDC" w:sz="12" w:space="0"/>
        </w:tcBorders>
      </w:tcPr>
    </w:tblStylePr>
    <w:tblStylePr w:type="band1Horz">
      <w:rPr>
        <w:rFonts w:ascii="Arial" w:hAnsi="Arial"/>
        <w:color w:val="404040"/>
        <w:sz w:val="22"/>
      </w:rPr>
      <w:tcPr>
        <w:tcBorders>
          <w:top w:val="single" w:color="B6DDE8" w:sz="4" w:space="0"/>
          <w:left w:val="single" w:color="B6DDE8" w:sz="4" w:space="0"/>
          <w:bottom w:val="single" w:color="B6DDE8" w:sz="4" w:space="0"/>
          <w:right w:val="single" w:color="B6DDE8" w:sz="4" w:space="0"/>
        </w:tcBorders>
      </w:tcPr>
    </w:tblStylePr>
  </w:style>
  <w:style w:type="table" w:customStyle="1" w:styleId="1601">
    <w:name w:val="Bordered - Accent 67"/>
    <w:basedOn w:val="13"/>
    <w:uiPriority w:val="99"/>
    <w:rPr>
      <w:sz w:val="22"/>
      <w:szCs w:val="22"/>
      <w:lang w:eastAsia="en-US"/>
    </w:rPr>
    <w:tblPr>
      <w:tblBorders>
        <w:top w:val="single" w:color="FBD4B4" w:sz="4" w:space="0"/>
        <w:left w:val="single" w:color="FBD4B4" w:sz="4" w:space="0"/>
        <w:bottom w:val="single" w:color="FBD4B4" w:sz="4" w:space="0"/>
        <w:right w:val="single" w:color="FBD4B4" w:sz="4" w:space="0"/>
        <w:insideH w:val="single" w:color="FBD4B4" w:sz="4" w:space="0"/>
        <w:insideV w:val="single" w:color="FBD4B4" w:sz="4" w:space="0"/>
      </w:tblBorders>
      <w:tblCellMar>
        <w:top w:w="0" w:type="dxa"/>
        <w:left w:w="108" w:type="dxa"/>
        <w:bottom w:w="0" w:type="dxa"/>
        <w:right w:w="108" w:type="dxa"/>
      </w:tblCellMar>
    </w:tblPr>
    <w:tblStylePr w:type="firstRow">
      <w:rPr>
        <w:rFonts w:ascii="Arial" w:hAnsi="Arial"/>
        <w:color w:val="404040"/>
        <w:sz w:val="22"/>
      </w:rPr>
      <w:tcPr>
        <w:tcBorders>
          <w:bottom w:val="single" w:color="FAC090" w:sz="12" w:space="0"/>
        </w:tcBorders>
      </w:tcPr>
    </w:tblStylePr>
    <w:tblStylePr w:type="lastRow">
      <w:rPr>
        <w:rFonts w:ascii="Arial" w:hAnsi="Arial"/>
        <w:color w:val="404040"/>
        <w:sz w:val="22"/>
      </w:rPr>
      <w:tcPr>
        <w:tcBorders>
          <w:top w:val="single" w:color="FAC090"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FAC090" w:sz="12" w:space="0"/>
        </w:tcBorders>
      </w:tcPr>
    </w:tblStylePr>
    <w:tblStylePr w:type="band1Horz">
      <w:rPr>
        <w:rFonts w:ascii="Arial" w:hAnsi="Arial"/>
        <w:color w:val="404040"/>
        <w:sz w:val="22"/>
      </w:rPr>
      <w:tcPr>
        <w:tcBorders>
          <w:top w:val="single" w:color="FBD4B4" w:sz="4" w:space="0"/>
          <w:left w:val="single" w:color="FBD4B4" w:sz="4" w:space="0"/>
          <w:bottom w:val="single" w:color="FBD4B4" w:sz="4" w:space="0"/>
          <w:right w:val="single" w:color="FBD4B4" w:sz="4" w:space="0"/>
        </w:tcBorders>
      </w:tcPr>
    </w:tblStylePr>
  </w:style>
  <w:style w:type="table" w:customStyle="1" w:styleId="1602">
    <w:name w:val="Table Normal4"/>
    <w:semiHidden/>
    <w:qFormat/>
    <w:uiPriority w:val="2"/>
    <w:pPr>
      <w:widowControl w:val="0"/>
      <w:autoSpaceDE w:val="0"/>
      <w:autoSpaceDN w:val="0"/>
    </w:pPr>
    <w:rPr>
      <w:sz w:val="22"/>
      <w:szCs w:val="22"/>
      <w:lang w:val="en-US" w:eastAsia="en-US"/>
    </w:rPr>
    <w:tblPr>
      <w:tblCellMar>
        <w:top w:w="0" w:type="dxa"/>
        <w:left w:w="0" w:type="dxa"/>
        <w:bottom w:w="0" w:type="dxa"/>
        <w:right w:w="0" w:type="dxa"/>
      </w:tblCellMar>
    </w:tblPr>
  </w:style>
  <w:style w:type="character" w:customStyle="1" w:styleId="1603">
    <w:name w:val="Unresolved Mention"/>
    <w:semiHidden/>
    <w:unhideWhenUsed/>
    <w:uiPriority w:val="99"/>
    <w:rPr>
      <w:color w:val="605E5C"/>
      <w:shd w:val="clear" w:color="auto" w:fill="E1DFDD"/>
    </w:rPr>
  </w:style>
  <w:style w:type="table" w:customStyle="1" w:styleId="1604">
    <w:name w:val="Table Grid Light8"/>
    <w:basedOn w:val="13"/>
    <w:uiPriority w:val="59"/>
    <w:rPr>
      <w:sz w:val="22"/>
      <w:szCs w:val="22"/>
      <w:lang w:eastAsia="en-US"/>
    </w:rPr>
    <w:tblPr>
      <w:tblBorders>
        <w:top w:val="single" w:color="AFAFAF" w:sz="4" w:space="0"/>
        <w:left w:val="single" w:color="AFAFAF" w:sz="4" w:space="0"/>
        <w:bottom w:val="single" w:color="AFAFAF" w:sz="4" w:space="0"/>
        <w:right w:val="single" w:color="AFAFAF" w:sz="4" w:space="0"/>
        <w:insideH w:val="single" w:color="AFAFAF" w:sz="4" w:space="0"/>
        <w:insideV w:val="single" w:color="AFAFAF" w:sz="4" w:space="0"/>
      </w:tblBorders>
      <w:tblCellMar>
        <w:top w:w="0" w:type="dxa"/>
        <w:left w:w="108" w:type="dxa"/>
        <w:bottom w:w="0" w:type="dxa"/>
        <w:right w:w="108" w:type="dxa"/>
      </w:tblCellMar>
    </w:tblPr>
  </w:style>
  <w:style w:type="table" w:customStyle="1" w:styleId="1605">
    <w:name w:val="Таблица простая 116"/>
    <w:basedOn w:val="13"/>
    <w:uiPriority w:val="59"/>
    <w:rPr>
      <w:sz w:val="22"/>
      <w:szCs w:val="22"/>
      <w:lang w:eastAsia="en-US"/>
    </w:rPr>
    <w:tblPr>
      <w:tblBorders>
        <w:top w:val="single" w:color="AFAFAF" w:sz="4" w:space="0"/>
        <w:left w:val="single" w:color="AFAFAF" w:sz="4" w:space="0"/>
        <w:bottom w:val="single" w:color="AFAFAF" w:sz="4" w:space="0"/>
        <w:right w:val="single" w:color="AFAFAF" w:sz="4" w:space="0"/>
        <w:insideH w:val="single" w:color="AFAFAF" w:sz="4" w:space="0"/>
        <w:insideV w:val="single" w:color="AFAFAF" w:sz="4" w:space="0"/>
      </w:tblBorders>
      <w:tblCellMar>
        <w:top w:w="0" w:type="dxa"/>
        <w:left w:w="108" w:type="dxa"/>
        <w:bottom w:w="0" w:type="dxa"/>
        <w:right w:w="108" w:type="dxa"/>
      </w:tblCellMar>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cPr>
        <w:shd w:val="clear" w:color="F2F2F2" w:fill="F2F2F2"/>
      </w:tcPr>
    </w:tblStylePr>
    <w:tblStylePr w:type="band1Horz">
      <w:tcPr>
        <w:shd w:val="clear" w:color="F2F2F2" w:fill="F2F2F2"/>
      </w:tcPr>
    </w:tblStylePr>
  </w:style>
  <w:style w:type="table" w:customStyle="1" w:styleId="1606">
    <w:name w:val="Таблица простая 216"/>
    <w:basedOn w:val="13"/>
    <w:uiPriority w:val="59"/>
    <w:rPr>
      <w:sz w:val="22"/>
      <w:szCs w:val="22"/>
      <w:lang w:eastAsia="en-US"/>
    </w:rPr>
    <w:tblPr>
      <w:tblBorders>
        <w:top w:val="single" w:color="000000" w:sz="4" w:space="0"/>
        <w:left w:val="none" w:color="000000" w:sz="4" w:space="0"/>
        <w:bottom w:val="single" w:color="000000" w:sz="4" w:space="0"/>
        <w:right w:val="none" w:color="000000" w:sz="4" w:space="0"/>
      </w:tblBorders>
      <w:tblCellMar>
        <w:top w:w="0" w:type="dxa"/>
        <w:left w:w="108" w:type="dxa"/>
        <w:bottom w:w="0" w:type="dxa"/>
        <w:right w:w="108" w:type="dxa"/>
      </w:tblCellMar>
    </w:tblPr>
    <w:tblStylePr w:type="firstRow">
      <w:rPr>
        <w:rFonts w:ascii="Arial" w:hAnsi="Arial"/>
        <w:b/>
        <w:color w:val="404040"/>
        <w:sz w:val="22"/>
      </w:rPr>
      <w:tcPr>
        <w:tcBorders>
          <w:top w:val="single" w:color="000000" w:sz="4" w:space="0"/>
          <w:bottom w:val="single" w:color="000000" w:sz="4" w:space="0"/>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cPr>
        <w:tcBorders>
          <w:left w:val="single" w:color="000000" w:sz="4" w:space="0"/>
          <w:right w:val="single" w:color="000000" w:sz="4" w:space="0"/>
        </w:tcBorders>
      </w:tcPr>
    </w:tblStylePr>
    <w:tblStylePr w:type="band2Vert">
      <w:tcPr>
        <w:tcBorders>
          <w:left w:val="single" w:color="000000" w:sz="4" w:space="0"/>
          <w:right w:val="single" w:color="000000" w:sz="4" w:space="0"/>
        </w:tcBorders>
      </w:tcPr>
    </w:tblStylePr>
    <w:tblStylePr w:type="band1Horz">
      <w:tcPr>
        <w:tcBorders>
          <w:top w:val="single" w:color="000000" w:sz="4" w:space="0"/>
          <w:bottom w:val="single" w:color="000000" w:sz="4" w:space="0"/>
        </w:tcBorders>
      </w:tcPr>
    </w:tblStylePr>
  </w:style>
  <w:style w:type="table" w:customStyle="1" w:styleId="1607">
    <w:name w:val="Таблица простая 316"/>
    <w:basedOn w:val="13"/>
    <w:uiPriority w:val="99"/>
    <w:rPr>
      <w:sz w:val="22"/>
      <w:szCs w:val="22"/>
      <w:lang w:eastAsia="en-US"/>
    </w:rPr>
    <w:tblPr>
      <w:tblCellMar>
        <w:top w:w="0" w:type="dxa"/>
        <w:left w:w="108" w:type="dxa"/>
        <w:bottom w:w="0" w:type="dxa"/>
        <w:right w:w="108" w:type="dxa"/>
      </w:tblCellMar>
    </w:tblPr>
    <w:tblStylePr w:type="firstRow">
      <w:rPr>
        <w:b/>
        <w:caps/>
        <w:color w:val="404040"/>
      </w:rPr>
      <w:tcPr>
        <w:tcBorders>
          <w:top w:val="nil"/>
          <w:left w:val="nil"/>
          <w:bottom w:val="single" w:color="404040" w:sz="4" w:space="0"/>
          <w:right w:val="nil"/>
        </w:tcBorders>
      </w:tcPr>
    </w:tblStylePr>
    <w:tblStylePr w:type="lastRow">
      <w:rPr>
        <w:b/>
        <w:caps/>
        <w:color w:val="404040"/>
      </w:rPr>
    </w:tblStylePr>
    <w:tblStylePr w:type="firstCol">
      <w:rPr>
        <w:b/>
        <w:caps/>
        <w:color w:val="404040"/>
      </w:rPr>
      <w:tcPr>
        <w:tcBorders>
          <w:top w:val="nil"/>
          <w:left w:val="nil"/>
          <w:bottom w:val="nil"/>
          <w:right w:val="single" w:color="404040" w:sz="4" w:space="0"/>
        </w:tcBorders>
      </w:tcPr>
    </w:tblStylePr>
    <w:tblStylePr w:type="lastCol">
      <w:rPr>
        <w:b/>
        <w:caps/>
        <w:color w:val="404040"/>
      </w:rPr>
    </w:tblStylePr>
    <w:tblStylePr w:type="band1Vert">
      <w:rPr>
        <w:rFonts w:ascii="Arial" w:hAnsi="Arial"/>
        <w:color w:val="404040"/>
        <w:sz w:val="22"/>
      </w:rPr>
      <w:tcPr>
        <w:shd w:val="clear" w:color="F2F2F2" w:fill="F2F2F2"/>
      </w:tcPr>
    </w:tblStylePr>
    <w:tblStylePr w:type="band1Horz">
      <w:rPr>
        <w:rFonts w:ascii="Arial" w:hAnsi="Arial"/>
        <w:color w:val="404040"/>
        <w:sz w:val="22"/>
      </w:rPr>
      <w:tcPr>
        <w:shd w:val="clear" w:color="F2F2F2" w:fill="F2F2F2"/>
      </w:tcPr>
    </w:tblStylePr>
  </w:style>
  <w:style w:type="table" w:customStyle="1" w:styleId="1608">
    <w:name w:val="Таблица простая 416"/>
    <w:basedOn w:val="13"/>
    <w:uiPriority w:val="99"/>
    <w:rPr>
      <w:sz w:val="22"/>
      <w:szCs w:val="22"/>
      <w:lang w:eastAsia="en-US"/>
    </w:rPr>
    <w:tblPr>
      <w:tblCellMar>
        <w:top w:w="0" w:type="dxa"/>
        <w:left w:w="108" w:type="dxa"/>
        <w:bottom w:w="0" w:type="dxa"/>
        <w:right w:w="108" w:type="dxa"/>
      </w:tblCellMar>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F2F2F2" w:fill="F2F2F2"/>
      </w:tcPr>
    </w:tblStylePr>
    <w:tblStylePr w:type="band1Horz">
      <w:rPr>
        <w:rFonts w:ascii="Arial" w:hAnsi="Arial"/>
        <w:color w:val="404040"/>
        <w:sz w:val="22"/>
      </w:rPr>
      <w:tcPr>
        <w:shd w:val="clear" w:color="F2F2F2" w:fill="F2F2F2"/>
      </w:tcPr>
    </w:tblStylePr>
  </w:style>
  <w:style w:type="table" w:customStyle="1" w:styleId="1609">
    <w:name w:val="Таблица простая 516"/>
    <w:basedOn w:val="13"/>
    <w:uiPriority w:val="99"/>
    <w:rPr>
      <w:sz w:val="22"/>
      <w:szCs w:val="22"/>
      <w:lang w:eastAsia="en-US"/>
    </w:rPr>
    <w:tblPr>
      <w:tblCellMar>
        <w:top w:w="0" w:type="dxa"/>
        <w:left w:w="108" w:type="dxa"/>
        <w:bottom w:w="0" w:type="dxa"/>
        <w:right w:w="108" w:type="dxa"/>
      </w:tblCellMar>
    </w:tblPr>
    <w:tblStylePr w:type="firstRow">
      <w:rPr>
        <w:i/>
        <w:color w:val="404040"/>
      </w:rPr>
      <w:tcPr>
        <w:tcBorders>
          <w:left w:val="nil"/>
          <w:bottom w:val="single" w:color="404040" w:sz="4" w:space="0"/>
          <w:right w:val="nil"/>
        </w:tcBorders>
        <w:shd w:val="clear" w:color="FFFFFF" w:fill="auto"/>
      </w:tcPr>
    </w:tblStylePr>
    <w:tblStylePr w:type="lastRow">
      <w:rPr>
        <w:i/>
        <w:color w:val="404040"/>
      </w:rPr>
      <w:tcPr>
        <w:tcBorders>
          <w:top w:val="single" w:color="404040" w:sz="4" w:space="0"/>
          <w:left w:val="nil"/>
          <w:right w:val="nil"/>
        </w:tcBorders>
        <w:shd w:val="clear" w:color="FFFFFF" w:fill="auto"/>
      </w:tcPr>
    </w:tblStylePr>
    <w:tblStylePr w:type="firstCol">
      <w:pPr>
        <w:jc w:val="right"/>
      </w:pPr>
      <w:rPr>
        <w:i/>
        <w:color w:val="404040"/>
      </w:rPr>
      <w:tcPr>
        <w:tcBorders>
          <w:right w:val="single" w:color="404040" w:sz="4" w:space="0"/>
        </w:tcBorders>
        <w:shd w:val="clear" w:color="FFFFFF" w:fill="auto"/>
      </w:tcPr>
    </w:tblStylePr>
    <w:tblStylePr w:type="lastCol">
      <w:rPr>
        <w:i/>
        <w:color w:val="404040"/>
      </w:rPr>
      <w:tcPr>
        <w:tcBorders>
          <w:left w:val="single" w:color="404040" w:sz="4" w:space="0"/>
        </w:tcBorders>
        <w:shd w:val="clear" w:color="FFFFFF" w:fill="auto"/>
      </w:tcPr>
    </w:tblStylePr>
    <w:tblStylePr w:type="band1Vert">
      <w:rPr>
        <w:rFonts w:ascii="Arial" w:hAnsi="Arial"/>
        <w:color w:val="404040"/>
        <w:sz w:val="22"/>
      </w:rPr>
      <w:tcPr>
        <w:shd w:val="clear" w:color="F2F2F2" w:fill="F2F2F2"/>
      </w:tcPr>
    </w:tblStylePr>
    <w:tblStylePr w:type="band1Horz">
      <w:rPr>
        <w:rFonts w:ascii="Arial" w:hAnsi="Arial"/>
        <w:color w:val="404040"/>
        <w:sz w:val="22"/>
      </w:rPr>
      <w:tcPr>
        <w:shd w:val="clear" w:color="F2F2F2" w:fill="F2F2F2"/>
      </w:tcPr>
    </w:tblStylePr>
  </w:style>
  <w:style w:type="table" w:customStyle="1" w:styleId="1610">
    <w:name w:val="Таблица-сетка 1 светлая16"/>
    <w:basedOn w:val="13"/>
    <w:uiPriority w:val="99"/>
    <w:rPr>
      <w:sz w:val="22"/>
      <w:szCs w:val="22"/>
      <w:lang w:eastAsia="en-US"/>
    </w:rPr>
    <w:tblPr>
      <w:tblBorders>
        <w:top w:val="single" w:color="989898" w:sz="4" w:space="0"/>
        <w:left w:val="single" w:color="989898" w:sz="4" w:space="0"/>
        <w:bottom w:val="single" w:color="989898" w:sz="4" w:space="0"/>
        <w:right w:val="single" w:color="989898" w:sz="4" w:space="0"/>
        <w:insideH w:val="single" w:color="989898" w:sz="4" w:space="0"/>
        <w:insideV w:val="single" w:color="989898" w:sz="4" w:space="0"/>
      </w:tblBorders>
      <w:tblCellMar>
        <w:top w:w="0" w:type="dxa"/>
        <w:left w:w="108" w:type="dxa"/>
        <w:bottom w:w="0" w:type="dxa"/>
        <w:right w:w="108" w:type="dxa"/>
      </w:tblCellMar>
    </w:tblPr>
    <w:tblStylePr w:type="firstRow">
      <w:rPr>
        <w:b/>
        <w:color w:val="404040"/>
      </w:rPr>
      <w:tcPr>
        <w:tcBorders>
          <w:bottom w:val="single" w:color="6A6A6A" w:sz="12" w:space="0"/>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cPr>
        <w:tcBorders>
          <w:top w:val="single" w:color="989898" w:sz="4" w:space="0"/>
          <w:left w:val="single" w:color="989898" w:sz="4" w:space="0"/>
          <w:bottom w:val="single" w:color="989898" w:sz="4" w:space="0"/>
          <w:right w:val="single" w:color="989898" w:sz="4" w:space="0"/>
        </w:tcBorders>
      </w:tcPr>
    </w:tblStylePr>
  </w:style>
  <w:style w:type="table" w:customStyle="1" w:styleId="1611">
    <w:name w:val="Grid Table 1 Light - Accent 18"/>
    <w:basedOn w:val="13"/>
    <w:uiPriority w:val="99"/>
    <w:rPr>
      <w:sz w:val="22"/>
      <w:szCs w:val="22"/>
      <w:lang w:eastAsia="en-US"/>
    </w:rPr>
    <w:tblPr>
      <w:tblBorders>
        <w:top w:val="single" w:color="B7CBE4" w:sz="4" w:space="0"/>
        <w:left w:val="single" w:color="B7CBE4" w:sz="4" w:space="0"/>
        <w:bottom w:val="single" w:color="B7CBE4" w:sz="4" w:space="0"/>
        <w:right w:val="single" w:color="B7CBE4" w:sz="4" w:space="0"/>
        <w:insideH w:val="single" w:color="B7CBE4" w:sz="4" w:space="0"/>
        <w:insideV w:val="single" w:color="B7CBE4" w:sz="4" w:space="0"/>
      </w:tblBorders>
      <w:tblCellMar>
        <w:top w:w="0" w:type="dxa"/>
        <w:left w:w="108" w:type="dxa"/>
        <w:bottom w:w="0" w:type="dxa"/>
        <w:right w:w="108" w:type="dxa"/>
      </w:tblCellMar>
    </w:tblPr>
    <w:tblStylePr w:type="firstRow">
      <w:rPr>
        <w:b/>
        <w:color w:val="404040"/>
      </w:rPr>
      <w:tcPr>
        <w:tcBorders>
          <w:bottom w:val="single" w:color="97B4D8" w:sz="12" w:space="0"/>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cPr>
        <w:tcBorders>
          <w:top w:val="single" w:color="B7CBE4" w:sz="4" w:space="0"/>
          <w:left w:val="single" w:color="B7CBE4" w:sz="4" w:space="0"/>
          <w:bottom w:val="single" w:color="B7CBE4" w:sz="4" w:space="0"/>
          <w:right w:val="single" w:color="B7CBE4" w:sz="4" w:space="0"/>
        </w:tcBorders>
      </w:tcPr>
    </w:tblStylePr>
  </w:style>
  <w:style w:type="table" w:customStyle="1" w:styleId="1612">
    <w:name w:val="Grid Table 1 Light - Accent 28"/>
    <w:basedOn w:val="13"/>
    <w:uiPriority w:val="99"/>
    <w:rPr>
      <w:sz w:val="22"/>
      <w:szCs w:val="22"/>
      <w:lang w:eastAsia="en-US"/>
    </w:rPr>
    <w:tblPr>
      <w:tblBorders>
        <w:top w:val="single" w:color="E5B7B6" w:sz="4" w:space="0"/>
        <w:left w:val="single" w:color="E5B7B6" w:sz="4" w:space="0"/>
        <w:bottom w:val="single" w:color="E5B7B6" w:sz="4" w:space="0"/>
        <w:right w:val="single" w:color="E5B7B6" w:sz="4" w:space="0"/>
        <w:insideH w:val="single" w:color="E5B7B6" w:sz="4" w:space="0"/>
        <w:insideV w:val="single" w:color="E5B7B6" w:sz="4" w:space="0"/>
      </w:tblBorders>
      <w:tblCellMar>
        <w:top w:w="0" w:type="dxa"/>
        <w:left w:w="108" w:type="dxa"/>
        <w:bottom w:w="0" w:type="dxa"/>
        <w:right w:w="108" w:type="dxa"/>
      </w:tblCellMar>
    </w:tblPr>
    <w:tblStylePr w:type="firstRow">
      <w:rPr>
        <w:b/>
        <w:color w:val="404040"/>
      </w:rPr>
      <w:tcPr>
        <w:tcBorders>
          <w:bottom w:val="single" w:color="DA9896" w:sz="12" w:space="0"/>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cPr>
        <w:tcBorders>
          <w:top w:val="single" w:color="E5B7B6" w:sz="4" w:space="0"/>
          <w:left w:val="single" w:color="E5B7B6" w:sz="4" w:space="0"/>
          <w:bottom w:val="single" w:color="E5B7B6" w:sz="4" w:space="0"/>
          <w:right w:val="single" w:color="E5B7B6" w:sz="4" w:space="0"/>
        </w:tcBorders>
      </w:tcPr>
    </w:tblStylePr>
  </w:style>
  <w:style w:type="table" w:customStyle="1" w:styleId="1613">
    <w:name w:val="Grid Table 1 Light - Accent 38"/>
    <w:basedOn w:val="13"/>
    <w:uiPriority w:val="99"/>
    <w:rPr>
      <w:sz w:val="22"/>
      <w:szCs w:val="22"/>
      <w:lang w:eastAsia="en-US"/>
    </w:rPr>
    <w:tblPr>
      <w:tblBorders>
        <w:top w:val="single" w:color="D6E3BB" w:sz="4" w:space="0"/>
        <w:left w:val="single" w:color="D6E3BB" w:sz="4" w:space="0"/>
        <w:bottom w:val="single" w:color="D6E3BB" w:sz="4" w:space="0"/>
        <w:right w:val="single" w:color="D6E3BB" w:sz="4" w:space="0"/>
        <w:insideH w:val="single" w:color="D6E3BB" w:sz="4" w:space="0"/>
        <w:insideV w:val="single" w:color="D6E3BB" w:sz="4" w:space="0"/>
      </w:tblBorders>
      <w:tblCellMar>
        <w:top w:w="0" w:type="dxa"/>
        <w:left w:w="108" w:type="dxa"/>
        <w:bottom w:w="0" w:type="dxa"/>
        <w:right w:w="108" w:type="dxa"/>
      </w:tblCellMar>
    </w:tblPr>
    <w:tblStylePr w:type="firstRow">
      <w:rPr>
        <w:b/>
        <w:color w:val="404040"/>
      </w:rPr>
      <w:tcPr>
        <w:tcBorders>
          <w:bottom w:val="single" w:color="C4D79D" w:sz="12" w:space="0"/>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cPr>
        <w:tcBorders>
          <w:top w:val="single" w:color="D6E3BB" w:sz="4" w:space="0"/>
          <w:left w:val="single" w:color="D6E3BB" w:sz="4" w:space="0"/>
          <w:bottom w:val="single" w:color="D6E3BB" w:sz="4" w:space="0"/>
          <w:right w:val="single" w:color="D6E3BB" w:sz="4" w:space="0"/>
        </w:tcBorders>
      </w:tcPr>
    </w:tblStylePr>
  </w:style>
  <w:style w:type="table" w:customStyle="1" w:styleId="1614">
    <w:name w:val="Grid Table 1 Light - Accent 48"/>
    <w:basedOn w:val="13"/>
    <w:uiPriority w:val="99"/>
    <w:rPr>
      <w:sz w:val="22"/>
      <w:szCs w:val="22"/>
      <w:lang w:eastAsia="en-US"/>
    </w:rPr>
    <w:tblPr>
      <w:tblBorders>
        <w:top w:val="single" w:color="CBC0D9" w:sz="4" w:space="0"/>
        <w:left w:val="single" w:color="CBC0D9" w:sz="4" w:space="0"/>
        <w:bottom w:val="single" w:color="CBC0D9" w:sz="4" w:space="0"/>
        <w:right w:val="single" w:color="CBC0D9" w:sz="4" w:space="0"/>
        <w:insideH w:val="single" w:color="CBC0D9" w:sz="4" w:space="0"/>
        <w:insideV w:val="single" w:color="CBC0D9" w:sz="4" w:space="0"/>
      </w:tblBorders>
      <w:tblCellMar>
        <w:top w:w="0" w:type="dxa"/>
        <w:left w:w="108" w:type="dxa"/>
        <w:bottom w:w="0" w:type="dxa"/>
        <w:right w:w="108" w:type="dxa"/>
      </w:tblCellMar>
    </w:tblPr>
    <w:tblStylePr w:type="firstRow">
      <w:rPr>
        <w:b/>
        <w:color w:val="404040"/>
      </w:rPr>
      <w:tcPr>
        <w:tcBorders>
          <w:bottom w:val="single" w:color="B4A4C8" w:sz="12" w:space="0"/>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cPr>
        <w:tcBorders>
          <w:top w:val="single" w:color="CBC0D9" w:sz="4" w:space="0"/>
          <w:left w:val="single" w:color="CBC0D9" w:sz="4" w:space="0"/>
          <w:bottom w:val="single" w:color="CBC0D9" w:sz="4" w:space="0"/>
          <w:right w:val="single" w:color="CBC0D9" w:sz="4" w:space="0"/>
        </w:tcBorders>
      </w:tcPr>
    </w:tblStylePr>
  </w:style>
  <w:style w:type="table" w:customStyle="1" w:styleId="1615">
    <w:name w:val="Grid Table 1 Light - Accent 58"/>
    <w:basedOn w:val="13"/>
    <w:uiPriority w:val="99"/>
    <w:rPr>
      <w:sz w:val="22"/>
      <w:szCs w:val="22"/>
      <w:lang w:eastAsia="en-US"/>
    </w:rPr>
    <w:tblPr>
      <w:tblBorders>
        <w:top w:val="single" w:color="B6DDE8" w:sz="4" w:space="0"/>
        <w:left w:val="single" w:color="B6DDE8" w:sz="4" w:space="0"/>
        <w:bottom w:val="single" w:color="B6DDE8" w:sz="4" w:space="0"/>
        <w:right w:val="single" w:color="B6DDE8" w:sz="4" w:space="0"/>
        <w:insideH w:val="single" w:color="B6DDE8" w:sz="4" w:space="0"/>
        <w:insideV w:val="single" w:color="B6DDE8" w:sz="4" w:space="0"/>
      </w:tblBorders>
      <w:tblCellMar>
        <w:top w:w="0" w:type="dxa"/>
        <w:left w:w="108" w:type="dxa"/>
        <w:bottom w:w="0" w:type="dxa"/>
        <w:right w:w="108" w:type="dxa"/>
      </w:tblCellMar>
    </w:tblPr>
    <w:tblStylePr w:type="firstRow">
      <w:rPr>
        <w:b/>
        <w:color w:val="404040"/>
      </w:rPr>
      <w:tcPr>
        <w:tcBorders>
          <w:bottom w:val="single" w:color="95CEDD" w:sz="12" w:space="0"/>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cPr>
        <w:tcBorders>
          <w:top w:val="single" w:color="B6DDE8" w:sz="4" w:space="0"/>
          <w:left w:val="single" w:color="B6DDE8" w:sz="4" w:space="0"/>
          <w:bottom w:val="single" w:color="B6DDE8" w:sz="4" w:space="0"/>
          <w:right w:val="single" w:color="B6DDE8" w:sz="4" w:space="0"/>
        </w:tcBorders>
      </w:tcPr>
    </w:tblStylePr>
  </w:style>
  <w:style w:type="table" w:customStyle="1" w:styleId="1616">
    <w:name w:val="Grid Table 1 Light - Accent 68"/>
    <w:basedOn w:val="13"/>
    <w:uiPriority w:val="99"/>
    <w:rPr>
      <w:sz w:val="22"/>
      <w:szCs w:val="22"/>
      <w:lang w:eastAsia="en-US"/>
    </w:rPr>
    <w:tblPr>
      <w:tblBorders>
        <w:top w:val="single" w:color="FBD4B4" w:sz="4" w:space="0"/>
        <w:left w:val="single" w:color="FBD4B4" w:sz="4" w:space="0"/>
        <w:bottom w:val="single" w:color="FBD4B4" w:sz="4" w:space="0"/>
        <w:right w:val="single" w:color="FBD4B4" w:sz="4" w:space="0"/>
        <w:insideH w:val="single" w:color="FBD4B4" w:sz="4" w:space="0"/>
        <w:insideV w:val="single" w:color="FBD4B4" w:sz="4" w:space="0"/>
      </w:tblBorders>
      <w:tblCellMar>
        <w:top w:w="0" w:type="dxa"/>
        <w:left w:w="108" w:type="dxa"/>
        <w:bottom w:w="0" w:type="dxa"/>
        <w:right w:w="108" w:type="dxa"/>
      </w:tblCellMar>
    </w:tblPr>
    <w:tblStylePr w:type="firstRow">
      <w:rPr>
        <w:b/>
        <w:color w:val="404040"/>
      </w:rPr>
      <w:tcPr>
        <w:tcBorders>
          <w:bottom w:val="single" w:color="FAC192" w:sz="12" w:space="0"/>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cPr>
        <w:tcBorders>
          <w:top w:val="single" w:color="FBD4B4" w:sz="4" w:space="0"/>
          <w:left w:val="single" w:color="FBD4B4" w:sz="4" w:space="0"/>
          <w:bottom w:val="single" w:color="FBD4B4" w:sz="4" w:space="0"/>
          <w:right w:val="single" w:color="FBD4B4" w:sz="4" w:space="0"/>
        </w:tcBorders>
      </w:tcPr>
    </w:tblStylePr>
  </w:style>
  <w:style w:type="table" w:customStyle="1" w:styleId="1617">
    <w:name w:val="Таблица-сетка 216"/>
    <w:basedOn w:val="13"/>
    <w:uiPriority w:val="99"/>
    <w:rPr>
      <w:sz w:val="22"/>
      <w:szCs w:val="22"/>
      <w:lang w:eastAsia="en-US"/>
    </w:rPr>
    <w:tblPr>
      <w:tblBorders>
        <w:bottom w:val="single" w:color="6A6A6A" w:sz="4" w:space="0"/>
        <w:insideH w:val="single" w:color="6A6A6A" w:sz="4" w:space="0"/>
        <w:insideV w:val="single" w:color="6A6A6A" w:sz="4" w:space="0"/>
      </w:tblBorders>
      <w:tblCellMar>
        <w:top w:w="0" w:type="dxa"/>
        <w:left w:w="108" w:type="dxa"/>
        <w:bottom w:w="0" w:type="dxa"/>
        <w:right w:w="108" w:type="dxa"/>
      </w:tblCellMar>
    </w:tblPr>
    <w:tblStylePr w:type="firstRow">
      <w:rPr>
        <w:b/>
        <w:color w:val="404040"/>
      </w:rPr>
      <w:tcPr>
        <w:tcBorders>
          <w:top w:val="nil"/>
          <w:left w:val="nil"/>
          <w:bottom w:val="single" w:color="6A6A6A" w:sz="12" w:space="0"/>
          <w:right w:val="nil"/>
        </w:tcBorders>
        <w:shd w:val="clear" w:color="FFFFFF" w:fill="auto"/>
      </w:tcPr>
    </w:tblStylePr>
    <w:tblStylePr w:type="lastRow">
      <w:rPr>
        <w:b/>
        <w:color w:val="404040"/>
      </w:rPr>
      <w:tcPr>
        <w:tcBorders>
          <w:top w:val="single" w:color="6A6A6A"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CBCBCB" w:fill="CBCBCB"/>
      </w:tcPr>
    </w:tblStylePr>
    <w:tblStylePr w:type="band1Horz">
      <w:rPr>
        <w:rFonts w:ascii="Arial" w:hAnsi="Arial"/>
        <w:color w:val="404040"/>
        <w:sz w:val="22"/>
      </w:rPr>
      <w:tcPr>
        <w:shd w:val="clear" w:color="CBCBCB" w:fill="CBCBCB"/>
      </w:tcPr>
    </w:tblStylePr>
  </w:style>
  <w:style w:type="table" w:customStyle="1" w:styleId="1618">
    <w:name w:val="Grid Table 2 - Accent 18"/>
    <w:basedOn w:val="13"/>
    <w:uiPriority w:val="99"/>
    <w:rPr>
      <w:sz w:val="22"/>
      <w:szCs w:val="22"/>
      <w:lang w:eastAsia="en-US"/>
    </w:rPr>
    <w:tblPr>
      <w:tblBorders>
        <w:bottom w:val="single" w:color="5D8AC2" w:sz="4" w:space="0"/>
        <w:insideH w:val="single" w:color="5D8AC2" w:sz="4" w:space="0"/>
        <w:insideV w:val="single" w:color="5D8AC2" w:sz="4" w:space="0"/>
      </w:tblBorders>
      <w:tblCellMar>
        <w:top w:w="0" w:type="dxa"/>
        <w:left w:w="108" w:type="dxa"/>
        <w:bottom w:w="0" w:type="dxa"/>
        <w:right w:w="108" w:type="dxa"/>
      </w:tblCellMar>
    </w:tblPr>
    <w:tblStylePr w:type="firstRow">
      <w:rPr>
        <w:b/>
        <w:color w:val="404040"/>
      </w:rPr>
      <w:tcPr>
        <w:tcBorders>
          <w:top w:val="nil"/>
          <w:left w:val="nil"/>
          <w:bottom w:val="single" w:color="5D8AC2" w:sz="12" w:space="0"/>
          <w:right w:val="nil"/>
        </w:tcBorders>
        <w:shd w:val="clear" w:color="FFFFFF" w:fill="auto"/>
      </w:tcPr>
    </w:tblStylePr>
    <w:tblStylePr w:type="lastRow">
      <w:rPr>
        <w:b/>
        <w:color w:val="404040"/>
      </w:rPr>
      <w:tcPr>
        <w:tcBorders>
          <w:top w:val="single" w:color="5D8AC2"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DAE5F1" w:fill="DAE5F1"/>
      </w:tcPr>
    </w:tblStylePr>
    <w:tblStylePr w:type="band1Horz">
      <w:rPr>
        <w:rFonts w:ascii="Arial" w:hAnsi="Arial"/>
        <w:color w:val="404040"/>
        <w:sz w:val="22"/>
      </w:rPr>
      <w:tcPr>
        <w:shd w:val="clear" w:color="DAE5F1" w:fill="DAE5F1"/>
      </w:tcPr>
    </w:tblStylePr>
  </w:style>
  <w:style w:type="table" w:customStyle="1" w:styleId="1619">
    <w:name w:val="Grid Table 2 - Accent 28"/>
    <w:basedOn w:val="13"/>
    <w:uiPriority w:val="99"/>
    <w:rPr>
      <w:sz w:val="22"/>
      <w:szCs w:val="22"/>
      <w:lang w:eastAsia="en-US"/>
    </w:rPr>
    <w:tblPr>
      <w:tblBorders>
        <w:bottom w:val="single" w:color="D99695" w:sz="4" w:space="0"/>
        <w:insideH w:val="single" w:color="D99695" w:sz="4" w:space="0"/>
        <w:insideV w:val="single" w:color="D99695" w:sz="4" w:space="0"/>
      </w:tblBorders>
      <w:tblCellMar>
        <w:top w:w="0" w:type="dxa"/>
        <w:left w:w="108" w:type="dxa"/>
        <w:bottom w:w="0" w:type="dxa"/>
        <w:right w:w="108" w:type="dxa"/>
      </w:tblCellMar>
    </w:tblPr>
    <w:tblStylePr w:type="firstRow">
      <w:rPr>
        <w:b/>
        <w:color w:val="404040"/>
      </w:rPr>
      <w:tcPr>
        <w:tcBorders>
          <w:top w:val="nil"/>
          <w:left w:val="nil"/>
          <w:bottom w:val="single" w:color="D99695" w:sz="12" w:space="0"/>
          <w:right w:val="nil"/>
        </w:tcBorders>
        <w:shd w:val="clear" w:color="FFFFFF" w:fill="auto"/>
      </w:tcPr>
    </w:tblStylePr>
    <w:tblStylePr w:type="lastRow">
      <w:rPr>
        <w:b/>
        <w:color w:val="404040"/>
      </w:rPr>
      <w:tcPr>
        <w:tcBorders>
          <w:top w:val="single" w:color="D99695"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F2DCDC" w:fill="F2DCDC"/>
      </w:tcPr>
    </w:tblStylePr>
    <w:tblStylePr w:type="band1Horz">
      <w:rPr>
        <w:rFonts w:ascii="Arial" w:hAnsi="Arial"/>
        <w:color w:val="404040"/>
        <w:sz w:val="22"/>
      </w:rPr>
      <w:tcPr>
        <w:shd w:val="clear" w:color="F2DCDC" w:fill="F2DCDC"/>
      </w:tcPr>
    </w:tblStylePr>
  </w:style>
  <w:style w:type="table" w:customStyle="1" w:styleId="1620">
    <w:name w:val="Grid Table 2 - Accent 38"/>
    <w:basedOn w:val="13"/>
    <w:uiPriority w:val="99"/>
    <w:rPr>
      <w:sz w:val="22"/>
      <w:szCs w:val="22"/>
      <w:lang w:eastAsia="en-US"/>
    </w:rPr>
    <w:tblPr>
      <w:tblBorders>
        <w:bottom w:val="single" w:color="9ABB59" w:sz="4" w:space="0"/>
        <w:insideH w:val="single" w:color="9ABB59" w:sz="4" w:space="0"/>
        <w:insideV w:val="single" w:color="9ABB59" w:sz="4" w:space="0"/>
      </w:tblBorders>
      <w:tblCellMar>
        <w:top w:w="0" w:type="dxa"/>
        <w:left w:w="108" w:type="dxa"/>
        <w:bottom w:w="0" w:type="dxa"/>
        <w:right w:w="108" w:type="dxa"/>
      </w:tblCellMar>
    </w:tblPr>
    <w:tblStylePr w:type="firstRow">
      <w:rPr>
        <w:b/>
        <w:color w:val="404040"/>
      </w:rPr>
      <w:tcPr>
        <w:tcBorders>
          <w:top w:val="nil"/>
          <w:left w:val="nil"/>
          <w:bottom w:val="single" w:color="9ABB59" w:sz="12" w:space="0"/>
          <w:right w:val="nil"/>
        </w:tcBorders>
        <w:shd w:val="clear" w:color="FFFFFF" w:fill="auto"/>
      </w:tcPr>
    </w:tblStylePr>
    <w:tblStylePr w:type="lastRow">
      <w:rPr>
        <w:b/>
        <w:color w:val="404040"/>
      </w:rPr>
      <w:tcPr>
        <w:tcBorders>
          <w:top w:val="single" w:color="9ABB59"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EAF1DC" w:fill="EAF1DC"/>
      </w:tcPr>
    </w:tblStylePr>
    <w:tblStylePr w:type="band1Horz">
      <w:rPr>
        <w:rFonts w:ascii="Arial" w:hAnsi="Arial"/>
        <w:color w:val="404040"/>
        <w:sz w:val="22"/>
      </w:rPr>
      <w:tcPr>
        <w:shd w:val="clear" w:color="EAF1DC" w:fill="EAF1DC"/>
      </w:tcPr>
    </w:tblStylePr>
  </w:style>
  <w:style w:type="table" w:customStyle="1" w:styleId="1621">
    <w:name w:val="Grid Table 2 - Accent 48"/>
    <w:basedOn w:val="13"/>
    <w:uiPriority w:val="99"/>
    <w:rPr>
      <w:sz w:val="22"/>
      <w:szCs w:val="22"/>
      <w:lang w:eastAsia="en-US"/>
    </w:rPr>
    <w:tblPr>
      <w:tblBorders>
        <w:bottom w:val="single" w:color="B2A1C6" w:sz="4" w:space="0"/>
        <w:insideH w:val="single" w:color="B2A1C6" w:sz="4" w:space="0"/>
        <w:insideV w:val="single" w:color="B2A1C6" w:sz="4" w:space="0"/>
      </w:tblBorders>
      <w:tblCellMar>
        <w:top w:w="0" w:type="dxa"/>
        <w:left w:w="108" w:type="dxa"/>
        <w:bottom w:w="0" w:type="dxa"/>
        <w:right w:w="108" w:type="dxa"/>
      </w:tblCellMar>
    </w:tblPr>
    <w:tblStylePr w:type="firstRow">
      <w:rPr>
        <w:b/>
        <w:color w:val="404040"/>
      </w:rPr>
      <w:tcPr>
        <w:tcBorders>
          <w:top w:val="nil"/>
          <w:left w:val="nil"/>
          <w:bottom w:val="single" w:color="B2A1C6" w:sz="12" w:space="0"/>
          <w:right w:val="nil"/>
        </w:tcBorders>
        <w:shd w:val="clear" w:color="FFFFFF" w:fill="auto"/>
      </w:tcPr>
    </w:tblStylePr>
    <w:tblStylePr w:type="lastRow">
      <w:rPr>
        <w:b/>
        <w:color w:val="404040"/>
      </w:rPr>
      <w:tcPr>
        <w:tcBorders>
          <w:top w:val="single" w:color="B2A1C6"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E5DFEC" w:fill="E5DFEC"/>
      </w:tcPr>
    </w:tblStylePr>
    <w:tblStylePr w:type="band1Horz">
      <w:rPr>
        <w:rFonts w:ascii="Arial" w:hAnsi="Arial"/>
        <w:color w:val="404040"/>
        <w:sz w:val="22"/>
      </w:rPr>
      <w:tcPr>
        <w:shd w:val="clear" w:color="E5DFEC" w:fill="E5DFEC"/>
      </w:tcPr>
    </w:tblStylePr>
  </w:style>
  <w:style w:type="table" w:customStyle="1" w:styleId="1622">
    <w:name w:val="Grid Table 2 - Accent 58"/>
    <w:basedOn w:val="13"/>
    <w:uiPriority w:val="99"/>
    <w:rPr>
      <w:sz w:val="22"/>
      <w:szCs w:val="22"/>
      <w:lang w:eastAsia="en-US"/>
    </w:rPr>
    <w:tblPr>
      <w:tblBorders>
        <w:bottom w:val="single" w:color="4BACC6" w:sz="4" w:space="0"/>
        <w:insideH w:val="single" w:color="4BACC6" w:sz="4" w:space="0"/>
        <w:insideV w:val="single" w:color="4BACC6" w:sz="4" w:space="0"/>
      </w:tblBorders>
      <w:tblCellMar>
        <w:top w:w="0" w:type="dxa"/>
        <w:left w:w="108" w:type="dxa"/>
        <w:bottom w:w="0" w:type="dxa"/>
        <w:right w:w="108" w:type="dxa"/>
      </w:tblCellMar>
    </w:tblPr>
    <w:tblStylePr w:type="firstRow">
      <w:rPr>
        <w:b/>
        <w:color w:val="404040"/>
      </w:rPr>
      <w:tcPr>
        <w:tcBorders>
          <w:top w:val="nil"/>
          <w:left w:val="nil"/>
          <w:bottom w:val="single" w:color="4BACC6" w:sz="12" w:space="0"/>
          <w:right w:val="nil"/>
        </w:tcBorders>
        <w:shd w:val="clear" w:color="FFFFFF" w:fill="auto"/>
      </w:tcPr>
    </w:tblStylePr>
    <w:tblStylePr w:type="lastRow">
      <w:rPr>
        <w:b/>
        <w:color w:val="404040"/>
      </w:rPr>
      <w:tcPr>
        <w:tcBorders>
          <w:top w:val="single" w:color="4BACC6"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DAEEF3" w:fill="DAEEF3"/>
      </w:tcPr>
    </w:tblStylePr>
    <w:tblStylePr w:type="band1Horz">
      <w:rPr>
        <w:rFonts w:ascii="Arial" w:hAnsi="Arial"/>
        <w:color w:val="404040"/>
        <w:sz w:val="22"/>
      </w:rPr>
      <w:tcPr>
        <w:shd w:val="clear" w:color="DAEEF3" w:fill="DAEEF3"/>
      </w:tcPr>
    </w:tblStylePr>
  </w:style>
  <w:style w:type="table" w:customStyle="1" w:styleId="1623">
    <w:name w:val="Grid Table 2 - Accent 68"/>
    <w:basedOn w:val="13"/>
    <w:uiPriority w:val="99"/>
    <w:rPr>
      <w:sz w:val="22"/>
      <w:szCs w:val="22"/>
      <w:lang w:eastAsia="en-US"/>
    </w:rPr>
    <w:tblPr>
      <w:tblBorders>
        <w:bottom w:val="single" w:color="F79646" w:sz="4" w:space="0"/>
        <w:insideH w:val="single" w:color="F79646" w:sz="4" w:space="0"/>
        <w:insideV w:val="single" w:color="F79646" w:sz="4" w:space="0"/>
      </w:tblBorders>
      <w:tblCellMar>
        <w:top w:w="0" w:type="dxa"/>
        <w:left w:w="108" w:type="dxa"/>
        <w:bottom w:w="0" w:type="dxa"/>
        <w:right w:w="108" w:type="dxa"/>
      </w:tblCellMar>
    </w:tblPr>
    <w:tblStylePr w:type="firstRow">
      <w:rPr>
        <w:b/>
        <w:color w:val="404040"/>
      </w:rPr>
      <w:tcPr>
        <w:tcBorders>
          <w:top w:val="nil"/>
          <w:left w:val="nil"/>
          <w:bottom w:val="single" w:color="F79646" w:sz="12" w:space="0"/>
          <w:right w:val="nil"/>
        </w:tcBorders>
        <w:shd w:val="clear" w:color="FFFFFF" w:fill="auto"/>
      </w:tcPr>
    </w:tblStylePr>
    <w:tblStylePr w:type="lastRow">
      <w:rPr>
        <w:b/>
        <w:color w:val="404040"/>
      </w:rPr>
      <w:tcPr>
        <w:tcBorders>
          <w:top w:val="single" w:color="F79646"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FDE9D8" w:fill="FDE9D8"/>
      </w:tcPr>
    </w:tblStylePr>
    <w:tblStylePr w:type="band1Horz">
      <w:rPr>
        <w:rFonts w:ascii="Arial" w:hAnsi="Arial"/>
        <w:color w:val="404040"/>
        <w:sz w:val="22"/>
      </w:rPr>
      <w:tcPr>
        <w:shd w:val="clear" w:color="FDE9D8" w:fill="FDE9D8"/>
      </w:tcPr>
    </w:tblStylePr>
  </w:style>
  <w:style w:type="table" w:customStyle="1" w:styleId="1624">
    <w:name w:val="Таблица-сетка 316"/>
    <w:basedOn w:val="13"/>
    <w:uiPriority w:val="99"/>
    <w:rPr>
      <w:sz w:val="22"/>
      <w:szCs w:val="22"/>
      <w:lang w:eastAsia="en-US"/>
    </w:rPr>
    <w:tblPr>
      <w:tblBorders>
        <w:bottom w:val="single" w:color="6A6A6A" w:sz="4" w:space="0"/>
        <w:insideH w:val="single" w:color="6A6A6A" w:sz="4" w:space="0"/>
        <w:insideV w:val="single" w:color="6A6A6A" w:sz="4" w:space="0"/>
      </w:tblBorders>
      <w:tblCellMar>
        <w:top w:w="0" w:type="dxa"/>
        <w:left w:w="108" w:type="dxa"/>
        <w:bottom w:w="0" w:type="dxa"/>
        <w:right w:w="108" w:type="dxa"/>
      </w:tblCellMar>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rFonts w:ascii="Arial" w:hAnsi="Arial"/>
        <w:color w:val="404040"/>
        <w:sz w:val="22"/>
      </w:rPr>
      <w:tcPr>
        <w:shd w:val="clear" w:color="CBCBCB" w:fill="CBCBCB"/>
      </w:tcPr>
    </w:tblStylePr>
    <w:tblStylePr w:type="band1Horz">
      <w:rPr>
        <w:rFonts w:ascii="Arial" w:hAnsi="Arial"/>
        <w:color w:val="404040"/>
        <w:sz w:val="22"/>
      </w:rPr>
      <w:tcPr>
        <w:shd w:val="clear" w:color="CBCBCB" w:fill="CBCBCB"/>
      </w:tcPr>
    </w:tblStylePr>
  </w:style>
  <w:style w:type="table" w:customStyle="1" w:styleId="1625">
    <w:name w:val="Grid Table 3 - Accent 18"/>
    <w:basedOn w:val="13"/>
    <w:uiPriority w:val="99"/>
    <w:rPr>
      <w:sz w:val="22"/>
      <w:szCs w:val="22"/>
      <w:lang w:eastAsia="en-US"/>
    </w:rPr>
    <w:tblPr>
      <w:tblBorders>
        <w:bottom w:val="single" w:color="5D8AC2" w:sz="4" w:space="0"/>
        <w:insideH w:val="single" w:color="5D8AC2" w:sz="4" w:space="0"/>
        <w:insideV w:val="single" w:color="5D8AC2" w:sz="4" w:space="0"/>
      </w:tblBorders>
      <w:tblCellMar>
        <w:top w:w="0" w:type="dxa"/>
        <w:left w:w="108" w:type="dxa"/>
        <w:bottom w:w="0" w:type="dxa"/>
        <w:right w:w="108" w:type="dxa"/>
      </w:tblCellMar>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rFonts w:ascii="Arial" w:hAnsi="Arial"/>
        <w:color w:val="404040"/>
        <w:sz w:val="22"/>
      </w:rPr>
      <w:tcPr>
        <w:shd w:val="clear" w:color="DAE5F1" w:fill="DAE5F1"/>
      </w:tcPr>
    </w:tblStylePr>
    <w:tblStylePr w:type="band1Horz">
      <w:rPr>
        <w:rFonts w:ascii="Arial" w:hAnsi="Arial"/>
        <w:color w:val="404040"/>
        <w:sz w:val="22"/>
      </w:rPr>
      <w:tcPr>
        <w:shd w:val="clear" w:color="DAE5F1" w:fill="DAE5F1"/>
      </w:tcPr>
    </w:tblStylePr>
  </w:style>
  <w:style w:type="table" w:customStyle="1" w:styleId="1626">
    <w:name w:val="Grid Table 3 - Accent 28"/>
    <w:basedOn w:val="13"/>
    <w:uiPriority w:val="99"/>
    <w:rPr>
      <w:sz w:val="22"/>
      <w:szCs w:val="22"/>
      <w:lang w:eastAsia="en-US"/>
    </w:rPr>
    <w:tblPr>
      <w:tblBorders>
        <w:bottom w:val="single" w:color="D99695" w:sz="4" w:space="0"/>
        <w:insideH w:val="single" w:color="D99695" w:sz="4" w:space="0"/>
        <w:insideV w:val="single" w:color="D99695" w:sz="4" w:space="0"/>
      </w:tblBorders>
      <w:tblCellMar>
        <w:top w:w="0" w:type="dxa"/>
        <w:left w:w="108" w:type="dxa"/>
        <w:bottom w:w="0" w:type="dxa"/>
        <w:right w:w="108" w:type="dxa"/>
      </w:tblCellMar>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rFonts w:ascii="Arial" w:hAnsi="Arial"/>
        <w:color w:val="404040"/>
        <w:sz w:val="22"/>
      </w:rPr>
      <w:tcPr>
        <w:shd w:val="clear" w:color="F2DCDC" w:fill="F2DCDC"/>
      </w:tcPr>
    </w:tblStylePr>
    <w:tblStylePr w:type="band1Horz">
      <w:rPr>
        <w:rFonts w:ascii="Arial" w:hAnsi="Arial"/>
        <w:color w:val="404040"/>
        <w:sz w:val="22"/>
      </w:rPr>
      <w:tcPr>
        <w:shd w:val="clear" w:color="F2DCDC" w:fill="F2DCDC"/>
      </w:tcPr>
    </w:tblStylePr>
  </w:style>
  <w:style w:type="table" w:customStyle="1" w:styleId="1627">
    <w:name w:val="Grid Table 3 - Accent 38"/>
    <w:basedOn w:val="13"/>
    <w:uiPriority w:val="99"/>
    <w:rPr>
      <w:sz w:val="22"/>
      <w:szCs w:val="22"/>
      <w:lang w:eastAsia="en-US"/>
    </w:rPr>
    <w:tblPr>
      <w:tblBorders>
        <w:bottom w:val="single" w:color="9ABB59" w:sz="4" w:space="0"/>
        <w:insideH w:val="single" w:color="9ABB59" w:sz="4" w:space="0"/>
        <w:insideV w:val="single" w:color="9ABB59" w:sz="4" w:space="0"/>
      </w:tblBorders>
      <w:tblCellMar>
        <w:top w:w="0" w:type="dxa"/>
        <w:left w:w="108" w:type="dxa"/>
        <w:bottom w:w="0" w:type="dxa"/>
        <w:right w:w="108" w:type="dxa"/>
      </w:tblCellMar>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rFonts w:ascii="Arial" w:hAnsi="Arial"/>
        <w:color w:val="404040"/>
        <w:sz w:val="22"/>
      </w:rPr>
      <w:tcPr>
        <w:shd w:val="clear" w:color="EAF1DC" w:fill="EAF1DC"/>
      </w:tcPr>
    </w:tblStylePr>
    <w:tblStylePr w:type="band1Horz">
      <w:rPr>
        <w:rFonts w:ascii="Arial" w:hAnsi="Arial"/>
        <w:color w:val="404040"/>
        <w:sz w:val="22"/>
      </w:rPr>
      <w:tcPr>
        <w:shd w:val="clear" w:color="EAF1DC" w:fill="EAF1DC"/>
      </w:tcPr>
    </w:tblStylePr>
  </w:style>
  <w:style w:type="table" w:customStyle="1" w:styleId="1628">
    <w:name w:val="Grid Table 3 - Accent 48"/>
    <w:basedOn w:val="13"/>
    <w:uiPriority w:val="99"/>
    <w:rPr>
      <w:sz w:val="22"/>
      <w:szCs w:val="22"/>
      <w:lang w:eastAsia="en-US"/>
    </w:rPr>
    <w:tblPr>
      <w:tblBorders>
        <w:bottom w:val="single" w:color="B2A1C6" w:sz="4" w:space="0"/>
        <w:insideH w:val="single" w:color="B2A1C6" w:sz="4" w:space="0"/>
        <w:insideV w:val="single" w:color="B2A1C6" w:sz="4" w:space="0"/>
      </w:tblBorders>
      <w:tblCellMar>
        <w:top w:w="0" w:type="dxa"/>
        <w:left w:w="108" w:type="dxa"/>
        <w:bottom w:w="0" w:type="dxa"/>
        <w:right w:w="108" w:type="dxa"/>
      </w:tblCellMar>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rFonts w:ascii="Arial" w:hAnsi="Arial"/>
        <w:color w:val="404040"/>
        <w:sz w:val="22"/>
      </w:rPr>
      <w:tcPr>
        <w:shd w:val="clear" w:color="E5DFEC" w:fill="E5DFEC"/>
      </w:tcPr>
    </w:tblStylePr>
    <w:tblStylePr w:type="band1Horz">
      <w:rPr>
        <w:rFonts w:ascii="Arial" w:hAnsi="Arial"/>
        <w:color w:val="404040"/>
        <w:sz w:val="22"/>
      </w:rPr>
      <w:tcPr>
        <w:shd w:val="clear" w:color="E5DFEC" w:fill="E5DFEC"/>
      </w:tcPr>
    </w:tblStylePr>
  </w:style>
  <w:style w:type="table" w:customStyle="1" w:styleId="1629">
    <w:name w:val="Grid Table 3 - Accent 58"/>
    <w:basedOn w:val="13"/>
    <w:uiPriority w:val="99"/>
    <w:rPr>
      <w:sz w:val="22"/>
      <w:szCs w:val="22"/>
      <w:lang w:eastAsia="en-US"/>
    </w:rPr>
    <w:tblPr>
      <w:tblBorders>
        <w:bottom w:val="single" w:color="4BACC6" w:sz="4" w:space="0"/>
        <w:insideH w:val="single" w:color="4BACC6" w:sz="4" w:space="0"/>
        <w:insideV w:val="single" w:color="4BACC6" w:sz="4" w:space="0"/>
      </w:tblBorders>
      <w:tblCellMar>
        <w:top w:w="0" w:type="dxa"/>
        <w:left w:w="108" w:type="dxa"/>
        <w:bottom w:w="0" w:type="dxa"/>
        <w:right w:w="108" w:type="dxa"/>
      </w:tblCellMar>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rFonts w:ascii="Arial" w:hAnsi="Arial"/>
        <w:color w:val="404040"/>
        <w:sz w:val="22"/>
      </w:rPr>
      <w:tcPr>
        <w:shd w:val="clear" w:color="DAEEF3" w:fill="DAEEF3"/>
      </w:tcPr>
    </w:tblStylePr>
    <w:tblStylePr w:type="band1Horz">
      <w:rPr>
        <w:rFonts w:ascii="Arial" w:hAnsi="Arial"/>
        <w:color w:val="404040"/>
        <w:sz w:val="22"/>
      </w:rPr>
      <w:tcPr>
        <w:shd w:val="clear" w:color="DAEEF3" w:fill="DAEEF3"/>
      </w:tcPr>
    </w:tblStylePr>
  </w:style>
  <w:style w:type="table" w:customStyle="1" w:styleId="1630">
    <w:name w:val="Grid Table 3 - Accent 68"/>
    <w:basedOn w:val="13"/>
    <w:uiPriority w:val="99"/>
    <w:rPr>
      <w:sz w:val="22"/>
      <w:szCs w:val="22"/>
      <w:lang w:eastAsia="en-US"/>
    </w:rPr>
    <w:tblPr>
      <w:tblBorders>
        <w:bottom w:val="single" w:color="F79646" w:sz="4" w:space="0"/>
        <w:insideH w:val="single" w:color="F79646" w:sz="4" w:space="0"/>
        <w:insideV w:val="single" w:color="F79646" w:sz="4" w:space="0"/>
      </w:tblBorders>
      <w:tblCellMar>
        <w:top w:w="0" w:type="dxa"/>
        <w:left w:w="108" w:type="dxa"/>
        <w:bottom w:w="0" w:type="dxa"/>
        <w:right w:w="108" w:type="dxa"/>
      </w:tblCellMar>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rFonts w:ascii="Arial" w:hAnsi="Arial"/>
        <w:color w:val="404040"/>
        <w:sz w:val="22"/>
      </w:rPr>
      <w:tcPr>
        <w:shd w:val="clear" w:color="FDE9D8" w:fill="FDE9D8"/>
      </w:tcPr>
    </w:tblStylePr>
    <w:tblStylePr w:type="band1Horz">
      <w:rPr>
        <w:rFonts w:ascii="Arial" w:hAnsi="Arial"/>
        <w:color w:val="404040"/>
        <w:sz w:val="22"/>
      </w:rPr>
      <w:tcPr>
        <w:shd w:val="clear" w:color="FDE9D8" w:fill="FDE9D8"/>
      </w:tcPr>
    </w:tblStylePr>
  </w:style>
  <w:style w:type="table" w:customStyle="1" w:styleId="1631">
    <w:name w:val="Таблица-сетка 416"/>
    <w:basedOn w:val="13"/>
    <w:uiPriority w:val="59"/>
    <w:rPr>
      <w:sz w:val="22"/>
      <w:szCs w:val="22"/>
      <w:lang w:eastAsia="en-US"/>
    </w:rPr>
    <w:tblPr>
      <w:tblBorders>
        <w:top w:val="single" w:color="6F6F6F" w:sz="4" w:space="0"/>
        <w:left w:val="single" w:color="6F6F6F" w:sz="4" w:space="0"/>
        <w:bottom w:val="single" w:color="6F6F6F" w:sz="4" w:space="0"/>
        <w:right w:val="single" w:color="6F6F6F" w:sz="4" w:space="0"/>
        <w:insideH w:val="single" w:color="6F6F6F" w:sz="4" w:space="0"/>
        <w:insideV w:val="single" w:color="6F6F6F" w:sz="4" w:space="0"/>
      </w:tblBorders>
      <w:tblCellMar>
        <w:top w:w="0" w:type="dxa"/>
        <w:left w:w="108" w:type="dxa"/>
        <w:bottom w:w="0" w:type="dxa"/>
        <w:right w:w="108" w:type="dxa"/>
      </w:tblCellMar>
    </w:tblPr>
    <w:tblStylePr w:type="firstRow">
      <w:rPr>
        <w:rFonts w:ascii="Arial" w:hAnsi="Arial"/>
        <w:b/>
        <w:color w:val="FFFFFF"/>
        <w:sz w:val="22"/>
      </w:rPr>
      <w:tcPr>
        <w:tcBorders>
          <w:top w:val="single" w:color="000000" w:sz="4" w:space="0"/>
          <w:left w:val="single" w:color="000000" w:sz="4" w:space="0"/>
          <w:bottom w:val="single" w:color="000000" w:sz="4" w:space="0"/>
          <w:right w:val="single" w:color="000000" w:sz="4" w:space="0"/>
        </w:tcBorders>
        <w:shd w:val="clear" w:color="000000" w:fill="000000"/>
      </w:tcPr>
    </w:tblStylePr>
    <w:tblStylePr w:type="lastRow">
      <w:rPr>
        <w:b/>
        <w:color w:val="404040"/>
      </w:rPr>
      <w:tcPr>
        <w:tcBorders>
          <w:top w:val="single" w:color="000000"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CBCBCB" w:fill="CBCBCB"/>
      </w:tcPr>
    </w:tblStylePr>
    <w:tblStylePr w:type="band1Horz">
      <w:rPr>
        <w:rFonts w:ascii="Arial" w:hAnsi="Arial"/>
        <w:color w:val="404040"/>
        <w:sz w:val="22"/>
      </w:rPr>
      <w:tcPr>
        <w:shd w:val="clear" w:color="CBCBCB" w:fill="CBCBCB"/>
      </w:tcPr>
    </w:tblStylePr>
  </w:style>
  <w:style w:type="table" w:customStyle="1" w:styleId="1632">
    <w:name w:val="Grid Table 4 - Accent 18"/>
    <w:basedOn w:val="13"/>
    <w:uiPriority w:val="59"/>
    <w:rPr>
      <w:sz w:val="22"/>
      <w:szCs w:val="22"/>
      <w:lang w:eastAsia="en-US"/>
    </w:rPr>
    <w:tblPr>
      <w:tblBorders>
        <w:top w:val="single" w:color="9BB7D9" w:sz="4" w:space="0"/>
        <w:left w:val="single" w:color="9BB7D9" w:sz="4" w:space="0"/>
        <w:bottom w:val="single" w:color="9BB7D9" w:sz="4" w:space="0"/>
        <w:right w:val="single" w:color="9BB7D9" w:sz="4" w:space="0"/>
        <w:insideH w:val="single" w:color="9BB7D9" w:sz="4" w:space="0"/>
        <w:insideV w:val="single" w:color="9BB7D9" w:sz="4" w:space="0"/>
      </w:tblBorders>
      <w:tblCellMar>
        <w:top w:w="0" w:type="dxa"/>
        <w:left w:w="108" w:type="dxa"/>
        <w:bottom w:w="0" w:type="dxa"/>
        <w:right w:w="108" w:type="dxa"/>
      </w:tblCellMar>
    </w:tblPr>
    <w:tblStylePr w:type="firstRow">
      <w:rPr>
        <w:rFonts w:ascii="Arial" w:hAnsi="Arial"/>
        <w:b/>
        <w:color w:val="FFFFFF"/>
        <w:sz w:val="22"/>
      </w:rPr>
      <w:tcPr>
        <w:tcBorders>
          <w:top w:val="single" w:color="5D8AC2" w:sz="4" w:space="0"/>
          <w:left w:val="single" w:color="5D8AC2" w:sz="4" w:space="0"/>
          <w:bottom w:val="single" w:color="5D8AC2" w:sz="4" w:space="0"/>
          <w:right w:val="single" w:color="5D8AC2" w:sz="4" w:space="0"/>
        </w:tcBorders>
        <w:shd w:val="clear" w:color="5D8AC2" w:fill="5D8AC2"/>
      </w:tcPr>
    </w:tblStylePr>
    <w:tblStylePr w:type="lastRow">
      <w:rPr>
        <w:b/>
        <w:color w:val="404040"/>
      </w:rPr>
      <w:tcPr>
        <w:tcBorders>
          <w:top w:val="single" w:color="5D8AC2"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DCE6F2" w:fill="DCE6F2"/>
      </w:tcPr>
    </w:tblStylePr>
    <w:tblStylePr w:type="band1Horz">
      <w:rPr>
        <w:rFonts w:ascii="Arial" w:hAnsi="Arial"/>
        <w:color w:val="404040"/>
        <w:sz w:val="22"/>
      </w:rPr>
      <w:tcPr>
        <w:shd w:val="clear" w:color="DCE6F2" w:fill="DCE6F2"/>
      </w:tcPr>
    </w:tblStylePr>
  </w:style>
  <w:style w:type="table" w:customStyle="1" w:styleId="1633">
    <w:name w:val="Grid Table 4 - Accent 28"/>
    <w:basedOn w:val="13"/>
    <w:uiPriority w:val="59"/>
    <w:rPr>
      <w:sz w:val="22"/>
      <w:szCs w:val="22"/>
      <w:lang w:eastAsia="en-US"/>
    </w:rPr>
    <w:tblPr>
      <w:tblBorders>
        <w:top w:val="single" w:color="DB9B9A" w:sz="4" w:space="0"/>
        <w:left w:val="single" w:color="DB9B9A" w:sz="4" w:space="0"/>
        <w:bottom w:val="single" w:color="DB9B9A" w:sz="4" w:space="0"/>
        <w:right w:val="single" w:color="DB9B9A" w:sz="4" w:space="0"/>
        <w:insideH w:val="single" w:color="DB9B9A" w:sz="4" w:space="0"/>
        <w:insideV w:val="single" w:color="DB9B9A" w:sz="4" w:space="0"/>
      </w:tblBorders>
      <w:tblCellMar>
        <w:top w:w="0" w:type="dxa"/>
        <w:left w:w="108" w:type="dxa"/>
        <w:bottom w:w="0" w:type="dxa"/>
        <w:right w:w="108" w:type="dxa"/>
      </w:tblCellMar>
    </w:tblPr>
    <w:tblStylePr w:type="firstRow">
      <w:rPr>
        <w:rFonts w:ascii="Arial" w:hAnsi="Arial"/>
        <w:b/>
        <w:color w:val="FFFFFF"/>
        <w:sz w:val="22"/>
      </w:rPr>
      <w:tcPr>
        <w:tcBorders>
          <w:top w:val="single" w:color="D99695" w:sz="4" w:space="0"/>
          <w:left w:val="single" w:color="D99695" w:sz="4" w:space="0"/>
          <w:bottom w:val="single" w:color="D99695" w:sz="4" w:space="0"/>
          <w:right w:val="single" w:color="D99695" w:sz="4" w:space="0"/>
        </w:tcBorders>
        <w:shd w:val="clear" w:color="D99695" w:fill="D99695"/>
      </w:tcPr>
    </w:tblStylePr>
    <w:tblStylePr w:type="lastRow">
      <w:rPr>
        <w:b/>
        <w:color w:val="404040"/>
      </w:rPr>
      <w:tcPr>
        <w:tcBorders>
          <w:top w:val="single" w:color="D99695"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F2DCDC" w:fill="F2DCDC"/>
      </w:tcPr>
    </w:tblStylePr>
    <w:tblStylePr w:type="band1Horz">
      <w:rPr>
        <w:rFonts w:ascii="Arial" w:hAnsi="Arial"/>
        <w:color w:val="404040"/>
        <w:sz w:val="22"/>
      </w:rPr>
      <w:tcPr>
        <w:shd w:val="clear" w:color="F2DCDC" w:fill="F2DCDC"/>
      </w:tcPr>
    </w:tblStylePr>
  </w:style>
  <w:style w:type="table" w:customStyle="1" w:styleId="1634">
    <w:name w:val="Grid Table 4 - Accent 38"/>
    <w:basedOn w:val="13"/>
    <w:uiPriority w:val="59"/>
    <w:rPr>
      <w:sz w:val="22"/>
      <w:szCs w:val="22"/>
      <w:lang w:eastAsia="en-US"/>
    </w:rPr>
    <w:tblPr>
      <w:tblBorders>
        <w:top w:val="single" w:color="C6D8A1" w:sz="4" w:space="0"/>
        <w:left w:val="single" w:color="C6D8A1" w:sz="4" w:space="0"/>
        <w:bottom w:val="single" w:color="C6D8A1" w:sz="4" w:space="0"/>
        <w:right w:val="single" w:color="C6D8A1" w:sz="4" w:space="0"/>
        <w:insideH w:val="single" w:color="C6D8A1" w:sz="4" w:space="0"/>
        <w:insideV w:val="single" w:color="C6D8A1" w:sz="4" w:space="0"/>
      </w:tblBorders>
      <w:tblCellMar>
        <w:top w:w="0" w:type="dxa"/>
        <w:left w:w="108" w:type="dxa"/>
        <w:bottom w:w="0" w:type="dxa"/>
        <w:right w:w="108" w:type="dxa"/>
      </w:tblCellMar>
    </w:tblPr>
    <w:tblStylePr w:type="firstRow">
      <w:rPr>
        <w:rFonts w:ascii="Arial" w:hAnsi="Arial"/>
        <w:b/>
        <w:color w:val="FFFFFF"/>
        <w:sz w:val="22"/>
      </w:rPr>
      <w:tcPr>
        <w:tcBorders>
          <w:top w:val="single" w:color="9ABB59" w:sz="4" w:space="0"/>
          <w:left w:val="single" w:color="9ABB59" w:sz="4" w:space="0"/>
          <w:bottom w:val="single" w:color="9ABB59" w:sz="4" w:space="0"/>
          <w:right w:val="single" w:color="9ABB59" w:sz="4" w:space="0"/>
        </w:tcBorders>
        <w:shd w:val="clear" w:color="9ABB59" w:fill="9ABB59"/>
      </w:tcPr>
    </w:tblStylePr>
    <w:tblStylePr w:type="lastRow">
      <w:rPr>
        <w:b/>
        <w:color w:val="404040"/>
      </w:rPr>
      <w:tcPr>
        <w:tcBorders>
          <w:top w:val="single" w:color="9ABB59"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EAF1DC" w:fill="EAF1DC"/>
      </w:tcPr>
    </w:tblStylePr>
    <w:tblStylePr w:type="band1Horz">
      <w:rPr>
        <w:rFonts w:ascii="Arial" w:hAnsi="Arial"/>
        <w:color w:val="404040"/>
        <w:sz w:val="22"/>
      </w:rPr>
      <w:tcPr>
        <w:shd w:val="clear" w:color="EAF1DC" w:fill="EAF1DC"/>
      </w:tcPr>
    </w:tblStylePr>
  </w:style>
  <w:style w:type="table" w:customStyle="1" w:styleId="1635">
    <w:name w:val="Grid Table 4 - Accent 48"/>
    <w:basedOn w:val="13"/>
    <w:uiPriority w:val="59"/>
    <w:rPr>
      <w:sz w:val="22"/>
      <w:szCs w:val="22"/>
      <w:lang w:eastAsia="en-US"/>
    </w:rPr>
    <w:tblPr>
      <w:tblBorders>
        <w:top w:val="single" w:color="B7A7CA" w:sz="4" w:space="0"/>
        <w:left w:val="single" w:color="B7A7CA" w:sz="4" w:space="0"/>
        <w:bottom w:val="single" w:color="B7A7CA" w:sz="4" w:space="0"/>
        <w:right w:val="single" w:color="B7A7CA" w:sz="4" w:space="0"/>
        <w:insideH w:val="single" w:color="B7A7CA" w:sz="4" w:space="0"/>
        <w:insideV w:val="single" w:color="B7A7CA" w:sz="4" w:space="0"/>
      </w:tblBorders>
      <w:tblCellMar>
        <w:top w:w="0" w:type="dxa"/>
        <w:left w:w="108" w:type="dxa"/>
        <w:bottom w:w="0" w:type="dxa"/>
        <w:right w:w="108" w:type="dxa"/>
      </w:tblCellMar>
    </w:tblPr>
    <w:tblStylePr w:type="firstRow">
      <w:rPr>
        <w:rFonts w:ascii="Arial" w:hAnsi="Arial"/>
        <w:b/>
        <w:color w:val="FFFFFF"/>
        <w:sz w:val="22"/>
      </w:rPr>
      <w:tcPr>
        <w:tcBorders>
          <w:top w:val="single" w:color="B2A1C6" w:sz="4" w:space="0"/>
          <w:left w:val="single" w:color="B2A1C6" w:sz="4" w:space="0"/>
          <w:bottom w:val="single" w:color="B2A1C6" w:sz="4" w:space="0"/>
          <w:right w:val="single" w:color="B2A1C6" w:sz="4" w:space="0"/>
        </w:tcBorders>
        <w:shd w:val="clear" w:color="B2A1C6" w:fill="B2A1C6"/>
      </w:tcPr>
    </w:tblStylePr>
    <w:tblStylePr w:type="lastRow">
      <w:rPr>
        <w:b/>
        <w:color w:val="404040"/>
      </w:rPr>
      <w:tcPr>
        <w:tcBorders>
          <w:top w:val="single" w:color="B2A1C6"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E5DFEC" w:fill="E5DFEC"/>
      </w:tcPr>
    </w:tblStylePr>
    <w:tblStylePr w:type="band1Horz">
      <w:rPr>
        <w:rFonts w:ascii="Arial" w:hAnsi="Arial"/>
        <w:color w:val="404040"/>
        <w:sz w:val="22"/>
      </w:rPr>
      <w:tcPr>
        <w:shd w:val="clear" w:color="E5DFEC" w:fill="E5DFEC"/>
      </w:tcPr>
    </w:tblStylePr>
  </w:style>
  <w:style w:type="table" w:customStyle="1" w:styleId="1636">
    <w:name w:val="Grid Table 4 - Accent 58"/>
    <w:basedOn w:val="13"/>
    <w:uiPriority w:val="59"/>
    <w:rPr>
      <w:sz w:val="22"/>
      <w:szCs w:val="22"/>
      <w:lang w:eastAsia="en-US"/>
    </w:rPr>
    <w:tblPr>
      <w:tblBorders>
        <w:top w:val="single" w:color="99D0DE" w:sz="4" w:space="0"/>
        <w:left w:val="single" w:color="99D0DE" w:sz="4" w:space="0"/>
        <w:bottom w:val="single" w:color="99D0DE" w:sz="4" w:space="0"/>
        <w:right w:val="single" w:color="99D0DE" w:sz="4" w:space="0"/>
        <w:insideH w:val="single" w:color="99D0DE" w:sz="4" w:space="0"/>
        <w:insideV w:val="single" w:color="99D0DE" w:sz="4" w:space="0"/>
      </w:tblBorders>
      <w:tblCellMar>
        <w:top w:w="0" w:type="dxa"/>
        <w:left w:w="108" w:type="dxa"/>
        <w:bottom w:w="0" w:type="dxa"/>
        <w:right w:w="108" w:type="dxa"/>
      </w:tblCellMar>
    </w:tblPr>
    <w:tblStylePr w:type="firstRow">
      <w:rPr>
        <w:rFonts w:ascii="Arial" w:hAnsi="Arial"/>
        <w:b/>
        <w:color w:val="FFFFFF"/>
        <w:sz w:val="22"/>
      </w:rPr>
      <w:tcPr>
        <w:tcBorders>
          <w:top w:val="single" w:color="4BACC6" w:sz="4" w:space="0"/>
          <w:left w:val="single" w:color="4BACC6" w:sz="4" w:space="0"/>
          <w:bottom w:val="single" w:color="4BACC6" w:sz="4" w:space="0"/>
          <w:right w:val="single" w:color="4BACC6" w:sz="4" w:space="0"/>
        </w:tcBorders>
        <w:shd w:val="clear" w:color="4BACC6" w:fill="4BACC6"/>
      </w:tcPr>
    </w:tblStylePr>
    <w:tblStylePr w:type="lastRow">
      <w:rPr>
        <w:b/>
        <w:color w:val="404040"/>
      </w:rPr>
      <w:tcPr>
        <w:tcBorders>
          <w:top w:val="single" w:color="4BACC6"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DAEEF3" w:fill="DAEEF3"/>
      </w:tcPr>
    </w:tblStylePr>
    <w:tblStylePr w:type="band1Horz">
      <w:rPr>
        <w:rFonts w:ascii="Arial" w:hAnsi="Arial"/>
        <w:color w:val="404040"/>
        <w:sz w:val="22"/>
      </w:rPr>
      <w:tcPr>
        <w:shd w:val="clear" w:color="DAEEF3" w:fill="DAEEF3"/>
      </w:tcPr>
    </w:tblStylePr>
  </w:style>
  <w:style w:type="table" w:customStyle="1" w:styleId="1637">
    <w:name w:val="Grid Table 4 - Accent 68"/>
    <w:basedOn w:val="13"/>
    <w:uiPriority w:val="59"/>
    <w:rPr>
      <w:sz w:val="22"/>
      <w:szCs w:val="22"/>
      <w:lang w:eastAsia="en-US"/>
    </w:rPr>
    <w:tblPr>
      <w:tblBorders>
        <w:top w:val="single" w:color="FAC396" w:sz="4" w:space="0"/>
        <w:left w:val="single" w:color="FAC396" w:sz="4" w:space="0"/>
        <w:bottom w:val="single" w:color="FAC396" w:sz="4" w:space="0"/>
        <w:right w:val="single" w:color="FAC396" w:sz="4" w:space="0"/>
        <w:insideH w:val="single" w:color="FAC396" w:sz="4" w:space="0"/>
        <w:insideV w:val="single" w:color="FAC396" w:sz="4" w:space="0"/>
      </w:tblBorders>
      <w:tblCellMar>
        <w:top w:w="0" w:type="dxa"/>
        <w:left w:w="108" w:type="dxa"/>
        <w:bottom w:w="0" w:type="dxa"/>
        <w:right w:w="108" w:type="dxa"/>
      </w:tblCellMar>
    </w:tblPr>
    <w:tblStylePr w:type="firstRow">
      <w:rPr>
        <w:rFonts w:ascii="Arial" w:hAnsi="Arial"/>
        <w:b/>
        <w:color w:val="FFFFFF"/>
        <w:sz w:val="22"/>
      </w:rPr>
      <w:tcPr>
        <w:tcBorders>
          <w:top w:val="single" w:color="F79646" w:sz="4" w:space="0"/>
          <w:left w:val="single" w:color="F79646" w:sz="4" w:space="0"/>
          <w:bottom w:val="single" w:color="F79646" w:sz="4" w:space="0"/>
          <w:right w:val="single" w:color="F79646" w:sz="4" w:space="0"/>
        </w:tcBorders>
        <w:shd w:val="clear" w:color="F79646" w:fill="F79646"/>
      </w:tcPr>
    </w:tblStylePr>
    <w:tblStylePr w:type="lastRow">
      <w:rPr>
        <w:b/>
        <w:color w:val="404040"/>
      </w:rPr>
      <w:tcPr>
        <w:tcBorders>
          <w:top w:val="single" w:color="F79646"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FDE9D8" w:fill="FDE9D8"/>
      </w:tcPr>
    </w:tblStylePr>
    <w:tblStylePr w:type="band1Horz">
      <w:rPr>
        <w:rFonts w:ascii="Arial" w:hAnsi="Arial"/>
        <w:color w:val="404040"/>
        <w:sz w:val="22"/>
      </w:rPr>
      <w:tcPr>
        <w:shd w:val="clear" w:color="FDE9D8" w:fill="FDE9D8"/>
      </w:tcPr>
    </w:tblStylePr>
  </w:style>
  <w:style w:type="table" w:customStyle="1" w:styleId="1638">
    <w:name w:val="Таблица-сетка 5 темная16"/>
    <w:basedOn w:val="13"/>
    <w:uiPriority w:val="99"/>
    <w:rPr>
      <w:sz w:val="22"/>
      <w:szCs w:val="22"/>
      <w:lang w:eastAsia="en-US"/>
    </w:rPr>
    <w:tblPr>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CellMar>
        <w:top w:w="0" w:type="dxa"/>
        <w:left w:w="108" w:type="dxa"/>
        <w:bottom w:w="0" w:type="dxa"/>
        <w:right w:w="108" w:type="dxa"/>
      </w:tblCellMar>
    </w:tblPr>
    <w:tblStylePr w:type="firstRow">
      <w:rPr>
        <w:rFonts w:ascii="Arial" w:hAnsi="Arial"/>
        <w:b/>
        <w:color w:val="FFFFFF"/>
        <w:sz w:val="22"/>
      </w:rPr>
      <w:tcPr>
        <w:shd w:val="clear" w:color="000000" w:fill="000000"/>
      </w:tcPr>
    </w:tblStylePr>
    <w:tblStylePr w:type="lastRow">
      <w:rPr>
        <w:rFonts w:ascii="Arial" w:hAnsi="Arial"/>
        <w:b/>
        <w:color w:val="FFFFFF"/>
        <w:sz w:val="22"/>
      </w:rPr>
      <w:tcPr>
        <w:tcBorders>
          <w:top w:val="single" w:color="FFFFFF" w:sz="4" w:space="0"/>
        </w:tcBorders>
        <w:shd w:val="clear" w:color="000000" w:fill="000000"/>
      </w:tcPr>
    </w:tblStylePr>
    <w:tblStylePr w:type="firstCol">
      <w:rPr>
        <w:rFonts w:ascii="Arial" w:hAnsi="Arial"/>
        <w:b/>
        <w:color w:val="FFFFFF"/>
        <w:sz w:val="22"/>
      </w:rPr>
      <w:tcPr>
        <w:shd w:val="clear" w:color="000000" w:fill="000000"/>
      </w:tcPr>
    </w:tblStylePr>
    <w:tblStylePr w:type="lastCol">
      <w:rPr>
        <w:rFonts w:ascii="Arial" w:hAnsi="Arial"/>
        <w:b/>
        <w:color w:val="FFFFFF"/>
        <w:sz w:val="22"/>
      </w:rPr>
      <w:tcPr>
        <w:shd w:val="clear" w:color="000000" w:fill="000000"/>
      </w:tcPr>
    </w:tblStylePr>
    <w:tblStylePr w:type="band1Vert">
      <w:tcPr>
        <w:shd w:val="clear" w:color="8A8A8A" w:fill="8A8A8A"/>
      </w:tcPr>
    </w:tblStylePr>
    <w:tblStylePr w:type="band1Horz">
      <w:tcPr>
        <w:shd w:val="clear" w:color="8A8A8A" w:fill="8A8A8A"/>
      </w:tcPr>
    </w:tblStylePr>
  </w:style>
  <w:style w:type="table" w:customStyle="1" w:styleId="1639">
    <w:name w:val="Grid Table 5 Dark- Accent 18"/>
    <w:basedOn w:val="13"/>
    <w:uiPriority w:val="99"/>
    <w:rPr>
      <w:sz w:val="22"/>
      <w:szCs w:val="22"/>
      <w:lang w:eastAsia="en-US"/>
    </w:rPr>
    <w:tblPr>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CellMar>
        <w:top w:w="0" w:type="dxa"/>
        <w:left w:w="108" w:type="dxa"/>
        <w:bottom w:w="0" w:type="dxa"/>
        <w:right w:w="108" w:type="dxa"/>
      </w:tblCellMar>
    </w:tblPr>
    <w:tblStylePr w:type="firstRow">
      <w:rPr>
        <w:rFonts w:ascii="Arial" w:hAnsi="Arial"/>
        <w:b/>
        <w:color w:val="FFFFFF"/>
        <w:sz w:val="22"/>
      </w:rPr>
      <w:tcPr>
        <w:shd w:val="clear" w:color="4F81BD" w:fill="4F81BD"/>
      </w:tcPr>
    </w:tblStylePr>
    <w:tblStylePr w:type="lastRow">
      <w:rPr>
        <w:rFonts w:ascii="Arial" w:hAnsi="Arial"/>
        <w:b/>
        <w:color w:val="FFFFFF"/>
        <w:sz w:val="22"/>
      </w:rPr>
      <w:tcPr>
        <w:tcBorders>
          <w:top w:val="single" w:color="FFFFFF" w:sz="4" w:space="0"/>
        </w:tcBorders>
        <w:shd w:val="clear" w:color="4F81BD" w:fill="4F81BD"/>
      </w:tcPr>
    </w:tblStylePr>
    <w:tblStylePr w:type="firstCol">
      <w:rPr>
        <w:rFonts w:ascii="Arial" w:hAnsi="Arial"/>
        <w:b/>
        <w:color w:val="FFFFFF"/>
        <w:sz w:val="22"/>
      </w:rPr>
      <w:tcPr>
        <w:shd w:val="clear" w:color="4F81BD" w:fill="4F81BD"/>
      </w:tcPr>
    </w:tblStylePr>
    <w:tblStylePr w:type="lastCol">
      <w:rPr>
        <w:rFonts w:ascii="Arial" w:hAnsi="Arial"/>
        <w:b/>
        <w:color w:val="FFFFFF"/>
        <w:sz w:val="22"/>
      </w:rPr>
      <w:tcPr>
        <w:shd w:val="clear" w:color="4F81BD" w:fill="4F81BD"/>
      </w:tcPr>
    </w:tblStylePr>
    <w:tblStylePr w:type="band1Vert">
      <w:tcPr>
        <w:shd w:val="clear" w:color="AEC4E0" w:fill="AEC4E0"/>
      </w:tcPr>
    </w:tblStylePr>
    <w:tblStylePr w:type="band1Horz">
      <w:tcPr>
        <w:shd w:val="clear" w:color="AEC4E0" w:fill="AEC4E0"/>
      </w:tcPr>
    </w:tblStylePr>
  </w:style>
  <w:style w:type="table" w:customStyle="1" w:styleId="1640">
    <w:name w:val="Grid Table 5 Dark - Accent 28"/>
    <w:basedOn w:val="13"/>
    <w:uiPriority w:val="99"/>
    <w:rPr>
      <w:sz w:val="22"/>
      <w:szCs w:val="22"/>
      <w:lang w:eastAsia="en-US"/>
    </w:rPr>
    <w:tblPr>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CellMar>
        <w:top w:w="0" w:type="dxa"/>
        <w:left w:w="108" w:type="dxa"/>
        <w:bottom w:w="0" w:type="dxa"/>
        <w:right w:w="108" w:type="dxa"/>
      </w:tblCellMar>
    </w:tblPr>
    <w:tblStylePr w:type="firstRow">
      <w:rPr>
        <w:rFonts w:ascii="Arial" w:hAnsi="Arial"/>
        <w:b/>
        <w:color w:val="FFFFFF"/>
        <w:sz w:val="22"/>
      </w:rPr>
      <w:tcPr>
        <w:shd w:val="clear" w:color="C0504D" w:fill="C0504D"/>
      </w:tcPr>
    </w:tblStylePr>
    <w:tblStylePr w:type="lastRow">
      <w:rPr>
        <w:rFonts w:ascii="Arial" w:hAnsi="Arial"/>
        <w:b/>
        <w:color w:val="FFFFFF"/>
        <w:sz w:val="22"/>
      </w:rPr>
      <w:tcPr>
        <w:tcBorders>
          <w:top w:val="single" w:color="FFFFFF" w:sz="4" w:space="0"/>
        </w:tcBorders>
        <w:shd w:val="clear" w:color="C0504D" w:fill="C0504D"/>
      </w:tcPr>
    </w:tblStylePr>
    <w:tblStylePr w:type="firstCol">
      <w:rPr>
        <w:rFonts w:ascii="Arial" w:hAnsi="Arial"/>
        <w:b/>
        <w:color w:val="FFFFFF"/>
        <w:sz w:val="22"/>
      </w:rPr>
      <w:tcPr>
        <w:shd w:val="clear" w:color="C0504D" w:fill="C0504D"/>
      </w:tcPr>
    </w:tblStylePr>
    <w:tblStylePr w:type="lastCol">
      <w:rPr>
        <w:rFonts w:ascii="Arial" w:hAnsi="Arial"/>
        <w:b/>
        <w:color w:val="FFFFFF"/>
        <w:sz w:val="22"/>
      </w:rPr>
      <w:tcPr>
        <w:shd w:val="clear" w:color="C0504D" w:fill="C0504D"/>
      </w:tcPr>
    </w:tblStylePr>
    <w:tblStylePr w:type="band1Vert">
      <w:tcPr>
        <w:shd w:val="clear" w:color="E2AEAD" w:fill="E2AEAD"/>
      </w:tcPr>
    </w:tblStylePr>
    <w:tblStylePr w:type="band1Horz">
      <w:tcPr>
        <w:shd w:val="clear" w:color="E2AEAD" w:fill="E2AEAD"/>
      </w:tcPr>
    </w:tblStylePr>
  </w:style>
  <w:style w:type="table" w:customStyle="1" w:styleId="1641">
    <w:name w:val="Grid Table 5 Dark - Accent 38"/>
    <w:basedOn w:val="13"/>
    <w:uiPriority w:val="99"/>
    <w:rPr>
      <w:sz w:val="22"/>
      <w:szCs w:val="22"/>
      <w:lang w:eastAsia="en-US"/>
    </w:rPr>
    <w:tblPr>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CellMar>
        <w:top w:w="0" w:type="dxa"/>
        <w:left w:w="108" w:type="dxa"/>
        <w:bottom w:w="0" w:type="dxa"/>
        <w:right w:w="108" w:type="dxa"/>
      </w:tblCellMar>
    </w:tblPr>
    <w:tblStylePr w:type="firstRow">
      <w:rPr>
        <w:rFonts w:ascii="Arial" w:hAnsi="Arial"/>
        <w:b/>
        <w:color w:val="FFFFFF"/>
        <w:sz w:val="22"/>
      </w:rPr>
      <w:tcPr>
        <w:shd w:val="clear" w:color="9BBB59" w:fill="9BBB59"/>
      </w:tcPr>
    </w:tblStylePr>
    <w:tblStylePr w:type="lastRow">
      <w:rPr>
        <w:rFonts w:ascii="Arial" w:hAnsi="Arial"/>
        <w:b/>
        <w:color w:val="FFFFFF"/>
        <w:sz w:val="22"/>
      </w:rPr>
      <w:tcPr>
        <w:tcBorders>
          <w:top w:val="single" w:color="FFFFFF" w:sz="4" w:space="0"/>
        </w:tcBorders>
        <w:shd w:val="clear" w:color="9BBB59" w:fill="9BBB59"/>
      </w:tcPr>
    </w:tblStylePr>
    <w:tblStylePr w:type="firstCol">
      <w:rPr>
        <w:rFonts w:ascii="Arial" w:hAnsi="Arial"/>
        <w:b/>
        <w:color w:val="FFFFFF"/>
        <w:sz w:val="22"/>
      </w:rPr>
      <w:tcPr>
        <w:shd w:val="clear" w:color="9BBB59" w:fill="9BBB59"/>
      </w:tcPr>
    </w:tblStylePr>
    <w:tblStylePr w:type="lastCol">
      <w:rPr>
        <w:rFonts w:ascii="Arial" w:hAnsi="Arial"/>
        <w:b/>
        <w:color w:val="FFFFFF"/>
        <w:sz w:val="22"/>
      </w:rPr>
      <w:tcPr>
        <w:shd w:val="clear" w:color="9BBB59" w:fill="9BBB59"/>
      </w:tcPr>
    </w:tblStylePr>
    <w:tblStylePr w:type="band1Vert">
      <w:tcPr>
        <w:shd w:val="clear" w:color="D0DFB2" w:fill="D0DFB2"/>
      </w:tcPr>
    </w:tblStylePr>
    <w:tblStylePr w:type="band1Horz">
      <w:tcPr>
        <w:shd w:val="clear" w:color="D0DFB2" w:fill="D0DFB2"/>
      </w:tcPr>
    </w:tblStylePr>
  </w:style>
  <w:style w:type="table" w:customStyle="1" w:styleId="1642">
    <w:name w:val="Grid Table 5 Dark- Accent 48"/>
    <w:basedOn w:val="13"/>
    <w:uiPriority w:val="99"/>
    <w:rPr>
      <w:sz w:val="22"/>
      <w:szCs w:val="22"/>
      <w:lang w:eastAsia="en-US"/>
    </w:rPr>
    <w:tblPr>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CellMar>
        <w:top w:w="0" w:type="dxa"/>
        <w:left w:w="108" w:type="dxa"/>
        <w:bottom w:w="0" w:type="dxa"/>
        <w:right w:w="108" w:type="dxa"/>
      </w:tblCellMar>
    </w:tblPr>
    <w:tblStylePr w:type="firstRow">
      <w:rPr>
        <w:rFonts w:ascii="Arial" w:hAnsi="Arial"/>
        <w:b/>
        <w:color w:val="FFFFFF"/>
        <w:sz w:val="22"/>
      </w:rPr>
      <w:tcPr>
        <w:shd w:val="clear" w:color="8064A2" w:fill="8064A2"/>
      </w:tcPr>
    </w:tblStylePr>
    <w:tblStylePr w:type="lastRow">
      <w:rPr>
        <w:rFonts w:ascii="Arial" w:hAnsi="Arial"/>
        <w:b/>
        <w:color w:val="FFFFFF"/>
        <w:sz w:val="22"/>
      </w:rPr>
      <w:tcPr>
        <w:tcBorders>
          <w:top w:val="single" w:color="FFFFFF" w:sz="4" w:space="0"/>
        </w:tcBorders>
        <w:shd w:val="clear" w:color="8064A2" w:fill="8064A2"/>
      </w:tcPr>
    </w:tblStylePr>
    <w:tblStylePr w:type="firstCol">
      <w:rPr>
        <w:rFonts w:ascii="Arial" w:hAnsi="Arial"/>
        <w:b/>
        <w:color w:val="FFFFFF"/>
        <w:sz w:val="22"/>
      </w:rPr>
      <w:tcPr>
        <w:shd w:val="clear" w:color="8064A2" w:fill="8064A2"/>
      </w:tcPr>
    </w:tblStylePr>
    <w:tblStylePr w:type="lastCol">
      <w:rPr>
        <w:rFonts w:ascii="Arial" w:hAnsi="Arial"/>
        <w:b/>
        <w:color w:val="FFFFFF"/>
        <w:sz w:val="22"/>
      </w:rPr>
      <w:tcPr>
        <w:shd w:val="clear" w:color="8064A2" w:fill="8064A2"/>
      </w:tcPr>
    </w:tblStylePr>
    <w:tblStylePr w:type="band1Vert">
      <w:tcPr>
        <w:shd w:val="clear" w:color="C4B7D4" w:fill="C4B7D4"/>
      </w:tcPr>
    </w:tblStylePr>
    <w:tblStylePr w:type="band1Horz">
      <w:tcPr>
        <w:shd w:val="clear" w:color="C4B7D4" w:fill="C4B7D4"/>
      </w:tcPr>
    </w:tblStylePr>
  </w:style>
  <w:style w:type="table" w:customStyle="1" w:styleId="1643">
    <w:name w:val="Grid Table 5 Dark - Accent 58"/>
    <w:basedOn w:val="13"/>
    <w:uiPriority w:val="99"/>
    <w:rPr>
      <w:sz w:val="22"/>
      <w:szCs w:val="22"/>
      <w:lang w:eastAsia="en-US"/>
    </w:rPr>
    <w:tblPr>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CellMar>
        <w:top w:w="0" w:type="dxa"/>
        <w:left w:w="108" w:type="dxa"/>
        <w:bottom w:w="0" w:type="dxa"/>
        <w:right w:w="108" w:type="dxa"/>
      </w:tblCellMar>
    </w:tblPr>
    <w:tblStylePr w:type="firstRow">
      <w:rPr>
        <w:rFonts w:ascii="Arial" w:hAnsi="Arial"/>
        <w:b/>
        <w:color w:val="FFFFFF"/>
        <w:sz w:val="22"/>
      </w:rPr>
      <w:tcPr>
        <w:shd w:val="clear" w:color="4BACC6" w:fill="4BACC6"/>
      </w:tcPr>
    </w:tblStylePr>
    <w:tblStylePr w:type="lastRow">
      <w:rPr>
        <w:rFonts w:ascii="Arial" w:hAnsi="Arial"/>
        <w:b/>
        <w:color w:val="FFFFFF"/>
        <w:sz w:val="22"/>
      </w:rPr>
      <w:tcPr>
        <w:tcBorders>
          <w:top w:val="single" w:color="FFFFFF" w:sz="4" w:space="0"/>
        </w:tcBorders>
        <w:shd w:val="clear" w:color="4BACC6" w:fill="4BACC6"/>
      </w:tcPr>
    </w:tblStylePr>
    <w:tblStylePr w:type="firstCol">
      <w:rPr>
        <w:rFonts w:ascii="Arial" w:hAnsi="Arial"/>
        <w:b/>
        <w:color w:val="FFFFFF"/>
        <w:sz w:val="22"/>
      </w:rPr>
      <w:tcPr>
        <w:shd w:val="clear" w:color="4BACC6" w:fill="4BACC6"/>
      </w:tcPr>
    </w:tblStylePr>
    <w:tblStylePr w:type="lastCol">
      <w:rPr>
        <w:rFonts w:ascii="Arial" w:hAnsi="Arial"/>
        <w:b/>
        <w:color w:val="FFFFFF"/>
        <w:sz w:val="22"/>
      </w:rPr>
      <w:tcPr>
        <w:shd w:val="clear" w:color="4BACC6" w:fill="4BACC6"/>
      </w:tcPr>
    </w:tblStylePr>
    <w:tblStylePr w:type="band1Vert">
      <w:tcPr>
        <w:shd w:val="clear" w:color="ACD8E4" w:fill="ACD8E4"/>
      </w:tcPr>
    </w:tblStylePr>
    <w:tblStylePr w:type="band1Horz">
      <w:tcPr>
        <w:shd w:val="clear" w:color="ACD8E4" w:fill="ACD8E4"/>
      </w:tcPr>
    </w:tblStylePr>
  </w:style>
  <w:style w:type="table" w:customStyle="1" w:styleId="1644">
    <w:name w:val="Grid Table 5 Dark - Accent 68"/>
    <w:basedOn w:val="13"/>
    <w:uiPriority w:val="99"/>
    <w:rPr>
      <w:sz w:val="22"/>
      <w:szCs w:val="22"/>
      <w:lang w:eastAsia="en-US"/>
    </w:rPr>
    <w:tblPr>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CellMar>
        <w:top w:w="0" w:type="dxa"/>
        <w:left w:w="108" w:type="dxa"/>
        <w:bottom w:w="0" w:type="dxa"/>
        <w:right w:w="108" w:type="dxa"/>
      </w:tblCellMar>
    </w:tblPr>
    <w:tblStylePr w:type="firstRow">
      <w:rPr>
        <w:rFonts w:ascii="Arial" w:hAnsi="Arial"/>
        <w:b/>
        <w:color w:val="FFFFFF"/>
        <w:sz w:val="22"/>
      </w:rPr>
      <w:tcPr>
        <w:shd w:val="clear" w:color="F79646" w:fill="F79646"/>
      </w:tcPr>
    </w:tblStylePr>
    <w:tblStylePr w:type="lastRow">
      <w:rPr>
        <w:rFonts w:ascii="Arial" w:hAnsi="Arial"/>
        <w:b/>
        <w:color w:val="FFFFFF"/>
        <w:sz w:val="22"/>
      </w:rPr>
      <w:tcPr>
        <w:tcBorders>
          <w:top w:val="single" w:color="FFFFFF" w:sz="4" w:space="0"/>
        </w:tcBorders>
        <w:shd w:val="clear" w:color="F79646" w:fill="F79646"/>
      </w:tcPr>
    </w:tblStylePr>
    <w:tblStylePr w:type="firstCol">
      <w:rPr>
        <w:rFonts w:ascii="Arial" w:hAnsi="Arial"/>
        <w:b/>
        <w:color w:val="FFFFFF"/>
        <w:sz w:val="22"/>
      </w:rPr>
      <w:tcPr>
        <w:shd w:val="clear" w:color="F79646" w:fill="F79646"/>
      </w:tcPr>
    </w:tblStylePr>
    <w:tblStylePr w:type="lastCol">
      <w:rPr>
        <w:rFonts w:ascii="Arial" w:hAnsi="Arial"/>
        <w:b/>
        <w:color w:val="FFFFFF"/>
        <w:sz w:val="22"/>
      </w:rPr>
      <w:tcPr>
        <w:shd w:val="clear" w:color="F79646" w:fill="F79646"/>
      </w:tcPr>
    </w:tblStylePr>
    <w:tblStylePr w:type="band1Vert">
      <w:tcPr>
        <w:shd w:val="clear" w:color="FBCEAA" w:fill="FBCEAA"/>
      </w:tcPr>
    </w:tblStylePr>
    <w:tblStylePr w:type="band1Horz">
      <w:tcPr>
        <w:shd w:val="clear" w:color="FBCEAA" w:fill="FBCEAA"/>
      </w:tcPr>
    </w:tblStylePr>
  </w:style>
  <w:style w:type="table" w:customStyle="1" w:styleId="1645">
    <w:name w:val="Таблица-сетка 6 цветная16"/>
    <w:basedOn w:val="13"/>
    <w:uiPriority w:val="99"/>
    <w:rPr>
      <w:sz w:val="22"/>
      <w:szCs w:val="22"/>
      <w:lang w:eastAsia="en-US"/>
    </w:rPr>
    <w:tblPr>
      <w:tblBorders>
        <w:top w:val="single" w:color="7F7F7F" w:sz="4" w:space="0"/>
        <w:left w:val="single" w:color="7F7F7F" w:sz="4" w:space="0"/>
        <w:bottom w:val="single" w:color="7F7F7F" w:sz="4" w:space="0"/>
        <w:right w:val="single" w:color="7F7F7F" w:sz="4" w:space="0"/>
        <w:insideH w:val="single" w:color="7F7F7F" w:sz="4" w:space="0"/>
        <w:insideV w:val="single" w:color="7F7F7F" w:sz="4" w:space="0"/>
      </w:tblBorders>
      <w:tblCellMar>
        <w:top w:w="0" w:type="dxa"/>
        <w:left w:w="108" w:type="dxa"/>
        <w:bottom w:w="0" w:type="dxa"/>
        <w:right w:w="108" w:type="dxa"/>
      </w:tblCellMar>
    </w:tblPr>
    <w:tblStylePr w:type="firstRow">
      <w:rPr>
        <w:b/>
        <w:color w:val="7F7F7F"/>
      </w:rPr>
      <w:tcPr>
        <w:tcBorders>
          <w:bottom w:val="single" w:color="7F7F7F" w:sz="12" w:space="0"/>
        </w:tcBorders>
      </w:tcPr>
    </w:tblStylePr>
    <w:tblStylePr w:type="lastRow">
      <w:rPr>
        <w:b/>
        <w:color w:val="7F7F7F"/>
      </w:rPr>
    </w:tblStylePr>
    <w:tblStylePr w:type="firstCol">
      <w:rPr>
        <w:b/>
        <w:color w:val="7F7F7F"/>
      </w:rPr>
    </w:tblStylePr>
    <w:tblStylePr w:type="lastCol">
      <w:rPr>
        <w:b/>
        <w:color w:val="7F7F7F"/>
      </w:rPr>
    </w:tblStylePr>
    <w:tblStylePr w:type="band1Vert">
      <w:tcPr>
        <w:shd w:val="clear" w:color="CBCBCB" w:fill="CBCBCB"/>
      </w:tcPr>
    </w:tblStylePr>
    <w:tblStylePr w:type="band1Horz">
      <w:rPr>
        <w:rFonts w:ascii="Arial" w:hAnsi="Arial"/>
        <w:color w:val="7F7F7F"/>
        <w:sz w:val="22"/>
      </w:rPr>
      <w:tcPr>
        <w:shd w:val="clear" w:color="CBCBCB" w:fill="CBCBCB"/>
      </w:tcPr>
    </w:tblStylePr>
    <w:tblStylePr w:type="band2Horz">
      <w:rPr>
        <w:rFonts w:ascii="Arial" w:hAnsi="Arial"/>
        <w:color w:val="7F7F7F"/>
        <w:sz w:val="22"/>
      </w:rPr>
    </w:tblStylePr>
  </w:style>
  <w:style w:type="table" w:customStyle="1" w:styleId="1646">
    <w:name w:val="Grid Table 6 Colorful - Accent 18"/>
    <w:basedOn w:val="13"/>
    <w:uiPriority w:val="99"/>
    <w:rPr>
      <w:sz w:val="22"/>
      <w:szCs w:val="22"/>
      <w:lang w:eastAsia="en-US"/>
    </w:rPr>
    <w:tblPr>
      <w:tblBorders>
        <w:top w:val="single" w:color="A6BFDD" w:sz="4" w:space="0"/>
        <w:left w:val="single" w:color="A6BFDD" w:sz="4" w:space="0"/>
        <w:bottom w:val="single" w:color="A6BFDD" w:sz="4" w:space="0"/>
        <w:right w:val="single" w:color="A6BFDD" w:sz="4" w:space="0"/>
        <w:insideH w:val="single" w:color="A6BFDD" w:sz="4" w:space="0"/>
        <w:insideV w:val="single" w:color="A6BFDD" w:sz="4" w:space="0"/>
      </w:tblBorders>
      <w:tblCellMar>
        <w:top w:w="0" w:type="dxa"/>
        <w:left w:w="108" w:type="dxa"/>
        <w:bottom w:w="0" w:type="dxa"/>
        <w:right w:w="108" w:type="dxa"/>
      </w:tblCellMar>
    </w:tblPr>
    <w:tblStylePr w:type="firstRow">
      <w:rPr>
        <w:b/>
        <w:color w:val="A6BFDD"/>
      </w:rPr>
      <w:tcPr>
        <w:tcBorders>
          <w:bottom w:val="single" w:color="A6BFDD" w:sz="12" w:space="0"/>
        </w:tcBorders>
      </w:tcPr>
    </w:tblStylePr>
    <w:tblStylePr w:type="lastRow">
      <w:rPr>
        <w:b/>
        <w:color w:val="A6BFDD"/>
      </w:rPr>
    </w:tblStylePr>
    <w:tblStylePr w:type="firstCol">
      <w:rPr>
        <w:b/>
        <w:color w:val="A6BFDD"/>
      </w:rPr>
    </w:tblStylePr>
    <w:tblStylePr w:type="lastCol">
      <w:rPr>
        <w:b/>
        <w:color w:val="A6BFDD"/>
      </w:rPr>
    </w:tblStylePr>
    <w:tblStylePr w:type="band1Vert">
      <w:tcPr>
        <w:shd w:val="clear" w:color="DAE5F1" w:fill="DAE5F1"/>
      </w:tcPr>
    </w:tblStylePr>
    <w:tblStylePr w:type="band1Horz">
      <w:rPr>
        <w:rFonts w:ascii="Arial" w:hAnsi="Arial"/>
        <w:color w:val="A6BFDD"/>
        <w:sz w:val="22"/>
      </w:rPr>
      <w:tcPr>
        <w:shd w:val="clear" w:color="DAE5F1" w:fill="DAE5F1"/>
      </w:tcPr>
    </w:tblStylePr>
    <w:tblStylePr w:type="band2Horz">
      <w:rPr>
        <w:rFonts w:ascii="Arial" w:hAnsi="Arial"/>
        <w:color w:val="A6BFDD"/>
        <w:sz w:val="22"/>
      </w:rPr>
    </w:tblStylePr>
  </w:style>
  <w:style w:type="table" w:customStyle="1" w:styleId="1647">
    <w:name w:val="Grid Table 6 Colorful - Accent 28"/>
    <w:basedOn w:val="13"/>
    <w:uiPriority w:val="99"/>
    <w:rPr>
      <w:sz w:val="22"/>
      <w:szCs w:val="22"/>
      <w:lang w:eastAsia="en-US"/>
    </w:rPr>
    <w:tblPr>
      <w:tblBorders>
        <w:top w:val="single" w:color="D99695" w:sz="4" w:space="0"/>
        <w:left w:val="single" w:color="D99695" w:sz="4" w:space="0"/>
        <w:bottom w:val="single" w:color="D99695" w:sz="4" w:space="0"/>
        <w:right w:val="single" w:color="D99695" w:sz="4" w:space="0"/>
        <w:insideH w:val="single" w:color="D99695" w:sz="4" w:space="0"/>
        <w:insideV w:val="single" w:color="D99695" w:sz="4" w:space="0"/>
      </w:tblBorders>
      <w:tblCellMar>
        <w:top w:w="0" w:type="dxa"/>
        <w:left w:w="108" w:type="dxa"/>
        <w:bottom w:w="0" w:type="dxa"/>
        <w:right w:w="108" w:type="dxa"/>
      </w:tblCellMar>
    </w:tblPr>
    <w:tblStylePr w:type="firstRow">
      <w:rPr>
        <w:b/>
        <w:color w:val="D99695"/>
      </w:rPr>
      <w:tcPr>
        <w:tcBorders>
          <w:bottom w:val="single" w:color="D99695" w:sz="12" w:space="0"/>
        </w:tcBorders>
      </w:tcPr>
    </w:tblStylePr>
    <w:tblStylePr w:type="lastRow">
      <w:rPr>
        <w:b/>
        <w:color w:val="D99695"/>
      </w:rPr>
    </w:tblStylePr>
    <w:tblStylePr w:type="firstCol">
      <w:rPr>
        <w:b/>
        <w:color w:val="D99695"/>
      </w:rPr>
    </w:tblStylePr>
    <w:tblStylePr w:type="lastCol">
      <w:rPr>
        <w:b/>
        <w:color w:val="D99695"/>
      </w:rPr>
    </w:tblStylePr>
    <w:tblStylePr w:type="band1Vert">
      <w:tcPr>
        <w:shd w:val="clear" w:color="F2DCDC" w:fill="F2DCDC"/>
      </w:tcPr>
    </w:tblStylePr>
    <w:tblStylePr w:type="band1Horz">
      <w:rPr>
        <w:rFonts w:ascii="Arial" w:hAnsi="Arial"/>
        <w:color w:val="D99695"/>
        <w:sz w:val="22"/>
      </w:rPr>
      <w:tcPr>
        <w:shd w:val="clear" w:color="F2DCDC" w:fill="F2DCDC"/>
      </w:tcPr>
    </w:tblStylePr>
    <w:tblStylePr w:type="band2Horz">
      <w:rPr>
        <w:rFonts w:ascii="Arial" w:hAnsi="Arial"/>
        <w:color w:val="D99695"/>
        <w:sz w:val="22"/>
      </w:rPr>
    </w:tblStylePr>
  </w:style>
  <w:style w:type="table" w:customStyle="1" w:styleId="1648">
    <w:name w:val="Grid Table 6 Colorful - Accent 38"/>
    <w:basedOn w:val="13"/>
    <w:uiPriority w:val="99"/>
    <w:rPr>
      <w:sz w:val="22"/>
      <w:szCs w:val="22"/>
      <w:lang w:eastAsia="en-US"/>
    </w:rPr>
    <w:tblPr>
      <w:tblBorders>
        <w:top w:val="single" w:color="9ABB59" w:sz="4" w:space="0"/>
        <w:left w:val="single" w:color="9ABB59" w:sz="4" w:space="0"/>
        <w:bottom w:val="single" w:color="9ABB59" w:sz="4" w:space="0"/>
        <w:right w:val="single" w:color="9ABB59" w:sz="4" w:space="0"/>
        <w:insideH w:val="single" w:color="9ABB59" w:sz="4" w:space="0"/>
        <w:insideV w:val="single" w:color="9ABB59" w:sz="4" w:space="0"/>
      </w:tblBorders>
      <w:tblCellMar>
        <w:top w:w="0" w:type="dxa"/>
        <w:left w:w="108" w:type="dxa"/>
        <w:bottom w:w="0" w:type="dxa"/>
        <w:right w:w="108" w:type="dxa"/>
      </w:tblCellMar>
    </w:tblPr>
    <w:tblStylePr w:type="firstRow">
      <w:rPr>
        <w:b/>
        <w:color w:val="9ABB59"/>
      </w:rPr>
      <w:tcPr>
        <w:tcBorders>
          <w:bottom w:val="single" w:color="9ABB59" w:sz="12" w:space="0"/>
        </w:tcBorders>
      </w:tcPr>
    </w:tblStylePr>
    <w:tblStylePr w:type="lastRow">
      <w:rPr>
        <w:b/>
        <w:color w:val="9ABB59"/>
      </w:rPr>
    </w:tblStylePr>
    <w:tblStylePr w:type="firstCol">
      <w:rPr>
        <w:b/>
        <w:color w:val="9ABB59"/>
      </w:rPr>
    </w:tblStylePr>
    <w:tblStylePr w:type="lastCol">
      <w:rPr>
        <w:b/>
        <w:color w:val="9ABB59"/>
      </w:rPr>
    </w:tblStylePr>
    <w:tblStylePr w:type="band1Vert">
      <w:tcPr>
        <w:shd w:val="clear" w:color="EAF1DC" w:fill="EAF1DC"/>
      </w:tcPr>
    </w:tblStylePr>
    <w:tblStylePr w:type="band1Horz">
      <w:rPr>
        <w:rFonts w:ascii="Arial" w:hAnsi="Arial"/>
        <w:color w:val="9ABB59"/>
        <w:sz w:val="22"/>
      </w:rPr>
      <w:tcPr>
        <w:shd w:val="clear" w:color="EAF1DC" w:fill="EAF1DC"/>
      </w:tcPr>
    </w:tblStylePr>
    <w:tblStylePr w:type="band2Horz">
      <w:rPr>
        <w:rFonts w:ascii="Arial" w:hAnsi="Arial"/>
        <w:color w:val="9ABB59"/>
        <w:sz w:val="22"/>
      </w:rPr>
    </w:tblStylePr>
  </w:style>
  <w:style w:type="table" w:customStyle="1" w:styleId="1649">
    <w:name w:val="Grid Table 6 Colorful - Accent 48"/>
    <w:basedOn w:val="13"/>
    <w:uiPriority w:val="99"/>
    <w:rPr>
      <w:sz w:val="22"/>
      <w:szCs w:val="22"/>
      <w:lang w:eastAsia="en-US"/>
    </w:rPr>
    <w:tblPr>
      <w:tblBorders>
        <w:top w:val="single" w:color="B2A1C6" w:sz="4" w:space="0"/>
        <w:left w:val="single" w:color="B2A1C6" w:sz="4" w:space="0"/>
        <w:bottom w:val="single" w:color="B2A1C6" w:sz="4" w:space="0"/>
        <w:right w:val="single" w:color="B2A1C6" w:sz="4" w:space="0"/>
        <w:insideH w:val="single" w:color="B2A1C6" w:sz="4" w:space="0"/>
        <w:insideV w:val="single" w:color="B2A1C6" w:sz="4" w:space="0"/>
      </w:tblBorders>
      <w:tblCellMar>
        <w:top w:w="0" w:type="dxa"/>
        <w:left w:w="108" w:type="dxa"/>
        <w:bottom w:w="0" w:type="dxa"/>
        <w:right w:w="108" w:type="dxa"/>
      </w:tblCellMar>
    </w:tblPr>
    <w:tblStylePr w:type="firstRow">
      <w:rPr>
        <w:b/>
        <w:color w:val="B2A1C6"/>
      </w:rPr>
      <w:tcPr>
        <w:tcBorders>
          <w:bottom w:val="single" w:color="B2A1C6" w:sz="12" w:space="0"/>
        </w:tcBorders>
      </w:tcPr>
    </w:tblStylePr>
    <w:tblStylePr w:type="lastRow">
      <w:rPr>
        <w:b/>
        <w:color w:val="B2A1C6"/>
      </w:rPr>
    </w:tblStylePr>
    <w:tblStylePr w:type="firstCol">
      <w:rPr>
        <w:b/>
        <w:color w:val="B2A1C6"/>
      </w:rPr>
    </w:tblStylePr>
    <w:tblStylePr w:type="lastCol">
      <w:rPr>
        <w:b/>
        <w:color w:val="B2A1C6"/>
      </w:rPr>
    </w:tblStylePr>
    <w:tblStylePr w:type="band1Vert">
      <w:tcPr>
        <w:shd w:val="clear" w:color="E5DFEC" w:fill="E5DFEC"/>
      </w:tcPr>
    </w:tblStylePr>
    <w:tblStylePr w:type="band1Horz">
      <w:rPr>
        <w:rFonts w:ascii="Arial" w:hAnsi="Arial"/>
        <w:color w:val="B2A1C6"/>
        <w:sz w:val="22"/>
      </w:rPr>
      <w:tcPr>
        <w:shd w:val="clear" w:color="E5DFEC" w:fill="E5DFEC"/>
      </w:tcPr>
    </w:tblStylePr>
    <w:tblStylePr w:type="band2Horz">
      <w:rPr>
        <w:rFonts w:ascii="Arial" w:hAnsi="Arial"/>
        <w:color w:val="B2A1C6"/>
        <w:sz w:val="22"/>
      </w:rPr>
    </w:tblStylePr>
  </w:style>
  <w:style w:type="table" w:customStyle="1" w:styleId="1650">
    <w:name w:val="Grid Table 6 Colorful - Accent 58"/>
    <w:basedOn w:val="13"/>
    <w:uiPriority w:val="99"/>
    <w:rPr>
      <w:sz w:val="22"/>
      <w:szCs w:val="22"/>
      <w:lang w:eastAsia="en-US"/>
    </w:rPr>
    <w:tblPr>
      <w:tblBorders>
        <w:top w:val="single" w:color="4BACC6" w:sz="4" w:space="0"/>
        <w:left w:val="single" w:color="4BACC6" w:sz="4" w:space="0"/>
        <w:bottom w:val="single" w:color="4BACC6" w:sz="4" w:space="0"/>
        <w:right w:val="single" w:color="4BACC6" w:sz="4" w:space="0"/>
        <w:insideH w:val="single" w:color="4BACC6" w:sz="4" w:space="0"/>
        <w:insideV w:val="single" w:color="4BACC6" w:sz="4" w:space="0"/>
      </w:tblBorders>
      <w:tblCellMar>
        <w:top w:w="0" w:type="dxa"/>
        <w:left w:w="108" w:type="dxa"/>
        <w:bottom w:w="0" w:type="dxa"/>
        <w:right w:w="108" w:type="dxa"/>
      </w:tblCellMar>
    </w:tblPr>
    <w:tblStylePr w:type="firstRow">
      <w:rPr>
        <w:b/>
        <w:color w:val="266779"/>
      </w:rPr>
      <w:tcPr>
        <w:tcBorders>
          <w:bottom w:val="single" w:color="4BACC6" w:sz="12" w:space="0"/>
        </w:tcBorders>
      </w:tcPr>
    </w:tblStylePr>
    <w:tblStylePr w:type="lastRow">
      <w:rPr>
        <w:b/>
        <w:color w:val="266779"/>
      </w:rPr>
    </w:tblStylePr>
    <w:tblStylePr w:type="firstCol">
      <w:rPr>
        <w:b/>
        <w:color w:val="266779"/>
      </w:rPr>
    </w:tblStylePr>
    <w:tblStylePr w:type="lastCol">
      <w:rPr>
        <w:b/>
        <w:color w:val="266779"/>
      </w:rPr>
    </w:tblStylePr>
    <w:tblStylePr w:type="band1Vert">
      <w:tcPr>
        <w:shd w:val="clear" w:color="DAEEF3" w:fill="DAEEF3"/>
      </w:tcPr>
    </w:tblStylePr>
    <w:tblStylePr w:type="band1Horz">
      <w:rPr>
        <w:rFonts w:ascii="Arial" w:hAnsi="Arial"/>
        <w:color w:val="266779"/>
        <w:sz w:val="22"/>
      </w:rPr>
      <w:tcPr>
        <w:shd w:val="clear" w:color="DAEEF3" w:fill="DAEEF3"/>
      </w:tcPr>
    </w:tblStylePr>
    <w:tblStylePr w:type="band2Horz">
      <w:rPr>
        <w:rFonts w:ascii="Arial" w:hAnsi="Arial"/>
        <w:color w:val="266779"/>
        <w:sz w:val="22"/>
      </w:rPr>
    </w:tblStylePr>
  </w:style>
  <w:style w:type="table" w:customStyle="1" w:styleId="1651">
    <w:name w:val="Grid Table 6 Colorful - Accent 68"/>
    <w:basedOn w:val="13"/>
    <w:uiPriority w:val="99"/>
    <w:rPr>
      <w:sz w:val="22"/>
      <w:szCs w:val="22"/>
      <w:lang w:eastAsia="en-US"/>
    </w:rPr>
    <w:tblPr>
      <w:tblBorders>
        <w:top w:val="single" w:color="F79646" w:sz="4" w:space="0"/>
        <w:left w:val="single" w:color="F79646" w:sz="4" w:space="0"/>
        <w:bottom w:val="single" w:color="F79646" w:sz="4" w:space="0"/>
        <w:right w:val="single" w:color="F79646" w:sz="4" w:space="0"/>
        <w:insideH w:val="single" w:color="F79646" w:sz="4" w:space="0"/>
        <w:insideV w:val="single" w:color="F79646" w:sz="4" w:space="0"/>
      </w:tblBorders>
      <w:tblCellMar>
        <w:top w:w="0" w:type="dxa"/>
        <w:left w:w="108" w:type="dxa"/>
        <w:bottom w:w="0" w:type="dxa"/>
        <w:right w:w="108" w:type="dxa"/>
      </w:tblCellMar>
    </w:tblPr>
    <w:tblStylePr w:type="firstRow">
      <w:rPr>
        <w:b/>
        <w:color w:val="266779"/>
      </w:rPr>
      <w:tcPr>
        <w:tcBorders>
          <w:bottom w:val="single" w:color="F79646" w:sz="12" w:space="0"/>
        </w:tcBorders>
      </w:tcPr>
    </w:tblStylePr>
    <w:tblStylePr w:type="lastRow">
      <w:rPr>
        <w:b/>
        <w:color w:val="266779"/>
      </w:rPr>
    </w:tblStylePr>
    <w:tblStylePr w:type="firstCol">
      <w:rPr>
        <w:b/>
        <w:color w:val="266779"/>
      </w:rPr>
    </w:tblStylePr>
    <w:tblStylePr w:type="lastCol">
      <w:rPr>
        <w:b/>
        <w:color w:val="266779"/>
      </w:rPr>
    </w:tblStylePr>
    <w:tblStylePr w:type="band1Vert">
      <w:tcPr>
        <w:shd w:val="clear" w:color="FDE9D8" w:fill="FDE9D8"/>
      </w:tcPr>
    </w:tblStylePr>
    <w:tblStylePr w:type="band1Horz">
      <w:rPr>
        <w:rFonts w:ascii="Arial" w:hAnsi="Arial"/>
        <w:color w:val="266779"/>
        <w:sz w:val="22"/>
      </w:rPr>
      <w:tcPr>
        <w:shd w:val="clear" w:color="FDE9D8" w:fill="FDE9D8"/>
      </w:tcPr>
    </w:tblStylePr>
    <w:tblStylePr w:type="band2Horz">
      <w:rPr>
        <w:rFonts w:ascii="Arial" w:hAnsi="Arial"/>
        <w:color w:val="266779"/>
        <w:sz w:val="22"/>
      </w:rPr>
    </w:tblStylePr>
  </w:style>
  <w:style w:type="table" w:customStyle="1" w:styleId="1652">
    <w:name w:val="Таблица-сетка 7 цветная16"/>
    <w:basedOn w:val="13"/>
    <w:uiPriority w:val="99"/>
    <w:rPr>
      <w:sz w:val="22"/>
      <w:szCs w:val="22"/>
      <w:lang w:eastAsia="en-US"/>
    </w:rPr>
    <w:tblPr>
      <w:tblBorders>
        <w:bottom w:val="single" w:color="7F7F7F" w:sz="4" w:space="0"/>
        <w:right w:val="single" w:color="7F7F7F" w:sz="4" w:space="0"/>
        <w:insideH w:val="single" w:color="7F7F7F" w:sz="4" w:space="0"/>
        <w:insideV w:val="single" w:color="7F7F7F" w:sz="4" w:space="0"/>
      </w:tblBorders>
      <w:tblCellMar>
        <w:top w:w="0" w:type="dxa"/>
        <w:left w:w="108" w:type="dxa"/>
        <w:bottom w:w="0" w:type="dxa"/>
        <w:right w:w="108" w:type="dxa"/>
      </w:tblCellMar>
    </w:tblPr>
    <w:tblStylePr w:type="firstRow">
      <w:rPr>
        <w:rFonts w:ascii="Arial" w:hAnsi="Arial"/>
        <w:b/>
        <w:color w:val="7F7F7F"/>
        <w:sz w:val="22"/>
      </w:rPr>
      <w:tcPr>
        <w:tcBorders>
          <w:top w:val="nil"/>
          <w:left w:val="nil"/>
          <w:bottom w:val="single" w:color="7F7F7F" w:sz="4" w:space="0"/>
          <w:right w:val="nil"/>
        </w:tcBorders>
        <w:shd w:val="clear" w:color="FFFFFF" w:fill="FFFFFF"/>
      </w:tcPr>
    </w:tblStylePr>
    <w:tblStylePr w:type="lastRow">
      <w:rPr>
        <w:rFonts w:ascii="Arial" w:hAnsi="Arial"/>
        <w:b/>
        <w:color w:val="7F7F7F"/>
        <w:sz w:val="22"/>
      </w:rPr>
      <w:tcPr>
        <w:tcBorders>
          <w:top w:val="single" w:color="7F7F7F" w:sz="4" w:space="0"/>
          <w:left w:val="nil"/>
          <w:bottom w:val="nil"/>
          <w:right w:val="nil"/>
        </w:tcBorders>
        <w:shd w:val="clear" w:color="FFFFFF" w:fill="FFFFFF"/>
      </w:tcPr>
    </w:tblStylePr>
    <w:tblStylePr w:type="firstCol">
      <w:pPr>
        <w:jc w:val="right"/>
      </w:pPr>
      <w:rPr>
        <w:rFonts w:ascii="Arial" w:hAnsi="Arial"/>
        <w:i/>
        <w:color w:val="7F7F7F"/>
        <w:sz w:val="22"/>
      </w:rPr>
      <w:tcPr>
        <w:tcBorders>
          <w:top w:val="nil"/>
          <w:left w:val="nil"/>
          <w:bottom w:val="nil"/>
          <w:right w:val="single" w:color="7F7F7F" w:sz="4" w:space="0"/>
        </w:tcBorders>
        <w:shd w:val="clear" w:color="FFFFFF" w:fill="auto"/>
      </w:tcPr>
    </w:tblStylePr>
    <w:tblStylePr w:type="lastCol">
      <w:rPr>
        <w:rFonts w:ascii="Arial" w:hAnsi="Arial"/>
        <w:i/>
        <w:color w:val="7F7F7F"/>
        <w:sz w:val="22"/>
      </w:rPr>
      <w:tcPr>
        <w:tcBorders>
          <w:top w:val="nil"/>
          <w:left w:val="single" w:color="7F7F7F" w:sz="4" w:space="0"/>
          <w:bottom w:val="nil"/>
          <w:right w:val="nil"/>
        </w:tcBorders>
        <w:shd w:val="clear" w:color="FFFFFF" w:fill="auto"/>
      </w:tcPr>
    </w:tblStylePr>
    <w:tblStylePr w:type="band1Vert">
      <w:tcPr>
        <w:shd w:val="clear" w:color="F2F2F2" w:fill="F2F2F2"/>
      </w:tcPr>
    </w:tblStylePr>
    <w:tblStylePr w:type="band1Horz">
      <w:rPr>
        <w:rFonts w:ascii="Arial" w:hAnsi="Arial"/>
        <w:color w:val="7F7F7F"/>
        <w:sz w:val="22"/>
      </w:rPr>
      <w:tcPr>
        <w:shd w:val="clear" w:color="F2F2F2" w:fill="F2F2F2"/>
      </w:tcPr>
    </w:tblStylePr>
    <w:tblStylePr w:type="band2Horz">
      <w:rPr>
        <w:rFonts w:ascii="Arial" w:hAnsi="Arial"/>
        <w:color w:val="7F7F7F"/>
        <w:sz w:val="22"/>
      </w:rPr>
    </w:tblStylePr>
  </w:style>
  <w:style w:type="table" w:customStyle="1" w:styleId="1653">
    <w:name w:val="Grid Table 7 Colorful - Accent 18"/>
    <w:basedOn w:val="13"/>
    <w:uiPriority w:val="99"/>
    <w:rPr>
      <w:sz w:val="22"/>
      <w:szCs w:val="22"/>
      <w:lang w:eastAsia="en-US"/>
    </w:rPr>
    <w:tblPr>
      <w:tblBorders>
        <w:bottom w:val="single" w:color="A6BFDD" w:sz="4" w:space="0"/>
        <w:right w:val="single" w:color="A6BFDD" w:sz="4" w:space="0"/>
        <w:insideH w:val="single" w:color="A6BFDD" w:sz="4" w:space="0"/>
        <w:insideV w:val="single" w:color="A6BFDD" w:sz="4" w:space="0"/>
      </w:tblBorders>
      <w:tblCellMar>
        <w:top w:w="0" w:type="dxa"/>
        <w:left w:w="108" w:type="dxa"/>
        <w:bottom w:w="0" w:type="dxa"/>
        <w:right w:w="108" w:type="dxa"/>
      </w:tblCellMar>
    </w:tblPr>
    <w:tblStylePr w:type="firstRow">
      <w:rPr>
        <w:rFonts w:ascii="Arial" w:hAnsi="Arial"/>
        <w:b/>
        <w:color w:val="A6BFDD"/>
        <w:sz w:val="22"/>
      </w:rPr>
      <w:tcPr>
        <w:tcBorders>
          <w:top w:val="nil"/>
          <w:left w:val="nil"/>
          <w:bottom w:val="single" w:color="A6BFDD" w:sz="4" w:space="0"/>
          <w:right w:val="nil"/>
        </w:tcBorders>
        <w:shd w:val="clear" w:color="FFFFFF" w:fill="FFFFFF"/>
      </w:tcPr>
    </w:tblStylePr>
    <w:tblStylePr w:type="lastRow">
      <w:rPr>
        <w:rFonts w:ascii="Arial" w:hAnsi="Arial"/>
        <w:b/>
        <w:color w:val="A6BFDD"/>
        <w:sz w:val="22"/>
      </w:rPr>
      <w:tcPr>
        <w:tcBorders>
          <w:top w:val="single" w:color="A6BFDD" w:sz="4" w:space="0"/>
          <w:left w:val="nil"/>
          <w:bottom w:val="nil"/>
          <w:right w:val="nil"/>
        </w:tcBorders>
        <w:shd w:val="clear" w:color="FFFFFF" w:fill="FFFFFF"/>
      </w:tcPr>
    </w:tblStylePr>
    <w:tblStylePr w:type="firstCol">
      <w:pPr>
        <w:jc w:val="right"/>
      </w:pPr>
      <w:rPr>
        <w:rFonts w:ascii="Arial" w:hAnsi="Arial"/>
        <w:i/>
        <w:color w:val="A6BFDD"/>
        <w:sz w:val="22"/>
      </w:rPr>
      <w:tcPr>
        <w:tcBorders>
          <w:top w:val="nil"/>
          <w:left w:val="nil"/>
          <w:bottom w:val="nil"/>
          <w:right w:val="single" w:color="A6BFDD" w:sz="4" w:space="0"/>
        </w:tcBorders>
        <w:shd w:val="clear" w:color="FFFFFF" w:fill="auto"/>
      </w:tcPr>
    </w:tblStylePr>
    <w:tblStylePr w:type="lastCol">
      <w:rPr>
        <w:rFonts w:ascii="Arial" w:hAnsi="Arial"/>
        <w:i/>
        <w:color w:val="A6BFDD"/>
        <w:sz w:val="22"/>
      </w:rPr>
      <w:tcPr>
        <w:tcBorders>
          <w:top w:val="nil"/>
          <w:left w:val="single" w:color="A6BFDD" w:sz="4" w:space="0"/>
          <w:bottom w:val="nil"/>
          <w:right w:val="nil"/>
        </w:tcBorders>
        <w:shd w:val="clear" w:color="FFFFFF" w:fill="auto"/>
      </w:tcPr>
    </w:tblStylePr>
    <w:tblStylePr w:type="band1Vert">
      <w:tcPr>
        <w:shd w:val="clear" w:color="DAE5F1" w:fill="DAE5F1"/>
      </w:tcPr>
    </w:tblStylePr>
    <w:tblStylePr w:type="band1Horz">
      <w:rPr>
        <w:rFonts w:ascii="Arial" w:hAnsi="Arial"/>
        <w:color w:val="A6BFDD"/>
        <w:sz w:val="22"/>
      </w:rPr>
      <w:tcPr>
        <w:shd w:val="clear" w:color="DAE5F1" w:fill="DAE5F1"/>
      </w:tcPr>
    </w:tblStylePr>
    <w:tblStylePr w:type="band2Horz">
      <w:rPr>
        <w:rFonts w:ascii="Arial" w:hAnsi="Arial"/>
        <w:color w:val="A6BFDD"/>
        <w:sz w:val="22"/>
      </w:rPr>
    </w:tblStylePr>
  </w:style>
  <w:style w:type="table" w:customStyle="1" w:styleId="1654">
    <w:name w:val="Grid Table 7 Colorful - Accent 28"/>
    <w:basedOn w:val="13"/>
    <w:uiPriority w:val="99"/>
    <w:rPr>
      <w:sz w:val="22"/>
      <w:szCs w:val="22"/>
      <w:lang w:eastAsia="en-US"/>
    </w:rPr>
    <w:tblPr>
      <w:tblBorders>
        <w:bottom w:val="single" w:color="D99695" w:sz="4" w:space="0"/>
        <w:right w:val="single" w:color="D99695" w:sz="4" w:space="0"/>
        <w:insideH w:val="single" w:color="D99695" w:sz="4" w:space="0"/>
        <w:insideV w:val="single" w:color="D99695" w:sz="4" w:space="0"/>
      </w:tblBorders>
      <w:tblCellMar>
        <w:top w:w="0" w:type="dxa"/>
        <w:left w:w="108" w:type="dxa"/>
        <w:bottom w:w="0" w:type="dxa"/>
        <w:right w:w="108" w:type="dxa"/>
      </w:tblCellMar>
    </w:tblPr>
    <w:tblStylePr w:type="firstRow">
      <w:rPr>
        <w:rFonts w:ascii="Arial" w:hAnsi="Arial"/>
        <w:b/>
        <w:color w:val="D99695"/>
        <w:sz w:val="22"/>
      </w:rPr>
      <w:tcPr>
        <w:tcBorders>
          <w:top w:val="nil"/>
          <w:left w:val="nil"/>
          <w:bottom w:val="single" w:color="D99695" w:sz="4" w:space="0"/>
          <w:right w:val="nil"/>
        </w:tcBorders>
        <w:shd w:val="clear" w:color="FFFFFF" w:fill="FFFFFF"/>
      </w:tcPr>
    </w:tblStylePr>
    <w:tblStylePr w:type="lastRow">
      <w:rPr>
        <w:rFonts w:ascii="Arial" w:hAnsi="Arial"/>
        <w:b/>
        <w:color w:val="D99695"/>
        <w:sz w:val="22"/>
      </w:rPr>
      <w:tcPr>
        <w:tcBorders>
          <w:top w:val="single" w:color="D99695" w:sz="4" w:space="0"/>
          <w:left w:val="nil"/>
          <w:bottom w:val="nil"/>
          <w:right w:val="nil"/>
        </w:tcBorders>
        <w:shd w:val="clear" w:color="FFFFFF" w:fill="FFFFFF"/>
      </w:tcPr>
    </w:tblStylePr>
    <w:tblStylePr w:type="firstCol">
      <w:pPr>
        <w:jc w:val="right"/>
      </w:pPr>
      <w:rPr>
        <w:rFonts w:ascii="Arial" w:hAnsi="Arial"/>
        <w:i/>
        <w:color w:val="D99695"/>
        <w:sz w:val="22"/>
      </w:rPr>
      <w:tcPr>
        <w:tcBorders>
          <w:top w:val="nil"/>
          <w:left w:val="nil"/>
          <w:bottom w:val="nil"/>
          <w:right w:val="single" w:color="D99695" w:sz="4" w:space="0"/>
        </w:tcBorders>
        <w:shd w:val="clear" w:color="FFFFFF" w:fill="auto"/>
      </w:tcPr>
    </w:tblStylePr>
    <w:tblStylePr w:type="lastCol">
      <w:rPr>
        <w:rFonts w:ascii="Arial" w:hAnsi="Arial"/>
        <w:i/>
        <w:color w:val="D99695"/>
        <w:sz w:val="22"/>
      </w:rPr>
      <w:tcPr>
        <w:tcBorders>
          <w:top w:val="nil"/>
          <w:left w:val="single" w:color="D99695" w:sz="4" w:space="0"/>
          <w:bottom w:val="nil"/>
          <w:right w:val="nil"/>
        </w:tcBorders>
        <w:shd w:val="clear" w:color="FFFFFF" w:fill="auto"/>
      </w:tcPr>
    </w:tblStylePr>
    <w:tblStylePr w:type="band1Vert">
      <w:tcPr>
        <w:shd w:val="clear" w:color="F2DCDC" w:fill="F2DCDC"/>
      </w:tcPr>
    </w:tblStylePr>
    <w:tblStylePr w:type="band1Horz">
      <w:rPr>
        <w:rFonts w:ascii="Arial" w:hAnsi="Arial"/>
        <w:color w:val="D99695"/>
        <w:sz w:val="22"/>
      </w:rPr>
      <w:tcPr>
        <w:shd w:val="clear" w:color="F2DCDC" w:fill="F2DCDC"/>
      </w:tcPr>
    </w:tblStylePr>
    <w:tblStylePr w:type="band2Horz">
      <w:rPr>
        <w:rFonts w:ascii="Arial" w:hAnsi="Arial"/>
        <w:color w:val="D99695"/>
        <w:sz w:val="22"/>
      </w:rPr>
    </w:tblStylePr>
  </w:style>
  <w:style w:type="table" w:customStyle="1" w:styleId="1655">
    <w:name w:val="Grid Table 7 Colorful - Accent 38"/>
    <w:basedOn w:val="13"/>
    <w:uiPriority w:val="99"/>
    <w:rPr>
      <w:sz w:val="22"/>
      <w:szCs w:val="22"/>
      <w:lang w:eastAsia="en-US"/>
    </w:rPr>
    <w:tblPr>
      <w:tblBorders>
        <w:bottom w:val="single" w:color="9ABB59" w:sz="4" w:space="0"/>
        <w:right w:val="single" w:color="9ABB59" w:sz="4" w:space="0"/>
        <w:insideH w:val="single" w:color="9ABB59" w:sz="4" w:space="0"/>
        <w:insideV w:val="single" w:color="9ABB59" w:sz="4" w:space="0"/>
      </w:tblBorders>
      <w:tblCellMar>
        <w:top w:w="0" w:type="dxa"/>
        <w:left w:w="108" w:type="dxa"/>
        <w:bottom w:w="0" w:type="dxa"/>
        <w:right w:w="108" w:type="dxa"/>
      </w:tblCellMar>
    </w:tblPr>
    <w:tblStylePr w:type="firstRow">
      <w:rPr>
        <w:rFonts w:ascii="Arial" w:hAnsi="Arial"/>
        <w:b/>
        <w:color w:val="9ABB59"/>
        <w:sz w:val="22"/>
      </w:rPr>
      <w:tcPr>
        <w:tcBorders>
          <w:top w:val="nil"/>
          <w:left w:val="nil"/>
          <w:bottom w:val="single" w:color="9ABB59" w:sz="4" w:space="0"/>
          <w:right w:val="nil"/>
        </w:tcBorders>
        <w:shd w:val="clear" w:color="FFFFFF" w:fill="FFFFFF"/>
      </w:tcPr>
    </w:tblStylePr>
    <w:tblStylePr w:type="lastRow">
      <w:rPr>
        <w:rFonts w:ascii="Arial" w:hAnsi="Arial"/>
        <w:b/>
        <w:color w:val="9ABB59"/>
        <w:sz w:val="22"/>
      </w:rPr>
      <w:tcPr>
        <w:tcBorders>
          <w:top w:val="single" w:color="9ABB59" w:sz="4" w:space="0"/>
          <w:left w:val="nil"/>
          <w:bottom w:val="nil"/>
          <w:right w:val="nil"/>
        </w:tcBorders>
        <w:shd w:val="clear" w:color="FFFFFF" w:fill="FFFFFF"/>
      </w:tcPr>
    </w:tblStylePr>
    <w:tblStylePr w:type="firstCol">
      <w:pPr>
        <w:jc w:val="right"/>
      </w:pPr>
      <w:rPr>
        <w:rFonts w:ascii="Arial" w:hAnsi="Arial"/>
        <w:i/>
        <w:color w:val="9ABB59"/>
        <w:sz w:val="22"/>
      </w:rPr>
      <w:tcPr>
        <w:tcBorders>
          <w:top w:val="nil"/>
          <w:left w:val="nil"/>
          <w:bottom w:val="nil"/>
          <w:right w:val="single" w:color="9ABB59" w:sz="4" w:space="0"/>
        </w:tcBorders>
        <w:shd w:val="clear" w:color="FFFFFF" w:fill="auto"/>
      </w:tcPr>
    </w:tblStylePr>
    <w:tblStylePr w:type="lastCol">
      <w:rPr>
        <w:rFonts w:ascii="Arial" w:hAnsi="Arial"/>
        <w:i/>
        <w:color w:val="9ABB59"/>
        <w:sz w:val="22"/>
      </w:rPr>
      <w:tcPr>
        <w:tcBorders>
          <w:top w:val="nil"/>
          <w:left w:val="single" w:color="9ABB59" w:sz="4" w:space="0"/>
          <w:bottom w:val="nil"/>
          <w:right w:val="nil"/>
        </w:tcBorders>
        <w:shd w:val="clear" w:color="FFFFFF" w:fill="auto"/>
      </w:tcPr>
    </w:tblStylePr>
    <w:tblStylePr w:type="band1Vert">
      <w:tcPr>
        <w:shd w:val="clear" w:color="EAF1DC" w:fill="EAF1DC"/>
      </w:tcPr>
    </w:tblStylePr>
    <w:tblStylePr w:type="band1Horz">
      <w:rPr>
        <w:rFonts w:ascii="Arial" w:hAnsi="Arial"/>
        <w:color w:val="9ABB59"/>
        <w:sz w:val="22"/>
      </w:rPr>
      <w:tcPr>
        <w:shd w:val="clear" w:color="EAF1DC" w:fill="EAF1DC"/>
      </w:tcPr>
    </w:tblStylePr>
    <w:tblStylePr w:type="band2Horz">
      <w:rPr>
        <w:rFonts w:ascii="Arial" w:hAnsi="Arial"/>
        <w:color w:val="9ABB59"/>
        <w:sz w:val="22"/>
      </w:rPr>
    </w:tblStylePr>
  </w:style>
  <w:style w:type="table" w:customStyle="1" w:styleId="1656">
    <w:name w:val="Grid Table 7 Colorful - Accent 48"/>
    <w:basedOn w:val="13"/>
    <w:uiPriority w:val="99"/>
    <w:rPr>
      <w:sz w:val="22"/>
      <w:szCs w:val="22"/>
      <w:lang w:eastAsia="en-US"/>
    </w:rPr>
    <w:tblPr>
      <w:tblBorders>
        <w:bottom w:val="single" w:color="B2A1C6" w:sz="4" w:space="0"/>
        <w:right w:val="single" w:color="B2A1C6" w:sz="4" w:space="0"/>
        <w:insideH w:val="single" w:color="B2A1C6" w:sz="4" w:space="0"/>
        <w:insideV w:val="single" w:color="B2A1C6" w:sz="4" w:space="0"/>
      </w:tblBorders>
      <w:tblCellMar>
        <w:top w:w="0" w:type="dxa"/>
        <w:left w:w="108" w:type="dxa"/>
        <w:bottom w:w="0" w:type="dxa"/>
        <w:right w:w="108" w:type="dxa"/>
      </w:tblCellMar>
    </w:tblPr>
    <w:tblStylePr w:type="firstRow">
      <w:rPr>
        <w:rFonts w:ascii="Arial" w:hAnsi="Arial"/>
        <w:b/>
        <w:color w:val="B2A1C6"/>
        <w:sz w:val="22"/>
      </w:rPr>
      <w:tcPr>
        <w:tcBorders>
          <w:top w:val="nil"/>
          <w:left w:val="nil"/>
          <w:bottom w:val="single" w:color="B2A1C6" w:sz="4" w:space="0"/>
          <w:right w:val="nil"/>
        </w:tcBorders>
        <w:shd w:val="clear" w:color="FFFFFF" w:fill="FFFFFF"/>
      </w:tcPr>
    </w:tblStylePr>
    <w:tblStylePr w:type="lastRow">
      <w:rPr>
        <w:rFonts w:ascii="Arial" w:hAnsi="Arial"/>
        <w:b/>
        <w:color w:val="B2A1C6"/>
        <w:sz w:val="22"/>
      </w:rPr>
      <w:tcPr>
        <w:tcBorders>
          <w:top w:val="single" w:color="B2A1C6" w:sz="4" w:space="0"/>
          <w:left w:val="nil"/>
          <w:bottom w:val="nil"/>
          <w:right w:val="nil"/>
        </w:tcBorders>
        <w:shd w:val="clear" w:color="FFFFFF" w:fill="FFFFFF"/>
      </w:tcPr>
    </w:tblStylePr>
    <w:tblStylePr w:type="firstCol">
      <w:pPr>
        <w:jc w:val="right"/>
      </w:pPr>
      <w:rPr>
        <w:rFonts w:ascii="Arial" w:hAnsi="Arial"/>
        <w:i/>
        <w:color w:val="B2A1C6"/>
        <w:sz w:val="22"/>
      </w:rPr>
      <w:tcPr>
        <w:tcBorders>
          <w:top w:val="nil"/>
          <w:left w:val="nil"/>
          <w:bottom w:val="nil"/>
          <w:right w:val="single" w:color="B2A1C6" w:sz="4" w:space="0"/>
        </w:tcBorders>
        <w:shd w:val="clear" w:color="FFFFFF" w:fill="auto"/>
      </w:tcPr>
    </w:tblStylePr>
    <w:tblStylePr w:type="lastCol">
      <w:rPr>
        <w:rFonts w:ascii="Arial" w:hAnsi="Arial"/>
        <w:i/>
        <w:color w:val="B2A1C6"/>
        <w:sz w:val="22"/>
      </w:rPr>
      <w:tcPr>
        <w:tcBorders>
          <w:top w:val="nil"/>
          <w:left w:val="single" w:color="B2A1C6" w:sz="4" w:space="0"/>
          <w:bottom w:val="nil"/>
          <w:right w:val="nil"/>
        </w:tcBorders>
        <w:shd w:val="clear" w:color="FFFFFF" w:fill="auto"/>
      </w:tcPr>
    </w:tblStylePr>
    <w:tblStylePr w:type="band1Vert">
      <w:tcPr>
        <w:shd w:val="clear" w:color="E5DFEC" w:fill="E5DFEC"/>
      </w:tcPr>
    </w:tblStylePr>
    <w:tblStylePr w:type="band1Horz">
      <w:rPr>
        <w:rFonts w:ascii="Arial" w:hAnsi="Arial"/>
        <w:color w:val="B2A1C6"/>
        <w:sz w:val="22"/>
      </w:rPr>
      <w:tcPr>
        <w:shd w:val="clear" w:color="E5DFEC" w:fill="E5DFEC"/>
      </w:tcPr>
    </w:tblStylePr>
    <w:tblStylePr w:type="band2Horz">
      <w:rPr>
        <w:rFonts w:ascii="Arial" w:hAnsi="Arial"/>
        <w:color w:val="B2A1C6"/>
        <w:sz w:val="22"/>
      </w:rPr>
    </w:tblStylePr>
  </w:style>
  <w:style w:type="table" w:customStyle="1" w:styleId="1657">
    <w:name w:val="Grid Table 7 Colorful - Accent 58"/>
    <w:basedOn w:val="13"/>
    <w:uiPriority w:val="99"/>
    <w:rPr>
      <w:sz w:val="22"/>
      <w:szCs w:val="22"/>
      <w:lang w:eastAsia="en-US"/>
    </w:rPr>
    <w:tblPr>
      <w:tblBorders>
        <w:bottom w:val="single" w:color="99D0DE" w:sz="4" w:space="0"/>
        <w:right w:val="single" w:color="99D0DE" w:sz="4" w:space="0"/>
        <w:insideH w:val="single" w:color="99D0DE" w:sz="4" w:space="0"/>
        <w:insideV w:val="single" w:color="99D0DE" w:sz="4" w:space="0"/>
      </w:tblBorders>
      <w:tblCellMar>
        <w:top w:w="0" w:type="dxa"/>
        <w:left w:w="108" w:type="dxa"/>
        <w:bottom w:w="0" w:type="dxa"/>
        <w:right w:w="108" w:type="dxa"/>
      </w:tblCellMar>
    </w:tblPr>
    <w:tblStylePr w:type="firstRow">
      <w:rPr>
        <w:rFonts w:ascii="Arial" w:hAnsi="Arial"/>
        <w:b/>
        <w:color w:val="266779"/>
        <w:sz w:val="22"/>
      </w:rPr>
      <w:tcPr>
        <w:tcBorders>
          <w:top w:val="nil"/>
          <w:left w:val="nil"/>
          <w:bottom w:val="single" w:color="99D0DE" w:sz="4" w:space="0"/>
          <w:right w:val="nil"/>
        </w:tcBorders>
        <w:shd w:val="clear" w:color="FFFFFF" w:fill="FFFFFF"/>
      </w:tcPr>
    </w:tblStylePr>
    <w:tblStylePr w:type="lastRow">
      <w:rPr>
        <w:rFonts w:ascii="Arial" w:hAnsi="Arial"/>
        <w:b/>
        <w:color w:val="266779"/>
        <w:sz w:val="22"/>
      </w:rPr>
      <w:tcPr>
        <w:tcBorders>
          <w:top w:val="single" w:color="99D0DE" w:sz="4" w:space="0"/>
          <w:left w:val="nil"/>
          <w:bottom w:val="nil"/>
          <w:right w:val="nil"/>
        </w:tcBorders>
        <w:shd w:val="clear" w:color="FFFFFF" w:fill="FFFFFF"/>
      </w:tcPr>
    </w:tblStylePr>
    <w:tblStylePr w:type="firstCol">
      <w:pPr>
        <w:jc w:val="right"/>
      </w:pPr>
      <w:rPr>
        <w:rFonts w:ascii="Arial" w:hAnsi="Arial"/>
        <w:i/>
        <w:color w:val="266779"/>
        <w:sz w:val="22"/>
      </w:rPr>
      <w:tcPr>
        <w:tcBorders>
          <w:top w:val="nil"/>
          <w:left w:val="nil"/>
          <w:bottom w:val="nil"/>
          <w:right w:val="single" w:color="99D0DE" w:sz="4" w:space="0"/>
        </w:tcBorders>
        <w:shd w:val="clear" w:color="FFFFFF" w:fill="auto"/>
      </w:tcPr>
    </w:tblStylePr>
    <w:tblStylePr w:type="lastCol">
      <w:rPr>
        <w:rFonts w:ascii="Arial" w:hAnsi="Arial"/>
        <w:i/>
        <w:color w:val="266779"/>
        <w:sz w:val="22"/>
      </w:rPr>
      <w:tcPr>
        <w:tcBorders>
          <w:top w:val="nil"/>
          <w:left w:val="single" w:color="99D0DE" w:sz="4" w:space="0"/>
          <w:bottom w:val="nil"/>
          <w:right w:val="nil"/>
        </w:tcBorders>
        <w:shd w:val="clear" w:color="FFFFFF" w:fill="auto"/>
      </w:tcPr>
    </w:tblStylePr>
    <w:tblStylePr w:type="band1Vert">
      <w:tcPr>
        <w:shd w:val="clear" w:color="DAEEF3" w:fill="DAEEF3"/>
      </w:tcPr>
    </w:tblStylePr>
    <w:tblStylePr w:type="band1Horz">
      <w:rPr>
        <w:rFonts w:ascii="Arial" w:hAnsi="Arial"/>
        <w:color w:val="266779"/>
        <w:sz w:val="22"/>
      </w:rPr>
      <w:tcPr>
        <w:shd w:val="clear" w:color="DAEEF3" w:fill="DAEEF3"/>
      </w:tcPr>
    </w:tblStylePr>
    <w:tblStylePr w:type="band2Horz">
      <w:rPr>
        <w:rFonts w:ascii="Arial" w:hAnsi="Arial"/>
        <w:color w:val="266779"/>
        <w:sz w:val="22"/>
      </w:rPr>
    </w:tblStylePr>
  </w:style>
  <w:style w:type="table" w:customStyle="1" w:styleId="1658">
    <w:name w:val="Grid Table 7 Colorful - Accent 68"/>
    <w:basedOn w:val="13"/>
    <w:uiPriority w:val="99"/>
    <w:rPr>
      <w:sz w:val="22"/>
      <w:szCs w:val="22"/>
      <w:lang w:eastAsia="en-US"/>
    </w:rPr>
    <w:tblPr>
      <w:tblBorders>
        <w:bottom w:val="single" w:color="FAC396" w:sz="4" w:space="0"/>
        <w:right w:val="single" w:color="FAC396" w:sz="4" w:space="0"/>
        <w:insideH w:val="single" w:color="FAC396" w:sz="4" w:space="0"/>
        <w:insideV w:val="single" w:color="FAC396" w:sz="4" w:space="0"/>
      </w:tblBorders>
      <w:tblCellMar>
        <w:top w:w="0" w:type="dxa"/>
        <w:left w:w="108" w:type="dxa"/>
        <w:bottom w:w="0" w:type="dxa"/>
        <w:right w:w="108" w:type="dxa"/>
      </w:tblCellMar>
    </w:tblPr>
    <w:tblStylePr w:type="firstRow">
      <w:rPr>
        <w:rFonts w:ascii="Arial" w:hAnsi="Arial"/>
        <w:b/>
        <w:color w:val="B15407"/>
        <w:sz w:val="22"/>
      </w:rPr>
      <w:tcPr>
        <w:tcBorders>
          <w:top w:val="nil"/>
          <w:left w:val="nil"/>
          <w:bottom w:val="single" w:color="FAC396" w:sz="4" w:space="0"/>
          <w:right w:val="nil"/>
        </w:tcBorders>
        <w:shd w:val="clear" w:color="FFFFFF" w:fill="FFFFFF"/>
      </w:tcPr>
    </w:tblStylePr>
    <w:tblStylePr w:type="lastRow">
      <w:rPr>
        <w:rFonts w:ascii="Arial" w:hAnsi="Arial"/>
        <w:b/>
        <w:color w:val="B15407"/>
        <w:sz w:val="22"/>
      </w:rPr>
      <w:tcPr>
        <w:tcBorders>
          <w:top w:val="single" w:color="FAC396" w:sz="4" w:space="0"/>
          <w:left w:val="nil"/>
          <w:bottom w:val="nil"/>
          <w:right w:val="nil"/>
        </w:tcBorders>
        <w:shd w:val="clear" w:color="FFFFFF" w:fill="FFFFFF"/>
      </w:tcPr>
    </w:tblStylePr>
    <w:tblStylePr w:type="firstCol">
      <w:pPr>
        <w:jc w:val="right"/>
      </w:pPr>
      <w:rPr>
        <w:rFonts w:ascii="Arial" w:hAnsi="Arial"/>
        <w:i/>
        <w:color w:val="B15407"/>
        <w:sz w:val="22"/>
      </w:rPr>
      <w:tcPr>
        <w:tcBorders>
          <w:top w:val="nil"/>
          <w:left w:val="nil"/>
          <w:bottom w:val="nil"/>
          <w:right w:val="single" w:color="FAC396" w:sz="4" w:space="0"/>
        </w:tcBorders>
        <w:shd w:val="clear" w:color="FFFFFF" w:fill="auto"/>
      </w:tcPr>
    </w:tblStylePr>
    <w:tblStylePr w:type="lastCol">
      <w:rPr>
        <w:rFonts w:ascii="Arial" w:hAnsi="Arial"/>
        <w:i/>
        <w:color w:val="B15407"/>
        <w:sz w:val="22"/>
      </w:rPr>
      <w:tcPr>
        <w:tcBorders>
          <w:top w:val="nil"/>
          <w:left w:val="single" w:color="FAC396" w:sz="4" w:space="0"/>
          <w:bottom w:val="nil"/>
          <w:right w:val="nil"/>
        </w:tcBorders>
        <w:shd w:val="clear" w:color="FFFFFF" w:fill="auto"/>
      </w:tcPr>
    </w:tblStylePr>
    <w:tblStylePr w:type="band1Vert">
      <w:tcPr>
        <w:shd w:val="clear" w:color="FDE9D8" w:fill="FDE9D8"/>
      </w:tcPr>
    </w:tblStylePr>
    <w:tblStylePr w:type="band1Horz">
      <w:rPr>
        <w:rFonts w:ascii="Arial" w:hAnsi="Arial"/>
        <w:color w:val="B15407"/>
        <w:sz w:val="22"/>
      </w:rPr>
      <w:tcPr>
        <w:shd w:val="clear" w:color="FDE9D8" w:fill="FDE9D8"/>
      </w:tcPr>
    </w:tblStylePr>
    <w:tblStylePr w:type="band2Horz">
      <w:rPr>
        <w:rFonts w:ascii="Arial" w:hAnsi="Arial"/>
        <w:color w:val="B15407"/>
        <w:sz w:val="22"/>
      </w:rPr>
    </w:tblStylePr>
  </w:style>
  <w:style w:type="table" w:customStyle="1" w:styleId="1659">
    <w:name w:val="Список-таблица 1 светлая16"/>
    <w:basedOn w:val="13"/>
    <w:uiPriority w:val="99"/>
    <w:rPr>
      <w:sz w:val="22"/>
      <w:szCs w:val="22"/>
      <w:lang w:eastAsia="en-US"/>
    </w:rPr>
    <w:tblPr>
      <w:tblCellMar>
        <w:top w:w="0" w:type="dxa"/>
        <w:left w:w="108" w:type="dxa"/>
        <w:bottom w:w="0" w:type="dxa"/>
        <w:right w:w="108" w:type="dxa"/>
      </w:tblCellMar>
    </w:tblPr>
    <w:tblStylePr w:type="firstRow">
      <w:rPr>
        <w:b/>
        <w:color w:val="404040"/>
      </w:rPr>
      <w:tcPr>
        <w:tcBorders>
          <w:top w:val="nil"/>
          <w:left w:val="nil"/>
          <w:bottom w:val="single" w:color="000000" w:sz="4" w:space="0"/>
          <w:right w:val="nil"/>
        </w:tcBorders>
      </w:tcPr>
    </w:tblStylePr>
    <w:tblStylePr w:type="lastRow">
      <w:rPr>
        <w:b/>
        <w:color w:val="404040"/>
      </w:rPr>
      <w:tcPr>
        <w:tcBorders>
          <w:top w:val="single" w:color="000000" w:sz="4" w:space="0"/>
          <w:left w:val="nil"/>
          <w:bottom w:val="nil"/>
          <w:right w:val="nil"/>
        </w:tcBorders>
      </w:tcPr>
    </w:tblStylePr>
    <w:tblStylePr w:type="firstCol">
      <w:rPr>
        <w:b/>
        <w:color w:val="404040"/>
      </w:rPr>
    </w:tblStylePr>
    <w:tblStylePr w:type="lastCol">
      <w:rPr>
        <w:b/>
        <w:color w:val="404040"/>
      </w:rPr>
    </w:tblStylePr>
    <w:tblStylePr w:type="band1Vert">
      <w:tcPr>
        <w:shd w:val="clear" w:color="BFBFBF" w:fill="BFBFBF"/>
      </w:tcPr>
    </w:tblStylePr>
    <w:tblStylePr w:type="band1Horz">
      <w:tcPr>
        <w:shd w:val="clear" w:color="BFBFBF" w:fill="BFBFBF"/>
      </w:tcPr>
    </w:tblStylePr>
  </w:style>
  <w:style w:type="table" w:customStyle="1" w:styleId="1660">
    <w:name w:val="List Table 1 Light - Accent 18"/>
    <w:basedOn w:val="13"/>
    <w:uiPriority w:val="99"/>
    <w:rPr>
      <w:sz w:val="22"/>
      <w:szCs w:val="22"/>
      <w:lang w:eastAsia="en-US"/>
    </w:rPr>
    <w:tblPr>
      <w:tblCellMar>
        <w:top w:w="0" w:type="dxa"/>
        <w:left w:w="108" w:type="dxa"/>
        <w:bottom w:w="0" w:type="dxa"/>
        <w:right w:w="108" w:type="dxa"/>
      </w:tblCellMar>
    </w:tblPr>
    <w:tblStylePr w:type="firstRow">
      <w:rPr>
        <w:b/>
        <w:color w:val="404040"/>
      </w:rPr>
      <w:tcPr>
        <w:tcBorders>
          <w:top w:val="nil"/>
          <w:left w:val="nil"/>
          <w:bottom w:val="single" w:color="4F81BD" w:sz="4" w:space="0"/>
          <w:right w:val="nil"/>
        </w:tcBorders>
      </w:tcPr>
    </w:tblStylePr>
    <w:tblStylePr w:type="lastRow">
      <w:rPr>
        <w:b/>
        <w:color w:val="404040"/>
      </w:rPr>
      <w:tcPr>
        <w:tcBorders>
          <w:top w:val="single" w:color="4F81BD" w:sz="4" w:space="0"/>
          <w:left w:val="nil"/>
          <w:bottom w:val="nil"/>
          <w:right w:val="nil"/>
        </w:tcBorders>
      </w:tcPr>
    </w:tblStylePr>
    <w:tblStylePr w:type="firstCol">
      <w:rPr>
        <w:b/>
        <w:color w:val="404040"/>
      </w:rPr>
    </w:tblStylePr>
    <w:tblStylePr w:type="lastCol">
      <w:rPr>
        <w:b/>
        <w:color w:val="404040"/>
      </w:rPr>
    </w:tblStylePr>
    <w:tblStylePr w:type="band1Vert">
      <w:tcPr>
        <w:shd w:val="clear" w:color="D2DFEE" w:fill="D2DFEE"/>
      </w:tcPr>
    </w:tblStylePr>
    <w:tblStylePr w:type="band1Horz">
      <w:tcPr>
        <w:shd w:val="clear" w:color="D2DFEE" w:fill="D2DFEE"/>
      </w:tcPr>
    </w:tblStylePr>
  </w:style>
  <w:style w:type="table" w:customStyle="1" w:styleId="1661">
    <w:name w:val="List Table 1 Light - Accent 28"/>
    <w:basedOn w:val="13"/>
    <w:uiPriority w:val="99"/>
    <w:rPr>
      <w:sz w:val="22"/>
      <w:szCs w:val="22"/>
      <w:lang w:eastAsia="en-US"/>
    </w:rPr>
    <w:tblPr>
      <w:tblCellMar>
        <w:top w:w="0" w:type="dxa"/>
        <w:left w:w="108" w:type="dxa"/>
        <w:bottom w:w="0" w:type="dxa"/>
        <w:right w:w="108" w:type="dxa"/>
      </w:tblCellMar>
    </w:tblPr>
    <w:tblStylePr w:type="firstRow">
      <w:rPr>
        <w:b/>
        <w:color w:val="404040"/>
      </w:rPr>
      <w:tcPr>
        <w:tcBorders>
          <w:top w:val="nil"/>
          <w:left w:val="nil"/>
          <w:bottom w:val="single" w:color="C0504D" w:sz="4" w:space="0"/>
          <w:right w:val="nil"/>
        </w:tcBorders>
      </w:tcPr>
    </w:tblStylePr>
    <w:tblStylePr w:type="lastRow">
      <w:rPr>
        <w:b/>
        <w:color w:val="404040"/>
      </w:rPr>
      <w:tcPr>
        <w:tcBorders>
          <w:top w:val="single" w:color="C0504D" w:sz="4" w:space="0"/>
          <w:left w:val="nil"/>
          <w:bottom w:val="nil"/>
          <w:right w:val="nil"/>
        </w:tcBorders>
      </w:tcPr>
    </w:tblStylePr>
    <w:tblStylePr w:type="firstCol">
      <w:rPr>
        <w:b/>
        <w:color w:val="404040"/>
      </w:rPr>
    </w:tblStylePr>
    <w:tblStylePr w:type="lastCol">
      <w:rPr>
        <w:b/>
        <w:color w:val="404040"/>
      </w:rPr>
    </w:tblStylePr>
    <w:tblStylePr w:type="band1Vert">
      <w:tcPr>
        <w:shd w:val="clear" w:color="EFD2D2" w:fill="EFD2D2"/>
      </w:tcPr>
    </w:tblStylePr>
    <w:tblStylePr w:type="band1Horz">
      <w:tcPr>
        <w:shd w:val="clear" w:color="EFD2D2" w:fill="EFD2D2"/>
      </w:tcPr>
    </w:tblStylePr>
  </w:style>
  <w:style w:type="table" w:customStyle="1" w:styleId="1662">
    <w:name w:val="List Table 1 Light - Accent 38"/>
    <w:basedOn w:val="13"/>
    <w:uiPriority w:val="99"/>
    <w:rPr>
      <w:sz w:val="22"/>
      <w:szCs w:val="22"/>
      <w:lang w:eastAsia="en-US"/>
    </w:rPr>
    <w:tblPr>
      <w:tblCellMar>
        <w:top w:w="0" w:type="dxa"/>
        <w:left w:w="108" w:type="dxa"/>
        <w:bottom w:w="0" w:type="dxa"/>
        <w:right w:w="108" w:type="dxa"/>
      </w:tblCellMar>
    </w:tblPr>
    <w:tblStylePr w:type="firstRow">
      <w:rPr>
        <w:b/>
        <w:color w:val="404040"/>
      </w:rPr>
      <w:tcPr>
        <w:tcBorders>
          <w:top w:val="nil"/>
          <w:left w:val="nil"/>
          <w:bottom w:val="single" w:color="9BBB59" w:sz="4" w:space="0"/>
          <w:right w:val="nil"/>
        </w:tcBorders>
      </w:tcPr>
    </w:tblStylePr>
    <w:tblStylePr w:type="lastRow">
      <w:rPr>
        <w:b/>
        <w:color w:val="404040"/>
      </w:rPr>
      <w:tcPr>
        <w:tcBorders>
          <w:top w:val="single" w:color="9BBB59" w:sz="4" w:space="0"/>
          <w:left w:val="nil"/>
          <w:bottom w:val="nil"/>
          <w:right w:val="nil"/>
        </w:tcBorders>
      </w:tcPr>
    </w:tblStylePr>
    <w:tblStylePr w:type="firstCol">
      <w:rPr>
        <w:b/>
        <w:color w:val="404040"/>
      </w:rPr>
    </w:tblStylePr>
    <w:tblStylePr w:type="lastCol">
      <w:rPr>
        <w:b/>
        <w:color w:val="404040"/>
      </w:rPr>
    </w:tblStylePr>
    <w:tblStylePr w:type="band1Vert">
      <w:tcPr>
        <w:shd w:val="clear" w:color="E5EED5" w:fill="E5EED5"/>
      </w:tcPr>
    </w:tblStylePr>
    <w:tblStylePr w:type="band1Horz">
      <w:tcPr>
        <w:shd w:val="clear" w:color="E5EED5" w:fill="E5EED5"/>
      </w:tcPr>
    </w:tblStylePr>
  </w:style>
  <w:style w:type="table" w:customStyle="1" w:styleId="1663">
    <w:name w:val="List Table 1 Light - Accent 48"/>
    <w:basedOn w:val="13"/>
    <w:uiPriority w:val="99"/>
    <w:rPr>
      <w:sz w:val="22"/>
      <w:szCs w:val="22"/>
      <w:lang w:eastAsia="en-US"/>
    </w:rPr>
    <w:tblPr>
      <w:tblCellMar>
        <w:top w:w="0" w:type="dxa"/>
        <w:left w:w="108" w:type="dxa"/>
        <w:bottom w:w="0" w:type="dxa"/>
        <w:right w:w="108" w:type="dxa"/>
      </w:tblCellMar>
    </w:tblPr>
    <w:tblStylePr w:type="firstRow">
      <w:rPr>
        <w:b/>
        <w:color w:val="404040"/>
      </w:rPr>
      <w:tcPr>
        <w:tcBorders>
          <w:top w:val="nil"/>
          <w:left w:val="nil"/>
          <w:bottom w:val="single" w:color="8064A2" w:sz="4" w:space="0"/>
          <w:right w:val="nil"/>
        </w:tcBorders>
      </w:tcPr>
    </w:tblStylePr>
    <w:tblStylePr w:type="lastRow">
      <w:rPr>
        <w:b/>
        <w:color w:val="404040"/>
      </w:rPr>
      <w:tcPr>
        <w:tcBorders>
          <w:top w:val="single" w:color="8064A2" w:sz="4" w:space="0"/>
          <w:left w:val="nil"/>
          <w:bottom w:val="nil"/>
          <w:right w:val="nil"/>
        </w:tcBorders>
      </w:tcPr>
    </w:tblStylePr>
    <w:tblStylePr w:type="firstCol">
      <w:rPr>
        <w:b/>
        <w:color w:val="404040"/>
      </w:rPr>
    </w:tblStylePr>
    <w:tblStylePr w:type="lastCol">
      <w:rPr>
        <w:b/>
        <w:color w:val="404040"/>
      </w:rPr>
    </w:tblStylePr>
    <w:tblStylePr w:type="band1Vert">
      <w:tcPr>
        <w:shd w:val="clear" w:color="DFD8E7" w:fill="DFD8E7"/>
      </w:tcPr>
    </w:tblStylePr>
    <w:tblStylePr w:type="band1Horz">
      <w:tcPr>
        <w:shd w:val="clear" w:color="DFD8E7" w:fill="DFD8E7"/>
      </w:tcPr>
    </w:tblStylePr>
  </w:style>
  <w:style w:type="table" w:customStyle="1" w:styleId="1664">
    <w:name w:val="List Table 1 Light - Accent 58"/>
    <w:basedOn w:val="13"/>
    <w:uiPriority w:val="99"/>
    <w:rPr>
      <w:sz w:val="22"/>
      <w:szCs w:val="22"/>
      <w:lang w:eastAsia="en-US"/>
    </w:rPr>
    <w:tblPr>
      <w:tblCellMar>
        <w:top w:w="0" w:type="dxa"/>
        <w:left w:w="108" w:type="dxa"/>
        <w:bottom w:w="0" w:type="dxa"/>
        <w:right w:w="108" w:type="dxa"/>
      </w:tblCellMar>
    </w:tblPr>
    <w:tblStylePr w:type="firstRow">
      <w:rPr>
        <w:b/>
        <w:color w:val="404040"/>
      </w:rPr>
      <w:tcPr>
        <w:tcBorders>
          <w:top w:val="nil"/>
          <w:left w:val="nil"/>
          <w:bottom w:val="single" w:color="4BACC6" w:sz="4" w:space="0"/>
          <w:right w:val="nil"/>
        </w:tcBorders>
      </w:tcPr>
    </w:tblStylePr>
    <w:tblStylePr w:type="lastRow">
      <w:rPr>
        <w:b/>
        <w:color w:val="404040"/>
      </w:rPr>
      <w:tcPr>
        <w:tcBorders>
          <w:top w:val="single" w:color="4BACC6" w:sz="4" w:space="0"/>
          <w:left w:val="nil"/>
          <w:bottom w:val="nil"/>
          <w:right w:val="nil"/>
        </w:tcBorders>
      </w:tcPr>
    </w:tblStylePr>
    <w:tblStylePr w:type="firstCol">
      <w:rPr>
        <w:b/>
        <w:color w:val="404040"/>
      </w:rPr>
    </w:tblStylePr>
    <w:tblStylePr w:type="lastCol">
      <w:rPr>
        <w:b/>
        <w:color w:val="404040"/>
      </w:rPr>
    </w:tblStylePr>
    <w:tblStylePr w:type="band1Vert">
      <w:tcPr>
        <w:shd w:val="clear" w:color="D1EAF0" w:fill="D1EAF0"/>
      </w:tcPr>
    </w:tblStylePr>
    <w:tblStylePr w:type="band1Horz">
      <w:tcPr>
        <w:shd w:val="clear" w:color="D1EAF0" w:fill="D1EAF0"/>
      </w:tcPr>
    </w:tblStylePr>
  </w:style>
  <w:style w:type="table" w:customStyle="1" w:styleId="1665">
    <w:name w:val="List Table 1 Light - Accent 68"/>
    <w:basedOn w:val="13"/>
    <w:uiPriority w:val="99"/>
    <w:rPr>
      <w:sz w:val="22"/>
      <w:szCs w:val="22"/>
      <w:lang w:eastAsia="en-US"/>
    </w:rPr>
    <w:tblPr>
      <w:tblCellMar>
        <w:top w:w="0" w:type="dxa"/>
        <w:left w:w="108" w:type="dxa"/>
        <w:bottom w:w="0" w:type="dxa"/>
        <w:right w:w="108" w:type="dxa"/>
      </w:tblCellMar>
    </w:tblPr>
    <w:tblStylePr w:type="firstRow">
      <w:rPr>
        <w:b/>
        <w:color w:val="404040"/>
      </w:rPr>
      <w:tcPr>
        <w:tcBorders>
          <w:top w:val="nil"/>
          <w:left w:val="nil"/>
          <w:bottom w:val="single" w:color="F79646" w:sz="4" w:space="0"/>
          <w:right w:val="nil"/>
        </w:tcBorders>
      </w:tcPr>
    </w:tblStylePr>
    <w:tblStylePr w:type="lastRow">
      <w:rPr>
        <w:b/>
        <w:color w:val="404040"/>
      </w:rPr>
      <w:tcPr>
        <w:tcBorders>
          <w:top w:val="single" w:color="F79646" w:sz="4" w:space="0"/>
          <w:left w:val="nil"/>
          <w:bottom w:val="nil"/>
          <w:right w:val="nil"/>
        </w:tcBorders>
      </w:tcPr>
    </w:tblStylePr>
    <w:tblStylePr w:type="firstCol">
      <w:rPr>
        <w:b/>
        <w:color w:val="404040"/>
      </w:rPr>
    </w:tblStylePr>
    <w:tblStylePr w:type="lastCol">
      <w:rPr>
        <w:b/>
        <w:color w:val="404040"/>
      </w:rPr>
    </w:tblStylePr>
    <w:tblStylePr w:type="band1Vert">
      <w:tcPr>
        <w:shd w:val="clear" w:color="FDE4D0" w:fill="FDE4D0"/>
      </w:tcPr>
    </w:tblStylePr>
    <w:tblStylePr w:type="band1Horz">
      <w:tcPr>
        <w:shd w:val="clear" w:color="FDE4D0" w:fill="FDE4D0"/>
      </w:tcPr>
    </w:tblStylePr>
  </w:style>
  <w:style w:type="table" w:customStyle="1" w:styleId="1666">
    <w:name w:val="Список-таблица 216"/>
    <w:basedOn w:val="13"/>
    <w:uiPriority w:val="99"/>
    <w:rPr>
      <w:sz w:val="22"/>
      <w:szCs w:val="22"/>
      <w:lang w:eastAsia="en-US"/>
    </w:rPr>
    <w:tblPr>
      <w:tblBorders>
        <w:top w:val="single" w:color="6F6F6F" w:sz="4" w:space="0"/>
        <w:bottom w:val="single" w:color="6F6F6F" w:sz="4" w:space="0"/>
        <w:insideH w:val="single" w:color="6F6F6F" w:sz="4" w:space="0"/>
      </w:tblBorders>
      <w:tblCellMar>
        <w:top w:w="0" w:type="dxa"/>
        <w:left w:w="108" w:type="dxa"/>
        <w:bottom w:w="0" w:type="dxa"/>
        <w:right w:w="108" w:type="dxa"/>
      </w:tblCellMar>
    </w:tblPr>
    <w:tblStylePr w:type="firstRow">
      <w:rPr>
        <w:rFonts w:ascii="Arial" w:hAnsi="Arial"/>
        <w:b/>
        <w:color w:val="404040"/>
        <w:sz w:val="22"/>
      </w:rPr>
      <w:tcPr>
        <w:tcBorders>
          <w:top w:val="single" w:color="6F6F6F" w:sz="4" w:space="0"/>
          <w:left w:val="nil"/>
          <w:bottom w:val="single" w:color="6F6F6F" w:sz="4" w:space="0"/>
          <w:right w:val="nil"/>
        </w:tcBorders>
      </w:tcPr>
    </w:tblStylePr>
    <w:tblStylePr w:type="lastRow">
      <w:rPr>
        <w:rFonts w:ascii="Arial" w:hAnsi="Arial"/>
        <w:b/>
        <w:color w:val="404040"/>
        <w:sz w:val="22"/>
      </w:rPr>
      <w:tcPr>
        <w:tcBorders>
          <w:top w:val="single" w:color="6F6F6F" w:sz="4" w:space="0"/>
          <w:left w:val="nil"/>
          <w:bottom w:val="single" w:color="6F6F6F"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BFBFBF" w:fill="BFBFBF"/>
      </w:tcPr>
    </w:tblStylePr>
    <w:tblStylePr w:type="band1Horz">
      <w:rPr>
        <w:rFonts w:ascii="Arial" w:hAnsi="Arial"/>
        <w:color w:val="404040"/>
        <w:sz w:val="22"/>
      </w:rPr>
      <w:tcPr>
        <w:shd w:val="clear" w:color="BFBFBF" w:fill="BFBFBF"/>
      </w:tcPr>
    </w:tblStylePr>
  </w:style>
  <w:style w:type="table" w:customStyle="1" w:styleId="1667">
    <w:name w:val="List Table 2 - Accent 18"/>
    <w:basedOn w:val="13"/>
    <w:uiPriority w:val="99"/>
    <w:rPr>
      <w:sz w:val="22"/>
      <w:szCs w:val="22"/>
      <w:lang w:eastAsia="en-US"/>
    </w:rPr>
    <w:tblPr>
      <w:tblBorders>
        <w:top w:val="single" w:color="9BB7D9" w:sz="4" w:space="0"/>
        <w:bottom w:val="single" w:color="9BB7D9" w:sz="4" w:space="0"/>
        <w:insideH w:val="single" w:color="9BB7D9" w:sz="4" w:space="0"/>
      </w:tblBorders>
      <w:tblCellMar>
        <w:top w:w="0" w:type="dxa"/>
        <w:left w:w="108" w:type="dxa"/>
        <w:bottom w:w="0" w:type="dxa"/>
        <w:right w:w="108" w:type="dxa"/>
      </w:tblCellMar>
    </w:tblPr>
    <w:tblStylePr w:type="firstRow">
      <w:rPr>
        <w:rFonts w:ascii="Arial" w:hAnsi="Arial"/>
        <w:b/>
        <w:color w:val="404040"/>
        <w:sz w:val="22"/>
      </w:rPr>
      <w:tcPr>
        <w:tcBorders>
          <w:top w:val="single" w:color="9BB7D9" w:sz="4" w:space="0"/>
          <w:left w:val="nil"/>
          <w:bottom w:val="single" w:color="9BB7D9" w:sz="4" w:space="0"/>
          <w:right w:val="nil"/>
        </w:tcBorders>
      </w:tcPr>
    </w:tblStylePr>
    <w:tblStylePr w:type="lastRow">
      <w:rPr>
        <w:rFonts w:ascii="Arial" w:hAnsi="Arial"/>
        <w:b/>
        <w:color w:val="404040"/>
        <w:sz w:val="22"/>
      </w:rPr>
      <w:tcPr>
        <w:tcBorders>
          <w:top w:val="single" w:color="9BB7D9" w:sz="4" w:space="0"/>
          <w:left w:val="nil"/>
          <w:bottom w:val="single" w:color="9BB7D9"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D2DFEE" w:fill="D2DFEE"/>
      </w:tcPr>
    </w:tblStylePr>
    <w:tblStylePr w:type="band1Horz">
      <w:rPr>
        <w:rFonts w:ascii="Arial" w:hAnsi="Arial"/>
        <w:color w:val="404040"/>
        <w:sz w:val="22"/>
      </w:rPr>
      <w:tcPr>
        <w:shd w:val="clear" w:color="D2DFEE" w:fill="D2DFEE"/>
      </w:tcPr>
    </w:tblStylePr>
  </w:style>
  <w:style w:type="table" w:customStyle="1" w:styleId="1668">
    <w:name w:val="List Table 2 - Accent 28"/>
    <w:basedOn w:val="13"/>
    <w:uiPriority w:val="99"/>
    <w:rPr>
      <w:sz w:val="22"/>
      <w:szCs w:val="22"/>
      <w:lang w:eastAsia="en-US"/>
    </w:rPr>
    <w:tblPr>
      <w:tblBorders>
        <w:top w:val="single" w:color="DB9B9A" w:sz="4" w:space="0"/>
        <w:bottom w:val="single" w:color="DB9B9A" w:sz="4" w:space="0"/>
        <w:insideH w:val="single" w:color="DB9B9A" w:sz="4" w:space="0"/>
      </w:tblBorders>
      <w:tblCellMar>
        <w:top w:w="0" w:type="dxa"/>
        <w:left w:w="108" w:type="dxa"/>
        <w:bottom w:w="0" w:type="dxa"/>
        <w:right w:w="108" w:type="dxa"/>
      </w:tblCellMar>
    </w:tblPr>
    <w:tblStylePr w:type="firstRow">
      <w:rPr>
        <w:rFonts w:ascii="Arial" w:hAnsi="Arial"/>
        <w:b/>
        <w:color w:val="404040"/>
        <w:sz w:val="22"/>
      </w:rPr>
      <w:tcPr>
        <w:tcBorders>
          <w:top w:val="single" w:color="DB9B9A" w:sz="4" w:space="0"/>
          <w:left w:val="nil"/>
          <w:bottom w:val="single" w:color="DB9B9A" w:sz="4" w:space="0"/>
          <w:right w:val="nil"/>
        </w:tcBorders>
      </w:tcPr>
    </w:tblStylePr>
    <w:tblStylePr w:type="lastRow">
      <w:rPr>
        <w:rFonts w:ascii="Arial" w:hAnsi="Arial"/>
        <w:b/>
        <w:color w:val="404040"/>
        <w:sz w:val="22"/>
      </w:rPr>
      <w:tcPr>
        <w:tcBorders>
          <w:top w:val="single" w:color="DB9B9A" w:sz="4" w:space="0"/>
          <w:left w:val="nil"/>
          <w:bottom w:val="single" w:color="DB9B9A"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EFD2D2" w:fill="EFD2D2"/>
      </w:tcPr>
    </w:tblStylePr>
    <w:tblStylePr w:type="band1Horz">
      <w:rPr>
        <w:rFonts w:ascii="Arial" w:hAnsi="Arial"/>
        <w:color w:val="404040"/>
        <w:sz w:val="22"/>
      </w:rPr>
      <w:tcPr>
        <w:shd w:val="clear" w:color="EFD2D2" w:fill="EFD2D2"/>
      </w:tcPr>
    </w:tblStylePr>
  </w:style>
  <w:style w:type="table" w:customStyle="1" w:styleId="1669">
    <w:name w:val="List Table 2 - Accent 38"/>
    <w:basedOn w:val="13"/>
    <w:uiPriority w:val="99"/>
    <w:rPr>
      <w:sz w:val="22"/>
      <w:szCs w:val="22"/>
      <w:lang w:eastAsia="en-US"/>
    </w:rPr>
    <w:tblPr>
      <w:tblBorders>
        <w:top w:val="single" w:color="C6D8A1" w:sz="4" w:space="0"/>
        <w:bottom w:val="single" w:color="C6D8A1" w:sz="4" w:space="0"/>
        <w:insideH w:val="single" w:color="C6D8A1" w:sz="4" w:space="0"/>
      </w:tblBorders>
      <w:tblCellMar>
        <w:top w:w="0" w:type="dxa"/>
        <w:left w:w="108" w:type="dxa"/>
        <w:bottom w:w="0" w:type="dxa"/>
        <w:right w:w="108" w:type="dxa"/>
      </w:tblCellMar>
    </w:tblPr>
    <w:tblStylePr w:type="firstRow">
      <w:rPr>
        <w:rFonts w:ascii="Arial" w:hAnsi="Arial"/>
        <w:b/>
        <w:color w:val="404040"/>
        <w:sz w:val="22"/>
      </w:rPr>
      <w:tcPr>
        <w:tcBorders>
          <w:top w:val="single" w:color="C6D8A1" w:sz="4" w:space="0"/>
          <w:left w:val="nil"/>
          <w:bottom w:val="single" w:color="C6D8A1" w:sz="4" w:space="0"/>
          <w:right w:val="nil"/>
        </w:tcBorders>
      </w:tcPr>
    </w:tblStylePr>
    <w:tblStylePr w:type="lastRow">
      <w:rPr>
        <w:rFonts w:ascii="Arial" w:hAnsi="Arial"/>
        <w:b/>
        <w:color w:val="404040"/>
        <w:sz w:val="22"/>
      </w:rPr>
      <w:tcPr>
        <w:tcBorders>
          <w:top w:val="single" w:color="C6D8A1" w:sz="4" w:space="0"/>
          <w:left w:val="nil"/>
          <w:bottom w:val="single" w:color="C6D8A1"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E5EED5" w:fill="E5EED5"/>
      </w:tcPr>
    </w:tblStylePr>
    <w:tblStylePr w:type="band1Horz">
      <w:rPr>
        <w:rFonts w:ascii="Arial" w:hAnsi="Arial"/>
        <w:color w:val="404040"/>
        <w:sz w:val="22"/>
      </w:rPr>
      <w:tcPr>
        <w:shd w:val="clear" w:color="E5EED5" w:fill="E5EED5"/>
      </w:tcPr>
    </w:tblStylePr>
  </w:style>
  <w:style w:type="table" w:customStyle="1" w:styleId="1670">
    <w:name w:val="List Table 2 - Accent 48"/>
    <w:basedOn w:val="13"/>
    <w:uiPriority w:val="99"/>
    <w:rPr>
      <w:sz w:val="22"/>
      <w:szCs w:val="22"/>
      <w:lang w:eastAsia="en-US"/>
    </w:rPr>
    <w:tblPr>
      <w:tblBorders>
        <w:top w:val="single" w:color="B7A7CA" w:sz="4" w:space="0"/>
        <w:bottom w:val="single" w:color="B7A7CA" w:sz="4" w:space="0"/>
        <w:insideH w:val="single" w:color="B7A7CA" w:sz="4" w:space="0"/>
      </w:tblBorders>
      <w:tblCellMar>
        <w:top w:w="0" w:type="dxa"/>
        <w:left w:w="108" w:type="dxa"/>
        <w:bottom w:w="0" w:type="dxa"/>
        <w:right w:w="108" w:type="dxa"/>
      </w:tblCellMar>
    </w:tblPr>
    <w:tblStylePr w:type="firstRow">
      <w:rPr>
        <w:rFonts w:ascii="Arial" w:hAnsi="Arial"/>
        <w:b/>
        <w:color w:val="404040"/>
        <w:sz w:val="22"/>
      </w:rPr>
      <w:tcPr>
        <w:tcBorders>
          <w:top w:val="single" w:color="B7A7CA" w:sz="4" w:space="0"/>
          <w:left w:val="nil"/>
          <w:bottom w:val="single" w:color="B7A7CA" w:sz="4" w:space="0"/>
          <w:right w:val="nil"/>
        </w:tcBorders>
      </w:tcPr>
    </w:tblStylePr>
    <w:tblStylePr w:type="lastRow">
      <w:rPr>
        <w:rFonts w:ascii="Arial" w:hAnsi="Arial"/>
        <w:b/>
        <w:color w:val="404040"/>
        <w:sz w:val="22"/>
      </w:rPr>
      <w:tcPr>
        <w:tcBorders>
          <w:top w:val="single" w:color="B7A7CA" w:sz="4" w:space="0"/>
          <w:left w:val="nil"/>
          <w:bottom w:val="single" w:color="B7A7CA"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DFD8E7" w:fill="DFD8E7"/>
      </w:tcPr>
    </w:tblStylePr>
    <w:tblStylePr w:type="band1Horz">
      <w:rPr>
        <w:rFonts w:ascii="Arial" w:hAnsi="Arial"/>
        <w:color w:val="404040"/>
        <w:sz w:val="22"/>
      </w:rPr>
      <w:tcPr>
        <w:shd w:val="clear" w:color="DFD8E7" w:fill="DFD8E7"/>
      </w:tcPr>
    </w:tblStylePr>
  </w:style>
  <w:style w:type="table" w:customStyle="1" w:styleId="1671">
    <w:name w:val="List Table 2 - Accent 58"/>
    <w:basedOn w:val="13"/>
    <w:uiPriority w:val="99"/>
    <w:rPr>
      <w:sz w:val="22"/>
      <w:szCs w:val="22"/>
      <w:lang w:eastAsia="en-US"/>
    </w:rPr>
    <w:tblPr>
      <w:tblBorders>
        <w:top w:val="single" w:color="99D0DE" w:sz="4" w:space="0"/>
        <w:bottom w:val="single" w:color="99D0DE" w:sz="4" w:space="0"/>
        <w:insideH w:val="single" w:color="99D0DE" w:sz="4" w:space="0"/>
      </w:tblBorders>
      <w:tblCellMar>
        <w:top w:w="0" w:type="dxa"/>
        <w:left w:w="108" w:type="dxa"/>
        <w:bottom w:w="0" w:type="dxa"/>
        <w:right w:w="108" w:type="dxa"/>
      </w:tblCellMar>
    </w:tblPr>
    <w:tblStylePr w:type="firstRow">
      <w:rPr>
        <w:rFonts w:ascii="Arial" w:hAnsi="Arial"/>
        <w:b/>
        <w:color w:val="404040"/>
        <w:sz w:val="22"/>
      </w:rPr>
      <w:tcPr>
        <w:tcBorders>
          <w:top w:val="single" w:color="99D0DE" w:sz="4" w:space="0"/>
          <w:left w:val="nil"/>
          <w:bottom w:val="single" w:color="99D0DE" w:sz="4" w:space="0"/>
          <w:right w:val="nil"/>
        </w:tcBorders>
      </w:tcPr>
    </w:tblStylePr>
    <w:tblStylePr w:type="lastRow">
      <w:rPr>
        <w:rFonts w:ascii="Arial" w:hAnsi="Arial"/>
        <w:b/>
        <w:color w:val="404040"/>
        <w:sz w:val="22"/>
      </w:rPr>
      <w:tcPr>
        <w:tcBorders>
          <w:top w:val="single" w:color="99D0DE" w:sz="4" w:space="0"/>
          <w:left w:val="nil"/>
          <w:bottom w:val="single" w:color="99D0DE"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D1EAF0" w:fill="D1EAF0"/>
      </w:tcPr>
    </w:tblStylePr>
    <w:tblStylePr w:type="band1Horz">
      <w:rPr>
        <w:rFonts w:ascii="Arial" w:hAnsi="Arial"/>
        <w:color w:val="404040"/>
        <w:sz w:val="22"/>
      </w:rPr>
      <w:tcPr>
        <w:shd w:val="clear" w:color="D1EAF0" w:fill="D1EAF0"/>
      </w:tcPr>
    </w:tblStylePr>
  </w:style>
  <w:style w:type="table" w:customStyle="1" w:styleId="1672">
    <w:name w:val="List Table 2 - Accent 68"/>
    <w:basedOn w:val="13"/>
    <w:uiPriority w:val="99"/>
    <w:rPr>
      <w:sz w:val="22"/>
      <w:szCs w:val="22"/>
      <w:lang w:eastAsia="en-US"/>
    </w:rPr>
    <w:tblPr>
      <w:tblBorders>
        <w:top w:val="single" w:color="FAC396" w:sz="4" w:space="0"/>
        <w:bottom w:val="single" w:color="FAC396" w:sz="4" w:space="0"/>
        <w:insideH w:val="single" w:color="FAC396" w:sz="4" w:space="0"/>
      </w:tblBorders>
      <w:tblCellMar>
        <w:top w:w="0" w:type="dxa"/>
        <w:left w:w="108" w:type="dxa"/>
        <w:bottom w:w="0" w:type="dxa"/>
        <w:right w:w="108" w:type="dxa"/>
      </w:tblCellMar>
    </w:tblPr>
    <w:tblStylePr w:type="firstRow">
      <w:rPr>
        <w:rFonts w:ascii="Arial" w:hAnsi="Arial"/>
        <w:b/>
        <w:color w:val="404040"/>
        <w:sz w:val="22"/>
      </w:rPr>
      <w:tcPr>
        <w:tcBorders>
          <w:top w:val="single" w:color="FAC396" w:sz="4" w:space="0"/>
          <w:left w:val="nil"/>
          <w:bottom w:val="single" w:color="FAC396" w:sz="4" w:space="0"/>
          <w:right w:val="nil"/>
        </w:tcBorders>
      </w:tcPr>
    </w:tblStylePr>
    <w:tblStylePr w:type="lastRow">
      <w:rPr>
        <w:rFonts w:ascii="Arial" w:hAnsi="Arial"/>
        <w:b/>
        <w:color w:val="404040"/>
        <w:sz w:val="22"/>
      </w:rPr>
      <w:tcPr>
        <w:tcBorders>
          <w:top w:val="single" w:color="FAC396" w:sz="4" w:space="0"/>
          <w:left w:val="nil"/>
          <w:bottom w:val="single" w:color="FAC396"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FDE4D0" w:fill="FDE4D0"/>
      </w:tcPr>
    </w:tblStylePr>
    <w:tblStylePr w:type="band1Horz">
      <w:rPr>
        <w:rFonts w:ascii="Arial" w:hAnsi="Arial"/>
        <w:color w:val="404040"/>
        <w:sz w:val="22"/>
      </w:rPr>
      <w:tcPr>
        <w:shd w:val="clear" w:color="FDE4D0" w:fill="FDE4D0"/>
      </w:tcPr>
    </w:tblStylePr>
  </w:style>
  <w:style w:type="table" w:customStyle="1" w:styleId="1673">
    <w:name w:val="Список-таблица 316"/>
    <w:basedOn w:val="13"/>
    <w:uiPriority w:val="99"/>
    <w:rPr>
      <w:sz w:val="22"/>
      <w:szCs w:val="22"/>
      <w:lang w:eastAsia="en-US"/>
    </w:rPr>
    <w:tblPr>
      <w:tblBorders>
        <w:top w:val="single" w:color="000000" w:sz="4" w:space="0"/>
        <w:left w:val="single" w:color="000000" w:sz="4" w:space="0"/>
        <w:bottom w:val="single" w:color="000000" w:sz="4" w:space="0"/>
        <w:right w:val="single" w:color="000000" w:sz="4" w:space="0"/>
      </w:tblBorders>
      <w:tblCellMar>
        <w:top w:w="0" w:type="dxa"/>
        <w:left w:w="108" w:type="dxa"/>
        <w:bottom w:w="0" w:type="dxa"/>
        <w:right w:w="108" w:type="dxa"/>
      </w:tblCellMar>
    </w:tblPr>
    <w:tblStylePr w:type="firstRow">
      <w:rPr>
        <w:rFonts w:ascii="Arial" w:hAnsi="Arial"/>
        <w:b/>
        <w:color w:val="FFFFFF"/>
        <w:sz w:val="22"/>
      </w:r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000000" w:sz="4" w:space="0"/>
          <w:right w:val="single" w:color="000000" w:sz="4" w:space="0"/>
        </w:tcBorders>
      </w:tcPr>
    </w:tblStylePr>
    <w:tblStylePr w:type="band1Horz">
      <w:rPr>
        <w:rFonts w:ascii="Arial" w:hAnsi="Arial"/>
        <w:color w:val="404040"/>
        <w:sz w:val="22"/>
      </w:rPr>
      <w:tcPr>
        <w:tcBorders>
          <w:top w:val="single" w:color="000000" w:sz="4" w:space="0"/>
          <w:bottom w:val="single" w:color="000000" w:sz="4" w:space="0"/>
        </w:tcBorders>
      </w:tcPr>
    </w:tblStylePr>
  </w:style>
  <w:style w:type="table" w:customStyle="1" w:styleId="1674">
    <w:name w:val="List Table 3 - Accent 18"/>
    <w:basedOn w:val="13"/>
    <w:uiPriority w:val="99"/>
    <w:rPr>
      <w:sz w:val="22"/>
      <w:szCs w:val="22"/>
      <w:lang w:eastAsia="en-US"/>
    </w:rPr>
    <w:tblPr>
      <w:tblBorders>
        <w:top w:val="single" w:color="4F81BD" w:sz="4" w:space="0"/>
        <w:left w:val="single" w:color="4F81BD" w:sz="4" w:space="0"/>
        <w:bottom w:val="single" w:color="4F81BD" w:sz="4" w:space="0"/>
        <w:right w:val="single" w:color="4F81BD" w:sz="4" w:space="0"/>
      </w:tblBorders>
      <w:tblCellMar>
        <w:top w:w="0" w:type="dxa"/>
        <w:left w:w="108" w:type="dxa"/>
        <w:bottom w:w="0" w:type="dxa"/>
        <w:right w:w="108" w:type="dxa"/>
      </w:tblCellMar>
    </w:tblPr>
    <w:tblStylePr w:type="firstRow">
      <w:rPr>
        <w:rFonts w:ascii="Arial" w:hAnsi="Arial"/>
        <w:b/>
        <w:color w:val="FFFFFF"/>
        <w:sz w:val="22"/>
      </w:rPr>
      <w:tcPr>
        <w:shd w:val="clear" w:color="4F81BD"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4F81BD" w:sz="4" w:space="0"/>
          <w:right w:val="single" w:color="4F81BD" w:sz="4" w:space="0"/>
        </w:tcBorders>
      </w:tcPr>
    </w:tblStylePr>
    <w:tblStylePr w:type="band1Horz">
      <w:rPr>
        <w:rFonts w:ascii="Arial" w:hAnsi="Arial"/>
        <w:color w:val="404040"/>
        <w:sz w:val="22"/>
      </w:rPr>
      <w:tcPr>
        <w:tcBorders>
          <w:top w:val="single" w:color="4F81BD" w:sz="4" w:space="0"/>
          <w:bottom w:val="single" w:color="4F81BD" w:sz="4" w:space="0"/>
        </w:tcBorders>
      </w:tcPr>
    </w:tblStylePr>
  </w:style>
  <w:style w:type="table" w:customStyle="1" w:styleId="1675">
    <w:name w:val="List Table 3 - Accent 28"/>
    <w:basedOn w:val="13"/>
    <w:uiPriority w:val="99"/>
    <w:rPr>
      <w:sz w:val="22"/>
      <w:szCs w:val="22"/>
      <w:lang w:eastAsia="en-US"/>
    </w:rPr>
    <w:tblPr>
      <w:tblBorders>
        <w:top w:val="single" w:color="D99695" w:sz="4" w:space="0"/>
        <w:left w:val="single" w:color="D99695" w:sz="4" w:space="0"/>
        <w:bottom w:val="single" w:color="D99695" w:sz="4" w:space="0"/>
        <w:right w:val="single" w:color="D99695" w:sz="4" w:space="0"/>
      </w:tblBorders>
      <w:tblCellMar>
        <w:top w:w="0" w:type="dxa"/>
        <w:left w:w="108" w:type="dxa"/>
        <w:bottom w:w="0" w:type="dxa"/>
        <w:right w:w="108" w:type="dxa"/>
      </w:tblCellMar>
    </w:tblPr>
    <w:tblStylePr w:type="firstRow">
      <w:rPr>
        <w:rFonts w:ascii="Arial" w:hAnsi="Arial"/>
        <w:b/>
        <w:color w:val="FFFFFF"/>
        <w:sz w:val="22"/>
      </w:rPr>
      <w:tcPr>
        <w:shd w:val="clear" w:color="D99695" w:fill="D9969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D99695" w:sz="4" w:space="0"/>
          <w:right w:val="single" w:color="D99695" w:sz="4" w:space="0"/>
        </w:tcBorders>
      </w:tcPr>
    </w:tblStylePr>
    <w:tblStylePr w:type="band1Horz">
      <w:rPr>
        <w:rFonts w:ascii="Arial" w:hAnsi="Arial"/>
        <w:color w:val="404040"/>
        <w:sz w:val="22"/>
      </w:rPr>
      <w:tcPr>
        <w:tcBorders>
          <w:top w:val="single" w:color="D99695" w:sz="4" w:space="0"/>
          <w:bottom w:val="single" w:color="D99695" w:sz="4" w:space="0"/>
        </w:tcBorders>
      </w:tcPr>
    </w:tblStylePr>
  </w:style>
  <w:style w:type="table" w:customStyle="1" w:styleId="1676">
    <w:name w:val="List Table 3 - Accent 38"/>
    <w:basedOn w:val="13"/>
    <w:uiPriority w:val="99"/>
    <w:rPr>
      <w:sz w:val="22"/>
      <w:szCs w:val="22"/>
      <w:lang w:eastAsia="en-US"/>
    </w:rPr>
    <w:tblPr>
      <w:tblBorders>
        <w:top w:val="single" w:color="C3D69B" w:sz="4" w:space="0"/>
        <w:left w:val="single" w:color="C3D69B" w:sz="4" w:space="0"/>
        <w:bottom w:val="single" w:color="C3D69B" w:sz="4" w:space="0"/>
        <w:right w:val="single" w:color="C3D69B" w:sz="4" w:space="0"/>
      </w:tblBorders>
      <w:tblCellMar>
        <w:top w:w="0" w:type="dxa"/>
        <w:left w:w="108" w:type="dxa"/>
        <w:bottom w:w="0" w:type="dxa"/>
        <w:right w:w="108" w:type="dxa"/>
      </w:tblCellMar>
    </w:tblPr>
    <w:tblStylePr w:type="firstRow">
      <w:rPr>
        <w:rFonts w:ascii="Arial" w:hAnsi="Arial"/>
        <w:b/>
        <w:color w:val="FFFFFF"/>
        <w:sz w:val="22"/>
      </w:rPr>
      <w:tcPr>
        <w:shd w:val="clear" w:color="C3D69B" w:fill="C3D69B"/>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C3D69B" w:sz="4" w:space="0"/>
          <w:right w:val="single" w:color="C3D69B" w:sz="4" w:space="0"/>
        </w:tcBorders>
      </w:tcPr>
    </w:tblStylePr>
    <w:tblStylePr w:type="band1Horz">
      <w:rPr>
        <w:rFonts w:ascii="Arial" w:hAnsi="Arial"/>
        <w:color w:val="404040"/>
        <w:sz w:val="22"/>
      </w:rPr>
      <w:tcPr>
        <w:tcBorders>
          <w:top w:val="single" w:color="C3D69B" w:sz="4" w:space="0"/>
          <w:bottom w:val="single" w:color="C3D69B" w:sz="4" w:space="0"/>
        </w:tcBorders>
      </w:tcPr>
    </w:tblStylePr>
  </w:style>
  <w:style w:type="table" w:customStyle="1" w:styleId="1677">
    <w:name w:val="List Table 3 - Accent 48"/>
    <w:basedOn w:val="13"/>
    <w:uiPriority w:val="99"/>
    <w:rPr>
      <w:sz w:val="22"/>
      <w:szCs w:val="22"/>
      <w:lang w:eastAsia="en-US"/>
    </w:rPr>
    <w:tblPr>
      <w:tblBorders>
        <w:top w:val="single" w:color="B2A1C6" w:sz="4" w:space="0"/>
        <w:left w:val="single" w:color="B2A1C6" w:sz="4" w:space="0"/>
        <w:bottom w:val="single" w:color="B2A1C6" w:sz="4" w:space="0"/>
        <w:right w:val="single" w:color="B2A1C6" w:sz="4" w:space="0"/>
      </w:tblBorders>
      <w:tblCellMar>
        <w:top w:w="0" w:type="dxa"/>
        <w:left w:w="108" w:type="dxa"/>
        <w:bottom w:w="0" w:type="dxa"/>
        <w:right w:w="108" w:type="dxa"/>
      </w:tblCellMar>
    </w:tblPr>
    <w:tblStylePr w:type="firstRow">
      <w:rPr>
        <w:rFonts w:ascii="Arial" w:hAnsi="Arial"/>
        <w:b/>
        <w:color w:val="FFFFFF"/>
        <w:sz w:val="22"/>
      </w:rPr>
      <w:tcPr>
        <w:shd w:val="clear" w:color="B2A1C6" w:fill="B2A1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B2A1C6" w:sz="4" w:space="0"/>
          <w:right w:val="single" w:color="B2A1C6" w:sz="4" w:space="0"/>
        </w:tcBorders>
      </w:tcPr>
    </w:tblStylePr>
    <w:tblStylePr w:type="band1Horz">
      <w:rPr>
        <w:rFonts w:ascii="Arial" w:hAnsi="Arial"/>
        <w:color w:val="404040"/>
        <w:sz w:val="22"/>
      </w:rPr>
      <w:tcPr>
        <w:tcBorders>
          <w:top w:val="single" w:color="B2A1C6" w:sz="4" w:space="0"/>
          <w:bottom w:val="single" w:color="B2A1C6" w:sz="4" w:space="0"/>
        </w:tcBorders>
      </w:tcPr>
    </w:tblStylePr>
  </w:style>
  <w:style w:type="table" w:customStyle="1" w:styleId="1678">
    <w:name w:val="List Table 3 - Accent 58"/>
    <w:basedOn w:val="13"/>
    <w:uiPriority w:val="99"/>
    <w:rPr>
      <w:sz w:val="22"/>
      <w:szCs w:val="22"/>
      <w:lang w:eastAsia="en-US"/>
    </w:rPr>
    <w:tblPr>
      <w:tblBorders>
        <w:top w:val="single" w:color="92CCDC" w:sz="4" w:space="0"/>
        <w:left w:val="single" w:color="92CCDC" w:sz="4" w:space="0"/>
        <w:bottom w:val="single" w:color="92CCDC" w:sz="4" w:space="0"/>
        <w:right w:val="single" w:color="92CCDC" w:sz="4" w:space="0"/>
      </w:tblBorders>
      <w:tblCellMar>
        <w:top w:w="0" w:type="dxa"/>
        <w:left w:w="108" w:type="dxa"/>
        <w:bottom w:w="0" w:type="dxa"/>
        <w:right w:w="108" w:type="dxa"/>
      </w:tblCellMar>
    </w:tblPr>
    <w:tblStylePr w:type="firstRow">
      <w:rPr>
        <w:rFonts w:ascii="Arial" w:hAnsi="Arial"/>
        <w:b/>
        <w:color w:val="FFFFFF"/>
        <w:sz w:val="22"/>
      </w:rPr>
      <w:tcPr>
        <w:shd w:val="clear" w:color="92CCDC" w:fill="92CCDC"/>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92CCDC" w:sz="4" w:space="0"/>
          <w:right w:val="single" w:color="92CCDC" w:sz="4" w:space="0"/>
        </w:tcBorders>
      </w:tcPr>
    </w:tblStylePr>
    <w:tblStylePr w:type="band1Horz">
      <w:rPr>
        <w:rFonts w:ascii="Arial" w:hAnsi="Arial"/>
        <w:color w:val="404040"/>
        <w:sz w:val="22"/>
      </w:rPr>
      <w:tcPr>
        <w:tcBorders>
          <w:top w:val="single" w:color="92CCDC" w:sz="4" w:space="0"/>
          <w:bottom w:val="single" w:color="92CCDC" w:sz="4" w:space="0"/>
        </w:tcBorders>
      </w:tcPr>
    </w:tblStylePr>
  </w:style>
  <w:style w:type="table" w:customStyle="1" w:styleId="1679">
    <w:name w:val="List Table 3 - Accent 68"/>
    <w:basedOn w:val="13"/>
    <w:uiPriority w:val="99"/>
    <w:rPr>
      <w:sz w:val="22"/>
      <w:szCs w:val="22"/>
      <w:lang w:eastAsia="en-US"/>
    </w:rPr>
    <w:tblPr>
      <w:tblBorders>
        <w:top w:val="single" w:color="FAC090" w:sz="4" w:space="0"/>
        <w:left w:val="single" w:color="FAC090" w:sz="4" w:space="0"/>
        <w:bottom w:val="single" w:color="FAC090" w:sz="4" w:space="0"/>
        <w:right w:val="single" w:color="FAC090" w:sz="4" w:space="0"/>
      </w:tblBorders>
      <w:tblCellMar>
        <w:top w:w="0" w:type="dxa"/>
        <w:left w:w="108" w:type="dxa"/>
        <w:bottom w:w="0" w:type="dxa"/>
        <w:right w:w="108" w:type="dxa"/>
      </w:tblCellMar>
    </w:tblPr>
    <w:tblStylePr w:type="firstRow">
      <w:rPr>
        <w:rFonts w:ascii="Arial" w:hAnsi="Arial"/>
        <w:b/>
        <w:color w:val="FFFFFF"/>
        <w:sz w:val="22"/>
      </w:rPr>
      <w:tcPr>
        <w:shd w:val="clear" w:color="FAC090" w:fill="FAC09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FAC090" w:sz="4" w:space="0"/>
          <w:right w:val="single" w:color="FAC090" w:sz="4" w:space="0"/>
        </w:tcBorders>
      </w:tcPr>
    </w:tblStylePr>
    <w:tblStylePr w:type="band1Horz">
      <w:rPr>
        <w:rFonts w:ascii="Arial" w:hAnsi="Arial"/>
        <w:color w:val="404040"/>
        <w:sz w:val="22"/>
      </w:rPr>
      <w:tcPr>
        <w:tcBorders>
          <w:top w:val="single" w:color="FAC090" w:sz="4" w:space="0"/>
          <w:bottom w:val="single" w:color="FAC090" w:sz="4" w:space="0"/>
        </w:tcBorders>
      </w:tcPr>
    </w:tblStylePr>
  </w:style>
  <w:style w:type="table" w:customStyle="1" w:styleId="1680">
    <w:name w:val="Список-таблица 416"/>
    <w:basedOn w:val="13"/>
    <w:uiPriority w:val="99"/>
    <w:rPr>
      <w:sz w:val="22"/>
      <w:szCs w:val="22"/>
      <w:lang w:eastAsia="en-US"/>
    </w:rPr>
    <w:tblPr>
      <w:tblBorders>
        <w:top w:val="single" w:color="000000" w:sz="4" w:space="0"/>
        <w:left w:val="single" w:color="000000" w:sz="4" w:space="0"/>
        <w:bottom w:val="single" w:color="000000" w:sz="4" w:space="0"/>
        <w:right w:val="single" w:color="000000" w:sz="4" w:space="0"/>
        <w:insideH w:val="single" w:color="000000" w:sz="4" w:space="0"/>
      </w:tblBorders>
      <w:tblCellMar>
        <w:top w:w="0" w:type="dxa"/>
        <w:left w:w="108" w:type="dxa"/>
        <w:bottom w:w="0" w:type="dxa"/>
        <w:right w:w="108" w:type="dxa"/>
      </w:tblCellMar>
    </w:tblPr>
    <w:tblStylePr w:type="firstRow">
      <w:rPr>
        <w:rFonts w:ascii="Arial" w:hAnsi="Arial"/>
        <w:b/>
        <w:color w:val="FFFFFF"/>
        <w:sz w:val="22"/>
      </w:r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BFBFBF" w:fill="BFBFBF"/>
      </w:tcPr>
    </w:tblStylePr>
    <w:tblStylePr w:type="band1Horz">
      <w:rPr>
        <w:rFonts w:ascii="Arial" w:hAnsi="Arial"/>
        <w:color w:val="404040"/>
        <w:sz w:val="22"/>
      </w:rPr>
      <w:tcPr>
        <w:shd w:val="clear" w:color="BFBFBF" w:fill="BFBFBF"/>
      </w:tcPr>
    </w:tblStylePr>
  </w:style>
  <w:style w:type="table" w:customStyle="1" w:styleId="1681">
    <w:name w:val="List Table 4 - Accent 18"/>
    <w:basedOn w:val="13"/>
    <w:uiPriority w:val="99"/>
    <w:rPr>
      <w:sz w:val="22"/>
      <w:szCs w:val="22"/>
      <w:lang w:eastAsia="en-US"/>
    </w:rPr>
    <w:tblPr>
      <w:tblBorders>
        <w:top w:val="single" w:color="9BB7D9" w:sz="4" w:space="0"/>
        <w:left w:val="single" w:color="9BB7D9" w:sz="4" w:space="0"/>
        <w:bottom w:val="single" w:color="9BB7D9" w:sz="4" w:space="0"/>
        <w:right w:val="single" w:color="9BB7D9" w:sz="4" w:space="0"/>
        <w:insideH w:val="single" w:color="9BB7D9" w:sz="4" w:space="0"/>
      </w:tblBorders>
      <w:tblCellMar>
        <w:top w:w="0" w:type="dxa"/>
        <w:left w:w="108" w:type="dxa"/>
        <w:bottom w:w="0" w:type="dxa"/>
        <w:right w:w="108" w:type="dxa"/>
      </w:tblCellMar>
    </w:tblPr>
    <w:tblStylePr w:type="firstRow">
      <w:rPr>
        <w:rFonts w:ascii="Arial" w:hAnsi="Arial"/>
        <w:b/>
        <w:color w:val="FFFFFF"/>
        <w:sz w:val="22"/>
      </w:rPr>
      <w:tcPr>
        <w:shd w:val="clear" w:color="4F81BD"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D2DFEE" w:fill="D2DFEE"/>
      </w:tcPr>
    </w:tblStylePr>
    <w:tblStylePr w:type="band1Horz">
      <w:rPr>
        <w:rFonts w:ascii="Arial" w:hAnsi="Arial"/>
        <w:color w:val="404040"/>
        <w:sz w:val="22"/>
      </w:rPr>
      <w:tcPr>
        <w:shd w:val="clear" w:color="D2DFEE" w:fill="D2DFEE"/>
      </w:tcPr>
    </w:tblStylePr>
  </w:style>
  <w:style w:type="table" w:customStyle="1" w:styleId="1682">
    <w:name w:val="List Table 4 - Accent 28"/>
    <w:basedOn w:val="13"/>
    <w:uiPriority w:val="99"/>
    <w:rPr>
      <w:sz w:val="22"/>
      <w:szCs w:val="22"/>
      <w:lang w:eastAsia="en-US"/>
    </w:rPr>
    <w:tblPr>
      <w:tblBorders>
        <w:top w:val="single" w:color="DB9B9A" w:sz="4" w:space="0"/>
        <w:left w:val="single" w:color="DB9B9A" w:sz="4" w:space="0"/>
        <w:bottom w:val="single" w:color="DB9B9A" w:sz="4" w:space="0"/>
        <w:right w:val="single" w:color="DB9B9A" w:sz="4" w:space="0"/>
        <w:insideH w:val="single" w:color="DB9B9A" w:sz="4" w:space="0"/>
      </w:tblBorders>
      <w:tblCellMar>
        <w:top w:w="0" w:type="dxa"/>
        <w:left w:w="108" w:type="dxa"/>
        <w:bottom w:w="0" w:type="dxa"/>
        <w:right w:w="108" w:type="dxa"/>
      </w:tblCellMar>
    </w:tblPr>
    <w:tblStylePr w:type="firstRow">
      <w:rPr>
        <w:rFonts w:ascii="Arial" w:hAnsi="Arial"/>
        <w:b/>
        <w:color w:val="FFFFFF"/>
        <w:sz w:val="22"/>
      </w:rPr>
      <w:tcPr>
        <w:shd w:val="clear" w:color="C0504D" w:fill="C0504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EFD2D2" w:fill="EFD2D2"/>
      </w:tcPr>
    </w:tblStylePr>
    <w:tblStylePr w:type="band1Horz">
      <w:rPr>
        <w:rFonts w:ascii="Arial" w:hAnsi="Arial"/>
        <w:color w:val="404040"/>
        <w:sz w:val="22"/>
      </w:rPr>
      <w:tcPr>
        <w:shd w:val="clear" w:color="EFD2D2" w:fill="EFD2D2"/>
      </w:tcPr>
    </w:tblStylePr>
  </w:style>
  <w:style w:type="table" w:customStyle="1" w:styleId="1683">
    <w:name w:val="List Table 4 - Accent 38"/>
    <w:basedOn w:val="13"/>
    <w:uiPriority w:val="99"/>
    <w:rPr>
      <w:sz w:val="22"/>
      <w:szCs w:val="22"/>
      <w:lang w:eastAsia="en-US"/>
    </w:rPr>
    <w:tblPr>
      <w:tblBorders>
        <w:top w:val="single" w:color="C6D8A1" w:sz="4" w:space="0"/>
        <w:left w:val="single" w:color="C6D8A1" w:sz="4" w:space="0"/>
        <w:bottom w:val="single" w:color="C6D8A1" w:sz="4" w:space="0"/>
        <w:right w:val="single" w:color="C6D8A1" w:sz="4" w:space="0"/>
        <w:insideH w:val="single" w:color="C6D8A1" w:sz="4" w:space="0"/>
      </w:tblBorders>
      <w:tblCellMar>
        <w:top w:w="0" w:type="dxa"/>
        <w:left w:w="108" w:type="dxa"/>
        <w:bottom w:w="0" w:type="dxa"/>
        <w:right w:w="108" w:type="dxa"/>
      </w:tblCellMar>
    </w:tblPr>
    <w:tblStylePr w:type="firstRow">
      <w:rPr>
        <w:rFonts w:ascii="Arial" w:hAnsi="Arial"/>
        <w:b/>
        <w:color w:val="FFFFFF"/>
        <w:sz w:val="22"/>
      </w:rPr>
      <w:tcPr>
        <w:shd w:val="clear" w:color="9BBB59" w:fill="9BBB59"/>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E5EED5" w:fill="E5EED5"/>
      </w:tcPr>
    </w:tblStylePr>
    <w:tblStylePr w:type="band1Horz">
      <w:rPr>
        <w:rFonts w:ascii="Arial" w:hAnsi="Arial"/>
        <w:color w:val="404040"/>
        <w:sz w:val="22"/>
      </w:rPr>
      <w:tcPr>
        <w:shd w:val="clear" w:color="E5EED5" w:fill="E5EED5"/>
      </w:tcPr>
    </w:tblStylePr>
  </w:style>
  <w:style w:type="table" w:customStyle="1" w:styleId="1684">
    <w:name w:val="List Table 4 - Accent 48"/>
    <w:basedOn w:val="13"/>
    <w:uiPriority w:val="99"/>
    <w:rPr>
      <w:sz w:val="22"/>
      <w:szCs w:val="22"/>
      <w:lang w:eastAsia="en-US"/>
    </w:rPr>
    <w:tblPr>
      <w:tblBorders>
        <w:top w:val="single" w:color="B7A7CA" w:sz="4" w:space="0"/>
        <w:left w:val="single" w:color="B7A7CA" w:sz="4" w:space="0"/>
        <w:bottom w:val="single" w:color="B7A7CA" w:sz="4" w:space="0"/>
        <w:right w:val="single" w:color="B7A7CA" w:sz="4" w:space="0"/>
        <w:insideH w:val="single" w:color="B7A7CA" w:sz="4" w:space="0"/>
      </w:tblBorders>
      <w:tblCellMar>
        <w:top w:w="0" w:type="dxa"/>
        <w:left w:w="108" w:type="dxa"/>
        <w:bottom w:w="0" w:type="dxa"/>
        <w:right w:w="108" w:type="dxa"/>
      </w:tblCellMar>
    </w:tblPr>
    <w:tblStylePr w:type="firstRow">
      <w:rPr>
        <w:rFonts w:ascii="Arial" w:hAnsi="Arial"/>
        <w:b/>
        <w:color w:val="FFFFFF"/>
        <w:sz w:val="22"/>
      </w:rPr>
      <w:tcPr>
        <w:shd w:val="clear" w:color="8064A2" w:fill="8064A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DFD8E7" w:fill="DFD8E7"/>
      </w:tcPr>
    </w:tblStylePr>
    <w:tblStylePr w:type="band1Horz">
      <w:rPr>
        <w:rFonts w:ascii="Arial" w:hAnsi="Arial"/>
        <w:color w:val="404040"/>
        <w:sz w:val="22"/>
      </w:rPr>
      <w:tcPr>
        <w:shd w:val="clear" w:color="DFD8E7" w:fill="DFD8E7"/>
      </w:tcPr>
    </w:tblStylePr>
  </w:style>
  <w:style w:type="table" w:customStyle="1" w:styleId="1685">
    <w:name w:val="List Table 4 - Accent 58"/>
    <w:basedOn w:val="13"/>
    <w:uiPriority w:val="99"/>
    <w:rPr>
      <w:sz w:val="22"/>
      <w:szCs w:val="22"/>
      <w:lang w:eastAsia="en-US"/>
    </w:rPr>
    <w:tblPr>
      <w:tblBorders>
        <w:top w:val="single" w:color="99D0DE" w:sz="4" w:space="0"/>
        <w:left w:val="single" w:color="99D0DE" w:sz="4" w:space="0"/>
        <w:bottom w:val="single" w:color="99D0DE" w:sz="4" w:space="0"/>
        <w:right w:val="single" w:color="99D0DE" w:sz="4" w:space="0"/>
        <w:insideH w:val="single" w:color="99D0DE" w:sz="4" w:space="0"/>
      </w:tblBorders>
      <w:tblCellMar>
        <w:top w:w="0" w:type="dxa"/>
        <w:left w:w="108" w:type="dxa"/>
        <w:bottom w:w="0" w:type="dxa"/>
        <w:right w:w="108" w:type="dxa"/>
      </w:tblCellMar>
    </w:tblPr>
    <w:tblStylePr w:type="firstRow">
      <w:rPr>
        <w:rFonts w:ascii="Arial" w:hAnsi="Arial"/>
        <w:b/>
        <w:color w:val="FFFFFF"/>
        <w:sz w:val="22"/>
      </w:rPr>
      <w:tcPr>
        <w:shd w:val="clear" w:color="4BACC6" w:fill="4BAC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D1EAF0" w:fill="D1EAF0"/>
      </w:tcPr>
    </w:tblStylePr>
    <w:tblStylePr w:type="band1Horz">
      <w:rPr>
        <w:rFonts w:ascii="Arial" w:hAnsi="Arial"/>
        <w:color w:val="404040"/>
        <w:sz w:val="22"/>
      </w:rPr>
      <w:tcPr>
        <w:shd w:val="clear" w:color="D1EAF0" w:fill="D1EAF0"/>
      </w:tcPr>
    </w:tblStylePr>
  </w:style>
  <w:style w:type="table" w:customStyle="1" w:styleId="1686">
    <w:name w:val="List Table 4 - Accent 68"/>
    <w:basedOn w:val="13"/>
    <w:uiPriority w:val="99"/>
    <w:rPr>
      <w:sz w:val="22"/>
      <w:szCs w:val="22"/>
      <w:lang w:eastAsia="en-US"/>
    </w:rPr>
    <w:tblPr>
      <w:tblBorders>
        <w:top w:val="single" w:color="FAC396" w:sz="4" w:space="0"/>
        <w:left w:val="single" w:color="FAC396" w:sz="4" w:space="0"/>
        <w:bottom w:val="single" w:color="FAC396" w:sz="4" w:space="0"/>
        <w:right w:val="single" w:color="FAC396" w:sz="4" w:space="0"/>
        <w:insideH w:val="single" w:color="FAC396" w:sz="4" w:space="0"/>
      </w:tblBorders>
      <w:tblCellMar>
        <w:top w:w="0" w:type="dxa"/>
        <w:left w:w="108" w:type="dxa"/>
        <w:bottom w:w="0" w:type="dxa"/>
        <w:right w:w="108" w:type="dxa"/>
      </w:tblCellMar>
    </w:tblPr>
    <w:tblStylePr w:type="firstRow">
      <w:rPr>
        <w:rFonts w:ascii="Arial" w:hAnsi="Arial"/>
        <w:b/>
        <w:color w:val="FFFFFF"/>
        <w:sz w:val="22"/>
      </w:rPr>
      <w:tcPr>
        <w:shd w:val="clear" w:color="F79646" w:fill="F7964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FDE4D0" w:fill="FDE4D0"/>
      </w:tcPr>
    </w:tblStylePr>
    <w:tblStylePr w:type="band1Horz">
      <w:rPr>
        <w:rFonts w:ascii="Arial" w:hAnsi="Arial"/>
        <w:color w:val="404040"/>
        <w:sz w:val="22"/>
      </w:rPr>
      <w:tcPr>
        <w:shd w:val="clear" w:color="FDE4D0" w:fill="FDE4D0"/>
      </w:tcPr>
    </w:tblStylePr>
  </w:style>
  <w:style w:type="table" w:customStyle="1" w:styleId="1687">
    <w:name w:val="Список-таблица 5 темная16"/>
    <w:basedOn w:val="13"/>
    <w:uiPriority w:val="99"/>
    <w:rPr>
      <w:sz w:val="22"/>
      <w:szCs w:val="22"/>
      <w:lang w:eastAsia="en-US"/>
    </w:rPr>
    <w:tblPr>
      <w:tblBorders>
        <w:top w:val="single" w:color="7F7F7F" w:sz="32" w:space="0"/>
        <w:left w:val="single" w:color="7F7F7F" w:sz="32" w:space="0"/>
        <w:bottom w:val="single" w:color="7F7F7F" w:sz="32" w:space="0"/>
        <w:right w:val="single" w:color="7F7F7F" w:sz="32" w:space="0"/>
      </w:tblBorders>
      <w:tblCellMar>
        <w:top w:w="0" w:type="dxa"/>
        <w:left w:w="108" w:type="dxa"/>
        <w:bottom w:w="0" w:type="dxa"/>
        <w:right w:w="108" w:type="dxa"/>
      </w:tblCellMar>
    </w:tblPr>
    <w:tblStylePr w:type="firstRow">
      <w:rPr>
        <w:rFonts w:ascii="Arial" w:hAnsi="Arial"/>
        <w:b/>
        <w:color w:val="FFFFFF"/>
        <w:sz w:val="22"/>
      </w:rPr>
      <w:tcPr>
        <w:tcBorders>
          <w:top w:val="single" w:color="7F7F7F" w:sz="32" w:space="0"/>
          <w:bottom w:val="single" w:color="FFFFFF" w:sz="12" w:space="0"/>
        </w:tcBorders>
        <w:shd w:val="clear" w:color="7F7F7F" w:fill="7F7F7F"/>
      </w:tcPr>
    </w:tblStylePr>
    <w:tblStylePr w:type="lastRow">
      <w:rPr>
        <w:rFonts w:ascii="Arial" w:hAnsi="Arial"/>
        <w:b/>
        <w:color w:val="FFFFFF"/>
        <w:sz w:val="22"/>
      </w:rPr>
    </w:tblStylePr>
    <w:tblStylePr w:type="firstCol">
      <w:rPr>
        <w:rFonts w:ascii="Arial" w:hAnsi="Arial"/>
        <w:b/>
        <w:color w:val="FFFFFF"/>
        <w:sz w:val="22"/>
      </w:rPr>
      <w:tcPr>
        <w:tcBorders>
          <w:left w:val="single" w:color="7F7F7F" w:sz="32" w:space="0"/>
          <w:right w:val="single" w:color="FFFFFF" w:sz="4" w:space="0"/>
        </w:tcBorders>
      </w:tcPr>
    </w:tblStylePr>
    <w:tblStylePr w:type="lastCol">
      <w:tcPr>
        <w:tcBorders>
          <w:left w:val="single" w:color="FFFFFF" w:sz="4" w:space="0"/>
          <w:right w:val="single" w:color="7F7F7F" w:sz="32" w:space="0"/>
        </w:tcBorders>
      </w:tcPr>
    </w:tblStylePr>
    <w:tblStylePr w:type="band1Vert">
      <w:tcPr>
        <w:tcBorders>
          <w:left w:val="single" w:color="FFFFFF" w:sz="4" w:space="0"/>
          <w:right w:val="single" w:color="FFFFFF" w:sz="4" w:space="0"/>
        </w:tcBorders>
        <w:shd w:val="clear" w:color="7F7F7F" w:fill="7F7F7F"/>
      </w:tcPr>
    </w:tblStylePr>
    <w:tblStylePr w:type="band2Vert">
      <w:tcPr>
        <w:tcBorders>
          <w:left w:val="single" w:color="FFFFFF" w:sz="4" w:space="0"/>
          <w:right w:val="single" w:color="FFFFFF" w:sz="4" w:space="0"/>
        </w:tcBorders>
      </w:tcPr>
    </w:tblStylePr>
    <w:tblStylePr w:type="band1Horz">
      <w:tcPr>
        <w:tcBorders>
          <w:top w:val="single" w:color="FFFFFF" w:sz="4" w:space="0"/>
          <w:bottom w:val="single" w:color="FFFFFF" w:sz="4" w:space="0"/>
        </w:tcBorders>
        <w:shd w:val="clear" w:color="7F7F7F" w:fill="7F7F7F"/>
      </w:tcPr>
    </w:tblStylePr>
    <w:tblStylePr w:type="band2Horz">
      <w:tcPr>
        <w:tcBorders>
          <w:top w:val="single" w:color="FFFFFF" w:sz="4" w:space="0"/>
          <w:bottom w:val="single" w:color="FFFFFF" w:sz="4" w:space="0"/>
        </w:tcBorders>
        <w:shd w:val="clear" w:color="7F7F7F" w:fill="7F7F7F"/>
      </w:tcPr>
    </w:tblStylePr>
  </w:style>
  <w:style w:type="table" w:customStyle="1" w:styleId="1688">
    <w:name w:val="List Table 5 Dark - Accent 18"/>
    <w:basedOn w:val="13"/>
    <w:uiPriority w:val="99"/>
    <w:rPr>
      <w:sz w:val="22"/>
      <w:szCs w:val="22"/>
      <w:lang w:eastAsia="en-US"/>
    </w:rPr>
    <w:tblPr>
      <w:tblBorders>
        <w:top w:val="single" w:color="4F81BD" w:sz="32" w:space="0"/>
        <w:left w:val="single" w:color="4F81BD" w:sz="32" w:space="0"/>
        <w:bottom w:val="single" w:color="4F81BD" w:sz="32" w:space="0"/>
        <w:right w:val="single" w:color="4F81BD" w:sz="32" w:space="0"/>
      </w:tblBorders>
      <w:tblCellMar>
        <w:top w:w="0" w:type="dxa"/>
        <w:left w:w="108" w:type="dxa"/>
        <w:bottom w:w="0" w:type="dxa"/>
        <w:right w:w="108" w:type="dxa"/>
      </w:tblCellMar>
    </w:tblPr>
    <w:tblStylePr w:type="firstRow">
      <w:rPr>
        <w:rFonts w:ascii="Arial" w:hAnsi="Arial"/>
        <w:b/>
        <w:color w:val="FFFFFF"/>
        <w:sz w:val="22"/>
      </w:rPr>
      <w:tcPr>
        <w:tcBorders>
          <w:top w:val="single" w:color="4F81BD" w:sz="32" w:space="0"/>
          <w:bottom w:val="single" w:color="FFFFFF" w:sz="12" w:space="0"/>
        </w:tcBorders>
        <w:shd w:val="clear" w:color="4F81BD" w:fill="4F81BD"/>
      </w:tcPr>
    </w:tblStylePr>
    <w:tblStylePr w:type="lastRow">
      <w:rPr>
        <w:rFonts w:ascii="Arial" w:hAnsi="Arial"/>
        <w:b/>
        <w:color w:val="FFFFFF"/>
        <w:sz w:val="22"/>
      </w:rPr>
    </w:tblStylePr>
    <w:tblStylePr w:type="firstCol">
      <w:rPr>
        <w:rFonts w:ascii="Arial" w:hAnsi="Arial"/>
        <w:b/>
        <w:color w:val="FFFFFF"/>
        <w:sz w:val="22"/>
      </w:rPr>
      <w:tcPr>
        <w:tcBorders>
          <w:left w:val="single" w:color="4F81BD" w:sz="32" w:space="0"/>
          <w:right w:val="single" w:color="FFFFFF" w:sz="4" w:space="0"/>
        </w:tcBorders>
      </w:tcPr>
    </w:tblStylePr>
    <w:tblStylePr w:type="lastCol">
      <w:tcPr>
        <w:tcBorders>
          <w:left w:val="single" w:color="FFFFFF" w:sz="4" w:space="0"/>
          <w:right w:val="single" w:color="4F81BD" w:sz="32" w:space="0"/>
        </w:tcBorders>
      </w:tcPr>
    </w:tblStylePr>
    <w:tblStylePr w:type="band1Vert">
      <w:tcPr>
        <w:tcBorders>
          <w:left w:val="single" w:color="FFFFFF" w:sz="4" w:space="0"/>
          <w:right w:val="single" w:color="FFFFFF" w:sz="4" w:space="0"/>
        </w:tcBorders>
        <w:shd w:val="clear" w:color="4F81BD" w:fill="4F81BD"/>
      </w:tcPr>
    </w:tblStylePr>
    <w:tblStylePr w:type="band2Vert">
      <w:tcPr>
        <w:tcBorders>
          <w:left w:val="single" w:color="FFFFFF" w:sz="4" w:space="0"/>
          <w:right w:val="single" w:color="FFFFFF" w:sz="4" w:space="0"/>
        </w:tcBorders>
      </w:tcPr>
    </w:tblStylePr>
    <w:tblStylePr w:type="band1Horz">
      <w:tcPr>
        <w:tcBorders>
          <w:top w:val="single" w:color="FFFFFF" w:sz="4" w:space="0"/>
          <w:bottom w:val="single" w:color="FFFFFF" w:sz="4" w:space="0"/>
        </w:tcBorders>
        <w:shd w:val="clear" w:color="4F81BD" w:fill="4F81BD"/>
      </w:tcPr>
    </w:tblStylePr>
    <w:tblStylePr w:type="band2Horz">
      <w:tcPr>
        <w:tcBorders>
          <w:top w:val="single" w:color="FFFFFF" w:sz="4" w:space="0"/>
          <w:bottom w:val="single" w:color="FFFFFF" w:sz="4" w:space="0"/>
        </w:tcBorders>
        <w:shd w:val="clear" w:color="4F81BD" w:fill="4F81BD"/>
      </w:tcPr>
    </w:tblStylePr>
  </w:style>
  <w:style w:type="table" w:customStyle="1" w:styleId="1689">
    <w:name w:val="List Table 5 Dark - Accent 28"/>
    <w:basedOn w:val="13"/>
    <w:uiPriority w:val="99"/>
    <w:rPr>
      <w:sz w:val="22"/>
      <w:szCs w:val="22"/>
      <w:lang w:eastAsia="en-US"/>
    </w:rPr>
    <w:tblPr>
      <w:tblBorders>
        <w:top w:val="single" w:color="D99695" w:sz="32" w:space="0"/>
        <w:left w:val="single" w:color="D99695" w:sz="32" w:space="0"/>
        <w:bottom w:val="single" w:color="D99695" w:sz="32" w:space="0"/>
        <w:right w:val="single" w:color="D99695" w:sz="32" w:space="0"/>
      </w:tblBorders>
      <w:tblCellMar>
        <w:top w:w="0" w:type="dxa"/>
        <w:left w:w="108" w:type="dxa"/>
        <w:bottom w:w="0" w:type="dxa"/>
        <w:right w:w="108" w:type="dxa"/>
      </w:tblCellMar>
    </w:tblPr>
    <w:tblStylePr w:type="firstRow">
      <w:rPr>
        <w:rFonts w:ascii="Arial" w:hAnsi="Arial"/>
        <w:b/>
        <w:color w:val="FFFFFF"/>
        <w:sz w:val="22"/>
      </w:rPr>
      <w:tcPr>
        <w:tcBorders>
          <w:top w:val="single" w:color="D99695" w:sz="32" w:space="0"/>
          <w:bottom w:val="single" w:color="FFFFFF" w:sz="12" w:space="0"/>
        </w:tcBorders>
        <w:shd w:val="clear" w:color="D99695" w:fill="D99695"/>
      </w:tcPr>
    </w:tblStylePr>
    <w:tblStylePr w:type="lastRow">
      <w:rPr>
        <w:rFonts w:ascii="Arial" w:hAnsi="Arial"/>
        <w:b/>
        <w:color w:val="FFFFFF"/>
        <w:sz w:val="22"/>
      </w:rPr>
    </w:tblStylePr>
    <w:tblStylePr w:type="firstCol">
      <w:rPr>
        <w:rFonts w:ascii="Arial" w:hAnsi="Arial"/>
        <w:b/>
        <w:color w:val="FFFFFF"/>
        <w:sz w:val="22"/>
      </w:rPr>
      <w:tcPr>
        <w:tcBorders>
          <w:left w:val="single" w:color="D99695" w:sz="32" w:space="0"/>
          <w:right w:val="single" w:color="FFFFFF" w:sz="4" w:space="0"/>
        </w:tcBorders>
      </w:tcPr>
    </w:tblStylePr>
    <w:tblStylePr w:type="lastCol">
      <w:tcPr>
        <w:tcBorders>
          <w:left w:val="single" w:color="FFFFFF" w:sz="4" w:space="0"/>
          <w:right w:val="single" w:color="D99695" w:sz="32" w:space="0"/>
        </w:tcBorders>
      </w:tcPr>
    </w:tblStylePr>
    <w:tblStylePr w:type="band1Vert">
      <w:tcPr>
        <w:tcBorders>
          <w:left w:val="single" w:color="FFFFFF" w:sz="4" w:space="0"/>
          <w:right w:val="single" w:color="FFFFFF" w:sz="4" w:space="0"/>
        </w:tcBorders>
        <w:shd w:val="clear" w:color="D99695" w:fill="D99695"/>
      </w:tcPr>
    </w:tblStylePr>
    <w:tblStylePr w:type="band2Vert">
      <w:tcPr>
        <w:tcBorders>
          <w:left w:val="single" w:color="FFFFFF" w:sz="4" w:space="0"/>
          <w:right w:val="single" w:color="FFFFFF" w:sz="4" w:space="0"/>
        </w:tcBorders>
      </w:tcPr>
    </w:tblStylePr>
    <w:tblStylePr w:type="band1Horz">
      <w:tcPr>
        <w:tcBorders>
          <w:top w:val="single" w:color="FFFFFF" w:sz="4" w:space="0"/>
          <w:bottom w:val="single" w:color="FFFFFF" w:sz="4" w:space="0"/>
        </w:tcBorders>
        <w:shd w:val="clear" w:color="D99695" w:fill="D99695"/>
      </w:tcPr>
    </w:tblStylePr>
    <w:tblStylePr w:type="band2Horz">
      <w:tcPr>
        <w:tcBorders>
          <w:top w:val="single" w:color="FFFFFF" w:sz="4" w:space="0"/>
          <w:bottom w:val="single" w:color="FFFFFF" w:sz="4" w:space="0"/>
        </w:tcBorders>
        <w:shd w:val="clear" w:color="D99695" w:fill="D99695"/>
      </w:tcPr>
    </w:tblStylePr>
  </w:style>
  <w:style w:type="table" w:customStyle="1" w:styleId="1690">
    <w:name w:val="List Table 5 Dark - Accent 38"/>
    <w:basedOn w:val="13"/>
    <w:uiPriority w:val="99"/>
    <w:rPr>
      <w:sz w:val="22"/>
      <w:szCs w:val="22"/>
      <w:lang w:eastAsia="en-US"/>
    </w:rPr>
    <w:tblPr>
      <w:tblBorders>
        <w:top w:val="single" w:color="C3D69B" w:sz="32" w:space="0"/>
        <w:left w:val="single" w:color="C3D69B" w:sz="32" w:space="0"/>
        <w:bottom w:val="single" w:color="C3D69B" w:sz="32" w:space="0"/>
        <w:right w:val="single" w:color="C3D69B" w:sz="32" w:space="0"/>
      </w:tblBorders>
      <w:tblCellMar>
        <w:top w:w="0" w:type="dxa"/>
        <w:left w:w="108" w:type="dxa"/>
        <w:bottom w:w="0" w:type="dxa"/>
        <w:right w:w="108" w:type="dxa"/>
      </w:tblCellMar>
    </w:tblPr>
    <w:tblStylePr w:type="firstRow">
      <w:rPr>
        <w:rFonts w:ascii="Arial" w:hAnsi="Arial"/>
        <w:b/>
        <w:color w:val="FFFFFF"/>
        <w:sz w:val="22"/>
      </w:rPr>
      <w:tcPr>
        <w:tcBorders>
          <w:top w:val="single" w:color="C3D69B" w:sz="32" w:space="0"/>
          <w:bottom w:val="single" w:color="FFFFFF" w:sz="12" w:space="0"/>
        </w:tcBorders>
        <w:shd w:val="clear" w:color="C3D69B" w:fill="C3D69B"/>
      </w:tcPr>
    </w:tblStylePr>
    <w:tblStylePr w:type="lastRow">
      <w:rPr>
        <w:rFonts w:ascii="Arial" w:hAnsi="Arial"/>
        <w:b/>
        <w:color w:val="FFFFFF"/>
        <w:sz w:val="22"/>
      </w:rPr>
    </w:tblStylePr>
    <w:tblStylePr w:type="firstCol">
      <w:rPr>
        <w:rFonts w:ascii="Arial" w:hAnsi="Arial"/>
        <w:b/>
        <w:color w:val="FFFFFF"/>
        <w:sz w:val="22"/>
      </w:rPr>
      <w:tcPr>
        <w:tcBorders>
          <w:left w:val="single" w:color="C3D69B" w:sz="32" w:space="0"/>
          <w:right w:val="single" w:color="FFFFFF" w:sz="4" w:space="0"/>
        </w:tcBorders>
      </w:tcPr>
    </w:tblStylePr>
    <w:tblStylePr w:type="lastCol">
      <w:tcPr>
        <w:tcBorders>
          <w:left w:val="single" w:color="FFFFFF" w:sz="4" w:space="0"/>
          <w:right w:val="single" w:color="C3D69B" w:sz="32" w:space="0"/>
        </w:tcBorders>
      </w:tcPr>
    </w:tblStylePr>
    <w:tblStylePr w:type="band1Vert">
      <w:tcPr>
        <w:tcBorders>
          <w:left w:val="single" w:color="FFFFFF" w:sz="4" w:space="0"/>
          <w:right w:val="single" w:color="FFFFFF" w:sz="4" w:space="0"/>
        </w:tcBorders>
        <w:shd w:val="clear" w:color="C3D69B" w:fill="C3D69B"/>
      </w:tcPr>
    </w:tblStylePr>
    <w:tblStylePr w:type="band2Vert">
      <w:tcPr>
        <w:tcBorders>
          <w:left w:val="single" w:color="FFFFFF" w:sz="4" w:space="0"/>
          <w:right w:val="single" w:color="FFFFFF" w:sz="4" w:space="0"/>
        </w:tcBorders>
      </w:tcPr>
    </w:tblStylePr>
    <w:tblStylePr w:type="band1Horz">
      <w:tcPr>
        <w:tcBorders>
          <w:top w:val="single" w:color="FFFFFF" w:sz="4" w:space="0"/>
          <w:bottom w:val="single" w:color="FFFFFF" w:sz="4" w:space="0"/>
        </w:tcBorders>
        <w:shd w:val="clear" w:color="C3D69B" w:fill="C3D69B"/>
      </w:tcPr>
    </w:tblStylePr>
    <w:tblStylePr w:type="band2Horz">
      <w:tcPr>
        <w:tcBorders>
          <w:top w:val="single" w:color="FFFFFF" w:sz="4" w:space="0"/>
          <w:bottom w:val="single" w:color="FFFFFF" w:sz="4" w:space="0"/>
        </w:tcBorders>
        <w:shd w:val="clear" w:color="C3D69B" w:fill="C3D69B"/>
      </w:tcPr>
    </w:tblStylePr>
  </w:style>
  <w:style w:type="table" w:customStyle="1" w:styleId="1691">
    <w:name w:val="List Table 5 Dark - Accent 48"/>
    <w:basedOn w:val="13"/>
    <w:uiPriority w:val="99"/>
    <w:rPr>
      <w:sz w:val="22"/>
      <w:szCs w:val="22"/>
      <w:lang w:eastAsia="en-US"/>
    </w:rPr>
    <w:tblPr>
      <w:tblBorders>
        <w:top w:val="single" w:color="B2A1C6" w:sz="32" w:space="0"/>
        <w:left w:val="single" w:color="B2A1C6" w:sz="32" w:space="0"/>
        <w:bottom w:val="single" w:color="B2A1C6" w:sz="32" w:space="0"/>
        <w:right w:val="single" w:color="B2A1C6" w:sz="32" w:space="0"/>
      </w:tblBorders>
      <w:tblCellMar>
        <w:top w:w="0" w:type="dxa"/>
        <w:left w:w="108" w:type="dxa"/>
        <w:bottom w:w="0" w:type="dxa"/>
        <w:right w:w="108" w:type="dxa"/>
      </w:tblCellMar>
    </w:tblPr>
    <w:tblStylePr w:type="firstRow">
      <w:rPr>
        <w:rFonts w:ascii="Arial" w:hAnsi="Arial"/>
        <w:b/>
        <w:color w:val="FFFFFF"/>
        <w:sz w:val="22"/>
      </w:rPr>
      <w:tcPr>
        <w:tcBorders>
          <w:top w:val="single" w:color="B2A1C6" w:sz="32" w:space="0"/>
          <w:bottom w:val="single" w:color="FFFFFF" w:sz="12" w:space="0"/>
        </w:tcBorders>
        <w:shd w:val="clear" w:color="B2A1C6" w:fill="B2A1C6"/>
      </w:tcPr>
    </w:tblStylePr>
    <w:tblStylePr w:type="lastRow">
      <w:rPr>
        <w:rFonts w:ascii="Arial" w:hAnsi="Arial"/>
        <w:b/>
        <w:color w:val="FFFFFF"/>
        <w:sz w:val="22"/>
      </w:rPr>
    </w:tblStylePr>
    <w:tblStylePr w:type="firstCol">
      <w:rPr>
        <w:rFonts w:ascii="Arial" w:hAnsi="Arial"/>
        <w:b/>
        <w:color w:val="FFFFFF"/>
        <w:sz w:val="22"/>
      </w:rPr>
      <w:tcPr>
        <w:tcBorders>
          <w:left w:val="single" w:color="B2A1C6" w:sz="32" w:space="0"/>
          <w:right w:val="single" w:color="FFFFFF" w:sz="4" w:space="0"/>
        </w:tcBorders>
      </w:tcPr>
    </w:tblStylePr>
    <w:tblStylePr w:type="lastCol">
      <w:tcPr>
        <w:tcBorders>
          <w:left w:val="single" w:color="FFFFFF" w:sz="4" w:space="0"/>
          <w:right w:val="single" w:color="B2A1C6" w:sz="32" w:space="0"/>
        </w:tcBorders>
      </w:tcPr>
    </w:tblStylePr>
    <w:tblStylePr w:type="band1Vert">
      <w:tcPr>
        <w:tcBorders>
          <w:left w:val="single" w:color="FFFFFF" w:sz="4" w:space="0"/>
          <w:right w:val="single" w:color="FFFFFF" w:sz="4" w:space="0"/>
        </w:tcBorders>
        <w:shd w:val="clear" w:color="B2A1C6" w:fill="B2A1C6"/>
      </w:tcPr>
    </w:tblStylePr>
    <w:tblStylePr w:type="band2Vert">
      <w:tcPr>
        <w:tcBorders>
          <w:left w:val="single" w:color="FFFFFF" w:sz="4" w:space="0"/>
          <w:right w:val="single" w:color="FFFFFF" w:sz="4" w:space="0"/>
        </w:tcBorders>
      </w:tcPr>
    </w:tblStylePr>
    <w:tblStylePr w:type="band1Horz">
      <w:tcPr>
        <w:tcBorders>
          <w:top w:val="single" w:color="FFFFFF" w:sz="4" w:space="0"/>
          <w:bottom w:val="single" w:color="FFFFFF" w:sz="4" w:space="0"/>
        </w:tcBorders>
        <w:shd w:val="clear" w:color="B2A1C6" w:fill="B2A1C6"/>
      </w:tcPr>
    </w:tblStylePr>
    <w:tblStylePr w:type="band2Horz">
      <w:tcPr>
        <w:tcBorders>
          <w:top w:val="single" w:color="FFFFFF" w:sz="4" w:space="0"/>
          <w:bottom w:val="single" w:color="FFFFFF" w:sz="4" w:space="0"/>
        </w:tcBorders>
        <w:shd w:val="clear" w:color="B2A1C6" w:fill="B2A1C6"/>
      </w:tcPr>
    </w:tblStylePr>
  </w:style>
  <w:style w:type="table" w:customStyle="1" w:styleId="1692">
    <w:name w:val="List Table 5 Dark - Accent 58"/>
    <w:basedOn w:val="13"/>
    <w:uiPriority w:val="99"/>
    <w:rPr>
      <w:sz w:val="22"/>
      <w:szCs w:val="22"/>
      <w:lang w:eastAsia="en-US"/>
    </w:rPr>
    <w:tblPr>
      <w:tblBorders>
        <w:top w:val="single" w:color="92CCDC" w:sz="32" w:space="0"/>
        <w:left w:val="single" w:color="92CCDC" w:sz="32" w:space="0"/>
        <w:bottom w:val="single" w:color="92CCDC" w:sz="32" w:space="0"/>
        <w:right w:val="single" w:color="92CCDC" w:sz="32" w:space="0"/>
      </w:tblBorders>
      <w:tblCellMar>
        <w:top w:w="0" w:type="dxa"/>
        <w:left w:w="108" w:type="dxa"/>
        <w:bottom w:w="0" w:type="dxa"/>
        <w:right w:w="108" w:type="dxa"/>
      </w:tblCellMar>
    </w:tblPr>
    <w:tblStylePr w:type="firstRow">
      <w:rPr>
        <w:rFonts w:ascii="Arial" w:hAnsi="Arial"/>
        <w:b/>
        <w:color w:val="FFFFFF"/>
        <w:sz w:val="22"/>
      </w:rPr>
      <w:tcPr>
        <w:tcBorders>
          <w:top w:val="single" w:color="92CCDC" w:sz="32" w:space="0"/>
          <w:bottom w:val="single" w:color="FFFFFF" w:sz="12" w:space="0"/>
        </w:tcBorders>
        <w:shd w:val="clear" w:color="92CCDC" w:fill="92CCDC"/>
      </w:tcPr>
    </w:tblStylePr>
    <w:tblStylePr w:type="lastRow">
      <w:rPr>
        <w:rFonts w:ascii="Arial" w:hAnsi="Arial"/>
        <w:b/>
        <w:color w:val="FFFFFF"/>
        <w:sz w:val="22"/>
      </w:rPr>
    </w:tblStylePr>
    <w:tblStylePr w:type="firstCol">
      <w:rPr>
        <w:rFonts w:ascii="Arial" w:hAnsi="Arial"/>
        <w:b/>
        <w:color w:val="FFFFFF"/>
        <w:sz w:val="22"/>
      </w:rPr>
      <w:tcPr>
        <w:tcBorders>
          <w:left w:val="single" w:color="92CCDC" w:sz="32" w:space="0"/>
          <w:right w:val="single" w:color="FFFFFF" w:sz="4" w:space="0"/>
        </w:tcBorders>
      </w:tcPr>
    </w:tblStylePr>
    <w:tblStylePr w:type="lastCol">
      <w:tcPr>
        <w:tcBorders>
          <w:left w:val="single" w:color="FFFFFF" w:sz="4" w:space="0"/>
          <w:right w:val="single" w:color="92CCDC" w:sz="32" w:space="0"/>
        </w:tcBorders>
      </w:tcPr>
    </w:tblStylePr>
    <w:tblStylePr w:type="band1Vert">
      <w:tcPr>
        <w:tcBorders>
          <w:left w:val="single" w:color="FFFFFF" w:sz="4" w:space="0"/>
          <w:right w:val="single" w:color="FFFFFF" w:sz="4" w:space="0"/>
        </w:tcBorders>
        <w:shd w:val="clear" w:color="92CCDC" w:fill="92CCDC"/>
      </w:tcPr>
    </w:tblStylePr>
    <w:tblStylePr w:type="band2Vert">
      <w:tcPr>
        <w:tcBorders>
          <w:left w:val="single" w:color="FFFFFF" w:sz="4" w:space="0"/>
          <w:right w:val="single" w:color="FFFFFF" w:sz="4" w:space="0"/>
        </w:tcBorders>
      </w:tcPr>
    </w:tblStylePr>
    <w:tblStylePr w:type="band1Horz">
      <w:tcPr>
        <w:tcBorders>
          <w:top w:val="single" w:color="FFFFFF" w:sz="4" w:space="0"/>
          <w:bottom w:val="single" w:color="FFFFFF" w:sz="4" w:space="0"/>
        </w:tcBorders>
        <w:shd w:val="clear" w:color="92CCDC" w:fill="92CCDC"/>
      </w:tcPr>
    </w:tblStylePr>
    <w:tblStylePr w:type="band2Horz">
      <w:tcPr>
        <w:tcBorders>
          <w:top w:val="single" w:color="FFFFFF" w:sz="4" w:space="0"/>
          <w:bottom w:val="single" w:color="FFFFFF" w:sz="4" w:space="0"/>
        </w:tcBorders>
        <w:shd w:val="clear" w:color="92CCDC" w:fill="92CCDC"/>
      </w:tcPr>
    </w:tblStylePr>
  </w:style>
  <w:style w:type="table" w:customStyle="1" w:styleId="1693">
    <w:name w:val="List Table 5 Dark - Accent 68"/>
    <w:basedOn w:val="13"/>
    <w:uiPriority w:val="99"/>
    <w:rPr>
      <w:sz w:val="22"/>
      <w:szCs w:val="22"/>
      <w:lang w:eastAsia="en-US"/>
    </w:rPr>
    <w:tblPr>
      <w:tblBorders>
        <w:top w:val="single" w:color="FAC090" w:sz="32" w:space="0"/>
        <w:left w:val="single" w:color="FAC090" w:sz="32" w:space="0"/>
        <w:bottom w:val="single" w:color="FAC090" w:sz="32" w:space="0"/>
        <w:right w:val="single" w:color="FAC090" w:sz="32" w:space="0"/>
      </w:tblBorders>
      <w:tblCellMar>
        <w:top w:w="0" w:type="dxa"/>
        <w:left w:w="108" w:type="dxa"/>
        <w:bottom w:w="0" w:type="dxa"/>
        <w:right w:w="108" w:type="dxa"/>
      </w:tblCellMar>
    </w:tblPr>
    <w:tblStylePr w:type="firstRow">
      <w:rPr>
        <w:rFonts w:ascii="Arial" w:hAnsi="Arial"/>
        <w:b/>
        <w:color w:val="FFFFFF"/>
        <w:sz w:val="22"/>
      </w:rPr>
      <w:tcPr>
        <w:tcBorders>
          <w:top w:val="single" w:color="FAC090" w:sz="32" w:space="0"/>
          <w:bottom w:val="single" w:color="FFFFFF" w:sz="12" w:space="0"/>
        </w:tcBorders>
        <w:shd w:val="clear" w:color="FAC090" w:fill="FAC090"/>
      </w:tcPr>
    </w:tblStylePr>
    <w:tblStylePr w:type="lastRow">
      <w:rPr>
        <w:rFonts w:ascii="Arial" w:hAnsi="Arial"/>
        <w:b/>
        <w:color w:val="FFFFFF"/>
        <w:sz w:val="22"/>
      </w:rPr>
    </w:tblStylePr>
    <w:tblStylePr w:type="firstCol">
      <w:rPr>
        <w:rFonts w:ascii="Arial" w:hAnsi="Arial"/>
        <w:b/>
        <w:color w:val="FFFFFF"/>
        <w:sz w:val="22"/>
      </w:rPr>
      <w:tcPr>
        <w:tcBorders>
          <w:left w:val="single" w:color="FAC090" w:sz="32" w:space="0"/>
          <w:right w:val="single" w:color="FFFFFF" w:sz="4" w:space="0"/>
        </w:tcBorders>
      </w:tcPr>
    </w:tblStylePr>
    <w:tblStylePr w:type="lastCol">
      <w:tcPr>
        <w:tcBorders>
          <w:left w:val="single" w:color="FFFFFF" w:sz="4" w:space="0"/>
          <w:right w:val="single" w:color="FAC090" w:sz="32" w:space="0"/>
        </w:tcBorders>
      </w:tcPr>
    </w:tblStylePr>
    <w:tblStylePr w:type="band1Vert">
      <w:tcPr>
        <w:tcBorders>
          <w:left w:val="single" w:color="FFFFFF" w:sz="4" w:space="0"/>
          <w:right w:val="single" w:color="FFFFFF" w:sz="4" w:space="0"/>
        </w:tcBorders>
        <w:shd w:val="clear" w:color="FAC090" w:fill="FAC090"/>
      </w:tcPr>
    </w:tblStylePr>
    <w:tblStylePr w:type="band2Vert">
      <w:tcPr>
        <w:tcBorders>
          <w:left w:val="single" w:color="FFFFFF" w:sz="4" w:space="0"/>
          <w:right w:val="single" w:color="FFFFFF" w:sz="4" w:space="0"/>
        </w:tcBorders>
      </w:tcPr>
    </w:tblStylePr>
    <w:tblStylePr w:type="band1Horz">
      <w:tcPr>
        <w:tcBorders>
          <w:top w:val="single" w:color="FFFFFF" w:sz="4" w:space="0"/>
          <w:bottom w:val="single" w:color="FFFFFF" w:sz="4" w:space="0"/>
        </w:tcBorders>
        <w:shd w:val="clear" w:color="FAC090" w:fill="FAC090"/>
      </w:tcPr>
    </w:tblStylePr>
    <w:tblStylePr w:type="band2Horz">
      <w:tcPr>
        <w:tcBorders>
          <w:top w:val="single" w:color="FFFFFF" w:sz="4" w:space="0"/>
          <w:bottom w:val="single" w:color="FFFFFF" w:sz="4" w:space="0"/>
        </w:tcBorders>
        <w:shd w:val="clear" w:color="FAC090" w:fill="FAC090"/>
      </w:tcPr>
    </w:tblStylePr>
  </w:style>
  <w:style w:type="table" w:customStyle="1" w:styleId="1694">
    <w:name w:val="Список-таблица 6 цветная16"/>
    <w:basedOn w:val="13"/>
    <w:uiPriority w:val="99"/>
    <w:rPr>
      <w:sz w:val="22"/>
      <w:szCs w:val="22"/>
      <w:lang w:eastAsia="en-US"/>
    </w:rPr>
    <w:tblPr>
      <w:tblBorders>
        <w:top w:val="single" w:color="7F7F7F" w:sz="4" w:space="0"/>
        <w:bottom w:val="single" w:color="7F7F7F" w:sz="4" w:space="0"/>
      </w:tblBorders>
      <w:tblCellMar>
        <w:top w:w="0" w:type="dxa"/>
        <w:left w:w="108" w:type="dxa"/>
        <w:bottom w:w="0" w:type="dxa"/>
        <w:right w:w="108" w:type="dxa"/>
      </w:tblCellMar>
    </w:tblPr>
    <w:tblStylePr w:type="firstRow">
      <w:rPr>
        <w:b/>
        <w:color w:val="000000"/>
      </w:rPr>
      <w:tcPr>
        <w:tcBorders>
          <w:bottom w:val="single" w:color="7F7F7F" w:sz="4" w:space="0"/>
        </w:tcBorders>
      </w:tcPr>
    </w:tblStylePr>
    <w:tblStylePr w:type="lastRow">
      <w:rPr>
        <w:b/>
        <w:color w:val="000000"/>
      </w:rPr>
      <w:tcPr>
        <w:tcBorders>
          <w:top w:val="single" w:color="7F7F7F" w:sz="4" w:space="0"/>
        </w:tcBorders>
      </w:tcPr>
    </w:tblStylePr>
    <w:tblStylePr w:type="firstCol">
      <w:rPr>
        <w:b/>
        <w:color w:val="000000"/>
      </w:rPr>
    </w:tblStylePr>
    <w:tblStylePr w:type="lastCol">
      <w:rPr>
        <w:b/>
        <w:color w:val="000000"/>
      </w:rPr>
    </w:tblStylePr>
    <w:tblStylePr w:type="band1Vert">
      <w:tcPr>
        <w:shd w:val="clear" w:color="BFBFBF" w:fill="BFBFBF"/>
      </w:tcPr>
    </w:tblStylePr>
    <w:tblStylePr w:type="band1Horz">
      <w:rPr>
        <w:rFonts w:ascii="Arial" w:hAnsi="Arial"/>
        <w:color w:val="000000"/>
        <w:sz w:val="22"/>
      </w:rPr>
      <w:tcPr>
        <w:shd w:val="clear" w:color="BFBFBF" w:fill="BFBFBF"/>
      </w:tcPr>
    </w:tblStylePr>
    <w:tblStylePr w:type="band2Horz">
      <w:rPr>
        <w:rFonts w:ascii="Arial" w:hAnsi="Arial"/>
        <w:color w:val="000000"/>
        <w:sz w:val="22"/>
      </w:rPr>
    </w:tblStylePr>
  </w:style>
  <w:style w:type="table" w:customStyle="1" w:styleId="1695">
    <w:name w:val="List Table 6 Colorful - Accent 18"/>
    <w:basedOn w:val="13"/>
    <w:uiPriority w:val="99"/>
    <w:rPr>
      <w:sz w:val="22"/>
      <w:szCs w:val="22"/>
      <w:lang w:eastAsia="en-US"/>
    </w:rPr>
    <w:tblPr>
      <w:tblBorders>
        <w:top w:val="single" w:color="4F81BD" w:sz="4" w:space="0"/>
        <w:bottom w:val="single" w:color="4F81BD" w:sz="4" w:space="0"/>
      </w:tblBorders>
      <w:tblCellMar>
        <w:top w:w="0" w:type="dxa"/>
        <w:left w:w="108" w:type="dxa"/>
        <w:bottom w:w="0" w:type="dxa"/>
        <w:right w:w="108" w:type="dxa"/>
      </w:tblCellMar>
    </w:tblPr>
    <w:tblStylePr w:type="firstRow">
      <w:rPr>
        <w:b/>
        <w:color w:val="2A4A71"/>
      </w:rPr>
      <w:tcPr>
        <w:tcBorders>
          <w:bottom w:val="single" w:color="4F81BD" w:sz="4" w:space="0"/>
        </w:tcBorders>
      </w:tcPr>
    </w:tblStylePr>
    <w:tblStylePr w:type="lastRow">
      <w:rPr>
        <w:b/>
        <w:color w:val="2A4A71"/>
      </w:rPr>
      <w:tcPr>
        <w:tcBorders>
          <w:top w:val="single" w:color="4F81BD" w:sz="4" w:space="0"/>
        </w:tcBorders>
      </w:tcPr>
    </w:tblStylePr>
    <w:tblStylePr w:type="firstCol">
      <w:rPr>
        <w:b/>
        <w:color w:val="2A4A71"/>
      </w:rPr>
    </w:tblStylePr>
    <w:tblStylePr w:type="lastCol">
      <w:rPr>
        <w:b/>
        <w:color w:val="2A4A71"/>
      </w:rPr>
    </w:tblStylePr>
    <w:tblStylePr w:type="band1Vert">
      <w:tcPr>
        <w:shd w:val="clear" w:color="D2DFEE" w:fill="D2DFEE"/>
      </w:tcPr>
    </w:tblStylePr>
    <w:tblStylePr w:type="band1Horz">
      <w:rPr>
        <w:rFonts w:ascii="Arial" w:hAnsi="Arial"/>
        <w:color w:val="2A4A71"/>
        <w:sz w:val="22"/>
      </w:rPr>
      <w:tcPr>
        <w:shd w:val="clear" w:color="D2DFEE" w:fill="D2DFEE"/>
      </w:tcPr>
    </w:tblStylePr>
    <w:tblStylePr w:type="band2Horz">
      <w:rPr>
        <w:rFonts w:ascii="Arial" w:hAnsi="Arial"/>
        <w:color w:val="2A4A71"/>
        <w:sz w:val="22"/>
      </w:rPr>
    </w:tblStylePr>
  </w:style>
  <w:style w:type="table" w:customStyle="1" w:styleId="1696">
    <w:name w:val="List Table 6 Colorful - Accent 28"/>
    <w:basedOn w:val="13"/>
    <w:uiPriority w:val="99"/>
    <w:rPr>
      <w:sz w:val="22"/>
      <w:szCs w:val="22"/>
      <w:lang w:eastAsia="en-US"/>
    </w:rPr>
    <w:tblPr>
      <w:tblBorders>
        <w:top w:val="single" w:color="D99695" w:sz="4" w:space="0"/>
        <w:bottom w:val="single" w:color="D99695" w:sz="4" w:space="0"/>
      </w:tblBorders>
      <w:tblCellMar>
        <w:top w:w="0" w:type="dxa"/>
        <w:left w:w="108" w:type="dxa"/>
        <w:bottom w:w="0" w:type="dxa"/>
        <w:right w:w="108" w:type="dxa"/>
      </w:tblCellMar>
    </w:tblPr>
    <w:tblStylePr w:type="firstRow">
      <w:rPr>
        <w:b/>
        <w:color w:val="D99695"/>
      </w:rPr>
      <w:tcPr>
        <w:tcBorders>
          <w:bottom w:val="single" w:color="D99695" w:sz="4" w:space="0"/>
        </w:tcBorders>
      </w:tcPr>
    </w:tblStylePr>
    <w:tblStylePr w:type="lastRow">
      <w:rPr>
        <w:b/>
        <w:color w:val="D99695"/>
      </w:rPr>
      <w:tcPr>
        <w:tcBorders>
          <w:top w:val="single" w:color="D99695" w:sz="4" w:space="0"/>
        </w:tcBorders>
      </w:tcPr>
    </w:tblStylePr>
    <w:tblStylePr w:type="firstCol">
      <w:rPr>
        <w:b/>
        <w:color w:val="D99695"/>
      </w:rPr>
    </w:tblStylePr>
    <w:tblStylePr w:type="lastCol">
      <w:rPr>
        <w:b/>
        <w:color w:val="D99695"/>
      </w:rPr>
    </w:tblStylePr>
    <w:tblStylePr w:type="band1Vert">
      <w:tcPr>
        <w:shd w:val="clear" w:color="EFD2D2" w:fill="EFD2D2"/>
      </w:tcPr>
    </w:tblStylePr>
    <w:tblStylePr w:type="band1Horz">
      <w:rPr>
        <w:rFonts w:ascii="Arial" w:hAnsi="Arial"/>
        <w:color w:val="D99695"/>
        <w:sz w:val="22"/>
      </w:rPr>
      <w:tcPr>
        <w:shd w:val="clear" w:color="EFD2D2" w:fill="EFD2D2"/>
      </w:tcPr>
    </w:tblStylePr>
    <w:tblStylePr w:type="band2Horz">
      <w:rPr>
        <w:rFonts w:ascii="Arial" w:hAnsi="Arial"/>
        <w:color w:val="D99695"/>
        <w:sz w:val="22"/>
      </w:rPr>
    </w:tblStylePr>
  </w:style>
  <w:style w:type="table" w:customStyle="1" w:styleId="1697">
    <w:name w:val="List Table 6 Colorful - Accent 38"/>
    <w:basedOn w:val="13"/>
    <w:uiPriority w:val="99"/>
    <w:rPr>
      <w:sz w:val="22"/>
      <w:szCs w:val="22"/>
      <w:lang w:eastAsia="en-US"/>
    </w:rPr>
    <w:tblPr>
      <w:tblBorders>
        <w:top w:val="single" w:color="C3D69B" w:sz="4" w:space="0"/>
        <w:bottom w:val="single" w:color="C3D69B" w:sz="4" w:space="0"/>
      </w:tblBorders>
      <w:tblCellMar>
        <w:top w:w="0" w:type="dxa"/>
        <w:left w:w="108" w:type="dxa"/>
        <w:bottom w:w="0" w:type="dxa"/>
        <w:right w:w="108" w:type="dxa"/>
      </w:tblCellMar>
    </w:tblPr>
    <w:tblStylePr w:type="firstRow">
      <w:rPr>
        <w:b/>
        <w:color w:val="C3D69B"/>
      </w:rPr>
      <w:tcPr>
        <w:tcBorders>
          <w:bottom w:val="single" w:color="C3D69B" w:sz="4" w:space="0"/>
        </w:tcBorders>
      </w:tcPr>
    </w:tblStylePr>
    <w:tblStylePr w:type="lastRow">
      <w:rPr>
        <w:b/>
        <w:color w:val="C3D69B"/>
      </w:rPr>
      <w:tcPr>
        <w:tcBorders>
          <w:top w:val="single" w:color="C3D69B" w:sz="4" w:space="0"/>
        </w:tcBorders>
      </w:tcPr>
    </w:tblStylePr>
    <w:tblStylePr w:type="firstCol">
      <w:rPr>
        <w:b/>
        <w:color w:val="C3D69B"/>
      </w:rPr>
    </w:tblStylePr>
    <w:tblStylePr w:type="lastCol">
      <w:rPr>
        <w:b/>
        <w:color w:val="C3D69B"/>
      </w:rPr>
    </w:tblStylePr>
    <w:tblStylePr w:type="band1Vert">
      <w:tcPr>
        <w:shd w:val="clear" w:color="E5EED5" w:fill="E5EED5"/>
      </w:tcPr>
    </w:tblStylePr>
    <w:tblStylePr w:type="band1Horz">
      <w:rPr>
        <w:rFonts w:ascii="Arial" w:hAnsi="Arial"/>
        <w:color w:val="C3D69B"/>
        <w:sz w:val="22"/>
      </w:rPr>
      <w:tcPr>
        <w:shd w:val="clear" w:color="E5EED5" w:fill="E5EED5"/>
      </w:tcPr>
    </w:tblStylePr>
    <w:tblStylePr w:type="band2Horz">
      <w:rPr>
        <w:rFonts w:ascii="Arial" w:hAnsi="Arial"/>
        <w:color w:val="C3D69B"/>
        <w:sz w:val="22"/>
      </w:rPr>
    </w:tblStylePr>
  </w:style>
  <w:style w:type="table" w:customStyle="1" w:styleId="1698">
    <w:name w:val="List Table 6 Colorful - Accent 48"/>
    <w:basedOn w:val="13"/>
    <w:uiPriority w:val="99"/>
    <w:rPr>
      <w:sz w:val="22"/>
      <w:szCs w:val="22"/>
      <w:lang w:eastAsia="en-US"/>
    </w:rPr>
    <w:tblPr>
      <w:tblBorders>
        <w:top w:val="single" w:color="B2A1C6" w:sz="4" w:space="0"/>
        <w:bottom w:val="single" w:color="B2A1C6" w:sz="4" w:space="0"/>
      </w:tblBorders>
      <w:tblCellMar>
        <w:top w:w="0" w:type="dxa"/>
        <w:left w:w="108" w:type="dxa"/>
        <w:bottom w:w="0" w:type="dxa"/>
        <w:right w:w="108" w:type="dxa"/>
      </w:tblCellMar>
    </w:tblPr>
    <w:tblStylePr w:type="firstRow">
      <w:rPr>
        <w:b/>
        <w:color w:val="B2A1C6"/>
      </w:rPr>
      <w:tcPr>
        <w:tcBorders>
          <w:bottom w:val="single" w:color="B2A1C6" w:sz="4" w:space="0"/>
        </w:tcBorders>
      </w:tcPr>
    </w:tblStylePr>
    <w:tblStylePr w:type="lastRow">
      <w:rPr>
        <w:b/>
        <w:color w:val="B2A1C6"/>
      </w:rPr>
      <w:tcPr>
        <w:tcBorders>
          <w:top w:val="single" w:color="B2A1C6" w:sz="4" w:space="0"/>
        </w:tcBorders>
      </w:tcPr>
    </w:tblStylePr>
    <w:tblStylePr w:type="firstCol">
      <w:rPr>
        <w:b/>
        <w:color w:val="B2A1C6"/>
      </w:rPr>
    </w:tblStylePr>
    <w:tblStylePr w:type="lastCol">
      <w:rPr>
        <w:b/>
        <w:color w:val="B2A1C6"/>
      </w:rPr>
    </w:tblStylePr>
    <w:tblStylePr w:type="band1Vert">
      <w:tcPr>
        <w:shd w:val="clear" w:color="DFD8E7" w:fill="DFD8E7"/>
      </w:tcPr>
    </w:tblStylePr>
    <w:tblStylePr w:type="band1Horz">
      <w:rPr>
        <w:rFonts w:ascii="Arial" w:hAnsi="Arial"/>
        <w:color w:val="B2A1C6"/>
        <w:sz w:val="22"/>
      </w:rPr>
      <w:tcPr>
        <w:shd w:val="clear" w:color="DFD8E7" w:fill="DFD8E7"/>
      </w:tcPr>
    </w:tblStylePr>
    <w:tblStylePr w:type="band2Horz">
      <w:rPr>
        <w:rFonts w:ascii="Arial" w:hAnsi="Arial"/>
        <w:color w:val="B2A1C6"/>
        <w:sz w:val="22"/>
      </w:rPr>
    </w:tblStylePr>
  </w:style>
  <w:style w:type="table" w:customStyle="1" w:styleId="1699">
    <w:name w:val="List Table 6 Colorful - Accent 58"/>
    <w:basedOn w:val="13"/>
    <w:uiPriority w:val="99"/>
    <w:rPr>
      <w:sz w:val="22"/>
      <w:szCs w:val="22"/>
      <w:lang w:eastAsia="en-US"/>
    </w:rPr>
    <w:tblPr>
      <w:tblBorders>
        <w:top w:val="single" w:color="92CCDC" w:sz="4" w:space="0"/>
        <w:bottom w:val="single" w:color="92CCDC" w:sz="4" w:space="0"/>
      </w:tblBorders>
      <w:tblCellMar>
        <w:top w:w="0" w:type="dxa"/>
        <w:left w:w="108" w:type="dxa"/>
        <w:bottom w:w="0" w:type="dxa"/>
        <w:right w:w="108" w:type="dxa"/>
      </w:tblCellMar>
    </w:tblPr>
    <w:tblStylePr w:type="firstRow">
      <w:rPr>
        <w:b/>
        <w:color w:val="92CCDC"/>
      </w:rPr>
      <w:tcPr>
        <w:tcBorders>
          <w:bottom w:val="single" w:color="92CCDC" w:sz="4" w:space="0"/>
        </w:tcBorders>
      </w:tcPr>
    </w:tblStylePr>
    <w:tblStylePr w:type="lastRow">
      <w:rPr>
        <w:b/>
        <w:color w:val="92CCDC"/>
      </w:rPr>
      <w:tcPr>
        <w:tcBorders>
          <w:top w:val="single" w:color="92CCDC" w:sz="4" w:space="0"/>
        </w:tcBorders>
      </w:tcPr>
    </w:tblStylePr>
    <w:tblStylePr w:type="firstCol">
      <w:rPr>
        <w:b/>
        <w:color w:val="92CCDC"/>
      </w:rPr>
    </w:tblStylePr>
    <w:tblStylePr w:type="lastCol">
      <w:rPr>
        <w:b/>
        <w:color w:val="92CCDC"/>
      </w:rPr>
    </w:tblStylePr>
    <w:tblStylePr w:type="band1Vert">
      <w:tcPr>
        <w:shd w:val="clear" w:color="D1EAF0" w:fill="D1EAF0"/>
      </w:tcPr>
    </w:tblStylePr>
    <w:tblStylePr w:type="band1Horz">
      <w:rPr>
        <w:rFonts w:ascii="Arial" w:hAnsi="Arial"/>
        <w:color w:val="92CCDC"/>
        <w:sz w:val="22"/>
      </w:rPr>
      <w:tcPr>
        <w:shd w:val="clear" w:color="D1EAF0" w:fill="D1EAF0"/>
      </w:tcPr>
    </w:tblStylePr>
    <w:tblStylePr w:type="band2Horz">
      <w:rPr>
        <w:rFonts w:ascii="Arial" w:hAnsi="Arial"/>
        <w:color w:val="92CCDC"/>
        <w:sz w:val="22"/>
      </w:rPr>
    </w:tblStylePr>
  </w:style>
  <w:style w:type="table" w:customStyle="1" w:styleId="1700">
    <w:name w:val="List Table 6 Colorful - Accent 68"/>
    <w:basedOn w:val="13"/>
    <w:uiPriority w:val="99"/>
    <w:rPr>
      <w:sz w:val="22"/>
      <w:szCs w:val="22"/>
      <w:lang w:eastAsia="en-US"/>
    </w:rPr>
    <w:tblPr>
      <w:tblBorders>
        <w:top w:val="single" w:color="FAC090" w:sz="4" w:space="0"/>
        <w:bottom w:val="single" w:color="FAC090" w:sz="4" w:space="0"/>
      </w:tblBorders>
      <w:tblCellMar>
        <w:top w:w="0" w:type="dxa"/>
        <w:left w:w="108" w:type="dxa"/>
        <w:bottom w:w="0" w:type="dxa"/>
        <w:right w:w="108" w:type="dxa"/>
      </w:tblCellMar>
    </w:tblPr>
    <w:tblStylePr w:type="firstRow">
      <w:rPr>
        <w:b/>
        <w:color w:val="FAC090"/>
      </w:rPr>
      <w:tcPr>
        <w:tcBorders>
          <w:bottom w:val="single" w:color="FAC090" w:sz="4" w:space="0"/>
        </w:tcBorders>
      </w:tcPr>
    </w:tblStylePr>
    <w:tblStylePr w:type="lastRow">
      <w:rPr>
        <w:b/>
        <w:color w:val="FAC090"/>
      </w:rPr>
      <w:tcPr>
        <w:tcBorders>
          <w:top w:val="single" w:color="FAC090" w:sz="4" w:space="0"/>
        </w:tcBorders>
      </w:tcPr>
    </w:tblStylePr>
    <w:tblStylePr w:type="firstCol">
      <w:rPr>
        <w:b/>
        <w:color w:val="FAC090"/>
      </w:rPr>
    </w:tblStylePr>
    <w:tblStylePr w:type="lastCol">
      <w:rPr>
        <w:b/>
        <w:color w:val="FAC090"/>
      </w:rPr>
    </w:tblStylePr>
    <w:tblStylePr w:type="band1Vert">
      <w:tcPr>
        <w:shd w:val="clear" w:color="FDE4D0" w:fill="FDE4D0"/>
      </w:tcPr>
    </w:tblStylePr>
    <w:tblStylePr w:type="band1Horz">
      <w:rPr>
        <w:rFonts w:ascii="Arial" w:hAnsi="Arial"/>
        <w:color w:val="FAC090"/>
        <w:sz w:val="22"/>
      </w:rPr>
      <w:tcPr>
        <w:shd w:val="clear" w:color="FDE4D0" w:fill="FDE4D0"/>
      </w:tcPr>
    </w:tblStylePr>
    <w:tblStylePr w:type="band2Horz">
      <w:rPr>
        <w:rFonts w:ascii="Arial" w:hAnsi="Arial"/>
        <w:color w:val="FAC090"/>
        <w:sz w:val="22"/>
      </w:rPr>
    </w:tblStylePr>
  </w:style>
  <w:style w:type="table" w:customStyle="1" w:styleId="1701">
    <w:name w:val="Список-таблица 7 цветная16"/>
    <w:basedOn w:val="13"/>
    <w:uiPriority w:val="99"/>
    <w:rPr>
      <w:sz w:val="22"/>
      <w:szCs w:val="22"/>
      <w:lang w:eastAsia="en-US"/>
    </w:rPr>
    <w:tblPr>
      <w:tblBorders>
        <w:right w:val="single" w:color="7F7F7F" w:sz="4" w:space="0"/>
      </w:tblBorders>
      <w:tblCellMar>
        <w:top w:w="0" w:type="dxa"/>
        <w:left w:w="108" w:type="dxa"/>
        <w:bottom w:w="0" w:type="dxa"/>
        <w:right w:w="108" w:type="dxa"/>
      </w:tblCellMar>
    </w:tblPr>
    <w:tblStylePr w:type="firstRow">
      <w:rPr>
        <w:rFonts w:ascii="Arial" w:hAnsi="Arial"/>
        <w:i/>
        <w:color w:val="7F7F7F"/>
        <w:sz w:val="22"/>
      </w:rPr>
      <w:tcPr>
        <w:tcBorders>
          <w:top w:val="nil"/>
          <w:left w:val="nil"/>
          <w:bottom w:val="single" w:color="7F7F7F" w:sz="4" w:space="0"/>
          <w:right w:val="nil"/>
        </w:tcBorders>
        <w:shd w:val="clear" w:color="FFFFFF" w:fill="FFFFFF"/>
      </w:tcPr>
    </w:tblStylePr>
    <w:tblStylePr w:type="lastRow">
      <w:rPr>
        <w:rFonts w:ascii="Arial" w:hAnsi="Arial"/>
        <w:i/>
        <w:color w:val="7F7F7F"/>
        <w:sz w:val="22"/>
      </w:rPr>
      <w:tcPr>
        <w:tcBorders>
          <w:top w:val="single" w:color="7F7F7F" w:sz="4" w:space="0"/>
          <w:left w:val="nil"/>
          <w:bottom w:val="nil"/>
          <w:right w:val="nil"/>
        </w:tcBorders>
        <w:shd w:val="clear" w:color="FFFFFF" w:fill="FFFFFF"/>
      </w:tcPr>
    </w:tblStylePr>
    <w:tblStylePr w:type="firstCol">
      <w:pPr>
        <w:jc w:val="right"/>
      </w:pPr>
      <w:rPr>
        <w:rFonts w:ascii="Arial" w:hAnsi="Arial"/>
        <w:i/>
        <w:color w:val="7F7F7F"/>
        <w:sz w:val="22"/>
      </w:rPr>
      <w:tcPr>
        <w:tcBorders>
          <w:top w:val="nil"/>
          <w:left w:val="nil"/>
          <w:bottom w:val="nil"/>
          <w:right w:val="single" w:color="7F7F7F" w:sz="4" w:space="0"/>
        </w:tcBorders>
        <w:shd w:val="clear" w:color="FFFFFF" w:fill="auto"/>
      </w:tcPr>
    </w:tblStylePr>
    <w:tblStylePr w:type="lastCol">
      <w:rPr>
        <w:rFonts w:ascii="Arial" w:hAnsi="Arial"/>
        <w:i/>
        <w:color w:val="7F7F7F"/>
        <w:sz w:val="22"/>
      </w:rPr>
      <w:tcPr>
        <w:tcBorders>
          <w:top w:val="nil"/>
          <w:left w:val="single" w:color="7F7F7F" w:sz="4" w:space="0"/>
          <w:bottom w:val="nil"/>
          <w:right w:val="nil"/>
        </w:tcBorders>
        <w:shd w:val="clear" w:color="FFFFFF" w:fill="auto"/>
      </w:tcPr>
    </w:tblStylePr>
    <w:tblStylePr w:type="band1Vert">
      <w:tcPr>
        <w:shd w:val="clear" w:color="BFBFBF" w:fill="BFBFBF"/>
      </w:tcPr>
    </w:tblStylePr>
    <w:tblStylePr w:type="band1Horz">
      <w:rPr>
        <w:rFonts w:ascii="Arial" w:hAnsi="Arial"/>
        <w:color w:val="7F7F7F"/>
        <w:sz w:val="22"/>
      </w:rPr>
      <w:tcPr>
        <w:shd w:val="clear" w:color="BFBFBF" w:fill="BFBFBF"/>
      </w:tcPr>
    </w:tblStylePr>
    <w:tblStylePr w:type="band2Horz">
      <w:rPr>
        <w:rFonts w:ascii="Arial" w:hAnsi="Arial"/>
        <w:color w:val="7F7F7F"/>
        <w:sz w:val="22"/>
      </w:rPr>
    </w:tblStylePr>
  </w:style>
  <w:style w:type="table" w:customStyle="1" w:styleId="1702">
    <w:name w:val="List Table 7 Colorful - Accent 18"/>
    <w:basedOn w:val="13"/>
    <w:uiPriority w:val="99"/>
    <w:rPr>
      <w:sz w:val="22"/>
      <w:szCs w:val="22"/>
      <w:lang w:eastAsia="en-US"/>
    </w:rPr>
    <w:tblPr>
      <w:tblBorders>
        <w:right w:val="single" w:color="4F81BD" w:sz="4" w:space="0"/>
      </w:tblBorders>
      <w:tblCellMar>
        <w:top w:w="0" w:type="dxa"/>
        <w:left w:w="108" w:type="dxa"/>
        <w:bottom w:w="0" w:type="dxa"/>
        <w:right w:w="108" w:type="dxa"/>
      </w:tblCellMar>
    </w:tblPr>
    <w:tblStylePr w:type="firstRow">
      <w:rPr>
        <w:rFonts w:ascii="Arial" w:hAnsi="Arial"/>
        <w:i/>
        <w:color w:val="2A4A71"/>
        <w:sz w:val="22"/>
      </w:rPr>
      <w:tcPr>
        <w:tcBorders>
          <w:top w:val="nil"/>
          <w:left w:val="nil"/>
          <w:bottom w:val="single" w:color="4F81BD" w:sz="4" w:space="0"/>
          <w:right w:val="nil"/>
        </w:tcBorders>
        <w:shd w:val="clear" w:color="FFFFFF" w:fill="FFFFFF"/>
      </w:tcPr>
    </w:tblStylePr>
    <w:tblStylePr w:type="lastRow">
      <w:rPr>
        <w:rFonts w:ascii="Arial" w:hAnsi="Arial"/>
        <w:i/>
        <w:color w:val="2A4A71"/>
        <w:sz w:val="22"/>
      </w:rPr>
      <w:tcPr>
        <w:tcBorders>
          <w:top w:val="single" w:color="4F81BD" w:sz="4" w:space="0"/>
          <w:left w:val="nil"/>
          <w:bottom w:val="nil"/>
          <w:right w:val="nil"/>
        </w:tcBorders>
        <w:shd w:val="clear" w:color="FFFFFF" w:fill="FFFFFF"/>
      </w:tcPr>
    </w:tblStylePr>
    <w:tblStylePr w:type="firstCol">
      <w:pPr>
        <w:jc w:val="right"/>
      </w:pPr>
      <w:rPr>
        <w:rFonts w:ascii="Arial" w:hAnsi="Arial"/>
        <w:i/>
        <w:color w:val="2A4A71"/>
        <w:sz w:val="22"/>
      </w:rPr>
      <w:tcPr>
        <w:tcBorders>
          <w:top w:val="nil"/>
          <w:left w:val="nil"/>
          <w:bottom w:val="nil"/>
          <w:right w:val="single" w:color="4F81BD" w:sz="4" w:space="0"/>
        </w:tcBorders>
        <w:shd w:val="clear" w:color="FFFFFF" w:fill="auto"/>
      </w:tcPr>
    </w:tblStylePr>
    <w:tblStylePr w:type="lastCol">
      <w:rPr>
        <w:rFonts w:ascii="Arial" w:hAnsi="Arial"/>
        <w:i/>
        <w:color w:val="2A4A71"/>
        <w:sz w:val="22"/>
      </w:rPr>
      <w:tcPr>
        <w:tcBorders>
          <w:top w:val="nil"/>
          <w:left w:val="single" w:color="4F81BD" w:sz="4" w:space="0"/>
          <w:bottom w:val="nil"/>
          <w:right w:val="nil"/>
        </w:tcBorders>
        <w:shd w:val="clear" w:color="FFFFFF" w:fill="auto"/>
      </w:tcPr>
    </w:tblStylePr>
    <w:tblStylePr w:type="band1Vert">
      <w:tcPr>
        <w:shd w:val="clear" w:color="D2DFEE" w:fill="D2DFEE"/>
      </w:tcPr>
    </w:tblStylePr>
    <w:tblStylePr w:type="band1Horz">
      <w:rPr>
        <w:rFonts w:ascii="Arial" w:hAnsi="Arial"/>
        <w:color w:val="2A4A71"/>
        <w:sz w:val="22"/>
      </w:rPr>
      <w:tcPr>
        <w:shd w:val="clear" w:color="D2DFEE" w:fill="D2DFEE"/>
      </w:tcPr>
    </w:tblStylePr>
    <w:tblStylePr w:type="band2Horz">
      <w:rPr>
        <w:rFonts w:ascii="Arial" w:hAnsi="Arial"/>
        <w:color w:val="2A4A71"/>
        <w:sz w:val="22"/>
      </w:rPr>
    </w:tblStylePr>
  </w:style>
  <w:style w:type="table" w:customStyle="1" w:styleId="1703">
    <w:name w:val="List Table 7 Colorful - Accent 28"/>
    <w:basedOn w:val="13"/>
    <w:uiPriority w:val="99"/>
    <w:rPr>
      <w:sz w:val="22"/>
      <w:szCs w:val="22"/>
      <w:lang w:eastAsia="en-US"/>
    </w:rPr>
    <w:tblPr>
      <w:tblBorders>
        <w:right w:val="single" w:color="D99695" w:sz="4" w:space="0"/>
      </w:tblBorders>
      <w:tblCellMar>
        <w:top w:w="0" w:type="dxa"/>
        <w:left w:w="108" w:type="dxa"/>
        <w:bottom w:w="0" w:type="dxa"/>
        <w:right w:w="108" w:type="dxa"/>
      </w:tblCellMar>
    </w:tblPr>
    <w:tblStylePr w:type="firstRow">
      <w:rPr>
        <w:rFonts w:ascii="Arial" w:hAnsi="Arial"/>
        <w:i/>
        <w:color w:val="D99695"/>
        <w:sz w:val="22"/>
      </w:rPr>
      <w:tcPr>
        <w:tcBorders>
          <w:top w:val="nil"/>
          <w:left w:val="nil"/>
          <w:bottom w:val="single" w:color="D99695" w:sz="4" w:space="0"/>
          <w:right w:val="nil"/>
        </w:tcBorders>
        <w:shd w:val="clear" w:color="FFFFFF" w:fill="FFFFFF"/>
      </w:tcPr>
    </w:tblStylePr>
    <w:tblStylePr w:type="lastRow">
      <w:rPr>
        <w:rFonts w:ascii="Arial" w:hAnsi="Arial"/>
        <w:i/>
        <w:color w:val="D99695"/>
        <w:sz w:val="22"/>
      </w:rPr>
      <w:tcPr>
        <w:tcBorders>
          <w:top w:val="single" w:color="D99695" w:sz="4" w:space="0"/>
          <w:left w:val="nil"/>
          <w:bottom w:val="nil"/>
          <w:right w:val="nil"/>
        </w:tcBorders>
        <w:shd w:val="clear" w:color="FFFFFF" w:fill="FFFFFF"/>
      </w:tcPr>
    </w:tblStylePr>
    <w:tblStylePr w:type="firstCol">
      <w:pPr>
        <w:jc w:val="right"/>
      </w:pPr>
      <w:rPr>
        <w:rFonts w:ascii="Arial" w:hAnsi="Arial"/>
        <w:i/>
        <w:color w:val="D99695"/>
        <w:sz w:val="22"/>
      </w:rPr>
      <w:tcPr>
        <w:tcBorders>
          <w:top w:val="nil"/>
          <w:left w:val="nil"/>
          <w:bottom w:val="nil"/>
          <w:right w:val="single" w:color="D99695" w:sz="4" w:space="0"/>
        </w:tcBorders>
        <w:shd w:val="clear" w:color="FFFFFF" w:fill="auto"/>
      </w:tcPr>
    </w:tblStylePr>
    <w:tblStylePr w:type="lastCol">
      <w:rPr>
        <w:rFonts w:ascii="Arial" w:hAnsi="Arial"/>
        <w:i/>
        <w:color w:val="D99695"/>
        <w:sz w:val="22"/>
      </w:rPr>
      <w:tcPr>
        <w:tcBorders>
          <w:top w:val="nil"/>
          <w:left w:val="single" w:color="D99695" w:sz="4" w:space="0"/>
          <w:bottom w:val="nil"/>
          <w:right w:val="nil"/>
        </w:tcBorders>
        <w:shd w:val="clear" w:color="FFFFFF" w:fill="auto"/>
      </w:tcPr>
    </w:tblStylePr>
    <w:tblStylePr w:type="band1Vert">
      <w:tcPr>
        <w:shd w:val="clear" w:color="EFD2D2" w:fill="EFD2D2"/>
      </w:tcPr>
    </w:tblStylePr>
    <w:tblStylePr w:type="band1Horz">
      <w:rPr>
        <w:rFonts w:ascii="Arial" w:hAnsi="Arial"/>
        <w:color w:val="D99695"/>
        <w:sz w:val="22"/>
      </w:rPr>
      <w:tcPr>
        <w:shd w:val="clear" w:color="EFD2D2" w:fill="EFD2D2"/>
      </w:tcPr>
    </w:tblStylePr>
    <w:tblStylePr w:type="band2Horz">
      <w:rPr>
        <w:rFonts w:ascii="Arial" w:hAnsi="Arial"/>
        <w:color w:val="D99695"/>
        <w:sz w:val="22"/>
      </w:rPr>
    </w:tblStylePr>
  </w:style>
  <w:style w:type="table" w:customStyle="1" w:styleId="1704">
    <w:name w:val="List Table 7 Colorful - Accent 38"/>
    <w:basedOn w:val="13"/>
    <w:uiPriority w:val="99"/>
    <w:rPr>
      <w:sz w:val="22"/>
      <w:szCs w:val="22"/>
      <w:lang w:eastAsia="en-US"/>
    </w:rPr>
    <w:tblPr>
      <w:tblBorders>
        <w:right w:val="single" w:color="C3D69B" w:sz="4" w:space="0"/>
      </w:tblBorders>
      <w:tblCellMar>
        <w:top w:w="0" w:type="dxa"/>
        <w:left w:w="108" w:type="dxa"/>
        <w:bottom w:w="0" w:type="dxa"/>
        <w:right w:w="108" w:type="dxa"/>
      </w:tblCellMar>
    </w:tblPr>
    <w:tblStylePr w:type="firstRow">
      <w:rPr>
        <w:rFonts w:ascii="Arial" w:hAnsi="Arial"/>
        <w:i/>
        <w:color w:val="C3D69B"/>
        <w:sz w:val="22"/>
      </w:rPr>
      <w:tcPr>
        <w:tcBorders>
          <w:top w:val="nil"/>
          <w:left w:val="nil"/>
          <w:bottom w:val="single" w:color="C3D69B" w:sz="4" w:space="0"/>
          <w:right w:val="nil"/>
        </w:tcBorders>
        <w:shd w:val="clear" w:color="FFFFFF" w:fill="FFFFFF"/>
      </w:tcPr>
    </w:tblStylePr>
    <w:tblStylePr w:type="lastRow">
      <w:rPr>
        <w:rFonts w:ascii="Arial" w:hAnsi="Arial"/>
        <w:i/>
        <w:color w:val="C3D69B"/>
        <w:sz w:val="22"/>
      </w:rPr>
      <w:tcPr>
        <w:tcBorders>
          <w:top w:val="single" w:color="C3D69B" w:sz="4" w:space="0"/>
          <w:left w:val="nil"/>
          <w:bottom w:val="nil"/>
          <w:right w:val="nil"/>
        </w:tcBorders>
        <w:shd w:val="clear" w:color="FFFFFF" w:fill="FFFFFF"/>
      </w:tcPr>
    </w:tblStylePr>
    <w:tblStylePr w:type="firstCol">
      <w:pPr>
        <w:jc w:val="right"/>
      </w:pPr>
      <w:rPr>
        <w:rFonts w:ascii="Arial" w:hAnsi="Arial"/>
        <w:i/>
        <w:color w:val="C3D69B"/>
        <w:sz w:val="22"/>
      </w:rPr>
      <w:tcPr>
        <w:tcBorders>
          <w:top w:val="nil"/>
          <w:left w:val="nil"/>
          <w:bottom w:val="nil"/>
          <w:right w:val="single" w:color="C3D69B" w:sz="4" w:space="0"/>
        </w:tcBorders>
        <w:shd w:val="clear" w:color="FFFFFF" w:fill="auto"/>
      </w:tcPr>
    </w:tblStylePr>
    <w:tblStylePr w:type="lastCol">
      <w:rPr>
        <w:rFonts w:ascii="Arial" w:hAnsi="Arial"/>
        <w:i/>
        <w:color w:val="C3D69B"/>
        <w:sz w:val="22"/>
      </w:rPr>
      <w:tcPr>
        <w:tcBorders>
          <w:top w:val="nil"/>
          <w:left w:val="single" w:color="C3D69B" w:sz="4" w:space="0"/>
          <w:bottom w:val="nil"/>
          <w:right w:val="nil"/>
        </w:tcBorders>
        <w:shd w:val="clear" w:color="FFFFFF" w:fill="auto"/>
      </w:tcPr>
    </w:tblStylePr>
    <w:tblStylePr w:type="band1Vert">
      <w:tcPr>
        <w:shd w:val="clear" w:color="E5EED5" w:fill="E5EED5"/>
      </w:tcPr>
    </w:tblStylePr>
    <w:tblStylePr w:type="band1Horz">
      <w:rPr>
        <w:rFonts w:ascii="Arial" w:hAnsi="Arial"/>
        <w:color w:val="C3D69B"/>
        <w:sz w:val="22"/>
      </w:rPr>
      <w:tcPr>
        <w:shd w:val="clear" w:color="E5EED5" w:fill="E5EED5"/>
      </w:tcPr>
    </w:tblStylePr>
    <w:tblStylePr w:type="band2Horz">
      <w:rPr>
        <w:rFonts w:ascii="Arial" w:hAnsi="Arial"/>
        <w:color w:val="C3D69B"/>
        <w:sz w:val="22"/>
      </w:rPr>
    </w:tblStylePr>
  </w:style>
  <w:style w:type="table" w:customStyle="1" w:styleId="1705">
    <w:name w:val="List Table 7 Colorful - Accent 48"/>
    <w:basedOn w:val="13"/>
    <w:uiPriority w:val="99"/>
    <w:rPr>
      <w:sz w:val="22"/>
      <w:szCs w:val="22"/>
      <w:lang w:eastAsia="en-US"/>
    </w:rPr>
    <w:tblPr>
      <w:tblBorders>
        <w:right w:val="single" w:color="B2A1C6" w:sz="4" w:space="0"/>
      </w:tblBorders>
      <w:tblCellMar>
        <w:top w:w="0" w:type="dxa"/>
        <w:left w:w="108" w:type="dxa"/>
        <w:bottom w:w="0" w:type="dxa"/>
        <w:right w:w="108" w:type="dxa"/>
      </w:tblCellMar>
    </w:tblPr>
    <w:tblStylePr w:type="firstRow">
      <w:rPr>
        <w:rFonts w:ascii="Arial" w:hAnsi="Arial"/>
        <w:i/>
        <w:color w:val="B2A1C6"/>
        <w:sz w:val="22"/>
      </w:rPr>
      <w:tcPr>
        <w:tcBorders>
          <w:top w:val="nil"/>
          <w:left w:val="nil"/>
          <w:bottom w:val="single" w:color="B2A1C6" w:sz="4" w:space="0"/>
          <w:right w:val="nil"/>
        </w:tcBorders>
        <w:shd w:val="clear" w:color="FFFFFF" w:fill="FFFFFF"/>
      </w:tcPr>
    </w:tblStylePr>
    <w:tblStylePr w:type="lastRow">
      <w:rPr>
        <w:rFonts w:ascii="Arial" w:hAnsi="Arial"/>
        <w:i/>
        <w:color w:val="B2A1C6"/>
        <w:sz w:val="22"/>
      </w:rPr>
      <w:tcPr>
        <w:tcBorders>
          <w:top w:val="single" w:color="B2A1C6" w:sz="4" w:space="0"/>
          <w:left w:val="nil"/>
          <w:bottom w:val="nil"/>
          <w:right w:val="nil"/>
        </w:tcBorders>
        <w:shd w:val="clear" w:color="FFFFFF" w:fill="FFFFFF"/>
      </w:tcPr>
    </w:tblStylePr>
    <w:tblStylePr w:type="firstCol">
      <w:pPr>
        <w:jc w:val="right"/>
      </w:pPr>
      <w:rPr>
        <w:rFonts w:ascii="Arial" w:hAnsi="Arial"/>
        <w:i/>
        <w:color w:val="B2A1C6"/>
        <w:sz w:val="22"/>
      </w:rPr>
      <w:tcPr>
        <w:tcBorders>
          <w:top w:val="nil"/>
          <w:left w:val="nil"/>
          <w:bottom w:val="nil"/>
          <w:right w:val="single" w:color="B2A1C6" w:sz="4" w:space="0"/>
        </w:tcBorders>
        <w:shd w:val="clear" w:color="FFFFFF" w:fill="auto"/>
      </w:tcPr>
    </w:tblStylePr>
    <w:tblStylePr w:type="lastCol">
      <w:rPr>
        <w:rFonts w:ascii="Arial" w:hAnsi="Arial"/>
        <w:i/>
        <w:color w:val="B2A1C6"/>
        <w:sz w:val="22"/>
      </w:rPr>
      <w:tcPr>
        <w:tcBorders>
          <w:top w:val="nil"/>
          <w:left w:val="single" w:color="B2A1C6" w:sz="4" w:space="0"/>
          <w:bottom w:val="nil"/>
          <w:right w:val="nil"/>
        </w:tcBorders>
        <w:shd w:val="clear" w:color="FFFFFF" w:fill="auto"/>
      </w:tcPr>
    </w:tblStylePr>
    <w:tblStylePr w:type="band1Vert">
      <w:tcPr>
        <w:shd w:val="clear" w:color="DFD8E7" w:fill="DFD8E7"/>
      </w:tcPr>
    </w:tblStylePr>
    <w:tblStylePr w:type="band1Horz">
      <w:rPr>
        <w:rFonts w:ascii="Arial" w:hAnsi="Arial"/>
        <w:color w:val="B2A1C6"/>
        <w:sz w:val="22"/>
      </w:rPr>
      <w:tcPr>
        <w:shd w:val="clear" w:color="DFD8E7" w:fill="DFD8E7"/>
      </w:tcPr>
    </w:tblStylePr>
    <w:tblStylePr w:type="band2Horz">
      <w:rPr>
        <w:rFonts w:ascii="Arial" w:hAnsi="Arial"/>
        <w:color w:val="B2A1C6"/>
        <w:sz w:val="22"/>
      </w:rPr>
    </w:tblStylePr>
  </w:style>
  <w:style w:type="table" w:customStyle="1" w:styleId="1706">
    <w:name w:val="List Table 7 Colorful - Accent 58"/>
    <w:basedOn w:val="13"/>
    <w:uiPriority w:val="99"/>
    <w:rPr>
      <w:sz w:val="22"/>
      <w:szCs w:val="22"/>
      <w:lang w:eastAsia="en-US"/>
    </w:rPr>
    <w:tblPr>
      <w:tblBorders>
        <w:right w:val="single" w:color="92CCDC" w:sz="4" w:space="0"/>
      </w:tblBorders>
      <w:tblCellMar>
        <w:top w:w="0" w:type="dxa"/>
        <w:left w:w="108" w:type="dxa"/>
        <w:bottom w:w="0" w:type="dxa"/>
        <w:right w:w="108" w:type="dxa"/>
      </w:tblCellMar>
    </w:tblPr>
    <w:tblStylePr w:type="firstRow">
      <w:rPr>
        <w:rFonts w:ascii="Arial" w:hAnsi="Arial"/>
        <w:i/>
        <w:color w:val="92CCDC"/>
        <w:sz w:val="22"/>
      </w:rPr>
      <w:tcPr>
        <w:tcBorders>
          <w:top w:val="nil"/>
          <w:left w:val="nil"/>
          <w:bottom w:val="single" w:color="92CCDC" w:sz="4" w:space="0"/>
          <w:right w:val="nil"/>
        </w:tcBorders>
        <w:shd w:val="clear" w:color="FFFFFF" w:fill="FFFFFF"/>
      </w:tcPr>
    </w:tblStylePr>
    <w:tblStylePr w:type="lastRow">
      <w:rPr>
        <w:rFonts w:ascii="Arial" w:hAnsi="Arial"/>
        <w:i/>
        <w:color w:val="92CCDC"/>
        <w:sz w:val="22"/>
      </w:rPr>
      <w:tcPr>
        <w:tcBorders>
          <w:top w:val="single" w:color="92CCDC" w:sz="4" w:space="0"/>
          <w:left w:val="nil"/>
          <w:bottom w:val="nil"/>
          <w:right w:val="nil"/>
        </w:tcBorders>
        <w:shd w:val="clear" w:color="FFFFFF" w:fill="FFFFFF"/>
      </w:tcPr>
    </w:tblStylePr>
    <w:tblStylePr w:type="firstCol">
      <w:pPr>
        <w:jc w:val="right"/>
      </w:pPr>
      <w:rPr>
        <w:rFonts w:ascii="Arial" w:hAnsi="Arial"/>
        <w:i/>
        <w:color w:val="92CCDC"/>
        <w:sz w:val="22"/>
      </w:rPr>
      <w:tcPr>
        <w:tcBorders>
          <w:top w:val="nil"/>
          <w:left w:val="nil"/>
          <w:bottom w:val="nil"/>
          <w:right w:val="single" w:color="92CCDC" w:sz="4" w:space="0"/>
        </w:tcBorders>
        <w:shd w:val="clear" w:color="FFFFFF" w:fill="auto"/>
      </w:tcPr>
    </w:tblStylePr>
    <w:tblStylePr w:type="lastCol">
      <w:rPr>
        <w:rFonts w:ascii="Arial" w:hAnsi="Arial"/>
        <w:i/>
        <w:color w:val="92CCDC"/>
        <w:sz w:val="22"/>
      </w:rPr>
      <w:tcPr>
        <w:tcBorders>
          <w:top w:val="nil"/>
          <w:left w:val="single" w:color="92CCDC" w:sz="4" w:space="0"/>
          <w:bottom w:val="nil"/>
          <w:right w:val="nil"/>
        </w:tcBorders>
        <w:shd w:val="clear" w:color="FFFFFF" w:fill="auto"/>
      </w:tcPr>
    </w:tblStylePr>
    <w:tblStylePr w:type="band1Vert">
      <w:tcPr>
        <w:shd w:val="clear" w:color="D1EAF0" w:fill="D1EAF0"/>
      </w:tcPr>
    </w:tblStylePr>
    <w:tblStylePr w:type="band1Horz">
      <w:rPr>
        <w:rFonts w:ascii="Arial" w:hAnsi="Arial"/>
        <w:color w:val="92CCDC"/>
        <w:sz w:val="22"/>
      </w:rPr>
      <w:tcPr>
        <w:shd w:val="clear" w:color="D1EAF0" w:fill="D1EAF0"/>
      </w:tcPr>
    </w:tblStylePr>
    <w:tblStylePr w:type="band2Horz">
      <w:rPr>
        <w:rFonts w:ascii="Arial" w:hAnsi="Arial"/>
        <w:color w:val="92CCDC"/>
        <w:sz w:val="22"/>
      </w:rPr>
    </w:tblStylePr>
  </w:style>
  <w:style w:type="table" w:customStyle="1" w:styleId="1707">
    <w:name w:val="List Table 7 Colorful - Accent 68"/>
    <w:basedOn w:val="13"/>
    <w:uiPriority w:val="99"/>
    <w:rPr>
      <w:sz w:val="22"/>
      <w:szCs w:val="22"/>
      <w:lang w:eastAsia="en-US"/>
    </w:rPr>
    <w:tblPr>
      <w:tblBorders>
        <w:right w:val="single" w:color="FAC090" w:sz="4" w:space="0"/>
      </w:tblBorders>
      <w:tblCellMar>
        <w:top w:w="0" w:type="dxa"/>
        <w:left w:w="108" w:type="dxa"/>
        <w:bottom w:w="0" w:type="dxa"/>
        <w:right w:w="108" w:type="dxa"/>
      </w:tblCellMar>
    </w:tblPr>
    <w:tblStylePr w:type="firstRow">
      <w:rPr>
        <w:rFonts w:ascii="Arial" w:hAnsi="Arial"/>
        <w:i/>
        <w:color w:val="FAC090"/>
        <w:sz w:val="22"/>
      </w:rPr>
      <w:tcPr>
        <w:tcBorders>
          <w:top w:val="nil"/>
          <w:left w:val="nil"/>
          <w:bottom w:val="single" w:color="FAC090" w:sz="4" w:space="0"/>
          <w:right w:val="nil"/>
        </w:tcBorders>
        <w:shd w:val="clear" w:color="FFFFFF" w:fill="FFFFFF"/>
      </w:tcPr>
    </w:tblStylePr>
    <w:tblStylePr w:type="lastRow">
      <w:rPr>
        <w:rFonts w:ascii="Arial" w:hAnsi="Arial"/>
        <w:i/>
        <w:color w:val="FAC090"/>
        <w:sz w:val="22"/>
      </w:rPr>
      <w:tcPr>
        <w:tcBorders>
          <w:top w:val="single" w:color="FAC090" w:sz="4" w:space="0"/>
          <w:left w:val="nil"/>
          <w:bottom w:val="nil"/>
          <w:right w:val="nil"/>
        </w:tcBorders>
        <w:shd w:val="clear" w:color="FFFFFF" w:fill="FFFFFF"/>
      </w:tcPr>
    </w:tblStylePr>
    <w:tblStylePr w:type="firstCol">
      <w:pPr>
        <w:jc w:val="right"/>
      </w:pPr>
      <w:rPr>
        <w:rFonts w:ascii="Arial" w:hAnsi="Arial"/>
        <w:i/>
        <w:color w:val="FAC090"/>
        <w:sz w:val="22"/>
      </w:rPr>
      <w:tcPr>
        <w:tcBorders>
          <w:top w:val="nil"/>
          <w:left w:val="nil"/>
          <w:bottom w:val="nil"/>
          <w:right w:val="single" w:color="FAC090" w:sz="4" w:space="0"/>
        </w:tcBorders>
        <w:shd w:val="clear" w:color="FFFFFF" w:fill="auto"/>
      </w:tcPr>
    </w:tblStylePr>
    <w:tblStylePr w:type="lastCol">
      <w:rPr>
        <w:rFonts w:ascii="Arial" w:hAnsi="Arial"/>
        <w:i/>
        <w:color w:val="FAC090"/>
        <w:sz w:val="22"/>
      </w:rPr>
      <w:tcPr>
        <w:tcBorders>
          <w:top w:val="nil"/>
          <w:left w:val="single" w:color="FAC090" w:sz="4" w:space="0"/>
          <w:bottom w:val="nil"/>
          <w:right w:val="nil"/>
        </w:tcBorders>
        <w:shd w:val="clear" w:color="FFFFFF" w:fill="auto"/>
      </w:tcPr>
    </w:tblStylePr>
    <w:tblStylePr w:type="band1Vert">
      <w:tcPr>
        <w:shd w:val="clear" w:color="FDE4D0" w:fill="FDE4D0"/>
      </w:tcPr>
    </w:tblStylePr>
    <w:tblStylePr w:type="band1Horz">
      <w:rPr>
        <w:rFonts w:ascii="Arial" w:hAnsi="Arial"/>
        <w:color w:val="FAC090"/>
        <w:sz w:val="22"/>
      </w:rPr>
      <w:tcPr>
        <w:shd w:val="clear" w:color="FDE4D0" w:fill="FDE4D0"/>
      </w:tcPr>
    </w:tblStylePr>
    <w:tblStylePr w:type="band2Horz">
      <w:rPr>
        <w:rFonts w:ascii="Arial" w:hAnsi="Arial"/>
        <w:color w:val="FAC090"/>
        <w:sz w:val="22"/>
      </w:rPr>
    </w:tblStylePr>
  </w:style>
  <w:style w:type="table" w:customStyle="1" w:styleId="1708">
    <w:name w:val="Lined - Accent8"/>
    <w:basedOn w:val="13"/>
    <w:uiPriority w:val="99"/>
    <w:rPr>
      <w:color w:val="404040"/>
    </w:rPr>
    <w:tblPr>
      <w:tblCellMar>
        <w:top w:w="0" w:type="dxa"/>
        <w:left w:w="108" w:type="dxa"/>
        <w:bottom w:w="0" w:type="dxa"/>
        <w:right w:w="108" w:type="dxa"/>
      </w:tblCellMar>
    </w:tblPr>
    <w:tblStylePr w:type="firstRow">
      <w:rPr>
        <w:rFonts w:ascii="Arial" w:hAnsi="Arial"/>
        <w:color w:val="F2F2F2"/>
        <w:sz w:val="22"/>
      </w:rPr>
      <w:tcPr>
        <w:shd w:val="clear" w:color="7F7F7F" w:fill="7F7F7F"/>
      </w:tcPr>
    </w:tblStylePr>
    <w:tblStylePr w:type="lastRow">
      <w:rPr>
        <w:rFonts w:ascii="Arial" w:hAnsi="Arial"/>
        <w:color w:val="F2F2F2"/>
        <w:sz w:val="22"/>
      </w:rPr>
      <w:tcPr>
        <w:shd w:val="clear" w:color="7F7F7F" w:fill="7F7F7F"/>
      </w:tcPr>
    </w:tblStylePr>
    <w:tblStylePr w:type="firstCol">
      <w:rPr>
        <w:rFonts w:ascii="Arial" w:hAnsi="Arial"/>
        <w:color w:val="F2F2F2"/>
        <w:sz w:val="22"/>
      </w:rPr>
      <w:tcPr>
        <w:shd w:val="clear" w:color="7F7F7F" w:fill="7F7F7F"/>
      </w:tcPr>
    </w:tblStylePr>
    <w:tblStylePr w:type="lastCol">
      <w:rPr>
        <w:rFonts w:ascii="Arial" w:hAnsi="Arial"/>
        <w:color w:val="F2F2F2"/>
        <w:sz w:val="22"/>
      </w:rPr>
      <w:tcPr>
        <w:shd w:val="clear" w:color="7F7F7F" w:fill="7F7F7F"/>
      </w:tcPr>
    </w:tblStylePr>
    <w:tblStylePr w:type="band1Vert">
      <w:rPr>
        <w:rFonts w:ascii="Arial" w:hAnsi="Arial"/>
        <w:color w:val="404040"/>
        <w:sz w:val="22"/>
      </w:rPr>
    </w:tblStylePr>
    <w:tblStylePr w:type="band2Vert">
      <w:rPr>
        <w:rFonts w:ascii="Arial" w:hAnsi="Arial"/>
        <w:color w:val="404040"/>
        <w:sz w:val="22"/>
      </w:rPr>
      <w:tcPr>
        <w:shd w:val="clear" w:color="F2F2F2" w:fill="F2F2F2"/>
      </w:tcPr>
    </w:tblStylePr>
    <w:tblStylePr w:type="band1Horz">
      <w:rPr>
        <w:rFonts w:ascii="Arial" w:hAnsi="Arial"/>
        <w:color w:val="404040"/>
        <w:sz w:val="22"/>
      </w:rPr>
    </w:tblStylePr>
    <w:tblStylePr w:type="band2Horz">
      <w:rPr>
        <w:rFonts w:ascii="Arial" w:hAnsi="Arial"/>
        <w:color w:val="404040"/>
        <w:sz w:val="22"/>
      </w:rPr>
      <w:tcPr>
        <w:shd w:val="clear" w:color="F2F2F2" w:fill="F2F2F2"/>
      </w:tcPr>
    </w:tblStylePr>
  </w:style>
  <w:style w:type="table" w:customStyle="1" w:styleId="1709">
    <w:name w:val="Lined - Accent 18"/>
    <w:basedOn w:val="13"/>
    <w:uiPriority w:val="99"/>
    <w:rPr>
      <w:color w:val="404040"/>
    </w:rPr>
    <w:tblPr>
      <w:tblCellMar>
        <w:top w:w="0" w:type="dxa"/>
        <w:left w:w="108" w:type="dxa"/>
        <w:bottom w:w="0" w:type="dxa"/>
        <w:right w:w="108" w:type="dxa"/>
      </w:tblCellMar>
    </w:tblPr>
    <w:tblStylePr w:type="firstRow">
      <w:rPr>
        <w:rFonts w:ascii="Arial" w:hAnsi="Arial"/>
        <w:color w:val="F2F2F2"/>
        <w:sz w:val="22"/>
      </w:rPr>
      <w:tcPr>
        <w:shd w:val="clear" w:color="5D8AC2" w:fill="5D8AC2"/>
      </w:tcPr>
    </w:tblStylePr>
    <w:tblStylePr w:type="lastRow">
      <w:rPr>
        <w:rFonts w:ascii="Arial" w:hAnsi="Arial"/>
        <w:color w:val="F2F2F2"/>
        <w:sz w:val="22"/>
      </w:rPr>
      <w:tcPr>
        <w:shd w:val="clear" w:color="5D8AC2" w:fill="5D8AC2"/>
      </w:tcPr>
    </w:tblStylePr>
    <w:tblStylePr w:type="firstCol">
      <w:rPr>
        <w:rFonts w:ascii="Arial" w:hAnsi="Arial"/>
        <w:color w:val="F2F2F2"/>
        <w:sz w:val="22"/>
      </w:rPr>
      <w:tcPr>
        <w:shd w:val="clear" w:color="5D8AC2" w:fill="5D8AC2"/>
      </w:tcPr>
    </w:tblStylePr>
    <w:tblStylePr w:type="lastCol">
      <w:rPr>
        <w:rFonts w:ascii="Arial" w:hAnsi="Arial"/>
        <w:color w:val="F2F2F2"/>
        <w:sz w:val="22"/>
      </w:rPr>
      <w:tcPr>
        <w:shd w:val="clear" w:color="5D8AC2" w:fill="5D8AC2"/>
      </w:tcPr>
    </w:tblStylePr>
    <w:tblStylePr w:type="band1Vert">
      <w:rPr>
        <w:rFonts w:ascii="Arial" w:hAnsi="Arial"/>
        <w:color w:val="404040"/>
        <w:sz w:val="22"/>
      </w:rPr>
    </w:tblStylePr>
    <w:tblStylePr w:type="band2Vert">
      <w:rPr>
        <w:rFonts w:ascii="Arial" w:hAnsi="Arial"/>
        <w:color w:val="404040"/>
        <w:sz w:val="22"/>
      </w:rPr>
      <w:tcPr>
        <w:shd w:val="clear" w:color="C7D7EA" w:fill="C7D7EA"/>
      </w:tcPr>
    </w:tblStylePr>
    <w:tblStylePr w:type="band1Horz">
      <w:rPr>
        <w:rFonts w:ascii="Arial" w:hAnsi="Arial"/>
        <w:color w:val="404040"/>
        <w:sz w:val="22"/>
      </w:rPr>
    </w:tblStylePr>
    <w:tblStylePr w:type="band2Horz">
      <w:rPr>
        <w:rFonts w:ascii="Arial" w:hAnsi="Arial"/>
        <w:color w:val="404040"/>
        <w:sz w:val="22"/>
      </w:rPr>
      <w:tcPr>
        <w:shd w:val="clear" w:color="C7D7EA" w:fill="C7D7EA"/>
      </w:tcPr>
    </w:tblStylePr>
  </w:style>
  <w:style w:type="table" w:customStyle="1" w:styleId="1710">
    <w:name w:val="Lined - Accent 28"/>
    <w:basedOn w:val="13"/>
    <w:uiPriority w:val="99"/>
    <w:rPr>
      <w:color w:val="404040"/>
    </w:rPr>
    <w:tblPr>
      <w:tblCellMar>
        <w:top w:w="0" w:type="dxa"/>
        <w:left w:w="108" w:type="dxa"/>
        <w:bottom w:w="0" w:type="dxa"/>
        <w:right w:w="108" w:type="dxa"/>
      </w:tblCellMar>
    </w:tblPr>
    <w:tblStylePr w:type="firstRow">
      <w:rPr>
        <w:rFonts w:ascii="Arial" w:hAnsi="Arial"/>
        <w:color w:val="F2F2F2"/>
        <w:sz w:val="22"/>
      </w:rPr>
      <w:tcPr>
        <w:shd w:val="clear" w:color="D99695" w:fill="D99695"/>
      </w:tcPr>
    </w:tblStylePr>
    <w:tblStylePr w:type="lastRow">
      <w:rPr>
        <w:rFonts w:ascii="Arial" w:hAnsi="Arial"/>
        <w:color w:val="F2F2F2"/>
        <w:sz w:val="22"/>
      </w:rPr>
      <w:tcPr>
        <w:shd w:val="clear" w:color="D99695" w:fill="D99695"/>
      </w:tcPr>
    </w:tblStylePr>
    <w:tblStylePr w:type="firstCol">
      <w:rPr>
        <w:rFonts w:ascii="Arial" w:hAnsi="Arial"/>
        <w:color w:val="F2F2F2"/>
        <w:sz w:val="22"/>
      </w:rPr>
      <w:tcPr>
        <w:shd w:val="clear" w:color="D99695" w:fill="D99695"/>
      </w:tcPr>
    </w:tblStylePr>
    <w:tblStylePr w:type="lastCol">
      <w:rPr>
        <w:rFonts w:ascii="Arial" w:hAnsi="Arial"/>
        <w:color w:val="F2F2F2"/>
        <w:sz w:val="22"/>
      </w:rPr>
      <w:tcPr>
        <w:shd w:val="clear" w:color="D99695" w:fill="D99695"/>
      </w:tcPr>
    </w:tblStylePr>
    <w:tblStylePr w:type="band1Vert">
      <w:rPr>
        <w:rFonts w:ascii="Arial" w:hAnsi="Arial"/>
        <w:color w:val="404040"/>
        <w:sz w:val="22"/>
      </w:rPr>
    </w:tblStylePr>
    <w:tblStylePr w:type="band2Vert">
      <w:rPr>
        <w:rFonts w:ascii="Arial" w:hAnsi="Arial"/>
        <w:color w:val="404040"/>
        <w:sz w:val="22"/>
      </w:rPr>
      <w:tcPr>
        <w:shd w:val="clear" w:color="F2DCDC" w:fill="F2DCDC"/>
      </w:tcPr>
    </w:tblStylePr>
    <w:tblStylePr w:type="band1Horz">
      <w:rPr>
        <w:rFonts w:ascii="Arial" w:hAnsi="Arial"/>
        <w:color w:val="404040"/>
        <w:sz w:val="22"/>
      </w:rPr>
    </w:tblStylePr>
    <w:tblStylePr w:type="band2Horz">
      <w:rPr>
        <w:rFonts w:ascii="Arial" w:hAnsi="Arial"/>
        <w:color w:val="404040"/>
        <w:sz w:val="22"/>
      </w:rPr>
      <w:tcPr>
        <w:shd w:val="clear" w:color="F2DCDC" w:fill="F2DCDC"/>
      </w:tcPr>
    </w:tblStylePr>
  </w:style>
  <w:style w:type="table" w:customStyle="1" w:styleId="1711">
    <w:name w:val="Lined - Accent 38"/>
    <w:basedOn w:val="13"/>
    <w:uiPriority w:val="99"/>
    <w:rPr>
      <w:color w:val="404040"/>
    </w:rPr>
    <w:tblPr>
      <w:tblCellMar>
        <w:top w:w="0" w:type="dxa"/>
        <w:left w:w="108" w:type="dxa"/>
        <w:bottom w:w="0" w:type="dxa"/>
        <w:right w:w="108" w:type="dxa"/>
      </w:tblCellMar>
    </w:tblPr>
    <w:tblStylePr w:type="firstRow">
      <w:rPr>
        <w:rFonts w:ascii="Arial" w:hAnsi="Arial"/>
        <w:color w:val="F2F2F2"/>
        <w:sz w:val="22"/>
      </w:rPr>
      <w:tcPr>
        <w:shd w:val="clear" w:color="9ABB59" w:fill="9ABB59"/>
      </w:tcPr>
    </w:tblStylePr>
    <w:tblStylePr w:type="lastRow">
      <w:rPr>
        <w:rFonts w:ascii="Arial" w:hAnsi="Arial"/>
        <w:color w:val="F2F2F2"/>
        <w:sz w:val="22"/>
      </w:rPr>
      <w:tcPr>
        <w:shd w:val="clear" w:color="9ABB59" w:fill="9ABB59"/>
      </w:tcPr>
    </w:tblStylePr>
    <w:tblStylePr w:type="firstCol">
      <w:rPr>
        <w:rFonts w:ascii="Arial" w:hAnsi="Arial"/>
        <w:color w:val="F2F2F2"/>
        <w:sz w:val="22"/>
      </w:rPr>
      <w:tcPr>
        <w:shd w:val="clear" w:color="9ABB59" w:fill="9ABB59"/>
      </w:tcPr>
    </w:tblStylePr>
    <w:tblStylePr w:type="lastCol">
      <w:rPr>
        <w:rFonts w:ascii="Arial" w:hAnsi="Arial"/>
        <w:color w:val="F2F2F2"/>
        <w:sz w:val="22"/>
      </w:rPr>
      <w:tcPr>
        <w:shd w:val="clear" w:color="9ABB59" w:fill="9ABB59"/>
      </w:tcPr>
    </w:tblStylePr>
    <w:tblStylePr w:type="band1Vert">
      <w:rPr>
        <w:rFonts w:ascii="Arial" w:hAnsi="Arial"/>
        <w:color w:val="404040"/>
        <w:sz w:val="22"/>
      </w:rPr>
    </w:tblStylePr>
    <w:tblStylePr w:type="band2Vert">
      <w:rPr>
        <w:rFonts w:ascii="Arial" w:hAnsi="Arial"/>
        <w:color w:val="404040"/>
        <w:sz w:val="22"/>
      </w:rPr>
      <w:tcPr>
        <w:shd w:val="clear" w:color="EAF1DC" w:fill="EAF1DC"/>
      </w:tcPr>
    </w:tblStylePr>
    <w:tblStylePr w:type="band1Horz">
      <w:rPr>
        <w:rFonts w:ascii="Arial" w:hAnsi="Arial"/>
        <w:color w:val="404040"/>
        <w:sz w:val="22"/>
      </w:rPr>
    </w:tblStylePr>
    <w:tblStylePr w:type="band2Horz">
      <w:rPr>
        <w:rFonts w:ascii="Arial" w:hAnsi="Arial"/>
        <w:color w:val="404040"/>
        <w:sz w:val="22"/>
      </w:rPr>
      <w:tcPr>
        <w:shd w:val="clear" w:color="EAF1DC" w:fill="EAF1DC"/>
      </w:tcPr>
    </w:tblStylePr>
  </w:style>
  <w:style w:type="table" w:customStyle="1" w:styleId="1712">
    <w:name w:val="Lined - Accent 48"/>
    <w:basedOn w:val="13"/>
    <w:uiPriority w:val="99"/>
    <w:rPr>
      <w:color w:val="404040"/>
    </w:rPr>
    <w:tblPr>
      <w:tblCellMar>
        <w:top w:w="0" w:type="dxa"/>
        <w:left w:w="108" w:type="dxa"/>
        <w:bottom w:w="0" w:type="dxa"/>
        <w:right w:w="108" w:type="dxa"/>
      </w:tblCellMar>
    </w:tblPr>
    <w:tblStylePr w:type="firstRow">
      <w:rPr>
        <w:rFonts w:ascii="Arial" w:hAnsi="Arial"/>
        <w:color w:val="F2F2F2"/>
        <w:sz w:val="22"/>
      </w:rPr>
      <w:tcPr>
        <w:shd w:val="clear" w:color="B2A1C6" w:fill="B2A1C6"/>
      </w:tcPr>
    </w:tblStylePr>
    <w:tblStylePr w:type="lastRow">
      <w:rPr>
        <w:rFonts w:ascii="Arial" w:hAnsi="Arial"/>
        <w:color w:val="F2F2F2"/>
        <w:sz w:val="22"/>
      </w:rPr>
      <w:tcPr>
        <w:shd w:val="clear" w:color="B2A1C6" w:fill="B2A1C6"/>
      </w:tcPr>
    </w:tblStylePr>
    <w:tblStylePr w:type="firstCol">
      <w:rPr>
        <w:rFonts w:ascii="Arial" w:hAnsi="Arial"/>
        <w:color w:val="F2F2F2"/>
        <w:sz w:val="22"/>
      </w:rPr>
      <w:tcPr>
        <w:shd w:val="clear" w:color="B2A1C6" w:fill="B2A1C6"/>
      </w:tcPr>
    </w:tblStylePr>
    <w:tblStylePr w:type="lastCol">
      <w:rPr>
        <w:rFonts w:ascii="Arial" w:hAnsi="Arial"/>
        <w:color w:val="F2F2F2"/>
        <w:sz w:val="22"/>
      </w:rPr>
      <w:tcPr>
        <w:shd w:val="clear" w:color="B2A1C6" w:fill="B2A1C6"/>
      </w:tcPr>
    </w:tblStylePr>
    <w:tblStylePr w:type="band1Vert">
      <w:rPr>
        <w:rFonts w:ascii="Arial" w:hAnsi="Arial"/>
        <w:color w:val="404040"/>
        <w:sz w:val="22"/>
      </w:rPr>
    </w:tblStylePr>
    <w:tblStylePr w:type="band2Vert">
      <w:rPr>
        <w:rFonts w:ascii="Arial" w:hAnsi="Arial"/>
        <w:color w:val="404040"/>
        <w:sz w:val="22"/>
      </w:rPr>
      <w:tcPr>
        <w:shd w:val="clear" w:color="E5DFEC" w:fill="E5DFEC"/>
      </w:tcPr>
    </w:tblStylePr>
    <w:tblStylePr w:type="band1Horz">
      <w:rPr>
        <w:rFonts w:ascii="Arial" w:hAnsi="Arial"/>
        <w:color w:val="404040"/>
        <w:sz w:val="22"/>
      </w:rPr>
    </w:tblStylePr>
    <w:tblStylePr w:type="band2Horz">
      <w:rPr>
        <w:rFonts w:ascii="Arial" w:hAnsi="Arial"/>
        <w:color w:val="404040"/>
        <w:sz w:val="22"/>
      </w:rPr>
      <w:tcPr>
        <w:shd w:val="clear" w:color="E5DFEC" w:fill="E5DFEC"/>
      </w:tcPr>
    </w:tblStylePr>
  </w:style>
  <w:style w:type="table" w:customStyle="1" w:styleId="1713">
    <w:name w:val="Lined - Accent 58"/>
    <w:basedOn w:val="13"/>
    <w:uiPriority w:val="99"/>
    <w:rPr>
      <w:color w:val="404040"/>
    </w:rPr>
    <w:tblPr>
      <w:tblCellMar>
        <w:top w:w="0" w:type="dxa"/>
        <w:left w:w="108" w:type="dxa"/>
        <w:bottom w:w="0" w:type="dxa"/>
        <w:right w:w="108" w:type="dxa"/>
      </w:tblCellMar>
    </w:tblPr>
    <w:tblStylePr w:type="firstRow">
      <w:rPr>
        <w:rFonts w:ascii="Arial" w:hAnsi="Arial"/>
        <w:color w:val="F2F2F2"/>
        <w:sz w:val="22"/>
      </w:rPr>
      <w:tcPr>
        <w:shd w:val="clear" w:color="4BACC6" w:fill="4BACC6"/>
      </w:tcPr>
    </w:tblStylePr>
    <w:tblStylePr w:type="lastRow">
      <w:rPr>
        <w:rFonts w:ascii="Arial" w:hAnsi="Arial"/>
        <w:color w:val="F2F2F2"/>
        <w:sz w:val="22"/>
      </w:rPr>
      <w:tcPr>
        <w:shd w:val="clear" w:color="4BACC6" w:fill="4BACC6"/>
      </w:tcPr>
    </w:tblStylePr>
    <w:tblStylePr w:type="firstCol">
      <w:rPr>
        <w:rFonts w:ascii="Arial" w:hAnsi="Arial"/>
        <w:color w:val="F2F2F2"/>
        <w:sz w:val="22"/>
      </w:rPr>
      <w:tcPr>
        <w:shd w:val="clear" w:color="4BACC6" w:fill="4BACC6"/>
      </w:tcPr>
    </w:tblStylePr>
    <w:tblStylePr w:type="lastCol">
      <w:rPr>
        <w:rFonts w:ascii="Arial" w:hAnsi="Arial"/>
        <w:color w:val="F2F2F2"/>
        <w:sz w:val="22"/>
      </w:rPr>
      <w:tcPr>
        <w:shd w:val="clear" w:color="4BACC6" w:fill="4BACC6"/>
      </w:tcPr>
    </w:tblStylePr>
    <w:tblStylePr w:type="band1Vert">
      <w:rPr>
        <w:rFonts w:ascii="Arial" w:hAnsi="Arial"/>
        <w:color w:val="404040"/>
        <w:sz w:val="22"/>
      </w:rPr>
    </w:tblStylePr>
    <w:tblStylePr w:type="band2Vert">
      <w:rPr>
        <w:rFonts w:ascii="Arial" w:hAnsi="Arial"/>
        <w:color w:val="404040"/>
        <w:sz w:val="22"/>
      </w:rPr>
      <w:tcPr>
        <w:shd w:val="clear" w:color="DAEEF3" w:fill="DAEEF3"/>
      </w:tcPr>
    </w:tblStylePr>
    <w:tblStylePr w:type="band1Horz">
      <w:rPr>
        <w:rFonts w:ascii="Arial" w:hAnsi="Arial"/>
        <w:color w:val="404040"/>
        <w:sz w:val="22"/>
      </w:rPr>
    </w:tblStylePr>
    <w:tblStylePr w:type="band2Horz">
      <w:rPr>
        <w:rFonts w:ascii="Arial" w:hAnsi="Arial"/>
        <w:color w:val="404040"/>
        <w:sz w:val="22"/>
      </w:rPr>
      <w:tcPr>
        <w:shd w:val="clear" w:color="DAEEF3" w:fill="DAEEF3"/>
      </w:tcPr>
    </w:tblStylePr>
  </w:style>
  <w:style w:type="table" w:customStyle="1" w:styleId="1714">
    <w:name w:val="Lined - Accent 68"/>
    <w:basedOn w:val="13"/>
    <w:uiPriority w:val="99"/>
    <w:rPr>
      <w:color w:val="404040"/>
    </w:rPr>
    <w:tblPr>
      <w:tblCellMar>
        <w:top w:w="0" w:type="dxa"/>
        <w:left w:w="108" w:type="dxa"/>
        <w:bottom w:w="0" w:type="dxa"/>
        <w:right w:w="108" w:type="dxa"/>
      </w:tblCellMar>
    </w:tblPr>
    <w:tblStylePr w:type="firstRow">
      <w:rPr>
        <w:rFonts w:ascii="Arial" w:hAnsi="Arial"/>
        <w:color w:val="F2F2F2"/>
        <w:sz w:val="22"/>
      </w:rPr>
      <w:tcPr>
        <w:shd w:val="clear" w:color="F79646" w:fill="F79646"/>
      </w:tcPr>
    </w:tblStylePr>
    <w:tblStylePr w:type="lastRow">
      <w:rPr>
        <w:rFonts w:ascii="Arial" w:hAnsi="Arial"/>
        <w:color w:val="F2F2F2"/>
        <w:sz w:val="22"/>
      </w:rPr>
      <w:tcPr>
        <w:shd w:val="clear" w:color="F79646" w:fill="F79646"/>
      </w:tcPr>
    </w:tblStylePr>
    <w:tblStylePr w:type="firstCol">
      <w:rPr>
        <w:rFonts w:ascii="Arial" w:hAnsi="Arial"/>
        <w:color w:val="F2F2F2"/>
        <w:sz w:val="22"/>
      </w:rPr>
      <w:tcPr>
        <w:shd w:val="clear" w:color="F79646" w:fill="F79646"/>
      </w:tcPr>
    </w:tblStylePr>
    <w:tblStylePr w:type="lastCol">
      <w:rPr>
        <w:rFonts w:ascii="Arial" w:hAnsi="Arial"/>
        <w:color w:val="F2F2F2"/>
        <w:sz w:val="22"/>
      </w:rPr>
      <w:tcPr>
        <w:shd w:val="clear" w:color="F79646" w:fill="F79646"/>
      </w:tcPr>
    </w:tblStylePr>
    <w:tblStylePr w:type="band1Vert">
      <w:rPr>
        <w:rFonts w:ascii="Arial" w:hAnsi="Arial"/>
        <w:color w:val="404040"/>
        <w:sz w:val="22"/>
      </w:rPr>
    </w:tblStylePr>
    <w:tblStylePr w:type="band2Vert">
      <w:rPr>
        <w:rFonts w:ascii="Arial" w:hAnsi="Arial"/>
        <w:color w:val="404040"/>
        <w:sz w:val="22"/>
      </w:rPr>
      <w:tcPr>
        <w:shd w:val="clear" w:color="FDE9D8" w:fill="FDE9D8"/>
      </w:tcPr>
    </w:tblStylePr>
    <w:tblStylePr w:type="band1Horz">
      <w:rPr>
        <w:rFonts w:ascii="Arial" w:hAnsi="Arial"/>
        <w:color w:val="404040"/>
        <w:sz w:val="22"/>
      </w:rPr>
    </w:tblStylePr>
    <w:tblStylePr w:type="band2Horz">
      <w:rPr>
        <w:rFonts w:ascii="Arial" w:hAnsi="Arial"/>
        <w:color w:val="404040"/>
        <w:sz w:val="22"/>
      </w:rPr>
      <w:tcPr>
        <w:shd w:val="clear" w:color="FDE9D8" w:fill="FDE9D8"/>
      </w:tcPr>
    </w:tblStylePr>
  </w:style>
  <w:style w:type="table" w:customStyle="1" w:styleId="1715">
    <w:name w:val="Bordered &amp; Lined - Accent8"/>
    <w:basedOn w:val="13"/>
    <w:uiPriority w:val="99"/>
    <w:rPr>
      <w:color w:val="404040"/>
    </w:rPr>
    <w:tblPr>
      <w:tblBorders>
        <w:top w:val="single" w:color="595959" w:sz="4" w:space="0"/>
        <w:left w:val="single" w:color="595959" w:sz="4" w:space="0"/>
        <w:bottom w:val="single" w:color="595959" w:sz="4" w:space="0"/>
        <w:right w:val="single" w:color="595959" w:sz="4" w:space="0"/>
        <w:insideH w:val="single" w:color="595959" w:sz="4" w:space="0"/>
        <w:insideV w:val="single" w:color="595959" w:sz="4" w:space="0"/>
      </w:tblBorders>
      <w:tblCellMar>
        <w:top w:w="0" w:type="dxa"/>
        <w:left w:w="108" w:type="dxa"/>
        <w:bottom w:w="0" w:type="dxa"/>
        <w:right w:w="108" w:type="dxa"/>
      </w:tblCellMar>
    </w:tblPr>
    <w:tblStylePr w:type="firstRow">
      <w:rPr>
        <w:rFonts w:ascii="Arial" w:hAnsi="Arial"/>
        <w:color w:val="F2F2F2"/>
        <w:sz w:val="22"/>
      </w:rPr>
      <w:tcPr>
        <w:shd w:val="clear" w:color="7F7F7F" w:fill="7F7F7F"/>
      </w:tcPr>
    </w:tblStylePr>
    <w:tblStylePr w:type="lastRow">
      <w:rPr>
        <w:rFonts w:ascii="Arial" w:hAnsi="Arial"/>
        <w:color w:val="F2F2F2"/>
        <w:sz w:val="22"/>
      </w:rPr>
      <w:tcPr>
        <w:shd w:val="clear" w:color="7F7F7F" w:fill="7F7F7F"/>
      </w:tcPr>
    </w:tblStylePr>
    <w:tblStylePr w:type="firstCol">
      <w:rPr>
        <w:rFonts w:ascii="Arial" w:hAnsi="Arial"/>
        <w:color w:val="F2F2F2"/>
        <w:sz w:val="22"/>
      </w:rPr>
      <w:tcPr>
        <w:shd w:val="clear" w:color="7F7F7F" w:fill="7F7F7F"/>
      </w:tcPr>
    </w:tblStylePr>
    <w:tblStylePr w:type="lastCol">
      <w:rPr>
        <w:rFonts w:ascii="Arial" w:hAnsi="Arial"/>
        <w:color w:val="F2F2F2"/>
        <w:sz w:val="22"/>
      </w:rPr>
      <w:tcPr>
        <w:shd w:val="clear" w:color="7F7F7F" w:fill="7F7F7F"/>
      </w:tcPr>
    </w:tblStylePr>
    <w:tblStylePr w:type="band1Vert">
      <w:rPr>
        <w:rFonts w:ascii="Arial" w:hAnsi="Arial"/>
        <w:color w:val="404040"/>
        <w:sz w:val="22"/>
      </w:rPr>
    </w:tblStylePr>
    <w:tblStylePr w:type="band2Vert">
      <w:rPr>
        <w:rFonts w:ascii="Arial" w:hAnsi="Arial"/>
        <w:color w:val="404040"/>
        <w:sz w:val="22"/>
      </w:rPr>
      <w:tcPr>
        <w:shd w:val="clear" w:color="F2F2F2" w:fill="F2F2F2"/>
      </w:tcPr>
    </w:tblStylePr>
    <w:tblStylePr w:type="band1Horz">
      <w:rPr>
        <w:rFonts w:ascii="Arial" w:hAnsi="Arial"/>
        <w:color w:val="404040"/>
        <w:sz w:val="22"/>
      </w:rPr>
    </w:tblStylePr>
    <w:tblStylePr w:type="band2Horz">
      <w:rPr>
        <w:rFonts w:ascii="Arial" w:hAnsi="Arial"/>
        <w:color w:val="404040"/>
        <w:sz w:val="22"/>
      </w:rPr>
      <w:tcPr>
        <w:shd w:val="clear" w:color="F2F2F2" w:fill="F2F2F2"/>
      </w:tcPr>
    </w:tblStylePr>
  </w:style>
  <w:style w:type="table" w:customStyle="1" w:styleId="1716">
    <w:name w:val="Bordered &amp; Lined - Accent 18"/>
    <w:basedOn w:val="13"/>
    <w:uiPriority w:val="99"/>
    <w:rPr>
      <w:color w:val="404040"/>
    </w:rPr>
    <w:tblPr>
      <w:tblBorders>
        <w:top w:val="single" w:color="2A4A71" w:sz="4" w:space="0"/>
        <w:left w:val="single" w:color="2A4A71" w:sz="4" w:space="0"/>
        <w:bottom w:val="single" w:color="2A4A71" w:sz="4" w:space="0"/>
        <w:right w:val="single" w:color="2A4A71" w:sz="4" w:space="0"/>
        <w:insideH w:val="single" w:color="2A4A71" w:sz="4" w:space="0"/>
        <w:insideV w:val="single" w:color="2A4A71" w:sz="4" w:space="0"/>
      </w:tblBorders>
      <w:tblCellMar>
        <w:top w:w="0" w:type="dxa"/>
        <w:left w:w="108" w:type="dxa"/>
        <w:bottom w:w="0" w:type="dxa"/>
        <w:right w:w="108" w:type="dxa"/>
      </w:tblCellMar>
    </w:tblPr>
    <w:tblStylePr w:type="firstRow">
      <w:rPr>
        <w:rFonts w:ascii="Arial" w:hAnsi="Arial"/>
        <w:color w:val="F2F2F2"/>
        <w:sz w:val="22"/>
      </w:rPr>
      <w:tcPr>
        <w:shd w:val="clear" w:color="5D8AC2" w:fill="5D8AC2"/>
      </w:tcPr>
    </w:tblStylePr>
    <w:tblStylePr w:type="lastRow">
      <w:rPr>
        <w:rFonts w:ascii="Arial" w:hAnsi="Arial"/>
        <w:color w:val="F2F2F2"/>
        <w:sz w:val="22"/>
      </w:rPr>
      <w:tcPr>
        <w:shd w:val="clear" w:color="5D8AC2" w:fill="5D8AC2"/>
      </w:tcPr>
    </w:tblStylePr>
    <w:tblStylePr w:type="firstCol">
      <w:rPr>
        <w:rFonts w:ascii="Arial" w:hAnsi="Arial"/>
        <w:color w:val="F2F2F2"/>
        <w:sz w:val="22"/>
      </w:rPr>
      <w:tcPr>
        <w:shd w:val="clear" w:color="5D8AC2" w:fill="5D8AC2"/>
      </w:tcPr>
    </w:tblStylePr>
    <w:tblStylePr w:type="lastCol">
      <w:rPr>
        <w:rFonts w:ascii="Arial" w:hAnsi="Arial"/>
        <w:color w:val="F2F2F2"/>
        <w:sz w:val="22"/>
      </w:rPr>
      <w:tcPr>
        <w:shd w:val="clear" w:color="5D8AC2" w:fill="5D8AC2"/>
      </w:tcPr>
    </w:tblStylePr>
    <w:tblStylePr w:type="band1Vert">
      <w:rPr>
        <w:rFonts w:ascii="Arial" w:hAnsi="Arial"/>
        <w:color w:val="404040"/>
        <w:sz w:val="22"/>
      </w:rPr>
    </w:tblStylePr>
    <w:tblStylePr w:type="band2Vert">
      <w:rPr>
        <w:rFonts w:ascii="Arial" w:hAnsi="Arial"/>
        <w:color w:val="404040"/>
        <w:sz w:val="22"/>
      </w:rPr>
      <w:tcPr>
        <w:shd w:val="clear" w:color="C7D7EA" w:fill="C7D7EA"/>
      </w:tcPr>
    </w:tblStylePr>
    <w:tblStylePr w:type="band1Horz">
      <w:rPr>
        <w:rFonts w:ascii="Arial" w:hAnsi="Arial"/>
        <w:color w:val="404040"/>
        <w:sz w:val="22"/>
      </w:rPr>
    </w:tblStylePr>
    <w:tblStylePr w:type="band2Horz">
      <w:rPr>
        <w:rFonts w:ascii="Arial" w:hAnsi="Arial"/>
        <w:color w:val="404040"/>
        <w:sz w:val="22"/>
      </w:rPr>
      <w:tcPr>
        <w:shd w:val="clear" w:color="C7D7EA" w:fill="C7D7EA"/>
      </w:tcPr>
    </w:tblStylePr>
  </w:style>
  <w:style w:type="table" w:customStyle="1" w:styleId="1717">
    <w:name w:val="Bordered &amp; Lined - Accent 28"/>
    <w:basedOn w:val="13"/>
    <w:uiPriority w:val="99"/>
    <w:rPr>
      <w:color w:val="404040"/>
    </w:rPr>
    <w:tblPr>
      <w:tblBorders>
        <w:top w:val="single" w:color="732A29" w:sz="4" w:space="0"/>
        <w:left w:val="single" w:color="732A29" w:sz="4" w:space="0"/>
        <w:bottom w:val="single" w:color="732A29" w:sz="4" w:space="0"/>
        <w:right w:val="single" w:color="732A29" w:sz="4" w:space="0"/>
        <w:insideH w:val="single" w:color="732A29" w:sz="4" w:space="0"/>
        <w:insideV w:val="single" w:color="732A29" w:sz="4" w:space="0"/>
      </w:tblBorders>
      <w:tblCellMar>
        <w:top w:w="0" w:type="dxa"/>
        <w:left w:w="108" w:type="dxa"/>
        <w:bottom w:w="0" w:type="dxa"/>
        <w:right w:w="108" w:type="dxa"/>
      </w:tblCellMar>
    </w:tblPr>
    <w:tblStylePr w:type="firstRow">
      <w:rPr>
        <w:rFonts w:ascii="Arial" w:hAnsi="Arial"/>
        <w:color w:val="F2F2F2"/>
        <w:sz w:val="22"/>
      </w:rPr>
      <w:tcPr>
        <w:shd w:val="clear" w:color="D99695" w:fill="D99695"/>
      </w:tcPr>
    </w:tblStylePr>
    <w:tblStylePr w:type="lastRow">
      <w:rPr>
        <w:rFonts w:ascii="Arial" w:hAnsi="Arial"/>
        <w:color w:val="F2F2F2"/>
        <w:sz w:val="22"/>
      </w:rPr>
      <w:tcPr>
        <w:shd w:val="clear" w:color="D99695" w:fill="D99695"/>
      </w:tcPr>
    </w:tblStylePr>
    <w:tblStylePr w:type="firstCol">
      <w:rPr>
        <w:rFonts w:ascii="Arial" w:hAnsi="Arial"/>
        <w:color w:val="F2F2F2"/>
        <w:sz w:val="22"/>
      </w:rPr>
      <w:tcPr>
        <w:shd w:val="clear" w:color="D99695" w:fill="D99695"/>
      </w:tcPr>
    </w:tblStylePr>
    <w:tblStylePr w:type="lastCol">
      <w:rPr>
        <w:rFonts w:ascii="Arial" w:hAnsi="Arial"/>
        <w:color w:val="F2F2F2"/>
        <w:sz w:val="22"/>
      </w:rPr>
      <w:tcPr>
        <w:shd w:val="clear" w:color="D99695" w:fill="D99695"/>
      </w:tcPr>
    </w:tblStylePr>
    <w:tblStylePr w:type="band1Vert">
      <w:rPr>
        <w:rFonts w:ascii="Arial" w:hAnsi="Arial"/>
        <w:color w:val="404040"/>
        <w:sz w:val="22"/>
      </w:rPr>
    </w:tblStylePr>
    <w:tblStylePr w:type="band2Vert">
      <w:rPr>
        <w:rFonts w:ascii="Arial" w:hAnsi="Arial"/>
        <w:color w:val="404040"/>
        <w:sz w:val="22"/>
      </w:rPr>
      <w:tcPr>
        <w:shd w:val="clear" w:color="F2DCDC" w:fill="F2DCDC"/>
      </w:tcPr>
    </w:tblStylePr>
    <w:tblStylePr w:type="band1Horz">
      <w:rPr>
        <w:rFonts w:ascii="Arial" w:hAnsi="Arial"/>
        <w:color w:val="404040"/>
        <w:sz w:val="22"/>
      </w:rPr>
    </w:tblStylePr>
    <w:tblStylePr w:type="band2Horz">
      <w:rPr>
        <w:rFonts w:ascii="Arial" w:hAnsi="Arial"/>
        <w:color w:val="404040"/>
        <w:sz w:val="22"/>
      </w:rPr>
      <w:tcPr>
        <w:shd w:val="clear" w:color="F2DCDC" w:fill="F2DCDC"/>
      </w:tcPr>
    </w:tblStylePr>
  </w:style>
  <w:style w:type="table" w:customStyle="1" w:styleId="1718">
    <w:name w:val="Bordered &amp; Lined - Accent 38"/>
    <w:basedOn w:val="13"/>
    <w:uiPriority w:val="99"/>
    <w:rPr>
      <w:color w:val="404040"/>
    </w:rPr>
    <w:tblPr>
      <w:tblBorders>
        <w:top w:val="single" w:color="5B722E" w:sz="4" w:space="0"/>
        <w:left w:val="single" w:color="5B722E" w:sz="4" w:space="0"/>
        <w:bottom w:val="single" w:color="5B722E" w:sz="4" w:space="0"/>
        <w:right w:val="single" w:color="5B722E" w:sz="4" w:space="0"/>
        <w:insideH w:val="single" w:color="5B722E" w:sz="4" w:space="0"/>
        <w:insideV w:val="single" w:color="5B722E" w:sz="4" w:space="0"/>
      </w:tblBorders>
      <w:tblCellMar>
        <w:top w:w="0" w:type="dxa"/>
        <w:left w:w="108" w:type="dxa"/>
        <w:bottom w:w="0" w:type="dxa"/>
        <w:right w:w="108" w:type="dxa"/>
      </w:tblCellMar>
    </w:tblPr>
    <w:tblStylePr w:type="firstRow">
      <w:rPr>
        <w:rFonts w:ascii="Arial" w:hAnsi="Arial"/>
        <w:color w:val="F2F2F2"/>
        <w:sz w:val="22"/>
      </w:rPr>
      <w:tcPr>
        <w:shd w:val="clear" w:color="9ABB59" w:fill="9ABB59"/>
      </w:tcPr>
    </w:tblStylePr>
    <w:tblStylePr w:type="lastRow">
      <w:rPr>
        <w:rFonts w:ascii="Arial" w:hAnsi="Arial"/>
        <w:color w:val="F2F2F2"/>
        <w:sz w:val="22"/>
      </w:rPr>
      <w:tcPr>
        <w:shd w:val="clear" w:color="9ABB59" w:fill="9ABB59"/>
      </w:tcPr>
    </w:tblStylePr>
    <w:tblStylePr w:type="firstCol">
      <w:rPr>
        <w:rFonts w:ascii="Arial" w:hAnsi="Arial"/>
        <w:color w:val="F2F2F2"/>
        <w:sz w:val="22"/>
      </w:rPr>
      <w:tcPr>
        <w:shd w:val="clear" w:color="9ABB59" w:fill="9ABB59"/>
      </w:tcPr>
    </w:tblStylePr>
    <w:tblStylePr w:type="lastCol">
      <w:rPr>
        <w:rFonts w:ascii="Arial" w:hAnsi="Arial"/>
        <w:color w:val="F2F2F2"/>
        <w:sz w:val="22"/>
      </w:rPr>
      <w:tcPr>
        <w:shd w:val="clear" w:color="9ABB59" w:fill="9ABB59"/>
      </w:tcPr>
    </w:tblStylePr>
    <w:tblStylePr w:type="band1Vert">
      <w:rPr>
        <w:rFonts w:ascii="Arial" w:hAnsi="Arial"/>
        <w:color w:val="404040"/>
        <w:sz w:val="22"/>
      </w:rPr>
    </w:tblStylePr>
    <w:tblStylePr w:type="band2Vert">
      <w:rPr>
        <w:rFonts w:ascii="Arial" w:hAnsi="Arial"/>
        <w:color w:val="404040"/>
        <w:sz w:val="22"/>
      </w:rPr>
      <w:tcPr>
        <w:shd w:val="clear" w:color="EAF1DC" w:fill="EAF1DC"/>
      </w:tcPr>
    </w:tblStylePr>
    <w:tblStylePr w:type="band1Horz">
      <w:rPr>
        <w:rFonts w:ascii="Arial" w:hAnsi="Arial"/>
        <w:color w:val="404040"/>
        <w:sz w:val="22"/>
      </w:rPr>
    </w:tblStylePr>
    <w:tblStylePr w:type="band2Horz">
      <w:rPr>
        <w:rFonts w:ascii="Arial" w:hAnsi="Arial"/>
        <w:color w:val="404040"/>
        <w:sz w:val="22"/>
      </w:rPr>
      <w:tcPr>
        <w:shd w:val="clear" w:color="EAF1DC" w:fill="EAF1DC"/>
      </w:tcPr>
    </w:tblStylePr>
  </w:style>
  <w:style w:type="table" w:customStyle="1" w:styleId="1719">
    <w:name w:val="Bordered &amp; Lined - Accent 48"/>
    <w:basedOn w:val="13"/>
    <w:uiPriority w:val="99"/>
    <w:rPr>
      <w:color w:val="404040"/>
    </w:rPr>
    <w:tblPr>
      <w:tblBorders>
        <w:top w:val="single" w:color="4A395F" w:sz="4" w:space="0"/>
        <w:left w:val="single" w:color="4A395F" w:sz="4" w:space="0"/>
        <w:bottom w:val="single" w:color="4A395F" w:sz="4" w:space="0"/>
        <w:right w:val="single" w:color="4A395F" w:sz="4" w:space="0"/>
        <w:insideH w:val="single" w:color="4A395F" w:sz="4" w:space="0"/>
        <w:insideV w:val="single" w:color="4A395F" w:sz="4" w:space="0"/>
      </w:tblBorders>
      <w:tblCellMar>
        <w:top w:w="0" w:type="dxa"/>
        <w:left w:w="108" w:type="dxa"/>
        <w:bottom w:w="0" w:type="dxa"/>
        <w:right w:w="108" w:type="dxa"/>
      </w:tblCellMar>
    </w:tblPr>
    <w:tblStylePr w:type="firstRow">
      <w:rPr>
        <w:rFonts w:ascii="Arial" w:hAnsi="Arial"/>
        <w:color w:val="F2F2F2"/>
        <w:sz w:val="22"/>
      </w:rPr>
      <w:tcPr>
        <w:shd w:val="clear" w:color="B2A1C6" w:fill="B2A1C6"/>
      </w:tcPr>
    </w:tblStylePr>
    <w:tblStylePr w:type="lastRow">
      <w:rPr>
        <w:rFonts w:ascii="Arial" w:hAnsi="Arial"/>
        <w:color w:val="F2F2F2"/>
        <w:sz w:val="22"/>
      </w:rPr>
      <w:tcPr>
        <w:shd w:val="clear" w:color="B2A1C6" w:fill="B2A1C6"/>
      </w:tcPr>
    </w:tblStylePr>
    <w:tblStylePr w:type="firstCol">
      <w:rPr>
        <w:rFonts w:ascii="Arial" w:hAnsi="Arial"/>
        <w:color w:val="F2F2F2"/>
        <w:sz w:val="22"/>
      </w:rPr>
      <w:tcPr>
        <w:shd w:val="clear" w:color="B2A1C6" w:fill="B2A1C6"/>
      </w:tcPr>
    </w:tblStylePr>
    <w:tblStylePr w:type="lastCol">
      <w:rPr>
        <w:rFonts w:ascii="Arial" w:hAnsi="Arial"/>
        <w:color w:val="F2F2F2"/>
        <w:sz w:val="22"/>
      </w:rPr>
      <w:tcPr>
        <w:shd w:val="clear" w:color="B2A1C6" w:fill="B2A1C6"/>
      </w:tcPr>
    </w:tblStylePr>
    <w:tblStylePr w:type="band1Vert">
      <w:rPr>
        <w:rFonts w:ascii="Arial" w:hAnsi="Arial"/>
        <w:color w:val="404040"/>
        <w:sz w:val="22"/>
      </w:rPr>
    </w:tblStylePr>
    <w:tblStylePr w:type="band2Vert">
      <w:rPr>
        <w:rFonts w:ascii="Arial" w:hAnsi="Arial"/>
        <w:color w:val="404040"/>
        <w:sz w:val="22"/>
      </w:rPr>
      <w:tcPr>
        <w:shd w:val="clear" w:color="E5DFEC" w:fill="E5DFEC"/>
      </w:tcPr>
    </w:tblStylePr>
    <w:tblStylePr w:type="band1Horz">
      <w:rPr>
        <w:rFonts w:ascii="Arial" w:hAnsi="Arial"/>
        <w:color w:val="404040"/>
        <w:sz w:val="22"/>
      </w:rPr>
    </w:tblStylePr>
    <w:tblStylePr w:type="band2Horz">
      <w:rPr>
        <w:rFonts w:ascii="Arial" w:hAnsi="Arial"/>
        <w:color w:val="404040"/>
        <w:sz w:val="22"/>
      </w:rPr>
      <w:tcPr>
        <w:shd w:val="clear" w:color="E5DFEC" w:fill="E5DFEC"/>
      </w:tcPr>
    </w:tblStylePr>
  </w:style>
  <w:style w:type="table" w:customStyle="1" w:styleId="1720">
    <w:name w:val="Bordered &amp; Lined - Accent 58"/>
    <w:basedOn w:val="13"/>
    <w:uiPriority w:val="99"/>
    <w:rPr>
      <w:color w:val="404040"/>
    </w:rPr>
    <w:tblPr>
      <w:tblBorders>
        <w:top w:val="single" w:color="266779" w:sz="4" w:space="0"/>
        <w:left w:val="single" w:color="266779" w:sz="4" w:space="0"/>
        <w:bottom w:val="single" w:color="266779" w:sz="4" w:space="0"/>
        <w:right w:val="single" w:color="266779" w:sz="4" w:space="0"/>
        <w:insideH w:val="single" w:color="266779" w:sz="4" w:space="0"/>
        <w:insideV w:val="single" w:color="266779" w:sz="4" w:space="0"/>
      </w:tblBorders>
      <w:tblCellMar>
        <w:top w:w="0" w:type="dxa"/>
        <w:left w:w="108" w:type="dxa"/>
        <w:bottom w:w="0" w:type="dxa"/>
        <w:right w:w="108" w:type="dxa"/>
      </w:tblCellMar>
    </w:tblPr>
    <w:tblStylePr w:type="firstRow">
      <w:rPr>
        <w:rFonts w:ascii="Arial" w:hAnsi="Arial"/>
        <w:color w:val="F2F2F2"/>
        <w:sz w:val="22"/>
      </w:rPr>
      <w:tcPr>
        <w:shd w:val="clear" w:color="4BACC6" w:fill="4BACC6"/>
      </w:tcPr>
    </w:tblStylePr>
    <w:tblStylePr w:type="lastRow">
      <w:rPr>
        <w:rFonts w:ascii="Arial" w:hAnsi="Arial"/>
        <w:color w:val="F2F2F2"/>
        <w:sz w:val="22"/>
      </w:rPr>
      <w:tcPr>
        <w:shd w:val="clear" w:color="4BACC6" w:fill="4BACC6"/>
      </w:tcPr>
    </w:tblStylePr>
    <w:tblStylePr w:type="firstCol">
      <w:rPr>
        <w:rFonts w:ascii="Arial" w:hAnsi="Arial"/>
        <w:color w:val="F2F2F2"/>
        <w:sz w:val="22"/>
      </w:rPr>
      <w:tcPr>
        <w:shd w:val="clear" w:color="4BACC6" w:fill="4BACC6"/>
      </w:tcPr>
    </w:tblStylePr>
    <w:tblStylePr w:type="lastCol">
      <w:rPr>
        <w:rFonts w:ascii="Arial" w:hAnsi="Arial"/>
        <w:color w:val="F2F2F2"/>
        <w:sz w:val="22"/>
      </w:rPr>
      <w:tcPr>
        <w:shd w:val="clear" w:color="4BACC6" w:fill="4BACC6"/>
      </w:tcPr>
    </w:tblStylePr>
    <w:tblStylePr w:type="band1Vert">
      <w:rPr>
        <w:rFonts w:ascii="Arial" w:hAnsi="Arial"/>
        <w:color w:val="404040"/>
        <w:sz w:val="22"/>
      </w:rPr>
    </w:tblStylePr>
    <w:tblStylePr w:type="band2Vert">
      <w:rPr>
        <w:rFonts w:ascii="Arial" w:hAnsi="Arial"/>
        <w:color w:val="404040"/>
        <w:sz w:val="22"/>
      </w:rPr>
      <w:tcPr>
        <w:shd w:val="clear" w:color="DAEEF3" w:fill="DAEEF3"/>
      </w:tcPr>
    </w:tblStylePr>
    <w:tblStylePr w:type="band1Horz">
      <w:rPr>
        <w:rFonts w:ascii="Arial" w:hAnsi="Arial"/>
        <w:color w:val="404040"/>
        <w:sz w:val="22"/>
      </w:rPr>
    </w:tblStylePr>
    <w:tblStylePr w:type="band2Horz">
      <w:rPr>
        <w:rFonts w:ascii="Arial" w:hAnsi="Arial"/>
        <w:color w:val="404040"/>
        <w:sz w:val="22"/>
      </w:rPr>
      <w:tcPr>
        <w:shd w:val="clear" w:color="DAEEF3" w:fill="DAEEF3"/>
      </w:tcPr>
    </w:tblStylePr>
  </w:style>
  <w:style w:type="table" w:customStyle="1" w:styleId="1721">
    <w:name w:val="Bordered &amp; Lined - Accent 68"/>
    <w:basedOn w:val="13"/>
    <w:uiPriority w:val="99"/>
    <w:rPr>
      <w:color w:val="404040"/>
    </w:rPr>
    <w:tblPr>
      <w:tblBorders>
        <w:top w:val="single" w:color="B15407" w:sz="4" w:space="0"/>
        <w:left w:val="single" w:color="B15407" w:sz="4" w:space="0"/>
        <w:bottom w:val="single" w:color="B15407" w:sz="4" w:space="0"/>
        <w:right w:val="single" w:color="B15407" w:sz="4" w:space="0"/>
        <w:insideH w:val="single" w:color="B15407" w:sz="4" w:space="0"/>
        <w:insideV w:val="single" w:color="B15407" w:sz="4" w:space="0"/>
      </w:tblBorders>
      <w:tblCellMar>
        <w:top w:w="0" w:type="dxa"/>
        <w:left w:w="108" w:type="dxa"/>
        <w:bottom w:w="0" w:type="dxa"/>
        <w:right w:w="108" w:type="dxa"/>
      </w:tblCellMar>
    </w:tblPr>
    <w:tblStylePr w:type="firstRow">
      <w:rPr>
        <w:rFonts w:ascii="Arial" w:hAnsi="Arial"/>
        <w:color w:val="F2F2F2"/>
        <w:sz w:val="22"/>
      </w:rPr>
      <w:tcPr>
        <w:shd w:val="clear" w:color="F79646" w:fill="F79646"/>
      </w:tcPr>
    </w:tblStylePr>
    <w:tblStylePr w:type="lastRow">
      <w:rPr>
        <w:rFonts w:ascii="Arial" w:hAnsi="Arial"/>
        <w:color w:val="F2F2F2"/>
        <w:sz w:val="22"/>
      </w:rPr>
      <w:tcPr>
        <w:shd w:val="clear" w:color="F79646" w:fill="F79646"/>
      </w:tcPr>
    </w:tblStylePr>
    <w:tblStylePr w:type="firstCol">
      <w:rPr>
        <w:rFonts w:ascii="Arial" w:hAnsi="Arial"/>
        <w:color w:val="F2F2F2"/>
        <w:sz w:val="22"/>
      </w:rPr>
      <w:tcPr>
        <w:shd w:val="clear" w:color="F79646" w:fill="F79646"/>
      </w:tcPr>
    </w:tblStylePr>
    <w:tblStylePr w:type="lastCol">
      <w:rPr>
        <w:rFonts w:ascii="Arial" w:hAnsi="Arial"/>
        <w:color w:val="F2F2F2"/>
        <w:sz w:val="22"/>
      </w:rPr>
      <w:tcPr>
        <w:shd w:val="clear" w:color="F79646" w:fill="F79646"/>
      </w:tcPr>
    </w:tblStylePr>
    <w:tblStylePr w:type="band1Vert">
      <w:rPr>
        <w:rFonts w:ascii="Arial" w:hAnsi="Arial"/>
        <w:color w:val="404040"/>
        <w:sz w:val="22"/>
      </w:rPr>
    </w:tblStylePr>
    <w:tblStylePr w:type="band2Vert">
      <w:rPr>
        <w:rFonts w:ascii="Arial" w:hAnsi="Arial"/>
        <w:color w:val="404040"/>
        <w:sz w:val="22"/>
      </w:rPr>
      <w:tcPr>
        <w:shd w:val="clear" w:color="FDE9D8" w:fill="FDE9D8"/>
      </w:tcPr>
    </w:tblStylePr>
    <w:tblStylePr w:type="band1Horz">
      <w:rPr>
        <w:rFonts w:ascii="Arial" w:hAnsi="Arial"/>
        <w:color w:val="404040"/>
        <w:sz w:val="22"/>
      </w:rPr>
    </w:tblStylePr>
    <w:tblStylePr w:type="band2Horz">
      <w:rPr>
        <w:rFonts w:ascii="Arial" w:hAnsi="Arial"/>
        <w:color w:val="404040"/>
        <w:sz w:val="22"/>
      </w:rPr>
      <w:tcPr>
        <w:shd w:val="clear" w:color="FDE9D8" w:fill="FDE9D8"/>
      </w:tcPr>
    </w:tblStylePr>
  </w:style>
  <w:style w:type="table" w:customStyle="1" w:styleId="1722">
    <w:name w:val="Bordered8"/>
    <w:basedOn w:val="13"/>
    <w:uiPriority w:val="99"/>
    <w:rPr>
      <w:sz w:val="22"/>
      <w:szCs w:val="22"/>
      <w:lang w:eastAsia="en-US"/>
    </w:rPr>
    <w:tblPr>
      <w:tblBorders>
        <w:top w:val="single" w:color="D9D9D9" w:sz="4" w:space="0"/>
        <w:left w:val="single" w:color="D9D9D9" w:sz="4" w:space="0"/>
        <w:bottom w:val="single" w:color="D9D9D9" w:sz="4" w:space="0"/>
        <w:right w:val="single" w:color="D9D9D9" w:sz="4" w:space="0"/>
        <w:insideH w:val="single" w:color="D9D9D9" w:sz="4" w:space="0"/>
        <w:insideV w:val="single" w:color="D9D9D9" w:sz="4" w:space="0"/>
      </w:tblBorders>
      <w:tblCellMar>
        <w:top w:w="0" w:type="dxa"/>
        <w:left w:w="108" w:type="dxa"/>
        <w:bottom w:w="0" w:type="dxa"/>
        <w:right w:w="108" w:type="dxa"/>
      </w:tblCellMar>
    </w:tblPr>
    <w:tblStylePr w:type="firstRow">
      <w:rPr>
        <w:rFonts w:ascii="Arial" w:hAnsi="Arial"/>
        <w:color w:val="404040"/>
        <w:sz w:val="22"/>
      </w:rPr>
      <w:tcPr>
        <w:tcBorders>
          <w:bottom w:val="single" w:color="7F7F7F" w:sz="12" w:space="0"/>
        </w:tcBorders>
      </w:tcPr>
    </w:tblStylePr>
    <w:tblStylePr w:type="lastRow">
      <w:rPr>
        <w:rFonts w:ascii="Arial" w:hAnsi="Arial"/>
        <w:color w:val="404040"/>
        <w:sz w:val="22"/>
      </w:rPr>
      <w:tcPr>
        <w:tcBorders>
          <w:top w:val="single" w:color="7F7F7F"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7F7F7F" w:sz="12" w:space="0"/>
        </w:tcBorders>
      </w:tcPr>
    </w:tblStylePr>
    <w:tblStylePr w:type="band1Horz">
      <w:rPr>
        <w:rFonts w:ascii="Arial" w:hAnsi="Arial"/>
        <w:color w:val="404040"/>
        <w:sz w:val="22"/>
      </w:rPr>
      <w:tcPr>
        <w:tcBorders>
          <w:top w:val="single" w:color="D9D9D9" w:sz="4" w:space="0"/>
          <w:left w:val="single" w:color="D9D9D9" w:sz="4" w:space="0"/>
          <w:bottom w:val="single" w:color="D9D9D9" w:sz="4" w:space="0"/>
          <w:right w:val="single" w:color="D9D9D9" w:sz="4" w:space="0"/>
        </w:tcBorders>
      </w:tcPr>
    </w:tblStylePr>
  </w:style>
  <w:style w:type="table" w:customStyle="1" w:styleId="1723">
    <w:name w:val="Bordered - Accent 18"/>
    <w:basedOn w:val="13"/>
    <w:uiPriority w:val="99"/>
    <w:rPr>
      <w:sz w:val="22"/>
      <w:szCs w:val="22"/>
      <w:lang w:eastAsia="en-US"/>
    </w:rPr>
    <w:tblPr>
      <w:tblBorders>
        <w:top w:val="single" w:color="B7CBE4" w:sz="4" w:space="0"/>
        <w:left w:val="single" w:color="B7CBE4" w:sz="4" w:space="0"/>
        <w:bottom w:val="single" w:color="B7CBE4" w:sz="4" w:space="0"/>
        <w:right w:val="single" w:color="B7CBE4" w:sz="4" w:space="0"/>
        <w:insideH w:val="single" w:color="B7CBE4" w:sz="4" w:space="0"/>
        <w:insideV w:val="single" w:color="B7CBE4" w:sz="4" w:space="0"/>
      </w:tblBorders>
      <w:tblCellMar>
        <w:top w:w="0" w:type="dxa"/>
        <w:left w:w="108" w:type="dxa"/>
        <w:bottom w:w="0" w:type="dxa"/>
        <w:right w:w="108" w:type="dxa"/>
      </w:tblCellMar>
    </w:tblPr>
    <w:tblStylePr w:type="firstRow">
      <w:rPr>
        <w:rFonts w:ascii="Arial" w:hAnsi="Arial"/>
        <w:color w:val="404040"/>
        <w:sz w:val="22"/>
      </w:rPr>
      <w:tcPr>
        <w:tcBorders>
          <w:bottom w:val="single" w:color="4F81BD" w:sz="12" w:space="0"/>
        </w:tcBorders>
      </w:tcPr>
    </w:tblStylePr>
    <w:tblStylePr w:type="lastRow">
      <w:rPr>
        <w:rFonts w:ascii="Arial" w:hAnsi="Arial"/>
        <w:color w:val="404040"/>
        <w:sz w:val="22"/>
      </w:rPr>
      <w:tcPr>
        <w:tcBorders>
          <w:top w:val="single" w:color="4F81BD"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4F81BD" w:sz="12" w:space="0"/>
        </w:tcBorders>
      </w:tcPr>
    </w:tblStylePr>
    <w:tblStylePr w:type="band1Horz">
      <w:rPr>
        <w:rFonts w:ascii="Arial" w:hAnsi="Arial"/>
        <w:color w:val="404040"/>
        <w:sz w:val="22"/>
      </w:rPr>
      <w:tcPr>
        <w:tcBorders>
          <w:top w:val="single" w:color="B7CBE4" w:sz="4" w:space="0"/>
          <w:left w:val="single" w:color="B7CBE4" w:sz="4" w:space="0"/>
          <w:bottom w:val="single" w:color="B7CBE4" w:sz="4" w:space="0"/>
          <w:right w:val="single" w:color="B7CBE4" w:sz="4" w:space="0"/>
        </w:tcBorders>
      </w:tcPr>
    </w:tblStylePr>
  </w:style>
  <w:style w:type="table" w:customStyle="1" w:styleId="1724">
    <w:name w:val="Bordered - Accent 28"/>
    <w:basedOn w:val="13"/>
    <w:uiPriority w:val="99"/>
    <w:rPr>
      <w:sz w:val="22"/>
      <w:szCs w:val="22"/>
      <w:lang w:eastAsia="en-US"/>
    </w:rPr>
    <w:tblPr>
      <w:tblBorders>
        <w:top w:val="single" w:color="E5B7B6" w:sz="4" w:space="0"/>
        <w:left w:val="single" w:color="E5B7B6" w:sz="4" w:space="0"/>
        <w:bottom w:val="single" w:color="E5B7B6" w:sz="4" w:space="0"/>
        <w:right w:val="single" w:color="E5B7B6" w:sz="4" w:space="0"/>
        <w:insideH w:val="single" w:color="E5B7B6" w:sz="4" w:space="0"/>
        <w:insideV w:val="single" w:color="E5B7B6" w:sz="4" w:space="0"/>
      </w:tblBorders>
      <w:tblCellMar>
        <w:top w:w="0" w:type="dxa"/>
        <w:left w:w="108" w:type="dxa"/>
        <w:bottom w:w="0" w:type="dxa"/>
        <w:right w:w="108" w:type="dxa"/>
      </w:tblCellMar>
    </w:tblPr>
    <w:tblStylePr w:type="firstRow">
      <w:rPr>
        <w:rFonts w:ascii="Arial" w:hAnsi="Arial"/>
        <w:color w:val="404040"/>
        <w:sz w:val="22"/>
      </w:rPr>
      <w:tcPr>
        <w:tcBorders>
          <w:bottom w:val="single" w:color="D99695" w:sz="12" w:space="0"/>
        </w:tcBorders>
      </w:tcPr>
    </w:tblStylePr>
    <w:tblStylePr w:type="lastRow">
      <w:rPr>
        <w:rFonts w:ascii="Arial" w:hAnsi="Arial"/>
        <w:color w:val="404040"/>
        <w:sz w:val="22"/>
      </w:rPr>
      <w:tcPr>
        <w:tcBorders>
          <w:top w:val="single" w:color="D99695"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D99695" w:sz="12" w:space="0"/>
        </w:tcBorders>
      </w:tcPr>
    </w:tblStylePr>
    <w:tblStylePr w:type="band1Horz">
      <w:rPr>
        <w:rFonts w:ascii="Arial" w:hAnsi="Arial"/>
        <w:color w:val="404040"/>
        <w:sz w:val="22"/>
      </w:rPr>
      <w:tcPr>
        <w:tcBorders>
          <w:top w:val="single" w:color="E5B7B6" w:sz="4" w:space="0"/>
          <w:left w:val="single" w:color="E5B7B6" w:sz="4" w:space="0"/>
          <w:bottom w:val="single" w:color="E5B7B6" w:sz="4" w:space="0"/>
          <w:right w:val="single" w:color="E5B7B6" w:sz="4" w:space="0"/>
        </w:tcBorders>
      </w:tcPr>
    </w:tblStylePr>
  </w:style>
  <w:style w:type="table" w:customStyle="1" w:styleId="1725">
    <w:name w:val="Bordered - Accent 38"/>
    <w:basedOn w:val="13"/>
    <w:uiPriority w:val="99"/>
    <w:rPr>
      <w:sz w:val="22"/>
      <w:szCs w:val="22"/>
      <w:lang w:eastAsia="en-US"/>
    </w:rPr>
    <w:tblPr>
      <w:tblBorders>
        <w:top w:val="single" w:color="D6E3BB" w:sz="4" w:space="0"/>
        <w:left w:val="single" w:color="D6E3BB" w:sz="4" w:space="0"/>
        <w:bottom w:val="single" w:color="D6E3BB" w:sz="4" w:space="0"/>
        <w:right w:val="single" w:color="D6E3BB" w:sz="4" w:space="0"/>
        <w:insideH w:val="single" w:color="D6E3BB" w:sz="4" w:space="0"/>
        <w:insideV w:val="single" w:color="D6E3BB" w:sz="4" w:space="0"/>
      </w:tblBorders>
      <w:tblCellMar>
        <w:top w:w="0" w:type="dxa"/>
        <w:left w:w="108" w:type="dxa"/>
        <w:bottom w:w="0" w:type="dxa"/>
        <w:right w:w="108" w:type="dxa"/>
      </w:tblCellMar>
    </w:tblPr>
    <w:tblStylePr w:type="firstRow">
      <w:rPr>
        <w:rFonts w:ascii="Arial" w:hAnsi="Arial"/>
        <w:color w:val="404040"/>
        <w:sz w:val="22"/>
      </w:rPr>
      <w:tcPr>
        <w:tcBorders>
          <w:bottom w:val="single" w:color="C3D69B" w:sz="12" w:space="0"/>
        </w:tcBorders>
      </w:tcPr>
    </w:tblStylePr>
    <w:tblStylePr w:type="lastRow">
      <w:rPr>
        <w:rFonts w:ascii="Arial" w:hAnsi="Arial"/>
        <w:color w:val="404040"/>
        <w:sz w:val="22"/>
      </w:rPr>
      <w:tcPr>
        <w:tcBorders>
          <w:top w:val="single" w:color="C3D69B"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C3D69B" w:sz="12" w:space="0"/>
        </w:tcBorders>
      </w:tcPr>
    </w:tblStylePr>
    <w:tblStylePr w:type="band1Horz">
      <w:rPr>
        <w:rFonts w:ascii="Arial" w:hAnsi="Arial"/>
        <w:color w:val="404040"/>
        <w:sz w:val="22"/>
      </w:rPr>
      <w:tcPr>
        <w:tcBorders>
          <w:top w:val="single" w:color="D6E3BB" w:sz="4" w:space="0"/>
          <w:left w:val="single" w:color="D6E3BB" w:sz="4" w:space="0"/>
          <w:bottom w:val="single" w:color="D6E3BB" w:sz="4" w:space="0"/>
          <w:right w:val="single" w:color="D6E3BB" w:sz="4" w:space="0"/>
        </w:tcBorders>
      </w:tcPr>
    </w:tblStylePr>
  </w:style>
  <w:style w:type="table" w:customStyle="1" w:styleId="1726">
    <w:name w:val="Bordered - Accent 48"/>
    <w:basedOn w:val="13"/>
    <w:uiPriority w:val="99"/>
    <w:rPr>
      <w:sz w:val="22"/>
      <w:szCs w:val="22"/>
      <w:lang w:eastAsia="en-US"/>
    </w:rPr>
    <w:tblPr>
      <w:tblBorders>
        <w:top w:val="single" w:color="CBC0D9" w:sz="4" w:space="0"/>
        <w:left w:val="single" w:color="CBC0D9" w:sz="4" w:space="0"/>
        <w:bottom w:val="single" w:color="CBC0D9" w:sz="4" w:space="0"/>
        <w:right w:val="single" w:color="CBC0D9" w:sz="4" w:space="0"/>
        <w:insideH w:val="single" w:color="CBC0D9" w:sz="4" w:space="0"/>
        <w:insideV w:val="single" w:color="CBC0D9" w:sz="4" w:space="0"/>
      </w:tblBorders>
      <w:tblCellMar>
        <w:top w:w="0" w:type="dxa"/>
        <w:left w:w="108" w:type="dxa"/>
        <w:bottom w:w="0" w:type="dxa"/>
        <w:right w:w="108" w:type="dxa"/>
      </w:tblCellMar>
    </w:tblPr>
    <w:tblStylePr w:type="firstRow">
      <w:rPr>
        <w:rFonts w:ascii="Arial" w:hAnsi="Arial"/>
        <w:color w:val="404040"/>
        <w:sz w:val="22"/>
      </w:rPr>
      <w:tcPr>
        <w:tcBorders>
          <w:bottom w:val="single" w:color="B2A1C6" w:sz="12" w:space="0"/>
        </w:tcBorders>
      </w:tcPr>
    </w:tblStylePr>
    <w:tblStylePr w:type="lastRow">
      <w:rPr>
        <w:rFonts w:ascii="Arial" w:hAnsi="Arial"/>
        <w:color w:val="404040"/>
        <w:sz w:val="22"/>
      </w:rPr>
      <w:tcPr>
        <w:tcBorders>
          <w:top w:val="single" w:color="B2A1C6"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B2A1C6" w:sz="12" w:space="0"/>
        </w:tcBorders>
      </w:tcPr>
    </w:tblStylePr>
    <w:tblStylePr w:type="band1Horz">
      <w:rPr>
        <w:rFonts w:ascii="Arial" w:hAnsi="Arial"/>
        <w:color w:val="404040"/>
        <w:sz w:val="22"/>
      </w:rPr>
      <w:tcPr>
        <w:tcBorders>
          <w:top w:val="single" w:color="CBC0D9" w:sz="4" w:space="0"/>
          <w:left w:val="single" w:color="CBC0D9" w:sz="4" w:space="0"/>
          <w:bottom w:val="single" w:color="CBC0D9" w:sz="4" w:space="0"/>
          <w:right w:val="single" w:color="CBC0D9" w:sz="4" w:space="0"/>
        </w:tcBorders>
      </w:tcPr>
    </w:tblStylePr>
  </w:style>
  <w:style w:type="table" w:customStyle="1" w:styleId="1727">
    <w:name w:val="Bordered - Accent 58"/>
    <w:basedOn w:val="13"/>
    <w:uiPriority w:val="99"/>
    <w:rPr>
      <w:sz w:val="22"/>
      <w:szCs w:val="22"/>
      <w:lang w:eastAsia="en-US"/>
    </w:rPr>
    <w:tblPr>
      <w:tblBorders>
        <w:top w:val="single" w:color="B6DDE8" w:sz="4" w:space="0"/>
        <w:left w:val="single" w:color="B6DDE8" w:sz="4" w:space="0"/>
        <w:bottom w:val="single" w:color="B6DDE8" w:sz="4" w:space="0"/>
        <w:right w:val="single" w:color="B6DDE8" w:sz="4" w:space="0"/>
        <w:insideH w:val="single" w:color="B6DDE8" w:sz="4" w:space="0"/>
        <w:insideV w:val="single" w:color="B6DDE8" w:sz="4" w:space="0"/>
      </w:tblBorders>
      <w:tblCellMar>
        <w:top w:w="0" w:type="dxa"/>
        <w:left w:w="108" w:type="dxa"/>
        <w:bottom w:w="0" w:type="dxa"/>
        <w:right w:w="108" w:type="dxa"/>
      </w:tblCellMar>
    </w:tblPr>
    <w:tblStylePr w:type="firstRow">
      <w:rPr>
        <w:rFonts w:ascii="Arial" w:hAnsi="Arial"/>
        <w:color w:val="404040"/>
        <w:sz w:val="22"/>
      </w:rPr>
      <w:tcPr>
        <w:tcBorders>
          <w:bottom w:val="single" w:color="92CCDC" w:sz="12" w:space="0"/>
        </w:tcBorders>
      </w:tcPr>
    </w:tblStylePr>
    <w:tblStylePr w:type="lastRow">
      <w:rPr>
        <w:rFonts w:ascii="Arial" w:hAnsi="Arial"/>
        <w:color w:val="404040"/>
        <w:sz w:val="22"/>
      </w:rPr>
      <w:tcPr>
        <w:tcBorders>
          <w:top w:val="single" w:color="92CCDC"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92CCDC" w:sz="12" w:space="0"/>
        </w:tcBorders>
      </w:tcPr>
    </w:tblStylePr>
    <w:tblStylePr w:type="band1Horz">
      <w:rPr>
        <w:rFonts w:ascii="Arial" w:hAnsi="Arial"/>
        <w:color w:val="404040"/>
        <w:sz w:val="22"/>
      </w:rPr>
      <w:tcPr>
        <w:tcBorders>
          <w:top w:val="single" w:color="B6DDE8" w:sz="4" w:space="0"/>
          <w:left w:val="single" w:color="B6DDE8" w:sz="4" w:space="0"/>
          <w:bottom w:val="single" w:color="B6DDE8" w:sz="4" w:space="0"/>
          <w:right w:val="single" w:color="B6DDE8" w:sz="4" w:space="0"/>
        </w:tcBorders>
      </w:tcPr>
    </w:tblStylePr>
  </w:style>
  <w:style w:type="table" w:customStyle="1" w:styleId="1728">
    <w:name w:val="Bordered - Accent 68"/>
    <w:basedOn w:val="13"/>
    <w:uiPriority w:val="99"/>
    <w:rPr>
      <w:sz w:val="22"/>
      <w:szCs w:val="22"/>
      <w:lang w:eastAsia="en-US"/>
    </w:rPr>
    <w:tblPr>
      <w:tblBorders>
        <w:top w:val="single" w:color="FBD4B4" w:sz="4" w:space="0"/>
        <w:left w:val="single" w:color="FBD4B4" w:sz="4" w:space="0"/>
        <w:bottom w:val="single" w:color="FBD4B4" w:sz="4" w:space="0"/>
        <w:right w:val="single" w:color="FBD4B4" w:sz="4" w:space="0"/>
        <w:insideH w:val="single" w:color="FBD4B4" w:sz="4" w:space="0"/>
        <w:insideV w:val="single" w:color="FBD4B4" w:sz="4" w:space="0"/>
      </w:tblBorders>
      <w:tblCellMar>
        <w:top w:w="0" w:type="dxa"/>
        <w:left w:w="108" w:type="dxa"/>
        <w:bottom w:w="0" w:type="dxa"/>
        <w:right w:w="108" w:type="dxa"/>
      </w:tblCellMar>
    </w:tblPr>
    <w:tblStylePr w:type="firstRow">
      <w:rPr>
        <w:rFonts w:ascii="Arial" w:hAnsi="Arial"/>
        <w:color w:val="404040"/>
        <w:sz w:val="22"/>
      </w:rPr>
      <w:tcPr>
        <w:tcBorders>
          <w:bottom w:val="single" w:color="FAC090" w:sz="12" w:space="0"/>
        </w:tcBorders>
      </w:tcPr>
    </w:tblStylePr>
    <w:tblStylePr w:type="lastRow">
      <w:rPr>
        <w:rFonts w:ascii="Arial" w:hAnsi="Arial"/>
        <w:color w:val="404040"/>
        <w:sz w:val="22"/>
      </w:rPr>
      <w:tcPr>
        <w:tcBorders>
          <w:top w:val="single" w:color="FAC090"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FAC090" w:sz="12" w:space="0"/>
        </w:tcBorders>
      </w:tcPr>
    </w:tblStylePr>
    <w:tblStylePr w:type="band1Horz">
      <w:rPr>
        <w:rFonts w:ascii="Arial" w:hAnsi="Arial"/>
        <w:color w:val="404040"/>
        <w:sz w:val="22"/>
      </w:rPr>
      <w:tcPr>
        <w:tcBorders>
          <w:top w:val="single" w:color="FBD4B4" w:sz="4" w:space="0"/>
          <w:left w:val="single" w:color="FBD4B4" w:sz="4" w:space="0"/>
          <w:bottom w:val="single" w:color="FBD4B4" w:sz="4" w:space="0"/>
          <w:right w:val="single" w:color="FBD4B4" w:sz="4" w:space="0"/>
        </w:tcBorders>
      </w:tcPr>
    </w:tblStylePr>
  </w:style>
  <w:style w:type="table" w:customStyle="1" w:styleId="1729">
    <w:name w:val="Сетка таблицы18"/>
    <w:basedOn w:val="13"/>
    <w:uiPriority w:val="59"/>
    <w:rPr>
      <w:sz w:val="22"/>
      <w:szCs w:val="22"/>
      <w:lang w:eastAsia="en-US"/>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
  </w:style>
  <w:style w:type="table" w:customStyle="1" w:styleId="1730">
    <w:name w:val="Сетка таблицы19"/>
    <w:basedOn w:val="13"/>
    <w:uiPriority w:val="59"/>
    <w:rPr>
      <w:rFonts w:eastAsia="Times New Roman"/>
      <w:sz w:val="22"/>
      <w:szCs w:val="22"/>
      <w:lang w:eastAsia="en-US"/>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
  </w:style>
  <w:style w:type="table" w:customStyle="1" w:styleId="1731">
    <w:name w:val="Table Normal5"/>
    <w:semiHidden/>
    <w:unhideWhenUsed/>
    <w:qFormat/>
    <w:uiPriority w:val="2"/>
    <w:pPr>
      <w:widowControl w:val="0"/>
    </w:pPr>
    <w:rPr>
      <w:sz w:val="22"/>
      <w:szCs w:val="22"/>
      <w:lang w:val="en-US" w:eastAsia="en-US"/>
    </w:rPr>
    <w:tblPr>
      <w:tblCellMar>
        <w:top w:w="0" w:type="dxa"/>
        <w:left w:w="0" w:type="dxa"/>
        <w:bottom w:w="0" w:type="dxa"/>
        <w:right w:w="0" w:type="dxa"/>
      </w:tblCellMar>
    </w:tblPr>
  </w:style>
  <w:style w:type="table" w:customStyle="1" w:styleId="1732">
    <w:name w:val="Сетка таблицы211"/>
    <w:basedOn w:val="13"/>
    <w:uiPriority w:val="59"/>
    <w:rPr>
      <w:rFonts w:eastAsia="Times New Roman"/>
      <w:lang w:val="en-US" w:eastAsia="en-US" w:bidi="en-US"/>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
  </w:style>
  <w:style w:type="table" w:customStyle="1" w:styleId="1733">
    <w:name w:val="Сетка таблицы112"/>
    <w:basedOn w:val="13"/>
    <w:uiPriority w:val="59"/>
    <w:rPr>
      <w:sz w:val="22"/>
      <w:szCs w:val="22"/>
      <w:lang w:eastAsia="en-US"/>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
  </w:style>
  <w:style w:type="table" w:customStyle="1" w:styleId="1734">
    <w:name w:val="Сетка таблицы1112"/>
    <w:basedOn w:val="13"/>
    <w:uiPriority w:val="59"/>
    <w:rPr>
      <w:rFonts w:eastAsia="Times New Roman"/>
      <w:sz w:val="22"/>
      <w:szCs w:val="22"/>
      <w:lang w:eastAsia="en-US"/>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
  </w:style>
  <w:style w:type="table" w:customStyle="1" w:styleId="1735">
    <w:name w:val="Сетка таблицы23"/>
    <w:basedOn w:val="13"/>
    <w:uiPriority w:val="59"/>
    <w:rPr>
      <w:rFonts w:eastAsia="Times New Roman"/>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
  </w:style>
  <w:style w:type="table" w:customStyle="1" w:styleId="1736">
    <w:name w:val="Сетка таблицы121"/>
    <w:basedOn w:val="13"/>
    <w:uiPriority w:val="59"/>
    <w:rPr>
      <w:sz w:val="22"/>
      <w:szCs w:val="22"/>
      <w:lang w:eastAsia="en-US"/>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
  </w:style>
  <w:style w:type="table" w:customStyle="1" w:styleId="1737">
    <w:name w:val="Сетка таблицы131"/>
    <w:basedOn w:val="13"/>
    <w:uiPriority w:val="59"/>
    <w:rPr>
      <w:sz w:val="22"/>
      <w:szCs w:val="22"/>
      <w:lang w:eastAsia="en-US"/>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
  </w:style>
  <w:style w:type="table" w:customStyle="1" w:styleId="1738">
    <w:name w:val="Сетка таблицы31"/>
    <w:basedOn w:val="13"/>
    <w:uiPriority w:val="59"/>
    <w:rPr>
      <w:rFonts w:ascii="Times New Roman" w:hAnsi="Times New Roman" w:eastAsia="Times New Roman"/>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
  </w:style>
  <w:style w:type="table" w:customStyle="1" w:styleId="1739">
    <w:name w:val="Сетка таблицы141"/>
    <w:basedOn w:val="13"/>
    <w:uiPriority w:val="59"/>
    <w:rPr>
      <w:rFonts w:ascii="Times New Roman" w:hAnsi="Times New Roman" w:eastAsia="Times New Roman"/>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
  </w:style>
  <w:style w:type="table" w:customStyle="1" w:styleId="1740">
    <w:name w:val="Сетка таблицы222"/>
    <w:basedOn w:val="13"/>
    <w:uiPriority w:val="59"/>
    <w:rPr>
      <w:sz w:val="22"/>
      <w:szCs w:val="22"/>
      <w:lang w:eastAsia="en-US"/>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
  </w:style>
  <w:style w:type="table" w:customStyle="1" w:styleId="1741">
    <w:name w:val="Сетка таблицы41"/>
    <w:basedOn w:val="13"/>
    <w:uiPriority w:val="59"/>
    <w:rPr>
      <w:rFonts w:ascii="Times New Roman" w:hAnsi="Times New Roman" w:eastAsia="Times New Roman"/>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
  </w:style>
  <w:style w:type="table" w:customStyle="1" w:styleId="1742">
    <w:name w:val="Сетка таблицы51"/>
    <w:basedOn w:val="13"/>
    <w:uiPriority w:val="59"/>
    <w:rPr>
      <w:rFonts w:ascii="Times New Roman" w:hAnsi="Times New Roman" w:eastAsia="Times New Roman"/>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
  </w:style>
  <w:style w:type="table" w:customStyle="1" w:styleId="1743">
    <w:name w:val="Таблица простая 121"/>
    <w:basedOn w:val="13"/>
    <w:uiPriority w:val="41"/>
    <w:rPr>
      <w:sz w:val="22"/>
      <w:szCs w:val="22"/>
      <w:lang w:eastAsia="en-US"/>
    </w:rPr>
    <w:tblPr>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108" w:type="dxa"/>
        <w:bottom w:w="0" w:type="dxa"/>
        <w:right w:w="108" w:type="dxa"/>
      </w:tblCellMar>
    </w:tblPr>
    <w:tblStylePr w:type="firstRow">
      <w:rPr>
        <w:b/>
        <w:bCs/>
      </w:rPr>
    </w:tblStylePr>
    <w:tblStylePr w:type="lastRow">
      <w:rPr>
        <w:b/>
        <w:bCs/>
      </w:rPr>
      <w:tcPr>
        <w:tcBorders>
          <w:top w:val="double" w:color="BFBFBF" w:sz="4" w:space="0"/>
        </w:tcBorders>
      </w:tcPr>
    </w:tblStylePr>
    <w:tblStylePr w:type="firstCol">
      <w:rPr>
        <w:b/>
        <w:bCs/>
      </w:rPr>
    </w:tblStylePr>
    <w:tblStylePr w:type="lastCol">
      <w:rPr>
        <w:b/>
        <w:bCs/>
      </w:rPr>
    </w:tblStylePr>
    <w:tblStylePr w:type="band1Vert">
      <w:tcPr>
        <w:shd w:val="clear" w:color="auto" w:fill="F2F2F2"/>
      </w:tcPr>
    </w:tblStylePr>
    <w:tblStylePr w:type="band1Horz">
      <w:tcPr>
        <w:shd w:val="clear" w:color="auto" w:fill="F2F2F2"/>
      </w:tcPr>
    </w:tblStylePr>
  </w:style>
  <w:style w:type="table" w:customStyle="1" w:styleId="1744">
    <w:name w:val="Таблица простая 221"/>
    <w:basedOn w:val="13"/>
    <w:uiPriority w:val="42"/>
    <w:rPr>
      <w:sz w:val="22"/>
      <w:szCs w:val="22"/>
      <w:lang w:eastAsia="en-US"/>
    </w:rPr>
    <w:tblPr>
      <w:tblBorders>
        <w:top w:val="single" w:color="7F7F7F" w:sz="4" w:space="0"/>
        <w:bottom w:val="single" w:color="7F7F7F" w:sz="4" w:space="0"/>
      </w:tblBorders>
      <w:tblCellMar>
        <w:top w:w="0" w:type="dxa"/>
        <w:left w:w="108" w:type="dxa"/>
        <w:bottom w:w="0" w:type="dxa"/>
        <w:right w:w="108" w:type="dxa"/>
      </w:tblCellMar>
    </w:tblPr>
    <w:tblStylePr w:type="firstRow">
      <w:rPr>
        <w:b/>
        <w:bCs/>
      </w:rPr>
      <w:tcPr>
        <w:tcBorders>
          <w:bottom w:val="single" w:color="7F7F7F" w:sz="4" w:space="0"/>
        </w:tcBorders>
      </w:tcPr>
    </w:tblStylePr>
    <w:tblStylePr w:type="lastRow">
      <w:rPr>
        <w:b/>
        <w:bCs/>
      </w:rPr>
      <w:tcPr>
        <w:tcBorders>
          <w:top w:val="single" w:color="7F7F7F" w:sz="4" w:space="0"/>
        </w:tcBorders>
      </w:tcPr>
    </w:tblStylePr>
    <w:tblStylePr w:type="firstCol">
      <w:rPr>
        <w:b/>
        <w:bCs/>
      </w:rPr>
    </w:tblStylePr>
    <w:tblStylePr w:type="lastCol">
      <w:rPr>
        <w:b/>
        <w:bCs/>
      </w:rPr>
    </w:tblStylePr>
    <w:tblStylePr w:type="band1Vert">
      <w:tcPr>
        <w:tcBorders>
          <w:left w:val="single" w:color="7F7F7F" w:sz="4" w:space="0"/>
          <w:right w:val="single" w:color="7F7F7F" w:sz="4" w:space="0"/>
        </w:tcBorders>
      </w:tcPr>
    </w:tblStylePr>
    <w:tblStylePr w:type="band2Vert">
      <w:tcPr>
        <w:tcBorders>
          <w:left w:val="single" w:color="7F7F7F" w:sz="4" w:space="0"/>
          <w:right w:val="single" w:color="7F7F7F" w:sz="4" w:space="0"/>
        </w:tcBorders>
      </w:tcPr>
    </w:tblStylePr>
    <w:tblStylePr w:type="band1Horz">
      <w:tcPr>
        <w:tcBorders>
          <w:top w:val="single" w:color="7F7F7F" w:sz="4" w:space="0"/>
          <w:bottom w:val="single" w:color="7F7F7F" w:sz="4" w:space="0"/>
        </w:tcBorders>
      </w:tcPr>
    </w:tblStylePr>
  </w:style>
  <w:style w:type="table" w:customStyle="1" w:styleId="1745">
    <w:name w:val="Таблица простая 321"/>
    <w:basedOn w:val="13"/>
    <w:uiPriority w:val="43"/>
    <w:rPr>
      <w:sz w:val="22"/>
      <w:szCs w:val="22"/>
      <w:lang w:eastAsia="en-US"/>
    </w:rPr>
    <w:tblPr>
      <w:tblCellMar>
        <w:top w:w="0" w:type="dxa"/>
        <w:left w:w="108" w:type="dxa"/>
        <w:bottom w:w="0" w:type="dxa"/>
        <w:right w:w="108" w:type="dxa"/>
      </w:tblCellMar>
    </w:tblPr>
    <w:tblStylePr w:type="firstRow">
      <w:rPr>
        <w:b/>
        <w:bCs/>
        <w:caps/>
      </w:rPr>
      <w:tcPr>
        <w:tcBorders>
          <w:bottom w:val="single" w:color="7F7F7F" w:sz="4" w:space="0"/>
        </w:tcBorders>
      </w:tcPr>
    </w:tblStylePr>
    <w:tblStylePr w:type="lastRow">
      <w:rPr>
        <w:b/>
        <w:bCs/>
        <w:caps/>
      </w:rPr>
      <w:tcPr>
        <w:tcBorders>
          <w:top w:val="nil"/>
        </w:tcBorders>
      </w:tcPr>
    </w:tblStylePr>
    <w:tblStylePr w:type="firstCol">
      <w:rPr>
        <w:b/>
        <w:bCs/>
        <w:caps/>
      </w:rPr>
      <w:tcPr>
        <w:tcBorders>
          <w:right w:val="single" w:color="7F7F7F" w:sz="4" w:space="0"/>
        </w:tcBorders>
      </w:tcPr>
    </w:tblStylePr>
    <w:tblStylePr w:type="lastCol">
      <w:rPr>
        <w:b/>
        <w:bCs/>
        <w:caps/>
      </w:rPr>
      <w:tcPr>
        <w:tcBorders>
          <w:left w:val="nil"/>
        </w:tcBorders>
      </w:tcPr>
    </w:tblStylePr>
    <w:tblStylePr w:type="band1Vert">
      <w:tcPr>
        <w:shd w:val="clear" w:color="auto" w:fill="F2F2F2"/>
      </w:tcPr>
    </w:tblStylePr>
    <w:tblStylePr w:type="band1Horz">
      <w:tcPr>
        <w:shd w:val="clear" w:color="auto" w:fill="F2F2F2"/>
      </w:tcPr>
    </w:tblStylePr>
    <w:tblStylePr w:type="neCell">
      <w:tcPr>
        <w:tcBorders>
          <w:left w:val="nil"/>
        </w:tcBorders>
      </w:tcPr>
    </w:tblStylePr>
    <w:tblStylePr w:type="nwCell">
      <w:tcPr>
        <w:tcBorders>
          <w:right w:val="nil"/>
        </w:tcBorders>
      </w:tcPr>
    </w:tblStylePr>
  </w:style>
  <w:style w:type="table" w:customStyle="1" w:styleId="1746">
    <w:name w:val="Таблица простая 421"/>
    <w:basedOn w:val="13"/>
    <w:uiPriority w:val="44"/>
    <w:rPr>
      <w:sz w:val="22"/>
      <w:szCs w:val="22"/>
      <w:lang w:eastAsia="en-US"/>
    </w:rPr>
    <w:tblPr>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cPr>
        <w:shd w:val="clear" w:color="auto" w:fill="F2F2F2"/>
      </w:tcPr>
    </w:tblStylePr>
    <w:tblStylePr w:type="band1Horz">
      <w:tcPr>
        <w:shd w:val="clear" w:color="auto" w:fill="F2F2F2"/>
      </w:tcPr>
    </w:tblStylePr>
  </w:style>
  <w:style w:type="table" w:customStyle="1" w:styleId="1747">
    <w:name w:val="Таблица простая 521"/>
    <w:basedOn w:val="13"/>
    <w:uiPriority w:val="45"/>
    <w:rPr>
      <w:sz w:val="22"/>
      <w:szCs w:val="22"/>
      <w:lang w:eastAsia="en-US"/>
    </w:rPr>
    <w:tblPr>
      <w:tblCellMar>
        <w:top w:w="0" w:type="dxa"/>
        <w:left w:w="108" w:type="dxa"/>
        <w:bottom w:w="0" w:type="dxa"/>
        <w:right w:w="108" w:type="dxa"/>
      </w:tblCellMar>
    </w:tblPr>
    <w:tblStylePr w:type="firstRow">
      <w:rPr>
        <w:rFonts w:ascii="Cambria" w:hAnsi="Cambria" w:eastAsia="Times New Roman" w:cs="Times New Roman"/>
        <w:i/>
        <w:iCs/>
        <w:sz w:val="26"/>
      </w:rPr>
      <w:tcPr>
        <w:tcBorders>
          <w:bottom w:val="single" w:color="7F7F7F" w:sz="4" w:space="0"/>
        </w:tcBorders>
        <w:shd w:val="clear" w:color="auto" w:fill="FFFFFF"/>
      </w:tcPr>
    </w:tblStylePr>
    <w:tblStylePr w:type="lastRow">
      <w:rPr>
        <w:rFonts w:ascii="Cambria" w:hAnsi="Cambria" w:eastAsia="Times New Roman" w:cs="Times New Roman"/>
        <w:i/>
        <w:iCs/>
        <w:sz w:val="26"/>
      </w:rPr>
      <w:tcPr>
        <w:tcBorders>
          <w:top w:val="single" w:color="7F7F7F" w:sz="4" w:space="0"/>
        </w:tcBorders>
        <w:shd w:val="clear" w:color="auto" w:fill="FFFFFF"/>
      </w:tcPr>
    </w:tblStylePr>
    <w:tblStylePr w:type="firstCol">
      <w:pPr>
        <w:jc w:val="right"/>
      </w:pPr>
      <w:rPr>
        <w:rFonts w:ascii="Cambria" w:hAnsi="Cambria" w:eastAsia="Times New Roman" w:cs="Times New Roman"/>
        <w:i/>
        <w:iCs/>
        <w:sz w:val="26"/>
      </w:rPr>
      <w:tcPr>
        <w:tcBorders>
          <w:right w:val="single" w:color="7F7F7F" w:sz="4" w:space="0"/>
        </w:tcBorders>
        <w:shd w:val="clear" w:color="auto" w:fill="FFFFFF"/>
      </w:tcPr>
    </w:tblStylePr>
    <w:tblStylePr w:type="lastCol">
      <w:rPr>
        <w:rFonts w:ascii="Cambria" w:hAnsi="Cambria" w:eastAsia="Times New Roman" w:cs="Times New Roman"/>
        <w:i/>
        <w:iCs/>
        <w:sz w:val="26"/>
      </w:rPr>
      <w:tcPr>
        <w:tcBorders>
          <w:left w:val="single" w:color="7F7F7F" w:sz="4" w:space="0"/>
        </w:tcBorders>
        <w:shd w:val="clear" w:color="auto" w:fill="FFFFFF"/>
      </w:tcPr>
    </w:tblStylePr>
    <w:tblStylePr w:type="band1Vert">
      <w:tcPr>
        <w:shd w:val="clear" w:color="auto" w:fill="F2F2F2"/>
      </w:tcPr>
    </w:tblStylePr>
    <w:tblStylePr w:type="band1Horz">
      <w:tcPr>
        <w:shd w:val="clear" w:color="auto" w:fill="F2F2F2"/>
      </w:tcPr>
    </w:tblStylePr>
    <w:tblStylePr w:type="neCell">
      <w:tcPr>
        <w:tcBorders>
          <w:left w:val="nil"/>
        </w:tcBorders>
      </w:tcPr>
    </w:tblStylePr>
    <w:tblStylePr w:type="nwCell">
      <w:tcPr>
        <w:tcBorders>
          <w:right w:val="nil"/>
        </w:tcBorders>
      </w:tcPr>
    </w:tblStylePr>
    <w:tblStylePr w:type="seCell">
      <w:tcPr>
        <w:tcBorders>
          <w:left w:val="nil"/>
        </w:tcBorders>
      </w:tcPr>
    </w:tblStylePr>
    <w:tblStylePr w:type="swCell">
      <w:tcPr>
        <w:tcBorders>
          <w:right w:val="nil"/>
        </w:tcBorders>
      </w:tcPr>
    </w:tblStylePr>
  </w:style>
  <w:style w:type="table" w:customStyle="1" w:styleId="1748">
    <w:name w:val="Таблица-сетка 1 светлая21"/>
    <w:basedOn w:val="13"/>
    <w:uiPriority w:val="46"/>
    <w:rPr>
      <w:sz w:val="22"/>
      <w:szCs w:val="22"/>
      <w:lang w:eastAsia="en-US"/>
    </w:rPr>
    <w:tblPr>
      <w:tblBorders>
        <w:top w:val="single" w:color="999999" w:sz="4" w:space="0"/>
        <w:left w:val="single" w:color="999999" w:sz="4" w:space="0"/>
        <w:bottom w:val="single" w:color="999999" w:sz="4" w:space="0"/>
        <w:right w:val="single" w:color="999999" w:sz="4" w:space="0"/>
        <w:insideH w:val="single" w:color="999999" w:sz="4" w:space="0"/>
        <w:insideV w:val="single" w:color="999999" w:sz="4" w:space="0"/>
      </w:tblBorders>
      <w:tblCellMar>
        <w:top w:w="0" w:type="dxa"/>
        <w:left w:w="108" w:type="dxa"/>
        <w:bottom w:w="0" w:type="dxa"/>
        <w:right w:w="108" w:type="dxa"/>
      </w:tblCellMar>
    </w:tblPr>
    <w:tblStylePr w:type="firstRow">
      <w:rPr>
        <w:b/>
        <w:bCs/>
      </w:rPr>
      <w:tcPr>
        <w:tcBorders>
          <w:bottom w:val="single" w:color="666666" w:sz="12" w:space="0"/>
        </w:tcBorders>
      </w:tcPr>
    </w:tblStylePr>
    <w:tblStylePr w:type="lastRow">
      <w:rPr>
        <w:b/>
        <w:bCs/>
      </w:rPr>
      <w:tcPr>
        <w:tcBorders>
          <w:top w:val="double" w:color="666666" w:sz="2" w:space="0"/>
        </w:tcBorders>
      </w:tcPr>
    </w:tblStylePr>
    <w:tblStylePr w:type="firstCol">
      <w:rPr>
        <w:b/>
        <w:bCs/>
      </w:rPr>
    </w:tblStylePr>
    <w:tblStylePr w:type="lastCol">
      <w:rPr>
        <w:b/>
        <w:bCs/>
      </w:rPr>
    </w:tblStylePr>
  </w:style>
  <w:style w:type="table" w:customStyle="1" w:styleId="1749">
    <w:name w:val="Таблица-сетка 221"/>
    <w:basedOn w:val="13"/>
    <w:uiPriority w:val="47"/>
    <w:rPr>
      <w:sz w:val="22"/>
      <w:szCs w:val="22"/>
      <w:lang w:eastAsia="en-US"/>
    </w:rPr>
    <w:tblPr>
      <w:tblBorders>
        <w:top w:val="single" w:color="666666" w:sz="2" w:space="0"/>
        <w:bottom w:val="single" w:color="666666" w:sz="2" w:space="0"/>
        <w:insideH w:val="single" w:color="666666" w:sz="2" w:space="0"/>
        <w:insideV w:val="single" w:color="666666" w:sz="2" w:space="0"/>
      </w:tblBorders>
      <w:tblCellMar>
        <w:top w:w="0" w:type="dxa"/>
        <w:left w:w="108" w:type="dxa"/>
        <w:bottom w:w="0" w:type="dxa"/>
        <w:right w:w="108" w:type="dxa"/>
      </w:tblCellMar>
    </w:tblPr>
    <w:tblStylePr w:type="firstRow">
      <w:rPr>
        <w:b/>
        <w:bCs/>
      </w:rPr>
      <w:tcPr>
        <w:tcBorders>
          <w:top w:val="nil"/>
          <w:bottom w:val="single" w:color="666666" w:sz="12" w:space="0"/>
          <w:insideH w:val="nil"/>
          <w:insideV w:val="nil"/>
        </w:tcBorders>
        <w:shd w:val="clear" w:color="auto" w:fill="FFFFFF"/>
      </w:tcPr>
    </w:tblStylePr>
    <w:tblStylePr w:type="lastRow">
      <w:rPr>
        <w:b/>
        <w:bCs/>
      </w:rPr>
      <w:tcPr>
        <w:tcBorders>
          <w:top w:val="double" w:color="666666" w:sz="2" w:space="0"/>
          <w:bottom w:val="nil"/>
          <w:insideH w:val="nil"/>
          <w:insideV w:val="nil"/>
        </w:tcBorders>
        <w:shd w:val="clear" w:color="auto" w:fill="FFFFFF"/>
      </w:tcPr>
    </w:tblStylePr>
    <w:tblStylePr w:type="firstCol">
      <w:rPr>
        <w:b/>
        <w:bCs/>
      </w:rPr>
    </w:tblStylePr>
    <w:tblStylePr w:type="lastCol">
      <w:rPr>
        <w:b/>
        <w:bCs/>
      </w:rPr>
    </w:tblStylePr>
    <w:tblStylePr w:type="band1Vert">
      <w:tcPr>
        <w:shd w:val="clear" w:color="auto" w:fill="CCCCCC"/>
      </w:tcPr>
    </w:tblStylePr>
    <w:tblStylePr w:type="band1Horz">
      <w:tcPr>
        <w:shd w:val="clear" w:color="auto" w:fill="CCCCCC"/>
      </w:tcPr>
    </w:tblStylePr>
  </w:style>
  <w:style w:type="table" w:customStyle="1" w:styleId="1750">
    <w:name w:val="Таблица-сетка 321"/>
    <w:basedOn w:val="13"/>
    <w:uiPriority w:val="48"/>
    <w:rPr>
      <w:sz w:val="22"/>
      <w:szCs w:val="22"/>
      <w:lang w:eastAsia="en-US"/>
    </w:rPr>
    <w:tblPr>
      <w:tblBorders>
        <w:top w:val="single" w:color="666666" w:sz="4" w:space="0"/>
        <w:left w:val="single" w:color="666666" w:sz="4" w:space="0"/>
        <w:bottom w:val="single" w:color="666666" w:sz="4" w:space="0"/>
        <w:right w:val="single" w:color="666666" w:sz="4" w:space="0"/>
        <w:insideH w:val="single" w:color="666666" w:sz="4" w:space="0"/>
        <w:insideV w:val="single" w:color="666666" w:sz="4" w:space="0"/>
      </w:tblBorders>
      <w:tblCellMar>
        <w:top w:w="0" w:type="dxa"/>
        <w:left w:w="108" w:type="dxa"/>
        <w:bottom w:w="0" w:type="dxa"/>
        <w:right w:w="108" w:type="dxa"/>
      </w:tblCellMar>
    </w:tblPr>
    <w:tblStylePr w:type="firstRow">
      <w:rPr>
        <w:b/>
        <w:bCs/>
      </w:rPr>
      <w:tcPr>
        <w:tcBorders>
          <w:top w:val="nil"/>
          <w:left w:val="nil"/>
          <w:right w:val="nil"/>
          <w:insideH w:val="nil"/>
          <w:insideV w:val="nil"/>
        </w:tcBorders>
        <w:shd w:val="clear" w:color="auto" w:fill="FFFFFF"/>
      </w:tcPr>
    </w:tblStylePr>
    <w:tblStylePr w:type="lastRow">
      <w:rPr>
        <w:b/>
        <w:bCs/>
      </w:rPr>
      <w:tcPr>
        <w:tcBorders>
          <w:left w:val="nil"/>
          <w:bottom w:val="nil"/>
          <w:right w:val="nil"/>
          <w:insideH w:val="nil"/>
          <w:insideV w:val="nil"/>
        </w:tcBorders>
        <w:shd w:val="clear" w:color="auto" w:fill="FFFFFF"/>
      </w:tcPr>
    </w:tblStylePr>
    <w:tblStylePr w:type="firstCol">
      <w:pPr>
        <w:jc w:val="right"/>
      </w:pPr>
      <w:rPr>
        <w:i/>
        <w:iCs/>
      </w:rPr>
      <w:tcPr>
        <w:tcBorders>
          <w:top w:val="nil"/>
          <w:left w:val="nil"/>
          <w:bottom w:val="nil"/>
          <w:insideH w:val="nil"/>
          <w:insideV w:val="nil"/>
        </w:tcBorders>
        <w:shd w:val="clear" w:color="auto" w:fill="FFFFFF"/>
      </w:tcPr>
    </w:tblStylePr>
    <w:tblStylePr w:type="lastCol">
      <w:rPr>
        <w:i/>
        <w:iCs/>
      </w:rPr>
      <w:tcPr>
        <w:tcBorders>
          <w:top w:val="nil"/>
          <w:bottom w:val="nil"/>
          <w:right w:val="nil"/>
          <w:insideH w:val="nil"/>
          <w:insideV w:val="nil"/>
        </w:tcBorders>
        <w:shd w:val="clear" w:color="auto" w:fill="FFFFFF"/>
      </w:tcPr>
    </w:tblStylePr>
    <w:tblStylePr w:type="band1Vert">
      <w:tcPr>
        <w:shd w:val="clear" w:color="auto" w:fill="CCCCCC"/>
      </w:tcPr>
    </w:tblStylePr>
    <w:tblStylePr w:type="band1Horz">
      <w:tcPr>
        <w:shd w:val="clear" w:color="auto" w:fill="CCCCCC"/>
      </w:tcPr>
    </w:tblStylePr>
    <w:tblStylePr w:type="neCell">
      <w:tcPr>
        <w:tcBorders>
          <w:bottom w:val="single" w:color="666666" w:sz="4" w:space="0"/>
        </w:tcBorders>
      </w:tcPr>
    </w:tblStylePr>
    <w:tblStylePr w:type="nwCell">
      <w:tcPr>
        <w:tcBorders>
          <w:bottom w:val="single" w:color="666666" w:sz="4" w:space="0"/>
        </w:tcBorders>
      </w:tcPr>
    </w:tblStylePr>
    <w:tblStylePr w:type="seCell">
      <w:tcPr>
        <w:tcBorders>
          <w:top w:val="single" w:color="666666" w:sz="4" w:space="0"/>
        </w:tcBorders>
      </w:tcPr>
    </w:tblStylePr>
    <w:tblStylePr w:type="swCell">
      <w:tcPr>
        <w:tcBorders>
          <w:top w:val="single" w:color="666666" w:sz="4" w:space="0"/>
        </w:tcBorders>
      </w:tcPr>
    </w:tblStylePr>
  </w:style>
  <w:style w:type="table" w:customStyle="1" w:styleId="1751">
    <w:name w:val="Таблица-сетка 421"/>
    <w:basedOn w:val="13"/>
    <w:uiPriority w:val="49"/>
    <w:rPr>
      <w:sz w:val="22"/>
      <w:szCs w:val="22"/>
      <w:lang w:eastAsia="en-US"/>
    </w:rPr>
    <w:tblPr>
      <w:tblBorders>
        <w:top w:val="single" w:color="666666" w:sz="4" w:space="0"/>
        <w:left w:val="single" w:color="666666" w:sz="4" w:space="0"/>
        <w:bottom w:val="single" w:color="666666" w:sz="4" w:space="0"/>
        <w:right w:val="single" w:color="666666" w:sz="4" w:space="0"/>
        <w:insideH w:val="single" w:color="666666" w:sz="4" w:space="0"/>
        <w:insideV w:val="single" w:color="666666" w:sz="4" w:space="0"/>
      </w:tblBorders>
      <w:tblCellMar>
        <w:top w:w="0" w:type="dxa"/>
        <w:left w:w="108" w:type="dxa"/>
        <w:bottom w:w="0" w:type="dxa"/>
        <w:right w:w="108" w:type="dxa"/>
      </w:tblCellMar>
    </w:tblPr>
    <w:tblStylePr w:type="firstRow">
      <w:rPr>
        <w:b/>
        <w:bCs/>
        <w:color w:val="FFFFFF"/>
      </w:rPr>
      <w:tcPr>
        <w:tcBorders>
          <w:top w:val="single" w:color="000000" w:sz="4" w:space="0"/>
          <w:left w:val="single" w:color="000000" w:sz="4" w:space="0"/>
          <w:bottom w:val="single" w:color="000000" w:sz="4" w:space="0"/>
          <w:right w:val="single" w:color="000000" w:sz="4" w:space="0"/>
          <w:insideH w:val="nil"/>
          <w:insideV w:val="nil"/>
        </w:tcBorders>
        <w:shd w:val="clear" w:color="auto" w:fill="000000"/>
      </w:tcPr>
    </w:tblStylePr>
    <w:tblStylePr w:type="lastRow">
      <w:rPr>
        <w:b/>
        <w:bCs/>
      </w:rPr>
      <w:tcPr>
        <w:tcBorders>
          <w:top w:val="double" w:color="000000" w:sz="4" w:space="0"/>
        </w:tcBorders>
      </w:tcPr>
    </w:tblStylePr>
    <w:tblStylePr w:type="firstCol">
      <w:rPr>
        <w:b/>
        <w:bCs/>
      </w:rPr>
    </w:tblStylePr>
    <w:tblStylePr w:type="lastCol">
      <w:rPr>
        <w:b/>
        <w:bCs/>
      </w:rPr>
    </w:tblStylePr>
    <w:tblStylePr w:type="band1Vert">
      <w:tcPr>
        <w:shd w:val="clear" w:color="auto" w:fill="CCCCCC"/>
      </w:tcPr>
    </w:tblStylePr>
    <w:tblStylePr w:type="band1Horz">
      <w:tcPr>
        <w:shd w:val="clear" w:color="auto" w:fill="CCCCCC"/>
      </w:tcPr>
    </w:tblStylePr>
  </w:style>
  <w:style w:type="table" w:customStyle="1" w:styleId="1752">
    <w:name w:val="Таблица-сетка 5 темная21"/>
    <w:basedOn w:val="13"/>
    <w:uiPriority w:val="50"/>
    <w:rPr>
      <w:sz w:val="22"/>
      <w:szCs w:val="22"/>
      <w:lang w:eastAsia="en-US"/>
    </w:rPr>
    <w:tblPr>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CellMar>
        <w:top w:w="0" w:type="dxa"/>
        <w:left w:w="108" w:type="dxa"/>
        <w:bottom w:w="0" w:type="dxa"/>
        <w:right w:w="108" w:type="dxa"/>
      </w:tblCellMar>
    </w:tblPr>
    <w:tcPr>
      <w:shd w:val="clear" w:color="auto" w:fill="CCCCCC"/>
    </w:tcPr>
    <w:tblStylePr w:type="firstRow">
      <w:rPr>
        <w:b/>
        <w:bCs/>
        <w:color w:val="FFFFFF"/>
      </w:rPr>
      <w:tcPr>
        <w:tcBorders>
          <w:top w:val="single" w:color="FFFFFF" w:sz="4" w:space="0"/>
          <w:left w:val="single" w:color="FFFFFF" w:sz="4" w:space="0"/>
          <w:right w:val="single" w:color="FFFFFF" w:sz="4" w:space="0"/>
          <w:insideH w:val="nil"/>
          <w:insideV w:val="nil"/>
        </w:tcBorders>
        <w:shd w:val="clear" w:color="auto" w:fill="000000"/>
      </w:tcPr>
    </w:tblStylePr>
    <w:tblStylePr w:type="lastRow">
      <w:rPr>
        <w:b/>
        <w:bCs/>
        <w:color w:val="FFFFFF"/>
      </w:rPr>
      <w:tcPr>
        <w:tcBorders>
          <w:left w:val="single" w:color="FFFFFF" w:sz="4" w:space="0"/>
          <w:bottom w:val="single" w:color="FFFFFF" w:sz="4" w:space="0"/>
          <w:right w:val="single" w:color="FFFFFF" w:sz="4" w:space="0"/>
          <w:insideH w:val="nil"/>
          <w:insideV w:val="nil"/>
        </w:tcBorders>
        <w:shd w:val="clear" w:color="auto" w:fill="000000"/>
      </w:tcPr>
    </w:tblStylePr>
    <w:tblStylePr w:type="firstCol">
      <w:rPr>
        <w:b/>
        <w:bCs/>
        <w:color w:val="FFFFFF"/>
      </w:rPr>
      <w:tcPr>
        <w:tcBorders>
          <w:top w:val="single" w:color="FFFFFF" w:sz="4" w:space="0"/>
          <w:left w:val="single" w:color="FFFFFF" w:sz="4" w:space="0"/>
          <w:bottom w:val="single" w:color="FFFFFF" w:sz="4" w:space="0"/>
          <w:insideV w:val="nil"/>
        </w:tcBorders>
        <w:shd w:val="clear" w:color="auto" w:fill="000000"/>
      </w:tcPr>
    </w:tblStylePr>
    <w:tblStylePr w:type="lastCol">
      <w:rPr>
        <w:b/>
        <w:bCs/>
        <w:color w:val="FFFFFF"/>
      </w:rPr>
      <w:tcPr>
        <w:tcBorders>
          <w:top w:val="single" w:color="FFFFFF" w:sz="4" w:space="0"/>
          <w:bottom w:val="single" w:color="FFFFFF" w:sz="4" w:space="0"/>
          <w:right w:val="single" w:color="FFFFFF" w:sz="4" w:space="0"/>
          <w:insideV w:val="nil"/>
        </w:tcBorders>
        <w:shd w:val="clear" w:color="auto" w:fill="000000"/>
      </w:tcPr>
    </w:tblStylePr>
    <w:tblStylePr w:type="band1Vert">
      <w:tcPr>
        <w:shd w:val="clear" w:color="auto" w:fill="999999"/>
      </w:tcPr>
    </w:tblStylePr>
    <w:tblStylePr w:type="band1Horz">
      <w:tcPr>
        <w:shd w:val="clear" w:color="auto" w:fill="999999"/>
      </w:tcPr>
    </w:tblStylePr>
  </w:style>
  <w:style w:type="table" w:customStyle="1" w:styleId="1753">
    <w:name w:val="Таблица-сетка 6 цветная21"/>
    <w:basedOn w:val="13"/>
    <w:uiPriority w:val="51"/>
    <w:rPr>
      <w:color w:val="000000"/>
      <w:sz w:val="22"/>
      <w:szCs w:val="22"/>
      <w:lang w:eastAsia="en-US"/>
    </w:rPr>
    <w:tblPr>
      <w:tblBorders>
        <w:top w:val="single" w:color="666666" w:sz="4" w:space="0"/>
        <w:left w:val="single" w:color="666666" w:sz="4" w:space="0"/>
        <w:bottom w:val="single" w:color="666666" w:sz="4" w:space="0"/>
        <w:right w:val="single" w:color="666666" w:sz="4" w:space="0"/>
        <w:insideH w:val="single" w:color="666666" w:sz="4" w:space="0"/>
        <w:insideV w:val="single" w:color="666666" w:sz="4" w:space="0"/>
      </w:tblBorders>
      <w:tblCellMar>
        <w:top w:w="0" w:type="dxa"/>
        <w:left w:w="108" w:type="dxa"/>
        <w:bottom w:w="0" w:type="dxa"/>
        <w:right w:w="108" w:type="dxa"/>
      </w:tblCellMar>
    </w:tblPr>
    <w:tblStylePr w:type="firstRow">
      <w:rPr>
        <w:b/>
        <w:bCs/>
      </w:rPr>
      <w:tcPr>
        <w:tcBorders>
          <w:bottom w:val="single" w:color="666666" w:sz="12" w:space="0"/>
        </w:tcBorders>
      </w:tcPr>
    </w:tblStylePr>
    <w:tblStylePr w:type="lastRow">
      <w:rPr>
        <w:b/>
        <w:bCs/>
      </w:rPr>
      <w:tcPr>
        <w:tcBorders>
          <w:top w:val="double" w:color="666666" w:sz="4" w:space="0"/>
        </w:tcBorders>
      </w:tcPr>
    </w:tblStylePr>
    <w:tblStylePr w:type="firstCol">
      <w:rPr>
        <w:b/>
        <w:bCs/>
      </w:rPr>
    </w:tblStylePr>
    <w:tblStylePr w:type="lastCol">
      <w:rPr>
        <w:b/>
        <w:bCs/>
      </w:rPr>
    </w:tblStylePr>
    <w:tblStylePr w:type="band1Vert">
      <w:tcPr>
        <w:shd w:val="clear" w:color="auto" w:fill="CCCCCC"/>
      </w:tcPr>
    </w:tblStylePr>
    <w:tblStylePr w:type="band1Horz">
      <w:tcPr>
        <w:shd w:val="clear" w:color="auto" w:fill="CCCCCC"/>
      </w:tcPr>
    </w:tblStylePr>
  </w:style>
  <w:style w:type="table" w:customStyle="1" w:styleId="1754">
    <w:name w:val="Таблица-сетка 7 цветная21"/>
    <w:basedOn w:val="13"/>
    <w:uiPriority w:val="52"/>
    <w:rPr>
      <w:color w:val="000000"/>
      <w:sz w:val="22"/>
      <w:szCs w:val="22"/>
      <w:lang w:eastAsia="en-US"/>
    </w:rPr>
    <w:tblPr>
      <w:tblBorders>
        <w:top w:val="single" w:color="666666" w:sz="4" w:space="0"/>
        <w:left w:val="single" w:color="666666" w:sz="4" w:space="0"/>
        <w:bottom w:val="single" w:color="666666" w:sz="4" w:space="0"/>
        <w:right w:val="single" w:color="666666" w:sz="4" w:space="0"/>
        <w:insideH w:val="single" w:color="666666" w:sz="4" w:space="0"/>
        <w:insideV w:val="single" w:color="666666" w:sz="4" w:space="0"/>
      </w:tblBorders>
      <w:tblCellMar>
        <w:top w:w="0" w:type="dxa"/>
        <w:left w:w="108" w:type="dxa"/>
        <w:bottom w:w="0" w:type="dxa"/>
        <w:right w:w="108" w:type="dxa"/>
      </w:tblCellMar>
    </w:tblPr>
    <w:tblStylePr w:type="firstRow">
      <w:rPr>
        <w:b/>
        <w:bCs/>
      </w:rPr>
      <w:tcPr>
        <w:tcBorders>
          <w:top w:val="nil"/>
          <w:left w:val="nil"/>
          <w:right w:val="nil"/>
          <w:insideH w:val="nil"/>
          <w:insideV w:val="nil"/>
        </w:tcBorders>
        <w:shd w:val="clear" w:color="auto" w:fill="FFFFFF"/>
      </w:tcPr>
    </w:tblStylePr>
    <w:tblStylePr w:type="lastRow">
      <w:rPr>
        <w:b/>
        <w:bCs/>
      </w:rPr>
      <w:tcPr>
        <w:tcBorders>
          <w:left w:val="nil"/>
          <w:bottom w:val="nil"/>
          <w:right w:val="nil"/>
          <w:insideH w:val="nil"/>
          <w:insideV w:val="nil"/>
        </w:tcBorders>
        <w:shd w:val="clear" w:color="auto" w:fill="FFFFFF"/>
      </w:tcPr>
    </w:tblStylePr>
    <w:tblStylePr w:type="firstCol">
      <w:pPr>
        <w:jc w:val="right"/>
      </w:pPr>
      <w:rPr>
        <w:i/>
        <w:iCs/>
      </w:rPr>
      <w:tcPr>
        <w:tcBorders>
          <w:top w:val="nil"/>
          <w:left w:val="nil"/>
          <w:bottom w:val="nil"/>
          <w:insideH w:val="nil"/>
          <w:insideV w:val="nil"/>
        </w:tcBorders>
        <w:shd w:val="clear" w:color="auto" w:fill="FFFFFF"/>
      </w:tcPr>
    </w:tblStylePr>
    <w:tblStylePr w:type="lastCol">
      <w:rPr>
        <w:i/>
        <w:iCs/>
      </w:rPr>
      <w:tcPr>
        <w:tcBorders>
          <w:top w:val="nil"/>
          <w:bottom w:val="nil"/>
          <w:right w:val="nil"/>
          <w:insideH w:val="nil"/>
          <w:insideV w:val="nil"/>
        </w:tcBorders>
        <w:shd w:val="clear" w:color="auto" w:fill="FFFFFF"/>
      </w:tcPr>
    </w:tblStylePr>
    <w:tblStylePr w:type="band1Vert">
      <w:tcPr>
        <w:shd w:val="clear" w:color="auto" w:fill="CCCCCC"/>
      </w:tcPr>
    </w:tblStylePr>
    <w:tblStylePr w:type="band1Horz">
      <w:tcPr>
        <w:shd w:val="clear" w:color="auto" w:fill="CCCCCC"/>
      </w:tcPr>
    </w:tblStylePr>
    <w:tblStylePr w:type="neCell">
      <w:tcPr>
        <w:tcBorders>
          <w:bottom w:val="single" w:color="666666" w:sz="4" w:space="0"/>
        </w:tcBorders>
      </w:tcPr>
    </w:tblStylePr>
    <w:tblStylePr w:type="nwCell">
      <w:tcPr>
        <w:tcBorders>
          <w:bottom w:val="single" w:color="666666" w:sz="4" w:space="0"/>
        </w:tcBorders>
      </w:tcPr>
    </w:tblStylePr>
    <w:tblStylePr w:type="seCell">
      <w:tcPr>
        <w:tcBorders>
          <w:top w:val="single" w:color="666666" w:sz="4" w:space="0"/>
        </w:tcBorders>
      </w:tcPr>
    </w:tblStylePr>
    <w:tblStylePr w:type="swCell">
      <w:tcPr>
        <w:tcBorders>
          <w:top w:val="single" w:color="666666" w:sz="4" w:space="0"/>
        </w:tcBorders>
      </w:tcPr>
    </w:tblStylePr>
  </w:style>
  <w:style w:type="table" w:customStyle="1" w:styleId="1755">
    <w:name w:val="Список-таблица 1 светлая21"/>
    <w:basedOn w:val="13"/>
    <w:uiPriority w:val="46"/>
    <w:rPr>
      <w:sz w:val="22"/>
      <w:szCs w:val="22"/>
      <w:lang w:eastAsia="en-US"/>
    </w:rPr>
    <w:tblPr>
      <w:tblCellMar>
        <w:top w:w="0" w:type="dxa"/>
        <w:left w:w="108" w:type="dxa"/>
        <w:bottom w:w="0" w:type="dxa"/>
        <w:right w:w="108" w:type="dxa"/>
      </w:tblCellMar>
    </w:tblPr>
    <w:tblStylePr w:type="firstRow">
      <w:rPr>
        <w:b/>
        <w:bCs/>
      </w:rPr>
      <w:tcPr>
        <w:tcBorders>
          <w:bottom w:val="single" w:color="666666" w:sz="4" w:space="0"/>
        </w:tcBorders>
      </w:tcPr>
    </w:tblStylePr>
    <w:tblStylePr w:type="lastRow">
      <w:rPr>
        <w:b/>
        <w:bCs/>
      </w:rPr>
      <w:tcPr>
        <w:tcBorders>
          <w:top w:val="single" w:color="666666" w:sz="4" w:space="0"/>
        </w:tcBorders>
      </w:tcPr>
    </w:tblStylePr>
    <w:tblStylePr w:type="firstCol">
      <w:rPr>
        <w:b/>
        <w:bCs/>
      </w:rPr>
    </w:tblStylePr>
    <w:tblStylePr w:type="lastCol">
      <w:rPr>
        <w:b/>
        <w:bCs/>
      </w:rPr>
    </w:tblStylePr>
    <w:tblStylePr w:type="band1Vert">
      <w:tcPr>
        <w:shd w:val="clear" w:color="auto" w:fill="CCCCCC"/>
      </w:tcPr>
    </w:tblStylePr>
    <w:tblStylePr w:type="band1Horz">
      <w:tcPr>
        <w:shd w:val="clear" w:color="auto" w:fill="CCCCCC"/>
      </w:tcPr>
    </w:tblStylePr>
  </w:style>
  <w:style w:type="table" w:customStyle="1" w:styleId="1756">
    <w:name w:val="Список-таблица 221"/>
    <w:basedOn w:val="13"/>
    <w:uiPriority w:val="47"/>
    <w:rPr>
      <w:sz w:val="22"/>
      <w:szCs w:val="22"/>
      <w:lang w:eastAsia="en-US"/>
    </w:rPr>
    <w:tblPr>
      <w:tblBorders>
        <w:top w:val="single" w:color="666666" w:sz="4" w:space="0"/>
        <w:bottom w:val="single" w:color="666666" w:sz="4" w:space="0"/>
        <w:insideH w:val="single" w:color="666666" w:sz="4" w:space="0"/>
      </w:tblBorders>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cPr>
        <w:shd w:val="clear" w:color="auto" w:fill="CCCCCC"/>
      </w:tcPr>
    </w:tblStylePr>
    <w:tblStylePr w:type="band1Horz">
      <w:tcPr>
        <w:shd w:val="clear" w:color="auto" w:fill="CCCCCC"/>
      </w:tcPr>
    </w:tblStylePr>
  </w:style>
  <w:style w:type="table" w:customStyle="1" w:styleId="1757">
    <w:name w:val="Список-таблица 321"/>
    <w:basedOn w:val="13"/>
    <w:uiPriority w:val="48"/>
    <w:rPr>
      <w:sz w:val="22"/>
      <w:szCs w:val="22"/>
      <w:lang w:eastAsia="en-US"/>
    </w:rPr>
    <w:tblPr>
      <w:tblBorders>
        <w:top w:val="single" w:color="000000" w:sz="4" w:space="0"/>
        <w:left w:val="single" w:color="000000" w:sz="4" w:space="0"/>
        <w:bottom w:val="single" w:color="000000" w:sz="4" w:space="0"/>
        <w:right w:val="single" w:color="000000" w:sz="4" w:space="0"/>
      </w:tblBorders>
      <w:tblCellMar>
        <w:top w:w="0" w:type="dxa"/>
        <w:left w:w="108" w:type="dxa"/>
        <w:bottom w:w="0" w:type="dxa"/>
        <w:right w:w="108" w:type="dxa"/>
      </w:tblCellMar>
    </w:tblPr>
    <w:tblStylePr w:type="firstRow">
      <w:rPr>
        <w:b/>
        <w:bCs/>
        <w:color w:val="FFFFFF"/>
      </w:rPr>
      <w:tcPr>
        <w:shd w:val="clear" w:color="auto" w:fill="000000"/>
      </w:tcPr>
    </w:tblStylePr>
    <w:tblStylePr w:type="lastRow">
      <w:rPr>
        <w:b/>
        <w:bCs/>
      </w:rPr>
      <w:tcPr>
        <w:tcBorders>
          <w:top w:val="double" w:color="000000" w:sz="4" w:space="0"/>
        </w:tcBorders>
        <w:shd w:val="clear" w:color="auto" w:fill="FFFFFF"/>
      </w:tcPr>
    </w:tblStylePr>
    <w:tblStylePr w:type="firstCol">
      <w:rPr>
        <w:b/>
        <w:bCs/>
      </w:rPr>
      <w:tcPr>
        <w:tcBorders>
          <w:right w:val="nil"/>
        </w:tcBorders>
        <w:shd w:val="clear" w:color="auto" w:fill="FFFFFF"/>
      </w:tcPr>
    </w:tblStylePr>
    <w:tblStylePr w:type="lastCol">
      <w:rPr>
        <w:b/>
        <w:bCs/>
      </w:rPr>
      <w:tcPr>
        <w:tcBorders>
          <w:left w:val="nil"/>
        </w:tcBorders>
        <w:shd w:val="clear" w:color="auto" w:fill="FFFFFF"/>
      </w:tcPr>
    </w:tblStylePr>
    <w:tblStylePr w:type="band1Vert">
      <w:tcPr>
        <w:tcBorders>
          <w:left w:val="single" w:color="000000" w:sz="4" w:space="0"/>
          <w:right w:val="single" w:color="000000" w:sz="4" w:space="0"/>
        </w:tcBorders>
      </w:tcPr>
    </w:tblStylePr>
    <w:tblStylePr w:type="band1Horz">
      <w:tcPr>
        <w:tcBorders>
          <w:top w:val="single" w:color="000000" w:sz="4" w:space="0"/>
          <w:bottom w:val="single" w:color="000000" w:sz="4" w:space="0"/>
          <w:insideH w:val="nil"/>
        </w:tcBorders>
      </w:tcPr>
    </w:tblStylePr>
    <w:tblStylePr w:type="neCell">
      <w:tcPr>
        <w:tcBorders>
          <w:left w:val="nil"/>
          <w:bottom w:val="nil"/>
        </w:tcBorders>
      </w:tcPr>
    </w:tblStylePr>
    <w:tblStylePr w:type="nwCell">
      <w:tcPr>
        <w:tcBorders>
          <w:bottom w:val="nil"/>
          <w:right w:val="nil"/>
        </w:tcBorders>
      </w:tcPr>
    </w:tblStylePr>
    <w:tblStylePr w:type="seCell">
      <w:tcPr>
        <w:tcBorders>
          <w:top w:val="double" w:color="000000" w:sz="4" w:space="0"/>
          <w:left w:val="nil"/>
        </w:tcBorders>
      </w:tcPr>
    </w:tblStylePr>
    <w:tblStylePr w:type="swCell">
      <w:tcPr>
        <w:tcBorders>
          <w:top w:val="double" w:color="000000" w:sz="4" w:space="0"/>
          <w:right w:val="nil"/>
        </w:tcBorders>
      </w:tcPr>
    </w:tblStylePr>
  </w:style>
  <w:style w:type="table" w:customStyle="1" w:styleId="1758">
    <w:name w:val="Список-таблица 421"/>
    <w:basedOn w:val="13"/>
    <w:uiPriority w:val="49"/>
    <w:rPr>
      <w:sz w:val="22"/>
      <w:szCs w:val="22"/>
      <w:lang w:eastAsia="en-US"/>
    </w:rPr>
    <w:tblPr>
      <w:tblBorders>
        <w:top w:val="single" w:color="666666" w:sz="4" w:space="0"/>
        <w:left w:val="single" w:color="666666" w:sz="4" w:space="0"/>
        <w:bottom w:val="single" w:color="666666" w:sz="4" w:space="0"/>
        <w:right w:val="single" w:color="666666" w:sz="4" w:space="0"/>
        <w:insideH w:val="single" w:color="666666" w:sz="4" w:space="0"/>
      </w:tblBorders>
      <w:tblCellMar>
        <w:top w:w="0" w:type="dxa"/>
        <w:left w:w="108" w:type="dxa"/>
        <w:bottom w:w="0" w:type="dxa"/>
        <w:right w:w="108" w:type="dxa"/>
      </w:tblCellMar>
    </w:tblPr>
    <w:tblStylePr w:type="firstRow">
      <w:rPr>
        <w:b/>
        <w:bCs/>
        <w:color w:val="FFFFFF"/>
      </w:rPr>
      <w:tcPr>
        <w:tcBorders>
          <w:top w:val="single" w:color="000000" w:sz="4" w:space="0"/>
          <w:left w:val="single" w:color="000000" w:sz="4" w:space="0"/>
          <w:bottom w:val="single" w:color="000000" w:sz="4" w:space="0"/>
          <w:right w:val="single" w:color="000000" w:sz="4" w:space="0"/>
          <w:insideH w:val="nil"/>
        </w:tcBorders>
        <w:shd w:val="clear" w:color="auto" w:fill="000000"/>
      </w:tcPr>
    </w:tblStylePr>
    <w:tblStylePr w:type="lastRow">
      <w:rPr>
        <w:b/>
        <w:bCs/>
      </w:rPr>
      <w:tcPr>
        <w:tcBorders>
          <w:top w:val="double" w:color="666666" w:sz="4" w:space="0"/>
        </w:tcBorders>
      </w:tcPr>
    </w:tblStylePr>
    <w:tblStylePr w:type="firstCol">
      <w:rPr>
        <w:b/>
        <w:bCs/>
      </w:rPr>
    </w:tblStylePr>
    <w:tblStylePr w:type="lastCol">
      <w:rPr>
        <w:b/>
        <w:bCs/>
      </w:rPr>
    </w:tblStylePr>
    <w:tblStylePr w:type="band1Vert">
      <w:tcPr>
        <w:shd w:val="clear" w:color="auto" w:fill="CCCCCC"/>
      </w:tcPr>
    </w:tblStylePr>
    <w:tblStylePr w:type="band1Horz">
      <w:tcPr>
        <w:shd w:val="clear" w:color="auto" w:fill="CCCCCC"/>
      </w:tcPr>
    </w:tblStylePr>
  </w:style>
  <w:style w:type="table" w:customStyle="1" w:styleId="1759">
    <w:name w:val="Список-таблица 5 темная21"/>
    <w:basedOn w:val="13"/>
    <w:uiPriority w:val="50"/>
    <w:rPr>
      <w:color w:val="FFFFFF"/>
      <w:sz w:val="22"/>
      <w:szCs w:val="22"/>
      <w:lang w:eastAsia="en-US"/>
    </w:rPr>
    <w:tblPr>
      <w:tblBorders>
        <w:top w:val="single" w:color="000000" w:sz="24" w:space="0"/>
        <w:left w:val="single" w:color="000000" w:sz="24" w:space="0"/>
        <w:bottom w:val="single" w:color="000000" w:sz="24" w:space="0"/>
        <w:right w:val="single" w:color="000000" w:sz="24" w:space="0"/>
      </w:tblBorders>
      <w:tblCellMar>
        <w:top w:w="0" w:type="dxa"/>
        <w:left w:w="108" w:type="dxa"/>
        <w:bottom w:w="0" w:type="dxa"/>
        <w:right w:w="108" w:type="dxa"/>
      </w:tblCellMar>
    </w:tblPr>
    <w:tcPr>
      <w:shd w:val="clear" w:color="auto" w:fill="000000"/>
    </w:tcPr>
    <w:tblStylePr w:type="firstRow">
      <w:rPr>
        <w:b/>
        <w:bCs/>
      </w:rPr>
      <w:tcPr>
        <w:tcBorders>
          <w:bottom w:val="single" w:color="FFFFFF" w:sz="18" w:space="0"/>
        </w:tcBorders>
      </w:tcPr>
    </w:tblStylePr>
    <w:tblStylePr w:type="lastRow">
      <w:rPr>
        <w:b/>
        <w:bCs/>
      </w:rPr>
      <w:tcPr>
        <w:tcBorders>
          <w:top w:val="single" w:color="FFFFFF" w:sz="4" w:space="0"/>
        </w:tcBorders>
      </w:tcPr>
    </w:tblStylePr>
    <w:tblStylePr w:type="firstCol">
      <w:rPr>
        <w:b/>
        <w:bCs/>
      </w:rPr>
      <w:tcPr>
        <w:tcBorders>
          <w:right w:val="single" w:color="FFFFFF" w:sz="4" w:space="0"/>
        </w:tcBorders>
      </w:tcPr>
    </w:tblStylePr>
    <w:tblStylePr w:type="lastCol">
      <w:rPr>
        <w:b/>
        <w:bCs/>
      </w:rPr>
      <w:tcPr>
        <w:tcBorders>
          <w:left w:val="single" w:color="FFFFFF" w:sz="4" w:space="0"/>
        </w:tcBorders>
      </w:tcPr>
    </w:tblStylePr>
    <w:tblStylePr w:type="band1Vert">
      <w:tcPr>
        <w:tcBorders>
          <w:left w:val="single" w:color="FFFFFF" w:sz="4" w:space="0"/>
          <w:right w:val="single" w:color="FFFFFF" w:sz="4" w:space="0"/>
        </w:tcBorders>
      </w:tcPr>
    </w:tblStylePr>
    <w:tblStylePr w:type="band2Vert">
      <w:tcPr>
        <w:tcBorders>
          <w:left w:val="single" w:color="FFFFFF" w:sz="4" w:space="0"/>
          <w:right w:val="single" w:color="FFFFFF" w:sz="4" w:space="0"/>
        </w:tcBorders>
      </w:tcPr>
    </w:tblStylePr>
    <w:tblStylePr w:type="band1Horz">
      <w:tcPr>
        <w:tcBorders>
          <w:top w:val="single" w:color="FFFFFF" w:sz="4" w:space="0"/>
          <w:bottom w:val="single" w:color="FFFFFF" w:sz="4" w:space="0"/>
        </w:tcBorders>
      </w:tcPr>
    </w:tblStylePr>
    <w:tblStylePr w:type="neCell">
      <w:tcPr>
        <w:tcBorders>
          <w:left w:val="nil"/>
        </w:tcBorders>
      </w:tcPr>
    </w:tblStylePr>
    <w:tblStylePr w:type="nwCell">
      <w:tcPr>
        <w:tcBorders>
          <w:right w:val="nil"/>
        </w:tcBorders>
      </w:tcPr>
    </w:tblStylePr>
    <w:tblStylePr w:type="seCell">
      <w:tcPr>
        <w:tcBorders>
          <w:top w:val="nil"/>
          <w:left w:val="nil"/>
        </w:tcBorders>
      </w:tcPr>
    </w:tblStylePr>
    <w:tblStylePr w:type="swCell">
      <w:tcPr>
        <w:tcBorders>
          <w:top w:val="nil"/>
          <w:right w:val="nil"/>
        </w:tcBorders>
      </w:tcPr>
    </w:tblStylePr>
  </w:style>
  <w:style w:type="table" w:customStyle="1" w:styleId="1760">
    <w:name w:val="Список-таблица 6 цветная21"/>
    <w:basedOn w:val="13"/>
    <w:uiPriority w:val="51"/>
    <w:rPr>
      <w:color w:val="000000"/>
      <w:sz w:val="22"/>
      <w:szCs w:val="22"/>
      <w:lang w:eastAsia="en-US"/>
    </w:rPr>
    <w:tblPr>
      <w:tblBorders>
        <w:top w:val="single" w:color="000000" w:sz="4" w:space="0"/>
        <w:bottom w:val="single" w:color="000000" w:sz="4" w:space="0"/>
      </w:tblBorders>
      <w:tblCellMar>
        <w:top w:w="0" w:type="dxa"/>
        <w:left w:w="108" w:type="dxa"/>
        <w:bottom w:w="0" w:type="dxa"/>
        <w:right w:w="108" w:type="dxa"/>
      </w:tblCellMar>
    </w:tblPr>
    <w:tblStylePr w:type="firstRow">
      <w:rPr>
        <w:b/>
        <w:bCs/>
      </w:rPr>
      <w:tcPr>
        <w:tcBorders>
          <w:bottom w:val="single" w:color="000000" w:sz="4" w:space="0"/>
        </w:tcBorders>
      </w:tcPr>
    </w:tblStylePr>
    <w:tblStylePr w:type="lastRow">
      <w:rPr>
        <w:b/>
        <w:bCs/>
      </w:rPr>
      <w:tcPr>
        <w:tcBorders>
          <w:top w:val="double" w:color="000000" w:sz="4" w:space="0"/>
        </w:tcBorders>
      </w:tcPr>
    </w:tblStylePr>
    <w:tblStylePr w:type="firstCol">
      <w:rPr>
        <w:b/>
        <w:bCs/>
      </w:rPr>
    </w:tblStylePr>
    <w:tblStylePr w:type="lastCol">
      <w:rPr>
        <w:b/>
        <w:bCs/>
      </w:rPr>
    </w:tblStylePr>
    <w:tblStylePr w:type="band1Vert">
      <w:tcPr>
        <w:shd w:val="clear" w:color="auto" w:fill="CCCCCC"/>
      </w:tcPr>
    </w:tblStylePr>
    <w:tblStylePr w:type="band1Horz">
      <w:tcPr>
        <w:shd w:val="clear" w:color="auto" w:fill="CCCCCC"/>
      </w:tcPr>
    </w:tblStylePr>
  </w:style>
  <w:style w:type="table" w:customStyle="1" w:styleId="1761">
    <w:name w:val="Список-таблица 7 цветная21"/>
    <w:basedOn w:val="13"/>
    <w:uiPriority w:val="52"/>
    <w:rPr>
      <w:color w:val="000000"/>
      <w:sz w:val="22"/>
      <w:szCs w:val="22"/>
      <w:lang w:eastAsia="en-US"/>
    </w:rPr>
    <w:tblPr>
      <w:tblCellMar>
        <w:top w:w="0" w:type="dxa"/>
        <w:left w:w="108" w:type="dxa"/>
        <w:bottom w:w="0" w:type="dxa"/>
        <w:right w:w="108" w:type="dxa"/>
      </w:tblCellMar>
    </w:tblPr>
    <w:tblStylePr w:type="firstRow">
      <w:rPr>
        <w:rFonts w:ascii="Cambria" w:hAnsi="Cambria" w:eastAsia="Times New Roman" w:cs="Times New Roman"/>
        <w:i/>
        <w:iCs/>
        <w:sz w:val="26"/>
      </w:rPr>
      <w:tcPr>
        <w:tcBorders>
          <w:bottom w:val="single" w:color="000000" w:sz="4" w:space="0"/>
        </w:tcBorders>
        <w:shd w:val="clear" w:color="auto" w:fill="FFFFFF"/>
      </w:tcPr>
    </w:tblStylePr>
    <w:tblStylePr w:type="lastRow">
      <w:rPr>
        <w:rFonts w:ascii="Cambria" w:hAnsi="Cambria" w:eastAsia="Times New Roman" w:cs="Times New Roman"/>
        <w:i/>
        <w:iCs/>
        <w:sz w:val="26"/>
      </w:rPr>
      <w:tcPr>
        <w:tcBorders>
          <w:top w:val="single" w:color="000000" w:sz="4" w:space="0"/>
        </w:tcBorders>
        <w:shd w:val="clear" w:color="auto" w:fill="FFFFFF"/>
      </w:tcPr>
    </w:tblStylePr>
    <w:tblStylePr w:type="firstCol">
      <w:pPr>
        <w:jc w:val="right"/>
      </w:pPr>
      <w:rPr>
        <w:rFonts w:ascii="Cambria" w:hAnsi="Cambria" w:eastAsia="Times New Roman" w:cs="Times New Roman"/>
        <w:i/>
        <w:iCs/>
        <w:sz w:val="26"/>
      </w:rPr>
      <w:tcPr>
        <w:tcBorders>
          <w:right w:val="single" w:color="000000" w:sz="4" w:space="0"/>
        </w:tcBorders>
        <w:shd w:val="clear" w:color="auto" w:fill="FFFFFF"/>
      </w:tcPr>
    </w:tblStylePr>
    <w:tblStylePr w:type="lastCol">
      <w:rPr>
        <w:rFonts w:ascii="Cambria" w:hAnsi="Cambria" w:eastAsia="Times New Roman" w:cs="Times New Roman"/>
        <w:i/>
        <w:iCs/>
        <w:sz w:val="26"/>
      </w:rPr>
      <w:tcPr>
        <w:tcBorders>
          <w:left w:val="single" w:color="000000" w:sz="4" w:space="0"/>
        </w:tcBorders>
        <w:shd w:val="clear" w:color="auto" w:fill="FFFFFF"/>
      </w:tcPr>
    </w:tblStylePr>
    <w:tblStylePr w:type="band1Vert">
      <w:tcPr>
        <w:shd w:val="clear" w:color="auto" w:fill="CCCCCC"/>
      </w:tcPr>
    </w:tblStylePr>
    <w:tblStylePr w:type="band1Horz">
      <w:tcPr>
        <w:shd w:val="clear" w:color="auto" w:fill="CCCCCC"/>
      </w:tcPr>
    </w:tblStylePr>
    <w:tblStylePr w:type="neCell">
      <w:tcPr>
        <w:tcBorders>
          <w:left w:val="nil"/>
        </w:tcBorders>
      </w:tcPr>
    </w:tblStylePr>
    <w:tblStylePr w:type="nwCell">
      <w:tcPr>
        <w:tcBorders>
          <w:right w:val="nil"/>
        </w:tcBorders>
      </w:tcPr>
    </w:tblStylePr>
    <w:tblStylePr w:type="seCell">
      <w:tcPr>
        <w:tcBorders>
          <w:left w:val="nil"/>
        </w:tcBorders>
      </w:tcPr>
    </w:tblStylePr>
    <w:tblStylePr w:type="swCell">
      <w:tcPr>
        <w:tcBorders>
          <w:right w:val="nil"/>
        </w:tcBorders>
      </w:tcPr>
    </w:tblStylePr>
  </w:style>
  <w:style w:type="table" w:customStyle="1" w:styleId="1762">
    <w:name w:val="Сетка таблицы151"/>
    <w:basedOn w:val="13"/>
    <w:uiPriority w:val="59"/>
    <w:rPr>
      <w:sz w:val="22"/>
      <w:szCs w:val="22"/>
      <w:lang w:eastAsia="en-US"/>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
  </w:style>
  <w:style w:type="table" w:customStyle="1" w:styleId="1763">
    <w:name w:val="Сетка таблицы61"/>
    <w:basedOn w:val="13"/>
    <w:uiPriority w:val="59"/>
    <w:rPr>
      <w:sz w:val="22"/>
      <w:szCs w:val="22"/>
      <w:lang w:eastAsia="en-US"/>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customStyle="1" w:styleId="1764">
    <w:name w:val="Сетка таблицы20"/>
    <w:basedOn w:val="13"/>
    <w:uiPriority w:val="59"/>
    <w:rPr>
      <w:sz w:val="22"/>
      <w:szCs w:val="22"/>
      <w:lang w:eastAsia="en-US"/>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
  </w:style>
  <w:style w:type="table" w:customStyle="1" w:styleId="1765">
    <w:name w:val="Table Grid Light9"/>
    <w:basedOn w:val="13"/>
    <w:uiPriority w:val="59"/>
    <w:rPr>
      <w:sz w:val="22"/>
      <w:szCs w:val="22"/>
      <w:lang w:eastAsia="en-US"/>
    </w:rPr>
    <w:tblPr>
      <w:tblBorders>
        <w:top w:val="single" w:color="AFAFAF" w:sz="4" w:space="0"/>
        <w:left w:val="single" w:color="AFAFAF" w:sz="4" w:space="0"/>
        <w:bottom w:val="single" w:color="AFAFAF" w:sz="4" w:space="0"/>
        <w:right w:val="single" w:color="AFAFAF" w:sz="4" w:space="0"/>
        <w:insideH w:val="single" w:color="AFAFAF" w:sz="4" w:space="0"/>
        <w:insideV w:val="single" w:color="AFAFAF" w:sz="4" w:space="0"/>
      </w:tblBorders>
      <w:tblCellMar>
        <w:top w:w="0" w:type="dxa"/>
        <w:left w:w="108" w:type="dxa"/>
        <w:bottom w:w="0" w:type="dxa"/>
        <w:right w:w="108" w:type="dxa"/>
      </w:tblCellMar>
    </w:tblPr>
  </w:style>
  <w:style w:type="table" w:customStyle="1" w:styleId="1766">
    <w:name w:val="Таблица простая 117"/>
    <w:basedOn w:val="13"/>
    <w:uiPriority w:val="59"/>
    <w:rPr>
      <w:sz w:val="22"/>
      <w:szCs w:val="22"/>
      <w:lang w:eastAsia="en-US"/>
    </w:rPr>
    <w:tblPr>
      <w:tblBorders>
        <w:top w:val="single" w:color="AFAFAF" w:sz="4" w:space="0"/>
        <w:left w:val="single" w:color="AFAFAF" w:sz="4" w:space="0"/>
        <w:bottom w:val="single" w:color="AFAFAF" w:sz="4" w:space="0"/>
        <w:right w:val="single" w:color="AFAFAF" w:sz="4" w:space="0"/>
        <w:insideH w:val="single" w:color="AFAFAF" w:sz="4" w:space="0"/>
        <w:insideV w:val="single" w:color="AFAFAF" w:sz="4" w:space="0"/>
      </w:tblBorders>
      <w:tblCellMar>
        <w:top w:w="0" w:type="dxa"/>
        <w:left w:w="108" w:type="dxa"/>
        <w:bottom w:w="0" w:type="dxa"/>
        <w:right w:w="108" w:type="dxa"/>
      </w:tblCellMar>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cPr>
        <w:shd w:val="clear" w:color="F2F2F2" w:fill="F2F2F2"/>
      </w:tcPr>
    </w:tblStylePr>
    <w:tblStylePr w:type="band1Horz">
      <w:tcPr>
        <w:shd w:val="clear" w:color="F2F2F2" w:fill="F2F2F2"/>
      </w:tcPr>
    </w:tblStylePr>
  </w:style>
  <w:style w:type="table" w:customStyle="1" w:styleId="1767">
    <w:name w:val="Таблица простая 217"/>
    <w:basedOn w:val="13"/>
    <w:uiPriority w:val="59"/>
    <w:rPr>
      <w:sz w:val="22"/>
      <w:szCs w:val="22"/>
      <w:lang w:eastAsia="en-US"/>
    </w:rPr>
    <w:tblPr>
      <w:tblBorders>
        <w:top w:val="single" w:color="000000" w:sz="4" w:space="0"/>
        <w:left w:val="none" w:color="000000" w:sz="4" w:space="0"/>
        <w:bottom w:val="single" w:color="000000" w:sz="4" w:space="0"/>
        <w:right w:val="none" w:color="000000" w:sz="4" w:space="0"/>
      </w:tblBorders>
      <w:tblCellMar>
        <w:top w:w="0" w:type="dxa"/>
        <w:left w:w="108" w:type="dxa"/>
        <w:bottom w:w="0" w:type="dxa"/>
        <w:right w:w="108" w:type="dxa"/>
      </w:tblCellMar>
    </w:tblPr>
    <w:tblStylePr w:type="firstRow">
      <w:rPr>
        <w:rFonts w:ascii="Arial" w:hAnsi="Arial"/>
        <w:b/>
        <w:color w:val="404040"/>
        <w:sz w:val="22"/>
      </w:rPr>
      <w:tcPr>
        <w:tcBorders>
          <w:top w:val="single" w:color="000000" w:sz="4" w:space="0"/>
          <w:bottom w:val="single" w:color="000000" w:sz="4" w:space="0"/>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cPr>
        <w:tcBorders>
          <w:left w:val="single" w:color="000000" w:sz="4" w:space="0"/>
          <w:right w:val="single" w:color="000000" w:sz="4" w:space="0"/>
        </w:tcBorders>
      </w:tcPr>
    </w:tblStylePr>
    <w:tblStylePr w:type="band2Vert">
      <w:tcPr>
        <w:tcBorders>
          <w:left w:val="single" w:color="000000" w:sz="4" w:space="0"/>
          <w:right w:val="single" w:color="000000" w:sz="4" w:space="0"/>
        </w:tcBorders>
      </w:tcPr>
    </w:tblStylePr>
    <w:tblStylePr w:type="band1Horz">
      <w:tcPr>
        <w:tcBorders>
          <w:top w:val="single" w:color="000000" w:sz="4" w:space="0"/>
          <w:bottom w:val="single" w:color="000000" w:sz="4" w:space="0"/>
        </w:tcBorders>
      </w:tcPr>
    </w:tblStylePr>
  </w:style>
  <w:style w:type="table" w:customStyle="1" w:styleId="1768">
    <w:name w:val="Таблица простая 317"/>
    <w:basedOn w:val="13"/>
    <w:uiPriority w:val="99"/>
    <w:rPr>
      <w:sz w:val="22"/>
      <w:szCs w:val="22"/>
      <w:lang w:eastAsia="en-US"/>
    </w:rPr>
    <w:tblPr>
      <w:tblCellMar>
        <w:top w:w="0" w:type="dxa"/>
        <w:left w:w="108" w:type="dxa"/>
        <w:bottom w:w="0" w:type="dxa"/>
        <w:right w:w="108" w:type="dxa"/>
      </w:tblCellMar>
    </w:tblPr>
    <w:tblStylePr w:type="firstRow">
      <w:rPr>
        <w:b/>
        <w:caps/>
        <w:color w:val="404040"/>
      </w:rPr>
      <w:tcPr>
        <w:tcBorders>
          <w:top w:val="nil"/>
          <w:left w:val="nil"/>
          <w:bottom w:val="single" w:color="404040" w:sz="4" w:space="0"/>
          <w:right w:val="nil"/>
        </w:tcBorders>
      </w:tcPr>
    </w:tblStylePr>
    <w:tblStylePr w:type="lastRow">
      <w:rPr>
        <w:b/>
        <w:caps/>
        <w:color w:val="404040"/>
      </w:rPr>
    </w:tblStylePr>
    <w:tblStylePr w:type="firstCol">
      <w:rPr>
        <w:b/>
        <w:caps/>
        <w:color w:val="404040"/>
      </w:rPr>
      <w:tcPr>
        <w:tcBorders>
          <w:top w:val="nil"/>
          <w:left w:val="nil"/>
          <w:bottom w:val="nil"/>
          <w:right w:val="single" w:color="404040" w:sz="4" w:space="0"/>
        </w:tcBorders>
      </w:tcPr>
    </w:tblStylePr>
    <w:tblStylePr w:type="lastCol">
      <w:rPr>
        <w:b/>
        <w:caps/>
        <w:color w:val="404040"/>
      </w:rPr>
    </w:tblStylePr>
    <w:tblStylePr w:type="band1Vert">
      <w:rPr>
        <w:rFonts w:ascii="Arial" w:hAnsi="Arial"/>
        <w:color w:val="404040"/>
        <w:sz w:val="22"/>
      </w:rPr>
      <w:tcPr>
        <w:shd w:val="clear" w:color="F2F2F2" w:fill="F2F2F2"/>
      </w:tcPr>
    </w:tblStylePr>
    <w:tblStylePr w:type="band1Horz">
      <w:rPr>
        <w:rFonts w:ascii="Arial" w:hAnsi="Arial"/>
        <w:color w:val="404040"/>
        <w:sz w:val="22"/>
      </w:rPr>
      <w:tcPr>
        <w:shd w:val="clear" w:color="F2F2F2" w:fill="F2F2F2"/>
      </w:tcPr>
    </w:tblStylePr>
  </w:style>
  <w:style w:type="table" w:customStyle="1" w:styleId="1769">
    <w:name w:val="Таблица простая 417"/>
    <w:basedOn w:val="13"/>
    <w:uiPriority w:val="99"/>
    <w:rPr>
      <w:sz w:val="22"/>
      <w:szCs w:val="22"/>
      <w:lang w:eastAsia="en-US"/>
    </w:rPr>
    <w:tblPr>
      <w:tblCellMar>
        <w:top w:w="0" w:type="dxa"/>
        <w:left w:w="108" w:type="dxa"/>
        <w:bottom w:w="0" w:type="dxa"/>
        <w:right w:w="108" w:type="dxa"/>
      </w:tblCellMar>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F2F2F2" w:fill="F2F2F2"/>
      </w:tcPr>
    </w:tblStylePr>
    <w:tblStylePr w:type="band1Horz">
      <w:rPr>
        <w:rFonts w:ascii="Arial" w:hAnsi="Arial"/>
        <w:color w:val="404040"/>
        <w:sz w:val="22"/>
      </w:rPr>
      <w:tcPr>
        <w:shd w:val="clear" w:color="F2F2F2" w:fill="F2F2F2"/>
      </w:tcPr>
    </w:tblStylePr>
  </w:style>
  <w:style w:type="table" w:customStyle="1" w:styleId="1770">
    <w:name w:val="Таблица простая 517"/>
    <w:basedOn w:val="13"/>
    <w:uiPriority w:val="99"/>
    <w:rPr>
      <w:sz w:val="22"/>
      <w:szCs w:val="22"/>
      <w:lang w:eastAsia="en-US"/>
    </w:rPr>
    <w:tblPr>
      <w:tblCellMar>
        <w:top w:w="0" w:type="dxa"/>
        <w:left w:w="108" w:type="dxa"/>
        <w:bottom w:w="0" w:type="dxa"/>
        <w:right w:w="108" w:type="dxa"/>
      </w:tblCellMar>
    </w:tblPr>
    <w:tblStylePr w:type="firstRow">
      <w:rPr>
        <w:i/>
        <w:color w:val="404040"/>
      </w:rPr>
      <w:tcPr>
        <w:tcBorders>
          <w:left w:val="nil"/>
          <w:bottom w:val="single" w:color="404040" w:sz="4" w:space="0"/>
          <w:right w:val="nil"/>
        </w:tcBorders>
        <w:shd w:val="clear" w:color="FFFFFF" w:fill="auto"/>
      </w:tcPr>
    </w:tblStylePr>
    <w:tblStylePr w:type="lastRow">
      <w:rPr>
        <w:i/>
        <w:color w:val="404040"/>
      </w:rPr>
      <w:tcPr>
        <w:tcBorders>
          <w:top w:val="single" w:color="404040" w:sz="4" w:space="0"/>
          <w:left w:val="nil"/>
          <w:right w:val="nil"/>
        </w:tcBorders>
        <w:shd w:val="clear" w:color="FFFFFF" w:fill="auto"/>
      </w:tcPr>
    </w:tblStylePr>
    <w:tblStylePr w:type="firstCol">
      <w:pPr>
        <w:jc w:val="right"/>
      </w:pPr>
      <w:rPr>
        <w:i/>
        <w:color w:val="404040"/>
      </w:rPr>
      <w:tcPr>
        <w:tcBorders>
          <w:right w:val="single" w:color="404040" w:sz="4" w:space="0"/>
        </w:tcBorders>
        <w:shd w:val="clear" w:color="FFFFFF" w:fill="auto"/>
      </w:tcPr>
    </w:tblStylePr>
    <w:tblStylePr w:type="lastCol">
      <w:rPr>
        <w:i/>
        <w:color w:val="404040"/>
      </w:rPr>
      <w:tcPr>
        <w:tcBorders>
          <w:left w:val="single" w:color="404040" w:sz="4" w:space="0"/>
        </w:tcBorders>
        <w:shd w:val="clear" w:color="FFFFFF" w:fill="auto"/>
      </w:tcPr>
    </w:tblStylePr>
    <w:tblStylePr w:type="band1Vert">
      <w:rPr>
        <w:rFonts w:ascii="Arial" w:hAnsi="Arial"/>
        <w:color w:val="404040"/>
        <w:sz w:val="22"/>
      </w:rPr>
      <w:tcPr>
        <w:shd w:val="clear" w:color="F2F2F2" w:fill="F2F2F2"/>
      </w:tcPr>
    </w:tblStylePr>
    <w:tblStylePr w:type="band1Horz">
      <w:rPr>
        <w:rFonts w:ascii="Arial" w:hAnsi="Arial"/>
        <w:color w:val="404040"/>
        <w:sz w:val="22"/>
      </w:rPr>
      <w:tcPr>
        <w:shd w:val="clear" w:color="F2F2F2" w:fill="F2F2F2"/>
      </w:tcPr>
    </w:tblStylePr>
  </w:style>
  <w:style w:type="table" w:customStyle="1" w:styleId="1771">
    <w:name w:val="Таблица-сетка 1 светлая17"/>
    <w:basedOn w:val="13"/>
    <w:uiPriority w:val="99"/>
    <w:rPr>
      <w:sz w:val="22"/>
      <w:szCs w:val="22"/>
      <w:lang w:eastAsia="en-US"/>
    </w:rPr>
    <w:tblPr>
      <w:tblBorders>
        <w:top w:val="single" w:color="989898" w:sz="4" w:space="0"/>
        <w:left w:val="single" w:color="989898" w:sz="4" w:space="0"/>
        <w:bottom w:val="single" w:color="989898" w:sz="4" w:space="0"/>
        <w:right w:val="single" w:color="989898" w:sz="4" w:space="0"/>
        <w:insideH w:val="single" w:color="989898" w:sz="4" w:space="0"/>
        <w:insideV w:val="single" w:color="989898" w:sz="4" w:space="0"/>
      </w:tblBorders>
      <w:tblCellMar>
        <w:top w:w="0" w:type="dxa"/>
        <w:left w:w="108" w:type="dxa"/>
        <w:bottom w:w="0" w:type="dxa"/>
        <w:right w:w="108" w:type="dxa"/>
      </w:tblCellMar>
    </w:tblPr>
    <w:tblStylePr w:type="firstRow">
      <w:rPr>
        <w:b/>
        <w:color w:val="404040"/>
      </w:rPr>
      <w:tcPr>
        <w:tcBorders>
          <w:bottom w:val="single" w:color="6A6A6A" w:sz="12" w:space="0"/>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cPr>
        <w:tcBorders>
          <w:top w:val="single" w:color="989898" w:sz="4" w:space="0"/>
          <w:left w:val="single" w:color="989898" w:sz="4" w:space="0"/>
          <w:bottom w:val="single" w:color="989898" w:sz="4" w:space="0"/>
          <w:right w:val="single" w:color="989898" w:sz="4" w:space="0"/>
        </w:tcBorders>
      </w:tcPr>
    </w:tblStylePr>
  </w:style>
  <w:style w:type="table" w:customStyle="1" w:styleId="1772">
    <w:name w:val="Grid Table 1 Light - Accent 19"/>
    <w:basedOn w:val="13"/>
    <w:uiPriority w:val="99"/>
    <w:rPr>
      <w:sz w:val="22"/>
      <w:szCs w:val="22"/>
      <w:lang w:eastAsia="en-US"/>
    </w:rPr>
    <w:tblPr>
      <w:tblBorders>
        <w:top w:val="single" w:color="B7CBE4" w:sz="4" w:space="0"/>
        <w:left w:val="single" w:color="B7CBE4" w:sz="4" w:space="0"/>
        <w:bottom w:val="single" w:color="B7CBE4" w:sz="4" w:space="0"/>
        <w:right w:val="single" w:color="B7CBE4" w:sz="4" w:space="0"/>
        <w:insideH w:val="single" w:color="B7CBE4" w:sz="4" w:space="0"/>
        <w:insideV w:val="single" w:color="B7CBE4" w:sz="4" w:space="0"/>
      </w:tblBorders>
      <w:tblCellMar>
        <w:top w:w="0" w:type="dxa"/>
        <w:left w:w="108" w:type="dxa"/>
        <w:bottom w:w="0" w:type="dxa"/>
        <w:right w:w="108" w:type="dxa"/>
      </w:tblCellMar>
    </w:tblPr>
    <w:tblStylePr w:type="firstRow">
      <w:rPr>
        <w:b/>
        <w:color w:val="404040"/>
      </w:rPr>
      <w:tcPr>
        <w:tcBorders>
          <w:bottom w:val="single" w:color="97B4D8" w:sz="12" w:space="0"/>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cPr>
        <w:tcBorders>
          <w:top w:val="single" w:color="B7CBE4" w:sz="4" w:space="0"/>
          <w:left w:val="single" w:color="B7CBE4" w:sz="4" w:space="0"/>
          <w:bottom w:val="single" w:color="B7CBE4" w:sz="4" w:space="0"/>
          <w:right w:val="single" w:color="B7CBE4" w:sz="4" w:space="0"/>
        </w:tcBorders>
      </w:tcPr>
    </w:tblStylePr>
  </w:style>
  <w:style w:type="table" w:customStyle="1" w:styleId="1773">
    <w:name w:val="Grid Table 1 Light - Accent 29"/>
    <w:basedOn w:val="13"/>
    <w:uiPriority w:val="99"/>
    <w:rPr>
      <w:sz w:val="22"/>
      <w:szCs w:val="22"/>
      <w:lang w:eastAsia="en-US"/>
    </w:rPr>
    <w:tblPr>
      <w:tblBorders>
        <w:top w:val="single" w:color="E5B7B6" w:sz="4" w:space="0"/>
        <w:left w:val="single" w:color="E5B7B6" w:sz="4" w:space="0"/>
        <w:bottom w:val="single" w:color="E5B7B6" w:sz="4" w:space="0"/>
        <w:right w:val="single" w:color="E5B7B6" w:sz="4" w:space="0"/>
        <w:insideH w:val="single" w:color="E5B7B6" w:sz="4" w:space="0"/>
        <w:insideV w:val="single" w:color="E5B7B6" w:sz="4" w:space="0"/>
      </w:tblBorders>
      <w:tblCellMar>
        <w:top w:w="0" w:type="dxa"/>
        <w:left w:w="108" w:type="dxa"/>
        <w:bottom w:w="0" w:type="dxa"/>
        <w:right w:w="108" w:type="dxa"/>
      </w:tblCellMar>
    </w:tblPr>
    <w:tblStylePr w:type="firstRow">
      <w:rPr>
        <w:b/>
        <w:color w:val="404040"/>
      </w:rPr>
      <w:tcPr>
        <w:tcBorders>
          <w:bottom w:val="single" w:color="DA9896" w:sz="12" w:space="0"/>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cPr>
        <w:tcBorders>
          <w:top w:val="single" w:color="E5B7B6" w:sz="4" w:space="0"/>
          <w:left w:val="single" w:color="E5B7B6" w:sz="4" w:space="0"/>
          <w:bottom w:val="single" w:color="E5B7B6" w:sz="4" w:space="0"/>
          <w:right w:val="single" w:color="E5B7B6" w:sz="4" w:space="0"/>
        </w:tcBorders>
      </w:tcPr>
    </w:tblStylePr>
  </w:style>
  <w:style w:type="table" w:customStyle="1" w:styleId="1774">
    <w:name w:val="Grid Table 1 Light - Accent 39"/>
    <w:basedOn w:val="13"/>
    <w:uiPriority w:val="99"/>
    <w:rPr>
      <w:sz w:val="22"/>
      <w:szCs w:val="22"/>
      <w:lang w:eastAsia="en-US"/>
    </w:rPr>
    <w:tblPr>
      <w:tblBorders>
        <w:top w:val="single" w:color="D6E3BB" w:sz="4" w:space="0"/>
        <w:left w:val="single" w:color="D6E3BB" w:sz="4" w:space="0"/>
        <w:bottom w:val="single" w:color="D6E3BB" w:sz="4" w:space="0"/>
        <w:right w:val="single" w:color="D6E3BB" w:sz="4" w:space="0"/>
        <w:insideH w:val="single" w:color="D6E3BB" w:sz="4" w:space="0"/>
        <w:insideV w:val="single" w:color="D6E3BB" w:sz="4" w:space="0"/>
      </w:tblBorders>
      <w:tblCellMar>
        <w:top w:w="0" w:type="dxa"/>
        <w:left w:w="108" w:type="dxa"/>
        <w:bottom w:w="0" w:type="dxa"/>
        <w:right w:w="108" w:type="dxa"/>
      </w:tblCellMar>
    </w:tblPr>
    <w:tblStylePr w:type="firstRow">
      <w:rPr>
        <w:b/>
        <w:color w:val="404040"/>
      </w:rPr>
      <w:tcPr>
        <w:tcBorders>
          <w:bottom w:val="single" w:color="C4D79D" w:sz="12" w:space="0"/>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cPr>
        <w:tcBorders>
          <w:top w:val="single" w:color="D6E3BB" w:sz="4" w:space="0"/>
          <w:left w:val="single" w:color="D6E3BB" w:sz="4" w:space="0"/>
          <w:bottom w:val="single" w:color="D6E3BB" w:sz="4" w:space="0"/>
          <w:right w:val="single" w:color="D6E3BB" w:sz="4" w:space="0"/>
        </w:tcBorders>
      </w:tcPr>
    </w:tblStylePr>
  </w:style>
  <w:style w:type="table" w:customStyle="1" w:styleId="1775">
    <w:name w:val="Grid Table 1 Light - Accent 49"/>
    <w:basedOn w:val="13"/>
    <w:uiPriority w:val="99"/>
    <w:rPr>
      <w:sz w:val="22"/>
      <w:szCs w:val="22"/>
      <w:lang w:eastAsia="en-US"/>
    </w:rPr>
    <w:tblPr>
      <w:tblBorders>
        <w:top w:val="single" w:color="CBC0D9" w:sz="4" w:space="0"/>
        <w:left w:val="single" w:color="CBC0D9" w:sz="4" w:space="0"/>
        <w:bottom w:val="single" w:color="CBC0D9" w:sz="4" w:space="0"/>
        <w:right w:val="single" w:color="CBC0D9" w:sz="4" w:space="0"/>
        <w:insideH w:val="single" w:color="CBC0D9" w:sz="4" w:space="0"/>
        <w:insideV w:val="single" w:color="CBC0D9" w:sz="4" w:space="0"/>
      </w:tblBorders>
      <w:tblCellMar>
        <w:top w:w="0" w:type="dxa"/>
        <w:left w:w="108" w:type="dxa"/>
        <w:bottom w:w="0" w:type="dxa"/>
        <w:right w:w="108" w:type="dxa"/>
      </w:tblCellMar>
    </w:tblPr>
    <w:tblStylePr w:type="firstRow">
      <w:rPr>
        <w:b/>
        <w:color w:val="404040"/>
      </w:rPr>
      <w:tcPr>
        <w:tcBorders>
          <w:bottom w:val="single" w:color="B4A4C8" w:sz="12" w:space="0"/>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cPr>
        <w:tcBorders>
          <w:top w:val="single" w:color="CBC0D9" w:sz="4" w:space="0"/>
          <w:left w:val="single" w:color="CBC0D9" w:sz="4" w:space="0"/>
          <w:bottom w:val="single" w:color="CBC0D9" w:sz="4" w:space="0"/>
          <w:right w:val="single" w:color="CBC0D9" w:sz="4" w:space="0"/>
        </w:tcBorders>
      </w:tcPr>
    </w:tblStylePr>
  </w:style>
  <w:style w:type="table" w:customStyle="1" w:styleId="1776">
    <w:name w:val="Grid Table 1 Light - Accent 59"/>
    <w:basedOn w:val="13"/>
    <w:uiPriority w:val="99"/>
    <w:rPr>
      <w:sz w:val="22"/>
      <w:szCs w:val="22"/>
      <w:lang w:eastAsia="en-US"/>
    </w:rPr>
    <w:tblPr>
      <w:tblBorders>
        <w:top w:val="single" w:color="B6DDE8" w:sz="4" w:space="0"/>
        <w:left w:val="single" w:color="B6DDE8" w:sz="4" w:space="0"/>
        <w:bottom w:val="single" w:color="B6DDE8" w:sz="4" w:space="0"/>
        <w:right w:val="single" w:color="B6DDE8" w:sz="4" w:space="0"/>
        <w:insideH w:val="single" w:color="B6DDE8" w:sz="4" w:space="0"/>
        <w:insideV w:val="single" w:color="B6DDE8" w:sz="4" w:space="0"/>
      </w:tblBorders>
      <w:tblCellMar>
        <w:top w:w="0" w:type="dxa"/>
        <w:left w:w="108" w:type="dxa"/>
        <w:bottom w:w="0" w:type="dxa"/>
        <w:right w:w="108" w:type="dxa"/>
      </w:tblCellMar>
    </w:tblPr>
    <w:tblStylePr w:type="firstRow">
      <w:rPr>
        <w:b/>
        <w:color w:val="404040"/>
      </w:rPr>
      <w:tcPr>
        <w:tcBorders>
          <w:bottom w:val="single" w:color="95CEDD" w:sz="12" w:space="0"/>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cPr>
        <w:tcBorders>
          <w:top w:val="single" w:color="B6DDE8" w:sz="4" w:space="0"/>
          <w:left w:val="single" w:color="B6DDE8" w:sz="4" w:space="0"/>
          <w:bottom w:val="single" w:color="B6DDE8" w:sz="4" w:space="0"/>
          <w:right w:val="single" w:color="B6DDE8" w:sz="4" w:space="0"/>
        </w:tcBorders>
      </w:tcPr>
    </w:tblStylePr>
  </w:style>
  <w:style w:type="table" w:customStyle="1" w:styleId="1777">
    <w:name w:val="Grid Table 1 Light - Accent 69"/>
    <w:basedOn w:val="13"/>
    <w:uiPriority w:val="99"/>
    <w:rPr>
      <w:sz w:val="22"/>
      <w:szCs w:val="22"/>
      <w:lang w:eastAsia="en-US"/>
    </w:rPr>
    <w:tblPr>
      <w:tblBorders>
        <w:top w:val="single" w:color="FBD4B4" w:sz="4" w:space="0"/>
        <w:left w:val="single" w:color="FBD4B4" w:sz="4" w:space="0"/>
        <w:bottom w:val="single" w:color="FBD4B4" w:sz="4" w:space="0"/>
        <w:right w:val="single" w:color="FBD4B4" w:sz="4" w:space="0"/>
        <w:insideH w:val="single" w:color="FBD4B4" w:sz="4" w:space="0"/>
        <w:insideV w:val="single" w:color="FBD4B4" w:sz="4" w:space="0"/>
      </w:tblBorders>
      <w:tblCellMar>
        <w:top w:w="0" w:type="dxa"/>
        <w:left w:w="108" w:type="dxa"/>
        <w:bottom w:w="0" w:type="dxa"/>
        <w:right w:w="108" w:type="dxa"/>
      </w:tblCellMar>
    </w:tblPr>
    <w:tblStylePr w:type="firstRow">
      <w:rPr>
        <w:b/>
        <w:color w:val="404040"/>
      </w:rPr>
      <w:tcPr>
        <w:tcBorders>
          <w:bottom w:val="single" w:color="FAC192" w:sz="12" w:space="0"/>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cPr>
        <w:tcBorders>
          <w:top w:val="single" w:color="FBD4B4" w:sz="4" w:space="0"/>
          <w:left w:val="single" w:color="FBD4B4" w:sz="4" w:space="0"/>
          <w:bottom w:val="single" w:color="FBD4B4" w:sz="4" w:space="0"/>
          <w:right w:val="single" w:color="FBD4B4" w:sz="4" w:space="0"/>
        </w:tcBorders>
      </w:tcPr>
    </w:tblStylePr>
  </w:style>
  <w:style w:type="table" w:customStyle="1" w:styleId="1778">
    <w:name w:val="Таблица-сетка 217"/>
    <w:basedOn w:val="13"/>
    <w:uiPriority w:val="99"/>
    <w:rPr>
      <w:sz w:val="22"/>
      <w:szCs w:val="22"/>
      <w:lang w:eastAsia="en-US"/>
    </w:rPr>
    <w:tblPr>
      <w:tblBorders>
        <w:bottom w:val="single" w:color="6A6A6A" w:sz="4" w:space="0"/>
        <w:insideH w:val="single" w:color="6A6A6A" w:sz="4" w:space="0"/>
        <w:insideV w:val="single" w:color="6A6A6A" w:sz="4" w:space="0"/>
      </w:tblBorders>
      <w:tblCellMar>
        <w:top w:w="0" w:type="dxa"/>
        <w:left w:w="108" w:type="dxa"/>
        <w:bottom w:w="0" w:type="dxa"/>
        <w:right w:w="108" w:type="dxa"/>
      </w:tblCellMar>
    </w:tblPr>
    <w:tblStylePr w:type="firstRow">
      <w:rPr>
        <w:b/>
        <w:color w:val="404040"/>
      </w:rPr>
      <w:tcPr>
        <w:tcBorders>
          <w:top w:val="nil"/>
          <w:left w:val="nil"/>
          <w:bottom w:val="single" w:color="6A6A6A" w:sz="12" w:space="0"/>
          <w:right w:val="nil"/>
        </w:tcBorders>
        <w:shd w:val="clear" w:color="FFFFFF" w:fill="auto"/>
      </w:tcPr>
    </w:tblStylePr>
    <w:tblStylePr w:type="lastRow">
      <w:rPr>
        <w:b/>
        <w:color w:val="404040"/>
      </w:rPr>
      <w:tcPr>
        <w:tcBorders>
          <w:top w:val="single" w:color="6A6A6A"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CBCBCB" w:fill="CBCBCB"/>
      </w:tcPr>
    </w:tblStylePr>
    <w:tblStylePr w:type="band1Horz">
      <w:rPr>
        <w:rFonts w:ascii="Arial" w:hAnsi="Arial"/>
        <w:color w:val="404040"/>
        <w:sz w:val="22"/>
      </w:rPr>
      <w:tcPr>
        <w:shd w:val="clear" w:color="CBCBCB" w:fill="CBCBCB"/>
      </w:tcPr>
    </w:tblStylePr>
  </w:style>
  <w:style w:type="table" w:customStyle="1" w:styleId="1779">
    <w:name w:val="Grid Table 2 - Accent 19"/>
    <w:basedOn w:val="13"/>
    <w:uiPriority w:val="99"/>
    <w:rPr>
      <w:sz w:val="22"/>
      <w:szCs w:val="22"/>
      <w:lang w:eastAsia="en-US"/>
    </w:rPr>
    <w:tblPr>
      <w:tblBorders>
        <w:bottom w:val="single" w:color="5D8AC2" w:sz="4" w:space="0"/>
        <w:insideH w:val="single" w:color="5D8AC2" w:sz="4" w:space="0"/>
        <w:insideV w:val="single" w:color="5D8AC2" w:sz="4" w:space="0"/>
      </w:tblBorders>
      <w:tblCellMar>
        <w:top w:w="0" w:type="dxa"/>
        <w:left w:w="108" w:type="dxa"/>
        <w:bottom w:w="0" w:type="dxa"/>
        <w:right w:w="108" w:type="dxa"/>
      </w:tblCellMar>
    </w:tblPr>
    <w:tblStylePr w:type="firstRow">
      <w:rPr>
        <w:b/>
        <w:color w:val="404040"/>
      </w:rPr>
      <w:tcPr>
        <w:tcBorders>
          <w:top w:val="nil"/>
          <w:left w:val="nil"/>
          <w:bottom w:val="single" w:color="5D8AC2" w:sz="12" w:space="0"/>
          <w:right w:val="nil"/>
        </w:tcBorders>
        <w:shd w:val="clear" w:color="FFFFFF" w:fill="auto"/>
      </w:tcPr>
    </w:tblStylePr>
    <w:tblStylePr w:type="lastRow">
      <w:rPr>
        <w:b/>
        <w:color w:val="404040"/>
      </w:rPr>
      <w:tcPr>
        <w:tcBorders>
          <w:top w:val="single" w:color="5D8AC2"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DAE5F1" w:fill="DAE5F1"/>
      </w:tcPr>
    </w:tblStylePr>
    <w:tblStylePr w:type="band1Horz">
      <w:rPr>
        <w:rFonts w:ascii="Arial" w:hAnsi="Arial"/>
        <w:color w:val="404040"/>
        <w:sz w:val="22"/>
      </w:rPr>
      <w:tcPr>
        <w:shd w:val="clear" w:color="DAE5F1" w:fill="DAE5F1"/>
      </w:tcPr>
    </w:tblStylePr>
  </w:style>
  <w:style w:type="table" w:customStyle="1" w:styleId="1780">
    <w:name w:val="Grid Table 2 - Accent 29"/>
    <w:basedOn w:val="13"/>
    <w:uiPriority w:val="99"/>
    <w:rPr>
      <w:sz w:val="22"/>
      <w:szCs w:val="22"/>
      <w:lang w:eastAsia="en-US"/>
    </w:rPr>
    <w:tblPr>
      <w:tblBorders>
        <w:bottom w:val="single" w:color="D99695" w:sz="4" w:space="0"/>
        <w:insideH w:val="single" w:color="D99695" w:sz="4" w:space="0"/>
        <w:insideV w:val="single" w:color="D99695" w:sz="4" w:space="0"/>
      </w:tblBorders>
      <w:tblCellMar>
        <w:top w:w="0" w:type="dxa"/>
        <w:left w:w="108" w:type="dxa"/>
        <w:bottom w:w="0" w:type="dxa"/>
        <w:right w:w="108" w:type="dxa"/>
      </w:tblCellMar>
    </w:tblPr>
    <w:tblStylePr w:type="firstRow">
      <w:rPr>
        <w:b/>
        <w:color w:val="404040"/>
      </w:rPr>
      <w:tcPr>
        <w:tcBorders>
          <w:top w:val="nil"/>
          <w:left w:val="nil"/>
          <w:bottom w:val="single" w:color="D99695" w:sz="12" w:space="0"/>
          <w:right w:val="nil"/>
        </w:tcBorders>
        <w:shd w:val="clear" w:color="FFFFFF" w:fill="auto"/>
      </w:tcPr>
    </w:tblStylePr>
    <w:tblStylePr w:type="lastRow">
      <w:rPr>
        <w:b/>
        <w:color w:val="404040"/>
      </w:rPr>
      <w:tcPr>
        <w:tcBorders>
          <w:top w:val="single" w:color="D99695"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F2DCDC" w:fill="F2DCDC"/>
      </w:tcPr>
    </w:tblStylePr>
    <w:tblStylePr w:type="band1Horz">
      <w:rPr>
        <w:rFonts w:ascii="Arial" w:hAnsi="Arial"/>
        <w:color w:val="404040"/>
        <w:sz w:val="22"/>
      </w:rPr>
      <w:tcPr>
        <w:shd w:val="clear" w:color="F2DCDC" w:fill="F2DCDC"/>
      </w:tcPr>
    </w:tblStylePr>
  </w:style>
  <w:style w:type="table" w:customStyle="1" w:styleId="1781">
    <w:name w:val="Grid Table 2 - Accent 39"/>
    <w:basedOn w:val="13"/>
    <w:uiPriority w:val="99"/>
    <w:rPr>
      <w:sz w:val="22"/>
      <w:szCs w:val="22"/>
      <w:lang w:eastAsia="en-US"/>
    </w:rPr>
    <w:tblPr>
      <w:tblBorders>
        <w:bottom w:val="single" w:color="9ABB59" w:sz="4" w:space="0"/>
        <w:insideH w:val="single" w:color="9ABB59" w:sz="4" w:space="0"/>
        <w:insideV w:val="single" w:color="9ABB59" w:sz="4" w:space="0"/>
      </w:tblBorders>
      <w:tblCellMar>
        <w:top w:w="0" w:type="dxa"/>
        <w:left w:w="108" w:type="dxa"/>
        <w:bottom w:w="0" w:type="dxa"/>
        <w:right w:w="108" w:type="dxa"/>
      </w:tblCellMar>
    </w:tblPr>
    <w:tblStylePr w:type="firstRow">
      <w:rPr>
        <w:b/>
        <w:color w:val="404040"/>
      </w:rPr>
      <w:tcPr>
        <w:tcBorders>
          <w:top w:val="nil"/>
          <w:left w:val="nil"/>
          <w:bottom w:val="single" w:color="9ABB59" w:sz="12" w:space="0"/>
          <w:right w:val="nil"/>
        </w:tcBorders>
        <w:shd w:val="clear" w:color="FFFFFF" w:fill="auto"/>
      </w:tcPr>
    </w:tblStylePr>
    <w:tblStylePr w:type="lastRow">
      <w:rPr>
        <w:b/>
        <w:color w:val="404040"/>
      </w:rPr>
      <w:tcPr>
        <w:tcBorders>
          <w:top w:val="single" w:color="9ABB59"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EAF1DC" w:fill="EAF1DC"/>
      </w:tcPr>
    </w:tblStylePr>
    <w:tblStylePr w:type="band1Horz">
      <w:rPr>
        <w:rFonts w:ascii="Arial" w:hAnsi="Arial"/>
        <w:color w:val="404040"/>
        <w:sz w:val="22"/>
      </w:rPr>
      <w:tcPr>
        <w:shd w:val="clear" w:color="EAF1DC" w:fill="EAF1DC"/>
      </w:tcPr>
    </w:tblStylePr>
  </w:style>
  <w:style w:type="table" w:customStyle="1" w:styleId="1782">
    <w:name w:val="Grid Table 2 - Accent 49"/>
    <w:basedOn w:val="13"/>
    <w:uiPriority w:val="99"/>
    <w:rPr>
      <w:sz w:val="22"/>
      <w:szCs w:val="22"/>
      <w:lang w:eastAsia="en-US"/>
    </w:rPr>
    <w:tblPr>
      <w:tblBorders>
        <w:bottom w:val="single" w:color="B2A1C6" w:sz="4" w:space="0"/>
        <w:insideH w:val="single" w:color="B2A1C6" w:sz="4" w:space="0"/>
        <w:insideV w:val="single" w:color="B2A1C6" w:sz="4" w:space="0"/>
      </w:tblBorders>
      <w:tblCellMar>
        <w:top w:w="0" w:type="dxa"/>
        <w:left w:w="108" w:type="dxa"/>
        <w:bottom w:w="0" w:type="dxa"/>
        <w:right w:w="108" w:type="dxa"/>
      </w:tblCellMar>
    </w:tblPr>
    <w:tblStylePr w:type="firstRow">
      <w:rPr>
        <w:b/>
        <w:color w:val="404040"/>
      </w:rPr>
      <w:tcPr>
        <w:tcBorders>
          <w:top w:val="nil"/>
          <w:left w:val="nil"/>
          <w:bottom w:val="single" w:color="B2A1C6" w:sz="12" w:space="0"/>
          <w:right w:val="nil"/>
        </w:tcBorders>
        <w:shd w:val="clear" w:color="FFFFFF" w:fill="auto"/>
      </w:tcPr>
    </w:tblStylePr>
    <w:tblStylePr w:type="lastRow">
      <w:rPr>
        <w:b/>
        <w:color w:val="404040"/>
      </w:rPr>
      <w:tcPr>
        <w:tcBorders>
          <w:top w:val="single" w:color="B2A1C6"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E5DFEC" w:fill="E5DFEC"/>
      </w:tcPr>
    </w:tblStylePr>
    <w:tblStylePr w:type="band1Horz">
      <w:rPr>
        <w:rFonts w:ascii="Arial" w:hAnsi="Arial"/>
        <w:color w:val="404040"/>
        <w:sz w:val="22"/>
      </w:rPr>
      <w:tcPr>
        <w:shd w:val="clear" w:color="E5DFEC" w:fill="E5DFEC"/>
      </w:tcPr>
    </w:tblStylePr>
  </w:style>
  <w:style w:type="table" w:customStyle="1" w:styleId="1783">
    <w:name w:val="Grid Table 2 - Accent 59"/>
    <w:basedOn w:val="13"/>
    <w:uiPriority w:val="99"/>
    <w:rPr>
      <w:sz w:val="22"/>
      <w:szCs w:val="22"/>
      <w:lang w:eastAsia="en-US"/>
    </w:rPr>
    <w:tblPr>
      <w:tblBorders>
        <w:bottom w:val="single" w:color="4BACC6" w:sz="4" w:space="0"/>
        <w:insideH w:val="single" w:color="4BACC6" w:sz="4" w:space="0"/>
        <w:insideV w:val="single" w:color="4BACC6" w:sz="4" w:space="0"/>
      </w:tblBorders>
      <w:tblCellMar>
        <w:top w:w="0" w:type="dxa"/>
        <w:left w:w="108" w:type="dxa"/>
        <w:bottom w:w="0" w:type="dxa"/>
        <w:right w:w="108" w:type="dxa"/>
      </w:tblCellMar>
    </w:tblPr>
    <w:tblStylePr w:type="firstRow">
      <w:rPr>
        <w:b/>
        <w:color w:val="404040"/>
      </w:rPr>
      <w:tcPr>
        <w:tcBorders>
          <w:top w:val="nil"/>
          <w:left w:val="nil"/>
          <w:bottom w:val="single" w:color="4BACC6" w:sz="12" w:space="0"/>
          <w:right w:val="nil"/>
        </w:tcBorders>
        <w:shd w:val="clear" w:color="FFFFFF" w:fill="auto"/>
      </w:tcPr>
    </w:tblStylePr>
    <w:tblStylePr w:type="lastRow">
      <w:rPr>
        <w:b/>
        <w:color w:val="404040"/>
      </w:rPr>
      <w:tcPr>
        <w:tcBorders>
          <w:top w:val="single" w:color="4BACC6"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DAEEF3" w:fill="DAEEF3"/>
      </w:tcPr>
    </w:tblStylePr>
    <w:tblStylePr w:type="band1Horz">
      <w:rPr>
        <w:rFonts w:ascii="Arial" w:hAnsi="Arial"/>
        <w:color w:val="404040"/>
        <w:sz w:val="22"/>
      </w:rPr>
      <w:tcPr>
        <w:shd w:val="clear" w:color="DAEEF3" w:fill="DAEEF3"/>
      </w:tcPr>
    </w:tblStylePr>
  </w:style>
  <w:style w:type="table" w:customStyle="1" w:styleId="1784">
    <w:name w:val="Grid Table 2 - Accent 69"/>
    <w:basedOn w:val="13"/>
    <w:uiPriority w:val="99"/>
    <w:rPr>
      <w:sz w:val="22"/>
      <w:szCs w:val="22"/>
      <w:lang w:eastAsia="en-US"/>
    </w:rPr>
    <w:tblPr>
      <w:tblBorders>
        <w:bottom w:val="single" w:color="F79646" w:sz="4" w:space="0"/>
        <w:insideH w:val="single" w:color="F79646" w:sz="4" w:space="0"/>
        <w:insideV w:val="single" w:color="F79646" w:sz="4" w:space="0"/>
      </w:tblBorders>
      <w:tblCellMar>
        <w:top w:w="0" w:type="dxa"/>
        <w:left w:w="108" w:type="dxa"/>
        <w:bottom w:w="0" w:type="dxa"/>
        <w:right w:w="108" w:type="dxa"/>
      </w:tblCellMar>
    </w:tblPr>
    <w:tblStylePr w:type="firstRow">
      <w:rPr>
        <w:b/>
        <w:color w:val="404040"/>
      </w:rPr>
      <w:tcPr>
        <w:tcBorders>
          <w:top w:val="nil"/>
          <w:left w:val="nil"/>
          <w:bottom w:val="single" w:color="F79646" w:sz="12" w:space="0"/>
          <w:right w:val="nil"/>
        </w:tcBorders>
        <w:shd w:val="clear" w:color="FFFFFF" w:fill="auto"/>
      </w:tcPr>
    </w:tblStylePr>
    <w:tblStylePr w:type="lastRow">
      <w:rPr>
        <w:b/>
        <w:color w:val="404040"/>
      </w:rPr>
      <w:tcPr>
        <w:tcBorders>
          <w:top w:val="single" w:color="F79646"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FDE9D8" w:fill="FDE9D8"/>
      </w:tcPr>
    </w:tblStylePr>
    <w:tblStylePr w:type="band1Horz">
      <w:rPr>
        <w:rFonts w:ascii="Arial" w:hAnsi="Arial"/>
        <w:color w:val="404040"/>
        <w:sz w:val="22"/>
      </w:rPr>
      <w:tcPr>
        <w:shd w:val="clear" w:color="FDE9D8" w:fill="FDE9D8"/>
      </w:tcPr>
    </w:tblStylePr>
  </w:style>
  <w:style w:type="table" w:customStyle="1" w:styleId="1785">
    <w:name w:val="Таблица-сетка 317"/>
    <w:basedOn w:val="13"/>
    <w:uiPriority w:val="99"/>
    <w:rPr>
      <w:sz w:val="22"/>
      <w:szCs w:val="22"/>
      <w:lang w:eastAsia="en-US"/>
    </w:rPr>
    <w:tblPr>
      <w:tblBorders>
        <w:bottom w:val="single" w:color="6A6A6A" w:sz="4" w:space="0"/>
        <w:insideH w:val="single" w:color="6A6A6A" w:sz="4" w:space="0"/>
        <w:insideV w:val="single" w:color="6A6A6A" w:sz="4" w:space="0"/>
      </w:tblBorders>
      <w:tblCellMar>
        <w:top w:w="0" w:type="dxa"/>
        <w:left w:w="108" w:type="dxa"/>
        <w:bottom w:w="0" w:type="dxa"/>
        <w:right w:w="108" w:type="dxa"/>
      </w:tblCellMar>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rFonts w:ascii="Arial" w:hAnsi="Arial"/>
        <w:color w:val="404040"/>
        <w:sz w:val="22"/>
      </w:rPr>
      <w:tcPr>
        <w:shd w:val="clear" w:color="CBCBCB" w:fill="CBCBCB"/>
      </w:tcPr>
    </w:tblStylePr>
    <w:tblStylePr w:type="band1Horz">
      <w:rPr>
        <w:rFonts w:ascii="Arial" w:hAnsi="Arial"/>
        <w:color w:val="404040"/>
        <w:sz w:val="22"/>
      </w:rPr>
      <w:tcPr>
        <w:shd w:val="clear" w:color="CBCBCB" w:fill="CBCBCB"/>
      </w:tcPr>
    </w:tblStylePr>
  </w:style>
  <w:style w:type="table" w:customStyle="1" w:styleId="1786">
    <w:name w:val="Grid Table 3 - Accent 19"/>
    <w:basedOn w:val="13"/>
    <w:uiPriority w:val="99"/>
    <w:rPr>
      <w:sz w:val="22"/>
      <w:szCs w:val="22"/>
      <w:lang w:eastAsia="en-US"/>
    </w:rPr>
    <w:tblPr>
      <w:tblBorders>
        <w:bottom w:val="single" w:color="5D8AC2" w:sz="4" w:space="0"/>
        <w:insideH w:val="single" w:color="5D8AC2" w:sz="4" w:space="0"/>
        <w:insideV w:val="single" w:color="5D8AC2" w:sz="4" w:space="0"/>
      </w:tblBorders>
      <w:tblCellMar>
        <w:top w:w="0" w:type="dxa"/>
        <w:left w:w="108" w:type="dxa"/>
        <w:bottom w:w="0" w:type="dxa"/>
        <w:right w:w="108" w:type="dxa"/>
      </w:tblCellMar>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rFonts w:ascii="Arial" w:hAnsi="Arial"/>
        <w:color w:val="404040"/>
        <w:sz w:val="22"/>
      </w:rPr>
      <w:tcPr>
        <w:shd w:val="clear" w:color="DAE5F1" w:fill="DAE5F1"/>
      </w:tcPr>
    </w:tblStylePr>
    <w:tblStylePr w:type="band1Horz">
      <w:rPr>
        <w:rFonts w:ascii="Arial" w:hAnsi="Arial"/>
        <w:color w:val="404040"/>
        <w:sz w:val="22"/>
      </w:rPr>
      <w:tcPr>
        <w:shd w:val="clear" w:color="DAE5F1" w:fill="DAE5F1"/>
      </w:tcPr>
    </w:tblStylePr>
  </w:style>
  <w:style w:type="table" w:customStyle="1" w:styleId="1787">
    <w:name w:val="Grid Table 3 - Accent 29"/>
    <w:basedOn w:val="13"/>
    <w:uiPriority w:val="99"/>
    <w:rPr>
      <w:sz w:val="22"/>
      <w:szCs w:val="22"/>
      <w:lang w:eastAsia="en-US"/>
    </w:rPr>
    <w:tblPr>
      <w:tblBorders>
        <w:bottom w:val="single" w:color="D99695" w:sz="4" w:space="0"/>
        <w:insideH w:val="single" w:color="D99695" w:sz="4" w:space="0"/>
        <w:insideV w:val="single" w:color="D99695" w:sz="4" w:space="0"/>
      </w:tblBorders>
      <w:tblCellMar>
        <w:top w:w="0" w:type="dxa"/>
        <w:left w:w="108" w:type="dxa"/>
        <w:bottom w:w="0" w:type="dxa"/>
        <w:right w:w="108" w:type="dxa"/>
      </w:tblCellMar>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rFonts w:ascii="Arial" w:hAnsi="Arial"/>
        <w:color w:val="404040"/>
        <w:sz w:val="22"/>
      </w:rPr>
      <w:tcPr>
        <w:shd w:val="clear" w:color="F2DCDC" w:fill="F2DCDC"/>
      </w:tcPr>
    </w:tblStylePr>
    <w:tblStylePr w:type="band1Horz">
      <w:rPr>
        <w:rFonts w:ascii="Arial" w:hAnsi="Arial"/>
        <w:color w:val="404040"/>
        <w:sz w:val="22"/>
      </w:rPr>
      <w:tcPr>
        <w:shd w:val="clear" w:color="F2DCDC" w:fill="F2DCDC"/>
      </w:tcPr>
    </w:tblStylePr>
  </w:style>
  <w:style w:type="table" w:customStyle="1" w:styleId="1788">
    <w:name w:val="Grid Table 3 - Accent 39"/>
    <w:basedOn w:val="13"/>
    <w:uiPriority w:val="99"/>
    <w:rPr>
      <w:sz w:val="22"/>
      <w:szCs w:val="22"/>
      <w:lang w:eastAsia="en-US"/>
    </w:rPr>
    <w:tblPr>
      <w:tblBorders>
        <w:bottom w:val="single" w:color="9ABB59" w:sz="4" w:space="0"/>
        <w:insideH w:val="single" w:color="9ABB59" w:sz="4" w:space="0"/>
        <w:insideV w:val="single" w:color="9ABB59" w:sz="4" w:space="0"/>
      </w:tblBorders>
      <w:tblCellMar>
        <w:top w:w="0" w:type="dxa"/>
        <w:left w:w="108" w:type="dxa"/>
        <w:bottom w:w="0" w:type="dxa"/>
        <w:right w:w="108" w:type="dxa"/>
      </w:tblCellMar>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rFonts w:ascii="Arial" w:hAnsi="Arial"/>
        <w:color w:val="404040"/>
        <w:sz w:val="22"/>
      </w:rPr>
      <w:tcPr>
        <w:shd w:val="clear" w:color="EAF1DC" w:fill="EAF1DC"/>
      </w:tcPr>
    </w:tblStylePr>
    <w:tblStylePr w:type="band1Horz">
      <w:rPr>
        <w:rFonts w:ascii="Arial" w:hAnsi="Arial"/>
        <w:color w:val="404040"/>
        <w:sz w:val="22"/>
      </w:rPr>
      <w:tcPr>
        <w:shd w:val="clear" w:color="EAF1DC" w:fill="EAF1DC"/>
      </w:tcPr>
    </w:tblStylePr>
  </w:style>
  <w:style w:type="table" w:customStyle="1" w:styleId="1789">
    <w:name w:val="Grid Table 3 - Accent 49"/>
    <w:basedOn w:val="13"/>
    <w:uiPriority w:val="99"/>
    <w:rPr>
      <w:sz w:val="22"/>
      <w:szCs w:val="22"/>
      <w:lang w:eastAsia="en-US"/>
    </w:rPr>
    <w:tblPr>
      <w:tblBorders>
        <w:bottom w:val="single" w:color="B2A1C6" w:sz="4" w:space="0"/>
        <w:insideH w:val="single" w:color="B2A1C6" w:sz="4" w:space="0"/>
        <w:insideV w:val="single" w:color="B2A1C6" w:sz="4" w:space="0"/>
      </w:tblBorders>
      <w:tblCellMar>
        <w:top w:w="0" w:type="dxa"/>
        <w:left w:w="108" w:type="dxa"/>
        <w:bottom w:w="0" w:type="dxa"/>
        <w:right w:w="108" w:type="dxa"/>
      </w:tblCellMar>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rFonts w:ascii="Arial" w:hAnsi="Arial"/>
        <w:color w:val="404040"/>
        <w:sz w:val="22"/>
      </w:rPr>
      <w:tcPr>
        <w:shd w:val="clear" w:color="E5DFEC" w:fill="E5DFEC"/>
      </w:tcPr>
    </w:tblStylePr>
    <w:tblStylePr w:type="band1Horz">
      <w:rPr>
        <w:rFonts w:ascii="Arial" w:hAnsi="Arial"/>
        <w:color w:val="404040"/>
        <w:sz w:val="22"/>
      </w:rPr>
      <w:tcPr>
        <w:shd w:val="clear" w:color="E5DFEC" w:fill="E5DFEC"/>
      </w:tcPr>
    </w:tblStylePr>
  </w:style>
  <w:style w:type="table" w:customStyle="1" w:styleId="1790">
    <w:name w:val="Grid Table 3 - Accent 59"/>
    <w:basedOn w:val="13"/>
    <w:uiPriority w:val="99"/>
    <w:rPr>
      <w:sz w:val="22"/>
      <w:szCs w:val="22"/>
      <w:lang w:eastAsia="en-US"/>
    </w:rPr>
    <w:tblPr>
      <w:tblBorders>
        <w:bottom w:val="single" w:color="4BACC6" w:sz="4" w:space="0"/>
        <w:insideH w:val="single" w:color="4BACC6" w:sz="4" w:space="0"/>
        <w:insideV w:val="single" w:color="4BACC6" w:sz="4" w:space="0"/>
      </w:tblBorders>
      <w:tblCellMar>
        <w:top w:w="0" w:type="dxa"/>
        <w:left w:w="108" w:type="dxa"/>
        <w:bottom w:w="0" w:type="dxa"/>
        <w:right w:w="108" w:type="dxa"/>
      </w:tblCellMar>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rFonts w:ascii="Arial" w:hAnsi="Arial"/>
        <w:color w:val="404040"/>
        <w:sz w:val="22"/>
      </w:rPr>
      <w:tcPr>
        <w:shd w:val="clear" w:color="DAEEF3" w:fill="DAEEF3"/>
      </w:tcPr>
    </w:tblStylePr>
    <w:tblStylePr w:type="band1Horz">
      <w:rPr>
        <w:rFonts w:ascii="Arial" w:hAnsi="Arial"/>
        <w:color w:val="404040"/>
        <w:sz w:val="22"/>
      </w:rPr>
      <w:tcPr>
        <w:shd w:val="clear" w:color="DAEEF3" w:fill="DAEEF3"/>
      </w:tcPr>
    </w:tblStylePr>
  </w:style>
  <w:style w:type="table" w:customStyle="1" w:styleId="1791">
    <w:name w:val="Grid Table 3 - Accent 69"/>
    <w:basedOn w:val="13"/>
    <w:uiPriority w:val="99"/>
    <w:rPr>
      <w:sz w:val="22"/>
      <w:szCs w:val="22"/>
      <w:lang w:eastAsia="en-US"/>
    </w:rPr>
    <w:tblPr>
      <w:tblBorders>
        <w:bottom w:val="single" w:color="F79646" w:sz="4" w:space="0"/>
        <w:insideH w:val="single" w:color="F79646" w:sz="4" w:space="0"/>
        <w:insideV w:val="single" w:color="F79646" w:sz="4" w:space="0"/>
      </w:tblBorders>
      <w:tblCellMar>
        <w:top w:w="0" w:type="dxa"/>
        <w:left w:w="108" w:type="dxa"/>
        <w:bottom w:w="0" w:type="dxa"/>
        <w:right w:w="108" w:type="dxa"/>
      </w:tblCellMar>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rFonts w:ascii="Arial" w:hAnsi="Arial"/>
        <w:color w:val="404040"/>
        <w:sz w:val="22"/>
      </w:rPr>
      <w:tcPr>
        <w:shd w:val="clear" w:color="FDE9D8" w:fill="FDE9D8"/>
      </w:tcPr>
    </w:tblStylePr>
    <w:tblStylePr w:type="band1Horz">
      <w:rPr>
        <w:rFonts w:ascii="Arial" w:hAnsi="Arial"/>
        <w:color w:val="404040"/>
        <w:sz w:val="22"/>
      </w:rPr>
      <w:tcPr>
        <w:shd w:val="clear" w:color="FDE9D8" w:fill="FDE9D8"/>
      </w:tcPr>
    </w:tblStylePr>
  </w:style>
  <w:style w:type="table" w:customStyle="1" w:styleId="1792">
    <w:name w:val="Таблица-сетка 417"/>
    <w:basedOn w:val="13"/>
    <w:uiPriority w:val="59"/>
    <w:rPr>
      <w:sz w:val="22"/>
      <w:szCs w:val="22"/>
      <w:lang w:eastAsia="en-US"/>
    </w:rPr>
    <w:tblPr>
      <w:tblBorders>
        <w:top w:val="single" w:color="6F6F6F" w:sz="4" w:space="0"/>
        <w:left w:val="single" w:color="6F6F6F" w:sz="4" w:space="0"/>
        <w:bottom w:val="single" w:color="6F6F6F" w:sz="4" w:space="0"/>
        <w:right w:val="single" w:color="6F6F6F" w:sz="4" w:space="0"/>
        <w:insideH w:val="single" w:color="6F6F6F" w:sz="4" w:space="0"/>
        <w:insideV w:val="single" w:color="6F6F6F" w:sz="4" w:space="0"/>
      </w:tblBorders>
      <w:tblCellMar>
        <w:top w:w="0" w:type="dxa"/>
        <w:left w:w="108" w:type="dxa"/>
        <w:bottom w:w="0" w:type="dxa"/>
        <w:right w:w="108" w:type="dxa"/>
      </w:tblCellMar>
    </w:tblPr>
    <w:tblStylePr w:type="firstRow">
      <w:rPr>
        <w:rFonts w:ascii="Arial" w:hAnsi="Arial"/>
        <w:b/>
        <w:color w:val="FFFFFF"/>
        <w:sz w:val="22"/>
      </w:rPr>
      <w:tcPr>
        <w:tcBorders>
          <w:top w:val="single" w:color="000000" w:sz="4" w:space="0"/>
          <w:left w:val="single" w:color="000000" w:sz="4" w:space="0"/>
          <w:bottom w:val="single" w:color="000000" w:sz="4" w:space="0"/>
          <w:right w:val="single" w:color="000000" w:sz="4" w:space="0"/>
        </w:tcBorders>
        <w:shd w:val="clear" w:color="000000" w:fill="000000"/>
      </w:tcPr>
    </w:tblStylePr>
    <w:tblStylePr w:type="lastRow">
      <w:rPr>
        <w:b/>
        <w:color w:val="404040"/>
      </w:rPr>
      <w:tcPr>
        <w:tcBorders>
          <w:top w:val="single" w:color="000000"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CBCBCB" w:fill="CBCBCB"/>
      </w:tcPr>
    </w:tblStylePr>
    <w:tblStylePr w:type="band1Horz">
      <w:rPr>
        <w:rFonts w:ascii="Arial" w:hAnsi="Arial"/>
        <w:color w:val="404040"/>
        <w:sz w:val="22"/>
      </w:rPr>
      <w:tcPr>
        <w:shd w:val="clear" w:color="CBCBCB" w:fill="CBCBCB"/>
      </w:tcPr>
    </w:tblStylePr>
  </w:style>
  <w:style w:type="table" w:customStyle="1" w:styleId="1793">
    <w:name w:val="Grid Table 4 - Accent 19"/>
    <w:basedOn w:val="13"/>
    <w:uiPriority w:val="59"/>
    <w:rPr>
      <w:sz w:val="22"/>
      <w:szCs w:val="22"/>
      <w:lang w:eastAsia="en-US"/>
    </w:rPr>
    <w:tblPr>
      <w:tblBorders>
        <w:top w:val="single" w:color="9BB7D9" w:sz="4" w:space="0"/>
        <w:left w:val="single" w:color="9BB7D9" w:sz="4" w:space="0"/>
        <w:bottom w:val="single" w:color="9BB7D9" w:sz="4" w:space="0"/>
        <w:right w:val="single" w:color="9BB7D9" w:sz="4" w:space="0"/>
        <w:insideH w:val="single" w:color="9BB7D9" w:sz="4" w:space="0"/>
        <w:insideV w:val="single" w:color="9BB7D9" w:sz="4" w:space="0"/>
      </w:tblBorders>
      <w:tblCellMar>
        <w:top w:w="0" w:type="dxa"/>
        <w:left w:w="108" w:type="dxa"/>
        <w:bottom w:w="0" w:type="dxa"/>
        <w:right w:w="108" w:type="dxa"/>
      </w:tblCellMar>
    </w:tblPr>
    <w:tblStylePr w:type="firstRow">
      <w:rPr>
        <w:rFonts w:ascii="Arial" w:hAnsi="Arial"/>
        <w:b/>
        <w:color w:val="FFFFFF"/>
        <w:sz w:val="22"/>
      </w:rPr>
      <w:tcPr>
        <w:tcBorders>
          <w:top w:val="single" w:color="5D8AC2" w:sz="4" w:space="0"/>
          <w:left w:val="single" w:color="5D8AC2" w:sz="4" w:space="0"/>
          <w:bottom w:val="single" w:color="5D8AC2" w:sz="4" w:space="0"/>
          <w:right w:val="single" w:color="5D8AC2" w:sz="4" w:space="0"/>
        </w:tcBorders>
        <w:shd w:val="clear" w:color="5D8AC2" w:fill="5D8AC2"/>
      </w:tcPr>
    </w:tblStylePr>
    <w:tblStylePr w:type="lastRow">
      <w:rPr>
        <w:b/>
        <w:color w:val="404040"/>
      </w:rPr>
      <w:tcPr>
        <w:tcBorders>
          <w:top w:val="single" w:color="5D8AC2"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DCE6F2" w:fill="DCE6F2"/>
      </w:tcPr>
    </w:tblStylePr>
    <w:tblStylePr w:type="band1Horz">
      <w:rPr>
        <w:rFonts w:ascii="Arial" w:hAnsi="Arial"/>
        <w:color w:val="404040"/>
        <w:sz w:val="22"/>
      </w:rPr>
      <w:tcPr>
        <w:shd w:val="clear" w:color="DCE6F2" w:fill="DCE6F2"/>
      </w:tcPr>
    </w:tblStylePr>
  </w:style>
  <w:style w:type="table" w:customStyle="1" w:styleId="1794">
    <w:name w:val="Grid Table 4 - Accent 29"/>
    <w:basedOn w:val="13"/>
    <w:uiPriority w:val="59"/>
    <w:rPr>
      <w:sz w:val="22"/>
      <w:szCs w:val="22"/>
      <w:lang w:eastAsia="en-US"/>
    </w:rPr>
    <w:tblPr>
      <w:tblBorders>
        <w:top w:val="single" w:color="DB9B9A" w:sz="4" w:space="0"/>
        <w:left w:val="single" w:color="DB9B9A" w:sz="4" w:space="0"/>
        <w:bottom w:val="single" w:color="DB9B9A" w:sz="4" w:space="0"/>
        <w:right w:val="single" w:color="DB9B9A" w:sz="4" w:space="0"/>
        <w:insideH w:val="single" w:color="DB9B9A" w:sz="4" w:space="0"/>
        <w:insideV w:val="single" w:color="DB9B9A" w:sz="4" w:space="0"/>
      </w:tblBorders>
      <w:tblCellMar>
        <w:top w:w="0" w:type="dxa"/>
        <w:left w:w="108" w:type="dxa"/>
        <w:bottom w:w="0" w:type="dxa"/>
        <w:right w:w="108" w:type="dxa"/>
      </w:tblCellMar>
    </w:tblPr>
    <w:tblStylePr w:type="firstRow">
      <w:rPr>
        <w:rFonts w:ascii="Arial" w:hAnsi="Arial"/>
        <w:b/>
        <w:color w:val="FFFFFF"/>
        <w:sz w:val="22"/>
      </w:rPr>
      <w:tcPr>
        <w:tcBorders>
          <w:top w:val="single" w:color="D99695" w:sz="4" w:space="0"/>
          <w:left w:val="single" w:color="D99695" w:sz="4" w:space="0"/>
          <w:bottom w:val="single" w:color="D99695" w:sz="4" w:space="0"/>
          <w:right w:val="single" w:color="D99695" w:sz="4" w:space="0"/>
        </w:tcBorders>
        <w:shd w:val="clear" w:color="D99695" w:fill="D99695"/>
      </w:tcPr>
    </w:tblStylePr>
    <w:tblStylePr w:type="lastRow">
      <w:rPr>
        <w:b/>
        <w:color w:val="404040"/>
      </w:rPr>
      <w:tcPr>
        <w:tcBorders>
          <w:top w:val="single" w:color="D99695"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F2DCDC" w:fill="F2DCDC"/>
      </w:tcPr>
    </w:tblStylePr>
    <w:tblStylePr w:type="band1Horz">
      <w:rPr>
        <w:rFonts w:ascii="Arial" w:hAnsi="Arial"/>
        <w:color w:val="404040"/>
        <w:sz w:val="22"/>
      </w:rPr>
      <w:tcPr>
        <w:shd w:val="clear" w:color="F2DCDC" w:fill="F2DCDC"/>
      </w:tcPr>
    </w:tblStylePr>
  </w:style>
  <w:style w:type="table" w:customStyle="1" w:styleId="1795">
    <w:name w:val="Grid Table 4 - Accent 39"/>
    <w:basedOn w:val="13"/>
    <w:uiPriority w:val="59"/>
    <w:rPr>
      <w:sz w:val="22"/>
      <w:szCs w:val="22"/>
      <w:lang w:eastAsia="en-US"/>
    </w:rPr>
    <w:tblPr>
      <w:tblBorders>
        <w:top w:val="single" w:color="C6D8A1" w:sz="4" w:space="0"/>
        <w:left w:val="single" w:color="C6D8A1" w:sz="4" w:space="0"/>
        <w:bottom w:val="single" w:color="C6D8A1" w:sz="4" w:space="0"/>
        <w:right w:val="single" w:color="C6D8A1" w:sz="4" w:space="0"/>
        <w:insideH w:val="single" w:color="C6D8A1" w:sz="4" w:space="0"/>
        <w:insideV w:val="single" w:color="C6D8A1" w:sz="4" w:space="0"/>
      </w:tblBorders>
      <w:tblCellMar>
        <w:top w:w="0" w:type="dxa"/>
        <w:left w:w="108" w:type="dxa"/>
        <w:bottom w:w="0" w:type="dxa"/>
        <w:right w:w="108" w:type="dxa"/>
      </w:tblCellMar>
    </w:tblPr>
    <w:tblStylePr w:type="firstRow">
      <w:rPr>
        <w:rFonts w:ascii="Arial" w:hAnsi="Arial"/>
        <w:b/>
        <w:color w:val="FFFFFF"/>
        <w:sz w:val="22"/>
      </w:rPr>
      <w:tcPr>
        <w:tcBorders>
          <w:top w:val="single" w:color="9ABB59" w:sz="4" w:space="0"/>
          <w:left w:val="single" w:color="9ABB59" w:sz="4" w:space="0"/>
          <w:bottom w:val="single" w:color="9ABB59" w:sz="4" w:space="0"/>
          <w:right w:val="single" w:color="9ABB59" w:sz="4" w:space="0"/>
        </w:tcBorders>
        <w:shd w:val="clear" w:color="9ABB59" w:fill="9ABB59"/>
      </w:tcPr>
    </w:tblStylePr>
    <w:tblStylePr w:type="lastRow">
      <w:rPr>
        <w:b/>
        <w:color w:val="404040"/>
      </w:rPr>
      <w:tcPr>
        <w:tcBorders>
          <w:top w:val="single" w:color="9ABB59"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EAF1DC" w:fill="EAF1DC"/>
      </w:tcPr>
    </w:tblStylePr>
    <w:tblStylePr w:type="band1Horz">
      <w:rPr>
        <w:rFonts w:ascii="Arial" w:hAnsi="Arial"/>
        <w:color w:val="404040"/>
        <w:sz w:val="22"/>
      </w:rPr>
      <w:tcPr>
        <w:shd w:val="clear" w:color="EAF1DC" w:fill="EAF1DC"/>
      </w:tcPr>
    </w:tblStylePr>
  </w:style>
  <w:style w:type="table" w:customStyle="1" w:styleId="1796">
    <w:name w:val="Grid Table 4 - Accent 49"/>
    <w:basedOn w:val="13"/>
    <w:uiPriority w:val="59"/>
    <w:rPr>
      <w:sz w:val="22"/>
      <w:szCs w:val="22"/>
      <w:lang w:eastAsia="en-US"/>
    </w:rPr>
    <w:tblPr>
      <w:tblBorders>
        <w:top w:val="single" w:color="B7A7CA" w:sz="4" w:space="0"/>
        <w:left w:val="single" w:color="B7A7CA" w:sz="4" w:space="0"/>
        <w:bottom w:val="single" w:color="B7A7CA" w:sz="4" w:space="0"/>
        <w:right w:val="single" w:color="B7A7CA" w:sz="4" w:space="0"/>
        <w:insideH w:val="single" w:color="B7A7CA" w:sz="4" w:space="0"/>
        <w:insideV w:val="single" w:color="B7A7CA" w:sz="4" w:space="0"/>
      </w:tblBorders>
      <w:tblCellMar>
        <w:top w:w="0" w:type="dxa"/>
        <w:left w:w="108" w:type="dxa"/>
        <w:bottom w:w="0" w:type="dxa"/>
        <w:right w:w="108" w:type="dxa"/>
      </w:tblCellMar>
    </w:tblPr>
    <w:tblStylePr w:type="firstRow">
      <w:rPr>
        <w:rFonts w:ascii="Arial" w:hAnsi="Arial"/>
        <w:b/>
        <w:color w:val="FFFFFF"/>
        <w:sz w:val="22"/>
      </w:rPr>
      <w:tcPr>
        <w:tcBorders>
          <w:top w:val="single" w:color="B2A1C6" w:sz="4" w:space="0"/>
          <w:left w:val="single" w:color="B2A1C6" w:sz="4" w:space="0"/>
          <w:bottom w:val="single" w:color="B2A1C6" w:sz="4" w:space="0"/>
          <w:right w:val="single" w:color="B2A1C6" w:sz="4" w:space="0"/>
        </w:tcBorders>
        <w:shd w:val="clear" w:color="B2A1C6" w:fill="B2A1C6"/>
      </w:tcPr>
    </w:tblStylePr>
    <w:tblStylePr w:type="lastRow">
      <w:rPr>
        <w:b/>
        <w:color w:val="404040"/>
      </w:rPr>
      <w:tcPr>
        <w:tcBorders>
          <w:top w:val="single" w:color="B2A1C6"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E5DFEC" w:fill="E5DFEC"/>
      </w:tcPr>
    </w:tblStylePr>
    <w:tblStylePr w:type="band1Horz">
      <w:rPr>
        <w:rFonts w:ascii="Arial" w:hAnsi="Arial"/>
        <w:color w:val="404040"/>
        <w:sz w:val="22"/>
      </w:rPr>
      <w:tcPr>
        <w:shd w:val="clear" w:color="E5DFEC" w:fill="E5DFEC"/>
      </w:tcPr>
    </w:tblStylePr>
  </w:style>
  <w:style w:type="table" w:customStyle="1" w:styleId="1797">
    <w:name w:val="Grid Table 4 - Accent 59"/>
    <w:basedOn w:val="13"/>
    <w:uiPriority w:val="59"/>
    <w:rPr>
      <w:sz w:val="22"/>
      <w:szCs w:val="22"/>
      <w:lang w:eastAsia="en-US"/>
    </w:rPr>
    <w:tblPr>
      <w:tblBorders>
        <w:top w:val="single" w:color="99D0DE" w:sz="4" w:space="0"/>
        <w:left w:val="single" w:color="99D0DE" w:sz="4" w:space="0"/>
        <w:bottom w:val="single" w:color="99D0DE" w:sz="4" w:space="0"/>
        <w:right w:val="single" w:color="99D0DE" w:sz="4" w:space="0"/>
        <w:insideH w:val="single" w:color="99D0DE" w:sz="4" w:space="0"/>
        <w:insideV w:val="single" w:color="99D0DE" w:sz="4" w:space="0"/>
      </w:tblBorders>
      <w:tblCellMar>
        <w:top w:w="0" w:type="dxa"/>
        <w:left w:w="108" w:type="dxa"/>
        <w:bottom w:w="0" w:type="dxa"/>
        <w:right w:w="108" w:type="dxa"/>
      </w:tblCellMar>
    </w:tblPr>
    <w:tblStylePr w:type="firstRow">
      <w:rPr>
        <w:rFonts w:ascii="Arial" w:hAnsi="Arial"/>
        <w:b/>
        <w:color w:val="FFFFFF"/>
        <w:sz w:val="22"/>
      </w:rPr>
      <w:tcPr>
        <w:tcBorders>
          <w:top w:val="single" w:color="4BACC6" w:sz="4" w:space="0"/>
          <w:left w:val="single" w:color="4BACC6" w:sz="4" w:space="0"/>
          <w:bottom w:val="single" w:color="4BACC6" w:sz="4" w:space="0"/>
          <w:right w:val="single" w:color="4BACC6" w:sz="4" w:space="0"/>
        </w:tcBorders>
        <w:shd w:val="clear" w:color="4BACC6" w:fill="4BACC6"/>
      </w:tcPr>
    </w:tblStylePr>
    <w:tblStylePr w:type="lastRow">
      <w:rPr>
        <w:b/>
        <w:color w:val="404040"/>
      </w:rPr>
      <w:tcPr>
        <w:tcBorders>
          <w:top w:val="single" w:color="4BACC6"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DAEEF3" w:fill="DAEEF3"/>
      </w:tcPr>
    </w:tblStylePr>
    <w:tblStylePr w:type="band1Horz">
      <w:rPr>
        <w:rFonts w:ascii="Arial" w:hAnsi="Arial"/>
        <w:color w:val="404040"/>
        <w:sz w:val="22"/>
      </w:rPr>
      <w:tcPr>
        <w:shd w:val="clear" w:color="DAEEF3" w:fill="DAEEF3"/>
      </w:tcPr>
    </w:tblStylePr>
  </w:style>
  <w:style w:type="table" w:customStyle="1" w:styleId="1798">
    <w:name w:val="Grid Table 4 - Accent 69"/>
    <w:basedOn w:val="13"/>
    <w:uiPriority w:val="59"/>
    <w:rPr>
      <w:sz w:val="22"/>
      <w:szCs w:val="22"/>
      <w:lang w:eastAsia="en-US"/>
    </w:rPr>
    <w:tblPr>
      <w:tblBorders>
        <w:top w:val="single" w:color="FAC396" w:sz="4" w:space="0"/>
        <w:left w:val="single" w:color="FAC396" w:sz="4" w:space="0"/>
        <w:bottom w:val="single" w:color="FAC396" w:sz="4" w:space="0"/>
        <w:right w:val="single" w:color="FAC396" w:sz="4" w:space="0"/>
        <w:insideH w:val="single" w:color="FAC396" w:sz="4" w:space="0"/>
        <w:insideV w:val="single" w:color="FAC396" w:sz="4" w:space="0"/>
      </w:tblBorders>
      <w:tblCellMar>
        <w:top w:w="0" w:type="dxa"/>
        <w:left w:w="108" w:type="dxa"/>
        <w:bottom w:w="0" w:type="dxa"/>
        <w:right w:w="108" w:type="dxa"/>
      </w:tblCellMar>
    </w:tblPr>
    <w:tblStylePr w:type="firstRow">
      <w:rPr>
        <w:rFonts w:ascii="Arial" w:hAnsi="Arial"/>
        <w:b/>
        <w:color w:val="FFFFFF"/>
        <w:sz w:val="22"/>
      </w:rPr>
      <w:tcPr>
        <w:tcBorders>
          <w:top w:val="single" w:color="F79646" w:sz="4" w:space="0"/>
          <w:left w:val="single" w:color="F79646" w:sz="4" w:space="0"/>
          <w:bottom w:val="single" w:color="F79646" w:sz="4" w:space="0"/>
          <w:right w:val="single" w:color="F79646" w:sz="4" w:space="0"/>
        </w:tcBorders>
        <w:shd w:val="clear" w:color="F79646" w:fill="F79646"/>
      </w:tcPr>
    </w:tblStylePr>
    <w:tblStylePr w:type="lastRow">
      <w:rPr>
        <w:b/>
        <w:color w:val="404040"/>
      </w:rPr>
      <w:tcPr>
        <w:tcBorders>
          <w:top w:val="single" w:color="F79646"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FDE9D8" w:fill="FDE9D8"/>
      </w:tcPr>
    </w:tblStylePr>
    <w:tblStylePr w:type="band1Horz">
      <w:rPr>
        <w:rFonts w:ascii="Arial" w:hAnsi="Arial"/>
        <w:color w:val="404040"/>
        <w:sz w:val="22"/>
      </w:rPr>
      <w:tcPr>
        <w:shd w:val="clear" w:color="FDE9D8" w:fill="FDE9D8"/>
      </w:tcPr>
    </w:tblStylePr>
  </w:style>
  <w:style w:type="table" w:customStyle="1" w:styleId="1799">
    <w:name w:val="Таблица-сетка 5 темная17"/>
    <w:basedOn w:val="13"/>
    <w:uiPriority w:val="99"/>
    <w:rPr>
      <w:sz w:val="22"/>
      <w:szCs w:val="22"/>
      <w:lang w:eastAsia="en-US"/>
    </w:rPr>
    <w:tblPr>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CellMar>
        <w:top w:w="0" w:type="dxa"/>
        <w:left w:w="108" w:type="dxa"/>
        <w:bottom w:w="0" w:type="dxa"/>
        <w:right w:w="108" w:type="dxa"/>
      </w:tblCellMar>
    </w:tblPr>
    <w:tblStylePr w:type="firstRow">
      <w:rPr>
        <w:rFonts w:ascii="Arial" w:hAnsi="Arial"/>
        <w:b/>
        <w:color w:val="FFFFFF"/>
        <w:sz w:val="22"/>
      </w:rPr>
      <w:tcPr>
        <w:shd w:val="clear" w:color="000000" w:fill="000000"/>
      </w:tcPr>
    </w:tblStylePr>
    <w:tblStylePr w:type="lastRow">
      <w:rPr>
        <w:rFonts w:ascii="Arial" w:hAnsi="Arial"/>
        <w:b/>
        <w:color w:val="FFFFFF"/>
        <w:sz w:val="22"/>
      </w:rPr>
      <w:tcPr>
        <w:tcBorders>
          <w:top w:val="single" w:color="FFFFFF" w:sz="4" w:space="0"/>
        </w:tcBorders>
        <w:shd w:val="clear" w:color="000000" w:fill="000000"/>
      </w:tcPr>
    </w:tblStylePr>
    <w:tblStylePr w:type="firstCol">
      <w:rPr>
        <w:rFonts w:ascii="Arial" w:hAnsi="Arial"/>
        <w:b/>
        <w:color w:val="FFFFFF"/>
        <w:sz w:val="22"/>
      </w:rPr>
      <w:tcPr>
        <w:shd w:val="clear" w:color="000000" w:fill="000000"/>
      </w:tcPr>
    </w:tblStylePr>
    <w:tblStylePr w:type="lastCol">
      <w:rPr>
        <w:rFonts w:ascii="Arial" w:hAnsi="Arial"/>
        <w:b/>
        <w:color w:val="FFFFFF"/>
        <w:sz w:val="22"/>
      </w:rPr>
      <w:tcPr>
        <w:shd w:val="clear" w:color="000000" w:fill="000000"/>
      </w:tcPr>
    </w:tblStylePr>
    <w:tblStylePr w:type="band1Vert">
      <w:tcPr>
        <w:shd w:val="clear" w:color="8A8A8A" w:fill="8A8A8A"/>
      </w:tcPr>
    </w:tblStylePr>
    <w:tblStylePr w:type="band1Horz">
      <w:tcPr>
        <w:shd w:val="clear" w:color="8A8A8A" w:fill="8A8A8A"/>
      </w:tcPr>
    </w:tblStylePr>
  </w:style>
  <w:style w:type="table" w:customStyle="1" w:styleId="1800">
    <w:name w:val="Grid Table 5 Dark- Accent 19"/>
    <w:basedOn w:val="13"/>
    <w:uiPriority w:val="99"/>
    <w:rPr>
      <w:sz w:val="22"/>
      <w:szCs w:val="22"/>
      <w:lang w:eastAsia="en-US"/>
    </w:rPr>
    <w:tblPr>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CellMar>
        <w:top w:w="0" w:type="dxa"/>
        <w:left w:w="108" w:type="dxa"/>
        <w:bottom w:w="0" w:type="dxa"/>
        <w:right w:w="108" w:type="dxa"/>
      </w:tblCellMar>
    </w:tblPr>
    <w:tblStylePr w:type="firstRow">
      <w:rPr>
        <w:rFonts w:ascii="Arial" w:hAnsi="Arial"/>
        <w:b/>
        <w:color w:val="FFFFFF"/>
        <w:sz w:val="22"/>
      </w:rPr>
      <w:tcPr>
        <w:shd w:val="clear" w:color="4F81BD" w:fill="4F81BD"/>
      </w:tcPr>
    </w:tblStylePr>
    <w:tblStylePr w:type="lastRow">
      <w:rPr>
        <w:rFonts w:ascii="Arial" w:hAnsi="Arial"/>
        <w:b/>
        <w:color w:val="FFFFFF"/>
        <w:sz w:val="22"/>
      </w:rPr>
      <w:tcPr>
        <w:tcBorders>
          <w:top w:val="single" w:color="FFFFFF" w:sz="4" w:space="0"/>
        </w:tcBorders>
        <w:shd w:val="clear" w:color="4F81BD" w:fill="4F81BD"/>
      </w:tcPr>
    </w:tblStylePr>
    <w:tblStylePr w:type="firstCol">
      <w:rPr>
        <w:rFonts w:ascii="Arial" w:hAnsi="Arial"/>
        <w:b/>
        <w:color w:val="FFFFFF"/>
        <w:sz w:val="22"/>
      </w:rPr>
      <w:tcPr>
        <w:shd w:val="clear" w:color="4F81BD" w:fill="4F81BD"/>
      </w:tcPr>
    </w:tblStylePr>
    <w:tblStylePr w:type="lastCol">
      <w:rPr>
        <w:rFonts w:ascii="Arial" w:hAnsi="Arial"/>
        <w:b/>
        <w:color w:val="FFFFFF"/>
        <w:sz w:val="22"/>
      </w:rPr>
      <w:tcPr>
        <w:shd w:val="clear" w:color="4F81BD" w:fill="4F81BD"/>
      </w:tcPr>
    </w:tblStylePr>
    <w:tblStylePr w:type="band1Vert">
      <w:tcPr>
        <w:shd w:val="clear" w:color="AEC4E0" w:fill="AEC4E0"/>
      </w:tcPr>
    </w:tblStylePr>
    <w:tblStylePr w:type="band1Horz">
      <w:tcPr>
        <w:shd w:val="clear" w:color="AEC4E0" w:fill="AEC4E0"/>
      </w:tcPr>
    </w:tblStylePr>
  </w:style>
  <w:style w:type="table" w:customStyle="1" w:styleId="1801">
    <w:name w:val="Grid Table 5 Dark - Accent 29"/>
    <w:basedOn w:val="13"/>
    <w:uiPriority w:val="99"/>
    <w:rPr>
      <w:sz w:val="22"/>
      <w:szCs w:val="22"/>
      <w:lang w:eastAsia="en-US"/>
    </w:rPr>
    <w:tblPr>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CellMar>
        <w:top w:w="0" w:type="dxa"/>
        <w:left w:w="108" w:type="dxa"/>
        <w:bottom w:w="0" w:type="dxa"/>
        <w:right w:w="108" w:type="dxa"/>
      </w:tblCellMar>
    </w:tblPr>
    <w:tblStylePr w:type="firstRow">
      <w:rPr>
        <w:rFonts w:ascii="Arial" w:hAnsi="Arial"/>
        <w:b/>
        <w:color w:val="FFFFFF"/>
        <w:sz w:val="22"/>
      </w:rPr>
      <w:tcPr>
        <w:shd w:val="clear" w:color="C0504D" w:fill="C0504D"/>
      </w:tcPr>
    </w:tblStylePr>
    <w:tblStylePr w:type="lastRow">
      <w:rPr>
        <w:rFonts w:ascii="Arial" w:hAnsi="Arial"/>
        <w:b/>
        <w:color w:val="FFFFFF"/>
        <w:sz w:val="22"/>
      </w:rPr>
      <w:tcPr>
        <w:tcBorders>
          <w:top w:val="single" w:color="FFFFFF" w:sz="4" w:space="0"/>
        </w:tcBorders>
        <w:shd w:val="clear" w:color="C0504D" w:fill="C0504D"/>
      </w:tcPr>
    </w:tblStylePr>
    <w:tblStylePr w:type="firstCol">
      <w:rPr>
        <w:rFonts w:ascii="Arial" w:hAnsi="Arial"/>
        <w:b/>
        <w:color w:val="FFFFFF"/>
        <w:sz w:val="22"/>
      </w:rPr>
      <w:tcPr>
        <w:shd w:val="clear" w:color="C0504D" w:fill="C0504D"/>
      </w:tcPr>
    </w:tblStylePr>
    <w:tblStylePr w:type="lastCol">
      <w:rPr>
        <w:rFonts w:ascii="Arial" w:hAnsi="Arial"/>
        <w:b/>
        <w:color w:val="FFFFFF"/>
        <w:sz w:val="22"/>
      </w:rPr>
      <w:tcPr>
        <w:shd w:val="clear" w:color="C0504D" w:fill="C0504D"/>
      </w:tcPr>
    </w:tblStylePr>
    <w:tblStylePr w:type="band1Vert">
      <w:tcPr>
        <w:shd w:val="clear" w:color="E2AEAD" w:fill="E2AEAD"/>
      </w:tcPr>
    </w:tblStylePr>
    <w:tblStylePr w:type="band1Horz">
      <w:tcPr>
        <w:shd w:val="clear" w:color="E2AEAD" w:fill="E2AEAD"/>
      </w:tcPr>
    </w:tblStylePr>
  </w:style>
  <w:style w:type="table" w:customStyle="1" w:styleId="1802">
    <w:name w:val="Grid Table 5 Dark - Accent 39"/>
    <w:basedOn w:val="13"/>
    <w:uiPriority w:val="99"/>
    <w:rPr>
      <w:sz w:val="22"/>
      <w:szCs w:val="22"/>
      <w:lang w:eastAsia="en-US"/>
    </w:rPr>
    <w:tblPr>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CellMar>
        <w:top w:w="0" w:type="dxa"/>
        <w:left w:w="108" w:type="dxa"/>
        <w:bottom w:w="0" w:type="dxa"/>
        <w:right w:w="108" w:type="dxa"/>
      </w:tblCellMar>
    </w:tblPr>
    <w:tblStylePr w:type="firstRow">
      <w:rPr>
        <w:rFonts w:ascii="Arial" w:hAnsi="Arial"/>
        <w:b/>
        <w:color w:val="FFFFFF"/>
        <w:sz w:val="22"/>
      </w:rPr>
      <w:tcPr>
        <w:shd w:val="clear" w:color="9BBB59" w:fill="9BBB59"/>
      </w:tcPr>
    </w:tblStylePr>
    <w:tblStylePr w:type="lastRow">
      <w:rPr>
        <w:rFonts w:ascii="Arial" w:hAnsi="Arial"/>
        <w:b/>
        <w:color w:val="FFFFFF"/>
        <w:sz w:val="22"/>
      </w:rPr>
      <w:tcPr>
        <w:tcBorders>
          <w:top w:val="single" w:color="FFFFFF" w:sz="4" w:space="0"/>
        </w:tcBorders>
        <w:shd w:val="clear" w:color="9BBB59" w:fill="9BBB59"/>
      </w:tcPr>
    </w:tblStylePr>
    <w:tblStylePr w:type="firstCol">
      <w:rPr>
        <w:rFonts w:ascii="Arial" w:hAnsi="Arial"/>
        <w:b/>
        <w:color w:val="FFFFFF"/>
        <w:sz w:val="22"/>
      </w:rPr>
      <w:tcPr>
        <w:shd w:val="clear" w:color="9BBB59" w:fill="9BBB59"/>
      </w:tcPr>
    </w:tblStylePr>
    <w:tblStylePr w:type="lastCol">
      <w:rPr>
        <w:rFonts w:ascii="Arial" w:hAnsi="Arial"/>
        <w:b/>
        <w:color w:val="FFFFFF"/>
        <w:sz w:val="22"/>
      </w:rPr>
      <w:tcPr>
        <w:shd w:val="clear" w:color="9BBB59" w:fill="9BBB59"/>
      </w:tcPr>
    </w:tblStylePr>
    <w:tblStylePr w:type="band1Vert">
      <w:tcPr>
        <w:shd w:val="clear" w:color="D0DFB2" w:fill="D0DFB2"/>
      </w:tcPr>
    </w:tblStylePr>
    <w:tblStylePr w:type="band1Horz">
      <w:tcPr>
        <w:shd w:val="clear" w:color="D0DFB2" w:fill="D0DFB2"/>
      </w:tcPr>
    </w:tblStylePr>
  </w:style>
  <w:style w:type="table" w:customStyle="1" w:styleId="1803">
    <w:name w:val="Grid Table 5 Dark- Accent 49"/>
    <w:basedOn w:val="13"/>
    <w:uiPriority w:val="99"/>
    <w:rPr>
      <w:sz w:val="22"/>
      <w:szCs w:val="22"/>
      <w:lang w:eastAsia="en-US"/>
    </w:rPr>
    <w:tblPr>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CellMar>
        <w:top w:w="0" w:type="dxa"/>
        <w:left w:w="108" w:type="dxa"/>
        <w:bottom w:w="0" w:type="dxa"/>
        <w:right w:w="108" w:type="dxa"/>
      </w:tblCellMar>
    </w:tblPr>
    <w:tblStylePr w:type="firstRow">
      <w:rPr>
        <w:rFonts w:ascii="Arial" w:hAnsi="Arial"/>
        <w:b/>
        <w:color w:val="FFFFFF"/>
        <w:sz w:val="22"/>
      </w:rPr>
      <w:tcPr>
        <w:shd w:val="clear" w:color="8064A2" w:fill="8064A2"/>
      </w:tcPr>
    </w:tblStylePr>
    <w:tblStylePr w:type="lastRow">
      <w:rPr>
        <w:rFonts w:ascii="Arial" w:hAnsi="Arial"/>
        <w:b/>
        <w:color w:val="FFFFFF"/>
        <w:sz w:val="22"/>
      </w:rPr>
      <w:tcPr>
        <w:tcBorders>
          <w:top w:val="single" w:color="FFFFFF" w:sz="4" w:space="0"/>
        </w:tcBorders>
        <w:shd w:val="clear" w:color="8064A2" w:fill="8064A2"/>
      </w:tcPr>
    </w:tblStylePr>
    <w:tblStylePr w:type="firstCol">
      <w:rPr>
        <w:rFonts w:ascii="Arial" w:hAnsi="Arial"/>
        <w:b/>
        <w:color w:val="FFFFFF"/>
        <w:sz w:val="22"/>
      </w:rPr>
      <w:tcPr>
        <w:shd w:val="clear" w:color="8064A2" w:fill="8064A2"/>
      </w:tcPr>
    </w:tblStylePr>
    <w:tblStylePr w:type="lastCol">
      <w:rPr>
        <w:rFonts w:ascii="Arial" w:hAnsi="Arial"/>
        <w:b/>
        <w:color w:val="FFFFFF"/>
        <w:sz w:val="22"/>
      </w:rPr>
      <w:tcPr>
        <w:shd w:val="clear" w:color="8064A2" w:fill="8064A2"/>
      </w:tcPr>
    </w:tblStylePr>
    <w:tblStylePr w:type="band1Vert">
      <w:tcPr>
        <w:shd w:val="clear" w:color="C4B7D4" w:fill="C4B7D4"/>
      </w:tcPr>
    </w:tblStylePr>
    <w:tblStylePr w:type="band1Horz">
      <w:tcPr>
        <w:shd w:val="clear" w:color="C4B7D4" w:fill="C4B7D4"/>
      </w:tcPr>
    </w:tblStylePr>
  </w:style>
  <w:style w:type="table" w:customStyle="1" w:styleId="1804">
    <w:name w:val="Grid Table 5 Dark - Accent 59"/>
    <w:basedOn w:val="13"/>
    <w:uiPriority w:val="99"/>
    <w:rPr>
      <w:sz w:val="22"/>
      <w:szCs w:val="22"/>
      <w:lang w:eastAsia="en-US"/>
    </w:rPr>
    <w:tblPr>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CellMar>
        <w:top w:w="0" w:type="dxa"/>
        <w:left w:w="108" w:type="dxa"/>
        <w:bottom w:w="0" w:type="dxa"/>
        <w:right w:w="108" w:type="dxa"/>
      </w:tblCellMar>
    </w:tblPr>
    <w:tblStylePr w:type="firstRow">
      <w:rPr>
        <w:rFonts w:ascii="Arial" w:hAnsi="Arial"/>
        <w:b/>
        <w:color w:val="FFFFFF"/>
        <w:sz w:val="22"/>
      </w:rPr>
      <w:tcPr>
        <w:shd w:val="clear" w:color="4BACC6" w:fill="4BACC6"/>
      </w:tcPr>
    </w:tblStylePr>
    <w:tblStylePr w:type="lastRow">
      <w:rPr>
        <w:rFonts w:ascii="Arial" w:hAnsi="Arial"/>
        <w:b/>
        <w:color w:val="FFFFFF"/>
        <w:sz w:val="22"/>
      </w:rPr>
      <w:tcPr>
        <w:tcBorders>
          <w:top w:val="single" w:color="FFFFFF" w:sz="4" w:space="0"/>
        </w:tcBorders>
        <w:shd w:val="clear" w:color="4BACC6" w:fill="4BACC6"/>
      </w:tcPr>
    </w:tblStylePr>
    <w:tblStylePr w:type="firstCol">
      <w:rPr>
        <w:rFonts w:ascii="Arial" w:hAnsi="Arial"/>
        <w:b/>
        <w:color w:val="FFFFFF"/>
        <w:sz w:val="22"/>
      </w:rPr>
      <w:tcPr>
        <w:shd w:val="clear" w:color="4BACC6" w:fill="4BACC6"/>
      </w:tcPr>
    </w:tblStylePr>
    <w:tblStylePr w:type="lastCol">
      <w:rPr>
        <w:rFonts w:ascii="Arial" w:hAnsi="Arial"/>
        <w:b/>
        <w:color w:val="FFFFFF"/>
        <w:sz w:val="22"/>
      </w:rPr>
      <w:tcPr>
        <w:shd w:val="clear" w:color="4BACC6" w:fill="4BACC6"/>
      </w:tcPr>
    </w:tblStylePr>
    <w:tblStylePr w:type="band1Vert">
      <w:tcPr>
        <w:shd w:val="clear" w:color="ACD8E4" w:fill="ACD8E4"/>
      </w:tcPr>
    </w:tblStylePr>
    <w:tblStylePr w:type="band1Horz">
      <w:tcPr>
        <w:shd w:val="clear" w:color="ACD8E4" w:fill="ACD8E4"/>
      </w:tcPr>
    </w:tblStylePr>
  </w:style>
  <w:style w:type="table" w:customStyle="1" w:styleId="1805">
    <w:name w:val="Grid Table 5 Dark - Accent 69"/>
    <w:basedOn w:val="13"/>
    <w:uiPriority w:val="99"/>
    <w:rPr>
      <w:sz w:val="22"/>
      <w:szCs w:val="22"/>
      <w:lang w:eastAsia="en-US"/>
    </w:rPr>
    <w:tblPr>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CellMar>
        <w:top w:w="0" w:type="dxa"/>
        <w:left w:w="108" w:type="dxa"/>
        <w:bottom w:w="0" w:type="dxa"/>
        <w:right w:w="108" w:type="dxa"/>
      </w:tblCellMar>
    </w:tblPr>
    <w:tblStylePr w:type="firstRow">
      <w:rPr>
        <w:rFonts w:ascii="Arial" w:hAnsi="Arial"/>
        <w:b/>
        <w:color w:val="FFFFFF"/>
        <w:sz w:val="22"/>
      </w:rPr>
      <w:tcPr>
        <w:shd w:val="clear" w:color="F79646" w:fill="F79646"/>
      </w:tcPr>
    </w:tblStylePr>
    <w:tblStylePr w:type="lastRow">
      <w:rPr>
        <w:rFonts w:ascii="Arial" w:hAnsi="Arial"/>
        <w:b/>
        <w:color w:val="FFFFFF"/>
        <w:sz w:val="22"/>
      </w:rPr>
      <w:tcPr>
        <w:tcBorders>
          <w:top w:val="single" w:color="FFFFFF" w:sz="4" w:space="0"/>
        </w:tcBorders>
        <w:shd w:val="clear" w:color="F79646" w:fill="F79646"/>
      </w:tcPr>
    </w:tblStylePr>
    <w:tblStylePr w:type="firstCol">
      <w:rPr>
        <w:rFonts w:ascii="Arial" w:hAnsi="Arial"/>
        <w:b/>
        <w:color w:val="FFFFFF"/>
        <w:sz w:val="22"/>
      </w:rPr>
      <w:tcPr>
        <w:shd w:val="clear" w:color="F79646" w:fill="F79646"/>
      </w:tcPr>
    </w:tblStylePr>
    <w:tblStylePr w:type="lastCol">
      <w:rPr>
        <w:rFonts w:ascii="Arial" w:hAnsi="Arial"/>
        <w:b/>
        <w:color w:val="FFFFFF"/>
        <w:sz w:val="22"/>
      </w:rPr>
      <w:tcPr>
        <w:shd w:val="clear" w:color="F79646" w:fill="F79646"/>
      </w:tcPr>
    </w:tblStylePr>
    <w:tblStylePr w:type="band1Vert">
      <w:tcPr>
        <w:shd w:val="clear" w:color="FBCEAA" w:fill="FBCEAA"/>
      </w:tcPr>
    </w:tblStylePr>
    <w:tblStylePr w:type="band1Horz">
      <w:tcPr>
        <w:shd w:val="clear" w:color="FBCEAA" w:fill="FBCEAA"/>
      </w:tcPr>
    </w:tblStylePr>
  </w:style>
  <w:style w:type="table" w:customStyle="1" w:styleId="1806">
    <w:name w:val="Таблица-сетка 6 цветная17"/>
    <w:basedOn w:val="13"/>
    <w:uiPriority w:val="99"/>
    <w:rPr>
      <w:sz w:val="22"/>
      <w:szCs w:val="22"/>
      <w:lang w:eastAsia="en-US"/>
    </w:rPr>
    <w:tblPr>
      <w:tblBorders>
        <w:top w:val="single" w:color="7F7F7F" w:sz="4" w:space="0"/>
        <w:left w:val="single" w:color="7F7F7F" w:sz="4" w:space="0"/>
        <w:bottom w:val="single" w:color="7F7F7F" w:sz="4" w:space="0"/>
        <w:right w:val="single" w:color="7F7F7F" w:sz="4" w:space="0"/>
        <w:insideH w:val="single" w:color="7F7F7F" w:sz="4" w:space="0"/>
        <w:insideV w:val="single" w:color="7F7F7F" w:sz="4" w:space="0"/>
      </w:tblBorders>
      <w:tblCellMar>
        <w:top w:w="0" w:type="dxa"/>
        <w:left w:w="108" w:type="dxa"/>
        <w:bottom w:w="0" w:type="dxa"/>
        <w:right w:w="108" w:type="dxa"/>
      </w:tblCellMar>
    </w:tblPr>
    <w:tblStylePr w:type="firstRow">
      <w:rPr>
        <w:b/>
        <w:color w:val="7F7F7F"/>
      </w:rPr>
      <w:tcPr>
        <w:tcBorders>
          <w:bottom w:val="single" w:color="7F7F7F" w:sz="12" w:space="0"/>
        </w:tcBorders>
      </w:tcPr>
    </w:tblStylePr>
    <w:tblStylePr w:type="lastRow">
      <w:rPr>
        <w:b/>
        <w:color w:val="7F7F7F"/>
      </w:rPr>
    </w:tblStylePr>
    <w:tblStylePr w:type="firstCol">
      <w:rPr>
        <w:b/>
        <w:color w:val="7F7F7F"/>
      </w:rPr>
    </w:tblStylePr>
    <w:tblStylePr w:type="lastCol">
      <w:rPr>
        <w:b/>
        <w:color w:val="7F7F7F"/>
      </w:rPr>
    </w:tblStylePr>
    <w:tblStylePr w:type="band1Vert">
      <w:tcPr>
        <w:shd w:val="clear" w:color="CBCBCB" w:fill="CBCBCB"/>
      </w:tcPr>
    </w:tblStylePr>
    <w:tblStylePr w:type="band1Horz">
      <w:rPr>
        <w:rFonts w:ascii="Arial" w:hAnsi="Arial"/>
        <w:color w:val="7F7F7F"/>
        <w:sz w:val="22"/>
      </w:rPr>
      <w:tcPr>
        <w:shd w:val="clear" w:color="CBCBCB" w:fill="CBCBCB"/>
      </w:tcPr>
    </w:tblStylePr>
    <w:tblStylePr w:type="band2Horz">
      <w:rPr>
        <w:rFonts w:ascii="Arial" w:hAnsi="Arial"/>
        <w:color w:val="7F7F7F"/>
        <w:sz w:val="22"/>
      </w:rPr>
    </w:tblStylePr>
  </w:style>
  <w:style w:type="table" w:customStyle="1" w:styleId="1807">
    <w:name w:val="Grid Table 6 Colorful - Accent 19"/>
    <w:basedOn w:val="13"/>
    <w:uiPriority w:val="99"/>
    <w:rPr>
      <w:sz w:val="22"/>
      <w:szCs w:val="22"/>
      <w:lang w:eastAsia="en-US"/>
    </w:rPr>
    <w:tblPr>
      <w:tblBorders>
        <w:top w:val="single" w:color="A6BFDD" w:sz="4" w:space="0"/>
        <w:left w:val="single" w:color="A6BFDD" w:sz="4" w:space="0"/>
        <w:bottom w:val="single" w:color="A6BFDD" w:sz="4" w:space="0"/>
        <w:right w:val="single" w:color="A6BFDD" w:sz="4" w:space="0"/>
        <w:insideH w:val="single" w:color="A6BFDD" w:sz="4" w:space="0"/>
        <w:insideV w:val="single" w:color="A6BFDD" w:sz="4" w:space="0"/>
      </w:tblBorders>
      <w:tblCellMar>
        <w:top w:w="0" w:type="dxa"/>
        <w:left w:w="108" w:type="dxa"/>
        <w:bottom w:w="0" w:type="dxa"/>
        <w:right w:w="108" w:type="dxa"/>
      </w:tblCellMar>
    </w:tblPr>
    <w:tblStylePr w:type="firstRow">
      <w:rPr>
        <w:b/>
        <w:color w:val="A6BFDD"/>
      </w:rPr>
      <w:tcPr>
        <w:tcBorders>
          <w:bottom w:val="single" w:color="A6BFDD" w:sz="12" w:space="0"/>
        </w:tcBorders>
      </w:tcPr>
    </w:tblStylePr>
    <w:tblStylePr w:type="lastRow">
      <w:rPr>
        <w:b/>
        <w:color w:val="A6BFDD"/>
      </w:rPr>
    </w:tblStylePr>
    <w:tblStylePr w:type="firstCol">
      <w:rPr>
        <w:b/>
        <w:color w:val="A6BFDD"/>
      </w:rPr>
    </w:tblStylePr>
    <w:tblStylePr w:type="lastCol">
      <w:rPr>
        <w:b/>
        <w:color w:val="A6BFDD"/>
      </w:rPr>
    </w:tblStylePr>
    <w:tblStylePr w:type="band1Vert">
      <w:tcPr>
        <w:shd w:val="clear" w:color="DAE5F1" w:fill="DAE5F1"/>
      </w:tcPr>
    </w:tblStylePr>
    <w:tblStylePr w:type="band1Horz">
      <w:rPr>
        <w:rFonts w:ascii="Arial" w:hAnsi="Arial"/>
        <w:color w:val="A6BFDD"/>
        <w:sz w:val="22"/>
      </w:rPr>
      <w:tcPr>
        <w:shd w:val="clear" w:color="DAE5F1" w:fill="DAE5F1"/>
      </w:tcPr>
    </w:tblStylePr>
    <w:tblStylePr w:type="band2Horz">
      <w:rPr>
        <w:rFonts w:ascii="Arial" w:hAnsi="Arial"/>
        <w:color w:val="A6BFDD"/>
        <w:sz w:val="22"/>
      </w:rPr>
    </w:tblStylePr>
  </w:style>
  <w:style w:type="table" w:customStyle="1" w:styleId="1808">
    <w:name w:val="Grid Table 6 Colorful - Accent 29"/>
    <w:basedOn w:val="13"/>
    <w:uiPriority w:val="99"/>
    <w:rPr>
      <w:sz w:val="22"/>
      <w:szCs w:val="22"/>
      <w:lang w:eastAsia="en-US"/>
    </w:rPr>
    <w:tblPr>
      <w:tblBorders>
        <w:top w:val="single" w:color="D99695" w:sz="4" w:space="0"/>
        <w:left w:val="single" w:color="D99695" w:sz="4" w:space="0"/>
        <w:bottom w:val="single" w:color="D99695" w:sz="4" w:space="0"/>
        <w:right w:val="single" w:color="D99695" w:sz="4" w:space="0"/>
        <w:insideH w:val="single" w:color="D99695" w:sz="4" w:space="0"/>
        <w:insideV w:val="single" w:color="D99695" w:sz="4" w:space="0"/>
      </w:tblBorders>
      <w:tblCellMar>
        <w:top w:w="0" w:type="dxa"/>
        <w:left w:w="108" w:type="dxa"/>
        <w:bottom w:w="0" w:type="dxa"/>
        <w:right w:w="108" w:type="dxa"/>
      </w:tblCellMar>
    </w:tblPr>
    <w:tblStylePr w:type="firstRow">
      <w:rPr>
        <w:b/>
        <w:color w:val="D99695"/>
      </w:rPr>
      <w:tcPr>
        <w:tcBorders>
          <w:bottom w:val="single" w:color="D99695" w:sz="12" w:space="0"/>
        </w:tcBorders>
      </w:tcPr>
    </w:tblStylePr>
    <w:tblStylePr w:type="lastRow">
      <w:rPr>
        <w:b/>
        <w:color w:val="D99695"/>
      </w:rPr>
    </w:tblStylePr>
    <w:tblStylePr w:type="firstCol">
      <w:rPr>
        <w:b/>
        <w:color w:val="D99695"/>
      </w:rPr>
    </w:tblStylePr>
    <w:tblStylePr w:type="lastCol">
      <w:rPr>
        <w:b/>
        <w:color w:val="D99695"/>
      </w:rPr>
    </w:tblStylePr>
    <w:tblStylePr w:type="band1Vert">
      <w:tcPr>
        <w:shd w:val="clear" w:color="F2DCDC" w:fill="F2DCDC"/>
      </w:tcPr>
    </w:tblStylePr>
    <w:tblStylePr w:type="band1Horz">
      <w:rPr>
        <w:rFonts w:ascii="Arial" w:hAnsi="Arial"/>
        <w:color w:val="D99695"/>
        <w:sz w:val="22"/>
      </w:rPr>
      <w:tcPr>
        <w:shd w:val="clear" w:color="F2DCDC" w:fill="F2DCDC"/>
      </w:tcPr>
    </w:tblStylePr>
    <w:tblStylePr w:type="band2Horz">
      <w:rPr>
        <w:rFonts w:ascii="Arial" w:hAnsi="Arial"/>
        <w:color w:val="D99695"/>
        <w:sz w:val="22"/>
      </w:rPr>
    </w:tblStylePr>
  </w:style>
  <w:style w:type="table" w:customStyle="1" w:styleId="1809">
    <w:name w:val="Grid Table 6 Colorful - Accent 39"/>
    <w:basedOn w:val="13"/>
    <w:uiPriority w:val="99"/>
    <w:rPr>
      <w:sz w:val="22"/>
      <w:szCs w:val="22"/>
      <w:lang w:eastAsia="en-US"/>
    </w:rPr>
    <w:tblPr>
      <w:tblBorders>
        <w:top w:val="single" w:color="9ABB59" w:sz="4" w:space="0"/>
        <w:left w:val="single" w:color="9ABB59" w:sz="4" w:space="0"/>
        <w:bottom w:val="single" w:color="9ABB59" w:sz="4" w:space="0"/>
        <w:right w:val="single" w:color="9ABB59" w:sz="4" w:space="0"/>
        <w:insideH w:val="single" w:color="9ABB59" w:sz="4" w:space="0"/>
        <w:insideV w:val="single" w:color="9ABB59" w:sz="4" w:space="0"/>
      </w:tblBorders>
      <w:tblCellMar>
        <w:top w:w="0" w:type="dxa"/>
        <w:left w:w="108" w:type="dxa"/>
        <w:bottom w:w="0" w:type="dxa"/>
        <w:right w:w="108" w:type="dxa"/>
      </w:tblCellMar>
    </w:tblPr>
    <w:tblStylePr w:type="firstRow">
      <w:rPr>
        <w:b/>
        <w:color w:val="9ABB59"/>
      </w:rPr>
      <w:tcPr>
        <w:tcBorders>
          <w:bottom w:val="single" w:color="9ABB59" w:sz="12" w:space="0"/>
        </w:tcBorders>
      </w:tcPr>
    </w:tblStylePr>
    <w:tblStylePr w:type="lastRow">
      <w:rPr>
        <w:b/>
        <w:color w:val="9ABB59"/>
      </w:rPr>
    </w:tblStylePr>
    <w:tblStylePr w:type="firstCol">
      <w:rPr>
        <w:b/>
        <w:color w:val="9ABB59"/>
      </w:rPr>
    </w:tblStylePr>
    <w:tblStylePr w:type="lastCol">
      <w:rPr>
        <w:b/>
        <w:color w:val="9ABB59"/>
      </w:rPr>
    </w:tblStylePr>
    <w:tblStylePr w:type="band1Vert">
      <w:tcPr>
        <w:shd w:val="clear" w:color="EAF1DC" w:fill="EAF1DC"/>
      </w:tcPr>
    </w:tblStylePr>
    <w:tblStylePr w:type="band1Horz">
      <w:rPr>
        <w:rFonts w:ascii="Arial" w:hAnsi="Arial"/>
        <w:color w:val="9ABB59"/>
        <w:sz w:val="22"/>
      </w:rPr>
      <w:tcPr>
        <w:shd w:val="clear" w:color="EAF1DC" w:fill="EAF1DC"/>
      </w:tcPr>
    </w:tblStylePr>
    <w:tblStylePr w:type="band2Horz">
      <w:rPr>
        <w:rFonts w:ascii="Arial" w:hAnsi="Arial"/>
        <w:color w:val="9ABB59"/>
        <w:sz w:val="22"/>
      </w:rPr>
    </w:tblStylePr>
  </w:style>
  <w:style w:type="table" w:customStyle="1" w:styleId="1810">
    <w:name w:val="Grid Table 6 Colorful - Accent 49"/>
    <w:basedOn w:val="13"/>
    <w:uiPriority w:val="99"/>
    <w:rPr>
      <w:sz w:val="22"/>
      <w:szCs w:val="22"/>
      <w:lang w:eastAsia="en-US"/>
    </w:rPr>
    <w:tblPr>
      <w:tblBorders>
        <w:top w:val="single" w:color="B2A1C6" w:sz="4" w:space="0"/>
        <w:left w:val="single" w:color="B2A1C6" w:sz="4" w:space="0"/>
        <w:bottom w:val="single" w:color="B2A1C6" w:sz="4" w:space="0"/>
        <w:right w:val="single" w:color="B2A1C6" w:sz="4" w:space="0"/>
        <w:insideH w:val="single" w:color="B2A1C6" w:sz="4" w:space="0"/>
        <w:insideV w:val="single" w:color="B2A1C6" w:sz="4" w:space="0"/>
      </w:tblBorders>
      <w:tblCellMar>
        <w:top w:w="0" w:type="dxa"/>
        <w:left w:w="108" w:type="dxa"/>
        <w:bottom w:w="0" w:type="dxa"/>
        <w:right w:w="108" w:type="dxa"/>
      </w:tblCellMar>
    </w:tblPr>
    <w:tblStylePr w:type="firstRow">
      <w:rPr>
        <w:b/>
        <w:color w:val="B2A1C6"/>
      </w:rPr>
      <w:tcPr>
        <w:tcBorders>
          <w:bottom w:val="single" w:color="B2A1C6" w:sz="12" w:space="0"/>
        </w:tcBorders>
      </w:tcPr>
    </w:tblStylePr>
    <w:tblStylePr w:type="lastRow">
      <w:rPr>
        <w:b/>
        <w:color w:val="B2A1C6"/>
      </w:rPr>
    </w:tblStylePr>
    <w:tblStylePr w:type="firstCol">
      <w:rPr>
        <w:b/>
        <w:color w:val="B2A1C6"/>
      </w:rPr>
    </w:tblStylePr>
    <w:tblStylePr w:type="lastCol">
      <w:rPr>
        <w:b/>
        <w:color w:val="B2A1C6"/>
      </w:rPr>
    </w:tblStylePr>
    <w:tblStylePr w:type="band1Vert">
      <w:tcPr>
        <w:shd w:val="clear" w:color="E5DFEC" w:fill="E5DFEC"/>
      </w:tcPr>
    </w:tblStylePr>
    <w:tblStylePr w:type="band1Horz">
      <w:rPr>
        <w:rFonts w:ascii="Arial" w:hAnsi="Arial"/>
        <w:color w:val="B2A1C6"/>
        <w:sz w:val="22"/>
      </w:rPr>
      <w:tcPr>
        <w:shd w:val="clear" w:color="E5DFEC" w:fill="E5DFEC"/>
      </w:tcPr>
    </w:tblStylePr>
    <w:tblStylePr w:type="band2Horz">
      <w:rPr>
        <w:rFonts w:ascii="Arial" w:hAnsi="Arial"/>
        <w:color w:val="B2A1C6"/>
        <w:sz w:val="22"/>
      </w:rPr>
    </w:tblStylePr>
  </w:style>
  <w:style w:type="table" w:customStyle="1" w:styleId="1811">
    <w:name w:val="Grid Table 6 Colorful - Accent 59"/>
    <w:basedOn w:val="13"/>
    <w:uiPriority w:val="99"/>
    <w:rPr>
      <w:sz w:val="22"/>
      <w:szCs w:val="22"/>
      <w:lang w:eastAsia="en-US"/>
    </w:rPr>
    <w:tblPr>
      <w:tblBorders>
        <w:top w:val="single" w:color="4BACC6" w:sz="4" w:space="0"/>
        <w:left w:val="single" w:color="4BACC6" w:sz="4" w:space="0"/>
        <w:bottom w:val="single" w:color="4BACC6" w:sz="4" w:space="0"/>
        <w:right w:val="single" w:color="4BACC6" w:sz="4" w:space="0"/>
        <w:insideH w:val="single" w:color="4BACC6" w:sz="4" w:space="0"/>
        <w:insideV w:val="single" w:color="4BACC6" w:sz="4" w:space="0"/>
      </w:tblBorders>
      <w:tblCellMar>
        <w:top w:w="0" w:type="dxa"/>
        <w:left w:w="108" w:type="dxa"/>
        <w:bottom w:w="0" w:type="dxa"/>
        <w:right w:w="108" w:type="dxa"/>
      </w:tblCellMar>
    </w:tblPr>
    <w:tblStylePr w:type="firstRow">
      <w:rPr>
        <w:b/>
        <w:color w:val="266779"/>
      </w:rPr>
      <w:tcPr>
        <w:tcBorders>
          <w:bottom w:val="single" w:color="4BACC6" w:sz="12" w:space="0"/>
        </w:tcBorders>
      </w:tcPr>
    </w:tblStylePr>
    <w:tblStylePr w:type="lastRow">
      <w:rPr>
        <w:b/>
        <w:color w:val="266779"/>
      </w:rPr>
    </w:tblStylePr>
    <w:tblStylePr w:type="firstCol">
      <w:rPr>
        <w:b/>
        <w:color w:val="266779"/>
      </w:rPr>
    </w:tblStylePr>
    <w:tblStylePr w:type="lastCol">
      <w:rPr>
        <w:b/>
        <w:color w:val="266779"/>
      </w:rPr>
    </w:tblStylePr>
    <w:tblStylePr w:type="band1Vert">
      <w:tcPr>
        <w:shd w:val="clear" w:color="DAEEF3" w:fill="DAEEF3"/>
      </w:tcPr>
    </w:tblStylePr>
    <w:tblStylePr w:type="band1Horz">
      <w:rPr>
        <w:rFonts w:ascii="Arial" w:hAnsi="Arial"/>
        <w:color w:val="266779"/>
        <w:sz w:val="22"/>
      </w:rPr>
      <w:tcPr>
        <w:shd w:val="clear" w:color="DAEEF3" w:fill="DAEEF3"/>
      </w:tcPr>
    </w:tblStylePr>
    <w:tblStylePr w:type="band2Horz">
      <w:rPr>
        <w:rFonts w:ascii="Arial" w:hAnsi="Arial"/>
        <w:color w:val="266779"/>
        <w:sz w:val="22"/>
      </w:rPr>
    </w:tblStylePr>
  </w:style>
  <w:style w:type="table" w:customStyle="1" w:styleId="1812">
    <w:name w:val="Grid Table 6 Colorful - Accent 69"/>
    <w:basedOn w:val="13"/>
    <w:uiPriority w:val="99"/>
    <w:rPr>
      <w:sz w:val="22"/>
      <w:szCs w:val="22"/>
      <w:lang w:eastAsia="en-US"/>
    </w:rPr>
    <w:tblPr>
      <w:tblBorders>
        <w:top w:val="single" w:color="F79646" w:sz="4" w:space="0"/>
        <w:left w:val="single" w:color="F79646" w:sz="4" w:space="0"/>
        <w:bottom w:val="single" w:color="F79646" w:sz="4" w:space="0"/>
        <w:right w:val="single" w:color="F79646" w:sz="4" w:space="0"/>
        <w:insideH w:val="single" w:color="F79646" w:sz="4" w:space="0"/>
        <w:insideV w:val="single" w:color="F79646" w:sz="4" w:space="0"/>
      </w:tblBorders>
      <w:tblCellMar>
        <w:top w:w="0" w:type="dxa"/>
        <w:left w:w="108" w:type="dxa"/>
        <w:bottom w:w="0" w:type="dxa"/>
        <w:right w:w="108" w:type="dxa"/>
      </w:tblCellMar>
    </w:tblPr>
    <w:tblStylePr w:type="firstRow">
      <w:rPr>
        <w:b/>
        <w:color w:val="266779"/>
      </w:rPr>
      <w:tcPr>
        <w:tcBorders>
          <w:bottom w:val="single" w:color="F79646" w:sz="12" w:space="0"/>
        </w:tcBorders>
      </w:tcPr>
    </w:tblStylePr>
    <w:tblStylePr w:type="lastRow">
      <w:rPr>
        <w:b/>
        <w:color w:val="266779"/>
      </w:rPr>
    </w:tblStylePr>
    <w:tblStylePr w:type="firstCol">
      <w:rPr>
        <w:b/>
        <w:color w:val="266779"/>
      </w:rPr>
    </w:tblStylePr>
    <w:tblStylePr w:type="lastCol">
      <w:rPr>
        <w:b/>
        <w:color w:val="266779"/>
      </w:rPr>
    </w:tblStylePr>
    <w:tblStylePr w:type="band1Vert">
      <w:tcPr>
        <w:shd w:val="clear" w:color="FDE9D8" w:fill="FDE9D8"/>
      </w:tcPr>
    </w:tblStylePr>
    <w:tblStylePr w:type="band1Horz">
      <w:rPr>
        <w:rFonts w:ascii="Arial" w:hAnsi="Arial"/>
        <w:color w:val="266779"/>
        <w:sz w:val="22"/>
      </w:rPr>
      <w:tcPr>
        <w:shd w:val="clear" w:color="FDE9D8" w:fill="FDE9D8"/>
      </w:tcPr>
    </w:tblStylePr>
    <w:tblStylePr w:type="band2Horz">
      <w:rPr>
        <w:rFonts w:ascii="Arial" w:hAnsi="Arial"/>
        <w:color w:val="266779"/>
        <w:sz w:val="22"/>
      </w:rPr>
    </w:tblStylePr>
  </w:style>
  <w:style w:type="table" w:customStyle="1" w:styleId="1813">
    <w:name w:val="Таблица-сетка 7 цветная17"/>
    <w:basedOn w:val="13"/>
    <w:uiPriority w:val="99"/>
    <w:rPr>
      <w:sz w:val="22"/>
      <w:szCs w:val="22"/>
      <w:lang w:eastAsia="en-US"/>
    </w:rPr>
    <w:tblPr>
      <w:tblBorders>
        <w:bottom w:val="single" w:color="7F7F7F" w:sz="4" w:space="0"/>
        <w:right w:val="single" w:color="7F7F7F" w:sz="4" w:space="0"/>
        <w:insideH w:val="single" w:color="7F7F7F" w:sz="4" w:space="0"/>
        <w:insideV w:val="single" w:color="7F7F7F" w:sz="4" w:space="0"/>
      </w:tblBorders>
      <w:tblCellMar>
        <w:top w:w="0" w:type="dxa"/>
        <w:left w:w="108" w:type="dxa"/>
        <w:bottom w:w="0" w:type="dxa"/>
        <w:right w:w="108" w:type="dxa"/>
      </w:tblCellMar>
    </w:tblPr>
    <w:tblStylePr w:type="firstRow">
      <w:rPr>
        <w:rFonts w:ascii="Arial" w:hAnsi="Arial"/>
        <w:b/>
        <w:color w:val="7F7F7F"/>
        <w:sz w:val="22"/>
      </w:rPr>
      <w:tcPr>
        <w:tcBorders>
          <w:top w:val="nil"/>
          <w:left w:val="nil"/>
          <w:bottom w:val="single" w:color="7F7F7F" w:sz="4" w:space="0"/>
          <w:right w:val="nil"/>
        </w:tcBorders>
        <w:shd w:val="clear" w:color="FFFFFF" w:fill="FFFFFF"/>
      </w:tcPr>
    </w:tblStylePr>
    <w:tblStylePr w:type="lastRow">
      <w:rPr>
        <w:rFonts w:ascii="Arial" w:hAnsi="Arial"/>
        <w:b/>
        <w:color w:val="7F7F7F"/>
        <w:sz w:val="22"/>
      </w:rPr>
      <w:tcPr>
        <w:tcBorders>
          <w:top w:val="single" w:color="7F7F7F" w:sz="4" w:space="0"/>
          <w:left w:val="nil"/>
          <w:bottom w:val="nil"/>
          <w:right w:val="nil"/>
        </w:tcBorders>
        <w:shd w:val="clear" w:color="FFFFFF" w:fill="FFFFFF"/>
      </w:tcPr>
    </w:tblStylePr>
    <w:tblStylePr w:type="firstCol">
      <w:pPr>
        <w:jc w:val="right"/>
      </w:pPr>
      <w:rPr>
        <w:rFonts w:ascii="Arial" w:hAnsi="Arial"/>
        <w:i/>
        <w:color w:val="7F7F7F"/>
        <w:sz w:val="22"/>
      </w:rPr>
      <w:tcPr>
        <w:tcBorders>
          <w:top w:val="nil"/>
          <w:left w:val="nil"/>
          <w:bottom w:val="nil"/>
          <w:right w:val="single" w:color="7F7F7F" w:sz="4" w:space="0"/>
        </w:tcBorders>
        <w:shd w:val="clear" w:color="FFFFFF" w:fill="auto"/>
      </w:tcPr>
    </w:tblStylePr>
    <w:tblStylePr w:type="lastCol">
      <w:rPr>
        <w:rFonts w:ascii="Arial" w:hAnsi="Arial"/>
        <w:i/>
        <w:color w:val="7F7F7F"/>
        <w:sz w:val="22"/>
      </w:rPr>
      <w:tcPr>
        <w:tcBorders>
          <w:top w:val="nil"/>
          <w:left w:val="single" w:color="7F7F7F" w:sz="4" w:space="0"/>
          <w:bottom w:val="nil"/>
          <w:right w:val="nil"/>
        </w:tcBorders>
        <w:shd w:val="clear" w:color="FFFFFF" w:fill="auto"/>
      </w:tcPr>
    </w:tblStylePr>
    <w:tblStylePr w:type="band1Vert">
      <w:tcPr>
        <w:shd w:val="clear" w:color="F2F2F2" w:fill="F2F2F2"/>
      </w:tcPr>
    </w:tblStylePr>
    <w:tblStylePr w:type="band1Horz">
      <w:rPr>
        <w:rFonts w:ascii="Arial" w:hAnsi="Arial"/>
        <w:color w:val="7F7F7F"/>
        <w:sz w:val="22"/>
      </w:rPr>
      <w:tcPr>
        <w:shd w:val="clear" w:color="F2F2F2" w:fill="F2F2F2"/>
      </w:tcPr>
    </w:tblStylePr>
    <w:tblStylePr w:type="band2Horz">
      <w:rPr>
        <w:rFonts w:ascii="Arial" w:hAnsi="Arial"/>
        <w:color w:val="7F7F7F"/>
        <w:sz w:val="22"/>
      </w:rPr>
    </w:tblStylePr>
  </w:style>
  <w:style w:type="table" w:customStyle="1" w:styleId="1814">
    <w:name w:val="Grid Table 7 Colorful - Accent 19"/>
    <w:basedOn w:val="13"/>
    <w:uiPriority w:val="99"/>
    <w:rPr>
      <w:sz w:val="22"/>
      <w:szCs w:val="22"/>
      <w:lang w:eastAsia="en-US"/>
    </w:rPr>
    <w:tblPr>
      <w:tblBorders>
        <w:bottom w:val="single" w:color="A6BFDD" w:sz="4" w:space="0"/>
        <w:right w:val="single" w:color="A6BFDD" w:sz="4" w:space="0"/>
        <w:insideH w:val="single" w:color="A6BFDD" w:sz="4" w:space="0"/>
        <w:insideV w:val="single" w:color="A6BFDD" w:sz="4" w:space="0"/>
      </w:tblBorders>
      <w:tblCellMar>
        <w:top w:w="0" w:type="dxa"/>
        <w:left w:w="108" w:type="dxa"/>
        <w:bottom w:w="0" w:type="dxa"/>
        <w:right w:w="108" w:type="dxa"/>
      </w:tblCellMar>
    </w:tblPr>
    <w:tblStylePr w:type="firstRow">
      <w:rPr>
        <w:rFonts w:ascii="Arial" w:hAnsi="Arial"/>
        <w:b/>
        <w:color w:val="A6BFDD"/>
        <w:sz w:val="22"/>
      </w:rPr>
      <w:tcPr>
        <w:tcBorders>
          <w:top w:val="nil"/>
          <w:left w:val="nil"/>
          <w:bottom w:val="single" w:color="A6BFDD" w:sz="4" w:space="0"/>
          <w:right w:val="nil"/>
        </w:tcBorders>
        <w:shd w:val="clear" w:color="FFFFFF" w:fill="FFFFFF"/>
      </w:tcPr>
    </w:tblStylePr>
    <w:tblStylePr w:type="lastRow">
      <w:rPr>
        <w:rFonts w:ascii="Arial" w:hAnsi="Arial"/>
        <w:b/>
        <w:color w:val="A6BFDD"/>
        <w:sz w:val="22"/>
      </w:rPr>
      <w:tcPr>
        <w:tcBorders>
          <w:top w:val="single" w:color="A6BFDD" w:sz="4" w:space="0"/>
          <w:left w:val="nil"/>
          <w:bottom w:val="nil"/>
          <w:right w:val="nil"/>
        </w:tcBorders>
        <w:shd w:val="clear" w:color="FFFFFF" w:fill="FFFFFF"/>
      </w:tcPr>
    </w:tblStylePr>
    <w:tblStylePr w:type="firstCol">
      <w:pPr>
        <w:jc w:val="right"/>
      </w:pPr>
      <w:rPr>
        <w:rFonts w:ascii="Arial" w:hAnsi="Arial"/>
        <w:i/>
        <w:color w:val="A6BFDD"/>
        <w:sz w:val="22"/>
      </w:rPr>
      <w:tcPr>
        <w:tcBorders>
          <w:top w:val="nil"/>
          <w:left w:val="nil"/>
          <w:bottom w:val="nil"/>
          <w:right w:val="single" w:color="A6BFDD" w:sz="4" w:space="0"/>
        </w:tcBorders>
        <w:shd w:val="clear" w:color="FFFFFF" w:fill="auto"/>
      </w:tcPr>
    </w:tblStylePr>
    <w:tblStylePr w:type="lastCol">
      <w:rPr>
        <w:rFonts w:ascii="Arial" w:hAnsi="Arial"/>
        <w:i/>
        <w:color w:val="A6BFDD"/>
        <w:sz w:val="22"/>
      </w:rPr>
      <w:tcPr>
        <w:tcBorders>
          <w:top w:val="nil"/>
          <w:left w:val="single" w:color="A6BFDD" w:sz="4" w:space="0"/>
          <w:bottom w:val="nil"/>
          <w:right w:val="nil"/>
        </w:tcBorders>
        <w:shd w:val="clear" w:color="FFFFFF" w:fill="auto"/>
      </w:tcPr>
    </w:tblStylePr>
    <w:tblStylePr w:type="band1Vert">
      <w:tcPr>
        <w:shd w:val="clear" w:color="DAE5F1" w:fill="DAE5F1"/>
      </w:tcPr>
    </w:tblStylePr>
    <w:tblStylePr w:type="band1Horz">
      <w:rPr>
        <w:rFonts w:ascii="Arial" w:hAnsi="Arial"/>
        <w:color w:val="A6BFDD"/>
        <w:sz w:val="22"/>
      </w:rPr>
      <w:tcPr>
        <w:shd w:val="clear" w:color="DAE5F1" w:fill="DAE5F1"/>
      </w:tcPr>
    </w:tblStylePr>
    <w:tblStylePr w:type="band2Horz">
      <w:rPr>
        <w:rFonts w:ascii="Arial" w:hAnsi="Arial"/>
        <w:color w:val="A6BFDD"/>
        <w:sz w:val="22"/>
      </w:rPr>
    </w:tblStylePr>
  </w:style>
  <w:style w:type="table" w:customStyle="1" w:styleId="1815">
    <w:name w:val="Grid Table 7 Colorful - Accent 29"/>
    <w:basedOn w:val="13"/>
    <w:uiPriority w:val="99"/>
    <w:rPr>
      <w:sz w:val="22"/>
      <w:szCs w:val="22"/>
      <w:lang w:eastAsia="en-US"/>
    </w:rPr>
    <w:tblPr>
      <w:tblBorders>
        <w:bottom w:val="single" w:color="D99695" w:sz="4" w:space="0"/>
        <w:right w:val="single" w:color="D99695" w:sz="4" w:space="0"/>
        <w:insideH w:val="single" w:color="D99695" w:sz="4" w:space="0"/>
        <w:insideV w:val="single" w:color="D99695" w:sz="4" w:space="0"/>
      </w:tblBorders>
      <w:tblCellMar>
        <w:top w:w="0" w:type="dxa"/>
        <w:left w:w="108" w:type="dxa"/>
        <w:bottom w:w="0" w:type="dxa"/>
        <w:right w:w="108" w:type="dxa"/>
      </w:tblCellMar>
    </w:tblPr>
    <w:tblStylePr w:type="firstRow">
      <w:rPr>
        <w:rFonts w:ascii="Arial" w:hAnsi="Arial"/>
        <w:b/>
        <w:color w:val="D99695"/>
        <w:sz w:val="22"/>
      </w:rPr>
      <w:tcPr>
        <w:tcBorders>
          <w:top w:val="nil"/>
          <w:left w:val="nil"/>
          <w:bottom w:val="single" w:color="D99695" w:sz="4" w:space="0"/>
          <w:right w:val="nil"/>
        </w:tcBorders>
        <w:shd w:val="clear" w:color="FFFFFF" w:fill="FFFFFF"/>
      </w:tcPr>
    </w:tblStylePr>
    <w:tblStylePr w:type="lastRow">
      <w:rPr>
        <w:rFonts w:ascii="Arial" w:hAnsi="Arial"/>
        <w:b/>
        <w:color w:val="D99695"/>
        <w:sz w:val="22"/>
      </w:rPr>
      <w:tcPr>
        <w:tcBorders>
          <w:top w:val="single" w:color="D99695" w:sz="4" w:space="0"/>
          <w:left w:val="nil"/>
          <w:bottom w:val="nil"/>
          <w:right w:val="nil"/>
        </w:tcBorders>
        <w:shd w:val="clear" w:color="FFFFFF" w:fill="FFFFFF"/>
      </w:tcPr>
    </w:tblStylePr>
    <w:tblStylePr w:type="firstCol">
      <w:pPr>
        <w:jc w:val="right"/>
      </w:pPr>
      <w:rPr>
        <w:rFonts w:ascii="Arial" w:hAnsi="Arial"/>
        <w:i/>
        <w:color w:val="D99695"/>
        <w:sz w:val="22"/>
      </w:rPr>
      <w:tcPr>
        <w:tcBorders>
          <w:top w:val="nil"/>
          <w:left w:val="nil"/>
          <w:bottom w:val="nil"/>
          <w:right w:val="single" w:color="D99695" w:sz="4" w:space="0"/>
        </w:tcBorders>
        <w:shd w:val="clear" w:color="FFFFFF" w:fill="auto"/>
      </w:tcPr>
    </w:tblStylePr>
    <w:tblStylePr w:type="lastCol">
      <w:rPr>
        <w:rFonts w:ascii="Arial" w:hAnsi="Arial"/>
        <w:i/>
        <w:color w:val="D99695"/>
        <w:sz w:val="22"/>
      </w:rPr>
      <w:tcPr>
        <w:tcBorders>
          <w:top w:val="nil"/>
          <w:left w:val="single" w:color="D99695" w:sz="4" w:space="0"/>
          <w:bottom w:val="nil"/>
          <w:right w:val="nil"/>
        </w:tcBorders>
        <w:shd w:val="clear" w:color="FFFFFF" w:fill="auto"/>
      </w:tcPr>
    </w:tblStylePr>
    <w:tblStylePr w:type="band1Vert">
      <w:tcPr>
        <w:shd w:val="clear" w:color="F2DCDC" w:fill="F2DCDC"/>
      </w:tcPr>
    </w:tblStylePr>
    <w:tblStylePr w:type="band1Horz">
      <w:rPr>
        <w:rFonts w:ascii="Arial" w:hAnsi="Arial"/>
        <w:color w:val="D99695"/>
        <w:sz w:val="22"/>
      </w:rPr>
      <w:tcPr>
        <w:shd w:val="clear" w:color="F2DCDC" w:fill="F2DCDC"/>
      </w:tcPr>
    </w:tblStylePr>
    <w:tblStylePr w:type="band2Horz">
      <w:rPr>
        <w:rFonts w:ascii="Arial" w:hAnsi="Arial"/>
        <w:color w:val="D99695"/>
        <w:sz w:val="22"/>
      </w:rPr>
    </w:tblStylePr>
  </w:style>
  <w:style w:type="table" w:customStyle="1" w:styleId="1816">
    <w:name w:val="Grid Table 7 Colorful - Accent 39"/>
    <w:basedOn w:val="13"/>
    <w:uiPriority w:val="99"/>
    <w:rPr>
      <w:sz w:val="22"/>
      <w:szCs w:val="22"/>
      <w:lang w:eastAsia="en-US"/>
    </w:rPr>
    <w:tblPr>
      <w:tblBorders>
        <w:bottom w:val="single" w:color="9ABB59" w:sz="4" w:space="0"/>
        <w:right w:val="single" w:color="9ABB59" w:sz="4" w:space="0"/>
        <w:insideH w:val="single" w:color="9ABB59" w:sz="4" w:space="0"/>
        <w:insideV w:val="single" w:color="9ABB59" w:sz="4" w:space="0"/>
      </w:tblBorders>
      <w:tblCellMar>
        <w:top w:w="0" w:type="dxa"/>
        <w:left w:w="108" w:type="dxa"/>
        <w:bottom w:w="0" w:type="dxa"/>
        <w:right w:w="108" w:type="dxa"/>
      </w:tblCellMar>
    </w:tblPr>
    <w:tblStylePr w:type="firstRow">
      <w:rPr>
        <w:rFonts w:ascii="Arial" w:hAnsi="Arial"/>
        <w:b/>
        <w:color w:val="9ABB59"/>
        <w:sz w:val="22"/>
      </w:rPr>
      <w:tcPr>
        <w:tcBorders>
          <w:top w:val="nil"/>
          <w:left w:val="nil"/>
          <w:bottom w:val="single" w:color="9ABB59" w:sz="4" w:space="0"/>
          <w:right w:val="nil"/>
        </w:tcBorders>
        <w:shd w:val="clear" w:color="FFFFFF" w:fill="FFFFFF"/>
      </w:tcPr>
    </w:tblStylePr>
    <w:tblStylePr w:type="lastRow">
      <w:rPr>
        <w:rFonts w:ascii="Arial" w:hAnsi="Arial"/>
        <w:b/>
        <w:color w:val="9ABB59"/>
        <w:sz w:val="22"/>
      </w:rPr>
      <w:tcPr>
        <w:tcBorders>
          <w:top w:val="single" w:color="9ABB59" w:sz="4" w:space="0"/>
          <w:left w:val="nil"/>
          <w:bottom w:val="nil"/>
          <w:right w:val="nil"/>
        </w:tcBorders>
        <w:shd w:val="clear" w:color="FFFFFF" w:fill="FFFFFF"/>
      </w:tcPr>
    </w:tblStylePr>
    <w:tblStylePr w:type="firstCol">
      <w:pPr>
        <w:jc w:val="right"/>
      </w:pPr>
      <w:rPr>
        <w:rFonts w:ascii="Arial" w:hAnsi="Arial"/>
        <w:i/>
        <w:color w:val="9ABB59"/>
        <w:sz w:val="22"/>
      </w:rPr>
      <w:tcPr>
        <w:tcBorders>
          <w:top w:val="nil"/>
          <w:left w:val="nil"/>
          <w:bottom w:val="nil"/>
          <w:right w:val="single" w:color="9ABB59" w:sz="4" w:space="0"/>
        </w:tcBorders>
        <w:shd w:val="clear" w:color="FFFFFF" w:fill="auto"/>
      </w:tcPr>
    </w:tblStylePr>
    <w:tblStylePr w:type="lastCol">
      <w:rPr>
        <w:rFonts w:ascii="Arial" w:hAnsi="Arial"/>
        <w:i/>
        <w:color w:val="9ABB59"/>
        <w:sz w:val="22"/>
      </w:rPr>
      <w:tcPr>
        <w:tcBorders>
          <w:top w:val="nil"/>
          <w:left w:val="single" w:color="9ABB59" w:sz="4" w:space="0"/>
          <w:bottom w:val="nil"/>
          <w:right w:val="nil"/>
        </w:tcBorders>
        <w:shd w:val="clear" w:color="FFFFFF" w:fill="auto"/>
      </w:tcPr>
    </w:tblStylePr>
    <w:tblStylePr w:type="band1Vert">
      <w:tcPr>
        <w:shd w:val="clear" w:color="EAF1DC" w:fill="EAF1DC"/>
      </w:tcPr>
    </w:tblStylePr>
    <w:tblStylePr w:type="band1Horz">
      <w:rPr>
        <w:rFonts w:ascii="Arial" w:hAnsi="Arial"/>
        <w:color w:val="9ABB59"/>
        <w:sz w:val="22"/>
      </w:rPr>
      <w:tcPr>
        <w:shd w:val="clear" w:color="EAF1DC" w:fill="EAF1DC"/>
      </w:tcPr>
    </w:tblStylePr>
    <w:tblStylePr w:type="band2Horz">
      <w:rPr>
        <w:rFonts w:ascii="Arial" w:hAnsi="Arial"/>
        <w:color w:val="9ABB59"/>
        <w:sz w:val="22"/>
      </w:rPr>
    </w:tblStylePr>
  </w:style>
  <w:style w:type="table" w:customStyle="1" w:styleId="1817">
    <w:name w:val="Grid Table 7 Colorful - Accent 49"/>
    <w:basedOn w:val="13"/>
    <w:uiPriority w:val="99"/>
    <w:rPr>
      <w:sz w:val="22"/>
      <w:szCs w:val="22"/>
      <w:lang w:eastAsia="en-US"/>
    </w:rPr>
    <w:tblPr>
      <w:tblBorders>
        <w:bottom w:val="single" w:color="B2A1C6" w:sz="4" w:space="0"/>
        <w:right w:val="single" w:color="B2A1C6" w:sz="4" w:space="0"/>
        <w:insideH w:val="single" w:color="B2A1C6" w:sz="4" w:space="0"/>
        <w:insideV w:val="single" w:color="B2A1C6" w:sz="4" w:space="0"/>
      </w:tblBorders>
      <w:tblCellMar>
        <w:top w:w="0" w:type="dxa"/>
        <w:left w:w="108" w:type="dxa"/>
        <w:bottom w:w="0" w:type="dxa"/>
        <w:right w:w="108" w:type="dxa"/>
      </w:tblCellMar>
    </w:tblPr>
    <w:tblStylePr w:type="firstRow">
      <w:rPr>
        <w:rFonts w:ascii="Arial" w:hAnsi="Arial"/>
        <w:b/>
        <w:color w:val="B2A1C6"/>
        <w:sz w:val="22"/>
      </w:rPr>
      <w:tcPr>
        <w:tcBorders>
          <w:top w:val="nil"/>
          <w:left w:val="nil"/>
          <w:bottom w:val="single" w:color="B2A1C6" w:sz="4" w:space="0"/>
          <w:right w:val="nil"/>
        </w:tcBorders>
        <w:shd w:val="clear" w:color="FFFFFF" w:fill="FFFFFF"/>
      </w:tcPr>
    </w:tblStylePr>
    <w:tblStylePr w:type="lastRow">
      <w:rPr>
        <w:rFonts w:ascii="Arial" w:hAnsi="Arial"/>
        <w:b/>
        <w:color w:val="B2A1C6"/>
        <w:sz w:val="22"/>
      </w:rPr>
      <w:tcPr>
        <w:tcBorders>
          <w:top w:val="single" w:color="B2A1C6" w:sz="4" w:space="0"/>
          <w:left w:val="nil"/>
          <w:bottom w:val="nil"/>
          <w:right w:val="nil"/>
        </w:tcBorders>
        <w:shd w:val="clear" w:color="FFFFFF" w:fill="FFFFFF"/>
      </w:tcPr>
    </w:tblStylePr>
    <w:tblStylePr w:type="firstCol">
      <w:pPr>
        <w:jc w:val="right"/>
      </w:pPr>
      <w:rPr>
        <w:rFonts w:ascii="Arial" w:hAnsi="Arial"/>
        <w:i/>
        <w:color w:val="B2A1C6"/>
        <w:sz w:val="22"/>
      </w:rPr>
      <w:tcPr>
        <w:tcBorders>
          <w:top w:val="nil"/>
          <w:left w:val="nil"/>
          <w:bottom w:val="nil"/>
          <w:right w:val="single" w:color="B2A1C6" w:sz="4" w:space="0"/>
        </w:tcBorders>
        <w:shd w:val="clear" w:color="FFFFFF" w:fill="auto"/>
      </w:tcPr>
    </w:tblStylePr>
    <w:tblStylePr w:type="lastCol">
      <w:rPr>
        <w:rFonts w:ascii="Arial" w:hAnsi="Arial"/>
        <w:i/>
        <w:color w:val="B2A1C6"/>
        <w:sz w:val="22"/>
      </w:rPr>
      <w:tcPr>
        <w:tcBorders>
          <w:top w:val="nil"/>
          <w:left w:val="single" w:color="B2A1C6" w:sz="4" w:space="0"/>
          <w:bottom w:val="nil"/>
          <w:right w:val="nil"/>
        </w:tcBorders>
        <w:shd w:val="clear" w:color="FFFFFF" w:fill="auto"/>
      </w:tcPr>
    </w:tblStylePr>
    <w:tblStylePr w:type="band1Vert">
      <w:tcPr>
        <w:shd w:val="clear" w:color="E5DFEC" w:fill="E5DFEC"/>
      </w:tcPr>
    </w:tblStylePr>
    <w:tblStylePr w:type="band1Horz">
      <w:rPr>
        <w:rFonts w:ascii="Arial" w:hAnsi="Arial"/>
        <w:color w:val="B2A1C6"/>
        <w:sz w:val="22"/>
      </w:rPr>
      <w:tcPr>
        <w:shd w:val="clear" w:color="E5DFEC" w:fill="E5DFEC"/>
      </w:tcPr>
    </w:tblStylePr>
    <w:tblStylePr w:type="band2Horz">
      <w:rPr>
        <w:rFonts w:ascii="Arial" w:hAnsi="Arial"/>
        <w:color w:val="B2A1C6"/>
        <w:sz w:val="22"/>
      </w:rPr>
    </w:tblStylePr>
  </w:style>
  <w:style w:type="table" w:customStyle="1" w:styleId="1818">
    <w:name w:val="Grid Table 7 Colorful - Accent 59"/>
    <w:basedOn w:val="13"/>
    <w:uiPriority w:val="99"/>
    <w:rPr>
      <w:sz w:val="22"/>
      <w:szCs w:val="22"/>
      <w:lang w:eastAsia="en-US"/>
    </w:rPr>
    <w:tblPr>
      <w:tblBorders>
        <w:bottom w:val="single" w:color="99D0DE" w:sz="4" w:space="0"/>
        <w:right w:val="single" w:color="99D0DE" w:sz="4" w:space="0"/>
        <w:insideH w:val="single" w:color="99D0DE" w:sz="4" w:space="0"/>
        <w:insideV w:val="single" w:color="99D0DE" w:sz="4" w:space="0"/>
      </w:tblBorders>
      <w:tblCellMar>
        <w:top w:w="0" w:type="dxa"/>
        <w:left w:w="108" w:type="dxa"/>
        <w:bottom w:w="0" w:type="dxa"/>
        <w:right w:w="108" w:type="dxa"/>
      </w:tblCellMar>
    </w:tblPr>
    <w:tblStylePr w:type="firstRow">
      <w:rPr>
        <w:rFonts w:ascii="Arial" w:hAnsi="Arial"/>
        <w:b/>
        <w:color w:val="266779"/>
        <w:sz w:val="22"/>
      </w:rPr>
      <w:tcPr>
        <w:tcBorders>
          <w:top w:val="nil"/>
          <w:left w:val="nil"/>
          <w:bottom w:val="single" w:color="99D0DE" w:sz="4" w:space="0"/>
          <w:right w:val="nil"/>
        </w:tcBorders>
        <w:shd w:val="clear" w:color="FFFFFF" w:fill="FFFFFF"/>
      </w:tcPr>
    </w:tblStylePr>
    <w:tblStylePr w:type="lastRow">
      <w:rPr>
        <w:rFonts w:ascii="Arial" w:hAnsi="Arial"/>
        <w:b/>
        <w:color w:val="266779"/>
        <w:sz w:val="22"/>
      </w:rPr>
      <w:tcPr>
        <w:tcBorders>
          <w:top w:val="single" w:color="99D0DE" w:sz="4" w:space="0"/>
          <w:left w:val="nil"/>
          <w:bottom w:val="nil"/>
          <w:right w:val="nil"/>
        </w:tcBorders>
        <w:shd w:val="clear" w:color="FFFFFF" w:fill="FFFFFF"/>
      </w:tcPr>
    </w:tblStylePr>
    <w:tblStylePr w:type="firstCol">
      <w:pPr>
        <w:jc w:val="right"/>
      </w:pPr>
      <w:rPr>
        <w:rFonts w:ascii="Arial" w:hAnsi="Arial"/>
        <w:i/>
        <w:color w:val="266779"/>
        <w:sz w:val="22"/>
      </w:rPr>
      <w:tcPr>
        <w:tcBorders>
          <w:top w:val="nil"/>
          <w:left w:val="nil"/>
          <w:bottom w:val="nil"/>
          <w:right w:val="single" w:color="99D0DE" w:sz="4" w:space="0"/>
        </w:tcBorders>
        <w:shd w:val="clear" w:color="FFFFFF" w:fill="auto"/>
      </w:tcPr>
    </w:tblStylePr>
    <w:tblStylePr w:type="lastCol">
      <w:rPr>
        <w:rFonts w:ascii="Arial" w:hAnsi="Arial"/>
        <w:i/>
        <w:color w:val="266779"/>
        <w:sz w:val="22"/>
      </w:rPr>
      <w:tcPr>
        <w:tcBorders>
          <w:top w:val="nil"/>
          <w:left w:val="single" w:color="99D0DE" w:sz="4" w:space="0"/>
          <w:bottom w:val="nil"/>
          <w:right w:val="nil"/>
        </w:tcBorders>
        <w:shd w:val="clear" w:color="FFFFFF" w:fill="auto"/>
      </w:tcPr>
    </w:tblStylePr>
    <w:tblStylePr w:type="band1Vert">
      <w:tcPr>
        <w:shd w:val="clear" w:color="DAEEF3" w:fill="DAEEF3"/>
      </w:tcPr>
    </w:tblStylePr>
    <w:tblStylePr w:type="band1Horz">
      <w:rPr>
        <w:rFonts w:ascii="Arial" w:hAnsi="Arial"/>
        <w:color w:val="266779"/>
        <w:sz w:val="22"/>
      </w:rPr>
      <w:tcPr>
        <w:shd w:val="clear" w:color="DAEEF3" w:fill="DAEEF3"/>
      </w:tcPr>
    </w:tblStylePr>
    <w:tblStylePr w:type="band2Horz">
      <w:rPr>
        <w:rFonts w:ascii="Arial" w:hAnsi="Arial"/>
        <w:color w:val="266779"/>
        <w:sz w:val="22"/>
      </w:rPr>
    </w:tblStylePr>
  </w:style>
  <w:style w:type="table" w:customStyle="1" w:styleId="1819">
    <w:name w:val="Grid Table 7 Colorful - Accent 69"/>
    <w:basedOn w:val="13"/>
    <w:uiPriority w:val="99"/>
    <w:rPr>
      <w:sz w:val="22"/>
      <w:szCs w:val="22"/>
      <w:lang w:eastAsia="en-US"/>
    </w:rPr>
    <w:tblPr>
      <w:tblBorders>
        <w:bottom w:val="single" w:color="FAC396" w:sz="4" w:space="0"/>
        <w:right w:val="single" w:color="FAC396" w:sz="4" w:space="0"/>
        <w:insideH w:val="single" w:color="FAC396" w:sz="4" w:space="0"/>
        <w:insideV w:val="single" w:color="FAC396" w:sz="4" w:space="0"/>
      </w:tblBorders>
      <w:tblCellMar>
        <w:top w:w="0" w:type="dxa"/>
        <w:left w:w="108" w:type="dxa"/>
        <w:bottom w:w="0" w:type="dxa"/>
        <w:right w:w="108" w:type="dxa"/>
      </w:tblCellMar>
    </w:tblPr>
    <w:tblStylePr w:type="firstRow">
      <w:rPr>
        <w:rFonts w:ascii="Arial" w:hAnsi="Arial"/>
        <w:b/>
        <w:color w:val="B15407"/>
        <w:sz w:val="22"/>
      </w:rPr>
      <w:tcPr>
        <w:tcBorders>
          <w:top w:val="nil"/>
          <w:left w:val="nil"/>
          <w:bottom w:val="single" w:color="FAC396" w:sz="4" w:space="0"/>
          <w:right w:val="nil"/>
        </w:tcBorders>
        <w:shd w:val="clear" w:color="FFFFFF" w:fill="FFFFFF"/>
      </w:tcPr>
    </w:tblStylePr>
    <w:tblStylePr w:type="lastRow">
      <w:rPr>
        <w:rFonts w:ascii="Arial" w:hAnsi="Arial"/>
        <w:b/>
        <w:color w:val="B15407"/>
        <w:sz w:val="22"/>
      </w:rPr>
      <w:tcPr>
        <w:tcBorders>
          <w:top w:val="single" w:color="FAC396" w:sz="4" w:space="0"/>
          <w:left w:val="nil"/>
          <w:bottom w:val="nil"/>
          <w:right w:val="nil"/>
        </w:tcBorders>
        <w:shd w:val="clear" w:color="FFFFFF" w:fill="FFFFFF"/>
      </w:tcPr>
    </w:tblStylePr>
    <w:tblStylePr w:type="firstCol">
      <w:pPr>
        <w:jc w:val="right"/>
      </w:pPr>
      <w:rPr>
        <w:rFonts w:ascii="Arial" w:hAnsi="Arial"/>
        <w:i/>
        <w:color w:val="B15407"/>
        <w:sz w:val="22"/>
      </w:rPr>
      <w:tcPr>
        <w:tcBorders>
          <w:top w:val="nil"/>
          <w:left w:val="nil"/>
          <w:bottom w:val="nil"/>
          <w:right w:val="single" w:color="FAC396" w:sz="4" w:space="0"/>
        </w:tcBorders>
        <w:shd w:val="clear" w:color="FFFFFF" w:fill="auto"/>
      </w:tcPr>
    </w:tblStylePr>
    <w:tblStylePr w:type="lastCol">
      <w:rPr>
        <w:rFonts w:ascii="Arial" w:hAnsi="Arial"/>
        <w:i/>
        <w:color w:val="B15407"/>
        <w:sz w:val="22"/>
      </w:rPr>
      <w:tcPr>
        <w:tcBorders>
          <w:top w:val="nil"/>
          <w:left w:val="single" w:color="FAC396" w:sz="4" w:space="0"/>
          <w:bottom w:val="nil"/>
          <w:right w:val="nil"/>
        </w:tcBorders>
        <w:shd w:val="clear" w:color="FFFFFF" w:fill="auto"/>
      </w:tcPr>
    </w:tblStylePr>
    <w:tblStylePr w:type="band1Vert">
      <w:tcPr>
        <w:shd w:val="clear" w:color="FDE9D8" w:fill="FDE9D8"/>
      </w:tcPr>
    </w:tblStylePr>
    <w:tblStylePr w:type="band1Horz">
      <w:rPr>
        <w:rFonts w:ascii="Arial" w:hAnsi="Arial"/>
        <w:color w:val="B15407"/>
        <w:sz w:val="22"/>
      </w:rPr>
      <w:tcPr>
        <w:shd w:val="clear" w:color="FDE9D8" w:fill="FDE9D8"/>
      </w:tcPr>
    </w:tblStylePr>
    <w:tblStylePr w:type="band2Horz">
      <w:rPr>
        <w:rFonts w:ascii="Arial" w:hAnsi="Arial"/>
        <w:color w:val="B15407"/>
        <w:sz w:val="22"/>
      </w:rPr>
    </w:tblStylePr>
  </w:style>
  <w:style w:type="table" w:customStyle="1" w:styleId="1820">
    <w:name w:val="Список-таблица 1 светлая17"/>
    <w:basedOn w:val="13"/>
    <w:uiPriority w:val="99"/>
    <w:rPr>
      <w:sz w:val="22"/>
      <w:szCs w:val="22"/>
      <w:lang w:eastAsia="en-US"/>
    </w:rPr>
    <w:tblPr>
      <w:tblCellMar>
        <w:top w:w="0" w:type="dxa"/>
        <w:left w:w="108" w:type="dxa"/>
        <w:bottom w:w="0" w:type="dxa"/>
        <w:right w:w="108" w:type="dxa"/>
      </w:tblCellMar>
    </w:tblPr>
    <w:tblStylePr w:type="firstRow">
      <w:rPr>
        <w:b/>
        <w:color w:val="404040"/>
      </w:rPr>
      <w:tcPr>
        <w:tcBorders>
          <w:top w:val="nil"/>
          <w:left w:val="nil"/>
          <w:bottom w:val="single" w:color="000000" w:sz="4" w:space="0"/>
          <w:right w:val="nil"/>
        </w:tcBorders>
      </w:tcPr>
    </w:tblStylePr>
    <w:tblStylePr w:type="lastRow">
      <w:rPr>
        <w:b/>
        <w:color w:val="404040"/>
      </w:rPr>
      <w:tcPr>
        <w:tcBorders>
          <w:top w:val="single" w:color="000000" w:sz="4" w:space="0"/>
          <w:left w:val="nil"/>
          <w:bottom w:val="nil"/>
          <w:right w:val="nil"/>
        </w:tcBorders>
      </w:tcPr>
    </w:tblStylePr>
    <w:tblStylePr w:type="firstCol">
      <w:rPr>
        <w:b/>
        <w:color w:val="404040"/>
      </w:rPr>
    </w:tblStylePr>
    <w:tblStylePr w:type="lastCol">
      <w:rPr>
        <w:b/>
        <w:color w:val="404040"/>
      </w:rPr>
    </w:tblStylePr>
    <w:tblStylePr w:type="band1Vert">
      <w:tcPr>
        <w:shd w:val="clear" w:color="BFBFBF" w:fill="BFBFBF"/>
      </w:tcPr>
    </w:tblStylePr>
    <w:tblStylePr w:type="band1Horz">
      <w:tcPr>
        <w:shd w:val="clear" w:color="BFBFBF" w:fill="BFBFBF"/>
      </w:tcPr>
    </w:tblStylePr>
  </w:style>
  <w:style w:type="table" w:customStyle="1" w:styleId="1821">
    <w:name w:val="List Table 1 Light - Accent 19"/>
    <w:basedOn w:val="13"/>
    <w:uiPriority w:val="99"/>
    <w:rPr>
      <w:sz w:val="22"/>
      <w:szCs w:val="22"/>
      <w:lang w:eastAsia="en-US"/>
    </w:rPr>
    <w:tblPr>
      <w:tblCellMar>
        <w:top w:w="0" w:type="dxa"/>
        <w:left w:w="108" w:type="dxa"/>
        <w:bottom w:w="0" w:type="dxa"/>
        <w:right w:w="108" w:type="dxa"/>
      </w:tblCellMar>
    </w:tblPr>
    <w:tblStylePr w:type="firstRow">
      <w:rPr>
        <w:b/>
        <w:color w:val="404040"/>
      </w:rPr>
      <w:tcPr>
        <w:tcBorders>
          <w:top w:val="nil"/>
          <w:left w:val="nil"/>
          <w:bottom w:val="single" w:color="4F81BD" w:sz="4" w:space="0"/>
          <w:right w:val="nil"/>
        </w:tcBorders>
      </w:tcPr>
    </w:tblStylePr>
    <w:tblStylePr w:type="lastRow">
      <w:rPr>
        <w:b/>
        <w:color w:val="404040"/>
      </w:rPr>
      <w:tcPr>
        <w:tcBorders>
          <w:top w:val="single" w:color="4F81BD" w:sz="4" w:space="0"/>
          <w:left w:val="nil"/>
          <w:bottom w:val="nil"/>
          <w:right w:val="nil"/>
        </w:tcBorders>
      </w:tcPr>
    </w:tblStylePr>
    <w:tblStylePr w:type="firstCol">
      <w:rPr>
        <w:b/>
        <w:color w:val="404040"/>
      </w:rPr>
    </w:tblStylePr>
    <w:tblStylePr w:type="lastCol">
      <w:rPr>
        <w:b/>
        <w:color w:val="404040"/>
      </w:rPr>
    </w:tblStylePr>
    <w:tblStylePr w:type="band1Vert">
      <w:tcPr>
        <w:shd w:val="clear" w:color="D2DFEE" w:fill="D2DFEE"/>
      </w:tcPr>
    </w:tblStylePr>
    <w:tblStylePr w:type="band1Horz">
      <w:tcPr>
        <w:shd w:val="clear" w:color="D2DFEE" w:fill="D2DFEE"/>
      </w:tcPr>
    </w:tblStylePr>
  </w:style>
  <w:style w:type="table" w:customStyle="1" w:styleId="1822">
    <w:name w:val="List Table 1 Light - Accent 29"/>
    <w:basedOn w:val="13"/>
    <w:uiPriority w:val="99"/>
    <w:rPr>
      <w:sz w:val="22"/>
      <w:szCs w:val="22"/>
      <w:lang w:eastAsia="en-US"/>
    </w:rPr>
    <w:tblPr>
      <w:tblCellMar>
        <w:top w:w="0" w:type="dxa"/>
        <w:left w:w="108" w:type="dxa"/>
        <w:bottom w:w="0" w:type="dxa"/>
        <w:right w:w="108" w:type="dxa"/>
      </w:tblCellMar>
    </w:tblPr>
    <w:tblStylePr w:type="firstRow">
      <w:rPr>
        <w:b/>
        <w:color w:val="404040"/>
      </w:rPr>
      <w:tcPr>
        <w:tcBorders>
          <w:top w:val="nil"/>
          <w:left w:val="nil"/>
          <w:bottom w:val="single" w:color="C0504D" w:sz="4" w:space="0"/>
          <w:right w:val="nil"/>
        </w:tcBorders>
      </w:tcPr>
    </w:tblStylePr>
    <w:tblStylePr w:type="lastRow">
      <w:rPr>
        <w:b/>
        <w:color w:val="404040"/>
      </w:rPr>
      <w:tcPr>
        <w:tcBorders>
          <w:top w:val="single" w:color="C0504D" w:sz="4" w:space="0"/>
          <w:left w:val="nil"/>
          <w:bottom w:val="nil"/>
          <w:right w:val="nil"/>
        </w:tcBorders>
      </w:tcPr>
    </w:tblStylePr>
    <w:tblStylePr w:type="firstCol">
      <w:rPr>
        <w:b/>
        <w:color w:val="404040"/>
      </w:rPr>
    </w:tblStylePr>
    <w:tblStylePr w:type="lastCol">
      <w:rPr>
        <w:b/>
        <w:color w:val="404040"/>
      </w:rPr>
    </w:tblStylePr>
    <w:tblStylePr w:type="band1Vert">
      <w:tcPr>
        <w:shd w:val="clear" w:color="EFD2D2" w:fill="EFD2D2"/>
      </w:tcPr>
    </w:tblStylePr>
    <w:tblStylePr w:type="band1Horz">
      <w:tcPr>
        <w:shd w:val="clear" w:color="EFD2D2" w:fill="EFD2D2"/>
      </w:tcPr>
    </w:tblStylePr>
  </w:style>
  <w:style w:type="table" w:customStyle="1" w:styleId="1823">
    <w:name w:val="List Table 1 Light - Accent 39"/>
    <w:basedOn w:val="13"/>
    <w:uiPriority w:val="99"/>
    <w:rPr>
      <w:sz w:val="22"/>
      <w:szCs w:val="22"/>
      <w:lang w:eastAsia="en-US"/>
    </w:rPr>
    <w:tblPr>
      <w:tblCellMar>
        <w:top w:w="0" w:type="dxa"/>
        <w:left w:w="108" w:type="dxa"/>
        <w:bottom w:w="0" w:type="dxa"/>
        <w:right w:w="108" w:type="dxa"/>
      </w:tblCellMar>
    </w:tblPr>
    <w:tblStylePr w:type="firstRow">
      <w:rPr>
        <w:b/>
        <w:color w:val="404040"/>
      </w:rPr>
      <w:tcPr>
        <w:tcBorders>
          <w:top w:val="nil"/>
          <w:left w:val="nil"/>
          <w:bottom w:val="single" w:color="9BBB59" w:sz="4" w:space="0"/>
          <w:right w:val="nil"/>
        </w:tcBorders>
      </w:tcPr>
    </w:tblStylePr>
    <w:tblStylePr w:type="lastRow">
      <w:rPr>
        <w:b/>
        <w:color w:val="404040"/>
      </w:rPr>
      <w:tcPr>
        <w:tcBorders>
          <w:top w:val="single" w:color="9BBB59" w:sz="4" w:space="0"/>
          <w:left w:val="nil"/>
          <w:bottom w:val="nil"/>
          <w:right w:val="nil"/>
        </w:tcBorders>
      </w:tcPr>
    </w:tblStylePr>
    <w:tblStylePr w:type="firstCol">
      <w:rPr>
        <w:b/>
        <w:color w:val="404040"/>
      </w:rPr>
    </w:tblStylePr>
    <w:tblStylePr w:type="lastCol">
      <w:rPr>
        <w:b/>
        <w:color w:val="404040"/>
      </w:rPr>
    </w:tblStylePr>
    <w:tblStylePr w:type="band1Vert">
      <w:tcPr>
        <w:shd w:val="clear" w:color="E5EED5" w:fill="E5EED5"/>
      </w:tcPr>
    </w:tblStylePr>
    <w:tblStylePr w:type="band1Horz">
      <w:tcPr>
        <w:shd w:val="clear" w:color="E5EED5" w:fill="E5EED5"/>
      </w:tcPr>
    </w:tblStylePr>
  </w:style>
  <w:style w:type="table" w:customStyle="1" w:styleId="1824">
    <w:name w:val="List Table 1 Light - Accent 49"/>
    <w:basedOn w:val="13"/>
    <w:uiPriority w:val="99"/>
    <w:rPr>
      <w:sz w:val="22"/>
      <w:szCs w:val="22"/>
      <w:lang w:eastAsia="en-US"/>
    </w:rPr>
    <w:tblPr>
      <w:tblCellMar>
        <w:top w:w="0" w:type="dxa"/>
        <w:left w:w="108" w:type="dxa"/>
        <w:bottom w:w="0" w:type="dxa"/>
        <w:right w:w="108" w:type="dxa"/>
      </w:tblCellMar>
    </w:tblPr>
    <w:tblStylePr w:type="firstRow">
      <w:rPr>
        <w:b/>
        <w:color w:val="404040"/>
      </w:rPr>
      <w:tcPr>
        <w:tcBorders>
          <w:top w:val="nil"/>
          <w:left w:val="nil"/>
          <w:bottom w:val="single" w:color="8064A2" w:sz="4" w:space="0"/>
          <w:right w:val="nil"/>
        </w:tcBorders>
      </w:tcPr>
    </w:tblStylePr>
    <w:tblStylePr w:type="lastRow">
      <w:rPr>
        <w:b/>
        <w:color w:val="404040"/>
      </w:rPr>
      <w:tcPr>
        <w:tcBorders>
          <w:top w:val="single" w:color="8064A2" w:sz="4" w:space="0"/>
          <w:left w:val="nil"/>
          <w:bottom w:val="nil"/>
          <w:right w:val="nil"/>
        </w:tcBorders>
      </w:tcPr>
    </w:tblStylePr>
    <w:tblStylePr w:type="firstCol">
      <w:rPr>
        <w:b/>
        <w:color w:val="404040"/>
      </w:rPr>
    </w:tblStylePr>
    <w:tblStylePr w:type="lastCol">
      <w:rPr>
        <w:b/>
        <w:color w:val="404040"/>
      </w:rPr>
    </w:tblStylePr>
    <w:tblStylePr w:type="band1Vert">
      <w:tcPr>
        <w:shd w:val="clear" w:color="DFD8E7" w:fill="DFD8E7"/>
      </w:tcPr>
    </w:tblStylePr>
    <w:tblStylePr w:type="band1Horz">
      <w:tcPr>
        <w:shd w:val="clear" w:color="DFD8E7" w:fill="DFD8E7"/>
      </w:tcPr>
    </w:tblStylePr>
  </w:style>
  <w:style w:type="table" w:customStyle="1" w:styleId="1825">
    <w:name w:val="List Table 1 Light - Accent 59"/>
    <w:basedOn w:val="13"/>
    <w:uiPriority w:val="99"/>
    <w:rPr>
      <w:sz w:val="22"/>
      <w:szCs w:val="22"/>
      <w:lang w:eastAsia="en-US"/>
    </w:rPr>
    <w:tblPr>
      <w:tblCellMar>
        <w:top w:w="0" w:type="dxa"/>
        <w:left w:w="108" w:type="dxa"/>
        <w:bottom w:w="0" w:type="dxa"/>
        <w:right w:w="108" w:type="dxa"/>
      </w:tblCellMar>
    </w:tblPr>
    <w:tblStylePr w:type="firstRow">
      <w:rPr>
        <w:b/>
        <w:color w:val="404040"/>
      </w:rPr>
      <w:tcPr>
        <w:tcBorders>
          <w:top w:val="nil"/>
          <w:left w:val="nil"/>
          <w:bottom w:val="single" w:color="4BACC6" w:sz="4" w:space="0"/>
          <w:right w:val="nil"/>
        </w:tcBorders>
      </w:tcPr>
    </w:tblStylePr>
    <w:tblStylePr w:type="lastRow">
      <w:rPr>
        <w:b/>
        <w:color w:val="404040"/>
      </w:rPr>
      <w:tcPr>
        <w:tcBorders>
          <w:top w:val="single" w:color="4BACC6" w:sz="4" w:space="0"/>
          <w:left w:val="nil"/>
          <w:bottom w:val="nil"/>
          <w:right w:val="nil"/>
        </w:tcBorders>
      </w:tcPr>
    </w:tblStylePr>
    <w:tblStylePr w:type="firstCol">
      <w:rPr>
        <w:b/>
        <w:color w:val="404040"/>
      </w:rPr>
    </w:tblStylePr>
    <w:tblStylePr w:type="lastCol">
      <w:rPr>
        <w:b/>
        <w:color w:val="404040"/>
      </w:rPr>
    </w:tblStylePr>
    <w:tblStylePr w:type="band1Vert">
      <w:tcPr>
        <w:shd w:val="clear" w:color="D1EAF0" w:fill="D1EAF0"/>
      </w:tcPr>
    </w:tblStylePr>
    <w:tblStylePr w:type="band1Horz">
      <w:tcPr>
        <w:shd w:val="clear" w:color="D1EAF0" w:fill="D1EAF0"/>
      </w:tcPr>
    </w:tblStylePr>
  </w:style>
  <w:style w:type="table" w:customStyle="1" w:styleId="1826">
    <w:name w:val="List Table 1 Light - Accent 69"/>
    <w:basedOn w:val="13"/>
    <w:uiPriority w:val="99"/>
    <w:rPr>
      <w:sz w:val="22"/>
      <w:szCs w:val="22"/>
      <w:lang w:eastAsia="en-US"/>
    </w:rPr>
    <w:tblPr>
      <w:tblCellMar>
        <w:top w:w="0" w:type="dxa"/>
        <w:left w:w="108" w:type="dxa"/>
        <w:bottom w:w="0" w:type="dxa"/>
        <w:right w:w="108" w:type="dxa"/>
      </w:tblCellMar>
    </w:tblPr>
    <w:tblStylePr w:type="firstRow">
      <w:rPr>
        <w:b/>
        <w:color w:val="404040"/>
      </w:rPr>
      <w:tcPr>
        <w:tcBorders>
          <w:top w:val="nil"/>
          <w:left w:val="nil"/>
          <w:bottom w:val="single" w:color="F79646" w:sz="4" w:space="0"/>
          <w:right w:val="nil"/>
        </w:tcBorders>
      </w:tcPr>
    </w:tblStylePr>
    <w:tblStylePr w:type="lastRow">
      <w:rPr>
        <w:b/>
        <w:color w:val="404040"/>
      </w:rPr>
      <w:tcPr>
        <w:tcBorders>
          <w:top w:val="single" w:color="F79646" w:sz="4" w:space="0"/>
          <w:left w:val="nil"/>
          <w:bottom w:val="nil"/>
          <w:right w:val="nil"/>
        </w:tcBorders>
      </w:tcPr>
    </w:tblStylePr>
    <w:tblStylePr w:type="firstCol">
      <w:rPr>
        <w:b/>
        <w:color w:val="404040"/>
      </w:rPr>
    </w:tblStylePr>
    <w:tblStylePr w:type="lastCol">
      <w:rPr>
        <w:b/>
        <w:color w:val="404040"/>
      </w:rPr>
    </w:tblStylePr>
    <w:tblStylePr w:type="band1Vert">
      <w:tcPr>
        <w:shd w:val="clear" w:color="FDE4D0" w:fill="FDE4D0"/>
      </w:tcPr>
    </w:tblStylePr>
    <w:tblStylePr w:type="band1Horz">
      <w:tcPr>
        <w:shd w:val="clear" w:color="FDE4D0" w:fill="FDE4D0"/>
      </w:tcPr>
    </w:tblStylePr>
  </w:style>
  <w:style w:type="table" w:customStyle="1" w:styleId="1827">
    <w:name w:val="Список-таблица 217"/>
    <w:basedOn w:val="13"/>
    <w:uiPriority w:val="99"/>
    <w:rPr>
      <w:sz w:val="22"/>
      <w:szCs w:val="22"/>
      <w:lang w:eastAsia="en-US"/>
    </w:rPr>
    <w:tblPr>
      <w:tblBorders>
        <w:top w:val="single" w:color="6F6F6F" w:sz="4" w:space="0"/>
        <w:bottom w:val="single" w:color="6F6F6F" w:sz="4" w:space="0"/>
        <w:insideH w:val="single" w:color="6F6F6F" w:sz="4" w:space="0"/>
      </w:tblBorders>
      <w:tblCellMar>
        <w:top w:w="0" w:type="dxa"/>
        <w:left w:w="108" w:type="dxa"/>
        <w:bottom w:w="0" w:type="dxa"/>
        <w:right w:w="108" w:type="dxa"/>
      </w:tblCellMar>
    </w:tblPr>
    <w:tblStylePr w:type="firstRow">
      <w:rPr>
        <w:rFonts w:ascii="Arial" w:hAnsi="Arial"/>
        <w:b/>
        <w:color w:val="404040"/>
        <w:sz w:val="22"/>
      </w:rPr>
      <w:tcPr>
        <w:tcBorders>
          <w:top w:val="single" w:color="6F6F6F" w:sz="4" w:space="0"/>
          <w:left w:val="nil"/>
          <w:bottom w:val="single" w:color="6F6F6F" w:sz="4" w:space="0"/>
          <w:right w:val="nil"/>
        </w:tcBorders>
      </w:tcPr>
    </w:tblStylePr>
    <w:tblStylePr w:type="lastRow">
      <w:rPr>
        <w:rFonts w:ascii="Arial" w:hAnsi="Arial"/>
        <w:b/>
        <w:color w:val="404040"/>
        <w:sz w:val="22"/>
      </w:rPr>
      <w:tcPr>
        <w:tcBorders>
          <w:top w:val="single" w:color="6F6F6F" w:sz="4" w:space="0"/>
          <w:left w:val="nil"/>
          <w:bottom w:val="single" w:color="6F6F6F"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BFBFBF" w:fill="BFBFBF"/>
      </w:tcPr>
    </w:tblStylePr>
    <w:tblStylePr w:type="band1Horz">
      <w:rPr>
        <w:rFonts w:ascii="Arial" w:hAnsi="Arial"/>
        <w:color w:val="404040"/>
        <w:sz w:val="22"/>
      </w:rPr>
      <w:tcPr>
        <w:shd w:val="clear" w:color="BFBFBF" w:fill="BFBFBF"/>
      </w:tcPr>
    </w:tblStylePr>
  </w:style>
  <w:style w:type="table" w:customStyle="1" w:styleId="1828">
    <w:name w:val="List Table 2 - Accent 19"/>
    <w:basedOn w:val="13"/>
    <w:uiPriority w:val="99"/>
    <w:rPr>
      <w:sz w:val="22"/>
      <w:szCs w:val="22"/>
      <w:lang w:eastAsia="en-US"/>
    </w:rPr>
    <w:tblPr>
      <w:tblBorders>
        <w:top w:val="single" w:color="9BB7D9" w:sz="4" w:space="0"/>
        <w:bottom w:val="single" w:color="9BB7D9" w:sz="4" w:space="0"/>
        <w:insideH w:val="single" w:color="9BB7D9" w:sz="4" w:space="0"/>
      </w:tblBorders>
      <w:tblCellMar>
        <w:top w:w="0" w:type="dxa"/>
        <w:left w:w="108" w:type="dxa"/>
        <w:bottom w:w="0" w:type="dxa"/>
        <w:right w:w="108" w:type="dxa"/>
      </w:tblCellMar>
    </w:tblPr>
    <w:tblStylePr w:type="firstRow">
      <w:rPr>
        <w:rFonts w:ascii="Arial" w:hAnsi="Arial"/>
        <w:b/>
        <w:color w:val="404040"/>
        <w:sz w:val="22"/>
      </w:rPr>
      <w:tcPr>
        <w:tcBorders>
          <w:top w:val="single" w:color="9BB7D9" w:sz="4" w:space="0"/>
          <w:left w:val="nil"/>
          <w:bottom w:val="single" w:color="9BB7D9" w:sz="4" w:space="0"/>
          <w:right w:val="nil"/>
        </w:tcBorders>
      </w:tcPr>
    </w:tblStylePr>
    <w:tblStylePr w:type="lastRow">
      <w:rPr>
        <w:rFonts w:ascii="Arial" w:hAnsi="Arial"/>
        <w:b/>
        <w:color w:val="404040"/>
        <w:sz w:val="22"/>
      </w:rPr>
      <w:tcPr>
        <w:tcBorders>
          <w:top w:val="single" w:color="9BB7D9" w:sz="4" w:space="0"/>
          <w:left w:val="nil"/>
          <w:bottom w:val="single" w:color="9BB7D9"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D2DFEE" w:fill="D2DFEE"/>
      </w:tcPr>
    </w:tblStylePr>
    <w:tblStylePr w:type="band1Horz">
      <w:rPr>
        <w:rFonts w:ascii="Arial" w:hAnsi="Arial"/>
        <w:color w:val="404040"/>
        <w:sz w:val="22"/>
      </w:rPr>
      <w:tcPr>
        <w:shd w:val="clear" w:color="D2DFEE" w:fill="D2DFEE"/>
      </w:tcPr>
    </w:tblStylePr>
  </w:style>
  <w:style w:type="table" w:customStyle="1" w:styleId="1829">
    <w:name w:val="List Table 2 - Accent 29"/>
    <w:basedOn w:val="13"/>
    <w:uiPriority w:val="99"/>
    <w:rPr>
      <w:sz w:val="22"/>
      <w:szCs w:val="22"/>
      <w:lang w:eastAsia="en-US"/>
    </w:rPr>
    <w:tblPr>
      <w:tblBorders>
        <w:top w:val="single" w:color="DB9B9A" w:sz="4" w:space="0"/>
        <w:bottom w:val="single" w:color="DB9B9A" w:sz="4" w:space="0"/>
        <w:insideH w:val="single" w:color="DB9B9A" w:sz="4" w:space="0"/>
      </w:tblBorders>
      <w:tblCellMar>
        <w:top w:w="0" w:type="dxa"/>
        <w:left w:w="108" w:type="dxa"/>
        <w:bottom w:w="0" w:type="dxa"/>
        <w:right w:w="108" w:type="dxa"/>
      </w:tblCellMar>
    </w:tblPr>
    <w:tblStylePr w:type="firstRow">
      <w:rPr>
        <w:rFonts w:ascii="Arial" w:hAnsi="Arial"/>
        <w:b/>
        <w:color w:val="404040"/>
        <w:sz w:val="22"/>
      </w:rPr>
      <w:tcPr>
        <w:tcBorders>
          <w:top w:val="single" w:color="DB9B9A" w:sz="4" w:space="0"/>
          <w:left w:val="nil"/>
          <w:bottom w:val="single" w:color="DB9B9A" w:sz="4" w:space="0"/>
          <w:right w:val="nil"/>
        </w:tcBorders>
      </w:tcPr>
    </w:tblStylePr>
    <w:tblStylePr w:type="lastRow">
      <w:rPr>
        <w:rFonts w:ascii="Arial" w:hAnsi="Arial"/>
        <w:b/>
        <w:color w:val="404040"/>
        <w:sz w:val="22"/>
      </w:rPr>
      <w:tcPr>
        <w:tcBorders>
          <w:top w:val="single" w:color="DB9B9A" w:sz="4" w:space="0"/>
          <w:left w:val="nil"/>
          <w:bottom w:val="single" w:color="DB9B9A"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EFD2D2" w:fill="EFD2D2"/>
      </w:tcPr>
    </w:tblStylePr>
    <w:tblStylePr w:type="band1Horz">
      <w:rPr>
        <w:rFonts w:ascii="Arial" w:hAnsi="Arial"/>
        <w:color w:val="404040"/>
        <w:sz w:val="22"/>
      </w:rPr>
      <w:tcPr>
        <w:shd w:val="clear" w:color="EFD2D2" w:fill="EFD2D2"/>
      </w:tcPr>
    </w:tblStylePr>
  </w:style>
  <w:style w:type="table" w:customStyle="1" w:styleId="1830">
    <w:name w:val="List Table 2 - Accent 39"/>
    <w:basedOn w:val="13"/>
    <w:uiPriority w:val="99"/>
    <w:rPr>
      <w:sz w:val="22"/>
      <w:szCs w:val="22"/>
      <w:lang w:eastAsia="en-US"/>
    </w:rPr>
    <w:tblPr>
      <w:tblBorders>
        <w:top w:val="single" w:color="C6D8A1" w:sz="4" w:space="0"/>
        <w:bottom w:val="single" w:color="C6D8A1" w:sz="4" w:space="0"/>
        <w:insideH w:val="single" w:color="C6D8A1" w:sz="4" w:space="0"/>
      </w:tblBorders>
      <w:tblCellMar>
        <w:top w:w="0" w:type="dxa"/>
        <w:left w:w="108" w:type="dxa"/>
        <w:bottom w:w="0" w:type="dxa"/>
        <w:right w:w="108" w:type="dxa"/>
      </w:tblCellMar>
    </w:tblPr>
    <w:tblStylePr w:type="firstRow">
      <w:rPr>
        <w:rFonts w:ascii="Arial" w:hAnsi="Arial"/>
        <w:b/>
        <w:color w:val="404040"/>
        <w:sz w:val="22"/>
      </w:rPr>
      <w:tcPr>
        <w:tcBorders>
          <w:top w:val="single" w:color="C6D8A1" w:sz="4" w:space="0"/>
          <w:left w:val="nil"/>
          <w:bottom w:val="single" w:color="C6D8A1" w:sz="4" w:space="0"/>
          <w:right w:val="nil"/>
        </w:tcBorders>
      </w:tcPr>
    </w:tblStylePr>
    <w:tblStylePr w:type="lastRow">
      <w:rPr>
        <w:rFonts w:ascii="Arial" w:hAnsi="Arial"/>
        <w:b/>
        <w:color w:val="404040"/>
        <w:sz w:val="22"/>
      </w:rPr>
      <w:tcPr>
        <w:tcBorders>
          <w:top w:val="single" w:color="C6D8A1" w:sz="4" w:space="0"/>
          <w:left w:val="nil"/>
          <w:bottom w:val="single" w:color="C6D8A1"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E5EED5" w:fill="E5EED5"/>
      </w:tcPr>
    </w:tblStylePr>
    <w:tblStylePr w:type="band1Horz">
      <w:rPr>
        <w:rFonts w:ascii="Arial" w:hAnsi="Arial"/>
        <w:color w:val="404040"/>
        <w:sz w:val="22"/>
      </w:rPr>
      <w:tcPr>
        <w:shd w:val="clear" w:color="E5EED5" w:fill="E5EED5"/>
      </w:tcPr>
    </w:tblStylePr>
  </w:style>
  <w:style w:type="table" w:customStyle="1" w:styleId="1831">
    <w:name w:val="List Table 2 - Accent 49"/>
    <w:basedOn w:val="13"/>
    <w:uiPriority w:val="99"/>
    <w:rPr>
      <w:sz w:val="22"/>
      <w:szCs w:val="22"/>
      <w:lang w:eastAsia="en-US"/>
    </w:rPr>
    <w:tblPr>
      <w:tblBorders>
        <w:top w:val="single" w:color="B7A7CA" w:sz="4" w:space="0"/>
        <w:bottom w:val="single" w:color="B7A7CA" w:sz="4" w:space="0"/>
        <w:insideH w:val="single" w:color="B7A7CA" w:sz="4" w:space="0"/>
      </w:tblBorders>
      <w:tblCellMar>
        <w:top w:w="0" w:type="dxa"/>
        <w:left w:w="108" w:type="dxa"/>
        <w:bottom w:w="0" w:type="dxa"/>
        <w:right w:w="108" w:type="dxa"/>
      </w:tblCellMar>
    </w:tblPr>
    <w:tblStylePr w:type="firstRow">
      <w:rPr>
        <w:rFonts w:ascii="Arial" w:hAnsi="Arial"/>
        <w:b/>
        <w:color w:val="404040"/>
        <w:sz w:val="22"/>
      </w:rPr>
      <w:tcPr>
        <w:tcBorders>
          <w:top w:val="single" w:color="B7A7CA" w:sz="4" w:space="0"/>
          <w:left w:val="nil"/>
          <w:bottom w:val="single" w:color="B7A7CA" w:sz="4" w:space="0"/>
          <w:right w:val="nil"/>
        </w:tcBorders>
      </w:tcPr>
    </w:tblStylePr>
    <w:tblStylePr w:type="lastRow">
      <w:rPr>
        <w:rFonts w:ascii="Arial" w:hAnsi="Arial"/>
        <w:b/>
        <w:color w:val="404040"/>
        <w:sz w:val="22"/>
      </w:rPr>
      <w:tcPr>
        <w:tcBorders>
          <w:top w:val="single" w:color="B7A7CA" w:sz="4" w:space="0"/>
          <w:left w:val="nil"/>
          <w:bottom w:val="single" w:color="B7A7CA"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DFD8E7" w:fill="DFD8E7"/>
      </w:tcPr>
    </w:tblStylePr>
    <w:tblStylePr w:type="band1Horz">
      <w:rPr>
        <w:rFonts w:ascii="Arial" w:hAnsi="Arial"/>
        <w:color w:val="404040"/>
        <w:sz w:val="22"/>
      </w:rPr>
      <w:tcPr>
        <w:shd w:val="clear" w:color="DFD8E7" w:fill="DFD8E7"/>
      </w:tcPr>
    </w:tblStylePr>
  </w:style>
  <w:style w:type="table" w:customStyle="1" w:styleId="1832">
    <w:name w:val="List Table 2 - Accent 59"/>
    <w:basedOn w:val="13"/>
    <w:uiPriority w:val="99"/>
    <w:rPr>
      <w:sz w:val="22"/>
      <w:szCs w:val="22"/>
      <w:lang w:eastAsia="en-US"/>
    </w:rPr>
    <w:tblPr>
      <w:tblBorders>
        <w:top w:val="single" w:color="99D0DE" w:sz="4" w:space="0"/>
        <w:bottom w:val="single" w:color="99D0DE" w:sz="4" w:space="0"/>
        <w:insideH w:val="single" w:color="99D0DE" w:sz="4" w:space="0"/>
      </w:tblBorders>
      <w:tblCellMar>
        <w:top w:w="0" w:type="dxa"/>
        <w:left w:w="108" w:type="dxa"/>
        <w:bottom w:w="0" w:type="dxa"/>
        <w:right w:w="108" w:type="dxa"/>
      </w:tblCellMar>
    </w:tblPr>
    <w:tblStylePr w:type="firstRow">
      <w:rPr>
        <w:rFonts w:ascii="Arial" w:hAnsi="Arial"/>
        <w:b/>
        <w:color w:val="404040"/>
        <w:sz w:val="22"/>
      </w:rPr>
      <w:tcPr>
        <w:tcBorders>
          <w:top w:val="single" w:color="99D0DE" w:sz="4" w:space="0"/>
          <w:left w:val="nil"/>
          <w:bottom w:val="single" w:color="99D0DE" w:sz="4" w:space="0"/>
          <w:right w:val="nil"/>
        </w:tcBorders>
      </w:tcPr>
    </w:tblStylePr>
    <w:tblStylePr w:type="lastRow">
      <w:rPr>
        <w:rFonts w:ascii="Arial" w:hAnsi="Arial"/>
        <w:b/>
        <w:color w:val="404040"/>
        <w:sz w:val="22"/>
      </w:rPr>
      <w:tcPr>
        <w:tcBorders>
          <w:top w:val="single" w:color="99D0DE" w:sz="4" w:space="0"/>
          <w:left w:val="nil"/>
          <w:bottom w:val="single" w:color="99D0DE"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D1EAF0" w:fill="D1EAF0"/>
      </w:tcPr>
    </w:tblStylePr>
    <w:tblStylePr w:type="band1Horz">
      <w:rPr>
        <w:rFonts w:ascii="Arial" w:hAnsi="Arial"/>
        <w:color w:val="404040"/>
        <w:sz w:val="22"/>
      </w:rPr>
      <w:tcPr>
        <w:shd w:val="clear" w:color="D1EAF0" w:fill="D1EAF0"/>
      </w:tcPr>
    </w:tblStylePr>
  </w:style>
  <w:style w:type="table" w:customStyle="1" w:styleId="1833">
    <w:name w:val="List Table 2 - Accent 69"/>
    <w:basedOn w:val="13"/>
    <w:uiPriority w:val="99"/>
    <w:rPr>
      <w:sz w:val="22"/>
      <w:szCs w:val="22"/>
      <w:lang w:eastAsia="en-US"/>
    </w:rPr>
    <w:tblPr>
      <w:tblBorders>
        <w:top w:val="single" w:color="FAC396" w:sz="4" w:space="0"/>
        <w:bottom w:val="single" w:color="FAC396" w:sz="4" w:space="0"/>
        <w:insideH w:val="single" w:color="FAC396" w:sz="4" w:space="0"/>
      </w:tblBorders>
      <w:tblCellMar>
        <w:top w:w="0" w:type="dxa"/>
        <w:left w:w="108" w:type="dxa"/>
        <w:bottom w:w="0" w:type="dxa"/>
        <w:right w:w="108" w:type="dxa"/>
      </w:tblCellMar>
    </w:tblPr>
    <w:tblStylePr w:type="firstRow">
      <w:rPr>
        <w:rFonts w:ascii="Arial" w:hAnsi="Arial"/>
        <w:b/>
        <w:color w:val="404040"/>
        <w:sz w:val="22"/>
      </w:rPr>
      <w:tcPr>
        <w:tcBorders>
          <w:top w:val="single" w:color="FAC396" w:sz="4" w:space="0"/>
          <w:left w:val="nil"/>
          <w:bottom w:val="single" w:color="FAC396" w:sz="4" w:space="0"/>
          <w:right w:val="nil"/>
        </w:tcBorders>
      </w:tcPr>
    </w:tblStylePr>
    <w:tblStylePr w:type="lastRow">
      <w:rPr>
        <w:rFonts w:ascii="Arial" w:hAnsi="Arial"/>
        <w:b/>
        <w:color w:val="404040"/>
        <w:sz w:val="22"/>
      </w:rPr>
      <w:tcPr>
        <w:tcBorders>
          <w:top w:val="single" w:color="FAC396" w:sz="4" w:space="0"/>
          <w:left w:val="nil"/>
          <w:bottom w:val="single" w:color="FAC396"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FDE4D0" w:fill="FDE4D0"/>
      </w:tcPr>
    </w:tblStylePr>
    <w:tblStylePr w:type="band1Horz">
      <w:rPr>
        <w:rFonts w:ascii="Arial" w:hAnsi="Arial"/>
        <w:color w:val="404040"/>
        <w:sz w:val="22"/>
      </w:rPr>
      <w:tcPr>
        <w:shd w:val="clear" w:color="FDE4D0" w:fill="FDE4D0"/>
      </w:tcPr>
    </w:tblStylePr>
  </w:style>
  <w:style w:type="table" w:customStyle="1" w:styleId="1834">
    <w:name w:val="Список-таблица 317"/>
    <w:basedOn w:val="13"/>
    <w:uiPriority w:val="99"/>
    <w:rPr>
      <w:sz w:val="22"/>
      <w:szCs w:val="22"/>
      <w:lang w:eastAsia="en-US"/>
    </w:rPr>
    <w:tblPr>
      <w:tblBorders>
        <w:top w:val="single" w:color="000000" w:sz="4" w:space="0"/>
        <w:left w:val="single" w:color="000000" w:sz="4" w:space="0"/>
        <w:bottom w:val="single" w:color="000000" w:sz="4" w:space="0"/>
        <w:right w:val="single" w:color="000000" w:sz="4" w:space="0"/>
      </w:tblBorders>
      <w:tblCellMar>
        <w:top w:w="0" w:type="dxa"/>
        <w:left w:w="108" w:type="dxa"/>
        <w:bottom w:w="0" w:type="dxa"/>
        <w:right w:w="108" w:type="dxa"/>
      </w:tblCellMar>
    </w:tblPr>
    <w:tblStylePr w:type="firstRow">
      <w:rPr>
        <w:rFonts w:ascii="Arial" w:hAnsi="Arial"/>
        <w:b/>
        <w:color w:val="FFFFFF"/>
        <w:sz w:val="22"/>
      </w:r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000000" w:sz="4" w:space="0"/>
          <w:right w:val="single" w:color="000000" w:sz="4" w:space="0"/>
        </w:tcBorders>
      </w:tcPr>
    </w:tblStylePr>
    <w:tblStylePr w:type="band1Horz">
      <w:rPr>
        <w:rFonts w:ascii="Arial" w:hAnsi="Arial"/>
        <w:color w:val="404040"/>
        <w:sz w:val="22"/>
      </w:rPr>
      <w:tcPr>
        <w:tcBorders>
          <w:top w:val="single" w:color="000000" w:sz="4" w:space="0"/>
          <w:bottom w:val="single" w:color="000000" w:sz="4" w:space="0"/>
        </w:tcBorders>
      </w:tcPr>
    </w:tblStylePr>
  </w:style>
  <w:style w:type="table" w:customStyle="1" w:styleId="1835">
    <w:name w:val="List Table 3 - Accent 19"/>
    <w:basedOn w:val="13"/>
    <w:uiPriority w:val="99"/>
    <w:rPr>
      <w:sz w:val="22"/>
      <w:szCs w:val="22"/>
      <w:lang w:eastAsia="en-US"/>
    </w:rPr>
    <w:tblPr>
      <w:tblBorders>
        <w:top w:val="single" w:color="4F81BD" w:sz="4" w:space="0"/>
        <w:left w:val="single" w:color="4F81BD" w:sz="4" w:space="0"/>
        <w:bottom w:val="single" w:color="4F81BD" w:sz="4" w:space="0"/>
        <w:right w:val="single" w:color="4F81BD" w:sz="4" w:space="0"/>
      </w:tblBorders>
      <w:tblCellMar>
        <w:top w:w="0" w:type="dxa"/>
        <w:left w:w="108" w:type="dxa"/>
        <w:bottom w:w="0" w:type="dxa"/>
        <w:right w:w="108" w:type="dxa"/>
      </w:tblCellMar>
    </w:tblPr>
    <w:tblStylePr w:type="firstRow">
      <w:rPr>
        <w:rFonts w:ascii="Arial" w:hAnsi="Arial"/>
        <w:b/>
        <w:color w:val="FFFFFF"/>
        <w:sz w:val="22"/>
      </w:rPr>
      <w:tcPr>
        <w:shd w:val="clear" w:color="4F81BD"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4F81BD" w:sz="4" w:space="0"/>
          <w:right w:val="single" w:color="4F81BD" w:sz="4" w:space="0"/>
        </w:tcBorders>
      </w:tcPr>
    </w:tblStylePr>
    <w:tblStylePr w:type="band1Horz">
      <w:rPr>
        <w:rFonts w:ascii="Arial" w:hAnsi="Arial"/>
        <w:color w:val="404040"/>
        <w:sz w:val="22"/>
      </w:rPr>
      <w:tcPr>
        <w:tcBorders>
          <w:top w:val="single" w:color="4F81BD" w:sz="4" w:space="0"/>
          <w:bottom w:val="single" w:color="4F81BD" w:sz="4" w:space="0"/>
        </w:tcBorders>
      </w:tcPr>
    </w:tblStylePr>
  </w:style>
  <w:style w:type="table" w:customStyle="1" w:styleId="1836">
    <w:name w:val="List Table 3 - Accent 29"/>
    <w:basedOn w:val="13"/>
    <w:uiPriority w:val="99"/>
    <w:rPr>
      <w:sz w:val="22"/>
      <w:szCs w:val="22"/>
      <w:lang w:eastAsia="en-US"/>
    </w:rPr>
    <w:tblPr>
      <w:tblBorders>
        <w:top w:val="single" w:color="D99695" w:sz="4" w:space="0"/>
        <w:left w:val="single" w:color="D99695" w:sz="4" w:space="0"/>
        <w:bottom w:val="single" w:color="D99695" w:sz="4" w:space="0"/>
        <w:right w:val="single" w:color="D99695" w:sz="4" w:space="0"/>
      </w:tblBorders>
      <w:tblCellMar>
        <w:top w:w="0" w:type="dxa"/>
        <w:left w:w="108" w:type="dxa"/>
        <w:bottom w:w="0" w:type="dxa"/>
        <w:right w:w="108" w:type="dxa"/>
      </w:tblCellMar>
    </w:tblPr>
    <w:tblStylePr w:type="firstRow">
      <w:rPr>
        <w:rFonts w:ascii="Arial" w:hAnsi="Arial"/>
        <w:b/>
        <w:color w:val="FFFFFF"/>
        <w:sz w:val="22"/>
      </w:rPr>
      <w:tcPr>
        <w:shd w:val="clear" w:color="D99695" w:fill="D9969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D99695" w:sz="4" w:space="0"/>
          <w:right w:val="single" w:color="D99695" w:sz="4" w:space="0"/>
        </w:tcBorders>
      </w:tcPr>
    </w:tblStylePr>
    <w:tblStylePr w:type="band1Horz">
      <w:rPr>
        <w:rFonts w:ascii="Arial" w:hAnsi="Arial"/>
        <w:color w:val="404040"/>
        <w:sz w:val="22"/>
      </w:rPr>
      <w:tcPr>
        <w:tcBorders>
          <w:top w:val="single" w:color="D99695" w:sz="4" w:space="0"/>
          <w:bottom w:val="single" w:color="D99695" w:sz="4" w:space="0"/>
        </w:tcBorders>
      </w:tcPr>
    </w:tblStylePr>
  </w:style>
  <w:style w:type="table" w:customStyle="1" w:styleId="1837">
    <w:name w:val="List Table 3 - Accent 39"/>
    <w:basedOn w:val="13"/>
    <w:uiPriority w:val="99"/>
    <w:rPr>
      <w:sz w:val="22"/>
      <w:szCs w:val="22"/>
      <w:lang w:eastAsia="en-US"/>
    </w:rPr>
    <w:tblPr>
      <w:tblBorders>
        <w:top w:val="single" w:color="C3D69B" w:sz="4" w:space="0"/>
        <w:left w:val="single" w:color="C3D69B" w:sz="4" w:space="0"/>
        <w:bottom w:val="single" w:color="C3D69B" w:sz="4" w:space="0"/>
        <w:right w:val="single" w:color="C3D69B" w:sz="4" w:space="0"/>
      </w:tblBorders>
      <w:tblCellMar>
        <w:top w:w="0" w:type="dxa"/>
        <w:left w:w="108" w:type="dxa"/>
        <w:bottom w:w="0" w:type="dxa"/>
        <w:right w:w="108" w:type="dxa"/>
      </w:tblCellMar>
    </w:tblPr>
    <w:tblStylePr w:type="firstRow">
      <w:rPr>
        <w:rFonts w:ascii="Arial" w:hAnsi="Arial"/>
        <w:b/>
        <w:color w:val="FFFFFF"/>
        <w:sz w:val="22"/>
      </w:rPr>
      <w:tcPr>
        <w:shd w:val="clear" w:color="C3D69B" w:fill="C3D69B"/>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C3D69B" w:sz="4" w:space="0"/>
          <w:right w:val="single" w:color="C3D69B" w:sz="4" w:space="0"/>
        </w:tcBorders>
      </w:tcPr>
    </w:tblStylePr>
    <w:tblStylePr w:type="band1Horz">
      <w:rPr>
        <w:rFonts w:ascii="Arial" w:hAnsi="Arial"/>
        <w:color w:val="404040"/>
        <w:sz w:val="22"/>
      </w:rPr>
      <w:tcPr>
        <w:tcBorders>
          <w:top w:val="single" w:color="C3D69B" w:sz="4" w:space="0"/>
          <w:bottom w:val="single" w:color="C3D69B" w:sz="4" w:space="0"/>
        </w:tcBorders>
      </w:tcPr>
    </w:tblStylePr>
  </w:style>
  <w:style w:type="table" w:customStyle="1" w:styleId="1838">
    <w:name w:val="List Table 3 - Accent 49"/>
    <w:basedOn w:val="13"/>
    <w:uiPriority w:val="99"/>
    <w:rPr>
      <w:sz w:val="22"/>
      <w:szCs w:val="22"/>
      <w:lang w:eastAsia="en-US"/>
    </w:rPr>
    <w:tblPr>
      <w:tblBorders>
        <w:top w:val="single" w:color="B2A1C6" w:sz="4" w:space="0"/>
        <w:left w:val="single" w:color="B2A1C6" w:sz="4" w:space="0"/>
        <w:bottom w:val="single" w:color="B2A1C6" w:sz="4" w:space="0"/>
        <w:right w:val="single" w:color="B2A1C6" w:sz="4" w:space="0"/>
      </w:tblBorders>
      <w:tblCellMar>
        <w:top w:w="0" w:type="dxa"/>
        <w:left w:w="108" w:type="dxa"/>
        <w:bottom w:w="0" w:type="dxa"/>
        <w:right w:w="108" w:type="dxa"/>
      </w:tblCellMar>
    </w:tblPr>
    <w:tblStylePr w:type="firstRow">
      <w:rPr>
        <w:rFonts w:ascii="Arial" w:hAnsi="Arial"/>
        <w:b/>
        <w:color w:val="FFFFFF"/>
        <w:sz w:val="22"/>
      </w:rPr>
      <w:tcPr>
        <w:shd w:val="clear" w:color="B2A1C6" w:fill="B2A1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B2A1C6" w:sz="4" w:space="0"/>
          <w:right w:val="single" w:color="B2A1C6" w:sz="4" w:space="0"/>
        </w:tcBorders>
      </w:tcPr>
    </w:tblStylePr>
    <w:tblStylePr w:type="band1Horz">
      <w:rPr>
        <w:rFonts w:ascii="Arial" w:hAnsi="Arial"/>
        <w:color w:val="404040"/>
        <w:sz w:val="22"/>
      </w:rPr>
      <w:tcPr>
        <w:tcBorders>
          <w:top w:val="single" w:color="B2A1C6" w:sz="4" w:space="0"/>
          <w:bottom w:val="single" w:color="B2A1C6" w:sz="4" w:space="0"/>
        </w:tcBorders>
      </w:tcPr>
    </w:tblStylePr>
  </w:style>
  <w:style w:type="table" w:customStyle="1" w:styleId="1839">
    <w:name w:val="List Table 3 - Accent 59"/>
    <w:basedOn w:val="13"/>
    <w:uiPriority w:val="99"/>
    <w:rPr>
      <w:sz w:val="22"/>
      <w:szCs w:val="22"/>
      <w:lang w:eastAsia="en-US"/>
    </w:rPr>
    <w:tblPr>
      <w:tblBorders>
        <w:top w:val="single" w:color="92CCDC" w:sz="4" w:space="0"/>
        <w:left w:val="single" w:color="92CCDC" w:sz="4" w:space="0"/>
        <w:bottom w:val="single" w:color="92CCDC" w:sz="4" w:space="0"/>
        <w:right w:val="single" w:color="92CCDC" w:sz="4" w:space="0"/>
      </w:tblBorders>
      <w:tblCellMar>
        <w:top w:w="0" w:type="dxa"/>
        <w:left w:w="108" w:type="dxa"/>
        <w:bottom w:w="0" w:type="dxa"/>
        <w:right w:w="108" w:type="dxa"/>
      </w:tblCellMar>
    </w:tblPr>
    <w:tblStylePr w:type="firstRow">
      <w:rPr>
        <w:rFonts w:ascii="Arial" w:hAnsi="Arial"/>
        <w:b/>
        <w:color w:val="FFFFFF"/>
        <w:sz w:val="22"/>
      </w:rPr>
      <w:tcPr>
        <w:shd w:val="clear" w:color="92CCDC" w:fill="92CCDC"/>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92CCDC" w:sz="4" w:space="0"/>
          <w:right w:val="single" w:color="92CCDC" w:sz="4" w:space="0"/>
        </w:tcBorders>
      </w:tcPr>
    </w:tblStylePr>
    <w:tblStylePr w:type="band1Horz">
      <w:rPr>
        <w:rFonts w:ascii="Arial" w:hAnsi="Arial"/>
        <w:color w:val="404040"/>
        <w:sz w:val="22"/>
      </w:rPr>
      <w:tcPr>
        <w:tcBorders>
          <w:top w:val="single" w:color="92CCDC" w:sz="4" w:space="0"/>
          <w:bottom w:val="single" w:color="92CCDC" w:sz="4" w:space="0"/>
        </w:tcBorders>
      </w:tcPr>
    </w:tblStylePr>
  </w:style>
  <w:style w:type="table" w:customStyle="1" w:styleId="1840">
    <w:name w:val="List Table 3 - Accent 69"/>
    <w:basedOn w:val="13"/>
    <w:uiPriority w:val="99"/>
    <w:rPr>
      <w:sz w:val="22"/>
      <w:szCs w:val="22"/>
      <w:lang w:eastAsia="en-US"/>
    </w:rPr>
    <w:tblPr>
      <w:tblBorders>
        <w:top w:val="single" w:color="FAC090" w:sz="4" w:space="0"/>
        <w:left w:val="single" w:color="FAC090" w:sz="4" w:space="0"/>
        <w:bottom w:val="single" w:color="FAC090" w:sz="4" w:space="0"/>
        <w:right w:val="single" w:color="FAC090" w:sz="4" w:space="0"/>
      </w:tblBorders>
      <w:tblCellMar>
        <w:top w:w="0" w:type="dxa"/>
        <w:left w:w="108" w:type="dxa"/>
        <w:bottom w:w="0" w:type="dxa"/>
        <w:right w:w="108" w:type="dxa"/>
      </w:tblCellMar>
    </w:tblPr>
    <w:tblStylePr w:type="firstRow">
      <w:rPr>
        <w:rFonts w:ascii="Arial" w:hAnsi="Arial"/>
        <w:b/>
        <w:color w:val="FFFFFF"/>
        <w:sz w:val="22"/>
      </w:rPr>
      <w:tcPr>
        <w:shd w:val="clear" w:color="FAC090" w:fill="FAC09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FAC090" w:sz="4" w:space="0"/>
          <w:right w:val="single" w:color="FAC090" w:sz="4" w:space="0"/>
        </w:tcBorders>
      </w:tcPr>
    </w:tblStylePr>
    <w:tblStylePr w:type="band1Horz">
      <w:rPr>
        <w:rFonts w:ascii="Arial" w:hAnsi="Arial"/>
        <w:color w:val="404040"/>
        <w:sz w:val="22"/>
      </w:rPr>
      <w:tcPr>
        <w:tcBorders>
          <w:top w:val="single" w:color="FAC090" w:sz="4" w:space="0"/>
          <w:bottom w:val="single" w:color="FAC090" w:sz="4" w:space="0"/>
        </w:tcBorders>
      </w:tcPr>
    </w:tblStylePr>
  </w:style>
  <w:style w:type="table" w:customStyle="1" w:styleId="1841">
    <w:name w:val="Список-таблица 417"/>
    <w:basedOn w:val="13"/>
    <w:uiPriority w:val="99"/>
    <w:rPr>
      <w:sz w:val="22"/>
      <w:szCs w:val="22"/>
      <w:lang w:eastAsia="en-US"/>
    </w:rPr>
    <w:tblPr>
      <w:tblBorders>
        <w:top w:val="single" w:color="000000" w:sz="4" w:space="0"/>
        <w:left w:val="single" w:color="000000" w:sz="4" w:space="0"/>
        <w:bottom w:val="single" w:color="000000" w:sz="4" w:space="0"/>
        <w:right w:val="single" w:color="000000" w:sz="4" w:space="0"/>
        <w:insideH w:val="single" w:color="000000" w:sz="4" w:space="0"/>
      </w:tblBorders>
      <w:tblCellMar>
        <w:top w:w="0" w:type="dxa"/>
        <w:left w:w="108" w:type="dxa"/>
        <w:bottom w:w="0" w:type="dxa"/>
        <w:right w:w="108" w:type="dxa"/>
      </w:tblCellMar>
    </w:tblPr>
    <w:tblStylePr w:type="firstRow">
      <w:rPr>
        <w:rFonts w:ascii="Arial" w:hAnsi="Arial"/>
        <w:b/>
        <w:color w:val="FFFFFF"/>
        <w:sz w:val="22"/>
      </w:r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BFBFBF" w:fill="BFBFBF"/>
      </w:tcPr>
    </w:tblStylePr>
    <w:tblStylePr w:type="band1Horz">
      <w:rPr>
        <w:rFonts w:ascii="Arial" w:hAnsi="Arial"/>
        <w:color w:val="404040"/>
        <w:sz w:val="22"/>
      </w:rPr>
      <w:tcPr>
        <w:shd w:val="clear" w:color="BFBFBF" w:fill="BFBFBF"/>
      </w:tcPr>
    </w:tblStylePr>
  </w:style>
  <w:style w:type="table" w:customStyle="1" w:styleId="1842">
    <w:name w:val="List Table 4 - Accent 19"/>
    <w:basedOn w:val="13"/>
    <w:uiPriority w:val="99"/>
    <w:rPr>
      <w:sz w:val="22"/>
      <w:szCs w:val="22"/>
      <w:lang w:eastAsia="en-US"/>
    </w:rPr>
    <w:tblPr>
      <w:tblBorders>
        <w:top w:val="single" w:color="9BB7D9" w:sz="4" w:space="0"/>
        <w:left w:val="single" w:color="9BB7D9" w:sz="4" w:space="0"/>
        <w:bottom w:val="single" w:color="9BB7D9" w:sz="4" w:space="0"/>
        <w:right w:val="single" w:color="9BB7D9" w:sz="4" w:space="0"/>
        <w:insideH w:val="single" w:color="9BB7D9" w:sz="4" w:space="0"/>
      </w:tblBorders>
      <w:tblCellMar>
        <w:top w:w="0" w:type="dxa"/>
        <w:left w:w="108" w:type="dxa"/>
        <w:bottom w:w="0" w:type="dxa"/>
        <w:right w:w="108" w:type="dxa"/>
      </w:tblCellMar>
    </w:tblPr>
    <w:tblStylePr w:type="firstRow">
      <w:rPr>
        <w:rFonts w:ascii="Arial" w:hAnsi="Arial"/>
        <w:b/>
        <w:color w:val="FFFFFF"/>
        <w:sz w:val="22"/>
      </w:rPr>
      <w:tcPr>
        <w:shd w:val="clear" w:color="4F81BD"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D2DFEE" w:fill="D2DFEE"/>
      </w:tcPr>
    </w:tblStylePr>
    <w:tblStylePr w:type="band1Horz">
      <w:rPr>
        <w:rFonts w:ascii="Arial" w:hAnsi="Arial"/>
        <w:color w:val="404040"/>
        <w:sz w:val="22"/>
      </w:rPr>
      <w:tcPr>
        <w:shd w:val="clear" w:color="D2DFEE" w:fill="D2DFEE"/>
      </w:tcPr>
    </w:tblStylePr>
  </w:style>
  <w:style w:type="table" w:customStyle="1" w:styleId="1843">
    <w:name w:val="List Table 4 - Accent 29"/>
    <w:basedOn w:val="13"/>
    <w:uiPriority w:val="99"/>
    <w:rPr>
      <w:sz w:val="22"/>
      <w:szCs w:val="22"/>
      <w:lang w:eastAsia="en-US"/>
    </w:rPr>
    <w:tblPr>
      <w:tblBorders>
        <w:top w:val="single" w:color="DB9B9A" w:sz="4" w:space="0"/>
        <w:left w:val="single" w:color="DB9B9A" w:sz="4" w:space="0"/>
        <w:bottom w:val="single" w:color="DB9B9A" w:sz="4" w:space="0"/>
        <w:right w:val="single" w:color="DB9B9A" w:sz="4" w:space="0"/>
        <w:insideH w:val="single" w:color="DB9B9A" w:sz="4" w:space="0"/>
      </w:tblBorders>
      <w:tblCellMar>
        <w:top w:w="0" w:type="dxa"/>
        <w:left w:w="108" w:type="dxa"/>
        <w:bottom w:w="0" w:type="dxa"/>
        <w:right w:w="108" w:type="dxa"/>
      </w:tblCellMar>
    </w:tblPr>
    <w:tblStylePr w:type="firstRow">
      <w:rPr>
        <w:rFonts w:ascii="Arial" w:hAnsi="Arial"/>
        <w:b/>
        <w:color w:val="FFFFFF"/>
        <w:sz w:val="22"/>
      </w:rPr>
      <w:tcPr>
        <w:shd w:val="clear" w:color="C0504D" w:fill="C0504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EFD2D2" w:fill="EFD2D2"/>
      </w:tcPr>
    </w:tblStylePr>
    <w:tblStylePr w:type="band1Horz">
      <w:rPr>
        <w:rFonts w:ascii="Arial" w:hAnsi="Arial"/>
        <w:color w:val="404040"/>
        <w:sz w:val="22"/>
      </w:rPr>
      <w:tcPr>
        <w:shd w:val="clear" w:color="EFD2D2" w:fill="EFD2D2"/>
      </w:tcPr>
    </w:tblStylePr>
  </w:style>
  <w:style w:type="table" w:customStyle="1" w:styleId="1844">
    <w:name w:val="List Table 4 - Accent 39"/>
    <w:basedOn w:val="13"/>
    <w:uiPriority w:val="99"/>
    <w:rPr>
      <w:sz w:val="22"/>
      <w:szCs w:val="22"/>
      <w:lang w:eastAsia="en-US"/>
    </w:rPr>
    <w:tblPr>
      <w:tblBorders>
        <w:top w:val="single" w:color="C6D8A1" w:sz="4" w:space="0"/>
        <w:left w:val="single" w:color="C6D8A1" w:sz="4" w:space="0"/>
        <w:bottom w:val="single" w:color="C6D8A1" w:sz="4" w:space="0"/>
        <w:right w:val="single" w:color="C6D8A1" w:sz="4" w:space="0"/>
        <w:insideH w:val="single" w:color="C6D8A1" w:sz="4" w:space="0"/>
      </w:tblBorders>
      <w:tblCellMar>
        <w:top w:w="0" w:type="dxa"/>
        <w:left w:w="108" w:type="dxa"/>
        <w:bottom w:w="0" w:type="dxa"/>
        <w:right w:w="108" w:type="dxa"/>
      </w:tblCellMar>
    </w:tblPr>
    <w:tblStylePr w:type="firstRow">
      <w:rPr>
        <w:rFonts w:ascii="Arial" w:hAnsi="Arial"/>
        <w:b/>
        <w:color w:val="FFFFFF"/>
        <w:sz w:val="22"/>
      </w:rPr>
      <w:tcPr>
        <w:shd w:val="clear" w:color="9BBB59" w:fill="9BBB59"/>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E5EED5" w:fill="E5EED5"/>
      </w:tcPr>
    </w:tblStylePr>
    <w:tblStylePr w:type="band1Horz">
      <w:rPr>
        <w:rFonts w:ascii="Arial" w:hAnsi="Arial"/>
        <w:color w:val="404040"/>
        <w:sz w:val="22"/>
      </w:rPr>
      <w:tcPr>
        <w:shd w:val="clear" w:color="E5EED5" w:fill="E5EED5"/>
      </w:tcPr>
    </w:tblStylePr>
  </w:style>
  <w:style w:type="table" w:customStyle="1" w:styleId="1845">
    <w:name w:val="List Table 4 - Accent 49"/>
    <w:basedOn w:val="13"/>
    <w:uiPriority w:val="99"/>
    <w:rPr>
      <w:sz w:val="22"/>
      <w:szCs w:val="22"/>
      <w:lang w:eastAsia="en-US"/>
    </w:rPr>
    <w:tblPr>
      <w:tblBorders>
        <w:top w:val="single" w:color="B7A7CA" w:sz="4" w:space="0"/>
        <w:left w:val="single" w:color="B7A7CA" w:sz="4" w:space="0"/>
        <w:bottom w:val="single" w:color="B7A7CA" w:sz="4" w:space="0"/>
        <w:right w:val="single" w:color="B7A7CA" w:sz="4" w:space="0"/>
        <w:insideH w:val="single" w:color="B7A7CA" w:sz="4" w:space="0"/>
      </w:tblBorders>
      <w:tblCellMar>
        <w:top w:w="0" w:type="dxa"/>
        <w:left w:w="108" w:type="dxa"/>
        <w:bottom w:w="0" w:type="dxa"/>
        <w:right w:w="108" w:type="dxa"/>
      </w:tblCellMar>
    </w:tblPr>
    <w:tblStylePr w:type="firstRow">
      <w:rPr>
        <w:rFonts w:ascii="Arial" w:hAnsi="Arial"/>
        <w:b/>
        <w:color w:val="FFFFFF"/>
        <w:sz w:val="22"/>
      </w:rPr>
      <w:tcPr>
        <w:shd w:val="clear" w:color="8064A2" w:fill="8064A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DFD8E7" w:fill="DFD8E7"/>
      </w:tcPr>
    </w:tblStylePr>
    <w:tblStylePr w:type="band1Horz">
      <w:rPr>
        <w:rFonts w:ascii="Arial" w:hAnsi="Arial"/>
        <w:color w:val="404040"/>
        <w:sz w:val="22"/>
      </w:rPr>
      <w:tcPr>
        <w:shd w:val="clear" w:color="DFD8E7" w:fill="DFD8E7"/>
      </w:tcPr>
    </w:tblStylePr>
  </w:style>
  <w:style w:type="table" w:customStyle="1" w:styleId="1846">
    <w:name w:val="List Table 4 - Accent 59"/>
    <w:basedOn w:val="13"/>
    <w:uiPriority w:val="99"/>
    <w:rPr>
      <w:sz w:val="22"/>
      <w:szCs w:val="22"/>
      <w:lang w:eastAsia="en-US"/>
    </w:rPr>
    <w:tblPr>
      <w:tblBorders>
        <w:top w:val="single" w:color="99D0DE" w:sz="4" w:space="0"/>
        <w:left w:val="single" w:color="99D0DE" w:sz="4" w:space="0"/>
        <w:bottom w:val="single" w:color="99D0DE" w:sz="4" w:space="0"/>
        <w:right w:val="single" w:color="99D0DE" w:sz="4" w:space="0"/>
        <w:insideH w:val="single" w:color="99D0DE" w:sz="4" w:space="0"/>
      </w:tblBorders>
      <w:tblCellMar>
        <w:top w:w="0" w:type="dxa"/>
        <w:left w:w="108" w:type="dxa"/>
        <w:bottom w:w="0" w:type="dxa"/>
        <w:right w:w="108" w:type="dxa"/>
      </w:tblCellMar>
    </w:tblPr>
    <w:tblStylePr w:type="firstRow">
      <w:rPr>
        <w:rFonts w:ascii="Arial" w:hAnsi="Arial"/>
        <w:b/>
        <w:color w:val="FFFFFF"/>
        <w:sz w:val="22"/>
      </w:rPr>
      <w:tcPr>
        <w:shd w:val="clear" w:color="4BACC6" w:fill="4BAC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D1EAF0" w:fill="D1EAF0"/>
      </w:tcPr>
    </w:tblStylePr>
    <w:tblStylePr w:type="band1Horz">
      <w:rPr>
        <w:rFonts w:ascii="Arial" w:hAnsi="Arial"/>
        <w:color w:val="404040"/>
        <w:sz w:val="22"/>
      </w:rPr>
      <w:tcPr>
        <w:shd w:val="clear" w:color="D1EAF0" w:fill="D1EAF0"/>
      </w:tcPr>
    </w:tblStylePr>
  </w:style>
  <w:style w:type="table" w:customStyle="1" w:styleId="1847">
    <w:name w:val="List Table 4 - Accent 69"/>
    <w:basedOn w:val="13"/>
    <w:uiPriority w:val="99"/>
    <w:rPr>
      <w:sz w:val="22"/>
      <w:szCs w:val="22"/>
      <w:lang w:eastAsia="en-US"/>
    </w:rPr>
    <w:tblPr>
      <w:tblBorders>
        <w:top w:val="single" w:color="FAC396" w:sz="4" w:space="0"/>
        <w:left w:val="single" w:color="FAC396" w:sz="4" w:space="0"/>
        <w:bottom w:val="single" w:color="FAC396" w:sz="4" w:space="0"/>
        <w:right w:val="single" w:color="FAC396" w:sz="4" w:space="0"/>
        <w:insideH w:val="single" w:color="FAC396" w:sz="4" w:space="0"/>
      </w:tblBorders>
      <w:tblCellMar>
        <w:top w:w="0" w:type="dxa"/>
        <w:left w:w="108" w:type="dxa"/>
        <w:bottom w:w="0" w:type="dxa"/>
        <w:right w:w="108" w:type="dxa"/>
      </w:tblCellMar>
    </w:tblPr>
    <w:tblStylePr w:type="firstRow">
      <w:rPr>
        <w:rFonts w:ascii="Arial" w:hAnsi="Arial"/>
        <w:b/>
        <w:color w:val="FFFFFF"/>
        <w:sz w:val="22"/>
      </w:rPr>
      <w:tcPr>
        <w:shd w:val="clear" w:color="F79646" w:fill="F7964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FDE4D0" w:fill="FDE4D0"/>
      </w:tcPr>
    </w:tblStylePr>
    <w:tblStylePr w:type="band1Horz">
      <w:rPr>
        <w:rFonts w:ascii="Arial" w:hAnsi="Arial"/>
        <w:color w:val="404040"/>
        <w:sz w:val="22"/>
      </w:rPr>
      <w:tcPr>
        <w:shd w:val="clear" w:color="FDE4D0" w:fill="FDE4D0"/>
      </w:tcPr>
    </w:tblStylePr>
  </w:style>
  <w:style w:type="table" w:customStyle="1" w:styleId="1848">
    <w:name w:val="Список-таблица 5 темная17"/>
    <w:basedOn w:val="13"/>
    <w:uiPriority w:val="99"/>
    <w:rPr>
      <w:sz w:val="22"/>
      <w:szCs w:val="22"/>
      <w:lang w:eastAsia="en-US"/>
    </w:rPr>
    <w:tblPr>
      <w:tblBorders>
        <w:top w:val="single" w:color="7F7F7F" w:sz="32" w:space="0"/>
        <w:left w:val="single" w:color="7F7F7F" w:sz="32" w:space="0"/>
        <w:bottom w:val="single" w:color="7F7F7F" w:sz="32" w:space="0"/>
        <w:right w:val="single" w:color="7F7F7F" w:sz="32" w:space="0"/>
      </w:tblBorders>
      <w:tblCellMar>
        <w:top w:w="0" w:type="dxa"/>
        <w:left w:w="108" w:type="dxa"/>
        <w:bottom w:w="0" w:type="dxa"/>
        <w:right w:w="108" w:type="dxa"/>
      </w:tblCellMar>
    </w:tblPr>
    <w:tblStylePr w:type="firstRow">
      <w:rPr>
        <w:rFonts w:ascii="Arial" w:hAnsi="Arial"/>
        <w:b/>
        <w:color w:val="FFFFFF"/>
        <w:sz w:val="22"/>
      </w:rPr>
      <w:tcPr>
        <w:tcBorders>
          <w:top w:val="single" w:color="7F7F7F" w:sz="32" w:space="0"/>
          <w:bottom w:val="single" w:color="FFFFFF" w:sz="12" w:space="0"/>
        </w:tcBorders>
        <w:shd w:val="clear" w:color="7F7F7F" w:fill="7F7F7F"/>
      </w:tcPr>
    </w:tblStylePr>
    <w:tblStylePr w:type="lastRow">
      <w:rPr>
        <w:rFonts w:ascii="Arial" w:hAnsi="Arial"/>
        <w:b/>
        <w:color w:val="FFFFFF"/>
        <w:sz w:val="22"/>
      </w:rPr>
    </w:tblStylePr>
    <w:tblStylePr w:type="firstCol">
      <w:rPr>
        <w:rFonts w:ascii="Arial" w:hAnsi="Arial"/>
        <w:b/>
        <w:color w:val="FFFFFF"/>
        <w:sz w:val="22"/>
      </w:rPr>
      <w:tcPr>
        <w:tcBorders>
          <w:left w:val="single" w:color="7F7F7F" w:sz="32" w:space="0"/>
          <w:right w:val="single" w:color="FFFFFF" w:sz="4" w:space="0"/>
        </w:tcBorders>
      </w:tcPr>
    </w:tblStylePr>
    <w:tblStylePr w:type="lastCol">
      <w:tcPr>
        <w:tcBorders>
          <w:left w:val="single" w:color="FFFFFF" w:sz="4" w:space="0"/>
          <w:right w:val="single" w:color="7F7F7F" w:sz="32" w:space="0"/>
        </w:tcBorders>
      </w:tcPr>
    </w:tblStylePr>
    <w:tblStylePr w:type="band1Vert">
      <w:tcPr>
        <w:tcBorders>
          <w:left w:val="single" w:color="FFFFFF" w:sz="4" w:space="0"/>
          <w:right w:val="single" w:color="FFFFFF" w:sz="4" w:space="0"/>
        </w:tcBorders>
        <w:shd w:val="clear" w:color="7F7F7F" w:fill="7F7F7F"/>
      </w:tcPr>
    </w:tblStylePr>
    <w:tblStylePr w:type="band2Vert">
      <w:tcPr>
        <w:tcBorders>
          <w:left w:val="single" w:color="FFFFFF" w:sz="4" w:space="0"/>
          <w:right w:val="single" w:color="FFFFFF" w:sz="4" w:space="0"/>
        </w:tcBorders>
      </w:tcPr>
    </w:tblStylePr>
    <w:tblStylePr w:type="band1Horz">
      <w:tcPr>
        <w:tcBorders>
          <w:top w:val="single" w:color="FFFFFF" w:sz="4" w:space="0"/>
          <w:bottom w:val="single" w:color="FFFFFF" w:sz="4" w:space="0"/>
        </w:tcBorders>
        <w:shd w:val="clear" w:color="7F7F7F" w:fill="7F7F7F"/>
      </w:tcPr>
    </w:tblStylePr>
    <w:tblStylePr w:type="band2Horz">
      <w:tcPr>
        <w:tcBorders>
          <w:top w:val="single" w:color="FFFFFF" w:sz="4" w:space="0"/>
          <w:bottom w:val="single" w:color="FFFFFF" w:sz="4" w:space="0"/>
        </w:tcBorders>
        <w:shd w:val="clear" w:color="7F7F7F" w:fill="7F7F7F"/>
      </w:tcPr>
    </w:tblStylePr>
  </w:style>
  <w:style w:type="table" w:customStyle="1" w:styleId="1849">
    <w:name w:val="List Table 5 Dark - Accent 19"/>
    <w:basedOn w:val="13"/>
    <w:uiPriority w:val="99"/>
    <w:rPr>
      <w:sz w:val="22"/>
      <w:szCs w:val="22"/>
      <w:lang w:eastAsia="en-US"/>
    </w:rPr>
    <w:tblPr>
      <w:tblBorders>
        <w:top w:val="single" w:color="4F81BD" w:sz="32" w:space="0"/>
        <w:left w:val="single" w:color="4F81BD" w:sz="32" w:space="0"/>
        <w:bottom w:val="single" w:color="4F81BD" w:sz="32" w:space="0"/>
        <w:right w:val="single" w:color="4F81BD" w:sz="32" w:space="0"/>
      </w:tblBorders>
      <w:tblCellMar>
        <w:top w:w="0" w:type="dxa"/>
        <w:left w:w="108" w:type="dxa"/>
        <w:bottom w:w="0" w:type="dxa"/>
        <w:right w:w="108" w:type="dxa"/>
      </w:tblCellMar>
    </w:tblPr>
    <w:tblStylePr w:type="firstRow">
      <w:rPr>
        <w:rFonts w:ascii="Arial" w:hAnsi="Arial"/>
        <w:b/>
        <w:color w:val="FFFFFF"/>
        <w:sz w:val="22"/>
      </w:rPr>
      <w:tcPr>
        <w:tcBorders>
          <w:top w:val="single" w:color="4F81BD" w:sz="32" w:space="0"/>
          <w:bottom w:val="single" w:color="FFFFFF" w:sz="12" w:space="0"/>
        </w:tcBorders>
        <w:shd w:val="clear" w:color="4F81BD" w:fill="4F81BD"/>
      </w:tcPr>
    </w:tblStylePr>
    <w:tblStylePr w:type="lastRow">
      <w:rPr>
        <w:rFonts w:ascii="Arial" w:hAnsi="Arial"/>
        <w:b/>
        <w:color w:val="FFFFFF"/>
        <w:sz w:val="22"/>
      </w:rPr>
    </w:tblStylePr>
    <w:tblStylePr w:type="firstCol">
      <w:rPr>
        <w:rFonts w:ascii="Arial" w:hAnsi="Arial"/>
        <w:b/>
        <w:color w:val="FFFFFF"/>
        <w:sz w:val="22"/>
      </w:rPr>
      <w:tcPr>
        <w:tcBorders>
          <w:left w:val="single" w:color="4F81BD" w:sz="32" w:space="0"/>
          <w:right w:val="single" w:color="FFFFFF" w:sz="4" w:space="0"/>
        </w:tcBorders>
      </w:tcPr>
    </w:tblStylePr>
    <w:tblStylePr w:type="lastCol">
      <w:tcPr>
        <w:tcBorders>
          <w:left w:val="single" w:color="FFFFFF" w:sz="4" w:space="0"/>
          <w:right w:val="single" w:color="4F81BD" w:sz="32" w:space="0"/>
        </w:tcBorders>
      </w:tcPr>
    </w:tblStylePr>
    <w:tblStylePr w:type="band1Vert">
      <w:tcPr>
        <w:tcBorders>
          <w:left w:val="single" w:color="FFFFFF" w:sz="4" w:space="0"/>
          <w:right w:val="single" w:color="FFFFFF" w:sz="4" w:space="0"/>
        </w:tcBorders>
        <w:shd w:val="clear" w:color="4F81BD" w:fill="4F81BD"/>
      </w:tcPr>
    </w:tblStylePr>
    <w:tblStylePr w:type="band2Vert">
      <w:tcPr>
        <w:tcBorders>
          <w:left w:val="single" w:color="FFFFFF" w:sz="4" w:space="0"/>
          <w:right w:val="single" w:color="FFFFFF" w:sz="4" w:space="0"/>
        </w:tcBorders>
      </w:tcPr>
    </w:tblStylePr>
    <w:tblStylePr w:type="band1Horz">
      <w:tcPr>
        <w:tcBorders>
          <w:top w:val="single" w:color="FFFFFF" w:sz="4" w:space="0"/>
          <w:bottom w:val="single" w:color="FFFFFF" w:sz="4" w:space="0"/>
        </w:tcBorders>
        <w:shd w:val="clear" w:color="4F81BD" w:fill="4F81BD"/>
      </w:tcPr>
    </w:tblStylePr>
    <w:tblStylePr w:type="band2Horz">
      <w:tcPr>
        <w:tcBorders>
          <w:top w:val="single" w:color="FFFFFF" w:sz="4" w:space="0"/>
          <w:bottom w:val="single" w:color="FFFFFF" w:sz="4" w:space="0"/>
        </w:tcBorders>
        <w:shd w:val="clear" w:color="4F81BD" w:fill="4F81BD"/>
      </w:tcPr>
    </w:tblStylePr>
  </w:style>
  <w:style w:type="table" w:customStyle="1" w:styleId="1850">
    <w:name w:val="List Table 5 Dark - Accent 29"/>
    <w:basedOn w:val="13"/>
    <w:uiPriority w:val="99"/>
    <w:rPr>
      <w:sz w:val="22"/>
      <w:szCs w:val="22"/>
      <w:lang w:eastAsia="en-US"/>
    </w:rPr>
    <w:tblPr>
      <w:tblBorders>
        <w:top w:val="single" w:color="D99695" w:sz="32" w:space="0"/>
        <w:left w:val="single" w:color="D99695" w:sz="32" w:space="0"/>
        <w:bottom w:val="single" w:color="D99695" w:sz="32" w:space="0"/>
        <w:right w:val="single" w:color="D99695" w:sz="32" w:space="0"/>
      </w:tblBorders>
      <w:tblCellMar>
        <w:top w:w="0" w:type="dxa"/>
        <w:left w:w="108" w:type="dxa"/>
        <w:bottom w:w="0" w:type="dxa"/>
        <w:right w:w="108" w:type="dxa"/>
      </w:tblCellMar>
    </w:tblPr>
    <w:tblStylePr w:type="firstRow">
      <w:rPr>
        <w:rFonts w:ascii="Arial" w:hAnsi="Arial"/>
        <w:b/>
        <w:color w:val="FFFFFF"/>
        <w:sz w:val="22"/>
      </w:rPr>
      <w:tcPr>
        <w:tcBorders>
          <w:top w:val="single" w:color="D99695" w:sz="32" w:space="0"/>
          <w:bottom w:val="single" w:color="FFFFFF" w:sz="12" w:space="0"/>
        </w:tcBorders>
        <w:shd w:val="clear" w:color="D99695" w:fill="D99695"/>
      </w:tcPr>
    </w:tblStylePr>
    <w:tblStylePr w:type="lastRow">
      <w:rPr>
        <w:rFonts w:ascii="Arial" w:hAnsi="Arial"/>
        <w:b/>
        <w:color w:val="FFFFFF"/>
        <w:sz w:val="22"/>
      </w:rPr>
    </w:tblStylePr>
    <w:tblStylePr w:type="firstCol">
      <w:rPr>
        <w:rFonts w:ascii="Arial" w:hAnsi="Arial"/>
        <w:b/>
        <w:color w:val="FFFFFF"/>
        <w:sz w:val="22"/>
      </w:rPr>
      <w:tcPr>
        <w:tcBorders>
          <w:left w:val="single" w:color="D99695" w:sz="32" w:space="0"/>
          <w:right w:val="single" w:color="FFFFFF" w:sz="4" w:space="0"/>
        </w:tcBorders>
      </w:tcPr>
    </w:tblStylePr>
    <w:tblStylePr w:type="lastCol">
      <w:tcPr>
        <w:tcBorders>
          <w:left w:val="single" w:color="FFFFFF" w:sz="4" w:space="0"/>
          <w:right w:val="single" w:color="D99695" w:sz="32" w:space="0"/>
        </w:tcBorders>
      </w:tcPr>
    </w:tblStylePr>
    <w:tblStylePr w:type="band1Vert">
      <w:tcPr>
        <w:tcBorders>
          <w:left w:val="single" w:color="FFFFFF" w:sz="4" w:space="0"/>
          <w:right w:val="single" w:color="FFFFFF" w:sz="4" w:space="0"/>
        </w:tcBorders>
        <w:shd w:val="clear" w:color="D99695" w:fill="D99695"/>
      </w:tcPr>
    </w:tblStylePr>
    <w:tblStylePr w:type="band2Vert">
      <w:tcPr>
        <w:tcBorders>
          <w:left w:val="single" w:color="FFFFFF" w:sz="4" w:space="0"/>
          <w:right w:val="single" w:color="FFFFFF" w:sz="4" w:space="0"/>
        </w:tcBorders>
      </w:tcPr>
    </w:tblStylePr>
    <w:tblStylePr w:type="band1Horz">
      <w:tcPr>
        <w:tcBorders>
          <w:top w:val="single" w:color="FFFFFF" w:sz="4" w:space="0"/>
          <w:bottom w:val="single" w:color="FFFFFF" w:sz="4" w:space="0"/>
        </w:tcBorders>
        <w:shd w:val="clear" w:color="D99695" w:fill="D99695"/>
      </w:tcPr>
    </w:tblStylePr>
    <w:tblStylePr w:type="band2Horz">
      <w:tcPr>
        <w:tcBorders>
          <w:top w:val="single" w:color="FFFFFF" w:sz="4" w:space="0"/>
          <w:bottom w:val="single" w:color="FFFFFF" w:sz="4" w:space="0"/>
        </w:tcBorders>
        <w:shd w:val="clear" w:color="D99695" w:fill="D99695"/>
      </w:tcPr>
    </w:tblStylePr>
  </w:style>
  <w:style w:type="table" w:customStyle="1" w:styleId="1851">
    <w:name w:val="List Table 5 Dark - Accent 39"/>
    <w:basedOn w:val="13"/>
    <w:uiPriority w:val="99"/>
    <w:rPr>
      <w:sz w:val="22"/>
      <w:szCs w:val="22"/>
      <w:lang w:eastAsia="en-US"/>
    </w:rPr>
    <w:tblPr>
      <w:tblBorders>
        <w:top w:val="single" w:color="C3D69B" w:sz="32" w:space="0"/>
        <w:left w:val="single" w:color="C3D69B" w:sz="32" w:space="0"/>
        <w:bottom w:val="single" w:color="C3D69B" w:sz="32" w:space="0"/>
        <w:right w:val="single" w:color="C3D69B" w:sz="32" w:space="0"/>
      </w:tblBorders>
      <w:tblCellMar>
        <w:top w:w="0" w:type="dxa"/>
        <w:left w:w="108" w:type="dxa"/>
        <w:bottom w:w="0" w:type="dxa"/>
        <w:right w:w="108" w:type="dxa"/>
      </w:tblCellMar>
    </w:tblPr>
    <w:tblStylePr w:type="firstRow">
      <w:rPr>
        <w:rFonts w:ascii="Arial" w:hAnsi="Arial"/>
        <w:b/>
        <w:color w:val="FFFFFF"/>
        <w:sz w:val="22"/>
      </w:rPr>
      <w:tcPr>
        <w:tcBorders>
          <w:top w:val="single" w:color="C3D69B" w:sz="32" w:space="0"/>
          <w:bottom w:val="single" w:color="FFFFFF" w:sz="12" w:space="0"/>
        </w:tcBorders>
        <w:shd w:val="clear" w:color="C3D69B" w:fill="C3D69B"/>
      </w:tcPr>
    </w:tblStylePr>
    <w:tblStylePr w:type="lastRow">
      <w:rPr>
        <w:rFonts w:ascii="Arial" w:hAnsi="Arial"/>
        <w:b/>
        <w:color w:val="FFFFFF"/>
        <w:sz w:val="22"/>
      </w:rPr>
    </w:tblStylePr>
    <w:tblStylePr w:type="firstCol">
      <w:rPr>
        <w:rFonts w:ascii="Arial" w:hAnsi="Arial"/>
        <w:b/>
        <w:color w:val="FFFFFF"/>
        <w:sz w:val="22"/>
      </w:rPr>
      <w:tcPr>
        <w:tcBorders>
          <w:left w:val="single" w:color="C3D69B" w:sz="32" w:space="0"/>
          <w:right w:val="single" w:color="FFFFFF" w:sz="4" w:space="0"/>
        </w:tcBorders>
      </w:tcPr>
    </w:tblStylePr>
    <w:tblStylePr w:type="lastCol">
      <w:tcPr>
        <w:tcBorders>
          <w:left w:val="single" w:color="FFFFFF" w:sz="4" w:space="0"/>
          <w:right w:val="single" w:color="C3D69B" w:sz="32" w:space="0"/>
        </w:tcBorders>
      </w:tcPr>
    </w:tblStylePr>
    <w:tblStylePr w:type="band1Vert">
      <w:tcPr>
        <w:tcBorders>
          <w:left w:val="single" w:color="FFFFFF" w:sz="4" w:space="0"/>
          <w:right w:val="single" w:color="FFFFFF" w:sz="4" w:space="0"/>
        </w:tcBorders>
        <w:shd w:val="clear" w:color="C3D69B" w:fill="C3D69B"/>
      </w:tcPr>
    </w:tblStylePr>
    <w:tblStylePr w:type="band2Vert">
      <w:tcPr>
        <w:tcBorders>
          <w:left w:val="single" w:color="FFFFFF" w:sz="4" w:space="0"/>
          <w:right w:val="single" w:color="FFFFFF" w:sz="4" w:space="0"/>
        </w:tcBorders>
      </w:tcPr>
    </w:tblStylePr>
    <w:tblStylePr w:type="band1Horz">
      <w:tcPr>
        <w:tcBorders>
          <w:top w:val="single" w:color="FFFFFF" w:sz="4" w:space="0"/>
          <w:bottom w:val="single" w:color="FFFFFF" w:sz="4" w:space="0"/>
        </w:tcBorders>
        <w:shd w:val="clear" w:color="C3D69B" w:fill="C3D69B"/>
      </w:tcPr>
    </w:tblStylePr>
    <w:tblStylePr w:type="band2Horz">
      <w:tcPr>
        <w:tcBorders>
          <w:top w:val="single" w:color="FFFFFF" w:sz="4" w:space="0"/>
          <w:bottom w:val="single" w:color="FFFFFF" w:sz="4" w:space="0"/>
        </w:tcBorders>
        <w:shd w:val="clear" w:color="C3D69B" w:fill="C3D69B"/>
      </w:tcPr>
    </w:tblStylePr>
  </w:style>
  <w:style w:type="table" w:customStyle="1" w:styleId="1852">
    <w:name w:val="List Table 5 Dark - Accent 49"/>
    <w:basedOn w:val="13"/>
    <w:uiPriority w:val="99"/>
    <w:rPr>
      <w:sz w:val="22"/>
      <w:szCs w:val="22"/>
      <w:lang w:eastAsia="en-US"/>
    </w:rPr>
    <w:tblPr>
      <w:tblBorders>
        <w:top w:val="single" w:color="B2A1C6" w:sz="32" w:space="0"/>
        <w:left w:val="single" w:color="B2A1C6" w:sz="32" w:space="0"/>
        <w:bottom w:val="single" w:color="B2A1C6" w:sz="32" w:space="0"/>
        <w:right w:val="single" w:color="B2A1C6" w:sz="32" w:space="0"/>
      </w:tblBorders>
      <w:tblCellMar>
        <w:top w:w="0" w:type="dxa"/>
        <w:left w:w="108" w:type="dxa"/>
        <w:bottom w:w="0" w:type="dxa"/>
        <w:right w:w="108" w:type="dxa"/>
      </w:tblCellMar>
    </w:tblPr>
    <w:tblStylePr w:type="firstRow">
      <w:rPr>
        <w:rFonts w:ascii="Arial" w:hAnsi="Arial"/>
        <w:b/>
        <w:color w:val="FFFFFF"/>
        <w:sz w:val="22"/>
      </w:rPr>
      <w:tcPr>
        <w:tcBorders>
          <w:top w:val="single" w:color="B2A1C6" w:sz="32" w:space="0"/>
          <w:bottom w:val="single" w:color="FFFFFF" w:sz="12" w:space="0"/>
        </w:tcBorders>
        <w:shd w:val="clear" w:color="B2A1C6" w:fill="B2A1C6"/>
      </w:tcPr>
    </w:tblStylePr>
    <w:tblStylePr w:type="lastRow">
      <w:rPr>
        <w:rFonts w:ascii="Arial" w:hAnsi="Arial"/>
        <w:b/>
        <w:color w:val="FFFFFF"/>
        <w:sz w:val="22"/>
      </w:rPr>
    </w:tblStylePr>
    <w:tblStylePr w:type="firstCol">
      <w:rPr>
        <w:rFonts w:ascii="Arial" w:hAnsi="Arial"/>
        <w:b/>
        <w:color w:val="FFFFFF"/>
        <w:sz w:val="22"/>
      </w:rPr>
      <w:tcPr>
        <w:tcBorders>
          <w:left w:val="single" w:color="B2A1C6" w:sz="32" w:space="0"/>
          <w:right w:val="single" w:color="FFFFFF" w:sz="4" w:space="0"/>
        </w:tcBorders>
      </w:tcPr>
    </w:tblStylePr>
    <w:tblStylePr w:type="lastCol">
      <w:tcPr>
        <w:tcBorders>
          <w:left w:val="single" w:color="FFFFFF" w:sz="4" w:space="0"/>
          <w:right w:val="single" w:color="B2A1C6" w:sz="32" w:space="0"/>
        </w:tcBorders>
      </w:tcPr>
    </w:tblStylePr>
    <w:tblStylePr w:type="band1Vert">
      <w:tcPr>
        <w:tcBorders>
          <w:left w:val="single" w:color="FFFFFF" w:sz="4" w:space="0"/>
          <w:right w:val="single" w:color="FFFFFF" w:sz="4" w:space="0"/>
        </w:tcBorders>
        <w:shd w:val="clear" w:color="B2A1C6" w:fill="B2A1C6"/>
      </w:tcPr>
    </w:tblStylePr>
    <w:tblStylePr w:type="band2Vert">
      <w:tcPr>
        <w:tcBorders>
          <w:left w:val="single" w:color="FFFFFF" w:sz="4" w:space="0"/>
          <w:right w:val="single" w:color="FFFFFF" w:sz="4" w:space="0"/>
        </w:tcBorders>
      </w:tcPr>
    </w:tblStylePr>
    <w:tblStylePr w:type="band1Horz">
      <w:tcPr>
        <w:tcBorders>
          <w:top w:val="single" w:color="FFFFFF" w:sz="4" w:space="0"/>
          <w:bottom w:val="single" w:color="FFFFFF" w:sz="4" w:space="0"/>
        </w:tcBorders>
        <w:shd w:val="clear" w:color="B2A1C6" w:fill="B2A1C6"/>
      </w:tcPr>
    </w:tblStylePr>
    <w:tblStylePr w:type="band2Horz">
      <w:tcPr>
        <w:tcBorders>
          <w:top w:val="single" w:color="FFFFFF" w:sz="4" w:space="0"/>
          <w:bottom w:val="single" w:color="FFFFFF" w:sz="4" w:space="0"/>
        </w:tcBorders>
        <w:shd w:val="clear" w:color="B2A1C6" w:fill="B2A1C6"/>
      </w:tcPr>
    </w:tblStylePr>
  </w:style>
  <w:style w:type="table" w:customStyle="1" w:styleId="1853">
    <w:name w:val="List Table 5 Dark - Accent 59"/>
    <w:basedOn w:val="13"/>
    <w:uiPriority w:val="99"/>
    <w:rPr>
      <w:sz w:val="22"/>
      <w:szCs w:val="22"/>
      <w:lang w:eastAsia="en-US"/>
    </w:rPr>
    <w:tblPr>
      <w:tblBorders>
        <w:top w:val="single" w:color="92CCDC" w:sz="32" w:space="0"/>
        <w:left w:val="single" w:color="92CCDC" w:sz="32" w:space="0"/>
        <w:bottom w:val="single" w:color="92CCDC" w:sz="32" w:space="0"/>
        <w:right w:val="single" w:color="92CCDC" w:sz="32" w:space="0"/>
      </w:tblBorders>
      <w:tblCellMar>
        <w:top w:w="0" w:type="dxa"/>
        <w:left w:w="108" w:type="dxa"/>
        <w:bottom w:w="0" w:type="dxa"/>
        <w:right w:w="108" w:type="dxa"/>
      </w:tblCellMar>
    </w:tblPr>
    <w:tblStylePr w:type="firstRow">
      <w:rPr>
        <w:rFonts w:ascii="Arial" w:hAnsi="Arial"/>
        <w:b/>
        <w:color w:val="FFFFFF"/>
        <w:sz w:val="22"/>
      </w:rPr>
      <w:tcPr>
        <w:tcBorders>
          <w:top w:val="single" w:color="92CCDC" w:sz="32" w:space="0"/>
          <w:bottom w:val="single" w:color="FFFFFF" w:sz="12" w:space="0"/>
        </w:tcBorders>
        <w:shd w:val="clear" w:color="92CCDC" w:fill="92CCDC"/>
      </w:tcPr>
    </w:tblStylePr>
    <w:tblStylePr w:type="lastRow">
      <w:rPr>
        <w:rFonts w:ascii="Arial" w:hAnsi="Arial"/>
        <w:b/>
        <w:color w:val="FFFFFF"/>
        <w:sz w:val="22"/>
      </w:rPr>
    </w:tblStylePr>
    <w:tblStylePr w:type="firstCol">
      <w:rPr>
        <w:rFonts w:ascii="Arial" w:hAnsi="Arial"/>
        <w:b/>
        <w:color w:val="FFFFFF"/>
        <w:sz w:val="22"/>
      </w:rPr>
      <w:tcPr>
        <w:tcBorders>
          <w:left w:val="single" w:color="92CCDC" w:sz="32" w:space="0"/>
          <w:right w:val="single" w:color="FFFFFF" w:sz="4" w:space="0"/>
        </w:tcBorders>
      </w:tcPr>
    </w:tblStylePr>
    <w:tblStylePr w:type="lastCol">
      <w:tcPr>
        <w:tcBorders>
          <w:left w:val="single" w:color="FFFFFF" w:sz="4" w:space="0"/>
          <w:right w:val="single" w:color="92CCDC" w:sz="32" w:space="0"/>
        </w:tcBorders>
      </w:tcPr>
    </w:tblStylePr>
    <w:tblStylePr w:type="band1Vert">
      <w:tcPr>
        <w:tcBorders>
          <w:left w:val="single" w:color="FFFFFF" w:sz="4" w:space="0"/>
          <w:right w:val="single" w:color="FFFFFF" w:sz="4" w:space="0"/>
        </w:tcBorders>
        <w:shd w:val="clear" w:color="92CCDC" w:fill="92CCDC"/>
      </w:tcPr>
    </w:tblStylePr>
    <w:tblStylePr w:type="band2Vert">
      <w:tcPr>
        <w:tcBorders>
          <w:left w:val="single" w:color="FFFFFF" w:sz="4" w:space="0"/>
          <w:right w:val="single" w:color="FFFFFF" w:sz="4" w:space="0"/>
        </w:tcBorders>
      </w:tcPr>
    </w:tblStylePr>
    <w:tblStylePr w:type="band1Horz">
      <w:tcPr>
        <w:tcBorders>
          <w:top w:val="single" w:color="FFFFFF" w:sz="4" w:space="0"/>
          <w:bottom w:val="single" w:color="FFFFFF" w:sz="4" w:space="0"/>
        </w:tcBorders>
        <w:shd w:val="clear" w:color="92CCDC" w:fill="92CCDC"/>
      </w:tcPr>
    </w:tblStylePr>
    <w:tblStylePr w:type="band2Horz">
      <w:tcPr>
        <w:tcBorders>
          <w:top w:val="single" w:color="FFFFFF" w:sz="4" w:space="0"/>
          <w:bottom w:val="single" w:color="FFFFFF" w:sz="4" w:space="0"/>
        </w:tcBorders>
        <w:shd w:val="clear" w:color="92CCDC" w:fill="92CCDC"/>
      </w:tcPr>
    </w:tblStylePr>
  </w:style>
  <w:style w:type="table" w:customStyle="1" w:styleId="1854">
    <w:name w:val="List Table 5 Dark - Accent 69"/>
    <w:basedOn w:val="13"/>
    <w:uiPriority w:val="99"/>
    <w:rPr>
      <w:sz w:val="22"/>
      <w:szCs w:val="22"/>
      <w:lang w:eastAsia="en-US"/>
    </w:rPr>
    <w:tblPr>
      <w:tblBorders>
        <w:top w:val="single" w:color="FAC090" w:sz="32" w:space="0"/>
        <w:left w:val="single" w:color="FAC090" w:sz="32" w:space="0"/>
        <w:bottom w:val="single" w:color="FAC090" w:sz="32" w:space="0"/>
        <w:right w:val="single" w:color="FAC090" w:sz="32" w:space="0"/>
      </w:tblBorders>
      <w:tblCellMar>
        <w:top w:w="0" w:type="dxa"/>
        <w:left w:w="108" w:type="dxa"/>
        <w:bottom w:w="0" w:type="dxa"/>
        <w:right w:w="108" w:type="dxa"/>
      </w:tblCellMar>
    </w:tblPr>
    <w:tblStylePr w:type="firstRow">
      <w:rPr>
        <w:rFonts w:ascii="Arial" w:hAnsi="Arial"/>
        <w:b/>
        <w:color w:val="FFFFFF"/>
        <w:sz w:val="22"/>
      </w:rPr>
      <w:tcPr>
        <w:tcBorders>
          <w:top w:val="single" w:color="FAC090" w:sz="32" w:space="0"/>
          <w:bottom w:val="single" w:color="FFFFFF" w:sz="12" w:space="0"/>
        </w:tcBorders>
        <w:shd w:val="clear" w:color="FAC090" w:fill="FAC090"/>
      </w:tcPr>
    </w:tblStylePr>
    <w:tblStylePr w:type="lastRow">
      <w:rPr>
        <w:rFonts w:ascii="Arial" w:hAnsi="Arial"/>
        <w:b/>
        <w:color w:val="FFFFFF"/>
        <w:sz w:val="22"/>
      </w:rPr>
    </w:tblStylePr>
    <w:tblStylePr w:type="firstCol">
      <w:rPr>
        <w:rFonts w:ascii="Arial" w:hAnsi="Arial"/>
        <w:b/>
        <w:color w:val="FFFFFF"/>
        <w:sz w:val="22"/>
      </w:rPr>
      <w:tcPr>
        <w:tcBorders>
          <w:left w:val="single" w:color="FAC090" w:sz="32" w:space="0"/>
          <w:right w:val="single" w:color="FFFFFF" w:sz="4" w:space="0"/>
        </w:tcBorders>
      </w:tcPr>
    </w:tblStylePr>
    <w:tblStylePr w:type="lastCol">
      <w:tcPr>
        <w:tcBorders>
          <w:left w:val="single" w:color="FFFFFF" w:sz="4" w:space="0"/>
          <w:right w:val="single" w:color="FAC090" w:sz="32" w:space="0"/>
        </w:tcBorders>
      </w:tcPr>
    </w:tblStylePr>
    <w:tblStylePr w:type="band1Vert">
      <w:tcPr>
        <w:tcBorders>
          <w:left w:val="single" w:color="FFFFFF" w:sz="4" w:space="0"/>
          <w:right w:val="single" w:color="FFFFFF" w:sz="4" w:space="0"/>
        </w:tcBorders>
        <w:shd w:val="clear" w:color="FAC090" w:fill="FAC090"/>
      </w:tcPr>
    </w:tblStylePr>
    <w:tblStylePr w:type="band2Vert">
      <w:tcPr>
        <w:tcBorders>
          <w:left w:val="single" w:color="FFFFFF" w:sz="4" w:space="0"/>
          <w:right w:val="single" w:color="FFFFFF" w:sz="4" w:space="0"/>
        </w:tcBorders>
      </w:tcPr>
    </w:tblStylePr>
    <w:tblStylePr w:type="band1Horz">
      <w:tcPr>
        <w:tcBorders>
          <w:top w:val="single" w:color="FFFFFF" w:sz="4" w:space="0"/>
          <w:bottom w:val="single" w:color="FFFFFF" w:sz="4" w:space="0"/>
        </w:tcBorders>
        <w:shd w:val="clear" w:color="FAC090" w:fill="FAC090"/>
      </w:tcPr>
    </w:tblStylePr>
    <w:tblStylePr w:type="band2Horz">
      <w:tcPr>
        <w:tcBorders>
          <w:top w:val="single" w:color="FFFFFF" w:sz="4" w:space="0"/>
          <w:bottom w:val="single" w:color="FFFFFF" w:sz="4" w:space="0"/>
        </w:tcBorders>
        <w:shd w:val="clear" w:color="FAC090" w:fill="FAC090"/>
      </w:tcPr>
    </w:tblStylePr>
  </w:style>
  <w:style w:type="table" w:customStyle="1" w:styleId="1855">
    <w:name w:val="Список-таблица 6 цветная17"/>
    <w:basedOn w:val="13"/>
    <w:uiPriority w:val="99"/>
    <w:rPr>
      <w:sz w:val="22"/>
      <w:szCs w:val="22"/>
      <w:lang w:eastAsia="en-US"/>
    </w:rPr>
    <w:tblPr>
      <w:tblBorders>
        <w:top w:val="single" w:color="7F7F7F" w:sz="4" w:space="0"/>
        <w:bottom w:val="single" w:color="7F7F7F" w:sz="4" w:space="0"/>
      </w:tblBorders>
      <w:tblCellMar>
        <w:top w:w="0" w:type="dxa"/>
        <w:left w:w="108" w:type="dxa"/>
        <w:bottom w:w="0" w:type="dxa"/>
        <w:right w:w="108" w:type="dxa"/>
      </w:tblCellMar>
    </w:tblPr>
    <w:tblStylePr w:type="firstRow">
      <w:rPr>
        <w:b/>
        <w:color w:val="000000"/>
      </w:rPr>
      <w:tcPr>
        <w:tcBorders>
          <w:bottom w:val="single" w:color="7F7F7F" w:sz="4" w:space="0"/>
        </w:tcBorders>
      </w:tcPr>
    </w:tblStylePr>
    <w:tblStylePr w:type="lastRow">
      <w:rPr>
        <w:b/>
        <w:color w:val="000000"/>
      </w:rPr>
      <w:tcPr>
        <w:tcBorders>
          <w:top w:val="single" w:color="7F7F7F" w:sz="4" w:space="0"/>
        </w:tcBorders>
      </w:tcPr>
    </w:tblStylePr>
    <w:tblStylePr w:type="firstCol">
      <w:rPr>
        <w:b/>
        <w:color w:val="000000"/>
      </w:rPr>
    </w:tblStylePr>
    <w:tblStylePr w:type="lastCol">
      <w:rPr>
        <w:b/>
        <w:color w:val="000000"/>
      </w:rPr>
    </w:tblStylePr>
    <w:tblStylePr w:type="band1Vert">
      <w:tcPr>
        <w:shd w:val="clear" w:color="BFBFBF" w:fill="BFBFBF"/>
      </w:tcPr>
    </w:tblStylePr>
    <w:tblStylePr w:type="band1Horz">
      <w:rPr>
        <w:rFonts w:ascii="Arial" w:hAnsi="Arial"/>
        <w:color w:val="000000"/>
        <w:sz w:val="22"/>
      </w:rPr>
      <w:tcPr>
        <w:shd w:val="clear" w:color="BFBFBF" w:fill="BFBFBF"/>
      </w:tcPr>
    </w:tblStylePr>
    <w:tblStylePr w:type="band2Horz">
      <w:rPr>
        <w:rFonts w:ascii="Arial" w:hAnsi="Arial"/>
        <w:color w:val="000000"/>
        <w:sz w:val="22"/>
      </w:rPr>
    </w:tblStylePr>
  </w:style>
  <w:style w:type="table" w:customStyle="1" w:styleId="1856">
    <w:name w:val="List Table 6 Colorful - Accent 19"/>
    <w:basedOn w:val="13"/>
    <w:uiPriority w:val="99"/>
    <w:rPr>
      <w:sz w:val="22"/>
      <w:szCs w:val="22"/>
      <w:lang w:eastAsia="en-US"/>
    </w:rPr>
    <w:tblPr>
      <w:tblBorders>
        <w:top w:val="single" w:color="4F81BD" w:sz="4" w:space="0"/>
        <w:bottom w:val="single" w:color="4F81BD" w:sz="4" w:space="0"/>
      </w:tblBorders>
      <w:tblCellMar>
        <w:top w:w="0" w:type="dxa"/>
        <w:left w:w="108" w:type="dxa"/>
        <w:bottom w:w="0" w:type="dxa"/>
        <w:right w:w="108" w:type="dxa"/>
      </w:tblCellMar>
    </w:tblPr>
    <w:tblStylePr w:type="firstRow">
      <w:rPr>
        <w:b/>
        <w:color w:val="2A4A71"/>
      </w:rPr>
      <w:tcPr>
        <w:tcBorders>
          <w:bottom w:val="single" w:color="4F81BD" w:sz="4" w:space="0"/>
        </w:tcBorders>
      </w:tcPr>
    </w:tblStylePr>
    <w:tblStylePr w:type="lastRow">
      <w:rPr>
        <w:b/>
        <w:color w:val="2A4A71"/>
      </w:rPr>
      <w:tcPr>
        <w:tcBorders>
          <w:top w:val="single" w:color="4F81BD" w:sz="4" w:space="0"/>
        </w:tcBorders>
      </w:tcPr>
    </w:tblStylePr>
    <w:tblStylePr w:type="firstCol">
      <w:rPr>
        <w:b/>
        <w:color w:val="2A4A71"/>
      </w:rPr>
    </w:tblStylePr>
    <w:tblStylePr w:type="lastCol">
      <w:rPr>
        <w:b/>
        <w:color w:val="2A4A71"/>
      </w:rPr>
    </w:tblStylePr>
    <w:tblStylePr w:type="band1Vert">
      <w:tcPr>
        <w:shd w:val="clear" w:color="D2DFEE" w:fill="D2DFEE"/>
      </w:tcPr>
    </w:tblStylePr>
    <w:tblStylePr w:type="band1Horz">
      <w:rPr>
        <w:rFonts w:ascii="Arial" w:hAnsi="Arial"/>
        <w:color w:val="2A4A71"/>
        <w:sz w:val="22"/>
      </w:rPr>
      <w:tcPr>
        <w:shd w:val="clear" w:color="D2DFEE" w:fill="D2DFEE"/>
      </w:tcPr>
    </w:tblStylePr>
    <w:tblStylePr w:type="band2Horz">
      <w:rPr>
        <w:rFonts w:ascii="Arial" w:hAnsi="Arial"/>
        <w:color w:val="2A4A71"/>
        <w:sz w:val="22"/>
      </w:rPr>
    </w:tblStylePr>
  </w:style>
  <w:style w:type="table" w:customStyle="1" w:styleId="1857">
    <w:name w:val="List Table 6 Colorful - Accent 29"/>
    <w:basedOn w:val="13"/>
    <w:uiPriority w:val="99"/>
    <w:rPr>
      <w:sz w:val="22"/>
      <w:szCs w:val="22"/>
      <w:lang w:eastAsia="en-US"/>
    </w:rPr>
    <w:tblPr>
      <w:tblBorders>
        <w:top w:val="single" w:color="D99695" w:sz="4" w:space="0"/>
        <w:bottom w:val="single" w:color="D99695" w:sz="4" w:space="0"/>
      </w:tblBorders>
      <w:tblCellMar>
        <w:top w:w="0" w:type="dxa"/>
        <w:left w:w="108" w:type="dxa"/>
        <w:bottom w:w="0" w:type="dxa"/>
        <w:right w:w="108" w:type="dxa"/>
      </w:tblCellMar>
    </w:tblPr>
    <w:tblStylePr w:type="firstRow">
      <w:rPr>
        <w:b/>
        <w:color w:val="D99695"/>
      </w:rPr>
      <w:tcPr>
        <w:tcBorders>
          <w:bottom w:val="single" w:color="D99695" w:sz="4" w:space="0"/>
        </w:tcBorders>
      </w:tcPr>
    </w:tblStylePr>
    <w:tblStylePr w:type="lastRow">
      <w:rPr>
        <w:b/>
        <w:color w:val="D99695"/>
      </w:rPr>
      <w:tcPr>
        <w:tcBorders>
          <w:top w:val="single" w:color="D99695" w:sz="4" w:space="0"/>
        </w:tcBorders>
      </w:tcPr>
    </w:tblStylePr>
    <w:tblStylePr w:type="firstCol">
      <w:rPr>
        <w:b/>
        <w:color w:val="D99695"/>
      </w:rPr>
    </w:tblStylePr>
    <w:tblStylePr w:type="lastCol">
      <w:rPr>
        <w:b/>
        <w:color w:val="D99695"/>
      </w:rPr>
    </w:tblStylePr>
    <w:tblStylePr w:type="band1Vert">
      <w:tcPr>
        <w:shd w:val="clear" w:color="EFD2D2" w:fill="EFD2D2"/>
      </w:tcPr>
    </w:tblStylePr>
    <w:tblStylePr w:type="band1Horz">
      <w:rPr>
        <w:rFonts w:ascii="Arial" w:hAnsi="Arial"/>
        <w:color w:val="D99695"/>
        <w:sz w:val="22"/>
      </w:rPr>
      <w:tcPr>
        <w:shd w:val="clear" w:color="EFD2D2" w:fill="EFD2D2"/>
      </w:tcPr>
    </w:tblStylePr>
    <w:tblStylePr w:type="band2Horz">
      <w:rPr>
        <w:rFonts w:ascii="Arial" w:hAnsi="Arial"/>
        <w:color w:val="D99695"/>
        <w:sz w:val="22"/>
      </w:rPr>
    </w:tblStylePr>
  </w:style>
  <w:style w:type="table" w:customStyle="1" w:styleId="1858">
    <w:name w:val="List Table 6 Colorful - Accent 39"/>
    <w:basedOn w:val="13"/>
    <w:uiPriority w:val="99"/>
    <w:rPr>
      <w:sz w:val="22"/>
      <w:szCs w:val="22"/>
      <w:lang w:eastAsia="en-US"/>
    </w:rPr>
    <w:tblPr>
      <w:tblBorders>
        <w:top w:val="single" w:color="C3D69B" w:sz="4" w:space="0"/>
        <w:bottom w:val="single" w:color="C3D69B" w:sz="4" w:space="0"/>
      </w:tblBorders>
      <w:tblCellMar>
        <w:top w:w="0" w:type="dxa"/>
        <w:left w:w="108" w:type="dxa"/>
        <w:bottom w:w="0" w:type="dxa"/>
        <w:right w:w="108" w:type="dxa"/>
      </w:tblCellMar>
    </w:tblPr>
    <w:tblStylePr w:type="firstRow">
      <w:rPr>
        <w:b/>
        <w:color w:val="C3D69B"/>
      </w:rPr>
      <w:tcPr>
        <w:tcBorders>
          <w:bottom w:val="single" w:color="C3D69B" w:sz="4" w:space="0"/>
        </w:tcBorders>
      </w:tcPr>
    </w:tblStylePr>
    <w:tblStylePr w:type="lastRow">
      <w:rPr>
        <w:b/>
        <w:color w:val="C3D69B"/>
      </w:rPr>
      <w:tcPr>
        <w:tcBorders>
          <w:top w:val="single" w:color="C3D69B" w:sz="4" w:space="0"/>
        </w:tcBorders>
      </w:tcPr>
    </w:tblStylePr>
    <w:tblStylePr w:type="firstCol">
      <w:rPr>
        <w:b/>
        <w:color w:val="C3D69B"/>
      </w:rPr>
    </w:tblStylePr>
    <w:tblStylePr w:type="lastCol">
      <w:rPr>
        <w:b/>
        <w:color w:val="C3D69B"/>
      </w:rPr>
    </w:tblStylePr>
    <w:tblStylePr w:type="band1Vert">
      <w:tcPr>
        <w:shd w:val="clear" w:color="E5EED5" w:fill="E5EED5"/>
      </w:tcPr>
    </w:tblStylePr>
    <w:tblStylePr w:type="band1Horz">
      <w:rPr>
        <w:rFonts w:ascii="Arial" w:hAnsi="Arial"/>
        <w:color w:val="C3D69B"/>
        <w:sz w:val="22"/>
      </w:rPr>
      <w:tcPr>
        <w:shd w:val="clear" w:color="E5EED5" w:fill="E5EED5"/>
      </w:tcPr>
    </w:tblStylePr>
    <w:tblStylePr w:type="band2Horz">
      <w:rPr>
        <w:rFonts w:ascii="Arial" w:hAnsi="Arial"/>
        <w:color w:val="C3D69B"/>
        <w:sz w:val="22"/>
      </w:rPr>
    </w:tblStylePr>
  </w:style>
  <w:style w:type="table" w:customStyle="1" w:styleId="1859">
    <w:name w:val="List Table 6 Colorful - Accent 49"/>
    <w:basedOn w:val="13"/>
    <w:uiPriority w:val="99"/>
    <w:rPr>
      <w:sz w:val="22"/>
      <w:szCs w:val="22"/>
      <w:lang w:eastAsia="en-US"/>
    </w:rPr>
    <w:tblPr>
      <w:tblBorders>
        <w:top w:val="single" w:color="B2A1C6" w:sz="4" w:space="0"/>
        <w:bottom w:val="single" w:color="B2A1C6" w:sz="4" w:space="0"/>
      </w:tblBorders>
      <w:tblCellMar>
        <w:top w:w="0" w:type="dxa"/>
        <w:left w:w="108" w:type="dxa"/>
        <w:bottom w:w="0" w:type="dxa"/>
        <w:right w:w="108" w:type="dxa"/>
      </w:tblCellMar>
    </w:tblPr>
    <w:tblStylePr w:type="firstRow">
      <w:rPr>
        <w:b/>
        <w:color w:val="B2A1C6"/>
      </w:rPr>
      <w:tcPr>
        <w:tcBorders>
          <w:bottom w:val="single" w:color="B2A1C6" w:sz="4" w:space="0"/>
        </w:tcBorders>
      </w:tcPr>
    </w:tblStylePr>
    <w:tblStylePr w:type="lastRow">
      <w:rPr>
        <w:b/>
        <w:color w:val="B2A1C6"/>
      </w:rPr>
      <w:tcPr>
        <w:tcBorders>
          <w:top w:val="single" w:color="B2A1C6" w:sz="4" w:space="0"/>
        </w:tcBorders>
      </w:tcPr>
    </w:tblStylePr>
    <w:tblStylePr w:type="firstCol">
      <w:rPr>
        <w:b/>
        <w:color w:val="B2A1C6"/>
      </w:rPr>
    </w:tblStylePr>
    <w:tblStylePr w:type="lastCol">
      <w:rPr>
        <w:b/>
        <w:color w:val="B2A1C6"/>
      </w:rPr>
    </w:tblStylePr>
    <w:tblStylePr w:type="band1Vert">
      <w:tcPr>
        <w:shd w:val="clear" w:color="DFD8E7" w:fill="DFD8E7"/>
      </w:tcPr>
    </w:tblStylePr>
    <w:tblStylePr w:type="band1Horz">
      <w:rPr>
        <w:rFonts w:ascii="Arial" w:hAnsi="Arial"/>
        <w:color w:val="B2A1C6"/>
        <w:sz w:val="22"/>
      </w:rPr>
      <w:tcPr>
        <w:shd w:val="clear" w:color="DFD8E7" w:fill="DFD8E7"/>
      </w:tcPr>
    </w:tblStylePr>
    <w:tblStylePr w:type="band2Horz">
      <w:rPr>
        <w:rFonts w:ascii="Arial" w:hAnsi="Arial"/>
        <w:color w:val="B2A1C6"/>
        <w:sz w:val="22"/>
      </w:rPr>
    </w:tblStylePr>
  </w:style>
  <w:style w:type="table" w:customStyle="1" w:styleId="1860">
    <w:name w:val="List Table 6 Colorful - Accent 59"/>
    <w:basedOn w:val="13"/>
    <w:uiPriority w:val="99"/>
    <w:rPr>
      <w:sz w:val="22"/>
      <w:szCs w:val="22"/>
      <w:lang w:eastAsia="en-US"/>
    </w:rPr>
    <w:tblPr>
      <w:tblBorders>
        <w:top w:val="single" w:color="92CCDC" w:sz="4" w:space="0"/>
        <w:bottom w:val="single" w:color="92CCDC" w:sz="4" w:space="0"/>
      </w:tblBorders>
      <w:tblCellMar>
        <w:top w:w="0" w:type="dxa"/>
        <w:left w:w="108" w:type="dxa"/>
        <w:bottom w:w="0" w:type="dxa"/>
        <w:right w:w="108" w:type="dxa"/>
      </w:tblCellMar>
    </w:tblPr>
    <w:tblStylePr w:type="firstRow">
      <w:rPr>
        <w:b/>
        <w:color w:val="92CCDC"/>
      </w:rPr>
      <w:tcPr>
        <w:tcBorders>
          <w:bottom w:val="single" w:color="92CCDC" w:sz="4" w:space="0"/>
        </w:tcBorders>
      </w:tcPr>
    </w:tblStylePr>
    <w:tblStylePr w:type="lastRow">
      <w:rPr>
        <w:b/>
        <w:color w:val="92CCDC"/>
      </w:rPr>
      <w:tcPr>
        <w:tcBorders>
          <w:top w:val="single" w:color="92CCDC" w:sz="4" w:space="0"/>
        </w:tcBorders>
      </w:tcPr>
    </w:tblStylePr>
    <w:tblStylePr w:type="firstCol">
      <w:rPr>
        <w:b/>
        <w:color w:val="92CCDC"/>
      </w:rPr>
    </w:tblStylePr>
    <w:tblStylePr w:type="lastCol">
      <w:rPr>
        <w:b/>
        <w:color w:val="92CCDC"/>
      </w:rPr>
    </w:tblStylePr>
    <w:tblStylePr w:type="band1Vert">
      <w:tcPr>
        <w:shd w:val="clear" w:color="D1EAF0" w:fill="D1EAF0"/>
      </w:tcPr>
    </w:tblStylePr>
    <w:tblStylePr w:type="band1Horz">
      <w:rPr>
        <w:rFonts w:ascii="Arial" w:hAnsi="Arial"/>
        <w:color w:val="92CCDC"/>
        <w:sz w:val="22"/>
      </w:rPr>
      <w:tcPr>
        <w:shd w:val="clear" w:color="D1EAF0" w:fill="D1EAF0"/>
      </w:tcPr>
    </w:tblStylePr>
    <w:tblStylePr w:type="band2Horz">
      <w:rPr>
        <w:rFonts w:ascii="Arial" w:hAnsi="Arial"/>
        <w:color w:val="92CCDC"/>
        <w:sz w:val="22"/>
      </w:rPr>
    </w:tblStylePr>
  </w:style>
  <w:style w:type="table" w:customStyle="1" w:styleId="1861">
    <w:name w:val="List Table 6 Colorful - Accent 69"/>
    <w:basedOn w:val="13"/>
    <w:uiPriority w:val="99"/>
    <w:rPr>
      <w:sz w:val="22"/>
      <w:szCs w:val="22"/>
      <w:lang w:eastAsia="en-US"/>
    </w:rPr>
    <w:tblPr>
      <w:tblBorders>
        <w:top w:val="single" w:color="FAC090" w:sz="4" w:space="0"/>
        <w:bottom w:val="single" w:color="FAC090" w:sz="4" w:space="0"/>
      </w:tblBorders>
      <w:tblCellMar>
        <w:top w:w="0" w:type="dxa"/>
        <w:left w:w="108" w:type="dxa"/>
        <w:bottom w:w="0" w:type="dxa"/>
        <w:right w:w="108" w:type="dxa"/>
      </w:tblCellMar>
    </w:tblPr>
    <w:tblStylePr w:type="firstRow">
      <w:rPr>
        <w:b/>
        <w:color w:val="FAC090"/>
      </w:rPr>
      <w:tcPr>
        <w:tcBorders>
          <w:bottom w:val="single" w:color="FAC090" w:sz="4" w:space="0"/>
        </w:tcBorders>
      </w:tcPr>
    </w:tblStylePr>
    <w:tblStylePr w:type="lastRow">
      <w:rPr>
        <w:b/>
        <w:color w:val="FAC090"/>
      </w:rPr>
      <w:tcPr>
        <w:tcBorders>
          <w:top w:val="single" w:color="FAC090" w:sz="4" w:space="0"/>
        </w:tcBorders>
      </w:tcPr>
    </w:tblStylePr>
    <w:tblStylePr w:type="firstCol">
      <w:rPr>
        <w:b/>
        <w:color w:val="FAC090"/>
      </w:rPr>
    </w:tblStylePr>
    <w:tblStylePr w:type="lastCol">
      <w:rPr>
        <w:b/>
        <w:color w:val="FAC090"/>
      </w:rPr>
    </w:tblStylePr>
    <w:tblStylePr w:type="band1Vert">
      <w:tcPr>
        <w:shd w:val="clear" w:color="FDE4D0" w:fill="FDE4D0"/>
      </w:tcPr>
    </w:tblStylePr>
    <w:tblStylePr w:type="band1Horz">
      <w:rPr>
        <w:rFonts w:ascii="Arial" w:hAnsi="Arial"/>
        <w:color w:val="FAC090"/>
        <w:sz w:val="22"/>
      </w:rPr>
      <w:tcPr>
        <w:shd w:val="clear" w:color="FDE4D0" w:fill="FDE4D0"/>
      </w:tcPr>
    </w:tblStylePr>
    <w:tblStylePr w:type="band2Horz">
      <w:rPr>
        <w:rFonts w:ascii="Arial" w:hAnsi="Arial"/>
        <w:color w:val="FAC090"/>
        <w:sz w:val="22"/>
      </w:rPr>
    </w:tblStylePr>
  </w:style>
  <w:style w:type="table" w:customStyle="1" w:styleId="1862">
    <w:name w:val="Список-таблица 7 цветная17"/>
    <w:basedOn w:val="13"/>
    <w:uiPriority w:val="99"/>
    <w:rPr>
      <w:sz w:val="22"/>
      <w:szCs w:val="22"/>
      <w:lang w:eastAsia="en-US"/>
    </w:rPr>
    <w:tblPr>
      <w:tblBorders>
        <w:right w:val="single" w:color="7F7F7F" w:sz="4" w:space="0"/>
      </w:tblBorders>
      <w:tblCellMar>
        <w:top w:w="0" w:type="dxa"/>
        <w:left w:w="108" w:type="dxa"/>
        <w:bottom w:w="0" w:type="dxa"/>
        <w:right w:w="108" w:type="dxa"/>
      </w:tblCellMar>
    </w:tblPr>
    <w:tblStylePr w:type="firstRow">
      <w:rPr>
        <w:rFonts w:ascii="Arial" w:hAnsi="Arial"/>
        <w:i/>
        <w:color w:val="7F7F7F"/>
        <w:sz w:val="22"/>
      </w:rPr>
      <w:tcPr>
        <w:tcBorders>
          <w:top w:val="nil"/>
          <w:left w:val="nil"/>
          <w:bottom w:val="single" w:color="7F7F7F" w:sz="4" w:space="0"/>
          <w:right w:val="nil"/>
        </w:tcBorders>
        <w:shd w:val="clear" w:color="FFFFFF" w:fill="FFFFFF"/>
      </w:tcPr>
    </w:tblStylePr>
    <w:tblStylePr w:type="lastRow">
      <w:rPr>
        <w:rFonts w:ascii="Arial" w:hAnsi="Arial"/>
        <w:i/>
        <w:color w:val="7F7F7F"/>
        <w:sz w:val="22"/>
      </w:rPr>
      <w:tcPr>
        <w:tcBorders>
          <w:top w:val="single" w:color="7F7F7F" w:sz="4" w:space="0"/>
          <w:left w:val="nil"/>
          <w:bottom w:val="nil"/>
          <w:right w:val="nil"/>
        </w:tcBorders>
        <w:shd w:val="clear" w:color="FFFFFF" w:fill="FFFFFF"/>
      </w:tcPr>
    </w:tblStylePr>
    <w:tblStylePr w:type="firstCol">
      <w:pPr>
        <w:jc w:val="right"/>
      </w:pPr>
      <w:rPr>
        <w:rFonts w:ascii="Arial" w:hAnsi="Arial"/>
        <w:i/>
        <w:color w:val="7F7F7F"/>
        <w:sz w:val="22"/>
      </w:rPr>
      <w:tcPr>
        <w:tcBorders>
          <w:top w:val="nil"/>
          <w:left w:val="nil"/>
          <w:bottom w:val="nil"/>
          <w:right w:val="single" w:color="7F7F7F" w:sz="4" w:space="0"/>
        </w:tcBorders>
        <w:shd w:val="clear" w:color="FFFFFF" w:fill="auto"/>
      </w:tcPr>
    </w:tblStylePr>
    <w:tblStylePr w:type="lastCol">
      <w:rPr>
        <w:rFonts w:ascii="Arial" w:hAnsi="Arial"/>
        <w:i/>
        <w:color w:val="7F7F7F"/>
        <w:sz w:val="22"/>
      </w:rPr>
      <w:tcPr>
        <w:tcBorders>
          <w:top w:val="nil"/>
          <w:left w:val="single" w:color="7F7F7F" w:sz="4" w:space="0"/>
          <w:bottom w:val="nil"/>
          <w:right w:val="nil"/>
        </w:tcBorders>
        <w:shd w:val="clear" w:color="FFFFFF" w:fill="auto"/>
      </w:tcPr>
    </w:tblStylePr>
    <w:tblStylePr w:type="band1Vert">
      <w:tcPr>
        <w:shd w:val="clear" w:color="BFBFBF" w:fill="BFBFBF"/>
      </w:tcPr>
    </w:tblStylePr>
    <w:tblStylePr w:type="band1Horz">
      <w:rPr>
        <w:rFonts w:ascii="Arial" w:hAnsi="Arial"/>
        <w:color w:val="7F7F7F"/>
        <w:sz w:val="22"/>
      </w:rPr>
      <w:tcPr>
        <w:shd w:val="clear" w:color="BFBFBF" w:fill="BFBFBF"/>
      </w:tcPr>
    </w:tblStylePr>
    <w:tblStylePr w:type="band2Horz">
      <w:rPr>
        <w:rFonts w:ascii="Arial" w:hAnsi="Arial"/>
        <w:color w:val="7F7F7F"/>
        <w:sz w:val="22"/>
      </w:rPr>
    </w:tblStylePr>
  </w:style>
  <w:style w:type="table" w:customStyle="1" w:styleId="1863">
    <w:name w:val="List Table 7 Colorful - Accent 19"/>
    <w:basedOn w:val="13"/>
    <w:uiPriority w:val="99"/>
    <w:rPr>
      <w:sz w:val="22"/>
      <w:szCs w:val="22"/>
      <w:lang w:eastAsia="en-US"/>
    </w:rPr>
    <w:tblPr>
      <w:tblBorders>
        <w:right w:val="single" w:color="4F81BD" w:sz="4" w:space="0"/>
      </w:tblBorders>
      <w:tblCellMar>
        <w:top w:w="0" w:type="dxa"/>
        <w:left w:w="108" w:type="dxa"/>
        <w:bottom w:w="0" w:type="dxa"/>
        <w:right w:w="108" w:type="dxa"/>
      </w:tblCellMar>
    </w:tblPr>
    <w:tblStylePr w:type="firstRow">
      <w:rPr>
        <w:rFonts w:ascii="Arial" w:hAnsi="Arial"/>
        <w:i/>
        <w:color w:val="2A4A71"/>
        <w:sz w:val="22"/>
      </w:rPr>
      <w:tcPr>
        <w:tcBorders>
          <w:top w:val="nil"/>
          <w:left w:val="nil"/>
          <w:bottom w:val="single" w:color="4F81BD" w:sz="4" w:space="0"/>
          <w:right w:val="nil"/>
        </w:tcBorders>
        <w:shd w:val="clear" w:color="FFFFFF" w:fill="FFFFFF"/>
      </w:tcPr>
    </w:tblStylePr>
    <w:tblStylePr w:type="lastRow">
      <w:rPr>
        <w:rFonts w:ascii="Arial" w:hAnsi="Arial"/>
        <w:i/>
        <w:color w:val="2A4A71"/>
        <w:sz w:val="22"/>
      </w:rPr>
      <w:tcPr>
        <w:tcBorders>
          <w:top w:val="single" w:color="4F81BD" w:sz="4" w:space="0"/>
          <w:left w:val="nil"/>
          <w:bottom w:val="nil"/>
          <w:right w:val="nil"/>
        </w:tcBorders>
        <w:shd w:val="clear" w:color="FFFFFF" w:fill="FFFFFF"/>
      </w:tcPr>
    </w:tblStylePr>
    <w:tblStylePr w:type="firstCol">
      <w:pPr>
        <w:jc w:val="right"/>
      </w:pPr>
      <w:rPr>
        <w:rFonts w:ascii="Arial" w:hAnsi="Arial"/>
        <w:i/>
        <w:color w:val="2A4A71"/>
        <w:sz w:val="22"/>
      </w:rPr>
      <w:tcPr>
        <w:tcBorders>
          <w:top w:val="nil"/>
          <w:left w:val="nil"/>
          <w:bottom w:val="nil"/>
          <w:right w:val="single" w:color="4F81BD" w:sz="4" w:space="0"/>
        </w:tcBorders>
        <w:shd w:val="clear" w:color="FFFFFF" w:fill="auto"/>
      </w:tcPr>
    </w:tblStylePr>
    <w:tblStylePr w:type="lastCol">
      <w:rPr>
        <w:rFonts w:ascii="Arial" w:hAnsi="Arial"/>
        <w:i/>
        <w:color w:val="2A4A71"/>
        <w:sz w:val="22"/>
      </w:rPr>
      <w:tcPr>
        <w:tcBorders>
          <w:top w:val="nil"/>
          <w:left w:val="single" w:color="4F81BD" w:sz="4" w:space="0"/>
          <w:bottom w:val="nil"/>
          <w:right w:val="nil"/>
        </w:tcBorders>
        <w:shd w:val="clear" w:color="FFFFFF" w:fill="auto"/>
      </w:tcPr>
    </w:tblStylePr>
    <w:tblStylePr w:type="band1Vert">
      <w:tcPr>
        <w:shd w:val="clear" w:color="D2DFEE" w:fill="D2DFEE"/>
      </w:tcPr>
    </w:tblStylePr>
    <w:tblStylePr w:type="band1Horz">
      <w:rPr>
        <w:rFonts w:ascii="Arial" w:hAnsi="Arial"/>
        <w:color w:val="2A4A71"/>
        <w:sz w:val="22"/>
      </w:rPr>
      <w:tcPr>
        <w:shd w:val="clear" w:color="D2DFEE" w:fill="D2DFEE"/>
      </w:tcPr>
    </w:tblStylePr>
    <w:tblStylePr w:type="band2Horz">
      <w:rPr>
        <w:rFonts w:ascii="Arial" w:hAnsi="Arial"/>
        <w:color w:val="2A4A71"/>
        <w:sz w:val="22"/>
      </w:rPr>
    </w:tblStylePr>
  </w:style>
  <w:style w:type="table" w:customStyle="1" w:styleId="1864">
    <w:name w:val="List Table 7 Colorful - Accent 29"/>
    <w:basedOn w:val="13"/>
    <w:uiPriority w:val="99"/>
    <w:rPr>
      <w:sz w:val="22"/>
      <w:szCs w:val="22"/>
      <w:lang w:eastAsia="en-US"/>
    </w:rPr>
    <w:tblPr>
      <w:tblBorders>
        <w:right w:val="single" w:color="D99695" w:sz="4" w:space="0"/>
      </w:tblBorders>
      <w:tblCellMar>
        <w:top w:w="0" w:type="dxa"/>
        <w:left w:w="108" w:type="dxa"/>
        <w:bottom w:w="0" w:type="dxa"/>
        <w:right w:w="108" w:type="dxa"/>
      </w:tblCellMar>
    </w:tblPr>
    <w:tblStylePr w:type="firstRow">
      <w:rPr>
        <w:rFonts w:ascii="Arial" w:hAnsi="Arial"/>
        <w:i/>
        <w:color w:val="D99695"/>
        <w:sz w:val="22"/>
      </w:rPr>
      <w:tcPr>
        <w:tcBorders>
          <w:top w:val="nil"/>
          <w:left w:val="nil"/>
          <w:bottom w:val="single" w:color="D99695" w:sz="4" w:space="0"/>
          <w:right w:val="nil"/>
        </w:tcBorders>
        <w:shd w:val="clear" w:color="FFFFFF" w:fill="FFFFFF"/>
      </w:tcPr>
    </w:tblStylePr>
    <w:tblStylePr w:type="lastRow">
      <w:rPr>
        <w:rFonts w:ascii="Arial" w:hAnsi="Arial"/>
        <w:i/>
        <w:color w:val="D99695"/>
        <w:sz w:val="22"/>
      </w:rPr>
      <w:tcPr>
        <w:tcBorders>
          <w:top w:val="single" w:color="D99695" w:sz="4" w:space="0"/>
          <w:left w:val="nil"/>
          <w:bottom w:val="nil"/>
          <w:right w:val="nil"/>
        </w:tcBorders>
        <w:shd w:val="clear" w:color="FFFFFF" w:fill="FFFFFF"/>
      </w:tcPr>
    </w:tblStylePr>
    <w:tblStylePr w:type="firstCol">
      <w:pPr>
        <w:jc w:val="right"/>
      </w:pPr>
      <w:rPr>
        <w:rFonts w:ascii="Arial" w:hAnsi="Arial"/>
        <w:i/>
        <w:color w:val="D99695"/>
        <w:sz w:val="22"/>
      </w:rPr>
      <w:tcPr>
        <w:tcBorders>
          <w:top w:val="nil"/>
          <w:left w:val="nil"/>
          <w:bottom w:val="nil"/>
          <w:right w:val="single" w:color="D99695" w:sz="4" w:space="0"/>
        </w:tcBorders>
        <w:shd w:val="clear" w:color="FFFFFF" w:fill="auto"/>
      </w:tcPr>
    </w:tblStylePr>
    <w:tblStylePr w:type="lastCol">
      <w:rPr>
        <w:rFonts w:ascii="Arial" w:hAnsi="Arial"/>
        <w:i/>
        <w:color w:val="D99695"/>
        <w:sz w:val="22"/>
      </w:rPr>
      <w:tcPr>
        <w:tcBorders>
          <w:top w:val="nil"/>
          <w:left w:val="single" w:color="D99695" w:sz="4" w:space="0"/>
          <w:bottom w:val="nil"/>
          <w:right w:val="nil"/>
        </w:tcBorders>
        <w:shd w:val="clear" w:color="FFFFFF" w:fill="auto"/>
      </w:tcPr>
    </w:tblStylePr>
    <w:tblStylePr w:type="band1Vert">
      <w:tcPr>
        <w:shd w:val="clear" w:color="EFD2D2" w:fill="EFD2D2"/>
      </w:tcPr>
    </w:tblStylePr>
    <w:tblStylePr w:type="band1Horz">
      <w:rPr>
        <w:rFonts w:ascii="Arial" w:hAnsi="Arial"/>
        <w:color w:val="D99695"/>
        <w:sz w:val="22"/>
      </w:rPr>
      <w:tcPr>
        <w:shd w:val="clear" w:color="EFD2D2" w:fill="EFD2D2"/>
      </w:tcPr>
    </w:tblStylePr>
    <w:tblStylePr w:type="band2Horz">
      <w:rPr>
        <w:rFonts w:ascii="Arial" w:hAnsi="Arial"/>
        <w:color w:val="D99695"/>
        <w:sz w:val="22"/>
      </w:rPr>
    </w:tblStylePr>
  </w:style>
  <w:style w:type="table" w:customStyle="1" w:styleId="1865">
    <w:name w:val="List Table 7 Colorful - Accent 39"/>
    <w:basedOn w:val="13"/>
    <w:uiPriority w:val="99"/>
    <w:rPr>
      <w:sz w:val="22"/>
      <w:szCs w:val="22"/>
      <w:lang w:eastAsia="en-US"/>
    </w:rPr>
    <w:tblPr>
      <w:tblBorders>
        <w:right w:val="single" w:color="C3D69B" w:sz="4" w:space="0"/>
      </w:tblBorders>
      <w:tblCellMar>
        <w:top w:w="0" w:type="dxa"/>
        <w:left w:w="108" w:type="dxa"/>
        <w:bottom w:w="0" w:type="dxa"/>
        <w:right w:w="108" w:type="dxa"/>
      </w:tblCellMar>
    </w:tblPr>
    <w:tblStylePr w:type="firstRow">
      <w:rPr>
        <w:rFonts w:ascii="Arial" w:hAnsi="Arial"/>
        <w:i/>
        <w:color w:val="C3D69B"/>
        <w:sz w:val="22"/>
      </w:rPr>
      <w:tcPr>
        <w:tcBorders>
          <w:top w:val="nil"/>
          <w:left w:val="nil"/>
          <w:bottom w:val="single" w:color="C3D69B" w:sz="4" w:space="0"/>
          <w:right w:val="nil"/>
        </w:tcBorders>
        <w:shd w:val="clear" w:color="FFFFFF" w:fill="FFFFFF"/>
      </w:tcPr>
    </w:tblStylePr>
    <w:tblStylePr w:type="lastRow">
      <w:rPr>
        <w:rFonts w:ascii="Arial" w:hAnsi="Arial"/>
        <w:i/>
        <w:color w:val="C3D69B"/>
        <w:sz w:val="22"/>
      </w:rPr>
      <w:tcPr>
        <w:tcBorders>
          <w:top w:val="single" w:color="C3D69B" w:sz="4" w:space="0"/>
          <w:left w:val="nil"/>
          <w:bottom w:val="nil"/>
          <w:right w:val="nil"/>
        </w:tcBorders>
        <w:shd w:val="clear" w:color="FFFFFF" w:fill="FFFFFF"/>
      </w:tcPr>
    </w:tblStylePr>
    <w:tblStylePr w:type="firstCol">
      <w:pPr>
        <w:jc w:val="right"/>
      </w:pPr>
      <w:rPr>
        <w:rFonts w:ascii="Arial" w:hAnsi="Arial"/>
        <w:i/>
        <w:color w:val="C3D69B"/>
        <w:sz w:val="22"/>
      </w:rPr>
      <w:tcPr>
        <w:tcBorders>
          <w:top w:val="nil"/>
          <w:left w:val="nil"/>
          <w:bottom w:val="nil"/>
          <w:right w:val="single" w:color="C3D69B" w:sz="4" w:space="0"/>
        </w:tcBorders>
        <w:shd w:val="clear" w:color="FFFFFF" w:fill="auto"/>
      </w:tcPr>
    </w:tblStylePr>
    <w:tblStylePr w:type="lastCol">
      <w:rPr>
        <w:rFonts w:ascii="Arial" w:hAnsi="Arial"/>
        <w:i/>
        <w:color w:val="C3D69B"/>
        <w:sz w:val="22"/>
      </w:rPr>
      <w:tcPr>
        <w:tcBorders>
          <w:top w:val="nil"/>
          <w:left w:val="single" w:color="C3D69B" w:sz="4" w:space="0"/>
          <w:bottom w:val="nil"/>
          <w:right w:val="nil"/>
        </w:tcBorders>
        <w:shd w:val="clear" w:color="FFFFFF" w:fill="auto"/>
      </w:tcPr>
    </w:tblStylePr>
    <w:tblStylePr w:type="band1Vert">
      <w:tcPr>
        <w:shd w:val="clear" w:color="E5EED5" w:fill="E5EED5"/>
      </w:tcPr>
    </w:tblStylePr>
    <w:tblStylePr w:type="band1Horz">
      <w:rPr>
        <w:rFonts w:ascii="Arial" w:hAnsi="Arial"/>
        <w:color w:val="C3D69B"/>
        <w:sz w:val="22"/>
      </w:rPr>
      <w:tcPr>
        <w:shd w:val="clear" w:color="E5EED5" w:fill="E5EED5"/>
      </w:tcPr>
    </w:tblStylePr>
    <w:tblStylePr w:type="band2Horz">
      <w:rPr>
        <w:rFonts w:ascii="Arial" w:hAnsi="Arial"/>
        <w:color w:val="C3D69B"/>
        <w:sz w:val="22"/>
      </w:rPr>
    </w:tblStylePr>
  </w:style>
  <w:style w:type="table" w:customStyle="1" w:styleId="1866">
    <w:name w:val="List Table 7 Colorful - Accent 49"/>
    <w:basedOn w:val="13"/>
    <w:uiPriority w:val="99"/>
    <w:rPr>
      <w:sz w:val="22"/>
      <w:szCs w:val="22"/>
      <w:lang w:eastAsia="en-US"/>
    </w:rPr>
    <w:tblPr>
      <w:tblBorders>
        <w:right w:val="single" w:color="B2A1C6" w:sz="4" w:space="0"/>
      </w:tblBorders>
      <w:tblCellMar>
        <w:top w:w="0" w:type="dxa"/>
        <w:left w:w="108" w:type="dxa"/>
        <w:bottom w:w="0" w:type="dxa"/>
        <w:right w:w="108" w:type="dxa"/>
      </w:tblCellMar>
    </w:tblPr>
    <w:tblStylePr w:type="firstRow">
      <w:rPr>
        <w:rFonts w:ascii="Arial" w:hAnsi="Arial"/>
        <w:i/>
        <w:color w:val="B2A1C6"/>
        <w:sz w:val="22"/>
      </w:rPr>
      <w:tcPr>
        <w:tcBorders>
          <w:top w:val="nil"/>
          <w:left w:val="nil"/>
          <w:bottom w:val="single" w:color="B2A1C6" w:sz="4" w:space="0"/>
          <w:right w:val="nil"/>
        </w:tcBorders>
        <w:shd w:val="clear" w:color="FFFFFF" w:fill="FFFFFF"/>
      </w:tcPr>
    </w:tblStylePr>
    <w:tblStylePr w:type="lastRow">
      <w:rPr>
        <w:rFonts w:ascii="Arial" w:hAnsi="Arial"/>
        <w:i/>
        <w:color w:val="B2A1C6"/>
        <w:sz w:val="22"/>
      </w:rPr>
      <w:tcPr>
        <w:tcBorders>
          <w:top w:val="single" w:color="B2A1C6" w:sz="4" w:space="0"/>
          <w:left w:val="nil"/>
          <w:bottom w:val="nil"/>
          <w:right w:val="nil"/>
        </w:tcBorders>
        <w:shd w:val="clear" w:color="FFFFFF" w:fill="FFFFFF"/>
      </w:tcPr>
    </w:tblStylePr>
    <w:tblStylePr w:type="firstCol">
      <w:pPr>
        <w:jc w:val="right"/>
      </w:pPr>
      <w:rPr>
        <w:rFonts w:ascii="Arial" w:hAnsi="Arial"/>
        <w:i/>
        <w:color w:val="B2A1C6"/>
        <w:sz w:val="22"/>
      </w:rPr>
      <w:tcPr>
        <w:tcBorders>
          <w:top w:val="nil"/>
          <w:left w:val="nil"/>
          <w:bottom w:val="nil"/>
          <w:right w:val="single" w:color="B2A1C6" w:sz="4" w:space="0"/>
        </w:tcBorders>
        <w:shd w:val="clear" w:color="FFFFFF" w:fill="auto"/>
      </w:tcPr>
    </w:tblStylePr>
    <w:tblStylePr w:type="lastCol">
      <w:rPr>
        <w:rFonts w:ascii="Arial" w:hAnsi="Arial"/>
        <w:i/>
        <w:color w:val="B2A1C6"/>
        <w:sz w:val="22"/>
      </w:rPr>
      <w:tcPr>
        <w:tcBorders>
          <w:top w:val="nil"/>
          <w:left w:val="single" w:color="B2A1C6" w:sz="4" w:space="0"/>
          <w:bottom w:val="nil"/>
          <w:right w:val="nil"/>
        </w:tcBorders>
        <w:shd w:val="clear" w:color="FFFFFF" w:fill="auto"/>
      </w:tcPr>
    </w:tblStylePr>
    <w:tblStylePr w:type="band1Vert">
      <w:tcPr>
        <w:shd w:val="clear" w:color="DFD8E7" w:fill="DFD8E7"/>
      </w:tcPr>
    </w:tblStylePr>
    <w:tblStylePr w:type="band1Horz">
      <w:rPr>
        <w:rFonts w:ascii="Arial" w:hAnsi="Arial"/>
        <w:color w:val="B2A1C6"/>
        <w:sz w:val="22"/>
      </w:rPr>
      <w:tcPr>
        <w:shd w:val="clear" w:color="DFD8E7" w:fill="DFD8E7"/>
      </w:tcPr>
    </w:tblStylePr>
    <w:tblStylePr w:type="band2Horz">
      <w:rPr>
        <w:rFonts w:ascii="Arial" w:hAnsi="Arial"/>
        <w:color w:val="B2A1C6"/>
        <w:sz w:val="22"/>
      </w:rPr>
    </w:tblStylePr>
  </w:style>
  <w:style w:type="table" w:customStyle="1" w:styleId="1867">
    <w:name w:val="List Table 7 Colorful - Accent 59"/>
    <w:basedOn w:val="13"/>
    <w:uiPriority w:val="99"/>
    <w:rPr>
      <w:sz w:val="22"/>
      <w:szCs w:val="22"/>
      <w:lang w:eastAsia="en-US"/>
    </w:rPr>
    <w:tblPr>
      <w:tblBorders>
        <w:right w:val="single" w:color="92CCDC" w:sz="4" w:space="0"/>
      </w:tblBorders>
      <w:tblCellMar>
        <w:top w:w="0" w:type="dxa"/>
        <w:left w:w="108" w:type="dxa"/>
        <w:bottom w:w="0" w:type="dxa"/>
        <w:right w:w="108" w:type="dxa"/>
      </w:tblCellMar>
    </w:tblPr>
    <w:tblStylePr w:type="firstRow">
      <w:rPr>
        <w:rFonts w:ascii="Arial" w:hAnsi="Arial"/>
        <w:i/>
        <w:color w:val="92CCDC"/>
        <w:sz w:val="22"/>
      </w:rPr>
      <w:tcPr>
        <w:tcBorders>
          <w:top w:val="nil"/>
          <w:left w:val="nil"/>
          <w:bottom w:val="single" w:color="92CCDC" w:sz="4" w:space="0"/>
          <w:right w:val="nil"/>
        </w:tcBorders>
        <w:shd w:val="clear" w:color="FFFFFF" w:fill="FFFFFF"/>
      </w:tcPr>
    </w:tblStylePr>
    <w:tblStylePr w:type="lastRow">
      <w:rPr>
        <w:rFonts w:ascii="Arial" w:hAnsi="Arial"/>
        <w:i/>
        <w:color w:val="92CCDC"/>
        <w:sz w:val="22"/>
      </w:rPr>
      <w:tcPr>
        <w:tcBorders>
          <w:top w:val="single" w:color="92CCDC" w:sz="4" w:space="0"/>
          <w:left w:val="nil"/>
          <w:bottom w:val="nil"/>
          <w:right w:val="nil"/>
        </w:tcBorders>
        <w:shd w:val="clear" w:color="FFFFFF" w:fill="FFFFFF"/>
      </w:tcPr>
    </w:tblStylePr>
    <w:tblStylePr w:type="firstCol">
      <w:pPr>
        <w:jc w:val="right"/>
      </w:pPr>
      <w:rPr>
        <w:rFonts w:ascii="Arial" w:hAnsi="Arial"/>
        <w:i/>
        <w:color w:val="92CCDC"/>
        <w:sz w:val="22"/>
      </w:rPr>
      <w:tcPr>
        <w:tcBorders>
          <w:top w:val="nil"/>
          <w:left w:val="nil"/>
          <w:bottom w:val="nil"/>
          <w:right w:val="single" w:color="92CCDC" w:sz="4" w:space="0"/>
        </w:tcBorders>
        <w:shd w:val="clear" w:color="FFFFFF" w:fill="auto"/>
      </w:tcPr>
    </w:tblStylePr>
    <w:tblStylePr w:type="lastCol">
      <w:rPr>
        <w:rFonts w:ascii="Arial" w:hAnsi="Arial"/>
        <w:i/>
        <w:color w:val="92CCDC"/>
        <w:sz w:val="22"/>
      </w:rPr>
      <w:tcPr>
        <w:tcBorders>
          <w:top w:val="nil"/>
          <w:left w:val="single" w:color="92CCDC" w:sz="4" w:space="0"/>
          <w:bottom w:val="nil"/>
          <w:right w:val="nil"/>
        </w:tcBorders>
        <w:shd w:val="clear" w:color="FFFFFF" w:fill="auto"/>
      </w:tcPr>
    </w:tblStylePr>
    <w:tblStylePr w:type="band1Vert">
      <w:tcPr>
        <w:shd w:val="clear" w:color="D1EAF0" w:fill="D1EAF0"/>
      </w:tcPr>
    </w:tblStylePr>
    <w:tblStylePr w:type="band1Horz">
      <w:rPr>
        <w:rFonts w:ascii="Arial" w:hAnsi="Arial"/>
        <w:color w:val="92CCDC"/>
        <w:sz w:val="22"/>
      </w:rPr>
      <w:tcPr>
        <w:shd w:val="clear" w:color="D1EAF0" w:fill="D1EAF0"/>
      </w:tcPr>
    </w:tblStylePr>
    <w:tblStylePr w:type="band2Horz">
      <w:rPr>
        <w:rFonts w:ascii="Arial" w:hAnsi="Arial"/>
        <w:color w:val="92CCDC"/>
        <w:sz w:val="22"/>
      </w:rPr>
    </w:tblStylePr>
  </w:style>
  <w:style w:type="table" w:customStyle="1" w:styleId="1868">
    <w:name w:val="List Table 7 Colorful - Accent 69"/>
    <w:basedOn w:val="13"/>
    <w:uiPriority w:val="99"/>
    <w:rPr>
      <w:sz w:val="22"/>
      <w:szCs w:val="22"/>
      <w:lang w:eastAsia="en-US"/>
    </w:rPr>
    <w:tblPr>
      <w:tblBorders>
        <w:right w:val="single" w:color="FAC090" w:sz="4" w:space="0"/>
      </w:tblBorders>
      <w:tblCellMar>
        <w:top w:w="0" w:type="dxa"/>
        <w:left w:w="108" w:type="dxa"/>
        <w:bottom w:w="0" w:type="dxa"/>
        <w:right w:w="108" w:type="dxa"/>
      </w:tblCellMar>
    </w:tblPr>
    <w:tblStylePr w:type="firstRow">
      <w:rPr>
        <w:rFonts w:ascii="Arial" w:hAnsi="Arial"/>
        <w:i/>
        <w:color w:val="FAC090"/>
        <w:sz w:val="22"/>
      </w:rPr>
      <w:tcPr>
        <w:tcBorders>
          <w:top w:val="nil"/>
          <w:left w:val="nil"/>
          <w:bottom w:val="single" w:color="FAC090" w:sz="4" w:space="0"/>
          <w:right w:val="nil"/>
        </w:tcBorders>
        <w:shd w:val="clear" w:color="FFFFFF" w:fill="FFFFFF"/>
      </w:tcPr>
    </w:tblStylePr>
    <w:tblStylePr w:type="lastRow">
      <w:rPr>
        <w:rFonts w:ascii="Arial" w:hAnsi="Arial"/>
        <w:i/>
        <w:color w:val="FAC090"/>
        <w:sz w:val="22"/>
      </w:rPr>
      <w:tcPr>
        <w:tcBorders>
          <w:top w:val="single" w:color="FAC090" w:sz="4" w:space="0"/>
          <w:left w:val="nil"/>
          <w:bottom w:val="nil"/>
          <w:right w:val="nil"/>
        </w:tcBorders>
        <w:shd w:val="clear" w:color="FFFFFF" w:fill="FFFFFF"/>
      </w:tcPr>
    </w:tblStylePr>
    <w:tblStylePr w:type="firstCol">
      <w:pPr>
        <w:jc w:val="right"/>
      </w:pPr>
      <w:rPr>
        <w:rFonts w:ascii="Arial" w:hAnsi="Arial"/>
        <w:i/>
        <w:color w:val="FAC090"/>
        <w:sz w:val="22"/>
      </w:rPr>
      <w:tcPr>
        <w:tcBorders>
          <w:top w:val="nil"/>
          <w:left w:val="nil"/>
          <w:bottom w:val="nil"/>
          <w:right w:val="single" w:color="FAC090" w:sz="4" w:space="0"/>
        </w:tcBorders>
        <w:shd w:val="clear" w:color="FFFFFF" w:fill="auto"/>
      </w:tcPr>
    </w:tblStylePr>
    <w:tblStylePr w:type="lastCol">
      <w:rPr>
        <w:rFonts w:ascii="Arial" w:hAnsi="Arial"/>
        <w:i/>
        <w:color w:val="FAC090"/>
        <w:sz w:val="22"/>
      </w:rPr>
      <w:tcPr>
        <w:tcBorders>
          <w:top w:val="nil"/>
          <w:left w:val="single" w:color="FAC090" w:sz="4" w:space="0"/>
          <w:bottom w:val="nil"/>
          <w:right w:val="nil"/>
        </w:tcBorders>
        <w:shd w:val="clear" w:color="FFFFFF" w:fill="auto"/>
      </w:tcPr>
    </w:tblStylePr>
    <w:tblStylePr w:type="band1Vert">
      <w:tcPr>
        <w:shd w:val="clear" w:color="FDE4D0" w:fill="FDE4D0"/>
      </w:tcPr>
    </w:tblStylePr>
    <w:tblStylePr w:type="band1Horz">
      <w:rPr>
        <w:rFonts w:ascii="Arial" w:hAnsi="Arial"/>
        <w:color w:val="FAC090"/>
        <w:sz w:val="22"/>
      </w:rPr>
      <w:tcPr>
        <w:shd w:val="clear" w:color="FDE4D0" w:fill="FDE4D0"/>
      </w:tcPr>
    </w:tblStylePr>
    <w:tblStylePr w:type="band2Horz">
      <w:rPr>
        <w:rFonts w:ascii="Arial" w:hAnsi="Arial"/>
        <w:color w:val="FAC090"/>
        <w:sz w:val="22"/>
      </w:rPr>
    </w:tblStylePr>
  </w:style>
  <w:style w:type="table" w:customStyle="1" w:styleId="1869">
    <w:name w:val="Lined - Accent9"/>
    <w:basedOn w:val="13"/>
    <w:uiPriority w:val="99"/>
    <w:rPr>
      <w:color w:val="404040"/>
    </w:rPr>
    <w:tblPr>
      <w:tblCellMar>
        <w:top w:w="0" w:type="dxa"/>
        <w:left w:w="108" w:type="dxa"/>
        <w:bottom w:w="0" w:type="dxa"/>
        <w:right w:w="108" w:type="dxa"/>
      </w:tblCellMar>
    </w:tblPr>
    <w:tblStylePr w:type="firstRow">
      <w:rPr>
        <w:rFonts w:ascii="Arial" w:hAnsi="Arial"/>
        <w:color w:val="F2F2F2"/>
        <w:sz w:val="22"/>
      </w:rPr>
      <w:tcPr>
        <w:shd w:val="clear" w:color="7F7F7F" w:fill="7F7F7F"/>
      </w:tcPr>
    </w:tblStylePr>
    <w:tblStylePr w:type="lastRow">
      <w:rPr>
        <w:rFonts w:ascii="Arial" w:hAnsi="Arial"/>
        <w:color w:val="F2F2F2"/>
        <w:sz w:val="22"/>
      </w:rPr>
      <w:tcPr>
        <w:shd w:val="clear" w:color="7F7F7F" w:fill="7F7F7F"/>
      </w:tcPr>
    </w:tblStylePr>
    <w:tblStylePr w:type="firstCol">
      <w:rPr>
        <w:rFonts w:ascii="Arial" w:hAnsi="Arial"/>
        <w:color w:val="F2F2F2"/>
        <w:sz w:val="22"/>
      </w:rPr>
      <w:tcPr>
        <w:shd w:val="clear" w:color="7F7F7F" w:fill="7F7F7F"/>
      </w:tcPr>
    </w:tblStylePr>
    <w:tblStylePr w:type="lastCol">
      <w:rPr>
        <w:rFonts w:ascii="Arial" w:hAnsi="Arial"/>
        <w:color w:val="F2F2F2"/>
        <w:sz w:val="22"/>
      </w:rPr>
      <w:tcPr>
        <w:shd w:val="clear" w:color="7F7F7F" w:fill="7F7F7F"/>
      </w:tcPr>
    </w:tblStylePr>
    <w:tblStylePr w:type="band1Vert">
      <w:rPr>
        <w:rFonts w:ascii="Arial" w:hAnsi="Arial"/>
        <w:color w:val="404040"/>
        <w:sz w:val="22"/>
      </w:rPr>
    </w:tblStylePr>
    <w:tblStylePr w:type="band2Vert">
      <w:rPr>
        <w:rFonts w:ascii="Arial" w:hAnsi="Arial"/>
        <w:color w:val="404040"/>
        <w:sz w:val="22"/>
      </w:rPr>
      <w:tcPr>
        <w:shd w:val="clear" w:color="F2F2F2" w:fill="F2F2F2"/>
      </w:tcPr>
    </w:tblStylePr>
    <w:tblStylePr w:type="band1Horz">
      <w:rPr>
        <w:rFonts w:ascii="Arial" w:hAnsi="Arial"/>
        <w:color w:val="404040"/>
        <w:sz w:val="22"/>
      </w:rPr>
    </w:tblStylePr>
    <w:tblStylePr w:type="band2Horz">
      <w:rPr>
        <w:rFonts w:ascii="Arial" w:hAnsi="Arial"/>
        <w:color w:val="404040"/>
        <w:sz w:val="22"/>
      </w:rPr>
      <w:tcPr>
        <w:shd w:val="clear" w:color="F2F2F2" w:fill="F2F2F2"/>
      </w:tcPr>
    </w:tblStylePr>
  </w:style>
  <w:style w:type="table" w:customStyle="1" w:styleId="1870">
    <w:name w:val="Lined - Accent 19"/>
    <w:basedOn w:val="13"/>
    <w:uiPriority w:val="99"/>
    <w:rPr>
      <w:color w:val="404040"/>
    </w:rPr>
    <w:tblPr>
      <w:tblCellMar>
        <w:top w:w="0" w:type="dxa"/>
        <w:left w:w="108" w:type="dxa"/>
        <w:bottom w:w="0" w:type="dxa"/>
        <w:right w:w="108" w:type="dxa"/>
      </w:tblCellMar>
    </w:tblPr>
    <w:tblStylePr w:type="firstRow">
      <w:rPr>
        <w:rFonts w:ascii="Arial" w:hAnsi="Arial"/>
        <w:color w:val="F2F2F2"/>
        <w:sz w:val="22"/>
      </w:rPr>
      <w:tcPr>
        <w:shd w:val="clear" w:color="5D8AC2" w:fill="5D8AC2"/>
      </w:tcPr>
    </w:tblStylePr>
    <w:tblStylePr w:type="lastRow">
      <w:rPr>
        <w:rFonts w:ascii="Arial" w:hAnsi="Arial"/>
        <w:color w:val="F2F2F2"/>
        <w:sz w:val="22"/>
      </w:rPr>
      <w:tcPr>
        <w:shd w:val="clear" w:color="5D8AC2" w:fill="5D8AC2"/>
      </w:tcPr>
    </w:tblStylePr>
    <w:tblStylePr w:type="firstCol">
      <w:rPr>
        <w:rFonts w:ascii="Arial" w:hAnsi="Arial"/>
        <w:color w:val="F2F2F2"/>
        <w:sz w:val="22"/>
      </w:rPr>
      <w:tcPr>
        <w:shd w:val="clear" w:color="5D8AC2" w:fill="5D8AC2"/>
      </w:tcPr>
    </w:tblStylePr>
    <w:tblStylePr w:type="lastCol">
      <w:rPr>
        <w:rFonts w:ascii="Arial" w:hAnsi="Arial"/>
        <w:color w:val="F2F2F2"/>
        <w:sz w:val="22"/>
      </w:rPr>
      <w:tcPr>
        <w:shd w:val="clear" w:color="5D8AC2" w:fill="5D8AC2"/>
      </w:tcPr>
    </w:tblStylePr>
    <w:tblStylePr w:type="band1Vert">
      <w:rPr>
        <w:rFonts w:ascii="Arial" w:hAnsi="Arial"/>
        <w:color w:val="404040"/>
        <w:sz w:val="22"/>
      </w:rPr>
    </w:tblStylePr>
    <w:tblStylePr w:type="band2Vert">
      <w:rPr>
        <w:rFonts w:ascii="Arial" w:hAnsi="Arial"/>
        <w:color w:val="404040"/>
        <w:sz w:val="22"/>
      </w:rPr>
      <w:tcPr>
        <w:shd w:val="clear" w:color="C7D7EA" w:fill="C7D7EA"/>
      </w:tcPr>
    </w:tblStylePr>
    <w:tblStylePr w:type="band1Horz">
      <w:rPr>
        <w:rFonts w:ascii="Arial" w:hAnsi="Arial"/>
        <w:color w:val="404040"/>
        <w:sz w:val="22"/>
      </w:rPr>
    </w:tblStylePr>
    <w:tblStylePr w:type="band2Horz">
      <w:rPr>
        <w:rFonts w:ascii="Arial" w:hAnsi="Arial"/>
        <w:color w:val="404040"/>
        <w:sz w:val="22"/>
      </w:rPr>
      <w:tcPr>
        <w:shd w:val="clear" w:color="C7D7EA" w:fill="C7D7EA"/>
      </w:tcPr>
    </w:tblStylePr>
  </w:style>
  <w:style w:type="table" w:customStyle="1" w:styleId="1871">
    <w:name w:val="Lined - Accent 29"/>
    <w:basedOn w:val="13"/>
    <w:uiPriority w:val="99"/>
    <w:rPr>
      <w:color w:val="404040"/>
    </w:rPr>
    <w:tblPr>
      <w:tblCellMar>
        <w:top w:w="0" w:type="dxa"/>
        <w:left w:w="108" w:type="dxa"/>
        <w:bottom w:w="0" w:type="dxa"/>
        <w:right w:w="108" w:type="dxa"/>
      </w:tblCellMar>
    </w:tblPr>
    <w:tblStylePr w:type="firstRow">
      <w:rPr>
        <w:rFonts w:ascii="Arial" w:hAnsi="Arial"/>
        <w:color w:val="F2F2F2"/>
        <w:sz w:val="22"/>
      </w:rPr>
      <w:tcPr>
        <w:shd w:val="clear" w:color="D99695" w:fill="D99695"/>
      </w:tcPr>
    </w:tblStylePr>
    <w:tblStylePr w:type="lastRow">
      <w:rPr>
        <w:rFonts w:ascii="Arial" w:hAnsi="Arial"/>
        <w:color w:val="F2F2F2"/>
        <w:sz w:val="22"/>
      </w:rPr>
      <w:tcPr>
        <w:shd w:val="clear" w:color="D99695" w:fill="D99695"/>
      </w:tcPr>
    </w:tblStylePr>
    <w:tblStylePr w:type="firstCol">
      <w:rPr>
        <w:rFonts w:ascii="Arial" w:hAnsi="Arial"/>
        <w:color w:val="F2F2F2"/>
        <w:sz w:val="22"/>
      </w:rPr>
      <w:tcPr>
        <w:shd w:val="clear" w:color="D99695" w:fill="D99695"/>
      </w:tcPr>
    </w:tblStylePr>
    <w:tblStylePr w:type="lastCol">
      <w:rPr>
        <w:rFonts w:ascii="Arial" w:hAnsi="Arial"/>
        <w:color w:val="F2F2F2"/>
        <w:sz w:val="22"/>
      </w:rPr>
      <w:tcPr>
        <w:shd w:val="clear" w:color="D99695" w:fill="D99695"/>
      </w:tcPr>
    </w:tblStylePr>
    <w:tblStylePr w:type="band1Vert">
      <w:rPr>
        <w:rFonts w:ascii="Arial" w:hAnsi="Arial"/>
        <w:color w:val="404040"/>
        <w:sz w:val="22"/>
      </w:rPr>
    </w:tblStylePr>
    <w:tblStylePr w:type="band2Vert">
      <w:rPr>
        <w:rFonts w:ascii="Arial" w:hAnsi="Arial"/>
        <w:color w:val="404040"/>
        <w:sz w:val="22"/>
      </w:rPr>
      <w:tcPr>
        <w:shd w:val="clear" w:color="F2DCDC" w:fill="F2DCDC"/>
      </w:tcPr>
    </w:tblStylePr>
    <w:tblStylePr w:type="band1Horz">
      <w:rPr>
        <w:rFonts w:ascii="Arial" w:hAnsi="Arial"/>
        <w:color w:val="404040"/>
        <w:sz w:val="22"/>
      </w:rPr>
    </w:tblStylePr>
    <w:tblStylePr w:type="band2Horz">
      <w:rPr>
        <w:rFonts w:ascii="Arial" w:hAnsi="Arial"/>
        <w:color w:val="404040"/>
        <w:sz w:val="22"/>
      </w:rPr>
      <w:tcPr>
        <w:shd w:val="clear" w:color="F2DCDC" w:fill="F2DCDC"/>
      </w:tcPr>
    </w:tblStylePr>
  </w:style>
  <w:style w:type="table" w:customStyle="1" w:styleId="1872">
    <w:name w:val="Lined - Accent 39"/>
    <w:basedOn w:val="13"/>
    <w:uiPriority w:val="99"/>
    <w:rPr>
      <w:color w:val="404040"/>
    </w:rPr>
    <w:tblPr>
      <w:tblCellMar>
        <w:top w:w="0" w:type="dxa"/>
        <w:left w:w="108" w:type="dxa"/>
        <w:bottom w:w="0" w:type="dxa"/>
        <w:right w:w="108" w:type="dxa"/>
      </w:tblCellMar>
    </w:tblPr>
    <w:tblStylePr w:type="firstRow">
      <w:rPr>
        <w:rFonts w:ascii="Arial" w:hAnsi="Arial"/>
        <w:color w:val="F2F2F2"/>
        <w:sz w:val="22"/>
      </w:rPr>
      <w:tcPr>
        <w:shd w:val="clear" w:color="9ABB59" w:fill="9ABB59"/>
      </w:tcPr>
    </w:tblStylePr>
    <w:tblStylePr w:type="lastRow">
      <w:rPr>
        <w:rFonts w:ascii="Arial" w:hAnsi="Arial"/>
        <w:color w:val="F2F2F2"/>
        <w:sz w:val="22"/>
      </w:rPr>
      <w:tcPr>
        <w:shd w:val="clear" w:color="9ABB59" w:fill="9ABB59"/>
      </w:tcPr>
    </w:tblStylePr>
    <w:tblStylePr w:type="firstCol">
      <w:rPr>
        <w:rFonts w:ascii="Arial" w:hAnsi="Arial"/>
        <w:color w:val="F2F2F2"/>
        <w:sz w:val="22"/>
      </w:rPr>
      <w:tcPr>
        <w:shd w:val="clear" w:color="9ABB59" w:fill="9ABB59"/>
      </w:tcPr>
    </w:tblStylePr>
    <w:tblStylePr w:type="lastCol">
      <w:rPr>
        <w:rFonts w:ascii="Arial" w:hAnsi="Arial"/>
        <w:color w:val="F2F2F2"/>
        <w:sz w:val="22"/>
      </w:rPr>
      <w:tcPr>
        <w:shd w:val="clear" w:color="9ABB59" w:fill="9ABB59"/>
      </w:tcPr>
    </w:tblStylePr>
    <w:tblStylePr w:type="band1Vert">
      <w:rPr>
        <w:rFonts w:ascii="Arial" w:hAnsi="Arial"/>
        <w:color w:val="404040"/>
        <w:sz w:val="22"/>
      </w:rPr>
    </w:tblStylePr>
    <w:tblStylePr w:type="band2Vert">
      <w:rPr>
        <w:rFonts w:ascii="Arial" w:hAnsi="Arial"/>
        <w:color w:val="404040"/>
        <w:sz w:val="22"/>
      </w:rPr>
      <w:tcPr>
        <w:shd w:val="clear" w:color="EAF1DC" w:fill="EAF1DC"/>
      </w:tcPr>
    </w:tblStylePr>
    <w:tblStylePr w:type="band1Horz">
      <w:rPr>
        <w:rFonts w:ascii="Arial" w:hAnsi="Arial"/>
        <w:color w:val="404040"/>
        <w:sz w:val="22"/>
      </w:rPr>
    </w:tblStylePr>
    <w:tblStylePr w:type="band2Horz">
      <w:rPr>
        <w:rFonts w:ascii="Arial" w:hAnsi="Arial"/>
        <w:color w:val="404040"/>
        <w:sz w:val="22"/>
      </w:rPr>
      <w:tcPr>
        <w:shd w:val="clear" w:color="EAF1DC" w:fill="EAF1DC"/>
      </w:tcPr>
    </w:tblStylePr>
  </w:style>
  <w:style w:type="table" w:customStyle="1" w:styleId="1873">
    <w:name w:val="Lined - Accent 49"/>
    <w:basedOn w:val="13"/>
    <w:uiPriority w:val="99"/>
    <w:rPr>
      <w:color w:val="404040"/>
    </w:rPr>
    <w:tblPr>
      <w:tblCellMar>
        <w:top w:w="0" w:type="dxa"/>
        <w:left w:w="108" w:type="dxa"/>
        <w:bottom w:w="0" w:type="dxa"/>
        <w:right w:w="108" w:type="dxa"/>
      </w:tblCellMar>
    </w:tblPr>
    <w:tblStylePr w:type="firstRow">
      <w:rPr>
        <w:rFonts w:ascii="Arial" w:hAnsi="Arial"/>
        <w:color w:val="F2F2F2"/>
        <w:sz w:val="22"/>
      </w:rPr>
      <w:tcPr>
        <w:shd w:val="clear" w:color="B2A1C6" w:fill="B2A1C6"/>
      </w:tcPr>
    </w:tblStylePr>
    <w:tblStylePr w:type="lastRow">
      <w:rPr>
        <w:rFonts w:ascii="Arial" w:hAnsi="Arial"/>
        <w:color w:val="F2F2F2"/>
        <w:sz w:val="22"/>
      </w:rPr>
      <w:tcPr>
        <w:shd w:val="clear" w:color="B2A1C6" w:fill="B2A1C6"/>
      </w:tcPr>
    </w:tblStylePr>
    <w:tblStylePr w:type="firstCol">
      <w:rPr>
        <w:rFonts w:ascii="Arial" w:hAnsi="Arial"/>
        <w:color w:val="F2F2F2"/>
        <w:sz w:val="22"/>
      </w:rPr>
      <w:tcPr>
        <w:shd w:val="clear" w:color="B2A1C6" w:fill="B2A1C6"/>
      </w:tcPr>
    </w:tblStylePr>
    <w:tblStylePr w:type="lastCol">
      <w:rPr>
        <w:rFonts w:ascii="Arial" w:hAnsi="Arial"/>
        <w:color w:val="F2F2F2"/>
        <w:sz w:val="22"/>
      </w:rPr>
      <w:tcPr>
        <w:shd w:val="clear" w:color="B2A1C6" w:fill="B2A1C6"/>
      </w:tcPr>
    </w:tblStylePr>
    <w:tblStylePr w:type="band1Vert">
      <w:rPr>
        <w:rFonts w:ascii="Arial" w:hAnsi="Arial"/>
        <w:color w:val="404040"/>
        <w:sz w:val="22"/>
      </w:rPr>
    </w:tblStylePr>
    <w:tblStylePr w:type="band2Vert">
      <w:rPr>
        <w:rFonts w:ascii="Arial" w:hAnsi="Arial"/>
        <w:color w:val="404040"/>
        <w:sz w:val="22"/>
      </w:rPr>
      <w:tcPr>
        <w:shd w:val="clear" w:color="E5DFEC" w:fill="E5DFEC"/>
      </w:tcPr>
    </w:tblStylePr>
    <w:tblStylePr w:type="band1Horz">
      <w:rPr>
        <w:rFonts w:ascii="Arial" w:hAnsi="Arial"/>
        <w:color w:val="404040"/>
        <w:sz w:val="22"/>
      </w:rPr>
    </w:tblStylePr>
    <w:tblStylePr w:type="band2Horz">
      <w:rPr>
        <w:rFonts w:ascii="Arial" w:hAnsi="Arial"/>
        <w:color w:val="404040"/>
        <w:sz w:val="22"/>
      </w:rPr>
      <w:tcPr>
        <w:shd w:val="clear" w:color="E5DFEC" w:fill="E5DFEC"/>
      </w:tcPr>
    </w:tblStylePr>
  </w:style>
  <w:style w:type="table" w:customStyle="1" w:styleId="1874">
    <w:name w:val="Lined - Accent 59"/>
    <w:basedOn w:val="13"/>
    <w:uiPriority w:val="99"/>
    <w:rPr>
      <w:color w:val="404040"/>
    </w:rPr>
    <w:tblPr>
      <w:tblCellMar>
        <w:top w:w="0" w:type="dxa"/>
        <w:left w:w="108" w:type="dxa"/>
        <w:bottom w:w="0" w:type="dxa"/>
        <w:right w:w="108" w:type="dxa"/>
      </w:tblCellMar>
    </w:tblPr>
    <w:tblStylePr w:type="firstRow">
      <w:rPr>
        <w:rFonts w:ascii="Arial" w:hAnsi="Arial"/>
        <w:color w:val="F2F2F2"/>
        <w:sz w:val="22"/>
      </w:rPr>
      <w:tcPr>
        <w:shd w:val="clear" w:color="4BACC6" w:fill="4BACC6"/>
      </w:tcPr>
    </w:tblStylePr>
    <w:tblStylePr w:type="lastRow">
      <w:rPr>
        <w:rFonts w:ascii="Arial" w:hAnsi="Arial"/>
        <w:color w:val="F2F2F2"/>
        <w:sz w:val="22"/>
      </w:rPr>
      <w:tcPr>
        <w:shd w:val="clear" w:color="4BACC6" w:fill="4BACC6"/>
      </w:tcPr>
    </w:tblStylePr>
    <w:tblStylePr w:type="firstCol">
      <w:rPr>
        <w:rFonts w:ascii="Arial" w:hAnsi="Arial"/>
        <w:color w:val="F2F2F2"/>
        <w:sz w:val="22"/>
      </w:rPr>
      <w:tcPr>
        <w:shd w:val="clear" w:color="4BACC6" w:fill="4BACC6"/>
      </w:tcPr>
    </w:tblStylePr>
    <w:tblStylePr w:type="lastCol">
      <w:rPr>
        <w:rFonts w:ascii="Arial" w:hAnsi="Arial"/>
        <w:color w:val="F2F2F2"/>
        <w:sz w:val="22"/>
      </w:rPr>
      <w:tcPr>
        <w:shd w:val="clear" w:color="4BACC6" w:fill="4BACC6"/>
      </w:tcPr>
    </w:tblStylePr>
    <w:tblStylePr w:type="band1Vert">
      <w:rPr>
        <w:rFonts w:ascii="Arial" w:hAnsi="Arial"/>
        <w:color w:val="404040"/>
        <w:sz w:val="22"/>
      </w:rPr>
    </w:tblStylePr>
    <w:tblStylePr w:type="band2Vert">
      <w:rPr>
        <w:rFonts w:ascii="Arial" w:hAnsi="Arial"/>
        <w:color w:val="404040"/>
        <w:sz w:val="22"/>
      </w:rPr>
      <w:tcPr>
        <w:shd w:val="clear" w:color="DAEEF3" w:fill="DAEEF3"/>
      </w:tcPr>
    </w:tblStylePr>
    <w:tblStylePr w:type="band1Horz">
      <w:rPr>
        <w:rFonts w:ascii="Arial" w:hAnsi="Arial"/>
        <w:color w:val="404040"/>
        <w:sz w:val="22"/>
      </w:rPr>
    </w:tblStylePr>
    <w:tblStylePr w:type="band2Horz">
      <w:rPr>
        <w:rFonts w:ascii="Arial" w:hAnsi="Arial"/>
        <w:color w:val="404040"/>
        <w:sz w:val="22"/>
      </w:rPr>
      <w:tcPr>
        <w:shd w:val="clear" w:color="DAEEF3" w:fill="DAEEF3"/>
      </w:tcPr>
    </w:tblStylePr>
  </w:style>
  <w:style w:type="table" w:customStyle="1" w:styleId="1875">
    <w:name w:val="Lined - Accent 69"/>
    <w:basedOn w:val="13"/>
    <w:uiPriority w:val="99"/>
    <w:rPr>
      <w:color w:val="404040"/>
    </w:rPr>
    <w:tblPr>
      <w:tblCellMar>
        <w:top w:w="0" w:type="dxa"/>
        <w:left w:w="108" w:type="dxa"/>
        <w:bottom w:w="0" w:type="dxa"/>
        <w:right w:w="108" w:type="dxa"/>
      </w:tblCellMar>
    </w:tblPr>
    <w:tblStylePr w:type="firstRow">
      <w:rPr>
        <w:rFonts w:ascii="Arial" w:hAnsi="Arial"/>
        <w:color w:val="F2F2F2"/>
        <w:sz w:val="22"/>
      </w:rPr>
      <w:tcPr>
        <w:shd w:val="clear" w:color="F79646" w:fill="F79646"/>
      </w:tcPr>
    </w:tblStylePr>
    <w:tblStylePr w:type="lastRow">
      <w:rPr>
        <w:rFonts w:ascii="Arial" w:hAnsi="Arial"/>
        <w:color w:val="F2F2F2"/>
        <w:sz w:val="22"/>
      </w:rPr>
      <w:tcPr>
        <w:shd w:val="clear" w:color="F79646" w:fill="F79646"/>
      </w:tcPr>
    </w:tblStylePr>
    <w:tblStylePr w:type="firstCol">
      <w:rPr>
        <w:rFonts w:ascii="Arial" w:hAnsi="Arial"/>
        <w:color w:val="F2F2F2"/>
        <w:sz w:val="22"/>
      </w:rPr>
      <w:tcPr>
        <w:shd w:val="clear" w:color="F79646" w:fill="F79646"/>
      </w:tcPr>
    </w:tblStylePr>
    <w:tblStylePr w:type="lastCol">
      <w:rPr>
        <w:rFonts w:ascii="Arial" w:hAnsi="Arial"/>
        <w:color w:val="F2F2F2"/>
        <w:sz w:val="22"/>
      </w:rPr>
      <w:tcPr>
        <w:shd w:val="clear" w:color="F79646" w:fill="F79646"/>
      </w:tcPr>
    </w:tblStylePr>
    <w:tblStylePr w:type="band1Vert">
      <w:rPr>
        <w:rFonts w:ascii="Arial" w:hAnsi="Arial"/>
        <w:color w:val="404040"/>
        <w:sz w:val="22"/>
      </w:rPr>
    </w:tblStylePr>
    <w:tblStylePr w:type="band2Vert">
      <w:rPr>
        <w:rFonts w:ascii="Arial" w:hAnsi="Arial"/>
        <w:color w:val="404040"/>
        <w:sz w:val="22"/>
      </w:rPr>
      <w:tcPr>
        <w:shd w:val="clear" w:color="FDE9D8" w:fill="FDE9D8"/>
      </w:tcPr>
    </w:tblStylePr>
    <w:tblStylePr w:type="band1Horz">
      <w:rPr>
        <w:rFonts w:ascii="Arial" w:hAnsi="Arial"/>
        <w:color w:val="404040"/>
        <w:sz w:val="22"/>
      </w:rPr>
    </w:tblStylePr>
    <w:tblStylePr w:type="band2Horz">
      <w:rPr>
        <w:rFonts w:ascii="Arial" w:hAnsi="Arial"/>
        <w:color w:val="404040"/>
        <w:sz w:val="22"/>
      </w:rPr>
      <w:tcPr>
        <w:shd w:val="clear" w:color="FDE9D8" w:fill="FDE9D8"/>
      </w:tcPr>
    </w:tblStylePr>
  </w:style>
  <w:style w:type="table" w:customStyle="1" w:styleId="1876">
    <w:name w:val="Bordered &amp; Lined - Accent9"/>
    <w:basedOn w:val="13"/>
    <w:uiPriority w:val="99"/>
    <w:rPr>
      <w:color w:val="404040"/>
    </w:rPr>
    <w:tblPr>
      <w:tblBorders>
        <w:top w:val="single" w:color="595959" w:sz="4" w:space="0"/>
        <w:left w:val="single" w:color="595959" w:sz="4" w:space="0"/>
        <w:bottom w:val="single" w:color="595959" w:sz="4" w:space="0"/>
        <w:right w:val="single" w:color="595959" w:sz="4" w:space="0"/>
        <w:insideH w:val="single" w:color="595959" w:sz="4" w:space="0"/>
        <w:insideV w:val="single" w:color="595959" w:sz="4" w:space="0"/>
      </w:tblBorders>
      <w:tblCellMar>
        <w:top w:w="0" w:type="dxa"/>
        <w:left w:w="108" w:type="dxa"/>
        <w:bottom w:w="0" w:type="dxa"/>
        <w:right w:w="108" w:type="dxa"/>
      </w:tblCellMar>
    </w:tblPr>
    <w:tblStylePr w:type="firstRow">
      <w:rPr>
        <w:rFonts w:ascii="Arial" w:hAnsi="Arial"/>
        <w:color w:val="F2F2F2"/>
        <w:sz w:val="22"/>
      </w:rPr>
      <w:tcPr>
        <w:shd w:val="clear" w:color="7F7F7F" w:fill="7F7F7F"/>
      </w:tcPr>
    </w:tblStylePr>
    <w:tblStylePr w:type="lastRow">
      <w:rPr>
        <w:rFonts w:ascii="Arial" w:hAnsi="Arial"/>
        <w:color w:val="F2F2F2"/>
        <w:sz w:val="22"/>
      </w:rPr>
      <w:tcPr>
        <w:shd w:val="clear" w:color="7F7F7F" w:fill="7F7F7F"/>
      </w:tcPr>
    </w:tblStylePr>
    <w:tblStylePr w:type="firstCol">
      <w:rPr>
        <w:rFonts w:ascii="Arial" w:hAnsi="Arial"/>
        <w:color w:val="F2F2F2"/>
        <w:sz w:val="22"/>
      </w:rPr>
      <w:tcPr>
        <w:shd w:val="clear" w:color="7F7F7F" w:fill="7F7F7F"/>
      </w:tcPr>
    </w:tblStylePr>
    <w:tblStylePr w:type="lastCol">
      <w:rPr>
        <w:rFonts w:ascii="Arial" w:hAnsi="Arial"/>
        <w:color w:val="F2F2F2"/>
        <w:sz w:val="22"/>
      </w:rPr>
      <w:tcPr>
        <w:shd w:val="clear" w:color="7F7F7F" w:fill="7F7F7F"/>
      </w:tcPr>
    </w:tblStylePr>
    <w:tblStylePr w:type="band1Vert">
      <w:rPr>
        <w:rFonts w:ascii="Arial" w:hAnsi="Arial"/>
        <w:color w:val="404040"/>
        <w:sz w:val="22"/>
      </w:rPr>
    </w:tblStylePr>
    <w:tblStylePr w:type="band2Vert">
      <w:rPr>
        <w:rFonts w:ascii="Arial" w:hAnsi="Arial"/>
        <w:color w:val="404040"/>
        <w:sz w:val="22"/>
      </w:rPr>
      <w:tcPr>
        <w:shd w:val="clear" w:color="F2F2F2" w:fill="F2F2F2"/>
      </w:tcPr>
    </w:tblStylePr>
    <w:tblStylePr w:type="band1Horz">
      <w:rPr>
        <w:rFonts w:ascii="Arial" w:hAnsi="Arial"/>
        <w:color w:val="404040"/>
        <w:sz w:val="22"/>
      </w:rPr>
    </w:tblStylePr>
    <w:tblStylePr w:type="band2Horz">
      <w:rPr>
        <w:rFonts w:ascii="Arial" w:hAnsi="Arial"/>
        <w:color w:val="404040"/>
        <w:sz w:val="22"/>
      </w:rPr>
      <w:tcPr>
        <w:shd w:val="clear" w:color="F2F2F2" w:fill="F2F2F2"/>
      </w:tcPr>
    </w:tblStylePr>
  </w:style>
  <w:style w:type="table" w:customStyle="1" w:styleId="1877">
    <w:name w:val="Bordered &amp; Lined - Accent 19"/>
    <w:basedOn w:val="13"/>
    <w:uiPriority w:val="99"/>
    <w:rPr>
      <w:color w:val="404040"/>
    </w:rPr>
    <w:tblPr>
      <w:tblBorders>
        <w:top w:val="single" w:color="2A4A71" w:sz="4" w:space="0"/>
        <w:left w:val="single" w:color="2A4A71" w:sz="4" w:space="0"/>
        <w:bottom w:val="single" w:color="2A4A71" w:sz="4" w:space="0"/>
        <w:right w:val="single" w:color="2A4A71" w:sz="4" w:space="0"/>
        <w:insideH w:val="single" w:color="2A4A71" w:sz="4" w:space="0"/>
        <w:insideV w:val="single" w:color="2A4A71" w:sz="4" w:space="0"/>
      </w:tblBorders>
      <w:tblCellMar>
        <w:top w:w="0" w:type="dxa"/>
        <w:left w:w="108" w:type="dxa"/>
        <w:bottom w:w="0" w:type="dxa"/>
        <w:right w:w="108" w:type="dxa"/>
      </w:tblCellMar>
    </w:tblPr>
    <w:tblStylePr w:type="firstRow">
      <w:rPr>
        <w:rFonts w:ascii="Arial" w:hAnsi="Arial"/>
        <w:color w:val="F2F2F2"/>
        <w:sz w:val="22"/>
      </w:rPr>
      <w:tcPr>
        <w:shd w:val="clear" w:color="5D8AC2" w:fill="5D8AC2"/>
      </w:tcPr>
    </w:tblStylePr>
    <w:tblStylePr w:type="lastRow">
      <w:rPr>
        <w:rFonts w:ascii="Arial" w:hAnsi="Arial"/>
        <w:color w:val="F2F2F2"/>
        <w:sz w:val="22"/>
      </w:rPr>
      <w:tcPr>
        <w:shd w:val="clear" w:color="5D8AC2" w:fill="5D8AC2"/>
      </w:tcPr>
    </w:tblStylePr>
    <w:tblStylePr w:type="firstCol">
      <w:rPr>
        <w:rFonts w:ascii="Arial" w:hAnsi="Arial"/>
        <w:color w:val="F2F2F2"/>
        <w:sz w:val="22"/>
      </w:rPr>
      <w:tcPr>
        <w:shd w:val="clear" w:color="5D8AC2" w:fill="5D8AC2"/>
      </w:tcPr>
    </w:tblStylePr>
    <w:tblStylePr w:type="lastCol">
      <w:rPr>
        <w:rFonts w:ascii="Arial" w:hAnsi="Arial"/>
        <w:color w:val="F2F2F2"/>
        <w:sz w:val="22"/>
      </w:rPr>
      <w:tcPr>
        <w:shd w:val="clear" w:color="5D8AC2" w:fill="5D8AC2"/>
      </w:tcPr>
    </w:tblStylePr>
    <w:tblStylePr w:type="band1Vert">
      <w:rPr>
        <w:rFonts w:ascii="Arial" w:hAnsi="Arial"/>
        <w:color w:val="404040"/>
        <w:sz w:val="22"/>
      </w:rPr>
    </w:tblStylePr>
    <w:tblStylePr w:type="band2Vert">
      <w:rPr>
        <w:rFonts w:ascii="Arial" w:hAnsi="Arial"/>
        <w:color w:val="404040"/>
        <w:sz w:val="22"/>
      </w:rPr>
      <w:tcPr>
        <w:shd w:val="clear" w:color="C7D7EA" w:fill="C7D7EA"/>
      </w:tcPr>
    </w:tblStylePr>
    <w:tblStylePr w:type="band1Horz">
      <w:rPr>
        <w:rFonts w:ascii="Arial" w:hAnsi="Arial"/>
        <w:color w:val="404040"/>
        <w:sz w:val="22"/>
      </w:rPr>
    </w:tblStylePr>
    <w:tblStylePr w:type="band2Horz">
      <w:rPr>
        <w:rFonts w:ascii="Arial" w:hAnsi="Arial"/>
        <w:color w:val="404040"/>
        <w:sz w:val="22"/>
      </w:rPr>
      <w:tcPr>
        <w:shd w:val="clear" w:color="C7D7EA" w:fill="C7D7EA"/>
      </w:tcPr>
    </w:tblStylePr>
  </w:style>
  <w:style w:type="table" w:customStyle="1" w:styleId="1878">
    <w:name w:val="Bordered &amp; Lined - Accent 29"/>
    <w:basedOn w:val="13"/>
    <w:uiPriority w:val="99"/>
    <w:rPr>
      <w:color w:val="404040"/>
    </w:rPr>
    <w:tblPr>
      <w:tblBorders>
        <w:top w:val="single" w:color="732A29" w:sz="4" w:space="0"/>
        <w:left w:val="single" w:color="732A29" w:sz="4" w:space="0"/>
        <w:bottom w:val="single" w:color="732A29" w:sz="4" w:space="0"/>
        <w:right w:val="single" w:color="732A29" w:sz="4" w:space="0"/>
        <w:insideH w:val="single" w:color="732A29" w:sz="4" w:space="0"/>
        <w:insideV w:val="single" w:color="732A29" w:sz="4" w:space="0"/>
      </w:tblBorders>
      <w:tblCellMar>
        <w:top w:w="0" w:type="dxa"/>
        <w:left w:w="108" w:type="dxa"/>
        <w:bottom w:w="0" w:type="dxa"/>
        <w:right w:w="108" w:type="dxa"/>
      </w:tblCellMar>
    </w:tblPr>
    <w:tblStylePr w:type="firstRow">
      <w:rPr>
        <w:rFonts w:ascii="Arial" w:hAnsi="Arial"/>
        <w:color w:val="F2F2F2"/>
        <w:sz w:val="22"/>
      </w:rPr>
      <w:tcPr>
        <w:shd w:val="clear" w:color="D99695" w:fill="D99695"/>
      </w:tcPr>
    </w:tblStylePr>
    <w:tblStylePr w:type="lastRow">
      <w:rPr>
        <w:rFonts w:ascii="Arial" w:hAnsi="Arial"/>
        <w:color w:val="F2F2F2"/>
        <w:sz w:val="22"/>
      </w:rPr>
      <w:tcPr>
        <w:shd w:val="clear" w:color="D99695" w:fill="D99695"/>
      </w:tcPr>
    </w:tblStylePr>
    <w:tblStylePr w:type="firstCol">
      <w:rPr>
        <w:rFonts w:ascii="Arial" w:hAnsi="Arial"/>
        <w:color w:val="F2F2F2"/>
        <w:sz w:val="22"/>
      </w:rPr>
      <w:tcPr>
        <w:shd w:val="clear" w:color="D99695" w:fill="D99695"/>
      </w:tcPr>
    </w:tblStylePr>
    <w:tblStylePr w:type="lastCol">
      <w:rPr>
        <w:rFonts w:ascii="Arial" w:hAnsi="Arial"/>
        <w:color w:val="F2F2F2"/>
        <w:sz w:val="22"/>
      </w:rPr>
      <w:tcPr>
        <w:shd w:val="clear" w:color="D99695" w:fill="D99695"/>
      </w:tcPr>
    </w:tblStylePr>
    <w:tblStylePr w:type="band1Vert">
      <w:rPr>
        <w:rFonts w:ascii="Arial" w:hAnsi="Arial"/>
        <w:color w:val="404040"/>
        <w:sz w:val="22"/>
      </w:rPr>
    </w:tblStylePr>
    <w:tblStylePr w:type="band2Vert">
      <w:rPr>
        <w:rFonts w:ascii="Arial" w:hAnsi="Arial"/>
        <w:color w:val="404040"/>
        <w:sz w:val="22"/>
      </w:rPr>
      <w:tcPr>
        <w:shd w:val="clear" w:color="F2DCDC" w:fill="F2DCDC"/>
      </w:tcPr>
    </w:tblStylePr>
    <w:tblStylePr w:type="band1Horz">
      <w:rPr>
        <w:rFonts w:ascii="Arial" w:hAnsi="Arial"/>
        <w:color w:val="404040"/>
        <w:sz w:val="22"/>
      </w:rPr>
    </w:tblStylePr>
    <w:tblStylePr w:type="band2Horz">
      <w:rPr>
        <w:rFonts w:ascii="Arial" w:hAnsi="Arial"/>
        <w:color w:val="404040"/>
        <w:sz w:val="22"/>
      </w:rPr>
      <w:tcPr>
        <w:shd w:val="clear" w:color="F2DCDC" w:fill="F2DCDC"/>
      </w:tcPr>
    </w:tblStylePr>
  </w:style>
  <w:style w:type="table" w:customStyle="1" w:styleId="1879">
    <w:name w:val="Bordered &amp; Lined - Accent 39"/>
    <w:basedOn w:val="13"/>
    <w:uiPriority w:val="99"/>
    <w:rPr>
      <w:color w:val="404040"/>
    </w:rPr>
    <w:tblPr>
      <w:tblBorders>
        <w:top w:val="single" w:color="5B722E" w:sz="4" w:space="0"/>
        <w:left w:val="single" w:color="5B722E" w:sz="4" w:space="0"/>
        <w:bottom w:val="single" w:color="5B722E" w:sz="4" w:space="0"/>
        <w:right w:val="single" w:color="5B722E" w:sz="4" w:space="0"/>
        <w:insideH w:val="single" w:color="5B722E" w:sz="4" w:space="0"/>
        <w:insideV w:val="single" w:color="5B722E" w:sz="4" w:space="0"/>
      </w:tblBorders>
      <w:tblCellMar>
        <w:top w:w="0" w:type="dxa"/>
        <w:left w:w="108" w:type="dxa"/>
        <w:bottom w:w="0" w:type="dxa"/>
        <w:right w:w="108" w:type="dxa"/>
      </w:tblCellMar>
    </w:tblPr>
    <w:tblStylePr w:type="firstRow">
      <w:rPr>
        <w:rFonts w:ascii="Arial" w:hAnsi="Arial"/>
        <w:color w:val="F2F2F2"/>
        <w:sz w:val="22"/>
      </w:rPr>
      <w:tcPr>
        <w:shd w:val="clear" w:color="9ABB59" w:fill="9ABB59"/>
      </w:tcPr>
    </w:tblStylePr>
    <w:tblStylePr w:type="lastRow">
      <w:rPr>
        <w:rFonts w:ascii="Arial" w:hAnsi="Arial"/>
        <w:color w:val="F2F2F2"/>
        <w:sz w:val="22"/>
      </w:rPr>
      <w:tcPr>
        <w:shd w:val="clear" w:color="9ABB59" w:fill="9ABB59"/>
      </w:tcPr>
    </w:tblStylePr>
    <w:tblStylePr w:type="firstCol">
      <w:rPr>
        <w:rFonts w:ascii="Arial" w:hAnsi="Arial"/>
        <w:color w:val="F2F2F2"/>
        <w:sz w:val="22"/>
      </w:rPr>
      <w:tcPr>
        <w:shd w:val="clear" w:color="9ABB59" w:fill="9ABB59"/>
      </w:tcPr>
    </w:tblStylePr>
    <w:tblStylePr w:type="lastCol">
      <w:rPr>
        <w:rFonts w:ascii="Arial" w:hAnsi="Arial"/>
        <w:color w:val="F2F2F2"/>
        <w:sz w:val="22"/>
      </w:rPr>
      <w:tcPr>
        <w:shd w:val="clear" w:color="9ABB59" w:fill="9ABB59"/>
      </w:tcPr>
    </w:tblStylePr>
    <w:tblStylePr w:type="band1Vert">
      <w:rPr>
        <w:rFonts w:ascii="Arial" w:hAnsi="Arial"/>
        <w:color w:val="404040"/>
        <w:sz w:val="22"/>
      </w:rPr>
    </w:tblStylePr>
    <w:tblStylePr w:type="band2Vert">
      <w:rPr>
        <w:rFonts w:ascii="Arial" w:hAnsi="Arial"/>
        <w:color w:val="404040"/>
        <w:sz w:val="22"/>
      </w:rPr>
      <w:tcPr>
        <w:shd w:val="clear" w:color="EAF1DC" w:fill="EAF1DC"/>
      </w:tcPr>
    </w:tblStylePr>
    <w:tblStylePr w:type="band1Horz">
      <w:rPr>
        <w:rFonts w:ascii="Arial" w:hAnsi="Arial"/>
        <w:color w:val="404040"/>
        <w:sz w:val="22"/>
      </w:rPr>
    </w:tblStylePr>
    <w:tblStylePr w:type="band2Horz">
      <w:rPr>
        <w:rFonts w:ascii="Arial" w:hAnsi="Arial"/>
        <w:color w:val="404040"/>
        <w:sz w:val="22"/>
      </w:rPr>
      <w:tcPr>
        <w:shd w:val="clear" w:color="EAF1DC" w:fill="EAF1DC"/>
      </w:tcPr>
    </w:tblStylePr>
  </w:style>
  <w:style w:type="table" w:customStyle="1" w:styleId="1880">
    <w:name w:val="Bordered &amp; Lined - Accent 49"/>
    <w:basedOn w:val="13"/>
    <w:uiPriority w:val="99"/>
    <w:rPr>
      <w:color w:val="404040"/>
    </w:rPr>
    <w:tblPr>
      <w:tblBorders>
        <w:top w:val="single" w:color="4A395F" w:sz="4" w:space="0"/>
        <w:left w:val="single" w:color="4A395F" w:sz="4" w:space="0"/>
        <w:bottom w:val="single" w:color="4A395F" w:sz="4" w:space="0"/>
        <w:right w:val="single" w:color="4A395F" w:sz="4" w:space="0"/>
        <w:insideH w:val="single" w:color="4A395F" w:sz="4" w:space="0"/>
        <w:insideV w:val="single" w:color="4A395F" w:sz="4" w:space="0"/>
      </w:tblBorders>
      <w:tblCellMar>
        <w:top w:w="0" w:type="dxa"/>
        <w:left w:w="108" w:type="dxa"/>
        <w:bottom w:w="0" w:type="dxa"/>
        <w:right w:w="108" w:type="dxa"/>
      </w:tblCellMar>
    </w:tblPr>
    <w:tblStylePr w:type="firstRow">
      <w:rPr>
        <w:rFonts w:ascii="Arial" w:hAnsi="Arial"/>
        <w:color w:val="F2F2F2"/>
        <w:sz w:val="22"/>
      </w:rPr>
      <w:tcPr>
        <w:shd w:val="clear" w:color="B2A1C6" w:fill="B2A1C6"/>
      </w:tcPr>
    </w:tblStylePr>
    <w:tblStylePr w:type="lastRow">
      <w:rPr>
        <w:rFonts w:ascii="Arial" w:hAnsi="Arial"/>
        <w:color w:val="F2F2F2"/>
        <w:sz w:val="22"/>
      </w:rPr>
      <w:tcPr>
        <w:shd w:val="clear" w:color="B2A1C6" w:fill="B2A1C6"/>
      </w:tcPr>
    </w:tblStylePr>
    <w:tblStylePr w:type="firstCol">
      <w:rPr>
        <w:rFonts w:ascii="Arial" w:hAnsi="Arial"/>
        <w:color w:val="F2F2F2"/>
        <w:sz w:val="22"/>
      </w:rPr>
      <w:tcPr>
        <w:shd w:val="clear" w:color="B2A1C6" w:fill="B2A1C6"/>
      </w:tcPr>
    </w:tblStylePr>
    <w:tblStylePr w:type="lastCol">
      <w:rPr>
        <w:rFonts w:ascii="Arial" w:hAnsi="Arial"/>
        <w:color w:val="F2F2F2"/>
        <w:sz w:val="22"/>
      </w:rPr>
      <w:tcPr>
        <w:shd w:val="clear" w:color="B2A1C6" w:fill="B2A1C6"/>
      </w:tcPr>
    </w:tblStylePr>
    <w:tblStylePr w:type="band1Vert">
      <w:rPr>
        <w:rFonts w:ascii="Arial" w:hAnsi="Arial"/>
        <w:color w:val="404040"/>
        <w:sz w:val="22"/>
      </w:rPr>
    </w:tblStylePr>
    <w:tblStylePr w:type="band2Vert">
      <w:rPr>
        <w:rFonts w:ascii="Arial" w:hAnsi="Arial"/>
        <w:color w:val="404040"/>
        <w:sz w:val="22"/>
      </w:rPr>
      <w:tcPr>
        <w:shd w:val="clear" w:color="E5DFEC" w:fill="E5DFEC"/>
      </w:tcPr>
    </w:tblStylePr>
    <w:tblStylePr w:type="band1Horz">
      <w:rPr>
        <w:rFonts w:ascii="Arial" w:hAnsi="Arial"/>
        <w:color w:val="404040"/>
        <w:sz w:val="22"/>
      </w:rPr>
    </w:tblStylePr>
    <w:tblStylePr w:type="band2Horz">
      <w:rPr>
        <w:rFonts w:ascii="Arial" w:hAnsi="Arial"/>
        <w:color w:val="404040"/>
        <w:sz w:val="22"/>
      </w:rPr>
      <w:tcPr>
        <w:shd w:val="clear" w:color="E5DFEC" w:fill="E5DFEC"/>
      </w:tcPr>
    </w:tblStylePr>
  </w:style>
  <w:style w:type="table" w:customStyle="1" w:styleId="1881">
    <w:name w:val="Bordered &amp; Lined - Accent 59"/>
    <w:basedOn w:val="13"/>
    <w:uiPriority w:val="99"/>
    <w:rPr>
      <w:color w:val="404040"/>
    </w:rPr>
    <w:tblPr>
      <w:tblBorders>
        <w:top w:val="single" w:color="266779" w:sz="4" w:space="0"/>
        <w:left w:val="single" w:color="266779" w:sz="4" w:space="0"/>
        <w:bottom w:val="single" w:color="266779" w:sz="4" w:space="0"/>
        <w:right w:val="single" w:color="266779" w:sz="4" w:space="0"/>
        <w:insideH w:val="single" w:color="266779" w:sz="4" w:space="0"/>
        <w:insideV w:val="single" w:color="266779" w:sz="4" w:space="0"/>
      </w:tblBorders>
      <w:tblCellMar>
        <w:top w:w="0" w:type="dxa"/>
        <w:left w:w="108" w:type="dxa"/>
        <w:bottom w:w="0" w:type="dxa"/>
        <w:right w:w="108" w:type="dxa"/>
      </w:tblCellMar>
    </w:tblPr>
    <w:tblStylePr w:type="firstRow">
      <w:rPr>
        <w:rFonts w:ascii="Arial" w:hAnsi="Arial"/>
        <w:color w:val="F2F2F2"/>
        <w:sz w:val="22"/>
      </w:rPr>
      <w:tcPr>
        <w:shd w:val="clear" w:color="4BACC6" w:fill="4BACC6"/>
      </w:tcPr>
    </w:tblStylePr>
    <w:tblStylePr w:type="lastRow">
      <w:rPr>
        <w:rFonts w:ascii="Arial" w:hAnsi="Arial"/>
        <w:color w:val="F2F2F2"/>
        <w:sz w:val="22"/>
      </w:rPr>
      <w:tcPr>
        <w:shd w:val="clear" w:color="4BACC6" w:fill="4BACC6"/>
      </w:tcPr>
    </w:tblStylePr>
    <w:tblStylePr w:type="firstCol">
      <w:rPr>
        <w:rFonts w:ascii="Arial" w:hAnsi="Arial"/>
        <w:color w:val="F2F2F2"/>
        <w:sz w:val="22"/>
      </w:rPr>
      <w:tcPr>
        <w:shd w:val="clear" w:color="4BACC6" w:fill="4BACC6"/>
      </w:tcPr>
    </w:tblStylePr>
    <w:tblStylePr w:type="lastCol">
      <w:rPr>
        <w:rFonts w:ascii="Arial" w:hAnsi="Arial"/>
        <w:color w:val="F2F2F2"/>
        <w:sz w:val="22"/>
      </w:rPr>
      <w:tcPr>
        <w:shd w:val="clear" w:color="4BACC6" w:fill="4BACC6"/>
      </w:tcPr>
    </w:tblStylePr>
    <w:tblStylePr w:type="band1Vert">
      <w:rPr>
        <w:rFonts w:ascii="Arial" w:hAnsi="Arial"/>
        <w:color w:val="404040"/>
        <w:sz w:val="22"/>
      </w:rPr>
    </w:tblStylePr>
    <w:tblStylePr w:type="band2Vert">
      <w:rPr>
        <w:rFonts w:ascii="Arial" w:hAnsi="Arial"/>
        <w:color w:val="404040"/>
        <w:sz w:val="22"/>
      </w:rPr>
      <w:tcPr>
        <w:shd w:val="clear" w:color="DAEEF3" w:fill="DAEEF3"/>
      </w:tcPr>
    </w:tblStylePr>
    <w:tblStylePr w:type="band1Horz">
      <w:rPr>
        <w:rFonts w:ascii="Arial" w:hAnsi="Arial"/>
        <w:color w:val="404040"/>
        <w:sz w:val="22"/>
      </w:rPr>
    </w:tblStylePr>
    <w:tblStylePr w:type="band2Horz">
      <w:rPr>
        <w:rFonts w:ascii="Arial" w:hAnsi="Arial"/>
        <w:color w:val="404040"/>
        <w:sz w:val="22"/>
      </w:rPr>
      <w:tcPr>
        <w:shd w:val="clear" w:color="DAEEF3" w:fill="DAEEF3"/>
      </w:tcPr>
    </w:tblStylePr>
  </w:style>
  <w:style w:type="table" w:customStyle="1" w:styleId="1882">
    <w:name w:val="Bordered &amp; Lined - Accent 69"/>
    <w:basedOn w:val="13"/>
    <w:uiPriority w:val="99"/>
    <w:rPr>
      <w:color w:val="404040"/>
    </w:rPr>
    <w:tblPr>
      <w:tblBorders>
        <w:top w:val="single" w:color="B15407" w:sz="4" w:space="0"/>
        <w:left w:val="single" w:color="B15407" w:sz="4" w:space="0"/>
        <w:bottom w:val="single" w:color="B15407" w:sz="4" w:space="0"/>
        <w:right w:val="single" w:color="B15407" w:sz="4" w:space="0"/>
        <w:insideH w:val="single" w:color="B15407" w:sz="4" w:space="0"/>
        <w:insideV w:val="single" w:color="B15407" w:sz="4" w:space="0"/>
      </w:tblBorders>
      <w:tblCellMar>
        <w:top w:w="0" w:type="dxa"/>
        <w:left w:w="108" w:type="dxa"/>
        <w:bottom w:w="0" w:type="dxa"/>
        <w:right w:w="108" w:type="dxa"/>
      </w:tblCellMar>
    </w:tblPr>
    <w:tblStylePr w:type="firstRow">
      <w:rPr>
        <w:rFonts w:ascii="Arial" w:hAnsi="Arial"/>
        <w:color w:val="F2F2F2"/>
        <w:sz w:val="22"/>
      </w:rPr>
      <w:tcPr>
        <w:shd w:val="clear" w:color="F79646" w:fill="F79646"/>
      </w:tcPr>
    </w:tblStylePr>
    <w:tblStylePr w:type="lastRow">
      <w:rPr>
        <w:rFonts w:ascii="Arial" w:hAnsi="Arial"/>
        <w:color w:val="F2F2F2"/>
        <w:sz w:val="22"/>
      </w:rPr>
      <w:tcPr>
        <w:shd w:val="clear" w:color="F79646" w:fill="F79646"/>
      </w:tcPr>
    </w:tblStylePr>
    <w:tblStylePr w:type="firstCol">
      <w:rPr>
        <w:rFonts w:ascii="Arial" w:hAnsi="Arial"/>
        <w:color w:val="F2F2F2"/>
        <w:sz w:val="22"/>
      </w:rPr>
      <w:tcPr>
        <w:shd w:val="clear" w:color="F79646" w:fill="F79646"/>
      </w:tcPr>
    </w:tblStylePr>
    <w:tblStylePr w:type="lastCol">
      <w:rPr>
        <w:rFonts w:ascii="Arial" w:hAnsi="Arial"/>
        <w:color w:val="F2F2F2"/>
        <w:sz w:val="22"/>
      </w:rPr>
      <w:tcPr>
        <w:shd w:val="clear" w:color="F79646" w:fill="F79646"/>
      </w:tcPr>
    </w:tblStylePr>
    <w:tblStylePr w:type="band1Vert">
      <w:rPr>
        <w:rFonts w:ascii="Arial" w:hAnsi="Arial"/>
        <w:color w:val="404040"/>
        <w:sz w:val="22"/>
      </w:rPr>
    </w:tblStylePr>
    <w:tblStylePr w:type="band2Vert">
      <w:rPr>
        <w:rFonts w:ascii="Arial" w:hAnsi="Arial"/>
        <w:color w:val="404040"/>
        <w:sz w:val="22"/>
      </w:rPr>
      <w:tcPr>
        <w:shd w:val="clear" w:color="FDE9D8" w:fill="FDE9D8"/>
      </w:tcPr>
    </w:tblStylePr>
    <w:tblStylePr w:type="band1Horz">
      <w:rPr>
        <w:rFonts w:ascii="Arial" w:hAnsi="Arial"/>
        <w:color w:val="404040"/>
        <w:sz w:val="22"/>
      </w:rPr>
    </w:tblStylePr>
    <w:tblStylePr w:type="band2Horz">
      <w:rPr>
        <w:rFonts w:ascii="Arial" w:hAnsi="Arial"/>
        <w:color w:val="404040"/>
        <w:sz w:val="22"/>
      </w:rPr>
      <w:tcPr>
        <w:shd w:val="clear" w:color="FDE9D8" w:fill="FDE9D8"/>
      </w:tcPr>
    </w:tblStylePr>
  </w:style>
  <w:style w:type="table" w:customStyle="1" w:styleId="1883">
    <w:name w:val="Bordered9"/>
    <w:basedOn w:val="13"/>
    <w:uiPriority w:val="99"/>
    <w:rPr>
      <w:sz w:val="22"/>
      <w:szCs w:val="22"/>
      <w:lang w:eastAsia="en-US"/>
    </w:rPr>
    <w:tblPr>
      <w:tblBorders>
        <w:top w:val="single" w:color="D9D9D9" w:sz="4" w:space="0"/>
        <w:left w:val="single" w:color="D9D9D9" w:sz="4" w:space="0"/>
        <w:bottom w:val="single" w:color="D9D9D9" w:sz="4" w:space="0"/>
        <w:right w:val="single" w:color="D9D9D9" w:sz="4" w:space="0"/>
        <w:insideH w:val="single" w:color="D9D9D9" w:sz="4" w:space="0"/>
        <w:insideV w:val="single" w:color="D9D9D9" w:sz="4" w:space="0"/>
      </w:tblBorders>
      <w:tblCellMar>
        <w:top w:w="0" w:type="dxa"/>
        <w:left w:w="108" w:type="dxa"/>
        <w:bottom w:w="0" w:type="dxa"/>
        <w:right w:w="108" w:type="dxa"/>
      </w:tblCellMar>
    </w:tblPr>
    <w:tblStylePr w:type="firstRow">
      <w:rPr>
        <w:rFonts w:ascii="Arial" w:hAnsi="Arial"/>
        <w:color w:val="404040"/>
        <w:sz w:val="22"/>
      </w:rPr>
      <w:tcPr>
        <w:tcBorders>
          <w:bottom w:val="single" w:color="7F7F7F" w:sz="12" w:space="0"/>
        </w:tcBorders>
      </w:tcPr>
    </w:tblStylePr>
    <w:tblStylePr w:type="lastRow">
      <w:rPr>
        <w:rFonts w:ascii="Arial" w:hAnsi="Arial"/>
        <w:color w:val="404040"/>
        <w:sz w:val="22"/>
      </w:rPr>
      <w:tcPr>
        <w:tcBorders>
          <w:top w:val="single" w:color="7F7F7F"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7F7F7F" w:sz="12" w:space="0"/>
        </w:tcBorders>
      </w:tcPr>
    </w:tblStylePr>
    <w:tblStylePr w:type="band1Horz">
      <w:rPr>
        <w:rFonts w:ascii="Arial" w:hAnsi="Arial"/>
        <w:color w:val="404040"/>
        <w:sz w:val="22"/>
      </w:rPr>
      <w:tcPr>
        <w:tcBorders>
          <w:top w:val="single" w:color="D9D9D9" w:sz="4" w:space="0"/>
          <w:left w:val="single" w:color="D9D9D9" w:sz="4" w:space="0"/>
          <w:bottom w:val="single" w:color="D9D9D9" w:sz="4" w:space="0"/>
          <w:right w:val="single" w:color="D9D9D9" w:sz="4" w:space="0"/>
        </w:tcBorders>
      </w:tcPr>
    </w:tblStylePr>
  </w:style>
  <w:style w:type="table" w:customStyle="1" w:styleId="1884">
    <w:name w:val="Bordered - Accent 19"/>
    <w:basedOn w:val="13"/>
    <w:uiPriority w:val="99"/>
    <w:rPr>
      <w:sz w:val="22"/>
      <w:szCs w:val="22"/>
      <w:lang w:eastAsia="en-US"/>
    </w:rPr>
    <w:tblPr>
      <w:tblBorders>
        <w:top w:val="single" w:color="B7CBE4" w:sz="4" w:space="0"/>
        <w:left w:val="single" w:color="B7CBE4" w:sz="4" w:space="0"/>
        <w:bottom w:val="single" w:color="B7CBE4" w:sz="4" w:space="0"/>
        <w:right w:val="single" w:color="B7CBE4" w:sz="4" w:space="0"/>
        <w:insideH w:val="single" w:color="B7CBE4" w:sz="4" w:space="0"/>
        <w:insideV w:val="single" w:color="B7CBE4" w:sz="4" w:space="0"/>
      </w:tblBorders>
      <w:tblCellMar>
        <w:top w:w="0" w:type="dxa"/>
        <w:left w:w="108" w:type="dxa"/>
        <w:bottom w:w="0" w:type="dxa"/>
        <w:right w:w="108" w:type="dxa"/>
      </w:tblCellMar>
    </w:tblPr>
    <w:tblStylePr w:type="firstRow">
      <w:rPr>
        <w:rFonts w:ascii="Arial" w:hAnsi="Arial"/>
        <w:color w:val="404040"/>
        <w:sz w:val="22"/>
      </w:rPr>
      <w:tcPr>
        <w:tcBorders>
          <w:bottom w:val="single" w:color="4F81BD" w:sz="12" w:space="0"/>
        </w:tcBorders>
      </w:tcPr>
    </w:tblStylePr>
    <w:tblStylePr w:type="lastRow">
      <w:rPr>
        <w:rFonts w:ascii="Arial" w:hAnsi="Arial"/>
        <w:color w:val="404040"/>
        <w:sz w:val="22"/>
      </w:rPr>
      <w:tcPr>
        <w:tcBorders>
          <w:top w:val="single" w:color="4F81BD"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4F81BD" w:sz="12" w:space="0"/>
        </w:tcBorders>
      </w:tcPr>
    </w:tblStylePr>
    <w:tblStylePr w:type="band1Horz">
      <w:rPr>
        <w:rFonts w:ascii="Arial" w:hAnsi="Arial"/>
        <w:color w:val="404040"/>
        <w:sz w:val="22"/>
      </w:rPr>
      <w:tcPr>
        <w:tcBorders>
          <w:top w:val="single" w:color="B7CBE4" w:sz="4" w:space="0"/>
          <w:left w:val="single" w:color="B7CBE4" w:sz="4" w:space="0"/>
          <w:bottom w:val="single" w:color="B7CBE4" w:sz="4" w:space="0"/>
          <w:right w:val="single" w:color="B7CBE4" w:sz="4" w:space="0"/>
        </w:tcBorders>
      </w:tcPr>
    </w:tblStylePr>
  </w:style>
  <w:style w:type="table" w:customStyle="1" w:styleId="1885">
    <w:name w:val="Bordered - Accent 29"/>
    <w:basedOn w:val="13"/>
    <w:uiPriority w:val="99"/>
    <w:rPr>
      <w:sz w:val="22"/>
      <w:szCs w:val="22"/>
      <w:lang w:eastAsia="en-US"/>
    </w:rPr>
    <w:tblPr>
      <w:tblBorders>
        <w:top w:val="single" w:color="E5B7B6" w:sz="4" w:space="0"/>
        <w:left w:val="single" w:color="E5B7B6" w:sz="4" w:space="0"/>
        <w:bottom w:val="single" w:color="E5B7B6" w:sz="4" w:space="0"/>
        <w:right w:val="single" w:color="E5B7B6" w:sz="4" w:space="0"/>
        <w:insideH w:val="single" w:color="E5B7B6" w:sz="4" w:space="0"/>
        <w:insideV w:val="single" w:color="E5B7B6" w:sz="4" w:space="0"/>
      </w:tblBorders>
      <w:tblCellMar>
        <w:top w:w="0" w:type="dxa"/>
        <w:left w:w="108" w:type="dxa"/>
        <w:bottom w:w="0" w:type="dxa"/>
        <w:right w:w="108" w:type="dxa"/>
      </w:tblCellMar>
    </w:tblPr>
    <w:tblStylePr w:type="firstRow">
      <w:rPr>
        <w:rFonts w:ascii="Arial" w:hAnsi="Arial"/>
        <w:color w:val="404040"/>
        <w:sz w:val="22"/>
      </w:rPr>
      <w:tcPr>
        <w:tcBorders>
          <w:bottom w:val="single" w:color="D99695" w:sz="12" w:space="0"/>
        </w:tcBorders>
      </w:tcPr>
    </w:tblStylePr>
    <w:tblStylePr w:type="lastRow">
      <w:rPr>
        <w:rFonts w:ascii="Arial" w:hAnsi="Arial"/>
        <w:color w:val="404040"/>
        <w:sz w:val="22"/>
      </w:rPr>
      <w:tcPr>
        <w:tcBorders>
          <w:top w:val="single" w:color="D99695"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D99695" w:sz="12" w:space="0"/>
        </w:tcBorders>
      </w:tcPr>
    </w:tblStylePr>
    <w:tblStylePr w:type="band1Horz">
      <w:rPr>
        <w:rFonts w:ascii="Arial" w:hAnsi="Arial"/>
        <w:color w:val="404040"/>
        <w:sz w:val="22"/>
      </w:rPr>
      <w:tcPr>
        <w:tcBorders>
          <w:top w:val="single" w:color="E5B7B6" w:sz="4" w:space="0"/>
          <w:left w:val="single" w:color="E5B7B6" w:sz="4" w:space="0"/>
          <w:bottom w:val="single" w:color="E5B7B6" w:sz="4" w:space="0"/>
          <w:right w:val="single" w:color="E5B7B6" w:sz="4" w:space="0"/>
        </w:tcBorders>
      </w:tcPr>
    </w:tblStylePr>
  </w:style>
  <w:style w:type="table" w:customStyle="1" w:styleId="1886">
    <w:name w:val="Bordered - Accent 39"/>
    <w:basedOn w:val="13"/>
    <w:uiPriority w:val="99"/>
    <w:rPr>
      <w:sz w:val="22"/>
      <w:szCs w:val="22"/>
      <w:lang w:eastAsia="en-US"/>
    </w:rPr>
    <w:tblPr>
      <w:tblBorders>
        <w:top w:val="single" w:color="D6E3BB" w:sz="4" w:space="0"/>
        <w:left w:val="single" w:color="D6E3BB" w:sz="4" w:space="0"/>
        <w:bottom w:val="single" w:color="D6E3BB" w:sz="4" w:space="0"/>
        <w:right w:val="single" w:color="D6E3BB" w:sz="4" w:space="0"/>
        <w:insideH w:val="single" w:color="D6E3BB" w:sz="4" w:space="0"/>
        <w:insideV w:val="single" w:color="D6E3BB" w:sz="4" w:space="0"/>
      </w:tblBorders>
      <w:tblCellMar>
        <w:top w:w="0" w:type="dxa"/>
        <w:left w:w="108" w:type="dxa"/>
        <w:bottom w:w="0" w:type="dxa"/>
        <w:right w:w="108" w:type="dxa"/>
      </w:tblCellMar>
    </w:tblPr>
    <w:tblStylePr w:type="firstRow">
      <w:rPr>
        <w:rFonts w:ascii="Arial" w:hAnsi="Arial"/>
        <w:color w:val="404040"/>
        <w:sz w:val="22"/>
      </w:rPr>
      <w:tcPr>
        <w:tcBorders>
          <w:bottom w:val="single" w:color="C3D69B" w:sz="12" w:space="0"/>
        </w:tcBorders>
      </w:tcPr>
    </w:tblStylePr>
    <w:tblStylePr w:type="lastRow">
      <w:rPr>
        <w:rFonts w:ascii="Arial" w:hAnsi="Arial"/>
        <w:color w:val="404040"/>
        <w:sz w:val="22"/>
      </w:rPr>
      <w:tcPr>
        <w:tcBorders>
          <w:top w:val="single" w:color="C3D69B"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C3D69B" w:sz="12" w:space="0"/>
        </w:tcBorders>
      </w:tcPr>
    </w:tblStylePr>
    <w:tblStylePr w:type="band1Horz">
      <w:rPr>
        <w:rFonts w:ascii="Arial" w:hAnsi="Arial"/>
        <w:color w:val="404040"/>
        <w:sz w:val="22"/>
      </w:rPr>
      <w:tcPr>
        <w:tcBorders>
          <w:top w:val="single" w:color="D6E3BB" w:sz="4" w:space="0"/>
          <w:left w:val="single" w:color="D6E3BB" w:sz="4" w:space="0"/>
          <w:bottom w:val="single" w:color="D6E3BB" w:sz="4" w:space="0"/>
          <w:right w:val="single" w:color="D6E3BB" w:sz="4" w:space="0"/>
        </w:tcBorders>
      </w:tcPr>
    </w:tblStylePr>
  </w:style>
  <w:style w:type="table" w:customStyle="1" w:styleId="1887">
    <w:name w:val="Bordered - Accent 49"/>
    <w:basedOn w:val="13"/>
    <w:uiPriority w:val="99"/>
    <w:rPr>
      <w:sz w:val="22"/>
      <w:szCs w:val="22"/>
      <w:lang w:eastAsia="en-US"/>
    </w:rPr>
    <w:tblPr>
      <w:tblBorders>
        <w:top w:val="single" w:color="CBC0D9" w:sz="4" w:space="0"/>
        <w:left w:val="single" w:color="CBC0D9" w:sz="4" w:space="0"/>
        <w:bottom w:val="single" w:color="CBC0D9" w:sz="4" w:space="0"/>
        <w:right w:val="single" w:color="CBC0D9" w:sz="4" w:space="0"/>
        <w:insideH w:val="single" w:color="CBC0D9" w:sz="4" w:space="0"/>
        <w:insideV w:val="single" w:color="CBC0D9" w:sz="4" w:space="0"/>
      </w:tblBorders>
      <w:tblCellMar>
        <w:top w:w="0" w:type="dxa"/>
        <w:left w:w="108" w:type="dxa"/>
        <w:bottom w:w="0" w:type="dxa"/>
        <w:right w:w="108" w:type="dxa"/>
      </w:tblCellMar>
    </w:tblPr>
    <w:tblStylePr w:type="firstRow">
      <w:rPr>
        <w:rFonts w:ascii="Arial" w:hAnsi="Arial"/>
        <w:color w:val="404040"/>
        <w:sz w:val="22"/>
      </w:rPr>
      <w:tcPr>
        <w:tcBorders>
          <w:bottom w:val="single" w:color="B2A1C6" w:sz="12" w:space="0"/>
        </w:tcBorders>
      </w:tcPr>
    </w:tblStylePr>
    <w:tblStylePr w:type="lastRow">
      <w:rPr>
        <w:rFonts w:ascii="Arial" w:hAnsi="Arial"/>
        <w:color w:val="404040"/>
        <w:sz w:val="22"/>
      </w:rPr>
      <w:tcPr>
        <w:tcBorders>
          <w:top w:val="single" w:color="B2A1C6"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B2A1C6" w:sz="12" w:space="0"/>
        </w:tcBorders>
      </w:tcPr>
    </w:tblStylePr>
    <w:tblStylePr w:type="band1Horz">
      <w:rPr>
        <w:rFonts w:ascii="Arial" w:hAnsi="Arial"/>
        <w:color w:val="404040"/>
        <w:sz w:val="22"/>
      </w:rPr>
      <w:tcPr>
        <w:tcBorders>
          <w:top w:val="single" w:color="CBC0D9" w:sz="4" w:space="0"/>
          <w:left w:val="single" w:color="CBC0D9" w:sz="4" w:space="0"/>
          <w:bottom w:val="single" w:color="CBC0D9" w:sz="4" w:space="0"/>
          <w:right w:val="single" w:color="CBC0D9" w:sz="4" w:space="0"/>
        </w:tcBorders>
      </w:tcPr>
    </w:tblStylePr>
  </w:style>
  <w:style w:type="table" w:customStyle="1" w:styleId="1888">
    <w:name w:val="Bordered - Accent 59"/>
    <w:basedOn w:val="13"/>
    <w:uiPriority w:val="99"/>
    <w:rPr>
      <w:sz w:val="22"/>
      <w:szCs w:val="22"/>
      <w:lang w:eastAsia="en-US"/>
    </w:rPr>
    <w:tblPr>
      <w:tblBorders>
        <w:top w:val="single" w:color="B6DDE8" w:sz="4" w:space="0"/>
        <w:left w:val="single" w:color="B6DDE8" w:sz="4" w:space="0"/>
        <w:bottom w:val="single" w:color="B6DDE8" w:sz="4" w:space="0"/>
        <w:right w:val="single" w:color="B6DDE8" w:sz="4" w:space="0"/>
        <w:insideH w:val="single" w:color="B6DDE8" w:sz="4" w:space="0"/>
        <w:insideV w:val="single" w:color="B6DDE8" w:sz="4" w:space="0"/>
      </w:tblBorders>
      <w:tblCellMar>
        <w:top w:w="0" w:type="dxa"/>
        <w:left w:w="108" w:type="dxa"/>
        <w:bottom w:w="0" w:type="dxa"/>
        <w:right w:w="108" w:type="dxa"/>
      </w:tblCellMar>
    </w:tblPr>
    <w:tblStylePr w:type="firstRow">
      <w:rPr>
        <w:rFonts w:ascii="Arial" w:hAnsi="Arial"/>
        <w:color w:val="404040"/>
        <w:sz w:val="22"/>
      </w:rPr>
      <w:tcPr>
        <w:tcBorders>
          <w:bottom w:val="single" w:color="92CCDC" w:sz="12" w:space="0"/>
        </w:tcBorders>
      </w:tcPr>
    </w:tblStylePr>
    <w:tblStylePr w:type="lastRow">
      <w:rPr>
        <w:rFonts w:ascii="Arial" w:hAnsi="Arial"/>
        <w:color w:val="404040"/>
        <w:sz w:val="22"/>
      </w:rPr>
      <w:tcPr>
        <w:tcBorders>
          <w:top w:val="single" w:color="92CCDC"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92CCDC" w:sz="12" w:space="0"/>
        </w:tcBorders>
      </w:tcPr>
    </w:tblStylePr>
    <w:tblStylePr w:type="band1Horz">
      <w:rPr>
        <w:rFonts w:ascii="Arial" w:hAnsi="Arial"/>
        <w:color w:val="404040"/>
        <w:sz w:val="22"/>
      </w:rPr>
      <w:tcPr>
        <w:tcBorders>
          <w:top w:val="single" w:color="B6DDE8" w:sz="4" w:space="0"/>
          <w:left w:val="single" w:color="B6DDE8" w:sz="4" w:space="0"/>
          <w:bottom w:val="single" w:color="B6DDE8" w:sz="4" w:space="0"/>
          <w:right w:val="single" w:color="B6DDE8" w:sz="4" w:space="0"/>
        </w:tcBorders>
      </w:tcPr>
    </w:tblStylePr>
  </w:style>
  <w:style w:type="table" w:customStyle="1" w:styleId="1889">
    <w:name w:val="Bordered - Accent 69"/>
    <w:basedOn w:val="13"/>
    <w:uiPriority w:val="99"/>
    <w:rPr>
      <w:sz w:val="22"/>
      <w:szCs w:val="22"/>
      <w:lang w:eastAsia="en-US"/>
    </w:rPr>
    <w:tblPr>
      <w:tblBorders>
        <w:top w:val="single" w:color="FBD4B4" w:sz="4" w:space="0"/>
        <w:left w:val="single" w:color="FBD4B4" w:sz="4" w:space="0"/>
        <w:bottom w:val="single" w:color="FBD4B4" w:sz="4" w:space="0"/>
        <w:right w:val="single" w:color="FBD4B4" w:sz="4" w:space="0"/>
        <w:insideH w:val="single" w:color="FBD4B4" w:sz="4" w:space="0"/>
        <w:insideV w:val="single" w:color="FBD4B4" w:sz="4" w:space="0"/>
      </w:tblBorders>
      <w:tblCellMar>
        <w:top w:w="0" w:type="dxa"/>
        <w:left w:w="108" w:type="dxa"/>
        <w:bottom w:w="0" w:type="dxa"/>
        <w:right w:w="108" w:type="dxa"/>
      </w:tblCellMar>
    </w:tblPr>
    <w:tblStylePr w:type="firstRow">
      <w:rPr>
        <w:rFonts w:ascii="Arial" w:hAnsi="Arial"/>
        <w:color w:val="404040"/>
        <w:sz w:val="22"/>
      </w:rPr>
      <w:tcPr>
        <w:tcBorders>
          <w:bottom w:val="single" w:color="FAC090" w:sz="12" w:space="0"/>
        </w:tcBorders>
      </w:tcPr>
    </w:tblStylePr>
    <w:tblStylePr w:type="lastRow">
      <w:rPr>
        <w:rFonts w:ascii="Arial" w:hAnsi="Arial"/>
        <w:color w:val="404040"/>
        <w:sz w:val="22"/>
      </w:rPr>
      <w:tcPr>
        <w:tcBorders>
          <w:top w:val="single" w:color="FAC090"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FAC090" w:sz="12" w:space="0"/>
        </w:tcBorders>
      </w:tcPr>
    </w:tblStylePr>
    <w:tblStylePr w:type="band1Horz">
      <w:rPr>
        <w:rFonts w:ascii="Arial" w:hAnsi="Arial"/>
        <w:color w:val="404040"/>
        <w:sz w:val="22"/>
      </w:rPr>
      <w:tcPr>
        <w:tcBorders>
          <w:top w:val="single" w:color="FBD4B4" w:sz="4" w:space="0"/>
          <w:left w:val="single" w:color="FBD4B4" w:sz="4" w:space="0"/>
          <w:bottom w:val="single" w:color="FBD4B4" w:sz="4" w:space="0"/>
          <w:right w:val="single" w:color="FBD4B4" w:sz="4" w:space="0"/>
        </w:tcBorders>
      </w:tcPr>
    </w:tblStylePr>
  </w:style>
  <w:style w:type="table" w:customStyle="1" w:styleId="1890">
    <w:name w:val="Сетка таблицы24"/>
    <w:basedOn w:val="13"/>
    <w:uiPriority w:val="0"/>
    <w:rPr>
      <w:rFonts w:ascii="Times New Roman" w:hAnsi="Times New Roman" w:eastAsia="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customStyle="1" w:styleId="1891">
    <w:name w:val="Table Normal6"/>
    <w:semiHidden/>
    <w:unhideWhenUsed/>
    <w:qFormat/>
    <w:uiPriority w:val="2"/>
    <w:pPr>
      <w:widowControl w:val="0"/>
      <w:autoSpaceDE w:val="0"/>
      <w:autoSpaceDN w:val="0"/>
    </w:pPr>
    <w:rPr>
      <w:sz w:val="22"/>
      <w:szCs w:val="22"/>
      <w:lang w:val="en-US" w:eastAsia="en-US"/>
    </w:rPr>
    <w:tblPr>
      <w:tblCellMar>
        <w:top w:w="0" w:type="dxa"/>
        <w:left w:w="0" w:type="dxa"/>
        <w:bottom w:w="0" w:type="dxa"/>
        <w:right w:w="0" w:type="dxa"/>
      </w:tblCellMar>
    </w:tblPr>
  </w:style>
  <w:style w:type="paragraph" w:customStyle="1" w:styleId="1892">
    <w:name w:val="Заголовок 12"/>
    <w:basedOn w:val="1"/>
    <w:qFormat/>
    <w:uiPriority w:val="1"/>
    <w:pPr>
      <w:autoSpaceDE w:val="0"/>
      <w:autoSpaceDN w:val="0"/>
      <w:spacing w:after="0" w:line="319" w:lineRule="exact"/>
      <w:ind w:left="1120"/>
      <w:jc w:val="both"/>
      <w:outlineLvl w:val="1"/>
    </w:pPr>
    <w:rPr>
      <w:rFonts w:ascii="Times New Roman" w:hAnsi="Times New Roman" w:eastAsia="Times New Roman"/>
      <w:b/>
      <w:bCs/>
      <w:sz w:val="28"/>
      <w:szCs w:val="28"/>
    </w:rPr>
  </w:style>
  <w:style w:type="table" w:customStyle="1" w:styleId="1893">
    <w:name w:val="Сетка таблицы25"/>
    <w:basedOn w:val="13"/>
    <w:uiPriority w:val="59"/>
    <w:rPr>
      <w:sz w:val="22"/>
      <w:szCs w:val="22"/>
      <w:lang w:eastAsia="en-US"/>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customStyle="1" w:styleId="1894">
    <w:name w:val="Table Normal7"/>
    <w:semiHidden/>
    <w:qFormat/>
    <w:uiPriority w:val="2"/>
    <w:pPr>
      <w:widowControl w:val="0"/>
      <w:autoSpaceDE w:val="0"/>
      <w:autoSpaceDN w:val="0"/>
    </w:pPr>
    <w:rPr>
      <w:sz w:val="22"/>
      <w:szCs w:val="22"/>
      <w:lang w:val="en-US" w:eastAsia="en-US"/>
    </w:rPr>
    <w:tblPr>
      <w:tblCellMar>
        <w:top w:w="0" w:type="dxa"/>
        <w:left w:w="0" w:type="dxa"/>
        <w:bottom w:w="0" w:type="dxa"/>
        <w:right w:w="0" w:type="dxa"/>
      </w:tblCellMar>
    </w:tblPr>
  </w:style>
  <w:style w:type="character" w:customStyle="1" w:styleId="1895">
    <w:name w:val="hgkelc"/>
    <w:uiPriority w:val="0"/>
  </w:style>
  <w:style w:type="paragraph" w:customStyle="1" w:styleId="1896">
    <w:name w:val="a"/>
    <w:basedOn w:val="1"/>
    <w:uiPriority w:val="0"/>
    <w:pPr>
      <w:widowControl/>
      <w:spacing w:before="100" w:beforeAutospacing="1" w:after="100" w:afterAutospacing="1" w:line="240" w:lineRule="auto"/>
    </w:pPr>
    <w:rPr>
      <w:rFonts w:ascii="Times New Roman" w:hAnsi="Times New Roman" w:eastAsia="Times New Roman"/>
      <w:sz w:val="24"/>
      <w:szCs w:val="24"/>
      <w:lang w:eastAsia="ru-RU"/>
    </w:rPr>
  </w:style>
  <w:style w:type="paragraph" w:customStyle="1" w:styleId="1897">
    <w:name w:val="1Стиль"/>
    <w:basedOn w:val="67"/>
    <w:qFormat/>
    <w:uiPriority w:val="0"/>
    <w:pPr>
      <w:widowControl/>
      <w:tabs>
        <w:tab w:val="left" w:pos="-284"/>
        <w:tab w:val="left" w:pos="-142"/>
      </w:tabs>
      <w:spacing w:after="0" w:line="240" w:lineRule="auto"/>
      <w:ind w:left="0" w:firstLine="709"/>
      <w:jc w:val="both"/>
    </w:pPr>
    <w:rPr>
      <w:rFonts w:ascii="Times New Roman" w:hAnsi="Times New Roman"/>
      <w:bCs/>
      <w:sz w:val="28"/>
      <w:szCs w:val="28"/>
      <w:lang w:eastAsia="zh-CN"/>
    </w:rPr>
  </w:style>
  <w:style w:type="character" w:customStyle="1" w:styleId="1898">
    <w:name w:val="path-separator"/>
    <w:uiPriority w:val="0"/>
  </w:style>
  <w:style w:type="character" w:customStyle="1" w:styleId="1899">
    <w:name w:val="l9ipkfa"/>
    <w:uiPriority w:val="0"/>
  </w:style>
  <w:style w:type="paragraph" w:customStyle="1" w:styleId="1900">
    <w:name w:val="c31"/>
    <w:basedOn w:val="1"/>
    <w:uiPriority w:val="0"/>
    <w:pPr>
      <w:widowControl/>
      <w:spacing w:before="100" w:beforeAutospacing="1" w:after="100" w:afterAutospacing="1" w:line="240" w:lineRule="auto"/>
    </w:pPr>
    <w:rPr>
      <w:rFonts w:ascii="Times New Roman" w:hAnsi="Times New Roman" w:eastAsia="Times New Roman"/>
      <w:sz w:val="24"/>
      <w:szCs w:val="24"/>
      <w:lang w:eastAsia="ru-RU"/>
    </w:rPr>
  </w:style>
  <w:style w:type="table" w:customStyle="1" w:styleId="1901">
    <w:name w:val="Table Grid Light10"/>
    <w:basedOn w:val="13"/>
    <w:uiPriority w:val="59"/>
    <w:rPr>
      <w:sz w:val="22"/>
      <w:szCs w:val="22"/>
      <w:lang w:eastAsia="en-US"/>
    </w:rPr>
    <w:tblPr>
      <w:tblBorders>
        <w:top w:val="single" w:color="AFAFAF" w:sz="4" w:space="0"/>
        <w:left w:val="single" w:color="AFAFAF" w:sz="4" w:space="0"/>
        <w:bottom w:val="single" w:color="AFAFAF" w:sz="4" w:space="0"/>
        <w:right w:val="single" w:color="AFAFAF" w:sz="4" w:space="0"/>
        <w:insideH w:val="single" w:color="AFAFAF" w:sz="4" w:space="0"/>
        <w:insideV w:val="single" w:color="AFAFAF" w:sz="4" w:space="0"/>
      </w:tblBorders>
      <w:tblCellMar>
        <w:top w:w="0" w:type="dxa"/>
        <w:left w:w="108" w:type="dxa"/>
        <w:bottom w:w="0" w:type="dxa"/>
        <w:right w:w="108" w:type="dxa"/>
      </w:tblCellMar>
    </w:tblPr>
  </w:style>
  <w:style w:type="table" w:customStyle="1" w:styleId="1902">
    <w:name w:val="Таблица простая 118"/>
    <w:basedOn w:val="13"/>
    <w:uiPriority w:val="59"/>
    <w:rPr>
      <w:sz w:val="22"/>
      <w:szCs w:val="22"/>
      <w:lang w:eastAsia="en-US"/>
    </w:rPr>
    <w:tblPr>
      <w:tblBorders>
        <w:top w:val="single" w:color="AFAFAF" w:sz="4" w:space="0"/>
        <w:left w:val="single" w:color="AFAFAF" w:sz="4" w:space="0"/>
        <w:bottom w:val="single" w:color="AFAFAF" w:sz="4" w:space="0"/>
        <w:right w:val="single" w:color="AFAFAF" w:sz="4" w:space="0"/>
        <w:insideH w:val="single" w:color="AFAFAF" w:sz="4" w:space="0"/>
        <w:insideV w:val="single" w:color="AFAFAF" w:sz="4" w:space="0"/>
      </w:tblBorders>
      <w:tblCellMar>
        <w:top w:w="0" w:type="dxa"/>
        <w:left w:w="108" w:type="dxa"/>
        <w:bottom w:w="0" w:type="dxa"/>
        <w:right w:w="108" w:type="dxa"/>
      </w:tblCellMar>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cPr>
        <w:shd w:val="clear" w:color="F2F2F2" w:fill="F2F2F2"/>
      </w:tcPr>
    </w:tblStylePr>
    <w:tblStylePr w:type="band1Horz">
      <w:tcPr>
        <w:shd w:val="clear" w:color="F2F2F2" w:fill="F2F2F2"/>
      </w:tcPr>
    </w:tblStylePr>
  </w:style>
  <w:style w:type="table" w:customStyle="1" w:styleId="1903">
    <w:name w:val="Таблица простая 218"/>
    <w:basedOn w:val="13"/>
    <w:uiPriority w:val="59"/>
    <w:rPr>
      <w:sz w:val="22"/>
      <w:szCs w:val="22"/>
      <w:lang w:eastAsia="en-US"/>
    </w:rPr>
    <w:tblPr>
      <w:tblBorders>
        <w:top w:val="single" w:color="000000" w:sz="4" w:space="0"/>
        <w:left w:val="none" w:color="000000" w:sz="4" w:space="0"/>
        <w:bottom w:val="single" w:color="000000" w:sz="4" w:space="0"/>
        <w:right w:val="none" w:color="000000" w:sz="4" w:space="0"/>
      </w:tblBorders>
      <w:tblCellMar>
        <w:top w:w="0" w:type="dxa"/>
        <w:left w:w="108" w:type="dxa"/>
        <w:bottom w:w="0" w:type="dxa"/>
        <w:right w:w="108" w:type="dxa"/>
      </w:tblCellMar>
    </w:tblPr>
    <w:tblStylePr w:type="firstRow">
      <w:rPr>
        <w:rFonts w:ascii="Arial" w:hAnsi="Arial"/>
        <w:b/>
        <w:color w:val="404040"/>
        <w:sz w:val="22"/>
      </w:rPr>
      <w:tcPr>
        <w:tcBorders>
          <w:top w:val="single" w:color="000000" w:sz="4" w:space="0"/>
          <w:bottom w:val="single" w:color="000000" w:sz="4" w:space="0"/>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cPr>
        <w:tcBorders>
          <w:left w:val="single" w:color="000000" w:sz="4" w:space="0"/>
          <w:right w:val="single" w:color="000000" w:sz="4" w:space="0"/>
        </w:tcBorders>
      </w:tcPr>
    </w:tblStylePr>
    <w:tblStylePr w:type="band2Vert">
      <w:tcPr>
        <w:tcBorders>
          <w:left w:val="single" w:color="000000" w:sz="4" w:space="0"/>
          <w:right w:val="single" w:color="000000" w:sz="4" w:space="0"/>
        </w:tcBorders>
      </w:tcPr>
    </w:tblStylePr>
    <w:tblStylePr w:type="band1Horz">
      <w:tcPr>
        <w:tcBorders>
          <w:top w:val="single" w:color="000000" w:sz="4" w:space="0"/>
          <w:bottom w:val="single" w:color="000000" w:sz="4" w:space="0"/>
        </w:tcBorders>
      </w:tcPr>
    </w:tblStylePr>
  </w:style>
  <w:style w:type="table" w:customStyle="1" w:styleId="1904">
    <w:name w:val="Таблица простая 318"/>
    <w:basedOn w:val="13"/>
    <w:uiPriority w:val="99"/>
    <w:rPr>
      <w:sz w:val="22"/>
      <w:szCs w:val="22"/>
      <w:lang w:eastAsia="en-US"/>
    </w:rPr>
    <w:tblPr>
      <w:tblCellMar>
        <w:top w:w="0" w:type="dxa"/>
        <w:left w:w="108" w:type="dxa"/>
        <w:bottom w:w="0" w:type="dxa"/>
        <w:right w:w="108" w:type="dxa"/>
      </w:tblCellMar>
    </w:tblPr>
    <w:tblStylePr w:type="firstRow">
      <w:rPr>
        <w:b/>
        <w:caps/>
        <w:color w:val="404040"/>
      </w:rPr>
      <w:tcPr>
        <w:tcBorders>
          <w:top w:val="nil"/>
          <w:left w:val="nil"/>
          <w:bottom w:val="single" w:color="404040" w:sz="4" w:space="0"/>
          <w:right w:val="nil"/>
        </w:tcBorders>
      </w:tcPr>
    </w:tblStylePr>
    <w:tblStylePr w:type="lastRow">
      <w:rPr>
        <w:b/>
        <w:caps/>
        <w:color w:val="404040"/>
      </w:rPr>
    </w:tblStylePr>
    <w:tblStylePr w:type="firstCol">
      <w:rPr>
        <w:b/>
        <w:caps/>
        <w:color w:val="404040"/>
      </w:rPr>
      <w:tcPr>
        <w:tcBorders>
          <w:top w:val="nil"/>
          <w:left w:val="nil"/>
          <w:bottom w:val="nil"/>
          <w:right w:val="single" w:color="404040" w:sz="4" w:space="0"/>
        </w:tcBorders>
      </w:tcPr>
    </w:tblStylePr>
    <w:tblStylePr w:type="lastCol">
      <w:rPr>
        <w:b/>
        <w:caps/>
        <w:color w:val="404040"/>
      </w:rPr>
    </w:tblStylePr>
    <w:tblStylePr w:type="band1Vert">
      <w:rPr>
        <w:rFonts w:ascii="Arial" w:hAnsi="Arial"/>
        <w:color w:val="404040"/>
        <w:sz w:val="22"/>
      </w:rPr>
      <w:tcPr>
        <w:shd w:val="clear" w:color="F2F2F2" w:fill="F2F2F2"/>
      </w:tcPr>
    </w:tblStylePr>
    <w:tblStylePr w:type="band1Horz">
      <w:rPr>
        <w:rFonts w:ascii="Arial" w:hAnsi="Arial"/>
        <w:color w:val="404040"/>
        <w:sz w:val="22"/>
      </w:rPr>
      <w:tcPr>
        <w:shd w:val="clear" w:color="F2F2F2" w:fill="F2F2F2"/>
      </w:tcPr>
    </w:tblStylePr>
  </w:style>
  <w:style w:type="table" w:customStyle="1" w:styleId="1905">
    <w:name w:val="Таблица простая 418"/>
    <w:basedOn w:val="13"/>
    <w:uiPriority w:val="99"/>
    <w:rPr>
      <w:sz w:val="22"/>
      <w:szCs w:val="22"/>
      <w:lang w:eastAsia="en-US"/>
    </w:rPr>
    <w:tblPr>
      <w:tblCellMar>
        <w:top w:w="0" w:type="dxa"/>
        <w:left w:w="108" w:type="dxa"/>
        <w:bottom w:w="0" w:type="dxa"/>
        <w:right w:w="108" w:type="dxa"/>
      </w:tblCellMar>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F2F2F2" w:fill="F2F2F2"/>
      </w:tcPr>
    </w:tblStylePr>
    <w:tblStylePr w:type="band1Horz">
      <w:rPr>
        <w:rFonts w:ascii="Arial" w:hAnsi="Arial"/>
        <w:color w:val="404040"/>
        <w:sz w:val="22"/>
      </w:rPr>
      <w:tcPr>
        <w:shd w:val="clear" w:color="F2F2F2" w:fill="F2F2F2"/>
      </w:tcPr>
    </w:tblStylePr>
  </w:style>
  <w:style w:type="table" w:customStyle="1" w:styleId="1906">
    <w:name w:val="Таблица простая 518"/>
    <w:basedOn w:val="13"/>
    <w:uiPriority w:val="99"/>
    <w:rPr>
      <w:sz w:val="22"/>
      <w:szCs w:val="22"/>
      <w:lang w:eastAsia="en-US"/>
    </w:rPr>
    <w:tblPr>
      <w:tblCellMar>
        <w:top w:w="0" w:type="dxa"/>
        <w:left w:w="108" w:type="dxa"/>
        <w:bottom w:w="0" w:type="dxa"/>
        <w:right w:w="108" w:type="dxa"/>
      </w:tblCellMar>
    </w:tblPr>
    <w:tblStylePr w:type="firstRow">
      <w:rPr>
        <w:i/>
        <w:color w:val="404040"/>
      </w:rPr>
      <w:tcPr>
        <w:tcBorders>
          <w:left w:val="nil"/>
          <w:bottom w:val="single" w:color="404040" w:sz="4" w:space="0"/>
          <w:right w:val="nil"/>
        </w:tcBorders>
        <w:shd w:val="clear" w:color="FFFFFF" w:fill="auto"/>
      </w:tcPr>
    </w:tblStylePr>
    <w:tblStylePr w:type="lastRow">
      <w:rPr>
        <w:i/>
        <w:color w:val="404040"/>
      </w:rPr>
      <w:tcPr>
        <w:tcBorders>
          <w:top w:val="single" w:color="404040" w:sz="4" w:space="0"/>
          <w:left w:val="nil"/>
          <w:right w:val="nil"/>
        </w:tcBorders>
        <w:shd w:val="clear" w:color="FFFFFF" w:fill="auto"/>
      </w:tcPr>
    </w:tblStylePr>
    <w:tblStylePr w:type="firstCol">
      <w:pPr>
        <w:jc w:val="right"/>
      </w:pPr>
      <w:rPr>
        <w:i/>
        <w:color w:val="404040"/>
      </w:rPr>
      <w:tcPr>
        <w:tcBorders>
          <w:right w:val="single" w:color="404040" w:sz="4" w:space="0"/>
        </w:tcBorders>
        <w:shd w:val="clear" w:color="FFFFFF" w:fill="auto"/>
      </w:tcPr>
    </w:tblStylePr>
    <w:tblStylePr w:type="lastCol">
      <w:rPr>
        <w:i/>
        <w:color w:val="404040"/>
      </w:rPr>
      <w:tcPr>
        <w:tcBorders>
          <w:left w:val="single" w:color="404040" w:sz="4" w:space="0"/>
        </w:tcBorders>
        <w:shd w:val="clear" w:color="FFFFFF" w:fill="auto"/>
      </w:tcPr>
    </w:tblStylePr>
    <w:tblStylePr w:type="band1Vert">
      <w:rPr>
        <w:rFonts w:ascii="Arial" w:hAnsi="Arial"/>
        <w:color w:val="404040"/>
        <w:sz w:val="22"/>
      </w:rPr>
      <w:tcPr>
        <w:shd w:val="clear" w:color="F2F2F2" w:fill="F2F2F2"/>
      </w:tcPr>
    </w:tblStylePr>
    <w:tblStylePr w:type="band1Horz">
      <w:rPr>
        <w:rFonts w:ascii="Arial" w:hAnsi="Arial"/>
        <w:color w:val="404040"/>
        <w:sz w:val="22"/>
      </w:rPr>
      <w:tcPr>
        <w:shd w:val="clear" w:color="F2F2F2" w:fill="F2F2F2"/>
      </w:tcPr>
    </w:tblStylePr>
  </w:style>
  <w:style w:type="table" w:customStyle="1" w:styleId="1907">
    <w:name w:val="Таблица-сетка 1 светлая18"/>
    <w:basedOn w:val="13"/>
    <w:uiPriority w:val="99"/>
    <w:rPr>
      <w:sz w:val="22"/>
      <w:szCs w:val="22"/>
      <w:lang w:eastAsia="en-US"/>
    </w:rPr>
    <w:tblPr>
      <w:tblBorders>
        <w:top w:val="single" w:color="989898" w:sz="4" w:space="0"/>
        <w:left w:val="single" w:color="989898" w:sz="4" w:space="0"/>
        <w:bottom w:val="single" w:color="989898" w:sz="4" w:space="0"/>
        <w:right w:val="single" w:color="989898" w:sz="4" w:space="0"/>
        <w:insideH w:val="single" w:color="989898" w:sz="4" w:space="0"/>
        <w:insideV w:val="single" w:color="989898" w:sz="4" w:space="0"/>
      </w:tblBorders>
      <w:tblCellMar>
        <w:top w:w="0" w:type="dxa"/>
        <w:left w:w="108" w:type="dxa"/>
        <w:bottom w:w="0" w:type="dxa"/>
        <w:right w:w="108" w:type="dxa"/>
      </w:tblCellMar>
    </w:tblPr>
    <w:tblStylePr w:type="firstRow">
      <w:rPr>
        <w:b/>
        <w:color w:val="404040"/>
      </w:rPr>
      <w:tcPr>
        <w:tcBorders>
          <w:bottom w:val="single" w:color="6A6A6A" w:sz="12" w:space="0"/>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cPr>
        <w:tcBorders>
          <w:top w:val="single" w:color="989898" w:sz="4" w:space="0"/>
          <w:left w:val="single" w:color="989898" w:sz="4" w:space="0"/>
          <w:bottom w:val="single" w:color="989898" w:sz="4" w:space="0"/>
          <w:right w:val="single" w:color="989898" w:sz="4" w:space="0"/>
        </w:tcBorders>
      </w:tcPr>
    </w:tblStylePr>
  </w:style>
  <w:style w:type="table" w:customStyle="1" w:styleId="1908">
    <w:name w:val="Grid Table 1 Light - Accent 110"/>
    <w:basedOn w:val="13"/>
    <w:uiPriority w:val="99"/>
    <w:rPr>
      <w:sz w:val="22"/>
      <w:szCs w:val="22"/>
      <w:lang w:eastAsia="en-US"/>
    </w:rPr>
    <w:tblPr>
      <w:tblBorders>
        <w:top w:val="single" w:color="B3C5E7" w:sz="4" w:space="0"/>
        <w:left w:val="single" w:color="B3C5E7" w:sz="4" w:space="0"/>
        <w:bottom w:val="single" w:color="B3C5E7" w:sz="4" w:space="0"/>
        <w:right w:val="single" w:color="B3C5E7" w:sz="4" w:space="0"/>
        <w:insideH w:val="single" w:color="B3C5E7" w:sz="4" w:space="0"/>
        <w:insideV w:val="single" w:color="B3C5E7" w:sz="4" w:space="0"/>
      </w:tblBorders>
      <w:tblCellMar>
        <w:top w:w="0" w:type="dxa"/>
        <w:left w:w="108" w:type="dxa"/>
        <w:bottom w:w="0" w:type="dxa"/>
        <w:right w:w="108" w:type="dxa"/>
      </w:tblCellMar>
    </w:tblPr>
    <w:tblStylePr w:type="firstRow">
      <w:rPr>
        <w:b/>
        <w:color w:val="404040"/>
      </w:rPr>
      <w:tcPr>
        <w:tcBorders>
          <w:bottom w:val="single" w:color="91ACDC" w:sz="12" w:space="0"/>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cPr>
        <w:tcBorders>
          <w:top w:val="single" w:color="B3C5E7" w:sz="4" w:space="0"/>
          <w:left w:val="single" w:color="B3C5E7" w:sz="4" w:space="0"/>
          <w:bottom w:val="single" w:color="B3C5E7" w:sz="4" w:space="0"/>
          <w:right w:val="single" w:color="B3C5E7" w:sz="4" w:space="0"/>
        </w:tcBorders>
      </w:tcPr>
    </w:tblStylePr>
  </w:style>
  <w:style w:type="table" w:customStyle="1" w:styleId="1909">
    <w:name w:val="Grid Table 1 Light - Accent 210"/>
    <w:basedOn w:val="13"/>
    <w:uiPriority w:val="99"/>
    <w:rPr>
      <w:sz w:val="22"/>
      <w:szCs w:val="22"/>
      <w:lang w:eastAsia="en-US"/>
    </w:rPr>
    <w:tblPr>
      <w:tblBorders>
        <w:top w:val="single" w:color="F7CAAB" w:sz="4" w:space="0"/>
        <w:left w:val="single" w:color="F7CAAB" w:sz="4" w:space="0"/>
        <w:bottom w:val="single" w:color="F7CAAB" w:sz="4" w:space="0"/>
        <w:right w:val="single" w:color="F7CAAB" w:sz="4" w:space="0"/>
        <w:insideH w:val="single" w:color="F7CAAB" w:sz="4" w:space="0"/>
        <w:insideV w:val="single" w:color="F7CAAB" w:sz="4" w:space="0"/>
      </w:tblBorders>
      <w:tblCellMar>
        <w:top w:w="0" w:type="dxa"/>
        <w:left w:w="108" w:type="dxa"/>
        <w:bottom w:w="0" w:type="dxa"/>
        <w:right w:w="108" w:type="dxa"/>
      </w:tblCellMar>
    </w:tblPr>
    <w:tblStylePr w:type="firstRow">
      <w:rPr>
        <w:b/>
        <w:color w:val="404040"/>
      </w:rPr>
      <w:tcPr>
        <w:tcBorders>
          <w:bottom w:val="single" w:color="F4B286" w:sz="12" w:space="0"/>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cPr>
        <w:tcBorders>
          <w:top w:val="single" w:color="F7CAAB" w:sz="4" w:space="0"/>
          <w:left w:val="single" w:color="F7CAAB" w:sz="4" w:space="0"/>
          <w:bottom w:val="single" w:color="F7CAAB" w:sz="4" w:space="0"/>
          <w:right w:val="single" w:color="F7CAAB" w:sz="4" w:space="0"/>
        </w:tcBorders>
      </w:tcPr>
    </w:tblStylePr>
  </w:style>
  <w:style w:type="table" w:customStyle="1" w:styleId="1910">
    <w:name w:val="Grid Table 1 Light - Accent 310"/>
    <w:basedOn w:val="13"/>
    <w:uiPriority w:val="99"/>
    <w:rPr>
      <w:sz w:val="22"/>
      <w:szCs w:val="22"/>
      <w:lang w:eastAsia="en-US"/>
    </w:rPr>
    <w:tblPr>
      <w:tblBorders>
        <w:top w:val="single" w:color="DADADA" w:sz="4" w:space="0"/>
        <w:left w:val="single" w:color="DADADA" w:sz="4" w:space="0"/>
        <w:bottom w:val="single" w:color="DADADA" w:sz="4" w:space="0"/>
        <w:right w:val="single" w:color="DADADA" w:sz="4" w:space="0"/>
        <w:insideH w:val="single" w:color="DADADA" w:sz="4" w:space="0"/>
        <w:insideV w:val="single" w:color="DADADA" w:sz="4" w:space="0"/>
      </w:tblBorders>
      <w:tblCellMar>
        <w:top w:w="0" w:type="dxa"/>
        <w:left w:w="108" w:type="dxa"/>
        <w:bottom w:w="0" w:type="dxa"/>
        <w:right w:w="108" w:type="dxa"/>
      </w:tblCellMar>
    </w:tblPr>
    <w:tblStylePr w:type="firstRow">
      <w:rPr>
        <w:b/>
        <w:color w:val="404040"/>
      </w:rPr>
      <w:tcPr>
        <w:tcBorders>
          <w:bottom w:val="single" w:color="CACACA" w:sz="12" w:space="0"/>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cPr>
        <w:tcBorders>
          <w:top w:val="single" w:color="DADADA" w:sz="4" w:space="0"/>
          <w:left w:val="single" w:color="DADADA" w:sz="4" w:space="0"/>
          <w:bottom w:val="single" w:color="DADADA" w:sz="4" w:space="0"/>
          <w:right w:val="single" w:color="DADADA" w:sz="4" w:space="0"/>
        </w:tcBorders>
      </w:tcPr>
    </w:tblStylePr>
  </w:style>
  <w:style w:type="table" w:customStyle="1" w:styleId="1911">
    <w:name w:val="Grid Table 1 Light - Accent 410"/>
    <w:basedOn w:val="13"/>
    <w:uiPriority w:val="99"/>
    <w:rPr>
      <w:sz w:val="22"/>
      <w:szCs w:val="22"/>
      <w:lang w:eastAsia="en-US"/>
    </w:rPr>
    <w:tblPr>
      <w:tblBorders>
        <w:top w:val="single" w:color="FFE598" w:sz="4" w:space="0"/>
        <w:left w:val="single" w:color="FFE598" w:sz="4" w:space="0"/>
        <w:bottom w:val="single" w:color="FFE598" w:sz="4" w:space="0"/>
        <w:right w:val="single" w:color="FFE598" w:sz="4" w:space="0"/>
        <w:insideH w:val="single" w:color="FFE598" w:sz="4" w:space="0"/>
        <w:insideV w:val="single" w:color="FFE598" w:sz="4" w:space="0"/>
      </w:tblBorders>
      <w:tblCellMar>
        <w:top w:w="0" w:type="dxa"/>
        <w:left w:w="108" w:type="dxa"/>
        <w:bottom w:w="0" w:type="dxa"/>
        <w:right w:w="108" w:type="dxa"/>
      </w:tblCellMar>
    </w:tblPr>
    <w:tblStylePr w:type="firstRow">
      <w:rPr>
        <w:b/>
        <w:color w:val="404040"/>
      </w:rPr>
      <w:tcPr>
        <w:tcBorders>
          <w:bottom w:val="single" w:color="FFDA6A" w:sz="12" w:space="0"/>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cPr>
        <w:tcBorders>
          <w:top w:val="single" w:color="FFE598" w:sz="4" w:space="0"/>
          <w:left w:val="single" w:color="FFE598" w:sz="4" w:space="0"/>
          <w:bottom w:val="single" w:color="FFE598" w:sz="4" w:space="0"/>
          <w:right w:val="single" w:color="FFE598" w:sz="4" w:space="0"/>
        </w:tcBorders>
      </w:tcPr>
    </w:tblStylePr>
  </w:style>
  <w:style w:type="table" w:customStyle="1" w:styleId="1912">
    <w:name w:val="Grid Table 1 Light - Accent 510"/>
    <w:basedOn w:val="13"/>
    <w:uiPriority w:val="99"/>
    <w:rPr>
      <w:sz w:val="22"/>
      <w:szCs w:val="22"/>
      <w:lang w:eastAsia="en-US"/>
    </w:rPr>
    <w:tblPr>
      <w:tblBorders>
        <w:top w:val="single" w:color="BCD6EE" w:sz="4" w:space="0"/>
        <w:left w:val="single" w:color="BCD6EE" w:sz="4" w:space="0"/>
        <w:bottom w:val="single" w:color="BCD6EE" w:sz="4" w:space="0"/>
        <w:right w:val="single" w:color="BCD6EE" w:sz="4" w:space="0"/>
        <w:insideH w:val="single" w:color="BCD6EE" w:sz="4" w:space="0"/>
        <w:insideV w:val="single" w:color="BCD6EE" w:sz="4" w:space="0"/>
      </w:tblBorders>
      <w:tblCellMar>
        <w:top w:w="0" w:type="dxa"/>
        <w:left w:w="108" w:type="dxa"/>
        <w:bottom w:w="0" w:type="dxa"/>
        <w:right w:w="108" w:type="dxa"/>
      </w:tblCellMar>
    </w:tblPr>
    <w:tblStylePr w:type="firstRow">
      <w:rPr>
        <w:b/>
        <w:color w:val="404040"/>
      </w:rPr>
      <w:tcPr>
        <w:tcBorders>
          <w:bottom w:val="single" w:color="9EC4E6" w:sz="12" w:space="0"/>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cPr>
        <w:tcBorders>
          <w:top w:val="single" w:color="BCD6EE" w:sz="4" w:space="0"/>
          <w:left w:val="single" w:color="BCD6EE" w:sz="4" w:space="0"/>
          <w:bottom w:val="single" w:color="BCD6EE" w:sz="4" w:space="0"/>
          <w:right w:val="single" w:color="BCD6EE" w:sz="4" w:space="0"/>
        </w:tcBorders>
      </w:tcPr>
    </w:tblStylePr>
  </w:style>
  <w:style w:type="table" w:customStyle="1" w:styleId="1913">
    <w:name w:val="Grid Table 1 Light - Accent 610"/>
    <w:basedOn w:val="13"/>
    <w:uiPriority w:val="99"/>
    <w:rPr>
      <w:sz w:val="22"/>
      <w:szCs w:val="22"/>
      <w:lang w:eastAsia="en-US"/>
    </w:rPr>
    <w:tblPr>
      <w:tblBorders>
        <w:top w:val="single" w:color="C4DFB2" w:sz="4" w:space="0"/>
        <w:left w:val="single" w:color="C4DFB2" w:sz="4" w:space="0"/>
        <w:bottom w:val="single" w:color="C4DFB2" w:sz="4" w:space="0"/>
        <w:right w:val="single" w:color="C4DFB2" w:sz="4" w:space="0"/>
        <w:insideH w:val="single" w:color="C4DFB2" w:sz="4" w:space="0"/>
        <w:insideV w:val="single" w:color="C4DFB2" w:sz="4" w:space="0"/>
      </w:tblBorders>
      <w:tblCellMar>
        <w:top w:w="0" w:type="dxa"/>
        <w:left w:w="108" w:type="dxa"/>
        <w:bottom w:w="0" w:type="dxa"/>
        <w:right w:w="108" w:type="dxa"/>
      </w:tblCellMar>
    </w:tblPr>
    <w:tblStylePr w:type="firstRow">
      <w:rPr>
        <w:b/>
        <w:color w:val="404040"/>
      </w:rPr>
      <w:tcPr>
        <w:tcBorders>
          <w:bottom w:val="single" w:color="AAD190" w:sz="12" w:space="0"/>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cPr>
        <w:tcBorders>
          <w:top w:val="single" w:color="C4DFB2" w:sz="4" w:space="0"/>
          <w:left w:val="single" w:color="C4DFB2" w:sz="4" w:space="0"/>
          <w:bottom w:val="single" w:color="C4DFB2" w:sz="4" w:space="0"/>
          <w:right w:val="single" w:color="C4DFB2" w:sz="4" w:space="0"/>
        </w:tcBorders>
      </w:tcPr>
    </w:tblStylePr>
  </w:style>
  <w:style w:type="table" w:customStyle="1" w:styleId="1914">
    <w:name w:val="Таблица-сетка 218"/>
    <w:basedOn w:val="13"/>
    <w:uiPriority w:val="99"/>
    <w:rPr>
      <w:sz w:val="22"/>
      <w:szCs w:val="22"/>
      <w:lang w:eastAsia="en-US"/>
    </w:rPr>
    <w:tblPr>
      <w:tblBorders>
        <w:bottom w:val="single" w:color="6A6A6A" w:sz="4" w:space="0"/>
        <w:insideH w:val="single" w:color="6A6A6A" w:sz="4" w:space="0"/>
        <w:insideV w:val="single" w:color="6A6A6A" w:sz="4" w:space="0"/>
      </w:tblBorders>
      <w:tblCellMar>
        <w:top w:w="0" w:type="dxa"/>
        <w:left w:w="108" w:type="dxa"/>
        <w:bottom w:w="0" w:type="dxa"/>
        <w:right w:w="108" w:type="dxa"/>
      </w:tblCellMar>
    </w:tblPr>
    <w:tblStylePr w:type="firstRow">
      <w:rPr>
        <w:b/>
        <w:color w:val="404040"/>
      </w:rPr>
      <w:tcPr>
        <w:tcBorders>
          <w:top w:val="nil"/>
          <w:left w:val="nil"/>
          <w:bottom w:val="single" w:color="6A6A6A" w:sz="12" w:space="0"/>
          <w:right w:val="nil"/>
        </w:tcBorders>
        <w:shd w:val="clear" w:color="FFFFFF" w:fill="auto"/>
      </w:tcPr>
    </w:tblStylePr>
    <w:tblStylePr w:type="lastRow">
      <w:rPr>
        <w:b/>
        <w:color w:val="404040"/>
      </w:rPr>
      <w:tcPr>
        <w:tcBorders>
          <w:top w:val="single" w:color="6A6A6A"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CBCBCB" w:fill="CBCBCB"/>
      </w:tcPr>
    </w:tblStylePr>
    <w:tblStylePr w:type="band1Horz">
      <w:rPr>
        <w:rFonts w:ascii="Arial" w:hAnsi="Arial"/>
        <w:color w:val="404040"/>
        <w:sz w:val="22"/>
      </w:rPr>
      <w:tcPr>
        <w:shd w:val="clear" w:color="CBCBCB" w:fill="CBCBCB"/>
      </w:tcPr>
    </w:tblStylePr>
  </w:style>
  <w:style w:type="table" w:customStyle="1" w:styleId="1915">
    <w:name w:val="Grid Table 2 - Accent 110"/>
    <w:basedOn w:val="13"/>
    <w:uiPriority w:val="99"/>
    <w:rPr>
      <w:sz w:val="22"/>
      <w:szCs w:val="22"/>
      <w:lang w:eastAsia="en-US"/>
    </w:rPr>
    <w:tblPr>
      <w:tblBorders>
        <w:bottom w:val="single" w:color="537DC8" w:sz="4" w:space="0"/>
        <w:insideH w:val="single" w:color="537DC8" w:sz="4" w:space="0"/>
        <w:insideV w:val="single" w:color="537DC8" w:sz="4" w:space="0"/>
      </w:tblBorders>
      <w:tblCellMar>
        <w:top w:w="0" w:type="dxa"/>
        <w:left w:w="108" w:type="dxa"/>
        <w:bottom w:w="0" w:type="dxa"/>
        <w:right w:w="108" w:type="dxa"/>
      </w:tblCellMar>
    </w:tblPr>
    <w:tblStylePr w:type="firstRow">
      <w:rPr>
        <w:b/>
        <w:color w:val="404040"/>
      </w:rPr>
      <w:tcPr>
        <w:tcBorders>
          <w:top w:val="nil"/>
          <w:left w:val="nil"/>
          <w:bottom w:val="single" w:color="537DC8" w:sz="12" w:space="0"/>
          <w:right w:val="nil"/>
        </w:tcBorders>
        <w:shd w:val="clear" w:color="FFFFFF" w:fill="auto"/>
      </w:tcPr>
    </w:tblStylePr>
    <w:tblStylePr w:type="lastRow">
      <w:rPr>
        <w:b/>
        <w:color w:val="404040"/>
      </w:rPr>
      <w:tcPr>
        <w:tcBorders>
          <w:top w:val="single" w:color="537DC8"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D8E2F3" w:fill="D8E2F3"/>
      </w:tcPr>
    </w:tblStylePr>
    <w:tblStylePr w:type="band1Horz">
      <w:rPr>
        <w:rFonts w:ascii="Arial" w:hAnsi="Arial"/>
        <w:color w:val="404040"/>
        <w:sz w:val="22"/>
      </w:rPr>
      <w:tcPr>
        <w:shd w:val="clear" w:color="D8E2F3" w:fill="D8E2F3"/>
      </w:tcPr>
    </w:tblStylePr>
  </w:style>
  <w:style w:type="table" w:customStyle="1" w:styleId="1916">
    <w:name w:val="Grid Table 2 - Accent 210"/>
    <w:basedOn w:val="13"/>
    <w:uiPriority w:val="99"/>
    <w:rPr>
      <w:sz w:val="22"/>
      <w:szCs w:val="22"/>
      <w:lang w:eastAsia="en-US"/>
    </w:rPr>
    <w:tblPr>
      <w:tblBorders>
        <w:bottom w:val="single" w:color="F4B184" w:sz="4" w:space="0"/>
        <w:insideH w:val="single" w:color="F4B184" w:sz="4" w:space="0"/>
        <w:insideV w:val="single" w:color="F4B184" w:sz="4" w:space="0"/>
      </w:tblBorders>
      <w:tblCellMar>
        <w:top w:w="0" w:type="dxa"/>
        <w:left w:w="108" w:type="dxa"/>
        <w:bottom w:w="0" w:type="dxa"/>
        <w:right w:w="108" w:type="dxa"/>
      </w:tblCellMar>
    </w:tblPr>
    <w:tblStylePr w:type="firstRow">
      <w:rPr>
        <w:b/>
        <w:color w:val="404040"/>
      </w:rPr>
      <w:tcPr>
        <w:tcBorders>
          <w:top w:val="nil"/>
          <w:left w:val="nil"/>
          <w:bottom w:val="single" w:color="F4B184" w:sz="12" w:space="0"/>
          <w:right w:val="nil"/>
        </w:tcBorders>
        <w:shd w:val="clear" w:color="FFFFFF" w:fill="auto"/>
      </w:tcPr>
    </w:tblStylePr>
    <w:tblStylePr w:type="lastRow">
      <w:rPr>
        <w:b/>
        <w:color w:val="404040"/>
      </w:rPr>
      <w:tcPr>
        <w:tcBorders>
          <w:top w:val="single" w:color="F4B184"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FBE5D6" w:fill="FBE5D6"/>
      </w:tcPr>
    </w:tblStylePr>
    <w:tblStylePr w:type="band1Horz">
      <w:rPr>
        <w:rFonts w:ascii="Arial" w:hAnsi="Arial"/>
        <w:color w:val="404040"/>
        <w:sz w:val="22"/>
      </w:rPr>
      <w:tcPr>
        <w:shd w:val="clear" w:color="FBE5D6" w:fill="FBE5D6"/>
      </w:tcPr>
    </w:tblStylePr>
  </w:style>
  <w:style w:type="table" w:customStyle="1" w:styleId="1917">
    <w:name w:val="Grid Table 2 - Accent 310"/>
    <w:basedOn w:val="13"/>
    <w:uiPriority w:val="99"/>
    <w:rPr>
      <w:sz w:val="22"/>
      <w:szCs w:val="22"/>
      <w:lang w:eastAsia="en-US"/>
    </w:rPr>
    <w:tblPr>
      <w:tblBorders>
        <w:bottom w:val="single" w:color="A5A5A5" w:sz="4" w:space="0"/>
        <w:insideH w:val="single" w:color="A5A5A5" w:sz="4" w:space="0"/>
        <w:insideV w:val="single" w:color="A5A5A5" w:sz="4" w:space="0"/>
      </w:tblBorders>
      <w:tblCellMar>
        <w:top w:w="0" w:type="dxa"/>
        <w:left w:w="108" w:type="dxa"/>
        <w:bottom w:w="0" w:type="dxa"/>
        <w:right w:w="108" w:type="dxa"/>
      </w:tblCellMar>
    </w:tblPr>
    <w:tblStylePr w:type="firstRow">
      <w:rPr>
        <w:b/>
        <w:color w:val="404040"/>
      </w:rPr>
      <w:tcPr>
        <w:tcBorders>
          <w:top w:val="nil"/>
          <w:left w:val="nil"/>
          <w:bottom w:val="single" w:color="A5A5A5" w:sz="12" w:space="0"/>
          <w:right w:val="nil"/>
        </w:tcBorders>
        <w:shd w:val="clear" w:color="FFFFFF" w:fill="auto"/>
      </w:tcPr>
    </w:tblStylePr>
    <w:tblStylePr w:type="lastRow">
      <w:rPr>
        <w:b/>
        <w:color w:val="404040"/>
      </w:rPr>
      <w:tcPr>
        <w:tcBorders>
          <w:top w:val="single" w:color="A5A5A5"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ECECEC" w:fill="ECECEC"/>
      </w:tcPr>
    </w:tblStylePr>
    <w:tblStylePr w:type="band1Horz">
      <w:rPr>
        <w:rFonts w:ascii="Arial" w:hAnsi="Arial"/>
        <w:color w:val="404040"/>
        <w:sz w:val="22"/>
      </w:rPr>
      <w:tcPr>
        <w:shd w:val="clear" w:color="ECECEC" w:fill="ECECEC"/>
      </w:tcPr>
    </w:tblStylePr>
  </w:style>
  <w:style w:type="table" w:customStyle="1" w:styleId="1918">
    <w:name w:val="Grid Table 2 - Accent 410"/>
    <w:basedOn w:val="13"/>
    <w:uiPriority w:val="99"/>
    <w:rPr>
      <w:sz w:val="22"/>
      <w:szCs w:val="22"/>
      <w:lang w:eastAsia="en-US"/>
    </w:rPr>
    <w:tblPr>
      <w:tblBorders>
        <w:bottom w:val="single" w:color="FFD865" w:sz="4" w:space="0"/>
        <w:insideH w:val="single" w:color="FFD865" w:sz="4" w:space="0"/>
        <w:insideV w:val="single" w:color="FFD865" w:sz="4" w:space="0"/>
      </w:tblBorders>
      <w:tblCellMar>
        <w:top w:w="0" w:type="dxa"/>
        <w:left w:w="108" w:type="dxa"/>
        <w:bottom w:w="0" w:type="dxa"/>
        <w:right w:w="108" w:type="dxa"/>
      </w:tblCellMar>
    </w:tblPr>
    <w:tblStylePr w:type="firstRow">
      <w:rPr>
        <w:b/>
        <w:color w:val="404040"/>
      </w:rPr>
      <w:tcPr>
        <w:tcBorders>
          <w:top w:val="nil"/>
          <w:left w:val="nil"/>
          <w:bottom w:val="single" w:color="FFD865" w:sz="12" w:space="0"/>
          <w:right w:val="nil"/>
        </w:tcBorders>
        <w:shd w:val="clear" w:color="FFFFFF" w:fill="auto"/>
      </w:tcPr>
    </w:tblStylePr>
    <w:tblStylePr w:type="lastRow">
      <w:rPr>
        <w:b/>
        <w:color w:val="404040"/>
      </w:rPr>
      <w:tcPr>
        <w:tcBorders>
          <w:top w:val="single" w:color="FFD865"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FFF2CB" w:fill="FFF2CB"/>
      </w:tcPr>
    </w:tblStylePr>
    <w:tblStylePr w:type="band1Horz">
      <w:rPr>
        <w:rFonts w:ascii="Arial" w:hAnsi="Arial"/>
        <w:color w:val="404040"/>
        <w:sz w:val="22"/>
      </w:rPr>
      <w:tcPr>
        <w:shd w:val="clear" w:color="FFF2CB" w:fill="FFF2CB"/>
      </w:tcPr>
    </w:tblStylePr>
  </w:style>
  <w:style w:type="table" w:customStyle="1" w:styleId="1919">
    <w:name w:val="Grid Table 2 - Accent 510"/>
    <w:basedOn w:val="13"/>
    <w:uiPriority w:val="99"/>
    <w:rPr>
      <w:sz w:val="22"/>
      <w:szCs w:val="22"/>
      <w:lang w:eastAsia="en-US"/>
    </w:rPr>
    <w:tblPr>
      <w:tblBorders>
        <w:bottom w:val="single" w:color="5B9BD5" w:sz="4" w:space="0"/>
        <w:insideH w:val="single" w:color="5B9BD5" w:sz="4" w:space="0"/>
        <w:insideV w:val="single" w:color="5B9BD5" w:sz="4" w:space="0"/>
      </w:tblBorders>
      <w:tblCellMar>
        <w:top w:w="0" w:type="dxa"/>
        <w:left w:w="108" w:type="dxa"/>
        <w:bottom w:w="0" w:type="dxa"/>
        <w:right w:w="108" w:type="dxa"/>
      </w:tblCellMar>
    </w:tblPr>
    <w:tblStylePr w:type="firstRow">
      <w:rPr>
        <w:b/>
        <w:color w:val="404040"/>
      </w:rPr>
      <w:tcPr>
        <w:tcBorders>
          <w:top w:val="nil"/>
          <w:left w:val="nil"/>
          <w:bottom w:val="single" w:color="5B9BD5" w:sz="12" w:space="0"/>
          <w:right w:val="nil"/>
        </w:tcBorders>
        <w:shd w:val="clear" w:color="FFFFFF" w:fill="auto"/>
      </w:tcPr>
    </w:tblStylePr>
    <w:tblStylePr w:type="lastRow">
      <w:rPr>
        <w:b/>
        <w:color w:val="404040"/>
      </w:rPr>
      <w:tcPr>
        <w:tcBorders>
          <w:top w:val="single" w:color="5B9BD5"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DDEAF6" w:fill="DDEAF6"/>
      </w:tcPr>
    </w:tblStylePr>
    <w:tblStylePr w:type="band1Horz">
      <w:rPr>
        <w:rFonts w:ascii="Arial" w:hAnsi="Arial"/>
        <w:color w:val="404040"/>
        <w:sz w:val="22"/>
      </w:rPr>
      <w:tcPr>
        <w:shd w:val="clear" w:color="DDEAF6" w:fill="DDEAF6"/>
      </w:tcPr>
    </w:tblStylePr>
  </w:style>
  <w:style w:type="table" w:customStyle="1" w:styleId="1920">
    <w:name w:val="Grid Table 2 - Accent 610"/>
    <w:basedOn w:val="13"/>
    <w:uiPriority w:val="99"/>
    <w:rPr>
      <w:sz w:val="22"/>
      <w:szCs w:val="22"/>
      <w:lang w:eastAsia="en-US"/>
    </w:rPr>
    <w:tblPr>
      <w:tblBorders>
        <w:bottom w:val="single" w:color="70AD47" w:sz="4" w:space="0"/>
        <w:insideH w:val="single" w:color="70AD47" w:sz="4" w:space="0"/>
        <w:insideV w:val="single" w:color="70AD47" w:sz="4" w:space="0"/>
      </w:tblBorders>
      <w:tblCellMar>
        <w:top w:w="0" w:type="dxa"/>
        <w:left w:w="108" w:type="dxa"/>
        <w:bottom w:w="0" w:type="dxa"/>
        <w:right w:w="108" w:type="dxa"/>
      </w:tblCellMar>
    </w:tblPr>
    <w:tblStylePr w:type="firstRow">
      <w:rPr>
        <w:b/>
        <w:color w:val="404040"/>
      </w:rPr>
      <w:tcPr>
        <w:tcBorders>
          <w:top w:val="nil"/>
          <w:left w:val="nil"/>
          <w:bottom w:val="single" w:color="70AD47" w:sz="12" w:space="0"/>
          <w:right w:val="nil"/>
        </w:tcBorders>
        <w:shd w:val="clear" w:color="FFFFFF" w:fill="auto"/>
      </w:tcPr>
    </w:tblStylePr>
    <w:tblStylePr w:type="lastRow">
      <w:rPr>
        <w:b/>
        <w:color w:val="404040"/>
      </w:rPr>
      <w:tcPr>
        <w:tcBorders>
          <w:top w:val="single" w:color="70AD47"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E1EFD8" w:fill="E1EFD8"/>
      </w:tcPr>
    </w:tblStylePr>
    <w:tblStylePr w:type="band1Horz">
      <w:rPr>
        <w:rFonts w:ascii="Arial" w:hAnsi="Arial"/>
        <w:color w:val="404040"/>
        <w:sz w:val="22"/>
      </w:rPr>
      <w:tcPr>
        <w:shd w:val="clear" w:color="E1EFD8" w:fill="E1EFD8"/>
      </w:tcPr>
    </w:tblStylePr>
  </w:style>
  <w:style w:type="table" w:customStyle="1" w:styleId="1921">
    <w:name w:val="Таблица-сетка 318"/>
    <w:basedOn w:val="13"/>
    <w:uiPriority w:val="99"/>
    <w:rPr>
      <w:sz w:val="22"/>
      <w:szCs w:val="22"/>
      <w:lang w:eastAsia="en-US"/>
    </w:rPr>
    <w:tblPr>
      <w:tblBorders>
        <w:bottom w:val="single" w:color="6A6A6A" w:sz="4" w:space="0"/>
        <w:insideH w:val="single" w:color="6A6A6A" w:sz="4" w:space="0"/>
        <w:insideV w:val="single" w:color="6A6A6A" w:sz="4" w:space="0"/>
      </w:tblBorders>
      <w:tblCellMar>
        <w:top w:w="0" w:type="dxa"/>
        <w:left w:w="108" w:type="dxa"/>
        <w:bottom w:w="0" w:type="dxa"/>
        <w:right w:w="108" w:type="dxa"/>
      </w:tblCellMar>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rFonts w:ascii="Arial" w:hAnsi="Arial"/>
        <w:color w:val="404040"/>
        <w:sz w:val="22"/>
      </w:rPr>
      <w:tcPr>
        <w:shd w:val="clear" w:color="CBCBCB" w:fill="CBCBCB"/>
      </w:tcPr>
    </w:tblStylePr>
    <w:tblStylePr w:type="band1Horz">
      <w:rPr>
        <w:rFonts w:ascii="Arial" w:hAnsi="Arial"/>
        <w:color w:val="404040"/>
        <w:sz w:val="22"/>
      </w:rPr>
      <w:tcPr>
        <w:shd w:val="clear" w:color="CBCBCB" w:fill="CBCBCB"/>
      </w:tcPr>
    </w:tblStylePr>
  </w:style>
  <w:style w:type="table" w:customStyle="1" w:styleId="1922">
    <w:name w:val="Grid Table 3 - Accent 110"/>
    <w:basedOn w:val="13"/>
    <w:uiPriority w:val="99"/>
    <w:rPr>
      <w:sz w:val="22"/>
      <w:szCs w:val="22"/>
      <w:lang w:eastAsia="en-US"/>
    </w:rPr>
    <w:tblPr>
      <w:tblBorders>
        <w:bottom w:val="single" w:color="537DC8" w:sz="4" w:space="0"/>
        <w:insideH w:val="single" w:color="537DC8" w:sz="4" w:space="0"/>
        <w:insideV w:val="single" w:color="537DC8" w:sz="4" w:space="0"/>
      </w:tblBorders>
      <w:tblCellMar>
        <w:top w:w="0" w:type="dxa"/>
        <w:left w:w="108" w:type="dxa"/>
        <w:bottom w:w="0" w:type="dxa"/>
        <w:right w:w="108" w:type="dxa"/>
      </w:tblCellMar>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rFonts w:ascii="Arial" w:hAnsi="Arial"/>
        <w:color w:val="404040"/>
        <w:sz w:val="22"/>
      </w:rPr>
      <w:tcPr>
        <w:shd w:val="clear" w:color="D8E2F3" w:fill="D8E2F3"/>
      </w:tcPr>
    </w:tblStylePr>
    <w:tblStylePr w:type="band1Horz">
      <w:rPr>
        <w:rFonts w:ascii="Arial" w:hAnsi="Arial"/>
        <w:color w:val="404040"/>
        <w:sz w:val="22"/>
      </w:rPr>
      <w:tcPr>
        <w:shd w:val="clear" w:color="D8E2F3" w:fill="D8E2F3"/>
      </w:tcPr>
    </w:tblStylePr>
  </w:style>
  <w:style w:type="table" w:customStyle="1" w:styleId="1923">
    <w:name w:val="Grid Table 3 - Accent 210"/>
    <w:basedOn w:val="13"/>
    <w:uiPriority w:val="99"/>
    <w:rPr>
      <w:sz w:val="22"/>
      <w:szCs w:val="22"/>
      <w:lang w:eastAsia="en-US"/>
    </w:rPr>
    <w:tblPr>
      <w:tblBorders>
        <w:bottom w:val="single" w:color="F4B184" w:sz="4" w:space="0"/>
        <w:insideH w:val="single" w:color="F4B184" w:sz="4" w:space="0"/>
        <w:insideV w:val="single" w:color="F4B184" w:sz="4" w:space="0"/>
      </w:tblBorders>
      <w:tblCellMar>
        <w:top w:w="0" w:type="dxa"/>
        <w:left w:w="108" w:type="dxa"/>
        <w:bottom w:w="0" w:type="dxa"/>
        <w:right w:w="108" w:type="dxa"/>
      </w:tblCellMar>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rFonts w:ascii="Arial" w:hAnsi="Arial"/>
        <w:color w:val="404040"/>
        <w:sz w:val="22"/>
      </w:rPr>
      <w:tcPr>
        <w:shd w:val="clear" w:color="FBE5D6" w:fill="FBE5D6"/>
      </w:tcPr>
    </w:tblStylePr>
    <w:tblStylePr w:type="band1Horz">
      <w:rPr>
        <w:rFonts w:ascii="Arial" w:hAnsi="Arial"/>
        <w:color w:val="404040"/>
        <w:sz w:val="22"/>
      </w:rPr>
      <w:tcPr>
        <w:shd w:val="clear" w:color="FBE5D6" w:fill="FBE5D6"/>
      </w:tcPr>
    </w:tblStylePr>
  </w:style>
  <w:style w:type="table" w:customStyle="1" w:styleId="1924">
    <w:name w:val="Grid Table 3 - Accent 310"/>
    <w:basedOn w:val="13"/>
    <w:uiPriority w:val="99"/>
    <w:rPr>
      <w:sz w:val="22"/>
      <w:szCs w:val="22"/>
      <w:lang w:eastAsia="en-US"/>
    </w:rPr>
    <w:tblPr>
      <w:tblBorders>
        <w:bottom w:val="single" w:color="A5A5A5" w:sz="4" w:space="0"/>
        <w:insideH w:val="single" w:color="A5A5A5" w:sz="4" w:space="0"/>
        <w:insideV w:val="single" w:color="A5A5A5" w:sz="4" w:space="0"/>
      </w:tblBorders>
      <w:tblCellMar>
        <w:top w:w="0" w:type="dxa"/>
        <w:left w:w="108" w:type="dxa"/>
        <w:bottom w:w="0" w:type="dxa"/>
        <w:right w:w="108" w:type="dxa"/>
      </w:tblCellMar>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rFonts w:ascii="Arial" w:hAnsi="Arial"/>
        <w:color w:val="404040"/>
        <w:sz w:val="22"/>
      </w:rPr>
      <w:tcPr>
        <w:shd w:val="clear" w:color="ECECEC" w:fill="ECECEC"/>
      </w:tcPr>
    </w:tblStylePr>
    <w:tblStylePr w:type="band1Horz">
      <w:rPr>
        <w:rFonts w:ascii="Arial" w:hAnsi="Arial"/>
        <w:color w:val="404040"/>
        <w:sz w:val="22"/>
      </w:rPr>
      <w:tcPr>
        <w:shd w:val="clear" w:color="ECECEC" w:fill="ECECEC"/>
      </w:tcPr>
    </w:tblStylePr>
  </w:style>
  <w:style w:type="table" w:customStyle="1" w:styleId="1925">
    <w:name w:val="Grid Table 3 - Accent 410"/>
    <w:basedOn w:val="13"/>
    <w:uiPriority w:val="99"/>
    <w:rPr>
      <w:sz w:val="22"/>
      <w:szCs w:val="22"/>
      <w:lang w:eastAsia="en-US"/>
    </w:rPr>
    <w:tblPr>
      <w:tblBorders>
        <w:bottom w:val="single" w:color="FFD865" w:sz="4" w:space="0"/>
        <w:insideH w:val="single" w:color="FFD865" w:sz="4" w:space="0"/>
        <w:insideV w:val="single" w:color="FFD865" w:sz="4" w:space="0"/>
      </w:tblBorders>
      <w:tblCellMar>
        <w:top w:w="0" w:type="dxa"/>
        <w:left w:w="108" w:type="dxa"/>
        <w:bottom w:w="0" w:type="dxa"/>
        <w:right w:w="108" w:type="dxa"/>
      </w:tblCellMar>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rFonts w:ascii="Arial" w:hAnsi="Arial"/>
        <w:color w:val="404040"/>
        <w:sz w:val="22"/>
      </w:rPr>
      <w:tcPr>
        <w:shd w:val="clear" w:color="FFF2CB" w:fill="FFF2CB"/>
      </w:tcPr>
    </w:tblStylePr>
    <w:tblStylePr w:type="band1Horz">
      <w:rPr>
        <w:rFonts w:ascii="Arial" w:hAnsi="Arial"/>
        <w:color w:val="404040"/>
        <w:sz w:val="22"/>
      </w:rPr>
      <w:tcPr>
        <w:shd w:val="clear" w:color="FFF2CB" w:fill="FFF2CB"/>
      </w:tcPr>
    </w:tblStylePr>
  </w:style>
  <w:style w:type="table" w:customStyle="1" w:styleId="1926">
    <w:name w:val="Grid Table 3 - Accent 510"/>
    <w:basedOn w:val="13"/>
    <w:uiPriority w:val="99"/>
    <w:rPr>
      <w:sz w:val="22"/>
      <w:szCs w:val="22"/>
      <w:lang w:eastAsia="en-US"/>
    </w:rPr>
    <w:tblPr>
      <w:tblBorders>
        <w:bottom w:val="single" w:color="5B9BD5" w:sz="4" w:space="0"/>
        <w:insideH w:val="single" w:color="5B9BD5" w:sz="4" w:space="0"/>
        <w:insideV w:val="single" w:color="5B9BD5" w:sz="4" w:space="0"/>
      </w:tblBorders>
      <w:tblCellMar>
        <w:top w:w="0" w:type="dxa"/>
        <w:left w:w="108" w:type="dxa"/>
        <w:bottom w:w="0" w:type="dxa"/>
        <w:right w:w="108" w:type="dxa"/>
      </w:tblCellMar>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rFonts w:ascii="Arial" w:hAnsi="Arial"/>
        <w:color w:val="404040"/>
        <w:sz w:val="22"/>
      </w:rPr>
      <w:tcPr>
        <w:shd w:val="clear" w:color="DDEAF6" w:fill="DDEAF6"/>
      </w:tcPr>
    </w:tblStylePr>
    <w:tblStylePr w:type="band1Horz">
      <w:rPr>
        <w:rFonts w:ascii="Arial" w:hAnsi="Arial"/>
        <w:color w:val="404040"/>
        <w:sz w:val="22"/>
      </w:rPr>
      <w:tcPr>
        <w:shd w:val="clear" w:color="DDEAF6" w:fill="DDEAF6"/>
      </w:tcPr>
    </w:tblStylePr>
  </w:style>
  <w:style w:type="table" w:customStyle="1" w:styleId="1927">
    <w:name w:val="Grid Table 3 - Accent 610"/>
    <w:basedOn w:val="13"/>
    <w:uiPriority w:val="99"/>
    <w:rPr>
      <w:sz w:val="22"/>
      <w:szCs w:val="22"/>
      <w:lang w:eastAsia="en-US"/>
    </w:rPr>
    <w:tblPr>
      <w:tblBorders>
        <w:bottom w:val="single" w:color="70AD47" w:sz="4" w:space="0"/>
        <w:insideH w:val="single" w:color="70AD47" w:sz="4" w:space="0"/>
        <w:insideV w:val="single" w:color="70AD47" w:sz="4" w:space="0"/>
      </w:tblBorders>
      <w:tblCellMar>
        <w:top w:w="0" w:type="dxa"/>
        <w:left w:w="108" w:type="dxa"/>
        <w:bottom w:w="0" w:type="dxa"/>
        <w:right w:w="108" w:type="dxa"/>
      </w:tblCellMar>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rFonts w:ascii="Arial" w:hAnsi="Arial"/>
        <w:color w:val="404040"/>
        <w:sz w:val="22"/>
      </w:rPr>
      <w:tcPr>
        <w:shd w:val="clear" w:color="E1EFD8" w:fill="E1EFD8"/>
      </w:tcPr>
    </w:tblStylePr>
    <w:tblStylePr w:type="band1Horz">
      <w:rPr>
        <w:rFonts w:ascii="Arial" w:hAnsi="Arial"/>
        <w:color w:val="404040"/>
        <w:sz w:val="22"/>
      </w:rPr>
      <w:tcPr>
        <w:shd w:val="clear" w:color="E1EFD8" w:fill="E1EFD8"/>
      </w:tcPr>
    </w:tblStylePr>
  </w:style>
  <w:style w:type="table" w:customStyle="1" w:styleId="1928">
    <w:name w:val="Таблица-сетка 418"/>
    <w:basedOn w:val="13"/>
    <w:uiPriority w:val="59"/>
    <w:rPr>
      <w:sz w:val="22"/>
      <w:szCs w:val="22"/>
      <w:lang w:eastAsia="en-US"/>
    </w:rPr>
    <w:tblPr>
      <w:tblBorders>
        <w:top w:val="single" w:color="6F6F6F" w:sz="4" w:space="0"/>
        <w:left w:val="single" w:color="6F6F6F" w:sz="4" w:space="0"/>
        <w:bottom w:val="single" w:color="6F6F6F" w:sz="4" w:space="0"/>
        <w:right w:val="single" w:color="6F6F6F" w:sz="4" w:space="0"/>
        <w:insideH w:val="single" w:color="6F6F6F" w:sz="4" w:space="0"/>
        <w:insideV w:val="single" w:color="6F6F6F" w:sz="4" w:space="0"/>
      </w:tblBorders>
      <w:tblCellMar>
        <w:top w:w="0" w:type="dxa"/>
        <w:left w:w="108" w:type="dxa"/>
        <w:bottom w:w="0" w:type="dxa"/>
        <w:right w:w="108" w:type="dxa"/>
      </w:tblCellMar>
    </w:tblPr>
    <w:tblStylePr w:type="firstRow">
      <w:rPr>
        <w:rFonts w:ascii="Arial" w:hAnsi="Arial"/>
        <w:b/>
        <w:color w:val="FFFFFF"/>
        <w:sz w:val="22"/>
      </w:rPr>
      <w:tcPr>
        <w:tcBorders>
          <w:top w:val="single" w:color="000000" w:sz="4" w:space="0"/>
          <w:left w:val="single" w:color="000000" w:sz="4" w:space="0"/>
          <w:bottom w:val="single" w:color="000000" w:sz="4" w:space="0"/>
          <w:right w:val="single" w:color="000000" w:sz="4" w:space="0"/>
        </w:tcBorders>
        <w:shd w:val="clear" w:color="000000" w:fill="000000"/>
      </w:tcPr>
    </w:tblStylePr>
    <w:tblStylePr w:type="lastRow">
      <w:rPr>
        <w:b/>
        <w:color w:val="404040"/>
      </w:rPr>
      <w:tcPr>
        <w:tcBorders>
          <w:top w:val="single" w:color="000000"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CBCBCB" w:fill="CBCBCB"/>
      </w:tcPr>
    </w:tblStylePr>
    <w:tblStylePr w:type="band1Horz">
      <w:rPr>
        <w:rFonts w:ascii="Arial" w:hAnsi="Arial"/>
        <w:color w:val="404040"/>
        <w:sz w:val="22"/>
      </w:rPr>
      <w:tcPr>
        <w:shd w:val="clear" w:color="CBCBCB" w:fill="CBCBCB"/>
      </w:tcPr>
    </w:tblStylePr>
  </w:style>
  <w:style w:type="table" w:customStyle="1" w:styleId="1929">
    <w:name w:val="Grid Table 4 - Accent 110"/>
    <w:basedOn w:val="13"/>
    <w:uiPriority w:val="59"/>
    <w:rPr>
      <w:sz w:val="22"/>
      <w:szCs w:val="22"/>
      <w:lang w:eastAsia="en-US"/>
    </w:rPr>
    <w:tblPr>
      <w:tblBorders>
        <w:top w:val="single" w:color="95AFDD" w:sz="4" w:space="0"/>
        <w:left w:val="single" w:color="95AFDD" w:sz="4" w:space="0"/>
        <w:bottom w:val="single" w:color="95AFDD" w:sz="4" w:space="0"/>
        <w:right w:val="single" w:color="95AFDD" w:sz="4" w:space="0"/>
        <w:insideH w:val="single" w:color="95AFDD" w:sz="4" w:space="0"/>
        <w:insideV w:val="single" w:color="95AFDD" w:sz="4" w:space="0"/>
      </w:tblBorders>
      <w:tblCellMar>
        <w:top w:w="0" w:type="dxa"/>
        <w:left w:w="108" w:type="dxa"/>
        <w:bottom w:w="0" w:type="dxa"/>
        <w:right w:w="108" w:type="dxa"/>
      </w:tblCellMar>
    </w:tblPr>
    <w:tblStylePr w:type="firstRow">
      <w:rPr>
        <w:rFonts w:ascii="Arial" w:hAnsi="Arial"/>
        <w:b/>
        <w:color w:val="FFFFFF"/>
        <w:sz w:val="22"/>
      </w:rPr>
      <w:tcPr>
        <w:tcBorders>
          <w:top w:val="single" w:color="537DC8" w:sz="4" w:space="0"/>
          <w:left w:val="single" w:color="537DC8" w:sz="4" w:space="0"/>
          <w:bottom w:val="single" w:color="537DC8" w:sz="4" w:space="0"/>
          <w:right w:val="single" w:color="537DC8" w:sz="4" w:space="0"/>
        </w:tcBorders>
        <w:shd w:val="clear" w:color="537DC8" w:fill="537DC8"/>
      </w:tcPr>
    </w:tblStylePr>
    <w:tblStylePr w:type="lastRow">
      <w:rPr>
        <w:b/>
        <w:color w:val="404040"/>
      </w:rPr>
      <w:tcPr>
        <w:tcBorders>
          <w:top w:val="single" w:color="537DC8"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DAE3F3" w:fill="DAE3F3"/>
      </w:tcPr>
    </w:tblStylePr>
    <w:tblStylePr w:type="band1Horz">
      <w:rPr>
        <w:rFonts w:ascii="Arial" w:hAnsi="Arial"/>
        <w:color w:val="404040"/>
        <w:sz w:val="22"/>
      </w:rPr>
      <w:tcPr>
        <w:shd w:val="clear" w:color="DAE3F3" w:fill="DAE3F3"/>
      </w:tcPr>
    </w:tblStylePr>
  </w:style>
  <w:style w:type="table" w:customStyle="1" w:styleId="1930">
    <w:name w:val="Grid Table 4 - Accent 210"/>
    <w:basedOn w:val="13"/>
    <w:uiPriority w:val="59"/>
    <w:rPr>
      <w:sz w:val="22"/>
      <w:szCs w:val="22"/>
      <w:lang w:eastAsia="en-US"/>
    </w:rPr>
    <w:tblPr>
      <w:tblBorders>
        <w:top w:val="single" w:color="F4B58A" w:sz="4" w:space="0"/>
        <w:left w:val="single" w:color="F4B58A" w:sz="4" w:space="0"/>
        <w:bottom w:val="single" w:color="F4B58A" w:sz="4" w:space="0"/>
        <w:right w:val="single" w:color="F4B58A" w:sz="4" w:space="0"/>
        <w:insideH w:val="single" w:color="F4B58A" w:sz="4" w:space="0"/>
        <w:insideV w:val="single" w:color="F4B58A" w:sz="4" w:space="0"/>
      </w:tblBorders>
      <w:tblCellMar>
        <w:top w:w="0" w:type="dxa"/>
        <w:left w:w="108" w:type="dxa"/>
        <w:bottom w:w="0" w:type="dxa"/>
        <w:right w:w="108" w:type="dxa"/>
      </w:tblCellMar>
    </w:tblPr>
    <w:tblStylePr w:type="firstRow">
      <w:rPr>
        <w:rFonts w:ascii="Arial" w:hAnsi="Arial"/>
        <w:b/>
        <w:color w:val="FFFFFF"/>
        <w:sz w:val="22"/>
      </w:rPr>
      <w:tcPr>
        <w:tcBorders>
          <w:top w:val="single" w:color="F4B184" w:sz="4" w:space="0"/>
          <w:left w:val="single" w:color="F4B184" w:sz="4" w:space="0"/>
          <w:bottom w:val="single" w:color="F4B184" w:sz="4" w:space="0"/>
          <w:right w:val="single" w:color="F4B184" w:sz="4" w:space="0"/>
        </w:tcBorders>
        <w:shd w:val="clear" w:color="F4B184" w:fill="F4B184"/>
      </w:tcPr>
    </w:tblStylePr>
    <w:tblStylePr w:type="lastRow">
      <w:rPr>
        <w:b/>
        <w:color w:val="404040"/>
      </w:rPr>
      <w:tcPr>
        <w:tcBorders>
          <w:top w:val="single" w:color="F4B184"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FBE5D6" w:fill="FBE5D6"/>
      </w:tcPr>
    </w:tblStylePr>
    <w:tblStylePr w:type="band1Horz">
      <w:rPr>
        <w:rFonts w:ascii="Arial" w:hAnsi="Arial"/>
        <w:color w:val="404040"/>
        <w:sz w:val="22"/>
      </w:rPr>
      <w:tcPr>
        <w:shd w:val="clear" w:color="FBE5D6" w:fill="FBE5D6"/>
      </w:tcPr>
    </w:tblStylePr>
  </w:style>
  <w:style w:type="table" w:customStyle="1" w:styleId="1931">
    <w:name w:val="Grid Table 4 - Accent 310"/>
    <w:basedOn w:val="13"/>
    <w:uiPriority w:val="59"/>
    <w:rPr>
      <w:sz w:val="22"/>
      <w:szCs w:val="22"/>
      <w:lang w:eastAsia="en-US"/>
    </w:rPr>
    <w:tblPr>
      <w:tblBorders>
        <w:top w:val="single" w:color="CCCCCC" w:sz="4" w:space="0"/>
        <w:left w:val="single" w:color="CCCCCC" w:sz="4" w:space="0"/>
        <w:bottom w:val="single" w:color="CCCCCC" w:sz="4" w:space="0"/>
        <w:right w:val="single" w:color="CCCCCC" w:sz="4" w:space="0"/>
        <w:insideH w:val="single" w:color="CCCCCC" w:sz="4" w:space="0"/>
        <w:insideV w:val="single" w:color="CCCCCC" w:sz="4" w:space="0"/>
      </w:tblBorders>
      <w:tblCellMar>
        <w:top w:w="0" w:type="dxa"/>
        <w:left w:w="108" w:type="dxa"/>
        <w:bottom w:w="0" w:type="dxa"/>
        <w:right w:w="108" w:type="dxa"/>
      </w:tblCellMar>
    </w:tblPr>
    <w:tblStylePr w:type="firstRow">
      <w:rPr>
        <w:rFonts w:ascii="Arial" w:hAnsi="Arial"/>
        <w:b/>
        <w:color w:val="FFFFFF"/>
        <w:sz w:val="22"/>
      </w:rPr>
      <w:tcPr>
        <w:tcBorders>
          <w:top w:val="single" w:color="A5A5A5" w:sz="4" w:space="0"/>
          <w:left w:val="single" w:color="A5A5A5" w:sz="4" w:space="0"/>
          <w:bottom w:val="single" w:color="A5A5A5" w:sz="4" w:space="0"/>
          <w:right w:val="single" w:color="A5A5A5" w:sz="4" w:space="0"/>
        </w:tcBorders>
        <w:shd w:val="clear" w:color="A5A5A5" w:fill="A5A5A5"/>
      </w:tcPr>
    </w:tblStylePr>
    <w:tblStylePr w:type="lastRow">
      <w:rPr>
        <w:b/>
        <w:color w:val="404040"/>
      </w:rPr>
      <w:tcPr>
        <w:tcBorders>
          <w:top w:val="single" w:color="A5A5A5"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ECECEC" w:fill="ECECEC"/>
      </w:tcPr>
    </w:tblStylePr>
    <w:tblStylePr w:type="band1Horz">
      <w:rPr>
        <w:rFonts w:ascii="Arial" w:hAnsi="Arial"/>
        <w:color w:val="404040"/>
        <w:sz w:val="22"/>
      </w:rPr>
      <w:tcPr>
        <w:shd w:val="clear" w:color="ECECEC" w:fill="ECECEC"/>
      </w:tcPr>
    </w:tblStylePr>
  </w:style>
  <w:style w:type="table" w:customStyle="1" w:styleId="1932">
    <w:name w:val="Grid Table 4 - Accent 410"/>
    <w:basedOn w:val="13"/>
    <w:uiPriority w:val="59"/>
    <w:rPr>
      <w:sz w:val="22"/>
      <w:szCs w:val="22"/>
      <w:lang w:eastAsia="en-US"/>
    </w:rPr>
    <w:tblPr>
      <w:tblBorders>
        <w:top w:val="single" w:color="FFDB6F" w:sz="4" w:space="0"/>
        <w:left w:val="single" w:color="FFDB6F" w:sz="4" w:space="0"/>
        <w:bottom w:val="single" w:color="FFDB6F" w:sz="4" w:space="0"/>
        <w:right w:val="single" w:color="FFDB6F" w:sz="4" w:space="0"/>
        <w:insideH w:val="single" w:color="FFDB6F" w:sz="4" w:space="0"/>
        <w:insideV w:val="single" w:color="FFDB6F" w:sz="4" w:space="0"/>
      </w:tblBorders>
      <w:tblCellMar>
        <w:top w:w="0" w:type="dxa"/>
        <w:left w:w="108" w:type="dxa"/>
        <w:bottom w:w="0" w:type="dxa"/>
        <w:right w:w="108" w:type="dxa"/>
      </w:tblCellMar>
    </w:tblPr>
    <w:tblStylePr w:type="firstRow">
      <w:rPr>
        <w:rFonts w:ascii="Arial" w:hAnsi="Arial"/>
        <w:b/>
        <w:color w:val="FFFFFF"/>
        <w:sz w:val="22"/>
      </w:rPr>
      <w:tcPr>
        <w:tcBorders>
          <w:top w:val="single" w:color="FFD865" w:sz="4" w:space="0"/>
          <w:left w:val="single" w:color="FFD865" w:sz="4" w:space="0"/>
          <w:bottom w:val="single" w:color="FFD865" w:sz="4" w:space="0"/>
          <w:right w:val="single" w:color="FFD865" w:sz="4" w:space="0"/>
        </w:tcBorders>
        <w:shd w:val="clear" w:color="FFD865" w:fill="FFD865"/>
      </w:tcPr>
    </w:tblStylePr>
    <w:tblStylePr w:type="lastRow">
      <w:rPr>
        <w:b/>
        <w:color w:val="404040"/>
      </w:rPr>
      <w:tcPr>
        <w:tcBorders>
          <w:top w:val="single" w:color="FFD865"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FFF2CB" w:fill="FFF2CB"/>
      </w:tcPr>
    </w:tblStylePr>
    <w:tblStylePr w:type="band1Horz">
      <w:rPr>
        <w:rFonts w:ascii="Arial" w:hAnsi="Arial"/>
        <w:color w:val="404040"/>
        <w:sz w:val="22"/>
      </w:rPr>
      <w:tcPr>
        <w:shd w:val="clear" w:color="FFF2CB" w:fill="FFF2CB"/>
      </w:tcPr>
    </w:tblStylePr>
  </w:style>
  <w:style w:type="table" w:customStyle="1" w:styleId="1933">
    <w:name w:val="Grid Table 4 - Accent 510"/>
    <w:basedOn w:val="13"/>
    <w:uiPriority w:val="59"/>
    <w:rPr>
      <w:sz w:val="22"/>
      <w:szCs w:val="22"/>
      <w:lang w:eastAsia="en-US"/>
    </w:rPr>
    <w:tblPr>
      <w:tblBorders>
        <w:top w:val="single" w:color="A2C6E7" w:sz="4" w:space="0"/>
        <w:left w:val="single" w:color="A2C6E7" w:sz="4" w:space="0"/>
        <w:bottom w:val="single" w:color="A2C6E7" w:sz="4" w:space="0"/>
        <w:right w:val="single" w:color="A2C6E7" w:sz="4" w:space="0"/>
        <w:insideH w:val="single" w:color="A2C6E7" w:sz="4" w:space="0"/>
        <w:insideV w:val="single" w:color="A2C6E7" w:sz="4" w:space="0"/>
      </w:tblBorders>
      <w:tblCellMar>
        <w:top w:w="0" w:type="dxa"/>
        <w:left w:w="108" w:type="dxa"/>
        <w:bottom w:w="0" w:type="dxa"/>
        <w:right w:w="108" w:type="dxa"/>
      </w:tblCellMar>
    </w:tblPr>
    <w:tblStylePr w:type="firstRow">
      <w:rPr>
        <w:rFonts w:ascii="Arial" w:hAnsi="Arial"/>
        <w:b/>
        <w:color w:val="FFFFFF"/>
        <w:sz w:val="22"/>
      </w:rPr>
      <w:tcPr>
        <w:tcBorders>
          <w:top w:val="single" w:color="5B9BD5" w:sz="4" w:space="0"/>
          <w:left w:val="single" w:color="5B9BD5" w:sz="4" w:space="0"/>
          <w:bottom w:val="single" w:color="5B9BD5" w:sz="4" w:space="0"/>
          <w:right w:val="single" w:color="5B9BD5" w:sz="4" w:space="0"/>
        </w:tcBorders>
        <w:shd w:val="clear" w:color="5B9BD5" w:fill="5B9BD5"/>
      </w:tcPr>
    </w:tblStylePr>
    <w:tblStylePr w:type="lastRow">
      <w:rPr>
        <w:b/>
        <w:color w:val="404040"/>
      </w:rPr>
      <w:tcPr>
        <w:tcBorders>
          <w:top w:val="single" w:color="5B9BD5"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DDEAF6" w:fill="DDEAF6"/>
      </w:tcPr>
    </w:tblStylePr>
    <w:tblStylePr w:type="band1Horz">
      <w:rPr>
        <w:rFonts w:ascii="Arial" w:hAnsi="Arial"/>
        <w:color w:val="404040"/>
        <w:sz w:val="22"/>
      </w:rPr>
      <w:tcPr>
        <w:shd w:val="clear" w:color="DDEAF6" w:fill="DDEAF6"/>
      </w:tcPr>
    </w:tblStylePr>
  </w:style>
  <w:style w:type="table" w:customStyle="1" w:styleId="1934">
    <w:name w:val="Grid Table 4 - Accent 610"/>
    <w:basedOn w:val="13"/>
    <w:uiPriority w:val="59"/>
    <w:rPr>
      <w:sz w:val="22"/>
      <w:szCs w:val="22"/>
      <w:lang w:eastAsia="en-US"/>
    </w:rPr>
    <w:tblPr>
      <w:tblBorders>
        <w:top w:val="single" w:color="ADD394" w:sz="4" w:space="0"/>
        <w:left w:val="single" w:color="ADD394" w:sz="4" w:space="0"/>
        <w:bottom w:val="single" w:color="ADD394" w:sz="4" w:space="0"/>
        <w:right w:val="single" w:color="ADD394" w:sz="4" w:space="0"/>
        <w:insideH w:val="single" w:color="ADD394" w:sz="4" w:space="0"/>
        <w:insideV w:val="single" w:color="ADD394" w:sz="4" w:space="0"/>
      </w:tblBorders>
      <w:tblCellMar>
        <w:top w:w="0" w:type="dxa"/>
        <w:left w:w="108" w:type="dxa"/>
        <w:bottom w:w="0" w:type="dxa"/>
        <w:right w:w="108" w:type="dxa"/>
      </w:tblCellMar>
    </w:tblPr>
    <w:tblStylePr w:type="firstRow">
      <w:rPr>
        <w:rFonts w:ascii="Arial" w:hAnsi="Arial"/>
        <w:b/>
        <w:color w:val="FFFFFF"/>
        <w:sz w:val="22"/>
      </w:rPr>
      <w:tcPr>
        <w:tcBorders>
          <w:top w:val="single" w:color="70AD47" w:sz="4" w:space="0"/>
          <w:left w:val="single" w:color="70AD47" w:sz="4" w:space="0"/>
          <w:bottom w:val="single" w:color="70AD47" w:sz="4" w:space="0"/>
          <w:right w:val="single" w:color="70AD47" w:sz="4" w:space="0"/>
        </w:tcBorders>
        <w:shd w:val="clear" w:color="70AD47" w:fill="70AD47"/>
      </w:tcPr>
    </w:tblStylePr>
    <w:tblStylePr w:type="lastRow">
      <w:rPr>
        <w:b/>
        <w:color w:val="404040"/>
      </w:rPr>
      <w:tcPr>
        <w:tcBorders>
          <w:top w:val="single" w:color="70AD47"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E1EFD8" w:fill="E1EFD8"/>
      </w:tcPr>
    </w:tblStylePr>
    <w:tblStylePr w:type="band1Horz">
      <w:rPr>
        <w:rFonts w:ascii="Arial" w:hAnsi="Arial"/>
        <w:color w:val="404040"/>
        <w:sz w:val="22"/>
      </w:rPr>
      <w:tcPr>
        <w:shd w:val="clear" w:color="E1EFD8" w:fill="E1EFD8"/>
      </w:tcPr>
    </w:tblStylePr>
  </w:style>
  <w:style w:type="table" w:customStyle="1" w:styleId="1935">
    <w:name w:val="Таблица-сетка 5 темная18"/>
    <w:basedOn w:val="13"/>
    <w:uiPriority w:val="99"/>
    <w:rPr>
      <w:sz w:val="22"/>
      <w:szCs w:val="22"/>
      <w:lang w:eastAsia="en-US"/>
    </w:rPr>
    <w:tblPr>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CellMar>
        <w:top w:w="0" w:type="dxa"/>
        <w:left w:w="108" w:type="dxa"/>
        <w:bottom w:w="0" w:type="dxa"/>
        <w:right w:w="108" w:type="dxa"/>
      </w:tblCellMar>
    </w:tblPr>
    <w:tblStylePr w:type="firstRow">
      <w:rPr>
        <w:rFonts w:ascii="Arial" w:hAnsi="Arial"/>
        <w:b/>
        <w:color w:val="FFFFFF"/>
        <w:sz w:val="22"/>
      </w:rPr>
      <w:tcPr>
        <w:shd w:val="clear" w:color="000000" w:fill="000000"/>
      </w:tcPr>
    </w:tblStylePr>
    <w:tblStylePr w:type="lastRow">
      <w:rPr>
        <w:rFonts w:ascii="Arial" w:hAnsi="Arial"/>
        <w:b/>
        <w:color w:val="FFFFFF"/>
        <w:sz w:val="22"/>
      </w:rPr>
      <w:tcPr>
        <w:tcBorders>
          <w:top w:val="single" w:color="FFFFFF" w:sz="4" w:space="0"/>
        </w:tcBorders>
        <w:shd w:val="clear" w:color="000000" w:fill="000000"/>
      </w:tcPr>
    </w:tblStylePr>
    <w:tblStylePr w:type="firstCol">
      <w:rPr>
        <w:rFonts w:ascii="Arial" w:hAnsi="Arial"/>
        <w:b/>
        <w:color w:val="FFFFFF"/>
        <w:sz w:val="22"/>
      </w:rPr>
      <w:tcPr>
        <w:shd w:val="clear" w:color="000000" w:fill="000000"/>
      </w:tcPr>
    </w:tblStylePr>
    <w:tblStylePr w:type="lastCol">
      <w:rPr>
        <w:rFonts w:ascii="Arial" w:hAnsi="Arial"/>
        <w:b/>
        <w:color w:val="FFFFFF"/>
        <w:sz w:val="22"/>
      </w:rPr>
      <w:tcPr>
        <w:shd w:val="clear" w:color="000000" w:fill="000000"/>
      </w:tcPr>
    </w:tblStylePr>
    <w:tblStylePr w:type="band1Vert">
      <w:tcPr>
        <w:shd w:val="clear" w:color="8A8A8A" w:fill="8A8A8A"/>
      </w:tcPr>
    </w:tblStylePr>
    <w:tblStylePr w:type="band1Horz">
      <w:tcPr>
        <w:shd w:val="clear" w:color="8A8A8A" w:fill="8A8A8A"/>
      </w:tcPr>
    </w:tblStylePr>
  </w:style>
  <w:style w:type="table" w:customStyle="1" w:styleId="1936">
    <w:name w:val="Grid Table 5 Dark- Accent 110"/>
    <w:basedOn w:val="13"/>
    <w:uiPriority w:val="99"/>
    <w:rPr>
      <w:sz w:val="22"/>
      <w:szCs w:val="22"/>
      <w:lang w:eastAsia="en-US"/>
    </w:rPr>
    <w:tblPr>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CellMar>
        <w:top w:w="0" w:type="dxa"/>
        <w:left w:w="108" w:type="dxa"/>
        <w:bottom w:w="0" w:type="dxa"/>
        <w:right w:w="108" w:type="dxa"/>
      </w:tblCellMar>
    </w:tblPr>
    <w:tblStylePr w:type="firstRow">
      <w:rPr>
        <w:rFonts w:ascii="Arial" w:hAnsi="Arial"/>
        <w:b/>
        <w:color w:val="FFFFFF"/>
        <w:sz w:val="22"/>
      </w:rPr>
      <w:tcPr>
        <w:shd w:val="clear" w:color="4472C4" w:fill="4472C4"/>
      </w:tcPr>
    </w:tblStylePr>
    <w:tblStylePr w:type="lastRow">
      <w:rPr>
        <w:rFonts w:ascii="Arial" w:hAnsi="Arial"/>
        <w:b/>
        <w:color w:val="FFFFFF"/>
        <w:sz w:val="22"/>
      </w:rPr>
      <w:tcPr>
        <w:tcBorders>
          <w:top w:val="single" w:color="FFFFFF" w:sz="4" w:space="0"/>
        </w:tcBorders>
        <w:shd w:val="clear" w:color="4472C4" w:fill="4472C4"/>
      </w:tcPr>
    </w:tblStylePr>
    <w:tblStylePr w:type="firstCol">
      <w:rPr>
        <w:rFonts w:ascii="Arial" w:hAnsi="Arial"/>
        <w:b/>
        <w:color w:val="FFFFFF"/>
        <w:sz w:val="22"/>
      </w:rPr>
      <w:tcPr>
        <w:shd w:val="clear" w:color="4472C4" w:fill="4472C4"/>
      </w:tcPr>
    </w:tblStylePr>
    <w:tblStylePr w:type="lastCol">
      <w:rPr>
        <w:rFonts w:ascii="Arial" w:hAnsi="Arial"/>
        <w:b/>
        <w:color w:val="FFFFFF"/>
        <w:sz w:val="22"/>
      </w:rPr>
      <w:tcPr>
        <w:shd w:val="clear" w:color="4472C4" w:fill="4472C4"/>
      </w:tcPr>
    </w:tblStylePr>
    <w:tblStylePr w:type="band1Vert">
      <w:tcPr>
        <w:shd w:val="clear" w:color="A9BEE4" w:fill="A9BEE4"/>
      </w:tcPr>
    </w:tblStylePr>
    <w:tblStylePr w:type="band1Horz">
      <w:tcPr>
        <w:shd w:val="clear" w:color="A9BEE4" w:fill="A9BEE4"/>
      </w:tcPr>
    </w:tblStylePr>
  </w:style>
  <w:style w:type="table" w:customStyle="1" w:styleId="1937">
    <w:name w:val="Grid Table 5 Dark - Accent 210"/>
    <w:basedOn w:val="13"/>
    <w:uiPriority w:val="99"/>
    <w:rPr>
      <w:sz w:val="22"/>
      <w:szCs w:val="22"/>
      <w:lang w:eastAsia="en-US"/>
    </w:rPr>
    <w:tblPr>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CellMar>
        <w:top w:w="0" w:type="dxa"/>
        <w:left w:w="108" w:type="dxa"/>
        <w:bottom w:w="0" w:type="dxa"/>
        <w:right w:w="108" w:type="dxa"/>
      </w:tblCellMar>
    </w:tblPr>
    <w:tblStylePr w:type="firstRow">
      <w:rPr>
        <w:rFonts w:ascii="Arial" w:hAnsi="Arial"/>
        <w:b/>
        <w:color w:val="FFFFFF"/>
        <w:sz w:val="22"/>
      </w:rPr>
      <w:tcPr>
        <w:shd w:val="clear" w:color="ED7D31" w:fill="ED7D31"/>
      </w:tcPr>
    </w:tblStylePr>
    <w:tblStylePr w:type="lastRow">
      <w:rPr>
        <w:rFonts w:ascii="Arial" w:hAnsi="Arial"/>
        <w:b/>
        <w:color w:val="FFFFFF"/>
        <w:sz w:val="22"/>
      </w:rPr>
      <w:tcPr>
        <w:tcBorders>
          <w:top w:val="single" w:color="FFFFFF" w:sz="4" w:space="0"/>
        </w:tcBorders>
        <w:shd w:val="clear" w:color="ED7D31" w:fill="ED7D31"/>
      </w:tcPr>
    </w:tblStylePr>
    <w:tblStylePr w:type="firstCol">
      <w:rPr>
        <w:rFonts w:ascii="Arial" w:hAnsi="Arial"/>
        <w:b/>
        <w:color w:val="FFFFFF"/>
        <w:sz w:val="22"/>
      </w:rPr>
      <w:tcPr>
        <w:shd w:val="clear" w:color="ED7D31" w:fill="ED7D31"/>
      </w:tcPr>
    </w:tblStylePr>
    <w:tblStylePr w:type="lastCol">
      <w:rPr>
        <w:rFonts w:ascii="Arial" w:hAnsi="Arial"/>
        <w:b/>
        <w:color w:val="FFFFFF"/>
        <w:sz w:val="22"/>
      </w:rPr>
      <w:tcPr>
        <w:shd w:val="clear" w:color="ED7D31" w:fill="ED7D31"/>
      </w:tcPr>
    </w:tblStylePr>
    <w:tblStylePr w:type="band1Vert">
      <w:tcPr>
        <w:shd w:val="clear" w:color="F6C3A0" w:fill="F6C3A0"/>
      </w:tcPr>
    </w:tblStylePr>
    <w:tblStylePr w:type="band1Horz">
      <w:tcPr>
        <w:shd w:val="clear" w:color="F6C3A0" w:fill="F6C3A0"/>
      </w:tcPr>
    </w:tblStylePr>
  </w:style>
  <w:style w:type="table" w:customStyle="1" w:styleId="1938">
    <w:name w:val="Grid Table 5 Dark - Accent 310"/>
    <w:basedOn w:val="13"/>
    <w:uiPriority w:val="99"/>
    <w:rPr>
      <w:sz w:val="22"/>
      <w:szCs w:val="22"/>
      <w:lang w:eastAsia="en-US"/>
    </w:rPr>
    <w:tblPr>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CellMar>
        <w:top w:w="0" w:type="dxa"/>
        <w:left w:w="108" w:type="dxa"/>
        <w:bottom w:w="0" w:type="dxa"/>
        <w:right w:w="108" w:type="dxa"/>
      </w:tblCellMar>
    </w:tblPr>
    <w:tblStylePr w:type="firstRow">
      <w:rPr>
        <w:rFonts w:ascii="Arial" w:hAnsi="Arial"/>
        <w:b/>
        <w:color w:val="FFFFFF"/>
        <w:sz w:val="22"/>
      </w:rPr>
      <w:tcPr>
        <w:shd w:val="clear" w:color="A5A5A5" w:fill="A5A5A5"/>
      </w:tcPr>
    </w:tblStylePr>
    <w:tblStylePr w:type="lastRow">
      <w:rPr>
        <w:rFonts w:ascii="Arial" w:hAnsi="Arial"/>
        <w:b/>
        <w:color w:val="FFFFFF"/>
        <w:sz w:val="22"/>
      </w:rPr>
      <w:tcPr>
        <w:tcBorders>
          <w:top w:val="single" w:color="FFFFFF" w:sz="4" w:space="0"/>
        </w:tcBorders>
        <w:shd w:val="clear" w:color="A5A5A5" w:fill="A5A5A5"/>
      </w:tcPr>
    </w:tblStylePr>
    <w:tblStylePr w:type="firstCol">
      <w:rPr>
        <w:rFonts w:ascii="Arial" w:hAnsi="Arial"/>
        <w:b/>
        <w:color w:val="FFFFFF"/>
        <w:sz w:val="22"/>
      </w:rPr>
      <w:tcPr>
        <w:shd w:val="clear" w:color="A5A5A5" w:fill="A5A5A5"/>
      </w:tcPr>
    </w:tblStylePr>
    <w:tblStylePr w:type="lastCol">
      <w:rPr>
        <w:rFonts w:ascii="Arial" w:hAnsi="Arial"/>
        <w:b/>
        <w:color w:val="FFFFFF"/>
        <w:sz w:val="22"/>
      </w:rPr>
      <w:tcPr>
        <w:shd w:val="clear" w:color="A5A5A5" w:fill="A5A5A5"/>
      </w:tcPr>
    </w:tblStylePr>
    <w:tblStylePr w:type="band1Vert">
      <w:tcPr>
        <w:shd w:val="clear" w:color="D5D5D5" w:fill="D5D5D5"/>
      </w:tcPr>
    </w:tblStylePr>
    <w:tblStylePr w:type="band1Horz">
      <w:tcPr>
        <w:shd w:val="clear" w:color="D5D5D5" w:fill="D5D5D5"/>
      </w:tcPr>
    </w:tblStylePr>
  </w:style>
  <w:style w:type="table" w:customStyle="1" w:styleId="1939">
    <w:name w:val="Grid Table 5 Dark- Accent 410"/>
    <w:basedOn w:val="13"/>
    <w:uiPriority w:val="99"/>
    <w:rPr>
      <w:sz w:val="22"/>
      <w:szCs w:val="22"/>
      <w:lang w:eastAsia="en-US"/>
    </w:rPr>
    <w:tblPr>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CellMar>
        <w:top w:w="0" w:type="dxa"/>
        <w:left w:w="108" w:type="dxa"/>
        <w:bottom w:w="0" w:type="dxa"/>
        <w:right w:w="108" w:type="dxa"/>
      </w:tblCellMar>
    </w:tblPr>
    <w:tblStylePr w:type="firstRow">
      <w:rPr>
        <w:rFonts w:ascii="Arial" w:hAnsi="Arial"/>
        <w:b/>
        <w:color w:val="FFFFFF"/>
        <w:sz w:val="22"/>
      </w:rPr>
      <w:tcPr>
        <w:shd w:val="clear" w:color="FFC000" w:fill="FFC000"/>
      </w:tcPr>
    </w:tblStylePr>
    <w:tblStylePr w:type="lastRow">
      <w:rPr>
        <w:rFonts w:ascii="Arial" w:hAnsi="Arial"/>
        <w:b/>
        <w:color w:val="FFFFFF"/>
        <w:sz w:val="22"/>
      </w:rPr>
      <w:tcPr>
        <w:tcBorders>
          <w:top w:val="single" w:color="FFFFFF" w:sz="4" w:space="0"/>
        </w:tcBorders>
        <w:shd w:val="clear" w:color="FFC000" w:fill="FFC000"/>
      </w:tcPr>
    </w:tblStylePr>
    <w:tblStylePr w:type="firstCol">
      <w:rPr>
        <w:rFonts w:ascii="Arial" w:hAnsi="Arial"/>
        <w:b/>
        <w:color w:val="FFFFFF"/>
        <w:sz w:val="22"/>
      </w:rPr>
      <w:tcPr>
        <w:shd w:val="clear" w:color="FFC000" w:fill="FFC000"/>
      </w:tcPr>
    </w:tblStylePr>
    <w:tblStylePr w:type="lastCol">
      <w:rPr>
        <w:rFonts w:ascii="Arial" w:hAnsi="Arial"/>
        <w:b/>
        <w:color w:val="FFFFFF"/>
        <w:sz w:val="22"/>
      </w:rPr>
      <w:tcPr>
        <w:shd w:val="clear" w:color="FFC000" w:fill="FFC000"/>
      </w:tcPr>
    </w:tblStylePr>
    <w:tblStylePr w:type="band1Vert">
      <w:tcPr>
        <w:shd w:val="clear" w:color="FFE28A" w:fill="FFE28A"/>
      </w:tcPr>
    </w:tblStylePr>
    <w:tblStylePr w:type="band1Horz">
      <w:tcPr>
        <w:shd w:val="clear" w:color="FFE28A" w:fill="FFE28A"/>
      </w:tcPr>
    </w:tblStylePr>
  </w:style>
  <w:style w:type="table" w:customStyle="1" w:styleId="1940">
    <w:name w:val="Grid Table 5 Dark - Accent 510"/>
    <w:basedOn w:val="13"/>
    <w:uiPriority w:val="99"/>
    <w:rPr>
      <w:sz w:val="22"/>
      <w:szCs w:val="22"/>
      <w:lang w:eastAsia="en-US"/>
    </w:rPr>
    <w:tblPr>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CellMar>
        <w:top w:w="0" w:type="dxa"/>
        <w:left w:w="108" w:type="dxa"/>
        <w:bottom w:w="0" w:type="dxa"/>
        <w:right w:w="108" w:type="dxa"/>
      </w:tblCellMar>
    </w:tblPr>
    <w:tblStylePr w:type="firstRow">
      <w:rPr>
        <w:rFonts w:ascii="Arial" w:hAnsi="Arial"/>
        <w:b/>
        <w:color w:val="FFFFFF"/>
        <w:sz w:val="22"/>
      </w:rPr>
      <w:tcPr>
        <w:shd w:val="clear" w:color="5B9BD5" w:fill="5B9BD5"/>
      </w:tcPr>
    </w:tblStylePr>
    <w:tblStylePr w:type="lastRow">
      <w:rPr>
        <w:rFonts w:ascii="Arial" w:hAnsi="Arial"/>
        <w:b/>
        <w:color w:val="FFFFFF"/>
        <w:sz w:val="22"/>
      </w:rPr>
      <w:tcPr>
        <w:tcBorders>
          <w:top w:val="single" w:color="FFFFFF" w:sz="4" w:space="0"/>
        </w:tcBorders>
        <w:shd w:val="clear" w:color="5B9BD5" w:fill="5B9BD5"/>
      </w:tcPr>
    </w:tblStylePr>
    <w:tblStylePr w:type="firstCol">
      <w:rPr>
        <w:rFonts w:ascii="Arial" w:hAnsi="Arial"/>
        <w:b/>
        <w:color w:val="FFFFFF"/>
        <w:sz w:val="22"/>
      </w:rPr>
      <w:tcPr>
        <w:shd w:val="clear" w:color="5B9BD5" w:fill="5B9BD5"/>
      </w:tcPr>
    </w:tblStylePr>
    <w:tblStylePr w:type="lastCol">
      <w:rPr>
        <w:rFonts w:ascii="Arial" w:hAnsi="Arial"/>
        <w:b/>
        <w:color w:val="FFFFFF"/>
        <w:sz w:val="22"/>
      </w:rPr>
      <w:tcPr>
        <w:shd w:val="clear" w:color="5B9BD5" w:fill="5B9BD5"/>
      </w:tcPr>
    </w:tblStylePr>
    <w:tblStylePr w:type="band1Vert">
      <w:tcPr>
        <w:shd w:val="clear" w:color="B3D0EB" w:fill="B3D0EB"/>
      </w:tcPr>
    </w:tblStylePr>
    <w:tblStylePr w:type="band1Horz">
      <w:tcPr>
        <w:shd w:val="clear" w:color="B3D0EB" w:fill="B3D0EB"/>
      </w:tcPr>
    </w:tblStylePr>
  </w:style>
  <w:style w:type="table" w:customStyle="1" w:styleId="1941">
    <w:name w:val="Grid Table 5 Dark - Accent 610"/>
    <w:basedOn w:val="13"/>
    <w:uiPriority w:val="99"/>
    <w:rPr>
      <w:sz w:val="22"/>
      <w:szCs w:val="22"/>
      <w:lang w:eastAsia="en-US"/>
    </w:rPr>
    <w:tblPr>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CellMar>
        <w:top w:w="0" w:type="dxa"/>
        <w:left w:w="108" w:type="dxa"/>
        <w:bottom w:w="0" w:type="dxa"/>
        <w:right w:w="108" w:type="dxa"/>
      </w:tblCellMar>
    </w:tblPr>
    <w:tblStylePr w:type="firstRow">
      <w:rPr>
        <w:rFonts w:ascii="Arial" w:hAnsi="Arial"/>
        <w:b/>
        <w:color w:val="FFFFFF"/>
        <w:sz w:val="22"/>
      </w:rPr>
      <w:tcPr>
        <w:shd w:val="clear" w:color="70AD47" w:fill="70AD47"/>
      </w:tcPr>
    </w:tblStylePr>
    <w:tblStylePr w:type="lastRow">
      <w:rPr>
        <w:rFonts w:ascii="Arial" w:hAnsi="Arial"/>
        <w:b/>
        <w:color w:val="FFFFFF"/>
        <w:sz w:val="22"/>
      </w:rPr>
      <w:tcPr>
        <w:tcBorders>
          <w:top w:val="single" w:color="FFFFFF" w:sz="4" w:space="0"/>
        </w:tcBorders>
        <w:shd w:val="clear" w:color="70AD47" w:fill="70AD47"/>
      </w:tcPr>
    </w:tblStylePr>
    <w:tblStylePr w:type="firstCol">
      <w:rPr>
        <w:rFonts w:ascii="Arial" w:hAnsi="Arial"/>
        <w:b/>
        <w:color w:val="FFFFFF"/>
        <w:sz w:val="22"/>
      </w:rPr>
      <w:tcPr>
        <w:shd w:val="clear" w:color="70AD47" w:fill="70AD47"/>
      </w:tcPr>
    </w:tblStylePr>
    <w:tblStylePr w:type="lastCol">
      <w:rPr>
        <w:rFonts w:ascii="Arial" w:hAnsi="Arial"/>
        <w:b/>
        <w:color w:val="FFFFFF"/>
        <w:sz w:val="22"/>
      </w:rPr>
      <w:tcPr>
        <w:shd w:val="clear" w:color="70AD47" w:fill="70AD47"/>
      </w:tcPr>
    </w:tblStylePr>
    <w:tblStylePr w:type="band1Vert">
      <w:tcPr>
        <w:shd w:val="clear" w:color="BCDBA8" w:fill="BCDBA8"/>
      </w:tcPr>
    </w:tblStylePr>
    <w:tblStylePr w:type="band1Horz">
      <w:tcPr>
        <w:shd w:val="clear" w:color="BCDBA8" w:fill="BCDBA8"/>
      </w:tcPr>
    </w:tblStylePr>
  </w:style>
  <w:style w:type="table" w:customStyle="1" w:styleId="1942">
    <w:name w:val="Таблица-сетка 6 цветная18"/>
    <w:basedOn w:val="13"/>
    <w:uiPriority w:val="99"/>
    <w:rPr>
      <w:sz w:val="22"/>
      <w:szCs w:val="22"/>
      <w:lang w:eastAsia="en-US"/>
    </w:rPr>
    <w:tblPr>
      <w:tblBorders>
        <w:top w:val="single" w:color="7F7F7F" w:sz="4" w:space="0"/>
        <w:left w:val="single" w:color="7F7F7F" w:sz="4" w:space="0"/>
        <w:bottom w:val="single" w:color="7F7F7F" w:sz="4" w:space="0"/>
        <w:right w:val="single" w:color="7F7F7F" w:sz="4" w:space="0"/>
        <w:insideH w:val="single" w:color="7F7F7F" w:sz="4" w:space="0"/>
        <w:insideV w:val="single" w:color="7F7F7F" w:sz="4" w:space="0"/>
      </w:tblBorders>
      <w:tblCellMar>
        <w:top w:w="0" w:type="dxa"/>
        <w:left w:w="108" w:type="dxa"/>
        <w:bottom w:w="0" w:type="dxa"/>
        <w:right w:w="108" w:type="dxa"/>
      </w:tblCellMar>
    </w:tblPr>
    <w:tblStylePr w:type="firstRow">
      <w:rPr>
        <w:b/>
        <w:color w:val="7F7F7F"/>
      </w:rPr>
      <w:tcPr>
        <w:tcBorders>
          <w:bottom w:val="single" w:color="7F7F7F" w:sz="12" w:space="0"/>
        </w:tcBorders>
      </w:tcPr>
    </w:tblStylePr>
    <w:tblStylePr w:type="lastRow">
      <w:rPr>
        <w:b/>
        <w:color w:val="7F7F7F"/>
      </w:rPr>
    </w:tblStylePr>
    <w:tblStylePr w:type="firstCol">
      <w:rPr>
        <w:b/>
        <w:color w:val="7F7F7F"/>
      </w:rPr>
    </w:tblStylePr>
    <w:tblStylePr w:type="lastCol">
      <w:rPr>
        <w:b/>
        <w:color w:val="7F7F7F"/>
      </w:rPr>
    </w:tblStylePr>
    <w:tblStylePr w:type="band1Vert">
      <w:tcPr>
        <w:shd w:val="clear" w:color="CBCBCB" w:fill="CBCBCB"/>
      </w:tcPr>
    </w:tblStylePr>
    <w:tblStylePr w:type="band1Horz">
      <w:rPr>
        <w:rFonts w:ascii="Arial" w:hAnsi="Arial"/>
        <w:color w:val="7F7F7F"/>
        <w:sz w:val="22"/>
      </w:rPr>
      <w:tcPr>
        <w:shd w:val="clear" w:color="CBCBCB" w:fill="CBCBCB"/>
      </w:tcPr>
    </w:tblStylePr>
    <w:tblStylePr w:type="band2Horz">
      <w:rPr>
        <w:rFonts w:ascii="Arial" w:hAnsi="Arial"/>
        <w:color w:val="7F7F7F"/>
        <w:sz w:val="22"/>
      </w:rPr>
    </w:tblStylePr>
  </w:style>
  <w:style w:type="table" w:customStyle="1" w:styleId="1943">
    <w:name w:val="Grid Table 6 Colorful - Accent 110"/>
    <w:basedOn w:val="13"/>
    <w:uiPriority w:val="99"/>
    <w:rPr>
      <w:sz w:val="22"/>
      <w:szCs w:val="22"/>
      <w:lang w:eastAsia="en-US"/>
    </w:rPr>
    <w:tblPr>
      <w:tblBorders>
        <w:top w:val="single" w:color="A0B7E1" w:sz="4" w:space="0"/>
        <w:left w:val="single" w:color="A0B7E1" w:sz="4" w:space="0"/>
        <w:bottom w:val="single" w:color="A0B7E1" w:sz="4" w:space="0"/>
        <w:right w:val="single" w:color="A0B7E1" w:sz="4" w:space="0"/>
        <w:insideH w:val="single" w:color="A0B7E1" w:sz="4" w:space="0"/>
        <w:insideV w:val="single" w:color="A0B7E1" w:sz="4" w:space="0"/>
      </w:tblBorders>
      <w:tblCellMar>
        <w:top w:w="0" w:type="dxa"/>
        <w:left w:w="108" w:type="dxa"/>
        <w:bottom w:w="0" w:type="dxa"/>
        <w:right w:w="108" w:type="dxa"/>
      </w:tblCellMar>
    </w:tblPr>
    <w:tblStylePr w:type="firstRow">
      <w:rPr>
        <w:b/>
        <w:color w:val="A0B7E1"/>
      </w:rPr>
      <w:tcPr>
        <w:tcBorders>
          <w:bottom w:val="single" w:color="A0B7E1" w:sz="12" w:space="0"/>
        </w:tcBorders>
      </w:tcPr>
    </w:tblStylePr>
    <w:tblStylePr w:type="lastRow">
      <w:rPr>
        <w:b/>
        <w:color w:val="A0B7E1"/>
      </w:rPr>
    </w:tblStylePr>
    <w:tblStylePr w:type="firstCol">
      <w:rPr>
        <w:b/>
        <w:color w:val="A0B7E1"/>
      </w:rPr>
    </w:tblStylePr>
    <w:tblStylePr w:type="lastCol">
      <w:rPr>
        <w:b/>
        <w:color w:val="A0B7E1"/>
      </w:rPr>
    </w:tblStylePr>
    <w:tblStylePr w:type="band1Vert">
      <w:tcPr>
        <w:shd w:val="clear" w:color="D8E2F3" w:fill="D8E2F3"/>
      </w:tcPr>
    </w:tblStylePr>
    <w:tblStylePr w:type="band1Horz">
      <w:rPr>
        <w:rFonts w:ascii="Arial" w:hAnsi="Arial"/>
        <w:color w:val="A0B7E1"/>
        <w:sz w:val="22"/>
      </w:rPr>
      <w:tcPr>
        <w:shd w:val="clear" w:color="D8E2F3" w:fill="D8E2F3"/>
      </w:tcPr>
    </w:tblStylePr>
    <w:tblStylePr w:type="band2Horz">
      <w:rPr>
        <w:rFonts w:ascii="Arial" w:hAnsi="Arial"/>
        <w:color w:val="A0B7E1"/>
        <w:sz w:val="22"/>
      </w:rPr>
    </w:tblStylePr>
  </w:style>
  <w:style w:type="table" w:customStyle="1" w:styleId="1944">
    <w:name w:val="Grid Table 6 Colorful - Accent 210"/>
    <w:basedOn w:val="13"/>
    <w:uiPriority w:val="99"/>
    <w:rPr>
      <w:sz w:val="22"/>
      <w:szCs w:val="22"/>
      <w:lang w:eastAsia="en-US"/>
    </w:rPr>
    <w:tblPr>
      <w:tblBorders>
        <w:top w:val="single" w:color="F4B184" w:sz="4" w:space="0"/>
        <w:left w:val="single" w:color="F4B184" w:sz="4" w:space="0"/>
        <w:bottom w:val="single" w:color="F4B184" w:sz="4" w:space="0"/>
        <w:right w:val="single" w:color="F4B184" w:sz="4" w:space="0"/>
        <w:insideH w:val="single" w:color="F4B184" w:sz="4" w:space="0"/>
        <w:insideV w:val="single" w:color="F4B184" w:sz="4" w:space="0"/>
      </w:tblBorders>
      <w:tblCellMar>
        <w:top w:w="0" w:type="dxa"/>
        <w:left w:w="108" w:type="dxa"/>
        <w:bottom w:w="0" w:type="dxa"/>
        <w:right w:w="108" w:type="dxa"/>
      </w:tblCellMar>
    </w:tblPr>
    <w:tblStylePr w:type="firstRow">
      <w:rPr>
        <w:b/>
        <w:color w:val="F4B184"/>
      </w:rPr>
      <w:tcPr>
        <w:tcBorders>
          <w:bottom w:val="single" w:color="F4B184" w:sz="12" w:space="0"/>
        </w:tcBorders>
      </w:tcPr>
    </w:tblStylePr>
    <w:tblStylePr w:type="lastRow">
      <w:rPr>
        <w:b/>
        <w:color w:val="F4B184"/>
      </w:rPr>
    </w:tblStylePr>
    <w:tblStylePr w:type="firstCol">
      <w:rPr>
        <w:b/>
        <w:color w:val="F4B184"/>
      </w:rPr>
    </w:tblStylePr>
    <w:tblStylePr w:type="lastCol">
      <w:rPr>
        <w:b/>
        <w:color w:val="F4B184"/>
      </w:rPr>
    </w:tblStylePr>
    <w:tblStylePr w:type="band1Vert">
      <w:tcPr>
        <w:shd w:val="clear" w:color="FBE5D6" w:fill="FBE5D6"/>
      </w:tcPr>
    </w:tblStylePr>
    <w:tblStylePr w:type="band1Horz">
      <w:rPr>
        <w:rFonts w:ascii="Arial" w:hAnsi="Arial"/>
        <w:color w:val="F4B184"/>
        <w:sz w:val="22"/>
      </w:rPr>
      <w:tcPr>
        <w:shd w:val="clear" w:color="FBE5D6" w:fill="FBE5D6"/>
      </w:tcPr>
    </w:tblStylePr>
    <w:tblStylePr w:type="band2Horz">
      <w:rPr>
        <w:rFonts w:ascii="Arial" w:hAnsi="Arial"/>
        <w:color w:val="F4B184"/>
        <w:sz w:val="22"/>
      </w:rPr>
    </w:tblStylePr>
  </w:style>
  <w:style w:type="table" w:customStyle="1" w:styleId="1945">
    <w:name w:val="Grid Table 6 Colorful - Accent 310"/>
    <w:basedOn w:val="13"/>
    <w:uiPriority w:val="99"/>
    <w:rPr>
      <w:sz w:val="22"/>
      <w:szCs w:val="22"/>
      <w:lang w:eastAsia="en-US"/>
    </w:rPr>
    <w:tblPr>
      <w:tblBorders>
        <w:top w:val="single" w:color="A5A5A5" w:sz="4" w:space="0"/>
        <w:left w:val="single" w:color="A5A5A5" w:sz="4" w:space="0"/>
        <w:bottom w:val="single" w:color="A5A5A5" w:sz="4" w:space="0"/>
        <w:right w:val="single" w:color="A5A5A5" w:sz="4" w:space="0"/>
        <w:insideH w:val="single" w:color="A5A5A5" w:sz="4" w:space="0"/>
        <w:insideV w:val="single" w:color="A5A5A5" w:sz="4" w:space="0"/>
      </w:tblBorders>
      <w:tblCellMar>
        <w:top w:w="0" w:type="dxa"/>
        <w:left w:w="108" w:type="dxa"/>
        <w:bottom w:w="0" w:type="dxa"/>
        <w:right w:w="108" w:type="dxa"/>
      </w:tblCellMar>
    </w:tblPr>
    <w:tblStylePr w:type="firstRow">
      <w:rPr>
        <w:b/>
        <w:color w:val="A5A5A5"/>
      </w:rPr>
      <w:tcPr>
        <w:tcBorders>
          <w:bottom w:val="single" w:color="A5A5A5" w:sz="12" w:space="0"/>
        </w:tcBorders>
      </w:tcPr>
    </w:tblStylePr>
    <w:tblStylePr w:type="lastRow">
      <w:rPr>
        <w:b/>
        <w:color w:val="A5A5A5"/>
      </w:rPr>
    </w:tblStylePr>
    <w:tblStylePr w:type="firstCol">
      <w:rPr>
        <w:b/>
        <w:color w:val="A5A5A5"/>
      </w:rPr>
    </w:tblStylePr>
    <w:tblStylePr w:type="lastCol">
      <w:rPr>
        <w:b/>
        <w:color w:val="A5A5A5"/>
      </w:rPr>
    </w:tblStylePr>
    <w:tblStylePr w:type="band1Vert">
      <w:tcPr>
        <w:shd w:val="clear" w:color="ECECEC" w:fill="ECECEC"/>
      </w:tcPr>
    </w:tblStylePr>
    <w:tblStylePr w:type="band1Horz">
      <w:rPr>
        <w:rFonts w:ascii="Arial" w:hAnsi="Arial"/>
        <w:color w:val="A5A5A5"/>
        <w:sz w:val="22"/>
      </w:rPr>
      <w:tcPr>
        <w:shd w:val="clear" w:color="ECECEC" w:fill="ECECEC"/>
      </w:tcPr>
    </w:tblStylePr>
    <w:tblStylePr w:type="band2Horz">
      <w:rPr>
        <w:rFonts w:ascii="Arial" w:hAnsi="Arial"/>
        <w:color w:val="A5A5A5"/>
        <w:sz w:val="22"/>
      </w:rPr>
    </w:tblStylePr>
  </w:style>
  <w:style w:type="table" w:customStyle="1" w:styleId="1946">
    <w:name w:val="Grid Table 6 Colorful - Accent 410"/>
    <w:basedOn w:val="13"/>
    <w:uiPriority w:val="99"/>
    <w:rPr>
      <w:sz w:val="22"/>
      <w:szCs w:val="22"/>
      <w:lang w:eastAsia="en-US"/>
    </w:rPr>
    <w:tblPr>
      <w:tblBorders>
        <w:top w:val="single" w:color="FFD865" w:sz="4" w:space="0"/>
        <w:left w:val="single" w:color="FFD865" w:sz="4" w:space="0"/>
        <w:bottom w:val="single" w:color="FFD865" w:sz="4" w:space="0"/>
        <w:right w:val="single" w:color="FFD865" w:sz="4" w:space="0"/>
        <w:insideH w:val="single" w:color="FFD865" w:sz="4" w:space="0"/>
        <w:insideV w:val="single" w:color="FFD865" w:sz="4" w:space="0"/>
      </w:tblBorders>
      <w:tblCellMar>
        <w:top w:w="0" w:type="dxa"/>
        <w:left w:w="108" w:type="dxa"/>
        <w:bottom w:w="0" w:type="dxa"/>
        <w:right w:w="108" w:type="dxa"/>
      </w:tblCellMar>
    </w:tblPr>
    <w:tblStylePr w:type="firstRow">
      <w:rPr>
        <w:b/>
        <w:color w:val="FFD865"/>
      </w:rPr>
      <w:tcPr>
        <w:tcBorders>
          <w:bottom w:val="single" w:color="FFD865" w:sz="12" w:space="0"/>
        </w:tcBorders>
      </w:tcPr>
    </w:tblStylePr>
    <w:tblStylePr w:type="lastRow">
      <w:rPr>
        <w:b/>
        <w:color w:val="FFD865"/>
      </w:rPr>
    </w:tblStylePr>
    <w:tblStylePr w:type="firstCol">
      <w:rPr>
        <w:b/>
        <w:color w:val="FFD865"/>
      </w:rPr>
    </w:tblStylePr>
    <w:tblStylePr w:type="lastCol">
      <w:rPr>
        <w:b/>
        <w:color w:val="FFD865"/>
      </w:rPr>
    </w:tblStylePr>
    <w:tblStylePr w:type="band1Vert">
      <w:tcPr>
        <w:shd w:val="clear" w:color="FFF2CB" w:fill="FFF2CB"/>
      </w:tcPr>
    </w:tblStylePr>
    <w:tblStylePr w:type="band1Horz">
      <w:rPr>
        <w:rFonts w:ascii="Arial" w:hAnsi="Arial"/>
        <w:color w:val="FFD865"/>
        <w:sz w:val="22"/>
      </w:rPr>
      <w:tcPr>
        <w:shd w:val="clear" w:color="FFF2CB" w:fill="FFF2CB"/>
      </w:tcPr>
    </w:tblStylePr>
    <w:tblStylePr w:type="band2Horz">
      <w:rPr>
        <w:rFonts w:ascii="Arial" w:hAnsi="Arial"/>
        <w:color w:val="FFD865"/>
        <w:sz w:val="22"/>
      </w:rPr>
    </w:tblStylePr>
  </w:style>
  <w:style w:type="table" w:customStyle="1" w:styleId="1947">
    <w:name w:val="Grid Table 6 Colorful - Accent 510"/>
    <w:basedOn w:val="13"/>
    <w:uiPriority w:val="99"/>
    <w:rPr>
      <w:sz w:val="22"/>
      <w:szCs w:val="22"/>
      <w:lang w:eastAsia="en-US"/>
    </w:rPr>
    <w:tblPr>
      <w:tblBorders>
        <w:top w:val="single" w:color="5B9BD5" w:sz="4" w:space="0"/>
        <w:left w:val="single" w:color="5B9BD5" w:sz="4" w:space="0"/>
        <w:bottom w:val="single" w:color="5B9BD5" w:sz="4" w:space="0"/>
        <w:right w:val="single" w:color="5B9BD5" w:sz="4" w:space="0"/>
        <w:insideH w:val="single" w:color="5B9BD5" w:sz="4" w:space="0"/>
        <w:insideV w:val="single" w:color="5B9BD5" w:sz="4" w:space="0"/>
      </w:tblBorders>
      <w:tblCellMar>
        <w:top w:w="0" w:type="dxa"/>
        <w:left w:w="108" w:type="dxa"/>
        <w:bottom w:w="0" w:type="dxa"/>
        <w:right w:w="108" w:type="dxa"/>
      </w:tblCellMar>
    </w:tblPr>
    <w:tblStylePr w:type="firstRow">
      <w:rPr>
        <w:b/>
        <w:color w:val="245A8D"/>
      </w:rPr>
      <w:tcPr>
        <w:tcBorders>
          <w:bottom w:val="single" w:color="5B9BD5" w:sz="12" w:space="0"/>
        </w:tcBorders>
      </w:tcPr>
    </w:tblStylePr>
    <w:tblStylePr w:type="lastRow">
      <w:rPr>
        <w:b/>
        <w:color w:val="245A8D"/>
      </w:rPr>
    </w:tblStylePr>
    <w:tblStylePr w:type="firstCol">
      <w:rPr>
        <w:b/>
        <w:color w:val="245A8D"/>
      </w:rPr>
    </w:tblStylePr>
    <w:tblStylePr w:type="lastCol">
      <w:rPr>
        <w:b/>
        <w:color w:val="245A8D"/>
      </w:rPr>
    </w:tblStylePr>
    <w:tblStylePr w:type="band1Vert">
      <w:tcPr>
        <w:shd w:val="clear" w:color="DDEAF6" w:fill="DDEAF6"/>
      </w:tcPr>
    </w:tblStylePr>
    <w:tblStylePr w:type="band1Horz">
      <w:rPr>
        <w:rFonts w:ascii="Arial" w:hAnsi="Arial"/>
        <w:color w:val="245A8D"/>
        <w:sz w:val="22"/>
      </w:rPr>
      <w:tcPr>
        <w:shd w:val="clear" w:color="DDEAF6" w:fill="DDEAF6"/>
      </w:tcPr>
    </w:tblStylePr>
    <w:tblStylePr w:type="band2Horz">
      <w:rPr>
        <w:rFonts w:ascii="Arial" w:hAnsi="Arial"/>
        <w:color w:val="245A8D"/>
        <w:sz w:val="22"/>
      </w:rPr>
    </w:tblStylePr>
  </w:style>
  <w:style w:type="table" w:customStyle="1" w:styleId="1948">
    <w:name w:val="Grid Table 6 Colorful - Accent 610"/>
    <w:basedOn w:val="13"/>
    <w:uiPriority w:val="99"/>
    <w:rPr>
      <w:sz w:val="22"/>
      <w:szCs w:val="22"/>
      <w:lang w:eastAsia="en-US"/>
    </w:rPr>
    <w:tblPr>
      <w:tblBorders>
        <w:top w:val="single" w:color="70AD47" w:sz="4" w:space="0"/>
        <w:left w:val="single" w:color="70AD47" w:sz="4" w:space="0"/>
        <w:bottom w:val="single" w:color="70AD47" w:sz="4" w:space="0"/>
        <w:right w:val="single" w:color="70AD47" w:sz="4" w:space="0"/>
        <w:insideH w:val="single" w:color="70AD47" w:sz="4" w:space="0"/>
        <w:insideV w:val="single" w:color="70AD47" w:sz="4" w:space="0"/>
      </w:tblBorders>
      <w:tblCellMar>
        <w:top w:w="0" w:type="dxa"/>
        <w:left w:w="108" w:type="dxa"/>
        <w:bottom w:w="0" w:type="dxa"/>
        <w:right w:w="108" w:type="dxa"/>
      </w:tblCellMar>
    </w:tblPr>
    <w:tblStylePr w:type="firstRow">
      <w:rPr>
        <w:b/>
        <w:color w:val="245A8D"/>
      </w:rPr>
      <w:tcPr>
        <w:tcBorders>
          <w:bottom w:val="single" w:color="70AD47" w:sz="12" w:space="0"/>
        </w:tcBorders>
      </w:tcPr>
    </w:tblStylePr>
    <w:tblStylePr w:type="lastRow">
      <w:rPr>
        <w:b/>
        <w:color w:val="245A8D"/>
      </w:rPr>
    </w:tblStylePr>
    <w:tblStylePr w:type="firstCol">
      <w:rPr>
        <w:b/>
        <w:color w:val="245A8D"/>
      </w:rPr>
    </w:tblStylePr>
    <w:tblStylePr w:type="lastCol">
      <w:rPr>
        <w:b/>
        <w:color w:val="245A8D"/>
      </w:rPr>
    </w:tblStylePr>
    <w:tblStylePr w:type="band1Vert">
      <w:tcPr>
        <w:shd w:val="clear" w:color="E1EFD8" w:fill="E1EFD8"/>
      </w:tcPr>
    </w:tblStylePr>
    <w:tblStylePr w:type="band1Horz">
      <w:rPr>
        <w:rFonts w:ascii="Arial" w:hAnsi="Arial"/>
        <w:color w:val="245A8D"/>
        <w:sz w:val="22"/>
      </w:rPr>
      <w:tcPr>
        <w:shd w:val="clear" w:color="E1EFD8" w:fill="E1EFD8"/>
      </w:tcPr>
    </w:tblStylePr>
    <w:tblStylePr w:type="band2Horz">
      <w:rPr>
        <w:rFonts w:ascii="Arial" w:hAnsi="Arial"/>
        <w:color w:val="245A8D"/>
        <w:sz w:val="22"/>
      </w:rPr>
    </w:tblStylePr>
  </w:style>
  <w:style w:type="table" w:customStyle="1" w:styleId="1949">
    <w:name w:val="Таблица-сетка 7 цветная18"/>
    <w:basedOn w:val="13"/>
    <w:uiPriority w:val="99"/>
    <w:rPr>
      <w:sz w:val="22"/>
      <w:szCs w:val="22"/>
      <w:lang w:eastAsia="en-US"/>
    </w:rPr>
    <w:tblPr>
      <w:tblBorders>
        <w:bottom w:val="single" w:color="7F7F7F" w:sz="4" w:space="0"/>
        <w:right w:val="single" w:color="7F7F7F" w:sz="4" w:space="0"/>
        <w:insideH w:val="single" w:color="7F7F7F" w:sz="4" w:space="0"/>
        <w:insideV w:val="single" w:color="7F7F7F" w:sz="4" w:space="0"/>
      </w:tblBorders>
      <w:tblCellMar>
        <w:top w:w="0" w:type="dxa"/>
        <w:left w:w="108" w:type="dxa"/>
        <w:bottom w:w="0" w:type="dxa"/>
        <w:right w:w="108" w:type="dxa"/>
      </w:tblCellMar>
    </w:tblPr>
    <w:tblStylePr w:type="firstRow">
      <w:rPr>
        <w:rFonts w:ascii="Arial" w:hAnsi="Arial"/>
        <w:b/>
        <w:color w:val="7F7F7F"/>
        <w:sz w:val="22"/>
      </w:rPr>
      <w:tcPr>
        <w:tcBorders>
          <w:top w:val="nil"/>
          <w:left w:val="nil"/>
          <w:bottom w:val="single" w:color="7F7F7F" w:sz="4" w:space="0"/>
          <w:right w:val="nil"/>
        </w:tcBorders>
        <w:shd w:val="clear" w:color="FFFFFF" w:fill="FFFFFF"/>
      </w:tcPr>
    </w:tblStylePr>
    <w:tblStylePr w:type="lastRow">
      <w:rPr>
        <w:rFonts w:ascii="Arial" w:hAnsi="Arial"/>
        <w:b/>
        <w:color w:val="7F7F7F"/>
        <w:sz w:val="22"/>
      </w:rPr>
      <w:tcPr>
        <w:tcBorders>
          <w:top w:val="single" w:color="7F7F7F" w:sz="4" w:space="0"/>
          <w:left w:val="nil"/>
          <w:bottom w:val="nil"/>
          <w:right w:val="nil"/>
        </w:tcBorders>
        <w:shd w:val="clear" w:color="FFFFFF" w:fill="FFFFFF"/>
      </w:tcPr>
    </w:tblStylePr>
    <w:tblStylePr w:type="firstCol">
      <w:pPr>
        <w:jc w:val="right"/>
      </w:pPr>
      <w:rPr>
        <w:rFonts w:ascii="Arial" w:hAnsi="Arial"/>
        <w:i/>
        <w:color w:val="7F7F7F"/>
        <w:sz w:val="22"/>
      </w:rPr>
      <w:tcPr>
        <w:tcBorders>
          <w:top w:val="nil"/>
          <w:left w:val="nil"/>
          <w:bottom w:val="nil"/>
          <w:right w:val="single" w:color="7F7F7F" w:sz="4" w:space="0"/>
        </w:tcBorders>
        <w:shd w:val="clear" w:color="FFFFFF" w:fill="auto"/>
      </w:tcPr>
    </w:tblStylePr>
    <w:tblStylePr w:type="lastCol">
      <w:rPr>
        <w:rFonts w:ascii="Arial" w:hAnsi="Arial"/>
        <w:i/>
        <w:color w:val="7F7F7F"/>
        <w:sz w:val="22"/>
      </w:rPr>
      <w:tcPr>
        <w:tcBorders>
          <w:top w:val="nil"/>
          <w:left w:val="single" w:color="7F7F7F" w:sz="4" w:space="0"/>
          <w:bottom w:val="nil"/>
          <w:right w:val="nil"/>
        </w:tcBorders>
        <w:shd w:val="clear" w:color="FFFFFF" w:fill="auto"/>
      </w:tcPr>
    </w:tblStylePr>
    <w:tblStylePr w:type="band1Vert">
      <w:tcPr>
        <w:shd w:val="clear" w:color="F2F2F2" w:fill="F2F2F2"/>
      </w:tcPr>
    </w:tblStylePr>
    <w:tblStylePr w:type="band1Horz">
      <w:rPr>
        <w:rFonts w:ascii="Arial" w:hAnsi="Arial"/>
        <w:color w:val="7F7F7F"/>
        <w:sz w:val="22"/>
      </w:rPr>
      <w:tcPr>
        <w:shd w:val="clear" w:color="F2F2F2" w:fill="F2F2F2"/>
      </w:tcPr>
    </w:tblStylePr>
    <w:tblStylePr w:type="band2Horz">
      <w:rPr>
        <w:rFonts w:ascii="Arial" w:hAnsi="Arial"/>
        <w:color w:val="7F7F7F"/>
        <w:sz w:val="22"/>
      </w:rPr>
    </w:tblStylePr>
  </w:style>
  <w:style w:type="table" w:customStyle="1" w:styleId="1950">
    <w:name w:val="Grid Table 7 Colorful - Accent 110"/>
    <w:basedOn w:val="13"/>
    <w:uiPriority w:val="99"/>
    <w:rPr>
      <w:sz w:val="22"/>
      <w:szCs w:val="22"/>
      <w:lang w:eastAsia="en-US"/>
    </w:rPr>
    <w:tblPr>
      <w:tblBorders>
        <w:bottom w:val="single" w:color="A0B7E1" w:sz="4" w:space="0"/>
        <w:right w:val="single" w:color="A0B7E1" w:sz="4" w:space="0"/>
        <w:insideH w:val="single" w:color="A0B7E1" w:sz="4" w:space="0"/>
        <w:insideV w:val="single" w:color="A0B7E1" w:sz="4" w:space="0"/>
      </w:tblBorders>
      <w:tblCellMar>
        <w:top w:w="0" w:type="dxa"/>
        <w:left w:w="108" w:type="dxa"/>
        <w:bottom w:w="0" w:type="dxa"/>
        <w:right w:w="108" w:type="dxa"/>
      </w:tblCellMar>
    </w:tblPr>
    <w:tblStylePr w:type="firstRow">
      <w:rPr>
        <w:rFonts w:ascii="Arial" w:hAnsi="Arial"/>
        <w:b/>
        <w:color w:val="A0B7E1"/>
        <w:sz w:val="22"/>
      </w:rPr>
      <w:tcPr>
        <w:tcBorders>
          <w:top w:val="nil"/>
          <w:left w:val="nil"/>
          <w:bottom w:val="single" w:color="A0B7E1" w:sz="4" w:space="0"/>
          <w:right w:val="nil"/>
        </w:tcBorders>
        <w:shd w:val="clear" w:color="FFFFFF" w:fill="FFFFFF"/>
      </w:tcPr>
    </w:tblStylePr>
    <w:tblStylePr w:type="lastRow">
      <w:rPr>
        <w:rFonts w:ascii="Arial" w:hAnsi="Arial"/>
        <w:b/>
        <w:color w:val="A0B7E1"/>
        <w:sz w:val="22"/>
      </w:rPr>
      <w:tcPr>
        <w:tcBorders>
          <w:top w:val="single" w:color="A0B7E1" w:sz="4" w:space="0"/>
          <w:left w:val="nil"/>
          <w:bottom w:val="nil"/>
          <w:right w:val="nil"/>
        </w:tcBorders>
        <w:shd w:val="clear" w:color="FFFFFF" w:fill="FFFFFF"/>
      </w:tcPr>
    </w:tblStylePr>
    <w:tblStylePr w:type="firstCol">
      <w:pPr>
        <w:jc w:val="right"/>
      </w:pPr>
      <w:rPr>
        <w:rFonts w:ascii="Arial" w:hAnsi="Arial"/>
        <w:i/>
        <w:color w:val="A0B7E1"/>
        <w:sz w:val="22"/>
      </w:rPr>
      <w:tcPr>
        <w:tcBorders>
          <w:top w:val="nil"/>
          <w:left w:val="nil"/>
          <w:bottom w:val="nil"/>
          <w:right w:val="single" w:color="A0B7E1" w:sz="4" w:space="0"/>
        </w:tcBorders>
        <w:shd w:val="clear" w:color="FFFFFF" w:fill="auto"/>
      </w:tcPr>
    </w:tblStylePr>
    <w:tblStylePr w:type="lastCol">
      <w:rPr>
        <w:rFonts w:ascii="Arial" w:hAnsi="Arial"/>
        <w:i/>
        <w:color w:val="A0B7E1"/>
        <w:sz w:val="22"/>
      </w:rPr>
      <w:tcPr>
        <w:tcBorders>
          <w:top w:val="nil"/>
          <w:left w:val="single" w:color="A0B7E1" w:sz="4" w:space="0"/>
          <w:bottom w:val="nil"/>
          <w:right w:val="nil"/>
        </w:tcBorders>
        <w:shd w:val="clear" w:color="FFFFFF" w:fill="auto"/>
      </w:tcPr>
    </w:tblStylePr>
    <w:tblStylePr w:type="band1Vert">
      <w:tcPr>
        <w:shd w:val="clear" w:color="D8E2F3" w:fill="D8E2F3"/>
      </w:tcPr>
    </w:tblStylePr>
    <w:tblStylePr w:type="band1Horz">
      <w:rPr>
        <w:rFonts w:ascii="Arial" w:hAnsi="Arial"/>
        <w:color w:val="A0B7E1"/>
        <w:sz w:val="22"/>
      </w:rPr>
      <w:tcPr>
        <w:shd w:val="clear" w:color="D8E2F3" w:fill="D8E2F3"/>
      </w:tcPr>
    </w:tblStylePr>
    <w:tblStylePr w:type="band2Horz">
      <w:rPr>
        <w:rFonts w:ascii="Arial" w:hAnsi="Arial"/>
        <w:color w:val="A0B7E1"/>
        <w:sz w:val="22"/>
      </w:rPr>
    </w:tblStylePr>
  </w:style>
  <w:style w:type="table" w:customStyle="1" w:styleId="1951">
    <w:name w:val="Grid Table 7 Colorful - Accent 210"/>
    <w:basedOn w:val="13"/>
    <w:uiPriority w:val="99"/>
    <w:rPr>
      <w:sz w:val="22"/>
      <w:szCs w:val="22"/>
      <w:lang w:eastAsia="en-US"/>
    </w:rPr>
    <w:tblPr>
      <w:tblBorders>
        <w:bottom w:val="single" w:color="F4B184" w:sz="4" w:space="0"/>
        <w:right w:val="single" w:color="F4B184" w:sz="4" w:space="0"/>
        <w:insideH w:val="single" w:color="F4B184" w:sz="4" w:space="0"/>
        <w:insideV w:val="single" w:color="F4B184" w:sz="4" w:space="0"/>
      </w:tblBorders>
      <w:tblCellMar>
        <w:top w:w="0" w:type="dxa"/>
        <w:left w:w="108" w:type="dxa"/>
        <w:bottom w:w="0" w:type="dxa"/>
        <w:right w:w="108" w:type="dxa"/>
      </w:tblCellMar>
    </w:tblPr>
    <w:tblStylePr w:type="firstRow">
      <w:rPr>
        <w:rFonts w:ascii="Arial" w:hAnsi="Arial"/>
        <w:b/>
        <w:color w:val="F4B184"/>
        <w:sz w:val="22"/>
      </w:rPr>
      <w:tcPr>
        <w:tcBorders>
          <w:top w:val="nil"/>
          <w:left w:val="nil"/>
          <w:bottom w:val="single" w:color="F4B184" w:sz="4" w:space="0"/>
          <w:right w:val="nil"/>
        </w:tcBorders>
        <w:shd w:val="clear" w:color="FFFFFF" w:fill="FFFFFF"/>
      </w:tcPr>
    </w:tblStylePr>
    <w:tblStylePr w:type="lastRow">
      <w:rPr>
        <w:rFonts w:ascii="Arial" w:hAnsi="Arial"/>
        <w:b/>
        <w:color w:val="F4B184"/>
        <w:sz w:val="22"/>
      </w:rPr>
      <w:tcPr>
        <w:tcBorders>
          <w:top w:val="single" w:color="F4B184" w:sz="4" w:space="0"/>
          <w:left w:val="nil"/>
          <w:bottom w:val="nil"/>
          <w:right w:val="nil"/>
        </w:tcBorders>
        <w:shd w:val="clear" w:color="FFFFFF" w:fill="FFFFFF"/>
      </w:tcPr>
    </w:tblStylePr>
    <w:tblStylePr w:type="firstCol">
      <w:pPr>
        <w:jc w:val="right"/>
      </w:pPr>
      <w:rPr>
        <w:rFonts w:ascii="Arial" w:hAnsi="Arial"/>
        <w:i/>
        <w:color w:val="F4B184"/>
        <w:sz w:val="22"/>
      </w:rPr>
      <w:tcPr>
        <w:tcBorders>
          <w:top w:val="nil"/>
          <w:left w:val="nil"/>
          <w:bottom w:val="nil"/>
          <w:right w:val="single" w:color="F4B184" w:sz="4" w:space="0"/>
        </w:tcBorders>
        <w:shd w:val="clear" w:color="FFFFFF" w:fill="auto"/>
      </w:tcPr>
    </w:tblStylePr>
    <w:tblStylePr w:type="lastCol">
      <w:rPr>
        <w:rFonts w:ascii="Arial" w:hAnsi="Arial"/>
        <w:i/>
        <w:color w:val="F4B184"/>
        <w:sz w:val="22"/>
      </w:rPr>
      <w:tcPr>
        <w:tcBorders>
          <w:top w:val="nil"/>
          <w:left w:val="single" w:color="F4B184" w:sz="4" w:space="0"/>
          <w:bottom w:val="nil"/>
          <w:right w:val="nil"/>
        </w:tcBorders>
        <w:shd w:val="clear" w:color="FFFFFF" w:fill="auto"/>
      </w:tcPr>
    </w:tblStylePr>
    <w:tblStylePr w:type="band1Vert">
      <w:tcPr>
        <w:shd w:val="clear" w:color="FBE5D6" w:fill="FBE5D6"/>
      </w:tcPr>
    </w:tblStylePr>
    <w:tblStylePr w:type="band1Horz">
      <w:rPr>
        <w:rFonts w:ascii="Arial" w:hAnsi="Arial"/>
        <w:color w:val="F4B184"/>
        <w:sz w:val="22"/>
      </w:rPr>
      <w:tcPr>
        <w:shd w:val="clear" w:color="FBE5D6" w:fill="FBE5D6"/>
      </w:tcPr>
    </w:tblStylePr>
    <w:tblStylePr w:type="band2Horz">
      <w:rPr>
        <w:rFonts w:ascii="Arial" w:hAnsi="Arial"/>
        <w:color w:val="F4B184"/>
        <w:sz w:val="22"/>
      </w:rPr>
    </w:tblStylePr>
  </w:style>
  <w:style w:type="table" w:customStyle="1" w:styleId="1952">
    <w:name w:val="Grid Table 7 Colorful - Accent 310"/>
    <w:basedOn w:val="13"/>
    <w:uiPriority w:val="99"/>
    <w:rPr>
      <w:sz w:val="22"/>
      <w:szCs w:val="22"/>
      <w:lang w:eastAsia="en-US"/>
    </w:rPr>
    <w:tblPr>
      <w:tblBorders>
        <w:bottom w:val="single" w:color="A5A5A5" w:sz="4" w:space="0"/>
        <w:right w:val="single" w:color="A5A5A5" w:sz="4" w:space="0"/>
        <w:insideH w:val="single" w:color="A5A5A5" w:sz="4" w:space="0"/>
        <w:insideV w:val="single" w:color="A5A5A5" w:sz="4" w:space="0"/>
      </w:tblBorders>
      <w:tblCellMar>
        <w:top w:w="0" w:type="dxa"/>
        <w:left w:w="108" w:type="dxa"/>
        <w:bottom w:w="0" w:type="dxa"/>
        <w:right w:w="108" w:type="dxa"/>
      </w:tblCellMar>
    </w:tblPr>
    <w:tblStylePr w:type="firstRow">
      <w:rPr>
        <w:rFonts w:ascii="Arial" w:hAnsi="Arial"/>
        <w:b/>
        <w:color w:val="A5A5A5"/>
        <w:sz w:val="22"/>
      </w:rPr>
      <w:tcPr>
        <w:tcBorders>
          <w:top w:val="nil"/>
          <w:left w:val="nil"/>
          <w:bottom w:val="single" w:color="A5A5A5" w:sz="4" w:space="0"/>
          <w:right w:val="nil"/>
        </w:tcBorders>
        <w:shd w:val="clear" w:color="FFFFFF" w:fill="FFFFFF"/>
      </w:tcPr>
    </w:tblStylePr>
    <w:tblStylePr w:type="lastRow">
      <w:rPr>
        <w:rFonts w:ascii="Arial" w:hAnsi="Arial"/>
        <w:b/>
        <w:color w:val="A5A5A5"/>
        <w:sz w:val="22"/>
      </w:rPr>
      <w:tcPr>
        <w:tcBorders>
          <w:top w:val="single" w:color="A5A5A5" w:sz="4" w:space="0"/>
          <w:left w:val="nil"/>
          <w:bottom w:val="nil"/>
          <w:right w:val="nil"/>
        </w:tcBorders>
        <w:shd w:val="clear" w:color="FFFFFF" w:fill="FFFFFF"/>
      </w:tcPr>
    </w:tblStylePr>
    <w:tblStylePr w:type="firstCol">
      <w:pPr>
        <w:jc w:val="right"/>
      </w:pPr>
      <w:rPr>
        <w:rFonts w:ascii="Arial" w:hAnsi="Arial"/>
        <w:i/>
        <w:color w:val="A5A5A5"/>
        <w:sz w:val="22"/>
      </w:rPr>
      <w:tcPr>
        <w:tcBorders>
          <w:top w:val="nil"/>
          <w:left w:val="nil"/>
          <w:bottom w:val="nil"/>
          <w:right w:val="single" w:color="A5A5A5" w:sz="4" w:space="0"/>
        </w:tcBorders>
        <w:shd w:val="clear" w:color="FFFFFF" w:fill="auto"/>
      </w:tcPr>
    </w:tblStylePr>
    <w:tblStylePr w:type="lastCol">
      <w:rPr>
        <w:rFonts w:ascii="Arial" w:hAnsi="Arial"/>
        <w:i/>
        <w:color w:val="A5A5A5"/>
        <w:sz w:val="22"/>
      </w:rPr>
      <w:tcPr>
        <w:tcBorders>
          <w:top w:val="nil"/>
          <w:left w:val="single" w:color="A5A5A5" w:sz="4" w:space="0"/>
          <w:bottom w:val="nil"/>
          <w:right w:val="nil"/>
        </w:tcBorders>
        <w:shd w:val="clear" w:color="FFFFFF" w:fill="auto"/>
      </w:tcPr>
    </w:tblStylePr>
    <w:tblStylePr w:type="band1Vert">
      <w:tcPr>
        <w:shd w:val="clear" w:color="ECECEC" w:fill="ECECEC"/>
      </w:tcPr>
    </w:tblStylePr>
    <w:tblStylePr w:type="band1Horz">
      <w:rPr>
        <w:rFonts w:ascii="Arial" w:hAnsi="Arial"/>
        <w:color w:val="A5A5A5"/>
        <w:sz w:val="22"/>
      </w:rPr>
      <w:tcPr>
        <w:shd w:val="clear" w:color="ECECEC" w:fill="ECECEC"/>
      </w:tcPr>
    </w:tblStylePr>
    <w:tblStylePr w:type="band2Horz">
      <w:rPr>
        <w:rFonts w:ascii="Arial" w:hAnsi="Arial"/>
        <w:color w:val="A5A5A5"/>
        <w:sz w:val="22"/>
      </w:rPr>
    </w:tblStylePr>
  </w:style>
  <w:style w:type="table" w:customStyle="1" w:styleId="1953">
    <w:name w:val="Grid Table 7 Colorful - Accent 410"/>
    <w:basedOn w:val="13"/>
    <w:uiPriority w:val="99"/>
    <w:rPr>
      <w:sz w:val="22"/>
      <w:szCs w:val="22"/>
      <w:lang w:eastAsia="en-US"/>
    </w:rPr>
    <w:tblPr>
      <w:tblBorders>
        <w:bottom w:val="single" w:color="FFD865" w:sz="4" w:space="0"/>
        <w:right w:val="single" w:color="FFD865" w:sz="4" w:space="0"/>
        <w:insideH w:val="single" w:color="FFD865" w:sz="4" w:space="0"/>
        <w:insideV w:val="single" w:color="FFD865" w:sz="4" w:space="0"/>
      </w:tblBorders>
      <w:tblCellMar>
        <w:top w:w="0" w:type="dxa"/>
        <w:left w:w="108" w:type="dxa"/>
        <w:bottom w:w="0" w:type="dxa"/>
        <w:right w:w="108" w:type="dxa"/>
      </w:tblCellMar>
    </w:tblPr>
    <w:tblStylePr w:type="firstRow">
      <w:rPr>
        <w:rFonts w:ascii="Arial" w:hAnsi="Arial"/>
        <w:b/>
        <w:color w:val="FFD865"/>
        <w:sz w:val="22"/>
      </w:rPr>
      <w:tcPr>
        <w:tcBorders>
          <w:top w:val="nil"/>
          <w:left w:val="nil"/>
          <w:bottom w:val="single" w:color="FFD865" w:sz="4" w:space="0"/>
          <w:right w:val="nil"/>
        </w:tcBorders>
        <w:shd w:val="clear" w:color="FFFFFF" w:fill="FFFFFF"/>
      </w:tcPr>
    </w:tblStylePr>
    <w:tblStylePr w:type="lastRow">
      <w:rPr>
        <w:rFonts w:ascii="Arial" w:hAnsi="Arial"/>
        <w:b/>
        <w:color w:val="FFD865"/>
        <w:sz w:val="22"/>
      </w:rPr>
      <w:tcPr>
        <w:tcBorders>
          <w:top w:val="single" w:color="FFD865" w:sz="4" w:space="0"/>
          <w:left w:val="nil"/>
          <w:bottom w:val="nil"/>
          <w:right w:val="nil"/>
        </w:tcBorders>
        <w:shd w:val="clear" w:color="FFFFFF" w:fill="FFFFFF"/>
      </w:tcPr>
    </w:tblStylePr>
    <w:tblStylePr w:type="firstCol">
      <w:pPr>
        <w:jc w:val="right"/>
      </w:pPr>
      <w:rPr>
        <w:rFonts w:ascii="Arial" w:hAnsi="Arial"/>
        <w:i/>
        <w:color w:val="FFD865"/>
        <w:sz w:val="22"/>
      </w:rPr>
      <w:tcPr>
        <w:tcBorders>
          <w:top w:val="nil"/>
          <w:left w:val="nil"/>
          <w:bottom w:val="nil"/>
          <w:right w:val="single" w:color="FFD865" w:sz="4" w:space="0"/>
        </w:tcBorders>
        <w:shd w:val="clear" w:color="FFFFFF" w:fill="auto"/>
      </w:tcPr>
    </w:tblStylePr>
    <w:tblStylePr w:type="lastCol">
      <w:rPr>
        <w:rFonts w:ascii="Arial" w:hAnsi="Arial"/>
        <w:i/>
        <w:color w:val="FFD865"/>
        <w:sz w:val="22"/>
      </w:rPr>
      <w:tcPr>
        <w:tcBorders>
          <w:top w:val="nil"/>
          <w:left w:val="single" w:color="FFD865" w:sz="4" w:space="0"/>
          <w:bottom w:val="nil"/>
          <w:right w:val="nil"/>
        </w:tcBorders>
        <w:shd w:val="clear" w:color="FFFFFF" w:fill="auto"/>
      </w:tcPr>
    </w:tblStylePr>
    <w:tblStylePr w:type="band1Vert">
      <w:tcPr>
        <w:shd w:val="clear" w:color="FFF2CB" w:fill="FFF2CB"/>
      </w:tcPr>
    </w:tblStylePr>
    <w:tblStylePr w:type="band1Horz">
      <w:rPr>
        <w:rFonts w:ascii="Arial" w:hAnsi="Arial"/>
        <w:color w:val="FFD865"/>
        <w:sz w:val="22"/>
      </w:rPr>
      <w:tcPr>
        <w:shd w:val="clear" w:color="FFF2CB" w:fill="FFF2CB"/>
      </w:tcPr>
    </w:tblStylePr>
    <w:tblStylePr w:type="band2Horz">
      <w:rPr>
        <w:rFonts w:ascii="Arial" w:hAnsi="Arial"/>
        <w:color w:val="FFD865"/>
        <w:sz w:val="22"/>
      </w:rPr>
    </w:tblStylePr>
  </w:style>
  <w:style w:type="table" w:customStyle="1" w:styleId="1954">
    <w:name w:val="Grid Table 7 Colorful - Accent 510"/>
    <w:basedOn w:val="13"/>
    <w:uiPriority w:val="99"/>
    <w:rPr>
      <w:sz w:val="22"/>
      <w:szCs w:val="22"/>
      <w:lang w:eastAsia="en-US"/>
    </w:rPr>
    <w:tblPr>
      <w:tblBorders>
        <w:bottom w:val="single" w:color="A2C6E7" w:sz="4" w:space="0"/>
        <w:right w:val="single" w:color="A2C6E7" w:sz="4" w:space="0"/>
        <w:insideH w:val="single" w:color="A2C6E7" w:sz="4" w:space="0"/>
        <w:insideV w:val="single" w:color="A2C6E7" w:sz="4" w:space="0"/>
      </w:tblBorders>
      <w:tblCellMar>
        <w:top w:w="0" w:type="dxa"/>
        <w:left w:w="108" w:type="dxa"/>
        <w:bottom w:w="0" w:type="dxa"/>
        <w:right w:w="108" w:type="dxa"/>
      </w:tblCellMar>
    </w:tblPr>
    <w:tblStylePr w:type="firstRow">
      <w:rPr>
        <w:rFonts w:ascii="Arial" w:hAnsi="Arial"/>
        <w:b/>
        <w:color w:val="245A8D"/>
        <w:sz w:val="22"/>
      </w:rPr>
      <w:tcPr>
        <w:tcBorders>
          <w:top w:val="nil"/>
          <w:left w:val="nil"/>
          <w:bottom w:val="single" w:color="A2C6E7" w:sz="4" w:space="0"/>
          <w:right w:val="nil"/>
        </w:tcBorders>
        <w:shd w:val="clear" w:color="FFFFFF" w:fill="FFFFFF"/>
      </w:tcPr>
    </w:tblStylePr>
    <w:tblStylePr w:type="lastRow">
      <w:rPr>
        <w:rFonts w:ascii="Arial" w:hAnsi="Arial"/>
        <w:b/>
        <w:color w:val="245A8D"/>
        <w:sz w:val="22"/>
      </w:rPr>
      <w:tcPr>
        <w:tcBorders>
          <w:top w:val="single" w:color="A2C6E7" w:sz="4" w:space="0"/>
          <w:left w:val="nil"/>
          <w:bottom w:val="nil"/>
          <w:right w:val="nil"/>
        </w:tcBorders>
        <w:shd w:val="clear" w:color="FFFFFF" w:fill="FFFFFF"/>
      </w:tcPr>
    </w:tblStylePr>
    <w:tblStylePr w:type="firstCol">
      <w:pPr>
        <w:jc w:val="right"/>
      </w:pPr>
      <w:rPr>
        <w:rFonts w:ascii="Arial" w:hAnsi="Arial"/>
        <w:i/>
        <w:color w:val="245A8D"/>
        <w:sz w:val="22"/>
      </w:rPr>
      <w:tcPr>
        <w:tcBorders>
          <w:top w:val="nil"/>
          <w:left w:val="nil"/>
          <w:bottom w:val="nil"/>
          <w:right w:val="single" w:color="A2C6E7" w:sz="4" w:space="0"/>
        </w:tcBorders>
        <w:shd w:val="clear" w:color="FFFFFF" w:fill="auto"/>
      </w:tcPr>
    </w:tblStylePr>
    <w:tblStylePr w:type="lastCol">
      <w:rPr>
        <w:rFonts w:ascii="Arial" w:hAnsi="Arial"/>
        <w:i/>
        <w:color w:val="245A8D"/>
        <w:sz w:val="22"/>
      </w:rPr>
      <w:tcPr>
        <w:tcBorders>
          <w:top w:val="nil"/>
          <w:left w:val="single" w:color="A2C6E7" w:sz="4" w:space="0"/>
          <w:bottom w:val="nil"/>
          <w:right w:val="nil"/>
        </w:tcBorders>
        <w:shd w:val="clear" w:color="FFFFFF" w:fill="auto"/>
      </w:tcPr>
    </w:tblStylePr>
    <w:tblStylePr w:type="band1Vert">
      <w:tcPr>
        <w:shd w:val="clear" w:color="DDEAF6" w:fill="DDEAF6"/>
      </w:tcPr>
    </w:tblStylePr>
    <w:tblStylePr w:type="band1Horz">
      <w:rPr>
        <w:rFonts w:ascii="Arial" w:hAnsi="Arial"/>
        <w:color w:val="245A8D"/>
        <w:sz w:val="22"/>
      </w:rPr>
      <w:tcPr>
        <w:shd w:val="clear" w:color="DDEAF6" w:fill="DDEAF6"/>
      </w:tcPr>
    </w:tblStylePr>
    <w:tblStylePr w:type="band2Horz">
      <w:rPr>
        <w:rFonts w:ascii="Arial" w:hAnsi="Arial"/>
        <w:color w:val="245A8D"/>
        <w:sz w:val="22"/>
      </w:rPr>
    </w:tblStylePr>
  </w:style>
  <w:style w:type="table" w:customStyle="1" w:styleId="1955">
    <w:name w:val="Grid Table 7 Colorful - Accent 610"/>
    <w:basedOn w:val="13"/>
    <w:uiPriority w:val="99"/>
    <w:rPr>
      <w:sz w:val="22"/>
      <w:szCs w:val="22"/>
      <w:lang w:eastAsia="en-US"/>
    </w:rPr>
    <w:tblPr>
      <w:tblBorders>
        <w:bottom w:val="single" w:color="ADD394" w:sz="4" w:space="0"/>
        <w:right w:val="single" w:color="ADD394" w:sz="4" w:space="0"/>
        <w:insideH w:val="single" w:color="ADD394" w:sz="4" w:space="0"/>
        <w:insideV w:val="single" w:color="ADD394" w:sz="4" w:space="0"/>
      </w:tblBorders>
      <w:tblCellMar>
        <w:top w:w="0" w:type="dxa"/>
        <w:left w:w="108" w:type="dxa"/>
        <w:bottom w:w="0" w:type="dxa"/>
        <w:right w:w="108" w:type="dxa"/>
      </w:tblCellMar>
    </w:tblPr>
    <w:tblStylePr w:type="firstRow">
      <w:rPr>
        <w:rFonts w:ascii="Arial" w:hAnsi="Arial"/>
        <w:b/>
        <w:color w:val="416429"/>
        <w:sz w:val="22"/>
      </w:rPr>
      <w:tcPr>
        <w:tcBorders>
          <w:top w:val="nil"/>
          <w:left w:val="nil"/>
          <w:bottom w:val="single" w:color="ADD394" w:sz="4" w:space="0"/>
          <w:right w:val="nil"/>
        </w:tcBorders>
        <w:shd w:val="clear" w:color="FFFFFF" w:fill="FFFFFF"/>
      </w:tcPr>
    </w:tblStylePr>
    <w:tblStylePr w:type="lastRow">
      <w:rPr>
        <w:rFonts w:ascii="Arial" w:hAnsi="Arial"/>
        <w:b/>
        <w:color w:val="416429"/>
        <w:sz w:val="22"/>
      </w:rPr>
      <w:tcPr>
        <w:tcBorders>
          <w:top w:val="single" w:color="ADD394" w:sz="4" w:space="0"/>
          <w:left w:val="nil"/>
          <w:bottom w:val="nil"/>
          <w:right w:val="nil"/>
        </w:tcBorders>
        <w:shd w:val="clear" w:color="FFFFFF" w:fill="FFFFFF"/>
      </w:tcPr>
    </w:tblStylePr>
    <w:tblStylePr w:type="firstCol">
      <w:pPr>
        <w:jc w:val="right"/>
      </w:pPr>
      <w:rPr>
        <w:rFonts w:ascii="Arial" w:hAnsi="Arial"/>
        <w:i/>
        <w:color w:val="416429"/>
        <w:sz w:val="22"/>
      </w:rPr>
      <w:tcPr>
        <w:tcBorders>
          <w:top w:val="nil"/>
          <w:left w:val="nil"/>
          <w:bottom w:val="nil"/>
          <w:right w:val="single" w:color="ADD394" w:sz="4" w:space="0"/>
        </w:tcBorders>
        <w:shd w:val="clear" w:color="FFFFFF" w:fill="auto"/>
      </w:tcPr>
    </w:tblStylePr>
    <w:tblStylePr w:type="lastCol">
      <w:rPr>
        <w:rFonts w:ascii="Arial" w:hAnsi="Arial"/>
        <w:i/>
        <w:color w:val="416429"/>
        <w:sz w:val="22"/>
      </w:rPr>
      <w:tcPr>
        <w:tcBorders>
          <w:top w:val="nil"/>
          <w:left w:val="single" w:color="ADD394" w:sz="4" w:space="0"/>
          <w:bottom w:val="nil"/>
          <w:right w:val="nil"/>
        </w:tcBorders>
        <w:shd w:val="clear" w:color="FFFFFF" w:fill="auto"/>
      </w:tcPr>
    </w:tblStylePr>
    <w:tblStylePr w:type="band1Vert">
      <w:tcPr>
        <w:shd w:val="clear" w:color="E1EFD8" w:fill="E1EFD8"/>
      </w:tcPr>
    </w:tblStylePr>
    <w:tblStylePr w:type="band1Horz">
      <w:rPr>
        <w:rFonts w:ascii="Arial" w:hAnsi="Arial"/>
        <w:color w:val="416429"/>
        <w:sz w:val="22"/>
      </w:rPr>
      <w:tcPr>
        <w:shd w:val="clear" w:color="E1EFD8" w:fill="E1EFD8"/>
      </w:tcPr>
    </w:tblStylePr>
    <w:tblStylePr w:type="band2Horz">
      <w:rPr>
        <w:rFonts w:ascii="Arial" w:hAnsi="Arial"/>
        <w:color w:val="416429"/>
        <w:sz w:val="22"/>
      </w:rPr>
    </w:tblStylePr>
  </w:style>
  <w:style w:type="table" w:customStyle="1" w:styleId="1956">
    <w:name w:val="Список-таблица 1 светлая18"/>
    <w:basedOn w:val="13"/>
    <w:uiPriority w:val="99"/>
    <w:rPr>
      <w:sz w:val="22"/>
      <w:szCs w:val="22"/>
      <w:lang w:eastAsia="en-US"/>
    </w:rPr>
    <w:tblPr>
      <w:tblCellMar>
        <w:top w:w="0" w:type="dxa"/>
        <w:left w:w="108" w:type="dxa"/>
        <w:bottom w:w="0" w:type="dxa"/>
        <w:right w:w="108" w:type="dxa"/>
      </w:tblCellMar>
    </w:tblPr>
    <w:tblStylePr w:type="firstRow">
      <w:rPr>
        <w:b/>
        <w:color w:val="404040"/>
      </w:rPr>
      <w:tcPr>
        <w:tcBorders>
          <w:top w:val="nil"/>
          <w:left w:val="nil"/>
          <w:bottom w:val="single" w:color="000000" w:sz="4" w:space="0"/>
          <w:right w:val="nil"/>
        </w:tcBorders>
      </w:tcPr>
    </w:tblStylePr>
    <w:tblStylePr w:type="lastRow">
      <w:rPr>
        <w:b/>
        <w:color w:val="404040"/>
      </w:rPr>
      <w:tcPr>
        <w:tcBorders>
          <w:top w:val="single" w:color="000000" w:sz="4" w:space="0"/>
          <w:left w:val="nil"/>
          <w:bottom w:val="nil"/>
          <w:right w:val="nil"/>
        </w:tcBorders>
      </w:tcPr>
    </w:tblStylePr>
    <w:tblStylePr w:type="firstCol">
      <w:rPr>
        <w:b/>
        <w:color w:val="404040"/>
      </w:rPr>
    </w:tblStylePr>
    <w:tblStylePr w:type="lastCol">
      <w:rPr>
        <w:b/>
        <w:color w:val="404040"/>
      </w:rPr>
    </w:tblStylePr>
    <w:tblStylePr w:type="band1Vert">
      <w:tcPr>
        <w:shd w:val="clear" w:color="BFBFBF" w:fill="BFBFBF"/>
      </w:tcPr>
    </w:tblStylePr>
    <w:tblStylePr w:type="band1Horz">
      <w:tcPr>
        <w:shd w:val="clear" w:color="BFBFBF" w:fill="BFBFBF"/>
      </w:tcPr>
    </w:tblStylePr>
  </w:style>
  <w:style w:type="table" w:customStyle="1" w:styleId="1957">
    <w:name w:val="List Table 1 Light - Accent 110"/>
    <w:basedOn w:val="13"/>
    <w:uiPriority w:val="99"/>
    <w:rPr>
      <w:sz w:val="22"/>
      <w:szCs w:val="22"/>
      <w:lang w:eastAsia="en-US"/>
    </w:rPr>
    <w:tblPr>
      <w:tblCellMar>
        <w:top w:w="0" w:type="dxa"/>
        <w:left w:w="108" w:type="dxa"/>
        <w:bottom w:w="0" w:type="dxa"/>
        <w:right w:w="108" w:type="dxa"/>
      </w:tblCellMar>
    </w:tblPr>
    <w:tblStylePr w:type="firstRow">
      <w:rPr>
        <w:b/>
        <w:color w:val="404040"/>
      </w:rPr>
      <w:tcPr>
        <w:tcBorders>
          <w:top w:val="nil"/>
          <w:left w:val="nil"/>
          <w:bottom w:val="single" w:color="4472C4" w:sz="4" w:space="0"/>
          <w:right w:val="nil"/>
        </w:tcBorders>
      </w:tcPr>
    </w:tblStylePr>
    <w:tblStylePr w:type="lastRow">
      <w:rPr>
        <w:b/>
        <w:color w:val="404040"/>
      </w:rPr>
      <w:tcPr>
        <w:tcBorders>
          <w:top w:val="single" w:color="4472C4" w:sz="4" w:space="0"/>
          <w:left w:val="nil"/>
          <w:bottom w:val="nil"/>
          <w:right w:val="nil"/>
        </w:tcBorders>
      </w:tcPr>
    </w:tblStylePr>
    <w:tblStylePr w:type="firstCol">
      <w:rPr>
        <w:b/>
        <w:color w:val="404040"/>
      </w:rPr>
    </w:tblStylePr>
    <w:tblStylePr w:type="lastCol">
      <w:rPr>
        <w:b/>
        <w:color w:val="404040"/>
      </w:rPr>
    </w:tblStylePr>
    <w:tblStylePr w:type="band1Vert">
      <w:tcPr>
        <w:shd w:val="clear" w:color="CFDBF0" w:fill="CFDBF0"/>
      </w:tcPr>
    </w:tblStylePr>
    <w:tblStylePr w:type="band1Horz">
      <w:tcPr>
        <w:shd w:val="clear" w:color="CFDBF0" w:fill="CFDBF0"/>
      </w:tcPr>
    </w:tblStylePr>
  </w:style>
  <w:style w:type="table" w:customStyle="1" w:styleId="1958">
    <w:name w:val="List Table 1 Light - Accent 210"/>
    <w:basedOn w:val="13"/>
    <w:uiPriority w:val="99"/>
    <w:rPr>
      <w:sz w:val="22"/>
      <w:szCs w:val="22"/>
      <w:lang w:eastAsia="en-US"/>
    </w:rPr>
    <w:tblPr>
      <w:tblCellMar>
        <w:top w:w="0" w:type="dxa"/>
        <w:left w:w="108" w:type="dxa"/>
        <w:bottom w:w="0" w:type="dxa"/>
        <w:right w:w="108" w:type="dxa"/>
      </w:tblCellMar>
    </w:tblPr>
    <w:tblStylePr w:type="firstRow">
      <w:rPr>
        <w:b/>
        <w:color w:val="404040"/>
      </w:rPr>
      <w:tcPr>
        <w:tcBorders>
          <w:top w:val="nil"/>
          <w:left w:val="nil"/>
          <w:bottom w:val="single" w:color="ED7D31" w:sz="4" w:space="0"/>
          <w:right w:val="nil"/>
        </w:tcBorders>
      </w:tcPr>
    </w:tblStylePr>
    <w:tblStylePr w:type="lastRow">
      <w:rPr>
        <w:b/>
        <w:color w:val="404040"/>
      </w:rPr>
      <w:tcPr>
        <w:tcBorders>
          <w:top w:val="single" w:color="ED7D31" w:sz="4" w:space="0"/>
          <w:left w:val="nil"/>
          <w:bottom w:val="nil"/>
          <w:right w:val="nil"/>
        </w:tcBorders>
      </w:tcPr>
    </w:tblStylePr>
    <w:tblStylePr w:type="firstCol">
      <w:rPr>
        <w:b/>
        <w:color w:val="404040"/>
      </w:rPr>
    </w:tblStylePr>
    <w:tblStylePr w:type="lastCol">
      <w:rPr>
        <w:b/>
        <w:color w:val="404040"/>
      </w:rPr>
    </w:tblStylePr>
    <w:tblStylePr w:type="band1Vert">
      <w:tcPr>
        <w:shd w:val="clear" w:color="FADECB" w:fill="FADECB"/>
      </w:tcPr>
    </w:tblStylePr>
    <w:tblStylePr w:type="band1Horz">
      <w:tcPr>
        <w:shd w:val="clear" w:color="FADECB" w:fill="FADECB"/>
      </w:tcPr>
    </w:tblStylePr>
  </w:style>
  <w:style w:type="table" w:customStyle="1" w:styleId="1959">
    <w:name w:val="List Table 1 Light - Accent 310"/>
    <w:basedOn w:val="13"/>
    <w:uiPriority w:val="99"/>
    <w:rPr>
      <w:sz w:val="22"/>
      <w:szCs w:val="22"/>
      <w:lang w:eastAsia="en-US"/>
    </w:rPr>
    <w:tblPr>
      <w:tblCellMar>
        <w:top w:w="0" w:type="dxa"/>
        <w:left w:w="108" w:type="dxa"/>
        <w:bottom w:w="0" w:type="dxa"/>
        <w:right w:w="108" w:type="dxa"/>
      </w:tblCellMar>
    </w:tblPr>
    <w:tblStylePr w:type="firstRow">
      <w:rPr>
        <w:b/>
        <w:color w:val="404040"/>
      </w:rPr>
      <w:tcPr>
        <w:tcBorders>
          <w:top w:val="nil"/>
          <w:left w:val="nil"/>
          <w:bottom w:val="single" w:color="A5A5A5" w:sz="4" w:space="0"/>
          <w:right w:val="nil"/>
        </w:tcBorders>
      </w:tcPr>
    </w:tblStylePr>
    <w:tblStylePr w:type="lastRow">
      <w:rPr>
        <w:b/>
        <w:color w:val="404040"/>
      </w:rPr>
      <w:tcPr>
        <w:tcBorders>
          <w:top w:val="single" w:color="A5A5A5" w:sz="4" w:space="0"/>
          <w:left w:val="nil"/>
          <w:bottom w:val="nil"/>
          <w:right w:val="nil"/>
        </w:tcBorders>
      </w:tcPr>
    </w:tblStylePr>
    <w:tblStylePr w:type="firstCol">
      <w:rPr>
        <w:b/>
        <w:color w:val="404040"/>
      </w:rPr>
    </w:tblStylePr>
    <w:tblStylePr w:type="lastCol">
      <w:rPr>
        <w:b/>
        <w:color w:val="404040"/>
      </w:rPr>
    </w:tblStylePr>
    <w:tblStylePr w:type="band1Vert">
      <w:tcPr>
        <w:shd w:val="clear" w:color="E8E8E8" w:fill="E8E8E8"/>
      </w:tcPr>
    </w:tblStylePr>
    <w:tblStylePr w:type="band1Horz">
      <w:tcPr>
        <w:shd w:val="clear" w:color="E8E8E8" w:fill="E8E8E8"/>
      </w:tcPr>
    </w:tblStylePr>
  </w:style>
  <w:style w:type="table" w:customStyle="1" w:styleId="1960">
    <w:name w:val="List Table 1 Light - Accent 410"/>
    <w:basedOn w:val="13"/>
    <w:uiPriority w:val="99"/>
    <w:rPr>
      <w:sz w:val="22"/>
      <w:szCs w:val="22"/>
      <w:lang w:eastAsia="en-US"/>
    </w:rPr>
    <w:tblPr>
      <w:tblCellMar>
        <w:top w:w="0" w:type="dxa"/>
        <w:left w:w="108" w:type="dxa"/>
        <w:bottom w:w="0" w:type="dxa"/>
        <w:right w:w="108" w:type="dxa"/>
      </w:tblCellMar>
    </w:tblPr>
    <w:tblStylePr w:type="firstRow">
      <w:rPr>
        <w:b/>
        <w:color w:val="404040"/>
      </w:rPr>
      <w:tcPr>
        <w:tcBorders>
          <w:top w:val="nil"/>
          <w:left w:val="nil"/>
          <w:bottom w:val="single" w:color="FFC000" w:sz="4" w:space="0"/>
          <w:right w:val="nil"/>
        </w:tcBorders>
      </w:tcPr>
    </w:tblStylePr>
    <w:tblStylePr w:type="lastRow">
      <w:rPr>
        <w:b/>
        <w:color w:val="404040"/>
      </w:rPr>
      <w:tcPr>
        <w:tcBorders>
          <w:top w:val="single" w:color="FFC000" w:sz="4" w:space="0"/>
          <w:left w:val="nil"/>
          <w:bottom w:val="nil"/>
          <w:right w:val="nil"/>
        </w:tcBorders>
      </w:tcPr>
    </w:tblStylePr>
    <w:tblStylePr w:type="firstCol">
      <w:rPr>
        <w:b/>
        <w:color w:val="404040"/>
      </w:rPr>
    </w:tblStylePr>
    <w:tblStylePr w:type="lastCol">
      <w:rPr>
        <w:b/>
        <w:color w:val="404040"/>
      </w:rPr>
    </w:tblStylePr>
    <w:tblStylePr w:type="band1Vert">
      <w:tcPr>
        <w:shd w:val="clear" w:color="FFEFBF" w:fill="FFEFBF"/>
      </w:tcPr>
    </w:tblStylePr>
    <w:tblStylePr w:type="band1Horz">
      <w:tcPr>
        <w:shd w:val="clear" w:color="FFEFBF" w:fill="FFEFBF"/>
      </w:tcPr>
    </w:tblStylePr>
  </w:style>
  <w:style w:type="table" w:customStyle="1" w:styleId="1961">
    <w:name w:val="List Table 1 Light - Accent 510"/>
    <w:basedOn w:val="13"/>
    <w:uiPriority w:val="99"/>
    <w:rPr>
      <w:sz w:val="22"/>
      <w:szCs w:val="22"/>
      <w:lang w:eastAsia="en-US"/>
    </w:rPr>
    <w:tblPr>
      <w:tblCellMar>
        <w:top w:w="0" w:type="dxa"/>
        <w:left w:w="108" w:type="dxa"/>
        <w:bottom w:w="0" w:type="dxa"/>
        <w:right w:w="108" w:type="dxa"/>
      </w:tblCellMar>
    </w:tblPr>
    <w:tblStylePr w:type="firstRow">
      <w:rPr>
        <w:b/>
        <w:color w:val="404040"/>
      </w:rPr>
      <w:tcPr>
        <w:tcBorders>
          <w:top w:val="nil"/>
          <w:left w:val="nil"/>
          <w:bottom w:val="single" w:color="5B9BD5" w:sz="4" w:space="0"/>
          <w:right w:val="nil"/>
        </w:tcBorders>
      </w:tcPr>
    </w:tblStylePr>
    <w:tblStylePr w:type="lastRow">
      <w:rPr>
        <w:b/>
        <w:color w:val="404040"/>
      </w:rPr>
      <w:tcPr>
        <w:tcBorders>
          <w:top w:val="single" w:color="5B9BD5" w:sz="4" w:space="0"/>
          <w:left w:val="nil"/>
          <w:bottom w:val="nil"/>
          <w:right w:val="nil"/>
        </w:tcBorders>
      </w:tcPr>
    </w:tblStylePr>
    <w:tblStylePr w:type="firstCol">
      <w:rPr>
        <w:b/>
        <w:color w:val="404040"/>
      </w:rPr>
    </w:tblStylePr>
    <w:tblStylePr w:type="lastCol">
      <w:rPr>
        <w:b/>
        <w:color w:val="404040"/>
      </w:rPr>
    </w:tblStylePr>
    <w:tblStylePr w:type="band1Vert">
      <w:tcPr>
        <w:shd w:val="clear" w:color="D5E5F4" w:fill="D5E5F4"/>
      </w:tcPr>
    </w:tblStylePr>
    <w:tblStylePr w:type="band1Horz">
      <w:tcPr>
        <w:shd w:val="clear" w:color="D5E5F4" w:fill="D5E5F4"/>
      </w:tcPr>
    </w:tblStylePr>
  </w:style>
  <w:style w:type="table" w:customStyle="1" w:styleId="1962">
    <w:name w:val="List Table 1 Light - Accent 610"/>
    <w:basedOn w:val="13"/>
    <w:uiPriority w:val="99"/>
    <w:rPr>
      <w:sz w:val="22"/>
      <w:szCs w:val="22"/>
      <w:lang w:eastAsia="en-US"/>
    </w:rPr>
    <w:tblPr>
      <w:tblCellMar>
        <w:top w:w="0" w:type="dxa"/>
        <w:left w:w="108" w:type="dxa"/>
        <w:bottom w:w="0" w:type="dxa"/>
        <w:right w:w="108" w:type="dxa"/>
      </w:tblCellMar>
    </w:tblPr>
    <w:tblStylePr w:type="firstRow">
      <w:rPr>
        <w:b/>
        <w:color w:val="404040"/>
      </w:rPr>
      <w:tcPr>
        <w:tcBorders>
          <w:top w:val="nil"/>
          <w:left w:val="nil"/>
          <w:bottom w:val="single" w:color="70AD47" w:sz="4" w:space="0"/>
          <w:right w:val="nil"/>
        </w:tcBorders>
      </w:tcPr>
    </w:tblStylePr>
    <w:tblStylePr w:type="lastRow">
      <w:rPr>
        <w:b/>
        <w:color w:val="404040"/>
      </w:rPr>
      <w:tcPr>
        <w:tcBorders>
          <w:top w:val="single" w:color="70AD47" w:sz="4" w:space="0"/>
          <w:left w:val="nil"/>
          <w:bottom w:val="nil"/>
          <w:right w:val="nil"/>
        </w:tcBorders>
      </w:tcPr>
    </w:tblStylePr>
    <w:tblStylePr w:type="firstCol">
      <w:rPr>
        <w:b/>
        <w:color w:val="404040"/>
      </w:rPr>
    </w:tblStylePr>
    <w:tblStylePr w:type="lastCol">
      <w:rPr>
        <w:b/>
        <w:color w:val="404040"/>
      </w:rPr>
    </w:tblStylePr>
    <w:tblStylePr w:type="band1Vert">
      <w:tcPr>
        <w:shd w:val="clear" w:color="DAEBCF" w:fill="DAEBCF"/>
      </w:tcPr>
    </w:tblStylePr>
    <w:tblStylePr w:type="band1Horz">
      <w:tcPr>
        <w:shd w:val="clear" w:color="DAEBCF" w:fill="DAEBCF"/>
      </w:tcPr>
    </w:tblStylePr>
  </w:style>
  <w:style w:type="table" w:customStyle="1" w:styleId="1963">
    <w:name w:val="Список-таблица 218"/>
    <w:basedOn w:val="13"/>
    <w:uiPriority w:val="99"/>
    <w:rPr>
      <w:sz w:val="22"/>
      <w:szCs w:val="22"/>
      <w:lang w:eastAsia="en-US"/>
    </w:rPr>
    <w:tblPr>
      <w:tblBorders>
        <w:top w:val="single" w:color="6F6F6F" w:sz="4" w:space="0"/>
        <w:bottom w:val="single" w:color="6F6F6F" w:sz="4" w:space="0"/>
        <w:insideH w:val="single" w:color="6F6F6F" w:sz="4" w:space="0"/>
      </w:tblBorders>
      <w:tblCellMar>
        <w:top w:w="0" w:type="dxa"/>
        <w:left w:w="108" w:type="dxa"/>
        <w:bottom w:w="0" w:type="dxa"/>
        <w:right w:w="108" w:type="dxa"/>
      </w:tblCellMar>
    </w:tblPr>
    <w:tblStylePr w:type="firstRow">
      <w:rPr>
        <w:rFonts w:ascii="Arial" w:hAnsi="Arial"/>
        <w:b/>
        <w:color w:val="404040"/>
        <w:sz w:val="22"/>
      </w:rPr>
      <w:tcPr>
        <w:tcBorders>
          <w:top w:val="single" w:color="6F6F6F" w:sz="4" w:space="0"/>
          <w:left w:val="nil"/>
          <w:bottom w:val="single" w:color="6F6F6F" w:sz="4" w:space="0"/>
          <w:right w:val="nil"/>
        </w:tcBorders>
      </w:tcPr>
    </w:tblStylePr>
    <w:tblStylePr w:type="lastRow">
      <w:rPr>
        <w:rFonts w:ascii="Arial" w:hAnsi="Arial"/>
        <w:b/>
        <w:color w:val="404040"/>
        <w:sz w:val="22"/>
      </w:rPr>
      <w:tcPr>
        <w:tcBorders>
          <w:top w:val="single" w:color="6F6F6F" w:sz="4" w:space="0"/>
          <w:left w:val="nil"/>
          <w:bottom w:val="single" w:color="6F6F6F"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BFBFBF" w:fill="BFBFBF"/>
      </w:tcPr>
    </w:tblStylePr>
    <w:tblStylePr w:type="band1Horz">
      <w:rPr>
        <w:rFonts w:ascii="Arial" w:hAnsi="Arial"/>
        <w:color w:val="404040"/>
        <w:sz w:val="22"/>
      </w:rPr>
      <w:tcPr>
        <w:shd w:val="clear" w:color="BFBFBF" w:fill="BFBFBF"/>
      </w:tcPr>
    </w:tblStylePr>
  </w:style>
  <w:style w:type="table" w:customStyle="1" w:styleId="1964">
    <w:name w:val="List Table 2 - Accent 110"/>
    <w:basedOn w:val="13"/>
    <w:uiPriority w:val="99"/>
    <w:rPr>
      <w:sz w:val="22"/>
      <w:szCs w:val="22"/>
      <w:lang w:eastAsia="en-US"/>
    </w:rPr>
    <w:tblPr>
      <w:tblBorders>
        <w:top w:val="single" w:color="95AFDD" w:sz="4" w:space="0"/>
        <w:bottom w:val="single" w:color="95AFDD" w:sz="4" w:space="0"/>
        <w:insideH w:val="single" w:color="95AFDD" w:sz="4" w:space="0"/>
      </w:tblBorders>
      <w:tblCellMar>
        <w:top w:w="0" w:type="dxa"/>
        <w:left w:w="108" w:type="dxa"/>
        <w:bottom w:w="0" w:type="dxa"/>
        <w:right w:w="108" w:type="dxa"/>
      </w:tblCellMar>
    </w:tblPr>
    <w:tblStylePr w:type="firstRow">
      <w:rPr>
        <w:rFonts w:ascii="Arial" w:hAnsi="Arial"/>
        <w:b/>
        <w:color w:val="404040"/>
        <w:sz w:val="22"/>
      </w:rPr>
      <w:tcPr>
        <w:tcBorders>
          <w:top w:val="single" w:color="95AFDD" w:sz="4" w:space="0"/>
          <w:left w:val="nil"/>
          <w:bottom w:val="single" w:color="95AFDD" w:sz="4" w:space="0"/>
          <w:right w:val="nil"/>
        </w:tcBorders>
      </w:tcPr>
    </w:tblStylePr>
    <w:tblStylePr w:type="lastRow">
      <w:rPr>
        <w:rFonts w:ascii="Arial" w:hAnsi="Arial"/>
        <w:b/>
        <w:color w:val="404040"/>
        <w:sz w:val="22"/>
      </w:rPr>
      <w:tcPr>
        <w:tcBorders>
          <w:top w:val="single" w:color="95AFDD" w:sz="4" w:space="0"/>
          <w:left w:val="nil"/>
          <w:bottom w:val="single" w:color="95AFDD"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CFDBF0" w:fill="CFDBF0"/>
      </w:tcPr>
    </w:tblStylePr>
    <w:tblStylePr w:type="band1Horz">
      <w:rPr>
        <w:rFonts w:ascii="Arial" w:hAnsi="Arial"/>
        <w:color w:val="404040"/>
        <w:sz w:val="22"/>
      </w:rPr>
      <w:tcPr>
        <w:shd w:val="clear" w:color="CFDBF0" w:fill="CFDBF0"/>
      </w:tcPr>
    </w:tblStylePr>
  </w:style>
  <w:style w:type="table" w:customStyle="1" w:styleId="1965">
    <w:name w:val="List Table 2 - Accent 210"/>
    <w:basedOn w:val="13"/>
    <w:uiPriority w:val="99"/>
    <w:rPr>
      <w:sz w:val="22"/>
      <w:szCs w:val="22"/>
      <w:lang w:eastAsia="en-US"/>
    </w:rPr>
    <w:tblPr>
      <w:tblBorders>
        <w:top w:val="single" w:color="F4B58A" w:sz="4" w:space="0"/>
        <w:bottom w:val="single" w:color="F4B58A" w:sz="4" w:space="0"/>
        <w:insideH w:val="single" w:color="F4B58A" w:sz="4" w:space="0"/>
      </w:tblBorders>
      <w:tblCellMar>
        <w:top w:w="0" w:type="dxa"/>
        <w:left w:w="108" w:type="dxa"/>
        <w:bottom w:w="0" w:type="dxa"/>
        <w:right w:w="108" w:type="dxa"/>
      </w:tblCellMar>
    </w:tblPr>
    <w:tblStylePr w:type="firstRow">
      <w:rPr>
        <w:rFonts w:ascii="Arial" w:hAnsi="Arial"/>
        <w:b/>
        <w:color w:val="404040"/>
        <w:sz w:val="22"/>
      </w:rPr>
      <w:tcPr>
        <w:tcBorders>
          <w:top w:val="single" w:color="F4B58A" w:sz="4" w:space="0"/>
          <w:left w:val="nil"/>
          <w:bottom w:val="single" w:color="F4B58A" w:sz="4" w:space="0"/>
          <w:right w:val="nil"/>
        </w:tcBorders>
      </w:tcPr>
    </w:tblStylePr>
    <w:tblStylePr w:type="lastRow">
      <w:rPr>
        <w:rFonts w:ascii="Arial" w:hAnsi="Arial"/>
        <w:b/>
        <w:color w:val="404040"/>
        <w:sz w:val="22"/>
      </w:rPr>
      <w:tcPr>
        <w:tcBorders>
          <w:top w:val="single" w:color="F4B58A" w:sz="4" w:space="0"/>
          <w:left w:val="nil"/>
          <w:bottom w:val="single" w:color="F4B58A"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FADECB" w:fill="FADECB"/>
      </w:tcPr>
    </w:tblStylePr>
    <w:tblStylePr w:type="band1Horz">
      <w:rPr>
        <w:rFonts w:ascii="Arial" w:hAnsi="Arial"/>
        <w:color w:val="404040"/>
        <w:sz w:val="22"/>
      </w:rPr>
      <w:tcPr>
        <w:shd w:val="clear" w:color="FADECB" w:fill="FADECB"/>
      </w:tcPr>
    </w:tblStylePr>
  </w:style>
  <w:style w:type="table" w:customStyle="1" w:styleId="1966">
    <w:name w:val="List Table 2 - Accent 310"/>
    <w:basedOn w:val="13"/>
    <w:uiPriority w:val="99"/>
    <w:rPr>
      <w:sz w:val="22"/>
      <w:szCs w:val="22"/>
      <w:lang w:eastAsia="en-US"/>
    </w:rPr>
    <w:tblPr>
      <w:tblBorders>
        <w:top w:val="single" w:color="CCCCCC" w:sz="4" w:space="0"/>
        <w:bottom w:val="single" w:color="CCCCCC" w:sz="4" w:space="0"/>
        <w:insideH w:val="single" w:color="CCCCCC" w:sz="4" w:space="0"/>
      </w:tblBorders>
      <w:tblCellMar>
        <w:top w:w="0" w:type="dxa"/>
        <w:left w:w="108" w:type="dxa"/>
        <w:bottom w:w="0" w:type="dxa"/>
        <w:right w:w="108" w:type="dxa"/>
      </w:tblCellMar>
    </w:tblPr>
    <w:tblStylePr w:type="firstRow">
      <w:rPr>
        <w:rFonts w:ascii="Arial" w:hAnsi="Arial"/>
        <w:b/>
        <w:color w:val="404040"/>
        <w:sz w:val="22"/>
      </w:rPr>
      <w:tcPr>
        <w:tcBorders>
          <w:top w:val="single" w:color="CCCCCC" w:sz="4" w:space="0"/>
          <w:left w:val="nil"/>
          <w:bottom w:val="single" w:color="CCCCCC" w:sz="4" w:space="0"/>
          <w:right w:val="nil"/>
        </w:tcBorders>
      </w:tcPr>
    </w:tblStylePr>
    <w:tblStylePr w:type="lastRow">
      <w:rPr>
        <w:rFonts w:ascii="Arial" w:hAnsi="Arial"/>
        <w:b/>
        <w:color w:val="404040"/>
        <w:sz w:val="22"/>
      </w:rPr>
      <w:tcPr>
        <w:tcBorders>
          <w:top w:val="single" w:color="CCCCCC" w:sz="4" w:space="0"/>
          <w:left w:val="nil"/>
          <w:bottom w:val="single" w:color="CCCCCC"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E8E8E8" w:fill="E8E8E8"/>
      </w:tcPr>
    </w:tblStylePr>
    <w:tblStylePr w:type="band1Horz">
      <w:rPr>
        <w:rFonts w:ascii="Arial" w:hAnsi="Arial"/>
        <w:color w:val="404040"/>
        <w:sz w:val="22"/>
      </w:rPr>
      <w:tcPr>
        <w:shd w:val="clear" w:color="E8E8E8" w:fill="E8E8E8"/>
      </w:tcPr>
    </w:tblStylePr>
  </w:style>
  <w:style w:type="table" w:customStyle="1" w:styleId="1967">
    <w:name w:val="List Table 2 - Accent 410"/>
    <w:basedOn w:val="13"/>
    <w:uiPriority w:val="99"/>
    <w:rPr>
      <w:sz w:val="22"/>
      <w:szCs w:val="22"/>
      <w:lang w:eastAsia="en-US"/>
    </w:rPr>
    <w:tblPr>
      <w:tblBorders>
        <w:top w:val="single" w:color="FFDB6F" w:sz="4" w:space="0"/>
        <w:bottom w:val="single" w:color="FFDB6F" w:sz="4" w:space="0"/>
        <w:insideH w:val="single" w:color="FFDB6F" w:sz="4" w:space="0"/>
      </w:tblBorders>
      <w:tblCellMar>
        <w:top w:w="0" w:type="dxa"/>
        <w:left w:w="108" w:type="dxa"/>
        <w:bottom w:w="0" w:type="dxa"/>
        <w:right w:w="108" w:type="dxa"/>
      </w:tblCellMar>
    </w:tblPr>
    <w:tblStylePr w:type="firstRow">
      <w:rPr>
        <w:rFonts w:ascii="Arial" w:hAnsi="Arial"/>
        <w:b/>
        <w:color w:val="404040"/>
        <w:sz w:val="22"/>
      </w:rPr>
      <w:tcPr>
        <w:tcBorders>
          <w:top w:val="single" w:color="FFDB6F" w:sz="4" w:space="0"/>
          <w:left w:val="nil"/>
          <w:bottom w:val="single" w:color="FFDB6F" w:sz="4" w:space="0"/>
          <w:right w:val="nil"/>
        </w:tcBorders>
      </w:tcPr>
    </w:tblStylePr>
    <w:tblStylePr w:type="lastRow">
      <w:rPr>
        <w:rFonts w:ascii="Arial" w:hAnsi="Arial"/>
        <w:b/>
        <w:color w:val="404040"/>
        <w:sz w:val="22"/>
      </w:rPr>
      <w:tcPr>
        <w:tcBorders>
          <w:top w:val="single" w:color="FFDB6F" w:sz="4" w:space="0"/>
          <w:left w:val="nil"/>
          <w:bottom w:val="single" w:color="FFDB6F"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FFEFBF" w:fill="FFEFBF"/>
      </w:tcPr>
    </w:tblStylePr>
    <w:tblStylePr w:type="band1Horz">
      <w:rPr>
        <w:rFonts w:ascii="Arial" w:hAnsi="Arial"/>
        <w:color w:val="404040"/>
        <w:sz w:val="22"/>
      </w:rPr>
      <w:tcPr>
        <w:shd w:val="clear" w:color="FFEFBF" w:fill="FFEFBF"/>
      </w:tcPr>
    </w:tblStylePr>
  </w:style>
  <w:style w:type="table" w:customStyle="1" w:styleId="1968">
    <w:name w:val="List Table 2 - Accent 510"/>
    <w:basedOn w:val="13"/>
    <w:uiPriority w:val="99"/>
    <w:rPr>
      <w:sz w:val="22"/>
      <w:szCs w:val="22"/>
      <w:lang w:eastAsia="en-US"/>
    </w:rPr>
    <w:tblPr>
      <w:tblBorders>
        <w:top w:val="single" w:color="A2C6E7" w:sz="4" w:space="0"/>
        <w:bottom w:val="single" w:color="A2C6E7" w:sz="4" w:space="0"/>
        <w:insideH w:val="single" w:color="A2C6E7" w:sz="4" w:space="0"/>
      </w:tblBorders>
      <w:tblCellMar>
        <w:top w:w="0" w:type="dxa"/>
        <w:left w:w="108" w:type="dxa"/>
        <w:bottom w:w="0" w:type="dxa"/>
        <w:right w:w="108" w:type="dxa"/>
      </w:tblCellMar>
    </w:tblPr>
    <w:tblStylePr w:type="firstRow">
      <w:rPr>
        <w:rFonts w:ascii="Arial" w:hAnsi="Arial"/>
        <w:b/>
        <w:color w:val="404040"/>
        <w:sz w:val="22"/>
      </w:rPr>
      <w:tcPr>
        <w:tcBorders>
          <w:top w:val="single" w:color="A2C6E7" w:sz="4" w:space="0"/>
          <w:left w:val="nil"/>
          <w:bottom w:val="single" w:color="A2C6E7" w:sz="4" w:space="0"/>
          <w:right w:val="nil"/>
        </w:tcBorders>
      </w:tcPr>
    </w:tblStylePr>
    <w:tblStylePr w:type="lastRow">
      <w:rPr>
        <w:rFonts w:ascii="Arial" w:hAnsi="Arial"/>
        <w:b/>
        <w:color w:val="404040"/>
        <w:sz w:val="22"/>
      </w:rPr>
      <w:tcPr>
        <w:tcBorders>
          <w:top w:val="single" w:color="A2C6E7" w:sz="4" w:space="0"/>
          <w:left w:val="nil"/>
          <w:bottom w:val="single" w:color="A2C6E7"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D5E5F4" w:fill="D5E5F4"/>
      </w:tcPr>
    </w:tblStylePr>
    <w:tblStylePr w:type="band1Horz">
      <w:rPr>
        <w:rFonts w:ascii="Arial" w:hAnsi="Arial"/>
        <w:color w:val="404040"/>
        <w:sz w:val="22"/>
      </w:rPr>
      <w:tcPr>
        <w:shd w:val="clear" w:color="D5E5F4" w:fill="D5E5F4"/>
      </w:tcPr>
    </w:tblStylePr>
  </w:style>
  <w:style w:type="table" w:customStyle="1" w:styleId="1969">
    <w:name w:val="List Table 2 - Accent 610"/>
    <w:basedOn w:val="13"/>
    <w:uiPriority w:val="99"/>
    <w:rPr>
      <w:sz w:val="22"/>
      <w:szCs w:val="22"/>
      <w:lang w:eastAsia="en-US"/>
    </w:rPr>
    <w:tblPr>
      <w:tblBorders>
        <w:top w:val="single" w:color="ADD394" w:sz="4" w:space="0"/>
        <w:bottom w:val="single" w:color="ADD394" w:sz="4" w:space="0"/>
        <w:insideH w:val="single" w:color="ADD394" w:sz="4" w:space="0"/>
      </w:tblBorders>
      <w:tblCellMar>
        <w:top w:w="0" w:type="dxa"/>
        <w:left w:w="108" w:type="dxa"/>
        <w:bottom w:w="0" w:type="dxa"/>
        <w:right w:w="108" w:type="dxa"/>
      </w:tblCellMar>
    </w:tblPr>
    <w:tblStylePr w:type="firstRow">
      <w:rPr>
        <w:rFonts w:ascii="Arial" w:hAnsi="Arial"/>
        <w:b/>
        <w:color w:val="404040"/>
        <w:sz w:val="22"/>
      </w:rPr>
      <w:tcPr>
        <w:tcBorders>
          <w:top w:val="single" w:color="ADD394" w:sz="4" w:space="0"/>
          <w:left w:val="nil"/>
          <w:bottom w:val="single" w:color="ADD394" w:sz="4" w:space="0"/>
          <w:right w:val="nil"/>
        </w:tcBorders>
      </w:tcPr>
    </w:tblStylePr>
    <w:tblStylePr w:type="lastRow">
      <w:rPr>
        <w:rFonts w:ascii="Arial" w:hAnsi="Arial"/>
        <w:b/>
        <w:color w:val="404040"/>
        <w:sz w:val="22"/>
      </w:rPr>
      <w:tcPr>
        <w:tcBorders>
          <w:top w:val="single" w:color="ADD394" w:sz="4" w:space="0"/>
          <w:left w:val="nil"/>
          <w:bottom w:val="single" w:color="ADD394"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DAEBCF" w:fill="DAEBCF"/>
      </w:tcPr>
    </w:tblStylePr>
    <w:tblStylePr w:type="band1Horz">
      <w:rPr>
        <w:rFonts w:ascii="Arial" w:hAnsi="Arial"/>
        <w:color w:val="404040"/>
        <w:sz w:val="22"/>
      </w:rPr>
      <w:tcPr>
        <w:shd w:val="clear" w:color="DAEBCF" w:fill="DAEBCF"/>
      </w:tcPr>
    </w:tblStylePr>
  </w:style>
  <w:style w:type="table" w:customStyle="1" w:styleId="1970">
    <w:name w:val="Список-таблица 318"/>
    <w:basedOn w:val="13"/>
    <w:uiPriority w:val="99"/>
    <w:rPr>
      <w:sz w:val="22"/>
      <w:szCs w:val="22"/>
      <w:lang w:eastAsia="en-US"/>
    </w:rPr>
    <w:tblPr>
      <w:tblBorders>
        <w:top w:val="single" w:color="000000" w:sz="4" w:space="0"/>
        <w:left w:val="single" w:color="000000" w:sz="4" w:space="0"/>
        <w:bottom w:val="single" w:color="000000" w:sz="4" w:space="0"/>
        <w:right w:val="single" w:color="000000" w:sz="4" w:space="0"/>
      </w:tblBorders>
      <w:tblCellMar>
        <w:top w:w="0" w:type="dxa"/>
        <w:left w:w="108" w:type="dxa"/>
        <w:bottom w:w="0" w:type="dxa"/>
        <w:right w:w="108" w:type="dxa"/>
      </w:tblCellMar>
    </w:tblPr>
    <w:tblStylePr w:type="firstRow">
      <w:rPr>
        <w:rFonts w:ascii="Arial" w:hAnsi="Arial"/>
        <w:b/>
        <w:color w:val="FFFFFF"/>
        <w:sz w:val="22"/>
      </w:r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000000" w:sz="4" w:space="0"/>
          <w:right w:val="single" w:color="000000" w:sz="4" w:space="0"/>
        </w:tcBorders>
      </w:tcPr>
    </w:tblStylePr>
    <w:tblStylePr w:type="band1Horz">
      <w:rPr>
        <w:rFonts w:ascii="Arial" w:hAnsi="Arial"/>
        <w:color w:val="404040"/>
        <w:sz w:val="22"/>
      </w:rPr>
      <w:tcPr>
        <w:tcBorders>
          <w:top w:val="single" w:color="000000" w:sz="4" w:space="0"/>
          <w:bottom w:val="single" w:color="000000" w:sz="4" w:space="0"/>
        </w:tcBorders>
      </w:tcPr>
    </w:tblStylePr>
  </w:style>
  <w:style w:type="table" w:customStyle="1" w:styleId="1971">
    <w:name w:val="List Table 3 - Accent 110"/>
    <w:basedOn w:val="13"/>
    <w:uiPriority w:val="99"/>
    <w:rPr>
      <w:sz w:val="22"/>
      <w:szCs w:val="22"/>
      <w:lang w:eastAsia="en-US"/>
    </w:rPr>
    <w:tblPr>
      <w:tblBorders>
        <w:top w:val="single" w:color="4472C4" w:sz="4" w:space="0"/>
        <w:left w:val="single" w:color="4472C4" w:sz="4" w:space="0"/>
        <w:bottom w:val="single" w:color="4472C4" w:sz="4" w:space="0"/>
        <w:right w:val="single" w:color="4472C4" w:sz="4" w:space="0"/>
      </w:tblBorders>
      <w:tblCellMar>
        <w:top w:w="0" w:type="dxa"/>
        <w:left w:w="108" w:type="dxa"/>
        <w:bottom w:w="0" w:type="dxa"/>
        <w:right w:w="108" w:type="dxa"/>
      </w:tblCellMar>
    </w:tblPr>
    <w:tblStylePr w:type="firstRow">
      <w:rPr>
        <w:rFonts w:ascii="Arial" w:hAnsi="Arial"/>
        <w:b/>
        <w:color w:val="FFFFFF"/>
        <w:sz w:val="22"/>
      </w:rPr>
      <w:tcPr>
        <w:shd w:val="clear" w:color="4472C4" w:fill="4472C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4472C4" w:sz="4" w:space="0"/>
          <w:right w:val="single" w:color="4472C4" w:sz="4" w:space="0"/>
        </w:tcBorders>
      </w:tcPr>
    </w:tblStylePr>
    <w:tblStylePr w:type="band1Horz">
      <w:rPr>
        <w:rFonts w:ascii="Arial" w:hAnsi="Arial"/>
        <w:color w:val="404040"/>
        <w:sz w:val="22"/>
      </w:rPr>
      <w:tcPr>
        <w:tcBorders>
          <w:top w:val="single" w:color="4472C4" w:sz="4" w:space="0"/>
          <w:bottom w:val="single" w:color="4472C4" w:sz="4" w:space="0"/>
        </w:tcBorders>
      </w:tcPr>
    </w:tblStylePr>
  </w:style>
  <w:style w:type="table" w:customStyle="1" w:styleId="1972">
    <w:name w:val="List Table 3 - Accent 210"/>
    <w:basedOn w:val="13"/>
    <w:uiPriority w:val="99"/>
    <w:rPr>
      <w:sz w:val="22"/>
      <w:szCs w:val="22"/>
      <w:lang w:eastAsia="en-US"/>
    </w:rPr>
    <w:tblPr>
      <w:tblBorders>
        <w:top w:val="single" w:color="F4B184" w:sz="4" w:space="0"/>
        <w:left w:val="single" w:color="F4B184" w:sz="4" w:space="0"/>
        <w:bottom w:val="single" w:color="F4B184" w:sz="4" w:space="0"/>
        <w:right w:val="single" w:color="F4B184" w:sz="4" w:space="0"/>
      </w:tblBorders>
      <w:tblCellMar>
        <w:top w:w="0" w:type="dxa"/>
        <w:left w:w="108" w:type="dxa"/>
        <w:bottom w:w="0" w:type="dxa"/>
        <w:right w:w="108" w:type="dxa"/>
      </w:tblCellMar>
    </w:tblPr>
    <w:tblStylePr w:type="firstRow">
      <w:rPr>
        <w:rFonts w:ascii="Arial" w:hAnsi="Arial"/>
        <w:b/>
        <w:color w:val="FFFFFF"/>
        <w:sz w:val="22"/>
      </w:rPr>
      <w:tcPr>
        <w:shd w:val="clear" w:color="F4B184" w:fill="F4B18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F4B184" w:sz="4" w:space="0"/>
          <w:right w:val="single" w:color="F4B184" w:sz="4" w:space="0"/>
        </w:tcBorders>
      </w:tcPr>
    </w:tblStylePr>
    <w:tblStylePr w:type="band1Horz">
      <w:rPr>
        <w:rFonts w:ascii="Arial" w:hAnsi="Arial"/>
        <w:color w:val="404040"/>
        <w:sz w:val="22"/>
      </w:rPr>
      <w:tcPr>
        <w:tcBorders>
          <w:top w:val="single" w:color="F4B184" w:sz="4" w:space="0"/>
          <w:bottom w:val="single" w:color="F4B184" w:sz="4" w:space="0"/>
        </w:tcBorders>
      </w:tcPr>
    </w:tblStylePr>
  </w:style>
  <w:style w:type="table" w:customStyle="1" w:styleId="1973">
    <w:name w:val="List Table 3 - Accent 310"/>
    <w:basedOn w:val="13"/>
    <w:uiPriority w:val="99"/>
    <w:rPr>
      <w:sz w:val="22"/>
      <w:szCs w:val="22"/>
      <w:lang w:eastAsia="en-US"/>
    </w:rPr>
    <w:tblPr>
      <w:tblBorders>
        <w:top w:val="single" w:color="C9C9C9" w:sz="4" w:space="0"/>
        <w:left w:val="single" w:color="C9C9C9" w:sz="4" w:space="0"/>
        <w:bottom w:val="single" w:color="C9C9C9" w:sz="4" w:space="0"/>
        <w:right w:val="single" w:color="C9C9C9" w:sz="4" w:space="0"/>
      </w:tblBorders>
      <w:tblCellMar>
        <w:top w:w="0" w:type="dxa"/>
        <w:left w:w="108" w:type="dxa"/>
        <w:bottom w:w="0" w:type="dxa"/>
        <w:right w:w="108" w:type="dxa"/>
      </w:tblCellMar>
    </w:tblPr>
    <w:tblStylePr w:type="firstRow">
      <w:rPr>
        <w:rFonts w:ascii="Arial" w:hAnsi="Arial"/>
        <w:b/>
        <w:color w:val="FFFFFF"/>
        <w:sz w:val="22"/>
      </w:rPr>
      <w:tcPr>
        <w:shd w:val="clear" w:color="C9C9C9" w:fill="C9C9C9"/>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C9C9C9" w:sz="4" w:space="0"/>
          <w:right w:val="single" w:color="C9C9C9" w:sz="4" w:space="0"/>
        </w:tcBorders>
      </w:tcPr>
    </w:tblStylePr>
    <w:tblStylePr w:type="band1Horz">
      <w:rPr>
        <w:rFonts w:ascii="Arial" w:hAnsi="Arial"/>
        <w:color w:val="404040"/>
        <w:sz w:val="22"/>
      </w:rPr>
      <w:tcPr>
        <w:tcBorders>
          <w:top w:val="single" w:color="C9C9C9" w:sz="4" w:space="0"/>
          <w:bottom w:val="single" w:color="C9C9C9" w:sz="4" w:space="0"/>
        </w:tcBorders>
      </w:tcPr>
    </w:tblStylePr>
  </w:style>
  <w:style w:type="table" w:customStyle="1" w:styleId="1974">
    <w:name w:val="List Table 3 - Accent 410"/>
    <w:basedOn w:val="13"/>
    <w:uiPriority w:val="99"/>
    <w:rPr>
      <w:sz w:val="22"/>
      <w:szCs w:val="22"/>
      <w:lang w:eastAsia="en-US"/>
    </w:rPr>
    <w:tblPr>
      <w:tblBorders>
        <w:top w:val="single" w:color="FFD865" w:sz="4" w:space="0"/>
        <w:left w:val="single" w:color="FFD865" w:sz="4" w:space="0"/>
        <w:bottom w:val="single" w:color="FFD865" w:sz="4" w:space="0"/>
        <w:right w:val="single" w:color="FFD865" w:sz="4" w:space="0"/>
      </w:tblBorders>
      <w:tblCellMar>
        <w:top w:w="0" w:type="dxa"/>
        <w:left w:w="108" w:type="dxa"/>
        <w:bottom w:w="0" w:type="dxa"/>
        <w:right w:w="108" w:type="dxa"/>
      </w:tblCellMar>
    </w:tblPr>
    <w:tblStylePr w:type="firstRow">
      <w:rPr>
        <w:rFonts w:ascii="Arial" w:hAnsi="Arial"/>
        <w:b/>
        <w:color w:val="FFFFFF"/>
        <w:sz w:val="22"/>
      </w:rPr>
      <w:tcPr>
        <w:shd w:val="clear" w:color="FFD865" w:fill="FFD86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FFD865" w:sz="4" w:space="0"/>
          <w:right w:val="single" w:color="FFD865" w:sz="4" w:space="0"/>
        </w:tcBorders>
      </w:tcPr>
    </w:tblStylePr>
    <w:tblStylePr w:type="band1Horz">
      <w:rPr>
        <w:rFonts w:ascii="Arial" w:hAnsi="Arial"/>
        <w:color w:val="404040"/>
        <w:sz w:val="22"/>
      </w:rPr>
      <w:tcPr>
        <w:tcBorders>
          <w:top w:val="single" w:color="FFD865" w:sz="4" w:space="0"/>
          <w:bottom w:val="single" w:color="FFD865" w:sz="4" w:space="0"/>
        </w:tcBorders>
      </w:tcPr>
    </w:tblStylePr>
  </w:style>
  <w:style w:type="table" w:customStyle="1" w:styleId="1975">
    <w:name w:val="List Table 3 - Accent 510"/>
    <w:basedOn w:val="13"/>
    <w:uiPriority w:val="99"/>
    <w:rPr>
      <w:sz w:val="22"/>
      <w:szCs w:val="22"/>
      <w:lang w:eastAsia="en-US"/>
    </w:rPr>
    <w:tblPr>
      <w:tblBorders>
        <w:top w:val="single" w:color="9BC2E5" w:sz="4" w:space="0"/>
        <w:left w:val="single" w:color="9BC2E5" w:sz="4" w:space="0"/>
        <w:bottom w:val="single" w:color="9BC2E5" w:sz="4" w:space="0"/>
        <w:right w:val="single" w:color="9BC2E5" w:sz="4" w:space="0"/>
      </w:tblBorders>
      <w:tblCellMar>
        <w:top w:w="0" w:type="dxa"/>
        <w:left w:w="108" w:type="dxa"/>
        <w:bottom w:w="0" w:type="dxa"/>
        <w:right w:w="108" w:type="dxa"/>
      </w:tblCellMar>
    </w:tblPr>
    <w:tblStylePr w:type="firstRow">
      <w:rPr>
        <w:rFonts w:ascii="Arial" w:hAnsi="Arial"/>
        <w:b/>
        <w:color w:val="FFFFFF"/>
        <w:sz w:val="22"/>
      </w:rPr>
      <w:tcPr>
        <w:shd w:val="clear" w:color="9BC2E5" w:fill="9BC2E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9BC2E5" w:sz="4" w:space="0"/>
          <w:right w:val="single" w:color="9BC2E5" w:sz="4" w:space="0"/>
        </w:tcBorders>
      </w:tcPr>
    </w:tblStylePr>
    <w:tblStylePr w:type="band1Horz">
      <w:rPr>
        <w:rFonts w:ascii="Arial" w:hAnsi="Arial"/>
        <w:color w:val="404040"/>
        <w:sz w:val="22"/>
      </w:rPr>
      <w:tcPr>
        <w:tcBorders>
          <w:top w:val="single" w:color="9BC2E5" w:sz="4" w:space="0"/>
          <w:bottom w:val="single" w:color="9BC2E5" w:sz="4" w:space="0"/>
        </w:tcBorders>
      </w:tcPr>
    </w:tblStylePr>
  </w:style>
  <w:style w:type="table" w:customStyle="1" w:styleId="1976">
    <w:name w:val="List Table 3 - Accent 610"/>
    <w:basedOn w:val="13"/>
    <w:uiPriority w:val="99"/>
    <w:rPr>
      <w:sz w:val="22"/>
      <w:szCs w:val="22"/>
      <w:lang w:eastAsia="en-US"/>
    </w:rPr>
    <w:tblPr>
      <w:tblBorders>
        <w:top w:val="single" w:color="A9D08E" w:sz="4" w:space="0"/>
        <w:left w:val="single" w:color="A9D08E" w:sz="4" w:space="0"/>
        <w:bottom w:val="single" w:color="A9D08E" w:sz="4" w:space="0"/>
        <w:right w:val="single" w:color="A9D08E" w:sz="4" w:space="0"/>
      </w:tblBorders>
      <w:tblCellMar>
        <w:top w:w="0" w:type="dxa"/>
        <w:left w:w="108" w:type="dxa"/>
        <w:bottom w:w="0" w:type="dxa"/>
        <w:right w:w="108" w:type="dxa"/>
      </w:tblCellMar>
    </w:tblPr>
    <w:tblStylePr w:type="firstRow">
      <w:rPr>
        <w:rFonts w:ascii="Arial" w:hAnsi="Arial"/>
        <w:b/>
        <w:color w:val="FFFFFF"/>
        <w:sz w:val="22"/>
      </w:rPr>
      <w:tcPr>
        <w:shd w:val="clear" w:color="A9D08E" w:fill="A9D08E"/>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A9D08E" w:sz="4" w:space="0"/>
          <w:right w:val="single" w:color="A9D08E" w:sz="4" w:space="0"/>
        </w:tcBorders>
      </w:tcPr>
    </w:tblStylePr>
    <w:tblStylePr w:type="band1Horz">
      <w:rPr>
        <w:rFonts w:ascii="Arial" w:hAnsi="Arial"/>
        <w:color w:val="404040"/>
        <w:sz w:val="22"/>
      </w:rPr>
      <w:tcPr>
        <w:tcBorders>
          <w:top w:val="single" w:color="A9D08E" w:sz="4" w:space="0"/>
          <w:bottom w:val="single" w:color="A9D08E" w:sz="4" w:space="0"/>
        </w:tcBorders>
      </w:tcPr>
    </w:tblStylePr>
  </w:style>
  <w:style w:type="table" w:customStyle="1" w:styleId="1977">
    <w:name w:val="Список-таблица 418"/>
    <w:basedOn w:val="13"/>
    <w:uiPriority w:val="99"/>
    <w:rPr>
      <w:sz w:val="22"/>
      <w:szCs w:val="22"/>
      <w:lang w:eastAsia="en-US"/>
    </w:rPr>
    <w:tblPr>
      <w:tblBorders>
        <w:top w:val="single" w:color="000000" w:sz="4" w:space="0"/>
        <w:left w:val="single" w:color="000000" w:sz="4" w:space="0"/>
        <w:bottom w:val="single" w:color="000000" w:sz="4" w:space="0"/>
        <w:right w:val="single" w:color="000000" w:sz="4" w:space="0"/>
        <w:insideH w:val="single" w:color="000000" w:sz="4" w:space="0"/>
      </w:tblBorders>
      <w:tblCellMar>
        <w:top w:w="0" w:type="dxa"/>
        <w:left w:w="108" w:type="dxa"/>
        <w:bottom w:w="0" w:type="dxa"/>
        <w:right w:w="108" w:type="dxa"/>
      </w:tblCellMar>
    </w:tblPr>
    <w:tblStylePr w:type="firstRow">
      <w:rPr>
        <w:rFonts w:ascii="Arial" w:hAnsi="Arial"/>
        <w:b/>
        <w:color w:val="FFFFFF"/>
        <w:sz w:val="22"/>
      </w:r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BFBFBF" w:fill="BFBFBF"/>
      </w:tcPr>
    </w:tblStylePr>
    <w:tblStylePr w:type="band1Horz">
      <w:rPr>
        <w:rFonts w:ascii="Arial" w:hAnsi="Arial"/>
        <w:color w:val="404040"/>
        <w:sz w:val="22"/>
      </w:rPr>
      <w:tcPr>
        <w:shd w:val="clear" w:color="BFBFBF" w:fill="BFBFBF"/>
      </w:tcPr>
    </w:tblStylePr>
  </w:style>
  <w:style w:type="table" w:customStyle="1" w:styleId="1978">
    <w:name w:val="List Table 4 - Accent 110"/>
    <w:basedOn w:val="13"/>
    <w:uiPriority w:val="99"/>
    <w:rPr>
      <w:sz w:val="22"/>
      <w:szCs w:val="22"/>
      <w:lang w:eastAsia="en-US"/>
    </w:rPr>
    <w:tblPr>
      <w:tblBorders>
        <w:top w:val="single" w:color="95AFDD" w:sz="4" w:space="0"/>
        <w:left w:val="single" w:color="95AFDD" w:sz="4" w:space="0"/>
        <w:bottom w:val="single" w:color="95AFDD" w:sz="4" w:space="0"/>
        <w:right w:val="single" w:color="95AFDD" w:sz="4" w:space="0"/>
        <w:insideH w:val="single" w:color="95AFDD" w:sz="4" w:space="0"/>
      </w:tblBorders>
      <w:tblCellMar>
        <w:top w:w="0" w:type="dxa"/>
        <w:left w:w="108" w:type="dxa"/>
        <w:bottom w:w="0" w:type="dxa"/>
        <w:right w:w="108" w:type="dxa"/>
      </w:tblCellMar>
    </w:tblPr>
    <w:tblStylePr w:type="firstRow">
      <w:rPr>
        <w:rFonts w:ascii="Arial" w:hAnsi="Arial"/>
        <w:b/>
        <w:color w:val="FFFFFF"/>
        <w:sz w:val="22"/>
      </w:rPr>
      <w:tcPr>
        <w:shd w:val="clear" w:color="4472C4" w:fill="4472C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CFDBF0" w:fill="CFDBF0"/>
      </w:tcPr>
    </w:tblStylePr>
    <w:tblStylePr w:type="band1Horz">
      <w:rPr>
        <w:rFonts w:ascii="Arial" w:hAnsi="Arial"/>
        <w:color w:val="404040"/>
        <w:sz w:val="22"/>
      </w:rPr>
      <w:tcPr>
        <w:shd w:val="clear" w:color="CFDBF0" w:fill="CFDBF0"/>
      </w:tcPr>
    </w:tblStylePr>
  </w:style>
  <w:style w:type="table" w:customStyle="1" w:styleId="1979">
    <w:name w:val="List Table 4 - Accent 210"/>
    <w:basedOn w:val="13"/>
    <w:uiPriority w:val="99"/>
    <w:rPr>
      <w:sz w:val="22"/>
      <w:szCs w:val="22"/>
      <w:lang w:eastAsia="en-US"/>
    </w:rPr>
    <w:tblPr>
      <w:tblBorders>
        <w:top w:val="single" w:color="F4B58A" w:sz="4" w:space="0"/>
        <w:left w:val="single" w:color="F4B58A" w:sz="4" w:space="0"/>
        <w:bottom w:val="single" w:color="F4B58A" w:sz="4" w:space="0"/>
        <w:right w:val="single" w:color="F4B58A" w:sz="4" w:space="0"/>
        <w:insideH w:val="single" w:color="F4B58A" w:sz="4" w:space="0"/>
      </w:tblBorders>
      <w:tblCellMar>
        <w:top w:w="0" w:type="dxa"/>
        <w:left w:w="108" w:type="dxa"/>
        <w:bottom w:w="0" w:type="dxa"/>
        <w:right w:w="108" w:type="dxa"/>
      </w:tblCellMar>
    </w:tblPr>
    <w:tblStylePr w:type="firstRow">
      <w:rPr>
        <w:rFonts w:ascii="Arial" w:hAnsi="Arial"/>
        <w:b/>
        <w:color w:val="FFFFFF"/>
        <w:sz w:val="22"/>
      </w:rPr>
      <w:tcPr>
        <w:shd w:val="clear" w:color="ED7D31" w:fill="ED7D3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FADECB" w:fill="FADECB"/>
      </w:tcPr>
    </w:tblStylePr>
    <w:tblStylePr w:type="band1Horz">
      <w:rPr>
        <w:rFonts w:ascii="Arial" w:hAnsi="Arial"/>
        <w:color w:val="404040"/>
        <w:sz w:val="22"/>
      </w:rPr>
      <w:tcPr>
        <w:shd w:val="clear" w:color="FADECB" w:fill="FADECB"/>
      </w:tcPr>
    </w:tblStylePr>
  </w:style>
  <w:style w:type="table" w:customStyle="1" w:styleId="1980">
    <w:name w:val="List Table 4 - Accent 310"/>
    <w:basedOn w:val="13"/>
    <w:uiPriority w:val="99"/>
    <w:rPr>
      <w:sz w:val="22"/>
      <w:szCs w:val="22"/>
      <w:lang w:eastAsia="en-US"/>
    </w:rPr>
    <w:tblPr>
      <w:tblBorders>
        <w:top w:val="single" w:color="CCCCCC" w:sz="4" w:space="0"/>
        <w:left w:val="single" w:color="CCCCCC" w:sz="4" w:space="0"/>
        <w:bottom w:val="single" w:color="CCCCCC" w:sz="4" w:space="0"/>
        <w:right w:val="single" w:color="CCCCCC" w:sz="4" w:space="0"/>
        <w:insideH w:val="single" w:color="CCCCCC" w:sz="4" w:space="0"/>
      </w:tblBorders>
      <w:tblCellMar>
        <w:top w:w="0" w:type="dxa"/>
        <w:left w:w="108" w:type="dxa"/>
        <w:bottom w:w="0" w:type="dxa"/>
        <w:right w:w="108" w:type="dxa"/>
      </w:tblCellMar>
    </w:tblPr>
    <w:tblStylePr w:type="firstRow">
      <w:rPr>
        <w:rFonts w:ascii="Arial" w:hAnsi="Arial"/>
        <w:b/>
        <w:color w:val="FFFFFF"/>
        <w:sz w:val="22"/>
      </w:rPr>
      <w:tcPr>
        <w:shd w:val="clear" w:color="A5A5A5" w:fill="A5A5A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E8E8E8" w:fill="E8E8E8"/>
      </w:tcPr>
    </w:tblStylePr>
    <w:tblStylePr w:type="band1Horz">
      <w:rPr>
        <w:rFonts w:ascii="Arial" w:hAnsi="Arial"/>
        <w:color w:val="404040"/>
        <w:sz w:val="22"/>
      </w:rPr>
      <w:tcPr>
        <w:shd w:val="clear" w:color="E8E8E8" w:fill="E8E8E8"/>
      </w:tcPr>
    </w:tblStylePr>
  </w:style>
  <w:style w:type="table" w:customStyle="1" w:styleId="1981">
    <w:name w:val="List Table 4 - Accent 410"/>
    <w:basedOn w:val="13"/>
    <w:uiPriority w:val="99"/>
    <w:rPr>
      <w:sz w:val="22"/>
      <w:szCs w:val="22"/>
      <w:lang w:eastAsia="en-US"/>
    </w:rPr>
    <w:tblPr>
      <w:tblBorders>
        <w:top w:val="single" w:color="FFDB6F" w:sz="4" w:space="0"/>
        <w:left w:val="single" w:color="FFDB6F" w:sz="4" w:space="0"/>
        <w:bottom w:val="single" w:color="FFDB6F" w:sz="4" w:space="0"/>
        <w:right w:val="single" w:color="FFDB6F" w:sz="4" w:space="0"/>
        <w:insideH w:val="single" w:color="FFDB6F" w:sz="4" w:space="0"/>
      </w:tblBorders>
      <w:tblCellMar>
        <w:top w:w="0" w:type="dxa"/>
        <w:left w:w="108" w:type="dxa"/>
        <w:bottom w:w="0" w:type="dxa"/>
        <w:right w:w="108" w:type="dxa"/>
      </w:tblCellMar>
    </w:tblPr>
    <w:tblStylePr w:type="firstRow">
      <w:rPr>
        <w:rFonts w:ascii="Arial" w:hAnsi="Arial"/>
        <w:b/>
        <w:color w:val="FFFFFF"/>
        <w:sz w:val="22"/>
      </w:rPr>
      <w:tcPr>
        <w:shd w:val="clear" w:color="FFC000" w:fill="FFC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FFEFBF" w:fill="FFEFBF"/>
      </w:tcPr>
    </w:tblStylePr>
    <w:tblStylePr w:type="band1Horz">
      <w:rPr>
        <w:rFonts w:ascii="Arial" w:hAnsi="Arial"/>
        <w:color w:val="404040"/>
        <w:sz w:val="22"/>
      </w:rPr>
      <w:tcPr>
        <w:shd w:val="clear" w:color="FFEFBF" w:fill="FFEFBF"/>
      </w:tcPr>
    </w:tblStylePr>
  </w:style>
  <w:style w:type="table" w:customStyle="1" w:styleId="1982">
    <w:name w:val="List Table 4 - Accent 510"/>
    <w:basedOn w:val="13"/>
    <w:uiPriority w:val="99"/>
    <w:rPr>
      <w:sz w:val="22"/>
      <w:szCs w:val="22"/>
      <w:lang w:eastAsia="en-US"/>
    </w:rPr>
    <w:tblPr>
      <w:tblBorders>
        <w:top w:val="single" w:color="A2C6E7" w:sz="4" w:space="0"/>
        <w:left w:val="single" w:color="A2C6E7" w:sz="4" w:space="0"/>
        <w:bottom w:val="single" w:color="A2C6E7" w:sz="4" w:space="0"/>
        <w:right w:val="single" w:color="A2C6E7" w:sz="4" w:space="0"/>
        <w:insideH w:val="single" w:color="A2C6E7" w:sz="4" w:space="0"/>
      </w:tblBorders>
      <w:tblCellMar>
        <w:top w:w="0" w:type="dxa"/>
        <w:left w:w="108" w:type="dxa"/>
        <w:bottom w:w="0" w:type="dxa"/>
        <w:right w:w="108" w:type="dxa"/>
      </w:tblCellMar>
    </w:tblPr>
    <w:tblStylePr w:type="firstRow">
      <w:rPr>
        <w:rFonts w:ascii="Arial" w:hAnsi="Arial"/>
        <w:b/>
        <w:color w:val="FFFFFF"/>
        <w:sz w:val="22"/>
      </w:rPr>
      <w:tcPr>
        <w:shd w:val="clear" w:color="5B9BD5" w:fill="5B9BD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D5E5F4" w:fill="D5E5F4"/>
      </w:tcPr>
    </w:tblStylePr>
    <w:tblStylePr w:type="band1Horz">
      <w:rPr>
        <w:rFonts w:ascii="Arial" w:hAnsi="Arial"/>
        <w:color w:val="404040"/>
        <w:sz w:val="22"/>
      </w:rPr>
      <w:tcPr>
        <w:shd w:val="clear" w:color="D5E5F4" w:fill="D5E5F4"/>
      </w:tcPr>
    </w:tblStylePr>
  </w:style>
  <w:style w:type="table" w:customStyle="1" w:styleId="1983">
    <w:name w:val="List Table 4 - Accent 610"/>
    <w:basedOn w:val="13"/>
    <w:uiPriority w:val="99"/>
    <w:rPr>
      <w:sz w:val="22"/>
      <w:szCs w:val="22"/>
      <w:lang w:eastAsia="en-US"/>
    </w:rPr>
    <w:tblPr>
      <w:tblBorders>
        <w:top w:val="single" w:color="ADD394" w:sz="4" w:space="0"/>
        <w:left w:val="single" w:color="ADD394" w:sz="4" w:space="0"/>
        <w:bottom w:val="single" w:color="ADD394" w:sz="4" w:space="0"/>
        <w:right w:val="single" w:color="ADD394" w:sz="4" w:space="0"/>
        <w:insideH w:val="single" w:color="ADD394" w:sz="4" w:space="0"/>
      </w:tblBorders>
      <w:tblCellMar>
        <w:top w:w="0" w:type="dxa"/>
        <w:left w:w="108" w:type="dxa"/>
        <w:bottom w:w="0" w:type="dxa"/>
        <w:right w:w="108" w:type="dxa"/>
      </w:tblCellMar>
    </w:tblPr>
    <w:tblStylePr w:type="firstRow">
      <w:rPr>
        <w:rFonts w:ascii="Arial" w:hAnsi="Arial"/>
        <w:b/>
        <w:color w:val="FFFFFF"/>
        <w:sz w:val="22"/>
      </w:rPr>
      <w:tcPr>
        <w:shd w:val="clear" w:color="70AD47" w:fill="70AD4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DAEBCF" w:fill="DAEBCF"/>
      </w:tcPr>
    </w:tblStylePr>
    <w:tblStylePr w:type="band1Horz">
      <w:rPr>
        <w:rFonts w:ascii="Arial" w:hAnsi="Arial"/>
        <w:color w:val="404040"/>
        <w:sz w:val="22"/>
      </w:rPr>
      <w:tcPr>
        <w:shd w:val="clear" w:color="DAEBCF" w:fill="DAEBCF"/>
      </w:tcPr>
    </w:tblStylePr>
  </w:style>
  <w:style w:type="table" w:customStyle="1" w:styleId="1984">
    <w:name w:val="Список-таблица 5 темная18"/>
    <w:basedOn w:val="13"/>
    <w:uiPriority w:val="99"/>
    <w:rPr>
      <w:sz w:val="22"/>
      <w:szCs w:val="22"/>
      <w:lang w:eastAsia="en-US"/>
    </w:rPr>
    <w:tblPr>
      <w:tblBorders>
        <w:top w:val="single" w:color="7F7F7F" w:sz="32" w:space="0"/>
        <w:left w:val="single" w:color="7F7F7F" w:sz="32" w:space="0"/>
        <w:bottom w:val="single" w:color="7F7F7F" w:sz="32" w:space="0"/>
        <w:right w:val="single" w:color="7F7F7F" w:sz="32" w:space="0"/>
      </w:tblBorders>
      <w:tblCellMar>
        <w:top w:w="0" w:type="dxa"/>
        <w:left w:w="108" w:type="dxa"/>
        <w:bottom w:w="0" w:type="dxa"/>
        <w:right w:w="108" w:type="dxa"/>
      </w:tblCellMar>
    </w:tblPr>
    <w:tblStylePr w:type="firstRow">
      <w:rPr>
        <w:rFonts w:ascii="Arial" w:hAnsi="Arial"/>
        <w:b/>
        <w:color w:val="FFFFFF"/>
        <w:sz w:val="22"/>
      </w:rPr>
      <w:tcPr>
        <w:tcBorders>
          <w:top w:val="single" w:color="7F7F7F" w:sz="32" w:space="0"/>
          <w:bottom w:val="single" w:color="FFFFFF" w:sz="12" w:space="0"/>
        </w:tcBorders>
        <w:shd w:val="clear" w:color="7F7F7F" w:fill="7F7F7F"/>
      </w:tcPr>
    </w:tblStylePr>
    <w:tblStylePr w:type="lastRow">
      <w:rPr>
        <w:rFonts w:ascii="Arial" w:hAnsi="Arial"/>
        <w:b/>
        <w:color w:val="FFFFFF"/>
        <w:sz w:val="22"/>
      </w:rPr>
    </w:tblStylePr>
    <w:tblStylePr w:type="firstCol">
      <w:rPr>
        <w:rFonts w:ascii="Arial" w:hAnsi="Arial"/>
        <w:b/>
        <w:color w:val="FFFFFF"/>
        <w:sz w:val="22"/>
      </w:rPr>
      <w:tcPr>
        <w:tcBorders>
          <w:left w:val="single" w:color="7F7F7F" w:sz="32" w:space="0"/>
          <w:right w:val="single" w:color="FFFFFF" w:sz="4" w:space="0"/>
        </w:tcBorders>
      </w:tcPr>
    </w:tblStylePr>
    <w:tblStylePr w:type="lastCol">
      <w:tcPr>
        <w:tcBorders>
          <w:left w:val="single" w:color="FFFFFF" w:sz="4" w:space="0"/>
          <w:right w:val="single" w:color="7F7F7F" w:sz="32" w:space="0"/>
        </w:tcBorders>
      </w:tcPr>
    </w:tblStylePr>
    <w:tblStylePr w:type="band1Vert">
      <w:tcPr>
        <w:tcBorders>
          <w:left w:val="single" w:color="FFFFFF" w:sz="4" w:space="0"/>
          <w:right w:val="single" w:color="FFFFFF" w:sz="4" w:space="0"/>
        </w:tcBorders>
        <w:shd w:val="clear" w:color="7F7F7F" w:fill="7F7F7F"/>
      </w:tcPr>
    </w:tblStylePr>
    <w:tblStylePr w:type="band2Vert">
      <w:tcPr>
        <w:tcBorders>
          <w:left w:val="single" w:color="FFFFFF" w:sz="4" w:space="0"/>
          <w:right w:val="single" w:color="FFFFFF" w:sz="4" w:space="0"/>
        </w:tcBorders>
      </w:tcPr>
    </w:tblStylePr>
    <w:tblStylePr w:type="band1Horz">
      <w:tcPr>
        <w:tcBorders>
          <w:top w:val="single" w:color="FFFFFF" w:sz="4" w:space="0"/>
          <w:bottom w:val="single" w:color="FFFFFF" w:sz="4" w:space="0"/>
        </w:tcBorders>
        <w:shd w:val="clear" w:color="7F7F7F" w:fill="7F7F7F"/>
      </w:tcPr>
    </w:tblStylePr>
    <w:tblStylePr w:type="band2Horz">
      <w:tcPr>
        <w:tcBorders>
          <w:top w:val="single" w:color="FFFFFF" w:sz="4" w:space="0"/>
          <w:bottom w:val="single" w:color="FFFFFF" w:sz="4" w:space="0"/>
        </w:tcBorders>
        <w:shd w:val="clear" w:color="7F7F7F" w:fill="7F7F7F"/>
      </w:tcPr>
    </w:tblStylePr>
  </w:style>
  <w:style w:type="table" w:customStyle="1" w:styleId="1985">
    <w:name w:val="List Table 5 Dark - Accent 110"/>
    <w:basedOn w:val="13"/>
    <w:uiPriority w:val="99"/>
    <w:rPr>
      <w:sz w:val="22"/>
      <w:szCs w:val="22"/>
      <w:lang w:eastAsia="en-US"/>
    </w:rPr>
    <w:tblPr>
      <w:tblBorders>
        <w:top w:val="single" w:color="4472C4" w:sz="32" w:space="0"/>
        <w:left w:val="single" w:color="4472C4" w:sz="32" w:space="0"/>
        <w:bottom w:val="single" w:color="4472C4" w:sz="32" w:space="0"/>
        <w:right w:val="single" w:color="4472C4" w:sz="32" w:space="0"/>
      </w:tblBorders>
      <w:tblCellMar>
        <w:top w:w="0" w:type="dxa"/>
        <w:left w:w="108" w:type="dxa"/>
        <w:bottom w:w="0" w:type="dxa"/>
        <w:right w:w="108" w:type="dxa"/>
      </w:tblCellMar>
    </w:tblPr>
    <w:tblStylePr w:type="firstRow">
      <w:rPr>
        <w:rFonts w:ascii="Arial" w:hAnsi="Arial"/>
        <w:b/>
        <w:color w:val="FFFFFF"/>
        <w:sz w:val="22"/>
      </w:rPr>
      <w:tcPr>
        <w:tcBorders>
          <w:top w:val="single" w:color="4472C4" w:sz="32" w:space="0"/>
          <w:bottom w:val="single" w:color="FFFFFF" w:sz="12" w:space="0"/>
        </w:tcBorders>
        <w:shd w:val="clear" w:color="4472C4" w:fill="4472C4"/>
      </w:tcPr>
    </w:tblStylePr>
    <w:tblStylePr w:type="lastRow">
      <w:rPr>
        <w:rFonts w:ascii="Arial" w:hAnsi="Arial"/>
        <w:b/>
        <w:color w:val="FFFFFF"/>
        <w:sz w:val="22"/>
      </w:rPr>
    </w:tblStylePr>
    <w:tblStylePr w:type="firstCol">
      <w:rPr>
        <w:rFonts w:ascii="Arial" w:hAnsi="Arial"/>
        <w:b/>
        <w:color w:val="FFFFFF"/>
        <w:sz w:val="22"/>
      </w:rPr>
      <w:tcPr>
        <w:tcBorders>
          <w:left w:val="single" w:color="4472C4" w:sz="32" w:space="0"/>
          <w:right w:val="single" w:color="FFFFFF" w:sz="4" w:space="0"/>
        </w:tcBorders>
      </w:tcPr>
    </w:tblStylePr>
    <w:tblStylePr w:type="lastCol">
      <w:tcPr>
        <w:tcBorders>
          <w:left w:val="single" w:color="FFFFFF" w:sz="4" w:space="0"/>
          <w:right w:val="single" w:color="4472C4" w:sz="32" w:space="0"/>
        </w:tcBorders>
      </w:tcPr>
    </w:tblStylePr>
    <w:tblStylePr w:type="band1Vert">
      <w:tcPr>
        <w:tcBorders>
          <w:left w:val="single" w:color="FFFFFF" w:sz="4" w:space="0"/>
          <w:right w:val="single" w:color="FFFFFF" w:sz="4" w:space="0"/>
        </w:tcBorders>
        <w:shd w:val="clear" w:color="4472C4" w:fill="4472C4"/>
      </w:tcPr>
    </w:tblStylePr>
    <w:tblStylePr w:type="band2Vert">
      <w:tcPr>
        <w:tcBorders>
          <w:left w:val="single" w:color="FFFFFF" w:sz="4" w:space="0"/>
          <w:right w:val="single" w:color="FFFFFF" w:sz="4" w:space="0"/>
        </w:tcBorders>
      </w:tcPr>
    </w:tblStylePr>
    <w:tblStylePr w:type="band1Horz">
      <w:tcPr>
        <w:tcBorders>
          <w:top w:val="single" w:color="FFFFFF" w:sz="4" w:space="0"/>
          <w:bottom w:val="single" w:color="FFFFFF" w:sz="4" w:space="0"/>
        </w:tcBorders>
        <w:shd w:val="clear" w:color="4472C4" w:fill="4472C4"/>
      </w:tcPr>
    </w:tblStylePr>
    <w:tblStylePr w:type="band2Horz">
      <w:tcPr>
        <w:tcBorders>
          <w:top w:val="single" w:color="FFFFFF" w:sz="4" w:space="0"/>
          <w:bottom w:val="single" w:color="FFFFFF" w:sz="4" w:space="0"/>
        </w:tcBorders>
        <w:shd w:val="clear" w:color="4472C4" w:fill="4472C4"/>
      </w:tcPr>
    </w:tblStylePr>
  </w:style>
  <w:style w:type="table" w:customStyle="1" w:styleId="1986">
    <w:name w:val="List Table 5 Dark - Accent 210"/>
    <w:basedOn w:val="13"/>
    <w:uiPriority w:val="99"/>
    <w:rPr>
      <w:sz w:val="22"/>
      <w:szCs w:val="22"/>
      <w:lang w:eastAsia="en-US"/>
    </w:rPr>
    <w:tblPr>
      <w:tblBorders>
        <w:top w:val="single" w:color="F4B184" w:sz="32" w:space="0"/>
        <w:left w:val="single" w:color="F4B184" w:sz="32" w:space="0"/>
        <w:bottom w:val="single" w:color="F4B184" w:sz="32" w:space="0"/>
        <w:right w:val="single" w:color="F4B184" w:sz="32" w:space="0"/>
      </w:tblBorders>
      <w:tblCellMar>
        <w:top w:w="0" w:type="dxa"/>
        <w:left w:w="108" w:type="dxa"/>
        <w:bottom w:w="0" w:type="dxa"/>
        <w:right w:w="108" w:type="dxa"/>
      </w:tblCellMar>
    </w:tblPr>
    <w:tblStylePr w:type="firstRow">
      <w:rPr>
        <w:rFonts w:ascii="Arial" w:hAnsi="Arial"/>
        <w:b/>
        <w:color w:val="FFFFFF"/>
        <w:sz w:val="22"/>
      </w:rPr>
      <w:tcPr>
        <w:tcBorders>
          <w:top w:val="single" w:color="F4B184" w:sz="32" w:space="0"/>
          <w:bottom w:val="single" w:color="FFFFFF" w:sz="12" w:space="0"/>
        </w:tcBorders>
        <w:shd w:val="clear" w:color="F4B184" w:fill="F4B184"/>
      </w:tcPr>
    </w:tblStylePr>
    <w:tblStylePr w:type="lastRow">
      <w:rPr>
        <w:rFonts w:ascii="Arial" w:hAnsi="Arial"/>
        <w:b/>
        <w:color w:val="FFFFFF"/>
        <w:sz w:val="22"/>
      </w:rPr>
    </w:tblStylePr>
    <w:tblStylePr w:type="firstCol">
      <w:rPr>
        <w:rFonts w:ascii="Arial" w:hAnsi="Arial"/>
        <w:b/>
        <w:color w:val="FFFFFF"/>
        <w:sz w:val="22"/>
      </w:rPr>
      <w:tcPr>
        <w:tcBorders>
          <w:left w:val="single" w:color="F4B184" w:sz="32" w:space="0"/>
          <w:right w:val="single" w:color="FFFFFF" w:sz="4" w:space="0"/>
        </w:tcBorders>
      </w:tcPr>
    </w:tblStylePr>
    <w:tblStylePr w:type="lastCol">
      <w:tcPr>
        <w:tcBorders>
          <w:left w:val="single" w:color="FFFFFF" w:sz="4" w:space="0"/>
          <w:right w:val="single" w:color="F4B184" w:sz="32" w:space="0"/>
        </w:tcBorders>
      </w:tcPr>
    </w:tblStylePr>
    <w:tblStylePr w:type="band1Vert">
      <w:tcPr>
        <w:tcBorders>
          <w:left w:val="single" w:color="FFFFFF" w:sz="4" w:space="0"/>
          <w:right w:val="single" w:color="FFFFFF" w:sz="4" w:space="0"/>
        </w:tcBorders>
        <w:shd w:val="clear" w:color="F4B184" w:fill="F4B184"/>
      </w:tcPr>
    </w:tblStylePr>
    <w:tblStylePr w:type="band2Vert">
      <w:tcPr>
        <w:tcBorders>
          <w:left w:val="single" w:color="FFFFFF" w:sz="4" w:space="0"/>
          <w:right w:val="single" w:color="FFFFFF" w:sz="4" w:space="0"/>
        </w:tcBorders>
      </w:tcPr>
    </w:tblStylePr>
    <w:tblStylePr w:type="band1Horz">
      <w:tcPr>
        <w:tcBorders>
          <w:top w:val="single" w:color="FFFFFF" w:sz="4" w:space="0"/>
          <w:bottom w:val="single" w:color="FFFFFF" w:sz="4" w:space="0"/>
        </w:tcBorders>
        <w:shd w:val="clear" w:color="F4B184" w:fill="F4B184"/>
      </w:tcPr>
    </w:tblStylePr>
    <w:tblStylePr w:type="band2Horz">
      <w:tcPr>
        <w:tcBorders>
          <w:top w:val="single" w:color="FFFFFF" w:sz="4" w:space="0"/>
          <w:bottom w:val="single" w:color="FFFFFF" w:sz="4" w:space="0"/>
        </w:tcBorders>
        <w:shd w:val="clear" w:color="F4B184" w:fill="F4B184"/>
      </w:tcPr>
    </w:tblStylePr>
  </w:style>
  <w:style w:type="table" w:customStyle="1" w:styleId="1987">
    <w:name w:val="List Table 5 Dark - Accent 310"/>
    <w:basedOn w:val="13"/>
    <w:uiPriority w:val="99"/>
    <w:rPr>
      <w:sz w:val="22"/>
      <w:szCs w:val="22"/>
      <w:lang w:eastAsia="en-US"/>
    </w:rPr>
    <w:tblPr>
      <w:tblBorders>
        <w:top w:val="single" w:color="C9C9C9" w:sz="32" w:space="0"/>
        <w:left w:val="single" w:color="C9C9C9" w:sz="32" w:space="0"/>
        <w:bottom w:val="single" w:color="C9C9C9" w:sz="32" w:space="0"/>
        <w:right w:val="single" w:color="C9C9C9" w:sz="32" w:space="0"/>
      </w:tblBorders>
      <w:tblCellMar>
        <w:top w:w="0" w:type="dxa"/>
        <w:left w:w="108" w:type="dxa"/>
        <w:bottom w:w="0" w:type="dxa"/>
        <w:right w:w="108" w:type="dxa"/>
      </w:tblCellMar>
    </w:tblPr>
    <w:tblStylePr w:type="firstRow">
      <w:rPr>
        <w:rFonts w:ascii="Arial" w:hAnsi="Arial"/>
        <w:b/>
        <w:color w:val="FFFFFF"/>
        <w:sz w:val="22"/>
      </w:rPr>
      <w:tcPr>
        <w:tcBorders>
          <w:top w:val="single" w:color="C9C9C9" w:sz="32" w:space="0"/>
          <w:bottom w:val="single" w:color="FFFFFF" w:sz="12" w:space="0"/>
        </w:tcBorders>
        <w:shd w:val="clear" w:color="C9C9C9" w:fill="C9C9C9"/>
      </w:tcPr>
    </w:tblStylePr>
    <w:tblStylePr w:type="lastRow">
      <w:rPr>
        <w:rFonts w:ascii="Arial" w:hAnsi="Arial"/>
        <w:b/>
        <w:color w:val="FFFFFF"/>
        <w:sz w:val="22"/>
      </w:rPr>
    </w:tblStylePr>
    <w:tblStylePr w:type="firstCol">
      <w:rPr>
        <w:rFonts w:ascii="Arial" w:hAnsi="Arial"/>
        <w:b/>
        <w:color w:val="FFFFFF"/>
        <w:sz w:val="22"/>
      </w:rPr>
      <w:tcPr>
        <w:tcBorders>
          <w:left w:val="single" w:color="C9C9C9" w:sz="32" w:space="0"/>
          <w:right w:val="single" w:color="FFFFFF" w:sz="4" w:space="0"/>
        </w:tcBorders>
      </w:tcPr>
    </w:tblStylePr>
    <w:tblStylePr w:type="lastCol">
      <w:tcPr>
        <w:tcBorders>
          <w:left w:val="single" w:color="FFFFFF" w:sz="4" w:space="0"/>
          <w:right w:val="single" w:color="C9C9C9" w:sz="32" w:space="0"/>
        </w:tcBorders>
      </w:tcPr>
    </w:tblStylePr>
    <w:tblStylePr w:type="band1Vert">
      <w:tcPr>
        <w:tcBorders>
          <w:left w:val="single" w:color="FFFFFF" w:sz="4" w:space="0"/>
          <w:right w:val="single" w:color="FFFFFF" w:sz="4" w:space="0"/>
        </w:tcBorders>
        <w:shd w:val="clear" w:color="C9C9C9" w:fill="C9C9C9"/>
      </w:tcPr>
    </w:tblStylePr>
    <w:tblStylePr w:type="band2Vert">
      <w:tcPr>
        <w:tcBorders>
          <w:left w:val="single" w:color="FFFFFF" w:sz="4" w:space="0"/>
          <w:right w:val="single" w:color="FFFFFF" w:sz="4" w:space="0"/>
        </w:tcBorders>
      </w:tcPr>
    </w:tblStylePr>
    <w:tblStylePr w:type="band1Horz">
      <w:tcPr>
        <w:tcBorders>
          <w:top w:val="single" w:color="FFFFFF" w:sz="4" w:space="0"/>
          <w:bottom w:val="single" w:color="FFFFFF" w:sz="4" w:space="0"/>
        </w:tcBorders>
        <w:shd w:val="clear" w:color="C9C9C9" w:fill="C9C9C9"/>
      </w:tcPr>
    </w:tblStylePr>
    <w:tblStylePr w:type="band2Horz">
      <w:tcPr>
        <w:tcBorders>
          <w:top w:val="single" w:color="FFFFFF" w:sz="4" w:space="0"/>
          <w:bottom w:val="single" w:color="FFFFFF" w:sz="4" w:space="0"/>
        </w:tcBorders>
        <w:shd w:val="clear" w:color="C9C9C9" w:fill="C9C9C9"/>
      </w:tcPr>
    </w:tblStylePr>
  </w:style>
  <w:style w:type="table" w:customStyle="1" w:styleId="1988">
    <w:name w:val="List Table 5 Dark - Accent 410"/>
    <w:basedOn w:val="13"/>
    <w:uiPriority w:val="99"/>
    <w:rPr>
      <w:sz w:val="22"/>
      <w:szCs w:val="22"/>
      <w:lang w:eastAsia="en-US"/>
    </w:rPr>
    <w:tblPr>
      <w:tblBorders>
        <w:top w:val="single" w:color="FFD865" w:sz="32" w:space="0"/>
        <w:left w:val="single" w:color="FFD865" w:sz="32" w:space="0"/>
        <w:bottom w:val="single" w:color="FFD865" w:sz="32" w:space="0"/>
        <w:right w:val="single" w:color="FFD865" w:sz="32" w:space="0"/>
      </w:tblBorders>
      <w:tblCellMar>
        <w:top w:w="0" w:type="dxa"/>
        <w:left w:w="108" w:type="dxa"/>
        <w:bottom w:w="0" w:type="dxa"/>
        <w:right w:w="108" w:type="dxa"/>
      </w:tblCellMar>
    </w:tblPr>
    <w:tblStylePr w:type="firstRow">
      <w:rPr>
        <w:rFonts w:ascii="Arial" w:hAnsi="Arial"/>
        <w:b/>
        <w:color w:val="FFFFFF"/>
        <w:sz w:val="22"/>
      </w:rPr>
      <w:tcPr>
        <w:tcBorders>
          <w:top w:val="single" w:color="FFD865" w:sz="32" w:space="0"/>
          <w:bottom w:val="single" w:color="FFFFFF" w:sz="12" w:space="0"/>
        </w:tcBorders>
        <w:shd w:val="clear" w:color="FFD865" w:fill="FFD865"/>
      </w:tcPr>
    </w:tblStylePr>
    <w:tblStylePr w:type="lastRow">
      <w:rPr>
        <w:rFonts w:ascii="Arial" w:hAnsi="Arial"/>
        <w:b/>
        <w:color w:val="FFFFFF"/>
        <w:sz w:val="22"/>
      </w:rPr>
    </w:tblStylePr>
    <w:tblStylePr w:type="firstCol">
      <w:rPr>
        <w:rFonts w:ascii="Arial" w:hAnsi="Arial"/>
        <w:b/>
        <w:color w:val="FFFFFF"/>
        <w:sz w:val="22"/>
      </w:rPr>
      <w:tcPr>
        <w:tcBorders>
          <w:left w:val="single" w:color="FFD865" w:sz="32" w:space="0"/>
          <w:right w:val="single" w:color="FFFFFF" w:sz="4" w:space="0"/>
        </w:tcBorders>
      </w:tcPr>
    </w:tblStylePr>
    <w:tblStylePr w:type="lastCol">
      <w:tcPr>
        <w:tcBorders>
          <w:left w:val="single" w:color="FFFFFF" w:sz="4" w:space="0"/>
          <w:right w:val="single" w:color="FFD865" w:sz="32" w:space="0"/>
        </w:tcBorders>
      </w:tcPr>
    </w:tblStylePr>
    <w:tblStylePr w:type="band1Vert">
      <w:tcPr>
        <w:tcBorders>
          <w:left w:val="single" w:color="FFFFFF" w:sz="4" w:space="0"/>
          <w:right w:val="single" w:color="FFFFFF" w:sz="4" w:space="0"/>
        </w:tcBorders>
        <w:shd w:val="clear" w:color="FFD865" w:fill="FFD865"/>
      </w:tcPr>
    </w:tblStylePr>
    <w:tblStylePr w:type="band2Vert">
      <w:tcPr>
        <w:tcBorders>
          <w:left w:val="single" w:color="FFFFFF" w:sz="4" w:space="0"/>
          <w:right w:val="single" w:color="FFFFFF" w:sz="4" w:space="0"/>
        </w:tcBorders>
      </w:tcPr>
    </w:tblStylePr>
    <w:tblStylePr w:type="band1Horz">
      <w:tcPr>
        <w:tcBorders>
          <w:top w:val="single" w:color="FFFFFF" w:sz="4" w:space="0"/>
          <w:bottom w:val="single" w:color="FFFFFF" w:sz="4" w:space="0"/>
        </w:tcBorders>
        <w:shd w:val="clear" w:color="FFD865" w:fill="FFD865"/>
      </w:tcPr>
    </w:tblStylePr>
    <w:tblStylePr w:type="band2Horz">
      <w:tcPr>
        <w:tcBorders>
          <w:top w:val="single" w:color="FFFFFF" w:sz="4" w:space="0"/>
          <w:bottom w:val="single" w:color="FFFFFF" w:sz="4" w:space="0"/>
        </w:tcBorders>
        <w:shd w:val="clear" w:color="FFD865" w:fill="FFD865"/>
      </w:tcPr>
    </w:tblStylePr>
  </w:style>
  <w:style w:type="table" w:customStyle="1" w:styleId="1989">
    <w:name w:val="List Table 5 Dark - Accent 510"/>
    <w:basedOn w:val="13"/>
    <w:uiPriority w:val="99"/>
    <w:rPr>
      <w:sz w:val="22"/>
      <w:szCs w:val="22"/>
      <w:lang w:eastAsia="en-US"/>
    </w:rPr>
    <w:tblPr>
      <w:tblBorders>
        <w:top w:val="single" w:color="9BC2E5" w:sz="32" w:space="0"/>
        <w:left w:val="single" w:color="9BC2E5" w:sz="32" w:space="0"/>
        <w:bottom w:val="single" w:color="9BC2E5" w:sz="32" w:space="0"/>
        <w:right w:val="single" w:color="9BC2E5" w:sz="32" w:space="0"/>
      </w:tblBorders>
      <w:tblCellMar>
        <w:top w:w="0" w:type="dxa"/>
        <w:left w:w="108" w:type="dxa"/>
        <w:bottom w:w="0" w:type="dxa"/>
        <w:right w:w="108" w:type="dxa"/>
      </w:tblCellMar>
    </w:tblPr>
    <w:tblStylePr w:type="firstRow">
      <w:rPr>
        <w:rFonts w:ascii="Arial" w:hAnsi="Arial"/>
        <w:b/>
        <w:color w:val="FFFFFF"/>
        <w:sz w:val="22"/>
      </w:rPr>
      <w:tcPr>
        <w:tcBorders>
          <w:top w:val="single" w:color="9BC2E5" w:sz="32" w:space="0"/>
          <w:bottom w:val="single" w:color="FFFFFF" w:sz="12" w:space="0"/>
        </w:tcBorders>
        <w:shd w:val="clear" w:color="9BC2E5" w:fill="9BC2E5"/>
      </w:tcPr>
    </w:tblStylePr>
    <w:tblStylePr w:type="lastRow">
      <w:rPr>
        <w:rFonts w:ascii="Arial" w:hAnsi="Arial"/>
        <w:b/>
        <w:color w:val="FFFFFF"/>
        <w:sz w:val="22"/>
      </w:rPr>
    </w:tblStylePr>
    <w:tblStylePr w:type="firstCol">
      <w:rPr>
        <w:rFonts w:ascii="Arial" w:hAnsi="Arial"/>
        <w:b/>
        <w:color w:val="FFFFFF"/>
        <w:sz w:val="22"/>
      </w:rPr>
      <w:tcPr>
        <w:tcBorders>
          <w:left w:val="single" w:color="9BC2E5" w:sz="32" w:space="0"/>
          <w:right w:val="single" w:color="FFFFFF" w:sz="4" w:space="0"/>
        </w:tcBorders>
      </w:tcPr>
    </w:tblStylePr>
    <w:tblStylePr w:type="lastCol">
      <w:tcPr>
        <w:tcBorders>
          <w:left w:val="single" w:color="FFFFFF" w:sz="4" w:space="0"/>
          <w:right w:val="single" w:color="9BC2E5" w:sz="32" w:space="0"/>
        </w:tcBorders>
      </w:tcPr>
    </w:tblStylePr>
    <w:tblStylePr w:type="band1Vert">
      <w:tcPr>
        <w:tcBorders>
          <w:left w:val="single" w:color="FFFFFF" w:sz="4" w:space="0"/>
          <w:right w:val="single" w:color="FFFFFF" w:sz="4" w:space="0"/>
        </w:tcBorders>
        <w:shd w:val="clear" w:color="9BC2E5" w:fill="9BC2E5"/>
      </w:tcPr>
    </w:tblStylePr>
    <w:tblStylePr w:type="band2Vert">
      <w:tcPr>
        <w:tcBorders>
          <w:left w:val="single" w:color="FFFFFF" w:sz="4" w:space="0"/>
          <w:right w:val="single" w:color="FFFFFF" w:sz="4" w:space="0"/>
        </w:tcBorders>
      </w:tcPr>
    </w:tblStylePr>
    <w:tblStylePr w:type="band1Horz">
      <w:tcPr>
        <w:tcBorders>
          <w:top w:val="single" w:color="FFFFFF" w:sz="4" w:space="0"/>
          <w:bottom w:val="single" w:color="FFFFFF" w:sz="4" w:space="0"/>
        </w:tcBorders>
        <w:shd w:val="clear" w:color="9BC2E5" w:fill="9BC2E5"/>
      </w:tcPr>
    </w:tblStylePr>
    <w:tblStylePr w:type="band2Horz">
      <w:tcPr>
        <w:tcBorders>
          <w:top w:val="single" w:color="FFFFFF" w:sz="4" w:space="0"/>
          <w:bottom w:val="single" w:color="FFFFFF" w:sz="4" w:space="0"/>
        </w:tcBorders>
        <w:shd w:val="clear" w:color="9BC2E5" w:fill="9BC2E5"/>
      </w:tcPr>
    </w:tblStylePr>
  </w:style>
  <w:style w:type="table" w:customStyle="1" w:styleId="1990">
    <w:name w:val="List Table 5 Dark - Accent 610"/>
    <w:basedOn w:val="13"/>
    <w:uiPriority w:val="99"/>
    <w:rPr>
      <w:sz w:val="22"/>
      <w:szCs w:val="22"/>
      <w:lang w:eastAsia="en-US"/>
    </w:rPr>
    <w:tblPr>
      <w:tblBorders>
        <w:top w:val="single" w:color="A9D08E" w:sz="32" w:space="0"/>
        <w:left w:val="single" w:color="A9D08E" w:sz="32" w:space="0"/>
        <w:bottom w:val="single" w:color="A9D08E" w:sz="32" w:space="0"/>
        <w:right w:val="single" w:color="A9D08E" w:sz="32" w:space="0"/>
      </w:tblBorders>
      <w:tblCellMar>
        <w:top w:w="0" w:type="dxa"/>
        <w:left w:w="108" w:type="dxa"/>
        <w:bottom w:w="0" w:type="dxa"/>
        <w:right w:w="108" w:type="dxa"/>
      </w:tblCellMar>
    </w:tblPr>
    <w:tblStylePr w:type="firstRow">
      <w:rPr>
        <w:rFonts w:ascii="Arial" w:hAnsi="Arial"/>
        <w:b/>
        <w:color w:val="FFFFFF"/>
        <w:sz w:val="22"/>
      </w:rPr>
      <w:tcPr>
        <w:tcBorders>
          <w:top w:val="single" w:color="A9D08E" w:sz="32" w:space="0"/>
          <w:bottom w:val="single" w:color="FFFFFF" w:sz="12" w:space="0"/>
        </w:tcBorders>
        <w:shd w:val="clear" w:color="A9D08E" w:fill="A9D08E"/>
      </w:tcPr>
    </w:tblStylePr>
    <w:tblStylePr w:type="lastRow">
      <w:rPr>
        <w:rFonts w:ascii="Arial" w:hAnsi="Arial"/>
        <w:b/>
        <w:color w:val="FFFFFF"/>
        <w:sz w:val="22"/>
      </w:rPr>
    </w:tblStylePr>
    <w:tblStylePr w:type="firstCol">
      <w:rPr>
        <w:rFonts w:ascii="Arial" w:hAnsi="Arial"/>
        <w:b/>
        <w:color w:val="FFFFFF"/>
        <w:sz w:val="22"/>
      </w:rPr>
      <w:tcPr>
        <w:tcBorders>
          <w:left w:val="single" w:color="A9D08E" w:sz="32" w:space="0"/>
          <w:right w:val="single" w:color="FFFFFF" w:sz="4" w:space="0"/>
        </w:tcBorders>
      </w:tcPr>
    </w:tblStylePr>
    <w:tblStylePr w:type="lastCol">
      <w:tcPr>
        <w:tcBorders>
          <w:left w:val="single" w:color="FFFFFF" w:sz="4" w:space="0"/>
          <w:right w:val="single" w:color="A9D08E" w:sz="32" w:space="0"/>
        </w:tcBorders>
      </w:tcPr>
    </w:tblStylePr>
    <w:tblStylePr w:type="band1Vert">
      <w:tcPr>
        <w:tcBorders>
          <w:left w:val="single" w:color="FFFFFF" w:sz="4" w:space="0"/>
          <w:right w:val="single" w:color="FFFFFF" w:sz="4" w:space="0"/>
        </w:tcBorders>
        <w:shd w:val="clear" w:color="A9D08E" w:fill="A9D08E"/>
      </w:tcPr>
    </w:tblStylePr>
    <w:tblStylePr w:type="band2Vert">
      <w:tcPr>
        <w:tcBorders>
          <w:left w:val="single" w:color="FFFFFF" w:sz="4" w:space="0"/>
          <w:right w:val="single" w:color="FFFFFF" w:sz="4" w:space="0"/>
        </w:tcBorders>
      </w:tcPr>
    </w:tblStylePr>
    <w:tblStylePr w:type="band1Horz">
      <w:tcPr>
        <w:tcBorders>
          <w:top w:val="single" w:color="FFFFFF" w:sz="4" w:space="0"/>
          <w:bottom w:val="single" w:color="FFFFFF" w:sz="4" w:space="0"/>
        </w:tcBorders>
        <w:shd w:val="clear" w:color="A9D08E" w:fill="A9D08E"/>
      </w:tcPr>
    </w:tblStylePr>
    <w:tblStylePr w:type="band2Horz">
      <w:tcPr>
        <w:tcBorders>
          <w:top w:val="single" w:color="FFFFFF" w:sz="4" w:space="0"/>
          <w:bottom w:val="single" w:color="FFFFFF" w:sz="4" w:space="0"/>
        </w:tcBorders>
        <w:shd w:val="clear" w:color="A9D08E" w:fill="A9D08E"/>
      </w:tcPr>
    </w:tblStylePr>
  </w:style>
  <w:style w:type="table" w:customStyle="1" w:styleId="1991">
    <w:name w:val="Список-таблица 6 цветная18"/>
    <w:basedOn w:val="13"/>
    <w:uiPriority w:val="99"/>
    <w:rPr>
      <w:sz w:val="22"/>
      <w:szCs w:val="22"/>
      <w:lang w:eastAsia="en-US"/>
    </w:rPr>
    <w:tblPr>
      <w:tblBorders>
        <w:top w:val="single" w:color="7F7F7F" w:sz="4" w:space="0"/>
        <w:bottom w:val="single" w:color="7F7F7F" w:sz="4" w:space="0"/>
      </w:tblBorders>
      <w:tblCellMar>
        <w:top w:w="0" w:type="dxa"/>
        <w:left w:w="108" w:type="dxa"/>
        <w:bottom w:w="0" w:type="dxa"/>
        <w:right w:w="108" w:type="dxa"/>
      </w:tblCellMar>
    </w:tblPr>
    <w:tblStylePr w:type="firstRow">
      <w:rPr>
        <w:b/>
        <w:color w:val="000000"/>
      </w:rPr>
      <w:tcPr>
        <w:tcBorders>
          <w:bottom w:val="single" w:color="7F7F7F" w:sz="4" w:space="0"/>
        </w:tcBorders>
      </w:tcPr>
    </w:tblStylePr>
    <w:tblStylePr w:type="lastRow">
      <w:rPr>
        <w:b/>
        <w:color w:val="000000"/>
      </w:rPr>
      <w:tcPr>
        <w:tcBorders>
          <w:top w:val="single" w:color="7F7F7F" w:sz="4" w:space="0"/>
        </w:tcBorders>
      </w:tcPr>
    </w:tblStylePr>
    <w:tblStylePr w:type="firstCol">
      <w:rPr>
        <w:b/>
        <w:color w:val="000000"/>
      </w:rPr>
    </w:tblStylePr>
    <w:tblStylePr w:type="lastCol">
      <w:rPr>
        <w:b/>
        <w:color w:val="000000"/>
      </w:rPr>
    </w:tblStylePr>
    <w:tblStylePr w:type="band1Vert">
      <w:tcPr>
        <w:shd w:val="clear" w:color="BFBFBF" w:fill="BFBFBF"/>
      </w:tcPr>
    </w:tblStylePr>
    <w:tblStylePr w:type="band1Horz">
      <w:rPr>
        <w:rFonts w:ascii="Arial" w:hAnsi="Arial"/>
        <w:color w:val="000000"/>
        <w:sz w:val="22"/>
      </w:rPr>
      <w:tcPr>
        <w:shd w:val="clear" w:color="BFBFBF" w:fill="BFBFBF"/>
      </w:tcPr>
    </w:tblStylePr>
    <w:tblStylePr w:type="band2Horz">
      <w:rPr>
        <w:rFonts w:ascii="Arial" w:hAnsi="Arial"/>
        <w:color w:val="000000"/>
        <w:sz w:val="22"/>
      </w:rPr>
    </w:tblStylePr>
  </w:style>
  <w:style w:type="table" w:customStyle="1" w:styleId="1992">
    <w:name w:val="List Table 6 Colorful - Accent 110"/>
    <w:basedOn w:val="13"/>
    <w:uiPriority w:val="99"/>
    <w:rPr>
      <w:sz w:val="22"/>
      <w:szCs w:val="22"/>
      <w:lang w:eastAsia="en-US"/>
    </w:rPr>
    <w:tblPr>
      <w:tblBorders>
        <w:top w:val="single" w:color="4472C4" w:sz="4" w:space="0"/>
        <w:bottom w:val="single" w:color="4472C4" w:sz="4" w:space="0"/>
      </w:tblBorders>
      <w:tblCellMar>
        <w:top w:w="0" w:type="dxa"/>
        <w:left w:w="108" w:type="dxa"/>
        <w:bottom w:w="0" w:type="dxa"/>
        <w:right w:w="108" w:type="dxa"/>
      </w:tblCellMar>
    </w:tblPr>
    <w:tblStylePr w:type="firstRow">
      <w:rPr>
        <w:b/>
        <w:color w:val="254175"/>
      </w:rPr>
      <w:tcPr>
        <w:tcBorders>
          <w:bottom w:val="single" w:color="4472C4" w:sz="4" w:space="0"/>
        </w:tcBorders>
      </w:tcPr>
    </w:tblStylePr>
    <w:tblStylePr w:type="lastRow">
      <w:rPr>
        <w:b/>
        <w:color w:val="254175"/>
      </w:rPr>
      <w:tcPr>
        <w:tcBorders>
          <w:top w:val="single" w:color="4472C4" w:sz="4" w:space="0"/>
        </w:tcBorders>
      </w:tcPr>
    </w:tblStylePr>
    <w:tblStylePr w:type="firstCol">
      <w:rPr>
        <w:b/>
        <w:color w:val="254175"/>
      </w:rPr>
    </w:tblStylePr>
    <w:tblStylePr w:type="lastCol">
      <w:rPr>
        <w:b/>
        <w:color w:val="254175"/>
      </w:rPr>
    </w:tblStylePr>
    <w:tblStylePr w:type="band1Vert">
      <w:tcPr>
        <w:shd w:val="clear" w:color="CFDBF0" w:fill="CFDBF0"/>
      </w:tcPr>
    </w:tblStylePr>
    <w:tblStylePr w:type="band1Horz">
      <w:rPr>
        <w:rFonts w:ascii="Arial" w:hAnsi="Arial"/>
        <w:color w:val="254175"/>
        <w:sz w:val="22"/>
      </w:rPr>
      <w:tcPr>
        <w:shd w:val="clear" w:color="CFDBF0" w:fill="CFDBF0"/>
      </w:tcPr>
    </w:tblStylePr>
    <w:tblStylePr w:type="band2Horz">
      <w:rPr>
        <w:rFonts w:ascii="Arial" w:hAnsi="Arial"/>
        <w:color w:val="254175"/>
        <w:sz w:val="22"/>
      </w:rPr>
    </w:tblStylePr>
  </w:style>
  <w:style w:type="table" w:customStyle="1" w:styleId="1993">
    <w:name w:val="List Table 6 Colorful - Accent 210"/>
    <w:basedOn w:val="13"/>
    <w:uiPriority w:val="99"/>
    <w:rPr>
      <w:sz w:val="22"/>
      <w:szCs w:val="22"/>
      <w:lang w:eastAsia="en-US"/>
    </w:rPr>
    <w:tblPr>
      <w:tblBorders>
        <w:top w:val="single" w:color="F4B184" w:sz="4" w:space="0"/>
        <w:bottom w:val="single" w:color="F4B184" w:sz="4" w:space="0"/>
      </w:tblBorders>
      <w:tblCellMar>
        <w:top w:w="0" w:type="dxa"/>
        <w:left w:w="108" w:type="dxa"/>
        <w:bottom w:w="0" w:type="dxa"/>
        <w:right w:w="108" w:type="dxa"/>
      </w:tblCellMar>
    </w:tblPr>
    <w:tblStylePr w:type="firstRow">
      <w:rPr>
        <w:b/>
        <w:color w:val="F4B184"/>
      </w:rPr>
      <w:tcPr>
        <w:tcBorders>
          <w:bottom w:val="single" w:color="F4B184" w:sz="4" w:space="0"/>
        </w:tcBorders>
      </w:tcPr>
    </w:tblStylePr>
    <w:tblStylePr w:type="lastRow">
      <w:rPr>
        <w:b/>
        <w:color w:val="F4B184"/>
      </w:rPr>
      <w:tcPr>
        <w:tcBorders>
          <w:top w:val="single" w:color="F4B184" w:sz="4" w:space="0"/>
        </w:tcBorders>
      </w:tcPr>
    </w:tblStylePr>
    <w:tblStylePr w:type="firstCol">
      <w:rPr>
        <w:b/>
        <w:color w:val="F4B184"/>
      </w:rPr>
    </w:tblStylePr>
    <w:tblStylePr w:type="lastCol">
      <w:rPr>
        <w:b/>
        <w:color w:val="F4B184"/>
      </w:rPr>
    </w:tblStylePr>
    <w:tblStylePr w:type="band1Vert">
      <w:tcPr>
        <w:shd w:val="clear" w:color="FADECB" w:fill="FADECB"/>
      </w:tcPr>
    </w:tblStylePr>
    <w:tblStylePr w:type="band1Horz">
      <w:rPr>
        <w:rFonts w:ascii="Arial" w:hAnsi="Arial"/>
        <w:color w:val="F4B184"/>
        <w:sz w:val="22"/>
      </w:rPr>
      <w:tcPr>
        <w:shd w:val="clear" w:color="FADECB" w:fill="FADECB"/>
      </w:tcPr>
    </w:tblStylePr>
    <w:tblStylePr w:type="band2Horz">
      <w:rPr>
        <w:rFonts w:ascii="Arial" w:hAnsi="Arial"/>
        <w:color w:val="F4B184"/>
        <w:sz w:val="22"/>
      </w:rPr>
    </w:tblStylePr>
  </w:style>
  <w:style w:type="table" w:customStyle="1" w:styleId="1994">
    <w:name w:val="List Table 6 Colorful - Accent 310"/>
    <w:basedOn w:val="13"/>
    <w:uiPriority w:val="99"/>
    <w:rPr>
      <w:sz w:val="22"/>
      <w:szCs w:val="22"/>
      <w:lang w:eastAsia="en-US"/>
    </w:rPr>
    <w:tblPr>
      <w:tblBorders>
        <w:top w:val="single" w:color="C9C9C9" w:sz="4" w:space="0"/>
        <w:bottom w:val="single" w:color="C9C9C9" w:sz="4" w:space="0"/>
      </w:tblBorders>
      <w:tblCellMar>
        <w:top w:w="0" w:type="dxa"/>
        <w:left w:w="108" w:type="dxa"/>
        <w:bottom w:w="0" w:type="dxa"/>
        <w:right w:w="108" w:type="dxa"/>
      </w:tblCellMar>
    </w:tblPr>
    <w:tblStylePr w:type="firstRow">
      <w:rPr>
        <w:b/>
        <w:color w:val="C9C9C9"/>
      </w:rPr>
      <w:tcPr>
        <w:tcBorders>
          <w:bottom w:val="single" w:color="C9C9C9" w:sz="4" w:space="0"/>
        </w:tcBorders>
      </w:tcPr>
    </w:tblStylePr>
    <w:tblStylePr w:type="lastRow">
      <w:rPr>
        <w:b/>
        <w:color w:val="C9C9C9"/>
      </w:rPr>
      <w:tcPr>
        <w:tcBorders>
          <w:top w:val="single" w:color="C9C9C9" w:sz="4" w:space="0"/>
        </w:tcBorders>
      </w:tcPr>
    </w:tblStylePr>
    <w:tblStylePr w:type="firstCol">
      <w:rPr>
        <w:b/>
        <w:color w:val="C9C9C9"/>
      </w:rPr>
    </w:tblStylePr>
    <w:tblStylePr w:type="lastCol">
      <w:rPr>
        <w:b/>
        <w:color w:val="C9C9C9"/>
      </w:rPr>
    </w:tblStylePr>
    <w:tblStylePr w:type="band1Vert">
      <w:tcPr>
        <w:shd w:val="clear" w:color="E8E8E8" w:fill="E8E8E8"/>
      </w:tcPr>
    </w:tblStylePr>
    <w:tblStylePr w:type="band1Horz">
      <w:rPr>
        <w:rFonts w:ascii="Arial" w:hAnsi="Arial"/>
        <w:color w:val="C9C9C9"/>
        <w:sz w:val="22"/>
      </w:rPr>
      <w:tcPr>
        <w:shd w:val="clear" w:color="E8E8E8" w:fill="E8E8E8"/>
      </w:tcPr>
    </w:tblStylePr>
    <w:tblStylePr w:type="band2Horz">
      <w:rPr>
        <w:rFonts w:ascii="Arial" w:hAnsi="Arial"/>
        <w:color w:val="C9C9C9"/>
        <w:sz w:val="22"/>
      </w:rPr>
    </w:tblStylePr>
  </w:style>
  <w:style w:type="table" w:customStyle="1" w:styleId="1995">
    <w:name w:val="List Table 6 Colorful - Accent 410"/>
    <w:basedOn w:val="13"/>
    <w:uiPriority w:val="99"/>
    <w:rPr>
      <w:sz w:val="22"/>
      <w:szCs w:val="22"/>
      <w:lang w:eastAsia="en-US"/>
    </w:rPr>
    <w:tblPr>
      <w:tblBorders>
        <w:top w:val="single" w:color="FFD865" w:sz="4" w:space="0"/>
        <w:bottom w:val="single" w:color="FFD865" w:sz="4" w:space="0"/>
      </w:tblBorders>
      <w:tblCellMar>
        <w:top w:w="0" w:type="dxa"/>
        <w:left w:w="108" w:type="dxa"/>
        <w:bottom w:w="0" w:type="dxa"/>
        <w:right w:w="108" w:type="dxa"/>
      </w:tblCellMar>
    </w:tblPr>
    <w:tblStylePr w:type="firstRow">
      <w:rPr>
        <w:b/>
        <w:color w:val="FFD865"/>
      </w:rPr>
      <w:tcPr>
        <w:tcBorders>
          <w:bottom w:val="single" w:color="FFD865" w:sz="4" w:space="0"/>
        </w:tcBorders>
      </w:tcPr>
    </w:tblStylePr>
    <w:tblStylePr w:type="lastRow">
      <w:rPr>
        <w:b/>
        <w:color w:val="FFD865"/>
      </w:rPr>
      <w:tcPr>
        <w:tcBorders>
          <w:top w:val="single" w:color="FFD865" w:sz="4" w:space="0"/>
        </w:tcBorders>
      </w:tcPr>
    </w:tblStylePr>
    <w:tblStylePr w:type="firstCol">
      <w:rPr>
        <w:b/>
        <w:color w:val="FFD865"/>
      </w:rPr>
    </w:tblStylePr>
    <w:tblStylePr w:type="lastCol">
      <w:rPr>
        <w:b/>
        <w:color w:val="FFD865"/>
      </w:rPr>
    </w:tblStylePr>
    <w:tblStylePr w:type="band1Vert">
      <w:tcPr>
        <w:shd w:val="clear" w:color="FFEFBF" w:fill="FFEFBF"/>
      </w:tcPr>
    </w:tblStylePr>
    <w:tblStylePr w:type="band1Horz">
      <w:rPr>
        <w:rFonts w:ascii="Arial" w:hAnsi="Arial"/>
        <w:color w:val="FFD865"/>
        <w:sz w:val="22"/>
      </w:rPr>
      <w:tcPr>
        <w:shd w:val="clear" w:color="FFEFBF" w:fill="FFEFBF"/>
      </w:tcPr>
    </w:tblStylePr>
    <w:tblStylePr w:type="band2Horz">
      <w:rPr>
        <w:rFonts w:ascii="Arial" w:hAnsi="Arial"/>
        <w:color w:val="FFD865"/>
        <w:sz w:val="22"/>
      </w:rPr>
    </w:tblStylePr>
  </w:style>
  <w:style w:type="table" w:customStyle="1" w:styleId="1996">
    <w:name w:val="List Table 6 Colorful - Accent 510"/>
    <w:basedOn w:val="13"/>
    <w:uiPriority w:val="99"/>
    <w:rPr>
      <w:sz w:val="22"/>
      <w:szCs w:val="22"/>
      <w:lang w:eastAsia="en-US"/>
    </w:rPr>
    <w:tblPr>
      <w:tblBorders>
        <w:top w:val="single" w:color="9BC2E5" w:sz="4" w:space="0"/>
        <w:bottom w:val="single" w:color="9BC2E5" w:sz="4" w:space="0"/>
      </w:tblBorders>
      <w:tblCellMar>
        <w:top w:w="0" w:type="dxa"/>
        <w:left w:w="108" w:type="dxa"/>
        <w:bottom w:w="0" w:type="dxa"/>
        <w:right w:w="108" w:type="dxa"/>
      </w:tblCellMar>
    </w:tblPr>
    <w:tblStylePr w:type="firstRow">
      <w:rPr>
        <w:b/>
        <w:color w:val="9BC2E5"/>
      </w:rPr>
      <w:tcPr>
        <w:tcBorders>
          <w:bottom w:val="single" w:color="9BC2E5" w:sz="4" w:space="0"/>
        </w:tcBorders>
      </w:tcPr>
    </w:tblStylePr>
    <w:tblStylePr w:type="lastRow">
      <w:rPr>
        <w:b/>
        <w:color w:val="9BC2E5"/>
      </w:rPr>
      <w:tcPr>
        <w:tcBorders>
          <w:top w:val="single" w:color="9BC2E5" w:sz="4" w:space="0"/>
        </w:tcBorders>
      </w:tcPr>
    </w:tblStylePr>
    <w:tblStylePr w:type="firstCol">
      <w:rPr>
        <w:b/>
        <w:color w:val="9BC2E5"/>
      </w:rPr>
    </w:tblStylePr>
    <w:tblStylePr w:type="lastCol">
      <w:rPr>
        <w:b/>
        <w:color w:val="9BC2E5"/>
      </w:rPr>
    </w:tblStylePr>
    <w:tblStylePr w:type="band1Vert">
      <w:tcPr>
        <w:shd w:val="clear" w:color="D5E5F4" w:fill="D5E5F4"/>
      </w:tcPr>
    </w:tblStylePr>
    <w:tblStylePr w:type="band1Horz">
      <w:rPr>
        <w:rFonts w:ascii="Arial" w:hAnsi="Arial"/>
        <w:color w:val="9BC2E5"/>
        <w:sz w:val="22"/>
      </w:rPr>
      <w:tcPr>
        <w:shd w:val="clear" w:color="D5E5F4" w:fill="D5E5F4"/>
      </w:tcPr>
    </w:tblStylePr>
    <w:tblStylePr w:type="band2Horz">
      <w:rPr>
        <w:rFonts w:ascii="Arial" w:hAnsi="Arial"/>
        <w:color w:val="9BC2E5"/>
        <w:sz w:val="22"/>
      </w:rPr>
    </w:tblStylePr>
  </w:style>
  <w:style w:type="table" w:customStyle="1" w:styleId="1997">
    <w:name w:val="List Table 6 Colorful - Accent 610"/>
    <w:basedOn w:val="13"/>
    <w:uiPriority w:val="99"/>
    <w:rPr>
      <w:sz w:val="22"/>
      <w:szCs w:val="22"/>
      <w:lang w:eastAsia="en-US"/>
    </w:rPr>
    <w:tblPr>
      <w:tblBorders>
        <w:top w:val="single" w:color="A9D08E" w:sz="4" w:space="0"/>
        <w:bottom w:val="single" w:color="A9D08E" w:sz="4" w:space="0"/>
      </w:tblBorders>
      <w:tblCellMar>
        <w:top w:w="0" w:type="dxa"/>
        <w:left w:w="108" w:type="dxa"/>
        <w:bottom w:w="0" w:type="dxa"/>
        <w:right w:w="108" w:type="dxa"/>
      </w:tblCellMar>
    </w:tblPr>
    <w:tblStylePr w:type="firstRow">
      <w:rPr>
        <w:b/>
        <w:color w:val="A9D08E"/>
      </w:rPr>
      <w:tcPr>
        <w:tcBorders>
          <w:bottom w:val="single" w:color="A9D08E" w:sz="4" w:space="0"/>
        </w:tcBorders>
      </w:tcPr>
    </w:tblStylePr>
    <w:tblStylePr w:type="lastRow">
      <w:rPr>
        <w:b/>
        <w:color w:val="A9D08E"/>
      </w:rPr>
      <w:tcPr>
        <w:tcBorders>
          <w:top w:val="single" w:color="A9D08E" w:sz="4" w:space="0"/>
        </w:tcBorders>
      </w:tcPr>
    </w:tblStylePr>
    <w:tblStylePr w:type="firstCol">
      <w:rPr>
        <w:b/>
        <w:color w:val="A9D08E"/>
      </w:rPr>
    </w:tblStylePr>
    <w:tblStylePr w:type="lastCol">
      <w:rPr>
        <w:b/>
        <w:color w:val="A9D08E"/>
      </w:rPr>
    </w:tblStylePr>
    <w:tblStylePr w:type="band1Vert">
      <w:tcPr>
        <w:shd w:val="clear" w:color="DAEBCF" w:fill="DAEBCF"/>
      </w:tcPr>
    </w:tblStylePr>
    <w:tblStylePr w:type="band1Horz">
      <w:rPr>
        <w:rFonts w:ascii="Arial" w:hAnsi="Arial"/>
        <w:color w:val="A9D08E"/>
        <w:sz w:val="22"/>
      </w:rPr>
      <w:tcPr>
        <w:shd w:val="clear" w:color="DAEBCF" w:fill="DAEBCF"/>
      </w:tcPr>
    </w:tblStylePr>
    <w:tblStylePr w:type="band2Horz">
      <w:rPr>
        <w:rFonts w:ascii="Arial" w:hAnsi="Arial"/>
        <w:color w:val="A9D08E"/>
        <w:sz w:val="22"/>
      </w:rPr>
    </w:tblStylePr>
  </w:style>
  <w:style w:type="table" w:customStyle="1" w:styleId="1998">
    <w:name w:val="Список-таблица 7 цветная18"/>
    <w:basedOn w:val="13"/>
    <w:uiPriority w:val="99"/>
    <w:rPr>
      <w:sz w:val="22"/>
      <w:szCs w:val="22"/>
      <w:lang w:eastAsia="en-US"/>
    </w:rPr>
    <w:tblPr>
      <w:tblBorders>
        <w:right w:val="single" w:color="7F7F7F" w:sz="4" w:space="0"/>
      </w:tblBorders>
      <w:tblCellMar>
        <w:top w:w="0" w:type="dxa"/>
        <w:left w:w="108" w:type="dxa"/>
        <w:bottom w:w="0" w:type="dxa"/>
        <w:right w:w="108" w:type="dxa"/>
      </w:tblCellMar>
    </w:tblPr>
    <w:tblStylePr w:type="firstRow">
      <w:rPr>
        <w:rFonts w:ascii="Arial" w:hAnsi="Arial"/>
        <w:i/>
        <w:color w:val="7F7F7F"/>
        <w:sz w:val="22"/>
      </w:rPr>
      <w:tcPr>
        <w:tcBorders>
          <w:top w:val="nil"/>
          <w:left w:val="nil"/>
          <w:bottom w:val="single" w:color="7F7F7F" w:sz="4" w:space="0"/>
          <w:right w:val="nil"/>
        </w:tcBorders>
        <w:shd w:val="clear" w:color="FFFFFF" w:fill="FFFFFF"/>
      </w:tcPr>
    </w:tblStylePr>
    <w:tblStylePr w:type="lastRow">
      <w:rPr>
        <w:rFonts w:ascii="Arial" w:hAnsi="Arial"/>
        <w:i/>
        <w:color w:val="7F7F7F"/>
        <w:sz w:val="22"/>
      </w:rPr>
      <w:tcPr>
        <w:tcBorders>
          <w:top w:val="single" w:color="7F7F7F" w:sz="4" w:space="0"/>
          <w:left w:val="nil"/>
          <w:bottom w:val="nil"/>
          <w:right w:val="nil"/>
        </w:tcBorders>
        <w:shd w:val="clear" w:color="FFFFFF" w:fill="FFFFFF"/>
      </w:tcPr>
    </w:tblStylePr>
    <w:tblStylePr w:type="firstCol">
      <w:pPr>
        <w:jc w:val="right"/>
      </w:pPr>
      <w:rPr>
        <w:rFonts w:ascii="Arial" w:hAnsi="Arial"/>
        <w:i/>
        <w:color w:val="7F7F7F"/>
        <w:sz w:val="22"/>
      </w:rPr>
      <w:tcPr>
        <w:tcBorders>
          <w:top w:val="nil"/>
          <w:left w:val="nil"/>
          <w:bottom w:val="nil"/>
          <w:right w:val="single" w:color="7F7F7F" w:sz="4" w:space="0"/>
        </w:tcBorders>
        <w:shd w:val="clear" w:color="FFFFFF" w:fill="auto"/>
      </w:tcPr>
    </w:tblStylePr>
    <w:tblStylePr w:type="lastCol">
      <w:rPr>
        <w:rFonts w:ascii="Arial" w:hAnsi="Arial"/>
        <w:i/>
        <w:color w:val="7F7F7F"/>
        <w:sz w:val="22"/>
      </w:rPr>
      <w:tcPr>
        <w:tcBorders>
          <w:top w:val="nil"/>
          <w:left w:val="single" w:color="7F7F7F" w:sz="4" w:space="0"/>
          <w:bottom w:val="nil"/>
          <w:right w:val="nil"/>
        </w:tcBorders>
        <w:shd w:val="clear" w:color="FFFFFF" w:fill="auto"/>
      </w:tcPr>
    </w:tblStylePr>
    <w:tblStylePr w:type="band1Vert">
      <w:tcPr>
        <w:shd w:val="clear" w:color="BFBFBF" w:fill="BFBFBF"/>
      </w:tcPr>
    </w:tblStylePr>
    <w:tblStylePr w:type="band1Horz">
      <w:rPr>
        <w:rFonts w:ascii="Arial" w:hAnsi="Arial"/>
        <w:color w:val="7F7F7F"/>
        <w:sz w:val="22"/>
      </w:rPr>
      <w:tcPr>
        <w:shd w:val="clear" w:color="BFBFBF" w:fill="BFBFBF"/>
      </w:tcPr>
    </w:tblStylePr>
    <w:tblStylePr w:type="band2Horz">
      <w:rPr>
        <w:rFonts w:ascii="Arial" w:hAnsi="Arial"/>
        <w:color w:val="7F7F7F"/>
        <w:sz w:val="22"/>
      </w:rPr>
    </w:tblStylePr>
  </w:style>
  <w:style w:type="table" w:customStyle="1" w:styleId="1999">
    <w:name w:val="List Table 7 Colorful - Accent 110"/>
    <w:basedOn w:val="13"/>
    <w:uiPriority w:val="99"/>
    <w:rPr>
      <w:sz w:val="22"/>
      <w:szCs w:val="22"/>
      <w:lang w:eastAsia="en-US"/>
    </w:rPr>
    <w:tblPr>
      <w:tblBorders>
        <w:right w:val="single" w:color="4472C4" w:sz="4" w:space="0"/>
      </w:tblBorders>
      <w:tblCellMar>
        <w:top w:w="0" w:type="dxa"/>
        <w:left w:w="108" w:type="dxa"/>
        <w:bottom w:w="0" w:type="dxa"/>
        <w:right w:w="108" w:type="dxa"/>
      </w:tblCellMar>
    </w:tblPr>
    <w:tblStylePr w:type="firstRow">
      <w:rPr>
        <w:rFonts w:ascii="Arial" w:hAnsi="Arial"/>
        <w:i/>
        <w:color w:val="254175"/>
        <w:sz w:val="22"/>
      </w:rPr>
      <w:tcPr>
        <w:tcBorders>
          <w:top w:val="nil"/>
          <w:left w:val="nil"/>
          <w:bottom w:val="single" w:color="4472C4" w:sz="4" w:space="0"/>
          <w:right w:val="nil"/>
        </w:tcBorders>
        <w:shd w:val="clear" w:color="FFFFFF" w:fill="FFFFFF"/>
      </w:tcPr>
    </w:tblStylePr>
    <w:tblStylePr w:type="lastRow">
      <w:rPr>
        <w:rFonts w:ascii="Arial" w:hAnsi="Arial"/>
        <w:i/>
        <w:color w:val="254175"/>
        <w:sz w:val="22"/>
      </w:rPr>
      <w:tcPr>
        <w:tcBorders>
          <w:top w:val="single" w:color="4472C4" w:sz="4" w:space="0"/>
          <w:left w:val="nil"/>
          <w:bottom w:val="nil"/>
          <w:right w:val="nil"/>
        </w:tcBorders>
        <w:shd w:val="clear" w:color="FFFFFF" w:fill="FFFFFF"/>
      </w:tcPr>
    </w:tblStylePr>
    <w:tblStylePr w:type="firstCol">
      <w:pPr>
        <w:jc w:val="right"/>
      </w:pPr>
      <w:rPr>
        <w:rFonts w:ascii="Arial" w:hAnsi="Arial"/>
        <w:i/>
        <w:color w:val="254175"/>
        <w:sz w:val="22"/>
      </w:rPr>
      <w:tcPr>
        <w:tcBorders>
          <w:top w:val="nil"/>
          <w:left w:val="nil"/>
          <w:bottom w:val="nil"/>
          <w:right w:val="single" w:color="4472C4" w:sz="4" w:space="0"/>
        </w:tcBorders>
        <w:shd w:val="clear" w:color="FFFFFF" w:fill="auto"/>
      </w:tcPr>
    </w:tblStylePr>
    <w:tblStylePr w:type="lastCol">
      <w:rPr>
        <w:rFonts w:ascii="Arial" w:hAnsi="Arial"/>
        <w:i/>
        <w:color w:val="254175"/>
        <w:sz w:val="22"/>
      </w:rPr>
      <w:tcPr>
        <w:tcBorders>
          <w:top w:val="nil"/>
          <w:left w:val="single" w:color="4472C4" w:sz="4" w:space="0"/>
          <w:bottom w:val="nil"/>
          <w:right w:val="nil"/>
        </w:tcBorders>
        <w:shd w:val="clear" w:color="FFFFFF" w:fill="auto"/>
      </w:tcPr>
    </w:tblStylePr>
    <w:tblStylePr w:type="band1Vert">
      <w:tcPr>
        <w:shd w:val="clear" w:color="CFDBF0" w:fill="CFDBF0"/>
      </w:tcPr>
    </w:tblStylePr>
    <w:tblStylePr w:type="band1Horz">
      <w:rPr>
        <w:rFonts w:ascii="Arial" w:hAnsi="Arial"/>
        <w:color w:val="254175"/>
        <w:sz w:val="22"/>
      </w:rPr>
      <w:tcPr>
        <w:shd w:val="clear" w:color="CFDBF0" w:fill="CFDBF0"/>
      </w:tcPr>
    </w:tblStylePr>
    <w:tblStylePr w:type="band2Horz">
      <w:rPr>
        <w:rFonts w:ascii="Arial" w:hAnsi="Arial"/>
        <w:color w:val="254175"/>
        <w:sz w:val="22"/>
      </w:rPr>
    </w:tblStylePr>
  </w:style>
  <w:style w:type="table" w:customStyle="1" w:styleId="2000">
    <w:name w:val="List Table 7 Colorful - Accent 210"/>
    <w:basedOn w:val="13"/>
    <w:uiPriority w:val="99"/>
    <w:rPr>
      <w:sz w:val="22"/>
      <w:szCs w:val="22"/>
      <w:lang w:eastAsia="en-US"/>
    </w:rPr>
    <w:tblPr>
      <w:tblBorders>
        <w:right w:val="single" w:color="F4B184" w:sz="4" w:space="0"/>
      </w:tblBorders>
      <w:tblCellMar>
        <w:top w:w="0" w:type="dxa"/>
        <w:left w:w="108" w:type="dxa"/>
        <w:bottom w:w="0" w:type="dxa"/>
        <w:right w:w="108" w:type="dxa"/>
      </w:tblCellMar>
    </w:tblPr>
    <w:tblStylePr w:type="firstRow">
      <w:rPr>
        <w:rFonts w:ascii="Arial" w:hAnsi="Arial"/>
        <w:i/>
        <w:color w:val="F4B184"/>
        <w:sz w:val="22"/>
      </w:rPr>
      <w:tcPr>
        <w:tcBorders>
          <w:top w:val="nil"/>
          <w:left w:val="nil"/>
          <w:bottom w:val="single" w:color="F4B184" w:sz="4" w:space="0"/>
          <w:right w:val="nil"/>
        </w:tcBorders>
        <w:shd w:val="clear" w:color="FFFFFF" w:fill="FFFFFF"/>
      </w:tcPr>
    </w:tblStylePr>
    <w:tblStylePr w:type="lastRow">
      <w:rPr>
        <w:rFonts w:ascii="Arial" w:hAnsi="Arial"/>
        <w:i/>
        <w:color w:val="F4B184"/>
        <w:sz w:val="22"/>
      </w:rPr>
      <w:tcPr>
        <w:tcBorders>
          <w:top w:val="single" w:color="F4B184" w:sz="4" w:space="0"/>
          <w:left w:val="nil"/>
          <w:bottom w:val="nil"/>
          <w:right w:val="nil"/>
        </w:tcBorders>
        <w:shd w:val="clear" w:color="FFFFFF" w:fill="FFFFFF"/>
      </w:tcPr>
    </w:tblStylePr>
    <w:tblStylePr w:type="firstCol">
      <w:pPr>
        <w:jc w:val="right"/>
      </w:pPr>
      <w:rPr>
        <w:rFonts w:ascii="Arial" w:hAnsi="Arial"/>
        <w:i/>
        <w:color w:val="F4B184"/>
        <w:sz w:val="22"/>
      </w:rPr>
      <w:tcPr>
        <w:tcBorders>
          <w:top w:val="nil"/>
          <w:left w:val="nil"/>
          <w:bottom w:val="nil"/>
          <w:right w:val="single" w:color="F4B184" w:sz="4" w:space="0"/>
        </w:tcBorders>
        <w:shd w:val="clear" w:color="FFFFFF" w:fill="auto"/>
      </w:tcPr>
    </w:tblStylePr>
    <w:tblStylePr w:type="lastCol">
      <w:rPr>
        <w:rFonts w:ascii="Arial" w:hAnsi="Arial"/>
        <w:i/>
        <w:color w:val="F4B184"/>
        <w:sz w:val="22"/>
      </w:rPr>
      <w:tcPr>
        <w:tcBorders>
          <w:top w:val="nil"/>
          <w:left w:val="single" w:color="F4B184" w:sz="4" w:space="0"/>
          <w:bottom w:val="nil"/>
          <w:right w:val="nil"/>
        </w:tcBorders>
        <w:shd w:val="clear" w:color="FFFFFF" w:fill="auto"/>
      </w:tcPr>
    </w:tblStylePr>
    <w:tblStylePr w:type="band1Vert">
      <w:tcPr>
        <w:shd w:val="clear" w:color="FADECB" w:fill="FADECB"/>
      </w:tcPr>
    </w:tblStylePr>
    <w:tblStylePr w:type="band1Horz">
      <w:rPr>
        <w:rFonts w:ascii="Arial" w:hAnsi="Arial"/>
        <w:color w:val="F4B184"/>
        <w:sz w:val="22"/>
      </w:rPr>
      <w:tcPr>
        <w:shd w:val="clear" w:color="FADECB" w:fill="FADECB"/>
      </w:tcPr>
    </w:tblStylePr>
    <w:tblStylePr w:type="band2Horz">
      <w:rPr>
        <w:rFonts w:ascii="Arial" w:hAnsi="Arial"/>
        <w:color w:val="F4B184"/>
        <w:sz w:val="22"/>
      </w:rPr>
    </w:tblStylePr>
  </w:style>
  <w:style w:type="table" w:customStyle="1" w:styleId="2001">
    <w:name w:val="List Table 7 Colorful - Accent 310"/>
    <w:basedOn w:val="13"/>
    <w:uiPriority w:val="99"/>
    <w:rPr>
      <w:sz w:val="22"/>
      <w:szCs w:val="22"/>
      <w:lang w:eastAsia="en-US"/>
    </w:rPr>
    <w:tblPr>
      <w:tblBorders>
        <w:right w:val="single" w:color="C9C9C9" w:sz="4" w:space="0"/>
      </w:tblBorders>
      <w:tblCellMar>
        <w:top w:w="0" w:type="dxa"/>
        <w:left w:w="108" w:type="dxa"/>
        <w:bottom w:w="0" w:type="dxa"/>
        <w:right w:w="108" w:type="dxa"/>
      </w:tblCellMar>
    </w:tblPr>
    <w:tblStylePr w:type="firstRow">
      <w:rPr>
        <w:rFonts w:ascii="Arial" w:hAnsi="Arial"/>
        <w:i/>
        <w:color w:val="C9C9C9"/>
        <w:sz w:val="22"/>
      </w:rPr>
      <w:tcPr>
        <w:tcBorders>
          <w:top w:val="nil"/>
          <w:left w:val="nil"/>
          <w:bottom w:val="single" w:color="C9C9C9" w:sz="4" w:space="0"/>
          <w:right w:val="nil"/>
        </w:tcBorders>
        <w:shd w:val="clear" w:color="FFFFFF" w:fill="FFFFFF"/>
      </w:tcPr>
    </w:tblStylePr>
    <w:tblStylePr w:type="lastRow">
      <w:rPr>
        <w:rFonts w:ascii="Arial" w:hAnsi="Arial"/>
        <w:i/>
        <w:color w:val="C9C9C9"/>
        <w:sz w:val="22"/>
      </w:rPr>
      <w:tcPr>
        <w:tcBorders>
          <w:top w:val="single" w:color="C9C9C9" w:sz="4" w:space="0"/>
          <w:left w:val="nil"/>
          <w:bottom w:val="nil"/>
          <w:right w:val="nil"/>
        </w:tcBorders>
        <w:shd w:val="clear" w:color="FFFFFF" w:fill="FFFFFF"/>
      </w:tcPr>
    </w:tblStylePr>
    <w:tblStylePr w:type="firstCol">
      <w:pPr>
        <w:jc w:val="right"/>
      </w:pPr>
      <w:rPr>
        <w:rFonts w:ascii="Arial" w:hAnsi="Arial"/>
        <w:i/>
        <w:color w:val="C9C9C9"/>
        <w:sz w:val="22"/>
      </w:rPr>
      <w:tcPr>
        <w:tcBorders>
          <w:top w:val="nil"/>
          <w:left w:val="nil"/>
          <w:bottom w:val="nil"/>
          <w:right w:val="single" w:color="C9C9C9" w:sz="4" w:space="0"/>
        </w:tcBorders>
        <w:shd w:val="clear" w:color="FFFFFF" w:fill="auto"/>
      </w:tcPr>
    </w:tblStylePr>
    <w:tblStylePr w:type="lastCol">
      <w:rPr>
        <w:rFonts w:ascii="Arial" w:hAnsi="Arial"/>
        <w:i/>
        <w:color w:val="C9C9C9"/>
        <w:sz w:val="22"/>
      </w:rPr>
      <w:tcPr>
        <w:tcBorders>
          <w:top w:val="nil"/>
          <w:left w:val="single" w:color="C9C9C9" w:sz="4" w:space="0"/>
          <w:bottom w:val="nil"/>
          <w:right w:val="nil"/>
        </w:tcBorders>
        <w:shd w:val="clear" w:color="FFFFFF" w:fill="auto"/>
      </w:tcPr>
    </w:tblStylePr>
    <w:tblStylePr w:type="band1Vert">
      <w:tcPr>
        <w:shd w:val="clear" w:color="E8E8E8" w:fill="E8E8E8"/>
      </w:tcPr>
    </w:tblStylePr>
    <w:tblStylePr w:type="band1Horz">
      <w:rPr>
        <w:rFonts w:ascii="Arial" w:hAnsi="Arial"/>
        <w:color w:val="C9C9C9"/>
        <w:sz w:val="22"/>
      </w:rPr>
      <w:tcPr>
        <w:shd w:val="clear" w:color="E8E8E8" w:fill="E8E8E8"/>
      </w:tcPr>
    </w:tblStylePr>
    <w:tblStylePr w:type="band2Horz">
      <w:rPr>
        <w:rFonts w:ascii="Arial" w:hAnsi="Arial"/>
        <w:color w:val="C9C9C9"/>
        <w:sz w:val="22"/>
      </w:rPr>
    </w:tblStylePr>
  </w:style>
  <w:style w:type="table" w:customStyle="1" w:styleId="2002">
    <w:name w:val="List Table 7 Colorful - Accent 410"/>
    <w:basedOn w:val="13"/>
    <w:uiPriority w:val="99"/>
    <w:rPr>
      <w:sz w:val="22"/>
      <w:szCs w:val="22"/>
      <w:lang w:eastAsia="en-US"/>
    </w:rPr>
    <w:tblPr>
      <w:tblBorders>
        <w:right w:val="single" w:color="FFD865" w:sz="4" w:space="0"/>
      </w:tblBorders>
      <w:tblCellMar>
        <w:top w:w="0" w:type="dxa"/>
        <w:left w:w="108" w:type="dxa"/>
        <w:bottom w:w="0" w:type="dxa"/>
        <w:right w:w="108" w:type="dxa"/>
      </w:tblCellMar>
    </w:tblPr>
    <w:tblStylePr w:type="firstRow">
      <w:rPr>
        <w:rFonts w:ascii="Arial" w:hAnsi="Arial"/>
        <w:i/>
        <w:color w:val="FFD865"/>
        <w:sz w:val="22"/>
      </w:rPr>
      <w:tcPr>
        <w:tcBorders>
          <w:top w:val="nil"/>
          <w:left w:val="nil"/>
          <w:bottom w:val="single" w:color="FFD865" w:sz="4" w:space="0"/>
          <w:right w:val="nil"/>
        </w:tcBorders>
        <w:shd w:val="clear" w:color="FFFFFF" w:fill="FFFFFF"/>
      </w:tcPr>
    </w:tblStylePr>
    <w:tblStylePr w:type="lastRow">
      <w:rPr>
        <w:rFonts w:ascii="Arial" w:hAnsi="Arial"/>
        <w:i/>
        <w:color w:val="FFD865"/>
        <w:sz w:val="22"/>
      </w:rPr>
      <w:tcPr>
        <w:tcBorders>
          <w:top w:val="single" w:color="FFD865" w:sz="4" w:space="0"/>
          <w:left w:val="nil"/>
          <w:bottom w:val="nil"/>
          <w:right w:val="nil"/>
        </w:tcBorders>
        <w:shd w:val="clear" w:color="FFFFFF" w:fill="FFFFFF"/>
      </w:tcPr>
    </w:tblStylePr>
    <w:tblStylePr w:type="firstCol">
      <w:pPr>
        <w:jc w:val="right"/>
      </w:pPr>
      <w:rPr>
        <w:rFonts w:ascii="Arial" w:hAnsi="Arial"/>
        <w:i/>
        <w:color w:val="FFD865"/>
        <w:sz w:val="22"/>
      </w:rPr>
      <w:tcPr>
        <w:tcBorders>
          <w:top w:val="nil"/>
          <w:left w:val="nil"/>
          <w:bottom w:val="nil"/>
          <w:right w:val="single" w:color="FFD865" w:sz="4" w:space="0"/>
        </w:tcBorders>
        <w:shd w:val="clear" w:color="FFFFFF" w:fill="auto"/>
      </w:tcPr>
    </w:tblStylePr>
    <w:tblStylePr w:type="lastCol">
      <w:rPr>
        <w:rFonts w:ascii="Arial" w:hAnsi="Arial"/>
        <w:i/>
        <w:color w:val="FFD865"/>
        <w:sz w:val="22"/>
      </w:rPr>
      <w:tcPr>
        <w:tcBorders>
          <w:top w:val="nil"/>
          <w:left w:val="single" w:color="FFD865" w:sz="4" w:space="0"/>
          <w:bottom w:val="nil"/>
          <w:right w:val="nil"/>
        </w:tcBorders>
        <w:shd w:val="clear" w:color="FFFFFF" w:fill="auto"/>
      </w:tcPr>
    </w:tblStylePr>
    <w:tblStylePr w:type="band1Vert">
      <w:tcPr>
        <w:shd w:val="clear" w:color="FFEFBF" w:fill="FFEFBF"/>
      </w:tcPr>
    </w:tblStylePr>
    <w:tblStylePr w:type="band1Horz">
      <w:rPr>
        <w:rFonts w:ascii="Arial" w:hAnsi="Arial"/>
        <w:color w:val="FFD865"/>
        <w:sz w:val="22"/>
      </w:rPr>
      <w:tcPr>
        <w:shd w:val="clear" w:color="FFEFBF" w:fill="FFEFBF"/>
      </w:tcPr>
    </w:tblStylePr>
    <w:tblStylePr w:type="band2Horz">
      <w:rPr>
        <w:rFonts w:ascii="Arial" w:hAnsi="Arial"/>
        <w:color w:val="FFD865"/>
        <w:sz w:val="22"/>
      </w:rPr>
    </w:tblStylePr>
  </w:style>
  <w:style w:type="table" w:customStyle="1" w:styleId="2003">
    <w:name w:val="List Table 7 Colorful - Accent 510"/>
    <w:basedOn w:val="13"/>
    <w:uiPriority w:val="99"/>
    <w:rPr>
      <w:sz w:val="22"/>
      <w:szCs w:val="22"/>
      <w:lang w:eastAsia="en-US"/>
    </w:rPr>
    <w:tblPr>
      <w:tblBorders>
        <w:right w:val="single" w:color="9BC2E5" w:sz="4" w:space="0"/>
      </w:tblBorders>
      <w:tblCellMar>
        <w:top w:w="0" w:type="dxa"/>
        <w:left w:w="108" w:type="dxa"/>
        <w:bottom w:w="0" w:type="dxa"/>
        <w:right w:w="108" w:type="dxa"/>
      </w:tblCellMar>
    </w:tblPr>
    <w:tblStylePr w:type="firstRow">
      <w:rPr>
        <w:rFonts w:ascii="Arial" w:hAnsi="Arial"/>
        <w:i/>
        <w:color w:val="9BC2E5"/>
        <w:sz w:val="22"/>
      </w:rPr>
      <w:tcPr>
        <w:tcBorders>
          <w:top w:val="nil"/>
          <w:left w:val="nil"/>
          <w:bottom w:val="single" w:color="9BC2E5" w:sz="4" w:space="0"/>
          <w:right w:val="nil"/>
        </w:tcBorders>
        <w:shd w:val="clear" w:color="FFFFFF" w:fill="FFFFFF"/>
      </w:tcPr>
    </w:tblStylePr>
    <w:tblStylePr w:type="lastRow">
      <w:rPr>
        <w:rFonts w:ascii="Arial" w:hAnsi="Arial"/>
        <w:i/>
        <w:color w:val="9BC2E5"/>
        <w:sz w:val="22"/>
      </w:rPr>
      <w:tcPr>
        <w:tcBorders>
          <w:top w:val="single" w:color="9BC2E5" w:sz="4" w:space="0"/>
          <w:left w:val="nil"/>
          <w:bottom w:val="nil"/>
          <w:right w:val="nil"/>
        </w:tcBorders>
        <w:shd w:val="clear" w:color="FFFFFF" w:fill="FFFFFF"/>
      </w:tcPr>
    </w:tblStylePr>
    <w:tblStylePr w:type="firstCol">
      <w:pPr>
        <w:jc w:val="right"/>
      </w:pPr>
      <w:rPr>
        <w:rFonts w:ascii="Arial" w:hAnsi="Arial"/>
        <w:i/>
        <w:color w:val="9BC2E5"/>
        <w:sz w:val="22"/>
      </w:rPr>
      <w:tcPr>
        <w:tcBorders>
          <w:top w:val="nil"/>
          <w:left w:val="nil"/>
          <w:bottom w:val="nil"/>
          <w:right w:val="single" w:color="9BC2E5" w:sz="4" w:space="0"/>
        </w:tcBorders>
        <w:shd w:val="clear" w:color="FFFFFF" w:fill="auto"/>
      </w:tcPr>
    </w:tblStylePr>
    <w:tblStylePr w:type="lastCol">
      <w:rPr>
        <w:rFonts w:ascii="Arial" w:hAnsi="Arial"/>
        <w:i/>
        <w:color w:val="9BC2E5"/>
        <w:sz w:val="22"/>
      </w:rPr>
      <w:tcPr>
        <w:tcBorders>
          <w:top w:val="nil"/>
          <w:left w:val="single" w:color="9BC2E5" w:sz="4" w:space="0"/>
          <w:bottom w:val="nil"/>
          <w:right w:val="nil"/>
        </w:tcBorders>
        <w:shd w:val="clear" w:color="FFFFFF" w:fill="auto"/>
      </w:tcPr>
    </w:tblStylePr>
    <w:tblStylePr w:type="band1Vert">
      <w:tcPr>
        <w:shd w:val="clear" w:color="D5E5F4" w:fill="D5E5F4"/>
      </w:tcPr>
    </w:tblStylePr>
    <w:tblStylePr w:type="band1Horz">
      <w:rPr>
        <w:rFonts w:ascii="Arial" w:hAnsi="Arial"/>
        <w:color w:val="9BC2E5"/>
        <w:sz w:val="22"/>
      </w:rPr>
      <w:tcPr>
        <w:shd w:val="clear" w:color="D5E5F4" w:fill="D5E5F4"/>
      </w:tcPr>
    </w:tblStylePr>
    <w:tblStylePr w:type="band2Horz">
      <w:rPr>
        <w:rFonts w:ascii="Arial" w:hAnsi="Arial"/>
        <w:color w:val="9BC2E5"/>
        <w:sz w:val="22"/>
      </w:rPr>
    </w:tblStylePr>
  </w:style>
  <w:style w:type="table" w:customStyle="1" w:styleId="2004">
    <w:name w:val="List Table 7 Colorful - Accent 610"/>
    <w:basedOn w:val="13"/>
    <w:uiPriority w:val="99"/>
    <w:rPr>
      <w:sz w:val="22"/>
      <w:szCs w:val="22"/>
      <w:lang w:eastAsia="en-US"/>
    </w:rPr>
    <w:tblPr>
      <w:tblBorders>
        <w:right w:val="single" w:color="A9D08E" w:sz="4" w:space="0"/>
      </w:tblBorders>
      <w:tblCellMar>
        <w:top w:w="0" w:type="dxa"/>
        <w:left w:w="108" w:type="dxa"/>
        <w:bottom w:w="0" w:type="dxa"/>
        <w:right w:w="108" w:type="dxa"/>
      </w:tblCellMar>
    </w:tblPr>
    <w:tblStylePr w:type="firstRow">
      <w:rPr>
        <w:rFonts w:ascii="Arial" w:hAnsi="Arial"/>
        <w:i/>
        <w:color w:val="A9D08E"/>
        <w:sz w:val="22"/>
      </w:rPr>
      <w:tcPr>
        <w:tcBorders>
          <w:top w:val="nil"/>
          <w:left w:val="nil"/>
          <w:bottom w:val="single" w:color="A9D08E" w:sz="4" w:space="0"/>
          <w:right w:val="nil"/>
        </w:tcBorders>
        <w:shd w:val="clear" w:color="FFFFFF" w:fill="FFFFFF"/>
      </w:tcPr>
    </w:tblStylePr>
    <w:tblStylePr w:type="lastRow">
      <w:rPr>
        <w:rFonts w:ascii="Arial" w:hAnsi="Arial"/>
        <w:i/>
        <w:color w:val="A9D08E"/>
        <w:sz w:val="22"/>
      </w:rPr>
      <w:tcPr>
        <w:tcBorders>
          <w:top w:val="single" w:color="A9D08E" w:sz="4" w:space="0"/>
          <w:left w:val="nil"/>
          <w:bottom w:val="nil"/>
          <w:right w:val="nil"/>
        </w:tcBorders>
        <w:shd w:val="clear" w:color="FFFFFF" w:fill="FFFFFF"/>
      </w:tcPr>
    </w:tblStylePr>
    <w:tblStylePr w:type="firstCol">
      <w:pPr>
        <w:jc w:val="right"/>
      </w:pPr>
      <w:rPr>
        <w:rFonts w:ascii="Arial" w:hAnsi="Arial"/>
        <w:i/>
        <w:color w:val="A9D08E"/>
        <w:sz w:val="22"/>
      </w:rPr>
      <w:tcPr>
        <w:tcBorders>
          <w:top w:val="nil"/>
          <w:left w:val="nil"/>
          <w:bottom w:val="nil"/>
          <w:right w:val="single" w:color="A9D08E" w:sz="4" w:space="0"/>
        </w:tcBorders>
        <w:shd w:val="clear" w:color="FFFFFF" w:fill="auto"/>
      </w:tcPr>
    </w:tblStylePr>
    <w:tblStylePr w:type="lastCol">
      <w:rPr>
        <w:rFonts w:ascii="Arial" w:hAnsi="Arial"/>
        <w:i/>
        <w:color w:val="A9D08E"/>
        <w:sz w:val="22"/>
      </w:rPr>
      <w:tcPr>
        <w:tcBorders>
          <w:top w:val="nil"/>
          <w:left w:val="single" w:color="A9D08E" w:sz="4" w:space="0"/>
          <w:bottom w:val="nil"/>
          <w:right w:val="nil"/>
        </w:tcBorders>
        <w:shd w:val="clear" w:color="FFFFFF" w:fill="auto"/>
      </w:tcPr>
    </w:tblStylePr>
    <w:tblStylePr w:type="band1Vert">
      <w:tcPr>
        <w:shd w:val="clear" w:color="DAEBCF" w:fill="DAEBCF"/>
      </w:tcPr>
    </w:tblStylePr>
    <w:tblStylePr w:type="band1Horz">
      <w:rPr>
        <w:rFonts w:ascii="Arial" w:hAnsi="Arial"/>
        <w:color w:val="A9D08E"/>
        <w:sz w:val="22"/>
      </w:rPr>
      <w:tcPr>
        <w:shd w:val="clear" w:color="DAEBCF" w:fill="DAEBCF"/>
      </w:tcPr>
    </w:tblStylePr>
    <w:tblStylePr w:type="band2Horz">
      <w:rPr>
        <w:rFonts w:ascii="Arial" w:hAnsi="Arial"/>
        <w:color w:val="A9D08E"/>
        <w:sz w:val="22"/>
      </w:rPr>
    </w:tblStylePr>
  </w:style>
  <w:style w:type="table" w:customStyle="1" w:styleId="2005">
    <w:name w:val="Lined - Accent10"/>
    <w:basedOn w:val="13"/>
    <w:uiPriority w:val="99"/>
    <w:rPr>
      <w:color w:val="404040"/>
    </w:rPr>
    <w:tblPr>
      <w:tblCellMar>
        <w:top w:w="0" w:type="dxa"/>
        <w:left w:w="108" w:type="dxa"/>
        <w:bottom w:w="0" w:type="dxa"/>
        <w:right w:w="108" w:type="dxa"/>
      </w:tblCellMar>
    </w:tblPr>
    <w:tblStylePr w:type="firstRow">
      <w:rPr>
        <w:rFonts w:ascii="Arial" w:hAnsi="Arial"/>
        <w:color w:val="F2F2F2"/>
        <w:sz w:val="22"/>
      </w:rPr>
      <w:tcPr>
        <w:shd w:val="clear" w:color="7F7F7F" w:fill="7F7F7F"/>
      </w:tcPr>
    </w:tblStylePr>
    <w:tblStylePr w:type="lastRow">
      <w:rPr>
        <w:rFonts w:ascii="Arial" w:hAnsi="Arial"/>
        <w:color w:val="F2F2F2"/>
        <w:sz w:val="22"/>
      </w:rPr>
      <w:tcPr>
        <w:shd w:val="clear" w:color="7F7F7F" w:fill="7F7F7F"/>
      </w:tcPr>
    </w:tblStylePr>
    <w:tblStylePr w:type="firstCol">
      <w:rPr>
        <w:rFonts w:ascii="Arial" w:hAnsi="Arial"/>
        <w:color w:val="F2F2F2"/>
        <w:sz w:val="22"/>
      </w:rPr>
      <w:tcPr>
        <w:shd w:val="clear" w:color="7F7F7F" w:fill="7F7F7F"/>
      </w:tcPr>
    </w:tblStylePr>
    <w:tblStylePr w:type="lastCol">
      <w:rPr>
        <w:rFonts w:ascii="Arial" w:hAnsi="Arial"/>
        <w:color w:val="F2F2F2"/>
        <w:sz w:val="22"/>
      </w:rPr>
      <w:tcPr>
        <w:shd w:val="clear" w:color="7F7F7F" w:fill="7F7F7F"/>
      </w:tcPr>
    </w:tblStylePr>
    <w:tblStylePr w:type="band1Vert">
      <w:rPr>
        <w:rFonts w:ascii="Arial" w:hAnsi="Arial"/>
        <w:color w:val="404040"/>
        <w:sz w:val="22"/>
      </w:rPr>
    </w:tblStylePr>
    <w:tblStylePr w:type="band2Vert">
      <w:rPr>
        <w:rFonts w:ascii="Arial" w:hAnsi="Arial"/>
        <w:color w:val="404040"/>
        <w:sz w:val="22"/>
      </w:rPr>
      <w:tcPr>
        <w:shd w:val="clear" w:color="F2F2F2" w:fill="F2F2F2"/>
      </w:tcPr>
    </w:tblStylePr>
    <w:tblStylePr w:type="band1Horz">
      <w:rPr>
        <w:rFonts w:ascii="Arial" w:hAnsi="Arial"/>
        <w:color w:val="404040"/>
        <w:sz w:val="22"/>
      </w:rPr>
    </w:tblStylePr>
    <w:tblStylePr w:type="band2Horz">
      <w:rPr>
        <w:rFonts w:ascii="Arial" w:hAnsi="Arial"/>
        <w:color w:val="404040"/>
        <w:sz w:val="22"/>
      </w:rPr>
      <w:tcPr>
        <w:shd w:val="clear" w:color="F2F2F2" w:fill="F2F2F2"/>
      </w:tcPr>
    </w:tblStylePr>
  </w:style>
  <w:style w:type="table" w:customStyle="1" w:styleId="2006">
    <w:name w:val="Lined - Accent 110"/>
    <w:basedOn w:val="13"/>
    <w:uiPriority w:val="99"/>
    <w:rPr>
      <w:color w:val="404040"/>
    </w:rPr>
    <w:tblPr>
      <w:tblCellMar>
        <w:top w:w="0" w:type="dxa"/>
        <w:left w:w="108" w:type="dxa"/>
        <w:bottom w:w="0" w:type="dxa"/>
        <w:right w:w="108" w:type="dxa"/>
      </w:tblCellMar>
    </w:tblPr>
    <w:tblStylePr w:type="firstRow">
      <w:rPr>
        <w:rFonts w:ascii="Arial" w:hAnsi="Arial"/>
        <w:color w:val="F2F2F2"/>
        <w:sz w:val="22"/>
      </w:rPr>
      <w:tcPr>
        <w:shd w:val="clear" w:color="537DC8" w:fill="537DC8"/>
      </w:tcPr>
    </w:tblStylePr>
    <w:tblStylePr w:type="lastRow">
      <w:rPr>
        <w:rFonts w:ascii="Arial" w:hAnsi="Arial"/>
        <w:color w:val="F2F2F2"/>
        <w:sz w:val="22"/>
      </w:rPr>
      <w:tcPr>
        <w:shd w:val="clear" w:color="537DC8" w:fill="537DC8"/>
      </w:tcPr>
    </w:tblStylePr>
    <w:tblStylePr w:type="firstCol">
      <w:rPr>
        <w:rFonts w:ascii="Arial" w:hAnsi="Arial"/>
        <w:color w:val="F2F2F2"/>
        <w:sz w:val="22"/>
      </w:rPr>
      <w:tcPr>
        <w:shd w:val="clear" w:color="537DC8" w:fill="537DC8"/>
      </w:tcPr>
    </w:tblStylePr>
    <w:tblStylePr w:type="lastCol">
      <w:rPr>
        <w:rFonts w:ascii="Arial" w:hAnsi="Arial"/>
        <w:color w:val="F2F2F2"/>
        <w:sz w:val="22"/>
      </w:rPr>
      <w:tcPr>
        <w:shd w:val="clear" w:color="537DC8" w:fill="537DC8"/>
      </w:tcPr>
    </w:tblStylePr>
    <w:tblStylePr w:type="band1Vert">
      <w:rPr>
        <w:rFonts w:ascii="Arial" w:hAnsi="Arial"/>
        <w:color w:val="404040"/>
        <w:sz w:val="22"/>
      </w:rPr>
    </w:tblStylePr>
    <w:tblStylePr w:type="band2Vert">
      <w:rPr>
        <w:rFonts w:ascii="Arial" w:hAnsi="Arial"/>
        <w:color w:val="404040"/>
        <w:sz w:val="22"/>
      </w:rPr>
      <w:tcPr>
        <w:shd w:val="clear" w:color="C4D2EC" w:fill="C4D2EC"/>
      </w:tcPr>
    </w:tblStylePr>
    <w:tblStylePr w:type="band1Horz">
      <w:rPr>
        <w:rFonts w:ascii="Arial" w:hAnsi="Arial"/>
        <w:color w:val="404040"/>
        <w:sz w:val="22"/>
      </w:rPr>
    </w:tblStylePr>
    <w:tblStylePr w:type="band2Horz">
      <w:rPr>
        <w:rFonts w:ascii="Arial" w:hAnsi="Arial"/>
        <w:color w:val="404040"/>
        <w:sz w:val="22"/>
      </w:rPr>
      <w:tcPr>
        <w:shd w:val="clear" w:color="C4D2EC" w:fill="C4D2EC"/>
      </w:tcPr>
    </w:tblStylePr>
  </w:style>
  <w:style w:type="table" w:customStyle="1" w:styleId="2007">
    <w:name w:val="Lined - Accent 210"/>
    <w:basedOn w:val="13"/>
    <w:uiPriority w:val="99"/>
    <w:rPr>
      <w:color w:val="404040"/>
    </w:rPr>
    <w:tblPr>
      <w:tblCellMar>
        <w:top w:w="0" w:type="dxa"/>
        <w:left w:w="108" w:type="dxa"/>
        <w:bottom w:w="0" w:type="dxa"/>
        <w:right w:w="108" w:type="dxa"/>
      </w:tblCellMar>
    </w:tblPr>
    <w:tblStylePr w:type="firstRow">
      <w:rPr>
        <w:rFonts w:ascii="Arial" w:hAnsi="Arial"/>
        <w:color w:val="F2F2F2"/>
        <w:sz w:val="22"/>
      </w:rPr>
      <w:tcPr>
        <w:shd w:val="clear" w:color="F4B184" w:fill="F4B184"/>
      </w:tcPr>
    </w:tblStylePr>
    <w:tblStylePr w:type="lastRow">
      <w:rPr>
        <w:rFonts w:ascii="Arial" w:hAnsi="Arial"/>
        <w:color w:val="F2F2F2"/>
        <w:sz w:val="22"/>
      </w:rPr>
      <w:tcPr>
        <w:shd w:val="clear" w:color="F4B184" w:fill="F4B184"/>
      </w:tcPr>
    </w:tblStylePr>
    <w:tblStylePr w:type="firstCol">
      <w:rPr>
        <w:rFonts w:ascii="Arial" w:hAnsi="Arial"/>
        <w:color w:val="F2F2F2"/>
        <w:sz w:val="22"/>
      </w:rPr>
      <w:tcPr>
        <w:shd w:val="clear" w:color="F4B184" w:fill="F4B184"/>
      </w:tcPr>
    </w:tblStylePr>
    <w:tblStylePr w:type="lastCol">
      <w:rPr>
        <w:rFonts w:ascii="Arial" w:hAnsi="Arial"/>
        <w:color w:val="F2F2F2"/>
        <w:sz w:val="22"/>
      </w:rPr>
      <w:tcPr>
        <w:shd w:val="clear" w:color="F4B184" w:fill="F4B184"/>
      </w:tcPr>
    </w:tblStylePr>
    <w:tblStylePr w:type="band1Vert">
      <w:rPr>
        <w:rFonts w:ascii="Arial" w:hAnsi="Arial"/>
        <w:color w:val="404040"/>
        <w:sz w:val="22"/>
      </w:rPr>
    </w:tblStylePr>
    <w:tblStylePr w:type="band2Vert">
      <w:rPr>
        <w:rFonts w:ascii="Arial" w:hAnsi="Arial"/>
        <w:color w:val="404040"/>
        <w:sz w:val="22"/>
      </w:rPr>
      <w:tcPr>
        <w:shd w:val="clear" w:color="FBE5D6" w:fill="FBE5D6"/>
      </w:tcPr>
    </w:tblStylePr>
    <w:tblStylePr w:type="band1Horz">
      <w:rPr>
        <w:rFonts w:ascii="Arial" w:hAnsi="Arial"/>
        <w:color w:val="404040"/>
        <w:sz w:val="22"/>
      </w:rPr>
    </w:tblStylePr>
    <w:tblStylePr w:type="band2Horz">
      <w:rPr>
        <w:rFonts w:ascii="Arial" w:hAnsi="Arial"/>
        <w:color w:val="404040"/>
        <w:sz w:val="22"/>
      </w:rPr>
      <w:tcPr>
        <w:shd w:val="clear" w:color="FBE5D6" w:fill="FBE5D6"/>
      </w:tcPr>
    </w:tblStylePr>
  </w:style>
  <w:style w:type="table" w:customStyle="1" w:styleId="2008">
    <w:name w:val="Lined - Accent 310"/>
    <w:basedOn w:val="13"/>
    <w:uiPriority w:val="99"/>
    <w:rPr>
      <w:color w:val="404040"/>
    </w:rPr>
    <w:tblPr>
      <w:tblCellMar>
        <w:top w:w="0" w:type="dxa"/>
        <w:left w:w="108" w:type="dxa"/>
        <w:bottom w:w="0" w:type="dxa"/>
        <w:right w:w="108" w:type="dxa"/>
      </w:tblCellMar>
    </w:tblPr>
    <w:tblStylePr w:type="firstRow">
      <w:rPr>
        <w:rFonts w:ascii="Arial" w:hAnsi="Arial"/>
        <w:color w:val="F2F2F2"/>
        <w:sz w:val="22"/>
      </w:rPr>
      <w:tcPr>
        <w:shd w:val="clear" w:color="A5A5A5" w:fill="A5A5A5"/>
      </w:tcPr>
    </w:tblStylePr>
    <w:tblStylePr w:type="lastRow">
      <w:rPr>
        <w:rFonts w:ascii="Arial" w:hAnsi="Arial"/>
        <w:color w:val="F2F2F2"/>
        <w:sz w:val="22"/>
      </w:rPr>
      <w:tcPr>
        <w:shd w:val="clear" w:color="A5A5A5" w:fill="A5A5A5"/>
      </w:tcPr>
    </w:tblStylePr>
    <w:tblStylePr w:type="firstCol">
      <w:rPr>
        <w:rFonts w:ascii="Arial" w:hAnsi="Arial"/>
        <w:color w:val="F2F2F2"/>
        <w:sz w:val="22"/>
      </w:rPr>
      <w:tcPr>
        <w:shd w:val="clear" w:color="A5A5A5" w:fill="A5A5A5"/>
      </w:tcPr>
    </w:tblStylePr>
    <w:tblStylePr w:type="lastCol">
      <w:rPr>
        <w:rFonts w:ascii="Arial" w:hAnsi="Arial"/>
        <w:color w:val="F2F2F2"/>
        <w:sz w:val="22"/>
      </w:rPr>
      <w:tcPr>
        <w:shd w:val="clear" w:color="A5A5A5" w:fill="A5A5A5"/>
      </w:tcPr>
    </w:tblStylePr>
    <w:tblStylePr w:type="band1Vert">
      <w:rPr>
        <w:rFonts w:ascii="Arial" w:hAnsi="Arial"/>
        <w:color w:val="404040"/>
        <w:sz w:val="22"/>
      </w:rPr>
    </w:tblStylePr>
    <w:tblStylePr w:type="band2Vert">
      <w:rPr>
        <w:rFonts w:ascii="Arial" w:hAnsi="Arial"/>
        <w:color w:val="404040"/>
        <w:sz w:val="22"/>
      </w:rPr>
      <w:tcPr>
        <w:shd w:val="clear" w:color="ECECEC" w:fill="ECECEC"/>
      </w:tcPr>
    </w:tblStylePr>
    <w:tblStylePr w:type="band1Horz">
      <w:rPr>
        <w:rFonts w:ascii="Arial" w:hAnsi="Arial"/>
        <w:color w:val="404040"/>
        <w:sz w:val="22"/>
      </w:rPr>
    </w:tblStylePr>
    <w:tblStylePr w:type="band2Horz">
      <w:rPr>
        <w:rFonts w:ascii="Arial" w:hAnsi="Arial"/>
        <w:color w:val="404040"/>
        <w:sz w:val="22"/>
      </w:rPr>
      <w:tcPr>
        <w:shd w:val="clear" w:color="ECECEC" w:fill="ECECEC"/>
      </w:tcPr>
    </w:tblStylePr>
  </w:style>
  <w:style w:type="table" w:customStyle="1" w:styleId="2009">
    <w:name w:val="Lined - Accent 410"/>
    <w:basedOn w:val="13"/>
    <w:uiPriority w:val="99"/>
    <w:rPr>
      <w:color w:val="404040"/>
    </w:rPr>
    <w:tblPr>
      <w:tblCellMar>
        <w:top w:w="0" w:type="dxa"/>
        <w:left w:w="108" w:type="dxa"/>
        <w:bottom w:w="0" w:type="dxa"/>
        <w:right w:w="108" w:type="dxa"/>
      </w:tblCellMar>
    </w:tblPr>
    <w:tblStylePr w:type="firstRow">
      <w:rPr>
        <w:rFonts w:ascii="Arial" w:hAnsi="Arial"/>
        <w:color w:val="F2F2F2"/>
        <w:sz w:val="22"/>
      </w:rPr>
      <w:tcPr>
        <w:shd w:val="clear" w:color="FFD865" w:fill="FFD865"/>
      </w:tcPr>
    </w:tblStylePr>
    <w:tblStylePr w:type="lastRow">
      <w:rPr>
        <w:rFonts w:ascii="Arial" w:hAnsi="Arial"/>
        <w:color w:val="F2F2F2"/>
        <w:sz w:val="22"/>
      </w:rPr>
      <w:tcPr>
        <w:shd w:val="clear" w:color="FFD865" w:fill="FFD865"/>
      </w:tcPr>
    </w:tblStylePr>
    <w:tblStylePr w:type="firstCol">
      <w:rPr>
        <w:rFonts w:ascii="Arial" w:hAnsi="Arial"/>
        <w:color w:val="F2F2F2"/>
        <w:sz w:val="22"/>
      </w:rPr>
      <w:tcPr>
        <w:shd w:val="clear" w:color="FFD865" w:fill="FFD865"/>
      </w:tcPr>
    </w:tblStylePr>
    <w:tblStylePr w:type="lastCol">
      <w:rPr>
        <w:rFonts w:ascii="Arial" w:hAnsi="Arial"/>
        <w:color w:val="F2F2F2"/>
        <w:sz w:val="22"/>
      </w:rPr>
      <w:tcPr>
        <w:shd w:val="clear" w:color="FFD865" w:fill="FFD865"/>
      </w:tcPr>
    </w:tblStylePr>
    <w:tblStylePr w:type="band1Vert">
      <w:rPr>
        <w:rFonts w:ascii="Arial" w:hAnsi="Arial"/>
        <w:color w:val="404040"/>
        <w:sz w:val="22"/>
      </w:rPr>
    </w:tblStylePr>
    <w:tblStylePr w:type="band2Vert">
      <w:rPr>
        <w:rFonts w:ascii="Arial" w:hAnsi="Arial"/>
        <w:color w:val="404040"/>
        <w:sz w:val="22"/>
      </w:rPr>
      <w:tcPr>
        <w:shd w:val="clear" w:color="FFF2CB" w:fill="FFF2CB"/>
      </w:tcPr>
    </w:tblStylePr>
    <w:tblStylePr w:type="band1Horz">
      <w:rPr>
        <w:rFonts w:ascii="Arial" w:hAnsi="Arial"/>
        <w:color w:val="404040"/>
        <w:sz w:val="22"/>
      </w:rPr>
    </w:tblStylePr>
    <w:tblStylePr w:type="band2Horz">
      <w:rPr>
        <w:rFonts w:ascii="Arial" w:hAnsi="Arial"/>
        <w:color w:val="404040"/>
        <w:sz w:val="22"/>
      </w:rPr>
      <w:tcPr>
        <w:shd w:val="clear" w:color="FFF2CB" w:fill="FFF2CB"/>
      </w:tcPr>
    </w:tblStylePr>
  </w:style>
  <w:style w:type="table" w:customStyle="1" w:styleId="2010">
    <w:name w:val="Lined - Accent 510"/>
    <w:basedOn w:val="13"/>
    <w:uiPriority w:val="99"/>
    <w:rPr>
      <w:color w:val="404040"/>
    </w:rPr>
    <w:tblPr>
      <w:tblCellMar>
        <w:top w:w="0" w:type="dxa"/>
        <w:left w:w="108" w:type="dxa"/>
        <w:bottom w:w="0" w:type="dxa"/>
        <w:right w:w="108" w:type="dxa"/>
      </w:tblCellMar>
    </w:tblPr>
    <w:tblStylePr w:type="firstRow">
      <w:rPr>
        <w:rFonts w:ascii="Arial" w:hAnsi="Arial"/>
        <w:color w:val="F2F2F2"/>
        <w:sz w:val="22"/>
      </w:rPr>
      <w:tcPr>
        <w:shd w:val="clear" w:color="5B9BD5" w:fill="5B9BD5"/>
      </w:tcPr>
    </w:tblStylePr>
    <w:tblStylePr w:type="lastRow">
      <w:rPr>
        <w:rFonts w:ascii="Arial" w:hAnsi="Arial"/>
        <w:color w:val="F2F2F2"/>
        <w:sz w:val="22"/>
      </w:rPr>
      <w:tcPr>
        <w:shd w:val="clear" w:color="5B9BD5" w:fill="5B9BD5"/>
      </w:tcPr>
    </w:tblStylePr>
    <w:tblStylePr w:type="firstCol">
      <w:rPr>
        <w:rFonts w:ascii="Arial" w:hAnsi="Arial"/>
        <w:color w:val="F2F2F2"/>
        <w:sz w:val="22"/>
      </w:rPr>
      <w:tcPr>
        <w:shd w:val="clear" w:color="5B9BD5" w:fill="5B9BD5"/>
      </w:tcPr>
    </w:tblStylePr>
    <w:tblStylePr w:type="lastCol">
      <w:rPr>
        <w:rFonts w:ascii="Arial" w:hAnsi="Arial"/>
        <w:color w:val="F2F2F2"/>
        <w:sz w:val="22"/>
      </w:rPr>
      <w:tcPr>
        <w:shd w:val="clear" w:color="5B9BD5" w:fill="5B9BD5"/>
      </w:tcPr>
    </w:tblStylePr>
    <w:tblStylePr w:type="band1Vert">
      <w:rPr>
        <w:rFonts w:ascii="Arial" w:hAnsi="Arial"/>
        <w:color w:val="404040"/>
        <w:sz w:val="22"/>
      </w:rPr>
    </w:tblStylePr>
    <w:tblStylePr w:type="band2Vert">
      <w:rPr>
        <w:rFonts w:ascii="Arial" w:hAnsi="Arial"/>
        <w:color w:val="404040"/>
        <w:sz w:val="22"/>
      </w:rPr>
      <w:tcPr>
        <w:shd w:val="clear" w:color="DDEAF6" w:fill="DDEAF6"/>
      </w:tcPr>
    </w:tblStylePr>
    <w:tblStylePr w:type="band1Horz">
      <w:rPr>
        <w:rFonts w:ascii="Arial" w:hAnsi="Arial"/>
        <w:color w:val="404040"/>
        <w:sz w:val="22"/>
      </w:rPr>
    </w:tblStylePr>
    <w:tblStylePr w:type="band2Horz">
      <w:rPr>
        <w:rFonts w:ascii="Arial" w:hAnsi="Arial"/>
        <w:color w:val="404040"/>
        <w:sz w:val="22"/>
      </w:rPr>
      <w:tcPr>
        <w:shd w:val="clear" w:color="DDEAF6" w:fill="DDEAF6"/>
      </w:tcPr>
    </w:tblStylePr>
  </w:style>
  <w:style w:type="table" w:customStyle="1" w:styleId="2011">
    <w:name w:val="Lined - Accent 610"/>
    <w:basedOn w:val="13"/>
    <w:uiPriority w:val="99"/>
    <w:rPr>
      <w:color w:val="404040"/>
    </w:rPr>
    <w:tblPr>
      <w:tblCellMar>
        <w:top w:w="0" w:type="dxa"/>
        <w:left w:w="108" w:type="dxa"/>
        <w:bottom w:w="0" w:type="dxa"/>
        <w:right w:w="108" w:type="dxa"/>
      </w:tblCellMar>
    </w:tblPr>
    <w:tblStylePr w:type="firstRow">
      <w:rPr>
        <w:rFonts w:ascii="Arial" w:hAnsi="Arial"/>
        <w:color w:val="F2F2F2"/>
        <w:sz w:val="22"/>
      </w:rPr>
      <w:tcPr>
        <w:shd w:val="clear" w:color="70AD47" w:fill="70AD47"/>
      </w:tcPr>
    </w:tblStylePr>
    <w:tblStylePr w:type="lastRow">
      <w:rPr>
        <w:rFonts w:ascii="Arial" w:hAnsi="Arial"/>
        <w:color w:val="F2F2F2"/>
        <w:sz w:val="22"/>
      </w:rPr>
      <w:tcPr>
        <w:shd w:val="clear" w:color="70AD47" w:fill="70AD47"/>
      </w:tcPr>
    </w:tblStylePr>
    <w:tblStylePr w:type="firstCol">
      <w:rPr>
        <w:rFonts w:ascii="Arial" w:hAnsi="Arial"/>
        <w:color w:val="F2F2F2"/>
        <w:sz w:val="22"/>
      </w:rPr>
      <w:tcPr>
        <w:shd w:val="clear" w:color="70AD47" w:fill="70AD47"/>
      </w:tcPr>
    </w:tblStylePr>
    <w:tblStylePr w:type="lastCol">
      <w:rPr>
        <w:rFonts w:ascii="Arial" w:hAnsi="Arial"/>
        <w:color w:val="F2F2F2"/>
        <w:sz w:val="22"/>
      </w:rPr>
      <w:tcPr>
        <w:shd w:val="clear" w:color="70AD47" w:fill="70AD47"/>
      </w:tcPr>
    </w:tblStylePr>
    <w:tblStylePr w:type="band1Vert">
      <w:rPr>
        <w:rFonts w:ascii="Arial" w:hAnsi="Arial"/>
        <w:color w:val="404040"/>
        <w:sz w:val="22"/>
      </w:rPr>
    </w:tblStylePr>
    <w:tblStylePr w:type="band2Vert">
      <w:rPr>
        <w:rFonts w:ascii="Arial" w:hAnsi="Arial"/>
        <w:color w:val="404040"/>
        <w:sz w:val="22"/>
      </w:rPr>
      <w:tcPr>
        <w:shd w:val="clear" w:color="E1EFD8" w:fill="E1EFD8"/>
      </w:tcPr>
    </w:tblStylePr>
    <w:tblStylePr w:type="band1Horz">
      <w:rPr>
        <w:rFonts w:ascii="Arial" w:hAnsi="Arial"/>
        <w:color w:val="404040"/>
        <w:sz w:val="22"/>
      </w:rPr>
    </w:tblStylePr>
    <w:tblStylePr w:type="band2Horz">
      <w:rPr>
        <w:rFonts w:ascii="Arial" w:hAnsi="Arial"/>
        <w:color w:val="404040"/>
        <w:sz w:val="22"/>
      </w:rPr>
      <w:tcPr>
        <w:shd w:val="clear" w:color="E1EFD8" w:fill="E1EFD8"/>
      </w:tcPr>
    </w:tblStylePr>
  </w:style>
  <w:style w:type="table" w:customStyle="1" w:styleId="2012">
    <w:name w:val="Bordered &amp; Lined - Accent10"/>
    <w:basedOn w:val="13"/>
    <w:uiPriority w:val="99"/>
    <w:rPr>
      <w:color w:val="404040"/>
    </w:rPr>
    <w:tblPr>
      <w:tblBorders>
        <w:top w:val="single" w:color="595959" w:sz="4" w:space="0"/>
        <w:left w:val="single" w:color="595959" w:sz="4" w:space="0"/>
        <w:bottom w:val="single" w:color="595959" w:sz="4" w:space="0"/>
        <w:right w:val="single" w:color="595959" w:sz="4" w:space="0"/>
        <w:insideH w:val="single" w:color="595959" w:sz="4" w:space="0"/>
        <w:insideV w:val="single" w:color="595959" w:sz="4" w:space="0"/>
      </w:tblBorders>
      <w:tblCellMar>
        <w:top w:w="0" w:type="dxa"/>
        <w:left w:w="108" w:type="dxa"/>
        <w:bottom w:w="0" w:type="dxa"/>
        <w:right w:w="108" w:type="dxa"/>
      </w:tblCellMar>
    </w:tblPr>
    <w:tblStylePr w:type="firstRow">
      <w:rPr>
        <w:rFonts w:ascii="Arial" w:hAnsi="Arial"/>
        <w:color w:val="F2F2F2"/>
        <w:sz w:val="22"/>
      </w:rPr>
      <w:tcPr>
        <w:shd w:val="clear" w:color="7F7F7F" w:fill="7F7F7F"/>
      </w:tcPr>
    </w:tblStylePr>
    <w:tblStylePr w:type="lastRow">
      <w:rPr>
        <w:rFonts w:ascii="Arial" w:hAnsi="Arial"/>
        <w:color w:val="F2F2F2"/>
        <w:sz w:val="22"/>
      </w:rPr>
      <w:tcPr>
        <w:shd w:val="clear" w:color="7F7F7F" w:fill="7F7F7F"/>
      </w:tcPr>
    </w:tblStylePr>
    <w:tblStylePr w:type="firstCol">
      <w:rPr>
        <w:rFonts w:ascii="Arial" w:hAnsi="Arial"/>
        <w:color w:val="F2F2F2"/>
        <w:sz w:val="22"/>
      </w:rPr>
      <w:tcPr>
        <w:shd w:val="clear" w:color="7F7F7F" w:fill="7F7F7F"/>
      </w:tcPr>
    </w:tblStylePr>
    <w:tblStylePr w:type="lastCol">
      <w:rPr>
        <w:rFonts w:ascii="Arial" w:hAnsi="Arial"/>
        <w:color w:val="F2F2F2"/>
        <w:sz w:val="22"/>
      </w:rPr>
      <w:tcPr>
        <w:shd w:val="clear" w:color="7F7F7F" w:fill="7F7F7F"/>
      </w:tcPr>
    </w:tblStylePr>
    <w:tblStylePr w:type="band1Vert">
      <w:rPr>
        <w:rFonts w:ascii="Arial" w:hAnsi="Arial"/>
        <w:color w:val="404040"/>
        <w:sz w:val="22"/>
      </w:rPr>
    </w:tblStylePr>
    <w:tblStylePr w:type="band2Vert">
      <w:rPr>
        <w:rFonts w:ascii="Arial" w:hAnsi="Arial"/>
        <w:color w:val="404040"/>
        <w:sz w:val="22"/>
      </w:rPr>
      <w:tcPr>
        <w:shd w:val="clear" w:color="F2F2F2" w:fill="F2F2F2"/>
      </w:tcPr>
    </w:tblStylePr>
    <w:tblStylePr w:type="band1Horz">
      <w:rPr>
        <w:rFonts w:ascii="Arial" w:hAnsi="Arial"/>
        <w:color w:val="404040"/>
        <w:sz w:val="22"/>
      </w:rPr>
    </w:tblStylePr>
    <w:tblStylePr w:type="band2Horz">
      <w:rPr>
        <w:rFonts w:ascii="Arial" w:hAnsi="Arial"/>
        <w:color w:val="404040"/>
        <w:sz w:val="22"/>
      </w:rPr>
      <w:tcPr>
        <w:shd w:val="clear" w:color="F2F2F2" w:fill="F2F2F2"/>
      </w:tcPr>
    </w:tblStylePr>
  </w:style>
  <w:style w:type="table" w:customStyle="1" w:styleId="2013">
    <w:name w:val="Bordered &amp; Lined - Accent 110"/>
    <w:basedOn w:val="13"/>
    <w:uiPriority w:val="99"/>
    <w:rPr>
      <w:color w:val="404040"/>
    </w:rPr>
    <w:tblPr>
      <w:tblBorders>
        <w:top w:val="single" w:color="254175" w:sz="4" w:space="0"/>
        <w:left w:val="single" w:color="254175" w:sz="4" w:space="0"/>
        <w:bottom w:val="single" w:color="254175" w:sz="4" w:space="0"/>
        <w:right w:val="single" w:color="254175" w:sz="4" w:space="0"/>
        <w:insideH w:val="single" w:color="254175" w:sz="4" w:space="0"/>
        <w:insideV w:val="single" w:color="254175" w:sz="4" w:space="0"/>
      </w:tblBorders>
      <w:tblCellMar>
        <w:top w:w="0" w:type="dxa"/>
        <w:left w:w="108" w:type="dxa"/>
        <w:bottom w:w="0" w:type="dxa"/>
        <w:right w:w="108" w:type="dxa"/>
      </w:tblCellMar>
    </w:tblPr>
    <w:tblStylePr w:type="firstRow">
      <w:rPr>
        <w:rFonts w:ascii="Arial" w:hAnsi="Arial"/>
        <w:color w:val="F2F2F2"/>
        <w:sz w:val="22"/>
      </w:rPr>
      <w:tcPr>
        <w:shd w:val="clear" w:color="537DC8" w:fill="537DC8"/>
      </w:tcPr>
    </w:tblStylePr>
    <w:tblStylePr w:type="lastRow">
      <w:rPr>
        <w:rFonts w:ascii="Arial" w:hAnsi="Arial"/>
        <w:color w:val="F2F2F2"/>
        <w:sz w:val="22"/>
      </w:rPr>
      <w:tcPr>
        <w:shd w:val="clear" w:color="537DC8" w:fill="537DC8"/>
      </w:tcPr>
    </w:tblStylePr>
    <w:tblStylePr w:type="firstCol">
      <w:rPr>
        <w:rFonts w:ascii="Arial" w:hAnsi="Arial"/>
        <w:color w:val="F2F2F2"/>
        <w:sz w:val="22"/>
      </w:rPr>
      <w:tcPr>
        <w:shd w:val="clear" w:color="537DC8" w:fill="537DC8"/>
      </w:tcPr>
    </w:tblStylePr>
    <w:tblStylePr w:type="lastCol">
      <w:rPr>
        <w:rFonts w:ascii="Arial" w:hAnsi="Arial"/>
        <w:color w:val="F2F2F2"/>
        <w:sz w:val="22"/>
      </w:rPr>
      <w:tcPr>
        <w:shd w:val="clear" w:color="537DC8" w:fill="537DC8"/>
      </w:tcPr>
    </w:tblStylePr>
    <w:tblStylePr w:type="band1Vert">
      <w:rPr>
        <w:rFonts w:ascii="Arial" w:hAnsi="Arial"/>
        <w:color w:val="404040"/>
        <w:sz w:val="22"/>
      </w:rPr>
    </w:tblStylePr>
    <w:tblStylePr w:type="band2Vert">
      <w:rPr>
        <w:rFonts w:ascii="Arial" w:hAnsi="Arial"/>
        <w:color w:val="404040"/>
        <w:sz w:val="22"/>
      </w:rPr>
      <w:tcPr>
        <w:shd w:val="clear" w:color="C4D2EC" w:fill="C4D2EC"/>
      </w:tcPr>
    </w:tblStylePr>
    <w:tblStylePr w:type="band1Horz">
      <w:rPr>
        <w:rFonts w:ascii="Arial" w:hAnsi="Arial"/>
        <w:color w:val="404040"/>
        <w:sz w:val="22"/>
      </w:rPr>
    </w:tblStylePr>
    <w:tblStylePr w:type="band2Horz">
      <w:rPr>
        <w:rFonts w:ascii="Arial" w:hAnsi="Arial"/>
        <w:color w:val="404040"/>
        <w:sz w:val="22"/>
      </w:rPr>
      <w:tcPr>
        <w:shd w:val="clear" w:color="C4D2EC" w:fill="C4D2EC"/>
      </w:tcPr>
    </w:tblStylePr>
  </w:style>
  <w:style w:type="table" w:customStyle="1" w:styleId="2014">
    <w:name w:val="Bordered &amp; Lined - Accent 210"/>
    <w:basedOn w:val="13"/>
    <w:uiPriority w:val="99"/>
    <w:rPr>
      <w:color w:val="404040"/>
    </w:rPr>
    <w:tblPr>
      <w:tblBorders>
        <w:top w:val="single" w:color="99460D" w:sz="4" w:space="0"/>
        <w:left w:val="single" w:color="99460D" w:sz="4" w:space="0"/>
        <w:bottom w:val="single" w:color="99460D" w:sz="4" w:space="0"/>
        <w:right w:val="single" w:color="99460D" w:sz="4" w:space="0"/>
        <w:insideH w:val="single" w:color="99460D" w:sz="4" w:space="0"/>
        <w:insideV w:val="single" w:color="99460D" w:sz="4" w:space="0"/>
      </w:tblBorders>
      <w:tblCellMar>
        <w:top w:w="0" w:type="dxa"/>
        <w:left w:w="108" w:type="dxa"/>
        <w:bottom w:w="0" w:type="dxa"/>
        <w:right w:w="108" w:type="dxa"/>
      </w:tblCellMar>
    </w:tblPr>
    <w:tblStylePr w:type="firstRow">
      <w:rPr>
        <w:rFonts w:ascii="Arial" w:hAnsi="Arial"/>
        <w:color w:val="F2F2F2"/>
        <w:sz w:val="22"/>
      </w:rPr>
      <w:tcPr>
        <w:shd w:val="clear" w:color="F4B184" w:fill="F4B184"/>
      </w:tcPr>
    </w:tblStylePr>
    <w:tblStylePr w:type="lastRow">
      <w:rPr>
        <w:rFonts w:ascii="Arial" w:hAnsi="Arial"/>
        <w:color w:val="F2F2F2"/>
        <w:sz w:val="22"/>
      </w:rPr>
      <w:tcPr>
        <w:shd w:val="clear" w:color="F4B184" w:fill="F4B184"/>
      </w:tcPr>
    </w:tblStylePr>
    <w:tblStylePr w:type="firstCol">
      <w:rPr>
        <w:rFonts w:ascii="Arial" w:hAnsi="Arial"/>
        <w:color w:val="F2F2F2"/>
        <w:sz w:val="22"/>
      </w:rPr>
      <w:tcPr>
        <w:shd w:val="clear" w:color="F4B184" w:fill="F4B184"/>
      </w:tcPr>
    </w:tblStylePr>
    <w:tblStylePr w:type="lastCol">
      <w:rPr>
        <w:rFonts w:ascii="Arial" w:hAnsi="Arial"/>
        <w:color w:val="F2F2F2"/>
        <w:sz w:val="22"/>
      </w:rPr>
      <w:tcPr>
        <w:shd w:val="clear" w:color="F4B184" w:fill="F4B184"/>
      </w:tcPr>
    </w:tblStylePr>
    <w:tblStylePr w:type="band1Vert">
      <w:rPr>
        <w:rFonts w:ascii="Arial" w:hAnsi="Arial"/>
        <w:color w:val="404040"/>
        <w:sz w:val="22"/>
      </w:rPr>
    </w:tblStylePr>
    <w:tblStylePr w:type="band2Vert">
      <w:rPr>
        <w:rFonts w:ascii="Arial" w:hAnsi="Arial"/>
        <w:color w:val="404040"/>
        <w:sz w:val="22"/>
      </w:rPr>
      <w:tcPr>
        <w:shd w:val="clear" w:color="FBE5D6" w:fill="FBE5D6"/>
      </w:tcPr>
    </w:tblStylePr>
    <w:tblStylePr w:type="band1Horz">
      <w:rPr>
        <w:rFonts w:ascii="Arial" w:hAnsi="Arial"/>
        <w:color w:val="404040"/>
        <w:sz w:val="22"/>
      </w:rPr>
    </w:tblStylePr>
    <w:tblStylePr w:type="band2Horz">
      <w:rPr>
        <w:rFonts w:ascii="Arial" w:hAnsi="Arial"/>
        <w:color w:val="404040"/>
        <w:sz w:val="22"/>
      </w:rPr>
      <w:tcPr>
        <w:shd w:val="clear" w:color="FBE5D6" w:fill="FBE5D6"/>
      </w:tcPr>
    </w:tblStylePr>
  </w:style>
  <w:style w:type="table" w:customStyle="1" w:styleId="2015">
    <w:name w:val="Bordered &amp; Lined - Accent 310"/>
    <w:basedOn w:val="13"/>
    <w:uiPriority w:val="99"/>
    <w:rPr>
      <w:color w:val="404040"/>
    </w:rPr>
    <w:tblPr>
      <w:tblBorders>
        <w:top w:val="single" w:color="606060" w:sz="4" w:space="0"/>
        <w:left w:val="single" w:color="606060" w:sz="4" w:space="0"/>
        <w:bottom w:val="single" w:color="606060" w:sz="4" w:space="0"/>
        <w:right w:val="single" w:color="606060" w:sz="4" w:space="0"/>
        <w:insideH w:val="single" w:color="606060" w:sz="4" w:space="0"/>
        <w:insideV w:val="single" w:color="606060" w:sz="4" w:space="0"/>
      </w:tblBorders>
      <w:tblCellMar>
        <w:top w:w="0" w:type="dxa"/>
        <w:left w:w="108" w:type="dxa"/>
        <w:bottom w:w="0" w:type="dxa"/>
        <w:right w:w="108" w:type="dxa"/>
      </w:tblCellMar>
    </w:tblPr>
    <w:tblStylePr w:type="firstRow">
      <w:rPr>
        <w:rFonts w:ascii="Arial" w:hAnsi="Arial"/>
        <w:color w:val="F2F2F2"/>
        <w:sz w:val="22"/>
      </w:rPr>
      <w:tcPr>
        <w:shd w:val="clear" w:color="A5A5A5" w:fill="A5A5A5"/>
      </w:tcPr>
    </w:tblStylePr>
    <w:tblStylePr w:type="lastRow">
      <w:rPr>
        <w:rFonts w:ascii="Arial" w:hAnsi="Arial"/>
        <w:color w:val="F2F2F2"/>
        <w:sz w:val="22"/>
      </w:rPr>
      <w:tcPr>
        <w:shd w:val="clear" w:color="A5A5A5" w:fill="A5A5A5"/>
      </w:tcPr>
    </w:tblStylePr>
    <w:tblStylePr w:type="firstCol">
      <w:rPr>
        <w:rFonts w:ascii="Arial" w:hAnsi="Arial"/>
        <w:color w:val="F2F2F2"/>
        <w:sz w:val="22"/>
      </w:rPr>
      <w:tcPr>
        <w:shd w:val="clear" w:color="A5A5A5" w:fill="A5A5A5"/>
      </w:tcPr>
    </w:tblStylePr>
    <w:tblStylePr w:type="lastCol">
      <w:rPr>
        <w:rFonts w:ascii="Arial" w:hAnsi="Arial"/>
        <w:color w:val="F2F2F2"/>
        <w:sz w:val="22"/>
      </w:rPr>
      <w:tcPr>
        <w:shd w:val="clear" w:color="A5A5A5" w:fill="A5A5A5"/>
      </w:tcPr>
    </w:tblStylePr>
    <w:tblStylePr w:type="band1Vert">
      <w:rPr>
        <w:rFonts w:ascii="Arial" w:hAnsi="Arial"/>
        <w:color w:val="404040"/>
        <w:sz w:val="22"/>
      </w:rPr>
    </w:tblStylePr>
    <w:tblStylePr w:type="band2Vert">
      <w:rPr>
        <w:rFonts w:ascii="Arial" w:hAnsi="Arial"/>
        <w:color w:val="404040"/>
        <w:sz w:val="22"/>
      </w:rPr>
      <w:tcPr>
        <w:shd w:val="clear" w:color="ECECEC" w:fill="ECECEC"/>
      </w:tcPr>
    </w:tblStylePr>
    <w:tblStylePr w:type="band1Horz">
      <w:rPr>
        <w:rFonts w:ascii="Arial" w:hAnsi="Arial"/>
        <w:color w:val="404040"/>
        <w:sz w:val="22"/>
      </w:rPr>
    </w:tblStylePr>
    <w:tblStylePr w:type="band2Horz">
      <w:rPr>
        <w:rFonts w:ascii="Arial" w:hAnsi="Arial"/>
        <w:color w:val="404040"/>
        <w:sz w:val="22"/>
      </w:rPr>
      <w:tcPr>
        <w:shd w:val="clear" w:color="ECECEC" w:fill="ECECEC"/>
      </w:tcPr>
    </w:tblStylePr>
  </w:style>
  <w:style w:type="table" w:customStyle="1" w:styleId="2016">
    <w:name w:val="Bordered &amp; Lined - Accent 410"/>
    <w:basedOn w:val="13"/>
    <w:uiPriority w:val="99"/>
    <w:rPr>
      <w:color w:val="404040"/>
    </w:rPr>
    <w:tblPr>
      <w:tblBorders>
        <w:top w:val="single" w:color="957000" w:sz="4" w:space="0"/>
        <w:left w:val="single" w:color="957000" w:sz="4" w:space="0"/>
        <w:bottom w:val="single" w:color="957000" w:sz="4" w:space="0"/>
        <w:right w:val="single" w:color="957000" w:sz="4" w:space="0"/>
        <w:insideH w:val="single" w:color="957000" w:sz="4" w:space="0"/>
        <w:insideV w:val="single" w:color="957000" w:sz="4" w:space="0"/>
      </w:tblBorders>
      <w:tblCellMar>
        <w:top w:w="0" w:type="dxa"/>
        <w:left w:w="108" w:type="dxa"/>
        <w:bottom w:w="0" w:type="dxa"/>
        <w:right w:w="108" w:type="dxa"/>
      </w:tblCellMar>
    </w:tblPr>
    <w:tblStylePr w:type="firstRow">
      <w:rPr>
        <w:rFonts w:ascii="Arial" w:hAnsi="Arial"/>
        <w:color w:val="F2F2F2"/>
        <w:sz w:val="22"/>
      </w:rPr>
      <w:tcPr>
        <w:shd w:val="clear" w:color="FFD865" w:fill="FFD865"/>
      </w:tcPr>
    </w:tblStylePr>
    <w:tblStylePr w:type="lastRow">
      <w:rPr>
        <w:rFonts w:ascii="Arial" w:hAnsi="Arial"/>
        <w:color w:val="F2F2F2"/>
        <w:sz w:val="22"/>
      </w:rPr>
      <w:tcPr>
        <w:shd w:val="clear" w:color="FFD865" w:fill="FFD865"/>
      </w:tcPr>
    </w:tblStylePr>
    <w:tblStylePr w:type="firstCol">
      <w:rPr>
        <w:rFonts w:ascii="Arial" w:hAnsi="Arial"/>
        <w:color w:val="F2F2F2"/>
        <w:sz w:val="22"/>
      </w:rPr>
      <w:tcPr>
        <w:shd w:val="clear" w:color="FFD865" w:fill="FFD865"/>
      </w:tcPr>
    </w:tblStylePr>
    <w:tblStylePr w:type="lastCol">
      <w:rPr>
        <w:rFonts w:ascii="Arial" w:hAnsi="Arial"/>
        <w:color w:val="F2F2F2"/>
        <w:sz w:val="22"/>
      </w:rPr>
      <w:tcPr>
        <w:shd w:val="clear" w:color="FFD865" w:fill="FFD865"/>
      </w:tcPr>
    </w:tblStylePr>
    <w:tblStylePr w:type="band1Vert">
      <w:rPr>
        <w:rFonts w:ascii="Arial" w:hAnsi="Arial"/>
        <w:color w:val="404040"/>
        <w:sz w:val="22"/>
      </w:rPr>
    </w:tblStylePr>
    <w:tblStylePr w:type="band2Vert">
      <w:rPr>
        <w:rFonts w:ascii="Arial" w:hAnsi="Arial"/>
        <w:color w:val="404040"/>
        <w:sz w:val="22"/>
      </w:rPr>
      <w:tcPr>
        <w:shd w:val="clear" w:color="FFF2CB" w:fill="FFF2CB"/>
      </w:tcPr>
    </w:tblStylePr>
    <w:tblStylePr w:type="band1Horz">
      <w:rPr>
        <w:rFonts w:ascii="Arial" w:hAnsi="Arial"/>
        <w:color w:val="404040"/>
        <w:sz w:val="22"/>
      </w:rPr>
    </w:tblStylePr>
    <w:tblStylePr w:type="band2Horz">
      <w:rPr>
        <w:rFonts w:ascii="Arial" w:hAnsi="Arial"/>
        <w:color w:val="404040"/>
        <w:sz w:val="22"/>
      </w:rPr>
      <w:tcPr>
        <w:shd w:val="clear" w:color="FFF2CB" w:fill="FFF2CB"/>
      </w:tcPr>
    </w:tblStylePr>
  </w:style>
  <w:style w:type="table" w:customStyle="1" w:styleId="2017">
    <w:name w:val="Bordered &amp; Lined - Accent 510"/>
    <w:basedOn w:val="13"/>
    <w:uiPriority w:val="99"/>
    <w:rPr>
      <w:color w:val="404040"/>
    </w:rPr>
    <w:tblPr>
      <w:tblBorders>
        <w:top w:val="single" w:color="245A8D" w:sz="4" w:space="0"/>
        <w:left w:val="single" w:color="245A8D" w:sz="4" w:space="0"/>
        <w:bottom w:val="single" w:color="245A8D" w:sz="4" w:space="0"/>
        <w:right w:val="single" w:color="245A8D" w:sz="4" w:space="0"/>
        <w:insideH w:val="single" w:color="245A8D" w:sz="4" w:space="0"/>
        <w:insideV w:val="single" w:color="245A8D" w:sz="4" w:space="0"/>
      </w:tblBorders>
      <w:tblCellMar>
        <w:top w:w="0" w:type="dxa"/>
        <w:left w:w="108" w:type="dxa"/>
        <w:bottom w:w="0" w:type="dxa"/>
        <w:right w:w="108" w:type="dxa"/>
      </w:tblCellMar>
    </w:tblPr>
    <w:tblStylePr w:type="firstRow">
      <w:rPr>
        <w:rFonts w:ascii="Arial" w:hAnsi="Arial"/>
        <w:color w:val="F2F2F2"/>
        <w:sz w:val="22"/>
      </w:rPr>
      <w:tcPr>
        <w:shd w:val="clear" w:color="5B9BD5" w:fill="5B9BD5"/>
      </w:tcPr>
    </w:tblStylePr>
    <w:tblStylePr w:type="lastRow">
      <w:rPr>
        <w:rFonts w:ascii="Arial" w:hAnsi="Arial"/>
        <w:color w:val="F2F2F2"/>
        <w:sz w:val="22"/>
      </w:rPr>
      <w:tcPr>
        <w:shd w:val="clear" w:color="5B9BD5" w:fill="5B9BD5"/>
      </w:tcPr>
    </w:tblStylePr>
    <w:tblStylePr w:type="firstCol">
      <w:rPr>
        <w:rFonts w:ascii="Arial" w:hAnsi="Arial"/>
        <w:color w:val="F2F2F2"/>
        <w:sz w:val="22"/>
      </w:rPr>
      <w:tcPr>
        <w:shd w:val="clear" w:color="5B9BD5" w:fill="5B9BD5"/>
      </w:tcPr>
    </w:tblStylePr>
    <w:tblStylePr w:type="lastCol">
      <w:rPr>
        <w:rFonts w:ascii="Arial" w:hAnsi="Arial"/>
        <w:color w:val="F2F2F2"/>
        <w:sz w:val="22"/>
      </w:rPr>
      <w:tcPr>
        <w:shd w:val="clear" w:color="5B9BD5" w:fill="5B9BD5"/>
      </w:tcPr>
    </w:tblStylePr>
    <w:tblStylePr w:type="band1Vert">
      <w:rPr>
        <w:rFonts w:ascii="Arial" w:hAnsi="Arial"/>
        <w:color w:val="404040"/>
        <w:sz w:val="22"/>
      </w:rPr>
    </w:tblStylePr>
    <w:tblStylePr w:type="band2Vert">
      <w:rPr>
        <w:rFonts w:ascii="Arial" w:hAnsi="Arial"/>
        <w:color w:val="404040"/>
        <w:sz w:val="22"/>
      </w:rPr>
      <w:tcPr>
        <w:shd w:val="clear" w:color="DDEAF6" w:fill="DDEAF6"/>
      </w:tcPr>
    </w:tblStylePr>
    <w:tblStylePr w:type="band1Horz">
      <w:rPr>
        <w:rFonts w:ascii="Arial" w:hAnsi="Arial"/>
        <w:color w:val="404040"/>
        <w:sz w:val="22"/>
      </w:rPr>
    </w:tblStylePr>
    <w:tblStylePr w:type="band2Horz">
      <w:rPr>
        <w:rFonts w:ascii="Arial" w:hAnsi="Arial"/>
        <w:color w:val="404040"/>
        <w:sz w:val="22"/>
      </w:rPr>
      <w:tcPr>
        <w:shd w:val="clear" w:color="DDEAF6" w:fill="DDEAF6"/>
      </w:tcPr>
    </w:tblStylePr>
  </w:style>
  <w:style w:type="table" w:customStyle="1" w:styleId="2018">
    <w:name w:val="Bordered &amp; Lined - Accent 610"/>
    <w:basedOn w:val="13"/>
    <w:uiPriority w:val="99"/>
    <w:rPr>
      <w:color w:val="404040"/>
    </w:rPr>
    <w:tblPr>
      <w:tblBorders>
        <w:top w:val="single" w:color="416429" w:sz="4" w:space="0"/>
        <w:left w:val="single" w:color="416429" w:sz="4" w:space="0"/>
        <w:bottom w:val="single" w:color="416429" w:sz="4" w:space="0"/>
        <w:right w:val="single" w:color="416429" w:sz="4" w:space="0"/>
        <w:insideH w:val="single" w:color="416429" w:sz="4" w:space="0"/>
        <w:insideV w:val="single" w:color="416429" w:sz="4" w:space="0"/>
      </w:tblBorders>
      <w:tblCellMar>
        <w:top w:w="0" w:type="dxa"/>
        <w:left w:w="108" w:type="dxa"/>
        <w:bottom w:w="0" w:type="dxa"/>
        <w:right w:w="108" w:type="dxa"/>
      </w:tblCellMar>
    </w:tblPr>
    <w:tblStylePr w:type="firstRow">
      <w:rPr>
        <w:rFonts w:ascii="Arial" w:hAnsi="Arial"/>
        <w:color w:val="F2F2F2"/>
        <w:sz w:val="22"/>
      </w:rPr>
      <w:tcPr>
        <w:shd w:val="clear" w:color="70AD47" w:fill="70AD47"/>
      </w:tcPr>
    </w:tblStylePr>
    <w:tblStylePr w:type="lastRow">
      <w:rPr>
        <w:rFonts w:ascii="Arial" w:hAnsi="Arial"/>
        <w:color w:val="F2F2F2"/>
        <w:sz w:val="22"/>
      </w:rPr>
      <w:tcPr>
        <w:shd w:val="clear" w:color="70AD47" w:fill="70AD47"/>
      </w:tcPr>
    </w:tblStylePr>
    <w:tblStylePr w:type="firstCol">
      <w:rPr>
        <w:rFonts w:ascii="Arial" w:hAnsi="Arial"/>
        <w:color w:val="F2F2F2"/>
        <w:sz w:val="22"/>
      </w:rPr>
      <w:tcPr>
        <w:shd w:val="clear" w:color="70AD47" w:fill="70AD47"/>
      </w:tcPr>
    </w:tblStylePr>
    <w:tblStylePr w:type="lastCol">
      <w:rPr>
        <w:rFonts w:ascii="Arial" w:hAnsi="Arial"/>
        <w:color w:val="F2F2F2"/>
        <w:sz w:val="22"/>
      </w:rPr>
      <w:tcPr>
        <w:shd w:val="clear" w:color="70AD47" w:fill="70AD47"/>
      </w:tcPr>
    </w:tblStylePr>
    <w:tblStylePr w:type="band1Vert">
      <w:rPr>
        <w:rFonts w:ascii="Arial" w:hAnsi="Arial"/>
        <w:color w:val="404040"/>
        <w:sz w:val="22"/>
      </w:rPr>
    </w:tblStylePr>
    <w:tblStylePr w:type="band2Vert">
      <w:rPr>
        <w:rFonts w:ascii="Arial" w:hAnsi="Arial"/>
        <w:color w:val="404040"/>
        <w:sz w:val="22"/>
      </w:rPr>
      <w:tcPr>
        <w:shd w:val="clear" w:color="E1EFD8" w:fill="E1EFD8"/>
      </w:tcPr>
    </w:tblStylePr>
    <w:tblStylePr w:type="band1Horz">
      <w:rPr>
        <w:rFonts w:ascii="Arial" w:hAnsi="Arial"/>
        <w:color w:val="404040"/>
        <w:sz w:val="22"/>
      </w:rPr>
    </w:tblStylePr>
    <w:tblStylePr w:type="band2Horz">
      <w:rPr>
        <w:rFonts w:ascii="Arial" w:hAnsi="Arial"/>
        <w:color w:val="404040"/>
        <w:sz w:val="22"/>
      </w:rPr>
      <w:tcPr>
        <w:shd w:val="clear" w:color="E1EFD8" w:fill="E1EFD8"/>
      </w:tcPr>
    </w:tblStylePr>
  </w:style>
  <w:style w:type="table" w:customStyle="1" w:styleId="2019">
    <w:name w:val="Bordered10"/>
    <w:basedOn w:val="13"/>
    <w:uiPriority w:val="99"/>
    <w:rPr>
      <w:sz w:val="22"/>
      <w:szCs w:val="22"/>
      <w:lang w:eastAsia="en-US"/>
    </w:rPr>
    <w:tblPr>
      <w:tblBorders>
        <w:top w:val="single" w:color="D9D9D9" w:sz="4" w:space="0"/>
        <w:left w:val="single" w:color="D9D9D9" w:sz="4" w:space="0"/>
        <w:bottom w:val="single" w:color="D9D9D9" w:sz="4" w:space="0"/>
        <w:right w:val="single" w:color="D9D9D9" w:sz="4" w:space="0"/>
        <w:insideH w:val="single" w:color="D9D9D9" w:sz="4" w:space="0"/>
        <w:insideV w:val="single" w:color="D9D9D9" w:sz="4" w:space="0"/>
      </w:tblBorders>
      <w:tblCellMar>
        <w:top w:w="0" w:type="dxa"/>
        <w:left w:w="108" w:type="dxa"/>
        <w:bottom w:w="0" w:type="dxa"/>
        <w:right w:w="108" w:type="dxa"/>
      </w:tblCellMar>
    </w:tblPr>
    <w:tblStylePr w:type="firstRow">
      <w:rPr>
        <w:rFonts w:ascii="Arial" w:hAnsi="Arial"/>
        <w:color w:val="404040"/>
        <w:sz w:val="22"/>
      </w:rPr>
      <w:tcPr>
        <w:tcBorders>
          <w:bottom w:val="single" w:color="7F7F7F" w:sz="12" w:space="0"/>
        </w:tcBorders>
      </w:tcPr>
    </w:tblStylePr>
    <w:tblStylePr w:type="lastRow">
      <w:rPr>
        <w:rFonts w:ascii="Arial" w:hAnsi="Arial"/>
        <w:color w:val="404040"/>
        <w:sz w:val="22"/>
      </w:rPr>
      <w:tcPr>
        <w:tcBorders>
          <w:top w:val="single" w:color="7F7F7F"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7F7F7F" w:sz="12" w:space="0"/>
        </w:tcBorders>
      </w:tcPr>
    </w:tblStylePr>
    <w:tblStylePr w:type="band1Horz">
      <w:rPr>
        <w:rFonts w:ascii="Arial" w:hAnsi="Arial"/>
        <w:color w:val="404040"/>
        <w:sz w:val="22"/>
      </w:rPr>
      <w:tcPr>
        <w:tcBorders>
          <w:top w:val="single" w:color="D9D9D9" w:sz="4" w:space="0"/>
          <w:left w:val="single" w:color="D9D9D9" w:sz="4" w:space="0"/>
          <w:bottom w:val="single" w:color="D9D9D9" w:sz="4" w:space="0"/>
          <w:right w:val="single" w:color="D9D9D9" w:sz="4" w:space="0"/>
        </w:tcBorders>
      </w:tcPr>
    </w:tblStylePr>
  </w:style>
  <w:style w:type="table" w:customStyle="1" w:styleId="2020">
    <w:name w:val="Bordered - Accent 110"/>
    <w:basedOn w:val="13"/>
    <w:uiPriority w:val="99"/>
    <w:rPr>
      <w:sz w:val="22"/>
      <w:szCs w:val="22"/>
      <w:lang w:eastAsia="en-US"/>
    </w:rPr>
    <w:tblPr>
      <w:tblBorders>
        <w:top w:val="single" w:color="B3C5E7" w:sz="4" w:space="0"/>
        <w:left w:val="single" w:color="B3C5E7" w:sz="4" w:space="0"/>
        <w:bottom w:val="single" w:color="B3C5E7" w:sz="4" w:space="0"/>
        <w:right w:val="single" w:color="B3C5E7" w:sz="4" w:space="0"/>
        <w:insideH w:val="single" w:color="B3C5E7" w:sz="4" w:space="0"/>
        <w:insideV w:val="single" w:color="B3C5E7" w:sz="4" w:space="0"/>
      </w:tblBorders>
      <w:tblCellMar>
        <w:top w:w="0" w:type="dxa"/>
        <w:left w:w="108" w:type="dxa"/>
        <w:bottom w:w="0" w:type="dxa"/>
        <w:right w:w="108" w:type="dxa"/>
      </w:tblCellMar>
    </w:tblPr>
    <w:tblStylePr w:type="firstRow">
      <w:rPr>
        <w:rFonts w:ascii="Arial" w:hAnsi="Arial"/>
        <w:color w:val="404040"/>
        <w:sz w:val="22"/>
      </w:rPr>
      <w:tcPr>
        <w:tcBorders>
          <w:bottom w:val="single" w:color="4472C4" w:sz="12" w:space="0"/>
        </w:tcBorders>
      </w:tcPr>
    </w:tblStylePr>
    <w:tblStylePr w:type="lastRow">
      <w:rPr>
        <w:rFonts w:ascii="Arial" w:hAnsi="Arial"/>
        <w:color w:val="404040"/>
        <w:sz w:val="22"/>
      </w:rPr>
      <w:tcPr>
        <w:tcBorders>
          <w:top w:val="single" w:color="4472C4"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4472C4" w:sz="12" w:space="0"/>
        </w:tcBorders>
      </w:tcPr>
    </w:tblStylePr>
    <w:tblStylePr w:type="band1Horz">
      <w:rPr>
        <w:rFonts w:ascii="Arial" w:hAnsi="Arial"/>
        <w:color w:val="404040"/>
        <w:sz w:val="22"/>
      </w:rPr>
      <w:tcPr>
        <w:tcBorders>
          <w:top w:val="single" w:color="B3C5E7" w:sz="4" w:space="0"/>
          <w:left w:val="single" w:color="B3C5E7" w:sz="4" w:space="0"/>
          <w:bottom w:val="single" w:color="B3C5E7" w:sz="4" w:space="0"/>
          <w:right w:val="single" w:color="B3C5E7" w:sz="4" w:space="0"/>
        </w:tcBorders>
      </w:tcPr>
    </w:tblStylePr>
  </w:style>
  <w:style w:type="table" w:customStyle="1" w:styleId="2021">
    <w:name w:val="Bordered - Accent 210"/>
    <w:basedOn w:val="13"/>
    <w:uiPriority w:val="99"/>
    <w:rPr>
      <w:sz w:val="22"/>
      <w:szCs w:val="22"/>
      <w:lang w:eastAsia="en-US"/>
    </w:rPr>
    <w:tblPr>
      <w:tblBorders>
        <w:top w:val="single" w:color="F7CAAB" w:sz="4" w:space="0"/>
        <w:left w:val="single" w:color="F7CAAB" w:sz="4" w:space="0"/>
        <w:bottom w:val="single" w:color="F7CAAB" w:sz="4" w:space="0"/>
        <w:right w:val="single" w:color="F7CAAB" w:sz="4" w:space="0"/>
        <w:insideH w:val="single" w:color="F7CAAB" w:sz="4" w:space="0"/>
        <w:insideV w:val="single" w:color="F7CAAB" w:sz="4" w:space="0"/>
      </w:tblBorders>
      <w:tblCellMar>
        <w:top w:w="0" w:type="dxa"/>
        <w:left w:w="108" w:type="dxa"/>
        <w:bottom w:w="0" w:type="dxa"/>
        <w:right w:w="108" w:type="dxa"/>
      </w:tblCellMar>
    </w:tblPr>
    <w:tblStylePr w:type="firstRow">
      <w:rPr>
        <w:rFonts w:ascii="Arial" w:hAnsi="Arial"/>
        <w:color w:val="404040"/>
        <w:sz w:val="22"/>
      </w:rPr>
      <w:tcPr>
        <w:tcBorders>
          <w:bottom w:val="single" w:color="F4B184" w:sz="12" w:space="0"/>
        </w:tcBorders>
      </w:tcPr>
    </w:tblStylePr>
    <w:tblStylePr w:type="lastRow">
      <w:rPr>
        <w:rFonts w:ascii="Arial" w:hAnsi="Arial"/>
        <w:color w:val="404040"/>
        <w:sz w:val="22"/>
      </w:rPr>
      <w:tcPr>
        <w:tcBorders>
          <w:top w:val="single" w:color="F4B184"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F4B184" w:sz="12" w:space="0"/>
        </w:tcBorders>
      </w:tcPr>
    </w:tblStylePr>
    <w:tblStylePr w:type="band1Horz">
      <w:rPr>
        <w:rFonts w:ascii="Arial" w:hAnsi="Arial"/>
        <w:color w:val="404040"/>
        <w:sz w:val="22"/>
      </w:rPr>
      <w:tcPr>
        <w:tcBorders>
          <w:top w:val="single" w:color="F7CAAB" w:sz="4" w:space="0"/>
          <w:left w:val="single" w:color="F7CAAB" w:sz="4" w:space="0"/>
          <w:bottom w:val="single" w:color="F7CAAB" w:sz="4" w:space="0"/>
          <w:right w:val="single" w:color="F7CAAB" w:sz="4" w:space="0"/>
        </w:tcBorders>
      </w:tcPr>
    </w:tblStylePr>
  </w:style>
  <w:style w:type="table" w:customStyle="1" w:styleId="2022">
    <w:name w:val="Bordered - Accent 310"/>
    <w:basedOn w:val="13"/>
    <w:uiPriority w:val="99"/>
    <w:rPr>
      <w:sz w:val="22"/>
      <w:szCs w:val="22"/>
      <w:lang w:eastAsia="en-US"/>
    </w:rPr>
    <w:tblPr>
      <w:tblBorders>
        <w:top w:val="single" w:color="DADADA" w:sz="4" w:space="0"/>
        <w:left w:val="single" w:color="DADADA" w:sz="4" w:space="0"/>
        <w:bottom w:val="single" w:color="DADADA" w:sz="4" w:space="0"/>
        <w:right w:val="single" w:color="DADADA" w:sz="4" w:space="0"/>
        <w:insideH w:val="single" w:color="DADADA" w:sz="4" w:space="0"/>
        <w:insideV w:val="single" w:color="DADADA" w:sz="4" w:space="0"/>
      </w:tblBorders>
      <w:tblCellMar>
        <w:top w:w="0" w:type="dxa"/>
        <w:left w:w="108" w:type="dxa"/>
        <w:bottom w:w="0" w:type="dxa"/>
        <w:right w:w="108" w:type="dxa"/>
      </w:tblCellMar>
    </w:tblPr>
    <w:tblStylePr w:type="firstRow">
      <w:rPr>
        <w:rFonts w:ascii="Arial" w:hAnsi="Arial"/>
        <w:color w:val="404040"/>
        <w:sz w:val="22"/>
      </w:rPr>
      <w:tcPr>
        <w:tcBorders>
          <w:bottom w:val="single" w:color="C9C9C9" w:sz="12" w:space="0"/>
        </w:tcBorders>
      </w:tcPr>
    </w:tblStylePr>
    <w:tblStylePr w:type="lastRow">
      <w:rPr>
        <w:rFonts w:ascii="Arial" w:hAnsi="Arial"/>
        <w:color w:val="404040"/>
        <w:sz w:val="22"/>
      </w:rPr>
      <w:tcPr>
        <w:tcBorders>
          <w:top w:val="single" w:color="C9C9C9"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C9C9C9" w:sz="12" w:space="0"/>
        </w:tcBorders>
      </w:tcPr>
    </w:tblStylePr>
    <w:tblStylePr w:type="band1Horz">
      <w:rPr>
        <w:rFonts w:ascii="Arial" w:hAnsi="Arial"/>
        <w:color w:val="404040"/>
        <w:sz w:val="22"/>
      </w:rPr>
      <w:tcPr>
        <w:tcBorders>
          <w:top w:val="single" w:color="DADADA" w:sz="4" w:space="0"/>
          <w:left w:val="single" w:color="DADADA" w:sz="4" w:space="0"/>
          <w:bottom w:val="single" w:color="DADADA" w:sz="4" w:space="0"/>
          <w:right w:val="single" w:color="DADADA" w:sz="4" w:space="0"/>
        </w:tcBorders>
      </w:tcPr>
    </w:tblStylePr>
  </w:style>
  <w:style w:type="table" w:customStyle="1" w:styleId="2023">
    <w:name w:val="Bordered - Accent 410"/>
    <w:basedOn w:val="13"/>
    <w:uiPriority w:val="99"/>
    <w:rPr>
      <w:sz w:val="22"/>
      <w:szCs w:val="22"/>
      <w:lang w:eastAsia="en-US"/>
    </w:rPr>
    <w:tblPr>
      <w:tblBorders>
        <w:top w:val="single" w:color="FFE598" w:sz="4" w:space="0"/>
        <w:left w:val="single" w:color="FFE598" w:sz="4" w:space="0"/>
        <w:bottom w:val="single" w:color="FFE598" w:sz="4" w:space="0"/>
        <w:right w:val="single" w:color="FFE598" w:sz="4" w:space="0"/>
        <w:insideH w:val="single" w:color="FFE598" w:sz="4" w:space="0"/>
        <w:insideV w:val="single" w:color="FFE598" w:sz="4" w:space="0"/>
      </w:tblBorders>
      <w:tblCellMar>
        <w:top w:w="0" w:type="dxa"/>
        <w:left w:w="108" w:type="dxa"/>
        <w:bottom w:w="0" w:type="dxa"/>
        <w:right w:w="108" w:type="dxa"/>
      </w:tblCellMar>
    </w:tblPr>
    <w:tblStylePr w:type="firstRow">
      <w:rPr>
        <w:rFonts w:ascii="Arial" w:hAnsi="Arial"/>
        <w:color w:val="404040"/>
        <w:sz w:val="22"/>
      </w:rPr>
      <w:tcPr>
        <w:tcBorders>
          <w:bottom w:val="single" w:color="FFD865" w:sz="12" w:space="0"/>
        </w:tcBorders>
      </w:tcPr>
    </w:tblStylePr>
    <w:tblStylePr w:type="lastRow">
      <w:rPr>
        <w:rFonts w:ascii="Arial" w:hAnsi="Arial"/>
        <w:color w:val="404040"/>
        <w:sz w:val="22"/>
      </w:rPr>
      <w:tcPr>
        <w:tcBorders>
          <w:top w:val="single" w:color="FFD865"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FFD865" w:sz="12" w:space="0"/>
        </w:tcBorders>
      </w:tcPr>
    </w:tblStylePr>
    <w:tblStylePr w:type="band1Horz">
      <w:rPr>
        <w:rFonts w:ascii="Arial" w:hAnsi="Arial"/>
        <w:color w:val="404040"/>
        <w:sz w:val="22"/>
      </w:rPr>
      <w:tcPr>
        <w:tcBorders>
          <w:top w:val="single" w:color="FFE598" w:sz="4" w:space="0"/>
          <w:left w:val="single" w:color="FFE598" w:sz="4" w:space="0"/>
          <w:bottom w:val="single" w:color="FFE598" w:sz="4" w:space="0"/>
          <w:right w:val="single" w:color="FFE598" w:sz="4" w:space="0"/>
        </w:tcBorders>
      </w:tcPr>
    </w:tblStylePr>
  </w:style>
  <w:style w:type="table" w:customStyle="1" w:styleId="2024">
    <w:name w:val="Bordered - Accent 510"/>
    <w:basedOn w:val="13"/>
    <w:uiPriority w:val="99"/>
    <w:rPr>
      <w:sz w:val="22"/>
      <w:szCs w:val="22"/>
      <w:lang w:eastAsia="en-US"/>
    </w:rPr>
    <w:tblPr>
      <w:tblBorders>
        <w:top w:val="single" w:color="BCD6EE" w:sz="4" w:space="0"/>
        <w:left w:val="single" w:color="BCD6EE" w:sz="4" w:space="0"/>
        <w:bottom w:val="single" w:color="BCD6EE" w:sz="4" w:space="0"/>
        <w:right w:val="single" w:color="BCD6EE" w:sz="4" w:space="0"/>
        <w:insideH w:val="single" w:color="BCD6EE" w:sz="4" w:space="0"/>
        <w:insideV w:val="single" w:color="BCD6EE" w:sz="4" w:space="0"/>
      </w:tblBorders>
      <w:tblCellMar>
        <w:top w:w="0" w:type="dxa"/>
        <w:left w:w="108" w:type="dxa"/>
        <w:bottom w:w="0" w:type="dxa"/>
        <w:right w:w="108" w:type="dxa"/>
      </w:tblCellMar>
    </w:tblPr>
    <w:tblStylePr w:type="firstRow">
      <w:rPr>
        <w:rFonts w:ascii="Arial" w:hAnsi="Arial"/>
        <w:color w:val="404040"/>
        <w:sz w:val="22"/>
      </w:rPr>
      <w:tcPr>
        <w:tcBorders>
          <w:bottom w:val="single" w:color="9BC2E5" w:sz="12" w:space="0"/>
        </w:tcBorders>
      </w:tcPr>
    </w:tblStylePr>
    <w:tblStylePr w:type="lastRow">
      <w:rPr>
        <w:rFonts w:ascii="Arial" w:hAnsi="Arial"/>
        <w:color w:val="404040"/>
        <w:sz w:val="22"/>
      </w:rPr>
      <w:tcPr>
        <w:tcBorders>
          <w:top w:val="single" w:color="9BC2E5"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9BC2E5" w:sz="12" w:space="0"/>
        </w:tcBorders>
      </w:tcPr>
    </w:tblStylePr>
    <w:tblStylePr w:type="band1Horz">
      <w:rPr>
        <w:rFonts w:ascii="Arial" w:hAnsi="Arial"/>
        <w:color w:val="404040"/>
        <w:sz w:val="22"/>
      </w:rPr>
      <w:tcPr>
        <w:tcBorders>
          <w:top w:val="single" w:color="BCD6EE" w:sz="4" w:space="0"/>
          <w:left w:val="single" w:color="BCD6EE" w:sz="4" w:space="0"/>
          <w:bottom w:val="single" w:color="BCD6EE" w:sz="4" w:space="0"/>
          <w:right w:val="single" w:color="BCD6EE" w:sz="4" w:space="0"/>
        </w:tcBorders>
      </w:tcPr>
    </w:tblStylePr>
  </w:style>
  <w:style w:type="table" w:customStyle="1" w:styleId="2025">
    <w:name w:val="Bordered - Accent 610"/>
    <w:basedOn w:val="13"/>
    <w:uiPriority w:val="99"/>
    <w:rPr>
      <w:sz w:val="22"/>
      <w:szCs w:val="22"/>
      <w:lang w:eastAsia="en-US"/>
    </w:rPr>
    <w:tblPr>
      <w:tblBorders>
        <w:top w:val="single" w:color="C4DFB2" w:sz="4" w:space="0"/>
        <w:left w:val="single" w:color="C4DFB2" w:sz="4" w:space="0"/>
        <w:bottom w:val="single" w:color="C4DFB2" w:sz="4" w:space="0"/>
        <w:right w:val="single" w:color="C4DFB2" w:sz="4" w:space="0"/>
        <w:insideH w:val="single" w:color="C4DFB2" w:sz="4" w:space="0"/>
        <w:insideV w:val="single" w:color="C4DFB2" w:sz="4" w:space="0"/>
      </w:tblBorders>
      <w:tblCellMar>
        <w:top w:w="0" w:type="dxa"/>
        <w:left w:w="108" w:type="dxa"/>
        <w:bottom w:w="0" w:type="dxa"/>
        <w:right w:w="108" w:type="dxa"/>
      </w:tblCellMar>
    </w:tblPr>
    <w:tblStylePr w:type="firstRow">
      <w:rPr>
        <w:rFonts w:ascii="Arial" w:hAnsi="Arial"/>
        <w:color w:val="404040"/>
        <w:sz w:val="22"/>
      </w:rPr>
      <w:tcPr>
        <w:tcBorders>
          <w:bottom w:val="single" w:color="A9D08E" w:sz="12" w:space="0"/>
        </w:tcBorders>
      </w:tcPr>
    </w:tblStylePr>
    <w:tblStylePr w:type="lastRow">
      <w:rPr>
        <w:rFonts w:ascii="Arial" w:hAnsi="Arial"/>
        <w:color w:val="404040"/>
        <w:sz w:val="22"/>
      </w:rPr>
      <w:tcPr>
        <w:tcBorders>
          <w:top w:val="single" w:color="A9D08E"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A9D08E" w:sz="12" w:space="0"/>
        </w:tcBorders>
      </w:tcPr>
    </w:tblStylePr>
    <w:tblStylePr w:type="band1Horz">
      <w:rPr>
        <w:rFonts w:ascii="Arial" w:hAnsi="Arial"/>
        <w:color w:val="404040"/>
        <w:sz w:val="22"/>
      </w:rPr>
      <w:tcPr>
        <w:tcBorders>
          <w:top w:val="single" w:color="C4DFB2" w:sz="4" w:space="0"/>
          <w:left w:val="single" w:color="C4DFB2" w:sz="4" w:space="0"/>
          <w:bottom w:val="single" w:color="C4DFB2" w:sz="4" w:space="0"/>
          <w:right w:val="single" w:color="C4DFB2" w:sz="4" w:space="0"/>
        </w:tcBorders>
      </w:tcPr>
    </w:tblStylePr>
  </w:style>
  <w:style w:type="character" w:customStyle="1" w:styleId="2026">
    <w:name w:val="Endnote Text Char"/>
    <w:uiPriority w:val="99"/>
    <w:rPr>
      <w:sz w:val="20"/>
    </w:rPr>
  </w:style>
  <w:style w:type="character" w:customStyle="1" w:styleId="2027">
    <w:name w:val="Шапка Знак"/>
    <w:link w:val="57"/>
    <w:uiPriority w:val="0"/>
    <w:rPr>
      <w:rFonts w:ascii="NewtonCSanPin" w:hAnsi="NewtonCSanPin" w:eastAsia="Times New Roman"/>
      <w:b/>
      <w:bCs/>
      <w:color w:val="000000"/>
      <w:sz w:val="19"/>
      <w:szCs w:val="19"/>
    </w:rPr>
  </w:style>
  <w:style w:type="paragraph" w:customStyle="1" w:styleId="2028">
    <w:name w:val="Приложение"/>
    <w:basedOn w:val="2029"/>
    <w:qFormat/>
    <w:uiPriority w:val="0"/>
    <w:pPr>
      <w:pageBreakBefore w:val="0"/>
      <w:spacing w:line="214" w:lineRule="atLeast"/>
      <w:ind w:left="3005"/>
      <w:jc w:val="left"/>
    </w:pPr>
    <w:rPr>
      <w:rFonts w:ascii="NewtonCSanPin" w:hAnsi="NewtonCSanPin" w:cs="NewtonCSanPin"/>
      <w:caps w:val="0"/>
      <w:sz w:val="21"/>
      <w:szCs w:val="21"/>
    </w:rPr>
  </w:style>
  <w:style w:type="paragraph" w:customStyle="1" w:styleId="2029">
    <w:name w:val="Заг 1"/>
    <w:basedOn w:val="54"/>
    <w:qFormat/>
    <w:uiPriority w:val="0"/>
    <w:pPr>
      <w:keepNext/>
      <w:pageBreakBefore/>
      <w:autoSpaceDE/>
      <w:autoSpaceDN/>
      <w:adjustRightInd/>
      <w:spacing w:after="170" w:line="296" w:lineRule="atLeast"/>
      <w:ind w:firstLine="0"/>
      <w:jc w:val="center"/>
    </w:pPr>
    <w:rPr>
      <w:rFonts w:ascii="PragmaticaC" w:hAnsi="PragmaticaC" w:eastAsia="Times New Roman" w:cs="PragmaticaC"/>
      <w:b/>
      <w:bCs/>
      <w:caps/>
      <w:sz w:val="26"/>
      <w:szCs w:val="26"/>
      <w:lang w:eastAsia="ru-RU"/>
    </w:rPr>
  </w:style>
  <w:style w:type="character" w:customStyle="1" w:styleId="2030">
    <w:name w:val="Подпись Знак"/>
    <w:link w:val="53"/>
    <w:uiPriority w:val="0"/>
    <w:rPr>
      <w:rFonts w:ascii="NewtonCSanPin" w:hAnsi="NewtonCSanPin" w:eastAsia="Times New Roman"/>
      <w:color w:val="000000"/>
      <w:sz w:val="19"/>
      <w:szCs w:val="19"/>
    </w:rPr>
  </w:style>
  <w:style w:type="paragraph" w:customStyle="1" w:styleId="2031">
    <w:name w:val="В скобках"/>
    <w:basedOn w:val="53"/>
    <w:qFormat/>
    <w:uiPriority w:val="0"/>
    <w:pPr>
      <w:spacing w:line="174" w:lineRule="atLeast"/>
    </w:pPr>
    <w:rPr>
      <w:sz w:val="17"/>
      <w:szCs w:val="17"/>
    </w:rPr>
  </w:style>
  <w:style w:type="paragraph" w:customStyle="1" w:styleId="2032">
    <w:name w:val="Содержание 1"/>
    <w:basedOn w:val="54"/>
    <w:qFormat/>
    <w:uiPriority w:val="0"/>
    <w:pPr>
      <w:autoSpaceDE/>
      <w:autoSpaceDN/>
      <w:adjustRightInd/>
      <w:ind w:firstLine="0"/>
    </w:pPr>
    <w:rPr>
      <w:rFonts w:ascii="Times New Roman" w:hAnsi="Times New Roman" w:eastAsia="Times New Roman"/>
      <w:lang w:eastAsia="ru-RU"/>
    </w:rPr>
  </w:style>
  <w:style w:type="paragraph" w:customStyle="1" w:styleId="2033">
    <w:name w:val="[Basic Paragraph]"/>
    <w:basedOn w:val="2034"/>
    <w:qFormat/>
    <w:uiPriority w:val="99"/>
  </w:style>
  <w:style w:type="paragraph" w:customStyle="1" w:styleId="2034">
    <w:name w:val="[No Paragraph Style]"/>
    <w:qFormat/>
    <w:uiPriority w:val="0"/>
    <w:pPr>
      <w:spacing w:line="288" w:lineRule="auto"/>
    </w:pPr>
    <w:rPr>
      <w:rFonts w:ascii="Minion Pro" w:hAnsi="Minion Pro" w:eastAsia="Times New Roman" w:cs="Minion Pro"/>
      <w:color w:val="000000"/>
      <w:sz w:val="24"/>
      <w:szCs w:val="24"/>
      <w:lang w:val="en-GB" w:eastAsia="ru-RU" w:bidi="ar-SA"/>
    </w:rPr>
  </w:style>
  <w:style w:type="paragraph" w:customStyle="1" w:styleId="2035">
    <w:name w:val="Заг 2"/>
    <w:basedOn w:val="2029"/>
    <w:qFormat/>
    <w:uiPriority w:val="0"/>
    <w:pPr>
      <w:pageBreakBefore w:val="0"/>
      <w:spacing w:before="283"/>
    </w:pPr>
    <w:rPr>
      <w:caps w:val="0"/>
    </w:rPr>
  </w:style>
  <w:style w:type="paragraph" w:customStyle="1" w:styleId="2036">
    <w:name w:val="Заг 3"/>
    <w:basedOn w:val="2035"/>
    <w:qFormat/>
    <w:uiPriority w:val="0"/>
    <w:pPr>
      <w:spacing w:before="255" w:after="113" w:line="240" w:lineRule="atLeast"/>
    </w:pPr>
    <w:rPr>
      <w:i/>
      <w:iCs/>
      <w:sz w:val="23"/>
      <w:szCs w:val="23"/>
    </w:rPr>
  </w:style>
  <w:style w:type="paragraph" w:customStyle="1" w:styleId="2037">
    <w:name w:val="Пж Курсив"/>
    <w:basedOn w:val="54"/>
    <w:qFormat/>
    <w:uiPriority w:val="0"/>
    <w:pPr>
      <w:autoSpaceDE/>
      <w:autoSpaceDN/>
      <w:adjustRightInd/>
    </w:pPr>
    <w:rPr>
      <w:rFonts w:eastAsia="Times New Roman"/>
      <w:b/>
      <w:bCs/>
      <w:i/>
      <w:iCs/>
      <w:lang w:eastAsia="ru-RU"/>
    </w:rPr>
  </w:style>
  <w:style w:type="paragraph" w:customStyle="1" w:styleId="2038">
    <w:name w:val="Темный список - Акцент 31"/>
    <w:hidden/>
    <w:qFormat/>
    <w:uiPriority w:val="71"/>
    <w:rPr>
      <w:rFonts w:ascii="Times New Roman" w:hAnsi="Times New Roman" w:eastAsia="Times New Roman" w:cs="Times New Roman"/>
      <w:sz w:val="24"/>
      <w:szCs w:val="24"/>
      <w:lang w:val="ru-RU" w:eastAsia="ru-RU" w:bidi="ar-SA"/>
    </w:rPr>
  </w:style>
  <w:style w:type="paragraph" w:customStyle="1" w:styleId="2039">
    <w:name w:val="Средняя сетка 1 - Акцент 21"/>
    <w:basedOn w:val="1"/>
    <w:link w:val="2040"/>
    <w:qFormat/>
    <w:uiPriority w:val="34"/>
    <w:pPr>
      <w:widowControl/>
      <w:spacing w:after="0" w:line="240" w:lineRule="auto"/>
      <w:ind w:left="720"/>
      <w:contextualSpacing/>
    </w:pPr>
    <w:rPr>
      <w:rFonts w:eastAsia="Times New Roman"/>
      <w:sz w:val="24"/>
      <w:szCs w:val="24"/>
    </w:rPr>
  </w:style>
  <w:style w:type="character" w:customStyle="1" w:styleId="2040">
    <w:name w:val="Средняя сетка 1 - Акцент 2 Знак"/>
    <w:link w:val="2039"/>
    <w:uiPriority w:val="34"/>
    <w:rPr>
      <w:rFonts w:eastAsia="Times New Roman"/>
      <w:sz w:val="24"/>
      <w:szCs w:val="24"/>
    </w:rPr>
  </w:style>
  <w:style w:type="paragraph" w:customStyle="1" w:styleId="2041">
    <w:name w:val="О_Т"/>
    <w:basedOn w:val="1"/>
    <w:link w:val="2042"/>
    <w:qFormat/>
    <w:uiPriority w:val="0"/>
    <w:pPr>
      <w:widowControl/>
      <w:spacing w:after="0" w:line="288" w:lineRule="auto"/>
      <w:ind w:firstLine="539"/>
      <w:jc w:val="both"/>
    </w:pPr>
    <w:rPr>
      <w:rFonts w:ascii="Arial" w:hAnsi="Arial" w:eastAsia="Times New Roman"/>
      <w:sz w:val="28"/>
      <w:szCs w:val="28"/>
    </w:rPr>
  </w:style>
  <w:style w:type="character" w:customStyle="1" w:styleId="2042">
    <w:name w:val="О_Т Знак"/>
    <w:link w:val="2041"/>
    <w:uiPriority w:val="0"/>
    <w:rPr>
      <w:rFonts w:ascii="Arial" w:hAnsi="Arial" w:eastAsia="Times New Roman"/>
      <w:sz w:val="28"/>
      <w:szCs w:val="28"/>
    </w:rPr>
  </w:style>
  <w:style w:type="paragraph" w:customStyle="1" w:styleId="2043">
    <w:name w:val="dash041e_005f0431_005f044b_005f0447_005f043d_005f044b_005f0439"/>
    <w:basedOn w:val="1"/>
    <w:qFormat/>
    <w:uiPriority w:val="0"/>
    <w:pPr>
      <w:widowControl/>
      <w:spacing w:after="0" w:line="240" w:lineRule="auto"/>
    </w:pPr>
    <w:rPr>
      <w:rFonts w:ascii="Times New Roman" w:hAnsi="Times New Roman" w:eastAsia="Times New Roman"/>
      <w:sz w:val="24"/>
      <w:szCs w:val="24"/>
      <w:lang w:eastAsia="ru-RU"/>
    </w:rPr>
  </w:style>
  <w:style w:type="character" w:customStyle="1" w:styleId="2044">
    <w:name w:val="dash041e_005f0431_005f044b_005f0447_005f043d_005f044b_005f0439_005f_005fchar1__char1"/>
    <w:uiPriority w:val="0"/>
  </w:style>
  <w:style w:type="paragraph" w:customStyle="1" w:styleId="2045">
    <w:name w:val="Цветной список - Акцент 12"/>
    <w:basedOn w:val="1"/>
    <w:qFormat/>
    <w:uiPriority w:val="0"/>
    <w:pPr>
      <w:widowControl/>
      <w:spacing w:line="240" w:lineRule="auto"/>
      <w:ind w:left="720"/>
      <w:contextualSpacing/>
    </w:pPr>
    <w:rPr>
      <w:rFonts w:ascii="Cambria" w:hAnsi="Cambria" w:eastAsia="Times New Roman"/>
      <w:sz w:val="24"/>
      <w:szCs w:val="24"/>
    </w:rPr>
  </w:style>
  <w:style w:type="character" w:customStyle="1" w:styleId="2046">
    <w:name w:val="dash041e_005f0441_005f043d_005f043e_005f0432_005f043d_005f043e_005f0439_005f0020_005f0442_005f0435_005f043a_005f0441_005f0442_005f0020_005f0441_005f0020_005f043e_005f0442_005f0441_005f0442_005f0443_005f043f_005f043e_005f043__char1"/>
    <w:uiPriority w:val="0"/>
    <w:rPr>
      <w:rFonts w:ascii="Times New Roman" w:hAnsi="Times New Roman"/>
      <w:sz w:val="24"/>
      <w:u w:val="none"/>
    </w:rPr>
  </w:style>
  <w:style w:type="paragraph" w:customStyle="1" w:styleId="2047">
    <w:name w:val="Цветная заливка - Акцент 11"/>
    <w:hidden/>
    <w:semiHidden/>
    <w:qFormat/>
    <w:uiPriority w:val="99"/>
    <w:rPr>
      <w:rFonts w:ascii="Times New Roman" w:hAnsi="Times New Roman" w:eastAsia="Times New Roman" w:cs="Times New Roman"/>
      <w:sz w:val="24"/>
      <w:szCs w:val="24"/>
      <w:lang w:val="ru-RU" w:eastAsia="ru-RU" w:bidi="ar-SA"/>
    </w:rPr>
  </w:style>
  <w:style w:type="paragraph" w:customStyle="1" w:styleId="2048">
    <w:name w:val="Νξβϋι"/>
    <w:basedOn w:val="1"/>
    <w:qFormat/>
    <w:uiPriority w:val="99"/>
    <w:pPr>
      <w:spacing w:after="0" w:line="240" w:lineRule="auto"/>
    </w:pPr>
    <w:rPr>
      <w:rFonts w:ascii="Times New Roman" w:hAnsi="Times New Roman" w:eastAsia="Times New Roman"/>
      <w:color w:val="000000"/>
      <w:sz w:val="24"/>
      <w:szCs w:val="24"/>
      <w:lang w:eastAsia="ru-RU"/>
    </w:rPr>
  </w:style>
  <w:style w:type="paragraph" w:customStyle="1" w:styleId="2049">
    <w:name w:val="Цветной список - Акцент 11"/>
    <w:basedOn w:val="1"/>
    <w:link w:val="2050"/>
    <w:qFormat/>
    <w:uiPriority w:val="34"/>
    <w:pPr>
      <w:widowControl/>
      <w:ind w:left="720"/>
      <w:contextualSpacing/>
    </w:pPr>
    <w:rPr>
      <w:rFonts w:eastAsia="Times New Roman"/>
    </w:rPr>
  </w:style>
  <w:style w:type="character" w:customStyle="1" w:styleId="2050">
    <w:name w:val="Цветной список - Акцент 1 Знак"/>
    <w:link w:val="2049"/>
    <w:uiPriority w:val="34"/>
    <w:rPr>
      <w:rFonts w:eastAsia="Times New Roman"/>
      <w:sz w:val="22"/>
      <w:szCs w:val="22"/>
      <w:lang w:eastAsia="en-US"/>
    </w:rPr>
  </w:style>
  <w:style w:type="character" w:customStyle="1" w:styleId="2051">
    <w:name w:val="Основной текст + Курсив3"/>
    <w:uiPriority w:val="99"/>
    <w:rPr>
      <w:rFonts w:ascii="Times New Roman" w:hAnsi="Times New Roman"/>
      <w:i/>
      <w:spacing w:val="0"/>
      <w:sz w:val="18"/>
    </w:rPr>
  </w:style>
  <w:style w:type="character" w:customStyle="1" w:styleId="2052">
    <w:name w:val="Обычный (веб) Знак"/>
    <w:link w:val="49"/>
    <w:uiPriority w:val="99"/>
    <w:rPr>
      <w:rFonts w:ascii="Times New Roman" w:hAnsi="Times New Roman" w:eastAsia="Times New Roman"/>
      <w:sz w:val="24"/>
      <w:szCs w:val="24"/>
    </w:rPr>
  </w:style>
  <w:style w:type="paragraph" w:customStyle="1" w:styleId="2053">
    <w:name w:val="Основной текст 22"/>
    <w:basedOn w:val="1"/>
    <w:qFormat/>
    <w:uiPriority w:val="0"/>
    <w:pPr>
      <w:widowControl/>
      <w:spacing w:after="0" w:line="240" w:lineRule="auto"/>
      <w:ind w:firstLine="709"/>
      <w:jc w:val="both"/>
    </w:pPr>
    <w:rPr>
      <w:rFonts w:ascii="Times New Roman" w:hAnsi="Times New Roman" w:eastAsia="Times New Roman"/>
      <w:sz w:val="24"/>
      <w:szCs w:val="24"/>
      <w:lang w:eastAsia="ru-RU"/>
    </w:rPr>
  </w:style>
  <w:style w:type="paragraph" w:customStyle="1" w:styleId="2054">
    <w:name w:val="zag_4"/>
    <w:basedOn w:val="1"/>
    <w:qFormat/>
    <w:uiPriority w:val="99"/>
    <w:pPr>
      <w:spacing w:after="0" w:line="213" w:lineRule="exact"/>
      <w:jc w:val="center"/>
    </w:pPr>
    <w:rPr>
      <w:rFonts w:ascii="NewtonCSanPin" w:hAnsi="NewtonCSanPin" w:eastAsia="Times New Roman" w:cs="NewtonCSanPin"/>
      <w:b/>
      <w:bCs/>
      <w:i/>
      <w:iCs/>
      <w:color w:val="000000"/>
      <w:sz w:val="21"/>
      <w:szCs w:val="21"/>
      <w:lang w:eastAsia="ru-RU"/>
    </w:rPr>
  </w:style>
  <w:style w:type="table" w:customStyle="1" w:styleId="2055">
    <w:name w:val="Сетка таблицы26"/>
    <w:basedOn w:val="13"/>
    <w:uiPriority w:val="39"/>
    <w:rPr>
      <w:rFonts w:ascii="Times New Roman" w:hAnsi="Times New Roman" w:eastAsia="Times New Roman"/>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
  </w:style>
  <w:style w:type="paragraph" w:customStyle="1" w:styleId="2056">
    <w:name w:val="textitem"/>
    <w:basedOn w:val="1"/>
    <w:qFormat/>
    <w:uiPriority w:val="0"/>
    <w:pPr>
      <w:widowControl/>
      <w:spacing w:before="100" w:beforeAutospacing="1" w:after="100" w:afterAutospacing="1" w:line="240" w:lineRule="auto"/>
    </w:pPr>
    <w:rPr>
      <w:rFonts w:ascii="Times New Roman" w:hAnsi="Times New Roman" w:eastAsia="Times New Roman"/>
      <w:sz w:val="24"/>
      <w:szCs w:val="24"/>
      <w:lang w:eastAsia="ru-RU"/>
    </w:rPr>
  </w:style>
  <w:style w:type="paragraph" w:customStyle="1" w:styleId="2057">
    <w:name w:val="Pa21"/>
    <w:basedOn w:val="1"/>
    <w:next w:val="1"/>
    <w:qFormat/>
    <w:uiPriority w:val="99"/>
    <w:pPr>
      <w:widowControl/>
      <w:spacing w:after="0" w:line="321" w:lineRule="atLeast"/>
    </w:pPr>
    <w:rPr>
      <w:rFonts w:ascii="Noto Sans" w:hAnsi="Noto Sans" w:eastAsia="Times New Roman"/>
      <w:sz w:val="24"/>
      <w:szCs w:val="24"/>
      <w:lang w:eastAsia="ru-RU"/>
    </w:rPr>
  </w:style>
  <w:style w:type="paragraph" w:customStyle="1" w:styleId="2058">
    <w:name w:val="menuint"/>
    <w:basedOn w:val="1"/>
    <w:qFormat/>
    <w:uiPriority w:val="0"/>
    <w:pPr>
      <w:widowControl/>
      <w:spacing w:before="100" w:beforeAutospacing="1" w:after="100" w:afterAutospacing="1" w:line="240" w:lineRule="auto"/>
    </w:pPr>
    <w:rPr>
      <w:rFonts w:ascii="Times New Roman" w:hAnsi="Times New Roman" w:eastAsia="Times New Roman"/>
      <w:sz w:val="24"/>
      <w:szCs w:val="24"/>
      <w:lang w:eastAsia="ru-RU"/>
    </w:rPr>
  </w:style>
  <w:style w:type="paragraph" w:customStyle="1" w:styleId="2059">
    <w:name w:val="msolistparagraphcxsplast"/>
    <w:basedOn w:val="1"/>
    <w:qFormat/>
    <w:uiPriority w:val="0"/>
    <w:pPr>
      <w:widowControl/>
      <w:spacing w:before="100" w:beforeAutospacing="1" w:after="100" w:afterAutospacing="1" w:line="240" w:lineRule="auto"/>
    </w:pPr>
    <w:rPr>
      <w:rFonts w:ascii="Times New Roman" w:hAnsi="Times New Roman" w:eastAsia="Times New Roman"/>
      <w:sz w:val="24"/>
      <w:szCs w:val="24"/>
      <w:lang w:eastAsia="ru-RU"/>
    </w:rPr>
  </w:style>
  <w:style w:type="paragraph" w:customStyle="1" w:styleId="2060">
    <w:name w:val="Знак Знак1 Char Char1"/>
    <w:basedOn w:val="1"/>
    <w:semiHidden/>
    <w:qFormat/>
    <w:uiPriority w:val="0"/>
    <w:pPr>
      <w:widowControl/>
      <w:spacing w:after="160" w:line="240" w:lineRule="exact"/>
    </w:pPr>
    <w:rPr>
      <w:rFonts w:ascii="Verdana" w:hAnsi="Verdana" w:eastAsia="Times New Roman" w:cs="Verdana"/>
      <w:sz w:val="20"/>
      <w:szCs w:val="20"/>
      <w:lang w:eastAsia="ru-RU"/>
    </w:rPr>
  </w:style>
  <w:style w:type="paragraph" w:customStyle="1" w:styleId="2061">
    <w:name w:val="s_1"/>
    <w:basedOn w:val="1"/>
    <w:qFormat/>
    <w:uiPriority w:val="99"/>
    <w:pPr>
      <w:widowControl/>
      <w:spacing w:before="100" w:beforeAutospacing="1" w:after="100" w:afterAutospacing="1" w:line="240" w:lineRule="auto"/>
    </w:pPr>
    <w:rPr>
      <w:rFonts w:ascii="Times New Roman" w:hAnsi="Times New Roman" w:eastAsia="Times New Roman"/>
      <w:sz w:val="24"/>
      <w:szCs w:val="24"/>
      <w:lang w:eastAsia="ru-RU"/>
    </w:rPr>
  </w:style>
  <w:style w:type="paragraph" w:customStyle="1" w:styleId="2062">
    <w:name w:val="Знак Знак Знак"/>
    <w:basedOn w:val="1"/>
    <w:qFormat/>
    <w:uiPriority w:val="0"/>
    <w:pPr>
      <w:widowControl/>
      <w:spacing w:after="160" w:line="240" w:lineRule="exact"/>
    </w:pPr>
    <w:rPr>
      <w:rFonts w:ascii="Verdana" w:hAnsi="Verdana" w:eastAsia="Times New Roman"/>
      <w:sz w:val="20"/>
      <w:szCs w:val="20"/>
    </w:rPr>
  </w:style>
  <w:style w:type="table" w:customStyle="1" w:styleId="2063">
    <w:name w:val="Table Normal8"/>
    <w:semiHidden/>
    <w:unhideWhenUsed/>
    <w:qFormat/>
    <w:uiPriority w:val="2"/>
    <w:pPr>
      <w:widowControl w:val="0"/>
    </w:pPr>
    <w:rPr>
      <w:sz w:val="22"/>
      <w:szCs w:val="22"/>
      <w:lang w:val="en-US" w:eastAsia="en-US"/>
    </w:rPr>
    <w:tblPr>
      <w:tblCellMar>
        <w:top w:w="0" w:type="dxa"/>
        <w:left w:w="0" w:type="dxa"/>
        <w:bottom w:w="0" w:type="dxa"/>
        <w:right w:w="0" w:type="dxa"/>
      </w:tblCellMar>
    </w:tblPr>
  </w:style>
  <w:style w:type="table" w:customStyle="1" w:styleId="2064">
    <w:name w:val="Сетка таблицы110"/>
    <w:basedOn w:val="13"/>
    <w:uiPriority w:val="39"/>
    <w:rPr>
      <w:rFonts w:ascii="Times New Roman" w:hAnsi="Times New Roman" w:eastAsia="Times New Roman"/>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
  </w:style>
  <w:style w:type="character" w:customStyle="1" w:styleId="2065">
    <w:name w:val="Основной текст + 9 pt"/>
    <w:uiPriority w:val="0"/>
    <w:rPr>
      <w:rFonts w:ascii="Times New Roman" w:hAnsi="Times New Roman" w:eastAsia="Times New Roman" w:cs="Times New Roman"/>
      <w:color w:val="000000"/>
      <w:spacing w:val="0"/>
      <w:w w:val="100"/>
      <w:position w:val="0"/>
      <w:sz w:val="18"/>
      <w:szCs w:val="18"/>
      <w:u w:val="none"/>
      <w:lang w:val="ru-RU"/>
    </w:rPr>
  </w:style>
  <w:style w:type="character" w:customStyle="1" w:styleId="2066">
    <w:name w:val="Подпись Знак1"/>
    <w:semiHidden/>
    <w:uiPriority w:val="99"/>
    <w:rPr>
      <w:rFonts w:ascii="Calibri" w:hAnsi="Calibri" w:eastAsia="Calibri"/>
      <w:sz w:val="22"/>
      <w:szCs w:val="22"/>
      <w:lang w:eastAsia="en-US"/>
    </w:rPr>
  </w:style>
  <w:style w:type="character" w:customStyle="1" w:styleId="2067">
    <w:name w:val="Название Знак1"/>
    <w:uiPriority w:val="10"/>
    <w:rPr>
      <w:rFonts w:ascii="Calibri Light" w:hAnsi="Calibri Light" w:eastAsia="Times New Roman" w:cs="Times New Roman"/>
      <w:color w:val="323E4F"/>
      <w:spacing w:val="5"/>
      <w:sz w:val="52"/>
      <w:szCs w:val="52"/>
      <w:lang w:eastAsia="en-US"/>
    </w:rPr>
  </w:style>
  <w:style w:type="character" w:customStyle="1" w:styleId="2068">
    <w:name w:val="Подзаголовок Знак1"/>
    <w:uiPriority w:val="99"/>
    <w:rPr>
      <w:rFonts w:ascii="Calibri Light" w:hAnsi="Calibri Light" w:eastAsia="Times New Roman" w:cs="Times New Roman"/>
      <w:i/>
      <w:iCs/>
      <w:color w:val="4472C4"/>
      <w:spacing w:val="15"/>
      <w:sz w:val="24"/>
      <w:szCs w:val="24"/>
      <w:lang w:eastAsia="en-US"/>
    </w:rPr>
  </w:style>
  <w:style w:type="character" w:customStyle="1" w:styleId="2069">
    <w:name w:val="Шапка Знак1"/>
    <w:semiHidden/>
    <w:uiPriority w:val="99"/>
    <w:rPr>
      <w:rFonts w:ascii="Calibri Light" w:hAnsi="Calibri Light" w:eastAsia="Times New Roman" w:cs="Times New Roman"/>
      <w:sz w:val="24"/>
      <w:szCs w:val="24"/>
      <w:shd w:val="pct20" w:color="auto" w:fill="auto"/>
      <w:lang w:eastAsia="en-US"/>
    </w:rPr>
  </w:style>
  <w:style w:type="character" w:customStyle="1" w:styleId="2070">
    <w:name w:val="c26"/>
    <w:uiPriority w:val="0"/>
  </w:style>
  <w:style w:type="paragraph" w:customStyle="1" w:styleId="2071">
    <w:name w:val="Заголовок1"/>
    <w:basedOn w:val="1"/>
    <w:next w:val="36"/>
    <w:semiHidden/>
    <w:uiPriority w:val="99"/>
    <w:pPr>
      <w:keepNext/>
      <w:widowControl/>
      <w:suppressAutoHyphens/>
      <w:spacing w:before="240" w:after="120"/>
    </w:pPr>
    <w:rPr>
      <w:rFonts w:ascii="Arial" w:hAnsi="Arial" w:eastAsia="Microsoft YaHei" w:cs="Mangal"/>
      <w:color w:val="231F20"/>
      <w:position w:val="2"/>
      <w:sz w:val="28"/>
      <w:szCs w:val="28"/>
      <w:lang w:eastAsia="ar-SA"/>
    </w:rPr>
  </w:style>
  <w:style w:type="paragraph" w:customStyle="1" w:styleId="2072">
    <w:name w:val="Название1"/>
    <w:basedOn w:val="1"/>
    <w:semiHidden/>
    <w:uiPriority w:val="99"/>
    <w:pPr>
      <w:widowControl/>
      <w:suppressLineNumbers/>
      <w:suppressAutoHyphens/>
      <w:spacing w:before="120" w:after="120"/>
    </w:pPr>
    <w:rPr>
      <w:rFonts w:cs="Mangal"/>
      <w:i/>
      <w:iCs/>
      <w:color w:val="231F20"/>
      <w:position w:val="2"/>
      <w:sz w:val="24"/>
      <w:szCs w:val="24"/>
      <w:lang w:eastAsia="ar-SA"/>
    </w:rPr>
  </w:style>
  <w:style w:type="paragraph" w:customStyle="1" w:styleId="2073">
    <w:name w:val="Style1"/>
    <w:basedOn w:val="1"/>
    <w:semiHidden/>
    <w:uiPriority w:val="99"/>
    <w:pPr>
      <w:suppressAutoHyphens/>
      <w:autoSpaceDE w:val="0"/>
      <w:spacing w:after="0" w:line="238" w:lineRule="exact"/>
      <w:jc w:val="center"/>
    </w:pPr>
    <w:rPr>
      <w:rFonts w:ascii="Times New Roman" w:hAnsi="Times New Roman" w:eastAsia="Times New Roman"/>
      <w:sz w:val="24"/>
      <w:szCs w:val="24"/>
      <w:lang w:eastAsia="ar-SA"/>
    </w:rPr>
  </w:style>
  <w:style w:type="paragraph" w:customStyle="1" w:styleId="2074">
    <w:name w:val="o"/>
    <w:basedOn w:val="1"/>
    <w:semiHidden/>
    <w:uiPriority w:val="99"/>
    <w:pPr>
      <w:widowControl/>
      <w:suppressAutoHyphens/>
      <w:spacing w:before="280" w:after="280" w:line="240" w:lineRule="auto"/>
    </w:pPr>
    <w:rPr>
      <w:rFonts w:ascii="Times New Roman" w:hAnsi="Times New Roman" w:eastAsia="Times New Roman"/>
      <w:sz w:val="24"/>
      <w:szCs w:val="24"/>
      <w:lang w:eastAsia="ar-SA"/>
    </w:rPr>
  </w:style>
  <w:style w:type="paragraph" w:customStyle="1" w:styleId="2075">
    <w:name w:val="Style6"/>
    <w:basedOn w:val="1"/>
    <w:semiHidden/>
    <w:uiPriority w:val="99"/>
    <w:pPr>
      <w:suppressAutoHyphens/>
      <w:autoSpaceDE w:val="0"/>
      <w:spacing w:after="0" w:line="240" w:lineRule="auto"/>
    </w:pPr>
    <w:rPr>
      <w:rFonts w:ascii="Times New Roman" w:hAnsi="Times New Roman" w:eastAsia="Times New Roman"/>
      <w:sz w:val="24"/>
      <w:szCs w:val="24"/>
      <w:lang w:eastAsia="ar-SA"/>
    </w:rPr>
  </w:style>
  <w:style w:type="paragraph" w:customStyle="1" w:styleId="2076">
    <w:name w:val="Оглавление 10"/>
    <w:basedOn w:val="326"/>
    <w:semiHidden/>
    <w:uiPriority w:val="99"/>
    <w:pPr>
      <w:pBdr>
        <w:top w:val="none" w:color="auto" w:sz="0" w:space="0"/>
        <w:left w:val="none" w:color="auto" w:sz="0" w:space="0"/>
        <w:bottom w:val="none" w:color="auto" w:sz="0" w:space="0"/>
        <w:right w:val="none" w:color="auto" w:sz="0" w:space="0"/>
      </w:pBdr>
      <w:tabs>
        <w:tab w:val="right" w:leader="dot" w:pos="7091"/>
      </w:tabs>
      <w:ind w:left="2547"/>
    </w:pPr>
    <w:rPr>
      <w:color w:val="231F20"/>
      <w:position w:val="2"/>
      <w:sz w:val="28"/>
      <w:szCs w:val="28"/>
      <w:lang w:eastAsia="ar-SA"/>
    </w:rPr>
  </w:style>
  <w:style w:type="character" w:customStyle="1" w:styleId="2077">
    <w:name w:val="WW8Num3z3"/>
    <w:uiPriority w:val="0"/>
    <w:rPr>
      <w:rFonts w:hint="default" w:ascii="Wingdings" w:hAnsi="Wingdings" w:cs="Wingdings"/>
    </w:rPr>
  </w:style>
  <w:style w:type="character" w:customStyle="1" w:styleId="2078">
    <w:name w:val="WW8Num5z1"/>
    <w:uiPriority w:val="0"/>
  </w:style>
  <w:style w:type="character" w:customStyle="1" w:styleId="2079">
    <w:name w:val="WW8Num5z2"/>
    <w:uiPriority w:val="0"/>
  </w:style>
  <w:style w:type="character" w:customStyle="1" w:styleId="2080">
    <w:name w:val="WW8Num5z3"/>
    <w:uiPriority w:val="0"/>
  </w:style>
  <w:style w:type="character" w:customStyle="1" w:styleId="2081">
    <w:name w:val="WW8Num5z4"/>
    <w:uiPriority w:val="0"/>
  </w:style>
  <w:style w:type="character" w:customStyle="1" w:styleId="2082">
    <w:name w:val="WW8Num5z5"/>
    <w:uiPriority w:val="0"/>
  </w:style>
  <w:style w:type="character" w:customStyle="1" w:styleId="2083">
    <w:name w:val="WW8Num5z6"/>
    <w:uiPriority w:val="0"/>
  </w:style>
  <w:style w:type="character" w:customStyle="1" w:styleId="2084">
    <w:name w:val="WW8Num5z7"/>
    <w:uiPriority w:val="0"/>
  </w:style>
  <w:style w:type="character" w:customStyle="1" w:styleId="2085">
    <w:name w:val="WW8Num5z8"/>
    <w:uiPriority w:val="0"/>
  </w:style>
  <w:style w:type="character" w:customStyle="1" w:styleId="2086">
    <w:name w:val="WW8Num6z1"/>
    <w:uiPriority w:val="0"/>
  </w:style>
  <w:style w:type="character" w:customStyle="1" w:styleId="2087">
    <w:name w:val="WW8Num6z2"/>
    <w:uiPriority w:val="0"/>
  </w:style>
  <w:style w:type="character" w:customStyle="1" w:styleId="2088">
    <w:name w:val="WW8Num6z3"/>
    <w:uiPriority w:val="0"/>
  </w:style>
  <w:style w:type="character" w:customStyle="1" w:styleId="2089">
    <w:name w:val="WW8Num6z4"/>
    <w:uiPriority w:val="0"/>
  </w:style>
  <w:style w:type="character" w:customStyle="1" w:styleId="2090">
    <w:name w:val="WW8Num6z5"/>
    <w:uiPriority w:val="0"/>
  </w:style>
  <w:style w:type="character" w:customStyle="1" w:styleId="2091">
    <w:name w:val="WW8Num6z6"/>
    <w:uiPriority w:val="0"/>
  </w:style>
  <w:style w:type="character" w:customStyle="1" w:styleId="2092">
    <w:name w:val="WW8Num6z7"/>
    <w:uiPriority w:val="0"/>
  </w:style>
  <w:style w:type="character" w:customStyle="1" w:styleId="2093">
    <w:name w:val="WW8Num6z8"/>
    <w:uiPriority w:val="0"/>
  </w:style>
  <w:style w:type="character" w:customStyle="1" w:styleId="2094">
    <w:name w:val="WW8Num16z1"/>
    <w:uiPriority w:val="0"/>
    <w:rPr>
      <w:rFonts w:hint="default" w:ascii="Courier New" w:hAnsi="Courier New" w:cs="Courier New"/>
    </w:rPr>
  </w:style>
  <w:style w:type="character" w:customStyle="1" w:styleId="2095">
    <w:name w:val="WW8Num16z2"/>
    <w:uiPriority w:val="0"/>
    <w:rPr>
      <w:rFonts w:hint="default" w:ascii="Wingdings" w:hAnsi="Wingdings" w:cs="Wingdings"/>
    </w:rPr>
  </w:style>
  <w:style w:type="character" w:customStyle="1" w:styleId="2096">
    <w:name w:val="WW8Num16z3"/>
    <w:uiPriority w:val="0"/>
    <w:rPr>
      <w:rFonts w:hint="default" w:ascii="Symbol" w:hAnsi="Symbol" w:cs="Symbol"/>
    </w:rPr>
  </w:style>
  <w:style w:type="character" w:customStyle="1" w:styleId="2097">
    <w:name w:val="WW8Num18z1"/>
    <w:uiPriority w:val="0"/>
    <w:rPr>
      <w:rFonts w:hint="default" w:ascii="Courier New" w:hAnsi="Courier New" w:cs="Courier New"/>
    </w:rPr>
  </w:style>
  <w:style w:type="character" w:customStyle="1" w:styleId="2098">
    <w:name w:val="WW8Num18z2"/>
    <w:uiPriority w:val="0"/>
    <w:rPr>
      <w:rFonts w:hint="default" w:ascii="Wingdings" w:hAnsi="Wingdings" w:cs="Wingdings"/>
    </w:rPr>
  </w:style>
  <w:style w:type="character" w:customStyle="1" w:styleId="2099">
    <w:name w:val="WW8Num19z3"/>
    <w:uiPriority w:val="0"/>
  </w:style>
  <w:style w:type="character" w:customStyle="1" w:styleId="2100">
    <w:name w:val="WW8Num19z4"/>
    <w:uiPriority w:val="0"/>
  </w:style>
  <w:style w:type="character" w:customStyle="1" w:styleId="2101">
    <w:name w:val="WW8Num19z5"/>
    <w:uiPriority w:val="0"/>
  </w:style>
  <w:style w:type="character" w:customStyle="1" w:styleId="2102">
    <w:name w:val="WW8Num19z6"/>
    <w:uiPriority w:val="0"/>
  </w:style>
  <w:style w:type="character" w:customStyle="1" w:styleId="2103">
    <w:name w:val="WW8Num19z7"/>
    <w:uiPriority w:val="0"/>
  </w:style>
  <w:style w:type="character" w:customStyle="1" w:styleId="2104">
    <w:name w:val="WW8Num19z8"/>
    <w:uiPriority w:val="0"/>
  </w:style>
  <w:style w:type="character" w:customStyle="1" w:styleId="2105">
    <w:name w:val="WW8Num20z3"/>
    <w:uiPriority w:val="0"/>
    <w:rPr>
      <w:rFonts w:hint="default" w:ascii="Symbol" w:hAnsi="Symbol" w:cs="Symbol"/>
    </w:rPr>
  </w:style>
  <w:style w:type="character" w:customStyle="1" w:styleId="2106">
    <w:name w:val="WW8Num21z1"/>
    <w:uiPriority w:val="0"/>
    <w:rPr>
      <w:rFonts w:hint="default" w:ascii="Symbol" w:hAnsi="Symbol" w:cs="Symbol"/>
    </w:rPr>
  </w:style>
  <w:style w:type="character" w:customStyle="1" w:styleId="2107">
    <w:name w:val="WW8Num21z2"/>
    <w:uiPriority w:val="0"/>
    <w:rPr>
      <w:rFonts w:hint="default" w:ascii="Courier New" w:hAnsi="Courier New" w:cs="Courier New"/>
    </w:rPr>
  </w:style>
  <w:style w:type="character" w:customStyle="1" w:styleId="2108">
    <w:name w:val="WW8Num21z3"/>
    <w:uiPriority w:val="0"/>
    <w:rPr>
      <w:rFonts w:hint="default" w:ascii="Wingdings" w:hAnsi="Wingdings" w:cs="Wingdings"/>
    </w:rPr>
  </w:style>
  <w:style w:type="character" w:customStyle="1" w:styleId="2109">
    <w:name w:val="WW8Num22z1"/>
    <w:uiPriority w:val="0"/>
  </w:style>
  <w:style w:type="character" w:customStyle="1" w:styleId="2110">
    <w:name w:val="WW8Num22z2"/>
    <w:uiPriority w:val="0"/>
  </w:style>
  <w:style w:type="character" w:customStyle="1" w:styleId="2111">
    <w:name w:val="WW8Num22z3"/>
    <w:uiPriority w:val="0"/>
  </w:style>
  <w:style w:type="character" w:customStyle="1" w:styleId="2112">
    <w:name w:val="WW8Num22z4"/>
    <w:uiPriority w:val="0"/>
  </w:style>
  <w:style w:type="character" w:customStyle="1" w:styleId="2113">
    <w:name w:val="WW8Num22z5"/>
    <w:uiPriority w:val="0"/>
  </w:style>
  <w:style w:type="character" w:customStyle="1" w:styleId="2114">
    <w:name w:val="WW8Num22z6"/>
    <w:uiPriority w:val="0"/>
  </w:style>
  <w:style w:type="character" w:customStyle="1" w:styleId="2115">
    <w:name w:val="WW8Num22z7"/>
    <w:uiPriority w:val="0"/>
  </w:style>
  <w:style w:type="character" w:customStyle="1" w:styleId="2116">
    <w:name w:val="WW8Num22z8"/>
    <w:uiPriority w:val="0"/>
  </w:style>
  <w:style w:type="character" w:customStyle="1" w:styleId="2117">
    <w:name w:val="WW8Num23z1"/>
    <w:uiPriority w:val="0"/>
  </w:style>
  <w:style w:type="character" w:customStyle="1" w:styleId="2118">
    <w:name w:val="WW8Num23z2"/>
    <w:uiPriority w:val="0"/>
  </w:style>
  <w:style w:type="character" w:customStyle="1" w:styleId="2119">
    <w:name w:val="WW8Num23z3"/>
    <w:uiPriority w:val="0"/>
  </w:style>
  <w:style w:type="character" w:customStyle="1" w:styleId="2120">
    <w:name w:val="WW8Num23z4"/>
    <w:uiPriority w:val="0"/>
  </w:style>
  <w:style w:type="character" w:customStyle="1" w:styleId="2121">
    <w:name w:val="WW8Num23z5"/>
    <w:uiPriority w:val="0"/>
  </w:style>
  <w:style w:type="character" w:customStyle="1" w:styleId="2122">
    <w:name w:val="WW8Num23z6"/>
    <w:uiPriority w:val="0"/>
  </w:style>
  <w:style w:type="character" w:customStyle="1" w:styleId="2123">
    <w:name w:val="WW8Num23z7"/>
    <w:uiPriority w:val="0"/>
  </w:style>
  <w:style w:type="character" w:customStyle="1" w:styleId="2124">
    <w:name w:val="WW8Num23z8"/>
    <w:uiPriority w:val="0"/>
  </w:style>
  <w:style w:type="character" w:customStyle="1" w:styleId="2125">
    <w:name w:val="WW8Num24z2"/>
    <w:uiPriority w:val="0"/>
    <w:rPr>
      <w:rFonts w:hint="default" w:ascii="Courier New" w:hAnsi="Courier New" w:cs="Courier New"/>
    </w:rPr>
  </w:style>
  <w:style w:type="character" w:customStyle="1" w:styleId="2126">
    <w:name w:val="WW8Num24z3"/>
    <w:uiPriority w:val="0"/>
    <w:rPr>
      <w:rFonts w:hint="default" w:ascii="Wingdings" w:hAnsi="Wingdings" w:cs="Wingdings"/>
    </w:rPr>
  </w:style>
  <w:style w:type="character" w:customStyle="1" w:styleId="2127">
    <w:name w:val="WW8Num26z1"/>
    <w:uiPriority w:val="0"/>
    <w:rPr>
      <w:rFonts w:hint="default" w:ascii="Courier New" w:hAnsi="Courier New" w:cs="Courier New"/>
    </w:rPr>
  </w:style>
  <w:style w:type="character" w:customStyle="1" w:styleId="2128">
    <w:name w:val="WW8Num26z2"/>
    <w:uiPriority w:val="0"/>
    <w:rPr>
      <w:rFonts w:hint="default" w:ascii="Wingdings" w:hAnsi="Wingdings" w:cs="Wingdings"/>
    </w:rPr>
  </w:style>
  <w:style w:type="character" w:customStyle="1" w:styleId="2129">
    <w:name w:val="WW8Num26z3"/>
    <w:uiPriority w:val="0"/>
    <w:rPr>
      <w:rFonts w:hint="default" w:ascii="Symbol" w:hAnsi="Symbol" w:cs="Symbol"/>
    </w:rPr>
  </w:style>
  <w:style w:type="character" w:customStyle="1" w:styleId="2130">
    <w:name w:val="WW8Num27z3"/>
    <w:uiPriority w:val="0"/>
  </w:style>
  <w:style w:type="character" w:customStyle="1" w:styleId="2131">
    <w:name w:val="WW8Num27z4"/>
    <w:uiPriority w:val="0"/>
  </w:style>
  <w:style w:type="character" w:customStyle="1" w:styleId="2132">
    <w:name w:val="WW8Num27z5"/>
    <w:uiPriority w:val="0"/>
  </w:style>
  <w:style w:type="character" w:customStyle="1" w:styleId="2133">
    <w:name w:val="WW8Num27z6"/>
    <w:uiPriority w:val="0"/>
  </w:style>
  <w:style w:type="character" w:customStyle="1" w:styleId="2134">
    <w:name w:val="WW8Num27z7"/>
    <w:uiPriority w:val="0"/>
  </w:style>
  <w:style w:type="character" w:customStyle="1" w:styleId="2135">
    <w:name w:val="WW8Num27z8"/>
    <w:uiPriority w:val="0"/>
  </w:style>
  <w:style w:type="character" w:customStyle="1" w:styleId="2136">
    <w:name w:val="WW8Num29z1"/>
    <w:uiPriority w:val="0"/>
    <w:rPr>
      <w:rFonts w:hint="default" w:ascii="Symbol" w:hAnsi="Symbol" w:cs="Symbol"/>
    </w:rPr>
  </w:style>
  <w:style w:type="character" w:customStyle="1" w:styleId="2137">
    <w:name w:val="WW8Num29z2"/>
    <w:uiPriority w:val="0"/>
    <w:rPr>
      <w:rFonts w:hint="default" w:ascii="Courier New" w:hAnsi="Courier New" w:cs="Courier New"/>
    </w:rPr>
  </w:style>
  <w:style w:type="character" w:customStyle="1" w:styleId="2138">
    <w:name w:val="WW8Num29z3"/>
    <w:uiPriority w:val="0"/>
    <w:rPr>
      <w:rFonts w:hint="default" w:ascii="Wingdings" w:hAnsi="Wingdings" w:cs="Wingdings"/>
    </w:rPr>
  </w:style>
  <w:style w:type="character" w:customStyle="1" w:styleId="2139">
    <w:name w:val="WW8Num30z1"/>
    <w:uiPriority w:val="0"/>
  </w:style>
  <w:style w:type="character" w:customStyle="1" w:styleId="2140">
    <w:name w:val="WW8Num30z2"/>
    <w:uiPriority w:val="0"/>
  </w:style>
  <w:style w:type="character" w:customStyle="1" w:styleId="2141">
    <w:name w:val="WW8Num30z3"/>
    <w:uiPriority w:val="0"/>
  </w:style>
  <w:style w:type="character" w:customStyle="1" w:styleId="2142">
    <w:name w:val="WW8Num30z4"/>
    <w:uiPriority w:val="0"/>
  </w:style>
  <w:style w:type="character" w:customStyle="1" w:styleId="2143">
    <w:name w:val="WW8Num30z5"/>
    <w:uiPriority w:val="0"/>
  </w:style>
  <w:style w:type="character" w:customStyle="1" w:styleId="2144">
    <w:name w:val="WW8Num30z6"/>
    <w:uiPriority w:val="0"/>
  </w:style>
  <w:style w:type="character" w:customStyle="1" w:styleId="2145">
    <w:name w:val="WW8Num30z7"/>
    <w:uiPriority w:val="0"/>
  </w:style>
  <w:style w:type="character" w:customStyle="1" w:styleId="2146">
    <w:name w:val="WW8Num30z8"/>
    <w:uiPriority w:val="0"/>
  </w:style>
  <w:style w:type="character" w:customStyle="1" w:styleId="2147">
    <w:name w:val="WW8Num31z1"/>
    <w:uiPriority w:val="0"/>
  </w:style>
  <w:style w:type="character" w:customStyle="1" w:styleId="2148">
    <w:name w:val="WW8Num31z2"/>
    <w:uiPriority w:val="0"/>
  </w:style>
  <w:style w:type="character" w:customStyle="1" w:styleId="2149">
    <w:name w:val="WW8Num31z3"/>
    <w:uiPriority w:val="0"/>
  </w:style>
  <w:style w:type="character" w:customStyle="1" w:styleId="2150">
    <w:name w:val="WW8Num31z4"/>
    <w:uiPriority w:val="0"/>
  </w:style>
  <w:style w:type="character" w:customStyle="1" w:styleId="2151">
    <w:name w:val="WW8Num31z5"/>
    <w:uiPriority w:val="0"/>
  </w:style>
  <w:style w:type="character" w:customStyle="1" w:styleId="2152">
    <w:name w:val="WW8Num31z6"/>
    <w:uiPriority w:val="0"/>
  </w:style>
  <w:style w:type="character" w:customStyle="1" w:styleId="2153">
    <w:name w:val="WW8Num31z7"/>
    <w:uiPriority w:val="0"/>
  </w:style>
  <w:style w:type="character" w:customStyle="1" w:styleId="2154">
    <w:name w:val="WW8Num31z8"/>
    <w:uiPriority w:val="0"/>
  </w:style>
  <w:style w:type="character" w:customStyle="1" w:styleId="2155">
    <w:name w:val="WW8Num32z1"/>
    <w:uiPriority w:val="0"/>
  </w:style>
  <w:style w:type="character" w:customStyle="1" w:styleId="2156">
    <w:name w:val="WW8Num32z2"/>
    <w:uiPriority w:val="0"/>
  </w:style>
  <w:style w:type="character" w:customStyle="1" w:styleId="2157">
    <w:name w:val="WW8Num32z3"/>
    <w:uiPriority w:val="0"/>
  </w:style>
  <w:style w:type="character" w:customStyle="1" w:styleId="2158">
    <w:name w:val="WW8Num32z4"/>
    <w:uiPriority w:val="0"/>
  </w:style>
  <w:style w:type="character" w:customStyle="1" w:styleId="2159">
    <w:name w:val="WW8Num32z5"/>
    <w:uiPriority w:val="0"/>
  </w:style>
  <w:style w:type="character" w:customStyle="1" w:styleId="2160">
    <w:name w:val="WW8Num32z6"/>
    <w:uiPriority w:val="0"/>
  </w:style>
  <w:style w:type="character" w:customStyle="1" w:styleId="2161">
    <w:name w:val="WW8Num32z7"/>
    <w:uiPriority w:val="0"/>
  </w:style>
  <w:style w:type="character" w:customStyle="1" w:styleId="2162">
    <w:name w:val="WW8Num32z8"/>
    <w:uiPriority w:val="0"/>
  </w:style>
  <w:style w:type="character" w:customStyle="1" w:styleId="2163">
    <w:name w:val="WW8Num33z3"/>
    <w:uiPriority w:val="0"/>
  </w:style>
  <w:style w:type="character" w:customStyle="1" w:styleId="2164">
    <w:name w:val="WW8Num33z4"/>
    <w:uiPriority w:val="0"/>
  </w:style>
  <w:style w:type="character" w:customStyle="1" w:styleId="2165">
    <w:name w:val="WW8Num33z5"/>
    <w:uiPriority w:val="0"/>
  </w:style>
  <w:style w:type="character" w:customStyle="1" w:styleId="2166">
    <w:name w:val="WW8Num33z6"/>
    <w:uiPriority w:val="0"/>
  </w:style>
  <w:style w:type="character" w:customStyle="1" w:styleId="2167">
    <w:name w:val="WW8Num33z7"/>
    <w:uiPriority w:val="0"/>
  </w:style>
  <w:style w:type="character" w:customStyle="1" w:styleId="2168">
    <w:name w:val="WW8Num33z8"/>
    <w:uiPriority w:val="0"/>
  </w:style>
  <w:style w:type="character" w:customStyle="1" w:styleId="2169">
    <w:name w:val="WW8Num34z1"/>
    <w:uiPriority w:val="0"/>
  </w:style>
  <w:style w:type="character" w:customStyle="1" w:styleId="2170">
    <w:name w:val="WW8Num34z2"/>
    <w:uiPriority w:val="0"/>
  </w:style>
  <w:style w:type="character" w:customStyle="1" w:styleId="2171">
    <w:name w:val="WW8Num34z3"/>
    <w:uiPriority w:val="0"/>
  </w:style>
  <w:style w:type="character" w:customStyle="1" w:styleId="2172">
    <w:name w:val="WW8Num34z4"/>
    <w:uiPriority w:val="0"/>
  </w:style>
  <w:style w:type="character" w:customStyle="1" w:styleId="2173">
    <w:name w:val="WW8Num34z5"/>
    <w:uiPriority w:val="0"/>
  </w:style>
  <w:style w:type="character" w:customStyle="1" w:styleId="2174">
    <w:name w:val="WW8Num34z6"/>
    <w:uiPriority w:val="0"/>
  </w:style>
  <w:style w:type="character" w:customStyle="1" w:styleId="2175">
    <w:name w:val="WW8Num34z7"/>
    <w:uiPriority w:val="0"/>
  </w:style>
  <w:style w:type="character" w:customStyle="1" w:styleId="2176">
    <w:name w:val="WW8Num34z8"/>
    <w:uiPriority w:val="0"/>
  </w:style>
  <w:style w:type="character" w:customStyle="1" w:styleId="2177">
    <w:name w:val="WW8Num35z0"/>
    <w:uiPriority w:val="0"/>
    <w:rPr>
      <w:rFonts w:hint="default" w:ascii="Times New Roman" w:hAnsi="Times New Roman" w:cs="Times New Roman"/>
      <w:color w:val="auto"/>
    </w:rPr>
  </w:style>
  <w:style w:type="character" w:customStyle="1" w:styleId="2178">
    <w:name w:val="WW8Num35z1"/>
    <w:uiPriority w:val="0"/>
  </w:style>
  <w:style w:type="character" w:customStyle="1" w:styleId="2179">
    <w:name w:val="WW8Num35z2"/>
    <w:uiPriority w:val="0"/>
  </w:style>
  <w:style w:type="character" w:customStyle="1" w:styleId="2180">
    <w:name w:val="WW8Num35z3"/>
    <w:uiPriority w:val="0"/>
  </w:style>
  <w:style w:type="character" w:customStyle="1" w:styleId="2181">
    <w:name w:val="WW8Num35z4"/>
    <w:uiPriority w:val="0"/>
  </w:style>
  <w:style w:type="character" w:customStyle="1" w:styleId="2182">
    <w:name w:val="WW8Num35z5"/>
    <w:uiPriority w:val="0"/>
  </w:style>
  <w:style w:type="character" w:customStyle="1" w:styleId="2183">
    <w:name w:val="WW8Num35z6"/>
    <w:uiPriority w:val="0"/>
  </w:style>
  <w:style w:type="character" w:customStyle="1" w:styleId="2184">
    <w:name w:val="WW8Num35z7"/>
    <w:uiPriority w:val="0"/>
  </w:style>
  <w:style w:type="character" w:customStyle="1" w:styleId="2185">
    <w:name w:val="WW8Num35z8"/>
    <w:uiPriority w:val="0"/>
  </w:style>
  <w:style w:type="character" w:customStyle="1" w:styleId="2186">
    <w:name w:val="WW8Num36z0"/>
    <w:uiPriority w:val="0"/>
    <w:rPr>
      <w:rFonts w:hint="default" w:ascii="Times New Roman" w:hAnsi="Times New Roman" w:eastAsia="Calibri" w:cs="Times New Roman"/>
      <w:color w:val="FF0000"/>
    </w:rPr>
  </w:style>
  <w:style w:type="character" w:customStyle="1" w:styleId="2187">
    <w:name w:val="WW8Num36z1"/>
    <w:uiPriority w:val="0"/>
  </w:style>
  <w:style w:type="character" w:customStyle="1" w:styleId="2188">
    <w:name w:val="WW8Num36z2"/>
    <w:uiPriority w:val="0"/>
  </w:style>
  <w:style w:type="character" w:customStyle="1" w:styleId="2189">
    <w:name w:val="WW8Num36z3"/>
    <w:uiPriority w:val="0"/>
  </w:style>
  <w:style w:type="character" w:customStyle="1" w:styleId="2190">
    <w:name w:val="WW8Num36z4"/>
    <w:uiPriority w:val="0"/>
  </w:style>
  <w:style w:type="character" w:customStyle="1" w:styleId="2191">
    <w:name w:val="WW8Num36z5"/>
    <w:uiPriority w:val="0"/>
  </w:style>
  <w:style w:type="character" w:customStyle="1" w:styleId="2192">
    <w:name w:val="WW8Num36z6"/>
    <w:uiPriority w:val="0"/>
  </w:style>
  <w:style w:type="character" w:customStyle="1" w:styleId="2193">
    <w:name w:val="WW8Num36z7"/>
    <w:uiPriority w:val="0"/>
  </w:style>
  <w:style w:type="character" w:customStyle="1" w:styleId="2194">
    <w:name w:val="WW8Num36z8"/>
    <w:uiPriority w:val="0"/>
  </w:style>
  <w:style w:type="character" w:customStyle="1" w:styleId="2195">
    <w:name w:val="WW8Num37z0"/>
    <w:uiPriority w:val="0"/>
    <w:rPr>
      <w:rFonts w:hint="default" w:ascii="Times New Roman" w:hAnsi="Times New Roman" w:cs="Times New Roman"/>
      <w:color w:val="auto"/>
      <w:lang w:val="tt-RU"/>
    </w:rPr>
  </w:style>
  <w:style w:type="character" w:customStyle="1" w:styleId="2196">
    <w:name w:val="WW8Num37z1"/>
    <w:uiPriority w:val="0"/>
  </w:style>
  <w:style w:type="character" w:customStyle="1" w:styleId="2197">
    <w:name w:val="WW8Num37z2"/>
    <w:uiPriority w:val="0"/>
  </w:style>
  <w:style w:type="character" w:customStyle="1" w:styleId="2198">
    <w:name w:val="WW8Num37z3"/>
    <w:uiPriority w:val="0"/>
  </w:style>
  <w:style w:type="character" w:customStyle="1" w:styleId="2199">
    <w:name w:val="WW8Num37z4"/>
    <w:uiPriority w:val="0"/>
  </w:style>
  <w:style w:type="character" w:customStyle="1" w:styleId="2200">
    <w:name w:val="WW8Num37z5"/>
    <w:uiPriority w:val="0"/>
  </w:style>
  <w:style w:type="character" w:customStyle="1" w:styleId="2201">
    <w:name w:val="WW8Num37z6"/>
    <w:uiPriority w:val="0"/>
  </w:style>
  <w:style w:type="character" w:customStyle="1" w:styleId="2202">
    <w:name w:val="WW8Num37z7"/>
    <w:uiPriority w:val="0"/>
  </w:style>
  <w:style w:type="character" w:customStyle="1" w:styleId="2203">
    <w:name w:val="WW8Num37z8"/>
    <w:uiPriority w:val="0"/>
  </w:style>
  <w:style w:type="character" w:customStyle="1" w:styleId="2204">
    <w:name w:val="WW8Num38z0"/>
    <w:uiPriority w:val="0"/>
    <w:rPr>
      <w:rFonts w:hint="default" w:ascii="Times New Roman" w:hAnsi="Times New Roman" w:cs="Times New Roman"/>
      <w:b/>
      <w:color w:val="auto"/>
      <w:sz w:val="28"/>
      <w:szCs w:val="28"/>
    </w:rPr>
  </w:style>
  <w:style w:type="character" w:customStyle="1" w:styleId="2205">
    <w:name w:val="WW8Num38z1"/>
    <w:uiPriority w:val="0"/>
  </w:style>
  <w:style w:type="character" w:customStyle="1" w:styleId="2206">
    <w:name w:val="WW8Num38z2"/>
    <w:uiPriority w:val="0"/>
  </w:style>
  <w:style w:type="character" w:customStyle="1" w:styleId="2207">
    <w:name w:val="WW8Num38z3"/>
    <w:uiPriority w:val="0"/>
  </w:style>
  <w:style w:type="character" w:customStyle="1" w:styleId="2208">
    <w:name w:val="WW8Num38z4"/>
    <w:uiPriority w:val="0"/>
  </w:style>
  <w:style w:type="character" w:customStyle="1" w:styleId="2209">
    <w:name w:val="WW8Num38z5"/>
    <w:uiPriority w:val="0"/>
  </w:style>
  <w:style w:type="character" w:customStyle="1" w:styleId="2210">
    <w:name w:val="WW8Num38z6"/>
    <w:uiPriority w:val="0"/>
  </w:style>
  <w:style w:type="character" w:customStyle="1" w:styleId="2211">
    <w:name w:val="WW8Num38z7"/>
    <w:uiPriority w:val="0"/>
  </w:style>
  <w:style w:type="character" w:customStyle="1" w:styleId="2212">
    <w:name w:val="WW8Num38z8"/>
    <w:uiPriority w:val="0"/>
  </w:style>
  <w:style w:type="character" w:customStyle="1" w:styleId="2213">
    <w:name w:val="WW8Num39z0"/>
    <w:uiPriority w:val="0"/>
  </w:style>
  <w:style w:type="character" w:customStyle="1" w:styleId="2214">
    <w:name w:val="WW8Num39z1"/>
    <w:uiPriority w:val="0"/>
  </w:style>
  <w:style w:type="character" w:customStyle="1" w:styleId="2215">
    <w:name w:val="WW8Num39z2"/>
    <w:uiPriority w:val="0"/>
  </w:style>
  <w:style w:type="character" w:customStyle="1" w:styleId="2216">
    <w:name w:val="WW8Num39z3"/>
    <w:uiPriority w:val="0"/>
  </w:style>
  <w:style w:type="character" w:customStyle="1" w:styleId="2217">
    <w:name w:val="WW8Num39z4"/>
    <w:uiPriority w:val="0"/>
  </w:style>
  <w:style w:type="character" w:customStyle="1" w:styleId="2218">
    <w:name w:val="WW8Num39z5"/>
    <w:uiPriority w:val="0"/>
  </w:style>
  <w:style w:type="character" w:customStyle="1" w:styleId="2219">
    <w:name w:val="WW8Num39z6"/>
    <w:uiPriority w:val="0"/>
  </w:style>
  <w:style w:type="character" w:customStyle="1" w:styleId="2220">
    <w:name w:val="WW8Num39z7"/>
    <w:uiPriority w:val="0"/>
  </w:style>
  <w:style w:type="character" w:customStyle="1" w:styleId="2221">
    <w:name w:val="WW8Num39z8"/>
    <w:uiPriority w:val="0"/>
  </w:style>
  <w:style w:type="character" w:customStyle="1" w:styleId="2222">
    <w:name w:val="WW8Num40z0"/>
    <w:uiPriority w:val="0"/>
    <w:rPr>
      <w:rFonts w:hint="default" w:ascii="Symbol" w:hAnsi="Symbol" w:cs="Symbol"/>
    </w:rPr>
  </w:style>
  <w:style w:type="character" w:customStyle="1" w:styleId="2223">
    <w:name w:val="WW8Num40z1"/>
    <w:uiPriority w:val="0"/>
    <w:rPr>
      <w:rFonts w:hint="default" w:ascii="Courier New" w:hAnsi="Courier New" w:cs="Courier New"/>
    </w:rPr>
  </w:style>
  <w:style w:type="character" w:customStyle="1" w:styleId="2224">
    <w:name w:val="WW8Num40z2"/>
    <w:uiPriority w:val="0"/>
    <w:rPr>
      <w:rFonts w:hint="default" w:ascii="Wingdings" w:hAnsi="Wingdings" w:cs="Wingdings"/>
    </w:rPr>
  </w:style>
  <w:style w:type="character" w:customStyle="1" w:styleId="2225">
    <w:name w:val="WW8Num41z0"/>
    <w:uiPriority w:val="0"/>
    <w:rPr>
      <w:rFonts w:hint="default" w:ascii="Times New Roman" w:hAnsi="Times New Roman" w:cs="Times New Roman"/>
      <w:color w:val="auto"/>
    </w:rPr>
  </w:style>
  <w:style w:type="character" w:customStyle="1" w:styleId="2226">
    <w:name w:val="WW8Num41z1"/>
    <w:uiPriority w:val="0"/>
  </w:style>
  <w:style w:type="character" w:customStyle="1" w:styleId="2227">
    <w:name w:val="WW8Num41z2"/>
    <w:uiPriority w:val="0"/>
  </w:style>
  <w:style w:type="character" w:customStyle="1" w:styleId="2228">
    <w:name w:val="WW8Num41z3"/>
    <w:uiPriority w:val="0"/>
  </w:style>
  <w:style w:type="character" w:customStyle="1" w:styleId="2229">
    <w:name w:val="WW8Num41z4"/>
    <w:uiPriority w:val="0"/>
  </w:style>
  <w:style w:type="character" w:customStyle="1" w:styleId="2230">
    <w:name w:val="WW8Num41z5"/>
    <w:uiPriority w:val="0"/>
  </w:style>
  <w:style w:type="character" w:customStyle="1" w:styleId="2231">
    <w:name w:val="WW8Num41z6"/>
    <w:uiPriority w:val="0"/>
  </w:style>
  <w:style w:type="character" w:customStyle="1" w:styleId="2232">
    <w:name w:val="WW8Num41z7"/>
    <w:uiPriority w:val="0"/>
  </w:style>
  <w:style w:type="character" w:customStyle="1" w:styleId="2233">
    <w:name w:val="WW8Num41z8"/>
    <w:uiPriority w:val="0"/>
  </w:style>
  <w:style w:type="character" w:customStyle="1" w:styleId="2234">
    <w:name w:val="WW8Num42z0"/>
    <w:uiPriority w:val="0"/>
    <w:rPr>
      <w:rFonts w:hint="default" w:ascii="Times New Roman" w:hAnsi="Times New Roman" w:cs="Times New Roman"/>
      <w:color w:val="auto"/>
    </w:rPr>
  </w:style>
  <w:style w:type="character" w:customStyle="1" w:styleId="2235">
    <w:name w:val="WW8Num42z1"/>
    <w:uiPriority w:val="0"/>
  </w:style>
  <w:style w:type="character" w:customStyle="1" w:styleId="2236">
    <w:name w:val="WW8Num42z2"/>
    <w:uiPriority w:val="0"/>
  </w:style>
  <w:style w:type="character" w:customStyle="1" w:styleId="2237">
    <w:name w:val="WW8Num42z3"/>
    <w:uiPriority w:val="0"/>
  </w:style>
  <w:style w:type="character" w:customStyle="1" w:styleId="2238">
    <w:name w:val="WW8Num42z4"/>
    <w:uiPriority w:val="0"/>
  </w:style>
  <w:style w:type="character" w:customStyle="1" w:styleId="2239">
    <w:name w:val="WW8Num42z5"/>
    <w:uiPriority w:val="0"/>
  </w:style>
  <w:style w:type="character" w:customStyle="1" w:styleId="2240">
    <w:name w:val="WW8Num42z6"/>
    <w:uiPriority w:val="0"/>
  </w:style>
  <w:style w:type="character" w:customStyle="1" w:styleId="2241">
    <w:name w:val="WW8Num42z7"/>
    <w:uiPriority w:val="0"/>
  </w:style>
  <w:style w:type="character" w:customStyle="1" w:styleId="2242">
    <w:name w:val="WW8Num42z8"/>
    <w:uiPriority w:val="0"/>
  </w:style>
  <w:style w:type="character" w:customStyle="1" w:styleId="2243">
    <w:name w:val="WW8Num43z0"/>
    <w:uiPriority w:val="0"/>
    <w:rPr>
      <w:rFonts w:hint="default" w:ascii="Times New Roman" w:hAnsi="Times New Roman" w:cs="Times New Roman"/>
      <w:color w:val="FF0000"/>
    </w:rPr>
  </w:style>
  <w:style w:type="character" w:customStyle="1" w:styleId="2244">
    <w:name w:val="WW8Num43z1"/>
    <w:uiPriority w:val="0"/>
  </w:style>
  <w:style w:type="character" w:customStyle="1" w:styleId="2245">
    <w:name w:val="WW8Num43z2"/>
    <w:uiPriority w:val="0"/>
  </w:style>
  <w:style w:type="character" w:customStyle="1" w:styleId="2246">
    <w:name w:val="WW8Num43z3"/>
    <w:uiPriority w:val="0"/>
  </w:style>
  <w:style w:type="character" w:customStyle="1" w:styleId="2247">
    <w:name w:val="WW8Num43z4"/>
    <w:uiPriority w:val="0"/>
  </w:style>
  <w:style w:type="character" w:customStyle="1" w:styleId="2248">
    <w:name w:val="WW8Num43z5"/>
    <w:uiPriority w:val="0"/>
  </w:style>
  <w:style w:type="character" w:customStyle="1" w:styleId="2249">
    <w:name w:val="WW8Num43z6"/>
    <w:uiPriority w:val="0"/>
  </w:style>
  <w:style w:type="character" w:customStyle="1" w:styleId="2250">
    <w:name w:val="WW8Num43z7"/>
    <w:uiPriority w:val="0"/>
  </w:style>
  <w:style w:type="character" w:customStyle="1" w:styleId="2251">
    <w:name w:val="WW8Num43z8"/>
    <w:uiPriority w:val="0"/>
  </w:style>
  <w:style w:type="character" w:customStyle="1" w:styleId="2252">
    <w:name w:val="WW8Num44z0"/>
    <w:uiPriority w:val="0"/>
    <w:rPr>
      <w:rFonts w:hint="default" w:ascii="Times New Roman" w:hAnsi="Times New Roman" w:cs="Times New Roman"/>
      <w:color w:val="auto"/>
    </w:rPr>
  </w:style>
  <w:style w:type="character" w:customStyle="1" w:styleId="2253">
    <w:name w:val="WW8Num44z1"/>
    <w:uiPriority w:val="0"/>
    <w:rPr>
      <w:rFonts w:hint="default" w:ascii="Courier New" w:hAnsi="Courier New" w:cs="Courier New"/>
    </w:rPr>
  </w:style>
  <w:style w:type="character" w:customStyle="1" w:styleId="2254">
    <w:name w:val="WW8Num44z2"/>
    <w:uiPriority w:val="0"/>
    <w:rPr>
      <w:rFonts w:hint="default" w:ascii="Wingdings" w:hAnsi="Wingdings" w:cs="Wingdings"/>
    </w:rPr>
  </w:style>
  <w:style w:type="character" w:customStyle="1" w:styleId="2255">
    <w:name w:val="WW8Num44z3"/>
    <w:uiPriority w:val="0"/>
    <w:rPr>
      <w:rFonts w:hint="default" w:ascii="Symbol" w:hAnsi="Symbol" w:cs="Symbol"/>
    </w:rPr>
  </w:style>
  <w:style w:type="character" w:customStyle="1" w:styleId="2256">
    <w:name w:val="WW8Num45z0"/>
    <w:uiPriority w:val="0"/>
    <w:rPr>
      <w:rFonts w:hint="default" w:ascii="Times New Roman" w:hAnsi="Times New Roman" w:cs="Times New Roman"/>
      <w:color w:val="auto"/>
    </w:rPr>
  </w:style>
  <w:style w:type="character" w:customStyle="1" w:styleId="2257">
    <w:name w:val="WW8Num45z1"/>
    <w:uiPriority w:val="0"/>
  </w:style>
  <w:style w:type="character" w:customStyle="1" w:styleId="2258">
    <w:name w:val="WW8Num45z2"/>
    <w:uiPriority w:val="0"/>
  </w:style>
  <w:style w:type="character" w:customStyle="1" w:styleId="2259">
    <w:name w:val="WW8Num45z3"/>
    <w:uiPriority w:val="0"/>
  </w:style>
  <w:style w:type="character" w:customStyle="1" w:styleId="2260">
    <w:name w:val="WW8Num45z4"/>
    <w:uiPriority w:val="0"/>
  </w:style>
  <w:style w:type="character" w:customStyle="1" w:styleId="2261">
    <w:name w:val="WW8Num45z5"/>
    <w:uiPriority w:val="0"/>
  </w:style>
  <w:style w:type="character" w:customStyle="1" w:styleId="2262">
    <w:name w:val="WW8Num45z6"/>
    <w:uiPriority w:val="0"/>
  </w:style>
  <w:style w:type="character" w:customStyle="1" w:styleId="2263">
    <w:name w:val="WW8Num45z7"/>
    <w:uiPriority w:val="0"/>
  </w:style>
  <w:style w:type="character" w:customStyle="1" w:styleId="2264">
    <w:name w:val="WW8Num45z8"/>
    <w:uiPriority w:val="0"/>
  </w:style>
  <w:style w:type="character" w:customStyle="1" w:styleId="2265">
    <w:name w:val="WW8Num46z0"/>
    <w:uiPriority w:val="0"/>
    <w:rPr>
      <w:rFonts w:hint="default" w:ascii="Times New Roman" w:hAnsi="Times New Roman" w:cs="Times New Roman"/>
      <w:color w:val="auto"/>
      <w:lang w:val="tt-RU"/>
    </w:rPr>
  </w:style>
  <w:style w:type="character" w:customStyle="1" w:styleId="2266">
    <w:name w:val="WW8Num46z1"/>
    <w:uiPriority w:val="0"/>
  </w:style>
  <w:style w:type="character" w:customStyle="1" w:styleId="2267">
    <w:name w:val="WW8Num46z2"/>
    <w:uiPriority w:val="0"/>
  </w:style>
  <w:style w:type="character" w:customStyle="1" w:styleId="2268">
    <w:name w:val="WW8Num46z3"/>
    <w:uiPriority w:val="0"/>
  </w:style>
  <w:style w:type="character" w:customStyle="1" w:styleId="2269">
    <w:name w:val="WW8Num46z4"/>
    <w:uiPriority w:val="0"/>
  </w:style>
  <w:style w:type="character" w:customStyle="1" w:styleId="2270">
    <w:name w:val="WW8Num46z5"/>
    <w:uiPriority w:val="0"/>
  </w:style>
  <w:style w:type="character" w:customStyle="1" w:styleId="2271">
    <w:name w:val="WW8Num46z6"/>
    <w:uiPriority w:val="0"/>
  </w:style>
  <w:style w:type="character" w:customStyle="1" w:styleId="2272">
    <w:name w:val="WW8Num46z7"/>
    <w:uiPriority w:val="0"/>
  </w:style>
  <w:style w:type="character" w:customStyle="1" w:styleId="2273">
    <w:name w:val="WW8Num46z8"/>
    <w:uiPriority w:val="0"/>
  </w:style>
  <w:style w:type="character" w:customStyle="1" w:styleId="2274">
    <w:name w:val="WW8Num47z0"/>
    <w:uiPriority w:val="0"/>
    <w:rPr>
      <w:rFonts w:hint="default" w:ascii="Times New Roman" w:hAnsi="Times New Roman" w:eastAsia="Times New Roman" w:cs="Times New Roman"/>
      <w:i/>
      <w:iCs/>
      <w:color w:val="auto"/>
    </w:rPr>
  </w:style>
  <w:style w:type="character" w:customStyle="1" w:styleId="2275">
    <w:name w:val="WW8Num47z1"/>
    <w:uiPriority w:val="0"/>
    <w:rPr>
      <w:rFonts w:hint="default" w:ascii="Courier New" w:hAnsi="Courier New" w:cs="Courier New"/>
    </w:rPr>
  </w:style>
  <w:style w:type="character" w:customStyle="1" w:styleId="2276">
    <w:name w:val="WW8Num47z2"/>
    <w:uiPriority w:val="0"/>
    <w:rPr>
      <w:rFonts w:hint="default" w:ascii="Wingdings" w:hAnsi="Wingdings" w:cs="Wingdings"/>
    </w:rPr>
  </w:style>
  <w:style w:type="character" w:customStyle="1" w:styleId="2277">
    <w:name w:val="WW8Num47z3"/>
    <w:uiPriority w:val="0"/>
    <w:rPr>
      <w:rFonts w:hint="default" w:ascii="Symbol" w:hAnsi="Symbol" w:cs="Symbol"/>
    </w:rPr>
  </w:style>
  <w:style w:type="character" w:customStyle="1" w:styleId="2278">
    <w:name w:val="WW8Num48z0"/>
    <w:uiPriority w:val="0"/>
    <w:rPr>
      <w:rFonts w:hint="default" w:ascii="Times Sakha" w:hAnsi="Times Sakha" w:eastAsia="Times New Roman" w:cs="Times Sakha"/>
    </w:rPr>
  </w:style>
  <w:style w:type="character" w:customStyle="1" w:styleId="2279">
    <w:name w:val="WW8Num48z1"/>
    <w:uiPriority w:val="0"/>
    <w:rPr>
      <w:rFonts w:hint="default" w:ascii="Courier New" w:hAnsi="Courier New" w:cs="Courier New"/>
    </w:rPr>
  </w:style>
  <w:style w:type="character" w:customStyle="1" w:styleId="2280">
    <w:name w:val="WW8Num48z2"/>
    <w:uiPriority w:val="0"/>
    <w:rPr>
      <w:rFonts w:hint="default" w:ascii="Wingdings" w:hAnsi="Wingdings" w:cs="Wingdings"/>
    </w:rPr>
  </w:style>
  <w:style w:type="character" w:customStyle="1" w:styleId="2281">
    <w:name w:val="WW8Num48z3"/>
    <w:uiPriority w:val="0"/>
    <w:rPr>
      <w:rFonts w:hint="default" w:ascii="Symbol" w:hAnsi="Symbol" w:cs="Symbol"/>
    </w:rPr>
  </w:style>
  <w:style w:type="character" w:customStyle="1" w:styleId="2282">
    <w:name w:val="WW8Num49z0"/>
    <w:uiPriority w:val="0"/>
    <w:rPr>
      <w:rFonts w:hint="default" w:ascii="Times New Roman" w:hAnsi="Times New Roman" w:eastAsia="Times New Roman" w:cs="Times New Roman"/>
      <w:color w:val="auto"/>
    </w:rPr>
  </w:style>
  <w:style w:type="character" w:customStyle="1" w:styleId="2283">
    <w:name w:val="WW8Num49z1"/>
    <w:uiPriority w:val="0"/>
    <w:rPr>
      <w:rFonts w:hint="default" w:ascii="Courier New" w:hAnsi="Courier New" w:cs="Courier New"/>
    </w:rPr>
  </w:style>
  <w:style w:type="character" w:customStyle="1" w:styleId="2284">
    <w:name w:val="WW8Num49z2"/>
    <w:uiPriority w:val="0"/>
    <w:rPr>
      <w:rFonts w:hint="default" w:ascii="Wingdings" w:hAnsi="Wingdings" w:cs="Wingdings"/>
    </w:rPr>
  </w:style>
  <w:style w:type="character" w:customStyle="1" w:styleId="2285">
    <w:name w:val="WW8Num49z3"/>
    <w:uiPriority w:val="0"/>
    <w:rPr>
      <w:rFonts w:hint="default" w:ascii="Symbol" w:hAnsi="Symbol" w:cs="Symbol"/>
    </w:rPr>
  </w:style>
  <w:style w:type="character" w:customStyle="1" w:styleId="2286">
    <w:name w:val="Заголовок №2 + Полужирный"/>
    <w:uiPriority w:val="0"/>
    <w:rPr>
      <w:rFonts w:hint="default" w:ascii="Times New Roman" w:hAnsi="Times New Roman" w:cs="Times New Roman"/>
      <w:b/>
      <w:i/>
      <w:color w:val="000000"/>
      <w:spacing w:val="0"/>
      <w:w w:val="100"/>
      <w:position w:val="0"/>
      <w:sz w:val="21"/>
      <w:u w:val="none"/>
      <w:vertAlign w:val="baseline"/>
      <w:lang w:val="ru-RU"/>
    </w:rPr>
  </w:style>
  <w:style w:type="character" w:customStyle="1" w:styleId="2287">
    <w:name w:val="Основной текст + Полужирный"/>
    <w:uiPriority w:val="0"/>
    <w:rPr>
      <w:rFonts w:hint="default" w:ascii="Times New Roman" w:hAnsi="Times New Roman" w:cs="Times New Roman"/>
      <w:b/>
      <w:color w:val="000000"/>
      <w:spacing w:val="0"/>
      <w:w w:val="100"/>
      <w:position w:val="0"/>
      <w:sz w:val="21"/>
      <w:u w:val="none"/>
      <w:shd w:val="clear" w:color="auto" w:fill="FFFFFF"/>
      <w:vertAlign w:val="baseline"/>
      <w:lang w:val="ru-RU"/>
    </w:rPr>
  </w:style>
  <w:style w:type="character" w:customStyle="1" w:styleId="2288">
    <w:name w:val="Font Style31"/>
    <w:uiPriority w:val="0"/>
    <w:rPr>
      <w:rFonts w:hint="default" w:ascii="Times New Roman" w:hAnsi="Times New Roman" w:cs="Times New Roman"/>
      <w:sz w:val="18"/>
    </w:rPr>
  </w:style>
  <w:style w:type="character" w:customStyle="1" w:styleId="2289">
    <w:name w:val="Font Style23"/>
    <w:uiPriority w:val="0"/>
    <w:rPr>
      <w:rFonts w:hint="default" w:ascii="Times New Roman" w:hAnsi="Times New Roman" w:cs="Times New Roman"/>
      <w:b/>
      <w:sz w:val="20"/>
    </w:rPr>
  </w:style>
  <w:style w:type="character" w:customStyle="1" w:styleId="2290">
    <w:name w:val="Font Style32"/>
    <w:uiPriority w:val="0"/>
    <w:rPr>
      <w:rFonts w:hint="default" w:ascii="Times New Roman" w:hAnsi="Times New Roman" w:cs="Times New Roman"/>
      <w:b/>
      <w:spacing w:val="20"/>
      <w:sz w:val="18"/>
    </w:rPr>
  </w:style>
  <w:style w:type="character" w:customStyle="1" w:styleId="2291">
    <w:name w:val="Font Style89"/>
    <w:uiPriority w:val="0"/>
    <w:rPr>
      <w:rFonts w:hint="default" w:ascii="Arial Unicode MS" w:hAnsi="Arial Unicode MS" w:eastAsia="Arial Unicode MS" w:cs="Arial Unicode MS"/>
      <w:b/>
      <w:sz w:val="16"/>
    </w:rPr>
  </w:style>
  <w:style w:type="character" w:customStyle="1" w:styleId="2292">
    <w:name w:val="Font Style17"/>
    <w:uiPriority w:val="0"/>
    <w:rPr>
      <w:rFonts w:hint="default" w:ascii="Microsoft Sans Serif" w:hAnsi="Microsoft Sans Serif" w:cs="Microsoft Sans Serif"/>
      <w:sz w:val="16"/>
    </w:rPr>
  </w:style>
  <w:style w:type="character" w:customStyle="1" w:styleId="2293">
    <w:name w:val="Font Style36"/>
    <w:uiPriority w:val="0"/>
    <w:rPr>
      <w:rFonts w:hint="default" w:ascii="Times New Roman" w:hAnsi="Times New Roman" w:cs="Times New Roman"/>
      <w:sz w:val="20"/>
    </w:rPr>
  </w:style>
  <w:style w:type="character" w:customStyle="1" w:styleId="2294">
    <w:name w:val="Font Style51"/>
    <w:uiPriority w:val="0"/>
    <w:rPr>
      <w:rFonts w:hint="default" w:ascii="Times New Roman" w:hAnsi="Times New Roman" w:cs="Times New Roman"/>
      <w:b/>
      <w:sz w:val="26"/>
    </w:rPr>
  </w:style>
  <w:style w:type="character" w:customStyle="1" w:styleId="2295">
    <w:name w:val="Font Style56"/>
    <w:uiPriority w:val="0"/>
    <w:rPr>
      <w:rFonts w:hint="default" w:ascii="Times New Roman" w:hAnsi="Times New Roman" w:cs="Times New Roman"/>
      <w:b/>
      <w:sz w:val="26"/>
    </w:rPr>
  </w:style>
  <w:style w:type="character" w:customStyle="1" w:styleId="2296">
    <w:name w:val="Font Style73"/>
    <w:uiPriority w:val="0"/>
    <w:rPr>
      <w:rFonts w:hint="default" w:ascii="Microsoft Sans Serif" w:hAnsi="Microsoft Sans Serif" w:cs="Microsoft Sans Serif"/>
      <w:b/>
      <w:sz w:val="24"/>
    </w:rPr>
  </w:style>
  <w:style w:type="character" w:customStyle="1" w:styleId="2297">
    <w:name w:val="goog-inline-block"/>
    <w:uiPriority w:val="0"/>
  </w:style>
  <w:style w:type="character" w:customStyle="1" w:styleId="2298">
    <w:name w:val="kix-wordhtmlgenerator-word-node"/>
    <w:uiPriority w:val="0"/>
  </w:style>
  <w:style w:type="character" w:customStyle="1" w:styleId="2299">
    <w:name w:val="b-serp-url__item"/>
    <w:uiPriority w:val="0"/>
  </w:style>
  <w:style w:type="character" w:customStyle="1" w:styleId="2300">
    <w:name w:val="b-serp-url__mark"/>
    <w:uiPriority w:val="0"/>
  </w:style>
  <w:style w:type="character" w:customStyle="1" w:styleId="2301">
    <w:name w:val="b-forum__text"/>
    <w:uiPriority w:val="0"/>
  </w:style>
  <w:style w:type="character" w:customStyle="1" w:styleId="2302">
    <w:name w:val="labeltelefoni"/>
    <w:uiPriority w:val="0"/>
  </w:style>
  <w:style w:type="character" w:customStyle="1" w:styleId="2303">
    <w:name w:val="f"/>
    <w:uiPriority w:val="0"/>
  </w:style>
  <w:style w:type="character" w:customStyle="1" w:styleId="2304">
    <w:name w:val="s2"/>
    <w:uiPriority w:val="0"/>
  </w:style>
  <w:style w:type="character" w:customStyle="1" w:styleId="2305">
    <w:name w:val="Знак Знак21"/>
    <w:uiPriority w:val="0"/>
    <w:rPr>
      <w:rFonts w:hint="default" w:ascii="Times New Roman" w:hAnsi="Times New Roman" w:eastAsia="@Arial Unicode MS" w:cs="Times New Roman"/>
      <w:b/>
      <w:sz w:val="28"/>
    </w:rPr>
  </w:style>
  <w:style w:type="character" w:customStyle="1" w:styleId="2306">
    <w:name w:val="Знак Знак8"/>
    <w:uiPriority w:val="0"/>
    <w:rPr>
      <w:rFonts w:hint="default" w:ascii="Times New Roman" w:hAnsi="Times New Roman" w:eastAsia="@Arial Unicode MS" w:cs="Times New Roman"/>
      <w:b/>
      <w:sz w:val="28"/>
    </w:rPr>
  </w:style>
  <w:style w:type="character" w:customStyle="1" w:styleId="2307">
    <w:name w:val="Знак Знак7"/>
    <w:uiPriority w:val="0"/>
    <w:rPr>
      <w:rFonts w:hint="default" w:ascii="Times New Roman" w:hAnsi="Times New Roman" w:cs="Times New Roman"/>
      <w:sz w:val="24"/>
    </w:rPr>
  </w:style>
  <w:style w:type="character" w:customStyle="1" w:styleId="2308">
    <w:name w:val="Знак Знак19"/>
    <w:uiPriority w:val="0"/>
    <w:rPr>
      <w:rFonts w:hint="default" w:ascii="Times New Roman" w:hAnsi="Times New Roman" w:cs="Times New Roman"/>
      <w:b/>
      <w:i/>
      <w:sz w:val="26"/>
    </w:rPr>
  </w:style>
  <w:style w:type="character" w:customStyle="1" w:styleId="2309">
    <w:name w:val="blue"/>
    <w:uiPriority w:val="0"/>
  </w:style>
  <w:style w:type="character" w:customStyle="1" w:styleId="2310">
    <w:name w:val="Font Style14"/>
    <w:uiPriority w:val="0"/>
    <w:rPr>
      <w:rFonts w:hint="default" w:ascii="Times New Roman" w:hAnsi="Times New Roman" w:cs="Times New Roman"/>
      <w:i/>
      <w:iCs/>
      <w:sz w:val="16"/>
      <w:szCs w:val="16"/>
    </w:rPr>
  </w:style>
  <w:style w:type="character" w:customStyle="1" w:styleId="2311">
    <w:name w:val="List Paragraph Char"/>
    <w:uiPriority w:val="0"/>
    <w:rPr>
      <w:rFonts w:hint="default" w:ascii="Times New Roman" w:hAnsi="Times New Roman" w:eastAsia="Times New Roman" w:cs="Times New Roman"/>
      <w:sz w:val="22"/>
      <w:szCs w:val="22"/>
    </w:rPr>
  </w:style>
  <w:style w:type="character" w:customStyle="1" w:styleId="2312">
    <w:name w:val="Название Знак2"/>
    <w:locked/>
    <w:uiPriority w:val="99"/>
    <w:rPr>
      <w:rFonts w:ascii="Cambria" w:hAnsi="Cambria" w:eastAsia="Calibri" w:cs="Cambria"/>
      <w:color w:val="17365D"/>
      <w:spacing w:val="5"/>
      <w:kern w:val="2"/>
      <w:sz w:val="52"/>
      <w:szCs w:val="20"/>
      <w:lang w:eastAsia="ar-SA"/>
    </w:rPr>
  </w:style>
  <w:style w:type="paragraph" w:customStyle="1" w:styleId="2313">
    <w:name w:val="p8"/>
    <w:basedOn w:val="1"/>
    <w:uiPriority w:val="0"/>
    <w:pPr>
      <w:widowControl/>
      <w:spacing w:before="100" w:beforeAutospacing="1" w:after="100" w:afterAutospacing="1" w:line="240" w:lineRule="auto"/>
      <w:jc w:val="both"/>
    </w:pPr>
    <w:rPr>
      <w:rFonts w:ascii="Times New Roman" w:hAnsi="Times New Roman" w:eastAsia="Times New Roman"/>
      <w:sz w:val="24"/>
      <w:szCs w:val="24"/>
      <w:lang w:eastAsia="ru-RU"/>
    </w:rPr>
  </w:style>
  <w:style w:type="paragraph" w:customStyle="1" w:styleId="2314">
    <w:name w:val="CM1"/>
    <w:basedOn w:val="80"/>
    <w:next w:val="80"/>
    <w:uiPriority w:val="99"/>
    <w:pPr>
      <w:widowControl w:val="0"/>
      <w:spacing w:line="228" w:lineRule="atLeast"/>
    </w:pPr>
    <w:rPr>
      <w:rFonts w:ascii="GFOGG P+ Pragmatica C" w:hAnsi="GFOGG P+ Pragmatica C" w:eastAsia="Times New Roman" w:cs="GFOGG P+ Pragmatica C"/>
      <w:color w:val="auto"/>
      <w:lang w:eastAsia="ru-RU"/>
    </w:rPr>
  </w:style>
  <w:style w:type="paragraph" w:customStyle="1" w:styleId="2315">
    <w:name w:val="CM15"/>
    <w:basedOn w:val="80"/>
    <w:next w:val="80"/>
    <w:uiPriority w:val="99"/>
    <w:pPr>
      <w:widowControl w:val="0"/>
      <w:spacing w:after="455"/>
    </w:pPr>
    <w:rPr>
      <w:rFonts w:ascii="GHOIB C+ School Book C San Pin" w:hAnsi="GHOIB C+ School Book C San Pin" w:eastAsia="Times New Roman" w:cs="GHOIB C+ School Book C San Pin"/>
      <w:color w:val="auto"/>
      <w:lang w:eastAsia="ru-RU"/>
    </w:rPr>
  </w:style>
  <w:style w:type="paragraph" w:customStyle="1" w:styleId="2316">
    <w:name w:val="c30"/>
    <w:basedOn w:val="1"/>
    <w:uiPriority w:val="99"/>
    <w:pPr>
      <w:widowControl/>
      <w:spacing w:before="100" w:beforeAutospacing="1" w:after="100" w:afterAutospacing="1" w:line="240" w:lineRule="auto"/>
      <w:jc w:val="both"/>
    </w:pPr>
    <w:rPr>
      <w:rFonts w:ascii="Times New Roman" w:hAnsi="Times New Roman" w:eastAsia="Times New Roman"/>
      <w:sz w:val="24"/>
      <w:szCs w:val="24"/>
      <w:lang w:eastAsia="ru-RU"/>
    </w:rPr>
  </w:style>
  <w:style w:type="paragraph" w:customStyle="1" w:styleId="2317">
    <w:name w:val="c115"/>
    <w:basedOn w:val="1"/>
    <w:uiPriority w:val="99"/>
    <w:pPr>
      <w:widowControl/>
      <w:spacing w:before="100" w:beforeAutospacing="1" w:after="100" w:afterAutospacing="1" w:line="240" w:lineRule="auto"/>
      <w:jc w:val="both"/>
    </w:pPr>
    <w:rPr>
      <w:rFonts w:ascii="Times New Roman" w:hAnsi="Times New Roman" w:eastAsia="Times New Roman"/>
      <w:sz w:val="24"/>
      <w:szCs w:val="24"/>
      <w:lang w:eastAsia="ru-RU"/>
    </w:rPr>
  </w:style>
  <w:style w:type="paragraph" w:customStyle="1" w:styleId="2318">
    <w:name w:val="c90"/>
    <w:basedOn w:val="1"/>
    <w:uiPriority w:val="99"/>
    <w:pPr>
      <w:widowControl/>
      <w:spacing w:before="100" w:beforeAutospacing="1" w:after="100" w:afterAutospacing="1" w:line="240" w:lineRule="auto"/>
      <w:jc w:val="both"/>
    </w:pPr>
    <w:rPr>
      <w:rFonts w:ascii="Times New Roman" w:hAnsi="Times New Roman" w:eastAsia="Times New Roman"/>
      <w:sz w:val="24"/>
      <w:szCs w:val="24"/>
      <w:lang w:eastAsia="ru-RU"/>
    </w:rPr>
  </w:style>
  <w:style w:type="paragraph" w:customStyle="1" w:styleId="2319">
    <w:name w:val="c10"/>
    <w:basedOn w:val="1"/>
    <w:uiPriority w:val="99"/>
    <w:pPr>
      <w:widowControl/>
      <w:spacing w:before="100" w:beforeAutospacing="1" w:after="100" w:afterAutospacing="1" w:line="240" w:lineRule="auto"/>
      <w:jc w:val="both"/>
    </w:pPr>
    <w:rPr>
      <w:rFonts w:ascii="Times New Roman" w:hAnsi="Times New Roman" w:eastAsia="Times New Roman"/>
      <w:sz w:val="24"/>
      <w:szCs w:val="24"/>
      <w:lang w:eastAsia="ru-RU"/>
    </w:rPr>
  </w:style>
  <w:style w:type="paragraph" w:customStyle="1" w:styleId="2320">
    <w:name w:val="pboth"/>
    <w:basedOn w:val="1"/>
    <w:uiPriority w:val="99"/>
    <w:pPr>
      <w:widowControl/>
      <w:spacing w:before="100" w:beforeAutospacing="1" w:after="100" w:afterAutospacing="1" w:line="240" w:lineRule="auto"/>
      <w:jc w:val="both"/>
    </w:pPr>
    <w:rPr>
      <w:rFonts w:ascii="Times New Roman" w:hAnsi="Times New Roman" w:eastAsia="Times New Roman"/>
      <w:sz w:val="24"/>
      <w:szCs w:val="24"/>
      <w:lang w:eastAsia="ru-RU"/>
    </w:rPr>
  </w:style>
  <w:style w:type="paragraph" w:customStyle="1" w:styleId="2321">
    <w:name w:val="msobodytextbullet1.gif"/>
    <w:basedOn w:val="1"/>
    <w:uiPriority w:val="99"/>
    <w:pPr>
      <w:widowControl/>
      <w:spacing w:before="100" w:beforeAutospacing="1" w:after="100" w:afterAutospacing="1" w:line="240" w:lineRule="auto"/>
      <w:jc w:val="both"/>
    </w:pPr>
    <w:rPr>
      <w:rFonts w:ascii="Times New Roman" w:hAnsi="Times New Roman" w:eastAsia="Times New Roman"/>
      <w:sz w:val="24"/>
      <w:szCs w:val="24"/>
      <w:lang w:eastAsia="ru-RU"/>
    </w:rPr>
  </w:style>
  <w:style w:type="paragraph" w:customStyle="1" w:styleId="2322">
    <w:name w:val="pbothbullet1.gif"/>
    <w:basedOn w:val="1"/>
    <w:uiPriority w:val="99"/>
    <w:pPr>
      <w:widowControl/>
      <w:spacing w:before="100" w:beforeAutospacing="1" w:after="100" w:afterAutospacing="1" w:line="240" w:lineRule="auto"/>
      <w:jc w:val="both"/>
    </w:pPr>
    <w:rPr>
      <w:rFonts w:ascii="Times New Roman" w:hAnsi="Times New Roman" w:eastAsia="Times New Roman"/>
      <w:sz w:val="24"/>
      <w:szCs w:val="24"/>
      <w:lang w:eastAsia="ru-RU"/>
    </w:rPr>
  </w:style>
  <w:style w:type="paragraph" w:customStyle="1" w:styleId="2323">
    <w:name w:val="pbothbullet2.gif"/>
    <w:basedOn w:val="1"/>
    <w:uiPriority w:val="99"/>
    <w:pPr>
      <w:widowControl/>
      <w:spacing w:before="100" w:beforeAutospacing="1" w:after="100" w:afterAutospacing="1" w:line="240" w:lineRule="auto"/>
      <w:jc w:val="both"/>
    </w:pPr>
    <w:rPr>
      <w:rFonts w:ascii="Times New Roman" w:hAnsi="Times New Roman" w:eastAsia="Times New Roman"/>
      <w:sz w:val="24"/>
      <w:szCs w:val="24"/>
      <w:lang w:eastAsia="ru-RU"/>
    </w:rPr>
  </w:style>
  <w:style w:type="paragraph" w:customStyle="1" w:styleId="2324">
    <w:name w:val="pbothbullet3.gif"/>
    <w:basedOn w:val="1"/>
    <w:uiPriority w:val="99"/>
    <w:pPr>
      <w:widowControl/>
      <w:spacing w:before="100" w:beforeAutospacing="1" w:after="100" w:afterAutospacing="1" w:line="240" w:lineRule="auto"/>
      <w:jc w:val="both"/>
    </w:pPr>
    <w:rPr>
      <w:rFonts w:ascii="Times New Roman" w:hAnsi="Times New Roman" w:eastAsia="Times New Roman"/>
      <w:sz w:val="24"/>
      <w:szCs w:val="24"/>
      <w:lang w:eastAsia="ru-RU"/>
    </w:rPr>
  </w:style>
  <w:style w:type="paragraph" w:customStyle="1" w:styleId="2325">
    <w:name w:val="msobodytextbullet2.gif"/>
    <w:basedOn w:val="1"/>
    <w:uiPriority w:val="99"/>
    <w:pPr>
      <w:widowControl/>
      <w:spacing w:before="100" w:beforeAutospacing="1" w:after="100" w:afterAutospacing="1" w:line="240" w:lineRule="auto"/>
      <w:jc w:val="both"/>
    </w:pPr>
    <w:rPr>
      <w:rFonts w:ascii="Times New Roman" w:hAnsi="Times New Roman" w:eastAsia="Times New Roman"/>
      <w:sz w:val="24"/>
      <w:szCs w:val="24"/>
      <w:lang w:eastAsia="ru-RU"/>
    </w:rPr>
  </w:style>
  <w:style w:type="paragraph" w:customStyle="1" w:styleId="2326">
    <w:name w:val="commentcontentpara"/>
    <w:basedOn w:val="1"/>
    <w:uiPriority w:val="99"/>
    <w:pPr>
      <w:widowControl/>
      <w:spacing w:before="100" w:beforeAutospacing="1" w:after="100" w:afterAutospacing="1" w:line="240" w:lineRule="auto"/>
      <w:jc w:val="both"/>
    </w:pPr>
    <w:rPr>
      <w:rFonts w:ascii="Times New Roman" w:hAnsi="Times New Roman" w:eastAsia="Times New Roman"/>
      <w:sz w:val="24"/>
      <w:szCs w:val="24"/>
      <w:lang w:eastAsia="ru-RU"/>
    </w:rPr>
  </w:style>
  <w:style w:type="character" w:customStyle="1" w:styleId="2327">
    <w:name w:val="field"/>
    <w:uiPriority w:val="0"/>
  </w:style>
  <w:style w:type="paragraph" w:customStyle="1" w:styleId="2328">
    <w:name w:val="Заголовок 21"/>
    <w:basedOn w:val="1"/>
    <w:qFormat/>
    <w:uiPriority w:val="1"/>
    <w:pPr>
      <w:autoSpaceDE w:val="0"/>
      <w:autoSpaceDN w:val="0"/>
      <w:spacing w:after="0" w:line="240" w:lineRule="auto"/>
      <w:ind w:left="810"/>
      <w:outlineLvl w:val="2"/>
    </w:pPr>
    <w:rPr>
      <w:rFonts w:ascii="Times New Roman" w:hAnsi="Times New Roman" w:eastAsia="Times New Roman"/>
      <w:b/>
      <w:bCs/>
      <w:sz w:val="28"/>
      <w:szCs w:val="28"/>
    </w:rPr>
  </w:style>
  <w:style w:type="table" w:customStyle="1" w:styleId="2329">
    <w:name w:val="Сетка таблицы27"/>
    <w:basedOn w:val="13"/>
    <w:uiPriority w:val="59"/>
    <w:rPr>
      <w:sz w:val="22"/>
      <w:szCs w:val="22"/>
      <w:lang w:eastAsia="en-US"/>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
  </w:style>
  <w:style w:type="table" w:customStyle="1" w:styleId="2330">
    <w:name w:val="Table Grid Light11"/>
    <w:basedOn w:val="13"/>
    <w:uiPriority w:val="59"/>
    <w:rPr>
      <w:sz w:val="22"/>
      <w:szCs w:val="22"/>
      <w:lang w:eastAsia="en-US"/>
    </w:rPr>
    <w:tblPr>
      <w:tblBorders>
        <w:top w:val="single" w:color="AFAFAF" w:sz="4" w:space="0"/>
        <w:left w:val="single" w:color="AFAFAF" w:sz="4" w:space="0"/>
        <w:bottom w:val="single" w:color="AFAFAF" w:sz="4" w:space="0"/>
        <w:right w:val="single" w:color="AFAFAF" w:sz="4" w:space="0"/>
        <w:insideH w:val="single" w:color="AFAFAF" w:sz="4" w:space="0"/>
        <w:insideV w:val="single" w:color="AFAFAF" w:sz="4" w:space="0"/>
      </w:tblBorders>
      <w:tblCellMar>
        <w:top w:w="0" w:type="dxa"/>
        <w:left w:w="108" w:type="dxa"/>
        <w:bottom w:w="0" w:type="dxa"/>
        <w:right w:w="108" w:type="dxa"/>
      </w:tblCellMar>
    </w:tblPr>
  </w:style>
  <w:style w:type="table" w:customStyle="1" w:styleId="2331">
    <w:name w:val="Таблица простая 119"/>
    <w:basedOn w:val="13"/>
    <w:uiPriority w:val="59"/>
    <w:rPr>
      <w:sz w:val="22"/>
      <w:szCs w:val="22"/>
      <w:lang w:eastAsia="en-US"/>
    </w:rPr>
    <w:tblPr>
      <w:tblBorders>
        <w:top w:val="single" w:color="AFAFAF" w:sz="4" w:space="0"/>
        <w:left w:val="single" w:color="AFAFAF" w:sz="4" w:space="0"/>
        <w:bottom w:val="single" w:color="AFAFAF" w:sz="4" w:space="0"/>
        <w:right w:val="single" w:color="AFAFAF" w:sz="4" w:space="0"/>
        <w:insideH w:val="single" w:color="AFAFAF" w:sz="4" w:space="0"/>
        <w:insideV w:val="single" w:color="AFAFAF" w:sz="4" w:space="0"/>
      </w:tblBorders>
      <w:tblCellMar>
        <w:top w:w="0" w:type="dxa"/>
        <w:left w:w="108" w:type="dxa"/>
        <w:bottom w:w="0" w:type="dxa"/>
        <w:right w:w="108" w:type="dxa"/>
      </w:tblCellMar>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cPr>
        <w:shd w:val="clear" w:color="F2F2F2" w:fill="F2F2F2"/>
      </w:tcPr>
    </w:tblStylePr>
    <w:tblStylePr w:type="band1Horz">
      <w:tcPr>
        <w:shd w:val="clear" w:color="F2F2F2" w:fill="F2F2F2"/>
      </w:tcPr>
    </w:tblStylePr>
  </w:style>
  <w:style w:type="table" w:customStyle="1" w:styleId="2332">
    <w:name w:val="Таблица простая 219"/>
    <w:basedOn w:val="13"/>
    <w:uiPriority w:val="59"/>
    <w:rPr>
      <w:sz w:val="22"/>
      <w:szCs w:val="22"/>
      <w:lang w:eastAsia="en-US"/>
    </w:rPr>
    <w:tblPr>
      <w:tblBorders>
        <w:top w:val="single" w:color="000000" w:sz="4" w:space="0"/>
        <w:left w:val="none" w:color="000000" w:sz="4" w:space="0"/>
        <w:bottom w:val="single" w:color="000000" w:sz="4" w:space="0"/>
        <w:right w:val="none" w:color="000000" w:sz="4" w:space="0"/>
      </w:tblBorders>
      <w:tblCellMar>
        <w:top w:w="0" w:type="dxa"/>
        <w:left w:w="108" w:type="dxa"/>
        <w:bottom w:w="0" w:type="dxa"/>
        <w:right w:w="108" w:type="dxa"/>
      </w:tblCellMar>
    </w:tblPr>
    <w:tblStylePr w:type="firstRow">
      <w:rPr>
        <w:rFonts w:ascii="Arial" w:hAnsi="Arial"/>
        <w:b/>
        <w:color w:val="404040"/>
        <w:sz w:val="22"/>
      </w:rPr>
      <w:tcPr>
        <w:tcBorders>
          <w:top w:val="single" w:color="000000" w:sz="4" w:space="0"/>
          <w:bottom w:val="single" w:color="000000" w:sz="4" w:space="0"/>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cPr>
        <w:tcBorders>
          <w:left w:val="single" w:color="000000" w:sz="4" w:space="0"/>
          <w:right w:val="single" w:color="000000" w:sz="4" w:space="0"/>
        </w:tcBorders>
      </w:tcPr>
    </w:tblStylePr>
    <w:tblStylePr w:type="band2Vert">
      <w:tcPr>
        <w:tcBorders>
          <w:left w:val="single" w:color="000000" w:sz="4" w:space="0"/>
          <w:right w:val="single" w:color="000000" w:sz="4" w:space="0"/>
        </w:tcBorders>
      </w:tcPr>
    </w:tblStylePr>
    <w:tblStylePr w:type="band1Horz">
      <w:tcPr>
        <w:tcBorders>
          <w:top w:val="single" w:color="000000" w:sz="4" w:space="0"/>
          <w:bottom w:val="single" w:color="000000" w:sz="4" w:space="0"/>
        </w:tcBorders>
      </w:tcPr>
    </w:tblStylePr>
  </w:style>
  <w:style w:type="table" w:customStyle="1" w:styleId="2333">
    <w:name w:val="Таблица простая 319"/>
    <w:basedOn w:val="13"/>
    <w:uiPriority w:val="99"/>
    <w:rPr>
      <w:sz w:val="22"/>
      <w:szCs w:val="22"/>
      <w:lang w:eastAsia="en-US"/>
    </w:rPr>
    <w:tblPr>
      <w:tblCellMar>
        <w:top w:w="0" w:type="dxa"/>
        <w:left w:w="108" w:type="dxa"/>
        <w:bottom w:w="0" w:type="dxa"/>
        <w:right w:w="108" w:type="dxa"/>
      </w:tblCellMar>
    </w:tblPr>
    <w:tblStylePr w:type="firstRow">
      <w:rPr>
        <w:b/>
        <w:caps/>
        <w:color w:val="404040"/>
      </w:rPr>
      <w:tcPr>
        <w:tcBorders>
          <w:top w:val="nil"/>
          <w:left w:val="nil"/>
          <w:bottom w:val="single" w:color="404040" w:sz="4" w:space="0"/>
          <w:right w:val="nil"/>
        </w:tcBorders>
      </w:tcPr>
    </w:tblStylePr>
    <w:tblStylePr w:type="lastRow">
      <w:rPr>
        <w:b/>
        <w:caps/>
        <w:color w:val="404040"/>
      </w:rPr>
    </w:tblStylePr>
    <w:tblStylePr w:type="firstCol">
      <w:rPr>
        <w:b/>
        <w:caps/>
        <w:color w:val="404040"/>
      </w:rPr>
      <w:tcPr>
        <w:tcBorders>
          <w:top w:val="nil"/>
          <w:left w:val="nil"/>
          <w:bottom w:val="nil"/>
          <w:right w:val="single" w:color="404040" w:sz="4" w:space="0"/>
        </w:tcBorders>
      </w:tcPr>
    </w:tblStylePr>
    <w:tblStylePr w:type="lastCol">
      <w:rPr>
        <w:b/>
        <w:caps/>
        <w:color w:val="404040"/>
      </w:rPr>
    </w:tblStylePr>
    <w:tblStylePr w:type="band1Vert">
      <w:rPr>
        <w:rFonts w:ascii="Arial" w:hAnsi="Arial"/>
        <w:color w:val="404040"/>
        <w:sz w:val="22"/>
      </w:rPr>
      <w:tcPr>
        <w:shd w:val="clear" w:color="F2F2F2" w:fill="F2F2F2"/>
      </w:tcPr>
    </w:tblStylePr>
    <w:tblStylePr w:type="band1Horz">
      <w:rPr>
        <w:rFonts w:ascii="Arial" w:hAnsi="Arial"/>
        <w:color w:val="404040"/>
        <w:sz w:val="22"/>
      </w:rPr>
      <w:tcPr>
        <w:shd w:val="clear" w:color="F2F2F2" w:fill="F2F2F2"/>
      </w:tcPr>
    </w:tblStylePr>
  </w:style>
  <w:style w:type="table" w:customStyle="1" w:styleId="2334">
    <w:name w:val="Таблица простая 419"/>
    <w:basedOn w:val="13"/>
    <w:uiPriority w:val="99"/>
    <w:rPr>
      <w:sz w:val="22"/>
      <w:szCs w:val="22"/>
      <w:lang w:eastAsia="en-US"/>
    </w:rPr>
    <w:tblPr>
      <w:tblCellMar>
        <w:top w:w="0" w:type="dxa"/>
        <w:left w:w="108" w:type="dxa"/>
        <w:bottom w:w="0" w:type="dxa"/>
        <w:right w:w="108" w:type="dxa"/>
      </w:tblCellMar>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F2F2F2" w:fill="F2F2F2"/>
      </w:tcPr>
    </w:tblStylePr>
    <w:tblStylePr w:type="band1Horz">
      <w:rPr>
        <w:rFonts w:ascii="Arial" w:hAnsi="Arial"/>
        <w:color w:val="404040"/>
        <w:sz w:val="22"/>
      </w:rPr>
      <w:tcPr>
        <w:shd w:val="clear" w:color="F2F2F2" w:fill="F2F2F2"/>
      </w:tcPr>
    </w:tblStylePr>
  </w:style>
  <w:style w:type="table" w:customStyle="1" w:styleId="2335">
    <w:name w:val="Таблица простая 519"/>
    <w:basedOn w:val="13"/>
    <w:uiPriority w:val="99"/>
    <w:rPr>
      <w:sz w:val="22"/>
      <w:szCs w:val="22"/>
      <w:lang w:eastAsia="en-US"/>
    </w:rPr>
    <w:tblPr>
      <w:tblCellMar>
        <w:top w:w="0" w:type="dxa"/>
        <w:left w:w="108" w:type="dxa"/>
        <w:bottom w:w="0" w:type="dxa"/>
        <w:right w:w="108" w:type="dxa"/>
      </w:tblCellMar>
    </w:tblPr>
    <w:tblStylePr w:type="firstRow">
      <w:rPr>
        <w:i/>
        <w:color w:val="404040"/>
      </w:rPr>
      <w:tcPr>
        <w:tcBorders>
          <w:left w:val="nil"/>
          <w:bottom w:val="single" w:color="404040" w:sz="4" w:space="0"/>
          <w:right w:val="nil"/>
        </w:tcBorders>
        <w:shd w:val="clear" w:color="FFFFFF" w:fill="auto"/>
      </w:tcPr>
    </w:tblStylePr>
    <w:tblStylePr w:type="lastRow">
      <w:rPr>
        <w:i/>
        <w:color w:val="404040"/>
      </w:rPr>
      <w:tcPr>
        <w:tcBorders>
          <w:top w:val="single" w:color="404040" w:sz="4" w:space="0"/>
          <w:left w:val="nil"/>
          <w:right w:val="nil"/>
        </w:tcBorders>
        <w:shd w:val="clear" w:color="FFFFFF" w:fill="auto"/>
      </w:tcPr>
    </w:tblStylePr>
    <w:tblStylePr w:type="firstCol">
      <w:pPr>
        <w:jc w:val="right"/>
      </w:pPr>
      <w:rPr>
        <w:i/>
        <w:color w:val="404040"/>
      </w:rPr>
      <w:tcPr>
        <w:tcBorders>
          <w:right w:val="single" w:color="404040" w:sz="4" w:space="0"/>
        </w:tcBorders>
        <w:shd w:val="clear" w:color="FFFFFF" w:fill="auto"/>
      </w:tcPr>
    </w:tblStylePr>
    <w:tblStylePr w:type="lastCol">
      <w:rPr>
        <w:i/>
        <w:color w:val="404040"/>
      </w:rPr>
      <w:tcPr>
        <w:tcBorders>
          <w:left w:val="single" w:color="404040" w:sz="4" w:space="0"/>
        </w:tcBorders>
        <w:shd w:val="clear" w:color="FFFFFF" w:fill="auto"/>
      </w:tcPr>
    </w:tblStylePr>
    <w:tblStylePr w:type="band1Vert">
      <w:rPr>
        <w:rFonts w:ascii="Arial" w:hAnsi="Arial"/>
        <w:color w:val="404040"/>
        <w:sz w:val="22"/>
      </w:rPr>
      <w:tcPr>
        <w:shd w:val="clear" w:color="F2F2F2" w:fill="F2F2F2"/>
      </w:tcPr>
    </w:tblStylePr>
    <w:tblStylePr w:type="band1Horz">
      <w:rPr>
        <w:rFonts w:ascii="Arial" w:hAnsi="Arial"/>
        <w:color w:val="404040"/>
        <w:sz w:val="22"/>
      </w:rPr>
      <w:tcPr>
        <w:shd w:val="clear" w:color="F2F2F2" w:fill="F2F2F2"/>
      </w:tcPr>
    </w:tblStylePr>
  </w:style>
  <w:style w:type="table" w:customStyle="1" w:styleId="2336">
    <w:name w:val="Таблица-сетка 1 светлая19"/>
    <w:basedOn w:val="13"/>
    <w:uiPriority w:val="99"/>
    <w:rPr>
      <w:sz w:val="22"/>
      <w:szCs w:val="22"/>
      <w:lang w:eastAsia="en-US"/>
    </w:rPr>
    <w:tblPr>
      <w:tblBorders>
        <w:top w:val="single" w:color="989898" w:sz="4" w:space="0"/>
        <w:left w:val="single" w:color="989898" w:sz="4" w:space="0"/>
        <w:bottom w:val="single" w:color="989898" w:sz="4" w:space="0"/>
        <w:right w:val="single" w:color="989898" w:sz="4" w:space="0"/>
        <w:insideH w:val="single" w:color="989898" w:sz="4" w:space="0"/>
        <w:insideV w:val="single" w:color="989898" w:sz="4" w:space="0"/>
      </w:tblBorders>
      <w:tblCellMar>
        <w:top w:w="0" w:type="dxa"/>
        <w:left w:w="108" w:type="dxa"/>
        <w:bottom w:w="0" w:type="dxa"/>
        <w:right w:w="108" w:type="dxa"/>
      </w:tblCellMar>
    </w:tblPr>
    <w:tblStylePr w:type="firstRow">
      <w:rPr>
        <w:b/>
        <w:color w:val="404040"/>
      </w:rPr>
      <w:tcPr>
        <w:tcBorders>
          <w:bottom w:val="single" w:color="6A6A6A" w:sz="12" w:space="0"/>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cPr>
        <w:tcBorders>
          <w:top w:val="single" w:color="989898" w:sz="4" w:space="0"/>
          <w:left w:val="single" w:color="989898" w:sz="4" w:space="0"/>
          <w:bottom w:val="single" w:color="989898" w:sz="4" w:space="0"/>
          <w:right w:val="single" w:color="989898" w:sz="4" w:space="0"/>
        </w:tcBorders>
      </w:tcPr>
    </w:tblStylePr>
  </w:style>
  <w:style w:type="table" w:customStyle="1" w:styleId="2337">
    <w:name w:val="Grid Table 1 Light - Accent 111"/>
    <w:basedOn w:val="13"/>
    <w:uiPriority w:val="99"/>
    <w:rPr>
      <w:sz w:val="22"/>
      <w:szCs w:val="22"/>
      <w:lang w:eastAsia="en-US"/>
    </w:rPr>
    <w:tblPr>
      <w:tblBorders>
        <w:top w:val="single" w:color="B7CBE4" w:sz="4" w:space="0"/>
        <w:left w:val="single" w:color="B7CBE4" w:sz="4" w:space="0"/>
        <w:bottom w:val="single" w:color="B7CBE4" w:sz="4" w:space="0"/>
        <w:right w:val="single" w:color="B7CBE4" w:sz="4" w:space="0"/>
        <w:insideH w:val="single" w:color="B7CBE4" w:sz="4" w:space="0"/>
        <w:insideV w:val="single" w:color="B7CBE4" w:sz="4" w:space="0"/>
      </w:tblBorders>
      <w:tblCellMar>
        <w:top w:w="0" w:type="dxa"/>
        <w:left w:w="108" w:type="dxa"/>
        <w:bottom w:w="0" w:type="dxa"/>
        <w:right w:w="108" w:type="dxa"/>
      </w:tblCellMar>
    </w:tblPr>
    <w:tblStylePr w:type="firstRow">
      <w:rPr>
        <w:b/>
        <w:color w:val="404040"/>
      </w:rPr>
      <w:tcPr>
        <w:tcBorders>
          <w:bottom w:val="single" w:color="97B4D8" w:sz="12" w:space="0"/>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cPr>
        <w:tcBorders>
          <w:top w:val="single" w:color="B7CBE4" w:sz="4" w:space="0"/>
          <w:left w:val="single" w:color="B7CBE4" w:sz="4" w:space="0"/>
          <w:bottom w:val="single" w:color="B7CBE4" w:sz="4" w:space="0"/>
          <w:right w:val="single" w:color="B7CBE4" w:sz="4" w:space="0"/>
        </w:tcBorders>
      </w:tcPr>
    </w:tblStylePr>
  </w:style>
  <w:style w:type="table" w:customStyle="1" w:styleId="2338">
    <w:name w:val="Grid Table 1 Light - Accent 211"/>
    <w:basedOn w:val="13"/>
    <w:uiPriority w:val="99"/>
    <w:rPr>
      <w:sz w:val="22"/>
      <w:szCs w:val="22"/>
      <w:lang w:eastAsia="en-US"/>
    </w:rPr>
    <w:tblPr>
      <w:tblBorders>
        <w:top w:val="single" w:color="E5B7B6" w:sz="4" w:space="0"/>
        <w:left w:val="single" w:color="E5B7B6" w:sz="4" w:space="0"/>
        <w:bottom w:val="single" w:color="E5B7B6" w:sz="4" w:space="0"/>
        <w:right w:val="single" w:color="E5B7B6" w:sz="4" w:space="0"/>
        <w:insideH w:val="single" w:color="E5B7B6" w:sz="4" w:space="0"/>
        <w:insideV w:val="single" w:color="E5B7B6" w:sz="4" w:space="0"/>
      </w:tblBorders>
      <w:tblCellMar>
        <w:top w:w="0" w:type="dxa"/>
        <w:left w:w="108" w:type="dxa"/>
        <w:bottom w:w="0" w:type="dxa"/>
        <w:right w:w="108" w:type="dxa"/>
      </w:tblCellMar>
    </w:tblPr>
    <w:tblStylePr w:type="firstRow">
      <w:rPr>
        <w:b/>
        <w:color w:val="404040"/>
      </w:rPr>
      <w:tcPr>
        <w:tcBorders>
          <w:bottom w:val="single" w:color="DA9896" w:sz="12" w:space="0"/>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cPr>
        <w:tcBorders>
          <w:top w:val="single" w:color="E5B7B6" w:sz="4" w:space="0"/>
          <w:left w:val="single" w:color="E5B7B6" w:sz="4" w:space="0"/>
          <w:bottom w:val="single" w:color="E5B7B6" w:sz="4" w:space="0"/>
          <w:right w:val="single" w:color="E5B7B6" w:sz="4" w:space="0"/>
        </w:tcBorders>
      </w:tcPr>
    </w:tblStylePr>
  </w:style>
  <w:style w:type="table" w:customStyle="1" w:styleId="2339">
    <w:name w:val="Grid Table 1 Light - Accent 311"/>
    <w:basedOn w:val="13"/>
    <w:uiPriority w:val="99"/>
    <w:rPr>
      <w:sz w:val="22"/>
      <w:szCs w:val="22"/>
      <w:lang w:eastAsia="en-US"/>
    </w:rPr>
    <w:tblPr>
      <w:tblBorders>
        <w:top w:val="single" w:color="D6E3BB" w:sz="4" w:space="0"/>
        <w:left w:val="single" w:color="D6E3BB" w:sz="4" w:space="0"/>
        <w:bottom w:val="single" w:color="D6E3BB" w:sz="4" w:space="0"/>
        <w:right w:val="single" w:color="D6E3BB" w:sz="4" w:space="0"/>
        <w:insideH w:val="single" w:color="D6E3BB" w:sz="4" w:space="0"/>
        <w:insideV w:val="single" w:color="D6E3BB" w:sz="4" w:space="0"/>
      </w:tblBorders>
      <w:tblCellMar>
        <w:top w:w="0" w:type="dxa"/>
        <w:left w:w="108" w:type="dxa"/>
        <w:bottom w:w="0" w:type="dxa"/>
        <w:right w:w="108" w:type="dxa"/>
      </w:tblCellMar>
    </w:tblPr>
    <w:tblStylePr w:type="firstRow">
      <w:rPr>
        <w:b/>
        <w:color w:val="404040"/>
      </w:rPr>
      <w:tcPr>
        <w:tcBorders>
          <w:bottom w:val="single" w:color="C4D79D" w:sz="12" w:space="0"/>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cPr>
        <w:tcBorders>
          <w:top w:val="single" w:color="D6E3BB" w:sz="4" w:space="0"/>
          <w:left w:val="single" w:color="D6E3BB" w:sz="4" w:space="0"/>
          <w:bottom w:val="single" w:color="D6E3BB" w:sz="4" w:space="0"/>
          <w:right w:val="single" w:color="D6E3BB" w:sz="4" w:space="0"/>
        </w:tcBorders>
      </w:tcPr>
    </w:tblStylePr>
  </w:style>
  <w:style w:type="table" w:customStyle="1" w:styleId="2340">
    <w:name w:val="Grid Table 1 Light - Accent 411"/>
    <w:basedOn w:val="13"/>
    <w:uiPriority w:val="99"/>
    <w:rPr>
      <w:sz w:val="22"/>
      <w:szCs w:val="22"/>
      <w:lang w:eastAsia="en-US"/>
    </w:rPr>
    <w:tblPr>
      <w:tblBorders>
        <w:top w:val="single" w:color="CBC0D9" w:sz="4" w:space="0"/>
        <w:left w:val="single" w:color="CBC0D9" w:sz="4" w:space="0"/>
        <w:bottom w:val="single" w:color="CBC0D9" w:sz="4" w:space="0"/>
        <w:right w:val="single" w:color="CBC0D9" w:sz="4" w:space="0"/>
        <w:insideH w:val="single" w:color="CBC0D9" w:sz="4" w:space="0"/>
        <w:insideV w:val="single" w:color="CBC0D9" w:sz="4" w:space="0"/>
      </w:tblBorders>
      <w:tblCellMar>
        <w:top w:w="0" w:type="dxa"/>
        <w:left w:w="108" w:type="dxa"/>
        <w:bottom w:w="0" w:type="dxa"/>
        <w:right w:w="108" w:type="dxa"/>
      </w:tblCellMar>
    </w:tblPr>
    <w:tblStylePr w:type="firstRow">
      <w:rPr>
        <w:b/>
        <w:color w:val="404040"/>
      </w:rPr>
      <w:tcPr>
        <w:tcBorders>
          <w:bottom w:val="single" w:color="B4A4C8" w:sz="12" w:space="0"/>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cPr>
        <w:tcBorders>
          <w:top w:val="single" w:color="CBC0D9" w:sz="4" w:space="0"/>
          <w:left w:val="single" w:color="CBC0D9" w:sz="4" w:space="0"/>
          <w:bottom w:val="single" w:color="CBC0D9" w:sz="4" w:space="0"/>
          <w:right w:val="single" w:color="CBC0D9" w:sz="4" w:space="0"/>
        </w:tcBorders>
      </w:tcPr>
    </w:tblStylePr>
  </w:style>
  <w:style w:type="table" w:customStyle="1" w:styleId="2341">
    <w:name w:val="Grid Table 1 Light - Accent 511"/>
    <w:basedOn w:val="13"/>
    <w:uiPriority w:val="99"/>
    <w:rPr>
      <w:sz w:val="22"/>
      <w:szCs w:val="22"/>
      <w:lang w:eastAsia="en-US"/>
    </w:rPr>
    <w:tblPr>
      <w:tblBorders>
        <w:top w:val="single" w:color="B6DDE8" w:sz="4" w:space="0"/>
        <w:left w:val="single" w:color="B6DDE8" w:sz="4" w:space="0"/>
        <w:bottom w:val="single" w:color="B6DDE8" w:sz="4" w:space="0"/>
        <w:right w:val="single" w:color="B6DDE8" w:sz="4" w:space="0"/>
        <w:insideH w:val="single" w:color="B6DDE8" w:sz="4" w:space="0"/>
        <w:insideV w:val="single" w:color="B6DDE8" w:sz="4" w:space="0"/>
      </w:tblBorders>
      <w:tblCellMar>
        <w:top w:w="0" w:type="dxa"/>
        <w:left w:w="108" w:type="dxa"/>
        <w:bottom w:w="0" w:type="dxa"/>
        <w:right w:w="108" w:type="dxa"/>
      </w:tblCellMar>
    </w:tblPr>
    <w:tblStylePr w:type="firstRow">
      <w:rPr>
        <w:b/>
        <w:color w:val="404040"/>
      </w:rPr>
      <w:tcPr>
        <w:tcBorders>
          <w:bottom w:val="single" w:color="95CEDD" w:sz="12" w:space="0"/>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cPr>
        <w:tcBorders>
          <w:top w:val="single" w:color="B6DDE8" w:sz="4" w:space="0"/>
          <w:left w:val="single" w:color="B6DDE8" w:sz="4" w:space="0"/>
          <w:bottom w:val="single" w:color="B6DDE8" w:sz="4" w:space="0"/>
          <w:right w:val="single" w:color="B6DDE8" w:sz="4" w:space="0"/>
        </w:tcBorders>
      </w:tcPr>
    </w:tblStylePr>
  </w:style>
  <w:style w:type="table" w:customStyle="1" w:styleId="2342">
    <w:name w:val="Grid Table 1 Light - Accent 611"/>
    <w:basedOn w:val="13"/>
    <w:uiPriority w:val="99"/>
    <w:rPr>
      <w:sz w:val="22"/>
      <w:szCs w:val="22"/>
      <w:lang w:eastAsia="en-US"/>
    </w:rPr>
    <w:tblPr>
      <w:tblBorders>
        <w:top w:val="single" w:color="FBD4B4" w:sz="4" w:space="0"/>
        <w:left w:val="single" w:color="FBD4B4" w:sz="4" w:space="0"/>
        <w:bottom w:val="single" w:color="FBD4B4" w:sz="4" w:space="0"/>
        <w:right w:val="single" w:color="FBD4B4" w:sz="4" w:space="0"/>
        <w:insideH w:val="single" w:color="FBD4B4" w:sz="4" w:space="0"/>
        <w:insideV w:val="single" w:color="FBD4B4" w:sz="4" w:space="0"/>
      </w:tblBorders>
      <w:tblCellMar>
        <w:top w:w="0" w:type="dxa"/>
        <w:left w:w="108" w:type="dxa"/>
        <w:bottom w:w="0" w:type="dxa"/>
        <w:right w:w="108" w:type="dxa"/>
      </w:tblCellMar>
    </w:tblPr>
    <w:tblStylePr w:type="firstRow">
      <w:rPr>
        <w:b/>
        <w:color w:val="404040"/>
      </w:rPr>
      <w:tcPr>
        <w:tcBorders>
          <w:bottom w:val="single" w:color="FAC192" w:sz="12" w:space="0"/>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cPr>
        <w:tcBorders>
          <w:top w:val="single" w:color="FBD4B4" w:sz="4" w:space="0"/>
          <w:left w:val="single" w:color="FBD4B4" w:sz="4" w:space="0"/>
          <w:bottom w:val="single" w:color="FBD4B4" w:sz="4" w:space="0"/>
          <w:right w:val="single" w:color="FBD4B4" w:sz="4" w:space="0"/>
        </w:tcBorders>
      </w:tcPr>
    </w:tblStylePr>
  </w:style>
  <w:style w:type="table" w:customStyle="1" w:styleId="2343">
    <w:name w:val="Таблица-сетка 219"/>
    <w:basedOn w:val="13"/>
    <w:uiPriority w:val="99"/>
    <w:rPr>
      <w:sz w:val="22"/>
      <w:szCs w:val="22"/>
      <w:lang w:eastAsia="en-US"/>
    </w:rPr>
    <w:tblPr>
      <w:tblBorders>
        <w:bottom w:val="single" w:color="6A6A6A" w:sz="4" w:space="0"/>
        <w:insideH w:val="single" w:color="6A6A6A" w:sz="4" w:space="0"/>
        <w:insideV w:val="single" w:color="6A6A6A" w:sz="4" w:space="0"/>
      </w:tblBorders>
      <w:tblCellMar>
        <w:top w:w="0" w:type="dxa"/>
        <w:left w:w="108" w:type="dxa"/>
        <w:bottom w:w="0" w:type="dxa"/>
        <w:right w:w="108" w:type="dxa"/>
      </w:tblCellMar>
    </w:tblPr>
    <w:tblStylePr w:type="firstRow">
      <w:rPr>
        <w:b/>
        <w:color w:val="404040"/>
      </w:rPr>
      <w:tcPr>
        <w:tcBorders>
          <w:top w:val="nil"/>
          <w:left w:val="nil"/>
          <w:bottom w:val="single" w:color="6A6A6A" w:sz="12" w:space="0"/>
          <w:right w:val="nil"/>
        </w:tcBorders>
        <w:shd w:val="clear" w:color="FFFFFF" w:fill="auto"/>
      </w:tcPr>
    </w:tblStylePr>
    <w:tblStylePr w:type="lastRow">
      <w:rPr>
        <w:b/>
        <w:color w:val="404040"/>
      </w:rPr>
      <w:tcPr>
        <w:tcBorders>
          <w:top w:val="single" w:color="6A6A6A"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CBCBCB" w:fill="CBCBCB"/>
      </w:tcPr>
    </w:tblStylePr>
    <w:tblStylePr w:type="band1Horz">
      <w:rPr>
        <w:rFonts w:ascii="Arial" w:hAnsi="Arial"/>
        <w:color w:val="404040"/>
        <w:sz w:val="22"/>
      </w:rPr>
      <w:tcPr>
        <w:shd w:val="clear" w:color="CBCBCB" w:fill="CBCBCB"/>
      </w:tcPr>
    </w:tblStylePr>
  </w:style>
  <w:style w:type="table" w:customStyle="1" w:styleId="2344">
    <w:name w:val="Grid Table 2 - Accent 111"/>
    <w:basedOn w:val="13"/>
    <w:uiPriority w:val="99"/>
    <w:rPr>
      <w:sz w:val="22"/>
      <w:szCs w:val="22"/>
      <w:lang w:eastAsia="en-US"/>
    </w:rPr>
    <w:tblPr>
      <w:tblBorders>
        <w:bottom w:val="single" w:color="5D8AC2" w:sz="4" w:space="0"/>
        <w:insideH w:val="single" w:color="5D8AC2" w:sz="4" w:space="0"/>
        <w:insideV w:val="single" w:color="5D8AC2" w:sz="4" w:space="0"/>
      </w:tblBorders>
      <w:tblCellMar>
        <w:top w:w="0" w:type="dxa"/>
        <w:left w:w="108" w:type="dxa"/>
        <w:bottom w:w="0" w:type="dxa"/>
        <w:right w:w="108" w:type="dxa"/>
      </w:tblCellMar>
    </w:tblPr>
    <w:tblStylePr w:type="firstRow">
      <w:rPr>
        <w:b/>
        <w:color w:val="404040"/>
      </w:rPr>
      <w:tcPr>
        <w:tcBorders>
          <w:top w:val="nil"/>
          <w:left w:val="nil"/>
          <w:bottom w:val="single" w:color="5D8AC2" w:sz="12" w:space="0"/>
          <w:right w:val="nil"/>
        </w:tcBorders>
        <w:shd w:val="clear" w:color="FFFFFF" w:fill="auto"/>
      </w:tcPr>
    </w:tblStylePr>
    <w:tblStylePr w:type="lastRow">
      <w:rPr>
        <w:b/>
        <w:color w:val="404040"/>
      </w:rPr>
      <w:tcPr>
        <w:tcBorders>
          <w:top w:val="single" w:color="5D8AC2"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DAE5F1" w:fill="DAE5F1"/>
      </w:tcPr>
    </w:tblStylePr>
    <w:tblStylePr w:type="band1Horz">
      <w:rPr>
        <w:rFonts w:ascii="Arial" w:hAnsi="Arial"/>
        <w:color w:val="404040"/>
        <w:sz w:val="22"/>
      </w:rPr>
      <w:tcPr>
        <w:shd w:val="clear" w:color="DAE5F1" w:fill="DAE5F1"/>
      </w:tcPr>
    </w:tblStylePr>
  </w:style>
  <w:style w:type="table" w:customStyle="1" w:styleId="2345">
    <w:name w:val="Grid Table 2 - Accent 211"/>
    <w:basedOn w:val="13"/>
    <w:uiPriority w:val="99"/>
    <w:rPr>
      <w:sz w:val="22"/>
      <w:szCs w:val="22"/>
      <w:lang w:eastAsia="en-US"/>
    </w:rPr>
    <w:tblPr>
      <w:tblBorders>
        <w:bottom w:val="single" w:color="D99695" w:sz="4" w:space="0"/>
        <w:insideH w:val="single" w:color="D99695" w:sz="4" w:space="0"/>
        <w:insideV w:val="single" w:color="D99695" w:sz="4" w:space="0"/>
      </w:tblBorders>
      <w:tblCellMar>
        <w:top w:w="0" w:type="dxa"/>
        <w:left w:w="108" w:type="dxa"/>
        <w:bottom w:w="0" w:type="dxa"/>
        <w:right w:w="108" w:type="dxa"/>
      </w:tblCellMar>
    </w:tblPr>
    <w:tblStylePr w:type="firstRow">
      <w:rPr>
        <w:b/>
        <w:color w:val="404040"/>
      </w:rPr>
      <w:tcPr>
        <w:tcBorders>
          <w:top w:val="nil"/>
          <w:left w:val="nil"/>
          <w:bottom w:val="single" w:color="D99695" w:sz="12" w:space="0"/>
          <w:right w:val="nil"/>
        </w:tcBorders>
        <w:shd w:val="clear" w:color="FFFFFF" w:fill="auto"/>
      </w:tcPr>
    </w:tblStylePr>
    <w:tblStylePr w:type="lastRow">
      <w:rPr>
        <w:b/>
        <w:color w:val="404040"/>
      </w:rPr>
      <w:tcPr>
        <w:tcBorders>
          <w:top w:val="single" w:color="D99695"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F2DCDC" w:fill="F2DCDC"/>
      </w:tcPr>
    </w:tblStylePr>
    <w:tblStylePr w:type="band1Horz">
      <w:rPr>
        <w:rFonts w:ascii="Arial" w:hAnsi="Arial"/>
        <w:color w:val="404040"/>
        <w:sz w:val="22"/>
      </w:rPr>
      <w:tcPr>
        <w:shd w:val="clear" w:color="F2DCDC" w:fill="F2DCDC"/>
      </w:tcPr>
    </w:tblStylePr>
  </w:style>
  <w:style w:type="table" w:customStyle="1" w:styleId="2346">
    <w:name w:val="Grid Table 2 - Accent 311"/>
    <w:basedOn w:val="13"/>
    <w:uiPriority w:val="99"/>
    <w:rPr>
      <w:sz w:val="22"/>
      <w:szCs w:val="22"/>
      <w:lang w:eastAsia="en-US"/>
    </w:rPr>
    <w:tblPr>
      <w:tblBorders>
        <w:bottom w:val="single" w:color="9ABB59" w:sz="4" w:space="0"/>
        <w:insideH w:val="single" w:color="9ABB59" w:sz="4" w:space="0"/>
        <w:insideV w:val="single" w:color="9ABB59" w:sz="4" w:space="0"/>
      </w:tblBorders>
      <w:tblCellMar>
        <w:top w:w="0" w:type="dxa"/>
        <w:left w:w="108" w:type="dxa"/>
        <w:bottom w:w="0" w:type="dxa"/>
        <w:right w:w="108" w:type="dxa"/>
      </w:tblCellMar>
    </w:tblPr>
    <w:tblStylePr w:type="firstRow">
      <w:rPr>
        <w:b/>
        <w:color w:val="404040"/>
      </w:rPr>
      <w:tcPr>
        <w:tcBorders>
          <w:top w:val="nil"/>
          <w:left w:val="nil"/>
          <w:bottom w:val="single" w:color="9ABB59" w:sz="12" w:space="0"/>
          <w:right w:val="nil"/>
        </w:tcBorders>
        <w:shd w:val="clear" w:color="FFFFFF" w:fill="auto"/>
      </w:tcPr>
    </w:tblStylePr>
    <w:tblStylePr w:type="lastRow">
      <w:rPr>
        <w:b/>
        <w:color w:val="404040"/>
      </w:rPr>
      <w:tcPr>
        <w:tcBorders>
          <w:top w:val="single" w:color="9ABB59"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EAF1DC" w:fill="EAF1DC"/>
      </w:tcPr>
    </w:tblStylePr>
    <w:tblStylePr w:type="band1Horz">
      <w:rPr>
        <w:rFonts w:ascii="Arial" w:hAnsi="Arial"/>
        <w:color w:val="404040"/>
        <w:sz w:val="22"/>
      </w:rPr>
      <w:tcPr>
        <w:shd w:val="clear" w:color="EAF1DC" w:fill="EAF1DC"/>
      </w:tcPr>
    </w:tblStylePr>
  </w:style>
  <w:style w:type="table" w:customStyle="1" w:styleId="2347">
    <w:name w:val="Grid Table 2 - Accent 411"/>
    <w:basedOn w:val="13"/>
    <w:uiPriority w:val="99"/>
    <w:rPr>
      <w:sz w:val="22"/>
      <w:szCs w:val="22"/>
      <w:lang w:eastAsia="en-US"/>
    </w:rPr>
    <w:tblPr>
      <w:tblBorders>
        <w:bottom w:val="single" w:color="B2A1C6" w:sz="4" w:space="0"/>
        <w:insideH w:val="single" w:color="B2A1C6" w:sz="4" w:space="0"/>
        <w:insideV w:val="single" w:color="B2A1C6" w:sz="4" w:space="0"/>
      </w:tblBorders>
      <w:tblCellMar>
        <w:top w:w="0" w:type="dxa"/>
        <w:left w:w="108" w:type="dxa"/>
        <w:bottom w:w="0" w:type="dxa"/>
        <w:right w:w="108" w:type="dxa"/>
      </w:tblCellMar>
    </w:tblPr>
    <w:tblStylePr w:type="firstRow">
      <w:rPr>
        <w:b/>
        <w:color w:val="404040"/>
      </w:rPr>
      <w:tcPr>
        <w:tcBorders>
          <w:top w:val="nil"/>
          <w:left w:val="nil"/>
          <w:bottom w:val="single" w:color="B2A1C6" w:sz="12" w:space="0"/>
          <w:right w:val="nil"/>
        </w:tcBorders>
        <w:shd w:val="clear" w:color="FFFFFF" w:fill="auto"/>
      </w:tcPr>
    </w:tblStylePr>
    <w:tblStylePr w:type="lastRow">
      <w:rPr>
        <w:b/>
        <w:color w:val="404040"/>
      </w:rPr>
      <w:tcPr>
        <w:tcBorders>
          <w:top w:val="single" w:color="B2A1C6"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E5DFEC" w:fill="E5DFEC"/>
      </w:tcPr>
    </w:tblStylePr>
    <w:tblStylePr w:type="band1Horz">
      <w:rPr>
        <w:rFonts w:ascii="Arial" w:hAnsi="Arial"/>
        <w:color w:val="404040"/>
        <w:sz w:val="22"/>
      </w:rPr>
      <w:tcPr>
        <w:shd w:val="clear" w:color="E5DFEC" w:fill="E5DFEC"/>
      </w:tcPr>
    </w:tblStylePr>
  </w:style>
  <w:style w:type="table" w:customStyle="1" w:styleId="2348">
    <w:name w:val="Grid Table 2 - Accent 511"/>
    <w:basedOn w:val="13"/>
    <w:uiPriority w:val="99"/>
    <w:rPr>
      <w:sz w:val="22"/>
      <w:szCs w:val="22"/>
      <w:lang w:eastAsia="en-US"/>
    </w:rPr>
    <w:tblPr>
      <w:tblBorders>
        <w:bottom w:val="single" w:color="4BACC6" w:sz="4" w:space="0"/>
        <w:insideH w:val="single" w:color="4BACC6" w:sz="4" w:space="0"/>
        <w:insideV w:val="single" w:color="4BACC6" w:sz="4" w:space="0"/>
      </w:tblBorders>
      <w:tblCellMar>
        <w:top w:w="0" w:type="dxa"/>
        <w:left w:w="108" w:type="dxa"/>
        <w:bottom w:w="0" w:type="dxa"/>
        <w:right w:w="108" w:type="dxa"/>
      </w:tblCellMar>
    </w:tblPr>
    <w:tblStylePr w:type="firstRow">
      <w:rPr>
        <w:b/>
        <w:color w:val="404040"/>
      </w:rPr>
      <w:tcPr>
        <w:tcBorders>
          <w:top w:val="nil"/>
          <w:left w:val="nil"/>
          <w:bottom w:val="single" w:color="4BACC6" w:sz="12" w:space="0"/>
          <w:right w:val="nil"/>
        </w:tcBorders>
        <w:shd w:val="clear" w:color="FFFFFF" w:fill="auto"/>
      </w:tcPr>
    </w:tblStylePr>
    <w:tblStylePr w:type="lastRow">
      <w:rPr>
        <w:b/>
        <w:color w:val="404040"/>
      </w:rPr>
      <w:tcPr>
        <w:tcBorders>
          <w:top w:val="single" w:color="4BACC6"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DAEEF3" w:fill="DAEEF3"/>
      </w:tcPr>
    </w:tblStylePr>
    <w:tblStylePr w:type="band1Horz">
      <w:rPr>
        <w:rFonts w:ascii="Arial" w:hAnsi="Arial"/>
        <w:color w:val="404040"/>
        <w:sz w:val="22"/>
      </w:rPr>
      <w:tcPr>
        <w:shd w:val="clear" w:color="DAEEF3" w:fill="DAEEF3"/>
      </w:tcPr>
    </w:tblStylePr>
  </w:style>
  <w:style w:type="table" w:customStyle="1" w:styleId="2349">
    <w:name w:val="Grid Table 2 - Accent 611"/>
    <w:basedOn w:val="13"/>
    <w:uiPriority w:val="99"/>
    <w:rPr>
      <w:sz w:val="22"/>
      <w:szCs w:val="22"/>
      <w:lang w:eastAsia="en-US"/>
    </w:rPr>
    <w:tblPr>
      <w:tblBorders>
        <w:bottom w:val="single" w:color="F79646" w:sz="4" w:space="0"/>
        <w:insideH w:val="single" w:color="F79646" w:sz="4" w:space="0"/>
        <w:insideV w:val="single" w:color="F79646" w:sz="4" w:space="0"/>
      </w:tblBorders>
      <w:tblCellMar>
        <w:top w:w="0" w:type="dxa"/>
        <w:left w:w="108" w:type="dxa"/>
        <w:bottom w:w="0" w:type="dxa"/>
        <w:right w:w="108" w:type="dxa"/>
      </w:tblCellMar>
    </w:tblPr>
    <w:tblStylePr w:type="firstRow">
      <w:rPr>
        <w:b/>
        <w:color w:val="404040"/>
      </w:rPr>
      <w:tcPr>
        <w:tcBorders>
          <w:top w:val="nil"/>
          <w:left w:val="nil"/>
          <w:bottom w:val="single" w:color="F79646" w:sz="12" w:space="0"/>
          <w:right w:val="nil"/>
        </w:tcBorders>
        <w:shd w:val="clear" w:color="FFFFFF" w:fill="auto"/>
      </w:tcPr>
    </w:tblStylePr>
    <w:tblStylePr w:type="lastRow">
      <w:rPr>
        <w:b/>
        <w:color w:val="404040"/>
      </w:rPr>
      <w:tcPr>
        <w:tcBorders>
          <w:top w:val="single" w:color="F79646"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FDE9D8" w:fill="FDE9D8"/>
      </w:tcPr>
    </w:tblStylePr>
    <w:tblStylePr w:type="band1Horz">
      <w:rPr>
        <w:rFonts w:ascii="Arial" w:hAnsi="Arial"/>
        <w:color w:val="404040"/>
        <w:sz w:val="22"/>
      </w:rPr>
      <w:tcPr>
        <w:shd w:val="clear" w:color="FDE9D8" w:fill="FDE9D8"/>
      </w:tcPr>
    </w:tblStylePr>
  </w:style>
  <w:style w:type="table" w:customStyle="1" w:styleId="2350">
    <w:name w:val="Таблица-сетка 319"/>
    <w:basedOn w:val="13"/>
    <w:uiPriority w:val="99"/>
    <w:rPr>
      <w:sz w:val="22"/>
      <w:szCs w:val="22"/>
      <w:lang w:eastAsia="en-US"/>
    </w:rPr>
    <w:tblPr>
      <w:tblBorders>
        <w:bottom w:val="single" w:color="6A6A6A" w:sz="4" w:space="0"/>
        <w:insideH w:val="single" w:color="6A6A6A" w:sz="4" w:space="0"/>
        <w:insideV w:val="single" w:color="6A6A6A" w:sz="4" w:space="0"/>
      </w:tblBorders>
      <w:tblCellMar>
        <w:top w:w="0" w:type="dxa"/>
        <w:left w:w="108" w:type="dxa"/>
        <w:bottom w:w="0" w:type="dxa"/>
        <w:right w:w="108" w:type="dxa"/>
      </w:tblCellMar>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rFonts w:ascii="Arial" w:hAnsi="Arial"/>
        <w:color w:val="404040"/>
        <w:sz w:val="22"/>
      </w:rPr>
      <w:tcPr>
        <w:shd w:val="clear" w:color="CBCBCB" w:fill="CBCBCB"/>
      </w:tcPr>
    </w:tblStylePr>
    <w:tblStylePr w:type="band1Horz">
      <w:rPr>
        <w:rFonts w:ascii="Arial" w:hAnsi="Arial"/>
        <w:color w:val="404040"/>
        <w:sz w:val="22"/>
      </w:rPr>
      <w:tcPr>
        <w:shd w:val="clear" w:color="CBCBCB" w:fill="CBCBCB"/>
      </w:tcPr>
    </w:tblStylePr>
  </w:style>
  <w:style w:type="table" w:customStyle="1" w:styleId="2351">
    <w:name w:val="Grid Table 3 - Accent 111"/>
    <w:basedOn w:val="13"/>
    <w:uiPriority w:val="99"/>
    <w:rPr>
      <w:sz w:val="22"/>
      <w:szCs w:val="22"/>
      <w:lang w:eastAsia="en-US"/>
    </w:rPr>
    <w:tblPr>
      <w:tblBorders>
        <w:bottom w:val="single" w:color="5D8AC2" w:sz="4" w:space="0"/>
        <w:insideH w:val="single" w:color="5D8AC2" w:sz="4" w:space="0"/>
        <w:insideV w:val="single" w:color="5D8AC2" w:sz="4" w:space="0"/>
      </w:tblBorders>
      <w:tblCellMar>
        <w:top w:w="0" w:type="dxa"/>
        <w:left w:w="108" w:type="dxa"/>
        <w:bottom w:w="0" w:type="dxa"/>
        <w:right w:w="108" w:type="dxa"/>
      </w:tblCellMar>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rFonts w:ascii="Arial" w:hAnsi="Arial"/>
        <w:color w:val="404040"/>
        <w:sz w:val="22"/>
      </w:rPr>
      <w:tcPr>
        <w:shd w:val="clear" w:color="DAE5F1" w:fill="DAE5F1"/>
      </w:tcPr>
    </w:tblStylePr>
    <w:tblStylePr w:type="band1Horz">
      <w:rPr>
        <w:rFonts w:ascii="Arial" w:hAnsi="Arial"/>
        <w:color w:val="404040"/>
        <w:sz w:val="22"/>
      </w:rPr>
      <w:tcPr>
        <w:shd w:val="clear" w:color="DAE5F1" w:fill="DAE5F1"/>
      </w:tcPr>
    </w:tblStylePr>
  </w:style>
  <w:style w:type="table" w:customStyle="1" w:styleId="2352">
    <w:name w:val="Grid Table 3 - Accent 211"/>
    <w:basedOn w:val="13"/>
    <w:uiPriority w:val="99"/>
    <w:rPr>
      <w:sz w:val="22"/>
      <w:szCs w:val="22"/>
      <w:lang w:eastAsia="en-US"/>
    </w:rPr>
    <w:tblPr>
      <w:tblBorders>
        <w:bottom w:val="single" w:color="D99695" w:sz="4" w:space="0"/>
        <w:insideH w:val="single" w:color="D99695" w:sz="4" w:space="0"/>
        <w:insideV w:val="single" w:color="D99695" w:sz="4" w:space="0"/>
      </w:tblBorders>
      <w:tblCellMar>
        <w:top w:w="0" w:type="dxa"/>
        <w:left w:w="108" w:type="dxa"/>
        <w:bottom w:w="0" w:type="dxa"/>
        <w:right w:w="108" w:type="dxa"/>
      </w:tblCellMar>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rFonts w:ascii="Arial" w:hAnsi="Arial"/>
        <w:color w:val="404040"/>
        <w:sz w:val="22"/>
      </w:rPr>
      <w:tcPr>
        <w:shd w:val="clear" w:color="F2DCDC" w:fill="F2DCDC"/>
      </w:tcPr>
    </w:tblStylePr>
    <w:tblStylePr w:type="band1Horz">
      <w:rPr>
        <w:rFonts w:ascii="Arial" w:hAnsi="Arial"/>
        <w:color w:val="404040"/>
        <w:sz w:val="22"/>
      </w:rPr>
      <w:tcPr>
        <w:shd w:val="clear" w:color="F2DCDC" w:fill="F2DCDC"/>
      </w:tcPr>
    </w:tblStylePr>
  </w:style>
  <w:style w:type="table" w:customStyle="1" w:styleId="2353">
    <w:name w:val="Grid Table 3 - Accent 311"/>
    <w:basedOn w:val="13"/>
    <w:uiPriority w:val="99"/>
    <w:rPr>
      <w:sz w:val="22"/>
      <w:szCs w:val="22"/>
      <w:lang w:eastAsia="en-US"/>
    </w:rPr>
    <w:tblPr>
      <w:tblBorders>
        <w:bottom w:val="single" w:color="9ABB59" w:sz="4" w:space="0"/>
        <w:insideH w:val="single" w:color="9ABB59" w:sz="4" w:space="0"/>
        <w:insideV w:val="single" w:color="9ABB59" w:sz="4" w:space="0"/>
      </w:tblBorders>
      <w:tblCellMar>
        <w:top w:w="0" w:type="dxa"/>
        <w:left w:w="108" w:type="dxa"/>
        <w:bottom w:w="0" w:type="dxa"/>
        <w:right w:w="108" w:type="dxa"/>
      </w:tblCellMar>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rFonts w:ascii="Arial" w:hAnsi="Arial"/>
        <w:color w:val="404040"/>
        <w:sz w:val="22"/>
      </w:rPr>
      <w:tcPr>
        <w:shd w:val="clear" w:color="EAF1DC" w:fill="EAF1DC"/>
      </w:tcPr>
    </w:tblStylePr>
    <w:tblStylePr w:type="band1Horz">
      <w:rPr>
        <w:rFonts w:ascii="Arial" w:hAnsi="Arial"/>
        <w:color w:val="404040"/>
        <w:sz w:val="22"/>
      </w:rPr>
      <w:tcPr>
        <w:shd w:val="clear" w:color="EAF1DC" w:fill="EAF1DC"/>
      </w:tcPr>
    </w:tblStylePr>
  </w:style>
  <w:style w:type="table" w:customStyle="1" w:styleId="2354">
    <w:name w:val="Grid Table 3 - Accent 411"/>
    <w:basedOn w:val="13"/>
    <w:uiPriority w:val="99"/>
    <w:rPr>
      <w:sz w:val="22"/>
      <w:szCs w:val="22"/>
      <w:lang w:eastAsia="en-US"/>
    </w:rPr>
    <w:tblPr>
      <w:tblBorders>
        <w:bottom w:val="single" w:color="B2A1C6" w:sz="4" w:space="0"/>
        <w:insideH w:val="single" w:color="B2A1C6" w:sz="4" w:space="0"/>
        <w:insideV w:val="single" w:color="B2A1C6" w:sz="4" w:space="0"/>
      </w:tblBorders>
      <w:tblCellMar>
        <w:top w:w="0" w:type="dxa"/>
        <w:left w:w="108" w:type="dxa"/>
        <w:bottom w:w="0" w:type="dxa"/>
        <w:right w:w="108" w:type="dxa"/>
      </w:tblCellMar>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rFonts w:ascii="Arial" w:hAnsi="Arial"/>
        <w:color w:val="404040"/>
        <w:sz w:val="22"/>
      </w:rPr>
      <w:tcPr>
        <w:shd w:val="clear" w:color="E5DFEC" w:fill="E5DFEC"/>
      </w:tcPr>
    </w:tblStylePr>
    <w:tblStylePr w:type="band1Horz">
      <w:rPr>
        <w:rFonts w:ascii="Arial" w:hAnsi="Arial"/>
        <w:color w:val="404040"/>
        <w:sz w:val="22"/>
      </w:rPr>
      <w:tcPr>
        <w:shd w:val="clear" w:color="E5DFEC" w:fill="E5DFEC"/>
      </w:tcPr>
    </w:tblStylePr>
  </w:style>
  <w:style w:type="table" w:customStyle="1" w:styleId="2355">
    <w:name w:val="Grid Table 3 - Accent 511"/>
    <w:basedOn w:val="13"/>
    <w:uiPriority w:val="99"/>
    <w:rPr>
      <w:sz w:val="22"/>
      <w:szCs w:val="22"/>
      <w:lang w:eastAsia="en-US"/>
    </w:rPr>
    <w:tblPr>
      <w:tblBorders>
        <w:bottom w:val="single" w:color="4BACC6" w:sz="4" w:space="0"/>
        <w:insideH w:val="single" w:color="4BACC6" w:sz="4" w:space="0"/>
        <w:insideV w:val="single" w:color="4BACC6" w:sz="4" w:space="0"/>
      </w:tblBorders>
      <w:tblCellMar>
        <w:top w:w="0" w:type="dxa"/>
        <w:left w:w="108" w:type="dxa"/>
        <w:bottom w:w="0" w:type="dxa"/>
        <w:right w:w="108" w:type="dxa"/>
      </w:tblCellMar>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rFonts w:ascii="Arial" w:hAnsi="Arial"/>
        <w:color w:val="404040"/>
        <w:sz w:val="22"/>
      </w:rPr>
      <w:tcPr>
        <w:shd w:val="clear" w:color="DAEEF3" w:fill="DAEEF3"/>
      </w:tcPr>
    </w:tblStylePr>
    <w:tblStylePr w:type="band1Horz">
      <w:rPr>
        <w:rFonts w:ascii="Arial" w:hAnsi="Arial"/>
        <w:color w:val="404040"/>
        <w:sz w:val="22"/>
      </w:rPr>
      <w:tcPr>
        <w:shd w:val="clear" w:color="DAEEF3" w:fill="DAEEF3"/>
      </w:tcPr>
    </w:tblStylePr>
  </w:style>
  <w:style w:type="table" w:customStyle="1" w:styleId="2356">
    <w:name w:val="Grid Table 3 - Accent 611"/>
    <w:basedOn w:val="13"/>
    <w:uiPriority w:val="99"/>
    <w:rPr>
      <w:sz w:val="22"/>
      <w:szCs w:val="22"/>
      <w:lang w:eastAsia="en-US"/>
    </w:rPr>
    <w:tblPr>
      <w:tblBorders>
        <w:bottom w:val="single" w:color="F79646" w:sz="4" w:space="0"/>
        <w:insideH w:val="single" w:color="F79646" w:sz="4" w:space="0"/>
        <w:insideV w:val="single" w:color="F79646" w:sz="4" w:space="0"/>
      </w:tblBorders>
      <w:tblCellMar>
        <w:top w:w="0" w:type="dxa"/>
        <w:left w:w="108" w:type="dxa"/>
        <w:bottom w:w="0" w:type="dxa"/>
        <w:right w:w="108" w:type="dxa"/>
      </w:tblCellMar>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rFonts w:ascii="Arial" w:hAnsi="Arial"/>
        <w:color w:val="404040"/>
        <w:sz w:val="22"/>
      </w:rPr>
      <w:tcPr>
        <w:shd w:val="clear" w:color="FDE9D8" w:fill="FDE9D8"/>
      </w:tcPr>
    </w:tblStylePr>
    <w:tblStylePr w:type="band1Horz">
      <w:rPr>
        <w:rFonts w:ascii="Arial" w:hAnsi="Arial"/>
        <w:color w:val="404040"/>
        <w:sz w:val="22"/>
      </w:rPr>
      <w:tcPr>
        <w:shd w:val="clear" w:color="FDE9D8" w:fill="FDE9D8"/>
      </w:tcPr>
    </w:tblStylePr>
  </w:style>
  <w:style w:type="table" w:customStyle="1" w:styleId="2357">
    <w:name w:val="Таблица-сетка 419"/>
    <w:basedOn w:val="13"/>
    <w:uiPriority w:val="59"/>
    <w:rPr>
      <w:sz w:val="22"/>
      <w:szCs w:val="22"/>
      <w:lang w:eastAsia="en-US"/>
    </w:rPr>
    <w:tblPr>
      <w:tblBorders>
        <w:top w:val="single" w:color="6F6F6F" w:sz="4" w:space="0"/>
        <w:left w:val="single" w:color="6F6F6F" w:sz="4" w:space="0"/>
        <w:bottom w:val="single" w:color="6F6F6F" w:sz="4" w:space="0"/>
        <w:right w:val="single" w:color="6F6F6F" w:sz="4" w:space="0"/>
        <w:insideH w:val="single" w:color="6F6F6F" w:sz="4" w:space="0"/>
        <w:insideV w:val="single" w:color="6F6F6F" w:sz="4" w:space="0"/>
      </w:tblBorders>
      <w:tblCellMar>
        <w:top w:w="0" w:type="dxa"/>
        <w:left w:w="108" w:type="dxa"/>
        <w:bottom w:w="0" w:type="dxa"/>
        <w:right w:w="108" w:type="dxa"/>
      </w:tblCellMar>
    </w:tblPr>
    <w:tblStylePr w:type="firstRow">
      <w:rPr>
        <w:rFonts w:ascii="Arial" w:hAnsi="Arial"/>
        <w:b/>
        <w:color w:val="FFFFFF"/>
        <w:sz w:val="22"/>
      </w:rPr>
      <w:tcPr>
        <w:tcBorders>
          <w:top w:val="single" w:color="000000" w:sz="4" w:space="0"/>
          <w:left w:val="single" w:color="000000" w:sz="4" w:space="0"/>
          <w:bottom w:val="single" w:color="000000" w:sz="4" w:space="0"/>
          <w:right w:val="single" w:color="000000" w:sz="4" w:space="0"/>
        </w:tcBorders>
        <w:shd w:val="clear" w:color="000000" w:fill="000000"/>
      </w:tcPr>
    </w:tblStylePr>
    <w:tblStylePr w:type="lastRow">
      <w:rPr>
        <w:b/>
        <w:color w:val="404040"/>
      </w:rPr>
      <w:tcPr>
        <w:tcBorders>
          <w:top w:val="single" w:color="000000"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CBCBCB" w:fill="CBCBCB"/>
      </w:tcPr>
    </w:tblStylePr>
    <w:tblStylePr w:type="band1Horz">
      <w:rPr>
        <w:rFonts w:ascii="Arial" w:hAnsi="Arial"/>
        <w:color w:val="404040"/>
        <w:sz w:val="22"/>
      </w:rPr>
      <w:tcPr>
        <w:shd w:val="clear" w:color="CBCBCB" w:fill="CBCBCB"/>
      </w:tcPr>
    </w:tblStylePr>
  </w:style>
  <w:style w:type="table" w:customStyle="1" w:styleId="2358">
    <w:name w:val="Grid Table 4 - Accent 111"/>
    <w:basedOn w:val="13"/>
    <w:uiPriority w:val="59"/>
    <w:rPr>
      <w:sz w:val="22"/>
      <w:szCs w:val="22"/>
      <w:lang w:eastAsia="en-US"/>
    </w:rPr>
    <w:tblPr>
      <w:tblBorders>
        <w:top w:val="single" w:color="9BB7D9" w:sz="4" w:space="0"/>
        <w:left w:val="single" w:color="9BB7D9" w:sz="4" w:space="0"/>
        <w:bottom w:val="single" w:color="9BB7D9" w:sz="4" w:space="0"/>
        <w:right w:val="single" w:color="9BB7D9" w:sz="4" w:space="0"/>
        <w:insideH w:val="single" w:color="9BB7D9" w:sz="4" w:space="0"/>
        <w:insideV w:val="single" w:color="9BB7D9" w:sz="4" w:space="0"/>
      </w:tblBorders>
      <w:tblCellMar>
        <w:top w:w="0" w:type="dxa"/>
        <w:left w:w="108" w:type="dxa"/>
        <w:bottom w:w="0" w:type="dxa"/>
        <w:right w:w="108" w:type="dxa"/>
      </w:tblCellMar>
    </w:tblPr>
    <w:tblStylePr w:type="firstRow">
      <w:rPr>
        <w:rFonts w:ascii="Arial" w:hAnsi="Arial"/>
        <w:b/>
        <w:color w:val="FFFFFF"/>
        <w:sz w:val="22"/>
      </w:rPr>
      <w:tcPr>
        <w:tcBorders>
          <w:top w:val="single" w:color="5D8AC2" w:sz="4" w:space="0"/>
          <w:left w:val="single" w:color="5D8AC2" w:sz="4" w:space="0"/>
          <w:bottom w:val="single" w:color="5D8AC2" w:sz="4" w:space="0"/>
          <w:right w:val="single" w:color="5D8AC2" w:sz="4" w:space="0"/>
        </w:tcBorders>
        <w:shd w:val="clear" w:color="5D8AC2" w:fill="5D8AC2"/>
      </w:tcPr>
    </w:tblStylePr>
    <w:tblStylePr w:type="lastRow">
      <w:rPr>
        <w:b/>
        <w:color w:val="404040"/>
      </w:rPr>
      <w:tcPr>
        <w:tcBorders>
          <w:top w:val="single" w:color="5D8AC2"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DCE6F2" w:fill="DCE6F2"/>
      </w:tcPr>
    </w:tblStylePr>
    <w:tblStylePr w:type="band1Horz">
      <w:rPr>
        <w:rFonts w:ascii="Arial" w:hAnsi="Arial"/>
        <w:color w:val="404040"/>
        <w:sz w:val="22"/>
      </w:rPr>
      <w:tcPr>
        <w:shd w:val="clear" w:color="DCE6F2" w:fill="DCE6F2"/>
      </w:tcPr>
    </w:tblStylePr>
  </w:style>
  <w:style w:type="table" w:customStyle="1" w:styleId="2359">
    <w:name w:val="Grid Table 4 - Accent 211"/>
    <w:basedOn w:val="13"/>
    <w:uiPriority w:val="59"/>
    <w:rPr>
      <w:sz w:val="22"/>
      <w:szCs w:val="22"/>
      <w:lang w:eastAsia="en-US"/>
    </w:rPr>
    <w:tblPr>
      <w:tblBorders>
        <w:top w:val="single" w:color="DB9B9A" w:sz="4" w:space="0"/>
        <w:left w:val="single" w:color="DB9B9A" w:sz="4" w:space="0"/>
        <w:bottom w:val="single" w:color="DB9B9A" w:sz="4" w:space="0"/>
        <w:right w:val="single" w:color="DB9B9A" w:sz="4" w:space="0"/>
        <w:insideH w:val="single" w:color="DB9B9A" w:sz="4" w:space="0"/>
        <w:insideV w:val="single" w:color="DB9B9A" w:sz="4" w:space="0"/>
      </w:tblBorders>
      <w:tblCellMar>
        <w:top w:w="0" w:type="dxa"/>
        <w:left w:w="108" w:type="dxa"/>
        <w:bottom w:w="0" w:type="dxa"/>
        <w:right w:w="108" w:type="dxa"/>
      </w:tblCellMar>
    </w:tblPr>
    <w:tblStylePr w:type="firstRow">
      <w:rPr>
        <w:rFonts w:ascii="Arial" w:hAnsi="Arial"/>
        <w:b/>
        <w:color w:val="FFFFFF"/>
        <w:sz w:val="22"/>
      </w:rPr>
      <w:tcPr>
        <w:tcBorders>
          <w:top w:val="single" w:color="D99695" w:sz="4" w:space="0"/>
          <w:left w:val="single" w:color="D99695" w:sz="4" w:space="0"/>
          <w:bottom w:val="single" w:color="D99695" w:sz="4" w:space="0"/>
          <w:right w:val="single" w:color="D99695" w:sz="4" w:space="0"/>
        </w:tcBorders>
        <w:shd w:val="clear" w:color="D99695" w:fill="D99695"/>
      </w:tcPr>
    </w:tblStylePr>
    <w:tblStylePr w:type="lastRow">
      <w:rPr>
        <w:b/>
        <w:color w:val="404040"/>
      </w:rPr>
      <w:tcPr>
        <w:tcBorders>
          <w:top w:val="single" w:color="D99695"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F2DCDC" w:fill="F2DCDC"/>
      </w:tcPr>
    </w:tblStylePr>
    <w:tblStylePr w:type="band1Horz">
      <w:rPr>
        <w:rFonts w:ascii="Arial" w:hAnsi="Arial"/>
        <w:color w:val="404040"/>
        <w:sz w:val="22"/>
      </w:rPr>
      <w:tcPr>
        <w:shd w:val="clear" w:color="F2DCDC" w:fill="F2DCDC"/>
      </w:tcPr>
    </w:tblStylePr>
  </w:style>
  <w:style w:type="table" w:customStyle="1" w:styleId="2360">
    <w:name w:val="Grid Table 4 - Accent 311"/>
    <w:basedOn w:val="13"/>
    <w:uiPriority w:val="59"/>
    <w:rPr>
      <w:sz w:val="22"/>
      <w:szCs w:val="22"/>
      <w:lang w:eastAsia="en-US"/>
    </w:rPr>
    <w:tblPr>
      <w:tblBorders>
        <w:top w:val="single" w:color="C6D8A1" w:sz="4" w:space="0"/>
        <w:left w:val="single" w:color="C6D8A1" w:sz="4" w:space="0"/>
        <w:bottom w:val="single" w:color="C6D8A1" w:sz="4" w:space="0"/>
        <w:right w:val="single" w:color="C6D8A1" w:sz="4" w:space="0"/>
        <w:insideH w:val="single" w:color="C6D8A1" w:sz="4" w:space="0"/>
        <w:insideV w:val="single" w:color="C6D8A1" w:sz="4" w:space="0"/>
      </w:tblBorders>
      <w:tblCellMar>
        <w:top w:w="0" w:type="dxa"/>
        <w:left w:w="108" w:type="dxa"/>
        <w:bottom w:w="0" w:type="dxa"/>
        <w:right w:w="108" w:type="dxa"/>
      </w:tblCellMar>
    </w:tblPr>
    <w:tblStylePr w:type="firstRow">
      <w:rPr>
        <w:rFonts w:ascii="Arial" w:hAnsi="Arial"/>
        <w:b/>
        <w:color w:val="FFFFFF"/>
        <w:sz w:val="22"/>
      </w:rPr>
      <w:tcPr>
        <w:tcBorders>
          <w:top w:val="single" w:color="9ABB59" w:sz="4" w:space="0"/>
          <w:left w:val="single" w:color="9ABB59" w:sz="4" w:space="0"/>
          <w:bottom w:val="single" w:color="9ABB59" w:sz="4" w:space="0"/>
          <w:right w:val="single" w:color="9ABB59" w:sz="4" w:space="0"/>
        </w:tcBorders>
        <w:shd w:val="clear" w:color="9ABB59" w:fill="9ABB59"/>
      </w:tcPr>
    </w:tblStylePr>
    <w:tblStylePr w:type="lastRow">
      <w:rPr>
        <w:b/>
        <w:color w:val="404040"/>
      </w:rPr>
      <w:tcPr>
        <w:tcBorders>
          <w:top w:val="single" w:color="9ABB59"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EAF1DC" w:fill="EAF1DC"/>
      </w:tcPr>
    </w:tblStylePr>
    <w:tblStylePr w:type="band1Horz">
      <w:rPr>
        <w:rFonts w:ascii="Arial" w:hAnsi="Arial"/>
        <w:color w:val="404040"/>
        <w:sz w:val="22"/>
      </w:rPr>
      <w:tcPr>
        <w:shd w:val="clear" w:color="EAF1DC" w:fill="EAF1DC"/>
      </w:tcPr>
    </w:tblStylePr>
  </w:style>
  <w:style w:type="table" w:customStyle="1" w:styleId="2361">
    <w:name w:val="Grid Table 4 - Accent 411"/>
    <w:basedOn w:val="13"/>
    <w:uiPriority w:val="59"/>
    <w:rPr>
      <w:sz w:val="22"/>
      <w:szCs w:val="22"/>
      <w:lang w:eastAsia="en-US"/>
    </w:rPr>
    <w:tblPr>
      <w:tblBorders>
        <w:top w:val="single" w:color="B7A7CA" w:sz="4" w:space="0"/>
        <w:left w:val="single" w:color="B7A7CA" w:sz="4" w:space="0"/>
        <w:bottom w:val="single" w:color="B7A7CA" w:sz="4" w:space="0"/>
        <w:right w:val="single" w:color="B7A7CA" w:sz="4" w:space="0"/>
        <w:insideH w:val="single" w:color="B7A7CA" w:sz="4" w:space="0"/>
        <w:insideV w:val="single" w:color="B7A7CA" w:sz="4" w:space="0"/>
      </w:tblBorders>
      <w:tblCellMar>
        <w:top w:w="0" w:type="dxa"/>
        <w:left w:w="108" w:type="dxa"/>
        <w:bottom w:w="0" w:type="dxa"/>
        <w:right w:w="108" w:type="dxa"/>
      </w:tblCellMar>
    </w:tblPr>
    <w:tblStylePr w:type="firstRow">
      <w:rPr>
        <w:rFonts w:ascii="Arial" w:hAnsi="Arial"/>
        <w:b/>
        <w:color w:val="FFFFFF"/>
        <w:sz w:val="22"/>
      </w:rPr>
      <w:tcPr>
        <w:tcBorders>
          <w:top w:val="single" w:color="B2A1C6" w:sz="4" w:space="0"/>
          <w:left w:val="single" w:color="B2A1C6" w:sz="4" w:space="0"/>
          <w:bottom w:val="single" w:color="B2A1C6" w:sz="4" w:space="0"/>
          <w:right w:val="single" w:color="B2A1C6" w:sz="4" w:space="0"/>
        </w:tcBorders>
        <w:shd w:val="clear" w:color="B2A1C6" w:fill="B2A1C6"/>
      </w:tcPr>
    </w:tblStylePr>
    <w:tblStylePr w:type="lastRow">
      <w:rPr>
        <w:b/>
        <w:color w:val="404040"/>
      </w:rPr>
      <w:tcPr>
        <w:tcBorders>
          <w:top w:val="single" w:color="B2A1C6"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E5DFEC" w:fill="E5DFEC"/>
      </w:tcPr>
    </w:tblStylePr>
    <w:tblStylePr w:type="band1Horz">
      <w:rPr>
        <w:rFonts w:ascii="Arial" w:hAnsi="Arial"/>
        <w:color w:val="404040"/>
        <w:sz w:val="22"/>
      </w:rPr>
      <w:tcPr>
        <w:shd w:val="clear" w:color="E5DFEC" w:fill="E5DFEC"/>
      </w:tcPr>
    </w:tblStylePr>
  </w:style>
  <w:style w:type="table" w:customStyle="1" w:styleId="2362">
    <w:name w:val="Grid Table 4 - Accent 511"/>
    <w:basedOn w:val="13"/>
    <w:uiPriority w:val="59"/>
    <w:rPr>
      <w:sz w:val="22"/>
      <w:szCs w:val="22"/>
      <w:lang w:eastAsia="en-US"/>
    </w:rPr>
    <w:tblPr>
      <w:tblBorders>
        <w:top w:val="single" w:color="99D0DE" w:sz="4" w:space="0"/>
        <w:left w:val="single" w:color="99D0DE" w:sz="4" w:space="0"/>
        <w:bottom w:val="single" w:color="99D0DE" w:sz="4" w:space="0"/>
        <w:right w:val="single" w:color="99D0DE" w:sz="4" w:space="0"/>
        <w:insideH w:val="single" w:color="99D0DE" w:sz="4" w:space="0"/>
        <w:insideV w:val="single" w:color="99D0DE" w:sz="4" w:space="0"/>
      </w:tblBorders>
      <w:tblCellMar>
        <w:top w:w="0" w:type="dxa"/>
        <w:left w:w="108" w:type="dxa"/>
        <w:bottom w:w="0" w:type="dxa"/>
        <w:right w:w="108" w:type="dxa"/>
      </w:tblCellMar>
    </w:tblPr>
    <w:tblStylePr w:type="firstRow">
      <w:rPr>
        <w:rFonts w:ascii="Arial" w:hAnsi="Arial"/>
        <w:b/>
        <w:color w:val="FFFFFF"/>
        <w:sz w:val="22"/>
      </w:rPr>
      <w:tcPr>
        <w:tcBorders>
          <w:top w:val="single" w:color="4BACC6" w:sz="4" w:space="0"/>
          <w:left w:val="single" w:color="4BACC6" w:sz="4" w:space="0"/>
          <w:bottom w:val="single" w:color="4BACC6" w:sz="4" w:space="0"/>
          <w:right w:val="single" w:color="4BACC6" w:sz="4" w:space="0"/>
        </w:tcBorders>
        <w:shd w:val="clear" w:color="4BACC6" w:fill="4BACC6"/>
      </w:tcPr>
    </w:tblStylePr>
    <w:tblStylePr w:type="lastRow">
      <w:rPr>
        <w:b/>
        <w:color w:val="404040"/>
      </w:rPr>
      <w:tcPr>
        <w:tcBorders>
          <w:top w:val="single" w:color="4BACC6"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DAEEF3" w:fill="DAEEF3"/>
      </w:tcPr>
    </w:tblStylePr>
    <w:tblStylePr w:type="band1Horz">
      <w:rPr>
        <w:rFonts w:ascii="Arial" w:hAnsi="Arial"/>
        <w:color w:val="404040"/>
        <w:sz w:val="22"/>
      </w:rPr>
      <w:tcPr>
        <w:shd w:val="clear" w:color="DAEEF3" w:fill="DAEEF3"/>
      </w:tcPr>
    </w:tblStylePr>
  </w:style>
  <w:style w:type="table" w:customStyle="1" w:styleId="2363">
    <w:name w:val="Grid Table 4 - Accent 611"/>
    <w:basedOn w:val="13"/>
    <w:uiPriority w:val="59"/>
    <w:rPr>
      <w:sz w:val="22"/>
      <w:szCs w:val="22"/>
      <w:lang w:eastAsia="en-US"/>
    </w:rPr>
    <w:tblPr>
      <w:tblBorders>
        <w:top w:val="single" w:color="FAC396" w:sz="4" w:space="0"/>
        <w:left w:val="single" w:color="FAC396" w:sz="4" w:space="0"/>
        <w:bottom w:val="single" w:color="FAC396" w:sz="4" w:space="0"/>
        <w:right w:val="single" w:color="FAC396" w:sz="4" w:space="0"/>
        <w:insideH w:val="single" w:color="FAC396" w:sz="4" w:space="0"/>
        <w:insideV w:val="single" w:color="FAC396" w:sz="4" w:space="0"/>
      </w:tblBorders>
      <w:tblCellMar>
        <w:top w:w="0" w:type="dxa"/>
        <w:left w:w="108" w:type="dxa"/>
        <w:bottom w:w="0" w:type="dxa"/>
        <w:right w:w="108" w:type="dxa"/>
      </w:tblCellMar>
    </w:tblPr>
    <w:tblStylePr w:type="firstRow">
      <w:rPr>
        <w:rFonts w:ascii="Arial" w:hAnsi="Arial"/>
        <w:b/>
        <w:color w:val="FFFFFF"/>
        <w:sz w:val="22"/>
      </w:rPr>
      <w:tcPr>
        <w:tcBorders>
          <w:top w:val="single" w:color="F79646" w:sz="4" w:space="0"/>
          <w:left w:val="single" w:color="F79646" w:sz="4" w:space="0"/>
          <w:bottom w:val="single" w:color="F79646" w:sz="4" w:space="0"/>
          <w:right w:val="single" w:color="F79646" w:sz="4" w:space="0"/>
        </w:tcBorders>
        <w:shd w:val="clear" w:color="F79646" w:fill="F79646"/>
      </w:tcPr>
    </w:tblStylePr>
    <w:tblStylePr w:type="lastRow">
      <w:rPr>
        <w:b/>
        <w:color w:val="404040"/>
      </w:rPr>
      <w:tcPr>
        <w:tcBorders>
          <w:top w:val="single" w:color="F79646"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FDE9D8" w:fill="FDE9D8"/>
      </w:tcPr>
    </w:tblStylePr>
    <w:tblStylePr w:type="band1Horz">
      <w:rPr>
        <w:rFonts w:ascii="Arial" w:hAnsi="Arial"/>
        <w:color w:val="404040"/>
        <w:sz w:val="22"/>
      </w:rPr>
      <w:tcPr>
        <w:shd w:val="clear" w:color="FDE9D8" w:fill="FDE9D8"/>
      </w:tcPr>
    </w:tblStylePr>
  </w:style>
  <w:style w:type="table" w:customStyle="1" w:styleId="2364">
    <w:name w:val="Таблица-сетка 5 темная19"/>
    <w:basedOn w:val="13"/>
    <w:uiPriority w:val="99"/>
    <w:rPr>
      <w:sz w:val="22"/>
      <w:szCs w:val="22"/>
      <w:lang w:eastAsia="en-US"/>
    </w:rPr>
    <w:tblPr>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CellMar>
        <w:top w:w="0" w:type="dxa"/>
        <w:left w:w="108" w:type="dxa"/>
        <w:bottom w:w="0" w:type="dxa"/>
        <w:right w:w="108" w:type="dxa"/>
      </w:tblCellMar>
    </w:tblPr>
    <w:tblStylePr w:type="firstRow">
      <w:rPr>
        <w:rFonts w:ascii="Arial" w:hAnsi="Arial"/>
        <w:b/>
        <w:color w:val="FFFFFF"/>
        <w:sz w:val="22"/>
      </w:rPr>
      <w:tcPr>
        <w:shd w:val="clear" w:color="000000" w:fill="000000"/>
      </w:tcPr>
    </w:tblStylePr>
    <w:tblStylePr w:type="lastRow">
      <w:rPr>
        <w:rFonts w:ascii="Arial" w:hAnsi="Arial"/>
        <w:b/>
        <w:color w:val="FFFFFF"/>
        <w:sz w:val="22"/>
      </w:rPr>
      <w:tcPr>
        <w:tcBorders>
          <w:top w:val="single" w:color="FFFFFF" w:sz="4" w:space="0"/>
        </w:tcBorders>
        <w:shd w:val="clear" w:color="000000" w:fill="000000"/>
      </w:tcPr>
    </w:tblStylePr>
    <w:tblStylePr w:type="firstCol">
      <w:rPr>
        <w:rFonts w:ascii="Arial" w:hAnsi="Arial"/>
        <w:b/>
        <w:color w:val="FFFFFF"/>
        <w:sz w:val="22"/>
      </w:rPr>
      <w:tcPr>
        <w:shd w:val="clear" w:color="000000" w:fill="000000"/>
      </w:tcPr>
    </w:tblStylePr>
    <w:tblStylePr w:type="lastCol">
      <w:rPr>
        <w:rFonts w:ascii="Arial" w:hAnsi="Arial"/>
        <w:b/>
        <w:color w:val="FFFFFF"/>
        <w:sz w:val="22"/>
      </w:rPr>
      <w:tcPr>
        <w:shd w:val="clear" w:color="000000" w:fill="000000"/>
      </w:tcPr>
    </w:tblStylePr>
    <w:tblStylePr w:type="band1Vert">
      <w:tcPr>
        <w:shd w:val="clear" w:color="8A8A8A" w:fill="8A8A8A"/>
      </w:tcPr>
    </w:tblStylePr>
    <w:tblStylePr w:type="band1Horz">
      <w:tcPr>
        <w:shd w:val="clear" w:color="8A8A8A" w:fill="8A8A8A"/>
      </w:tcPr>
    </w:tblStylePr>
  </w:style>
  <w:style w:type="table" w:customStyle="1" w:styleId="2365">
    <w:name w:val="Grid Table 5 Dark- Accent 111"/>
    <w:basedOn w:val="13"/>
    <w:uiPriority w:val="99"/>
    <w:rPr>
      <w:sz w:val="22"/>
      <w:szCs w:val="22"/>
      <w:lang w:eastAsia="en-US"/>
    </w:rPr>
    <w:tblPr>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CellMar>
        <w:top w:w="0" w:type="dxa"/>
        <w:left w:w="108" w:type="dxa"/>
        <w:bottom w:w="0" w:type="dxa"/>
        <w:right w:w="108" w:type="dxa"/>
      </w:tblCellMar>
    </w:tblPr>
    <w:tblStylePr w:type="firstRow">
      <w:rPr>
        <w:rFonts w:ascii="Arial" w:hAnsi="Arial"/>
        <w:b/>
        <w:color w:val="FFFFFF"/>
        <w:sz w:val="22"/>
      </w:rPr>
      <w:tcPr>
        <w:shd w:val="clear" w:color="4F81BD" w:fill="4F81BD"/>
      </w:tcPr>
    </w:tblStylePr>
    <w:tblStylePr w:type="lastRow">
      <w:rPr>
        <w:rFonts w:ascii="Arial" w:hAnsi="Arial"/>
        <w:b/>
        <w:color w:val="FFFFFF"/>
        <w:sz w:val="22"/>
      </w:rPr>
      <w:tcPr>
        <w:tcBorders>
          <w:top w:val="single" w:color="FFFFFF" w:sz="4" w:space="0"/>
        </w:tcBorders>
        <w:shd w:val="clear" w:color="4F81BD" w:fill="4F81BD"/>
      </w:tcPr>
    </w:tblStylePr>
    <w:tblStylePr w:type="firstCol">
      <w:rPr>
        <w:rFonts w:ascii="Arial" w:hAnsi="Arial"/>
        <w:b/>
        <w:color w:val="FFFFFF"/>
        <w:sz w:val="22"/>
      </w:rPr>
      <w:tcPr>
        <w:shd w:val="clear" w:color="4F81BD" w:fill="4F81BD"/>
      </w:tcPr>
    </w:tblStylePr>
    <w:tblStylePr w:type="lastCol">
      <w:rPr>
        <w:rFonts w:ascii="Arial" w:hAnsi="Arial"/>
        <w:b/>
        <w:color w:val="FFFFFF"/>
        <w:sz w:val="22"/>
      </w:rPr>
      <w:tcPr>
        <w:shd w:val="clear" w:color="4F81BD" w:fill="4F81BD"/>
      </w:tcPr>
    </w:tblStylePr>
    <w:tblStylePr w:type="band1Vert">
      <w:tcPr>
        <w:shd w:val="clear" w:color="AEC4E0" w:fill="AEC4E0"/>
      </w:tcPr>
    </w:tblStylePr>
    <w:tblStylePr w:type="band1Horz">
      <w:tcPr>
        <w:shd w:val="clear" w:color="AEC4E0" w:fill="AEC4E0"/>
      </w:tcPr>
    </w:tblStylePr>
  </w:style>
  <w:style w:type="table" w:customStyle="1" w:styleId="2366">
    <w:name w:val="Grid Table 5 Dark - Accent 211"/>
    <w:basedOn w:val="13"/>
    <w:uiPriority w:val="99"/>
    <w:rPr>
      <w:sz w:val="22"/>
      <w:szCs w:val="22"/>
      <w:lang w:eastAsia="en-US"/>
    </w:rPr>
    <w:tblPr>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CellMar>
        <w:top w:w="0" w:type="dxa"/>
        <w:left w:w="108" w:type="dxa"/>
        <w:bottom w:w="0" w:type="dxa"/>
        <w:right w:w="108" w:type="dxa"/>
      </w:tblCellMar>
    </w:tblPr>
    <w:tblStylePr w:type="firstRow">
      <w:rPr>
        <w:rFonts w:ascii="Arial" w:hAnsi="Arial"/>
        <w:b/>
        <w:color w:val="FFFFFF"/>
        <w:sz w:val="22"/>
      </w:rPr>
      <w:tcPr>
        <w:shd w:val="clear" w:color="C0504D" w:fill="C0504D"/>
      </w:tcPr>
    </w:tblStylePr>
    <w:tblStylePr w:type="lastRow">
      <w:rPr>
        <w:rFonts w:ascii="Arial" w:hAnsi="Arial"/>
        <w:b/>
        <w:color w:val="FFFFFF"/>
        <w:sz w:val="22"/>
      </w:rPr>
      <w:tcPr>
        <w:tcBorders>
          <w:top w:val="single" w:color="FFFFFF" w:sz="4" w:space="0"/>
        </w:tcBorders>
        <w:shd w:val="clear" w:color="C0504D" w:fill="C0504D"/>
      </w:tcPr>
    </w:tblStylePr>
    <w:tblStylePr w:type="firstCol">
      <w:rPr>
        <w:rFonts w:ascii="Arial" w:hAnsi="Arial"/>
        <w:b/>
        <w:color w:val="FFFFFF"/>
        <w:sz w:val="22"/>
      </w:rPr>
      <w:tcPr>
        <w:shd w:val="clear" w:color="C0504D" w:fill="C0504D"/>
      </w:tcPr>
    </w:tblStylePr>
    <w:tblStylePr w:type="lastCol">
      <w:rPr>
        <w:rFonts w:ascii="Arial" w:hAnsi="Arial"/>
        <w:b/>
        <w:color w:val="FFFFFF"/>
        <w:sz w:val="22"/>
      </w:rPr>
      <w:tcPr>
        <w:shd w:val="clear" w:color="C0504D" w:fill="C0504D"/>
      </w:tcPr>
    </w:tblStylePr>
    <w:tblStylePr w:type="band1Vert">
      <w:tcPr>
        <w:shd w:val="clear" w:color="E2AEAD" w:fill="E2AEAD"/>
      </w:tcPr>
    </w:tblStylePr>
    <w:tblStylePr w:type="band1Horz">
      <w:tcPr>
        <w:shd w:val="clear" w:color="E2AEAD" w:fill="E2AEAD"/>
      </w:tcPr>
    </w:tblStylePr>
  </w:style>
  <w:style w:type="table" w:customStyle="1" w:styleId="2367">
    <w:name w:val="Grid Table 5 Dark - Accent 311"/>
    <w:basedOn w:val="13"/>
    <w:uiPriority w:val="99"/>
    <w:rPr>
      <w:sz w:val="22"/>
      <w:szCs w:val="22"/>
      <w:lang w:eastAsia="en-US"/>
    </w:rPr>
    <w:tblPr>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CellMar>
        <w:top w:w="0" w:type="dxa"/>
        <w:left w:w="108" w:type="dxa"/>
        <w:bottom w:w="0" w:type="dxa"/>
        <w:right w:w="108" w:type="dxa"/>
      </w:tblCellMar>
    </w:tblPr>
    <w:tblStylePr w:type="firstRow">
      <w:rPr>
        <w:rFonts w:ascii="Arial" w:hAnsi="Arial"/>
        <w:b/>
        <w:color w:val="FFFFFF"/>
        <w:sz w:val="22"/>
      </w:rPr>
      <w:tcPr>
        <w:shd w:val="clear" w:color="9BBB59" w:fill="9BBB59"/>
      </w:tcPr>
    </w:tblStylePr>
    <w:tblStylePr w:type="lastRow">
      <w:rPr>
        <w:rFonts w:ascii="Arial" w:hAnsi="Arial"/>
        <w:b/>
        <w:color w:val="FFFFFF"/>
        <w:sz w:val="22"/>
      </w:rPr>
      <w:tcPr>
        <w:tcBorders>
          <w:top w:val="single" w:color="FFFFFF" w:sz="4" w:space="0"/>
        </w:tcBorders>
        <w:shd w:val="clear" w:color="9BBB59" w:fill="9BBB59"/>
      </w:tcPr>
    </w:tblStylePr>
    <w:tblStylePr w:type="firstCol">
      <w:rPr>
        <w:rFonts w:ascii="Arial" w:hAnsi="Arial"/>
        <w:b/>
        <w:color w:val="FFFFFF"/>
        <w:sz w:val="22"/>
      </w:rPr>
      <w:tcPr>
        <w:shd w:val="clear" w:color="9BBB59" w:fill="9BBB59"/>
      </w:tcPr>
    </w:tblStylePr>
    <w:tblStylePr w:type="lastCol">
      <w:rPr>
        <w:rFonts w:ascii="Arial" w:hAnsi="Arial"/>
        <w:b/>
        <w:color w:val="FFFFFF"/>
        <w:sz w:val="22"/>
      </w:rPr>
      <w:tcPr>
        <w:shd w:val="clear" w:color="9BBB59" w:fill="9BBB59"/>
      </w:tcPr>
    </w:tblStylePr>
    <w:tblStylePr w:type="band1Vert">
      <w:tcPr>
        <w:shd w:val="clear" w:color="D0DFB2" w:fill="D0DFB2"/>
      </w:tcPr>
    </w:tblStylePr>
    <w:tblStylePr w:type="band1Horz">
      <w:tcPr>
        <w:shd w:val="clear" w:color="D0DFB2" w:fill="D0DFB2"/>
      </w:tcPr>
    </w:tblStylePr>
  </w:style>
  <w:style w:type="table" w:customStyle="1" w:styleId="2368">
    <w:name w:val="Grid Table 5 Dark- Accent 411"/>
    <w:basedOn w:val="13"/>
    <w:uiPriority w:val="99"/>
    <w:rPr>
      <w:sz w:val="22"/>
      <w:szCs w:val="22"/>
      <w:lang w:eastAsia="en-US"/>
    </w:rPr>
    <w:tblPr>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CellMar>
        <w:top w:w="0" w:type="dxa"/>
        <w:left w:w="108" w:type="dxa"/>
        <w:bottom w:w="0" w:type="dxa"/>
        <w:right w:w="108" w:type="dxa"/>
      </w:tblCellMar>
    </w:tblPr>
    <w:tblStylePr w:type="firstRow">
      <w:rPr>
        <w:rFonts w:ascii="Arial" w:hAnsi="Arial"/>
        <w:b/>
        <w:color w:val="FFFFFF"/>
        <w:sz w:val="22"/>
      </w:rPr>
      <w:tcPr>
        <w:shd w:val="clear" w:color="8064A2" w:fill="8064A2"/>
      </w:tcPr>
    </w:tblStylePr>
    <w:tblStylePr w:type="lastRow">
      <w:rPr>
        <w:rFonts w:ascii="Arial" w:hAnsi="Arial"/>
        <w:b/>
        <w:color w:val="FFFFFF"/>
        <w:sz w:val="22"/>
      </w:rPr>
      <w:tcPr>
        <w:tcBorders>
          <w:top w:val="single" w:color="FFFFFF" w:sz="4" w:space="0"/>
        </w:tcBorders>
        <w:shd w:val="clear" w:color="8064A2" w:fill="8064A2"/>
      </w:tcPr>
    </w:tblStylePr>
    <w:tblStylePr w:type="firstCol">
      <w:rPr>
        <w:rFonts w:ascii="Arial" w:hAnsi="Arial"/>
        <w:b/>
        <w:color w:val="FFFFFF"/>
        <w:sz w:val="22"/>
      </w:rPr>
      <w:tcPr>
        <w:shd w:val="clear" w:color="8064A2" w:fill="8064A2"/>
      </w:tcPr>
    </w:tblStylePr>
    <w:tblStylePr w:type="lastCol">
      <w:rPr>
        <w:rFonts w:ascii="Arial" w:hAnsi="Arial"/>
        <w:b/>
        <w:color w:val="FFFFFF"/>
        <w:sz w:val="22"/>
      </w:rPr>
      <w:tcPr>
        <w:shd w:val="clear" w:color="8064A2" w:fill="8064A2"/>
      </w:tcPr>
    </w:tblStylePr>
    <w:tblStylePr w:type="band1Vert">
      <w:tcPr>
        <w:shd w:val="clear" w:color="C4B7D4" w:fill="C4B7D4"/>
      </w:tcPr>
    </w:tblStylePr>
    <w:tblStylePr w:type="band1Horz">
      <w:tcPr>
        <w:shd w:val="clear" w:color="C4B7D4" w:fill="C4B7D4"/>
      </w:tcPr>
    </w:tblStylePr>
  </w:style>
  <w:style w:type="table" w:customStyle="1" w:styleId="2369">
    <w:name w:val="Grid Table 5 Dark - Accent 511"/>
    <w:basedOn w:val="13"/>
    <w:uiPriority w:val="99"/>
    <w:rPr>
      <w:sz w:val="22"/>
      <w:szCs w:val="22"/>
      <w:lang w:eastAsia="en-US"/>
    </w:rPr>
    <w:tblPr>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CellMar>
        <w:top w:w="0" w:type="dxa"/>
        <w:left w:w="108" w:type="dxa"/>
        <w:bottom w:w="0" w:type="dxa"/>
        <w:right w:w="108" w:type="dxa"/>
      </w:tblCellMar>
    </w:tblPr>
    <w:tblStylePr w:type="firstRow">
      <w:rPr>
        <w:rFonts w:ascii="Arial" w:hAnsi="Arial"/>
        <w:b/>
        <w:color w:val="FFFFFF"/>
        <w:sz w:val="22"/>
      </w:rPr>
      <w:tcPr>
        <w:shd w:val="clear" w:color="4BACC6" w:fill="4BACC6"/>
      </w:tcPr>
    </w:tblStylePr>
    <w:tblStylePr w:type="lastRow">
      <w:rPr>
        <w:rFonts w:ascii="Arial" w:hAnsi="Arial"/>
        <w:b/>
        <w:color w:val="FFFFFF"/>
        <w:sz w:val="22"/>
      </w:rPr>
      <w:tcPr>
        <w:tcBorders>
          <w:top w:val="single" w:color="FFFFFF" w:sz="4" w:space="0"/>
        </w:tcBorders>
        <w:shd w:val="clear" w:color="4BACC6" w:fill="4BACC6"/>
      </w:tcPr>
    </w:tblStylePr>
    <w:tblStylePr w:type="firstCol">
      <w:rPr>
        <w:rFonts w:ascii="Arial" w:hAnsi="Arial"/>
        <w:b/>
        <w:color w:val="FFFFFF"/>
        <w:sz w:val="22"/>
      </w:rPr>
      <w:tcPr>
        <w:shd w:val="clear" w:color="4BACC6" w:fill="4BACC6"/>
      </w:tcPr>
    </w:tblStylePr>
    <w:tblStylePr w:type="lastCol">
      <w:rPr>
        <w:rFonts w:ascii="Arial" w:hAnsi="Arial"/>
        <w:b/>
        <w:color w:val="FFFFFF"/>
        <w:sz w:val="22"/>
      </w:rPr>
      <w:tcPr>
        <w:shd w:val="clear" w:color="4BACC6" w:fill="4BACC6"/>
      </w:tcPr>
    </w:tblStylePr>
    <w:tblStylePr w:type="band1Vert">
      <w:tcPr>
        <w:shd w:val="clear" w:color="ACD8E4" w:fill="ACD8E4"/>
      </w:tcPr>
    </w:tblStylePr>
    <w:tblStylePr w:type="band1Horz">
      <w:tcPr>
        <w:shd w:val="clear" w:color="ACD8E4" w:fill="ACD8E4"/>
      </w:tcPr>
    </w:tblStylePr>
  </w:style>
  <w:style w:type="table" w:customStyle="1" w:styleId="2370">
    <w:name w:val="Grid Table 5 Dark - Accent 611"/>
    <w:basedOn w:val="13"/>
    <w:uiPriority w:val="99"/>
    <w:rPr>
      <w:sz w:val="22"/>
      <w:szCs w:val="22"/>
      <w:lang w:eastAsia="en-US"/>
    </w:rPr>
    <w:tblPr>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CellMar>
        <w:top w:w="0" w:type="dxa"/>
        <w:left w:w="108" w:type="dxa"/>
        <w:bottom w:w="0" w:type="dxa"/>
        <w:right w:w="108" w:type="dxa"/>
      </w:tblCellMar>
    </w:tblPr>
    <w:tblStylePr w:type="firstRow">
      <w:rPr>
        <w:rFonts w:ascii="Arial" w:hAnsi="Arial"/>
        <w:b/>
        <w:color w:val="FFFFFF"/>
        <w:sz w:val="22"/>
      </w:rPr>
      <w:tcPr>
        <w:shd w:val="clear" w:color="F79646" w:fill="F79646"/>
      </w:tcPr>
    </w:tblStylePr>
    <w:tblStylePr w:type="lastRow">
      <w:rPr>
        <w:rFonts w:ascii="Arial" w:hAnsi="Arial"/>
        <w:b/>
        <w:color w:val="FFFFFF"/>
        <w:sz w:val="22"/>
      </w:rPr>
      <w:tcPr>
        <w:tcBorders>
          <w:top w:val="single" w:color="FFFFFF" w:sz="4" w:space="0"/>
        </w:tcBorders>
        <w:shd w:val="clear" w:color="F79646" w:fill="F79646"/>
      </w:tcPr>
    </w:tblStylePr>
    <w:tblStylePr w:type="firstCol">
      <w:rPr>
        <w:rFonts w:ascii="Arial" w:hAnsi="Arial"/>
        <w:b/>
        <w:color w:val="FFFFFF"/>
        <w:sz w:val="22"/>
      </w:rPr>
      <w:tcPr>
        <w:shd w:val="clear" w:color="F79646" w:fill="F79646"/>
      </w:tcPr>
    </w:tblStylePr>
    <w:tblStylePr w:type="lastCol">
      <w:rPr>
        <w:rFonts w:ascii="Arial" w:hAnsi="Arial"/>
        <w:b/>
        <w:color w:val="FFFFFF"/>
        <w:sz w:val="22"/>
      </w:rPr>
      <w:tcPr>
        <w:shd w:val="clear" w:color="F79646" w:fill="F79646"/>
      </w:tcPr>
    </w:tblStylePr>
    <w:tblStylePr w:type="band1Vert">
      <w:tcPr>
        <w:shd w:val="clear" w:color="FBCEAA" w:fill="FBCEAA"/>
      </w:tcPr>
    </w:tblStylePr>
    <w:tblStylePr w:type="band1Horz">
      <w:tcPr>
        <w:shd w:val="clear" w:color="FBCEAA" w:fill="FBCEAA"/>
      </w:tcPr>
    </w:tblStylePr>
  </w:style>
  <w:style w:type="table" w:customStyle="1" w:styleId="2371">
    <w:name w:val="Таблица-сетка 6 цветная19"/>
    <w:basedOn w:val="13"/>
    <w:uiPriority w:val="99"/>
    <w:rPr>
      <w:sz w:val="22"/>
      <w:szCs w:val="22"/>
      <w:lang w:eastAsia="en-US"/>
    </w:rPr>
    <w:tblPr>
      <w:tblBorders>
        <w:top w:val="single" w:color="7F7F7F" w:sz="4" w:space="0"/>
        <w:left w:val="single" w:color="7F7F7F" w:sz="4" w:space="0"/>
        <w:bottom w:val="single" w:color="7F7F7F" w:sz="4" w:space="0"/>
        <w:right w:val="single" w:color="7F7F7F" w:sz="4" w:space="0"/>
        <w:insideH w:val="single" w:color="7F7F7F" w:sz="4" w:space="0"/>
        <w:insideV w:val="single" w:color="7F7F7F" w:sz="4" w:space="0"/>
      </w:tblBorders>
      <w:tblCellMar>
        <w:top w:w="0" w:type="dxa"/>
        <w:left w:w="108" w:type="dxa"/>
        <w:bottom w:w="0" w:type="dxa"/>
        <w:right w:w="108" w:type="dxa"/>
      </w:tblCellMar>
    </w:tblPr>
    <w:tblStylePr w:type="firstRow">
      <w:rPr>
        <w:b/>
        <w:color w:val="7F7F7F"/>
      </w:rPr>
      <w:tcPr>
        <w:tcBorders>
          <w:bottom w:val="single" w:color="7F7F7F" w:sz="12" w:space="0"/>
        </w:tcBorders>
      </w:tcPr>
    </w:tblStylePr>
    <w:tblStylePr w:type="lastRow">
      <w:rPr>
        <w:b/>
        <w:color w:val="7F7F7F"/>
      </w:rPr>
    </w:tblStylePr>
    <w:tblStylePr w:type="firstCol">
      <w:rPr>
        <w:b/>
        <w:color w:val="7F7F7F"/>
      </w:rPr>
    </w:tblStylePr>
    <w:tblStylePr w:type="lastCol">
      <w:rPr>
        <w:b/>
        <w:color w:val="7F7F7F"/>
      </w:rPr>
    </w:tblStylePr>
    <w:tblStylePr w:type="band1Vert">
      <w:tcPr>
        <w:shd w:val="clear" w:color="CBCBCB" w:fill="CBCBCB"/>
      </w:tcPr>
    </w:tblStylePr>
    <w:tblStylePr w:type="band1Horz">
      <w:rPr>
        <w:rFonts w:ascii="Arial" w:hAnsi="Arial"/>
        <w:color w:val="7F7F7F"/>
        <w:sz w:val="22"/>
      </w:rPr>
      <w:tcPr>
        <w:shd w:val="clear" w:color="CBCBCB" w:fill="CBCBCB"/>
      </w:tcPr>
    </w:tblStylePr>
    <w:tblStylePr w:type="band2Horz">
      <w:rPr>
        <w:rFonts w:ascii="Arial" w:hAnsi="Arial"/>
        <w:color w:val="7F7F7F"/>
        <w:sz w:val="22"/>
      </w:rPr>
    </w:tblStylePr>
  </w:style>
  <w:style w:type="table" w:customStyle="1" w:styleId="2372">
    <w:name w:val="Grid Table 6 Colorful - Accent 111"/>
    <w:basedOn w:val="13"/>
    <w:uiPriority w:val="99"/>
    <w:rPr>
      <w:sz w:val="22"/>
      <w:szCs w:val="22"/>
      <w:lang w:eastAsia="en-US"/>
    </w:rPr>
    <w:tblPr>
      <w:tblBorders>
        <w:top w:val="single" w:color="A6BFDD" w:sz="4" w:space="0"/>
        <w:left w:val="single" w:color="A6BFDD" w:sz="4" w:space="0"/>
        <w:bottom w:val="single" w:color="A6BFDD" w:sz="4" w:space="0"/>
        <w:right w:val="single" w:color="A6BFDD" w:sz="4" w:space="0"/>
        <w:insideH w:val="single" w:color="A6BFDD" w:sz="4" w:space="0"/>
        <w:insideV w:val="single" w:color="A6BFDD" w:sz="4" w:space="0"/>
      </w:tblBorders>
      <w:tblCellMar>
        <w:top w:w="0" w:type="dxa"/>
        <w:left w:w="108" w:type="dxa"/>
        <w:bottom w:w="0" w:type="dxa"/>
        <w:right w:w="108" w:type="dxa"/>
      </w:tblCellMar>
    </w:tblPr>
    <w:tblStylePr w:type="firstRow">
      <w:rPr>
        <w:b/>
        <w:color w:val="A6BFDD"/>
      </w:rPr>
      <w:tcPr>
        <w:tcBorders>
          <w:bottom w:val="single" w:color="A6BFDD" w:sz="12" w:space="0"/>
        </w:tcBorders>
      </w:tcPr>
    </w:tblStylePr>
    <w:tblStylePr w:type="lastRow">
      <w:rPr>
        <w:b/>
        <w:color w:val="A6BFDD"/>
      </w:rPr>
    </w:tblStylePr>
    <w:tblStylePr w:type="firstCol">
      <w:rPr>
        <w:b/>
        <w:color w:val="A6BFDD"/>
      </w:rPr>
    </w:tblStylePr>
    <w:tblStylePr w:type="lastCol">
      <w:rPr>
        <w:b/>
        <w:color w:val="A6BFDD"/>
      </w:rPr>
    </w:tblStylePr>
    <w:tblStylePr w:type="band1Vert">
      <w:tcPr>
        <w:shd w:val="clear" w:color="DAE5F1" w:fill="DAE5F1"/>
      </w:tcPr>
    </w:tblStylePr>
    <w:tblStylePr w:type="band1Horz">
      <w:rPr>
        <w:rFonts w:ascii="Arial" w:hAnsi="Arial"/>
        <w:color w:val="A6BFDD"/>
        <w:sz w:val="22"/>
      </w:rPr>
      <w:tcPr>
        <w:shd w:val="clear" w:color="DAE5F1" w:fill="DAE5F1"/>
      </w:tcPr>
    </w:tblStylePr>
    <w:tblStylePr w:type="band2Horz">
      <w:rPr>
        <w:rFonts w:ascii="Arial" w:hAnsi="Arial"/>
        <w:color w:val="A6BFDD"/>
        <w:sz w:val="22"/>
      </w:rPr>
    </w:tblStylePr>
  </w:style>
  <w:style w:type="table" w:customStyle="1" w:styleId="2373">
    <w:name w:val="Grid Table 6 Colorful - Accent 211"/>
    <w:basedOn w:val="13"/>
    <w:uiPriority w:val="99"/>
    <w:rPr>
      <w:sz w:val="22"/>
      <w:szCs w:val="22"/>
      <w:lang w:eastAsia="en-US"/>
    </w:rPr>
    <w:tblPr>
      <w:tblBorders>
        <w:top w:val="single" w:color="D99695" w:sz="4" w:space="0"/>
        <w:left w:val="single" w:color="D99695" w:sz="4" w:space="0"/>
        <w:bottom w:val="single" w:color="D99695" w:sz="4" w:space="0"/>
        <w:right w:val="single" w:color="D99695" w:sz="4" w:space="0"/>
        <w:insideH w:val="single" w:color="D99695" w:sz="4" w:space="0"/>
        <w:insideV w:val="single" w:color="D99695" w:sz="4" w:space="0"/>
      </w:tblBorders>
      <w:tblCellMar>
        <w:top w:w="0" w:type="dxa"/>
        <w:left w:w="108" w:type="dxa"/>
        <w:bottom w:w="0" w:type="dxa"/>
        <w:right w:w="108" w:type="dxa"/>
      </w:tblCellMar>
    </w:tblPr>
    <w:tblStylePr w:type="firstRow">
      <w:rPr>
        <w:b/>
        <w:color w:val="D99695"/>
      </w:rPr>
      <w:tcPr>
        <w:tcBorders>
          <w:bottom w:val="single" w:color="D99695" w:sz="12" w:space="0"/>
        </w:tcBorders>
      </w:tcPr>
    </w:tblStylePr>
    <w:tblStylePr w:type="lastRow">
      <w:rPr>
        <w:b/>
        <w:color w:val="D99695"/>
      </w:rPr>
    </w:tblStylePr>
    <w:tblStylePr w:type="firstCol">
      <w:rPr>
        <w:b/>
        <w:color w:val="D99695"/>
      </w:rPr>
    </w:tblStylePr>
    <w:tblStylePr w:type="lastCol">
      <w:rPr>
        <w:b/>
        <w:color w:val="D99695"/>
      </w:rPr>
    </w:tblStylePr>
    <w:tblStylePr w:type="band1Vert">
      <w:tcPr>
        <w:shd w:val="clear" w:color="F2DCDC" w:fill="F2DCDC"/>
      </w:tcPr>
    </w:tblStylePr>
    <w:tblStylePr w:type="band1Horz">
      <w:rPr>
        <w:rFonts w:ascii="Arial" w:hAnsi="Arial"/>
        <w:color w:val="D99695"/>
        <w:sz w:val="22"/>
      </w:rPr>
      <w:tcPr>
        <w:shd w:val="clear" w:color="F2DCDC" w:fill="F2DCDC"/>
      </w:tcPr>
    </w:tblStylePr>
    <w:tblStylePr w:type="band2Horz">
      <w:rPr>
        <w:rFonts w:ascii="Arial" w:hAnsi="Arial"/>
        <w:color w:val="D99695"/>
        <w:sz w:val="22"/>
      </w:rPr>
    </w:tblStylePr>
  </w:style>
  <w:style w:type="table" w:customStyle="1" w:styleId="2374">
    <w:name w:val="Grid Table 6 Colorful - Accent 311"/>
    <w:basedOn w:val="13"/>
    <w:uiPriority w:val="99"/>
    <w:rPr>
      <w:sz w:val="22"/>
      <w:szCs w:val="22"/>
      <w:lang w:eastAsia="en-US"/>
    </w:rPr>
    <w:tblPr>
      <w:tblBorders>
        <w:top w:val="single" w:color="9ABB59" w:sz="4" w:space="0"/>
        <w:left w:val="single" w:color="9ABB59" w:sz="4" w:space="0"/>
        <w:bottom w:val="single" w:color="9ABB59" w:sz="4" w:space="0"/>
        <w:right w:val="single" w:color="9ABB59" w:sz="4" w:space="0"/>
        <w:insideH w:val="single" w:color="9ABB59" w:sz="4" w:space="0"/>
        <w:insideV w:val="single" w:color="9ABB59" w:sz="4" w:space="0"/>
      </w:tblBorders>
      <w:tblCellMar>
        <w:top w:w="0" w:type="dxa"/>
        <w:left w:w="108" w:type="dxa"/>
        <w:bottom w:w="0" w:type="dxa"/>
        <w:right w:w="108" w:type="dxa"/>
      </w:tblCellMar>
    </w:tblPr>
    <w:tblStylePr w:type="firstRow">
      <w:rPr>
        <w:b/>
        <w:color w:val="9ABB59"/>
      </w:rPr>
      <w:tcPr>
        <w:tcBorders>
          <w:bottom w:val="single" w:color="9ABB59" w:sz="12" w:space="0"/>
        </w:tcBorders>
      </w:tcPr>
    </w:tblStylePr>
    <w:tblStylePr w:type="lastRow">
      <w:rPr>
        <w:b/>
        <w:color w:val="9ABB59"/>
      </w:rPr>
    </w:tblStylePr>
    <w:tblStylePr w:type="firstCol">
      <w:rPr>
        <w:b/>
        <w:color w:val="9ABB59"/>
      </w:rPr>
    </w:tblStylePr>
    <w:tblStylePr w:type="lastCol">
      <w:rPr>
        <w:b/>
        <w:color w:val="9ABB59"/>
      </w:rPr>
    </w:tblStylePr>
    <w:tblStylePr w:type="band1Vert">
      <w:tcPr>
        <w:shd w:val="clear" w:color="EAF1DC" w:fill="EAF1DC"/>
      </w:tcPr>
    </w:tblStylePr>
    <w:tblStylePr w:type="band1Horz">
      <w:rPr>
        <w:rFonts w:ascii="Arial" w:hAnsi="Arial"/>
        <w:color w:val="9ABB59"/>
        <w:sz w:val="22"/>
      </w:rPr>
      <w:tcPr>
        <w:shd w:val="clear" w:color="EAF1DC" w:fill="EAF1DC"/>
      </w:tcPr>
    </w:tblStylePr>
    <w:tblStylePr w:type="band2Horz">
      <w:rPr>
        <w:rFonts w:ascii="Arial" w:hAnsi="Arial"/>
        <w:color w:val="9ABB59"/>
        <w:sz w:val="22"/>
      </w:rPr>
    </w:tblStylePr>
  </w:style>
  <w:style w:type="table" w:customStyle="1" w:styleId="2375">
    <w:name w:val="Grid Table 6 Colorful - Accent 411"/>
    <w:basedOn w:val="13"/>
    <w:uiPriority w:val="99"/>
    <w:rPr>
      <w:sz w:val="22"/>
      <w:szCs w:val="22"/>
      <w:lang w:eastAsia="en-US"/>
    </w:rPr>
    <w:tblPr>
      <w:tblBorders>
        <w:top w:val="single" w:color="B2A1C6" w:sz="4" w:space="0"/>
        <w:left w:val="single" w:color="B2A1C6" w:sz="4" w:space="0"/>
        <w:bottom w:val="single" w:color="B2A1C6" w:sz="4" w:space="0"/>
        <w:right w:val="single" w:color="B2A1C6" w:sz="4" w:space="0"/>
        <w:insideH w:val="single" w:color="B2A1C6" w:sz="4" w:space="0"/>
        <w:insideV w:val="single" w:color="B2A1C6" w:sz="4" w:space="0"/>
      </w:tblBorders>
      <w:tblCellMar>
        <w:top w:w="0" w:type="dxa"/>
        <w:left w:w="108" w:type="dxa"/>
        <w:bottom w:w="0" w:type="dxa"/>
        <w:right w:w="108" w:type="dxa"/>
      </w:tblCellMar>
    </w:tblPr>
    <w:tblStylePr w:type="firstRow">
      <w:rPr>
        <w:b/>
        <w:color w:val="B2A1C6"/>
      </w:rPr>
      <w:tcPr>
        <w:tcBorders>
          <w:bottom w:val="single" w:color="B2A1C6" w:sz="12" w:space="0"/>
        </w:tcBorders>
      </w:tcPr>
    </w:tblStylePr>
    <w:tblStylePr w:type="lastRow">
      <w:rPr>
        <w:b/>
        <w:color w:val="B2A1C6"/>
      </w:rPr>
    </w:tblStylePr>
    <w:tblStylePr w:type="firstCol">
      <w:rPr>
        <w:b/>
        <w:color w:val="B2A1C6"/>
      </w:rPr>
    </w:tblStylePr>
    <w:tblStylePr w:type="lastCol">
      <w:rPr>
        <w:b/>
        <w:color w:val="B2A1C6"/>
      </w:rPr>
    </w:tblStylePr>
    <w:tblStylePr w:type="band1Vert">
      <w:tcPr>
        <w:shd w:val="clear" w:color="E5DFEC" w:fill="E5DFEC"/>
      </w:tcPr>
    </w:tblStylePr>
    <w:tblStylePr w:type="band1Horz">
      <w:rPr>
        <w:rFonts w:ascii="Arial" w:hAnsi="Arial"/>
        <w:color w:val="B2A1C6"/>
        <w:sz w:val="22"/>
      </w:rPr>
      <w:tcPr>
        <w:shd w:val="clear" w:color="E5DFEC" w:fill="E5DFEC"/>
      </w:tcPr>
    </w:tblStylePr>
    <w:tblStylePr w:type="band2Horz">
      <w:rPr>
        <w:rFonts w:ascii="Arial" w:hAnsi="Arial"/>
        <w:color w:val="B2A1C6"/>
        <w:sz w:val="22"/>
      </w:rPr>
    </w:tblStylePr>
  </w:style>
  <w:style w:type="table" w:customStyle="1" w:styleId="2376">
    <w:name w:val="Grid Table 6 Colorful - Accent 511"/>
    <w:basedOn w:val="13"/>
    <w:uiPriority w:val="99"/>
    <w:rPr>
      <w:sz w:val="22"/>
      <w:szCs w:val="22"/>
      <w:lang w:eastAsia="en-US"/>
    </w:rPr>
    <w:tblPr>
      <w:tblBorders>
        <w:top w:val="single" w:color="4BACC6" w:sz="4" w:space="0"/>
        <w:left w:val="single" w:color="4BACC6" w:sz="4" w:space="0"/>
        <w:bottom w:val="single" w:color="4BACC6" w:sz="4" w:space="0"/>
        <w:right w:val="single" w:color="4BACC6" w:sz="4" w:space="0"/>
        <w:insideH w:val="single" w:color="4BACC6" w:sz="4" w:space="0"/>
        <w:insideV w:val="single" w:color="4BACC6" w:sz="4" w:space="0"/>
      </w:tblBorders>
      <w:tblCellMar>
        <w:top w:w="0" w:type="dxa"/>
        <w:left w:w="108" w:type="dxa"/>
        <w:bottom w:w="0" w:type="dxa"/>
        <w:right w:w="108" w:type="dxa"/>
      </w:tblCellMar>
    </w:tblPr>
    <w:tblStylePr w:type="firstRow">
      <w:rPr>
        <w:b/>
        <w:color w:val="266779"/>
      </w:rPr>
      <w:tcPr>
        <w:tcBorders>
          <w:bottom w:val="single" w:color="4BACC6" w:sz="12" w:space="0"/>
        </w:tcBorders>
      </w:tcPr>
    </w:tblStylePr>
    <w:tblStylePr w:type="lastRow">
      <w:rPr>
        <w:b/>
        <w:color w:val="266779"/>
      </w:rPr>
    </w:tblStylePr>
    <w:tblStylePr w:type="firstCol">
      <w:rPr>
        <w:b/>
        <w:color w:val="266779"/>
      </w:rPr>
    </w:tblStylePr>
    <w:tblStylePr w:type="lastCol">
      <w:rPr>
        <w:b/>
        <w:color w:val="266779"/>
      </w:rPr>
    </w:tblStylePr>
    <w:tblStylePr w:type="band1Vert">
      <w:tcPr>
        <w:shd w:val="clear" w:color="DAEEF3" w:fill="DAEEF3"/>
      </w:tcPr>
    </w:tblStylePr>
    <w:tblStylePr w:type="band1Horz">
      <w:rPr>
        <w:rFonts w:ascii="Arial" w:hAnsi="Arial"/>
        <w:color w:val="266779"/>
        <w:sz w:val="22"/>
      </w:rPr>
      <w:tcPr>
        <w:shd w:val="clear" w:color="DAEEF3" w:fill="DAEEF3"/>
      </w:tcPr>
    </w:tblStylePr>
    <w:tblStylePr w:type="band2Horz">
      <w:rPr>
        <w:rFonts w:ascii="Arial" w:hAnsi="Arial"/>
        <w:color w:val="266779"/>
        <w:sz w:val="22"/>
      </w:rPr>
    </w:tblStylePr>
  </w:style>
  <w:style w:type="table" w:customStyle="1" w:styleId="2377">
    <w:name w:val="Grid Table 6 Colorful - Accent 611"/>
    <w:basedOn w:val="13"/>
    <w:uiPriority w:val="99"/>
    <w:rPr>
      <w:sz w:val="22"/>
      <w:szCs w:val="22"/>
      <w:lang w:eastAsia="en-US"/>
    </w:rPr>
    <w:tblPr>
      <w:tblBorders>
        <w:top w:val="single" w:color="F79646" w:sz="4" w:space="0"/>
        <w:left w:val="single" w:color="F79646" w:sz="4" w:space="0"/>
        <w:bottom w:val="single" w:color="F79646" w:sz="4" w:space="0"/>
        <w:right w:val="single" w:color="F79646" w:sz="4" w:space="0"/>
        <w:insideH w:val="single" w:color="F79646" w:sz="4" w:space="0"/>
        <w:insideV w:val="single" w:color="F79646" w:sz="4" w:space="0"/>
      </w:tblBorders>
      <w:tblCellMar>
        <w:top w:w="0" w:type="dxa"/>
        <w:left w:w="108" w:type="dxa"/>
        <w:bottom w:w="0" w:type="dxa"/>
        <w:right w:w="108" w:type="dxa"/>
      </w:tblCellMar>
    </w:tblPr>
    <w:tblStylePr w:type="firstRow">
      <w:rPr>
        <w:b/>
        <w:color w:val="266779"/>
      </w:rPr>
      <w:tcPr>
        <w:tcBorders>
          <w:bottom w:val="single" w:color="F79646" w:sz="12" w:space="0"/>
        </w:tcBorders>
      </w:tcPr>
    </w:tblStylePr>
    <w:tblStylePr w:type="lastRow">
      <w:rPr>
        <w:b/>
        <w:color w:val="266779"/>
      </w:rPr>
    </w:tblStylePr>
    <w:tblStylePr w:type="firstCol">
      <w:rPr>
        <w:b/>
        <w:color w:val="266779"/>
      </w:rPr>
    </w:tblStylePr>
    <w:tblStylePr w:type="lastCol">
      <w:rPr>
        <w:b/>
        <w:color w:val="266779"/>
      </w:rPr>
    </w:tblStylePr>
    <w:tblStylePr w:type="band1Vert">
      <w:tcPr>
        <w:shd w:val="clear" w:color="FDE9D8" w:fill="FDE9D8"/>
      </w:tcPr>
    </w:tblStylePr>
    <w:tblStylePr w:type="band1Horz">
      <w:rPr>
        <w:rFonts w:ascii="Arial" w:hAnsi="Arial"/>
        <w:color w:val="266779"/>
        <w:sz w:val="22"/>
      </w:rPr>
      <w:tcPr>
        <w:shd w:val="clear" w:color="FDE9D8" w:fill="FDE9D8"/>
      </w:tcPr>
    </w:tblStylePr>
    <w:tblStylePr w:type="band2Horz">
      <w:rPr>
        <w:rFonts w:ascii="Arial" w:hAnsi="Arial"/>
        <w:color w:val="266779"/>
        <w:sz w:val="22"/>
      </w:rPr>
    </w:tblStylePr>
  </w:style>
  <w:style w:type="table" w:customStyle="1" w:styleId="2378">
    <w:name w:val="Таблица-сетка 7 цветная19"/>
    <w:basedOn w:val="13"/>
    <w:uiPriority w:val="99"/>
    <w:rPr>
      <w:sz w:val="22"/>
      <w:szCs w:val="22"/>
      <w:lang w:eastAsia="en-US"/>
    </w:rPr>
    <w:tblPr>
      <w:tblBorders>
        <w:bottom w:val="single" w:color="7F7F7F" w:sz="4" w:space="0"/>
        <w:right w:val="single" w:color="7F7F7F" w:sz="4" w:space="0"/>
        <w:insideH w:val="single" w:color="7F7F7F" w:sz="4" w:space="0"/>
        <w:insideV w:val="single" w:color="7F7F7F" w:sz="4" w:space="0"/>
      </w:tblBorders>
      <w:tblCellMar>
        <w:top w:w="0" w:type="dxa"/>
        <w:left w:w="108" w:type="dxa"/>
        <w:bottom w:w="0" w:type="dxa"/>
        <w:right w:w="108" w:type="dxa"/>
      </w:tblCellMar>
    </w:tblPr>
    <w:tblStylePr w:type="firstRow">
      <w:rPr>
        <w:rFonts w:ascii="Arial" w:hAnsi="Arial"/>
        <w:b/>
        <w:color w:val="7F7F7F"/>
        <w:sz w:val="22"/>
      </w:rPr>
      <w:tcPr>
        <w:tcBorders>
          <w:top w:val="nil"/>
          <w:left w:val="nil"/>
          <w:bottom w:val="single" w:color="7F7F7F" w:sz="4" w:space="0"/>
          <w:right w:val="nil"/>
        </w:tcBorders>
        <w:shd w:val="clear" w:color="FFFFFF" w:fill="FFFFFF"/>
      </w:tcPr>
    </w:tblStylePr>
    <w:tblStylePr w:type="lastRow">
      <w:rPr>
        <w:rFonts w:ascii="Arial" w:hAnsi="Arial"/>
        <w:b/>
        <w:color w:val="7F7F7F"/>
        <w:sz w:val="22"/>
      </w:rPr>
      <w:tcPr>
        <w:tcBorders>
          <w:top w:val="single" w:color="7F7F7F" w:sz="4" w:space="0"/>
          <w:left w:val="nil"/>
          <w:bottom w:val="nil"/>
          <w:right w:val="nil"/>
        </w:tcBorders>
        <w:shd w:val="clear" w:color="FFFFFF" w:fill="FFFFFF"/>
      </w:tcPr>
    </w:tblStylePr>
    <w:tblStylePr w:type="firstCol">
      <w:pPr>
        <w:jc w:val="right"/>
      </w:pPr>
      <w:rPr>
        <w:rFonts w:ascii="Arial" w:hAnsi="Arial"/>
        <w:i/>
        <w:color w:val="7F7F7F"/>
        <w:sz w:val="22"/>
      </w:rPr>
      <w:tcPr>
        <w:tcBorders>
          <w:top w:val="nil"/>
          <w:left w:val="nil"/>
          <w:bottom w:val="nil"/>
          <w:right w:val="single" w:color="7F7F7F" w:sz="4" w:space="0"/>
        </w:tcBorders>
        <w:shd w:val="clear" w:color="FFFFFF" w:fill="auto"/>
      </w:tcPr>
    </w:tblStylePr>
    <w:tblStylePr w:type="lastCol">
      <w:rPr>
        <w:rFonts w:ascii="Arial" w:hAnsi="Arial"/>
        <w:i/>
        <w:color w:val="7F7F7F"/>
        <w:sz w:val="22"/>
      </w:rPr>
      <w:tcPr>
        <w:tcBorders>
          <w:top w:val="nil"/>
          <w:left w:val="single" w:color="7F7F7F" w:sz="4" w:space="0"/>
          <w:bottom w:val="nil"/>
          <w:right w:val="nil"/>
        </w:tcBorders>
        <w:shd w:val="clear" w:color="FFFFFF" w:fill="auto"/>
      </w:tcPr>
    </w:tblStylePr>
    <w:tblStylePr w:type="band1Vert">
      <w:tcPr>
        <w:shd w:val="clear" w:color="F2F2F2" w:fill="F2F2F2"/>
      </w:tcPr>
    </w:tblStylePr>
    <w:tblStylePr w:type="band1Horz">
      <w:rPr>
        <w:rFonts w:ascii="Arial" w:hAnsi="Arial"/>
        <w:color w:val="7F7F7F"/>
        <w:sz w:val="22"/>
      </w:rPr>
      <w:tcPr>
        <w:shd w:val="clear" w:color="F2F2F2" w:fill="F2F2F2"/>
      </w:tcPr>
    </w:tblStylePr>
    <w:tblStylePr w:type="band2Horz">
      <w:rPr>
        <w:rFonts w:ascii="Arial" w:hAnsi="Arial"/>
        <w:color w:val="7F7F7F"/>
        <w:sz w:val="22"/>
      </w:rPr>
    </w:tblStylePr>
  </w:style>
  <w:style w:type="table" w:customStyle="1" w:styleId="2379">
    <w:name w:val="Grid Table 7 Colorful - Accent 111"/>
    <w:basedOn w:val="13"/>
    <w:uiPriority w:val="99"/>
    <w:rPr>
      <w:sz w:val="22"/>
      <w:szCs w:val="22"/>
      <w:lang w:eastAsia="en-US"/>
    </w:rPr>
    <w:tblPr>
      <w:tblBorders>
        <w:bottom w:val="single" w:color="A6BFDD" w:sz="4" w:space="0"/>
        <w:right w:val="single" w:color="A6BFDD" w:sz="4" w:space="0"/>
        <w:insideH w:val="single" w:color="A6BFDD" w:sz="4" w:space="0"/>
        <w:insideV w:val="single" w:color="A6BFDD" w:sz="4" w:space="0"/>
      </w:tblBorders>
      <w:tblCellMar>
        <w:top w:w="0" w:type="dxa"/>
        <w:left w:w="108" w:type="dxa"/>
        <w:bottom w:w="0" w:type="dxa"/>
        <w:right w:w="108" w:type="dxa"/>
      </w:tblCellMar>
    </w:tblPr>
    <w:tblStylePr w:type="firstRow">
      <w:rPr>
        <w:rFonts w:ascii="Arial" w:hAnsi="Arial"/>
        <w:b/>
        <w:color w:val="A6BFDD"/>
        <w:sz w:val="22"/>
      </w:rPr>
      <w:tcPr>
        <w:tcBorders>
          <w:top w:val="nil"/>
          <w:left w:val="nil"/>
          <w:bottom w:val="single" w:color="A6BFDD" w:sz="4" w:space="0"/>
          <w:right w:val="nil"/>
        </w:tcBorders>
        <w:shd w:val="clear" w:color="FFFFFF" w:fill="FFFFFF"/>
      </w:tcPr>
    </w:tblStylePr>
    <w:tblStylePr w:type="lastRow">
      <w:rPr>
        <w:rFonts w:ascii="Arial" w:hAnsi="Arial"/>
        <w:b/>
        <w:color w:val="A6BFDD"/>
        <w:sz w:val="22"/>
      </w:rPr>
      <w:tcPr>
        <w:tcBorders>
          <w:top w:val="single" w:color="A6BFDD" w:sz="4" w:space="0"/>
          <w:left w:val="nil"/>
          <w:bottom w:val="nil"/>
          <w:right w:val="nil"/>
        </w:tcBorders>
        <w:shd w:val="clear" w:color="FFFFFF" w:fill="FFFFFF"/>
      </w:tcPr>
    </w:tblStylePr>
    <w:tblStylePr w:type="firstCol">
      <w:pPr>
        <w:jc w:val="right"/>
      </w:pPr>
      <w:rPr>
        <w:rFonts w:ascii="Arial" w:hAnsi="Arial"/>
        <w:i/>
        <w:color w:val="A6BFDD"/>
        <w:sz w:val="22"/>
      </w:rPr>
      <w:tcPr>
        <w:tcBorders>
          <w:top w:val="nil"/>
          <w:left w:val="nil"/>
          <w:bottom w:val="nil"/>
          <w:right w:val="single" w:color="A6BFDD" w:sz="4" w:space="0"/>
        </w:tcBorders>
        <w:shd w:val="clear" w:color="FFFFFF" w:fill="auto"/>
      </w:tcPr>
    </w:tblStylePr>
    <w:tblStylePr w:type="lastCol">
      <w:rPr>
        <w:rFonts w:ascii="Arial" w:hAnsi="Arial"/>
        <w:i/>
        <w:color w:val="A6BFDD"/>
        <w:sz w:val="22"/>
      </w:rPr>
      <w:tcPr>
        <w:tcBorders>
          <w:top w:val="nil"/>
          <w:left w:val="single" w:color="A6BFDD" w:sz="4" w:space="0"/>
          <w:bottom w:val="nil"/>
          <w:right w:val="nil"/>
        </w:tcBorders>
        <w:shd w:val="clear" w:color="FFFFFF" w:fill="auto"/>
      </w:tcPr>
    </w:tblStylePr>
    <w:tblStylePr w:type="band1Vert">
      <w:tcPr>
        <w:shd w:val="clear" w:color="DAE5F1" w:fill="DAE5F1"/>
      </w:tcPr>
    </w:tblStylePr>
    <w:tblStylePr w:type="band1Horz">
      <w:rPr>
        <w:rFonts w:ascii="Arial" w:hAnsi="Arial"/>
        <w:color w:val="A6BFDD"/>
        <w:sz w:val="22"/>
      </w:rPr>
      <w:tcPr>
        <w:shd w:val="clear" w:color="DAE5F1" w:fill="DAE5F1"/>
      </w:tcPr>
    </w:tblStylePr>
    <w:tblStylePr w:type="band2Horz">
      <w:rPr>
        <w:rFonts w:ascii="Arial" w:hAnsi="Arial"/>
        <w:color w:val="A6BFDD"/>
        <w:sz w:val="22"/>
      </w:rPr>
    </w:tblStylePr>
  </w:style>
  <w:style w:type="table" w:customStyle="1" w:styleId="2380">
    <w:name w:val="Grid Table 7 Colorful - Accent 211"/>
    <w:basedOn w:val="13"/>
    <w:uiPriority w:val="99"/>
    <w:rPr>
      <w:sz w:val="22"/>
      <w:szCs w:val="22"/>
      <w:lang w:eastAsia="en-US"/>
    </w:rPr>
    <w:tblPr>
      <w:tblBorders>
        <w:bottom w:val="single" w:color="D99695" w:sz="4" w:space="0"/>
        <w:right w:val="single" w:color="D99695" w:sz="4" w:space="0"/>
        <w:insideH w:val="single" w:color="D99695" w:sz="4" w:space="0"/>
        <w:insideV w:val="single" w:color="D99695" w:sz="4" w:space="0"/>
      </w:tblBorders>
      <w:tblCellMar>
        <w:top w:w="0" w:type="dxa"/>
        <w:left w:w="108" w:type="dxa"/>
        <w:bottom w:w="0" w:type="dxa"/>
        <w:right w:w="108" w:type="dxa"/>
      </w:tblCellMar>
    </w:tblPr>
    <w:tblStylePr w:type="firstRow">
      <w:rPr>
        <w:rFonts w:ascii="Arial" w:hAnsi="Arial"/>
        <w:b/>
        <w:color w:val="D99695"/>
        <w:sz w:val="22"/>
      </w:rPr>
      <w:tcPr>
        <w:tcBorders>
          <w:top w:val="nil"/>
          <w:left w:val="nil"/>
          <w:bottom w:val="single" w:color="D99695" w:sz="4" w:space="0"/>
          <w:right w:val="nil"/>
        </w:tcBorders>
        <w:shd w:val="clear" w:color="FFFFFF" w:fill="FFFFFF"/>
      </w:tcPr>
    </w:tblStylePr>
    <w:tblStylePr w:type="lastRow">
      <w:rPr>
        <w:rFonts w:ascii="Arial" w:hAnsi="Arial"/>
        <w:b/>
        <w:color w:val="D99695"/>
        <w:sz w:val="22"/>
      </w:rPr>
      <w:tcPr>
        <w:tcBorders>
          <w:top w:val="single" w:color="D99695" w:sz="4" w:space="0"/>
          <w:left w:val="nil"/>
          <w:bottom w:val="nil"/>
          <w:right w:val="nil"/>
        </w:tcBorders>
        <w:shd w:val="clear" w:color="FFFFFF" w:fill="FFFFFF"/>
      </w:tcPr>
    </w:tblStylePr>
    <w:tblStylePr w:type="firstCol">
      <w:pPr>
        <w:jc w:val="right"/>
      </w:pPr>
      <w:rPr>
        <w:rFonts w:ascii="Arial" w:hAnsi="Arial"/>
        <w:i/>
        <w:color w:val="D99695"/>
        <w:sz w:val="22"/>
      </w:rPr>
      <w:tcPr>
        <w:tcBorders>
          <w:top w:val="nil"/>
          <w:left w:val="nil"/>
          <w:bottom w:val="nil"/>
          <w:right w:val="single" w:color="D99695" w:sz="4" w:space="0"/>
        </w:tcBorders>
        <w:shd w:val="clear" w:color="FFFFFF" w:fill="auto"/>
      </w:tcPr>
    </w:tblStylePr>
    <w:tblStylePr w:type="lastCol">
      <w:rPr>
        <w:rFonts w:ascii="Arial" w:hAnsi="Arial"/>
        <w:i/>
        <w:color w:val="D99695"/>
        <w:sz w:val="22"/>
      </w:rPr>
      <w:tcPr>
        <w:tcBorders>
          <w:top w:val="nil"/>
          <w:left w:val="single" w:color="D99695" w:sz="4" w:space="0"/>
          <w:bottom w:val="nil"/>
          <w:right w:val="nil"/>
        </w:tcBorders>
        <w:shd w:val="clear" w:color="FFFFFF" w:fill="auto"/>
      </w:tcPr>
    </w:tblStylePr>
    <w:tblStylePr w:type="band1Vert">
      <w:tcPr>
        <w:shd w:val="clear" w:color="F2DCDC" w:fill="F2DCDC"/>
      </w:tcPr>
    </w:tblStylePr>
    <w:tblStylePr w:type="band1Horz">
      <w:rPr>
        <w:rFonts w:ascii="Arial" w:hAnsi="Arial"/>
        <w:color w:val="D99695"/>
        <w:sz w:val="22"/>
      </w:rPr>
      <w:tcPr>
        <w:shd w:val="clear" w:color="F2DCDC" w:fill="F2DCDC"/>
      </w:tcPr>
    </w:tblStylePr>
    <w:tblStylePr w:type="band2Horz">
      <w:rPr>
        <w:rFonts w:ascii="Arial" w:hAnsi="Arial"/>
        <w:color w:val="D99695"/>
        <w:sz w:val="22"/>
      </w:rPr>
    </w:tblStylePr>
  </w:style>
  <w:style w:type="table" w:customStyle="1" w:styleId="2381">
    <w:name w:val="Grid Table 7 Colorful - Accent 311"/>
    <w:basedOn w:val="13"/>
    <w:uiPriority w:val="99"/>
    <w:rPr>
      <w:sz w:val="22"/>
      <w:szCs w:val="22"/>
      <w:lang w:eastAsia="en-US"/>
    </w:rPr>
    <w:tblPr>
      <w:tblBorders>
        <w:bottom w:val="single" w:color="9ABB59" w:sz="4" w:space="0"/>
        <w:right w:val="single" w:color="9ABB59" w:sz="4" w:space="0"/>
        <w:insideH w:val="single" w:color="9ABB59" w:sz="4" w:space="0"/>
        <w:insideV w:val="single" w:color="9ABB59" w:sz="4" w:space="0"/>
      </w:tblBorders>
      <w:tblCellMar>
        <w:top w:w="0" w:type="dxa"/>
        <w:left w:w="108" w:type="dxa"/>
        <w:bottom w:w="0" w:type="dxa"/>
        <w:right w:w="108" w:type="dxa"/>
      </w:tblCellMar>
    </w:tblPr>
    <w:tblStylePr w:type="firstRow">
      <w:rPr>
        <w:rFonts w:ascii="Arial" w:hAnsi="Arial"/>
        <w:b/>
        <w:color w:val="9ABB59"/>
        <w:sz w:val="22"/>
      </w:rPr>
      <w:tcPr>
        <w:tcBorders>
          <w:top w:val="nil"/>
          <w:left w:val="nil"/>
          <w:bottom w:val="single" w:color="9ABB59" w:sz="4" w:space="0"/>
          <w:right w:val="nil"/>
        </w:tcBorders>
        <w:shd w:val="clear" w:color="FFFFFF" w:fill="FFFFFF"/>
      </w:tcPr>
    </w:tblStylePr>
    <w:tblStylePr w:type="lastRow">
      <w:rPr>
        <w:rFonts w:ascii="Arial" w:hAnsi="Arial"/>
        <w:b/>
        <w:color w:val="9ABB59"/>
        <w:sz w:val="22"/>
      </w:rPr>
      <w:tcPr>
        <w:tcBorders>
          <w:top w:val="single" w:color="9ABB59" w:sz="4" w:space="0"/>
          <w:left w:val="nil"/>
          <w:bottom w:val="nil"/>
          <w:right w:val="nil"/>
        </w:tcBorders>
        <w:shd w:val="clear" w:color="FFFFFF" w:fill="FFFFFF"/>
      </w:tcPr>
    </w:tblStylePr>
    <w:tblStylePr w:type="firstCol">
      <w:pPr>
        <w:jc w:val="right"/>
      </w:pPr>
      <w:rPr>
        <w:rFonts w:ascii="Arial" w:hAnsi="Arial"/>
        <w:i/>
        <w:color w:val="9ABB59"/>
        <w:sz w:val="22"/>
      </w:rPr>
      <w:tcPr>
        <w:tcBorders>
          <w:top w:val="nil"/>
          <w:left w:val="nil"/>
          <w:bottom w:val="nil"/>
          <w:right w:val="single" w:color="9ABB59" w:sz="4" w:space="0"/>
        </w:tcBorders>
        <w:shd w:val="clear" w:color="FFFFFF" w:fill="auto"/>
      </w:tcPr>
    </w:tblStylePr>
    <w:tblStylePr w:type="lastCol">
      <w:rPr>
        <w:rFonts w:ascii="Arial" w:hAnsi="Arial"/>
        <w:i/>
        <w:color w:val="9ABB59"/>
        <w:sz w:val="22"/>
      </w:rPr>
      <w:tcPr>
        <w:tcBorders>
          <w:top w:val="nil"/>
          <w:left w:val="single" w:color="9ABB59" w:sz="4" w:space="0"/>
          <w:bottom w:val="nil"/>
          <w:right w:val="nil"/>
        </w:tcBorders>
        <w:shd w:val="clear" w:color="FFFFFF" w:fill="auto"/>
      </w:tcPr>
    </w:tblStylePr>
    <w:tblStylePr w:type="band1Vert">
      <w:tcPr>
        <w:shd w:val="clear" w:color="EAF1DC" w:fill="EAF1DC"/>
      </w:tcPr>
    </w:tblStylePr>
    <w:tblStylePr w:type="band1Horz">
      <w:rPr>
        <w:rFonts w:ascii="Arial" w:hAnsi="Arial"/>
        <w:color w:val="9ABB59"/>
        <w:sz w:val="22"/>
      </w:rPr>
      <w:tcPr>
        <w:shd w:val="clear" w:color="EAF1DC" w:fill="EAF1DC"/>
      </w:tcPr>
    </w:tblStylePr>
    <w:tblStylePr w:type="band2Horz">
      <w:rPr>
        <w:rFonts w:ascii="Arial" w:hAnsi="Arial"/>
        <w:color w:val="9ABB59"/>
        <w:sz w:val="22"/>
      </w:rPr>
    </w:tblStylePr>
  </w:style>
  <w:style w:type="table" w:customStyle="1" w:styleId="2382">
    <w:name w:val="Grid Table 7 Colorful - Accent 411"/>
    <w:basedOn w:val="13"/>
    <w:uiPriority w:val="99"/>
    <w:rPr>
      <w:sz w:val="22"/>
      <w:szCs w:val="22"/>
      <w:lang w:eastAsia="en-US"/>
    </w:rPr>
    <w:tblPr>
      <w:tblBorders>
        <w:bottom w:val="single" w:color="B2A1C6" w:sz="4" w:space="0"/>
        <w:right w:val="single" w:color="B2A1C6" w:sz="4" w:space="0"/>
        <w:insideH w:val="single" w:color="B2A1C6" w:sz="4" w:space="0"/>
        <w:insideV w:val="single" w:color="B2A1C6" w:sz="4" w:space="0"/>
      </w:tblBorders>
      <w:tblCellMar>
        <w:top w:w="0" w:type="dxa"/>
        <w:left w:w="108" w:type="dxa"/>
        <w:bottom w:w="0" w:type="dxa"/>
        <w:right w:w="108" w:type="dxa"/>
      </w:tblCellMar>
    </w:tblPr>
    <w:tblStylePr w:type="firstRow">
      <w:rPr>
        <w:rFonts w:ascii="Arial" w:hAnsi="Arial"/>
        <w:b/>
        <w:color w:val="B2A1C6"/>
        <w:sz w:val="22"/>
      </w:rPr>
      <w:tcPr>
        <w:tcBorders>
          <w:top w:val="nil"/>
          <w:left w:val="nil"/>
          <w:bottom w:val="single" w:color="B2A1C6" w:sz="4" w:space="0"/>
          <w:right w:val="nil"/>
        </w:tcBorders>
        <w:shd w:val="clear" w:color="FFFFFF" w:fill="FFFFFF"/>
      </w:tcPr>
    </w:tblStylePr>
    <w:tblStylePr w:type="lastRow">
      <w:rPr>
        <w:rFonts w:ascii="Arial" w:hAnsi="Arial"/>
        <w:b/>
        <w:color w:val="B2A1C6"/>
        <w:sz w:val="22"/>
      </w:rPr>
      <w:tcPr>
        <w:tcBorders>
          <w:top w:val="single" w:color="B2A1C6" w:sz="4" w:space="0"/>
          <w:left w:val="nil"/>
          <w:bottom w:val="nil"/>
          <w:right w:val="nil"/>
        </w:tcBorders>
        <w:shd w:val="clear" w:color="FFFFFF" w:fill="FFFFFF"/>
      </w:tcPr>
    </w:tblStylePr>
    <w:tblStylePr w:type="firstCol">
      <w:pPr>
        <w:jc w:val="right"/>
      </w:pPr>
      <w:rPr>
        <w:rFonts w:ascii="Arial" w:hAnsi="Arial"/>
        <w:i/>
        <w:color w:val="B2A1C6"/>
        <w:sz w:val="22"/>
      </w:rPr>
      <w:tcPr>
        <w:tcBorders>
          <w:top w:val="nil"/>
          <w:left w:val="nil"/>
          <w:bottom w:val="nil"/>
          <w:right w:val="single" w:color="B2A1C6" w:sz="4" w:space="0"/>
        </w:tcBorders>
        <w:shd w:val="clear" w:color="FFFFFF" w:fill="auto"/>
      </w:tcPr>
    </w:tblStylePr>
    <w:tblStylePr w:type="lastCol">
      <w:rPr>
        <w:rFonts w:ascii="Arial" w:hAnsi="Arial"/>
        <w:i/>
        <w:color w:val="B2A1C6"/>
        <w:sz w:val="22"/>
      </w:rPr>
      <w:tcPr>
        <w:tcBorders>
          <w:top w:val="nil"/>
          <w:left w:val="single" w:color="B2A1C6" w:sz="4" w:space="0"/>
          <w:bottom w:val="nil"/>
          <w:right w:val="nil"/>
        </w:tcBorders>
        <w:shd w:val="clear" w:color="FFFFFF" w:fill="auto"/>
      </w:tcPr>
    </w:tblStylePr>
    <w:tblStylePr w:type="band1Vert">
      <w:tcPr>
        <w:shd w:val="clear" w:color="E5DFEC" w:fill="E5DFEC"/>
      </w:tcPr>
    </w:tblStylePr>
    <w:tblStylePr w:type="band1Horz">
      <w:rPr>
        <w:rFonts w:ascii="Arial" w:hAnsi="Arial"/>
        <w:color w:val="B2A1C6"/>
        <w:sz w:val="22"/>
      </w:rPr>
      <w:tcPr>
        <w:shd w:val="clear" w:color="E5DFEC" w:fill="E5DFEC"/>
      </w:tcPr>
    </w:tblStylePr>
    <w:tblStylePr w:type="band2Horz">
      <w:rPr>
        <w:rFonts w:ascii="Arial" w:hAnsi="Arial"/>
        <w:color w:val="B2A1C6"/>
        <w:sz w:val="22"/>
      </w:rPr>
    </w:tblStylePr>
  </w:style>
  <w:style w:type="table" w:customStyle="1" w:styleId="2383">
    <w:name w:val="Grid Table 7 Colorful - Accent 511"/>
    <w:basedOn w:val="13"/>
    <w:uiPriority w:val="99"/>
    <w:rPr>
      <w:sz w:val="22"/>
      <w:szCs w:val="22"/>
      <w:lang w:eastAsia="en-US"/>
    </w:rPr>
    <w:tblPr>
      <w:tblBorders>
        <w:bottom w:val="single" w:color="99D0DE" w:sz="4" w:space="0"/>
        <w:right w:val="single" w:color="99D0DE" w:sz="4" w:space="0"/>
        <w:insideH w:val="single" w:color="99D0DE" w:sz="4" w:space="0"/>
        <w:insideV w:val="single" w:color="99D0DE" w:sz="4" w:space="0"/>
      </w:tblBorders>
      <w:tblCellMar>
        <w:top w:w="0" w:type="dxa"/>
        <w:left w:w="108" w:type="dxa"/>
        <w:bottom w:w="0" w:type="dxa"/>
        <w:right w:w="108" w:type="dxa"/>
      </w:tblCellMar>
    </w:tblPr>
    <w:tblStylePr w:type="firstRow">
      <w:rPr>
        <w:rFonts w:ascii="Arial" w:hAnsi="Arial"/>
        <w:b/>
        <w:color w:val="266779"/>
        <w:sz w:val="22"/>
      </w:rPr>
      <w:tcPr>
        <w:tcBorders>
          <w:top w:val="nil"/>
          <w:left w:val="nil"/>
          <w:bottom w:val="single" w:color="99D0DE" w:sz="4" w:space="0"/>
          <w:right w:val="nil"/>
        </w:tcBorders>
        <w:shd w:val="clear" w:color="FFFFFF" w:fill="FFFFFF"/>
      </w:tcPr>
    </w:tblStylePr>
    <w:tblStylePr w:type="lastRow">
      <w:rPr>
        <w:rFonts w:ascii="Arial" w:hAnsi="Arial"/>
        <w:b/>
        <w:color w:val="266779"/>
        <w:sz w:val="22"/>
      </w:rPr>
      <w:tcPr>
        <w:tcBorders>
          <w:top w:val="single" w:color="99D0DE" w:sz="4" w:space="0"/>
          <w:left w:val="nil"/>
          <w:bottom w:val="nil"/>
          <w:right w:val="nil"/>
        </w:tcBorders>
        <w:shd w:val="clear" w:color="FFFFFF" w:fill="FFFFFF"/>
      </w:tcPr>
    </w:tblStylePr>
    <w:tblStylePr w:type="firstCol">
      <w:pPr>
        <w:jc w:val="right"/>
      </w:pPr>
      <w:rPr>
        <w:rFonts w:ascii="Arial" w:hAnsi="Arial"/>
        <w:i/>
        <w:color w:val="266779"/>
        <w:sz w:val="22"/>
      </w:rPr>
      <w:tcPr>
        <w:tcBorders>
          <w:top w:val="nil"/>
          <w:left w:val="nil"/>
          <w:bottom w:val="nil"/>
          <w:right w:val="single" w:color="99D0DE" w:sz="4" w:space="0"/>
        </w:tcBorders>
        <w:shd w:val="clear" w:color="FFFFFF" w:fill="auto"/>
      </w:tcPr>
    </w:tblStylePr>
    <w:tblStylePr w:type="lastCol">
      <w:rPr>
        <w:rFonts w:ascii="Arial" w:hAnsi="Arial"/>
        <w:i/>
        <w:color w:val="266779"/>
        <w:sz w:val="22"/>
      </w:rPr>
      <w:tcPr>
        <w:tcBorders>
          <w:top w:val="nil"/>
          <w:left w:val="single" w:color="99D0DE" w:sz="4" w:space="0"/>
          <w:bottom w:val="nil"/>
          <w:right w:val="nil"/>
        </w:tcBorders>
        <w:shd w:val="clear" w:color="FFFFFF" w:fill="auto"/>
      </w:tcPr>
    </w:tblStylePr>
    <w:tblStylePr w:type="band1Vert">
      <w:tcPr>
        <w:shd w:val="clear" w:color="DAEEF3" w:fill="DAEEF3"/>
      </w:tcPr>
    </w:tblStylePr>
    <w:tblStylePr w:type="band1Horz">
      <w:rPr>
        <w:rFonts w:ascii="Arial" w:hAnsi="Arial"/>
        <w:color w:val="266779"/>
        <w:sz w:val="22"/>
      </w:rPr>
      <w:tcPr>
        <w:shd w:val="clear" w:color="DAEEF3" w:fill="DAEEF3"/>
      </w:tcPr>
    </w:tblStylePr>
    <w:tblStylePr w:type="band2Horz">
      <w:rPr>
        <w:rFonts w:ascii="Arial" w:hAnsi="Arial"/>
        <w:color w:val="266779"/>
        <w:sz w:val="22"/>
      </w:rPr>
    </w:tblStylePr>
  </w:style>
  <w:style w:type="table" w:customStyle="1" w:styleId="2384">
    <w:name w:val="Grid Table 7 Colorful - Accent 611"/>
    <w:basedOn w:val="13"/>
    <w:uiPriority w:val="99"/>
    <w:rPr>
      <w:sz w:val="22"/>
      <w:szCs w:val="22"/>
      <w:lang w:eastAsia="en-US"/>
    </w:rPr>
    <w:tblPr>
      <w:tblBorders>
        <w:bottom w:val="single" w:color="FAC396" w:sz="4" w:space="0"/>
        <w:right w:val="single" w:color="FAC396" w:sz="4" w:space="0"/>
        <w:insideH w:val="single" w:color="FAC396" w:sz="4" w:space="0"/>
        <w:insideV w:val="single" w:color="FAC396" w:sz="4" w:space="0"/>
      </w:tblBorders>
      <w:tblCellMar>
        <w:top w:w="0" w:type="dxa"/>
        <w:left w:w="108" w:type="dxa"/>
        <w:bottom w:w="0" w:type="dxa"/>
        <w:right w:w="108" w:type="dxa"/>
      </w:tblCellMar>
    </w:tblPr>
    <w:tblStylePr w:type="firstRow">
      <w:rPr>
        <w:rFonts w:ascii="Arial" w:hAnsi="Arial"/>
        <w:b/>
        <w:color w:val="B15407"/>
        <w:sz w:val="22"/>
      </w:rPr>
      <w:tcPr>
        <w:tcBorders>
          <w:top w:val="nil"/>
          <w:left w:val="nil"/>
          <w:bottom w:val="single" w:color="FAC396" w:sz="4" w:space="0"/>
          <w:right w:val="nil"/>
        </w:tcBorders>
        <w:shd w:val="clear" w:color="FFFFFF" w:fill="FFFFFF"/>
      </w:tcPr>
    </w:tblStylePr>
    <w:tblStylePr w:type="lastRow">
      <w:rPr>
        <w:rFonts w:ascii="Arial" w:hAnsi="Arial"/>
        <w:b/>
        <w:color w:val="B15407"/>
        <w:sz w:val="22"/>
      </w:rPr>
      <w:tcPr>
        <w:tcBorders>
          <w:top w:val="single" w:color="FAC396" w:sz="4" w:space="0"/>
          <w:left w:val="nil"/>
          <w:bottom w:val="nil"/>
          <w:right w:val="nil"/>
        </w:tcBorders>
        <w:shd w:val="clear" w:color="FFFFFF" w:fill="FFFFFF"/>
      </w:tcPr>
    </w:tblStylePr>
    <w:tblStylePr w:type="firstCol">
      <w:pPr>
        <w:jc w:val="right"/>
      </w:pPr>
      <w:rPr>
        <w:rFonts w:ascii="Arial" w:hAnsi="Arial"/>
        <w:i/>
        <w:color w:val="B15407"/>
        <w:sz w:val="22"/>
      </w:rPr>
      <w:tcPr>
        <w:tcBorders>
          <w:top w:val="nil"/>
          <w:left w:val="nil"/>
          <w:bottom w:val="nil"/>
          <w:right w:val="single" w:color="FAC396" w:sz="4" w:space="0"/>
        </w:tcBorders>
        <w:shd w:val="clear" w:color="FFFFFF" w:fill="auto"/>
      </w:tcPr>
    </w:tblStylePr>
    <w:tblStylePr w:type="lastCol">
      <w:rPr>
        <w:rFonts w:ascii="Arial" w:hAnsi="Arial"/>
        <w:i/>
        <w:color w:val="B15407"/>
        <w:sz w:val="22"/>
      </w:rPr>
      <w:tcPr>
        <w:tcBorders>
          <w:top w:val="nil"/>
          <w:left w:val="single" w:color="FAC396" w:sz="4" w:space="0"/>
          <w:bottom w:val="nil"/>
          <w:right w:val="nil"/>
        </w:tcBorders>
        <w:shd w:val="clear" w:color="FFFFFF" w:fill="auto"/>
      </w:tcPr>
    </w:tblStylePr>
    <w:tblStylePr w:type="band1Vert">
      <w:tcPr>
        <w:shd w:val="clear" w:color="FDE9D8" w:fill="FDE9D8"/>
      </w:tcPr>
    </w:tblStylePr>
    <w:tblStylePr w:type="band1Horz">
      <w:rPr>
        <w:rFonts w:ascii="Arial" w:hAnsi="Arial"/>
        <w:color w:val="B15407"/>
        <w:sz w:val="22"/>
      </w:rPr>
      <w:tcPr>
        <w:shd w:val="clear" w:color="FDE9D8" w:fill="FDE9D8"/>
      </w:tcPr>
    </w:tblStylePr>
    <w:tblStylePr w:type="band2Horz">
      <w:rPr>
        <w:rFonts w:ascii="Arial" w:hAnsi="Arial"/>
        <w:color w:val="B15407"/>
        <w:sz w:val="22"/>
      </w:rPr>
    </w:tblStylePr>
  </w:style>
  <w:style w:type="table" w:customStyle="1" w:styleId="2385">
    <w:name w:val="Список-таблица 1 светлая19"/>
    <w:basedOn w:val="13"/>
    <w:uiPriority w:val="99"/>
    <w:rPr>
      <w:sz w:val="22"/>
      <w:szCs w:val="22"/>
      <w:lang w:eastAsia="en-US"/>
    </w:rPr>
    <w:tblPr>
      <w:tblCellMar>
        <w:top w:w="0" w:type="dxa"/>
        <w:left w:w="108" w:type="dxa"/>
        <w:bottom w:w="0" w:type="dxa"/>
        <w:right w:w="108" w:type="dxa"/>
      </w:tblCellMar>
    </w:tblPr>
    <w:tblStylePr w:type="firstRow">
      <w:rPr>
        <w:b/>
        <w:color w:val="404040"/>
      </w:rPr>
      <w:tcPr>
        <w:tcBorders>
          <w:top w:val="nil"/>
          <w:left w:val="nil"/>
          <w:bottom w:val="single" w:color="000000" w:sz="4" w:space="0"/>
          <w:right w:val="nil"/>
        </w:tcBorders>
      </w:tcPr>
    </w:tblStylePr>
    <w:tblStylePr w:type="lastRow">
      <w:rPr>
        <w:b/>
        <w:color w:val="404040"/>
      </w:rPr>
      <w:tcPr>
        <w:tcBorders>
          <w:top w:val="single" w:color="000000" w:sz="4" w:space="0"/>
          <w:left w:val="nil"/>
          <w:bottom w:val="nil"/>
          <w:right w:val="nil"/>
        </w:tcBorders>
      </w:tcPr>
    </w:tblStylePr>
    <w:tblStylePr w:type="firstCol">
      <w:rPr>
        <w:b/>
        <w:color w:val="404040"/>
      </w:rPr>
    </w:tblStylePr>
    <w:tblStylePr w:type="lastCol">
      <w:rPr>
        <w:b/>
        <w:color w:val="404040"/>
      </w:rPr>
    </w:tblStylePr>
    <w:tblStylePr w:type="band1Vert">
      <w:tcPr>
        <w:shd w:val="clear" w:color="BFBFBF" w:fill="BFBFBF"/>
      </w:tcPr>
    </w:tblStylePr>
    <w:tblStylePr w:type="band1Horz">
      <w:tcPr>
        <w:shd w:val="clear" w:color="BFBFBF" w:fill="BFBFBF"/>
      </w:tcPr>
    </w:tblStylePr>
  </w:style>
  <w:style w:type="table" w:customStyle="1" w:styleId="2386">
    <w:name w:val="List Table 1 Light - Accent 111"/>
    <w:basedOn w:val="13"/>
    <w:uiPriority w:val="99"/>
    <w:rPr>
      <w:sz w:val="22"/>
      <w:szCs w:val="22"/>
      <w:lang w:eastAsia="en-US"/>
    </w:rPr>
    <w:tblPr>
      <w:tblCellMar>
        <w:top w:w="0" w:type="dxa"/>
        <w:left w:w="108" w:type="dxa"/>
        <w:bottom w:w="0" w:type="dxa"/>
        <w:right w:w="108" w:type="dxa"/>
      </w:tblCellMar>
    </w:tblPr>
    <w:tblStylePr w:type="firstRow">
      <w:rPr>
        <w:b/>
        <w:color w:val="404040"/>
      </w:rPr>
      <w:tcPr>
        <w:tcBorders>
          <w:top w:val="nil"/>
          <w:left w:val="nil"/>
          <w:bottom w:val="single" w:color="4F81BD" w:sz="4" w:space="0"/>
          <w:right w:val="nil"/>
        </w:tcBorders>
      </w:tcPr>
    </w:tblStylePr>
    <w:tblStylePr w:type="lastRow">
      <w:rPr>
        <w:b/>
        <w:color w:val="404040"/>
      </w:rPr>
      <w:tcPr>
        <w:tcBorders>
          <w:top w:val="single" w:color="4F81BD" w:sz="4" w:space="0"/>
          <w:left w:val="nil"/>
          <w:bottom w:val="nil"/>
          <w:right w:val="nil"/>
        </w:tcBorders>
      </w:tcPr>
    </w:tblStylePr>
    <w:tblStylePr w:type="firstCol">
      <w:rPr>
        <w:b/>
        <w:color w:val="404040"/>
      </w:rPr>
    </w:tblStylePr>
    <w:tblStylePr w:type="lastCol">
      <w:rPr>
        <w:b/>
        <w:color w:val="404040"/>
      </w:rPr>
    </w:tblStylePr>
    <w:tblStylePr w:type="band1Vert">
      <w:tcPr>
        <w:shd w:val="clear" w:color="D2DFEE" w:fill="D2DFEE"/>
      </w:tcPr>
    </w:tblStylePr>
    <w:tblStylePr w:type="band1Horz">
      <w:tcPr>
        <w:shd w:val="clear" w:color="D2DFEE" w:fill="D2DFEE"/>
      </w:tcPr>
    </w:tblStylePr>
  </w:style>
  <w:style w:type="table" w:customStyle="1" w:styleId="2387">
    <w:name w:val="List Table 1 Light - Accent 211"/>
    <w:basedOn w:val="13"/>
    <w:uiPriority w:val="99"/>
    <w:rPr>
      <w:sz w:val="22"/>
      <w:szCs w:val="22"/>
      <w:lang w:eastAsia="en-US"/>
    </w:rPr>
    <w:tblPr>
      <w:tblCellMar>
        <w:top w:w="0" w:type="dxa"/>
        <w:left w:w="108" w:type="dxa"/>
        <w:bottom w:w="0" w:type="dxa"/>
        <w:right w:w="108" w:type="dxa"/>
      </w:tblCellMar>
    </w:tblPr>
    <w:tblStylePr w:type="firstRow">
      <w:rPr>
        <w:b/>
        <w:color w:val="404040"/>
      </w:rPr>
      <w:tcPr>
        <w:tcBorders>
          <w:top w:val="nil"/>
          <w:left w:val="nil"/>
          <w:bottom w:val="single" w:color="C0504D" w:sz="4" w:space="0"/>
          <w:right w:val="nil"/>
        </w:tcBorders>
      </w:tcPr>
    </w:tblStylePr>
    <w:tblStylePr w:type="lastRow">
      <w:rPr>
        <w:b/>
        <w:color w:val="404040"/>
      </w:rPr>
      <w:tcPr>
        <w:tcBorders>
          <w:top w:val="single" w:color="C0504D" w:sz="4" w:space="0"/>
          <w:left w:val="nil"/>
          <w:bottom w:val="nil"/>
          <w:right w:val="nil"/>
        </w:tcBorders>
      </w:tcPr>
    </w:tblStylePr>
    <w:tblStylePr w:type="firstCol">
      <w:rPr>
        <w:b/>
        <w:color w:val="404040"/>
      </w:rPr>
    </w:tblStylePr>
    <w:tblStylePr w:type="lastCol">
      <w:rPr>
        <w:b/>
        <w:color w:val="404040"/>
      </w:rPr>
    </w:tblStylePr>
    <w:tblStylePr w:type="band1Vert">
      <w:tcPr>
        <w:shd w:val="clear" w:color="EFD2D2" w:fill="EFD2D2"/>
      </w:tcPr>
    </w:tblStylePr>
    <w:tblStylePr w:type="band1Horz">
      <w:tcPr>
        <w:shd w:val="clear" w:color="EFD2D2" w:fill="EFD2D2"/>
      </w:tcPr>
    </w:tblStylePr>
  </w:style>
  <w:style w:type="table" w:customStyle="1" w:styleId="2388">
    <w:name w:val="List Table 1 Light - Accent 311"/>
    <w:basedOn w:val="13"/>
    <w:uiPriority w:val="99"/>
    <w:rPr>
      <w:sz w:val="22"/>
      <w:szCs w:val="22"/>
      <w:lang w:eastAsia="en-US"/>
    </w:rPr>
    <w:tblPr>
      <w:tblCellMar>
        <w:top w:w="0" w:type="dxa"/>
        <w:left w:w="108" w:type="dxa"/>
        <w:bottom w:w="0" w:type="dxa"/>
        <w:right w:w="108" w:type="dxa"/>
      </w:tblCellMar>
    </w:tblPr>
    <w:tblStylePr w:type="firstRow">
      <w:rPr>
        <w:b/>
        <w:color w:val="404040"/>
      </w:rPr>
      <w:tcPr>
        <w:tcBorders>
          <w:top w:val="nil"/>
          <w:left w:val="nil"/>
          <w:bottom w:val="single" w:color="9BBB59" w:sz="4" w:space="0"/>
          <w:right w:val="nil"/>
        </w:tcBorders>
      </w:tcPr>
    </w:tblStylePr>
    <w:tblStylePr w:type="lastRow">
      <w:rPr>
        <w:b/>
        <w:color w:val="404040"/>
      </w:rPr>
      <w:tcPr>
        <w:tcBorders>
          <w:top w:val="single" w:color="9BBB59" w:sz="4" w:space="0"/>
          <w:left w:val="nil"/>
          <w:bottom w:val="nil"/>
          <w:right w:val="nil"/>
        </w:tcBorders>
      </w:tcPr>
    </w:tblStylePr>
    <w:tblStylePr w:type="firstCol">
      <w:rPr>
        <w:b/>
        <w:color w:val="404040"/>
      </w:rPr>
    </w:tblStylePr>
    <w:tblStylePr w:type="lastCol">
      <w:rPr>
        <w:b/>
        <w:color w:val="404040"/>
      </w:rPr>
    </w:tblStylePr>
    <w:tblStylePr w:type="band1Vert">
      <w:tcPr>
        <w:shd w:val="clear" w:color="E5EED5" w:fill="E5EED5"/>
      </w:tcPr>
    </w:tblStylePr>
    <w:tblStylePr w:type="band1Horz">
      <w:tcPr>
        <w:shd w:val="clear" w:color="E5EED5" w:fill="E5EED5"/>
      </w:tcPr>
    </w:tblStylePr>
  </w:style>
  <w:style w:type="table" w:customStyle="1" w:styleId="2389">
    <w:name w:val="List Table 1 Light - Accent 411"/>
    <w:basedOn w:val="13"/>
    <w:uiPriority w:val="99"/>
    <w:rPr>
      <w:sz w:val="22"/>
      <w:szCs w:val="22"/>
      <w:lang w:eastAsia="en-US"/>
    </w:rPr>
    <w:tblPr>
      <w:tblCellMar>
        <w:top w:w="0" w:type="dxa"/>
        <w:left w:w="108" w:type="dxa"/>
        <w:bottom w:w="0" w:type="dxa"/>
        <w:right w:w="108" w:type="dxa"/>
      </w:tblCellMar>
    </w:tblPr>
    <w:tblStylePr w:type="firstRow">
      <w:rPr>
        <w:b/>
        <w:color w:val="404040"/>
      </w:rPr>
      <w:tcPr>
        <w:tcBorders>
          <w:top w:val="nil"/>
          <w:left w:val="nil"/>
          <w:bottom w:val="single" w:color="8064A2" w:sz="4" w:space="0"/>
          <w:right w:val="nil"/>
        </w:tcBorders>
      </w:tcPr>
    </w:tblStylePr>
    <w:tblStylePr w:type="lastRow">
      <w:rPr>
        <w:b/>
        <w:color w:val="404040"/>
      </w:rPr>
      <w:tcPr>
        <w:tcBorders>
          <w:top w:val="single" w:color="8064A2" w:sz="4" w:space="0"/>
          <w:left w:val="nil"/>
          <w:bottom w:val="nil"/>
          <w:right w:val="nil"/>
        </w:tcBorders>
      </w:tcPr>
    </w:tblStylePr>
    <w:tblStylePr w:type="firstCol">
      <w:rPr>
        <w:b/>
        <w:color w:val="404040"/>
      </w:rPr>
    </w:tblStylePr>
    <w:tblStylePr w:type="lastCol">
      <w:rPr>
        <w:b/>
        <w:color w:val="404040"/>
      </w:rPr>
    </w:tblStylePr>
    <w:tblStylePr w:type="band1Vert">
      <w:tcPr>
        <w:shd w:val="clear" w:color="DFD8E7" w:fill="DFD8E7"/>
      </w:tcPr>
    </w:tblStylePr>
    <w:tblStylePr w:type="band1Horz">
      <w:tcPr>
        <w:shd w:val="clear" w:color="DFD8E7" w:fill="DFD8E7"/>
      </w:tcPr>
    </w:tblStylePr>
  </w:style>
  <w:style w:type="table" w:customStyle="1" w:styleId="2390">
    <w:name w:val="List Table 1 Light - Accent 511"/>
    <w:basedOn w:val="13"/>
    <w:uiPriority w:val="99"/>
    <w:rPr>
      <w:sz w:val="22"/>
      <w:szCs w:val="22"/>
      <w:lang w:eastAsia="en-US"/>
    </w:rPr>
    <w:tblPr>
      <w:tblCellMar>
        <w:top w:w="0" w:type="dxa"/>
        <w:left w:w="108" w:type="dxa"/>
        <w:bottom w:w="0" w:type="dxa"/>
        <w:right w:w="108" w:type="dxa"/>
      </w:tblCellMar>
    </w:tblPr>
    <w:tblStylePr w:type="firstRow">
      <w:rPr>
        <w:b/>
        <w:color w:val="404040"/>
      </w:rPr>
      <w:tcPr>
        <w:tcBorders>
          <w:top w:val="nil"/>
          <w:left w:val="nil"/>
          <w:bottom w:val="single" w:color="4BACC6" w:sz="4" w:space="0"/>
          <w:right w:val="nil"/>
        </w:tcBorders>
      </w:tcPr>
    </w:tblStylePr>
    <w:tblStylePr w:type="lastRow">
      <w:rPr>
        <w:b/>
        <w:color w:val="404040"/>
      </w:rPr>
      <w:tcPr>
        <w:tcBorders>
          <w:top w:val="single" w:color="4BACC6" w:sz="4" w:space="0"/>
          <w:left w:val="nil"/>
          <w:bottom w:val="nil"/>
          <w:right w:val="nil"/>
        </w:tcBorders>
      </w:tcPr>
    </w:tblStylePr>
    <w:tblStylePr w:type="firstCol">
      <w:rPr>
        <w:b/>
        <w:color w:val="404040"/>
      </w:rPr>
    </w:tblStylePr>
    <w:tblStylePr w:type="lastCol">
      <w:rPr>
        <w:b/>
        <w:color w:val="404040"/>
      </w:rPr>
    </w:tblStylePr>
    <w:tblStylePr w:type="band1Vert">
      <w:tcPr>
        <w:shd w:val="clear" w:color="D1EAF0" w:fill="D1EAF0"/>
      </w:tcPr>
    </w:tblStylePr>
    <w:tblStylePr w:type="band1Horz">
      <w:tcPr>
        <w:shd w:val="clear" w:color="D1EAF0" w:fill="D1EAF0"/>
      </w:tcPr>
    </w:tblStylePr>
  </w:style>
  <w:style w:type="table" w:customStyle="1" w:styleId="2391">
    <w:name w:val="List Table 1 Light - Accent 611"/>
    <w:basedOn w:val="13"/>
    <w:uiPriority w:val="99"/>
    <w:rPr>
      <w:sz w:val="22"/>
      <w:szCs w:val="22"/>
      <w:lang w:eastAsia="en-US"/>
    </w:rPr>
    <w:tblPr>
      <w:tblCellMar>
        <w:top w:w="0" w:type="dxa"/>
        <w:left w:w="108" w:type="dxa"/>
        <w:bottom w:w="0" w:type="dxa"/>
        <w:right w:w="108" w:type="dxa"/>
      </w:tblCellMar>
    </w:tblPr>
    <w:tblStylePr w:type="firstRow">
      <w:rPr>
        <w:b/>
        <w:color w:val="404040"/>
      </w:rPr>
      <w:tcPr>
        <w:tcBorders>
          <w:top w:val="nil"/>
          <w:left w:val="nil"/>
          <w:bottom w:val="single" w:color="F79646" w:sz="4" w:space="0"/>
          <w:right w:val="nil"/>
        </w:tcBorders>
      </w:tcPr>
    </w:tblStylePr>
    <w:tblStylePr w:type="lastRow">
      <w:rPr>
        <w:b/>
        <w:color w:val="404040"/>
      </w:rPr>
      <w:tcPr>
        <w:tcBorders>
          <w:top w:val="single" w:color="F79646" w:sz="4" w:space="0"/>
          <w:left w:val="nil"/>
          <w:bottom w:val="nil"/>
          <w:right w:val="nil"/>
        </w:tcBorders>
      </w:tcPr>
    </w:tblStylePr>
    <w:tblStylePr w:type="firstCol">
      <w:rPr>
        <w:b/>
        <w:color w:val="404040"/>
      </w:rPr>
    </w:tblStylePr>
    <w:tblStylePr w:type="lastCol">
      <w:rPr>
        <w:b/>
        <w:color w:val="404040"/>
      </w:rPr>
    </w:tblStylePr>
    <w:tblStylePr w:type="band1Vert">
      <w:tcPr>
        <w:shd w:val="clear" w:color="FDE4D0" w:fill="FDE4D0"/>
      </w:tcPr>
    </w:tblStylePr>
    <w:tblStylePr w:type="band1Horz">
      <w:tcPr>
        <w:shd w:val="clear" w:color="FDE4D0" w:fill="FDE4D0"/>
      </w:tcPr>
    </w:tblStylePr>
  </w:style>
  <w:style w:type="table" w:customStyle="1" w:styleId="2392">
    <w:name w:val="Список-таблица 219"/>
    <w:basedOn w:val="13"/>
    <w:uiPriority w:val="99"/>
    <w:rPr>
      <w:sz w:val="22"/>
      <w:szCs w:val="22"/>
      <w:lang w:eastAsia="en-US"/>
    </w:rPr>
    <w:tblPr>
      <w:tblBorders>
        <w:top w:val="single" w:color="6F6F6F" w:sz="4" w:space="0"/>
        <w:bottom w:val="single" w:color="6F6F6F" w:sz="4" w:space="0"/>
        <w:insideH w:val="single" w:color="6F6F6F" w:sz="4" w:space="0"/>
      </w:tblBorders>
      <w:tblCellMar>
        <w:top w:w="0" w:type="dxa"/>
        <w:left w:w="108" w:type="dxa"/>
        <w:bottom w:w="0" w:type="dxa"/>
        <w:right w:w="108" w:type="dxa"/>
      </w:tblCellMar>
    </w:tblPr>
    <w:tblStylePr w:type="firstRow">
      <w:rPr>
        <w:rFonts w:ascii="Arial" w:hAnsi="Arial"/>
        <w:b/>
        <w:color w:val="404040"/>
        <w:sz w:val="22"/>
      </w:rPr>
      <w:tcPr>
        <w:tcBorders>
          <w:top w:val="single" w:color="6F6F6F" w:sz="4" w:space="0"/>
          <w:left w:val="nil"/>
          <w:bottom w:val="single" w:color="6F6F6F" w:sz="4" w:space="0"/>
          <w:right w:val="nil"/>
        </w:tcBorders>
      </w:tcPr>
    </w:tblStylePr>
    <w:tblStylePr w:type="lastRow">
      <w:rPr>
        <w:rFonts w:ascii="Arial" w:hAnsi="Arial"/>
        <w:b/>
        <w:color w:val="404040"/>
        <w:sz w:val="22"/>
      </w:rPr>
      <w:tcPr>
        <w:tcBorders>
          <w:top w:val="single" w:color="6F6F6F" w:sz="4" w:space="0"/>
          <w:left w:val="nil"/>
          <w:bottom w:val="single" w:color="6F6F6F"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BFBFBF" w:fill="BFBFBF"/>
      </w:tcPr>
    </w:tblStylePr>
    <w:tblStylePr w:type="band1Horz">
      <w:rPr>
        <w:rFonts w:ascii="Arial" w:hAnsi="Arial"/>
        <w:color w:val="404040"/>
        <w:sz w:val="22"/>
      </w:rPr>
      <w:tcPr>
        <w:shd w:val="clear" w:color="BFBFBF" w:fill="BFBFBF"/>
      </w:tcPr>
    </w:tblStylePr>
  </w:style>
  <w:style w:type="table" w:customStyle="1" w:styleId="2393">
    <w:name w:val="List Table 2 - Accent 111"/>
    <w:basedOn w:val="13"/>
    <w:uiPriority w:val="99"/>
    <w:rPr>
      <w:sz w:val="22"/>
      <w:szCs w:val="22"/>
      <w:lang w:eastAsia="en-US"/>
    </w:rPr>
    <w:tblPr>
      <w:tblBorders>
        <w:top w:val="single" w:color="9BB7D9" w:sz="4" w:space="0"/>
        <w:bottom w:val="single" w:color="9BB7D9" w:sz="4" w:space="0"/>
        <w:insideH w:val="single" w:color="9BB7D9" w:sz="4" w:space="0"/>
      </w:tblBorders>
      <w:tblCellMar>
        <w:top w:w="0" w:type="dxa"/>
        <w:left w:w="108" w:type="dxa"/>
        <w:bottom w:w="0" w:type="dxa"/>
        <w:right w:w="108" w:type="dxa"/>
      </w:tblCellMar>
    </w:tblPr>
    <w:tblStylePr w:type="firstRow">
      <w:rPr>
        <w:rFonts w:ascii="Arial" w:hAnsi="Arial"/>
        <w:b/>
        <w:color w:val="404040"/>
        <w:sz w:val="22"/>
      </w:rPr>
      <w:tcPr>
        <w:tcBorders>
          <w:top w:val="single" w:color="9BB7D9" w:sz="4" w:space="0"/>
          <w:left w:val="nil"/>
          <w:bottom w:val="single" w:color="9BB7D9" w:sz="4" w:space="0"/>
          <w:right w:val="nil"/>
        </w:tcBorders>
      </w:tcPr>
    </w:tblStylePr>
    <w:tblStylePr w:type="lastRow">
      <w:rPr>
        <w:rFonts w:ascii="Arial" w:hAnsi="Arial"/>
        <w:b/>
        <w:color w:val="404040"/>
        <w:sz w:val="22"/>
      </w:rPr>
      <w:tcPr>
        <w:tcBorders>
          <w:top w:val="single" w:color="9BB7D9" w:sz="4" w:space="0"/>
          <w:left w:val="nil"/>
          <w:bottom w:val="single" w:color="9BB7D9"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D2DFEE" w:fill="D2DFEE"/>
      </w:tcPr>
    </w:tblStylePr>
    <w:tblStylePr w:type="band1Horz">
      <w:rPr>
        <w:rFonts w:ascii="Arial" w:hAnsi="Arial"/>
        <w:color w:val="404040"/>
        <w:sz w:val="22"/>
      </w:rPr>
      <w:tcPr>
        <w:shd w:val="clear" w:color="D2DFEE" w:fill="D2DFEE"/>
      </w:tcPr>
    </w:tblStylePr>
  </w:style>
  <w:style w:type="table" w:customStyle="1" w:styleId="2394">
    <w:name w:val="List Table 2 - Accent 211"/>
    <w:basedOn w:val="13"/>
    <w:uiPriority w:val="99"/>
    <w:rPr>
      <w:sz w:val="22"/>
      <w:szCs w:val="22"/>
      <w:lang w:eastAsia="en-US"/>
    </w:rPr>
    <w:tblPr>
      <w:tblBorders>
        <w:top w:val="single" w:color="DB9B9A" w:sz="4" w:space="0"/>
        <w:bottom w:val="single" w:color="DB9B9A" w:sz="4" w:space="0"/>
        <w:insideH w:val="single" w:color="DB9B9A" w:sz="4" w:space="0"/>
      </w:tblBorders>
      <w:tblCellMar>
        <w:top w:w="0" w:type="dxa"/>
        <w:left w:w="108" w:type="dxa"/>
        <w:bottom w:w="0" w:type="dxa"/>
        <w:right w:w="108" w:type="dxa"/>
      </w:tblCellMar>
    </w:tblPr>
    <w:tblStylePr w:type="firstRow">
      <w:rPr>
        <w:rFonts w:ascii="Arial" w:hAnsi="Arial"/>
        <w:b/>
        <w:color w:val="404040"/>
        <w:sz w:val="22"/>
      </w:rPr>
      <w:tcPr>
        <w:tcBorders>
          <w:top w:val="single" w:color="DB9B9A" w:sz="4" w:space="0"/>
          <w:left w:val="nil"/>
          <w:bottom w:val="single" w:color="DB9B9A" w:sz="4" w:space="0"/>
          <w:right w:val="nil"/>
        </w:tcBorders>
      </w:tcPr>
    </w:tblStylePr>
    <w:tblStylePr w:type="lastRow">
      <w:rPr>
        <w:rFonts w:ascii="Arial" w:hAnsi="Arial"/>
        <w:b/>
        <w:color w:val="404040"/>
        <w:sz w:val="22"/>
      </w:rPr>
      <w:tcPr>
        <w:tcBorders>
          <w:top w:val="single" w:color="DB9B9A" w:sz="4" w:space="0"/>
          <w:left w:val="nil"/>
          <w:bottom w:val="single" w:color="DB9B9A"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EFD2D2" w:fill="EFD2D2"/>
      </w:tcPr>
    </w:tblStylePr>
    <w:tblStylePr w:type="band1Horz">
      <w:rPr>
        <w:rFonts w:ascii="Arial" w:hAnsi="Arial"/>
        <w:color w:val="404040"/>
        <w:sz w:val="22"/>
      </w:rPr>
      <w:tcPr>
        <w:shd w:val="clear" w:color="EFD2D2" w:fill="EFD2D2"/>
      </w:tcPr>
    </w:tblStylePr>
  </w:style>
  <w:style w:type="table" w:customStyle="1" w:styleId="2395">
    <w:name w:val="List Table 2 - Accent 311"/>
    <w:basedOn w:val="13"/>
    <w:uiPriority w:val="99"/>
    <w:rPr>
      <w:sz w:val="22"/>
      <w:szCs w:val="22"/>
      <w:lang w:eastAsia="en-US"/>
    </w:rPr>
    <w:tblPr>
      <w:tblBorders>
        <w:top w:val="single" w:color="C6D8A1" w:sz="4" w:space="0"/>
        <w:bottom w:val="single" w:color="C6D8A1" w:sz="4" w:space="0"/>
        <w:insideH w:val="single" w:color="C6D8A1" w:sz="4" w:space="0"/>
      </w:tblBorders>
      <w:tblCellMar>
        <w:top w:w="0" w:type="dxa"/>
        <w:left w:w="108" w:type="dxa"/>
        <w:bottom w:w="0" w:type="dxa"/>
        <w:right w:w="108" w:type="dxa"/>
      </w:tblCellMar>
    </w:tblPr>
    <w:tblStylePr w:type="firstRow">
      <w:rPr>
        <w:rFonts w:ascii="Arial" w:hAnsi="Arial"/>
        <w:b/>
        <w:color w:val="404040"/>
        <w:sz w:val="22"/>
      </w:rPr>
      <w:tcPr>
        <w:tcBorders>
          <w:top w:val="single" w:color="C6D8A1" w:sz="4" w:space="0"/>
          <w:left w:val="nil"/>
          <w:bottom w:val="single" w:color="C6D8A1" w:sz="4" w:space="0"/>
          <w:right w:val="nil"/>
        </w:tcBorders>
      </w:tcPr>
    </w:tblStylePr>
    <w:tblStylePr w:type="lastRow">
      <w:rPr>
        <w:rFonts w:ascii="Arial" w:hAnsi="Arial"/>
        <w:b/>
        <w:color w:val="404040"/>
        <w:sz w:val="22"/>
      </w:rPr>
      <w:tcPr>
        <w:tcBorders>
          <w:top w:val="single" w:color="C6D8A1" w:sz="4" w:space="0"/>
          <w:left w:val="nil"/>
          <w:bottom w:val="single" w:color="C6D8A1"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E5EED5" w:fill="E5EED5"/>
      </w:tcPr>
    </w:tblStylePr>
    <w:tblStylePr w:type="band1Horz">
      <w:rPr>
        <w:rFonts w:ascii="Arial" w:hAnsi="Arial"/>
        <w:color w:val="404040"/>
        <w:sz w:val="22"/>
      </w:rPr>
      <w:tcPr>
        <w:shd w:val="clear" w:color="E5EED5" w:fill="E5EED5"/>
      </w:tcPr>
    </w:tblStylePr>
  </w:style>
  <w:style w:type="table" w:customStyle="1" w:styleId="2396">
    <w:name w:val="List Table 2 - Accent 411"/>
    <w:basedOn w:val="13"/>
    <w:uiPriority w:val="99"/>
    <w:rPr>
      <w:sz w:val="22"/>
      <w:szCs w:val="22"/>
      <w:lang w:eastAsia="en-US"/>
    </w:rPr>
    <w:tblPr>
      <w:tblBorders>
        <w:top w:val="single" w:color="B7A7CA" w:sz="4" w:space="0"/>
        <w:bottom w:val="single" w:color="B7A7CA" w:sz="4" w:space="0"/>
        <w:insideH w:val="single" w:color="B7A7CA" w:sz="4" w:space="0"/>
      </w:tblBorders>
      <w:tblCellMar>
        <w:top w:w="0" w:type="dxa"/>
        <w:left w:w="108" w:type="dxa"/>
        <w:bottom w:w="0" w:type="dxa"/>
        <w:right w:w="108" w:type="dxa"/>
      </w:tblCellMar>
    </w:tblPr>
    <w:tblStylePr w:type="firstRow">
      <w:rPr>
        <w:rFonts w:ascii="Arial" w:hAnsi="Arial"/>
        <w:b/>
        <w:color w:val="404040"/>
        <w:sz w:val="22"/>
      </w:rPr>
      <w:tcPr>
        <w:tcBorders>
          <w:top w:val="single" w:color="B7A7CA" w:sz="4" w:space="0"/>
          <w:left w:val="nil"/>
          <w:bottom w:val="single" w:color="B7A7CA" w:sz="4" w:space="0"/>
          <w:right w:val="nil"/>
        </w:tcBorders>
      </w:tcPr>
    </w:tblStylePr>
    <w:tblStylePr w:type="lastRow">
      <w:rPr>
        <w:rFonts w:ascii="Arial" w:hAnsi="Arial"/>
        <w:b/>
        <w:color w:val="404040"/>
        <w:sz w:val="22"/>
      </w:rPr>
      <w:tcPr>
        <w:tcBorders>
          <w:top w:val="single" w:color="B7A7CA" w:sz="4" w:space="0"/>
          <w:left w:val="nil"/>
          <w:bottom w:val="single" w:color="B7A7CA"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DFD8E7" w:fill="DFD8E7"/>
      </w:tcPr>
    </w:tblStylePr>
    <w:tblStylePr w:type="band1Horz">
      <w:rPr>
        <w:rFonts w:ascii="Arial" w:hAnsi="Arial"/>
        <w:color w:val="404040"/>
        <w:sz w:val="22"/>
      </w:rPr>
      <w:tcPr>
        <w:shd w:val="clear" w:color="DFD8E7" w:fill="DFD8E7"/>
      </w:tcPr>
    </w:tblStylePr>
  </w:style>
  <w:style w:type="table" w:customStyle="1" w:styleId="2397">
    <w:name w:val="List Table 2 - Accent 511"/>
    <w:basedOn w:val="13"/>
    <w:uiPriority w:val="99"/>
    <w:rPr>
      <w:sz w:val="22"/>
      <w:szCs w:val="22"/>
      <w:lang w:eastAsia="en-US"/>
    </w:rPr>
    <w:tblPr>
      <w:tblBorders>
        <w:top w:val="single" w:color="99D0DE" w:sz="4" w:space="0"/>
        <w:bottom w:val="single" w:color="99D0DE" w:sz="4" w:space="0"/>
        <w:insideH w:val="single" w:color="99D0DE" w:sz="4" w:space="0"/>
      </w:tblBorders>
      <w:tblCellMar>
        <w:top w:w="0" w:type="dxa"/>
        <w:left w:w="108" w:type="dxa"/>
        <w:bottom w:w="0" w:type="dxa"/>
        <w:right w:w="108" w:type="dxa"/>
      </w:tblCellMar>
    </w:tblPr>
    <w:tblStylePr w:type="firstRow">
      <w:rPr>
        <w:rFonts w:ascii="Arial" w:hAnsi="Arial"/>
        <w:b/>
        <w:color w:val="404040"/>
        <w:sz w:val="22"/>
      </w:rPr>
      <w:tcPr>
        <w:tcBorders>
          <w:top w:val="single" w:color="99D0DE" w:sz="4" w:space="0"/>
          <w:left w:val="nil"/>
          <w:bottom w:val="single" w:color="99D0DE" w:sz="4" w:space="0"/>
          <w:right w:val="nil"/>
        </w:tcBorders>
      </w:tcPr>
    </w:tblStylePr>
    <w:tblStylePr w:type="lastRow">
      <w:rPr>
        <w:rFonts w:ascii="Arial" w:hAnsi="Arial"/>
        <w:b/>
        <w:color w:val="404040"/>
        <w:sz w:val="22"/>
      </w:rPr>
      <w:tcPr>
        <w:tcBorders>
          <w:top w:val="single" w:color="99D0DE" w:sz="4" w:space="0"/>
          <w:left w:val="nil"/>
          <w:bottom w:val="single" w:color="99D0DE"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D1EAF0" w:fill="D1EAF0"/>
      </w:tcPr>
    </w:tblStylePr>
    <w:tblStylePr w:type="band1Horz">
      <w:rPr>
        <w:rFonts w:ascii="Arial" w:hAnsi="Arial"/>
        <w:color w:val="404040"/>
        <w:sz w:val="22"/>
      </w:rPr>
      <w:tcPr>
        <w:shd w:val="clear" w:color="D1EAF0" w:fill="D1EAF0"/>
      </w:tcPr>
    </w:tblStylePr>
  </w:style>
  <w:style w:type="table" w:customStyle="1" w:styleId="2398">
    <w:name w:val="List Table 2 - Accent 611"/>
    <w:basedOn w:val="13"/>
    <w:uiPriority w:val="99"/>
    <w:rPr>
      <w:sz w:val="22"/>
      <w:szCs w:val="22"/>
      <w:lang w:eastAsia="en-US"/>
    </w:rPr>
    <w:tblPr>
      <w:tblBorders>
        <w:top w:val="single" w:color="FAC396" w:sz="4" w:space="0"/>
        <w:bottom w:val="single" w:color="FAC396" w:sz="4" w:space="0"/>
        <w:insideH w:val="single" w:color="FAC396" w:sz="4" w:space="0"/>
      </w:tblBorders>
      <w:tblCellMar>
        <w:top w:w="0" w:type="dxa"/>
        <w:left w:w="108" w:type="dxa"/>
        <w:bottom w:w="0" w:type="dxa"/>
        <w:right w:w="108" w:type="dxa"/>
      </w:tblCellMar>
    </w:tblPr>
    <w:tblStylePr w:type="firstRow">
      <w:rPr>
        <w:rFonts w:ascii="Arial" w:hAnsi="Arial"/>
        <w:b/>
        <w:color w:val="404040"/>
        <w:sz w:val="22"/>
      </w:rPr>
      <w:tcPr>
        <w:tcBorders>
          <w:top w:val="single" w:color="FAC396" w:sz="4" w:space="0"/>
          <w:left w:val="nil"/>
          <w:bottom w:val="single" w:color="FAC396" w:sz="4" w:space="0"/>
          <w:right w:val="nil"/>
        </w:tcBorders>
      </w:tcPr>
    </w:tblStylePr>
    <w:tblStylePr w:type="lastRow">
      <w:rPr>
        <w:rFonts w:ascii="Arial" w:hAnsi="Arial"/>
        <w:b/>
        <w:color w:val="404040"/>
        <w:sz w:val="22"/>
      </w:rPr>
      <w:tcPr>
        <w:tcBorders>
          <w:top w:val="single" w:color="FAC396" w:sz="4" w:space="0"/>
          <w:left w:val="nil"/>
          <w:bottom w:val="single" w:color="FAC396"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FDE4D0" w:fill="FDE4D0"/>
      </w:tcPr>
    </w:tblStylePr>
    <w:tblStylePr w:type="band1Horz">
      <w:rPr>
        <w:rFonts w:ascii="Arial" w:hAnsi="Arial"/>
        <w:color w:val="404040"/>
        <w:sz w:val="22"/>
      </w:rPr>
      <w:tcPr>
        <w:shd w:val="clear" w:color="FDE4D0" w:fill="FDE4D0"/>
      </w:tcPr>
    </w:tblStylePr>
  </w:style>
  <w:style w:type="table" w:customStyle="1" w:styleId="2399">
    <w:name w:val="Список-таблица 319"/>
    <w:basedOn w:val="13"/>
    <w:uiPriority w:val="99"/>
    <w:rPr>
      <w:sz w:val="22"/>
      <w:szCs w:val="22"/>
      <w:lang w:eastAsia="en-US"/>
    </w:rPr>
    <w:tblPr>
      <w:tblBorders>
        <w:top w:val="single" w:color="000000" w:sz="4" w:space="0"/>
        <w:left w:val="single" w:color="000000" w:sz="4" w:space="0"/>
        <w:bottom w:val="single" w:color="000000" w:sz="4" w:space="0"/>
        <w:right w:val="single" w:color="000000" w:sz="4" w:space="0"/>
      </w:tblBorders>
      <w:tblCellMar>
        <w:top w:w="0" w:type="dxa"/>
        <w:left w:w="108" w:type="dxa"/>
        <w:bottom w:w="0" w:type="dxa"/>
        <w:right w:w="108" w:type="dxa"/>
      </w:tblCellMar>
    </w:tblPr>
    <w:tblStylePr w:type="firstRow">
      <w:rPr>
        <w:rFonts w:ascii="Arial" w:hAnsi="Arial"/>
        <w:b/>
        <w:color w:val="FFFFFF"/>
        <w:sz w:val="22"/>
      </w:r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000000" w:sz="4" w:space="0"/>
          <w:right w:val="single" w:color="000000" w:sz="4" w:space="0"/>
        </w:tcBorders>
      </w:tcPr>
    </w:tblStylePr>
    <w:tblStylePr w:type="band1Horz">
      <w:rPr>
        <w:rFonts w:ascii="Arial" w:hAnsi="Arial"/>
        <w:color w:val="404040"/>
        <w:sz w:val="22"/>
      </w:rPr>
      <w:tcPr>
        <w:tcBorders>
          <w:top w:val="single" w:color="000000" w:sz="4" w:space="0"/>
          <w:bottom w:val="single" w:color="000000" w:sz="4" w:space="0"/>
        </w:tcBorders>
      </w:tcPr>
    </w:tblStylePr>
  </w:style>
  <w:style w:type="table" w:customStyle="1" w:styleId="2400">
    <w:name w:val="List Table 3 - Accent 111"/>
    <w:basedOn w:val="13"/>
    <w:uiPriority w:val="99"/>
    <w:rPr>
      <w:sz w:val="22"/>
      <w:szCs w:val="22"/>
      <w:lang w:eastAsia="en-US"/>
    </w:rPr>
    <w:tblPr>
      <w:tblBorders>
        <w:top w:val="single" w:color="4F81BD" w:sz="4" w:space="0"/>
        <w:left w:val="single" w:color="4F81BD" w:sz="4" w:space="0"/>
        <w:bottom w:val="single" w:color="4F81BD" w:sz="4" w:space="0"/>
        <w:right w:val="single" w:color="4F81BD" w:sz="4" w:space="0"/>
      </w:tblBorders>
      <w:tblCellMar>
        <w:top w:w="0" w:type="dxa"/>
        <w:left w:w="108" w:type="dxa"/>
        <w:bottom w:w="0" w:type="dxa"/>
        <w:right w:w="108" w:type="dxa"/>
      </w:tblCellMar>
    </w:tblPr>
    <w:tblStylePr w:type="firstRow">
      <w:rPr>
        <w:rFonts w:ascii="Arial" w:hAnsi="Arial"/>
        <w:b/>
        <w:color w:val="FFFFFF"/>
        <w:sz w:val="22"/>
      </w:rPr>
      <w:tcPr>
        <w:shd w:val="clear" w:color="4F81BD"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4F81BD" w:sz="4" w:space="0"/>
          <w:right w:val="single" w:color="4F81BD" w:sz="4" w:space="0"/>
        </w:tcBorders>
      </w:tcPr>
    </w:tblStylePr>
    <w:tblStylePr w:type="band1Horz">
      <w:rPr>
        <w:rFonts w:ascii="Arial" w:hAnsi="Arial"/>
        <w:color w:val="404040"/>
        <w:sz w:val="22"/>
      </w:rPr>
      <w:tcPr>
        <w:tcBorders>
          <w:top w:val="single" w:color="4F81BD" w:sz="4" w:space="0"/>
          <w:bottom w:val="single" w:color="4F81BD" w:sz="4" w:space="0"/>
        </w:tcBorders>
      </w:tcPr>
    </w:tblStylePr>
  </w:style>
  <w:style w:type="table" w:customStyle="1" w:styleId="2401">
    <w:name w:val="List Table 3 - Accent 211"/>
    <w:basedOn w:val="13"/>
    <w:uiPriority w:val="99"/>
    <w:rPr>
      <w:sz w:val="22"/>
      <w:szCs w:val="22"/>
      <w:lang w:eastAsia="en-US"/>
    </w:rPr>
    <w:tblPr>
      <w:tblBorders>
        <w:top w:val="single" w:color="D99695" w:sz="4" w:space="0"/>
        <w:left w:val="single" w:color="D99695" w:sz="4" w:space="0"/>
        <w:bottom w:val="single" w:color="D99695" w:sz="4" w:space="0"/>
        <w:right w:val="single" w:color="D99695" w:sz="4" w:space="0"/>
      </w:tblBorders>
      <w:tblCellMar>
        <w:top w:w="0" w:type="dxa"/>
        <w:left w:w="108" w:type="dxa"/>
        <w:bottom w:w="0" w:type="dxa"/>
        <w:right w:w="108" w:type="dxa"/>
      </w:tblCellMar>
    </w:tblPr>
    <w:tblStylePr w:type="firstRow">
      <w:rPr>
        <w:rFonts w:ascii="Arial" w:hAnsi="Arial"/>
        <w:b/>
        <w:color w:val="FFFFFF"/>
        <w:sz w:val="22"/>
      </w:rPr>
      <w:tcPr>
        <w:shd w:val="clear" w:color="D99695" w:fill="D9969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D99695" w:sz="4" w:space="0"/>
          <w:right w:val="single" w:color="D99695" w:sz="4" w:space="0"/>
        </w:tcBorders>
      </w:tcPr>
    </w:tblStylePr>
    <w:tblStylePr w:type="band1Horz">
      <w:rPr>
        <w:rFonts w:ascii="Arial" w:hAnsi="Arial"/>
        <w:color w:val="404040"/>
        <w:sz w:val="22"/>
      </w:rPr>
      <w:tcPr>
        <w:tcBorders>
          <w:top w:val="single" w:color="D99695" w:sz="4" w:space="0"/>
          <w:bottom w:val="single" w:color="D99695" w:sz="4" w:space="0"/>
        </w:tcBorders>
      </w:tcPr>
    </w:tblStylePr>
  </w:style>
  <w:style w:type="table" w:customStyle="1" w:styleId="2402">
    <w:name w:val="List Table 3 - Accent 311"/>
    <w:basedOn w:val="13"/>
    <w:uiPriority w:val="99"/>
    <w:rPr>
      <w:sz w:val="22"/>
      <w:szCs w:val="22"/>
      <w:lang w:eastAsia="en-US"/>
    </w:rPr>
    <w:tblPr>
      <w:tblBorders>
        <w:top w:val="single" w:color="C3D69B" w:sz="4" w:space="0"/>
        <w:left w:val="single" w:color="C3D69B" w:sz="4" w:space="0"/>
        <w:bottom w:val="single" w:color="C3D69B" w:sz="4" w:space="0"/>
        <w:right w:val="single" w:color="C3D69B" w:sz="4" w:space="0"/>
      </w:tblBorders>
      <w:tblCellMar>
        <w:top w:w="0" w:type="dxa"/>
        <w:left w:w="108" w:type="dxa"/>
        <w:bottom w:w="0" w:type="dxa"/>
        <w:right w:w="108" w:type="dxa"/>
      </w:tblCellMar>
    </w:tblPr>
    <w:tblStylePr w:type="firstRow">
      <w:rPr>
        <w:rFonts w:ascii="Arial" w:hAnsi="Arial"/>
        <w:b/>
        <w:color w:val="FFFFFF"/>
        <w:sz w:val="22"/>
      </w:rPr>
      <w:tcPr>
        <w:shd w:val="clear" w:color="C3D69B" w:fill="C3D69B"/>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C3D69B" w:sz="4" w:space="0"/>
          <w:right w:val="single" w:color="C3D69B" w:sz="4" w:space="0"/>
        </w:tcBorders>
      </w:tcPr>
    </w:tblStylePr>
    <w:tblStylePr w:type="band1Horz">
      <w:rPr>
        <w:rFonts w:ascii="Arial" w:hAnsi="Arial"/>
        <w:color w:val="404040"/>
        <w:sz w:val="22"/>
      </w:rPr>
      <w:tcPr>
        <w:tcBorders>
          <w:top w:val="single" w:color="C3D69B" w:sz="4" w:space="0"/>
          <w:bottom w:val="single" w:color="C3D69B" w:sz="4" w:space="0"/>
        </w:tcBorders>
      </w:tcPr>
    </w:tblStylePr>
  </w:style>
  <w:style w:type="table" w:customStyle="1" w:styleId="2403">
    <w:name w:val="List Table 3 - Accent 411"/>
    <w:basedOn w:val="13"/>
    <w:uiPriority w:val="99"/>
    <w:rPr>
      <w:sz w:val="22"/>
      <w:szCs w:val="22"/>
      <w:lang w:eastAsia="en-US"/>
    </w:rPr>
    <w:tblPr>
      <w:tblBorders>
        <w:top w:val="single" w:color="B2A1C6" w:sz="4" w:space="0"/>
        <w:left w:val="single" w:color="B2A1C6" w:sz="4" w:space="0"/>
        <w:bottom w:val="single" w:color="B2A1C6" w:sz="4" w:space="0"/>
        <w:right w:val="single" w:color="B2A1C6" w:sz="4" w:space="0"/>
      </w:tblBorders>
      <w:tblCellMar>
        <w:top w:w="0" w:type="dxa"/>
        <w:left w:w="108" w:type="dxa"/>
        <w:bottom w:w="0" w:type="dxa"/>
        <w:right w:w="108" w:type="dxa"/>
      </w:tblCellMar>
    </w:tblPr>
    <w:tblStylePr w:type="firstRow">
      <w:rPr>
        <w:rFonts w:ascii="Arial" w:hAnsi="Arial"/>
        <w:b/>
        <w:color w:val="FFFFFF"/>
        <w:sz w:val="22"/>
      </w:rPr>
      <w:tcPr>
        <w:shd w:val="clear" w:color="B2A1C6" w:fill="B2A1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B2A1C6" w:sz="4" w:space="0"/>
          <w:right w:val="single" w:color="B2A1C6" w:sz="4" w:space="0"/>
        </w:tcBorders>
      </w:tcPr>
    </w:tblStylePr>
    <w:tblStylePr w:type="band1Horz">
      <w:rPr>
        <w:rFonts w:ascii="Arial" w:hAnsi="Arial"/>
        <w:color w:val="404040"/>
        <w:sz w:val="22"/>
      </w:rPr>
      <w:tcPr>
        <w:tcBorders>
          <w:top w:val="single" w:color="B2A1C6" w:sz="4" w:space="0"/>
          <w:bottom w:val="single" w:color="B2A1C6" w:sz="4" w:space="0"/>
        </w:tcBorders>
      </w:tcPr>
    </w:tblStylePr>
  </w:style>
  <w:style w:type="table" w:customStyle="1" w:styleId="2404">
    <w:name w:val="List Table 3 - Accent 511"/>
    <w:basedOn w:val="13"/>
    <w:uiPriority w:val="99"/>
    <w:rPr>
      <w:sz w:val="22"/>
      <w:szCs w:val="22"/>
      <w:lang w:eastAsia="en-US"/>
    </w:rPr>
    <w:tblPr>
      <w:tblBorders>
        <w:top w:val="single" w:color="92CCDC" w:sz="4" w:space="0"/>
        <w:left w:val="single" w:color="92CCDC" w:sz="4" w:space="0"/>
        <w:bottom w:val="single" w:color="92CCDC" w:sz="4" w:space="0"/>
        <w:right w:val="single" w:color="92CCDC" w:sz="4" w:space="0"/>
      </w:tblBorders>
      <w:tblCellMar>
        <w:top w:w="0" w:type="dxa"/>
        <w:left w:w="108" w:type="dxa"/>
        <w:bottom w:w="0" w:type="dxa"/>
        <w:right w:w="108" w:type="dxa"/>
      </w:tblCellMar>
    </w:tblPr>
    <w:tblStylePr w:type="firstRow">
      <w:rPr>
        <w:rFonts w:ascii="Arial" w:hAnsi="Arial"/>
        <w:b/>
        <w:color w:val="FFFFFF"/>
        <w:sz w:val="22"/>
      </w:rPr>
      <w:tcPr>
        <w:shd w:val="clear" w:color="92CCDC" w:fill="92CCDC"/>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92CCDC" w:sz="4" w:space="0"/>
          <w:right w:val="single" w:color="92CCDC" w:sz="4" w:space="0"/>
        </w:tcBorders>
      </w:tcPr>
    </w:tblStylePr>
    <w:tblStylePr w:type="band1Horz">
      <w:rPr>
        <w:rFonts w:ascii="Arial" w:hAnsi="Arial"/>
        <w:color w:val="404040"/>
        <w:sz w:val="22"/>
      </w:rPr>
      <w:tcPr>
        <w:tcBorders>
          <w:top w:val="single" w:color="92CCDC" w:sz="4" w:space="0"/>
          <w:bottom w:val="single" w:color="92CCDC" w:sz="4" w:space="0"/>
        </w:tcBorders>
      </w:tcPr>
    </w:tblStylePr>
  </w:style>
  <w:style w:type="table" w:customStyle="1" w:styleId="2405">
    <w:name w:val="List Table 3 - Accent 611"/>
    <w:basedOn w:val="13"/>
    <w:uiPriority w:val="99"/>
    <w:rPr>
      <w:sz w:val="22"/>
      <w:szCs w:val="22"/>
      <w:lang w:eastAsia="en-US"/>
    </w:rPr>
    <w:tblPr>
      <w:tblBorders>
        <w:top w:val="single" w:color="FAC090" w:sz="4" w:space="0"/>
        <w:left w:val="single" w:color="FAC090" w:sz="4" w:space="0"/>
        <w:bottom w:val="single" w:color="FAC090" w:sz="4" w:space="0"/>
        <w:right w:val="single" w:color="FAC090" w:sz="4" w:space="0"/>
      </w:tblBorders>
      <w:tblCellMar>
        <w:top w:w="0" w:type="dxa"/>
        <w:left w:w="108" w:type="dxa"/>
        <w:bottom w:w="0" w:type="dxa"/>
        <w:right w:w="108" w:type="dxa"/>
      </w:tblCellMar>
    </w:tblPr>
    <w:tblStylePr w:type="firstRow">
      <w:rPr>
        <w:rFonts w:ascii="Arial" w:hAnsi="Arial"/>
        <w:b/>
        <w:color w:val="FFFFFF"/>
        <w:sz w:val="22"/>
      </w:rPr>
      <w:tcPr>
        <w:shd w:val="clear" w:color="FAC090" w:fill="FAC09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FAC090" w:sz="4" w:space="0"/>
          <w:right w:val="single" w:color="FAC090" w:sz="4" w:space="0"/>
        </w:tcBorders>
      </w:tcPr>
    </w:tblStylePr>
    <w:tblStylePr w:type="band1Horz">
      <w:rPr>
        <w:rFonts w:ascii="Arial" w:hAnsi="Arial"/>
        <w:color w:val="404040"/>
        <w:sz w:val="22"/>
      </w:rPr>
      <w:tcPr>
        <w:tcBorders>
          <w:top w:val="single" w:color="FAC090" w:sz="4" w:space="0"/>
          <w:bottom w:val="single" w:color="FAC090" w:sz="4" w:space="0"/>
        </w:tcBorders>
      </w:tcPr>
    </w:tblStylePr>
  </w:style>
  <w:style w:type="table" w:customStyle="1" w:styleId="2406">
    <w:name w:val="Список-таблица 419"/>
    <w:basedOn w:val="13"/>
    <w:uiPriority w:val="99"/>
    <w:rPr>
      <w:sz w:val="22"/>
      <w:szCs w:val="22"/>
      <w:lang w:eastAsia="en-US"/>
    </w:rPr>
    <w:tblPr>
      <w:tblBorders>
        <w:top w:val="single" w:color="000000" w:sz="4" w:space="0"/>
        <w:left w:val="single" w:color="000000" w:sz="4" w:space="0"/>
        <w:bottom w:val="single" w:color="000000" w:sz="4" w:space="0"/>
        <w:right w:val="single" w:color="000000" w:sz="4" w:space="0"/>
        <w:insideH w:val="single" w:color="000000" w:sz="4" w:space="0"/>
      </w:tblBorders>
      <w:tblCellMar>
        <w:top w:w="0" w:type="dxa"/>
        <w:left w:w="108" w:type="dxa"/>
        <w:bottom w:w="0" w:type="dxa"/>
        <w:right w:w="108" w:type="dxa"/>
      </w:tblCellMar>
    </w:tblPr>
    <w:tblStylePr w:type="firstRow">
      <w:rPr>
        <w:rFonts w:ascii="Arial" w:hAnsi="Arial"/>
        <w:b/>
        <w:color w:val="FFFFFF"/>
        <w:sz w:val="22"/>
      </w:r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BFBFBF" w:fill="BFBFBF"/>
      </w:tcPr>
    </w:tblStylePr>
    <w:tblStylePr w:type="band1Horz">
      <w:rPr>
        <w:rFonts w:ascii="Arial" w:hAnsi="Arial"/>
        <w:color w:val="404040"/>
        <w:sz w:val="22"/>
      </w:rPr>
      <w:tcPr>
        <w:shd w:val="clear" w:color="BFBFBF" w:fill="BFBFBF"/>
      </w:tcPr>
    </w:tblStylePr>
  </w:style>
  <w:style w:type="table" w:customStyle="1" w:styleId="2407">
    <w:name w:val="List Table 4 - Accent 111"/>
    <w:basedOn w:val="13"/>
    <w:uiPriority w:val="99"/>
    <w:rPr>
      <w:sz w:val="22"/>
      <w:szCs w:val="22"/>
      <w:lang w:eastAsia="en-US"/>
    </w:rPr>
    <w:tblPr>
      <w:tblBorders>
        <w:top w:val="single" w:color="9BB7D9" w:sz="4" w:space="0"/>
        <w:left w:val="single" w:color="9BB7D9" w:sz="4" w:space="0"/>
        <w:bottom w:val="single" w:color="9BB7D9" w:sz="4" w:space="0"/>
        <w:right w:val="single" w:color="9BB7D9" w:sz="4" w:space="0"/>
        <w:insideH w:val="single" w:color="9BB7D9" w:sz="4" w:space="0"/>
      </w:tblBorders>
      <w:tblCellMar>
        <w:top w:w="0" w:type="dxa"/>
        <w:left w:w="108" w:type="dxa"/>
        <w:bottom w:w="0" w:type="dxa"/>
        <w:right w:w="108" w:type="dxa"/>
      </w:tblCellMar>
    </w:tblPr>
    <w:tblStylePr w:type="firstRow">
      <w:rPr>
        <w:rFonts w:ascii="Arial" w:hAnsi="Arial"/>
        <w:b/>
        <w:color w:val="FFFFFF"/>
        <w:sz w:val="22"/>
      </w:rPr>
      <w:tcPr>
        <w:shd w:val="clear" w:color="4F81BD"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D2DFEE" w:fill="D2DFEE"/>
      </w:tcPr>
    </w:tblStylePr>
    <w:tblStylePr w:type="band1Horz">
      <w:rPr>
        <w:rFonts w:ascii="Arial" w:hAnsi="Arial"/>
        <w:color w:val="404040"/>
        <w:sz w:val="22"/>
      </w:rPr>
      <w:tcPr>
        <w:shd w:val="clear" w:color="D2DFEE" w:fill="D2DFEE"/>
      </w:tcPr>
    </w:tblStylePr>
  </w:style>
  <w:style w:type="table" w:customStyle="1" w:styleId="2408">
    <w:name w:val="List Table 4 - Accent 211"/>
    <w:basedOn w:val="13"/>
    <w:uiPriority w:val="99"/>
    <w:rPr>
      <w:sz w:val="22"/>
      <w:szCs w:val="22"/>
      <w:lang w:eastAsia="en-US"/>
    </w:rPr>
    <w:tblPr>
      <w:tblBorders>
        <w:top w:val="single" w:color="DB9B9A" w:sz="4" w:space="0"/>
        <w:left w:val="single" w:color="DB9B9A" w:sz="4" w:space="0"/>
        <w:bottom w:val="single" w:color="DB9B9A" w:sz="4" w:space="0"/>
        <w:right w:val="single" w:color="DB9B9A" w:sz="4" w:space="0"/>
        <w:insideH w:val="single" w:color="DB9B9A" w:sz="4" w:space="0"/>
      </w:tblBorders>
      <w:tblCellMar>
        <w:top w:w="0" w:type="dxa"/>
        <w:left w:w="108" w:type="dxa"/>
        <w:bottom w:w="0" w:type="dxa"/>
        <w:right w:w="108" w:type="dxa"/>
      </w:tblCellMar>
    </w:tblPr>
    <w:tblStylePr w:type="firstRow">
      <w:rPr>
        <w:rFonts w:ascii="Arial" w:hAnsi="Arial"/>
        <w:b/>
        <w:color w:val="FFFFFF"/>
        <w:sz w:val="22"/>
      </w:rPr>
      <w:tcPr>
        <w:shd w:val="clear" w:color="C0504D" w:fill="C0504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EFD2D2" w:fill="EFD2D2"/>
      </w:tcPr>
    </w:tblStylePr>
    <w:tblStylePr w:type="band1Horz">
      <w:rPr>
        <w:rFonts w:ascii="Arial" w:hAnsi="Arial"/>
        <w:color w:val="404040"/>
        <w:sz w:val="22"/>
      </w:rPr>
      <w:tcPr>
        <w:shd w:val="clear" w:color="EFD2D2" w:fill="EFD2D2"/>
      </w:tcPr>
    </w:tblStylePr>
  </w:style>
  <w:style w:type="table" w:customStyle="1" w:styleId="2409">
    <w:name w:val="List Table 4 - Accent 311"/>
    <w:basedOn w:val="13"/>
    <w:uiPriority w:val="99"/>
    <w:rPr>
      <w:sz w:val="22"/>
      <w:szCs w:val="22"/>
      <w:lang w:eastAsia="en-US"/>
    </w:rPr>
    <w:tblPr>
      <w:tblBorders>
        <w:top w:val="single" w:color="C6D8A1" w:sz="4" w:space="0"/>
        <w:left w:val="single" w:color="C6D8A1" w:sz="4" w:space="0"/>
        <w:bottom w:val="single" w:color="C6D8A1" w:sz="4" w:space="0"/>
        <w:right w:val="single" w:color="C6D8A1" w:sz="4" w:space="0"/>
        <w:insideH w:val="single" w:color="C6D8A1" w:sz="4" w:space="0"/>
      </w:tblBorders>
      <w:tblCellMar>
        <w:top w:w="0" w:type="dxa"/>
        <w:left w:w="108" w:type="dxa"/>
        <w:bottom w:w="0" w:type="dxa"/>
        <w:right w:w="108" w:type="dxa"/>
      </w:tblCellMar>
    </w:tblPr>
    <w:tblStylePr w:type="firstRow">
      <w:rPr>
        <w:rFonts w:ascii="Arial" w:hAnsi="Arial"/>
        <w:b/>
        <w:color w:val="FFFFFF"/>
        <w:sz w:val="22"/>
      </w:rPr>
      <w:tcPr>
        <w:shd w:val="clear" w:color="9BBB59" w:fill="9BBB59"/>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E5EED5" w:fill="E5EED5"/>
      </w:tcPr>
    </w:tblStylePr>
    <w:tblStylePr w:type="band1Horz">
      <w:rPr>
        <w:rFonts w:ascii="Arial" w:hAnsi="Arial"/>
        <w:color w:val="404040"/>
        <w:sz w:val="22"/>
      </w:rPr>
      <w:tcPr>
        <w:shd w:val="clear" w:color="E5EED5" w:fill="E5EED5"/>
      </w:tcPr>
    </w:tblStylePr>
  </w:style>
  <w:style w:type="table" w:customStyle="1" w:styleId="2410">
    <w:name w:val="List Table 4 - Accent 411"/>
    <w:basedOn w:val="13"/>
    <w:uiPriority w:val="99"/>
    <w:rPr>
      <w:sz w:val="22"/>
      <w:szCs w:val="22"/>
      <w:lang w:eastAsia="en-US"/>
    </w:rPr>
    <w:tblPr>
      <w:tblBorders>
        <w:top w:val="single" w:color="B7A7CA" w:sz="4" w:space="0"/>
        <w:left w:val="single" w:color="B7A7CA" w:sz="4" w:space="0"/>
        <w:bottom w:val="single" w:color="B7A7CA" w:sz="4" w:space="0"/>
        <w:right w:val="single" w:color="B7A7CA" w:sz="4" w:space="0"/>
        <w:insideH w:val="single" w:color="B7A7CA" w:sz="4" w:space="0"/>
      </w:tblBorders>
      <w:tblCellMar>
        <w:top w:w="0" w:type="dxa"/>
        <w:left w:w="108" w:type="dxa"/>
        <w:bottom w:w="0" w:type="dxa"/>
        <w:right w:w="108" w:type="dxa"/>
      </w:tblCellMar>
    </w:tblPr>
    <w:tblStylePr w:type="firstRow">
      <w:rPr>
        <w:rFonts w:ascii="Arial" w:hAnsi="Arial"/>
        <w:b/>
        <w:color w:val="FFFFFF"/>
        <w:sz w:val="22"/>
      </w:rPr>
      <w:tcPr>
        <w:shd w:val="clear" w:color="8064A2" w:fill="8064A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DFD8E7" w:fill="DFD8E7"/>
      </w:tcPr>
    </w:tblStylePr>
    <w:tblStylePr w:type="band1Horz">
      <w:rPr>
        <w:rFonts w:ascii="Arial" w:hAnsi="Arial"/>
        <w:color w:val="404040"/>
        <w:sz w:val="22"/>
      </w:rPr>
      <w:tcPr>
        <w:shd w:val="clear" w:color="DFD8E7" w:fill="DFD8E7"/>
      </w:tcPr>
    </w:tblStylePr>
  </w:style>
  <w:style w:type="table" w:customStyle="1" w:styleId="2411">
    <w:name w:val="List Table 4 - Accent 511"/>
    <w:basedOn w:val="13"/>
    <w:uiPriority w:val="99"/>
    <w:rPr>
      <w:sz w:val="22"/>
      <w:szCs w:val="22"/>
      <w:lang w:eastAsia="en-US"/>
    </w:rPr>
    <w:tblPr>
      <w:tblBorders>
        <w:top w:val="single" w:color="99D0DE" w:sz="4" w:space="0"/>
        <w:left w:val="single" w:color="99D0DE" w:sz="4" w:space="0"/>
        <w:bottom w:val="single" w:color="99D0DE" w:sz="4" w:space="0"/>
        <w:right w:val="single" w:color="99D0DE" w:sz="4" w:space="0"/>
        <w:insideH w:val="single" w:color="99D0DE" w:sz="4" w:space="0"/>
      </w:tblBorders>
      <w:tblCellMar>
        <w:top w:w="0" w:type="dxa"/>
        <w:left w:w="108" w:type="dxa"/>
        <w:bottom w:w="0" w:type="dxa"/>
        <w:right w:w="108" w:type="dxa"/>
      </w:tblCellMar>
    </w:tblPr>
    <w:tblStylePr w:type="firstRow">
      <w:rPr>
        <w:rFonts w:ascii="Arial" w:hAnsi="Arial"/>
        <w:b/>
        <w:color w:val="FFFFFF"/>
        <w:sz w:val="22"/>
      </w:rPr>
      <w:tcPr>
        <w:shd w:val="clear" w:color="4BACC6" w:fill="4BAC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D1EAF0" w:fill="D1EAF0"/>
      </w:tcPr>
    </w:tblStylePr>
    <w:tblStylePr w:type="band1Horz">
      <w:rPr>
        <w:rFonts w:ascii="Arial" w:hAnsi="Arial"/>
        <w:color w:val="404040"/>
        <w:sz w:val="22"/>
      </w:rPr>
      <w:tcPr>
        <w:shd w:val="clear" w:color="D1EAF0" w:fill="D1EAF0"/>
      </w:tcPr>
    </w:tblStylePr>
  </w:style>
  <w:style w:type="table" w:customStyle="1" w:styleId="2412">
    <w:name w:val="List Table 4 - Accent 611"/>
    <w:basedOn w:val="13"/>
    <w:uiPriority w:val="99"/>
    <w:rPr>
      <w:sz w:val="22"/>
      <w:szCs w:val="22"/>
      <w:lang w:eastAsia="en-US"/>
    </w:rPr>
    <w:tblPr>
      <w:tblBorders>
        <w:top w:val="single" w:color="FAC396" w:sz="4" w:space="0"/>
        <w:left w:val="single" w:color="FAC396" w:sz="4" w:space="0"/>
        <w:bottom w:val="single" w:color="FAC396" w:sz="4" w:space="0"/>
        <w:right w:val="single" w:color="FAC396" w:sz="4" w:space="0"/>
        <w:insideH w:val="single" w:color="FAC396" w:sz="4" w:space="0"/>
      </w:tblBorders>
      <w:tblCellMar>
        <w:top w:w="0" w:type="dxa"/>
        <w:left w:w="108" w:type="dxa"/>
        <w:bottom w:w="0" w:type="dxa"/>
        <w:right w:w="108" w:type="dxa"/>
      </w:tblCellMar>
    </w:tblPr>
    <w:tblStylePr w:type="firstRow">
      <w:rPr>
        <w:rFonts w:ascii="Arial" w:hAnsi="Arial"/>
        <w:b/>
        <w:color w:val="FFFFFF"/>
        <w:sz w:val="22"/>
      </w:rPr>
      <w:tcPr>
        <w:shd w:val="clear" w:color="F79646" w:fill="F7964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FDE4D0" w:fill="FDE4D0"/>
      </w:tcPr>
    </w:tblStylePr>
    <w:tblStylePr w:type="band1Horz">
      <w:rPr>
        <w:rFonts w:ascii="Arial" w:hAnsi="Arial"/>
        <w:color w:val="404040"/>
        <w:sz w:val="22"/>
      </w:rPr>
      <w:tcPr>
        <w:shd w:val="clear" w:color="FDE4D0" w:fill="FDE4D0"/>
      </w:tcPr>
    </w:tblStylePr>
  </w:style>
  <w:style w:type="table" w:customStyle="1" w:styleId="2413">
    <w:name w:val="Список-таблица 5 темная19"/>
    <w:basedOn w:val="13"/>
    <w:uiPriority w:val="99"/>
    <w:rPr>
      <w:sz w:val="22"/>
      <w:szCs w:val="22"/>
      <w:lang w:eastAsia="en-US"/>
    </w:rPr>
    <w:tblPr>
      <w:tblBorders>
        <w:top w:val="single" w:color="7F7F7F" w:sz="32" w:space="0"/>
        <w:left w:val="single" w:color="7F7F7F" w:sz="32" w:space="0"/>
        <w:bottom w:val="single" w:color="7F7F7F" w:sz="32" w:space="0"/>
        <w:right w:val="single" w:color="7F7F7F" w:sz="32" w:space="0"/>
      </w:tblBorders>
      <w:tblCellMar>
        <w:top w:w="0" w:type="dxa"/>
        <w:left w:w="108" w:type="dxa"/>
        <w:bottom w:w="0" w:type="dxa"/>
        <w:right w:w="108" w:type="dxa"/>
      </w:tblCellMar>
    </w:tblPr>
    <w:tblStylePr w:type="firstRow">
      <w:rPr>
        <w:rFonts w:ascii="Arial" w:hAnsi="Arial"/>
        <w:b/>
        <w:color w:val="FFFFFF"/>
        <w:sz w:val="22"/>
      </w:rPr>
      <w:tcPr>
        <w:tcBorders>
          <w:top w:val="single" w:color="7F7F7F" w:sz="32" w:space="0"/>
          <w:bottom w:val="single" w:color="FFFFFF" w:sz="12" w:space="0"/>
        </w:tcBorders>
        <w:shd w:val="clear" w:color="7F7F7F" w:fill="7F7F7F"/>
      </w:tcPr>
    </w:tblStylePr>
    <w:tblStylePr w:type="lastRow">
      <w:rPr>
        <w:rFonts w:ascii="Arial" w:hAnsi="Arial"/>
        <w:b/>
        <w:color w:val="FFFFFF"/>
        <w:sz w:val="22"/>
      </w:rPr>
    </w:tblStylePr>
    <w:tblStylePr w:type="firstCol">
      <w:rPr>
        <w:rFonts w:ascii="Arial" w:hAnsi="Arial"/>
        <w:b/>
        <w:color w:val="FFFFFF"/>
        <w:sz w:val="22"/>
      </w:rPr>
      <w:tcPr>
        <w:tcBorders>
          <w:left w:val="single" w:color="7F7F7F" w:sz="32" w:space="0"/>
          <w:right w:val="single" w:color="FFFFFF" w:sz="4" w:space="0"/>
        </w:tcBorders>
      </w:tcPr>
    </w:tblStylePr>
    <w:tblStylePr w:type="lastCol">
      <w:tcPr>
        <w:tcBorders>
          <w:left w:val="single" w:color="FFFFFF" w:sz="4" w:space="0"/>
          <w:right w:val="single" w:color="7F7F7F" w:sz="32" w:space="0"/>
        </w:tcBorders>
      </w:tcPr>
    </w:tblStylePr>
    <w:tblStylePr w:type="band1Vert">
      <w:tcPr>
        <w:tcBorders>
          <w:left w:val="single" w:color="FFFFFF" w:sz="4" w:space="0"/>
          <w:right w:val="single" w:color="FFFFFF" w:sz="4" w:space="0"/>
        </w:tcBorders>
        <w:shd w:val="clear" w:color="7F7F7F" w:fill="7F7F7F"/>
      </w:tcPr>
    </w:tblStylePr>
    <w:tblStylePr w:type="band2Vert">
      <w:tcPr>
        <w:tcBorders>
          <w:left w:val="single" w:color="FFFFFF" w:sz="4" w:space="0"/>
          <w:right w:val="single" w:color="FFFFFF" w:sz="4" w:space="0"/>
        </w:tcBorders>
      </w:tcPr>
    </w:tblStylePr>
    <w:tblStylePr w:type="band1Horz">
      <w:tcPr>
        <w:tcBorders>
          <w:top w:val="single" w:color="FFFFFF" w:sz="4" w:space="0"/>
          <w:bottom w:val="single" w:color="FFFFFF" w:sz="4" w:space="0"/>
        </w:tcBorders>
        <w:shd w:val="clear" w:color="7F7F7F" w:fill="7F7F7F"/>
      </w:tcPr>
    </w:tblStylePr>
    <w:tblStylePr w:type="band2Horz">
      <w:tcPr>
        <w:tcBorders>
          <w:top w:val="single" w:color="FFFFFF" w:sz="4" w:space="0"/>
          <w:bottom w:val="single" w:color="FFFFFF" w:sz="4" w:space="0"/>
        </w:tcBorders>
        <w:shd w:val="clear" w:color="7F7F7F" w:fill="7F7F7F"/>
      </w:tcPr>
    </w:tblStylePr>
  </w:style>
  <w:style w:type="table" w:customStyle="1" w:styleId="2414">
    <w:name w:val="List Table 5 Dark - Accent 111"/>
    <w:basedOn w:val="13"/>
    <w:uiPriority w:val="99"/>
    <w:rPr>
      <w:sz w:val="22"/>
      <w:szCs w:val="22"/>
      <w:lang w:eastAsia="en-US"/>
    </w:rPr>
    <w:tblPr>
      <w:tblBorders>
        <w:top w:val="single" w:color="4F81BD" w:sz="32" w:space="0"/>
        <w:left w:val="single" w:color="4F81BD" w:sz="32" w:space="0"/>
        <w:bottom w:val="single" w:color="4F81BD" w:sz="32" w:space="0"/>
        <w:right w:val="single" w:color="4F81BD" w:sz="32" w:space="0"/>
      </w:tblBorders>
      <w:tblCellMar>
        <w:top w:w="0" w:type="dxa"/>
        <w:left w:w="108" w:type="dxa"/>
        <w:bottom w:w="0" w:type="dxa"/>
        <w:right w:w="108" w:type="dxa"/>
      </w:tblCellMar>
    </w:tblPr>
    <w:tblStylePr w:type="firstRow">
      <w:rPr>
        <w:rFonts w:ascii="Arial" w:hAnsi="Arial"/>
        <w:b/>
        <w:color w:val="FFFFFF"/>
        <w:sz w:val="22"/>
      </w:rPr>
      <w:tcPr>
        <w:tcBorders>
          <w:top w:val="single" w:color="4F81BD" w:sz="32" w:space="0"/>
          <w:bottom w:val="single" w:color="FFFFFF" w:sz="12" w:space="0"/>
        </w:tcBorders>
        <w:shd w:val="clear" w:color="4F81BD" w:fill="4F81BD"/>
      </w:tcPr>
    </w:tblStylePr>
    <w:tblStylePr w:type="lastRow">
      <w:rPr>
        <w:rFonts w:ascii="Arial" w:hAnsi="Arial"/>
        <w:b/>
        <w:color w:val="FFFFFF"/>
        <w:sz w:val="22"/>
      </w:rPr>
    </w:tblStylePr>
    <w:tblStylePr w:type="firstCol">
      <w:rPr>
        <w:rFonts w:ascii="Arial" w:hAnsi="Arial"/>
        <w:b/>
        <w:color w:val="FFFFFF"/>
        <w:sz w:val="22"/>
      </w:rPr>
      <w:tcPr>
        <w:tcBorders>
          <w:left w:val="single" w:color="4F81BD" w:sz="32" w:space="0"/>
          <w:right w:val="single" w:color="FFFFFF" w:sz="4" w:space="0"/>
        </w:tcBorders>
      </w:tcPr>
    </w:tblStylePr>
    <w:tblStylePr w:type="lastCol">
      <w:tcPr>
        <w:tcBorders>
          <w:left w:val="single" w:color="FFFFFF" w:sz="4" w:space="0"/>
          <w:right w:val="single" w:color="4F81BD" w:sz="32" w:space="0"/>
        </w:tcBorders>
      </w:tcPr>
    </w:tblStylePr>
    <w:tblStylePr w:type="band1Vert">
      <w:tcPr>
        <w:tcBorders>
          <w:left w:val="single" w:color="FFFFFF" w:sz="4" w:space="0"/>
          <w:right w:val="single" w:color="FFFFFF" w:sz="4" w:space="0"/>
        </w:tcBorders>
        <w:shd w:val="clear" w:color="4F81BD" w:fill="4F81BD"/>
      </w:tcPr>
    </w:tblStylePr>
    <w:tblStylePr w:type="band2Vert">
      <w:tcPr>
        <w:tcBorders>
          <w:left w:val="single" w:color="FFFFFF" w:sz="4" w:space="0"/>
          <w:right w:val="single" w:color="FFFFFF" w:sz="4" w:space="0"/>
        </w:tcBorders>
      </w:tcPr>
    </w:tblStylePr>
    <w:tblStylePr w:type="band1Horz">
      <w:tcPr>
        <w:tcBorders>
          <w:top w:val="single" w:color="FFFFFF" w:sz="4" w:space="0"/>
          <w:bottom w:val="single" w:color="FFFFFF" w:sz="4" w:space="0"/>
        </w:tcBorders>
        <w:shd w:val="clear" w:color="4F81BD" w:fill="4F81BD"/>
      </w:tcPr>
    </w:tblStylePr>
    <w:tblStylePr w:type="band2Horz">
      <w:tcPr>
        <w:tcBorders>
          <w:top w:val="single" w:color="FFFFFF" w:sz="4" w:space="0"/>
          <w:bottom w:val="single" w:color="FFFFFF" w:sz="4" w:space="0"/>
        </w:tcBorders>
        <w:shd w:val="clear" w:color="4F81BD" w:fill="4F81BD"/>
      </w:tcPr>
    </w:tblStylePr>
  </w:style>
  <w:style w:type="table" w:customStyle="1" w:styleId="2415">
    <w:name w:val="List Table 5 Dark - Accent 211"/>
    <w:basedOn w:val="13"/>
    <w:uiPriority w:val="99"/>
    <w:rPr>
      <w:sz w:val="22"/>
      <w:szCs w:val="22"/>
      <w:lang w:eastAsia="en-US"/>
    </w:rPr>
    <w:tblPr>
      <w:tblBorders>
        <w:top w:val="single" w:color="D99695" w:sz="32" w:space="0"/>
        <w:left w:val="single" w:color="D99695" w:sz="32" w:space="0"/>
        <w:bottom w:val="single" w:color="D99695" w:sz="32" w:space="0"/>
        <w:right w:val="single" w:color="D99695" w:sz="32" w:space="0"/>
      </w:tblBorders>
      <w:tblCellMar>
        <w:top w:w="0" w:type="dxa"/>
        <w:left w:w="108" w:type="dxa"/>
        <w:bottom w:w="0" w:type="dxa"/>
        <w:right w:w="108" w:type="dxa"/>
      </w:tblCellMar>
    </w:tblPr>
    <w:tblStylePr w:type="firstRow">
      <w:rPr>
        <w:rFonts w:ascii="Arial" w:hAnsi="Arial"/>
        <w:b/>
        <w:color w:val="FFFFFF"/>
        <w:sz w:val="22"/>
      </w:rPr>
      <w:tcPr>
        <w:tcBorders>
          <w:top w:val="single" w:color="D99695" w:sz="32" w:space="0"/>
          <w:bottom w:val="single" w:color="FFFFFF" w:sz="12" w:space="0"/>
        </w:tcBorders>
        <w:shd w:val="clear" w:color="D99695" w:fill="D99695"/>
      </w:tcPr>
    </w:tblStylePr>
    <w:tblStylePr w:type="lastRow">
      <w:rPr>
        <w:rFonts w:ascii="Arial" w:hAnsi="Arial"/>
        <w:b/>
        <w:color w:val="FFFFFF"/>
        <w:sz w:val="22"/>
      </w:rPr>
    </w:tblStylePr>
    <w:tblStylePr w:type="firstCol">
      <w:rPr>
        <w:rFonts w:ascii="Arial" w:hAnsi="Arial"/>
        <w:b/>
        <w:color w:val="FFFFFF"/>
        <w:sz w:val="22"/>
      </w:rPr>
      <w:tcPr>
        <w:tcBorders>
          <w:left w:val="single" w:color="D99695" w:sz="32" w:space="0"/>
          <w:right w:val="single" w:color="FFFFFF" w:sz="4" w:space="0"/>
        </w:tcBorders>
      </w:tcPr>
    </w:tblStylePr>
    <w:tblStylePr w:type="lastCol">
      <w:tcPr>
        <w:tcBorders>
          <w:left w:val="single" w:color="FFFFFF" w:sz="4" w:space="0"/>
          <w:right w:val="single" w:color="D99695" w:sz="32" w:space="0"/>
        </w:tcBorders>
      </w:tcPr>
    </w:tblStylePr>
    <w:tblStylePr w:type="band1Vert">
      <w:tcPr>
        <w:tcBorders>
          <w:left w:val="single" w:color="FFFFFF" w:sz="4" w:space="0"/>
          <w:right w:val="single" w:color="FFFFFF" w:sz="4" w:space="0"/>
        </w:tcBorders>
        <w:shd w:val="clear" w:color="D99695" w:fill="D99695"/>
      </w:tcPr>
    </w:tblStylePr>
    <w:tblStylePr w:type="band2Vert">
      <w:tcPr>
        <w:tcBorders>
          <w:left w:val="single" w:color="FFFFFF" w:sz="4" w:space="0"/>
          <w:right w:val="single" w:color="FFFFFF" w:sz="4" w:space="0"/>
        </w:tcBorders>
      </w:tcPr>
    </w:tblStylePr>
    <w:tblStylePr w:type="band1Horz">
      <w:tcPr>
        <w:tcBorders>
          <w:top w:val="single" w:color="FFFFFF" w:sz="4" w:space="0"/>
          <w:bottom w:val="single" w:color="FFFFFF" w:sz="4" w:space="0"/>
        </w:tcBorders>
        <w:shd w:val="clear" w:color="D99695" w:fill="D99695"/>
      </w:tcPr>
    </w:tblStylePr>
    <w:tblStylePr w:type="band2Horz">
      <w:tcPr>
        <w:tcBorders>
          <w:top w:val="single" w:color="FFFFFF" w:sz="4" w:space="0"/>
          <w:bottom w:val="single" w:color="FFFFFF" w:sz="4" w:space="0"/>
        </w:tcBorders>
        <w:shd w:val="clear" w:color="D99695" w:fill="D99695"/>
      </w:tcPr>
    </w:tblStylePr>
  </w:style>
  <w:style w:type="table" w:customStyle="1" w:styleId="2416">
    <w:name w:val="List Table 5 Dark - Accent 311"/>
    <w:basedOn w:val="13"/>
    <w:uiPriority w:val="99"/>
    <w:rPr>
      <w:sz w:val="22"/>
      <w:szCs w:val="22"/>
      <w:lang w:eastAsia="en-US"/>
    </w:rPr>
    <w:tblPr>
      <w:tblBorders>
        <w:top w:val="single" w:color="C3D69B" w:sz="32" w:space="0"/>
        <w:left w:val="single" w:color="C3D69B" w:sz="32" w:space="0"/>
        <w:bottom w:val="single" w:color="C3D69B" w:sz="32" w:space="0"/>
        <w:right w:val="single" w:color="C3D69B" w:sz="32" w:space="0"/>
      </w:tblBorders>
      <w:tblCellMar>
        <w:top w:w="0" w:type="dxa"/>
        <w:left w:w="108" w:type="dxa"/>
        <w:bottom w:w="0" w:type="dxa"/>
        <w:right w:w="108" w:type="dxa"/>
      </w:tblCellMar>
    </w:tblPr>
    <w:tblStylePr w:type="firstRow">
      <w:rPr>
        <w:rFonts w:ascii="Arial" w:hAnsi="Arial"/>
        <w:b/>
        <w:color w:val="FFFFFF"/>
        <w:sz w:val="22"/>
      </w:rPr>
      <w:tcPr>
        <w:tcBorders>
          <w:top w:val="single" w:color="C3D69B" w:sz="32" w:space="0"/>
          <w:bottom w:val="single" w:color="FFFFFF" w:sz="12" w:space="0"/>
        </w:tcBorders>
        <w:shd w:val="clear" w:color="C3D69B" w:fill="C3D69B"/>
      </w:tcPr>
    </w:tblStylePr>
    <w:tblStylePr w:type="lastRow">
      <w:rPr>
        <w:rFonts w:ascii="Arial" w:hAnsi="Arial"/>
        <w:b/>
        <w:color w:val="FFFFFF"/>
        <w:sz w:val="22"/>
      </w:rPr>
    </w:tblStylePr>
    <w:tblStylePr w:type="firstCol">
      <w:rPr>
        <w:rFonts w:ascii="Arial" w:hAnsi="Arial"/>
        <w:b/>
        <w:color w:val="FFFFFF"/>
        <w:sz w:val="22"/>
      </w:rPr>
      <w:tcPr>
        <w:tcBorders>
          <w:left w:val="single" w:color="C3D69B" w:sz="32" w:space="0"/>
          <w:right w:val="single" w:color="FFFFFF" w:sz="4" w:space="0"/>
        </w:tcBorders>
      </w:tcPr>
    </w:tblStylePr>
    <w:tblStylePr w:type="lastCol">
      <w:tcPr>
        <w:tcBorders>
          <w:left w:val="single" w:color="FFFFFF" w:sz="4" w:space="0"/>
          <w:right w:val="single" w:color="C3D69B" w:sz="32" w:space="0"/>
        </w:tcBorders>
      </w:tcPr>
    </w:tblStylePr>
    <w:tblStylePr w:type="band1Vert">
      <w:tcPr>
        <w:tcBorders>
          <w:left w:val="single" w:color="FFFFFF" w:sz="4" w:space="0"/>
          <w:right w:val="single" w:color="FFFFFF" w:sz="4" w:space="0"/>
        </w:tcBorders>
        <w:shd w:val="clear" w:color="C3D69B" w:fill="C3D69B"/>
      </w:tcPr>
    </w:tblStylePr>
    <w:tblStylePr w:type="band2Vert">
      <w:tcPr>
        <w:tcBorders>
          <w:left w:val="single" w:color="FFFFFF" w:sz="4" w:space="0"/>
          <w:right w:val="single" w:color="FFFFFF" w:sz="4" w:space="0"/>
        </w:tcBorders>
      </w:tcPr>
    </w:tblStylePr>
    <w:tblStylePr w:type="band1Horz">
      <w:tcPr>
        <w:tcBorders>
          <w:top w:val="single" w:color="FFFFFF" w:sz="4" w:space="0"/>
          <w:bottom w:val="single" w:color="FFFFFF" w:sz="4" w:space="0"/>
        </w:tcBorders>
        <w:shd w:val="clear" w:color="C3D69B" w:fill="C3D69B"/>
      </w:tcPr>
    </w:tblStylePr>
    <w:tblStylePr w:type="band2Horz">
      <w:tcPr>
        <w:tcBorders>
          <w:top w:val="single" w:color="FFFFFF" w:sz="4" w:space="0"/>
          <w:bottom w:val="single" w:color="FFFFFF" w:sz="4" w:space="0"/>
        </w:tcBorders>
        <w:shd w:val="clear" w:color="C3D69B" w:fill="C3D69B"/>
      </w:tcPr>
    </w:tblStylePr>
  </w:style>
  <w:style w:type="table" w:customStyle="1" w:styleId="2417">
    <w:name w:val="List Table 5 Dark - Accent 411"/>
    <w:basedOn w:val="13"/>
    <w:uiPriority w:val="99"/>
    <w:rPr>
      <w:sz w:val="22"/>
      <w:szCs w:val="22"/>
      <w:lang w:eastAsia="en-US"/>
    </w:rPr>
    <w:tblPr>
      <w:tblBorders>
        <w:top w:val="single" w:color="B2A1C6" w:sz="32" w:space="0"/>
        <w:left w:val="single" w:color="B2A1C6" w:sz="32" w:space="0"/>
        <w:bottom w:val="single" w:color="B2A1C6" w:sz="32" w:space="0"/>
        <w:right w:val="single" w:color="B2A1C6" w:sz="32" w:space="0"/>
      </w:tblBorders>
      <w:tblCellMar>
        <w:top w:w="0" w:type="dxa"/>
        <w:left w:w="108" w:type="dxa"/>
        <w:bottom w:w="0" w:type="dxa"/>
        <w:right w:w="108" w:type="dxa"/>
      </w:tblCellMar>
    </w:tblPr>
    <w:tblStylePr w:type="firstRow">
      <w:rPr>
        <w:rFonts w:ascii="Arial" w:hAnsi="Arial"/>
        <w:b/>
        <w:color w:val="FFFFFF"/>
        <w:sz w:val="22"/>
      </w:rPr>
      <w:tcPr>
        <w:tcBorders>
          <w:top w:val="single" w:color="B2A1C6" w:sz="32" w:space="0"/>
          <w:bottom w:val="single" w:color="FFFFFF" w:sz="12" w:space="0"/>
        </w:tcBorders>
        <w:shd w:val="clear" w:color="B2A1C6" w:fill="B2A1C6"/>
      </w:tcPr>
    </w:tblStylePr>
    <w:tblStylePr w:type="lastRow">
      <w:rPr>
        <w:rFonts w:ascii="Arial" w:hAnsi="Arial"/>
        <w:b/>
        <w:color w:val="FFFFFF"/>
        <w:sz w:val="22"/>
      </w:rPr>
    </w:tblStylePr>
    <w:tblStylePr w:type="firstCol">
      <w:rPr>
        <w:rFonts w:ascii="Arial" w:hAnsi="Arial"/>
        <w:b/>
        <w:color w:val="FFFFFF"/>
        <w:sz w:val="22"/>
      </w:rPr>
      <w:tcPr>
        <w:tcBorders>
          <w:left w:val="single" w:color="B2A1C6" w:sz="32" w:space="0"/>
          <w:right w:val="single" w:color="FFFFFF" w:sz="4" w:space="0"/>
        </w:tcBorders>
      </w:tcPr>
    </w:tblStylePr>
    <w:tblStylePr w:type="lastCol">
      <w:tcPr>
        <w:tcBorders>
          <w:left w:val="single" w:color="FFFFFF" w:sz="4" w:space="0"/>
          <w:right w:val="single" w:color="B2A1C6" w:sz="32" w:space="0"/>
        </w:tcBorders>
      </w:tcPr>
    </w:tblStylePr>
    <w:tblStylePr w:type="band1Vert">
      <w:tcPr>
        <w:tcBorders>
          <w:left w:val="single" w:color="FFFFFF" w:sz="4" w:space="0"/>
          <w:right w:val="single" w:color="FFFFFF" w:sz="4" w:space="0"/>
        </w:tcBorders>
        <w:shd w:val="clear" w:color="B2A1C6" w:fill="B2A1C6"/>
      </w:tcPr>
    </w:tblStylePr>
    <w:tblStylePr w:type="band2Vert">
      <w:tcPr>
        <w:tcBorders>
          <w:left w:val="single" w:color="FFFFFF" w:sz="4" w:space="0"/>
          <w:right w:val="single" w:color="FFFFFF" w:sz="4" w:space="0"/>
        </w:tcBorders>
      </w:tcPr>
    </w:tblStylePr>
    <w:tblStylePr w:type="band1Horz">
      <w:tcPr>
        <w:tcBorders>
          <w:top w:val="single" w:color="FFFFFF" w:sz="4" w:space="0"/>
          <w:bottom w:val="single" w:color="FFFFFF" w:sz="4" w:space="0"/>
        </w:tcBorders>
        <w:shd w:val="clear" w:color="B2A1C6" w:fill="B2A1C6"/>
      </w:tcPr>
    </w:tblStylePr>
    <w:tblStylePr w:type="band2Horz">
      <w:tcPr>
        <w:tcBorders>
          <w:top w:val="single" w:color="FFFFFF" w:sz="4" w:space="0"/>
          <w:bottom w:val="single" w:color="FFFFFF" w:sz="4" w:space="0"/>
        </w:tcBorders>
        <w:shd w:val="clear" w:color="B2A1C6" w:fill="B2A1C6"/>
      </w:tcPr>
    </w:tblStylePr>
  </w:style>
  <w:style w:type="table" w:customStyle="1" w:styleId="2418">
    <w:name w:val="List Table 5 Dark - Accent 511"/>
    <w:basedOn w:val="13"/>
    <w:uiPriority w:val="99"/>
    <w:rPr>
      <w:sz w:val="22"/>
      <w:szCs w:val="22"/>
      <w:lang w:eastAsia="en-US"/>
    </w:rPr>
    <w:tblPr>
      <w:tblBorders>
        <w:top w:val="single" w:color="92CCDC" w:sz="32" w:space="0"/>
        <w:left w:val="single" w:color="92CCDC" w:sz="32" w:space="0"/>
        <w:bottom w:val="single" w:color="92CCDC" w:sz="32" w:space="0"/>
        <w:right w:val="single" w:color="92CCDC" w:sz="32" w:space="0"/>
      </w:tblBorders>
      <w:tblCellMar>
        <w:top w:w="0" w:type="dxa"/>
        <w:left w:w="108" w:type="dxa"/>
        <w:bottom w:w="0" w:type="dxa"/>
        <w:right w:w="108" w:type="dxa"/>
      </w:tblCellMar>
    </w:tblPr>
    <w:tblStylePr w:type="firstRow">
      <w:rPr>
        <w:rFonts w:ascii="Arial" w:hAnsi="Arial"/>
        <w:b/>
        <w:color w:val="FFFFFF"/>
        <w:sz w:val="22"/>
      </w:rPr>
      <w:tcPr>
        <w:tcBorders>
          <w:top w:val="single" w:color="92CCDC" w:sz="32" w:space="0"/>
          <w:bottom w:val="single" w:color="FFFFFF" w:sz="12" w:space="0"/>
        </w:tcBorders>
        <w:shd w:val="clear" w:color="92CCDC" w:fill="92CCDC"/>
      </w:tcPr>
    </w:tblStylePr>
    <w:tblStylePr w:type="lastRow">
      <w:rPr>
        <w:rFonts w:ascii="Arial" w:hAnsi="Arial"/>
        <w:b/>
        <w:color w:val="FFFFFF"/>
        <w:sz w:val="22"/>
      </w:rPr>
    </w:tblStylePr>
    <w:tblStylePr w:type="firstCol">
      <w:rPr>
        <w:rFonts w:ascii="Arial" w:hAnsi="Arial"/>
        <w:b/>
        <w:color w:val="FFFFFF"/>
        <w:sz w:val="22"/>
      </w:rPr>
      <w:tcPr>
        <w:tcBorders>
          <w:left w:val="single" w:color="92CCDC" w:sz="32" w:space="0"/>
          <w:right w:val="single" w:color="FFFFFF" w:sz="4" w:space="0"/>
        </w:tcBorders>
      </w:tcPr>
    </w:tblStylePr>
    <w:tblStylePr w:type="lastCol">
      <w:tcPr>
        <w:tcBorders>
          <w:left w:val="single" w:color="FFFFFF" w:sz="4" w:space="0"/>
          <w:right w:val="single" w:color="92CCDC" w:sz="32" w:space="0"/>
        </w:tcBorders>
      </w:tcPr>
    </w:tblStylePr>
    <w:tblStylePr w:type="band1Vert">
      <w:tcPr>
        <w:tcBorders>
          <w:left w:val="single" w:color="FFFFFF" w:sz="4" w:space="0"/>
          <w:right w:val="single" w:color="FFFFFF" w:sz="4" w:space="0"/>
        </w:tcBorders>
        <w:shd w:val="clear" w:color="92CCDC" w:fill="92CCDC"/>
      </w:tcPr>
    </w:tblStylePr>
    <w:tblStylePr w:type="band2Vert">
      <w:tcPr>
        <w:tcBorders>
          <w:left w:val="single" w:color="FFFFFF" w:sz="4" w:space="0"/>
          <w:right w:val="single" w:color="FFFFFF" w:sz="4" w:space="0"/>
        </w:tcBorders>
      </w:tcPr>
    </w:tblStylePr>
    <w:tblStylePr w:type="band1Horz">
      <w:tcPr>
        <w:tcBorders>
          <w:top w:val="single" w:color="FFFFFF" w:sz="4" w:space="0"/>
          <w:bottom w:val="single" w:color="FFFFFF" w:sz="4" w:space="0"/>
        </w:tcBorders>
        <w:shd w:val="clear" w:color="92CCDC" w:fill="92CCDC"/>
      </w:tcPr>
    </w:tblStylePr>
    <w:tblStylePr w:type="band2Horz">
      <w:tcPr>
        <w:tcBorders>
          <w:top w:val="single" w:color="FFFFFF" w:sz="4" w:space="0"/>
          <w:bottom w:val="single" w:color="FFFFFF" w:sz="4" w:space="0"/>
        </w:tcBorders>
        <w:shd w:val="clear" w:color="92CCDC" w:fill="92CCDC"/>
      </w:tcPr>
    </w:tblStylePr>
  </w:style>
  <w:style w:type="table" w:customStyle="1" w:styleId="2419">
    <w:name w:val="List Table 5 Dark - Accent 611"/>
    <w:basedOn w:val="13"/>
    <w:uiPriority w:val="99"/>
    <w:rPr>
      <w:sz w:val="22"/>
      <w:szCs w:val="22"/>
      <w:lang w:eastAsia="en-US"/>
    </w:rPr>
    <w:tblPr>
      <w:tblBorders>
        <w:top w:val="single" w:color="FAC090" w:sz="32" w:space="0"/>
        <w:left w:val="single" w:color="FAC090" w:sz="32" w:space="0"/>
        <w:bottom w:val="single" w:color="FAC090" w:sz="32" w:space="0"/>
        <w:right w:val="single" w:color="FAC090" w:sz="32" w:space="0"/>
      </w:tblBorders>
      <w:tblCellMar>
        <w:top w:w="0" w:type="dxa"/>
        <w:left w:w="108" w:type="dxa"/>
        <w:bottom w:w="0" w:type="dxa"/>
        <w:right w:w="108" w:type="dxa"/>
      </w:tblCellMar>
    </w:tblPr>
    <w:tblStylePr w:type="firstRow">
      <w:rPr>
        <w:rFonts w:ascii="Arial" w:hAnsi="Arial"/>
        <w:b/>
        <w:color w:val="FFFFFF"/>
        <w:sz w:val="22"/>
      </w:rPr>
      <w:tcPr>
        <w:tcBorders>
          <w:top w:val="single" w:color="FAC090" w:sz="32" w:space="0"/>
          <w:bottom w:val="single" w:color="FFFFFF" w:sz="12" w:space="0"/>
        </w:tcBorders>
        <w:shd w:val="clear" w:color="FAC090" w:fill="FAC090"/>
      </w:tcPr>
    </w:tblStylePr>
    <w:tblStylePr w:type="lastRow">
      <w:rPr>
        <w:rFonts w:ascii="Arial" w:hAnsi="Arial"/>
        <w:b/>
        <w:color w:val="FFFFFF"/>
        <w:sz w:val="22"/>
      </w:rPr>
    </w:tblStylePr>
    <w:tblStylePr w:type="firstCol">
      <w:rPr>
        <w:rFonts w:ascii="Arial" w:hAnsi="Arial"/>
        <w:b/>
        <w:color w:val="FFFFFF"/>
        <w:sz w:val="22"/>
      </w:rPr>
      <w:tcPr>
        <w:tcBorders>
          <w:left w:val="single" w:color="FAC090" w:sz="32" w:space="0"/>
          <w:right w:val="single" w:color="FFFFFF" w:sz="4" w:space="0"/>
        </w:tcBorders>
      </w:tcPr>
    </w:tblStylePr>
    <w:tblStylePr w:type="lastCol">
      <w:tcPr>
        <w:tcBorders>
          <w:left w:val="single" w:color="FFFFFF" w:sz="4" w:space="0"/>
          <w:right w:val="single" w:color="FAC090" w:sz="32" w:space="0"/>
        </w:tcBorders>
      </w:tcPr>
    </w:tblStylePr>
    <w:tblStylePr w:type="band1Vert">
      <w:tcPr>
        <w:tcBorders>
          <w:left w:val="single" w:color="FFFFFF" w:sz="4" w:space="0"/>
          <w:right w:val="single" w:color="FFFFFF" w:sz="4" w:space="0"/>
        </w:tcBorders>
        <w:shd w:val="clear" w:color="FAC090" w:fill="FAC090"/>
      </w:tcPr>
    </w:tblStylePr>
    <w:tblStylePr w:type="band2Vert">
      <w:tcPr>
        <w:tcBorders>
          <w:left w:val="single" w:color="FFFFFF" w:sz="4" w:space="0"/>
          <w:right w:val="single" w:color="FFFFFF" w:sz="4" w:space="0"/>
        </w:tcBorders>
      </w:tcPr>
    </w:tblStylePr>
    <w:tblStylePr w:type="band1Horz">
      <w:tcPr>
        <w:tcBorders>
          <w:top w:val="single" w:color="FFFFFF" w:sz="4" w:space="0"/>
          <w:bottom w:val="single" w:color="FFFFFF" w:sz="4" w:space="0"/>
        </w:tcBorders>
        <w:shd w:val="clear" w:color="FAC090" w:fill="FAC090"/>
      </w:tcPr>
    </w:tblStylePr>
    <w:tblStylePr w:type="band2Horz">
      <w:tcPr>
        <w:tcBorders>
          <w:top w:val="single" w:color="FFFFFF" w:sz="4" w:space="0"/>
          <w:bottom w:val="single" w:color="FFFFFF" w:sz="4" w:space="0"/>
        </w:tcBorders>
        <w:shd w:val="clear" w:color="FAC090" w:fill="FAC090"/>
      </w:tcPr>
    </w:tblStylePr>
  </w:style>
  <w:style w:type="table" w:customStyle="1" w:styleId="2420">
    <w:name w:val="Список-таблица 6 цветная19"/>
    <w:basedOn w:val="13"/>
    <w:uiPriority w:val="99"/>
    <w:rPr>
      <w:sz w:val="22"/>
      <w:szCs w:val="22"/>
      <w:lang w:eastAsia="en-US"/>
    </w:rPr>
    <w:tblPr>
      <w:tblBorders>
        <w:top w:val="single" w:color="7F7F7F" w:sz="4" w:space="0"/>
        <w:bottom w:val="single" w:color="7F7F7F" w:sz="4" w:space="0"/>
      </w:tblBorders>
      <w:tblCellMar>
        <w:top w:w="0" w:type="dxa"/>
        <w:left w:w="108" w:type="dxa"/>
        <w:bottom w:w="0" w:type="dxa"/>
        <w:right w:w="108" w:type="dxa"/>
      </w:tblCellMar>
    </w:tblPr>
    <w:tblStylePr w:type="firstRow">
      <w:rPr>
        <w:b/>
        <w:color w:val="000000"/>
      </w:rPr>
      <w:tcPr>
        <w:tcBorders>
          <w:bottom w:val="single" w:color="7F7F7F" w:sz="4" w:space="0"/>
        </w:tcBorders>
      </w:tcPr>
    </w:tblStylePr>
    <w:tblStylePr w:type="lastRow">
      <w:rPr>
        <w:b/>
        <w:color w:val="000000"/>
      </w:rPr>
      <w:tcPr>
        <w:tcBorders>
          <w:top w:val="single" w:color="7F7F7F" w:sz="4" w:space="0"/>
        </w:tcBorders>
      </w:tcPr>
    </w:tblStylePr>
    <w:tblStylePr w:type="firstCol">
      <w:rPr>
        <w:b/>
        <w:color w:val="000000"/>
      </w:rPr>
    </w:tblStylePr>
    <w:tblStylePr w:type="lastCol">
      <w:rPr>
        <w:b/>
        <w:color w:val="000000"/>
      </w:rPr>
    </w:tblStylePr>
    <w:tblStylePr w:type="band1Vert">
      <w:tcPr>
        <w:shd w:val="clear" w:color="BFBFBF" w:fill="BFBFBF"/>
      </w:tcPr>
    </w:tblStylePr>
    <w:tblStylePr w:type="band1Horz">
      <w:rPr>
        <w:rFonts w:ascii="Arial" w:hAnsi="Arial"/>
        <w:color w:val="000000"/>
        <w:sz w:val="22"/>
      </w:rPr>
      <w:tcPr>
        <w:shd w:val="clear" w:color="BFBFBF" w:fill="BFBFBF"/>
      </w:tcPr>
    </w:tblStylePr>
    <w:tblStylePr w:type="band2Horz">
      <w:rPr>
        <w:rFonts w:ascii="Arial" w:hAnsi="Arial"/>
        <w:color w:val="000000"/>
        <w:sz w:val="22"/>
      </w:rPr>
    </w:tblStylePr>
  </w:style>
  <w:style w:type="table" w:customStyle="1" w:styleId="2421">
    <w:name w:val="List Table 6 Colorful - Accent 111"/>
    <w:basedOn w:val="13"/>
    <w:uiPriority w:val="99"/>
    <w:rPr>
      <w:sz w:val="22"/>
      <w:szCs w:val="22"/>
      <w:lang w:eastAsia="en-US"/>
    </w:rPr>
    <w:tblPr>
      <w:tblBorders>
        <w:top w:val="single" w:color="4F81BD" w:sz="4" w:space="0"/>
        <w:bottom w:val="single" w:color="4F81BD" w:sz="4" w:space="0"/>
      </w:tblBorders>
      <w:tblCellMar>
        <w:top w:w="0" w:type="dxa"/>
        <w:left w:w="108" w:type="dxa"/>
        <w:bottom w:w="0" w:type="dxa"/>
        <w:right w:w="108" w:type="dxa"/>
      </w:tblCellMar>
    </w:tblPr>
    <w:tblStylePr w:type="firstRow">
      <w:rPr>
        <w:b/>
        <w:color w:val="2A4A71"/>
      </w:rPr>
      <w:tcPr>
        <w:tcBorders>
          <w:bottom w:val="single" w:color="4F81BD" w:sz="4" w:space="0"/>
        </w:tcBorders>
      </w:tcPr>
    </w:tblStylePr>
    <w:tblStylePr w:type="lastRow">
      <w:rPr>
        <w:b/>
        <w:color w:val="2A4A71"/>
      </w:rPr>
      <w:tcPr>
        <w:tcBorders>
          <w:top w:val="single" w:color="4F81BD" w:sz="4" w:space="0"/>
        </w:tcBorders>
      </w:tcPr>
    </w:tblStylePr>
    <w:tblStylePr w:type="firstCol">
      <w:rPr>
        <w:b/>
        <w:color w:val="2A4A71"/>
      </w:rPr>
    </w:tblStylePr>
    <w:tblStylePr w:type="lastCol">
      <w:rPr>
        <w:b/>
        <w:color w:val="2A4A71"/>
      </w:rPr>
    </w:tblStylePr>
    <w:tblStylePr w:type="band1Vert">
      <w:tcPr>
        <w:shd w:val="clear" w:color="D2DFEE" w:fill="D2DFEE"/>
      </w:tcPr>
    </w:tblStylePr>
    <w:tblStylePr w:type="band1Horz">
      <w:rPr>
        <w:rFonts w:ascii="Arial" w:hAnsi="Arial"/>
        <w:color w:val="2A4A71"/>
        <w:sz w:val="22"/>
      </w:rPr>
      <w:tcPr>
        <w:shd w:val="clear" w:color="D2DFEE" w:fill="D2DFEE"/>
      </w:tcPr>
    </w:tblStylePr>
    <w:tblStylePr w:type="band2Horz">
      <w:rPr>
        <w:rFonts w:ascii="Arial" w:hAnsi="Arial"/>
        <w:color w:val="2A4A71"/>
        <w:sz w:val="22"/>
      </w:rPr>
    </w:tblStylePr>
  </w:style>
  <w:style w:type="table" w:customStyle="1" w:styleId="2422">
    <w:name w:val="List Table 6 Colorful - Accent 211"/>
    <w:basedOn w:val="13"/>
    <w:uiPriority w:val="99"/>
    <w:rPr>
      <w:sz w:val="22"/>
      <w:szCs w:val="22"/>
      <w:lang w:eastAsia="en-US"/>
    </w:rPr>
    <w:tblPr>
      <w:tblBorders>
        <w:top w:val="single" w:color="D99695" w:sz="4" w:space="0"/>
        <w:bottom w:val="single" w:color="D99695" w:sz="4" w:space="0"/>
      </w:tblBorders>
      <w:tblCellMar>
        <w:top w:w="0" w:type="dxa"/>
        <w:left w:w="108" w:type="dxa"/>
        <w:bottom w:w="0" w:type="dxa"/>
        <w:right w:w="108" w:type="dxa"/>
      </w:tblCellMar>
    </w:tblPr>
    <w:tblStylePr w:type="firstRow">
      <w:rPr>
        <w:b/>
        <w:color w:val="D99695"/>
      </w:rPr>
      <w:tcPr>
        <w:tcBorders>
          <w:bottom w:val="single" w:color="D99695" w:sz="4" w:space="0"/>
        </w:tcBorders>
      </w:tcPr>
    </w:tblStylePr>
    <w:tblStylePr w:type="lastRow">
      <w:rPr>
        <w:b/>
        <w:color w:val="D99695"/>
      </w:rPr>
      <w:tcPr>
        <w:tcBorders>
          <w:top w:val="single" w:color="D99695" w:sz="4" w:space="0"/>
        </w:tcBorders>
      </w:tcPr>
    </w:tblStylePr>
    <w:tblStylePr w:type="firstCol">
      <w:rPr>
        <w:b/>
        <w:color w:val="D99695"/>
      </w:rPr>
    </w:tblStylePr>
    <w:tblStylePr w:type="lastCol">
      <w:rPr>
        <w:b/>
        <w:color w:val="D99695"/>
      </w:rPr>
    </w:tblStylePr>
    <w:tblStylePr w:type="band1Vert">
      <w:tcPr>
        <w:shd w:val="clear" w:color="EFD2D2" w:fill="EFD2D2"/>
      </w:tcPr>
    </w:tblStylePr>
    <w:tblStylePr w:type="band1Horz">
      <w:rPr>
        <w:rFonts w:ascii="Arial" w:hAnsi="Arial"/>
        <w:color w:val="D99695"/>
        <w:sz w:val="22"/>
      </w:rPr>
      <w:tcPr>
        <w:shd w:val="clear" w:color="EFD2D2" w:fill="EFD2D2"/>
      </w:tcPr>
    </w:tblStylePr>
    <w:tblStylePr w:type="band2Horz">
      <w:rPr>
        <w:rFonts w:ascii="Arial" w:hAnsi="Arial"/>
        <w:color w:val="D99695"/>
        <w:sz w:val="22"/>
      </w:rPr>
    </w:tblStylePr>
  </w:style>
  <w:style w:type="table" w:customStyle="1" w:styleId="2423">
    <w:name w:val="List Table 6 Colorful - Accent 311"/>
    <w:basedOn w:val="13"/>
    <w:uiPriority w:val="99"/>
    <w:rPr>
      <w:sz w:val="22"/>
      <w:szCs w:val="22"/>
      <w:lang w:eastAsia="en-US"/>
    </w:rPr>
    <w:tblPr>
      <w:tblBorders>
        <w:top w:val="single" w:color="C3D69B" w:sz="4" w:space="0"/>
        <w:bottom w:val="single" w:color="C3D69B" w:sz="4" w:space="0"/>
      </w:tblBorders>
      <w:tblCellMar>
        <w:top w:w="0" w:type="dxa"/>
        <w:left w:w="108" w:type="dxa"/>
        <w:bottom w:w="0" w:type="dxa"/>
        <w:right w:w="108" w:type="dxa"/>
      </w:tblCellMar>
    </w:tblPr>
    <w:tblStylePr w:type="firstRow">
      <w:rPr>
        <w:b/>
        <w:color w:val="C3D69B"/>
      </w:rPr>
      <w:tcPr>
        <w:tcBorders>
          <w:bottom w:val="single" w:color="C3D69B" w:sz="4" w:space="0"/>
        </w:tcBorders>
      </w:tcPr>
    </w:tblStylePr>
    <w:tblStylePr w:type="lastRow">
      <w:rPr>
        <w:b/>
        <w:color w:val="C3D69B"/>
      </w:rPr>
      <w:tcPr>
        <w:tcBorders>
          <w:top w:val="single" w:color="C3D69B" w:sz="4" w:space="0"/>
        </w:tcBorders>
      </w:tcPr>
    </w:tblStylePr>
    <w:tblStylePr w:type="firstCol">
      <w:rPr>
        <w:b/>
        <w:color w:val="C3D69B"/>
      </w:rPr>
    </w:tblStylePr>
    <w:tblStylePr w:type="lastCol">
      <w:rPr>
        <w:b/>
        <w:color w:val="C3D69B"/>
      </w:rPr>
    </w:tblStylePr>
    <w:tblStylePr w:type="band1Vert">
      <w:tcPr>
        <w:shd w:val="clear" w:color="E5EED5" w:fill="E5EED5"/>
      </w:tcPr>
    </w:tblStylePr>
    <w:tblStylePr w:type="band1Horz">
      <w:rPr>
        <w:rFonts w:ascii="Arial" w:hAnsi="Arial"/>
        <w:color w:val="C3D69B"/>
        <w:sz w:val="22"/>
      </w:rPr>
      <w:tcPr>
        <w:shd w:val="clear" w:color="E5EED5" w:fill="E5EED5"/>
      </w:tcPr>
    </w:tblStylePr>
    <w:tblStylePr w:type="band2Horz">
      <w:rPr>
        <w:rFonts w:ascii="Arial" w:hAnsi="Arial"/>
        <w:color w:val="C3D69B"/>
        <w:sz w:val="22"/>
      </w:rPr>
    </w:tblStylePr>
  </w:style>
  <w:style w:type="table" w:customStyle="1" w:styleId="2424">
    <w:name w:val="List Table 6 Colorful - Accent 411"/>
    <w:basedOn w:val="13"/>
    <w:uiPriority w:val="99"/>
    <w:rPr>
      <w:sz w:val="22"/>
      <w:szCs w:val="22"/>
      <w:lang w:eastAsia="en-US"/>
    </w:rPr>
    <w:tblPr>
      <w:tblBorders>
        <w:top w:val="single" w:color="B2A1C6" w:sz="4" w:space="0"/>
        <w:bottom w:val="single" w:color="B2A1C6" w:sz="4" w:space="0"/>
      </w:tblBorders>
      <w:tblCellMar>
        <w:top w:w="0" w:type="dxa"/>
        <w:left w:w="108" w:type="dxa"/>
        <w:bottom w:w="0" w:type="dxa"/>
        <w:right w:w="108" w:type="dxa"/>
      </w:tblCellMar>
    </w:tblPr>
    <w:tblStylePr w:type="firstRow">
      <w:rPr>
        <w:b/>
        <w:color w:val="B2A1C6"/>
      </w:rPr>
      <w:tcPr>
        <w:tcBorders>
          <w:bottom w:val="single" w:color="B2A1C6" w:sz="4" w:space="0"/>
        </w:tcBorders>
      </w:tcPr>
    </w:tblStylePr>
    <w:tblStylePr w:type="lastRow">
      <w:rPr>
        <w:b/>
        <w:color w:val="B2A1C6"/>
      </w:rPr>
      <w:tcPr>
        <w:tcBorders>
          <w:top w:val="single" w:color="B2A1C6" w:sz="4" w:space="0"/>
        </w:tcBorders>
      </w:tcPr>
    </w:tblStylePr>
    <w:tblStylePr w:type="firstCol">
      <w:rPr>
        <w:b/>
        <w:color w:val="B2A1C6"/>
      </w:rPr>
    </w:tblStylePr>
    <w:tblStylePr w:type="lastCol">
      <w:rPr>
        <w:b/>
        <w:color w:val="B2A1C6"/>
      </w:rPr>
    </w:tblStylePr>
    <w:tblStylePr w:type="band1Vert">
      <w:tcPr>
        <w:shd w:val="clear" w:color="DFD8E7" w:fill="DFD8E7"/>
      </w:tcPr>
    </w:tblStylePr>
    <w:tblStylePr w:type="band1Horz">
      <w:rPr>
        <w:rFonts w:ascii="Arial" w:hAnsi="Arial"/>
        <w:color w:val="B2A1C6"/>
        <w:sz w:val="22"/>
      </w:rPr>
      <w:tcPr>
        <w:shd w:val="clear" w:color="DFD8E7" w:fill="DFD8E7"/>
      </w:tcPr>
    </w:tblStylePr>
    <w:tblStylePr w:type="band2Horz">
      <w:rPr>
        <w:rFonts w:ascii="Arial" w:hAnsi="Arial"/>
        <w:color w:val="B2A1C6"/>
        <w:sz w:val="22"/>
      </w:rPr>
    </w:tblStylePr>
  </w:style>
  <w:style w:type="table" w:customStyle="1" w:styleId="2425">
    <w:name w:val="List Table 6 Colorful - Accent 511"/>
    <w:basedOn w:val="13"/>
    <w:uiPriority w:val="99"/>
    <w:rPr>
      <w:sz w:val="22"/>
      <w:szCs w:val="22"/>
      <w:lang w:eastAsia="en-US"/>
    </w:rPr>
    <w:tblPr>
      <w:tblBorders>
        <w:top w:val="single" w:color="92CCDC" w:sz="4" w:space="0"/>
        <w:bottom w:val="single" w:color="92CCDC" w:sz="4" w:space="0"/>
      </w:tblBorders>
      <w:tblCellMar>
        <w:top w:w="0" w:type="dxa"/>
        <w:left w:w="108" w:type="dxa"/>
        <w:bottom w:w="0" w:type="dxa"/>
        <w:right w:w="108" w:type="dxa"/>
      </w:tblCellMar>
    </w:tblPr>
    <w:tblStylePr w:type="firstRow">
      <w:rPr>
        <w:b/>
        <w:color w:val="92CCDC"/>
      </w:rPr>
      <w:tcPr>
        <w:tcBorders>
          <w:bottom w:val="single" w:color="92CCDC" w:sz="4" w:space="0"/>
        </w:tcBorders>
      </w:tcPr>
    </w:tblStylePr>
    <w:tblStylePr w:type="lastRow">
      <w:rPr>
        <w:b/>
        <w:color w:val="92CCDC"/>
      </w:rPr>
      <w:tcPr>
        <w:tcBorders>
          <w:top w:val="single" w:color="92CCDC" w:sz="4" w:space="0"/>
        </w:tcBorders>
      </w:tcPr>
    </w:tblStylePr>
    <w:tblStylePr w:type="firstCol">
      <w:rPr>
        <w:b/>
        <w:color w:val="92CCDC"/>
      </w:rPr>
    </w:tblStylePr>
    <w:tblStylePr w:type="lastCol">
      <w:rPr>
        <w:b/>
        <w:color w:val="92CCDC"/>
      </w:rPr>
    </w:tblStylePr>
    <w:tblStylePr w:type="band1Vert">
      <w:tcPr>
        <w:shd w:val="clear" w:color="D1EAF0" w:fill="D1EAF0"/>
      </w:tcPr>
    </w:tblStylePr>
    <w:tblStylePr w:type="band1Horz">
      <w:rPr>
        <w:rFonts w:ascii="Arial" w:hAnsi="Arial"/>
        <w:color w:val="92CCDC"/>
        <w:sz w:val="22"/>
      </w:rPr>
      <w:tcPr>
        <w:shd w:val="clear" w:color="D1EAF0" w:fill="D1EAF0"/>
      </w:tcPr>
    </w:tblStylePr>
    <w:tblStylePr w:type="band2Horz">
      <w:rPr>
        <w:rFonts w:ascii="Arial" w:hAnsi="Arial"/>
        <w:color w:val="92CCDC"/>
        <w:sz w:val="22"/>
      </w:rPr>
    </w:tblStylePr>
  </w:style>
  <w:style w:type="table" w:customStyle="1" w:styleId="2426">
    <w:name w:val="List Table 6 Colorful - Accent 611"/>
    <w:basedOn w:val="13"/>
    <w:uiPriority w:val="99"/>
    <w:rPr>
      <w:sz w:val="22"/>
      <w:szCs w:val="22"/>
      <w:lang w:eastAsia="en-US"/>
    </w:rPr>
    <w:tblPr>
      <w:tblBorders>
        <w:top w:val="single" w:color="FAC090" w:sz="4" w:space="0"/>
        <w:bottom w:val="single" w:color="FAC090" w:sz="4" w:space="0"/>
      </w:tblBorders>
      <w:tblCellMar>
        <w:top w:w="0" w:type="dxa"/>
        <w:left w:w="108" w:type="dxa"/>
        <w:bottom w:w="0" w:type="dxa"/>
        <w:right w:w="108" w:type="dxa"/>
      </w:tblCellMar>
    </w:tblPr>
    <w:tblStylePr w:type="firstRow">
      <w:rPr>
        <w:b/>
        <w:color w:val="FAC090"/>
      </w:rPr>
      <w:tcPr>
        <w:tcBorders>
          <w:bottom w:val="single" w:color="FAC090" w:sz="4" w:space="0"/>
        </w:tcBorders>
      </w:tcPr>
    </w:tblStylePr>
    <w:tblStylePr w:type="lastRow">
      <w:rPr>
        <w:b/>
        <w:color w:val="FAC090"/>
      </w:rPr>
      <w:tcPr>
        <w:tcBorders>
          <w:top w:val="single" w:color="FAC090" w:sz="4" w:space="0"/>
        </w:tcBorders>
      </w:tcPr>
    </w:tblStylePr>
    <w:tblStylePr w:type="firstCol">
      <w:rPr>
        <w:b/>
        <w:color w:val="FAC090"/>
      </w:rPr>
    </w:tblStylePr>
    <w:tblStylePr w:type="lastCol">
      <w:rPr>
        <w:b/>
        <w:color w:val="FAC090"/>
      </w:rPr>
    </w:tblStylePr>
    <w:tblStylePr w:type="band1Vert">
      <w:tcPr>
        <w:shd w:val="clear" w:color="FDE4D0" w:fill="FDE4D0"/>
      </w:tcPr>
    </w:tblStylePr>
    <w:tblStylePr w:type="band1Horz">
      <w:rPr>
        <w:rFonts w:ascii="Arial" w:hAnsi="Arial"/>
        <w:color w:val="FAC090"/>
        <w:sz w:val="22"/>
      </w:rPr>
      <w:tcPr>
        <w:shd w:val="clear" w:color="FDE4D0" w:fill="FDE4D0"/>
      </w:tcPr>
    </w:tblStylePr>
    <w:tblStylePr w:type="band2Horz">
      <w:rPr>
        <w:rFonts w:ascii="Arial" w:hAnsi="Arial"/>
        <w:color w:val="FAC090"/>
        <w:sz w:val="22"/>
      </w:rPr>
    </w:tblStylePr>
  </w:style>
  <w:style w:type="table" w:customStyle="1" w:styleId="2427">
    <w:name w:val="Список-таблица 7 цветная19"/>
    <w:basedOn w:val="13"/>
    <w:uiPriority w:val="99"/>
    <w:rPr>
      <w:sz w:val="22"/>
      <w:szCs w:val="22"/>
      <w:lang w:eastAsia="en-US"/>
    </w:rPr>
    <w:tblPr>
      <w:tblBorders>
        <w:right w:val="single" w:color="7F7F7F" w:sz="4" w:space="0"/>
      </w:tblBorders>
      <w:tblCellMar>
        <w:top w:w="0" w:type="dxa"/>
        <w:left w:w="108" w:type="dxa"/>
        <w:bottom w:w="0" w:type="dxa"/>
        <w:right w:w="108" w:type="dxa"/>
      </w:tblCellMar>
    </w:tblPr>
    <w:tblStylePr w:type="firstRow">
      <w:rPr>
        <w:rFonts w:ascii="Arial" w:hAnsi="Arial"/>
        <w:i/>
        <w:color w:val="7F7F7F"/>
        <w:sz w:val="22"/>
      </w:rPr>
      <w:tcPr>
        <w:tcBorders>
          <w:top w:val="nil"/>
          <w:left w:val="nil"/>
          <w:bottom w:val="single" w:color="7F7F7F" w:sz="4" w:space="0"/>
          <w:right w:val="nil"/>
        </w:tcBorders>
        <w:shd w:val="clear" w:color="FFFFFF" w:fill="FFFFFF"/>
      </w:tcPr>
    </w:tblStylePr>
    <w:tblStylePr w:type="lastRow">
      <w:rPr>
        <w:rFonts w:ascii="Arial" w:hAnsi="Arial"/>
        <w:i/>
        <w:color w:val="7F7F7F"/>
        <w:sz w:val="22"/>
      </w:rPr>
      <w:tcPr>
        <w:tcBorders>
          <w:top w:val="single" w:color="7F7F7F" w:sz="4" w:space="0"/>
          <w:left w:val="nil"/>
          <w:bottom w:val="nil"/>
          <w:right w:val="nil"/>
        </w:tcBorders>
        <w:shd w:val="clear" w:color="FFFFFF" w:fill="FFFFFF"/>
      </w:tcPr>
    </w:tblStylePr>
    <w:tblStylePr w:type="firstCol">
      <w:pPr>
        <w:jc w:val="right"/>
      </w:pPr>
      <w:rPr>
        <w:rFonts w:ascii="Arial" w:hAnsi="Arial"/>
        <w:i/>
        <w:color w:val="7F7F7F"/>
        <w:sz w:val="22"/>
      </w:rPr>
      <w:tcPr>
        <w:tcBorders>
          <w:top w:val="nil"/>
          <w:left w:val="nil"/>
          <w:bottom w:val="nil"/>
          <w:right w:val="single" w:color="7F7F7F" w:sz="4" w:space="0"/>
        </w:tcBorders>
        <w:shd w:val="clear" w:color="FFFFFF" w:fill="auto"/>
      </w:tcPr>
    </w:tblStylePr>
    <w:tblStylePr w:type="lastCol">
      <w:rPr>
        <w:rFonts w:ascii="Arial" w:hAnsi="Arial"/>
        <w:i/>
        <w:color w:val="7F7F7F"/>
        <w:sz w:val="22"/>
      </w:rPr>
      <w:tcPr>
        <w:tcBorders>
          <w:top w:val="nil"/>
          <w:left w:val="single" w:color="7F7F7F" w:sz="4" w:space="0"/>
          <w:bottom w:val="nil"/>
          <w:right w:val="nil"/>
        </w:tcBorders>
        <w:shd w:val="clear" w:color="FFFFFF" w:fill="auto"/>
      </w:tcPr>
    </w:tblStylePr>
    <w:tblStylePr w:type="band1Vert">
      <w:tcPr>
        <w:shd w:val="clear" w:color="BFBFBF" w:fill="BFBFBF"/>
      </w:tcPr>
    </w:tblStylePr>
    <w:tblStylePr w:type="band1Horz">
      <w:rPr>
        <w:rFonts w:ascii="Arial" w:hAnsi="Arial"/>
        <w:color w:val="7F7F7F"/>
        <w:sz w:val="22"/>
      </w:rPr>
      <w:tcPr>
        <w:shd w:val="clear" w:color="BFBFBF" w:fill="BFBFBF"/>
      </w:tcPr>
    </w:tblStylePr>
    <w:tblStylePr w:type="band2Horz">
      <w:rPr>
        <w:rFonts w:ascii="Arial" w:hAnsi="Arial"/>
        <w:color w:val="7F7F7F"/>
        <w:sz w:val="22"/>
      </w:rPr>
    </w:tblStylePr>
  </w:style>
  <w:style w:type="table" w:customStyle="1" w:styleId="2428">
    <w:name w:val="List Table 7 Colorful - Accent 111"/>
    <w:basedOn w:val="13"/>
    <w:uiPriority w:val="99"/>
    <w:rPr>
      <w:sz w:val="22"/>
      <w:szCs w:val="22"/>
      <w:lang w:eastAsia="en-US"/>
    </w:rPr>
    <w:tblPr>
      <w:tblBorders>
        <w:right w:val="single" w:color="4F81BD" w:sz="4" w:space="0"/>
      </w:tblBorders>
      <w:tblCellMar>
        <w:top w:w="0" w:type="dxa"/>
        <w:left w:w="108" w:type="dxa"/>
        <w:bottom w:w="0" w:type="dxa"/>
        <w:right w:w="108" w:type="dxa"/>
      </w:tblCellMar>
    </w:tblPr>
    <w:tblStylePr w:type="firstRow">
      <w:rPr>
        <w:rFonts w:ascii="Arial" w:hAnsi="Arial"/>
        <w:i/>
        <w:color w:val="2A4A71"/>
        <w:sz w:val="22"/>
      </w:rPr>
      <w:tcPr>
        <w:tcBorders>
          <w:top w:val="nil"/>
          <w:left w:val="nil"/>
          <w:bottom w:val="single" w:color="4F81BD" w:sz="4" w:space="0"/>
          <w:right w:val="nil"/>
        </w:tcBorders>
        <w:shd w:val="clear" w:color="FFFFFF" w:fill="FFFFFF"/>
      </w:tcPr>
    </w:tblStylePr>
    <w:tblStylePr w:type="lastRow">
      <w:rPr>
        <w:rFonts w:ascii="Arial" w:hAnsi="Arial"/>
        <w:i/>
        <w:color w:val="2A4A71"/>
        <w:sz w:val="22"/>
      </w:rPr>
      <w:tcPr>
        <w:tcBorders>
          <w:top w:val="single" w:color="4F81BD" w:sz="4" w:space="0"/>
          <w:left w:val="nil"/>
          <w:bottom w:val="nil"/>
          <w:right w:val="nil"/>
        </w:tcBorders>
        <w:shd w:val="clear" w:color="FFFFFF" w:fill="FFFFFF"/>
      </w:tcPr>
    </w:tblStylePr>
    <w:tblStylePr w:type="firstCol">
      <w:pPr>
        <w:jc w:val="right"/>
      </w:pPr>
      <w:rPr>
        <w:rFonts w:ascii="Arial" w:hAnsi="Arial"/>
        <w:i/>
        <w:color w:val="2A4A71"/>
        <w:sz w:val="22"/>
      </w:rPr>
      <w:tcPr>
        <w:tcBorders>
          <w:top w:val="nil"/>
          <w:left w:val="nil"/>
          <w:bottom w:val="nil"/>
          <w:right w:val="single" w:color="4F81BD" w:sz="4" w:space="0"/>
        </w:tcBorders>
        <w:shd w:val="clear" w:color="FFFFFF" w:fill="auto"/>
      </w:tcPr>
    </w:tblStylePr>
    <w:tblStylePr w:type="lastCol">
      <w:rPr>
        <w:rFonts w:ascii="Arial" w:hAnsi="Arial"/>
        <w:i/>
        <w:color w:val="2A4A71"/>
        <w:sz w:val="22"/>
      </w:rPr>
      <w:tcPr>
        <w:tcBorders>
          <w:top w:val="nil"/>
          <w:left w:val="single" w:color="4F81BD" w:sz="4" w:space="0"/>
          <w:bottom w:val="nil"/>
          <w:right w:val="nil"/>
        </w:tcBorders>
        <w:shd w:val="clear" w:color="FFFFFF" w:fill="auto"/>
      </w:tcPr>
    </w:tblStylePr>
    <w:tblStylePr w:type="band1Vert">
      <w:tcPr>
        <w:shd w:val="clear" w:color="D2DFEE" w:fill="D2DFEE"/>
      </w:tcPr>
    </w:tblStylePr>
    <w:tblStylePr w:type="band1Horz">
      <w:rPr>
        <w:rFonts w:ascii="Arial" w:hAnsi="Arial"/>
        <w:color w:val="2A4A71"/>
        <w:sz w:val="22"/>
      </w:rPr>
      <w:tcPr>
        <w:shd w:val="clear" w:color="D2DFEE" w:fill="D2DFEE"/>
      </w:tcPr>
    </w:tblStylePr>
    <w:tblStylePr w:type="band2Horz">
      <w:rPr>
        <w:rFonts w:ascii="Arial" w:hAnsi="Arial"/>
        <w:color w:val="2A4A71"/>
        <w:sz w:val="22"/>
      </w:rPr>
    </w:tblStylePr>
  </w:style>
  <w:style w:type="table" w:customStyle="1" w:styleId="2429">
    <w:name w:val="List Table 7 Colorful - Accent 211"/>
    <w:basedOn w:val="13"/>
    <w:uiPriority w:val="99"/>
    <w:rPr>
      <w:sz w:val="22"/>
      <w:szCs w:val="22"/>
      <w:lang w:eastAsia="en-US"/>
    </w:rPr>
    <w:tblPr>
      <w:tblBorders>
        <w:right w:val="single" w:color="D99695" w:sz="4" w:space="0"/>
      </w:tblBorders>
      <w:tblCellMar>
        <w:top w:w="0" w:type="dxa"/>
        <w:left w:w="108" w:type="dxa"/>
        <w:bottom w:w="0" w:type="dxa"/>
        <w:right w:w="108" w:type="dxa"/>
      </w:tblCellMar>
    </w:tblPr>
    <w:tblStylePr w:type="firstRow">
      <w:rPr>
        <w:rFonts w:ascii="Arial" w:hAnsi="Arial"/>
        <w:i/>
        <w:color w:val="D99695"/>
        <w:sz w:val="22"/>
      </w:rPr>
      <w:tcPr>
        <w:tcBorders>
          <w:top w:val="nil"/>
          <w:left w:val="nil"/>
          <w:bottom w:val="single" w:color="D99695" w:sz="4" w:space="0"/>
          <w:right w:val="nil"/>
        </w:tcBorders>
        <w:shd w:val="clear" w:color="FFFFFF" w:fill="FFFFFF"/>
      </w:tcPr>
    </w:tblStylePr>
    <w:tblStylePr w:type="lastRow">
      <w:rPr>
        <w:rFonts w:ascii="Arial" w:hAnsi="Arial"/>
        <w:i/>
        <w:color w:val="D99695"/>
        <w:sz w:val="22"/>
      </w:rPr>
      <w:tcPr>
        <w:tcBorders>
          <w:top w:val="single" w:color="D99695" w:sz="4" w:space="0"/>
          <w:left w:val="nil"/>
          <w:bottom w:val="nil"/>
          <w:right w:val="nil"/>
        </w:tcBorders>
        <w:shd w:val="clear" w:color="FFFFFF" w:fill="FFFFFF"/>
      </w:tcPr>
    </w:tblStylePr>
    <w:tblStylePr w:type="firstCol">
      <w:pPr>
        <w:jc w:val="right"/>
      </w:pPr>
      <w:rPr>
        <w:rFonts w:ascii="Arial" w:hAnsi="Arial"/>
        <w:i/>
        <w:color w:val="D99695"/>
        <w:sz w:val="22"/>
      </w:rPr>
      <w:tcPr>
        <w:tcBorders>
          <w:top w:val="nil"/>
          <w:left w:val="nil"/>
          <w:bottom w:val="nil"/>
          <w:right w:val="single" w:color="D99695" w:sz="4" w:space="0"/>
        </w:tcBorders>
        <w:shd w:val="clear" w:color="FFFFFF" w:fill="auto"/>
      </w:tcPr>
    </w:tblStylePr>
    <w:tblStylePr w:type="lastCol">
      <w:rPr>
        <w:rFonts w:ascii="Arial" w:hAnsi="Arial"/>
        <w:i/>
        <w:color w:val="D99695"/>
        <w:sz w:val="22"/>
      </w:rPr>
      <w:tcPr>
        <w:tcBorders>
          <w:top w:val="nil"/>
          <w:left w:val="single" w:color="D99695" w:sz="4" w:space="0"/>
          <w:bottom w:val="nil"/>
          <w:right w:val="nil"/>
        </w:tcBorders>
        <w:shd w:val="clear" w:color="FFFFFF" w:fill="auto"/>
      </w:tcPr>
    </w:tblStylePr>
    <w:tblStylePr w:type="band1Vert">
      <w:tcPr>
        <w:shd w:val="clear" w:color="EFD2D2" w:fill="EFD2D2"/>
      </w:tcPr>
    </w:tblStylePr>
    <w:tblStylePr w:type="band1Horz">
      <w:rPr>
        <w:rFonts w:ascii="Arial" w:hAnsi="Arial"/>
        <w:color w:val="D99695"/>
        <w:sz w:val="22"/>
      </w:rPr>
      <w:tcPr>
        <w:shd w:val="clear" w:color="EFD2D2" w:fill="EFD2D2"/>
      </w:tcPr>
    </w:tblStylePr>
    <w:tblStylePr w:type="band2Horz">
      <w:rPr>
        <w:rFonts w:ascii="Arial" w:hAnsi="Arial"/>
        <w:color w:val="D99695"/>
        <w:sz w:val="22"/>
      </w:rPr>
    </w:tblStylePr>
  </w:style>
  <w:style w:type="table" w:customStyle="1" w:styleId="2430">
    <w:name w:val="List Table 7 Colorful - Accent 311"/>
    <w:basedOn w:val="13"/>
    <w:uiPriority w:val="99"/>
    <w:rPr>
      <w:sz w:val="22"/>
      <w:szCs w:val="22"/>
      <w:lang w:eastAsia="en-US"/>
    </w:rPr>
    <w:tblPr>
      <w:tblBorders>
        <w:right w:val="single" w:color="C3D69B" w:sz="4" w:space="0"/>
      </w:tblBorders>
      <w:tblCellMar>
        <w:top w:w="0" w:type="dxa"/>
        <w:left w:w="108" w:type="dxa"/>
        <w:bottom w:w="0" w:type="dxa"/>
        <w:right w:w="108" w:type="dxa"/>
      </w:tblCellMar>
    </w:tblPr>
    <w:tblStylePr w:type="firstRow">
      <w:rPr>
        <w:rFonts w:ascii="Arial" w:hAnsi="Arial"/>
        <w:i/>
        <w:color w:val="C3D69B"/>
        <w:sz w:val="22"/>
      </w:rPr>
      <w:tcPr>
        <w:tcBorders>
          <w:top w:val="nil"/>
          <w:left w:val="nil"/>
          <w:bottom w:val="single" w:color="C3D69B" w:sz="4" w:space="0"/>
          <w:right w:val="nil"/>
        </w:tcBorders>
        <w:shd w:val="clear" w:color="FFFFFF" w:fill="FFFFFF"/>
      </w:tcPr>
    </w:tblStylePr>
    <w:tblStylePr w:type="lastRow">
      <w:rPr>
        <w:rFonts w:ascii="Arial" w:hAnsi="Arial"/>
        <w:i/>
        <w:color w:val="C3D69B"/>
        <w:sz w:val="22"/>
      </w:rPr>
      <w:tcPr>
        <w:tcBorders>
          <w:top w:val="single" w:color="C3D69B" w:sz="4" w:space="0"/>
          <w:left w:val="nil"/>
          <w:bottom w:val="nil"/>
          <w:right w:val="nil"/>
        </w:tcBorders>
        <w:shd w:val="clear" w:color="FFFFFF" w:fill="FFFFFF"/>
      </w:tcPr>
    </w:tblStylePr>
    <w:tblStylePr w:type="firstCol">
      <w:pPr>
        <w:jc w:val="right"/>
      </w:pPr>
      <w:rPr>
        <w:rFonts w:ascii="Arial" w:hAnsi="Arial"/>
        <w:i/>
        <w:color w:val="C3D69B"/>
        <w:sz w:val="22"/>
      </w:rPr>
      <w:tcPr>
        <w:tcBorders>
          <w:top w:val="nil"/>
          <w:left w:val="nil"/>
          <w:bottom w:val="nil"/>
          <w:right w:val="single" w:color="C3D69B" w:sz="4" w:space="0"/>
        </w:tcBorders>
        <w:shd w:val="clear" w:color="FFFFFF" w:fill="auto"/>
      </w:tcPr>
    </w:tblStylePr>
    <w:tblStylePr w:type="lastCol">
      <w:rPr>
        <w:rFonts w:ascii="Arial" w:hAnsi="Arial"/>
        <w:i/>
        <w:color w:val="C3D69B"/>
        <w:sz w:val="22"/>
      </w:rPr>
      <w:tcPr>
        <w:tcBorders>
          <w:top w:val="nil"/>
          <w:left w:val="single" w:color="C3D69B" w:sz="4" w:space="0"/>
          <w:bottom w:val="nil"/>
          <w:right w:val="nil"/>
        </w:tcBorders>
        <w:shd w:val="clear" w:color="FFFFFF" w:fill="auto"/>
      </w:tcPr>
    </w:tblStylePr>
    <w:tblStylePr w:type="band1Vert">
      <w:tcPr>
        <w:shd w:val="clear" w:color="E5EED5" w:fill="E5EED5"/>
      </w:tcPr>
    </w:tblStylePr>
    <w:tblStylePr w:type="band1Horz">
      <w:rPr>
        <w:rFonts w:ascii="Arial" w:hAnsi="Arial"/>
        <w:color w:val="C3D69B"/>
        <w:sz w:val="22"/>
      </w:rPr>
      <w:tcPr>
        <w:shd w:val="clear" w:color="E5EED5" w:fill="E5EED5"/>
      </w:tcPr>
    </w:tblStylePr>
    <w:tblStylePr w:type="band2Horz">
      <w:rPr>
        <w:rFonts w:ascii="Arial" w:hAnsi="Arial"/>
        <w:color w:val="C3D69B"/>
        <w:sz w:val="22"/>
      </w:rPr>
    </w:tblStylePr>
  </w:style>
  <w:style w:type="table" w:customStyle="1" w:styleId="2431">
    <w:name w:val="List Table 7 Colorful - Accent 411"/>
    <w:basedOn w:val="13"/>
    <w:uiPriority w:val="99"/>
    <w:rPr>
      <w:sz w:val="22"/>
      <w:szCs w:val="22"/>
      <w:lang w:eastAsia="en-US"/>
    </w:rPr>
    <w:tblPr>
      <w:tblBorders>
        <w:right w:val="single" w:color="B2A1C6" w:sz="4" w:space="0"/>
      </w:tblBorders>
      <w:tblCellMar>
        <w:top w:w="0" w:type="dxa"/>
        <w:left w:w="108" w:type="dxa"/>
        <w:bottom w:w="0" w:type="dxa"/>
        <w:right w:w="108" w:type="dxa"/>
      </w:tblCellMar>
    </w:tblPr>
    <w:tblStylePr w:type="firstRow">
      <w:rPr>
        <w:rFonts w:ascii="Arial" w:hAnsi="Arial"/>
        <w:i/>
        <w:color w:val="B2A1C6"/>
        <w:sz w:val="22"/>
      </w:rPr>
      <w:tcPr>
        <w:tcBorders>
          <w:top w:val="nil"/>
          <w:left w:val="nil"/>
          <w:bottom w:val="single" w:color="B2A1C6" w:sz="4" w:space="0"/>
          <w:right w:val="nil"/>
        </w:tcBorders>
        <w:shd w:val="clear" w:color="FFFFFF" w:fill="FFFFFF"/>
      </w:tcPr>
    </w:tblStylePr>
    <w:tblStylePr w:type="lastRow">
      <w:rPr>
        <w:rFonts w:ascii="Arial" w:hAnsi="Arial"/>
        <w:i/>
        <w:color w:val="B2A1C6"/>
        <w:sz w:val="22"/>
      </w:rPr>
      <w:tcPr>
        <w:tcBorders>
          <w:top w:val="single" w:color="B2A1C6" w:sz="4" w:space="0"/>
          <w:left w:val="nil"/>
          <w:bottom w:val="nil"/>
          <w:right w:val="nil"/>
        </w:tcBorders>
        <w:shd w:val="clear" w:color="FFFFFF" w:fill="FFFFFF"/>
      </w:tcPr>
    </w:tblStylePr>
    <w:tblStylePr w:type="firstCol">
      <w:pPr>
        <w:jc w:val="right"/>
      </w:pPr>
      <w:rPr>
        <w:rFonts w:ascii="Arial" w:hAnsi="Arial"/>
        <w:i/>
        <w:color w:val="B2A1C6"/>
        <w:sz w:val="22"/>
      </w:rPr>
      <w:tcPr>
        <w:tcBorders>
          <w:top w:val="nil"/>
          <w:left w:val="nil"/>
          <w:bottom w:val="nil"/>
          <w:right w:val="single" w:color="B2A1C6" w:sz="4" w:space="0"/>
        </w:tcBorders>
        <w:shd w:val="clear" w:color="FFFFFF" w:fill="auto"/>
      </w:tcPr>
    </w:tblStylePr>
    <w:tblStylePr w:type="lastCol">
      <w:rPr>
        <w:rFonts w:ascii="Arial" w:hAnsi="Arial"/>
        <w:i/>
        <w:color w:val="B2A1C6"/>
        <w:sz w:val="22"/>
      </w:rPr>
      <w:tcPr>
        <w:tcBorders>
          <w:top w:val="nil"/>
          <w:left w:val="single" w:color="B2A1C6" w:sz="4" w:space="0"/>
          <w:bottom w:val="nil"/>
          <w:right w:val="nil"/>
        </w:tcBorders>
        <w:shd w:val="clear" w:color="FFFFFF" w:fill="auto"/>
      </w:tcPr>
    </w:tblStylePr>
    <w:tblStylePr w:type="band1Vert">
      <w:tcPr>
        <w:shd w:val="clear" w:color="DFD8E7" w:fill="DFD8E7"/>
      </w:tcPr>
    </w:tblStylePr>
    <w:tblStylePr w:type="band1Horz">
      <w:rPr>
        <w:rFonts w:ascii="Arial" w:hAnsi="Arial"/>
        <w:color w:val="B2A1C6"/>
        <w:sz w:val="22"/>
      </w:rPr>
      <w:tcPr>
        <w:shd w:val="clear" w:color="DFD8E7" w:fill="DFD8E7"/>
      </w:tcPr>
    </w:tblStylePr>
    <w:tblStylePr w:type="band2Horz">
      <w:rPr>
        <w:rFonts w:ascii="Arial" w:hAnsi="Arial"/>
        <w:color w:val="B2A1C6"/>
        <w:sz w:val="22"/>
      </w:rPr>
    </w:tblStylePr>
  </w:style>
  <w:style w:type="table" w:customStyle="1" w:styleId="2432">
    <w:name w:val="List Table 7 Colorful - Accent 511"/>
    <w:basedOn w:val="13"/>
    <w:uiPriority w:val="99"/>
    <w:rPr>
      <w:sz w:val="22"/>
      <w:szCs w:val="22"/>
      <w:lang w:eastAsia="en-US"/>
    </w:rPr>
    <w:tblPr>
      <w:tblBorders>
        <w:right w:val="single" w:color="92CCDC" w:sz="4" w:space="0"/>
      </w:tblBorders>
      <w:tblCellMar>
        <w:top w:w="0" w:type="dxa"/>
        <w:left w:w="108" w:type="dxa"/>
        <w:bottom w:w="0" w:type="dxa"/>
        <w:right w:w="108" w:type="dxa"/>
      </w:tblCellMar>
    </w:tblPr>
    <w:tblStylePr w:type="firstRow">
      <w:rPr>
        <w:rFonts w:ascii="Arial" w:hAnsi="Arial"/>
        <w:i/>
        <w:color w:val="92CCDC"/>
        <w:sz w:val="22"/>
      </w:rPr>
      <w:tcPr>
        <w:tcBorders>
          <w:top w:val="nil"/>
          <w:left w:val="nil"/>
          <w:bottom w:val="single" w:color="92CCDC" w:sz="4" w:space="0"/>
          <w:right w:val="nil"/>
        </w:tcBorders>
        <w:shd w:val="clear" w:color="FFFFFF" w:fill="FFFFFF"/>
      </w:tcPr>
    </w:tblStylePr>
    <w:tblStylePr w:type="lastRow">
      <w:rPr>
        <w:rFonts w:ascii="Arial" w:hAnsi="Arial"/>
        <w:i/>
        <w:color w:val="92CCDC"/>
        <w:sz w:val="22"/>
      </w:rPr>
      <w:tcPr>
        <w:tcBorders>
          <w:top w:val="single" w:color="92CCDC" w:sz="4" w:space="0"/>
          <w:left w:val="nil"/>
          <w:bottom w:val="nil"/>
          <w:right w:val="nil"/>
        </w:tcBorders>
        <w:shd w:val="clear" w:color="FFFFFF" w:fill="FFFFFF"/>
      </w:tcPr>
    </w:tblStylePr>
    <w:tblStylePr w:type="firstCol">
      <w:pPr>
        <w:jc w:val="right"/>
      </w:pPr>
      <w:rPr>
        <w:rFonts w:ascii="Arial" w:hAnsi="Arial"/>
        <w:i/>
        <w:color w:val="92CCDC"/>
        <w:sz w:val="22"/>
      </w:rPr>
      <w:tcPr>
        <w:tcBorders>
          <w:top w:val="nil"/>
          <w:left w:val="nil"/>
          <w:bottom w:val="nil"/>
          <w:right w:val="single" w:color="92CCDC" w:sz="4" w:space="0"/>
        </w:tcBorders>
        <w:shd w:val="clear" w:color="FFFFFF" w:fill="auto"/>
      </w:tcPr>
    </w:tblStylePr>
    <w:tblStylePr w:type="lastCol">
      <w:rPr>
        <w:rFonts w:ascii="Arial" w:hAnsi="Arial"/>
        <w:i/>
        <w:color w:val="92CCDC"/>
        <w:sz w:val="22"/>
      </w:rPr>
      <w:tcPr>
        <w:tcBorders>
          <w:top w:val="nil"/>
          <w:left w:val="single" w:color="92CCDC" w:sz="4" w:space="0"/>
          <w:bottom w:val="nil"/>
          <w:right w:val="nil"/>
        </w:tcBorders>
        <w:shd w:val="clear" w:color="FFFFFF" w:fill="auto"/>
      </w:tcPr>
    </w:tblStylePr>
    <w:tblStylePr w:type="band1Vert">
      <w:tcPr>
        <w:shd w:val="clear" w:color="D1EAF0" w:fill="D1EAF0"/>
      </w:tcPr>
    </w:tblStylePr>
    <w:tblStylePr w:type="band1Horz">
      <w:rPr>
        <w:rFonts w:ascii="Arial" w:hAnsi="Arial"/>
        <w:color w:val="92CCDC"/>
        <w:sz w:val="22"/>
      </w:rPr>
      <w:tcPr>
        <w:shd w:val="clear" w:color="D1EAF0" w:fill="D1EAF0"/>
      </w:tcPr>
    </w:tblStylePr>
    <w:tblStylePr w:type="band2Horz">
      <w:rPr>
        <w:rFonts w:ascii="Arial" w:hAnsi="Arial"/>
        <w:color w:val="92CCDC"/>
        <w:sz w:val="22"/>
      </w:rPr>
    </w:tblStylePr>
  </w:style>
  <w:style w:type="table" w:customStyle="1" w:styleId="2433">
    <w:name w:val="List Table 7 Colorful - Accent 611"/>
    <w:basedOn w:val="13"/>
    <w:uiPriority w:val="99"/>
    <w:rPr>
      <w:sz w:val="22"/>
      <w:szCs w:val="22"/>
      <w:lang w:eastAsia="en-US"/>
    </w:rPr>
    <w:tblPr>
      <w:tblBorders>
        <w:right w:val="single" w:color="FAC090" w:sz="4" w:space="0"/>
      </w:tblBorders>
      <w:tblCellMar>
        <w:top w:w="0" w:type="dxa"/>
        <w:left w:w="108" w:type="dxa"/>
        <w:bottom w:w="0" w:type="dxa"/>
        <w:right w:w="108" w:type="dxa"/>
      </w:tblCellMar>
    </w:tblPr>
    <w:tblStylePr w:type="firstRow">
      <w:rPr>
        <w:rFonts w:ascii="Arial" w:hAnsi="Arial"/>
        <w:i/>
        <w:color w:val="FAC090"/>
        <w:sz w:val="22"/>
      </w:rPr>
      <w:tcPr>
        <w:tcBorders>
          <w:top w:val="nil"/>
          <w:left w:val="nil"/>
          <w:bottom w:val="single" w:color="FAC090" w:sz="4" w:space="0"/>
          <w:right w:val="nil"/>
        </w:tcBorders>
        <w:shd w:val="clear" w:color="FFFFFF" w:fill="FFFFFF"/>
      </w:tcPr>
    </w:tblStylePr>
    <w:tblStylePr w:type="lastRow">
      <w:rPr>
        <w:rFonts w:ascii="Arial" w:hAnsi="Arial"/>
        <w:i/>
        <w:color w:val="FAC090"/>
        <w:sz w:val="22"/>
      </w:rPr>
      <w:tcPr>
        <w:tcBorders>
          <w:top w:val="single" w:color="FAC090" w:sz="4" w:space="0"/>
          <w:left w:val="nil"/>
          <w:bottom w:val="nil"/>
          <w:right w:val="nil"/>
        </w:tcBorders>
        <w:shd w:val="clear" w:color="FFFFFF" w:fill="FFFFFF"/>
      </w:tcPr>
    </w:tblStylePr>
    <w:tblStylePr w:type="firstCol">
      <w:pPr>
        <w:jc w:val="right"/>
      </w:pPr>
      <w:rPr>
        <w:rFonts w:ascii="Arial" w:hAnsi="Arial"/>
        <w:i/>
        <w:color w:val="FAC090"/>
        <w:sz w:val="22"/>
      </w:rPr>
      <w:tcPr>
        <w:tcBorders>
          <w:top w:val="nil"/>
          <w:left w:val="nil"/>
          <w:bottom w:val="nil"/>
          <w:right w:val="single" w:color="FAC090" w:sz="4" w:space="0"/>
        </w:tcBorders>
        <w:shd w:val="clear" w:color="FFFFFF" w:fill="auto"/>
      </w:tcPr>
    </w:tblStylePr>
    <w:tblStylePr w:type="lastCol">
      <w:rPr>
        <w:rFonts w:ascii="Arial" w:hAnsi="Arial"/>
        <w:i/>
        <w:color w:val="FAC090"/>
        <w:sz w:val="22"/>
      </w:rPr>
      <w:tcPr>
        <w:tcBorders>
          <w:top w:val="nil"/>
          <w:left w:val="single" w:color="FAC090" w:sz="4" w:space="0"/>
          <w:bottom w:val="nil"/>
          <w:right w:val="nil"/>
        </w:tcBorders>
        <w:shd w:val="clear" w:color="FFFFFF" w:fill="auto"/>
      </w:tcPr>
    </w:tblStylePr>
    <w:tblStylePr w:type="band1Vert">
      <w:tcPr>
        <w:shd w:val="clear" w:color="FDE4D0" w:fill="FDE4D0"/>
      </w:tcPr>
    </w:tblStylePr>
    <w:tblStylePr w:type="band1Horz">
      <w:rPr>
        <w:rFonts w:ascii="Arial" w:hAnsi="Arial"/>
        <w:color w:val="FAC090"/>
        <w:sz w:val="22"/>
      </w:rPr>
      <w:tcPr>
        <w:shd w:val="clear" w:color="FDE4D0" w:fill="FDE4D0"/>
      </w:tcPr>
    </w:tblStylePr>
    <w:tblStylePr w:type="band2Horz">
      <w:rPr>
        <w:rFonts w:ascii="Arial" w:hAnsi="Arial"/>
        <w:color w:val="FAC090"/>
        <w:sz w:val="22"/>
      </w:rPr>
    </w:tblStylePr>
  </w:style>
  <w:style w:type="table" w:customStyle="1" w:styleId="2434">
    <w:name w:val="Lined - Accent11"/>
    <w:basedOn w:val="13"/>
    <w:uiPriority w:val="99"/>
    <w:rPr>
      <w:color w:val="404040"/>
    </w:rPr>
    <w:tblPr>
      <w:tblCellMar>
        <w:top w:w="0" w:type="dxa"/>
        <w:left w:w="108" w:type="dxa"/>
        <w:bottom w:w="0" w:type="dxa"/>
        <w:right w:w="108" w:type="dxa"/>
      </w:tblCellMar>
    </w:tblPr>
    <w:tblStylePr w:type="firstRow">
      <w:rPr>
        <w:rFonts w:ascii="Arial" w:hAnsi="Arial"/>
        <w:color w:val="F2F2F2"/>
        <w:sz w:val="22"/>
      </w:rPr>
      <w:tcPr>
        <w:shd w:val="clear" w:color="7F7F7F" w:fill="7F7F7F"/>
      </w:tcPr>
    </w:tblStylePr>
    <w:tblStylePr w:type="lastRow">
      <w:rPr>
        <w:rFonts w:ascii="Arial" w:hAnsi="Arial"/>
        <w:color w:val="F2F2F2"/>
        <w:sz w:val="22"/>
      </w:rPr>
      <w:tcPr>
        <w:shd w:val="clear" w:color="7F7F7F" w:fill="7F7F7F"/>
      </w:tcPr>
    </w:tblStylePr>
    <w:tblStylePr w:type="firstCol">
      <w:rPr>
        <w:rFonts w:ascii="Arial" w:hAnsi="Arial"/>
        <w:color w:val="F2F2F2"/>
        <w:sz w:val="22"/>
      </w:rPr>
      <w:tcPr>
        <w:shd w:val="clear" w:color="7F7F7F" w:fill="7F7F7F"/>
      </w:tcPr>
    </w:tblStylePr>
    <w:tblStylePr w:type="lastCol">
      <w:rPr>
        <w:rFonts w:ascii="Arial" w:hAnsi="Arial"/>
        <w:color w:val="F2F2F2"/>
        <w:sz w:val="22"/>
      </w:rPr>
      <w:tcPr>
        <w:shd w:val="clear" w:color="7F7F7F" w:fill="7F7F7F"/>
      </w:tcPr>
    </w:tblStylePr>
    <w:tblStylePr w:type="band1Vert">
      <w:rPr>
        <w:rFonts w:ascii="Arial" w:hAnsi="Arial"/>
        <w:color w:val="404040"/>
        <w:sz w:val="22"/>
      </w:rPr>
    </w:tblStylePr>
    <w:tblStylePr w:type="band2Vert">
      <w:rPr>
        <w:rFonts w:ascii="Arial" w:hAnsi="Arial"/>
        <w:color w:val="404040"/>
        <w:sz w:val="22"/>
      </w:rPr>
      <w:tcPr>
        <w:shd w:val="clear" w:color="F2F2F2" w:fill="F2F2F2"/>
      </w:tcPr>
    </w:tblStylePr>
    <w:tblStylePr w:type="band1Horz">
      <w:rPr>
        <w:rFonts w:ascii="Arial" w:hAnsi="Arial"/>
        <w:color w:val="404040"/>
        <w:sz w:val="22"/>
      </w:rPr>
    </w:tblStylePr>
    <w:tblStylePr w:type="band2Horz">
      <w:rPr>
        <w:rFonts w:ascii="Arial" w:hAnsi="Arial"/>
        <w:color w:val="404040"/>
        <w:sz w:val="22"/>
      </w:rPr>
      <w:tcPr>
        <w:shd w:val="clear" w:color="F2F2F2" w:fill="F2F2F2"/>
      </w:tcPr>
    </w:tblStylePr>
  </w:style>
  <w:style w:type="table" w:customStyle="1" w:styleId="2435">
    <w:name w:val="Lined - Accent 111"/>
    <w:basedOn w:val="13"/>
    <w:uiPriority w:val="99"/>
    <w:rPr>
      <w:color w:val="404040"/>
    </w:rPr>
    <w:tblPr>
      <w:tblCellMar>
        <w:top w:w="0" w:type="dxa"/>
        <w:left w:w="108" w:type="dxa"/>
        <w:bottom w:w="0" w:type="dxa"/>
        <w:right w:w="108" w:type="dxa"/>
      </w:tblCellMar>
    </w:tblPr>
    <w:tblStylePr w:type="firstRow">
      <w:rPr>
        <w:rFonts w:ascii="Arial" w:hAnsi="Arial"/>
        <w:color w:val="F2F2F2"/>
        <w:sz w:val="22"/>
      </w:rPr>
      <w:tcPr>
        <w:shd w:val="clear" w:color="5D8AC2" w:fill="5D8AC2"/>
      </w:tcPr>
    </w:tblStylePr>
    <w:tblStylePr w:type="lastRow">
      <w:rPr>
        <w:rFonts w:ascii="Arial" w:hAnsi="Arial"/>
        <w:color w:val="F2F2F2"/>
        <w:sz w:val="22"/>
      </w:rPr>
      <w:tcPr>
        <w:shd w:val="clear" w:color="5D8AC2" w:fill="5D8AC2"/>
      </w:tcPr>
    </w:tblStylePr>
    <w:tblStylePr w:type="firstCol">
      <w:rPr>
        <w:rFonts w:ascii="Arial" w:hAnsi="Arial"/>
        <w:color w:val="F2F2F2"/>
        <w:sz w:val="22"/>
      </w:rPr>
      <w:tcPr>
        <w:shd w:val="clear" w:color="5D8AC2" w:fill="5D8AC2"/>
      </w:tcPr>
    </w:tblStylePr>
    <w:tblStylePr w:type="lastCol">
      <w:rPr>
        <w:rFonts w:ascii="Arial" w:hAnsi="Arial"/>
        <w:color w:val="F2F2F2"/>
        <w:sz w:val="22"/>
      </w:rPr>
      <w:tcPr>
        <w:shd w:val="clear" w:color="5D8AC2" w:fill="5D8AC2"/>
      </w:tcPr>
    </w:tblStylePr>
    <w:tblStylePr w:type="band1Vert">
      <w:rPr>
        <w:rFonts w:ascii="Arial" w:hAnsi="Arial"/>
        <w:color w:val="404040"/>
        <w:sz w:val="22"/>
      </w:rPr>
    </w:tblStylePr>
    <w:tblStylePr w:type="band2Vert">
      <w:rPr>
        <w:rFonts w:ascii="Arial" w:hAnsi="Arial"/>
        <w:color w:val="404040"/>
        <w:sz w:val="22"/>
      </w:rPr>
      <w:tcPr>
        <w:shd w:val="clear" w:color="C7D7EA" w:fill="C7D7EA"/>
      </w:tcPr>
    </w:tblStylePr>
    <w:tblStylePr w:type="band1Horz">
      <w:rPr>
        <w:rFonts w:ascii="Arial" w:hAnsi="Arial"/>
        <w:color w:val="404040"/>
        <w:sz w:val="22"/>
      </w:rPr>
    </w:tblStylePr>
    <w:tblStylePr w:type="band2Horz">
      <w:rPr>
        <w:rFonts w:ascii="Arial" w:hAnsi="Arial"/>
        <w:color w:val="404040"/>
        <w:sz w:val="22"/>
      </w:rPr>
      <w:tcPr>
        <w:shd w:val="clear" w:color="C7D7EA" w:fill="C7D7EA"/>
      </w:tcPr>
    </w:tblStylePr>
  </w:style>
  <w:style w:type="table" w:customStyle="1" w:styleId="2436">
    <w:name w:val="Lined - Accent 211"/>
    <w:basedOn w:val="13"/>
    <w:uiPriority w:val="99"/>
    <w:rPr>
      <w:color w:val="404040"/>
    </w:rPr>
    <w:tblPr>
      <w:tblCellMar>
        <w:top w:w="0" w:type="dxa"/>
        <w:left w:w="108" w:type="dxa"/>
        <w:bottom w:w="0" w:type="dxa"/>
        <w:right w:w="108" w:type="dxa"/>
      </w:tblCellMar>
    </w:tblPr>
    <w:tblStylePr w:type="firstRow">
      <w:rPr>
        <w:rFonts w:ascii="Arial" w:hAnsi="Arial"/>
        <w:color w:val="F2F2F2"/>
        <w:sz w:val="22"/>
      </w:rPr>
      <w:tcPr>
        <w:shd w:val="clear" w:color="D99695" w:fill="D99695"/>
      </w:tcPr>
    </w:tblStylePr>
    <w:tblStylePr w:type="lastRow">
      <w:rPr>
        <w:rFonts w:ascii="Arial" w:hAnsi="Arial"/>
        <w:color w:val="F2F2F2"/>
        <w:sz w:val="22"/>
      </w:rPr>
      <w:tcPr>
        <w:shd w:val="clear" w:color="D99695" w:fill="D99695"/>
      </w:tcPr>
    </w:tblStylePr>
    <w:tblStylePr w:type="firstCol">
      <w:rPr>
        <w:rFonts w:ascii="Arial" w:hAnsi="Arial"/>
        <w:color w:val="F2F2F2"/>
        <w:sz w:val="22"/>
      </w:rPr>
      <w:tcPr>
        <w:shd w:val="clear" w:color="D99695" w:fill="D99695"/>
      </w:tcPr>
    </w:tblStylePr>
    <w:tblStylePr w:type="lastCol">
      <w:rPr>
        <w:rFonts w:ascii="Arial" w:hAnsi="Arial"/>
        <w:color w:val="F2F2F2"/>
        <w:sz w:val="22"/>
      </w:rPr>
      <w:tcPr>
        <w:shd w:val="clear" w:color="D99695" w:fill="D99695"/>
      </w:tcPr>
    </w:tblStylePr>
    <w:tblStylePr w:type="band1Vert">
      <w:rPr>
        <w:rFonts w:ascii="Arial" w:hAnsi="Arial"/>
        <w:color w:val="404040"/>
        <w:sz w:val="22"/>
      </w:rPr>
    </w:tblStylePr>
    <w:tblStylePr w:type="band2Vert">
      <w:rPr>
        <w:rFonts w:ascii="Arial" w:hAnsi="Arial"/>
        <w:color w:val="404040"/>
        <w:sz w:val="22"/>
      </w:rPr>
      <w:tcPr>
        <w:shd w:val="clear" w:color="F2DCDC" w:fill="F2DCDC"/>
      </w:tcPr>
    </w:tblStylePr>
    <w:tblStylePr w:type="band1Horz">
      <w:rPr>
        <w:rFonts w:ascii="Arial" w:hAnsi="Arial"/>
        <w:color w:val="404040"/>
        <w:sz w:val="22"/>
      </w:rPr>
    </w:tblStylePr>
    <w:tblStylePr w:type="band2Horz">
      <w:rPr>
        <w:rFonts w:ascii="Arial" w:hAnsi="Arial"/>
        <w:color w:val="404040"/>
        <w:sz w:val="22"/>
      </w:rPr>
      <w:tcPr>
        <w:shd w:val="clear" w:color="F2DCDC" w:fill="F2DCDC"/>
      </w:tcPr>
    </w:tblStylePr>
  </w:style>
  <w:style w:type="table" w:customStyle="1" w:styleId="2437">
    <w:name w:val="Lined - Accent 311"/>
    <w:basedOn w:val="13"/>
    <w:uiPriority w:val="99"/>
    <w:rPr>
      <w:color w:val="404040"/>
    </w:rPr>
    <w:tblPr>
      <w:tblCellMar>
        <w:top w:w="0" w:type="dxa"/>
        <w:left w:w="108" w:type="dxa"/>
        <w:bottom w:w="0" w:type="dxa"/>
        <w:right w:w="108" w:type="dxa"/>
      </w:tblCellMar>
    </w:tblPr>
    <w:tblStylePr w:type="firstRow">
      <w:rPr>
        <w:rFonts w:ascii="Arial" w:hAnsi="Arial"/>
        <w:color w:val="F2F2F2"/>
        <w:sz w:val="22"/>
      </w:rPr>
      <w:tcPr>
        <w:shd w:val="clear" w:color="9ABB59" w:fill="9ABB59"/>
      </w:tcPr>
    </w:tblStylePr>
    <w:tblStylePr w:type="lastRow">
      <w:rPr>
        <w:rFonts w:ascii="Arial" w:hAnsi="Arial"/>
        <w:color w:val="F2F2F2"/>
        <w:sz w:val="22"/>
      </w:rPr>
      <w:tcPr>
        <w:shd w:val="clear" w:color="9ABB59" w:fill="9ABB59"/>
      </w:tcPr>
    </w:tblStylePr>
    <w:tblStylePr w:type="firstCol">
      <w:rPr>
        <w:rFonts w:ascii="Arial" w:hAnsi="Arial"/>
        <w:color w:val="F2F2F2"/>
        <w:sz w:val="22"/>
      </w:rPr>
      <w:tcPr>
        <w:shd w:val="clear" w:color="9ABB59" w:fill="9ABB59"/>
      </w:tcPr>
    </w:tblStylePr>
    <w:tblStylePr w:type="lastCol">
      <w:rPr>
        <w:rFonts w:ascii="Arial" w:hAnsi="Arial"/>
        <w:color w:val="F2F2F2"/>
        <w:sz w:val="22"/>
      </w:rPr>
      <w:tcPr>
        <w:shd w:val="clear" w:color="9ABB59" w:fill="9ABB59"/>
      </w:tcPr>
    </w:tblStylePr>
    <w:tblStylePr w:type="band1Vert">
      <w:rPr>
        <w:rFonts w:ascii="Arial" w:hAnsi="Arial"/>
        <w:color w:val="404040"/>
        <w:sz w:val="22"/>
      </w:rPr>
    </w:tblStylePr>
    <w:tblStylePr w:type="band2Vert">
      <w:rPr>
        <w:rFonts w:ascii="Arial" w:hAnsi="Arial"/>
        <w:color w:val="404040"/>
        <w:sz w:val="22"/>
      </w:rPr>
      <w:tcPr>
        <w:shd w:val="clear" w:color="EAF1DC" w:fill="EAF1DC"/>
      </w:tcPr>
    </w:tblStylePr>
    <w:tblStylePr w:type="band1Horz">
      <w:rPr>
        <w:rFonts w:ascii="Arial" w:hAnsi="Arial"/>
        <w:color w:val="404040"/>
        <w:sz w:val="22"/>
      </w:rPr>
    </w:tblStylePr>
    <w:tblStylePr w:type="band2Horz">
      <w:rPr>
        <w:rFonts w:ascii="Arial" w:hAnsi="Arial"/>
        <w:color w:val="404040"/>
        <w:sz w:val="22"/>
      </w:rPr>
      <w:tcPr>
        <w:shd w:val="clear" w:color="EAF1DC" w:fill="EAF1DC"/>
      </w:tcPr>
    </w:tblStylePr>
  </w:style>
  <w:style w:type="table" w:customStyle="1" w:styleId="2438">
    <w:name w:val="Lined - Accent 411"/>
    <w:basedOn w:val="13"/>
    <w:uiPriority w:val="99"/>
    <w:rPr>
      <w:color w:val="404040"/>
    </w:rPr>
    <w:tblPr>
      <w:tblCellMar>
        <w:top w:w="0" w:type="dxa"/>
        <w:left w:w="108" w:type="dxa"/>
        <w:bottom w:w="0" w:type="dxa"/>
        <w:right w:w="108" w:type="dxa"/>
      </w:tblCellMar>
    </w:tblPr>
    <w:tblStylePr w:type="firstRow">
      <w:rPr>
        <w:rFonts w:ascii="Arial" w:hAnsi="Arial"/>
        <w:color w:val="F2F2F2"/>
        <w:sz w:val="22"/>
      </w:rPr>
      <w:tcPr>
        <w:shd w:val="clear" w:color="B2A1C6" w:fill="B2A1C6"/>
      </w:tcPr>
    </w:tblStylePr>
    <w:tblStylePr w:type="lastRow">
      <w:rPr>
        <w:rFonts w:ascii="Arial" w:hAnsi="Arial"/>
        <w:color w:val="F2F2F2"/>
        <w:sz w:val="22"/>
      </w:rPr>
      <w:tcPr>
        <w:shd w:val="clear" w:color="B2A1C6" w:fill="B2A1C6"/>
      </w:tcPr>
    </w:tblStylePr>
    <w:tblStylePr w:type="firstCol">
      <w:rPr>
        <w:rFonts w:ascii="Arial" w:hAnsi="Arial"/>
        <w:color w:val="F2F2F2"/>
        <w:sz w:val="22"/>
      </w:rPr>
      <w:tcPr>
        <w:shd w:val="clear" w:color="B2A1C6" w:fill="B2A1C6"/>
      </w:tcPr>
    </w:tblStylePr>
    <w:tblStylePr w:type="lastCol">
      <w:rPr>
        <w:rFonts w:ascii="Arial" w:hAnsi="Arial"/>
        <w:color w:val="F2F2F2"/>
        <w:sz w:val="22"/>
      </w:rPr>
      <w:tcPr>
        <w:shd w:val="clear" w:color="B2A1C6" w:fill="B2A1C6"/>
      </w:tcPr>
    </w:tblStylePr>
    <w:tblStylePr w:type="band1Vert">
      <w:rPr>
        <w:rFonts w:ascii="Arial" w:hAnsi="Arial"/>
        <w:color w:val="404040"/>
        <w:sz w:val="22"/>
      </w:rPr>
    </w:tblStylePr>
    <w:tblStylePr w:type="band2Vert">
      <w:rPr>
        <w:rFonts w:ascii="Arial" w:hAnsi="Arial"/>
        <w:color w:val="404040"/>
        <w:sz w:val="22"/>
      </w:rPr>
      <w:tcPr>
        <w:shd w:val="clear" w:color="E5DFEC" w:fill="E5DFEC"/>
      </w:tcPr>
    </w:tblStylePr>
    <w:tblStylePr w:type="band1Horz">
      <w:rPr>
        <w:rFonts w:ascii="Arial" w:hAnsi="Arial"/>
        <w:color w:val="404040"/>
        <w:sz w:val="22"/>
      </w:rPr>
    </w:tblStylePr>
    <w:tblStylePr w:type="band2Horz">
      <w:rPr>
        <w:rFonts w:ascii="Arial" w:hAnsi="Arial"/>
        <w:color w:val="404040"/>
        <w:sz w:val="22"/>
      </w:rPr>
      <w:tcPr>
        <w:shd w:val="clear" w:color="E5DFEC" w:fill="E5DFEC"/>
      </w:tcPr>
    </w:tblStylePr>
  </w:style>
  <w:style w:type="table" w:customStyle="1" w:styleId="2439">
    <w:name w:val="Lined - Accent 511"/>
    <w:basedOn w:val="13"/>
    <w:uiPriority w:val="99"/>
    <w:rPr>
      <w:color w:val="404040"/>
    </w:rPr>
    <w:tblPr>
      <w:tblCellMar>
        <w:top w:w="0" w:type="dxa"/>
        <w:left w:w="108" w:type="dxa"/>
        <w:bottom w:w="0" w:type="dxa"/>
        <w:right w:w="108" w:type="dxa"/>
      </w:tblCellMar>
    </w:tblPr>
    <w:tblStylePr w:type="firstRow">
      <w:rPr>
        <w:rFonts w:ascii="Arial" w:hAnsi="Arial"/>
        <w:color w:val="F2F2F2"/>
        <w:sz w:val="22"/>
      </w:rPr>
      <w:tcPr>
        <w:shd w:val="clear" w:color="4BACC6" w:fill="4BACC6"/>
      </w:tcPr>
    </w:tblStylePr>
    <w:tblStylePr w:type="lastRow">
      <w:rPr>
        <w:rFonts w:ascii="Arial" w:hAnsi="Arial"/>
        <w:color w:val="F2F2F2"/>
        <w:sz w:val="22"/>
      </w:rPr>
      <w:tcPr>
        <w:shd w:val="clear" w:color="4BACC6" w:fill="4BACC6"/>
      </w:tcPr>
    </w:tblStylePr>
    <w:tblStylePr w:type="firstCol">
      <w:rPr>
        <w:rFonts w:ascii="Arial" w:hAnsi="Arial"/>
        <w:color w:val="F2F2F2"/>
        <w:sz w:val="22"/>
      </w:rPr>
      <w:tcPr>
        <w:shd w:val="clear" w:color="4BACC6" w:fill="4BACC6"/>
      </w:tcPr>
    </w:tblStylePr>
    <w:tblStylePr w:type="lastCol">
      <w:rPr>
        <w:rFonts w:ascii="Arial" w:hAnsi="Arial"/>
        <w:color w:val="F2F2F2"/>
        <w:sz w:val="22"/>
      </w:rPr>
      <w:tcPr>
        <w:shd w:val="clear" w:color="4BACC6" w:fill="4BACC6"/>
      </w:tcPr>
    </w:tblStylePr>
    <w:tblStylePr w:type="band1Vert">
      <w:rPr>
        <w:rFonts w:ascii="Arial" w:hAnsi="Arial"/>
        <w:color w:val="404040"/>
        <w:sz w:val="22"/>
      </w:rPr>
    </w:tblStylePr>
    <w:tblStylePr w:type="band2Vert">
      <w:rPr>
        <w:rFonts w:ascii="Arial" w:hAnsi="Arial"/>
        <w:color w:val="404040"/>
        <w:sz w:val="22"/>
      </w:rPr>
      <w:tcPr>
        <w:shd w:val="clear" w:color="DAEEF3" w:fill="DAEEF3"/>
      </w:tcPr>
    </w:tblStylePr>
    <w:tblStylePr w:type="band1Horz">
      <w:rPr>
        <w:rFonts w:ascii="Arial" w:hAnsi="Arial"/>
        <w:color w:val="404040"/>
        <w:sz w:val="22"/>
      </w:rPr>
    </w:tblStylePr>
    <w:tblStylePr w:type="band2Horz">
      <w:rPr>
        <w:rFonts w:ascii="Arial" w:hAnsi="Arial"/>
        <w:color w:val="404040"/>
        <w:sz w:val="22"/>
      </w:rPr>
      <w:tcPr>
        <w:shd w:val="clear" w:color="DAEEF3" w:fill="DAEEF3"/>
      </w:tcPr>
    </w:tblStylePr>
  </w:style>
  <w:style w:type="table" w:customStyle="1" w:styleId="2440">
    <w:name w:val="Lined - Accent 611"/>
    <w:basedOn w:val="13"/>
    <w:uiPriority w:val="99"/>
    <w:rPr>
      <w:color w:val="404040"/>
    </w:rPr>
    <w:tblPr>
      <w:tblCellMar>
        <w:top w:w="0" w:type="dxa"/>
        <w:left w:w="108" w:type="dxa"/>
        <w:bottom w:w="0" w:type="dxa"/>
        <w:right w:w="108" w:type="dxa"/>
      </w:tblCellMar>
    </w:tblPr>
    <w:tblStylePr w:type="firstRow">
      <w:rPr>
        <w:rFonts w:ascii="Arial" w:hAnsi="Arial"/>
        <w:color w:val="F2F2F2"/>
        <w:sz w:val="22"/>
      </w:rPr>
      <w:tcPr>
        <w:shd w:val="clear" w:color="F79646" w:fill="F79646"/>
      </w:tcPr>
    </w:tblStylePr>
    <w:tblStylePr w:type="lastRow">
      <w:rPr>
        <w:rFonts w:ascii="Arial" w:hAnsi="Arial"/>
        <w:color w:val="F2F2F2"/>
        <w:sz w:val="22"/>
      </w:rPr>
      <w:tcPr>
        <w:shd w:val="clear" w:color="F79646" w:fill="F79646"/>
      </w:tcPr>
    </w:tblStylePr>
    <w:tblStylePr w:type="firstCol">
      <w:rPr>
        <w:rFonts w:ascii="Arial" w:hAnsi="Arial"/>
        <w:color w:val="F2F2F2"/>
        <w:sz w:val="22"/>
      </w:rPr>
      <w:tcPr>
        <w:shd w:val="clear" w:color="F79646" w:fill="F79646"/>
      </w:tcPr>
    </w:tblStylePr>
    <w:tblStylePr w:type="lastCol">
      <w:rPr>
        <w:rFonts w:ascii="Arial" w:hAnsi="Arial"/>
        <w:color w:val="F2F2F2"/>
        <w:sz w:val="22"/>
      </w:rPr>
      <w:tcPr>
        <w:shd w:val="clear" w:color="F79646" w:fill="F79646"/>
      </w:tcPr>
    </w:tblStylePr>
    <w:tblStylePr w:type="band1Vert">
      <w:rPr>
        <w:rFonts w:ascii="Arial" w:hAnsi="Arial"/>
        <w:color w:val="404040"/>
        <w:sz w:val="22"/>
      </w:rPr>
    </w:tblStylePr>
    <w:tblStylePr w:type="band2Vert">
      <w:rPr>
        <w:rFonts w:ascii="Arial" w:hAnsi="Arial"/>
        <w:color w:val="404040"/>
        <w:sz w:val="22"/>
      </w:rPr>
      <w:tcPr>
        <w:shd w:val="clear" w:color="FDE9D8" w:fill="FDE9D8"/>
      </w:tcPr>
    </w:tblStylePr>
    <w:tblStylePr w:type="band1Horz">
      <w:rPr>
        <w:rFonts w:ascii="Arial" w:hAnsi="Arial"/>
        <w:color w:val="404040"/>
        <w:sz w:val="22"/>
      </w:rPr>
    </w:tblStylePr>
    <w:tblStylePr w:type="band2Horz">
      <w:rPr>
        <w:rFonts w:ascii="Arial" w:hAnsi="Arial"/>
        <w:color w:val="404040"/>
        <w:sz w:val="22"/>
      </w:rPr>
      <w:tcPr>
        <w:shd w:val="clear" w:color="FDE9D8" w:fill="FDE9D8"/>
      </w:tcPr>
    </w:tblStylePr>
  </w:style>
  <w:style w:type="table" w:customStyle="1" w:styleId="2441">
    <w:name w:val="Bordered &amp; Lined - Accent11"/>
    <w:basedOn w:val="13"/>
    <w:uiPriority w:val="99"/>
    <w:rPr>
      <w:color w:val="404040"/>
    </w:rPr>
    <w:tblPr>
      <w:tblBorders>
        <w:top w:val="single" w:color="595959" w:sz="4" w:space="0"/>
        <w:left w:val="single" w:color="595959" w:sz="4" w:space="0"/>
        <w:bottom w:val="single" w:color="595959" w:sz="4" w:space="0"/>
        <w:right w:val="single" w:color="595959" w:sz="4" w:space="0"/>
        <w:insideH w:val="single" w:color="595959" w:sz="4" w:space="0"/>
        <w:insideV w:val="single" w:color="595959" w:sz="4" w:space="0"/>
      </w:tblBorders>
      <w:tblCellMar>
        <w:top w:w="0" w:type="dxa"/>
        <w:left w:w="108" w:type="dxa"/>
        <w:bottom w:w="0" w:type="dxa"/>
        <w:right w:w="108" w:type="dxa"/>
      </w:tblCellMar>
    </w:tblPr>
    <w:tblStylePr w:type="firstRow">
      <w:rPr>
        <w:rFonts w:ascii="Arial" w:hAnsi="Arial"/>
        <w:color w:val="F2F2F2"/>
        <w:sz w:val="22"/>
      </w:rPr>
      <w:tcPr>
        <w:shd w:val="clear" w:color="7F7F7F" w:fill="7F7F7F"/>
      </w:tcPr>
    </w:tblStylePr>
    <w:tblStylePr w:type="lastRow">
      <w:rPr>
        <w:rFonts w:ascii="Arial" w:hAnsi="Arial"/>
        <w:color w:val="F2F2F2"/>
        <w:sz w:val="22"/>
      </w:rPr>
      <w:tcPr>
        <w:shd w:val="clear" w:color="7F7F7F" w:fill="7F7F7F"/>
      </w:tcPr>
    </w:tblStylePr>
    <w:tblStylePr w:type="firstCol">
      <w:rPr>
        <w:rFonts w:ascii="Arial" w:hAnsi="Arial"/>
        <w:color w:val="F2F2F2"/>
        <w:sz w:val="22"/>
      </w:rPr>
      <w:tcPr>
        <w:shd w:val="clear" w:color="7F7F7F" w:fill="7F7F7F"/>
      </w:tcPr>
    </w:tblStylePr>
    <w:tblStylePr w:type="lastCol">
      <w:rPr>
        <w:rFonts w:ascii="Arial" w:hAnsi="Arial"/>
        <w:color w:val="F2F2F2"/>
        <w:sz w:val="22"/>
      </w:rPr>
      <w:tcPr>
        <w:shd w:val="clear" w:color="7F7F7F" w:fill="7F7F7F"/>
      </w:tcPr>
    </w:tblStylePr>
    <w:tblStylePr w:type="band1Vert">
      <w:rPr>
        <w:rFonts w:ascii="Arial" w:hAnsi="Arial"/>
        <w:color w:val="404040"/>
        <w:sz w:val="22"/>
      </w:rPr>
    </w:tblStylePr>
    <w:tblStylePr w:type="band2Vert">
      <w:rPr>
        <w:rFonts w:ascii="Arial" w:hAnsi="Arial"/>
        <w:color w:val="404040"/>
        <w:sz w:val="22"/>
      </w:rPr>
      <w:tcPr>
        <w:shd w:val="clear" w:color="F2F2F2" w:fill="F2F2F2"/>
      </w:tcPr>
    </w:tblStylePr>
    <w:tblStylePr w:type="band1Horz">
      <w:rPr>
        <w:rFonts w:ascii="Arial" w:hAnsi="Arial"/>
        <w:color w:val="404040"/>
        <w:sz w:val="22"/>
      </w:rPr>
    </w:tblStylePr>
    <w:tblStylePr w:type="band2Horz">
      <w:rPr>
        <w:rFonts w:ascii="Arial" w:hAnsi="Arial"/>
        <w:color w:val="404040"/>
        <w:sz w:val="22"/>
      </w:rPr>
      <w:tcPr>
        <w:shd w:val="clear" w:color="F2F2F2" w:fill="F2F2F2"/>
      </w:tcPr>
    </w:tblStylePr>
  </w:style>
  <w:style w:type="table" w:customStyle="1" w:styleId="2442">
    <w:name w:val="Bordered &amp; Lined - Accent 111"/>
    <w:basedOn w:val="13"/>
    <w:uiPriority w:val="99"/>
    <w:rPr>
      <w:color w:val="404040"/>
    </w:rPr>
    <w:tblPr>
      <w:tblBorders>
        <w:top w:val="single" w:color="2A4A71" w:sz="4" w:space="0"/>
        <w:left w:val="single" w:color="2A4A71" w:sz="4" w:space="0"/>
        <w:bottom w:val="single" w:color="2A4A71" w:sz="4" w:space="0"/>
        <w:right w:val="single" w:color="2A4A71" w:sz="4" w:space="0"/>
        <w:insideH w:val="single" w:color="2A4A71" w:sz="4" w:space="0"/>
        <w:insideV w:val="single" w:color="2A4A71" w:sz="4" w:space="0"/>
      </w:tblBorders>
      <w:tblCellMar>
        <w:top w:w="0" w:type="dxa"/>
        <w:left w:w="108" w:type="dxa"/>
        <w:bottom w:w="0" w:type="dxa"/>
        <w:right w:w="108" w:type="dxa"/>
      </w:tblCellMar>
    </w:tblPr>
    <w:tblStylePr w:type="firstRow">
      <w:rPr>
        <w:rFonts w:ascii="Arial" w:hAnsi="Arial"/>
        <w:color w:val="F2F2F2"/>
        <w:sz w:val="22"/>
      </w:rPr>
      <w:tcPr>
        <w:shd w:val="clear" w:color="5D8AC2" w:fill="5D8AC2"/>
      </w:tcPr>
    </w:tblStylePr>
    <w:tblStylePr w:type="lastRow">
      <w:rPr>
        <w:rFonts w:ascii="Arial" w:hAnsi="Arial"/>
        <w:color w:val="F2F2F2"/>
        <w:sz w:val="22"/>
      </w:rPr>
      <w:tcPr>
        <w:shd w:val="clear" w:color="5D8AC2" w:fill="5D8AC2"/>
      </w:tcPr>
    </w:tblStylePr>
    <w:tblStylePr w:type="firstCol">
      <w:rPr>
        <w:rFonts w:ascii="Arial" w:hAnsi="Arial"/>
        <w:color w:val="F2F2F2"/>
        <w:sz w:val="22"/>
      </w:rPr>
      <w:tcPr>
        <w:shd w:val="clear" w:color="5D8AC2" w:fill="5D8AC2"/>
      </w:tcPr>
    </w:tblStylePr>
    <w:tblStylePr w:type="lastCol">
      <w:rPr>
        <w:rFonts w:ascii="Arial" w:hAnsi="Arial"/>
        <w:color w:val="F2F2F2"/>
        <w:sz w:val="22"/>
      </w:rPr>
      <w:tcPr>
        <w:shd w:val="clear" w:color="5D8AC2" w:fill="5D8AC2"/>
      </w:tcPr>
    </w:tblStylePr>
    <w:tblStylePr w:type="band1Vert">
      <w:rPr>
        <w:rFonts w:ascii="Arial" w:hAnsi="Arial"/>
        <w:color w:val="404040"/>
        <w:sz w:val="22"/>
      </w:rPr>
    </w:tblStylePr>
    <w:tblStylePr w:type="band2Vert">
      <w:rPr>
        <w:rFonts w:ascii="Arial" w:hAnsi="Arial"/>
        <w:color w:val="404040"/>
        <w:sz w:val="22"/>
      </w:rPr>
      <w:tcPr>
        <w:shd w:val="clear" w:color="C7D7EA" w:fill="C7D7EA"/>
      </w:tcPr>
    </w:tblStylePr>
    <w:tblStylePr w:type="band1Horz">
      <w:rPr>
        <w:rFonts w:ascii="Arial" w:hAnsi="Arial"/>
        <w:color w:val="404040"/>
        <w:sz w:val="22"/>
      </w:rPr>
    </w:tblStylePr>
    <w:tblStylePr w:type="band2Horz">
      <w:rPr>
        <w:rFonts w:ascii="Arial" w:hAnsi="Arial"/>
        <w:color w:val="404040"/>
        <w:sz w:val="22"/>
      </w:rPr>
      <w:tcPr>
        <w:shd w:val="clear" w:color="C7D7EA" w:fill="C7D7EA"/>
      </w:tcPr>
    </w:tblStylePr>
  </w:style>
  <w:style w:type="table" w:customStyle="1" w:styleId="2443">
    <w:name w:val="Bordered &amp; Lined - Accent 211"/>
    <w:basedOn w:val="13"/>
    <w:uiPriority w:val="99"/>
    <w:rPr>
      <w:color w:val="404040"/>
    </w:rPr>
    <w:tblPr>
      <w:tblBorders>
        <w:top w:val="single" w:color="732A29" w:sz="4" w:space="0"/>
        <w:left w:val="single" w:color="732A29" w:sz="4" w:space="0"/>
        <w:bottom w:val="single" w:color="732A29" w:sz="4" w:space="0"/>
        <w:right w:val="single" w:color="732A29" w:sz="4" w:space="0"/>
        <w:insideH w:val="single" w:color="732A29" w:sz="4" w:space="0"/>
        <w:insideV w:val="single" w:color="732A29" w:sz="4" w:space="0"/>
      </w:tblBorders>
      <w:tblCellMar>
        <w:top w:w="0" w:type="dxa"/>
        <w:left w:w="108" w:type="dxa"/>
        <w:bottom w:w="0" w:type="dxa"/>
        <w:right w:w="108" w:type="dxa"/>
      </w:tblCellMar>
    </w:tblPr>
    <w:tblStylePr w:type="firstRow">
      <w:rPr>
        <w:rFonts w:ascii="Arial" w:hAnsi="Arial"/>
        <w:color w:val="F2F2F2"/>
        <w:sz w:val="22"/>
      </w:rPr>
      <w:tcPr>
        <w:shd w:val="clear" w:color="D99695" w:fill="D99695"/>
      </w:tcPr>
    </w:tblStylePr>
    <w:tblStylePr w:type="lastRow">
      <w:rPr>
        <w:rFonts w:ascii="Arial" w:hAnsi="Arial"/>
        <w:color w:val="F2F2F2"/>
        <w:sz w:val="22"/>
      </w:rPr>
      <w:tcPr>
        <w:shd w:val="clear" w:color="D99695" w:fill="D99695"/>
      </w:tcPr>
    </w:tblStylePr>
    <w:tblStylePr w:type="firstCol">
      <w:rPr>
        <w:rFonts w:ascii="Arial" w:hAnsi="Arial"/>
        <w:color w:val="F2F2F2"/>
        <w:sz w:val="22"/>
      </w:rPr>
      <w:tcPr>
        <w:shd w:val="clear" w:color="D99695" w:fill="D99695"/>
      </w:tcPr>
    </w:tblStylePr>
    <w:tblStylePr w:type="lastCol">
      <w:rPr>
        <w:rFonts w:ascii="Arial" w:hAnsi="Arial"/>
        <w:color w:val="F2F2F2"/>
        <w:sz w:val="22"/>
      </w:rPr>
      <w:tcPr>
        <w:shd w:val="clear" w:color="D99695" w:fill="D99695"/>
      </w:tcPr>
    </w:tblStylePr>
    <w:tblStylePr w:type="band1Vert">
      <w:rPr>
        <w:rFonts w:ascii="Arial" w:hAnsi="Arial"/>
        <w:color w:val="404040"/>
        <w:sz w:val="22"/>
      </w:rPr>
    </w:tblStylePr>
    <w:tblStylePr w:type="band2Vert">
      <w:rPr>
        <w:rFonts w:ascii="Arial" w:hAnsi="Arial"/>
        <w:color w:val="404040"/>
        <w:sz w:val="22"/>
      </w:rPr>
      <w:tcPr>
        <w:shd w:val="clear" w:color="F2DCDC" w:fill="F2DCDC"/>
      </w:tcPr>
    </w:tblStylePr>
    <w:tblStylePr w:type="band1Horz">
      <w:rPr>
        <w:rFonts w:ascii="Arial" w:hAnsi="Arial"/>
        <w:color w:val="404040"/>
        <w:sz w:val="22"/>
      </w:rPr>
    </w:tblStylePr>
    <w:tblStylePr w:type="band2Horz">
      <w:rPr>
        <w:rFonts w:ascii="Arial" w:hAnsi="Arial"/>
        <w:color w:val="404040"/>
        <w:sz w:val="22"/>
      </w:rPr>
      <w:tcPr>
        <w:shd w:val="clear" w:color="F2DCDC" w:fill="F2DCDC"/>
      </w:tcPr>
    </w:tblStylePr>
  </w:style>
  <w:style w:type="table" w:customStyle="1" w:styleId="2444">
    <w:name w:val="Bordered &amp; Lined - Accent 311"/>
    <w:basedOn w:val="13"/>
    <w:uiPriority w:val="99"/>
    <w:rPr>
      <w:color w:val="404040"/>
    </w:rPr>
    <w:tblPr>
      <w:tblBorders>
        <w:top w:val="single" w:color="5B722E" w:sz="4" w:space="0"/>
        <w:left w:val="single" w:color="5B722E" w:sz="4" w:space="0"/>
        <w:bottom w:val="single" w:color="5B722E" w:sz="4" w:space="0"/>
        <w:right w:val="single" w:color="5B722E" w:sz="4" w:space="0"/>
        <w:insideH w:val="single" w:color="5B722E" w:sz="4" w:space="0"/>
        <w:insideV w:val="single" w:color="5B722E" w:sz="4" w:space="0"/>
      </w:tblBorders>
      <w:tblCellMar>
        <w:top w:w="0" w:type="dxa"/>
        <w:left w:w="108" w:type="dxa"/>
        <w:bottom w:w="0" w:type="dxa"/>
        <w:right w:w="108" w:type="dxa"/>
      </w:tblCellMar>
    </w:tblPr>
    <w:tblStylePr w:type="firstRow">
      <w:rPr>
        <w:rFonts w:ascii="Arial" w:hAnsi="Arial"/>
        <w:color w:val="F2F2F2"/>
        <w:sz w:val="22"/>
      </w:rPr>
      <w:tcPr>
        <w:shd w:val="clear" w:color="9ABB59" w:fill="9ABB59"/>
      </w:tcPr>
    </w:tblStylePr>
    <w:tblStylePr w:type="lastRow">
      <w:rPr>
        <w:rFonts w:ascii="Arial" w:hAnsi="Arial"/>
        <w:color w:val="F2F2F2"/>
        <w:sz w:val="22"/>
      </w:rPr>
      <w:tcPr>
        <w:shd w:val="clear" w:color="9ABB59" w:fill="9ABB59"/>
      </w:tcPr>
    </w:tblStylePr>
    <w:tblStylePr w:type="firstCol">
      <w:rPr>
        <w:rFonts w:ascii="Arial" w:hAnsi="Arial"/>
        <w:color w:val="F2F2F2"/>
        <w:sz w:val="22"/>
      </w:rPr>
      <w:tcPr>
        <w:shd w:val="clear" w:color="9ABB59" w:fill="9ABB59"/>
      </w:tcPr>
    </w:tblStylePr>
    <w:tblStylePr w:type="lastCol">
      <w:rPr>
        <w:rFonts w:ascii="Arial" w:hAnsi="Arial"/>
        <w:color w:val="F2F2F2"/>
        <w:sz w:val="22"/>
      </w:rPr>
      <w:tcPr>
        <w:shd w:val="clear" w:color="9ABB59" w:fill="9ABB59"/>
      </w:tcPr>
    </w:tblStylePr>
    <w:tblStylePr w:type="band1Vert">
      <w:rPr>
        <w:rFonts w:ascii="Arial" w:hAnsi="Arial"/>
        <w:color w:val="404040"/>
        <w:sz w:val="22"/>
      </w:rPr>
    </w:tblStylePr>
    <w:tblStylePr w:type="band2Vert">
      <w:rPr>
        <w:rFonts w:ascii="Arial" w:hAnsi="Arial"/>
        <w:color w:val="404040"/>
        <w:sz w:val="22"/>
      </w:rPr>
      <w:tcPr>
        <w:shd w:val="clear" w:color="EAF1DC" w:fill="EAF1DC"/>
      </w:tcPr>
    </w:tblStylePr>
    <w:tblStylePr w:type="band1Horz">
      <w:rPr>
        <w:rFonts w:ascii="Arial" w:hAnsi="Arial"/>
        <w:color w:val="404040"/>
        <w:sz w:val="22"/>
      </w:rPr>
    </w:tblStylePr>
    <w:tblStylePr w:type="band2Horz">
      <w:rPr>
        <w:rFonts w:ascii="Arial" w:hAnsi="Arial"/>
        <w:color w:val="404040"/>
        <w:sz w:val="22"/>
      </w:rPr>
      <w:tcPr>
        <w:shd w:val="clear" w:color="EAF1DC" w:fill="EAF1DC"/>
      </w:tcPr>
    </w:tblStylePr>
  </w:style>
  <w:style w:type="table" w:customStyle="1" w:styleId="2445">
    <w:name w:val="Bordered &amp; Lined - Accent 411"/>
    <w:basedOn w:val="13"/>
    <w:uiPriority w:val="99"/>
    <w:rPr>
      <w:color w:val="404040"/>
    </w:rPr>
    <w:tblPr>
      <w:tblBorders>
        <w:top w:val="single" w:color="4A395F" w:sz="4" w:space="0"/>
        <w:left w:val="single" w:color="4A395F" w:sz="4" w:space="0"/>
        <w:bottom w:val="single" w:color="4A395F" w:sz="4" w:space="0"/>
        <w:right w:val="single" w:color="4A395F" w:sz="4" w:space="0"/>
        <w:insideH w:val="single" w:color="4A395F" w:sz="4" w:space="0"/>
        <w:insideV w:val="single" w:color="4A395F" w:sz="4" w:space="0"/>
      </w:tblBorders>
      <w:tblCellMar>
        <w:top w:w="0" w:type="dxa"/>
        <w:left w:w="108" w:type="dxa"/>
        <w:bottom w:w="0" w:type="dxa"/>
        <w:right w:w="108" w:type="dxa"/>
      </w:tblCellMar>
    </w:tblPr>
    <w:tblStylePr w:type="firstRow">
      <w:rPr>
        <w:rFonts w:ascii="Arial" w:hAnsi="Arial"/>
        <w:color w:val="F2F2F2"/>
        <w:sz w:val="22"/>
      </w:rPr>
      <w:tcPr>
        <w:shd w:val="clear" w:color="B2A1C6" w:fill="B2A1C6"/>
      </w:tcPr>
    </w:tblStylePr>
    <w:tblStylePr w:type="lastRow">
      <w:rPr>
        <w:rFonts w:ascii="Arial" w:hAnsi="Arial"/>
        <w:color w:val="F2F2F2"/>
        <w:sz w:val="22"/>
      </w:rPr>
      <w:tcPr>
        <w:shd w:val="clear" w:color="B2A1C6" w:fill="B2A1C6"/>
      </w:tcPr>
    </w:tblStylePr>
    <w:tblStylePr w:type="firstCol">
      <w:rPr>
        <w:rFonts w:ascii="Arial" w:hAnsi="Arial"/>
        <w:color w:val="F2F2F2"/>
        <w:sz w:val="22"/>
      </w:rPr>
      <w:tcPr>
        <w:shd w:val="clear" w:color="B2A1C6" w:fill="B2A1C6"/>
      </w:tcPr>
    </w:tblStylePr>
    <w:tblStylePr w:type="lastCol">
      <w:rPr>
        <w:rFonts w:ascii="Arial" w:hAnsi="Arial"/>
        <w:color w:val="F2F2F2"/>
        <w:sz w:val="22"/>
      </w:rPr>
      <w:tcPr>
        <w:shd w:val="clear" w:color="B2A1C6" w:fill="B2A1C6"/>
      </w:tcPr>
    </w:tblStylePr>
    <w:tblStylePr w:type="band1Vert">
      <w:rPr>
        <w:rFonts w:ascii="Arial" w:hAnsi="Arial"/>
        <w:color w:val="404040"/>
        <w:sz w:val="22"/>
      </w:rPr>
    </w:tblStylePr>
    <w:tblStylePr w:type="band2Vert">
      <w:rPr>
        <w:rFonts w:ascii="Arial" w:hAnsi="Arial"/>
        <w:color w:val="404040"/>
        <w:sz w:val="22"/>
      </w:rPr>
      <w:tcPr>
        <w:shd w:val="clear" w:color="E5DFEC" w:fill="E5DFEC"/>
      </w:tcPr>
    </w:tblStylePr>
    <w:tblStylePr w:type="band1Horz">
      <w:rPr>
        <w:rFonts w:ascii="Arial" w:hAnsi="Arial"/>
        <w:color w:val="404040"/>
        <w:sz w:val="22"/>
      </w:rPr>
    </w:tblStylePr>
    <w:tblStylePr w:type="band2Horz">
      <w:rPr>
        <w:rFonts w:ascii="Arial" w:hAnsi="Arial"/>
        <w:color w:val="404040"/>
        <w:sz w:val="22"/>
      </w:rPr>
      <w:tcPr>
        <w:shd w:val="clear" w:color="E5DFEC" w:fill="E5DFEC"/>
      </w:tcPr>
    </w:tblStylePr>
  </w:style>
  <w:style w:type="table" w:customStyle="1" w:styleId="2446">
    <w:name w:val="Bordered &amp; Lined - Accent 511"/>
    <w:basedOn w:val="13"/>
    <w:uiPriority w:val="99"/>
    <w:rPr>
      <w:color w:val="404040"/>
    </w:rPr>
    <w:tblPr>
      <w:tblBorders>
        <w:top w:val="single" w:color="266779" w:sz="4" w:space="0"/>
        <w:left w:val="single" w:color="266779" w:sz="4" w:space="0"/>
        <w:bottom w:val="single" w:color="266779" w:sz="4" w:space="0"/>
        <w:right w:val="single" w:color="266779" w:sz="4" w:space="0"/>
        <w:insideH w:val="single" w:color="266779" w:sz="4" w:space="0"/>
        <w:insideV w:val="single" w:color="266779" w:sz="4" w:space="0"/>
      </w:tblBorders>
      <w:tblCellMar>
        <w:top w:w="0" w:type="dxa"/>
        <w:left w:w="108" w:type="dxa"/>
        <w:bottom w:w="0" w:type="dxa"/>
        <w:right w:w="108" w:type="dxa"/>
      </w:tblCellMar>
    </w:tblPr>
    <w:tblStylePr w:type="firstRow">
      <w:rPr>
        <w:rFonts w:ascii="Arial" w:hAnsi="Arial"/>
        <w:color w:val="F2F2F2"/>
        <w:sz w:val="22"/>
      </w:rPr>
      <w:tcPr>
        <w:shd w:val="clear" w:color="4BACC6" w:fill="4BACC6"/>
      </w:tcPr>
    </w:tblStylePr>
    <w:tblStylePr w:type="lastRow">
      <w:rPr>
        <w:rFonts w:ascii="Arial" w:hAnsi="Arial"/>
        <w:color w:val="F2F2F2"/>
        <w:sz w:val="22"/>
      </w:rPr>
      <w:tcPr>
        <w:shd w:val="clear" w:color="4BACC6" w:fill="4BACC6"/>
      </w:tcPr>
    </w:tblStylePr>
    <w:tblStylePr w:type="firstCol">
      <w:rPr>
        <w:rFonts w:ascii="Arial" w:hAnsi="Arial"/>
        <w:color w:val="F2F2F2"/>
        <w:sz w:val="22"/>
      </w:rPr>
      <w:tcPr>
        <w:shd w:val="clear" w:color="4BACC6" w:fill="4BACC6"/>
      </w:tcPr>
    </w:tblStylePr>
    <w:tblStylePr w:type="lastCol">
      <w:rPr>
        <w:rFonts w:ascii="Arial" w:hAnsi="Arial"/>
        <w:color w:val="F2F2F2"/>
        <w:sz w:val="22"/>
      </w:rPr>
      <w:tcPr>
        <w:shd w:val="clear" w:color="4BACC6" w:fill="4BACC6"/>
      </w:tcPr>
    </w:tblStylePr>
    <w:tblStylePr w:type="band1Vert">
      <w:rPr>
        <w:rFonts w:ascii="Arial" w:hAnsi="Arial"/>
        <w:color w:val="404040"/>
        <w:sz w:val="22"/>
      </w:rPr>
    </w:tblStylePr>
    <w:tblStylePr w:type="band2Vert">
      <w:rPr>
        <w:rFonts w:ascii="Arial" w:hAnsi="Arial"/>
        <w:color w:val="404040"/>
        <w:sz w:val="22"/>
      </w:rPr>
      <w:tcPr>
        <w:shd w:val="clear" w:color="DAEEF3" w:fill="DAEEF3"/>
      </w:tcPr>
    </w:tblStylePr>
    <w:tblStylePr w:type="band1Horz">
      <w:rPr>
        <w:rFonts w:ascii="Arial" w:hAnsi="Arial"/>
        <w:color w:val="404040"/>
        <w:sz w:val="22"/>
      </w:rPr>
    </w:tblStylePr>
    <w:tblStylePr w:type="band2Horz">
      <w:rPr>
        <w:rFonts w:ascii="Arial" w:hAnsi="Arial"/>
        <w:color w:val="404040"/>
        <w:sz w:val="22"/>
      </w:rPr>
      <w:tcPr>
        <w:shd w:val="clear" w:color="DAEEF3" w:fill="DAEEF3"/>
      </w:tcPr>
    </w:tblStylePr>
  </w:style>
  <w:style w:type="table" w:customStyle="1" w:styleId="2447">
    <w:name w:val="Bordered &amp; Lined - Accent 611"/>
    <w:basedOn w:val="13"/>
    <w:uiPriority w:val="99"/>
    <w:rPr>
      <w:color w:val="404040"/>
    </w:rPr>
    <w:tblPr>
      <w:tblBorders>
        <w:top w:val="single" w:color="B15407" w:sz="4" w:space="0"/>
        <w:left w:val="single" w:color="B15407" w:sz="4" w:space="0"/>
        <w:bottom w:val="single" w:color="B15407" w:sz="4" w:space="0"/>
        <w:right w:val="single" w:color="B15407" w:sz="4" w:space="0"/>
        <w:insideH w:val="single" w:color="B15407" w:sz="4" w:space="0"/>
        <w:insideV w:val="single" w:color="B15407" w:sz="4" w:space="0"/>
      </w:tblBorders>
      <w:tblCellMar>
        <w:top w:w="0" w:type="dxa"/>
        <w:left w:w="108" w:type="dxa"/>
        <w:bottom w:w="0" w:type="dxa"/>
        <w:right w:w="108" w:type="dxa"/>
      </w:tblCellMar>
    </w:tblPr>
    <w:tblStylePr w:type="firstRow">
      <w:rPr>
        <w:rFonts w:ascii="Arial" w:hAnsi="Arial"/>
        <w:color w:val="F2F2F2"/>
        <w:sz w:val="22"/>
      </w:rPr>
      <w:tcPr>
        <w:shd w:val="clear" w:color="F79646" w:fill="F79646"/>
      </w:tcPr>
    </w:tblStylePr>
    <w:tblStylePr w:type="lastRow">
      <w:rPr>
        <w:rFonts w:ascii="Arial" w:hAnsi="Arial"/>
        <w:color w:val="F2F2F2"/>
        <w:sz w:val="22"/>
      </w:rPr>
      <w:tcPr>
        <w:shd w:val="clear" w:color="F79646" w:fill="F79646"/>
      </w:tcPr>
    </w:tblStylePr>
    <w:tblStylePr w:type="firstCol">
      <w:rPr>
        <w:rFonts w:ascii="Arial" w:hAnsi="Arial"/>
        <w:color w:val="F2F2F2"/>
        <w:sz w:val="22"/>
      </w:rPr>
      <w:tcPr>
        <w:shd w:val="clear" w:color="F79646" w:fill="F79646"/>
      </w:tcPr>
    </w:tblStylePr>
    <w:tblStylePr w:type="lastCol">
      <w:rPr>
        <w:rFonts w:ascii="Arial" w:hAnsi="Arial"/>
        <w:color w:val="F2F2F2"/>
        <w:sz w:val="22"/>
      </w:rPr>
      <w:tcPr>
        <w:shd w:val="clear" w:color="F79646" w:fill="F79646"/>
      </w:tcPr>
    </w:tblStylePr>
    <w:tblStylePr w:type="band1Vert">
      <w:rPr>
        <w:rFonts w:ascii="Arial" w:hAnsi="Arial"/>
        <w:color w:val="404040"/>
        <w:sz w:val="22"/>
      </w:rPr>
    </w:tblStylePr>
    <w:tblStylePr w:type="band2Vert">
      <w:rPr>
        <w:rFonts w:ascii="Arial" w:hAnsi="Arial"/>
        <w:color w:val="404040"/>
        <w:sz w:val="22"/>
      </w:rPr>
      <w:tcPr>
        <w:shd w:val="clear" w:color="FDE9D8" w:fill="FDE9D8"/>
      </w:tcPr>
    </w:tblStylePr>
    <w:tblStylePr w:type="band1Horz">
      <w:rPr>
        <w:rFonts w:ascii="Arial" w:hAnsi="Arial"/>
        <w:color w:val="404040"/>
        <w:sz w:val="22"/>
      </w:rPr>
    </w:tblStylePr>
    <w:tblStylePr w:type="band2Horz">
      <w:rPr>
        <w:rFonts w:ascii="Arial" w:hAnsi="Arial"/>
        <w:color w:val="404040"/>
        <w:sz w:val="22"/>
      </w:rPr>
      <w:tcPr>
        <w:shd w:val="clear" w:color="FDE9D8" w:fill="FDE9D8"/>
      </w:tcPr>
    </w:tblStylePr>
  </w:style>
  <w:style w:type="table" w:customStyle="1" w:styleId="2448">
    <w:name w:val="Bordered11"/>
    <w:basedOn w:val="13"/>
    <w:uiPriority w:val="99"/>
    <w:rPr>
      <w:sz w:val="22"/>
      <w:szCs w:val="22"/>
      <w:lang w:eastAsia="en-US"/>
    </w:rPr>
    <w:tblPr>
      <w:tblBorders>
        <w:top w:val="single" w:color="D9D9D9" w:sz="4" w:space="0"/>
        <w:left w:val="single" w:color="D9D9D9" w:sz="4" w:space="0"/>
        <w:bottom w:val="single" w:color="D9D9D9" w:sz="4" w:space="0"/>
        <w:right w:val="single" w:color="D9D9D9" w:sz="4" w:space="0"/>
        <w:insideH w:val="single" w:color="D9D9D9" w:sz="4" w:space="0"/>
        <w:insideV w:val="single" w:color="D9D9D9" w:sz="4" w:space="0"/>
      </w:tblBorders>
      <w:tblCellMar>
        <w:top w:w="0" w:type="dxa"/>
        <w:left w:w="108" w:type="dxa"/>
        <w:bottom w:w="0" w:type="dxa"/>
        <w:right w:w="108" w:type="dxa"/>
      </w:tblCellMar>
    </w:tblPr>
    <w:tblStylePr w:type="firstRow">
      <w:rPr>
        <w:rFonts w:ascii="Arial" w:hAnsi="Arial"/>
        <w:color w:val="404040"/>
        <w:sz w:val="22"/>
      </w:rPr>
      <w:tcPr>
        <w:tcBorders>
          <w:bottom w:val="single" w:color="7F7F7F" w:sz="12" w:space="0"/>
        </w:tcBorders>
      </w:tcPr>
    </w:tblStylePr>
    <w:tblStylePr w:type="lastRow">
      <w:rPr>
        <w:rFonts w:ascii="Arial" w:hAnsi="Arial"/>
        <w:color w:val="404040"/>
        <w:sz w:val="22"/>
      </w:rPr>
      <w:tcPr>
        <w:tcBorders>
          <w:top w:val="single" w:color="7F7F7F"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7F7F7F" w:sz="12" w:space="0"/>
        </w:tcBorders>
      </w:tcPr>
    </w:tblStylePr>
    <w:tblStylePr w:type="band1Horz">
      <w:rPr>
        <w:rFonts w:ascii="Arial" w:hAnsi="Arial"/>
        <w:color w:val="404040"/>
        <w:sz w:val="22"/>
      </w:rPr>
      <w:tcPr>
        <w:tcBorders>
          <w:top w:val="single" w:color="D9D9D9" w:sz="4" w:space="0"/>
          <w:left w:val="single" w:color="D9D9D9" w:sz="4" w:space="0"/>
          <w:bottom w:val="single" w:color="D9D9D9" w:sz="4" w:space="0"/>
          <w:right w:val="single" w:color="D9D9D9" w:sz="4" w:space="0"/>
        </w:tcBorders>
      </w:tcPr>
    </w:tblStylePr>
  </w:style>
  <w:style w:type="table" w:customStyle="1" w:styleId="2449">
    <w:name w:val="Bordered - Accent 111"/>
    <w:basedOn w:val="13"/>
    <w:uiPriority w:val="99"/>
    <w:rPr>
      <w:sz w:val="22"/>
      <w:szCs w:val="22"/>
      <w:lang w:eastAsia="en-US"/>
    </w:rPr>
    <w:tblPr>
      <w:tblBorders>
        <w:top w:val="single" w:color="B7CBE4" w:sz="4" w:space="0"/>
        <w:left w:val="single" w:color="B7CBE4" w:sz="4" w:space="0"/>
        <w:bottom w:val="single" w:color="B7CBE4" w:sz="4" w:space="0"/>
        <w:right w:val="single" w:color="B7CBE4" w:sz="4" w:space="0"/>
        <w:insideH w:val="single" w:color="B7CBE4" w:sz="4" w:space="0"/>
        <w:insideV w:val="single" w:color="B7CBE4" w:sz="4" w:space="0"/>
      </w:tblBorders>
      <w:tblCellMar>
        <w:top w:w="0" w:type="dxa"/>
        <w:left w:w="108" w:type="dxa"/>
        <w:bottom w:w="0" w:type="dxa"/>
        <w:right w:w="108" w:type="dxa"/>
      </w:tblCellMar>
    </w:tblPr>
    <w:tblStylePr w:type="firstRow">
      <w:rPr>
        <w:rFonts w:ascii="Arial" w:hAnsi="Arial"/>
        <w:color w:val="404040"/>
        <w:sz w:val="22"/>
      </w:rPr>
      <w:tcPr>
        <w:tcBorders>
          <w:bottom w:val="single" w:color="4F81BD" w:sz="12" w:space="0"/>
        </w:tcBorders>
      </w:tcPr>
    </w:tblStylePr>
    <w:tblStylePr w:type="lastRow">
      <w:rPr>
        <w:rFonts w:ascii="Arial" w:hAnsi="Arial"/>
        <w:color w:val="404040"/>
        <w:sz w:val="22"/>
      </w:rPr>
      <w:tcPr>
        <w:tcBorders>
          <w:top w:val="single" w:color="4F81BD"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4F81BD" w:sz="12" w:space="0"/>
        </w:tcBorders>
      </w:tcPr>
    </w:tblStylePr>
    <w:tblStylePr w:type="band1Horz">
      <w:rPr>
        <w:rFonts w:ascii="Arial" w:hAnsi="Arial"/>
        <w:color w:val="404040"/>
        <w:sz w:val="22"/>
      </w:rPr>
      <w:tcPr>
        <w:tcBorders>
          <w:top w:val="single" w:color="B7CBE4" w:sz="4" w:space="0"/>
          <w:left w:val="single" w:color="B7CBE4" w:sz="4" w:space="0"/>
          <w:bottom w:val="single" w:color="B7CBE4" w:sz="4" w:space="0"/>
          <w:right w:val="single" w:color="B7CBE4" w:sz="4" w:space="0"/>
        </w:tcBorders>
      </w:tcPr>
    </w:tblStylePr>
  </w:style>
  <w:style w:type="table" w:customStyle="1" w:styleId="2450">
    <w:name w:val="Bordered - Accent 211"/>
    <w:basedOn w:val="13"/>
    <w:uiPriority w:val="99"/>
    <w:rPr>
      <w:sz w:val="22"/>
      <w:szCs w:val="22"/>
      <w:lang w:eastAsia="en-US"/>
    </w:rPr>
    <w:tblPr>
      <w:tblBorders>
        <w:top w:val="single" w:color="E5B7B6" w:sz="4" w:space="0"/>
        <w:left w:val="single" w:color="E5B7B6" w:sz="4" w:space="0"/>
        <w:bottom w:val="single" w:color="E5B7B6" w:sz="4" w:space="0"/>
        <w:right w:val="single" w:color="E5B7B6" w:sz="4" w:space="0"/>
        <w:insideH w:val="single" w:color="E5B7B6" w:sz="4" w:space="0"/>
        <w:insideV w:val="single" w:color="E5B7B6" w:sz="4" w:space="0"/>
      </w:tblBorders>
      <w:tblCellMar>
        <w:top w:w="0" w:type="dxa"/>
        <w:left w:w="108" w:type="dxa"/>
        <w:bottom w:w="0" w:type="dxa"/>
        <w:right w:w="108" w:type="dxa"/>
      </w:tblCellMar>
    </w:tblPr>
    <w:tblStylePr w:type="firstRow">
      <w:rPr>
        <w:rFonts w:ascii="Arial" w:hAnsi="Arial"/>
        <w:color w:val="404040"/>
        <w:sz w:val="22"/>
      </w:rPr>
      <w:tcPr>
        <w:tcBorders>
          <w:bottom w:val="single" w:color="D99695" w:sz="12" w:space="0"/>
        </w:tcBorders>
      </w:tcPr>
    </w:tblStylePr>
    <w:tblStylePr w:type="lastRow">
      <w:rPr>
        <w:rFonts w:ascii="Arial" w:hAnsi="Arial"/>
        <w:color w:val="404040"/>
        <w:sz w:val="22"/>
      </w:rPr>
      <w:tcPr>
        <w:tcBorders>
          <w:top w:val="single" w:color="D99695"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D99695" w:sz="12" w:space="0"/>
        </w:tcBorders>
      </w:tcPr>
    </w:tblStylePr>
    <w:tblStylePr w:type="band1Horz">
      <w:rPr>
        <w:rFonts w:ascii="Arial" w:hAnsi="Arial"/>
        <w:color w:val="404040"/>
        <w:sz w:val="22"/>
      </w:rPr>
      <w:tcPr>
        <w:tcBorders>
          <w:top w:val="single" w:color="E5B7B6" w:sz="4" w:space="0"/>
          <w:left w:val="single" w:color="E5B7B6" w:sz="4" w:space="0"/>
          <w:bottom w:val="single" w:color="E5B7B6" w:sz="4" w:space="0"/>
          <w:right w:val="single" w:color="E5B7B6" w:sz="4" w:space="0"/>
        </w:tcBorders>
      </w:tcPr>
    </w:tblStylePr>
  </w:style>
  <w:style w:type="table" w:customStyle="1" w:styleId="2451">
    <w:name w:val="Bordered - Accent 311"/>
    <w:basedOn w:val="13"/>
    <w:uiPriority w:val="99"/>
    <w:rPr>
      <w:sz w:val="22"/>
      <w:szCs w:val="22"/>
      <w:lang w:eastAsia="en-US"/>
    </w:rPr>
    <w:tblPr>
      <w:tblBorders>
        <w:top w:val="single" w:color="D6E3BB" w:sz="4" w:space="0"/>
        <w:left w:val="single" w:color="D6E3BB" w:sz="4" w:space="0"/>
        <w:bottom w:val="single" w:color="D6E3BB" w:sz="4" w:space="0"/>
        <w:right w:val="single" w:color="D6E3BB" w:sz="4" w:space="0"/>
        <w:insideH w:val="single" w:color="D6E3BB" w:sz="4" w:space="0"/>
        <w:insideV w:val="single" w:color="D6E3BB" w:sz="4" w:space="0"/>
      </w:tblBorders>
      <w:tblCellMar>
        <w:top w:w="0" w:type="dxa"/>
        <w:left w:w="108" w:type="dxa"/>
        <w:bottom w:w="0" w:type="dxa"/>
        <w:right w:w="108" w:type="dxa"/>
      </w:tblCellMar>
    </w:tblPr>
    <w:tblStylePr w:type="firstRow">
      <w:rPr>
        <w:rFonts w:ascii="Arial" w:hAnsi="Arial"/>
        <w:color w:val="404040"/>
        <w:sz w:val="22"/>
      </w:rPr>
      <w:tcPr>
        <w:tcBorders>
          <w:bottom w:val="single" w:color="C3D69B" w:sz="12" w:space="0"/>
        </w:tcBorders>
      </w:tcPr>
    </w:tblStylePr>
    <w:tblStylePr w:type="lastRow">
      <w:rPr>
        <w:rFonts w:ascii="Arial" w:hAnsi="Arial"/>
        <w:color w:val="404040"/>
        <w:sz w:val="22"/>
      </w:rPr>
      <w:tcPr>
        <w:tcBorders>
          <w:top w:val="single" w:color="C3D69B"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C3D69B" w:sz="12" w:space="0"/>
        </w:tcBorders>
      </w:tcPr>
    </w:tblStylePr>
    <w:tblStylePr w:type="band1Horz">
      <w:rPr>
        <w:rFonts w:ascii="Arial" w:hAnsi="Arial"/>
        <w:color w:val="404040"/>
        <w:sz w:val="22"/>
      </w:rPr>
      <w:tcPr>
        <w:tcBorders>
          <w:top w:val="single" w:color="D6E3BB" w:sz="4" w:space="0"/>
          <w:left w:val="single" w:color="D6E3BB" w:sz="4" w:space="0"/>
          <w:bottom w:val="single" w:color="D6E3BB" w:sz="4" w:space="0"/>
          <w:right w:val="single" w:color="D6E3BB" w:sz="4" w:space="0"/>
        </w:tcBorders>
      </w:tcPr>
    </w:tblStylePr>
  </w:style>
  <w:style w:type="table" w:customStyle="1" w:styleId="2452">
    <w:name w:val="Bordered - Accent 411"/>
    <w:basedOn w:val="13"/>
    <w:uiPriority w:val="99"/>
    <w:rPr>
      <w:sz w:val="22"/>
      <w:szCs w:val="22"/>
      <w:lang w:eastAsia="en-US"/>
    </w:rPr>
    <w:tblPr>
      <w:tblBorders>
        <w:top w:val="single" w:color="CBC0D9" w:sz="4" w:space="0"/>
        <w:left w:val="single" w:color="CBC0D9" w:sz="4" w:space="0"/>
        <w:bottom w:val="single" w:color="CBC0D9" w:sz="4" w:space="0"/>
        <w:right w:val="single" w:color="CBC0D9" w:sz="4" w:space="0"/>
        <w:insideH w:val="single" w:color="CBC0D9" w:sz="4" w:space="0"/>
        <w:insideV w:val="single" w:color="CBC0D9" w:sz="4" w:space="0"/>
      </w:tblBorders>
      <w:tblCellMar>
        <w:top w:w="0" w:type="dxa"/>
        <w:left w:w="108" w:type="dxa"/>
        <w:bottom w:w="0" w:type="dxa"/>
        <w:right w:w="108" w:type="dxa"/>
      </w:tblCellMar>
    </w:tblPr>
    <w:tblStylePr w:type="firstRow">
      <w:rPr>
        <w:rFonts w:ascii="Arial" w:hAnsi="Arial"/>
        <w:color w:val="404040"/>
        <w:sz w:val="22"/>
      </w:rPr>
      <w:tcPr>
        <w:tcBorders>
          <w:bottom w:val="single" w:color="B2A1C6" w:sz="12" w:space="0"/>
        </w:tcBorders>
      </w:tcPr>
    </w:tblStylePr>
    <w:tblStylePr w:type="lastRow">
      <w:rPr>
        <w:rFonts w:ascii="Arial" w:hAnsi="Arial"/>
        <w:color w:val="404040"/>
        <w:sz w:val="22"/>
      </w:rPr>
      <w:tcPr>
        <w:tcBorders>
          <w:top w:val="single" w:color="B2A1C6"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B2A1C6" w:sz="12" w:space="0"/>
        </w:tcBorders>
      </w:tcPr>
    </w:tblStylePr>
    <w:tblStylePr w:type="band1Horz">
      <w:rPr>
        <w:rFonts w:ascii="Arial" w:hAnsi="Arial"/>
        <w:color w:val="404040"/>
        <w:sz w:val="22"/>
      </w:rPr>
      <w:tcPr>
        <w:tcBorders>
          <w:top w:val="single" w:color="CBC0D9" w:sz="4" w:space="0"/>
          <w:left w:val="single" w:color="CBC0D9" w:sz="4" w:space="0"/>
          <w:bottom w:val="single" w:color="CBC0D9" w:sz="4" w:space="0"/>
          <w:right w:val="single" w:color="CBC0D9" w:sz="4" w:space="0"/>
        </w:tcBorders>
      </w:tcPr>
    </w:tblStylePr>
  </w:style>
  <w:style w:type="table" w:customStyle="1" w:styleId="2453">
    <w:name w:val="Bordered - Accent 511"/>
    <w:basedOn w:val="13"/>
    <w:uiPriority w:val="99"/>
    <w:rPr>
      <w:sz w:val="22"/>
      <w:szCs w:val="22"/>
      <w:lang w:eastAsia="en-US"/>
    </w:rPr>
    <w:tblPr>
      <w:tblBorders>
        <w:top w:val="single" w:color="B6DDE8" w:sz="4" w:space="0"/>
        <w:left w:val="single" w:color="B6DDE8" w:sz="4" w:space="0"/>
        <w:bottom w:val="single" w:color="B6DDE8" w:sz="4" w:space="0"/>
        <w:right w:val="single" w:color="B6DDE8" w:sz="4" w:space="0"/>
        <w:insideH w:val="single" w:color="B6DDE8" w:sz="4" w:space="0"/>
        <w:insideV w:val="single" w:color="B6DDE8" w:sz="4" w:space="0"/>
      </w:tblBorders>
      <w:tblCellMar>
        <w:top w:w="0" w:type="dxa"/>
        <w:left w:w="108" w:type="dxa"/>
        <w:bottom w:w="0" w:type="dxa"/>
        <w:right w:w="108" w:type="dxa"/>
      </w:tblCellMar>
    </w:tblPr>
    <w:tblStylePr w:type="firstRow">
      <w:rPr>
        <w:rFonts w:ascii="Arial" w:hAnsi="Arial"/>
        <w:color w:val="404040"/>
        <w:sz w:val="22"/>
      </w:rPr>
      <w:tcPr>
        <w:tcBorders>
          <w:bottom w:val="single" w:color="92CCDC" w:sz="12" w:space="0"/>
        </w:tcBorders>
      </w:tcPr>
    </w:tblStylePr>
    <w:tblStylePr w:type="lastRow">
      <w:rPr>
        <w:rFonts w:ascii="Arial" w:hAnsi="Arial"/>
        <w:color w:val="404040"/>
        <w:sz w:val="22"/>
      </w:rPr>
      <w:tcPr>
        <w:tcBorders>
          <w:top w:val="single" w:color="92CCDC"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92CCDC" w:sz="12" w:space="0"/>
        </w:tcBorders>
      </w:tcPr>
    </w:tblStylePr>
    <w:tblStylePr w:type="band1Horz">
      <w:rPr>
        <w:rFonts w:ascii="Arial" w:hAnsi="Arial"/>
        <w:color w:val="404040"/>
        <w:sz w:val="22"/>
      </w:rPr>
      <w:tcPr>
        <w:tcBorders>
          <w:top w:val="single" w:color="B6DDE8" w:sz="4" w:space="0"/>
          <w:left w:val="single" w:color="B6DDE8" w:sz="4" w:space="0"/>
          <w:bottom w:val="single" w:color="B6DDE8" w:sz="4" w:space="0"/>
          <w:right w:val="single" w:color="B6DDE8" w:sz="4" w:space="0"/>
        </w:tcBorders>
      </w:tcPr>
    </w:tblStylePr>
  </w:style>
  <w:style w:type="table" w:customStyle="1" w:styleId="2454">
    <w:name w:val="Bordered - Accent 611"/>
    <w:basedOn w:val="13"/>
    <w:uiPriority w:val="99"/>
    <w:rPr>
      <w:sz w:val="22"/>
      <w:szCs w:val="22"/>
      <w:lang w:eastAsia="en-US"/>
    </w:rPr>
    <w:tblPr>
      <w:tblBorders>
        <w:top w:val="single" w:color="FBD4B4" w:sz="4" w:space="0"/>
        <w:left w:val="single" w:color="FBD4B4" w:sz="4" w:space="0"/>
        <w:bottom w:val="single" w:color="FBD4B4" w:sz="4" w:space="0"/>
        <w:right w:val="single" w:color="FBD4B4" w:sz="4" w:space="0"/>
        <w:insideH w:val="single" w:color="FBD4B4" w:sz="4" w:space="0"/>
        <w:insideV w:val="single" w:color="FBD4B4" w:sz="4" w:space="0"/>
      </w:tblBorders>
      <w:tblCellMar>
        <w:top w:w="0" w:type="dxa"/>
        <w:left w:w="108" w:type="dxa"/>
        <w:bottom w:w="0" w:type="dxa"/>
        <w:right w:w="108" w:type="dxa"/>
      </w:tblCellMar>
    </w:tblPr>
    <w:tblStylePr w:type="firstRow">
      <w:rPr>
        <w:rFonts w:ascii="Arial" w:hAnsi="Arial"/>
        <w:color w:val="404040"/>
        <w:sz w:val="22"/>
      </w:rPr>
      <w:tcPr>
        <w:tcBorders>
          <w:bottom w:val="single" w:color="FAC090" w:sz="12" w:space="0"/>
        </w:tcBorders>
      </w:tcPr>
    </w:tblStylePr>
    <w:tblStylePr w:type="lastRow">
      <w:rPr>
        <w:rFonts w:ascii="Arial" w:hAnsi="Arial"/>
        <w:color w:val="404040"/>
        <w:sz w:val="22"/>
      </w:rPr>
      <w:tcPr>
        <w:tcBorders>
          <w:top w:val="single" w:color="FAC090"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FAC090" w:sz="12" w:space="0"/>
        </w:tcBorders>
      </w:tcPr>
    </w:tblStylePr>
    <w:tblStylePr w:type="band1Horz">
      <w:rPr>
        <w:rFonts w:ascii="Arial" w:hAnsi="Arial"/>
        <w:color w:val="404040"/>
        <w:sz w:val="22"/>
      </w:rPr>
      <w:tcPr>
        <w:tcBorders>
          <w:top w:val="single" w:color="FBD4B4" w:sz="4" w:space="0"/>
          <w:left w:val="single" w:color="FBD4B4" w:sz="4" w:space="0"/>
          <w:bottom w:val="single" w:color="FBD4B4" w:sz="4" w:space="0"/>
          <w:right w:val="single" w:color="FBD4B4" w:sz="4" w:space="0"/>
        </w:tcBorders>
      </w:tcPr>
    </w:tblStylePr>
  </w:style>
  <w:style w:type="table" w:customStyle="1" w:styleId="2455">
    <w:name w:val="Сетка таблицы28"/>
    <w:basedOn w:val="13"/>
    <w:uiPriority w:val="0"/>
    <w:rPr>
      <w:rFonts w:ascii="Times New Roman" w:hAnsi="Times New Roman" w:eastAsia="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paragraph" w:customStyle="1" w:styleId="2456">
    <w:name w:val="2"/>
    <w:basedOn w:val="1"/>
    <w:next w:val="49"/>
    <w:unhideWhenUsed/>
    <w:uiPriority w:val="99"/>
    <w:pPr>
      <w:widowControl/>
      <w:jc w:val="both"/>
    </w:pPr>
    <w:rPr>
      <w:rFonts w:ascii="Times New Roman" w:hAnsi="Times New Roman"/>
      <w:sz w:val="24"/>
      <w:szCs w:val="24"/>
    </w:rPr>
  </w:style>
  <w:style w:type="character" w:customStyle="1" w:styleId="2457">
    <w:name w:val="Основной текст с отступом 3 Знак"/>
    <w:link w:val="25"/>
    <w:uiPriority w:val="99"/>
    <w:rPr>
      <w:sz w:val="16"/>
      <w:szCs w:val="16"/>
      <w:lang w:eastAsia="en-US"/>
    </w:rPr>
  </w:style>
  <w:style w:type="table" w:customStyle="1" w:styleId="2458">
    <w:name w:val="Сетка таблицы29"/>
    <w:basedOn w:val="13"/>
    <w:uiPriority w:val="59"/>
    <w:rPr>
      <w:sz w:val="22"/>
      <w:szCs w:val="22"/>
      <w:lang w:eastAsia="en-US"/>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customStyle="1" w:styleId="2459">
    <w:name w:val="Сетка таблицы113"/>
    <w:basedOn w:val="13"/>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customStyle="1" w:styleId="2460">
    <w:name w:val="Сетка таблицы30"/>
    <w:basedOn w:val="13"/>
    <w:uiPriority w:val="59"/>
    <w:rPr>
      <w:sz w:val="22"/>
      <w:szCs w:val="22"/>
      <w:lang w:eastAsia="en-US"/>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customStyle="1" w:styleId="2461">
    <w:name w:val="Сетка таблицы32"/>
    <w:basedOn w:val="13"/>
    <w:uiPriority w:val="59"/>
    <w:rPr>
      <w:sz w:val="22"/>
      <w:szCs w:val="22"/>
      <w:lang w:eastAsia="en-US"/>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customStyle="1" w:styleId="2462">
    <w:name w:val="ff3"/>
    <w:uiPriority w:val="0"/>
  </w:style>
  <w:style w:type="character" w:customStyle="1" w:styleId="2463">
    <w:name w:val="c1 c6"/>
    <w:uiPriority w:val="0"/>
    <w:rPr>
      <w:rFonts w:hint="default" w:ascii="Times New Roman" w:hAnsi="Times New Roman" w:cs="Times New Roman"/>
    </w:rPr>
  </w:style>
  <w:style w:type="character" w:customStyle="1" w:styleId="2464">
    <w:name w:val="Основной текст (2) + 10;5 pt;Полужирный;Курсив"/>
    <w:uiPriority w:val="0"/>
    <w:rPr>
      <w:rFonts w:ascii="Times New Roman" w:hAnsi="Times New Roman" w:eastAsia="Times New Roman" w:cs="Times New Roman"/>
      <w:b/>
      <w:bCs/>
      <w:i/>
      <w:iCs/>
      <w:color w:val="000000"/>
      <w:spacing w:val="0"/>
      <w:w w:val="100"/>
      <w:position w:val="0"/>
      <w:sz w:val="21"/>
      <w:szCs w:val="21"/>
      <w:u w:val="none"/>
      <w:lang w:val="ru-RU" w:eastAsia="ru-RU" w:bidi="ru-RU"/>
    </w:rPr>
  </w:style>
  <w:style w:type="character" w:customStyle="1" w:styleId="2465">
    <w:name w:val="No Spacing Char"/>
    <w:link w:val="330"/>
    <w:locked/>
    <w:uiPriority w:val="0"/>
    <w:rPr>
      <w:rFonts w:ascii="Times New Roman" w:hAnsi="Times New Roman" w:eastAsia="Arial Unicode MS"/>
      <w:color w:val="000000"/>
      <w:sz w:val="24"/>
      <w:szCs w:val="24"/>
      <w:lang w:eastAsia="zh-CN" w:bidi="ar-SA"/>
    </w:rPr>
  </w:style>
  <w:style w:type="paragraph" w:customStyle="1" w:styleId="2466">
    <w:name w:val="_ОБЫЧНЫЙ"/>
    <w:uiPriority w:val="0"/>
    <w:pPr>
      <w:pBdr>
        <w:top w:val="none" w:color="000000" w:sz="0" w:space="0"/>
        <w:left w:val="none" w:color="000000" w:sz="0" w:space="0"/>
        <w:bottom w:val="none" w:color="000000" w:sz="0" w:space="0"/>
        <w:right w:val="none" w:color="000000" w:sz="0" w:space="0"/>
        <w:between w:val="none" w:color="000000" w:sz="0" w:space="0"/>
      </w:pBdr>
      <w:spacing w:line="244" w:lineRule="atLeast"/>
      <w:ind w:firstLine="340"/>
      <w:jc w:val="both"/>
    </w:pPr>
    <w:rPr>
      <w:rFonts w:ascii="Times New Roman" w:hAnsi="Times New Roman" w:eastAsia="Times New Roman" w:cs="ha_hantinsp"/>
      <w:color w:val="000000"/>
      <w:lang w:val="ru-RU" w:eastAsia="ru-RU" w:bidi="ar-SA"/>
    </w:rPr>
  </w:style>
  <w:style w:type="paragraph" w:customStyle="1" w:styleId="2467">
    <w:name w:val="_ТАБЛ_боковик"/>
    <w:uiPriority w:val="0"/>
    <w:pPr>
      <w:pBdr>
        <w:top w:val="none" w:color="000000" w:sz="0" w:space="0"/>
        <w:left w:val="none" w:color="000000" w:sz="0" w:space="0"/>
        <w:bottom w:val="none" w:color="000000" w:sz="0" w:space="0"/>
        <w:right w:val="none" w:color="000000" w:sz="0" w:space="0"/>
        <w:between w:val="none" w:color="000000" w:sz="0" w:space="0"/>
      </w:pBdr>
      <w:spacing w:line="220" w:lineRule="atLeast"/>
      <w:ind w:left="113" w:right="113"/>
      <w:jc w:val="both"/>
    </w:pPr>
    <w:rPr>
      <w:rFonts w:ascii="Times New Roman" w:hAnsi="Times New Roman" w:eastAsia="Times New Roman" w:cs="ha_hantinsp"/>
      <w:color w:val="000000"/>
      <w:szCs w:val="18"/>
      <w:lang w:val="ru-RU" w:eastAsia="ru-RU" w:bidi="ar-SA"/>
    </w:rPr>
  </w:style>
  <w:style w:type="paragraph" w:customStyle="1" w:styleId="2468">
    <w:name w:val="_ЗАГ_2"/>
    <w:uiPriority w:val="0"/>
    <w:pPr>
      <w:keepNext/>
      <w:pBdr>
        <w:top w:val="none" w:color="000000" w:sz="0" w:space="0"/>
        <w:left w:val="none" w:color="000000" w:sz="0" w:space="0"/>
        <w:bottom w:val="none" w:color="000000" w:sz="0" w:space="0"/>
        <w:right w:val="none" w:color="000000" w:sz="0" w:space="0"/>
        <w:between w:val="none" w:color="000000" w:sz="0" w:space="0"/>
      </w:pBdr>
      <w:spacing w:before="240" w:after="170" w:line="240" w:lineRule="atLeast"/>
      <w:jc w:val="center"/>
    </w:pPr>
    <w:rPr>
      <w:rFonts w:ascii="Times New Roman" w:hAnsi="Times New Roman" w:eastAsia="Times New Roman" w:cs="h_hantinsp"/>
      <w:b/>
      <w:bCs/>
      <w:color w:val="000000"/>
      <w:sz w:val="22"/>
      <w:szCs w:val="22"/>
      <w:lang w:val="ru-RU" w:eastAsia="ru-RU" w:bidi="ar-SA"/>
    </w:rPr>
  </w:style>
  <w:style w:type="character" w:customStyle="1" w:styleId="2469">
    <w:name w:val="_ПЖ"/>
    <w:uiPriority w:val="0"/>
    <w:rPr>
      <w:b/>
      <w:bCs/>
    </w:rPr>
  </w:style>
  <w:style w:type="paragraph" w:customStyle="1" w:styleId="2470">
    <w:name w:val="Таблица_боковик"/>
    <w:uiPriority w:val="0"/>
    <w:pPr>
      <w:pBdr>
        <w:top w:val="none" w:color="000000" w:sz="0" w:space="0"/>
        <w:left w:val="none" w:color="000000" w:sz="0" w:space="0"/>
        <w:bottom w:val="none" w:color="000000" w:sz="0" w:space="0"/>
        <w:right w:val="none" w:color="000000" w:sz="0" w:space="0"/>
        <w:between w:val="none" w:color="000000" w:sz="0" w:space="0"/>
      </w:pBdr>
    </w:pPr>
    <w:rPr>
      <w:rFonts w:ascii="Times New Roman" w:hAnsi="Times New Roman" w:eastAsia="Times New Roman" w:cs="Times New Roman"/>
      <w:szCs w:val="24"/>
      <w:lang w:val="ru-RU" w:eastAsia="ar-SA" w:bidi="ar-SA"/>
    </w:rPr>
  </w:style>
  <w:style w:type="character" w:customStyle="1" w:styleId="2471">
    <w:name w:val="_ОБЫЧНЫЙ Знак"/>
    <w:uiPriority w:val="0"/>
    <w:rPr>
      <w:rFonts w:ascii="Times New Roman" w:hAnsi="Times New Roman" w:eastAsia="Times New Roman" w:cs="ha_hantinsp"/>
      <w:color w:val="000000"/>
      <w:sz w:val="20"/>
      <w:szCs w:val="20"/>
    </w:rPr>
  </w:style>
  <w:style w:type="paragraph" w:customStyle="1" w:styleId="2472">
    <w:name w:val="_ТАБЛ_боковик (8 кг)"/>
    <w:uiPriority w:val="0"/>
    <w:pPr>
      <w:pBdr>
        <w:top w:val="none" w:color="000000" w:sz="0" w:space="0"/>
        <w:left w:val="none" w:color="000000" w:sz="0" w:space="0"/>
        <w:bottom w:val="none" w:color="000000" w:sz="0" w:space="0"/>
        <w:right w:val="none" w:color="000000" w:sz="0" w:space="0"/>
        <w:between w:val="none" w:color="000000" w:sz="0" w:space="0"/>
      </w:pBdr>
      <w:spacing w:line="190" w:lineRule="atLeast"/>
      <w:jc w:val="both"/>
    </w:pPr>
    <w:rPr>
      <w:rFonts w:ascii="ha_hantinsp" w:hAnsi="ha_hantinsp" w:eastAsia="Times New Roman" w:cs="ha_hantinsp"/>
      <w:color w:val="000000"/>
      <w:sz w:val="17"/>
      <w:szCs w:val="17"/>
      <w:lang w:val="ru-RU" w:eastAsia="ru-RU" w:bidi="ar-SA"/>
    </w:rPr>
  </w:style>
  <w:style w:type="paragraph" w:customStyle="1" w:styleId="2473">
    <w:name w:val="Стиль Таблица_боковик + Черный разреженный на  02 пт"/>
    <w:link w:val="2483"/>
    <w:uiPriority w:val="0"/>
    <w:pPr>
      <w:pBdr>
        <w:top w:val="none" w:color="000000" w:sz="0" w:space="0"/>
        <w:left w:val="none" w:color="000000" w:sz="0" w:space="0"/>
        <w:bottom w:val="none" w:color="000000" w:sz="0" w:space="0"/>
        <w:right w:val="none" w:color="000000" w:sz="0" w:space="0"/>
        <w:between w:val="none" w:color="000000" w:sz="0" w:space="0"/>
      </w:pBdr>
      <w:ind w:left="113" w:right="113"/>
      <w:jc w:val="both"/>
    </w:pPr>
    <w:rPr>
      <w:rFonts w:ascii="Times New Roman" w:hAnsi="Times New Roman" w:eastAsia="Times New Roman" w:cs="Times New Roman"/>
      <w:color w:val="000000"/>
      <w:spacing w:val="4"/>
      <w:szCs w:val="24"/>
      <w:lang w:val="ru-RU" w:eastAsia="ar-SA" w:bidi="ar-SA"/>
    </w:rPr>
  </w:style>
  <w:style w:type="character" w:customStyle="1" w:styleId="2474">
    <w:name w:val="_КУРСИВ"/>
    <w:uiPriority w:val="0"/>
    <w:rPr>
      <w:b/>
      <w:bCs/>
      <w:i/>
      <w:iCs/>
    </w:rPr>
  </w:style>
  <w:style w:type="paragraph" w:customStyle="1" w:styleId="2475">
    <w:name w:val="Стиль Таблица_боковик + уплотненный на  01 пт"/>
    <w:uiPriority w:val="0"/>
    <w:pPr>
      <w:pBdr>
        <w:top w:val="none" w:color="000000" w:sz="0" w:space="0"/>
        <w:left w:val="none" w:color="000000" w:sz="0" w:space="0"/>
        <w:bottom w:val="none" w:color="000000" w:sz="0" w:space="0"/>
        <w:right w:val="none" w:color="000000" w:sz="0" w:space="0"/>
        <w:between w:val="none" w:color="000000" w:sz="0" w:space="0"/>
      </w:pBdr>
      <w:ind w:left="113" w:right="113"/>
    </w:pPr>
    <w:rPr>
      <w:rFonts w:ascii="Times New Roman" w:hAnsi="Times New Roman" w:eastAsia="Times New Roman" w:cs="Times New Roman"/>
      <w:spacing w:val="-2"/>
      <w:szCs w:val="24"/>
      <w:lang w:val="ru-RU" w:eastAsia="ar-SA" w:bidi="ar-SA"/>
    </w:rPr>
  </w:style>
  <w:style w:type="character" w:customStyle="1" w:styleId="2476">
    <w:name w:val="Стиль _ТАБЛ_боковик (8 кг) + 10 пт Знак"/>
    <w:uiPriority w:val="0"/>
    <w:rPr>
      <w:rFonts w:ascii="ha_hantinsp" w:hAnsi="ha_hantinsp" w:eastAsia="Times New Roman" w:cs="ha_hantinsp"/>
      <w:color w:val="000000"/>
      <w:spacing w:val="-1"/>
      <w:sz w:val="20"/>
      <w:szCs w:val="17"/>
    </w:rPr>
  </w:style>
  <w:style w:type="paragraph" w:customStyle="1" w:styleId="2477">
    <w:name w:val="Стиль _ТАБЛ_боковик (8 кг) + 10 пт"/>
    <w:uiPriority w:val="0"/>
    <w:pPr>
      <w:pBdr>
        <w:top w:val="none" w:color="000000" w:sz="0" w:space="0"/>
        <w:left w:val="none" w:color="000000" w:sz="0" w:space="0"/>
        <w:bottom w:val="none" w:color="000000" w:sz="0" w:space="0"/>
        <w:right w:val="none" w:color="000000" w:sz="0" w:space="0"/>
        <w:between w:val="none" w:color="000000" w:sz="0" w:space="0"/>
      </w:pBdr>
      <w:spacing w:line="190" w:lineRule="atLeast"/>
      <w:ind w:left="113" w:right="113"/>
      <w:jc w:val="both"/>
    </w:pPr>
    <w:rPr>
      <w:rFonts w:ascii="ha_hantinsp" w:hAnsi="ha_hantinsp" w:eastAsia="Times New Roman" w:cs="ha_hantinsp"/>
      <w:color w:val="000000"/>
      <w:spacing w:val="-1"/>
      <w:szCs w:val="17"/>
      <w:lang w:val="ru-RU" w:eastAsia="ru-RU" w:bidi="ar-SA"/>
    </w:rPr>
  </w:style>
  <w:style w:type="paragraph" w:customStyle="1" w:styleId="2478">
    <w:name w:val="Стиль _ТАБЛ_боковик (8 кг) + Times New Roman 10 пт полужирный Сл..."/>
    <w:uiPriority w:val="0"/>
    <w:pPr>
      <w:pBdr>
        <w:top w:val="none" w:color="000000" w:sz="0" w:space="0"/>
        <w:left w:val="none" w:color="000000" w:sz="0" w:space="0"/>
        <w:bottom w:val="none" w:color="000000" w:sz="0" w:space="0"/>
        <w:right w:val="none" w:color="000000" w:sz="0" w:space="0"/>
        <w:between w:val="none" w:color="000000" w:sz="0" w:space="0"/>
      </w:pBdr>
      <w:spacing w:line="190" w:lineRule="atLeast"/>
      <w:ind w:left="113" w:right="113"/>
      <w:jc w:val="both"/>
    </w:pPr>
    <w:rPr>
      <w:rFonts w:ascii="Times New Roman" w:hAnsi="Times New Roman" w:eastAsia="Times New Roman" w:cs="Times New Roman"/>
      <w:bCs/>
      <w:color w:val="000000"/>
      <w:spacing w:val="-1"/>
      <w:lang w:val="ru-RU" w:eastAsia="ru-RU" w:bidi="ar-SA"/>
    </w:rPr>
  </w:style>
  <w:style w:type="character" w:customStyle="1" w:styleId="2479">
    <w:name w:val="_ТАБЛ_боковик Знак"/>
    <w:uiPriority w:val="0"/>
    <w:rPr>
      <w:rFonts w:ascii="Times New Roman" w:hAnsi="Times New Roman" w:eastAsia="Times New Roman" w:cs="ha_hantinsp"/>
      <w:color w:val="000000"/>
      <w:sz w:val="20"/>
      <w:szCs w:val="18"/>
    </w:rPr>
  </w:style>
  <w:style w:type="character" w:customStyle="1" w:styleId="2480">
    <w:name w:val="[Без стиля] Знак"/>
    <w:uiPriority w:val="0"/>
    <w:rPr>
      <w:rFonts w:ascii="ha_hantinsp" w:hAnsi="ha_hantinsp" w:eastAsia="Times New Roman" w:cs="ha_hantinsp"/>
      <w:color w:val="000000"/>
      <w:sz w:val="24"/>
      <w:szCs w:val="24"/>
    </w:rPr>
  </w:style>
  <w:style w:type="paragraph" w:customStyle="1" w:styleId="2481">
    <w:name w:val="Стиль _ТАБЛ_боковик (8 кг) + 10 пт полужирный"/>
    <w:uiPriority w:val="0"/>
    <w:pPr>
      <w:pBdr>
        <w:top w:val="none" w:color="000000" w:sz="0" w:space="0"/>
        <w:left w:val="none" w:color="000000" w:sz="0" w:space="0"/>
        <w:bottom w:val="none" w:color="000000" w:sz="0" w:space="0"/>
        <w:right w:val="none" w:color="000000" w:sz="0" w:space="0"/>
        <w:between w:val="none" w:color="000000" w:sz="0" w:space="0"/>
      </w:pBdr>
      <w:spacing w:line="190" w:lineRule="atLeast"/>
      <w:jc w:val="both"/>
    </w:pPr>
    <w:rPr>
      <w:rFonts w:ascii="ha_hantinsp" w:hAnsi="ha_hantinsp" w:eastAsia="Times New Roman" w:cs="ha_hantinsp"/>
      <w:bCs/>
      <w:color w:val="000000"/>
      <w:spacing w:val="-1"/>
      <w:szCs w:val="17"/>
      <w:lang w:val="ru-RU" w:eastAsia="ru-RU" w:bidi="ar-SA"/>
    </w:rPr>
  </w:style>
  <w:style w:type="paragraph" w:customStyle="1" w:styleId="2482">
    <w:name w:val="_ТИРЕ"/>
    <w:uiPriority w:val="0"/>
    <w:pPr>
      <w:pBdr>
        <w:top w:val="none" w:color="000000" w:sz="0" w:space="0"/>
        <w:left w:val="none" w:color="000000" w:sz="0" w:space="0"/>
        <w:bottom w:val="none" w:color="000000" w:sz="0" w:space="0"/>
        <w:right w:val="none" w:color="000000" w:sz="0" w:space="0"/>
        <w:between w:val="none" w:color="000000" w:sz="0" w:space="0"/>
      </w:pBdr>
      <w:tabs>
        <w:tab w:val="left" w:pos="360"/>
      </w:tabs>
      <w:ind w:left="720" w:hanging="360"/>
      <w:jc w:val="both"/>
    </w:pPr>
    <w:rPr>
      <w:rFonts w:ascii="ha_hantinsp" w:hAnsi="ha_hantinsp" w:eastAsia="Times New Roman" w:cs="NewtonCSanPin"/>
      <w:color w:val="000000"/>
      <w:sz w:val="24"/>
      <w:szCs w:val="24"/>
      <w:lang w:val="ru-RU" w:eastAsia="ru-RU" w:bidi="ar-SA"/>
    </w:rPr>
  </w:style>
  <w:style w:type="character" w:customStyle="1" w:styleId="2483">
    <w:name w:val="Стиль _ТАБЛ_боковик (8 кг) + 10 пт полужирный Знак"/>
    <w:link w:val="2473"/>
    <w:uiPriority w:val="0"/>
    <w:rPr>
      <w:rFonts w:ascii="Times New Roman" w:hAnsi="Times New Roman" w:eastAsia="Times New Roman"/>
      <w:color w:val="000000"/>
      <w:spacing w:val="4"/>
      <w:szCs w:val="24"/>
      <w:lang w:eastAsia="ar-SA" w:bidi="ar-SA"/>
    </w:rPr>
  </w:style>
  <w:style w:type="paragraph" w:customStyle="1" w:styleId="2484">
    <w:name w:val="2909F619802848F09E01365C32F34654"/>
    <w:uiPriority w:val="0"/>
    <w:pPr>
      <w:spacing w:after="200" w:line="276" w:lineRule="auto"/>
    </w:pPr>
    <w:rPr>
      <w:rFonts w:ascii="Calibri" w:hAnsi="Calibri" w:eastAsia="Times New Roman" w:cs="Times New Roman"/>
      <w:sz w:val="22"/>
      <w:szCs w:val="22"/>
      <w:lang w:val="ru-RU" w:eastAsia="ru-RU" w:bidi="ar-SA"/>
    </w:rPr>
  </w:style>
  <w:style w:type="character" w:customStyle="1" w:styleId="2485">
    <w:name w:val="Оглавление (2)_"/>
    <w:link w:val="2486"/>
    <w:uiPriority w:val="0"/>
    <w:rPr>
      <w:rFonts w:ascii="Times New Roman" w:hAnsi="Times New Roman" w:eastAsia="Times New Roman"/>
      <w:b/>
      <w:bCs/>
      <w:i/>
      <w:iCs/>
      <w:sz w:val="28"/>
      <w:szCs w:val="28"/>
      <w:shd w:val="clear" w:color="auto" w:fill="FFFFFF"/>
    </w:rPr>
  </w:style>
  <w:style w:type="paragraph" w:customStyle="1" w:styleId="2486">
    <w:name w:val="Оглавление (2)"/>
    <w:basedOn w:val="1"/>
    <w:link w:val="2485"/>
    <w:uiPriority w:val="0"/>
    <w:pPr>
      <w:shd w:val="clear" w:color="auto" w:fill="FFFFFF"/>
      <w:spacing w:before="120" w:after="0" w:line="350" w:lineRule="exact"/>
      <w:jc w:val="both"/>
    </w:pPr>
    <w:rPr>
      <w:rFonts w:ascii="Times New Roman" w:hAnsi="Times New Roman" w:eastAsia="Times New Roman"/>
      <w:b/>
      <w:bCs/>
      <w:i/>
      <w:iCs/>
      <w:sz w:val="28"/>
      <w:szCs w:val="28"/>
    </w:rPr>
  </w:style>
  <w:style w:type="paragraph" w:customStyle="1" w:styleId="2487">
    <w:name w:val="Основной текст7"/>
    <w:basedOn w:val="1"/>
    <w:uiPriority w:val="0"/>
    <w:pPr>
      <w:shd w:val="clear" w:color="auto" w:fill="FFFFFF"/>
      <w:spacing w:before="540" w:after="0" w:line="384" w:lineRule="exact"/>
      <w:ind w:hanging="1040"/>
      <w:jc w:val="both"/>
    </w:pPr>
    <w:rPr>
      <w:rFonts w:ascii="Times New Roman" w:hAnsi="Times New Roman" w:eastAsia="Times New Roman"/>
      <w:sz w:val="34"/>
      <w:szCs w:val="34"/>
      <w:lang w:eastAsia="ru-RU"/>
    </w:rPr>
  </w:style>
  <w:style w:type="character" w:customStyle="1" w:styleId="2488">
    <w:name w:val="Основной текст (5)_"/>
    <w:uiPriority w:val="0"/>
    <w:rPr>
      <w:rFonts w:ascii="Times New Roman" w:hAnsi="Times New Roman" w:eastAsia="Times New Roman" w:cs="Times New Roman"/>
      <w:b/>
      <w:bCs/>
      <w:i/>
      <w:iCs/>
      <w:u w:val="none"/>
    </w:rPr>
  </w:style>
  <w:style w:type="character" w:customStyle="1" w:styleId="2489">
    <w:name w:val="Основной текст (5)"/>
    <w:uiPriority w:val="0"/>
    <w:rPr>
      <w:rFonts w:ascii="Times New Roman" w:hAnsi="Times New Roman" w:eastAsia="Times New Roman" w:cs="Times New Roman"/>
      <w:color w:val="000000"/>
      <w:spacing w:val="0"/>
      <w:w w:val="100"/>
      <w:position w:val="0"/>
      <w:sz w:val="24"/>
      <w:szCs w:val="24"/>
      <w:u w:val="none"/>
      <w:lang w:val="ru-RU" w:eastAsia="ru-RU" w:bidi="ru-RU"/>
    </w:rPr>
  </w:style>
  <w:style w:type="character" w:customStyle="1" w:styleId="2490">
    <w:name w:val="Основной текст (10)_"/>
    <w:link w:val="2491"/>
    <w:uiPriority w:val="0"/>
    <w:rPr>
      <w:rFonts w:ascii="Times New Roman" w:hAnsi="Times New Roman" w:eastAsia="Times New Roman"/>
      <w:b/>
      <w:bCs/>
      <w:sz w:val="34"/>
      <w:szCs w:val="34"/>
      <w:shd w:val="clear" w:color="auto" w:fill="FFFFFF"/>
    </w:rPr>
  </w:style>
  <w:style w:type="paragraph" w:customStyle="1" w:styleId="2491">
    <w:name w:val="Основной текст (10)"/>
    <w:basedOn w:val="1"/>
    <w:link w:val="2490"/>
    <w:uiPriority w:val="0"/>
    <w:pPr>
      <w:shd w:val="clear" w:color="auto" w:fill="FFFFFF"/>
      <w:spacing w:after="240" w:line="0" w:lineRule="atLeast"/>
      <w:jc w:val="center"/>
    </w:pPr>
    <w:rPr>
      <w:rFonts w:ascii="Times New Roman" w:hAnsi="Times New Roman" w:eastAsia="Times New Roman"/>
      <w:b/>
      <w:bCs/>
      <w:sz w:val="34"/>
      <w:szCs w:val="34"/>
    </w:rPr>
  </w:style>
  <w:style w:type="character" w:customStyle="1" w:styleId="2492">
    <w:name w:val="Основной текст5"/>
    <w:uiPriority w:val="0"/>
    <w:rPr>
      <w:rFonts w:ascii="Times New Roman" w:hAnsi="Times New Roman" w:eastAsia="Times New Roman" w:cs="Times New Roman"/>
      <w:color w:val="000000"/>
      <w:spacing w:val="0"/>
      <w:w w:val="100"/>
      <w:position w:val="0"/>
      <w:sz w:val="34"/>
      <w:szCs w:val="34"/>
      <w:u w:val="none"/>
      <w:shd w:val="clear" w:color="auto" w:fill="FFFFFF"/>
      <w:lang w:val="ru-RU" w:eastAsia="ru-RU" w:bidi="ru-RU"/>
    </w:rPr>
  </w:style>
  <w:style w:type="character" w:customStyle="1" w:styleId="2493">
    <w:name w:val="Подпись к таблице (2)_"/>
    <w:link w:val="2494"/>
    <w:uiPriority w:val="0"/>
    <w:rPr>
      <w:rFonts w:ascii="Times New Roman" w:hAnsi="Times New Roman" w:eastAsia="Times New Roman"/>
      <w:sz w:val="28"/>
      <w:szCs w:val="28"/>
      <w:shd w:val="clear" w:color="auto" w:fill="FFFFFF"/>
    </w:rPr>
  </w:style>
  <w:style w:type="paragraph" w:customStyle="1" w:styleId="2494">
    <w:name w:val="Подпись к таблице (2)"/>
    <w:basedOn w:val="1"/>
    <w:link w:val="2493"/>
    <w:uiPriority w:val="0"/>
    <w:pPr>
      <w:shd w:val="clear" w:color="auto" w:fill="FFFFFF"/>
      <w:spacing w:after="0" w:line="0" w:lineRule="atLeast"/>
      <w:jc w:val="both"/>
    </w:pPr>
    <w:rPr>
      <w:rFonts w:ascii="Times New Roman" w:hAnsi="Times New Roman" w:eastAsia="Times New Roman"/>
      <w:sz w:val="28"/>
      <w:szCs w:val="28"/>
    </w:rPr>
  </w:style>
  <w:style w:type="character" w:customStyle="1" w:styleId="2495">
    <w:name w:val="Основной текст Exact"/>
    <w:uiPriority w:val="0"/>
    <w:rPr>
      <w:rFonts w:ascii="Times New Roman" w:hAnsi="Times New Roman" w:eastAsia="Times New Roman" w:cs="Times New Roman"/>
      <w:color w:val="000000"/>
      <w:spacing w:val="2"/>
      <w:w w:val="100"/>
      <w:position w:val="0"/>
      <w:sz w:val="28"/>
      <w:szCs w:val="28"/>
      <w:u w:val="none"/>
      <w:shd w:val="clear" w:color="auto" w:fill="FFFFFF"/>
    </w:rPr>
  </w:style>
  <w:style w:type="character" w:customStyle="1" w:styleId="2496">
    <w:name w:val="Подпись к картинке_"/>
    <w:uiPriority w:val="0"/>
    <w:rPr>
      <w:rFonts w:ascii="Times New Roman" w:hAnsi="Times New Roman" w:eastAsia="Times New Roman" w:cs="Times New Roman"/>
      <w:sz w:val="28"/>
      <w:szCs w:val="28"/>
      <w:u w:val="none"/>
      <w:lang w:val="ru-RU" w:eastAsia="ru-RU" w:bidi="ru-RU"/>
    </w:rPr>
  </w:style>
  <w:style w:type="character" w:customStyle="1" w:styleId="2497">
    <w:name w:val="Подпись к картинке"/>
    <w:uiPriority w:val="0"/>
    <w:rPr>
      <w:rFonts w:ascii="Times New Roman" w:hAnsi="Times New Roman" w:eastAsia="Times New Roman" w:cs="Times New Roman"/>
      <w:color w:val="000000"/>
      <w:spacing w:val="0"/>
      <w:w w:val="100"/>
      <w:position w:val="0"/>
      <w:sz w:val="28"/>
      <w:szCs w:val="28"/>
      <w:u w:val="none"/>
      <w:lang w:val="ru-RU" w:eastAsia="ru-RU" w:bidi="ru-RU"/>
    </w:rPr>
  </w:style>
  <w:style w:type="character" w:customStyle="1" w:styleId="2498">
    <w:name w:val="Подпись к картинке (2) Exact"/>
    <w:link w:val="2499"/>
    <w:uiPriority w:val="0"/>
    <w:rPr>
      <w:rFonts w:ascii="Times New Roman" w:hAnsi="Times New Roman" w:eastAsia="Times New Roman"/>
      <w:b/>
      <w:bCs/>
      <w:spacing w:val="-4"/>
      <w:sz w:val="28"/>
      <w:szCs w:val="28"/>
      <w:shd w:val="clear" w:color="auto" w:fill="FFFFFF"/>
      <w:lang w:bidi="ru-RU"/>
    </w:rPr>
  </w:style>
  <w:style w:type="paragraph" w:customStyle="1" w:styleId="2499">
    <w:name w:val="Подпись к картинке (2)"/>
    <w:basedOn w:val="1"/>
    <w:link w:val="2498"/>
    <w:uiPriority w:val="0"/>
    <w:pPr>
      <w:shd w:val="clear" w:color="auto" w:fill="FFFFFF"/>
      <w:spacing w:after="0" w:line="0" w:lineRule="atLeast"/>
      <w:jc w:val="both"/>
    </w:pPr>
    <w:rPr>
      <w:rFonts w:ascii="Times New Roman" w:hAnsi="Times New Roman" w:eastAsia="Times New Roman"/>
      <w:b/>
      <w:bCs/>
      <w:spacing w:val="-4"/>
      <w:sz w:val="28"/>
      <w:szCs w:val="28"/>
      <w:lang w:bidi="ru-RU"/>
    </w:rPr>
  </w:style>
  <w:style w:type="paragraph" w:customStyle="1" w:styleId="2500">
    <w:name w:val="paragraph"/>
    <w:basedOn w:val="1"/>
    <w:uiPriority w:val="0"/>
    <w:pPr>
      <w:widowControl/>
      <w:spacing w:before="100" w:beforeAutospacing="1" w:after="100" w:afterAutospacing="1" w:line="240" w:lineRule="auto"/>
    </w:pPr>
    <w:rPr>
      <w:rFonts w:ascii="Times New Roman" w:hAnsi="Times New Roman" w:eastAsia="Times New Roman"/>
      <w:sz w:val="24"/>
      <w:szCs w:val="24"/>
      <w:lang w:eastAsia="ru-RU"/>
    </w:rPr>
  </w:style>
  <w:style w:type="character" w:customStyle="1" w:styleId="2501">
    <w:name w:val="citation"/>
    <w:uiPriority w:val="0"/>
  </w:style>
  <w:style w:type="character" w:customStyle="1" w:styleId="2502">
    <w:name w:val="nowrap"/>
    <w:uiPriority w:val="0"/>
  </w:style>
  <w:style w:type="character" w:customStyle="1" w:styleId="2503">
    <w:name w:val="ts-comment-commentedtext"/>
    <w:uiPriority w:val="0"/>
  </w:style>
  <w:style w:type="paragraph" w:customStyle="1" w:styleId="2504">
    <w:name w:val="Оглавление 12"/>
    <w:basedOn w:val="1"/>
    <w:qFormat/>
    <w:uiPriority w:val="1"/>
    <w:pPr>
      <w:autoSpaceDE w:val="0"/>
      <w:autoSpaceDN w:val="0"/>
      <w:spacing w:before="252" w:after="0" w:line="240" w:lineRule="auto"/>
      <w:ind w:left="117"/>
      <w:jc w:val="both"/>
    </w:pPr>
    <w:rPr>
      <w:rFonts w:ascii="Cambria" w:hAnsi="Cambria" w:eastAsia="Cambria" w:cs="Cambria"/>
      <w:b/>
      <w:bCs/>
      <w:sz w:val="20"/>
      <w:szCs w:val="20"/>
    </w:rPr>
  </w:style>
  <w:style w:type="paragraph" w:customStyle="1" w:styleId="2505">
    <w:name w:val="Оглавление 21"/>
    <w:basedOn w:val="1"/>
    <w:qFormat/>
    <w:uiPriority w:val="1"/>
    <w:pPr>
      <w:autoSpaceDE w:val="0"/>
      <w:autoSpaceDN w:val="0"/>
      <w:spacing w:before="13" w:after="0" w:line="240" w:lineRule="auto"/>
      <w:ind w:left="457"/>
      <w:jc w:val="both"/>
    </w:pPr>
    <w:rPr>
      <w:rFonts w:ascii="Times New Roman" w:hAnsi="Times New Roman" w:eastAsia="Times New Roman"/>
      <w:sz w:val="20"/>
      <w:szCs w:val="20"/>
    </w:rPr>
  </w:style>
  <w:style w:type="paragraph" w:customStyle="1" w:styleId="2506">
    <w:name w:val="Оглавление 32"/>
    <w:basedOn w:val="1"/>
    <w:qFormat/>
    <w:uiPriority w:val="1"/>
    <w:pPr>
      <w:autoSpaceDE w:val="0"/>
      <w:autoSpaceDN w:val="0"/>
      <w:spacing w:before="13" w:after="0" w:line="240" w:lineRule="auto"/>
      <w:ind w:left="529"/>
      <w:jc w:val="both"/>
    </w:pPr>
    <w:rPr>
      <w:rFonts w:ascii="Times New Roman" w:hAnsi="Times New Roman" w:eastAsia="Times New Roman"/>
      <w:sz w:val="20"/>
      <w:szCs w:val="20"/>
    </w:rPr>
  </w:style>
  <w:style w:type="paragraph" w:customStyle="1" w:styleId="2507">
    <w:name w:val="Заголовок 13"/>
    <w:basedOn w:val="1"/>
    <w:qFormat/>
    <w:uiPriority w:val="1"/>
    <w:pPr>
      <w:autoSpaceDE w:val="0"/>
      <w:autoSpaceDN w:val="0"/>
      <w:spacing w:after="0" w:line="240" w:lineRule="auto"/>
      <w:ind w:left="118"/>
      <w:jc w:val="both"/>
      <w:outlineLvl w:val="1"/>
    </w:pPr>
    <w:rPr>
      <w:rFonts w:ascii="Tahoma" w:hAnsi="Tahoma" w:eastAsia="Tahoma" w:cs="Tahoma"/>
      <w:sz w:val="24"/>
      <w:szCs w:val="24"/>
    </w:rPr>
  </w:style>
  <w:style w:type="paragraph" w:customStyle="1" w:styleId="2508">
    <w:name w:val="Заголовок 22"/>
    <w:basedOn w:val="1"/>
    <w:qFormat/>
    <w:uiPriority w:val="1"/>
    <w:pPr>
      <w:autoSpaceDE w:val="0"/>
      <w:autoSpaceDN w:val="0"/>
      <w:spacing w:after="0" w:line="240" w:lineRule="auto"/>
      <w:ind w:left="118"/>
      <w:jc w:val="both"/>
      <w:outlineLvl w:val="2"/>
    </w:pPr>
    <w:rPr>
      <w:rFonts w:ascii="Trebuchet MS" w:hAnsi="Trebuchet MS" w:eastAsia="Trebuchet MS" w:cs="Trebuchet MS"/>
      <w:sz w:val="28"/>
    </w:rPr>
  </w:style>
  <w:style w:type="paragraph" w:customStyle="1" w:styleId="2509">
    <w:name w:val="Заголовок 32"/>
    <w:basedOn w:val="1"/>
    <w:qFormat/>
    <w:uiPriority w:val="1"/>
    <w:pPr>
      <w:autoSpaceDE w:val="0"/>
      <w:autoSpaceDN w:val="0"/>
      <w:spacing w:after="0" w:line="240" w:lineRule="auto"/>
      <w:ind w:left="457"/>
      <w:jc w:val="both"/>
      <w:outlineLvl w:val="3"/>
    </w:pPr>
    <w:rPr>
      <w:rFonts w:ascii="Cambria" w:hAnsi="Cambria" w:eastAsia="Cambria" w:cs="Cambria"/>
      <w:b/>
      <w:bCs/>
      <w:sz w:val="20"/>
      <w:szCs w:val="20"/>
    </w:rPr>
  </w:style>
  <w:style w:type="paragraph" w:customStyle="1" w:styleId="2510">
    <w:name w:val="Заголовок 41"/>
    <w:basedOn w:val="1"/>
    <w:qFormat/>
    <w:uiPriority w:val="1"/>
    <w:pPr>
      <w:autoSpaceDE w:val="0"/>
      <w:autoSpaceDN w:val="0"/>
      <w:spacing w:after="0" w:line="240" w:lineRule="auto"/>
      <w:ind w:left="457"/>
      <w:jc w:val="both"/>
      <w:outlineLvl w:val="4"/>
    </w:pPr>
    <w:rPr>
      <w:rFonts w:ascii="Times New Roman" w:hAnsi="Times New Roman" w:eastAsia="Times New Roman"/>
      <w:b/>
      <w:bCs/>
      <w:i/>
      <w:iCs/>
      <w:sz w:val="20"/>
      <w:szCs w:val="20"/>
    </w:rPr>
  </w:style>
  <w:style w:type="character" w:customStyle="1" w:styleId="2511">
    <w:name w:val="normaltextrun"/>
    <w:uiPriority w:val="0"/>
  </w:style>
  <w:style w:type="paragraph" w:customStyle="1" w:styleId="2512">
    <w:name w:val="1"/>
    <w:basedOn w:val="1"/>
    <w:next w:val="46"/>
    <w:qFormat/>
    <w:uiPriority w:val="1"/>
    <w:pPr>
      <w:autoSpaceDE w:val="0"/>
      <w:autoSpaceDN w:val="0"/>
      <w:spacing w:before="1" w:after="0" w:line="240" w:lineRule="auto"/>
      <w:ind w:left="789" w:right="787"/>
      <w:jc w:val="center"/>
    </w:pPr>
    <w:rPr>
      <w:rFonts w:ascii="Verdana" w:hAnsi="Verdana" w:eastAsia="Verdana" w:cs="Verdana"/>
      <w:sz w:val="49"/>
      <w:szCs w:val="49"/>
    </w:rPr>
  </w:style>
  <w:style w:type="paragraph" w:customStyle="1" w:styleId="2513">
    <w:name w:val="Style39"/>
    <w:basedOn w:val="1"/>
    <w:uiPriority w:val="0"/>
    <w:pPr>
      <w:autoSpaceDE w:val="0"/>
      <w:autoSpaceDN w:val="0"/>
      <w:adjustRightInd w:val="0"/>
      <w:spacing w:after="0" w:line="310" w:lineRule="exact"/>
      <w:jc w:val="both"/>
    </w:pPr>
    <w:rPr>
      <w:rFonts w:ascii="Arial" w:hAnsi="Arial" w:eastAsia="Times New Roman"/>
      <w:sz w:val="24"/>
      <w:szCs w:val="24"/>
      <w:lang w:eastAsia="ru-RU"/>
    </w:rPr>
  </w:style>
  <w:style w:type="character" w:customStyle="1" w:styleId="2514">
    <w:name w:val="Font Style130"/>
    <w:uiPriority w:val="0"/>
    <w:rPr>
      <w:rFonts w:ascii="Arial" w:hAnsi="Arial" w:cs="Arial"/>
      <w:sz w:val="24"/>
      <w:szCs w:val="24"/>
    </w:rPr>
  </w:style>
  <w:style w:type="paragraph" w:customStyle="1" w:styleId="2515">
    <w:name w:val="Style104"/>
    <w:basedOn w:val="1"/>
    <w:uiPriority w:val="0"/>
    <w:pPr>
      <w:autoSpaceDE w:val="0"/>
      <w:autoSpaceDN w:val="0"/>
      <w:adjustRightInd w:val="0"/>
      <w:spacing w:after="0" w:line="298" w:lineRule="exact"/>
      <w:ind w:hanging="1022"/>
    </w:pPr>
    <w:rPr>
      <w:rFonts w:ascii="Arial" w:hAnsi="Arial" w:eastAsia="Times New Roman"/>
      <w:sz w:val="24"/>
      <w:szCs w:val="24"/>
      <w:lang w:eastAsia="ru-RU"/>
    </w:rPr>
  </w:style>
  <w:style w:type="character" w:customStyle="1" w:styleId="2516">
    <w:name w:val="Font Style136"/>
    <w:uiPriority w:val="0"/>
    <w:rPr>
      <w:rFonts w:ascii="Arial" w:hAnsi="Arial" w:cs="Arial"/>
      <w:b/>
      <w:bCs/>
      <w:sz w:val="24"/>
      <w:szCs w:val="24"/>
    </w:rPr>
  </w:style>
  <w:style w:type="paragraph" w:customStyle="1" w:styleId="2517">
    <w:name w:val="Style77"/>
    <w:basedOn w:val="1"/>
    <w:uiPriority w:val="0"/>
    <w:pPr>
      <w:autoSpaceDE w:val="0"/>
      <w:autoSpaceDN w:val="0"/>
      <w:adjustRightInd w:val="0"/>
      <w:spacing w:after="0" w:line="240" w:lineRule="auto"/>
      <w:jc w:val="both"/>
    </w:pPr>
    <w:rPr>
      <w:rFonts w:ascii="Arial" w:hAnsi="Arial" w:eastAsia="Times New Roman"/>
      <w:sz w:val="24"/>
      <w:szCs w:val="24"/>
      <w:lang w:eastAsia="ru-RU"/>
    </w:rPr>
  </w:style>
  <w:style w:type="paragraph" w:customStyle="1" w:styleId="2518">
    <w:name w:val="Style103"/>
    <w:basedOn w:val="1"/>
    <w:uiPriority w:val="0"/>
    <w:pPr>
      <w:autoSpaceDE w:val="0"/>
      <w:autoSpaceDN w:val="0"/>
      <w:adjustRightInd w:val="0"/>
      <w:spacing w:after="0" w:line="365" w:lineRule="exact"/>
      <w:ind w:hanging="293"/>
    </w:pPr>
    <w:rPr>
      <w:rFonts w:ascii="Arial" w:hAnsi="Arial" w:eastAsia="Times New Roman"/>
      <w:sz w:val="24"/>
      <w:szCs w:val="24"/>
      <w:lang w:eastAsia="ru-RU"/>
    </w:rPr>
  </w:style>
  <w:style w:type="character" w:customStyle="1" w:styleId="2519">
    <w:name w:val="Font Style217"/>
    <w:uiPriority w:val="0"/>
    <w:rPr>
      <w:rFonts w:ascii="Arial" w:hAnsi="Arial" w:cs="Arial"/>
      <w:spacing w:val="10"/>
      <w:sz w:val="10"/>
      <w:szCs w:val="10"/>
    </w:rPr>
  </w:style>
  <w:style w:type="paragraph" w:customStyle="1" w:styleId="2520">
    <w:name w:val="Style72"/>
    <w:basedOn w:val="1"/>
    <w:uiPriority w:val="0"/>
    <w:pPr>
      <w:autoSpaceDE w:val="0"/>
      <w:autoSpaceDN w:val="0"/>
      <w:adjustRightInd w:val="0"/>
      <w:spacing w:after="0" w:line="289" w:lineRule="exact"/>
    </w:pPr>
    <w:rPr>
      <w:rFonts w:ascii="Arial" w:hAnsi="Arial" w:eastAsia="Times New Roman"/>
      <w:sz w:val="24"/>
      <w:szCs w:val="24"/>
      <w:lang w:eastAsia="ru-RU"/>
    </w:rPr>
  </w:style>
  <w:style w:type="table" w:customStyle="1" w:styleId="2521">
    <w:name w:val="TableGrid"/>
    <w:uiPriority w:val="0"/>
    <w:rPr>
      <w:rFonts w:ascii="Times New Roman" w:hAnsi="Times New Roman" w:eastAsia="SimSun"/>
    </w:rPr>
    <w:tblPr>
      <w:tblCellMar>
        <w:top w:w="0" w:type="dxa"/>
        <w:left w:w="0" w:type="dxa"/>
        <w:bottom w:w="0" w:type="dxa"/>
        <w:right w:w="0" w:type="dxa"/>
      </w:tblCellMar>
    </w:tblPr>
  </w:style>
  <w:style w:type="character" w:customStyle="1" w:styleId="2522">
    <w:name w:val="Заголовок Знак2"/>
    <w:uiPriority w:val="10"/>
    <w:rPr>
      <w:rFonts w:ascii="Calibri Light" w:hAnsi="Calibri Light" w:eastAsia="Times New Roman" w:cs="Times New Roman"/>
      <w:spacing w:val="-10"/>
      <w:kern w:val="28"/>
      <w:sz w:val="56"/>
      <w:szCs w:val="56"/>
      <w:lang w:val="en-US" w:eastAsia="en-US"/>
    </w:rPr>
  </w:style>
  <w:style w:type="paragraph" w:customStyle="1" w:styleId="2523">
    <w:name w:val="Стиль2"/>
    <w:basedOn w:val="1"/>
    <w:link w:val="2524"/>
    <w:qFormat/>
    <w:uiPriority w:val="0"/>
    <w:pPr>
      <w:widowControl/>
      <w:spacing w:after="0" w:line="360" w:lineRule="auto"/>
      <w:ind w:firstLine="709"/>
      <w:jc w:val="both"/>
    </w:pPr>
    <w:rPr>
      <w:rFonts w:ascii="Times New Roman" w:hAnsi="Times New Roman"/>
      <w:sz w:val="28"/>
      <w:szCs w:val="28"/>
    </w:rPr>
  </w:style>
  <w:style w:type="character" w:customStyle="1" w:styleId="2524">
    <w:name w:val="Стиль2 Знак"/>
    <w:link w:val="2523"/>
    <w:uiPriority w:val="0"/>
    <w:rPr>
      <w:rFonts w:ascii="Times New Roman" w:hAnsi="Times New Roman"/>
      <w:sz w:val="28"/>
      <w:szCs w:val="28"/>
      <w:lang w:eastAsia="en-US"/>
    </w:rPr>
  </w:style>
  <w:style w:type="character" w:customStyle="1" w:styleId="2525">
    <w:name w:val="Body text_"/>
    <w:basedOn w:val="12"/>
    <w:link w:val="718"/>
    <w:uiPriority w:val="0"/>
    <w:rPr>
      <w:rFonts w:ascii="Times New Roman" w:hAnsi="Times New Roman" w:eastAsia="Times New Roman"/>
      <w:sz w:val="26"/>
      <w:szCs w:val="26"/>
      <w:shd w:val="clear" w:color="auto" w:fill="FFFFFF"/>
    </w:rPr>
  </w:style>
  <w:style w:type="character" w:customStyle="1" w:styleId="2526">
    <w:name w:val="Body text (3)_"/>
    <w:basedOn w:val="12"/>
    <w:link w:val="2527"/>
    <w:uiPriority w:val="0"/>
    <w:rPr>
      <w:rFonts w:ascii="Times New Roman" w:hAnsi="Times New Roman" w:eastAsia="Times New Roman"/>
      <w:sz w:val="23"/>
      <w:szCs w:val="23"/>
      <w:shd w:val="clear" w:color="auto" w:fill="FFFFFF"/>
    </w:rPr>
  </w:style>
  <w:style w:type="paragraph" w:customStyle="1" w:styleId="2527">
    <w:name w:val="Body text (3)"/>
    <w:basedOn w:val="1"/>
    <w:link w:val="2526"/>
    <w:uiPriority w:val="0"/>
    <w:pPr>
      <w:widowControl/>
      <w:shd w:val="clear" w:color="auto" w:fill="FFFFFF"/>
      <w:spacing w:after="0" w:line="235" w:lineRule="exact"/>
      <w:jc w:val="center"/>
    </w:pPr>
    <w:rPr>
      <w:rFonts w:ascii="Times New Roman" w:hAnsi="Times New Roman" w:eastAsia="Times New Roman"/>
      <w:sz w:val="23"/>
      <w:szCs w:val="23"/>
      <w:lang w:eastAsia="ru-RU"/>
    </w:rPr>
  </w:style>
  <w:style w:type="character" w:customStyle="1" w:styleId="2528">
    <w:name w:val="Body text + Bold"/>
    <w:basedOn w:val="2525"/>
    <w:uiPriority w:val="0"/>
    <w:rPr>
      <w:rFonts w:ascii="Times New Roman" w:hAnsi="Times New Roman" w:eastAsia="Times New Roman" w:cs="Times New Roman"/>
      <w:b/>
      <w:bCs/>
      <w:spacing w:val="0"/>
      <w:sz w:val="23"/>
      <w:szCs w:val="23"/>
      <w:shd w:val="clear" w:color="auto" w:fill="FFFFFF"/>
    </w:rPr>
  </w:style>
  <w:style w:type="character" w:customStyle="1" w:styleId="2529">
    <w:name w:val="CharAttribute501"/>
    <w:uiPriority w:val="99"/>
    <w:rPr>
      <w:rFonts w:ascii="Times New Roman" w:eastAsia="Times New Roman"/>
      <w:i/>
      <w:sz w:val="28"/>
      <w:u w:val="single"/>
    </w:rPr>
  </w:style>
  <w:style w:type="character" w:customStyle="1" w:styleId="2530">
    <w:name w:val="CharAttribute502"/>
    <w:uiPriority w:val="0"/>
    <w:rPr>
      <w:rFonts w:ascii="Times New Roman" w:eastAsia="Times New Roman"/>
      <w:i/>
      <w:sz w:val="28"/>
    </w:rPr>
  </w:style>
  <w:style w:type="character" w:customStyle="1" w:styleId="2531">
    <w:name w:val="CharAttribute0"/>
    <w:uiPriority w:val="0"/>
    <w:rPr>
      <w:rFonts w:ascii="Times New Roman" w:hAnsi="Times New Roman" w:eastAsia="Times New Roman"/>
      <w:sz w:val="28"/>
    </w:rPr>
  </w:style>
  <w:style w:type="character" w:customStyle="1" w:styleId="2532">
    <w:name w:val="CharAttribute504"/>
    <w:uiPriority w:val="0"/>
    <w:rPr>
      <w:rFonts w:ascii="Times New Roman" w:eastAsia="Times New Roman"/>
      <w:sz w:val="28"/>
    </w:rPr>
  </w:style>
  <w:style w:type="paragraph" w:customStyle="1" w:styleId="2533">
    <w:name w:val="ConsPlusTitle"/>
    <w:uiPriority w:val="0"/>
    <w:pPr>
      <w:widowControl w:val="0"/>
      <w:autoSpaceDE w:val="0"/>
      <w:autoSpaceDN w:val="0"/>
      <w:adjustRightInd w:val="0"/>
    </w:pPr>
    <w:rPr>
      <w:rFonts w:ascii="Arial" w:hAnsi="Arial" w:cs="Arial" w:eastAsiaTheme="minorEastAsia"/>
      <w:b/>
      <w:bCs/>
      <w:sz w:val="24"/>
      <w:szCs w:val="24"/>
      <w:lang w:val="ru-RU" w:eastAsia="ru-RU" w:bidi="ar-SA"/>
    </w:rPr>
  </w:style>
  <w:style w:type="character" w:customStyle="1" w:styleId="2534">
    <w:name w:val="dash0410_005f0431_005f0437_005f0430_005f0446_005f0020_005f0441_005f043f_005f0438_005f0441_005f043a_005f0430_005f_005fchar1__char1"/>
    <w:qFormat/>
    <w:uiPriority w:val="0"/>
    <w:rPr>
      <w:rFonts w:ascii="Times New Roman" w:hAnsi="Times New Roman"/>
      <w:sz w:val="24"/>
      <w:u w:val="none"/>
    </w:rPr>
  </w:style>
  <w:style w:type="paragraph" w:customStyle="1" w:styleId="2535">
    <w:name w:val="ConsPlusNonformat"/>
    <w:uiPriority w:val="0"/>
    <w:pPr>
      <w:widowControl w:val="0"/>
      <w:autoSpaceDE w:val="0"/>
      <w:autoSpaceDN w:val="0"/>
    </w:pPr>
    <w:rPr>
      <w:rFonts w:ascii="Courier New" w:hAnsi="Courier New" w:cs="Courier New" w:eastAsiaTheme="minorEastAsia"/>
      <w:szCs w:val="22"/>
      <w:lang w:val="ru-RU" w:eastAsia="ru-RU" w:bidi="ar-SA"/>
    </w:rPr>
  </w:style>
  <w:style w:type="paragraph" w:customStyle="1" w:styleId="2536">
    <w:name w:val="ConsPlusCell"/>
    <w:uiPriority w:val="0"/>
    <w:pPr>
      <w:widowControl w:val="0"/>
      <w:autoSpaceDE w:val="0"/>
      <w:autoSpaceDN w:val="0"/>
    </w:pPr>
    <w:rPr>
      <w:rFonts w:ascii="Courier New" w:hAnsi="Courier New" w:cs="Courier New" w:eastAsiaTheme="minorEastAsia"/>
      <w:szCs w:val="22"/>
      <w:lang w:val="ru-RU" w:eastAsia="ru-RU" w:bidi="ar-SA"/>
    </w:rPr>
  </w:style>
  <w:style w:type="paragraph" w:customStyle="1" w:styleId="2537">
    <w:name w:val="ConsPlusDocList"/>
    <w:uiPriority w:val="0"/>
    <w:pPr>
      <w:widowControl w:val="0"/>
      <w:autoSpaceDE w:val="0"/>
      <w:autoSpaceDN w:val="0"/>
    </w:pPr>
    <w:rPr>
      <w:rFonts w:ascii="Courier New" w:hAnsi="Courier New" w:cs="Courier New" w:eastAsiaTheme="minorEastAsia"/>
      <w:szCs w:val="22"/>
      <w:lang w:val="ru-RU" w:eastAsia="ru-RU" w:bidi="ar-SA"/>
    </w:rPr>
  </w:style>
  <w:style w:type="paragraph" w:customStyle="1" w:styleId="2538">
    <w:name w:val="ConsPlusTitlePage"/>
    <w:uiPriority w:val="0"/>
    <w:pPr>
      <w:widowControl w:val="0"/>
      <w:autoSpaceDE w:val="0"/>
      <w:autoSpaceDN w:val="0"/>
    </w:pPr>
    <w:rPr>
      <w:rFonts w:ascii="Tahoma" w:hAnsi="Tahoma" w:cs="Tahoma" w:eastAsiaTheme="minorEastAsia"/>
      <w:szCs w:val="22"/>
      <w:lang w:val="ru-RU" w:eastAsia="ru-RU" w:bidi="ar-SA"/>
    </w:rPr>
  </w:style>
  <w:style w:type="paragraph" w:customStyle="1" w:styleId="2539">
    <w:name w:val="ConsPlusJurTerm"/>
    <w:uiPriority w:val="0"/>
    <w:pPr>
      <w:widowControl w:val="0"/>
      <w:autoSpaceDE w:val="0"/>
      <w:autoSpaceDN w:val="0"/>
    </w:pPr>
    <w:rPr>
      <w:rFonts w:ascii="Tahoma" w:hAnsi="Tahoma" w:cs="Tahoma" w:eastAsiaTheme="minorEastAsia"/>
      <w:sz w:val="26"/>
      <w:szCs w:val="22"/>
      <w:lang w:val="ru-RU" w:eastAsia="ru-RU" w:bidi="ar-SA"/>
    </w:rPr>
  </w:style>
  <w:style w:type="paragraph" w:customStyle="1" w:styleId="2540">
    <w:name w:val="ConsPlusTextList"/>
    <w:uiPriority w:val="0"/>
    <w:pPr>
      <w:widowControl w:val="0"/>
      <w:autoSpaceDE w:val="0"/>
      <w:autoSpaceDN w:val="0"/>
    </w:pPr>
    <w:rPr>
      <w:rFonts w:ascii="Arial" w:hAnsi="Arial" w:cs="Arial" w:eastAsiaTheme="minorEastAsia"/>
      <w:szCs w:val="22"/>
      <w:lang w:val="ru-RU" w:eastAsia="ru-RU" w:bidi="ar-SA"/>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5" Type="http://schemas.openxmlformats.org/officeDocument/2006/relationships/fontTable" Target="fontTable.xml"/><Relationship Id="rId14" Type="http://schemas.openxmlformats.org/officeDocument/2006/relationships/customXml" Target="../customXml/item1.xml"/><Relationship Id="rId13" Type="http://schemas.openxmlformats.org/officeDocument/2006/relationships/numbering" Target="numbering.xml"/><Relationship Id="rId12" Type="http://schemas.openxmlformats.org/officeDocument/2006/relationships/image" Target="media/image3.wmf"/><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D10B086-03AA-435F-9CFD-65F3D96C7958}">
  <ds:schemaRefs/>
</ds:datastoreItem>
</file>

<file path=docProps/app.xml><?xml version="1.0" encoding="utf-8"?>
<Properties xmlns="http://schemas.openxmlformats.org/officeDocument/2006/extended-properties" xmlns:vt="http://schemas.openxmlformats.org/officeDocument/2006/docPropsVTypes">
  <Template>Normal</Template>
  <Pages>790</Pages>
  <Words>214409</Words>
  <Characters>1547824</Characters>
  <Lines>12563</Lines>
  <Paragraphs>3537</Paragraphs>
  <TotalTime>4</TotalTime>
  <ScaleCrop>false</ScaleCrop>
  <LinksUpToDate>false</LinksUpToDate>
  <CharactersWithSpaces>1744537</CharactersWithSpaces>
  <Application>WPS Office_12.2.0.23131_F1E327BC-269C-435d-A152-05C5408002CA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2025-09-29T11:30:00Z</dcterms:created>
  <dc:creator>inf2</dc:creator>
  <dc:description>Подготовлено экспертами Актион-МЦФЭР</dc:description>
  <cp:lastModifiedBy>New</cp:lastModifiedBy>
  <cp:lastPrinted>2025-09-29T10:35:00Z</cp:lastPrinted>
  <dcterms:modified xsi:type="dcterms:W3CDTF">2025-10-16T18:03:26Z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1049-12.2.0.23131</vt:lpwstr>
  </property>
  <property fmtid="{D5CDD505-2E9C-101B-9397-08002B2CF9AE}" pid="3" name="ICV">
    <vt:lpwstr>4581D0C89F45499A97A8F52041BE5A9D_13</vt:lpwstr>
  </property>
</Properties>
</file>